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13655A" w14:textId="0662089B" w:rsidR="00080512" w:rsidRPr="00586E27" w:rsidRDefault="00080512">
      <w:pPr>
        <w:pStyle w:val="ZA"/>
        <w:framePr w:wrap="notBeside"/>
        <w:rPr>
          <w:noProof w:val="0"/>
        </w:rPr>
      </w:pPr>
      <w:bookmarkStart w:id="0" w:name="page1"/>
      <w:r w:rsidRPr="00586E27">
        <w:rPr>
          <w:noProof w:val="0"/>
          <w:sz w:val="64"/>
        </w:rPr>
        <w:t xml:space="preserve">3GPP TS </w:t>
      </w:r>
      <w:r w:rsidR="00ED2A65" w:rsidRPr="00586E27">
        <w:rPr>
          <w:noProof w:val="0"/>
          <w:sz w:val="64"/>
        </w:rPr>
        <w:t>38</w:t>
      </w:r>
      <w:r w:rsidRPr="00586E27">
        <w:rPr>
          <w:noProof w:val="0"/>
          <w:sz w:val="64"/>
        </w:rPr>
        <w:t>.</w:t>
      </w:r>
      <w:r w:rsidR="00026E38">
        <w:rPr>
          <w:noProof w:val="0"/>
          <w:sz w:val="64"/>
        </w:rPr>
        <w:t>213</w:t>
      </w:r>
      <w:r w:rsidRPr="00586E27">
        <w:rPr>
          <w:noProof w:val="0"/>
          <w:sz w:val="64"/>
        </w:rPr>
        <w:t xml:space="preserve"> </w:t>
      </w:r>
      <w:r w:rsidR="002C3E0C" w:rsidRPr="00586E27">
        <w:rPr>
          <w:noProof w:val="0"/>
        </w:rPr>
        <w:t>V</w:t>
      </w:r>
      <w:r w:rsidR="0035394B">
        <w:rPr>
          <w:noProof w:val="0"/>
        </w:rPr>
        <w:t>18.</w:t>
      </w:r>
      <w:r w:rsidR="00AA59B0">
        <w:rPr>
          <w:noProof w:val="0"/>
        </w:rPr>
        <w:t>2</w:t>
      </w:r>
      <w:r w:rsidR="0035394B">
        <w:rPr>
          <w:noProof w:val="0"/>
        </w:rPr>
        <w:t>.0</w:t>
      </w:r>
      <w:r w:rsidRPr="00586E27">
        <w:rPr>
          <w:noProof w:val="0"/>
        </w:rPr>
        <w:t xml:space="preserve"> </w:t>
      </w:r>
      <w:r w:rsidRPr="00586E27">
        <w:rPr>
          <w:noProof w:val="0"/>
          <w:sz w:val="32"/>
        </w:rPr>
        <w:t>(</w:t>
      </w:r>
      <w:r w:rsidR="00AA59B0">
        <w:rPr>
          <w:noProof w:val="0"/>
          <w:sz w:val="32"/>
        </w:rPr>
        <w:t>2024</w:t>
      </w:r>
      <w:r w:rsidR="0035394B">
        <w:rPr>
          <w:noProof w:val="0"/>
          <w:sz w:val="32"/>
        </w:rPr>
        <w:t>-</w:t>
      </w:r>
      <w:r w:rsidR="00AA59B0">
        <w:rPr>
          <w:noProof w:val="0"/>
          <w:sz w:val="32"/>
        </w:rPr>
        <w:t>03</w:t>
      </w:r>
      <w:r w:rsidRPr="00586E27">
        <w:rPr>
          <w:noProof w:val="0"/>
          <w:sz w:val="32"/>
        </w:rPr>
        <w:t>)</w:t>
      </w:r>
    </w:p>
    <w:p w14:paraId="4C241A57" w14:textId="77777777" w:rsidR="00080512" w:rsidRPr="00586E27" w:rsidRDefault="00080512">
      <w:pPr>
        <w:pStyle w:val="ZB"/>
        <w:framePr w:wrap="notBeside"/>
        <w:rPr>
          <w:noProof w:val="0"/>
        </w:rPr>
      </w:pPr>
      <w:r w:rsidRPr="00586E27">
        <w:rPr>
          <w:noProof w:val="0"/>
        </w:rPr>
        <w:t>Technical Specification</w:t>
      </w:r>
    </w:p>
    <w:p w14:paraId="201363FC" w14:textId="77777777" w:rsidR="00080512" w:rsidRPr="00586E27" w:rsidRDefault="00080512">
      <w:pPr>
        <w:pStyle w:val="ZT"/>
        <w:framePr w:wrap="notBeside"/>
      </w:pPr>
      <w:r w:rsidRPr="00586E27">
        <w:t>3rd Generation Partnership Project;</w:t>
      </w:r>
    </w:p>
    <w:p w14:paraId="22EF6F00" w14:textId="77777777" w:rsidR="00080512" w:rsidRPr="00586E27" w:rsidRDefault="00080512">
      <w:pPr>
        <w:pStyle w:val="ZT"/>
        <w:framePr w:wrap="notBeside"/>
      </w:pPr>
      <w:r w:rsidRPr="00586E27">
        <w:t xml:space="preserve">Technical Specification Group </w:t>
      </w:r>
      <w:r w:rsidR="00ED2A65" w:rsidRPr="00586E27">
        <w:rPr>
          <w:lang w:eastAsia="ko-KR"/>
        </w:rPr>
        <w:t>Radio Access Network</w:t>
      </w:r>
      <w:r w:rsidRPr="00586E27">
        <w:t>;</w:t>
      </w:r>
    </w:p>
    <w:p w14:paraId="56820C2B" w14:textId="77777777" w:rsidR="004A6977" w:rsidRPr="00E9040D" w:rsidRDefault="00D11F23" w:rsidP="004A6977">
      <w:pPr>
        <w:pStyle w:val="ZT"/>
        <w:framePr w:wrap="notBeside"/>
      </w:pPr>
      <w:r>
        <w:rPr>
          <w:lang w:eastAsia="ja-JP"/>
        </w:rPr>
        <w:t>NR</w:t>
      </w:r>
      <w:r w:rsidR="00ED2A65" w:rsidRPr="00586E27">
        <w:rPr>
          <w:lang w:eastAsia="ja-JP"/>
        </w:rPr>
        <w:t>;</w:t>
      </w:r>
      <w:r w:rsidR="00ED2A65" w:rsidRPr="00586E27">
        <w:rPr>
          <w:lang w:eastAsia="ja-JP"/>
        </w:rPr>
        <w:br/>
      </w:r>
      <w:r w:rsidRPr="00D11F23">
        <w:t xml:space="preserve">Physical layer procedures for </w:t>
      </w:r>
      <w:r w:rsidR="00026E38">
        <w:t>control</w:t>
      </w:r>
    </w:p>
    <w:p w14:paraId="5619BE2A" w14:textId="172A6C51" w:rsidR="00080512" w:rsidRPr="00586E27" w:rsidRDefault="00FC1192">
      <w:pPr>
        <w:pStyle w:val="ZT"/>
        <w:framePr w:wrap="notBeside"/>
        <w:rPr>
          <w:i/>
          <w:sz w:val="28"/>
        </w:rPr>
      </w:pPr>
      <w:r w:rsidRPr="00586E27">
        <w:t>(</w:t>
      </w:r>
      <w:r w:rsidRPr="00586E27">
        <w:rPr>
          <w:rStyle w:val="ZGSM"/>
        </w:rPr>
        <w:t>Release</w:t>
      </w:r>
      <w:r w:rsidR="0035394B">
        <w:rPr>
          <w:rStyle w:val="ZGSM"/>
        </w:rPr>
        <w:t xml:space="preserve"> 18</w:t>
      </w:r>
      <w:r w:rsidRPr="00586E27">
        <w:t>)</w:t>
      </w:r>
    </w:p>
    <w:bookmarkStart w:id="1" w:name="_MON_1684549432"/>
    <w:bookmarkEnd w:id="1"/>
    <w:p w14:paraId="39E7C532" w14:textId="77777777" w:rsidR="00C50B01" w:rsidRPr="00C50B01" w:rsidRDefault="00C50B01" w:rsidP="00C50B01">
      <w:pPr>
        <w:framePr w:w="10206" w:h="4929" w:hRule="exact" w:wrap="notBeside" w:vAnchor="page" w:hAnchor="margin" w:y="6238"/>
        <w:widowControl w:val="0"/>
        <w:pBdr>
          <w:top w:val="single" w:sz="12" w:space="1" w:color="auto"/>
        </w:pBdr>
        <w:tabs>
          <w:tab w:val="right" w:pos="10206"/>
        </w:tabs>
        <w:spacing w:after="0"/>
        <w:rPr>
          <w:rFonts w:ascii="Arial" w:eastAsia="Times New Roman" w:hAnsi="Arial"/>
          <w:noProof/>
        </w:rPr>
      </w:pPr>
      <w:r w:rsidRPr="00C50B01">
        <w:rPr>
          <w:rFonts w:ascii="Arial" w:eastAsia="Times New Roman" w:hAnsi="Arial"/>
          <w:i/>
          <w:noProof/>
          <w:lang w:eastAsia="en-GB"/>
        </w:rPr>
        <w:object w:dxaOrig="2026" w:dyaOrig="1251" w14:anchorId="03BE62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63pt" o:ole="">
            <v:imagedata r:id="rId9" o:title=""/>
          </v:shape>
          <o:OLEObject Type="Embed" ProgID="Word.Picture.8" ShapeID="_x0000_i1025" DrawAspect="Content" ObjectID="_1781409694" r:id="rId10"/>
        </w:object>
      </w:r>
      <w:r w:rsidRPr="00C50B01">
        <w:rPr>
          <w:rFonts w:ascii="Arial" w:eastAsia="Times New Roman" w:hAnsi="Arial"/>
          <w:noProof/>
          <w:color w:val="0000FF"/>
        </w:rPr>
        <w:tab/>
      </w:r>
      <w:r w:rsidRPr="00C50B01">
        <w:rPr>
          <w:rFonts w:ascii="Arial" w:eastAsia="Times New Roman" w:hAnsi="Arial"/>
          <w:noProof/>
          <w:lang w:eastAsia="en-GB"/>
        </w:rPr>
        <w:drawing>
          <wp:inline distT="0" distB="0" distL="0" distR="0" wp14:anchorId="0B84E7BC" wp14:editId="04BABF3D">
            <wp:extent cx="1628775" cy="952500"/>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8775" cy="952500"/>
                    </a:xfrm>
                    <a:prstGeom prst="rect">
                      <a:avLst/>
                    </a:prstGeom>
                    <a:noFill/>
                    <a:ln>
                      <a:noFill/>
                    </a:ln>
                  </pic:spPr>
                </pic:pic>
              </a:graphicData>
            </a:graphic>
          </wp:inline>
        </w:drawing>
      </w:r>
    </w:p>
    <w:p w14:paraId="24FC7B65" w14:textId="77777777" w:rsidR="00080512" w:rsidRPr="00586E27" w:rsidRDefault="00080512">
      <w:pPr>
        <w:pStyle w:val="ZU"/>
        <w:framePr w:h="4929" w:hRule="exact" w:wrap="notBeside"/>
        <w:tabs>
          <w:tab w:val="right" w:pos="10206"/>
        </w:tabs>
        <w:jc w:val="left"/>
        <w:rPr>
          <w:noProof w:val="0"/>
        </w:rPr>
      </w:pPr>
    </w:p>
    <w:p w14:paraId="05169E59" w14:textId="77777777" w:rsidR="00080512" w:rsidRPr="00586E27" w:rsidRDefault="00080512" w:rsidP="00734A5B">
      <w:pPr>
        <w:framePr w:h="1377" w:hRule="exact" w:wrap="notBeside" w:vAnchor="page" w:hAnchor="margin" w:y="15305"/>
        <w:rPr>
          <w:sz w:val="16"/>
        </w:rPr>
      </w:pPr>
      <w:r w:rsidRPr="00586E27">
        <w:rPr>
          <w:sz w:val="16"/>
        </w:rPr>
        <w:t>The present document has been developed within the 3</w:t>
      </w:r>
      <w:r w:rsidR="00F04712" w:rsidRPr="00586E27">
        <w:rPr>
          <w:sz w:val="16"/>
        </w:rPr>
        <w:t>rd</w:t>
      </w:r>
      <w:r w:rsidRPr="00586E27">
        <w:rPr>
          <w:sz w:val="16"/>
        </w:rPr>
        <w:t xml:space="preserve"> Generation Partnership Project (3GPP</w:t>
      </w:r>
      <w:r w:rsidRPr="00586E27">
        <w:rPr>
          <w:sz w:val="16"/>
          <w:vertAlign w:val="superscript"/>
        </w:rPr>
        <w:t xml:space="preserve"> TM</w:t>
      </w:r>
      <w:r w:rsidRPr="00586E27">
        <w:rPr>
          <w:sz w:val="16"/>
        </w:rPr>
        <w:t>) and may be further elaborated for the purposes of 3GPP..</w:t>
      </w:r>
      <w:r w:rsidRPr="00586E27">
        <w:rPr>
          <w:sz w:val="16"/>
        </w:rPr>
        <w:br/>
        <w:t>The present document has not been subject to any approval process by the 3GPP</w:t>
      </w:r>
      <w:r w:rsidRPr="00586E27">
        <w:rPr>
          <w:sz w:val="16"/>
          <w:vertAlign w:val="superscript"/>
        </w:rPr>
        <w:t xml:space="preserve"> </w:t>
      </w:r>
      <w:r w:rsidRPr="00586E27">
        <w:rPr>
          <w:sz w:val="16"/>
        </w:rPr>
        <w:t>Organizational Partners and shall not be implemented.</w:t>
      </w:r>
      <w:r w:rsidRPr="00586E27">
        <w:rPr>
          <w:sz w:val="16"/>
        </w:rPr>
        <w:br/>
        <w:t>This Specification is provided for future development work within 3GPP</w:t>
      </w:r>
      <w:r w:rsidRPr="00586E27">
        <w:rPr>
          <w:sz w:val="16"/>
          <w:vertAlign w:val="superscript"/>
        </w:rPr>
        <w:t xml:space="preserve"> </w:t>
      </w:r>
      <w:r w:rsidRPr="00586E27">
        <w:rPr>
          <w:sz w:val="16"/>
        </w:rPr>
        <w:t>only. The Organizational Partners accept no liability for any use of this Specification.</w:t>
      </w:r>
      <w:r w:rsidRPr="00586E27">
        <w:rPr>
          <w:sz w:val="16"/>
        </w:rPr>
        <w:br/>
        <w:t xml:space="preserve">Specifications and </w:t>
      </w:r>
      <w:r w:rsidR="00F653B8" w:rsidRPr="00586E27">
        <w:rPr>
          <w:sz w:val="16"/>
        </w:rPr>
        <w:t>Reports</w:t>
      </w:r>
      <w:r w:rsidRPr="00586E27">
        <w:rPr>
          <w:sz w:val="16"/>
        </w:rPr>
        <w:t xml:space="preserve"> for implementation of the 3GPP</w:t>
      </w:r>
      <w:r w:rsidRPr="00586E27">
        <w:rPr>
          <w:sz w:val="16"/>
          <w:vertAlign w:val="superscript"/>
        </w:rPr>
        <w:t xml:space="preserve"> TM</w:t>
      </w:r>
      <w:r w:rsidRPr="00586E27">
        <w:rPr>
          <w:sz w:val="16"/>
        </w:rPr>
        <w:t xml:space="preserve"> system should be obtained via the 3GPP Organizational Partners' Publications Offices.</w:t>
      </w:r>
    </w:p>
    <w:p w14:paraId="4FC568D7" w14:textId="77777777" w:rsidR="00080512" w:rsidRPr="00586E27" w:rsidRDefault="00080512">
      <w:pPr>
        <w:pStyle w:val="ZV"/>
        <w:framePr w:wrap="notBeside"/>
        <w:rPr>
          <w:noProof w:val="0"/>
        </w:rPr>
      </w:pPr>
    </w:p>
    <w:p w14:paraId="6353D5E6" w14:textId="77777777" w:rsidR="00080512" w:rsidRPr="00586E27" w:rsidRDefault="00080512"/>
    <w:bookmarkEnd w:id="0"/>
    <w:p w14:paraId="2241B192" w14:textId="77777777" w:rsidR="00080512" w:rsidRPr="00586E27" w:rsidRDefault="00080512">
      <w:pPr>
        <w:sectPr w:rsidR="00080512" w:rsidRPr="00586E27">
          <w:footnotePr>
            <w:numRestart w:val="eachSect"/>
          </w:footnotePr>
          <w:pgSz w:w="11907" w:h="16840"/>
          <w:pgMar w:top="2268" w:right="851" w:bottom="10773" w:left="851" w:header="0" w:footer="0" w:gutter="0"/>
          <w:cols w:space="720"/>
        </w:sectPr>
      </w:pPr>
    </w:p>
    <w:p w14:paraId="4D45FFC9" w14:textId="77777777" w:rsidR="00080512" w:rsidRPr="00586E27" w:rsidRDefault="00080512">
      <w:pPr>
        <w:pStyle w:val="FP"/>
        <w:framePr w:wrap="notBeside" w:hAnchor="margin" w:y="1419"/>
        <w:pBdr>
          <w:bottom w:val="single" w:sz="6" w:space="1" w:color="auto"/>
        </w:pBdr>
        <w:spacing w:before="240"/>
        <w:ind w:left="2835" w:right="2835"/>
        <w:jc w:val="center"/>
      </w:pPr>
      <w:bookmarkStart w:id="2" w:name="page2"/>
      <w:r w:rsidRPr="00586E27">
        <w:lastRenderedPageBreak/>
        <w:t>Keywords</w:t>
      </w:r>
    </w:p>
    <w:p w14:paraId="1172A261" w14:textId="77777777" w:rsidR="00080512" w:rsidRPr="00586E27" w:rsidRDefault="0074147C">
      <w:pPr>
        <w:pStyle w:val="FP"/>
        <w:framePr w:wrap="notBeside" w:hAnchor="margin" w:y="1419"/>
        <w:ind w:left="2835" w:right="2835"/>
        <w:jc w:val="center"/>
        <w:rPr>
          <w:rFonts w:ascii="Arial" w:hAnsi="Arial"/>
          <w:sz w:val="18"/>
        </w:rPr>
      </w:pPr>
      <w:r w:rsidRPr="00586E27">
        <w:rPr>
          <w:rFonts w:ascii="Arial" w:hAnsi="Arial"/>
          <w:sz w:val="18"/>
        </w:rPr>
        <w:t xml:space="preserve">3GPP, </w:t>
      </w:r>
      <w:r w:rsidR="00920884">
        <w:rPr>
          <w:rFonts w:ascii="Arial" w:hAnsi="Arial"/>
          <w:sz w:val="18"/>
        </w:rPr>
        <w:t>New Radio</w:t>
      </w:r>
      <w:r w:rsidR="00177809">
        <w:rPr>
          <w:rFonts w:ascii="Arial" w:hAnsi="Arial"/>
          <w:sz w:val="18"/>
        </w:rPr>
        <w:t>, Layer 1</w:t>
      </w:r>
    </w:p>
    <w:p w14:paraId="75CC2D57" w14:textId="77777777" w:rsidR="00080512" w:rsidRPr="00586E27" w:rsidRDefault="00080512"/>
    <w:p w14:paraId="34F45519" w14:textId="77777777" w:rsidR="00080512" w:rsidRPr="00586E27" w:rsidRDefault="00080512">
      <w:pPr>
        <w:pStyle w:val="FP"/>
        <w:framePr w:wrap="notBeside" w:hAnchor="margin" w:yAlign="center"/>
        <w:spacing w:after="240"/>
        <w:ind w:left="2835" w:right="2835"/>
        <w:jc w:val="center"/>
        <w:rPr>
          <w:rFonts w:ascii="Arial" w:hAnsi="Arial"/>
          <w:b/>
          <w:i/>
        </w:rPr>
      </w:pPr>
      <w:r w:rsidRPr="00586E27">
        <w:rPr>
          <w:rFonts w:ascii="Arial" w:hAnsi="Arial"/>
          <w:b/>
          <w:i/>
        </w:rPr>
        <w:t>3GPP</w:t>
      </w:r>
    </w:p>
    <w:p w14:paraId="1C71688A" w14:textId="77777777" w:rsidR="00080512" w:rsidRPr="00586E27" w:rsidRDefault="00080512">
      <w:pPr>
        <w:pStyle w:val="FP"/>
        <w:framePr w:wrap="notBeside" w:hAnchor="margin" w:yAlign="center"/>
        <w:pBdr>
          <w:bottom w:val="single" w:sz="6" w:space="1" w:color="auto"/>
        </w:pBdr>
        <w:ind w:left="2835" w:right="2835"/>
        <w:jc w:val="center"/>
      </w:pPr>
      <w:r w:rsidRPr="00586E27">
        <w:t>Postal address</w:t>
      </w:r>
    </w:p>
    <w:p w14:paraId="45C44269" w14:textId="77777777" w:rsidR="00080512" w:rsidRPr="00586E27" w:rsidRDefault="00080512">
      <w:pPr>
        <w:pStyle w:val="FP"/>
        <w:framePr w:wrap="notBeside" w:hAnchor="margin" w:yAlign="center"/>
        <w:ind w:left="2835" w:right="2835"/>
        <w:jc w:val="center"/>
        <w:rPr>
          <w:rFonts w:ascii="Arial" w:hAnsi="Arial"/>
          <w:sz w:val="18"/>
        </w:rPr>
      </w:pPr>
    </w:p>
    <w:p w14:paraId="15348C8A" w14:textId="77777777" w:rsidR="00080512" w:rsidRPr="0009732E" w:rsidRDefault="00080512">
      <w:pPr>
        <w:pStyle w:val="FP"/>
        <w:framePr w:wrap="notBeside" w:hAnchor="margin" w:yAlign="center"/>
        <w:pBdr>
          <w:bottom w:val="single" w:sz="6" w:space="1" w:color="auto"/>
        </w:pBdr>
        <w:spacing w:before="240"/>
        <w:ind w:left="2835" w:right="2835"/>
        <w:jc w:val="center"/>
      </w:pPr>
      <w:r w:rsidRPr="0009732E">
        <w:t>3GPP support office address</w:t>
      </w:r>
    </w:p>
    <w:p w14:paraId="1C004E2C" w14:textId="77777777" w:rsidR="00080512" w:rsidRPr="00F96B12" w:rsidRDefault="00080512">
      <w:pPr>
        <w:pStyle w:val="FP"/>
        <w:framePr w:wrap="notBeside" w:hAnchor="margin" w:yAlign="center"/>
        <w:ind w:left="2835" w:right="2835"/>
        <w:jc w:val="center"/>
        <w:rPr>
          <w:rFonts w:ascii="Arial" w:hAnsi="Arial"/>
          <w:sz w:val="18"/>
          <w:lang w:val="fr-FR"/>
        </w:rPr>
      </w:pPr>
      <w:r w:rsidRPr="00F96B12">
        <w:rPr>
          <w:rFonts w:ascii="Arial" w:hAnsi="Arial"/>
          <w:sz w:val="18"/>
          <w:lang w:val="fr-FR"/>
        </w:rPr>
        <w:t>650 Route des Lucioles - Sophia Antipolis</w:t>
      </w:r>
    </w:p>
    <w:p w14:paraId="52C39EC3" w14:textId="77777777" w:rsidR="00080512" w:rsidRPr="00F96B12" w:rsidRDefault="00080512">
      <w:pPr>
        <w:pStyle w:val="FP"/>
        <w:framePr w:wrap="notBeside" w:hAnchor="margin" w:yAlign="center"/>
        <w:ind w:left="2835" w:right="2835"/>
        <w:jc w:val="center"/>
        <w:rPr>
          <w:rFonts w:ascii="Arial" w:hAnsi="Arial"/>
          <w:sz w:val="18"/>
          <w:lang w:val="fr-FR"/>
        </w:rPr>
      </w:pPr>
      <w:r w:rsidRPr="00F96B12">
        <w:rPr>
          <w:rFonts w:ascii="Arial" w:hAnsi="Arial"/>
          <w:sz w:val="18"/>
          <w:lang w:val="fr-FR"/>
        </w:rPr>
        <w:t>Valbonne - FRANCE</w:t>
      </w:r>
    </w:p>
    <w:p w14:paraId="35AE8232" w14:textId="77777777" w:rsidR="00080512" w:rsidRPr="00586E27" w:rsidRDefault="00080512">
      <w:pPr>
        <w:pStyle w:val="FP"/>
        <w:framePr w:wrap="notBeside" w:hAnchor="margin" w:yAlign="center"/>
        <w:spacing w:after="20"/>
        <w:ind w:left="2835" w:right="2835"/>
        <w:jc w:val="center"/>
        <w:rPr>
          <w:rFonts w:ascii="Arial" w:hAnsi="Arial"/>
          <w:sz w:val="18"/>
        </w:rPr>
      </w:pPr>
      <w:r w:rsidRPr="00586E27">
        <w:rPr>
          <w:rFonts w:ascii="Arial" w:hAnsi="Arial"/>
          <w:sz w:val="18"/>
        </w:rPr>
        <w:t>Tel.: +33 4 92 94 42 00 Fax: +33 4 93 65 47 16</w:t>
      </w:r>
    </w:p>
    <w:p w14:paraId="02C58C76" w14:textId="77777777" w:rsidR="00080512" w:rsidRPr="00586E27" w:rsidRDefault="00080512">
      <w:pPr>
        <w:pStyle w:val="FP"/>
        <w:framePr w:wrap="notBeside" w:hAnchor="margin" w:yAlign="center"/>
        <w:pBdr>
          <w:bottom w:val="single" w:sz="6" w:space="1" w:color="auto"/>
        </w:pBdr>
        <w:spacing w:before="240"/>
        <w:ind w:left="2835" w:right="2835"/>
        <w:jc w:val="center"/>
      </w:pPr>
      <w:r w:rsidRPr="00586E27">
        <w:t>Internet</w:t>
      </w:r>
    </w:p>
    <w:p w14:paraId="6FAA4B9A" w14:textId="77777777" w:rsidR="00080512" w:rsidRPr="00586E27" w:rsidRDefault="00080512">
      <w:pPr>
        <w:pStyle w:val="FP"/>
        <w:framePr w:wrap="notBeside" w:hAnchor="margin" w:yAlign="center"/>
        <w:ind w:left="2835" w:right="2835"/>
        <w:jc w:val="center"/>
        <w:rPr>
          <w:rFonts w:ascii="Arial" w:hAnsi="Arial"/>
          <w:sz w:val="18"/>
        </w:rPr>
      </w:pPr>
      <w:r w:rsidRPr="00586E27">
        <w:rPr>
          <w:rFonts w:ascii="Arial" w:hAnsi="Arial"/>
          <w:sz w:val="18"/>
        </w:rPr>
        <w:t>http://www.3gpp.org</w:t>
      </w:r>
    </w:p>
    <w:p w14:paraId="732350C0" w14:textId="77777777" w:rsidR="00080512" w:rsidRPr="00586E27" w:rsidRDefault="00080512"/>
    <w:p w14:paraId="2CDDC59F" w14:textId="77777777" w:rsidR="00080512" w:rsidRPr="00586E27" w:rsidRDefault="00080512" w:rsidP="00FA1266">
      <w:pPr>
        <w:pStyle w:val="FP"/>
        <w:framePr w:h="3057" w:hRule="exact" w:wrap="notBeside" w:vAnchor="page" w:hAnchor="margin" w:y="12605"/>
        <w:pBdr>
          <w:bottom w:val="single" w:sz="6" w:space="1" w:color="auto"/>
        </w:pBdr>
        <w:spacing w:after="240"/>
        <w:jc w:val="center"/>
        <w:rPr>
          <w:rFonts w:ascii="Arial" w:hAnsi="Arial"/>
          <w:b/>
          <w:i/>
        </w:rPr>
      </w:pPr>
      <w:r w:rsidRPr="00586E27">
        <w:rPr>
          <w:rFonts w:ascii="Arial" w:hAnsi="Arial"/>
          <w:b/>
          <w:i/>
        </w:rPr>
        <w:t>Copyright Notification</w:t>
      </w:r>
    </w:p>
    <w:p w14:paraId="52F31F94" w14:textId="77777777" w:rsidR="00080512" w:rsidRPr="00586E27" w:rsidRDefault="00080512" w:rsidP="00FA1266">
      <w:pPr>
        <w:pStyle w:val="FP"/>
        <w:framePr w:h="3057" w:hRule="exact" w:wrap="notBeside" w:vAnchor="page" w:hAnchor="margin" w:y="12605"/>
        <w:jc w:val="center"/>
      </w:pPr>
      <w:r w:rsidRPr="00586E27">
        <w:t>No part may be reproduced except as authorized by written permission.</w:t>
      </w:r>
      <w:r w:rsidRPr="00586E27">
        <w:br/>
        <w:t>The copyright and the foregoing restriction extend to reproduction in all media.</w:t>
      </w:r>
    </w:p>
    <w:p w14:paraId="540F6128" w14:textId="77777777" w:rsidR="00080512" w:rsidRPr="00586E27" w:rsidRDefault="00080512" w:rsidP="00FA1266">
      <w:pPr>
        <w:pStyle w:val="FP"/>
        <w:framePr w:h="3057" w:hRule="exact" w:wrap="notBeside" w:vAnchor="page" w:hAnchor="margin" w:y="12605"/>
        <w:jc w:val="center"/>
      </w:pPr>
    </w:p>
    <w:p w14:paraId="6D0F270D" w14:textId="04FD019B" w:rsidR="00080512" w:rsidRPr="00586E27" w:rsidRDefault="00DC309B" w:rsidP="00FA1266">
      <w:pPr>
        <w:pStyle w:val="FP"/>
        <w:framePr w:h="3057" w:hRule="exact" w:wrap="notBeside" w:vAnchor="page" w:hAnchor="margin" w:y="12605"/>
        <w:jc w:val="center"/>
        <w:rPr>
          <w:sz w:val="18"/>
        </w:rPr>
      </w:pPr>
      <w:r w:rsidRPr="00586E27">
        <w:rPr>
          <w:sz w:val="18"/>
        </w:rPr>
        <w:t>©</w:t>
      </w:r>
      <w:r w:rsidR="0035394B">
        <w:rPr>
          <w:sz w:val="18"/>
        </w:rPr>
        <w:t xml:space="preserve"> </w:t>
      </w:r>
      <w:r w:rsidR="00AA59B0">
        <w:rPr>
          <w:sz w:val="18"/>
        </w:rPr>
        <w:t>2024</w:t>
      </w:r>
      <w:r w:rsidR="00080512" w:rsidRPr="00586E27">
        <w:rPr>
          <w:sz w:val="18"/>
        </w:rPr>
        <w:t>, 3GPP Organizational Partners (ARIB, ATIS, CCSA, ETSI,</w:t>
      </w:r>
      <w:r w:rsidR="00F22EC7" w:rsidRPr="00586E27">
        <w:rPr>
          <w:sz w:val="18"/>
        </w:rPr>
        <w:t xml:space="preserve"> TSDSI, </w:t>
      </w:r>
      <w:r w:rsidR="00080512" w:rsidRPr="00586E27">
        <w:rPr>
          <w:sz w:val="18"/>
        </w:rPr>
        <w:t>TTA, TTC).</w:t>
      </w:r>
      <w:bookmarkStart w:id="3" w:name="copyrightaddon"/>
      <w:bookmarkEnd w:id="3"/>
    </w:p>
    <w:p w14:paraId="795A10A9" w14:textId="77777777" w:rsidR="00734A5B" w:rsidRPr="00586E27" w:rsidRDefault="00080512" w:rsidP="00FA1266">
      <w:pPr>
        <w:pStyle w:val="FP"/>
        <w:framePr w:h="3057" w:hRule="exact" w:wrap="notBeside" w:vAnchor="page" w:hAnchor="margin" w:y="12605"/>
        <w:jc w:val="center"/>
        <w:rPr>
          <w:sz w:val="18"/>
        </w:rPr>
      </w:pPr>
      <w:r w:rsidRPr="00586E27">
        <w:rPr>
          <w:sz w:val="18"/>
        </w:rPr>
        <w:t>All rights reserved.</w:t>
      </w:r>
    </w:p>
    <w:p w14:paraId="0F3E15D0" w14:textId="77777777" w:rsidR="00FC1192" w:rsidRPr="00586E27" w:rsidRDefault="00FC1192" w:rsidP="00FA1266">
      <w:pPr>
        <w:pStyle w:val="FP"/>
        <w:framePr w:h="3057" w:hRule="exact" w:wrap="notBeside" w:vAnchor="page" w:hAnchor="margin" w:y="12605"/>
        <w:rPr>
          <w:sz w:val="18"/>
        </w:rPr>
      </w:pPr>
    </w:p>
    <w:p w14:paraId="5BD78E20" w14:textId="77777777" w:rsidR="00734A5B" w:rsidRPr="00586E27" w:rsidRDefault="00734A5B" w:rsidP="00FA1266">
      <w:pPr>
        <w:pStyle w:val="FP"/>
        <w:framePr w:h="3057" w:hRule="exact" w:wrap="notBeside" w:vAnchor="page" w:hAnchor="margin" w:y="12605"/>
        <w:rPr>
          <w:sz w:val="18"/>
        </w:rPr>
      </w:pPr>
      <w:r w:rsidRPr="00586E27">
        <w:rPr>
          <w:sz w:val="18"/>
        </w:rPr>
        <w:t>UMTS™ is a Trade Mark of ETSI registered for the benefit of its members</w:t>
      </w:r>
    </w:p>
    <w:p w14:paraId="777438FD" w14:textId="77777777" w:rsidR="00080512" w:rsidRPr="00586E27" w:rsidRDefault="00734A5B" w:rsidP="00FA1266">
      <w:pPr>
        <w:pStyle w:val="FP"/>
        <w:framePr w:h="3057" w:hRule="exact" w:wrap="notBeside" w:vAnchor="page" w:hAnchor="margin" w:y="12605"/>
        <w:rPr>
          <w:sz w:val="18"/>
        </w:rPr>
      </w:pPr>
      <w:r w:rsidRPr="00586E27">
        <w:rPr>
          <w:sz w:val="18"/>
        </w:rPr>
        <w:t>3GPP™ is a Trade Mark of ETSI registered for the benefit of its Members and of the 3GPP Organizational Partners</w:t>
      </w:r>
      <w:r w:rsidR="00080512" w:rsidRPr="00586E27">
        <w:rPr>
          <w:sz w:val="18"/>
        </w:rPr>
        <w:br/>
      </w:r>
      <w:r w:rsidR="00FA1266" w:rsidRPr="00586E27">
        <w:rPr>
          <w:sz w:val="18"/>
        </w:rPr>
        <w:t>LTE™ is a Trade Mark of ETSI registered for the benefit of its Members and of the 3GPP Organizational Partners</w:t>
      </w:r>
    </w:p>
    <w:p w14:paraId="40BB3A2C" w14:textId="77777777" w:rsidR="00FA1266" w:rsidRPr="00586E27" w:rsidRDefault="00FA1266" w:rsidP="00FA1266">
      <w:pPr>
        <w:pStyle w:val="FP"/>
        <w:framePr w:h="3057" w:hRule="exact" w:wrap="notBeside" w:vAnchor="page" w:hAnchor="margin" w:y="12605"/>
        <w:rPr>
          <w:sz w:val="18"/>
        </w:rPr>
      </w:pPr>
      <w:r w:rsidRPr="00586E27">
        <w:rPr>
          <w:sz w:val="18"/>
        </w:rPr>
        <w:t>GSM® and the GSM logo are registered and owned by the GSM Association</w:t>
      </w:r>
    </w:p>
    <w:bookmarkEnd w:id="2"/>
    <w:p w14:paraId="69B371FD" w14:textId="77777777" w:rsidR="00080512" w:rsidRPr="00B916EC" w:rsidRDefault="00080512">
      <w:pPr>
        <w:pStyle w:val="TT"/>
      </w:pPr>
      <w:r w:rsidRPr="00586E27">
        <w:br w:type="page"/>
      </w:r>
      <w:r w:rsidRPr="00B916EC">
        <w:lastRenderedPageBreak/>
        <w:t>Contents</w:t>
      </w:r>
    </w:p>
    <w:p w14:paraId="7175B343" w14:textId="12C0AE52" w:rsidR="00745523" w:rsidRDefault="00F268EE">
      <w:pPr>
        <w:pStyle w:val="TOC1"/>
        <w:rPr>
          <w:rFonts w:asciiTheme="minorHAnsi" w:eastAsiaTheme="minorEastAsia" w:hAnsiTheme="minorHAnsi" w:cstheme="minorBidi"/>
          <w:kern w:val="2"/>
          <w:szCs w:val="22"/>
          <w:lang w:eastAsia="en-GB"/>
          <w14:ligatures w14:val="standardContextual"/>
        </w:rPr>
      </w:pPr>
      <w:r w:rsidRPr="008B4D9F">
        <w:rPr>
          <w:color w:val="FF0000"/>
        </w:rPr>
        <w:fldChar w:fldCharType="begin" w:fldLock="1"/>
      </w:r>
      <w:r w:rsidRPr="00850B65">
        <w:rPr>
          <w:color w:val="FF0000"/>
        </w:rPr>
        <w:instrText xml:space="preserve"> TOC \o "1-9" </w:instrText>
      </w:r>
      <w:r w:rsidRPr="008B4D9F">
        <w:rPr>
          <w:color w:val="FF0000"/>
        </w:rPr>
        <w:fldChar w:fldCharType="separate"/>
      </w:r>
      <w:r w:rsidR="00745523">
        <w:t>Foreword</w:t>
      </w:r>
      <w:r w:rsidR="00745523">
        <w:tab/>
      </w:r>
      <w:r w:rsidR="00745523">
        <w:fldChar w:fldCharType="begin" w:fldLock="1"/>
      </w:r>
      <w:r w:rsidR="00745523">
        <w:instrText xml:space="preserve"> PAGEREF _Toc161999078 \h </w:instrText>
      </w:r>
      <w:r w:rsidR="00745523">
        <w:fldChar w:fldCharType="separate"/>
      </w:r>
      <w:r w:rsidR="00745523">
        <w:t>6</w:t>
      </w:r>
      <w:r w:rsidR="00745523">
        <w:fldChar w:fldCharType="end"/>
      </w:r>
    </w:p>
    <w:p w14:paraId="4B6B13B7" w14:textId="540BDAD8" w:rsidR="00745523" w:rsidRDefault="00745523">
      <w:pPr>
        <w:pStyle w:val="TOC1"/>
        <w:rPr>
          <w:rFonts w:asciiTheme="minorHAnsi" w:eastAsiaTheme="minorEastAsia" w:hAnsiTheme="minorHAnsi" w:cstheme="minorBidi"/>
          <w:kern w:val="2"/>
          <w:szCs w:val="22"/>
          <w:lang w:eastAsia="en-GB"/>
          <w14:ligatures w14:val="standardContextual"/>
        </w:rPr>
      </w:pPr>
      <w:r>
        <w:t>1</w:t>
      </w:r>
      <w:r>
        <w:rPr>
          <w:rFonts w:asciiTheme="minorHAnsi" w:eastAsiaTheme="minorEastAsia" w:hAnsiTheme="minorHAnsi" w:cstheme="minorBidi"/>
          <w:kern w:val="2"/>
          <w:szCs w:val="22"/>
          <w:lang w:eastAsia="en-GB"/>
          <w14:ligatures w14:val="standardContextual"/>
        </w:rPr>
        <w:tab/>
      </w:r>
      <w:r>
        <w:t>Scope</w:t>
      </w:r>
      <w:r>
        <w:tab/>
      </w:r>
      <w:r>
        <w:fldChar w:fldCharType="begin" w:fldLock="1"/>
      </w:r>
      <w:r>
        <w:instrText xml:space="preserve"> PAGEREF _Toc161999079 \h </w:instrText>
      </w:r>
      <w:r>
        <w:fldChar w:fldCharType="separate"/>
      </w:r>
      <w:r>
        <w:t>7</w:t>
      </w:r>
      <w:r>
        <w:fldChar w:fldCharType="end"/>
      </w:r>
    </w:p>
    <w:p w14:paraId="65E02F6A" w14:textId="21344E8A" w:rsidR="00745523" w:rsidRDefault="00745523">
      <w:pPr>
        <w:pStyle w:val="TOC1"/>
        <w:rPr>
          <w:rFonts w:asciiTheme="minorHAnsi" w:eastAsiaTheme="minorEastAsia" w:hAnsiTheme="minorHAnsi" w:cstheme="minorBidi"/>
          <w:kern w:val="2"/>
          <w:szCs w:val="22"/>
          <w:lang w:eastAsia="en-GB"/>
          <w14:ligatures w14:val="standardContextual"/>
        </w:rPr>
      </w:pPr>
      <w:r>
        <w:t>2</w:t>
      </w:r>
      <w:r>
        <w:rPr>
          <w:rFonts w:asciiTheme="minorHAnsi" w:eastAsiaTheme="minorEastAsia" w:hAnsiTheme="minorHAnsi" w:cstheme="minorBidi"/>
          <w:kern w:val="2"/>
          <w:szCs w:val="22"/>
          <w:lang w:eastAsia="en-GB"/>
          <w14:ligatures w14:val="standardContextual"/>
        </w:rPr>
        <w:tab/>
      </w:r>
      <w:r>
        <w:t>References</w:t>
      </w:r>
      <w:r>
        <w:tab/>
      </w:r>
      <w:r>
        <w:fldChar w:fldCharType="begin" w:fldLock="1"/>
      </w:r>
      <w:r>
        <w:instrText xml:space="preserve"> PAGEREF _Toc161999080 \h </w:instrText>
      </w:r>
      <w:r>
        <w:fldChar w:fldCharType="separate"/>
      </w:r>
      <w:r>
        <w:t>7</w:t>
      </w:r>
      <w:r>
        <w:fldChar w:fldCharType="end"/>
      </w:r>
    </w:p>
    <w:p w14:paraId="6487F0D6" w14:textId="453A0683" w:rsidR="00745523" w:rsidRDefault="00745523">
      <w:pPr>
        <w:pStyle w:val="TOC1"/>
        <w:rPr>
          <w:rFonts w:asciiTheme="minorHAnsi" w:eastAsiaTheme="minorEastAsia" w:hAnsiTheme="minorHAnsi" w:cstheme="minorBidi"/>
          <w:kern w:val="2"/>
          <w:szCs w:val="22"/>
          <w:lang w:eastAsia="en-GB"/>
          <w14:ligatures w14:val="standardContextual"/>
        </w:rPr>
      </w:pPr>
      <w:r>
        <w:t>3</w:t>
      </w:r>
      <w:r>
        <w:rPr>
          <w:rFonts w:asciiTheme="minorHAnsi" w:eastAsiaTheme="minorEastAsia" w:hAnsiTheme="minorHAnsi" w:cstheme="minorBidi"/>
          <w:kern w:val="2"/>
          <w:szCs w:val="22"/>
          <w:lang w:eastAsia="en-GB"/>
          <w14:ligatures w14:val="standardContextual"/>
        </w:rPr>
        <w:tab/>
      </w:r>
      <w:r>
        <w:t>Definitions of terms, symbols and abbreviations</w:t>
      </w:r>
      <w:r>
        <w:tab/>
      </w:r>
      <w:r>
        <w:fldChar w:fldCharType="begin" w:fldLock="1"/>
      </w:r>
      <w:r>
        <w:instrText xml:space="preserve"> PAGEREF _Toc161999081 \h </w:instrText>
      </w:r>
      <w:r>
        <w:fldChar w:fldCharType="separate"/>
      </w:r>
      <w:r>
        <w:t>8</w:t>
      </w:r>
      <w:r>
        <w:fldChar w:fldCharType="end"/>
      </w:r>
    </w:p>
    <w:p w14:paraId="4E2F4132" w14:textId="5A2AD968" w:rsidR="00745523" w:rsidRDefault="00745523">
      <w:pPr>
        <w:pStyle w:val="TOC2"/>
        <w:rPr>
          <w:rFonts w:asciiTheme="minorHAnsi" w:eastAsiaTheme="minorEastAsia" w:hAnsiTheme="minorHAnsi" w:cstheme="minorBidi"/>
          <w:kern w:val="2"/>
          <w:sz w:val="22"/>
          <w:szCs w:val="22"/>
          <w:lang w:eastAsia="en-GB"/>
          <w14:ligatures w14:val="standardContextual"/>
        </w:rPr>
      </w:pPr>
      <w:r>
        <w:t>3.1</w:t>
      </w:r>
      <w:r>
        <w:rPr>
          <w:rFonts w:asciiTheme="minorHAnsi" w:eastAsiaTheme="minorEastAsia" w:hAnsiTheme="minorHAnsi" w:cstheme="minorBidi"/>
          <w:kern w:val="2"/>
          <w:sz w:val="22"/>
          <w:szCs w:val="22"/>
          <w:lang w:eastAsia="en-GB"/>
          <w14:ligatures w14:val="standardContextual"/>
        </w:rPr>
        <w:tab/>
      </w:r>
      <w:r>
        <w:t>Terms</w:t>
      </w:r>
      <w:r>
        <w:tab/>
      </w:r>
      <w:r>
        <w:fldChar w:fldCharType="begin" w:fldLock="1"/>
      </w:r>
      <w:r>
        <w:instrText xml:space="preserve"> PAGEREF _Toc161999082 \h </w:instrText>
      </w:r>
      <w:r>
        <w:fldChar w:fldCharType="separate"/>
      </w:r>
      <w:r>
        <w:t>8</w:t>
      </w:r>
      <w:r>
        <w:fldChar w:fldCharType="end"/>
      </w:r>
    </w:p>
    <w:p w14:paraId="05E4F3E2" w14:textId="46AA8F87" w:rsidR="00745523" w:rsidRDefault="00745523">
      <w:pPr>
        <w:pStyle w:val="TOC2"/>
        <w:rPr>
          <w:rFonts w:asciiTheme="minorHAnsi" w:eastAsiaTheme="minorEastAsia" w:hAnsiTheme="minorHAnsi" w:cstheme="minorBidi"/>
          <w:kern w:val="2"/>
          <w:sz w:val="22"/>
          <w:szCs w:val="22"/>
          <w:lang w:eastAsia="en-GB"/>
          <w14:ligatures w14:val="standardContextual"/>
        </w:rPr>
      </w:pPr>
      <w:r>
        <w:t>3.2</w:t>
      </w:r>
      <w:r>
        <w:rPr>
          <w:rFonts w:asciiTheme="minorHAnsi" w:eastAsiaTheme="minorEastAsia" w:hAnsiTheme="minorHAnsi" w:cstheme="minorBidi"/>
          <w:kern w:val="2"/>
          <w:sz w:val="22"/>
          <w:szCs w:val="22"/>
          <w:lang w:eastAsia="en-GB"/>
          <w14:ligatures w14:val="standardContextual"/>
        </w:rPr>
        <w:tab/>
      </w:r>
      <w:r>
        <w:t>Symbols</w:t>
      </w:r>
      <w:r>
        <w:tab/>
      </w:r>
      <w:r>
        <w:fldChar w:fldCharType="begin" w:fldLock="1"/>
      </w:r>
      <w:r>
        <w:instrText xml:space="preserve"> PAGEREF _Toc161999083 \h </w:instrText>
      </w:r>
      <w:r>
        <w:fldChar w:fldCharType="separate"/>
      </w:r>
      <w:r>
        <w:t>8</w:t>
      </w:r>
      <w:r>
        <w:fldChar w:fldCharType="end"/>
      </w:r>
    </w:p>
    <w:p w14:paraId="3B6CDAFA" w14:textId="3639ACA5" w:rsidR="00745523" w:rsidRDefault="00745523">
      <w:pPr>
        <w:pStyle w:val="TOC2"/>
        <w:rPr>
          <w:rFonts w:asciiTheme="minorHAnsi" w:eastAsiaTheme="minorEastAsia" w:hAnsiTheme="minorHAnsi" w:cstheme="minorBidi"/>
          <w:kern w:val="2"/>
          <w:sz w:val="22"/>
          <w:szCs w:val="22"/>
          <w:lang w:eastAsia="en-GB"/>
          <w14:ligatures w14:val="standardContextual"/>
        </w:rPr>
      </w:pPr>
      <w:r>
        <w:t>3.3</w:t>
      </w:r>
      <w:r>
        <w:rPr>
          <w:rFonts w:asciiTheme="minorHAnsi" w:eastAsiaTheme="minorEastAsia" w:hAnsiTheme="minorHAnsi" w:cstheme="minorBidi"/>
          <w:kern w:val="2"/>
          <w:sz w:val="22"/>
          <w:szCs w:val="22"/>
          <w:lang w:eastAsia="en-GB"/>
          <w14:ligatures w14:val="standardContextual"/>
        </w:rPr>
        <w:tab/>
      </w:r>
      <w:r>
        <w:t>Abbreviations</w:t>
      </w:r>
      <w:r>
        <w:tab/>
      </w:r>
      <w:r>
        <w:fldChar w:fldCharType="begin" w:fldLock="1"/>
      </w:r>
      <w:r>
        <w:instrText xml:space="preserve"> PAGEREF _Toc161999084 \h </w:instrText>
      </w:r>
      <w:r>
        <w:fldChar w:fldCharType="separate"/>
      </w:r>
      <w:r>
        <w:t>8</w:t>
      </w:r>
      <w:r>
        <w:fldChar w:fldCharType="end"/>
      </w:r>
    </w:p>
    <w:p w14:paraId="5A19734C" w14:textId="72CA2B9C" w:rsidR="00745523" w:rsidRDefault="00745523">
      <w:pPr>
        <w:pStyle w:val="TOC1"/>
        <w:rPr>
          <w:rFonts w:asciiTheme="minorHAnsi" w:eastAsiaTheme="minorEastAsia" w:hAnsiTheme="minorHAnsi" w:cstheme="minorBidi"/>
          <w:kern w:val="2"/>
          <w:szCs w:val="22"/>
          <w:lang w:eastAsia="en-GB"/>
          <w14:ligatures w14:val="standardContextual"/>
        </w:rPr>
      </w:pPr>
      <w:r>
        <w:t>4</w:t>
      </w:r>
      <w:r>
        <w:rPr>
          <w:rFonts w:asciiTheme="minorHAnsi" w:eastAsiaTheme="minorEastAsia" w:hAnsiTheme="minorHAnsi" w:cstheme="minorBidi"/>
          <w:kern w:val="2"/>
          <w:szCs w:val="22"/>
          <w:lang w:eastAsia="en-GB"/>
          <w14:ligatures w14:val="standardContextual"/>
        </w:rPr>
        <w:tab/>
      </w:r>
      <w:r>
        <w:t>Synchronization procedures</w:t>
      </w:r>
      <w:r>
        <w:tab/>
      </w:r>
      <w:r>
        <w:fldChar w:fldCharType="begin" w:fldLock="1"/>
      </w:r>
      <w:r>
        <w:instrText xml:space="preserve"> PAGEREF _Toc161999085 \h </w:instrText>
      </w:r>
      <w:r>
        <w:fldChar w:fldCharType="separate"/>
      </w:r>
      <w:r>
        <w:t>10</w:t>
      </w:r>
      <w:r>
        <w:fldChar w:fldCharType="end"/>
      </w:r>
    </w:p>
    <w:p w14:paraId="1D691995" w14:textId="3B0B4473" w:rsidR="00745523" w:rsidRDefault="00745523">
      <w:pPr>
        <w:pStyle w:val="TOC2"/>
        <w:rPr>
          <w:rFonts w:asciiTheme="minorHAnsi" w:eastAsiaTheme="minorEastAsia" w:hAnsiTheme="minorHAnsi" w:cstheme="minorBidi"/>
          <w:kern w:val="2"/>
          <w:sz w:val="22"/>
          <w:szCs w:val="22"/>
          <w:lang w:eastAsia="en-GB"/>
          <w14:ligatures w14:val="standardContextual"/>
        </w:rPr>
      </w:pPr>
      <w:r>
        <w:t>4.1</w:t>
      </w:r>
      <w:r>
        <w:rPr>
          <w:rFonts w:asciiTheme="minorHAnsi" w:eastAsiaTheme="minorEastAsia" w:hAnsiTheme="minorHAnsi" w:cstheme="minorBidi"/>
          <w:kern w:val="2"/>
          <w:sz w:val="22"/>
          <w:szCs w:val="22"/>
          <w:lang w:eastAsia="en-GB"/>
          <w14:ligatures w14:val="standardContextual"/>
        </w:rPr>
        <w:tab/>
      </w:r>
      <w:r>
        <w:t>Cell search</w:t>
      </w:r>
      <w:r>
        <w:tab/>
      </w:r>
      <w:r>
        <w:fldChar w:fldCharType="begin" w:fldLock="1"/>
      </w:r>
      <w:r>
        <w:instrText xml:space="preserve"> PAGEREF _Toc161999086 \h </w:instrText>
      </w:r>
      <w:r>
        <w:fldChar w:fldCharType="separate"/>
      </w:r>
      <w:r>
        <w:t>10</w:t>
      </w:r>
      <w:r>
        <w:fldChar w:fldCharType="end"/>
      </w:r>
    </w:p>
    <w:p w14:paraId="64071CFA" w14:textId="333BCA6D" w:rsidR="00745523" w:rsidRDefault="00745523">
      <w:pPr>
        <w:pStyle w:val="TOC2"/>
        <w:rPr>
          <w:rFonts w:asciiTheme="minorHAnsi" w:eastAsiaTheme="minorEastAsia" w:hAnsiTheme="minorHAnsi" w:cstheme="minorBidi"/>
          <w:kern w:val="2"/>
          <w:sz w:val="22"/>
          <w:szCs w:val="22"/>
          <w:lang w:eastAsia="en-GB"/>
          <w14:ligatures w14:val="standardContextual"/>
        </w:rPr>
      </w:pPr>
      <w:r>
        <w:t>4.2</w:t>
      </w:r>
      <w:r>
        <w:rPr>
          <w:rFonts w:asciiTheme="minorHAnsi" w:eastAsiaTheme="minorEastAsia" w:hAnsiTheme="minorHAnsi" w:cstheme="minorBidi"/>
          <w:kern w:val="2"/>
          <w:sz w:val="22"/>
          <w:szCs w:val="22"/>
          <w:lang w:eastAsia="en-GB"/>
          <w14:ligatures w14:val="standardContextual"/>
        </w:rPr>
        <w:tab/>
      </w:r>
      <w:r>
        <w:t>Transmission timing adjustments</w:t>
      </w:r>
      <w:r>
        <w:tab/>
      </w:r>
      <w:r>
        <w:fldChar w:fldCharType="begin" w:fldLock="1"/>
      </w:r>
      <w:r>
        <w:instrText xml:space="preserve"> PAGEREF _Toc161999087 \h </w:instrText>
      </w:r>
      <w:r>
        <w:fldChar w:fldCharType="separate"/>
      </w:r>
      <w:r>
        <w:t>13</w:t>
      </w:r>
      <w:r>
        <w:fldChar w:fldCharType="end"/>
      </w:r>
    </w:p>
    <w:p w14:paraId="7FEF9755" w14:textId="787A8D42" w:rsidR="00745523" w:rsidRDefault="00745523">
      <w:pPr>
        <w:pStyle w:val="TOC2"/>
        <w:rPr>
          <w:rFonts w:asciiTheme="minorHAnsi" w:eastAsiaTheme="minorEastAsia" w:hAnsiTheme="minorHAnsi" w:cstheme="minorBidi"/>
          <w:kern w:val="2"/>
          <w:sz w:val="22"/>
          <w:szCs w:val="22"/>
          <w:lang w:eastAsia="en-GB"/>
          <w14:ligatures w14:val="standardContextual"/>
        </w:rPr>
      </w:pPr>
      <w:r>
        <w:t>4.3</w:t>
      </w:r>
      <w:r>
        <w:rPr>
          <w:rFonts w:asciiTheme="minorHAnsi" w:eastAsiaTheme="minorEastAsia" w:hAnsiTheme="minorHAnsi" w:cstheme="minorBidi"/>
          <w:kern w:val="2"/>
          <w:sz w:val="22"/>
          <w:szCs w:val="22"/>
          <w:lang w:eastAsia="en-GB"/>
          <w14:ligatures w14:val="standardContextual"/>
        </w:rPr>
        <w:tab/>
      </w:r>
      <w:r>
        <w:t>Timing for secondary cell activation / deactivation</w:t>
      </w:r>
      <w:r>
        <w:tab/>
      </w:r>
      <w:r>
        <w:fldChar w:fldCharType="begin" w:fldLock="1"/>
      </w:r>
      <w:r>
        <w:instrText xml:space="preserve"> PAGEREF _Toc161999088 \h </w:instrText>
      </w:r>
      <w:r>
        <w:fldChar w:fldCharType="separate"/>
      </w:r>
      <w:r>
        <w:t>15</w:t>
      </w:r>
      <w:r>
        <w:fldChar w:fldCharType="end"/>
      </w:r>
    </w:p>
    <w:p w14:paraId="258D8307" w14:textId="522E9412" w:rsidR="00745523" w:rsidRDefault="00745523">
      <w:pPr>
        <w:pStyle w:val="TOC1"/>
        <w:rPr>
          <w:rFonts w:asciiTheme="minorHAnsi" w:eastAsiaTheme="minorEastAsia" w:hAnsiTheme="minorHAnsi" w:cstheme="minorBidi"/>
          <w:kern w:val="2"/>
          <w:szCs w:val="22"/>
          <w:lang w:eastAsia="en-GB"/>
          <w14:ligatures w14:val="standardContextual"/>
        </w:rPr>
      </w:pPr>
      <w:r>
        <w:t>5</w:t>
      </w:r>
      <w:r>
        <w:rPr>
          <w:rFonts w:asciiTheme="minorHAnsi" w:eastAsiaTheme="minorEastAsia" w:hAnsiTheme="minorHAnsi" w:cstheme="minorBidi"/>
          <w:kern w:val="2"/>
          <w:szCs w:val="22"/>
          <w:lang w:eastAsia="en-GB"/>
          <w14:ligatures w14:val="standardContextual"/>
        </w:rPr>
        <w:tab/>
      </w:r>
      <w:r>
        <w:t>Radio link monitoring</w:t>
      </w:r>
      <w:r>
        <w:tab/>
      </w:r>
      <w:r>
        <w:fldChar w:fldCharType="begin" w:fldLock="1"/>
      </w:r>
      <w:r>
        <w:instrText xml:space="preserve"> PAGEREF _Toc161999089 \h </w:instrText>
      </w:r>
      <w:r>
        <w:fldChar w:fldCharType="separate"/>
      </w:r>
      <w:r>
        <w:t>15</w:t>
      </w:r>
      <w:r>
        <w:fldChar w:fldCharType="end"/>
      </w:r>
    </w:p>
    <w:p w14:paraId="40E873CB" w14:textId="2D7C2A19" w:rsidR="00745523" w:rsidRDefault="00745523">
      <w:pPr>
        <w:pStyle w:val="TOC1"/>
        <w:rPr>
          <w:rFonts w:asciiTheme="minorHAnsi" w:eastAsiaTheme="minorEastAsia" w:hAnsiTheme="minorHAnsi" w:cstheme="minorBidi"/>
          <w:kern w:val="2"/>
          <w:szCs w:val="22"/>
          <w:lang w:eastAsia="en-GB"/>
          <w14:ligatures w14:val="standardContextual"/>
        </w:rPr>
      </w:pPr>
      <w:r w:rsidRPr="009B02F4">
        <w:rPr>
          <w:rFonts w:cs="Arial"/>
        </w:rPr>
        <w:t>6</w:t>
      </w:r>
      <w:r>
        <w:rPr>
          <w:rFonts w:asciiTheme="minorHAnsi" w:eastAsiaTheme="minorEastAsia" w:hAnsiTheme="minorHAnsi" w:cstheme="minorBidi"/>
          <w:kern w:val="2"/>
          <w:szCs w:val="22"/>
          <w:lang w:eastAsia="en-GB"/>
          <w14:ligatures w14:val="standardContextual"/>
        </w:rPr>
        <w:tab/>
      </w:r>
      <w:r w:rsidRPr="009B02F4">
        <w:rPr>
          <w:rFonts w:cs="Arial"/>
        </w:rPr>
        <w:t>Link recovery procedures</w:t>
      </w:r>
      <w:r>
        <w:tab/>
      </w:r>
      <w:r>
        <w:fldChar w:fldCharType="begin" w:fldLock="1"/>
      </w:r>
      <w:r>
        <w:instrText xml:space="preserve"> PAGEREF _Toc161999090 \h </w:instrText>
      </w:r>
      <w:r>
        <w:fldChar w:fldCharType="separate"/>
      </w:r>
      <w:r>
        <w:t>16</w:t>
      </w:r>
      <w:r>
        <w:fldChar w:fldCharType="end"/>
      </w:r>
    </w:p>
    <w:p w14:paraId="30AEFAD4" w14:textId="51F40370" w:rsidR="00745523" w:rsidRDefault="00745523">
      <w:pPr>
        <w:pStyle w:val="TOC1"/>
        <w:rPr>
          <w:rFonts w:asciiTheme="minorHAnsi" w:eastAsiaTheme="minorEastAsia" w:hAnsiTheme="minorHAnsi" w:cstheme="minorBidi"/>
          <w:kern w:val="2"/>
          <w:szCs w:val="22"/>
          <w:lang w:eastAsia="en-GB"/>
          <w14:ligatures w14:val="standardContextual"/>
        </w:rPr>
      </w:pPr>
      <w:r>
        <w:t>7</w:t>
      </w:r>
      <w:r>
        <w:rPr>
          <w:rFonts w:asciiTheme="minorHAnsi" w:eastAsiaTheme="minorEastAsia" w:hAnsiTheme="minorHAnsi" w:cstheme="minorBidi"/>
          <w:kern w:val="2"/>
          <w:szCs w:val="22"/>
          <w:lang w:eastAsia="en-GB"/>
          <w14:ligatures w14:val="standardContextual"/>
        </w:rPr>
        <w:tab/>
      </w:r>
      <w:r>
        <w:t>Uplink Power control</w:t>
      </w:r>
      <w:r>
        <w:tab/>
      </w:r>
      <w:r>
        <w:fldChar w:fldCharType="begin" w:fldLock="1"/>
      </w:r>
      <w:r>
        <w:instrText xml:space="preserve"> PAGEREF _Toc161999091 \h </w:instrText>
      </w:r>
      <w:r>
        <w:fldChar w:fldCharType="separate"/>
      </w:r>
      <w:r>
        <w:t>22</w:t>
      </w:r>
      <w:r>
        <w:fldChar w:fldCharType="end"/>
      </w:r>
    </w:p>
    <w:p w14:paraId="43D966D0" w14:textId="2FAB7A27" w:rsidR="00745523" w:rsidRDefault="00745523">
      <w:pPr>
        <w:pStyle w:val="TOC2"/>
        <w:rPr>
          <w:rFonts w:asciiTheme="minorHAnsi" w:eastAsiaTheme="minorEastAsia" w:hAnsiTheme="minorHAnsi" w:cstheme="minorBidi"/>
          <w:kern w:val="2"/>
          <w:sz w:val="22"/>
          <w:szCs w:val="22"/>
          <w:lang w:eastAsia="en-GB"/>
          <w14:ligatures w14:val="standardContextual"/>
        </w:rPr>
      </w:pPr>
      <w:r>
        <w:t>7.1</w:t>
      </w:r>
      <w:r>
        <w:rPr>
          <w:rFonts w:asciiTheme="minorHAnsi" w:eastAsiaTheme="minorEastAsia" w:hAnsiTheme="minorHAnsi" w:cstheme="minorBidi"/>
          <w:kern w:val="2"/>
          <w:sz w:val="22"/>
          <w:szCs w:val="22"/>
          <w:lang w:eastAsia="en-GB"/>
          <w14:ligatures w14:val="standardContextual"/>
        </w:rPr>
        <w:tab/>
      </w:r>
      <w:r>
        <w:t>Physical uplink shared channel</w:t>
      </w:r>
      <w:r>
        <w:tab/>
      </w:r>
      <w:r>
        <w:fldChar w:fldCharType="begin" w:fldLock="1"/>
      </w:r>
      <w:r>
        <w:instrText xml:space="preserve"> PAGEREF _Toc161999092 \h </w:instrText>
      </w:r>
      <w:r>
        <w:fldChar w:fldCharType="separate"/>
      </w:r>
      <w:r>
        <w:t>23</w:t>
      </w:r>
      <w:r>
        <w:fldChar w:fldCharType="end"/>
      </w:r>
    </w:p>
    <w:p w14:paraId="064A2490" w14:textId="503103CB" w:rsidR="00745523" w:rsidRDefault="00745523">
      <w:pPr>
        <w:pStyle w:val="TOC3"/>
        <w:rPr>
          <w:rFonts w:asciiTheme="minorHAnsi" w:eastAsiaTheme="minorEastAsia" w:hAnsiTheme="minorHAnsi" w:cstheme="minorBidi"/>
          <w:kern w:val="2"/>
          <w:sz w:val="22"/>
          <w:szCs w:val="22"/>
          <w:lang w:eastAsia="en-GB"/>
          <w14:ligatures w14:val="standardContextual"/>
        </w:rPr>
      </w:pPr>
      <w:r>
        <w:t>7.1.1</w:t>
      </w:r>
      <w:r>
        <w:rPr>
          <w:rFonts w:asciiTheme="minorHAnsi" w:eastAsiaTheme="minorEastAsia" w:hAnsiTheme="minorHAnsi" w:cstheme="minorBidi"/>
          <w:kern w:val="2"/>
          <w:sz w:val="22"/>
          <w:szCs w:val="22"/>
          <w:lang w:eastAsia="en-GB"/>
          <w14:ligatures w14:val="standardContextual"/>
        </w:rPr>
        <w:tab/>
      </w:r>
      <w:r>
        <w:t>UE behaviour</w:t>
      </w:r>
      <w:r>
        <w:tab/>
      </w:r>
      <w:r>
        <w:fldChar w:fldCharType="begin" w:fldLock="1"/>
      </w:r>
      <w:r>
        <w:instrText xml:space="preserve"> PAGEREF _Toc161999093 \h </w:instrText>
      </w:r>
      <w:r>
        <w:fldChar w:fldCharType="separate"/>
      </w:r>
      <w:r>
        <w:t>24</w:t>
      </w:r>
      <w:r>
        <w:fldChar w:fldCharType="end"/>
      </w:r>
    </w:p>
    <w:p w14:paraId="65696A79" w14:textId="42C96C64" w:rsidR="00745523" w:rsidRDefault="00745523">
      <w:pPr>
        <w:pStyle w:val="TOC2"/>
        <w:rPr>
          <w:rFonts w:asciiTheme="minorHAnsi" w:eastAsiaTheme="minorEastAsia" w:hAnsiTheme="minorHAnsi" w:cstheme="minorBidi"/>
          <w:kern w:val="2"/>
          <w:sz w:val="22"/>
          <w:szCs w:val="22"/>
          <w:lang w:eastAsia="en-GB"/>
          <w14:ligatures w14:val="standardContextual"/>
        </w:rPr>
      </w:pPr>
      <w:r>
        <w:t>7.2</w:t>
      </w:r>
      <w:r>
        <w:rPr>
          <w:rFonts w:asciiTheme="minorHAnsi" w:eastAsiaTheme="minorEastAsia" w:hAnsiTheme="minorHAnsi" w:cstheme="minorBidi"/>
          <w:kern w:val="2"/>
          <w:sz w:val="22"/>
          <w:szCs w:val="22"/>
          <w:lang w:eastAsia="en-GB"/>
          <w14:ligatures w14:val="standardContextual"/>
        </w:rPr>
        <w:tab/>
      </w:r>
      <w:r>
        <w:t>Physical uplink control channel</w:t>
      </w:r>
      <w:r>
        <w:tab/>
      </w:r>
      <w:r>
        <w:fldChar w:fldCharType="begin" w:fldLock="1"/>
      </w:r>
      <w:r>
        <w:instrText xml:space="preserve"> PAGEREF _Toc161999094 \h </w:instrText>
      </w:r>
      <w:r>
        <w:fldChar w:fldCharType="separate"/>
      </w:r>
      <w:r>
        <w:t>37</w:t>
      </w:r>
      <w:r>
        <w:fldChar w:fldCharType="end"/>
      </w:r>
    </w:p>
    <w:p w14:paraId="18268CB6" w14:textId="2A2D3159" w:rsidR="00745523" w:rsidRDefault="00745523">
      <w:pPr>
        <w:pStyle w:val="TOC3"/>
        <w:rPr>
          <w:rFonts w:asciiTheme="minorHAnsi" w:eastAsiaTheme="minorEastAsia" w:hAnsiTheme="minorHAnsi" w:cstheme="minorBidi"/>
          <w:kern w:val="2"/>
          <w:sz w:val="22"/>
          <w:szCs w:val="22"/>
          <w:lang w:eastAsia="en-GB"/>
          <w14:ligatures w14:val="standardContextual"/>
        </w:rPr>
      </w:pPr>
      <w:r>
        <w:t>7.2.1</w:t>
      </w:r>
      <w:r>
        <w:rPr>
          <w:rFonts w:asciiTheme="minorHAnsi" w:eastAsiaTheme="minorEastAsia" w:hAnsiTheme="minorHAnsi" w:cstheme="minorBidi"/>
          <w:kern w:val="2"/>
          <w:sz w:val="22"/>
          <w:szCs w:val="22"/>
          <w:lang w:eastAsia="en-GB"/>
          <w14:ligatures w14:val="standardContextual"/>
        </w:rPr>
        <w:tab/>
      </w:r>
      <w:r>
        <w:t>UE behaviour</w:t>
      </w:r>
      <w:r>
        <w:tab/>
      </w:r>
      <w:r>
        <w:fldChar w:fldCharType="begin" w:fldLock="1"/>
      </w:r>
      <w:r>
        <w:instrText xml:space="preserve"> PAGEREF _Toc161999095 \h </w:instrText>
      </w:r>
      <w:r>
        <w:fldChar w:fldCharType="separate"/>
      </w:r>
      <w:r>
        <w:t>37</w:t>
      </w:r>
      <w:r>
        <w:fldChar w:fldCharType="end"/>
      </w:r>
    </w:p>
    <w:p w14:paraId="19F0D30C" w14:textId="50934BDF" w:rsidR="00745523" w:rsidRDefault="00745523">
      <w:pPr>
        <w:pStyle w:val="TOC2"/>
        <w:rPr>
          <w:rFonts w:asciiTheme="minorHAnsi" w:eastAsiaTheme="minorEastAsia" w:hAnsiTheme="minorHAnsi" w:cstheme="minorBidi"/>
          <w:kern w:val="2"/>
          <w:sz w:val="22"/>
          <w:szCs w:val="22"/>
          <w:lang w:eastAsia="en-GB"/>
          <w14:ligatures w14:val="standardContextual"/>
        </w:rPr>
      </w:pPr>
      <w:r>
        <w:t>7.3</w:t>
      </w:r>
      <w:r>
        <w:rPr>
          <w:rFonts w:asciiTheme="minorHAnsi" w:eastAsiaTheme="minorEastAsia" w:hAnsiTheme="minorHAnsi" w:cstheme="minorBidi"/>
          <w:kern w:val="2"/>
          <w:sz w:val="22"/>
          <w:szCs w:val="22"/>
          <w:lang w:eastAsia="en-GB"/>
          <w14:ligatures w14:val="standardContextual"/>
        </w:rPr>
        <w:tab/>
      </w:r>
      <w:r>
        <w:t>Sounding reference signals</w:t>
      </w:r>
      <w:r>
        <w:tab/>
      </w:r>
      <w:r>
        <w:fldChar w:fldCharType="begin" w:fldLock="1"/>
      </w:r>
      <w:r>
        <w:instrText xml:space="preserve"> PAGEREF _Toc161999096 \h </w:instrText>
      </w:r>
      <w:r>
        <w:fldChar w:fldCharType="separate"/>
      </w:r>
      <w:r>
        <w:t>43</w:t>
      </w:r>
      <w:r>
        <w:fldChar w:fldCharType="end"/>
      </w:r>
    </w:p>
    <w:p w14:paraId="46DD3E4A" w14:textId="27BF3958" w:rsidR="00745523" w:rsidRDefault="00745523">
      <w:pPr>
        <w:pStyle w:val="TOC3"/>
        <w:rPr>
          <w:rFonts w:asciiTheme="minorHAnsi" w:eastAsiaTheme="minorEastAsia" w:hAnsiTheme="minorHAnsi" w:cstheme="minorBidi"/>
          <w:kern w:val="2"/>
          <w:sz w:val="22"/>
          <w:szCs w:val="22"/>
          <w:lang w:eastAsia="en-GB"/>
          <w14:ligatures w14:val="standardContextual"/>
        </w:rPr>
      </w:pPr>
      <w:r>
        <w:t>7.3.1</w:t>
      </w:r>
      <w:r>
        <w:rPr>
          <w:rFonts w:asciiTheme="minorHAnsi" w:eastAsiaTheme="minorEastAsia" w:hAnsiTheme="minorHAnsi" w:cstheme="minorBidi"/>
          <w:kern w:val="2"/>
          <w:sz w:val="22"/>
          <w:szCs w:val="22"/>
          <w:lang w:eastAsia="en-GB"/>
          <w14:ligatures w14:val="standardContextual"/>
        </w:rPr>
        <w:tab/>
      </w:r>
      <w:r>
        <w:t>UE behaviour</w:t>
      </w:r>
      <w:r>
        <w:tab/>
      </w:r>
      <w:r>
        <w:fldChar w:fldCharType="begin" w:fldLock="1"/>
      </w:r>
      <w:r>
        <w:instrText xml:space="preserve"> PAGEREF _Toc161999097 \h </w:instrText>
      </w:r>
      <w:r>
        <w:fldChar w:fldCharType="separate"/>
      </w:r>
      <w:r>
        <w:t>43</w:t>
      </w:r>
      <w:r>
        <w:fldChar w:fldCharType="end"/>
      </w:r>
    </w:p>
    <w:p w14:paraId="30AB68F0" w14:textId="201F88FE" w:rsidR="00745523" w:rsidRDefault="00745523">
      <w:pPr>
        <w:pStyle w:val="TOC2"/>
        <w:rPr>
          <w:rFonts w:asciiTheme="minorHAnsi" w:eastAsiaTheme="minorEastAsia" w:hAnsiTheme="minorHAnsi" w:cstheme="minorBidi"/>
          <w:kern w:val="2"/>
          <w:sz w:val="22"/>
          <w:szCs w:val="22"/>
          <w:lang w:eastAsia="en-GB"/>
          <w14:ligatures w14:val="standardContextual"/>
        </w:rPr>
      </w:pPr>
      <w:r>
        <w:t>7.4</w:t>
      </w:r>
      <w:r>
        <w:rPr>
          <w:rFonts w:asciiTheme="minorHAnsi" w:eastAsiaTheme="minorEastAsia" w:hAnsiTheme="minorHAnsi" w:cstheme="minorBidi"/>
          <w:kern w:val="2"/>
          <w:sz w:val="22"/>
          <w:szCs w:val="22"/>
          <w:lang w:eastAsia="en-GB"/>
          <w14:ligatures w14:val="standardContextual"/>
        </w:rPr>
        <w:tab/>
      </w:r>
      <w:r>
        <w:t>Physical random access channel</w:t>
      </w:r>
      <w:r>
        <w:tab/>
      </w:r>
      <w:r>
        <w:fldChar w:fldCharType="begin" w:fldLock="1"/>
      </w:r>
      <w:r>
        <w:instrText xml:space="preserve"> PAGEREF _Toc161999098 \h </w:instrText>
      </w:r>
      <w:r>
        <w:fldChar w:fldCharType="separate"/>
      </w:r>
      <w:r>
        <w:t>46</w:t>
      </w:r>
      <w:r>
        <w:fldChar w:fldCharType="end"/>
      </w:r>
    </w:p>
    <w:p w14:paraId="3AE580AD" w14:textId="0F593380" w:rsidR="00745523" w:rsidRDefault="00745523">
      <w:pPr>
        <w:pStyle w:val="TOC2"/>
        <w:rPr>
          <w:rFonts w:asciiTheme="minorHAnsi" w:eastAsiaTheme="minorEastAsia" w:hAnsiTheme="minorHAnsi" w:cstheme="minorBidi"/>
          <w:kern w:val="2"/>
          <w:sz w:val="22"/>
          <w:szCs w:val="22"/>
          <w:lang w:eastAsia="en-GB"/>
          <w14:ligatures w14:val="standardContextual"/>
        </w:rPr>
      </w:pPr>
      <w:r>
        <w:t>7.5</w:t>
      </w:r>
      <w:r>
        <w:rPr>
          <w:rFonts w:asciiTheme="minorHAnsi" w:eastAsiaTheme="minorEastAsia" w:hAnsiTheme="minorHAnsi" w:cstheme="minorBidi"/>
          <w:kern w:val="2"/>
          <w:sz w:val="22"/>
          <w:szCs w:val="22"/>
          <w:lang w:eastAsia="en-GB"/>
          <w14:ligatures w14:val="standardContextual"/>
        </w:rPr>
        <w:tab/>
      </w:r>
      <w:r>
        <w:t>Prioritizations for transmission power reductions</w:t>
      </w:r>
      <w:r>
        <w:tab/>
      </w:r>
      <w:r>
        <w:fldChar w:fldCharType="begin" w:fldLock="1"/>
      </w:r>
      <w:r>
        <w:instrText xml:space="preserve"> PAGEREF _Toc161999099 \h </w:instrText>
      </w:r>
      <w:r>
        <w:fldChar w:fldCharType="separate"/>
      </w:r>
      <w:r>
        <w:t>48</w:t>
      </w:r>
      <w:r>
        <w:fldChar w:fldCharType="end"/>
      </w:r>
    </w:p>
    <w:p w14:paraId="11863D40" w14:textId="17280FD2" w:rsidR="00745523" w:rsidRDefault="00745523">
      <w:pPr>
        <w:pStyle w:val="TOC2"/>
        <w:rPr>
          <w:rFonts w:asciiTheme="minorHAnsi" w:eastAsiaTheme="minorEastAsia" w:hAnsiTheme="minorHAnsi" w:cstheme="minorBidi"/>
          <w:kern w:val="2"/>
          <w:sz w:val="22"/>
          <w:szCs w:val="22"/>
          <w:lang w:eastAsia="en-GB"/>
          <w14:ligatures w14:val="standardContextual"/>
        </w:rPr>
      </w:pPr>
      <w:r>
        <w:t>7.6</w:t>
      </w:r>
      <w:r>
        <w:rPr>
          <w:rFonts w:asciiTheme="minorHAnsi" w:eastAsiaTheme="minorEastAsia" w:hAnsiTheme="minorHAnsi" w:cstheme="minorBidi"/>
          <w:kern w:val="2"/>
          <w:sz w:val="22"/>
          <w:szCs w:val="22"/>
          <w:lang w:eastAsia="en-GB"/>
          <w14:ligatures w14:val="standardContextual"/>
        </w:rPr>
        <w:tab/>
      </w:r>
      <w:r>
        <w:t>Dual connectivity</w:t>
      </w:r>
      <w:r>
        <w:tab/>
      </w:r>
      <w:r>
        <w:fldChar w:fldCharType="begin" w:fldLock="1"/>
      </w:r>
      <w:r>
        <w:instrText xml:space="preserve"> PAGEREF _Toc161999100 \h </w:instrText>
      </w:r>
      <w:r>
        <w:fldChar w:fldCharType="separate"/>
      </w:r>
      <w:r>
        <w:t>49</w:t>
      </w:r>
      <w:r>
        <w:fldChar w:fldCharType="end"/>
      </w:r>
    </w:p>
    <w:p w14:paraId="65E86FE7" w14:textId="3B802B16" w:rsidR="00745523" w:rsidRDefault="00745523">
      <w:pPr>
        <w:pStyle w:val="TOC3"/>
        <w:rPr>
          <w:rFonts w:asciiTheme="minorHAnsi" w:eastAsiaTheme="minorEastAsia" w:hAnsiTheme="minorHAnsi" w:cstheme="minorBidi"/>
          <w:kern w:val="2"/>
          <w:sz w:val="22"/>
          <w:szCs w:val="22"/>
          <w:lang w:eastAsia="en-GB"/>
          <w14:ligatures w14:val="standardContextual"/>
        </w:rPr>
      </w:pPr>
      <w:r>
        <w:t>7.6.1</w:t>
      </w:r>
      <w:r>
        <w:rPr>
          <w:rFonts w:asciiTheme="minorHAnsi" w:eastAsiaTheme="minorEastAsia" w:hAnsiTheme="minorHAnsi" w:cstheme="minorBidi"/>
          <w:kern w:val="2"/>
          <w:sz w:val="22"/>
          <w:szCs w:val="22"/>
          <w:lang w:eastAsia="en-GB"/>
          <w14:ligatures w14:val="standardContextual"/>
        </w:rPr>
        <w:tab/>
      </w:r>
      <w:r>
        <w:t>EN-DC</w:t>
      </w:r>
      <w:r>
        <w:tab/>
      </w:r>
      <w:r>
        <w:fldChar w:fldCharType="begin" w:fldLock="1"/>
      </w:r>
      <w:r>
        <w:instrText xml:space="preserve"> PAGEREF _Toc161999101 \h </w:instrText>
      </w:r>
      <w:r>
        <w:fldChar w:fldCharType="separate"/>
      </w:r>
      <w:r>
        <w:t>49</w:t>
      </w:r>
      <w:r>
        <w:fldChar w:fldCharType="end"/>
      </w:r>
    </w:p>
    <w:p w14:paraId="2119DED7" w14:textId="7EE810F4" w:rsidR="00745523" w:rsidRDefault="00745523">
      <w:pPr>
        <w:pStyle w:val="TOC3"/>
        <w:rPr>
          <w:rFonts w:asciiTheme="minorHAnsi" w:eastAsiaTheme="minorEastAsia" w:hAnsiTheme="minorHAnsi" w:cstheme="minorBidi"/>
          <w:kern w:val="2"/>
          <w:sz w:val="22"/>
          <w:szCs w:val="22"/>
          <w:lang w:eastAsia="en-GB"/>
          <w14:ligatures w14:val="standardContextual"/>
        </w:rPr>
      </w:pPr>
      <w:r>
        <w:t>7.6.1A</w:t>
      </w:r>
      <w:r>
        <w:rPr>
          <w:rFonts w:asciiTheme="minorHAnsi" w:eastAsiaTheme="minorEastAsia" w:hAnsiTheme="minorHAnsi" w:cstheme="minorBidi"/>
          <w:kern w:val="2"/>
          <w:sz w:val="22"/>
          <w:szCs w:val="22"/>
          <w:lang w:eastAsia="en-GB"/>
          <w14:ligatures w14:val="standardContextual"/>
        </w:rPr>
        <w:tab/>
      </w:r>
      <w:r>
        <w:t>NE-DC</w:t>
      </w:r>
      <w:r>
        <w:tab/>
      </w:r>
      <w:r>
        <w:fldChar w:fldCharType="begin" w:fldLock="1"/>
      </w:r>
      <w:r>
        <w:instrText xml:space="preserve"> PAGEREF _Toc161999102 \h </w:instrText>
      </w:r>
      <w:r>
        <w:fldChar w:fldCharType="separate"/>
      </w:r>
      <w:r>
        <w:t>49</w:t>
      </w:r>
      <w:r>
        <w:fldChar w:fldCharType="end"/>
      </w:r>
    </w:p>
    <w:p w14:paraId="7886A37C" w14:textId="1B854862" w:rsidR="00745523" w:rsidRDefault="00745523">
      <w:pPr>
        <w:pStyle w:val="TOC3"/>
        <w:rPr>
          <w:rFonts w:asciiTheme="minorHAnsi" w:eastAsiaTheme="minorEastAsia" w:hAnsiTheme="minorHAnsi" w:cstheme="minorBidi"/>
          <w:kern w:val="2"/>
          <w:sz w:val="22"/>
          <w:szCs w:val="22"/>
          <w:lang w:eastAsia="en-GB"/>
          <w14:ligatures w14:val="standardContextual"/>
        </w:rPr>
      </w:pPr>
      <w:r>
        <w:t>7.6.2</w:t>
      </w:r>
      <w:r>
        <w:rPr>
          <w:rFonts w:asciiTheme="minorHAnsi" w:eastAsiaTheme="minorEastAsia" w:hAnsiTheme="minorHAnsi" w:cstheme="minorBidi"/>
          <w:kern w:val="2"/>
          <w:sz w:val="22"/>
          <w:szCs w:val="22"/>
          <w:lang w:eastAsia="en-GB"/>
          <w14:ligatures w14:val="standardContextual"/>
        </w:rPr>
        <w:tab/>
      </w:r>
      <w:r>
        <w:t>NR-DC</w:t>
      </w:r>
      <w:r>
        <w:tab/>
      </w:r>
      <w:r>
        <w:fldChar w:fldCharType="begin" w:fldLock="1"/>
      </w:r>
      <w:r>
        <w:instrText xml:space="preserve"> PAGEREF _Toc161999103 \h </w:instrText>
      </w:r>
      <w:r>
        <w:fldChar w:fldCharType="separate"/>
      </w:r>
      <w:r>
        <w:t>50</w:t>
      </w:r>
      <w:r>
        <w:fldChar w:fldCharType="end"/>
      </w:r>
    </w:p>
    <w:p w14:paraId="603AD3E4" w14:textId="7054116F" w:rsidR="00745523" w:rsidRDefault="00745523">
      <w:pPr>
        <w:pStyle w:val="TOC2"/>
        <w:rPr>
          <w:rFonts w:asciiTheme="minorHAnsi" w:eastAsiaTheme="minorEastAsia" w:hAnsiTheme="minorHAnsi" w:cstheme="minorBidi"/>
          <w:kern w:val="2"/>
          <w:sz w:val="22"/>
          <w:szCs w:val="22"/>
          <w:lang w:eastAsia="en-GB"/>
          <w14:ligatures w14:val="standardContextual"/>
        </w:rPr>
      </w:pPr>
      <w:r>
        <w:t>7.7</w:t>
      </w:r>
      <w:r>
        <w:rPr>
          <w:rFonts w:asciiTheme="minorHAnsi" w:eastAsiaTheme="minorEastAsia" w:hAnsiTheme="minorHAnsi" w:cstheme="minorBidi"/>
          <w:kern w:val="2"/>
          <w:sz w:val="22"/>
          <w:szCs w:val="22"/>
          <w:lang w:eastAsia="en-GB"/>
          <w14:ligatures w14:val="standardContextual"/>
        </w:rPr>
        <w:tab/>
      </w:r>
      <w:r>
        <w:t>Power headroom report</w:t>
      </w:r>
      <w:r>
        <w:tab/>
      </w:r>
      <w:r>
        <w:fldChar w:fldCharType="begin" w:fldLock="1"/>
      </w:r>
      <w:r>
        <w:instrText xml:space="preserve"> PAGEREF _Toc161999104 \h </w:instrText>
      </w:r>
      <w:r>
        <w:fldChar w:fldCharType="separate"/>
      </w:r>
      <w:r>
        <w:t>52</w:t>
      </w:r>
      <w:r>
        <w:fldChar w:fldCharType="end"/>
      </w:r>
    </w:p>
    <w:p w14:paraId="4BDFB7CE" w14:textId="392D70C8" w:rsidR="00745523" w:rsidRDefault="00745523">
      <w:pPr>
        <w:pStyle w:val="TOC3"/>
        <w:rPr>
          <w:rFonts w:asciiTheme="minorHAnsi" w:eastAsiaTheme="minorEastAsia" w:hAnsiTheme="minorHAnsi" w:cstheme="minorBidi"/>
          <w:kern w:val="2"/>
          <w:sz w:val="22"/>
          <w:szCs w:val="22"/>
          <w:lang w:eastAsia="en-GB"/>
          <w14:ligatures w14:val="standardContextual"/>
        </w:rPr>
      </w:pPr>
      <w:r>
        <w:t>7.7.1</w:t>
      </w:r>
      <w:r>
        <w:rPr>
          <w:rFonts w:asciiTheme="minorHAnsi" w:eastAsiaTheme="minorEastAsia" w:hAnsiTheme="minorHAnsi" w:cstheme="minorBidi"/>
          <w:kern w:val="2"/>
          <w:sz w:val="22"/>
          <w:szCs w:val="22"/>
          <w:lang w:eastAsia="en-GB"/>
          <w14:ligatures w14:val="standardContextual"/>
        </w:rPr>
        <w:tab/>
      </w:r>
      <w:r>
        <w:t>Type 1 PH report</w:t>
      </w:r>
      <w:r>
        <w:tab/>
      </w:r>
      <w:r>
        <w:fldChar w:fldCharType="begin" w:fldLock="1"/>
      </w:r>
      <w:r>
        <w:instrText xml:space="preserve"> PAGEREF _Toc161999105 \h </w:instrText>
      </w:r>
      <w:r>
        <w:fldChar w:fldCharType="separate"/>
      </w:r>
      <w:r>
        <w:t>53</w:t>
      </w:r>
      <w:r>
        <w:fldChar w:fldCharType="end"/>
      </w:r>
    </w:p>
    <w:p w14:paraId="609B3BD7" w14:textId="5509996C" w:rsidR="00745523" w:rsidRDefault="00745523">
      <w:pPr>
        <w:pStyle w:val="TOC3"/>
        <w:rPr>
          <w:rFonts w:asciiTheme="minorHAnsi" w:eastAsiaTheme="minorEastAsia" w:hAnsiTheme="minorHAnsi" w:cstheme="minorBidi"/>
          <w:kern w:val="2"/>
          <w:sz w:val="22"/>
          <w:szCs w:val="22"/>
          <w:lang w:eastAsia="en-GB"/>
          <w14:ligatures w14:val="standardContextual"/>
        </w:rPr>
      </w:pPr>
      <w:r>
        <w:t>7.7.2</w:t>
      </w:r>
      <w:r>
        <w:rPr>
          <w:rFonts w:asciiTheme="minorHAnsi" w:eastAsiaTheme="minorEastAsia" w:hAnsiTheme="minorHAnsi" w:cstheme="minorBidi"/>
          <w:kern w:val="2"/>
          <w:sz w:val="22"/>
          <w:szCs w:val="22"/>
          <w:lang w:eastAsia="en-GB"/>
          <w14:ligatures w14:val="standardContextual"/>
        </w:rPr>
        <w:tab/>
      </w:r>
      <w:r>
        <w:t>Type 2 PH report</w:t>
      </w:r>
      <w:r>
        <w:tab/>
      </w:r>
      <w:r>
        <w:fldChar w:fldCharType="begin" w:fldLock="1"/>
      </w:r>
      <w:r>
        <w:instrText xml:space="preserve"> PAGEREF _Toc161999106 \h </w:instrText>
      </w:r>
      <w:r>
        <w:fldChar w:fldCharType="separate"/>
      </w:r>
      <w:r>
        <w:t>56</w:t>
      </w:r>
      <w:r>
        <w:fldChar w:fldCharType="end"/>
      </w:r>
    </w:p>
    <w:p w14:paraId="3E53976C" w14:textId="51430F0D" w:rsidR="00745523" w:rsidRDefault="00745523">
      <w:pPr>
        <w:pStyle w:val="TOC3"/>
        <w:rPr>
          <w:rFonts w:asciiTheme="minorHAnsi" w:eastAsiaTheme="minorEastAsia" w:hAnsiTheme="minorHAnsi" w:cstheme="minorBidi"/>
          <w:kern w:val="2"/>
          <w:sz w:val="22"/>
          <w:szCs w:val="22"/>
          <w:lang w:eastAsia="en-GB"/>
          <w14:ligatures w14:val="standardContextual"/>
        </w:rPr>
      </w:pPr>
      <w:r>
        <w:t>7.7.3</w:t>
      </w:r>
      <w:r>
        <w:rPr>
          <w:rFonts w:asciiTheme="minorHAnsi" w:eastAsiaTheme="minorEastAsia" w:hAnsiTheme="minorHAnsi" w:cstheme="minorBidi"/>
          <w:kern w:val="2"/>
          <w:sz w:val="22"/>
          <w:szCs w:val="22"/>
          <w:lang w:eastAsia="en-GB"/>
          <w14:ligatures w14:val="standardContextual"/>
        </w:rPr>
        <w:tab/>
      </w:r>
      <w:r>
        <w:t>Type 3 PH report</w:t>
      </w:r>
      <w:r>
        <w:tab/>
      </w:r>
      <w:r>
        <w:fldChar w:fldCharType="begin" w:fldLock="1"/>
      </w:r>
      <w:r>
        <w:instrText xml:space="preserve"> PAGEREF _Toc161999107 \h </w:instrText>
      </w:r>
      <w:r>
        <w:fldChar w:fldCharType="separate"/>
      </w:r>
      <w:r>
        <w:t>56</w:t>
      </w:r>
      <w:r>
        <w:fldChar w:fldCharType="end"/>
      </w:r>
    </w:p>
    <w:p w14:paraId="27E4EECA" w14:textId="2E9B9E93" w:rsidR="00745523" w:rsidRDefault="00745523">
      <w:pPr>
        <w:pStyle w:val="TOC1"/>
        <w:rPr>
          <w:rFonts w:asciiTheme="minorHAnsi" w:eastAsiaTheme="minorEastAsia" w:hAnsiTheme="minorHAnsi" w:cstheme="minorBidi"/>
          <w:kern w:val="2"/>
          <w:szCs w:val="22"/>
          <w:lang w:eastAsia="en-GB"/>
          <w14:ligatures w14:val="standardContextual"/>
        </w:rPr>
      </w:pPr>
      <w:r>
        <w:t>8</w:t>
      </w:r>
      <w:r>
        <w:rPr>
          <w:rFonts w:asciiTheme="minorHAnsi" w:eastAsiaTheme="minorEastAsia" w:hAnsiTheme="minorHAnsi" w:cstheme="minorBidi"/>
          <w:kern w:val="2"/>
          <w:szCs w:val="22"/>
          <w:lang w:eastAsia="en-GB"/>
          <w14:ligatures w14:val="standardContextual"/>
        </w:rPr>
        <w:tab/>
      </w:r>
      <w:r>
        <w:t>Random access procedure</w:t>
      </w:r>
      <w:r>
        <w:tab/>
      </w:r>
      <w:r>
        <w:fldChar w:fldCharType="begin" w:fldLock="1"/>
      </w:r>
      <w:r>
        <w:instrText xml:space="preserve"> PAGEREF _Toc161999108 \h </w:instrText>
      </w:r>
      <w:r>
        <w:fldChar w:fldCharType="separate"/>
      </w:r>
      <w:r>
        <w:t>57</w:t>
      </w:r>
      <w:r>
        <w:fldChar w:fldCharType="end"/>
      </w:r>
    </w:p>
    <w:p w14:paraId="14A98C15" w14:textId="27C62DB3" w:rsidR="00745523" w:rsidRDefault="00745523">
      <w:pPr>
        <w:pStyle w:val="TOC2"/>
        <w:rPr>
          <w:rFonts w:asciiTheme="minorHAnsi" w:eastAsiaTheme="minorEastAsia" w:hAnsiTheme="minorHAnsi" w:cstheme="minorBidi"/>
          <w:kern w:val="2"/>
          <w:sz w:val="22"/>
          <w:szCs w:val="22"/>
          <w:lang w:eastAsia="en-GB"/>
          <w14:ligatures w14:val="standardContextual"/>
        </w:rPr>
      </w:pPr>
      <w:r>
        <w:t>8.1</w:t>
      </w:r>
      <w:r>
        <w:rPr>
          <w:rFonts w:asciiTheme="minorHAnsi" w:eastAsiaTheme="minorEastAsia" w:hAnsiTheme="minorHAnsi" w:cstheme="minorBidi"/>
          <w:kern w:val="2"/>
          <w:sz w:val="22"/>
          <w:szCs w:val="22"/>
          <w:lang w:eastAsia="en-GB"/>
          <w14:ligatures w14:val="standardContextual"/>
        </w:rPr>
        <w:tab/>
      </w:r>
      <w:r>
        <w:t>Random access preamble</w:t>
      </w:r>
      <w:r>
        <w:tab/>
      </w:r>
      <w:r>
        <w:fldChar w:fldCharType="begin" w:fldLock="1"/>
      </w:r>
      <w:r>
        <w:instrText xml:space="preserve"> PAGEREF _Toc161999109 \h </w:instrText>
      </w:r>
      <w:r>
        <w:fldChar w:fldCharType="separate"/>
      </w:r>
      <w:r>
        <w:t>57</w:t>
      </w:r>
      <w:r>
        <w:fldChar w:fldCharType="end"/>
      </w:r>
    </w:p>
    <w:p w14:paraId="476FCD28" w14:textId="330B4AF0" w:rsidR="00745523" w:rsidRDefault="00745523">
      <w:pPr>
        <w:pStyle w:val="TOC2"/>
        <w:rPr>
          <w:rFonts w:asciiTheme="minorHAnsi" w:eastAsiaTheme="minorEastAsia" w:hAnsiTheme="minorHAnsi" w:cstheme="minorBidi"/>
          <w:kern w:val="2"/>
          <w:sz w:val="22"/>
          <w:szCs w:val="22"/>
          <w:lang w:eastAsia="en-GB"/>
          <w14:ligatures w14:val="standardContextual"/>
        </w:rPr>
      </w:pPr>
      <w:r>
        <w:t>8.1A</w:t>
      </w:r>
      <w:r>
        <w:rPr>
          <w:rFonts w:asciiTheme="minorHAnsi" w:eastAsiaTheme="minorEastAsia" w:hAnsiTheme="minorHAnsi" w:cstheme="minorBidi"/>
          <w:kern w:val="2"/>
          <w:sz w:val="22"/>
          <w:szCs w:val="22"/>
          <w:lang w:eastAsia="en-GB"/>
          <w14:ligatures w14:val="standardContextual"/>
        </w:rPr>
        <w:tab/>
      </w:r>
      <w:r>
        <w:t>PUSCH for Type-2 random access procedure</w:t>
      </w:r>
      <w:r>
        <w:tab/>
      </w:r>
      <w:r>
        <w:fldChar w:fldCharType="begin" w:fldLock="1"/>
      </w:r>
      <w:r>
        <w:instrText xml:space="preserve"> PAGEREF _Toc161999110 \h </w:instrText>
      </w:r>
      <w:r>
        <w:fldChar w:fldCharType="separate"/>
      </w:r>
      <w:r>
        <w:t>61</w:t>
      </w:r>
      <w:r>
        <w:fldChar w:fldCharType="end"/>
      </w:r>
    </w:p>
    <w:p w14:paraId="271E54F8" w14:textId="5ABCD3FF" w:rsidR="00745523" w:rsidRDefault="00745523">
      <w:pPr>
        <w:pStyle w:val="TOC2"/>
        <w:rPr>
          <w:rFonts w:asciiTheme="minorHAnsi" w:eastAsiaTheme="minorEastAsia" w:hAnsiTheme="minorHAnsi" w:cstheme="minorBidi"/>
          <w:kern w:val="2"/>
          <w:sz w:val="22"/>
          <w:szCs w:val="22"/>
          <w:lang w:eastAsia="en-GB"/>
          <w14:ligatures w14:val="standardContextual"/>
        </w:rPr>
      </w:pPr>
      <w:r>
        <w:t>8.2</w:t>
      </w:r>
      <w:r>
        <w:rPr>
          <w:rFonts w:asciiTheme="minorHAnsi" w:eastAsiaTheme="minorEastAsia" w:hAnsiTheme="minorHAnsi" w:cstheme="minorBidi"/>
          <w:kern w:val="2"/>
          <w:sz w:val="22"/>
          <w:szCs w:val="22"/>
          <w:lang w:eastAsia="en-GB"/>
          <w14:ligatures w14:val="standardContextual"/>
        </w:rPr>
        <w:tab/>
      </w:r>
      <w:r>
        <w:t>Random access response - Type-1 random access procedure</w:t>
      </w:r>
      <w:r>
        <w:tab/>
      </w:r>
      <w:r>
        <w:fldChar w:fldCharType="begin" w:fldLock="1"/>
      </w:r>
      <w:r>
        <w:instrText xml:space="preserve"> PAGEREF _Toc161999111 \h </w:instrText>
      </w:r>
      <w:r>
        <w:fldChar w:fldCharType="separate"/>
      </w:r>
      <w:r>
        <w:t>63</w:t>
      </w:r>
      <w:r>
        <w:fldChar w:fldCharType="end"/>
      </w:r>
    </w:p>
    <w:p w14:paraId="51AE74FA" w14:textId="27054ABF" w:rsidR="00745523" w:rsidRDefault="00745523">
      <w:pPr>
        <w:pStyle w:val="TOC2"/>
        <w:rPr>
          <w:rFonts w:asciiTheme="minorHAnsi" w:eastAsiaTheme="minorEastAsia" w:hAnsiTheme="minorHAnsi" w:cstheme="minorBidi"/>
          <w:kern w:val="2"/>
          <w:sz w:val="22"/>
          <w:szCs w:val="22"/>
          <w:lang w:eastAsia="en-GB"/>
          <w14:ligatures w14:val="standardContextual"/>
        </w:rPr>
      </w:pPr>
      <w:r>
        <w:t>8.2A</w:t>
      </w:r>
      <w:r>
        <w:rPr>
          <w:rFonts w:asciiTheme="minorHAnsi" w:eastAsiaTheme="minorEastAsia" w:hAnsiTheme="minorHAnsi" w:cstheme="minorBidi"/>
          <w:kern w:val="2"/>
          <w:sz w:val="22"/>
          <w:szCs w:val="22"/>
          <w:lang w:eastAsia="en-GB"/>
          <w14:ligatures w14:val="standardContextual"/>
        </w:rPr>
        <w:tab/>
      </w:r>
      <w:r>
        <w:t>Random access response - Type-2 random access procedure</w:t>
      </w:r>
      <w:r>
        <w:tab/>
      </w:r>
      <w:r>
        <w:fldChar w:fldCharType="begin" w:fldLock="1"/>
      </w:r>
      <w:r>
        <w:instrText xml:space="preserve"> PAGEREF _Toc161999112 \h </w:instrText>
      </w:r>
      <w:r>
        <w:fldChar w:fldCharType="separate"/>
      </w:r>
      <w:r>
        <w:t>65</w:t>
      </w:r>
      <w:r>
        <w:fldChar w:fldCharType="end"/>
      </w:r>
    </w:p>
    <w:p w14:paraId="2CCA6E38" w14:textId="59822BBD" w:rsidR="00745523" w:rsidRDefault="00745523">
      <w:pPr>
        <w:pStyle w:val="TOC2"/>
        <w:rPr>
          <w:rFonts w:asciiTheme="minorHAnsi" w:eastAsiaTheme="minorEastAsia" w:hAnsiTheme="minorHAnsi" w:cstheme="minorBidi"/>
          <w:kern w:val="2"/>
          <w:sz w:val="22"/>
          <w:szCs w:val="22"/>
          <w:lang w:eastAsia="en-GB"/>
          <w14:ligatures w14:val="standardContextual"/>
        </w:rPr>
      </w:pPr>
      <w:r>
        <w:t>8.3</w:t>
      </w:r>
      <w:r>
        <w:rPr>
          <w:rFonts w:asciiTheme="minorHAnsi" w:eastAsiaTheme="minorEastAsia" w:hAnsiTheme="minorHAnsi" w:cstheme="minorBidi"/>
          <w:kern w:val="2"/>
          <w:sz w:val="22"/>
          <w:szCs w:val="22"/>
          <w:lang w:eastAsia="en-GB"/>
          <w14:ligatures w14:val="standardContextual"/>
        </w:rPr>
        <w:tab/>
      </w:r>
      <w:r>
        <w:t>PUSCH scheduled by RAR UL grant</w:t>
      </w:r>
      <w:r>
        <w:tab/>
      </w:r>
      <w:r>
        <w:fldChar w:fldCharType="begin" w:fldLock="1"/>
      </w:r>
      <w:r>
        <w:instrText xml:space="preserve"> PAGEREF _Toc161999113 \h </w:instrText>
      </w:r>
      <w:r>
        <w:fldChar w:fldCharType="separate"/>
      </w:r>
      <w:r>
        <w:t>67</w:t>
      </w:r>
      <w:r>
        <w:fldChar w:fldCharType="end"/>
      </w:r>
    </w:p>
    <w:p w14:paraId="6CF31430" w14:textId="24487D21" w:rsidR="00745523" w:rsidRDefault="00745523">
      <w:pPr>
        <w:pStyle w:val="TOC2"/>
        <w:rPr>
          <w:rFonts w:asciiTheme="minorHAnsi" w:eastAsiaTheme="minorEastAsia" w:hAnsiTheme="minorHAnsi" w:cstheme="minorBidi"/>
          <w:kern w:val="2"/>
          <w:sz w:val="22"/>
          <w:szCs w:val="22"/>
          <w:lang w:eastAsia="en-GB"/>
          <w14:ligatures w14:val="standardContextual"/>
        </w:rPr>
      </w:pPr>
      <w:r>
        <w:t>8.4</w:t>
      </w:r>
      <w:r>
        <w:rPr>
          <w:rFonts w:asciiTheme="minorHAnsi" w:eastAsiaTheme="minorEastAsia" w:hAnsiTheme="minorHAnsi" w:cstheme="minorBidi"/>
          <w:kern w:val="2"/>
          <w:sz w:val="22"/>
          <w:szCs w:val="22"/>
          <w:lang w:eastAsia="en-GB"/>
          <w14:ligatures w14:val="standardContextual"/>
        </w:rPr>
        <w:tab/>
      </w:r>
      <w:r>
        <w:t>PDSCH with UE contention resolution identity</w:t>
      </w:r>
      <w:r>
        <w:tab/>
      </w:r>
      <w:r>
        <w:fldChar w:fldCharType="begin" w:fldLock="1"/>
      </w:r>
      <w:r>
        <w:instrText xml:space="preserve"> PAGEREF _Toc161999114 \h </w:instrText>
      </w:r>
      <w:r>
        <w:fldChar w:fldCharType="separate"/>
      </w:r>
      <w:r>
        <w:t>68</w:t>
      </w:r>
      <w:r>
        <w:fldChar w:fldCharType="end"/>
      </w:r>
    </w:p>
    <w:p w14:paraId="445A57F8" w14:textId="7EFFA176" w:rsidR="00745523" w:rsidRDefault="00745523">
      <w:pPr>
        <w:pStyle w:val="TOC1"/>
        <w:rPr>
          <w:rFonts w:asciiTheme="minorHAnsi" w:eastAsiaTheme="minorEastAsia" w:hAnsiTheme="minorHAnsi" w:cstheme="minorBidi"/>
          <w:kern w:val="2"/>
          <w:szCs w:val="22"/>
          <w:lang w:eastAsia="en-GB"/>
          <w14:ligatures w14:val="standardContextual"/>
        </w:rPr>
      </w:pPr>
      <w:r>
        <w:t>9</w:t>
      </w:r>
      <w:r>
        <w:rPr>
          <w:rFonts w:asciiTheme="minorHAnsi" w:eastAsiaTheme="minorEastAsia" w:hAnsiTheme="minorHAnsi" w:cstheme="minorBidi"/>
          <w:kern w:val="2"/>
          <w:szCs w:val="22"/>
          <w:lang w:eastAsia="en-GB"/>
          <w14:ligatures w14:val="standardContextual"/>
        </w:rPr>
        <w:tab/>
      </w:r>
      <w:r w:rsidRPr="009B02F4">
        <w:rPr>
          <w:rFonts w:cs="Arial"/>
        </w:rPr>
        <w:t>UE procedure for reporting control information</w:t>
      </w:r>
      <w:r>
        <w:tab/>
      </w:r>
      <w:r>
        <w:fldChar w:fldCharType="begin" w:fldLock="1"/>
      </w:r>
      <w:r>
        <w:instrText xml:space="preserve"> PAGEREF _Toc161999115 \h </w:instrText>
      </w:r>
      <w:r>
        <w:fldChar w:fldCharType="separate"/>
      </w:r>
      <w:r>
        <w:t>69</w:t>
      </w:r>
      <w:r>
        <w:fldChar w:fldCharType="end"/>
      </w:r>
    </w:p>
    <w:p w14:paraId="58ED9989" w14:textId="59ED6A86" w:rsidR="00745523" w:rsidRDefault="00745523">
      <w:pPr>
        <w:pStyle w:val="TOC2"/>
        <w:rPr>
          <w:rFonts w:asciiTheme="minorHAnsi" w:eastAsiaTheme="minorEastAsia" w:hAnsiTheme="minorHAnsi" w:cstheme="minorBidi"/>
          <w:kern w:val="2"/>
          <w:sz w:val="22"/>
          <w:szCs w:val="22"/>
          <w:lang w:eastAsia="en-GB"/>
          <w14:ligatures w14:val="standardContextual"/>
        </w:rPr>
      </w:pPr>
      <w:r>
        <w:t>9.A</w:t>
      </w:r>
      <w:r>
        <w:rPr>
          <w:rFonts w:asciiTheme="minorHAnsi" w:eastAsiaTheme="minorEastAsia" w:hAnsiTheme="minorHAnsi" w:cstheme="minorBidi"/>
          <w:kern w:val="2"/>
          <w:sz w:val="22"/>
          <w:szCs w:val="22"/>
          <w:lang w:eastAsia="en-GB"/>
          <w14:ligatures w14:val="standardContextual"/>
        </w:rPr>
        <w:tab/>
      </w:r>
      <w:r>
        <w:t>PUCCH cell switching</w:t>
      </w:r>
      <w:r>
        <w:tab/>
      </w:r>
      <w:r>
        <w:fldChar w:fldCharType="begin" w:fldLock="1"/>
      </w:r>
      <w:r>
        <w:instrText xml:space="preserve"> PAGEREF _Toc161999116 \h </w:instrText>
      </w:r>
      <w:r>
        <w:fldChar w:fldCharType="separate"/>
      </w:r>
      <w:r>
        <w:t>79</w:t>
      </w:r>
      <w:r>
        <w:fldChar w:fldCharType="end"/>
      </w:r>
    </w:p>
    <w:p w14:paraId="2E2811CF" w14:textId="57E11190" w:rsidR="00745523" w:rsidRDefault="00745523">
      <w:pPr>
        <w:pStyle w:val="TOC2"/>
        <w:rPr>
          <w:rFonts w:asciiTheme="minorHAnsi" w:eastAsiaTheme="minorEastAsia" w:hAnsiTheme="minorHAnsi" w:cstheme="minorBidi"/>
          <w:kern w:val="2"/>
          <w:sz w:val="22"/>
          <w:szCs w:val="22"/>
          <w:lang w:eastAsia="en-GB"/>
          <w14:ligatures w14:val="standardContextual"/>
        </w:rPr>
      </w:pPr>
      <w:r>
        <w:t>9.1</w:t>
      </w:r>
      <w:r>
        <w:rPr>
          <w:rFonts w:asciiTheme="minorHAnsi" w:eastAsiaTheme="minorEastAsia" w:hAnsiTheme="minorHAnsi" w:cstheme="minorBidi"/>
          <w:kern w:val="2"/>
          <w:sz w:val="22"/>
          <w:szCs w:val="22"/>
          <w:lang w:eastAsia="en-GB"/>
          <w14:ligatures w14:val="standardContextual"/>
        </w:rPr>
        <w:tab/>
      </w:r>
      <w:r>
        <w:t>HARQ-ACK codebook determination</w:t>
      </w:r>
      <w:r>
        <w:tab/>
      </w:r>
      <w:r>
        <w:fldChar w:fldCharType="begin" w:fldLock="1"/>
      </w:r>
      <w:r>
        <w:instrText xml:space="preserve"> PAGEREF _Toc161999117 \h </w:instrText>
      </w:r>
      <w:r>
        <w:fldChar w:fldCharType="separate"/>
      </w:r>
      <w:r>
        <w:t>80</w:t>
      </w:r>
      <w:r>
        <w:fldChar w:fldCharType="end"/>
      </w:r>
    </w:p>
    <w:p w14:paraId="52400166" w14:textId="53EF9CC6" w:rsidR="00745523" w:rsidRDefault="00745523">
      <w:pPr>
        <w:pStyle w:val="TOC3"/>
        <w:rPr>
          <w:rFonts w:asciiTheme="minorHAnsi" w:eastAsiaTheme="minorEastAsia" w:hAnsiTheme="minorHAnsi" w:cstheme="minorBidi"/>
          <w:kern w:val="2"/>
          <w:sz w:val="22"/>
          <w:szCs w:val="22"/>
          <w:lang w:eastAsia="en-GB"/>
          <w14:ligatures w14:val="standardContextual"/>
        </w:rPr>
      </w:pPr>
      <w:r>
        <w:t>9.1.1</w:t>
      </w:r>
      <w:r>
        <w:rPr>
          <w:rFonts w:asciiTheme="minorHAnsi" w:eastAsiaTheme="minorEastAsia" w:hAnsiTheme="minorHAnsi" w:cstheme="minorBidi"/>
          <w:kern w:val="2"/>
          <w:sz w:val="22"/>
          <w:szCs w:val="22"/>
          <w:lang w:eastAsia="en-GB"/>
          <w14:ligatures w14:val="standardContextual"/>
        </w:rPr>
        <w:tab/>
      </w:r>
      <w:r>
        <w:t>CBG-based HARQ-ACK codebook determination</w:t>
      </w:r>
      <w:r>
        <w:tab/>
      </w:r>
      <w:r>
        <w:fldChar w:fldCharType="begin" w:fldLock="1"/>
      </w:r>
      <w:r>
        <w:instrText xml:space="preserve"> PAGEREF _Toc161999118 \h </w:instrText>
      </w:r>
      <w:r>
        <w:fldChar w:fldCharType="separate"/>
      </w:r>
      <w:r>
        <w:t>81</w:t>
      </w:r>
      <w:r>
        <w:fldChar w:fldCharType="end"/>
      </w:r>
    </w:p>
    <w:p w14:paraId="7C827FAA" w14:textId="279B163C" w:rsidR="00745523" w:rsidRDefault="00745523">
      <w:pPr>
        <w:pStyle w:val="TOC3"/>
        <w:rPr>
          <w:rFonts w:asciiTheme="minorHAnsi" w:eastAsiaTheme="minorEastAsia" w:hAnsiTheme="minorHAnsi" w:cstheme="minorBidi"/>
          <w:kern w:val="2"/>
          <w:sz w:val="22"/>
          <w:szCs w:val="22"/>
          <w:lang w:eastAsia="en-GB"/>
          <w14:ligatures w14:val="standardContextual"/>
        </w:rPr>
      </w:pPr>
      <w:r>
        <w:t>9.1.2</w:t>
      </w:r>
      <w:r>
        <w:rPr>
          <w:rFonts w:asciiTheme="minorHAnsi" w:eastAsiaTheme="minorEastAsia" w:hAnsiTheme="minorHAnsi" w:cstheme="minorBidi"/>
          <w:kern w:val="2"/>
          <w:sz w:val="22"/>
          <w:szCs w:val="22"/>
          <w:lang w:eastAsia="en-GB"/>
          <w14:ligatures w14:val="standardContextual"/>
        </w:rPr>
        <w:tab/>
      </w:r>
      <w:r>
        <w:t>Type-1 HARQ-ACK codebook determination</w:t>
      </w:r>
      <w:r>
        <w:tab/>
      </w:r>
      <w:r>
        <w:fldChar w:fldCharType="begin" w:fldLock="1"/>
      </w:r>
      <w:r>
        <w:instrText xml:space="preserve"> PAGEREF _Toc161999119 \h </w:instrText>
      </w:r>
      <w:r>
        <w:fldChar w:fldCharType="separate"/>
      </w:r>
      <w:r>
        <w:t>82</w:t>
      </w:r>
      <w:r>
        <w:fldChar w:fldCharType="end"/>
      </w:r>
    </w:p>
    <w:p w14:paraId="3568A641" w14:textId="3BF2CD21" w:rsidR="00745523" w:rsidRDefault="00745523">
      <w:pPr>
        <w:pStyle w:val="TOC4"/>
        <w:rPr>
          <w:rFonts w:asciiTheme="minorHAnsi" w:eastAsiaTheme="minorEastAsia" w:hAnsiTheme="minorHAnsi" w:cstheme="minorBidi"/>
          <w:kern w:val="2"/>
          <w:sz w:val="22"/>
          <w:szCs w:val="22"/>
          <w:lang w:eastAsia="en-GB"/>
          <w14:ligatures w14:val="standardContextual"/>
        </w:rPr>
      </w:pPr>
      <w:r>
        <w:t>9.1.2.1</w:t>
      </w:r>
      <w:r>
        <w:rPr>
          <w:rFonts w:asciiTheme="minorHAnsi" w:eastAsiaTheme="minorEastAsia" w:hAnsiTheme="minorHAnsi" w:cstheme="minorBidi"/>
          <w:kern w:val="2"/>
          <w:sz w:val="22"/>
          <w:szCs w:val="22"/>
          <w:lang w:eastAsia="en-GB"/>
          <w14:ligatures w14:val="standardContextual"/>
        </w:rPr>
        <w:tab/>
      </w:r>
      <w:r>
        <w:t>Type-1 HARQ-ACK codebook in physical uplink control channel</w:t>
      </w:r>
      <w:r>
        <w:tab/>
      </w:r>
      <w:r>
        <w:fldChar w:fldCharType="begin" w:fldLock="1"/>
      </w:r>
      <w:r>
        <w:instrText xml:space="preserve"> PAGEREF _Toc161999120 \h </w:instrText>
      </w:r>
      <w:r>
        <w:fldChar w:fldCharType="separate"/>
      </w:r>
      <w:r>
        <w:t>84</w:t>
      </w:r>
      <w:r>
        <w:fldChar w:fldCharType="end"/>
      </w:r>
    </w:p>
    <w:p w14:paraId="0ABECB15" w14:textId="74116BC0" w:rsidR="00745523" w:rsidRDefault="00745523">
      <w:pPr>
        <w:pStyle w:val="TOC4"/>
        <w:rPr>
          <w:rFonts w:asciiTheme="minorHAnsi" w:eastAsiaTheme="minorEastAsia" w:hAnsiTheme="minorHAnsi" w:cstheme="minorBidi"/>
          <w:kern w:val="2"/>
          <w:sz w:val="22"/>
          <w:szCs w:val="22"/>
          <w:lang w:eastAsia="en-GB"/>
          <w14:ligatures w14:val="standardContextual"/>
        </w:rPr>
      </w:pPr>
      <w:r>
        <w:t>9.1.2.2</w:t>
      </w:r>
      <w:r>
        <w:rPr>
          <w:rFonts w:asciiTheme="minorHAnsi" w:eastAsiaTheme="minorEastAsia" w:hAnsiTheme="minorHAnsi" w:cstheme="minorBidi"/>
          <w:kern w:val="2"/>
          <w:sz w:val="22"/>
          <w:szCs w:val="22"/>
          <w:lang w:eastAsia="en-GB"/>
          <w14:ligatures w14:val="standardContextual"/>
        </w:rPr>
        <w:tab/>
      </w:r>
      <w:r>
        <w:t>Type-1 HARQ-ACK codebook in physical uplink shared channel</w:t>
      </w:r>
      <w:r>
        <w:tab/>
      </w:r>
      <w:r>
        <w:fldChar w:fldCharType="begin" w:fldLock="1"/>
      </w:r>
      <w:r>
        <w:instrText xml:space="preserve"> PAGEREF _Toc161999121 \h </w:instrText>
      </w:r>
      <w:r>
        <w:fldChar w:fldCharType="separate"/>
      </w:r>
      <w:r>
        <w:t>96</w:t>
      </w:r>
      <w:r>
        <w:fldChar w:fldCharType="end"/>
      </w:r>
    </w:p>
    <w:p w14:paraId="54819256" w14:textId="59EAB105" w:rsidR="00745523" w:rsidRDefault="00745523">
      <w:pPr>
        <w:pStyle w:val="TOC3"/>
        <w:rPr>
          <w:rFonts w:asciiTheme="minorHAnsi" w:eastAsiaTheme="minorEastAsia" w:hAnsiTheme="minorHAnsi" w:cstheme="minorBidi"/>
          <w:kern w:val="2"/>
          <w:sz w:val="22"/>
          <w:szCs w:val="22"/>
          <w:lang w:eastAsia="en-GB"/>
          <w14:ligatures w14:val="standardContextual"/>
        </w:rPr>
      </w:pPr>
      <w:r>
        <w:t>9.1.3</w:t>
      </w:r>
      <w:r>
        <w:rPr>
          <w:rFonts w:asciiTheme="minorHAnsi" w:eastAsiaTheme="minorEastAsia" w:hAnsiTheme="minorHAnsi" w:cstheme="minorBidi"/>
          <w:kern w:val="2"/>
          <w:sz w:val="22"/>
          <w:szCs w:val="22"/>
          <w:lang w:eastAsia="en-GB"/>
          <w14:ligatures w14:val="standardContextual"/>
        </w:rPr>
        <w:tab/>
      </w:r>
      <w:r>
        <w:t>Type-2 HARQ-ACK codebook determination</w:t>
      </w:r>
      <w:r>
        <w:tab/>
      </w:r>
      <w:r>
        <w:fldChar w:fldCharType="begin" w:fldLock="1"/>
      </w:r>
      <w:r>
        <w:instrText xml:space="preserve"> PAGEREF _Toc161999122 \h </w:instrText>
      </w:r>
      <w:r>
        <w:fldChar w:fldCharType="separate"/>
      </w:r>
      <w:r>
        <w:t>97</w:t>
      </w:r>
      <w:r>
        <w:fldChar w:fldCharType="end"/>
      </w:r>
    </w:p>
    <w:p w14:paraId="09D7BF71" w14:textId="675E2C69" w:rsidR="00745523" w:rsidRDefault="00745523">
      <w:pPr>
        <w:pStyle w:val="TOC4"/>
        <w:rPr>
          <w:rFonts w:asciiTheme="minorHAnsi" w:eastAsiaTheme="minorEastAsia" w:hAnsiTheme="minorHAnsi" w:cstheme="minorBidi"/>
          <w:kern w:val="2"/>
          <w:sz w:val="22"/>
          <w:szCs w:val="22"/>
          <w:lang w:eastAsia="en-GB"/>
          <w14:ligatures w14:val="standardContextual"/>
        </w:rPr>
      </w:pPr>
      <w:r>
        <w:t>9.1.3.1</w:t>
      </w:r>
      <w:r>
        <w:rPr>
          <w:rFonts w:asciiTheme="minorHAnsi" w:eastAsiaTheme="minorEastAsia" w:hAnsiTheme="minorHAnsi" w:cstheme="minorBidi"/>
          <w:kern w:val="2"/>
          <w:sz w:val="22"/>
          <w:szCs w:val="22"/>
          <w:lang w:eastAsia="en-GB"/>
          <w14:ligatures w14:val="standardContextual"/>
        </w:rPr>
        <w:tab/>
      </w:r>
      <w:r>
        <w:t>Type-2 HARQ-ACK codebook in physical uplink control channel</w:t>
      </w:r>
      <w:r>
        <w:tab/>
      </w:r>
      <w:r>
        <w:fldChar w:fldCharType="begin" w:fldLock="1"/>
      </w:r>
      <w:r>
        <w:instrText xml:space="preserve"> PAGEREF _Toc161999123 \h </w:instrText>
      </w:r>
      <w:r>
        <w:fldChar w:fldCharType="separate"/>
      </w:r>
      <w:r>
        <w:t>98</w:t>
      </w:r>
      <w:r>
        <w:fldChar w:fldCharType="end"/>
      </w:r>
    </w:p>
    <w:p w14:paraId="34D80F7E" w14:textId="6DD1C6D1" w:rsidR="00745523" w:rsidRDefault="00745523">
      <w:pPr>
        <w:pStyle w:val="TOC4"/>
        <w:rPr>
          <w:rFonts w:asciiTheme="minorHAnsi" w:eastAsiaTheme="minorEastAsia" w:hAnsiTheme="minorHAnsi" w:cstheme="minorBidi"/>
          <w:kern w:val="2"/>
          <w:sz w:val="22"/>
          <w:szCs w:val="22"/>
          <w:lang w:eastAsia="en-GB"/>
          <w14:ligatures w14:val="standardContextual"/>
        </w:rPr>
      </w:pPr>
      <w:r>
        <w:t>9.1.3.2</w:t>
      </w:r>
      <w:r>
        <w:rPr>
          <w:rFonts w:asciiTheme="minorHAnsi" w:eastAsiaTheme="minorEastAsia" w:hAnsiTheme="minorHAnsi" w:cstheme="minorBidi"/>
          <w:kern w:val="2"/>
          <w:sz w:val="22"/>
          <w:szCs w:val="22"/>
          <w:lang w:eastAsia="en-GB"/>
          <w14:ligatures w14:val="standardContextual"/>
        </w:rPr>
        <w:tab/>
      </w:r>
      <w:r>
        <w:t>Type-2 HARQ-ACK codebook in physical uplink shared channel</w:t>
      </w:r>
      <w:r>
        <w:tab/>
      </w:r>
      <w:r>
        <w:fldChar w:fldCharType="begin" w:fldLock="1"/>
      </w:r>
      <w:r>
        <w:instrText xml:space="preserve"> PAGEREF _Toc161999124 \h </w:instrText>
      </w:r>
      <w:r>
        <w:fldChar w:fldCharType="separate"/>
      </w:r>
      <w:r>
        <w:t>113</w:t>
      </w:r>
      <w:r>
        <w:fldChar w:fldCharType="end"/>
      </w:r>
    </w:p>
    <w:p w14:paraId="5FD72C83" w14:textId="475041FC" w:rsidR="00745523" w:rsidRDefault="00745523">
      <w:pPr>
        <w:pStyle w:val="TOC4"/>
        <w:rPr>
          <w:rFonts w:asciiTheme="minorHAnsi" w:eastAsiaTheme="minorEastAsia" w:hAnsiTheme="minorHAnsi" w:cstheme="minorBidi"/>
          <w:kern w:val="2"/>
          <w:sz w:val="22"/>
          <w:szCs w:val="22"/>
          <w:lang w:eastAsia="en-GB"/>
          <w14:ligatures w14:val="standardContextual"/>
        </w:rPr>
      </w:pPr>
      <w:r>
        <w:t>9.1.3.3</w:t>
      </w:r>
      <w:r>
        <w:rPr>
          <w:rFonts w:asciiTheme="minorHAnsi" w:eastAsiaTheme="minorEastAsia" w:hAnsiTheme="minorHAnsi" w:cstheme="minorBidi"/>
          <w:kern w:val="2"/>
          <w:sz w:val="22"/>
          <w:szCs w:val="22"/>
          <w:lang w:eastAsia="en-GB"/>
          <w14:ligatures w14:val="standardContextual"/>
        </w:rPr>
        <w:tab/>
      </w:r>
      <w:r>
        <w:t>Type-2 HARQ-ACK codebook grouping and HARQ-ACK retransmission</w:t>
      </w:r>
      <w:r>
        <w:tab/>
      </w:r>
      <w:r>
        <w:fldChar w:fldCharType="begin" w:fldLock="1"/>
      </w:r>
      <w:r>
        <w:instrText xml:space="preserve"> PAGEREF _Toc161999125 \h </w:instrText>
      </w:r>
      <w:r>
        <w:fldChar w:fldCharType="separate"/>
      </w:r>
      <w:r>
        <w:t>115</w:t>
      </w:r>
      <w:r>
        <w:fldChar w:fldCharType="end"/>
      </w:r>
    </w:p>
    <w:p w14:paraId="5CD39254" w14:textId="06B15675" w:rsidR="00745523" w:rsidRDefault="00745523">
      <w:pPr>
        <w:pStyle w:val="TOC3"/>
        <w:rPr>
          <w:rFonts w:asciiTheme="minorHAnsi" w:eastAsiaTheme="minorEastAsia" w:hAnsiTheme="minorHAnsi" w:cstheme="minorBidi"/>
          <w:kern w:val="2"/>
          <w:sz w:val="22"/>
          <w:szCs w:val="22"/>
          <w:lang w:eastAsia="en-GB"/>
          <w14:ligatures w14:val="standardContextual"/>
        </w:rPr>
      </w:pPr>
      <w:r>
        <w:t>9.1.4</w:t>
      </w:r>
      <w:r>
        <w:rPr>
          <w:rFonts w:asciiTheme="minorHAnsi" w:eastAsiaTheme="minorEastAsia" w:hAnsiTheme="minorHAnsi" w:cstheme="minorBidi"/>
          <w:kern w:val="2"/>
          <w:sz w:val="22"/>
          <w:szCs w:val="22"/>
          <w:lang w:eastAsia="en-GB"/>
          <w14:ligatures w14:val="standardContextual"/>
        </w:rPr>
        <w:tab/>
      </w:r>
      <w:r>
        <w:t>Type-3 HARQ-ACK codebook determination</w:t>
      </w:r>
      <w:r>
        <w:tab/>
      </w:r>
      <w:r>
        <w:fldChar w:fldCharType="begin" w:fldLock="1"/>
      </w:r>
      <w:r>
        <w:instrText xml:space="preserve"> PAGEREF _Toc161999126 \h </w:instrText>
      </w:r>
      <w:r>
        <w:fldChar w:fldCharType="separate"/>
      </w:r>
      <w:r>
        <w:t>117</w:t>
      </w:r>
      <w:r>
        <w:fldChar w:fldCharType="end"/>
      </w:r>
    </w:p>
    <w:p w14:paraId="3BA17A35" w14:textId="156361FE" w:rsidR="00745523" w:rsidRDefault="00745523">
      <w:pPr>
        <w:pStyle w:val="TOC3"/>
        <w:rPr>
          <w:rFonts w:asciiTheme="minorHAnsi" w:eastAsiaTheme="minorEastAsia" w:hAnsiTheme="minorHAnsi" w:cstheme="minorBidi"/>
          <w:kern w:val="2"/>
          <w:sz w:val="22"/>
          <w:szCs w:val="22"/>
          <w:lang w:eastAsia="en-GB"/>
          <w14:ligatures w14:val="standardContextual"/>
        </w:rPr>
      </w:pPr>
      <w:r>
        <w:t>9.1.5</w:t>
      </w:r>
      <w:r>
        <w:rPr>
          <w:rFonts w:asciiTheme="minorHAnsi" w:eastAsiaTheme="minorEastAsia" w:hAnsiTheme="minorHAnsi" w:cstheme="minorBidi"/>
          <w:kern w:val="2"/>
          <w:sz w:val="22"/>
          <w:szCs w:val="22"/>
          <w:lang w:eastAsia="en-GB"/>
          <w14:ligatures w14:val="standardContextual"/>
        </w:rPr>
        <w:tab/>
      </w:r>
      <w:r>
        <w:t>HARQ-ACK codebook retransmission</w:t>
      </w:r>
      <w:r>
        <w:tab/>
      </w:r>
      <w:r>
        <w:fldChar w:fldCharType="begin" w:fldLock="1"/>
      </w:r>
      <w:r>
        <w:instrText xml:space="preserve"> PAGEREF _Toc161999127 \h </w:instrText>
      </w:r>
      <w:r>
        <w:fldChar w:fldCharType="separate"/>
      </w:r>
      <w:r>
        <w:t>121</w:t>
      </w:r>
      <w:r>
        <w:fldChar w:fldCharType="end"/>
      </w:r>
    </w:p>
    <w:p w14:paraId="3CDA06FD" w14:textId="6D4816D0" w:rsidR="00745523" w:rsidRDefault="00745523">
      <w:pPr>
        <w:pStyle w:val="TOC2"/>
        <w:rPr>
          <w:rFonts w:asciiTheme="minorHAnsi" w:eastAsiaTheme="minorEastAsia" w:hAnsiTheme="minorHAnsi" w:cstheme="minorBidi"/>
          <w:kern w:val="2"/>
          <w:sz w:val="22"/>
          <w:szCs w:val="22"/>
          <w:lang w:eastAsia="en-GB"/>
          <w14:ligatures w14:val="standardContextual"/>
        </w:rPr>
      </w:pPr>
      <w:r>
        <w:t>9.2</w:t>
      </w:r>
      <w:r>
        <w:rPr>
          <w:rFonts w:asciiTheme="minorHAnsi" w:eastAsiaTheme="minorEastAsia" w:hAnsiTheme="minorHAnsi" w:cstheme="minorBidi"/>
          <w:kern w:val="2"/>
          <w:sz w:val="22"/>
          <w:szCs w:val="22"/>
          <w:lang w:eastAsia="en-GB"/>
          <w14:ligatures w14:val="standardContextual"/>
        </w:rPr>
        <w:tab/>
      </w:r>
      <w:r>
        <w:t>UCI reporting in physical uplink control channel</w:t>
      </w:r>
      <w:r>
        <w:tab/>
      </w:r>
      <w:r>
        <w:fldChar w:fldCharType="begin" w:fldLock="1"/>
      </w:r>
      <w:r>
        <w:instrText xml:space="preserve"> PAGEREF _Toc161999128 \h </w:instrText>
      </w:r>
      <w:r>
        <w:fldChar w:fldCharType="separate"/>
      </w:r>
      <w:r>
        <w:t>123</w:t>
      </w:r>
      <w:r>
        <w:fldChar w:fldCharType="end"/>
      </w:r>
    </w:p>
    <w:p w14:paraId="134AF98B" w14:textId="4BB426A4" w:rsidR="00745523" w:rsidRDefault="00745523">
      <w:pPr>
        <w:pStyle w:val="TOC3"/>
        <w:rPr>
          <w:rFonts w:asciiTheme="minorHAnsi" w:eastAsiaTheme="minorEastAsia" w:hAnsiTheme="minorHAnsi" w:cstheme="minorBidi"/>
          <w:kern w:val="2"/>
          <w:sz w:val="22"/>
          <w:szCs w:val="22"/>
          <w:lang w:eastAsia="en-GB"/>
          <w14:ligatures w14:val="standardContextual"/>
        </w:rPr>
      </w:pPr>
      <w:r>
        <w:t>9.2.1</w:t>
      </w:r>
      <w:r>
        <w:rPr>
          <w:rFonts w:asciiTheme="minorHAnsi" w:eastAsiaTheme="minorEastAsia" w:hAnsiTheme="minorHAnsi" w:cstheme="minorBidi"/>
          <w:kern w:val="2"/>
          <w:sz w:val="22"/>
          <w:szCs w:val="22"/>
          <w:lang w:eastAsia="en-GB"/>
          <w14:ligatures w14:val="standardContextual"/>
        </w:rPr>
        <w:tab/>
      </w:r>
      <w:r>
        <w:t>PUCCH Resource Sets</w:t>
      </w:r>
      <w:r>
        <w:tab/>
      </w:r>
      <w:r>
        <w:fldChar w:fldCharType="begin" w:fldLock="1"/>
      </w:r>
      <w:r>
        <w:instrText xml:space="preserve"> PAGEREF _Toc161999129 \h </w:instrText>
      </w:r>
      <w:r>
        <w:fldChar w:fldCharType="separate"/>
      </w:r>
      <w:r>
        <w:t>123</w:t>
      </w:r>
      <w:r>
        <w:fldChar w:fldCharType="end"/>
      </w:r>
    </w:p>
    <w:p w14:paraId="3E5416F9" w14:textId="10536F72" w:rsidR="00745523" w:rsidRDefault="00745523">
      <w:pPr>
        <w:pStyle w:val="TOC3"/>
        <w:rPr>
          <w:rFonts w:asciiTheme="minorHAnsi" w:eastAsiaTheme="minorEastAsia" w:hAnsiTheme="minorHAnsi" w:cstheme="minorBidi"/>
          <w:kern w:val="2"/>
          <w:sz w:val="22"/>
          <w:szCs w:val="22"/>
          <w:lang w:eastAsia="en-GB"/>
          <w14:ligatures w14:val="standardContextual"/>
        </w:rPr>
      </w:pPr>
      <w:r>
        <w:t>9.2.2</w:t>
      </w:r>
      <w:r>
        <w:rPr>
          <w:rFonts w:asciiTheme="minorHAnsi" w:eastAsiaTheme="minorEastAsia" w:hAnsiTheme="minorHAnsi" w:cstheme="minorBidi"/>
          <w:kern w:val="2"/>
          <w:sz w:val="22"/>
          <w:szCs w:val="22"/>
          <w:lang w:eastAsia="en-GB"/>
          <w14:ligatures w14:val="standardContextual"/>
        </w:rPr>
        <w:tab/>
      </w:r>
      <w:r>
        <w:t>PUCCH Formats for UCI transmission</w:t>
      </w:r>
      <w:r>
        <w:tab/>
      </w:r>
      <w:r>
        <w:fldChar w:fldCharType="begin" w:fldLock="1"/>
      </w:r>
      <w:r>
        <w:instrText xml:space="preserve"> PAGEREF _Toc161999130 \h </w:instrText>
      </w:r>
      <w:r>
        <w:fldChar w:fldCharType="separate"/>
      </w:r>
      <w:r>
        <w:t>127</w:t>
      </w:r>
      <w:r>
        <w:fldChar w:fldCharType="end"/>
      </w:r>
    </w:p>
    <w:p w14:paraId="3B022141" w14:textId="5B7568BA" w:rsidR="00745523" w:rsidRDefault="00745523">
      <w:pPr>
        <w:pStyle w:val="TOC3"/>
        <w:rPr>
          <w:rFonts w:asciiTheme="minorHAnsi" w:eastAsiaTheme="minorEastAsia" w:hAnsiTheme="minorHAnsi" w:cstheme="minorBidi"/>
          <w:kern w:val="2"/>
          <w:sz w:val="22"/>
          <w:szCs w:val="22"/>
          <w:lang w:eastAsia="en-GB"/>
          <w14:ligatures w14:val="standardContextual"/>
        </w:rPr>
      </w:pPr>
      <w:r>
        <w:lastRenderedPageBreak/>
        <w:t>9.2.3</w:t>
      </w:r>
      <w:r>
        <w:rPr>
          <w:rFonts w:asciiTheme="minorHAnsi" w:eastAsiaTheme="minorEastAsia" w:hAnsiTheme="minorHAnsi" w:cstheme="minorBidi"/>
          <w:kern w:val="2"/>
          <w:sz w:val="22"/>
          <w:szCs w:val="22"/>
          <w:lang w:eastAsia="en-GB"/>
          <w14:ligatures w14:val="standardContextual"/>
        </w:rPr>
        <w:tab/>
      </w:r>
      <w:r>
        <w:t>UE procedure for reporting HARQ-ACK</w:t>
      </w:r>
      <w:r>
        <w:tab/>
      </w:r>
      <w:r>
        <w:fldChar w:fldCharType="begin" w:fldLock="1"/>
      </w:r>
      <w:r>
        <w:instrText xml:space="preserve"> PAGEREF _Toc161999131 \h </w:instrText>
      </w:r>
      <w:r>
        <w:fldChar w:fldCharType="separate"/>
      </w:r>
      <w:r>
        <w:t>129</w:t>
      </w:r>
      <w:r>
        <w:fldChar w:fldCharType="end"/>
      </w:r>
    </w:p>
    <w:p w14:paraId="5BC28970" w14:textId="42B3F8EE" w:rsidR="00745523" w:rsidRDefault="00745523">
      <w:pPr>
        <w:pStyle w:val="TOC3"/>
        <w:rPr>
          <w:rFonts w:asciiTheme="minorHAnsi" w:eastAsiaTheme="minorEastAsia" w:hAnsiTheme="minorHAnsi" w:cstheme="minorBidi"/>
          <w:kern w:val="2"/>
          <w:sz w:val="22"/>
          <w:szCs w:val="22"/>
          <w:lang w:eastAsia="en-GB"/>
          <w14:ligatures w14:val="standardContextual"/>
        </w:rPr>
      </w:pPr>
      <w:r>
        <w:t>9.2.4</w:t>
      </w:r>
      <w:r>
        <w:rPr>
          <w:rFonts w:asciiTheme="minorHAnsi" w:eastAsiaTheme="minorEastAsia" w:hAnsiTheme="minorHAnsi" w:cstheme="minorBidi"/>
          <w:kern w:val="2"/>
          <w:sz w:val="22"/>
          <w:szCs w:val="22"/>
          <w:lang w:eastAsia="en-GB"/>
          <w14:ligatures w14:val="standardContextual"/>
        </w:rPr>
        <w:tab/>
      </w:r>
      <w:r>
        <w:t>UE procedure for reporting SR</w:t>
      </w:r>
      <w:r>
        <w:tab/>
      </w:r>
      <w:r>
        <w:fldChar w:fldCharType="begin" w:fldLock="1"/>
      </w:r>
      <w:r>
        <w:instrText xml:space="preserve"> PAGEREF _Toc161999132 \h </w:instrText>
      </w:r>
      <w:r>
        <w:fldChar w:fldCharType="separate"/>
      </w:r>
      <w:r>
        <w:t>132</w:t>
      </w:r>
      <w:r>
        <w:fldChar w:fldCharType="end"/>
      </w:r>
    </w:p>
    <w:p w14:paraId="511F6AD3" w14:textId="5180B353" w:rsidR="00745523" w:rsidRDefault="00745523">
      <w:pPr>
        <w:pStyle w:val="TOC3"/>
        <w:rPr>
          <w:rFonts w:asciiTheme="minorHAnsi" w:eastAsiaTheme="minorEastAsia" w:hAnsiTheme="minorHAnsi" w:cstheme="minorBidi"/>
          <w:kern w:val="2"/>
          <w:sz w:val="22"/>
          <w:szCs w:val="22"/>
          <w:lang w:eastAsia="en-GB"/>
          <w14:ligatures w14:val="standardContextual"/>
        </w:rPr>
      </w:pPr>
      <w:r>
        <w:t>9.2.5</w:t>
      </w:r>
      <w:r>
        <w:rPr>
          <w:rFonts w:asciiTheme="minorHAnsi" w:eastAsiaTheme="minorEastAsia" w:hAnsiTheme="minorHAnsi" w:cstheme="minorBidi"/>
          <w:kern w:val="2"/>
          <w:sz w:val="22"/>
          <w:szCs w:val="22"/>
          <w:lang w:eastAsia="en-GB"/>
          <w14:ligatures w14:val="standardContextual"/>
        </w:rPr>
        <w:tab/>
      </w:r>
      <w:r>
        <w:t>UE procedure for reporting multiple UCI types</w:t>
      </w:r>
      <w:r>
        <w:tab/>
      </w:r>
      <w:r>
        <w:fldChar w:fldCharType="begin" w:fldLock="1"/>
      </w:r>
      <w:r>
        <w:instrText xml:space="preserve"> PAGEREF _Toc161999133 \h </w:instrText>
      </w:r>
      <w:r>
        <w:fldChar w:fldCharType="separate"/>
      </w:r>
      <w:r>
        <w:t>133</w:t>
      </w:r>
      <w:r>
        <w:fldChar w:fldCharType="end"/>
      </w:r>
    </w:p>
    <w:p w14:paraId="3D51F206" w14:textId="5A6C7024" w:rsidR="00745523" w:rsidRDefault="00745523">
      <w:pPr>
        <w:pStyle w:val="TOC4"/>
        <w:rPr>
          <w:rFonts w:asciiTheme="minorHAnsi" w:eastAsiaTheme="minorEastAsia" w:hAnsiTheme="minorHAnsi" w:cstheme="minorBidi"/>
          <w:kern w:val="2"/>
          <w:sz w:val="22"/>
          <w:szCs w:val="22"/>
          <w:lang w:eastAsia="en-GB"/>
          <w14:ligatures w14:val="standardContextual"/>
        </w:rPr>
      </w:pPr>
      <w:r w:rsidRPr="009B02F4">
        <w:rPr>
          <w:rFonts w:eastAsia="Malgun Gothic"/>
        </w:rPr>
        <w:t>9.2.5.0</w:t>
      </w:r>
      <w:r>
        <w:rPr>
          <w:rFonts w:asciiTheme="minorHAnsi" w:eastAsiaTheme="minorEastAsia" w:hAnsiTheme="minorHAnsi" w:cstheme="minorBidi"/>
          <w:kern w:val="2"/>
          <w:sz w:val="22"/>
          <w:szCs w:val="22"/>
          <w:lang w:eastAsia="en-GB"/>
          <w14:ligatures w14:val="standardContextual"/>
        </w:rPr>
        <w:tab/>
      </w:r>
      <w:r w:rsidRPr="009B02F4">
        <w:rPr>
          <w:rFonts w:eastAsia="Malgun Gothic"/>
        </w:rPr>
        <w:t>UE procedure for prioritization between SL HARQ-ACK information in a PUCCH and DL HARQ-ACK or SR or CSI in a PUCCH</w:t>
      </w:r>
      <w:r>
        <w:tab/>
      </w:r>
      <w:r>
        <w:fldChar w:fldCharType="begin" w:fldLock="1"/>
      </w:r>
      <w:r>
        <w:instrText xml:space="preserve"> PAGEREF _Toc161999134 \h </w:instrText>
      </w:r>
      <w:r>
        <w:fldChar w:fldCharType="separate"/>
      </w:r>
      <w:r>
        <w:t>138</w:t>
      </w:r>
      <w:r>
        <w:fldChar w:fldCharType="end"/>
      </w:r>
    </w:p>
    <w:p w14:paraId="0BBEB410" w14:textId="60CDF292" w:rsidR="00745523" w:rsidRDefault="00745523">
      <w:pPr>
        <w:pStyle w:val="TOC4"/>
        <w:rPr>
          <w:rFonts w:asciiTheme="minorHAnsi" w:eastAsiaTheme="minorEastAsia" w:hAnsiTheme="minorHAnsi" w:cstheme="minorBidi"/>
          <w:kern w:val="2"/>
          <w:sz w:val="22"/>
          <w:szCs w:val="22"/>
          <w:lang w:eastAsia="en-GB"/>
          <w14:ligatures w14:val="standardContextual"/>
        </w:rPr>
      </w:pPr>
      <w:r>
        <w:t>9.2.5.1</w:t>
      </w:r>
      <w:r>
        <w:rPr>
          <w:rFonts w:asciiTheme="minorHAnsi" w:eastAsiaTheme="minorEastAsia" w:hAnsiTheme="minorHAnsi" w:cstheme="minorBidi"/>
          <w:kern w:val="2"/>
          <w:sz w:val="22"/>
          <w:szCs w:val="22"/>
          <w:lang w:eastAsia="en-GB"/>
          <w14:ligatures w14:val="standardContextual"/>
        </w:rPr>
        <w:tab/>
      </w:r>
      <w:r>
        <w:t>UE procedure for multiplexing HARQ-ACK or CSI and SR in a PUCCH</w:t>
      </w:r>
      <w:r>
        <w:tab/>
      </w:r>
      <w:r>
        <w:fldChar w:fldCharType="begin" w:fldLock="1"/>
      </w:r>
      <w:r>
        <w:instrText xml:space="preserve"> PAGEREF _Toc161999135 \h </w:instrText>
      </w:r>
      <w:r>
        <w:fldChar w:fldCharType="separate"/>
      </w:r>
      <w:r>
        <w:t>139</w:t>
      </w:r>
      <w:r>
        <w:fldChar w:fldCharType="end"/>
      </w:r>
    </w:p>
    <w:p w14:paraId="2E0E8229" w14:textId="61253A5C" w:rsidR="00745523" w:rsidRDefault="00745523">
      <w:pPr>
        <w:pStyle w:val="TOC4"/>
        <w:rPr>
          <w:rFonts w:asciiTheme="minorHAnsi" w:eastAsiaTheme="minorEastAsia" w:hAnsiTheme="minorHAnsi" w:cstheme="minorBidi"/>
          <w:kern w:val="2"/>
          <w:sz w:val="22"/>
          <w:szCs w:val="22"/>
          <w:lang w:eastAsia="en-GB"/>
          <w14:ligatures w14:val="standardContextual"/>
        </w:rPr>
      </w:pPr>
      <w:r>
        <w:t>9.2.5.2</w:t>
      </w:r>
      <w:r>
        <w:rPr>
          <w:rFonts w:asciiTheme="minorHAnsi" w:eastAsiaTheme="minorEastAsia" w:hAnsiTheme="minorHAnsi" w:cstheme="minorBidi"/>
          <w:kern w:val="2"/>
          <w:sz w:val="22"/>
          <w:szCs w:val="22"/>
          <w:lang w:eastAsia="en-GB"/>
          <w14:ligatures w14:val="standardContextual"/>
        </w:rPr>
        <w:tab/>
      </w:r>
      <w:r>
        <w:t>UE procedure for multiplexing HARQ-ACK/SR/CSI in a PUCCH</w:t>
      </w:r>
      <w:r>
        <w:tab/>
      </w:r>
      <w:r>
        <w:fldChar w:fldCharType="begin" w:fldLock="1"/>
      </w:r>
      <w:r>
        <w:instrText xml:space="preserve"> PAGEREF _Toc161999136 \h </w:instrText>
      </w:r>
      <w:r>
        <w:fldChar w:fldCharType="separate"/>
      </w:r>
      <w:r>
        <w:t>140</w:t>
      </w:r>
      <w:r>
        <w:fldChar w:fldCharType="end"/>
      </w:r>
    </w:p>
    <w:p w14:paraId="7DA42925" w14:textId="67CC6B95" w:rsidR="00745523" w:rsidRDefault="00745523">
      <w:pPr>
        <w:pStyle w:val="TOC4"/>
        <w:rPr>
          <w:rFonts w:asciiTheme="minorHAnsi" w:eastAsiaTheme="minorEastAsia" w:hAnsiTheme="minorHAnsi" w:cstheme="minorBidi"/>
          <w:kern w:val="2"/>
          <w:sz w:val="22"/>
          <w:szCs w:val="22"/>
          <w:lang w:eastAsia="en-GB"/>
          <w14:ligatures w14:val="standardContextual"/>
        </w:rPr>
      </w:pPr>
      <w:r>
        <w:t>9.2.5.3</w:t>
      </w:r>
      <w:r>
        <w:rPr>
          <w:rFonts w:asciiTheme="minorHAnsi" w:eastAsiaTheme="minorEastAsia" w:hAnsiTheme="minorHAnsi" w:cstheme="minorBidi"/>
          <w:kern w:val="2"/>
          <w:sz w:val="22"/>
          <w:szCs w:val="22"/>
          <w:lang w:eastAsia="en-GB"/>
          <w14:ligatures w14:val="standardContextual"/>
        </w:rPr>
        <w:tab/>
      </w:r>
      <w:r>
        <w:t>UE procedure for reporting UCI of different priorities</w:t>
      </w:r>
      <w:r>
        <w:tab/>
      </w:r>
      <w:r>
        <w:fldChar w:fldCharType="begin" w:fldLock="1"/>
      </w:r>
      <w:r>
        <w:instrText xml:space="preserve"> PAGEREF _Toc161999137 \h </w:instrText>
      </w:r>
      <w:r>
        <w:fldChar w:fldCharType="separate"/>
      </w:r>
      <w:r>
        <w:t>144</w:t>
      </w:r>
      <w:r>
        <w:fldChar w:fldCharType="end"/>
      </w:r>
    </w:p>
    <w:p w14:paraId="1DCB70DF" w14:textId="5A35AE58" w:rsidR="00745523" w:rsidRDefault="00745523">
      <w:pPr>
        <w:pStyle w:val="TOC4"/>
        <w:rPr>
          <w:rFonts w:asciiTheme="minorHAnsi" w:eastAsiaTheme="minorEastAsia" w:hAnsiTheme="minorHAnsi" w:cstheme="minorBidi"/>
          <w:kern w:val="2"/>
          <w:sz w:val="22"/>
          <w:szCs w:val="22"/>
          <w:lang w:eastAsia="en-GB"/>
          <w14:ligatures w14:val="standardContextual"/>
        </w:rPr>
      </w:pPr>
      <w:r>
        <w:t>9.2.5.4</w:t>
      </w:r>
      <w:r>
        <w:rPr>
          <w:rFonts w:asciiTheme="minorHAnsi" w:eastAsiaTheme="minorEastAsia" w:hAnsiTheme="minorHAnsi" w:cstheme="minorBidi"/>
          <w:kern w:val="2"/>
          <w:sz w:val="22"/>
          <w:szCs w:val="22"/>
          <w:lang w:eastAsia="en-GB"/>
          <w14:ligatures w14:val="standardContextual"/>
        </w:rPr>
        <w:tab/>
      </w:r>
      <w:r>
        <w:t>UE procedure for deferring HARQ-ACK for SPS PDSCH</w:t>
      </w:r>
      <w:r>
        <w:tab/>
      </w:r>
      <w:r>
        <w:fldChar w:fldCharType="begin" w:fldLock="1"/>
      </w:r>
      <w:r>
        <w:instrText xml:space="preserve"> PAGEREF _Toc161999138 \h </w:instrText>
      </w:r>
      <w:r>
        <w:fldChar w:fldCharType="separate"/>
      </w:r>
      <w:r>
        <w:t>145</w:t>
      </w:r>
      <w:r>
        <w:fldChar w:fldCharType="end"/>
      </w:r>
    </w:p>
    <w:p w14:paraId="20B5DB61" w14:textId="5B990BFF" w:rsidR="00745523" w:rsidRDefault="00745523">
      <w:pPr>
        <w:pStyle w:val="TOC3"/>
        <w:rPr>
          <w:rFonts w:asciiTheme="minorHAnsi" w:eastAsiaTheme="minorEastAsia" w:hAnsiTheme="minorHAnsi" w:cstheme="minorBidi"/>
          <w:kern w:val="2"/>
          <w:sz w:val="22"/>
          <w:szCs w:val="22"/>
          <w:lang w:eastAsia="en-GB"/>
          <w14:ligatures w14:val="standardContextual"/>
        </w:rPr>
      </w:pPr>
      <w:r>
        <w:t>9.2.6</w:t>
      </w:r>
      <w:r>
        <w:rPr>
          <w:rFonts w:asciiTheme="minorHAnsi" w:eastAsiaTheme="minorEastAsia" w:hAnsiTheme="minorHAnsi" w:cstheme="minorBidi"/>
          <w:kern w:val="2"/>
          <w:sz w:val="22"/>
          <w:szCs w:val="22"/>
          <w:lang w:eastAsia="en-GB"/>
          <w14:ligatures w14:val="standardContextual"/>
        </w:rPr>
        <w:tab/>
      </w:r>
      <w:r>
        <w:t>PUCCH repetition procedure</w:t>
      </w:r>
      <w:r>
        <w:tab/>
      </w:r>
      <w:r>
        <w:fldChar w:fldCharType="begin" w:fldLock="1"/>
      </w:r>
      <w:r>
        <w:instrText xml:space="preserve"> PAGEREF _Toc161999139 \h </w:instrText>
      </w:r>
      <w:r>
        <w:fldChar w:fldCharType="separate"/>
      </w:r>
      <w:r>
        <w:t>146</w:t>
      </w:r>
      <w:r>
        <w:fldChar w:fldCharType="end"/>
      </w:r>
    </w:p>
    <w:p w14:paraId="7BADCCD6" w14:textId="72558598" w:rsidR="00745523" w:rsidRDefault="00745523">
      <w:pPr>
        <w:pStyle w:val="TOC2"/>
        <w:rPr>
          <w:rFonts w:asciiTheme="minorHAnsi" w:eastAsiaTheme="minorEastAsia" w:hAnsiTheme="minorHAnsi" w:cstheme="minorBidi"/>
          <w:kern w:val="2"/>
          <w:sz w:val="22"/>
          <w:szCs w:val="22"/>
          <w:lang w:eastAsia="en-GB"/>
          <w14:ligatures w14:val="standardContextual"/>
        </w:rPr>
      </w:pPr>
      <w:r>
        <w:t>9.3</w:t>
      </w:r>
      <w:r>
        <w:rPr>
          <w:rFonts w:asciiTheme="minorHAnsi" w:eastAsiaTheme="minorEastAsia" w:hAnsiTheme="minorHAnsi" w:cstheme="minorBidi"/>
          <w:kern w:val="2"/>
          <w:sz w:val="22"/>
          <w:szCs w:val="22"/>
          <w:lang w:eastAsia="en-GB"/>
          <w14:ligatures w14:val="standardContextual"/>
        </w:rPr>
        <w:tab/>
      </w:r>
      <w:r>
        <w:t>UCI reporting in physical uplink shared channel</w:t>
      </w:r>
      <w:r>
        <w:tab/>
      </w:r>
      <w:r>
        <w:fldChar w:fldCharType="begin" w:fldLock="1"/>
      </w:r>
      <w:r>
        <w:instrText xml:space="preserve"> PAGEREF _Toc161999140 \h </w:instrText>
      </w:r>
      <w:r>
        <w:fldChar w:fldCharType="separate"/>
      </w:r>
      <w:r>
        <w:t>149</w:t>
      </w:r>
      <w:r>
        <w:fldChar w:fldCharType="end"/>
      </w:r>
    </w:p>
    <w:p w14:paraId="55981B36" w14:textId="0066A019" w:rsidR="00745523" w:rsidRDefault="00745523">
      <w:pPr>
        <w:pStyle w:val="TOC3"/>
        <w:rPr>
          <w:rFonts w:asciiTheme="minorHAnsi" w:eastAsiaTheme="minorEastAsia" w:hAnsiTheme="minorHAnsi" w:cstheme="minorBidi"/>
          <w:kern w:val="2"/>
          <w:sz w:val="22"/>
          <w:szCs w:val="22"/>
          <w:lang w:eastAsia="en-GB"/>
          <w14:ligatures w14:val="standardContextual"/>
        </w:rPr>
      </w:pPr>
      <w:r>
        <w:t>9.3.1</w:t>
      </w:r>
      <w:r>
        <w:rPr>
          <w:rFonts w:asciiTheme="minorHAnsi" w:eastAsiaTheme="minorEastAsia" w:hAnsiTheme="minorHAnsi" w:cstheme="minorBidi"/>
          <w:kern w:val="2"/>
          <w:sz w:val="22"/>
          <w:szCs w:val="22"/>
          <w:lang w:eastAsia="en-GB"/>
          <w14:ligatures w14:val="standardContextual"/>
        </w:rPr>
        <w:tab/>
      </w:r>
      <w:r>
        <w:t>UE procedure for reporting UTO-UCI</w:t>
      </w:r>
      <w:r>
        <w:tab/>
      </w:r>
      <w:r>
        <w:fldChar w:fldCharType="begin" w:fldLock="1"/>
      </w:r>
      <w:r>
        <w:instrText xml:space="preserve"> PAGEREF _Toc161999141 \h </w:instrText>
      </w:r>
      <w:r>
        <w:fldChar w:fldCharType="separate"/>
      </w:r>
      <w:r>
        <w:t>154</w:t>
      </w:r>
      <w:r>
        <w:fldChar w:fldCharType="end"/>
      </w:r>
    </w:p>
    <w:p w14:paraId="4758CEFE" w14:textId="23273050" w:rsidR="00745523" w:rsidRDefault="00745523">
      <w:pPr>
        <w:pStyle w:val="TOC1"/>
        <w:rPr>
          <w:rFonts w:asciiTheme="minorHAnsi" w:eastAsiaTheme="minorEastAsia" w:hAnsiTheme="minorHAnsi" w:cstheme="minorBidi"/>
          <w:kern w:val="2"/>
          <w:szCs w:val="22"/>
          <w:lang w:eastAsia="en-GB"/>
          <w14:ligatures w14:val="standardContextual"/>
        </w:rPr>
      </w:pPr>
      <w:r>
        <w:t>10</w:t>
      </w:r>
      <w:r>
        <w:rPr>
          <w:rFonts w:asciiTheme="minorHAnsi" w:eastAsiaTheme="minorEastAsia" w:hAnsiTheme="minorHAnsi" w:cstheme="minorBidi"/>
          <w:kern w:val="2"/>
          <w:szCs w:val="22"/>
          <w:lang w:eastAsia="en-GB"/>
          <w14:ligatures w14:val="standardContextual"/>
        </w:rPr>
        <w:tab/>
      </w:r>
      <w:r>
        <w:t>UE procedure for receiving control information</w:t>
      </w:r>
      <w:r>
        <w:tab/>
      </w:r>
      <w:r>
        <w:fldChar w:fldCharType="begin" w:fldLock="1"/>
      </w:r>
      <w:r>
        <w:instrText xml:space="preserve"> PAGEREF _Toc161999142 \h </w:instrText>
      </w:r>
      <w:r>
        <w:fldChar w:fldCharType="separate"/>
      </w:r>
      <w:r>
        <w:t>154</w:t>
      </w:r>
      <w:r>
        <w:fldChar w:fldCharType="end"/>
      </w:r>
    </w:p>
    <w:p w14:paraId="3509C116" w14:textId="5BB46C16" w:rsidR="00745523" w:rsidRDefault="00745523">
      <w:pPr>
        <w:pStyle w:val="TOC2"/>
        <w:rPr>
          <w:rFonts w:asciiTheme="minorHAnsi" w:eastAsiaTheme="minorEastAsia" w:hAnsiTheme="minorHAnsi" w:cstheme="minorBidi"/>
          <w:kern w:val="2"/>
          <w:sz w:val="22"/>
          <w:szCs w:val="22"/>
          <w:lang w:eastAsia="en-GB"/>
          <w14:ligatures w14:val="standardContextual"/>
        </w:rPr>
      </w:pPr>
      <w:r>
        <w:t>10.1</w:t>
      </w:r>
      <w:r>
        <w:rPr>
          <w:rFonts w:asciiTheme="minorHAnsi" w:eastAsiaTheme="minorEastAsia" w:hAnsiTheme="minorHAnsi" w:cstheme="minorBidi"/>
          <w:kern w:val="2"/>
          <w:sz w:val="22"/>
          <w:szCs w:val="22"/>
          <w:lang w:eastAsia="en-GB"/>
          <w14:ligatures w14:val="standardContextual"/>
        </w:rPr>
        <w:tab/>
      </w:r>
      <w:r>
        <w:t>UE procedure for determining physical downlink control channel assignment</w:t>
      </w:r>
      <w:r>
        <w:tab/>
      </w:r>
      <w:r>
        <w:fldChar w:fldCharType="begin" w:fldLock="1"/>
      </w:r>
      <w:r>
        <w:instrText xml:space="preserve"> PAGEREF _Toc161999143 \h </w:instrText>
      </w:r>
      <w:r>
        <w:fldChar w:fldCharType="separate"/>
      </w:r>
      <w:r>
        <w:t>168</w:t>
      </w:r>
      <w:r>
        <w:fldChar w:fldCharType="end"/>
      </w:r>
    </w:p>
    <w:p w14:paraId="52414886" w14:textId="1D42B55E" w:rsidR="00745523" w:rsidRDefault="00745523">
      <w:pPr>
        <w:pStyle w:val="TOC3"/>
        <w:rPr>
          <w:rFonts w:asciiTheme="minorHAnsi" w:eastAsiaTheme="minorEastAsia" w:hAnsiTheme="minorHAnsi" w:cstheme="minorBidi"/>
          <w:kern w:val="2"/>
          <w:sz w:val="22"/>
          <w:szCs w:val="22"/>
          <w:lang w:eastAsia="en-GB"/>
          <w14:ligatures w14:val="standardContextual"/>
        </w:rPr>
      </w:pPr>
      <w:r>
        <w:t>10.1.1</w:t>
      </w:r>
      <w:r>
        <w:rPr>
          <w:rFonts w:asciiTheme="minorHAnsi" w:eastAsiaTheme="minorEastAsia" w:hAnsiTheme="minorHAnsi" w:cstheme="minorBidi"/>
          <w:kern w:val="2"/>
          <w:sz w:val="22"/>
          <w:szCs w:val="22"/>
          <w:lang w:eastAsia="en-GB"/>
          <w14:ligatures w14:val="standardContextual"/>
        </w:rPr>
        <w:tab/>
      </w:r>
      <w:r>
        <w:t>Self-carrier and cross-carrier scheduling on the primary cell</w:t>
      </w:r>
      <w:r>
        <w:tab/>
      </w:r>
      <w:r>
        <w:fldChar w:fldCharType="begin" w:fldLock="1"/>
      </w:r>
      <w:r>
        <w:instrText xml:space="preserve"> PAGEREF _Toc161999144 \h </w:instrText>
      </w:r>
      <w:r>
        <w:fldChar w:fldCharType="separate"/>
      </w:r>
      <w:r>
        <w:t>190</w:t>
      </w:r>
      <w:r>
        <w:fldChar w:fldCharType="end"/>
      </w:r>
    </w:p>
    <w:p w14:paraId="2D882D39" w14:textId="5B30DBB6" w:rsidR="00745523" w:rsidRDefault="00745523">
      <w:pPr>
        <w:pStyle w:val="TOC2"/>
        <w:rPr>
          <w:rFonts w:asciiTheme="minorHAnsi" w:eastAsiaTheme="minorEastAsia" w:hAnsiTheme="minorHAnsi" w:cstheme="minorBidi"/>
          <w:kern w:val="2"/>
          <w:sz w:val="22"/>
          <w:szCs w:val="22"/>
          <w:lang w:eastAsia="en-GB"/>
          <w14:ligatures w14:val="standardContextual"/>
        </w:rPr>
      </w:pPr>
      <w:r>
        <w:t>10.2</w:t>
      </w:r>
      <w:r>
        <w:rPr>
          <w:rFonts w:asciiTheme="minorHAnsi" w:eastAsiaTheme="minorEastAsia" w:hAnsiTheme="minorHAnsi" w:cstheme="minorBidi"/>
          <w:kern w:val="2"/>
          <w:sz w:val="22"/>
          <w:szCs w:val="22"/>
          <w:lang w:eastAsia="en-GB"/>
          <w14:ligatures w14:val="standardContextual"/>
        </w:rPr>
        <w:tab/>
      </w:r>
      <w:r>
        <w:t xml:space="preserve">PDCCH validation for DL SPS </w:t>
      </w:r>
      <w:r w:rsidRPr="009B02F4">
        <w:rPr>
          <w:rFonts w:cs="Arial"/>
          <w:color w:val="000000"/>
          <w:lang w:eastAsia="zh-CN"/>
        </w:rPr>
        <w:t>and UL grant Type 2</w:t>
      </w:r>
      <w:r>
        <w:tab/>
      </w:r>
      <w:r>
        <w:fldChar w:fldCharType="begin" w:fldLock="1"/>
      </w:r>
      <w:r>
        <w:instrText xml:space="preserve"> PAGEREF _Toc161999145 \h </w:instrText>
      </w:r>
      <w:r>
        <w:fldChar w:fldCharType="separate"/>
      </w:r>
      <w:r>
        <w:t>191</w:t>
      </w:r>
      <w:r>
        <w:fldChar w:fldCharType="end"/>
      </w:r>
    </w:p>
    <w:p w14:paraId="5C3BB6CD" w14:textId="2D6BD336" w:rsidR="00745523" w:rsidRDefault="00745523">
      <w:pPr>
        <w:pStyle w:val="TOC2"/>
        <w:rPr>
          <w:rFonts w:asciiTheme="minorHAnsi" w:eastAsiaTheme="minorEastAsia" w:hAnsiTheme="minorHAnsi" w:cstheme="minorBidi"/>
          <w:kern w:val="2"/>
          <w:sz w:val="22"/>
          <w:szCs w:val="22"/>
          <w:lang w:eastAsia="en-GB"/>
          <w14:ligatures w14:val="standardContextual"/>
        </w:rPr>
      </w:pPr>
      <w:r>
        <w:t>10.2A</w:t>
      </w:r>
      <w:r>
        <w:rPr>
          <w:rFonts w:asciiTheme="minorHAnsi" w:eastAsiaTheme="minorEastAsia" w:hAnsiTheme="minorHAnsi" w:cstheme="minorBidi"/>
          <w:kern w:val="2"/>
          <w:sz w:val="22"/>
          <w:szCs w:val="22"/>
          <w:lang w:eastAsia="en-GB"/>
          <w14:ligatures w14:val="standardContextual"/>
        </w:rPr>
        <w:tab/>
      </w:r>
      <w:r>
        <w:t>PDCCH validation for S</w:t>
      </w:r>
      <w:r w:rsidRPr="009B02F4">
        <w:rPr>
          <w:rFonts w:cs="Arial"/>
          <w:color w:val="000000"/>
          <w:lang w:eastAsia="zh-CN"/>
        </w:rPr>
        <w:t>L configured grant Type 2</w:t>
      </w:r>
      <w:r>
        <w:tab/>
      </w:r>
      <w:r>
        <w:fldChar w:fldCharType="begin" w:fldLock="1"/>
      </w:r>
      <w:r>
        <w:instrText xml:space="preserve"> PAGEREF _Toc161999146 \h </w:instrText>
      </w:r>
      <w:r>
        <w:fldChar w:fldCharType="separate"/>
      </w:r>
      <w:r>
        <w:t>193</w:t>
      </w:r>
      <w:r>
        <w:fldChar w:fldCharType="end"/>
      </w:r>
    </w:p>
    <w:p w14:paraId="79E0C12B" w14:textId="37DB4969" w:rsidR="00745523" w:rsidRDefault="00745523">
      <w:pPr>
        <w:pStyle w:val="TOC2"/>
        <w:rPr>
          <w:rFonts w:asciiTheme="minorHAnsi" w:eastAsiaTheme="minorEastAsia" w:hAnsiTheme="minorHAnsi" w:cstheme="minorBidi"/>
          <w:kern w:val="2"/>
          <w:sz w:val="22"/>
          <w:szCs w:val="22"/>
          <w:lang w:eastAsia="en-GB"/>
          <w14:ligatures w14:val="standardContextual"/>
        </w:rPr>
      </w:pPr>
      <w:r>
        <w:rPr>
          <w:lang w:eastAsia="zh-CN"/>
        </w:rPr>
        <w:t>10.3</w:t>
      </w:r>
      <w:r>
        <w:rPr>
          <w:rFonts w:asciiTheme="minorHAnsi" w:eastAsiaTheme="minorEastAsia" w:hAnsiTheme="minorHAnsi" w:cstheme="minorBidi"/>
          <w:kern w:val="2"/>
          <w:sz w:val="22"/>
          <w:szCs w:val="22"/>
          <w:lang w:eastAsia="en-GB"/>
          <w14:ligatures w14:val="standardContextual"/>
        </w:rPr>
        <w:tab/>
      </w:r>
      <w:r>
        <w:rPr>
          <w:lang w:eastAsia="zh-CN"/>
        </w:rPr>
        <w:t>PDCCH monitoring indication and dormancy/non-dormancy behaviour for SCells</w:t>
      </w:r>
      <w:r>
        <w:tab/>
      </w:r>
      <w:r>
        <w:fldChar w:fldCharType="begin" w:fldLock="1"/>
      </w:r>
      <w:r>
        <w:instrText xml:space="preserve"> PAGEREF _Toc161999147 \h </w:instrText>
      </w:r>
      <w:r>
        <w:fldChar w:fldCharType="separate"/>
      </w:r>
      <w:r>
        <w:t>193</w:t>
      </w:r>
      <w:r>
        <w:fldChar w:fldCharType="end"/>
      </w:r>
    </w:p>
    <w:p w14:paraId="3E5F81A3" w14:textId="7F65122F" w:rsidR="00745523" w:rsidRDefault="00745523">
      <w:pPr>
        <w:pStyle w:val="TOC2"/>
        <w:rPr>
          <w:rFonts w:asciiTheme="minorHAnsi" w:eastAsiaTheme="minorEastAsia" w:hAnsiTheme="minorHAnsi" w:cstheme="minorBidi"/>
          <w:kern w:val="2"/>
          <w:sz w:val="22"/>
          <w:szCs w:val="22"/>
          <w:lang w:eastAsia="en-GB"/>
          <w14:ligatures w14:val="standardContextual"/>
        </w:rPr>
      </w:pPr>
      <w:r>
        <w:t>10.4</w:t>
      </w:r>
      <w:r>
        <w:rPr>
          <w:rFonts w:asciiTheme="minorHAnsi" w:eastAsiaTheme="minorEastAsia" w:hAnsiTheme="minorHAnsi" w:cstheme="minorBidi"/>
          <w:kern w:val="2"/>
          <w:sz w:val="22"/>
          <w:szCs w:val="22"/>
          <w:lang w:eastAsia="en-GB"/>
          <w14:ligatures w14:val="standardContextual"/>
        </w:rPr>
        <w:tab/>
      </w:r>
      <w:r>
        <w:t>Search space set group switching and skipping of PDCCH monitoring</w:t>
      </w:r>
      <w:r>
        <w:tab/>
      </w:r>
      <w:r>
        <w:fldChar w:fldCharType="begin" w:fldLock="1"/>
      </w:r>
      <w:r>
        <w:instrText xml:space="preserve"> PAGEREF _Toc161999148 \h </w:instrText>
      </w:r>
      <w:r>
        <w:fldChar w:fldCharType="separate"/>
      </w:r>
      <w:r>
        <w:t>197</w:t>
      </w:r>
      <w:r>
        <w:fldChar w:fldCharType="end"/>
      </w:r>
    </w:p>
    <w:p w14:paraId="70FD1D28" w14:textId="47A70E19" w:rsidR="00745523" w:rsidRDefault="00745523">
      <w:pPr>
        <w:pStyle w:val="TOC2"/>
        <w:rPr>
          <w:rFonts w:asciiTheme="minorHAnsi" w:eastAsiaTheme="minorEastAsia" w:hAnsiTheme="minorHAnsi" w:cstheme="minorBidi"/>
          <w:kern w:val="2"/>
          <w:sz w:val="22"/>
          <w:szCs w:val="22"/>
          <w:lang w:eastAsia="en-GB"/>
          <w14:ligatures w14:val="standardContextual"/>
        </w:rPr>
      </w:pPr>
      <w:r>
        <w:rPr>
          <w:lang w:eastAsia="zh-CN"/>
        </w:rPr>
        <w:t>10.4A</w:t>
      </w:r>
      <w:r>
        <w:rPr>
          <w:rFonts w:asciiTheme="minorHAnsi" w:eastAsiaTheme="minorEastAsia" w:hAnsiTheme="minorHAnsi" w:cstheme="minorBidi"/>
          <w:kern w:val="2"/>
          <w:sz w:val="22"/>
          <w:szCs w:val="22"/>
          <w:lang w:eastAsia="en-GB"/>
          <w14:ligatures w14:val="standardContextual"/>
        </w:rPr>
        <w:tab/>
      </w:r>
      <w:r>
        <w:rPr>
          <w:lang w:eastAsia="zh-CN"/>
        </w:rPr>
        <w:t>PDCCH monitoring for early indication of paging</w:t>
      </w:r>
      <w:r>
        <w:tab/>
      </w:r>
      <w:r>
        <w:fldChar w:fldCharType="begin" w:fldLock="1"/>
      </w:r>
      <w:r>
        <w:instrText xml:space="preserve"> PAGEREF _Toc161999149 \h </w:instrText>
      </w:r>
      <w:r>
        <w:fldChar w:fldCharType="separate"/>
      </w:r>
      <w:r>
        <w:t>202</w:t>
      </w:r>
      <w:r>
        <w:fldChar w:fldCharType="end"/>
      </w:r>
    </w:p>
    <w:p w14:paraId="39548AA8" w14:textId="3355FFC2" w:rsidR="00745523" w:rsidRDefault="00745523">
      <w:pPr>
        <w:pStyle w:val="TOC2"/>
        <w:rPr>
          <w:rFonts w:asciiTheme="minorHAnsi" w:eastAsiaTheme="minorEastAsia" w:hAnsiTheme="minorHAnsi" w:cstheme="minorBidi"/>
          <w:kern w:val="2"/>
          <w:sz w:val="22"/>
          <w:szCs w:val="22"/>
          <w:lang w:eastAsia="en-GB"/>
          <w14:ligatures w14:val="standardContextual"/>
        </w:rPr>
      </w:pPr>
      <w:r>
        <w:rPr>
          <w:lang w:eastAsia="zh-CN"/>
        </w:rPr>
        <w:t>10.4B</w:t>
      </w:r>
      <w:r>
        <w:rPr>
          <w:rFonts w:asciiTheme="minorHAnsi" w:eastAsiaTheme="minorEastAsia" w:hAnsiTheme="minorHAnsi" w:cstheme="minorBidi"/>
          <w:kern w:val="2"/>
          <w:sz w:val="22"/>
          <w:szCs w:val="22"/>
          <w:lang w:eastAsia="en-GB"/>
          <w14:ligatures w14:val="standardContextual"/>
        </w:rPr>
        <w:tab/>
      </w:r>
      <w:r>
        <w:rPr>
          <w:lang w:eastAsia="zh-CN"/>
        </w:rPr>
        <w:t>Indication of TRS resources</w:t>
      </w:r>
      <w:r>
        <w:tab/>
      </w:r>
      <w:r>
        <w:fldChar w:fldCharType="begin" w:fldLock="1"/>
      </w:r>
      <w:r>
        <w:instrText xml:space="preserve"> PAGEREF _Toc161999150 \h </w:instrText>
      </w:r>
      <w:r>
        <w:fldChar w:fldCharType="separate"/>
      </w:r>
      <w:r>
        <w:t>202</w:t>
      </w:r>
      <w:r>
        <w:fldChar w:fldCharType="end"/>
      </w:r>
    </w:p>
    <w:p w14:paraId="7B582412" w14:textId="32D47A26" w:rsidR="00745523" w:rsidRDefault="00745523">
      <w:pPr>
        <w:pStyle w:val="TOC2"/>
        <w:rPr>
          <w:rFonts w:asciiTheme="minorHAnsi" w:eastAsiaTheme="minorEastAsia" w:hAnsiTheme="minorHAnsi" w:cstheme="minorBidi"/>
          <w:kern w:val="2"/>
          <w:sz w:val="22"/>
          <w:szCs w:val="22"/>
          <w:lang w:eastAsia="en-GB"/>
          <w14:ligatures w14:val="standardContextual"/>
        </w:rPr>
      </w:pPr>
      <w:r>
        <w:t>10.5</w:t>
      </w:r>
      <w:r>
        <w:rPr>
          <w:rFonts w:asciiTheme="minorHAnsi" w:eastAsiaTheme="minorEastAsia" w:hAnsiTheme="minorHAnsi" w:cstheme="minorBidi"/>
          <w:kern w:val="2"/>
          <w:sz w:val="22"/>
          <w:szCs w:val="22"/>
          <w:lang w:eastAsia="en-GB"/>
          <w14:ligatures w14:val="standardContextual"/>
        </w:rPr>
        <w:tab/>
      </w:r>
      <w:r>
        <w:t>HARQ-ACK information for</w:t>
      </w:r>
      <w:r w:rsidRPr="009B02F4">
        <w:rPr>
          <w:rFonts w:cs="Arial"/>
          <w:lang w:eastAsia="zh-CN"/>
        </w:rPr>
        <w:t xml:space="preserve"> PUSCH transmissions</w:t>
      </w:r>
      <w:r>
        <w:tab/>
      </w:r>
      <w:r>
        <w:fldChar w:fldCharType="begin" w:fldLock="1"/>
      </w:r>
      <w:r>
        <w:instrText xml:space="preserve"> PAGEREF _Toc161999151 \h </w:instrText>
      </w:r>
      <w:r>
        <w:fldChar w:fldCharType="separate"/>
      </w:r>
      <w:r>
        <w:t>202</w:t>
      </w:r>
      <w:r>
        <w:fldChar w:fldCharType="end"/>
      </w:r>
    </w:p>
    <w:p w14:paraId="7F6CCCF5" w14:textId="3F529FCF" w:rsidR="00745523" w:rsidRDefault="00745523">
      <w:pPr>
        <w:pStyle w:val="TOC1"/>
        <w:rPr>
          <w:rFonts w:asciiTheme="minorHAnsi" w:eastAsiaTheme="minorEastAsia" w:hAnsiTheme="minorHAnsi" w:cstheme="minorBidi"/>
          <w:kern w:val="2"/>
          <w:szCs w:val="22"/>
          <w:lang w:eastAsia="en-GB"/>
          <w14:ligatures w14:val="standardContextual"/>
        </w:rPr>
      </w:pPr>
      <w:r>
        <w:rPr>
          <w:lang w:eastAsia="zh-CN"/>
        </w:rPr>
        <w:t>1</w:t>
      </w:r>
      <w:r w:rsidRPr="009B02F4">
        <w:rPr>
          <w:rFonts w:eastAsia="MS Mincho"/>
          <w:lang w:eastAsia="ja-JP"/>
        </w:rPr>
        <w:t>1</w:t>
      </w:r>
      <w:r>
        <w:rPr>
          <w:rFonts w:asciiTheme="minorHAnsi" w:eastAsiaTheme="minorEastAsia" w:hAnsiTheme="minorHAnsi" w:cstheme="minorBidi"/>
          <w:kern w:val="2"/>
          <w:szCs w:val="22"/>
          <w:lang w:eastAsia="en-GB"/>
          <w14:ligatures w14:val="standardContextual"/>
        </w:rPr>
        <w:tab/>
      </w:r>
      <w:r w:rsidRPr="009B02F4">
        <w:rPr>
          <w:rFonts w:eastAsia="MS Mincho"/>
          <w:lang w:eastAsia="ja-JP"/>
        </w:rPr>
        <w:t>UE-group common signalling</w:t>
      </w:r>
      <w:r>
        <w:tab/>
      </w:r>
      <w:r>
        <w:fldChar w:fldCharType="begin" w:fldLock="1"/>
      </w:r>
      <w:r>
        <w:instrText xml:space="preserve"> PAGEREF _Toc161999152 \h </w:instrText>
      </w:r>
      <w:r>
        <w:fldChar w:fldCharType="separate"/>
      </w:r>
      <w:r>
        <w:t>203</w:t>
      </w:r>
      <w:r>
        <w:fldChar w:fldCharType="end"/>
      </w:r>
    </w:p>
    <w:p w14:paraId="0BFFCE1D" w14:textId="3C23986B" w:rsidR="00745523" w:rsidRDefault="00745523">
      <w:pPr>
        <w:pStyle w:val="TOC2"/>
        <w:rPr>
          <w:rFonts w:asciiTheme="minorHAnsi" w:eastAsiaTheme="minorEastAsia" w:hAnsiTheme="minorHAnsi" w:cstheme="minorBidi"/>
          <w:kern w:val="2"/>
          <w:sz w:val="22"/>
          <w:szCs w:val="22"/>
          <w:lang w:eastAsia="en-GB"/>
          <w14:ligatures w14:val="standardContextual"/>
        </w:rPr>
      </w:pPr>
      <w:r>
        <w:rPr>
          <w:lang w:eastAsia="zh-CN"/>
        </w:rPr>
        <w:t>11.1</w:t>
      </w:r>
      <w:r>
        <w:rPr>
          <w:rFonts w:asciiTheme="minorHAnsi" w:eastAsiaTheme="minorEastAsia" w:hAnsiTheme="minorHAnsi" w:cstheme="minorBidi"/>
          <w:kern w:val="2"/>
          <w:sz w:val="22"/>
          <w:szCs w:val="22"/>
          <w:lang w:eastAsia="en-GB"/>
          <w14:ligatures w14:val="standardContextual"/>
        </w:rPr>
        <w:tab/>
      </w:r>
      <w:r>
        <w:rPr>
          <w:lang w:eastAsia="zh-CN"/>
        </w:rPr>
        <w:t>Slot configuration</w:t>
      </w:r>
      <w:r>
        <w:tab/>
      </w:r>
      <w:r>
        <w:fldChar w:fldCharType="begin" w:fldLock="1"/>
      </w:r>
      <w:r>
        <w:instrText xml:space="preserve"> PAGEREF _Toc161999153 \h </w:instrText>
      </w:r>
      <w:r>
        <w:fldChar w:fldCharType="separate"/>
      </w:r>
      <w:r>
        <w:t>203</w:t>
      </w:r>
      <w:r>
        <w:fldChar w:fldCharType="end"/>
      </w:r>
    </w:p>
    <w:p w14:paraId="6F92F2CB" w14:textId="492E2D27" w:rsidR="00745523" w:rsidRDefault="00745523">
      <w:pPr>
        <w:pStyle w:val="TOC3"/>
        <w:rPr>
          <w:rFonts w:asciiTheme="minorHAnsi" w:eastAsiaTheme="minorEastAsia" w:hAnsiTheme="minorHAnsi" w:cstheme="minorBidi"/>
          <w:kern w:val="2"/>
          <w:sz w:val="22"/>
          <w:szCs w:val="22"/>
          <w:lang w:eastAsia="en-GB"/>
          <w14:ligatures w14:val="standardContextual"/>
        </w:rPr>
      </w:pPr>
      <w:r>
        <w:t>11.1.1</w:t>
      </w:r>
      <w:r>
        <w:rPr>
          <w:rFonts w:asciiTheme="minorHAnsi" w:eastAsiaTheme="minorEastAsia" w:hAnsiTheme="minorHAnsi" w:cstheme="minorBidi"/>
          <w:kern w:val="2"/>
          <w:sz w:val="22"/>
          <w:szCs w:val="22"/>
          <w:lang w:eastAsia="en-GB"/>
          <w14:ligatures w14:val="standardContextual"/>
        </w:rPr>
        <w:tab/>
      </w:r>
      <w:r>
        <w:t>UE procedure for determining slot format</w:t>
      </w:r>
      <w:r>
        <w:tab/>
      </w:r>
      <w:r>
        <w:fldChar w:fldCharType="begin" w:fldLock="1"/>
      </w:r>
      <w:r>
        <w:instrText xml:space="preserve"> PAGEREF _Toc161999154 \h </w:instrText>
      </w:r>
      <w:r>
        <w:fldChar w:fldCharType="separate"/>
      </w:r>
      <w:r>
        <w:t>208</w:t>
      </w:r>
      <w:r>
        <w:fldChar w:fldCharType="end"/>
      </w:r>
    </w:p>
    <w:p w14:paraId="737941CA" w14:textId="13A0555A" w:rsidR="00745523" w:rsidRDefault="00745523">
      <w:pPr>
        <w:pStyle w:val="TOC2"/>
        <w:rPr>
          <w:rFonts w:asciiTheme="minorHAnsi" w:eastAsiaTheme="minorEastAsia" w:hAnsiTheme="minorHAnsi" w:cstheme="minorBidi"/>
          <w:kern w:val="2"/>
          <w:sz w:val="22"/>
          <w:szCs w:val="22"/>
          <w:lang w:eastAsia="en-GB"/>
          <w14:ligatures w14:val="standardContextual"/>
        </w:rPr>
      </w:pPr>
      <w:r>
        <w:rPr>
          <w:lang w:eastAsia="zh-CN"/>
        </w:rPr>
        <w:t>11.2</w:t>
      </w:r>
      <w:r>
        <w:rPr>
          <w:rFonts w:asciiTheme="minorHAnsi" w:eastAsiaTheme="minorEastAsia" w:hAnsiTheme="minorHAnsi" w:cstheme="minorBidi"/>
          <w:kern w:val="2"/>
          <w:sz w:val="22"/>
          <w:szCs w:val="22"/>
          <w:lang w:eastAsia="en-GB"/>
          <w14:ligatures w14:val="standardContextual"/>
        </w:rPr>
        <w:tab/>
      </w:r>
      <w:r>
        <w:rPr>
          <w:lang w:eastAsia="zh-CN"/>
        </w:rPr>
        <w:t>Interrupted transmission indication</w:t>
      </w:r>
      <w:r>
        <w:tab/>
      </w:r>
      <w:r>
        <w:fldChar w:fldCharType="begin" w:fldLock="1"/>
      </w:r>
      <w:r>
        <w:instrText xml:space="preserve"> PAGEREF _Toc161999155 \h </w:instrText>
      </w:r>
      <w:r>
        <w:fldChar w:fldCharType="separate"/>
      </w:r>
      <w:r>
        <w:t>216</w:t>
      </w:r>
      <w:r>
        <w:fldChar w:fldCharType="end"/>
      </w:r>
    </w:p>
    <w:p w14:paraId="0DDDDFE4" w14:textId="6D4080E8" w:rsidR="00745523" w:rsidRDefault="00745523">
      <w:pPr>
        <w:pStyle w:val="TOC2"/>
        <w:rPr>
          <w:rFonts w:asciiTheme="minorHAnsi" w:eastAsiaTheme="minorEastAsia" w:hAnsiTheme="minorHAnsi" w:cstheme="minorBidi"/>
          <w:kern w:val="2"/>
          <w:sz w:val="22"/>
          <w:szCs w:val="22"/>
          <w:lang w:eastAsia="en-GB"/>
          <w14:ligatures w14:val="standardContextual"/>
        </w:rPr>
      </w:pPr>
      <w:r>
        <w:rPr>
          <w:lang w:eastAsia="zh-CN"/>
        </w:rPr>
        <w:t>11.2A</w:t>
      </w:r>
      <w:r>
        <w:rPr>
          <w:rFonts w:asciiTheme="minorHAnsi" w:eastAsiaTheme="minorEastAsia" w:hAnsiTheme="minorHAnsi" w:cstheme="minorBidi"/>
          <w:kern w:val="2"/>
          <w:sz w:val="22"/>
          <w:szCs w:val="22"/>
          <w:lang w:eastAsia="en-GB"/>
          <w14:ligatures w14:val="standardContextual"/>
        </w:rPr>
        <w:tab/>
      </w:r>
      <w:r>
        <w:rPr>
          <w:lang w:eastAsia="zh-CN"/>
        </w:rPr>
        <w:t>Cancellation indication</w:t>
      </w:r>
      <w:r>
        <w:tab/>
      </w:r>
      <w:r>
        <w:fldChar w:fldCharType="begin" w:fldLock="1"/>
      </w:r>
      <w:r>
        <w:instrText xml:space="preserve"> PAGEREF _Toc161999156 \h </w:instrText>
      </w:r>
      <w:r>
        <w:fldChar w:fldCharType="separate"/>
      </w:r>
      <w:r>
        <w:t>217</w:t>
      </w:r>
      <w:r>
        <w:fldChar w:fldCharType="end"/>
      </w:r>
    </w:p>
    <w:p w14:paraId="13E2EAE6" w14:textId="0D5EC779" w:rsidR="00745523" w:rsidRDefault="00745523">
      <w:pPr>
        <w:pStyle w:val="TOC2"/>
        <w:rPr>
          <w:rFonts w:asciiTheme="minorHAnsi" w:eastAsiaTheme="minorEastAsia" w:hAnsiTheme="minorHAnsi" w:cstheme="minorBidi"/>
          <w:kern w:val="2"/>
          <w:sz w:val="22"/>
          <w:szCs w:val="22"/>
          <w:lang w:eastAsia="en-GB"/>
          <w14:ligatures w14:val="standardContextual"/>
        </w:rPr>
      </w:pPr>
      <w:r>
        <w:rPr>
          <w:lang w:eastAsia="zh-CN"/>
        </w:rPr>
        <w:t>11.3</w:t>
      </w:r>
      <w:r>
        <w:rPr>
          <w:rFonts w:asciiTheme="minorHAnsi" w:eastAsiaTheme="minorEastAsia" w:hAnsiTheme="minorHAnsi" w:cstheme="minorBidi"/>
          <w:kern w:val="2"/>
          <w:sz w:val="22"/>
          <w:szCs w:val="22"/>
          <w:lang w:eastAsia="en-GB"/>
          <w14:ligatures w14:val="standardContextual"/>
        </w:rPr>
        <w:tab/>
      </w:r>
      <w:r>
        <w:rPr>
          <w:lang w:eastAsia="zh-CN"/>
        </w:rPr>
        <w:t>Group TPC commands for PUCCH/PUSCH</w:t>
      </w:r>
      <w:r>
        <w:tab/>
      </w:r>
      <w:r>
        <w:fldChar w:fldCharType="begin" w:fldLock="1"/>
      </w:r>
      <w:r>
        <w:instrText xml:space="preserve"> PAGEREF _Toc161999157 \h </w:instrText>
      </w:r>
      <w:r>
        <w:fldChar w:fldCharType="separate"/>
      </w:r>
      <w:r>
        <w:t>218</w:t>
      </w:r>
      <w:r>
        <w:fldChar w:fldCharType="end"/>
      </w:r>
    </w:p>
    <w:p w14:paraId="035A2E75" w14:textId="7EF574A7" w:rsidR="00745523" w:rsidRDefault="00745523">
      <w:pPr>
        <w:pStyle w:val="TOC2"/>
        <w:rPr>
          <w:rFonts w:asciiTheme="minorHAnsi" w:eastAsiaTheme="minorEastAsia" w:hAnsiTheme="minorHAnsi" w:cstheme="minorBidi"/>
          <w:kern w:val="2"/>
          <w:sz w:val="22"/>
          <w:szCs w:val="22"/>
          <w:lang w:eastAsia="en-GB"/>
          <w14:ligatures w14:val="standardContextual"/>
        </w:rPr>
      </w:pPr>
      <w:r>
        <w:rPr>
          <w:lang w:eastAsia="zh-CN"/>
        </w:rPr>
        <w:t>11.4</w:t>
      </w:r>
      <w:r>
        <w:rPr>
          <w:rFonts w:asciiTheme="minorHAnsi" w:eastAsiaTheme="minorEastAsia" w:hAnsiTheme="minorHAnsi" w:cstheme="minorBidi"/>
          <w:kern w:val="2"/>
          <w:sz w:val="22"/>
          <w:szCs w:val="22"/>
          <w:lang w:eastAsia="en-GB"/>
          <w14:ligatures w14:val="standardContextual"/>
        </w:rPr>
        <w:tab/>
      </w:r>
      <w:r>
        <w:rPr>
          <w:lang w:eastAsia="zh-CN"/>
        </w:rPr>
        <w:t>SRS switching</w:t>
      </w:r>
      <w:r>
        <w:tab/>
      </w:r>
      <w:r>
        <w:fldChar w:fldCharType="begin" w:fldLock="1"/>
      </w:r>
      <w:r>
        <w:instrText xml:space="preserve"> PAGEREF _Toc161999158 \h </w:instrText>
      </w:r>
      <w:r>
        <w:fldChar w:fldCharType="separate"/>
      </w:r>
      <w:r>
        <w:t>219</w:t>
      </w:r>
      <w:r>
        <w:fldChar w:fldCharType="end"/>
      </w:r>
    </w:p>
    <w:p w14:paraId="35B4FB1F" w14:textId="026DB1D0" w:rsidR="00745523" w:rsidRDefault="00745523">
      <w:pPr>
        <w:pStyle w:val="TOC2"/>
        <w:rPr>
          <w:rFonts w:asciiTheme="minorHAnsi" w:eastAsiaTheme="minorEastAsia" w:hAnsiTheme="minorHAnsi" w:cstheme="minorBidi"/>
          <w:kern w:val="2"/>
          <w:sz w:val="22"/>
          <w:szCs w:val="22"/>
          <w:lang w:eastAsia="en-GB"/>
          <w14:ligatures w14:val="standardContextual"/>
        </w:rPr>
      </w:pPr>
      <w:r>
        <w:rPr>
          <w:lang w:eastAsia="zh-CN"/>
        </w:rPr>
        <w:t>11.5</w:t>
      </w:r>
      <w:r>
        <w:rPr>
          <w:rFonts w:asciiTheme="minorHAnsi" w:eastAsiaTheme="minorEastAsia" w:hAnsiTheme="minorHAnsi" w:cstheme="minorBidi"/>
          <w:kern w:val="2"/>
          <w:sz w:val="22"/>
          <w:szCs w:val="22"/>
          <w:lang w:eastAsia="en-GB"/>
          <w14:ligatures w14:val="standardContextual"/>
        </w:rPr>
        <w:tab/>
      </w:r>
      <w:r>
        <w:rPr>
          <w:lang w:eastAsia="zh-CN"/>
        </w:rPr>
        <w:t>Adaptation of cell operation</w:t>
      </w:r>
      <w:r>
        <w:tab/>
      </w:r>
      <w:r>
        <w:fldChar w:fldCharType="begin" w:fldLock="1"/>
      </w:r>
      <w:r>
        <w:instrText xml:space="preserve"> PAGEREF _Toc161999159 \h </w:instrText>
      </w:r>
      <w:r>
        <w:fldChar w:fldCharType="separate"/>
      </w:r>
      <w:r>
        <w:t>219</w:t>
      </w:r>
      <w:r>
        <w:fldChar w:fldCharType="end"/>
      </w:r>
    </w:p>
    <w:p w14:paraId="7B12AC13" w14:textId="0B88D18D" w:rsidR="00745523" w:rsidRDefault="00745523">
      <w:pPr>
        <w:pStyle w:val="TOC1"/>
        <w:rPr>
          <w:rFonts w:asciiTheme="minorHAnsi" w:eastAsiaTheme="minorEastAsia" w:hAnsiTheme="minorHAnsi" w:cstheme="minorBidi"/>
          <w:kern w:val="2"/>
          <w:szCs w:val="22"/>
          <w:lang w:eastAsia="en-GB"/>
          <w14:ligatures w14:val="standardContextual"/>
        </w:rPr>
      </w:pPr>
      <w:r>
        <w:t>12</w:t>
      </w:r>
      <w:r>
        <w:rPr>
          <w:rFonts w:asciiTheme="minorHAnsi" w:eastAsiaTheme="minorEastAsia" w:hAnsiTheme="minorHAnsi" w:cstheme="minorBidi"/>
          <w:kern w:val="2"/>
          <w:szCs w:val="22"/>
          <w:lang w:eastAsia="en-GB"/>
          <w14:ligatures w14:val="standardContextual"/>
        </w:rPr>
        <w:tab/>
      </w:r>
      <w:r>
        <w:t>Bandwidth part operation</w:t>
      </w:r>
      <w:r>
        <w:tab/>
      </w:r>
      <w:r>
        <w:fldChar w:fldCharType="begin" w:fldLock="1"/>
      </w:r>
      <w:r>
        <w:instrText xml:space="preserve"> PAGEREF _Toc161999160 \h </w:instrText>
      </w:r>
      <w:r>
        <w:fldChar w:fldCharType="separate"/>
      </w:r>
      <w:r>
        <w:t>220</w:t>
      </w:r>
      <w:r>
        <w:fldChar w:fldCharType="end"/>
      </w:r>
    </w:p>
    <w:p w14:paraId="1660509D" w14:textId="00B9EEAB" w:rsidR="00745523" w:rsidRDefault="00745523">
      <w:pPr>
        <w:pStyle w:val="TOC1"/>
        <w:rPr>
          <w:rFonts w:asciiTheme="minorHAnsi" w:eastAsiaTheme="minorEastAsia" w:hAnsiTheme="minorHAnsi" w:cstheme="minorBidi"/>
          <w:kern w:val="2"/>
          <w:szCs w:val="22"/>
          <w:lang w:eastAsia="en-GB"/>
          <w14:ligatures w14:val="standardContextual"/>
        </w:rPr>
      </w:pPr>
      <w:r>
        <w:rPr>
          <w:lang w:eastAsia="zh-CN"/>
        </w:rPr>
        <w:t>13</w:t>
      </w:r>
      <w:r>
        <w:rPr>
          <w:rFonts w:asciiTheme="minorHAnsi" w:eastAsiaTheme="minorEastAsia" w:hAnsiTheme="minorHAnsi" w:cstheme="minorBidi"/>
          <w:kern w:val="2"/>
          <w:szCs w:val="22"/>
          <w:lang w:eastAsia="en-GB"/>
          <w14:ligatures w14:val="standardContextual"/>
        </w:rPr>
        <w:tab/>
      </w:r>
      <w:r w:rsidRPr="009B02F4">
        <w:rPr>
          <w:rFonts w:eastAsia="MS Mincho"/>
          <w:lang w:eastAsia="ja-JP"/>
        </w:rPr>
        <w:t>UE procedure for monitoring Type0-PDCCH CSS sets</w:t>
      </w:r>
      <w:r>
        <w:tab/>
      </w:r>
      <w:r>
        <w:fldChar w:fldCharType="begin" w:fldLock="1"/>
      </w:r>
      <w:r>
        <w:instrText xml:space="preserve"> PAGEREF _Toc161999161 \h </w:instrText>
      </w:r>
      <w:r>
        <w:fldChar w:fldCharType="separate"/>
      </w:r>
      <w:r>
        <w:t>224</w:t>
      </w:r>
      <w:r>
        <w:fldChar w:fldCharType="end"/>
      </w:r>
    </w:p>
    <w:p w14:paraId="08014652" w14:textId="12D1A5A5" w:rsidR="00745523" w:rsidRDefault="00745523">
      <w:pPr>
        <w:pStyle w:val="TOC1"/>
        <w:rPr>
          <w:rFonts w:asciiTheme="minorHAnsi" w:eastAsiaTheme="minorEastAsia" w:hAnsiTheme="minorHAnsi" w:cstheme="minorBidi"/>
          <w:kern w:val="2"/>
          <w:szCs w:val="22"/>
          <w:lang w:eastAsia="en-GB"/>
          <w14:ligatures w14:val="standardContextual"/>
        </w:rPr>
      </w:pPr>
      <w:r>
        <w:t>14</w:t>
      </w:r>
      <w:r>
        <w:rPr>
          <w:rFonts w:asciiTheme="minorHAnsi" w:eastAsiaTheme="minorEastAsia" w:hAnsiTheme="minorHAnsi" w:cstheme="minorBidi"/>
          <w:kern w:val="2"/>
          <w:szCs w:val="22"/>
          <w:lang w:eastAsia="en-GB"/>
          <w14:ligatures w14:val="standardContextual"/>
        </w:rPr>
        <w:tab/>
      </w:r>
      <w:r>
        <w:t>Integrated access-backhaul operation</w:t>
      </w:r>
      <w:r>
        <w:tab/>
      </w:r>
      <w:r>
        <w:fldChar w:fldCharType="begin" w:fldLock="1"/>
      </w:r>
      <w:r>
        <w:instrText xml:space="preserve"> PAGEREF _Toc161999162 \h </w:instrText>
      </w:r>
      <w:r>
        <w:fldChar w:fldCharType="separate"/>
      </w:r>
      <w:r>
        <w:t>237</w:t>
      </w:r>
      <w:r>
        <w:fldChar w:fldCharType="end"/>
      </w:r>
    </w:p>
    <w:p w14:paraId="33F35C81" w14:textId="74CD09D5" w:rsidR="00745523" w:rsidRDefault="00745523">
      <w:pPr>
        <w:pStyle w:val="TOC1"/>
        <w:rPr>
          <w:rFonts w:asciiTheme="minorHAnsi" w:eastAsiaTheme="minorEastAsia" w:hAnsiTheme="minorHAnsi" w:cstheme="minorBidi"/>
          <w:kern w:val="2"/>
          <w:szCs w:val="22"/>
          <w:lang w:eastAsia="en-GB"/>
          <w14:ligatures w14:val="standardContextual"/>
        </w:rPr>
      </w:pPr>
      <w:r>
        <w:t>15</w:t>
      </w:r>
      <w:r>
        <w:rPr>
          <w:rFonts w:asciiTheme="minorHAnsi" w:eastAsiaTheme="minorEastAsia" w:hAnsiTheme="minorHAnsi" w:cstheme="minorBidi"/>
          <w:kern w:val="2"/>
          <w:szCs w:val="22"/>
          <w:lang w:eastAsia="en-GB"/>
          <w14:ligatures w14:val="standardContextual"/>
        </w:rPr>
        <w:tab/>
      </w:r>
      <w:r>
        <w:rPr>
          <w:lang w:eastAsia="zh-CN"/>
        </w:rPr>
        <w:t>Dual active protocol stack based handover</w:t>
      </w:r>
      <w:r>
        <w:tab/>
      </w:r>
      <w:r>
        <w:fldChar w:fldCharType="begin" w:fldLock="1"/>
      </w:r>
      <w:r>
        <w:instrText xml:space="preserve"> PAGEREF _Toc161999163 \h </w:instrText>
      </w:r>
      <w:r>
        <w:fldChar w:fldCharType="separate"/>
      </w:r>
      <w:r>
        <w:t>244</w:t>
      </w:r>
      <w:r>
        <w:fldChar w:fldCharType="end"/>
      </w:r>
    </w:p>
    <w:p w14:paraId="1A309ADB" w14:textId="2E490986" w:rsidR="00745523" w:rsidRDefault="00745523">
      <w:pPr>
        <w:pStyle w:val="TOC1"/>
        <w:rPr>
          <w:rFonts w:asciiTheme="minorHAnsi" w:eastAsiaTheme="minorEastAsia" w:hAnsiTheme="minorHAnsi" w:cstheme="minorBidi"/>
          <w:kern w:val="2"/>
          <w:szCs w:val="22"/>
          <w:lang w:eastAsia="en-GB"/>
          <w14:ligatures w14:val="standardContextual"/>
        </w:rPr>
      </w:pPr>
      <w:r>
        <w:t>16</w:t>
      </w:r>
      <w:r>
        <w:rPr>
          <w:rFonts w:asciiTheme="minorHAnsi" w:eastAsiaTheme="minorEastAsia" w:hAnsiTheme="minorHAnsi" w:cstheme="minorBidi"/>
          <w:kern w:val="2"/>
          <w:szCs w:val="22"/>
          <w:lang w:eastAsia="en-GB"/>
          <w14:ligatures w14:val="standardContextual"/>
        </w:rPr>
        <w:tab/>
      </w:r>
      <w:r>
        <w:t>UE</w:t>
      </w:r>
      <w:r w:rsidRPr="009B02F4">
        <w:rPr>
          <w:bCs/>
        </w:rPr>
        <w:t xml:space="preserve"> procedures for sidelink</w:t>
      </w:r>
      <w:r>
        <w:tab/>
      </w:r>
      <w:r>
        <w:fldChar w:fldCharType="begin" w:fldLock="1"/>
      </w:r>
      <w:r>
        <w:instrText xml:space="preserve"> PAGEREF _Toc161999164 \h </w:instrText>
      </w:r>
      <w:r>
        <w:fldChar w:fldCharType="separate"/>
      </w:r>
      <w:r>
        <w:t>245</w:t>
      </w:r>
      <w:r>
        <w:fldChar w:fldCharType="end"/>
      </w:r>
    </w:p>
    <w:p w14:paraId="55B17CCE" w14:textId="649D4F93" w:rsidR="00745523" w:rsidRDefault="00745523">
      <w:pPr>
        <w:pStyle w:val="TOC2"/>
        <w:rPr>
          <w:rFonts w:asciiTheme="minorHAnsi" w:eastAsiaTheme="minorEastAsia" w:hAnsiTheme="minorHAnsi" w:cstheme="minorBidi"/>
          <w:kern w:val="2"/>
          <w:sz w:val="22"/>
          <w:szCs w:val="22"/>
          <w:lang w:eastAsia="en-GB"/>
          <w14:ligatures w14:val="standardContextual"/>
        </w:rPr>
      </w:pPr>
      <w:r>
        <w:t>16.1</w:t>
      </w:r>
      <w:r>
        <w:rPr>
          <w:rFonts w:asciiTheme="minorHAnsi" w:eastAsiaTheme="minorEastAsia" w:hAnsiTheme="minorHAnsi" w:cstheme="minorBidi"/>
          <w:kern w:val="2"/>
          <w:sz w:val="22"/>
          <w:szCs w:val="22"/>
          <w:lang w:eastAsia="en-GB"/>
          <w14:ligatures w14:val="standardContextual"/>
        </w:rPr>
        <w:tab/>
      </w:r>
      <w:r>
        <w:t>Synchronization procedures</w:t>
      </w:r>
      <w:r>
        <w:tab/>
      </w:r>
      <w:r>
        <w:fldChar w:fldCharType="begin" w:fldLock="1"/>
      </w:r>
      <w:r>
        <w:instrText xml:space="preserve"> PAGEREF _Toc161999165 \h </w:instrText>
      </w:r>
      <w:r>
        <w:fldChar w:fldCharType="separate"/>
      </w:r>
      <w:r>
        <w:t>246</w:t>
      </w:r>
      <w:r>
        <w:fldChar w:fldCharType="end"/>
      </w:r>
    </w:p>
    <w:p w14:paraId="150DBBFC" w14:textId="014DC1EF" w:rsidR="00745523" w:rsidRDefault="00745523">
      <w:pPr>
        <w:pStyle w:val="TOC2"/>
        <w:rPr>
          <w:rFonts w:asciiTheme="minorHAnsi" w:eastAsiaTheme="minorEastAsia" w:hAnsiTheme="minorHAnsi" w:cstheme="minorBidi"/>
          <w:kern w:val="2"/>
          <w:sz w:val="22"/>
          <w:szCs w:val="22"/>
          <w:lang w:eastAsia="en-GB"/>
          <w14:ligatures w14:val="standardContextual"/>
        </w:rPr>
      </w:pPr>
      <w:r w:rsidRPr="009B02F4">
        <w:rPr>
          <w:rFonts w:cs="Arial"/>
        </w:rPr>
        <w:t>16.2</w:t>
      </w:r>
      <w:r>
        <w:rPr>
          <w:rFonts w:asciiTheme="minorHAnsi" w:eastAsiaTheme="minorEastAsia" w:hAnsiTheme="minorHAnsi" w:cstheme="minorBidi"/>
          <w:kern w:val="2"/>
          <w:sz w:val="22"/>
          <w:szCs w:val="22"/>
          <w:lang w:eastAsia="en-GB"/>
          <w14:ligatures w14:val="standardContextual"/>
        </w:rPr>
        <w:tab/>
      </w:r>
      <w:r w:rsidRPr="009B02F4">
        <w:rPr>
          <w:rFonts w:cs="Arial"/>
        </w:rPr>
        <w:t>Power control</w:t>
      </w:r>
      <w:r>
        <w:tab/>
      </w:r>
      <w:r>
        <w:fldChar w:fldCharType="begin" w:fldLock="1"/>
      </w:r>
      <w:r>
        <w:instrText xml:space="preserve"> PAGEREF _Toc161999166 \h </w:instrText>
      </w:r>
      <w:r>
        <w:fldChar w:fldCharType="separate"/>
      </w:r>
      <w:r>
        <w:t>249</w:t>
      </w:r>
      <w:r>
        <w:fldChar w:fldCharType="end"/>
      </w:r>
    </w:p>
    <w:p w14:paraId="4AF18185" w14:textId="34940A02" w:rsidR="00745523" w:rsidRDefault="00745523">
      <w:pPr>
        <w:pStyle w:val="TOC3"/>
        <w:rPr>
          <w:rFonts w:asciiTheme="minorHAnsi" w:eastAsiaTheme="minorEastAsia" w:hAnsiTheme="minorHAnsi" w:cstheme="minorBidi"/>
          <w:kern w:val="2"/>
          <w:sz w:val="22"/>
          <w:szCs w:val="22"/>
          <w:lang w:eastAsia="en-GB"/>
          <w14:ligatures w14:val="standardContextual"/>
        </w:rPr>
      </w:pPr>
      <w:r>
        <w:t>16.2.0</w:t>
      </w:r>
      <w:r>
        <w:rPr>
          <w:rFonts w:asciiTheme="minorHAnsi" w:eastAsiaTheme="minorEastAsia" w:hAnsiTheme="minorHAnsi" w:cstheme="minorBidi"/>
          <w:kern w:val="2"/>
          <w:sz w:val="22"/>
          <w:szCs w:val="22"/>
          <w:lang w:eastAsia="en-GB"/>
          <w14:ligatures w14:val="standardContextual"/>
        </w:rPr>
        <w:tab/>
      </w:r>
      <w:r w:rsidRPr="009B02F4">
        <w:rPr>
          <w:rFonts w:cs="Arial"/>
          <w:lang w:val="x-none" w:eastAsia="x-none"/>
        </w:rPr>
        <w:t>S-SS/PSBCH blocks</w:t>
      </w:r>
      <w:r>
        <w:tab/>
      </w:r>
      <w:r>
        <w:fldChar w:fldCharType="begin" w:fldLock="1"/>
      </w:r>
      <w:r>
        <w:instrText xml:space="preserve"> PAGEREF _Toc161999167 \h </w:instrText>
      </w:r>
      <w:r>
        <w:fldChar w:fldCharType="separate"/>
      </w:r>
      <w:r>
        <w:t>249</w:t>
      </w:r>
      <w:r>
        <w:fldChar w:fldCharType="end"/>
      </w:r>
    </w:p>
    <w:p w14:paraId="2E02B664" w14:textId="6FFACC26" w:rsidR="00745523" w:rsidRDefault="00745523">
      <w:pPr>
        <w:pStyle w:val="TOC3"/>
        <w:rPr>
          <w:rFonts w:asciiTheme="minorHAnsi" w:eastAsiaTheme="minorEastAsia" w:hAnsiTheme="minorHAnsi" w:cstheme="minorBidi"/>
          <w:kern w:val="2"/>
          <w:sz w:val="22"/>
          <w:szCs w:val="22"/>
          <w:lang w:eastAsia="en-GB"/>
          <w14:ligatures w14:val="standardContextual"/>
        </w:rPr>
      </w:pPr>
      <w:r>
        <w:t>16.2.1</w:t>
      </w:r>
      <w:r>
        <w:rPr>
          <w:rFonts w:asciiTheme="minorHAnsi" w:eastAsiaTheme="minorEastAsia" w:hAnsiTheme="minorHAnsi" w:cstheme="minorBidi"/>
          <w:kern w:val="2"/>
          <w:sz w:val="22"/>
          <w:szCs w:val="22"/>
          <w:lang w:eastAsia="en-GB"/>
          <w14:ligatures w14:val="standardContextual"/>
        </w:rPr>
        <w:tab/>
      </w:r>
      <w:r>
        <w:t>PSSCH</w:t>
      </w:r>
      <w:r>
        <w:tab/>
      </w:r>
      <w:r>
        <w:fldChar w:fldCharType="begin" w:fldLock="1"/>
      </w:r>
      <w:r>
        <w:instrText xml:space="preserve"> PAGEREF _Toc161999168 \h </w:instrText>
      </w:r>
      <w:r>
        <w:fldChar w:fldCharType="separate"/>
      </w:r>
      <w:r>
        <w:t>250</w:t>
      </w:r>
      <w:r>
        <w:fldChar w:fldCharType="end"/>
      </w:r>
    </w:p>
    <w:p w14:paraId="391BE375" w14:textId="7FCDC23F" w:rsidR="00745523" w:rsidRDefault="00745523">
      <w:pPr>
        <w:pStyle w:val="TOC3"/>
        <w:rPr>
          <w:rFonts w:asciiTheme="minorHAnsi" w:eastAsiaTheme="minorEastAsia" w:hAnsiTheme="minorHAnsi" w:cstheme="minorBidi"/>
          <w:kern w:val="2"/>
          <w:sz w:val="22"/>
          <w:szCs w:val="22"/>
          <w:lang w:eastAsia="en-GB"/>
          <w14:ligatures w14:val="standardContextual"/>
        </w:rPr>
      </w:pPr>
      <w:r>
        <w:t>16.2.2</w:t>
      </w:r>
      <w:r>
        <w:rPr>
          <w:rFonts w:asciiTheme="minorHAnsi" w:eastAsiaTheme="minorEastAsia" w:hAnsiTheme="minorHAnsi" w:cstheme="minorBidi"/>
          <w:kern w:val="2"/>
          <w:sz w:val="22"/>
          <w:szCs w:val="22"/>
          <w:lang w:eastAsia="en-GB"/>
          <w14:ligatures w14:val="standardContextual"/>
        </w:rPr>
        <w:tab/>
      </w:r>
      <w:r>
        <w:t>PSCCH</w:t>
      </w:r>
      <w:r>
        <w:tab/>
      </w:r>
      <w:r>
        <w:fldChar w:fldCharType="begin" w:fldLock="1"/>
      </w:r>
      <w:r>
        <w:instrText xml:space="preserve"> PAGEREF _Toc161999169 \h </w:instrText>
      </w:r>
      <w:r>
        <w:fldChar w:fldCharType="separate"/>
      </w:r>
      <w:r>
        <w:t>251</w:t>
      </w:r>
      <w:r>
        <w:fldChar w:fldCharType="end"/>
      </w:r>
    </w:p>
    <w:p w14:paraId="7DF1E421" w14:textId="0DCD4740" w:rsidR="00745523" w:rsidRDefault="00745523">
      <w:pPr>
        <w:pStyle w:val="TOC3"/>
        <w:rPr>
          <w:rFonts w:asciiTheme="minorHAnsi" w:eastAsiaTheme="minorEastAsia" w:hAnsiTheme="minorHAnsi" w:cstheme="minorBidi"/>
          <w:kern w:val="2"/>
          <w:sz w:val="22"/>
          <w:szCs w:val="22"/>
          <w:lang w:eastAsia="en-GB"/>
          <w14:ligatures w14:val="standardContextual"/>
        </w:rPr>
      </w:pPr>
      <w:r>
        <w:t>16.2.3</w:t>
      </w:r>
      <w:r>
        <w:rPr>
          <w:rFonts w:asciiTheme="minorHAnsi" w:eastAsiaTheme="minorEastAsia" w:hAnsiTheme="minorHAnsi" w:cstheme="minorBidi"/>
          <w:kern w:val="2"/>
          <w:sz w:val="22"/>
          <w:szCs w:val="22"/>
          <w:lang w:eastAsia="en-GB"/>
          <w14:ligatures w14:val="standardContextual"/>
        </w:rPr>
        <w:tab/>
      </w:r>
      <w:r>
        <w:t>PSFCH</w:t>
      </w:r>
      <w:r>
        <w:tab/>
      </w:r>
      <w:r>
        <w:fldChar w:fldCharType="begin" w:fldLock="1"/>
      </w:r>
      <w:r>
        <w:instrText xml:space="preserve"> PAGEREF _Toc161999170 \h </w:instrText>
      </w:r>
      <w:r>
        <w:fldChar w:fldCharType="separate"/>
      </w:r>
      <w:r>
        <w:t>251</w:t>
      </w:r>
      <w:r>
        <w:fldChar w:fldCharType="end"/>
      </w:r>
    </w:p>
    <w:p w14:paraId="43C9C405" w14:textId="2BB2BD11" w:rsidR="00745523" w:rsidRDefault="00745523">
      <w:pPr>
        <w:pStyle w:val="TOC3"/>
        <w:rPr>
          <w:rFonts w:asciiTheme="minorHAnsi" w:eastAsiaTheme="minorEastAsia" w:hAnsiTheme="minorHAnsi" w:cstheme="minorBidi"/>
          <w:kern w:val="2"/>
          <w:sz w:val="22"/>
          <w:szCs w:val="22"/>
          <w:lang w:eastAsia="en-GB"/>
          <w14:ligatures w14:val="standardContextual"/>
        </w:rPr>
      </w:pPr>
      <w:r>
        <w:t>16.2.3A</w:t>
      </w:r>
      <w:r>
        <w:rPr>
          <w:rFonts w:asciiTheme="minorHAnsi" w:eastAsiaTheme="minorEastAsia" w:hAnsiTheme="minorHAnsi" w:cstheme="minorBidi"/>
          <w:kern w:val="2"/>
          <w:sz w:val="22"/>
          <w:szCs w:val="22"/>
          <w:lang w:eastAsia="en-GB"/>
          <w14:ligatures w14:val="standardContextual"/>
        </w:rPr>
        <w:tab/>
      </w:r>
      <w:r>
        <w:t>SL PRS</w:t>
      </w:r>
      <w:r>
        <w:tab/>
      </w:r>
      <w:r>
        <w:fldChar w:fldCharType="begin" w:fldLock="1"/>
      </w:r>
      <w:r>
        <w:instrText xml:space="preserve"> PAGEREF _Toc161999171 \h </w:instrText>
      </w:r>
      <w:r>
        <w:fldChar w:fldCharType="separate"/>
      </w:r>
      <w:r>
        <w:t>255</w:t>
      </w:r>
      <w:r>
        <w:fldChar w:fldCharType="end"/>
      </w:r>
    </w:p>
    <w:p w14:paraId="2E71BB60" w14:textId="014901C0" w:rsidR="00745523" w:rsidRDefault="00745523">
      <w:pPr>
        <w:pStyle w:val="TOC3"/>
        <w:rPr>
          <w:rFonts w:asciiTheme="minorHAnsi" w:eastAsiaTheme="minorEastAsia" w:hAnsiTheme="minorHAnsi" w:cstheme="minorBidi"/>
          <w:kern w:val="2"/>
          <w:sz w:val="22"/>
          <w:szCs w:val="22"/>
          <w:lang w:eastAsia="en-GB"/>
          <w14:ligatures w14:val="standardContextual"/>
        </w:rPr>
      </w:pPr>
      <w:r>
        <w:t>16.2.4</w:t>
      </w:r>
      <w:r>
        <w:rPr>
          <w:rFonts w:asciiTheme="minorHAnsi" w:eastAsiaTheme="minorEastAsia" w:hAnsiTheme="minorHAnsi" w:cstheme="minorBidi"/>
          <w:kern w:val="2"/>
          <w:sz w:val="22"/>
          <w:szCs w:val="22"/>
          <w:lang w:eastAsia="en-GB"/>
          <w14:ligatures w14:val="standardContextual"/>
        </w:rPr>
        <w:tab/>
      </w:r>
      <w:r>
        <w:t>Prioritization of transmissions/receptions</w:t>
      </w:r>
      <w:r>
        <w:tab/>
      </w:r>
      <w:r>
        <w:fldChar w:fldCharType="begin" w:fldLock="1"/>
      </w:r>
      <w:r>
        <w:instrText xml:space="preserve"> PAGEREF _Toc161999172 \h </w:instrText>
      </w:r>
      <w:r>
        <w:fldChar w:fldCharType="separate"/>
      </w:r>
      <w:r>
        <w:t>257</w:t>
      </w:r>
      <w:r>
        <w:fldChar w:fldCharType="end"/>
      </w:r>
    </w:p>
    <w:p w14:paraId="5C2E1742" w14:textId="2ADE40D0" w:rsidR="00745523" w:rsidRDefault="00745523">
      <w:pPr>
        <w:pStyle w:val="TOC4"/>
        <w:rPr>
          <w:rFonts w:asciiTheme="minorHAnsi" w:eastAsiaTheme="minorEastAsia" w:hAnsiTheme="minorHAnsi" w:cstheme="minorBidi"/>
          <w:kern w:val="2"/>
          <w:sz w:val="22"/>
          <w:szCs w:val="22"/>
          <w:lang w:eastAsia="en-GB"/>
          <w14:ligatures w14:val="standardContextual"/>
        </w:rPr>
      </w:pPr>
      <w:r>
        <w:t>16.2.4.1</w:t>
      </w:r>
      <w:r>
        <w:rPr>
          <w:rFonts w:asciiTheme="minorHAnsi" w:eastAsiaTheme="minorEastAsia" w:hAnsiTheme="minorHAnsi" w:cstheme="minorBidi"/>
          <w:kern w:val="2"/>
          <w:sz w:val="22"/>
          <w:szCs w:val="22"/>
          <w:lang w:eastAsia="en-GB"/>
          <w14:ligatures w14:val="standardContextual"/>
        </w:rPr>
        <w:tab/>
      </w:r>
      <w:r>
        <w:t>Simultaneous NR and E-UTRA transmission/reception</w:t>
      </w:r>
      <w:r>
        <w:tab/>
      </w:r>
      <w:r>
        <w:fldChar w:fldCharType="begin" w:fldLock="1"/>
      </w:r>
      <w:r>
        <w:instrText xml:space="preserve"> PAGEREF _Toc161999173 \h </w:instrText>
      </w:r>
      <w:r>
        <w:fldChar w:fldCharType="separate"/>
      </w:r>
      <w:r>
        <w:t>257</w:t>
      </w:r>
      <w:r>
        <w:fldChar w:fldCharType="end"/>
      </w:r>
    </w:p>
    <w:p w14:paraId="6F3F2075" w14:textId="3DCEAD14" w:rsidR="00745523" w:rsidRDefault="00745523">
      <w:pPr>
        <w:pStyle w:val="TOC4"/>
        <w:rPr>
          <w:rFonts w:asciiTheme="minorHAnsi" w:eastAsiaTheme="minorEastAsia" w:hAnsiTheme="minorHAnsi" w:cstheme="minorBidi"/>
          <w:kern w:val="2"/>
          <w:sz w:val="22"/>
          <w:szCs w:val="22"/>
          <w:lang w:eastAsia="en-GB"/>
          <w14:ligatures w14:val="standardContextual"/>
        </w:rPr>
      </w:pPr>
      <w:r>
        <w:t>16.2.4.2</w:t>
      </w:r>
      <w:r>
        <w:rPr>
          <w:rFonts w:asciiTheme="minorHAnsi" w:eastAsiaTheme="minorEastAsia" w:hAnsiTheme="minorHAnsi" w:cstheme="minorBidi"/>
          <w:kern w:val="2"/>
          <w:sz w:val="22"/>
          <w:szCs w:val="22"/>
          <w:lang w:eastAsia="en-GB"/>
          <w14:ligatures w14:val="standardContextual"/>
        </w:rPr>
        <w:tab/>
      </w:r>
      <w:r>
        <w:t>Simultaneous PSFCH transmission/reception</w:t>
      </w:r>
      <w:r>
        <w:tab/>
      </w:r>
      <w:r>
        <w:fldChar w:fldCharType="begin" w:fldLock="1"/>
      </w:r>
      <w:r>
        <w:instrText xml:space="preserve"> PAGEREF _Toc161999174 \h </w:instrText>
      </w:r>
      <w:r>
        <w:fldChar w:fldCharType="separate"/>
      </w:r>
      <w:r>
        <w:t>258</w:t>
      </w:r>
      <w:r>
        <w:fldChar w:fldCharType="end"/>
      </w:r>
    </w:p>
    <w:p w14:paraId="63CD0E68" w14:textId="6A33ECA3" w:rsidR="00745523" w:rsidRDefault="00745523">
      <w:pPr>
        <w:pStyle w:val="TOC4"/>
        <w:rPr>
          <w:rFonts w:asciiTheme="minorHAnsi" w:eastAsiaTheme="minorEastAsia" w:hAnsiTheme="minorHAnsi" w:cstheme="minorBidi"/>
          <w:kern w:val="2"/>
          <w:sz w:val="22"/>
          <w:szCs w:val="22"/>
          <w:lang w:eastAsia="en-GB"/>
          <w14:ligatures w14:val="standardContextual"/>
        </w:rPr>
      </w:pPr>
      <w:r>
        <w:t>16.2.4.3</w:t>
      </w:r>
      <w:r>
        <w:rPr>
          <w:rFonts w:asciiTheme="minorHAnsi" w:eastAsiaTheme="minorEastAsia" w:hAnsiTheme="minorHAnsi" w:cstheme="minorBidi"/>
          <w:kern w:val="2"/>
          <w:sz w:val="22"/>
          <w:szCs w:val="22"/>
          <w:lang w:eastAsia="en-GB"/>
          <w14:ligatures w14:val="standardContextual"/>
        </w:rPr>
        <w:tab/>
      </w:r>
      <w:r>
        <w:t>Simultaneous SL and UL transmissions/receptions</w:t>
      </w:r>
      <w:r>
        <w:tab/>
      </w:r>
      <w:r>
        <w:fldChar w:fldCharType="begin" w:fldLock="1"/>
      </w:r>
      <w:r>
        <w:instrText xml:space="preserve"> PAGEREF _Toc161999175 \h </w:instrText>
      </w:r>
      <w:r>
        <w:fldChar w:fldCharType="separate"/>
      </w:r>
      <w:r>
        <w:t>258</w:t>
      </w:r>
      <w:r>
        <w:fldChar w:fldCharType="end"/>
      </w:r>
    </w:p>
    <w:p w14:paraId="4CAE86D2" w14:textId="1391958B" w:rsidR="00745523" w:rsidRDefault="00745523">
      <w:pPr>
        <w:pStyle w:val="TOC5"/>
        <w:rPr>
          <w:rFonts w:asciiTheme="minorHAnsi" w:eastAsiaTheme="minorEastAsia" w:hAnsiTheme="minorHAnsi" w:cstheme="minorBidi"/>
          <w:kern w:val="2"/>
          <w:sz w:val="22"/>
          <w:szCs w:val="22"/>
          <w:lang w:eastAsia="en-GB"/>
          <w14:ligatures w14:val="standardContextual"/>
        </w:rPr>
      </w:pPr>
      <w:r w:rsidRPr="009B02F4">
        <w:rPr>
          <w:rFonts w:eastAsia="Malgun Gothic"/>
        </w:rPr>
        <w:t>16.2.4.3.1</w:t>
      </w:r>
      <w:r>
        <w:rPr>
          <w:rFonts w:asciiTheme="minorHAnsi" w:eastAsiaTheme="minorEastAsia" w:hAnsiTheme="minorHAnsi" w:cstheme="minorBidi"/>
          <w:kern w:val="2"/>
          <w:sz w:val="22"/>
          <w:szCs w:val="22"/>
          <w:lang w:eastAsia="en-GB"/>
          <w14:ligatures w14:val="standardContextual"/>
        </w:rPr>
        <w:tab/>
      </w:r>
      <w:r w:rsidRPr="009B02F4">
        <w:rPr>
          <w:rFonts w:eastAsia="Malgun Gothic"/>
        </w:rPr>
        <w:t>Prioritizations for sidelink and uplink transmissions/receptions</w:t>
      </w:r>
      <w:r>
        <w:tab/>
      </w:r>
      <w:r>
        <w:fldChar w:fldCharType="begin" w:fldLock="1"/>
      </w:r>
      <w:r>
        <w:instrText xml:space="preserve"> PAGEREF _Toc161999176 \h </w:instrText>
      </w:r>
      <w:r>
        <w:fldChar w:fldCharType="separate"/>
      </w:r>
      <w:r>
        <w:t>259</w:t>
      </w:r>
      <w:r>
        <w:fldChar w:fldCharType="end"/>
      </w:r>
    </w:p>
    <w:p w14:paraId="5E76F45D" w14:textId="7D834F9F" w:rsidR="00745523" w:rsidRDefault="00745523">
      <w:pPr>
        <w:pStyle w:val="TOC3"/>
        <w:rPr>
          <w:rFonts w:asciiTheme="minorHAnsi" w:eastAsiaTheme="minorEastAsia" w:hAnsiTheme="minorHAnsi" w:cstheme="minorBidi"/>
          <w:kern w:val="2"/>
          <w:sz w:val="22"/>
          <w:szCs w:val="22"/>
          <w:lang w:eastAsia="en-GB"/>
          <w14:ligatures w14:val="standardContextual"/>
        </w:rPr>
      </w:pPr>
      <w:r>
        <w:t>16.2.5</w:t>
      </w:r>
      <w:r>
        <w:rPr>
          <w:rFonts w:asciiTheme="minorHAnsi" w:eastAsiaTheme="minorEastAsia" w:hAnsiTheme="minorHAnsi" w:cstheme="minorBidi"/>
          <w:kern w:val="2"/>
          <w:sz w:val="22"/>
          <w:szCs w:val="22"/>
          <w:lang w:eastAsia="en-GB"/>
          <w14:ligatures w14:val="standardContextual"/>
        </w:rPr>
        <w:tab/>
      </w:r>
      <w:r>
        <w:t>SL Carrier Aggregation</w:t>
      </w:r>
      <w:r>
        <w:tab/>
      </w:r>
      <w:r>
        <w:fldChar w:fldCharType="begin" w:fldLock="1"/>
      </w:r>
      <w:r>
        <w:instrText xml:space="preserve"> PAGEREF _Toc161999177 \h </w:instrText>
      </w:r>
      <w:r>
        <w:fldChar w:fldCharType="separate"/>
      </w:r>
      <w:r>
        <w:t>260</w:t>
      </w:r>
      <w:r>
        <w:fldChar w:fldCharType="end"/>
      </w:r>
    </w:p>
    <w:p w14:paraId="148977F8" w14:textId="556995CD" w:rsidR="00745523" w:rsidRDefault="00745523">
      <w:pPr>
        <w:pStyle w:val="TOC2"/>
        <w:rPr>
          <w:rFonts w:asciiTheme="minorHAnsi" w:eastAsiaTheme="minorEastAsia" w:hAnsiTheme="minorHAnsi" w:cstheme="minorBidi"/>
          <w:kern w:val="2"/>
          <w:sz w:val="22"/>
          <w:szCs w:val="22"/>
          <w:lang w:eastAsia="en-GB"/>
          <w14:ligatures w14:val="standardContextual"/>
        </w:rPr>
      </w:pPr>
      <w:r>
        <w:t>16.3</w:t>
      </w:r>
      <w:r>
        <w:rPr>
          <w:rFonts w:asciiTheme="minorHAnsi" w:eastAsiaTheme="minorEastAsia" w:hAnsiTheme="minorHAnsi" w:cstheme="minorBidi"/>
          <w:kern w:val="2"/>
          <w:sz w:val="22"/>
          <w:szCs w:val="22"/>
          <w:lang w:eastAsia="en-GB"/>
          <w14:ligatures w14:val="standardContextual"/>
        </w:rPr>
        <w:tab/>
      </w:r>
      <w:r>
        <w:t>UE procedure for reporting and obtaining control information in PSFCH</w:t>
      </w:r>
      <w:r>
        <w:tab/>
      </w:r>
      <w:r>
        <w:fldChar w:fldCharType="begin" w:fldLock="1"/>
      </w:r>
      <w:r>
        <w:instrText xml:space="preserve"> PAGEREF _Toc161999178 \h </w:instrText>
      </w:r>
      <w:r>
        <w:fldChar w:fldCharType="separate"/>
      </w:r>
      <w:r>
        <w:t>260</w:t>
      </w:r>
      <w:r>
        <w:fldChar w:fldCharType="end"/>
      </w:r>
    </w:p>
    <w:p w14:paraId="78CC12F2" w14:textId="00448049" w:rsidR="00745523" w:rsidRDefault="00745523">
      <w:pPr>
        <w:pStyle w:val="TOC3"/>
        <w:rPr>
          <w:rFonts w:asciiTheme="minorHAnsi" w:eastAsiaTheme="minorEastAsia" w:hAnsiTheme="minorHAnsi" w:cstheme="minorBidi"/>
          <w:kern w:val="2"/>
          <w:sz w:val="22"/>
          <w:szCs w:val="22"/>
          <w:lang w:eastAsia="en-GB"/>
          <w14:ligatures w14:val="standardContextual"/>
        </w:rPr>
      </w:pPr>
      <w:r>
        <w:t>16.3.0</w:t>
      </w:r>
      <w:r>
        <w:rPr>
          <w:rFonts w:asciiTheme="minorHAnsi" w:eastAsiaTheme="minorEastAsia" w:hAnsiTheme="minorHAnsi" w:cstheme="minorBidi"/>
          <w:kern w:val="2"/>
          <w:sz w:val="22"/>
          <w:szCs w:val="22"/>
          <w:lang w:eastAsia="en-GB"/>
          <w14:ligatures w14:val="standardContextual"/>
        </w:rPr>
        <w:tab/>
      </w:r>
      <w:r>
        <w:t>UE procedure for transmitting PSFCH with control information</w:t>
      </w:r>
      <w:r>
        <w:tab/>
      </w:r>
      <w:r>
        <w:fldChar w:fldCharType="begin" w:fldLock="1"/>
      </w:r>
      <w:r>
        <w:instrText xml:space="preserve"> PAGEREF _Toc161999179 \h </w:instrText>
      </w:r>
      <w:r>
        <w:fldChar w:fldCharType="separate"/>
      </w:r>
      <w:r>
        <w:t>261</w:t>
      </w:r>
      <w:r>
        <w:fldChar w:fldCharType="end"/>
      </w:r>
    </w:p>
    <w:p w14:paraId="47FFD469" w14:textId="08AE8466" w:rsidR="00745523" w:rsidRDefault="00745523">
      <w:pPr>
        <w:pStyle w:val="TOC3"/>
        <w:rPr>
          <w:rFonts w:asciiTheme="minorHAnsi" w:eastAsiaTheme="minorEastAsia" w:hAnsiTheme="minorHAnsi" w:cstheme="minorBidi"/>
          <w:kern w:val="2"/>
          <w:sz w:val="22"/>
          <w:szCs w:val="22"/>
          <w:lang w:eastAsia="en-GB"/>
          <w14:ligatures w14:val="standardContextual"/>
        </w:rPr>
      </w:pPr>
      <w:r w:rsidRPr="009B02F4">
        <w:rPr>
          <w:rFonts w:eastAsia="Malgun Gothic"/>
        </w:rPr>
        <w:t>16.3.1</w:t>
      </w:r>
      <w:r>
        <w:rPr>
          <w:rFonts w:asciiTheme="minorHAnsi" w:eastAsiaTheme="minorEastAsia" w:hAnsiTheme="minorHAnsi" w:cstheme="minorBidi"/>
          <w:kern w:val="2"/>
          <w:sz w:val="22"/>
          <w:szCs w:val="22"/>
          <w:lang w:eastAsia="en-GB"/>
          <w14:ligatures w14:val="standardContextual"/>
        </w:rPr>
        <w:tab/>
      </w:r>
      <w:r w:rsidRPr="009B02F4">
        <w:rPr>
          <w:rFonts w:eastAsia="Malgun Gothic"/>
        </w:rPr>
        <w:t>UE procedure for receiving PSFCH with control information</w:t>
      </w:r>
      <w:r>
        <w:tab/>
      </w:r>
      <w:r>
        <w:fldChar w:fldCharType="begin" w:fldLock="1"/>
      </w:r>
      <w:r>
        <w:instrText xml:space="preserve"> PAGEREF _Toc161999180 \h </w:instrText>
      </w:r>
      <w:r>
        <w:fldChar w:fldCharType="separate"/>
      </w:r>
      <w:r>
        <w:t>265</w:t>
      </w:r>
      <w:r>
        <w:fldChar w:fldCharType="end"/>
      </w:r>
    </w:p>
    <w:p w14:paraId="3C849BC8" w14:textId="72F2F038" w:rsidR="00745523" w:rsidRDefault="00745523">
      <w:pPr>
        <w:pStyle w:val="TOC2"/>
        <w:rPr>
          <w:rFonts w:asciiTheme="minorHAnsi" w:eastAsiaTheme="minorEastAsia" w:hAnsiTheme="minorHAnsi" w:cstheme="minorBidi"/>
          <w:kern w:val="2"/>
          <w:sz w:val="22"/>
          <w:szCs w:val="22"/>
          <w:lang w:eastAsia="en-GB"/>
          <w14:ligatures w14:val="standardContextual"/>
        </w:rPr>
      </w:pPr>
      <w:r>
        <w:t>16.4</w:t>
      </w:r>
      <w:r>
        <w:rPr>
          <w:rFonts w:asciiTheme="minorHAnsi" w:eastAsiaTheme="minorEastAsia" w:hAnsiTheme="minorHAnsi" w:cstheme="minorBidi"/>
          <w:kern w:val="2"/>
          <w:sz w:val="22"/>
          <w:szCs w:val="22"/>
          <w:lang w:eastAsia="en-GB"/>
          <w14:ligatures w14:val="standardContextual"/>
        </w:rPr>
        <w:tab/>
      </w:r>
      <w:r>
        <w:t>UE procedure for transmitting PSCCH</w:t>
      </w:r>
      <w:r>
        <w:tab/>
      </w:r>
      <w:r>
        <w:fldChar w:fldCharType="begin" w:fldLock="1"/>
      </w:r>
      <w:r>
        <w:instrText xml:space="preserve"> PAGEREF _Toc161999181 \h </w:instrText>
      </w:r>
      <w:r>
        <w:fldChar w:fldCharType="separate"/>
      </w:r>
      <w:r>
        <w:t>267</w:t>
      </w:r>
      <w:r>
        <w:fldChar w:fldCharType="end"/>
      </w:r>
    </w:p>
    <w:p w14:paraId="4659271D" w14:textId="239D48A0" w:rsidR="00745523" w:rsidRDefault="00745523">
      <w:pPr>
        <w:pStyle w:val="TOC2"/>
        <w:rPr>
          <w:rFonts w:asciiTheme="minorHAnsi" w:eastAsiaTheme="minorEastAsia" w:hAnsiTheme="minorHAnsi" w:cstheme="minorBidi"/>
          <w:kern w:val="2"/>
          <w:sz w:val="22"/>
          <w:szCs w:val="22"/>
          <w:lang w:eastAsia="en-GB"/>
          <w14:ligatures w14:val="standardContextual"/>
        </w:rPr>
      </w:pPr>
      <w:r>
        <w:t>16.4A</w:t>
      </w:r>
      <w:r>
        <w:rPr>
          <w:rFonts w:asciiTheme="minorHAnsi" w:eastAsiaTheme="minorEastAsia" w:hAnsiTheme="minorHAnsi" w:cstheme="minorBidi"/>
          <w:kern w:val="2"/>
          <w:sz w:val="22"/>
          <w:szCs w:val="22"/>
          <w:lang w:eastAsia="en-GB"/>
          <w14:ligatures w14:val="standardContextual"/>
        </w:rPr>
        <w:tab/>
      </w:r>
      <w:r>
        <w:t>UE procedure for transmitting PSCCH in dedicated SL PRS resource pool</w:t>
      </w:r>
      <w:r>
        <w:tab/>
      </w:r>
      <w:r>
        <w:fldChar w:fldCharType="begin" w:fldLock="1"/>
      </w:r>
      <w:r>
        <w:instrText xml:space="preserve"> PAGEREF _Toc161999182 \h </w:instrText>
      </w:r>
      <w:r>
        <w:fldChar w:fldCharType="separate"/>
      </w:r>
      <w:r>
        <w:t>268</w:t>
      </w:r>
      <w:r>
        <w:fldChar w:fldCharType="end"/>
      </w:r>
    </w:p>
    <w:p w14:paraId="653E6D1B" w14:textId="5E8F2469" w:rsidR="00745523" w:rsidRDefault="00745523">
      <w:pPr>
        <w:pStyle w:val="TOC2"/>
        <w:rPr>
          <w:rFonts w:asciiTheme="minorHAnsi" w:eastAsiaTheme="minorEastAsia" w:hAnsiTheme="minorHAnsi" w:cstheme="minorBidi"/>
          <w:kern w:val="2"/>
          <w:sz w:val="22"/>
          <w:szCs w:val="22"/>
          <w:lang w:eastAsia="en-GB"/>
          <w14:ligatures w14:val="standardContextual"/>
        </w:rPr>
      </w:pPr>
      <w:r>
        <w:t>16.5</w:t>
      </w:r>
      <w:r>
        <w:rPr>
          <w:rFonts w:asciiTheme="minorHAnsi" w:eastAsiaTheme="minorEastAsia" w:hAnsiTheme="minorHAnsi" w:cstheme="minorBidi"/>
          <w:kern w:val="2"/>
          <w:sz w:val="22"/>
          <w:szCs w:val="22"/>
          <w:lang w:eastAsia="en-GB"/>
          <w14:ligatures w14:val="standardContextual"/>
        </w:rPr>
        <w:tab/>
      </w:r>
      <w:r>
        <w:t>UE procedure for reporting HARQ-ACK on uplink</w:t>
      </w:r>
      <w:r>
        <w:tab/>
      </w:r>
      <w:r>
        <w:fldChar w:fldCharType="begin" w:fldLock="1"/>
      </w:r>
      <w:r>
        <w:instrText xml:space="preserve"> PAGEREF _Toc161999183 \h </w:instrText>
      </w:r>
      <w:r>
        <w:fldChar w:fldCharType="separate"/>
      </w:r>
      <w:r>
        <w:t>269</w:t>
      </w:r>
      <w:r>
        <w:fldChar w:fldCharType="end"/>
      </w:r>
    </w:p>
    <w:p w14:paraId="26ECA264" w14:textId="778B88BC" w:rsidR="00745523" w:rsidRDefault="00745523">
      <w:pPr>
        <w:pStyle w:val="TOC3"/>
        <w:rPr>
          <w:rFonts w:asciiTheme="minorHAnsi" w:eastAsiaTheme="minorEastAsia" w:hAnsiTheme="minorHAnsi" w:cstheme="minorBidi"/>
          <w:kern w:val="2"/>
          <w:sz w:val="22"/>
          <w:szCs w:val="22"/>
          <w:lang w:eastAsia="en-GB"/>
          <w14:ligatures w14:val="standardContextual"/>
        </w:rPr>
      </w:pPr>
      <w:r>
        <w:t>16.5.1</w:t>
      </w:r>
      <w:r>
        <w:rPr>
          <w:rFonts w:asciiTheme="minorHAnsi" w:eastAsiaTheme="minorEastAsia" w:hAnsiTheme="minorHAnsi" w:cstheme="minorBidi"/>
          <w:kern w:val="2"/>
          <w:sz w:val="22"/>
          <w:szCs w:val="22"/>
          <w:lang w:eastAsia="en-GB"/>
          <w14:ligatures w14:val="standardContextual"/>
        </w:rPr>
        <w:tab/>
      </w:r>
      <w:r>
        <w:t>Type-1 HARQ-ACK codebook determination</w:t>
      </w:r>
      <w:r>
        <w:tab/>
      </w:r>
      <w:r>
        <w:fldChar w:fldCharType="begin" w:fldLock="1"/>
      </w:r>
      <w:r>
        <w:instrText xml:space="preserve"> PAGEREF _Toc161999184 \h </w:instrText>
      </w:r>
      <w:r>
        <w:fldChar w:fldCharType="separate"/>
      </w:r>
      <w:r>
        <w:t>271</w:t>
      </w:r>
      <w:r>
        <w:fldChar w:fldCharType="end"/>
      </w:r>
    </w:p>
    <w:p w14:paraId="5F1E9A49" w14:textId="27546714" w:rsidR="00745523" w:rsidRDefault="00745523">
      <w:pPr>
        <w:pStyle w:val="TOC4"/>
        <w:rPr>
          <w:rFonts w:asciiTheme="minorHAnsi" w:eastAsiaTheme="minorEastAsia" w:hAnsiTheme="minorHAnsi" w:cstheme="minorBidi"/>
          <w:kern w:val="2"/>
          <w:sz w:val="22"/>
          <w:szCs w:val="22"/>
          <w:lang w:eastAsia="en-GB"/>
          <w14:ligatures w14:val="standardContextual"/>
        </w:rPr>
      </w:pPr>
      <w:r>
        <w:t>16.5.1.1</w:t>
      </w:r>
      <w:r>
        <w:rPr>
          <w:rFonts w:asciiTheme="minorHAnsi" w:eastAsiaTheme="minorEastAsia" w:hAnsiTheme="minorHAnsi" w:cstheme="minorBidi"/>
          <w:kern w:val="2"/>
          <w:sz w:val="22"/>
          <w:szCs w:val="22"/>
          <w:lang w:eastAsia="en-GB"/>
          <w14:ligatures w14:val="standardContextual"/>
        </w:rPr>
        <w:tab/>
      </w:r>
      <w:r>
        <w:t>Type-1 HARQ-ACK codebook in physical uplink control channel</w:t>
      </w:r>
      <w:r>
        <w:tab/>
      </w:r>
      <w:r>
        <w:fldChar w:fldCharType="begin" w:fldLock="1"/>
      </w:r>
      <w:r>
        <w:instrText xml:space="preserve"> PAGEREF _Toc161999185 \h </w:instrText>
      </w:r>
      <w:r>
        <w:fldChar w:fldCharType="separate"/>
      </w:r>
      <w:r>
        <w:t>272</w:t>
      </w:r>
      <w:r>
        <w:fldChar w:fldCharType="end"/>
      </w:r>
    </w:p>
    <w:p w14:paraId="3411D90F" w14:textId="5DB2D965" w:rsidR="00745523" w:rsidRDefault="00745523">
      <w:pPr>
        <w:pStyle w:val="TOC4"/>
        <w:rPr>
          <w:rFonts w:asciiTheme="minorHAnsi" w:eastAsiaTheme="minorEastAsia" w:hAnsiTheme="minorHAnsi" w:cstheme="minorBidi"/>
          <w:kern w:val="2"/>
          <w:sz w:val="22"/>
          <w:szCs w:val="22"/>
          <w:lang w:eastAsia="en-GB"/>
          <w14:ligatures w14:val="standardContextual"/>
        </w:rPr>
      </w:pPr>
      <w:r w:rsidRPr="009B02F4">
        <w:rPr>
          <w:lang w:val="en-US" w:eastAsia="zh-CN"/>
        </w:rPr>
        <w:t>16.5.1.2</w:t>
      </w:r>
      <w:r>
        <w:rPr>
          <w:rFonts w:asciiTheme="minorHAnsi" w:eastAsiaTheme="minorEastAsia" w:hAnsiTheme="minorHAnsi" w:cstheme="minorBidi"/>
          <w:kern w:val="2"/>
          <w:sz w:val="22"/>
          <w:szCs w:val="22"/>
          <w:lang w:eastAsia="en-GB"/>
          <w14:ligatures w14:val="standardContextual"/>
        </w:rPr>
        <w:tab/>
      </w:r>
      <w:r w:rsidRPr="009B02F4">
        <w:rPr>
          <w:lang w:val="en-US" w:eastAsia="zh-CN"/>
        </w:rPr>
        <w:t>Type-1 HARQ-ACK codebook in physical uplink shared channel</w:t>
      </w:r>
      <w:r>
        <w:tab/>
      </w:r>
      <w:r>
        <w:fldChar w:fldCharType="begin" w:fldLock="1"/>
      </w:r>
      <w:r>
        <w:instrText xml:space="preserve"> PAGEREF _Toc161999186 \h </w:instrText>
      </w:r>
      <w:r>
        <w:fldChar w:fldCharType="separate"/>
      </w:r>
      <w:r>
        <w:t>273</w:t>
      </w:r>
      <w:r>
        <w:fldChar w:fldCharType="end"/>
      </w:r>
    </w:p>
    <w:p w14:paraId="2BC0D590" w14:textId="2CF6E035" w:rsidR="00745523" w:rsidRDefault="00745523">
      <w:pPr>
        <w:pStyle w:val="TOC3"/>
        <w:rPr>
          <w:rFonts w:asciiTheme="minorHAnsi" w:eastAsiaTheme="minorEastAsia" w:hAnsiTheme="minorHAnsi" w:cstheme="minorBidi"/>
          <w:kern w:val="2"/>
          <w:sz w:val="22"/>
          <w:szCs w:val="22"/>
          <w:lang w:eastAsia="en-GB"/>
          <w14:ligatures w14:val="standardContextual"/>
        </w:rPr>
      </w:pPr>
      <w:r>
        <w:lastRenderedPageBreak/>
        <w:t>16.5.2</w:t>
      </w:r>
      <w:r>
        <w:rPr>
          <w:rFonts w:asciiTheme="minorHAnsi" w:eastAsiaTheme="minorEastAsia" w:hAnsiTheme="minorHAnsi" w:cstheme="minorBidi"/>
          <w:kern w:val="2"/>
          <w:sz w:val="22"/>
          <w:szCs w:val="22"/>
          <w:lang w:eastAsia="en-GB"/>
          <w14:ligatures w14:val="standardContextual"/>
        </w:rPr>
        <w:tab/>
      </w:r>
      <w:r>
        <w:t>Type-2 HARQ-ACK codebook determination</w:t>
      </w:r>
      <w:r>
        <w:tab/>
      </w:r>
      <w:r>
        <w:fldChar w:fldCharType="begin" w:fldLock="1"/>
      </w:r>
      <w:r>
        <w:instrText xml:space="preserve"> PAGEREF _Toc161999187 \h </w:instrText>
      </w:r>
      <w:r>
        <w:fldChar w:fldCharType="separate"/>
      </w:r>
      <w:r>
        <w:t>274</w:t>
      </w:r>
      <w:r>
        <w:fldChar w:fldCharType="end"/>
      </w:r>
    </w:p>
    <w:p w14:paraId="1FCDC93C" w14:textId="13813B65" w:rsidR="00745523" w:rsidRDefault="00745523">
      <w:pPr>
        <w:pStyle w:val="TOC4"/>
        <w:rPr>
          <w:rFonts w:asciiTheme="minorHAnsi" w:eastAsiaTheme="minorEastAsia" w:hAnsiTheme="minorHAnsi" w:cstheme="minorBidi"/>
          <w:kern w:val="2"/>
          <w:sz w:val="22"/>
          <w:szCs w:val="22"/>
          <w:lang w:eastAsia="en-GB"/>
          <w14:ligatures w14:val="standardContextual"/>
        </w:rPr>
      </w:pPr>
      <w:r>
        <w:t>16.5.2.1</w:t>
      </w:r>
      <w:r>
        <w:rPr>
          <w:rFonts w:asciiTheme="minorHAnsi" w:eastAsiaTheme="minorEastAsia" w:hAnsiTheme="minorHAnsi" w:cstheme="minorBidi"/>
          <w:kern w:val="2"/>
          <w:sz w:val="22"/>
          <w:szCs w:val="22"/>
          <w:lang w:eastAsia="en-GB"/>
          <w14:ligatures w14:val="standardContextual"/>
        </w:rPr>
        <w:tab/>
      </w:r>
      <w:r>
        <w:t>Type-2 HARQ-ACK codebook in physical uplink control channel</w:t>
      </w:r>
      <w:r>
        <w:tab/>
      </w:r>
      <w:r>
        <w:fldChar w:fldCharType="begin" w:fldLock="1"/>
      </w:r>
      <w:r>
        <w:instrText xml:space="preserve"> PAGEREF _Toc161999188 \h </w:instrText>
      </w:r>
      <w:r>
        <w:fldChar w:fldCharType="separate"/>
      </w:r>
      <w:r>
        <w:t>274</w:t>
      </w:r>
      <w:r>
        <w:fldChar w:fldCharType="end"/>
      </w:r>
    </w:p>
    <w:p w14:paraId="34ADC70F" w14:textId="7C944106" w:rsidR="00745523" w:rsidRDefault="00745523">
      <w:pPr>
        <w:pStyle w:val="TOC4"/>
        <w:rPr>
          <w:rFonts w:asciiTheme="minorHAnsi" w:eastAsiaTheme="minorEastAsia" w:hAnsiTheme="minorHAnsi" w:cstheme="minorBidi"/>
          <w:kern w:val="2"/>
          <w:sz w:val="22"/>
          <w:szCs w:val="22"/>
          <w:lang w:eastAsia="en-GB"/>
          <w14:ligatures w14:val="standardContextual"/>
        </w:rPr>
      </w:pPr>
      <w:r>
        <w:t>16.5.2.2</w:t>
      </w:r>
      <w:r>
        <w:rPr>
          <w:rFonts w:asciiTheme="minorHAnsi" w:eastAsiaTheme="minorEastAsia" w:hAnsiTheme="minorHAnsi" w:cstheme="minorBidi"/>
          <w:kern w:val="2"/>
          <w:sz w:val="22"/>
          <w:szCs w:val="22"/>
          <w:lang w:eastAsia="en-GB"/>
          <w14:ligatures w14:val="standardContextual"/>
        </w:rPr>
        <w:tab/>
      </w:r>
      <w:r>
        <w:t>Type-2 HARQ-ACK codebook in physical uplink shared channel</w:t>
      </w:r>
      <w:r>
        <w:tab/>
      </w:r>
      <w:r>
        <w:fldChar w:fldCharType="begin" w:fldLock="1"/>
      </w:r>
      <w:r>
        <w:instrText xml:space="preserve"> PAGEREF _Toc161999189 \h </w:instrText>
      </w:r>
      <w:r>
        <w:fldChar w:fldCharType="separate"/>
      </w:r>
      <w:r>
        <w:t>276</w:t>
      </w:r>
      <w:r>
        <w:fldChar w:fldCharType="end"/>
      </w:r>
    </w:p>
    <w:p w14:paraId="09BA5023" w14:textId="47631199" w:rsidR="00745523" w:rsidRDefault="00745523">
      <w:pPr>
        <w:pStyle w:val="TOC2"/>
        <w:rPr>
          <w:rFonts w:asciiTheme="minorHAnsi" w:eastAsiaTheme="minorEastAsia" w:hAnsiTheme="minorHAnsi" w:cstheme="minorBidi"/>
          <w:kern w:val="2"/>
          <w:sz w:val="22"/>
          <w:szCs w:val="22"/>
          <w:lang w:eastAsia="en-GB"/>
          <w14:ligatures w14:val="standardContextual"/>
        </w:rPr>
      </w:pPr>
      <w:r w:rsidRPr="009B02F4">
        <w:rPr>
          <w:rFonts w:eastAsia="DengXian"/>
        </w:rPr>
        <w:t>16.6</w:t>
      </w:r>
      <w:r>
        <w:rPr>
          <w:rFonts w:asciiTheme="minorHAnsi" w:eastAsiaTheme="minorEastAsia" w:hAnsiTheme="minorHAnsi" w:cstheme="minorBidi"/>
          <w:kern w:val="2"/>
          <w:sz w:val="22"/>
          <w:szCs w:val="22"/>
          <w:lang w:eastAsia="en-GB"/>
          <w14:ligatures w14:val="standardContextual"/>
        </w:rPr>
        <w:tab/>
      </w:r>
      <w:r w:rsidRPr="009B02F4">
        <w:rPr>
          <w:rFonts w:eastAsia="DengXian"/>
        </w:rPr>
        <w:t>UE procedure for LTE sidelink transmission</w:t>
      </w:r>
      <w:r>
        <w:tab/>
      </w:r>
      <w:r>
        <w:fldChar w:fldCharType="begin" w:fldLock="1"/>
      </w:r>
      <w:r>
        <w:instrText xml:space="preserve"> PAGEREF _Toc161999190 \h </w:instrText>
      </w:r>
      <w:r>
        <w:fldChar w:fldCharType="separate"/>
      </w:r>
      <w:r>
        <w:t>277</w:t>
      </w:r>
      <w:r>
        <w:fldChar w:fldCharType="end"/>
      </w:r>
    </w:p>
    <w:p w14:paraId="4BA0FF58" w14:textId="55F0032A" w:rsidR="00745523" w:rsidRDefault="00745523">
      <w:pPr>
        <w:pStyle w:val="TOC2"/>
        <w:rPr>
          <w:rFonts w:asciiTheme="minorHAnsi" w:eastAsiaTheme="minorEastAsia" w:hAnsiTheme="minorHAnsi" w:cstheme="minorBidi"/>
          <w:kern w:val="2"/>
          <w:sz w:val="22"/>
          <w:szCs w:val="22"/>
          <w:lang w:eastAsia="en-GB"/>
          <w14:ligatures w14:val="standardContextual"/>
        </w:rPr>
      </w:pPr>
      <w:r w:rsidRPr="009B02F4">
        <w:rPr>
          <w:rFonts w:eastAsia="DengXian"/>
        </w:rPr>
        <w:t>16.7</w:t>
      </w:r>
      <w:r>
        <w:rPr>
          <w:rFonts w:asciiTheme="minorHAnsi" w:eastAsiaTheme="minorEastAsia" w:hAnsiTheme="minorHAnsi" w:cstheme="minorBidi"/>
          <w:kern w:val="2"/>
          <w:sz w:val="22"/>
          <w:szCs w:val="22"/>
          <w:lang w:eastAsia="en-GB"/>
          <w14:ligatures w14:val="standardContextual"/>
        </w:rPr>
        <w:tab/>
      </w:r>
      <w:r>
        <w:t xml:space="preserve">Operation for in-device coexistence </w:t>
      </w:r>
      <w:r w:rsidRPr="009B02F4">
        <w:rPr>
          <w:rFonts w:eastAsia="Gulim"/>
        </w:rPr>
        <w:t>and for co-channel coexistence</w:t>
      </w:r>
      <w:r>
        <w:tab/>
      </w:r>
      <w:r>
        <w:fldChar w:fldCharType="begin" w:fldLock="1"/>
      </w:r>
      <w:r>
        <w:instrText xml:space="preserve"> PAGEREF _Toc161999191 \h </w:instrText>
      </w:r>
      <w:r>
        <w:fldChar w:fldCharType="separate"/>
      </w:r>
      <w:r>
        <w:t>277</w:t>
      </w:r>
      <w:r>
        <w:fldChar w:fldCharType="end"/>
      </w:r>
    </w:p>
    <w:p w14:paraId="7A70A862" w14:textId="46E9BC09" w:rsidR="00745523" w:rsidRDefault="00745523">
      <w:pPr>
        <w:pStyle w:val="TOC1"/>
        <w:rPr>
          <w:rFonts w:asciiTheme="minorHAnsi" w:eastAsiaTheme="minorEastAsia" w:hAnsiTheme="minorHAnsi" w:cstheme="minorBidi"/>
          <w:kern w:val="2"/>
          <w:szCs w:val="22"/>
          <w:lang w:eastAsia="en-GB"/>
          <w14:ligatures w14:val="standardContextual"/>
        </w:rPr>
      </w:pPr>
      <w:r>
        <w:t>17</w:t>
      </w:r>
      <w:r>
        <w:rPr>
          <w:rFonts w:asciiTheme="minorHAnsi" w:eastAsiaTheme="minorEastAsia" w:hAnsiTheme="minorHAnsi" w:cstheme="minorBidi"/>
          <w:kern w:val="2"/>
          <w:szCs w:val="22"/>
          <w:lang w:eastAsia="en-GB"/>
          <w14:ligatures w14:val="standardContextual"/>
        </w:rPr>
        <w:tab/>
      </w:r>
      <w:r>
        <w:t>UE with reduced capabilities</w:t>
      </w:r>
      <w:r>
        <w:tab/>
      </w:r>
      <w:r>
        <w:fldChar w:fldCharType="begin" w:fldLock="1"/>
      </w:r>
      <w:r>
        <w:instrText xml:space="preserve"> PAGEREF _Toc161999192 \h </w:instrText>
      </w:r>
      <w:r>
        <w:fldChar w:fldCharType="separate"/>
      </w:r>
      <w:r>
        <w:t>277</w:t>
      </w:r>
      <w:r>
        <w:fldChar w:fldCharType="end"/>
      </w:r>
    </w:p>
    <w:p w14:paraId="4EF8BA80" w14:textId="0A0E4CE6" w:rsidR="00745523" w:rsidRDefault="00745523">
      <w:pPr>
        <w:pStyle w:val="TOC2"/>
        <w:rPr>
          <w:rFonts w:asciiTheme="minorHAnsi" w:eastAsiaTheme="minorEastAsia" w:hAnsiTheme="minorHAnsi" w:cstheme="minorBidi"/>
          <w:kern w:val="2"/>
          <w:sz w:val="22"/>
          <w:szCs w:val="22"/>
          <w:lang w:eastAsia="en-GB"/>
          <w14:ligatures w14:val="standardContextual"/>
        </w:rPr>
      </w:pPr>
      <w:r>
        <w:t>17.1</w:t>
      </w:r>
      <w:r>
        <w:rPr>
          <w:rFonts w:asciiTheme="minorHAnsi" w:eastAsiaTheme="minorEastAsia" w:hAnsiTheme="minorHAnsi" w:cstheme="minorBidi"/>
          <w:kern w:val="2"/>
          <w:sz w:val="22"/>
          <w:szCs w:val="22"/>
          <w:lang w:eastAsia="en-GB"/>
          <w14:ligatures w14:val="standardContextual"/>
        </w:rPr>
        <w:tab/>
      </w:r>
      <w:r>
        <w:t>First procedures for RedCap UE</w:t>
      </w:r>
      <w:r>
        <w:tab/>
      </w:r>
      <w:r>
        <w:fldChar w:fldCharType="begin" w:fldLock="1"/>
      </w:r>
      <w:r>
        <w:instrText xml:space="preserve"> PAGEREF _Toc161999193 \h </w:instrText>
      </w:r>
      <w:r>
        <w:fldChar w:fldCharType="separate"/>
      </w:r>
      <w:r>
        <w:t>277</w:t>
      </w:r>
      <w:r>
        <w:fldChar w:fldCharType="end"/>
      </w:r>
    </w:p>
    <w:p w14:paraId="3717A6EE" w14:textId="6E2B5859" w:rsidR="00745523" w:rsidRDefault="00745523">
      <w:pPr>
        <w:pStyle w:val="TOC2"/>
        <w:rPr>
          <w:rFonts w:asciiTheme="minorHAnsi" w:eastAsiaTheme="minorEastAsia" w:hAnsiTheme="minorHAnsi" w:cstheme="minorBidi"/>
          <w:kern w:val="2"/>
          <w:sz w:val="22"/>
          <w:szCs w:val="22"/>
          <w:lang w:eastAsia="en-GB"/>
          <w14:ligatures w14:val="standardContextual"/>
        </w:rPr>
      </w:pPr>
      <w:r>
        <w:t>17.1A</w:t>
      </w:r>
      <w:r>
        <w:rPr>
          <w:rFonts w:asciiTheme="minorHAnsi" w:eastAsiaTheme="minorEastAsia" w:hAnsiTheme="minorHAnsi" w:cstheme="minorBidi"/>
          <w:kern w:val="2"/>
          <w:sz w:val="22"/>
          <w:szCs w:val="22"/>
          <w:lang w:eastAsia="en-GB"/>
          <w14:ligatures w14:val="standardContextual"/>
        </w:rPr>
        <w:tab/>
      </w:r>
      <w:r>
        <w:t>Second procedures for RedCap UE</w:t>
      </w:r>
      <w:r>
        <w:tab/>
      </w:r>
      <w:r>
        <w:fldChar w:fldCharType="begin" w:fldLock="1"/>
      </w:r>
      <w:r>
        <w:instrText xml:space="preserve"> PAGEREF _Toc161999194 \h </w:instrText>
      </w:r>
      <w:r>
        <w:fldChar w:fldCharType="separate"/>
      </w:r>
      <w:r>
        <w:t>279</w:t>
      </w:r>
      <w:r>
        <w:fldChar w:fldCharType="end"/>
      </w:r>
    </w:p>
    <w:p w14:paraId="216BB78E" w14:textId="467BC555" w:rsidR="00745523" w:rsidRDefault="00745523">
      <w:pPr>
        <w:pStyle w:val="TOC2"/>
        <w:rPr>
          <w:rFonts w:asciiTheme="minorHAnsi" w:eastAsiaTheme="minorEastAsia" w:hAnsiTheme="minorHAnsi" w:cstheme="minorBidi"/>
          <w:kern w:val="2"/>
          <w:sz w:val="22"/>
          <w:szCs w:val="22"/>
          <w:lang w:eastAsia="en-GB"/>
          <w14:ligatures w14:val="standardContextual"/>
        </w:rPr>
      </w:pPr>
      <w:r>
        <w:t>17.2</w:t>
      </w:r>
      <w:r>
        <w:rPr>
          <w:rFonts w:asciiTheme="minorHAnsi" w:eastAsiaTheme="minorEastAsia" w:hAnsiTheme="minorHAnsi" w:cstheme="minorBidi"/>
          <w:kern w:val="2"/>
          <w:sz w:val="22"/>
          <w:szCs w:val="22"/>
          <w:lang w:eastAsia="en-GB"/>
          <w14:ligatures w14:val="standardContextual"/>
        </w:rPr>
        <w:tab/>
      </w:r>
      <w:r>
        <w:t>Half-Duplex UE in paired spectrum</w:t>
      </w:r>
      <w:r>
        <w:tab/>
      </w:r>
      <w:r>
        <w:fldChar w:fldCharType="begin" w:fldLock="1"/>
      </w:r>
      <w:r>
        <w:instrText xml:space="preserve"> PAGEREF _Toc161999195 \h </w:instrText>
      </w:r>
      <w:r>
        <w:fldChar w:fldCharType="separate"/>
      </w:r>
      <w:r>
        <w:t>280</w:t>
      </w:r>
      <w:r>
        <w:fldChar w:fldCharType="end"/>
      </w:r>
    </w:p>
    <w:p w14:paraId="3C6D73D0" w14:textId="608A88BE" w:rsidR="00745523" w:rsidRDefault="00745523">
      <w:pPr>
        <w:pStyle w:val="TOC1"/>
        <w:rPr>
          <w:rFonts w:asciiTheme="minorHAnsi" w:eastAsiaTheme="minorEastAsia" w:hAnsiTheme="minorHAnsi" w:cstheme="minorBidi"/>
          <w:kern w:val="2"/>
          <w:szCs w:val="22"/>
          <w:lang w:eastAsia="en-GB"/>
          <w14:ligatures w14:val="standardContextual"/>
        </w:rPr>
      </w:pPr>
      <w:r>
        <w:t>18</w:t>
      </w:r>
      <w:r>
        <w:rPr>
          <w:rFonts w:asciiTheme="minorHAnsi" w:eastAsiaTheme="minorEastAsia" w:hAnsiTheme="minorHAnsi" w:cstheme="minorBidi"/>
          <w:kern w:val="2"/>
          <w:szCs w:val="22"/>
          <w:lang w:eastAsia="en-GB"/>
          <w14:ligatures w14:val="standardContextual"/>
        </w:rPr>
        <w:tab/>
      </w:r>
      <w:r>
        <w:t>Multicast Broadcast Services</w:t>
      </w:r>
      <w:r>
        <w:tab/>
      </w:r>
      <w:r>
        <w:fldChar w:fldCharType="begin" w:fldLock="1"/>
      </w:r>
      <w:r>
        <w:instrText xml:space="preserve"> PAGEREF _Toc161999196 \h </w:instrText>
      </w:r>
      <w:r>
        <w:fldChar w:fldCharType="separate"/>
      </w:r>
      <w:r>
        <w:t>281</w:t>
      </w:r>
      <w:r>
        <w:fldChar w:fldCharType="end"/>
      </w:r>
    </w:p>
    <w:p w14:paraId="4E00D95D" w14:textId="354D1046" w:rsidR="00745523" w:rsidRDefault="00745523">
      <w:pPr>
        <w:pStyle w:val="TOC1"/>
        <w:rPr>
          <w:rFonts w:asciiTheme="minorHAnsi" w:eastAsiaTheme="minorEastAsia" w:hAnsiTheme="minorHAnsi" w:cstheme="minorBidi"/>
          <w:kern w:val="2"/>
          <w:szCs w:val="22"/>
          <w:lang w:eastAsia="en-GB"/>
          <w14:ligatures w14:val="standardContextual"/>
        </w:rPr>
      </w:pPr>
      <w:r>
        <w:t>19</w:t>
      </w:r>
      <w:r>
        <w:rPr>
          <w:rFonts w:asciiTheme="minorHAnsi" w:eastAsiaTheme="minorEastAsia" w:hAnsiTheme="minorHAnsi" w:cstheme="minorBidi"/>
          <w:kern w:val="2"/>
          <w:szCs w:val="22"/>
          <w:lang w:eastAsia="en-GB"/>
          <w14:ligatures w14:val="standardContextual"/>
        </w:rPr>
        <w:tab/>
      </w:r>
      <w:r>
        <w:t>PUSCH transmission in RRC_INACTIVE state</w:t>
      </w:r>
      <w:r>
        <w:tab/>
      </w:r>
      <w:r>
        <w:fldChar w:fldCharType="begin" w:fldLock="1"/>
      </w:r>
      <w:r>
        <w:instrText xml:space="preserve"> PAGEREF _Toc161999197 \h </w:instrText>
      </w:r>
      <w:r>
        <w:fldChar w:fldCharType="separate"/>
      </w:r>
      <w:r>
        <w:t>286</w:t>
      </w:r>
      <w:r>
        <w:fldChar w:fldCharType="end"/>
      </w:r>
    </w:p>
    <w:p w14:paraId="119FA6B8" w14:textId="5EA49C60" w:rsidR="00745523" w:rsidRDefault="00745523">
      <w:pPr>
        <w:pStyle w:val="TOC2"/>
        <w:rPr>
          <w:rFonts w:asciiTheme="minorHAnsi" w:eastAsiaTheme="minorEastAsia" w:hAnsiTheme="minorHAnsi" w:cstheme="minorBidi"/>
          <w:kern w:val="2"/>
          <w:sz w:val="22"/>
          <w:szCs w:val="22"/>
          <w:lang w:eastAsia="en-GB"/>
          <w14:ligatures w14:val="standardContextual"/>
        </w:rPr>
      </w:pPr>
      <w:r>
        <w:t>19.1</w:t>
      </w:r>
      <w:r>
        <w:rPr>
          <w:rFonts w:asciiTheme="minorHAnsi" w:eastAsiaTheme="minorEastAsia" w:hAnsiTheme="minorHAnsi" w:cstheme="minorBidi"/>
          <w:kern w:val="2"/>
          <w:sz w:val="22"/>
          <w:szCs w:val="22"/>
          <w:lang w:eastAsia="en-GB"/>
          <w14:ligatures w14:val="standardContextual"/>
        </w:rPr>
        <w:tab/>
      </w:r>
      <w:r>
        <w:t>Configured-grant based PUSCH transmission</w:t>
      </w:r>
      <w:r>
        <w:tab/>
      </w:r>
      <w:r>
        <w:fldChar w:fldCharType="begin" w:fldLock="1"/>
      </w:r>
      <w:r>
        <w:instrText xml:space="preserve"> PAGEREF _Toc161999198 \h </w:instrText>
      </w:r>
      <w:r>
        <w:fldChar w:fldCharType="separate"/>
      </w:r>
      <w:r>
        <w:t>286</w:t>
      </w:r>
      <w:r>
        <w:fldChar w:fldCharType="end"/>
      </w:r>
    </w:p>
    <w:p w14:paraId="34CBA3D5" w14:textId="1AB77928" w:rsidR="00745523" w:rsidRDefault="00745523">
      <w:pPr>
        <w:pStyle w:val="TOC2"/>
        <w:rPr>
          <w:rFonts w:asciiTheme="minorHAnsi" w:eastAsiaTheme="minorEastAsia" w:hAnsiTheme="minorHAnsi" w:cstheme="minorBidi"/>
          <w:kern w:val="2"/>
          <w:sz w:val="22"/>
          <w:szCs w:val="22"/>
          <w:lang w:eastAsia="en-GB"/>
          <w14:ligatures w14:val="standardContextual"/>
        </w:rPr>
      </w:pPr>
      <w:r>
        <w:t>19.2</w:t>
      </w:r>
      <w:r>
        <w:rPr>
          <w:rFonts w:asciiTheme="minorHAnsi" w:eastAsiaTheme="minorEastAsia" w:hAnsiTheme="minorHAnsi" w:cstheme="minorBidi"/>
          <w:kern w:val="2"/>
          <w:sz w:val="22"/>
          <w:szCs w:val="22"/>
          <w:lang w:eastAsia="en-GB"/>
          <w14:ligatures w14:val="standardContextual"/>
        </w:rPr>
        <w:tab/>
      </w:r>
      <w:r>
        <w:t>Random-access based PUSCH transmission</w:t>
      </w:r>
      <w:r>
        <w:tab/>
      </w:r>
      <w:r>
        <w:fldChar w:fldCharType="begin" w:fldLock="1"/>
      </w:r>
      <w:r>
        <w:instrText xml:space="preserve"> PAGEREF _Toc161999199 \h </w:instrText>
      </w:r>
      <w:r>
        <w:fldChar w:fldCharType="separate"/>
      </w:r>
      <w:r>
        <w:t>288</w:t>
      </w:r>
      <w:r>
        <w:fldChar w:fldCharType="end"/>
      </w:r>
    </w:p>
    <w:p w14:paraId="0358E4B2" w14:textId="73288A5D" w:rsidR="00745523" w:rsidRDefault="00745523">
      <w:pPr>
        <w:pStyle w:val="TOC1"/>
        <w:rPr>
          <w:rFonts w:asciiTheme="minorHAnsi" w:eastAsiaTheme="minorEastAsia" w:hAnsiTheme="minorHAnsi" w:cstheme="minorBidi"/>
          <w:kern w:val="2"/>
          <w:szCs w:val="22"/>
          <w:lang w:eastAsia="en-GB"/>
          <w14:ligatures w14:val="standardContextual"/>
        </w:rPr>
      </w:pPr>
      <w:r>
        <w:t>20</w:t>
      </w:r>
      <w:r>
        <w:rPr>
          <w:rFonts w:asciiTheme="minorHAnsi" w:eastAsiaTheme="minorEastAsia" w:hAnsiTheme="minorHAnsi" w:cstheme="minorBidi"/>
          <w:kern w:val="2"/>
          <w:szCs w:val="22"/>
          <w:lang w:eastAsia="en-GB"/>
          <w14:ligatures w14:val="standardContextual"/>
        </w:rPr>
        <w:tab/>
      </w:r>
      <w:r>
        <w:t>Network controlled repeater</w:t>
      </w:r>
      <w:r>
        <w:tab/>
      </w:r>
      <w:r>
        <w:fldChar w:fldCharType="begin" w:fldLock="1"/>
      </w:r>
      <w:r>
        <w:instrText xml:space="preserve"> PAGEREF _Toc161999200 \h </w:instrText>
      </w:r>
      <w:r>
        <w:fldChar w:fldCharType="separate"/>
      </w:r>
      <w:r>
        <w:t>288</w:t>
      </w:r>
      <w:r>
        <w:fldChar w:fldCharType="end"/>
      </w:r>
    </w:p>
    <w:p w14:paraId="044A2AA1" w14:textId="79042702" w:rsidR="00745523" w:rsidRDefault="00745523">
      <w:pPr>
        <w:pStyle w:val="TOC1"/>
        <w:rPr>
          <w:rFonts w:asciiTheme="minorHAnsi" w:eastAsiaTheme="minorEastAsia" w:hAnsiTheme="minorHAnsi" w:cstheme="minorBidi"/>
          <w:kern w:val="2"/>
          <w:szCs w:val="22"/>
          <w:lang w:eastAsia="en-GB"/>
          <w14:ligatures w14:val="standardContextual"/>
        </w:rPr>
      </w:pPr>
      <w:r>
        <w:t>21</w:t>
      </w:r>
      <w:r>
        <w:rPr>
          <w:rFonts w:asciiTheme="minorHAnsi" w:eastAsiaTheme="minorEastAsia" w:hAnsiTheme="minorHAnsi" w:cstheme="minorBidi"/>
          <w:kern w:val="2"/>
          <w:szCs w:val="22"/>
          <w:lang w:eastAsia="en-GB"/>
          <w14:ligatures w14:val="standardContextual"/>
        </w:rPr>
        <w:tab/>
      </w:r>
      <w:r>
        <w:t>L1/L2-triggered mobility procedures</w:t>
      </w:r>
      <w:r>
        <w:tab/>
      </w:r>
      <w:r>
        <w:fldChar w:fldCharType="begin" w:fldLock="1"/>
      </w:r>
      <w:r>
        <w:instrText xml:space="preserve"> PAGEREF _Toc161999201 \h </w:instrText>
      </w:r>
      <w:r>
        <w:fldChar w:fldCharType="separate"/>
      </w:r>
      <w:r>
        <w:t>291</w:t>
      </w:r>
      <w:r>
        <w:fldChar w:fldCharType="end"/>
      </w:r>
    </w:p>
    <w:p w14:paraId="2C520B2D" w14:textId="0BBCFF19" w:rsidR="00745523" w:rsidRDefault="00745523">
      <w:pPr>
        <w:pStyle w:val="TOC1"/>
        <w:rPr>
          <w:rFonts w:asciiTheme="minorHAnsi" w:eastAsiaTheme="minorEastAsia" w:hAnsiTheme="minorHAnsi" w:cstheme="minorBidi"/>
          <w:kern w:val="2"/>
          <w:szCs w:val="22"/>
          <w:lang w:eastAsia="en-GB"/>
          <w14:ligatures w14:val="standardContextual"/>
        </w:rPr>
      </w:pPr>
      <w:r>
        <w:t>22</w:t>
      </w:r>
      <w:r>
        <w:rPr>
          <w:rFonts w:asciiTheme="minorHAnsi" w:eastAsiaTheme="minorEastAsia" w:hAnsiTheme="minorHAnsi" w:cstheme="minorBidi"/>
          <w:kern w:val="2"/>
          <w:szCs w:val="22"/>
          <w:lang w:eastAsia="en-GB"/>
          <w14:ligatures w14:val="standardContextual"/>
        </w:rPr>
        <w:tab/>
      </w:r>
      <w:r>
        <w:t>PUSCH transmission in NTN RACH-less handover</w:t>
      </w:r>
      <w:r>
        <w:tab/>
      </w:r>
      <w:r>
        <w:fldChar w:fldCharType="begin" w:fldLock="1"/>
      </w:r>
      <w:r>
        <w:instrText xml:space="preserve"> PAGEREF _Toc161999202 \h </w:instrText>
      </w:r>
      <w:r>
        <w:fldChar w:fldCharType="separate"/>
      </w:r>
      <w:r>
        <w:t>292</w:t>
      </w:r>
      <w:r>
        <w:fldChar w:fldCharType="end"/>
      </w:r>
    </w:p>
    <w:p w14:paraId="62838906" w14:textId="2AAA8D2E" w:rsidR="00745523" w:rsidRDefault="00745523">
      <w:pPr>
        <w:pStyle w:val="TOC2"/>
        <w:rPr>
          <w:rFonts w:asciiTheme="minorHAnsi" w:eastAsiaTheme="minorEastAsia" w:hAnsiTheme="minorHAnsi" w:cstheme="minorBidi"/>
          <w:kern w:val="2"/>
          <w:sz w:val="22"/>
          <w:szCs w:val="22"/>
          <w:lang w:eastAsia="en-GB"/>
          <w14:ligatures w14:val="standardContextual"/>
        </w:rPr>
      </w:pPr>
      <w:r>
        <w:t>22.1</w:t>
      </w:r>
      <w:r>
        <w:rPr>
          <w:rFonts w:asciiTheme="minorHAnsi" w:eastAsiaTheme="minorEastAsia" w:hAnsiTheme="minorHAnsi" w:cstheme="minorBidi"/>
          <w:kern w:val="2"/>
          <w:sz w:val="22"/>
          <w:szCs w:val="22"/>
          <w:lang w:eastAsia="en-GB"/>
          <w14:ligatures w14:val="standardContextual"/>
        </w:rPr>
        <w:tab/>
      </w:r>
      <w:r>
        <w:t>Configured-grant PUSCH transmission</w:t>
      </w:r>
      <w:r>
        <w:tab/>
      </w:r>
      <w:r>
        <w:fldChar w:fldCharType="begin" w:fldLock="1"/>
      </w:r>
      <w:r>
        <w:instrText xml:space="preserve"> PAGEREF _Toc161999203 \h </w:instrText>
      </w:r>
      <w:r>
        <w:fldChar w:fldCharType="separate"/>
      </w:r>
      <w:r>
        <w:t>292</w:t>
      </w:r>
      <w:r>
        <w:fldChar w:fldCharType="end"/>
      </w:r>
    </w:p>
    <w:p w14:paraId="6B2C968D" w14:textId="3F9D2EC2" w:rsidR="00745523" w:rsidRDefault="00745523">
      <w:pPr>
        <w:pStyle w:val="TOC2"/>
        <w:rPr>
          <w:rFonts w:asciiTheme="minorHAnsi" w:eastAsiaTheme="minorEastAsia" w:hAnsiTheme="minorHAnsi" w:cstheme="minorBidi"/>
          <w:kern w:val="2"/>
          <w:sz w:val="22"/>
          <w:szCs w:val="22"/>
          <w:lang w:eastAsia="en-GB"/>
          <w14:ligatures w14:val="standardContextual"/>
        </w:rPr>
      </w:pPr>
      <w:r>
        <w:t>22.2</w:t>
      </w:r>
      <w:r>
        <w:rPr>
          <w:rFonts w:asciiTheme="minorHAnsi" w:eastAsiaTheme="minorEastAsia" w:hAnsiTheme="minorHAnsi" w:cstheme="minorBidi"/>
          <w:kern w:val="2"/>
          <w:sz w:val="22"/>
          <w:szCs w:val="22"/>
          <w:lang w:eastAsia="en-GB"/>
          <w14:ligatures w14:val="standardContextual"/>
        </w:rPr>
        <w:tab/>
      </w:r>
      <w:r>
        <w:t>Dynamic-grant PUSCH transmission</w:t>
      </w:r>
      <w:r>
        <w:tab/>
      </w:r>
      <w:r>
        <w:fldChar w:fldCharType="begin" w:fldLock="1"/>
      </w:r>
      <w:r>
        <w:instrText xml:space="preserve"> PAGEREF _Toc161999204 \h </w:instrText>
      </w:r>
      <w:r>
        <w:fldChar w:fldCharType="separate"/>
      </w:r>
      <w:r>
        <w:t>292</w:t>
      </w:r>
      <w:r>
        <w:fldChar w:fldCharType="end"/>
      </w:r>
    </w:p>
    <w:p w14:paraId="2898843A" w14:textId="1A1AF7B1" w:rsidR="00745523" w:rsidRDefault="00745523" w:rsidP="00745523">
      <w:pPr>
        <w:pStyle w:val="TOC8"/>
        <w:ind w:left="851" w:hanging="851"/>
        <w:rPr>
          <w:rFonts w:asciiTheme="minorHAnsi" w:eastAsiaTheme="minorEastAsia" w:hAnsiTheme="minorHAnsi" w:cstheme="minorBidi"/>
          <w:b w:val="0"/>
          <w:kern w:val="2"/>
          <w:szCs w:val="22"/>
          <w:lang w:eastAsia="en-GB"/>
          <w14:ligatures w14:val="standardContextual"/>
        </w:rPr>
      </w:pPr>
      <w:r>
        <w:t>Annex A: Change history</w:t>
      </w:r>
      <w:r>
        <w:tab/>
      </w:r>
      <w:r>
        <w:fldChar w:fldCharType="begin" w:fldLock="1"/>
      </w:r>
      <w:r>
        <w:instrText xml:space="preserve"> PAGEREF _Toc161999205 \h </w:instrText>
      </w:r>
      <w:r>
        <w:fldChar w:fldCharType="separate"/>
      </w:r>
      <w:r>
        <w:t>293</w:t>
      </w:r>
      <w:r>
        <w:fldChar w:fldCharType="end"/>
      </w:r>
    </w:p>
    <w:p w14:paraId="0374B41B" w14:textId="7E157936" w:rsidR="00080512" w:rsidRPr="00B916EC" w:rsidRDefault="00F268EE" w:rsidP="008D49D8">
      <w:r w:rsidRPr="008B4D9F">
        <w:fldChar w:fldCharType="end"/>
      </w:r>
    </w:p>
    <w:p w14:paraId="2F2E326C" w14:textId="77777777" w:rsidR="00080512" w:rsidRPr="00CC17AB" w:rsidRDefault="00080512" w:rsidP="006013DF">
      <w:pPr>
        <w:pStyle w:val="Heading1"/>
      </w:pPr>
      <w:r w:rsidRPr="00CC17AB">
        <w:br w:type="page"/>
      </w:r>
      <w:bookmarkStart w:id="4" w:name="_Ref491451281"/>
      <w:bookmarkStart w:id="5" w:name="_Toc12021431"/>
      <w:bookmarkStart w:id="6" w:name="_Toc20311543"/>
      <w:bookmarkStart w:id="7" w:name="_Toc26719368"/>
      <w:bookmarkStart w:id="8" w:name="_Toc29894799"/>
      <w:bookmarkStart w:id="9" w:name="_Toc29899098"/>
      <w:bookmarkStart w:id="10" w:name="_Toc29899516"/>
      <w:bookmarkStart w:id="11" w:name="_Toc29917253"/>
      <w:bookmarkStart w:id="12" w:name="_Toc36498127"/>
      <w:bookmarkStart w:id="13" w:name="_Toc45699153"/>
      <w:bookmarkStart w:id="14" w:name="_Toc161999078"/>
      <w:r w:rsidRPr="00CC17AB">
        <w:lastRenderedPageBreak/>
        <w:t>Foreword</w:t>
      </w:r>
      <w:bookmarkEnd w:id="4"/>
      <w:bookmarkEnd w:id="5"/>
      <w:bookmarkEnd w:id="6"/>
      <w:bookmarkEnd w:id="7"/>
      <w:bookmarkEnd w:id="8"/>
      <w:bookmarkEnd w:id="9"/>
      <w:bookmarkEnd w:id="10"/>
      <w:bookmarkEnd w:id="11"/>
      <w:bookmarkEnd w:id="12"/>
      <w:bookmarkEnd w:id="13"/>
      <w:bookmarkEnd w:id="14"/>
    </w:p>
    <w:p w14:paraId="1A511F12" w14:textId="77777777" w:rsidR="00080512" w:rsidRPr="00B916EC" w:rsidRDefault="00080512">
      <w:r w:rsidRPr="00B916EC">
        <w:t>This Technical Specification has been produced by the 3</w:t>
      </w:r>
      <w:r w:rsidR="00F04712" w:rsidRPr="00B916EC">
        <w:t>rd</w:t>
      </w:r>
      <w:r w:rsidRPr="00B916EC">
        <w:t xml:space="preserve"> Generation Partnership Project (3GPP).</w:t>
      </w:r>
    </w:p>
    <w:p w14:paraId="3521B41B" w14:textId="77777777" w:rsidR="00080512" w:rsidRPr="00B916EC" w:rsidRDefault="00080512">
      <w:r w:rsidRPr="00B916EC">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69073CFC" w14:textId="77777777" w:rsidR="00080512" w:rsidRPr="00B916EC" w:rsidRDefault="00080512">
      <w:pPr>
        <w:pStyle w:val="B1"/>
      </w:pPr>
      <w:r w:rsidRPr="00B916EC">
        <w:t>Version x.y.z</w:t>
      </w:r>
    </w:p>
    <w:p w14:paraId="55BB6CD5" w14:textId="77777777" w:rsidR="00080512" w:rsidRPr="00B916EC" w:rsidRDefault="00080512">
      <w:pPr>
        <w:pStyle w:val="B1"/>
      </w:pPr>
      <w:r w:rsidRPr="00B916EC">
        <w:t>where:</w:t>
      </w:r>
    </w:p>
    <w:p w14:paraId="124B06B1" w14:textId="77777777" w:rsidR="00080512" w:rsidRPr="00B916EC" w:rsidRDefault="00080512">
      <w:pPr>
        <w:pStyle w:val="B2"/>
      </w:pPr>
      <w:r w:rsidRPr="00B916EC">
        <w:t>x</w:t>
      </w:r>
      <w:r w:rsidRPr="00B916EC">
        <w:tab/>
        <w:t>the first digit:</w:t>
      </w:r>
    </w:p>
    <w:p w14:paraId="634C6993" w14:textId="77777777" w:rsidR="00080512" w:rsidRPr="00B916EC" w:rsidRDefault="00080512">
      <w:pPr>
        <w:pStyle w:val="B3"/>
      </w:pPr>
      <w:r w:rsidRPr="00B916EC">
        <w:t>1</w:t>
      </w:r>
      <w:r w:rsidRPr="00B916EC">
        <w:tab/>
        <w:t>presented to TSG for information;</w:t>
      </w:r>
    </w:p>
    <w:p w14:paraId="057B0BDD" w14:textId="77777777" w:rsidR="00080512" w:rsidRPr="00B916EC" w:rsidRDefault="00080512">
      <w:pPr>
        <w:pStyle w:val="B3"/>
      </w:pPr>
      <w:r w:rsidRPr="00B916EC">
        <w:t>2</w:t>
      </w:r>
      <w:r w:rsidRPr="00B916EC">
        <w:tab/>
        <w:t>presented to TSG for approval;</w:t>
      </w:r>
    </w:p>
    <w:p w14:paraId="5C82E07F" w14:textId="77777777" w:rsidR="00080512" w:rsidRPr="00B916EC" w:rsidRDefault="00080512">
      <w:pPr>
        <w:pStyle w:val="B3"/>
      </w:pPr>
      <w:r w:rsidRPr="00B916EC">
        <w:t>3</w:t>
      </w:r>
      <w:r w:rsidRPr="00B916EC">
        <w:tab/>
        <w:t>or greater indicates TSG approved document under change control.</w:t>
      </w:r>
    </w:p>
    <w:p w14:paraId="23EB3F5B" w14:textId="77777777" w:rsidR="00080512" w:rsidRPr="00B916EC" w:rsidRDefault="00080512">
      <w:pPr>
        <w:pStyle w:val="B2"/>
      </w:pPr>
      <w:r w:rsidRPr="00B916EC">
        <w:t>y</w:t>
      </w:r>
      <w:r w:rsidRPr="00B916EC">
        <w:tab/>
        <w:t>the second digit is incremented for all changes of substance, i.e. technical enhancements, corrections, updates, etc.</w:t>
      </w:r>
    </w:p>
    <w:p w14:paraId="12EA4A06" w14:textId="77777777" w:rsidR="00080512" w:rsidRPr="00B916EC" w:rsidRDefault="00080512">
      <w:pPr>
        <w:pStyle w:val="B2"/>
      </w:pPr>
      <w:r w:rsidRPr="00B916EC">
        <w:t>z</w:t>
      </w:r>
      <w:r w:rsidRPr="00B916EC">
        <w:tab/>
        <w:t>the third digit is incremented when editorial only changes have been incorporated in the document.</w:t>
      </w:r>
    </w:p>
    <w:p w14:paraId="412671FD" w14:textId="77777777" w:rsidR="00080512" w:rsidRPr="00B916EC" w:rsidRDefault="00080512">
      <w:pPr>
        <w:pStyle w:val="Guidance"/>
        <w:rPr>
          <w:color w:val="auto"/>
        </w:rPr>
      </w:pPr>
    </w:p>
    <w:p w14:paraId="7AEFDE62" w14:textId="77777777" w:rsidR="00080512" w:rsidRPr="00B916EC" w:rsidRDefault="00080512" w:rsidP="00814ED9">
      <w:pPr>
        <w:pStyle w:val="Heading1"/>
      </w:pPr>
      <w:r w:rsidRPr="00B916EC">
        <w:br w:type="page"/>
      </w:r>
      <w:bookmarkStart w:id="15" w:name="_Toc12021432"/>
      <w:bookmarkStart w:id="16" w:name="_Toc20311544"/>
      <w:bookmarkStart w:id="17" w:name="_Toc26719369"/>
      <w:bookmarkStart w:id="18" w:name="_Toc29894800"/>
      <w:bookmarkStart w:id="19" w:name="_Toc29899099"/>
      <w:bookmarkStart w:id="20" w:name="_Toc29899517"/>
      <w:bookmarkStart w:id="21" w:name="_Toc29917254"/>
      <w:bookmarkStart w:id="22" w:name="_Toc36498128"/>
      <w:bookmarkStart w:id="23" w:name="_Toc45699154"/>
      <w:bookmarkStart w:id="24" w:name="_Toc161999079"/>
      <w:r w:rsidRPr="00B916EC">
        <w:lastRenderedPageBreak/>
        <w:t>1</w:t>
      </w:r>
      <w:r w:rsidRPr="00B916EC">
        <w:tab/>
        <w:t>Scope</w:t>
      </w:r>
      <w:bookmarkEnd w:id="15"/>
      <w:bookmarkEnd w:id="16"/>
      <w:bookmarkEnd w:id="17"/>
      <w:bookmarkEnd w:id="18"/>
      <w:bookmarkEnd w:id="19"/>
      <w:bookmarkEnd w:id="20"/>
      <w:bookmarkEnd w:id="21"/>
      <w:bookmarkEnd w:id="22"/>
      <w:bookmarkEnd w:id="23"/>
      <w:bookmarkEnd w:id="24"/>
    </w:p>
    <w:p w14:paraId="5F334FE2" w14:textId="77777777" w:rsidR="005C5BAE" w:rsidRPr="00B916EC" w:rsidRDefault="00240A64" w:rsidP="00240A64">
      <w:r w:rsidRPr="00B916EC">
        <w:t xml:space="preserve">The present document </w:t>
      </w:r>
      <w:r w:rsidR="005C5BAE" w:rsidRPr="00B916EC">
        <w:t xml:space="preserve">specifies and establishes the characteristics of the physical layer procedures </w:t>
      </w:r>
      <w:r w:rsidR="004A5D0C" w:rsidRPr="00B916EC">
        <w:t>for control operations</w:t>
      </w:r>
      <w:r w:rsidR="00531BA6" w:rsidRPr="00B916EC">
        <w:t xml:space="preserve"> </w:t>
      </w:r>
      <w:r w:rsidR="004A5D0C" w:rsidRPr="00B916EC">
        <w:t>in</w:t>
      </w:r>
      <w:r w:rsidR="007E31B4" w:rsidRPr="00B916EC">
        <w:t xml:space="preserve"> 5G-NR</w:t>
      </w:r>
      <w:r w:rsidR="005C5BAE" w:rsidRPr="00B916EC">
        <w:t>.</w:t>
      </w:r>
    </w:p>
    <w:p w14:paraId="4E8C7BB9" w14:textId="77777777" w:rsidR="00080512" w:rsidRPr="00B916EC" w:rsidRDefault="00080512" w:rsidP="00814ED9">
      <w:pPr>
        <w:pStyle w:val="Heading1"/>
      </w:pPr>
      <w:bookmarkStart w:id="25" w:name="_Toc12021433"/>
      <w:bookmarkStart w:id="26" w:name="_Toc20311545"/>
      <w:bookmarkStart w:id="27" w:name="_Toc26719370"/>
      <w:bookmarkStart w:id="28" w:name="_Toc29894801"/>
      <w:bookmarkStart w:id="29" w:name="_Toc29899100"/>
      <w:bookmarkStart w:id="30" w:name="_Toc29899518"/>
      <w:bookmarkStart w:id="31" w:name="_Toc29917255"/>
      <w:bookmarkStart w:id="32" w:name="_Toc36498129"/>
      <w:bookmarkStart w:id="33" w:name="_Toc45699155"/>
      <w:bookmarkStart w:id="34" w:name="_Toc161999080"/>
      <w:r w:rsidRPr="00B916EC">
        <w:t>2</w:t>
      </w:r>
      <w:r w:rsidRPr="00B916EC">
        <w:tab/>
        <w:t>References</w:t>
      </w:r>
      <w:bookmarkEnd w:id="25"/>
      <w:bookmarkEnd w:id="26"/>
      <w:bookmarkEnd w:id="27"/>
      <w:bookmarkEnd w:id="28"/>
      <w:bookmarkEnd w:id="29"/>
      <w:bookmarkEnd w:id="30"/>
      <w:bookmarkEnd w:id="31"/>
      <w:bookmarkEnd w:id="32"/>
      <w:bookmarkEnd w:id="33"/>
      <w:bookmarkEnd w:id="34"/>
    </w:p>
    <w:p w14:paraId="7E735440" w14:textId="77777777" w:rsidR="00080512" w:rsidRPr="00B916EC" w:rsidRDefault="00080512">
      <w:r w:rsidRPr="00B916EC">
        <w:t>The following documents contain provisions which, through reference in this text, constitute provisions of the present document.</w:t>
      </w:r>
    </w:p>
    <w:p w14:paraId="2974189B" w14:textId="77777777" w:rsidR="006A50C1" w:rsidRPr="00B916EC" w:rsidRDefault="006A50C1" w:rsidP="006A50C1">
      <w:pPr>
        <w:pStyle w:val="EX"/>
      </w:pPr>
      <w:r w:rsidRPr="00B916EC">
        <w:t>[1]</w:t>
      </w:r>
      <w:r w:rsidRPr="00B916EC">
        <w:tab/>
        <w:t>3GPP TR 21.905: "Voca</w:t>
      </w:r>
      <w:r w:rsidR="00416A87">
        <w:t>bulary for 3GPP Specifications"</w:t>
      </w:r>
    </w:p>
    <w:p w14:paraId="65E0C7CD" w14:textId="77777777" w:rsidR="006A50C1" w:rsidRPr="00B916EC" w:rsidRDefault="00416A87" w:rsidP="006A50C1">
      <w:pPr>
        <w:pStyle w:val="EX"/>
      </w:pPr>
      <w:r>
        <w:t>[2]</w:t>
      </w:r>
      <w:r>
        <w:tab/>
        <w:t xml:space="preserve">3GPP TS 38.201: </w:t>
      </w:r>
      <w:r w:rsidRPr="00B916EC">
        <w:t>"</w:t>
      </w:r>
      <w:r w:rsidR="006A50C1" w:rsidRPr="00B916EC">
        <w:t>NR; Physi</w:t>
      </w:r>
      <w:r>
        <w:t>cal Layer – General Description</w:t>
      </w:r>
      <w:r w:rsidRPr="00B916EC">
        <w:t>"</w:t>
      </w:r>
    </w:p>
    <w:p w14:paraId="7B5DE6F9" w14:textId="77777777" w:rsidR="006A50C1" w:rsidRPr="00B916EC" w:rsidRDefault="00416A87" w:rsidP="006A50C1">
      <w:pPr>
        <w:pStyle w:val="EX"/>
      </w:pPr>
      <w:r>
        <w:t>[3]</w:t>
      </w:r>
      <w:r>
        <w:tab/>
        <w:t xml:space="preserve">3GPP TS 38.202: </w:t>
      </w:r>
      <w:r w:rsidRPr="00B916EC">
        <w:t>"</w:t>
      </w:r>
      <w:r w:rsidR="006A50C1" w:rsidRPr="00B916EC">
        <w:t>NR; Services</w:t>
      </w:r>
      <w:r>
        <w:t xml:space="preserve"> provided by the physical layer</w:t>
      </w:r>
      <w:r w:rsidRPr="00B916EC">
        <w:t>"</w:t>
      </w:r>
    </w:p>
    <w:p w14:paraId="5C72E70D" w14:textId="77777777" w:rsidR="006A50C1" w:rsidRPr="00B916EC" w:rsidRDefault="00416A87" w:rsidP="006A50C1">
      <w:pPr>
        <w:pStyle w:val="EX"/>
      </w:pPr>
      <w:r>
        <w:t>[4]</w:t>
      </w:r>
      <w:r>
        <w:tab/>
        <w:t xml:space="preserve">3GPP TS 38.211: </w:t>
      </w:r>
      <w:r w:rsidRPr="00B916EC">
        <w:t>"</w:t>
      </w:r>
      <w:r w:rsidR="006A50C1" w:rsidRPr="00B916EC">
        <w:t>NR; P</w:t>
      </w:r>
      <w:r>
        <w:t>hysical channels and modulation</w:t>
      </w:r>
      <w:r w:rsidRPr="00B916EC">
        <w:t>"</w:t>
      </w:r>
    </w:p>
    <w:p w14:paraId="3F16BCA8" w14:textId="77777777" w:rsidR="006A50C1" w:rsidRPr="00B916EC" w:rsidRDefault="006A50C1" w:rsidP="006A50C1">
      <w:pPr>
        <w:pStyle w:val="EX"/>
      </w:pPr>
      <w:r w:rsidRPr="00B916EC">
        <w:t>[5]</w:t>
      </w:r>
      <w:r w:rsidRPr="00B916EC">
        <w:tab/>
        <w:t>3GPP</w:t>
      </w:r>
      <w:r w:rsidR="00416A87">
        <w:t xml:space="preserve"> TS 38.212: </w:t>
      </w:r>
      <w:r w:rsidR="00416A87" w:rsidRPr="00B916EC">
        <w:t>"</w:t>
      </w:r>
      <w:r w:rsidRPr="00B916EC">
        <w:t xml:space="preserve">NR; </w:t>
      </w:r>
      <w:r w:rsidR="00416A87">
        <w:t>Multiplexing and channel coding</w:t>
      </w:r>
      <w:r w:rsidR="00416A87" w:rsidRPr="00B916EC">
        <w:t>"</w:t>
      </w:r>
    </w:p>
    <w:p w14:paraId="66505830" w14:textId="77777777" w:rsidR="006A50C1" w:rsidRPr="00B916EC" w:rsidRDefault="00416A87" w:rsidP="006A50C1">
      <w:pPr>
        <w:pStyle w:val="EX"/>
      </w:pPr>
      <w:r>
        <w:t>[6]</w:t>
      </w:r>
      <w:r>
        <w:tab/>
        <w:t xml:space="preserve">3GPP TS 38.214: </w:t>
      </w:r>
      <w:r w:rsidRPr="00B916EC">
        <w:t>"</w:t>
      </w:r>
      <w:r w:rsidR="006A50C1" w:rsidRPr="00B916EC">
        <w:t>NR; Phy</w:t>
      </w:r>
      <w:r>
        <w:t>sical layer procedures for data</w:t>
      </w:r>
      <w:r w:rsidRPr="00B916EC">
        <w:t>"</w:t>
      </w:r>
    </w:p>
    <w:p w14:paraId="33541D81" w14:textId="77777777" w:rsidR="006A50C1" w:rsidRPr="00B916EC" w:rsidRDefault="00416A87" w:rsidP="006A50C1">
      <w:pPr>
        <w:pStyle w:val="EX"/>
      </w:pPr>
      <w:r>
        <w:t>[7]</w:t>
      </w:r>
      <w:r>
        <w:tab/>
        <w:t xml:space="preserve">3GPP TS 38.215: </w:t>
      </w:r>
      <w:r w:rsidRPr="00B916EC">
        <w:t>"</w:t>
      </w:r>
      <w:r>
        <w:t>NR; Physical layer measurements</w:t>
      </w:r>
      <w:r w:rsidRPr="00B916EC">
        <w:t>"</w:t>
      </w:r>
    </w:p>
    <w:p w14:paraId="3CFC9F34" w14:textId="77777777" w:rsidR="00971CFD" w:rsidRDefault="00416A87" w:rsidP="00971CFD">
      <w:pPr>
        <w:pStyle w:val="EX"/>
      </w:pPr>
      <w:r>
        <w:t>[8</w:t>
      </w:r>
      <w:r w:rsidR="00971CFD">
        <w:t>-1</w:t>
      </w:r>
      <w:r>
        <w:t>]</w:t>
      </w:r>
      <w:r w:rsidR="00415E7C">
        <w:tab/>
      </w:r>
      <w:r>
        <w:t>3GPP TS 38.101</w:t>
      </w:r>
      <w:r w:rsidR="005E4D60">
        <w:t>-1</w:t>
      </w:r>
      <w:r>
        <w:t xml:space="preserve">: </w:t>
      </w:r>
      <w:r w:rsidRPr="00B916EC">
        <w:t>"</w:t>
      </w:r>
      <w:r w:rsidR="006A50C1" w:rsidRPr="00B916EC">
        <w:t>NR; User Equipment (UE) r</w:t>
      </w:r>
      <w:r>
        <w:t>adio transmission and reception</w:t>
      </w:r>
      <w:r w:rsidR="00971CFD">
        <w:t>;</w:t>
      </w:r>
      <w:r w:rsidR="00971CFD" w:rsidRPr="001E63EB">
        <w:rPr>
          <w:lang w:val="en-US"/>
        </w:rPr>
        <w:t xml:space="preserve"> Part 1: Range 1 Standalone</w:t>
      </w:r>
      <w:r w:rsidR="00971CFD">
        <w:t>"</w:t>
      </w:r>
    </w:p>
    <w:p w14:paraId="4274505A" w14:textId="77777777" w:rsidR="00971CFD" w:rsidRDefault="00971CFD" w:rsidP="00971CFD">
      <w:pPr>
        <w:pStyle w:val="EX"/>
      </w:pPr>
      <w:r>
        <w:t>[8-2]</w:t>
      </w:r>
      <w:r w:rsidRPr="001E63EB">
        <w:tab/>
        <w:t>3GPP TS 38.101-</w:t>
      </w:r>
      <w:r>
        <w:t>2</w:t>
      </w:r>
      <w:r w:rsidRPr="001E63EB">
        <w:t xml:space="preserve">: </w:t>
      </w:r>
      <w:r>
        <w:t>"</w:t>
      </w:r>
      <w:r w:rsidRPr="001E63EB">
        <w:t>NR; User Equipment (UE) radio transmission and reception</w:t>
      </w:r>
      <w:r>
        <w:t>;</w:t>
      </w:r>
      <w:r w:rsidRPr="001E63EB">
        <w:rPr>
          <w:lang w:val="en-US"/>
        </w:rPr>
        <w:t xml:space="preserve"> </w:t>
      </w:r>
      <w:r>
        <w:rPr>
          <w:lang w:val="en-US"/>
        </w:rPr>
        <w:t>Part 2: Range 2</w:t>
      </w:r>
      <w:r w:rsidRPr="001E63EB">
        <w:rPr>
          <w:lang w:val="en-US"/>
        </w:rPr>
        <w:t xml:space="preserve"> Standalone</w:t>
      </w:r>
      <w:r>
        <w:t>"</w:t>
      </w:r>
    </w:p>
    <w:p w14:paraId="033B6AF6" w14:textId="7C8EF17F" w:rsidR="006A50C1" w:rsidRDefault="00971CFD" w:rsidP="006A50C1">
      <w:pPr>
        <w:pStyle w:val="EX"/>
      </w:pPr>
      <w:r w:rsidRPr="001E63EB">
        <w:t>[8</w:t>
      </w:r>
      <w:r>
        <w:t>-3</w:t>
      </w:r>
      <w:r w:rsidR="002B6019">
        <w:t>]</w:t>
      </w:r>
      <w:r w:rsidRPr="001E63EB">
        <w:tab/>
        <w:t>3GPP TS 38.101</w:t>
      </w:r>
      <w:r>
        <w:t>-3</w:t>
      </w:r>
      <w:r w:rsidRPr="001E63EB">
        <w:t xml:space="preserve">: </w:t>
      </w:r>
      <w:r>
        <w:t>"</w:t>
      </w:r>
      <w:r w:rsidRPr="001E63EB">
        <w:t>NR; User Equipment (UE) radio transmission and reception</w:t>
      </w:r>
      <w:r>
        <w:t>;</w:t>
      </w:r>
      <w:r w:rsidRPr="001E63EB">
        <w:rPr>
          <w:lang w:val="en-US"/>
        </w:rPr>
        <w:t xml:space="preserve"> Part 3: Range 1 and Range 2 Interworking operation with other radios</w:t>
      </w:r>
      <w:r>
        <w:t>"</w:t>
      </w:r>
    </w:p>
    <w:p w14:paraId="12D391F9" w14:textId="31691CA8" w:rsidR="00256F8F" w:rsidRPr="000E28A2" w:rsidRDefault="00256F8F" w:rsidP="006A50C1">
      <w:pPr>
        <w:pStyle w:val="EX"/>
      </w:pPr>
      <w:r w:rsidRPr="001E63EB">
        <w:t>[8</w:t>
      </w:r>
      <w:r>
        <w:t>-4]</w:t>
      </w:r>
      <w:r w:rsidRPr="001E63EB">
        <w:tab/>
        <w:t>3GPP TS 38.101</w:t>
      </w:r>
      <w:r>
        <w:t>-4</w:t>
      </w:r>
      <w:r w:rsidRPr="001E63EB">
        <w:t xml:space="preserve">: </w:t>
      </w:r>
      <w:r>
        <w:t>"</w:t>
      </w:r>
      <w:r w:rsidRPr="001E63EB">
        <w:t xml:space="preserve">NR; </w:t>
      </w:r>
      <w:r w:rsidRPr="00005E47">
        <w:t>User Equipment (UE) radio transmission and reception;</w:t>
      </w:r>
      <w:r w:rsidRPr="00005E47">
        <w:rPr>
          <w:lang w:val="en-US"/>
        </w:rPr>
        <w:t xml:space="preserve"> </w:t>
      </w:r>
      <w:r w:rsidRPr="00005E47">
        <w:rPr>
          <w:szCs w:val="10"/>
          <w:lang w:val="en-US"/>
        </w:rPr>
        <w:t xml:space="preserve">Part 4: </w:t>
      </w:r>
      <w:r w:rsidRPr="00005E47">
        <w:rPr>
          <w:szCs w:val="10"/>
        </w:rPr>
        <w:t>Performance requirements</w:t>
      </w:r>
      <w:r w:rsidRPr="00005E47">
        <w:t>"</w:t>
      </w:r>
    </w:p>
    <w:p w14:paraId="1982FFD0" w14:textId="77777777" w:rsidR="006A50C1" w:rsidRPr="00B916EC" w:rsidRDefault="006A50C1" w:rsidP="006A50C1">
      <w:pPr>
        <w:pStyle w:val="EX"/>
      </w:pPr>
      <w:r w:rsidRPr="00B916EC">
        <w:t>[9]</w:t>
      </w:r>
      <w:r w:rsidRPr="00B916EC">
        <w:tab/>
        <w:t>3GPP TS</w:t>
      </w:r>
      <w:r w:rsidR="00416A87">
        <w:t xml:space="preserve"> 38.104: </w:t>
      </w:r>
      <w:r w:rsidR="00416A87" w:rsidRPr="00B916EC">
        <w:t>"</w:t>
      </w:r>
      <w:r w:rsidRPr="00B916EC">
        <w:t>NR; Base Station (BS) r</w:t>
      </w:r>
      <w:r w:rsidR="00416A87">
        <w:t>adio transmission and reception</w:t>
      </w:r>
      <w:r w:rsidR="00416A87" w:rsidRPr="00B916EC">
        <w:t>"</w:t>
      </w:r>
    </w:p>
    <w:p w14:paraId="519C9AFE" w14:textId="77777777" w:rsidR="006A50C1" w:rsidRPr="00B916EC" w:rsidRDefault="00416A87" w:rsidP="006A50C1">
      <w:pPr>
        <w:pStyle w:val="EX"/>
      </w:pPr>
      <w:r>
        <w:t>[10]</w:t>
      </w:r>
      <w:r w:rsidR="00415E7C">
        <w:tab/>
      </w:r>
      <w:r>
        <w:t xml:space="preserve">3GPP TS 38.133: </w:t>
      </w:r>
      <w:r w:rsidRPr="00B916EC">
        <w:t>"</w:t>
      </w:r>
      <w:r w:rsidR="006A50C1" w:rsidRPr="00B916EC">
        <w:t>NR; Requirements for suppo</w:t>
      </w:r>
      <w:r>
        <w:t>rt of radio resource management</w:t>
      </w:r>
      <w:r w:rsidRPr="00B916EC">
        <w:t>"</w:t>
      </w:r>
    </w:p>
    <w:p w14:paraId="7FF2D73D" w14:textId="77777777" w:rsidR="006A50C1" w:rsidRPr="00B916EC" w:rsidRDefault="00416A87" w:rsidP="006A50C1">
      <w:pPr>
        <w:pStyle w:val="EX"/>
      </w:pPr>
      <w:r>
        <w:t>[11]</w:t>
      </w:r>
      <w:r w:rsidR="00415E7C">
        <w:tab/>
      </w:r>
      <w:r>
        <w:t xml:space="preserve">3GPP TS 38.321: </w:t>
      </w:r>
      <w:r w:rsidRPr="00B916EC">
        <w:t>"</w:t>
      </w:r>
      <w:r w:rsidR="006A50C1" w:rsidRPr="00B916EC">
        <w:t>NR; Medium Access Contr</w:t>
      </w:r>
      <w:r>
        <w:t>ol (MAC) protocol specification</w:t>
      </w:r>
      <w:r w:rsidRPr="00B916EC">
        <w:t>"</w:t>
      </w:r>
    </w:p>
    <w:p w14:paraId="22383E9E" w14:textId="77777777" w:rsidR="006A50C1" w:rsidRPr="00B916EC" w:rsidRDefault="00416A87" w:rsidP="006A50C1">
      <w:pPr>
        <w:pStyle w:val="EX"/>
      </w:pPr>
      <w:r>
        <w:t>[12]</w:t>
      </w:r>
      <w:r w:rsidR="00415E7C">
        <w:tab/>
      </w:r>
      <w:r>
        <w:t xml:space="preserve">3GPP TS 38.331: </w:t>
      </w:r>
      <w:r w:rsidRPr="00B916EC">
        <w:t>"</w:t>
      </w:r>
      <w:r w:rsidR="006A50C1" w:rsidRPr="00B916EC">
        <w:t>NR; Radio Resource Contro</w:t>
      </w:r>
      <w:r>
        <w:t>l (RRC); Protocol specification</w:t>
      </w:r>
      <w:r w:rsidRPr="00B916EC">
        <w:t>"</w:t>
      </w:r>
    </w:p>
    <w:p w14:paraId="62C6E5D3" w14:textId="77777777" w:rsidR="00EB2C1A" w:rsidRDefault="006A50C1" w:rsidP="00557603">
      <w:pPr>
        <w:pStyle w:val="EX"/>
        <w:rPr>
          <w:rFonts w:eastAsia="DengXian"/>
        </w:rPr>
      </w:pPr>
      <w:r w:rsidRPr="00B916EC">
        <w:t>[13]</w:t>
      </w:r>
      <w:r w:rsidRPr="00B916EC">
        <w:tab/>
      </w:r>
      <w:r w:rsidR="00416A87">
        <w:t xml:space="preserve">3GPP TS 36.213: </w:t>
      </w:r>
      <w:r w:rsidR="00416A87" w:rsidRPr="00B916EC">
        <w:t>"</w:t>
      </w:r>
      <w:r w:rsidRPr="00B916EC">
        <w:t>Evolved Universal Terrestrial Radio Access (E-U</w:t>
      </w:r>
      <w:r w:rsidR="00416A87">
        <w:t>TRA); Physical layer procedures</w:t>
      </w:r>
      <w:r w:rsidR="00416A87" w:rsidRPr="00B916EC">
        <w:t>"</w:t>
      </w:r>
    </w:p>
    <w:p w14:paraId="036BB2DD" w14:textId="77777777" w:rsidR="006A50C1" w:rsidRDefault="00EB2C1A" w:rsidP="00EB2C1A">
      <w:pPr>
        <w:pStyle w:val="EX"/>
        <w:rPr>
          <w:rFonts w:eastAsia="DengXian"/>
        </w:rPr>
      </w:pPr>
      <w:r w:rsidRPr="00180AF2">
        <w:rPr>
          <w:rFonts w:eastAsia="DengXian"/>
        </w:rPr>
        <w:t>[1</w:t>
      </w:r>
      <w:r>
        <w:rPr>
          <w:rFonts w:eastAsia="DengXian"/>
        </w:rPr>
        <w:t>4</w:t>
      </w:r>
      <w:r w:rsidRPr="00180AF2">
        <w:rPr>
          <w:rFonts w:eastAsia="DengXian"/>
        </w:rPr>
        <w:t>]</w:t>
      </w:r>
      <w:r w:rsidRPr="00180AF2">
        <w:rPr>
          <w:rFonts w:eastAsia="DengXian"/>
        </w:rPr>
        <w:tab/>
      </w:r>
      <w:r>
        <w:rPr>
          <w:rFonts w:eastAsia="DengXian"/>
        </w:rPr>
        <w:t>3GPP TS 36.32</w:t>
      </w:r>
      <w:r w:rsidRPr="00180AF2">
        <w:rPr>
          <w:rFonts w:eastAsia="DengXian"/>
        </w:rPr>
        <w:t>1: "Evolved Universal Terrestrial Radio Access (E-UTRA); Medium Access Control (MAC) protocol specification"</w:t>
      </w:r>
    </w:p>
    <w:p w14:paraId="3A882C8F" w14:textId="1ABB748B" w:rsidR="00FF067E" w:rsidRDefault="001F19DA" w:rsidP="00FF067E">
      <w:pPr>
        <w:pStyle w:val="EX"/>
        <w:rPr>
          <w:rFonts w:eastAsia="DengXian"/>
        </w:rPr>
      </w:pPr>
      <w:r w:rsidRPr="00706A2E">
        <w:rPr>
          <w:rFonts w:eastAsia="DengXian"/>
        </w:rPr>
        <w:t>[15]</w:t>
      </w:r>
      <w:r w:rsidRPr="00706A2E">
        <w:rPr>
          <w:rFonts w:eastAsia="DengXian"/>
        </w:rPr>
        <w:tab/>
        <w:t>3GPP TS 37.213: "</w:t>
      </w:r>
      <w:r>
        <w:rPr>
          <w:rFonts w:eastAsia="Yu Gothic"/>
        </w:rPr>
        <w:t>Physical layer procedures for shared spectrum channel access</w:t>
      </w:r>
      <w:r w:rsidRPr="00706A2E">
        <w:rPr>
          <w:rFonts w:eastAsia="DengXian"/>
        </w:rPr>
        <w:t>"</w:t>
      </w:r>
    </w:p>
    <w:p w14:paraId="6E34E52F" w14:textId="77777777" w:rsidR="00860BAC" w:rsidRPr="00686F3E" w:rsidRDefault="00FF067E" w:rsidP="00860BAC">
      <w:pPr>
        <w:pStyle w:val="EX"/>
        <w:rPr>
          <w:rFonts w:eastAsia="DengXian"/>
        </w:rPr>
      </w:pPr>
      <w:r w:rsidRPr="00706A2E">
        <w:rPr>
          <w:rFonts w:eastAsia="DengXian"/>
        </w:rPr>
        <w:t>[1</w:t>
      </w:r>
      <w:r>
        <w:rPr>
          <w:rFonts w:eastAsia="DengXian"/>
        </w:rPr>
        <w:t>6</w:t>
      </w:r>
      <w:r w:rsidRPr="00706A2E">
        <w:rPr>
          <w:rFonts w:eastAsia="DengXian"/>
        </w:rPr>
        <w:t>]</w:t>
      </w:r>
      <w:r w:rsidRPr="00706A2E">
        <w:rPr>
          <w:rFonts w:eastAsia="DengXian"/>
        </w:rPr>
        <w:tab/>
        <w:t>3GPP TS 3</w:t>
      </w:r>
      <w:r>
        <w:rPr>
          <w:rFonts w:eastAsia="DengXian"/>
        </w:rPr>
        <w:t>8</w:t>
      </w:r>
      <w:r w:rsidRPr="00706A2E">
        <w:rPr>
          <w:rFonts w:eastAsia="DengXian"/>
        </w:rPr>
        <w:t>.</w:t>
      </w:r>
      <w:r>
        <w:rPr>
          <w:rFonts w:eastAsia="DengXian"/>
        </w:rPr>
        <w:t>47</w:t>
      </w:r>
      <w:r w:rsidRPr="00706A2E">
        <w:rPr>
          <w:rFonts w:eastAsia="DengXian"/>
        </w:rPr>
        <w:t>3: "</w:t>
      </w:r>
      <w:r>
        <w:rPr>
          <w:rFonts w:eastAsia="Yu Gothic"/>
        </w:rPr>
        <w:t>F1 application protocol (F1AP)</w:t>
      </w:r>
      <w:r w:rsidRPr="00706A2E">
        <w:rPr>
          <w:rFonts w:eastAsia="DengXian"/>
        </w:rPr>
        <w:t>"</w:t>
      </w:r>
    </w:p>
    <w:p w14:paraId="55B96847" w14:textId="0A5D546A" w:rsidR="001F19DA" w:rsidRDefault="00860BAC" w:rsidP="00860BAC">
      <w:pPr>
        <w:pStyle w:val="EX"/>
        <w:rPr>
          <w:rFonts w:eastAsia="DengXian"/>
        </w:rPr>
      </w:pPr>
      <w:r w:rsidRPr="00686F3E">
        <w:rPr>
          <w:rFonts w:eastAsia="DengXian"/>
        </w:rPr>
        <w:t>[17]</w:t>
      </w:r>
      <w:r w:rsidRPr="00686F3E">
        <w:rPr>
          <w:rFonts w:eastAsia="DengXian"/>
        </w:rPr>
        <w:tab/>
        <w:t>3GPP TS 38.304: "</w:t>
      </w:r>
      <w:r w:rsidRPr="00686F3E">
        <w:t>NR; User Equipment (UE) procedures in Idle mode and RRC Inactive state</w:t>
      </w:r>
      <w:r w:rsidRPr="00686F3E">
        <w:rPr>
          <w:rFonts w:eastAsia="DengXian"/>
        </w:rPr>
        <w:t>"</w:t>
      </w:r>
    </w:p>
    <w:p w14:paraId="30BDAE21" w14:textId="77777777" w:rsidR="00DF3985" w:rsidRPr="00543165" w:rsidRDefault="00DF3985" w:rsidP="00DF3985">
      <w:pPr>
        <w:pStyle w:val="EX"/>
        <w:rPr>
          <w:rFonts w:eastAsia="DengXian"/>
        </w:rPr>
      </w:pPr>
      <w:r w:rsidRPr="00543165">
        <w:rPr>
          <w:rFonts w:eastAsia="DengXian"/>
        </w:rPr>
        <w:t>[18]</w:t>
      </w:r>
      <w:r w:rsidRPr="00543165">
        <w:rPr>
          <w:rFonts w:eastAsia="DengXian"/>
        </w:rPr>
        <w:tab/>
        <w:t>3GPP TS 38.306: "</w:t>
      </w:r>
      <w:r w:rsidRPr="00543165">
        <w:t>NR; User Equipment (UE) radio access capabilities</w:t>
      </w:r>
      <w:r w:rsidRPr="00543165">
        <w:rPr>
          <w:rFonts w:eastAsia="DengXian"/>
        </w:rPr>
        <w:t>"</w:t>
      </w:r>
    </w:p>
    <w:p w14:paraId="2BE10924" w14:textId="77777777" w:rsidR="00DB7D93" w:rsidRDefault="002D5B67" w:rsidP="00DB7D93">
      <w:pPr>
        <w:pStyle w:val="EX"/>
        <w:rPr>
          <w:rFonts w:eastAsia="DengXian"/>
        </w:rPr>
      </w:pPr>
      <w:r w:rsidRPr="00543165">
        <w:rPr>
          <w:rFonts w:eastAsia="DengXian"/>
        </w:rPr>
        <w:t>[1</w:t>
      </w:r>
      <w:r>
        <w:rPr>
          <w:rFonts w:eastAsia="DengXian"/>
        </w:rPr>
        <w:t>9</w:t>
      </w:r>
      <w:r w:rsidRPr="00543165">
        <w:rPr>
          <w:rFonts w:eastAsia="DengXian"/>
        </w:rPr>
        <w:t>]</w:t>
      </w:r>
      <w:r w:rsidRPr="00543165">
        <w:rPr>
          <w:rFonts w:eastAsia="DengXian"/>
        </w:rPr>
        <w:tab/>
        <w:t>3GPP TS 38.30</w:t>
      </w:r>
      <w:r>
        <w:rPr>
          <w:rFonts w:eastAsia="DengXian"/>
        </w:rPr>
        <w:t>0</w:t>
      </w:r>
      <w:r w:rsidRPr="00543165">
        <w:rPr>
          <w:rFonts w:eastAsia="DengXian"/>
        </w:rPr>
        <w:t>: "</w:t>
      </w:r>
      <w:r w:rsidRPr="002D5B67">
        <w:t>NR; NR and NG-RAN Overall Description</w:t>
      </w:r>
      <w:r w:rsidRPr="00543165">
        <w:rPr>
          <w:rFonts w:eastAsia="DengXian"/>
        </w:rPr>
        <w:t>"</w:t>
      </w:r>
    </w:p>
    <w:p w14:paraId="3B8EF051" w14:textId="7767C5D9" w:rsidR="002D5B67" w:rsidRPr="00543165" w:rsidRDefault="00DB7D93" w:rsidP="002D5B67">
      <w:pPr>
        <w:pStyle w:val="EX"/>
        <w:rPr>
          <w:rFonts w:eastAsia="DengXian"/>
        </w:rPr>
      </w:pPr>
      <w:r>
        <w:rPr>
          <w:rFonts w:eastAsia="DengXian"/>
        </w:rPr>
        <w:t>[20]</w:t>
      </w:r>
      <w:r>
        <w:rPr>
          <w:rFonts w:eastAsia="DengXian"/>
        </w:rPr>
        <w:tab/>
      </w:r>
      <w:r w:rsidRPr="00543165">
        <w:rPr>
          <w:rFonts w:eastAsia="DengXian"/>
        </w:rPr>
        <w:t>3GPP TS 38.</w:t>
      </w:r>
      <w:r>
        <w:rPr>
          <w:rFonts w:eastAsia="DengXian"/>
        </w:rPr>
        <w:t>106</w:t>
      </w:r>
      <w:r w:rsidRPr="00543165">
        <w:rPr>
          <w:rFonts w:eastAsia="DengXian"/>
        </w:rPr>
        <w:t>: "</w:t>
      </w:r>
      <w:r w:rsidRPr="002D5B67">
        <w:t xml:space="preserve">NR; </w:t>
      </w:r>
      <w:r w:rsidRPr="00B23EF1">
        <w:rPr>
          <w:bCs/>
          <w:szCs w:val="10"/>
          <w:lang w:eastAsia="zh-CN"/>
        </w:rPr>
        <w:t>NR Repeater Radio Transmission and Reception</w:t>
      </w:r>
      <w:r w:rsidRPr="00543165">
        <w:rPr>
          <w:rFonts w:eastAsia="DengXian"/>
        </w:rPr>
        <w:t>"</w:t>
      </w:r>
    </w:p>
    <w:p w14:paraId="397C2A2B" w14:textId="77777777" w:rsidR="00005700" w:rsidRPr="00B916EC" w:rsidRDefault="00005700" w:rsidP="00860BAC">
      <w:pPr>
        <w:pStyle w:val="EX"/>
      </w:pPr>
    </w:p>
    <w:p w14:paraId="44E25B23" w14:textId="77777777" w:rsidR="002A2B65" w:rsidRPr="00B916EC" w:rsidRDefault="002A2B65" w:rsidP="006A50C1">
      <w:pPr>
        <w:pStyle w:val="EX"/>
        <w:ind w:left="0" w:firstLine="0"/>
      </w:pPr>
    </w:p>
    <w:p w14:paraId="3ACF2468" w14:textId="2BCA16B0" w:rsidR="00080512" w:rsidRPr="00B916EC" w:rsidRDefault="00080512">
      <w:pPr>
        <w:pStyle w:val="Heading1"/>
      </w:pPr>
      <w:bookmarkStart w:id="35" w:name="_Toc12021434"/>
      <w:bookmarkStart w:id="36" w:name="_Toc20311546"/>
      <w:bookmarkStart w:id="37" w:name="_Toc26719371"/>
      <w:bookmarkStart w:id="38" w:name="_Toc29894802"/>
      <w:bookmarkStart w:id="39" w:name="_Toc29899101"/>
      <w:bookmarkStart w:id="40" w:name="_Toc29899519"/>
      <w:bookmarkStart w:id="41" w:name="_Toc29917256"/>
      <w:bookmarkStart w:id="42" w:name="_Toc36498130"/>
      <w:bookmarkStart w:id="43" w:name="_Toc45699156"/>
      <w:bookmarkStart w:id="44" w:name="_Toc161999081"/>
      <w:r w:rsidRPr="00B916EC">
        <w:lastRenderedPageBreak/>
        <w:t>3</w:t>
      </w:r>
      <w:r w:rsidRPr="00B916EC">
        <w:tab/>
      </w:r>
      <w:r w:rsidR="009340DA" w:rsidRPr="00B916EC">
        <w:t>Definitions</w:t>
      </w:r>
      <w:r w:rsidR="008B124F">
        <w:t xml:space="preserve"> of terms</w:t>
      </w:r>
      <w:r w:rsidR="00092377" w:rsidRPr="00B916EC">
        <w:t>, symbols and abbreviations</w:t>
      </w:r>
      <w:bookmarkEnd w:id="35"/>
      <w:bookmarkEnd w:id="36"/>
      <w:bookmarkEnd w:id="37"/>
      <w:bookmarkEnd w:id="38"/>
      <w:bookmarkEnd w:id="39"/>
      <w:bookmarkEnd w:id="40"/>
      <w:bookmarkEnd w:id="41"/>
      <w:bookmarkEnd w:id="42"/>
      <w:bookmarkEnd w:id="43"/>
      <w:bookmarkEnd w:id="44"/>
    </w:p>
    <w:p w14:paraId="37B489B1" w14:textId="1B76A15A" w:rsidR="00091945" w:rsidRPr="00B916EC" w:rsidRDefault="00091945" w:rsidP="00091945">
      <w:pPr>
        <w:pStyle w:val="Heading2"/>
      </w:pPr>
      <w:bookmarkStart w:id="45" w:name="_Toc12021435"/>
      <w:bookmarkStart w:id="46" w:name="_Toc20311547"/>
      <w:bookmarkStart w:id="47" w:name="_Toc26719372"/>
      <w:bookmarkStart w:id="48" w:name="_Toc29894803"/>
      <w:bookmarkStart w:id="49" w:name="_Toc29899102"/>
      <w:bookmarkStart w:id="50" w:name="_Toc29899520"/>
      <w:bookmarkStart w:id="51" w:name="_Toc29917257"/>
      <w:bookmarkStart w:id="52" w:name="_Toc36498131"/>
      <w:bookmarkStart w:id="53" w:name="_Toc45699157"/>
      <w:bookmarkStart w:id="54" w:name="_Toc161999082"/>
      <w:r w:rsidRPr="00B916EC">
        <w:t>3.1</w:t>
      </w:r>
      <w:r w:rsidRPr="00B916EC">
        <w:tab/>
      </w:r>
      <w:r w:rsidR="008B124F">
        <w:t>Term</w:t>
      </w:r>
      <w:r w:rsidR="00092377" w:rsidRPr="00B916EC">
        <w:t>s</w:t>
      </w:r>
      <w:bookmarkEnd w:id="45"/>
      <w:bookmarkEnd w:id="46"/>
      <w:bookmarkEnd w:id="47"/>
      <w:bookmarkEnd w:id="48"/>
      <w:bookmarkEnd w:id="49"/>
      <w:bookmarkEnd w:id="50"/>
      <w:bookmarkEnd w:id="51"/>
      <w:bookmarkEnd w:id="52"/>
      <w:bookmarkEnd w:id="53"/>
      <w:bookmarkEnd w:id="54"/>
    </w:p>
    <w:p w14:paraId="241311F6" w14:textId="77777777" w:rsidR="004D517F" w:rsidRPr="00B916EC" w:rsidRDefault="004D517F" w:rsidP="00C063A7">
      <w:r w:rsidRPr="00B916EC">
        <w:t>For the purposes of the present document, the terms and definitions given in [1</w:t>
      </w:r>
      <w:r w:rsidR="00230FB9" w:rsidRPr="00B916EC">
        <w:t>, TR 21.905</w:t>
      </w:r>
      <w:r w:rsidRPr="00B916EC">
        <w:t>] and the following apply. A term defined in the present document takes precedence over the definition of the same term, if any, in [1</w:t>
      </w:r>
      <w:r w:rsidR="00230FB9" w:rsidRPr="00B916EC">
        <w:t>, TR 21.905</w:t>
      </w:r>
      <w:r w:rsidRPr="00B916EC">
        <w:t>].</w:t>
      </w:r>
      <w:r w:rsidR="00093FE6">
        <w:t xml:space="preserve"> A parameter referenced in </w:t>
      </w:r>
      <w:r w:rsidR="00093FE6" w:rsidRPr="00AD2BE1">
        <w:rPr>
          <w:i/>
        </w:rPr>
        <w:t>italics</w:t>
      </w:r>
      <w:r w:rsidR="00093FE6">
        <w:t xml:space="preserve"> is provided by higher layers.</w:t>
      </w:r>
    </w:p>
    <w:p w14:paraId="0AA4C8DC" w14:textId="77777777" w:rsidR="00092377" w:rsidRPr="00B916EC" w:rsidRDefault="00092377" w:rsidP="00092377">
      <w:pPr>
        <w:pStyle w:val="Heading2"/>
      </w:pPr>
      <w:bookmarkStart w:id="55" w:name="_Toc12021436"/>
      <w:bookmarkStart w:id="56" w:name="_Toc20311548"/>
      <w:bookmarkStart w:id="57" w:name="_Toc26719373"/>
      <w:bookmarkStart w:id="58" w:name="_Toc29894804"/>
      <w:bookmarkStart w:id="59" w:name="_Toc29899103"/>
      <w:bookmarkStart w:id="60" w:name="_Toc29899521"/>
      <w:bookmarkStart w:id="61" w:name="_Toc29917258"/>
      <w:bookmarkStart w:id="62" w:name="_Toc36498132"/>
      <w:bookmarkStart w:id="63" w:name="_Toc45699158"/>
      <w:bookmarkStart w:id="64" w:name="_Toc161999083"/>
      <w:r w:rsidRPr="00B916EC">
        <w:t>3.2</w:t>
      </w:r>
      <w:r w:rsidRPr="00B916EC">
        <w:tab/>
        <w:t>Symbols</w:t>
      </w:r>
      <w:bookmarkEnd w:id="55"/>
      <w:bookmarkEnd w:id="56"/>
      <w:bookmarkEnd w:id="57"/>
      <w:bookmarkEnd w:id="58"/>
      <w:bookmarkEnd w:id="59"/>
      <w:bookmarkEnd w:id="60"/>
      <w:bookmarkEnd w:id="61"/>
      <w:bookmarkEnd w:id="62"/>
      <w:bookmarkEnd w:id="63"/>
      <w:bookmarkEnd w:id="64"/>
    </w:p>
    <w:p w14:paraId="6EBA6621" w14:textId="77777777" w:rsidR="004104D6" w:rsidRPr="00B916EC" w:rsidRDefault="00091945" w:rsidP="00C063A7">
      <w:r w:rsidRPr="00B916EC">
        <w:t>For the purposes of the present document, the following symbols apply:</w:t>
      </w:r>
    </w:p>
    <w:p w14:paraId="7FECE164" w14:textId="77777777" w:rsidR="00080512" w:rsidRPr="00B916EC" w:rsidRDefault="00E848F3">
      <w:pPr>
        <w:pStyle w:val="Heading2"/>
      </w:pPr>
      <w:bookmarkStart w:id="65" w:name="_Toc12021437"/>
      <w:bookmarkStart w:id="66" w:name="_Toc20311549"/>
      <w:bookmarkStart w:id="67" w:name="_Toc26719374"/>
      <w:bookmarkStart w:id="68" w:name="_Toc29894805"/>
      <w:bookmarkStart w:id="69" w:name="_Toc29899104"/>
      <w:bookmarkStart w:id="70" w:name="_Toc29899522"/>
      <w:bookmarkStart w:id="71" w:name="_Toc29917259"/>
      <w:bookmarkStart w:id="72" w:name="_Toc36498133"/>
      <w:bookmarkStart w:id="73" w:name="_Toc45699159"/>
      <w:bookmarkStart w:id="74" w:name="_Toc161999084"/>
      <w:r w:rsidRPr="00B916EC">
        <w:t>3.</w:t>
      </w:r>
      <w:r w:rsidR="000E44A1" w:rsidRPr="00B916EC">
        <w:t>3</w:t>
      </w:r>
      <w:r w:rsidR="00080512" w:rsidRPr="00B916EC">
        <w:tab/>
        <w:t>Abbreviations</w:t>
      </w:r>
      <w:bookmarkEnd w:id="65"/>
      <w:bookmarkEnd w:id="66"/>
      <w:bookmarkEnd w:id="67"/>
      <w:bookmarkEnd w:id="68"/>
      <w:bookmarkEnd w:id="69"/>
      <w:bookmarkEnd w:id="70"/>
      <w:bookmarkEnd w:id="71"/>
      <w:bookmarkEnd w:id="72"/>
      <w:bookmarkEnd w:id="73"/>
      <w:bookmarkEnd w:id="74"/>
    </w:p>
    <w:p w14:paraId="3D8FBEA0" w14:textId="77777777" w:rsidR="00B21525" w:rsidRPr="00B916EC" w:rsidRDefault="00B21525" w:rsidP="00C063A7">
      <w:r w:rsidRPr="00B916EC">
        <w:t>For the purposes of the present document, the abbreviations given in TR 21.905 [1] and the following apply. An abbreviation defined in the present document takes precedence over the definition of the same abbreviation, if any, in [1</w:t>
      </w:r>
      <w:r w:rsidR="00230FB9" w:rsidRPr="00B916EC">
        <w:t>, TR 21.905</w:t>
      </w:r>
      <w:r w:rsidRPr="00B916EC">
        <w:t>].</w:t>
      </w:r>
    </w:p>
    <w:p w14:paraId="4E90DF5C" w14:textId="6358A4F0" w:rsidR="00093FE6" w:rsidRDefault="00093FE6" w:rsidP="00093FE6">
      <w:pPr>
        <w:pStyle w:val="EW"/>
      </w:pPr>
      <w:r>
        <w:t>BPRE</w:t>
      </w:r>
      <w:r>
        <w:tab/>
        <w:t xml:space="preserve">Bits </w:t>
      </w:r>
      <w:r w:rsidR="008B124F">
        <w:t>P</w:t>
      </w:r>
      <w:r>
        <w:t xml:space="preserve">er </w:t>
      </w:r>
      <w:r w:rsidR="008B124F">
        <w:t>R</w:t>
      </w:r>
      <w:r>
        <w:t xml:space="preserve">esource </w:t>
      </w:r>
      <w:r w:rsidR="008B124F">
        <w:t>E</w:t>
      </w:r>
      <w:r>
        <w:t>lement</w:t>
      </w:r>
    </w:p>
    <w:p w14:paraId="26D5A118" w14:textId="27794120" w:rsidR="006A50C1" w:rsidRPr="00B916EC" w:rsidRDefault="002A01CD" w:rsidP="007D5A3F">
      <w:pPr>
        <w:pStyle w:val="EW"/>
      </w:pPr>
      <w:r>
        <w:t>BWP</w:t>
      </w:r>
      <w:r w:rsidR="007D5A3F">
        <w:tab/>
      </w:r>
      <w:r w:rsidR="00415E7C">
        <w:t>Band</w:t>
      </w:r>
      <w:r w:rsidR="006A50C1" w:rsidRPr="00B916EC">
        <w:t xml:space="preserve">width </w:t>
      </w:r>
      <w:r w:rsidR="008B124F">
        <w:t>P</w:t>
      </w:r>
      <w:r w:rsidR="006A50C1" w:rsidRPr="00B916EC">
        <w:t>art</w:t>
      </w:r>
    </w:p>
    <w:p w14:paraId="6C91D2EF" w14:textId="5B5AB17F" w:rsidR="006A50C1" w:rsidRPr="00B916EC" w:rsidRDefault="006A50C1" w:rsidP="002B6019">
      <w:pPr>
        <w:pStyle w:val="EW"/>
      </w:pPr>
      <w:r w:rsidRPr="00B916EC">
        <w:t>CB</w:t>
      </w:r>
      <w:r w:rsidR="007D5A3F">
        <w:tab/>
      </w:r>
      <w:r w:rsidRPr="00B916EC">
        <w:t xml:space="preserve">Code </w:t>
      </w:r>
      <w:r w:rsidR="008B124F">
        <w:t>B</w:t>
      </w:r>
      <w:r w:rsidRPr="00B916EC">
        <w:t>lock</w:t>
      </w:r>
    </w:p>
    <w:p w14:paraId="31560406" w14:textId="5D03C09B" w:rsidR="006A50C1" w:rsidRPr="00B916EC" w:rsidRDefault="006A50C1" w:rsidP="002B6019">
      <w:pPr>
        <w:pStyle w:val="EW"/>
      </w:pPr>
      <w:r w:rsidRPr="00B916EC">
        <w:t>CBG</w:t>
      </w:r>
      <w:r w:rsidR="007D5A3F">
        <w:tab/>
      </w:r>
      <w:r w:rsidRPr="00B916EC">
        <w:t xml:space="preserve">Code </w:t>
      </w:r>
      <w:r w:rsidR="008B124F">
        <w:t>B</w:t>
      </w:r>
      <w:r w:rsidRPr="00B916EC">
        <w:t xml:space="preserve">lock </w:t>
      </w:r>
      <w:r w:rsidR="008B124F">
        <w:t>G</w:t>
      </w:r>
      <w:r w:rsidRPr="00B916EC">
        <w:t>roup</w:t>
      </w:r>
    </w:p>
    <w:p w14:paraId="43E74D38" w14:textId="21B18230" w:rsidR="002114BD" w:rsidRDefault="002114BD" w:rsidP="002114BD">
      <w:pPr>
        <w:pStyle w:val="EW"/>
      </w:pPr>
      <w:r>
        <w:t>CBR</w:t>
      </w:r>
      <w:r>
        <w:tab/>
        <w:t xml:space="preserve">Channel </w:t>
      </w:r>
      <w:r w:rsidR="008B124F">
        <w:t>B</w:t>
      </w:r>
      <w:r>
        <w:t xml:space="preserve">usy </w:t>
      </w:r>
      <w:r w:rsidR="008B124F">
        <w:t>R</w:t>
      </w:r>
      <w:r>
        <w:t>atio</w:t>
      </w:r>
    </w:p>
    <w:p w14:paraId="4BE534EB" w14:textId="6BAC17C1" w:rsidR="0089232C" w:rsidRDefault="006A50C1" w:rsidP="0089232C">
      <w:pPr>
        <w:pStyle w:val="EW"/>
      </w:pPr>
      <w:r w:rsidRPr="00B916EC">
        <w:t>CCE</w:t>
      </w:r>
      <w:r w:rsidR="007D5A3F">
        <w:tab/>
      </w:r>
      <w:r w:rsidRPr="00B916EC">
        <w:t xml:space="preserve">Control </w:t>
      </w:r>
      <w:r w:rsidR="008B124F">
        <w:t>C</w:t>
      </w:r>
      <w:r w:rsidRPr="00B916EC">
        <w:t xml:space="preserve">hannel </w:t>
      </w:r>
      <w:r w:rsidR="008B124F">
        <w:t>E</w:t>
      </w:r>
      <w:r w:rsidRPr="00B916EC">
        <w:t>lement</w:t>
      </w:r>
      <w:r w:rsidR="0089232C" w:rsidRPr="0089232C">
        <w:t xml:space="preserve"> </w:t>
      </w:r>
    </w:p>
    <w:p w14:paraId="332BF3F0" w14:textId="6BB15C25" w:rsidR="006A50C1" w:rsidRPr="00B916EC" w:rsidRDefault="0089232C" w:rsidP="0089232C">
      <w:pPr>
        <w:pStyle w:val="EW"/>
      </w:pPr>
      <w:r>
        <w:t>CORESET</w:t>
      </w:r>
      <w:r>
        <w:tab/>
        <w:t xml:space="preserve">Control </w:t>
      </w:r>
      <w:r w:rsidR="008B124F">
        <w:t>R</w:t>
      </w:r>
      <w:r>
        <w:t xml:space="preserve">esource </w:t>
      </w:r>
      <w:r w:rsidR="008B124F">
        <w:t>S</w:t>
      </w:r>
      <w:r>
        <w:t>et</w:t>
      </w:r>
    </w:p>
    <w:p w14:paraId="383A0C7D" w14:textId="42DEB1E4" w:rsidR="009A36EA" w:rsidRDefault="009A36EA" w:rsidP="009A36EA">
      <w:pPr>
        <w:pStyle w:val="EW"/>
      </w:pPr>
      <w:r>
        <w:t>CP</w:t>
      </w:r>
      <w:r>
        <w:tab/>
        <w:t xml:space="preserve">Cyclic </w:t>
      </w:r>
      <w:r w:rsidR="008B124F">
        <w:t>P</w:t>
      </w:r>
      <w:r>
        <w:t>refix</w:t>
      </w:r>
      <w:r w:rsidRPr="00B916EC">
        <w:rPr>
          <w:rFonts w:hint="eastAsia"/>
        </w:rPr>
        <w:t xml:space="preserve"> </w:t>
      </w:r>
    </w:p>
    <w:p w14:paraId="25FDEA22" w14:textId="52593956" w:rsidR="006A50C1" w:rsidRDefault="006A50C1" w:rsidP="009A36EA">
      <w:pPr>
        <w:pStyle w:val="EW"/>
      </w:pPr>
      <w:r w:rsidRPr="00B916EC">
        <w:rPr>
          <w:rFonts w:hint="eastAsia"/>
        </w:rPr>
        <w:t>CRC</w:t>
      </w:r>
      <w:r w:rsidR="007D5A3F">
        <w:tab/>
      </w:r>
      <w:r w:rsidRPr="00B916EC">
        <w:rPr>
          <w:rFonts w:hint="eastAsia"/>
        </w:rPr>
        <w:t xml:space="preserve">Cyclic </w:t>
      </w:r>
      <w:r w:rsidR="008B124F">
        <w:t>R</w:t>
      </w:r>
      <w:r w:rsidRPr="00B916EC">
        <w:rPr>
          <w:rFonts w:hint="eastAsia"/>
        </w:rPr>
        <w:t xml:space="preserve">edundancy </w:t>
      </w:r>
      <w:r w:rsidR="008B124F">
        <w:t>C</w:t>
      </w:r>
      <w:r w:rsidRPr="00B916EC">
        <w:rPr>
          <w:rFonts w:hint="eastAsia"/>
        </w:rPr>
        <w:t>heck</w:t>
      </w:r>
      <w:r w:rsidRPr="00B916EC">
        <w:t xml:space="preserve"> </w:t>
      </w:r>
    </w:p>
    <w:p w14:paraId="31F4130E" w14:textId="77777777" w:rsidR="00B87579" w:rsidRPr="00B06CC2" w:rsidRDefault="00B87579" w:rsidP="00B87579">
      <w:pPr>
        <w:pStyle w:val="EW"/>
      </w:pPr>
      <w:r w:rsidRPr="00B06CC2">
        <w:t>C-RNTI</w:t>
      </w:r>
      <w:r w:rsidRPr="00B06CC2">
        <w:tab/>
        <w:t>Cell RNTI</w:t>
      </w:r>
    </w:p>
    <w:p w14:paraId="4E189886" w14:textId="777FFA5D" w:rsidR="00B87579" w:rsidRPr="00B916EC" w:rsidRDefault="00B87579" w:rsidP="00B87579">
      <w:pPr>
        <w:pStyle w:val="EW"/>
      </w:pPr>
      <w:r w:rsidRPr="00B06CC2">
        <w:t>CS-RNTI</w:t>
      </w:r>
      <w:r w:rsidRPr="00B06CC2">
        <w:tab/>
        <w:t xml:space="preserve">Configured </w:t>
      </w:r>
      <w:r w:rsidR="008B124F">
        <w:t>S</w:t>
      </w:r>
      <w:r w:rsidRPr="00B06CC2">
        <w:t>cheduling RNTI</w:t>
      </w:r>
    </w:p>
    <w:p w14:paraId="190BE236" w14:textId="31F9B654" w:rsidR="00172054" w:rsidRDefault="006A50C1" w:rsidP="00172054">
      <w:pPr>
        <w:pStyle w:val="EW"/>
      </w:pPr>
      <w:r w:rsidRPr="00B916EC">
        <w:t>CSI</w:t>
      </w:r>
      <w:r w:rsidR="007D5A3F">
        <w:tab/>
      </w:r>
      <w:r w:rsidRPr="00B916EC">
        <w:t xml:space="preserve">Channel </w:t>
      </w:r>
      <w:r w:rsidR="008B124F">
        <w:t>S</w:t>
      </w:r>
      <w:r w:rsidRPr="00B916EC">
        <w:t xml:space="preserve">tate </w:t>
      </w:r>
      <w:r w:rsidR="008B124F">
        <w:t>I</w:t>
      </w:r>
      <w:r w:rsidRPr="00B916EC">
        <w:t>nformation</w:t>
      </w:r>
      <w:r w:rsidR="00172054" w:rsidRPr="00172054">
        <w:t xml:space="preserve"> </w:t>
      </w:r>
    </w:p>
    <w:p w14:paraId="77F1EC82" w14:textId="6BE683C9" w:rsidR="006A50C1" w:rsidRPr="00B916EC" w:rsidRDefault="00172054" w:rsidP="00172054">
      <w:pPr>
        <w:pStyle w:val="EW"/>
      </w:pPr>
      <w:r>
        <w:t>CSS</w:t>
      </w:r>
      <w:r>
        <w:tab/>
        <w:t xml:space="preserve">Common </w:t>
      </w:r>
      <w:r w:rsidR="00C63FEF">
        <w:t>S</w:t>
      </w:r>
      <w:r>
        <w:t xml:space="preserve">earch </w:t>
      </w:r>
      <w:r w:rsidR="00C63FEF">
        <w:t>S</w:t>
      </w:r>
      <w:r>
        <w:t>pace</w:t>
      </w:r>
    </w:p>
    <w:p w14:paraId="1E925A91" w14:textId="0F7E4F28" w:rsidR="007C2D2A" w:rsidRDefault="002B6019" w:rsidP="007C2D2A">
      <w:pPr>
        <w:pStyle w:val="EW"/>
      </w:pPr>
      <w:r w:rsidRPr="0023299F">
        <w:t>DAI</w:t>
      </w:r>
      <w:r w:rsidRPr="0023299F">
        <w:tab/>
      </w:r>
      <w:r>
        <w:t xml:space="preserve">Downlink </w:t>
      </w:r>
      <w:r w:rsidR="00C63FEF">
        <w:t>A</w:t>
      </w:r>
      <w:r>
        <w:t xml:space="preserve">ssignment </w:t>
      </w:r>
      <w:r w:rsidR="00C63FEF">
        <w:t>I</w:t>
      </w:r>
      <w:r w:rsidRPr="0023299F">
        <w:t>ndex</w:t>
      </w:r>
      <w:r w:rsidR="007C2D2A" w:rsidRPr="007C2D2A">
        <w:t xml:space="preserve"> </w:t>
      </w:r>
    </w:p>
    <w:p w14:paraId="170B2E97" w14:textId="020030B6" w:rsidR="002B6019" w:rsidRDefault="007C2D2A" w:rsidP="007C2D2A">
      <w:pPr>
        <w:pStyle w:val="EW"/>
      </w:pPr>
      <w:r>
        <w:t>DAPS</w:t>
      </w:r>
      <w:r>
        <w:tab/>
        <w:t xml:space="preserve">Dual </w:t>
      </w:r>
      <w:r w:rsidR="00C63FEF">
        <w:t>A</w:t>
      </w:r>
      <w:r>
        <w:t xml:space="preserve">ctive </w:t>
      </w:r>
      <w:r w:rsidR="00C63FEF">
        <w:t>P</w:t>
      </w:r>
      <w:r>
        <w:t xml:space="preserve">rotocol </w:t>
      </w:r>
      <w:r w:rsidR="00C63FEF">
        <w:t>S</w:t>
      </w:r>
      <w:r>
        <w:t>tack</w:t>
      </w:r>
    </w:p>
    <w:p w14:paraId="230717F8" w14:textId="2F2A4717" w:rsidR="002B6019" w:rsidRPr="0023299F" w:rsidRDefault="002B6019" w:rsidP="0009732E">
      <w:pPr>
        <w:pStyle w:val="EW"/>
        <w:rPr>
          <w:sz w:val="19"/>
          <w:szCs w:val="19"/>
        </w:rPr>
      </w:pPr>
      <w:r>
        <w:t>DC</w:t>
      </w:r>
      <w:r>
        <w:tab/>
        <w:t xml:space="preserve">Dual </w:t>
      </w:r>
      <w:r w:rsidR="00C63FEF">
        <w:t>C</w:t>
      </w:r>
      <w:r>
        <w:t>onnectivity</w:t>
      </w:r>
    </w:p>
    <w:p w14:paraId="622F5903" w14:textId="7EFAE96B" w:rsidR="006A50C1" w:rsidRPr="00B916EC" w:rsidRDefault="006A50C1" w:rsidP="002B6019">
      <w:pPr>
        <w:pStyle w:val="EW"/>
      </w:pPr>
      <w:r w:rsidRPr="00B916EC">
        <w:t>DCI</w:t>
      </w:r>
      <w:r w:rsidR="007D5A3F">
        <w:tab/>
      </w:r>
      <w:r w:rsidRPr="00B916EC">
        <w:t xml:space="preserve">Downlink </w:t>
      </w:r>
      <w:r w:rsidR="00C63FEF">
        <w:t>C</w:t>
      </w:r>
      <w:r w:rsidRPr="00B916EC">
        <w:t xml:space="preserve">ontrol </w:t>
      </w:r>
      <w:r w:rsidR="00C63FEF">
        <w:t>I</w:t>
      </w:r>
      <w:r w:rsidRPr="00B916EC">
        <w:t>nformation</w:t>
      </w:r>
    </w:p>
    <w:p w14:paraId="4D76B2B6" w14:textId="77777777" w:rsidR="005F2FD8" w:rsidRPr="00B916EC" w:rsidRDefault="005F2FD8" w:rsidP="00BE0332">
      <w:pPr>
        <w:pStyle w:val="EW"/>
      </w:pPr>
      <w:r w:rsidRPr="00B916EC">
        <w:t>DL</w:t>
      </w:r>
      <w:r w:rsidR="007D5A3F">
        <w:tab/>
      </w:r>
      <w:r w:rsidRPr="00B916EC">
        <w:t>Downli</w:t>
      </w:r>
      <w:r w:rsidR="006741FF" w:rsidRPr="00B916EC">
        <w:t>n</w:t>
      </w:r>
      <w:r w:rsidRPr="00B916EC">
        <w:t>k</w:t>
      </w:r>
    </w:p>
    <w:p w14:paraId="5DB2DC2A" w14:textId="26544F93" w:rsidR="002B6019" w:rsidRPr="0023299F" w:rsidRDefault="002B6019" w:rsidP="0009732E">
      <w:pPr>
        <w:pStyle w:val="EW"/>
      </w:pPr>
      <w:r w:rsidRPr="0023299F">
        <w:t>DL-SCH</w:t>
      </w:r>
      <w:r w:rsidRPr="0023299F">
        <w:tab/>
      </w:r>
      <w:r>
        <w:t xml:space="preserve">Downlink </w:t>
      </w:r>
      <w:r w:rsidR="00C63FEF">
        <w:t>S</w:t>
      </w:r>
      <w:r>
        <w:t xml:space="preserve">hared </w:t>
      </w:r>
      <w:r w:rsidR="00C63FEF">
        <w:t>C</w:t>
      </w:r>
      <w:r w:rsidRPr="0023299F">
        <w:t>hannel</w:t>
      </w:r>
    </w:p>
    <w:p w14:paraId="31B50E40" w14:textId="231F680E" w:rsidR="00255774" w:rsidRPr="00B916EC" w:rsidRDefault="00255774" w:rsidP="002B6019">
      <w:pPr>
        <w:pStyle w:val="EW"/>
      </w:pPr>
      <w:r w:rsidRPr="00B916EC">
        <w:t>EPRE</w:t>
      </w:r>
      <w:r w:rsidR="007D5A3F">
        <w:tab/>
      </w:r>
      <w:r w:rsidRPr="00B916EC">
        <w:t xml:space="preserve">Energy </w:t>
      </w:r>
      <w:r w:rsidR="00C63FEF">
        <w:t>P</w:t>
      </w:r>
      <w:r w:rsidRPr="00B916EC">
        <w:t xml:space="preserve">er </w:t>
      </w:r>
      <w:r w:rsidR="00C63FEF">
        <w:t>R</w:t>
      </w:r>
      <w:r w:rsidRPr="00B916EC">
        <w:t xml:space="preserve">esource </w:t>
      </w:r>
      <w:r w:rsidR="00C63FEF">
        <w:t>E</w:t>
      </w:r>
      <w:r w:rsidRPr="00B916EC">
        <w:t>lement</w:t>
      </w:r>
    </w:p>
    <w:p w14:paraId="09F082AC" w14:textId="34D53A6A" w:rsidR="002B6019" w:rsidRDefault="002B6019" w:rsidP="0009732E">
      <w:pPr>
        <w:pStyle w:val="EW"/>
      </w:pPr>
      <w:r w:rsidRPr="00CC0A19">
        <w:t>EN-DC</w:t>
      </w:r>
      <w:r w:rsidRPr="00CC0A19">
        <w:tab/>
      </w:r>
      <w:r>
        <w:t xml:space="preserve">E-UTRA NR </w:t>
      </w:r>
      <w:r w:rsidR="00C63FEF">
        <w:t>D</w:t>
      </w:r>
      <w:r>
        <w:t xml:space="preserve">ual </w:t>
      </w:r>
      <w:r w:rsidR="00C63FEF">
        <w:t>C</w:t>
      </w:r>
      <w:r w:rsidRPr="00CC0A19">
        <w:t>onnectivity</w:t>
      </w:r>
      <w:r>
        <w:t xml:space="preserve"> with </w:t>
      </w:r>
      <w:r w:rsidRPr="001D2C5D">
        <w:t>MCG using E-UTRA and SCG using NR</w:t>
      </w:r>
    </w:p>
    <w:p w14:paraId="6AD1B6A8" w14:textId="2652816F" w:rsidR="00172054" w:rsidRDefault="002B6019" w:rsidP="00172054">
      <w:pPr>
        <w:pStyle w:val="EW"/>
      </w:pPr>
      <w:r>
        <w:t>FR</w:t>
      </w:r>
      <w:r w:rsidR="00172054">
        <w:t>1</w:t>
      </w:r>
      <w:r>
        <w:tab/>
        <w:t xml:space="preserve">Frequency </w:t>
      </w:r>
      <w:r w:rsidR="00C63FEF">
        <w:t>R</w:t>
      </w:r>
      <w:r>
        <w:t>ange</w:t>
      </w:r>
      <w:r w:rsidR="00172054">
        <w:t xml:space="preserve"> 1</w:t>
      </w:r>
    </w:p>
    <w:p w14:paraId="693CD18B" w14:textId="65FB391D" w:rsidR="00B87579" w:rsidRPr="00B06CC2" w:rsidRDefault="00172054" w:rsidP="00B87579">
      <w:pPr>
        <w:pStyle w:val="EW"/>
      </w:pPr>
      <w:r>
        <w:t>FR2</w:t>
      </w:r>
      <w:r>
        <w:tab/>
        <w:t xml:space="preserve">Frequency </w:t>
      </w:r>
      <w:r w:rsidR="00C63FEF">
        <w:t>R</w:t>
      </w:r>
      <w:r>
        <w:t>ange 2</w:t>
      </w:r>
    </w:p>
    <w:p w14:paraId="0A593163" w14:textId="348DBD66" w:rsidR="002B6019" w:rsidRDefault="00B87579" w:rsidP="00172054">
      <w:pPr>
        <w:pStyle w:val="EW"/>
      </w:pPr>
      <w:r w:rsidRPr="00B06CC2">
        <w:t>G-CS-RNTI</w:t>
      </w:r>
      <w:r w:rsidRPr="00B06CC2">
        <w:tab/>
        <w:t xml:space="preserve">Group </w:t>
      </w:r>
      <w:r w:rsidR="00C63FEF">
        <w:t>C</w:t>
      </w:r>
      <w:r w:rsidRPr="00B06CC2">
        <w:t xml:space="preserve">onfigured </w:t>
      </w:r>
      <w:r w:rsidR="00C63FEF">
        <w:t>S</w:t>
      </w:r>
      <w:r w:rsidRPr="00B06CC2">
        <w:t>cheduling RNTI</w:t>
      </w:r>
    </w:p>
    <w:p w14:paraId="745413D5" w14:textId="788B8EC5" w:rsidR="00B87579" w:rsidRDefault="00B87579" w:rsidP="00172054">
      <w:pPr>
        <w:pStyle w:val="EW"/>
      </w:pPr>
      <w:r w:rsidRPr="00B06CC2">
        <w:t>G-RNTI</w:t>
      </w:r>
      <w:r w:rsidRPr="00B06CC2">
        <w:tab/>
        <w:t>Group RNTI</w:t>
      </w:r>
    </w:p>
    <w:p w14:paraId="1AC85B3D" w14:textId="30436E63" w:rsidR="002B6019" w:rsidRPr="009D7203" w:rsidRDefault="002B6019" w:rsidP="0009732E">
      <w:pPr>
        <w:pStyle w:val="EW"/>
      </w:pPr>
      <w:r w:rsidRPr="009D7203">
        <w:t>GSCN</w:t>
      </w:r>
      <w:r w:rsidRPr="009D7203">
        <w:tab/>
        <w:t xml:space="preserve">Global </w:t>
      </w:r>
      <w:r w:rsidR="00C63FEF">
        <w:t>S</w:t>
      </w:r>
      <w:r w:rsidRPr="009D7203">
        <w:t xml:space="preserve">ynchronization </w:t>
      </w:r>
      <w:r w:rsidR="00C63FEF">
        <w:t>C</w:t>
      </w:r>
      <w:r w:rsidRPr="009D7203">
        <w:t xml:space="preserve">hannel </w:t>
      </w:r>
      <w:r w:rsidR="00C63FEF">
        <w:t>N</w:t>
      </w:r>
      <w:r w:rsidRPr="009D7203">
        <w:t>umber</w:t>
      </w:r>
    </w:p>
    <w:p w14:paraId="1360F673" w14:textId="74D8E2A8" w:rsidR="006A50C1" w:rsidRPr="00B916EC" w:rsidRDefault="006A50C1" w:rsidP="002B6019">
      <w:pPr>
        <w:pStyle w:val="EW"/>
      </w:pPr>
      <w:r w:rsidRPr="00B916EC">
        <w:t>HARQ-ACK</w:t>
      </w:r>
      <w:r w:rsidRPr="00B916EC">
        <w:tab/>
        <w:t xml:space="preserve">Hybrid </w:t>
      </w:r>
      <w:r w:rsidR="004832EA">
        <w:t>A</w:t>
      </w:r>
      <w:r w:rsidRPr="00B916EC">
        <w:t xml:space="preserve">utomatic </w:t>
      </w:r>
      <w:r w:rsidR="004832EA">
        <w:t>R</w:t>
      </w:r>
      <w:r w:rsidRPr="00B916EC">
        <w:t xml:space="preserve">epeat </w:t>
      </w:r>
      <w:r w:rsidR="00D35C15">
        <w:t>r</w:t>
      </w:r>
      <w:r w:rsidRPr="00B916EC">
        <w:t>e</w:t>
      </w:r>
      <w:r w:rsidR="00D35C15">
        <w:t>Q</w:t>
      </w:r>
      <w:r w:rsidRPr="00B916EC">
        <w:t xml:space="preserve">uest </w:t>
      </w:r>
      <w:r w:rsidR="004832EA">
        <w:t>A</w:t>
      </w:r>
      <w:r w:rsidRPr="00B916EC">
        <w:t xml:space="preserve">cknowledgement </w:t>
      </w:r>
    </w:p>
    <w:p w14:paraId="21EF0077" w14:textId="32B6DEB1" w:rsidR="00B87579" w:rsidRPr="00B06CC2" w:rsidRDefault="00B87579" w:rsidP="00B87579">
      <w:pPr>
        <w:pStyle w:val="EW"/>
      </w:pPr>
      <w:r w:rsidRPr="00B06CC2">
        <w:t>MBS</w:t>
      </w:r>
      <w:r w:rsidRPr="00B06CC2">
        <w:tab/>
        <w:t xml:space="preserve">Multicast </w:t>
      </w:r>
      <w:r w:rsidR="00D35C15">
        <w:t>B</w:t>
      </w:r>
      <w:r w:rsidRPr="00B06CC2">
        <w:t xml:space="preserve">roadcast </w:t>
      </w:r>
      <w:r w:rsidR="00D35C15">
        <w:t>S</w:t>
      </w:r>
      <w:r w:rsidRPr="00B06CC2">
        <w:t>ervices</w:t>
      </w:r>
    </w:p>
    <w:p w14:paraId="09DB519A" w14:textId="17DD2CFB" w:rsidR="006A50C1" w:rsidRPr="00B916EC" w:rsidRDefault="006A50C1" w:rsidP="002B6019">
      <w:pPr>
        <w:pStyle w:val="EW"/>
      </w:pPr>
      <w:r w:rsidRPr="00B916EC">
        <w:t>MCG</w:t>
      </w:r>
      <w:r w:rsidR="007D5A3F">
        <w:tab/>
      </w:r>
      <w:r w:rsidRPr="00B916EC">
        <w:t xml:space="preserve">Master </w:t>
      </w:r>
      <w:r w:rsidR="00D35C15">
        <w:t>C</w:t>
      </w:r>
      <w:r w:rsidRPr="00B916EC">
        <w:t xml:space="preserve">ell </w:t>
      </w:r>
      <w:r w:rsidR="00D35C15">
        <w:t>G</w:t>
      </w:r>
      <w:r w:rsidRPr="00B916EC">
        <w:t>roup</w:t>
      </w:r>
    </w:p>
    <w:p w14:paraId="3DD640C9" w14:textId="3396F321" w:rsidR="00172054" w:rsidRDefault="006A50C1" w:rsidP="00172054">
      <w:pPr>
        <w:pStyle w:val="EW"/>
      </w:pPr>
      <w:r w:rsidRPr="00B916EC">
        <w:t>MCS</w:t>
      </w:r>
      <w:r w:rsidR="007D5A3F">
        <w:tab/>
      </w:r>
      <w:r w:rsidRPr="00B916EC">
        <w:t xml:space="preserve">Modulation and </w:t>
      </w:r>
      <w:r w:rsidR="00D35C15">
        <w:t>C</w:t>
      </w:r>
      <w:r w:rsidRPr="00B916EC">
        <w:t xml:space="preserve">oding </w:t>
      </w:r>
      <w:r w:rsidR="00D35C15">
        <w:t>S</w:t>
      </w:r>
      <w:r w:rsidRPr="00B916EC">
        <w:t>cheme</w:t>
      </w:r>
    </w:p>
    <w:p w14:paraId="7D989113" w14:textId="0C30DE3A" w:rsidR="00DB7D93" w:rsidRDefault="00DB7D93" w:rsidP="00DB7D93">
      <w:pPr>
        <w:pStyle w:val="EW"/>
      </w:pPr>
      <w:r>
        <w:t>NCR</w:t>
      </w:r>
      <w:r>
        <w:tab/>
        <w:t>Network</w:t>
      </w:r>
      <w:r w:rsidR="00F82005">
        <w:t>-c</w:t>
      </w:r>
      <w:r>
        <w:t xml:space="preserve">ontrolled </w:t>
      </w:r>
      <w:r w:rsidR="00D35C15">
        <w:t>R</w:t>
      </w:r>
      <w:r>
        <w:t>epeater</w:t>
      </w:r>
    </w:p>
    <w:p w14:paraId="61027758" w14:textId="7F03B4CB" w:rsidR="00DB7D93" w:rsidRDefault="00DB7D93" w:rsidP="00DB7D93">
      <w:pPr>
        <w:pStyle w:val="EW"/>
      </w:pPr>
      <w:r>
        <w:t>NCR-Fwd</w:t>
      </w:r>
      <w:r>
        <w:tab/>
        <w:t xml:space="preserve">NCR </w:t>
      </w:r>
      <w:r w:rsidR="00D35C15">
        <w:t>F</w:t>
      </w:r>
      <w:r>
        <w:t>orwarding</w:t>
      </w:r>
    </w:p>
    <w:p w14:paraId="08BB6680" w14:textId="2885E2D6" w:rsidR="00DB7D93" w:rsidRDefault="00DB7D93" w:rsidP="00DB7D93">
      <w:pPr>
        <w:pStyle w:val="EW"/>
      </w:pPr>
      <w:r w:rsidRPr="00381712">
        <w:t>NCR-MT</w:t>
      </w:r>
      <w:r w:rsidRPr="00381712">
        <w:tab/>
        <w:t xml:space="preserve">NCR </w:t>
      </w:r>
      <w:r w:rsidR="00D35C15">
        <w:t>M</w:t>
      </w:r>
      <w:r w:rsidRPr="00381712">
        <w:t xml:space="preserve">obile </w:t>
      </w:r>
      <w:r w:rsidR="00D35C15">
        <w:t>T</w:t>
      </w:r>
      <w:r w:rsidRPr="00381712">
        <w:t>ermination</w:t>
      </w:r>
    </w:p>
    <w:p w14:paraId="3A33A5F9" w14:textId="77777777" w:rsidR="004365CA" w:rsidRDefault="004365CA" w:rsidP="004365CA">
      <w:pPr>
        <w:pStyle w:val="EW"/>
      </w:pPr>
      <w:r>
        <w:t>NDI</w:t>
      </w:r>
      <w:r>
        <w:tab/>
        <w:t>New Data Indicator</w:t>
      </w:r>
      <w:r w:rsidRPr="00CC0A19">
        <w:t xml:space="preserve"> </w:t>
      </w:r>
    </w:p>
    <w:p w14:paraId="5F802F91" w14:textId="653D6EDC" w:rsidR="006A50C1" w:rsidRPr="00B916EC" w:rsidRDefault="00172054" w:rsidP="004365CA">
      <w:pPr>
        <w:pStyle w:val="EW"/>
      </w:pPr>
      <w:r w:rsidRPr="00CC0A19">
        <w:t>N</w:t>
      </w:r>
      <w:r>
        <w:t>E</w:t>
      </w:r>
      <w:r w:rsidRPr="00CC0A19">
        <w:t>-DC</w:t>
      </w:r>
      <w:r w:rsidRPr="00CC0A19">
        <w:tab/>
      </w:r>
      <w:r w:rsidR="004832EA">
        <w:t xml:space="preserve">NR </w:t>
      </w:r>
      <w:r>
        <w:t xml:space="preserve">E-UTRA </w:t>
      </w:r>
      <w:r w:rsidR="00D35C15">
        <w:t>D</w:t>
      </w:r>
      <w:r>
        <w:t xml:space="preserve">ual </w:t>
      </w:r>
      <w:r w:rsidR="00D35C15">
        <w:t>C</w:t>
      </w:r>
      <w:r w:rsidRPr="00CC0A19">
        <w:t>onnectivity</w:t>
      </w:r>
      <w:r>
        <w:t xml:space="preserve"> with </w:t>
      </w:r>
      <w:r w:rsidRPr="001D2C5D">
        <w:t xml:space="preserve">MCG using </w:t>
      </w:r>
      <w:r>
        <w:t xml:space="preserve">NR </w:t>
      </w:r>
      <w:r w:rsidRPr="001D2C5D">
        <w:t>and SCG using E-UTRA</w:t>
      </w:r>
    </w:p>
    <w:p w14:paraId="53ADB1A1" w14:textId="16859BF9" w:rsidR="009A36EA" w:rsidRDefault="009A36EA" w:rsidP="009A36EA">
      <w:pPr>
        <w:pStyle w:val="EW"/>
      </w:pPr>
      <w:r>
        <w:t>N</w:t>
      </w:r>
      <w:r w:rsidR="007C36A2">
        <w:t>R</w:t>
      </w:r>
      <w:r>
        <w:t>-DC</w:t>
      </w:r>
      <w:r>
        <w:tab/>
        <w:t xml:space="preserve">NR NR </w:t>
      </w:r>
      <w:r w:rsidR="00D35C15">
        <w:t>D</w:t>
      </w:r>
      <w:r>
        <w:t xml:space="preserve">ual </w:t>
      </w:r>
      <w:r w:rsidR="00D35C15">
        <w:t>C</w:t>
      </w:r>
      <w:r>
        <w:t>onnectivity</w:t>
      </w:r>
    </w:p>
    <w:p w14:paraId="4984532A" w14:textId="77D49419" w:rsidR="006A50C1" w:rsidRPr="00B916EC" w:rsidRDefault="006A50C1" w:rsidP="002B6019">
      <w:pPr>
        <w:pStyle w:val="EW"/>
      </w:pPr>
      <w:r w:rsidRPr="00B916EC">
        <w:t>PBCH</w:t>
      </w:r>
      <w:r w:rsidR="007D5A3F">
        <w:tab/>
      </w:r>
      <w:r w:rsidRPr="00B916EC">
        <w:t xml:space="preserve">Physical </w:t>
      </w:r>
      <w:r w:rsidR="00D35C15">
        <w:t>B</w:t>
      </w:r>
      <w:r w:rsidRPr="00B916EC">
        <w:t xml:space="preserve">roadcast </w:t>
      </w:r>
      <w:r w:rsidR="00D35C15">
        <w:t>C</w:t>
      </w:r>
      <w:r w:rsidRPr="00B916EC">
        <w:t>hannel</w:t>
      </w:r>
    </w:p>
    <w:p w14:paraId="74775EC0" w14:textId="17894934" w:rsidR="002B6019" w:rsidRPr="0023299F" w:rsidRDefault="002B6019" w:rsidP="0009732E">
      <w:pPr>
        <w:pStyle w:val="EW"/>
      </w:pPr>
      <w:r>
        <w:t>P</w:t>
      </w:r>
      <w:r w:rsidRPr="0023299F">
        <w:t>Cell</w:t>
      </w:r>
      <w:r>
        <w:tab/>
        <w:t>Primary</w:t>
      </w:r>
      <w:r w:rsidRPr="0023299F">
        <w:t xml:space="preserve"> </w:t>
      </w:r>
      <w:r w:rsidR="00D35C15">
        <w:t>C</w:t>
      </w:r>
      <w:r w:rsidRPr="0023299F">
        <w:t>ell</w:t>
      </w:r>
    </w:p>
    <w:p w14:paraId="227AEC8E" w14:textId="28707639" w:rsidR="006A50C1" w:rsidRPr="00B916EC" w:rsidRDefault="006A50C1" w:rsidP="002B6019">
      <w:pPr>
        <w:pStyle w:val="EW"/>
      </w:pPr>
      <w:r w:rsidRPr="00B916EC">
        <w:t>PDCCH</w:t>
      </w:r>
      <w:r w:rsidR="002A01CD">
        <w:tab/>
      </w:r>
      <w:r w:rsidRPr="00B916EC">
        <w:t xml:space="preserve">Physical </w:t>
      </w:r>
      <w:r w:rsidR="00D35C15">
        <w:t>D</w:t>
      </w:r>
      <w:r w:rsidRPr="00B916EC">
        <w:t xml:space="preserve">ownlink </w:t>
      </w:r>
      <w:r w:rsidR="00D35C15">
        <w:t>C</w:t>
      </w:r>
      <w:r w:rsidRPr="00B916EC">
        <w:t xml:space="preserve">ontrol </w:t>
      </w:r>
      <w:r w:rsidR="00D35C15">
        <w:t>C</w:t>
      </w:r>
      <w:r w:rsidRPr="00B916EC">
        <w:t>hannel</w:t>
      </w:r>
    </w:p>
    <w:p w14:paraId="60D1C05A" w14:textId="033D7DFB" w:rsidR="006A50C1" w:rsidRDefault="006A50C1" w:rsidP="002B6019">
      <w:pPr>
        <w:pStyle w:val="EW"/>
      </w:pPr>
      <w:r w:rsidRPr="00B916EC">
        <w:t>PDSCH</w:t>
      </w:r>
      <w:r w:rsidR="002A01CD">
        <w:tab/>
      </w:r>
      <w:r w:rsidRPr="00B916EC">
        <w:t xml:space="preserve">Physical </w:t>
      </w:r>
      <w:r w:rsidR="00D35C15">
        <w:t>D</w:t>
      </w:r>
      <w:r w:rsidRPr="00B916EC">
        <w:t xml:space="preserve">ownlink </w:t>
      </w:r>
      <w:r w:rsidR="00D35C15">
        <w:t>S</w:t>
      </w:r>
      <w:r w:rsidRPr="00B916EC">
        <w:t xml:space="preserve">hared </w:t>
      </w:r>
      <w:r w:rsidR="00D35C15">
        <w:t>C</w:t>
      </w:r>
      <w:r w:rsidRPr="00B916EC">
        <w:t>hannel</w:t>
      </w:r>
    </w:p>
    <w:p w14:paraId="563EE368" w14:textId="24DDDC9A" w:rsidR="00860BAC" w:rsidRPr="00B916EC" w:rsidRDefault="00860BAC" w:rsidP="002B6019">
      <w:pPr>
        <w:pStyle w:val="EW"/>
      </w:pPr>
      <w:r w:rsidRPr="00686F3E">
        <w:t>PO</w:t>
      </w:r>
      <w:r w:rsidRPr="00686F3E">
        <w:tab/>
        <w:t xml:space="preserve">Paging </w:t>
      </w:r>
      <w:r w:rsidR="00D35C15">
        <w:t>O</w:t>
      </w:r>
      <w:r w:rsidRPr="00686F3E">
        <w:t>ccasion</w:t>
      </w:r>
    </w:p>
    <w:p w14:paraId="69CD2272" w14:textId="394CA05F" w:rsidR="006A50C1" w:rsidRDefault="006A50C1" w:rsidP="002B6019">
      <w:pPr>
        <w:pStyle w:val="EW"/>
      </w:pPr>
      <w:r w:rsidRPr="00B916EC">
        <w:t>PRACH</w:t>
      </w:r>
      <w:r w:rsidR="002A01CD">
        <w:tab/>
      </w:r>
      <w:r w:rsidRPr="00B916EC">
        <w:t xml:space="preserve">Physical </w:t>
      </w:r>
      <w:r w:rsidR="00D35C15">
        <w:t>R</w:t>
      </w:r>
      <w:r w:rsidRPr="00B916EC">
        <w:t xml:space="preserve">andom </w:t>
      </w:r>
      <w:r w:rsidR="00D35C15">
        <w:t>A</w:t>
      </w:r>
      <w:r w:rsidRPr="00B916EC">
        <w:t xml:space="preserve">ccess </w:t>
      </w:r>
      <w:r w:rsidR="00D35C15">
        <w:t>C</w:t>
      </w:r>
      <w:r w:rsidRPr="00B916EC">
        <w:t>hannel</w:t>
      </w:r>
    </w:p>
    <w:p w14:paraId="7DAF62E0" w14:textId="4DAB12B9" w:rsidR="005E4D60" w:rsidRPr="00B916EC" w:rsidRDefault="005E4D60" w:rsidP="002B6019">
      <w:pPr>
        <w:pStyle w:val="EW"/>
      </w:pPr>
      <w:r w:rsidRPr="0048482F">
        <w:rPr>
          <w:color w:val="000000"/>
        </w:rPr>
        <w:lastRenderedPageBreak/>
        <w:t>P</w:t>
      </w:r>
      <w:r>
        <w:rPr>
          <w:color w:val="000000"/>
        </w:rPr>
        <w:t>RB</w:t>
      </w:r>
      <w:r>
        <w:rPr>
          <w:color w:val="000000"/>
        </w:rPr>
        <w:tab/>
        <w:t xml:space="preserve">Physical </w:t>
      </w:r>
      <w:r w:rsidR="00D35C15">
        <w:rPr>
          <w:color w:val="000000"/>
        </w:rPr>
        <w:t>R</w:t>
      </w:r>
      <w:r>
        <w:rPr>
          <w:color w:val="000000"/>
        </w:rPr>
        <w:t xml:space="preserve">esource </w:t>
      </w:r>
      <w:r w:rsidR="00D35C15">
        <w:rPr>
          <w:color w:val="000000"/>
        </w:rPr>
        <w:t>B</w:t>
      </w:r>
      <w:r>
        <w:rPr>
          <w:color w:val="000000"/>
        </w:rPr>
        <w:t>lock</w:t>
      </w:r>
    </w:p>
    <w:p w14:paraId="4C71280E" w14:textId="7D3C4564" w:rsidR="002B6019" w:rsidRPr="006A15B3" w:rsidRDefault="002B6019" w:rsidP="0009732E">
      <w:pPr>
        <w:pStyle w:val="EW"/>
      </w:pPr>
      <w:r w:rsidRPr="0048482F">
        <w:rPr>
          <w:color w:val="000000"/>
        </w:rPr>
        <w:t>PRG</w:t>
      </w:r>
      <w:r w:rsidRPr="0048482F">
        <w:rPr>
          <w:color w:val="000000"/>
        </w:rPr>
        <w:tab/>
        <w:t xml:space="preserve">Physical </w:t>
      </w:r>
      <w:r w:rsidR="00D35C15">
        <w:rPr>
          <w:color w:val="000000"/>
        </w:rPr>
        <w:t>R</w:t>
      </w:r>
      <w:r w:rsidRPr="0048482F">
        <w:rPr>
          <w:color w:val="000000"/>
        </w:rPr>
        <w:t xml:space="preserve">esource block </w:t>
      </w:r>
      <w:r w:rsidR="00D35C15">
        <w:rPr>
          <w:color w:val="000000"/>
        </w:rPr>
        <w:t>G</w:t>
      </w:r>
      <w:r w:rsidRPr="0048482F">
        <w:rPr>
          <w:color w:val="000000"/>
        </w:rPr>
        <w:t>roup</w:t>
      </w:r>
    </w:p>
    <w:p w14:paraId="2C1A8484" w14:textId="0C5550AD" w:rsidR="002B6019" w:rsidRPr="0023299F" w:rsidRDefault="002B6019" w:rsidP="0009732E">
      <w:pPr>
        <w:pStyle w:val="EW"/>
      </w:pPr>
      <w:r w:rsidRPr="0023299F">
        <w:t>PSCell</w:t>
      </w:r>
      <w:r>
        <w:tab/>
      </w:r>
      <w:r w:rsidRPr="0023299F">
        <w:t>Pr</w:t>
      </w:r>
      <w:r>
        <w:t xml:space="preserve">imary </w:t>
      </w:r>
      <w:r w:rsidR="00D35C15">
        <w:t>S</w:t>
      </w:r>
      <w:r w:rsidRPr="0023299F">
        <w:t xml:space="preserve">econdary </w:t>
      </w:r>
      <w:r w:rsidR="00D35C15">
        <w:t>C</w:t>
      </w:r>
      <w:r w:rsidRPr="0023299F">
        <w:t>ell</w:t>
      </w:r>
    </w:p>
    <w:p w14:paraId="242B5E41" w14:textId="464404BF" w:rsidR="002114BD" w:rsidRPr="002625EB" w:rsidRDefault="002114BD" w:rsidP="002114BD">
      <w:pPr>
        <w:pStyle w:val="EW"/>
      </w:pPr>
      <w:r w:rsidRPr="002625EB">
        <w:t>P</w:t>
      </w:r>
      <w:r>
        <w:t>S</w:t>
      </w:r>
      <w:r w:rsidRPr="002625EB">
        <w:t>BCH</w:t>
      </w:r>
      <w:r w:rsidRPr="002625EB">
        <w:tab/>
        <w:t>Physical</w:t>
      </w:r>
      <w:r>
        <w:t xml:space="preserve"> </w:t>
      </w:r>
      <w:r w:rsidR="00D35C15">
        <w:t>S</w:t>
      </w:r>
      <w:r>
        <w:t>idelink</w:t>
      </w:r>
      <w:r w:rsidRPr="002625EB">
        <w:t xml:space="preserve"> </w:t>
      </w:r>
      <w:r w:rsidR="00D35C15">
        <w:t>B</w:t>
      </w:r>
      <w:r w:rsidRPr="002625EB">
        <w:t xml:space="preserve">roadcast </w:t>
      </w:r>
      <w:r w:rsidR="00D35C15">
        <w:t>C</w:t>
      </w:r>
      <w:r w:rsidRPr="002625EB">
        <w:t>hannel</w:t>
      </w:r>
    </w:p>
    <w:p w14:paraId="2ECBB1EA" w14:textId="5244AF3C" w:rsidR="002114BD" w:rsidRDefault="002114BD" w:rsidP="002114BD">
      <w:pPr>
        <w:pStyle w:val="EW"/>
      </w:pPr>
      <w:r>
        <w:t>PS</w:t>
      </w:r>
      <w:r w:rsidRPr="002625EB">
        <w:t>CCH</w:t>
      </w:r>
      <w:r w:rsidRPr="002625EB">
        <w:tab/>
        <w:t xml:space="preserve">Physical </w:t>
      </w:r>
      <w:r w:rsidR="00D35C15">
        <w:t>S</w:t>
      </w:r>
      <w:r>
        <w:rPr>
          <w:rFonts w:hint="eastAsia"/>
          <w:lang w:eastAsia="zh-CN"/>
        </w:rPr>
        <w:t>idelink</w:t>
      </w:r>
      <w:r>
        <w:t xml:space="preserve"> </w:t>
      </w:r>
      <w:r w:rsidR="00D35C15">
        <w:t>C</w:t>
      </w:r>
      <w:r w:rsidRPr="002625EB">
        <w:t xml:space="preserve">ontrol </w:t>
      </w:r>
      <w:r w:rsidR="00D35C15">
        <w:t>C</w:t>
      </w:r>
      <w:r w:rsidRPr="002625EB">
        <w:t>hannel</w:t>
      </w:r>
    </w:p>
    <w:p w14:paraId="577530BA" w14:textId="25E7C4CF" w:rsidR="002114BD" w:rsidRPr="002625EB" w:rsidRDefault="002114BD" w:rsidP="002114BD">
      <w:pPr>
        <w:pStyle w:val="EW"/>
      </w:pPr>
      <w:r>
        <w:t>PSF</w:t>
      </w:r>
      <w:r w:rsidRPr="002625EB">
        <w:t>CH</w:t>
      </w:r>
      <w:r w:rsidRPr="002625EB">
        <w:tab/>
        <w:t xml:space="preserve">Physical </w:t>
      </w:r>
      <w:r w:rsidR="00D35C15">
        <w:rPr>
          <w:lang w:eastAsia="zh-CN"/>
        </w:rPr>
        <w:t>S</w:t>
      </w:r>
      <w:r>
        <w:rPr>
          <w:rFonts w:hint="eastAsia"/>
          <w:lang w:eastAsia="zh-CN"/>
        </w:rPr>
        <w:t>idelink</w:t>
      </w:r>
      <w:r>
        <w:t xml:space="preserve"> </w:t>
      </w:r>
      <w:r w:rsidR="00D35C15">
        <w:rPr>
          <w:lang w:eastAsia="zh-CN"/>
        </w:rPr>
        <w:t>F</w:t>
      </w:r>
      <w:r>
        <w:rPr>
          <w:rFonts w:hint="eastAsia"/>
          <w:lang w:eastAsia="zh-CN"/>
        </w:rPr>
        <w:t>eedback</w:t>
      </w:r>
      <w:r>
        <w:t xml:space="preserve"> </w:t>
      </w:r>
      <w:r w:rsidR="00D35C15">
        <w:t>C</w:t>
      </w:r>
      <w:r w:rsidRPr="002625EB">
        <w:t>hannel</w:t>
      </w:r>
    </w:p>
    <w:p w14:paraId="105A9738" w14:textId="1980424F" w:rsidR="006A50C1" w:rsidRPr="00B916EC" w:rsidRDefault="006A50C1" w:rsidP="002B6019">
      <w:pPr>
        <w:pStyle w:val="EW"/>
      </w:pPr>
      <w:r w:rsidRPr="00B916EC">
        <w:t>PSS</w:t>
      </w:r>
      <w:r w:rsidR="007D5A3F">
        <w:tab/>
      </w:r>
      <w:r w:rsidRPr="00B916EC">
        <w:t xml:space="preserve">Primary </w:t>
      </w:r>
      <w:r w:rsidR="00D35C15">
        <w:t>S</w:t>
      </w:r>
      <w:r w:rsidRPr="00B916EC">
        <w:t xml:space="preserve">ynchronization </w:t>
      </w:r>
      <w:r w:rsidR="00D35C15">
        <w:t>S</w:t>
      </w:r>
      <w:r w:rsidRPr="00B916EC">
        <w:t>ignal</w:t>
      </w:r>
    </w:p>
    <w:p w14:paraId="7C2E649A" w14:textId="171D50B3" w:rsidR="002114BD" w:rsidRPr="008D589A" w:rsidRDefault="002114BD" w:rsidP="002114BD">
      <w:pPr>
        <w:pStyle w:val="EW"/>
      </w:pPr>
      <w:r>
        <w:t>PS</w:t>
      </w:r>
      <w:r w:rsidRPr="002625EB">
        <w:t>SCH</w:t>
      </w:r>
      <w:r w:rsidRPr="002625EB">
        <w:tab/>
        <w:t xml:space="preserve">Physical </w:t>
      </w:r>
      <w:r w:rsidR="00D35C15">
        <w:rPr>
          <w:lang w:eastAsia="zh-CN"/>
        </w:rPr>
        <w:t>S</w:t>
      </w:r>
      <w:r>
        <w:rPr>
          <w:rFonts w:hint="eastAsia"/>
          <w:lang w:eastAsia="zh-CN"/>
        </w:rPr>
        <w:t>idelink</w:t>
      </w:r>
      <w:r>
        <w:t xml:space="preserve"> </w:t>
      </w:r>
      <w:r w:rsidR="00D35C15">
        <w:t>S</w:t>
      </w:r>
      <w:r w:rsidRPr="002625EB">
        <w:t xml:space="preserve">hared </w:t>
      </w:r>
      <w:r w:rsidR="00D35C15">
        <w:t>C</w:t>
      </w:r>
      <w:r w:rsidRPr="002625EB">
        <w:t>hannel</w:t>
      </w:r>
    </w:p>
    <w:p w14:paraId="7E67FBF5" w14:textId="3F81767B" w:rsidR="006A50C1" w:rsidRPr="00B916EC" w:rsidRDefault="006A50C1" w:rsidP="002B6019">
      <w:pPr>
        <w:pStyle w:val="EW"/>
      </w:pPr>
      <w:r w:rsidRPr="00B916EC">
        <w:t>PUCCH</w:t>
      </w:r>
      <w:r w:rsidR="002A01CD">
        <w:tab/>
      </w:r>
      <w:r w:rsidRPr="00B916EC">
        <w:t xml:space="preserve">Physical </w:t>
      </w:r>
      <w:r w:rsidR="00D35C15">
        <w:t>U</w:t>
      </w:r>
      <w:r w:rsidRPr="00B916EC">
        <w:t xml:space="preserve">plink </w:t>
      </w:r>
      <w:r w:rsidR="00D35C15">
        <w:t>C</w:t>
      </w:r>
      <w:r w:rsidRPr="00B916EC">
        <w:t xml:space="preserve">ontrol </w:t>
      </w:r>
      <w:r w:rsidR="00D35C15">
        <w:t>C</w:t>
      </w:r>
      <w:r w:rsidRPr="00B916EC">
        <w:t>hannel</w:t>
      </w:r>
    </w:p>
    <w:p w14:paraId="25FEAE74" w14:textId="77777777" w:rsidR="009B5A01" w:rsidRPr="00111FF6" w:rsidRDefault="009B5A01" w:rsidP="009B5A01">
      <w:pPr>
        <w:pStyle w:val="EW"/>
      </w:pPr>
      <w:r w:rsidRPr="00111FF6">
        <w:t>PUCCH-SCell</w:t>
      </w:r>
      <w:r w:rsidRPr="00111FF6">
        <w:tab/>
        <w:t>PUCCH SCell</w:t>
      </w:r>
    </w:p>
    <w:p w14:paraId="36774C4B" w14:textId="77777777" w:rsidR="009B5A01" w:rsidRPr="00111FF6" w:rsidRDefault="009B5A01" w:rsidP="009B5A01">
      <w:pPr>
        <w:pStyle w:val="EW"/>
      </w:pPr>
      <w:r w:rsidRPr="00111FF6">
        <w:t>PUCCH-sSCell</w:t>
      </w:r>
      <w:r w:rsidRPr="00111FF6">
        <w:tab/>
        <w:t>PUCCH switching SCell</w:t>
      </w:r>
    </w:p>
    <w:p w14:paraId="19B69CE9" w14:textId="4CC8B959" w:rsidR="009B5A01" w:rsidRPr="00111FF6" w:rsidRDefault="009B5A01" w:rsidP="009B5A01">
      <w:pPr>
        <w:pStyle w:val="EW"/>
      </w:pPr>
      <w:r w:rsidRPr="00111FF6">
        <w:t>PUSCH</w:t>
      </w:r>
      <w:r w:rsidRPr="00111FF6">
        <w:tab/>
        <w:t xml:space="preserve">Physical </w:t>
      </w:r>
      <w:r w:rsidR="00053F97">
        <w:t>U</w:t>
      </w:r>
      <w:r w:rsidRPr="00111FF6">
        <w:t xml:space="preserve">plink </w:t>
      </w:r>
      <w:r w:rsidR="00053F97">
        <w:t>S</w:t>
      </w:r>
      <w:r w:rsidRPr="00111FF6">
        <w:t xml:space="preserve">hared </w:t>
      </w:r>
      <w:r w:rsidR="00053F97">
        <w:t>C</w:t>
      </w:r>
      <w:r w:rsidRPr="00111FF6">
        <w:t xml:space="preserve">hannel </w:t>
      </w:r>
    </w:p>
    <w:p w14:paraId="115D4284" w14:textId="528D7282" w:rsidR="006A50C1" w:rsidRPr="00B916EC" w:rsidRDefault="005E4D60" w:rsidP="005E4D60">
      <w:pPr>
        <w:pStyle w:val="EW"/>
      </w:pPr>
      <w:r>
        <w:t>QCL</w:t>
      </w:r>
      <w:r>
        <w:tab/>
        <w:t>Quasi</w:t>
      </w:r>
      <w:r w:rsidR="00F27BF1">
        <w:t xml:space="preserve"> </w:t>
      </w:r>
      <w:r w:rsidR="00053F97">
        <w:t>C</w:t>
      </w:r>
      <w:r w:rsidR="00F27BF1">
        <w:t>o-</w:t>
      </w:r>
      <w:r w:rsidR="00053F97">
        <w:t>L</w:t>
      </w:r>
      <w:r w:rsidR="00F27BF1">
        <w:t>ocation</w:t>
      </w:r>
    </w:p>
    <w:p w14:paraId="41CD8D08" w14:textId="3D0860A1" w:rsidR="006A50C1" w:rsidRPr="00B916EC" w:rsidRDefault="006A50C1" w:rsidP="002B6019">
      <w:pPr>
        <w:pStyle w:val="EW"/>
      </w:pPr>
      <w:r w:rsidRPr="00B916EC">
        <w:t>RB</w:t>
      </w:r>
      <w:r w:rsidR="007D5A3F">
        <w:tab/>
      </w:r>
      <w:r w:rsidRPr="00B916EC">
        <w:t xml:space="preserve">Resource </w:t>
      </w:r>
      <w:r w:rsidR="00053F97">
        <w:t>B</w:t>
      </w:r>
      <w:r w:rsidRPr="00B916EC">
        <w:t>lock</w:t>
      </w:r>
    </w:p>
    <w:p w14:paraId="05A845E6" w14:textId="2C7CB831" w:rsidR="002B6019" w:rsidRDefault="006A50C1" w:rsidP="0009732E">
      <w:pPr>
        <w:pStyle w:val="EW"/>
      </w:pPr>
      <w:r w:rsidRPr="00B916EC">
        <w:t>RE</w:t>
      </w:r>
      <w:r w:rsidR="007D5A3F">
        <w:tab/>
      </w:r>
      <w:r w:rsidRPr="00B916EC">
        <w:t xml:space="preserve">Resource </w:t>
      </w:r>
      <w:r w:rsidR="00053F97">
        <w:t>E</w:t>
      </w:r>
      <w:r w:rsidRPr="00B916EC">
        <w:t xml:space="preserve">lement </w:t>
      </w:r>
    </w:p>
    <w:p w14:paraId="238E41CD" w14:textId="55D7F2B6" w:rsidR="009A36EA" w:rsidRPr="00B916EC" w:rsidRDefault="009A36EA" w:rsidP="009A36EA">
      <w:pPr>
        <w:pStyle w:val="EW"/>
      </w:pPr>
      <w:r>
        <w:t>RLM</w:t>
      </w:r>
      <w:r>
        <w:tab/>
        <w:t xml:space="preserve">Radio </w:t>
      </w:r>
      <w:r w:rsidR="00053F97">
        <w:t>L</w:t>
      </w:r>
      <w:r>
        <w:t xml:space="preserve">ink </w:t>
      </w:r>
      <w:r w:rsidR="00053F97">
        <w:t>M</w:t>
      </w:r>
      <w:r>
        <w:t>onitoring</w:t>
      </w:r>
    </w:p>
    <w:p w14:paraId="237F269F" w14:textId="34B0F364" w:rsidR="006A50C1" w:rsidRPr="00B916EC" w:rsidRDefault="002B6019" w:rsidP="002B6019">
      <w:pPr>
        <w:pStyle w:val="EW"/>
      </w:pPr>
      <w:r>
        <w:t>RRM</w:t>
      </w:r>
      <w:r>
        <w:tab/>
        <w:t xml:space="preserve">Radio </w:t>
      </w:r>
      <w:r w:rsidR="00053F97">
        <w:t>R</w:t>
      </w:r>
      <w:r>
        <w:t xml:space="preserve">esource </w:t>
      </w:r>
      <w:r w:rsidR="00053F97">
        <w:t>M</w:t>
      </w:r>
      <w:r>
        <w:t>anagement</w:t>
      </w:r>
    </w:p>
    <w:p w14:paraId="5FF970BC" w14:textId="7820DE60" w:rsidR="006A50C1" w:rsidRPr="00B916EC" w:rsidRDefault="006A50C1" w:rsidP="002B6019">
      <w:pPr>
        <w:pStyle w:val="EW"/>
      </w:pPr>
      <w:r w:rsidRPr="00B916EC">
        <w:t>RS</w:t>
      </w:r>
      <w:r w:rsidR="007D5A3F">
        <w:tab/>
      </w:r>
      <w:r w:rsidRPr="00B916EC">
        <w:t xml:space="preserve">Reference </w:t>
      </w:r>
      <w:r w:rsidR="00053F97">
        <w:t>S</w:t>
      </w:r>
      <w:r w:rsidRPr="00B916EC">
        <w:t xml:space="preserve">ignal </w:t>
      </w:r>
    </w:p>
    <w:p w14:paraId="7F66C75E" w14:textId="22792B46" w:rsidR="006A50C1" w:rsidRPr="00B916EC" w:rsidRDefault="006A50C1" w:rsidP="002B6019">
      <w:pPr>
        <w:pStyle w:val="EW"/>
      </w:pPr>
      <w:r w:rsidRPr="00B916EC">
        <w:t>RSRP</w:t>
      </w:r>
      <w:r w:rsidR="007D5A3F">
        <w:tab/>
      </w:r>
      <w:r w:rsidRPr="00B916EC">
        <w:t xml:space="preserve">Reference </w:t>
      </w:r>
      <w:r w:rsidR="00053F97">
        <w:t>S</w:t>
      </w:r>
      <w:r w:rsidRPr="00B916EC">
        <w:t xml:space="preserve">ignal </w:t>
      </w:r>
      <w:r w:rsidR="00F011B3">
        <w:t>R</w:t>
      </w:r>
      <w:r w:rsidRPr="00B916EC">
        <w:t xml:space="preserve">eceived </w:t>
      </w:r>
      <w:r w:rsidR="00F011B3">
        <w:t>P</w:t>
      </w:r>
      <w:r w:rsidRPr="00B916EC">
        <w:t>ower</w:t>
      </w:r>
    </w:p>
    <w:p w14:paraId="24FB50A5" w14:textId="787C06E2" w:rsidR="006A50C1" w:rsidRPr="00B916EC" w:rsidRDefault="006A50C1" w:rsidP="002114BD">
      <w:pPr>
        <w:pStyle w:val="EW"/>
      </w:pPr>
      <w:r w:rsidRPr="00B916EC">
        <w:t>SCG</w:t>
      </w:r>
      <w:r w:rsidR="007D5A3F">
        <w:tab/>
      </w:r>
      <w:r w:rsidRPr="00B916EC">
        <w:t xml:space="preserve">Secondary </w:t>
      </w:r>
      <w:r w:rsidR="00F011B3">
        <w:t>C</w:t>
      </w:r>
      <w:r w:rsidRPr="00B916EC">
        <w:t xml:space="preserve">ell </w:t>
      </w:r>
      <w:r w:rsidR="00F011B3">
        <w:t>G</w:t>
      </w:r>
      <w:r w:rsidRPr="00B916EC">
        <w:t>roup</w:t>
      </w:r>
    </w:p>
    <w:p w14:paraId="692785E4" w14:textId="686890D7" w:rsidR="00650C22" w:rsidRPr="002625EB" w:rsidRDefault="00650C22" w:rsidP="00650C22">
      <w:pPr>
        <w:pStyle w:val="EW"/>
      </w:pPr>
      <w:r>
        <w:t>S</w:t>
      </w:r>
      <w:r w:rsidRPr="002625EB">
        <w:t>CI</w:t>
      </w:r>
      <w:r w:rsidRPr="002625EB">
        <w:tab/>
      </w:r>
      <w:r>
        <w:t>Side</w:t>
      </w:r>
      <w:r w:rsidRPr="002625EB">
        <w:t xml:space="preserve">link </w:t>
      </w:r>
      <w:r w:rsidR="00F011B3">
        <w:t>C</w:t>
      </w:r>
      <w:r w:rsidRPr="002625EB">
        <w:t xml:space="preserve">ontrol </w:t>
      </w:r>
      <w:r w:rsidR="00F011B3">
        <w:t>I</w:t>
      </w:r>
      <w:r w:rsidRPr="002625EB">
        <w:t>nformation</w:t>
      </w:r>
    </w:p>
    <w:p w14:paraId="58518835" w14:textId="5A651DEA" w:rsidR="0040754E" w:rsidRDefault="0040754E" w:rsidP="0040754E">
      <w:pPr>
        <w:pStyle w:val="EW"/>
      </w:pPr>
      <w:r>
        <w:t>SCS</w:t>
      </w:r>
      <w:r>
        <w:tab/>
      </w:r>
      <w:r w:rsidR="002F20C5">
        <w:t xml:space="preserve">Subcarrier </w:t>
      </w:r>
      <w:r w:rsidR="00F011B3">
        <w:t>S</w:t>
      </w:r>
      <w:r w:rsidR="002F20C5">
        <w:t>pacing</w:t>
      </w:r>
    </w:p>
    <w:p w14:paraId="7EDF14A6" w14:textId="2CA46EE4" w:rsidR="00650C22" w:rsidRDefault="00650C22" w:rsidP="00650C22">
      <w:pPr>
        <w:pStyle w:val="EW"/>
      </w:pPr>
      <w:r>
        <w:t>SFCI</w:t>
      </w:r>
      <w:r>
        <w:tab/>
        <w:t>Side</w:t>
      </w:r>
      <w:r w:rsidRPr="002625EB">
        <w:t xml:space="preserve">link </w:t>
      </w:r>
      <w:r w:rsidR="00F011B3">
        <w:t>F</w:t>
      </w:r>
      <w:r>
        <w:t xml:space="preserve">eedback </w:t>
      </w:r>
      <w:r w:rsidR="00F011B3">
        <w:t>C</w:t>
      </w:r>
      <w:r w:rsidRPr="002625EB">
        <w:t xml:space="preserve">ontrol </w:t>
      </w:r>
      <w:r w:rsidR="00F011B3">
        <w:t>I</w:t>
      </w:r>
      <w:r w:rsidRPr="002625EB">
        <w:t>nformation</w:t>
      </w:r>
      <w:r w:rsidRPr="00B916EC">
        <w:t xml:space="preserve"> </w:t>
      </w:r>
    </w:p>
    <w:p w14:paraId="4AE330EB" w14:textId="58D20F8E" w:rsidR="003574CA" w:rsidRPr="00B916EC" w:rsidRDefault="003574CA" w:rsidP="002B6019">
      <w:pPr>
        <w:pStyle w:val="EW"/>
      </w:pPr>
      <w:r w:rsidRPr="00B916EC">
        <w:t>SFN</w:t>
      </w:r>
      <w:r w:rsidR="007D5A3F">
        <w:tab/>
      </w:r>
      <w:r w:rsidRPr="00B916EC">
        <w:t xml:space="preserve">System </w:t>
      </w:r>
      <w:r w:rsidR="00F011B3">
        <w:t>F</w:t>
      </w:r>
      <w:r w:rsidRPr="00B916EC">
        <w:t xml:space="preserve">rame </w:t>
      </w:r>
      <w:r w:rsidR="00F011B3">
        <w:t>N</w:t>
      </w:r>
      <w:r w:rsidRPr="00B916EC">
        <w:t>umber</w:t>
      </w:r>
    </w:p>
    <w:p w14:paraId="38DB2F17" w14:textId="77777777" w:rsidR="00650C22" w:rsidRPr="002625EB" w:rsidRDefault="00650C22" w:rsidP="00650C22">
      <w:pPr>
        <w:pStyle w:val="EW"/>
      </w:pPr>
      <w:r>
        <w:t>S</w:t>
      </w:r>
      <w:r w:rsidRPr="002625EB">
        <w:rPr>
          <w:rFonts w:hint="eastAsia"/>
        </w:rPr>
        <w:t>L</w:t>
      </w:r>
      <w:r w:rsidRPr="002625EB">
        <w:tab/>
      </w:r>
      <w:r>
        <w:t>Side</w:t>
      </w:r>
      <w:r w:rsidRPr="002625EB">
        <w:rPr>
          <w:rFonts w:hint="eastAsia"/>
        </w:rPr>
        <w:t>link</w:t>
      </w:r>
    </w:p>
    <w:p w14:paraId="08D89525" w14:textId="247AC7A9" w:rsidR="0040754E" w:rsidRDefault="0040754E" w:rsidP="0040754E">
      <w:pPr>
        <w:pStyle w:val="EW"/>
      </w:pPr>
      <w:r w:rsidRPr="001038E8">
        <w:t>SLIV</w:t>
      </w:r>
      <w:r w:rsidRPr="001038E8">
        <w:tab/>
        <w:t xml:space="preserve">Start and </w:t>
      </w:r>
      <w:r w:rsidR="00F011B3">
        <w:t>L</w:t>
      </w:r>
      <w:r w:rsidRPr="001038E8">
        <w:t xml:space="preserve">ength </w:t>
      </w:r>
      <w:r w:rsidR="00F011B3">
        <w:t>I</w:t>
      </w:r>
      <w:r w:rsidRPr="001038E8">
        <w:t xml:space="preserve">ndicator </w:t>
      </w:r>
      <w:r w:rsidR="00F011B3">
        <w:t>V</w:t>
      </w:r>
      <w:r w:rsidRPr="001038E8">
        <w:t>alue</w:t>
      </w:r>
    </w:p>
    <w:p w14:paraId="6FD1A190" w14:textId="7D219929" w:rsidR="001A0F7C" w:rsidRPr="005A3D04" w:rsidRDefault="001A0F7C" w:rsidP="0040754E">
      <w:pPr>
        <w:pStyle w:val="EW"/>
      </w:pPr>
      <w:r>
        <w:rPr>
          <w:color w:val="000000"/>
        </w:rPr>
        <w:t>SL PRS</w:t>
      </w:r>
      <w:r>
        <w:rPr>
          <w:color w:val="000000"/>
        </w:rPr>
        <w:tab/>
        <w:t xml:space="preserve">Sidelink </w:t>
      </w:r>
      <w:r w:rsidR="00F011B3">
        <w:rPr>
          <w:color w:val="000000"/>
        </w:rPr>
        <w:t>P</w:t>
      </w:r>
      <w:r>
        <w:rPr>
          <w:color w:val="000000"/>
        </w:rPr>
        <w:t xml:space="preserve">ositioning </w:t>
      </w:r>
      <w:r w:rsidR="00F011B3">
        <w:rPr>
          <w:color w:val="000000"/>
        </w:rPr>
        <w:t>R</w:t>
      </w:r>
      <w:r>
        <w:rPr>
          <w:color w:val="000000"/>
        </w:rPr>
        <w:t xml:space="preserve">eference </w:t>
      </w:r>
      <w:r w:rsidR="00F011B3">
        <w:rPr>
          <w:color w:val="000000"/>
        </w:rPr>
        <w:t>S</w:t>
      </w:r>
      <w:r>
        <w:rPr>
          <w:color w:val="000000"/>
        </w:rPr>
        <w:t>ignal</w:t>
      </w:r>
    </w:p>
    <w:p w14:paraId="77DE63E3" w14:textId="022768A8" w:rsidR="00CF7D03" w:rsidRPr="00B916EC" w:rsidRDefault="00CF7D03" w:rsidP="002B6019">
      <w:pPr>
        <w:pStyle w:val="EW"/>
      </w:pPr>
      <w:r w:rsidRPr="00B916EC">
        <w:t>SPS</w:t>
      </w:r>
      <w:r w:rsidR="007D5A3F">
        <w:tab/>
      </w:r>
      <w:r w:rsidRPr="00B916EC">
        <w:t>Semi-</w:t>
      </w:r>
      <w:r w:rsidR="00F011B3">
        <w:t>P</w:t>
      </w:r>
      <w:r w:rsidRPr="00B916EC">
        <w:t xml:space="preserve">ersistent </w:t>
      </w:r>
      <w:r w:rsidR="00F011B3">
        <w:t>S</w:t>
      </w:r>
      <w:r w:rsidRPr="00B916EC">
        <w:t>cheduling</w:t>
      </w:r>
    </w:p>
    <w:p w14:paraId="29AAE531" w14:textId="630A19A3" w:rsidR="002B6019" w:rsidRDefault="006A50C1" w:rsidP="0009732E">
      <w:pPr>
        <w:pStyle w:val="EW"/>
        <w:rPr>
          <w:rFonts w:eastAsia="MS Mincho"/>
        </w:rPr>
      </w:pPr>
      <w:r w:rsidRPr="00B916EC">
        <w:rPr>
          <w:rFonts w:eastAsia="MS Mincho"/>
        </w:rPr>
        <w:t>SR</w:t>
      </w:r>
      <w:r w:rsidR="007D5A3F">
        <w:rPr>
          <w:rFonts w:eastAsia="MS Mincho"/>
        </w:rPr>
        <w:tab/>
      </w:r>
      <w:r w:rsidRPr="00B916EC">
        <w:rPr>
          <w:rFonts w:eastAsia="MS Mincho"/>
        </w:rPr>
        <w:t xml:space="preserve">Scheduling </w:t>
      </w:r>
      <w:r w:rsidR="00F011B3">
        <w:rPr>
          <w:rFonts w:eastAsia="MS Mincho"/>
        </w:rPr>
        <w:t>R</w:t>
      </w:r>
      <w:r w:rsidRPr="00B916EC">
        <w:rPr>
          <w:rFonts w:eastAsia="MS Mincho"/>
        </w:rPr>
        <w:t>equest</w:t>
      </w:r>
    </w:p>
    <w:p w14:paraId="1C2747AB" w14:textId="29AB9914" w:rsidR="006A50C1" w:rsidRPr="00B916EC" w:rsidRDefault="002B6019" w:rsidP="002B6019">
      <w:pPr>
        <w:pStyle w:val="EW"/>
      </w:pPr>
      <w:r>
        <w:rPr>
          <w:rFonts w:eastAsia="MS Mincho"/>
        </w:rPr>
        <w:t>SRI</w:t>
      </w:r>
      <w:r>
        <w:rPr>
          <w:rFonts w:eastAsia="MS Mincho"/>
        </w:rPr>
        <w:tab/>
      </w:r>
      <w:r>
        <w:rPr>
          <w:rFonts w:hint="eastAsia"/>
          <w:lang w:eastAsia="zh-CN"/>
        </w:rPr>
        <w:t xml:space="preserve">SRS </w:t>
      </w:r>
      <w:r w:rsidR="00F011B3">
        <w:rPr>
          <w:lang w:eastAsia="zh-CN"/>
        </w:rPr>
        <w:t>R</w:t>
      </w:r>
      <w:r>
        <w:rPr>
          <w:rFonts w:hint="eastAsia"/>
          <w:lang w:eastAsia="zh-CN"/>
        </w:rPr>
        <w:t xml:space="preserve">esource </w:t>
      </w:r>
      <w:r w:rsidR="00F011B3">
        <w:rPr>
          <w:lang w:eastAsia="zh-CN"/>
        </w:rPr>
        <w:t>I</w:t>
      </w:r>
      <w:r>
        <w:rPr>
          <w:rFonts w:hint="eastAsia"/>
          <w:lang w:eastAsia="zh-CN"/>
        </w:rPr>
        <w:t>ndicator</w:t>
      </w:r>
    </w:p>
    <w:p w14:paraId="29F52DCF" w14:textId="2F1E4AD6" w:rsidR="006A50C1" w:rsidRPr="00B916EC" w:rsidRDefault="006A50C1" w:rsidP="002B6019">
      <w:pPr>
        <w:pStyle w:val="EW"/>
      </w:pPr>
      <w:r w:rsidRPr="00B916EC">
        <w:t>SRS</w:t>
      </w:r>
      <w:r w:rsidR="007D5A3F">
        <w:tab/>
      </w:r>
      <w:r w:rsidRPr="00B916EC">
        <w:t xml:space="preserve">Sounding </w:t>
      </w:r>
      <w:r w:rsidR="00F011B3">
        <w:t>R</w:t>
      </w:r>
      <w:r w:rsidRPr="00B916EC">
        <w:t xml:space="preserve">eference </w:t>
      </w:r>
      <w:r w:rsidR="00F011B3">
        <w:t>S</w:t>
      </w:r>
      <w:r w:rsidRPr="00B916EC">
        <w:t>ignal</w:t>
      </w:r>
    </w:p>
    <w:p w14:paraId="3DEB2B00" w14:textId="16A0E511" w:rsidR="006A50C1" w:rsidRDefault="006A50C1" w:rsidP="002B6019">
      <w:pPr>
        <w:pStyle w:val="EW"/>
      </w:pPr>
      <w:r w:rsidRPr="00B916EC">
        <w:t>SSS</w:t>
      </w:r>
      <w:r w:rsidR="007D5A3F">
        <w:tab/>
      </w:r>
      <w:r w:rsidRPr="00B916EC">
        <w:t xml:space="preserve">Secondary </w:t>
      </w:r>
      <w:r w:rsidR="00F011B3">
        <w:t>S</w:t>
      </w:r>
      <w:r w:rsidRPr="00B916EC">
        <w:t xml:space="preserve">ynchronization </w:t>
      </w:r>
      <w:r w:rsidR="00F011B3">
        <w:t>S</w:t>
      </w:r>
      <w:r w:rsidRPr="00B916EC">
        <w:t>ignal</w:t>
      </w:r>
    </w:p>
    <w:p w14:paraId="2F168490" w14:textId="25CAF209" w:rsidR="00860BAC" w:rsidRPr="00B916EC" w:rsidRDefault="00860BAC" w:rsidP="002B6019">
      <w:pPr>
        <w:pStyle w:val="EW"/>
      </w:pPr>
      <w:r w:rsidRPr="00686F3E">
        <w:t>SSSG</w:t>
      </w:r>
      <w:r w:rsidRPr="00686F3E">
        <w:tab/>
        <w:t xml:space="preserve">Search </w:t>
      </w:r>
      <w:r w:rsidR="00F011B3">
        <w:t>S</w:t>
      </w:r>
      <w:r w:rsidRPr="00686F3E">
        <w:t xml:space="preserve">pace </w:t>
      </w:r>
      <w:r w:rsidR="00F011B3">
        <w:t>S</w:t>
      </w:r>
      <w:r w:rsidRPr="00686F3E">
        <w:t xml:space="preserve">et </w:t>
      </w:r>
      <w:r w:rsidR="00F011B3">
        <w:t>G</w:t>
      </w:r>
      <w:r w:rsidRPr="00686F3E">
        <w:t>roup</w:t>
      </w:r>
    </w:p>
    <w:p w14:paraId="01DD7FD0" w14:textId="670389E1" w:rsidR="00255774" w:rsidRPr="00B916EC" w:rsidRDefault="00255774" w:rsidP="002B6019">
      <w:pPr>
        <w:pStyle w:val="EW"/>
      </w:pPr>
      <w:r w:rsidRPr="00B916EC">
        <w:t>TA</w:t>
      </w:r>
      <w:r w:rsidR="007D5A3F">
        <w:tab/>
      </w:r>
      <w:r w:rsidRPr="00B916EC">
        <w:t xml:space="preserve">Timing </w:t>
      </w:r>
      <w:r w:rsidR="00F011B3">
        <w:t>A</w:t>
      </w:r>
      <w:r w:rsidRPr="00B916EC">
        <w:t>dvance</w:t>
      </w:r>
    </w:p>
    <w:p w14:paraId="680DE074" w14:textId="39427723" w:rsidR="00D25BAD" w:rsidRDefault="006A50C1" w:rsidP="00D25BAD">
      <w:pPr>
        <w:pStyle w:val="EW"/>
      </w:pPr>
      <w:r w:rsidRPr="00B916EC">
        <w:t>TAG</w:t>
      </w:r>
      <w:r w:rsidR="007D5A3F">
        <w:tab/>
      </w:r>
      <w:r w:rsidRPr="00B916EC">
        <w:t xml:space="preserve">Timing </w:t>
      </w:r>
      <w:r w:rsidR="00F011B3">
        <w:t>A</w:t>
      </w:r>
      <w:r w:rsidRPr="00B916EC">
        <w:t xml:space="preserve">dvance </w:t>
      </w:r>
      <w:r w:rsidR="00F011B3">
        <w:t>G</w:t>
      </w:r>
      <w:r w:rsidRPr="00B916EC">
        <w:t>roup</w:t>
      </w:r>
      <w:r w:rsidRPr="00B916EC" w:rsidDel="009D286D">
        <w:t xml:space="preserve"> </w:t>
      </w:r>
    </w:p>
    <w:p w14:paraId="7768C2F0" w14:textId="0A004D58" w:rsidR="00D25BAD" w:rsidRPr="007B5011" w:rsidRDefault="00D25BAD" w:rsidP="00D25BAD">
      <w:pPr>
        <w:pStyle w:val="EW"/>
        <w:rPr>
          <w:lang w:val="sv-SE"/>
        </w:rPr>
      </w:pPr>
      <w:r w:rsidRPr="007B5011">
        <w:rPr>
          <w:lang w:val="sv-SE"/>
        </w:rPr>
        <w:t>TB</w:t>
      </w:r>
      <w:r w:rsidRPr="007B5011">
        <w:rPr>
          <w:lang w:val="sv-SE"/>
        </w:rPr>
        <w:tab/>
        <w:t xml:space="preserve">Transport </w:t>
      </w:r>
      <w:r w:rsidR="00F011B3" w:rsidRPr="007B5011">
        <w:rPr>
          <w:lang w:val="sv-SE"/>
        </w:rPr>
        <w:t>B</w:t>
      </w:r>
      <w:r w:rsidRPr="007B5011">
        <w:rPr>
          <w:lang w:val="sv-SE"/>
        </w:rPr>
        <w:t>lock</w:t>
      </w:r>
    </w:p>
    <w:p w14:paraId="297CF5C0" w14:textId="4C42B8D4" w:rsidR="006A50C1" w:rsidRPr="007B5011" w:rsidRDefault="00D25BAD" w:rsidP="00D25BAD">
      <w:pPr>
        <w:pStyle w:val="EW"/>
        <w:rPr>
          <w:lang w:val="sv-SE"/>
        </w:rPr>
      </w:pPr>
      <w:r w:rsidRPr="007B5011">
        <w:rPr>
          <w:lang w:val="sv-SE"/>
        </w:rPr>
        <w:t>TBG</w:t>
      </w:r>
      <w:r w:rsidRPr="007B5011">
        <w:rPr>
          <w:lang w:val="sv-SE"/>
        </w:rPr>
        <w:tab/>
        <w:t xml:space="preserve">Transport </w:t>
      </w:r>
      <w:r w:rsidR="00F011B3" w:rsidRPr="007B5011">
        <w:rPr>
          <w:lang w:val="sv-SE"/>
        </w:rPr>
        <w:t>B</w:t>
      </w:r>
      <w:r w:rsidRPr="007B5011">
        <w:rPr>
          <w:lang w:val="sv-SE"/>
        </w:rPr>
        <w:t xml:space="preserve">lock </w:t>
      </w:r>
      <w:r w:rsidR="00F011B3" w:rsidRPr="007B5011">
        <w:rPr>
          <w:lang w:val="sv-SE"/>
        </w:rPr>
        <w:t>G</w:t>
      </w:r>
      <w:r w:rsidRPr="007B5011">
        <w:rPr>
          <w:lang w:val="sv-SE"/>
        </w:rPr>
        <w:t>roup</w:t>
      </w:r>
    </w:p>
    <w:p w14:paraId="0B764759" w14:textId="5A5C52B4" w:rsidR="0070642F" w:rsidRDefault="0040754E" w:rsidP="0070642F">
      <w:pPr>
        <w:pStyle w:val="EW"/>
      </w:pPr>
      <w:r w:rsidRPr="001038E8">
        <w:t>TCI</w:t>
      </w:r>
      <w:r w:rsidRPr="001038E8">
        <w:tab/>
        <w:t>Trans</w:t>
      </w:r>
      <w:r w:rsidRPr="00E94E3F">
        <w:t xml:space="preserve">mission </w:t>
      </w:r>
      <w:r w:rsidR="00F011B3">
        <w:t>C</w:t>
      </w:r>
      <w:r w:rsidR="0070642F" w:rsidRPr="00E94E3F">
        <w:t xml:space="preserve">onfiguration </w:t>
      </w:r>
      <w:r w:rsidR="00F011B3">
        <w:t>I</w:t>
      </w:r>
      <w:r w:rsidR="0070642F" w:rsidRPr="00E94E3F">
        <w:t>ndicator</w:t>
      </w:r>
    </w:p>
    <w:p w14:paraId="39ECA084" w14:textId="2C4A2212" w:rsidR="0040754E" w:rsidRPr="005A3D04" w:rsidRDefault="0070642F" w:rsidP="0070642F">
      <w:pPr>
        <w:pStyle w:val="EW"/>
      </w:pPr>
      <w:r>
        <w:t>TO</w:t>
      </w:r>
      <w:r>
        <w:tab/>
        <w:t xml:space="preserve">Transmission </w:t>
      </w:r>
      <w:r w:rsidR="00F011B3">
        <w:t>O</w:t>
      </w:r>
      <w:r>
        <w:t>ccasion</w:t>
      </w:r>
    </w:p>
    <w:p w14:paraId="45D6C9A9" w14:textId="4EA04106" w:rsidR="006A50C1" w:rsidRPr="00B916EC" w:rsidRDefault="006A50C1" w:rsidP="002B6019">
      <w:pPr>
        <w:pStyle w:val="EW"/>
      </w:pPr>
      <w:r w:rsidRPr="00B916EC">
        <w:t>UCI</w:t>
      </w:r>
      <w:r w:rsidR="007D5A3F">
        <w:tab/>
      </w:r>
      <w:r w:rsidRPr="00B916EC">
        <w:t xml:space="preserve">Uplink </w:t>
      </w:r>
      <w:r w:rsidR="00F011B3">
        <w:t>C</w:t>
      </w:r>
      <w:r w:rsidRPr="00B916EC">
        <w:t xml:space="preserve">ontrol </w:t>
      </w:r>
      <w:r w:rsidR="00F011B3">
        <w:t>I</w:t>
      </w:r>
      <w:r w:rsidRPr="00B916EC">
        <w:t>nformation</w:t>
      </w:r>
    </w:p>
    <w:p w14:paraId="5C032CD6" w14:textId="6EF65B14" w:rsidR="006A50C1" w:rsidRPr="00B916EC" w:rsidRDefault="006A50C1" w:rsidP="002B6019">
      <w:pPr>
        <w:pStyle w:val="EW"/>
      </w:pPr>
      <w:r w:rsidRPr="00B916EC">
        <w:t>UE</w:t>
      </w:r>
      <w:r w:rsidR="007D5A3F">
        <w:tab/>
      </w:r>
      <w:r w:rsidRPr="00B916EC">
        <w:t xml:space="preserve">User </w:t>
      </w:r>
      <w:r w:rsidR="00F011B3">
        <w:t>E</w:t>
      </w:r>
      <w:r w:rsidRPr="00B916EC">
        <w:t>quipment</w:t>
      </w:r>
      <w:r w:rsidRPr="00B916EC">
        <w:rPr>
          <w:rFonts w:hint="eastAsia"/>
        </w:rPr>
        <w:t xml:space="preserve"> </w:t>
      </w:r>
    </w:p>
    <w:p w14:paraId="00DC02C9" w14:textId="77777777" w:rsidR="002B6019" w:rsidRDefault="006A50C1" w:rsidP="0009732E">
      <w:pPr>
        <w:pStyle w:val="EW"/>
      </w:pPr>
      <w:r w:rsidRPr="00B916EC">
        <w:rPr>
          <w:rFonts w:hint="eastAsia"/>
        </w:rPr>
        <w:t>UL</w:t>
      </w:r>
      <w:r w:rsidR="007D5A3F">
        <w:tab/>
      </w:r>
      <w:r w:rsidRPr="00B916EC">
        <w:rPr>
          <w:rFonts w:hint="eastAsia"/>
        </w:rPr>
        <w:t>Uplink</w:t>
      </w:r>
    </w:p>
    <w:p w14:paraId="136381DC" w14:textId="05378AA8" w:rsidR="0040754E" w:rsidRDefault="002B6019" w:rsidP="0040754E">
      <w:pPr>
        <w:pStyle w:val="EW"/>
      </w:pPr>
      <w:r w:rsidRPr="0023299F">
        <w:t>UL-SCH</w:t>
      </w:r>
      <w:r w:rsidRPr="0023299F">
        <w:tab/>
      </w:r>
      <w:r>
        <w:t xml:space="preserve">Uplink </w:t>
      </w:r>
      <w:r w:rsidR="00F011B3">
        <w:t>S</w:t>
      </w:r>
      <w:r>
        <w:t xml:space="preserve">hared </w:t>
      </w:r>
      <w:r w:rsidR="00F011B3">
        <w:t>C</w:t>
      </w:r>
      <w:r w:rsidRPr="0023299F">
        <w:t>hannel</w:t>
      </w:r>
      <w:r w:rsidR="0040754E" w:rsidRPr="0040754E">
        <w:t xml:space="preserve"> </w:t>
      </w:r>
    </w:p>
    <w:p w14:paraId="6B79882C" w14:textId="22FE4D19" w:rsidR="002B6019" w:rsidRPr="0023299F" w:rsidRDefault="0040754E" w:rsidP="0040754E">
      <w:pPr>
        <w:pStyle w:val="EW"/>
      </w:pPr>
      <w:r>
        <w:t>USS</w:t>
      </w:r>
      <w:r>
        <w:tab/>
        <w:t xml:space="preserve">UE-specific </w:t>
      </w:r>
      <w:r w:rsidR="00F011B3">
        <w:t>S</w:t>
      </w:r>
      <w:r>
        <w:t xml:space="preserve">earch </w:t>
      </w:r>
      <w:r w:rsidR="00F011B3">
        <w:t>S</w:t>
      </w:r>
      <w:r>
        <w:t>pace</w:t>
      </w:r>
    </w:p>
    <w:p w14:paraId="353A66A5" w14:textId="66EFB058" w:rsidR="0070642F" w:rsidRPr="005A3D04" w:rsidRDefault="0070642F" w:rsidP="0070642F">
      <w:pPr>
        <w:pStyle w:val="EW"/>
      </w:pPr>
      <w:r>
        <w:t>UTO-UCI</w:t>
      </w:r>
      <w:r>
        <w:tab/>
        <w:t xml:space="preserve">Unused </w:t>
      </w:r>
      <w:r w:rsidR="00F011B3">
        <w:t>T</w:t>
      </w:r>
      <w:r>
        <w:t xml:space="preserve">ransmission </w:t>
      </w:r>
      <w:r w:rsidR="00F011B3">
        <w:t>O</w:t>
      </w:r>
      <w:r>
        <w:t>ccasion - UCI</w:t>
      </w:r>
    </w:p>
    <w:p w14:paraId="3069EE9E" w14:textId="77777777" w:rsidR="006A50C1" w:rsidRPr="00B916EC" w:rsidRDefault="006A50C1" w:rsidP="002B6019">
      <w:pPr>
        <w:pStyle w:val="EW"/>
      </w:pPr>
    </w:p>
    <w:p w14:paraId="6AF3F18C" w14:textId="77777777" w:rsidR="003D415C" w:rsidRPr="00B916EC" w:rsidRDefault="002A2B65" w:rsidP="001F7E31">
      <w:pPr>
        <w:pStyle w:val="Heading1"/>
        <w:tabs>
          <w:tab w:val="left" w:pos="1134"/>
        </w:tabs>
        <w:ind w:left="0" w:firstLine="0"/>
      </w:pPr>
      <w:r w:rsidRPr="00B916EC">
        <w:br w:type="page"/>
      </w:r>
      <w:bookmarkStart w:id="75" w:name="_Toc12021438"/>
      <w:bookmarkStart w:id="76" w:name="_Toc20311550"/>
      <w:bookmarkStart w:id="77" w:name="_Toc26719375"/>
      <w:bookmarkStart w:id="78" w:name="_Toc29894806"/>
      <w:bookmarkStart w:id="79" w:name="_Toc29899105"/>
      <w:bookmarkStart w:id="80" w:name="_Toc29899523"/>
      <w:bookmarkStart w:id="81" w:name="_Toc29917260"/>
      <w:bookmarkStart w:id="82" w:name="_Toc36498134"/>
      <w:bookmarkStart w:id="83" w:name="_Toc45699160"/>
      <w:bookmarkStart w:id="84" w:name="_Toc161999085"/>
      <w:r w:rsidR="003D415C" w:rsidRPr="00B916EC">
        <w:rPr>
          <w:rFonts w:hint="eastAsia"/>
        </w:rPr>
        <w:lastRenderedPageBreak/>
        <w:t>4</w:t>
      </w:r>
      <w:r w:rsidR="003D415C" w:rsidRPr="00B916EC">
        <w:rPr>
          <w:rFonts w:hint="eastAsia"/>
        </w:rPr>
        <w:tab/>
      </w:r>
      <w:r w:rsidR="003D415C" w:rsidRPr="00B916EC">
        <w:t>Synchronization procedures</w:t>
      </w:r>
      <w:bookmarkEnd w:id="75"/>
      <w:bookmarkEnd w:id="76"/>
      <w:bookmarkEnd w:id="77"/>
      <w:bookmarkEnd w:id="78"/>
      <w:bookmarkEnd w:id="79"/>
      <w:bookmarkEnd w:id="80"/>
      <w:bookmarkEnd w:id="81"/>
      <w:bookmarkEnd w:id="82"/>
      <w:bookmarkEnd w:id="83"/>
      <w:bookmarkEnd w:id="84"/>
    </w:p>
    <w:p w14:paraId="2B867302" w14:textId="77777777" w:rsidR="008122A3" w:rsidRPr="00B916EC" w:rsidRDefault="008122A3" w:rsidP="008122A3">
      <w:pPr>
        <w:pStyle w:val="Heading2"/>
      </w:pPr>
      <w:bookmarkStart w:id="85" w:name="_Toc12021439"/>
      <w:bookmarkStart w:id="86" w:name="_Toc20311551"/>
      <w:bookmarkStart w:id="87" w:name="_Toc26719376"/>
      <w:bookmarkStart w:id="88" w:name="_Toc29894807"/>
      <w:bookmarkStart w:id="89" w:name="_Toc29899106"/>
      <w:bookmarkStart w:id="90" w:name="_Toc29899524"/>
      <w:bookmarkStart w:id="91" w:name="_Toc29917261"/>
      <w:bookmarkStart w:id="92" w:name="_Toc36498135"/>
      <w:bookmarkStart w:id="93" w:name="_Toc45699161"/>
      <w:bookmarkStart w:id="94" w:name="_Toc161999086"/>
      <w:r w:rsidRPr="00B916EC">
        <w:t>4.1</w:t>
      </w:r>
      <w:r w:rsidRPr="00B916EC">
        <w:tab/>
        <w:t>Cell search</w:t>
      </w:r>
      <w:bookmarkEnd w:id="85"/>
      <w:bookmarkEnd w:id="86"/>
      <w:bookmarkEnd w:id="87"/>
      <w:bookmarkEnd w:id="88"/>
      <w:bookmarkEnd w:id="89"/>
      <w:bookmarkEnd w:id="90"/>
      <w:bookmarkEnd w:id="91"/>
      <w:bookmarkEnd w:id="92"/>
      <w:bookmarkEnd w:id="93"/>
      <w:bookmarkEnd w:id="94"/>
    </w:p>
    <w:p w14:paraId="5FF6E3F9" w14:textId="77777777" w:rsidR="00314CCF" w:rsidRPr="00B916EC" w:rsidRDefault="00A10623" w:rsidP="00A10623">
      <w:r w:rsidRPr="00B916EC">
        <w:t xml:space="preserve">Cell search is the procedure </w:t>
      </w:r>
      <w:r w:rsidR="009A36EA">
        <w:t>for</w:t>
      </w:r>
      <w:r w:rsidRPr="00B916EC">
        <w:t xml:space="preserve"> a UE </w:t>
      </w:r>
      <w:r w:rsidR="009A36EA">
        <w:t xml:space="preserve">to </w:t>
      </w:r>
      <w:r w:rsidRPr="00B916EC">
        <w:t xml:space="preserve">acquire time and frequency synchronization with a cell and </w:t>
      </w:r>
      <w:r w:rsidR="009A36EA">
        <w:t xml:space="preserve">to </w:t>
      </w:r>
      <w:r w:rsidRPr="00B916EC">
        <w:t xml:space="preserve">detect the physical layer Cell ID of </w:t>
      </w:r>
      <w:r w:rsidR="009A36EA" w:rsidRPr="00B916EC">
        <w:t>th</w:t>
      </w:r>
      <w:r w:rsidR="009A36EA">
        <w:t>e</w:t>
      </w:r>
      <w:r w:rsidR="009A36EA" w:rsidRPr="00B916EC">
        <w:t xml:space="preserve"> </w:t>
      </w:r>
      <w:r w:rsidRPr="00B916EC">
        <w:t>cell.</w:t>
      </w:r>
      <w:r w:rsidR="007D5A3F">
        <w:t xml:space="preserve"> </w:t>
      </w:r>
    </w:p>
    <w:p w14:paraId="1D94B5E7" w14:textId="77777777" w:rsidR="00A10623" w:rsidRPr="00B916EC" w:rsidRDefault="00A10623" w:rsidP="00A10623">
      <w:r w:rsidRPr="00B916EC">
        <w:t xml:space="preserve">A UE receives the following synchronization signals (SS) in order to perform cell search: the primary synchronization signal (PSS) and secondary synchronization signal (SSS) as defined in [4, TS 38.211]. </w:t>
      </w:r>
    </w:p>
    <w:p w14:paraId="6D132EB7" w14:textId="33BE977C" w:rsidR="00A10623" w:rsidRPr="00B916EC" w:rsidRDefault="00A10623" w:rsidP="00A10623">
      <w:pPr>
        <w:spacing w:after="160" w:line="259" w:lineRule="auto"/>
      </w:pPr>
      <w:r w:rsidRPr="00B916EC">
        <w:t>A UE assume</w:t>
      </w:r>
      <w:r w:rsidR="005E4D60">
        <w:t>s</w:t>
      </w:r>
      <w:r w:rsidRPr="00B916EC">
        <w:t xml:space="preserve"> that reception occasions of a physical broadcast channel (PBCH), PSS, and SSS are in consecutive symbols, as defined in [4, TS 38.211], and form a SS/PBCH block. </w:t>
      </w:r>
      <w:r w:rsidR="001E170D" w:rsidRPr="00B916EC">
        <w:t>The UE assume</w:t>
      </w:r>
      <w:r w:rsidR="005E4D60">
        <w:t>s</w:t>
      </w:r>
      <w:r w:rsidR="001E170D" w:rsidRPr="00B916EC">
        <w:t xml:space="preserve"> that SSS</w:t>
      </w:r>
      <w:r w:rsidR="00BE0332">
        <w:t>,</w:t>
      </w:r>
      <w:r w:rsidR="001E170D" w:rsidRPr="00B916EC">
        <w:t xml:space="preserve"> PBCH DM</w:t>
      </w:r>
      <w:r w:rsidR="00D97E37">
        <w:t>-</w:t>
      </w:r>
      <w:r w:rsidR="001E170D" w:rsidRPr="00B916EC">
        <w:t>RS</w:t>
      </w:r>
      <w:r w:rsidR="00BE0332">
        <w:t>, and PBCH data</w:t>
      </w:r>
      <w:r w:rsidR="001E170D" w:rsidRPr="00B916EC">
        <w:t xml:space="preserve"> have same </w:t>
      </w:r>
      <w:r w:rsidR="00314128" w:rsidRPr="00B916EC">
        <w:t>EPRE</w:t>
      </w:r>
      <w:r w:rsidR="001E170D" w:rsidRPr="00B916EC">
        <w:t xml:space="preserve">. </w:t>
      </w:r>
      <w:r w:rsidR="00BE0332">
        <w:t>The UE</w:t>
      </w:r>
      <w:r w:rsidR="00BE0332" w:rsidRPr="00AF1A70">
        <w:rPr>
          <w:rFonts w:eastAsia="MS Mincho"/>
        </w:rPr>
        <w:t xml:space="preserve"> may assume that the ratio of PSS EPRE to SSS </w:t>
      </w:r>
      <w:r w:rsidR="00BE0332">
        <w:rPr>
          <w:rFonts w:eastAsia="MS Mincho"/>
        </w:rPr>
        <w:t xml:space="preserve">EPRE in a SS/PBCH block </w:t>
      </w:r>
      <w:r w:rsidR="00BE0332" w:rsidRPr="00AF1A70">
        <w:rPr>
          <w:rFonts w:eastAsia="MS Mincho"/>
        </w:rPr>
        <w:t>is either 0</w:t>
      </w:r>
      <w:r w:rsidR="00BE0332">
        <w:rPr>
          <w:rFonts w:eastAsia="MS Mincho"/>
        </w:rPr>
        <w:t xml:space="preserve"> </w:t>
      </w:r>
      <w:r w:rsidR="00BE0332" w:rsidRPr="00AF1A70">
        <w:rPr>
          <w:rFonts w:eastAsia="MS Mincho"/>
        </w:rPr>
        <w:t>dB or 3</w:t>
      </w:r>
      <w:r w:rsidR="00BE0332">
        <w:rPr>
          <w:rFonts w:eastAsia="MS Mincho"/>
        </w:rPr>
        <w:t xml:space="preserve"> </w:t>
      </w:r>
      <w:r w:rsidR="00BE0332" w:rsidRPr="00AF1A70">
        <w:rPr>
          <w:rFonts w:eastAsia="MS Mincho"/>
        </w:rPr>
        <w:t>dB</w:t>
      </w:r>
      <w:r w:rsidR="00BE0332" w:rsidRPr="00B916EC">
        <w:t>.</w:t>
      </w:r>
      <w:r w:rsidR="005E4D60" w:rsidRPr="00DF4525">
        <w:t xml:space="preserve"> </w:t>
      </w:r>
      <w:r w:rsidR="005E4D60">
        <w:t>If the UE has not been</w:t>
      </w:r>
      <w:r w:rsidR="005E4D60" w:rsidRPr="00DF4525">
        <w:t xml:space="preserve"> provided dedicated higher layer parameters, the UE may assume that the ratio of PDCCH DMRS EPRE to SSS EPRE is within -8 dB and 8 dB when the UE monitors PDCCHs for a DCI format 1_0 with CRC scrambled by SI-RNTI, P-RNTI, or RA-RNTI</w:t>
      </w:r>
      <w:r w:rsidR="00012A94" w:rsidRPr="007B7CF1">
        <w:rPr>
          <w:lang w:val="en-US" w:eastAsia="zh-CN"/>
        </w:rPr>
        <w:t>, or for a DCI format 2_7</w:t>
      </w:r>
      <w:r w:rsidR="005E542A" w:rsidRPr="00D55BD3">
        <w:rPr>
          <w:rFonts w:hint="eastAsia"/>
          <w:lang w:val="en-US" w:eastAsia="zh-CN"/>
        </w:rPr>
        <w:t xml:space="preserve">, or for a DCI </w:t>
      </w:r>
      <w:r w:rsidR="005E542A" w:rsidRPr="00FE1F93">
        <w:rPr>
          <w:lang w:val="en-US" w:eastAsia="zh-CN"/>
        </w:rPr>
        <w:t>format</w:t>
      </w:r>
      <w:r w:rsidR="005E542A" w:rsidRPr="00FE1F93">
        <w:rPr>
          <w:rFonts w:hint="eastAsia"/>
          <w:lang w:val="en-US" w:eastAsia="zh-CN"/>
        </w:rPr>
        <w:t xml:space="preserve"> 4_0</w:t>
      </w:r>
      <w:r w:rsidR="005E4D60" w:rsidRPr="00DF4525">
        <w:t>.</w:t>
      </w:r>
    </w:p>
    <w:p w14:paraId="13F40D7B" w14:textId="77777777" w:rsidR="00A10623" w:rsidRPr="00B916EC" w:rsidRDefault="00A10623" w:rsidP="00A10623">
      <w:pPr>
        <w:rPr>
          <w:lang w:eastAsia="ja-JP"/>
        </w:rPr>
      </w:pPr>
      <w:r w:rsidRPr="00B916EC">
        <w:t xml:space="preserve">For a half frame with SS/PBCH blocks, the first symbol indexes for candidate SS/PBCH blocks are </w:t>
      </w:r>
      <w:r w:rsidR="008C14E2" w:rsidRPr="00B916EC">
        <w:t xml:space="preserve">determined according to the </w:t>
      </w:r>
      <w:r w:rsidR="00B75E4F">
        <w:t>SCS</w:t>
      </w:r>
      <w:r w:rsidR="008C14E2" w:rsidRPr="00B916EC">
        <w:t xml:space="preserve"> of SS/PBCH blocks </w:t>
      </w:r>
      <w:r w:rsidRPr="00B916EC">
        <w:t>as follows</w:t>
      </w:r>
      <w:r w:rsidR="005E4D60" w:rsidRPr="00F827FD">
        <w:t xml:space="preserve">, </w:t>
      </w:r>
      <w:r w:rsidR="005E4D60" w:rsidRPr="00F827FD">
        <w:rPr>
          <w:lang w:eastAsia="ja-JP"/>
        </w:rPr>
        <w:t>where index 0 corresponds to the first symbol of the first slot in a half-frame</w:t>
      </w:r>
      <w:r w:rsidRPr="00B916EC">
        <w:t xml:space="preserve">. </w:t>
      </w:r>
    </w:p>
    <w:p w14:paraId="14B5E9D9" w14:textId="26C4C17B" w:rsidR="001F19DA" w:rsidRDefault="00416A87" w:rsidP="00416A87">
      <w:pPr>
        <w:pStyle w:val="B1"/>
      </w:pPr>
      <w:r>
        <w:rPr>
          <w:lang w:eastAsia="ja-JP"/>
        </w:rPr>
        <w:t>-</w:t>
      </w:r>
      <w:r>
        <w:rPr>
          <w:lang w:eastAsia="ja-JP"/>
        </w:rPr>
        <w:tab/>
      </w:r>
      <w:r w:rsidR="00367982" w:rsidRPr="00B916EC">
        <w:rPr>
          <w:lang w:eastAsia="ja-JP"/>
        </w:rPr>
        <w:t xml:space="preserve">Case A - </w:t>
      </w:r>
      <w:r w:rsidR="00A10623" w:rsidRPr="00B916EC">
        <w:rPr>
          <w:lang w:eastAsia="ja-JP"/>
        </w:rPr>
        <w:t xml:space="preserve">15 </w:t>
      </w:r>
      <w:r w:rsidR="00E66246" w:rsidRPr="00B916EC">
        <w:rPr>
          <w:lang w:eastAsia="ja-JP"/>
        </w:rPr>
        <w:t>kHz</w:t>
      </w:r>
      <w:r w:rsidR="00A10623" w:rsidRPr="00B916EC">
        <w:rPr>
          <w:lang w:eastAsia="ja-JP"/>
        </w:rPr>
        <w:t xml:space="preserve"> </w:t>
      </w:r>
      <w:r w:rsidR="00B75E4F">
        <w:t>SCS</w:t>
      </w:r>
      <w:r w:rsidR="00A10623" w:rsidRPr="00B916EC">
        <w:rPr>
          <w:lang w:eastAsia="ja-JP"/>
        </w:rPr>
        <w:t xml:space="preserve">: the first symbols of the candidate SS/PBCH blocks have indexes of </w:t>
      </w:r>
      <m:oMath>
        <m:d>
          <m:dPr>
            <m:begChr m:val="{"/>
            <m:endChr m:val="}"/>
            <m:ctrlPr>
              <w:rPr>
                <w:rFonts w:ascii="Cambria Math" w:hAnsi="Cambria Math"/>
                <w:i/>
                <w:lang w:eastAsia="ja-JP"/>
              </w:rPr>
            </m:ctrlPr>
          </m:dPr>
          <m:e>
            <m:r>
              <w:rPr>
                <w:rFonts w:ascii="Cambria Math" w:hAnsi="Cambria Math"/>
                <w:lang w:eastAsia="ja-JP"/>
              </w:rPr>
              <m:t>2,8</m:t>
            </m:r>
          </m:e>
        </m:d>
        <m:r>
          <w:rPr>
            <w:rFonts w:ascii="Cambria Math"/>
          </w:rPr>
          <m:t>+14</m:t>
        </m:r>
        <m:r>
          <w:rPr>
            <w:rFonts w:ascii="Cambria Math" w:hAnsi="Cambria Math" w:cs="Cambria Math"/>
          </w:rPr>
          <m:t>⋅</m:t>
        </m:r>
        <m:r>
          <w:rPr>
            <w:rFonts w:ascii="Cambria Math"/>
          </w:rPr>
          <m:t>n</m:t>
        </m:r>
      </m:oMath>
      <w:r w:rsidR="00A10623" w:rsidRPr="00B916EC">
        <w:t xml:space="preserve">. </w:t>
      </w:r>
    </w:p>
    <w:p w14:paraId="21D8EC38" w14:textId="77777777" w:rsidR="001F19DA" w:rsidRPr="0047180A" w:rsidRDefault="001F19DA" w:rsidP="0047180A">
      <w:pPr>
        <w:pStyle w:val="B2"/>
        <w:rPr>
          <w:lang w:val="en-US"/>
        </w:rPr>
      </w:pPr>
      <w:r>
        <w:rPr>
          <w:rFonts w:eastAsiaTheme="minorEastAsia"/>
          <w:lang w:eastAsia="ja-JP"/>
        </w:rPr>
        <w:t>-</w:t>
      </w:r>
      <w:r>
        <w:rPr>
          <w:rFonts w:eastAsiaTheme="minorEastAsia"/>
          <w:lang w:eastAsia="ja-JP"/>
        </w:rPr>
        <w:tab/>
      </w:r>
      <w:r w:rsidRPr="006C70FD">
        <w:rPr>
          <w:rFonts w:eastAsiaTheme="minorEastAsia"/>
          <w:lang w:eastAsia="ja-JP"/>
        </w:rPr>
        <w:t>F</w:t>
      </w:r>
      <w:r w:rsidRPr="006C70FD">
        <w:rPr>
          <w:rFonts w:eastAsiaTheme="minorEastAsia" w:hint="eastAsia"/>
          <w:lang w:eastAsia="ja-JP"/>
        </w:rPr>
        <w:t xml:space="preserve">or </w:t>
      </w:r>
      <w:r>
        <w:rPr>
          <w:lang w:eastAsia="ja-JP"/>
        </w:rPr>
        <w:t>operation without shared spectrum channel access</w:t>
      </w:r>
      <w:r w:rsidR="00956FC0">
        <w:rPr>
          <w:lang w:val="en-US" w:eastAsia="ja-JP"/>
        </w:rPr>
        <w:t>:</w:t>
      </w:r>
    </w:p>
    <w:p w14:paraId="19EAF7A3" w14:textId="653F55A3" w:rsidR="001F19DA" w:rsidRDefault="001F19DA" w:rsidP="0047180A">
      <w:pPr>
        <w:pStyle w:val="B3"/>
      </w:pPr>
      <w:r>
        <w:t>-</w:t>
      </w:r>
      <w:r>
        <w:tab/>
      </w:r>
      <w:r w:rsidR="00A10623" w:rsidRPr="00B916EC">
        <w:t xml:space="preserve">For carrier frequencies smaller than or equal to 3 GHz, </w:t>
      </w:r>
      <m:oMath>
        <m:r>
          <w:rPr>
            <w:rFonts w:ascii="Cambria Math"/>
          </w:rPr>
          <m:t>n=0,1</m:t>
        </m:r>
      </m:oMath>
      <w:r w:rsidR="00A10623" w:rsidRPr="00B916EC">
        <w:t xml:space="preserve">. </w:t>
      </w:r>
    </w:p>
    <w:p w14:paraId="662AF324" w14:textId="49C532C5" w:rsidR="00A10623" w:rsidRDefault="001F19DA" w:rsidP="0047180A">
      <w:pPr>
        <w:pStyle w:val="B3"/>
        <w:rPr>
          <w:lang w:eastAsia="ja-JP"/>
        </w:rPr>
      </w:pPr>
      <w:r>
        <w:t>-</w:t>
      </w:r>
      <w:r>
        <w:tab/>
      </w:r>
      <w:r w:rsidR="00A10623" w:rsidRPr="00B916EC">
        <w:t>For carrier frequencies</w:t>
      </w:r>
      <w:r w:rsidR="004917D8" w:rsidRPr="004917D8">
        <w:rPr>
          <w:lang w:val="en-US"/>
        </w:rPr>
        <w:t xml:space="preserve"> </w:t>
      </w:r>
      <w:r w:rsidR="004917D8">
        <w:rPr>
          <w:lang w:val="en-US"/>
        </w:rPr>
        <w:t>within FR1</w:t>
      </w:r>
      <w:r w:rsidR="00A10623" w:rsidRPr="00B916EC">
        <w:t xml:space="preserve"> larger than 3 GHz, </w:t>
      </w:r>
      <m:oMath>
        <m:r>
          <w:rPr>
            <w:rFonts w:ascii="Cambria Math"/>
          </w:rPr>
          <m:t>n=0,1,2,3</m:t>
        </m:r>
      </m:oMath>
      <w:r w:rsidR="00A10623" w:rsidRPr="00B916EC">
        <w:rPr>
          <w:lang w:eastAsia="ja-JP"/>
        </w:rPr>
        <w:t>.</w:t>
      </w:r>
    </w:p>
    <w:p w14:paraId="18BE9E7F" w14:textId="77777777" w:rsidR="001F19DA" w:rsidRPr="00B916EC" w:rsidRDefault="001F19DA" w:rsidP="0047180A">
      <w:pPr>
        <w:pStyle w:val="B2"/>
        <w:rPr>
          <w:lang w:eastAsia="ja-JP"/>
        </w:rPr>
      </w:pPr>
      <w:r>
        <w:rPr>
          <w:rFonts w:eastAsiaTheme="minorEastAsia"/>
          <w:lang w:eastAsia="ja-JP"/>
        </w:rPr>
        <w:t>-</w:t>
      </w:r>
      <w:r>
        <w:rPr>
          <w:rFonts w:eastAsiaTheme="minorEastAsia"/>
          <w:lang w:eastAsia="ja-JP"/>
        </w:rPr>
        <w:tab/>
      </w:r>
      <w:r>
        <w:rPr>
          <w:lang w:eastAsia="ja-JP"/>
        </w:rPr>
        <w:t xml:space="preserve">For operation with shared spectrum channel access, as described in [15, TS 37.213], </w:t>
      </w:r>
      <m:oMath>
        <m:r>
          <w:rPr>
            <w:rFonts w:ascii="Cambria Math"/>
          </w:rPr>
          <m:t>n=0,</m:t>
        </m:r>
        <m:r>
          <m:rPr>
            <m:sty m:val="p"/>
          </m:rPr>
          <w:rPr>
            <w:rFonts w:ascii="Cambria Math"/>
          </w:rPr>
          <m:t xml:space="preserve"> </m:t>
        </m:r>
        <m:r>
          <w:rPr>
            <w:rFonts w:ascii="Cambria Math"/>
          </w:rPr>
          <m:t>1,</m:t>
        </m:r>
        <m:r>
          <m:rPr>
            <m:sty m:val="p"/>
          </m:rPr>
          <w:rPr>
            <w:rFonts w:ascii="Cambria Math"/>
          </w:rPr>
          <m:t xml:space="preserve"> </m:t>
        </m:r>
        <m:r>
          <w:rPr>
            <w:rFonts w:ascii="Cambria Math"/>
          </w:rPr>
          <m:t>2,</m:t>
        </m:r>
        <m:r>
          <m:rPr>
            <m:sty m:val="p"/>
          </m:rPr>
          <w:rPr>
            <w:rFonts w:ascii="Cambria Math"/>
          </w:rPr>
          <m:t xml:space="preserve"> </m:t>
        </m:r>
        <m:r>
          <w:rPr>
            <w:rFonts w:ascii="Cambria Math"/>
          </w:rPr>
          <m:t>3, 4</m:t>
        </m:r>
      </m:oMath>
      <w:r>
        <w:rPr>
          <w:iCs/>
        </w:rPr>
        <w:t>.</w:t>
      </w:r>
    </w:p>
    <w:p w14:paraId="63D32F9F" w14:textId="517CC0DE" w:rsidR="00A10623" w:rsidRPr="00B916EC" w:rsidRDefault="00416A87" w:rsidP="00416A87">
      <w:pPr>
        <w:pStyle w:val="B1"/>
        <w:rPr>
          <w:lang w:eastAsia="ja-JP"/>
        </w:rPr>
      </w:pPr>
      <w:r>
        <w:rPr>
          <w:lang w:eastAsia="ja-JP"/>
        </w:rPr>
        <w:t>-</w:t>
      </w:r>
      <w:r>
        <w:rPr>
          <w:lang w:eastAsia="ja-JP"/>
        </w:rPr>
        <w:tab/>
      </w:r>
      <w:r w:rsidR="00367982" w:rsidRPr="00B916EC">
        <w:rPr>
          <w:lang w:eastAsia="ja-JP"/>
        </w:rPr>
        <w:t xml:space="preserve">Case B - </w:t>
      </w:r>
      <w:r w:rsidR="00A10623" w:rsidRPr="00B916EC">
        <w:rPr>
          <w:lang w:eastAsia="ja-JP"/>
        </w:rPr>
        <w:t xml:space="preserve">30 </w:t>
      </w:r>
      <w:r w:rsidR="00E66246" w:rsidRPr="00B916EC">
        <w:rPr>
          <w:lang w:eastAsia="ja-JP"/>
        </w:rPr>
        <w:t>kHz</w:t>
      </w:r>
      <w:r w:rsidR="00A10623" w:rsidRPr="00B916EC">
        <w:rPr>
          <w:lang w:eastAsia="ja-JP"/>
        </w:rPr>
        <w:t xml:space="preserve"> </w:t>
      </w:r>
      <w:r w:rsidR="00B75E4F">
        <w:t>SCS</w:t>
      </w:r>
      <w:r w:rsidR="00A10623" w:rsidRPr="00B916EC">
        <w:rPr>
          <w:lang w:eastAsia="ja-JP"/>
        </w:rPr>
        <w:t xml:space="preserve">: the first symbols of the candidate SS/PBCH blocks have indexes </w:t>
      </w:r>
      <m:oMath>
        <m:d>
          <m:dPr>
            <m:begChr m:val="{"/>
            <m:endChr m:val="}"/>
            <m:ctrlPr>
              <w:rPr>
                <w:rFonts w:ascii="Cambria Math" w:hAnsi="Cambria Math"/>
                <w:i/>
                <w:lang w:eastAsia="ja-JP"/>
              </w:rPr>
            </m:ctrlPr>
          </m:dPr>
          <m:e>
            <m:r>
              <w:rPr>
                <w:rFonts w:ascii="Cambria Math" w:hAnsi="Cambria Math"/>
                <w:lang w:eastAsia="ja-JP"/>
              </w:rPr>
              <m:t>4,8,16,20</m:t>
            </m:r>
          </m:e>
        </m:d>
        <m:r>
          <w:rPr>
            <w:rFonts w:ascii="Cambria Math"/>
          </w:rPr>
          <m:t>+28</m:t>
        </m:r>
        <m:r>
          <w:rPr>
            <w:rFonts w:ascii="Cambria Math" w:hAnsi="Cambria Math" w:cs="Cambria Math"/>
          </w:rPr>
          <m:t>⋅</m:t>
        </m:r>
        <m:r>
          <w:rPr>
            <w:rFonts w:ascii="Cambria Math"/>
          </w:rPr>
          <m:t>n</m:t>
        </m:r>
      </m:oMath>
      <w:r w:rsidR="00A10623" w:rsidRPr="00B916EC">
        <w:rPr>
          <w:lang w:eastAsia="ja-JP"/>
        </w:rPr>
        <w:t xml:space="preserve">. </w:t>
      </w:r>
      <w:r w:rsidR="00A10623" w:rsidRPr="00B916EC">
        <w:t xml:space="preserve">For carrier frequencies smaller than or equal to 3 GHz, </w:t>
      </w:r>
      <m:oMath>
        <m:r>
          <w:rPr>
            <w:rFonts w:ascii="Cambria Math"/>
          </w:rPr>
          <m:t>n=0</m:t>
        </m:r>
      </m:oMath>
      <w:r w:rsidR="00A10623" w:rsidRPr="00B916EC">
        <w:t>. For carrier frequencies</w:t>
      </w:r>
      <w:r w:rsidR="004917D8" w:rsidRPr="004917D8">
        <w:rPr>
          <w:lang w:val="en-US"/>
        </w:rPr>
        <w:t xml:space="preserve"> </w:t>
      </w:r>
      <w:r w:rsidR="004917D8">
        <w:rPr>
          <w:lang w:val="en-US"/>
        </w:rPr>
        <w:t>within FR1</w:t>
      </w:r>
      <w:r w:rsidR="00A10623" w:rsidRPr="00B916EC">
        <w:t xml:space="preserve"> larger than 3 GHz, </w:t>
      </w:r>
      <m:oMath>
        <m:r>
          <w:rPr>
            <w:rFonts w:ascii="Cambria Math"/>
          </w:rPr>
          <m:t>n=0,1</m:t>
        </m:r>
      </m:oMath>
      <w:r w:rsidR="00A10623" w:rsidRPr="00B916EC">
        <w:t>.</w:t>
      </w:r>
    </w:p>
    <w:p w14:paraId="37D6DD86" w14:textId="39FFF1E5" w:rsidR="006C70FD" w:rsidRDefault="00416A87" w:rsidP="006C70FD">
      <w:pPr>
        <w:pStyle w:val="B1"/>
        <w:rPr>
          <w:lang w:eastAsia="ja-JP"/>
        </w:rPr>
      </w:pPr>
      <w:r>
        <w:rPr>
          <w:lang w:eastAsia="ja-JP"/>
        </w:rPr>
        <w:t>-</w:t>
      </w:r>
      <w:r>
        <w:rPr>
          <w:lang w:eastAsia="ja-JP"/>
        </w:rPr>
        <w:tab/>
      </w:r>
      <w:r w:rsidR="00367982" w:rsidRPr="00B916EC">
        <w:rPr>
          <w:lang w:eastAsia="ja-JP"/>
        </w:rPr>
        <w:t xml:space="preserve">Case C - </w:t>
      </w:r>
      <w:r w:rsidR="00A10623" w:rsidRPr="00B916EC">
        <w:rPr>
          <w:lang w:eastAsia="ja-JP"/>
        </w:rPr>
        <w:t xml:space="preserve">30 </w:t>
      </w:r>
      <w:r w:rsidR="00E66246" w:rsidRPr="00B916EC">
        <w:rPr>
          <w:lang w:eastAsia="ja-JP"/>
        </w:rPr>
        <w:t>kHz</w:t>
      </w:r>
      <w:r w:rsidR="00A10623" w:rsidRPr="00B916EC">
        <w:rPr>
          <w:lang w:eastAsia="ja-JP"/>
        </w:rPr>
        <w:t xml:space="preserve"> </w:t>
      </w:r>
      <w:r w:rsidR="00B75E4F">
        <w:t>SCS</w:t>
      </w:r>
      <w:r w:rsidR="00A10623" w:rsidRPr="00B916EC">
        <w:rPr>
          <w:lang w:eastAsia="ja-JP"/>
        </w:rPr>
        <w:t xml:space="preserve">: the first symbols of the candidate SS/PBCH blocks have indexes </w:t>
      </w:r>
      <m:oMath>
        <m:d>
          <m:dPr>
            <m:begChr m:val="{"/>
            <m:endChr m:val="}"/>
            <m:ctrlPr>
              <w:rPr>
                <w:rFonts w:ascii="Cambria Math" w:hAnsi="Cambria Math"/>
                <w:i/>
                <w:lang w:eastAsia="ja-JP"/>
              </w:rPr>
            </m:ctrlPr>
          </m:dPr>
          <m:e>
            <m:r>
              <w:rPr>
                <w:rFonts w:ascii="Cambria Math" w:hAnsi="Cambria Math"/>
                <w:lang w:eastAsia="ja-JP"/>
              </w:rPr>
              <m:t>2,8</m:t>
            </m:r>
          </m:e>
        </m:d>
        <m:r>
          <w:rPr>
            <w:rFonts w:ascii="Cambria Math"/>
          </w:rPr>
          <m:t>+14</m:t>
        </m:r>
        <m:r>
          <w:rPr>
            <w:rFonts w:ascii="Cambria Math" w:hAnsi="Cambria Math" w:cs="Cambria Math"/>
          </w:rPr>
          <m:t>⋅</m:t>
        </m:r>
        <m:r>
          <w:rPr>
            <w:rFonts w:ascii="Cambria Math"/>
          </w:rPr>
          <m:t>n</m:t>
        </m:r>
      </m:oMath>
      <w:r w:rsidR="00A10623" w:rsidRPr="00B916EC">
        <w:rPr>
          <w:lang w:eastAsia="ja-JP"/>
        </w:rPr>
        <w:t xml:space="preserve">. </w:t>
      </w:r>
    </w:p>
    <w:p w14:paraId="48FD33B2" w14:textId="77777777" w:rsidR="00956FC0" w:rsidRPr="006C70FD" w:rsidRDefault="00956FC0" w:rsidP="0047180A">
      <w:pPr>
        <w:pStyle w:val="B2"/>
        <w:rPr>
          <w:rFonts w:eastAsiaTheme="minorEastAsia"/>
          <w:lang w:val="en-GB" w:eastAsia="zh-CN"/>
        </w:rPr>
      </w:pPr>
      <w:r>
        <w:rPr>
          <w:rFonts w:eastAsiaTheme="minorEastAsia"/>
          <w:lang w:eastAsia="ja-JP"/>
        </w:rPr>
        <w:t>-</w:t>
      </w:r>
      <w:r>
        <w:rPr>
          <w:rFonts w:eastAsiaTheme="minorEastAsia"/>
          <w:lang w:eastAsia="ja-JP"/>
        </w:rPr>
        <w:tab/>
      </w:r>
      <w:r w:rsidRPr="006C70FD">
        <w:rPr>
          <w:rFonts w:eastAsiaTheme="minorEastAsia"/>
          <w:lang w:eastAsia="ja-JP"/>
        </w:rPr>
        <w:t>F</w:t>
      </w:r>
      <w:r w:rsidRPr="006C70FD">
        <w:rPr>
          <w:rFonts w:eastAsiaTheme="minorEastAsia" w:hint="eastAsia"/>
          <w:lang w:eastAsia="ja-JP"/>
        </w:rPr>
        <w:t xml:space="preserve">or </w:t>
      </w:r>
      <w:r>
        <w:rPr>
          <w:lang w:eastAsia="ja-JP"/>
        </w:rPr>
        <w:t>operation without shared spectrum channel access</w:t>
      </w:r>
    </w:p>
    <w:p w14:paraId="34B52196" w14:textId="77777777" w:rsidR="006C70FD" w:rsidRPr="006C70FD" w:rsidRDefault="006C70FD" w:rsidP="0047180A">
      <w:pPr>
        <w:pStyle w:val="B3"/>
        <w:rPr>
          <w:rFonts w:eastAsiaTheme="minorEastAsia"/>
          <w:lang w:eastAsia="ja-JP"/>
        </w:rPr>
      </w:pPr>
      <w:r>
        <w:rPr>
          <w:rFonts w:eastAsiaTheme="minorEastAsia"/>
          <w:lang w:eastAsia="ja-JP"/>
        </w:rPr>
        <w:t>-</w:t>
      </w:r>
      <w:r>
        <w:rPr>
          <w:rFonts w:eastAsiaTheme="minorEastAsia"/>
          <w:lang w:eastAsia="ja-JP"/>
        </w:rPr>
        <w:tab/>
      </w:r>
      <w:r w:rsidRPr="006C70FD">
        <w:rPr>
          <w:rFonts w:eastAsiaTheme="minorEastAsia"/>
          <w:lang w:eastAsia="ja-JP"/>
        </w:rPr>
        <w:t>F</w:t>
      </w:r>
      <w:r w:rsidRPr="006C70FD">
        <w:rPr>
          <w:rFonts w:eastAsiaTheme="minorEastAsia" w:hint="eastAsia"/>
          <w:lang w:eastAsia="ja-JP"/>
        </w:rPr>
        <w:t xml:space="preserve">or paired </w:t>
      </w:r>
      <w:r w:rsidRPr="006C70FD">
        <w:rPr>
          <w:rFonts w:eastAsiaTheme="minorEastAsia"/>
          <w:lang w:eastAsia="ja-JP"/>
        </w:rPr>
        <w:t>spectrum</w:t>
      </w:r>
      <w:r w:rsidRPr="006C70FD">
        <w:rPr>
          <w:rFonts w:eastAsiaTheme="minorEastAsia" w:hint="eastAsia"/>
          <w:lang w:eastAsia="ja-JP"/>
        </w:rPr>
        <w:t xml:space="preserve"> operation</w:t>
      </w:r>
    </w:p>
    <w:p w14:paraId="23D63CE1" w14:textId="487CA7B3" w:rsidR="006C70FD" w:rsidRPr="006C70FD" w:rsidRDefault="006C70FD" w:rsidP="0047180A">
      <w:pPr>
        <w:pStyle w:val="B4"/>
        <w:rPr>
          <w:rFonts w:eastAsiaTheme="minorEastAsia"/>
        </w:rPr>
      </w:pPr>
      <w:r>
        <w:t>-</w:t>
      </w:r>
      <w:r>
        <w:tab/>
      </w:r>
      <w:r w:rsidR="00A10623" w:rsidRPr="00B916EC">
        <w:t xml:space="preserve">For carrier frequencies smaller than or equal to 3 GHz, </w:t>
      </w:r>
      <m:oMath>
        <m:r>
          <w:rPr>
            <w:rFonts w:ascii="Cambria Math"/>
          </w:rPr>
          <m:t>n=0,1</m:t>
        </m:r>
      </m:oMath>
      <w:r w:rsidR="00A10623" w:rsidRPr="00B916EC">
        <w:t>. For carrier frequencies</w:t>
      </w:r>
      <w:r w:rsidR="004917D8" w:rsidRPr="004917D8">
        <w:rPr>
          <w:lang w:val="en-US"/>
        </w:rPr>
        <w:t xml:space="preserve"> </w:t>
      </w:r>
      <w:r w:rsidR="004917D8">
        <w:rPr>
          <w:lang w:val="en-US"/>
        </w:rPr>
        <w:t>within FR1</w:t>
      </w:r>
      <w:r w:rsidR="00A10623" w:rsidRPr="00B916EC">
        <w:t xml:space="preserve"> larger than 3 GHz, </w:t>
      </w:r>
      <m:oMath>
        <m:r>
          <w:rPr>
            <w:rFonts w:ascii="Cambria Math"/>
          </w:rPr>
          <m:t>n=0,1,2,3</m:t>
        </m:r>
      </m:oMath>
      <w:r w:rsidR="00A10623" w:rsidRPr="00B916EC">
        <w:t>.</w:t>
      </w:r>
      <w:r w:rsidRPr="006C70FD">
        <w:rPr>
          <w:rFonts w:eastAsiaTheme="minorEastAsia"/>
        </w:rPr>
        <w:t xml:space="preserve"> </w:t>
      </w:r>
    </w:p>
    <w:p w14:paraId="6CEA3EDB" w14:textId="6395D4B0" w:rsidR="006C70FD" w:rsidRPr="006C70FD" w:rsidRDefault="006C70FD" w:rsidP="0047180A">
      <w:pPr>
        <w:pStyle w:val="B3"/>
        <w:rPr>
          <w:rFonts w:eastAsiaTheme="minorEastAsia"/>
          <w:lang w:eastAsia="ja-JP"/>
        </w:rPr>
      </w:pPr>
      <w:r>
        <w:rPr>
          <w:rFonts w:eastAsiaTheme="minorEastAsia"/>
          <w:lang w:eastAsia="ja-JP"/>
        </w:rPr>
        <w:t>-</w:t>
      </w:r>
      <w:r>
        <w:rPr>
          <w:rFonts w:eastAsiaTheme="minorEastAsia"/>
          <w:lang w:eastAsia="ja-JP"/>
        </w:rPr>
        <w:tab/>
      </w:r>
      <w:r w:rsidRPr="006C70FD">
        <w:rPr>
          <w:rFonts w:eastAsiaTheme="minorEastAsia"/>
          <w:lang w:eastAsia="ja-JP"/>
        </w:rPr>
        <w:t>F</w:t>
      </w:r>
      <w:r w:rsidRPr="006C70FD">
        <w:rPr>
          <w:rFonts w:eastAsiaTheme="minorEastAsia" w:hint="eastAsia"/>
          <w:lang w:eastAsia="ja-JP"/>
        </w:rPr>
        <w:t xml:space="preserve">or </w:t>
      </w:r>
      <w:r w:rsidRPr="006C70FD">
        <w:rPr>
          <w:rFonts w:eastAsiaTheme="minorEastAsia" w:hint="eastAsia"/>
          <w:lang w:eastAsia="zh-CN"/>
        </w:rPr>
        <w:t>un</w:t>
      </w:r>
      <w:r w:rsidRPr="006C70FD">
        <w:rPr>
          <w:rFonts w:eastAsiaTheme="minorEastAsia" w:hint="eastAsia"/>
          <w:lang w:eastAsia="ja-JP"/>
        </w:rPr>
        <w:t xml:space="preserve">paired </w:t>
      </w:r>
      <w:r w:rsidRPr="006C70FD">
        <w:rPr>
          <w:rFonts w:eastAsiaTheme="minorEastAsia"/>
          <w:lang w:eastAsia="ja-JP"/>
        </w:rPr>
        <w:t>spectrum</w:t>
      </w:r>
      <w:r w:rsidRPr="006C70FD">
        <w:rPr>
          <w:rFonts w:eastAsiaTheme="minorEastAsia" w:hint="eastAsia"/>
          <w:lang w:eastAsia="ja-JP"/>
        </w:rPr>
        <w:t xml:space="preserve"> operation</w:t>
      </w:r>
    </w:p>
    <w:p w14:paraId="717A3D75" w14:textId="67972251" w:rsidR="006C70FD" w:rsidRDefault="006C70FD" w:rsidP="0047180A">
      <w:pPr>
        <w:pStyle w:val="B4"/>
        <w:rPr>
          <w:rFonts w:eastAsiaTheme="minorEastAsia"/>
        </w:rPr>
      </w:pPr>
      <w:r>
        <w:rPr>
          <w:rFonts w:eastAsiaTheme="minorEastAsia"/>
        </w:rPr>
        <w:t>-</w:t>
      </w:r>
      <w:r>
        <w:rPr>
          <w:rFonts w:eastAsiaTheme="minorEastAsia"/>
        </w:rPr>
        <w:tab/>
      </w:r>
      <w:r w:rsidRPr="006C70FD">
        <w:rPr>
          <w:rFonts w:eastAsiaTheme="minorEastAsia"/>
        </w:rPr>
        <w:t xml:space="preserve">For carrier frequencies smaller than </w:t>
      </w:r>
      <w:r w:rsidR="00BF5BD2">
        <w:t>1.88</w:t>
      </w:r>
      <w:r w:rsidRPr="006C70FD">
        <w:rPr>
          <w:rFonts w:eastAsiaTheme="minorEastAsia"/>
        </w:rPr>
        <w:t xml:space="preserve"> GHz, </w:t>
      </w:r>
      <m:oMath>
        <m:r>
          <w:rPr>
            <w:rFonts w:ascii="Cambria Math"/>
          </w:rPr>
          <m:t>n=0,1</m:t>
        </m:r>
      </m:oMath>
      <w:r w:rsidRPr="006C70FD">
        <w:rPr>
          <w:rFonts w:eastAsiaTheme="minorEastAsia"/>
        </w:rPr>
        <w:t>. For carrier frequencies</w:t>
      </w:r>
      <w:r w:rsidR="004917D8" w:rsidRPr="004917D8">
        <w:rPr>
          <w:lang w:val="en-US"/>
        </w:rPr>
        <w:t xml:space="preserve"> </w:t>
      </w:r>
      <w:r w:rsidR="004917D8">
        <w:rPr>
          <w:lang w:val="en-US"/>
        </w:rPr>
        <w:t>within FR1</w:t>
      </w:r>
      <w:r w:rsidRPr="006C70FD">
        <w:rPr>
          <w:rFonts w:eastAsiaTheme="minorEastAsia"/>
        </w:rPr>
        <w:t xml:space="preserve"> </w:t>
      </w:r>
      <w:r w:rsidR="00BF5BD2">
        <w:t xml:space="preserve">equal to or </w:t>
      </w:r>
      <w:r w:rsidRPr="006C70FD">
        <w:rPr>
          <w:rFonts w:eastAsiaTheme="minorEastAsia"/>
        </w:rPr>
        <w:t xml:space="preserve">larger than </w:t>
      </w:r>
      <w:r w:rsidR="00BF5BD2">
        <w:t>1.88</w:t>
      </w:r>
      <w:r w:rsidRPr="006C70FD">
        <w:rPr>
          <w:rFonts w:eastAsiaTheme="minorEastAsia"/>
        </w:rPr>
        <w:t xml:space="preserve"> GHz, </w:t>
      </w:r>
      <m:oMath>
        <m:r>
          <w:rPr>
            <w:rFonts w:ascii="Cambria Math"/>
          </w:rPr>
          <m:t>n=0,1,2,3</m:t>
        </m:r>
      </m:oMath>
      <w:r w:rsidRPr="006C70FD">
        <w:rPr>
          <w:rFonts w:eastAsiaTheme="minorEastAsia"/>
        </w:rPr>
        <w:t>.</w:t>
      </w:r>
    </w:p>
    <w:p w14:paraId="7994B2E7" w14:textId="77777777" w:rsidR="00956FC0" w:rsidRPr="00B916EC" w:rsidRDefault="00956FC0" w:rsidP="0047180A">
      <w:pPr>
        <w:pStyle w:val="B2"/>
        <w:rPr>
          <w:lang w:eastAsia="ja-JP"/>
        </w:rPr>
      </w:pPr>
      <w:r>
        <w:rPr>
          <w:rFonts w:eastAsiaTheme="minorEastAsia"/>
          <w:lang w:eastAsia="ja-JP"/>
        </w:rPr>
        <w:t>-</w:t>
      </w:r>
      <w:r>
        <w:rPr>
          <w:rFonts w:eastAsiaTheme="minorEastAsia"/>
          <w:lang w:eastAsia="ja-JP"/>
        </w:rPr>
        <w:tab/>
      </w:r>
      <w:r w:rsidRPr="006C70FD">
        <w:rPr>
          <w:rFonts w:eastAsiaTheme="minorEastAsia"/>
          <w:lang w:eastAsia="ja-JP"/>
        </w:rPr>
        <w:t>F</w:t>
      </w:r>
      <w:r w:rsidRPr="006C70FD">
        <w:rPr>
          <w:rFonts w:eastAsiaTheme="minorEastAsia" w:hint="eastAsia"/>
          <w:lang w:eastAsia="ja-JP"/>
        </w:rPr>
        <w:t xml:space="preserve">or </w:t>
      </w:r>
      <w:r>
        <w:rPr>
          <w:lang w:eastAsia="ja-JP"/>
        </w:rPr>
        <w:t xml:space="preserve">operation with shared spectrum channel access, </w:t>
      </w:r>
      <m:oMath>
        <m:r>
          <w:rPr>
            <w:rFonts w:ascii="Cambria Math"/>
          </w:rPr>
          <m:t>n=0,</m:t>
        </m:r>
        <m:r>
          <m:rPr>
            <m:sty m:val="p"/>
          </m:rPr>
          <w:rPr>
            <w:rFonts w:ascii="Cambria Math"/>
          </w:rPr>
          <m:t xml:space="preserve"> </m:t>
        </m:r>
        <m:r>
          <w:rPr>
            <w:rFonts w:ascii="Cambria Math"/>
          </w:rPr>
          <m:t>1,</m:t>
        </m:r>
        <m:r>
          <m:rPr>
            <m:sty m:val="p"/>
          </m:rPr>
          <w:rPr>
            <w:rFonts w:ascii="Cambria Math"/>
          </w:rPr>
          <m:t xml:space="preserve"> </m:t>
        </m:r>
        <m:r>
          <w:rPr>
            <w:rFonts w:ascii="Cambria Math"/>
          </w:rPr>
          <m:t>2,</m:t>
        </m:r>
        <m:r>
          <m:rPr>
            <m:sty m:val="p"/>
          </m:rPr>
          <w:rPr>
            <w:rFonts w:ascii="Cambria Math"/>
          </w:rPr>
          <m:t xml:space="preserve"> </m:t>
        </m:r>
        <m:r>
          <w:rPr>
            <w:rFonts w:ascii="Cambria Math"/>
          </w:rPr>
          <m:t>3, 4, 5, 6, 7, 8, 9</m:t>
        </m:r>
      </m:oMath>
      <w:r>
        <w:rPr>
          <w:iCs/>
        </w:rPr>
        <w:t>.</w:t>
      </w:r>
    </w:p>
    <w:p w14:paraId="58A03C6E" w14:textId="2C0C6BA6" w:rsidR="00A10623" w:rsidRPr="00B916EC" w:rsidRDefault="00416A87" w:rsidP="00416A87">
      <w:pPr>
        <w:pStyle w:val="B1"/>
        <w:rPr>
          <w:lang w:eastAsia="ja-JP"/>
        </w:rPr>
      </w:pPr>
      <w:r>
        <w:rPr>
          <w:lang w:eastAsia="ja-JP"/>
        </w:rPr>
        <w:t>-</w:t>
      </w:r>
      <w:r>
        <w:rPr>
          <w:lang w:eastAsia="ja-JP"/>
        </w:rPr>
        <w:tab/>
      </w:r>
      <w:r w:rsidR="00367982" w:rsidRPr="00B916EC">
        <w:rPr>
          <w:lang w:eastAsia="ja-JP"/>
        </w:rPr>
        <w:t xml:space="preserve">Case D - </w:t>
      </w:r>
      <w:r w:rsidR="00A10623" w:rsidRPr="00B916EC">
        <w:rPr>
          <w:lang w:eastAsia="ja-JP"/>
        </w:rPr>
        <w:t xml:space="preserve">120 </w:t>
      </w:r>
      <w:r w:rsidR="00E66246" w:rsidRPr="00B916EC">
        <w:rPr>
          <w:lang w:eastAsia="ja-JP"/>
        </w:rPr>
        <w:t>kHz</w:t>
      </w:r>
      <w:r w:rsidR="00A10623" w:rsidRPr="00B916EC">
        <w:rPr>
          <w:lang w:eastAsia="ja-JP"/>
        </w:rPr>
        <w:t xml:space="preserve"> </w:t>
      </w:r>
      <w:r w:rsidR="00B75E4F">
        <w:t>SCS</w:t>
      </w:r>
      <w:r w:rsidR="00A10623" w:rsidRPr="00B916EC">
        <w:rPr>
          <w:lang w:eastAsia="ja-JP"/>
        </w:rPr>
        <w:t xml:space="preserve">: the first symbols of the candidate SS/PBCH blocks have indexes </w:t>
      </w:r>
      <m:oMath>
        <m:d>
          <m:dPr>
            <m:begChr m:val="{"/>
            <m:endChr m:val="}"/>
            <m:ctrlPr>
              <w:rPr>
                <w:rFonts w:ascii="Cambria Math" w:hAnsi="Cambria Math"/>
                <w:i/>
                <w:lang w:eastAsia="ja-JP"/>
              </w:rPr>
            </m:ctrlPr>
          </m:dPr>
          <m:e>
            <m:r>
              <w:rPr>
                <w:rFonts w:ascii="Cambria Math" w:hAnsi="Cambria Math"/>
                <w:lang w:eastAsia="ja-JP"/>
              </w:rPr>
              <m:t>4,8,16,20</m:t>
            </m:r>
          </m:e>
        </m:d>
        <m:r>
          <w:rPr>
            <w:rFonts w:ascii="Cambria Math"/>
          </w:rPr>
          <m:t>+28</m:t>
        </m:r>
        <m:r>
          <w:rPr>
            <w:rFonts w:ascii="Cambria Math" w:hAnsi="Cambria Math" w:cs="Cambria Math"/>
          </w:rPr>
          <m:t>⋅</m:t>
        </m:r>
        <m:r>
          <w:rPr>
            <w:rFonts w:ascii="Cambria Math"/>
          </w:rPr>
          <m:t>n</m:t>
        </m:r>
      </m:oMath>
      <w:r w:rsidR="00A10623" w:rsidRPr="00B916EC">
        <w:t xml:space="preserve">. For carrier frequencies </w:t>
      </w:r>
      <w:r w:rsidR="004917D8">
        <w:rPr>
          <w:lang w:val="en-US"/>
        </w:rPr>
        <w:t>within FR2</w:t>
      </w:r>
      <w:r w:rsidR="00A10623" w:rsidRPr="00B916EC">
        <w:t xml:space="preserve">, </w:t>
      </w:r>
      <m:oMath>
        <m:r>
          <w:rPr>
            <w:rFonts w:ascii="Cambria Math"/>
          </w:rPr>
          <m:t>n=0,</m:t>
        </m:r>
        <m:r>
          <m:rPr>
            <m:sty m:val="p"/>
          </m:rPr>
          <w:rPr>
            <w:rFonts w:ascii="Cambria Math"/>
          </w:rPr>
          <m:t xml:space="preserve"> </m:t>
        </m:r>
        <m:r>
          <w:rPr>
            <w:rFonts w:ascii="Cambria Math"/>
          </w:rPr>
          <m:t>1,</m:t>
        </m:r>
        <m:r>
          <m:rPr>
            <m:sty m:val="p"/>
          </m:rPr>
          <w:rPr>
            <w:rFonts w:ascii="Cambria Math"/>
          </w:rPr>
          <m:t xml:space="preserve"> </m:t>
        </m:r>
        <m:r>
          <w:rPr>
            <w:rFonts w:ascii="Cambria Math"/>
          </w:rPr>
          <m:t>2,</m:t>
        </m:r>
        <m:r>
          <m:rPr>
            <m:sty m:val="p"/>
          </m:rPr>
          <w:rPr>
            <w:rFonts w:ascii="Cambria Math"/>
          </w:rPr>
          <m:t xml:space="preserve"> </m:t>
        </m:r>
        <m:r>
          <w:rPr>
            <w:rFonts w:ascii="Cambria Math"/>
          </w:rPr>
          <m:t>3, 5, 6, 7, 8, 10, 11, 12, 13, 15, 16, 17, 18</m:t>
        </m:r>
      </m:oMath>
      <w:r w:rsidR="00A10623" w:rsidRPr="00B916EC">
        <w:rPr>
          <w:lang w:eastAsia="ja-JP"/>
        </w:rPr>
        <w:t>.</w:t>
      </w:r>
    </w:p>
    <w:p w14:paraId="163B3330" w14:textId="738A7A32" w:rsidR="007341F4" w:rsidRPr="00B916EC" w:rsidRDefault="00416A87" w:rsidP="00416A87">
      <w:pPr>
        <w:pStyle w:val="B1"/>
      </w:pPr>
      <w:r>
        <w:rPr>
          <w:lang w:eastAsia="ja-JP"/>
        </w:rPr>
        <w:t>-</w:t>
      </w:r>
      <w:r>
        <w:rPr>
          <w:lang w:eastAsia="ja-JP"/>
        </w:rPr>
        <w:tab/>
      </w:r>
      <w:r w:rsidR="00367982" w:rsidRPr="00B916EC">
        <w:rPr>
          <w:lang w:eastAsia="ja-JP"/>
        </w:rPr>
        <w:t xml:space="preserve">Case E - </w:t>
      </w:r>
      <w:r w:rsidR="00A10623" w:rsidRPr="00B916EC">
        <w:rPr>
          <w:lang w:eastAsia="ja-JP"/>
        </w:rPr>
        <w:t xml:space="preserve">240 </w:t>
      </w:r>
      <w:r w:rsidR="00E66246" w:rsidRPr="00B916EC">
        <w:rPr>
          <w:lang w:eastAsia="ja-JP"/>
        </w:rPr>
        <w:t>kHz</w:t>
      </w:r>
      <w:r w:rsidR="00A10623" w:rsidRPr="00B916EC">
        <w:rPr>
          <w:lang w:eastAsia="ja-JP"/>
        </w:rPr>
        <w:t xml:space="preserve"> </w:t>
      </w:r>
      <w:r w:rsidR="00B75E4F">
        <w:t>SCS</w:t>
      </w:r>
      <w:r w:rsidR="00A10623" w:rsidRPr="00B916EC">
        <w:rPr>
          <w:lang w:eastAsia="ja-JP"/>
        </w:rPr>
        <w:t xml:space="preserve">: the first symbols of the candidate SS/PBCH blocks have indexes </w:t>
      </w:r>
      <m:oMath>
        <m:d>
          <m:dPr>
            <m:begChr m:val="{"/>
            <m:endChr m:val="}"/>
            <m:ctrlPr>
              <w:rPr>
                <w:rFonts w:ascii="Cambria Math" w:hAnsi="Cambria Math"/>
                <w:i/>
                <w:lang w:eastAsia="ja-JP"/>
              </w:rPr>
            </m:ctrlPr>
          </m:dPr>
          <m:e>
            <m:r>
              <w:rPr>
                <w:rFonts w:ascii="Cambria Math" w:hAnsi="Cambria Math"/>
                <w:lang w:eastAsia="ja-JP"/>
              </w:rPr>
              <m:t>8,12,16,20,32,36,40,44</m:t>
            </m:r>
          </m:e>
        </m:d>
        <m:r>
          <w:rPr>
            <w:rFonts w:ascii="Cambria Math"/>
          </w:rPr>
          <m:t>+56</m:t>
        </m:r>
        <m:r>
          <w:rPr>
            <w:rFonts w:ascii="Cambria Math" w:hAnsi="Cambria Math" w:cs="Cambria Math"/>
          </w:rPr>
          <m:t>⋅</m:t>
        </m:r>
        <m:r>
          <w:rPr>
            <w:rFonts w:ascii="Cambria Math"/>
          </w:rPr>
          <m:t>n</m:t>
        </m:r>
      </m:oMath>
      <w:r w:rsidR="00A10623" w:rsidRPr="00B916EC">
        <w:rPr>
          <w:lang w:eastAsia="ja-JP"/>
        </w:rPr>
        <w:t xml:space="preserve">. </w:t>
      </w:r>
      <w:r w:rsidR="00A10623" w:rsidRPr="00B916EC">
        <w:t xml:space="preserve">For carrier frequencies </w:t>
      </w:r>
      <w:r w:rsidR="004917D8">
        <w:rPr>
          <w:lang w:val="en-US"/>
        </w:rPr>
        <w:t>within FR2</w:t>
      </w:r>
      <w:r w:rsidR="00957155" w:rsidRPr="00B27E56">
        <w:rPr>
          <w:lang w:val="en-US"/>
        </w:rPr>
        <w:t>-1</w:t>
      </w:r>
      <w:r w:rsidR="00A10623" w:rsidRPr="00B916EC">
        <w:t xml:space="preserve">, </w:t>
      </w:r>
      <m:oMath>
        <m:r>
          <w:rPr>
            <w:rFonts w:ascii="Cambria Math"/>
          </w:rPr>
          <m:t>n=0,</m:t>
        </m:r>
        <m:r>
          <m:rPr>
            <m:sty m:val="p"/>
          </m:rPr>
          <w:rPr>
            <w:rFonts w:ascii="Cambria Math"/>
          </w:rPr>
          <m:t xml:space="preserve"> </m:t>
        </m:r>
        <m:r>
          <w:rPr>
            <w:rFonts w:ascii="Cambria Math"/>
          </w:rPr>
          <m:t>1,</m:t>
        </m:r>
        <m:r>
          <m:rPr>
            <m:sty m:val="p"/>
          </m:rPr>
          <w:rPr>
            <w:rFonts w:ascii="Cambria Math"/>
          </w:rPr>
          <m:t xml:space="preserve"> </m:t>
        </m:r>
        <m:r>
          <w:rPr>
            <w:rFonts w:ascii="Cambria Math"/>
          </w:rPr>
          <m:t>2,</m:t>
        </m:r>
        <m:r>
          <m:rPr>
            <m:sty m:val="p"/>
          </m:rPr>
          <w:rPr>
            <w:rFonts w:ascii="Cambria Math"/>
          </w:rPr>
          <m:t xml:space="preserve"> </m:t>
        </m:r>
        <m:r>
          <w:rPr>
            <w:rFonts w:ascii="Cambria Math"/>
          </w:rPr>
          <m:t>3, 5, 6, 7, 8</m:t>
        </m:r>
      </m:oMath>
      <w:r w:rsidR="00A10623" w:rsidRPr="00B916EC">
        <w:t>.</w:t>
      </w:r>
    </w:p>
    <w:p w14:paraId="2D4A3EA0" w14:textId="77777777" w:rsidR="00957155" w:rsidRPr="00B27E56" w:rsidRDefault="00957155" w:rsidP="00957155">
      <w:pPr>
        <w:pStyle w:val="B1"/>
        <w:rPr>
          <w:lang w:val="en-US"/>
        </w:rPr>
      </w:pPr>
      <w:r w:rsidRPr="00B27E56">
        <w:rPr>
          <w:lang w:val="en-US"/>
        </w:rPr>
        <w:t>-</w:t>
      </w:r>
      <w:r w:rsidRPr="00B27E56">
        <w:rPr>
          <w:lang w:val="en-US"/>
        </w:rPr>
        <w:tab/>
        <w:t xml:space="preserve">Case F – 480 kHz SCS: the first symbols of the candidate SS/PBCH blocks have indexes </w:t>
      </w:r>
      <m:oMath>
        <m:d>
          <m:dPr>
            <m:begChr m:val="{"/>
            <m:endChr m:val="}"/>
            <m:ctrlPr>
              <w:rPr>
                <w:rFonts w:ascii="Cambria Math" w:hAnsi="Cambria Math"/>
                <w:i/>
                <w:lang w:val="en-US"/>
              </w:rPr>
            </m:ctrlPr>
          </m:dPr>
          <m:e>
            <m:r>
              <w:rPr>
                <w:rFonts w:ascii="Cambria Math" w:hAnsi="Cambria Math"/>
                <w:lang w:val="en-US"/>
              </w:rPr>
              <m:t>2, 9</m:t>
            </m:r>
          </m:e>
        </m:d>
        <m:r>
          <w:rPr>
            <w:rFonts w:ascii="Cambria Math" w:hAnsi="Cambria Math"/>
            <w:lang w:val="en-US"/>
          </w:rPr>
          <m:t>+14⋅n</m:t>
        </m:r>
      </m:oMath>
      <w:r w:rsidRPr="00B27E56">
        <w:rPr>
          <w:lang w:val="en-US"/>
        </w:rPr>
        <w:t xml:space="preserve">. </w:t>
      </w:r>
      <w:r w:rsidRPr="00B27E56">
        <w:t xml:space="preserve">For carrier frequencies </w:t>
      </w:r>
      <w:r w:rsidRPr="00B27E56">
        <w:rPr>
          <w:lang w:val="en-US"/>
        </w:rPr>
        <w:t xml:space="preserve">within FR2-2, </w:t>
      </w:r>
      <m:oMath>
        <m:r>
          <w:rPr>
            <w:rFonts w:ascii="Cambria Math" w:hAnsi="Cambria Math"/>
            <w:lang w:val="en-US"/>
          </w:rPr>
          <m:t>n=0, 1, 2, 3, 4, 5, 6, 7, 8, 9, 10, 11, 12, 13, 14, 15, 16, 17, 18, 19, 20, 21, 22, 23, 24, 25, 26, 27, 28, 29, 30, 31.</m:t>
        </m:r>
      </m:oMath>
      <w:r w:rsidRPr="00B27E56">
        <w:rPr>
          <w:lang w:val="en-US"/>
        </w:rPr>
        <w:t xml:space="preserve"> </w:t>
      </w:r>
    </w:p>
    <w:p w14:paraId="14513B79" w14:textId="77777777" w:rsidR="00957155" w:rsidRPr="00B27E56" w:rsidRDefault="00957155" w:rsidP="00957155">
      <w:pPr>
        <w:pStyle w:val="B1"/>
        <w:rPr>
          <w:lang w:val="en-US"/>
        </w:rPr>
      </w:pPr>
      <w:r w:rsidRPr="00B27E56">
        <w:rPr>
          <w:lang w:val="en-US"/>
        </w:rPr>
        <w:t>-</w:t>
      </w:r>
      <w:r w:rsidRPr="00B27E56">
        <w:rPr>
          <w:lang w:val="en-US"/>
        </w:rPr>
        <w:tab/>
        <w:t xml:space="preserve">Case G – 960 kHz SCS: the first symbols of the candidate SS/PBCH blocks have indexes </w:t>
      </w:r>
      <m:oMath>
        <m:d>
          <m:dPr>
            <m:begChr m:val="{"/>
            <m:endChr m:val="}"/>
            <m:ctrlPr>
              <w:rPr>
                <w:rFonts w:ascii="Cambria Math" w:hAnsi="Cambria Math"/>
                <w:i/>
                <w:lang w:val="en-US"/>
              </w:rPr>
            </m:ctrlPr>
          </m:dPr>
          <m:e>
            <m:r>
              <w:rPr>
                <w:rFonts w:ascii="Cambria Math" w:hAnsi="Cambria Math"/>
                <w:lang w:val="en-US"/>
              </w:rPr>
              <m:t>2, 9</m:t>
            </m:r>
          </m:e>
        </m:d>
        <m:r>
          <w:rPr>
            <w:rFonts w:ascii="Cambria Math" w:hAnsi="Cambria Math"/>
            <w:lang w:val="en-US"/>
          </w:rPr>
          <m:t>+14⋅n</m:t>
        </m:r>
      </m:oMath>
      <w:r w:rsidRPr="00B27E56">
        <w:rPr>
          <w:lang w:val="en-US"/>
        </w:rPr>
        <w:t xml:space="preserve">. </w:t>
      </w:r>
      <w:r w:rsidRPr="00B27E56">
        <w:t xml:space="preserve">For carrier frequencies </w:t>
      </w:r>
      <w:r w:rsidRPr="00B27E56">
        <w:rPr>
          <w:lang w:val="en-US"/>
        </w:rPr>
        <w:t xml:space="preserve">within FR2-2, </w:t>
      </w:r>
      <m:oMath>
        <m:r>
          <w:rPr>
            <w:rFonts w:ascii="Cambria Math" w:hAnsi="Cambria Math"/>
            <w:lang w:val="en-US"/>
          </w:rPr>
          <m:t>n=0, 1, 2, 3, 4, 5, 6, 7, 8, 9, 10, 11, 12, 13, 14, 15, 16, 17, 18, 19, 20, 21, 22, 23, 24, 25, 26, 27, 28, 29, 30, 31.</m:t>
        </m:r>
      </m:oMath>
    </w:p>
    <w:p w14:paraId="78276923" w14:textId="77777777" w:rsidR="005E4D60" w:rsidRPr="00AB72D2" w:rsidRDefault="005E4D60" w:rsidP="005E4D60">
      <w:pPr>
        <w:rPr>
          <w:lang w:val="en-US"/>
        </w:rPr>
      </w:pPr>
      <w:r w:rsidRPr="00B778C7">
        <w:lastRenderedPageBreak/>
        <w:t xml:space="preserve">From the above cases, </w:t>
      </w:r>
      <w:r w:rsidR="008B47F5" w:rsidRPr="00162E2F">
        <w:t xml:space="preserve">if the </w:t>
      </w:r>
      <w:r w:rsidR="00B75E4F">
        <w:t>SCS</w:t>
      </w:r>
      <w:r w:rsidR="008B47F5" w:rsidRPr="00162E2F">
        <w:t xml:space="preserve"> of SS/PB</w:t>
      </w:r>
      <w:r w:rsidR="008B47F5">
        <w:t>CH blocks is not provided by</w:t>
      </w:r>
      <w:r w:rsidR="008B47F5" w:rsidRPr="00162E2F">
        <w:t xml:space="preserve"> </w:t>
      </w:r>
      <w:r w:rsidR="009439A4">
        <w:rPr>
          <w:i/>
        </w:rPr>
        <w:t>ssbS</w:t>
      </w:r>
      <w:r w:rsidR="008B47F5" w:rsidRPr="00162E2F">
        <w:rPr>
          <w:i/>
        </w:rPr>
        <w:t>ubcarrierSpacing</w:t>
      </w:r>
      <w:r w:rsidR="008B47F5" w:rsidRPr="00162E2F">
        <w:t xml:space="preserve">, </w:t>
      </w:r>
      <w:r w:rsidRPr="00B778C7">
        <w:t xml:space="preserve">the applicable </w:t>
      </w:r>
      <w:r w:rsidR="008B47F5">
        <w:t>cases</w:t>
      </w:r>
      <w:r w:rsidRPr="00B778C7">
        <w:t xml:space="preserve"> for a cell depend on a respective frequency band, as provided in [8-1, TS 38.101-1] and [8-2, TS 38.101-2]. A same case applies for all SS/PBCH blocks on the cell.</w:t>
      </w:r>
      <w:r w:rsidR="008B47F5">
        <w:t xml:space="preserve"> </w:t>
      </w:r>
      <w:r w:rsidR="008B47F5" w:rsidRPr="00162E2F">
        <w:t>If a 30</w:t>
      </w:r>
      <w:r w:rsidR="008B47F5">
        <w:t xml:space="preserve"> </w:t>
      </w:r>
      <w:r w:rsidR="008B47F5" w:rsidRPr="00162E2F">
        <w:t xml:space="preserve">kHz SS/PBCH block </w:t>
      </w:r>
      <w:r w:rsidR="00B75E4F">
        <w:t>SCS</w:t>
      </w:r>
      <w:r w:rsidR="008B47F5" w:rsidRPr="00162E2F">
        <w:t xml:space="preserve"> is indicated by </w:t>
      </w:r>
      <w:r w:rsidR="009439A4">
        <w:rPr>
          <w:i/>
        </w:rPr>
        <w:t>ssbS</w:t>
      </w:r>
      <w:r w:rsidR="008B47F5" w:rsidRPr="00162E2F">
        <w:rPr>
          <w:i/>
        </w:rPr>
        <w:t>ubcarrierSpacing</w:t>
      </w:r>
      <w:r w:rsidR="008B47F5" w:rsidRPr="00162E2F">
        <w:t>, Case B applies for frequency bands with only 15</w:t>
      </w:r>
      <w:r w:rsidR="008B47F5">
        <w:t xml:space="preserve"> </w:t>
      </w:r>
      <w:r w:rsidR="008B47F5" w:rsidRPr="00162E2F">
        <w:t xml:space="preserve">kHz SS/PBCH block </w:t>
      </w:r>
      <w:r w:rsidR="00941C30">
        <w:t>SCS</w:t>
      </w:r>
      <w:r w:rsidR="008B47F5" w:rsidRPr="00162E2F">
        <w:t xml:space="preserve"> as specified in [8-1, TS 38.101-1], and the case specified for 30</w:t>
      </w:r>
      <w:r w:rsidR="00E92E20">
        <w:t xml:space="preserve"> </w:t>
      </w:r>
      <w:r w:rsidR="008B47F5" w:rsidRPr="00162E2F">
        <w:t xml:space="preserve">kHz SS/PBCH block </w:t>
      </w:r>
      <w:r w:rsidR="001B2354">
        <w:t>SCS</w:t>
      </w:r>
      <w:r w:rsidR="008B47F5" w:rsidRPr="00162E2F">
        <w:t xml:space="preserve"> in [8-1, TS 38.101-1] applies for frequency bands with 30 kHz SS/PBCH block </w:t>
      </w:r>
      <w:r w:rsidR="001B2354">
        <w:t>SCS</w:t>
      </w:r>
      <w:r w:rsidR="008B47F5" w:rsidRPr="00162E2F">
        <w:t xml:space="preserve"> or both 15</w:t>
      </w:r>
      <w:r w:rsidR="008B47F5">
        <w:t xml:space="preserve"> </w:t>
      </w:r>
      <w:r w:rsidR="008B47F5" w:rsidRPr="00162E2F">
        <w:t xml:space="preserve">kHz and 30 kHz SS/PBCH block </w:t>
      </w:r>
      <w:r w:rsidR="001B2354">
        <w:t>SCS</w:t>
      </w:r>
      <w:r w:rsidR="008B47F5" w:rsidRPr="00162E2F">
        <w:t xml:space="preserve"> as specified in [8-1, TS 38.101-1].</w:t>
      </w:r>
      <w:r w:rsidR="008B47F5" w:rsidRPr="00162E2F">
        <w:rPr>
          <w:lang w:val="en-US"/>
        </w:rPr>
        <w:t xml:space="preserve"> For a UE configured to operate with carrier aggregation over a set of cells in a frequency band of </w:t>
      </w:r>
      <w:r w:rsidR="001B2354">
        <w:rPr>
          <w:lang w:val="en-US"/>
        </w:rPr>
        <w:t>FR</w:t>
      </w:r>
      <w:r w:rsidR="008B47F5" w:rsidRPr="00162E2F">
        <w:rPr>
          <w:lang w:val="en-US"/>
        </w:rPr>
        <w:t>2</w:t>
      </w:r>
      <w:r w:rsidR="001B2354" w:rsidRPr="00333FF2">
        <w:rPr>
          <w:lang w:val="en-US"/>
        </w:rPr>
        <w:t xml:space="preserve"> </w:t>
      </w:r>
      <w:r w:rsidR="001B2354" w:rsidRPr="00846278">
        <w:rPr>
          <w:lang w:val="en-US"/>
        </w:rPr>
        <w:t>or with frequency-contiguous carrier aggregation over a set of cells in a frequency band of FR1</w:t>
      </w:r>
      <w:r w:rsidR="008B47F5" w:rsidRPr="00162E2F">
        <w:rPr>
          <w:lang w:val="en-US"/>
        </w:rPr>
        <w:t xml:space="preserve">, if the UE is provided </w:t>
      </w:r>
      <w:r w:rsidR="001B2354">
        <w:rPr>
          <w:lang w:val="en-US"/>
        </w:rPr>
        <w:t xml:space="preserve">SCS </w:t>
      </w:r>
      <w:r w:rsidR="008B47F5" w:rsidRPr="00162E2F">
        <w:rPr>
          <w:lang w:val="en-US"/>
        </w:rPr>
        <w:t xml:space="preserve">values </w:t>
      </w:r>
      <w:r w:rsidR="008B47F5" w:rsidRPr="005261DA">
        <w:rPr>
          <w:lang w:val="en-US"/>
        </w:rPr>
        <w:t xml:space="preserve">by </w:t>
      </w:r>
      <w:r w:rsidR="009439A4">
        <w:rPr>
          <w:i/>
        </w:rPr>
        <w:t>ssbS</w:t>
      </w:r>
      <w:r w:rsidR="008B47F5" w:rsidRPr="00162E2F">
        <w:rPr>
          <w:i/>
        </w:rPr>
        <w:t>ubcarrierSpacing</w:t>
      </w:r>
      <w:r w:rsidR="008B47F5" w:rsidRPr="00162E2F">
        <w:t xml:space="preserve"> </w:t>
      </w:r>
      <w:r w:rsidR="008B47F5" w:rsidRPr="00162E2F">
        <w:rPr>
          <w:lang w:val="en-US"/>
        </w:rPr>
        <w:t xml:space="preserve">for receptions of SS/PBCH blocks </w:t>
      </w:r>
      <w:r w:rsidR="008B47F5" w:rsidRPr="00162E2F">
        <w:t xml:space="preserve">on any cells from the set of cells, the UE expects the </w:t>
      </w:r>
      <w:r w:rsidR="001B2354">
        <w:t xml:space="preserve">SCS </w:t>
      </w:r>
      <w:r w:rsidR="008B47F5" w:rsidRPr="00162E2F">
        <w:t xml:space="preserve">values to be same. </w:t>
      </w:r>
    </w:p>
    <w:p w14:paraId="1AF96678" w14:textId="2D2EE3F6" w:rsidR="00956FC0" w:rsidRDefault="00956FC0" w:rsidP="00956FC0">
      <w:pPr>
        <w:spacing w:after="160" w:line="259" w:lineRule="auto"/>
        <w:rPr>
          <w:iCs/>
        </w:rPr>
      </w:pPr>
      <w:r>
        <w:t>T</w:t>
      </w:r>
      <w:r w:rsidRPr="00B916EC">
        <w:t xml:space="preserve">he candidate SS/PBCH blocks in a half frame are indexed in an ascending order in time from 0 to </w:t>
      </w:r>
      <m:oMath>
        <m:sSub>
          <m:sSubPr>
            <m:ctrlPr>
              <w:rPr>
                <w:rFonts w:ascii="Cambria Math" w:hAnsi="Cambria Math"/>
                <w:i/>
              </w:rPr>
            </m:ctrlPr>
          </m:sSubPr>
          <m:e>
            <m:bar>
              <m:barPr>
                <m:pos m:val="top"/>
                <m:ctrlPr>
                  <w:rPr>
                    <w:rFonts w:ascii="Cambria Math" w:hAnsi="Cambria Math"/>
                    <w:i/>
                  </w:rPr>
                </m:ctrlPr>
              </m:barPr>
              <m:e>
                <m:r>
                  <w:rPr>
                    <w:rFonts w:ascii="Cambria Math"/>
                  </w:rPr>
                  <m:t>L</m:t>
                </m:r>
              </m:e>
            </m:bar>
          </m:e>
          <m:sub>
            <m:r>
              <w:rPr>
                <w:rFonts w:ascii="Cambria Math"/>
              </w:rPr>
              <m:t>max</m:t>
            </m:r>
          </m:sub>
        </m:sSub>
        <m:r>
          <m:rPr>
            <m:sty m:val="p"/>
          </m:rPr>
          <w:rPr>
            <w:rFonts w:ascii="Cambria Math"/>
          </w:rPr>
          <m:t>-</m:t>
        </m:r>
        <m:r>
          <w:rPr>
            <w:rFonts w:ascii="Cambria Math"/>
          </w:rPr>
          <m:t>1</m:t>
        </m:r>
      </m:oMath>
      <w:r>
        <w:rPr>
          <w:iCs/>
        </w:rPr>
        <w:t xml:space="preserve">, where </w:t>
      </w:r>
      <m:oMath>
        <m:sSub>
          <m:sSubPr>
            <m:ctrlPr>
              <w:rPr>
                <w:rFonts w:ascii="Cambria Math" w:hAnsi="Cambria Math"/>
                <w:i/>
                <w:iCs/>
                <w:sz w:val="24"/>
                <w:szCs w:val="24"/>
                <w:lang w:eastAsia="ko-KR"/>
              </w:rPr>
            </m:ctrlPr>
          </m:sSubPr>
          <m:e>
            <m:bar>
              <m:barPr>
                <m:pos m:val="top"/>
                <m:ctrlPr>
                  <w:rPr>
                    <w:rFonts w:ascii="Cambria Math" w:hAnsi="Cambria Math"/>
                    <w:i/>
                    <w:iCs/>
                    <w:sz w:val="24"/>
                    <w:szCs w:val="24"/>
                    <w:lang w:eastAsia="ko-KR"/>
                  </w:rPr>
                </m:ctrlPr>
              </m:barPr>
              <m:e>
                <m:r>
                  <w:rPr>
                    <w:rFonts w:ascii="Cambria Math" w:hAnsi="Cambria Math"/>
                    <w:lang w:eastAsia="ko-KR"/>
                  </w:rPr>
                  <m:t>L</m:t>
                </m:r>
              </m:e>
            </m:bar>
          </m:e>
          <m:sub>
            <m:r>
              <w:rPr>
                <w:rFonts w:ascii="Cambria Math" w:hAnsi="Cambria Math"/>
                <w:lang w:eastAsia="ko-KR"/>
              </w:rPr>
              <m:t>max</m:t>
            </m:r>
          </m:sub>
        </m:sSub>
      </m:oMath>
      <w:r w:rsidR="006A3A7F" w:rsidRPr="00762DA3">
        <w:rPr>
          <w:lang w:eastAsia="ko-KR"/>
        </w:rPr>
        <w:t xml:space="preserve"> is determined according to </w:t>
      </w:r>
      <w:r w:rsidR="006A3A7F">
        <w:rPr>
          <w:lang w:eastAsia="ko-KR"/>
        </w:rPr>
        <w:t>SS/PBCH block patterns for</w:t>
      </w:r>
      <w:r w:rsidR="006A3A7F" w:rsidRPr="00762DA3">
        <w:rPr>
          <w:lang w:eastAsia="ko-KR"/>
        </w:rPr>
        <w:t xml:space="preserve"> Case</w:t>
      </w:r>
      <w:r w:rsidR="006A3A7F">
        <w:rPr>
          <w:lang w:eastAsia="ko-KR"/>
        </w:rPr>
        <w:t>s</w:t>
      </w:r>
      <w:r w:rsidR="006A3A7F" w:rsidRPr="00762DA3">
        <w:rPr>
          <w:lang w:eastAsia="ko-KR"/>
        </w:rPr>
        <w:t xml:space="preserve"> A </w:t>
      </w:r>
      <w:r w:rsidR="006A3A7F">
        <w:rPr>
          <w:lang w:eastAsia="ko-KR"/>
        </w:rPr>
        <w:t>through</w:t>
      </w:r>
      <w:r w:rsidR="006A3A7F" w:rsidRPr="00762DA3">
        <w:rPr>
          <w:lang w:eastAsia="ko-KR"/>
        </w:rPr>
        <w:t xml:space="preserve"> </w:t>
      </w:r>
      <w:r w:rsidR="00EB76A5" w:rsidRPr="00B27E56">
        <w:rPr>
          <w:lang w:eastAsia="ko-KR"/>
        </w:rPr>
        <w:t>G</w:t>
      </w:r>
      <w:r w:rsidR="006A3A7F">
        <w:rPr>
          <w:lang w:eastAsia="ko-KR"/>
        </w:rPr>
        <w:t>.</w:t>
      </w:r>
      <w:r w:rsidR="006A3A7F" w:rsidRPr="00762DA3">
        <w:rPr>
          <w:lang w:eastAsia="ko-KR"/>
        </w:rPr>
        <w:t xml:space="preserve"> </w:t>
      </w:r>
      <m:oMath>
        <m:sSub>
          <m:sSubPr>
            <m:ctrlPr>
              <w:rPr>
                <w:rFonts w:ascii="Cambria Math" w:hAnsi="Cambria Math"/>
                <w:i/>
                <w:iCs/>
                <w:sz w:val="24"/>
                <w:szCs w:val="24"/>
                <w:lang w:eastAsia="ko-KR"/>
              </w:rPr>
            </m:ctrlPr>
          </m:sSubPr>
          <m:e>
            <m:r>
              <w:rPr>
                <w:rFonts w:ascii="Cambria Math" w:hAnsi="Cambria Math"/>
                <w:lang w:eastAsia="ko-KR"/>
              </w:rPr>
              <m:t>L</m:t>
            </m:r>
          </m:e>
          <m:sub>
            <m:r>
              <w:rPr>
                <w:rFonts w:ascii="Cambria Math" w:hAnsi="Cambria Math"/>
                <w:lang w:eastAsia="ko-KR"/>
              </w:rPr>
              <m:t>max</m:t>
            </m:r>
          </m:sub>
        </m:sSub>
      </m:oMath>
      <w:r w:rsidR="006A3A7F" w:rsidRPr="00762DA3">
        <w:rPr>
          <w:lang w:eastAsia="ko-KR"/>
        </w:rPr>
        <w:t xml:space="preserve"> is </w:t>
      </w:r>
      <w:r w:rsidR="006A3A7F">
        <w:rPr>
          <w:lang w:eastAsia="ko-KR"/>
        </w:rPr>
        <w:t>a</w:t>
      </w:r>
      <w:r w:rsidR="006A3A7F" w:rsidRPr="00762DA3">
        <w:rPr>
          <w:lang w:eastAsia="ko-KR"/>
        </w:rPr>
        <w:t xml:space="preserve"> maximum number of SS/PBCH block indexes in a cell, and</w:t>
      </w:r>
      <w:r w:rsidR="006A3A7F" w:rsidRPr="00823868">
        <w:rPr>
          <w:lang w:eastAsia="ko-KR"/>
        </w:rPr>
        <w:t xml:space="preserve"> the maximum number of transmitted SS/PBCH blocks within a half frame is</w:t>
      </w:r>
      <w:r w:rsidR="006A3A7F">
        <w:rPr>
          <w:lang w:eastAsia="ko-KR"/>
        </w:rPr>
        <w:t xml:space="preserve"> </w:t>
      </w:r>
      <m:oMath>
        <m:sSub>
          <m:sSubPr>
            <m:ctrlPr>
              <w:rPr>
                <w:rFonts w:ascii="Cambria Math" w:hAnsi="Cambria Math"/>
                <w:i/>
              </w:rPr>
            </m:ctrlPr>
          </m:sSubPr>
          <m:e>
            <m:r>
              <w:rPr>
                <w:rFonts w:ascii="Cambria Math" w:hAnsi="Cambria Math"/>
              </w:rPr>
              <m:t>L</m:t>
            </m:r>
          </m:e>
          <m:sub>
            <m:r>
              <w:rPr>
                <w:rFonts w:ascii="Cambria Math"/>
              </w:rPr>
              <m:t>max</m:t>
            </m:r>
          </m:sub>
        </m:sSub>
      </m:oMath>
      <w:r w:rsidR="006A3A7F">
        <w:t>.</w:t>
      </w:r>
    </w:p>
    <w:p w14:paraId="6CDCBBB8" w14:textId="1427CA97" w:rsidR="00956FC0" w:rsidRDefault="00956FC0" w:rsidP="0047180A">
      <w:pPr>
        <w:pStyle w:val="B1"/>
      </w:pPr>
      <w:r>
        <w:rPr>
          <w:iCs/>
        </w:rPr>
        <w:t>-</w:t>
      </w:r>
      <w:r>
        <w:rPr>
          <w:iCs/>
        </w:rPr>
        <w:tab/>
      </w:r>
      <w:r w:rsidR="006A3A7F">
        <w:rPr>
          <w:iCs/>
          <w:lang w:val="en-US"/>
        </w:rPr>
        <w:t>F</w:t>
      </w:r>
      <w:r w:rsidR="006A3A7F">
        <w:rPr>
          <w:iCs/>
        </w:rPr>
        <w:t xml:space="preserve">or </w:t>
      </w:r>
      <w:r>
        <w:t>operation without shared spectrum channel access</w:t>
      </w:r>
      <w:r w:rsidR="00EB76A5">
        <w:rPr>
          <w:lang w:val="en-US"/>
        </w:rPr>
        <w:t xml:space="preserve"> </w:t>
      </w:r>
      <w:r w:rsidR="00EB76A5" w:rsidRPr="00B27E56">
        <w:rPr>
          <w:lang w:val="en-US"/>
        </w:rPr>
        <w:t>in FR1 and FR2, and for operation with shared spectrum channel access in FR2-2</w:t>
      </w:r>
      <w:r w:rsidR="009B5DE3">
        <w:rPr>
          <w:lang w:val="en-US"/>
        </w:rPr>
        <w:t xml:space="preserve">, </w:t>
      </w:r>
      <m:oMath>
        <m:sSub>
          <m:sSubPr>
            <m:ctrlPr>
              <w:rPr>
                <w:rFonts w:ascii="Cambria Math" w:hAnsi="Cambria Math"/>
                <w:i/>
              </w:rPr>
            </m:ctrlPr>
          </m:sSubPr>
          <m:e>
            <m:r>
              <w:rPr>
                <w:rFonts w:ascii="Cambria Math" w:hAnsi="Cambria Math"/>
              </w:rPr>
              <m:t>L</m:t>
            </m:r>
          </m:e>
          <m:sub>
            <m:r>
              <w:rPr>
                <w:rFonts w:ascii="Cambria Math"/>
              </w:rPr>
              <m:t>max</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rPr>
                  <m:t>L</m:t>
                </m:r>
              </m:e>
            </m:bar>
          </m:e>
          <m:sub>
            <m:r>
              <w:rPr>
                <w:rFonts w:ascii="Cambria Math"/>
              </w:rPr>
              <m:t>max</m:t>
            </m:r>
          </m:sub>
        </m:sSub>
      </m:oMath>
    </w:p>
    <w:p w14:paraId="6B1A6F89" w14:textId="79812195" w:rsidR="00956FC0" w:rsidRDefault="00956FC0" w:rsidP="0047180A">
      <w:pPr>
        <w:pStyle w:val="B1"/>
      </w:pPr>
      <w:r>
        <w:t>-</w:t>
      </w:r>
      <w:r w:rsidR="00D93480">
        <w:tab/>
      </w:r>
      <w:r w:rsidR="006A3A7F">
        <w:rPr>
          <w:lang w:val="en-US"/>
        </w:rPr>
        <w:t>F</w:t>
      </w:r>
      <w:r w:rsidR="006A3A7F">
        <w:t xml:space="preserve">or </w:t>
      </w:r>
      <w:r>
        <w:t>operation with shared spectrum channel access</w:t>
      </w:r>
      <w:r w:rsidR="00EB76A5" w:rsidRPr="00B27E56">
        <w:rPr>
          <w:lang w:val="en-US"/>
        </w:rPr>
        <w:t xml:space="preserve"> in FR1</w:t>
      </w:r>
      <w:r>
        <w:t>,</w:t>
      </w:r>
      <w:r w:rsidR="006A3A7F">
        <w:rPr>
          <w:lang w:val="en-US"/>
        </w:rPr>
        <w:t xml:space="preserve"> </w:t>
      </w:r>
      <m:oMath>
        <m:sSub>
          <m:sSubPr>
            <m:ctrlPr>
              <w:rPr>
                <w:rFonts w:ascii="Cambria Math" w:hAnsi="Cambria Math"/>
                <w:i/>
              </w:rPr>
            </m:ctrlPr>
          </m:sSubPr>
          <m:e>
            <m:r>
              <w:rPr>
                <w:rFonts w:ascii="Cambria Math" w:hAnsi="Cambria Math"/>
              </w:rPr>
              <m:t>L</m:t>
            </m:r>
          </m:e>
          <m:sub>
            <m:r>
              <w:rPr>
                <w:rFonts w:ascii="Cambria Math"/>
              </w:rPr>
              <m:t>max</m:t>
            </m:r>
          </m:sub>
        </m:sSub>
        <m:r>
          <w:rPr>
            <w:rFonts w:ascii="Cambria Math" w:hAnsi="Cambria Math"/>
          </w:rPr>
          <m:t>=8</m:t>
        </m:r>
      </m:oMath>
      <w:r w:rsidR="006A3A7F">
        <w:rPr>
          <w:lang w:val="en-US"/>
        </w:rPr>
        <w:t xml:space="preserve"> for</w:t>
      </w:r>
      <w:r>
        <w:t xml:space="preserve"> </w:t>
      </w:r>
      <m:oMath>
        <m:sSub>
          <m:sSubPr>
            <m:ctrlPr>
              <w:rPr>
                <w:rFonts w:ascii="Cambria Math" w:hAnsi="Cambria Math"/>
                <w:i/>
              </w:rPr>
            </m:ctrlPr>
          </m:sSubPr>
          <m:e>
            <m:bar>
              <m:barPr>
                <m:pos m:val="top"/>
                <m:ctrlPr>
                  <w:rPr>
                    <w:rFonts w:ascii="Cambria Math" w:hAnsi="Cambria Math"/>
                    <w:i/>
                  </w:rPr>
                </m:ctrlPr>
              </m:barPr>
              <m:e>
                <m:r>
                  <w:rPr>
                    <w:rFonts w:ascii="Cambria Math"/>
                  </w:rPr>
                  <m:t>L</m:t>
                </m:r>
              </m:e>
            </m:bar>
          </m:e>
          <m:sub>
            <m:r>
              <w:rPr>
                <w:rFonts w:ascii="Cambria Math"/>
              </w:rPr>
              <m:t>max</m:t>
            </m:r>
          </m:sub>
        </m:sSub>
        <m:r>
          <w:rPr>
            <w:rFonts w:ascii="Cambria Math"/>
          </w:rPr>
          <m:t>=10</m:t>
        </m:r>
      </m:oMath>
      <w:r w:rsidRPr="00C04E17">
        <w:t xml:space="preserve"> </w:t>
      </w:r>
      <w:r w:rsidR="006A3A7F">
        <w:rPr>
          <w:lang w:val="en-US"/>
        </w:rPr>
        <w:t>and</w:t>
      </w:r>
      <w:r w:rsidR="006A3A7F" w:rsidRPr="00B916EC">
        <w:t xml:space="preserve"> </w:t>
      </w:r>
      <w:r>
        <w:t>15 kHz SCS</w:t>
      </w:r>
      <w:r w:rsidRPr="00B916EC">
        <w:t xml:space="preserve"> of SS/PBCH blocks</w:t>
      </w:r>
      <w:r>
        <w:t xml:space="preserve"> and</w:t>
      </w:r>
      <w:r w:rsidR="006A3A7F">
        <w:rPr>
          <w:lang w:val="en-US"/>
        </w:rPr>
        <w:t xml:space="preserve"> for</w:t>
      </w:r>
      <w:r>
        <w:t xml:space="preserve"> </w:t>
      </w:r>
      <m:oMath>
        <m:sSub>
          <m:sSubPr>
            <m:ctrlPr>
              <w:rPr>
                <w:rFonts w:ascii="Cambria Math" w:hAnsi="Cambria Math"/>
                <w:i/>
              </w:rPr>
            </m:ctrlPr>
          </m:sSubPr>
          <m:e>
            <m:bar>
              <m:barPr>
                <m:pos m:val="top"/>
                <m:ctrlPr>
                  <w:rPr>
                    <w:rFonts w:ascii="Cambria Math" w:hAnsi="Cambria Math"/>
                    <w:i/>
                  </w:rPr>
                </m:ctrlPr>
              </m:barPr>
              <m:e>
                <m:r>
                  <w:rPr>
                    <w:rFonts w:ascii="Cambria Math"/>
                  </w:rPr>
                  <m:t>L</m:t>
                </m:r>
              </m:e>
            </m:bar>
          </m:e>
          <m:sub>
            <m:r>
              <w:rPr>
                <w:rFonts w:ascii="Cambria Math"/>
              </w:rPr>
              <m:t>max</m:t>
            </m:r>
          </m:sub>
        </m:sSub>
        <m:r>
          <w:rPr>
            <w:rFonts w:ascii="Cambria Math"/>
          </w:rPr>
          <m:t>=20</m:t>
        </m:r>
      </m:oMath>
      <w:r w:rsidRPr="00C04E17">
        <w:t xml:space="preserve"> </w:t>
      </w:r>
      <w:r w:rsidR="006A3A7F">
        <w:rPr>
          <w:lang w:val="en-US"/>
        </w:rPr>
        <w:t>and</w:t>
      </w:r>
      <w:r w:rsidR="006A3A7F" w:rsidRPr="00B916EC">
        <w:t xml:space="preserve"> </w:t>
      </w:r>
      <w:r>
        <w:t xml:space="preserve">30 kHz SCS of SS/PBCH blocks </w:t>
      </w:r>
    </w:p>
    <w:p w14:paraId="7035D7F9" w14:textId="77777777" w:rsidR="00956FC0" w:rsidRDefault="00956FC0" w:rsidP="00956FC0">
      <w:pPr>
        <w:spacing w:after="160" w:line="259" w:lineRule="auto"/>
      </w:pPr>
      <w:r>
        <w:t>F</w:t>
      </w:r>
      <w:r w:rsidRPr="00B916EC">
        <w:t>or</w:t>
      </w:r>
      <w:r>
        <w:t xml:space="preserve"> </w:t>
      </w:r>
      <m:oMath>
        <m:sSub>
          <m:sSubPr>
            <m:ctrlPr>
              <w:rPr>
                <w:rFonts w:ascii="Cambria Math" w:hAnsi="Cambria Math"/>
                <w:i/>
              </w:rPr>
            </m:ctrlPr>
          </m:sSubPr>
          <m:e>
            <m:bar>
              <m:barPr>
                <m:pos m:val="top"/>
                <m:ctrlPr>
                  <w:rPr>
                    <w:rFonts w:ascii="Cambria Math" w:hAnsi="Cambria Math"/>
                    <w:i/>
                  </w:rPr>
                </m:ctrlPr>
              </m:barPr>
              <m:e>
                <m:r>
                  <w:rPr>
                    <w:rFonts w:ascii="Cambria Math"/>
                  </w:rPr>
                  <m:t>L</m:t>
                </m:r>
              </m:e>
            </m:bar>
          </m:e>
          <m:sub>
            <m:r>
              <w:rPr>
                <w:rFonts w:ascii="Cambria Math"/>
              </w:rPr>
              <m:t>max</m:t>
            </m:r>
          </m:sub>
        </m:sSub>
        <m:r>
          <w:rPr>
            <w:rFonts w:ascii="Cambria Math" w:hAnsi="Cambria Math"/>
          </w:rPr>
          <m:t>=4</m:t>
        </m:r>
      </m:oMath>
      <w:r>
        <w:t>, a</w:t>
      </w:r>
      <w:r w:rsidRPr="00B916EC">
        <w:t xml:space="preserve"> UE determine</w:t>
      </w:r>
      <w:r>
        <w:t>s</w:t>
      </w:r>
      <w:r w:rsidRPr="00B916EC">
        <w:t xml:space="preserve"> the 2 LSB bits</w:t>
      </w:r>
      <w:r>
        <w:t xml:space="preserve"> </w:t>
      </w:r>
      <w:r w:rsidRPr="00B916EC">
        <w:t xml:space="preserve">of a </w:t>
      </w:r>
      <w:r>
        <w:t xml:space="preserve">candidate </w:t>
      </w:r>
      <w:r w:rsidRPr="00B916EC">
        <w:rPr>
          <w:lang w:eastAsia="ja-JP"/>
        </w:rPr>
        <w:t>SS/PBCH block index per half frame from a one-to-one mapping with an index of the DM</w:t>
      </w:r>
      <w:r>
        <w:rPr>
          <w:lang w:eastAsia="ja-JP"/>
        </w:rPr>
        <w:t>-</w:t>
      </w:r>
      <w:r w:rsidRPr="00B916EC">
        <w:rPr>
          <w:lang w:eastAsia="ja-JP"/>
        </w:rPr>
        <w:t>RS sequence transmitted in the PBCH</w:t>
      </w:r>
      <w:r w:rsidRPr="0054383C">
        <w:t xml:space="preserve"> </w:t>
      </w:r>
      <w:r>
        <w:t>as describ</w:t>
      </w:r>
      <w:r w:rsidRPr="00AF1A70">
        <w:t>ed in [</w:t>
      </w:r>
      <w:r>
        <w:t>4</w:t>
      </w:r>
      <w:r w:rsidRPr="00AF1A70">
        <w:t>, TS 38.21</w:t>
      </w:r>
      <w:r>
        <w:t>1</w:t>
      </w:r>
      <w:r w:rsidRPr="00AF1A70">
        <w:t>]</w:t>
      </w:r>
      <w:r w:rsidRPr="00B916EC">
        <w:rPr>
          <w:lang w:eastAsia="ja-JP"/>
        </w:rPr>
        <w:t>.</w:t>
      </w:r>
    </w:p>
    <w:p w14:paraId="5CAB5960" w14:textId="77777777" w:rsidR="00956FC0" w:rsidRDefault="00956FC0" w:rsidP="00956FC0">
      <w:pPr>
        <w:spacing w:after="160" w:line="259" w:lineRule="auto"/>
      </w:pPr>
      <w:r>
        <w:t xml:space="preserve">For </w:t>
      </w:r>
      <m:oMath>
        <m:sSub>
          <m:sSubPr>
            <m:ctrlPr>
              <w:rPr>
                <w:rFonts w:ascii="Cambria Math" w:hAnsi="Cambria Math"/>
                <w:i/>
              </w:rPr>
            </m:ctrlPr>
          </m:sSubPr>
          <m:e>
            <m:bar>
              <m:barPr>
                <m:pos m:val="top"/>
                <m:ctrlPr>
                  <w:rPr>
                    <w:rFonts w:ascii="Cambria Math" w:hAnsi="Cambria Math"/>
                    <w:i/>
                  </w:rPr>
                </m:ctrlPr>
              </m:barPr>
              <m:e>
                <m:r>
                  <w:rPr>
                    <w:rFonts w:ascii="Cambria Math"/>
                  </w:rPr>
                  <m:t>L</m:t>
                </m:r>
              </m:e>
            </m:bar>
          </m:e>
          <m:sub>
            <m:r>
              <w:rPr>
                <w:rFonts w:ascii="Cambria Math"/>
              </w:rPr>
              <m:t>max</m:t>
            </m:r>
          </m:sub>
        </m:sSub>
        <m:r>
          <w:rPr>
            <w:rFonts w:ascii="Cambria Math" w:hAnsi="Cambria Math"/>
          </w:rPr>
          <m:t>&gt;4</m:t>
        </m:r>
      </m:oMath>
      <w:r>
        <w:t>, a</w:t>
      </w:r>
      <w:r w:rsidRPr="00B916EC">
        <w:t xml:space="preserve"> UE determine</w:t>
      </w:r>
      <w:r>
        <w:t>s the 3</w:t>
      </w:r>
      <w:r w:rsidRPr="00B916EC">
        <w:t xml:space="preserve"> LSB bits</w:t>
      </w:r>
      <w:r>
        <w:t xml:space="preserve"> </w:t>
      </w:r>
      <w:r w:rsidRPr="00B916EC">
        <w:t xml:space="preserve">of a </w:t>
      </w:r>
      <w:r>
        <w:t xml:space="preserve">candidate </w:t>
      </w:r>
      <w:r w:rsidRPr="00B916EC">
        <w:rPr>
          <w:lang w:eastAsia="ja-JP"/>
        </w:rPr>
        <w:t>SS/PBCH block index per half frame from a one-to-one mapping with an index of the DM</w:t>
      </w:r>
      <w:r>
        <w:rPr>
          <w:lang w:eastAsia="ja-JP"/>
        </w:rPr>
        <w:t>-</w:t>
      </w:r>
      <w:r w:rsidRPr="00B916EC">
        <w:rPr>
          <w:lang w:eastAsia="ja-JP"/>
        </w:rPr>
        <w:t>RS sequence transmitted in the PBCH</w:t>
      </w:r>
      <w:r>
        <w:t xml:space="preserve"> as describ</w:t>
      </w:r>
      <w:r w:rsidRPr="00AF1A70">
        <w:t>ed in [</w:t>
      </w:r>
      <w:r>
        <w:t>4</w:t>
      </w:r>
      <w:r w:rsidRPr="00AF1A70">
        <w:t>, TS 38.21</w:t>
      </w:r>
      <w:r>
        <w:t>1</w:t>
      </w:r>
      <w:r w:rsidRPr="00AF1A70">
        <w:t>]</w:t>
      </w:r>
    </w:p>
    <w:p w14:paraId="3490A3B3" w14:textId="77777777" w:rsidR="00956FC0" w:rsidRDefault="00956FC0" w:rsidP="0047180A">
      <w:pPr>
        <w:pStyle w:val="B1"/>
        <w:rPr>
          <w:lang w:eastAsia="ja-JP"/>
        </w:rPr>
      </w:pPr>
      <w:r>
        <w:t>-</w:t>
      </w:r>
      <w:r>
        <w:tab/>
      </w:r>
      <w:r>
        <w:rPr>
          <w:lang w:eastAsia="ja-JP"/>
        </w:rPr>
        <w:t xml:space="preserve">for </w:t>
      </w:r>
      <m:oMath>
        <m:sSub>
          <m:sSubPr>
            <m:ctrlPr>
              <w:rPr>
                <w:rFonts w:ascii="Cambria Math" w:hAnsi="Cambria Math"/>
                <w:i/>
              </w:rPr>
            </m:ctrlPr>
          </m:sSubPr>
          <m:e>
            <m:bar>
              <m:barPr>
                <m:pos m:val="top"/>
                <m:ctrlPr>
                  <w:rPr>
                    <w:rFonts w:ascii="Cambria Math" w:hAnsi="Cambria Math"/>
                    <w:i/>
                  </w:rPr>
                </m:ctrlPr>
              </m:barPr>
              <m:e>
                <m:r>
                  <w:rPr>
                    <w:rFonts w:ascii="Cambria Math"/>
                  </w:rPr>
                  <m:t>L</m:t>
                </m:r>
              </m:e>
            </m:bar>
          </m:e>
          <m:sub>
            <m:r>
              <w:rPr>
                <w:rFonts w:ascii="Cambria Math"/>
              </w:rPr>
              <m:t>max</m:t>
            </m:r>
          </m:sub>
        </m:sSub>
        <m:r>
          <w:rPr>
            <w:rFonts w:ascii="Cambria Math"/>
          </w:rPr>
          <m:t>=10</m:t>
        </m:r>
      </m:oMath>
      <w:r>
        <w:t>,</w:t>
      </w:r>
      <w:r>
        <w:rPr>
          <w:lang w:eastAsia="ja-JP"/>
        </w:rPr>
        <w:t xml:space="preserve"> the UE</w:t>
      </w:r>
      <w:r w:rsidRPr="00B916EC">
        <w:t xml:space="preserve"> determine</w:t>
      </w:r>
      <w:r>
        <w:t>s</w:t>
      </w:r>
      <w:r w:rsidRPr="00B916EC">
        <w:t xml:space="preserve"> the </w:t>
      </w:r>
      <w:r>
        <w:t>1 MSB bit of the</w:t>
      </w:r>
      <w:r w:rsidRPr="00B916EC">
        <w:t xml:space="preserve"> </w:t>
      </w:r>
      <w:r>
        <w:t xml:space="preserve">candidate </w:t>
      </w:r>
      <w:r w:rsidRPr="00B916EC">
        <w:rPr>
          <w:lang w:eastAsia="ja-JP"/>
        </w:rPr>
        <w:t xml:space="preserve">SS/PBCH block </w:t>
      </w:r>
      <w:r>
        <w:rPr>
          <w:lang w:eastAsia="ja-JP"/>
        </w:rPr>
        <w:t>index</w:t>
      </w:r>
      <w:r w:rsidRPr="00B916EC">
        <w:rPr>
          <w:lang w:eastAsia="ja-JP"/>
        </w:rPr>
        <w:t xml:space="preserve"> </w:t>
      </w:r>
      <w:r>
        <w:t xml:space="preserve">from PBCH payload bit </w:t>
      </w:r>
      <m:oMath>
        <m:sSub>
          <m:sSubPr>
            <m:ctrlPr>
              <w:rPr>
                <w:rFonts w:ascii="Cambria Math" w:hAnsi="Cambria Math"/>
                <w:i/>
              </w:rPr>
            </m:ctrlPr>
          </m:sSubPr>
          <m:e>
            <m:acc>
              <m:accPr>
                <m:chr m:val="̄"/>
                <m:ctrlPr>
                  <w:rPr>
                    <w:rFonts w:ascii="Cambria Math" w:hAnsi="Cambria Math"/>
                    <w:i/>
                  </w:rPr>
                </m:ctrlPr>
              </m:accPr>
              <m:e>
                <m:r>
                  <w:rPr>
                    <w:rFonts w:ascii="Cambria Math"/>
                  </w:rPr>
                  <m:t>a</m:t>
                </m:r>
              </m:e>
            </m:acc>
          </m:e>
          <m:sub>
            <m:acc>
              <m:accPr>
                <m:chr m:val="̄"/>
                <m:ctrlPr>
                  <w:rPr>
                    <w:rFonts w:ascii="Cambria Math" w:hAnsi="Cambria Math"/>
                    <w:i/>
                  </w:rPr>
                </m:ctrlPr>
              </m:accPr>
              <m:e>
                <m:r>
                  <w:rPr>
                    <w:rFonts w:ascii="Cambria Math"/>
                  </w:rPr>
                  <m:t>A</m:t>
                </m:r>
              </m:e>
            </m:acc>
            <m:r>
              <w:rPr>
                <w:rFonts w:ascii="Cambria Math"/>
              </w:rPr>
              <m:t>+7</m:t>
            </m:r>
          </m:sub>
        </m:sSub>
      </m:oMath>
      <w:r w:rsidRPr="00CD5EF9">
        <w:t xml:space="preserve"> </w:t>
      </w:r>
      <w:r>
        <w:t>as describ</w:t>
      </w:r>
      <w:r w:rsidRPr="00AF1A70">
        <w:t>ed in [</w:t>
      </w:r>
      <w:r>
        <w:t>5</w:t>
      </w:r>
      <w:r w:rsidRPr="00AF1A70">
        <w:t>, TS 38.212]</w:t>
      </w:r>
    </w:p>
    <w:p w14:paraId="2BE4CC1E" w14:textId="77777777" w:rsidR="00956FC0" w:rsidRDefault="00956FC0" w:rsidP="0047180A">
      <w:pPr>
        <w:pStyle w:val="B1"/>
      </w:pPr>
      <w:r>
        <w:rPr>
          <w:lang w:eastAsia="ja-JP"/>
        </w:rPr>
        <w:t>-</w:t>
      </w:r>
      <w:r>
        <w:rPr>
          <w:lang w:eastAsia="ja-JP"/>
        </w:rPr>
        <w:tab/>
        <w:t xml:space="preserve">for </w:t>
      </w:r>
      <m:oMath>
        <m:sSub>
          <m:sSubPr>
            <m:ctrlPr>
              <w:rPr>
                <w:rFonts w:ascii="Cambria Math" w:hAnsi="Cambria Math"/>
                <w:i/>
              </w:rPr>
            </m:ctrlPr>
          </m:sSubPr>
          <m:e>
            <m:bar>
              <m:barPr>
                <m:pos m:val="top"/>
                <m:ctrlPr>
                  <w:rPr>
                    <w:rFonts w:ascii="Cambria Math" w:hAnsi="Cambria Math"/>
                    <w:i/>
                  </w:rPr>
                </m:ctrlPr>
              </m:barPr>
              <m:e>
                <m:r>
                  <w:rPr>
                    <w:rFonts w:ascii="Cambria Math"/>
                  </w:rPr>
                  <m:t>L</m:t>
                </m:r>
              </m:e>
            </m:bar>
          </m:e>
          <m:sub>
            <m:r>
              <w:rPr>
                <w:rFonts w:ascii="Cambria Math"/>
              </w:rPr>
              <m:t>max</m:t>
            </m:r>
          </m:sub>
        </m:sSub>
        <m:r>
          <w:rPr>
            <w:rFonts w:ascii="Cambria Math"/>
          </w:rPr>
          <m:t>=20</m:t>
        </m:r>
      </m:oMath>
      <w:r>
        <w:t>,</w:t>
      </w:r>
      <w:r>
        <w:rPr>
          <w:lang w:eastAsia="ja-JP"/>
        </w:rPr>
        <w:t xml:space="preserve"> the UE</w:t>
      </w:r>
      <w:r w:rsidRPr="00B916EC">
        <w:t xml:space="preserve"> determine</w:t>
      </w:r>
      <w:r>
        <w:t>s</w:t>
      </w:r>
      <w:r w:rsidRPr="00B916EC">
        <w:t xml:space="preserve"> the </w:t>
      </w:r>
      <w:r>
        <w:t>2 MSB bits of the</w:t>
      </w:r>
      <w:r w:rsidRPr="00B916EC">
        <w:t xml:space="preserve"> </w:t>
      </w:r>
      <w:r>
        <w:t xml:space="preserve">candidate </w:t>
      </w:r>
      <w:r w:rsidRPr="00B916EC">
        <w:rPr>
          <w:lang w:eastAsia="ja-JP"/>
        </w:rPr>
        <w:t xml:space="preserve">SS/PBCH block </w:t>
      </w:r>
      <w:r>
        <w:rPr>
          <w:lang w:eastAsia="ja-JP"/>
        </w:rPr>
        <w:t>index</w:t>
      </w:r>
      <w:r w:rsidRPr="00B916EC">
        <w:rPr>
          <w:lang w:eastAsia="ja-JP"/>
        </w:rPr>
        <w:t xml:space="preserve"> </w:t>
      </w:r>
      <w:r>
        <w:t>from</w:t>
      </w:r>
      <w:r w:rsidRPr="00AF1A70">
        <w:t xml:space="preserve"> </w:t>
      </w:r>
      <w:r>
        <w:t xml:space="preserve">PBCH payload bits </w:t>
      </w:r>
      <m:oMath>
        <m:sSub>
          <m:sSubPr>
            <m:ctrlPr>
              <w:rPr>
                <w:rFonts w:ascii="Cambria Math" w:hAnsi="Cambria Math"/>
                <w:i/>
              </w:rPr>
            </m:ctrlPr>
          </m:sSubPr>
          <m:e>
            <m:acc>
              <m:accPr>
                <m:chr m:val="̄"/>
                <m:ctrlPr>
                  <w:rPr>
                    <w:rFonts w:ascii="Cambria Math" w:hAnsi="Cambria Math"/>
                    <w:i/>
                  </w:rPr>
                </m:ctrlPr>
              </m:accPr>
              <m:e>
                <m:r>
                  <w:rPr>
                    <w:rFonts w:ascii="Cambria Math"/>
                  </w:rPr>
                  <m:t>a</m:t>
                </m:r>
              </m:e>
            </m:acc>
          </m:e>
          <m:sub>
            <m:acc>
              <m:accPr>
                <m:chr m:val="̄"/>
                <m:ctrlPr>
                  <w:rPr>
                    <w:rFonts w:ascii="Cambria Math" w:hAnsi="Cambria Math"/>
                    <w:i/>
                  </w:rPr>
                </m:ctrlPr>
              </m:accPr>
              <m:e>
                <m:r>
                  <w:rPr>
                    <w:rFonts w:ascii="Cambria Math"/>
                  </w:rPr>
                  <m:t>A</m:t>
                </m:r>
              </m:e>
            </m:acc>
            <m:r>
              <w:rPr>
                <w:rFonts w:ascii="Cambria Math"/>
              </w:rPr>
              <m:t>+6</m:t>
            </m:r>
          </m:sub>
        </m:sSub>
        <m:r>
          <w:rPr>
            <w:rFonts w:ascii="Cambria Math"/>
          </w:rPr>
          <m:t>,</m:t>
        </m:r>
        <m:sSub>
          <m:sSubPr>
            <m:ctrlPr>
              <w:rPr>
                <w:rFonts w:ascii="Cambria Math" w:hAnsi="Cambria Math"/>
                <w:i/>
              </w:rPr>
            </m:ctrlPr>
          </m:sSubPr>
          <m:e>
            <m:acc>
              <m:accPr>
                <m:chr m:val="̄"/>
                <m:ctrlPr>
                  <w:rPr>
                    <w:rFonts w:ascii="Cambria Math" w:hAnsi="Cambria Math"/>
                    <w:i/>
                  </w:rPr>
                </m:ctrlPr>
              </m:accPr>
              <m:e>
                <m:r>
                  <w:rPr>
                    <w:rFonts w:ascii="Cambria Math"/>
                  </w:rPr>
                  <m:t>a</m:t>
                </m:r>
              </m:e>
            </m:acc>
          </m:e>
          <m:sub>
            <m:acc>
              <m:accPr>
                <m:chr m:val="̄"/>
                <m:ctrlPr>
                  <w:rPr>
                    <w:rFonts w:ascii="Cambria Math" w:hAnsi="Cambria Math"/>
                    <w:i/>
                  </w:rPr>
                </m:ctrlPr>
              </m:accPr>
              <m:e>
                <m:r>
                  <w:rPr>
                    <w:rFonts w:ascii="Cambria Math"/>
                  </w:rPr>
                  <m:t>A</m:t>
                </m:r>
              </m:e>
            </m:acc>
            <m:r>
              <w:rPr>
                <w:rFonts w:ascii="Cambria Math"/>
              </w:rPr>
              <m:t>+7</m:t>
            </m:r>
          </m:sub>
        </m:sSub>
      </m:oMath>
      <w:r>
        <w:t xml:space="preserve"> as describ</w:t>
      </w:r>
      <w:r w:rsidRPr="00AF1A70">
        <w:t>ed in [</w:t>
      </w:r>
      <w:r>
        <w:t>5</w:t>
      </w:r>
      <w:r w:rsidRPr="00AF1A70">
        <w:t>, TS 38.212]</w:t>
      </w:r>
    </w:p>
    <w:p w14:paraId="03775652" w14:textId="3BD574D8" w:rsidR="00956FC0" w:rsidRDefault="00956FC0" w:rsidP="0047180A">
      <w:pPr>
        <w:pStyle w:val="B1"/>
        <w:rPr>
          <w:lang w:eastAsia="ja-JP"/>
        </w:rPr>
      </w:pPr>
      <w:r>
        <w:t>-</w:t>
      </w:r>
      <w:r>
        <w:tab/>
      </w:r>
      <w:r>
        <w:rPr>
          <w:lang w:eastAsia="ja-JP"/>
        </w:rPr>
        <w:t xml:space="preserve">for </w:t>
      </w:r>
      <m:oMath>
        <m:sSub>
          <m:sSubPr>
            <m:ctrlPr>
              <w:rPr>
                <w:rFonts w:ascii="Cambria Math" w:hAnsi="Cambria Math"/>
                <w:i/>
              </w:rPr>
            </m:ctrlPr>
          </m:sSubPr>
          <m:e>
            <m:bar>
              <m:barPr>
                <m:pos m:val="top"/>
                <m:ctrlPr>
                  <w:rPr>
                    <w:rFonts w:ascii="Cambria Math" w:hAnsi="Cambria Math"/>
                    <w:i/>
                  </w:rPr>
                </m:ctrlPr>
              </m:barPr>
              <m:e>
                <m:r>
                  <w:rPr>
                    <w:rFonts w:ascii="Cambria Math"/>
                  </w:rPr>
                  <m:t>L</m:t>
                </m:r>
              </m:e>
            </m:bar>
          </m:e>
          <m:sub>
            <m:r>
              <w:rPr>
                <w:rFonts w:ascii="Cambria Math"/>
              </w:rPr>
              <m:t>max</m:t>
            </m:r>
          </m:sub>
        </m:sSub>
        <m:r>
          <w:rPr>
            <w:rFonts w:ascii="Cambria Math"/>
          </w:rPr>
          <m:t>=64</m:t>
        </m:r>
      </m:oMath>
      <w:r>
        <w:t>,</w:t>
      </w:r>
      <w:r>
        <w:rPr>
          <w:lang w:eastAsia="ja-JP"/>
        </w:rPr>
        <w:t xml:space="preserve"> the UE</w:t>
      </w:r>
      <w:r w:rsidRPr="00B916EC">
        <w:t xml:space="preserve"> determine</w:t>
      </w:r>
      <w:r>
        <w:t>s</w:t>
      </w:r>
      <w:r w:rsidRPr="00B916EC">
        <w:t xml:space="preserve"> the </w:t>
      </w:r>
      <w:r>
        <w:t>3 MSB bit</w:t>
      </w:r>
      <w:r w:rsidR="00087918">
        <w:rPr>
          <w:lang w:val="en-US"/>
        </w:rPr>
        <w:t>s</w:t>
      </w:r>
      <w:r>
        <w:t xml:space="preserve"> of the</w:t>
      </w:r>
      <w:r w:rsidRPr="00B916EC">
        <w:t xml:space="preserve"> </w:t>
      </w:r>
      <w:r>
        <w:t xml:space="preserve">candidate </w:t>
      </w:r>
      <w:r w:rsidRPr="00B916EC">
        <w:rPr>
          <w:lang w:eastAsia="ja-JP"/>
        </w:rPr>
        <w:t xml:space="preserve">SS/PBCH block </w:t>
      </w:r>
      <w:r>
        <w:rPr>
          <w:lang w:eastAsia="ja-JP"/>
        </w:rPr>
        <w:t>index</w:t>
      </w:r>
      <w:r w:rsidRPr="00B916EC">
        <w:rPr>
          <w:lang w:eastAsia="ja-JP"/>
        </w:rPr>
        <w:t xml:space="preserve"> </w:t>
      </w:r>
      <w:r>
        <w:t>from</w:t>
      </w:r>
      <w:r w:rsidRPr="00AF1A70">
        <w:t xml:space="preserve"> </w:t>
      </w:r>
      <w:r>
        <w:t xml:space="preserve">PBCH payload bits </w:t>
      </w:r>
      <m:oMath>
        <m:sSub>
          <m:sSubPr>
            <m:ctrlPr>
              <w:rPr>
                <w:rFonts w:ascii="Cambria Math" w:hAnsi="Cambria Math"/>
                <w:i/>
              </w:rPr>
            </m:ctrlPr>
          </m:sSubPr>
          <m:e>
            <m:acc>
              <m:accPr>
                <m:chr m:val="̄"/>
                <m:ctrlPr>
                  <w:rPr>
                    <w:rFonts w:ascii="Cambria Math" w:hAnsi="Cambria Math"/>
                    <w:i/>
                  </w:rPr>
                </m:ctrlPr>
              </m:accPr>
              <m:e>
                <m:r>
                  <w:rPr>
                    <w:rFonts w:ascii="Cambria Math"/>
                  </w:rPr>
                  <m:t>a</m:t>
                </m:r>
              </m:e>
            </m:acc>
          </m:e>
          <m:sub>
            <m:acc>
              <m:accPr>
                <m:chr m:val="̄"/>
                <m:ctrlPr>
                  <w:rPr>
                    <w:rFonts w:ascii="Cambria Math" w:hAnsi="Cambria Math"/>
                    <w:i/>
                  </w:rPr>
                </m:ctrlPr>
              </m:accPr>
              <m:e>
                <m:r>
                  <w:rPr>
                    <w:rFonts w:ascii="Cambria Math"/>
                  </w:rPr>
                  <m:t>A</m:t>
                </m:r>
              </m:e>
            </m:acc>
            <m:r>
              <w:rPr>
                <w:rFonts w:ascii="Cambria Math"/>
              </w:rPr>
              <m:t>+5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rPr>
                  <m:t>a</m:t>
                </m:r>
              </m:e>
            </m:acc>
          </m:e>
          <m:sub>
            <m:acc>
              <m:accPr>
                <m:chr m:val="̄"/>
                <m:ctrlPr>
                  <w:rPr>
                    <w:rFonts w:ascii="Cambria Math" w:hAnsi="Cambria Math"/>
                    <w:i/>
                  </w:rPr>
                </m:ctrlPr>
              </m:accPr>
              <m:e>
                <m:r>
                  <w:rPr>
                    <w:rFonts w:ascii="Cambria Math"/>
                  </w:rPr>
                  <m:t>A</m:t>
                </m:r>
              </m:e>
            </m:acc>
            <m:r>
              <w:rPr>
                <w:rFonts w:ascii="Cambria Math"/>
              </w:rPr>
              <m:t>+6</m:t>
            </m:r>
          </m:sub>
        </m:sSub>
        <m:r>
          <w:rPr>
            <w:rFonts w:ascii="Cambria Math"/>
          </w:rPr>
          <m:t>,</m:t>
        </m:r>
        <m:sSub>
          <m:sSubPr>
            <m:ctrlPr>
              <w:rPr>
                <w:rFonts w:ascii="Cambria Math" w:hAnsi="Cambria Math"/>
                <w:i/>
              </w:rPr>
            </m:ctrlPr>
          </m:sSubPr>
          <m:e>
            <m:acc>
              <m:accPr>
                <m:chr m:val="̄"/>
                <m:ctrlPr>
                  <w:rPr>
                    <w:rFonts w:ascii="Cambria Math" w:hAnsi="Cambria Math"/>
                    <w:i/>
                  </w:rPr>
                </m:ctrlPr>
              </m:accPr>
              <m:e>
                <m:r>
                  <w:rPr>
                    <w:rFonts w:ascii="Cambria Math"/>
                  </w:rPr>
                  <m:t>a</m:t>
                </m:r>
              </m:e>
            </m:acc>
          </m:e>
          <m:sub>
            <m:acc>
              <m:accPr>
                <m:chr m:val="̄"/>
                <m:ctrlPr>
                  <w:rPr>
                    <w:rFonts w:ascii="Cambria Math" w:hAnsi="Cambria Math"/>
                    <w:i/>
                  </w:rPr>
                </m:ctrlPr>
              </m:accPr>
              <m:e>
                <m:r>
                  <w:rPr>
                    <w:rFonts w:ascii="Cambria Math"/>
                  </w:rPr>
                  <m:t>A</m:t>
                </m:r>
              </m:e>
            </m:acc>
            <m:r>
              <w:rPr>
                <w:rFonts w:ascii="Cambria Math"/>
              </w:rPr>
              <m:t>+7</m:t>
            </m:r>
          </m:sub>
        </m:sSub>
      </m:oMath>
      <w:r w:rsidRPr="00CD5EF9">
        <w:t xml:space="preserve"> </w:t>
      </w:r>
      <w:r>
        <w:t>as describ</w:t>
      </w:r>
      <w:r w:rsidRPr="00AF1A70">
        <w:t>ed in [</w:t>
      </w:r>
      <w:r>
        <w:t>5</w:t>
      </w:r>
      <w:r w:rsidRPr="00AF1A70">
        <w:t>, TS 38.212]</w:t>
      </w:r>
    </w:p>
    <w:p w14:paraId="2625CEA9" w14:textId="77777777" w:rsidR="00424A8B" w:rsidRPr="00B916EC" w:rsidRDefault="00A10623" w:rsidP="00A10623">
      <w:pPr>
        <w:spacing w:after="160" w:line="259" w:lineRule="auto"/>
      </w:pPr>
      <w:r w:rsidRPr="00B916EC">
        <w:t xml:space="preserve">A UE can be </w:t>
      </w:r>
      <w:r w:rsidR="008B47F5">
        <w:t>provided</w:t>
      </w:r>
      <w:r w:rsidRPr="00B916EC">
        <w:t xml:space="preserve"> per serving cell by </w:t>
      </w:r>
      <w:r w:rsidR="0018651D" w:rsidRPr="00E201AB">
        <w:rPr>
          <w:i/>
        </w:rPr>
        <w:t>ssb</w:t>
      </w:r>
      <w:r w:rsidRPr="00B916EC">
        <w:rPr>
          <w:i/>
        </w:rPr>
        <w:t>-</w:t>
      </w:r>
      <w:r w:rsidR="000803A8">
        <w:rPr>
          <w:i/>
        </w:rPr>
        <w:t>periodicityServingC</w:t>
      </w:r>
      <w:r w:rsidR="000803A8" w:rsidRPr="002E00E8">
        <w:rPr>
          <w:i/>
        </w:rPr>
        <w:t>ell</w:t>
      </w:r>
      <w:r w:rsidRPr="00B916EC">
        <w:t xml:space="preserve"> a periodicity of the half frames for reception of </w:t>
      </w:r>
      <w:r w:rsidR="0018651D">
        <w:t xml:space="preserve">the </w:t>
      </w:r>
      <w:r w:rsidRPr="00B916EC">
        <w:t xml:space="preserve">SS/PBCH blocks </w:t>
      </w:r>
      <w:r w:rsidR="008B47F5">
        <w:t>for the</w:t>
      </w:r>
      <w:r w:rsidRPr="00B916EC">
        <w:t xml:space="preserve"> serving cell. If the UE is not configured a periodicity of the half frames for receptions of </w:t>
      </w:r>
      <w:r w:rsidR="0018651D">
        <w:t xml:space="preserve">the </w:t>
      </w:r>
      <w:r w:rsidRPr="00B916EC">
        <w:t>SS/PBCH blocks, the UE assume</w:t>
      </w:r>
      <w:r w:rsidR="0018651D">
        <w:t>s</w:t>
      </w:r>
      <w:r w:rsidRPr="00B916EC">
        <w:t xml:space="preserve"> a periodicity of a half frame. A UE assume</w:t>
      </w:r>
      <w:r w:rsidR="0018651D">
        <w:t>s</w:t>
      </w:r>
      <w:r w:rsidRPr="00B916EC">
        <w:t xml:space="preserve"> that the periodicity is same for all SS/PBCH blocks in the serving cell.</w:t>
      </w:r>
    </w:p>
    <w:p w14:paraId="1375F8F9" w14:textId="77777777" w:rsidR="008B47F5" w:rsidRDefault="00A10623" w:rsidP="00A10623">
      <w:pPr>
        <w:spacing w:after="160" w:line="259" w:lineRule="auto"/>
      </w:pPr>
      <w:r w:rsidRPr="00B916EC">
        <w:t>For initial cell selection, a UE may assume that half frames with SS/PBCH blocks occur with a periodicity of 2 frames.</w:t>
      </w:r>
      <w:r w:rsidR="000803A8">
        <w:t xml:space="preserve"> </w:t>
      </w:r>
    </w:p>
    <w:p w14:paraId="2FDD1830" w14:textId="77777777" w:rsidR="00956FC0" w:rsidRDefault="00956FC0" w:rsidP="00956FC0">
      <w:pPr>
        <w:spacing w:after="160" w:line="259" w:lineRule="auto"/>
      </w:pPr>
      <w:r>
        <w:t>For operation without shared spectrum channel access, an SS/PBCH block index is same as a candidate SS/PBCH block index.</w:t>
      </w:r>
    </w:p>
    <w:p w14:paraId="4277C4E6" w14:textId="0191DCBD" w:rsidR="0047180A" w:rsidRDefault="00956FC0" w:rsidP="00956FC0">
      <w:pPr>
        <w:spacing w:after="160" w:line="259" w:lineRule="auto"/>
      </w:pPr>
      <w:r>
        <w:t xml:space="preserve">For operation with shared spectrum channel access, a UE assumes that transmission of SS/PBCH blocks in a half frame is within a discovery burst transmission window that starts from the first symbol of the first slot in a half-frame. The UE can be provided per serving cell by </w:t>
      </w:r>
      <w:r w:rsidR="007B5C33">
        <w:rPr>
          <w:i/>
        </w:rPr>
        <w:t>discoveryBurst</w:t>
      </w:r>
      <w:r>
        <w:rPr>
          <w:i/>
        </w:rPr>
        <w:t>W</w:t>
      </w:r>
      <w:r w:rsidRPr="00DE04B2">
        <w:rPr>
          <w:i/>
        </w:rPr>
        <w:t>indow</w:t>
      </w:r>
      <w:r>
        <w:rPr>
          <w:i/>
        </w:rPr>
        <w:t>Length</w:t>
      </w:r>
      <w:r>
        <w:t xml:space="preserve"> a duration of the discovery burst transmission window. If</w:t>
      </w:r>
      <w:r w:rsidRPr="00302EF8">
        <w:rPr>
          <w:i/>
        </w:rPr>
        <w:t xml:space="preserve"> </w:t>
      </w:r>
      <w:r w:rsidR="007B5C33">
        <w:rPr>
          <w:i/>
        </w:rPr>
        <w:t>discoveryBurst</w:t>
      </w:r>
      <w:r>
        <w:rPr>
          <w:i/>
        </w:rPr>
        <w:t>W</w:t>
      </w:r>
      <w:r w:rsidRPr="00DE04B2">
        <w:rPr>
          <w:i/>
        </w:rPr>
        <w:t>indow</w:t>
      </w:r>
      <w:r>
        <w:rPr>
          <w:i/>
        </w:rPr>
        <w:t>Length</w:t>
      </w:r>
      <w:r>
        <w:t xml:space="preserve"> is not provided, the UE </w:t>
      </w:r>
      <w:r w:rsidRPr="0003742F">
        <w:t xml:space="preserve">assumes that the duration of the discovery burst transmission window is a half frame. For a serving cell, the UE assumes that a periodicity of the discovery burst transmission window is same as a periodicity of half frames for receptions of SS/PBCH blocks in the </w:t>
      </w:r>
      <w:r w:rsidRPr="003864F0">
        <w:t xml:space="preserve">serving cell. The UE assumes that one or more SS/PBCH blocks indicated by </w:t>
      </w:r>
      <w:r w:rsidRPr="003864F0">
        <w:rPr>
          <w:i/>
          <w:iCs/>
        </w:rPr>
        <w:t>ssb-PositionsInBurst</w:t>
      </w:r>
      <w:r w:rsidRPr="003864F0">
        <w:t xml:space="preserve"> may be transmitted within the discovery burst transmission window and have candidate SS/PBCH blocks indexes corresponding to SS/PBCH block indexes provided by </w:t>
      </w:r>
      <w:r w:rsidRPr="003864F0">
        <w:rPr>
          <w:i/>
          <w:iCs/>
        </w:rPr>
        <w:t>ssb-PositionsInBurst</w:t>
      </w:r>
      <w:r w:rsidRPr="003864F0">
        <w:t xml:space="preserve">. </w:t>
      </w:r>
      <w:r>
        <w:t>If MSB</w:t>
      </w:r>
      <w:r w:rsidRPr="003864F0">
        <w:t xml:space="preserve"> </w:t>
      </w:r>
      <m:oMath>
        <m:r>
          <w:rPr>
            <w:rFonts w:ascii="Cambria Math" w:hAnsi="Cambria Math"/>
          </w:rPr>
          <m:t>k</m:t>
        </m:r>
      </m:oMath>
      <w:r>
        <w:t xml:space="preserve">, </w:t>
      </w:r>
      <m:oMath>
        <m:r>
          <w:rPr>
            <w:rFonts w:ascii="Cambria Math" w:hAnsi="Cambria Math"/>
          </w:rPr>
          <m:t>k≥1</m:t>
        </m:r>
      </m:oMath>
      <w:r>
        <w:t xml:space="preserve">, </w:t>
      </w:r>
      <w:r w:rsidRPr="003864F0">
        <w:t xml:space="preserve">of </w:t>
      </w:r>
      <w:r w:rsidRPr="003864F0">
        <w:rPr>
          <w:i/>
        </w:rPr>
        <w:t>ssb-PositionsInBurst</w:t>
      </w:r>
      <w:r w:rsidRPr="003864F0">
        <w:t xml:space="preserve"> is set to 1, the UE assumes that SS/PBCH block</w:t>
      </w:r>
      <w:r w:rsidR="006A3A7F">
        <w:t>(</w:t>
      </w:r>
      <w:r w:rsidRPr="003864F0">
        <w:t>s</w:t>
      </w:r>
      <w:r w:rsidR="006A3A7F">
        <w:t>)</w:t>
      </w:r>
      <w:r w:rsidRPr="003864F0">
        <w:t xml:space="preserve"> within the discovery burst transmission window </w:t>
      </w:r>
      <w:r>
        <w:t>with</w:t>
      </w:r>
      <w:r w:rsidRPr="003864F0">
        <w:t xml:space="preserve"> candidate SS/</w:t>
      </w:r>
      <w:r>
        <w:t>PBCH block index</w:t>
      </w:r>
      <w:r w:rsidR="006A3A7F">
        <w:t>(</w:t>
      </w:r>
      <w:r>
        <w:t>es</w:t>
      </w:r>
      <w:r w:rsidR="006A3A7F">
        <w:t>)</w:t>
      </w:r>
      <w:r>
        <w:t xml:space="preserve"> corresponding to SS/PBCH block index equal to </w:t>
      </w:r>
      <m:oMath>
        <m:r>
          <w:rPr>
            <w:rFonts w:ascii="Cambria Math" w:hAnsi="Cambria Math"/>
          </w:rPr>
          <m:t>k-1</m:t>
        </m:r>
      </m:oMath>
      <w:r>
        <w:t xml:space="preserve"> may be transmitted; if MSB </w:t>
      </w:r>
      <m:oMath>
        <m:r>
          <w:rPr>
            <w:rFonts w:ascii="Cambria Math" w:hAnsi="Cambria Math"/>
          </w:rPr>
          <m:t>k</m:t>
        </m:r>
      </m:oMath>
      <w:r w:rsidRPr="003864F0">
        <w:t xml:space="preserve"> is set to 0, the UE assumes that the SS/PBCH block(s) are not transmitted</w:t>
      </w:r>
      <w:r>
        <w:t>.</w:t>
      </w:r>
      <w:r w:rsidR="00EB76A5">
        <w:t xml:space="preserve"> </w:t>
      </w:r>
      <w:r w:rsidR="00EB76A5" w:rsidRPr="00B27E56">
        <w:t xml:space="preserve">If MSB </w:t>
      </w:r>
      <m:oMath>
        <m:r>
          <w:rPr>
            <w:rFonts w:ascii="Cambria Math" w:hAnsi="Cambria Math"/>
          </w:rPr>
          <m:t>k</m:t>
        </m:r>
      </m:oMath>
      <w:r w:rsidR="00EB76A5" w:rsidRPr="00B27E56">
        <w:t xml:space="preserve">, </w:t>
      </w:r>
      <m:oMath>
        <m:r>
          <w:rPr>
            <w:rFonts w:ascii="Cambria Math" w:hAnsi="Cambria Math"/>
          </w:rPr>
          <m:t>k≥1</m:t>
        </m:r>
      </m:oMath>
      <w:r w:rsidR="00EB76A5" w:rsidRPr="00B27E56">
        <w:t xml:space="preserve">, of </w:t>
      </w:r>
      <w:r w:rsidR="00EB76A5" w:rsidRPr="00B27E56">
        <w:rPr>
          <w:i/>
        </w:rPr>
        <w:t xml:space="preserve">inOneGroup </w:t>
      </w:r>
      <w:r w:rsidR="00EB76A5" w:rsidRPr="00B27E56">
        <w:t xml:space="preserve">is set to 1, and MSB </w:t>
      </w:r>
      <m:oMath>
        <m:r>
          <w:rPr>
            <w:rFonts w:ascii="Cambria Math" w:hAnsi="Cambria Math"/>
          </w:rPr>
          <m:t>m</m:t>
        </m:r>
      </m:oMath>
      <w:r w:rsidR="00EB76A5" w:rsidRPr="00B27E56">
        <w:t xml:space="preserve">, </w:t>
      </w:r>
      <m:oMath>
        <m:r>
          <w:rPr>
            <w:rFonts w:ascii="Cambria Math" w:hAnsi="Cambria Math"/>
          </w:rPr>
          <m:t>m≥1</m:t>
        </m:r>
      </m:oMath>
      <w:r w:rsidR="00EB76A5" w:rsidRPr="00B27E56">
        <w:t xml:space="preserve">, of </w:t>
      </w:r>
      <w:r w:rsidR="00EB76A5" w:rsidRPr="00B27E56">
        <w:rPr>
          <w:i/>
        </w:rPr>
        <w:t xml:space="preserve">groupPresence </w:t>
      </w:r>
      <w:r w:rsidR="00EB76A5" w:rsidRPr="00B27E56">
        <w:t xml:space="preserve">is set to 1, the UE assumes that SS/PBCH block(s) within the discovery burst transmission window with </w:t>
      </w:r>
      <w:r w:rsidR="00EB76A5" w:rsidRPr="00B27E56">
        <w:lastRenderedPageBreak/>
        <w:t xml:space="preserve">candidate SS/PBCH block index(es) corresponding to SS/PBCH block index determined by </w:t>
      </w:r>
      <m:oMath>
        <m:r>
          <w:rPr>
            <w:rFonts w:ascii="Cambria Math" w:hAnsi="Cambria Math"/>
          </w:rPr>
          <m:t>k</m:t>
        </m:r>
      </m:oMath>
      <w:r w:rsidR="00EB76A5" w:rsidRPr="00B27E56">
        <w:t xml:space="preserve"> and </w:t>
      </w:r>
      <m:oMath>
        <m:r>
          <w:rPr>
            <w:rFonts w:ascii="Cambria Math" w:hAnsi="Cambria Math"/>
          </w:rPr>
          <m:t>m</m:t>
        </m:r>
      </m:oMath>
      <w:r w:rsidR="00EB76A5" w:rsidRPr="00B27E56">
        <w:t xml:space="preserve"> may be transmitted; otherwise, the UE assumes that the SS/PBCH block(s) are not transmitted.</w:t>
      </w:r>
    </w:p>
    <w:p w14:paraId="209F3FFF" w14:textId="282300FC" w:rsidR="00956FC0" w:rsidRDefault="00956FC0" w:rsidP="00956FC0">
      <w:pPr>
        <w:spacing w:after="160" w:line="259" w:lineRule="auto"/>
      </w:pPr>
      <w:r w:rsidRPr="00000DF3">
        <w:t>For operation with shared spectrum channel access</w:t>
      </w:r>
      <w:r w:rsidR="00EB76A5">
        <w:t xml:space="preserve"> </w:t>
      </w:r>
      <w:r w:rsidR="00EB76A5" w:rsidRPr="00B27E56">
        <w:t>in FR1</w:t>
      </w:r>
      <w:r w:rsidRPr="00000DF3">
        <w:t>, a UE assumes that SS/</w:t>
      </w:r>
      <w:r w:rsidRPr="00C61DAC">
        <w:t xml:space="preserve">PBCH blocks in a serving cell that are within a same </w:t>
      </w:r>
      <w:r>
        <w:t>discovery burst</w:t>
      </w:r>
      <w:r w:rsidRPr="00C61DAC">
        <w:t xml:space="preserve"> transmission window or across </w:t>
      </w:r>
      <w:r>
        <w:t>discovery burst</w:t>
      </w:r>
      <w:r w:rsidRPr="00C61DAC">
        <w:t xml:space="preserve"> transmission windows are quasi co-located with respect to average gain, </w:t>
      </w:r>
      <w:r w:rsidR="00FF067E">
        <w:t>quasi co-location 't</w:t>
      </w:r>
      <w:r w:rsidRPr="00C61DAC">
        <w:t>ypeA</w:t>
      </w:r>
      <w:r w:rsidR="00FF067E">
        <w:t>'</w:t>
      </w:r>
      <w:r w:rsidRPr="00C61DAC">
        <w:t xml:space="preserve"> and </w:t>
      </w:r>
      <w:r w:rsidR="00FF067E">
        <w:t>'t</w:t>
      </w:r>
      <w:r w:rsidRPr="00C61DAC">
        <w:t>ypeD</w:t>
      </w:r>
      <w:r w:rsidR="00FF067E">
        <w:t>'</w:t>
      </w:r>
      <w:r w:rsidRPr="00C61DAC">
        <w:t xml:space="preserve"> properties, when applicable</w:t>
      </w:r>
      <w:r w:rsidRPr="00C61DAC">
        <w:rPr>
          <w:kern w:val="2"/>
          <w:lang w:eastAsia="zh-CN"/>
        </w:rPr>
        <w:t xml:space="preserve"> [6, TS 38.214], if a value of </w:t>
      </w:r>
      <m:oMath>
        <m:d>
          <m:dPr>
            <m:ctrlPr>
              <w:rPr>
                <w:rFonts w:ascii="Cambria Math" w:hAnsi="Cambria Math"/>
                <w:i/>
              </w:rPr>
            </m:ctrlPr>
          </m:dPr>
          <m:e>
            <m:sSubSup>
              <m:sSubSupPr>
                <m:ctrlPr>
                  <w:rPr>
                    <w:rFonts w:ascii="Cambria Math" w:hAnsi="Cambria Math"/>
                    <w:i/>
                  </w:rPr>
                </m:ctrlPr>
              </m:sSubSupPr>
              <m:e>
                <m:r>
                  <w:rPr>
                    <w:rFonts w:ascii="Cambria Math"/>
                  </w:rPr>
                  <m:t>N</m:t>
                </m:r>
              </m:e>
              <m:sub>
                <m:r>
                  <w:rPr>
                    <w:rFonts w:ascii="Cambria Math"/>
                  </w:rPr>
                  <m:t>DM</m:t>
                </m:r>
                <m:r>
                  <w:rPr>
                    <w:rFonts w:ascii="Cambria Math"/>
                  </w:rPr>
                  <m:t>-</m:t>
                </m:r>
                <m:r>
                  <w:rPr>
                    <w:rFonts w:ascii="Cambria Math"/>
                  </w:rPr>
                  <m:t>RS</m:t>
                </m:r>
              </m:sub>
              <m:sup>
                <m:r>
                  <w:rPr>
                    <w:rFonts w:ascii="Cambria Math"/>
                  </w:rPr>
                  <m:t>PBCH</m:t>
                </m:r>
              </m:sup>
            </m:sSubSup>
            <m:func>
              <m:funcPr>
                <m:ctrlPr>
                  <w:rPr>
                    <w:rFonts w:ascii="Cambria Math" w:hAnsi="Cambria Math"/>
                    <w:i/>
                  </w:rPr>
                </m:ctrlPr>
              </m:funcPr>
              <m:fName>
                <m:r>
                  <m:rPr>
                    <m:sty m:val="p"/>
                  </m:rPr>
                  <w:rPr>
                    <w:rFonts w:ascii="Cambria Math"/>
                  </w:rPr>
                  <m:t>mod</m:t>
                </m:r>
              </m:fName>
              <m:e>
                <m:sSubSup>
                  <m:sSubSupPr>
                    <m:ctrlPr>
                      <w:rPr>
                        <w:rFonts w:ascii="Cambria Math" w:hAnsi="Cambria Math"/>
                        <w:i/>
                      </w:rPr>
                    </m:ctrlPr>
                  </m:sSubSupPr>
                  <m:e>
                    <m:r>
                      <w:rPr>
                        <w:rFonts w:ascii="Cambria Math"/>
                      </w:rPr>
                      <m:t>N</m:t>
                    </m:r>
                  </m:e>
                  <m:sub>
                    <m:r>
                      <w:rPr>
                        <w:rFonts w:ascii="Cambria Math"/>
                      </w:rPr>
                      <m:t>SSB</m:t>
                    </m:r>
                  </m:sub>
                  <m:sup>
                    <m:r>
                      <w:rPr>
                        <w:rFonts w:ascii="Cambria Math"/>
                      </w:rPr>
                      <m:t>QCL</m:t>
                    </m:r>
                  </m:sup>
                </m:sSubSup>
              </m:e>
            </m:func>
          </m:e>
        </m:d>
      </m:oMath>
      <w:r w:rsidRPr="00000DF3">
        <w:t xml:space="preserve"> </w:t>
      </w:r>
      <w:r w:rsidRPr="00C61DAC">
        <w:t xml:space="preserve">is same among the SS/PBCH blocks. </w:t>
      </w:r>
      <m:oMath>
        <m:sSubSup>
          <m:sSubSupPr>
            <m:ctrlPr>
              <w:rPr>
                <w:rFonts w:ascii="Cambria Math" w:hAnsi="Cambria Math"/>
                <w:i/>
              </w:rPr>
            </m:ctrlPr>
          </m:sSubSupPr>
          <m:e>
            <m:r>
              <w:rPr>
                <w:rFonts w:ascii="Cambria Math"/>
              </w:rPr>
              <m:t>N</m:t>
            </m:r>
          </m:e>
          <m:sub>
            <m:r>
              <w:rPr>
                <w:rFonts w:ascii="Cambria Math"/>
              </w:rPr>
              <m:t>DM</m:t>
            </m:r>
            <m:r>
              <w:rPr>
                <w:rFonts w:ascii="Cambria Math"/>
              </w:rPr>
              <m:t>-</m:t>
            </m:r>
            <m:r>
              <w:rPr>
                <w:rFonts w:ascii="Cambria Math"/>
              </w:rPr>
              <m:t>RS</m:t>
            </m:r>
          </m:sub>
          <m:sup>
            <m:r>
              <w:rPr>
                <w:rFonts w:ascii="Cambria Math"/>
              </w:rPr>
              <m:t>PBCH</m:t>
            </m:r>
          </m:sup>
        </m:sSubSup>
      </m:oMath>
      <w:r w:rsidRPr="00C61DAC">
        <w:t xml:space="preserve"> is an </w:t>
      </w:r>
      <w:r w:rsidRPr="00C61DAC">
        <w:rPr>
          <w:lang w:eastAsia="ja-JP"/>
        </w:rPr>
        <w:t xml:space="preserve">index of a DM-RS sequence transmitted in a PBCH of a corresponding SS/PBCH block, and </w:t>
      </w:r>
      <m:oMath>
        <m:sSubSup>
          <m:sSubSupPr>
            <m:ctrlPr>
              <w:rPr>
                <w:rFonts w:ascii="Cambria Math" w:hAnsi="Cambria Math"/>
                <w:i/>
              </w:rPr>
            </m:ctrlPr>
          </m:sSubSupPr>
          <m:e>
            <m:r>
              <w:rPr>
                <w:rFonts w:ascii="Cambria Math"/>
              </w:rPr>
              <m:t>N</m:t>
            </m:r>
          </m:e>
          <m:sub>
            <m:r>
              <w:rPr>
                <w:rFonts w:ascii="Cambria Math"/>
              </w:rPr>
              <m:t>SSB</m:t>
            </m:r>
          </m:sub>
          <m:sup>
            <m:r>
              <w:rPr>
                <w:rFonts w:ascii="Cambria Math"/>
              </w:rPr>
              <m:t>QCL</m:t>
            </m:r>
          </m:sup>
        </m:sSubSup>
      </m:oMath>
      <w:r w:rsidRPr="00000DF3">
        <w:t xml:space="preserve"> is</w:t>
      </w:r>
      <w:r>
        <w:t xml:space="preserve"> either provided by </w:t>
      </w:r>
      <w:r w:rsidRPr="00CF1C8E">
        <w:rPr>
          <w:i/>
        </w:rPr>
        <w:t>ssb</w:t>
      </w:r>
      <w:r w:rsidR="006A3A7F">
        <w:rPr>
          <w:i/>
        </w:rPr>
        <w:t>-</w:t>
      </w:r>
      <w:r w:rsidRPr="00CF1C8E">
        <w:rPr>
          <w:i/>
        </w:rPr>
        <w:t>PositionQCL</w:t>
      </w:r>
      <w:r>
        <w:t xml:space="preserve"> or, if </w:t>
      </w:r>
      <w:r w:rsidRPr="00CF1C8E">
        <w:rPr>
          <w:i/>
        </w:rPr>
        <w:t>ssb</w:t>
      </w:r>
      <w:r w:rsidR="006A3A7F">
        <w:rPr>
          <w:i/>
        </w:rPr>
        <w:t>-</w:t>
      </w:r>
      <w:r w:rsidRPr="00CF1C8E">
        <w:rPr>
          <w:i/>
        </w:rPr>
        <w:t>PositionQCL</w:t>
      </w:r>
      <w:r>
        <w:t xml:space="preserve"> is not provided,</w:t>
      </w:r>
      <w:r>
        <w:rPr>
          <w:i/>
        </w:rPr>
        <w:t xml:space="preserve"> </w:t>
      </w:r>
      <w:r>
        <w:t>obtained from</w:t>
      </w:r>
      <w:r w:rsidRPr="00000DF3">
        <w:t xml:space="preserve"> </w:t>
      </w:r>
      <w:r>
        <w:t>a</w:t>
      </w:r>
      <w:r w:rsidRPr="002F4E87">
        <w:t xml:space="preserve"> </w:t>
      </w:r>
      <w:r w:rsidRPr="00237F04">
        <w:rPr>
          <w:i/>
        </w:rPr>
        <w:t>MIB</w:t>
      </w:r>
      <w:r>
        <w:t xml:space="preserve"> </w:t>
      </w:r>
      <w:r>
        <w:rPr>
          <w:lang w:eastAsia="ja-JP"/>
        </w:rPr>
        <w:t>provided by</w:t>
      </w:r>
      <w:r w:rsidRPr="00C61DAC">
        <w:rPr>
          <w:lang w:eastAsia="ja-JP"/>
        </w:rPr>
        <w:t xml:space="preserve"> </w:t>
      </w:r>
      <w:r>
        <w:rPr>
          <w:lang w:eastAsia="ja-JP"/>
        </w:rPr>
        <w:t>a</w:t>
      </w:r>
      <w:r w:rsidRPr="00C61DAC">
        <w:rPr>
          <w:lang w:eastAsia="ja-JP"/>
        </w:rPr>
        <w:t xml:space="preserve"> SS/PBCH block</w:t>
      </w:r>
      <w:r>
        <w:t xml:space="preserve"> according to Table </w:t>
      </w:r>
      <w:r w:rsidR="002015E7" w:rsidRPr="00401374">
        <w:t>4</w:t>
      </w:r>
      <w:r w:rsidR="002015E7">
        <w:t>.1</w:t>
      </w:r>
      <w:r w:rsidR="002015E7" w:rsidRPr="00401374">
        <w:t xml:space="preserve">-1 </w:t>
      </w:r>
      <w:r w:rsidR="002015E7" w:rsidRPr="00401374">
        <w:rPr>
          <w:snapToGrid w:val="0"/>
          <w:kern w:val="2"/>
          <w:szCs w:val="22"/>
          <w:lang w:eastAsia="ko-KR"/>
        </w:rPr>
        <w:t xml:space="preserve">with </w:t>
      </w:r>
      <m:oMath>
        <m:sSub>
          <m:sSubPr>
            <m:ctrlPr>
              <w:rPr>
                <w:rFonts w:ascii="Cambria Math" w:eastAsia="Malgun Gothic" w:hAnsi="Cambria Math"/>
                <w:i/>
                <w:snapToGrid w:val="0"/>
                <w:kern w:val="2"/>
                <w:szCs w:val="22"/>
                <w:lang w:eastAsia="ko-KR"/>
              </w:rPr>
            </m:ctrlPr>
          </m:sSubPr>
          <m:e>
            <m:r>
              <w:rPr>
                <w:rFonts w:ascii="Cambria Math" w:eastAsia="Malgun Gothic" w:hAnsi="Cambria Math"/>
                <w:snapToGrid w:val="0"/>
                <w:kern w:val="2"/>
                <w:szCs w:val="22"/>
                <w:lang w:eastAsia="ko-KR"/>
              </w:rPr>
              <m:t>k</m:t>
            </m:r>
          </m:e>
          <m:sub>
            <m:r>
              <w:rPr>
                <w:rFonts w:ascii="Cambria Math" w:eastAsia="Malgun Gothic" w:hAnsi="Cambria Math"/>
                <w:snapToGrid w:val="0"/>
                <w:kern w:val="2"/>
                <w:szCs w:val="22"/>
                <w:lang w:eastAsia="ko-KR"/>
              </w:rPr>
              <m:t>SSB</m:t>
            </m:r>
          </m:sub>
        </m:sSub>
        <m:r>
          <w:rPr>
            <w:rFonts w:ascii="Cambria Math" w:eastAsia="Malgun Gothic" w:hAnsi="Cambria Math"/>
            <w:snapToGrid w:val="0"/>
            <w:kern w:val="2"/>
            <w:szCs w:val="22"/>
            <w:lang w:eastAsia="ko-KR"/>
          </w:rPr>
          <m:t>&lt;24</m:t>
        </m:r>
      </m:oMath>
      <w:r w:rsidR="002015E7" w:rsidRPr="00401374">
        <w:rPr>
          <w:snapToGrid w:val="0"/>
          <w:kern w:val="2"/>
          <w:szCs w:val="22"/>
        </w:rPr>
        <w:t xml:space="preserve"> [4, </w:t>
      </w:r>
      <w:r w:rsidR="002015E7">
        <w:rPr>
          <w:snapToGrid w:val="0"/>
          <w:kern w:val="2"/>
          <w:szCs w:val="22"/>
        </w:rPr>
        <w:t xml:space="preserve">TS </w:t>
      </w:r>
      <w:r w:rsidR="002015E7" w:rsidRPr="00401374">
        <w:rPr>
          <w:snapToGrid w:val="0"/>
          <w:kern w:val="2"/>
          <w:szCs w:val="22"/>
        </w:rPr>
        <w:t>38.211]</w:t>
      </w:r>
      <w:r w:rsidR="002015E7" w:rsidRPr="00401374">
        <w:t xml:space="preserve">. </w:t>
      </w:r>
      <w:r>
        <w:t xml:space="preserve">The UE can determine an SS/PBCH block index according to </w:t>
      </w:r>
      <m:oMath>
        <m:d>
          <m:dPr>
            <m:ctrlPr>
              <w:rPr>
                <w:rFonts w:ascii="Cambria Math" w:hAnsi="Cambria Math"/>
                <w:i/>
              </w:rPr>
            </m:ctrlPr>
          </m:dPr>
          <m:e>
            <m:sSubSup>
              <m:sSubSupPr>
                <m:ctrlPr>
                  <w:rPr>
                    <w:rFonts w:ascii="Cambria Math" w:hAnsi="Cambria Math"/>
                    <w:i/>
                  </w:rPr>
                </m:ctrlPr>
              </m:sSubSupPr>
              <m:e>
                <m:r>
                  <w:rPr>
                    <w:rFonts w:ascii="Cambria Math"/>
                  </w:rPr>
                  <m:t>N</m:t>
                </m:r>
              </m:e>
              <m:sub>
                <m:r>
                  <w:rPr>
                    <w:rFonts w:ascii="Cambria Math"/>
                  </w:rPr>
                  <m:t>DM</m:t>
                </m:r>
                <m:r>
                  <w:rPr>
                    <w:rFonts w:ascii="Cambria Math"/>
                  </w:rPr>
                  <m:t>-</m:t>
                </m:r>
                <m:r>
                  <w:rPr>
                    <w:rFonts w:ascii="Cambria Math"/>
                  </w:rPr>
                  <m:t>RS</m:t>
                </m:r>
              </m:sub>
              <m:sup>
                <m:r>
                  <w:rPr>
                    <w:rFonts w:ascii="Cambria Math"/>
                  </w:rPr>
                  <m:t>PBCH</m:t>
                </m:r>
              </m:sup>
            </m:sSubSup>
            <m:func>
              <m:funcPr>
                <m:ctrlPr>
                  <w:rPr>
                    <w:rFonts w:ascii="Cambria Math" w:hAnsi="Cambria Math"/>
                    <w:i/>
                  </w:rPr>
                </m:ctrlPr>
              </m:funcPr>
              <m:fName>
                <m:r>
                  <m:rPr>
                    <m:sty m:val="p"/>
                  </m:rPr>
                  <w:rPr>
                    <w:rFonts w:ascii="Cambria Math"/>
                  </w:rPr>
                  <m:t>mod</m:t>
                </m:r>
              </m:fName>
              <m:e>
                <m:sSubSup>
                  <m:sSubSupPr>
                    <m:ctrlPr>
                      <w:rPr>
                        <w:rFonts w:ascii="Cambria Math" w:hAnsi="Cambria Math"/>
                        <w:i/>
                      </w:rPr>
                    </m:ctrlPr>
                  </m:sSubSupPr>
                  <m:e>
                    <m:r>
                      <w:rPr>
                        <w:rFonts w:ascii="Cambria Math"/>
                      </w:rPr>
                      <m:t>N</m:t>
                    </m:r>
                  </m:e>
                  <m:sub>
                    <m:r>
                      <w:rPr>
                        <w:rFonts w:ascii="Cambria Math"/>
                      </w:rPr>
                      <m:t>SSB</m:t>
                    </m:r>
                  </m:sub>
                  <m:sup>
                    <m:r>
                      <w:rPr>
                        <w:rFonts w:ascii="Cambria Math"/>
                      </w:rPr>
                      <m:t>QCL</m:t>
                    </m:r>
                  </m:sup>
                </m:sSubSup>
              </m:e>
            </m:func>
          </m:e>
        </m:d>
      </m:oMath>
      <w:r>
        <w:t xml:space="preserve">, or according to </w:t>
      </w:r>
      <m:oMath>
        <m:d>
          <m:dPr>
            <m:ctrlPr>
              <w:rPr>
                <w:rFonts w:ascii="Cambria Math" w:hAnsi="Cambria Math"/>
                <w:i/>
              </w:rPr>
            </m:ctrlPr>
          </m:dPr>
          <m:e>
            <m:acc>
              <m:accPr>
                <m:chr m:val="̅"/>
                <m:ctrlPr>
                  <w:rPr>
                    <w:rFonts w:ascii="Cambria Math" w:hAnsi="Cambria Math"/>
                    <w:i/>
                  </w:rPr>
                </m:ctrlPr>
              </m:accPr>
              <m:e>
                <m:r>
                  <w:rPr>
                    <w:rFonts w:ascii="Cambria Math" w:hAnsi="Cambria Math"/>
                  </w:rPr>
                  <m:t>i</m:t>
                </m:r>
              </m:e>
            </m:acc>
            <m:r>
              <w:rPr>
                <w:rFonts w:ascii="Cambria Math" w:hAnsi="Cambria Math"/>
              </w:rPr>
              <m:t xml:space="preserve"> </m:t>
            </m:r>
            <m:func>
              <m:funcPr>
                <m:ctrlPr>
                  <w:rPr>
                    <w:rFonts w:ascii="Cambria Math" w:hAnsi="Cambria Math"/>
                    <w:i/>
                  </w:rPr>
                </m:ctrlPr>
              </m:funcPr>
              <m:fName>
                <m:r>
                  <m:rPr>
                    <m:sty m:val="p"/>
                  </m:rPr>
                  <w:rPr>
                    <w:rFonts w:ascii="Cambria Math"/>
                  </w:rPr>
                  <m:t>mod</m:t>
                </m:r>
              </m:fName>
              <m:e>
                <m:sSubSup>
                  <m:sSubSupPr>
                    <m:ctrlPr>
                      <w:rPr>
                        <w:rFonts w:ascii="Cambria Math" w:hAnsi="Cambria Math"/>
                        <w:i/>
                      </w:rPr>
                    </m:ctrlPr>
                  </m:sSubSupPr>
                  <m:e>
                    <m:r>
                      <w:rPr>
                        <w:rFonts w:ascii="Cambria Math"/>
                      </w:rPr>
                      <m:t>N</m:t>
                    </m:r>
                  </m:e>
                  <m:sub>
                    <m:r>
                      <w:rPr>
                        <w:rFonts w:ascii="Cambria Math"/>
                      </w:rPr>
                      <m:t>SSB</m:t>
                    </m:r>
                  </m:sub>
                  <m:sup>
                    <m:r>
                      <w:rPr>
                        <w:rFonts w:ascii="Cambria Math"/>
                      </w:rPr>
                      <m:t>QCL</m:t>
                    </m:r>
                  </m:sup>
                </m:sSubSup>
              </m:e>
            </m:func>
          </m:e>
        </m:d>
      </m:oMath>
      <w:r>
        <w:t xml:space="preserve"> where </w:t>
      </w:r>
      <m:oMath>
        <m:acc>
          <m:accPr>
            <m:chr m:val="̅"/>
            <m:ctrlPr>
              <w:rPr>
                <w:rFonts w:ascii="Cambria Math" w:hAnsi="Cambria Math"/>
                <w:i/>
              </w:rPr>
            </m:ctrlPr>
          </m:accPr>
          <m:e>
            <m:r>
              <w:rPr>
                <w:rFonts w:ascii="Cambria Math" w:hAnsi="Cambria Math"/>
              </w:rPr>
              <m:t>i</m:t>
            </m:r>
          </m:e>
        </m:acc>
      </m:oMath>
      <w:r>
        <w:t xml:space="preserve"> is the candidate SS/PBCH block index.</w:t>
      </w:r>
      <w:r w:rsidR="002015E7">
        <w:t xml:space="preserve"> </w:t>
      </w:r>
      <w:r w:rsidR="002015E7" w:rsidRPr="005D5691">
        <w:t xml:space="preserve">The UE assumes that within a discovery burst transmission window, a number of transmitted SS/PBCH blocks on a serving cell is not larger than </w:t>
      </w:r>
      <m:oMath>
        <m:sSubSup>
          <m:sSubSupPr>
            <m:ctrlPr>
              <w:rPr>
                <w:rFonts w:ascii="Cambria Math" w:hAnsi="Cambria Math" w:cs="Calibri"/>
                <w:i/>
                <w:iCs/>
                <w:sz w:val="24"/>
              </w:rPr>
            </m:ctrlPr>
          </m:sSubSupPr>
          <m:e>
            <m:r>
              <w:rPr>
                <w:rFonts w:ascii="Cambria Math" w:hAnsi="Cambria Math"/>
              </w:rPr>
              <m:t>N</m:t>
            </m:r>
          </m:e>
          <m:sub>
            <m:r>
              <w:rPr>
                <w:rFonts w:ascii="Cambria Math" w:hAnsi="Cambria Math"/>
              </w:rPr>
              <m:t>SSB</m:t>
            </m:r>
          </m:sub>
          <m:sup>
            <m:r>
              <w:rPr>
                <w:rFonts w:ascii="Cambria Math" w:hAnsi="Cambria Math"/>
              </w:rPr>
              <m:t>QCL</m:t>
            </m:r>
          </m:sup>
        </m:sSubSup>
      </m:oMath>
      <w:r w:rsidR="002015E7" w:rsidRPr="005D5691">
        <w:rPr>
          <w:lang w:eastAsia="ko-KR"/>
        </w:rPr>
        <w:t xml:space="preserve"> </w:t>
      </w:r>
      <w:r w:rsidR="002015E7" w:rsidRPr="005D5691">
        <w:t xml:space="preserve">and a number of transmitted SS/PBCH blocks with </w:t>
      </w:r>
      <w:r w:rsidR="002015E7">
        <w:t>a</w:t>
      </w:r>
      <w:r w:rsidR="002015E7" w:rsidRPr="005D5691">
        <w:t xml:space="preserve"> same SS/PBCH block index is </w:t>
      </w:r>
      <w:r w:rsidR="002015E7">
        <w:t>not larger than</w:t>
      </w:r>
      <w:r w:rsidR="002015E7" w:rsidRPr="005D5691">
        <w:t xml:space="preserve"> one.</w:t>
      </w:r>
    </w:p>
    <w:p w14:paraId="1866D522" w14:textId="0E7C08DA" w:rsidR="00956FC0" w:rsidRPr="002F4E87" w:rsidRDefault="00956FC0" w:rsidP="0047180A">
      <w:pPr>
        <w:pStyle w:val="TH"/>
      </w:pPr>
      <w:r>
        <w:t>Table 4</w:t>
      </w:r>
      <w:r w:rsidR="002015E7">
        <w:t>.1</w:t>
      </w:r>
      <w:r>
        <w:t>-1</w:t>
      </w:r>
      <w:r w:rsidRPr="002F4E87">
        <w:t xml:space="preserve">: Mapping between the combination of </w:t>
      </w:r>
      <w:r w:rsidRPr="00A77CA3">
        <w:rPr>
          <w:i/>
        </w:rPr>
        <w:t>subCarrierSpacingCommon</w:t>
      </w:r>
      <w:r w:rsidRPr="002F4E87">
        <w:rPr>
          <w:iCs/>
        </w:rPr>
        <w:t xml:space="preserve"> </w:t>
      </w:r>
      <w:r w:rsidRPr="002F4E87">
        <w:t>and</w:t>
      </w:r>
      <w:r w:rsidRPr="002F4E87">
        <w:rPr>
          <w:iCs/>
        </w:rPr>
        <w:t xml:space="preserve"> </w:t>
      </w:r>
      <w:r w:rsidRPr="002F4E87">
        <w:t>LSB of</w:t>
      </w:r>
      <w:r w:rsidRPr="002F4E87">
        <w:rPr>
          <w:iCs/>
        </w:rPr>
        <w:t xml:space="preserve"> </w:t>
      </w:r>
      <w:r w:rsidRPr="00A77CA3">
        <w:rPr>
          <w:i/>
        </w:rPr>
        <w:t>ssb-SubcarrierOffset</w:t>
      </w:r>
      <w:r w:rsidRPr="002F4E87">
        <w:t xml:space="preserve"> to</w:t>
      </w:r>
      <w:r w:rsidRPr="002F4E87">
        <w:rPr>
          <w:iCs/>
        </w:rPr>
        <w:t xml:space="preserve"> </w:t>
      </w:r>
      <m:oMath>
        <m:sSubSup>
          <m:sSubSupPr>
            <m:ctrlPr>
              <w:rPr>
                <w:rFonts w:ascii="Cambria Math" w:hAnsi="Cambria Math"/>
              </w:rPr>
            </m:ctrlPr>
          </m:sSubSupPr>
          <m:e>
            <m:r>
              <m:rPr>
                <m:sty m:val="bi"/>
              </m:rPr>
              <w:rPr>
                <w:rFonts w:ascii="Cambria Math" w:hAnsi="Cambria Math"/>
              </w:rPr>
              <m:t>N</m:t>
            </m:r>
          </m:e>
          <m:sub>
            <m:r>
              <m:rPr>
                <m:sty m:val="bi"/>
              </m:rPr>
              <w:rPr>
                <w:rFonts w:ascii="Cambria Math" w:hAnsi="Cambria Math"/>
              </w:rPr>
              <m:t>SSB</m:t>
            </m:r>
          </m:sub>
          <m:sup>
            <m:r>
              <m:rPr>
                <m:sty m:val="bi"/>
              </m:rPr>
              <w:rPr>
                <w:rFonts w:ascii="Cambria Math" w:hAnsi="Cambria Math"/>
              </w:rPr>
              <m:t>QCL</m:t>
            </m:r>
          </m:sup>
        </m:sSubSup>
      </m:oMath>
      <w:r w:rsidR="00EB76A5" w:rsidRPr="00B27E56">
        <w:t xml:space="preserve"> for operation with shared spectrum channel access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7"/>
        <w:gridCol w:w="3544"/>
        <w:gridCol w:w="1556"/>
      </w:tblGrid>
      <w:tr w:rsidR="00956FC0" w:rsidRPr="00FD5A86" w14:paraId="182272DC" w14:textId="77777777" w:rsidTr="00224F81">
        <w:trPr>
          <w:cantSplit/>
          <w:jc w:val="center"/>
        </w:trPr>
        <w:tc>
          <w:tcPr>
            <w:tcW w:w="2425" w:type="dxa"/>
            <w:tcBorders>
              <w:bottom w:val="double" w:sz="4" w:space="0" w:color="auto"/>
              <w:right w:val="double" w:sz="4" w:space="0" w:color="auto"/>
            </w:tcBorders>
            <w:shd w:val="clear" w:color="auto" w:fill="E0E0E0"/>
            <w:vAlign w:val="center"/>
          </w:tcPr>
          <w:p w14:paraId="3C0B355F" w14:textId="77777777" w:rsidR="00956FC0" w:rsidRPr="002F4E87" w:rsidRDefault="00956FC0" w:rsidP="00224F81">
            <w:pPr>
              <w:pStyle w:val="TAH"/>
              <w:rPr>
                <w:rFonts w:cs="Arial"/>
                <w:bCs/>
                <w:lang w:val="en-US"/>
              </w:rPr>
            </w:pPr>
            <w:r w:rsidRPr="002F4E87">
              <w:rPr>
                <w:rFonts w:cs="Arial"/>
                <w:i/>
                <w:iCs/>
              </w:rPr>
              <w:t>subCarrierSpacingCommon</w:t>
            </w:r>
          </w:p>
        </w:tc>
        <w:tc>
          <w:tcPr>
            <w:tcW w:w="3544" w:type="dxa"/>
            <w:tcBorders>
              <w:left w:val="double" w:sz="4" w:space="0" w:color="auto"/>
              <w:bottom w:val="double" w:sz="4" w:space="0" w:color="auto"/>
            </w:tcBorders>
            <w:shd w:val="clear" w:color="auto" w:fill="E0E0E0"/>
            <w:vAlign w:val="center"/>
          </w:tcPr>
          <w:p w14:paraId="150B43F2" w14:textId="120990CF" w:rsidR="00956FC0" w:rsidRPr="002F4E87" w:rsidRDefault="00956FC0" w:rsidP="00224F81">
            <w:pPr>
              <w:pStyle w:val="TAH"/>
              <w:rPr>
                <w:rFonts w:cs="Arial"/>
                <w:bCs/>
                <w:lang w:val="en-US"/>
              </w:rPr>
            </w:pPr>
            <w:r w:rsidRPr="002F4E87">
              <w:rPr>
                <w:rFonts w:cs="Arial"/>
              </w:rPr>
              <w:t>LSB of</w:t>
            </w:r>
            <w:r w:rsidRPr="002F4E87">
              <w:rPr>
                <w:rFonts w:cs="Arial"/>
                <w:i/>
                <w:iCs/>
              </w:rPr>
              <w:t xml:space="preserve"> ssb-SubcarrierOffset</w:t>
            </w:r>
          </w:p>
        </w:tc>
        <w:tc>
          <w:tcPr>
            <w:tcW w:w="1556" w:type="dxa"/>
            <w:tcBorders>
              <w:bottom w:val="double" w:sz="4" w:space="0" w:color="auto"/>
            </w:tcBorders>
            <w:shd w:val="clear" w:color="auto" w:fill="E0E0E0"/>
            <w:vAlign w:val="center"/>
          </w:tcPr>
          <w:p w14:paraId="6C3A6ADC" w14:textId="77777777" w:rsidR="00956FC0" w:rsidRPr="002F4E87" w:rsidRDefault="00000000" w:rsidP="00224F81">
            <w:pPr>
              <w:pStyle w:val="TAH"/>
              <w:rPr>
                <w:rFonts w:cs="Arial"/>
                <w:bCs/>
                <w:lang w:val="en-US"/>
              </w:rPr>
            </w:pPr>
            <m:oMathPara>
              <m:oMath>
                <m:sSubSup>
                  <m:sSubSupPr>
                    <m:ctrlPr>
                      <w:rPr>
                        <w:rFonts w:ascii="Cambria Math" w:hAnsi="Cambria Math" w:cs="Arial"/>
                        <w:i/>
                      </w:rPr>
                    </m:ctrlPr>
                  </m:sSubSupPr>
                  <m:e>
                    <m:r>
                      <m:rPr>
                        <m:sty m:val="bi"/>
                      </m:rPr>
                      <w:rPr>
                        <w:rFonts w:ascii="Cambria Math" w:hAnsi="Cambria Math" w:cs="Arial"/>
                      </w:rPr>
                      <m:t>N</m:t>
                    </m:r>
                  </m:e>
                  <m:sub>
                    <m:r>
                      <m:rPr>
                        <m:sty m:val="bi"/>
                      </m:rPr>
                      <w:rPr>
                        <w:rFonts w:ascii="Cambria Math" w:hAnsi="Cambria Math" w:cs="Arial"/>
                      </w:rPr>
                      <m:t>SSB</m:t>
                    </m:r>
                  </m:sub>
                  <m:sup>
                    <m:r>
                      <m:rPr>
                        <m:sty m:val="bi"/>
                      </m:rPr>
                      <w:rPr>
                        <w:rFonts w:ascii="Cambria Math" w:hAnsi="Cambria Math" w:cs="Arial"/>
                      </w:rPr>
                      <m:t>QCL</m:t>
                    </m:r>
                  </m:sup>
                </m:sSubSup>
              </m:oMath>
            </m:oMathPara>
          </w:p>
        </w:tc>
      </w:tr>
      <w:tr w:rsidR="00956FC0" w:rsidRPr="00FD5A86" w14:paraId="0B49A82E" w14:textId="77777777" w:rsidTr="00224F81">
        <w:trPr>
          <w:cantSplit/>
          <w:jc w:val="center"/>
        </w:trPr>
        <w:tc>
          <w:tcPr>
            <w:tcW w:w="2425" w:type="dxa"/>
            <w:tcBorders>
              <w:top w:val="double" w:sz="4" w:space="0" w:color="auto"/>
              <w:right w:val="double" w:sz="4" w:space="0" w:color="auto"/>
            </w:tcBorders>
            <w:shd w:val="clear" w:color="auto" w:fill="auto"/>
            <w:vAlign w:val="center"/>
          </w:tcPr>
          <w:p w14:paraId="7C9D1BFD" w14:textId="77777777" w:rsidR="00956FC0" w:rsidRPr="00FD5A86" w:rsidRDefault="00956FC0" w:rsidP="00224F81">
            <w:pPr>
              <w:pStyle w:val="TAC"/>
              <w:rPr>
                <w:lang w:val="en-US"/>
              </w:rPr>
            </w:pPr>
            <w:r w:rsidRPr="0096519C">
              <w:t>scs15or60</w:t>
            </w:r>
          </w:p>
        </w:tc>
        <w:tc>
          <w:tcPr>
            <w:tcW w:w="3544" w:type="dxa"/>
            <w:tcBorders>
              <w:top w:val="double" w:sz="4" w:space="0" w:color="auto"/>
              <w:left w:val="double" w:sz="4" w:space="0" w:color="auto"/>
            </w:tcBorders>
            <w:vAlign w:val="center"/>
          </w:tcPr>
          <w:p w14:paraId="3247B059" w14:textId="77777777" w:rsidR="00956FC0" w:rsidRPr="00FD5A86" w:rsidRDefault="00956FC0" w:rsidP="00224F81">
            <w:pPr>
              <w:pStyle w:val="TAC"/>
              <w:rPr>
                <w:lang w:val="en-US"/>
              </w:rPr>
            </w:pPr>
            <w:r>
              <w:rPr>
                <w:lang w:val="en-US"/>
              </w:rPr>
              <w:t>0</w:t>
            </w:r>
          </w:p>
        </w:tc>
        <w:tc>
          <w:tcPr>
            <w:tcW w:w="1556" w:type="dxa"/>
            <w:tcBorders>
              <w:top w:val="double" w:sz="4" w:space="0" w:color="auto"/>
            </w:tcBorders>
            <w:vAlign w:val="center"/>
          </w:tcPr>
          <w:p w14:paraId="03450E7E" w14:textId="77777777" w:rsidR="00956FC0" w:rsidRPr="00FD5A86" w:rsidRDefault="00956FC0" w:rsidP="00224F81">
            <w:pPr>
              <w:pStyle w:val="TAC"/>
              <w:rPr>
                <w:lang w:val="en-US"/>
              </w:rPr>
            </w:pPr>
            <w:r>
              <w:rPr>
                <w:lang w:val="en-US"/>
              </w:rPr>
              <w:t>1</w:t>
            </w:r>
          </w:p>
        </w:tc>
      </w:tr>
      <w:tr w:rsidR="00956FC0" w:rsidRPr="00FD5A86" w14:paraId="2445EB1D" w14:textId="77777777" w:rsidTr="00224F81">
        <w:trPr>
          <w:cantSplit/>
          <w:jc w:val="center"/>
        </w:trPr>
        <w:tc>
          <w:tcPr>
            <w:tcW w:w="2425" w:type="dxa"/>
            <w:tcBorders>
              <w:right w:val="double" w:sz="4" w:space="0" w:color="auto"/>
            </w:tcBorders>
            <w:shd w:val="clear" w:color="auto" w:fill="auto"/>
            <w:vAlign w:val="center"/>
          </w:tcPr>
          <w:p w14:paraId="23C5AD3B" w14:textId="77777777" w:rsidR="00956FC0" w:rsidRPr="00FD5A86" w:rsidRDefault="00956FC0" w:rsidP="00224F81">
            <w:pPr>
              <w:pStyle w:val="TAC"/>
              <w:rPr>
                <w:lang w:val="en-US"/>
              </w:rPr>
            </w:pPr>
            <w:r w:rsidRPr="0096519C">
              <w:t>scs15or60</w:t>
            </w:r>
          </w:p>
        </w:tc>
        <w:tc>
          <w:tcPr>
            <w:tcW w:w="3544" w:type="dxa"/>
            <w:tcBorders>
              <w:left w:val="double" w:sz="4" w:space="0" w:color="auto"/>
            </w:tcBorders>
            <w:vAlign w:val="center"/>
          </w:tcPr>
          <w:p w14:paraId="71936399" w14:textId="77777777" w:rsidR="00956FC0" w:rsidRPr="00FD5A86" w:rsidRDefault="00956FC0" w:rsidP="00224F81">
            <w:pPr>
              <w:pStyle w:val="TAC"/>
              <w:rPr>
                <w:lang w:val="en-US"/>
              </w:rPr>
            </w:pPr>
            <w:r>
              <w:rPr>
                <w:lang w:val="en-US"/>
              </w:rPr>
              <w:t>1</w:t>
            </w:r>
          </w:p>
        </w:tc>
        <w:tc>
          <w:tcPr>
            <w:tcW w:w="1556" w:type="dxa"/>
            <w:vAlign w:val="center"/>
          </w:tcPr>
          <w:p w14:paraId="3E60D7DC" w14:textId="77777777" w:rsidR="00956FC0" w:rsidRPr="00FD5A86" w:rsidRDefault="00956FC0" w:rsidP="00224F81">
            <w:pPr>
              <w:pStyle w:val="TAC"/>
              <w:rPr>
                <w:lang w:val="en-US"/>
              </w:rPr>
            </w:pPr>
            <w:r>
              <w:rPr>
                <w:lang w:val="en-US"/>
              </w:rPr>
              <w:t>2</w:t>
            </w:r>
          </w:p>
        </w:tc>
      </w:tr>
      <w:tr w:rsidR="00956FC0" w:rsidRPr="00FD5A86" w14:paraId="0FBA8CEF" w14:textId="77777777" w:rsidTr="00224F81">
        <w:trPr>
          <w:cantSplit/>
          <w:jc w:val="center"/>
        </w:trPr>
        <w:tc>
          <w:tcPr>
            <w:tcW w:w="2425" w:type="dxa"/>
            <w:tcBorders>
              <w:right w:val="double" w:sz="4" w:space="0" w:color="auto"/>
            </w:tcBorders>
            <w:shd w:val="clear" w:color="auto" w:fill="auto"/>
            <w:vAlign w:val="center"/>
          </w:tcPr>
          <w:p w14:paraId="2959895C" w14:textId="77777777" w:rsidR="00956FC0" w:rsidRPr="00FD5A86" w:rsidRDefault="00956FC0" w:rsidP="00224F81">
            <w:pPr>
              <w:pStyle w:val="TAC"/>
            </w:pPr>
            <w:r w:rsidRPr="0096519C">
              <w:t>scs30or120</w:t>
            </w:r>
          </w:p>
        </w:tc>
        <w:tc>
          <w:tcPr>
            <w:tcW w:w="3544" w:type="dxa"/>
            <w:tcBorders>
              <w:left w:val="double" w:sz="4" w:space="0" w:color="auto"/>
            </w:tcBorders>
            <w:vAlign w:val="center"/>
          </w:tcPr>
          <w:p w14:paraId="6AF74F62" w14:textId="77777777" w:rsidR="00956FC0" w:rsidRPr="00FD5A86" w:rsidRDefault="00956FC0" w:rsidP="00224F81">
            <w:pPr>
              <w:pStyle w:val="TAC"/>
            </w:pPr>
            <w:r>
              <w:t>0</w:t>
            </w:r>
          </w:p>
        </w:tc>
        <w:tc>
          <w:tcPr>
            <w:tcW w:w="1556" w:type="dxa"/>
            <w:vAlign w:val="center"/>
          </w:tcPr>
          <w:p w14:paraId="2CAD4EF3" w14:textId="77777777" w:rsidR="00956FC0" w:rsidRPr="00FD5A86" w:rsidRDefault="00956FC0" w:rsidP="00224F81">
            <w:pPr>
              <w:pStyle w:val="TAC"/>
            </w:pPr>
            <w:r>
              <w:t>4</w:t>
            </w:r>
          </w:p>
        </w:tc>
      </w:tr>
      <w:tr w:rsidR="00956FC0" w:rsidRPr="00FD5A86" w14:paraId="1FDA3941" w14:textId="77777777" w:rsidTr="00224F81">
        <w:trPr>
          <w:cantSplit/>
          <w:jc w:val="center"/>
        </w:trPr>
        <w:tc>
          <w:tcPr>
            <w:tcW w:w="2425" w:type="dxa"/>
            <w:tcBorders>
              <w:right w:val="double" w:sz="4" w:space="0" w:color="auto"/>
            </w:tcBorders>
            <w:shd w:val="clear" w:color="auto" w:fill="auto"/>
            <w:vAlign w:val="center"/>
          </w:tcPr>
          <w:p w14:paraId="02BD5956" w14:textId="77777777" w:rsidR="00956FC0" w:rsidRPr="00FD5A86" w:rsidRDefault="00956FC0" w:rsidP="00224F81">
            <w:pPr>
              <w:pStyle w:val="TAC"/>
            </w:pPr>
            <w:r w:rsidRPr="0096519C">
              <w:t>scs30or120</w:t>
            </w:r>
          </w:p>
        </w:tc>
        <w:tc>
          <w:tcPr>
            <w:tcW w:w="3544" w:type="dxa"/>
            <w:tcBorders>
              <w:left w:val="double" w:sz="4" w:space="0" w:color="auto"/>
            </w:tcBorders>
            <w:vAlign w:val="center"/>
          </w:tcPr>
          <w:p w14:paraId="3518E7AC" w14:textId="77777777" w:rsidR="00956FC0" w:rsidRPr="00FD5A86" w:rsidRDefault="00956FC0" w:rsidP="00224F81">
            <w:pPr>
              <w:pStyle w:val="TAC"/>
            </w:pPr>
            <w:r>
              <w:t>1</w:t>
            </w:r>
          </w:p>
        </w:tc>
        <w:tc>
          <w:tcPr>
            <w:tcW w:w="1556" w:type="dxa"/>
            <w:vAlign w:val="center"/>
          </w:tcPr>
          <w:p w14:paraId="177C8A81" w14:textId="77777777" w:rsidR="00956FC0" w:rsidRPr="00FD5A86" w:rsidRDefault="00956FC0" w:rsidP="00224F81">
            <w:pPr>
              <w:pStyle w:val="TAC"/>
            </w:pPr>
            <w:r>
              <w:t>8</w:t>
            </w:r>
          </w:p>
        </w:tc>
      </w:tr>
    </w:tbl>
    <w:p w14:paraId="11D3238B" w14:textId="3F11C66D" w:rsidR="00956FC0" w:rsidRDefault="00956FC0" w:rsidP="00956FC0">
      <w:pPr>
        <w:spacing w:after="160" w:line="259" w:lineRule="auto"/>
      </w:pPr>
    </w:p>
    <w:p w14:paraId="7198100F" w14:textId="77777777" w:rsidR="00EB76A5" w:rsidRPr="00B27E56" w:rsidRDefault="00EB76A5" w:rsidP="00A8637D">
      <w:r w:rsidRPr="00B27E56">
        <w:t>For operation with shared spectrum channel access in FR2-2, a UE assumes that SS/PBCH blocks in a serving cell that are within a same discovery burst transmission window or across discovery burst transmission windows are quasi co-located with respect to average gain, quasi co-location 'typeA' and 'typeD' properties, when applicable</w:t>
      </w:r>
      <w:r w:rsidRPr="00B27E56">
        <w:rPr>
          <w:kern w:val="2"/>
          <w:lang w:eastAsia="zh-CN"/>
        </w:rPr>
        <w:t xml:space="preserve">, if a value of </w:t>
      </w:r>
      <m:oMath>
        <m:d>
          <m:dPr>
            <m:ctrlPr>
              <w:rPr>
                <w:rFonts w:ascii="Cambria Math" w:hAnsi="Cambria Math"/>
                <w:i/>
              </w:rPr>
            </m:ctrlPr>
          </m:dPr>
          <m:e>
            <m:acc>
              <m:accPr>
                <m:chr m:val="̅"/>
                <m:ctrlPr>
                  <w:rPr>
                    <w:rFonts w:ascii="Cambria Math" w:hAnsi="Cambria Math"/>
                    <w:i/>
                  </w:rPr>
                </m:ctrlPr>
              </m:accPr>
              <m:e>
                <m:r>
                  <w:rPr>
                    <w:rFonts w:ascii="Cambria Math" w:hAnsi="Cambria Math"/>
                  </w:rPr>
                  <m:t>i</m:t>
                </m:r>
              </m:e>
            </m:acc>
            <m:func>
              <m:funcPr>
                <m:ctrlPr>
                  <w:rPr>
                    <w:rFonts w:ascii="Cambria Math" w:hAnsi="Cambria Math"/>
                    <w:i/>
                  </w:rPr>
                </m:ctrlPr>
              </m:funcPr>
              <m:fName>
                <m:r>
                  <m:rPr>
                    <m:sty m:val="p"/>
                  </m:rPr>
                  <w:rPr>
                    <w:rFonts w:ascii="Cambria Math"/>
                  </w:rPr>
                  <m:t>mod</m:t>
                </m:r>
              </m:fName>
              <m:e>
                <m:sSubSup>
                  <m:sSubSupPr>
                    <m:ctrlPr>
                      <w:rPr>
                        <w:rFonts w:ascii="Cambria Math" w:hAnsi="Cambria Math"/>
                        <w:i/>
                      </w:rPr>
                    </m:ctrlPr>
                  </m:sSubSupPr>
                  <m:e>
                    <m:r>
                      <w:rPr>
                        <w:rFonts w:ascii="Cambria Math"/>
                      </w:rPr>
                      <m:t>N</m:t>
                    </m:r>
                  </m:e>
                  <m:sub>
                    <m:r>
                      <w:rPr>
                        <w:rFonts w:ascii="Cambria Math"/>
                      </w:rPr>
                      <m:t>SSB</m:t>
                    </m:r>
                  </m:sub>
                  <m:sup>
                    <m:r>
                      <w:rPr>
                        <w:rFonts w:ascii="Cambria Math"/>
                      </w:rPr>
                      <m:t>QCL</m:t>
                    </m:r>
                  </m:sup>
                </m:sSubSup>
              </m:e>
            </m:func>
          </m:e>
        </m:d>
      </m:oMath>
      <w:r w:rsidRPr="00B27E56">
        <w:t xml:space="preserve"> is same among the SS/PBCH blocks, where </w:t>
      </w:r>
      <m:oMath>
        <m:acc>
          <m:accPr>
            <m:chr m:val="̅"/>
            <m:ctrlPr>
              <w:rPr>
                <w:rFonts w:ascii="Cambria Math" w:hAnsi="Cambria Math"/>
                <w:i/>
              </w:rPr>
            </m:ctrlPr>
          </m:accPr>
          <m:e>
            <m:r>
              <w:rPr>
                <w:rFonts w:ascii="Cambria Math" w:hAnsi="Cambria Math"/>
              </w:rPr>
              <m:t>i</m:t>
            </m:r>
          </m:e>
        </m:acc>
      </m:oMath>
      <w:r w:rsidRPr="00B27E56">
        <w:t xml:space="preserve"> is the candidate SS/PBCH block index. </w:t>
      </w:r>
      <m:oMath>
        <m:sSubSup>
          <m:sSubSupPr>
            <m:ctrlPr>
              <w:rPr>
                <w:rFonts w:ascii="Cambria Math" w:hAnsi="Cambria Math"/>
                <w:i/>
              </w:rPr>
            </m:ctrlPr>
          </m:sSubSupPr>
          <m:e>
            <m:r>
              <w:rPr>
                <w:rFonts w:ascii="Cambria Math"/>
              </w:rPr>
              <m:t>N</m:t>
            </m:r>
          </m:e>
          <m:sub>
            <m:r>
              <w:rPr>
                <w:rFonts w:ascii="Cambria Math"/>
              </w:rPr>
              <m:t>SSB</m:t>
            </m:r>
          </m:sub>
          <m:sup>
            <m:r>
              <w:rPr>
                <w:rFonts w:ascii="Cambria Math"/>
              </w:rPr>
              <m:t>QCL</m:t>
            </m:r>
          </m:sup>
        </m:sSubSup>
      </m:oMath>
      <w:r w:rsidRPr="00B27E56">
        <w:t xml:space="preserve"> is either provided by </w:t>
      </w:r>
      <w:r w:rsidRPr="00B27E56">
        <w:rPr>
          <w:i/>
        </w:rPr>
        <w:t>ssb-PositionQCL</w:t>
      </w:r>
      <w:r w:rsidRPr="00B27E56">
        <w:t xml:space="preserve"> or, if </w:t>
      </w:r>
      <w:r w:rsidRPr="00B27E56">
        <w:rPr>
          <w:i/>
        </w:rPr>
        <w:t>ssb-PositionQCL</w:t>
      </w:r>
      <w:r w:rsidRPr="00B27E56">
        <w:t xml:space="preserve"> is not provided,</w:t>
      </w:r>
      <w:r w:rsidRPr="00B27E56">
        <w:rPr>
          <w:i/>
        </w:rPr>
        <w:t xml:space="preserve"> </w:t>
      </w:r>
      <w:r w:rsidRPr="00B27E56">
        <w:t xml:space="preserve">obtained from a </w:t>
      </w:r>
      <w:r w:rsidRPr="00B27E56">
        <w:rPr>
          <w:i/>
        </w:rPr>
        <w:t>MIB</w:t>
      </w:r>
      <w:r w:rsidRPr="00B27E56">
        <w:t xml:space="preserve"> </w:t>
      </w:r>
      <w:r w:rsidRPr="00B27E56">
        <w:rPr>
          <w:lang w:eastAsia="ja-JP"/>
        </w:rPr>
        <w:t>provided by a SS/PBCH block</w:t>
      </w:r>
      <w:r w:rsidRPr="00B27E56">
        <w:t xml:space="preserve"> according to Table 4.1-2. The UE can determine an SS/PBCH block index according to </w:t>
      </w:r>
      <m:oMath>
        <m:d>
          <m:dPr>
            <m:ctrlPr>
              <w:rPr>
                <w:rFonts w:ascii="Cambria Math" w:hAnsi="Cambria Math"/>
                <w:i/>
              </w:rPr>
            </m:ctrlPr>
          </m:dPr>
          <m:e>
            <m:acc>
              <m:accPr>
                <m:chr m:val="̅"/>
                <m:ctrlPr>
                  <w:rPr>
                    <w:rFonts w:ascii="Cambria Math" w:hAnsi="Cambria Math"/>
                    <w:i/>
                  </w:rPr>
                </m:ctrlPr>
              </m:accPr>
              <m:e>
                <m:r>
                  <w:rPr>
                    <w:rFonts w:ascii="Cambria Math" w:hAnsi="Cambria Math"/>
                  </w:rPr>
                  <m:t>i</m:t>
                </m:r>
              </m:e>
            </m:acc>
            <m:r>
              <w:rPr>
                <w:rFonts w:ascii="Cambria Math" w:hAnsi="Cambria Math"/>
              </w:rPr>
              <m:t xml:space="preserve"> </m:t>
            </m:r>
            <m:func>
              <m:funcPr>
                <m:ctrlPr>
                  <w:rPr>
                    <w:rFonts w:ascii="Cambria Math" w:hAnsi="Cambria Math"/>
                    <w:i/>
                  </w:rPr>
                </m:ctrlPr>
              </m:funcPr>
              <m:fName>
                <m:r>
                  <m:rPr>
                    <m:sty m:val="p"/>
                  </m:rPr>
                  <w:rPr>
                    <w:rFonts w:ascii="Cambria Math"/>
                  </w:rPr>
                  <m:t>mod</m:t>
                </m:r>
              </m:fName>
              <m:e>
                <m:sSubSup>
                  <m:sSubSupPr>
                    <m:ctrlPr>
                      <w:rPr>
                        <w:rFonts w:ascii="Cambria Math" w:hAnsi="Cambria Math"/>
                        <w:i/>
                      </w:rPr>
                    </m:ctrlPr>
                  </m:sSubSupPr>
                  <m:e>
                    <m:r>
                      <w:rPr>
                        <w:rFonts w:ascii="Cambria Math"/>
                      </w:rPr>
                      <m:t>N</m:t>
                    </m:r>
                  </m:e>
                  <m:sub>
                    <m:r>
                      <w:rPr>
                        <w:rFonts w:ascii="Cambria Math"/>
                      </w:rPr>
                      <m:t>SSB</m:t>
                    </m:r>
                  </m:sub>
                  <m:sup>
                    <m:r>
                      <w:rPr>
                        <w:rFonts w:ascii="Cambria Math"/>
                      </w:rPr>
                      <m:t>QCL</m:t>
                    </m:r>
                  </m:sup>
                </m:sSubSup>
              </m:e>
            </m:func>
          </m:e>
        </m:d>
      </m:oMath>
      <w:r w:rsidRPr="00B27E56">
        <w:t xml:space="preserve">. The UE assumes that within a discovery burst transmission window, a number of transmitted SS/PBCH blocks on a serving cell is not larger than </w:t>
      </w:r>
      <m:oMath>
        <m:sSubSup>
          <m:sSubSupPr>
            <m:ctrlPr>
              <w:rPr>
                <w:rFonts w:ascii="Cambria Math" w:hAnsi="Cambria Math" w:cs="Calibri"/>
                <w:i/>
                <w:iCs/>
                <w:sz w:val="24"/>
              </w:rPr>
            </m:ctrlPr>
          </m:sSubSupPr>
          <m:e>
            <m:r>
              <w:rPr>
                <w:rFonts w:ascii="Cambria Math" w:hAnsi="Cambria Math"/>
              </w:rPr>
              <m:t>N</m:t>
            </m:r>
          </m:e>
          <m:sub>
            <m:r>
              <w:rPr>
                <w:rFonts w:ascii="Cambria Math" w:hAnsi="Cambria Math"/>
              </w:rPr>
              <m:t>SSB</m:t>
            </m:r>
          </m:sub>
          <m:sup>
            <m:r>
              <w:rPr>
                <w:rFonts w:ascii="Cambria Math" w:hAnsi="Cambria Math"/>
              </w:rPr>
              <m:t>QCL</m:t>
            </m:r>
          </m:sup>
        </m:sSubSup>
      </m:oMath>
      <w:r w:rsidRPr="00B27E56">
        <w:rPr>
          <w:lang w:eastAsia="ko-KR"/>
        </w:rPr>
        <w:t xml:space="preserve"> </w:t>
      </w:r>
      <w:r w:rsidRPr="00B27E56">
        <w:t>and a number of transmitted SS/PBCH blocks with a same SS/PBCH block index is not larger than one.</w:t>
      </w:r>
    </w:p>
    <w:p w14:paraId="0353B15D" w14:textId="1305503C" w:rsidR="009B5DE3" w:rsidRDefault="00EB76A5" w:rsidP="009B5DE3">
      <w:pPr>
        <w:pStyle w:val="TH"/>
      </w:pPr>
      <w:r w:rsidRPr="00B27E56">
        <w:t xml:space="preserve">Table 4.1-2: Mapping between </w:t>
      </w:r>
      <w:r w:rsidRPr="00B27E56">
        <w:rPr>
          <w:i/>
        </w:rPr>
        <w:t>subCarrierSpacingCommon</w:t>
      </w:r>
      <w:r w:rsidRPr="00B27E56">
        <w:rPr>
          <w:iCs/>
        </w:rPr>
        <w:t xml:space="preserve"> </w:t>
      </w:r>
      <w:r w:rsidRPr="00B27E56">
        <w:t>to</w:t>
      </w:r>
      <w:r w:rsidRPr="00B27E56">
        <w:rPr>
          <w:iCs/>
        </w:rPr>
        <w:t xml:space="preserve"> </w:t>
      </w:r>
      <m:oMath>
        <m:sSubSup>
          <m:sSubSupPr>
            <m:ctrlPr>
              <w:rPr>
                <w:rFonts w:ascii="Cambria Math" w:hAnsi="Cambria Math"/>
              </w:rPr>
            </m:ctrlPr>
          </m:sSubSupPr>
          <m:e>
            <m:r>
              <m:rPr>
                <m:sty m:val="bi"/>
              </m:rPr>
              <w:rPr>
                <w:rFonts w:ascii="Cambria Math" w:hAnsi="Cambria Math"/>
              </w:rPr>
              <m:t>N</m:t>
            </m:r>
          </m:e>
          <m:sub>
            <m:r>
              <m:rPr>
                <m:sty m:val="bi"/>
              </m:rPr>
              <w:rPr>
                <w:rFonts w:ascii="Cambria Math" w:hAnsi="Cambria Math"/>
              </w:rPr>
              <m:t>SSB</m:t>
            </m:r>
          </m:sub>
          <m:sup>
            <m:r>
              <m:rPr>
                <m:sty m:val="bi"/>
              </m:rPr>
              <w:rPr>
                <w:rFonts w:ascii="Cambria Math" w:hAnsi="Cambria Math"/>
              </w:rPr>
              <m:t>QCL</m:t>
            </m:r>
          </m:sup>
        </m:sSubSup>
      </m:oMath>
      <w:r w:rsidRPr="00B27E56">
        <w:t xml:space="preserve"> for operation with shared spectrum channel access in FR2-2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7"/>
        <w:gridCol w:w="1556"/>
      </w:tblGrid>
      <w:tr w:rsidR="009B5DE3" w:rsidRPr="00B27E56" w14:paraId="5F82CE98" w14:textId="77777777" w:rsidTr="00B52E7C">
        <w:trPr>
          <w:cantSplit/>
          <w:jc w:val="center"/>
        </w:trPr>
        <w:tc>
          <w:tcPr>
            <w:tcW w:w="2607" w:type="dxa"/>
            <w:tcBorders>
              <w:bottom w:val="double" w:sz="4" w:space="0" w:color="auto"/>
              <w:right w:val="double" w:sz="4" w:space="0" w:color="auto"/>
            </w:tcBorders>
            <w:shd w:val="clear" w:color="auto" w:fill="E0E0E0"/>
            <w:vAlign w:val="center"/>
          </w:tcPr>
          <w:p w14:paraId="3CC7F4FB" w14:textId="77777777" w:rsidR="009B5DE3" w:rsidRPr="00B27E56" w:rsidRDefault="009B5DE3" w:rsidP="00B52E7C">
            <w:pPr>
              <w:pStyle w:val="TAH"/>
              <w:rPr>
                <w:rFonts w:cs="Arial"/>
                <w:bCs/>
                <w:lang w:val="en-US"/>
              </w:rPr>
            </w:pPr>
            <w:r w:rsidRPr="00B27E56">
              <w:rPr>
                <w:rFonts w:cs="Arial"/>
                <w:i/>
                <w:iCs/>
              </w:rPr>
              <w:t>subCarrierSpacingCommon</w:t>
            </w:r>
          </w:p>
        </w:tc>
        <w:tc>
          <w:tcPr>
            <w:tcW w:w="1556" w:type="dxa"/>
            <w:tcBorders>
              <w:bottom w:val="double" w:sz="4" w:space="0" w:color="auto"/>
            </w:tcBorders>
            <w:shd w:val="clear" w:color="auto" w:fill="E0E0E0"/>
            <w:vAlign w:val="center"/>
          </w:tcPr>
          <w:p w14:paraId="5E0E23DD" w14:textId="77777777" w:rsidR="009B5DE3" w:rsidRPr="00B27E56" w:rsidRDefault="00000000" w:rsidP="00B52E7C">
            <w:pPr>
              <w:pStyle w:val="TAH"/>
              <w:rPr>
                <w:rFonts w:cs="Arial"/>
                <w:bCs/>
                <w:lang w:val="en-US"/>
              </w:rPr>
            </w:pPr>
            <m:oMathPara>
              <m:oMath>
                <m:sSubSup>
                  <m:sSubSupPr>
                    <m:ctrlPr>
                      <w:rPr>
                        <w:rFonts w:ascii="Cambria Math" w:hAnsi="Cambria Math" w:cs="Arial"/>
                        <w:i/>
                      </w:rPr>
                    </m:ctrlPr>
                  </m:sSubSupPr>
                  <m:e>
                    <m:r>
                      <m:rPr>
                        <m:sty m:val="bi"/>
                      </m:rPr>
                      <w:rPr>
                        <w:rFonts w:ascii="Cambria Math" w:hAnsi="Cambria Math" w:cs="Arial"/>
                      </w:rPr>
                      <m:t>N</m:t>
                    </m:r>
                  </m:e>
                  <m:sub>
                    <m:r>
                      <m:rPr>
                        <m:sty m:val="bi"/>
                      </m:rPr>
                      <w:rPr>
                        <w:rFonts w:ascii="Cambria Math" w:hAnsi="Cambria Math" w:cs="Arial"/>
                      </w:rPr>
                      <m:t>SSB</m:t>
                    </m:r>
                  </m:sub>
                  <m:sup>
                    <m:r>
                      <m:rPr>
                        <m:sty m:val="bi"/>
                      </m:rPr>
                      <w:rPr>
                        <w:rFonts w:ascii="Cambria Math" w:hAnsi="Cambria Math" w:cs="Arial"/>
                      </w:rPr>
                      <m:t>QCL</m:t>
                    </m:r>
                  </m:sup>
                </m:sSubSup>
              </m:oMath>
            </m:oMathPara>
          </w:p>
        </w:tc>
      </w:tr>
      <w:tr w:rsidR="009B5DE3" w:rsidRPr="00B27E56" w14:paraId="0D1F3C64" w14:textId="77777777" w:rsidTr="00B52E7C">
        <w:trPr>
          <w:cantSplit/>
          <w:jc w:val="center"/>
        </w:trPr>
        <w:tc>
          <w:tcPr>
            <w:tcW w:w="2607" w:type="dxa"/>
            <w:tcBorders>
              <w:right w:val="double" w:sz="4" w:space="0" w:color="auto"/>
            </w:tcBorders>
            <w:shd w:val="clear" w:color="auto" w:fill="auto"/>
            <w:vAlign w:val="center"/>
          </w:tcPr>
          <w:p w14:paraId="383C79FB" w14:textId="77777777" w:rsidR="009B5DE3" w:rsidRPr="00B27E56" w:rsidRDefault="009B5DE3" w:rsidP="00B52E7C">
            <w:pPr>
              <w:pStyle w:val="TAC"/>
              <w:rPr>
                <w:lang w:val="en-US"/>
              </w:rPr>
            </w:pPr>
            <w:r w:rsidRPr="00B27E56">
              <w:t>scs15or60</w:t>
            </w:r>
          </w:p>
        </w:tc>
        <w:tc>
          <w:tcPr>
            <w:tcW w:w="1556" w:type="dxa"/>
            <w:vAlign w:val="center"/>
          </w:tcPr>
          <w:p w14:paraId="03206715" w14:textId="77777777" w:rsidR="009B5DE3" w:rsidRPr="00B27E56" w:rsidRDefault="009B5DE3" w:rsidP="00B52E7C">
            <w:pPr>
              <w:pStyle w:val="TAC"/>
              <w:rPr>
                <w:lang w:val="en-US"/>
              </w:rPr>
            </w:pPr>
            <w:r w:rsidRPr="00B27E56">
              <w:rPr>
                <w:lang w:val="en-US"/>
              </w:rPr>
              <w:t>32</w:t>
            </w:r>
          </w:p>
        </w:tc>
      </w:tr>
      <w:tr w:rsidR="009B5DE3" w:rsidRPr="00B27E56" w14:paraId="1AFD7F90" w14:textId="77777777" w:rsidTr="00B52E7C">
        <w:trPr>
          <w:cantSplit/>
          <w:jc w:val="center"/>
        </w:trPr>
        <w:tc>
          <w:tcPr>
            <w:tcW w:w="2607" w:type="dxa"/>
            <w:tcBorders>
              <w:right w:val="double" w:sz="4" w:space="0" w:color="auto"/>
            </w:tcBorders>
            <w:shd w:val="clear" w:color="auto" w:fill="auto"/>
            <w:vAlign w:val="center"/>
          </w:tcPr>
          <w:p w14:paraId="025C7ECF" w14:textId="77777777" w:rsidR="009B5DE3" w:rsidRPr="00B27E56" w:rsidRDefault="009B5DE3" w:rsidP="00B52E7C">
            <w:pPr>
              <w:pStyle w:val="TAC"/>
            </w:pPr>
            <w:r w:rsidRPr="00B27E56">
              <w:t>scs30or120</w:t>
            </w:r>
          </w:p>
        </w:tc>
        <w:tc>
          <w:tcPr>
            <w:tcW w:w="1556" w:type="dxa"/>
            <w:vAlign w:val="center"/>
          </w:tcPr>
          <w:p w14:paraId="31797154" w14:textId="77777777" w:rsidR="009B5DE3" w:rsidRPr="00B27E56" w:rsidRDefault="009B5DE3" w:rsidP="00B52E7C">
            <w:pPr>
              <w:pStyle w:val="TAC"/>
            </w:pPr>
            <w:r w:rsidRPr="00B27E56">
              <w:t>64</w:t>
            </w:r>
          </w:p>
        </w:tc>
      </w:tr>
    </w:tbl>
    <w:p w14:paraId="4EDC3CC6" w14:textId="024FC1BC" w:rsidR="009B5DE3" w:rsidRPr="008C64D1" w:rsidRDefault="009B5DE3" w:rsidP="009B5DE3">
      <w:pPr>
        <w:spacing w:before="180" w:line="259" w:lineRule="auto"/>
        <w:rPr>
          <w:iCs/>
        </w:rPr>
      </w:pPr>
      <w:r>
        <w:t xml:space="preserve">For operation without shared spectrum channel access in FR2-2, a UE expects a MIB in a SS/PBCH block to provide </w:t>
      </w:r>
      <w:r w:rsidRPr="00B27E56">
        <w:rPr>
          <w:i/>
        </w:rPr>
        <w:t>subCarrierSpacingCommon</w:t>
      </w:r>
      <w:r>
        <w:rPr>
          <w:iCs/>
        </w:rPr>
        <w:t xml:space="preserve"> = </w:t>
      </w:r>
      <w:r w:rsidR="00F22988">
        <w:rPr>
          <w:iCs/>
        </w:rPr>
        <w:t>'</w:t>
      </w:r>
      <w:r w:rsidRPr="00B27E56">
        <w:t>scs</w:t>
      </w:r>
      <w:r>
        <w:t>30</w:t>
      </w:r>
      <w:r w:rsidRPr="00B27E56">
        <w:t>or</w:t>
      </w:r>
      <w:r>
        <w:t>12</w:t>
      </w:r>
      <w:r w:rsidRPr="00B27E56">
        <w:t>0</w:t>
      </w:r>
      <w:r w:rsidR="00F22988">
        <w:t>'</w:t>
      </w:r>
      <w:r>
        <w:t>.</w:t>
      </w:r>
    </w:p>
    <w:p w14:paraId="1F244E69" w14:textId="7A98516C" w:rsidR="00B351D4" w:rsidRPr="00333FF2" w:rsidRDefault="00B351D4" w:rsidP="00B351D4">
      <w:pPr>
        <w:spacing w:before="180" w:line="259" w:lineRule="auto"/>
      </w:pPr>
      <w:r w:rsidRPr="00333FF2">
        <w:t xml:space="preserve">Upon detection of a SS/PBCH block, the UE determines </w:t>
      </w:r>
      <w:r w:rsidRPr="00333FF2">
        <w:rPr>
          <w:rFonts w:eastAsia="Yu Mincho"/>
        </w:rPr>
        <w:t xml:space="preserve">from </w:t>
      </w:r>
      <w:r>
        <w:rPr>
          <w:rFonts w:eastAsia="Yu Mincho"/>
          <w:i/>
          <w:szCs w:val="24"/>
        </w:rPr>
        <w:t>MIB</w:t>
      </w:r>
      <w:r w:rsidRPr="00333FF2">
        <w:rPr>
          <w:rFonts w:eastAsia="Yu Mincho"/>
        </w:rPr>
        <w:t xml:space="preserve"> </w:t>
      </w:r>
      <w:r w:rsidRPr="00333FF2">
        <w:t xml:space="preserve">that a </w:t>
      </w:r>
      <w:r>
        <w:t>CORESET</w:t>
      </w:r>
      <w:r w:rsidRPr="00333FF2">
        <w:t xml:space="preserve"> for Type0-PDCCH </w:t>
      </w:r>
      <w:r>
        <w:t>CSS</w:t>
      </w:r>
      <w:r w:rsidRPr="00333FF2">
        <w:t xml:space="preserve"> set, as described in </w:t>
      </w:r>
      <w:r w:rsidR="006F5F9E">
        <w:t>clause</w:t>
      </w:r>
      <w:r w:rsidRPr="00333FF2">
        <w:t xml:space="preserve"> 13, is present if </w:t>
      </w:r>
      <m:oMath>
        <m:sSub>
          <m:sSubPr>
            <m:ctrlPr>
              <w:rPr>
                <w:rFonts w:ascii="Cambria Math" w:eastAsia="Malgun Gothic" w:hAnsi="Cambria Math"/>
                <w:i/>
                <w:snapToGrid w:val="0"/>
                <w:kern w:val="2"/>
                <w:szCs w:val="22"/>
                <w:lang w:eastAsia="ko-KR"/>
              </w:rPr>
            </m:ctrlPr>
          </m:sSubPr>
          <m:e>
            <m:r>
              <w:rPr>
                <w:rFonts w:ascii="Cambria Math" w:eastAsia="Malgun Gothic" w:hAnsi="Cambria Math"/>
                <w:snapToGrid w:val="0"/>
                <w:kern w:val="2"/>
                <w:szCs w:val="22"/>
                <w:lang w:eastAsia="ko-KR"/>
              </w:rPr>
              <m:t>k</m:t>
            </m:r>
          </m:e>
          <m:sub>
            <m:r>
              <w:rPr>
                <w:rFonts w:ascii="Cambria Math" w:eastAsia="Malgun Gothic" w:hAnsi="Cambria Math"/>
                <w:snapToGrid w:val="0"/>
                <w:kern w:val="2"/>
                <w:szCs w:val="22"/>
                <w:lang w:eastAsia="ko-KR"/>
              </w:rPr>
              <m:t>SSB</m:t>
            </m:r>
          </m:sub>
        </m:sSub>
        <m:r>
          <w:rPr>
            <w:rFonts w:ascii="Cambria Math" w:eastAsia="Malgun Gothic" w:hAnsi="Cambria Math"/>
            <w:snapToGrid w:val="0"/>
            <w:kern w:val="2"/>
            <w:szCs w:val="22"/>
            <w:lang w:eastAsia="ko-KR"/>
          </w:rPr>
          <m:t>&lt;24</m:t>
        </m:r>
      </m:oMath>
      <w:r w:rsidRPr="00333FF2">
        <w:t xml:space="preserve"> [4, TS 38.211] for FR1 or if </w:t>
      </w:r>
      <m:oMath>
        <m:sSub>
          <m:sSubPr>
            <m:ctrlPr>
              <w:rPr>
                <w:rFonts w:ascii="Cambria Math" w:eastAsia="Malgun Gothic" w:hAnsi="Cambria Math"/>
                <w:i/>
                <w:snapToGrid w:val="0"/>
                <w:kern w:val="2"/>
                <w:szCs w:val="22"/>
                <w:lang w:eastAsia="ko-KR"/>
              </w:rPr>
            </m:ctrlPr>
          </m:sSubPr>
          <m:e>
            <m:r>
              <w:rPr>
                <w:rFonts w:ascii="Cambria Math" w:eastAsia="Malgun Gothic" w:hAnsi="Cambria Math"/>
                <w:snapToGrid w:val="0"/>
                <w:kern w:val="2"/>
                <w:szCs w:val="22"/>
                <w:lang w:eastAsia="ko-KR"/>
              </w:rPr>
              <m:t>k</m:t>
            </m:r>
          </m:e>
          <m:sub>
            <m:r>
              <w:rPr>
                <w:rFonts w:ascii="Cambria Math" w:eastAsia="Malgun Gothic" w:hAnsi="Cambria Math"/>
                <w:snapToGrid w:val="0"/>
                <w:kern w:val="2"/>
                <w:szCs w:val="22"/>
                <w:lang w:eastAsia="ko-KR"/>
              </w:rPr>
              <m:t>SSB</m:t>
            </m:r>
          </m:sub>
        </m:sSub>
        <m:r>
          <w:rPr>
            <w:rFonts w:ascii="Cambria Math" w:eastAsia="Malgun Gothic" w:hAnsi="Cambria Math"/>
            <w:snapToGrid w:val="0"/>
            <w:kern w:val="2"/>
            <w:szCs w:val="22"/>
            <w:lang w:eastAsia="ko-KR"/>
          </w:rPr>
          <m:t>&lt;12</m:t>
        </m:r>
      </m:oMath>
      <w:r w:rsidRPr="00333FF2">
        <w:t xml:space="preserve"> for FR2. The UE determines </w:t>
      </w:r>
      <w:r w:rsidRPr="00333FF2">
        <w:rPr>
          <w:rFonts w:eastAsia="Yu Mincho"/>
        </w:rPr>
        <w:t xml:space="preserve">from </w:t>
      </w:r>
      <w:r>
        <w:rPr>
          <w:rFonts w:eastAsia="Yu Mincho"/>
          <w:i/>
          <w:szCs w:val="24"/>
        </w:rPr>
        <w:t>MIB</w:t>
      </w:r>
      <w:r w:rsidRPr="00333FF2">
        <w:rPr>
          <w:rFonts w:eastAsia="Yu Mincho"/>
        </w:rPr>
        <w:t xml:space="preserve"> </w:t>
      </w:r>
      <w:r w:rsidRPr="00333FF2">
        <w:t xml:space="preserve">that a </w:t>
      </w:r>
      <w:r>
        <w:t>CORESET</w:t>
      </w:r>
      <w:r w:rsidRPr="00333FF2">
        <w:t xml:space="preserve"> for Type0-PDCCH </w:t>
      </w:r>
      <w:r>
        <w:t>CSS</w:t>
      </w:r>
      <w:r w:rsidRPr="00333FF2">
        <w:t xml:space="preserve"> set is not present if </w:t>
      </w:r>
      <m:oMath>
        <m:sSub>
          <m:sSubPr>
            <m:ctrlPr>
              <w:rPr>
                <w:rFonts w:ascii="Cambria Math" w:eastAsia="Malgun Gothic" w:hAnsi="Cambria Math"/>
                <w:i/>
                <w:snapToGrid w:val="0"/>
                <w:kern w:val="2"/>
                <w:szCs w:val="22"/>
                <w:lang w:eastAsia="ko-KR"/>
              </w:rPr>
            </m:ctrlPr>
          </m:sSubPr>
          <m:e>
            <m:r>
              <w:rPr>
                <w:rFonts w:ascii="Cambria Math" w:eastAsia="Malgun Gothic" w:hAnsi="Cambria Math"/>
                <w:snapToGrid w:val="0"/>
                <w:kern w:val="2"/>
                <w:szCs w:val="22"/>
                <w:lang w:eastAsia="ko-KR"/>
              </w:rPr>
              <m:t>k</m:t>
            </m:r>
          </m:e>
          <m:sub>
            <m:r>
              <w:rPr>
                <w:rFonts w:ascii="Cambria Math" w:eastAsia="Malgun Gothic" w:hAnsi="Cambria Math"/>
                <w:snapToGrid w:val="0"/>
                <w:kern w:val="2"/>
                <w:szCs w:val="22"/>
                <w:lang w:eastAsia="ko-KR"/>
              </w:rPr>
              <m:t>SSB</m:t>
            </m:r>
          </m:sub>
        </m:sSub>
        <m:r>
          <w:rPr>
            <w:rFonts w:ascii="Cambria Math" w:eastAsia="Malgun Gothic" w:hAnsi="Cambria Math"/>
            <w:snapToGrid w:val="0"/>
            <w:kern w:val="2"/>
            <w:szCs w:val="22"/>
            <w:lang w:eastAsia="ko-KR"/>
          </w:rPr>
          <m:t>&gt;23</m:t>
        </m:r>
      </m:oMath>
      <w:r w:rsidRPr="00333FF2">
        <w:t xml:space="preserve"> for FR1 or if </w:t>
      </w:r>
      <m:oMath>
        <m:sSub>
          <m:sSubPr>
            <m:ctrlPr>
              <w:rPr>
                <w:rFonts w:ascii="Cambria Math" w:eastAsia="Malgun Gothic" w:hAnsi="Cambria Math"/>
                <w:i/>
                <w:snapToGrid w:val="0"/>
                <w:kern w:val="2"/>
                <w:szCs w:val="22"/>
                <w:lang w:eastAsia="ko-KR"/>
              </w:rPr>
            </m:ctrlPr>
          </m:sSubPr>
          <m:e>
            <m:r>
              <w:rPr>
                <w:rFonts w:ascii="Cambria Math" w:eastAsia="Malgun Gothic" w:hAnsi="Cambria Math"/>
                <w:snapToGrid w:val="0"/>
                <w:kern w:val="2"/>
                <w:szCs w:val="22"/>
                <w:lang w:eastAsia="ko-KR"/>
              </w:rPr>
              <m:t>k</m:t>
            </m:r>
          </m:e>
          <m:sub>
            <m:r>
              <w:rPr>
                <w:rFonts w:ascii="Cambria Math" w:eastAsia="Malgun Gothic" w:hAnsi="Cambria Math"/>
                <w:snapToGrid w:val="0"/>
                <w:kern w:val="2"/>
                <w:szCs w:val="22"/>
                <w:lang w:eastAsia="ko-KR"/>
              </w:rPr>
              <m:t>SSB</m:t>
            </m:r>
          </m:sub>
        </m:sSub>
        <m:r>
          <w:rPr>
            <w:rFonts w:ascii="Cambria Math" w:eastAsia="Malgun Gothic" w:hAnsi="Cambria Math"/>
            <w:snapToGrid w:val="0"/>
            <w:kern w:val="2"/>
            <w:szCs w:val="22"/>
            <w:lang w:eastAsia="ko-KR"/>
          </w:rPr>
          <m:t>&gt;11</m:t>
        </m:r>
      </m:oMath>
      <w:r w:rsidRPr="00333FF2">
        <w:t xml:space="preserve"> for FR2; the </w:t>
      </w:r>
      <w:r>
        <w:t>CORESET</w:t>
      </w:r>
      <w:r w:rsidRPr="00333FF2">
        <w:t xml:space="preserve"> for Type0-PDCCH </w:t>
      </w:r>
      <w:r>
        <w:t>CSS</w:t>
      </w:r>
      <w:r w:rsidRPr="00333FF2">
        <w:t xml:space="preserve"> set</w:t>
      </w:r>
      <w:r w:rsidRPr="00333FF2">
        <w:rPr>
          <w:rFonts w:eastAsia="Yu Mincho"/>
        </w:rPr>
        <w:t xml:space="preserve"> may be provided by </w:t>
      </w:r>
      <w:r w:rsidRPr="00333FF2">
        <w:rPr>
          <w:rFonts w:eastAsia="Yu Mincho"/>
          <w:i/>
        </w:rPr>
        <w:t>PDCCH-ConfigCommon</w:t>
      </w:r>
      <w:r w:rsidRPr="00333FF2">
        <w:t>.</w:t>
      </w:r>
      <w:r w:rsidRPr="00333FF2">
        <w:rPr>
          <w:szCs w:val="24"/>
        </w:rPr>
        <w:t xml:space="preserve"> </w:t>
      </w:r>
    </w:p>
    <w:p w14:paraId="708B5FA6" w14:textId="69EA9594" w:rsidR="00445BCB" w:rsidRPr="00B916EC" w:rsidRDefault="005E31FC" w:rsidP="00A10623">
      <w:pPr>
        <w:spacing w:after="160" w:line="259" w:lineRule="auto"/>
      </w:pPr>
      <w:r w:rsidRPr="00B916EC">
        <w:t>For a serving cell without transmission of SS/PBCH blocks, a UE acquires time and frequency synchronization with the serving cell based on receptions of SS/PBCH blocks on the PCell</w:t>
      </w:r>
      <w:r w:rsidR="00C977FF" w:rsidRPr="00B916EC">
        <w:t>,</w:t>
      </w:r>
      <w:r w:rsidRPr="00B916EC">
        <w:t xml:space="preserve"> or on the PSCell</w:t>
      </w:r>
      <w:r w:rsidR="00C977FF" w:rsidRPr="00B916EC">
        <w:t>,</w:t>
      </w:r>
      <w:r w:rsidRPr="00B916EC">
        <w:t xml:space="preserve"> </w:t>
      </w:r>
      <w:r w:rsidR="00B351D4" w:rsidRPr="003C194B">
        <w:rPr>
          <w:lang w:eastAsia="zh-CN"/>
        </w:rPr>
        <w:t>or on a</w:t>
      </w:r>
      <w:r w:rsidR="00B351D4">
        <w:rPr>
          <w:lang w:eastAsia="zh-CN"/>
        </w:rPr>
        <w:t>n</w:t>
      </w:r>
      <w:r w:rsidR="00B351D4" w:rsidRPr="003C194B">
        <w:rPr>
          <w:lang w:eastAsia="zh-CN"/>
        </w:rPr>
        <w:t xml:space="preserve"> SCell if applicable as described in [10, TS 38.133], </w:t>
      </w:r>
      <w:r w:rsidRPr="00B916EC">
        <w:t>of the cell group for the serving cell.</w:t>
      </w:r>
    </w:p>
    <w:p w14:paraId="2DE14B3B" w14:textId="77777777" w:rsidR="005F7703" w:rsidRPr="00B916EC" w:rsidRDefault="005F7703" w:rsidP="005F7703">
      <w:pPr>
        <w:pStyle w:val="Heading2"/>
      </w:pPr>
      <w:bookmarkStart w:id="95" w:name="_Toc12021440"/>
      <w:bookmarkStart w:id="96" w:name="_Toc20311552"/>
      <w:bookmarkStart w:id="97" w:name="_Toc26719377"/>
      <w:bookmarkStart w:id="98" w:name="_Toc29894808"/>
      <w:bookmarkStart w:id="99" w:name="_Toc29899107"/>
      <w:bookmarkStart w:id="100" w:name="_Toc29899525"/>
      <w:bookmarkStart w:id="101" w:name="_Toc29917262"/>
      <w:bookmarkStart w:id="102" w:name="_Toc36498136"/>
      <w:bookmarkStart w:id="103" w:name="_Toc45699162"/>
      <w:bookmarkStart w:id="104" w:name="_Toc161999087"/>
      <w:r w:rsidRPr="00B916EC">
        <w:t>4.2</w:t>
      </w:r>
      <w:r w:rsidRPr="00B916EC">
        <w:tab/>
        <w:t>Transmission timing adjustments</w:t>
      </w:r>
      <w:bookmarkEnd w:id="95"/>
      <w:bookmarkEnd w:id="96"/>
      <w:bookmarkEnd w:id="97"/>
      <w:bookmarkEnd w:id="98"/>
      <w:bookmarkEnd w:id="99"/>
      <w:bookmarkEnd w:id="100"/>
      <w:bookmarkEnd w:id="101"/>
      <w:bookmarkEnd w:id="102"/>
      <w:bookmarkEnd w:id="103"/>
      <w:bookmarkEnd w:id="104"/>
    </w:p>
    <w:p w14:paraId="370FEDE0" w14:textId="21B5BD4D" w:rsidR="00A53EF6" w:rsidRPr="00444F8F" w:rsidRDefault="00A53EF6" w:rsidP="00A53EF6">
      <w:pPr>
        <w:rPr>
          <w:rFonts w:eastAsia="DengXian"/>
          <w:lang w:eastAsia="zh-CN"/>
        </w:rPr>
      </w:pPr>
      <w:r>
        <w:rPr>
          <w:rFonts w:eastAsia="DengXian" w:hint="eastAsia"/>
          <w:lang w:eastAsia="zh-CN"/>
        </w:rPr>
        <w:t xml:space="preserve">A UE </w:t>
      </w:r>
      <w:r>
        <w:rPr>
          <w:rFonts w:eastAsia="DengXian"/>
          <w:lang w:eastAsia="zh-CN"/>
        </w:rPr>
        <w:t>can be provided</w:t>
      </w:r>
      <w:r>
        <w:rPr>
          <w:rFonts w:eastAsia="DengXian" w:hint="eastAsia"/>
          <w:lang w:eastAsia="zh-CN"/>
        </w:rPr>
        <w:t xml:space="preserve"> a</w:t>
      </w:r>
      <w:r w:rsidRPr="00444F8F">
        <w:rPr>
          <w:rFonts w:eastAsia="DengXian" w:hint="eastAsia"/>
          <w:lang w:eastAsia="zh-CN"/>
        </w:rPr>
        <w:t xml:space="preserve"> value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TA,offset</m:t>
            </m:r>
          </m:sub>
        </m:sSub>
      </m:oMath>
      <w:r w:rsidRPr="007E0CB4">
        <w:rPr>
          <w:rFonts w:eastAsia="DengXian" w:hint="eastAsia"/>
          <w:lang w:eastAsia="zh-CN"/>
        </w:rPr>
        <w:t xml:space="preserve"> </w:t>
      </w:r>
      <w:r w:rsidRPr="00444F8F">
        <w:rPr>
          <w:rFonts w:eastAsia="DengXian" w:hint="eastAsia"/>
          <w:lang w:eastAsia="zh-CN"/>
        </w:rPr>
        <w:t>of</w:t>
      </w:r>
      <w:r>
        <w:rPr>
          <w:rFonts w:eastAsia="DengXian"/>
          <w:lang w:eastAsia="zh-CN"/>
        </w:rPr>
        <w:t xml:space="preserve"> a timing advance offset</w:t>
      </w:r>
      <w:r w:rsidRPr="00444F8F">
        <w:rPr>
          <w:rFonts w:eastAsia="DengXian" w:hint="eastAsia"/>
          <w:lang w:eastAsia="zh-CN"/>
        </w:rPr>
        <w:t xml:space="preserve"> for a serving cell by </w:t>
      </w:r>
      <w:r w:rsidRPr="00444F8F">
        <w:rPr>
          <w:rFonts w:eastAsia="DengXian" w:hint="eastAsia"/>
          <w:i/>
          <w:lang w:eastAsia="zh-CN"/>
        </w:rPr>
        <w:t>n-TimingAdvanceOffset</w:t>
      </w:r>
      <w:r>
        <w:rPr>
          <w:rFonts w:eastAsia="DengXian" w:hint="eastAsia"/>
          <w:lang w:eastAsia="zh-CN"/>
        </w:rPr>
        <w:t xml:space="preserve"> for</w:t>
      </w:r>
      <w:r w:rsidRPr="00444F8F">
        <w:rPr>
          <w:rFonts w:eastAsia="DengXian" w:hint="eastAsia"/>
          <w:lang w:eastAsia="zh-CN"/>
        </w:rPr>
        <w:t xml:space="preserve"> the serving cell. </w:t>
      </w:r>
      <w:r w:rsidR="006138D7" w:rsidRPr="00424337">
        <w:rPr>
          <w:rFonts w:eastAsia="DengXian"/>
          <w:lang w:eastAsia="zh-CN"/>
        </w:rPr>
        <w:t xml:space="preserve">If for a serving cell the </w:t>
      </w:r>
      <w:r w:rsidR="006138D7" w:rsidRPr="00424337">
        <w:t xml:space="preserve">UE is provided two </w:t>
      </w:r>
      <w:r w:rsidR="006138D7" w:rsidRPr="00424337">
        <w:rPr>
          <w:rStyle w:val="Emphasis"/>
          <w:rFonts w:eastAsia="Batang"/>
        </w:rPr>
        <w:t>coresetPoolIndex</w:t>
      </w:r>
      <w:r w:rsidR="006138D7" w:rsidRPr="00D5592C">
        <w:rPr>
          <w:rStyle w:val="Emphasis"/>
          <w:rFonts w:eastAsia="Batang"/>
          <w:i w:val="0"/>
          <w:iCs w:val="0"/>
        </w:rPr>
        <w:t xml:space="preserve"> values 0 and 1 for first and second CORESETs, or is not provided </w:t>
      </w:r>
      <w:r w:rsidR="006138D7" w:rsidRPr="00424337">
        <w:rPr>
          <w:rStyle w:val="Emphasis"/>
          <w:rFonts w:eastAsia="Batang"/>
        </w:rPr>
        <w:t>coresetPoolIndex</w:t>
      </w:r>
      <w:r w:rsidR="006138D7" w:rsidRPr="00D5592C">
        <w:rPr>
          <w:rStyle w:val="Emphasis"/>
          <w:rFonts w:eastAsia="Batang"/>
          <w:i w:val="0"/>
          <w:iCs w:val="0"/>
        </w:rPr>
        <w:t xml:space="preserve"> value for first CORESETs and is provided </w:t>
      </w:r>
      <w:r w:rsidR="006138D7" w:rsidRPr="00424337">
        <w:rPr>
          <w:rStyle w:val="Emphasis"/>
          <w:rFonts w:eastAsia="Batang"/>
        </w:rPr>
        <w:t>coresetPoolIndex</w:t>
      </w:r>
      <w:r w:rsidR="006138D7" w:rsidRPr="00D5592C">
        <w:rPr>
          <w:rStyle w:val="Emphasis"/>
          <w:rFonts w:eastAsia="Batang"/>
          <w:i w:val="0"/>
          <w:iCs w:val="0"/>
        </w:rPr>
        <w:t xml:space="preserve"> value of 1 for second CORESETs, the UE can be provided first and second</w:t>
      </w:r>
      <w:r w:rsidR="006138D7" w:rsidRPr="00424337">
        <w:rPr>
          <w:rStyle w:val="Emphasis"/>
          <w:rFonts w:eastAsia="Batang"/>
        </w:rPr>
        <w:t xml:space="preserve">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TA,offset</m:t>
            </m:r>
          </m:sub>
        </m:sSub>
      </m:oMath>
      <w:r w:rsidR="006138D7" w:rsidRPr="00424337">
        <w:rPr>
          <w:rFonts w:eastAsia="Batang"/>
          <w:lang w:eastAsia="zh-CN"/>
        </w:rPr>
        <w:t xml:space="preserve"> values </w:t>
      </w:r>
      <w:r w:rsidR="006138D7" w:rsidRPr="00424337">
        <w:rPr>
          <w:rFonts w:eastAsia="DengXian" w:hint="eastAsia"/>
          <w:lang w:eastAsia="zh-CN"/>
        </w:rPr>
        <w:t xml:space="preserve">by </w:t>
      </w:r>
      <w:r w:rsidR="006138D7" w:rsidRPr="00424337">
        <w:rPr>
          <w:rFonts w:eastAsia="DengXian" w:hint="eastAsia"/>
          <w:i/>
          <w:lang w:eastAsia="zh-CN"/>
        </w:rPr>
        <w:t>n-TimingAdvanceOffset</w:t>
      </w:r>
      <w:r w:rsidR="006138D7" w:rsidRPr="00424337">
        <w:rPr>
          <w:rFonts w:eastAsia="DengXian" w:hint="eastAsia"/>
          <w:lang w:eastAsia="zh-CN"/>
        </w:rPr>
        <w:t xml:space="preserve"> </w:t>
      </w:r>
      <w:r w:rsidR="006138D7" w:rsidRPr="00424337">
        <w:rPr>
          <w:rFonts w:eastAsia="DengXian"/>
          <w:lang w:eastAsia="zh-CN"/>
        </w:rPr>
        <w:t xml:space="preserve">and </w:t>
      </w:r>
      <w:r w:rsidR="006138D7" w:rsidRPr="00424337">
        <w:rPr>
          <w:rFonts w:eastAsia="DengXian" w:hint="eastAsia"/>
          <w:i/>
          <w:lang w:eastAsia="zh-CN"/>
        </w:rPr>
        <w:t>n-</w:t>
      </w:r>
      <w:r w:rsidR="006138D7" w:rsidRPr="00424337">
        <w:rPr>
          <w:rFonts w:eastAsia="DengXian" w:hint="eastAsia"/>
          <w:i/>
          <w:lang w:eastAsia="zh-CN"/>
        </w:rPr>
        <w:lastRenderedPageBreak/>
        <w:t>TimingAdvanceOffset</w:t>
      </w:r>
      <w:r w:rsidR="006138D7" w:rsidRPr="00424337">
        <w:rPr>
          <w:rFonts w:eastAsia="DengXian"/>
          <w:i/>
          <w:lang w:eastAsia="zh-CN"/>
        </w:rPr>
        <w:t>2</w:t>
      </w:r>
      <w:r w:rsidR="006138D7" w:rsidRPr="00424337">
        <w:rPr>
          <w:rFonts w:eastAsia="DengXian"/>
          <w:iCs/>
          <w:lang w:eastAsia="zh-CN"/>
        </w:rPr>
        <w:t xml:space="preserve"> for transmissions with </w:t>
      </w:r>
      <w:r w:rsidR="00D5592C">
        <w:rPr>
          <w:rFonts w:eastAsia="DengXian"/>
          <w:iCs/>
          <w:lang w:eastAsia="zh-CN"/>
        </w:rPr>
        <w:t xml:space="preserve">first and second spatial filters associated with first and second </w:t>
      </w:r>
      <w:r w:rsidR="006138D7" w:rsidRPr="00424337">
        <w:rPr>
          <w:rFonts w:eastAsia="DengXian"/>
          <w:iCs/>
          <w:lang w:eastAsia="zh-CN"/>
        </w:rPr>
        <w:t xml:space="preserve">TCI states </w:t>
      </w:r>
      <w:r w:rsidR="00D5592C">
        <w:rPr>
          <w:rFonts w:eastAsia="DengXian"/>
          <w:iCs/>
          <w:lang w:eastAsia="zh-CN"/>
        </w:rPr>
        <w:t>for</w:t>
      </w:r>
      <w:r w:rsidR="006138D7" w:rsidRPr="00424337">
        <w:rPr>
          <w:rFonts w:eastAsia="DengXian"/>
          <w:iCs/>
          <w:lang w:eastAsia="zh-CN"/>
        </w:rPr>
        <w:t xml:space="preserve"> the first and second CORESETs, respectively</w:t>
      </w:r>
      <w:r w:rsidR="006138D7" w:rsidRPr="00424337">
        <w:rPr>
          <w:rFonts w:eastAsia="Batang"/>
          <w:lang w:eastAsia="zh-CN"/>
        </w:rPr>
        <w:t>. A UE can be</w:t>
      </w:r>
      <w:r w:rsidR="00D5592C">
        <w:rPr>
          <w:rFonts w:eastAsia="Batang"/>
          <w:lang w:eastAsia="zh-CN"/>
        </w:rPr>
        <w:t xml:space="preserve"> provided a second</w:t>
      </w:r>
      <w:r w:rsidR="006138D7" w:rsidRPr="00424337">
        <w:rPr>
          <w:rStyle w:val="Emphasis"/>
          <w:rFonts w:eastAsia="Batang"/>
        </w:rPr>
        <w:t xml:space="preserve">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TA,offset</m:t>
            </m:r>
          </m:sub>
        </m:sSub>
      </m:oMath>
      <w:r w:rsidR="006138D7" w:rsidRPr="00424337">
        <w:rPr>
          <w:rFonts w:eastAsia="Batang"/>
          <w:lang w:eastAsia="zh-CN"/>
        </w:rPr>
        <w:t xml:space="preserve"> value for </w:t>
      </w:r>
      <w:r w:rsidR="006138D7" w:rsidRPr="00424337">
        <w:rPr>
          <w:rFonts w:eastAsia="Batang"/>
          <w:lang w:eastAsia="zh-CN" w:bidi="ar"/>
        </w:rPr>
        <w:t xml:space="preserve">transmissions with </w:t>
      </w:r>
      <w:r w:rsidR="00D5592C">
        <w:rPr>
          <w:rFonts w:eastAsia="Batang"/>
          <w:lang w:eastAsia="zh-CN" w:bidi="ar"/>
        </w:rPr>
        <w:t xml:space="preserve">second </w:t>
      </w:r>
      <w:r w:rsidR="006138D7" w:rsidRPr="00424337">
        <w:rPr>
          <w:rFonts w:eastAsia="Batang"/>
          <w:lang w:eastAsia="zh-CN" w:bidi="ar"/>
        </w:rPr>
        <w:t>spatial domain filters corresponding to</w:t>
      </w:r>
      <w:r w:rsidR="006138D7" w:rsidRPr="00424337">
        <w:rPr>
          <w:rFonts w:eastAsia="Batang" w:hint="eastAsia"/>
          <w:lang w:eastAsia="zh-CN" w:bidi="ar"/>
        </w:rPr>
        <w:t xml:space="preserve"> </w:t>
      </w:r>
      <w:r w:rsidR="00D5592C">
        <w:rPr>
          <w:rFonts w:eastAsia="Batang"/>
          <w:lang w:eastAsia="zh-CN" w:bidi="ar"/>
        </w:rPr>
        <w:t xml:space="preserve">second </w:t>
      </w:r>
      <w:r w:rsidR="006138D7" w:rsidRPr="00424337">
        <w:rPr>
          <w:rFonts w:eastAsia="Batang" w:hint="eastAsia"/>
          <w:lang w:eastAsia="zh-CN" w:bidi="ar"/>
        </w:rPr>
        <w:t xml:space="preserve">TCI states </w:t>
      </w:r>
      <w:r w:rsidR="00D5592C">
        <w:rPr>
          <w:rFonts w:eastAsia="Batang"/>
          <w:lang w:eastAsia="zh-CN" w:bidi="ar"/>
        </w:rPr>
        <w:t>or to second SS/PBCH block receptions</w:t>
      </w:r>
      <w:r w:rsidR="00D5592C" w:rsidRPr="00424337">
        <w:rPr>
          <w:rFonts w:eastAsia="Batang"/>
          <w:lang w:eastAsia="zh-CN" w:bidi="ar"/>
        </w:rPr>
        <w:t xml:space="preserve"> </w:t>
      </w:r>
      <w:r w:rsidR="006138D7" w:rsidRPr="00424337">
        <w:rPr>
          <w:rFonts w:eastAsia="Batang"/>
          <w:lang w:eastAsia="zh-CN" w:bidi="ar"/>
        </w:rPr>
        <w:t xml:space="preserve">associated with </w:t>
      </w:r>
      <w:r w:rsidR="006138D7" w:rsidRPr="00424337">
        <w:rPr>
          <w:i/>
          <w:iCs/>
          <w:lang w:eastAsia="zh-CN"/>
        </w:rPr>
        <w:t>physCellId</w:t>
      </w:r>
      <w:r w:rsidR="006138D7" w:rsidRPr="00424337">
        <w:rPr>
          <w:lang w:bidi="ar"/>
        </w:rPr>
        <w:t xml:space="preserve"> different from </w:t>
      </w:r>
      <w:r w:rsidR="006138D7" w:rsidRPr="00424337">
        <w:rPr>
          <w:i/>
          <w:iCs/>
          <w:lang w:eastAsia="zh-CN"/>
        </w:rPr>
        <w:t>physCellId</w:t>
      </w:r>
      <w:r w:rsidR="006138D7" w:rsidRPr="00424337">
        <w:rPr>
          <w:lang w:bidi="ar"/>
        </w:rPr>
        <w:t xml:space="preserve"> for the serving cell </w:t>
      </w:r>
      <w:r w:rsidR="006138D7" w:rsidRPr="00424337">
        <w:rPr>
          <w:rFonts w:eastAsia="Batang"/>
          <w:lang w:eastAsia="zh-CN"/>
        </w:rPr>
        <w:t xml:space="preserve">in addition to a first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TA,offset</m:t>
            </m:r>
          </m:sub>
        </m:sSub>
      </m:oMath>
      <w:r w:rsidR="006138D7" w:rsidRPr="00424337">
        <w:rPr>
          <w:rFonts w:eastAsia="Batang"/>
          <w:lang w:eastAsia="zh-CN"/>
        </w:rPr>
        <w:t xml:space="preserve"> value for </w:t>
      </w:r>
      <w:r w:rsidR="006138D7" w:rsidRPr="00424337">
        <w:rPr>
          <w:rFonts w:eastAsia="Batang"/>
          <w:lang w:eastAsia="zh-CN" w:bidi="ar"/>
        </w:rPr>
        <w:t xml:space="preserve">transmissions with </w:t>
      </w:r>
      <w:r w:rsidR="00D5592C">
        <w:rPr>
          <w:rFonts w:eastAsia="Batang"/>
          <w:lang w:eastAsia="zh-CN" w:bidi="ar"/>
        </w:rPr>
        <w:t xml:space="preserve">first </w:t>
      </w:r>
      <w:r w:rsidR="006138D7" w:rsidRPr="00424337">
        <w:rPr>
          <w:rFonts w:eastAsia="Batang"/>
          <w:lang w:eastAsia="zh-CN" w:bidi="ar"/>
        </w:rPr>
        <w:t>spatial domain filters corresponding to</w:t>
      </w:r>
      <w:r w:rsidR="006138D7" w:rsidRPr="00424337">
        <w:rPr>
          <w:rFonts w:eastAsia="Batang" w:hint="eastAsia"/>
          <w:lang w:eastAsia="zh-CN" w:bidi="ar"/>
        </w:rPr>
        <w:t xml:space="preserve"> </w:t>
      </w:r>
      <w:r w:rsidR="00D5592C">
        <w:rPr>
          <w:rFonts w:eastAsia="Batang"/>
          <w:lang w:eastAsia="zh-CN" w:bidi="ar"/>
        </w:rPr>
        <w:t xml:space="preserve">first </w:t>
      </w:r>
      <w:r w:rsidR="006138D7" w:rsidRPr="00424337">
        <w:rPr>
          <w:rFonts w:eastAsia="Batang" w:hint="eastAsia"/>
          <w:lang w:eastAsia="zh-CN" w:bidi="ar"/>
        </w:rPr>
        <w:t xml:space="preserve">TCI states </w:t>
      </w:r>
      <w:r w:rsidR="003A4EE7">
        <w:rPr>
          <w:rFonts w:eastAsia="Batang"/>
          <w:lang w:eastAsia="zh-CN" w:bidi="ar"/>
        </w:rPr>
        <w:t xml:space="preserve">or to first SS/PBCH block receptions </w:t>
      </w:r>
      <w:r w:rsidR="006138D7" w:rsidRPr="00424337">
        <w:rPr>
          <w:rFonts w:eastAsia="Batang"/>
          <w:lang w:eastAsia="zh-CN" w:bidi="ar"/>
        </w:rPr>
        <w:t xml:space="preserve">associated with </w:t>
      </w:r>
      <w:r w:rsidR="006138D7" w:rsidRPr="00424337">
        <w:rPr>
          <w:i/>
          <w:iCs/>
          <w:lang w:eastAsia="zh-CN"/>
        </w:rPr>
        <w:t>physCellId</w:t>
      </w:r>
      <w:r w:rsidR="006138D7" w:rsidRPr="00424337">
        <w:rPr>
          <w:lang w:bidi="ar"/>
        </w:rPr>
        <w:t xml:space="preserve"> for </w:t>
      </w:r>
      <w:r w:rsidR="006138D7" w:rsidRPr="00424337">
        <w:rPr>
          <w:rFonts w:eastAsia="Batang"/>
          <w:lang w:eastAsia="zh-CN"/>
        </w:rPr>
        <w:t>the serving cell. The</w:t>
      </w:r>
      <w:r w:rsidR="003A4EE7">
        <w:rPr>
          <w:rFonts w:eastAsia="Batang"/>
          <w:lang w:eastAsia="zh-CN"/>
        </w:rPr>
        <w:t xml:space="preserve"> first and second</w:t>
      </w:r>
      <w:r w:rsidR="006138D7" w:rsidRPr="00424337">
        <w:rPr>
          <w:rStyle w:val="Emphasis"/>
          <w:rFonts w:eastAsia="Batang"/>
        </w:rPr>
        <w:t xml:space="preserve">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TA,offset</m:t>
            </m:r>
          </m:sub>
        </m:sSub>
      </m:oMath>
      <w:r w:rsidR="006138D7" w:rsidRPr="00424337">
        <w:rPr>
          <w:rFonts w:eastAsia="Batang"/>
          <w:lang w:eastAsia="zh-CN"/>
        </w:rPr>
        <w:t xml:space="preserve"> values correspond to first and second TAGs</w:t>
      </w:r>
      <w:r w:rsidR="003A4EE7">
        <w:rPr>
          <w:rFonts w:eastAsia="Batang"/>
          <w:lang w:eastAsia="zh-CN"/>
        </w:rPr>
        <w:t xml:space="preserve"> indicated in respective MAC RARs</w:t>
      </w:r>
      <w:r w:rsidR="006138D7" w:rsidRPr="00424337">
        <w:rPr>
          <w:rFonts w:eastAsia="Batang"/>
          <w:lang w:eastAsia="zh-CN"/>
        </w:rPr>
        <w:t xml:space="preserve"> [11, TS 38.321] having an association indicated by </w:t>
      </w:r>
      <w:r w:rsidR="006138D7" w:rsidRPr="00424337">
        <w:rPr>
          <w:rFonts w:eastAsia="Batang"/>
          <w:i/>
          <w:iCs/>
          <w:lang w:eastAsia="zh-CN"/>
        </w:rPr>
        <w:t>tag-Id</w:t>
      </w:r>
      <w:r w:rsidR="006138D7">
        <w:rPr>
          <w:rFonts w:eastAsia="Batang"/>
          <w:i/>
          <w:iCs/>
          <w:lang w:eastAsia="zh-CN"/>
        </w:rPr>
        <w:t>-ptr</w:t>
      </w:r>
      <w:r w:rsidR="006138D7" w:rsidRPr="00424337">
        <w:rPr>
          <w:rFonts w:eastAsia="Batang"/>
          <w:lang w:eastAsia="zh-CN"/>
        </w:rPr>
        <w:t xml:space="preserve"> with first and second joint TCI states provided by </w:t>
      </w:r>
      <w:r w:rsidR="006138D7" w:rsidRPr="00424337">
        <w:rPr>
          <w:rFonts w:cs="Times"/>
          <w:i/>
          <w:szCs w:val="18"/>
          <w:lang w:eastAsia="zh-CN"/>
        </w:rPr>
        <w:t>dl-OrJointTCI-StateList</w:t>
      </w:r>
      <w:r w:rsidR="006138D7" w:rsidRPr="00424337">
        <w:rPr>
          <w:rFonts w:eastAsia="Batang"/>
          <w:lang w:eastAsia="zh-CN"/>
        </w:rPr>
        <w:t xml:space="preserve"> or first and second UL TCI states provided by </w:t>
      </w:r>
      <w:r w:rsidR="006138D7" w:rsidRPr="00424337">
        <w:rPr>
          <w:rFonts w:eastAsia="Batang"/>
          <w:i/>
          <w:iCs/>
          <w:lang w:eastAsia="zh-CN"/>
        </w:rPr>
        <w:t>ul</w:t>
      </w:r>
      <w:r w:rsidR="006138D7" w:rsidRPr="00424337">
        <w:rPr>
          <w:rFonts w:eastAsia="Batang"/>
          <w:lang w:eastAsia="zh-CN"/>
        </w:rPr>
        <w:t>-</w:t>
      </w:r>
      <w:r w:rsidR="006138D7" w:rsidRPr="00424337">
        <w:rPr>
          <w:i/>
          <w:iCs/>
          <w:lang w:val="en-US"/>
        </w:rPr>
        <w:t>TCI-State-List</w:t>
      </w:r>
      <w:r w:rsidR="006138D7" w:rsidRPr="003A4EE7">
        <w:rPr>
          <w:lang w:val="en-US"/>
        </w:rPr>
        <w:t xml:space="preserve">. </w:t>
      </w:r>
      <w:r w:rsidRPr="00444F8F">
        <w:rPr>
          <w:rFonts w:eastAsia="DengXian" w:hint="eastAsia"/>
          <w:lang w:eastAsia="zh-CN"/>
        </w:rPr>
        <w:t xml:space="preserve">If </w:t>
      </w:r>
      <w:r>
        <w:rPr>
          <w:rFonts w:eastAsia="DengXian"/>
          <w:lang w:eastAsia="zh-CN"/>
        </w:rPr>
        <w:t xml:space="preserve">the UE is not provided </w:t>
      </w:r>
      <w:r w:rsidRPr="00444F8F">
        <w:rPr>
          <w:rFonts w:eastAsia="DengXian"/>
          <w:i/>
          <w:lang w:eastAsia="zh-CN"/>
        </w:rPr>
        <w:t>n-TimingAdvanceOffset</w:t>
      </w:r>
      <w:r>
        <w:rPr>
          <w:rFonts w:eastAsia="DengXian"/>
          <w:lang w:eastAsia="zh-CN"/>
        </w:rPr>
        <w:t xml:space="preserve"> for a serving cell, the UE determines a default value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TA,offset</m:t>
            </m:r>
          </m:sub>
        </m:sSub>
      </m:oMath>
      <w:r>
        <w:rPr>
          <w:rFonts w:eastAsia="DengXian"/>
        </w:rPr>
        <w:t xml:space="preserve"> </w:t>
      </w:r>
      <w:r>
        <w:rPr>
          <w:rFonts w:eastAsia="DengXian"/>
          <w:lang w:eastAsia="zh-CN"/>
        </w:rPr>
        <w:t>of the timing advance offset for the serving cell as</w:t>
      </w:r>
      <w:r w:rsidRPr="00444F8F">
        <w:rPr>
          <w:rFonts w:eastAsia="DengXian"/>
          <w:lang w:eastAsia="zh-CN"/>
        </w:rPr>
        <w:t xml:space="preserve"> </w:t>
      </w:r>
      <w:r w:rsidRPr="00444F8F">
        <w:rPr>
          <w:rFonts w:eastAsia="MS Mincho"/>
        </w:rPr>
        <w:t xml:space="preserve">described in </w:t>
      </w:r>
      <w:r w:rsidRPr="00444F8F">
        <w:rPr>
          <w:rFonts w:eastAsia="DengXian"/>
        </w:rPr>
        <w:t>[10, TS 38.133</w:t>
      </w:r>
      <w:r w:rsidRPr="00444F8F">
        <w:rPr>
          <w:rFonts w:eastAsia="MS Mincho"/>
        </w:rPr>
        <w:t>].</w:t>
      </w:r>
      <w:r w:rsidRPr="00444F8F">
        <w:rPr>
          <w:rFonts w:eastAsia="DengXian"/>
          <w:lang w:eastAsia="zh-CN"/>
        </w:rPr>
        <w:t xml:space="preserve"> </w:t>
      </w:r>
    </w:p>
    <w:p w14:paraId="7925833D" w14:textId="506E452A" w:rsidR="000803A8" w:rsidRPr="00B916EC" w:rsidRDefault="000803A8" w:rsidP="000803A8">
      <w:pPr>
        <w:rPr>
          <w:rFonts w:eastAsia="MS Mincho"/>
        </w:rPr>
      </w:pPr>
      <w:r w:rsidRPr="00B916EC">
        <w:t xml:space="preserve">If a UE </w:t>
      </w:r>
      <w:r>
        <w:t xml:space="preserve">is configured with two UL carriers </w:t>
      </w:r>
      <w:r w:rsidR="00A53EF6">
        <w:t xml:space="preserve">for </w:t>
      </w:r>
      <w:r>
        <w:t>a serving cell, a same</w:t>
      </w:r>
      <w:r w:rsidR="00A53EF6" w:rsidRPr="00A53EF6">
        <w:t xml:space="preserve"> </w:t>
      </w:r>
      <w:r w:rsidR="00A53EF6">
        <w:t>timing advance offset</w:t>
      </w:r>
      <w:r>
        <w:t xml:space="preserve"> value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TA,offset</m:t>
            </m:r>
          </m:sub>
        </m:sSub>
      </m:oMath>
      <w:r>
        <w:t xml:space="preserve"> applies to both carriers</w:t>
      </w:r>
      <w:r w:rsidR="006138D7" w:rsidRPr="006138D7">
        <w:t xml:space="preserve"> </w:t>
      </w:r>
      <w:r w:rsidR="006138D7" w:rsidRPr="00424337">
        <w:t xml:space="preserve">for transmissions on the serving cell that are associated with a same TAG. </w:t>
      </w:r>
      <w:r w:rsidR="006138D7" w:rsidRPr="003C24D8">
        <w:rPr>
          <w:kern w:val="2"/>
          <w:lang w:eastAsia="zh-CN"/>
        </w:rPr>
        <w:t xml:space="preserve">The UE does not expect to apply two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TA,offset</m:t>
            </m:r>
          </m:sub>
        </m:sSub>
      </m:oMath>
      <w:r w:rsidR="006138D7" w:rsidRPr="003C24D8">
        <w:rPr>
          <w:rFonts w:eastAsia="Batang"/>
          <w:lang w:eastAsia="zh-CN"/>
        </w:rPr>
        <w:t xml:space="preserve"> values for transmissions on the SUL carrier</w:t>
      </w:r>
      <w:r>
        <w:t xml:space="preserve">. </w:t>
      </w:r>
    </w:p>
    <w:p w14:paraId="2F28A556" w14:textId="4D570E9A" w:rsidR="000902DA" w:rsidRDefault="00A53EF6" w:rsidP="00557603">
      <w:r w:rsidRPr="00444F8F">
        <w:t>Upon reception of a timing advance command for a TAG, the UE adjusts uplink timing</w:t>
      </w:r>
      <w:r w:rsidRPr="00444F8F">
        <w:rPr>
          <w:rFonts w:eastAsia="MS Mincho"/>
        </w:rPr>
        <w:t xml:space="preserve"> for PUSCH/SRS</w:t>
      </w:r>
      <w:r w:rsidRPr="00444F8F">
        <w:t>/PUCCH</w:t>
      </w:r>
      <w:r w:rsidRPr="00444F8F">
        <w:rPr>
          <w:rFonts w:eastAsia="MS Mincho"/>
        </w:rPr>
        <w:t xml:space="preserve"> </w:t>
      </w:r>
      <w:r>
        <w:rPr>
          <w:rFonts w:eastAsia="MS Mincho"/>
        </w:rPr>
        <w:t>transmission on</w:t>
      </w:r>
      <w:r w:rsidRPr="00444F8F">
        <w:rPr>
          <w:rFonts w:eastAsia="MS Mincho"/>
        </w:rPr>
        <w:t xml:space="preserve"> all the serving cells in the TAG </w:t>
      </w:r>
      <w:r>
        <w:rPr>
          <w:rFonts w:eastAsia="MS Mincho"/>
        </w:rPr>
        <w:t>based on a</w:t>
      </w:r>
      <w:r>
        <w:rPr>
          <w:lang w:eastAsia="zh-CN"/>
        </w:rPr>
        <w:t xml:space="preserve"> value</w:t>
      </w:r>
      <w:r w:rsidRPr="00444F8F">
        <w:rPr>
          <w:lang w:eastAsia="zh-CN"/>
        </w:rPr>
        <w:t xml:space="preserve">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TA,offset</m:t>
            </m:r>
          </m:sub>
        </m:sSub>
      </m:oMath>
      <w:r w:rsidRPr="00444F8F">
        <w:rPr>
          <w:rFonts w:eastAsia="MS Mincho"/>
        </w:rPr>
        <w:t xml:space="preserve"> </w:t>
      </w:r>
      <w:r>
        <w:rPr>
          <w:rFonts w:eastAsia="MS Mincho"/>
        </w:rPr>
        <w:t xml:space="preserve">that </w:t>
      </w:r>
      <w:r w:rsidRPr="00444F8F">
        <w:rPr>
          <w:rFonts w:eastAsia="MS Mincho"/>
        </w:rPr>
        <w:t xml:space="preserve">the UE expects to be same </w:t>
      </w:r>
      <w:r w:rsidRPr="00444F8F">
        <w:rPr>
          <w:lang w:eastAsia="zh-CN"/>
        </w:rPr>
        <w:t xml:space="preserve">for all the serving cells </w:t>
      </w:r>
      <w:r w:rsidR="00AA590B" w:rsidRPr="00444F8F">
        <w:rPr>
          <w:rFonts w:eastAsia="MS Mincho"/>
        </w:rPr>
        <w:t>in the TAG</w:t>
      </w:r>
      <w:r w:rsidR="00AA590B" w:rsidRPr="00444F8F">
        <w:rPr>
          <w:lang w:eastAsia="zh-CN"/>
        </w:rPr>
        <w:t xml:space="preserve"> </w:t>
      </w:r>
      <w:r w:rsidRPr="00444F8F">
        <w:rPr>
          <w:lang w:eastAsia="zh-CN"/>
        </w:rPr>
        <w:t>and</w:t>
      </w:r>
      <w:r w:rsidRPr="00444F8F">
        <w:rPr>
          <w:rFonts w:eastAsia="MS Mincho"/>
        </w:rPr>
        <w:t xml:space="preserve"> based on the received timing advance command</w:t>
      </w:r>
      <w:r w:rsidRPr="00444F8F">
        <w:t xml:space="preserve"> where the </w:t>
      </w:r>
      <w:r>
        <w:t>uplink</w:t>
      </w:r>
      <w:r w:rsidRPr="00444F8F">
        <w:t xml:space="preserve"> timing for PUSCH/SRS/PUCCH </w:t>
      </w:r>
      <w:r>
        <w:t xml:space="preserve">transmissions </w:t>
      </w:r>
      <w:r w:rsidRPr="00444F8F">
        <w:t xml:space="preserve">is the same for all the serving cells in the TAG. </w:t>
      </w:r>
    </w:p>
    <w:p w14:paraId="455B968E" w14:textId="77777777" w:rsidR="00A53EF6" w:rsidRPr="000902DA" w:rsidRDefault="000902DA" w:rsidP="00557603">
      <w:r>
        <w:t xml:space="preserve">For a band with synchronous contiguous intra-band EN-DC in a band combination with non-applicable maximum transmit timing difference requirements as described in </w:t>
      </w:r>
      <w:r w:rsidRPr="003348D4">
        <w:t>Note 1 of Table 7.5.3-1 of</w:t>
      </w:r>
      <w:r>
        <w:t xml:space="preserve"> [10, TS 38.133], if the UE indicates </w:t>
      </w:r>
      <w:r w:rsidRPr="00C66BDE">
        <w:rPr>
          <w:i/>
        </w:rPr>
        <w:t>ul-</w:t>
      </w:r>
      <w:r w:rsidR="00437E1E" w:rsidRPr="00C66BDE">
        <w:rPr>
          <w:i/>
        </w:rPr>
        <w:t>TimingAlignmentE</w:t>
      </w:r>
      <w:r w:rsidR="00437E1E">
        <w:rPr>
          <w:i/>
        </w:rPr>
        <w:t>UTRA</w:t>
      </w:r>
      <w:r w:rsidRPr="00C66BDE">
        <w:rPr>
          <w:i/>
        </w:rPr>
        <w:t>-NR</w:t>
      </w:r>
      <w:r>
        <w:t xml:space="preserve"> as </w:t>
      </w:r>
      <w:r w:rsidR="00247B4B">
        <w:t>'</w:t>
      </w:r>
      <w:r>
        <w:t>required</w:t>
      </w:r>
      <w:r w:rsidR="00247B4B">
        <w:t>'</w:t>
      </w:r>
      <w:r>
        <w:t xml:space="preserve"> and uplink transmission timing based on timing adjustment indication for a TAG from MCG and a TAG from SCG are determined to be different by the UE, </w:t>
      </w:r>
      <w:r>
        <w:rPr>
          <w:lang w:eastAsia="ja-JP"/>
        </w:rPr>
        <w:t xml:space="preserve">the </w:t>
      </w:r>
      <w:r>
        <w:t>UE adjusts the transmission timing for PUSCH/SRS/PUCCH transmission on all serving cells part of the band with the synchronous contiguous intra-band EN-DC based on timing adjustment indication for a TAG from a serving cell in MCG in the band.</w:t>
      </w:r>
      <w:r w:rsidR="00DE66FC">
        <w:t xml:space="preserve"> The UE is not expected to transmit a PUSCH/SRS/PUCCH in one CG when the PUSCH/SRS/PUCCH is overlapping in time</w:t>
      </w:r>
      <w:r w:rsidR="00DE66FC">
        <w:rPr>
          <w:color w:val="000000"/>
        </w:rPr>
        <w:t>,</w:t>
      </w:r>
      <w:r w:rsidR="00DE66FC" w:rsidRPr="0048482F">
        <w:rPr>
          <w:color w:val="000000"/>
        </w:rPr>
        <w:t xml:space="preserve"> even partially</w:t>
      </w:r>
      <w:r w:rsidR="00DE66FC">
        <w:rPr>
          <w:color w:val="000000"/>
        </w:rPr>
        <w:t>,</w:t>
      </w:r>
      <w:r w:rsidR="00DE66FC">
        <w:t xml:space="preserve"> with random access preamble transmitted in another CG.</w:t>
      </w:r>
    </w:p>
    <w:p w14:paraId="65AB95E8" w14:textId="648E47E7" w:rsidR="00186C13" w:rsidRPr="00B916EC" w:rsidRDefault="008748DA" w:rsidP="00186C13">
      <w:pPr>
        <w:rPr>
          <w:rFonts w:eastAsia="MS Mincho"/>
        </w:rPr>
      </w:pPr>
      <w:r w:rsidRPr="00B916EC">
        <w:rPr>
          <w:rFonts w:eastAsia="MS Mincho"/>
        </w:rPr>
        <w:t xml:space="preserve">For a </w:t>
      </w:r>
      <w:r w:rsidR="00143099">
        <w:rPr>
          <w:rFonts w:eastAsia="MS Mincho"/>
        </w:rPr>
        <w:t>SCS</w:t>
      </w:r>
      <w:r w:rsidRPr="00B916EC">
        <w:rPr>
          <w:rFonts w:eastAsia="MS Mincho"/>
        </w:rPr>
        <w:t xml:space="preserve"> of </w:t>
      </w:r>
      <m:oMath>
        <m:sSup>
          <m:sSupPr>
            <m:ctrlPr>
              <w:rPr>
                <w:rFonts w:ascii="Cambria Math" w:hAnsi="Cambria Math" w:cs="Calibri"/>
                <w:i/>
                <w:sz w:val="18"/>
              </w:rPr>
            </m:ctrlPr>
          </m:sSupPr>
          <m:e>
            <m:r>
              <w:rPr>
                <w:rFonts w:ascii="Cambria Math" w:hAnsi="Cambria Math" w:cs="Calibri"/>
                <w:sz w:val="18"/>
              </w:rPr>
              <m:t>2</m:t>
            </m:r>
          </m:e>
          <m:sup>
            <m:r>
              <w:rPr>
                <w:rFonts w:ascii="Cambria Math" w:hAnsi="Cambria Math" w:cs="Calibri"/>
                <w:sz w:val="18"/>
              </w:rPr>
              <m:t>μ</m:t>
            </m:r>
          </m:sup>
        </m:sSup>
        <m:r>
          <m:rPr>
            <m:sty m:val="p"/>
          </m:rPr>
          <w:rPr>
            <w:rFonts w:ascii="Cambria Math" w:hAnsi="Cambria Math" w:cs="Calibri"/>
            <w:sz w:val="18"/>
          </w:rPr>
          <m:t>∙15</m:t>
        </m:r>
      </m:oMath>
      <w:r w:rsidRPr="00B916EC">
        <w:t xml:space="preserve"> </w:t>
      </w:r>
      <w:r w:rsidR="00E66246" w:rsidRPr="00B916EC">
        <w:t>kHz</w:t>
      </w:r>
      <w:r w:rsidRPr="00B916EC">
        <w:t>, t</w:t>
      </w:r>
      <w:r w:rsidR="00186C13" w:rsidRPr="00B916EC">
        <w:t xml:space="preserve">he timing advance command for a TAG </w:t>
      </w:r>
      <w:r w:rsidR="00186C13" w:rsidRPr="00B916EC">
        <w:rPr>
          <w:rFonts w:eastAsia="MS Mincho" w:hint="eastAsia"/>
        </w:rPr>
        <w:t>indicates the change of the uplink timing</w:t>
      </w:r>
      <w:r w:rsidR="00186C13" w:rsidRPr="00B916EC">
        <w:t xml:space="preserve"> relative to the current uplink timing for the TAG</w:t>
      </w:r>
      <w:r w:rsidR="00186C13" w:rsidRPr="00B916EC">
        <w:rPr>
          <w:rFonts w:eastAsia="MS Mincho" w:hint="eastAsia"/>
        </w:rPr>
        <w:t xml:space="preserve"> </w:t>
      </w:r>
      <w:r w:rsidR="00A53EF6">
        <w:rPr>
          <w:rFonts w:eastAsia="MS Mincho"/>
        </w:rPr>
        <w:t>in</w:t>
      </w:r>
      <w:r w:rsidR="00A53EF6" w:rsidRPr="00B916EC">
        <w:t xml:space="preserve"> </w:t>
      </w:r>
      <w:r w:rsidR="00186C13" w:rsidRPr="00B916EC">
        <w:t>multiples of</w:t>
      </w:r>
      <w:r w:rsidR="00922BEF" w:rsidRPr="00B916EC">
        <w:t xml:space="preserve"> </w:t>
      </w:r>
      <m:oMath>
        <m:r>
          <m:rPr>
            <m:sty m:val="p"/>
          </m:rPr>
          <w:rPr>
            <w:rFonts w:ascii="Cambria Math" w:hAnsi="Cambria Math" w:cs="Calibri"/>
            <w:sz w:val="18"/>
          </w:rPr>
          <m:t>16∙</m:t>
        </m:r>
        <m:f>
          <m:fPr>
            <m:type m:val="lin"/>
            <m:ctrlPr>
              <w:rPr>
                <w:rFonts w:ascii="Cambria Math" w:hAnsi="Cambria Math" w:cs="Calibri"/>
                <w:sz w:val="18"/>
              </w:rPr>
            </m:ctrlPr>
          </m:fPr>
          <m:num>
            <m:r>
              <w:rPr>
                <w:rFonts w:ascii="Cambria Math" w:hAnsi="Cambria Math" w:cs="Calibri"/>
                <w:sz w:val="18"/>
              </w:rPr>
              <m:t>64</m:t>
            </m:r>
            <m:r>
              <m:rPr>
                <m:sty m:val="p"/>
              </m:rPr>
              <w:rPr>
                <w:rFonts w:ascii="Cambria Math" w:hAnsi="Cambria Math" w:cs="Calibri"/>
                <w:sz w:val="18"/>
              </w:rPr>
              <m:t>∙</m:t>
            </m:r>
            <m:sSub>
              <m:sSubPr>
                <m:ctrlPr>
                  <w:rPr>
                    <w:rFonts w:ascii="Cambria Math" w:eastAsia="DengXian" w:hAnsi="Cambria Math"/>
                    <w:i/>
                    <w:lang w:eastAsia="zh-CN"/>
                  </w:rPr>
                </m:ctrlPr>
              </m:sSubPr>
              <m:e>
                <m:r>
                  <w:rPr>
                    <w:rFonts w:ascii="Cambria Math" w:eastAsia="DengXian" w:hAnsi="Cambria Math"/>
                    <w:lang w:eastAsia="zh-CN"/>
                  </w:rPr>
                  <m:t>T</m:t>
                </m:r>
              </m:e>
              <m:sub>
                <m:r>
                  <m:rPr>
                    <m:sty m:val="p"/>
                  </m:rPr>
                  <w:rPr>
                    <w:rFonts w:ascii="Cambria Math" w:eastAsia="DengXian" w:hAnsi="Cambria Math"/>
                    <w:lang w:eastAsia="zh-CN"/>
                  </w:rPr>
                  <m:t>c</m:t>
                </m:r>
              </m:sub>
            </m:sSub>
          </m:num>
          <m:den>
            <m:sSup>
              <m:sSupPr>
                <m:ctrlPr>
                  <w:rPr>
                    <w:rFonts w:ascii="Cambria Math" w:hAnsi="Cambria Math" w:cs="Calibri"/>
                    <w:i/>
                    <w:sz w:val="18"/>
                  </w:rPr>
                </m:ctrlPr>
              </m:sSupPr>
              <m:e>
                <m:r>
                  <w:rPr>
                    <w:rFonts w:ascii="Cambria Math" w:hAnsi="Cambria Math" w:cs="Calibri"/>
                    <w:sz w:val="18"/>
                  </w:rPr>
                  <m:t>2</m:t>
                </m:r>
              </m:e>
              <m:sup>
                <m:r>
                  <w:rPr>
                    <w:rFonts w:ascii="Cambria Math" w:hAnsi="Cambria Math" w:cs="Calibri"/>
                    <w:sz w:val="18"/>
                  </w:rPr>
                  <m:t>μ</m:t>
                </m:r>
              </m:sup>
            </m:sSup>
          </m:den>
        </m:f>
      </m:oMath>
      <w:r w:rsidR="00186C13" w:rsidRPr="00B916EC">
        <w:t>.</w:t>
      </w:r>
      <w:r w:rsidR="00186C13" w:rsidRPr="00B916EC">
        <w:rPr>
          <w:rFonts w:eastAsia="MS Mincho" w:hint="eastAsia"/>
        </w:rPr>
        <w:t xml:space="preserve"> The start timing of the random access preamble is </w:t>
      </w:r>
      <w:r w:rsidR="00A53EF6">
        <w:rPr>
          <w:rFonts w:eastAsia="MS Mincho"/>
        </w:rPr>
        <w:t>described</w:t>
      </w:r>
      <w:r w:rsidR="00186C13" w:rsidRPr="00B916EC">
        <w:rPr>
          <w:rFonts w:eastAsia="MS Mincho" w:hint="eastAsia"/>
        </w:rPr>
        <w:t xml:space="preserve"> in </w:t>
      </w:r>
      <w:r w:rsidR="00922BEF" w:rsidRPr="00B916EC">
        <w:t>[4, TS 38.211</w:t>
      </w:r>
      <w:r w:rsidR="00922BEF" w:rsidRPr="00B916EC">
        <w:rPr>
          <w:rFonts w:eastAsia="MS Mincho" w:hint="eastAsia"/>
        </w:rPr>
        <w:t>]</w:t>
      </w:r>
      <w:r w:rsidR="00186C13" w:rsidRPr="00B916EC">
        <w:rPr>
          <w:rFonts w:eastAsia="MS Mincho"/>
        </w:rPr>
        <w:t>.</w:t>
      </w:r>
    </w:p>
    <w:p w14:paraId="02A2DAB3" w14:textId="0CE3A99E" w:rsidR="00186C13" w:rsidRPr="00B916EC" w:rsidRDefault="009C4668" w:rsidP="00186C13">
      <w:pPr>
        <w:rPr>
          <w:rFonts w:eastAsia="MS Mincho"/>
        </w:rPr>
      </w:pPr>
      <w:r>
        <w:t>A</w:t>
      </w:r>
      <w:r w:rsidRPr="00B916EC">
        <w:t xml:space="preserve"> </w:t>
      </w:r>
      <w:r w:rsidRPr="00B916EC">
        <w:rPr>
          <w:rFonts w:hint="eastAsia"/>
        </w:rPr>
        <w:t>timing advance command</w:t>
      </w:r>
      <w:r>
        <w:t xml:space="preserve"> </w:t>
      </w:r>
      <w:r w:rsidRPr="00B916EC">
        <w:t>[11, TS 38.321]</w:t>
      </w:r>
      <w:r w:rsidRPr="00B916EC">
        <w:rPr>
          <w:rFonts w:hint="eastAsia"/>
        </w:rPr>
        <w:t xml:space="preserve"> </w:t>
      </w:r>
      <w:r>
        <w:t>i</w:t>
      </w:r>
      <w:r w:rsidR="00186C13" w:rsidRPr="00B916EC">
        <w:rPr>
          <w:rFonts w:hint="eastAsia"/>
        </w:rPr>
        <w:t>n case of random access response</w:t>
      </w:r>
      <w:r>
        <w:t xml:space="preserve"> or in an absolute t</w:t>
      </w:r>
      <w:r w:rsidRPr="008767EA">
        <w:t xml:space="preserve">iming </w:t>
      </w:r>
      <w:r>
        <w:t>advance c</w:t>
      </w:r>
      <w:r w:rsidRPr="008767EA">
        <w:t>ommand MAC CE</w:t>
      </w:r>
      <w:r w:rsidR="00290476">
        <w:t xml:space="preserve"> or in a cell switch command</w:t>
      </w:r>
      <w:r w:rsidR="00186C13" w:rsidRPr="00B916EC">
        <w:rPr>
          <w:rFonts w:hint="eastAsia"/>
        </w:rPr>
        <w:t xml:space="preserve">, </w:t>
      </w:r>
      <m:oMath>
        <m:sSub>
          <m:sSubPr>
            <m:ctrlPr>
              <w:rPr>
                <w:rFonts w:ascii="Cambria Math" w:eastAsia="DengXian" w:hAnsi="Cambria Math"/>
                <w:i/>
                <w:lang w:eastAsia="zh-CN"/>
              </w:rPr>
            </m:ctrlPr>
          </m:sSubPr>
          <m:e>
            <m:r>
              <w:rPr>
                <w:rFonts w:ascii="Cambria Math" w:eastAsia="DengXian" w:hAnsi="Cambria Math"/>
                <w:lang w:eastAsia="zh-CN"/>
              </w:rPr>
              <m:t>T</m:t>
            </m:r>
          </m:e>
          <m:sub>
            <m:r>
              <m:rPr>
                <m:sty m:val="p"/>
              </m:rPr>
              <w:rPr>
                <w:rFonts w:ascii="Cambria Math" w:eastAsia="DengXian" w:hAnsi="Cambria Math"/>
                <w:lang w:eastAsia="zh-CN"/>
              </w:rPr>
              <m:t>A</m:t>
            </m:r>
          </m:sub>
        </m:sSub>
      </m:oMath>
      <w:r w:rsidR="00186C13" w:rsidRPr="00B916EC">
        <w:rPr>
          <w:rFonts w:hint="eastAsia"/>
        </w:rPr>
        <w:t xml:space="preserve">, </w:t>
      </w:r>
      <w:r w:rsidR="00186C13" w:rsidRPr="00B916EC">
        <w:t>for a TAG</w:t>
      </w:r>
      <w:r w:rsidR="00186C13" w:rsidRPr="00B916EC">
        <w:rPr>
          <w:rFonts w:hint="eastAsia"/>
        </w:rPr>
        <w:t xml:space="preserve"> indicates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TA</m:t>
            </m:r>
          </m:sub>
        </m:sSub>
      </m:oMath>
      <w:r w:rsidR="00186C13" w:rsidRPr="00B916EC">
        <w:rPr>
          <w:rFonts w:hint="eastAsia"/>
          <w:i/>
        </w:rPr>
        <w:t xml:space="preserve"> </w:t>
      </w:r>
      <w:r w:rsidR="00186C13" w:rsidRPr="00B916EC">
        <w:rPr>
          <w:rFonts w:hint="eastAsia"/>
        </w:rPr>
        <w:t>values by index values of</w:t>
      </w:r>
      <w:r w:rsidR="0009732E">
        <w:rPr>
          <w:rFonts w:hint="eastAsia"/>
        </w:rPr>
        <w:t xml:space="preserve"> </w:t>
      </w:r>
      <m:oMath>
        <m:sSub>
          <m:sSubPr>
            <m:ctrlPr>
              <w:rPr>
                <w:rFonts w:ascii="Cambria Math" w:eastAsia="DengXian" w:hAnsi="Cambria Math"/>
                <w:i/>
                <w:lang w:eastAsia="zh-CN"/>
              </w:rPr>
            </m:ctrlPr>
          </m:sSubPr>
          <m:e>
            <m:r>
              <w:rPr>
                <w:rFonts w:ascii="Cambria Math" w:eastAsia="DengXian" w:hAnsi="Cambria Math"/>
                <w:lang w:eastAsia="zh-CN"/>
              </w:rPr>
              <m:t>T</m:t>
            </m:r>
          </m:e>
          <m:sub>
            <m:r>
              <m:rPr>
                <m:sty m:val="p"/>
              </m:rPr>
              <w:rPr>
                <w:rFonts w:ascii="Cambria Math" w:eastAsia="DengXian" w:hAnsi="Cambria Math"/>
                <w:lang w:eastAsia="zh-CN"/>
              </w:rPr>
              <m:t>A</m:t>
            </m:r>
          </m:sub>
        </m:sSub>
      </m:oMath>
      <w:r w:rsidR="00350746" w:rsidRPr="00B916EC">
        <w:rPr>
          <w:rFonts w:hint="eastAsia"/>
        </w:rPr>
        <w:t xml:space="preserve"> = 0, 1, 2, ..., </w:t>
      </w:r>
      <w:r w:rsidR="00703A65">
        <w:t>3846</w:t>
      </w:r>
      <w:r w:rsidR="00186C13" w:rsidRPr="00B916EC">
        <w:rPr>
          <w:rFonts w:hint="eastAsia"/>
        </w:rPr>
        <w:t>, where a</w:t>
      </w:r>
      <w:r w:rsidR="00186C13" w:rsidRPr="00B916EC">
        <w:t>n</w:t>
      </w:r>
      <w:r w:rsidR="00186C13" w:rsidRPr="00B916EC">
        <w:rPr>
          <w:rFonts w:hint="eastAsia"/>
        </w:rPr>
        <w:t xml:space="preserve"> amount of the time alignment</w:t>
      </w:r>
      <w:r w:rsidR="00186C13" w:rsidRPr="00B916EC">
        <w:t xml:space="preserve"> for the TAG</w:t>
      </w:r>
      <w:r w:rsidR="00186C13" w:rsidRPr="00B916EC">
        <w:rPr>
          <w:rFonts w:hint="eastAsia"/>
        </w:rPr>
        <w:t xml:space="preserve"> </w:t>
      </w:r>
      <w:r w:rsidR="00964142">
        <w:t>with</w:t>
      </w:r>
      <w:r w:rsidR="00350746" w:rsidRPr="00B916EC">
        <w:t xml:space="preserve"> </w:t>
      </w:r>
      <w:r w:rsidR="00143099">
        <w:t>SCS</w:t>
      </w:r>
      <w:r w:rsidR="00350746" w:rsidRPr="00B916EC">
        <w:t xml:space="preserve"> of </w:t>
      </w:r>
      <m:oMath>
        <m:sSup>
          <m:sSupPr>
            <m:ctrlPr>
              <w:rPr>
                <w:rFonts w:ascii="Cambria Math" w:hAnsi="Cambria Math" w:cs="Calibri"/>
                <w:i/>
                <w:sz w:val="18"/>
              </w:rPr>
            </m:ctrlPr>
          </m:sSupPr>
          <m:e>
            <m:r>
              <w:rPr>
                <w:rFonts w:ascii="Cambria Math" w:hAnsi="Cambria Math" w:cs="Calibri"/>
                <w:sz w:val="18"/>
              </w:rPr>
              <m:t>2</m:t>
            </m:r>
          </m:e>
          <m:sup>
            <m:r>
              <w:rPr>
                <w:rFonts w:ascii="Cambria Math" w:hAnsi="Cambria Math" w:cs="Calibri"/>
                <w:sz w:val="18"/>
              </w:rPr>
              <m:t>μ</m:t>
            </m:r>
          </m:sup>
        </m:sSup>
        <m:r>
          <m:rPr>
            <m:sty m:val="p"/>
          </m:rPr>
          <w:rPr>
            <w:rFonts w:ascii="Cambria Math" w:hAnsi="Cambria Math" w:cs="Calibri"/>
            <w:sz w:val="18"/>
          </w:rPr>
          <m:t>∙15</m:t>
        </m:r>
      </m:oMath>
      <w:r w:rsidR="00350746" w:rsidRPr="00B916EC">
        <w:t xml:space="preserve"> </w:t>
      </w:r>
      <w:r w:rsidR="00E66246" w:rsidRPr="00B916EC">
        <w:t>kHz</w:t>
      </w:r>
      <w:r w:rsidR="00350746" w:rsidRPr="00B916EC">
        <w:rPr>
          <w:rFonts w:hint="eastAsia"/>
        </w:rPr>
        <w:t xml:space="preserve"> </w:t>
      </w:r>
      <w:r w:rsidR="00186C13" w:rsidRPr="00B916EC">
        <w:rPr>
          <w:rFonts w:hint="eastAsia"/>
        </w:rPr>
        <w:t xml:space="preserve">is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TA</m:t>
            </m:r>
          </m:sub>
        </m:sSub>
        <m:r>
          <w:rPr>
            <w:rFonts w:ascii="Cambria Math" w:eastAsia="DengXian" w:hAnsi="Cambria Math"/>
            <w:lang w:eastAsia="zh-CN"/>
          </w:rPr>
          <m:t>=</m:t>
        </m:r>
        <m:sSub>
          <m:sSubPr>
            <m:ctrlPr>
              <w:rPr>
                <w:rFonts w:ascii="Cambria Math" w:eastAsia="DengXian" w:hAnsi="Cambria Math"/>
                <w:i/>
                <w:lang w:eastAsia="zh-CN"/>
              </w:rPr>
            </m:ctrlPr>
          </m:sSubPr>
          <m:e>
            <m:r>
              <w:rPr>
                <w:rFonts w:ascii="Cambria Math" w:eastAsia="DengXian" w:hAnsi="Cambria Math"/>
                <w:lang w:eastAsia="zh-CN"/>
              </w:rPr>
              <m:t>T</m:t>
            </m:r>
          </m:e>
          <m:sub>
            <m:r>
              <m:rPr>
                <m:sty m:val="p"/>
              </m:rPr>
              <w:rPr>
                <w:rFonts w:ascii="Cambria Math" w:eastAsia="DengXian" w:hAnsi="Cambria Math"/>
                <w:lang w:eastAsia="zh-CN"/>
              </w:rPr>
              <m:t>A</m:t>
            </m:r>
          </m:sub>
        </m:sSub>
        <m:r>
          <m:rPr>
            <m:sty m:val="p"/>
          </m:rPr>
          <w:rPr>
            <w:rFonts w:ascii="Cambria Math" w:hAnsi="Cambria Math" w:cs="Calibri"/>
            <w:sz w:val="18"/>
          </w:rPr>
          <m:t>∙16∙</m:t>
        </m:r>
        <m:f>
          <m:fPr>
            <m:type m:val="lin"/>
            <m:ctrlPr>
              <w:rPr>
                <w:rFonts w:ascii="Cambria Math" w:hAnsi="Cambria Math" w:cs="Calibri"/>
                <w:sz w:val="18"/>
              </w:rPr>
            </m:ctrlPr>
          </m:fPr>
          <m:num>
            <m:r>
              <w:rPr>
                <w:rFonts w:ascii="Cambria Math" w:hAnsi="Cambria Math" w:cs="Calibri"/>
                <w:sz w:val="18"/>
              </w:rPr>
              <m:t>64</m:t>
            </m:r>
          </m:num>
          <m:den>
            <m:sSup>
              <m:sSupPr>
                <m:ctrlPr>
                  <w:rPr>
                    <w:rFonts w:ascii="Cambria Math" w:hAnsi="Cambria Math" w:cs="Calibri"/>
                    <w:i/>
                    <w:sz w:val="18"/>
                  </w:rPr>
                </m:ctrlPr>
              </m:sSupPr>
              <m:e>
                <m:r>
                  <w:rPr>
                    <w:rFonts w:ascii="Cambria Math" w:hAnsi="Cambria Math" w:cs="Calibri"/>
                    <w:sz w:val="18"/>
                  </w:rPr>
                  <m:t>2</m:t>
                </m:r>
              </m:e>
              <m:sup>
                <m:r>
                  <w:rPr>
                    <w:rFonts w:ascii="Cambria Math" w:hAnsi="Cambria Math" w:cs="Calibri"/>
                    <w:sz w:val="18"/>
                  </w:rPr>
                  <m:t>μ</m:t>
                </m:r>
              </m:sup>
            </m:sSup>
          </m:den>
        </m:f>
      </m:oMath>
      <w:r w:rsidR="00186C13" w:rsidRPr="00B916EC">
        <w:rPr>
          <w:rFonts w:hint="eastAsia"/>
        </w:rPr>
        <w:t xml:space="preserve">.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TA</m:t>
            </m:r>
          </m:sub>
        </m:sSub>
      </m:oMath>
      <w:r w:rsidR="00186C13" w:rsidRPr="00B916EC">
        <w:rPr>
          <w:rFonts w:eastAsia="MS Mincho" w:hint="eastAsia"/>
          <w:i/>
          <w:vertAlign w:val="subscript"/>
        </w:rPr>
        <w:t xml:space="preserve"> </w:t>
      </w:r>
      <w:r w:rsidR="00186C13" w:rsidRPr="00B916EC">
        <w:rPr>
          <w:rFonts w:eastAsia="MS Mincho" w:hint="eastAsia"/>
        </w:rPr>
        <w:t xml:space="preserve">is defined in </w:t>
      </w:r>
      <w:r w:rsidR="00350746" w:rsidRPr="00B916EC">
        <w:t>[4, TS 38.211</w:t>
      </w:r>
      <w:r w:rsidR="00350746" w:rsidRPr="00B916EC">
        <w:rPr>
          <w:rFonts w:eastAsia="MS Mincho" w:hint="eastAsia"/>
        </w:rPr>
        <w:t>]</w:t>
      </w:r>
      <w:r w:rsidR="003540FF" w:rsidRPr="00B916EC">
        <w:rPr>
          <w:rFonts w:eastAsia="MS Mincho"/>
        </w:rPr>
        <w:t xml:space="preserve"> and is relative to the </w:t>
      </w:r>
      <w:r w:rsidR="00143099">
        <w:rPr>
          <w:rFonts w:eastAsia="MS Mincho"/>
        </w:rPr>
        <w:t>SCS</w:t>
      </w:r>
      <w:r w:rsidR="003540FF" w:rsidRPr="00B916EC">
        <w:rPr>
          <w:rFonts w:eastAsia="MS Mincho"/>
        </w:rPr>
        <w:t xml:space="preserve"> of the </w:t>
      </w:r>
      <w:r w:rsidR="004011E2">
        <w:rPr>
          <w:rFonts w:eastAsia="MS Mincho"/>
        </w:rPr>
        <w:t>first uplink transmission from the UE after the reception of the random access response</w:t>
      </w:r>
      <w:r>
        <w:rPr>
          <w:rFonts w:eastAsia="MS Mincho"/>
        </w:rPr>
        <w:t xml:space="preserve"> or absolute timing advance c</w:t>
      </w:r>
      <w:r w:rsidRPr="006C288B">
        <w:rPr>
          <w:rFonts w:eastAsia="MS Mincho"/>
        </w:rPr>
        <w:t>ommand MAC CE</w:t>
      </w:r>
      <w:r w:rsidR="00290476">
        <w:rPr>
          <w:rFonts w:eastAsia="MS Mincho"/>
        </w:rPr>
        <w:t xml:space="preserve"> </w:t>
      </w:r>
      <w:r w:rsidR="00290476">
        <w:t>or the cell switch command</w:t>
      </w:r>
      <w:r w:rsidR="00186C13" w:rsidRPr="00B916EC">
        <w:rPr>
          <w:rFonts w:eastAsia="MS Mincho" w:hint="eastAsia"/>
        </w:rPr>
        <w:t>.</w:t>
      </w:r>
    </w:p>
    <w:p w14:paraId="3CACAA58" w14:textId="5C09BF7C" w:rsidR="0018651D" w:rsidRDefault="00186C13" w:rsidP="00186C13">
      <w:r w:rsidRPr="00B916EC">
        <w:rPr>
          <w:rFonts w:hint="eastAsia"/>
        </w:rPr>
        <w:t>In other cases,</w:t>
      </w:r>
      <w:r w:rsidRPr="00B916EC">
        <w:t xml:space="preserve"> a</w:t>
      </w:r>
      <w:r w:rsidRPr="00B916EC">
        <w:rPr>
          <w:rFonts w:hint="eastAsia"/>
        </w:rPr>
        <w:t xml:space="preserve"> timing advance command </w:t>
      </w:r>
      <w:r w:rsidR="00350746" w:rsidRPr="00B916EC">
        <w:t>[1</w:t>
      </w:r>
      <w:r w:rsidR="00350746" w:rsidRPr="00B916EC">
        <w:rPr>
          <w:lang w:val="en-US"/>
        </w:rPr>
        <w:t>1</w:t>
      </w:r>
      <w:r w:rsidR="00350746" w:rsidRPr="00B916EC">
        <w:t>, TS 38.3</w:t>
      </w:r>
      <w:r w:rsidR="00350746" w:rsidRPr="00B916EC">
        <w:rPr>
          <w:lang w:val="en-US"/>
        </w:rPr>
        <w:t>2</w:t>
      </w:r>
      <w:r w:rsidR="00350746" w:rsidRPr="00B916EC">
        <w:t>1]</w:t>
      </w:r>
      <w:r w:rsidRPr="00B916EC">
        <w:rPr>
          <w:rFonts w:hint="eastAsia"/>
        </w:rPr>
        <w:t xml:space="preserve">, </w:t>
      </w:r>
      <m:oMath>
        <m:sSub>
          <m:sSubPr>
            <m:ctrlPr>
              <w:rPr>
                <w:rFonts w:ascii="Cambria Math" w:eastAsia="DengXian" w:hAnsi="Cambria Math"/>
                <w:i/>
                <w:lang w:eastAsia="zh-CN"/>
              </w:rPr>
            </m:ctrlPr>
          </m:sSubPr>
          <m:e>
            <m:r>
              <w:rPr>
                <w:rFonts w:ascii="Cambria Math" w:eastAsia="DengXian" w:hAnsi="Cambria Math"/>
                <w:lang w:eastAsia="zh-CN"/>
              </w:rPr>
              <m:t>T</m:t>
            </m:r>
          </m:e>
          <m:sub>
            <m:r>
              <m:rPr>
                <m:sty m:val="p"/>
              </m:rPr>
              <w:rPr>
                <w:rFonts w:ascii="Cambria Math" w:eastAsia="DengXian" w:hAnsi="Cambria Math"/>
                <w:lang w:eastAsia="zh-CN"/>
              </w:rPr>
              <m:t>A</m:t>
            </m:r>
          </m:sub>
        </m:sSub>
      </m:oMath>
      <w:r w:rsidRPr="00B916EC">
        <w:rPr>
          <w:rFonts w:hint="eastAsia"/>
        </w:rPr>
        <w:t xml:space="preserve">, </w:t>
      </w:r>
      <w:r w:rsidRPr="00B916EC">
        <w:t>for a TAG</w:t>
      </w:r>
      <w:r w:rsidRPr="00B916EC">
        <w:rPr>
          <w:rFonts w:hint="eastAsia"/>
        </w:rPr>
        <w:t xml:space="preserve"> indicates </w:t>
      </w:r>
      <w:r w:rsidRPr="00B916EC">
        <w:rPr>
          <w:rFonts w:eastAsia="MS Mincho" w:hint="eastAsia"/>
        </w:rPr>
        <w:t>adjustment of</w:t>
      </w:r>
      <w:r w:rsidRPr="00B916EC">
        <w:rPr>
          <w:rFonts w:hint="eastAsia"/>
        </w:rPr>
        <w:t xml:space="preserve"> </w:t>
      </w:r>
      <w:r w:rsidR="00964142">
        <w:t>a</w:t>
      </w:r>
      <w:r w:rsidR="00964142" w:rsidRPr="00B916EC">
        <w:rPr>
          <w:rFonts w:hint="eastAsia"/>
        </w:rPr>
        <w:t xml:space="preserve"> </w:t>
      </w:r>
      <w:r w:rsidRPr="00B916EC">
        <w:rPr>
          <w:rFonts w:hint="eastAsia"/>
        </w:rPr>
        <w:t>current</w:t>
      </w:r>
      <w:r w:rsidRPr="00B916EC">
        <w:rPr>
          <w:rFonts w:eastAsia="MS Mincho" w:hint="eastAsia"/>
        </w:rPr>
        <w:t xml:space="preserve">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TA</m:t>
            </m:r>
          </m:sub>
        </m:sSub>
      </m:oMath>
      <w:r w:rsidRPr="00B916EC">
        <w:rPr>
          <w:rFonts w:hint="eastAsia"/>
          <w:i/>
        </w:rPr>
        <w:t xml:space="preserve"> </w:t>
      </w:r>
      <w:r w:rsidRPr="00B916EC">
        <w:rPr>
          <w:rFonts w:hint="eastAsia"/>
        </w:rPr>
        <w:t xml:space="preserve">value,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TA_old</m:t>
            </m:r>
          </m:sub>
        </m:sSub>
      </m:oMath>
      <w:r w:rsidRPr="00B916EC">
        <w:rPr>
          <w:rFonts w:hint="eastAsia"/>
        </w:rPr>
        <w:t xml:space="preserve">, to the new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TA</m:t>
            </m:r>
          </m:sub>
        </m:sSub>
      </m:oMath>
      <w:r w:rsidRPr="00B916EC">
        <w:rPr>
          <w:rFonts w:hint="eastAsia"/>
          <w:i/>
        </w:rPr>
        <w:t xml:space="preserve"> </w:t>
      </w:r>
      <w:r w:rsidRPr="00B916EC">
        <w:rPr>
          <w:rFonts w:hint="eastAsia"/>
        </w:rPr>
        <w:t xml:space="preserve">value,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TA_new</m:t>
            </m:r>
          </m:sub>
        </m:sSub>
      </m:oMath>
      <w:r w:rsidRPr="00B916EC">
        <w:rPr>
          <w:rFonts w:hint="eastAsia"/>
        </w:rPr>
        <w:t>,</w:t>
      </w:r>
      <w:r w:rsidRPr="00B916EC">
        <w:rPr>
          <w:rFonts w:eastAsia="MS Mincho" w:hint="eastAsia"/>
        </w:rPr>
        <w:t xml:space="preserve"> by</w:t>
      </w:r>
      <w:r w:rsidRPr="00B916EC">
        <w:rPr>
          <w:rFonts w:hint="eastAsia"/>
        </w:rPr>
        <w:t xml:space="preserve"> index values of </w:t>
      </w:r>
      <m:oMath>
        <m:sSub>
          <m:sSubPr>
            <m:ctrlPr>
              <w:rPr>
                <w:rFonts w:ascii="Cambria Math" w:eastAsia="DengXian" w:hAnsi="Cambria Math"/>
                <w:i/>
                <w:lang w:eastAsia="zh-CN"/>
              </w:rPr>
            </m:ctrlPr>
          </m:sSubPr>
          <m:e>
            <m:r>
              <w:rPr>
                <w:rFonts w:ascii="Cambria Math" w:eastAsia="DengXian" w:hAnsi="Cambria Math"/>
                <w:lang w:eastAsia="zh-CN"/>
              </w:rPr>
              <m:t>T</m:t>
            </m:r>
          </m:e>
          <m:sub>
            <m:r>
              <m:rPr>
                <m:sty m:val="p"/>
              </m:rPr>
              <w:rPr>
                <w:rFonts w:ascii="Cambria Math" w:eastAsia="DengXian" w:hAnsi="Cambria Math"/>
                <w:lang w:eastAsia="zh-CN"/>
              </w:rPr>
              <m:t>A</m:t>
            </m:r>
          </m:sub>
        </m:sSub>
      </m:oMath>
      <w:r w:rsidR="00795DED" w:rsidRPr="00B916EC">
        <w:rPr>
          <w:rFonts w:hint="eastAsia"/>
        </w:rPr>
        <w:t xml:space="preserve"> = 0, 1, 2,..., </w:t>
      </w:r>
      <w:r w:rsidR="00A70C92" w:rsidRPr="00B916EC">
        <w:t>63</w:t>
      </w:r>
      <w:r w:rsidRPr="00B916EC">
        <w:rPr>
          <w:rFonts w:hint="eastAsia"/>
        </w:rPr>
        <w:t>, where</w:t>
      </w:r>
      <w:r w:rsidR="00795DED" w:rsidRPr="00B916EC">
        <w:t xml:space="preserve"> for a </w:t>
      </w:r>
      <w:r w:rsidR="00143099">
        <w:rPr>
          <w:rFonts w:eastAsia="MS Mincho"/>
        </w:rPr>
        <w:t>SCS</w:t>
      </w:r>
      <w:r w:rsidR="00795DED" w:rsidRPr="00B916EC">
        <w:rPr>
          <w:rFonts w:eastAsia="MS Mincho"/>
        </w:rPr>
        <w:t xml:space="preserve"> of </w:t>
      </w:r>
      <m:oMath>
        <m:sSup>
          <m:sSupPr>
            <m:ctrlPr>
              <w:rPr>
                <w:rFonts w:ascii="Cambria Math" w:hAnsi="Cambria Math" w:cs="Calibri"/>
                <w:i/>
                <w:sz w:val="18"/>
              </w:rPr>
            </m:ctrlPr>
          </m:sSupPr>
          <m:e>
            <m:r>
              <w:rPr>
                <w:rFonts w:ascii="Cambria Math" w:hAnsi="Cambria Math" w:cs="Calibri"/>
                <w:sz w:val="18"/>
              </w:rPr>
              <m:t>2</m:t>
            </m:r>
          </m:e>
          <m:sup>
            <m:r>
              <w:rPr>
                <w:rFonts w:ascii="Cambria Math" w:hAnsi="Cambria Math" w:cs="Calibri"/>
                <w:sz w:val="18"/>
              </w:rPr>
              <m:t>μ</m:t>
            </m:r>
          </m:sup>
        </m:sSup>
        <m:r>
          <m:rPr>
            <m:sty m:val="p"/>
          </m:rPr>
          <w:rPr>
            <w:rFonts w:ascii="Cambria Math" w:hAnsi="Cambria Math" w:cs="Calibri"/>
            <w:sz w:val="18"/>
          </w:rPr>
          <m:t>∙15</m:t>
        </m:r>
      </m:oMath>
      <w:r w:rsidR="00795DED" w:rsidRPr="00B916EC">
        <w:t xml:space="preserve"> </w:t>
      </w:r>
      <w:r w:rsidR="00E66246" w:rsidRPr="00B916EC">
        <w:t>kHz</w:t>
      </w:r>
      <w:r w:rsidR="00795DED" w:rsidRPr="00B916EC">
        <w:t xml:space="preserve">,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TA_new</m:t>
            </m:r>
          </m:sub>
        </m:sSub>
        <m:r>
          <w:rPr>
            <w:rFonts w:ascii="Cambria Math" w:eastAsia="DengXian" w:hAnsi="Cambria Math"/>
            <w:lang w:eastAsia="zh-CN"/>
          </w:rPr>
          <m:t>=</m:t>
        </m:r>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TA_old</m:t>
            </m:r>
          </m:sub>
        </m:sSub>
        <m:r>
          <w:rPr>
            <w:rFonts w:ascii="Cambria Math" w:eastAsia="DengXian" w:hAnsi="Cambria Math"/>
            <w:lang w:eastAsia="zh-CN"/>
          </w:rPr>
          <m:t>+</m:t>
        </m:r>
        <m:d>
          <m:dPr>
            <m:ctrlPr>
              <w:rPr>
                <w:rFonts w:ascii="Cambria Math" w:eastAsia="DengXian" w:hAnsi="Cambria Math"/>
                <w:i/>
                <w:lang w:eastAsia="zh-CN"/>
              </w:rPr>
            </m:ctrlPr>
          </m:dPr>
          <m:e>
            <m:sSub>
              <m:sSubPr>
                <m:ctrlPr>
                  <w:rPr>
                    <w:rFonts w:ascii="Cambria Math" w:eastAsia="DengXian" w:hAnsi="Cambria Math"/>
                    <w:i/>
                    <w:lang w:eastAsia="zh-CN"/>
                  </w:rPr>
                </m:ctrlPr>
              </m:sSubPr>
              <m:e>
                <m:r>
                  <w:rPr>
                    <w:rFonts w:ascii="Cambria Math" w:eastAsia="DengXian" w:hAnsi="Cambria Math"/>
                    <w:lang w:eastAsia="zh-CN"/>
                  </w:rPr>
                  <m:t>T</m:t>
                </m:r>
              </m:e>
              <m:sub>
                <m:r>
                  <m:rPr>
                    <m:sty m:val="p"/>
                  </m:rPr>
                  <w:rPr>
                    <w:rFonts w:ascii="Cambria Math" w:eastAsia="DengXian" w:hAnsi="Cambria Math"/>
                    <w:lang w:eastAsia="zh-CN"/>
                  </w:rPr>
                  <m:t>A</m:t>
                </m:r>
              </m:sub>
            </m:sSub>
            <m:r>
              <w:rPr>
                <w:rFonts w:ascii="Cambria Math" w:eastAsia="DengXian" w:hAnsi="Cambria Math"/>
                <w:lang w:eastAsia="zh-CN"/>
              </w:rPr>
              <m:t>-31</m:t>
            </m:r>
          </m:e>
        </m:d>
        <m:r>
          <m:rPr>
            <m:sty m:val="p"/>
          </m:rPr>
          <w:rPr>
            <w:rFonts w:ascii="Cambria Math" w:hAnsi="Cambria Math" w:cs="Calibri"/>
            <w:sz w:val="18"/>
          </w:rPr>
          <m:t>∙16∙</m:t>
        </m:r>
        <m:f>
          <m:fPr>
            <m:type m:val="lin"/>
            <m:ctrlPr>
              <w:rPr>
                <w:rFonts w:ascii="Cambria Math" w:hAnsi="Cambria Math" w:cs="Calibri"/>
                <w:sz w:val="18"/>
              </w:rPr>
            </m:ctrlPr>
          </m:fPr>
          <m:num>
            <m:r>
              <w:rPr>
                <w:rFonts w:ascii="Cambria Math" w:hAnsi="Cambria Math" w:cs="Calibri"/>
                <w:sz w:val="18"/>
              </w:rPr>
              <m:t>64</m:t>
            </m:r>
          </m:num>
          <m:den>
            <m:sSup>
              <m:sSupPr>
                <m:ctrlPr>
                  <w:rPr>
                    <w:rFonts w:ascii="Cambria Math" w:hAnsi="Cambria Math" w:cs="Calibri"/>
                    <w:i/>
                    <w:sz w:val="18"/>
                  </w:rPr>
                </m:ctrlPr>
              </m:sSupPr>
              <m:e>
                <m:r>
                  <w:rPr>
                    <w:rFonts w:ascii="Cambria Math" w:hAnsi="Cambria Math" w:cs="Calibri"/>
                    <w:sz w:val="18"/>
                  </w:rPr>
                  <m:t>2</m:t>
                </m:r>
              </m:e>
              <m:sup>
                <m:r>
                  <w:rPr>
                    <w:rFonts w:ascii="Cambria Math" w:hAnsi="Cambria Math" w:cs="Calibri"/>
                    <w:sz w:val="18"/>
                  </w:rPr>
                  <m:t>μ</m:t>
                </m:r>
              </m:sup>
            </m:sSup>
          </m:den>
        </m:f>
      </m:oMath>
      <w:r w:rsidRPr="00B916EC">
        <w:rPr>
          <w:rFonts w:hint="eastAsia"/>
        </w:rPr>
        <w:t>.</w:t>
      </w:r>
      <w:r w:rsidR="00260F5F" w:rsidRPr="00B916EC">
        <w:t xml:space="preserve"> </w:t>
      </w:r>
    </w:p>
    <w:p w14:paraId="470FB6FB" w14:textId="7B05DB32" w:rsidR="007B5CCD" w:rsidRPr="00B916EC" w:rsidRDefault="00260F5F" w:rsidP="00186C13">
      <w:r w:rsidRPr="00B916EC">
        <w:t xml:space="preserve">If a UE </w:t>
      </w:r>
      <w:r w:rsidR="00703A65">
        <w:t>has multiple active UL BWPs</w:t>
      </w:r>
      <w:r w:rsidR="0018651D" w:rsidRPr="00237342">
        <w:t xml:space="preserve">, as described in </w:t>
      </w:r>
      <w:r w:rsidR="006F5F9E">
        <w:t>c</w:t>
      </w:r>
      <w:r w:rsidR="00EE236C">
        <w:t>lause</w:t>
      </w:r>
      <w:r w:rsidR="0018651D" w:rsidRPr="00237342">
        <w:t xml:space="preserve"> 12,</w:t>
      </w:r>
      <w:r w:rsidR="00703A65">
        <w:t xml:space="preserve"> in a same TAG, including UL BWPs in</w:t>
      </w:r>
      <w:r w:rsidR="00703A65" w:rsidRPr="00B916EC">
        <w:t xml:space="preserve"> two UL carriers </w:t>
      </w:r>
      <w:r w:rsidR="00703A65">
        <w:t>of</w:t>
      </w:r>
      <w:r w:rsidR="00703A65" w:rsidRPr="00B916EC">
        <w:t xml:space="preserve"> a serving cell, the timing advance command value is relative to the </w:t>
      </w:r>
      <w:r w:rsidR="00703A65">
        <w:t>large</w:t>
      </w:r>
      <w:r w:rsidR="0018651D">
        <w:t>st</w:t>
      </w:r>
      <w:r w:rsidR="00703A65" w:rsidRPr="00B916EC">
        <w:t xml:space="preserve"> </w:t>
      </w:r>
      <w:r w:rsidR="00143099">
        <w:t>SCS</w:t>
      </w:r>
      <w:r w:rsidR="00703A65">
        <w:t xml:space="preserve"> of the multiple active UL BWPs</w:t>
      </w:r>
      <w:r w:rsidR="00703A65" w:rsidRPr="00B916EC">
        <w:t xml:space="preserve">. </w:t>
      </w:r>
      <w:r w:rsidR="00703A65">
        <w:t xml:space="preserve">The applicable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TA_new</m:t>
            </m:r>
          </m:sub>
        </m:sSub>
      </m:oMath>
      <w:r w:rsidR="00703A65">
        <w:t xml:space="preserve"> value for an UL BWP with lower </w:t>
      </w:r>
      <w:r w:rsidR="00143099">
        <w:t>SCS</w:t>
      </w:r>
      <w:r w:rsidR="00703A65">
        <w:t xml:space="preserve"> may be rounded to align with the timing advance granularity for the UL BWP with the lower </w:t>
      </w:r>
      <w:r w:rsidR="00143099">
        <w:t>SCS</w:t>
      </w:r>
      <w:r w:rsidR="0018651D" w:rsidRPr="00237342">
        <w:t xml:space="preserve"> while satisfying the timing advance accuracy requirements in [10, TS</w:t>
      </w:r>
      <w:r w:rsidR="005E7558">
        <w:t xml:space="preserve"> </w:t>
      </w:r>
      <w:r w:rsidR="0018651D" w:rsidRPr="00237342">
        <w:t>38.133]</w:t>
      </w:r>
      <w:r w:rsidRPr="00B916EC">
        <w:t xml:space="preserve">. </w:t>
      </w:r>
    </w:p>
    <w:p w14:paraId="40EB90D4" w14:textId="4A7A0861" w:rsidR="00186C13" w:rsidRPr="00B916EC" w:rsidRDefault="00795DED" w:rsidP="00186C13">
      <w:pPr>
        <w:rPr>
          <w:rFonts w:eastAsia="MS Mincho"/>
        </w:rPr>
      </w:pPr>
      <w:r w:rsidRPr="00B916EC">
        <w:t>A</w:t>
      </w:r>
      <w:r w:rsidR="00186C13" w:rsidRPr="00B916EC">
        <w:rPr>
          <w:rFonts w:hint="eastAsia"/>
        </w:rPr>
        <w:t>djustment of</w:t>
      </w:r>
      <w:r w:rsidR="00964142">
        <w:t xml:space="preserve"> an</w:t>
      </w:r>
      <w:r w:rsidR="00186C13" w:rsidRPr="00B916EC">
        <w:rPr>
          <w:rFonts w:hint="eastAsia"/>
        </w:rPr>
        <w:t xml:space="preserve">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TA</m:t>
            </m:r>
          </m:sub>
        </m:sSub>
      </m:oMath>
      <w:r w:rsidR="00186C13" w:rsidRPr="00B916EC">
        <w:rPr>
          <w:rFonts w:hint="eastAsia"/>
        </w:rPr>
        <w:t xml:space="preserve"> value by a positive or a negative amount indicates advancing or delaying the uplink transmission timing </w:t>
      </w:r>
      <w:r w:rsidR="00186C13" w:rsidRPr="00B916EC">
        <w:t>for the TAG</w:t>
      </w:r>
      <w:r w:rsidR="00186C13" w:rsidRPr="00B916EC">
        <w:rPr>
          <w:rFonts w:hint="eastAsia"/>
        </w:rPr>
        <w:t xml:space="preserve"> by a </w:t>
      </w:r>
      <w:r w:rsidR="00964142">
        <w:t>corresponding</w:t>
      </w:r>
      <w:r w:rsidR="00186C13" w:rsidRPr="00B916EC">
        <w:rPr>
          <w:rFonts w:hint="eastAsia"/>
        </w:rPr>
        <w:t xml:space="preserve"> amount</w:t>
      </w:r>
      <w:r w:rsidRPr="00B916EC">
        <w:t>,</w:t>
      </w:r>
      <w:r w:rsidR="00186C13" w:rsidRPr="00B916EC">
        <w:rPr>
          <w:rFonts w:hint="eastAsia"/>
        </w:rPr>
        <w:t xml:space="preserve"> respectively.</w:t>
      </w:r>
    </w:p>
    <w:p w14:paraId="281FE018" w14:textId="041E384E" w:rsidR="00A4385E" w:rsidRPr="00316343" w:rsidRDefault="00186C13" w:rsidP="00316343">
      <w:pPr>
        <w:rPr>
          <w:rStyle w:val="CommentReference"/>
          <w:sz w:val="20"/>
          <w:szCs w:val="20"/>
        </w:rPr>
      </w:pPr>
      <w:r w:rsidRPr="00B916EC">
        <w:t>For a timing advance command received on</w:t>
      </w:r>
      <w:r w:rsidR="00A4385E" w:rsidRPr="00A4385E">
        <w:t xml:space="preserve"> </w:t>
      </w:r>
      <w:r w:rsidR="00A4385E">
        <w:t>uplink</w:t>
      </w:r>
      <w:r w:rsidRPr="00B916EC">
        <w:t xml:space="preserve"> </w:t>
      </w:r>
      <w:r w:rsidR="00795DED" w:rsidRPr="00B916EC">
        <w:t xml:space="preserve">slot </w:t>
      </w:r>
      <m:oMath>
        <m:r>
          <w:rPr>
            <w:rFonts w:ascii="Cambria Math" w:eastAsia="DengXian" w:hAnsi="Cambria Math"/>
            <w:lang w:eastAsia="zh-CN"/>
          </w:rPr>
          <m:t>n</m:t>
        </m:r>
      </m:oMath>
      <w:r w:rsidR="00107C0E">
        <w:t xml:space="preserve"> and for a transmission other than a PUSCH scheduled by a RAR UL grant </w:t>
      </w:r>
      <w:r w:rsidR="002A779A" w:rsidRPr="004173E9">
        <w:t xml:space="preserve">or a fallbackRAR UL grant </w:t>
      </w:r>
      <w:r w:rsidR="00107C0E">
        <w:t xml:space="preserve">as described in </w:t>
      </w:r>
      <w:r w:rsidR="006F5F9E">
        <w:t>c</w:t>
      </w:r>
      <w:r w:rsidR="00EE236C">
        <w:t>lause</w:t>
      </w:r>
      <w:r w:rsidR="00107C0E">
        <w:t xml:space="preserve"> </w:t>
      </w:r>
      <w:r w:rsidR="00A8135D">
        <w:t xml:space="preserve">8.2A or </w:t>
      </w:r>
      <w:r w:rsidR="00107C0E">
        <w:t>8.3</w:t>
      </w:r>
      <w:r w:rsidR="00A8135D">
        <w:t xml:space="preserve">, or a PUCCH with HARQ-ACK information in response to a successRAR as described in </w:t>
      </w:r>
      <w:r w:rsidR="006F5F9E">
        <w:t>c</w:t>
      </w:r>
      <w:r w:rsidR="00EE236C">
        <w:t>lause</w:t>
      </w:r>
      <w:r w:rsidR="00A8135D">
        <w:t xml:space="preserve"> 8.2A</w:t>
      </w:r>
      <w:r w:rsidRPr="00B916EC">
        <w:t xml:space="preserve">, the corresponding adjustment of the uplink transmission timing </w:t>
      </w:r>
      <w:r w:rsidR="00795DED" w:rsidRPr="00B916EC">
        <w:t>applies</w:t>
      </w:r>
      <w:r w:rsidRPr="00B916EC">
        <w:t xml:space="preserve"> from the beginning of</w:t>
      </w:r>
      <w:r w:rsidR="00A4385E" w:rsidRPr="00A4385E">
        <w:t xml:space="preserve"> </w:t>
      </w:r>
      <w:r w:rsidR="00A4385E">
        <w:t>uplink</w:t>
      </w:r>
      <w:r w:rsidRPr="00B916EC">
        <w:t xml:space="preserve"> </w:t>
      </w:r>
      <w:r w:rsidR="00795DED" w:rsidRPr="00B916EC">
        <w:t xml:space="preserve">slot </w:t>
      </w:r>
      <m:oMath>
        <m:r>
          <w:rPr>
            <w:rFonts w:ascii="Cambria Math" w:eastAsia="DengXian" w:hAnsi="Cambria Math"/>
            <w:lang w:eastAsia="zh-CN"/>
          </w:rPr>
          <m:t>n+k+1</m:t>
        </m:r>
        <m:sSup>
          <m:sSupPr>
            <m:ctrlPr>
              <w:rPr>
                <w:rFonts w:ascii="Cambria Math" w:eastAsia="MS Mincho" w:hAnsi="Cambria Math"/>
                <w:i/>
                <w:kern w:val="2"/>
              </w:rPr>
            </m:ctrlPr>
          </m:sSupPr>
          <m:e>
            <m:r>
              <w:rPr>
                <w:rFonts w:ascii="Cambria Math" w:eastAsia="MS Mincho" w:hAnsi="Cambria Math"/>
                <w:kern w:val="2"/>
              </w:rPr>
              <m:t>+2</m:t>
            </m:r>
          </m:e>
          <m:sup>
            <m:r>
              <w:rPr>
                <w:rFonts w:ascii="Cambria Math" w:eastAsia="MS Mincho" w:hAnsi="Cambria Math"/>
                <w:kern w:val="2"/>
              </w:rPr>
              <m:t>μ</m:t>
            </m:r>
          </m:sup>
        </m:sSup>
        <m:r>
          <w:rPr>
            <w:rFonts w:ascii="Cambria Math" w:eastAsia="MS Mincho" w:hAnsi="Cambria Math"/>
            <w:kern w:val="2"/>
          </w:rPr>
          <m:t>∙</m:t>
        </m:r>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offset</m:t>
            </m:r>
          </m:sub>
        </m:sSub>
      </m:oMath>
      <w:r w:rsidR="00A4385E">
        <w:t xml:space="preserve"> </w:t>
      </w:r>
      <w:r w:rsidR="00501535">
        <w:t xml:space="preserve">where </w:t>
      </w:r>
      <m:oMath>
        <m:r>
          <w:rPr>
            <w:rFonts w:ascii="Cambria Math" w:hAnsi="Cambria Math"/>
          </w:rPr>
          <m:t>k=</m:t>
        </m:r>
        <m:d>
          <m:dPr>
            <m:begChr m:val="⌈"/>
            <m:endChr m:val="⌉"/>
            <m:ctrlPr>
              <w:rPr>
                <w:rFonts w:ascii="Cambria Math" w:hAnsi="Cambria Math"/>
                <w:i/>
              </w:rPr>
            </m:ctrlPr>
          </m:dPr>
          <m:e>
            <m:sSubSup>
              <m:sSubSupPr>
                <m:ctrlPr>
                  <w:rPr>
                    <w:rFonts w:ascii="Cambria Math" w:hAnsi="Cambria Math" w:cs="Calibri"/>
                    <w:sz w:val="18"/>
                  </w:rPr>
                </m:ctrlPr>
              </m:sSubSupPr>
              <m:e>
                <m:r>
                  <w:rPr>
                    <w:rFonts w:ascii="Cambria Math" w:hAnsi="Cambria Math" w:cs="Calibri"/>
                    <w:sz w:val="18"/>
                  </w:rPr>
                  <m:t>N</m:t>
                </m:r>
              </m:e>
              <m:sub>
                <m:r>
                  <m:rPr>
                    <m:sty m:val="p"/>
                  </m:rPr>
                  <w:rPr>
                    <w:rFonts w:ascii="Cambria Math" w:hAnsi="Cambria Math" w:cs="Calibri"/>
                    <w:sz w:val="18"/>
                  </w:rPr>
                  <m:t>slot</m:t>
                </m:r>
              </m:sub>
              <m:sup>
                <m:r>
                  <m:rPr>
                    <m:sty m:val="p"/>
                  </m:rPr>
                  <w:rPr>
                    <w:rFonts w:ascii="Cambria Math" w:hAnsi="Cambria Math" w:cs="Calibri"/>
                    <w:sz w:val="18"/>
                  </w:rPr>
                  <m:t xml:space="preserve">subframe,  </m:t>
                </m:r>
                <m:r>
                  <w:rPr>
                    <w:rFonts w:ascii="Cambria Math" w:hAnsi="Cambria Math" w:cs="Calibri"/>
                    <w:sz w:val="18"/>
                  </w:rPr>
                  <m:t>μ</m:t>
                </m:r>
              </m:sup>
            </m:sSubSup>
            <m:r>
              <m:rPr>
                <m:sty m:val="p"/>
              </m:rPr>
              <w:rPr>
                <w:rFonts w:ascii="Cambria Math" w:hAnsi="Cambria Math" w:cs="Calibri"/>
                <w:sz w:val="18"/>
              </w:rPr>
              <m:t>∙</m:t>
            </m:r>
            <m:f>
              <m:fPr>
                <m:type m:val="lin"/>
                <m:ctrlPr>
                  <w:rPr>
                    <w:rFonts w:ascii="Cambria Math" w:hAnsi="Cambria Math" w:cs="Calibri"/>
                    <w:sz w:val="18"/>
                  </w:rPr>
                </m:ctrlPr>
              </m:fPr>
              <m:num>
                <m:d>
                  <m:dPr>
                    <m:ctrlPr>
                      <w:rPr>
                        <w:rFonts w:ascii="Cambria Math" w:hAnsi="Cambria Math" w:cs="Calibri"/>
                        <w:i/>
                        <w:sz w:val="18"/>
                      </w:rPr>
                    </m:ctrlPr>
                  </m:dPr>
                  <m:e>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T,1</m:t>
                        </m:r>
                      </m:sub>
                    </m:sSub>
                    <m:r>
                      <w:rPr>
                        <w:rFonts w:ascii="Cambria Math" w:eastAsia="DengXian" w:hAnsi="Cambria Math"/>
                        <w:lang w:eastAsia="zh-CN"/>
                      </w:rPr>
                      <m:t>+</m:t>
                    </m:r>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T,2</m:t>
                        </m:r>
                      </m:sub>
                    </m:sSub>
                    <m:r>
                      <w:rPr>
                        <w:rFonts w:ascii="Cambria Math" w:eastAsia="DengXian" w:hAnsi="Cambria Math"/>
                        <w:lang w:eastAsia="zh-CN"/>
                      </w:rPr>
                      <m:t>+</m:t>
                    </m:r>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TA,max</m:t>
                        </m:r>
                      </m:sub>
                    </m:sSub>
                    <m:r>
                      <w:rPr>
                        <w:rFonts w:ascii="Cambria Math" w:eastAsia="DengXian" w:hAnsi="Cambria Math"/>
                        <w:lang w:eastAsia="zh-CN"/>
                      </w:rPr>
                      <m:t>+0.5</m:t>
                    </m:r>
                  </m:e>
                </m:d>
              </m:num>
              <m:den>
                <m:sSub>
                  <m:sSubPr>
                    <m:ctrlPr>
                      <w:rPr>
                        <w:rFonts w:ascii="Cambria Math" w:eastAsia="DengXian" w:hAnsi="Cambria Math"/>
                        <w:i/>
                        <w:lang w:eastAsia="zh-CN"/>
                      </w:rPr>
                    </m:ctrlPr>
                  </m:sSubPr>
                  <m:e>
                    <m:r>
                      <w:rPr>
                        <w:rFonts w:ascii="Cambria Math" w:eastAsia="DengXian" w:hAnsi="Cambria Math"/>
                        <w:lang w:eastAsia="zh-CN"/>
                      </w:rPr>
                      <m:t>T</m:t>
                    </m:r>
                  </m:e>
                  <m:sub>
                    <m:r>
                      <m:rPr>
                        <m:sty m:val="p"/>
                      </m:rPr>
                      <w:rPr>
                        <w:rFonts w:ascii="Cambria Math" w:eastAsia="DengXian" w:hAnsi="Cambria Math"/>
                        <w:lang w:eastAsia="zh-CN"/>
                      </w:rPr>
                      <m:t>sf</m:t>
                    </m:r>
                  </m:sub>
                </m:sSub>
              </m:den>
            </m:f>
          </m:e>
        </m:d>
      </m:oMath>
      <w:r w:rsidR="00501535">
        <w:t>,</w:t>
      </w:r>
      <w:r w:rsidR="00501535">
        <w:rPr>
          <w:lang w:val="en-US"/>
        </w:rPr>
        <w:t xml:space="preserve">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T,1</m:t>
            </m:r>
          </m:sub>
        </m:sSub>
      </m:oMath>
      <w:r w:rsidR="00501535" w:rsidRPr="0088442C">
        <w:t xml:space="preserve"> </w:t>
      </w:r>
      <w:r w:rsidR="00501535">
        <w:t>is</w:t>
      </w:r>
      <w:r w:rsidR="00A4385E">
        <w:t xml:space="preserve"> a time duration </w:t>
      </w:r>
      <w:r w:rsidR="00AA590B">
        <w:rPr>
          <w:rFonts w:hint="eastAsia"/>
          <w:lang w:eastAsia="zh-CN"/>
        </w:rPr>
        <w:t>in msec</w:t>
      </w:r>
      <w:r w:rsidR="00AA590B">
        <w:t xml:space="preserve"> </w:t>
      </w:r>
      <w:r w:rsidR="00A4385E">
        <w:t xml:space="preserve">of </w:t>
      </w:r>
      <m:oMath>
        <m:sSub>
          <m:sSubPr>
            <m:ctrlPr>
              <w:rPr>
                <w:rFonts w:ascii="Cambria Math" w:eastAsia="DengXian" w:hAnsi="Cambria Math"/>
                <w:i/>
                <w:lang w:eastAsia="zh-CN"/>
              </w:rPr>
            </m:ctrlPr>
          </m:sSubPr>
          <m:e>
            <m:r>
              <w:rPr>
                <w:rFonts w:ascii="Cambria Math" w:eastAsia="DengXian" w:hAnsi="Cambria Math"/>
                <w:lang w:eastAsia="zh-CN"/>
              </w:rPr>
              <m:t>N</m:t>
            </m:r>
          </m:e>
          <m:sub>
            <m:r>
              <w:rPr>
                <w:rFonts w:ascii="Cambria Math" w:eastAsia="DengXian" w:hAnsi="Cambria Math"/>
                <w:lang w:eastAsia="zh-CN"/>
              </w:rPr>
              <m:t>1</m:t>
            </m:r>
          </m:sub>
        </m:sSub>
      </m:oMath>
      <w:r w:rsidR="00A4385E">
        <w:t xml:space="preserve"> symbols corresponding to a PDSCH </w:t>
      </w:r>
      <w:r w:rsidR="00437E1E">
        <w:t>processing</w:t>
      </w:r>
      <w:r w:rsidR="00A4385E">
        <w:t xml:space="preserve"> time</w:t>
      </w:r>
      <w:r w:rsidR="00A4385E" w:rsidRPr="0088442C">
        <w:t xml:space="preserve"> </w:t>
      </w:r>
      <w:r w:rsidR="00A4385E">
        <w:t xml:space="preserve">for </w:t>
      </w:r>
      <w:r w:rsidR="00964142">
        <w:t>UE</w:t>
      </w:r>
      <w:r w:rsidR="00A4385E">
        <w:t xml:space="preserve"> processing capability 1 when additional PDSCH DM-RS is configured</w:t>
      </w:r>
      <w:r w:rsidR="00A4385E">
        <w:rPr>
          <w:lang w:val="en-US"/>
        </w:rPr>
        <w:t xml:space="preserve">,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T,2</m:t>
            </m:r>
          </m:sub>
        </m:sSub>
      </m:oMath>
      <w:r w:rsidR="00A4385E" w:rsidRPr="0088442C">
        <w:t xml:space="preserve"> </w:t>
      </w:r>
      <w:r w:rsidR="00A4385E">
        <w:t xml:space="preserve">is a time duration </w:t>
      </w:r>
      <w:r w:rsidR="00AA590B">
        <w:rPr>
          <w:rFonts w:hint="eastAsia"/>
          <w:lang w:eastAsia="zh-CN"/>
        </w:rPr>
        <w:t>in msec</w:t>
      </w:r>
      <w:r w:rsidR="00AA590B">
        <w:t xml:space="preserve"> </w:t>
      </w:r>
      <w:r w:rsidR="00A4385E">
        <w:t xml:space="preserve">of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2</m:t>
            </m:r>
          </m:sub>
        </m:sSub>
      </m:oMath>
      <w:r w:rsidR="00A4385E">
        <w:t xml:space="preserve"> symbols corresponding to a PUSCH preparation time</w:t>
      </w:r>
      <w:r w:rsidR="00A4385E" w:rsidRPr="0088442C">
        <w:t xml:space="preserve"> </w:t>
      </w:r>
      <w:r w:rsidR="00A4385E">
        <w:t xml:space="preserve">for </w:t>
      </w:r>
      <w:r w:rsidR="00964142">
        <w:t>UE</w:t>
      </w:r>
      <w:r w:rsidR="00A4385E">
        <w:t xml:space="preserve"> processing capability 1 [6, TS 38.214</w:t>
      </w:r>
      <w:r w:rsidR="00A4385E" w:rsidRPr="00B916EC">
        <w:t>]</w:t>
      </w:r>
      <w:r w:rsidR="00A4385E">
        <w:rPr>
          <w:lang w:val="en-US"/>
        </w:rPr>
        <w:t xml:space="preserve">,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TA,max</m:t>
            </m:r>
          </m:sub>
        </m:sSub>
      </m:oMath>
      <w:r w:rsidR="00A4385E">
        <w:rPr>
          <w:lang w:val="en-US"/>
        </w:rPr>
        <w:t xml:space="preserve"> is the maximum timing advance value </w:t>
      </w:r>
      <w:r w:rsidR="00AA590B">
        <w:rPr>
          <w:rFonts w:hint="eastAsia"/>
          <w:lang w:eastAsia="zh-CN"/>
        </w:rPr>
        <w:t>in msec</w:t>
      </w:r>
      <w:r w:rsidR="00AA590B">
        <w:rPr>
          <w:lang w:val="en-US"/>
        </w:rPr>
        <w:t xml:space="preserve"> </w:t>
      </w:r>
      <w:r w:rsidR="00A4385E">
        <w:rPr>
          <w:lang w:val="en-US"/>
        </w:rPr>
        <w:t xml:space="preserve">that can be provided by </w:t>
      </w:r>
      <w:r w:rsidR="00964142">
        <w:rPr>
          <w:lang w:val="en-US"/>
        </w:rPr>
        <w:t>a</w:t>
      </w:r>
      <w:r w:rsidR="00A4385E">
        <w:rPr>
          <w:lang w:val="en-US"/>
        </w:rPr>
        <w:t xml:space="preserve"> TA </w:t>
      </w:r>
      <w:r w:rsidR="00A4385E" w:rsidRPr="00FE63DF">
        <w:rPr>
          <w:lang w:val="en-US"/>
        </w:rPr>
        <w:t>command field</w:t>
      </w:r>
      <w:r w:rsidR="00A4385E">
        <w:rPr>
          <w:lang w:val="en-US"/>
        </w:rPr>
        <w:t xml:space="preserve"> of 12 bits, </w:t>
      </w:r>
      <m:oMath>
        <m:sSubSup>
          <m:sSubSupPr>
            <m:ctrlPr>
              <w:rPr>
                <w:rFonts w:ascii="Cambria Math" w:hAnsi="Cambria Math" w:cs="Calibri"/>
                <w:sz w:val="18"/>
              </w:rPr>
            </m:ctrlPr>
          </m:sSubSupPr>
          <m:e>
            <m:r>
              <w:rPr>
                <w:rFonts w:ascii="Cambria Math" w:hAnsi="Cambria Math" w:cs="Calibri"/>
                <w:sz w:val="18"/>
              </w:rPr>
              <m:t>N</m:t>
            </m:r>
          </m:e>
          <m:sub>
            <m:r>
              <m:rPr>
                <m:sty m:val="p"/>
              </m:rPr>
              <w:rPr>
                <w:rFonts w:ascii="Cambria Math" w:hAnsi="Cambria Math" w:cs="Calibri"/>
                <w:sz w:val="18"/>
              </w:rPr>
              <m:t>slot</m:t>
            </m:r>
          </m:sub>
          <m:sup>
            <m:r>
              <m:rPr>
                <m:sty m:val="p"/>
              </m:rPr>
              <w:rPr>
                <w:rFonts w:ascii="Cambria Math" w:hAnsi="Cambria Math" w:cs="Calibri"/>
                <w:sz w:val="18"/>
              </w:rPr>
              <m:t xml:space="preserve">subframe,  </m:t>
            </m:r>
            <m:r>
              <w:rPr>
                <w:rFonts w:ascii="Cambria Math" w:hAnsi="Cambria Math" w:cs="Calibri"/>
                <w:sz w:val="18"/>
              </w:rPr>
              <m:t>μ</m:t>
            </m:r>
          </m:sup>
        </m:sSubSup>
      </m:oMath>
      <w:r w:rsidR="00A4385E">
        <w:t xml:space="preserve"> is </w:t>
      </w:r>
      <w:r w:rsidR="00AA590B">
        <w:t xml:space="preserve">the </w:t>
      </w:r>
      <w:r w:rsidR="00A4385E">
        <w:t xml:space="preserve">number of slots per subframe, </w:t>
      </w:r>
      <m:oMath>
        <m:sSub>
          <m:sSubPr>
            <m:ctrlPr>
              <w:rPr>
                <w:rFonts w:ascii="Cambria Math" w:eastAsia="DengXian" w:hAnsi="Cambria Math"/>
                <w:i/>
                <w:lang w:eastAsia="zh-CN"/>
              </w:rPr>
            </m:ctrlPr>
          </m:sSubPr>
          <m:e>
            <m:r>
              <w:rPr>
                <w:rFonts w:ascii="Cambria Math" w:eastAsia="DengXian" w:hAnsi="Cambria Math"/>
                <w:lang w:eastAsia="zh-CN"/>
              </w:rPr>
              <m:t>T</m:t>
            </m:r>
          </m:e>
          <m:sub>
            <m:r>
              <m:rPr>
                <m:sty m:val="p"/>
              </m:rPr>
              <w:rPr>
                <w:rFonts w:ascii="Cambria Math" w:eastAsia="DengXian" w:hAnsi="Cambria Math"/>
                <w:lang w:eastAsia="zh-CN"/>
              </w:rPr>
              <m:t>sf</m:t>
            </m:r>
          </m:sub>
        </m:sSub>
      </m:oMath>
      <w:r w:rsidR="00A4385E">
        <w:t xml:space="preserve"> is the subframe duration of 1 msec</w:t>
      </w:r>
      <w:r w:rsidR="001C6D49">
        <w:t xml:space="preserve">, and </w:t>
      </w:r>
      <m:oMath>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offset</m:t>
            </m:r>
          </m:sub>
        </m:sSub>
        <m:r>
          <w:rPr>
            <w:rFonts w:ascii="Cambria Math" w:eastAsia="MS Mincho" w:hAnsi="Cambria Math"/>
            <w:kern w:val="2"/>
          </w:rPr>
          <m:t>=</m:t>
        </m:r>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cell,offset</m:t>
            </m:r>
          </m:sub>
        </m:sSub>
        <m:r>
          <w:rPr>
            <w:rFonts w:ascii="Cambria Math" w:eastAsia="MS Mincho" w:hAnsi="Cambria Math"/>
            <w:kern w:val="2"/>
          </w:rPr>
          <m:t>-</m:t>
        </m:r>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UE,offset</m:t>
            </m:r>
          </m:sub>
        </m:sSub>
      </m:oMath>
      <w:r w:rsidR="001C6D49">
        <w:rPr>
          <w:kern w:val="2"/>
        </w:rPr>
        <w:t>,</w:t>
      </w:r>
      <w:r w:rsidR="001C6D49">
        <w:t xml:space="preserve"> where </w:t>
      </w:r>
      <m:oMath>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cell,offset</m:t>
            </m:r>
          </m:sub>
        </m:sSub>
      </m:oMath>
      <w:r w:rsidR="001C6D49">
        <w:rPr>
          <w:kern w:val="2"/>
        </w:rPr>
        <w:t xml:space="preserve"> </w:t>
      </w:r>
      <w:r w:rsidR="001C6D49">
        <w:t>is</w:t>
      </w:r>
      <w:r w:rsidR="001C6D49">
        <w:rPr>
          <w:kern w:val="2"/>
        </w:rPr>
        <w:t xml:space="preserve"> </w:t>
      </w:r>
      <w:r w:rsidR="001C6D49">
        <w:t xml:space="preserve">provided by </w:t>
      </w:r>
      <w:r w:rsidR="000D6C6D">
        <w:rPr>
          <w:i/>
          <w:lang w:val="en-US"/>
        </w:rPr>
        <w:t>c</w:t>
      </w:r>
      <w:r w:rsidR="000D6C6D" w:rsidRPr="00FE56DB">
        <w:rPr>
          <w:i/>
          <w:lang w:val="en-US"/>
        </w:rPr>
        <w:t>ellSpecific</w:t>
      </w:r>
      <w:r w:rsidR="007E56E4" w:rsidRPr="00FE56DB">
        <w:rPr>
          <w:i/>
          <w:lang w:val="en-US"/>
        </w:rPr>
        <w:t>Koffset</w:t>
      </w:r>
      <w:r w:rsidR="001C6D49">
        <w:rPr>
          <w:iCs/>
        </w:rPr>
        <w:t xml:space="preserve"> and </w:t>
      </w:r>
      <m:oMath>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UE,offset</m:t>
            </m:r>
          </m:sub>
        </m:sSub>
      </m:oMath>
      <w:r w:rsidR="001C6D49">
        <w:rPr>
          <w:kern w:val="2"/>
        </w:rPr>
        <w:t xml:space="preserve"> is provided</w:t>
      </w:r>
      <w:r w:rsidR="001C6D49">
        <w:rPr>
          <w:iCs/>
        </w:rPr>
        <w:t xml:space="preserve"> </w:t>
      </w:r>
      <w:r w:rsidR="001C6D49">
        <w:rPr>
          <w:lang w:val="en-US"/>
        </w:rPr>
        <w:t xml:space="preserve">by a </w:t>
      </w:r>
      <w:r w:rsidR="00C92415" w:rsidRPr="00F37FE3">
        <w:t xml:space="preserve">Differential </w:t>
      </w:r>
      <w:r w:rsidR="00C92415" w:rsidRPr="00F37FE3">
        <w:lastRenderedPageBreak/>
        <w:t xml:space="preserve">Koffset </w:t>
      </w:r>
      <w:r w:rsidR="001C6D49">
        <w:rPr>
          <w:lang w:val="en-US"/>
        </w:rPr>
        <w:t>MAC CE command</w:t>
      </w:r>
      <w:r w:rsidR="00C92415" w:rsidRPr="00F37FE3">
        <w:rPr>
          <w:lang w:val="en-US"/>
        </w:rPr>
        <w:t xml:space="preserve"> </w:t>
      </w:r>
      <w:r w:rsidR="00C92415" w:rsidRPr="00F37FE3">
        <w:t>[11, TS 38.321]</w:t>
      </w:r>
      <w:r w:rsidR="001C6D49">
        <w:rPr>
          <w:lang w:val="en-US"/>
        </w:rPr>
        <w:t>; otherwise,</w:t>
      </w:r>
      <w:r w:rsidR="001C6D49">
        <w:rPr>
          <w:iCs/>
        </w:rPr>
        <w:t xml:space="preserve"> if not respectively provided, </w:t>
      </w:r>
      <w:bookmarkStart w:id="105" w:name="_Hlk88755617"/>
      <m:oMath>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cell,offset</m:t>
            </m:r>
          </m:sub>
        </m:sSub>
        <w:bookmarkEnd w:id="105"/>
        <m:r>
          <w:rPr>
            <w:rFonts w:ascii="Cambria Math" w:eastAsia="MS Mincho" w:hAnsi="Cambria Math"/>
            <w:kern w:val="2"/>
          </w:rPr>
          <m:t>=0</m:t>
        </m:r>
      </m:oMath>
      <w:r w:rsidR="001C6D49">
        <w:rPr>
          <w:kern w:val="2"/>
        </w:rPr>
        <w:t xml:space="preserve"> or </w:t>
      </w:r>
      <m:oMath>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UE,offset</m:t>
            </m:r>
          </m:sub>
        </m:sSub>
        <m:r>
          <w:rPr>
            <w:rFonts w:ascii="Cambria Math" w:eastAsia="MS Mincho" w:hAnsi="Cambria Math"/>
            <w:kern w:val="2"/>
          </w:rPr>
          <m:t>=0</m:t>
        </m:r>
      </m:oMath>
      <w:r w:rsidR="00A4385E" w:rsidRPr="00FE63DF">
        <w:rPr>
          <w:rStyle w:val="CommentReference"/>
          <w:rFonts w:eastAsia="MS Mincho"/>
          <w:sz w:val="20"/>
          <w:szCs w:val="20"/>
        </w:rPr>
        <w:t xml:space="preserve">.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1</m:t>
            </m:r>
          </m:sub>
        </m:sSub>
      </m:oMath>
      <w:r w:rsidR="00A53910">
        <w:t xml:space="preserve"> and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2</m:t>
            </m:r>
          </m:sub>
        </m:sSub>
      </m:oMath>
      <w:r w:rsidR="00A4385E">
        <w:t xml:space="preserve"> are determined with respect to the minimum </w:t>
      </w:r>
      <w:r w:rsidR="00143099">
        <w:t>SCS</w:t>
      </w:r>
      <w:r w:rsidR="00A4385E">
        <w:t xml:space="preserve"> among the </w:t>
      </w:r>
      <w:r w:rsidR="00143099">
        <w:t>SCS</w:t>
      </w:r>
      <w:r w:rsidR="00A4385E">
        <w:t xml:space="preserve">s of all configured UL BWPs for all uplink carriers in </w:t>
      </w:r>
      <w:r w:rsidR="00AA590B">
        <w:t xml:space="preserve">the </w:t>
      </w:r>
      <w:r w:rsidR="00A4385E">
        <w:t xml:space="preserve">TAG and of </w:t>
      </w:r>
      <w:r w:rsidR="00AA590B">
        <w:t>all</w:t>
      </w:r>
      <w:r w:rsidR="00A4385E">
        <w:t xml:space="preserve"> configured DL BWPs </w:t>
      </w:r>
      <w:r w:rsidR="00AA590B">
        <w:rPr>
          <w:rFonts w:hint="eastAsia"/>
          <w:lang w:eastAsia="zh-CN"/>
        </w:rPr>
        <w:t>for the corresponding downlink carriers</w:t>
      </w:r>
      <w:r w:rsidR="00A4385E">
        <w:t xml:space="preserve">. </w:t>
      </w:r>
      <w:r w:rsidR="008F0A54">
        <w:t xml:space="preserve">For </w:t>
      </w:r>
      <m:oMath>
        <m:r>
          <w:rPr>
            <w:rFonts w:ascii="Cambria Math" w:eastAsia="DengXian" w:hAnsi="Cambria Math"/>
            <w:lang w:eastAsia="zh-CN"/>
          </w:rPr>
          <m:t>μ=0</m:t>
        </m:r>
      </m:oMath>
      <w:r w:rsidR="008F0A54">
        <w:t xml:space="preserve">, the UE assumes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1,0</m:t>
            </m:r>
          </m:sub>
        </m:sSub>
        <m:r>
          <w:rPr>
            <w:rFonts w:ascii="Cambria Math" w:eastAsia="DengXian" w:hAnsi="Cambria Math"/>
            <w:lang w:eastAsia="zh-CN"/>
          </w:rPr>
          <m:t>=14</m:t>
        </m:r>
      </m:oMath>
      <w:r w:rsidR="008F0A54">
        <w:t xml:space="preserve"> [6, TS 38.214]. </w:t>
      </w:r>
      <w:r w:rsidR="00A4385E">
        <w:t xml:space="preserve">Slot </w:t>
      </w:r>
      <m:oMath>
        <m:r>
          <w:rPr>
            <w:rFonts w:ascii="Cambria Math" w:eastAsia="DengXian" w:hAnsi="Cambria Math"/>
            <w:lang w:eastAsia="zh-CN"/>
          </w:rPr>
          <m:t>n</m:t>
        </m:r>
      </m:oMath>
      <w:r w:rsidR="00A21B22">
        <w:t xml:space="preserve"> and </w:t>
      </w:r>
      <m:oMath>
        <m:sSubSup>
          <m:sSubSupPr>
            <m:ctrlPr>
              <w:rPr>
                <w:rFonts w:ascii="Cambria Math" w:hAnsi="Cambria Math" w:cs="Calibri"/>
                <w:sz w:val="18"/>
              </w:rPr>
            </m:ctrlPr>
          </m:sSubSupPr>
          <m:e>
            <m:r>
              <w:rPr>
                <w:rFonts w:ascii="Cambria Math" w:hAnsi="Cambria Math" w:cs="Calibri"/>
                <w:sz w:val="18"/>
              </w:rPr>
              <m:t>N</m:t>
            </m:r>
          </m:e>
          <m:sub>
            <m:r>
              <m:rPr>
                <m:sty m:val="p"/>
              </m:rPr>
              <w:rPr>
                <w:rFonts w:ascii="Cambria Math" w:hAnsi="Cambria Math" w:cs="Calibri"/>
                <w:sz w:val="18"/>
              </w:rPr>
              <m:t>slot</m:t>
            </m:r>
          </m:sub>
          <m:sup>
            <m:r>
              <m:rPr>
                <m:sty m:val="p"/>
              </m:rPr>
              <w:rPr>
                <w:rFonts w:ascii="Cambria Math" w:hAnsi="Cambria Math" w:cs="Calibri"/>
                <w:sz w:val="18"/>
              </w:rPr>
              <m:t xml:space="preserve">subframe,  </m:t>
            </m:r>
            <m:r>
              <w:rPr>
                <w:rFonts w:ascii="Cambria Math" w:hAnsi="Cambria Math" w:cs="Calibri"/>
                <w:sz w:val="18"/>
              </w:rPr>
              <m:t>μ</m:t>
            </m:r>
          </m:sup>
        </m:sSubSup>
      </m:oMath>
      <w:r w:rsidR="00A4385E">
        <w:t xml:space="preserve"> are determined with respect to the minimum </w:t>
      </w:r>
      <w:r w:rsidR="00143099">
        <w:t>SCS</w:t>
      </w:r>
      <w:r w:rsidR="00A4385E">
        <w:t xml:space="preserve"> among the </w:t>
      </w:r>
      <w:r w:rsidR="00143099">
        <w:t>SCS</w:t>
      </w:r>
      <w:r w:rsidR="00A4385E">
        <w:t xml:space="preserve">s of all configured UL BWPs for all uplink carriers in the TAG.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TA,max</m:t>
            </m:r>
          </m:sub>
        </m:sSub>
      </m:oMath>
      <w:r w:rsidR="00A4385E">
        <w:t xml:space="preserve"> is determined with respect to the minimum </w:t>
      </w:r>
      <w:r w:rsidR="00143099">
        <w:t>SCS</w:t>
      </w:r>
      <w:r w:rsidR="00A4385E">
        <w:t xml:space="preserve"> among the </w:t>
      </w:r>
      <w:r w:rsidR="00143099">
        <w:t>SCS</w:t>
      </w:r>
      <w:r w:rsidR="00A4385E">
        <w:t xml:space="preserve">s of all configured UL BWPs for all uplink carriers in the TAG and </w:t>
      </w:r>
      <w:r w:rsidR="00964142">
        <w:t xml:space="preserve">for </w:t>
      </w:r>
      <w:r w:rsidR="00AA590B">
        <w:rPr>
          <w:rFonts w:hint="eastAsia"/>
          <w:lang w:eastAsia="zh-CN"/>
        </w:rPr>
        <w:t>all configured</w:t>
      </w:r>
      <w:r w:rsidR="00A4385E">
        <w:t xml:space="preserve"> initial</w:t>
      </w:r>
      <w:r w:rsidR="00107C0E" w:rsidRPr="00107C0E">
        <w:t xml:space="preserve"> </w:t>
      </w:r>
      <w:r w:rsidR="00A4385E">
        <w:t>UL BWP</w:t>
      </w:r>
      <w:r w:rsidR="00AA590B">
        <w:t>s</w:t>
      </w:r>
      <w:r w:rsidR="00A4385E">
        <w:t xml:space="preserve"> provided </w:t>
      </w:r>
      <w:r w:rsidR="00A4385E" w:rsidRPr="000B4F89">
        <w:t>by</w:t>
      </w:r>
      <w:r w:rsidR="00A4385E">
        <w:t xml:space="preserve"> </w:t>
      </w:r>
      <w:r w:rsidR="00A4385E" w:rsidRPr="000B4F89">
        <w:rPr>
          <w:i/>
          <w:iCs/>
          <w:lang w:eastAsia="zh-CN"/>
        </w:rPr>
        <w:t>initial</w:t>
      </w:r>
      <w:r w:rsidR="00C97817">
        <w:rPr>
          <w:i/>
          <w:iCs/>
          <w:lang w:eastAsia="zh-CN"/>
        </w:rPr>
        <w:t>U</w:t>
      </w:r>
      <w:r w:rsidR="00A4385E" w:rsidRPr="000B4F89">
        <w:rPr>
          <w:i/>
          <w:iCs/>
          <w:lang w:eastAsia="zh-CN"/>
        </w:rPr>
        <w:t>plinkBWP</w:t>
      </w:r>
      <w:r w:rsidR="00A4385E">
        <w:t>.</w:t>
      </w:r>
      <w:r w:rsidR="00AA590B">
        <w:t xml:space="preserve"> </w:t>
      </w:r>
      <w:r w:rsidR="00AA590B" w:rsidRPr="008433E8">
        <w:rPr>
          <w:rFonts w:hint="eastAsia"/>
          <w:lang w:eastAsia="zh-CN"/>
        </w:rPr>
        <w:t xml:space="preserve">The uplink slot </w:t>
      </w:r>
      <m:oMath>
        <m:r>
          <w:rPr>
            <w:rFonts w:ascii="Cambria Math" w:eastAsia="DengXian" w:hAnsi="Cambria Math"/>
            <w:lang w:eastAsia="zh-CN"/>
          </w:rPr>
          <m:t>n</m:t>
        </m:r>
      </m:oMath>
      <w:r w:rsidR="00AA590B" w:rsidRPr="008433E8">
        <w:rPr>
          <w:rFonts w:hint="eastAsia"/>
          <w:lang w:eastAsia="zh-CN"/>
        </w:rPr>
        <w:t xml:space="preserve"> is the last</w:t>
      </w:r>
      <w:r w:rsidR="003C1F17">
        <w:rPr>
          <w:lang w:eastAsia="zh-CN"/>
        </w:rPr>
        <w:t xml:space="preserve"> </w:t>
      </w:r>
      <w:r w:rsidR="00AA590B" w:rsidRPr="00B93BCA">
        <w:rPr>
          <w:rFonts w:hint="eastAsia"/>
          <w:lang w:eastAsia="zh-CN"/>
        </w:rPr>
        <w:t xml:space="preserve">slot among </w:t>
      </w:r>
      <w:r w:rsidR="00AA590B">
        <w:rPr>
          <w:rFonts w:hint="eastAsia"/>
          <w:lang w:eastAsia="zh-CN"/>
        </w:rPr>
        <w:t xml:space="preserve">uplink </w:t>
      </w:r>
      <w:r w:rsidR="00AA590B" w:rsidRPr="00B93BCA">
        <w:rPr>
          <w:rFonts w:hint="eastAsia"/>
          <w:lang w:eastAsia="zh-CN"/>
        </w:rPr>
        <w:t>slot(s) overlapp</w:t>
      </w:r>
      <w:r w:rsidR="00AA590B">
        <w:rPr>
          <w:rFonts w:hint="eastAsia"/>
          <w:lang w:eastAsia="zh-CN"/>
        </w:rPr>
        <w:t>ing</w:t>
      </w:r>
      <w:r w:rsidR="00AA590B" w:rsidRPr="008433E8">
        <w:rPr>
          <w:rFonts w:hint="eastAsia"/>
          <w:lang w:eastAsia="zh-CN"/>
        </w:rPr>
        <w:t xml:space="preserve"> with the slot</w:t>
      </w:r>
      <w:r w:rsidR="00AA590B">
        <w:rPr>
          <w:rFonts w:hint="eastAsia"/>
          <w:lang w:eastAsia="zh-CN"/>
        </w:rPr>
        <w:t>(s)</w:t>
      </w:r>
      <w:r w:rsidR="00AA590B" w:rsidRPr="008433E8">
        <w:rPr>
          <w:rFonts w:hint="eastAsia"/>
          <w:lang w:eastAsia="zh-CN"/>
        </w:rPr>
        <w:t xml:space="preserve"> of PDSCH reception assuming</w:t>
      </w:r>
      <w:r w:rsidR="00AA590B">
        <w:rPr>
          <w:lang w:eastAsia="zh-CN"/>
        </w:rPr>
        <w:t xml:space="preserve"> </w:t>
      </w:r>
      <m:oMath>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TA</m:t>
            </m:r>
          </m:sub>
        </m:sSub>
        <m:r>
          <w:rPr>
            <w:rFonts w:ascii="Cambria Math" w:hAnsi="Cambria Math"/>
            <w:lang w:eastAsia="zh-CN"/>
          </w:rPr>
          <m:t>=0</m:t>
        </m:r>
      </m:oMath>
      <w:r w:rsidR="00AA590B" w:rsidRPr="008433E8">
        <w:rPr>
          <w:rFonts w:hint="eastAsia"/>
          <w:lang w:eastAsia="zh-CN"/>
        </w:rPr>
        <w:t>, where the PDSCH provides the timing advance command and</w:t>
      </w:r>
      <w:r w:rsidR="00AA590B">
        <w:rPr>
          <w:lang w:eastAsia="zh-CN"/>
        </w:rPr>
        <w:t xml:space="preserve"> </w:t>
      </w:r>
      <m:oMath>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TA</m:t>
            </m:r>
          </m:sub>
        </m:sSub>
      </m:oMath>
      <w:r w:rsidR="003C1F17">
        <w:rPr>
          <w:lang w:eastAsia="zh-CN"/>
        </w:rPr>
        <w:t xml:space="preserve"> </w:t>
      </w:r>
      <w:r w:rsidR="00AA590B" w:rsidRPr="008433E8">
        <w:rPr>
          <w:rFonts w:hint="eastAsia"/>
          <w:lang w:eastAsia="zh-CN"/>
        </w:rPr>
        <w:t>is defined in [4, TS 38.211].</w:t>
      </w:r>
    </w:p>
    <w:p w14:paraId="69E4D2B5" w14:textId="77777777" w:rsidR="00A4385E" w:rsidRDefault="00A4385E" w:rsidP="00A4385E">
      <w:r>
        <w:t xml:space="preserve">If a UE changes an active UL BWP between a time of a timing advance command reception and a time of applying a corresponding adjustment </w:t>
      </w:r>
      <w:r w:rsidR="00964142">
        <w:t>for the</w:t>
      </w:r>
      <w:r>
        <w:t xml:space="preserve"> uplink transmission timing, the UE determines the timing advance command value based on the </w:t>
      </w:r>
      <w:r w:rsidR="00143099">
        <w:t>SCS</w:t>
      </w:r>
      <w:r>
        <w:t xml:space="preserve"> of the new active UL BWP. If the UE changes an active UL BWP after applying an adjustment </w:t>
      </w:r>
      <w:r w:rsidR="00964142">
        <w:t>for the</w:t>
      </w:r>
      <w:r>
        <w:t xml:space="preserve"> uplink transmission timing, the UE assumes a same absolute timing advance command value before and after the active UL BWP change.</w:t>
      </w:r>
    </w:p>
    <w:p w14:paraId="7F0ECD5E" w14:textId="41A81CF1" w:rsidR="00E169CB" w:rsidRPr="00341A04" w:rsidRDefault="00186C13" w:rsidP="00E169CB">
      <w:pPr>
        <w:rPr>
          <w:lang w:eastAsia="zh-CN"/>
        </w:rPr>
      </w:pPr>
      <w:r w:rsidRPr="00341A04">
        <w:rPr>
          <w:rFonts w:eastAsia="MS Mincho"/>
        </w:rPr>
        <w:t xml:space="preserve">If the received downlink timing changes and is not compensated or is only partly compensated by </w:t>
      </w:r>
      <w:r w:rsidRPr="00341A04">
        <w:rPr>
          <w:rFonts w:eastAsia="MS Mincho" w:hint="eastAsia"/>
        </w:rPr>
        <w:t xml:space="preserve">the </w:t>
      </w:r>
      <w:r w:rsidRPr="00341A04">
        <w:rPr>
          <w:rFonts w:eastAsia="MS Mincho"/>
        </w:rPr>
        <w:t xml:space="preserve">uplink timing adjustment </w:t>
      </w:r>
      <w:r w:rsidRPr="00341A04">
        <w:rPr>
          <w:rFonts w:eastAsia="MS Mincho" w:hint="eastAsia"/>
        </w:rPr>
        <w:t xml:space="preserve">without timing advance command </w:t>
      </w:r>
      <w:r w:rsidRPr="00341A04">
        <w:rPr>
          <w:rFonts w:eastAsia="MS Mincho"/>
        </w:rPr>
        <w:t xml:space="preserve">as </w:t>
      </w:r>
      <w:r w:rsidR="00964142" w:rsidRPr="00341A04">
        <w:rPr>
          <w:rFonts w:eastAsia="MS Mincho"/>
        </w:rPr>
        <w:t>described</w:t>
      </w:r>
      <w:r w:rsidRPr="00341A04">
        <w:rPr>
          <w:rFonts w:eastAsia="MS Mincho"/>
        </w:rPr>
        <w:t xml:space="preserve"> in </w:t>
      </w:r>
      <w:r w:rsidR="007B5CCD" w:rsidRPr="00341A04">
        <w:t>[10, TS 38.133]</w:t>
      </w:r>
      <w:r w:rsidRPr="00341A04">
        <w:rPr>
          <w:rFonts w:eastAsia="MS Mincho"/>
        </w:rPr>
        <w:t xml:space="preserve">, the UE changes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TA</m:t>
            </m:r>
          </m:sub>
        </m:sSub>
      </m:oMath>
      <w:r w:rsidRPr="00341A04">
        <w:rPr>
          <w:rFonts w:eastAsia="MS Mincho"/>
        </w:rPr>
        <w:t xml:space="preserve"> accordingly. </w:t>
      </w:r>
      <w:r w:rsidR="006138D7" w:rsidRPr="00341A04">
        <w:rPr>
          <w:rFonts w:eastAsia="MS Mincho"/>
        </w:rPr>
        <w:t xml:space="preserve">If a UE operates with two TAGs on an active UL BWP of a serving cell, the UE expects that a difference between a first downlink timing associated with a first TAG and a second downlink timing associated with a second TAG is not larger than the CP length for the active UL BWP unless the UE indicates </w:t>
      </w:r>
      <w:r w:rsidR="006138D7" w:rsidRPr="00341A04">
        <w:rPr>
          <w:rFonts w:eastAsia="MS Mincho"/>
          <w:i/>
          <w:iCs/>
        </w:rPr>
        <w:t>larger-thanCP-capability</w:t>
      </w:r>
      <w:r w:rsidR="006138D7" w:rsidRPr="00341A04">
        <w:rPr>
          <w:rFonts w:eastAsia="MS Mincho"/>
        </w:rPr>
        <w:t>.</w:t>
      </w:r>
      <w:r w:rsidR="001A0F7C" w:rsidRPr="00341A04">
        <w:rPr>
          <w:rFonts w:eastAsia="MS Mincho"/>
        </w:rPr>
        <w:t xml:space="preserve"> </w:t>
      </w:r>
      <w:r w:rsidR="001A0F7C" w:rsidRPr="00341A04">
        <w:rPr>
          <w:lang w:eastAsia="zh-CN"/>
        </w:rPr>
        <w:t xml:space="preserve">If a UE indicates </w:t>
      </w:r>
      <w:r w:rsidR="001A0F7C" w:rsidRPr="00341A04">
        <w:rPr>
          <w:i/>
          <w:iCs/>
          <w:lang w:eastAsia="zh-CN"/>
        </w:rPr>
        <w:t>XYZ_capability</w:t>
      </w:r>
      <w:r w:rsidR="001A0F7C" w:rsidRPr="00341A04">
        <w:rPr>
          <w:lang w:eastAsia="zh-CN"/>
        </w:rPr>
        <w:t xml:space="preserve">, and transmits SRS based on a configuration by </w:t>
      </w:r>
      <w:r w:rsidR="001A0F7C" w:rsidRPr="00341A04">
        <w:rPr>
          <w:i/>
          <w:lang w:eastAsia="zh-CN"/>
        </w:rPr>
        <w:t>SRS-PosResourceSet</w:t>
      </w:r>
      <w:r w:rsidR="001A0F7C" w:rsidRPr="00341A04">
        <w:rPr>
          <w:iCs/>
          <w:lang w:eastAsia="zh-CN"/>
        </w:rPr>
        <w:t xml:space="preserve"> in </w:t>
      </w:r>
      <w:r w:rsidR="001A0F7C" w:rsidRPr="00341A04">
        <w:rPr>
          <w:i/>
          <w:lang w:eastAsia="zh-CN"/>
        </w:rPr>
        <w:t>SRS-PosRRC-InactiveConfig-ValidityArea</w:t>
      </w:r>
      <w:r w:rsidR="001A0F7C" w:rsidRPr="00341A04">
        <w:rPr>
          <w:iCs/>
          <w:lang w:eastAsia="zh-CN"/>
        </w:rPr>
        <w:t xml:space="preserve"> </w:t>
      </w:r>
      <w:r w:rsidR="001A0F7C" w:rsidRPr="00341A04">
        <w:rPr>
          <w:lang w:eastAsia="zh-CN"/>
        </w:rPr>
        <w:t xml:space="preserve">in RRC_INACTIVE state, </w:t>
      </w:r>
    </w:p>
    <w:p w14:paraId="12840A3F" w14:textId="696B2868" w:rsidR="00E169CB" w:rsidRPr="00341A04" w:rsidRDefault="00E169CB" w:rsidP="00E169CB">
      <w:pPr>
        <w:pStyle w:val="B1"/>
        <w:rPr>
          <w:lang w:eastAsia="zh-CN"/>
        </w:rPr>
      </w:pPr>
      <w:r w:rsidRPr="00341A04">
        <w:t>-</w:t>
      </w:r>
      <w:r w:rsidRPr="00341A04">
        <w:tab/>
      </w:r>
      <w:r w:rsidRPr="00341A04">
        <w:rPr>
          <w:lang w:eastAsia="zh-CN"/>
        </w:rPr>
        <w:t xml:space="preserve">if the UE is provided </w:t>
      </w:r>
      <w:r w:rsidRPr="00341A04">
        <w:rPr>
          <w:i/>
          <w:iCs/>
          <w:lang w:eastAsia="zh-CN"/>
        </w:rPr>
        <w:t>SRS-autonomousTAupdate</w:t>
      </w:r>
      <w:r w:rsidRPr="00341A04">
        <w:rPr>
          <w:lang w:eastAsia="zh-CN"/>
        </w:rPr>
        <w:t xml:space="preserve">, </w:t>
      </w:r>
      <w:r w:rsidR="001A0F7C" w:rsidRPr="00341A04">
        <w:rPr>
          <w:lang w:eastAsia="zh-CN"/>
        </w:rPr>
        <w:t xml:space="preserve">the UE may autonomously update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TA</m:t>
            </m:r>
          </m:sub>
        </m:sSub>
      </m:oMath>
      <w:r w:rsidR="001A0F7C" w:rsidRPr="00341A04">
        <w:rPr>
          <w:lang w:eastAsia="zh-CN"/>
        </w:rPr>
        <w:t xml:space="preserve"> at cell reselection</w:t>
      </w:r>
      <w:r w:rsidRPr="00341A04">
        <w:rPr>
          <w:lang w:eastAsia="zh-CN"/>
        </w:rPr>
        <w:t xml:space="preserve"> as described in [10, TS 38.133]</w:t>
      </w:r>
    </w:p>
    <w:p w14:paraId="0A74495E" w14:textId="5261EEEC" w:rsidR="00703A65" w:rsidRPr="00341A04" w:rsidRDefault="00E169CB" w:rsidP="00E169CB">
      <w:pPr>
        <w:pStyle w:val="B1"/>
        <w:rPr>
          <w:rFonts w:eastAsia="MS Mincho"/>
        </w:rPr>
      </w:pPr>
      <w:r w:rsidRPr="00341A04">
        <w:rPr>
          <w:lang w:eastAsia="zh-CN"/>
        </w:rPr>
        <w:t>-</w:t>
      </w:r>
      <w:r w:rsidRPr="00341A04">
        <w:rPr>
          <w:lang w:eastAsia="zh-CN"/>
        </w:rPr>
        <w:tab/>
      </w:r>
      <w:r w:rsidR="001A0F7C" w:rsidRPr="00341A04">
        <w:rPr>
          <w:lang w:eastAsia="zh-CN"/>
        </w:rPr>
        <w:t xml:space="preserve">if the UE is not provided </w:t>
      </w:r>
      <w:r w:rsidR="001A0F7C" w:rsidRPr="00341A04">
        <w:rPr>
          <w:i/>
          <w:iCs/>
          <w:lang w:eastAsia="zh-CN"/>
        </w:rPr>
        <w:t>SRS-autonomousTAupdate</w:t>
      </w:r>
      <w:r w:rsidR="001A0F7C" w:rsidRPr="00341A04">
        <w:rPr>
          <w:lang w:eastAsia="zh-CN"/>
        </w:rPr>
        <w:t xml:space="preserve">, the UE maintains the </w:t>
      </w:r>
      <m:oMath>
        <m:sSub>
          <m:sSubPr>
            <m:ctrlPr>
              <w:rPr>
                <w:rFonts w:ascii="Cambria Math" w:eastAsia="DengXian" w:hAnsi="Cambria Math"/>
                <w:i/>
                <w:lang w:eastAsia="zh-CN"/>
              </w:rPr>
            </m:ctrlPr>
          </m:sSubPr>
          <m:e>
            <m:r>
              <w:rPr>
                <w:rFonts w:ascii="Cambria Math" w:eastAsia="DengXian" w:hAnsi="Cambria Math"/>
                <w:lang w:eastAsia="zh-CN"/>
              </w:rPr>
              <m:t>N</m:t>
            </m:r>
          </m:e>
          <m:sub>
            <m:r>
              <m:rPr>
                <m:sty m:val="p"/>
              </m:rPr>
              <w:rPr>
                <w:rFonts w:ascii="Cambria Math" w:eastAsia="DengXian" w:hAnsi="Cambria Math"/>
                <w:lang w:eastAsia="zh-CN"/>
              </w:rPr>
              <m:t>TA</m:t>
            </m:r>
          </m:sub>
        </m:sSub>
      </m:oMath>
      <w:r w:rsidR="001A0F7C" w:rsidRPr="00341A04">
        <w:rPr>
          <w:lang w:eastAsia="zh-CN"/>
        </w:rPr>
        <w:t xml:space="preserve"> of a last serving cell prior to the </w:t>
      </w:r>
      <w:r w:rsidR="001A0F7C" w:rsidRPr="00341A04">
        <w:rPr>
          <w:iCs/>
        </w:rPr>
        <w:t>release of a dedicated RRC connection [11, TS 38.321].</w:t>
      </w:r>
    </w:p>
    <w:p w14:paraId="2A2F45EF" w14:textId="209C02F5" w:rsidR="00FC73F9" w:rsidRPr="00341A04" w:rsidRDefault="006138D7" w:rsidP="00703A65">
      <w:pPr>
        <w:rPr>
          <w:lang w:eastAsia="zh-CN"/>
        </w:rPr>
      </w:pPr>
      <w:r w:rsidRPr="00341A04">
        <w:t>For operation with single TAG on a serving cell, if</w:t>
      </w:r>
      <w:r w:rsidR="00703A65" w:rsidRPr="00341A04">
        <w:t xml:space="preserve"> two adjacent slots overlap due to a TA command</w:t>
      </w:r>
      <w:r w:rsidR="00CF023D" w:rsidRPr="00341A04">
        <w:t xml:space="preserve"> or due to update of </w:t>
      </w:r>
      <m:oMath>
        <m:sSubSup>
          <m:sSubSupPr>
            <m:ctrlPr>
              <w:rPr>
                <w:rFonts w:ascii="Cambria Math" w:hAnsi="Cambria Math"/>
                <w:i/>
              </w:rPr>
            </m:ctrlPr>
          </m:sSubSupPr>
          <m:e>
            <m:r>
              <w:rPr>
                <w:rFonts w:ascii="Cambria Math" w:hAnsi="Cambria Math"/>
              </w:rPr>
              <m:t>N</m:t>
            </m:r>
          </m:e>
          <m:sub>
            <m:r>
              <m:rPr>
                <m:nor/>
              </m:rPr>
              <m:t>TA,adj</m:t>
            </m:r>
          </m:sub>
          <m:sup>
            <m:r>
              <m:rPr>
                <m:nor/>
              </m:rPr>
              <m:t>UE</m:t>
            </m:r>
          </m:sup>
        </m:sSubSup>
      </m:oMath>
      <w:r w:rsidR="00CF023D" w:rsidRPr="00341A04">
        <w:t xml:space="preserve"> or </w:t>
      </w:r>
      <m:oMath>
        <m:sSubSup>
          <m:sSubSupPr>
            <m:ctrlPr>
              <w:rPr>
                <w:rFonts w:ascii="Cambria Math" w:eastAsia="Calibri" w:hAnsi="Cambria Math"/>
                <w:lang w:eastAsia="ko-KR"/>
              </w:rPr>
            </m:ctrlPr>
          </m:sSubSupPr>
          <m:e>
            <m:r>
              <w:rPr>
                <w:rFonts w:ascii="Cambria Math" w:hAnsi="Cambria Math"/>
                <w:lang w:eastAsia="ko-KR"/>
              </w:rPr>
              <m:t>N</m:t>
            </m:r>
          </m:e>
          <m:sub>
            <m:r>
              <m:rPr>
                <m:nor/>
              </m:rPr>
              <w:rPr>
                <w:lang w:eastAsia="ko-KR"/>
              </w:rPr>
              <m:t>TA,adj</m:t>
            </m:r>
          </m:sub>
          <m:sup>
            <m:r>
              <m:rPr>
                <m:nor/>
              </m:rPr>
              <w:rPr>
                <w:lang w:eastAsia="ko-KR"/>
              </w:rPr>
              <m:t>common</m:t>
            </m:r>
          </m:sup>
        </m:sSubSup>
      </m:oMath>
      <w:r w:rsidR="00CF023D" w:rsidRPr="00341A04">
        <w:rPr>
          <w:lang w:eastAsia="ko-KR"/>
        </w:rPr>
        <w:t>, when applicable</w:t>
      </w:r>
      <w:r w:rsidR="00703A65" w:rsidRPr="00341A04">
        <w:t>, the latter slot is reduced in duration relative to the former slot.</w:t>
      </w:r>
      <w:r w:rsidR="00AA5B67" w:rsidRPr="00341A04">
        <w:t xml:space="preserve"> The UE does not change </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TA</m:t>
            </m:r>
          </m:sub>
        </m:sSub>
      </m:oMath>
      <w:r w:rsidR="00AA5B67" w:rsidRPr="00341A04">
        <w:rPr>
          <w:lang w:eastAsia="zh-CN"/>
        </w:rPr>
        <w:t xml:space="preserve"> during an actual time </w:t>
      </w:r>
      <w:r w:rsidR="0052415A">
        <w:rPr>
          <w:lang w:eastAsia="zh-CN"/>
        </w:rPr>
        <w:t xml:space="preserve">domain </w:t>
      </w:r>
      <w:r w:rsidR="00AA5B67" w:rsidRPr="00341A04">
        <w:rPr>
          <w:lang w:eastAsia="zh-CN"/>
        </w:rPr>
        <w:t>window for a PUSCH or a PUCCH transmission [6, TS 38.214].</w:t>
      </w:r>
      <w:r w:rsidRPr="00341A04">
        <w:rPr>
          <w:lang w:eastAsia="zh-CN"/>
        </w:rPr>
        <w:t xml:space="preserve"> If the UE is not </w:t>
      </w:r>
      <w:r w:rsidRPr="00341A04">
        <w:t xml:space="preserve">provided </w:t>
      </w:r>
      <w:r w:rsidRPr="00341A04">
        <w:rPr>
          <w:i/>
          <w:iCs/>
        </w:rPr>
        <w:t>enableSTx2PofMDCI</w:t>
      </w:r>
      <w:r w:rsidRPr="00341A04" w:rsidDel="00A92B2B">
        <w:rPr>
          <w:lang w:eastAsia="zh-CN"/>
        </w:rPr>
        <w:t xml:space="preserve"> </w:t>
      </w:r>
      <w:r w:rsidRPr="00341A04">
        <w:rPr>
          <w:lang w:eastAsia="zh-CN"/>
        </w:rPr>
        <w:t xml:space="preserve">and operates with two TAGs on a serving cell, the UE does not expect transmissions associated with different TAGs to overlap unless the UE indicates </w:t>
      </w:r>
      <w:r w:rsidRPr="00341A04">
        <w:rPr>
          <w:i/>
          <w:iCs/>
          <w:lang w:eastAsia="zh-CN"/>
        </w:rPr>
        <w:t>XYZ</w:t>
      </w:r>
      <w:r w:rsidRPr="00341A04">
        <w:rPr>
          <w:lang w:eastAsia="zh-CN"/>
        </w:rPr>
        <w:t xml:space="preserve">; if the UE indicates </w:t>
      </w:r>
      <w:r w:rsidRPr="00341A04">
        <w:rPr>
          <w:i/>
          <w:iCs/>
          <w:lang w:eastAsia="zh-CN"/>
        </w:rPr>
        <w:t>XYZ</w:t>
      </w:r>
      <w:r w:rsidRPr="00341A04">
        <w:rPr>
          <w:lang w:eastAsia="zh-CN"/>
        </w:rPr>
        <w:t>, the UE reduces in duration a latter transmission using a first TAG to avoid overlapping with a former transmission using a second TAG.</w:t>
      </w:r>
    </w:p>
    <w:p w14:paraId="54B7E62D" w14:textId="77777777" w:rsidR="00EA76E2" w:rsidRPr="00975A26" w:rsidRDefault="00EA76E2" w:rsidP="00EA76E2">
      <w:pPr>
        <w:snapToGrid w:val="0"/>
        <w:rPr>
          <w:lang w:eastAsia="ko-KR"/>
        </w:rPr>
      </w:pPr>
      <w:r w:rsidRPr="00975A26">
        <w:rPr>
          <w:lang w:eastAsia="ko-KR"/>
        </w:rPr>
        <w:t>Using higher-layer ephemeris parameters for a serving satellite, if provided, a UE pre-compensates the two-way transmission delay on the service link based on </w:t>
      </w:r>
      <m:oMath>
        <m:sSubSup>
          <m:sSubSupPr>
            <m:ctrlPr>
              <w:rPr>
                <w:rFonts w:ascii="Cambria Math" w:hAnsi="Cambria Math"/>
                <w:i/>
              </w:rPr>
            </m:ctrlPr>
          </m:sSubSupPr>
          <m:e>
            <m:r>
              <w:rPr>
                <w:rFonts w:ascii="Cambria Math" w:hAnsi="Cambria Math"/>
              </w:rPr>
              <m:t>N</m:t>
            </m:r>
          </m:e>
          <m:sub>
            <m:r>
              <m:rPr>
                <m:nor/>
              </m:rPr>
              <m:t>TA,adj</m:t>
            </m:r>
          </m:sub>
          <m:sup>
            <m:r>
              <m:rPr>
                <m:nor/>
              </m:rPr>
              <m:t>UE</m:t>
            </m:r>
          </m:sup>
        </m:sSubSup>
      </m:oMath>
      <w:r w:rsidRPr="00975A26">
        <w:rPr>
          <w:lang w:eastAsia="ko-KR"/>
        </w:rPr>
        <w:t xml:space="preserve"> that the UE determines using the serving satellite position and its own position. </w:t>
      </w:r>
      <w:r w:rsidRPr="00975A26">
        <w:t>T</w:t>
      </w:r>
      <w:r w:rsidRPr="00975A26">
        <w:rPr>
          <w:lang w:eastAsia="ko-KR"/>
        </w:rPr>
        <w:t>o pre-compensate the two-way transmission delay between the uplink</w:t>
      </w:r>
      <w:r w:rsidRPr="00975A26">
        <w:t xml:space="preserve"> </w:t>
      </w:r>
      <w:r w:rsidRPr="00975A26">
        <w:rPr>
          <w:lang w:eastAsia="ko-KR"/>
        </w:rPr>
        <w:t>time synchronization reference point and the serving satellite</w:t>
      </w:r>
      <w:r w:rsidRPr="00975A26">
        <w:t xml:space="preserve">, the UE determines </w:t>
      </w:r>
      <m:oMath>
        <m:sSubSup>
          <m:sSubSupPr>
            <m:ctrlPr>
              <w:rPr>
                <w:rFonts w:ascii="Cambria Math" w:eastAsiaTheme="minorHAnsi" w:hAnsi="Cambria Math"/>
                <w:lang w:eastAsia="ko-KR"/>
              </w:rPr>
            </m:ctrlPr>
          </m:sSubSupPr>
          <m:e>
            <m:r>
              <w:rPr>
                <w:rFonts w:ascii="Cambria Math" w:hAnsi="Cambria Math"/>
                <w:lang w:eastAsia="ko-KR"/>
              </w:rPr>
              <m:t>N</m:t>
            </m:r>
          </m:e>
          <m:sub>
            <m:r>
              <m:rPr>
                <m:nor/>
              </m:rPr>
              <w:rPr>
                <w:lang w:eastAsia="ko-KR"/>
              </w:rPr>
              <m:t>TA,adj</m:t>
            </m:r>
          </m:sub>
          <m:sup>
            <m:r>
              <m:rPr>
                <m:nor/>
              </m:rPr>
              <w:rPr>
                <w:lang w:eastAsia="ko-KR"/>
              </w:rPr>
              <m:t>common</m:t>
            </m:r>
          </m:sup>
        </m:sSubSup>
        <m:r>
          <m:rPr>
            <m:sty m:val="p"/>
          </m:rPr>
          <w:rPr>
            <w:rFonts w:ascii="Cambria Math" w:hAnsi="Cambria Math"/>
            <w:lang w:eastAsia="ko-KR"/>
          </w:rPr>
          <m:t xml:space="preserve"> </m:t>
        </m:r>
      </m:oMath>
      <w:r w:rsidRPr="00975A26">
        <w:rPr>
          <w:lang w:eastAsia="ko-KR"/>
        </w:rPr>
        <w:t xml:space="preserve">[4, TS 38.211] based on one-way propagation delay </w:t>
      </w:r>
      <m:oMath>
        <m:sSub>
          <m:sSubPr>
            <m:ctrlPr>
              <w:rPr>
                <w:rFonts w:ascii="Cambria Math" w:hAnsi="Cambria Math"/>
                <w:lang w:eastAsia="ko-KR"/>
              </w:rPr>
            </m:ctrlPr>
          </m:sSubPr>
          <m:e>
            <m:r>
              <m:rPr>
                <m:sty m:val="p"/>
              </m:rPr>
              <w:rPr>
                <w:rFonts w:ascii="Cambria Math" w:hAnsi="Cambria Math"/>
                <w:lang w:eastAsia="ko-KR"/>
              </w:rPr>
              <m:t>Delay</m:t>
            </m:r>
          </m:e>
          <m:sub>
            <m:r>
              <m:rPr>
                <m:sty m:val="p"/>
              </m:rPr>
              <w:rPr>
                <w:rFonts w:ascii="Cambria Math" w:hAnsi="Cambria Math"/>
                <w:lang w:eastAsia="ko-KR"/>
              </w:rPr>
              <m:t>common</m:t>
            </m:r>
          </m:sub>
        </m:sSub>
        <m:d>
          <m:dPr>
            <m:ctrlPr>
              <w:rPr>
                <w:rFonts w:ascii="Cambria Math" w:eastAsiaTheme="minorHAnsi" w:hAnsi="Cambria Math"/>
                <w:lang w:eastAsia="ko-KR"/>
              </w:rPr>
            </m:ctrlPr>
          </m:dPr>
          <m:e>
            <m:r>
              <m:rPr>
                <m:sty m:val="p"/>
              </m:rPr>
              <w:rPr>
                <w:rFonts w:ascii="Cambria Math" w:hAnsi="Cambria Math"/>
                <w:lang w:eastAsia="ko-KR"/>
              </w:rPr>
              <m:t>t</m:t>
            </m:r>
          </m:e>
        </m:d>
      </m:oMath>
      <w:r w:rsidRPr="00975A26">
        <w:rPr>
          <w:lang w:eastAsia="ko-KR"/>
        </w:rPr>
        <w:t xml:space="preserve"> that the UE determines as:</w:t>
      </w:r>
    </w:p>
    <w:p w14:paraId="2E06225E" w14:textId="77777777" w:rsidR="00EA76E2" w:rsidRPr="00975A26" w:rsidRDefault="00000000" w:rsidP="00EA76E2">
      <w:pPr>
        <w:ind w:left="284"/>
      </w:pPr>
      <m:oMathPara>
        <m:oMath>
          <m:sSub>
            <m:sSubPr>
              <m:ctrlPr>
                <w:rPr>
                  <w:rFonts w:ascii="Cambria Math" w:eastAsiaTheme="minorHAnsi" w:hAnsi="Cambria Math"/>
                  <w:lang w:eastAsia="ko-KR"/>
                </w:rPr>
              </m:ctrlPr>
            </m:sSubPr>
            <m:e>
              <m:r>
                <m:rPr>
                  <m:sty m:val="p"/>
                </m:rPr>
                <w:rPr>
                  <w:rFonts w:ascii="Cambria Math" w:hAnsi="Cambria Math"/>
                  <w:lang w:eastAsia="ko-KR"/>
                </w:rPr>
                <m:t>Delay</m:t>
              </m:r>
            </m:e>
            <m:sub>
              <m:r>
                <m:rPr>
                  <m:sty m:val="p"/>
                </m:rPr>
                <w:rPr>
                  <w:rFonts w:ascii="Cambria Math" w:hAnsi="Cambria Math"/>
                  <w:lang w:eastAsia="ko-KR"/>
                </w:rPr>
                <m:t>common</m:t>
              </m:r>
            </m:sub>
          </m:sSub>
          <m:d>
            <m:dPr>
              <m:ctrlPr>
                <w:rPr>
                  <w:rFonts w:ascii="Cambria Math" w:eastAsiaTheme="minorHAnsi" w:hAnsi="Cambria Math"/>
                  <w:lang w:eastAsia="ko-KR"/>
                </w:rPr>
              </m:ctrlPr>
            </m:dPr>
            <m:e>
              <m:r>
                <w:rPr>
                  <w:rFonts w:ascii="Cambria Math" w:hAnsi="Cambria Math"/>
                  <w:lang w:eastAsia="ko-KR"/>
                </w:rPr>
                <m:t>t</m:t>
              </m:r>
            </m:e>
          </m:d>
          <m:r>
            <m:rPr>
              <m:sty m:val="p"/>
            </m:rPr>
            <w:rPr>
              <w:rFonts w:ascii="Cambria Math" w:hAnsi="Cambria Math"/>
              <w:lang w:eastAsia="ko-KR"/>
            </w:rPr>
            <m:t>= </m:t>
          </m:r>
          <m:f>
            <m:fPr>
              <m:ctrlPr>
                <w:rPr>
                  <w:rFonts w:ascii="Cambria Math" w:eastAsiaTheme="minorHAnsi" w:hAnsi="Cambria Math"/>
                  <w:i/>
                  <w:iCs/>
                  <w:lang w:eastAsia="ko-KR"/>
                </w:rPr>
              </m:ctrlPr>
            </m:fPr>
            <m:num>
              <m:sSub>
                <m:sSubPr>
                  <m:ctrlPr>
                    <w:rPr>
                      <w:rFonts w:ascii="Cambria Math" w:eastAsia="DengXian" w:hAnsi="Cambria Math"/>
                      <w:i/>
                      <w:lang w:eastAsia="zh-CN"/>
                    </w:rPr>
                  </m:ctrlPr>
                </m:sSubPr>
                <m:e>
                  <m:r>
                    <w:rPr>
                      <w:rFonts w:ascii="Cambria Math" w:eastAsia="DengXian" w:hAnsi="Cambria Math"/>
                      <w:lang w:eastAsia="zh-CN"/>
                    </w:rPr>
                    <m:t>TA</m:t>
                  </m:r>
                </m:e>
                <m:sub>
                  <m:r>
                    <m:rPr>
                      <m:sty m:val="p"/>
                    </m:rPr>
                    <w:rPr>
                      <w:rFonts w:ascii="Cambria Math" w:eastAsia="DengXian" w:hAnsi="Cambria Math"/>
                      <w:lang w:eastAsia="zh-CN"/>
                    </w:rPr>
                    <m:t>Common</m:t>
                  </m:r>
                </m:sub>
              </m:sSub>
            </m:num>
            <m:den>
              <m:r>
                <w:rPr>
                  <w:rFonts w:ascii="Cambria Math" w:hAnsi="Cambria Math"/>
                  <w:lang w:eastAsia="ko-KR"/>
                </w:rPr>
                <m:t>2</m:t>
              </m:r>
            </m:den>
          </m:f>
          <m:r>
            <m:rPr>
              <m:sty m:val="p"/>
            </m:rPr>
            <w:rPr>
              <w:rFonts w:ascii="Cambria Math" w:hAnsi="Cambria Math"/>
              <w:lang w:eastAsia="ko-KR"/>
            </w:rPr>
            <m:t>+</m:t>
          </m:r>
          <m:r>
            <w:rPr>
              <w:rFonts w:ascii="Cambria Math" w:hAnsi="Cambria Math"/>
              <w:lang w:eastAsia="ko-KR"/>
            </w:rPr>
            <m:t xml:space="preserve"> </m:t>
          </m:r>
          <m:f>
            <m:fPr>
              <m:ctrlPr>
                <w:rPr>
                  <w:rFonts w:ascii="Cambria Math" w:eastAsiaTheme="minorHAnsi" w:hAnsi="Cambria Math"/>
                  <w:i/>
                  <w:iCs/>
                  <w:lang w:eastAsia="ko-KR"/>
                </w:rPr>
              </m:ctrlPr>
            </m:fPr>
            <m:num>
              <m:sSub>
                <m:sSubPr>
                  <m:ctrlPr>
                    <w:rPr>
                      <w:rFonts w:ascii="Cambria Math" w:eastAsia="DengXian" w:hAnsi="Cambria Math"/>
                      <w:i/>
                      <w:lang w:eastAsia="zh-CN"/>
                    </w:rPr>
                  </m:ctrlPr>
                </m:sSubPr>
                <m:e>
                  <m:r>
                    <w:rPr>
                      <w:rFonts w:ascii="Cambria Math" w:eastAsia="DengXian" w:hAnsi="Cambria Math"/>
                      <w:lang w:eastAsia="zh-CN"/>
                    </w:rPr>
                    <m:t>TA</m:t>
                  </m:r>
                </m:e>
                <m:sub>
                  <m:r>
                    <m:rPr>
                      <m:sty m:val="p"/>
                    </m:rPr>
                    <w:rPr>
                      <w:rFonts w:ascii="Cambria Math" w:eastAsia="DengXian" w:hAnsi="Cambria Math"/>
                      <w:lang w:eastAsia="zh-CN"/>
                    </w:rPr>
                    <m:t>CommonDrift</m:t>
                  </m:r>
                </m:sub>
              </m:sSub>
            </m:num>
            <m:den>
              <m:r>
                <w:rPr>
                  <w:rFonts w:ascii="Cambria Math" w:hAnsi="Cambria Math"/>
                  <w:lang w:eastAsia="ko-KR"/>
                </w:rPr>
                <m:t>2</m:t>
              </m:r>
            </m:den>
          </m:f>
          <m:r>
            <w:rPr>
              <w:rFonts w:ascii="Cambria Math" w:hAnsi="Cambria Math"/>
              <w:lang w:eastAsia="ko-KR"/>
            </w:rPr>
            <m:t>×</m:t>
          </m:r>
          <m:d>
            <m:dPr>
              <m:ctrlPr>
                <w:rPr>
                  <w:rFonts w:ascii="Cambria Math" w:eastAsiaTheme="minorHAnsi" w:hAnsi="Cambria Math"/>
                  <w:lang w:eastAsia="ko-KR"/>
                </w:rPr>
              </m:ctrlPr>
            </m:dPr>
            <m:e>
              <m:r>
                <w:rPr>
                  <w:rFonts w:ascii="Cambria Math" w:hAnsi="Cambria Math"/>
                  <w:lang w:eastAsia="ko-KR"/>
                </w:rPr>
                <m:t>t</m:t>
              </m:r>
              <m:r>
                <m:rPr>
                  <m:sty m:val="p"/>
                </m:rPr>
                <w:rPr>
                  <w:rFonts w:ascii="Cambria Math" w:hAnsi="Cambria Math"/>
                  <w:lang w:eastAsia="ko-KR"/>
                </w:rPr>
                <m:t>-</m:t>
              </m:r>
              <m:sSub>
                <m:sSubPr>
                  <m:ctrlPr>
                    <w:rPr>
                      <w:rFonts w:ascii="Cambria Math" w:eastAsiaTheme="minorHAnsi" w:hAnsi="Cambria Math"/>
                      <w:lang w:eastAsia="ko-KR"/>
                    </w:rPr>
                  </m:ctrlPr>
                </m:sSubPr>
                <m:e>
                  <m:r>
                    <w:rPr>
                      <w:rFonts w:ascii="Cambria Math" w:hAnsi="Cambria Math"/>
                      <w:lang w:eastAsia="ko-KR"/>
                    </w:rPr>
                    <m:t>t</m:t>
                  </m:r>
                </m:e>
                <m:sub>
                  <m:r>
                    <m:rPr>
                      <m:sty m:val="p"/>
                    </m:rPr>
                    <w:rPr>
                      <w:rFonts w:ascii="Cambria Math" w:hAnsi="Cambria Math"/>
                      <w:lang w:eastAsia="ko-KR"/>
                    </w:rPr>
                    <m:t>epoch</m:t>
                  </m:r>
                </m:sub>
              </m:sSub>
            </m:e>
          </m:d>
          <m:r>
            <m:rPr>
              <m:sty m:val="p"/>
            </m:rPr>
            <w:rPr>
              <w:rFonts w:ascii="Cambria Math" w:hAnsi="Cambria Math"/>
              <w:lang w:eastAsia="ko-KR"/>
            </w:rPr>
            <m:t>+</m:t>
          </m:r>
          <m:f>
            <m:fPr>
              <m:ctrlPr>
                <w:rPr>
                  <w:rFonts w:ascii="Cambria Math" w:eastAsiaTheme="minorHAnsi" w:hAnsi="Cambria Math"/>
                  <w:i/>
                  <w:iCs/>
                  <w:lang w:eastAsia="ko-KR"/>
                </w:rPr>
              </m:ctrlPr>
            </m:fPr>
            <m:num>
              <m:sSub>
                <m:sSubPr>
                  <m:ctrlPr>
                    <w:rPr>
                      <w:rFonts w:ascii="Cambria Math" w:eastAsia="DengXian" w:hAnsi="Cambria Math"/>
                      <w:i/>
                      <w:lang w:eastAsia="zh-CN"/>
                    </w:rPr>
                  </m:ctrlPr>
                </m:sSubPr>
                <m:e>
                  <m:r>
                    <w:rPr>
                      <w:rFonts w:ascii="Cambria Math" w:eastAsia="DengXian" w:hAnsi="Cambria Math"/>
                      <w:lang w:eastAsia="zh-CN"/>
                    </w:rPr>
                    <m:t>TA</m:t>
                  </m:r>
                </m:e>
                <m:sub>
                  <m:r>
                    <m:rPr>
                      <m:sty m:val="p"/>
                    </m:rPr>
                    <w:rPr>
                      <w:rFonts w:ascii="Cambria Math" w:eastAsia="DengXian" w:hAnsi="Cambria Math"/>
                      <w:lang w:eastAsia="zh-CN"/>
                    </w:rPr>
                    <m:t>CommonDriftVariant</m:t>
                  </m:r>
                </m:sub>
              </m:sSub>
            </m:num>
            <m:den>
              <m:r>
                <w:rPr>
                  <w:rFonts w:ascii="Cambria Math" w:hAnsi="Cambria Math"/>
                  <w:lang w:eastAsia="ko-KR"/>
                </w:rPr>
                <m:t>2</m:t>
              </m:r>
            </m:den>
          </m:f>
          <m:r>
            <w:rPr>
              <w:rFonts w:ascii="Cambria Math" w:hAnsi="Cambria Math"/>
              <w:lang w:eastAsia="ko-KR"/>
            </w:rPr>
            <m:t>×</m:t>
          </m:r>
          <m:sSup>
            <m:sSupPr>
              <m:ctrlPr>
                <w:rPr>
                  <w:rFonts w:ascii="Cambria Math" w:eastAsiaTheme="minorHAnsi" w:hAnsi="Cambria Math"/>
                  <w:lang w:eastAsia="ko-KR"/>
                </w:rPr>
              </m:ctrlPr>
            </m:sSupPr>
            <m:e>
              <m:d>
                <m:dPr>
                  <m:ctrlPr>
                    <w:rPr>
                      <w:rFonts w:ascii="Cambria Math" w:eastAsiaTheme="minorHAnsi" w:hAnsi="Cambria Math"/>
                      <w:lang w:eastAsia="ko-KR"/>
                    </w:rPr>
                  </m:ctrlPr>
                </m:dPr>
                <m:e>
                  <m:r>
                    <w:rPr>
                      <w:rFonts w:ascii="Cambria Math" w:hAnsi="Cambria Math"/>
                      <w:lang w:eastAsia="ko-KR"/>
                    </w:rPr>
                    <m:t>t</m:t>
                  </m:r>
                  <m:r>
                    <m:rPr>
                      <m:sty m:val="p"/>
                    </m:rPr>
                    <w:rPr>
                      <w:rFonts w:ascii="Cambria Math" w:hAnsi="Cambria Math"/>
                      <w:lang w:eastAsia="ko-KR"/>
                    </w:rPr>
                    <m:t>-</m:t>
                  </m:r>
                  <m:sSub>
                    <m:sSubPr>
                      <m:ctrlPr>
                        <w:rPr>
                          <w:rFonts w:ascii="Cambria Math" w:eastAsiaTheme="minorHAnsi" w:hAnsi="Cambria Math"/>
                          <w:lang w:eastAsia="ko-KR"/>
                        </w:rPr>
                      </m:ctrlPr>
                    </m:sSubPr>
                    <m:e>
                      <m:r>
                        <w:rPr>
                          <w:rFonts w:ascii="Cambria Math" w:hAnsi="Cambria Math"/>
                          <w:lang w:eastAsia="ko-KR"/>
                        </w:rPr>
                        <m:t>t</m:t>
                      </m:r>
                    </m:e>
                    <m:sub>
                      <m:r>
                        <m:rPr>
                          <m:sty m:val="p"/>
                        </m:rPr>
                        <w:rPr>
                          <w:rFonts w:ascii="Cambria Math" w:hAnsi="Cambria Math"/>
                          <w:lang w:eastAsia="ko-KR"/>
                        </w:rPr>
                        <m:t>epoch</m:t>
                      </m:r>
                    </m:sub>
                  </m:sSub>
                </m:e>
              </m:d>
            </m:e>
            <m:sup>
              <m:r>
                <m:rPr>
                  <m:sty m:val="p"/>
                </m:rPr>
                <w:rPr>
                  <w:rFonts w:ascii="Cambria Math" w:hAnsi="Cambria Math"/>
                  <w:lang w:eastAsia="ko-KR"/>
                </w:rPr>
                <m:t>2</m:t>
              </m:r>
            </m:sup>
          </m:sSup>
          <m:r>
            <m:rPr>
              <m:sty m:val="p"/>
            </m:rPr>
            <w:rPr>
              <w:rFonts w:ascii="Cambria Math" w:hAnsi="Cambria Math"/>
              <w:lang w:eastAsia="ko-KR"/>
            </w:rPr>
            <m:t> </m:t>
          </m:r>
        </m:oMath>
      </m:oMathPara>
    </w:p>
    <w:p w14:paraId="7F993F54" w14:textId="10CAB289" w:rsidR="00EA76E2" w:rsidRPr="00EA76E2" w:rsidRDefault="00EA76E2" w:rsidP="00703A65">
      <w:pPr>
        <w:rPr>
          <w:iCs/>
          <w:lang w:eastAsia="ko-KR"/>
        </w:rPr>
      </w:pPr>
      <w:r w:rsidRPr="00975A26">
        <w:rPr>
          <w:lang w:eastAsia="ko-KR"/>
        </w:rPr>
        <w:t xml:space="preserve">where </w:t>
      </w:r>
      <m:oMath>
        <m:sSub>
          <m:sSubPr>
            <m:ctrlPr>
              <w:rPr>
                <w:rFonts w:ascii="Cambria Math" w:eastAsia="DengXian" w:hAnsi="Cambria Math"/>
                <w:i/>
                <w:lang w:eastAsia="zh-CN"/>
              </w:rPr>
            </m:ctrlPr>
          </m:sSubPr>
          <m:e>
            <m:r>
              <w:rPr>
                <w:rFonts w:ascii="Cambria Math" w:eastAsia="DengXian" w:hAnsi="Cambria Math"/>
                <w:lang w:eastAsia="zh-CN"/>
              </w:rPr>
              <m:t>TA</m:t>
            </m:r>
          </m:e>
          <m:sub>
            <m:r>
              <m:rPr>
                <m:sty m:val="p"/>
              </m:rPr>
              <w:rPr>
                <w:rFonts w:ascii="Cambria Math" w:eastAsia="DengXian" w:hAnsi="Cambria Math"/>
                <w:lang w:eastAsia="zh-CN"/>
              </w:rPr>
              <m:t>Common</m:t>
            </m:r>
          </m:sub>
        </m:sSub>
      </m:oMath>
      <w:r w:rsidRPr="00975A26">
        <w:rPr>
          <w:lang w:eastAsia="zh-CN"/>
        </w:rPr>
        <w:t xml:space="preserve">, </w:t>
      </w:r>
      <m:oMath>
        <m:sSub>
          <m:sSubPr>
            <m:ctrlPr>
              <w:rPr>
                <w:rFonts w:ascii="Cambria Math" w:eastAsia="DengXian" w:hAnsi="Cambria Math"/>
                <w:i/>
                <w:lang w:eastAsia="zh-CN"/>
              </w:rPr>
            </m:ctrlPr>
          </m:sSubPr>
          <m:e>
            <m:r>
              <w:rPr>
                <w:rFonts w:ascii="Cambria Math" w:eastAsia="DengXian" w:hAnsi="Cambria Math"/>
                <w:lang w:eastAsia="zh-CN"/>
              </w:rPr>
              <m:t>TA</m:t>
            </m:r>
          </m:e>
          <m:sub>
            <m:r>
              <m:rPr>
                <m:sty m:val="p"/>
              </m:rPr>
              <w:rPr>
                <w:rFonts w:ascii="Cambria Math" w:eastAsia="DengXian" w:hAnsi="Cambria Math"/>
                <w:lang w:eastAsia="zh-CN"/>
              </w:rPr>
              <m:t>CommonDrift</m:t>
            </m:r>
          </m:sub>
        </m:sSub>
      </m:oMath>
      <w:r w:rsidRPr="00975A26">
        <w:rPr>
          <w:lang w:eastAsia="zh-CN"/>
        </w:rPr>
        <w:t xml:space="preserve">, and </w:t>
      </w:r>
      <m:oMath>
        <m:sSub>
          <m:sSubPr>
            <m:ctrlPr>
              <w:rPr>
                <w:rFonts w:ascii="Cambria Math" w:eastAsia="DengXian" w:hAnsi="Cambria Math"/>
                <w:i/>
                <w:lang w:eastAsia="zh-CN"/>
              </w:rPr>
            </m:ctrlPr>
          </m:sSubPr>
          <m:e>
            <m:r>
              <w:rPr>
                <w:rFonts w:ascii="Cambria Math" w:eastAsia="DengXian" w:hAnsi="Cambria Math"/>
                <w:lang w:eastAsia="zh-CN"/>
              </w:rPr>
              <m:t>TA</m:t>
            </m:r>
          </m:e>
          <m:sub>
            <m:r>
              <m:rPr>
                <m:sty m:val="p"/>
              </m:rPr>
              <w:rPr>
                <w:rFonts w:ascii="Cambria Math" w:eastAsia="DengXian" w:hAnsi="Cambria Math"/>
                <w:lang w:eastAsia="zh-CN"/>
              </w:rPr>
              <m:t>CommonDriftVariant</m:t>
            </m:r>
          </m:sub>
        </m:sSub>
      </m:oMath>
      <w:r w:rsidRPr="00975A26">
        <w:rPr>
          <w:lang w:eastAsia="zh-CN"/>
        </w:rPr>
        <w:t xml:space="preserve"> are respectively provided by </w:t>
      </w:r>
      <w:r w:rsidRPr="00975A26">
        <w:rPr>
          <w:i/>
          <w:iCs/>
          <w:lang w:eastAsia="ko-KR"/>
        </w:rPr>
        <w:t>ta-Common</w:t>
      </w:r>
      <w:r w:rsidRPr="00975A26">
        <w:rPr>
          <w:lang w:eastAsia="ko-KR"/>
        </w:rPr>
        <w:t xml:space="preserve">, </w:t>
      </w:r>
      <w:r w:rsidRPr="00975A26">
        <w:rPr>
          <w:i/>
          <w:iCs/>
          <w:lang w:eastAsia="ko-KR"/>
        </w:rPr>
        <w:t>ta-CommonDrift</w:t>
      </w:r>
      <w:r w:rsidRPr="00975A26">
        <w:rPr>
          <w:lang w:eastAsia="ko-KR"/>
        </w:rPr>
        <w:t xml:space="preserve">, and </w:t>
      </w:r>
      <w:r w:rsidRPr="00975A26">
        <w:rPr>
          <w:i/>
          <w:iCs/>
          <w:lang w:eastAsia="ko-KR"/>
        </w:rPr>
        <w:t>ta-CommonDriftVariant</w:t>
      </w:r>
      <w:r w:rsidRPr="00975A26">
        <w:rPr>
          <w:lang w:eastAsia="ko-KR"/>
        </w:rPr>
        <w:t xml:space="preserve"> and </w:t>
      </w:r>
      <m:oMath>
        <m:sSub>
          <m:sSubPr>
            <m:ctrlPr>
              <w:rPr>
                <w:rFonts w:ascii="Cambria Math" w:eastAsiaTheme="minorHAnsi" w:hAnsi="Cambria Math"/>
                <w:lang w:eastAsia="ko-KR"/>
              </w:rPr>
            </m:ctrlPr>
          </m:sSubPr>
          <m:e>
            <m:r>
              <w:rPr>
                <w:rFonts w:ascii="Cambria Math" w:hAnsi="Cambria Math"/>
                <w:lang w:eastAsia="ko-KR"/>
              </w:rPr>
              <m:t>t</m:t>
            </m:r>
          </m:e>
          <m:sub>
            <m:r>
              <w:rPr>
                <w:rFonts w:ascii="Cambria Math" w:hAnsi="Cambria Math"/>
                <w:lang w:eastAsia="ko-KR"/>
              </w:rPr>
              <m:t>epoch</m:t>
            </m:r>
          </m:sub>
        </m:sSub>
      </m:oMath>
      <w:r w:rsidRPr="00975A26">
        <w:rPr>
          <w:lang w:eastAsia="ko-KR"/>
        </w:rPr>
        <w:t xml:space="preserve"> is </w:t>
      </w:r>
      <w:r w:rsidR="005E542A" w:rsidRPr="00FE1F93">
        <w:rPr>
          <w:lang w:eastAsia="ko-KR"/>
        </w:rPr>
        <w:t xml:space="preserve">provided by </w:t>
      </w:r>
      <w:r w:rsidR="005E542A" w:rsidRPr="00FE1F93">
        <w:rPr>
          <w:i/>
          <w:lang w:eastAsia="ko-KR"/>
        </w:rPr>
        <w:t>epochTime</w:t>
      </w:r>
      <w:r w:rsidR="005E542A" w:rsidRPr="00FE1F93">
        <w:rPr>
          <w:lang w:eastAsia="ko-KR"/>
        </w:rPr>
        <w:t xml:space="preserve"> which is the epoch time of </w:t>
      </w:r>
      <w:r w:rsidR="005E542A" w:rsidRPr="00FE1F93">
        <w:rPr>
          <w:i/>
          <w:iCs/>
          <w:lang w:eastAsia="ko-KR"/>
        </w:rPr>
        <w:t>ta-Common</w:t>
      </w:r>
      <w:r w:rsidR="005E542A" w:rsidRPr="00FE1F93">
        <w:rPr>
          <w:lang w:eastAsia="ko-KR"/>
        </w:rPr>
        <w:t xml:space="preserve">, </w:t>
      </w:r>
      <w:r w:rsidR="005E542A" w:rsidRPr="00FE1F93">
        <w:rPr>
          <w:i/>
          <w:iCs/>
          <w:lang w:eastAsia="ko-KR"/>
        </w:rPr>
        <w:t>ta-CommonDrift</w:t>
      </w:r>
      <w:r w:rsidR="005E542A" w:rsidRPr="00FE1F93">
        <w:rPr>
          <w:lang w:eastAsia="ko-KR"/>
        </w:rPr>
        <w:t xml:space="preserve">, and </w:t>
      </w:r>
      <w:r w:rsidR="005E542A" w:rsidRPr="00FE1F93">
        <w:rPr>
          <w:i/>
          <w:iCs/>
          <w:lang w:eastAsia="ko-KR"/>
        </w:rPr>
        <w:t>ta-CommonDriftVariant</w:t>
      </w:r>
      <w:r w:rsidRPr="00975A26">
        <w:rPr>
          <w:lang w:eastAsia="zh-CN"/>
        </w:rPr>
        <w:t xml:space="preserve"> [12, TS 38.331]</w:t>
      </w:r>
      <w:r w:rsidRPr="00975A26">
        <w:rPr>
          <w:iCs/>
          <w:lang w:eastAsia="ko-KR"/>
        </w:rPr>
        <w:t xml:space="preserve">. </w:t>
      </w:r>
      <m:oMath>
        <m:sSub>
          <m:sSubPr>
            <m:ctrlPr>
              <w:rPr>
                <w:rFonts w:ascii="Cambria Math" w:eastAsiaTheme="minorHAnsi" w:hAnsi="Cambria Math"/>
                <w:lang w:eastAsia="ko-KR"/>
              </w:rPr>
            </m:ctrlPr>
          </m:sSubPr>
          <m:e>
            <m:r>
              <w:rPr>
                <w:rFonts w:ascii="Cambria Math" w:hAnsi="Cambria Math"/>
                <w:lang w:eastAsia="ko-KR"/>
              </w:rPr>
              <m:t>Delay</m:t>
            </m:r>
          </m:e>
          <m:sub>
            <m:r>
              <w:rPr>
                <w:rFonts w:ascii="Cambria Math" w:hAnsi="Cambria Math"/>
                <w:lang w:eastAsia="ko-KR"/>
              </w:rPr>
              <m:t>common</m:t>
            </m:r>
          </m:sub>
        </m:sSub>
        <m:r>
          <w:rPr>
            <w:rFonts w:ascii="Cambria Math" w:hAnsi="Cambria Math"/>
            <w:lang w:eastAsia="ko-KR"/>
          </w:rPr>
          <m:t>(t)</m:t>
        </m:r>
      </m:oMath>
      <w:r w:rsidRPr="00975A26">
        <w:rPr>
          <w:lang w:eastAsia="ko-KR"/>
        </w:rPr>
        <w:t xml:space="preserve"> provides a distance at time </w:t>
      </w:r>
      <m:oMath>
        <m:r>
          <w:rPr>
            <w:rFonts w:ascii="Cambria Math" w:hAnsi="Cambria Math"/>
            <w:lang w:eastAsia="ko-KR"/>
          </w:rPr>
          <m:t>t</m:t>
        </m:r>
      </m:oMath>
      <w:r w:rsidRPr="00975A26">
        <w:rPr>
          <w:lang w:eastAsia="ko-KR"/>
        </w:rPr>
        <w:t xml:space="preserve"> between the serving satellite and the uplink time synchronization reference point divided by the speed of light. The uplink time synchronization reference point is the point where DL and UL are frame aligned with an offset given by </w:t>
      </w:r>
      <m:oMath>
        <m:sSub>
          <m:sSubPr>
            <m:ctrlPr>
              <w:rPr>
                <w:rFonts w:ascii="Cambria Math" w:eastAsiaTheme="minorHAnsi" w:hAnsi="Cambria Math"/>
                <w:lang w:eastAsia="ko-KR"/>
              </w:rPr>
            </m:ctrlPr>
          </m:sSubPr>
          <m:e>
            <m:r>
              <w:rPr>
                <w:rFonts w:ascii="Cambria Math" w:hAnsi="Cambria Math"/>
                <w:lang w:eastAsia="ko-KR"/>
              </w:rPr>
              <m:t>N</m:t>
            </m:r>
          </m:e>
          <m:sub>
            <m:r>
              <m:rPr>
                <m:sty m:val="p"/>
              </m:rPr>
              <w:rPr>
                <w:rFonts w:ascii="Cambria Math" w:hAnsi="Cambria Math"/>
                <w:lang w:eastAsia="ko-KR"/>
              </w:rPr>
              <m:t>TA,offset</m:t>
            </m:r>
          </m:sub>
        </m:sSub>
      </m:oMath>
      <w:r w:rsidRPr="00975A26">
        <w:rPr>
          <w:lang w:eastAsia="ko-KR"/>
        </w:rPr>
        <w:t>.</w:t>
      </w:r>
    </w:p>
    <w:p w14:paraId="729AB0CC" w14:textId="77777777" w:rsidR="00FC73F9" w:rsidRPr="00B916EC" w:rsidRDefault="00FC73F9" w:rsidP="00FC73F9">
      <w:pPr>
        <w:pStyle w:val="Heading2"/>
        <w:ind w:left="850" w:hanging="850"/>
      </w:pPr>
      <w:bookmarkStart w:id="106" w:name="_Toc12021441"/>
      <w:bookmarkStart w:id="107" w:name="_Toc20311553"/>
      <w:bookmarkStart w:id="108" w:name="_Toc26719378"/>
      <w:bookmarkStart w:id="109" w:name="_Toc29894809"/>
      <w:bookmarkStart w:id="110" w:name="_Toc29899108"/>
      <w:bookmarkStart w:id="111" w:name="_Toc29899526"/>
      <w:bookmarkStart w:id="112" w:name="_Toc29917263"/>
      <w:bookmarkStart w:id="113" w:name="_Toc36498137"/>
      <w:bookmarkStart w:id="114" w:name="_Toc45699163"/>
      <w:bookmarkStart w:id="115" w:name="_Toc161999088"/>
      <w:r w:rsidRPr="00B916EC">
        <w:t>4.3</w:t>
      </w:r>
      <w:r w:rsidRPr="00B916EC">
        <w:tab/>
        <w:t>Timing for secondary cell activation / deactivation</w:t>
      </w:r>
      <w:bookmarkEnd w:id="106"/>
      <w:bookmarkEnd w:id="107"/>
      <w:bookmarkEnd w:id="108"/>
      <w:bookmarkEnd w:id="109"/>
      <w:bookmarkEnd w:id="110"/>
      <w:bookmarkEnd w:id="111"/>
      <w:bookmarkEnd w:id="112"/>
      <w:bookmarkEnd w:id="113"/>
      <w:bookmarkEnd w:id="114"/>
      <w:bookmarkEnd w:id="115"/>
    </w:p>
    <w:p w14:paraId="337D6D2F" w14:textId="09B992CF" w:rsidR="00273CFD" w:rsidRPr="00B916EC" w:rsidRDefault="001F4042" w:rsidP="00273CFD">
      <w:pPr>
        <w:rPr>
          <w:lang w:eastAsia="ja-JP"/>
        </w:rPr>
      </w:pPr>
      <w:r>
        <w:t>With reference to slots for PUCCH transmissions, w</w:t>
      </w:r>
      <w:r w:rsidRPr="00B916EC">
        <w:t xml:space="preserve">hen </w:t>
      </w:r>
      <w:r w:rsidR="00273CFD" w:rsidRPr="00B916EC">
        <w:t xml:space="preserve">a UE receives </w:t>
      </w:r>
      <w:r>
        <w:t xml:space="preserve">in a PDSCH </w:t>
      </w:r>
      <w:r w:rsidR="00273CFD" w:rsidRPr="00B916EC">
        <w:t>an activation command [1</w:t>
      </w:r>
      <w:r w:rsidR="00273CFD" w:rsidRPr="00B916EC">
        <w:rPr>
          <w:lang w:val="en-US"/>
        </w:rPr>
        <w:t>1</w:t>
      </w:r>
      <w:r w:rsidR="00273CFD" w:rsidRPr="00B916EC">
        <w:t>, TS 38.3</w:t>
      </w:r>
      <w:r w:rsidR="00273CFD" w:rsidRPr="00B916EC">
        <w:rPr>
          <w:lang w:val="en-US"/>
        </w:rPr>
        <w:t>2</w:t>
      </w:r>
      <w:r w:rsidR="00273CFD" w:rsidRPr="00B916EC">
        <w:t>1] for a secondary cell</w:t>
      </w:r>
      <w:r>
        <w:t xml:space="preserve"> ending</w:t>
      </w:r>
      <w:r w:rsidR="00273CFD" w:rsidRPr="00B916EC">
        <w:t xml:space="preserve"> in slot </w:t>
      </w:r>
      <w:r w:rsidR="00273CFD" w:rsidRPr="00B916EC">
        <w:rPr>
          <w:i/>
        </w:rPr>
        <w:t>n</w:t>
      </w:r>
      <w:r w:rsidR="00273CFD" w:rsidRPr="00B916EC">
        <w:t xml:space="preserve">, the </w:t>
      </w:r>
      <w:r w:rsidR="00964142">
        <w:t xml:space="preserve">UE applies the </w:t>
      </w:r>
      <w:r w:rsidR="00273CFD" w:rsidRPr="00B916EC">
        <w:t>corresponding actions in [</w:t>
      </w:r>
      <w:r w:rsidR="00703A65">
        <w:t>11, TS 38.321</w:t>
      </w:r>
      <w:r w:rsidR="00273CFD" w:rsidRPr="00B916EC">
        <w:t>] no later than the minimum requirement defined in [</w:t>
      </w:r>
      <w:r w:rsidR="00D63918" w:rsidRPr="00B916EC">
        <w:t>1</w:t>
      </w:r>
      <w:r w:rsidR="00D63918">
        <w:t>0</w:t>
      </w:r>
      <w:r w:rsidR="00273CFD" w:rsidRPr="00B916EC">
        <w:t>, TS 38.</w:t>
      </w:r>
      <w:r w:rsidR="00D63918">
        <w:t>133</w:t>
      </w:r>
      <w:r w:rsidR="00273CFD" w:rsidRPr="00B916EC">
        <w:t xml:space="preserve">] and no earlier than slot </w:t>
      </w:r>
      <w:r w:rsidR="00ED3701">
        <w:rPr>
          <w:noProof/>
          <w:position w:val="-6"/>
        </w:rPr>
        <w:drawing>
          <wp:inline distT="0" distB="0" distL="0" distR="0" wp14:anchorId="6C7BAB89" wp14:editId="09A13D4E">
            <wp:extent cx="295275" cy="180975"/>
            <wp:effectExtent l="0" t="0" r="0" b="0"/>
            <wp:docPr id="1476908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275" cy="180975"/>
                    </a:xfrm>
                    <a:prstGeom prst="rect">
                      <a:avLst/>
                    </a:prstGeom>
                    <a:noFill/>
                    <a:ln>
                      <a:noFill/>
                    </a:ln>
                  </pic:spPr>
                </pic:pic>
              </a:graphicData>
            </a:graphic>
          </wp:inline>
        </w:drawing>
      </w:r>
      <w:r w:rsidR="00273CFD" w:rsidRPr="00B916EC">
        <w:t xml:space="preserve">, except for the </w:t>
      </w:r>
      <w:r w:rsidR="00273CFD" w:rsidRPr="00B916EC">
        <w:rPr>
          <w:rFonts w:hint="eastAsia"/>
          <w:lang w:eastAsia="ja-JP"/>
        </w:rPr>
        <w:t>following:</w:t>
      </w:r>
    </w:p>
    <w:p w14:paraId="6DD26D47" w14:textId="7A7F1E9A" w:rsidR="00273CFD" w:rsidRPr="00FE5420" w:rsidRDefault="00273CFD" w:rsidP="00273CFD">
      <w:pPr>
        <w:pStyle w:val="B1"/>
        <w:rPr>
          <w:lang w:val="en-US" w:eastAsia="ja-JP"/>
        </w:rPr>
      </w:pPr>
      <w:r w:rsidRPr="00B916EC">
        <w:rPr>
          <w:lang w:eastAsia="ja-JP"/>
        </w:rPr>
        <w:t>-</w:t>
      </w:r>
      <w:r w:rsidRPr="00B916EC">
        <w:rPr>
          <w:lang w:eastAsia="ja-JP"/>
        </w:rPr>
        <w:tab/>
      </w:r>
      <w:r w:rsidRPr="00B916EC">
        <w:rPr>
          <w:rFonts w:hint="eastAsia"/>
          <w:lang w:eastAsia="ja-JP"/>
        </w:rPr>
        <w:t xml:space="preserve">the </w:t>
      </w:r>
      <w:r w:rsidRPr="00B916EC">
        <w:t xml:space="preserve">actions related to CSI reporting on a serving cell </w:t>
      </w:r>
      <w:r w:rsidR="009A1084">
        <w:rPr>
          <w:lang w:val="en-US"/>
        </w:rPr>
        <w:t>that</w:t>
      </w:r>
      <w:r w:rsidR="009A1084" w:rsidRPr="00B916EC">
        <w:t xml:space="preserve"> </w:t>
      </w:r>
      <w:r w:rsidRPr="00B916EC">
        <w:t>is active</w:t>
      </w:r>
      <w:r w:rsidRPr="00B916EC">
        <w:rPr>
          <w:rFonts w:hint="eastAsia"/>
        </w:rPr>
        <w:t xml:space="preserve"> in slot </w:t>
      </w:r>
      <w:r w:rsidR="00ED3701">
        <w:rPr>
          <w:noProof/>
          <w:position w:val="-6"/>
        </w:rPr>
        <w:drawing>
          <wp:inline distT="0" distB="0" distL="0" distR="0" wp14:anchorId="5F709AAF" wp14:editId="1D55AA9E">
            <wp:extent cx="295275" cy="180975"/>
            <wp:effectExtent l="0" t="0" r="0" b="0"/>
            <wp:docPr id="3"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275" cy="180975"/>
                    </a:xfrm>
                    <a:prstGeom prst="rect">
                      <a:avLst/>
                    </a:prstGeom>
                    <a:noFill/>
                    <a:ln>
                      <a:noFill/>
                    </a:ln>
                  </pic:spPr>
                </pic:pic>
              </a:graphicData>
            </a:graphic>
          </wp:inline>
        </w:drawing>
      </w:r>
    </w:p>
    <w:p w14:paraId="3CB72864" w14:textId="1B685534" w:rsidR="00273CFD" w:rsidRPr="00B916EC" w:rsidRDefault="00273CFD" w:rsidP="00AB72D2">
      <w:pPr>
        <w:pStyle w:val="B1"/>
      </w:pPr>
      <w:r w:rsidRPr="00B916EC">
        <w:rPr>
          <w:lang w:eastAsia="ja-JP"/>
        </w:rPr>
        <w:lastRenderedPageBreak/>
        <w:t>-</w:t>
      </w:r>
      <w:r w:rsidRPr="00B916EC">
        <w:rPr>
          <w:lang w:eastAsia="ja-JP"/>
        </w:rPr>
        <w:tab/>
      </w:r>
      <w:r w:rsidRPr="00B916EC">
        <w:rPr>
          <w:rFonts w:hint="eastAsia"/>
          <w:lang w:eastAsia="ja-JP"/>
        </w:rPr>
        <w:t>the actions related to</w:t>
      </w:r>
      <w:r w:rsidRPr="00B916EC">
        <w:rPr>
          <w:lang w:eastAsia="ja-JP"/>
        </w:rPr>
        <w:t xml:space="preserve"> the</w:t>
      </w:r>
      <w:r w:rsidRPr="00B916EC">
        <w:rPr>
          <w:rFonts w:hint="eastAsia"/>
          <w:lang w:eastAsia="ja-JP"/>
        </w:rPr>
        <w:t xml:space="preserve"> </w:t>
      </w:r>
      <w:r w:rsidRPr="00B916EC">
        <w:rPr>
          <w:i/>
          <w:lang w:eastAsia="ja-JP"/>
        </w:rPr>
        <w:t>sCellDeactivationTimer</w:t>
      </w:r>
      <w:r w:rsidRPr="00B916EC">
        <w:rPr>
          <w:rFonts w:hint="eastAsia"/>
          <w:lang w:eastAsia="ja-JP"/>
        </w:rPr>
        <w:t xml:space="preserve"> </w:t>
      </w:r>
      <w:r w:rsidRPr="00B916EC">
        <w:rPr>
          <w:lang w:eastAsia="ja-JP"/>
        </w:rPr>
        <w:t xml:space="preserve">associated with the secondary cell </w:t>
      </w:r>
      <w:r w:rsidRPr="00B916EC">
        <w:rPr>
          <w:rFonts w:hint="eastAsia"/>
          <w:lang w:eastAsia="ja-JP"/>
        </w:rPr>
        <w:t>[</w:t>
      </w:r>
      <w:r w:rsidRPr="00B916EC">
        <w:t>1</w:t>
      </w:r>
      <w:r w:rsidRPr="00B916EC">
        <w:rPr>
          <w:lang w:val="en-US"/>
        </w:rPr>
        <w:t>1</w:t>
      </w:r>
      <w:r w:rsidRPr="00B916EC">
        <w:t>, TS 38.3</w:t>
      </w:r>
      <w:r w:rsidRPr="00B916EC">
        <w:rPr>
          <w:lang w:val="en-US"/>
        </w:rPr>
        <w:t>2</w:t>
      </w:r>
      <w:r w:rsidRPr="00B916EC">
        <w:t>1</w:t>
      </w:r>
      <w:r w:rsidRPr="00B916EC">
        <w:rPr>
          <w:rFonts w:hint="eastAsia"/>
          <w:lang w:eastAsia="ja-JP"/>
        </w:rPr>
        <w:t>]</w:t>
      </w:r>
      <w:r w:rsidRPr="00B916EC">
        <w:t xml:space="preserve"> </w:t>
      </w:r>
      <w:r w:rsidR="00D63918">
        <w:rPr>
          <w:lang w:val="en-US"/>
        </w:rPr>
        <w:t>t</w:t>
      </w:r>
      <w:r w:rsidR="00D63918">
        <w:t xml:space="preserve">hat the </w:t>
      </w:r>
      <w:r w:rsidR="00D63918">
        <w:rPr>
          <w:lang w:val="en-US"/>
        </w:rPr>
        <w:t>UE</w:t>
      </w:r>
      <w:r w:rsidRPr="00B916EC">
        <w:t xml:space="preserve"> </w:t>
      </w:r>
      <w:r w:rsidR="00D63918" w:rsidRPr="00B916EC">
        <w:t>applie</w:t>
      </w:r>
      <w:r w:rsidR="00D63918">
        <w:t>s</w:t>
      </w:r>
      <w:r w:rsidR="00D63918" w:rsidRPr="00B916EC">
        <w:t xml:space="preserve"> </w:t>
      </w:r>
      <w:r w:rsidRPr="00B916EC">
        <w:t xml:space="preserve">in slot </w:t>
      </w:r>
      <w:r w:rsidR="00ED3701">
        <w:rPr>
          <w:noProof/>
          <w:position w:val="-6"/>
        </w:rPr>
        <w:drawing>
          <wp:inline distT="0" distB="0" distL="0" distR="0" wp14:anchorId="7DEB0569" wp14:editId="512BE11F">
            <wp:extent cx="295275" cy="180975"/>
            <wp:effectExtent l="0" t="0" r="0" b="0"/>
            <wp:docPr id="21314603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275" cy="180975"/>
                    </a:xfrm>
                    <a:prstGeom prst="rect">
                      <a:avLst/>
                    </a:prstGeom>
                    <a:noFill/>
                    <a:ln>
                      <a:noFill/>
                    </a:ln>
                  </pic:spPr>
                </pic:pic>
              </a:graphicData>
            </a:graphic>
          </wp:inline>
        </w:drawing>
      </w:r>
    </w:p>
    <w:p w14:paraId="599557DF" w14:textId="73B8A032" w:rsidR="00273CFD" w:rsidRPr="00B916EC" w:rsidRDefault="00273CFD" w:rsidP="00AB72D2">
      <w:pPr>
        <w:pStyle w:val="B1"/>
        <w:rPr>
          <w:lang w:eastAsia="zh-CN"/>
        </w:rPr>
      </w:pPr>
      <w:r w:rsidRPr="00B916EC">
        <w:rPr>
          <w:lang w:eastAsia="ja-JP"/>
        </w:rPr>
        <w:t>-</w:t>
      </w:r>
      <w:r w:rsidRPr="00B916EC">
        <w:rPr>
          <w:lang w:eastAsia="ja-JP"/>
        </w:rPr>
        <w:tab/>
      </w:r>
      <w:r w:rsidRPr="00B916EC">
        <w:rPr>
          <w:rFonts w:hint="eastAsia"/>
          <w:lang w:eastAsia="ja-JP"/>
        </w:rPr>
        <w:t xml:space="preserve">the </w:t>
      </w:r>
      <w:r w:rsidRPr="00B916EC">
        <w:t xml:space="preserve">actions related to CSI reporting on a serving cell which is </w:t>
      </w:r>
      <w:r w:rsidRPr="00B916EC">
        <w:rPr>
          <w:rFonts w:hint="eastAsia"/>
        </w:rPr>
        <w:t>not</w:t>
      </w:r>
      <w:r w:rsidRPr="00B916EC">
        <w:t xml:space="preserve"> active</w:t>
      </w:r>
      <w:r w:rsidRPr="00B916EC">
        <w:rPr>
          <w:rFonts w:hint="eastAsia"/>
        </w:rPr>
        <w:t xml:space="preserve"> in </w:t>
      </w:r>
      <w:r w:rsidRPr="00B916EC">
        <w:rPr>
          <w:lang w:val="en-US"/>
        </w:rPr>
        <w:t>slot</w:t>
      </w:r>
      <w:r w:rsidRPr="00B916EC">
        <w:rPr>
          <w:rFonts w:hint="eastAsia"/>
        </w:rPr>
        <w:t xml:space="preserve"> </w:t>
      </w:r>
      <w:r w:rsidR="00ED3701">
        <w:rPr>
          <w:noProof/>
          <w:position w:val="-6"/>
        </w:rPr>
        <w:drawing>
          <wp:inline distT="0" distB="0" distL="0" distR="0" wp14:anchorId="3C3B852E" wp14:editId="58A2AC4B">
            <wp:extent cx="295275" cy="180975"/>
            <wp:effectExtent l="0" t="0" r="0" b="0"/>
            <wp:docPr id="5"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275" cy="180975"/>
                    </a:xfrm>
                    <a:prstGeom prst="rect">
                      <a:avLst/>
                    </a:prstGeom>
                    <a:noFill/>
                    <a:ln>
                      <a:noFill/>
                    </a:ln>
                  </pic:spPr>
                </pic:pic>
              </a:graphicData>
            </a:graphic>
          </wp:inline>
        </w:drawing>
      </w:r>
      <w:r w:rsidR="00D63918">
        <w:rPr>
          <w:lang w:val="en-US"/>
        </w:rPr>
        <w:t>that the UE</w:t>
      </w:r>
      <w:r w:rsidRPr="00B916EC">
        <w:rPr>
          <w:rFonts w:hint="eastAsia"/>
          <w:lang w:eastAsia="zh-CN"/>
        </w:rPr>
        <w:t xml:space="preserve"> </w:t>
      </w:r>
      <w:r w:rsidR="00D63918" w:rsidRPr="00B916EC">
        <w:rPr>
          <w:rFonts w:hint="eastAsia"/>
          <w:lang w:eastAsia="zh-CN"/>
        </w:rPr>
        <w:t>applie</w:t>
      </w:r>
      <w:r w:rsidR="00D63918">
        <w:rPr>
          <w:lang w:val="en-US" w:eastAsia="zh-CN"/>
        </w:rPr>
        <w:t>s</w:t>
      </w:r>
      <w:r w:rsidR="00D63918" w:rsidRPr="00B916EC">
        <w:rPr>
          <w:rFonts w:hint="eastAsia"/>
          <w:lang w:eastAsia="zh-CN"/>
        </w:rPr>
        <w:t xml:space="preserve"> </w:t>
      </w:r>
      <w:r w:rsidRPr="00B916EC">
        <w:rPr>
          <w:lang w:eastAsia="zh-CN"/>
        </w:rPr>
        <w:t xml:space="preserve">in the earliest slot after </w:t>
      </w:r>
      <w:r w:rsidR="00ED3701">
        <w:rPr>
          <w:noProof/>
          <w:position w:val="-6"/>
        </w:rPr>
        <w:drawing>
          <wp:inline distT="0" distB="0" distL="0" distR="0" wp14:anchorId="52710F40" wp14:editId="2D8B67D6">
            <wp:extent cx="295275" cy="180975"/>
            <wp:effectExtent l="0" t="0" r="0" b="0"/>
            <wp:docPr id="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275" cy="180975"/>
                    </a:xfrm>
                    <a:prstGeom prst="rect">
                      <a:avLst/>
                    </a:prstGeom>
                    <a:noFill/>
                    <a:ln>
                      <a:noFill/>
                    </a:ln>
                  </pic:spPr>
                </pic:pic>
              </a:graphicData>
            </a:graphic>
          </wp:inline>
        </w:drawing>
      </w:r>
      <w:r w:rsidRPr="00B916EC">
        <w:rPr>
          <w:lang w:eastAsia="zh-CN"/>
        </w:rPr>
        <w:t xml:space="preserve"> in which the serving cell is active.</w:t>
      </w:r>
    </w:p>
    <w:p w14:paraId="5158F428" w14:textId="31CAA2CE" w:rsidR="00107C0E" w:rsidRDefault="00107C0E" w:rsidP="00107C0E">
      <w:r>
        <w:t xml:space="preserve">The value of </w:t>
      </w:r>
      <w:r w:rsidR="00ED3701">
        <w:rPr>
          <w:noProof/>
          <w:position w:val="-6"/>
        </w:rPr>
        <w:drawing>
          <wp:inline distT="0" distB="0" distL="0" distR="0" wp14:anchorId="5662E669" wp14:editId="7A6C8F84">
            <wp:extent cx="114300" cy="180975"/>
            <wp:effectExtent l="0" t="0" r="0" b="0"/>
            <wp:docPr id="7"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t xml:space="preserve"> is</w:t>
      </w:r>
      <w:r w:rsidR="005409FE">
        <w:t xml:space="preserve"> </w:t>
      </w:r>
      <m:oMath>
        <m:sSubSup>
          <m:sSubSupPr>
            <m:ctrlPr>
              <w:rPr>
                <w:rFonts w:ascii="Cambria Math" w:hAnsi="Cambria Math"/>
                <w:i/>
              </w:rPr>
            </m:ctrlPr>
          </m:sSubSupPr>
          <m:e>
            <m:r>
              <w:rPr>
                <w:rFonts w:ascii="Cambria Math" w:hAnsi="Cambria Math"/>
              </w:rPr>
              <m:t>m+3 N</m:t>
            </m:r>
          </m:e>
          <m:sub>
            <m:r>
              <m:rPr>
                <m:nor/>
              </m:rPr>
              <w:rPr>
                <w:rFonts w:ascii="Cambria Math" w:hAnsi="Cambria Math"/>
              </w:rPr>
              <m:t>slot</m:t>
            </m:r>
          </m:sub>
          <m:sup>
            <m:r>
              <m:rPr>
                <m:nor/>
              </m:rPr>
              <w:rPr>
                <w:rFonts w:ascii="Cambria Math" w:hAnsi="Cambria Math"/>
              </w:rPr>
              <m:t>subframe</m:t>
            </m:r>
            <m:r>
              <w:rPr>
                <w:rFonts w:ascii="Cambria Math" w:hAnsi="Cambria Math"/>
              </w:rPr>
              <m:t>,μ</m:t>
            </m:r>
          </m:sup>
        </m:sSubSup>
        <m:r>
          <w:rPr>
            <w:rFonts w:ascii="Cambria Math" w:hAnsi="Cambria Math"/>
          </w:rPr>
          <m:t>+1</m:t>
        </m:r>
      </m:oMath>
      <w:r w:rsidR="005409FE" w:rsidRPr="00442D7B">
        <w:t xml:space="preserve"> where</w:t>
      </w:r>
      <w:r w:rsidR="005409FE" w:rsidRPr="00442D7B">
        <w:rPr>
          <w:rFonts w:hint="eastAsia"/>
          <w:szCs w:val="18"/>
          <w:lang w:eastAsia="zh-CN"/>
        </w:rPr>
        <w:t xml:space="preserve"> slot</w:t>
      </w:r>
      <w:r w:rsidR="005409FE" w:rsidRPr="00442D7B">
        <w:rPr>
          <w:szCs w:val="18"/>
        </w:rPr>
        <w:fldChar w:fldCharType="begin"/>
      </w:r>
      <w:r w:rsidR="005409FE" w:rsidRPr="00442D7B">
        <w:rPr>
          <w:szCs w:val="18"/>
        </w:rPr>
        <w:instrText xml:space="preserve"> QUOTE </w:instrText>
      </w:r>
      <w:r w:rsidR="00ED3701">
        <w:rPr>
          <w:noProof/>
          <w:position w:val="-5"/>
        </w:rPr>
        <w:pict w14:anchorId="12D4701C">
          <v:shape id="_x0000_i1032" type="#_x0000_t75" style="width:27pt;height:12pt;mso-position-horizontal-relative:page;mso-position-vertical-relative:page" equationxml="&lt;?xml version=&quot;1.0&quot; encoding=&quot;UTF-8&quot; standalone=&quot;yes&quot;?&gt;&#10;&#10;&#10;&#10;&lt;?mso-application progid=&quot;Word.Document&quot;?&gt;&#10;&#10;&#10;&#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50&quot;/&gt;&lt;w:doNotEmbedSystemFonts/&gt;&lt;w:bordersDontSurroundHeader/&gt;&lt;w:bordersDontSurroundFooter/&gt;&lt;w:defaultTabStop w:val=&quot;1304&quot;/&gt;&lt;w:hyphenationZone w:val=&quot;425&quot;/&gt;&lt;w:punctuationKerning/&gt;&lt;w:characterSpacingControl w:val=&quot;DontCompress&quot;/&gt;&lt;w:webPageEncoding w:val=&quot;x-cp20936&quot;/&gt;&lt;w:optimizeForBrowser/&gt;&lt;w:allowPNG/&gt;&lt;w:pixelsPerInch w:val=&quot;144&quot;/&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FE5799&quot;/&gt;&lt;wsp:rsid wsp:val=&quot;00000555&quot;/&gt;&lt;wsp:rsid wsp:val=&quot;00000582&quot;/&gt;&lt;wsp:rsid wsp:val=&quot;00000D37&quot;/&gt;&lt;wsp:rsid wsp:val=&quot;00001288&quot;/&gt;&lt;wsp:rsid wsp:val=&quot;00001CCF&quot;/&gt;&lt;wsp:rsid wsp:val=&quot;000021F7&quot;/&gt;&lt;wsp:rsid wsp:val=&quot;000022D6&quot;/&gt;&lt;wsp:rsid wsp:val=&quot;00002F49&quot;/&gt;&lt;wsp:rsid wsp:val=&quot;00002F79&quot;/&gt;&lt;wsp:rsid wsp:val=&quot;00003CCB&quot;/&gt;&lt;wsp:rsid wsp:val=&quot;00003F79&quot;/&gt;&lt;wsp:rsid wsp:val=&quot;0000592F&quot;/&gt;&lt;wsp:rsid wsp:val=&quot;00005D8A&quot;/&gt;&lt;wsp:rsid wsp:val=&quot;00006000&quot;/&gt;&lt;wsp:rsid wsp:val=&quot;00007DA3&quot;/&gt;&lt;wsp:rsid wsp:val=&quot;00010035&quot;/&gt;&lt;wsp:rsid wsp:val=&quot;00010CBA&quot;/&gt;&lt;wsp:rsid wsp:val=&quot;00011557&quot;/&gt;&lt;wsp:rsid wsp:val=&quot;00011E4C&quot;/&gt;&lt;wsp:rsid wsp:val=&quot;0001291F&quot;/&gt;&lt;wsp:rsid wsp:val=&quot;00012EA1&quot;/&gt;&lt;wsp:rsid wsp:val=&quot;00013286&quot;/&gt;&lt;wsp:rsid wsp:val=&quot;00013880&quot;/&gt;&lt;wsp:rsid wsp:val=&quot;00013AE1&quot;/&gt;&lt;wsp:rsid wsp:val=&quot;0001402C&quot;/&gt;&lt;wsp:rsid wsp:val=&quot;0001605D&quot;/&gt;&lt;wsp:rsid wsp:val=&quot;00016085&quot;/&gt;&lt;wsp:rsid wsp:val=&quot;0001766A&quot;/&gt;&lt;wsp:rsid wsp:val=&quot;0002008B&quot;/&gt;&lt;wsp:rsid wsp:val=&quot;00021914&quot;/&gt;&lt;wsp:rsid wsp:val=&quot;00021CAF&quot;/&gt;&lt;wsp:rsid wsp:val=&quot;00022F80&quot;/&gt;&lt;wsp:rsid wsp:val=&quot;00023538&quot;/&gt;&lt;wsp:rsid wsp:val=&quot;00023C5C&quot;/&gt;&lt;wsp:rsid wsp:val=&quot;00024830&quot;/&gt;&lt;wsp:rsid wsp:val=&quot;00025088&quot;/&gt;&lt;wsp:rsid wsp:val=&quot;00026B04&quot;/&gt;&lt;wsp:rsid wsp:val=&quot;00026F0D&quot;/&gt;&lt;wsp:rsid wsp:val=&quot;00027E3A&quot;/&gt;&lt;wsp:rsid wsp:val=&quot;00031A0B&quot;/&gt;&lt;wsp:rsid wsp:val=&quot;00031E74&quot;/&gt;&lt;wsp:rsid wsp:val=&quot;0003228B&quot;/&gt;&lt;wsp:rsid wsp:val=&quot;0003390A&quot;/&gt;&lt;wsp:rsid wsp:val=&quot;0003704A&quot;/&gt;&lt;wsp:rsid wsp:val=&quot;000375C0&quot;/&gt;&lt;wsp:rsid wsp:val=&quot;00040DC8&quot;/&gt;&lt;wsp:rsid wsp:val=&quot;00044541&quot;/&gt;&lt;wsp:rsid wsp:val=&quot;00044D1C&quot;/&gt;&lt;wsp:rsid wsp:val=&quot;0004565A&quot;/&gt;&lt;wsp:rsid wsp:val=&quot;00045F54&quot;/&gt;&lt;wsp:rsid wsp:val=&quot;00046A17&quot;/&gt;&lt;wsp:rsid wsp:val=&quot;00050531&quot;/&gt;&lt;wsp:rsid wsp:val=&quot;00050A72&quot;/&gt;&lt;wsp:rsid wsp:val=&quot;0005240C&quot;/&gt;&lt;wsp:rsid wsp:val=&quot;0005379D&quot;/&gt;&lt;wsp:rsid wsp:val=&quot;00053A98&quot;/&gt;&lt;wsp:rsid wsp:val=&quot;00055176&quot;/&gt;&lt;wsp:rsid wsp:val=&quot;00057321&quot;/&gt;&lt;wsp:rsid wsp:val=&quot;00060585&quot;/&gt;&lt;wsp:rsid wsp:val=&quot;00061096&quot;/&gt;&lt;wsp:rsid wsp:val=&quot;0006148C&quot;/&gt;&lt;wsp:rsid wsp:val=&quot;00061735&quot;/&gt;&lt;wsp:rsid wsp:val=&quot;00062FDB&quot;/&gt;&lt;wsp:rsid wsp:val=&quot;00063B57&quot;/&gt;&lt;wsp:rsid wsp:val=&quot;00067D3C&quot;/&gt;&lt;wsp:rsid wsp:val=&quot;00070C5D&quot;/&gt;&lt;wsp:rsid wsp:val=&quot;0007168E&quot;/&gt;&lt;wsp:rsid wsp:val=&quot;000719B1&quot;/&gt;&lt;wsp:rsid wsp:val=&quot;00072150&quot;/&gt;&lt;wsp:rsid wsp:val=&quot;00072ABD&quot;/&gt;&lt;wsp:rsid wsp:val=&quot;000741C0&quot;/&gt;&lt;wsp:rsid wsp:val=&quot;000741C1&quot;/&gt;&lt;wsp:rsid wsp:val=&quot;00074929&quot;/&gt;&lt;wsp:rsid wsp:val=&quot;00074E99&quot;/&gt;&lt;wsp:rsid wsp:val=&quot;000755C3&quot;/&gt;&lt;wsp:rsid wsp:val=&quot;00075D8D&quot;/&gt;&lt;wsp:rsid wsp:val=&quot;00076151&quot;/&gt;&lt;wsp:rsid wsp:val=&quot;00076391&quot;/&gt;&lt;wsp:rsid wsp:val=&quot;000767C9&quot;/&gt;&lt;wsp:rsid wsp:val=&quot;00077700&quot;/&gt;&lt;wsp:rsid wsp:val=&quot;00077806&quot;/&gt;&lt;wsp:rsid wsp:val=&quot;00077A28&quot;/&gt;&lt;wsp:rsid wsp:val=&quot;00077F41&quot;/&gt;&lt;wsp:rsid wsp:val=&quot;0008063F&quot;/&gt;&lt;wsp:rsid wsp:val=&quot;00080A57&quot;/&gt;&lt;wsp:rsid wsp:val=&quot;00081E04&quot;/&gt;&lt;wsp:rsid wsp:val=&quot;00081F0E&quot;/&gt;&lt;wsp:rsid wsp:val=&quot;00081F94&quot;/&gt;&lt;wsp:rsid wsp:val=&quot;00082319&quot;/&gt;&lt;wsp:rsid wsp:val=&quot;00083922&quot;/&gt;&lt;wsp:rsid wsp:val=&quot;00083D72&quot;/&gt;&lt;wsp:rsid wsp:val=&quot;000846A6&quot;/&gt;&lt;wsp:rsid wsp:val=&quot;00085EC6&quot;/&gt;&lt;wsp:rsid wsp:val=&quot;00086F76&quot;/&gt;&lt;wsp:rsid wsp:val=&quot;00087E31&quot;/&gt;&lt;wsp:rsid wsp:val=&quot;000910F5&quot;/&gt;&lt;wsp:rsid wsp:val=&quot;00091B41&quot;/&gt;&lt;wsp:rsid wsp:val=&quot;00091EC7&quot;/&gt;&lt;wsp:rsid wsp:val=&quot;0009234F&quot;/&gt;&lt;wsp:rsid wsp:val=&quot;00093A84&quot;/&gt;&lt;wsp:rsid wsp:val=&quot;00094DDA&quot;/&gt;&lt;wsp:rsid wsp:val=&quot;000950B0&quot;/&gt;&lt;wsp:rsid wsp:val=&quot;000966BA&quot;/&gt;&lt;wsp:rsid wsp:val=&quot;00096A76&quot;/&gt;&lt;wsp:rsid wsp:val=&quot;00096BA8&quot;/&gt;&lt;wsp:rsid wsp:val=&quot;00096FF1&quot;/&gt;&lt;wsp:rsid wsp:val=&quot;000A05C4&quot;/&gt;&lt;wsp:rsid wsp:val=&quot;000A0F8A&quot;/&gt;&lt;wsp:rsid wsp:val=&quot;000A1B43&quot;/&gt;&lt;wsp:rsid wsp:val=&quot;000A1E9F&quot;/&gt;&lt;wsp:rsid wsp:val=&quot;000A2197&quot;/&gt;&lt;wsp:rsid wsp:val=&quot;000A287C&quot;/&gt;&lt;wsp:rsid wsp:val=&quot;000A4CFD&quot;/&gt;&lt;wsp:rsid wsp:val=&quot;000A5636&quot;/&gt;&lt;wsp:rsid wsp:val=&quot;000A7675&quot;/&gt;&lt;wsp:rsid wsp:val=&quot;000B080B&quot;/&gt;&lt;wsp:rsid wsp:val=&quot;000B09BE&quot;/&gt;&lt;wsp:rsid wsp:val=&quot;000B156A&quot;/&gt;&lt;wsp:rsid wsp:val=&quot;000B23FF&quot;/&gt;&lt;wsp:rsid wsp:val=&quot;000B2826&quot;/&gt;&lt;wsp:rsid wsp:val=&quot;000B51C1&quot;/&gt;&lt;wsp:rsid wsp:val=&quot;000B5ACD&quot;/&gt;&lt;wsp:rsid wsp:val=&quot;000B5F5B&quot;/&gt;&lt;wsp:rsid wsp:val=&quot;000B6C23&quot;/&gt;&lt;wsp:rsid wsp:val=&quot;000B6C48&quot;/&gt;&lt;wsp:rsid wsp:val=&quot;000B7F41&quot;/&gt;&lt;wsp:rsid wsp:val=&quot;000C1081&quot;/&gt;&lt;wsp:rsid wsp:val=&quot;000C2BE5&quot;/&gt;&lt;wsp:rsid wsp:val=&quot;000C2E9B&quot;/&gt;&lt;wsp:rsid wsp:val=&quot;000C3082&quot;/&gt;&lt;wsp:rsid wsp:val=&quot;000C328D&quot;/&gt;&lt;wsp:rsid wsp:val=&quot;000C647B&quot;/&gt;&lt;wsp:rsid wsp:val=&quot;000C7082&quot;/&gt;&lt;wsp:rsid wsp:val=&quot;000C711F&quot;/&gt;&lt;wsp:rsid wsp:val=&quot;000D05D8&quot;/&gt;&lt;wsp:rsid wsp:val=&quot;000D2DDA&quot;/&gt;&lt;wsp:rsid wsp:val=&quot;000D3169&quot;/&gt;&lt;wsp:rsid wsp:val=&quot;000D3D36&quot;/&gt;&lt;wsp:rsid wsp:val=&quot;000D4200&quot;/&gt;&lt;wsp:rsid wsp:val=&quot;000D6647&quot;/&gt;&lt;wsp:rsid wsp:val=&quot;000E142C&quot;/&gt;&lt;wsp:rsid wsp:val=&quot;000E177A&quot;/&gt;&lt;wsp:rsid wsp:val=&quot;000E2471&quot;/&gt;&lt;wsp:rsid wsp:val=&quot;000E4DBB&quot;/&gt;&lt;wsp:rsid wsp:val=&quot;000E6A06&quot;/&gt;&lt;wsp:rsid wsp:val=&quot;000E6CC6&quot;/&gt;&lt;wsp:rsid wsp:val=&quot;000F27BE&quot;/&gt;&lt;wsp:rsid wsp:val=&quot;000F30B8&quot;/&gt;&lt;wsp:rsid wsp:val=&quot;000F35BF&quot;/&gt;&lt;wsp:rsid wsp:val=&quot;000F447B&quot;/&gt;&lt;wsp:rsid wsp:val=&quot;000F5E7A&quot;/&gt;&lt;wsp:rsid wsp:val=&quot;000F6AC0&quot;/&gt;&lt;wsp:rsid wsp:val=&quot;000F703C&quot;/&gt;&lt;wsp:rsid wsp:val=&quot;000F7B72&quot;/&gt;&lt;wsp:rsid wsp:val=&quot;00100AFF&quot;/&gt;&lt;wsp:rsid wsp:val=&quot;00101199&quot;/&gt;&lt;wsp:rsid wsp:val=&quot;00102063&quot;/&gt;&lt;wsp:rsid wsp:val=&quot;00102C70&quot;/&gt;&lt;wsp:rsid wsp:val=&quot;00102F22&quot;/&gt;&lt;wsp:rsid wsp:val=&quot;00103049&quot;/&gt;&lt;wsp:rsid wsp:val=&quot;00104496&quot;/&gt;&lt;wsp:rsid wsp:val=&quot;00104515&quot;/&gt;&lt;wsp:rsid wsp:val=&quot;00105226&quot;/&gt;&lt;wsp:rsid wsp:val=&quot;00105D5C&quot;/&gt;&lt;wsp:rsid wsp:val=&quot;00105E54&quot;/&gt;&lt;wsp:rsid wsp:val=&quot;001061FE&quot;/&gt;&lt;wsp:rsid wsp:val=&quot;00106E76&quot;/&gt;&lt;wsp:rsid wsp:val=&quot;00107ACA&quot;/&gt;&lt;wsp:rsid wsp:val=&quot;0011012D&quot;/&gt;&lt;wsp:rsid wsp:val=&quot;00112291&quot;/&gt;&lt;wsp:rsid wsp:val=&quot;00112C5D&quot;/&gt;&lt;wsp:rsid wsp:val=&quot;00112FBE&quot;/&gt;&lt;wsp:rsid wsp:val=&quot;00113192&quot;/&gt;&lt;wsp:rsid wsp:val=&quot;0011392C&quot;/&gt;&lt;wsp:rsid wsp:val=&quot;00114044&quot;/&gt;&lt;wsp:rsid wsp:val=&quot;00114E2D&quot;/&gt;&lt;wsp:rsid wsp:val=&quot;00115474&quot;/&gt;&lt;wsp:rsid wsp:val=&quot;001155F2&quot;/&gt;&lt;wsp:rsid wsp:val=&quot;00115DCD&quot;/&gt;&lt;wsp:rsid wsp:val=&quot;0011674F&quot;/&gt;&lt;wsp:rsid wsp:val=&quot;00120E43&quot;/&gt;&lt;wsp:rsid wsp:val=&quot;00121206&quot;/&gt;&lt;wsp:rsid wsp:val=&quot;001217CB&quot;/&gt;&lt;wsp:rsid wsp:val=&quot;00121850&quot;/&gt;&lt;wsp:rsid wsp:val=&quot;00123107&quot;/&gt;&lt;wsp:rsid wsp:val=&quot;0012394A&quot;/&gt;&lt;wsp:rsid wsp:val=&quot;00124544&quot;/&gt;&lt;wsp:rsid wsp:val=&quot;001256AC&quot;/&gt;&lt;wsp:rsid wsp:val=&quot;00126858&quot;/&gt;&lt;wsp:rsid wsp:val=&quot;00131360&quot;/&gt;&lt;wsp:rsid wsp:val=&quot;0013230D&quot;/&gt;&lt;wsp:rsid wsp:val=&quot;00133ADE&quot;/&gt;&lt;wsp:rsid wsp:val=&quot;001350D5&quot;/&gt;&lt;wsp:rsid wsp:val=&quot;001355BF&quot;/&gt;&lt;wsp:rsid wsp:val=&quot;001364C8&quot;/&gt;&lt;wsp:rsid wsp:val=&quot;001371ED&quot;/&gt;&lt;wsp:rsid wsp:val=&quot;001412A9&quot;/&gt;&lt;wsp:rsid wsp:val=&quot;00141B7A&quot;/&gt;&lt;wsp:rsid wsp:val=&quot;00142A5E&quot;/&gt;&lt;wsp:rsid wsp:val=&quot;00142E5F&quot;/&gt;&lt;wsp:rsid wsp:val=&quot;00143C6F&quot;/&gt;&lt;wsp:rsid wsp:val=&quot;0014405F&quot;/&gt;&lt;wsp:rsid wsp:val=&quot;00144BBF&quot;/&gt;&lt;wsp:rsid wsp:val=&quot;00144ED5&quot;/&gt;&lt;wsp:rsid wsp:val=&quot;0014601B&quot;/&gt;&lt;wsp:rsid wsp:val=&quot;001468F0&quot;/&gt;&lt;wsp:rsid wsp:val=&quot;00147479&quot;/&gt;&lt;wsp:rsid wsp:val=&quot;00150511&quot;/&gt;&lt;wsp:rsid wsp:val=&quot;0015082D&quot;/&gt;&lt;wsp:rsid wsp:val=&quot;001519A9&quot;/&gt;&lt;wsp:rsid wsp:val=&quot;001549EC&quot;/&gt;&lt;wsp:rsid wsp:val=&quot;00154ACD&quot;/&gt;&lt;wsp:rsid wsp:val=&quot;00154EA1&quot;/&gt;&lt;wsp:rsid wsp:val=&quot;00155D8C&quot;/&gt;&lt;wsp:rsid wsp:val=&quot;00155EDF&quot;/&gt;&lt;wsp:rsid wsp:val=&quot;0015625C&quot;/&gt;&lt;wsp:rsid wsp:val=&quot;001623F7&quot;/&gt;&lt;wsp:rsid wsp:val=&quot;00162C1A&quot;/&gt;&lt;wsp:rsid wsp:val=&quot;00164E04&quot;/&gt;&lt;wsp:rsid wsp:val=&quot;00165186&quot;/&gt;&lt;wsp:rsid wsp:val=&quot;00165AD7&quot;/&gt;&lt;wsp:rsid wsp:val=&quot;00165FCB&quot;/&gt;&lt;wsp:rsid wsp:val=&quot;001666D1&quot;/&gt;&lt;wsp:rsid wsp:val=&quot;0016672F&quot;/&gt;&lt;wsp:rsid wsp:val=&quot;001669D7&quot;/&gt;&lt;wsp:rsid wsp:val=&quot;00171176&quot;/&gt;&lt;wsp:rsid wsp:val=&quot;00171811&quot;/&gt;&lt;wsp:rsid wsp:val=&quot;00171EE5&quot;/&gt;&lt;wsp:rsid wsp:val=&quot;001720E3&quot;/&gt;&lt;wsp:rsid wsp:val=&quot;00174D1A&quot;/&gt;&lt;wsp:rsid wsp:val=&quot;00176CCD&quot;/&gt;&lt;wsp:rsid wsp:val=&quot;00177742&quot;/&gt;&lt;wsp:rsid wsp:val=&quot;001779EC&quot;/&gt;&lt;wsp:rsid wsp:val=&quot;001816E5&quot;/&gt;&lt;wsp:rsid wsp:val=&quot;0018258C&quot;/&gt;&lt;wsp:rsid wsp:val=&quot;00182617&quot;/&gt;&lt;wsp:rsid wsp:val=&quot;00182B6B&quot;/&gt;&lt;wsp:rsid wsp:val=&quot;00185322&quot;/&gt;&lt;wsp:rsid wsp:val=&quot;001857B6&quot;/&gt;&lt;wsp:rsid wsp:val=&quot;00192451&quot;/&gt;&lt;wsp:rsid wsp:val=&quot;001942CF&quot;/&gt;&lt;wsp:rsid wsp:val=&quot;00194BAE&quot;/&gt;&lt;wsp:rsid wsp:val=&quot;00196417&quot;/&gt;&lt;wsp:rsid wsp:val=&quot;0019799F&quot;/&gt;&lt;wsp:rsid wsp:val=&quot;001A0AFB&quot;/&gt;&lt;wsp:rsid wsp:val=&quot;001A1130&quot;/&gt;&lt;wsp:rsid wsp:val=&quot;001A153E&quot;/&gt;&lt;wsp:rsid wsp:val=&quot;001A15D9&quot;/&gt;&lt;wsp:rsid wsp:val=&quot;001A1BB5&quot;/&gt;&lt;wsp:rsid wsp:val=&quot;001A1BB6&quot;/&gt;&lt;wsp:rsid wsp:val=&quot;001A2DB9&quot;/&gt;&lt;wsp:rsid wsp:val=&quot;001A3118&quot;/&gt;&lt;wsp:rsid wsp:val=&quot;001A393F&quot;/&gt;&lt;wsp:rsid wsp:val=&quot;001A3A4D&quot;/&gt;&lt;wsp:rsid wsp:val=&quot;001A4512&quot;/&gt;&lt;wsp:rsid wsp:val=&quot;001A680A&quot;/&gt;&lt;wsp:rsid wsp:val=&quot;001A72B3&quot;/&gt;&lt;wsp:rsid wsp:val=&quot;001B040D&quot;/&gt;&lt;wsp:rsid wsp:val=&quot;001B04E9&quot;/&gt;&lt;wsp:rsid wsp:val=&quot;001B2801&quot;/&gt;&lt;wsp:rsid wsp:val=&quot;001B358B&quot;/&gt;&lt;wsp:rsid wsp:val=&quot;001B3CE7&quot;/&gt;&lt;wsp:rsid wsp:val=&quot;001B3EB1&quot;/&gt;&lt;wsp:rsid wsp:val=&quot;001B485A&quot;/&gt;&lt;wsp:rsid wsp:val=&quot;001B5319&quot;/&gt;&lt;wsp:rsid wsp:val=&quot;001B5CF0&quot;/&gt;&lt;wsp:rsid wsp:val=&quot;001B7B6F&quot;/&gt;&lt;wsp:rsid wsp:val=&quot;001C3905&quot;/&gt;&lt;wsp:rsid wsp:val=&quot;001C4D44&quot;/&gt;&lt;wsp:rsid wsp:val=&quot;001C4DDA&quot;/&gt;&lt;wsp:rsid wsp:val=&quot;001C4E81&quot;/&gt;&lt;wsp:rsid wsp:val=&quot;001C6395&quot;/&gt;&lt;wsp:rsid wsp:val=&quot;001C661B&quot;/&gt;&lt;wsp:rsid wsp:val=&quot;001C6BA8&quot;/&gt;&lt;wsp:rsid wsp:val=&quot;001C73A1&quot;/&gt;&lt;wsp:rsid wsp:val=&quot;001D1CBF&quot;/&gt;&lt;wsp:rsid wsp:val=&quot;001D295E&quot;/&gt;&lt;wsp:rsid wsp:val=&quot;001D2C5A&quot;/&gt;&lt;wsp:rsid wsp:val=&quot;001D2DAB&quot;/&gt;&lt;wsp:rsid wsp:val=&quot;001D39A0&quot;/&gt;&lt;wsp:rsid wsp:val=&quot;001D54EE&quot;/&gt;&lt;wsp:rsid wsp:val=&quot;001D5C1C&quot;/&gt;&lt;wsp:rsid wsp:val=&quot;001D64C9&quot;/&gt;&lt;wsp:rsid wsp:val=&quot;001D6751&quot;/&gt;&lt;wsp:rsid wsp:val=&quot;001D6B7B&quot;/&gt;&lt;wsp:rsid wsp:val=&quot;001D6F5B&quot;/&gt;&lt;wsp:rsid wsp:val=&quot;001E308D&quot;/&gt;&lt;wsp:rsid wsp:val=&quot;001E3538&quot;/&gt;&lt;wsp:rsid wsp:val=&quot;001E52FF&quot;/&gt;&lt;wsp:rsid wsp:val=&quot;001E5CFE&quot;/&gt;&lt;wsp:rsid wsp:val=&quot;001E61E4&quot;/&gt;&lt;wsp:rsid wsp:val=&quot;001E70ED&quot;/&gt;&lt;wsp:rsid wsp:val=&quot;001F1B27&quot;/&gt;&lt;wsp:rsid wsp:val=&quot;001F28CC&quot;/&gt;&lt;wsp:rsid wsp:val=&quot;001F39BB&quot;/&gt;&lt;wsp:rsid wsp:val=&quot;001F4883&quot;/&gt;&lt;wsp:rsid wsp:val=&quot;001F540D&quot;/&gt;&lt;wsp:rsid wsp:val=&quot;001F5516&quot;/&gt;&lt;wsp:rsid wsp:val=&quot;001F55EB&quot;/&gt;&lt;wsp:rsid wsp:val=&quot;001F702E&quot;/&gt;&lt;wsp:rsid wsp:val=&quot;001F7ACA&quot;/&gt;&lt;wsp:rsid wsp:val=&quot;001F7C9B&quot;/&gt;&lt;wsp:rsid wsp:val=&quot;00200D6B&quot;/&gt;&lt;wsp:rsid wsp:val=&quot;002013D7&quot;/&gt;&lt;wsp:rsid wsp:val=&quot;002015C1&quot;/&gt;&lt;wsp:rsid wsp:val=&quot;00201835&quot;/&gt;&lt;wsp:rsid wsp:val=&quot;00201846&quot;/&gt;&lt;wsp:rsid wsp:val=&quot;002019A9&quot;/&gt;&lt;wsp:rsid wsp:val=&quot;00201AFB&quot;/&gt;&lt;wsp:rsid wsp:val=&quot;00201E89&quot;/&gt;&lt;wsp:rsid wsp:val=&quot;00204619&quot;/&gt;&lt;wsp:rsid wsp:val=&quot;00205238&quot;/&gt;&lt;wsp:rsid wsp:val=&quot;00210A3E&quot;/&gt;&lt;wsp:rsid wsp:val=&quot;00210DA6&quot;/&gt;&lt;wsp:rsid wsp:val=&quot;00211755&quot;/&gt;&lt;wsp:rsid wsp:val=&quot;00213236&quot;/&gt;&lt;wsp:rsid wsp:val=&quot;00213CF0&quot;/&gt;&lt;wsp:rsid wsp:val=&quot;00213D5B&quot;/&gt;&lt;wsp:rsid wsp:val=&quot;0021498D&quot;/&gt;&lt;wsp:rsid wsp:val=&quot;0021547B&quot;/&gt;&lt;wsp:rsid wsp:val=&quot;00215834&quot;/&gt;&lt;wsp:rsid wsp:val=&quot;0021751D&quot;/&gt;&lt;wsp:rsid wsp:val=&quot;00220C53&quot;/&gt;&lt;wsp:rsid wsp:val=&quot;00220E6F&quot;/&gt;&lt;wsp:rsid wsp:val=&quot;0022239C&quot;/&gt;&lt;wsp:rsid wsp:val=&quot;00223318&quot;/&gt;&lt;wsp:rsid wsp:val=&quot;002237A5&quot;/&gt;&lt;wsp:rsid wsp:val=&quot;00223FEC&quot;/&gt;&lt;wsp:rsid wsp:val=&quot;00224979&quot;/&gt;&lt;wsp:rsid wsp:val=&quot;00224C86&quot;/&gt;&lt;wsp:rsid wsp:val=&quot;002252CA&quot;/&gt;&lt;wsp:rsid wsp:val=&quot;0022682B&quot;/&gt;&lt;wsp:rsid wsp:val=&quot;002270BA&quot;/&gt;&lt;wsp:rsid wsp:val=&quot;00227270&quot;/&gt;&lt;wsp:rsid wsp:val=&quot;0022759E&quot;/&gt;&lt;wsp:rsid wsp:val=&quot;00227850&quot;/&gt;&lt;wsp:rsid wsp:val=&quot;00231C1E&quot;/&gt;&lt;wsp:rsid wsp:val=&quot;00231DA7&quot;/&gt;&lt;wsp:rsid wsp:val=&quot;002320D8&quot;/&gt;&lt;wsp:rsid wsp:val=&quot;00233180&quot;/&gt;&lt;wsp:rsid wsp:val=&quot;00233B5C&quot;/&gt;&lt;wsp:rsid wsp:val=&quot;002350F2&quot;/&gt;&lt;wsp:rsid wsp:val=&quot;00235331&quot;/&gt;&lt;wsp:rsid wsp:val=&quot;00235660&quot;/&gt;&lt;wsp:rsid wsp:val=&quot;00237D0C&quot;/&gt;&lt;wsp:rsid wsp:val=&quot;00240172&quot;/&gt;&lt;wsp:rsid wsp:val=&quot;002404B5&quot;/&gt;&lt;wsp:rsid wsp:val=&quot;002406E0&quot;/&gt;&lt;wsp:rsid wsp:val=&quot;002431D8&quot;/&gt;&lt;wsp:rsid wsp:val=&quot;00243448&quot;/&gt;&lt;wsp:rsid wsp:val=&quot;00243740&quot;/&gt;&lt;wsp:rsid wsp:val=&quot;00245145&quot;/&gt;&lt;wsp:rsid wsp:val=&quot;002458C6&quot;/&gt;&lt;wsp:rsid wsp:val=&quot;00245B3C&quot;/&gt;&lt;wsp:rsid wsp:val=&quot;00247123&quot;/&gt;&lt;wsp:rsid wsp:val=&quot;002474D3&quot;/&gt;&lt;wsp:rsid wsp:val=&quot;002475BA&quot;/&gt;&lt;wsp:rsid wsp:val=&quot;00247B09&quot;/&gt;&lt;wsp:rsid wsp:val=&quot;002505D4&quot;/&gt;&lt;wsp:rsid wsp:val=&quot;002509AF&quot;/&gt;&lt;wsp:rsid wsp:val=&quot;00250B16&quot;/&gt;&lt;wsp:rsid wsp:val=&quot;002518A4&quot;/&gt;&lt;wsp:rsid wsp:val=&quot;00251B46&quot;/&gt;&lt;wsp:rsid wsp:val=&quot;00252622&quot;/&gt;&lt;wsp:rsid wsp:val=&quot;00252D82&quot;/&gt;&lt;wsp:rsid wsp:val=&quot;0025388C&quot;/&gt;&lt;wsp:rsid wsp:val=&quot;00254422&quot;/&gt;&lt;wsp:rsid wsp:val=&quot;0025480F&quot;/&gt;&lt;wsp:rsid wsp:val=&quot;002569DD&quot;/&gt;&lt;wsp:rsid wsp:val=&quot;00256BFD&quot;/&gt;&lt;wsp:rsid wsp:val=&quot;00257C2B&quot;/&gt;&lt;wsp:rsid wsp:val=&quot;00260C81&quot;/&gt;&lt;wsp:rsid wsp:val=&quot;00261054&quot;/&gt;&lt;wsp:rsid wsp:val=&quot;00261C58&quot;/&gt;&lt;wsp:rsid wsp:val=&quot;002644EB&quot;/&gt;&lt;wsp:rsid wsp:val=&quot;00265292&quot;/&gt;&lt;wsp:rsid wsp:val=&quot;00267EA1&quot;/&gt;&lt;wsp:rsid wsp:val=&quot;00271387&quot;/&gt;&lt;wsp:rsid wsp:val=&quot;002713ED&quot;/&gt;&lt;wsp:rsid wsp:val=&quot;00273030&quot;/&gt;&lt;wsp:rsid wsp:val=&quot;002749FE&quot;/&gt;&lt;wsp:rsid wsp:val=&quot;00274C0A&quot;/&gt;&lt;wsp:rsid wsp:val=&quot;002754F2&quot;/&gt;&lt;wsp:rsid wsp:val=&quot;00275F17&quot;/&gt;&lt;wsp:rsid wsp:val=&quot;0027710E&quot;/&gt;&lt;wsp:rsid wsp:val=&quot;002771B7&quot;/&gt;&lt;wsp:rsid wsp:val=&quot;002774B3&quot;/&gt;&lt;wsp:rsid wsp:val=&quot;002802C3&quot;/&gt;&lt;wsp:rsid wsp:val=&quot;00280D81&quot;/&gt;&lt;wsp:rsid wsp:val=&quot;00280E7D&quot;/&gt;&lt;wsp:rsid wsp:val=&quot;00281898&quot;/&gt;&lt;wsp:rsid wsp:val=&quot;00281DFF&quot;/&gt;&lt;wsp:rsid wsp:val=&quot;002829FA&quot;/&gt;&lt;wsp:rsid wsp:val=&quot;00282A07&quot;/&gt;&lt;wsp:rsid wsp:val=&quot;00283441&quot;/&gt;&lt;wsp:rsid wsp:val=&quot;002838ED&quot;/&gt;&lt;wsp:rsid wsp:val=&quot;00284589&quot;/&gt;&lt;wsp:rsid wsp:val=&quot;002852BB&quot;/&gt;&lt;wsp:rsid wsp:val=&quot;00286015&quot;/&gt;&lt;wsp:rsid wsp:val=&quot;002870E4&quot;/&gt;&lt;wsp:rsid wsp:val=&quot;00287A22&quot;/&gt;&lt;wsp:rsid wsp:val=&quot;00287D31&quot;/&gt;&lt;wsp:rsid wsp:val=&quot;00290249&quot;/&gt;&lt;wsp:rsid wsp:val=&quot;002907CA&quot;/&gt;&lt;wsp:rsid wsp:val=&quot;0029094F&quot;/&gt;&lt;wsp:rsid wsp:val=&quot;00291491&quot;/&gt;&lt;wsp:rsid wsp:val=&quot;00293499&quot;/&gt;&lt;wsp:rsid wsp:val=&quot;00295542&quot;/&gt;&lt;wsp:rsid wsp:val=&quot;00295568&quot;/&gt;&lt;wsp:rsid wsp:val=&quot;00297713&quot;/&gt;&lt;wsp:rsid wsp:val=&quot;002A049C&quot;/&gt;&lt;wsp:rsid wsp:val=&quot;002A06CE&quot;/&gt;&lt;wsp:rsid wsp:val=&quot;002A1353&quot;/&gt;&lt;wsp:rsid wsp:val=&quot;002A2549&quot;/&gt;&lt;wsp:rsid wsp:val=&quot;002A3F53&quot;/&gt;&lt;wsp:rsid wsp:val=&quot;002A4C13&quot;/&gt;&lt;wsp:rsid wsp:val=&quot;002A531D&quot;/&gt;&lt;wsp:rsid wsp:val=&quot;002A5C35&quot;/&gt;&lt;wsp:rsid wsp:val=&quot;002A7E0E&quot;/&gt;&lt;wsp:rsid wsp:val=&quot;002B007A&quot;/&gt;&lt;wsp:rsid wsp:val=&quot;002B097C&quot;/&gt;&lt;wsp:rsid wsp:val=&quot;002B0B1B&quot;/&gt;&lt;wsp:rsid wsp:val=&quot;002B190B&quot;/&gt;&lt;wsp:rsid wsp:val=&quot;002B2259&quot;/&gt;&lt;wsp:rsid wsp:val=&quot;002B2714&quot;/&gt;&lt;wsp:rsid wsp:val=&quot;002B28F9&quot;/&gt;&lt;wsp:rsid wsp:val=&quot;002B2B25&quot;/&gt;&lt;wsp:rsid wsp:val=&quot;002B31E7&quot;/&gt;&lt;wsp:rsid wsp:val=&quot;002B415E&quot;/&gt;&lt;wsp:rsid wsp:val=&quot;002B4A27&quot;/&gt;&lt;wsp:rsid wsp:val=&quot;002B6362&quot;/&gt;&lt;wsp:rsid wsp:val=&quot;002B6836&quot;/&gt;&lt;wsp:rsid wsp:val=&quot;002B74C9&quot;/&gt;&lt;wsp:rsid wsp:val=&quot;002C1072&quot;/&gt;&lt;wsp:rsid wsp:val=&quot;002C155F&quot;/&gt;&lt;wsp:rsid wsp:val=&quot;002C27C8&quot;/&gt;&lt;wsp:rsid wsp:val=&quot;002C3EED&quot;/&gt;&lt;wsp:rsid wsp:val=&quot;002C40A6&quot;/&gt;&lt;wsp:rsid wsp:val=&quot;002C4BE9&quot;/&gt;&lt;wsp:rsid wsp:val=&quot;002C508E&quot;/&gt;&lt;wsp:rsid wsp:val=&quot;002C6958&quot;/&gt;&lt;wsp:rsid wsp:val=&quot;002C6D25&quot;/&gt;&lt;wsp:rsid wsp:val=&quot;002D0E11&quot;/&gt;&lt;wsp:rsid wsp:val=&quot;002D1B76&quot;/&gt;&lt;wsp:rsid wsp:val=&quot;002D2F5A&quot;/&gt;&lt;wsp:rsid wsp:val=&quot;002D3578&quot;/&gt;&lt;wsp:rsid wsp:val=&quot;002D38BF&quot;/&gt;&lt;wsp:rsid wsp:val=&quot;002D4F24&quot;/&gt;&lt;wsp:rsid wsp:val=&quot;002D595D&quot;/&gt;&lt;wsp:rsid wsp:val=&quot;002D6474&quot;/&gt;&lt;wsp:rsid wsp:val=&quot;002D6F28&quot;/&gt;&lt;wsp:rsid wsp:val=&quot;002E064B&quot;/&gt;&lt;wsp:rsid wsp:val=&quot;002E097F&quot;/&gt;&lt;wsp:rsid wsp:val=&quot;002E1247&quot;/&gt;&lt;wsp:rsid wsp:val=&quot;002E1568&quot;/&gt;&lt;wsp:rsid wsp:val=&quot;002E1982&quot;/&gt;&lt;wsp:rsid wsp:val=&quot;002E3030&quot;/&gt;&lt;wsp:rsid wsp:val=&quot;002E436A&quot;/&gt;&lt;wsp:rsid wsp:val=&quot;002E584F&quot;/&gt;&lt;wsp:rsid wsp:val=&quot;002E5865&quot;/&gt;&lt;wsp:rsid wsp:val=&quot;002E7722&quot;/&gt;&lt;wsp:rsid wsp:val=&quot;002E77FF&quot;/&gt;&lt;wsp:rsid wsp:val=&quot;002E7D51&quot;/&gt;&lt;wsp:rsid wsp:val=&quot;002F09BF&quot;/&gt;&lt;wsp:rsid wsp:val=&quot;002F25DE&quot;/&gt;&lt;wsp:rsid wsp:val=&quot;002F2A1E&quot;/&gt;&lt;wsp:rsid wsp:val=&quot;002F2D5B&quot;/&gt;&lt;wsp:rsid wsp:val=&quot;002F6FA1&quot;/&gt;&lt;wsp:rsid wsp:val=&quot;002F760A&quot;/&gt;&lt;wsp:rsid wsp:val=&quot;002F7DB9&quot;/&gt;&lt;wsp:rsid wsp:val=&quot;0030012C&quot;/&gt;&lt;wsp:rsid wsp:val=&quot;00301CCC&quot;/&gt;&lt;wsp:rsid wsp:val=&quot;00302229&quot;/&gt;&lt;wsp:rsid wsp:val=&quot;00303473&quot;/&gt;&lt;wsp:rsid wsp:val=&quot;0030348C&quot;/&gt;&lt;wsp:rsid wsp:val=&quot;003040C3&quot;/&gt;&lt;wsp:rsid wsp:val=&quot;00304A9C&quot;/&gt;&lt;wsp:rsid wsp:val=&quot;00305CE9&quot;/&gt;&lt;wsp:rsid wsp:val=&quot;00305D87&quot;/&gt;&lt;wsp:rsid wsp:val=&quot;0030780A&quot;/&gt;&lt;wsp:rsid wsp:val=&quot;00307CB8&quot;/&gt;&lt;wsp:rsid wsp:val=&quot;00307D84&quot;/&gt;&lt;wsp:rsid wsp:val=&quot;00307E6D&quot;/&gt;&lt;wsp:rsid wsp:val=&quot;00310CA9&quot;/&gt;&lt;wsp:rsid wsp:val=&quot;003118E9&quot;/&gt;&lt;wsp:rsid wsp:val=&quot;003121C5&quot;/&gt;&lt;wsp:rsid wsp:val=&quot;003121EA&quot;/&gt;&lt;wsp:rsid wsp:val=&quot;00312447&quot;/&gt;&lt;wsp:rsid wsp:val=&quot;00312620&quot;/&gt;&lt;wsp:rsid wsp:val=&quot;00312DA6&quot;/&gt;&lt;wsp:rsid wsp:val=&quot;00315ABE&quot;/&gt;&lt;wsp:rsid wsp:val=&quot;00315F41&quot;/&gt;&lt;wsp:rsid wsp:val=&quot;00316AC6&quot;/&gt;&lt;wsp:rsid wsp:val=&quot;00316DA7&quot;/&gt;&lt;wsp:rsid wsp:val=&quot;00317441&quot;/&gt;&lt;wsp:rsid wsp:val=&quot;00320C62&quot;/&gt;&lt;wsp:rsid wsp:val=&quot;003211A2&quot;/&gt;&lt;wsp:rsid wsp:val=&quot;00321527&quot;/&gt;&lt;wsp:rsid wsp:val=&quot;00321E29&quot;/&gt;&lt;wsp:rsid wsp:val=&quot;00322B92&quot;/&gt;&lt;wsp:rsid wsp:val=&quot;003238FE&quot;/&gt;&lt;wsp:rsid wsp:val=&quot;00323C2C&quot;/&gt;&lt;wsp:rsid wsp:val=&quot;00323FEA&quot;/&gt;&lt;wsp:rsid wsp:val=&quot;00324530&quot;/&gt;&lt;wsp:rsid wsp:val=&quot;003248AF&quot;/&gt;&lt;wsp:rsid wsp:val=&quot;0032550D&quot;/&gt;&lt;wsp:rsid wsp:val=&quot;00325565&quot;/&gt;&lt;wsp:rsid wsp:val=&quot;003263E9&quot;/&gt;&lt;wsp:rsid wsp:val=&quot;00326446&quot;/&gt;&lt;wsp:rsid wsp:val=&quot;00326FF0&quot;/&gt;&lt;wsp:rsid wsp:val=&quot;00330697&quot;/&gt;&lt;wsp:rsid wsp:val=&quot;003307AA&quot;/&gt;&lt;wsp:rsid wsp:val=&quot;00331960&quot;/&gt;&lt;wsp:rsid wsp:val=&quot;00333038&quot;/&gt;&lt;wsp:rsid wsp:val=&quot;0033317C&quot;/&gt;&lt;wsp:rsid wsp:val=&quot;00333EDF&quot;/&gt;&lt;wsp:rsid wsp:val=&quot;00334282&quot;/&gt;&lt;wsp:rsid wsp:val=&quot;00334B6C&quot;/&gt;&lt;wsp:rsid wsp:val=&quot;00335330&quot;/&gt;&lt;wsp:rsid wsp:val=&quot;00335D07&quot;/&gt;&lt;wsp:rsid wsp:val=&quot;0033688C&quot;/&gt;&lt;wsp:rsid wsp:val=&quot;00340458&quot;/&gt;&lt;wsp:rsid wsp:val=&quot;0034135F&quot;/&gt;&lt;wsp:rsid wsp:val=&quot;003415FC&quot;/&gt;&lt;wsp:rsid wsp:val=&quot;00342339&quot;/&gt;&lt;wsp:rsid wsp:val=&quot;003424FF&quot;/&gt;&lt;wsp:rsid wsp:val=&quot;00342A3F&quot;/&gt;&lt;wsp:rsid wsp:val=&quot;00343E47&quot;/&gt;&lt;wsp:rsid wsp:val=&quot;003444FA&quot;/&gt;&lt;wsp:rsid wsp:val=&quot;003446CB&quot;/&gt;&lt;wsp:rsid wsp:val=&quot;00344F8C&quot;/&gt;&lt;wsp:rsid wsp:val=&quot;00345017&quot;/&gt;&lt;wsp:rsid wsp:val=&quot;00345363&quot;/&gt;&lt;wsp:rsid wsp:val=&quot;00346DE1&quot;/&gt;&lt;wsp:rsid wsp:val=&quot;00347054&quot;/&gt;&lt;wsp:rsid wsp:val=&quot;003476B6&quot;/&gt;&lt;wsp:rsid wsp:val=&quot;00347B6D&quot;/&gt;&lt;wsp:rsid wsp:val=&quot;00347E66&quot;/&gt;&lt;wsp:rsid wsp:val=&quot;00350E91&quot;/&gt;&lt;wsp:rsid wsp:val=&quot;00351035&quot;/&gt;&lt;wsp:rsid wsp:val=&quot;00351447&quot;/&gt;&lt;wsp:rsid wsp:val=&quot;00352460&quot;/&gt;&lt;wsp:rsid wsp:val=&quot;0035327E&quot;/&gt;&lt;wsp:rsid wsp:val=&quot;003535E3&quot;/&gt;&lt;wsp:rsid wsp:val=&quot;00353B33&quot;/&gt;&lt;wsp:rsid wsp:val=&quot;00353FE8&quot;/&gt;&lt;wsp:rsid wsp:val=&quot;003544F2&quot;/&gt;&lt;wsp:rsid wsp:val=&quot;003566DB&quot;/&gt;&lt;wsp:rsid wsp:val=&quot;00356853&quot;/&gt;&lt;wsp:rsid wsp:val=&quot;00356B36&quot;/&gt;&lt;wsp:rsid wsp:val=&quot;00356C44&quot;/&gt;&lt;wsp:rsid wsp:val=&quot;00357E87&quot;/&gt;&lt;wsp:rsid wsp:val=&quot;00360D4B&quot;/&gt;&lt;wsp:rsid wsp:val=&quot;00364DEC&quot;/&gt;&lt;wsp:rsid wsp:val=&quot;003651BB&quot;/&gt;&lt;wsp:rsid wsp:val=&quot;00366364&quot;/&gt;&lt;wsp:rsid wsp:val=&quot;00370432&quot;/&gt;&lt;wsp:rsid wsp:val=&quot;0037137E&quot;/&gt;&lt;wsp:rsid wsp:val=&quot;00372825&quot;/&gt;&lt;wsp:rsid wsp:val=&quot;003729C0&quot;/&gt;&lt;wsp:rsid wsp:val=&quot;00373832&quot;/&gt;&lt;wsp:rsid wsp:val=&quot;00374615&quot;/&gt;&lt;wsp:rsid wsp:val=&quot;00374743&quot;/&gt;&lt;wsp:rsid wsp:val=&quot;00375012&quot;/&gt;&lt;wsp:rsid wsp:val=&quot;003765BD&quot;/&gt;&lt;wsp:rsid wsp:val=&quot;003768F7&quot;/&gt;&lt;wsp:rsid wsp:val=&quot;00376B75&quot;/&gt;&lt;wsp:rsid wsp:val=&quot;00376BC3&quot;/&gt;&lt;wsp:rsid wsp:val=&quot;00376D23&quot;/&gt;&lt;wsp:rsid wsp:val=&quot;003776DB&quot;/&gt;&lt;wsp:rsid wsp:val=&quot;003800CD&quot;/&gt;&lt;wsp:rsid wsp:val=&quot;0038024D&quot;/&gt;&lt;wsp:rsid wsp:val=&quot;003809D3&quot;/&gt;&lt;wsp:rsid wsp:val=&quot;0038207B&quot;/&gt;&lt;wsp:rsid wsp:val=&quot;00383563&quot;/&gt;&lt;wsp:rsid wsp:val=&quot;003841EB&quot;/&gt;&lt;wsp:rsid wsp:val=&quot;0038427C&quot;/&gt;&lt;wsp:rsid wsp:val=&quot;003843B7&quot;/&gt;&lt;wsp:rsid wsp:val=&quot;00384E6F&quot;/&gt;&lt;wsp:rsid wsp:val=&quot;003850E3&quot;/&gt;&lt;wsp:rsid wsp:val=&quot;0038510E&quot;/&gt;&lt;wsp:rsid wsp:val=&quot;00386480&quot;/&gt;&lt;wsp:rsid wsp:val=&quot;00387669&quot;/&gt;&lt;wsp:rsid wsp:val=&quot;00387C00&quot;/&gt;&lt;wsp:rsid wsp:val=&quot;00387C50&quot;/&gt;&lt;wsp:rsid wsp:val=&quot;00387D0C&quot;/&gt;&lt;wsp:rsid wsp:val=&quot;003901F2&quot;/&gt;&lt;wsp:rsid wsp:val=&quot;0039020A&quot;/&gt;&lt;wsp:rsid wsp:val=&quot;00391019&quot;/&gt;&lt;wsp:rsid wsp:val=&quot;003920F2&quot;/&gt;&lt;wsp:rsid wsp:val=&quot;00393450&quot;/&gt;&lt;wsp:rsid wsp:val=&quot;00395768&quot;/&gt;&lt;wsp:rsid wsp:val=&quot;00395809&quot;/&gt;&lt;wsp:rsid wsp:val=&quot;0039618D&quot;/&gt;&lt;wsp:rsid wsp:val=&quot;00396710&quot;/&gt;&lt;wsp:rsid wsp:val=&quot;00396B76&quot;/&gt;&lt;wsp:rsid wsp:val=&quot;003A0371&quot;/&gt;&lt;wsp:rsid wsp:val=&quot;003A1E31&quot;/&gt;&lt;wsp:rsid wsp:val=&quot;003A3CDC&quot;/&gt;&lt;wsp:rsid wsp:val=&quot;003A52A6&quot;/&gt;&lt;wsp:rsid wsp:val=&quot;003A54A8&quot;/&gt;&lt;wsp:rsid wsp:val=&quot;003A5650&quot;/&gt;&lt;wsp:rsid wsp:val=&quot;003A5C9E&quot;/&gt;&lt;wsp:rsid wsp:val=&quot;003A7FEE&quot;/&gt;&lt;wsp:rsid wsp:val=&quot;003B32DB&quot;/&gt;&lt;wsp:rsid wsp:val=&quot;003B3E3E&quot;/&gt;&lt;wsp:rsid wsp:val=&quot;003B4BBB&quot;/&gt;&lt;wsp:rsid wsp:val=&quot;003B5107&quot;/&gt;&lt;wsp:rsid wsp:val=&quot;003B526F&quot;/&gt;&lt;wsp:rsid wsp:val=&quot;003B5D38&quot;/&gt;&lt;wsp:rsid wsp:val=&quot;003B7E39&quot;/&gt;&lt;wsp:rsid wsp:val=&quot;003C2A11&quot;/&gt;&lt;wsp:rsid wsp:val=&quot;003C4179&quot;/&gt;&lt;wsp:rsid wsp:val=&quot;003C41D3&quot;/&gt;&lt;wsp:rsid wsp:val=&quot;003C4491&quot;/&gt;&lt;wsp:rsid wsp:val=&quot;003C4AB8&quot;/&gt;&lt;wsp:rsid wsp:val=&quot;003C4CDC&quot;/&gt;&lt;wsp:rsid wsp:val=&quot;003C4EC3&quot;/&gt;&lt;wsp:rsid wsp:val=&quot;003C4FE6&quot;/&gt;&lt;wsp:rsid wsp:val=&quot;003C53DE&quot;/&gt;&lt;wsp:rsid wsp:val=&quot;003C57D7&quot;/&gt;&lt;wsp:rsid wsp:val=&quot;003C65E8&quot;/&gt;&lt;wsp:rsid wsp:val=&quot;003C6F15&quot;/&gt;&lt;wsp:rsid wsp:val=&quot;003D1B29&quot;/&gt;&lt;wsp:rsid wsp:val=&quot;003D1F8B&quot;/&gt;&lt;wsp:rsid wsp:val=&quot;003D28D8&quot;/&gt;&lt;wsp:rsid wsp:val=&quot;003D2A76&quot;/&gt;&lt;wsp:rsid wsp:val=&quot;003D2ACA&quot;/&gt;&lt;wsp:rsid wsp:val=&quot;003D34F5&quot;/&gt;&lt;wsp:rsid wsp:val=&quot;003D6159&quot;/&gt;&lt;wsp:rsid wsp:val=&quot;003D76A3&quot;/&gt;&lt;wsp:rsid wsp:val=&quot;003E143A&quot;/&gt;&lt;wsp:rsid wsp:val=&quot;003E28D4&quot;/&gt;&lt;wsp:rsid wsp:val=&quot;003E30BA&quot;/&gt;&lt;wsp:rsid wsp:val=&quot;003E3455&quot;/&gt;&lt;wsp:rsid wsp:val=&quot;003E3B2A&quot;/&gt;&lt;wsp:rsid wsp:val=&quot;003E4265&quot;/&gt;&lt;wsp:rsid wsp:val=&quot;003E6113&quot;/&gt;&lt;wsp:rsid wsp:val=&quot;003E6317&quot;/&gt;&lt;wsp:rsid wsp:val=&quot;003E6545&quot;/&gt;&lt;wsp:rsid wsp:val=&quot;003E69A0&quot;/&gt;&lt;wsp:rsid wsp:val=&quot;003E7D14&quot;/&gt;&lt;wsp:rsid wsp:val=&quot;003F03E8&quot;/&gt;&lt;wsp:rsid wsp:val=&quot;003F0AF0&quot;/&gt;&lt;wsp:rsid wsp:val=&quot;003F0E2F&quot;/&gt;&lt;wsp:rsid wsp:val=&quot;003F17F6&quot;/&gt;&lt;wsp:rsid wsp:val=&quot;003F1A95&quot;/&gt;&lt;wsp:rsid wsp:val=&quot;003F21FC&quot;/&gt;&lt;wsp:rsid wsp:val=&quot;003F22FA&quot;/&gt;&lt;wsp:rsid wsp:val=&quot;003F2CC7&quot;/&gt;&lt;wsp:rsid wsp:val=&quot;003F2D27&quot;/&gt;&lt;wsp:rsid wsp:val=&quot;003F3CA1&quot;/&gt;&lt;wsp:rsid wsp:val=&quot;003F41F6&quot;/&gt;&lt;wsp:rsid wsp:val=&quot;003F4AF0&quot;/&gt;&lt;wsp:rsid wsp:val=&quot;003F4D3B&quot;/&gt;&lt;wsp:rsid wsp:val=&quot;003F54AC&quot;/&gt;&lt;wsp:rsid wsp:val=&quot;003F57FE&quot;/&gt;&lt;wsp:rsid wsp:val=&quot;003F61BB&quot;/&gt;&lt;wsp:rsid wsp:val=&quot;003F71C5&quot;/&gt;&lt;wsp:rsid wsp:val=&quot;003F78CE&quot;/&gt;&lt;wsp:rsid wsp:val=&quot;003F794B&quot;/&gt;&lt;wsp:rsid wsp:val=&quot;003F796F&quot;/&gt;&lt;wsp:rsid wsp:val=&quot;004017F5&quot;/&gt;&lt;wsp:rsid wsp:val=&quot;004028C4&quot;/&gt;&lt;wsp:rsid wsp:val=&quot;00403107&quot;/&gt;&lt;wsp:rsid wsp:val=&quot;00403875&quot;/&gt;&lt;wsp:rsid wsp:val=&quot;00403D8C&quot;/&gt;&lt;wsp:rsid wsp:val=&quot;004061E0&quot;/&gt;&lt;wsp:rsid wsp:val=&quot;00410401&quot;/&gt;&lt;wsp:rsid wsp:val=&quot;0041134B&quot;/&gt;&lt;wsp:rsid wsp:val=&quot;00411438&quot;/&gt;&lt;wsp:rsid wsp:val=&quot;00414659&quot;/&gt;&lt;wsp:rsid wsp:val=&quot;00415A2C&quot;/&gt;&lt;wsp:rsid wsp:val=&quot;00415D57&quot;/&gt;&lt;wsp:rsid wsp:val=&quot;00416196&quot;/&gt;&lt;wsp:rsid wsp:val=&quot;00416750&quot;/&gt;&lt;wsp:rsid wsp:val=&quot;00416921&quot;/&gt;&lt;wsp:rsid wsp:val=&quot;00416ECF&quot;/&gt;&lt;wsp:rsid wsp:val=&quot;00420370&quot;/&gt;&lt;wsp:rsid wsp:val=&quot;00420397&quot;/&gt;&lt;wsp:rsid wsp:val=&quot;00420EB2&quot;/&gt;&lt;wsp:rsid wsp:val=&quot;004223DA&quot;/&gt;&lt;wsp:rsid wsp:val=&quot;00423134&quot;/&gt;&lt;wsp:rsid wsp:val=&quot;00430069&quot;/&gt;&lt;wsp:rsid wsp:val=&quot;004320CD&quot;/&gt;&lt;wsp:rsid wsp:val=&quot;00433CFA&quot;/&gt;&lt;wsp:rsid wsp:val=&quot;00434C1F&quot;/&gt;&lt;wsp:rsid wsp:val=&quot;00434FE2&quot;/&gt;&lt;wsp:rsid wsp:val=&quot;004355EB&quot;/&gt;&lt;wsp:rsid wsp:val=&quot;00435C3E&quot;/&gt;&lt;wsp:rsid wsp:val=&quot;00435C48&quot;/&gt;&lt;wsp:rsid wsp:val=&quot;004365A1&quot;/&gt;&lt;wsp:rsid wsp:val=&quot;004378F9&quot;/&gt;&lt;wsp:rsid wsp:val=&quot;00441374&quot;/&gt;&lt;wsp:rsid wsp:val=&quot;00442E03&quot;/&gt;&lt;wsp:rsid wsp:val=&quot;004434BD&quot;/&gt;&lt;wsp:rsid wsp:val=&quot;0044389F&quot;/&gt;&lt;wsp:rsid wsp:val=&quot;00443E54&quot;/&gt;&lt;wsp:rsid wsp:val=&quot;0044486D&quot;/&gt;&lt;wsp:rsid wsp:val=&quot;00444C93&quot;/&gt;&lt;wsp:rsid wsp:val=&quot;00445DCF&quot;/&gt;&lt;wsp:rsid wsp:val=&quot;00445F62&quot;/&gt;&lt;wsp:rsid wsp:val=&quot;00446B20&quot;/&gt;&lt;wsp:rsid wsp:val=&quot;00446BD0&quot;/&gt;&lt;wsp:rsid wsp:val=&quot;00447D69&quot;/&gt;&lt;wsp:rsid wsp:val=&quot;00450575&quot;/&gt;&lt;wsp:rsid wsp:val=&quot;00450CC8&quot;/&gt;&lt;wsp:rsid wsp:val=&quot;00451625&quot;/&gt;&lt;wsp:rsid wsp:val=&quot;004522F4&quot;/&gt;&lt;wsp:rsid wsp:val=&quot;00452412&quot;/&gt;&lt;wsp:rsid wsp:val=&quot;0045375A&quot;/&gt;&lt;wsp:rsid wsp:val=&quot;0045395B&quot;/&gt;&lt;wsp:rsid wsp:val=&quot;00454A0B&quot;/&gt;&lt;wsp:rsid wsp:val=&quot;00455BC5&quot;/&gt;&lt;wsp:rsid wsp:val=&quot;00455D03&quot;/&gt;&lt;wsp:rsid wsp:val=&quot;00462656&quot;/&gt;&lt;wsp:rsid wsp:val=&quot;00462D87&quot;/&gt;&lt;wsp:rsid wsp:val=&quot;004630A3&quot;/&gt;&lt;wsp:rsid wsp:val=&quot;00463898&quot;/&gt;&lt;wsp:rsid wsp:val=&quot;00464872&quot;/&gt;&lt;wsp:rsid wsp:val=&quot;00464A7D&quot;/&gt;&lt;wsp:rsid wsp:val=&quot;00464C48&quot;/&gt;&lt;wsp:rsid wsp:val=&quot;00464C50&quot;/&gt;&lt;wsp:rsid wsp:val=&quot;00465089&quot;/&gt;&lt;wsp:rsid wsp:val=&quot;00465324&quot;/&gt;&lt;wsp:rsid wsp:val=&quot;004653F6&quot;/&gt;&lt;wsp:rsid wsp:val=&quot;004655C6&quot;/&gt;&lt;wsp:rsid wsp:val=&quot;00465609&quot;/&gt;&lt;wsp:rsid wsp:val=&quot;0046674B&quot;/&gt;&lt;wsp:rsid wsp:val=&quot;00470B06&quot;/&gt;&lt;wsp:rsid wsp:val=&quot;00472507&quot;/&gt;&lt;wsp:rsid wsp:val=&quot;00472548&quot;/&gt;&lt;wsp:rsid wsp:val=&quot;00472E18&quot;/&gt;&lt;wsp:rsid wsp:val=&quot;00474479&quot;/&gt;&lt;wsp:rsid wsp:val=&quot;00474C4A&quot;/&gt;&lt;wsp:rsid wsp:val=&quot;00474D2F&quot;/&gt;&lt;wsp:rsid wsp:val=&quot;004756A5&quot;/&gt;&lt;wsp:rsid wsp:val=&quot;00476D16&quot;/&gt;&lt;wsp:rsid wsp:val=&quot;004802BE&quot;/&gt;&lt;wsp:rsid wsp:val=&quot;004864A6&quot;/&gt;&lt;wsp:rsid wsp:val=&quot;00487D0D&quot;/&gt;&lt;wsp:rsid wsp:val=&quot;00487E2C&quot;/&gt;&lt;wsp:rsid wsp:val=&quot;00491F7A&quot;/&gt;&lt;wsp:rsid wsp:val=&quot;004945BB&quot;/&gt;&lt;wsp:rsid wsp:val=&quot;0049498D&quot;/&gt;&lt;wsp:rsid wsp:val=&quot;00494EBB&quot;/&gt;&lt;wsp:rsid wsp:val=&quot;00495395&quot;/&gt;&lt;wsp:rsid wsp:val=&quot;0049577D&quot;/&gt;&lt;wsp:rsid wsp:val=&quot;00495BBD&quot;/&gt;&lt;wsp:rsid wsp:val=&quot;00497962&quot;/&gt;&lt;wsp:rsid wsp:val=&quot;00497B3D&quot;/&gt;&lt;wsp:rsid wsp:val=&quot;00497B4E&quot;/&gt;&lt;wsp:rsid wsp:val=&quot;00497D20&quot;/&gt;&lt;wsp:rsid wsp:val=&quot;004A09A0&quot;/&gt;&lt;wsp:rsid wsp:val=&quot;004A29E3&quot;/&gt;&lt;wsp:rsid wsp:val=&quot;004A2C28&quot;/&gt;&lt;wsp:rsid wsp:val=&quot;004A4386&quot;/&gt;&lt;wsp:rsid wsp:val=&quot;004A49D4&quot;/&gt;&lt;wsp:rsid wsp:val=&quot;004A4A9E&quot;/&gt;&lt;wsp:rsid wsp:val=&quot;004A4F25&quot;/&gt;&lt;wsp:rsid wsp:val=&quot;004A573C&quot;/&gt;&lt;wsp:rsid wsp:val=&quot;004A591D&quot;/&gt;&lt;wsp:rsid wsp:val=&quot;004A5EA3&quot;/&gt;&lt;wsp:rsid wsp:val=&quot;004A683F&quot;/&gt;&lt;wsp:rsid wsp:val=&quot;004A6A75&quot;/&gt;&lt;wsp:rsid wsp:val=&quot;004A6CF1&quot;/&gt;&lt;wsp:rsid wsp:val=&quot;004A6E2A&quot;/&gt;&lt;wsp:rsid wsp:val=&quot;004A7141&quot;/&gt;&lt;wsp:rsid wsp:val=&quot;004A799E&quot;/&gt;&lt;wsp:rsid wsp:val=&quot;004B00E3&quot;/&gt;&lt;wsp:rsid wsp:val=&quot;004B29DC&quot;/&gt;&lt;wsp:rsid wsp:val=&quot;004B33CE&quot;/&gt;&lt;wsp:rsid wsp:val=&quot;004B3AFE&quot;/&gt;&lt;wsp:rsid wsp:val=&quot;004B4225&quot;/&gt;&lt;wsp:rsid wsp:val=&quot;004B4483&quot;/&gt;&lt;wsp:rsid wsp:val=&quot;004B4F2A&quot;/&gt;&lt;wsp:rsid wsp:val=&quot;004B52BF&quot;/&gt;&lt;wsp:rsid wsp:val=&quot;004B6638&quot;/&gt;&lt;wsp:rsid wsp:val=&quot;004B6845&quot;/&gt;&lt;wsp:rsid wsp:val=&quot;004B7B72&quot;/&gt;&lt;wsp:rsid wsp:val=&quot;004B7E2F&quot;/&gt;&lt;wsp:rsid wsp:val=&quot;004C0588&quot;/&gt;&lt;wsp:rsid wsp:val=&quot;004C164B&quot;/&gt;&lt;wsp:rsid wsp:val=&quot;004C2006&quot;/&gt;&lt;wsp:rsid wsp:val=&quot;004C28EA&quot;/&gt;&lt;wsp:rsid wsp:val=&quot;004C2A01&quot;/&gt;&lt;wsp:rsid wsp:val=&quot;004C5DD4&quot;/&gt;&lt;wsp:rsid wsp:val=&quot;004C7143&quot;/&gt;&lt;wsp:rsid wsp:val=&quot;004D04F5&quot;/&gt;&lt;wsp:rsid wsp:val=&quot;004D0BAA&quot;/&gt;&lt;wsp:rsid wsp:val=&quot;004D19B5&quot;/&gt;&lt;wsp:rsid wsp:val=&quot;004D1C31&quot;/&gt;&lt;wsp:rsid wsp:val=&quot;004D232B&quot;/&gt;&lt;wsp:rsid wsp:val=&quot;004D4171&quot;/&gt;&lt;wsp:rsid wsp:val=&quot;004D45F0&quot;/&gt;&lt;wsp:rsid wsp:val=&quot;004D4D03&quot;/&gt;&lt;wsp:rsid wsp:val=&quot;004D6CCE&quot;/&gt;&lt;wsp:rsid wsp:val=&quot;004D7A07&quot;/&gt;&lt;wsp:rsid wsp:val=&quot;004D7BA9&quot;/&gt;&lt;wsp:rsid wsp:val=&quot;004D7BD6&quot;/&gt;&lt;wsp:rsid wsp:val=&quot;004E0E47&quot;/&gt;&lt;wsp:rsid wsp:val=&quot;004E15C4&quot;/&gt;&lt;wsp:rsid wsp:val=&quot;004E1DCE&quot;/&gt;&lt;wsp:rsid wsp:val=&quot;004E25FE&quot;/&gt;&lt;wsp:rsid wsp:val=&quot;004E32C4&quot;/&gt;&lt;wsp:rsid wsp:val=&quot;004E3B93&quot;/&gt;&lt;wsp:rsid wsp:val=&quot;004E46BA&quot;/&gt;&lt;wsp:rsid wsp:val=&quot;004E480E&quot;/&gt;&lt;wsp:rsid wsp:val=&quot;004E5F8E&quot;/&gt;&lt;wsp:rsid wsp:val=&quot;004E6B01&quot;/&gt;&lt;wsp:rsid wsp:val=&quot;004E75CC&quot;/&gt;&lt;wsp:rsid wsp:val=&quot;004E7A3D&quot;/&gt;&lt;wsp:rsid wsp:val=&quot;004E7D55&quot;/&gt;&lt;wsp:rsid wsp:val=&quot;004F28CE&quot;/&gt;&lt;wsp:rsid wsp:val=&quot;004F30D9&quot;/&gt;&lt;wsp:rsid wsp:val=&quot;004F3358&quot;/&gt;&lt;wsp:rsid wsp:val=&quot;004F5289&quot;/&gt;&lt;wsp:rsid wsp:val=&quot;004F5D6F&quot;/&gt;&lt;wsp:rsid wsp:val=&quot;004F5E3F&quot;/&gt;&lt;wsp:rsid wsp:val=&quot;004F5F84&quot;/&gt;&lt;wsp:rsid wsp:val=&quot;004F641E&quot;/&gt;&lt;wsp:rsid wsp:val=&quot;004F6C6C&quot;/&gt;&lt;wsp:rsid wsp:val=&quot;004F7A28&quot;/&gt;&lt;wsp:rsid wsp:val=&quot;0050079E&quot;/&gt;&lt;wsp:rsid wsp:val=&quot;00500807&quot;/&gt;&lt;wsp:rsid wsp:val=&quot;0050188B&quot;/&gt;&lt;wsp:rsid wsp:val=&quot;005021BD&quot;/&gt;&lt;wsp:rsid wsp:val=&quot;005036A5&quot;/&gt;&lt;wsp:rsid wsp:val=&quot;00505206&quot;/&gt;&lt;wsp:rsid wsp:val=&quot;0050628D&quot;/&gt;&lt;wsp:rsid wsp:val=&quot;00506D11&quot;/&gt;&lt;wsp:rsid wsp:val=&quot;0050725A&quot;/&gt;&lt;wsp:rsid wsp:val=&quot;005077DF&quot;/&gt;&lt;wsp:rsid wsp:val=&quot;00507FC3&quot;/&gt;&lt;wsp:rsid wsp:val=&quot;0051084F&quot;/&gt;&lt;wsp:rsid wsp:val=&quot;00510B76&quot;/&gt;&lt;wsp:rsid wsp:val=&quot;00510F3E&quot;/&gt;&lt;wsp:rsid wsp:val=&quot;00510F9E&quot;/&gt;&lt;wsp:rsid wsp:val=&quot;00511407&quot;/&gt;&lt;wsp:rsid wsp:val=&quot;005119BE&quot;/&gt;&lt;wsp:rsid wsp:val=&quot;005121D7&quot;/&gt;&lt;wsp:rsid wsp:val=&quot;005121E9&quot;/&gt;&lt;wsp:rsid wsp:val=&quot;00512B2A&quot;/&gt;&lt;wsp:rsid wsp:val=&quot;0051379B&quot;/&gt;&lt;wsp:rsid wsp:val=&quot;00514CD2&quot;/&gt;&lt;wsp:rsid wsp:val=&quot;00515D07&quot;/&gt;&lt;wsp:rsid wsp:val=&quot;0051621E&quot;/&gt;&lt;wsp:rsid wsp:val=&quot;005167A7&quot;/&gt;&lt;wsp:rsid wsp:val=&quot;00517462&quot;/&gt;&lt;wsp:rsid wsp:val=&quot;005207ED&quot;/&gt;&lt;wsp:rsid wsp:val=&quot;005239CF&quot;/&gt;&lt;wsp:rsid wsp:val=&quot;005247E1&quot;/&gt;&lt;wsp:rsid wsp:val=&quot;005255AC&quot;/&gt;&lt;wsp:rsid wsp:val=&quot;00525984&quot;/&gt;&lt;wsp:rsid wsp:val=&quot;005261E3&quot;/&gt;&lt;wsp:rsid wsp:val=&quot;00530690&quot;/&gt;&lt;wsp:rsid wsp:val=&quot;0053070D&quot;/&gt;&lt;wsp:rsid wsp:val=&quot;00531848&quot;/&gt;&lt;wsp:rsid wsp:val=&quot;00534BDD&quot;/&gt;&lt;wsp:rsid wsp:val=&quot;00535497&quot;/&gt;&lt;wsp:rsid wsp:val=&quot;0053633F&quot;/&gt;&lt;wsp:rsid wsp:val=&quot;00541270&quot;/&gt;&lt;wsp:rsid wsp:val=&quot;005412DF&quot;/&gt;&lt;wsp:rsid wsp:val=&quot;00541779&quot;/&gt;&lt;wsp:rsid wsp:val=&quot;005423E4&quot;/&gt;&lt;wsp:rsid wsp:val=&quot;005434FB&quot;/&gt;&lt;wsp:rsid wsp:val=&quot;00544801&quot;/&gt;&lt;wsp:rsid wsp:val=&quot;00544ADF&quot;/&gt;&lt;wsp:rsid wsp:val=&quot;00544BA0&quot;/&gt;&lt;wsp:rsid wsp:val=&quot;00544E1B&quot;/&gt;&lt;wsp:rsid wsp:val=&quot;00545D6F&quot;/&gt;&lt;wsp:rsid wsp:val=&quot;00545D8A&quot;/&gt;&lt;wsp:rsid wsp:val=&quot;00546B75&quot;/&gt;&lt;wsp:rsid wsp:val=&quot;0054798C&quot;/&gt;&lt;wsp:rsid wsp:val=&quot;00550300&quot;/&gt;&lt;wsp:rsid wsp:val=&quot;0055147B&quot;/&gt;&lt;wsp:rsid wsp:val=&quot;005518DF&quot;/&gt;&lt;wsp:rsid wsp:val=&quot;00551C5B&quot;/&gt;&lt;wsp:rsid wsp:val=&quot;00551EF2&quot;/&gt;&lt;wsp:rsid wsp:val=&quot;00552F24&quot;/&gt;&lt;wsp:rsid wsp:val=&quot;005560C0&quot;/&gt;&lt;wsp:rsid wsp:val=&quot;0055623B&quot;/&gt;&lt;wsp:rsid wsp:val=&quot;005563B3&quot;/&gt;&lt;wsp:rsid wsp:val=&quot;005568C5&quot;/&gt;&lt;wsp:rsid wsp:val=&quot;00556D03&quot;/&gt;&lt;wsp:rsid wsp:val=&quot;00560A0E&quot;/&gt;&lt;wsp:rsid wsp:val=&quot;005616C8&quot;/&gt;&lt;wsp:rsid wsp:val=&quot;005618C0&quot;/&gt;&lt;wsp:rsid wsp:val=&quot;0056291F&quot;/&gt;&lt;wsp:rsid wsp:val=&quot;00562F03&quot;/&gt;&lt;wsp:rsid wsp:val=&quot;00563722&quot;/&gt;&lt;wsp:rsid wsp:val=&quot;005662CB&quot;/&gt;&lt;wsp:rsid wsp:val=&quot;005667D1&quot;/&gt;&lt;wsp:rsid wsp:val=&quot;0056742C&quot;/&gt;&lt;wsp:rsid wsp:val=&quot;00570C5A&quot;/&gt;&lt;wsp:rsid wsp:val=&quot;005711E6&quot;/&gt;&lt;wsp:rsid wsp:val=&quot;00572220&quot;/&gt;&lt;wsp:rsid wsp:val=&quot;0057295A&quot;/&gt;&lt;wsp:rsid wsp:val=&quot;00572C6A&quot;/&gt;&lt;wsp:rsid wsp:val=&quot;00572D8D&quot;/&gt;&lt;wsp:rsid wsp:val=&quot;00572E51&quot;/&gt;&lt;wsp:rsid wsp:val=&quot;00572EE3&quot;/&gt;&lt;wsp:rsid wsp:val=&quot;00572F49&quot;/&gt;&lt;wsp:rsid wsp:val=&quot;00573673&quot;/&gt;&lt;wsp:rsid wsp:val=&quot;0057498E&quot;/&gt;&lt;wsp:rsid wsp:val=&quot;00574A86&quot;/&gt;&lt;wsp:rsid wsp:val=&quot;00575867&quot;/&gt;&lt;wsp:rsid wsp:val=&quot;00575A7F&quot;/&gt;&lt;wsp:rsid wsp:val=&quot;00576667&quot;/&gt;&lt;wsp:rsid wsp:val=&quot;00577469&quot;/&gt;&lt;wsp:rsid wsp:val=&quot;00577474&quot;/&gt;&lt;wsp:rsid wsp:val=&quot;00577952&quot;/&gt;&lt;wsp:rsid wsp:val=&quot;00577C97&quot;/&gt;&lt;wsp:rsid wsp:val=&quot;00580245&quot;/&gt;&lt;wsp:rsid wsp:val=&quot;00580C0D&quot;/&gt;&lt;wsp:rsid wsp:val=&quot;005815D4&quot;/&gt;&lt;wsp:rsid wsp:val=&quot;00581DE8&quot;/&gt;&lt;wsp:rsid wsp:val=&quot;00582275&quot;/&gt;&lt;wsp:rsid wsp:val=&quot;00582FF6&quot;/&gt;&lt;wsp:rsid wsp:val=&quot;005847B7&quot;/&gt;&lt;wsp:rsid wsp:val=&quot;00584E9D&quot;/&gt;&lt;wsp:rsid wsp:val=&quot;00585438&quot;/&gt;&lt;wsp:rsid wsp:val=&quot;005859DA&quot;/&gt;&lt;wsp:rsid wsp:val=&quot;00585C7B&quot;/&gt;&lt;wsp:rsid wsp:val=&quot;00586093&quot;/&gt;&lt;wsp:rsid wsp:val=&quot;00586330&quot;/&gt;&lt;wsp:rsid wsp:val=&quot;00586D6C&quot;/&gt;&lt;wsp:rsid wsp:val=&quot;005873DD&quot;/&gt;&lt;wsp:rsid wsp:val=&quot;00587875&quot;/&gt;&lt;wsp:rsid wsp:val=&quot;00590249&quot;/&gt;&lt;wsp:rsid wsp:val=&quot;00591635&quot;/&gt;&lt;wsp:rsid wsp:val=&quot;005948C8&quot;/&gt;&lt;wsp:rsid wsp:val=&quot;00594B52&quot;/&gt;&lt;wsp:rsid wsp:val=&quot;00595A46&quot;/&gt;&lt;wsp:rsid wsp:val=&quot;00595E5B&quot;/&gt;&lt;wsp:rsid wsp:val=&quot;00596923&quot;/&gt;&lt;wsp:rsid wsp:val=&quot;00597F44&quot;/&gt;&lt;wsp:rsid wsp:val=&quot;005A0255&quot;/&gt;&lt;wsp:rsid wsp:val=&quot;005A1293&quot;/&gt;&lt;wsp:rsid wsp:val=&quot;005A1B11&quot;/&gt;&lt;wsp:rsid wsp:val=&quot;005A33A8&quot;/&gt;&lt;wsp:rsid wsp:val=&quot;005A5086&quot;/&gt;&lt;wsp:rsid wsp:val=&quot;005A55E0&quot;/&gt;&lt;wsp:rsid wsp:val=&quot;005A5AF4&quot;/&gt;&lt;wsp:rsid wsp:val=&quot;005A67D3&quot;/&gt;&lt;wsp:rsid wsp:val=&quot;005A6D8C&quot;/&gt;&lt;wsp:rsid wsp:val=&quot;005B0C87&quot;/&gt;&lt;wsp:rsid wsp:val=&quot;005B3F2D&quot;/&gt;&lt;wsp:rsid wsp:val=&quot;005B40AD&quot;/&gt;&lt;wsp:rsid wsp:val=&quot;005B445A&quot;/&gt;&lt;wsp:rsid wsp:val=&quot;005B4B99&quot;/&gt;&lt;wsp:rsid wsp:val=&quot;005B70BB&quot;/&gt;&lt;wsp:rsid wsp:val=&quot;005C0686&quot;/&gt;&lt;wsp:rsid wsp:val=&quot;005C2CCB&quot;/&gt;&lt;wsp:rsid wsp:val=&quot;005C3542&quot;/&gt;&lt;wsp:rsid wsp:val=&quot;005C3AF0&quot;/&gt;&lt;wsp:rsid wsp:val=&quot;005C3F1F&quot;/&gt;&lt;wsp:rsid wsp:val=&quot;005C438C&quot;/&gt;&lt;wsp:rsid wsp:val=&quot;005C4462&quot;/&gt;&lt;wsp:rsid wsp:val=&quot;005C48B5&quot;/&gt;&lt;wsp:rsid wsp:val=&quot;005C5073&quot;/&gt;&lt;wsp:rsid wsp:val=&quot;005C572E&quot;/&gt;&lt;wsp:rsid wsp:val=&quot;005C5CD3&quot;/&gt;&lt;wsp:rsid wsp:val=&quot;005C5EAE&quot;/&gt;&lt;wsp:rsid wsp:val=&quot;005C63C9&quot;/&gt;&lt;wsp:rsid wsp:val=&quot;005D0683&quot;/&gt;&lt;wsp:rsid wsp:val=&quot;005D068E&quot;/&gt;&lt;wsp:rsid wsp:val=&quot;005D16EE&quot;/&gt;&lt;wsp:rsid wsp:val=&quot;005D1A2D&quot;/&gt;&lt;wsp:rsid wsp:val=&quot;005D2F72&quot;/&gt;&lt;wsp:rsid wsp:val=&quot;005D3740&quot;/&gt;&lt;wsp:rsid wsp:val=&quot;005D3FBA&quot;/&gt;&lt;wsp:rsid wsp:val=&quot;005D4894&quot;/&gt;&lt;wsp:rsid wsp:val=&quot;005D4CCD&quot;/&gt;&lt;wsp:rsid wsp:val=&quot;005D5720&quot;/&gt;&lt;wsp:rsid wsp:val=&quot;005D5BF4&quot;/&gt;&lt;wsp:rsid wsp:val=&quot;005D6BDB&quot;/&gt;&lt;wsp:rsid wsp:val=&quot;005D75B6&quot;/&gt;&lt;wsp:rsid wsp:val=&quot;005D7814&quot;/&gt;&lt;wsp:rsid wsp:val=&quot;005E05A4&quot;/&gt;&lt;wsp:rsid wsp:val=&quot;005E157A&quot;/&gt;&lt;wsp:rsid wsp:val=&quot;005E2253&quot;/&gt;&lt;wsp:rsid wsp:val=&quot;005E310A&quot;/&gt;&lt;wsp:rsid wsp:val=&quot;005E363B&quot;/&gt;&lt;wsp:rsid wsp:val=&quot;005E4C82&quot;/&gt;&lt;wsp:rsid wsp:val=&quot;005E58E3&quot;/&gt;&lt;wsp:rsid wsp:val=&quot;005E61A2&quot;/&gt;&lt;wsp:rsid wsp:val=&quot;005E61EA&quot;/&gt;&lt;wsp:rsid wsp:val=&quot;005E6D91&quot;/&gt;&lt;wsp:rsid wsp:val=&quot;005E708E&quot;/&gt;&lt;wsp:rsid wsp:val=&quot;005F02A7&quot;/&gt;&lt;wsp:rsid wsp:val=&quot;005F098E&quot;/&gt;&lt;wsp:rsid wsp:val=&quot;005F15BD&quot;/&gt;&lt;wsp:rsid wsp:val=&quot;005F1CB0&quot;/&gt;&lt;wsp:rsid wsp:val=&quot;005F1CCE&quot;/&gt;&lt;wsp:rsid wsp:val=&quot;005F1E2E&quot;/&gt;&lt;wsp:rsid wsp:val=&quot;005F22DD&quot;/&gt;&lt;wsp:rsid wsp:val=&quot;005F2BC4&quot;/&gt;&lt;wsp:rsid wsp:val=&quot;005F371F&quot;/&gt;&lt;wsp:rsid wsp:val=&quot;005F4C7A&quot;/&gt;&lt;wsp:rsid wsp:val=&quot;005F584C&quot;/&gt;&lt;wsp:rsid wsp:val=&quot;005F6D75&quot;/&gt;&lt;wsp:rsid wsp:val=&quot;005F71ED&quot;/&gt;&lt;wsp:rsid wsp:val=&quot;006009BC&quot;/&gt;&lt;wsp:rsid wsp:val=&quot;00600E1F&quot;/&gt;&lt;wsp:rsid wsp:val=&quot;00601344&quot;/&gt;&lt;wsp:rsid wsp:val=&quot;00602543&quot;/&gt;&lt;wsp:rsid wsp:val=&quot;00603066&quot;/&gt;&lt;wsp:rsid wsp:val=&quot;006031C6&quot;/&gt;&lt;wsp:rsid wsp:val=&quot;00604C35&quot;/&gt;&lt;wsp:rsid wsp:val=&quot;0060643D&quot;/&gt;&lt;wsp:rsid wsp:val=&quot;00606EE0&quot;/&gt;&lt;wsp:rsid wsp:val=&quot;0060751E&quot;/&gt;&lt;wsp:rsid wsp:val=&quot;0061026F&quot;/&gt;&lt;wsp:rsid wsp:val=&quot;00610542&quot;/&gt;&lt;wsp:rsid wsp:val=&quot;006105DC&quot;/&gt;&lt;wsp:rsid wsp:val=&quot;00612121&quot;/&gt;&lt;wsp:rsid wsp:val=&quot;00612AFD&quot;/&gt;&lt;wsp:rsid wsp:val=&quot;006137CB&quot;/&gt;&lt;wsp:rsid wsp:val=&quot;00613880&quot;/&gt;&lt;wsp:rsid wsp:val=&quot;00613E77&quot;/&gt;&lt;wsp:rsid wsp:val=&quot;0061426F&quot;/&gt;&lt;wsp:rsid wsp:val=&quot;00614765&quot;/&gt;&lt;wsp:rsid wsp:val=&quot;00615CF0&quot;/&gt;&lt;wsp:rsid wsp:val=&quot;00615F12&quot;/&gt;&lt;wsp:rsid wsp:val=&quot;00617EBC&quot;/&gt;&lt;wsp:rsid wsp:val=&quot;00620B5C&quot;/&gt;&lt;wsp:rsid wsp:val=&quot;006216D1&quot;/&gt;&lt;wsp:rsid wsp:val=&quot;006217A1&quot;/&gt;&lt;wsp:rsid wsp:val=&quot;00623499&quot;/&gt;&lt;wsp:rsid wsp:val=&quot;00623863&quot;/&gt;&lt;wsp:rsid wsp:val=&quot;006248C8&quot;/&gt;&lt;wsp:rsid wsp:val=&quot;00624969&quot;/&gt;&lt;wsp:rsid wsp:val=&quot;00626225&quot;/&gt;&lt;wsp:rsid wsp:val=&quot;00626603&quot;/&gt;&lt;wsp:rsid wsp:val=&quot;00627018&quot;/&gt;&lt;wsp:rsid wsp:val=&quot;00627AC6&quot;/&gt;&lt;wsp:rsid wsp:val=&quot;00627E42&quot;/&gt;&lt;wsp:rsid wsp:val=&quot;00631051&quot;/&gt;&lt;wsp:rsid wsp:val=&quot;00633208&quot;/&gt;&lt;wsp:rsid wsp:val=&quot;006337DA&quot;/&gt;&lt;wsp:rsid wsp:val=&quot;00636035&quot;/&gt;&lt;wsp:rsid wsp:val=&quot;006360B1&quot;/&gt;&lt;wsp:rsid wsp:val=&quot;006413D1&quot;/&gt;&lt;wsp:rsid wsp:val=&quot;00641419&quot;/&gt;&lt;wsp:rsid wsp:val=&quot;00641BAD&quot;/&gt;&lt;wsp:rsid wsp:val=&quot;00642222&quot;/&gt;&lt;wsp:rsid wsp:val=&quot;00642562&quot;/&gt;&lt;wsp:rsid wsp:val=&quot;006426EB&quot;/&gt;&lt;wsp:rsid wsp:val=&quot;00643C0B&quot;/&gt;&lt;wsp:rsid wsp:val=&quot;0064525A&quot;/&gt;&lt;wsp:rsid wsp:val=&quot;00645362&quot;/&gt;&lt;wsp:rsid wsp:val=&quot;00646938&quot;/&gt;&lt;wsp:rsid wsp:val=&quot;00647B24&quot;/&gt;&lt;wsp:rsid wsp:val=&quot;00651A0E&quot;/&gt;&lt;wsp:rsid wsp:val=&quot;00651A93&quot;/&gt;&lt;wsp:rsid wsp:val=&quot;00652592&quot;/&gt;&lt;wsp:rsid wsp:val=&quot;0065328B&quot;/&gt;&lt;wsp:rsid wsp:val=&quot;006534B0&quot;/&gt;&lt;wsp:rsid wsp:val=&quot;00653E98&quot;/&gt;&lt;wsp:rsid wsp:val=&quot;006543B1&quot;/&gt;&lt;wsp:rsid wsp:val=&quot;00655A75&quot;/&gt;&lt;wsp:rsid wsp:val=&quot;0066191A&quot;/&gt;&lt;wsp:rsid wsp:val=&quot;00662B99&quot;/&gt;&lt;wsp:rsid wsp:val=&quot;00663516&quot;/&gt;&lt;wsp:rsid wsp:val=&quot;00663A49&quot;/&gt;&lt;wsp:rsid wsp:val=&quot;00663CC7&quot;/&gt;&lt;wsp:rsid wsp:val=&quot;0066422F&quot;/&gt;&lt;wsp:rsid wsp:val=&quot;0066463B&quot;/&gt;&lt;wsp:rsid wsp:val=&quot;006657CC&quot;/&gt;&lt;wsp:rsid wsp:val=&quot;00666B60&quot;/&gt;&lt;wsp:rsid wsp:val=&quot;00666F0F&quot;/&gt;&lt;wsp:rsid wsp:val=&quot;00670057&quot;/&gt;&lt;wsp:rsid wsp:val=&quot;006701F4&quot;/&gt;&lt;wsp:rsid wsp:val=&quot;00670E99&quot;/&gt;&lt;wsp:rsid wsp:val=&quot;0067192B&quot;/&gt;&lt;wsp:rsid wsp:val=&quot;00671E3B&quot;/&gt;&lt;wsp:rsid wsp:val=&quot;006733C0&quot;/&gt;&lt;wsp:rsid wsp:val=&quot;0067346E&quot;/&gt;&lt;wsp:rsid wsp:val=&quot;006746E1&quot;/&gt;&lt;wsp:rsid wsp:val=&quot;006760BC&quot;/&gt;&lt;wsp:rsid wsp:val=&quot;0067657D&quot;/&gt;&lt;wsp:rsid wsp:val=&quot;0068085A&quot;/&gt;&lt;wsp:rsid wsp:val=&quot;00680E67&quot;/&gt;&lt;wsp:rsid wsp:val=&quot;006825AB&quot;/&gt;&lt;wsp:rsid wsp:val=&quot;00682A3C&quot;/&gt;&lt;wsp:rsid wsp:val=&quot;0068526E&quot;/&gt;&lt;wsp:rsid wsp:val=&quot;00686D3E&quot;/&gt;&lt;wsp:rsid wsp:val=&quot;00686EBF&quot;/&gt;&lt;wsp:rsid wsp:val=&quot;00687AEC&quot;/&gt;&lt;wsp:rsid wsp:val=&quot;00687C4D&quot;/&gt;&lt;wsp:rsid wsp:val=&quot;00687DB4&quot;/&gt;&lt;wsp:rsid wsp:val=&quot;00690685&quot;/&gt;&lt;wsp:rsid wsp:val=&quot;00690BB1&quot;/&gt;&lt;wsp:rsid wsp:val=&quot;00691B94&quot;/&gt;&lt;wsp:rsid wsp:val=&quot;00691D09&quot;/&gt;&lt;wsp:rsid wsp:val=&quot;006924D2&quot;/&gt;&lt;wsp:rsid wsp:val=&quot;00692802&quot;/&gt;&lt;wsp:rsid wsp:val=&quot;006931C0&quot;/&gt;&lt;wsp:rsid wsp:val=&quot;00693BAE&quot;/&gt;&lt;wsp:rsid wsp:val=&quot;006952A0&quot;/&gt;&lt;wsp:rsid wsp:val=&quot;00697B55&quot;/&gt;&lt;wsp:rsid wsp:val=&quot;00697D7D&quot;/&gt;&lt;wsp:rsid wsp:val=&quot;006A0E8F&quot;/&gt;&lt;wsp:rsid wsp:val=&quot;006A137C&quot;/&gt;&lt;wsp:rsid wsp:val=&quot;006A17DA&quot;/&gt;&lt;wsp:rsid wsp:val=&quot;006A20E7&quot;/&gt;&lt;wsp:rsid wsp:val=&quot;006A286A&quot;/&gt;&lt;wsp:rsid wsp:val=&quot;006A38DE&quot;/&gt;&lt;wsp:rsid wsp:val=&quot;006A4305&quot;/&gt;&lt;wsp:rsid wsp:val=&quot;006A47B5&quot;/&gt;&lt;wsp:rsid wsp:val=&quot;006A5342&quot;/&gt;&lt;wsp:rsid wsp:val=&quot;006A586F&quot;/&gt;&lt;wsp:rsid wsp:val=&quot;006A5A17&quot;/&gt;&lt;wsp:rsid wsp:val=&quot;006A5C04&quot;/&gt;&lt;wsp:rsid wsp:val=&quot;006A6689&quot;/&gt;&lt;wsp:rsid wsp:val=&quot;006A6A5C&quot;/&gt;&lt;wsp:rsid wsp:val=&quot;006A6FB4&quot;/&gt;&lt;wsp:rsid wsp:val=&quot;006A7F93&quot;/&gt;&lt;wsp:rsid wsp:val=&quot;006A7FF9&quot;/&gt;&lt;wsp:rsid wsp:val=&quot;006B2062&quot;/&gt;&lt;wsp:rsid wsp:val=&quot;006B2D04&quot;/&gt;&lt;wsp:rsid wsp:val=&quot;006B36E2&quot;/&gt;&lt;wsp:rsid wsp:val=&quot;006B3844&quot;/&gt;&lt;wsp:rsid wsp:val=&quot;006B4721&quot;/&gt;&lt;wsp:rsid wsp:val=&quot;006B5DD6&quot;/&gt;&lt;wsp:rsid wsp:val=&quot;006B5F3B&quot;/&gt;&lt;wsp:rsid wsp:val=&quot;006B6320&quot;/&gt;&lt;wsp:rsid wsp:val=&quot;006B6DA6&quot;/&gt;&lt;wsp:rsid wsp:val=&quot;006B74CA&quot;/&gt;&lt;wsp:rsid wsp:val=&quot;006B7F73&quot;/&gt;&lt;wsp:rsid wsp:val=&quot;006C0481&quot;/&gt;&lt;wsp:rsid wsp:val=&quot;006C07D8&quot;/&gt;&lt;wsp:rsid wsp:val=&quot;006C26F1&quot;/&gt;&lt;wsp:rsid wsp:val=&quot;006C3624&quot;/&gt;&lt;wsp:rsid wsp:val=&quot;006C4479&quot;/&gt;&lt;wsp:rsid wsp:val=&quot;006C4894&quot;/&gt;&lt;wsp:rsid wsp:val=&quot;006C49D9&quot;/&gt;&lt;wsp:rsid wsp:val=&quot;006C5B1A&quot;/&gt;&lt;wsp:rsid wsp:val=&quot;006C6AF9&quot;/&gt;&lt;wsp:rsid wsp:val=&quot;006C6E4F&quot;/&gt;&lt;wsp:rsid wsp:val=&quot;006D3078&quot;/&gt;&lt;wsp:rsid wsp:val=&quot;006D3A0B&quot;/&gt;&lt;wsp:rsid wsp:val=&quot;006D3ACC&quot;/&gt;&lt;wsp:rsid wsp:val=&quot;006D4A65&quot;/&gt;&lt;wsp:rsid wsp:val=&quot;006D4B6A&quot;/&gt;&lt;wsp:rsid wsp:val=&quot;006D524B&quot;/&gt;&lt;wsp:rsid wsp:val=&quot;006D69FE&quot;/&gt;&lt;wsp:rsid wsp:val=&quot;006D6BEB&quot;/&gt;&lt;wsp:rsid wsp:val=&quot;006D7440&quot;/&gt;&lt;wsp:rsid wsp:val=&quot;006D79D9&quot;/&gt;&lt;wsp:rsid wsp:val=&quot;006E0C5E&quot;/&gt;&lt;wsp:rsid wsp:val=&quot;006E11FF&quot;/&gt;&lt;wsp:rsid wsp:val=&quot;006E1B1C&quot;/&gt;&lt;wsp:rsid wsp:val=&quot;006E474B&quot;/&gt;&lt;wsp:rsid wsp:val=&quot;006E4D1B&quot;/&gt;&lt;wsp:rsid wsp:val=&quot;006E57A0&quot;/&gt;&lt;wsp:rsid wsp:val=&quot;006E7A9E&quot;/&gt;&lt;wsp:rsid wsp:val=&quot;006F0DEC&quot;/&gt;&lt;wsp:rsid wsp:val=&quot;006F0FD4&quot;/&gt;&lt;wsp:rsid wsp:val=&quot;006F15D7&quot;/&gt;&lt;wsp:rsid wsp:val=&quot;006F2A09&quot;/&gt;&lt;wsp:rsid wsp:val=&quot;006F2BAC&quot;/&gt;&lt;wsp:rsid wsp:val=&quot;006F4C3C&quot;/&gt;&lt;wsp:rsid wsp:val=&quot;006F566D&quot;/&gt;&lt;wsp:rsid wsp:val=&quot;006F6401&quot;/&gt;&lt;wsp:rsid wsp:val=&quot;006F6703&quot;/&gt;&lt;wsp:rsid wsp:val=&quot;006F6AC9&quot;/&gt;&lt;wsp:rsid wsp:val=&quot;006F6ECC&quot;/&gt;&lt;wsp:rsid wsp:val=&quot;006F739E&quot;/&gt;&lt;wsp:rsid wsp:val=&quot;006F760C&quot;/&gt;&lt;wsp:rsid wsp:val=&quot;00700880&quot;/&gt;&lt;wsp:rsid wsp:val=&quot;0070252D&quot;/&gt;&lt;wsp:rsid wsp:val=&quot;00704398&quot;/&gt;&lt;wsp:rsid wsp:val=&quot;00704CA1&quot;/&gt;&lt;wsp:rsid wsp:val=&quot;007060C5&quot;/&gt;&lt;wsp:rsid wsp:val=&quot;00706EFE&quot;/&gt;&lt;wsp:rsid wsp:val=&quot;0071049F&quot;/&gt;&lt;wsp:rsid wsp:val=&quot;00710AFC&quot;/&gt;&lt;wsp:rsid wsp:val=&quot;007111E8&quot;/&gt;&lt;wsp:rsid wsp:val=&quot;0071154D&quot;/&gt;&lt;wsp:rsid wsp:val=&quot;00711784&quot;/&gt;&lt;wsp:rsid wsp:val=&quot;00712392&quot;/&gt;&lt;wsp:rsid wsp:val=&quot;00712B62&quot;/&gt;&lt;wsp:rsid wsp:val=&quot;00713EAE&quot;/&gt;&lt;wsp:rsid wsp:val=&quot;0071446C&quot;/&gt;&lt;wsp:rsid wsp:val=&quot;00715617&quot;/&gt;&lt;wsp:rsid wsp:val=&quot;007169C2&quot;/&gt;&lt;wsp:rsid wsp:val=&quot;00717429&quot;/&gt;&lt;wsp:rsid wsp:val=&quot;00722408&quot;/&gt;&lt;wsp:rsid wsp:val=&quot;00722AEE&quot;/&gt;&lt;wsp:rsid wsp:val=&quot;00723BCD&quot;/&gt;&lt;wsp:rsid wsp:val=&quot;00724330&quot;/&gt;&lt;wsp:rsid wsp:val=&quot;007252D4&quot;/&gt;&lt;wsp:rsid wsp:val=&quot;00725EAA&quot;/&gt;&lt;wsp:rsid wsp:val=&quot;00727E49&quot;/&gt;&lt;wsp:rsid wsp:val=&quot;00730111&quot;/&gt;&lt;wsp:rsid wsp:val=&quot;0073015D&quot;/&gt;&lt;wsp:rsid wsp:val=&quot;007302EF&quot;/&gt;&lt;wsp:rsid wsp:val=&quot;00730695&quot;/&gt;&lt;wsp:rsid wsp:val=&quot;007309D9&quot;/&gt;&lt;wsp:rsid wsp:val=&quot;00731416&quot;/&gt;&lt;wsp:rsid wsp:val=&quot;007324B0&quot;/&gt;&lt;wsp:rsid wsp:val=&quot;00733169&quot;/&gt;&lt;wsp:rsid wsp:val=&quot;00734939&quot;/&gt;&lt;wsp:rsid wsp:val=&quot;00734DF9&quot;/&gt;&lt;wsp:rsid wsp:val=&quot;0073582D&quot;/&gt;&lt;wsp:rsid wsp:val=&quot;007365DD&quot;/&gt;&lt;wsp:rsid wsp:val=&quot;007369CC&quot;/&gt;&lt;wsp:rsid wsp:val=&quot;00736E1B&quot;/&gt;&lt;wsp:rsid wsp:val=&quot;00740260&quot;/&gt;&lt;wsp:rsid wsp:val=&quot;00740A6E&quot;/&gt;&lt;wsp:rsid wsp:val=&quot;007411E7&quot;/&gt;&lt;wsp:rsid wsp:val=&quot;0074182B&quot;/&gt;&lt;wsp:rsid wsp:val=&quot;0074221A&quot;/&gt;&lt;wsp:rsid wsp:val=&quot;00744306&quot;/&gt;&lt;wsp:rsid wsp:val=&quot;00745F29&quot;/&gt;&lt;wsp:rsid wsp:val=&quot;007469CF&quot;/&gt;&lt;wsp:rsid wsp:val=&quot;00747068&quot;/&gt;&lt;wsp:rsid wsp:val=&quot;0074720F&quot;/&gt;&lt;wsp:rsid wsp:val=&quot;00750377&quot;/&gt;&lt;wsp:rsid wsp:val=&quot;0075065B&quot;/&gt;&lt;wsp:rsid wsp:val=&quot;00751937&quot;/&gt;&lt;wsp:rsid wsp:val=&quot;007539EF&quot;/&gt;&lt;wsp:rsid wsp:val=&quot;00753B60&quot;/&gt;&lt;wsp:rsid wsp:val=&quot;00753FD4&quot;/&gt;&lt;wsp:rsid wsp:val=&quot;00755231&quot;/&gt;&lt;wsp:rsid wsp:val=&quot;00756274&quot;/&gt;&lt;wsp:rsid wsp:val=&quot;00757D2A&quot;/&gt;&lt;wsp:rsid wsp:val=&quot;00757E24&quot;/&gt;&lt;wsp:rsid wsp:val=&quot;007602E6&quot;/&gt;&lt;wsp:rsid wsp:val=&quot;0076077B&quot;/&gt;&lt;wsp:rsid wsp:val=&quot;00760FF3&quot;/&gt;&lt;wsp:rsid wsp:val=&quot;00761B41&quot;/&gt;&lt;wsp:rsid wsp:val=&quot;00762442&quot;/&gt;&lt;wsp:rsid wsp:val=&quot;007624FD&quot;/&gt;&lt;wsp:rsid wsp:val=&quot;00762AE1&quot;/&gt;&lt;wsp:rsid wsp:val=&quot;00763130&quot;/&gt;&lt;wsp:rsid wsp:val=&quot;007644D4&quot;/&gt;&lt;wsp:rsid wsp:val=&quot;007647A3&quot;/&gt;&lt;wsp:rsid wsp:val=&quot;00764A46&quot;/&gt;&lt;wsp:rsid wsp:val=&quot;00765CE6&quot;/&gt;&lt;wsp:rsid wsp:val=&quot;00767AE6&quot;/&gt;&lt;wsp:rsid wsp:val=&quot;00767C02&quot;/&gt;&lt;wsp:rsid wsp:val=&quot;00767E85&quot;/&gt;&lt;wsp:rsid wsp:val=&quot;00770E05&quot;/&gt;&lt;wsp:rsid wsp:val=&quot;007730CF&quot;/&gt;&lt;wsp:rsid wsp:val=&quot;00773306&quot;/&gt;&lt;wsp:rsid wsp:val=&quot;00775442&quot;/&gt;&lt;wsp:rsid wsp:val=&quot;00775D4C&quot;/&gt;&lt;wsp:rsid wsp:val=&quot;007767D6&quot;/&gt;&lt;wsp:rsid wsp:val=&quot;00776D8F&quot;/&gt;&lt;wsp:rsid wsp:val=&quot;00781290&quot;/&gt;&lt;wsp:rsid wsp:val=&quot;0078215B&quot;/&gt;&lt;wsp:rsid wsp:val=&quot;00783C53&quot;/&gt;&lt;wsp:rsid wsp:val=&quot;007846C7&quot;/&gt;&lt;wsp:rsid wsp:val=&quot;00784A68&quot;/&gt;&lt;wsp:rsid wsp:val=&quot;007858B9&quot;/&gt;&lt;wsp:rsid wsp:val=&quot;007865EC&quot;/&gt;&lt;wsp:rsid wsp:val=&quot;00786D41&quot;/&gt;&lt;wsp:rsid wsp:val=&quot;00790A50&quot;/&gt;&lt;wsp:rsid wsp:val=&quot;00790BDA&quot;/&gt;&lt;wsp:rsid wsp:val=&quot;0079109C&quot;/&gt;&lt;wsp:rsid wsp:val=&quot;007925CD&quot;/&gt;&lt;wsp:rsid wsp:val=&quot;007943EC&quot;/&gt;&lt;wsp:rsid wsp:val=&quot;00794C82&quot;/&gt;&lt;wsp:rsid wsp:val=&quot;007957A1&quot;/&gt;&lt;wsp:rsid wsp:val=&quot;00796608&quot;/&gt;&lt;wsp:rsid wsp:val=&quot;0079695C&quot;/&gt;&lt;wsp:rsid wsp:val=&quot;00796F45&quot;/&gt;&lt;wsp:rsid wsp:val=&quot;0079738E&quot;/&gt;&lt;wsp:rsid wsp:val=&quot;007A0DD9&quot;/&gt;&lt;wsp:rsid wsp:val=&quot;007A14F8&quot;/&gt;&lt;wsp:rsid wsp:val=&quot;007A18DC&quot;/&gt;&lt;wsp:rsid wsp:val=&quot;007A1EF5&quot;/&gt;&lt;wsp:rsid wsp:val=&quot;007A21C0&quot;/&gt;&lt;wsp:rsid wsp:val=&quot;007A21CA&quot;/&gt;&lt;wsp:rsid wsp:val=&quot;007A2407&quot;/&gt;&lt;wsp:rsid wsp:val=&quot;007A350C&quot;/&gt;&lt;wsp:rsid wsp:val=&quot;007A4217&quot;/&gt;&lt;wsp:rsid wsp:val=&quot;007A4269&quot;/&gt;&lt;wsp:rsid wsp:val=&quot;007A4E3F&quot;/&gt;&lt;wsp:rsid wsp:val=&quot;007A5D29&quot;/&gt;&lt;wsp:rsid wsp:val=&quot;007A5E13&quot;/&gt;&lt;wsp:rsid wsp:val=&quot;007A5E27&quot;/&gt;&lt;wsp:rsid wsp:val=&quot;007A6539&quot;/&gt;&lt;wsp:rsid wsp:val=&quot;007B005C&quot;/&gt;&lt;wsp:rsid wsp:val=&quot;007B0452&quot;/&gt;&lt;wsp:rsid wsp:val=&quot;007B092B&quot;/&gt;&lt;wsp:rsid wsp:val=&quot;007B3A4F&quot;/&gt;&lt;wsp:rsid wsp:val=&quot;007B476A&quot;/&gt;&lt;wsp:rsid wsp:val=&quot;007B6DC7&quot;/&gt;&lt;wsp:rsid wsp:val=&quot;007C254F&quot;/&gt;&lt;wsp:rsid wsp:val=&quot;007C2D93&quot;/&gt;&lt;wsp:rsid wsp:val=&quot;007C2DBF&quot;/&gt;&lt;wsp:rsid wsp:val=&quot;007C2E8A&quot;/&gt;&lt;wsp:rsid wsp:val=&quot;007C3DBA&quot;/&gt;&lt;wsp:rsid wsp:val=&quot;007C483D&quot;/&gt;&lt;wsp:rsid wsp:val=&quot;007C5AD6&quot;/&gt;&lt;wsp:rsid wsp:val=&quot;007C5B9B&quot;/&gt;&lt;wsp:rsid wsp:val=&quot;007C7160&quot;/&gt;&lt;wsp:rsid wsp:val=&quot;007C7D7E&quot;/&gt;&lt;wsp:rsid wsp:val=&quot;007C7E88&quot;/&gt;&lt;wsp:rsid wsp:val=&quot;007D2319&quot;/&gt;&lt;wsp:rsid wsp:val=&quot;007D244B&quot;/&gt;&lt;wsp:rsid wsp:val=&quot;007D2F77&quot;/&gt;&lt;wsp:rsid wsp:val=&quot;007D3450&quot;/&gt;&lt;wsp:rsid wsp:val=&quot;007D3919&quot;/&gt;&lt;wsp:rsid wsp:val=&quot;007D50FC&quot;/&gt;&lt;wsp:rsid wsp:val=&quot;007D5112&quot;/&gt;&lt;wsp:rsid wsp:val=&quot;007D52F4&quot;/&gt;&lt;wsp:rsid wsp:val=&quot;007D556E&quot;/&gt;&lt;wsp:rsid wsp:val=&quot;007D58C7&quot;/&gt;&lt;wsp:rsid wsp:val=&quot;007E0215&quot;/&gt;&lt;wsp:rsid wsp:val=&quot;007E5D39&quot;/&gt;&lt;wsp:rsid wsp:val=&quot;007E64CE&quot;/&gt;&lt;wsp:rsid wsp:val=&quot;007E75F8&quot;/&gt;&lt;wsp:rsid wsp:val=&quot;007E7E83&quot;/&gt;&lt;wsp:rsid wsp:val=&quot;007F0671&quot;/&gt;&lt;wsp:rsid wsp:val=&quot;007F06A5&quot;/&gt;&lt;wsp:rsid wsp:val=&quot;007F0BD5&quot;/&gt;&lt;wsp:rsid wsp:val=&quot;007F1911&quot;/&gt;&lt;wsp:rsid wsp:val=&quot;007F271B&quot;/&gt;&lt;wsp:rsid wsp:val=&quot;007F29C9&quot;/&gt;&lt;wsp:rsid wsp:val=&quot;007F3A89&quot;/&gt;&lt;wsp:rsid wsp:val=&quot;007F4D28&quot;/&gt;&lt;wsp:rsid wsp:val=&quot;007F4D3A&quot;/&gt;&lt;wsp:rsid wsp:val=&quot;007F53B4&quot;/&gt;&lt;wsp:rsid wsp:val=&quot;007F5EA3&quot;/&gt;&lt;wsp:rsid wsp:val=&quot;007F67B4&quot;/&gt;&lt;wsp:rsid wsp:val=&quot;007F6A69&quot;/&gt;&lt;wsp:rsid wsp:val=&quot;007F748B&quot;/&gt;&lt;wsp:rsid wsp:val=&quot;008011E2&quot;/&gt;&lt;wsp:rsid wsp:val=&quot;0080163E&quot;/&gt;&lt;wsp:rsid wsp:val=&quot;008035DE&quot;/&gt;&lt;wsp:rsid wsp:val=&quot;00803D35&quot;/&gt;&lt;wsp:rsid wsp:val=&quot;00804339&quot;/&gt;&lt;wsp:rsid wsp:val=&quot;008047EE&quot;/&gt;&lt;wsp:rsid wsp:val=&quot;0080579D&quot;/&gt;&lt;wsp:rsid wsp:val=&quot;00806848&quot;/&gt;&lt;wsp:rsid wsp:val=&quot;008126EE&quot;/&gt;&lt;wsp:rsid wsp:val=&quot;00812A2D&quot;/&gt;&lt;wsp:rsid wsp:val=&quot;00813BA8&quot;/&gt;&lt;wsp:rsid wsp:val=&quot;0081561D&quot;/&gt;&lt;wsp:rsid wsp:val=&quot;00815BC3&quot;/&gt;&lt;wsp:rsid wsp:val=&quot;00817D5C&quot;/&gt;&lt;wsp:rsid wsp:val=&quot;00820810&quot;/&gt;&lt;wsp:rsid wsp:val=&quot;008215E5&quot;/&gt;&lt;wsp:rsid wsp:val=&quot;0082165A&quot;/&gt;&lt;wsp:rsid wsp:val=&quot;008218FF&quot;/&gt;&lt;wsp:rsid wsp:val=&quot;00822294&quot;/&gt;&lt;wsp:rsid wsp:val=&quot;0082502D&quot;/&gt;&lt;wsp:rsid wsp:val=&quot;00825554&quot;/&gt;&lt;wsp:rsid wsp:val=&quot;00825C18&quot;/&gt;&lt;wsp:rsid wsp:val=&quot;00825FAF&quot;/&gt;&lt;wsp:rsid wsp:val=&quot;00827035&quot;/&gt;&lt;wsp:rsid wsp:val=&quot;008277C7&quot;/&gt;&lt;wsp:rsid wsp:val=&quot;00831C0A&quot;/&gt;&lt;wsp:rsid wsp:val=&quot;0083248B&quot;/&gt;&lt;wsp:rsid wsp:val=&quot;00836E0D&quot;/&gt;&lt;wsp:rsid wsp:val=&quot;00837CF0&quot;/&gt;&lt;wsp:rsid wsp:val=&quot;008401DE&quot;/&gt;&lt;wsp:rsid wsp:val=&quot;00841295&quot;/&gt;&lt;wsp:rsid wsp:val=&quot;00841BBA&quot;/&gt;&lt;wsp:rsid wsp:val=&quot;008440D7&quot;/&gt;&lt;wsp:rsid wsp:val=&quot;00844A7A&quot;/&gt;&lt;wsp:rsid wsp:val=&quot;00845611&quot;/&gt;&lt;wsp:rsid wsp:val=&quot;00846AE3&quot;/&gt;&lt;wsp:rsid wsp:val=&quot;00850437&quot;/&gt;&lt;wsp:rsid wsp:val=&quot;0085099B&quot;/&gt;&lt;wsp:rsid wsp:val=&quot;00850A3B&quot;/&gt;&lt;wsp:rsid wsp:val=&quot;0085432E&quot;/&gt;&lt;wsp:rsid wsp:val=&quot;00854471&quot;/&gt;&lt;wsp:rsid wsp:val=&quot;00854BBF&quot;/&gt;&lt;wsp:rsid wsp:val=&quot;00854C23&quot;/&gt;&lt;wsp:rsid wsp:val=&quot;00855352&quot;/&gt;&lt;wsp:rsid wsp:val=&quot;00855376&quot;/&gt;&lt;wsp:rsid wsp:val=&quot;00855D24&quot;/&gt;&lt;wsp:rsid wsp:val=&quot;0085664A&quot;/&gt;&lt;wsp:rsid wsp:val=&quot;00857D7B&quot;/&gt;&lt;wsp:rsid wsp:val=&quot;00860B9E&quot;/&gt;&lt;wsp:rsid wsp:val=&quot;0086132D&quot;/&gt;&lt;wsp:rsid wsp:val=&quot;00861A9C&quot;/&gt;&lt;wsp:rsid wsp:val=&quot;00862264&quot;/&gt;&lt;wsp:rsid wsp:val=&quot;0086485E&quot;/&gt;&lt;wsp:rsid wsp:val=&quot;00865A76&quot;/&gt;&lt;wsp:rsid wsp:val=&quot;00866A05&quot;/&gt;&lt;wsp:rsid wsp:val=&quot;00866DA1&quot;/&gt;&lt;wsp:rsid wsp:val=&quot;00867928&quot;/&gt;&lt;wsp:rsid wsp:val=&quot;00870AD0&quot;/&gt;&lt;wsp:rsid wsp:val=&quot;00870BE8&quot;/&gt;&lt;wsp:rsid wsp:val=&quot;008714E9&quot;/&gt;&lt;wsp:rsid wsp:val=&quot;008737A0&quot;/&gt;&lt;wsp:rsid wsp:val=&quot;00873D96&quot;/&gt;&lt;wsp:rsid wsp:val=&quot;008741C7&quot;/&gt;&lt;wsp:rsid wsp:val=&quot;00875930&quot;/&gt;&lt;wsp:rsid wsp:val=&quot;00875EB3&quot;/&gt;&lt;wsp:rsid wsp:val=&quot;008763EF&quot;/&gt;&lt;wsp:rsid wsp:val=&quot;00876881&quot;/&gt;&lt;wsp:rsid wsp:val=&quot;00876AEC&quot;/&gt;&lt;wsp:rsid wsp:val=&quot;00876F36&quot;/&gt;&lt;wsp:rsid wsp:val=&quot;00876F84&quot;/&gt;&lt;wsp:rsid wsp:val=&quot;008771B3&quot;/&gt;&lt;wsp:rsid wsp:val=&quot;00877A64&quot;/&gt;&lt;wsp:rsid wsp:val=&quot;0088014A&quot;/&gt;&lt;wsp:rsid wsp:val=&quot;00881BD3&quot;/&gt;&lt;wsp:rsid wsp:val=&quot;00882A0B&quot;/&gt;&lt;wsp:rsid wsp:val=&quot;008833D2&quot;/&gt;&lt;wsp:rsid wsp:val=&quot;0088379F&quot;/&gt;&lt;wsp:rsid wsp:val=&quot;008849C3&quot;/&gt;&lt;wsp:rsid wsp:val=&quot;00884D0B&quot;/&gt;&lt;wsp:rsid wsp:val=&quot;00885263&quot;/&gt;&lt;wsp:rsid wsp:val=&quot;00887346&quot;/&gt;&lt;wsp:rsid wsp:val=&quot;0088758F&quot;/&gt;&lt;wsp:rsid wsp:val=&quot;0088787E&quot;/&gt;&lt;wsp:rsid wsp:val=&quot;00887D0F&quot;/&gt;&lt;wsp:rsid wsp:val=&quot;0089026F&quot;/&gt;&lt;wsp:rsid wsp:val=&quot;00893143&quot;/&gt;&lt;wsp:rsid wsp:val=&quot;00893B54&quot;/&gt;&lt;wsp:rsid wsp:val=&quot;008940C7&quot;/&gt;&lt;wsp:rsid wsp:val=&quot;00894711&quot;/&gt;&lt;wsp:rsid wsp:val=&quot;00895251&quot;/&gt;&lt;wsp:rsid wsp:val=&quot;00895E20&quot;/&gt;&lt;wsp:rsid wsp:val=&quot;00896303&quot;/&gt;&lt;wsp:rsid wsp:val=&quot;00896A9F&quot;/&gt;&lt;wsp:rsid wsp:val=&quot;00896BBC&quot;/&gt;&lt;wsp:rsid wsp:val=&quot;0089757F&quot;/&gt;&lt;wsp:rsid wsp:val=&quot;008A2ABE&quot;/&gt;&lt;wsp:rsid wsp:val=&quot;008A2B7F&quot;/&gt;&lt;wsp:rsid wsp:val=&quot;008A2B99&quot;/&gt;&lt;wsp:rsid wsp:val=&quot;008A2BDD&quot;/&gt;&lt;wsp:rsid wsp:val=&quot;008A38AE&quot;/&gt;&lt;wsp:rsid wsp:val=&quot;008A3DF5&quot;/&gt;&lt;wsp:rsid wsp:val=&quot;008A585E&quot;/&gt;&lt;wsp:rsid wsp:val=&quot;008A68B0&quot;/&gt;&lt;wsp:rsid wsp:val=&quot;008B1AA4&quot;/&gt;&lt;wsp:rsid wsp:val=&quot;008B465F&quot;/&gt;&lt;wsp:rsid wsp:val=&quot;008B4950&quot;/&gt;&lt;wsp:rsid wsp:val=&quot;008B4CC5&quot;/&gt;&lt;wsp:rsid wsp:val=&quot;008B599D&quot;/&gt;&lt;wsp:rsid wsp:val=&quot;008B625A&quot;/&gt;&lt;wsp:rsid wsp:val=&quot;008B761D&quot;/&gt;&lt;wsp:rsid wsp:val=&quot;008B7C33&quot;/&gt;&lt;wsp:rsid wsp:val=&quot;008B7E49&quot;/&gt;&lt;wsp:rsid wsp:val=&quot;008C1BB1&quot;/&gt;&lt;wsp:rsid wsp:val=&quot;008C23DA&quot;/&gt;&lt;wsp:rsid wsp:val=&quot;008C2F0C&quot;/&gt;&lt;wsp:rsid wsp:val=&quot;008C3179&quot;/&gt;&lt;wsp:rsid wsp:val=&quot;008C43C2&quot;/&gt;&lt;wsp:rsid wsp:val=&quot;008C4632&quot;/&gt;&lt;wsp:rsid wsp:val=&quot;008C76AF&quot;/&gt;&lt;wsp:rsid wsp:val=&quot;008D16B0&quot;/&gt;&lt;wsp:rsid wsp:val=&quot;008D17AB&quot;/&gt;&lt;wsp:rsid wsp:val=&quot;008D2AE0&quot;/&gt;&lt;wsp:rsid wsp:val=&quot;008D4304&quot;/&gt;&lt;wsp:rsid wsp:val=&quot;008D50F7&quot;/&gt;&lt;wsp:rsid wsp:val=&quot;008D566A&quot;/&gt;&lt;wsp:rsid wsp:val=&quot;008D7063&quot;/&gt;&lt;wsp:rsid wsp:val=&quot;008E1CED&quot;/&gt;&lt;wsp:rsid wsp:val=&quot;008E294E&quot;/&gt;&lt;wsp:rsid wsp:val=&quot;008E2AB0&quot;/&gt;&lt;wsp:rsid wsp:val=&quot;008E3263&quot;/&gt;&lt;wsp:rsid wsp:val=&quot;008E3751&quot;/&gt;&lt;wsp:rsid wsp:val=&quot;008E4504&quot;/&gt;&lt;wsp:rsid wsp:val=&quot;008E508C&quot;/&gt;&lt;wsp:rsid wsp:val=&quot;008E7861&quot;/&gt;&lt;wsp:rsid wsp:val=&quot;008E7A4B&quot;/&gt;&lt;wsp:rsid wsp:val=&quot;008F270E&quot;/&gt;&lt;wsp:rsid wsp:val=&quot;008F65C3&quot;/&gt;&lt;wsp:rsid wsp:val=&quot;009001BB&quot;/&gt;&lt;wsp:rsid wsp:val=&quot;0090135A&quot;/&gt;&lt;wsp:rsid wsp:val=&quot;00905C82&quot;/&gt;&lt;wsp:rsid wsp:val=&quot;00907633&quot;/&gt;&lt;wsp:rsid wsp:val=&quot;00910083&quot;/&gt;&lt;wsp:rsid wsp:val=&quot;009106B1&quot;/&gt;&lt;wsp:rsid wsp:val=&quot;00910737&quot;/&gt;&lt;wsp:rsid wsp:val=&quot;00910BAD&quot;/&gt;&lt;wsp:rsid wsp:val=&quot;00910CBC&quot;/&gt;&lt;wsp:rsid wsp:val=&quot;009110D9&quot;/&gt;&lt;wsp:rsid wsp:val=&quot;00912FF3&quot;/&gt;&lt;wsp:rsid wsp:val=&quot;009132BA&quot;/&gt;&lt;wsp:rsid wsp:val=&quot;0091391A&quot;/&gt;&lt;wsp:rsid wsp:val=&quot;00914FFA&quot;/&gt;&lt;wsp:rsid wsp:val=&quot;00916169&quot;/&gt;&lt;wsp:rsid wsp:val=&quot;0092110D&quot;/&gt;&lt;wsp:rsid wsp:val=&quot;0092124B&quot;/&gt;&lt;wsp:rsid wsp:val=&quot;00921714&quot;/&gt;&lt;wsp:rsid wsp:val=&quot;00921F77&quot;/&gt;&lt;wsp:rsid wsp:val=&quot;0092209B&quot;/&gt;&lt;wsp:rsid wsp:val=&quot;0092274C&quot;/&gt;&lt;wsp:rsid wsp:val=&quot;009232DD&quot;/&gt;&lt;wsp:rsid wsp:val=&quot;0092499E&quot;/&gt;&lt;wsp:rsid wsp:val=&quot;00925057&quot;/&gt;&lt;wsp:rsid wsp:val=&quot;00927F4F&quot;/&gt;&lt;wsp:rsid wsp:val=&quot;0093151D&quot;/&gt;&lt;wsp:rsid wsp:val=&quot;009317AE&quot;/&gt;&lt;wsp:rsid wsp:val=&quot;0093248E&quot;/&gt;&lt;wsp:rsid wsp:val=&quot;00933FE6&quot;/&gt;&lt;wsp:rsid wsp:val=&quot;00935CDE&quot;/&gt;&lt;wsp:rsid wsp:val=&quot;00936301&quot;/&gt;&lt;wsp:rsid wsp:val=&quot;0093687E&quot;/&gt;&lt;wsp:rsid wsp:val=&quot;00936DBD&quot;/&gt;&lt;wsp:rsid wsp:val=&quot;00940815&quot;/&gt;&lt;wsp:rsid wsp:val=&quot;00940A78&quot;/&gt;&lt;wsp:rsid wsp:val=&quot;00940BE0&quot;/&gt;&lt;wsp:rsid wsp:val=&quot;00940DDF&quot;/&gt;&lt;wsp:rsid wsp:val=&quot;00941263&quot;/&gt;&lt;wsp:rsid wsp:val=&quot;00941AFF&quot;/&gt;&lt;wsp:rsid wsp:val=&quot;0094247B&quot;/&gt;&lt;wsp:rsid wsp:val=&quot;0094255D&quot;/&gt;&lt;wsp:rsid wsp:val=&quot;00942F00&quot;/&gt;&lt;wsp:rsid wsp:val=&quot;009437CC&quot;/&gt;&lt;wsp:rsid wsp:val=&quot;009448F1&quot;/&gt;&lt;wsp:rsid wsp:val=&quot;00945292&quot;/&gt;&lt;wsp:rsid wsp:val=&quot;00946A9B&quot;/&gt;&lt;wsp:rsid wsp:val=&quot;00946FDB&quot;/&gt;&lt;wsp:rsid wsp:val=&quot;00947543&quot;/&gt;&lt;wsp:rsid wsp:val=&quot;009477B0&quot;/&gt;&lt;wsp:rsid wsp:val=&quot;0095018C&quot;/&gt;&lt;wsp:rsid wsp:val=&quot;00951AFA&quot;/&gt;&lt;wsp:rsid wsp:val=&quot;00951CB2&quot;/&gt;&lt;wsp:rsid wsp:val=&quot;00952531&quot;/&gt;&lt;wsp:rsid wsp:val=&quot;009530D7&quot;/&gt;&lt;wsp:rsid wsp:val=&quot;00953545&quot;/&gt;&lt;wsp:rsid wsp:val=&quot;009548A4&quot;/&gt;&lt;wsp:rsid wsp:val=&quot;00955107&quot;/&gt;&lt;wsp:rsid wsp:val=&quot;0095584F&quot;/&gt;&lt;wsp:rsid wsp:val=&quot;00956030&quot;/&gt;&lt;wsp:rsid wsp:val=&quot;0095713B&quot;/&gt;&lt;wsp:rsid wsp:val=&quot;009576CD&quot;/&gt;&lt;wsp:rsid wsp:val=&quot;00957904&quot;/&gt;&lt;wsp:rsid wsp:val=&quot;00957F74&quot;/&gt;&lt;wsp:rsid wsp:val=&quot;009604A5&quot;/&gt;&lt;wsp:rsid wsp:val=&quot;0096197B&quot;/&gt;&lt;wsp:rsid wsp:val=&quot;00962856&quot;/&gt;&lt;wsp:rsid wsp:val=&quot;00962F9D&quot;/&gt;&lt;wsp:rsid wsp:val=&quot;0096300B&quot;/&gt;&lt;wsp:rsid wsp:val=&quot;009645DE&quot;/&gt;&lt;wsp:rsid wsp:val=&quot;009657D9&quot;/&gt;&lt;wsp:rsid wsp:val=&quot;00966678&quot;/&gt;&lt;wsp:rsid wsp:val=&quot;00966C33&quot;/&gt;&lt;wsp:rsid wsp:val=&quot;0096755A&quot;/&gt;&lt;wsp:rsid wsp:val=&quot;00967DF8&quot;/&gt;&lt;wsp:rsid wsp:val=&quot;009704B8&quot;/&gt;&lt;wsp:rsid wsp:val=&quot;00971752&quot;/&gt;&lt;wsp:rsid wsp:val=&quot;009738E2&quot;/&gt;&lt;wsp:rsid wsp:val=&quot;00974B97&quot;/&gt;&lt;wsp:rsid wsp:val=&quot;00975DEF&quot;/&gt;&lt;wsp:rsid wsp:val=&quot;0097610E&quot;/&gt;&lt;wsp:rsid wsp:val=&quot;00976AFB&quot;/&gt;&lt;wsp:rsid wsp:val=&quot;009811CD&quot;/&gt;&lt;wsp:rsid wsp:val=&quot;009811E1&quot;/&gt;&lt;wsp:rsid wsp:val=&quot;00981293&quot;/&gt;&lt;wsp:rsid wsp:val=&quot;00981731&quot;/&gt;&lt;wsp:rsid wsp:val=&quot;0098228F&quot;/&gt;&lt;wsp:rsid wsp:val=&quot;009823C8&quot;/&gt;&lt;wsp:rsid wsp:val=&quot;00983F4C&quot;/&gt;&lt;wsp:rsid wsp:val=&quot;009852E2&quot;/&gt;&lt;wsp:rsid wsp:val=&quot;0098530E&quot;/&gt;&lt;wsp:rsid wsp:val=&quot;00985484&quot;/&gt;&lt;wsp:rsid wsp:val=&quot;00986F0A&quot;/&gt;&lt;wsp:rsid wsp:val=&quot;00987CE9&quot;/&gt;&lt;wsp:rsid wsp:val=&quot;00991227&quot;/&gt;&lt;wsp:rsid wsp:val=&quot;00991394&quot;/&gt;&lt;wsp:rsid wsp:val=&quot;00991C4C&quot;/&gt;&lt;wsp:rsid wsp:val=&quot;00991F03&quot;/&gt;&lt;wsp:rsid wsp:val=&quot;009925BD&quot;/&gt;&lt;wsp:rsid wsp:val=&quot;00992F40&quot;/&gt;&lt;wsp:rsid wsp:val=&quot;009952B4&quot;/&gt;&lt;wsp:rsid wsp:val=&quot;00995761&quot;/&gt;&lt;wsp:rsid wsp:val=&quot;00995991&quot;/&gt;&lt;wsp:rsid wsp:val=&quot;00997B91&quot;/&gt;&lt;wsp:rsid wsp:val=&quot;009A0A87&quot;/&gt;&lt;wsp:rsid wsp:val=&quot;009A1D86&quot;/&gt;&lt;wsp:rsid wsp:val=&quot;009A215B&quot;/&gt;&lt;wsp:rsid wsp:val=&quot;009A250B&quot;/&gt;&lt;wsp:rsid wsp:val=&quot;009A338F&quot;/&gt;&lt;wsp:rsid wsp:val=&quot;009A3C98&quot;/&gt;&lt;wsp:rsid wsp:val=&quot;009A4074&quot;/&gt;&lt;wsp:rsid wsp:val=&quot;009A465D&quot;/&gt;&lt;wsp:rsid wsp:val=&quot;009A4B54&quot;/&gt;&lt;wsp:rsid wsp:val=&quot;009A5490&quot;/&gt;&lt;wsp:rsid wsp:val=&quot;009A6383&quot;/&gt;&lt;wsp:rsid wsp:val=&quot;009A6C73&quot;/&gt;&lt;wsp:rsid wsp:val=&quot;009A74C8&quot;/&gt;&lt;wsp:rsid wsp:val=&quot;009B0E61&quot;/&gt;&lt;wsp:rsid wsp:val=&quot;009B26D4&quot;/&gt;&lt;wsp:rsid wsp:val=&quot;009B2E48&quot;/&gt;&lt;wsp:rsid wsp:val=&quot;009B2FD3&quot;/&gt;&lt;wsp:rsid wsp:val=&quot;009B3713&quot;/&gt;&lt;wsp:rsid wsp:val=&quot;009B39F9&quot;/&gt;&lt;wsp:rsid wsp:val=&quot;009B3D67&quot;/&gt;&lt;wsp:rsid wsp:val=&quot;009B4339&quot;/&gt;&lt;wsp:rsid wsp:val=&quot;009B52BC&quot;/&gt;&lt;wsp:rsid wsp:val=&quot;009B60A0&quot;/&gt;&lt;wsp:rsid wsp:val=&quot;009B69C1&quot;/&gt;&lt;wsp:rsid wsp:val=&quot;009C0494&quot;/&gt;&lt;wsp:rsid wsp:val=&quot;009C0AD8&quot;/&gt;&lt;wsp:rsid wsp:val=&quot;009C0E25&quot;/&gt;&lt;wsp:rsid wsp:val=&quot;009C24F1&quot;/&gt;&lt;wsp:rsid wsp:val=&quot;009C280E&quot;/&gt;&lt;wsp:rsid wsp:val=&quot;009C38BC&quot;/&gt;&lt;wsp:rsid wsp:val=&quot;009C5022&quot;/&gt;&lt;wsp:rsid wsp:val=&quot;009C5EF9&quot;/&gt;&lt;wsp:rsid wsp:val=&quot;009C61C3&quot;/&gt;&lt;wsp:rsid wsp:val=&quot;009C70D7&quot;/&gt;&lt;wsp:rsid wsp:val=&quot;009D098A&quot;/&gt;&lt;wsp:rsid wsp:val=&quot;009D0C95&quot;/&gt;&lt;wsp:rsid wsp:val=&quot;009D12CE&quot;/&gt;&lt;wsp:rsid wsp:val=&quot;009D172C&quot;/&gt;&lt;wsp:rsid wsp:val=&quot;009D1AE2&quot;/&gt;&lt;wsp:rsid wsp:val=&quot;009D1CB4&quot;/&gt;&lt;wsp:rsid wsp:val=&quot;009D23F7&quot;/&gt;&lt;wsp:rsid wsp:val=&quot;009D3F7B&quot;/&gt;&lt;wsp:rsid wsp:val=&quot;009D49FE&quot;/&gt;&lt;wsp:rsid wsp:val=&quot;009D4D1B&quot;/&gt;&lt;wsp:rsid wsp:val=&quot;009D5A95&quot;/&gt;&lt;wsp:rsid wsp:val=&quot;009E0C4F&quot;/&gt;&lt;wsp:rsid wsp:val=&quot;009E1075&quot;/&gt;&lt;wsp:rsid wsp:val=&quot;009E40E4&quot;/&gt;&lt;wsp:rsid wsp:val=&quot;009E47BD&quot;/&gt;&lt;wsp:rsid wsp:val=&quot;009E577E&quot;/&gt;&lt;wsp:rsid wsp:val=&quot;009E58FE&quot;/&gt;&lt;wsp:rsid wsp:val=&quot;009E7698&quot;/&gt;&lt;wsp:rsid wsp:val=&quot;009E79B0&quot;/&gt;&lt;wsp:rsid wsp:val=&quot;009E79FF&quot;/&gt;&lt;wsp:rsid wsp:val=&quot;009E7BFA&quot;/&gt;&lt;wsp:rsid wsp:val=&quot;009F0328&quot;/&gt;&lt;wsp:rsid wsp:val=&quot;009F03C6&quot;/&gt;&lt;wsp:rsid wsp:val=&quot;009F2FCC&quot;/&gt;&lt;wsp:rsid wsp:val=&quot;009F45EC&quot;/&gt;&lt;wsp:rsid wsp:val=&quot;009F4608&quot;/&gt;&lt;wsp:rsid wsp:val=&quot;009F5303&quot;/&gt;&lt;wsp:rsid wsp:val=&quot;009F65D6&quot;/&gt;&lt;wsp:rsid wsp:val=&quot;009F670B&quot;/&gt;&lt;wsp:rsid wsp:val=&quot;009F6CE6&quot;/&gt;&lt;wsp:rsid wsp:val=&quot;00A00AD1&quot;/&gt;&lt;wsp:rsid wsp:val=&quot;00A01427&quot;/&gt;&lt;wsp:rsid wsp:val=&quot;00A02998&quot;/&gt;&lt;wsp:rsid wsp:val=&quot;00A02C81&quot;/&gt;&lt;wsp:rsid wsp:val=&quot;00A02E44&quot;/&gt;&lt;wsp:rsid wsp:val=&quot;00A043E6&quot;/&gt;&lt;wsp:rsid wsp:val=&quot;00A0491F&quot;/&gt;&lt;wsp:rsid wsp:val=&quot;00A05DC5&quot;/&gt;&lt;wsp:rsid wsp:val=&quot;00A0641A&quot;/&gt;&lt;wsp:rsid wsp:val=&quot;00A070E5&quot;/&gt;&lt;wsp:rsid wsp:val=&quot;00A0721C&quot;/&gt;&lt;wsp:rsid wsp:val=&quot;00A07D2D&quot;/&gt;&lt;wsp:rsid wsp:val=&quot;00A10D61&quot;/&gt;&lt;wsp:rsid wsp:val=&quot;00A10E3F&quot;/&gt;&lt;wsp:rsid wsp:val=&quot;00A11CDA&quot;/&gt;&lt;wsp:rsid wsp:val=&quot;00A146E0&quot;/&gt;&lt;wsp:rsid wsp:val=&quot;00A14D7D&quot;/&gt;&lt;wsp:rsid wsp:val=&quot;00A152F4&quot;/&gt;&lt;wsp:rsid wsp:val=&quot;00A1604C&quot;/&gt;&lt;wsp:rsid wsp:val=&quot;00A16C75&quot;/&gt;&lt;wsp:rsid wsp:val=&quot;00A178C7&quot;/&gt;&lt;wsp:rsid wsp:val=&quot;00A215D9&quot;/&gt;&lt;wsp:rsid wsp:val=&quot;00A22230&quot;/&gt;&lt;wsp:rsid wsp:val=&quot;00A23855&quot;/&gt;&lt;wsp:rsid wsp:val=&quot;00A23D43&quot;/&gt;&lt;wsp:rsid wsp:val=&quot;00A23F6A&quot;/&gt;&lt;wsp:rsid wsp:val=&quot;00A24F96&quot;/&gt;&lt;wsp:rsid wsp:val=&quot;00A26A0E&quot;/&gt;&lt;wsp:rsid wsp:val=&quot;00A27255&quot;/&gt;&lt;wsp:rsid wsp:val=&quot;00A27D6F&quot;/&gt;&lt;wsp:rsid wsp:val=&quot;00A27FF0&quot;/&gt;&lt;wsp:rsid wsp:val=&quot;00A312A4&quot;/&gt;&lt;wsp:rsid wsp:val=&quot;00A31CD9&quot;/&gt;&lt;wsp:rsid wsp:val=&quot;00A32524&quot;/&gt;&lt;wsp:rsid wsp:val=&quot;00A32946&quot;/&gt;&lt;wsp:rsid wsp:val=&quot;00A3324D&quot;/&gt;&lt;wsp:rsid wsp:val=&quot;00A33A06&quot;/&gt;&lt;wsp:rsid wsp:val=&quot;00A352E9&quot;/&gt;&lt;wsp:rsid wsp:val=&quot;00A37996&quot;/&gt;&lt;wsp:rsid wsp:val=&quot;00A42D90&quot;/&gt;&lt;wsp:rsid wsp:val=&quot;00A42DF7&quot;/&gt;&lt;wsp:rsid wsp:val=&quot;00A4318F&quot;/&gt;&lt;wsp:rsid wsp:val=&quot;00A440E4&quot;/&gt;&lt;wsp:rsid wsp:val=&quot;00A44624&quot;/&gt;&lt;wsp:rsid wsp:val=&quot;00A463CF&quot;/&gt;&lt;wsp:rsid wsp:val=&quot;00A465E6&quot;/&gt;&lt;wsp:rsid wsp:val=&quot;00A46F8A&quot;/&gt;&lt;wsp:rsid wsp:val=&quot;00A503DA&quot;/&gt;&lt;wsp:rsid wsp:val=&quot;00A50F66&quot;/&gt;&lt;wsp:rsid wsp:val=&quot;00A511AC&quot;/&gt;&lt;wsp:rsid wsp:val=&quot;00A51900&quot;/&gt;&lt;wsp:rsid wsp:val=&quot;00A51A7D&quot;/&gt;&lt;wsp:rsid wsp:val=&quot;00A52BE8&quot;/&gt;&lt;wsp:rsid wsp:val=&quot;00A52CAE&quot;/&gt;&lt;wsp:rsid wsp:val=&quot;00A52F95&quot;/&gt;&lt;wsp:rsid wsp:val=&quot;00A552F2&quot;/&gt;&lt;wsp:rsid wsp:val=&quot;00A55659&quot;/&gt;&lt;wsp:rsid wsp:val=&quot;00A55997&quot;/&gt;&lt;wsp:rsid wsp:val=&quot;00A565E6&quot;/&gt;&lt;wsp:rsid wsp:val=&quot;00A567FC&quot;/&gt;&lt;wsp:rsid wsp:val=&quot;00A57866&quot;/&gt;&lt;wsp:rsid wsp:val=&quot;00A610F1&quot;/&gt;&lt;wsp:rsid wsp:val=&quot;00A62EF8&quot;/&gt;&lt;wsp:rsid wsp:val=&quot;00A6353D&quot;/&gt;&lt;wsp:rsid wsp:val=&quot;00A63EDD&quot;/&gt;&lt;wsp:rsid wsp:val=&quot;00A646E3&quot;/&gt;&lt;wsp:rsid wsp:val=&quot;00A64821&quot;/&gt;&lt;wsp:rsid wsp:val=&quot;00A6567C&quot;/&gt;&lt;wsp:rsid wsp:val=&quot;00A65870&quot;/&gt;&lt;wsp:rsid wsp:val=&quot;00A65E56&quot;/&gt;&lt;wsp:rsid wsp:val=&quot;00A6640E&quot;/&gt;&lt;wsp:rsid wsp:val=&quot;00A6668A&quot;/&gt;&lt;wsp:rsid wsp:val=&quot;00A666C2&quot;/&gt;&lt;wsp:rsid wsp:val=&quot;00A67110&quot;/&gt;&lt;wsp:rsid wsp:val=&quot;00A70AF2&quot;/&gt;&lt;wsp:rsid wsp:val=&quot;00A71327&quot;/&gt;&lt;wsp:rsid wsp:val=&quot;00A737A2&quot;/&gt;&lt;wsp:rsid wsp:val=&quot;00A75072&quot;/&gt;&lt;wsp:rsid wsp:val=&quot;00A766BD&quot;/&gt;&lt;wsp:rsid wsp:val=&quot;00A771BF&quot;/&gt;&lt;wsp:rsid wsp:val=&quot;00A77782&quot;/&gt;&lt;wsp:rsid wsp:val=&quot;00A77834&quot;/&gt;&lt;wsp:rsid wsp:val=&quot;00A77D58&quot;/&gt;&lt;wsp:rsid wsp:val=&quot;00A803CA&quot;/&gt;&lt;wsp:rsid wsp:val=&quot;00A815E5&quot;/&gt;&lt;wsp:rsid wsp:val=&quot;00A834B9&quot;/&gt;&lt;wsp:rsid wsp:val=&quot;00A834C6&quot;/&gt;&lt;wsp:rsid wsp:val=&quot;00A83E59&quot;/&gt;&lt;wsp:rsid wsp:val=&quot;00A854BE&quot;/&gt;&lt;wsp:rsid wsp:val=&quot;00A85736&quot;/&gt;&lt;wsp:rsid wsp:val=&quot;00A85A60&quot;/&gt;&lt;wsp:rsid wsp:val=&quot;00A86620&quot;/&gt;&lt;wsp:rsid wsp:val=&quot;00A909F7&quot;/&gt;&lt;wsp:rsid wsp:val=&quot;00A9107D&quot;/&gt;&lt;wsp:rsid wsp:val=&quot;00A922D4&quot;/&gt;&lt;wsp:rsid wsp:val=&quot;00A92A70&quot;/&gt;&lt;wsp:rsid wsp:val=&quot;00A9418F&quot;/&gt;&lt;wsp:rsid wsp:val=&quot;00A943F2&quot;/&gt;&lt;wsp:rsid wsp:val=&quot;00A94F2D&quot;/&gt;&lt;wsp:rsid wsp:val=&quot;00A95226&quot;/&gt;&lt;wsp:rsid wsp:val=&quot;00A95D7C&quot;/&gt;&lt;wsp:rsid wsp:val=&quot;00A960A2&quot;/&gt;&lt;wsp:rsid wsp:val=&quot;00A970E7&quot;/&gt;&lt;wsp:rsid wsp:val=&quot;00A97800&quot;/&gt;&lt;wsp:rsid wsp:val=&quot;00AA012E&quot;/&gt;&lt;wsp:rsid wsp:val=&quot;00AA02A4&quot;/&gt;&lt;wsp:rsid wsp:val=&quot;00AA1527&quot;/&gt;&lt;wsp:rsid wsp:val=&quot;00AA1544&quot;/&gt;&lt;wsp:rsid wsp:val=&quot;00AA36F5&quot;/&gt;&lt;wsp:rsid wsp:val=&quot;00AA4167&quot;/&gt;&lt;wsp:rsid wsp:val=&quot;00AA569E&quot;/&gt;&lt;wsp:rsid wsp:val=&quot;00AA68FC&quot;/&gt;&lt;wsp:rsid wsp:val=&quot;00AA7C6F&quot;/&gt;&lt;wsp:rsid wsp:val=&quot;00AB086F&quot;/&gt;&lt;wsp:rsid wsp:val=&quot;00AB1708&quot;/&gt;&lt;wsp:rsid wsp:val=&quot;00AB2234&quot;/&gt;&lt;wsp:rsid wsp:val=&quot;00AB383B&quot;/&gt;&lt;wsp:rsid wsp:val=&quot;00AB4E11&quot;/&gt;&lt;wsp:rsid wsp:val=&quot;00AC01FC&quot;/&gt;&lt;wsp:rsid wsp:val=&quot;00AC0229&quot;/&gt;&lt;wsp:rsid wsp:val=&quot;00AC0D24&quot;/&gt;&lt;wsp:rsid wsp:val=&quot;00AC3E17&quot;/&gt;&lt;wsp:rsid wsp:val=&quot;00AC54A9&quot;/&gt;&lt;wsp:rsid wsp:val=&quot;00AC58F8&quot;/&gt;&lt;wsp:rsid wsp:val=&quot;00AC5A0A&quot;/&gt;&lt;wsp:rsid wsp:val=&quot;00AC7F72&quot;/&gt;&lt;wsp:rsid wsp:val=&quot;00AD0091&quot;/&gt;&lt;wsp:rsid wsp:val=&quot;00AD05AA&quot;/&gt;&lt;wsp:rsid wsp:val=&quot;00AD19DB&quot;/&gt;&lt;wsp:rsid wsp:val=&quot;00AD3818&quot;/&gt;&lt;wsp:rsid wsp:val=&quot;00AD3BD2&quot;/&gt;&lt;wsp:rsid wsp:val=&quot;00AD47EE&quot;/&gt;&lt;wsp:rsid wsp:val=&quot;00AD535E&quot;/&gt;&lt;wsp:rsid wsp:val=&quot;00AD6803&quot;/&gt;&lt;wsp:rsid wsp:val=&quot;00AD6CFA&quot;/&gt;&lt;wsp:rsid wsp:val=&quot;00AD7AC8&quot;/&gt;&lt;wsp:rsid wsp:val=&quot;00AE3466&quot;/&gt;&lt;wsp:rsid wsp:val=&quot;00AE39C9&quot;/&gt;&lt;wsp:rsid wsp:val=&quot;00AE6246&quot;/&gt;&lt;wsp:rsid wsp:val=&quot;00AE6732&quot;/&gt;&lt;wsp:rsid wsp:val=&quot;00AE6F89&quot;/&gt;&lt;wsp:rsid wsp:val=&quot;00AE7AA7&quot;/&gt;&lt;wsp:rsid wsp:val=&quot;00AE7F38&quot;/&gt;&lt;wsp:rsid wsp:val=&quot;00AF3203&quot;/&gt;&lt;wsp:rsid wsp:val=&quot;00AF36E2&quot;/&gt;&lt;wsp:rsid wsp:val=&quot;00AF4B71&quot;/&gt;&lt;wsp:rsid wsp:val=&quot;00AF520D&quot;/&gt;&lt;wsp:rsid wsp:val=&quot;00AF69F1&quot;/&gt;&lt;wsp:rsid wsp:val=&quot;00AF7174&quot;/&gt;&lt;wsp:rsid wsp:val=&quot;00AF796A&quot;/&gt;&lt;wsp:rsid wsp:val=&quot;00AF7BE9&quot;/&gt;&lt;wsp:rsid wsp:val=&quot;00B00791&quot;/&gt;&lt;wsp:rsid wsp:val=&quot;00B022C6&quot;/&gt;&lt;wsp:rsid wsp:val=&quot;00B02678&quot;/&gt;&lt;wsp:rsid wsp:val=&quot;00B060C3&quot;/&gt;&lt;wsp:rsid wsp:val=&quot;00B10A90&quot;/&gt;&lt;wsp:rsid wsp:val=&quot;00B10B56&quot;/&gt;&lt;wsp:rsid wsp:val=&quot;00B10E00&quot;/&gt;&lt;wsp:rsid wsp:val=&quot;00B10F67&quot;/&gt;&lt;wsp:rsid wsp:val=&quot;00B112F0&quot;/&gt;&lt;wsp:rsid wsp:val=&quot;00B121BD&quot;/&gt;&lt;wsp:rsid wsp:val=&quot;00B12B55&quot;/&gt;&lt;wsp:rsid wsp:val=&quot;00B151FC&quot;/&gt;&lt;wsp:rsid wsp:val=&quot;00B15215&quot;/&gt;&lt;wsp:rsid wsp:val=&quot;00B1548C&quot;/&gt;&lt;wsp:rsid wsp:val=&quot;00B17431&quot;/&gt;&lt;wsp:rsid wsp:val=&quot;00B17C88&quot;/&gt;&lt;wsp:rsid wsp:val=&quot;00B17F93&quot;/&gt;&lt;wsp:rsid wsp:val=&quot;00B204E8&quot;/&gt;&lt;wsp:rsid wsp:val=&quot;00B2181C&quot;/&gt;&lt;wsp:rsid wsp:val=&quot;00B2215E&quot;/&gt;&lt;wsp:rsid wsp:val=&quot;00B2255A&quot;/&gt;&lt;wsp:rsid wsp:val=&quot;00B23CBB&quot;/&gt;&lt;wsp:rsid wsp:val=&quot;00B23FF3&quot;/&gt;&lt;wsp:rsid wsp:val=&quot;00B24A83&quot;/&gt;&lt;wsp:rsid wsp:val=&quot;00B25D0E&quot;/&gt;&lt;wsp:rsid wsp:val=&quot;00B25DA4&quot;/&gt;&lt;wsp:rsid wsp:val=&quot;00B26CB9&quot;/&gt;&lt;wsp:rsid wsp:val=&quot;00B30492&quot;/&gt;&lt;wsp:rsid wsp:val=&quot;00B30E43&quot;/&gt;&lt;wsp:rsid wsp:val=&quot;00B31216&quot;/&gt;&lt;wsp:rsid wsp:val=&quot;00B32095&quot;/&gt;&lt;wsp:rsid wsp:val=&quot;00B32ACF&quot;/&gt;&lt;wsp:rsid wsp:val=&quot;00B3322C&quot;/&gt;&lt;wsp:rsid wsp:val=&quot;00B33622&quot;/&gt;&lt;wsp:rsid wsp:val=&quot;00B338A7&quot;/&gt;&lt;wsp:rsid wsp:val=&quot;00B33919&quot;/&gt;&lt;wsp:rsid wsp:val=&quot;00B34A8F&quot;/&gt;&lt;wsp:rsid wsp:val=&quot;00B3593C&quot;/&gt;&lt;wsp:rsid wsp:val=&quot;00B368D9&quot;/&gt;&lt;wsp:rsid wsp:val=&quot;00B37409&quot;/&gt;&lt;wsp:rsid wsp:val=&quot;00B40964&quot;/&gt;&lt;wsp:rsid wsp:val=&quot;00B41DC0&quot;/&gt;&lt;wsp:rsid wsp:val=&quot;00B4217F&quot;/&gt;&lt;wsp:rsid wsp:val=&quot;00B43D3D&quot;/&gt;&lt;wsp:rsid wsp:val=&quot;00B44C11&quot;/&gt;&lt;wsp:rsid wsp:val=&quot;00B4778E&quot;/&gt;&lt;wsp:rsid wsp:val=&quot;00B50626&quot;/&gt;&lt;wsp:rsid wsp:val=&quot;00B5172C&quot;/&gt;&lt;wsp:rsid wsp:val=&quot;00B531E5&quot;/&gt;&lt;wsp:rsid wsp:val=&quot;00B54B42&quot;/&gt;&lt;wsp:rsid wsp:val=&quot;00B56121&quot;/&gt;&lt;wsp:rsid wsp:val=&quot;00B56158&quot;/&gt;&lt;wsp:rsid wsp:val=&quot;00B56262&quot;/&gt;&lt;wsp:rsid wsp:val=&quot;00B570F9&quot;/&gt;&lt;wsp:rsid wsp:val=&quot;00B5781E&quot;/&gt;&lt;wsp:rsid wsp:val=&quot;00B60978&quot;/&gt;&lt;wsp:rsid wsp:val=&quot;00B60DEA&quot;/&gt;&lt;wsp:rsid wsp:val=&quot;00B61BFF&quot;/&gt;&lt;wsp:rsid wsp:val=&quot;00B620E0&quot;/&gt;&lt;wsp:rsid wsp:val=&quot;00B628AE&quot;/&gt;&lt;wsp:rsid wsp:val=&quot;00B6401C&quot;/&gt;&lt;wsp:rsid wsp:val=&quot;00B64C2D&quot;/&gt;&lt;wsp:rsid wsp:val=&quot;00B66DA1&quot;/&gt;&lt;wsp:rsid wsp:val=&quot;00B66E8A&quot;/&gt;&lt;wsp:rsid wsp:val=&quot;00B7061E&quot;/&gt;&lt;wsp:rsid wsp:val=&quot;00B70CC4&quot;/&gt;&lt;wsp:rsid wsp:val=&quot;00B71F5A&quot;/&gt;&lt;wsp:rsid wsp:val=&quot;00B72311&quot;/&gt;&lt;wsp:rsid wsp:val=&quot;00B72E3A&quot;/&gt;&lt;wsp:rsid wsp:val=&quot;00B761D3&quot;/&gt;&lt;wsp:rsid wsp:val=&quot;00B76C13&quot;/&gt;&lt;wsp:rsid wsp:val=&quot;00B76CE8&quot;/&gt;&lt;wsp:rsid wsp:val=&quot;00B77866&quot;/&gt;&lt;wsp:rsid wsp:val=&quot;00B81FFA&quot;/&gt;&lt;wsp:rsid wsp:val=&quot;00B823DF&quot;/&gt;&lt;wsp:rsid wsp:val=&quot;00B834C9&quot;/&gt;&lt;wsp:rsid wsp:val=&quot;00B83592&quot;/&gt;&lt;wsp:rsid wsp:val=&quot;00B84109&quot;/&gt;&lt;wsp:rsid wsp:val=&quot;00B845F8&quot;/&gt;&lt;wsp:rsid wsp:val=&quot;00B863FD&quot;/&gt;&lt;wsp:rsid wsp:val=&quot;00B866DB&quot;/&gt;&lt;wsp:rsid wsp:val=&quot;00B87702&quot;/&gt;&lt;wsp:rsid wsp:val=&quot;00B8786A&quot;/&gt;&lt;wsp:rsid wsp:val=&quot;00B9008B&quot;/&gt;&lt;wsp:rsid wsp:val=&quot;00B90983&quot;/&gt;&lt;wsp:rsid wsp:val=&quot;00B90FDA&quot;/&gt;&lt;wsp:rsid wsp:val=&quot;00B91DC7&quot;/&gt;&lt;wsp:rsid wsp:val=&quot;00B91ED5&quot;/&gt;&lt;wsp:rsid wsp:val=&quot;00B93391&quot;/&gt;&lt;wsp:rsid wsp:val=&quot;00B93CE7&quot;/&gt;&lt;wsp:rsid wsp:val=&quot;00B94465&quot;/&gt;&lt;wsp:rsid wsp:val=&quot;00B95469&quot;/&gt;&lt;wsp:rsid wsp:val=&quot;00B96A29&quot;/&gt;&lt;wsp:rsid wsp:val=&quot;00B97927&quot;/&gt;&lt;wsp:rsid wsp:val=&quot;00BA0C59&quot;/&gt;&lt;wsp:rsid wsp:val=&quot;00BA1305&quot;/&gt;&lt;wsp:rsid wsp:val=&quot;00BA2826&quot;/&gt;&lt;wsp:rsid wsp:val=&quot;00BA2918&quot;/&gt;&lt;wsp:rsid wsp:val=&quot;00BA2EF8&quot;/&gt;&lt;wsp:rsid wsp:val=&quot;00BA4154&quot;/&gt;&lt;wsp:rsid wsp:val=&quot;00BA71EF&quot;/&gt;&lt;wsp:rsid wsp:val=&quot;00BA780C&quot;/&gt;&lt;wsp:rsid wsp:val=&quot;00BB0645&quot;/&gt;&lt;wsp:rsid wsp:val=&quot;00BB0C50&quot;/&gt;&lt;wsp:rsid wsp:val=&quot;00BB14AA&quot;/&gt;&lt;wsp:rsid wsp:val=&quot;00BB1819&quot;/&gt;&lt;wsp:rsid wsp:val=&quot;00BB2026&quot;/&gt;&lt;wsp:rsid wsp:val=&quot;00BB390A&quot;/&gt;&lt;wsp:rsid wsp:val=&quot;00BB3DF2&quot;/&gt;&lt;wsp:rsid wsp:val=&quot;00BB4592&quot;/&gt;&lt;wsp:rsid wsp:val=&quot;00BB499E&quot;/&gt;&lt;wsp:rsid wsp:val=&quot;00BB5C50&quot;/&gt;&lt;wsp:rsid wsp:val=&quot;00BC0817&quot;/&gt;&lt;wsp:rsid wsp:val=&quot;00BC1EF9&quot;/&gt;&lt;wsp:rsid wsp:val=&quot;00BC406C&quot;/&gt;&lt;wsp:rsid wsp:val=&quot;00BC40EE&quot;/&gt;&lt;wsp:rsid wsp:val=&quot;00BC48AF&quot;/&gt;&lt;wsp:rsid wsp:val=&quot;00BC6B28&quot;/&gt;&lt;wsp:rsid wsp:val=&quot;00BD002B&quot;/&gt;&lt;wsp:rsid wsp:val=&quot;00BD19D8&quot;/&gt;&lt;wsp:rsid wsp:val=&quot;00BD21AC&quot;/&gt;&lt;wsp:rsid wsp:val=&quot;00BD2DD6&quot;/&gt;&lt;wsp:rsid wsp:val=&quot;00BD3510&quot;/&gt;&lt;wsp:rsid wsp:val=&quot;00BD56A9&quot;/&gt;&lt;wsp:rsid wsp:val=&quot;00BD57E5&quot;/&gt;&lt;wsp:rsid wsp:val=&quot;00BD6D78&quot;/&gt;&lt;wsp:rsid wsp:val=&quot;00BD7A9D&quot;/&gt;&lt;wsp:rsid wsp:val=&quot;00BD7D4B&quot;/&gt;&lt;wsp:rsid wsp:val=&quot;00BE1343&quot;/&gt;&lt;wsp:rsid wsp:val=&quot;00BE29AA&quot;/&gt;&lt;wsp:rsid wsp:val=&quot;00BE33D8&quot;/&gt;&lt;wsp:rsid wsp:val=&quot;00BE3BA2&quot;/&gt;&lt;wsp:rsid wsp:val=&quot;00BE4F73&quot;/&gt;&lt;wsp:rsid wsp:val=&quot;00BE6A72&quot;/&gt;&lt;wsp:rsid wsp:val=&quot;00BE6EFA&quot;/&gt;&lt;wsp:rsid wsp:val=&quot;00BE7D14&quot;/&gt;&lt;wsp:rsid wsp:val=&quot;00BF05A7&quot;/&gt;&lt;wsp:rsid wsp:val=&quot;00BF08EB&quot;/&gt;&lt;wsp:rsid wsp:val=&quot;00BF2091&quot;/&gt;&lt;wsp:rsid wsp:val=&quot;00BF2CA7&quot;/&gt;&lt;wsp:rsid wsp:val=&quot;00BF31AB&quot;/&gt;&lt;wsp:rsid wsp:val=&quot;00BF3DE1&quot;/&gt;&lt;wsp:rsid wsp:val=&quot;00BF4463&quot;/&gt;&lt;wsp:rsid wsp:val=&quot;00BF5581&quot;/&gt;&lt;wsp:rsid wsp:val=&quot;00BF5923&quot;/&gt;&lt;wsp:rsid wsp:val=&quot;00BF5DE0&quot;/&gt;&lt;wsp:rsid wsp:val=&quot;00BF79F3&quot;/&gt;&lt;wsp:rsid wsp:val=&quot;00C004E6&quot;/&gt;&lt;wsp:rsid wsp:val=&quot;00C005F8&quot;/&gt;&lt;wsp:rsid wsp:val=&quot;00C0060B&quot;/&gt;&lt;wsp:rsid wsp:val=&quot;00C02ED2&quot;/&gt;&lt;wsp:rsid wsp:val=&quot;00C04757&quot;/&gt;&lt;wsp:rsid wsp:val=&quot;00C073ED&quot;/&gt;&lt;wsp:rsid wsp:val=&quot;00C0775F&quot;/&gt;&lt;wsp:rsid wsp:val=&quot;00C10573&quot;/&gt;&lt;wsp:rsid wsp:val=&quot;00C126FB&quot;/&gt;&lt;wsp:rsid wsp:val=&quot;00C143B0&quot;/&gt;&lt;wsp:rsid wsp:val=&quot;00C143DF&quot;/&gt;&lt;wsp:rsid wsp:val=&quot;00C14E26&quot;/&gt;&lt;wsp:rsid wsp:val=&quot;00C1560A&quot;/&gt;&lt;wsp:rsid wsp:val=&quot;00C16BC6&quot;/&gt;&lt;wsp:rsid wsp:val=&quot;00C170F6&quot;/&gt;&lt;wsp:rsid wsp:val=&quot;00C20B4E&quot;/&gt;&lt;wsp:rsid wsp:val=&quot;00C22F9B&quot;/&gt;&lt;wsp:rsid wsp:val=&quot;00C24610&quot;/&gt;&lt;wsp:rsid wsp:val=&quot;00C262D2&quot;/&gt;&lt;wsp:rsid wsp:val=&quot;00C26946&quot;/&gt;&lt;wsp:rsid wsp:val=&quot;00C26AC8&quot;/&gt;&lt;wsp:rsid wsp:val=&quot;00C30706&quot;/&gt;&lt;wsp:rsid wsp:val=&quot;00C30A6B&quot;/&gt;&lt;wsp:rsid wsp:val=&quot;00C3192C&quot;/&gt;&lt;wsp:rsid wsp:val=&quot;00C31F9C&quot;/&gt;&lt;wsp:rsid wsp:val=&quot;00C32B8D&quot;/&gt;&lt;wsp:rsid wsp:val=&quot;00C33191&quot;/&gt;&lt;wsp:rsid wsp:val=&quot;00C33D52&quot;/&gt;&lt;wsp:rsid wsp:val=&quot;00C33DBB&quot;/&gt;&lt;wsp:rsid wsp:val=&quot;00C34254&quot;/&gt;&lt;wsp:rsid wsp:val=&quot;00C34EE9&quot;/&gt;&lt;wsp:rsid wsp:val=&quot;00C35C0A&quot;/&gt;&lt;wsp:rsid wsp:val=&quot;00C363D8&quot;/&gt;&lt;wsp:rsid wsp:val=&quot;00C3778D&quot;/&gt;&lt;wsp:rsid wsp:val=&quot;00C37C18&quot;/&gt;&lt;wsp:rsid wsp:val=&quot;00C4100C&quot;/&gt;&lt;wsp:rsid wsp:val=&quot;00C414B8&quot;/&gt;&lt;wsp:rsid wsp:val=&quot;00C41693&quot;/&gt;&lt;wsp:rsid wsp:val=&quot;00C41DE0&quot;/&gt;&lt;wsp:rsid wsp:val=&quot;00C423CE&quot;/&gt;&lt;wsp:rsid wsp:val=&quot;00C42969&quot;/&gt;&lt;wsp:rsid wsp:val=&quot;00C443CC&quot;/&gt;&lt;wsp:rsid wsp:val=&quot;00C44A49&quot;/&gt;&lt;wsp:rsid wsp:val=&quot;00C457B2&quot;/&gt;&lt;wsp:rsid wsp:val=&quot;00C461AA&quot;/&gt;&lt;wsp:rsid wsp:val=&quot;00C461F5&quot;/&gt;&lt;wsp:rsid wsp:val=&quot;00C473E1&quot;/&gt;&lt;wsp:rsid wsp:val=&quot;00C5061F&quot;/&gt;&lt;wsp:rsid wsp:val=&quot;00C51571&quot;/&gt;&lt;wsp:rsid wsp:val=&quot;00C515FD&quot;/&gt;&lt;wsp:rsid wsp:val=&quot;00C5196A&quot;/&gt;&lt;wsp:rsid wsp:val=&quot;00C53091&quot;/&gt;&lt;wsp:rsid wsp:val=&quot;00C5378C&quot;/&gt;&lt;wsp:rsid wsp:val=&quot;00C53C2B&quot;/&gt;&lt;wsp:rsid wsp:val=&quot;00C54012&quot;/&gt;&lt;wsp:rsid wsp:val=&quot;00C54B7F&quot;/&gt;&lt;wsp:rsid wsp:val=&quot;00C54FF5&quot;/&gt;&lt;wsp:rsid wsp:val=&quot;00C5504E&quot;/&gt;&lt;wsp:rsid wsp:val=&quot;00C576AF&quot;/&gt;&lt;wsp:rsid wsp:val=&quot;00C5794D&quot;/&gt;&lt;wsp:rsid wsp:val=&quot;00C60F5D&quot;/&gt;&lt;wsp:rsid wsp:val=&quot;00C627B4&quot;/&gt;&lt;wsp:rsid wsp:val=&quot;00C63386&quot;/&gt;&lt;wsp:rsid wsp:val=&quot;00C638D3&quot;/&gt;&lt;wsp:rsid wsp:val=&quot;00C638E2&quot;/&gt;&lt;wsp:rsid wsp:val=&quot;00C63FD6&quot;/&gt;&lt;wsp:rsid wsp:val=&quot;00C644C8&quot;/&gt;&lt;wsp:rsid wsp:val=&quot;00C65845&quot;/&gt;&lt;wsp:rsid wsp:val=&quot;00C65C1C&quot;/&gt;&lt;wsp:rsid wsp:val=&quot;00C6749C&quot;/&gt;&lt;wsp:rsid wsp:val=&quot;00C67AB0&quot;/&gt;&lt;wsp:rsid wsp:val=&quot;00C7028D&quot;/&gt;&lt;wsp:rsid wsp:val=&quot;00C70566&quot;/&gt;&lt;wsp:rsid wsp:val=&quot;00C70D49&quot;/&gt;&lt;wsp:rsid wsp:val=&quot;00C73068&quot;/&gt;&lt;wsp:rsid wsp:val=&quot;00C7346C&quot;/&gt;&lt;wsp:rsid wsp:val=&quot;00C737C5&quot;/&gt;&lt;wsp:rsid wsp:val=&quot;00C748FE&quot;/&gt;&lt;wsp:rsid wsp:val=&quot;00C74C88&quot;/&gt;&lt;wsp:rsid wsp:val=&quot;00C7560C&quot;/&gt;&lt;wsp:rsid wsp:val=&quot;00C764C3&quot;/&gt;&lt;wsp:rsid wsp:val=&quot;00C769B6&quot;/&gt;&lt;wsp:rsid wsp:val=&quot;00C76BFC&quot;/&gt;&lt;wsp:rsid wsp:val=&quot;00C77934&quot;/&gt;&lt;wsp:rsid wsp:val=&quot;00C80B7A&quot;/&gt;&lt;wsp:rsid wsp:val=&quot;00C81539&quot;/&gt;&lt;wsp:rsid wsp:val=&quot;00C825AD&quot;/&gt;&lt;wsp:rsid wsp:val=&quot;00C84168&quot;/&gt;&lt;wsp:rsid wsp:val=&quot;00C84268&quot;/&gt;&lt;wsp:rsid wsp:val=&quot;00C843F0&quot;/&gt;&lt;wsp:rsid wsp:val=&quot;00C84A20&quot;/&gt;&lt;wsp:rsid wsp:val=&quot;00C84B4A&quot;/&gt;&lt;wsp:rsid wsp:val=&quot;00C85DCD&quot;/&gt;&lt;wsp:rsid wsp:val=&quot;00C8647D&quot;/&gt;&lt;wsp:rsid wsp:val=&quot;00C865A8&quot;/&gt;&lt;wsp:rsid wsp:val=&quot;00C86776&quot;/&gt;&lt;wsp:rsid wsp:val=&quot;00C86D80&quot;/&gt;&lt;wsp:rsid wsp:val=&quot;00C86ECA&quot;/&gt;&lt;wsp:rsid wsp:val=&quot;00C870E4&quot;/&gt;&lt;wsp:rsid wsp:val=&quot;00C87F32&quot;/&gt;&lt;wsp:rsid wsp:val=&quot;00C922A7&quot;/&gt;&lt;wsp:rsid wsp:val=&quot;00C929CA&quot;/&gt;&lt;wsp:rsid wsp:val=&quot;00C9451D&quot;/&gt;&lt;wsp:rsid wsp:val=&quot;00C95148&quot;/&gt;&lt;wsp:rsid wsp:val=&quot;00C96C86&quot;/&gt;&lt;wsp:rsid wsp:val=&quot;00C97392&quot;/&gt;&lt;wsp:rsid wsp:val=&quot;00C97716&quot;/&gt;&lt;wsp:rsid wsp:val=&quot;00CA173B&quot;/&gt;&lt;wsp:rsid wsp:val=&quot;00CA2A95&quot;/&gt;&lt;wsp:rsid wsp:val=&quot;00CA376E&quot;/&gt;&lt;wsp:rsid wsp:val=&quot;00CA4FEF&quot;/&gt;&lt;wsp:rsid wsp:val=&quot;00CA6450&quot;/&gt;&lt;wsp:rsid wsp:val=&quot;00CA72DF&quot;/&gt;&lt;wsp:rsid wsp:val=&quot;00CA796A&quot;/&gt;&lt;wsp:rsid wsp:val=&quot;00CB118E&quot;/&gt;&lt;wsp:rsid wsp:val=&quot;00CB12DD&quot;/&gt;&lt;wsp:rsid wsp:val=&quot;00CB181C&quot;/&gt;&lt;wsp:rsid wsp:val=&quot;00CB2282&quot;/&gt;&lt;wsp:rsid wsp:val=&quot;00CB25C2&quot;/&gt;&lt;wsp:rsid wsp:val=&quot;00CB2B68&quot;/&gt;&lt;wsp:rsid wsp:val=&quot;00CB34FE&quot;/&gt;&lt;wsp:rsid wsp:val=&quot;00CB44FC&quot;/&gt;&lt;wsp:rsid wsp:val=&quot;00CB5704&quot;/&gt;&lt;wsp:rsid wsp:val=&quot;00CB5B8E&quot;/&gt;&lt;wsp:rsid wsp:val=&quot;00CB6397&quot;/&gt;&lt;wsp:rsid wsp:val=&quot;00CB6D39&quot;/&gt;&lt;wsp:rsid wsp:val=&quot;00CB7B92&quot;/&gt;&lt;wsp:rsid wsp:val=&quot;00CC20F9&quot;/&gt;&lt;wsp:rsid wsp:val=&quot;00CC2254&quot;/&gt;&lt;wsp:rsid wsp:val=&quot;00CC3BBA&quot;/&gt;&lt;wsp:rsid wsp:val=&quot;00CC450C&quot;/&gt;&lt;wsp:rsid wsp:val=&quot;00CC4FE3&quot;/&gt;&lt;wsp:rsid wsp:val=&quot;00CC50BE&quot;/&gt;&lt;wsp:rsid wsp:val=&quot;00CC5207&quot;/&gt;&lt;wsp:rsid wsp:val=&quot;00CC5D4C&quot;/&gt;&lt;wsp:rsid wsp:val=&quot;00CC7965&quot;/&gt;&lt;wsp:rsid wsp:val=&quot;00CD0906&quot;/&gt;&lt;wsp:rsid wsp:val=&quot;00CD16BB&quot;/&gt;&lt;wsp:rsid wsp:val=&quot;00CD1F1C&quot;/&gt;&lt;wsp:rsid wsp:val=&quot;00CD25F1&quot;/&gt;&lt;wsp:rsid wsp:val=&quot;00CD3C94&quot;/&gt;&lt;wsp:rsid wsp:val=&quot;00CD44C7&quot;/&gt;&lt;wsp:rsid wsp:val=&quot;00CD6FAC&quot;/&gt;&lt;wsp:rsid wsp:val=&quot;00CD7565&quot;/&gt;&lt;wsp:rsid wsp:val=&quot;00CD7680&quot;/&gt;&lt;wsp:rsid wsp:val=&quot;00CE04A1&quot;/&gt;&lt;wsp:rsid wsp:val=&quot;00CE2FA7&quot;/&gt;&lt;wsp:rsid wsp:val=&quot;00CE5BC3&quot;/&gt;&lt;wsp:rsid wsp:val=&quot;00CE61B8&quot;/&gt;&lt;wsp:rsid wsp:val=&quot;00CE6896&quot;/&gt;&lt;wsp:rsid wsp:val=&quot;00CE6E61&quot;/&gt;&lt;wsp:rsid wsp:val=&quot;00CE7F1C&quot;/&gt;&lt;wsp:rsid wsp:val=&quot;00CF0221&quot;/&gt;&lt;wsp:rsid wsp:val=&quot;00CF03C6&quot;/&gt;&lt;wsp:rsid wsp:val=&quot;00CF2163&quot;/&gt;&lt;wsp:rsid wsp:val=&quot;00CF3554&quot;/&gt;&lt;wsp:rsid wsp:val=&quot;00CF4A5B&quot;/&gt;&lt;wsp:rsid wsp:val=&quot;00CF52A4&quot;/&gt;&lt;wsp:rsid wsp:val=&quot;00CF56F5&quot;/&gt;&lt;wsp:rsid wsp:val=&quot;00CF575C&quot;/&gt;&lt;wsp:rsid wsp:val=&quot;00CF5B4C&quot;/&gt;&lt;wsp:rsid wsp:val=&quot;00CF67BE&quot;/&gt;&lt;wsp:rsid wsp:val=&quot;00D00E01&quot;/&gt;&lt;wsp:rsid wsp:val=&quot;00D01A97&quot;/&gt;&lt;wsp:rsid wsp:val=&quot;00D02A20&quot;/&gt;&lt;wsp:rsid wsp:val=&quot;00D02BBE&quot;/&gt;&lt;wsp:rsid wsp:val=&quot;00D03119&quot;/&gt;&lt;wsp:rsid wsp:val=&quot;00D0386A&quot;/&gt;&lt;wsp:rsid wsp:val=&quot;00D05391&quot;/&gt;&lt;wsp:rsid wsp:val=&quot;00D053B1&quot;/&gt;&lt;wsp:rsid wsp:val=&quot;00D066BC&quot;/&gt;&lt;wsp:rsid wsp:val=&quot;00D1012A&quot;/&gt;&lt;wsp:rsid wsp:val=&quot;00D102F4&quot;/&gt;&lt;wsp:rsid wsp:val=&quot;00D1042B&quot;/&gt;&lt;wsp:rsid wsp:val=&quot;00D1088A&quot;/&gt;&lt;wsp:rsid wsp:val=&quot;00D108FD&quot;/&gt;&lt;wsp:rsid wsp:val=&quot;00D124EA&quot;/&gt;&lt;wsp:rsid wsp:val=&quot;00D12F15&quot;/&gt;&lt;wsp:rsid wsp:val=&quot;00D12FA7&quot;/&gt;&lt;wsp:rsid wsp:val=&quot;00D144B3&quot;/&gt;&lt;wsp:rsid wsp:val=&quot;00D14BB3&quot;/&gt;&lt;wsp:rsid wsp:val=&quot;00D14FDB&quot;/&gt;&lt;wsp:rsid wsp:val=&quot;00D1544D&quot;/&gt;&lt;wsp:rsid wsp:val=&quot;00D1654B&quot;/&gt;&lt;wsp:rsid wsp:val=&quot;00D16DF0&quot;/&gt;&lt;wsp:rsid wsp:val=&quot;00D16FBA&quot;/&gt;&lt;wsp:rsid wsp:val=&quot;00D1750C&quot;/&gt;&lt;wsp:rsid wsp:val=&quot;00D177F4&quot;/&gt;&lt;wsp:rsid wsp:val=&quot;00D17CD0&quot;/&gt;&lt;wsp:rsid wsp:val=&quot;00D17CE7&quot;/&gt;&lt;wsp:rsid wsp:val=&quot;00D207FE&quot;/&gt;&lt;wsp:rsid wsp:val=&quot;00D2266D&quot;/&gt;&lt;wsp:rsid wsp:val=&quot;00D22B6B&quot;/&gt;&lt;wsp:rsid wsp:val=&quot;00D23639&quot;/&gt;&lt;wsp:rsid wsp:val=&quot;00D24392&quot;/&gt;&lt;wsp:rsid wsp:val=&quot;00D24876&quot;/&gt;&lt;wsp:rsid wsp:val=&quot;00D251BF&quot;/&gt;&lt;wsp:rsid wsp:val=&quot;00D26448&quot;/&gt;&lt;wsp:rsid wsp:val=&quot;00D30A4A&quot;/&gt;&lt;wsp:rsid wsp:val=&quot;00D3153C&quot;/&gt;&lt;wsp:rsid wsp:val=&quot;00D31DFC&quot;/&gt;&lt;wsp:rsid wsp:val=&quot;00D32AB8&quot;/&gt;&lt;wsp:rsid wsp:val=&quot;00D32FEB&quot;/&gt;&lt;wsp:rsid wsp:val=&quot;00D330F3&quot;/&gt;&lt;wsp:rsid wsp:val=&quot;00D336B5&quot;/&gt;&lt;wsp:rsid wsp:val=&quot;00D345E6&quot;/&gt;&lt;wsp:rsid wsp:val=&quot;00D3529E&quot;/&gt;&lt;wsp:rsid wsp:val=&quot;00D354DD&quot;/&gt;&lt;wsp:rsid wsp:val=&quot;00D35A16&quot;/&gt;&lt;wsp:rsid wsp:val=&quot;00D35FBB&quot;/&gt;&lt;wsp:rsid wsp:val=&quot;00D40467&quot;/&gt;&lt;wsp:rsid wsp:val=&quot;00D40E39&quot;/&gt;&lt;wsp:rsid wsp:val=&quot;00D40EDE&quot;/&gt;&lt;wsp:rsid wsp:val=&quot;00D413BA&quot;/&gt;&lt;wsp:rsid wsp:val=&quot;00D417B1&quot;/&gt;&lt;wsp:rsid wsp:val=&quot;00D4196D&quot;/&gt;&lt;wsp:rsid wsp:val=&quot;00D427A9&quot;/&gt;&lt;wsp:rsid wsp:val=&quot;00D42D80&quot;/&gt;&lt;wsp:rsid wsp:val=&quot;00D42FC1&quot;/&gt;&lt;wsp:rsid wsp:val=&quot;00D43C85&quot;/&gt;&lt;wsp:rsid wsp:val=&quot;00D45200&quot;/&gt;&lt;wsp:rsid wsp:val=&quot;00D45569&quot;/&gt;&lt;wsp:rsid wsp:val=&quot;00D47340&quot;/&gt;&lt;wsp:rsid wsp:val=&quot;00D50023&quot;/&gt;&lt;wsp:rsid wsp:val=&quot;00D5108D&quot;/&gt;&lt;wsp:rsid wsp:val=&quot;00D51321&quot;/&gt;&lt;wsp:rsid wsp:val=&quot;00D51943&quot;/&gt;&lt;wsp:rsid wsp:val=&quot;00D51CF1&quot;/&gt;&lt;wsp:rsid wsp:val=&quot;00D5202E&quot;/&gt;&lt;wsp:rsid wsp:val=&quot;00D527A6&quot;/&gt;&lt;wsp:rsid wsp:val=&quot;00D52F2F&quot;/&gt;&lt;wsp:rsid wsp:val=&quot;00D53694&quot;/&gt;&lt;wsp:rsid wsp:val=&quot;00D573C0&quot;/&gt;&lt;wsp:rsid wsp:val=&quot;00D577ED&quot;/&gt;&lt;wsp:rsid wsp:val=&quot;00D609F4&quot;/&gt;&lt;wsp:rsid wsp:val=&quot;00D61A48&quot;/&gt;&lt;wsp:rsid wsp:val=&quot;00D61CB9&quot;/&gt;&lt;wsp:rsid wsp:val=&quot;00D62315&quot;/&gt;&lt;wsp:rsid wsp:val=&quot;00D62A2E&quot;/&gt;&lt;wsp:rsid wsp:val=&quot;00D6433B&quot;/&gt;&lt;wsp:rsid wsp:val=&quot;00D65253&quot;/&gt;&lt;wsp:rsid wsp:val=&quot;00D70DD0&quot;/&gt;&lt;wsp:rsid wsp:val=&quot;00D70E61&quot;/&gt;&lt;wsp:rsid wsp:val=&quot;00D72147&quot;/&gt;&lt;wsp:rsid wsp:val=&quot;00D7310B&quot;/&gt;&lt;wsp:rsid wsp:val=&quot;00D734E9&quot;/&gt;&lt;wsp:rsid wsp:val=&quot;00D73E8F&quot;/&gt;&lt;wsp:rsid wsp:val=&quot;00D7465E&quot;/&gt;&lt;wsp:rsid wsp:val=&quot;00D7524D&quot;/&gt;&lt;wsp:rsid wsp:val=&quot;00D756F2&quot;/&gt;&lt;wsp:rsid wsp:val=&quot;00D758CD&quot;/&gt;&lt;wsp:rsid wsp:val=&quot;00D75F72&quot;/&gt;&lt;wsp:rsid wsp:val=&quot;00D7631D&quot;/&gt;&lt;wsp:rsid wsp:val=&quot;00D771DE&quot;/&gt;&lt;wsp:rsid wsp:val=&quot;00D801B2&quot;/&gt;&lt;wsp:rsid wsp:val=&quot;00D81625&quot;/&gt;&lt;wsp:rsid wsp:val=&quot;00D81B6A&quot;/&gt;&lt;wsp:rsid wsp:val=&quot;00D844E2&quot;/&gt;&lt;wsp:rsid wsp:val=&quot;00D852C3&quot;/&gt;&lt;wsp:rsid wsp:val=&quot;00D85AB8&quot;/&gt;&lt;wsp:rsid wsp:val=&quot;00D8716C&quot;/&gt;&lt;wsp:rsid wsp:val=&quot;00D9111B&quot;/&gt;&lt;wsp:rsid wsp:val=&quot;00D914FF&quot;/&gt;&lt;wsp:rsid wsp:val=&quot;00D91A1F&quot;/&gt;&lt;wsp:rsid wsp:val=&quot;00D92B46&quot;/&gt;&lt;wsp:rsid wsp:val=&quot;00D92F90&quot;/&gt;&lt;wsp:rsid wsp:val=&quot;00D93C17&quot;/&gt;&lt;wsp:rsid wsp:val=&quot;00D93FE3&quot;/&gt;&lt;wsp:rsid wsp:val=&quot;00D94A31&quot;/&gt;&lt;wsp:rsid wsp:val=&quot;00D95005&quot;/&gt;&lt;wsp:rsid wsp:val=&quot;00D95053&quot;/&gt;&lt;wsp:rsid wsp:val=&quot;00D962A0&quot;/&gt;&lt;wsp:rsid wsp:val=&quot;00D96425&quot;/&gt;&lt;wsp:rsid wsp:val=&quot;00DA1506&quot;/&gt;&lt;wsp:rsid wsp:val=&quot;00DA176A&quot;/&gt;&lt;wsp:rsid wsp:val=&quot;00DA2737&quot;/&gt;&lt;wsp:rsid wsp:val=&quot;00DA281D&quot;/&gt;&lt;wsp:rsid wsp:val=&quot;00DA34FA&quot;/&gt;&lt;wsp:rsid wsp:val=&quot;00DA3DC6&quot;/&gt;&lt;wsp:rsid wsp:val=&quot;00DA4CD7&quot;/&gt;&lt;wsp:rsid wsp:val=&quot;00DA4FFF&quot;/&gt;&lt;wsp:rsid wsp:val=&quot;00DA546C&quot;/&gt;&lt;wsp:rsid wsp:val=&quot;00DA58F3&quot;/&gt;&lt;wsp:rsid wsp:val=&quot;00DA7532&quot;/&gt;&lt;wsp:rsid wsp:val=&quot;00DA7D85&quot;/&gt;&lt;wsp:rsid wsp:val=&quot;00DA7DE5&quot;/&gt;&lt;wsp:rsid wsp:val=&quot;00DA7E5D&quot;/&gt;&lt;wsp:rsid wsp:val=&quot;00DB04C0&quot;/&gt;&lt;wsp:rsid wsp:val=&quot;00DB0A49&quot;/&gt;&lt;wsp:rsid wsp:val=&quot;00DB16B2&quot;/&gt;&lt;wsp:rsid wsp:val=&quot;00DB1985&quot;/&gt;&lt;wsp:rsid wsp:val=&quot;00DB248D&quot;/&gt;&lt;wsp:rsid wsp:val=&quot;00DB2ABA&quot;/&gt;&lt;wsp:rsid wsp:val=&quot;00DB2E9B&quot;/&gt;&lt;wsp:rsid wsp:val=&quot;00DC0327&quot;/&gt;&lt;wsp:rsid wsp:val=&quot;00DC0A15&quot;/&gt;&lt;wsp:rsid wsp:val=&quot;00DC185F&quot;/&gt;&lt;wsp:rsid wsp:val=&quot;00DC1F69&quot;/&gt;&lt;wsp:rsid wsp:val=&quot;00DC27BE&quot;/&gt;&lt;wsp:rsid wsp:val=&quot;00DC3798&quot;/&gt;&lt;wsp:rsid wsp:val=&quot;00DC421F&quot;/&gt;&lt;wsp:rsid wsp:val=&quot;00DC57D3&quot;/&gt;&lt;wsp:rsid wsp:val=&quot;00DC5F1A&quot;/&gt;&lt;wsp:rsid wsp:val=&quot;00DC5FE5&quot;/&gt;&lt;wsp:rsid wsp:val=&quot;00DC6490&quot;/&gt;&lt;wsp:rsid wsp:val=&quot;00DC69B1&quot;/&gt;&lt;wsp:rsid wsp:val=&quot;00DD0ACC&quot;/&gt;&lt;wsp:rsid wsp:val=&quot;00DD1210&quot;/&gt;&lt;wsp:rsid wsp:val=&quot;00DD4921&quot;/&gt;&lt;wsp:rsid wsp:val=&quot;00DD5552&quot;/&gt;&lt;wsp:rsid wsp:val=&quot;00DD5CFB&quot;/&gt;&lt;wsp:rsid wsp:val=&quot;00DD6331&quot;/&gt;&lt;wsp:rsid wsp:val=&quot;00DD7D92&quot;/&gt;&lt;wsp:rsid wsp:val=&quot;00DD7DF0&quot;/&gt;&lt;wsp:rsid wsp:val=&quot;00DE01A4&quot;/&gt;&lt;wsp:rsid wsp:val=&quot;00DE022B&quot;/&gt;&lt;wsp:rsid wsp:val=&quot;00DE0693&quot;/&gt;&lt;wsp:rsid wsp:val=&quot;00DE0ABA&quot;/&gt;&lt;wsp:rsid wsp:val=&quot;00DE1134&quot;/&gt;&lt;wsp:rsid wsp:val=&quot;00DE1FB8&quot;/&gt;&lt;wsp:rsid wsp:val=&quot;00DE2036&quot;/&gt;&lt;wsp:rsid wsp:val=&quot;00DE3598&quot;/&gt;&lt;wsp:rsid wsp:val=&quot;00DE369C&quot;/&gt;&lt;wsp:rsid wsp:val=&quot;00DE370E&quot;/&gt;&lt;wsp:rsid wsp:val=&quot;00DE5C07&quot;/&gt;&lt;wsp:rsid wsp:val=&quot;00DE6950&quot;/&gt;&lt;wsp:rsid wsp:val=&quot;00DE7E8A&quot;/&gt;&lt;wsp:rsid wsp:val=&quot;00DF0A6A&quot;/&gt;&lt;wsp:rsid wsp:val=&quot;00DF19D0&quot;/&gt;&lt;wsp:rsid wsp:val=&quot;00DF1BBD&quot;/&gt;&lt;wsp:rsid wsp:val=&quot;00DF32F5&quot;/&gt;&lt;wsp:rsid wsp:val=&quot;00DF46EB&quot;/&gt;&lt;wsp:rsid wsp:val=&quot;00DF4923&quot;/&gt;&lt;wsp:rsid wsp:val=&quot;00DF4CC4&quot;/&gt;&lt;wsp:rsid wsp:val=&quot;00DF5686&quot;/&gt;&lt;wsp:rsid wsp:val=&quot;00DF5EC6&quot;/&gt;&lt;wsp:rsid wsp:val=&quot;00DF6648&quot;/&gt;&lt;wsp:rsid wsp:val=&quot;00E00DE4&quot;/&gt;&lt;wsp:rsid wsp:val=&quot;00E0328C&quot;/&gt;&lt;wsp:rsid wsp:val=&quot;00E04075&quot;/&gt;&lt;wsp:rsid wsp:val=&quot;00E062F6&quot;/&gt;&lt;wsp:rsid wsp:val=&quot;00E0786B&quot;/&gt;&lt;wsp:rsid wsp:val=&quot;00E10336&quot;/&gt;&lt;wsp:rsid wsp:val=&quot;00E1128C&quot;/&gt;&lt;wsp:rsid wsp:val=&quot;00E12518&quot;/&gt;&lt;wsp:rsid wsp:val=&quot;00E1442B&quot;/&gt;&lt;wsp:rsid wsp:val=&quot;00E147F3&quot;/&gt;&lt;wsp:rsid wsp:val=&quot;00E1579F&quot;/&gt;&lt;wsp:rsid wsp:val=&quot;00E15EA7&quot;/&gt;&lt;wsp:rsid wsp:val=&quot;00E1683D&quot;/&gt;&lt;wsp:rsid wsp:val=&quot;00E17075&quot;/&gt;&lt;wsp:rsid wsp:val=&quot;00E208A2&quot;/&gt;&lt;wsp:rsid wsp:val=&quot;00E20BC7&quot;/&gt;&lt;wsp:rsid wsp:val=&quot;00E226EB&quot;/&gt;&lt;wsp:rsid wsp:val=&quot;00E228DD&quot;/&gt;&lt;wsp:rsid wsp:val=&quot;00E240BE&quot;/&gt;&lt;wsp:rsid wsp:val=&quot;00E241C9&quot;/&gt;&lt;wsp:rsid wsp:val=&quot;00E26141&quot;/&gt;&lt;wsp:rsid wsp:val=&quot;00E266C0&quot;/&gt;&lt;wsp:rsid wsp:val=&quot;00E26F38&quot;/&gt;&lt;wsp:rsid wsp:val=&quot;00E26FA4&quot;/&gt;&lt;wsp:rsid wsp:val=&quot;00E30ACC&quot;/&gt;&lt;wsp:rsid wsp:val=&quot;00E30F31&quot;/&gt;&lt;wsp:rsid wsp:val=&quot;00E3343C&quot;/&gt;&lt;wsp:rsid wsp:val=&quot;00E35A81&quot;/&gt;&lt;wsp:rsid wsp:val=&quot;00E367C7&quot;/&gt;&lt;wsp:rsid wsp:val=&quot;00E37566&quot;/&gt;&lt;wsp:rsid wsp:val=&quot;00E4085F&quot;/&gt;&lt;wsp:rsid wsp:val=&quot;00E41EDA&quot;/&gt;&lt;wsp:rsid wsp:val=&quot;00E4267D&quot;/&gt;&lt;wsp:rsid wsp:val=&quot;00E42FBF&quot;/&gt;&lt;wsp:rsid wsp:val=&quot;00E43895&quot;/&gt;&lt;wsp:rsid wsp:val=&quot;00E45174&quot;/&gt;&lt;wsp:rsid wsp:val=&quot;00E458C5&quot;/&gt;&lt;wsp:rsid wsp:val=&quot;00E45AA2&quot;/&gt;&lt;wsp:rsid wsp:val=&quot;00E45BED&quot;/&gt;&lt;wsp:rsid wsp:val=&quot;00E47736&quot;/&gt;&lt;wsp:rsid wsp:val=&quot;00E5022A&quot;/&gt;&lt;wsp:rsid wsp:val=&quot;00E51AFD&quot;/&gt;&lt;wsp:rsid wsp:val=&quot;00E51BB2&quot;/&gt;&lt;wsp:rsid wsp:val=&quot;00E51F43&quot;/&gt;&lt;wsp:rsid wsp:val=&quot;00E5259A&quot;/&gt;&lt;wsp:rsid wsp:val=&quot;00E52912&quot;/&gt;&lt;wsp:rsid wsp:val=&quot;00E52E21&quot;/&gt;&lt;wsp:rsid wsp:val=&quot;00E5490B&quot;/&gt;&lt;wsp:rsid wsp:val=&quot;00E55AD7&quot;/&gt;&lt;wsp:rsid wsp:val=&quot;00E55DF4&quot;/&gt;&lt;wsp:rsid wsp:val=&quot;00E578E8&quot;/&gt;&lt;wsp:rsid wsp:val=&quot;00E57B1D&quot;/&gt;&lt;wsp:rsid wsp:val=&quot;00E6078E&quot;/&gt;&lt;wsp:rsid wsp:val=&quot;00E60BC7&quot;/&gt;&lt;wsp:rsid wsp:val=&quot;00E6104B&quot;/&gt;&lt;wsp:rsid wsp:val=&quot;00E61999&quot;/&gt;&lt;wsp:rsid wsp:val=&quot;00E61E84&quot;/&gt;&lt;wsp:rsid wsp:val=&quot;00E62F06&quot;/&gt;&lt;wsp:rsid wsp:val=&quot;00E6438D&quot;/&gt;&lt;wsp:rsid wsp:val=&quot;00E64A99&quot;/&gt;&lt;wsp:rsid wsp:val=&quot;00E64C32&quot;/&gt;&lt;wsp:rsid wsp:val=&quot;00E654C1&quot;/&gt;&lt;wsp:rsid wsp:val=&quot;00E658E3&quot;/&gt;&lt;wsp:rsid wsp:val=&quot;00E65C56&quot;/&gt;&lt;wsp:rsid wsp:val=&quot;00E6653E&quot;/&gt;&lt;wsp:rsid wsp:val=&quot;00E70055&quot;/&gt;&lt;wsp:rsid wsp:val=&quot;00E71FA7&quot;/&gt;&lt;wsp:rsid wsp:val=&quot;00E72018&quot;/&gt;&lt;wsp:rsid wsp:val=&quot;00E738CD&quot;/&gt;&lt;wsp:rsid wsp:val=&quot;00E73BCC&quot;/&gt;&lt;wsp:rsid wsp:val=&quot;00E73F90&quot;/&gt;&lt;wsp:rsid wsp:val=&quot;00E74002&quot;/&gt;&lt;wsp:rsid wsp:val=&quot;00E74E50&quot;/&gt;&lt;wsp:rsid wsp:val=&quot;00E75551&quot;/&gt;&lt;wsp:rsid wsp:val=&quot;00E756A1&quot;/&gt;&lt;wsp:rsid wsp:val=&quot;00E758C3&quot;/&gt;&lt;wsp:rsid wsp:val=&quot;00E75D24&quot;/&gt;&lt;wsp:rsid wsp:val=&quot;00E76497&quot;/&gt;&lt;wsp:rsid wsp:val=&quot;00E779BB&quot;/&gt;&lt;wsp:rsid wsp:val=&quot;00E77BBF&quot;/&gt;&lt;wsp:rsid wsp:val=&quot;00E82071&quot;/&gt;&lt;wsp:rsid wsp:val=&quot;00E82369&quot;/&gt;&lt;wsp:rsid wsp:val=&quot;00E84D4F&quot;/&gt;&lt;wsp:rsid wsp:val=&quot;00E8587B&quot;/&gt;&lt;wsp:rsid wsp:val=&quot;00E86AB4&quot;/&gt;&lt;wsp:rsid wsp:val=&quot;00E9031A&quot;/&gt;&lt;wsp:rsid wsp:val=&quot;00E90FBA&quot;/&gt;&lt;wsp:rsid wsp:val=&quot;00E9109C&quot;/&gt;&lt;wsp:rsid wsp:val=&quot;00E91CA0&quot;/&gt;&lt;wsp:rsid wsp:val=&quot;00E91E54&quot;/&gt;&lt;wsp:rsid wsp:val=&quot;00E92289&quot;/&gt;&lt;wsp:rsid wsp:val=&quot;00E923B9&quot;/&gt;&lt;wsp:rsid wsp:val=&quot;00E924CF&quot;/&gt;&lt;wsp:rsid wsp:val=&quot;00E92D4A&quot;/&gt;&lt;wsp:rsid wsp:val=&quot;00E93032&quot;/&gt;&lt;wsp:rsid wsp:val=&quot;00E93495&quot;/&gt;&lt;wsp:rsid wsp:val=&quot;00E94DA6&quot;/&gt;&lt;wsp:rsid wsp:val=&quot;00E94DF7&quot;/&gt;&lt;wsp:rsid wsp:val=&quot;00E94E22&quot;/&gt;&lt;wsp:rsid wsp:val=&quot;00E95443&quot;/&gt;&lt;wsp:rsid wsp:val=&quot;00E97EBC&quot;/&gt;&lt;wsp:rsid wsp:val=&quot;00EA1BD0&quot;/&gt;&lt;wsp:rsid wsp:val=&quot;00EA1E28&quot;/&gt;&lt;wsp:rsid wsp:val=&quot;00EA1F30&quot;/&gt;&lt;wsp:rsid wsp:val=&quot;00EA2525&quot;/&gt;&lt;wsp:rsid wsp:val=&quot;00EA2E84&quot;/&gt;&lt;wsp:rsid wsp:val=&quot;00EA2F0F&quot;/&gt;&lt;wsp:rsid wsp:val=&quot;00EA3D46&quot;/&gt;&lt;wsp:rsid wsp:val=&quot;00EA5FCB&quot;/&gt;&lt;wsp:rsid wsp:val=&quot;00EA6C19&quot;/&gt;&lt;wsp:rsid wsp:val=&quot;00EA713C&quot;/&gt;&lt;wsp:rsid wsp:val=&quot;00EA75AD&quot;/&gt;&lt;wsp:rsid wsp:val=&quot;00EB024B&quot;/&gt;&lt;wsp:rsid wsp:val=&quot;00EB0AE9&quot;/&gt;&lt;wsp:rsid wsp:val=&quot;00EB1128&quot;/&gt;&lt;wsp:rsid wsp:val=&quot;00EB125E&quot;/&gt;&lt;wsp:rsid wsp:val=&quot;00EB1FD5&quot;/&gt;&lt;wsp:rsid wsp:val=&quot;00EB2E99&quot;/&gt;&lt;wsp:rsid wsp:val=&quot;00EB2FEE&quot;/&gt;&lt;wsp:rsid wsp:val=&quot;00EB50EC&quot;/&gt;&lt;wsp:rsid wsp:val=&quot;00EB5DF9&quot;/&gt;&lt;wsp:rsid wsp:val=&quot;00EB7EDA&quot;/&gt;&lt;wsp:rsid wsp:val=&quot;00EC04D1&quot;/&gt;&lt;wsp:rsid wsp:val=&quot;00EC07BD&quot;/&gt;&lt;wsp:rsid wsp:val=&quot;00EC1256&quot;/&gt;&lt;wsp:rsid wsp:val=&quot;00EC13ED&quot;/&gt;&lt;wsp:rsid wsp:val=&quot;00EC1E9A&quot;/&gt;&lt;wsp:rsid wsp:val=&quot;00EC3F4A&quot;/&gt;&lt;wsp:rsid wsp:val=&quot;00EC4845&quot;/&gt;&lt;wsp:rsid wsp:val=&quot;00EC7174&quot;/&gt;&lt;wsp:rsid wsp:val=&quot;00EC756F&quot;/&gt;&lt;wsp:rsid wsp:val=&quot;00EC7959&quot;/&gt;&lt;wsp:rsid wsp:val=&quot;00ED113D&quot;/&gt;&lt;wsp:rsid wsp:val=&quot;00ED1E9A&quot;/&gt;&lt;wsp:rsid wsp:val=&quot;00ED2AE3&quot;/&gt;&lt;wsp:rsid wsp:val=&quot;00ED3566&quot;/&gt;&lt;wsp:rsid wsp:val=&quot;00ED39A4&quot;/&gt;&lt;wsp:rsid wsp:val=&quot;00ED3DB7&quot;/&gt;&lt;wsp:rsid wsp:val=&quot;00ED5721&quot;/&gt;&lt;wsp:rsid wsp:val=&quot;00ED5EC2&quot;/&gt;&lt;wsp:rsid wsp:val=&quot;00ED7579&quot;/&gt;&lt;wsp:rsid wsp:val=&quot;00ED7AE6&quot;/&gt;&lt;wsp:rsid wsp:val=&quot;00EE0420&quot;/&gt;&lt;wsp:rsid wsp:val=&quot;00EE0C12&quot;/&gt;&lt;wsp:rsid wsp:val=&quot;00EE0C79&quot;/&gt;&lt;wsp:rsid wsp:val=&quot;00EE2BE3&quot;/&gt;&lt;wsp:rsid wsp:val=&quot;00EE40F8&quot;/&gt;&lt;wsp:rsid wsp:val=&quot;00EE613C&quot;/&gt;&lt;wsp:rsid wsp:val=&quot;00EE6BD5&quot;/&gt;&lt;wsp:rsid wsp:val=&quot;00EF0103&quot;/&gt;&lt;wsp:rsid wsp:val=&quot;00EF0520&quot;/&gt;&lt;wsp:rsid wsp:val=&quot;00EF0550&quot;/&gt;&lt;wsp:rsid wsp:val=&quot;00EF110F&quot;/&gt;&lt;wsp:rsid wsp:val=&quot;00EF21FB&quot;/&gt;&lt;wsp:rsid wsp:val=&quot;00EF23D6&quot;/&gt;&lt;wsp:rsid wsp:val=&quot;00EF3940&quot;/&gt;&lt;wsp:rsid wsp:val=&quot;00EF3F35&quot;/&gt;&lt;wsp:rsid wsp:val=&quot;00EF781D&quot;/&gt;&lt;wsp:rsid wsp:val=&quot;00F00167&quot;/&gt;&lt;wsp:rsid wsp:val=&quot;00F0048E&quot;/&gt;&lt;wsp:rsid wsp:val=&quot;00F00D56&quot;/&gt;&lt;wsp:rsid wsp:val=&quot;00F00D67&quot;/&gt;&lt;wsp:rsid wsp:val=&quot;00F017AB&quot;/&gt;&lt;wsp:rsid wsp:val=&quot;00F01F1E&quot;/&gt;&lt;wsp:rsid wsp:val=&quot;00F0201E&quot;/&gt;&lt;wsp:rsid wsp:val=&quot;00F0240D&quot;/&gt;&lt;wsp:rsid wsp:val=&quot;00F032D2&quot;/&gt;&lt;wsp:rsid wsp:val=&quot;00F04743&quot;/&gt;&lt;wsp:rsid wsp:val=&quot;00F05355&quot;/&gt;&lt;wsp:rsid wsp:val=&quot;00F05962&quot;/&gt;&lt;wsp:rsid wsp:val=&quot;00F0702A&quot;/&gt;&lt;wsp:rsid wsp:val=&quot;00F070DB&quot;/&gt;&lt;wsp:rsid wsp:val=&quot;00F1001F&quot;/&gt;&lt;wsp:rsid wsp:val=&quot;00F10167&quot;/&gt;&lt;wsp:rsid wsp:val=&quot;00F1101D&quot;/&gt;&lt;wsp:rsid wsp:val=&quot;00F117EF&quot;/&gt;&lt;wsp:rsid wsp:val=&quot;00F11CF4&quot;/&gt;&lt;wsp:rsid wsp:val=&quot;00F12235&quot;/&gt;&lt;wsp:rsid wsp:val=&quot;00F125A5&quot;/&gt;&lt;wsp:rsid wsp:val=&quot;00F12751&quot;/&gt;&lt;wsp:rsid wsp:val=&quot;00F135E0&quot;/&gt;&lt;wsp:rsid wsp:val=&quot;00F14AB4&quot;/&gt;&lt;wsp:rsid wsp:val=&quot;00F1569D&quot;/&gt;&lt;wsp:rsid wsp:val=&quot;00F1590C&quot;/&gt;&lt;wsp:rsid wsp:val=&quot;00F17932&quot;/&gt;&lt;wsp:rsid wsp:val=&quot;00F17AEF&quot;/&gt;&lt;wsp:rsid wsp:val=&quot;00F20D65&quot;/&gt;&lt;wsp:rsid wsp:val=&quot;00F21308&quot;/&gt;&lt;wsp:rsid wsp:val=&quot;00F216B8&quot;/&gt;&lt;wsp:rsid wsp:val=&quot;00F21FE8&quot;/&gt;&lt;wsp:rsid wsp:val=&quot;00F231F7&quot;/&gt;&lt;wsp:rsid wsp:val=&quot;00F23455&quot;/&gt;&lt;wsp:rsid wsp:val=&quot;00F234C1&quot;/&gt;&lt;wsp:rsid wsp:val=&quot;00F238EB&quot;/&gt;&lt;wsp:rsid wsp:val=&quot;00F24997&quot;/&gt;&lt;wsp:rsid wsp:val=&quot;00F24D71&quot;/&gt;&lt;wsp:rsid wsp:val=&quot;00F25301&quot;/&gt;&lt;wsp:rsid wsp:val=&quot;00F25831&quot;/&gt;&lt;wsp:rsid wsp:val=&quot;00F25A52&quot;/&gt;&lt;wsp:rsid wsp:val=&quot;00F262DC&quot;/&gt;&lt;wsp:rsid wsp:val=&quot;00F26A4A&quot;/&gt;&lt;wsp:rsid wsp:val=&quot;00F26AA4&quot;/&gt;&lt;wsp:rsid wsp:val=&quot;00F26D32&quot;/&gt;&lt;wsp:rsid wsp:val=&quot;00F26F81&quot;/&gt;&lt;wsp:rsid wsp:val=&quot;00F2731A&quot;/&gt;&lt;wsp:rsid wsp:val=&quot;00F277BD&quot;/&gt;&lt;wsp:rsid wsp:val=&quot;00F30C7A&quot;/&gt;&lt;wsp:rsid wsp:val=&quot;00F31217&quot;/&gt;&lt;wsp:rsid wsp:val=&quot;00F33901&quot;/&gt;&lt;wsp:rsid wsp:val=&quot;00F33BB4&quot;/&gt;&lt;wsp:rsid wsp:val=&quot;00F34C38&quot;/&gt;&lt;wsp:rsid wsp:val=&quot;00F35685&quot;/&gt;&lt;wsp:rsid wsp:val=&quot;00F35695&quot;/&gt;&lt;wsp:rsid wsp:val=&quot;00F35D14&quot;/&gt;&lt;wsp:rsid wsp:val=&quot;00F36095&quot;/&gt;&lt;wsp:rsid wsp:val=&quot;00F37F15&quot;/&gt;&lt;wsp:rsid wsp:val=&quot;00F40038&quot;/&gt;&lt;wsp:rsid wsp:val=&quot;00F4004E&quot;/&gt;&lt;wsp:rsid wsp:val=&quot;00F40394&quot;/&gt;&lt;wsp:rsid wsp:val=&quot;00F415C1&quot;/&gt;&lt;wsp:rsid wsp:val=&quot;00F4231F&quot;/&gt;&lt;wsp:rsid wsp:val=&quot;00F4251F&quot;/&gt;&lt;wsp:rsid wsp:val=&quot;00F4563E&quot;/&gt;&lt;wsp:rsid wsp:val=&quot;00F456B7&quot;/&gt;&lt;wsp:rsid wsp:val=&quot;00F4614B&quot;/&gt;&lt;wsp:rsid wsp:val=&quot;00F47CE3&quot;/&gt;&lt;wsp:rsid wsp:val=&quot;00F50180&quot;/&gt;&lt;wsp:rsid wsp:val=&quot;00F512B2&quot;/&gt;&lt;wsp:rsid wsp:val=&quot;00F51E37&quot;/&gt;&lt;wsp:rsid wsp:val=&quot;00F525E2&quot;/&gt;&lt;wsp:rsid wsp:val=&quot;00F5280B&quot;/&gt;&lt;wsp:rsid wsp:val=&quot;00F53199&quot;/&gt;&lt;wsp:rsid wsp:val=&quot;00F53442&quot;/&gt;&lt;wsp:rsid wsp:val=&quot;00F53914&quot;/&gt;&lt;wsp:rsid wsp:val=&quot;00F54A80&quot;/&gt;&lt;wsp:rsid wsp:val=&quot;00F54EAC&quot;/&gt;&lt;wsp:rsid wsp:val=&quot;00F554DC&quot;/&gt;&lt;wsp:rsid wsp:val=&quot;00F55E5E&quot;/&gt;&lt;wsp:rsid wsp:val=&quot;00F56394&quot;/&gt;&lt;wsp:rsid wsp:val=&quot;00F563F4&quot;/&gt;&lt;wsp:rsid wsp:val=&quot;00F56E7B&quot;/&gt;&lt;wsp:rsid wsp:val=&quot;00F57080&quot;/&gt;&lt;wsp:rsid wsp:val=&quot;00F60079&quot;/&gt;&lt;wsp:rsid wsp:val=&quot;00F60522&quot;/&gt;&lt;wsp:rsid wsp:val=&quot;00F60BB4&quot;/&gt;&lt;wsp:rsid wsp:val=&quot;00F60F5A&quot;/&gt;&lt;wsp:rsid wsp:val=&quot;00F62667&quot;/&gt;&lt;wsp:rsid wsp:val=&quot;00F63448&quot;/&gt;&lt;wsp:rsid wsp:val=&quot;00F63508&quot;/&gt;&lt;wsp:rsid wsp:val=&quot;00F675E0&quot;/&gt;&lt;wsp:rsid wsp:val=&quot;00F7174F&quot;/&gt;&lt;wsp:rsid wsp:val=&quot;00F71F9E&quot;/&gt;&lt;wsp:rsid wsp:val=&quot;00F71FB0&quot;/&gt;&lt;wsp:rsid wsp:val=&quot;00F72958&quot;/&gt;&lt;wsp:rsid wsp:val=&quot;00F73A39&quot;/&gt;&lt;wsp:rsid wsp:val=&quot;00F74952&quot;/&gt;&lt;wsp:rsid wsp:val=&quot;00F759FC&quot;/&gt;&lt;wsp:rsid wsp:val=&quot;00F75D61&quot;/&gt;&lt;wsp:rsid wsp:val=&quot;00F766CB&quot;/&gt;&lt;wsp:rsid wsp:val=&quot;00F77827&quot;/&gt;&lt;wsp:rsid wsp:val=&quot;00F80034&quot;/&gt;&lt;wsp:rsid wsp:val=&quot;00F81FBC&quot;/&gt;&lt;wsp:rsid wsp:val=&quot;00F82183&quot;/&gt;&lt;wsp:rsid wsp:val=&quot;00F828AE&quot;/&gt;&lt;wsp:rsid wsp:val=&quot;00F83A45&quot;/&gt;&lt;wsp:rsid wsp:val=&quot;00F85A1D&quot;/&gt;&lt;wsp:rsid wsp:val=&quot;00F87365&quot;/&gt;&lt;wsp:rsid wsp:val=&quot;00F87A69&quot;/&gt;&lt;wsp:rsid wsp:val=&quot;00F9056D&quot;/&gt;&lt;wsp:rsid wsp:val=&quot;00F90A8E&quot;/&gt;&lt;wsp:rsid wsp:val=&quot;00F90D55&quot;/&gt;&lt;wsp:rsid wsp:val=&quot;00F90F11&quot;/&gt;&lt;wsp:rsid wsp:val=&quot;00F91804&quot;/&gt;&lt;wsp:rsid wsp:val=&quot;00F9281C&quot;/&gt;&lt;wsp:rsid wsp:val=&quot;00F92975&quot;/&gt;&lt;wsp:rsid wsp:val=&quot;00F93DEB&quot;/&gt;&lt;wsp:rsid wsp:val=&quot;00F94776&quot;/&gt;&lt;wsp:rsid wsp:val=&quot;00F94A1B&quot;/&gt;&lt;wsp:rsid wsp:val=&quot;00F960CB&quot;/&gt;&lt;wsp:rsid wsp:val=&quot;00F972C2&quot;/&gt;&lt;wsp:rsid wsp:val=&quot;00F97C81&quot;/&gt;&lt;wsp:rsid wsp:val=&quot;00F97C9D&quot;/&gt;&lt;wsp:rsid wsp:val=&quot;00FA0C24&quot;/&gt;&lt;wsp:rsid wsp:val=&quot;00FA1509&quot;/&gt;&lt;wsp:rsid wsp:val=&quot;00FA3246&quot;/&gt;&lt;wsp:rsid wsp:val=&quot;00FA3DEF&quot;/&gt;&lt;wsp:rsid wsp:val=&quot;00FA513F&quot;/&gt;&lt;wsp:rsid wsp:val=&quot;00FA560A&quot;/&gt;&lt;wsp:rsid wsp:val=&quot;00FA5D9B&quot;/&gt;&lt;wsp:rsid wsp:val=&quot;00FA7909&quot;/&gt;&lt;wsp:rsid wsp:val=&quot;00FA7942&quot;/&gt;&lt;wsp:rsid wsp:val=&quot;00FA7AC4&quot;/&gt;&lt;wsp:rsid wsp:val=&quot;00FB0509&quot;/&gt;&lt;wsp:rsid wsp:val=&quot;00FB34AA&quot;/&gt;&lt;wsp:rsid wsp:val=&quot;00FB5799&quot;/&gt;&lt;wsp:rsid wsp:val=&quot;00FB65AA&quot;/&gt;&lt;wsp:rsid wsp:val=&quot;00FB6FA1&quot;/&gt;&lt;wsp:rsid wsp:val=&quot;00FB7CBA&quot;/&gt;&lt;wsp:rsid wsp:val=&quot;00FC0E78&quot;/&gt;&lt;wsp:rsid wsp:val=&quot;00FC11C4&quot;/&gt;&lt;wsp:rsid wsp:val=&quot;00FC144E&quot;/&gt;&lt;wsp:rsid wsp:val=&quot;00FC1CD7&quot;/&gt;&lt;wsp:rsid wsp:val=&quot;00FC266F&quot;/&gt;&lt;wsp:rsid wsp:val=&quot;00FC3046&quot;/&gt;&lt;wsp:rsid wsp:val=&quot;00FC372B&quot;/&gt;&lt;wsp:rsid wsp:val=&quot;00FC4EF6&quot;/&gt;&lt;wsp:rsid wsp:val=&quot;00FC55BE&quot;/&gt;&lt;wsp:rsid wsp:val=&quot;00FC5DCD&quot;/&gt;&lt;wsp:rsid wsp:val=&quot;00FC6179&quot;/&gt;&lt;wsp:rsid wsp:val=&quot;00FC64A1&quot;/&gt;&lt;wsp:rsid wsp:val=&quot;00FC68D6&quot;/&gt;&lt;wsp:rsid wsp:val=&quot;00FC7833&quot;/&gt;&lt;wsp:rsid wsp:val=&quot;00FC7B65&quot;/&gt;&lt;wsp:rsid wsp:val=&quot;00FD079D&quot;/&gt;&lt;wsp:rsid wsp:val=&quot;00FD1574&quot;/&gt;&lt;wsp:rsid wsp:val=&quot;00FD1B01&quot;/&gt;&lt;wsp:rsid wsp:val=&quot;00FD1FDC&quot;/&gt;&lt;wsp:rsid wsp:val=&quot;00FD324E&quot;/&gt;&lt;wsp:rsid wsp:val=&quot;00FD42CA&quot;/&gt;&lt;wsp:rsid wsp:val=&quot;00FD46E8&quot;/&gt;&lt;wsp:rsid wsp:val=&quot;00FD4FAC&quot;/&gt;&lt;wsp:rsid wsp:val=&quot;00FD6570&quot;/&gt;&lt;wsp:rsid wsp:val=&quot;00FD747A&quot;/&gt;&lt;wsp:rsid wsp:val=&quot;00FD7A61&quot;/&gt;&lt;wsp:rsid wsp:val=&quot;00FE06B3&quot;/&gt;&lt;wsp:rsid wsp:val=&quot;00FE0A0F&quot;/&gt;&lt;wsp:rsid wsp:val=&quot;00FE11AA&quot;/&gt;&lt;wsp:rsid wsp:val=&quot;00FE22D4&quot;/&gt;&lt;wsp:rsid wsp:val=&quot;00FE364C&quot;/&gt;&lt;wsp:rsid wsp:val=&quot;00FE4F42&quot;/&gt;&lt;wsp:rsid wsp:val=&quot;00FE5475&quot;/&gt;&lt;wsp:rsid wsp:val=&quot;00FE5799&quot;/&gt;&lt;wsp:rsid wsp:val=&quot;00FE5978&quot;/&gt;&lt;wsp:rsid wsp:val=&quot;00FF0600&quot;/&gt;&lt;wsp:rsid wsp:val=&quot;00FF1F49&quot;/&gt;&lt;wsp:rsid wsp:val=&quot;00FF21D5&quot;/&gt;&lt;wsp:rsid wsp:val=&quot;00FF2484&quot;/&gt;&lt;wsp:rsid wsp:val=&quot;00FF2A09&quot;/&gt;&lt;wsp:rsid wsp:val=&quot;00FF2E95&quot;/&gt;&lt;wsp:rsid wsp:val=&quot;00FF3613&quot;/&gt;&lt;wsp:rsid wsp:val=&quot;00FF48B4&quot;/&gt;&lt;wsp:rsid wsp:val=&quot;00FF4ECB&quot;/&gt;&lt;wsp:rsid wsp:val=&quot;00FF51F2&quot;/&gt;&lt;wsp:rsid wsp:val=&quot;00FF5205&quot;/&gt;&lt;wsp:rsid wsp:val=&quot;00FF5FB1&quot;/&gt;&lt;wsp:rsid wsp:val=&quot;00FF6702&quot;/&gt;&lt;wsp:rsid wsp:val=&quot;00FF73BD&quot;/&gt;&lt;wsp:rsid wsp:val=&quot;00FF763E&quot;/&gt;&lt;wsp:rsid wsp:val=&quot;76E83781&quot;/&gt;&lt;wsp:rsid wsp:val=&quot;7917018D&quot;/&gt;&lt;/wsp:rsids&gt;&lt;/w:docPr&gt;&lt;w:body&gt;&lt;wx:sect&gt;&lt;w:p wsp:rsidR=&quot;00000000&quot; wsp:rsidRDefault=&quot;00AC7F72&quot; wsp:rsidP=&quot;00AC7F72&quot;&gt;&lt;m:oMathPara&gt;&lt;m:oMath&gt;&lt;m:r&gt;&lt;w:rPr&gt;&lt;w:rFonts w:ascii=&quot;Cambria Math&quot; w:fareast=&quot;?????“&quot; w:h-ansi=&quot;Cambria Math&quot;/&gt;&lt;wx:font wx:val=&quot;Cambria Math&quot;/&gt;&lt;w:i/&gt;&lt;w:color w:val=&quot;FF0000&quot;/&gt;&lt;w:sz-cs w:val=&quot;18&quot;/&gt;&lt;w:u w:val=&quot;single&quot;/&gt;&lt;/w:rtttttttttttttttPr&gt;&lt;m:t&gt;FFFFn+2m&lt;      /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5" o:title="" chromakey="white"/>
          </v:shape>
        </w:pict>
      </w:r>
      <w:r w:rsidR="005409FE" w:rsidRPr="00442D7B">
        <w:rPr>
          <w:szCs w:val="18"/>
        </w:rPr>
        <w:instrText xml:space="preserve"> </w:instrText>
      </w:r>
      <w:r w:rsidR="005409FE" w:rsidRPr="00442D7B">
        <w:rPr>
          <w:szCs w:val="18"/>
        </w:rPr>
        <w:fldChar w:fldCharType="end"/>
      </w:r>
      <w:r w:rsidR="005409FE" w:rsidRPr="00442D7B">
        <w:rPr>
          <w:szCs w:val="18"/>
        </w:rPr>
        <w:t xml:space="preserve"> </w:t>
      </w:r>
      <w:r w:rsidR="005409FE" w:rsidRPr="00442D7B">
        <w:rPr>
          <w:rFonts w:hint="eastAsia"/>
          <w:i/>
          <w:szCs w:val="18"/>
          <w:lang w:eastAsia="zh-CN"/>
        </w:rPr>
        <w:t>n</w:t>
      </w:r>
      <w:r w:rsidR="005409FE" w:rsidRPr="00442D7B">
        <w:rPr>
          <w:rFonts w:hint="eastAsia"/>
          <w:szCs w:val="18"/>
          <w:lang w:eastAsia="zh-CN"/>
        </w:rPr>
        <w:t>+</w:t>
      </w:r>
      <w:r w:rsidR="005409FE" w:rsidRPr="00442D7B">
        <w:rPr>
          <w:rFonts w:hint="eastAsia"/>
          <w:i/>
          <w:szCs w:val="18"/>
          <w:lang w:eastAsia="zh-CN"/>
        </w:rPr>
        <w:t>m</w:t>
      </w:r>
      <w:r w:rsidR="005409FE" w:rsidRPr="00442D7B">
        <w:rPr>
          <w:rFonts w:hint="eastAsia"/>
          <w:szCs w:val="18"/>
          <w:lang w:eastAsia="zh-CN"/>
        </w:rPr>
        <w:t xml:space="preserve"> </w:t>
      </w:r>
      <w:r w:rsidR="005409FE" w:rsidRPr="00442D7B">
        <w:rPr>
          <w:szCs w:val="18"/>
        </w:rPr>
        <w:t>is a</w:t>
      </w:r>
      <w:r w:rsidR="005409FE" w:rsidRPr="00442D7B">
        <w:rPr>
          <w:szCs w:val="18"/>
          <w:lang w:eastAsia="zh-CN"/>
        </w:rPr>
        <w:t xml:space="preserve"> slot </w:t>
      </w:r>
      <w:r w:rsidR="005409FE" w:rsidRPr="00442D7B">
        <w:rPr>
          <w:rFonts w:hint="eastAsia"/>
          <w:szCs w:val="18"/>
          <w:lang w:eastAsia="zh-CN"/>
        </w:rPr>
        <w:t>indicated for</w:t>
      </w:r>
      <w:r>
        <w:t xml:space="preserve"> PUCCH transmission with HARQ-ACK information for the PDSCH reception as described in </w:t>
      </w:r>
      <w:r w:rsidR="006F5F9E">
        <w:t>clause</w:t>
      </w:r>
      <w:r>
        <w:t xml:space="preserve"> 9.2.3 and </w:t>
      </w:r>
      <w:r w:rsidR="00ED3701">
        <w:rPr>
          <w:noProof/>
          <w:position w:val="-10"/>
        </w:rPr>
        <w:drawing>
          <wp:inline distT="0" distB="0" distL="0" distR="0" wp14:anchorId="41805E56" wp14:editId="1A89A488">
            <wp:extent cx="533400" cy="238125"/>
            <wp:effectExtent l="0" t="0" r="0" b="0"/>
            <wp:docPr id="9"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 cy="238125"/>
                    </a:xfrm>
                    <a:prstGeom prst="rect">
                      <a:avLst/>
                    </a:prstGeom>
                    <a:noFill/>
                    <a:ln>
                      <a:noFill/>
                    </a:ln>
                  </pic:spPr>
                </pic:pic>
              </a:graphicData>
            </a:graphic>
          </wp:inline>
        </w:drawing>
      </w:r>
      <w:r>
        <w:t xml:space="preserve"> is a number of slots per subframe for the SCS configuration </w:t>
      </w:r>
      <w:r w:rsidR="00ED3701">
        <w:rPr>
          <w:noProof/>
          <w:position w:val="-10"/>
        </w:rPr>
        <w:drawing>
          <wp:inline distT="0" distB="0" distL="0" distR="0" wp14:anchorId="74AFDAE9" wp14:editId="5B84ACDF">
            <wp:extent cx="161925" cy="161925"/>
            <wp:effectExtent l="0" t="0" r="0" b="0"/>
            <wp:docPr id="10"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t xml:space="preserve"> of the PUCCH transmission</w:t>
      </w:r>
      <w:r w:rsidR="005409FE" w:rsidRPr="00442D7B">
        <w:t xml:space="preserve"> as defined in [4, TS 38.211]</w:t>
      </w:r>
      <w:r>
        <w:t>.</w:t>
      </w:r>
    </w:p>
    <w:p w14:paraId="5C9B7CD2" w14:textId="59850E89" w:rsidR="00631286" w:rsidRDefault="001F4042" w:rsidP="00631286">
      <w:r>
        <w:t>With reference to slots for PUCCH transmissions, if</w:t>
      </w:r>
      <w:r w:rsidRPr="00B916EC">
        <w:t xml:space="preserve"> </w:t>
      </w:r>
      <w:r w:rsidR="00273CFD" w:rsidRPr="00B916EC">
        <w:t>a UE receives a deactivation command [1</w:t>
      </w:r>
      <w:r w:rsidR="00273CFD" w:rsidRPr="00B916EC">
        <w:rPr>
          <w:lang w:val="en-US"/>
        </w:rPr>
        <w:t>1</w:t>
      </w:r>
      <w:r w:rsidR="00273CFD" w:rsidRPr="00B916EC">
        <w:t>, TS 38.3</w:t>
      </w:r>
      <w:r w:rsidR="00273CFD" w:rsidRPr="00B916EC">
        <w:rPr>
          <w:lang w:val="en-US"/>
        </w:rPr>
        <w:t>2</w:t>
      </w:r>
      <w:r w:rsidR="00273CFD" w:rsidRPr="00B916EC">
        <w:t>1] for a secondary cell</w:t>
      </w:r>
      <w:r>
        <w:t xml:space="preserve"> ending</w:t>
      </w:r>
      <w:r w:rsidR="00273CFD" w:rsidRPr="00B916EC">
        <w:t xml:space="preserve"> in slot </w:t>
      </w:r>
      <w:r w:rsidR="00ED3701">
        <w:rPr>
          <w:noProof/>
          <w:position w:val="-6"/>
        </w:rPr>
        <w:drawing>
          <wp:inline distT="0" distB="0" distL="0" distR="0" wp14:anchorId="196E1C66" wp14:editId="039DD871">
            <wp:extent cx="114300" cy="142875"/>
            <wp:effectExtent l="0" t="0" r="0" b="0"/>
            <wp:docPr id="11"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rsidR="00273CFD" w:rsidRPr="00B916EC">
        <w:t>, the</w:t>
      </w:r>
      <w:r w:rsidR="00D63918">
        <w:t xml:space="preserve"> UE applies the</w:t>
      </w:r>
      <w:r w:rsidR="00273CFD" w:rsidRPr="00B916EC">
        <w:t xml:space="preserve"> corresponding actions in [1</w:t>
      </w:r>
      <w:r w:rsidR="00273CFD" w:rsidRPr="00B916EC">
        <w:rPr>
          <w:lang w:val="en-US"/>
        </w:rPr>
        <w:t>1</w:t>
      </w:r>
      <w:r w:rsidR="00273CFD" w:rsidRPr="00B916EC">
        <w:t>, TS 38.3</w:t>
      </w:r>
      <w:r w:rsidR="00273CFD" w:rsidRPr="00B916EC">
        <w:rPr>
          <w:lang w:val="en-US"/>
        </w:rPr>
        <w:t>2</w:t>
      </w:r>
      <w:r w:rsidR="00273CFD" w:rsidRPr="00B916EC">
        <w:t>1] no later than the minimum requirement defined in [</w:t>
      </w:r>
      <w:r w:rsidR="00703A65" w:rsidRPr="00B916EC">
        <w:t>1</w:t>
      </w:r>
      <w:r w:rsidR="00703A65">
        <w:t>0</w:t>
      </w:r>
      <w:r w:rsidR="00273CFD" w:rsidRPr="00B916EC">
        <w:t>, TS 38.</w:t>
      </w:r>
      <w:r w:rsidR="00703A65">
        <w:t>133</w:t>
      </w:r>
      <w:r w:rsidR="00273CFD" w:rsidRPr="00B916EC">
        <w:t>]</w:t>
      </w:r>
      <w:r w:rsidR="00273CFD" w:rsidRPr="00B916EC">
        <w:rPr>
          <w:iCs/>
        </w:rPr>
        <w:t xml:space="preserve">, except </w:t>
      </w:r>
      <w:r w:rsidR="00273CFD" w:rsidRPr="00B916EC">
        <w:t>for the actions related to CSI reporting on a</w:t>
      </w:r>
      <w:r w:rsidR="00631286">
        <w:t>n activated</w:t>
      </w:r>
      <w:r w:rsidR="00273CFD" w:rsidRPr="00B916EC">
        <w:t xml:space="preserve"> serving cell which </w:t>
      </w:r>
      <w:r w:rsidR="00D63918">
        <w:t>the UE</w:t>
      </w:r>
      <w:r w:rsidR="00273CFD" w:rsidRPr="00B916EC">
        <w:t xml:space="preserve"> </w:t>
      </w:r>
      <w:r w:rsidR="00547494" w:rsidRPr="00B916EC">
        <w:t>applie</w:t>
      </w:r>
      <w:r w:rsidR="00547494">
        <w:t>s</w:t>
      </w:r>
      <w:r w:rsidR="00547494" w:rsidRPr="00B916EC">
        <w:t xml:space="preserve"> </w:t>
      </w:r>
      <w:r w:rsidR="00273CFD" w:rsidRPr="00B916EC">
        <w:t xml:space="preserve">in slot </w:t>
      </w:r>
      <w:r w:rsidR="00ED3701">
        <w:rPr>
          <w:noProof/>
          <w:position w:val="-6"/>
        </w:rPr>
        <w:drawing>
          <wp:inline distT="0" distB="0" distL="0" distR="0" wp14:anchorId="3044435B" wp14:editId="0FB546DA">
            <wp:extent cx="295275" cy="180975"/>
            <wp:effectExtent l="0" t="0" r="0" b="0"/>
            <wp:docPr id="12"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275" cy="180975"/>
                    </a:xfrm>
                    <a:prstGeom prst="rect">
                      <a:avLst/>
                    </a:prstGeom>
                    <a:noFill/>
                    <a:ln>
                      <a:noFill/>
                    </a:ln>
                  </pic:spPr>
                </pic:pic>
              </a:graphicData>
            </a:graphic>
          </wp:inline>
        </w:drawing>
      </w:r>
      <w:r w:rsidR="00273CFD" w:rsidRPr="00B916EC">
        <w:rPr>
          <w:i/>
        </w:rPr>
        <w:t>.</w:t>
      </w:r>
      <w:r w:rsidR="00631286" w:rsidRPr="00631286">
        <w:t xml:space="preserve"> </w:t>
      </w:r>
    </w:p>
    <w:p w14:paraId="54105968" w14:textId="64243179" w:rsidR="005B7A31" w:rsidRPr="00B916EC" w:rsidRDefault="00631286" w:rsidP="005B7A31">
      <w:r w:rsidRPr="0008767E">
        <w:t xml:space="preserve">If </w:t>
      </w:r>
      <w:r w:rsidRPr="0008767E">
        <w:rPr>
          <w:iCs/>
        </w:rPr>
        <w:t xml:space="preserve">the </w:t>
      </w:r>
      <w:r w:rsidRPr="0008767E">
        <w:rPr>
          <w:i/>
          <w:lang w:eastAsia="ja-JP"/>
        </w:rPr>
        <w:t>sCellDeactivationTimer</w:t>
      </w:r>
      <w:r w:rsidRPr="0008767E">
        <w:rPr>
          <w:iCs/>
        </w:rPr>
        <w:t xml:space="preserve"> associated with the secondary cell expires</w:t>
      </w:r>
      <w:r w:rsidRPr="0008767E">
        <w:t xml:space="preserve"> in slot </w:t>
      </w:r>
      <w:r w:rsidR="00ED3701">
        <w:rPr>
          <w:noProof/>
          <w:position w:val="-6"/>
        </w:rPr>
        <w:drawing>
          <wp:inline distT="0" distB="0" distL="0" distR="0" wp14:anchorId="45D8CCC8" wp14:editId="11938A10">
            <wp:extent cx="114300" cy="142875"/>
            <wp:effectExtent l="0" t="0" r="0" b="0"/>
            <wp:docPr id="13"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rsidRPr="0008767E">
        <w:t>, the UE applies the corresponding actions in [11, TS 38.321] no later than the minimum requirement defined in [10, TS 38.133]</w:t>
      </w:r>
      <w:r w:rsidRPr="0008767E">
        <w:rPr>
          <w:iCs/>
        </w:rPr>
        <w:t xml:space="preserve">, except </w:t>
      </w:r>
      <w:r w:rsidRPr="0008767E">
        <w:t>for the actions related to CSI reporting on a</w:t>
      </w:r>
      <w:r>
        <w:t>n</w:t>
      </w:r>
      <w:r w:rsidRPr="0008767E">
        <w:t xml:space="preserve"> </w:t>
      </w:r>
      <w:r>
        <w:t xml:space="preserve">activated </w:t>
      </w:r>
      <w:r w:rsidRPr="0008767E">
        <w:t>serving cell which the UE applies in</w:t>
      </w:r>
      <w:r>
        <w:t xml:space="preserve"> the first slot that is after slot </w:t>
      </w:r>
      <w:r w:rsidR="00ED3701">
        <w:rPr>
          <w:noProof/>
          <w:position w:val="-12"/>
        </w:rPr>
        <w:drawing>
          <wp:inline distT="0" distB="0" distL="0" distR="0" wp14:anchorId="2934DC84" wp14:editId="39EEFAA1">
            <wp:extent cx="809625" cy="200025"/>
            <wp:effectExtent l="0" t="0" r="0" b="0"/>
            <wp:docPr id="14"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9625" cy="200025"/>
                    </a:xfrm>
                    <a:prstGeom prst="rect">
                      <a:avLst/>
                    </a:prstGeom>
                    <a:noFill/>
                    <a:ln>
                      <a:noFill/>
                    </a:ln>
                  </pic:spPr>
                </pic:pic>
              </a:graphicData>
            </a:graphic>
          </wp:inline>
        </w:drawing>
      </w:r>
      <w:r>
        <w:t xml:space="preserve"> where </w:t>
      </w:r>
      <w:r w:rsidR="00ED3701">
        <w:rPr>
          <w:noProof/>
          <w:position w:val="-10"/>
        </w:rPr>
        <w:drawing>
          <wp:inline distT="0" distB="0" distL="0" distR="0" wp14:anchorId="6BFC6ED8" wp14:editId="25016019">
            <wp:extent cx="114300" cy="142875"/>
            <wp:effectExtent l="0" t="0" r="0" b="0"/>
            <wp:docPr id="15"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rsidRPr="0014499E">
        <w:t xml:space="preserve"> </w:t>
      </w:r>
      <w:r>
        <w:t>is the SCS configuration for PDSCH reception on the secondary cell.</w:t>
      </w:r>
    </w:p>
    <w:p w14:paraId="1242D1D0" w14:textId="77777777" w:rsidR="006814D5" w:rsidRPr="00B916EC" w:rsidRDefault="00616E57" w:rsidP="00616E57">
      <w:pPr>
        <w:pStyle w:val="Heading1"/>
      </w:pPr>
      <w:bookmarkStart w:id="116" w:name="_Toc12021442"/>
      <w:bookmarkStart w:id="117" w:name="_Toc20311554"/>
      <w:bookmarkStart w:id="118" w:name="_Toc26719379"/>
      <w:bookmarkStart w:id="119" w:name="_Toc29894810"/>
      <w:bookmarkStart w:id="120" w:name="_Toc29899109"/>
      <w:bookmarkStart w:id="121" w:name="_Toc29899527"/>
      <w:bookmarkStart w:id="122" w:name="_Toc29917264"/>
      <w:bookmarkStart w:id="123" w:name="_Toc36498138"/>
      <w:bookmarkStart w:id="124" w:name="_Toc45699164"/>
      <w:bookmarkStart w:id="125" w:name="_Toc161999089"/>
      <w:r>
        <w:t>5</w:t>
      </w:r>
      <w:r>
        <w:tab/>
      </w:r>
      <w:r w:rsidR="009F3E24" w:rsidRPr="00B916EC">
        <w:t>Radio link monitoring</w:t>
      </w:r>
      <w:bookmarkEnd w:id="116"/>
      <w:bookmarkEnd w:id="117"/>
      <w:bookmarkEnd w:id="118"/>
      <w:bookmarkEnd w:id="119"/>
      <w:bookmarkEnd w:id="120"/>
      <w:bookmarkEnd w:id="121"/>
      <w:bookmarkEnd w:id="122"/>
      <w:bookmarkEnd w:id="123"/>
      <w:bookmarkEnd w:id="124"/>
      <w:bookmarkEnd w:id="125"/>
    </w:p>
    <w:p w14:paraId="2877C2AD" w14:textId="66F974A6" w:rsidR="005F404D" w:rsidRPr="00B916EC" w:rsidRDefault="00A10623" w:rsidP="00547494">
      <w:r w:rsidRPr="00B916EC">
        <w:t xml:space="preserve">The downlink radio link quality of the primary cell </w:t>
      </w:r>
      <w:r w:rsidR="00A4385E">
        <w:t>is</w:t>
      </w:r>
      <w:r w:rsidRPr="00B916EC">
        <w:t xml:space="preserve"> monitored by </w:t>
      </w:r>
      <w:r w:rsidR="005F404D" w:rsidRPr="00B916EC">
        <w:t>a</w:t>
      </w:r>
      <w:r w:rsidRPr="00B916EC">
        <w:t xml:space="preserve"> UE for the purpose of indicating out-of-sync/in-sync status to higher layers. </w:t>
      </w:r>
      <w:r w:rsidR="005F404D" w:rsidRPr="00B916EC">
        <w:t xml:space="preserve">The </w:t>
      </w:r>
      <w:r w:rsidR="005F404D" w:rsidRPr="00B916EC">
        <w:rPr>
          <w:lang w:eastAsia="ko-KR"/>
        </w:rPr>
        <w:t>UE is not required to monitor the downlink radio link quality in DL BWPs other than the activ</w:t>
      </w:r>
      <w:r w:rsidR="00D74FC0">
        <w:rPr>
          <w:lang w:eastAsia="ko-KR"/>
        </w:rPr>
        <w:t>e</w:t>
      </w:r>
      <w:r w:rsidR="005F404D" w:rsidRPr="00B916EC">
        <w:rPr>
          <w:lang w:eastAsia="ko-KR"/>
        </w:rPr>
        <w:t xml:space="preserve"> DL BWP</w:t>
      </w:r>
      <w:r w:rsidR="00547494">
        <w:rPr>
          <w:lang w:eastAsia="ko-KR"/>
        </w:rPr>
        <w:t xml:space="preserve">, as described in </w:t>
      </w:r>
      <w:r w:rsidR="006F5F9E">
        <w:rPr>
          <w:lang w:eastAsia="ko-KR"/>
        </w:rPr>
        <w:t>clause</w:t>
      </w:r>
      <w:r w:rsidR="00547494">
        <w:rPr>
          <w:lang w:eastAsia="ko-KR"/>
        </w:rPr>
        <w:t xml:space="preserve"> 12,</w:t>
      </w:r>
      <w:r w:rsidR="005F404D" w:rsidRPr="00B916EC">
        <w:rPr>
          <w:lang w:eastAsia="ko-KR"/>
        </w:rPr>
        <w:t xml:space="preserve"> on the primary cell</w:t>
      </w:r>
      <w:r w:rsidR="00377805">
        <w:rPr>
          <w:lang w:eastAsia="ko-KR"/>
        </w:rPr>
        <w:t xml:space="preserve"> </w:t>
      </w:r>
      <w:r w:rsidR="00377805" w:rsidRPr="00E1570D">
        <w:rPr>
          <w:lang w:eastAsia="zh-CN"/>
        </w:rPr>
        <w:t xml:space="preserve">unless the UE indicates a capability </w:t>
      </w:r>
      <w:r w:rsidR="00804F50" w:rsidRPr="008A1C48">
        <w:rPr>
          <w:i/>
          <w:iCs/>
          <w:lang w:eastAsia="zh-CN"/>
        </w:rPr>
        <w:t>rlm-BM-BFD-L3-IntraFreq-CD-SSB-MeasWithoutInterrupt</w:t>
      </w:r>
      <w:r w:rsidR="00377805" w:rsidRPr="00E1570D">
        <w:rPr>
          <w:lang w:eastAsia="zh-CN"/>
        </w:rPr>
        <w:t xml:space="preserve"> [18, TS 38.306]</w:t>
      </w:r>
      <w:r w:rsidR="005F404D" w:rsidRPr="00B916EC">
        <w:t>.</w:t>
      </w:r>
      <w:r w:rsidR="00547494">
        <w:t xml:space="preserve"> </w:t>
      </w:r>
      <w:r w:rsidR="00547494" w:rsidRPr="00162E2F">
        <w:rPr>
          <w:lang w:eastAsia="ja-JP"/>
        </w:rPr>
        <w:t xml:space="preserve">If the </w:t>
      </w:r>
      <w:r w:rsidR="00547494">
        <w:rPr>
          <w:lang w:eastAsia="ja-JP"/>
        </w:rPr>
        <w:t>active</w:t>
      </w:r>
      <w:r w:rsidR="00547494" w:rsidRPr="00162E2F">
        <w:rPr>
          <w:lang w:eastAsia="ja-JP"/>
        </w:rPr>
        <w:t xml:space="preserve"> DL B</w:t>
      </w:r>
      <w:r w:rsidR="00547494">
        <w:rPr>
          <w:lang w:eastAsia="ja-JP"/>
        </w:rPr>
        <w:t>WP is the initial</w:t>
      </w:r>
      <w:r w:rsidR="00547494" w:rsidRPr="00162E2F">
        <w:rPr>
          <w:lang w:eastAsia="ja-JP"/>
        </w:rPr>
        <w:t xml:space="preserve"> DL BWP and for SS/PBCH block and </w:t>
      </w:r>
      <w:r w:rsidR="00C76664">
        <w:rPr>
          <w:lang w:eastAsia="ja-JP"/>
        </w:rPr>
        <w:t>CORESET</w:t>
      </w:r>
      <w:r w:rsidR="00547494" w:rsidRPr="00162E2F">
        <w:rPr>
          <w:lang w:eastAsia="ja-JP"/>
        </w:rPr>
        <w:t xml:space="preserve"> multiplexing pattern 2 or 3, as described in </w:t>
      </w:r>
      <w:r w:rsidR="006F5F9E">
        <w:rPr>
          <w:lang w:eastAsia="ja-JP"/>
        </w:rPr>
        <w:t>clause</w:t>
      </w:r>
      <w:r w:rsidR="00547494" w:rsidRPr="00162E2F">
        <w:rPr>
          <w:lang w:eastAsia="ja-JP"/>
        </w:rPr>
        <w:t xml:space="preserve"> 13, the UE is expected to perform RLM using the associated SS/PBCH block</w:t>
      </w:r>
      <w:r w:rsidR="0027793D" w:rsidRPr="00580C86">
        <w:rPr>
          <w:lang w:eastAsia="ja-JP"/>
        </w:rPr>
        <w:t xml:space="preserve"> when the associated SS/PBCH block index is provided by</w:t>
      </w:r>
      <w:r w:rsidR="0027793D" w:rsidRPr="00580C86">
        <w:rPr>
          <w:iCs/>
        </w:rPr>
        <w:t xml:space="preserve"> </w:t>
      </w:r>
      <w:r w:rsidR="0027793D" w:rsidRPr="00580C86">
        <w:rPr>
          <w:i/>
        </w:rPr>
        <w:t>RadioLinkMonitoringRS</w:t>
      </w:r>
      <w:r w:rsidR="00547494" w:rsidRPr="00162E2F">
        <w:rPr>
          <w:lang w:eastAsia="ja-JP"/>
        </w:rPr>
        <w:t>.</w:t>
      </w:r>
    </w:p>
    <w:p w14:paraId="15741D79" w14:textId="76C09606" w:rsidR="00A10623" w:rsidRPr="00B916EC" w:rsidRDefault="00A10623" w:rsidP="00A10623">
      <w:r w:rsidRPr="00B916EC">
        <w:t xml:space="preserve">If the UE is configured with a SCG, as described in [12, TS 38.331], and the parameter </w:t>
      </w:r>
      <w:r w:rsidRPr="00B916EC">
        <w:rPr>
          <w:i/>
        </w:rPr>
        <w:t>rlf-TimersAndConstants</w:t>
      </w:r>
      <w:r w:rsidRPr="00B916EC">
        <w:t xml:space="preserve"> is provided by higher layers and is not set to release, the downlink radio link quality of the PSCell of the SCG </w:t>
      </w:r>
      <w:r w:rsidR="00EB6951">
        <w:t>is</w:t>
      </w:r>
      <w:r w:rsidRPr="00B916EC">
        <w:t xml:space="preserve"> monitored by the UE for the purpose of indicating out-of-sync/in-sync status to higher layers.</w:t>
      </w:r>
      <w:r w:rsidR="00703A65">
        <w:t xml:space="preserve"> </w:t>
      </w:r>
      <w:r w:rsidR="00703A65" w:rsidRPr="00C14186">
        <w:t xml:space="preserve">The </w:t>
      </w:r>
      <w:r w:rsidR="00703A65" w:rsidRPr="00C14186">
        <w:rPr>
          <w:lang w:eastAsia="ko-KR"/>
        </w:rPr>
        <w:t xml:space="preserve">UE is not required to monitor the downlink radio link quality in DL BWPs other than the active DL BWP on the </w:t>
      </w:r>
      <w:r w:rsidR="00703A65" w:rsidRPr="00C14186">
        <w:rPr>
          <w:lang w:eastAsia="zh-CN"/>
        </w:rPr>
        <w:t>PSCell</w:t>
      </w:r>
      <w:r w:rsidR="00377805">
        <w:rPr>
          <w:lang w:eastAsia="zh-CN"/>
        </w:rPr>
        <w:t xml:space="preserve"> </w:t>
      </w:r>
      <w:r w:rsidR="00377805" w:rsidRPr="00E1570D">
        <w:rPr>
          <w:lang w:eastAsia="zh-CN"/>
        </w:rPr>
        <w:t xml:space="preserve">unless the UE indicates a capability </w:t>
      </w:r>
      <w:r w:rsidR="00804F50" w:rsidRPr="008A1C48">
        <w:rPr>
          <w:i/>
          <w:iCs/>
          <w:lang w:eastAsia="zh-CN"/>
        </w:rPr>
        <w:t>rlm-BM-BFD-L3-IntraFreq-CD-SSB-MeasWithoutInterrupt</w:t>
      </w:r>
      <w:r w:rsidR="00377805" w:rsidRPr="00E1570D">
        <w:rPr>
          <w:lang w:eastAsia="zh-CN"/>
        </w:rPr>
        <w:t xml:space="preserve"> [18, TS 38.306]</w:t>
      </w:r>
      <w:r w:rsidR="00703A65">
        <w:rPr>
          <w:lang w:eastAsia="zh-CN"/>
        </w:rPr>
        <w:t>.</w:t>
      </w:r>
    </w:p>
    <w:p w14:paraId="229B6E65" w14:textId="2627307D" w:rsidR="0015418E" w:rsidRPr="005C7263" w:rsidRDefault="00A10623" w:rsidP="0015418E">
      <w:r w:rsidRPr="00B916EC">
        <w:rPr>
          <w:rFonts w:eastAsia="MS Mincho"/>
          <w:lang w:eastAsia="ja-JP"/>
        </w:rPr>
        <w:t xml:space="preserve">A </w:t>
      </w:r>
      <w:r w:rsidRPr="00B916EC">
        <w:t xml:space="preserve">UE can be configured </w:t>
      </w:r>
      <w:r w:rsidR="00353D7D" w:rsidRPr="00B916EC">
        <w:t xml:space="preserve">for </w:t>
      </w:r>
      <w:r w:rsidR="00FD76AE" w:rsidRPr="00B916EC">
        <w:t>each</w:t>
      </w:r>
      <w:r w:rsidR="00EB6951" w:rsidRPr="005C7263">
        <w:t xml:space="preserve"> DL BWP of a</w:t>
      </w:r>
      <w:r w:rsidR="00FD76AE" w:rsidRPr="00B916EC">
        <w:t xml:space="preserve"> SpCell [11, TS 38.321]</w:t>
      </w:r>
      <w:r w:rsidR="00B715D2" w:rsidRPr="00B916EC">
        <w:t xml:space="preserve"> </w:t>
      </w:r>
      <w:r w:rsidRPr="00B916EC">
        <w:t xml:space="preserve">with a set of </w:t>
      </w:r>
      <w:r w:rsidR="00EC04E4" w:rsidRPr="00B916EC">
        <w:t>resource indexes</w:t>
      </w:r>
      <w:r w:rsidR="00EB6951" w:rsidRPr="005C7263">
        <w:t xml:space="preserve">, through a corresponding set of </w:t>
      </w:r>
      <w:r w:rsidR="00EB6951" w:rsidRPr="005C7263">
        <w:rPr>
          <w:i/>
        </w:rPr>
        <w:t>RadioLinkMonitoringRS</w:t>
      </w:r>
      <w:r w:rsidR="00EB6951" w:rsidRPr="005C7263">
        <w:t>,</w:t>
      </w:r>
      <w:r w:rsidR="00EC04E4" w:rsidRPr="00B916EC">
        <w:t xml:space="preserve"> for radio link monitoring by </w:t>
      </w:r>
      <w:r w:rsidR="00EB6951" w:rsidRPr="005C7263">
        <w:rPr>
          <w:i/>
        </w:rPr>
        <w:t>failureDetectionResources</w:t>
      </w:r>
      <w:r w:rsidR="00EC04E4" w:rsidRPr="00B916EC">
        <w:t>.</w:t>
      </w:r>
      <w:r w:rsidR="00433D8C" w:rsidRPr="00B916EC">
        <w:t xml:space="preserve"> The UE is provided either a CSI-RS </w:t>
      </w:r>
      <w:r w:rsidR="005C2F87" w:rsidRPr="00B916EC">
        <w:t xml:space="preserve">resource </w:t>
      </w:r>
      <w:r w:rsidR="00433D8C" w:rsidRPr="00B916EC">
        <w:t>configuration</w:t>
      </w:r>
      <w:r w:rsidR="0015418E" w:rsidRPr="0015418E">
        <w:t xml:space="preserve"> </w:t>
      </w:r>
      <w:r w:rsidR="0015418E" w:rsidRPr="005C7263">
        <w:t xml:space="preserve">index, by </w:t>
      </w:r>
      <w:r w:rsidR="0015418E" w:rsidRPr="005C7263">
        <w:rPr>
          <w:i/>
        </w:rPr>
        <w:t>csi-RS-Index</w:t>
      </w:r>
      <w:r w:rsidR="0015418E" w:rsidRPr="005C7263">
        <w:t>,</w:t>
      </w:r>
      <w:r w:rsidR="00433D8C" w:rsidRPr="00B916EC">
        <w:t xml:space="preserve"> or</w:t>
      </w:r>
      <w:r w:rsidR="00EC04E4" w:rsidRPr="00B916EC">
        <w:t xml:space="preserve"> </w:t>
      </w:r>
      <w:r w:rsidR="005C2F87" w:rsidRPr="00B916EC">
        <w:t>a SS/PBCH block</w:t>
      </w:r>
      <w:r w:rsidR="0015418E" w:rsidRPr="005C7263">
        <w:t xml:space="preserve"> index, by </w:t>
      </w:r>
      <w:r w:rsidR="0015418E" w:rsidRPr="005C7263">
        <w:rPr>
          <w:i/>
        </w:rPr>
        <w:t>ssb-Index</w:t>
      </w:r>
      <w:r w:rsidR="0015418E" w:rsidRPr="005C7263">
        <w:t>. The UE can be configured with up to</w:t>
      </w:r>
      <w:r w:rsidR="00377805">
        <w:t xml:space="preserve"> </w:t>
      </w:r>
      <m:oMath>
        <m:sSub>
          <m:sSubPr>
            <m:ctrlPr>
              <w:rPr>
                <w:rFonts w:ascii="Cambria Math" w:eastAsiaTheme="minorHAnsi" w:hAnsi="Cambria Math"/>
                <w:lang w:eastAsia="ko-KR"/>
              </w:rPr>
            </m:ctrlPr>
          </m:sSubPr>
          <m:e>
            <m:r>
              <w:rPr>
                <w:rFonts w:ascii="Cambria Math" w:hAnsi="Cambria Math"/>
                <w:lang w:eastAsia="ko-KR"/>
              </w:rPr>
              <m:t>N</m:t>
            </m:r>
          </m:e>
          <m:sub>
            <m:r>
              <m:rPr>
                <m:sty m:val="p"/>
              </m:rPr>
              <w:rPr>
                <w:rFonts w:ascii="Cambria Math" w:hAnsi="Cambria Math"/>
                <w:lang w:eastAsia="ko-KR"/>
              </w:rPr>
              <m:t>LR-RLM</m:t>
            </m:r>
          </m:sub>
        </m:sSub>
      </m:oMath>
      <w:r w:rsidR="0015418E" w:rsidRPr="005C7263">
        <w:t xml:space="preserve"> </w:t>
      </w:r>
      <w:r w:rsidR="0015418E" w:rsidRPr="005C7263">
        <w:rPr>
          <w:i/>
        </w:rPr>
        <w:t>RadioLinkMonitoringRS</w:t>
      </w:r>
      <w:r w:rsidR="0015418E" w:rsidRPr="005C7263">
        <w:t xml:space="preserve"> for link recovery procedures, as de</w:t>
      </w:r>
      <w:r w:rsidR="00EC7AE5">
        <w:t>s</w:t>
      </w:r>
      <w:r w:rsidR="0015418E" w:rsidRPr="005C7263">
        <w:t xml:space="preserve">cribed in </w:t>
      </w:r>
      <w:r w:rsidR="006F5F9E">
        <w:t>clause</w:t>
      </w:r>
      <w:r w:rsidR="0015418E" w:rsidRPr="005C7263">
        <w:t xml:space="preserve"> 6, and</w:t>
      </w:r>
      <w:r w:rsidR="00547494">
        <w:t xml:space="preserve"> for</w:t>
      </w:r>
      <w:r w:rsidR="0015418E" w:rsidRPr="005C7263">
        <w:t xml:space="preserve"> radio link monitoring. From the </w:t>
      </w:r>
      <m:oMath>
        <m:sSub>
          <m:sSubPr>
            <m:ctrlPr>
              <w:rPr>
                <w:rFonts w:ascii="Cambria Math" w:eastAsiaTheme="minorHAnsi" w:hAnsi="Cambria Math"/>
                <w:lang w:eastAsia="ko-KR"/>
              </w:rPr>
            </m:ctrlPr>
          </m:sSubPr>
          <m:e>
            <m:r>
              <w:rPr>
                <w:rFonts w:ascii="Cambria Math" w:hAnsi="Cambria Math"/>
                <w:lang w:eastAsia="ko-KR"/>
              </w:rPr>
              <m:t>N</m:t>
            </m:r>
          </m:e>
          <m:sub>
            <m:r>
              <m:rPr>
                <m:sty m:val="p"/>
              </m:rPr>
              <w:rPr>
                <w:rFonts w:ascii="Cambria Math" w:hAnsi="Cambria Math"/>
                <w:lang w:eastAsia="ko-KR"/>
              </w:rPr>
              <m:t>LR-RLM</m:t>
            </m:r>
          </m:sub>
        </m:sSub>
      </m:oMath>
      <w:r w:rsidR="0015418E" w:rsidRPr="005C7263">
        <w:rPr>
          <w:iCs/>
        </w:rPr>
        <w:t xml:space="preserve"> </w:t>
      </w:r>
      <w:r w:rsidR="0015418E" w:rsidRPr="005C7263">
        <w:rPr>
          <w:i/>
        </w:rPr>
        <w:t>RadioLinkMonitoringRS</w:t>
      </w:r>
      <w:r w:rsidR="0015418E" w:rsidRPr="005C7263">
        <w:t xml:space="preserve">, up to </w:t>
      </w:r>
      <m:oMath>
        <m:sSub>
          <m:sSubPr>
            <m:ctrlPr>
              <w:rPr>
                <w:rFonts w:ascii="Cambria Math" w:eastAsiaTheme="minorHAnsi" w:hAnsi="Cambria Math"/>
                <w:lang w:eastAsia="ko-KR"/>
              </w:rPr>
            </m:ctrlPr>
          </m:sSubPr>
          <m:e>
            <m:r>
              <w:rPr>
                <w:rFonts w:ascii="Cambria Math" w:hAnsi="Cambria Math"/>
                <w:lang w:eastAsia="ko-KR"/>
              </w:rPr>
              <m:t>N</m:t>
            </m:r>
          </m:e>
          <m:sub>
            <m:r>
              <m:rPr>
                <m:sty m:val="p"/>
              </m:rPr>
              <w:rPr>
                <w:rFonts w:ascii="Cambria Math" w:hAnsi="Cambria Math"/>
                <w:lang w:eastAsia="ko-KR"/>
              </w:rPr>
              <m:t>RLM</m:t>
            </m:r>
          </m:sub>
        </m:sSub>
      </m:oMath>
      <w:r w:rsidR="0015418E" w:rsidRPr="005C7263">
        <w:t xml:space="preserve"> </w:t>
      </w:r>
      <w:r w:rsidR="0015418E" w:rsidRPr="005C7263">
        <w:rPr>
          <w:i/>
        </w:rPr>
        <w:t>RadioLinkMonitoringRS</w:t>
      </w:r>
      <w:r w:rsidR="0015418E" w:rsidRPr="005C7263">
        <w:t xml:space="preserve"> can be used for radio link monitoring depending on</w:t>
      </w:r>
      <w:r w:rsidR="005C63A7">
        <w:t xml:space="preserve"> </w:t>
      </w:r>
      <m:oMath>
        <m:sSub>
          <m:sSubPr>
            <m:ctrlPr>
              <w:rPr>
                <w:rFonts w:ascii="Cambria Math" w:hAnsi="Cambria Math"/>
                <w:i/>
              </w:rPr>
            </m:ctrlPr>
          </m:sSubPr>
          <m:e>
            <m:r>
              <w:rPr>
                <w:rFonts w:ascii="Cambria Math" w:hAnsi="Cambria Math"/>
              </w:rPr>
              <m:t>L</m:t>
            </m:r>
          </m:e>
          <m:sub>
            <m:r>
              <w:rPr>
                <w:rFonts w:ascii="Cambria Math" w:hAnsi="Cambria Math"/>
              </w:rPr>
              <m:t>max</m:t>
            </m:r>
          </m:sub>
        </m:sSub>
        <m:r>
          <w:rPr>
            <w:rFonts w:ascii="Cambria Math" w:hAnsi="Cambria Math"/>
          </w:rPr>
          <m:t xml:space="preserve"> </m:t>
        </m:r>
      </m:oMath>
      <w:r w:rsidR="0015418E" w:rsidRPr="005C7263">
        <w:t xml:space="preserve"> as described in </w:t>
      </w:r>
      <w:r w:rsidR="005C63A7">
        <w:rPr>
          <w:iCs/>
        </w:rPr>
        <w:t xml:space="preserve">Table 5-1, wherein </w:t>
      </w:r>
      <m:oMath>
        <m:sSub>
          <m:sSubPr>
            <m:ctrlPr>
              <w:rPr>
                <w:rFonts w:ascii="Cambria Math" w:hAnsi="Cambria Math"/>
                <w:i/>
              </w:rPr>
            </m:ctrlPr>
          </m:sSubPr>
          <m:e>
            <m:r>
              <w:rPr>
                <w:rFonts w:ascii="Cambria Math" w:hAnsi="Cambria Math"/>
              </w:rPr>
              <m:t>L</m:t>
            </m:r>
          </m:e>
          <m:sub>
            <m:r>
              <w:rPr>
                <w:rFonts w:ascii="Cambria Math" w:hAnsi="Cambria Math"/>
              </w:rPr>
              <m:t>max</m:t>
            </m:r>
          </m:sub>
        </m:sSub>
      </m:oMath>
      <w:r w:rsidR="005C63A7">
        <w:t xml:space="preserve"> is as defined in </w:t>
      </w:r>
      <w:r w:rsidR="006F5F9E">
        <w:rPr>
          <w:iCs/>
        </w:rPr>
        <w:t>clause</w:t>
      </w:r>
      <w:r w:rsidR="005C63A7">
        <w:rPr>
          <w:iCs/>
        </w:rPr>
        <w:t xml:space="preserve"> 4.1</w:t>
      </w:r>
      <w:r w:rsidR="0015418E" w:rsidRPr="005C7263">
        <w:t xml:space="preserve">, and up to two </w:t>
      </w:r>
      <w:r w:rsidR="0015418E" w:rsidRPr="005C7263">
        <w:rPr>
          <w:i/>
        </w:rPr>
        <w:t>RadioLinkMonitoringRS</w:t>
      </w:r>
      <w:r w:rsidR="0015418E" w:rsidRPr="005C7263">
        <w:t xml:space="preserve"> can be used for link recovery procedures. </w:t>
      </w:r>
    </w:p>
    <w:p w14:paraId="3FE6DE73" w14:textId="062FEE8D" w:rsidR="00225D44" w:rsidRPr="005C7263" w:rsidRDefault="00225D44" w:rsidP="00225D44">
      <w:r>
        <w:t>For operation with shared spectrum channel access, when a</w:t>
      </w:r>
      <w:r w:rsidRPr="002A0A85">
        <w:t xml:space="preserve"> UE is</w:t>
      </w:r>
      <w:r>
        <w:t xml:space="preserve"> provided a SS/PBCH block index</w:t>
      </w:r>
      <w:r w:rsidRPr="002A0A85">
        <w:t xml:space="preserve"> by </w:t>
      </w:r>
      <w:r w:rsidRPr="00237F04">
        <w:rPr>
          <w:i/>
        </w:rPr>
        <w:t>ssb-Index</w:t>
      </w:r>
      <w:r>
        <w:t xml:space="preserve">, the UE </w:t>
      </w:r>
      <w:r w:rsidRPr="00162E2F">
        <w:rPr>
          <w:lang w:eastAsia="ja-JP"/>
        </w:rPr>
        <w:t xml:space="preserve">is expected to perform </w:t>
      </w:r>
      <w:r w:rsidRPr="005C7263">
        <w:t>radio link monitoring</w:t>
      </w:r>
      <w:r w:rsidRPr="00162E2F">
        <w:rPr>
          <w:lang w:eastAsia="ja-JP"/>
        </w:rPr>
        <w:t xml:space="preserve"> using </w:t>
      </w:r>
      <w:r>
        <w:rPr>
          <w:lang w:eastAsia="ja-JP"/>
        </w:rPr>
        <w:t xml:space="preserve">SS/PBCH block(s) in the discovery burst transmission window as described in </w:t>
      </w:r>
      <w:r w:rsidR="006F5F9E">
        <w:rPr>
          <w:lang w:eastAsia="ja-JP"/>
        </w:rPr>
        <w:t>clause</w:t>
      </w:r>
      <w:r>
        <w:rPr>
          <w:lang w:eastAsia="ja-JP"/>
        </w:rPr>
        <w:t xml:space="preserve"> 4.1</w:t>
      </w:r>
      <w:r w:rsidR="002015E7">
        <w:rPr>
          <w:lang w:eastAsia="ja-JP"/>
        </w:rPr>
        <w:t xml:space="preserve">, </w:t>
      </w:r>
      <w:r w:rsidR="002015E7" w:rsidRPr="00DC7A0F">
        <w:rPr>
          <w:rFonts w:eastAsia="Malgun Gothic"/>
          <w:lang w:eastAsia="ja-JP"/>
        </w:rPr>
        <w:t xml:space="preserve">where the SS/PBCH block(s) </w:t>
      </w:r>
      <w:r w:rsidR="002015E7" w:rsidRPr="00DC7A0F">
        <w:rPr>
          <w:rFonts w:eastAsia="Malgun Gothic"/>
          <w:lang w:eastAsia="ko-KR"/>
        </w:rPr>
        <w:t>have candidate SS/PBCH block index</w:t>
      </w:r>
      <w:r w:rsidR="002015E7">
        <w:rPr>
          <w:rFonts w:eastAsia="Malgun Gothic"/>
          <w:lang w:eastAsia="ko-KR"/>
        </w:rPr>
        <w:t>(es)</w:t>
      </w:r>
      <w:r w:rsidR="002015E7" w:rsidRPr="00DC7A0F">
        <w:rPr>
          <w:rFonts w:eastAsia="Malgun Gothic"/>
          <w:lang w:eastAsia="ko-KR"/>
        </w:rPr>
        <w:t xml:space="preserve"> corresponding to SS/PBCH block index provided by </w:t>
      </w:r>
      <w:r w:rsidR="002015E7" w:rsidRPr="00DC7A0F">
        <w:rPr>
          <w:rFonts w:eastAsia="Malgun Gothic"/>
          <w:i/>
          <w:lang w:eastAsia="ko-KR"/>
        </w:rPr>
        <w:t>ssb-Index</w:t>
      </w:r>
      <w:r>
        <w:rPr>
          <w:lang w:eastAsia="ja-JP"/>
        </w:rPr>
        <w:t>.</w:t>
      </w:r>
    </w:p>
    <w:p w14:paraId="16F0BFBE" w14:textId="77777777" w:rsidR="0015418E" w:rsidRPr="005C7263" w:rsidRDefault="0015418E" w:rsidP="0015418E">
      <w:r w:rsidRPr="005C7263">
        <w:t xml:space="preserve">If the UE is not provided </w:t>
      </w:r>
      <w:r w:rsidRPr="005C7263">
        <w:rPr>
          <w:i/>
        </w:rPr>
        <w:t>RadioLinkMonitoringRS</w:t>
      </w:r>
      <w:r w:rsidRPr="005C7263">
        <w:rPr>
          <w:iCs/>
        </w:rPr>
        <w:t xml:space="preserve"> and the UE is provided </w:t>
      </w:r>
      <w:r>
        <w:rPr>
          <w:iCs/>
        </w:rPr>
        <w:t>for PDCCH</w:t>
      </w:r>
      <w:r w:rsidR="00547494">
        <w:rPr>
          <w:iCs/>
        </w:rPr>
        <w:t xml:space="preserve"> </w:t>
      </w:r>
      <w:r w:rsidR="00547494" w:rsidRPr="00412E6D">
        <w:rPr>
          <w:iCs/>
        </w:rPr>
        <w:t>receptions</w:t>
      </w:r>
      <w:r>
        <w:rPr>
          <w:iCs/>
        </w:rPr>
        <w:t xml:space="preserve"> </w:t>
      </w:r>
      <w:r w:rsidR="007F0DDD">
        <w:rPr>
          <w:iCs/>
        </w:rPr>
        <w:t>TCI states</w:t>
      </w:r>
      <w:r w:rsidRPr="005C7263">
        <w:rPr>
          <w:iCs/>
        </w:rPr>
        <w:t xml:space="preserve"> that include one or more of a CSI-RS</w:t>
      </w:r>
    </w:p>
    <w:p w14:paraId="2CF886F5" w14:textId="77777777" w:rsidR="0015418E" w:rsidRPr="005C7263" w:rsidRDefault="0015418E" w:rsidP="0015418E">
      <w:pPr>
        <w:pStyle w:val="B1"/>
        <w:rPr>
          <w:lang w:val="en-US" w:eastAsia="ja-JP"/>
        </w:rPr>
      </w:pPr>
      <w:r w:rsidRPr="005C7263">
        <w:rPr>
          <w:lang w:eastAsia="ja-JP"/>
        </w:rPr>
        <w:t>-</w:t>
      </w:r>
      <w:r w:rsidRPr="005C7263">
        <w:rPr>
          <w:lang w:eastAsia="ja-JP"/>
        </w:rPr>
        <w:tab/>
      </w:r>
      <w:r w:rsidRPr="005C7263">
        <w:rPr>
          <w:rFonts w:hint="eastAsia"/>
          <w:lang w:eastAsia="ja-JP"/>
        </w:rPr>
        <w:t xml:space="preserve">the </w:t>
      </w:r>
      <w:r w:rsidRPr="005C7263">
        <w:rPr>
          <w:lang w:val="en-US" w:eastAsia="ja-JP"/>
        </w:rPr>
        <w:t xml:space="preserve">UE uses for radio link monitoring </w:t>
      </w:r>
      <w:r>
        <w:rPr>
          <w:lang w:val="en-US" w:eastAsia="ja-JP"/>
        </w:rPr>
        <w:t>the RS provided for the active TCI state for PDCCH</w:t>
      </w:r>
      <w:r w:rsidR="00547494">
        <w:rPr>
          <w:lang w:val="en-US" w:eastAsia="ja-JP"/>
        </w:rPr>
        <w:t xml:space="preserve"> </w:t>
      </w:r>
      <w:r w:rsidR="00547494">
        <w:rPr>
          <w:iCs/>
        </w:rPr>
        <w:t>reception</w:t>
      </w:r>
      <w:r>
        <w:rPr>
          <w:lang w:val="en-US" w:eastAsia="ja-JP"/>
        </w:rPr>
        <w:t xml:space="preserve"> </w:t>
      </w:r>
      <w:r w:rsidRPr="005C7263">
        <w:rPr>
          <w:lang w:val="en-US" w:eastAsia="ja-JP"/>
        </w:rPr>
        <w:t xml:space="preserve">if the active TCI state </w:t>
      </w:r>
      <w:r>
        <w:rPr>
          <w:lang w:val="en-US" w:eastAsia="ja-JP"/>
        </w:rPr>
        <w:t>for PDCCH</w:t>
      </w:r>
      <w:r w:rsidR="00547494">
        <w:rPr>
          <w:lang w:val="en-US" w:eastAsia="ja-JP"/>
        </w:rPr>
        <w:t xml:space="preserve"> </w:t>
      </w:r>
      <w:r w:rsidR="00547494" w:rsidRPr="001A6FE9">
        <w:rPr>
          <w:lang w:val="en-US" w:eastAsia="ja-JP"/>
        </w:rPr>
        <w:t>reception</w:t>
      </w:r>
      <w:r>
        <w:rPr>
          <w:lang w:val="en-US" w:eastAsia="ja-JP"/>
        </w:rPr>
        <w:t xml:space="preserve"> </w:t>
      </w:r>
      <w:r w:rsidRPr="005C7263">
        <w:rPr>
          <w:lang w:val="en-US" w:eastAsia="ja-JP"/>
        </w:rPr>
        <w:t>includes only one RS</w:t>
      </w:r>
    </w:p>
    <w:p w14:paraId="555E41EA" w14:textId="0C883F67" w:rsidR="0015418E" w:rsidRPr="005C7263" w:rsidRDefault="0015418E" w:rsidP="0015418E">
      <w:pPr>
        <w:pStyle w:val="B1"/>
        <w:rPr>
          <w:lang w:val="en-US" w:eastAsia="ja-JP"/>
        </w:rPr>
      </w:pPr>
      <w:r w:rsidRPr="005C7263">
        <w:rPr>
          <w:lang w:eastAsia="ja-JP"/>
        </w:rPr>
        <w:t>-</w:t>
      </w:r>
      <w:r w:rsidRPr="005C7263">
        <w:rPr>
          <w:lang w:eastAsia="ja-JP"/>
        </w:rPr>
        <w:tab/>
      </w:r>
      <w:r w:rsidRPr="005C7263">
        <w:rPr>
          <w:lang w:val="en-US" w:eastAsia="ja-JP"/>
        </w:rPr>
        <w:t xml:space="preserve">if the active TCI state </w:t>
      </w:r>
      <w:r>
        <w:rPr>
          <w:lang w:val="en-US" w:eastAsia="ja-JP"/>
        </w:rPr>
        <w:t xml:space="preserve">for PDCCH </w:t>
      </w:r>
      <w:r w:rsidR="00547494">
        <w:rPr>
          <w:lang w:val="en-US" w:eastAsia="ja-JP"/>
        </w:rPr>
        <w:t xml:space="preserve">reception </w:t>
      </w:r>
      <w:r w:rsidRPr="005C7263">
        <w:rPr>
          <w:lang w:val="en-US" w:eastAsia="ja-JP"/>
        </w:rPr>
        <w:t>includes two RS</w:t>
      </w:r>
      <w:r>
        <w:rPr>
          <w:lang w:val="en-US" w:eastAsia="ja-JP"/>
        </w:rPr>
        <w:t xml:space="preserve">, </w:t>
      </w:r>
      <w:r w:rsidRPr="005C7263">
        <w:rPr>
          <w:rFonts w:hint="eastAsia"/>
          <w:lang w:eastAsia="ja-JP"/>
        </w:rPr>
        <w:t xml:space="preserve">the </w:t>
      </w:r>
      <w:r w:rsidRPr="005C7263">
        <w:rPr>
          <w:lang w:val="en-US" w:eastAsia="ja-JP"/>
        </w:rPr>
        <w:t xml:space="preserve">UE </w:t>
      </w:r>
      <w:r>
        <w:rPr>
          <w:lang w:val="en-US" w:eastAsia="ja-JP"/>
        </w:rPr>
        <w:t xml:space="preserve">expects that one RS </w:t>
      </w:r>
      <w:r w:rsidR="005E7558">
        <w:rPr>
          <w:lang w:val="en-US" w:eastAsia="ja-JP"/>
        </w:rPr>
        <w:t xml:space="preserve">is configured with </w:t>
      </w:r>
      <w:r w:rsidR="005E7558" w:rsidRPr="005F35BE">
        <w:rPr>
          <w:i/>
          <w:lang w:val="en-US" w:eastAsia="ja-JP"/>
        </w:rPr>
        <w:t>qcl-Type</w:t>
      </w:r>
      <w:r w:rsidR="005E7558">
        <w:rPr>
          <w:lang w:val="en-US" w:eastAsia="ja-JP"/>
        </w:rPr>
        <w:t xml:space="preserve"> set to</w:t>
      </w:r>
      <w:r>
        <w:rPr>
          <w:lang w:val="en-US" w:eastAsia="ja-JP"/>
        </w:rPr>
        <w:t xml:space="preserve"> </w:t>
      </w:r>
      <w:r w:rsidR="005E7558">
        <w:rPr>
          <w:lang w:val="en-US" w:eastAsia="ja-JP"/>
        </w:rPr>
        <w:t>'t</w:t>
      </w:r>
      <w:r>
        <w:rPr>
          <w:lang w:val="en-US" w:eastAsia="ja-JP"/>
        </w:rPr>
        <w:t>ypeD</w:t>
      </w:r>
      <w:r w:rsidR="005E7558">
        <w:rPr>
          <w:lang w:val="en-US" w:eastAsia="ja-JP"/>
        </w:rPr>
        <w:t>'</w:t>
      </w:r>
      <w:r>
        <w:rPr>
          <w:lang w:val="en-US" w:eastAsia="ja-JP"/>
        </w:rPr>
        <w:t xml:space="preserve"> </w:t>
      </w:r>
      <w:r w:rsidR="00547494" w:rsidRPr="00073FD7">
        <w:t>[6, TS 38.214]</w:t>
      </w:r>
      <w:r w:rsidR="00547494" w:rsidRPr="00193E4A">
        <w:rPr>
          <w:lang w:val="en-US"/>
        </w:rPr>
        <w:t xml:space="preserve"> </w:t>
      </w:r>
      <w:r>
        <w:rPr>
          <w:lang w:val="en-US" w:eastAsia="ja-JP"/>
        </w:rPr>
        <w:t xml:space="preserve">and the UE uses the RS </w:t>
      </w:r>
      <w:r w:rsidR="005E7558">
        <w:rPr>
          <w:lang w:val="en-US" w:eastAsia="ja-JP"/>
        </w:rPr>
        <w:t xml:space="preserve">configured </w:t>
      </w:r>
      <w:r w:rsidR="00547494">
        <w:rPr>
          <w:lang w:val="en-US" w:eastAsia="ja-JP"/>
        </w:rPr>
        <w:t xml:space="preserve">with </w:t>
      </w:r>
      <w:r w:rsidR="005E7558" w:rsidRPr="005F35BE">
        <w:rPr>
          <w:i/>
          <w:lang w:val="en-US" w:eastAsia="ja-JP"/>
        </w:rPr>
        <w:t>qcl-Type</w:t>
      </w:r>
      <w:r w:rsidR="005E7558">
        <w:rPr>
          <w:lang w:val="en-US" w:eastAsia="ja-JP"/>
        </w:rPr>
        <w:t xml:space="preserve"> set to 't</w:t>
      </w:r>
      <w:r w:rsidR="00547494">
        <w:rPr>
          <w:lang w:val="en-US" w:eastAsia="ja-JP"/>
        </w:rPr>
        <w:t>ypeD</w:t>
      </w:r>
      <w:r w:rsidR="005E7558">
        <w:rPr>
          <w:lang w:val="en-US" w:eastAsia="ja-JP"/>
        </w:rPr>
        <w:t>'</w:t>
      </w:r>
      <w:r w:rsidR="00547494">
        <w:rPr>
          <w:lang w:val="en-US" w:eastAsia="ja-JP"/>
        </w:rPr>
        <w:t xml:space="preserve"> </w:t>
      </w:r>
      <w:r w:rsidRPr="005C7263">
        <w:rPr>
          <w:lang w:val="en-US" w:eastAsia="ja-JP"/>
        </w:rPr>
        <w:t>f</w:t>
      </w:r>
      <w:r>
        <w:rPr>
          <w:lang w:val="en-US" w:eastAsia="ja-JP"/>
        </w:rPr>
        <w:t xml:space="preserve">or radio link monitoring; the UE does not expect both RS to </w:t>
      </w:r>
      <w:r w:rsidR="005E7558">
        <w:rPr>
          <w:lang w:val="en-US" w:eastAsia="ja-JP"/>
        </w:rPr>
        <w:t xml:space="preserve">be configured with </w:t>
      </w:r>
      <w:r w:rsidR="005E7558" w:rsidRPr="005F35BE">
        <w:rPr>
          <w:i/>
          <w:lang w:val="en-US" w:eastAsia="ja-JP"/>
        </w:rPr>
        <w:t>qcl-Type</w:t>
      </w:r>
      <w:r w:rsidR="005E7558">
        <w:rPr>
          <w:lang w:val="en-US" w:eastAsia="ja-JP"/>
        </w:rPr>
        <w:t xml:space="preserve"> set to</w:t>
      </w:r>
      <w:r>
        <w:rPr>
          <w:lang w:val="en-US" w:eastAsia="ja-JP"/>
        </w:rPr>
        <w:t xml:space="preserve"> </w:t>
      </w:r>
      <w:r w:rsidR="005E7558">
        <w:rPr>
          <w:lang w:val="en-US" w:eastAsia="ja-JP"/>
        </w:rPr>
        <w:t>'t</w:t>
      </w:r>
      <w:r>
        <w:rPr>
          <w:lang w:val="en-US" w:eastAsia="ja-JP"/>
        </w:rPr>
        <w:t>ypeD</w:t>
      </w:r>
      <w:r w:rsidR="005E7558">
        <w:rPr>
          <w:lang w:val="en-US" w:eastAsia="ja-JP"/>
        </w:rPr>
        <w:t>'</w:t>
      </w:r>
    </w:p>
    <w:p w14:paraId="1C1390D7" w14:textId="77777777" w:rsidR="0015418E" w:rsidRDefault="0015418E" w:rsidP="0015418E">
      <w:pPr>
        <w:pStyle w:val="B1"/>
        <w:rPr>
          <w:lang w:val="en-US" w:eastAsia="ja-JP"/>
        </w:rPr>
      </w:pPr>
      <w:r w:rsidRPr="005C7263">
        <w:rPr>
          <w:lang w:eastAsia="ja-JP"/>
        </w:rPr>
        <w:t>-</w:t>
      </w:r>
      <w:r w:rsidRPr="005C7263">
        <w:rPr>
          <w:lang w:eastAsia="ja-JP"/>
        </w:rPr>
        <w:tab/>
      </w:r>
      <w:r w:rsidRPr="005C7263">
        <w:rPr>
          <w:rFonts w:hint="eastAsia"/>
          <w:lang w:eastAsia="ja-JP"/>
        </w:rPr>
        <w:t xml:space="preserve">the </w:t>
      </w:r>
      <w:r w:rsidRPr="005C7263">
        <w:rPr>
          <w:lang w:val="en-US" w:eastAsia="ja-JP"/>
        </w:rPr>
        <w:t xml:space="preserve">UE is not required to use for radio link monitoring an aperiodic </w:t>
      </w:r>
      <w:r w:rsidR="00547494" w:rsidRPr="007F4984">
        <w:rPr>
          <w:lang w:val="en-US" w:eastAsia="ja-JP"/>
        </w:rPr>
        <w:t xml:space="preserve">or semi-persistent </w:t>
      </w:r>
      <w:r w:rsidRPr="005C7263">
        <w:rPr>
          <w:lang w:val="en-US" w:eastAsia="ja-JP"/>
        </w:rPr>
        <w:t>RS</w:t>
      </w:r>
    </w:p>
    <w:p w14:paraId="35A851FC" w14:textId="5C997DA2" w:rsidR="007F0DDD" w:rsidRPr="00046549" w:rsidRDefault="007F0DDD" w:rsidP="007F0DDD">
      <w:pPr>
        <w:pStyle w:val="B1"/>
        <w:rPr>
          <w:lang w:eastAsia="ja-JP"/>
        </w:rPr>
      </w:pPr>
      <w:r w:rsidRPr="00443847">
        <w:rPr>
          <w:lang w:eastAsia="ja-JP"/>
        </w:rPr>
        <w:lastRenderedPageBreak/>
        <w:t>-</w:t>
      </w:r>
      <w:r>
        <w:rPr>
          <w:lang w:eastAsia="ja-JP"/>
        </w:rPr>
        <w:tab/>
      </w:r>
      <w:r w:rsidRPr="00443847">
        <w:rPr>
          <w:lang w:eastAsia="ja-JP"/>
        </w:rPr>
        <w:t xml:space="preserve">For </w:t>
      </w:r>
      <m:oMath>
        <m:sSub>
          <m:sSubPr>
            <m:ctrlPr>
              <w:rPr>
                <w:rFonts w:ascii="Cambria Math" w:hAnsi="Cambria Math"/>
                <w:i/>
              </w:rPr>
            </m:ctrlPr>
          </m:sSubPr>
          <m:e>
            <m:r>
              <w:rPr>
                <w:rFonts w:ascii="Cambria Math" w:hAnsi="Cambria Math"/>
              </w:rPr>
              <m:t>L</m:t>
            </m:r>
          </m:e>
          <m:sub>
            <m:r>
              <w:rPr>
                <w:rFonts w:ascii="Cambria Math" w:hAnsi="Cambria Math"/>
              </w:rPr>
              <m:t>max</m:t>
            </m:r>
          </m:sub>
        </m:sSub>
        <m:r>
          <w:rPr>
            <w:rFonts w:ascii="Cambria Math" w:hAnsi="Cambria Math"/>
          </w:rPr>
          <m:t>=4</m:t>
        </m:r>
      </m:oMath>
      <w:r w:rsidRPr="00443847">
        <w:rPr>
          <w:lang w:eastAsia="ja-JP"/>
        </w:rPr>
        <w:t xml:space="preserve">, the </w:t>
      </w:r>
      <w:r w:rsidRPr="00443847">
        <w:t>UE selects the</w:t>
      </w:r>
      <w:r w:rsidRPr="00443847">
        <w:rPr>
          <w:iCs/>
        </w:rPr>
        <w:t xml:space="preserve"> </w:t>
      </w:r>
      <m:oMath>
        <m:sSub>
          <m:sSubPr>
            <m:ctrlPr>
              <w:rPr>
                <w:rFonts w:ascii="Cambria Math" w:eastAsiaTheme="minorHAnsi" w:hAnsi="Cambria Math"/>
                <w:lang w:eastAsia="ko-KR"/>
              </w:rPr>
            </m:ctrlPr>
          </m:sSubPr>
          <m:e>
            <m:r>
              <w:rPr>
                <w:rFonts w:ascii="Cambria Math" w:hAnsi="Cambria Math"/>
                <w:lang w:eastAsia="ko-KR"/>
              </w:rPr>
              <m:t>N</m:t>
            </m:r>
          </m:e>
          <m:sub>
            <m:r>
              <m:rPr>
                <m:sty m:val="p"/>
              </m:rPr>
              <w:rPr>
                <w:rFonts w:ascii="Cambria Math" w:hAnsi="Cambria Math"/>
                <w:lang w:eastAsia="ko-KR"/>
              </w:rPr>
              <m:t>RLM</m:t>
            </m:r>
          </m:sub>
        </m:sSub>
      </m:oMath>
      <w:r w:rsidRPr="00443847">
        <w:rPr>
          <w:iCs/>
        </w:rPr>
        <w:t xml:space="preserve"> </w:t>
      </w:r>
      <w:r w:rsidRPr="00443847">
        <w:t>RS provided for active TCI states for PDCCH reception</w:t>
      </w:r>
      <w:r w:rsidRPr="00443847">
        <w:rPr>
          <w:lang w:val="en-US"/>
        </w:rPr>
        <w:t>s</w:t>
      </w:r>
      <w:r w:rsidRPr="00443847">
        <w:t xml:space="preserve"> in</w:t>
      </w:r>
      <w:r w:rsidRPr="00443847">
        <w:rPr>
          <w:iCs/>
          <w:lang w:val="en-US"/>
        </w:rPr>
        <w:t xml:space="preserve"> </w:t>
      </w:r>
      <w:r w:rsidRPr="00443847">
        <w:rPr>
          <w:lang w:val="en-US" w:eastAsia="ja-JP"/>
        </w:rPr>
        <w:t>CORESET</w:t>
      </w:r>
      <w:r w:rsidRPr="00443847">
        <w:rPr>
          <w:lang w:eastAsia="ja-JP"/>
        </w:rPr>
        <w:t>s associated with the</w:t>
      </w:r>
      <w:r w:rsidRPr="00443847">
        <w:rPr>
          <w:iCs/>
          <w:lang w:val="en-US"/>
        </w:rPr>
        <w:t xml:space="preserve"> </w:t>
      </w:r>
      <w:r w:rsidRPr="00443847">
        <w:rPr>
          <w:lang w:eastAsia="ja-JP"/>
        </w:rPr>
        <w:t>search space</w:t>
      </w:r>
      <w:r w:rsidRPr="00443847">
        <w:rPr>
          <w:lang w:val="en-US" w:eastAsia="ja-JP"/>
        </w:rPr>
        <w:t xml:space="preserve"> set</w:t>
      </w:r>
      <w:r w:rsidRPr="00443847">
        <w:rPr>
          <w:lang w:eastAsia="ja-JP"/>
        </w:rPr>
        <w:t xml:space="preserve">s </w:t>
      </w:r>
      <w:r>
        <w:rPr>
          <w:lang w:eastAsia="ja-JP"/>
        </w:rPr>
        <w:t>in an order from</w:t>
      </w:r>
      <w:r w:rsidRPr="00443847">
        <w:rPr>
          <w:lang w:eastAsia="ja-JP"/>
        </w:rPr>
        <w:t xml:space="preserve"> the </w:t>
      </w:r>
      <w:r>
        <w:rPr>
          <w:lang w:eastAsia="ja-JP"/>
        </w:rPr>
        <w:t>shortest</w:t>
      </w:r>
      <w:r w:rsidRPr="00443847">
        <w:rPr>
          <w:lang w:eastAsia="ja-JP"/>
        </w:rPr>
        <w:t xml:space="preserve"> monitoring periodicit</w:t>
      </w:r>
      <w:r>
        <w:rPr>
          <w:lang w:val="en-US" w:eastAsia="ja-JP"/>
        </w:rPr>
        <w:t>y</w:t>
      </w:r>
      <w:r w:rsidRPr="00443847">
        <w:rPr>
          <w:lang w:eastAsia="ja-JP"/>
        </w:rPr>
        <w:t xml:space="preserve">. If more than one </w:t>
      </w:r>
      <w:r>
        <w:rPr>
          <w:lang w:val="en-US" w:eastAsia="ja-JP"/>
        </w:rPr>
        <w:t>CORESETs</w:t>
      </w:r>
      <w:r w:rsidRPr="00443847">
        <w:rPr>
          <w:lang w:val="en-US" w:eastAsia="ja-JP"/>
        </w:rPr>
        <w:t xml:space="preserve"> </w:t>
      </w:r>
      <w:r w:rsidRPr="00443847">
        <w:rPr>
          <w:lang w:eastAsia="ja-JP"/>
        </w:rPr>
        <w:t xml:space="preserve">are associated with search space </w:t>
      </w:r>
      <w:r w:rsidRPr="00443847">
        <w:rPr>
          <w:lang w:val="en-US" w:eastAsia="ja-JP"/>
        </w:rPr>
        <w:t xml:space="preserve">sets </w:t>
      </w:r>
      <w:r>
        <w:rPr>
          <w:lang w:eastAsia="ja-JP"/>
        </w:rPr>
        <w:t>having</w:t>
      </w:r>
      <w:r w:rsidRPr="00443847">
        <w:rPr>
          <w:lang w:eastAsia="ja-JP"/>
        </w:rPr>
        <w:t xml:space="preserve"> same </w:t>
      </w:r>
      <w:r w:rsidRPr="00443847">
        <w:rPr>
          <w:lang w:val="en-US" w:eastAsia="ja-JP"/>
        </w:rPr>
        <w:t xml:space="preserve">monitoring </w:t>
      </w:r>
      <w:r w:rsidRPr="00443847">
        <w:rPr>
          <w:lang w:eastAsia="ja-JP"/>
        </w:rPr>
        <w:t xml:space="preserve">periodicity, the UE </w:t>
      </w:r>
      <w:r>
        <w:rPr>
          <w:lang w:val="en-US" w:eastAsia="ja-JP"/>
        </w:rPr>
        <w:t>determines the order of</w:t>
      </w:r>
      <w:r w:rsidRPr="00443847">
        <w:rPr>
          <w:lang w:eastAsia="ja-JP"/>
        </w:rPr>
        <w:t xml:space="preserve"> the CORESET </w:t>
      </w:r>
      <w:r>
        <w:rPr>
          <w:lang w:val="en-US" w:eastAsia="ja-JP"/>
        </w:rPr>
        <w:t>from</w:t>
      </w:r>
      <w:r w:rsidRPr="00443847">
        <w:rPr>
          <w:lang w:eastAsia="ja-JP"/>
        </w:rPr>
        <w:t xml:space="preserve"> the highest</w:t>
      </w:r>
      <w:r w:rsidRPr="00443847">
        <w:rPr>
          <w:lang w:val="en-US" w:eastAsia="ja-JP"/>
        </w:rPr>
        <w:t xml:space="preserve"> </w:t>
      </w:r>
      <w:r>
        <w:rPr>
          <w:lang w:val="en-US" w:eastAsia="ja-JP"/>
        </w:rPr>
        <w:t xml:space="preserve">CORESET </w:t>
      </w:r>
      <w:r w:rsidRPr="00443847">
        <w:rPr>
          <w:lang w:val="en-US" w:eastAsia="ja-JP"/>
        </w:rPr>
        <w:t xml:space="preserve">index as described in </w:t>
      </w:r>
      <w:r w:rsidR="006F5F9E">
        <w:rPr>
          <w:lang w:val="en-US" w:eastAsia="ja-JP"/>
        </w:rPr>
        <w:t>clause</w:t>
      </w:r>
      <w:r w:rsidRPr="00443847">
        <w:rPr>
          <w:lang w:val="en-US" w:eastAsia="ja-JP"/>
        </w:rPr>
        <w:t xml:space="preserve"> 10.1</w:t>
      </w:r>
      <w:r w:rsidRPr="00443847">
        <w:rPr>
          <w:lang w:eastAsia="ja-JP"/>
        </w:rPr>
        <w:t>.</w:t>
      </w:r>
    </w:p>
    <w:p w14:paraId="155E0E23" w14:textId="650C99E7" w:rsidR="0015418E" w:rsidRPr="0030569D" w:rsidRDefault="0015418E" w:rsidP="0015418E">
      <w:r w:rsidRPr="00834F32">
        <w:t>A UE does</w:t>
      </w:r>
      <w:r w:rsidRPr="00707546">
        <w:t xml:space="preserve"> not expect to use more than </w:t>
      </w:r>
      <m:oMath>
        <m:sSub>
          <m:sSubPr>
            <m:ctrlPr>
              <w:rPr>
                <w:rFonts w:ascii="Cambria Math" w:eastAsiaTheme="minorHAnsi" w:hAnsi="Cambria Math"/>
                <w:lang w:eastAsia="ko-KR"/>
              </w:rPr>
            </m:ctrlPr>
          </m:sSubPr>
          <m:e>
            <m:r>
              <w:rPr>
                <w:rFonts w:ascii="Cambria Math" w:hAnsi="Cambria Math"/>
                <w:lang w:eastAsia="ko-KR"/>
              </w:rPr>
              <m:t>N</m:t>
            </m:r>
          </m:e>
          <m:sub>
            <m:r>
              <m:rPr>
                <m:sty m:val="p"/>
              </m:rPr>
              <w:rPr>
                <w:rFonts w:ascii="Cambria Math" w:hAnsi="Cambria Math"/>
                <w:lang w:eastAsia="ko-KR"/>
              </w:rPr>
              <m:t>RLM</m:t>
            </m:r>
          </m:sub>
        </m:sSub>
      </m:oMath>
      <w:r w:rsidRPr="00834F32">
        <w:t xml:space="preserve"> </w:t>
      </w:r>
      <w:r w:rsidRPr="00834F32">
        <w:rPr>
          <w:i/>
        </w:rPr>
        <w:t>RadioLinkMonitoring</w:t>
      </w:r>
      <w:r w:rsidRPr="00707546">
        <w:rPr>
          <w:i/>
        </w:rPr>
        <w:t>RS</w:t>
      </w:r>
      <w:r w:rsidRPr="00707546">
        <w:t xml:space="preserve"> for radio link monitoring when the UE is not provided </w:t>
      </w:r>
      <w:r w:rsidRPr="0030569D">
        <w:rPr>
          <w:i/>
        </w:rPr>
        <w:t>RadioLinkMonitoringRS</w:t>
      </w:r>
      <w:r w:rsidRPr="0030569D">
        <w:t>.</w:t>
      </w:r>
    </w:p>
    <w:p w14:paraId="5451032B" w14:textId="7DA1AAFF" w:rsidR="007F0DDD" w:rsidRPr="00C944C3" w:rsidRDefault="007F0DDD" w:rsidP="007F0DDD">
      <w:r w:rsidRPr="00C944C3">
        <w:t xml:space="preserve">Values of </w:t>
      </w:r>
      <m:oMath>
        <m:sSub>
          <m:sSubPr>
            <m:ctrlPr>
              <w:rPr>
                <w:rFonts w:ascii="Cambria Math" w:eastAsiaTheme="minorHAnsi" w:hAnsi="Cambria Math"/>
                <w:lang w:eastAsia="ko-KR"/>
              </w:rPr>
            </m:ctrlPr>
          </m:sSubPr>
          <m:e>
            <m:r>
              <w:rPr>
                <w:rFonts w:ascii="Cambria Math" w:hAnsi="Cambria Math"/>
                <w:lang w:eastAsia="ko-KR"/>
              </w:rPr>
              <m:t>N</m:t>
            </m:r>
          </m:e>
          <m:sub>
            <m:r>
              <m:rPr>
                <m:sty m:val="p"/>
              </m:rPr>
              <w:rPr>
                <w:rFonts w:ascii="Cambria Math" w:hAnsi="Cambria Math"/>
                <w:lang w:eastAsia="ko-KR"/>
              </w:rPr>
              <m:t>LR-RLM</m:t>
            </m:r>
          </m:sub>
        </m:sSub>
      </m:oMath>
      <w:r w:rsidRPr="00C944C3">
        <w:t xml:space="preserve"> and </w:t>
      </w:r>
      <m:oMath>
        <m:sSub>
          <m:sSubPr>
            <m:ctrlPr>
              <w:rPr>
                <w:rFonts w:ascii="Cambria Math" w:eastAsiaTheme="minorHAnsi" w:hAnsi="Cambria Math"/>
                <w:lang w:eastAsia="ko-KR"/>
              </w:rPr>
            </m:ctrlPr>
          </m:sSubPr>
          <m:e>
            <m:r>
              <w:rPr>
                <w:rFonts w:ascii="Cambria Math" w:hAnsi="Cambria Math"/>
                <w:lang w:eastAsia="ko-KR"/>
              </w:rPr>
              <m:t>N</m:t>
            </m:r>
          </m:e>
          <m:sub>
            <m:r>
              <m:rPr>
                <m:sty m:val="p"/>
              </m:rPr>
              <w:rPr>
                <w:rFonts w:ascii="Cambria Math" w:hAnsi="Cambria Math"/>
                <w:lang w:eastAsia="ko-KR"/>
              </w:rPr>
              <m:t>RLM</m:t>
            </m:r>
          </m:sub>
        </m:sSub>
      </m:oMath>
      <w:r w:rsidRPr="00C944C3">
        <w:t xml:space="preserve"> for different </w:t>
      </w:r>
      <w:r>
        <w:t xml:space="preserve">values of </w:t>
      </w:r>
      <m:oMath>
        <m:sSub>
          <m:sSubPr>
            <m:ctrlPr>
              <w:rPr>
                <w:rFonts w:ascii="Cambria Math" w:hAnsi="Cambria Math"/>
                <w:i/>
              </w:rPr>
            </m:ctrlPr>
          </m:sSubPr>
          <m:e>
            <m:r>
              <w:rPr>
                <w:rFonts w:ascii="Cambria Math" w:hAnsi="Cambria Math"/>
              </w:rPr>
              <m:t>L</m:t>
            </m:r>
          </m:e>
          <m:sub>
            <m:r>
              <w:rPr>
                <w:rFonts w:ascii="Cambria Math" w:hAnsi="Cambria Math"/>
              </w:rPr>
              <m:t>max</m:t>
            </m:r>
          </m:sub>
        </m:sSub>
      </m:oMath>
      <w:r>
        <w:t xml:space="preserve"> </w:t>
      </w:r>
      <w:r w:rsidRPr="00C944C3">
        <w:t xml:space="preserve">are given in Table 5-1. </w:t>
      </w:r>
    </w:p>
    <w:p w14:paraId="42F37A23" w14:textId="0075C676" w:rsidR="0015418E" w:rsidRPr="00C944C3" w:rsidRDefault="0015418E" w:rsidP="0015418E">
      <w:pPr>
        <w:pStyle w:val="TH"/>
      </w:pPr>
      <w:r w:rsidRPr="00C944C3">
        <w:t xml:space="preserve">Table 5-1: </w:t>
      </w:r>
      <w:r w:rsidR="00ED3701">
        <w:rPr>
          <w:iCs/>
          <w:noProof/>
          <w:position w:val="-10"/>
        </w:rPr>
        <w:drawing>
          <wp:inline distT="0" distB="0" distL="0" distR="0" wp14:anchorId="62D6C65F" wp14:editId="48E125D9">
            <wp:extent cx="466725" cy="180975"/>
            <wp:effectExtent l="0" t="0" r="0" b="0"/>
            <wp:docPr id="16"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725" cy="180975"/>
                    </a:xfrm>
                    <a:prstGeom prst="rect">
                      <a:avLst/>
                    </a:prstGeom>
                    <a:noFill/>
                    <a:ln>
                      <a:noFill/>
                    </a:ln>
                  </pic:spPr>
                </pic:pic>
              </a:graphicData>
            </a:graphic>
          </wp:inline>
        </w:drawing>
      </w:r>
      <w:r w:rsidRPr="00C944C3">
        <w:t xml:space="preserve"> and </w:t>
      </w:r>
      <m:oMath>
        <m:sSub>
          <m:sSubPr>
            <m:ctrlPr>
              <w:rPr>
                <w:rFonts w:ascii="Cambria Math" w:eastAsiaTheme="minorHAnsi" w:hAnsi="Cambria Math"/>
                <w:lang w:eastAsia="ko-KR"/>
              </w:rPr>
            </m:ctrlPr>
          </m:sSubPr>
          <m:e>
            <m:r>
              <m:rPr>
                <m:sty m:val="bi"/>
              </m:rPr>
              <w:rPr>
                <w:rFonts w:ascii="Cambria Math" w:hAnsi="Cambria Math"/>
                <w:lang w:eastAsia="ko-KR"/>
              </w:rPr>
              <m:t>N</m:t>
            </m:r>
          </m:e>
          <m:sub>
            <m:r>
              <m:rPr>
                <m:sty m:val="b"/>
              </m:rPr>
              <w:rPr>
                <w:rFonts w:ascii="Cambria Math" w:hAnsi="Cambria Math"/>
                <w:lang w:eastAsia="ko-KR"/>
              </w:rPr>
              <m:t>RLM</m:t>
            </m:r>
          </m:sub>
        </m:sSub>
      </m:oMath>
      <w:r w:rsidRPr="00C944C3">
        <w:t xml:space="preserve"> as a function of </w:t>
      </w:r>
      <w:r>
        <w:rPr>
          <w:iCs/>
        </w:rPr>
        <w:t xml:space="preserve">maximum number </w:t>
      </w:r>
      <m:oMath>
        <m:sSub>
          <m:sSubPr>
            <m:ctrlPr>
              <w:rPr>
                <w:rFonts w:ascii="Cambria Math" w:hAnsi="Cambria Math"/>
                <w:i/>
              </w:rPr>
            </m:ctrlPr>
          </m:sSubPr>
          <m:e>
            <m:r>
              <m:rPr>
                <m:sty m:val="bi"/>
              </m:rPr>
              <w:rPr>
                <w:rFonts w:ascii="Cambria Math" w:hAnsi="Cambria Math"/>
              </w:rPr>
              <m:t>L</m:t>
            </m:r>
          </m:e>
          <m:sub>
            <m:r>
              <m:rPr>
                <m:sty m:val="bi"/>
              </m:rPr>
              <w:rPr>
                <w:rFonts w:ascii="Cambria Math" w:hAnsi="Cambria Math"/>
              </w:rPr>
              <m:t>max</m:t>
            </m:r>
          </m:sub>
        </m:sSub>
      </m:oMath>
      <w:r>
        <w:rPr>
          <w:iCs/>
        </w:rPr>
        <w:t xml:space="preserve"> of SS/PBCH blocks per half frame</w:t>
      </w:r>
    </w:p>
    <w:tbl>
      <w:tblPr>
        <w:tblW w:w="72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5"/>
        <w:gridCol w:w="2250"/>
        <w:gridCol w:w="2250"/>
      </w:tblGrid>
      <w:tr w:rsidR="004B313B" w:rsidRPr="00C944C3" w14:paraId="7DEF03A2" w14:textId="77777777" w:rsidTr="00BE7792">
        <w:trPr>
          <w:trHeight w:val="289"/>
          <w:jc w:val="center"/>
        </w:trPr>
        <w:tc>
          <w:tcPr>
            <w:tcW w:w="2705" w:type="dxa"/>
            <w:shd w:val="clear" w:color="auto" w:fill="E0E0E0"/>
            <w:vAlign w:val="center"/>
          </w:tcPr>
          <w:p w14:paraId="11A171AD" w14:textId="72493665" w:rsidR="004B313B" w:rsidRPr="00C944C3" w:rsidRDefault="00000000" w:rsidP="00381712">
            <w:pPr>
              <w:pStyle w:val="TAH"/>
            </w:pPr>
            <m:oMathPara>
              <m:oMath>
                <m:sSub>
                  <m:sSubPr>
                    <m:ctrlPr>
                      <w:rPr>
                        <w:rFonts w:ascii="Cambria Math" w:hAnsi="Cambria Math"/>
                      </w:rPr>
                    </m:ctrlPr>
                  </m:sSubPr>
                  <m:e>
                    <m:r>
                      <m:rPr>
                        <m:sty m:val="bi"/>
                      </m:rPr>
                      <w:rPr>
                        <w:rFonts w:ascii="Cambria Math" w:hAnsi="Cambria Math"/>
                      </w:rPr>
                      <m:t>L</m:t>
                    </m:r>
                  </m:e>
                  <m:sub>
                    <m:r>
                      <m:rPr>
                        <m:sty m:val="bi"/>
                      </m:rPr>
                      <w:rPr>
                        <w:rFonts w:ascii="Cambria Math" w:hAnsi="Cambria Math"/>
                      </w:rPr>
                      <m:t>max</m:t>
                    </m:r>
                  </m:sub>
                </m:sSub>
              </m:oMath>
            </m:oMathPara>
          </w:p>
        </w:tc>
        <w:tc>
          <w:tcPr>
            <w:tcW w:w="2250" w:type="dxa"/>
            <w:shd w:val="clear" w:color="auto" w:fill="E0E0E0"/>
            <w:vAlign w:val="center"/>
          </w:tcPr>
          <w:p w14:paraId="7992AEF8" w14:textId="1FFD5241" w:rsidR="004B313B" w:rsidRPr="00C944C3" w:rsidRDefault="00000000" w:rsidP="00381712">
            <w:pPr>
              <w:pStyle w:val="TAH"/>
              <w:rPr>
                <w:szCs w:val="18"/>
              </w:rPr>
            </w:pPr>
            <m:oMathPara>
              <m:oMath>
                <m:sSub>
                  <m:sSubPr>
                    <m:ctrlPr>
                      <w:rPr>
                        <w:rFonts w:ascii="Cambria Math" w:eastAsiaTheme="minorHAnsi" w:hAnsi="Cambria Math"/>
                        <w:lang w:eastAsia="ko-KR"/>
                      </w:rPr>
                    </m:ctrlPr>
                  </m:sSubPr>
                  <m:e>
                    <m:r>
                      <m:rPr>
                        <m:sty m:val="bi"/>
                      </m:rPr>
                      <w:rPr>
                        <w:rFonts w:ascii="Cambria Math" w:hAnsi="Cambria Math"/>
                        <w:lang w:eastAsia="ko-KR"/>
                      </w:rPr>
                      <m:t>N</m:t>
                    </m:r>
                  </m:e>
                  <m:sub>
                    <m:r>
                      <m:rPr>
                        <m:sty m:val="b"/>
                      </m:rPr>
                      <w:rPr>
                        <w:rFonts w:ascii="Cambria Math" w:hAnsi="Cambria Math"/>
                        <w:lang w:eastAsia="ko-KR"/>
                      </w:rPr>
                      <m:t>LR-RLM</m:t>
                    </m:r>
                  </m:sub>
                </m:sSub>
              </m:oMath>
            </m:oMathPara>
          </w:p>
        </w:tc>
        <w:tc>
          <w:tcPr>
            <w:tcW w:w="2250" w:type="dxa"/>
            <w:shd w:val="clear" w:color="auto" w:fill="E0E0E0"/>
          </w:tcPr>
          <w:p w14:paraId="0B4F57FC" w14:textId="1CB6B592" w:rsidR="004B313B" w:rsidRPr="00C944C3" w:rsidRDefault="00000000" w:rsidP="00381712">
            <w:pPr>
              <w:pStyle w:val="TAH"/>
              <w:rPr>
                <w:szCs w:val="18"/>
              </w:rPr>
            </w:pPr>
            <m:oMathPara>
              <m:oMath>
                <m:sSub>
                  <m:sSubPr>
                    <m:ctrlPr>
                      <w:rPr>
                        <w:rFonts w:ascii="Cambria Math" w:eastAsiaTheme="minorHAnsi" w:hAnsi="Cambria Math"/>
                        <w:lang w:eastAsia="ko-KR"/>
                      </w:rPr>
                    </m:ctrlPr>
                  </m:sSubPr>
                  <m:e>
                    <m:r>
                      <m:rPr>
                        <m:sty m:val="bi"/>
                      </m:rPr>
                      <w:rPr>
                        <w:rFonts w:ascii="Cambria Math" w:hAnsi="Cambria Math"/>
                        <w:lang w:eastAsia="ko-KR"/>
                      </w:rPr>
                      <m:t>N</m:t>
                    </m:r>
                  </m:e>
                  <m:sub>
                    <m:r>
                      <m:rPr>
                        <m:sty m:val="b"/>
                      </m:rPr>
                      <w:rPr>
                        <w:rFonts w:ascii="Cambria Math" w:hAnsi="Cambria Math"/>
                        <w:lang w:eastAsia="ko-KR"/>
                      </w:rPr>
                      <m:t>RLM</m:t>
                    </m:r>
                  </m:sub>
                </m:sSub>
              </m:oMath>
            </m:oMathPara>
          </w:p>
        </w:tc>
      </w:tr>
      <w:tr w:rsidR="0015418E" w:rsidRPr="00C944C3" w14:paraId="586DBC87" w14:textId="77777777" w:rsidTr="00BE7792">
        <w:trPr>
          <w:trHeight w:hRule="exact" w:val="317"/>
          <w:jc w:val="center"/>
        </w:trPr>
        <w:tc>
          <w:tcPr>
            <w:tcW w:w="2705" w:type="dxa"/>
            <w:vAlign w:val="center"/>
          </w:tcPr>
          <w:p w14:paraId="556B5AAE" w14:textId="77777777" w:rsidR="0015418E" w:rsidRPr="00C944C3" w:rsidRDefault="0015418E" w:rsidP="00BE7792">
            <w:pPr>
              <w:pStyle w:val="TAC"/>
            </w:pPr>
            <w:r>
              <w:t>4</w:t>
            </w:r>
          </w:p>
        </w:tc>
        <w:tc>
          <w:tcPr>
            <w:tcW w:w="2250" w:type="dxa"/>
            <w:vAlign w:val="center"/>
          </w:tcPr>
          <w:p w14:paraId="1282B6BB" w14:textId="77777777" w:rsidR="0015418E" w:rsidRPr="00C944C3" w:rsidRDefault="0015418E" w:rsidP="00BE7792">
            <w:pPr>
              <w:pStyle w:val="TAC"/>
            </w:pPr>
            <w:r w:rsidRPr="00C944C3">
              <w:t>2</w:t>
            </w:r>
          </w:p>
        </w:tc>
        <w:tc>
          <w:tcPr>
            <w:tcW w:w="2250" w:type="dxa"/>
          </w:tcPr>
          <w:p w14:paraId="3BA8DE87" w14:textId="77777777" w:rsidR="0015418E" w:rsidRPr="00C944C3" w:rsidRDefault="0015418E" w:rsidP="00BE7792">
            <w:pPr>
              <w:pStyle w:val="TAC"/>
            </w:pPr>
            <w:r w:rsidRPr="00C944C3">
              <w:t>2</w:t>
            </w:r>
          </w:p>
        </w:tc>
      </w:tr>
      <w:tr w:rsidR="0015418E" w:rsidRPr="00C944C3" w14:paraId="072D5154" w14:textId="77777777" w:rsidTr="00BE7792">
        <w:trPr>
          <w:trHeight w:hRule="exact" w:val="317"/>
          <w:jc w:val="center"/>
        </w:trPr>
        <w:tc>
          <w:tcPr>
            <w:tcW w:w="2705" w:type="dxa"/>
            <w:vAlign w:val="center"/>
          </w:tcPr>
          <w:p w14:paraId="04E67EEF" w14:textId="77777777" w:rsidR="0015418E" w:rsidRPr="00C944C3" w:rsidRDefault="0015418E" w:rsidP="00BE7792">
            <w:pPr>
              <w:pStyle w:val="TAC"/>
            </w:pPr>
            <w:r>
              <w:t>8</w:t>
            </w:r>
          </w:p>
        </w:tc>
        <w:tc>
          <w:tcPr>
            <w:tcW w:w="2250" w:type="dxa"/>
            <w:vAlign w:val="center"/>
          </w:tcPr>
          <w:p w14:paraId="19A03BEB" w14:textId="77777777" w:rsidR="0015418E" w:rsidRPr="00C944C3" w:rsidRDefault="0015418E" w:rsidP="00BE7792">
            <w:pPr>
              <w:pStyle w:val="TAC"/>
            </w:pPr>
            <w:r w:rsidRPr="00C944C3">
              <w:t>6</w:t>
            </w:r>
          </w:p>
        </w:tc>
        <w:tc>
          <w:tcPr>
            <w:tcW w:w="2250" w:type="dxa"/>
          </w:tcPr>
          <w:p w14:paraId="3327567A" w14:textId="77777777" w:rsidR="0015418E" w:rsidRPr="00C944C3" w:rsidRDefault="0015418E" w:rsidP="00BE7792">
            <w:pPr>
              <w:pStyle w:val="TAC"/>
            </w:pPr>
            <w:r w:rsidRPr="00C944C3">
              <w:t>4</w:t>
            </w:r>
          </w:p>
        </w:tc>
      </w:tr>
      <w:tr w:rsidR="0015418E" w:rsidRPr="00B916EC" w14:paraId="0F4C9BFC" w14:textId="77777777" w:rsidTr="00BE7792">
        <w:trPr>
          <w:trHeight w:hRule="exact" w:val="317"/>
          <w:jc w:val="center"/>
        </w:trPr>
        <w:tc>
          <w:tcPr>
            <w:tcW w:w="2705" w:type="dxa"/>
            <w:vAlign w:val="center"/>
          </w:tcPr>
          <w:p w14:paraId="7095B02C" w14:textId="77777777" w:rsidR="0015418E" w:rsidRPr="00C944C3" w:rsidRDefault="0015418E" w:rsidP="00BE7792">
            <w:pPr>
              <w:pStyle w:val="TAC"/>
            </w:pPr>
            <w:r>
              <w:t>64</w:t>
            </w:r>
          </w:p>
        </w:tc>
        <w:tc>
          <w:tcPr>
            <w:tcW w:w="2250" w:type="dxa"/>
            <w:vAlign w:val="center"/>
          </w:tcPr>
          <w:p w14:paraId="39946BB7" w14:textId="77777777" w:rsidR="0015418E" w:rsidRPr="00C944C3" w:rsidRDefault="0015418E" w:rsidP="00BE7792">
            <w:pPr>
              <w:pStyle w:val="TAC"/>
            </w:pPr>
            <w:r w:rsidRPr="00C944C3">
              <w:t>8</w:t>
            </w:r>
          </w:p>
        </w:tc>
        <w:tc>
          <w:tcPr>
            <w:tcW w:w="2250" w:type="dxa"/>
          </w:tcPr>
          <w:p w14:paraId="0DF51C55" w14:textId="77777777" w:rsidR="0015418E" w:rsidRDefault="0015418E" w:rsidP="00BE7792">
            <w:pPr>
              <w:pStyle w:val="TAC"/>
            </w:pPr>
            <w:r w:rsidRPr="00C944C3">
              <w:t>8</w:t>
            </w:r>
          </w:p>
        </w:tc>
      </w:tr>
    </w:tbl>
    <w:p w14:paraId="0908C161" w14:textId="77777777" w:rsidR="0015418E" w:rsidRDefault="0015418E" w:rsidP="0015418E"/>
    <w:p w14:paraId="2FEF6DDF" w14:textId="77777777" w:rsidR="00EC04E4" w:rsidRPr="00B916EC" w:rsidRDefault="005C2F87" w:rsidP="002A2D4E">
      <w:r w:rsidRPr="00B916EC">
        <w:t xml:space="preserve">For a CSI-RS resource configuration, </w:t>
      </w:r>
      <w:r w:rsidR="00945458" w:rsidRPr="005C7263">
        <w:rPr>
          <w:i/>
        </w:rPr>
        <w:t>powerControlOffsetSS</w:t>
      </w:r>
      <w:r w:rsidR="00547494">
        <w:rPr>
          <w:i/>
        </w:rPr>
        <w:t xml:space="preserve"> </w:t>
      </w:r>
      <w:r w:rsidR="00945458">
        <w:t>is</w:t>
      </w:r>
      <w:r w:rsidR="00703A65" w:rsidRPr="00797DE6">
        <w:t xml:space="preserve"> not applicable</w:t>
      </w:r>
      <w:r w:rsidR="00945458">
        <w:t xml:space="preserve"> and</w:t>
      </w:r>
      <w:r w:rsidR="00703A65" w:rsidRPr="009D3A79">
        <w:t xml:space="preserve"> </w:t>
      </w:r>
      <w:r w:rsidR="00703A65">
        <w:t xml:space="preserve">a UE expects to be provided only </w:t>
      </w:r>
      <w:r w:rsidR="00063DE7">
        <w:t>'no</w:t>
      </w:r>
      <w:r w:rsidR="00703A65">
        <w:t>CDM</w:t>
      </w:r>
      <w:r w:rsidR="00F31749">
        <w:t>'</w:t>
      </w:r>
      <w:r w:rsidR="00703A65">
        <w:t xml:space="preserve"> f</w:t>
      </w:r>
      <w:r w:rsidR="00703A65" w:rsidRPr="003041BC">
        <w:t>r</w:t>
      </w:r>
      <w:r w:rsidR="00703A65">
        <w:t>om</w:t>
      </w:r>
      <w:r w:rsidR="00703A65" w:rsidRPr="003041BC">
        <w:t xml:space="preserve"> </w:t>
      </w:r>
      <w:r w:rsidR="00945458" w:rsidRPr="005C7263">
        <w:rPr>
          <w:i/>
        </w:rPr>
        <w:t>cdm</w:t>
      </w:r>
      <w:r w:rsidR="00703A65" w:rsidRPr="003041BC">
        <w:rPr>
          <w:i/>
        </w:rPr>
        <w:t xml:space="preserve">-Type, </w:t>
      </w:r>
      <w:r w:rsidR="00703A65">
        <w:t xml:space="preserve">only </w:t>
      </w:r>
      <w:r w:rsidR="00063DE7">
        <w:t xml:space="preserve">'one' </w:t>
      </w:r>
      <w:r w:rsidR="00703A65">
        <w:t xml:space="preserve">and </w:t>
      </w:r>
      <w:r w:rsidR="00063DE7">
        <w:t xml:space="preserve">'three' </w:t>
      </w:r>
      <w:r w:rsidR="00703A65">
        <w:t xml:space="preserve">from </w:t>
      </w:r>
      <w:r w:rsidR="00703A65" w:rsidRPr="003041BC">
        <w:rPr>
          <w:i/>
        </w:rPr>
        <w:t>density</w:t>
      </w:r>
      <w:r w:rsidR="00703A65">
        <w:t xml:space="preserve">, and only </w:t>
      </w:r>
      <w:r w:rsidR="00F31749">
        <w:t>'</w:t>
      </w:r>
      <w:r w:rsidR="00703A65">
        <w:t>1 port</w:t>
      </w:r>
      <w:r w:rsidR="00F31749">
        <w:t>'</w:t>
      </w:r>
      <w:r w:rsidR="00703A65">
        <w:t xml:space="preserve"> f</w:t>
      </w:r>
      <w:r w:rsidR="00703A65" w:rsidRPr="003041BC">
        <w:t>r</w:t>
      </w:r>
      <w:r w:rsidR="00703A65">
        <w:t>om</w:t>
      </w:r>
      <w:r w:rsidR="00703A65" w:rsidRPr="003041BC">
        <w:t xml:space="preserve"> </w:t>
      </w:r>
      <w:r w:rsidR="00703A65" w:rsidRPr="003041BC">
        <w:rPr>
          <w:i/>
        </w:rPr>
        <w:t>nrofPorts</w:t>
      </w:r>
      <w:r w:rsidR="00703A65" w:rsidRPr="003041BC">
        <w:t xml:space="preserve"> [6, TS 38.214]</w:t>
      </w:r>
      <w:r w:rsidR="00703A65" w:rsidRPr="009D3A79">
        <w:t>.</w:t>
      </w:r>
    </w:p>
    <w:p w14:paraId="0F56D05E" w14:textId="77777777" w:rsidR="00547494" w:rsidRDefault="00547494" w:rsidP="00A10623">
      <w:r w:rsidRPr="00A53E52">
        <w:rPr>
          <w:lang w:eastAsia="ja-JP"/>
        </w:rPr>
        <w:t xml:space="preserve">If a UE is configured with multiple DL BWPs for a serving cell, the UE performs RLM using the RS(s) corresponding to </w:t>
      </w:r>
      <w:r w:rsidRPr="00A53E52">
        <w:t>resource indexes</w:t>
      </w:r>
      <w:r w:rsidRPr="00A53E52">
        <w:rPr>
          <w:lang w:eastAsia="ja-JP"/>
        </w:rPr>
        <w:t xml:space="preserve"> provided by </w:t>
      </w:r>
      <w:r w:rsidRPr="00A53E52">
        <w:rPr>
          <w:i/>
          <w:iCs/>
          <w:lang w:eastAsia="ja-JP"/>
        </w:rPr>
        <w:t>RadioLinkMonitoringRS</w:t>
      </w:r>
      <w:r w:rsidRPr="00A53E52">
        <w:rPr>
          <w:lang w:eastAsia="ja-JP"/>
        </w:rPr>
        <w:t xml:space="preserve"> for the activ</w:t>
      </w:r>
      <w:r>
        <w:rPr>
          <w:lang w:eastAsia="ja-JP"/>
        </w:rPr>
        <w:t>e</w:t>
      </w:r>
      <w:r w:rsidRPr="00A53E52">
        <w:rPr>
          <w:lang w:eastAsia="ja-JP"/>
        </w:rPr>
        <w:t xml:space="preserve"> DL BWP or, if </w:t>
      </w:r>
      <w:r w:rsidRPr="00A53E52">
        <w:rPr>
          <w:i/>
          <w:iCs/>
          <w:lang w:eastAsia="ja-JP"/>
        </w:rPr>
        <w:t>RadioLinkMonitoringRS</w:t>
      </w:r>
      <w:r w:rsidRPr="00A53E52">
        <w:rPr>
          <w:lang w:eastAsia="ja-JP"/>
        </w:rPr>
        <w:t xml:space="preserve"> is not provided for the activ</w:t>
      </w:r>
      <w:r>
        <w:rPr>
          <w:lang w:eastAsia="ja-JP"/>
        </w:rPr>
        <w:t>e</w:t>
      </w:r>
      <w:r w:rsidRPr="00A53E52">
        <w:rPr>
          <w:lang w:eastAsia="ja-JP"/>
        </w:rPr>
        <w:t xml:space="preserve"> DL BWP, using the RS(s) provided </w:t>
      </w:r>
      <w:r>
        <w:rPr>
          <w:iCs/>
        </w:rPr>
        <w:t>for the active</w:t>
      </w:r>
      <w:r w:rsidRPr="00693559">
        <w:rPr>
          <w:iCs/>
        </w:rPr>
        <w:t xml:space="preserve"> </w:t>
      </w:r>
      <w:r>
        <w:rPr>
          <w:iCs/>
        </w:rPr>
        <w:t xml:space="preserve">TCI state </w:t>
      </w:r>
      <w:r w:rsidRPr="00693559">
        <w:rPr>
          <w:iCs/>
        </w:rPr>
        <w:t>for PDCCH receptions</w:t>
      </w:r>
      <w:r w:rsidRPr="00693559">
        <w:rPr>
          <w:lang w:eastAsia="ja-JP"/>
        </w:rPr>
        <w:t xml:space="preserve"> in </w:t>
      </w:r>
      <w:r w:rsidR="00C76664">
        <w:rPr>
          <w:lang w:eastAsia="ja-JP"/>
        </w:rPr>
        <w:t>CORESET</w:t>
      </w:r>
      <w:r w:rsidRPr="00693559">
        <w:rPr>
          <w:lang w:eastAsia="ja-JP"/>
        </w:rPr>
        <w:t xml:space="preserve">s </w:t>
      </w:r>
      <w:r w:rsidRPr="003474A8">
        <w:t>on the activ</w:t>
      </w:r>
      <w:r>
        <w:t>e</w:t>
      </w:r>
      <w:r w:rsidRPr="00A53E52">
        <w:t xml:space="preserve"> DL BWP.</w:t>
      </w:r>
      <w:r>
        <w:t xml:space="preserve"> </w:t>
      </w:r>
    </w:p>
    <w:p w14:paraId="10845D26" w14:textId="77777777" w:rsidR="00A10623" w:rsidRPr="00B916EC" w:rsidRDefault="00A10623" w:rsidP="00A10623">
      <w:r w:rsidRPr="00B916EC">
        <w:t>In non-DRX mode operation, the physical layer in the UE assess</w:t>
      </w:r>
      <w:r w:rsidR="00945458">
        <w:t>es</w:t>
      </w:r>
      <w:r w:rsidRPr="00B916EC">
        <w:t xml:space="preserve"> </w:t>
      </w:r>
      <w:r w:rsidR="008E4805">
        <w:t xml:space="preserve">once per indication period </w:t>
      </w:r>
      <w:r w:rsidRPr="00B916EC">
        <w:t>the radio link quality, evaluated over the previous time period defined in [10, TS 38.133] against thresholds (Q</w:t>
      </w:r>
      <w:r w:rsidRPr="00B916EC">
        <w:rPr>
          <w:vertAlign w:val="subscript"/>
        </w:rPr>
        <w:t>out</w:t>
      </w:r>
      <w:r w:rsidRPr="00B916EC">
        <w:t xml:space="preserve"> and Q</w:t>
      </w:r>
      <w:r w:rsidRPr="00B916EC">
        <w:rPr>
          <w:vertAlign w:val="subscript"/>
        </w:rPr>
        <w:t>in</w:t>
      </w:r>
      <w:r w:rsidRPr="00B916EC">
        <w:t xml:space="preserve">) </w:t>
      </w:r>
      <w:r w:rsidR="00657179" w:rsidRPr="00B916EC">
        <w:t xml:space="preserve">configured by </w:t>
      </w:r>
      <w:r w:rsidR="00945458" w:rsidRPr="005C7263">
        <w:rPr>
          <w:i/>
        </w:rPr>
        <w:t>rlmInSyncOutOfSyncThreshold</w:t>
      </w:r>
      <w:r w:rsidRPr="00B916EC">
        <w:t>.</w:t>
      </w:r>
      <w:r w:rsidR="008E4805">
        <w:t xml:space="preserve"> The UE determines the indication period as</w:t>
      </w:r>
      <w:r w:rsidR="008E4805" w:rsidRPr="00034AF1">
        <w:rPr>
          <w:lang w:val="en-US"/>
        </w:rPr>
        <w:t xml:space="preserve"> the </w:t>
      </w:r>
      <w:r w:rsidR="008E4805">
        <w:rPr>
          <w:lang w:val="en-US"/>
        </w:rPr>
        <w:t xml:space="preserve">maximum between the </w:t>
      </w:r>
      <w:r w:rsidR="008E4805" w:rsidRPr="00034AF1">
        <w:rPr>
          <w:lang w:val="en-US"/>
        </w:rPr>
        <w:t xml:space="preserve">shortest periodicity </w:t>
      </w:r>
      <w:r w:rsidR="008E4805">
        <w:rPr>
          <w:lang w:val="en-US"/>
        </w:rPr>
        <w:t>for radio link monitoring resources</w:t>
      </w:r>
      <w:r w:rsidR="008E4805">
        <w:rPr>
          <w:iCs/>
        </w:rPr>
        <w:t xml:space="preserve"> and 10 msec.</w:t>
      </w:r>
    </w:p>
    <w:p w14:paraId="40F63AB8" w14:textId="77777777" w:rsidR="00A10623" w:rsidRPr="00B916EC" w:rsidRDefault="00A10623" w:rsidP="00A10623">
      <w:r w:rsidRPr="00B916EC">
        <w:t>In DRX mode operation, the physical layer in the UE assess</w:t>
      </w:r>
      <w:r w:rsidR="00945458">
        <w:t>es</w:t>
      </w:r>
      <w:r w:rsidRPr="00B916EC">
        <w:t xml:space="preserve"> </w:t>
      </w:r>
      <w:r w:rsidR="008E4805">
        <w:t xml:space="preserve">once per indication period </w:t>
      </w:r>
      <w:r w:rsidRPr="00B916EC">
        <w:t>the radio link quality, evaluated over the previous time period defined in [10, TS 38.133], against thresholds (Q</w:t>
      </w:r>
      <w:r w:rsidRPr="00B916EC">
        <w:rPr>
          <w:vertAlign w:val="subscript"/>
        </w:rPr>
        <w:t>out</w:t>
      </w:r>
      <w:r w:rsidRPr="00B916EC">
        <w:t xml:space="preserve"> and Q</w:t>
      </w:r>
      <w:r w:rsidRPr="00B916EC">
        <w:rPr>
          <w:vertAlign w:val="subscript"/>
        </w:rPr>
        <w:t>in</w:t>
      </w:r>
      <w:r w:rsidRPr="00B916EC">
        <w:t>)</w:t>
      </w:r>
      <w:r w:rsidR="00945458">
        <w:t xml:space="preserve"> </w:t>
      </w:r>
      <w:r w:rsidR="00945458" w:rsidRPr="0030569D">
        <w:t>provid</w:t>
      </w:r>
      <w:r w:rsidR="00945458" w:rsidRPr="002B36D8">
        <w:t xml:space="preserve">ed by </w:t>
      </w:r>
      <w:r w:rsidR="00945458" w:rsidRPr="001A0EDF">
        <w:rPr>
          <w:i/>
        </w:rPr>
        <w:t>rlmInSyncOutOfSyncThreshold</w:t>
      </w:r>
      <w:r w:rsidRPr="00B916EC">
        <w:t xml:space="preserve">. </w:t>
      </w:r>
      <w:r w:rsidR="008E4805">
        <w:t>The UE determines the indication period as</w:t>
      </w:r>
      <w:r w:rsidR="008E4805" w:rsidRPr="00034AF1">
        <w:rPr>
          <w:lang w:val="en-US"/>
        </w:rPr>
        <w:t xml:space="preserve"> the </w:t>
      </w:r>
      <w:r w:rsidR="008E4805">
        <w:rPr>
          <w:lang w:val="en-US"/>
        </w:rPr>
        <w:t xml:space="preserve">maximum between the </w:t>
      </w:r>
      <w:r w:rsidR="008E4805" w:rsidRPr="00034AF1">
        <w:rPr>
          <w:lang w:val="en-US"/>
        </w:rPr>
        <w:t xml:space="preserve">shortest periodicity </w:t>
      </w:r>
      <w:r w:rsidR="008E4805">
        <w:rPr>
          <w:lang w:val="en-US"/>
        </w:rPr>
        <w:t>for radio link monitoring resources</w:t>
      </w:r>
      <w:r w:rsidR="008E4805">
        <w:rPr>
          <w:iCs/>
        </w:rPr>
        <w:t xml:space="preserve"> and the DRX period.</w:t>
      </w:r>
    </w:p>
    <w:p w14:paraId="41377C5C" w14:textId="77777777" w:rsidR="00B83442" w:rsidRPr="00B916EC" w:rsidRDefault="00A10623" w:rsidP="005B7A31">
      <w:r w:rsidRPr="00B916EC">
        <w:t xml:space="preserve">The physical layer in the UE </w:t>
      </w:r>
      <w:r w:rsidR="00945458">
        <w:t>indicates,</w:t>
      </w:r>
      <w:r w:rsidRPr="00B916EC">
        <w:t xml:space="preserve"> in frames where the radio link quality is assessed</w:t>
      </w:r>
      <w:r w:rsidR="00945458">
        <w:t>,</w:t>
      </w:r>
      <w:r w:rsidRPr="00B916EC">
        <w:t xml:space="preserve"> out-of-sync to higher layers when the radio link quality is worse than the threshold Q</w:t>
      </w:r>
      <w:r w:rsidRPr="00B916EC">
        <w:rPr>
          <w:vertAlign w:val="subscript"/>
        </w:rPr>
        <w:t>out</w:t>
      </w:r>
      <w:r w:rsidR="00646271" w:rsidRPr="00B916EC">
        <w:t xml:space="preserve"> for all </w:t>
      </w:r>
      <w:r w:rsidR="005C2F87" w:rsidRPr="00B916EC">
        <w:t>resources in the set of resources for radio link monitoring</w:t>
      </w:r>
      <w:r w:rsidRPr="00B916EC">
        <w:t>. When the radio link quality is better than the threshold Q</w:t>
      </w:r>
      <w:r w:rsidRPr="00B916EC">
        <w:rPr>
          <w:vertAlign w:val="subscript"/>
        </w:rPr>
        <w:t>in</w:t>
      </w:r>
      <w:r w:rsidR="00B83442" w:rsidRPr="00B916EC">
        <w:rPr>
          <w:vertAlign w:val="subscript"/>
        </w:rPr>
        <w:t xml:space="preserve"> </w:t>
      </w:r>
      <w:r w:rsidR="00B83442" w:rsidRPr="00B916EC">
        <w:t xml:space="preserve">for </w:t>
      </w:r>
      <w:r w:rsidR="00502BC6" w:rsidRPr="00B916EC">
        <w:t xml:space="preserve">any </w:t>
      </w:r>
      <w:r w:rsidR="00213ED3" w:rsidRPr="00B916EC">
        <w:t xml:space="preserve">resource </w:t>
      </w:r>
      <w:r w:rsidR="000C01E1" w:rsidRPr="00B916EC">
        <w:t>in</w:t>
      </w:r>
      <w:r w:rsidR="005C2F87" w:rsidRPr="00B916EC">
        <w:t xml:space="preserve"> the set of resources for radio link monitoring</w:t>
      </w:r>
      <w:r w:rsidRPr="00B916EC">
        <w:t xml:space="preserve">, the physical layer in the UE </w:t>
      </w:r>
      <w:r w:rsidR="00945458">
        <w:t>indicates,</w:t>
      </w:r>
      <w:r w:rsidRPr="00B916EC">
        <w:t xml:space="preserve"> in frames where the radio link quality is assessed</w:t>
      </w:r>
      <w:r w:rsidR="00945458">
        <w:t>,</w:t>
      </w:r>
      <w:r w:rsidRPr="00B916EC">
        <w:t xml:space="preserve"> in-sync to higher layers.</w:t>
      </w:r>
    </w:p>
    <w:p w14:paraId="08AAB542" w14:textId="77777777" w:rsidR="00357D4F" w:rsidRPr="00B916EC" w:rsidRDefault="00357D4F" w:rsidP="00357D4F">
      <w:pPr>
        <w:pStyle w:val="Heading1"/>
        <w:tabs>
          <w:tab w:val="left" w:pos="1134"/>
        </w:tabs>
        <w:rPr>
          <w:rFonts w:cs="Arial"/>
          <w:szCs w:val="32"/>
        </w:rPr>
      </w:pPr>
      <w:bookmarkStart w:id="126" w:name="_Ref500595654"/>
      <w:bookmarkStart w:id="127" w:name="_Toc12021443"/>
      <w:bookmarkStart w:id="128" w:name="_Toc20311555"/>
      <w:bookmarkStart w:id="129" w:name="_Toc26719380"/>
      <w:bookmarkStart w:id="130" w:name="_Toc29894811"/>
      <w:bookmarkStart w:id="131" w:name="_Toc29899110"/>
      <w:bookmarkStart w:id="132" w:name="_Toc29899528"/>
      <w:bookmarkStart w:id="133" w:name="_Toc29917265"/>
      <w:bookmarkStart w:id="134" w:name="_Toc36498139"/>
      <w:bookmarkStart w:id="135" w:name="_Toc45699165"/>
      <w:bookmarkStart w:id="136" w:name="_Toc161999090"/>
      <w:r w:rsidRPr="00B916EC">
        <w:rPr>
          <w:rFonts w:cs="Arial"/>
          <w:szCs w:val="32"/>
        </w:rPr>
        <w:t>6</w:t>
      </w:r>
      <w:r w:rsidRPr="00B916EC">
        <w:rPr>
          <w:rFonts w:cs="Arial"/>
          <w:szCs w:val="32"/>
        </w:rPr>
        <w:tab/>
        <w:t xml:space="preserve">Link </w:t>
      </w:r>
      <w:r w:rsidR="00945458">
        <w:rPr>
          <w:rFonts w:cs="Arial"/>
          <w:szCs w:val="32"/>
        </w:rPr>
        <w:t>recovery</w:t>
      </w:r>
      <w:r w:rsidRPr="00B916EC">
        <w:rPr>
          <w:rFonts w:cs="Arial"/>
          <w:szCs w:val="32"/>
        </w:rPr>
        <w:t xml:space="preserve"> procedures</w:t>
      </w:r>
      <w:bookmarkEnd w:id="126"/>
      <w:bookmarkEnd w:id="127"/>
      <w:bookmarkEnd w:id="128"/>
      <w:bookmarkEnd w:id="129"/>
      <w:bookmarkEnd w:id="130"/>
      <w:bookmarkEnd w:id="131"/>
      <w:bookmarkEnd w:id="132"/>
      <w:bookmarkEnd w:id="133"/>
      <w:bookmarkEnd w:id="134"/>
      <w:bookmarkEnd w:id="135"/>
      <w:bookmarkEnd w:id="136"/>
    </w:p>
    <w:p w14:paraId="1AF0300A" w14:textId="2F3FAE8F" w:rsidR="00641735" w:rsidRPr="00F415B1" w:rsidRDefault="00A10623" w:rsidP="00641735">
      <w:r w:rsidRPr="00B916EC">
        <w:rPr>
          <w:rFonts w:eastAsia="MS Mincho"/>
          <w:lang w:eastAsia="ja-JP"/>
        </w:rPr>
        <w:t xml:space="preserve">A </w:t>
      </w:r>
      <w:r w:rsidRPr="00B916EC">
        <w:t xml:space="preserve">UE can be </w:t>
      </w:r>
      <w:r w:rsidR="00945458">
        <w:t>provided</w:t>
      </w:r>
      <w:r w:rsidR="001E5528" w:rsidRPr="00B916EC">
        <w:t>,</w:t>
      </w:r>
      <w:r w:rsidRPr="00B916EC">
        <w:t xml:space="preserve"> </w:t>
      </w:r>
      <w:r w:rsidR="00353D7D" w:rsidRPr="00B916EC">
        <w:t xml:space="preserve">for </w:t>
      </w:r>
      <w:r w:rsidR="00C97817">
        <w:t xml:space="preserve">each BWP of </w:t>
      </w:r>
      <w:r w:rsidR="00353D7D" w:rsidRPr="00B916EC">
        <w:t>a serving cell</w:t>
      </w:r>
      <w:r w:rsidR="001E5528" w:rsidRPr="00B916EC">
        <w:t>,</w:t>
      </w:r>
      <w:r w:rsidR="00353D7D" w:rsidRPr="00B916EC">
        <w:t xml:space="preserve"> </w:t>
      </w:r>
      <w:r w:rsidR="001E5528" w:rsidRPr="00B916EC">
        <w:t xml:space="preserve">a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m:t>
            </m:r>
          </m:sub>
        </m:sSub>
      </m:oMath>
      <w:r w:rsidR="001E5528" w:rsidRPr="00B916EC">
        <w:rPr>
          <w:iCs/>
        </w:rPr>
        <w:t xml:space="preserve"> </w:t>
      </w:r>
      <w:r w:rsidR="00E73E9C" w:rsidRPr="00B916EC">
        <w:rPr>
          <w:iCs/>
        </w:rPr>
        <w:t xml:space="preserve">of </w:t>
      </w:r>
      <w:r w:rsidR="008721CB" w:rsidRPr="00B916EC">
        <w:rPr>
          <w:iCs/>
        </w:rPr>
        <w:t xml:space="preserve">periodic </w:t>
      </w:r>
      <w:r w:rsidR="00836C40" w:rsidRPr="00B916EC">
        <w:rPr>
          <w:iCs/>
        </w:rPr>
        <w:t xml:space="preserve">CSI-RS </w:t>
      </w:r>
      <w:r w:rsidR="00E73E9C" w:rsidRPr="00B916EC">
        <w:rPr>
          <w:iCs/>
        </w:rPr>
        <w:t>resource configuration</w:t>
      </w:r>
      <w:r w:rsidR="004818D4" w:rsidRPr="00B916EC">
        <w:rPr>
          <w:iCs/>
        </w:rPr>
        <w:t xml:space="preserve"> indexe</w:t>
      </w:r>
      <w:r w:rsidR="00E73E9C" w:rsidRPr="00B916EC">
        <w:rPr>
          <w:iCs/>
        </w:rPr>
        <w:t xml:space="preserve">s </w:t>
      </w:r>
      <w:r w:rsidR="003840AF" w:rsidRPr="00B916EC">
        <w:rPr>
          <w:iCs/>
        </w:rPr>
        <w:t xml:space="preserve">by </w:t>
      </w:r>
      <w:r w:rsidR="00945458" w:rsidRPr="00A27728">
        <w:rPr>
          <w:i/>
        </w:rPr>
        <w:t>failureDetectionResources</w:t>
      </w:r>
      <w:r w:rsidR="00391714">
        <w:rPr>
          <w:rFonts w:hint="eastAsia"/>
          <w:i/>
        </w:rPr>
        <w:t>ToAddModList</w:t>
      </w:r>
      <w:r w:rsidR="003840AF" w:rsidRPr="00B916EC">
        <w:rPr>
          <w:iCs/>
        </w:rPr>
        <w:t xml:space="preserve"> </w:t>
      </w:r>
      <w:r w:rsidR="00E73E9C" w:rsidRPr="00B916EC">
        <w:rPr>
          <w:iCs/>
        </w:rPr>
        <w:t xml:space="preserve">and </w:t>
      </w:r>
      <w:r w:rsidRPr="00B916EC">
        <w:t xml:space="preserve">a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m:t>
            </m:r>
          </m:sub>
        </m:sSub>
      </m:oMath>
      <w:r w:rsidR="00357B5B" w:rsidRPr="00B916EC">
        <w:rPr>
          <w:iCs/>
        </w:rPr>
        <w:t xml:space="preserve"> </w:t>
      </w:r>
      <w:r w:rsidRPr="00B916EC">
        <w:t>of</w:t>
      </w:r>
      <w:r w:rsidR="00945458">
        <w:t xml:space="preserve"> periodic</w:t>
      </w:r>
      <w:r w:rsidRPr="00B916EC">
        <w:t xml:space="preserve"> CSI-RS resource configuration</w:t>
      </w:r>
      <w:r w:rsidR="004818D4" w:rsidRPr="00B916EC">
        <w:t xml:space="preserve"> indexe</w:t>
      </w:r>
      <w:r w:rsidRPr="00B916EC">
        <w:t xml:space="preserve">s </w:t>
      </w:r>
      <w:r w:rsidR="00D30765" w:rsidRPr="00B916EC">
        <w:t>and/</w:t>
      </w:r>
      <w:r w:rsidRPr="00B916EC">
        <w:t xml:space="preserve">or SS/PBCH block indexes </w:t>
      </w:r>
      <w:r w:rsidR="00353D7D" w:rsidRPr="00B916EC">
        <w:t xml:space="preserve">by </w:t>
      </w:r>
      <w:r w:rsidR="00945458">
        <w:rPr>
          <w:rFonts w:eastAsia="MS Mincho"/>
          <w:i/>
          <w:lang w:val="en-US" w:eastAsia="ja-JP"/>
        </w:rPr>
        <w:t>c</w:t>
      </w:r>
      <w:r w:rsidR="00945458" w:rsidRPr="00B916EC">
        <w:rPr>
          <w:rFonts w:eastAsia="MS Mincho"/>
          <w:i/>
          <w:lang w:val="en-US" w:eastAsia="ja-JP"/>
        </w:rPr>
        <w:t>andidateBeamRSList</w:t>
      </w:r>
      <w:r w:rsidR="00353D7D" w:rsidRPr="00B916EC">
        <w:rPr>
          <w:rFonts w:eastAsia="MS Mincho"/>
          <w:lang w:val="en-US" w:eastAsia="ja-JP"/>
        </w:rPr>
        <w:t xml:space="preserve"> </w:t>
      </w:r>
      <w:r w:rsidR="00BD50D8">
        <w:rPr>
          <w:rFonts w:eastAsia="MS Mincho"/>
          <w:lang w:val="en-US" w:eastAsia="ja-JP"/>
        </w:rPr>
        <w:t xml:space="preserve">or </w:t>
      </w:r>
      <w:r w:rsidR="009A2032" w:rsidRPr="005A6707">
        <w:rPr>
          <w:i/>
        </w:rPr>
        <w:t xml:space="preserve">candidateBeamRSListExt </w:t>
      </w:r>
      <w:r w:rsidR="009A2032" w:rsidRPr="005A6707">
        <w:rPr>
          <w:iCs/>
        </w:rPr>
        <w:t>or</w:t>
      </w:r>
      <w:r w:rsidR="009A2032" w:rsidRPr="005A6707">
        <w:rPr>
          <w:rFonts w:eastAsia="MS Mincho"/>
          <w:lang w:eastAsia="ja-JP"/>
        </w:rPr>
        <w:t xml:space="preserve"> </w:t>
      </w:r>
      <w:r w:rsidR="009A2032" w:rsidRPr="005A6707">
        <w:rPr>
          <w:rFonts w:eastAsia="MS Mincho"/>
          <w:i/>
          <w:lang w:eastAsia="ja-JP"/>
        </w:rPr>
        <w:t>candidateBeamRSSCellList</w:t>
      </w:r>
      <w:r w:rsidR="00BD50D8" w:rsidRPr="00B916EC">
        <w:t xml:space="preserve"> </w:t>
      </w:r>
      <w:r w:rsidRPr="00B916EC">
        <w:t>for</w:t>
      </w:r>
      <w:r w:rsidR="00601767" w:rsidRPr="00B916EC">
        <w:t xml:space="preserve"> radio link quality</w:t>
      </w:r>
      <w:r w:rsidRPr="00B916EC">
        <w:t xml:space="preserve"> measurements on </w:t>
      </w:r>
      <w:r w:rsidR="00353D7D" w:rsidRPr="00B916EC">
        <w:t>the</w:t>
      </w:r>
      <w:r w:rsidRPr="00B916EC">
        <w:t xml:space="preserve"> </w:t>
      </w:r>
      <w:r w:rsidR="00C97817">
        <w:t xml:space="preserve">BWP of the </w:t>
      </w:r>
      <w:r w:rsidRPr="00B916EC">
        <w:t>serving cell.</w:t>
      </w:r>
      <w:r w:rsidR="008A6E4E" w:rsidRPr="00B916EC">
        <w:t xml:space="preserve"> </w:t>
      </w:r>
      <w:r w:rsidR="00641735" w:rsidRPr="00F415B1">
        <w:t xml:space="preserve">Instead of the sets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m:t>
            </m:r>
          </m:sub>
        </m:sSub>
      </m:oMath>
      <w:r w:rsidR="00641735" w:rsidRPr="00F415B1">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m:t>
            </m:r>
          </m:sub>
        </m:sSub>
      </m:oMath>
      <w:r w:rsidR="00641735" w:rsidRPr="00F415B1">
        <w:t xml:space="preserve">, for each BWP of a serving cell, the UE can be provided respective two sets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0,0</m:t>
            </m:r>
          </m:sub>
        </m:sSub>
      </m:oMath>
      <w:r w:rsidR="00641735" w:rsidRPr="00F415B1">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0,1</m:t>
            </m:r>
          </m:sub>
        </m:sSub>
      </m:oMath>
      <w:r w:rsidR="00641735" w:rsidRPr="00F415B1">
        <w:t xml:space="preserve"> </w:t>
      </w:r>
      <w:r w:rsidR="00641735" w:rsidRPr="00F415B1">
        <w:rPr>
          <w:iCs/>
        </w:rPr>
        <w:t xml:space="preserve">of periodic CSI-RS resource configuration indexes </w:t>
      </w:r>
      <w:r w:rsidR="00E86310" w:rsidRPr="009A46C2">
        <w:rPr>
          <w:rFonts w:cs="Times"/>
        </w:rPr>
        <w:t>by</w:t>
      </w:r>
      <w:r w:rsidR="00E86310">
        <w:rPr>
          <w:rFonts w:cs="Times"/>
        </w:rPr>
        <w:t xml:space="preserve"> </w:t>
      </w:r>
      <w:r w:rsidR="00E86310" w:rsidRPr="009A46C2">
        <w:rPr>
          <w:rStyle w:val="Emphasis"/>
          <w:rFonts w:cs="Times"/>
        </w:rPr>
        <w:t>failureDetectionSet1</w:t>
      </w:r>
      <w:r w:rsidR="00E86310">
        <w:rPr>
          <w:rStyle w:val="apple-converted-space"/>
          <w:rFonts w:cs="Times"/>
        </w:rPr>
        <w:t xml:space="preserve"> </w:t>
      </w:r>
      <w:r w:rsidR="00E86310" w:rsidRPr="009A46C2">
        <w:rPr>
          <w:rFonts w:cs="Times"/>
        </w:rPr>
        <w:t>and</w:t>
      </w:r>
      <w:r w:rsidR="00E86310">
        <w:rPr>
          <w:rFonts w:cs="Times"/>
        </w:rPr>
        <w:t xml:space="preserve"> </w:t>
      </w:r>
      <w:r w:rsidR="00E86310" w:rsidRPr="009A46C2">
        <w:rPr>
          <w:rStyle w:val="Emphasis"/>
          <w:rFonts w:cs="Times"/>
        </w:rPr>
        <w:t>failureDetectionSet2</w:t>
      </w:r>
      <w:r w:rsidR="00E86310" w:rsidRPr="009A46C2">
        <w:rPr>
          <w:iCs/>
        </w:rPr>
        <w:t xml:space="preserve"> </w:t>
      </w:r>
      <w:r w:rsidR="00D5274C" w:rsidRPr="00037243">
        <w:rPr>
          <w:iCs/>
        </w:rPr>
        <w:t xml:space="preserve">that can be activated by a MAC CE [11 TS 38.321] </w:t>
      </w:r>
      <w:r w:rsidR="00641735" w:rsidRPr="00F415B1">
        <w:rPr>
          <w:iCs/>
        </w:rPr>
        <w:t xml:space="preserve">and corresponding </w:t>
      </w:r>
      <w:r w:rsidR="00641735" w:rsidRPr="00F415B1">
        <w:t xml:space="preserve">two sets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1,0</m:t>
            </m:r>
          </m:sub>
        </m:sSub>
      </m:oMath>
      <w:r w:rsidR="00641735" w:rsidRPr="00F415B1">
        <w:rPr>
          <w:iCs/>
        </w:rP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1,1</m:t>
            </m:r>
          </m:sub>
        </m:sSub>
      </m:oMath>
      <w:r w:rsidR="00641735" w:rsidRPr="00F415B1">
        <w:t xml:space="preserve"> of periodic CSI-RS resource configuration indexes and/or SS/PBCH block indexes by </w:t>
      </w:r>
      <w:r w:rsidR="00641735" w:rsidRPr="00F415B1">
        <w:rPr>
          <w:rFonts w:eastAsia="MS Mincho"/>
          <w:i/>
          <w:lang w:val="en-US" w:eastAsia="ja-JP"/>
        </w:rPr>
        <w:t>candidateBeamRS</w:t>
      </w:r>
      <w:r w:rsidR="000D6C6D">
        <w:rPr>
          <w:rFonts w:eastAsia="MS Mincho"/>
          <w:i/>
          <w:lang w:val="en-US" w:eastAsia="ja-JP"/>
        </w:rPr>
        <w:t>-</w:t>
      </w:r>
      <w:r w:rsidR="00641735" w:rsidRPr="00F415B1">
        <w:rPr>
          <w:rFonts w:eastAsia="MS Mincho"/>
          <w:i/>
          <w:lang w:val="en-US" w:eastAsia="ja-JP"/>
        </w:rPr>
        <w:t>List</w:t>
      </w:r>
      <w:r w:rsidR="00641735" w:rsidRPr="00F415B1">
        <w:rPr>
          <w:rFonts w:eastAsia="MS Mincho"/>
          <w:lang w:val="en-US" w:eastAsia="ja-JP"/>
        </w:rPr>
        <w:t xml:space="preserve"> and </w:t>
      </w:r>
      <w:r w:rsidR="00641735" w:rsidRPr="00F415B1">
        <w:rPr>
          <w:rFonts w:eastAsia="MS Mincho"/>
          <w:i/>
          <w:lang w:val="en-US" w:eastAsia="ja-JP"/>
        </w:rPr>
        <w:t>candidateBeamRS</w:t>
      </w:r>
      <w:r w:rsidR="000D6C6D">
        <w:rPr>
          <w:rFonts w:eastAsia="MS Mincho"/>
          <w:i/>
          <w:lang w:val="en-US" w:eastAsia="ja-JP"/>
        </w:rPr>
        <w:t>-</w:t>
      </w:r>
      <w:r w:rsidR="00641735" w:rsidRPr="00F415B1">
        <w:rPr>
          <w:rFonts w:eastAsia="MS Mincho"/>
          <w:i/>
          <w:lang w:val="en-US" w:eastAsia="ja-JP"/>
        </w:rPr>
        <w:t>List2</w:t>
      </w:r>
      <w:r w:rsidR="00641735" w:rsidRPr="00F415B1">
        <w:rPr>
          <w:rFonts w:eastAsia="MS Mincho"/>
          <w:iCs/>
          <w:lang w:val="en-US" w:eastAsia="ja-JP"/>
        </w:rPr>
        <w:t>, respectively,</w:t>
      </w:r>
      <w:r w:rsidR="00641735" w:rsidRPr="00F415B1">
        <w:t xml:space="preserve"> for radio link quality measurements on the BWP of the serving cell. The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0,0</m:t>
            </m:r>
          </m:sub>
        </m:sSub>
      </m:oMath>
      <w:r w:rsidR="00641735" w:rsidRPr="00F415B1">
        <w:t xml:space="preserve"> is associated with the </w:t>
      </w:r>
      <w:r w:rsidR="00641735">
        <w:t xml:space="preserve">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1,0</m:t>
            </m:r>
          </m:sub>
        </m:sSub>
      </m:oMath>
      <w:r w:rsidR="00641735" w:rsidRPr="00F415B1">
        <w:t xml:space="preserve"> and the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0,1</m:t>
            </m:r>
          </m:sub>
        </m:sSub>
      </m:oMath>
      <w:r w:rsidR="00641735" w:rsidRPr="00F415B1">
        <w:t xml:space="preserve"> is associated with the </w:t>
      </w:r>
      <w:r w:rsidR="00641735">
        <w:t xml:space="preserve">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1,1</m:t>
            </m:r>
          </m:sub>
        </m:sSub>
      </m:oMath>
      <w:r w:rsidR="00641735" w:rsidRPr="00F415B1">
        <w:t>.</w:t>
      </w:r>
    </w:p>
    <w:p w14:paraId="758FE757" w14:textId="0ACB42E6" w:rsidR="00E86310" w:rsidRDefault="008A6E4E" w:rsidP="00110C23">
      <w:r w:rsidRPr="00B916EC">
        <w:t>If the UE is not provided</w:t>
      </w:r>
      <w:r w:rsidR="00BD50D8">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m:t>
            </m:r>
          </m:sub>
        </m:sSub>
      </m:oMath>
      <w:r w:rsidR="00BD50D8" w:rsidRPr="00B916EC">
        <w:rPr>
          <w:iCs/>
        </w:rPr>
        <w:t xml:space="preserve"> </w:t>
      </w:r>
      <w:r w:rsidR="00BD50D8">
        <w:rPr>
          <w:iCs/>
        </w:rPr>
        <w:t>by</w:t>
      </w:r>
      <w:r w:rsidRPr="00B916EC">
        <w:t xml:space="preserve"> </w:t>
      </w:r>
      <w:r w:rsidR="0058111C" w:rsidRPr="00A27728">
        <w:rPr>
          <w:i/>
        </w:rPr>
        <w:t>failureDetectionResources</w:t>
      </w:r>
      <w:r w:rsidR="00391714">
        <w:rPr>
          <w:rFonts w:hint="eastAsia"/>
          <w:i/>
        </w:rPr>
        <w:t>ToAddModList</w:t>
      </w:r>
      <w:r w:rsidR="00BD50D8">
        <w:rPr>
          <w:szCs w:val="16"/>
        </w:rPr>
        <w:t xml:space="preserve"> for a BWP of the serving cell</w:t>
      </w:r>
      <w:r w:rsidRPr="00B916EC">
        <w:rPr>
          <w:iCs/>
        </w:rPr>
        <w:t xml:space="preserve">, </w:t>
      </w:r>
      <w:r w:rsidR="00573979" w:rsidRPr="00B916EC">
        <w:rPr>
          <w:iCs/>
        </w:rPr>
        <w:t>the UE determines</w:t>
      </w:r>
      <w:r w:rsidR="00DF12DA">
        <w:rPr>
          <w:iCs/>
        </w:rPr>
        <w:t xml:space="preserve"> the set</w:t>
      </w:r>
      <w:r w:rsidR="00573979" w:rsidRPr="00B916EC">
        <w:rPr>
          <w:iCs/>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m:t>
            </m:r>
          </m:sub>
        </m:sSub>
      </m:oMath>
      <w:r w:rsidR="00573979" w:rsidRPr="00B916EC">
        <w:rPr>
          <w:iCs/>
        </w:rPr>
        <w:t xml:space="preserve"> to include </w:t>
      </w:r>
      <w:r w:rsidR="00DF12DA" w:rsidRPr="00B916EC">
        <w:rPr>
          <w:iCs/>
        </w:rPr>
        <w:t xml:space="preserve">periodic CSI-RS </w:t>
      </w:r>
      <w:r w:rsidR="00DF12DA">
        <w:rPr>
          <w:iCs/>
        </w:rPr>
        <w:t xml:space="preserve">resource </w:t>
      </w:r>
      <w:r w:rsidR="00DF12DA" w:rsidRPr="00B916EC">
        <w:rPr>
          <w:iCs/>
        </w:rPr>
        <w:t>configuration</w:t>
      </w:r>
      <w:r w:rsidR="00DF12DA">
        <w:rPr>
          <w:iCs/>
        </w:rPr>
        <w:t xml:space="preserve"> indexe</w:t>
      </w:r>
      <w:r w:rsidR="00DF12DA" w:rsidRPr="00B916EC">
        <w:rPr>
          <w:iCs/>
        </w:rPr>
        <w:t xml:space="preserve">s with same values </w:t>
      </w:r>
      <w:r w:rsidR="00DF12DA">
        <w:rPr>
          <w:iCs/>
        </w:rPr>
        <w:t>as the RS indexes in the RS sets indicated by</w:t>
      </w:r>
      <w:r w:rsidR="00DF12DA" w:rsidRPr="00B916EC">
        <w:t xml:space="preserve"> </w:t>
      </w:r>
      <w:r w:rsidR="007E4B10" w:rsidRPr="00AB72D2">
        <w:rPr>
          <w:i/>
        </w:rPr>
        <w:t>TCI-</w:t>
      </w:r>
      <w:r w:rsidR="00063DE7">
        <w:rPr>
          <w:i/>
        </w:rPr>
        <w:t>S</w:t>
      </w:r>
      <w:r w:rsidR="00063DE7" w:rsidRPr="00AB72D2">
        <w:rPr>
          <w:i/>
        </w:rPr>
        <w:t>tate</w:t>
      </w:r>
      <w:r w:rsidR="00063DE7">
        <w:t xml:space="preserve"> </w:t>
      </w:r>
      <w:r w:rsidR="00DF12DA" w:rsidRPr="00B916EC">
        <w:t xml:space="preserve">for </w:t>
      </w:r>
      <w:r w:rsidR="00DF12DA">
        <w:t xml:space="preserve">respective </w:t>
      </w:r>
      <w:r w:rsidR="00C76664">
        <w:t>CORESET</w:t>
      </w:r>
      <w:r w:rsidR="00DF12DA" w:rsidRPr="00B916EC">
        <w:t xml:space="preserve">s that the UE </w:t>
      </w:r>
      <w:r w:rsidR="0058111C">
        <w:t>uses</w:t>
      </w:r>
      <w:r w:rsidR="00DF12DA" w:rsidRPr="00B916EC">
        <w:t xml:space="preserve"> for monitoring PDCCH</w:t>
      </w:r>
      <w:r w:rsidR="00641735" w:rsidRPr="00F415B1">
        <w:t>.</w:t>
      </w:r>
      <w:r w:rsidR="00641735">
        <w:t xml:space="preserve"> </w:t>
      </w:r>
      <w:r w:rsidR="00641735" w:rsidRPr="00F415B1">
        <w:t xml:space="preserve">If the UE is not provided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0,0</m:t>
            </m:r>
          </m:sub>
        </m:sSub>
      </m:oMath>
      <w:r w:rsidR="00641735">
        <w:t xml:space="preserve"> </w:t>
      </w:r>
      <w:r w:rsidR="00C92415">
        <w:t xml:space="preserve">and </w:t>
      </w:r>
      <m:oMath>
        <m:r>
          <m:rPr>
            <m:sty m:val="p"/>
          </m:rP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0,1</m:t>
            </m:r>
          </m:sub>
        </m:sSub>
      </m:oMath>
      <w:r w:rsidR="00641735" w:rsidRPr="00F415B1">
        <w:rPr>
          <w:szCs w:val="16"/>
        </w:rPr>
        <w:t xml:space="preserve"> for a BWP of the serving cell</w:t>
      </w:r>
      <w:r w:rsidR="00641735" w:rsidRPr="00F415B1">
        <w:rPr>
          <w:iCs/>
        </w:rPr>
        <w:t>, the UE determines the set</w:t>
      </w:r>
      <w:r w:rsidR="00641735">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0,0</m:t>
            </m:r>
          </m:sub>
        </m:sSub>
      </m:oMath>
      <w:r w:rsidR="00641735">
        <w:t xml:space="preserve"> </w:t>
      </w:r>
      <w:r w:rsidR="00C92415">
        <w:t xml:space="preserve">and </w:t>
      </w:r>
      <m:oMath>
        <m:r>
          <m:rPr>
            <m:sty m:val="p"/>
          </m:rP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0,1</m:t>
            </m:r>
          </m:sub>
        </m:sSub>
      </m:oMath>
      <w:r w:rsidR="00641735">
        <w:t xml:space="preserve"> </w:t>
      </w:r>
      <w:r w:rsidR="00641735" w:rsidRPr="00F415B1">
        <w:rPr>
          <w:iCs/>
        </w:rPr>
        <w:t>to include periodic CSI-RS resource configuration indexes with same values as the RS indexes in the RS sets indicated by</w:t>
      </w:r>
      <w:r w:rsidR="00641735" w:rsidRPr="00F415B1">
        <w:t xml:space="preserve"> </w:t>
      </w:r>
      <w:r w:rsidR="00641735" w:rsidRPr="00F415B1">
        <w:rPr>
          <w:i/>
        </w:rPr>
        <w:t>TCI-State</w:t>
      </w:r>
      <w:r w:rsidR="00641735" w:rsidRPr="00F415B1">
        <w:t xml:space="preserve"> for </w:t>
      </w:r>
      <w:r w:rsidR="00641735">
        <w:t xml:space="preserve">first and second </w:t>
      </w:r>
      <w:r w:rsidR="00641735" w:rsidRPr="00F415B1">
        <w:t>CORESETs that the UE uses for monitoring PDCCH</w:t>
      </w:r>
      <w:r w:rsidR="00641735">
        <w:t xml:space="preserve">, </w:t>
      </w:r>
      <w:r w:rsidR="00C92415">
        <w:t xml:space="preserve">respectively, </w:t>
      </w:r>
      <w:r w:rsidR="00641735">
        <w:t>where</w:t>
      </w:r>
      <w:r w:rsidR="00641735" w:rsidRPr="00F415B1">
        <w:t xml:space="preserve"> the UE is provided two </w:t>
      </w:r>
      <w:r w:rsidR="00641735" w:rsidRPr="00F415B1">
        <w:rPr>
          <w:rStyle w:val="Emphasis"/>
          <w:rFonts w:eastAsia="Batang"/>
        </w:rPr>
        <w:lastRenderedPageBreak/>
        <w:t>coresetPoolIndex</w:t>
      </w:r>
      <w:r w:rsidR="00641735" w:rsidRPr="00F415B1">
        <w:rPr>
          <w:rStyle w:val="Emphasis"/>
          <w:rFonts w:eastAsia="Batang"/>
          <w:i w:val="0"/>
          <w:iCs w:val="0"/>
        </w:rPr>
        <w:t xml:space="preserve"> values 0 and 1 for </w:t>
      </w:r>
      <w:r w:rsidR="00641735">
        <w:rPr>
          <w:rStyle w:val="Emphasis"/>
          <w:rFonts w:eastAsia="Batang"/>
          <w:i w:val="0"/>
          <w:iCs w:val="0"/>
        </w:rPr>
        <w:t>the</w:t>
      </w:r>
      <w:r w:rsidR="00641735" w:rsidRPr="00F415B1">
        <w:rPr>
          <w:rStyle w:val="Emphasis"/>
          <w:rFonts w:eastAsia="Batang"/>
          <w:i w:val="0"/>
          <w:iCs w:val="0"/>
        </w:rPr>
        <w:t xml:space="preserve"> first and second CORESETs, or is not provided </w:t>
      </w:r>
      <w:r w:rsidR="00641735" w:rsidRPr="00F415B1">
        <w:rPr>
          <w:rStyle w:val="Emphasis"/>
          <w:rFonts w:eastAsia="Batang"/>
        </w:rPr>
        <w:t>coresetPoolIndex</w:t>
      </w:r>
      <w:r w:rsidR="00641735" w:rsidRPr="00F415B1">
        <w:rPr>
          <w:rStyle w:val="Emphasis"/>
          <w:rFonts w:eastAsia="Batang"/>
          <w:i w:val="0"/>
          <w:iCs w:val="0"/>
        </w:rPr>
        <w:t xml:space="preserve"> value for </w:t>
      </w:r>
      <w:r w:rsidR="00641735">
        <w:rPr>
          <w:rStyle w:val="Emphasis"/>
          <w:rFonts w:eastAsia="Batang"/>
          <w:i w:val="0"/>
          <w:iCs w:val="0"/>
        </w:rPr>
        <w:t xml:space="preserve">the </w:t>
      </w:r>
      <w:r w:rsidR="00641735" w:rsidRPr="00F415B1">
        <w:rPr>
          <w:rStyle w:val="Emphasis"/>
          <w:rFonts w:eastAsia="Batang"/>
          <w:i w:val="0"/>
          <w:iCs w:val="0"/>
        </w:rPr>
        <w:t xml:space="preserve">first CORESETs and is provided </w:t>
      </w:r>
      <w:r w:rsidR="00641735" w:rsidRPr="00F415B1">
        <w:rPr>
          <w:rStyle w:val="Emphasis"/>
          <w:rFonts w:eastAsia="Batang"/>
        </w:rPr>
        <w:t>coresetPoolIndex</w:t>
      </w:r>
      <w:r w:rsidR="00641735" w:rsidRPr="00F415B1">
        <w:rPr>
          <w:rStyle w:val="Emphasis"/>
          <w:rFonts w:eastAsia="Batang"/>
          <w:i w:val="0"/>
          <w:iCs w:val="0"/>
        </w:rPr>
        <w:t xml:space="preserve"> value of 1 for </w:t>
      </w:r>
      <w:r w:rsidR="00641735">
        <w:rPr>
          <w:rStyle w:val="Emphasis"/>
          <w:rFonts w:eastAsia="Batang"/>
          <w:i w:val="0"/>
          <w:iCs w:val="0"/>
        </w:rPr>
        <w:t xml:space="preserve">the </w:t>
      </w:r>
      <w:r w:rsidR="00641735" w:rsidRPr="00F415B1">
        <w:rPr>
          <w:rStyle w:val="Emphasis"/>
          <w:rFonts w:eastAsia="Batang"/>
          <w:i w:val="0"/>
          <w:iCs w:val="0"/>
        </w:rPr>
        <w:t>second CORESETs</w:t>
      </w:r>
      <w:r w:rsidR="00641735">
        <w:rPr>
          <w:rStyle w:val="Emphasis"/>
          <w:rFonts w:eastAsia="Batang"/>
          <w:i w:val="0"/>
          <w:iCs w:val="0"/>
        </w:rPr>
        <w:t>, respectively</w:t>
      </w:r>
      <w:r w:rsidR="00641735" w:rsidRPr="00F415B1">
        <w:t>.</w:t>
      </w:r>
      <w:r w:rsidR="00427E18" w:rsidRPr="00427E18">
        <w:t xml:space="preserve"> </w:t>
      </w:r>
      <w:r w:rsidR="00641735" w:rsidRPr="00F415B1">
        <w:t>If</w:t>
      </w:r>
      <w:r w:rsidR="00427E18" w:rsidRPr="0012483E">
        <w:t xml:space="preserve"> there are two RS i</w:t>
      </w:r>
      <w:r w:rsidR="00427E18" w:rsidRPr="005408B6">
        <w:t>ndexes</w:t>
      </w:r>
      <w:r w:rsidR="00427E18">
        <w:t xml:space="preserve"> </w:t>
      </w:r>
      <w:r w:rsidR="00427E18" w:rsidRPr="00162E2F">
        <w:t>in a TCI state</w:t>
      </w:r>
      <w:r w:rsidR="00427E18" w:rsidRPr="005408B6">
        <w:t xml:space="preserve">, the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m:t>
            </m:r>
          </m:sub>
        </m:sSub>
      </m:oMath>
      <w:r w:rsidR="00427E18" w:rsidRPr="00162E2F">
        <w:t xml:space="preserve"> </w:t>
      </w:r>
      <w:r w:rsidR="00D5274C" w:rsidRPr="00037243">
        <w:t xml:space="preserve">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0,0</m:t>
            </m:r>
          </m:sub>
        </m:sSub>
      </m:oMath>
      <w:r w:rsidR="00D5274C" w:rsidRPr="00037243">
        <w:t xml:space="preserve">, 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0,1</m:t>
            </m:r>
          </m:sub>
        </m:sSub>
      </m:oMath>
      <w:r w:rsidR="00D5274C" w:rsidRPr="00037243">
        <w:t xml:space="preserve"> </w:t>
      </w:r>
      <w:r w:rsidR="00427E18" w:rsidRPr="00162E2F">
        <w:t xml:space="preserve">includes RS indexes </w:t>
      </w:r>
      <w:r w:rsidR="005E7558">
        <w:t xml:space="preserve">configured </w:t>
      </w:r>
      <w:r w:rsidR="005E7558" w:rsidRPr="00162E2F">
        <w:t xml:space="preserve">with </w:t>
      </w:r>
      <w:r w:rsidR="005E7558" w:rsidRPr="005F35BE">
        <w:rPr>
          <w:i/>
          <w:lang w:val="en-US" w:eastAsia="ja-JP"/>
        </w:rPr>
        <w:t>qcl-Type</w:t>
      </w:r>
      <w:r w:rsidR="005E7558">
        <w:rPr>
          <w:lang w:val="en-US" w:eastAsia="ja-JP"/>
        </w:rPr>
        <w:t xml:space="preserve"> set to</w:t>
      </w:r>
      <w:r w:rsidR="00427E18" w:rsidRPr="00162E2F">
        <w:t xml:space="preserve"> </w:t>
      </w:r>
      <w:r w:rsidR="005E7558">
        <w:t>'t</w:t>
      </w:r>
      <w:r w:rsidR="00427E18" w:rsidRPr="00162E2F">
        <w:t>ypeD</w:t>
      </w:r>
      <w:r w:rsidR="005E7558">
        <w:t>'</w:t>
      </w:r>
      <w:r w:rsidR="00427E18" w:rsidRPr="00162E2F">
        <w:t xml:space="preserve"> for the corresponding TCI states</w:t>
      </w:r>
      <w:r w:rsidR="0058111C">
        <w:t xml:space="preserve">. </w:t>
      </w:r>
      <w:r w:rsidR="00641735" w:rsidRPr="00F415B1">
        <w:t>If a CORESET that the UE uses for monitoring PDCCH includes two TCI states and the UE is provided</w:t>
      </w:r>
      <w:r w:rsidR="00641735" w:rsidRPr="00F415B1">
        <w:rPr>
          <w:rFonts w:eastAsia="Times New Roman"/>
          <w:i/>
          <w:iCs/>
        </w:rPr>
        <w:t xml:space="preserve"> </w:t>
      </w:r>
      <w:r w:rsidR="00641735" w:rsidRPr="00F415B1">
        <w:rPr>
          <w:i/>
          <w:iCs/>
        </w:rPr>
        <w:t>sfnSchemePdcch</w:t>
      </w:r>
      <w:r w:rsidR="00641735" w:rsidRPr="00F415B1">
        <w:t xml:space="preserve"> set to 'sfnSchemeA'</w:t>
      </w:r>
      <w:r w:rsidR="00641735">
        <w:t xml:space="preserve"> or </w:t>
      </w:r>
      <w:r w:rsidR="00641735" w:rsidRPr="00F415B1">
        <w:t>'sfnScheme</w:t>
      </w:r>
      <w:r w:rsidR="00641735">
        <w:t>B</w:t>
      </w:r>
      <w:r w:rsidR="00641735" w:rsidRPr="00F415B1">
        <w:t xml:space="preserve">', the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m:t>
            </m:r>
          </m:sub>
        </m:sSub>
      </m:oMath>
      <w:r w:rsidR="00641735" w:rsidRPr="00F415B1">
        <w:t xml:space="preserve"> includes RS indexes in the RS sets associated with the two TCI states. </w:t>
      </w:r>
    </w:p>
    <w:p w14:paraId="6E8CFD20" w14:textId="1494B68F" w:rsidR="00110C23" w:rsidRPr="00037243" w:rsidRDefault="0058111C" w:rsidP="00110C23">
      <w:r>
        <w:t xml:space="preserve">The UE expects the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m:t>
            </m:r>
          </m:sub>
        </m:sSub>
      </m:oMath>
      <w:r>
        <w:t xml:space="preserve"> to include up to two RS indexes</w:t>
      </w:r>
      <w:r w:rsidR="00DF12DA" w:rsidRPr="00B916EC">
        <w:t xml:space="preserve">. </w:t>
      </w:r>
      <w:r w:rsidR="00D5274C">
        <w:t xml:space="preserve">If the UE is provided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0,0</m:t>
            </m:r>
          </m:sub>
        </m:sSub>
      </m:oMath>
      <w:r w:rsidR="00D5274C" w:rsidRPr="00037243">
        <w:t xml:space="preserve"> 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0,1</m:t>
            </m:r>
          </m:sub>
        </m:sSub>
      </m:oMath>
      <w:r w:rsidR="00D5274C">
        <w:t>, t</w:t>
      </w:r>
      <w:r w:rsidR="00D5274C" w:rsidRPr="00F415B1">
        <w:t xml:space="preserve">he </w:t>
      </w:r>
      <w:r w:rsidR="00641735" w:rsidRPr="00F415B1">
        <w:t xml:space="preserve">UE expects the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0,0</m:t>
            </m:r>
          </m:sub>
        </m:sSub>
      </m:oMath>
      <w:r w:rsidR="00641735" w:rsidRPr="00F415B1">
        <w:t xml:space="preserve"> or the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0,1</m:t>
            </m:r>
          </m:sub>
        </m:sSub>
      </m:oMath>
      <w:r w:rsidR="00641735" w:rsidRPr="00F415B1">
        <w:t xml:space="preserve"> to include up to a number of </w:t>
      </w:r>
      <m:oMath>
        <m:sSub>
          <m:sSubPr>
            <m:ctrlPr>
              <w:rPr>
                <w:rFonts w:ascii="Cambria Math" w:hAnsi="Cambria Math"/>
                <w:i/>
              </w:rPr>
            </m:ctrlPr>
          </m:sSubPr>
          <m:e>
            <m:r>
              <w:rPr>
                <w:rFonts w:ascii="Cambria Math" w:hAnsi="Cambria Math"/>
              </w:rPr>
              <m:t>N</m:t>
            </m:r>
          </m:e>
          <m:sub>
            <m:r>
              <m:rPr>
                <m:sty m:val="p"/>
              </m:rPr>
              <w:rPr>
                <w:rFonts w:ascii="Cambria Math" w:hAnsi="Cambria Math"/>
              </w:rPr>
              <m:t>BFD</m:t>
            </m:r>
          </m:sub>
        </m:sSub>
      </m:oMath>
      <w:r w:rsidR="00641735" w:rsidRPr="00F415B1">
        <w:t xml:space="preserve"> RS indexes indicated by </w:t>
      </w:r>
      <w:r w:rsidR="00170EDC" w:rsidRPr="0039648B">
        <w:rPr>
          <w:i/>
          <w:iCs/>
        </w:rPr>
        <w:t>maxBFD-RS-resourcesPerSetPerBWP</w:t>
      </w:r>
      <w:r w:rsidR="00641735" w:rsidRPr="00F415B1">
        <w:t xml:space="preserve">. If </w:t>
      </w:r>
      <w:r w:rsidR="00D5274C">
        <w:t xml:space="preserve">the UE is not provided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0,0</m:t>
            </m:r>
          </m:sub>
        </m:sSub>
      </m:oMath>
      <w:r w:rsidR="00D5274C" w:rsidRPr="00037243">
        <w:t xml:space="preserve"> 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0,1</m:t>
            </m:r>
          </m:sub>
        </m:sSub>
      </m:oMath>
      <w:r w:rsidR="00D5274C">
        <w:t xml:space="preserve">, and if </w:t>
      </w:r>
      <w:r w:rsidR="00641735" w:rsidRPr="00F415B1">
        <w:t xml:space="preserve">a number of active TCI states for PDCCH receptions in the first or second CORESETs is larger than </w:t>
      </w:r>
      <m:oMath>
        <m:sSub>
          <m:sSubPr>
            <m:ctrlPr>
              <w:rPr>
                <w:rFonts w:ascii="Cambria Math" w:hAnsi="Cambria Math"/>
                <w:i/>
              </w:rPr>
            </m:ctrlPr>
          </m:sSubPr>
          <m:e>
            <m:r>
              <w:rPr>
                <w:rFonts w:ascii="Cambria Math" w:hAnsi="Cambria Math"/>
              </w:rPr>
              <m:t>N</m:t>
            </m:r>
          </m:e>
          <m:sub>
            <m:r>
              <m:rPr>
                <m:sty m:val="p"/>
              </m:rPr>
              <w:rPr>
                <w:rFonts w:ascii="Cambria Math" w:hAnsi="Cambria Math"/>
              </w:rPr>
              <m:t>BFD</m:t>
            </m:r>
          </m:sub>
        </m:sSub>
      </m:oMath>
      <w:r w:rsidR="00641735" w:rsidRPr="00F415B1">
        <w:t xml:space="preserve">, the UE determines the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0,0</m:t>
            </m:r>
          </m:sub>
        </m:sSub>
      </m:oMath>
      <w:r w:rsidR="00641735" w:rsidRPr="00F415B1">
        <w:t xml:space="preserve"> 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0,1</m:t>
            </m:r>
          </m:sub>
        </m:sSub>
      </m:oMath>
      <w:r w:rsidR="00641735" w:rsidRPr="00F415B1">
        <w:t xml:space="preserve"> to include periodic CSI-RS resource configuration indexes with same values as the RS indexes in the RS sets associated with the active TCI states for PDCCH receptions in the first or second CORESETs corresponding to search space sets according to an ascending order for </w:t>
      </w:r>
      <w:r w:rsidR="00E86310">
        <w:t xml:space="preserve">PDCCH </w:t>
      </w:r>
      <w:r w:rsidR="00641735" w:rsidRPr="00F415B1">
        <w:t xml:space="preserve">monitoring periodicity. If more than one first or second CORESETs correspond to search space sets with same monitoring periodicity, the UE determines the order of the first or second CORESETs according to a descending order of a CORESET index. </w:t>
      </w:r>
    </w:p>
    <w:p w14:paraId="31D7AD7C" w14:textId="77777777" w:rsidR="00110C23" w:rsidRPr="00037243" w:rsidRDefault="00110C23" w:rsidP="00110C23">
      <w:pPr>
        <w:rPr>
          <w:lang w:eastAsia="ko-KR"/>
        </w:rPr>
      </w:pPr>
      <w:r w:rsidRPr="00037243">
        <w:rPr>
          <w:lang w:eastAsia="ko-KR"/>
        </w:rPr>
        <w:t>If a UE</w:t>
      </w:r>
    </w:p>
    <w:p w14:paraId="3A274770" w14:textId="77777777" w:rsidR="00110C23" w:rsidRPr="00037243" w:rsidRDefault="00110C23" w:rsidP="00110C23">
      <w:pPr>
        <w:pStyle w:val="B1"/>
        <w:rPr>
          <w:rFonts w:cstheme="minorHAnsi"/>
        </w:rPr>
      </w:pPr>
      <w:r w:rsidRPr="00037243">
        <w:t>-</w:t>
      </w:r>
      <w:r w:rsidRPr="00037243">
        <w:tab/>
      </w:r>
      <w:r w:rsidRPr="00037243">
        <w:rPr>
          <w:lang w:eastAsia="ko-KR"/>
        </w:rPr>
        <w:t xml:space="preserve">is not provided </w:t>
      </w:r>
      <w:r w:rsidRPr="00037243">
        <w:rPr>
          <w:rFonts w:cstheme="minorHAnsi"/>
          <w:i/>
          <w:lang w:val="en-US"/>
        </w:rPr>
        <w:t>coreset</w:t>
      </w:r>
      <w:r w:rsidRPr="00037243">
        <w:rPr>
          <w:rFonts w:cstheme="minorHAnsi"/>
          <w:i/>
        </w:rPr>
        <w:t>PoolIndex</w:t>
      </w:r>
      <w:r w:rsidRPr="00037243">
        <w:rPr>
          <w:rFonts w:cstheme="minorHAnsi"/>
        </w:rPr>
        <w:t xml:space="preserve"> or is provided </w:t>
      </w:r>
      <w:r w:rsidRPr="00037243">
        <w:rPr>
          <w:rFonts w:cstheme="minorHAnsi"/>
          <w:i/>
          <w:lang w:val="en-US"/>
        </w:rPr>
        <w:t>coreset</w:t>
      </w:r>
      <w:r w:rsidRPr="00037243">
        <w:rPr>
          <w:rFonts w:cstheme="minorHAnsi"/>
          <w:i/>
        </w:rPr>
        <w:t>PoolIndex</w:t>
      </w:r>
      <w:r w:rsidRPr="00037243">
        <w:rPr>
          <w:rFonts w:cstheme="minorHAnsi"/>
        </w:rPr>
        <w:t xml:space="preserve"> with a value of 0 for first CORESETs on </w:t>
      </w:r>
      <w:r w:rsidRPr="00037243">
        <w:rPr>
          <w:rFonts w:cstheme="minorHAnsi"/>
          <w:lang w:val="en-US"/>
        </w:rPr>
        <w:t xml:space="preserve">an </w:t>
      </w:r>
      <w:r w:rsidRPr="00037243">
        <w:rPr>
          <w:rFonts w:cstheme="minorHAnsi"/>
        </w:rPr>
        <w:t xml:space="preserve">active DL BWP of </w:t>
      </w:r>
      <w:r w:rsidRPr="00037243">
        <w:rPr>
          <w:rFonts w:cstheme="minorHAnsi"/>
          <w:lang w:val="en-US"/>
        </w:rPr>
        <w:t xml:space="preserve">a </w:t>
      </w:r>
      <w:r w:rsidRPr="00037243">
        <w:rPr>
          <w:rFonts w:cstheme="minorHAnsi"/>
        </w:rPr>
        <w:t>serving cell,</w:t>
      </w:r>
    </w:p>
    <w:p w14:paraId="0FEC61EA" w14:textId="77777777" w:rsidR="00110C23" w:rsidRPr="00037243" w:rsidRDefault="00110C23" w:rsidP="00110C23">
      <w:pPr>
        <w:pStyle w:val="B1"/>
        <w:rPr>
          <w:rFonts w:cstheme="minorHAnsi"/>
        </w:rPr>
      </w:pPr>
      <w:r w:rsidRPr="00037243">
        <w:t>-</w:t>
      </w:r>
      <w:r w:rsidRPr="00037243">
        <w:tab/>
      </w:r>
      <w:r w:rsidRPr="00037243">
        <w:rPr>
          <w:lang w:eastAsia="ko-KR"/>
        </w:rPr>
        <w:t xml:space="preserve">is provided </w:t>
      </w:r>
      <w:r w:rsidRPr="00037243">
        <w:rPr>
          <w:rFonts w:cstheme="minorHAnsi"/>
          <w:i/>
          <w:lang w:val="en-US"/>
        </w:rPr>
        <w:t>coreset</w:t>
      </w:r>
      <w:r w:rsidRPr="00037243">
        <w:rPr>
          <w:rFonts w:cstheme="minorHAnsi"/>
          <w:i/>
        </w:rPr>
        <w:t>PoolIndex</w:t>
      </w:r>
      <w:r w:rsidRPr="00037243">
        <w:rPr>
          <w:rFonts w:cstheme="minorHAnsi"/>
        </w:rPr>
        <w:t xml:space="preserve"> with a value of 1 for second CORESETs on </w:t>
      </w:r>
      <w:r w:rsidRPr="00037243">
        <w:rPr>
          <w:rFonts w:cstheme="minorHAnsi"/>
          <w:lang w:val="en-US"/>
        </w:rPr>
        <w:t xml:space="preserve">the </w:t>
      </w:r>
      <w:r w:rsidRPr="00037243">
        <w:rPr>
          <w:rFonts w:cstheme="minorHAnsi"/>
        </w:rPr>
        <w:t>active DL BWP of the serving cells, and</w:t>
      </w:r>
    </w:p>
    <w:p w14:paraId="7A7519C2" w14:textId="77777777" w:rsidR="00110C23" w:rsidRPr="00037243" w:rsidRDefault="00110C23" w:rsidP="00110C23">
      <w:pPr>
        <w:pStyle w:val="B1"/>
      </w:pPr>
      <w:r w:rsidRPr="00037243">
        <w:t>-</w:t>
      </w:r>
      <w:r w:rsidRPr="00037243">
        <w:tab/>
      </w:r>
      <w:r w:rsidRPr="00037243">
        <w:rPr>
          <w:lang w:eastAsia="ko-KR"/>
        </w:rPr>
        <w:t xml:space="preserve">is provided </w:t>
      </w:r>
      <w:r w:rsidRPr="00037243">
        <w:rPr>
          <w:i/>
          <w:iCs/>
          <w:lang w:val="en-US"/>
        </w:rPr>
        <w:t>SSB-MTCAdditionalPCI</w:t>
      </w:r>
    </w:p>
    <w:p w14:paraId="796A19D0" w14:textId="5A71A00A" w:rsidR="00110C23" w:rsidRPr="00037243" w:rsidRDefault="00110C23" w:rsidP="00110C23">
      <w:pPr>
        <w:rPr>
          <w:rFonts w:cstheme="minorHAnsi"/>
          <w:lang w:val="en-US"/>
        </w:rPr>
      </w:pPr>
      <w:r w:rsidRPr="00037243">
        <w:rPr>
          <w:rFonts w:cstheme="minorHAnsi"/>
          <w:lang w:val="en-US"/>
        </w:rPr>
        <w:t xml:space="preserve">SS/PBCH block indexes </w:t>
      </w:r>
      <w:r w:rsidRPr="00037243">
        <w:rPr>
          <w:lang w:eastAsia="zh-CN"/>
        </w:rPr>
        <w:t>associated</w:t>
      </w:r>
      <w:r w:rsidRPr="00037243">
        <w:rPr>
          <w:lang w:val="en-US" w:eastAsia="zh-CN"/>
        </w:rPr>
        <w:t xml:space="preserve"> </w:t>
      </w:r>
      <w:r w:rsidRPr="00037243">
        <w:rPr>
          <w:lang w:eastAsia="zh-CN"/>
        </w:rPr>
        <w:t>with</w:t>
      </w:r>
      <w:r w:rsidRPr="00037243">
        <w:rPr>
          <w:lang w:val="en-US" w:eastAsia="zh-CN"/>
        </w:rPr>
        <w:t xml:space="preserve"> a physical cell identity other than the one provided by</w:t>
      </w:r>
      <w:r w:rsidRPr="00037243">
        <w:rPr>
          <w:lang w:eastAsia="zh-CN"/>
        </w:rPr>
        <w:t xml:space="preserve"> </w:t>
      </w:r>
      <w:r w:rsidRPr="00037243">
        <w:rPr>
          <w:i/>
          <w:iCs/>
          <w:lang w:eastAsia="zh-CN"/>
        </w:rPr>
        <w:t>physCellId</w:t>
      </w:r>
      <w:r w:rsidRPr="00037243">
        <w:rPr>
          <w:lang w:eastAsia="zh-CN"/>
        </w:rPr>
        <w:t xml:space="preserve"> in </w:t>
      </w:r>
      <w:r w:rsidRPr="00037243">
        <w:rPr>
          <w:i/>
          <w:iCs/>
          <w:lang w:eastAsia="zh-CN"/>
        </w:rPr>
        <w:t>ServingCellConfigCommon</w:t>
      </w:r>
      <w:r w:rsidRPr="00037243">
        <w:rPr>
          <w:lang w:val="en-US" w:eastAsia="zh-CN"/>
        </w:rPr>
        <w:t xml:space="preserve"> can be provided in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1,1</m:t>
            </m:r>
          </m:sub>
        </m:sSub>
      </m:oMath>
      <w:r w:rsidRPr="00037243">
        <w:rPr>
          <w:lang w:val="en-US" w:eastAsia="zh-CN"/>
        </w:rPr>
        <w:t xml:space="preserve"> set and the corresponding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0,1</m:t>
            </m:r>
          </m:sub>
        </m:sSub>
      </m:oMath>
      <w:r w:rsidRPr="00037243">
        <w:rPr>
          <w:lang w:val="en-US"/>
        </w:rPr>
        <w:t xml:space="preserve"> set is associated with the physical cell identity.</w:t>
      </w:r>
    </w:p>
    <w:p w14:paraId="2F3AB6BC" w14:textId="479470B8" w:rsidR="00A10623" w:rsidRPr="00B916EC" w:rsidRDefault="00DF12DA" w:rsidP="00DF12DA">
      <w:pPr>
        <w:rPr>
          <w:lang w:val="en-US"/>
        </w:rPr>
      </w:pPr>
      <w:r>
        <w:t xml:space="preserve">The UE expects single port RS in the </w:t>
      </w:r>
      <w:r>
        <w:rPr>
          <w:iCs/>
        </w:rPr>
        <w:t>set</w:t>
      </w:r>
      <w:r w:rsidRPr="00B916EC">
        <w:rPr>
          <w:iCs/>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m:t>
            </m:r>
          </m:sub>
        </m:sSub>
      </m:oMath>
      <w:r w:rsidR="00641735" w:rsidRPr="00F415B1">
        <w:t xml:space="preserve">, 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0,0</m:t>
            </m:r>
          </m:sub>
        </m:sSub>
      </m:oMath>
      <w:r w:rsidR="00641735" w:rsidRPr="00F415B1">
        <w:t xml:space="preserve">, 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0,1</m:t>
            </m:r>
          </m:sub>
        </m:sSub>
      </m:oMath>
      <w:r>
        <w:rPr>
          <w:iCs/>
        </w:rPr>
        <w:t>.</w:t>
      </w:r>
      <w:r>
        <w:t xml:space="preserve"> </w:t>
      </w:r>
      <w:r w:rsidR="009A2032" w:rsidRPr="009278D8">
        <w:t>The UE expects single-port or two-port</w:t>
      </w:r>
      <w:r w:rsidR="009A2032">
        <w:t xml:space="preserve"> </w:t>
      </w:r>
      <w:r w:rsidR="009A2032" w:rsidRPr="009278D8">
        <w:t>CSI-RS</w:t>
      </w:r>
      <w:r w:rsidR="00641735">
        <w:t xml:space="preserve"> </w:t>
      </w:r>
      <w:r w:rsidR="009A2032" w:rsidRPr="009278D8">
        <w:t>with frequency density equal</w:t>
      </w:r>
      <w:r w:rsidR="009A2032">
        <w:t xml:space="preserve"> </w:t>
      </w:r>
      <w:r w:rsidR="009A2032" w:rsidRPr="009278D8">
        <w:t>to 1 or 3 REs per RB</w:t>
      </w:r>
      <w:r w:rsidR="009A2032">
        <w:t xml:space="preserve"> </w:t>
      </w:r>
      <w:r w:rsidR="009A2032" w:rsidRPr="009278D8">
        <w:t xml:space="preserve">in the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m:t>
            </m:r>
          </m:sub>
        </m:sSub>
      </m:oMath>
      <w:r w:rsidR="00641735" w:rsidRPr="00F415B1">
        <w:t xml:space="preserve">, 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1,0</m:t>
            </m:r>
          </m:sub>
        </m:sSub>
      </m:oMath>
      <w:r w:rsidR="00641735" w:rsidRPr="00F415B1">
        <w:t>,</w:t>
      </w:r>
      <w:r w:rsidR="00641735" w:rsidRPr="00F415B1">
        <w:rPr>
          <w:iCs/>
        </w:rPr>
        <w:t xml:space="preserve"> 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1,1</m:t>
            </m:r>
          </m:sub>
        </m:sSub>
      </m:oMath>
      <w:r w:rsidR="009A2032" w:rsidRPr="009278D8">
        <w:t>.</w:t>
      </w:r>
      <w:r w:rsidR="00110C23">
        <w:t xml:space="preserve"> </w:t>
      </w:r>
      <w:r w:rsidRPr="00B916EC">
        <w:t>The threshold</w:t>
      </w:r>
      <w:r w:rsidR="007E4B10">
        <w:t>s</w:t>
      </w:r>
      <w:r w:rsidRPr="00B916EC">
        <w:t xml:space="preserve"> Q</w:t>
      </w:r>
      <w:r w:rsidRPr="00B916EC">
        <w:rPr>
          <w:vertAlign w:val="subscript"/>
        </w:rPr>
        <w:t>out,LR</w:t>
      </w:r>
      <w:r w:rsidRPr="00B916EC">
        <w:t xml:space="preserve"> </w:t>
      </w:r>
      <w:r w:rsidR="007E4B10">
        <w:t xml:space="preserve">and </w:t>
      </w:r>
      <w:r w:rsidR="007E4B10" w:rsidRPr="005261DA">
        <w:t>Q</w:t>
      </w:r>
      <w:r w:rsidR="007E4B10">
        <w:rPr>
          <w:vertAlign w:val="subscript"/>
        </w:rPr>
        <w:t>in</w:t>
      </w:r>
      <w:r w:rsidR="007E4B10" w:rsidRPr="005261DA">
        <w:rPr>
          <w:vertAlign w:val="subscript"/>
        </w:rPr>
        <w:t>,LR</w:t>
      </w:r>
      <w:r w:rsidR="007E4B10">
        <w:t xml:space="preserve"> </w:t>
      </w:r>
      <w:r w:rsidRPr="00B916EC">
        <w:t xml:space="preserve">correspond to the default value of </w:t>
      </w:r>
      <w:r w:rsidR="0058111C" w:rsidRPr="008E345C">
        <w:rPr>
          <w:i/>
        </w:rPr>
        <w:t>rlmInSyncOutOfSyncThreshold</w:t>
      </w:r>
      <w:r w:rsidR="007E4B10">
        <w:t>, as described in [10, TS</w:t>
      </w:r>
      <w:r w:rsidR="00427E18">
        <w:t xml:space="preserve"> </w:t>
      </w:r>
      <w:r w:rsidR="007E4B10">
        <w:t xml:space="preserve">38.133] for </w:t>
      </w:r>
      <w:r w:rsidR="007E4B10" w:rsidRPr="005261DA">
        <w:t>Q</w:t>
      </w:r>
      <w:r w:rsidR="007E4B10" w:rsidRPr="005261DA">
        <w:rPr>
          <w:vertAlign w:val="subscript"/>
        </w:rPr>
        <w:t>out</w:t>
      </w:r>
      <w:r w:rsidR="007E4B10">
        <w:t>,</w:t>
      </w:r>
      <w:r w:rsidR="007E4B10" w:rsidRPr="001639B5">
        <w:t xml:space="preserve"> </w:t>
      </w:r>
      <w:r w:rsidR="0058111C" w:rsidRPr="00B916EC">
        <w:t>and</w:t>
      </w:r>
      <w:r w:rsidR="0058111C">
        <w:t xml:space="preserve"> to the value provided by </w:t>
      </w:r>
      <w:r w:rsidR="0058111C">
        <w:rPr>
          <w:i/>
        </w:rPr>
        <w:t>rsrp-</w:t>
      </w:r>
      <w:r w:rsidR="0058111C" w:rsidRPr="00980F6C">
        <w:rPr>
          <w:i/>
        </w:rPr>
        <w:t>Threshold</w:t>
      </w:r>
      <w:r w:rsidR="0058111C">
        <w:rPr>
          <w:i/>
        </w:rPr>
        <w:t>SSB</w:t>
      </w:r>
      <w:r w:rsidR="00410A23" w:rsidRPr="00B25AEC">
        <w:rPr>
          <w:iCs/>
        </w:rPr>
        <w:t xml:space="preserve"> or </w:t>
      </w:r>
      <w:r w:rsidR="00410A23" w:rsidRPr="00B25AEC">
        <w:rPr>
          <w:i/>
          <w:iCs/>
        </w:rPr>
        <w:t>rsrp-Threshold</w:t>
      </w:r>
      <w:r w:rsidR="00410A23">
        <w:rPr>
          <w:i/>
          <w:iCs/>
        </w:rPr>
        <w:t>BFR</w:t>
      </w:r>
      <w:r w:rsidRPr="00B916EC">
        <w:t>, respectively.</w:t>
      </w:r>
      <w:r w:rsidR="007D5A3F">
        <w:t xml:space="preserve"> </w:t>
      </w:r>
    </w:p>
    <w:p w14:paraId="7A811020" w14:textId="2EC52098" w:rsidR="004828EF" w:rsidRPr="00B916EC" w:rsidRDefault="00D5416B" w:rsidP="00657179">
      <w:r w:rsidRPr="00B916EC">
        <w:t>T</w:t>
      </w:r>
      <w:r w:rsidR="00657179" w:rsidRPr="00B916EC">
        <w:t>he physical layer in the UE assess</w:t>
      </w:r>
      <w:r w:rsidR="0058111C">
        <w:t>es</w:t>
      </w:r>
      <w:r w:rsidR="00657179" w:rsidRPr="00B916EC">
        <w:t xml:space="preserve"> the radio link quality </w:t>
      </w:r>
      <w:r w:rsidR="00CD1B7C" w:rsidRPr="00B916EC">
        <w:t>according to</w:t>
      </w:r>
      <w:r w:rsidR="00657179" w:rsidRPr="00B916EC">
        <w:t xml:space="preserve"> </w:t>
      </w:r>
      <w:r w:rsidR="00357B5B" w:rsidRPr="00B916EC">
        <w:t>the</w:t>
      </w:r>
      <w:r w:rsidR="00657179" w:rsidRPr="00B916EC">
        <w:t xml:space="preserve">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m:t>
            </m:r>
          </m:sub>
        </m:sSub>
      </m:oMath>
      <w:r w:rsidR="005B76A5" w:rsidRPr="00F415B1">
        <w:rPr>
          <w:iCs/>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0,0</m:t>
            </m:r>
          </m:sub>
        </m:sSub>
      </m:oMath>
      <w:r w:rsidR="005B76A5" w:rsidRPr="00F415B1">
        <w:t xml:space="preserve">, 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0,1</m:t>
            </m:r>
          </m:sub>
        </m:sSub>
      </m:oMath>
      <w:r w:rsidR="005B76A5" w:rsidRPr="00F415B1">
        <w:t>,</w:t>
      </w:r>
      <w:r w:rsidR="00657179" w:rsidRPr="00B916EC">
        <w:rPr>
          <w:iCs/>
        </w:rPr>
        <w:t xml:space="preserve"> </w:t>
      </w:r>
      <w:r w:rsidR="00740480" w:rsidRPr="00B916EC">
        <w:t xml:space="preserve">of resource configurations </w:t>
      </w:r>
      <w:r w:rsidR="00657179" w:rsidRPr="00B916EC">
        <w:t xml:space="preserve">against </w:t>
      </w:r>
      <w:r w:rsidR="00826AFD" w:rsidRPr="00B916EC">
        <w:t xml:space="preserve">the </w:t>
      </w:r>
      <w:r w:rsidR="00657179" w:rsidRPr="00B916EC">
        <w:t>threshold Q</w:t>
      </w:r>
      <w:r w:rsidR="00657179" w:rsidRPr="00B916EC">
        <w:rPr>
          <w:vertAlign w:val="subscript"/>
        </w:rPr>
        <w:t>out,</w:t>
      </w:r>
      <w:r w:rsidR="00065846" w:rsidRPr="00B916EC">
        <w:rPr>
          <w:vertAlign w:val="subscript"/>
        </w:rPr>
        <w:t>LR</w:t>
      </w:r>
      <w:r w:rsidR="00B85DFD" w:rsidRPr="00B916EC">
        <w:t>.</w:t>
      </w:r>
      <w:r w:rsidR="001325A6" w:rsidRPr="00B916EC">
        <w:t xml:space="preserve"> </w:t>
      </w:r>
      <w:r w:rsidR="000C5326" w:rsidRPr="00B916EC">
        <w:t xml:space="preserve">For the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m:t>
            </m:r>
          </m:sub>
        </m:sSub>
      </m:oMath>
      <w:r w:rsidR="000C5326" w:rsidRPr="00B916EC">
        <w:rPr>
          <w:iCs/>
        </w:rPr>
        <w:t xml:space="preserve">, the UE </w:t>
      </w:r>
      <w:r w:rsidR="000C5326" w:rsidRPr="00B916EC">
        <w:t>assess</w:t>
      </w:r>
      <w:r w:rsidR="0058111C">
        <w:t>es</w:t>
      </w:r>
      <w:r w:rsidR="000C5326" w:rsidRPr="00B916EC">
        <w:t xml:space="preserve"> the radio link quality</w:t>
      </w:r>
      <w:r w:rsidR="005E070E" w:rsidRPr="00B916EC">
        <w:t xml:space="preserve"> </w:t>
      </w:r>
      <w:r w:rsidR="006A672C" w:rsidRPr="00B916EC">
        <w:t xml:space="preserve">only </w:t>
      </w:r>
      <w:r w:rsidR="005E070E" w:rsidRPr="00B916EC">
        <w:t xml:space="preserve">according to </w:t>
      </w:r>
      <w:r w:rsidR="005E7558" w:rsidRPr="00B916EC">
        <w:rPr>
          <w:iCs/>
        </w:rPr>
        <w:t xml:space="preserve">SS/PBCH blocks </w:t>
      </w:r>
      <w:r w:rsidR="005E7558">
        <w:rPr>
          <w:iCs/>
        </w:rPr>
        <w:t>on the PCell or the PSCell or</w:t>
      </w:r>
      <w:r w:rsidR="005E7558" w:rsidRPr="00B916EC">
        <w:t xml:space="preserve"> </w:t>
      </w:r>
      <w:r w:rsidR="008721CB" w:rsidRPr="00B916EC">
        <w:t xml:space="preserve">periodic </w:t>
      </w:r>
      <w:r w:rsidR="000C5326" w:rsidRPr="00B916EC">
        <w:rPr>
          <w:iCs/>
        </w:rPr>
        <w:t>CSI-</w:t>
      </w:r>
      <w:r w:rsidR="005E070E" w:rsidRPr="00B916EC">
        <w:rPr>
          <w:iCs/>
        </w:rPr>
        <w:t>RS resource configurations</w:t>
      </w:r>
      <w:r w:rsidR="00410A23" w:rsidRPr="00B916EC">
        <w:rPr>
          <w:iCs/>
        </w:rPr>
        <w:t xml:space="preserve"> </w:t>
      </w:r>
      <w:r w:rsidR="005E070E" w:rsidRPr="00B916EC">
        <w:rPr>
          <w:iCs/>
        </w:rPr>
        <w:t>that</w:t>
      </w:r>
      <w:r w:rsidR="000C5326" w:rsidRPr="00B916EC">
        <w:t xml:space="preserve"> </w:t>
      </w:r>
      <w:r w:rsidR="005E070E" w:rsidRPr="00B916EC">
        <w:t>are quasi</w:t>
      </w:r>
      <w:r w:rsidR="00011706">
        <w:t xml:space="preserve"> </w:t>
      </w:r>
      <w:r w:rsidR="005E070E" w:rsidRPr="00B916EC">
        <w:t>co</w:t>
      </w:r>
      <w:r w:rsidR="00011706">
        <w:t>-</w:t>
      </w:r>
      <w:r w:rsidR="005E070E" w:rsidRPr="00B916EC">
        <w:t>located</w:t>
      </w:r>
      <w:r w:rsidR="006C59B0" w:rsidRPr="00B916EC">
        <w:t>, as described in [6, TS 38.214],</w:t>
      </w:r>
      <w:r w:rsidR="005E070E" w:rsidRPr="00B916EC">
        <w:t xml:space="preserve"> with the DM</w:t>
      </w:r>
      <w:r w:rsidR="00D97E37">
        <w:t>-</w:t>
      </w:r>
      <w:r w:rsidR="005E070E" w:rsidRPr="00B916EC">
        <w:t xml:space="preserve">RS of PDCCH receptions </w:t>
      </w:r>
      <w:r w:rsidR="006C59B0" w:rsidRPr="00B916EC">
        <w:t>by the UE</w:t>
      </w:r>
      <w:r w:rsidR="000C5326" w:rsidRPr="00B916EC">
        <w:t xml:space="preserve">. </w:t>
      </w:r>
      <w:r w:rsidR="00DF12DA" w:rsidRPr="00B916EC">
        <w:t>The UE applies the Q</w:t>
      </w:r>
      <w:r w:rsidR="00DF12DA">
        <w:rPr>
          <w:vertAlign w:val="subscript"/>
        </w:rPr>
        <w:t>in</w:t>
      </w:r>
      <w:r w:rsidR="00DF12DA" w:rsidRPr="00B916EC">
        <w:rPr>
          <w:vertAlign w:val="subscript"/>
        </w:rPr>
        <w:t>,LR</w:t>
      </w:r>
      <w:r w:rsidR="00DF12DA" w:rsidRPr="00B916EC">
        <w:t xml:space="preserve"> threshold </w:t>
      </w:r>
      <w:r w:rsidR="00DF12DA">
        <w:t>to the L1-RSRP</w:t>
      </w:r>
      <w:r w:rsidR="0058111C" w:rsidRPr="0058111C">
        <w:t xml:space="preserve"> </w:t>
      </w:r>
      <w:r w:rsidR="0058111C">
        <w:t>measurement obtained from a</w:t>
      </w:r>
      <w:r w:rsidR="00DF12DA">
        <w:t xml:space="preserve"> SS/PBCH block</w:t>
      </w:r>
      <w:r w:rsidR="00DF12DA" w:rsidRPr="00B916EC">
        <w:t>. The UE applies the Q</w:t>
      </w:r>
      <w:r w:rsidR="00DF12DA">
        <w:rPr>
          <w:vertAlign w:val="subscript"/>
        </w:rPr>
        <w:t>in</w:t>
      </w:r>
      <w:r w:rsidR="00DF12DA" w:rsidRPr="00B916EC">
        <w:rPr>
          <w:vertAlign w:val="subscript"/>
        </w:rPr>
        <w:t>,LR</w:t>
      </w:r>
      <w:r w:rsidR="00DF12DA" w:rsidRPr="00B916EC">
        <w:t xml:space="preserve"> threshold </w:t>
      </w:r>
      <w:r w:rsidR="00DF12DA">
        <w:t>to the L1-RSRP</w:t>
      </w:r>
      <w:r w:rsidR="0058111C" w:rsidRPr="0058111C">
        <w:t xml:space="preserve"> </w:t>
      </w:r>
      <w:r w:rsidR="0058111C">
        <w:t>measurement obtained</w:t>
      </w:r>
      <w:r w:rsidR="00DF12DA">
        <w:t xml:space="preserve"> for </w:t>
      </w:r>
      <w:r w:rsidR="0058111C">
        <w:t xml:space="preserve">a </w:t>
      </w:r>
      <w:r w:rsidR="00DF12DA">
        <w:t xml:space="preserve">CSI-RS resource </w:t>
      </w:r>
      <w:r w:rsidR="00DF12DA" w:rsidRPr="00B916EC">
        <w:t xml:space="preserve">after scaling </w:t>
      </w:r>
      <w:r w:rsidR="00DF12DA" w:rsidRPr="00B916EC">
        <w:rPr>
          <w:lang w:val="en-US"/>
        </w:rPr>
        <w:t xml:space="preserve">a </w:t>
      </w:r>
      <w:r w:rsidR="00DF12DA">
        <w:rPr>
          <w:lang w:val="en-US"/>
        </w:rPr>
        <w:t>respective CSI-RS reception</w:t>
      </w:r>
      <w:r w:rsidR="00DF12DA" w:rsidRPr="00B916EC">
        <w:rPr>
          <w:lang w:val="en-US"/>
        </w:rPr>
        <w:t xml:space="preserve"> power</w:t>
      </w:r>
      <w:r w:rsidR="00DF12DA" w:rsidRPr="00B916EC">
        <w:t xml:space="preserve"> with a value provided </w:t>
      </w:r>
      <w:r w:rsidR="00DF12DA" w:rsidRPr="00B916EC">
        <w:rPr>
          <w:lang w:val="en-US"/>
        </w:rPr>
        <w:t xml:space="preserve">by </w:t>
      </w:r>
      <w:r w:rsidR="0058111C" w:rsidRPr="008F3829">
        <w:rPr>
          <w:i/>
        </w:rPr>
        <w:t>powerControlOffsetSS</w:t>
      </w:r>
      <w:r w:rsidR="00DF12DA" w:rsidRPr="00B916EC">
        <w:rPr>
          <w:lang w:val="en-US"/>
        </w:rPr>
        <w:t>.</w:t>
      </w:r>
      <w:r w:rsidR="0009732E">
        <w:rPr>
          <w:lang w:val="en-US"/>
        </w:rPr>
        <w:t xml:space="preserve"> </w:t>
      </w:r>
    </w:p>
    <w:p w14:paraId="4454A6EB" w14:textId="41DAF205" w:rsidR="002B4D40" w:rsidRPr="00B916EC" w:rsidRDefault="00427E18" w:rsidP="00657179">
      <w:r>
        <w:rPr>
          <w:rFonts w:eastAsia="DengXian"/>
        </w:rPr>
        <w:t xml:space="preserve">In non-DRX mode operation, </w:t>
      </w:r>
      <w:r>
        <w:t>t</w:t>
      </w:r>
      <w:r w:rsidRPr="00B916EC">
        <w:t xml:space="preserve">he </w:t>
      </w:r>
      <w:r w:rsidR="00657179" w:rsidRPr="00B916EC">
        <w:t xml:space="preserve">physical layer in the UE </w:t>
      </w:r>
      <w:r w:rsidR="00DD57E8" w:rsidRPr="00B916EC">
        <w:t>provide</w:t>
      </w:r>
      <w:r w:rsidR="0058111C">
        <w:t>s</w:t>
      </w:r>
      <w:r w:rsidR="00DD57E8" w:rsidRPr="00B916EC">
        <w:t xml:space="preserve"> an indication </w:t>
      </w:r>
      <w:r w:rsidR="00657179" w:rsidRPr="00B916EC">
        <w:t xml:space="preserve">to higher layers when the radio link quality </w:t>
      </w:r>
      <w:r w:rsidR="00740480" w:rsidRPr="00B916EC">
        <w:t>for</w:t>
      </w:r>
      <w:r w:rsidR="00D379D4" w:rsidRPr="00B916EC">
        <w:t xml:space="preserve"> all </w:t>
      </w:r>
      <w:r w:rsidR="000C5326" w:rsidRPr="00B916EC">
        <w:t xml:space="preserve">corresponding </w:t>
      </w:r>
      <w:r w:rsidR="003840AF" w:rsidRPr="00B916EC">
        <w:t>resource</w:t>
      </w:r>
      <w:r w:rsidR="00657179" w:rsidRPr="00B916EC">
        <w:t xml:space="preserve"> configuration</w:t>
      </w:r>
      <w:r w:rsidR="00D379D4" w:rsidRPr="00B916EC">
        <w:t>s</w:t>
      </w:r>
      <w:r w:rsidR="00657179" w:rsidRPr="00B916EC">
        <w:t xml:space="preserve"> in </w:t>
      </w:r>
      <w:r w:rsidR="00D379D4" w:rsidRPr="00B916EC">
        <w:t xml:space="preserve">the </w:t>
      </w:r>
      <w:r w:rsidR="00657179" w:rsidRPr="00B916EC">
        <w:t xml:space="preserve">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m:t>
            </m:r>
          </m:sub>
        </m:sSub>
      </m:oMath>
      <w:r w:rsidR="005B76A5" w:rsidRPr="00F415B1">
        <w:rPr>
          <w:iCs/>
        </w:rPr>
        <w:t xml:space="preserve">, or in the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0,0</m:t>
            </m:r>
          </m:sub>
        </m:sSub>
      </m:oMath>
      <w:r w:rsidR="005B76A5" w:rsidRPr="00F415B1">
        <w:t xml:space="preserve"> 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0,1</m:t>
            </m:r>
          </m:sub>
        </m:sSub>
      </m:oMath>
      <w:r w:rsidR="00E86310">
        <w:t>,</w:t>
      </w:r>
      <w:r w:rsidR="00657179" w:rsidRPr="00B916EC">
        <w:rPr>
          <w:iCs/>
        </w:rPr>
        <w:t xml:space="preserve"> </w:t>
      </w:r>
      <w:r w:rsidR="000D47C5" w:rsidRPr="00B916EC">
        <w:rPr>
          <w:iCs/>
        </w:rPr>
        <w:t xml:space="preserve">that the UE uses to assess the radio link quality </w:t>
      </w:r>
      <w:r w:rsidR="00657179" w:rsidRPr="00B916EC">
        <w:t>is worse than the threshold Q</w:t>
      </w:r>
      <w:r w:rsidR="00657179" w:rsidRPr="00B916EC">
        <w:rPr>
          <w:vertAlign w:val="subscript"/>
        </w:rPr>
        <w:t>out,</w:t>
      </w:r>
      <w:r w:rsidR="005D05C0" w:rsidRPr="00B916EC">
        <w:rPr>
          <w:vertAlign w:val="subscript"/>
        </w:rPr>
        <w:t>LR</w:t>
      </w:r>
      <w:r w:rsidR="00DD57E8" w:rsidRPr="00B916EC">
        <w:t xml:space="preserve">. </w:t>
      </w:r>
      <w:r w:rsidR="001277DF">
        <w:t xml:space="preserve">The physical layer informs the higher layers when the </w:t>
      </w:r>
      <w:r w:rsidR="001277DF" w:rsidRPr="00B916EC">
        <w:rPr>
          <w:iCs/>
        </w:rPr>
        <w:t xml:space="preserve">radio link quality </w:t>
      </w:r>
      <w:r w:rsidR="001277DF" w:rsidRPr="00B916EC">
        <w:t>is worse than the threshold Q</w:t>
      </w:r>
      <w:r w:rsidR="001277DF" w:rsidRPr="00B916EC">
        <w:rPr>
          <w:vertAlign w:val="subscript"/>
        </w:rPr>
        <w:t>out,LR</w:t>
      </w:r>
      <w:r w:rsidR="001277DF">
        <w:t xml:space="preserve"> with a periodicity </w:t>
      </w:r>
      <w:r w:rsidR="001277DF" w:rsidRPr="00034AF1">
        <w:rPr>
          <w:lang w:val="en-US"/>
        </w:rPr>
        <w:t xml:space="preserve">determined by the </w:t>
      </w:r>
      <w:r w:rsidR="001277DF">
        <w:rPr>
          <w:lang w:val="en-US"/>
        </w:rPr>
        <w:t xml:space="preserve">maximum between the </w:t>
      </w:r>
      <w:r w:rsidR="001277DF" w:rsidRPr="00034AF1">
        <w:rPr>
          <w:lang w:val="en-US"/>
        </w:rPr>
        <w:t xml:space="preserve">shortest periodicity </w:t>
      </w:r>
      <w:r w:rsidR="007E4B10">
        <w:rPr>
          <w:lang w:val="en-US"/>
        </w:rPr>
        <w:t>among the</w:t>
      </w:r>
      <w:r w:rsidR="001277DF" w:rsidRPr="00034AF1">
        <w:rPr>
          <w:lang w:val="en-US"/>
        </w:rPr>
        <w:t xml:space="preserve"> </w:t>
      </w:r>
      <w:r w:rsidR="005E7558">
        <w:rPr>
          <w:lang w:val="en-US"/>
        </w:rPr>
        <w:t xml:space="preserve">SS/PBCH blocks </w:t>
      </w:r>
      <w:r w:rsidR="005E7558">
        <w:rPr>
          <w:iCs/>
        </w:rPr>
        <w:t>on the PCell or the PSCell</w:t>
      </w:r>
      <w:r w:rsidR="005E7558">
        <w:rPr>
          <w:lang w:val="en-US"/>
        </w:rPr>
        <w:t xml:space="preserve"> and/or the </w:t>
      </w:r>
      <w:r w:rsidR="001277DF">
        <w:rPr>
          <w:lang w:val="en-US"/>
        </w:rPr>
        <w:t>periodic CSI-RS configurations</w:t>
      </w:r>
      <w:r w:rsidR="00AA6B51">
        <w:rPr>
          <w:lang w:val="en-US"/>
        </w:rPr>
        <w:t xml:space="preserve"> </w:t>
      </w:r>
      <w:r w:rsidR="001277DF">
        <w:rPr>
          <w:lang w:val="en-US"/>
        </w:rPr>
        <w:t>in the set</w:t>
      </w:r>
      <w:r w:rsidR="001277DF" w:rsidRPr="00034AF1">
        <w:rPr>
          <w:lang w:val="en-US"/>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m:t>
            </m:r>
          </m:sub>
        </m:sSub>
      </m:oMath>
      <w:r w:rsidR="005B76A5" w:rsidRPr="00F415B1">
        <w:rPr>
          <w:iCs/>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0,0</m:t>
            </m:r>
          </m:sub>
        </m:sSub>
      </m:oMath>
      <w:r w:rsidR="005B76A5" w:rsidRPr="00F415B1">
        <w:t xml:space="preserve">, 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0,1</m:t>
            </m:r>
          </m:sub>
        </m:sSub>
      </m:oMath>
      <w:r w:rsidR="0058111C" w:rsidRPr="0058111C">
        <w:rPr>
          <w:iCs/>
        </w:rPr>
        <w:t xml:space="preserve"> </w:t>
      </w:r>
      <w:r w:rsidR="0058111C" w:rsidRPr="00B916EC">
        <w:rPr>
          <w:iCs/>
        </w:rPr>
        <w:t>that the UE uses to assess the radio link quality</w:t>
      </w:r>
      <w:r w:rsidR="001277DF">
        <w:rPr>
          <w:iCs/>
        </w:rPr>
        <w:t xml:space="preserve"> and </w:t>
      </w:r>
      <w:r w:rsidR="0058111C">
        <w:rPr>
          <w:iCs/>
        </w:rPr>
        <w:t>2 msec</w:t>
      </w:r>
      <w:r w:rsidR="001277DF">
        <w:rPr>
          <w:iCs/>
        </w:rPr>
        <w:t>.</w:t>
      </w:r>
      <w:r w:rsidR="001277DF" w:rsidRPr="00034AF1">
        <w:rPr>
          <w:iCs/>
        </w:rPr>
        <w:t xml:space="preserve"> </w:t>
      </w:r>
      <w:r>
        <w:rPr>
          <w:rFonts w:eastAsia="DengXian"/>
          <w:iCs/>
        </w:rPr>
        <w:t xml:space="preserve">In DRX mode operation, the physical layer </w:t>
      </w:r>
      <w:r w:rsidRPr="00B916EC">
        <w:t>provide</w:t>
      </w:r>
      <w:r>
        <w:t>s</w:t>
      </w:r>
      <w:r w:rsidRPr="00B916EC">
        <w:t xml:space="preserve"> an indication to higher layers </w:t>
      </w:r>
      <w:r>
        <w:rPr>
          <w:rFonts w:eastAsia="DengXian"/>
          <w:iCs/>
        </w:rPr>
        <w:t>when the radio link quality is worse than the threshold Q</w:t>
      </w:r>
      <w:r>
        <w:rPr>
          <w:rFonts w:eastAsia="DengXian"/>
          <w:iCs/>
          <w:vertAlign w:val="subscript"/>
        </w:rPr>
        <w:t>out,LR</w:t>
      </w:r>
      <w:r>
        <w:rPr>
          <w:rFonts w:eastAsia="DengXian"/>
          <w:iCs/>
        </w:rPr>
        <w:t xml:space="preserve"> with a periodicity determined as described in [10, TS 38.133].</w:t>
      </w:r>
    </w:p>
    <w:p w14:paraId="7E94529E" w14:textId="09AE3456" w:rsidR="001277DF" w:rsidRPr="00B916EC" w:rsidRDefault="009A2032" w:rsidP="001277DF">
      <w:r w:rsidRPr="001074F5">
        <w:rPr>
          <w:rFonts w:eastAsia="DengXian"/>
        </w:rPr>
        <w:t>For the PCell or the PSCell</w:t>
      </w:r>
      <w:r>
        <w:rPr>
          <w:rFonts w:eastAsia="DengXian"/>
        </w:rPr>
        <w:t>,</w:t>
      </w:r>
      <w:r>
        <w:t xml:space="preserve"> upon </w:t>
      </w:r>
      <w:r w:rsidR="001277DF">
        <w:t>request from higher layers, t</w:t>
      </w:r>
      <w:r w:rsidR="001277DF" w:rsidRPr="00B916EC">
        <w:t>he UE provide</w:t>
      </w:r>
      <w:r w:rsidR="006D4C27">
        <w:t>s</w:t>
      </w:r>
      <w:r w:rsidR="001277DF" w:rsidRPr="00B916EC">
        <w:t xml:space="preserve"> to higher layers </w:t>
      </w:r>
      <w:r w:rsidR="001277DF">
        <w:t xml:space="preserve">the </w:t>
      </w:r>
      <w:r w:rsidR="001277DF" w:rsidRPr="00B916EC">
        <w:t xml:space="preserve">periodic CSI-RS configuration </w:t>
      </w:r>
      <w:r w:rsidR="001277DF">
        <w:t>indexes and/</w:t>
      </w:r>
      <w:r w:rsidR="001277DF" w:rsidRPr="00B916EC">
        <w:t>or SS/PBCH block index</w:t>
      </w:r>
      <w:r w:rsidR="001277DF">
        <w:t>es</w:t>
      </w:r>
      <w:r w:rsidR="001277DF" w:rsidRPr="00B916EC">
        <w:rPr>
          <w:iCs/>
        </w:rPr>
        <w:t xml:space="preserve"> </w:t>
      </w:r>
      <w:r w:rsidR="001277DF">
        <w:t>from</w:t>
      </w:r>
      <w:r w:rsidR="001277DF" w:rsidRPr="00B916EC">
        <w:t xml:space="preserve"> the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m:t>
            </m:r>
          </m:sub>
        </m:sSub>
      </m:oMath>
      <w:r w:rsidR="005B76A5" w:rsidRPr="00F415B1">
        <w:rPr>
          <w:iCs/>
        </w:rPr>
        <w:t xml:space="preserve">, </w:t>
      </w:r>
      <w:r w:rsidR="005B76A5" w:rsidRPr="00F415B1">
        <w:t xml:space="preserve">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1,0</m:t>
            </m:r>
          </m:sub>
        </m:sSub>
      </m:oMath>
      <w:r w:rsidR="005B76A5" w:rsidRPr="00F415B1">
        <w:t>,</w:t>
      </w:r>
      <w:r w:rsidR="005B76A5" w:rsidRPr="00F415B1">
        <w:rPr>
          <w:iCs/>
        </w:rPr>
        <w:t xml:space="preserve"> 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1,1</m:t>
            </m:r>
          </m:sub>
        </m:sSub>
      </m:oMath>
      <w:r w:rsidR="001277DF">
        <w:rPr>
          <w:iCs/>
        </w:rPr>
        <w:t xml:space="preserve"> and the corresponding L1-RSRP measurements that are larger than or equal to </w:t>
      </w:r>
      <w:r w:rsidR="006D4C27">
        <w:rPr>
          <w:iCs/>
        </w:rPr>
        <w:t xml:space="preserve">the </w:t>
      </w:r>
      <w:r w:rsidR="007E4B10" w:rsidRPr="00B916EC">
        <w:t>Q</w:t>
      </w:r>
      <w:r w:rsidR="007E4B10">
        <w:rPr>
          <w:vertAlign w:val="subscript"/>
        </w:rPr>
        <w:t>in</w:t>
      </w:r>
      <w:r w:rsidR="007E4B10" w:rsidRPr="00B916EC">
        <w:rPr>
          <w:vertAlign w:val="subscript"/>
        </w:rPr>
        <w:t>,LR</w:t>
      </w:r>
      <w:r w:rsidR="006D4C27">
        <w:rPr>
          <w:iCs/>
        </w:rPr>
        <w:t xml:space="preserve"> threshold</w:t>
      </w:r>
      <w:r w:rsidR="001277DF" w:rsidRPr="00B916EC">
        <w:rPr>
          <w:iCs/>
        </w:rPr>
        <w:t xml:space="preserve">. </w:t>
      </w:r>
    </w:p>
    <w:p w14:paraId="049B572F" w14:textId="420814D6" w:rsidR="009A2032" w:rsidRPr="00C8262F" w:rsidRDefault="009A2032" w:rsidP="009A2032">
      <w:pPr>
        <w:rPr>
          <w:rFonts w:eastAsia="DengXian"/>
          <w:iCs/>
        </w:rPr>
      </w:pPr>
      <w:r w:rsidRPr="009D5134">
        <w:t>For the SCell, u</w:t>
      </w:r>
      <w:r w:rsidRPr="00C8262F">
        <w:rPr>
          <w:rFonts w:eastAsia="DengXian"/>
        </w:rPr>
        <w:t xml:space="preserve">pon request from higher layers, the UE </w:t>
      </w:r>
      <w:r>
        <w:rPr>
          <w:rFonts w:eastAsia="DengXian"/>
        </w:rPr>
        <w:t>indicates</w:t>
      </w:r>
      <w:r w:rsidRPr="00C8262F">
        <w:rPr>
          <w:rFonts w:eastAsia="DengXian"/>
        </w:rPr>
        <w:t xml:space="preserve"> to higher layers </w:t>
      </w:r>
      <w:r w:rsidRPr="009D5134">
        <w:rPr>
          <w:rFonts w:eastAsia="DengXian"/>
        </w:rPr>
        <w:t>whether there is at least one periodic CSI-RS configuration index or SS/PBCH block index</w:t>
      </w:r>
      <w:r w:rsidRPr="009D5134">
        <w:rPr>
          <w:rFonts w:eastAsia="DengXian"/>
          <w:iCs/>
        </w:rPr>
        <w:t xml:space="preserve"> </w:t>
      </w:r>
      <w:r w:rsidRPr="009D5134">
        <w:rPr>
          <w:rFonts w:eastAsia="DengXian"/>
        </w:rPr>
        <w:t xml:space="preserve">from the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m:t>
            </m:r>
          </m:sub>
        </m:sSub>
      </m:oMath>
      <w:r w:rsidR="005B76A5" w:rsidRPr="00F415B1">
        <w:rPr>
          <w:iCs/>
        </w:rPr>
        <w:t xml:space="preserve">, </w:t>
      </w:r>
      <w:r w:rsidR="005B76A5" w:rsidRPr="00F415B1">
        <w:t xml:space="preserve">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1,0</m:t>
            </m:r>
          </m:sub>
        </m:sSub>
      </m:oMath>
      <w:r w:rsidR="005B76A5" w:rsidRPr="00F415B1">
        <w:t>,</w:t>
      </w:r>
      <w:r w:rsidR="005B76A5" w:rsidRPr="00F415B1">
        <w:rPr>
          <w:iCs/>
        </w:rPr>
        <w:t xml:space="preserve"> 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1,1</m:t>
            </m:r>
          </m:sub>
        </m:sSub>
      </m:oMath>
      <w:r w:rsidRPr="009D5134">
        <w:rPr>
          <w:rFonts w:eastAsia="DengXian"/>
        </w:rPr>
        <w:t xml:space="preserve"> with corresponding L1-RSRP measurements that </w:t>
      </w:r>
      <w:r w:rsidR="00256F8F">
        <w:rPr>
          <w:rFonts w:eastAsia="DengXian"/>
        </w:rPr>
        <w:t>is</w:t>
      </w:r>
      <w:r w:rsidR="00256F8F" w:rsidRPr="009D5134">
        <w:rPr>
          <w:rFonts w:eastAsia="DengXian"/>
        </w:rPr>
        <w:t xml:space="preserve"> </w:t>
      </w:r>
      <w:r w:rsidRPr="009D5134">
        <w:rPr>
          <w:rFonts w:eastAsia="DengXian"/>
        </w:rPr>
        <w:t>larger than or equal to the Q</w:t>
      </w:r>
      <w:r w:rsidRPr="009D5134">
        <w:rPr>
          <w:rFonts w:eastAsia="DengXian"/>
          <w:vertAlign w:val="subscript"/>
        </w:rPr>
        <w:t>in,LR</w:t>
      </w:r>
      <w:r w:rsidRPr="009D5134">
        <w:rPr>
          <w:rFonts w:eastAsia="DengXian"/>
        </w:rPr>
        <w:t xml:space="preserve"> threshold, and</w:t>
      </w:r>
      <w:r w:rsidRPr="00C8262F">
        <w:rPr>
          <w:rFonts w:eastAsia="DengXian"/>
          <w:iCs/>
        </w:rPr>
        <w:t xml:space="preserve"> </w:t>
      </w:r>
      <w:r>
        <w:rPr>
          <w:rFonts w:eastAsia="DengXian"/>
          <w:iCs/>
        </w:rPr>
        <w:t xml:space="preserve">provides </w:t>
      </w:r>
      <w:r w:rsidRPr="00C8262F">
        <w:rPr>
          <w:rFonts w:eastAsia="DengXian"/>
        </w:rPr>
        <w:t xml:space="preserve">the periodic CSI-RS configuration indexes </w:t>
      </w:r>
      <w:r w:rsidR="00256F8F">
        <w:rPr>
          <w:rFonts w:eastAsia="DengXian"/>
        </w:rPr>
        <w:t>and/</w:t>
      </w:r>
      <w:r w:rsidRPr="00C8262F">
        <w:rPr>
          <w:rFonts w:eastAsia="DengXian"/>
        </w:rPr>
        <w:t>or SS/PBCH block indexes</w:t>
      </w:r>
      <w:r w:rsidRPr="00C8262F">
        <w:rPr>
          <w:rFonts w:eastAsia="DengXian"/>
          <w:iCs/>
        </w:rPr>
        <w:t xml:space="preserve"> </w:t>
      </w:r>
      <w:r w:rsidRPr="00C8262F">
        <w:rPr>
          <w:rFonts w:eastAsia="DengXian"/>
        </w:rPr>
        <w:t xml:space="preserve">from the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m:t>
            </m:r>
          </m:sub>
        </m:sSub>
      </m:oMath>
      <w:r w:rsidR="00BB3FBB" w:rsidRPr="00F415B1">
        <w:rPr>
          <w:iCs/>
        </w:rPr>
        <w:t xml:space="preserve">, </w:t>
      </w:r>
      <w:r w:rsidR="00BB3FBB" w:rsidRPr="00F415B1">
        <w:t xml:space="preserve">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1,0</m:t>
            </m:r>
          </m:sub>
        </m:sSub>
      </m:oMath>
      <w:r w:rsidR="00BB3FBB" w:rsidRPr="00F415B1">
        <w:t>,</w:t>
      </w:r>
      <w:r w:rsidR="00BB3FBB" w:rsidRPr="00F415B1">
        <w:rPr>
          <w:iCs/>
        </w:rPr>
        <w:t xml:space="preserve"> 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1,1</m:t>
            </m:r>
          </m:sub>
        </m:sSub>
      </m:oMath>
      <w:r w:rsidRPr="00C8262F">
        <w:rPr>
          <w:rFonts w:eastAsia="DengXian"/>
          <w:iCs/>
        </w:rPr>
        <w:t xml:space="preserve"> and the corresponding L1-RSRP measurements that are larger than or equal to the </w:t>
      </w:r>
      <w:r w:rsidRPr="00C8262F">
        <w:rPr>
          <w:rFonts w:eastAsia="DengXian"/>
        </w:rPr>
        <w:t>Q</w:t>
      </w:r>
      <w:r w:rsidRPr="00C8262F">
        <w:rPr>
          <w:rFonts w:eastAsia="DengXian"/>
          <w:vertAlign w:val="subscript"/>
        </w:rPr>
        <w:t>in,LR</w:t>
      </w:r>
      <w:r w:rsidRPr="00C8262F">
        <w:rPr>
          <w:rFonts w:eastAsia="DengXian"/>
          <w:iCs/>
        </w:rPr>
        <w:t xml:space="preserve"> threshold</w:t>
      </w:r>
      <w:r w:rsidRPr="009D5134">
        <w:rPr>
          <w:rFonts w:eastAsia="DengXian"/>
          <w:iCs/>
        </w:rPr>
        <w:t>, if any</w:t>
      </w:r>
      <w:r w:rsidRPr="00C8262F">
        <w:rPr>
          <w:rFonts w:eastAsia="DengXian"/>
          <w:iCs/>
        </w:rPr>
        <w:t xml:space="preserve">. </w:t>
      </w:r>
    </w:p>
    <w:p w14:paraId="1B328205" w14:textId="3E2C4FCA" w:rsidR="006D4C27" w:rsidRDefault="00AA6B51" w:rsidP="006D4C27">
      <w:r>
        <w:lastRenderedPageBreak/>
        <w:t>For the PCell or the PSCell,</w:t>
      </w:r>
      <w:r w:rsidRPr="00B916EC">
        <w:t xml:space="preserve"> </w:t>
      </w:r>
      <w:r>
        <w:t>a</w:t>
      </w:r>
      <w:r w:rsidR="006D4C27" w:rsidRPr="00B916EC">
        <w:t xml:space="preserve"> UE </w:t>
      </w:r>
      <w:r w:rsidR="007E4B10">
        <w:t xml:space="preserve">can </w:t>
      </w:r>
      <w:r w:rsidR="006D4C27">
        <w:t>be</w:t>
      </w:r>
      <w:r w:rsidR="006D4C27" w:rsidRPr="00B916EC">
        <w:t xml:space="preserve"> </w:t>
      </w:r>
      <w:r w:rsidR="006D4C27">
        <w:t>provided</w:t>
      </w:r>
      <w:r w:rsidR="006D4C27" w:rsidRPr="00B916EC">
        <w:t xml:space="preserve"> </w:t>
      </w:r>
      <w:r w:rsidR="006D4C27">
        <w:t>a</w:t>
      </w:r>
      <w:r w:rsidR="006D4C27" w:rsidRPr="00B916EC">
        <w:t xml:space="preserve"> </w:t>
      </w:r>
      <w:r w:rsidR="00C76664">
        <w:t>CORESET</w:t>
      </w:r>
      <w:r w:rsidR="006D4C27" w:rsidRPr="007314F5">
        <w:t xml:space="preserve"> </w:t>
      </w:r>
      <w:r w:rsidR="006D4C27">
        <w:t xml:space="preserve">through a link to a search space set provided by </w:t>
      </w:r>
      <w:r w:rsidR="006D4C27" w:rsidRPr="008733A5">
        <w:rPr>
          <w:i/>
        </w:rPr>
        <w:t>recoverySearchSpaceId,</w:t>
      </w:r>
      <w:r w:rsidR="006D4C27" w:rsidRPr="008733A5">
        <w:t xml:space="preserve"> as described </w:t>
      </w:r>
      <w:r w:rsidR="006F5F9E">
        <w:t>in clause</w:t>
      </w:r>
      <w:r w:rsidR="006D4C27" w:rsidRPr="008733A5">
        <w:t xml:space="preserve"> 10.1, for monitoring PDCCH in the </w:t>
      </w:r>
      <w:r w:rsidR="00C76664">
        <w:t>CORESET</w:t>
      </w:r>
      <w:r w:rsidR="006D4C27" w:rsidRPr="008733A5">
        <w:t xml:space="preserve">. If the UE is provided </w:t>
      </w:r>
      <w:r w:rsidR="006D4C27" w:rsidRPr="008733A5">
        <w:rPr>
          <w:i/>
        </w:rPr>
        <w:t>recoverySearchSpaceId</w:t>
      </w:r>
      <w:r w:rsidR="006D4C27">
        <w:t>, t</w:t>
      </w:r>
      <w:r w:rsidR="006D4C27" w:rsidRPr="008733A5">
        <w:t xml:space="preserve">he UE does not expect to be provided another search space </w:t>
      </w:r>
      <w:r w:rsidR="006D4C27">
        <w:t xml:space="preserve">set </w:t>
      </w:r>
      <w:r w:rsidR="006D4C27" w:rsidRPr="008733A5">
        <w:t xml:space="preserve">for monitoring PDCCH in the </w:t>
      </w:r>
      <w:r w:rsidR="00C76664">
        <w:t>CORESET</w:t>
      </w:r>
      <w:r w:rsidR="006D4C27" w:rsidRPr="008733A5">
        <w:t xml:space="preserve"> associated with </w:t>
      </w:r>
      <w:r w:rsidR="006D4C27">
        <w:t xml:space="preserve">the </w:t>
      </w:r>
      <w:r w:rsidR="006D4C27" w:rsidRPr="008733A5">
        <w:t>search spa</w:t>
      </w:r>
      <w:r w:rsidR="006D4C27">
        <w:t>ce set provided by</w:t>
      </w:r>
      <w:r w:rsidR="006D4C27" w:rsidRPr="008733A5">
        <w:rPr>
          <w:i/>
          <w:iCs/>
        </w:rPr>
        <w:t xml:space="preserve"> recoverySearchSpaceId</w:t>
      </w:r>
      <w:r w:rsidR="006D4C27" w:rsidRPr="008733A5">
        <w:t>.</w:t>
      </w:r>
    </w:p>
    <w:p w14:paraId="7BB2AECA" w14:textId="31C9E220" w:rsidR="006D4C27" w:rsidRDefault="00AA6B51" w:rsidP="008B39D7">
      <w:pPr>
        <w:rPr>
          <w:i/>
          <w:iCs/>
        </w:rPr>
      </w:pPr>
      <w:r>
        <w:t>For the PCell or the PSCell, t</w:t>
      </w:r>
      <w:r w:rsidRPr="00511280">
        <w:t xml:space="preserve">he </w:t>
      </w:r>
      <w:r w:rsidR="006D4C27" w:rsidRPr="00511280">
        <w:t xml:space="preserve">UE </w:t>
      </w:r>
      <w:r>
        <w:t>can be provided,</w:t>
      </w:r>
      <w:r w:rsidR="006D4C27" w:rsidRPr="00511280">
        <w:t xml:space="preserve"> by</w:t>
      </w:r>
      <w:r w:rsidR="006D4C27" w:rsidRPr="002B2518">
        <w:t xml:space="preserve"> </w:t>
      </w:r>
      <w:r w:rsidR="006D4C27" w:rsidRPr="00812261">
        <w:rPr>
          <w:i/>
        </w:rPr>
        <w:t>PRACH-ResourceDedicatedBFR</w:t>
      </w:r>
      <w:r w:rsidR="006D4C27" w:rsidRPr="00511280">
        <w:t xml:space="preserve">, a </w:t>
      </w:r>
      <w:r w:rsidR="006D4C27" w:rsidRPr="00511280">
        <w:rPr>
          <w:lang w:val="en-US"/>
        </w:rPr>
        <w:t xml:space="preserve">configuration for PRACH transmission as described </w:t>
      </w:r>
      <w:r w:rsidR="006F5F9E">
        <w:rPr>
          <w:lang w:val="en-US"/>
        </w:rPr>
        <w:t>in clause</w:t>
      </w:r>
      <w:r w:rsidR="006D4C27" w:rsidRPr="00511280">
        <w:rPr>
          <w:lang w:val="en-US"/>
        </w:rPr>
        <w:t xml:space="preserve"> 8.1. For PRACH transmission in slot </w:t>
      </w:r>
      <m:oMath>
        <m:r>
          <w:rPr>
            <w:rFonts w:ascii="Cambria Math" w:eastAsia="DengXian" w:hAnsi="Cambria Math"/>
            <w:lang w:eastAsia="zh-CN"/>
          </w:rPr>
          <m:t>n</m:t>
        </m:r>
      </m:oMath>
      <w:r w:rsidR="006D4C27" w:rsidRPr="00511280">
        <w:rPr>
          <w:iCs/>
        </w:rPr>
        <w:t xml:space="preserve"> </w:t>
      </w:r>
      <w:r w:rsidR="006D4C27" w:rsidRPr="00511280">
        <w:rPr>
          <w:lang w:val="en-US"/>
        </w:rPr>
        <w:t xml:space="preserve">and according to </w:t>
      </w:r>
      <w:r w:rsidR="006D4C27" w:rsidRPr="00511280">
        <w:t>antenna port quasi co-</w:t>
      </w:r>
      <w:r w:rsidR="006D4C27" w:rsidRPr="005B5050">
        <w:t xml:space="preserve">location parameters associated with periodic CSI-RS </w:t>
      </w:r>
      <w:r w:rsidR="007E4B10">
        <w:t xml:space="preserve">resource </w:t>
      </w:r>
      <w:r w:rsidR="006D4C27" w:rsidRPr="005B5050">
        <w:t>configuration or</w:t>
      </w:r>
      <w:r w:rsidR="007E4B10">
        <w:t xml:space="preserve"> with</w:t>
      </w:r>
      <w:r w:rsidR="006D4C27" w:rsidRPr="005B5050">
        <w:t xml:space="preserve"> SS/</w:t>
      </w:r>
      <w:r w:rsidR="006D4C27" w:rsidRPr="00DA0660">
        <w:t xml:space="preserve">PBCH block </w:t>
      </w:r>
      <w:r w:rsidR="007E4B10">
        <w:t xml:space="preserve">associated </w:t>
      </w:r>
      <w:r w:rsidR="006D4C27" w:rsidRPr="00DA0660">
        <w:t xml:space="preserve">with index </w:t>
      </w:r>
      <m:oMath>
        <m:sSub>
          <m:sSubPr>
            <m:ctrlPr>
              <w:rPr>
                <w:rFonts w:ascii="Cambria Math" w:hAnsi="Cambria Math"/>
                <w:i/>
              </w:rPr>
            </m:ctrlPr>
          </m:sSubPr>
          <m:e>
            <m:r>
              <w:rPr>
                <w:rFonts w:ascii="Cambria Math" w:hAnsi="Cambria Math"/>
              </w:rPr>
              <m:t>q</m:t>
            </m:r>
          </m:e>
          <m:sub>
            <m:r>
              <m:rPr>
                <m:sty m:val="p"/>
              </m:rPr>
              <w:rPr>
                <w:rFonts w:ascii="Cambria Math" w:hAnsi="Cambria Math"/>
              </w:rPr>
              <m:t>new</m:t>
            </m:r>
          </m:sub>
        </m:sSub>
      </m:oMath>
      <w:r w:rsidR="006D4C27" w:rsidRPr="00DA0660">
        <w:rPr>
          <w:iCs/>
        </w:rPr>
        <w:t xml:space="preserve"> provided by higher layers </w:t>
      </w:r>
      <w:r w:rsidR="006D4C27" w:rsidRPr="00DA0660">
        <w:t>[11, TS 38.321]</w:t>
      </w:r>
      <w:r w:rsidR="006D4C27" w:rsidRPr="00DA0660">
        <w:rPr>
          <w:lang w:val="en-US"/>
        </w:rPr>
        <w:t xml:space="preserve">, the UE monitors PDCCH in a search space </w:t>
      </w:r>
      <w:r w:rsidR="007E4B10">
        <w:rPr>
          <w:lang w:val="en-US"/>
        </w:rPr>
        <w:t xml:space="preserve">set </w:t>
      </w:r>
      <w:r w:rsidR="006D4C27" w:rsidRPr="00DA0660">
        <w:rPr>
          <w:lang w:val="en-US"/>
        </w:rPr>
        <w:t xml:space="preserve">provided by </w:t>
      </w:r>
      <w:r w:rsidR="006D4C27" w:rsidRPr="00DA0660">
        <w:rPr>
          <w:i/>
          <w:iCs/>
        </w:rPr>
        <w:t>recoverySearchSpaceId</w:t>
      </w:r>
      <w:r w:rsidR="006D4C27" w:rsidRPr="00DA0660">
        <w:rPr>
          <w:lang w:val="en-US"/>
        </w:rPr>
        <w:t xml:space="preserve"> for detection of a DCI format with CRC scrambled by C-RNTI</w:t>
      </w:r>
      <w:r w:rsidR="007E4B10">
        <w:rPr>
          <w:lang w:val="en-US"/>
        </w:rPr>
        <w:t xml:space="preserve"> or MCS-C-RNTI</w:t>
      </w:r>
      <w:r w:rsidR="006D4C27" w:rsidRPr="00DA0660">
        <w:rPr>
          <w:lang w:val="en-US"/>
        </w:rPr>
        <w:t xml:space="preserve"> starting </w:t>
      </w:r>
      <w:r w:rsidR="0068516D" w:rsidRPr="00DA0660">
        <w:rPr>
          <w:lang w:val="en-US"/>
        </w:rPr>
        <w:t xml:space="preserve">from slot </w:t>
      </w:r>
      <m:oMath>
        <m:r>
          <w:rPr>
            <w:rFonts w:ascii="Cambria Math" w:hAnsi="Cambria Math"/>
          </w:rPr>
          <m:t>n</m:t>
        </m:r>
        <m:r>
          <m:rPr>
            <m:sty m:val="p"/>
          </m:rPr>
          <w:rPr>
            <w:rFonts w:ascii="Cambria Math" w:hAnsi="Cambria Math"/>
          </w:rPr>
          <m:t>+</m:t>
        </m:r>
        <m:r>
          <m:rPr>
            <m:sty m:val="p"/>
          </m:rPr>
          <w:rPr>
            <w:rFonts w:ascii="Cambria Math" w:hAnsi="Cambria Math" w:cs="Calibri"/>
            <w:sz w:val="18"/>
          </w:rPr>
          <m:t>4</m:t>
        </m:r>
        <m:r>
          <w:rPr>
            <w:rFonts w:ascii="Cambria Math" w:hAnsi="Cambria Math"/>
          </w:rPr>
          <m:t>+</m:t>
        </m:r>
        <m:sSub>
          <m:sSubPr>
            <m:ctrlPr>
              <w:rPr>
                <w:rFonts w:ascii="Cambria Math" w:hAnsi="Cambria Math"/>
                <w:i/>
              </w:rPr>
            </m:ctrlPr>
          </m:sSubPr>
          <m:e>
            <m:sSup>
              <m:sSupPr>
                <m:ctrlPr>
                  <w:rPr>
                    <w:rFonts w:ascii="Cambria Math" w:eastAsia="MS Mincho" w:hAnsi="Cambria Math"/>
                    <w:i/>
                    <w:kern w:val="2"/>
                  </w:rPr>
                </m:ctrlPr>
              </m:sSupPr>
              <m:e>
                <m:r>
                  <w:rPr>
                    <w:rFonts w:ascii="Cambria Math" w:eastAsia="MS Mincho" w:hAnsi="Cambria Math"/>
                    <w:kern w:val="2"/>
                  </w:rPr>
                  <m:t>2</m:t>
                </m:r>
              </m:e>
              <m:sup>
                <m:r>
                  <w:rPr>
                    <w:rFonts w:ascii="Cambria Math" w:eastAsia="MS Mincho" w:hAnsi="Cambria Math"/>
                    <w:kern w:val="2"/>
                  </w:rPr>
                  <m:t>μ</m:t>
                </m:r>
              </m:sup>
            </m:sSup>
            <m:r>
              <w:rPr>
                <w:rFonts w:ascii="Cambria Math" w:eastAsia="MS Mincho" w:hAnsi="Cambria Math"/>
                <w:kern w:val="2"/>
              </w:rPr>
              <m:t>∙</m:t>
            </m:r>
            <m:r>
              <w:rPr>
                <w:rFonts w:ascii="Cambria Math" w:hAnsi="Cambria Math"/>
              </w:rPr>
              <m:t>k</m:t>
            </m:r>
          </m:e>
          <m:sub>
            <m:r>
              <m:rPr>
                <m:sty m:val="p"/>
              </m:rPr>
              <w:rPr>
                <w:rFonts w:ascii="Cambria Math" w:hAnsi="Cambria Math"/>
              </w:rPr>
              <m:t>mac</m:t>
            </m:r>
          </m:sub>
        </m:sSub>
      </m:oMath>
      <w:r w:rsidR="0068516D">
        <w:rPr>
          <w:noProof/>
        </w:rPr>
        <w:t>,</w:t>
      </w:r>
      <w:r w:rsidR="0068516D">
        <w:rPr>
          <w:sz w:val="18"/>
        </w:rPr>
        <w:t xml:space="preserve"> </w:t>
      </w:r>
      <w:r w:rsidR="0068516D">
        <w:t xml:space="preserve">where </w:t>
      </w:r>
      <m:oMath>
        <m:r>
          <w:rPr>
            <w:rFonts w:ascii="Cambria Math" w:hAnsi="Cambria Math"/>
            <w:lang w:val="en-US"/>
          </w:rPr>
          <m:t>μ</m:t>
        </m:r>
      </m:oMath>
      <w:r w:rsidR="0068516D">
        <w:rPr>
          <w:lang w:val="en-US"/>
        </w:rPr>
        <w:t xml:space="preserve"> is the SCS configuration for the PRACH transmission and </w:t>
      </w:r>
      <m:oMath>
        <m:sSub>
          <m:sSubPr>
            <m:ctrlPr>
              <w:rPr>
                <w:rFonts w:ascii="Cambria Math" w:hAnsi="Cambria Math"/>
                <w:i/>
              </w:rPr>
            </m:ctrlPr>
          </m:sSubPr>
          <m:e>
            <m:r>
              <w:rPr>
                <w:rFonts w:ascii="Cambria Math" w:hAnsi="Cambria Math"/>
              </w:rPr>
              <m:t>k</m:t>
            </m:r>
          </m:e>
          <m:sub>
            <m:r>
              <m:rPr>
                <m:sty m:val="p"/>
              </m:rPr>
              <w:rPr>
                <w:rFonts w:ascii="Cambria Math" w:hAnsi="Cambria Math"/>
              </w:rPr>
              <m:t>mac</m:t>
            </m:r>
          </m:sub>
        </m:sSub>
      </m:oMath>
      <w:r w:rsidR="0068516D">
        <w:t xml:space="preserve"> is a number of slots provided by </w:t>
      </w:r>
      <w:r w:rsidR="00170EDC">
        <w:rPr>
          <w:i/>
          <w:iCs/>
        </w:rPr>
        <w:t>kmac</w:t>
      </w:r>
      <w:r w:rsidR="0068516D">
        <w:t xml:space="preserve"> [12, TS 38.331] </w:t>
      </w:r>
      <w:r w:rsidR="0068516D">
        <w:rPr>
          <w:lang w:val="en-US"/>
        </w:rPr>
        <w:t xml:space="preserve">or </w:t>
      </w:r>
      <m:oMath>
        <m:sSub>
          <m:sSubPr>
            <m:ctrlPr>
              <w:rPr>
                <w:rFonts w:ascii="Cambria Math" w:hAnsi="Cambria Math"/>
                <w:i/>
              </w:rPr>
            </m:ctrlPr>
          </m:sSubPr>
          <m:e>
            <m:r>
              <w:rPr>
                <w:rFonts w:ascii="Cambria Math" w:hAnsi="Cambria Math"/>
              </w:rPr>
              <m:t>k</m:t>
            </m:r>
          </m:e>
          <m:sub>
            <m:r>
              <m:rPr>
                <m:sty m:val="p"/>
              </m:rPr>
              <w:rPr>
                <w:rFonts w:ascii="Cambria Math" w:hAnsi="Cambria Math"/>
              </w:rPr>
              <m:t>mac</m:t>
            </m:r>
          </m:sub>
        </m:sSub>
        <m:r>
          <w:rPr>
            <w:rFonts w:ascii="Cambria Math" w:hAnsi="Cambria Math"/>
          </w:rPr>
          <m:t>=0</m:t>
        </m:r>
      </m:oMath>
      <w:r w:rsidR="0068516D">
        <w:t xml:space="preserve"> if </w:t>
      </w:r>
      <w:r w:rsidR="00170EDC">
        <w:rPr>
          <w:i/>
          <w:iCs/>
        </w:rPr>
        <w:t>kmac</w:t>
      </w:r>
      <w:r w:rsidR="0068516D">
        <w:t xml:space="preserve"> is not provided,</w:t>
      </w:r>
      <w:r w:rsidR="0068516D" w:rsidRPr="00DA0660">
        <w:rPr>
          <w:iCs/>
        </w:rPr>
        <w:t xml:space="preserve"> </w:t>
      </w:r>
      <w:r w:rsidR="0068516D" w:rsidRPr="00DA0660">
        <w:rPr>
          <w:noProof/>
        </w:rPr>
        <w:t>within</w:t>
      </w:r>
      <w:r w:rsidR="006D4C27" w:rsidRPr="00DA0660">
        <w:rPr>
          <w:noProof/>
        </w:rPr>
        <w:t xml:space="preserve"> a window </w:t>
      </w:r>
      <w:r w:rsidR="006D4C27" w:rsidRPr="00DA0660">
        <w:rPr>
          <w:lang w:val="en-US"/>
        </w:rPr>
        <w:t xml:space="preserve">configured by </w:t>
      </w:r>
      <w:r w:rsidR="006D4C27" w:rsidRPr="00DA0660">
        <w:rPr>
          <w:i/>
          <w:iCs/>
        </w:rPr>
        <w:t>BeamFailureRecoveryConfig</w:t>
      </w:r>
      <w:r w:rsidR="006D4C27" w:rsidRPr="00DA0660">
        <w:rPr>
          <w:iCs/>
        </w:rPr>
        <w:t xml:space="preserve">. For PDCCH monitoring </w:t>
      </w:r>
      <w:r w:rsidR="00427E18" w:rsidRPr="00C5127A">
        <w:t xml:space="preserve">in a search space set provided by </w:t>
      </w:r>
      <w:r w:rsidR="00427E18" w:rsidRPr="00C5127A">
        <w:rPr>
          <w:i/>
        </w:rPr>
        <w:t>recoverySearchSpaceId</w:t>
      </w:r>
      <w:r w:rsidR="00427E18" w:rsidRPr="00C5127A">
        <w:t xml:space="preserve"> </w:t>
      </w:r>
      <w:r w:rsidR="006D4C27" w:rsidRPr="00DA0660">
        <w:rPr>
          <w:iCs/>
        </w:rPr>
        <w:t>and for corresponding PDSCH reception</w:t>
      </w:r>
      <w:r w:rsidR="00E86310">
        <w:rPr>
          <w:iCs/>
        </w:rPr>
        <w:t>s</w:t>
      </w:r>
      <w:r w:rsidR="006D4C27" w:rsidRPr="00DA0660">
        <w:rPr>
          <w:iCs/>
        </w:rPr>
        <w:t>, the UE assumes the same antenna port quasi-collocation parameters</w:t>
      </w:r>
      <w:r w:rsidR="007E4B10">
        <w:rPr>
          <w:iCs/>
        </w:rPr>
        <w:t xml:space="preserve"> as the ones associated</w:t>
      </w:r>
      <w:r w:rsidR="006D4C27" w:rsidRPr="00DA0660">
        <w:rPr>
          <w:iCs/>
        </w:rPr>
        <w:t xml:space="preserve"> with </w:t>
      </w:r>
      <w:r w:rsidR="006D4C27" w:rsidRPr="00DA0660">
        <w:t xml:space="preserve">index </w:t>
      </w:r>
      <m:oMath>
        <m:sSub>
          <m:sSubPr>
            <m:ctrlPr>
              <w:rPr>
                <w:rFonts w:ascii="Cambria Math" w:hAnsi="Cambria Math"/>
                <w:i/>
              </w:rPr>
            </m:ctrlPr>
          </m:sSubPr>
          <m:e>
            <m:r>
              <w:rPr>
                <w:rFonts w:ascii="Cambria Math" w:hAnsi="Cambria Math"/>
              </w:rPr>
              <m:t>q</m:t>
            </m:r>
          </m:e>
          <m:sub>
            <m:r>
              <m:rPr>
                <m:sty m:val="p"/>
              </m:rPr>
              <w:rPr>
                <w:rFonts w:ascii="Cambria Math" w:hAnsi="Cambria Math"/>
              </w:rPr>
              <m:t>new</m:t>
            </m:r>
          </m:sub>
        </m:sSub>
      </m:oMath>
      <w:r w:rsidR="006D4C27" w:rsidRPr="00DA0660">
        <w:rPr>
          <w:iCs/>
        </w:rPr>
        <w:t xml:space="preserve"> until the UE receives by higher layers an activation for a TCI state or any of the parameters </w:t>
      </w:r>
      <w:r w:rsidR="00063DE7">
        <w:rPr>
          <w:i/>
          <w:iCs/>
        </w:rPr>
        <w:t>tci</w:t>
      </w:r>
      <w:r w:rsidR="006D4C27" w:rsidRPr="006C721D">
        <w:rPr>
          <w:i/>
          <w:iCs/>
        </w:rPr>
        <w:t>-StatesPDCCH-</w:t>
      </w:r>
      <w:r w:rsidR="00063DE7" w:rsidRPr="006C721D">
        <w:rPr>
          <w:i/>
          <w:iCs/>
        </w:rPr>
        <w:t>ToAdd</w:t>
      </w:r>
      <w:r w:rsidR="00063DE7">
        <w:rPr>
          <w:i/>
          <w:iCs/>
        </w:rPr>
        <w:t>L</w:t>
      </w:r>
      <w:r w:rsidR="00063DE7" w:rsidRPr="006C721D">
        <w:rPr>
          <w:i/>
          <w:iCs/>
        </w:rPr>
        <w:t xml:space="preserve">ist </w:t>
      </w:r>
      <w:r w:rsidR="006D4C27" w:rsidRPr="00DA0660">
        <w:rPr>
          <w:iCs/>
        </w:rPr>
        <w:t>and/or</w:t>
      </w:r>
      <w:r w:rsidR="006D4C27" w:rsidRPr="00DA0660">
        <w:rPr>
          <w:i/>
          <w:iCs/>
        </w:rPr>
        <w:t xml:space="preserve"> </w:t>
      </w:r>
      <w:r w:rsidR="00063DE7">
        <w:rPr>
          <w:i/>
          <w:iCs/>
        </w:rPr>
        <w:t>tci</w:t>
      </w:r>
      <w:r w:rsidR="006D4C27" w:rsidRPr="00DA0660">
        <w:rPr>
          <w:i/>
          <w:iCs/>
        </w:rPr>
        <w:t>-StatesPDCCH-ToReleaseList</w:t>
      </w:r>
      <w:r w:rsidR="006D4C27" w:rsidRPr="00DA0660">
        <w:rPr>
          <w:iCs/>
        </w:rPr>
        <w:t xml:space="preserve">. </w:t>
      </w:r>
      <w:r w:rsidR="006D4C27" w:rsidRPr="00DA0660">
        <w:t>After the UE detects a DCI format with CRC scrambled by C-RNTI</w:t>
      </w:r>
      <w:r w:rsidR="007E4B10">
        <w:t xml:space="preserve"> or MCS-C-RNTI</w:t>
      </w:r>
      <w:r w:rsidR="006D4C27" w:rsidRPr="00DA0660">
        <w:t xml:space="preserve"> in the search space </w:t>
      </w:r>
      <w:r w:rsidR="007E4B10">
        <w:t xml:space="preserve">set </w:t>
      </w:r>
      <w:r w:rsidR="006D4C27" w:rsidRPr="00DA0660">
        <w:t xml:space="preserve">provided by </w:t>
      </w:r>
      <w:r w:rsidR="006D4C27" w:rsidRPr="00DA0660">
        <w:rPr>
          <w:i/>
          <w:iCs/>
        </w:rPr>
        <w:t>recoverySearchSpaceId</w:t>
      </w:r>
      <w:r w:rsidR="006D4C27" w:rsidRPr="00DA0660">
        <w:t xml:space="preserve">, the UE </w:t>
      </w:r>
      <w:r w:rsidR="007E4B10">
        <w:t xml:space="preserve">continues to </w:t>
      </w:r>
      <w:r w:rsidR="006D4C27" w:rsidRPr="00DA0660">
        <w:t xml:space="preserve">monitor PDCCH candidates in the search space </w:t>
      </w:r>
      <w:r w:rsidR="007E4B10">
        <w:t xml:space="preserve">set </w:t>
      </w:r>
      <w:r w:rsidR="006D4C27" w:rsidRPr="00DA0660">
        <w:t xml:space="preserve">provided by </w:t>
      </w:r>
      <w:r w:rsidR="006D4C27" w:rsidRPr="00DA0660">
        <w:rPr>
          <w:i/>
          <w:iCs/>
        </w:rPr>
        <w:t>recoverySearchSpaceId</w:t>
      </w:r>
      <w:r w:rsidR="006D4C27" w:rsidRPr="00DA0660">
        <w:t xml:space="preserve"> until the UE receives a MAC CE activation command for a TCI state or </w:t>
      </w:r>
      <w:r w:rsidR="00063DE7">
        <w:rPr>
          <w:i/>
          <w:iCs/>
        </w:rPr>
        <w:t>tci</w:t>
      </w:r>
      <w:r w:rsidR="006D4C27" w:rsidRPr="00DA0660">
        <w:rPr>
          <w:i/>
          <w:iCs/>
        </w:rPr>
        <w:t>-StatesPDCCH-</w:t>
      </w:r>
      <w:r w:rsidR="00063DE7" w:rsidRPr="00DA0660">
        <w:rPr>
          <w:i/>
          <w:iCs/>
        </w:rPr>
        <w:t>ToAdd</w:t>
      </w:r>
      <w:r w:rsidR="00063DE7">
        <w:rPr>
          <w:i/>
          <w:iCs/>
        </w:rPr>
        <w:t>L</w:t>
      </w:r>
      <w:r w:rsidR="00063DE7" w:rsidRPr="00DA0660">
        <w:rPr>
          <w:i/>
          <w:iCs/>
        </w:rPr>
        <w:t xml:space="preserve">ist </w:t>
      </w:r>
      <w:r w:rsidR="006D4C27" w:rsidRPr="00DA0660">
        <w:rPr>
          <w:iCs/>
        </w:rPr>
        <w:t>and/or</w:t>
      </w:r>
      <w:r w:rsidR="006D4C27" w:rsidRPr="00DA0660">
        <w:rPr>
          <w:i/>
          <w:iCs/>
        </w:rPr>
        <w:t xml:space="preserve"> </w:t>
      </w:r>
      <w:r w:rsidR="00063DE7">
        <w:rPr>
          <w:i/>
          <w:iCs/>
        </w:rPr>
        <w:t>tci</w:t>
      </w:r>
      <w:r w:rsidR="006D4C27" w:rsidRPr="00DA0660">
        <w:rPr>
          <w:i/>
          <w:iCs/>
        </w:rPr>
        <w:t>-StatesPDCCH-ToReleaseList.</w:t>
      </w:r>
    </w:p>
    <w:p w14:paraId="10E86556" w14:textId="3A40248C" w:rsidR="008B39D7" w:rsidRDefault="00AA6B51" w:rsidP="008B39D7">
      <w:pPr>
        <w:rPr>
          <w:iCs/>
        </w:rPr>
      </w:pPr>
      <w:r>
        <w:rPr>
          <w:iCs/>
        </w:rPr>
        <w:t>For the PCell or the PSCell, a</w:t>
      </w:r>
      <w:r w:rsidRPr="00A03E39">
        <w:rPr>
          <w:iCs/>
        </w:rPr>
        <w:t xml:space="preserve">fter </w:t>
      </w:r>
      <w:r w:rsidR="008B39D7">
        <w:rPr>
          <w:iCs/>
        </w:rPr>
        <w:t>28</w:t>
      </w:r>
      <w:r w:rsidR="008B39D7" w:rsidRPr="00A03E39">
        <w:rPr>
          <w:iCs/>
        </w:rPr>
        <w:t xml:space="preserve"> symbols from a last symbol of </w:t>
      </w:r>
      <w:r w:rsidR="008B39D7" w:rsidRPr="00A03E39">
        <w:t xml:space="preserve">a </w:t>
      </w:r>
      <w:r w:rsidR="008B39D7">
        <w:t xml:space="preserve">first PDCCH reception </w:t>
      </w:r>
      <w:r w:rsidR="008B39D7" w:rsidRPr="00A03E39">
        <w:t xml:space="preserve">in a search space set provided by </w:t>
      </w:r>
      <w:r w:rsidR="008B39D7" w:rsidRPr="00A03E39">
        <w:rPr>
          <w:i/>
          <w:iCs/>
        </w:rPr>
        <w:t>recoverySearchSpaceId</w:t>
      </w:r>
      <w:r w:rsidR="008B39D7" w:rsidRPr="00A03E39">
        <w:rPr>
          <w:iCs/>
        </w:rPr>
        <w:t xml:space="preserve"> </w:t>
      </w:r>
      <w:r w:rsidR="008B39D7">
        <w:t xml:space="preserve">for which the UE detects a </w:t>
      </w:r>
      <w:r w:rsidR="008B39D7" w:rsidRPr="00A03E39">
        <w:t xml:space="preserve">DCI format with CRC scrambled by C-RNTI or MCS-C-RNTI </w:t>
      </w:r>
      <w:r w:rsidR="008B39D7" w:rsidRPr="00A03E39">
        <w:rPr>
          <w:iCs/>
        </w:rPr>
        <w:t xml:space="preserve">and </w:t>
      </w:r>
      <w:r w:rsidR="008B39D7" w:rsidRPr="00A03E39">
        <w:t>until the</w:t>
      </w:r>
      <w:r w:rsidR="008B39D7">
        <w:t xml:space="preserve"> UE receives an activation command for </w:t>
      </w:r>
      <w:r w:rsidR="008B39D7" w:rsidRPr="00A03E39">
        <w:rPr>
          <w:i/>
        </w:rPr>
        <w:t>PUCCH-</w:t>
      </w:r>
      <w:r w:rsidR="00063DE7" w:rsidRPr="00A03E39">
        <w:rPr>
          <w:i/>
        </w:rPr>
        <w:t>Spatial</w:t>
      </w:r>
      <w:r w:rsidR="00063DE7">
        <w:rPr>
          <w:i/>
        </w:rPr>
        <w:t>R</w:t>
      </w:r>
      <w:r w:rsidR="00063DE7" w:rsidRPr="00A03E39">
        <w:rPr>
          <w:i/>
        </w:rPr>
        <w:t>elation</w:t>
      </w:r>
      <w:r w:rsidR="00063DE7">
        <w:rPr>
          <w:i/>
        </w:rPr>
        <w:t>I</w:t>
      </w:r>
      <w:r w:rsidR="00063DE7" w:rsidRPr="00A03E39">
        <w:rPr>
          <w:i/>
        </w:rPr>
        <w:t>nfo</w:t>
      </w:r>
      <w:r w:rsidR="00063DE7" w:rsidRPr="00A03E39">
        <w:t xml:space="preserve"> </w:t>
      </w:r>
      <w:r w:rsidR="008B39D7" w:rsidRPr="00C5127A">
        <w:t>[11, TS 38.321]</w:t>
      </w:r>
      <w:r w:rsidR="008B39D7">
        <w:t xml:space="preserve"> or is provided </w:t>
      </w:r>
      <w:r w:rsidR="008B39D7" w:rsidRPr="00A03E39">
        <w:rPr>
          <w:i/>
        </w:rPr>
        <w:t>PUCCH-</w:t>
      </w:r>
      <w:r w:rsidR="00063DE7" w:rsidRPr="00A03E39">
        <w:rPr>
          <w:i/>
        </w:rPr>
        <w:t>Spatial</w:t>
      </w:r>
      <w:r w:rsidR="00063DE7">
        <w:rPr>
          <w:i/>
        </w:rPr>
        <w:t>R</w:t>
      </w:r>
      <w:r w:rsidR="00063DE7" w:rsidRPr="00A03E39">
        <w:rPr>
          <w:i/>
        </w:rPr>
        <w:t>elation</w:t>
      </w:r>
      <w:r w:rsidR="00063DE7">
        <w:rPr>
          <w:i/>
        </w:rPr>
        <w:t>I</w:t>
      </w:r>
      <w:r w:rsidR="00063DE7" w:rsidRPr="00A03E39">
        <w:rPr>
          <w:i/>
        </w:rPr>
        <w:t>nfo</w:t>
      </w:r>
      <w:r w:rsidR="00063DE7" w:rsidRPr="00A03E39">
        <w:t xml:space="preserve"> </w:t>
      </w:r>
      <w:r w:rsidR="008B39D7">
        <w:t>for PUCCH resource(s)</w:t>
      </w:r>
      <w:r w:rsidR="008B39D7" w:rsidRPr="00A03E39">
        <w:t>, t</w:t>
      </w:r>
      <w:r w:rsidR="008B39D7" w:rsidRPr="00A03E39">
        <w:rPr>
          <w:iCs/>
        </w:rPr>
        <w:t xml:space="preserve">he UE transmits </w:t>
      </w:r>
      <w:r w:rsidR="008B39D7">
        <w:rPr>
          <w:iCs/>
        </w:rPr>
        <w:t xml:space="preserve">a </w:t>
      </w:r>
      <w:r w:rsidR="008B39D7" w:rsidRPr="00A03E39">
        <w:rPr>
          <w:iCs/>
        </w:rPr>
        <w:t xml:space="preserve">PUCCH </w:t>
      </w:r>
      <w:r w:rsidR="008B39D7">
        <w:rPr>
          <w:iCs/>
        </w:rPr>
        <w:t>on a same cell as the PRACH</w:t>
      </w:r>
      <w:r w:rsidR="008B39D7" w:rsidRPr="00A03E39">
        <w:rPr>
          <w:iCs/>
        </w:rPr>
        <w:t xml:space="preserve"> </w:t>
      </w:r>
      <w:r w:rsidR="008B39D7">
        <w:rPr>
          <w:iCs/>
        </w:rPr>
        <w:t xml:space="preserve">transmission </w:t>
      </w:r>
      <w:r w:rsidR="008B39D7" w:rsidRPr="00A03E39">
        <w:rPr>
          <w:iCs/>
        </w:rPr>
        <w:t xml:space="preserve">using </w:t>
      </w:r>
    </w:p>
    <w:p w14:paraId="3E8441B9" w14:textId="77777777" w:rsidR="008B39D7" w:rsidRPr="0084769C" w:rsidRDefault="008B39D7" w:rsidP="008B39D7">
      <w:pPr>
        <w:pStyle w:val="B1"/>
      </w:pPr>
      <w:r w:rsidRPr="0084769C">
        <w:t>-</w:t>
      </w:r>
      <w:r w:rsidRPr="0084769C">
        <w:tab/>
      </w:r>
      <w:r w:rsidRPr="0084769C">
        <w:rPr>
          <w:iCs/>
        </w:rPr>
        <w:t xml:space="preserve">a </w:t>
      </w:r>
      <w:r w:rsidRPr="0084769C">
        <w:t xml:space="preserve">same spatial filter as for the </w:t>
      </w:r>
      <w:r>
        <w:rPr>
          <w:lang w:val="en-US"/>
        </w:rPr>
        <w:t xml:space="preserve">last </w:t>
      </w:r>
      <w:r w:rsidRPr="0084769C">
        <w:t>PRACH transmission</w:t>
      </w:r>
    </w:p>
    <w:p w14:paraId="72DA39DC" w14:textId="29A1FCA7" w:rsidR="008B39D7" w:rsidRDefault="008B39D7">
      <w:pPr>
        <w:pStyle w:val="B1"/>
        <w:rPr>
          <w:lang w:val="en-US"/>
        </w:rPr>
      </w:pPr>
      <w:r w:rsidRPr="0084769C">
        <w:t>-</w:t>
      </w:r>
      <w:r w:rsidRPr="0084769C">
        <w:tab/>
      </w:r>
      <w:r w:rsidRPr="0084769C">
        <w:rPr>
          <w:iCs/>
        </w:rPr>
        <w:t xml:space="preserve">a </w:t>
      </w:r>
      <w:r w:rsidRPr="0084769C">
        <w:rPr>
          <w:lang w:val="en-US"/>
        </w:rPr>
        <w:t xml:space="preserve">power determined as described </w:t>
      </w:r>
      <w:r w:rsidR="006F5F9E">
        <w:rPr>
          <w:lang w:val="en-US"/>
        </w:rPr>
        <w:t>in clause</w:t>
      </w:r>
      <w:r w:rsidRPr="0084769C">
        <w:rPr>
          <w:lang w:val="en-US"/>
        </w:rPr>
        <w:t xml:space="preserve"> 7.2.1 with </w:t>
      </w:r>
      <m:oMath>
        <m:sSub>
          <m:sSubPr>
            <m:ctrlPr>
              <w:rPr>
                <w:rFonts w:ascii="Cambria Math" w:hAnsi="Cambria Math"/>
                <w:i/>
                <w:lang w:val="en-GB"/>
              </w:rPr>
            </m:ctrlPr>
          </m:sSubPr>
          <m:e>
            <m:r>
              <w:rPr>
                <w:rFonts w:ascii="Cambria Math" w:hAnsi="Cambria Math"/>
              </w:rPr>
              <m:t>q</m:t>
            </m:r>
          </m:e>
          <m:sub>
            <m:r>
              <w:rPr>
                <w:rFonts w:ascii="Cambria Math" w:hAnsi="Cambria Math"/>
              </w:rPr>
              <m:t>u</m:t>
            </m:r>
          </m:sub>
        </m:sSub>
        <m:r>
          <w:rPr>
            <w:rFonts w:ascii="Cambria Math" w:hAnsi="Cambria Math"/>
          </w:rPr>
          <m:t>=0</m:t>
        </m:r>
      </m:oMath>
      <w:r w:rsidR="008E4458" w:rsidRPr="00F415B1">
        <w:rPr>
          <w:lang w:val="en-US"/>
        </w:rPr>
        <w:t>,</w:t>
      </w:r>
      <w:r w:rsidRPr="00A03E39">
        <w:rPr>
          <w:lang w:val="en-US"/>
        </w:rPr>
        <w:t xml:space="preserve"> </w:t>
      </w:r>
      <m:oMath>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rPr>
                  <m:t>q</m:t>
                </m:r>
              </m:e>
              <m:sub>
                <m:r>
                  <w:rPr>
                    <w:rFonts w:ascii="Cambria Math" w:hAnsi="Cambria Math"/>
                  </w:rPr>
                  <m:t>d</m:t>
                </m:r>
              </m:sub>
            </m:sSub>
            <m:r>
              <w:rPr>
                <w:rFonts w:ascii="Cambria Math" w:hAnsi="Cambria Math"/>
              </w:rPr>
              <m:t>=q</m:t>
            </m:r>
          </m:e>
          <m:sub>
            <m:r>
              <m:rPr>
                <m:sty m:val="p"/>
              </m:rPr>
              <w:rPr>
                <w:rFonts w:ascii="Cambria Math" w:hAnsi="Cambria Math"/>
              </w:rPr>
              <m:t>new</m:t>
            </m:r>
          </m:sub>
        </m:sSub>
      </m:oMath>
      <w:r w:rsidRPr="00A03E39">
        <w:rPr>
          <w:lang w:val="en-US"/>
        </w:rPr>
        <w:t xml:space="preserve">, and </w:t>
      </w:r>
      <m:oMath>
        <m:r>
          <w:rPr>
            <w:rFonts w:ascii="Cambria Math" w:hAnsi="Cambria Math"/>
            <w:lang w:val="en-GB"/>
          </w:rPr>
          <m:t>l</m:t>
        </m:r>
        <m:r>
          <w:rPr>
            <w:rFonts w:ascii="Cambria Math" w:hAnsi="Cambria Math"/>
          </w:rPr>
          <m:t>=0</m:t>
        </m:r>
      </m:oMath>
      <w:r w:rsidRPr="00A03E39">
        <w:rPr>
          <w:lang w:val="en-US"/>
        </w:rPr>
        <w:t xml:space="preserve"> </w:t>
      </w:r>
    </w:p>
    <w:p w14:paraId="38EA9D17" w14:textId="32CCEAC8" w:rsidR="008B39D7" w:rsidRDefault="00E50667" w:rsidP="008B39D7">
      <w:pPr>
        <w:rPr>
          <w:iCs/>
          <w:lang w:eastAsia="ja-JP"/>
        </w:rPr>
      </w:pPr>
      <w:r>
        <w:rPr>
          <w:iCs/>
          <w:lang w:eastAsia="ja-JP"/>
        </w:rPr>
        <w:t>For the PCell or the PSCell</w:t>
      </w:r>
      <w:r w:rsidR="008E4458" w:rsidRPr="00E741DB">
        <w:rPr>
          <w:iCs/>
        </w:rPr>
        <w:t xml:space="preserve"> </w:t>
      </w:r>
      <w:r w:rsidR="008E4458">
        <w:rPr>
          <w:iCs/>
        </w:rPr>
        <w:t xml:space="preserve">and for sets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m:t>
            </m:r>
          </m:sub>
        </m:sSub>
      </m:oMath>
      <w:r w:rsidR="008E4458">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m:t>
            </m:r>
          </m:sub>
        </m:sSub>
      </m:oMath>
      <w:r>
        <w:rPr>
          <w:iCs/>
          <w:lang w:eastAsia="ja-JP"/>
        </w:rPr>
        <w:t>, after</w:t>
      </w:r>
      <w:r>
        <w:rPr>
          <w:iCs/>
          <w:lang w:val="en-US" w:eastAsia="ja-JP"/>
        </w:rPr>
        <w:t xml:space="preserve"> </w:t>
      </w:r>
      <w:r w:rsidR="001F37F3">
        <w:rPr>
          <w:iCs/>
          <w:lang w:eastAsia="ja-JP"/>
        </w:rPr>
        <w:t>28</w:t>
      </w:r>
      <w:r w:rsidR="008B39D7" w:rsidRPr="00265678">
        <w:rPr>
          <w:iCs/>
          <w:lang w:eastAsia="ja-JP"/>
        </w:rPr>
        <w:t xml:space="preserve"> symbols from a last symbol of a first PDCCH reception in a search space set provided by </w:t>
      </w:r>
      <w:r w:rsidR="008B39D7" w:rsidRPr="00E1346A">
        <w:rPr>
          <w:i/>
          <w:iCs/>
          <w:lang w:eastAsia="ja-JP"/>
        </w:rPr>
        <w:t>recoverySearchSpaceId</w:t>
      </w:r>
      <w:r w:rsidR="008B39D7">
        <w:rPr>
          <w:iCs/>
          <w:lang w:eastAsia="ja-JP"/>
        </w:rPr>
        <w:t xml:space="preserve"> where a</w:t>
      </w:r>
      <w:r w:rsidR="008B39D7" w:rsidRPr="00265678">
        <w:rPr>
          <w:iCs/>
          <w:lang w:eastAsia="ja-JP"/>
        </w:rPr>
        <w:t xml:space="preserve"> UE detects a DCI format with CRC scrambled by C-RNTI or MCS-C-RNTI,</w:t>
      </w:r>
      <w:r w:rsidR="008B39D7">
        <w:rPr>
          <w:iCs/>
          <w:lang w:val="en-US" w:eastAsia="ja-JP"/>
        </w:rPr>
        <w:t xml:space="preserve"> </w:t>
      </w:r>
      <w:r w:rsidR="008B39D7">
        <w:rPr>
          <w:iCs/>
          <w:lang w:eastAsia="ja-JP"/>
        </w:rPr>
        <w:t>the UE assumes</w:t>
      </w:r>
      <w:r w:rsidR="008B39D7" w:rsidRPr="00265678">
        <w:rPr>
          <w:iCs/>
          <w:lang w:eastAsia="ja-JP"/>
        </w:rPr>
        <w:t xml:space="preserve"> same antenna port quasi-collocation parameters as the ones associated with index </w:t>
      </w:r>
      <m:oMath>
        <m:sSub>
          <m:sSubPr>
            <m:ctrlPr>
              <w:rPr>
                <w:rFonts w:ascii="Cambria Math" w:hAnsi="Cambria Math"/>
                <w:i/>
              </w:rPr>
            </m:ctrlPr>
          </m:sSubPr>
          <m:e>
            <m:r>
              <w:rPr>
                <w:rFonts w:ascii="Cambria Math" w:hAnsi="Cambria Math"/>
              </w:rPr>
              <m:t>q</m:t>
            </m:r>
          </m:e>
          <m:sub>
            <m:r>
              <m:rPr>
                <m:sty m:val="p"/>
              </m:rPr>
              <w:rPr>
                <w:rFonts w:ascii="Cambria Math" w:hAnsi="Cambria Math"/>
              </w:rPr>
              <m:t>new</m:t>
            </m:r>
          </m:sub>
        </m:sSub>
      </m:oMath>
      <w:r w:rsidR="008B39D7" w:rsidRPr="00265678">
        <w:rPr>
          <w:iCs/>
          <w:lang w:eastAsia="ja-JP"/>
        </w:rPr>
        <w:t xml:space="preserve"> for PDCCH monitoring in </w:t>
      </w:r>
      <w:r w:rsidR="008B39D7">
        <w:rPr>
          <w:iCs/>
          <w:lang w:val="en-US" w:eastAsia="ja-JP"/>
        </w:rPr>
        <w:t xml:space="preserve">a </w:t>
      </w:r>
      <w:r w:rsidR="008B39D7" w:rsidRPr="00265678">
        <w:rPr>
          <w:iCs/>
          <w:lang w:eastAsia="ja-JP"/>
        </w:rPr>
        <w:t xml:space="preserve">CORESET </w:t>
      </w:r>
      <w:r w:rsidR="008B39D7">
        <w:rPr>
          <w:iCs/>
          <w:lang w:val="en-US" w:eastAsia="ja-JP"/>
        </w:rPr>
        <w:t xml:space="preserve">with index </w:t>
      </w:r>
      <w:r w:rsidR="008B39D7" w:rsidRPr="00265678">
        <w:rPr>
          <w:iCs/>
          <w:lang w:eastAsia="ja-JP"/>
        </w:rPr>
        <w:t>0.</w:t>
      </w:r>
    </w:p>
    <w:p w14:paraId="5377E1C3" w14:textId="11FCD3D1" w:rsidR="008E4458" w:rsidRPr="00F415B1" w:rsidRDefault="008E4458" w:rsidP="008E4458">
      <w:pPr>
        <w:tabs>
          <w:tab w:val="left" w:pos="2116"/>
        </w:tabs>
      </w:pPr>
      <w:r w:rsidRPr="00F415B1">
        <w:rPr>
          <w:iCs/>
        </w:rPr>
        <w:t xml:space="preserve">If a UE is provided </w:t>
      </w:r>
      <w:r w:rsidR="00273C9F">
        <w:rPr>
          <w:rFonts w:cs="Times"/>
          <w:i/>
          <w:szCs w:val="18"/>
          <w:lang w:eastAsia="zh-CN"/>
        </w:rPr>
        <w:t>dl-OrJoint</w:t>
      </w:r>
      <w:r w:rsidR="00273C9F" w:rsidRPr="00997ADD">
        <w:rPr>
          <w:rFonts w:cs="Times"/>
          <w:i/>
          <w:szCs w:val="18"/>
          <w:lang w:eastAsia="zh-CN"/>
        </w:rPr>
        <w:t>TCI</w:t>
      </w:r>
      <w:r w:rsidR="00273C9F">
        <w:rPr>
          <w:rFonts w:cs="Times"/>
          <w:i/>
          <w:szCs w:val="18"/>
          <w:lang w:val="en-US" w:eastAsia="zh-CN"/>
        </w:rPr>
        <w:t>-</w:t>
      </w:r>
      <w:r w:rsidR="00273C9F" w:rsidRPr="00997ADD">
        <w:rPr>
          <w:rFonts w:cs="Times"/>
          <w:i/>
          <w:szCs w:val="18"/>
          <w:lang w:eastAsia="zh-CN"/>
        </w:rPr>
        <w:t>StateList</w:t>
      </w:r>
      <w:r w:rsidR="00273C9F">
        <w:rPr>
          <w:rFonts w:cs="Times"/>
          <w:iCs/>
          <w:szCs w:val="18"/>
          <w:lang w:eastAsia="zh-CN"/>
        </w:rPr>
        <w:t xml:space="preserve"> </w:t>
      </w:r>
      <w:r w:rsidR="00273C9F" w:rsidRPr="00037243">
        <w:rPr>
          <w:rFonts w:cs="Times"/>
          <w:iCs/>
          <w:szCs w:val="18"/>
          <w:lang w:val="en-US" w:eastAsia="zh-CN"/>
        </w:rPr>
        <w:t>or</w:t>
      </w:r>
      <w:r w:rsidR="00273C9F" w:rsidRPr="00037243">
        <w:rPr>
          <w:lang w:val="en-US"/>
        </w:rPr>
        <w:t xml:space="preserve"> </w:t>
      </w:r>
      <w:r w:rsidR="009D05BB" w:rsidRPr="00F55553">
        <w:rPr>
          <w:rFonts w:hint="eastAsia"/>
          <w:i/>
          <w:iCs/>
          <w:lang w:eastAsia="zh-CN"/>
        </w:rPr>
        <w:t>ul</w:t>
      </w:r>
      <w:r w:rsidR="009D05BB" w:rsidRPr="00F55553">
        <w:rPr>
          <w:i/>
          <w:iCs/>
        </w:rPr>
        <w:t>-TCI-StateList</w:t>
      </w:r>
      <w:r>
        <w:rPr>
          <w:iCs/>
        </w:rPr>
        <w:t xml:space="preserve"> </w:t>
      </w:r>
      <w:r w:rsidR="003A4EE7">
        <w:rPr>
          <w:iCs/>
        </w:rPr>
        <w:t>and is indicated one or two</w:t>
      </w:r>
      <w:r w:rsidRPr="00F415B1">
        <w:rPr>
          <w:iCs/>
        </w:rPr>
        <w:t xml:space="preserve"> TCI state</w:t>
      </w:r>
      <w:r w:rsidR="003A4EE7">
        <w:rPr>
          <w:iCs/>
        </w:rPr>
        <w:t>(s)</w:t>
      </w:r>
      <w:r w:rsidRPr="00F415B1">
        <w:rPr>
          <w:iCs/>
        </w:rPr>
        <w:t xml:space="preserve"> for the PCell or the PSCell [6, TS 38.214]</w:t>
      </w:r>
      <w:r w:rsidR="003A4EE7">
        <w:rPr>
          <w:iCs/>
        </w:rPr>
        <w:t xml:space="preserve"> associated with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m:t>
            </m:r>
          </m:sub>
        </m:sSub>
      </m:oMath>
      <w:r w:rsidR="003A4EE7">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m:t>
            </m:r>
          </m:sub>
        </m:sSub>
      </m:oMath>
      <w:r>
        <w:rPr>
          <w:iCs/>
        </w:rPr>
        <w:t xml:space="preserve">, </w:t>
      </w:r>
      <w:r w:rsidRPr="00F415B1">
        <w:rPr>
          <w:iCs/>
        </w:rPr>
        <w:t xml:space="preserve">after </w:t>
      </w:r>
      <w:r w:rsidR="00E86310">
        <w:rPr>
          <w:iCs/>
        </w:rPr>
        <w:t>28</w:t>
      </w:r>
      <w:r w:rsidRPr="00F415B1">
        <w:rPr>
          <w:iCs/>
        </w:rPr>
        <w:t xml:space="preserve"> symbols from a last symbol of </w:t>
      </w:r>
      <w:r w:rsidRPr="00F415B1">
        <w:t xml:space="preserve">a first PDCCH reception in a search space set provided by </w:t>
      </w:r>
      <w:r w:rsidRPr="00F415B1">
        <w:rPr>
          <w:i/>
          <w:iCs/>
        </w:rPr>
        <w:t>recoverySearchSpaceId</w:t>
      </w:r>
      <w:r w:rsidRPr="00F415B1">
        <w:rPr>
          <w:iCs/>
        </w:rPr>
        <w:t xml:space="preserve"> </w:t>
      </w:r>
      <w:r w:rsidRPr="00F415B1">
        <w:t>where the UE detects a DCI format with CRC scrambled by C-RNTI or MCS-C-RNTI, the UE</w:t>
      </w:r>
    </w:p>
    <w:p w14:paraId="391CD0CE" w14:textId="18048C29" w:rsidR="008E4458" w:rsidRPr="00F415B1" w:rsidRDefault="008E4458" w:rsidP="00BF5B42">
      <w:pPr>
        <w:pStyle w:val="B1"/>
        <w:rPr>
          <w:iCs/>
        </w:rPr>
      </w:pPr>
      <w:r>
        <w:rPr>
          <w:lang w:val="en-US"/>
        </w:rPr>
        <w:t>-</w:t>
      </w:r>
      <w:r>
        <w:rPr>
          <w:lang w:val="en-US"/>
        </w:rPr>
        <w:tab/>
        <w:t xml:space="preserve">if </w:t>
      </w:r>
      <w:r w:rsidR="00C92415" w:rsidRPr="009559F5">
        <w:rPr>
          <w:i/>
          <w:szCs w:val="22"/>
          <w:lang w:eastAsia="sv-SE"/>
        </w:rPr>
        <w:t>SSB-MTC-AdditionalPCI</w:t>
      </w:r>
      <w:r>
        <w:rPr>
          <w:lang w:val="en-US"/>
        </w:rPr>
        <w:t xml:space="preserve"> is not provided, </w:t>
      </w:r>
      <w:r w:rsidRPr="00F415B1">
        <w:t xml:space="preserve">monitors PDCCH in all CORESETs, and receives PDSCH and aperiodic CSI-RS resource </w:t>
      </w:r>
      <w:r w:rsidR="00E86310" w:rsidRPr="00F415B1">
        <w:t>in</w:t>
      </w:r>
      <w:r w:rsidRPr="00F415B1">
        <w:t xml:space="preserve"> a CSI-RS resource set</w:t>
      </w:r>
      <w:r>
        <w:t xml:space="preserve"> with same indicated TCI state as for the PDCCH and PDSCH</w:t>
      </w:r>
      <w:r w:rsidRPr="00F415B1">
        <w:t xml:space="preserve">, using </w:t>
      </w:r>
      <w:r w:rsidRPr="00F415B1">
        <w:rPr>
          <w:lang w:val="en-US"/>
        </w:rPr>
        <w:t xml:space="preserve">the </w:t>
      </w:r>
      <w:r w:rsidRPr="00F415B1">
        <w:rPr>
          <w:iCs/>
          <w:lang w:eastAsia="ja-JP"/>
        </w:rPr>
        <w:t xml:space="preserve">same antenna port quasi co-location parameters as the ones associated with the corresponding index </w:t>
      </w:r>
      <m:oMath>
        <m:sSub>
          <m:sSubPr>
            <m:ctrlPr>
              <w:rPr>
                <w:rFonts w:ascii="Cambria Math" w:hAnsi="Cambria Math"/>
                <w:i/>
                <w:iCs/>
              </w:rPr>
            </m:ctrlPr>
          </m:sSubPr>
          <m:e>
            <m:r>
              <w:rPr>
                <w:rFonts w:ascii="Cambria Math"/>
              </w:rPr>
              <m:t>q</m:t>
            </m:r>
          </m:e>
          <m:sub>
            <m:r>
              <m:rPr>
                <m:nor/>
              </m:rPr>
              <w:rPr>
                <w:rFonts w:ascii="Cambria Math"/>
                <w:iCs/>
              </w:rPr>
              <m:t>new</m:t>
            </m:r>
            <m:ctrlPr>
              <w:rPr>
                <w:rFonts w:ascii="Cambria Math" w:hAnsi="Cambria Math"/>
                <w:iCs/>
              </w:rPr>
            </m:ctrlPr>
          </m:sub>
        </m:sSub>
      </m:oMath>
      <w:r w:rsidRPr="00F415B1">
        <w:rPr>
          <w:iCs/>
        </w:rPr>
        <w:t>, if any</w:t>
      </w:r>
    </w:p>
    <w:p w14:paraId="0AB23284" w14:textId="77777777" w:rsidR="00E86310" w:rsidRPr="00846698" w:rsidRDefault="00E86310" w:rsidP="00E86310">
      <w:pPr>
        <w:pStyle w:val="B1"/>
        <w:rPr>
          <w:iCs/>
          <w:lang w:val="en-US"/>
        </w:rPr>
      </w:pPr>
      <w:r>
        <w:t>-</w:t>
      </w:r>
      <w:r>
        <w:tab/>
      </w:r>
      <w:r w:rsidRPr="00846698">
        <w:t>transmits PU</w:t>
      </w:r>
      <w:r w:rsidRPr="00846698">
        <w:rPr>
          <w:lang w:val="en-US"/>
        </w:rPr>
        <w:t>S</w:t>
      </w:r>
      <w:r w:rsidRPr="00846698">
        <w:t>CH, PU</w:t>
      </w:r>
      <w:r w:rsidRPr="00846698">
        <w:rPr>
          <w:lang w:val="en-US"/>
        </w:rPr>
        <w:t>C</w:t>
      </w:r>
      <w:r w:rsidRPr="00846698">
        <w:t>CH and SRS that uses a same spatial domain filter with same indicated TCI state as for the PU</w:t>
      </w:r>
      <w:r w:rsidRPr="00846698">
        <w:rPr>
          <w:lang w:val="en-US"/>
        </w:rPr>
        <w:t>S</w:t>
      </w:r>
      <w:r w:rsidRPr="00846698">
        <w:t>CH and the PU</w:t>
      </w:r>
      <w:r w:rsidRPr="00846698">
        <w:rPr>
          <w:lang w:val="en-US"/>
        </w:rPr>
        <w:t>C</w:t>
      </w:r>
      <w:r w:rsidRPr="00846698">
        <w:t xml:space="preserve">CH, using a same spatial domain filter as </w:t>
      </w:r>
      <w:r w:rsidRPr="00846698">
        <w:rPr>
          <w:iCs/>
        </w:rPr>
        <w:t>for the last PRACH transmission</w:t>
      </w:r>
      <w:r w:rsidRPr="00846698">
        <w:rPr>
          <w:iCs/>
          <w:lang w:val="en-US"/>
        </w:rPr>
        <w:t xml:space="preserve"> using the following parameters for determination of a corresponding power as described in clauses 7.1.1, 7.2.1, and 7.3.1 </w:t>
      </w:r>
    </w:p>
    <w:p w14:paraId="7148988A" w14:textId="77777777" w:rsidR="00E86310" w:rsidRPr="00846698" w:rsidRDefault="00E86310" w:rsidP="00E86310">
      <w:pPr>
        <w:pStyle w:val="B2"/>
      </w:pPr>
      <w:r w:rsidRPr="00846698">
        <w:t>-</w:t>
      </w:r>
      <w:r w:rsidRPr="00846698">
        <w:tab/>
        <w:t>the RS index</w:t>
      </w:r>
      <w:r w:rsidRPr="00846698">
        <w:rPr>
          <w:lang w:eastAsia="zh-CN"/>
        </w:rPr>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=q</m:t>
            </m:r>
          </m:e>
          <m:sub>
            <m:r>
              <m:rPr>
                <m:sty m:val="p"/>
              </m:rPr>
              <w:rPr>
                <w:rFonts w:ascii="Cambria Math" w:hAnsi="Cambria Math"/>
              </w:rPr>
              <m:t>new</m:t>
            </m:r>
          </m:sub>
        </m:sSub>
      </m:oMath>
      <w:r w:rsidRPr="00846698">
        <w:t xml:space="preserve"> for obtaining the downlink pathloss estimate</w:t>
      </w:r>
    </w:p>
    <w:p w14:paraId="0910D4E1" w14:textId="7291A165" w:rsidR="00E86310" w:rsidRPr="00846698" w:rsidRDefault="00E86310" w:rsidP="00E86310">
      <w:pPr>
        <w:pStyle w:val="B2"/>
        <w:rPr>
          <w:b/>
          <w:i/>
        </w:rPr>
      </w:pPr>
      <w:r w:rsidRPr="00846698">
        <w:t>-</w:t>
      </w:r>
      <w:r w:rsidRPr="00846698">
        <w:tab/>
      </w:r>
      <w:r w:rsidRPr="00846698">
        <w:rPr>
          <w:lang w:eastAsia="ko-KR"/>
        </w:rPr>
        <w:t xml:space="preserve">the values of </w:t>
      </w:r>
      <m:oMath>
        <m:sSub>
          <m:sSubPr>
            <m:ctrlPr>
              <w:rPr>
                <w:rFonts w:ascii="Cambria Math" w:hAnsi="Cambria Math"/>
              </w:rPr>
            </m:ctrlPr>
          </m:sSubPr>
          <m:e>
            <m:r>
              <w:rPr>
                <w:rFonts w:ascii="Cambria Math" w:hAnsi="Cambria Math"/>
              </w:rPr>
              <m:t>P</m:t>
            </m:r>
          </m:e>
          <m:sub>
            <m:r>
              <m:rPr>
                <m:nor/>
              </m:rPr>
              <m:t>O_UE_PUSCH</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Pr="00846698">
        <w:t xml:space="preserve">, </w:t>
      </w:r>
      <m:oMath>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Pr="00846698">
        <w:t xml:space="preserve">, and the PUSCH power control adjustment state </w:t>
      </w:r>
      <m:oMath>
        <m:r>
          <w:rPr>
            <w:rFonts w:ascii="Cambria Math" w:hAnsi="Cambria Math"/>
          </w:rPr>
          <m:t>l</m:t>
        </m:r>
      </m:oMath>
      <w:r w:rsidRPr="00846698">
        <w:t xml:space="preserve"> provided by </w:t>
      </w:r>
      <w:r w:rsidR="00273C9F" w:rsidRPr="00CE7415">
        <w:rPr>
          <w:i/>
          <w:noProof/>
        </w:rPr>
        <w:t>p0AlphaSetforPUSCH</w:t>
      </w:r>
      <w:r w:rsidRPr="00846698">
        <w:t xml:space="preserve"> associated </w:t>
      </w:r>
      <w:r w:rsidRPr="00846698">
        <w:rPr>
          <w:lang w:eastAsia="zh-CN"/>
        </w:rPr>
        <w:t xml:space="preserve">with the </w:t>
      </w:r>
      <w:r w:rsidRPr="00846698">
        <w:rPr>
          <w:lang w:val="en-US" w:eastAsia="zh-CN"/>
        </w:rPr>
        <w:t>smallest</w:t>
      </w:r>
      <w:r w:rsidRPr="00846698">
        <w:rPr>
          <w:lang w:eastAsia="zh-CN"/>
        </w:rPr>
        <w:t xml:space="preserve"> value of </w:t>
      </w:r>
      <w:r w:rsidRPr="00846698">
        <w:rPr>
          <w:i/>
        </w:rPr>
        <w:t>ul-powercontrolId</w:t>
      </w:r>
      <w:r w:rsidRPr="00846698">
        <w:rPr>
          <w:lang w:eastAsia="zh-CN"/>
        </w:rPr>
        <w:t xml:space="preserve"> for the </w:t>
      </w:r>
      <w:r w:rsidRPr="00846698">
        <w:t>PCell or the PSCell</w:t>
      </w:r>
    </w:p>
    <w:p w14:paraId="65C38132" w14:textId="476D177F" w:rsidR="00E86310" w:rsidRPr="00846698" w:rsidRDefault="00E86310" w:rsidP="00E86310">
      <w:pPr>
        <w:pStyle w:val="B2"/>
        <w:rPr>
          <w:lang w:eastAsia="zh-CN"/>
        </w:rPr>
      </w:pPr>
      <w:r w:rsidRPr="00846698">
        <w:t>-</w:t>
      </w:r>
      <w:r w:rsidRPr="00846698">
        <w:tab/>
      </w:r>
      <w:r w:rsidRPr="00846698">
        <w:rPr>
          <w:lang w:eastAsia="ko-KR"/>
        </w:rPr>
        <w:t xml:space="preserve">the value of </w:t>
      </w:r>
      <m:oMath>
        <m:sSub>
          <m:sSubPr>
            <m:ctrlPr>
              <w:rPr>
                <w:rFonts w:ascii="Cambria Math" w:hAnsi="Cambria Math"/>
                <w:iCs/>
              </w:rPr>
            </m:ctrlPr>
          </m:sSubPr>
          <m:e>
            <m:r>
              <w:rPr>
                <w:rFonts w:ascii="Cambria Math" w:hAnsi="Cambria Math"/>
              </w:rPr>
              <m:t>P</m:t>
            </m:r>
          </m:e>
          <m:sub>
            <m:r>
              <m:rPr>
                <m:nor/>
              </m:rPr>
              <w:rPr>
                <w:rFonts w:ascii="Cambria Math"/>
                <w:iCs/>
                <w:lang w:val="en-US"/>
              </w:rPr>
              <m:t>O_UE_P</m:t>
            </m:r>
            <m:r>
              <m:rPr>
                <m:nor/>
              </m:rPr>
              <w:rPr>
                <w:rFonts w:ascii="Cambria Math"/>
                <w:iCs/>
              </w:rPr>
              <m:t>U</m:t>
            </m:r>
            <m:r>
              <m:rPr>
                <m:nor/>
              </m:rPr>
              <w:rPr>
                <w:rFonts w:ascii="Cambria Math"/>
                <w:iCs/>
                <w:lang w:val="en-US"/>
              </w:rPr>
              <m:t>C</m:t>
            </m:r>
            <m:r>
              <m:rPr>
                <m:nor/>
              </m:rPr>
              <w:rPr>
                <w:rFonts w:ascii="Cambria Math"/>
                <w:iCs/>
              </w:rPr>
              <m:t>CH</m:t>
            </m:r>
          </m:sub>
        </m:sSub>
        <m:d>
          <m:dPr>
            <m:ctrlPr>
              <w:rPr>
                <w:rFonts w:ascii="Cambria Math" w:hAnsi="Cambria Math"/>
              </w:rPr>
            </m:ctrlPr>
          </m:dPr>
          <m:e>
            <m:sSub>
              <m:sSubPr>
                <m:ctrlPr>
                  <w:rPr>
                    <w:rFonts w:ascii="Cambria Math" w:hAnsi="Cambria Math"/>
                    <w:iCs/>
                  </w:rPr>
                </m:ctrlPr>
              </m:sSubPr>
              <m:e>
                <m:r>
                  <w:rPr>
                    <w:rFonts w:ascii="Cambria Math" w:hAnsi="Cambria Math"/>
                  </w:rPr>
                  <m:t>q</m:t>
                </m:r>
              </m:e>
              <m:sub>
                <m:r>
                  <w:rPr>
                    <w:rFonts w:ascii="Cambria Math"/>
                  </w:rPr>
                  <m:t>u</m:t>
                </m:r>
              </m:sub>
            </m:sSub>
          </m:e>
        </m:d>
      </m:oMath>
      <w:r w:rsidRPr="00846698">
        <w:t xml:space="preserve"> and the PU</w:t>
      </w:r>
      <w:r w:rsidRPr="00846698">
        <w:rPr>
          <w:lang w:val="en-US"/>
        </w:rPr>
        <w:t>C</w:t>
      </w:r>
      <w:r w:rsidRPr="00846698">
        <w:t xml:space="preserve">CH power control adjustment state </w:t>
      </w:r>
      <m:oMath>
        <m:r>
          <w:rPr>
            <w:rFonts w:ascii="Cambria Math" w:hAnsi="Cambria Math"/>
          </w:rPr>
          <m:t>l</m:t>
        </m:r>
      </m:oMath>
      <w:r w:rsidRPr="00846698">
        <w:t xml:space="preserve"> provided by </w:t>
      </w:r>
      <w:r w:rsidR="00273C9F" w:rsidRPr="00CE7415">
        <w:rPr>
          <w:i/>
          <w:noProof/>
        </w:rPr>
        <w:t>p0AlphaSetforPU</w:t>
      </w:r>
      <w:r w:rsidR="00273C9F">
        <w:rPr>
          <w:i/>
          <w:noProof/>
          <w:lang w:val="en-GB"/>
        </w:rPr>
        <w:t>C</w:t>
      </w:r>
      <w:r w:rsidR="00273C9F" w:rsidRPr="00CE7415">
        <w:rPr>
          <w:i/>
          <w:noProof/>
        </w:rPr>
        <w:t>CH</w:t>
      </w:r>
      <w:r w:rsidRPr="00846698">
        <w:t xml:space="preserve"> associated </w:t>
      </w:r>
      <w:r w:rsidRPr="00846698">
        <w:rPr>
          <w:lang w:eastAsia="zh-CN"/>
        </w:rPr>
        <w:t xml:space="preserve">with the </w:t>
      </w:r>
      <w:r w:rsidRPr="00846698">
        <w:rPr>
          <w:lang w:val="en-US" w:eastAsia="zh-CN"/>
        </w:rPr>
        <w:t>smallest</w:t>
      </w:r>
      <w:r w:rsidRPr="00846698">
        <w:rPr>
          <w:lang w:eastAsia="zh-CN"/>
        </w:rPr>
        <w:t xml:space="preserve"> value of </w:t>
      </w:r>
      <w:r w:rsidRPr="00846698">
        <w:rPr>
          <w:i/>
        </w:rPr>
        <w:t>ul-powercontrolId</w:t>
      </w:r>
      <w:r w:rsidRPr="00846698">
        <w:rPr>
          <w:lang w:eastAsia="zh-CN"/>
        </w:rPr>
        <w:t xml:space="preserve"> for the </w:t>
      </w:r>
      <w:r w:rsidRPr="00846698">
        <w:t xml:space="preserve">PCell or the PSCell </w:t>
      </w:r>
    </w:p>
    <w:p w14:paraId="1840439E" w14:textId="568F764D" w:rsidR="00E86310" w:rsidRPr="00846698" w:rsidRDefault="00E86310" w:rsidP="00E86310">
      <w:pPr>
        <w:pStyle w:val="B2"/>
        <w:rPr>
          <w:bCs/>
        </w:rPr>
      </w:pPr>
      <w:r w:rsidRPr="00846698">
        <w:t>-</w:t>
      </w:r>
      <w:r w:rsidRPr="00846698">
        <w:tab/>
      </w:r>
      <w:r w:rsidRPr="00846698">
        <w:rPr>
          <w:lang w:eastAsia="ko-KR"/>
        </w:rPr>
        <w:t xml:space="preserve">the values of </w:t>
      </w:r>
      <m:oMath>
        <m:sSub>
          <m:sSubPr>
            <m:ctrlPr>
              <w:rPr>
                <w:rFonts w:ascii="Cambria Math" w:hAnsi="Cambria Math"/>
                <w:iCs/>
              </w:rPr>
            </m:ctrlPr>
          </m:sSubPr>
          <m:e>
            <m:r>
              <w:rPr>
                <w:rFonts w:ascii="Cambria Math" w:hAnsi="Cambria Math"/>
              </w:rPr>
              <m:t>P</m:t>
            </m:r>
          </m:e>
          <m:sub>
            <m:r>
              <m:rPr>
                <m:nor/>
              </m:rPr>
              <w:rPr>
                <w:rFonts w:ascii="Cambria Math"/>
                <w:iCs/>
              </w:rPr>
              <m:t>O_UE_SRS</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sSub>
              <m:sSubPr>
                <m:ctrlPr>
                  <w:rPr>
                    <w:rFonts w:ascii="Cambria Math" w:hAnsi="Cambria Math"/>
                    <w:iCs/>
                  </w:rPr>
                </m:ctrlPr>
              </m:sSubPr>
              <m:e>
                <m:r>
                  <w:rPr>
                    <w:rFonts w:ascii="Cambria Math" w:hAnsi="Cambria Math"/>
                  </w:rPr>
                  <m:t>q</m:t>
                </m:r>
              </m:e>
              <m:sub>
                <m:r>
                  <w:rPr>
                    <w:rFonts w:ascii="Cambria Math"/>
                  </w:rPr>
                  <m:t>s</m:t>
                </m:r>
              </m:sub>
            </m:sSub>
          </m:e>
        </m:d>
      </m:oMath>
      <w:r w:rsidRPr="00846698">
        <w:t xml:space="preserve">, </w:t>
      </w:r>
      <m:oMath>
        <m:sSub>
          <m:sSubPr>
            <m:ctrlPr>
              <w:rPr>
                <w:rFonts w:ascii="Cambria Math" w:hAnsi="Cambria Math"/>
              </w:rPr>
            </m:ctrlPr>
          </m:sSubPr>
          <m:e>
            <m:r>
              <w:rPr>
                <w:rFonts w:ascii="Cambria Math" w:hAnsi="Cambria Math"/>
              </w:rPr>
              <m:t>α</m:t>
            </m:r>
          </m:e>
          <m:sub>
            <m:r>
              <m:rPr>
                <m:sty m:val="p"/>
              </m:rPr>
              <w:rPr>
                <w:rFonts w:ascii="Cambria Math" w:hAnsi="Cambria Math"/>
              </w:rPr>
              <m:t>SRS</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s</m:t>
                </m:r>
              </m:sub>
            </m:sSub>
          </m:e>
        </m:d>
      </m:oMath>
      <w:r w:rsidRPr="00846698">
        <w:t xml:space="preserve">, and the </w:t>
      </w:r>
      <w:r w:rsidRPr="00846698">
        <w:rPr>
          <w:lang w:val="en-US"/>
        </w:rPr>
        <w:t>SRS</w:t>
      </w:r>
      <w:r w:rsidRPr="00846698">
        <w:t xml:space="preserve"> power control adjustment state </w:t>
      </w:r>
      <m:oMath>
        <m:r>
          <w:rPr>
            <w:rFonts w:ascii="Cambria Math" w:hAnsi="Cambria Math"/>
          </w:rPr>
          <m:t>l</m:t>
        </m:r>
      </m:oMath>
      <w:r w:rsidRPr="00846698">
        <w:t xml:space="preserve"> provided by </w:t>
      </w:r>
      <w:r w:rsidR="00273C9F">
        <w:rPr>
          <w:i/>
          <w:noProof/>
        </w:rPr>
        <w:t>p0AlphaSetforSRS</w:t>
      </w:r>
      <w:r w:rsidRPr="00846698">
        <w:t xml:space="preserve"> associated </w:t>
      </w:r>
      <w:r w:rsidRPr="00846698">
        <w:rPr>
          <w:lang w:eastAsia="zh-CN"/>
        </w:rPr>
        <w:t xml:space="preserve">with the </w:t>
      </w:r>
      <w:r w:rsidRPr="00846698">
        <w:rPr>
          <w:lang w:val="en-US" w:eastAsia="zh-CN"/>
        </w:rPr>
        <w:t>smallest</w:t>
      </w:r>
      <w:r w:rsidRPr="00846698">
        <w:rPr>
          <w:lang w:eastAsia="zh-CN"/>
        </w:rPr>
        <w:t xml:space="preserve"> value of </w:t>
      </w:r>
      <w:r w:rsidRPr="00846698">
        <w:rPr>
          <w:i/>
        </w:rPr>
        <w:t>ul-powercontrolId</w:t>
      </w:r>
      <w:r w:rsidRPr="00846698">
        <w:rPr>
          <w:lang w:eastAsia="zh-CN"/>
        </w:rPr>
        <w:t xml:space="preserve"> for the </w:t>
      </w:r>
      <w:r w:rsidRPr="00846698">
        <w:t>PCell or the PSCell</w:t>
      </w:r>
    </w:p>
    <w:p w14:paraId="72F288CF" w14:textId="1DD1DD2B" w:rsidR="008E4458" w:rsidRDefault="008E4458" w:rsidP="008E4458">
      <w:pPr>
        <w:tabs>
          <w:tab w:val="left" w:pos="2116"/>
        </w:tabs>
        <w:rPr>
          <w:iCs/>
          <w:lang w:eastAsia="zh-CN"/>
        </w:rPr>
      </w:pPr>
      <w:bookmarkStart w:id="137" w:name="_Hlk89107146"/>
      <w:r>
        <w:rPr>
          <w:iCs/>
        </w:rPr>
        <w:t xml:space="preserve">For the remaining of this clause, </w:t>
      </w:r>
      <w:r>
        <w:rPr>
          <w:lang w:eastAsia="ko-KR"/>
        </w:rPr>
        <w:t>if a</w:t>
      </w:r>
      <w:r w:rsidRPr="00F415B1">
        <w:rPr>
          <w:lang w:eastAsia="ko-KR"/>
        </w:rPr>
        <w:t xml:space="preserve"> PDCCH reception includes two PDCCH candidates from two linked search space sets based on </w:t>
      </w:r>
      <w:r w:rsidRPr="00F415B1">
        <w:rPr>
          <w:i/>
          <w:iCs/>
          <w:lang w:val="en-US"/>
        </w:rPr>
        <w:t>searchSpaceLinking</w:t>
      </w:r>
      <w:r w:rsidR="00C92415">
        <w:rPr>
          <w:i/>
          <w:iCs/>
          <w:lang w:val="en-US"/>
        </w:rPr>
        <w:t>Id</w:t>
      </w:r>
      <w:r w:rsidRPr="00F415B1">
        <w:rPr>
          <w:lang w:eastAsia="ko-KR"/>
        </w:rPr>
        <w:t xml:space="preserve">, as described in clause 10.1, the last symbol of the PDCCH reception </w:t>
      </w:r>
      <w:r w:rsidRPr="00F415B1">
        <w:rPr>
          <w:lang w:val="en-US" w:eastAsia="ko-KR"/>
        </w:rPr>
        <w:t>is</w:t>
      </w:r>
      <w:r w:rsidRPr="00F415B1">
        <w:rPr>
          <w:lang w:eastAsia="ko-KR"/>
        </w:rPr>
        <w:t xml:space="preserve"> the last symbol of the PDCCH candidate</w:t>
      </w:r>
      <w:r>
        <w:rPr>
          <w:lang w:eastAsia="ko-KR"/>
        </w:rPr>
        <w:t xml:space="preserve"> that ends later</w:t>
      </w:r>
      <w:r w:rsidRPr="00F415B1">
        <w:rPr>
          <w:lang w:eastAsia="ko-KR"/>
        </w:rPr>
        <w:t>.</w:t>
      </w:r>
      <w:r w:rsidRPr="00F415B1">
        <w:rPr>
          <w:rFonts w:cstheme="minorHAnsi"/>
          <w:lang w:val="en-US"/>
        </w:rPr>
        <w:t xml:space="preserve"> </w:t>
      </w:r>
      <w:r w:rsidRPr="00F415B1">
        <w:rPr>
          <w:lang w:eastAsia="ko-KR"/>
        </w:rPr>
        <w:t xml:space="preserve">The PDCCH reception includes the two PDCCH candidates also when </w:t>
      </w:r>
      <w:r w:rsidRPr="00F415B1">
        <w:rPr>
          <w:iCs/>
          <w:lang w:eastAsia="zh-CN"/>
        </w:rPr>
        <w:lastRenderedPageBreak/>
        <w:t>the UE is not required to monitor one of the two PDCCH candidates as described in clauses 10</w:t>
      </w:r>
      <w:r w:rsidR="00FF6F03">
        <w:rPr>
          <w:iCs/>
          <w:lang w:eastAsia="zh-CN"/>
        </w:rPr>
        <w:t xml:space="preserve"> </w:t>
      </w:r>
      <w:r w:rsidR="00FF6F03" w:rsidRPr="001948BB">
        <w:rPr>
          <w:iCs/>
          <w:lang w:eastAsia="zh-CN"/>
        </w:rPr>
        <w:t>(except clause 10.4)</w:t>
      </w:r>
      <w:r w:rsidRPr="00F415B1">
        <w:rPr>
          <w:iCs/>
          <w:lang w:eastAsia="zh-CN"/>
        </w:rPr>
        <w:t>, 11.1, 11.1.1</w:t>
      </w:r>
      <w:r w:rsidR="001A51E3">
        <w:rPr>
          <w:rFonts w:hint="eastAsia"/>
          <w:iCs/>
          <w:lang w:eastAsia="zh-CN"/>
        </w:rPr>
        <w:t xml:space="preserve"> and 17.2</w:t>
      </w:r>
      <w:r w:rsidRPr="00F415B1">
        <w:rPr>
          <w:iCs/>
          <w:lang w:eastAsia="zh-CN"/>
        </w:rPr>
        <w:t>.</w:t>
      </w:r>
      <w:bookmarkEnd w:id="137"/>
    </w:p>
    <w:p w14:paraId="6637B1CA" w14:textId="1624DE5E" w:rsidR="008E4458" w:rsidRDefault="008E4458" w:rsidP="008E4458">
      <w:pPr>
        <w:tabs>
          <w:tab w:val="left" w:pos="2116"/>
        </w:tabs>
        <w:rPr>
          <w:iCs/>
        </w:rPr>
      </w:pPr>
      <w:r w:rsidRPr="00DC07FB">
        <w:rPr>
          <w:lang w:eastAsia="ja-JP"/>
        </w:rPr>
        <w:t>For the PCell or the PSCell, if BFR MAC CE [11, TS</w:t>
      </w:r>
      <w:r w:rsidR="0051633A">
        <w:rPr>
          <w:lang w:eastAsia="ja-JP"/>
        </w:rPr>
        <w:t xml:space="preserve"> </w:t>
      </w:r>
      <w:r w:rsidRPr="00DC07FB">
        <w:rPr>
          <w:lang w:eastAsia="ja-JP"/>
        </w:rPr>
        <w:t xml:space="preserve">38.321] is </w:t>
      </w:r>
      <w:r w:rsidR="0051633A" w:rsidRPr="00F415B1">
        <w:rPr>
          <w:iCs/>
          <w:lang w:eastAsia="ja-JP"/>
        </w:rPr>
        <w:t>provided</w:t>
      </w:r>
      <w:r w:rsidRPr="00DC07FB">
        <w:rPr>
          <w:lang w:eastAsia="ja-JP"/>
        </w:rPr>
        <w:t xml:space="preserve"> in Msg3 or MsgA of contention based random access procedure, and if a PUCCH resource is provided with </w:t>
      </w:r>
      <w:r w:rsidRPr="00DC07FB">
        <w:rPr>
          <w:i/>
          <w:lang w:eastAsia="ja-JP"/>
        </w:rPr>
        <w:t>PUCCH-SpatialRelationInfo</w:t>
      </w:r>
      <w:r w:rsidRPr="00DC07FB">
        <w:rPr>
          <w:lang w:eastAsia="ja-JP"/>
        </w:rPr>
        <w:t xml:space="preserve">, after 28 symbols from the last symbol of the PDCCH reception that determines the completion of the contention based random access </w:t>
      </w:r>
      <w:r>
        <w:rPr>
          <w:noProof/>
          <w:lang w:eastAsia="ja-JP"/>
        </w:rPr>
        <mc:AlternateContent>
          <mc:Choice Requires="wps">
            <w:drawing>
              <wp:anchor distT="0" distB="0" distL="114300" distR="114300" simplePos="0" relativeHeight="251660288" behindDoc="0" locked="0" layoutInCell="1" allowOverlap="1" wp14:anchorId="51B6C2BD" wp14:editId="1E93FEF4">
                <wp:simplePos x="0" y="0"/>
                <wp:positionH relativeFrom="column">
                  <wp:posOffset>-719455</wp:posOffset>
                </wp:positionH>
                <wp:positionV relativeFrom="paragraph">
                  <wp:posOffset>-899160</wp:posOffset>
                </wp:positionV>
                <wp:extent cx="352425" cy="200025"/>
                <wp:effectExtent l="4445" t="0" r="0" b="3810"/>
                <wp:wrapNone/>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52425" cy="20002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83AB60" id="Rectangle 8" o:spid="_x0000_s1026" style="position:absolute;margin-left:-56.65pt;margin-top:-70.8pt;width:27.75pt;height:1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" filled="f" stroked="f">
                <o:lock v:ext="edit" aspectratio="t"/>
              </v:rect>
            </w:pict>
          </mc:Fallback>
        </mc:AlternateContent>
      </w:r>
      <w:r w:rsidRPr="00DC07FB">
        <w:rPr>
          <w:lang w:eastAsia="ja-JP"/>
        </w:rPr>
        <w:t xml:space="preserve">procedure as described </w:t>
      </w:r>
      <w:r w:rsidR="0077778F">
        <w:rPr>
          <w:iCs/>
          <w:color w:val="000000"/>
          <w:lang w:eastAsia="ja-JP"/>
        </w:rPr>
        <w:t xml:space="preserve">in clause 5.1.4a or </w:t>
      </w:r>
      <w:r>
        <w:rPr>
          <w:lang w:eastAsia="ja-JP"/>
        </w:rPr>
        <w:t>in clause</w:t>
      </w:r>
      <w:r w:rsidRPr="00DC07FB">
        <w:rPr>
          <w:lang w:eastAsia="ja-JP"/>
        </w:rPr>
        <w:t xml:space="preserve"> 5.1.5 of [11, </w:t>
      </w:r>
      <w:r w:rsidR="00295E42">
        <w:rPr>
          <w:lang w:eastAsia="ja-JP"/>
        </w:rPr>
        <w:t>TS 38.</w:t>
      </w:r>
      <w:r w:rsidRPr="00DC07FB">
        <w:rPr>
          <w:lang w:eastAsia="ja-JP"/>
        </w:rPr>
        <w:t>321], the UE transmits the PUCCH on a same cell as the PRACH transmission using</w:t>
      </w:r>
    </w:p>
    <w:p w14:paraId="57071E00" w14:textId="5ADD142B" w:rsidR="00257C58" w:rsidRDefault="00257C58" w:rsidP="009F615E">
      <w:pPr>
        <w:pStyle w:val="B1"/>
      </w:pPr>
      <w:r>
        <w:t>-</w:t>
      </w:r>
      <w:r>
        <w:tab/>
      </w:r>
      <w:r w:rsidRPr="00DC07FB">
        <w:t xml:space="preserve">a same spatial filter as for the last PRACH transmission </w:t>
      </w:r>
    </w:p>
    <w:p w14:paraId="6E5BA8A2" w14:textId="4D505759" w:rsidR="009F615E" w:rsidRPr="009F615E" w:rsidRDefault="009F615E" w:rsidP="009F615E">
      <w:pPr>
        <w:pStyle w:val="B1"/>
        <w:rPr>
          <w:iCs/>
        </w:rPr>
      </w:pPr>
      <w:r w:rsidRPr="00DC07FB">
        <w:t>-</w:t>
      </w:r>
      <w:r w:rsidRPr="00DC07FB">
        <w:tab/>
      </w:r>
      <w:r w:rsidRPr="00DC07FB">
        <w:rPr>
          <w:iCs/>
        </w:rPr>
        <w:t xml:space="preserve">a </w:t>
      </w:r>
      <w:r w:rsidRPr="00DC07FB">
        <w:t xml:space="preserve">power determined as described </w:t>
      </w:r>
      <w:r w:rsidR="006F5F9E">
        <w:t>in clause</w:t>
      </w:r>
      <w:r w:rsidRPr="00DC07FB">
        <w:t xml:space="preserve"> 7.2.1 </w:t>
      </w:r>
      <w:r w:rsidRPr="0084769C">
        <w:rPr>
          <w:lang w:val="en-US"/>
        </w:rPr>
        <w:t xml:space="preserve">with </w:t>
      </w:r>
      <m:oMath>
        <m:sSub>
          <m:sSubPr>
            <m:ctrlPr>
              <w:rPr>
                <w:rFonts w:ascii="Cambria Math" w:hAnsi="Cambria Math"/>
                <w:i/>
                <w:lang w:val="en-GB"/>
              </w:rPr>
            </m:ctrlPr>
          </m:sSubPr>
          <m:e>
            <m:r>
              <w:rPr>
                <w:rFonts w:ascii="Cambria Math" w:hAnsi="Cambria Math"/>
              </w:rPr>
              <m:t>q</m:t>
            </m:r>
          </m:e>
          <m:sub>
            <m:r>
              <w:rPr>
                <w:rFonts w:ascii="Cambria Math" w:hAnsi="Cambria Math"/>
              </w:rPr>
              <m:t>u</m:t>
            </m:r>
          </m:sub>
        </m:sSub>
        <m:r>
          <w:rPr>
            <w:rFonts w:ascii="Cambria Math" w:hAnsi="Cambria Math"/>
          </w:rPr>
          <m:t>=0</m:t>
        </m:r>
      </m:oMath>
      <w:r w:rsidR="0051633A" w:rsidRPr="00F415B1">
        <w:rPr>
          <w:lang w:val="en-US"/>
        </w:rPr>
        <w:t xml:space="preserve">, </w:t>
      </w:r>
      <m:oMath>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rPr>
                  <m:t>q</m:t>
                </m:r>
              </m:e>
              <m:sub>
                <m:r>
                  <w:rPr>
                    <w:rFonts w:ascii="Cambria Math" w:hAnsi="Cambria Math"/>
                  </w:rPr>
                  <m:t>d</m:t>
                </m:r>
              </m:sub>
            </m:sSub>
            <m:r>
              <w:rPr>
                <w:rFonts w:ascii="Cambria Math" w:hAnsi="Cambria Math"/>
              </w:rPr>
              <m:t>=q</m:t>
            </m:r>
          </m:e>
          <m:sub>
            <m:r>
              <m:rPr>
                <m:sty m:val="p"/>
              </m:rPr>
              <w:rPr>
                <w:rFonts w:ascii="Cambria Math" w:hAnsi="Cambria Math"/>
              </w:rPr>
              <m:t>new</m:t>
            </m:r>
          </m:sub>
        </m:sSub>
      </m:oMath>
      <w:r w:rsidR="0051633A" w:rsidRPr="00F415B1">
        <w:rPr>
          <w:lang w:val="en-US"/>
        </w:rPr>
        <w:t xml:space="preserve">, and </w:t>
      </w:r>
      <m:oMath>
        <m:r>
          <w:rPr>
            <w:rFonts w:ascii="Cambria Math" w:hAnsi="Cambria Math"/>
            <w:lang w:val="en-GB"/>
          </w:rPr>
          <m:t>l</m:t>
        </m:r>
        <m:r>
          <w:rPr>
            <w:rFonts w:ascii="Cambria Math" w:hAnsi="Cambria Math"/>
          </w:rPr>
          <m:t>=0</m:t>
        </m:r>
      </m:oMath>
      <w:r w:rsidR="0051633A" w:rsidRPr="00F415B1">
        <w:t>,</w:t>
      </w:r>
      <w:r w:rsidRPr="00DC07FB">
        <w:t xml:space="preserve"> where </w:t>
      </w:r>
      <m:oMath>
        <m:sSub>
          <m:sSubPr>
            <m:ctrlPr>
              <w:rPr>
                <w:rFonts w:ascii="Cambria Math" w:hAnsi="Cambria Math"/>
                <w:i/>
                <w:lang w:val="en-GB"/>
              </w:rPr>
            </m:ctrlPr>
          </m:sSubPr>
          <m:e>
            <m:r>
              <w:rPr>
                <w:rFonts w:ascii="Cambria Math" w:hAnsi="Cambria Math"/>
              </w:rPr>
              <m:t>q</m:t>
            </m:r>
          </m:e>
          <m:sub>
            <m:r>
              <m:rPr>
                <m:sty m:val="p"/>
              </m:rPr>
              <w:rPr>
                <w:rFonts w:ascii="Cambria Math" w:hAnsi="Cambria Math"/>
              </w:rPr>
              <m:t>new</m:t>
            </m:r>
          </m:sub>
        </m:sSub>
      </m:oMath>
      <w:r w:rsidR="0051633A" w:rsidRPr="00F415B1">
        <w:rPr>
          <w:vertAlign w:val="subscript"/>
        </w:rPr>
        <w:t xml:space="preserve"> </w:t>
      </w:r>
      <w:r w:rsidRPr="00DC07FB">
        <w:t>is the SS/PBCH block index selected for the last PRACH transmission.</w:t>
      </w:r>
    </w:p>
    <w:p w14:paraId="6A7A27AC" w14:textId="46699C8C" w:rsidR="0051633A" w:rsidRPr="00F415B1" w:rsidRDefault="0051633A" w:rsidP="0051633A">
      <w:pPr>
        <w:tabs>
          <w:tab w:val="left" w:pos="2116"/>
        </w:tabs>
      </w:pPr>
      <w:r w:rsidRPr="00F415B1">
        <w:rPr>
          <w:iCs/>
        </w:rPr>
        <w:t xml:space="preserve">If a UE is provided </w:t>
      </w:r>
      <w:r w:rsidR="00C92415" w:rsidRPr="00997ADD">
        <w:rPr>
          <w:rFonts w:cs="Times"/>
          <w:i/>
          <w:szCs w:val="18"/>
          <w:lang w:eastAsia="zh-CN"/>
        </w:rPr>
        <w:t>dl-OrJointTCI</w:t>
      </w:r>
      <w:r w:rsidR="00146E49">
        <w:rPr>
          <w:rFonts w:cs="Times"/>
          <w:i/>
          <w:szCs w:val="18"/>
          <w:lang w:eastAsia="zh-CN"/>
        </w:rPr>
        <w:t>-</w:t>
      </w:r>
      <w:r w:rsidR="00C92415" w:rsidRPr="00997ADD">
        <w:rPr>
          <w:rFonts w:cs="Times"/>
          <w:i/>
          <w:szCs w:val="18"/>
          <w:lang w:eastAsia="zh-CN"/>
        </w:rPr>
        <w:t>StateList</w:t>
      </w:r>
      <w:r w:rsidR="00C92415">
        <w:rPr>
          <w:rFonts w:cs="Times"/>
          <w:iCs/>
          <w:szCs w:val="18"/>
          <w:lang w:eastAsia="zh-CN"/>
        </w:rPr>
        <w:t xml:space="preserve"> </w:t>
      </w:r>
      <w:r w:rsidR="00C92415" w:rsidRPr="00037243">
        <w:rPr>
          <w:rFonts w:cs="Times"/>
          <w:iCs/>
          <w:szCs w:val="18"/>
          <w:lang w:val="en-US" w:eastAsia="zh-CN"/>
        </w:rPr>
        <w:t>or</w:t>
      </w:r>
      <w:r w:rsidR="00C92415" w:rsidRPr="00037243">
        <w:rPr>
          <w:lang w:val="en-US"/>
        </w:rPr>
        <w:t xml:space="preserve"> </w:t>
      </w:r>
      <w:r w:rsidR="009D05BB" w:rsidRPr="00F55553">
        <w:rPr>
          <w:rFonts w:hint="eastAsia"/>
          <w:i/>
          <w:iCs/>
          <w:lang w:eastAsia="zh-CN"/>
        </w:rPr>
        <w:t>ul</w:t>
      </w:r>
      <w:r w:rsidR="009D05BB" w:rsidRPr="00F55553">
        <w:rPr>
          <w:i/>
          <w:iCs/>
        </w:rPr>
        <w:t>-TCI-StateList</w:t>
      </w:r>
      <w:r>
        <w:rPr>
          <w:iCs/>
        </w:rPr>
        <w:t xml:space="preserve"> </w:t>
      </w:r>
      <w:r w:rsidR="003A4EE7">
        <w:rPr>
          <w:iCs/>
        </w:rPr>
        <w:t>and is indicated one or two</w:t>
      </w:r>
      <w:r w:rsidRPr="00F415B1">
        <w:rPr>
          <w:iCs/>
        </w:rPr>
        <w:t xml:space="preserve"> TCI state</w:t>
      </w:r>
      <w:r w:rsidR="003A4EE7">
        <w:rPr>
          <w:iCs/>
        </w:rPr>
        <w:t>(s)</w:t>
      </w:r>
      <w:r w:rsidRPr="00F415B1">
        <w:rPr>
          <w:iCs/>
        </w:rPr>
        <w:t xml:space="preserve"> for the PCell or the PSCell</w:t>
      </w:r>
      <w:r>
        <w:rPr>
          <w:iCs/>
        </w:rPr>
        <w:t xml:space="preserve"> </w:t>
      </w:r>
      <w:r w:rsidR="003A4EE7">
        <w:rPr>
          <w:iCs/>
        </w:rPr>
        <w:t xml:space="preserve">associated with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m:t>
            </m:r>
          </m:sub>
        </m:sSub>
      </m:oMath>
      <w:r w:rsidR="003A4EE7">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m:t>
            </m:r>
          </m:sub>
        </m:sSub>
      </m:oMath>
      <w:r w:rsidR="003A4EE7">
        <w:t xml:space="preserve">, </w:t>
      </w:r>
      <w:r w:rsidRPr="00F415B1">
        <w:rPr>
          <w:iCs/>
        </w:rPr>
        <w:t xml:space="preserve">and </w:t>
      </w:r>
      <w:r w:rsidRPr="00F415B1">
        <w:rPr>
          <w:iCs/>
          <w:lang w:eastAsia="ja-JP"/>
        </w:rPr>
        <w:t>the UE provides BFR MAC CE in Msg3 or MsgA of contention based random access procedure</w:t>
      </w:r>
      <w:r w:rsidRPr="00F415B1">
        <w:rPr>
          <w:rFonts w:hint="eastAsia"/>
          <w:iCs/>
        </w:rPr>
        <w:t>,</w:t>
      </w:r>
      <w:r w:rsidRPr="00F415B1">
        <w:rPr>
          <w:iCs/>
        </w:rPr>
        <w:t xml:space="preserve"> after </w:t>
      </w:r>
      <w:r w:rsidR="00C274AA">
        <w:rPr>
          <w:iCs/>
        </w:rPr>
        <w:t>28</w:t>
      </w:r>
      <w:r w:rsidRPr="00F415B1">
        <w:rPr>
          <w:iCs/>
        </w:rPr>
        <w:t xml:space="preserve"> symbols </w:t>
      </w:r>
      <w:r w:rsidRPr="00F415B1">
        <w:rPr>
          <w:iCs/>
          <w:lang w:eastAsia="ja-JP"/>
        </w:rPr>
        <w:t xml:space="preserve">from the last symbol of the PDCCH reception that determines the completion of the contention based random access </w:t>
      </w:r>
      <w:r w:rsidRPr="00F415B1">
        <w:rPr>
          <w:iCs/>
          <w:noProof/>
        </w:rPr>
        <mc:AlternateContent>
          <mc:Choice Requires="wps">
            <w:drawing>
              <wp:anchor distT="0" distB="0" distL="114300" distR="114300" simplePos="0" relativeHeight="251662336" behindDoc="0" locked="0" layoutInCell="1" allowOverlap="1" wp14:anchorId="44DEA8D6" wp14:editId="2CFFED83">
                <wp:simplePos x="0" y="0"/>
                <wp:positionH relativeFrom="column">
                  <wp:posOffset>-719455</wp:posOffset>
                </wp:positionH>
                <wp:positionV relativeFrom="paragraph">
                  <wp:posOffset>-899160</wp:posOffset>
                </wp:positionV>
                <wp:extent cx="352425" cy="200025"/>
                <wp:effectExtent l="4445" t="0" r="0" b="3810"/>
                <wp:wrapNone/>
                <wp:docPr id="916" name="Rectangle 9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52425" cy="20002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37BFA4" id="Rectangle 916" o:spid="_x0000_s1026" style="position:absolute;margin-left:-56.65pt;margin-top:-70.8pt;width:27.7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" filled="f" stroked="f">
                <o:lock v:ext="edit" aspectratio="t"/>
              </v:rect>
            </w:pict>
          </mc:Fallback>
        </mc:AlternateContent>
      </w:r>
      <w:r w:rsidRPr="00F415B1">
        <w:rPr>
          <w:iCs/>
          <w:lang w:eastAsia="ja-JP"/>
        </w:rPr>
        <w:t>procedure as described in [11, TS 38.321]</w:t>
      </w:r>
      <w:r w:rsidRPr="00F415B1">
        <w:t>, the UE</w:t>
      </w:r>
    </w:p>
    <w:p w14:paraId="6B50E373" w14:textId="1F73C162" w:rsidR="0051633A" w:rsidRPr="00F415B1" w:rsidRDefault="0051633A" w:rsidP="00BF5B42">
      <w:pPr>
        <w:pStyle w:val="B1"/>
        <w:rPr>
          <w:iCs/>
        </w:rPr>
      </w:pPr>
      <w:r>
        <w:rPr>
          <w:lang w:val="en-US"/>
        </w:rPr>
        <w:t>-</w:t>
      </w:r>
      <w:r>
        <w:rPr>
          <w:lang w:val="en-US"/>
        </w:rPr>
        <w:tab/>
        <w:t xml:space="preserve">if </w:t>
      </w:r>
      <w:r w:rsidR="00C92415" w:rsidRPr="009559F5">
        <w:rPr>
          <w:i/>
          <w:szCs w:val="22"/>
          <w:lang w:eastAsia="sv-SE"/>
        </w:rPr>
        <w:t>SSB-MTC-AdditionalPCI</w:t>
      </w:r>
      <w:r>
        <w:rPr>
          <w:lang w:val="en-US"/>
        </w:rPr>
        <w:t xml:space="preserve"> is not provided, </w:t>
      </w:r>
      <w:r w:rsidRPr="00F415B1">
        <w:t xml:space="preserve">monitors PDCCH in all CORESETs, and receives PDSCH and aperiodic CSI-RS resource in a CSI-RS resource set </w:t>
      </w:r>
      <w:r>
        <w:t>with same indicated TCI state as for the PDCCH and PDSCH</w:t>
      </w:r>
      <w:r w:rsidRPr="00F415B1" w:rsidDel="005A151C">
        <w:t xml:space="preserve"> </w:t>
      </w:r>
      <w:r w:rsidRPr="00F415B1">
        <w:t xml:space="preserve">using the </w:t>
      </w:r>
      <w:r w:rsidRPr="00F415B1">
        <w:rPr>
          <w:iCs/>
          <w:lang w:eastAsia="ja-JP"/>
        </w:rPr>
        <w:t xml:space="preserve">same antenna port quasi co-location parameters as the ones associated with the corresponding index </w:t>
      </w:r>
      <m:oMath>
        <m:sSub>
          <m:sSubPr>
            <m:ctrlPr>
              <w:rPr>
                <w:rFonts w:ascii="Cambria Math" w:hAnsi="Cambria Math"/>
                <w:i/>
                <w:iCs/>
              </w:rPr>
            </m:ctrlPr>
          </m:sSubPr>
          <m:e>
            <m:r>
              <w:rPr>
                <w:rFonts w:ascii="Cambria Math"/>
              </w:rPr>
              <m:t>q</m:t>
            </m:r>
          </m:e>
          <m:sub>
            <m:r>
              <m:rPr>
                <m:nor/>
              </m:rPr>
              <w:rPr>
                <w:rFonts w:ascii="Cambria Math"/>
                <w:iCs/>
              </w:rPr>
              <m:t>new</m:t>
            </m:r>
            <m:ctrlPr>
              <w:rPr>
                <w:rFonts w:ascii="Cambria Math" w:hAnsi="Cambria Math"/>
                <w:iCs/>
              </w:rPr>
            </m:ctrlPr>
          </m:sub>
        </m:sSub>
      </m:oMath>
      <w:r w:rsidRPr="00F415B1">
        <w:rPr>
          <w:iCs/>
        </w:rPr>
        <w:t>, if any</w:t>
      </w:r>
    </w:p>
    <w:p w14:paraId="24603D86" w14:textId="77777777" w:rsidR="00C274AA" w:rsidRPr="00846698" w:rsidRDefault="00C274AA" w:rsidP="00C274AA">
      <w:pPr>
        <w:pStyle w:val="B1"/>
        <w:rPr>
          <w:iCs/>
          <w:lang w:val="en-US"/>
        </w:rPr>
      </w:pPr>
      <w:r>
        <w:t>-</w:t>
      </w:r>
      <w:r>
        <w:tab/>
      </w:r>
      <w:r w:rsidRPr="00F415B1">
        <w:t>transmits PU</w:t>
      </w:r>
      <w:r>
        <w:rPr>
          <w:lang w:val="en-US"/>
        </w:rPr>
        <w:t>S</w:t>
      </w:r>
      <w:r w:rsidRPr="00F415B1">
        <w:t>CH, PU</w:t>
      </w:r>
      <w:r>
        <w:rPr>
          <w:lang w:val="en-US"/>
        </w:rPr>
        <w:t>C</w:t>
      </w:r>
      <w:r w:rsidRPr="00F415B1">
        <w:t xml:space="preserve">CH and SRS </w:t>
      </w:r>
      <w:r>
        <w:t xml:space="preserve">that uses </w:t>
      </w:r>
      <w:r w:rsidRPr="00F415B1">
        <w:t xml:space="preserve">a same spatial domain filter </w:t>
      </w:r>
      <w:r>
        <w:t>with same indicated TCI state as for the PU</w:t>
      </w:r>
      <w:r>
        <w:rPr>
          <w:lang w:val="en-US"/>
        </w:rPr>
        <w:t>S</w:t>
      </w:r>
      <w:r>
        <w:t>CH and PU</w:t>
      </w:r>
      <w:r>
        <w:rPr>
          <w:lang w:val="en-US"/>
        </w:rPr>
        <w:t>C</w:t>
      </w:r>
      <w:r>
        <w:t>CH</w:t>
      </w:r>
      <w:r w:rsidRPr="00F415B1">
        <w:rPr>
          <w:iCs/>
        </w:rPr>
        <w:t xml:space="preserve">, </w:t>
      </w:r>
      <w:r>
        <w:t>using a same spatial domain filter</w:t>
      </w:r>
      <w:r w:rsidRPr="00F415B1">
        <w:rPr>
          <w:iCs/>
        </w:rPr>
        <w:t xml:space="preserve"> as for the last PRACH transmission</w:t>
      </w:r>
      <w:r w:rsidRPr="002163C5">
        <w:rPr>
          <w:iCs/>
          <w:lang w:val="en-US"/>
        </w:rPr>
        <w:t xml:space="preserve"> </w:t>
      </w:r>
      <w:r w:rsidRPr="00846698">
        <w:rPr>
          <w:iCs/>
          <w:lang w:val="en-US"/>
        </w:rPr>
        <w:t xml:space="preserve">using the following parameters for determination of a corresponding power as described in clauses 7.1.1, 7.2.1, and 7.3.1 </w:t>
      </w:r>
    </w:p>
    <w:p w14:paraId="1B24F940" w14:textId="77777777" w:rsidR="00C274AA" w:rsidRPr="00846698" w:rsidRDefault="00C274AA" w:rsidP="00C274AA">
      <w:pPr>
        <w:pStyle w:val="B2"/>
      </w:pPr>
      <w:r w:rsidRPr="00846698">
        <w:t>-</w:t>
      </w:r>
      <w:r w:rsidRPr="00846698">
        <w:tab/>
        <w:t>the RS index</w:t>
      </w:r>
      <w:r w:rsidRPr="00846698">
        <w:rPr>
          <w:lang w:eastAsia="zh-CN"/>
        </w:rPr>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=q</m:t>
            </m:r>
          </m:e>
          <m:sub>
            <m:r>
              <m:rPr>
                <m:sty m:val="p"/>
              </m:rPr>
              <w:rPr>
                <w:rFonts w:ascii="Cambria Math" w:hAnsi="Cambria Math"/>
              </w:rPr>
              <m:t>new</m:t>
            </m:r>
          </m:sub>
        </m:sSub>
      </m:oMath>
      <w:r w:rsidRPr="00846698">
        <w:t xml:space="preserve"> for obtaining the downlink pathloss estimate</w:t>
      </w:r>
    </w:p>
    <w:p w14:paraId="747ACF3C" w14:textId="72FBD5BC" w:rsidR="00C274AA" w:rsidRPr="00846698" w:rsidRDefault="00C274AA" w:rsidP="00C274AA">
      <w:pPr>
        <w:pStyle w:val="B2"/>
        <w:rPr>
          <w:b/>
          <w:i/>
        </w:rPr>
      </w:pPr>
      <w:r w:rsidRPr="00846698">
        <w:t>-</w:t>
      </w:r>
      <w:r w:rsidRPr="00846698">
        <w:tab/>
      </w:r>
      <w:r w:rsidRPr="00846698">
        <w:rPr>
          <w:lang w:eastAsia="ko-KR"/>
        </w:rPr>
        <w:t xml:space="preserve">the values of </w:t>
      </w:r>
      <m:oMath>
        <m:sSub>
          <m:sSubPr>
            <m:ctrlPr>
              <w:rPr>
                <w:rFonts w:ascii="Cambria Math" w:hAnsi="Cambria Math"/>
              </w:rPr>
            </m:ctrlPr>
          </m:sSubPr>
          <m:e>
            <m:r>
              <w:rPr>
                <w:rFonts w:ascii="Cambria Math" w:hAnsi="Cambria Math"/>
              </w:rPr>
              <m:t>P</m:t>
            </m:r>
          </m:e>
          <m:sub>
            <m:r>
              <m:rPr>
                <m:nor/>
              </m:rPr>
              <m:t>O_UE_PUSCH</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Pr="00846698">
        <w:t xml:space="preserve">, </w:t>
      </w:r>
      <m:oMath>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Pr="00846698">
        <w:t xml:space="preserve">, and the PUSCH power control adjustment state </w:t>
      </w:r>
      <m:oMath>
        <m:r>
          <w:rPr>
            <w:rFonts w:ascii="Cambria Math" w:hAnsi="Cambria Math"/>
          </w:rPr>
          <m:t>l</m:t>
        </m:r>
      </m:oMath>
      <w:r w:rsidRPr="00846698">
        <w:t xml:space="preserve"> provided by </w:t>
      </w:r>
      <w:r w:rsidR="00944399" w:rsidRPr="00DB6CC6">
        <w:rPr>
          <w:i/>
        </w:rPr>
        <w:t>p0AlphaSetforPUSCH</w:t>
      </w:r>
      <w:r w:rsidRPr="00846698">
        <w:t xml:space="preserve"> associated </w:t>
      </w:r>
      <w:r w:rsidRPr="00846698">
        <w:rPr>
          <w:lang w:eastAsia="zh-CN"/>
        </w:rPr>
        <w:t xml:space="preserve">with the </w:t>
      </w:r>
      <w:r w:rsidRPr="00846698">
        <w:rPr>
          <w:lang w:val="en-US" w:eastAsia="zh-CN"/>
        </w:rPr>
        <w:t>smallest</w:t>
      </w:r>
      <w:r w:rsidRPr="00846698">
        <w:rPr>
          <w:lang w:eastAsia="zh-CN"/>
        </w:rPr>
        <w:t xml:space="preserve"> value of </w:t>
      </w:r>
      <w:r w:rsidRPr="00846698">
        <w:rPr>
          <w:i/>
        </w:rPr>
        <w:t>ul-powercontrolId</w:t>
      </w:r>
      <w:r w:rsidRPr="00846698">
        <w:rPr>
          <w:lang w:eastAsia="zh-CN"/>
        </w:rPr>
        <w:t xml:space="preserve"> for the </w:t>
      </w:r>
      <w:r w:rsidRPr="00846698">
        <w:t>PCell or the PSCell</w:t>
      </w:r>
    </w:p>
    <w:p w14:paraId="266D1979" w14:textId="69917732" w:rsidR="00C274AA" w:rsidRPr="00846698" w:rsidRDefault="00C274AA" w:rsidP="00C274AA">
      <w:pPr>
        <w:pStyle w:val="B2"/>
        <w:rPr>
          <w:lang w:eastAsia="zh-CN"/>
        </w:rPr>
      </w:pPr>
      <w:r w:rsidRPr="00846698">
        <w:t>-</w:t>
      </w:r>
      <w:r w:rsidRPr="00846698">
        <w:tab/>
      </w:r>
      <w:r w:rsidRPr="00846698">
        <w:rPr>
          <w:lang w:eastAsia="ko-KR"/>
        </w:rPr>
        <w:t xml:space="preserve">the value of </w:t>
      </w:r>
      <m:oMath>
        <m:sSub>
          <m:sSubPr>
            <m:ctrlPr>
              <w:rPr>
                <w:rFonts w:ascii="Cambria Math" w:hAnsi="Cambria Math"/>
                <w:iCs/>
              </w:rPr>
            </m:ctrlPr>
          </m:sSubPr>
          <m:e>
            <m:r>
              <w:rPr>
                <w:rFonts w:ascii="Cambria Math" w:hAnsi="Cambria Math"/>
              </w:rPr>
              <m:t>P</m:t>
            </m:r>
          </m:e>
          <m:sub>
            <m:r>
              <m:rPr>
                <m:nor/>
              </m:rPr>
              <w:rPr>
                <w:rFonts w:ascii="Cambria Math"/>
                <w:iCs/>
                <w:lang w:val="en-US"/>
              </w:rPr>
              <m:t>O_UE_P</m:t>
            </m:r>
            <m:r>
              <m:rPr>
                <m:nor/>
              </m:rPr>
              <w:rPr>
                <w:rFonts w:ascii="Cambria Math"/>
                <w:iCs/>
              </w:rPr>
              <m:t>U</m:t>
            </m:r>
            <m:r>
              <m:rPr>
                <m:nor/>
              </m:rPr>
              <w:rPr>
                <w:rFonts w:ascii="Cambria Math"/>
                <w:iCs/>
                <w:lang w:val="en-US"/>
              </w:rPr>
              <m:t>C</m:t>
            </m:r>
            <m:r>
              <m:rPr>
                <m:nor/>
              </m:rPr>
              <w:rPr>
                <w:rFonts w:ascii="Cambria Math"/>
                <w:iCs/>
              </w:rPr>
              <m:t>CH</m:t>
            </m:r>
          </m:sub>
        </m:sSub>
        <m:d>
          <m:dPr>
            <m:ctrlPr>
              <w:rPr>
                <w:rFonts w:ascii="Cambria Math" w:hAnsi="Cambria Math"/>
              </w:rPr>
            </m:ctrlPr>
          </m:dPr>
          <m:e>
            <m:sSub>
              <m:sSubPr>
                <m:ctrlPr>
                  <w:rPr>
                    <w:rFonts w:ascii="Cambria Math" w:hAnsi="Cambria Math"/>
                    <w:iCs/>
                  </w:rPr>
                </m:ctrlPr>
              </m:sSubPr>
              <m:e>
                <m:r>
                  <w:rPr>
                    <w:rFonts w:ascii="Cambria Math" w:hAnsi="Cambria Math"/>
                  </w:rPr>
                  <m:t>q</m:t>
                </m:r>
              </m:e>
              <m:sub>
                <m:r>
                  <w:rPr>
                    <w:rFonts w:ascii="Cambria Math"/>
                  </w:rPr>
                  <m:t>u</m:t>
                </m:r>
              </m:sub>
            </m:sSub>
          </m:e>
        </m:d>
      </m:oMath>
      <w:r w:rsidRPr="00846698">
        <w:t xml:space="preserve"> and the PU</w:t>
      </w:r>
      <w:r w:rsidRPr="00846698">
        <w:rPr>
          <w:lang w:val="en-US"/>
        </w:rPr>
        <w:t>C</w:t>
      </w:r>
      <w:r w:rsidRPr="00846698">
        <w:t xml:space="preserve">CH power control adjustment state </w:t>
      </w:r>
      <m:oMath>
        <m:r>
          <w:rPr>
            <w:rFonts w:ascii="Cambria Math" w:hAnsi="Cambria Math"/>
          </w:rPr>
          <m:t>l</m:t>
        </m:r>
      </m:oMath>
      <w:r w:rsidRPr="00846698">
        <w:t xml:space="preserve"> provided by </w:t>
      </w:r>
      <w:r w:rsidR="00944399" w:rsidRPr="00DB6CC6">
        <w:rPr>
          <w:i/>
        </w:rPr>
        <w:t>p0AlphaSetforPU</w:t>
      </w:r>
      <w:r w:rsidR="00944399">
        <w:rPr>
          <w:i/>
          <w:lang w:val="en-US"/>
        </w:rPr>
        <w:t>C</w:t>
      </w:r>
      <w:r w:rsidR="00944399" w:rsidRPr="00DB6CC6">
        <w:rPr>
          <w:i/>
        </w:rPr>
        <w:t>CH</w:t>
      </w:r>
      <w:r w:rsidRPr="00846698">
        <w:t xml:space="preserve"> associated </w:t>
      </w:r>
      <w:r w:rsidRPr="00846698">
        <w:rPr>
          <w:lang w:eastAsia="zh-CN"/>
        </w:rPr>
        <w:t xml:space="preserve">with the </w:t>
      </w:r>
      <w:r w:rsidRPr="00846698">
        <w:rPr>
          <w:lang w:val="en-US" w:eastAsia="zh-CN"/>
        </w:rPr>
        <w:t>smallest</w:t>
      </w:r>
      <w:r w:rsidRPr="00846698">
        <w:rPr>
          <w:lang w:eastAsia="zh-CN"/>
        </w:rPr>
        <w:t xml:space="preserve"> value of </w:t>
      </w:r>
      <w:r w:rsidRPr="00846698">
        <w:rPr>
          <w:i/>
        </w:rPr>
        <w:t>ul-powercontrolId</w:t>
      </w:r>
      <w:r w:rsidRPr="00846698">
        <w:rPr>
          <w:lang w:eastAsia="zh-CN"/>
        </w:rPr>
        <w:t xml:space="preserve"> for the </w:t>
      </w:r>
      <w:r w:rsidRPr="00846698">
        <w:t xml:space="preserve">PCell or the PSCell </w:t>
      </w:r>
    </w:p>
    <w:p w14:paraId="4277075B" w14:textId="16D55427" w:rsidR="00C274AA" w:rsidRPr="00846698" w:rsidRDefault="00C274AA" w:rsidP="00C274AA">
      <w:pPr>
        <w:pStyle w:val="B2"/>
        <w:rPr>
          <w:bCs/>
        </w:rPr>
      </w:pPr>
      <w:r w:rsidRPr="00846698">
        <w:t>-</w:t>
      </w:r>
      <w:r w:rsidRPr="00846698">
        <w:tab/>
      </w:r>
      <w:r w:rsidRPr="00846698">
        <w:rPr>
          <w:lang w:eastAsia="ko-KR"/>
        </w:rPr>
        <w:t xml:space="preserve">the values of </w:t>
      </w:r>
      <m:oMath>
        <m:sSub>
          <m:sSubPr>
            <m:ctrlPr>
              <w:rPr>
                <w:rFonts w:ascii="Cambria Math" w:hAnsi="Cambria Math"/>
                <w:iCs/>
              </w:rPr>
            </m:ctrlPr>
          </m:sSubPr>
          <m:e>
            <m:r>
              <w:rPr>
                <w:rFonts w:ascii="Cambria Math" w:hAnsi="Cambria Math"/>
              </w:rPr>
              <m:t>P</m:t>
            </m:r>
          </m:e>
          <m:sub>
            <m:r>
              <m:rPr>
                <m:nor/>
              </m:rPr>
              <w:rPr>
                <w:rFonts w:ascii="Cambria Math"/>
                <w:iCs/>
              </w:rPr>
              <m:t>O_UE_SRS</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sSub>
              <m:sSubPr>
                <m:ctrlPr>
                  <w:rPr>
                    <w:rFonts w:ascii="Cambria Math" w:hAnsi="Cambria Math"/>
                    <w:iCs/>
                  </w:rPr>
                </m:ctrlPr>
              </m:sSubPr>
              <m:e>
                <m:r>
                  <w:rPr>
                    <w:rFonts w:ascii="Cambria Math" w:hAnsi="Cambria Math"/>
                  </w:rPr>
                  <m:t>q</m:t>
                </m:r>
              </m:e>
              <m:sub>
                <m:r>
                  <w:rPr>
                    <w:rFonts w:ascii="Cambria Math"/>
                  </w:rPr>
                  <m:t>s</m:t>
                </m:r>
              </m:sub>
            </m:sSub>
          </m:e>
        </m:d>
      </m:oMath>
      <w:r w:rsidRPr="00846698">
        <w:t xml:space="preserve">, </w:t>
      </w:r>
      <m:oMath>
        <m:sSub>
          <m:sSubPr>
            <m:ctrlPr>
              <w:rPr>
                <w:rFonts w:ascii="Cambria Math" w:hAnsi="Cambria Math"/>
              </w:rPr>
            </m:ctrlPr>
          </m:sSubPr>
          <m:e>
            <m:r>
              <w:rPr>
                <w:rFonts w:ascii="Cambria Math" w:hAnsi="Cambria Math"/>
              </w:rPr>
              <m:t>α</m:t>
            </m:r>
          </m:e>
          <m:sub>
            <m:r>
              <m:rPr>
                <m:sty m:val="p"/>
              </m:rPr>
              <w:rPr>
                <w:rFonts w:ascii="Cambria Math" w:hAnsi="Cambria Math"/>
              </w:rPr>
              <m:t>SRS</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s</m:t>
                </m:r>
              </m:sub>
            </m:sSub>
          </m:e>
        </m:d>
      </m:oMath>
      <w:r w:rsidRPr="00846698">
        <w:t xml:space="preserve">, and the </w:t>
      </w:r>
      <w:r w:rsidRPr="00846698">
        <w:rPr>
          <w:lang w:val="en-US"/>
        </w:rPr>
        <w:t>SRS</w:t>
      </w:r>
      <w:r w:rsidRPr="00846698">
        <w:t xml:space="preserve"> power control adjustment state </w:t>
      </w:r>
      <m:oMath>
        <m:r>
          <w:rPr>
            <w:rFonts w:ascii="Cambria Math" w:hAnsi="Cambria Math"/>
          </w:rPr>
          <m:t>l</m:t>
        </m:r>
      </m:oMath>
      <w:r w:rsidRPr="00846698">
        <w:t xml:space="preserve"> provided by </w:t>
      </w:r>
      <w:r w:rsidR="00944399" w:rsidRPr="00DB6CC6">
        <w:rPr>
          <w:i/>
        </w:rPr>
        <w:t>p0AlphaSetfor</w:t>
      </w:r>
      <w:r w:rsidR="00944399">
        <w:rPr>
          <w:i/>
          <w:lang w:val="en-US"/>
        </w:rPr>
        <w:t>SRS</w:t>
      </w:r>
      <w:r w:rsidRPr="00846698">
        <w:t xml:space="preserve"> associated </w:t>
      </w:r>
      <w:r w:rsidRPr="00846698">
        <w:rPr>
          <w:lang w:eastAsia="zh-CN"/>
        </w:rPr>
        <w:t xml:space="preserve">with the </w:t>
      </w:r>
      <w:r w:rsidRPr="00846698">
        <w:rPr>
          <w:lang w:val="en-US" w:eastAsia="zh-CN"/>
        </w:rPr>
        <w:t>smallest</w:t>
      </w:r>
      <w:r w:rsidRPr="00846698">
        <w:rPr>
          <w:lang w:eastAsia="zh-CN"/>
        </w:rPr>
        <w:t xml:space="preserve"> value of </w:t>
      </w:r>
      <w:r w:rsidRPr="00846698">
        <w:rPr>
          <w:i/>
        </w:rPr>
        <w:t>ul-powercontrolId</w:t>
      </w:r>
      <w:r w:rsidRPr="00846698">
        <w:rPr>
          <w:lang w:eastAsia="zh-CN"/>
        </w:rPr>
        <w:t xml:space="preserve"> for the </w:t>
      </w:r>
      <w:r w:rsidRPr="00846698">
        <w:t>PCell or the PSCell</w:t>
      </w:r>
    </w:p>
    <w:p w14:paraId="50DE4DB7" w14:textId="51BBAC47" w:rsidR="001976B9" w:rsidRDefault="00E50667" w:rsidP="00E50667">
      <w:pPr>
        <w:tabs>
          <w:tab w:val="left" w:pos="2116"/>
        </w:tabs>
        <w:rPr>
          <w:iCs/>
          <w:noProof/>
          <w:lang w:eastAsia="zh-CN"/>
        </w:rPr>
      </w:pPr>
      <w:r>
        <w:t>A</w:t>
      </w:r>
      <w:r w:rsidRPr="00511280">
        <w:t xml:space="preserve"> UE </w:t>
      </w:r>
      <w:r>
        <w:t xml:space="preserve">can be provided, </w:t>
      </w:r>
      <w:r w:rsidRPr="0008351E">
        <w:t xml:space="preserve">by </w:t>
      </w:r>
      <w:r w:rsidRPr="0008351E">
        <w:rPr>
          <w:i/>
          <w:color w:val="000000"/>
        </w:rPr>
        <w:t>schedulingRequestID</w:t>
      </w:r>
      <w:r w:rsidR="009F6918">
        <w:rPr>
          <w:i/>
          <w:color w:val="000000"/>
        </w:rPr>
        <w:t>-</w:t>
      </w:r>
      <w:r w:rsidR="009F6918" w:rsidRPr="0008351E">
        <w:rPr>
          <w:i/>
          <w:color w:val="000000"/>
        </w:rPr>
        <w:t>BFR</w:t>
      </w:r>
      <w:r w:rsidR="009F6918">
        <w:rPr>
          <w:i/>
          <w:color w:val="000000"/>
        </w:rPr>
        <w:t>-SCell</w:t>
      </w:r>
      <w:r w:rsidRPr="0008351E">
        <w:rPr>
          <w:iCs/>
          <w:noProof/>
          <w:lang w:eastAsia="zh-CN"/>
        </w:rPr>
        <w:t>, a configuration</w:t>
      </w:r>
      <w:r>
        <w:rPr>
          <w:iCs/>
          <w:noProof/>
          <w:lang w:eastAsia="zh-CN"/>
        </w:rPr>
        <w:t xml:space="preserve"> for PUCCH transmission with a link recovery request (LRR) as described </w:t>
      </w:r>
      <w:r w:rsidR="006F5F9E">
        <w:rPr>
          <w:iCs/>
          <w:noProof/>
          <w:lang w:eastAsia="zh-CN"/>
        </w:rPr>
        <w:t>in clause</w:t>
      </w:r>
      <w:r>
        <w:rPr>
          <w:iCs/>
          <w:noProof/>
          <w:lang w:eastAsia="zh-CN"/>
        </w:rPr>
        <w:t xml:space="preserve"> 9.2.4</w:t>
      </w:r>
      <w:r w:rsidR="001976B9">
        <w:rPr>
          <w:iCs/>
          <w:noProof/>
          <w:lang w:eastAsia="zh-CN"/>
        </w:rPr>
        <w:t xml:space="preserve"> for the UE to transmit PUCCH [11, TS 38.321]</w:t>
      </w:r>
      <w:r w:rsidR="001976B9" w:rsidRPr="00F415B1">
        <w:rPr>
          <w:iCs/>
          <w:noProof/>
          <w:lang w:eastAsia="zh-CN"/>
        </w:rPr>
        <w:t xml:space="preserve">. If the PCell or the PSCell is associated </w:t>
      </w:r>
      <w:r w:rsidR="001976B9" w:rsidRPr="00F415B1">
        <w:rPr>
          <w:iCs/>
        </w:rPr>
        <w:t xml:space="preserve">with </w:t>
      </w:r>
      <w:r w:rsidR="001976B9" w:rsidRPr="00F415B1">
        <w:t xml:space="preserve">sets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0,0</m:t>
            </m:r>
          </m:sub>
        </m:sSub>
      </m:oMath>
      <w:r w:rsidR="001976B9" w:rsidRPr="00F415B1">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1,0</m:t>
            </m:r>
          </m:sub>
        </m:sSub>
      </m:oMath>
      <w:r w:rsidR="001976B9" w:rsidRPr="00F415B1">
        <w:t xml:space="preserve">, and with sets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0,1</m:t>
            </m:r>
          </m:sub>
        </m:sSub>
      </m:oMath>
      <w:r w:rsidR="001976B9" w:rsidRPr="00F415B1">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1,1</m:t>
            </m:r>
          </m:sub>
        </m:sSub>
      </m:oMath>
      <w:r w:rsidR="001976B9" w:rsidRPr="00F415B1">
        <w:t xml:space="preserve">, the UE can be provided by </w:t>
      </w:r>
      <w:r w:rsidR="001976B9" w:rsidRPr="00F415B1">
        <w:rPr>
          <w:i/>
        </w:rPr>
        <w:t>schedulingRequestID</w:t>
      </w:r>
      <w:r w:rsidR="00944399">
        <w:rPr>
          <w:i/>
        </w:rPr>
        <w:t>-</w:t>
      </w:r>
      <w:r w:rsidR="001976B9" w:rsidRPr="00F415B1">
        <w:rPr>
          <w:i/>
        </w:rPr>
        <w:t>BFR</w:t>
      </w:r>
      <w:r w:rsidR="001976B9" w:rsidRPr="00F415B1">
        <w:t xml:space="preserve"> a first </w:t>
      </w:r>
      <w:r w:rsidR="001976B9" w:rsidRPr="00F415B1">
        <w:rPr>
          <w:iCs/>
          <w:noProof/>
          <w:lang w:eastAsia="zh-CN"/>
        </w:rPr>
        <w:t xml:space="preserve">configuration for PUCCH transmission with a LRR and, </w:t>
      </w:r>
      <w:r w:rsidR="001976B9" w:rsidRPr="00F415B1">
        <w:t xml:space="preserve">if the UE provides </w:t>
      </w:r>
      <w:r w:rsidR="001976B9" w:rsidRPr="00F415B1">
        <w:rPr>
          <w:i/>
          <w:iCs/>
        </w:rPr>
        <w:t>twoLRRcapability</w:t>
      </w:r>
      <w:r w:rsidR="001976B9" w:rsidRPr="00F415B1">
        <w:t xml:space="preserve">, </w:t>
      </w:r>
      <w:r w:rsidR="00944399" w:rsidRPr="00297FBE">
        <w:t xml:space="preserve">the UE can be provided by </w:t>
      </w:r>
      <w:r w:rsidR="00944399" w:rsidRPr="00297FBE">
        <w:rPr>
          <w:i/>
          <w:iCs/>
        </w:rPr>
        <w:t>schedulingRequestID-BFR2</w:t>
      </w:r>
      <w:r w:rsidR="00944399" w:rsidRPr="00297FBE">
        <w:t xml:space="preserve"> </w:t>
      </w:r>
      <w:r w:rsidR="001976B9" w:rsidRPr="00F415B1">
        <w:t xml:space="preserve">a second </w:t>
      </w:r>
      <w:r w:rsidR="001976B9" w:rsidRPr="00F415B1">
        <w:rPr>
          <w:iCs/>
          <w:noProof/>
          <w:lang w:eastAsia="zh-CN"/>
        </w:rPr>
        <w:t xml:space="preserve">configuration for PUCCH transmission with a LRR. If the UE is provided only the first configuration, the UE transmits a PUCCH with LRR </w:t>
      </w:r>
      <w:r w:rsidR="001976B9" w:rsidRPr="00F415B1">
        <w:t xml:space="preserve">for either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0,0</m:t>
            </m:r>
          </m:sub>
        </m:sSub>
      </m:oMath>
      <w:r w:rsidR="001976B9" w:rsidRPr="00F415B1">
        <w:t xml:space="preserve"> 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0,1</m:t>
            </m:r>
          </m:sub>
        </m:sSub>
      </m:oMath>
      <w:r w:rsidR="001976B9" w:rsidRPr="00F415B1">
        <w:t>.</w:t>
      </w:r>
      <w:r w:rsidR="001976B9" w:rsidRPr="00F415B1">
        <w:rPr>
          <w:iCs/>
          <w:noProof/>
          <w:lang w:eastAsia="zh-CN"/>
        </w:rPr>
        <w:t xml:space="preserve"> If the UE is provided both the first and second configurations, the UE uses the first configuration to transmt a PUCCH with LRR associated with </w:t>
      </w:r>
      <w:r w:rsidR="001976B9" w:rsidRPr="00F415B1">
        <w:t xml:space="preserve">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0,0</m:t>
            </m:r>
          </m:sub>
        </m:sSub>
      </m:oMath>
      <w:r w:rsidR="001976B9" w:rsidRPr="00F415B1">
        <w:t xml:space="preserve"> and the second configuration to transmit a PUCCH with LRR associated with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0,1</m:t>
            </m:r>
          </m:sub>
        </m:sSub>
      </m:oMath>
      <w:r w:rsidR="001976B9">
        <w:t xml:space="preserve"> [11, TS 38.321]</w:t>
      </w:r>
      <w:r>
        <w:rPr>
          <w:iCs/>
          <w:noProof/>
          <w:lang w:eastAsia="zh-CN"/>
        </w:rPr>
        <w:t xml:space="preserve">. </w:t>
      </w:r>
    </w:p>
    <w:p w14:paraId="17C155B8" w14:textId="6B263703" w:rsidR="00E50667" w:rsidRPr="00BF5B42" w:rsidRDefault="00E50667" w:rsidP="00E50667">
      <w:pPr>
        <w:tabs>
          <w:tab w:val="left" w:pos="2116"/>
        </w:tabs>
      </w:pPr>
      <w:r>
        <w:rPr>
          <w:iCs/>
          <w:noProof/>
          <w:lang w:eastAsia="zh-CN"/>
        </w:rPr>
        <w:t xml:space="preserve">The UE can </w:t>
      </w:r>
      <w:r w:rsidR="001976B9" w:rsidRPr="00F415B1">
        <w:rPr>
          <w:iCs/>
          <w:noProof/>
          <w:lang w:eastAsia="zh-CN"/>
        </w:rPr>
        <w:t>provide</w:t>
      </w:r>
      <w:r>
        <w:rPr>
          <w:iCs/>
          <w:noProof/>
          <w:lang w:eastAsia="zh-CN"/>
        </w:rPr>
        <w:t xml:space="preserve"> in a first PUSCH MAC CE index</w:t>
      </w:r>
      <w:r w:rsidR="009F6918">
        <w:rPr>
          <w:iCs/>
          <w:noProof/>
          <w:lang w:eastAsia="zh-CN"/>
        </w:rPr>
        <w:t>(es)</w:t>
      </w:r>
      <w:r>
        <w:rPr>
          <w:iCs/>
          <w:noProof/>
          <w:lang w:eastAsia="zh-CN"/>
        </w:rPr>
        <w:t xml:space="preserve"> for at least corresponding SCell</w:t>
      </w:r>
      <w:r w:rsidR="009F6918">
        <w:rPr>
          <w:iCs/>
          <w:noProof/>
          <w:lang w:eastAsia="zh-CN"/>
        </w:rPr>
        <w:t>(s)</w:t>
      </w:r>
      <w:r>
        <w:rPr>
          <w:iCs/>
          <w:noProof/>
          <w:lang w:eastAsia="zh-CN"/>
        </w:rPr>
        <w:t xml:space="preserve"> with</w:t>
      </w:r>
      <w:r>
        <w:t xml:space="preserve"> </w:t>
      </w:r>
      <w:r w:rsidRPr="00B916EC">
        <w:rPr>
          <w:iCs/>
        </w:rPr>
        <w:t>radio link quality</w:t>
      </w:r>
      <w:r w:rsidRPr="00B916EC">
        <w:t xml:space="preserve"> worse than Q</w:t>
      </w:r>
      <w:r w:rsidRPr="00B916EC">
        <w:rPr>
          <w:vertAlign w:val="subscript"/>
        </w:rPr>
        <w:t>out,LR</w:t>
      </w:r>
      <w:r>
        <w:rPr>
          <w:iCs/>
          <w:noProof/>
          <w:lang w:eastAsia="zh-CN"/>
        </w:rPr>
        <w:t xml:space="preserve">, </w:t>
      </w:r>
      <w:r w:rsidR="009F6918">
        <w:rPr>
          <w:rFonts w:eastAsia="DengXian"/>
          <w:iCs/>
          <w:noProof/>
        </w:rPr>
        <w:t xml:space="preserve">indication(s) of presence of </w:t>
      </w:r>
      <m:oMath>
        <m:sSub>
          <m:sSubPr>
            <m:ctrlPr>
              <w:rPr>
                <w:rFonts w:ascii="Cambria Math" w:hAnsi="Cambria Math"/>
                <w:i/>
                <w:iCs/>
              </w:rPr>
            </m:ctrlPr>
          </m:sSubPr>
          <m:e>
            <m:r>
              <w:rPr>
                <w:rFonts w:ascii="Cambria Math"/>
              </w:rPr>
              <m:t>q</m:t>
            </m:r>
          </m:e>
          <m:sub>
            <m:r>
              <m:rPr>
                <m:nor/>
              </m:rPr>
              <w:rPr>
                <w:rFonts w:ascii="Cambria Math"/>
                <w:iCs/>
              </w:rPr>
              <m:t>new</m:t>
            </m:r>
            <m:ctrlPr>
              <w:rPr>
                <w:rFonts w:ascii="Cambria Math" w:hAnsi="Cambria Math"/>
                <w:iCs/>
              </w:rPr>
            </m:ctrlPr>
          </m:sub>
        </m:sSub>
      </m:oMath>
      <w:r w:rsidR="009F6918">
        <w:rPr>
          <w:rFonts w:eastAsia="DengXian"/>
          <w:iCs/>
          <w:noProof/>
        </w:rPr>
        <w:t xml:space="preserve"> </w:t>
      </w:r>
      <w:r w:rsidR="009F6918" w:rsidRPr="009D5134">
        <w:rPr>
          <w:rFonts w:eastAsia="DengXian"/>
          <w:iCs/>
          <w:noProof/>
        </w:rPr>
        <w:t>for corresponding SCell(s)</w:t>
      </w:r>
      <w:r w:rsidR="009F6918">
        <w:rPr>
          <w:rFonts w:eastAsia="DengXian"/>
          <w:iCs/>
          <w:noProof/>
        </w:rPr>
        <w:t>, and</w:t>
      </w:r>
      <w:r w:rsidR="009F6918">
        <w:rPr>
          <w:iCs/>
          <w:noProof/>
          <w:lang w:eastAsia="zh-CN"/>
        </w:rPr>
        <w:t xml:space="preserve"> </w:t>
      </w:r>
      <w:r w:rsidR="009F6918">
        <w:t>index(es)</w:t>
      </w:r>
      <w:r>
        <w:t xml:space="preserve"> </w:t>
      </w:r>
      <m:oMath>
        <m:sSub>
          <m:sSubPr>
            <m:ctrlPr>
              <w:rPr>
                <w:rFonts w:ascii="Cambria Math" w:hAnsi="Cambria Math"/>
                <w:i/>
                <w:iCs/>
              </w:rPr>
            </m:ctrlPr>
          </m:sSubPr>
          <m:e>
            <m:r>
              <w:rPr>
                <w:rFonts w:ascii="Cambria Math"/>
              </w:rPr>
              <m:t>q</m:t>
            </m:r>
          </m:e>
          <m:sub>
            <m:r>
              <m:rPr>
                <m:nor/>
              </m:rPr>
              <w:rPr>
                <w:rFonts w:ascii="Cambria Math"/>
                <w:iCs/>
              </w:rPr>
              <m:t>new</m:t>
            </m:r>
            <m:ctrlPr>
              <w:rPr>
                <w:rFonts w:ascii="Cambria Math" w:hAnsi="Cambria Math"/>
                <w:iCs/>
              </w:rPr>
            </m:ctrlPr>
          </m:sub>
        </m:sSub>
      </m:oMath>
      <w:r>
        <w:rPr>
          <w:iCs/>
        </w:rPr>
        <w:t xml:space="preserve"> </w:t>
      </w:r>
      <w:r>
        <w:t xml:space="preserve">for a </w:t>
      </w:r>
      <w:r w:rsidRPr="00B916EC">
        <w:t>periodic CSI-RS configuration</w:t>
      </w:r>
      <w:r>
        <w:t xml:space="preserve"> </w:t>
      </w:r>
      <w:r w:rsidRPr="00B916EC">
        <w:t>or</w:t>
      </w:r>
      <w:r>
        <w:t xml:space="preserve"> for a </w:t>
      </w:r>
      <w:r w:rsidRPr="00B916EC">
        <w:t>SS/PBCH block</w:t>
      </w:r>
      <w:r>
        <w:t xml:space="preserve"> </w:t>
      </w:r>
      <w:r>
        <w:rPr>
          <w:iCs/>
          <w:noProof/>
          <w:lang w:eastAsia="zh-CN"/>
        </w:rPr>
        <w:t xml:space="preserve">provided </w:t>
      </w:r>
      <w:r>
        <w:rPr>
          <w:iCs/>
        </w:rPr>
        <w:t xml:space="preserve">by higher layers, as described in </w:t>
      </w:r>
      <w:r w:rsidRPr="00C5127A">
        <w:t>[11, TS 38.321]</w:t>
      </w:r>
      <w:r>
        <w:rPr>
          <w:iCs/>
        </w:rPr>
        <w:t>, if any, for corresponding SCell</w:t>
      </w:r>
      <w:r w:rsidR="009F6918">
        <w:rPr>
          <w:iCs/>
        </w:rPr>
        <w:t>(s)</w:t>
      </w:r>
      <w:r w:rsidRPr="00B916EC">
        <w:rPr>
          <w:iCs/>
        </w:rPr>
        <w:t>.</w:t>
      </w:r>
      <w:r>
        <w:rPr>
          <w:iCs/>
        </w:rPr>
        <w:t xml:space="preserve"> After 28 symbols from a last symbol of a PDCCH reception with a DCI format scheduling a PUSCH transmission with a same HARQ process number as for the transmission of the first PUSCH and having a toggled NDI field value, </w:t>
      </w:r>
      <w:r>
        <w:rPr>
          <w:iCs/>
          <w:lang w:eastAsia="ja-JP"/>
        </w:rPr>
        <w:t>the UE</w:t>
      </w:r>
    </w:p>
    <w:p w14:paraId="6F02412B" w14:textId="1679658D" w:rsidR="00E50667" w:rsidRDefault="00E50667" w:rsidP="00E50667">
      <w:pPr>
        <w:pStyle w:val="B1"/>
        <w:rPr>
          <w:iCs/>
        </w:rPr>
      </w:pPr>
      <w:r w:rsidRPr="0084769C">
        <w:t>-</w:t>
      </w:r>
      <w:r w:rsidRPr="0084769C">
        <w:tab/>
      </w:r>
      <w:r w:rsidR="001A1C03">
        <w:rPr>
          <w:lang w:val="en-US"/>
        </w:rPr>
        <w:t>monitors</w:t>
      </w:r>
      <w:r>
        <w:t xml:space="preserve"> PDCCH</w:t>
      </w:r>
      <w:r w:rsidR="001A1C03" w:rsidRPr="001A1C03">
        <w:rPr>
          <w:lang w:val="en-US"/>
        </w:rPr>
        <w:t xml:space="preserve"> </w:t>
      </w:r>
      <w:r w:rsidR="001A1C03">
        <w:rPr>
          <w:lang w:val="en-US"/>
        </w:rPr>
        <w:t>in all CORESETs</w:t>
      </w:r>
      <w:r>
        <w:t xml:space="preserve"> </w:t>
      </w:r>
      <w:r>
        <w:rPr>
          <w:iCs/>
          <w:lang w:eastAsia="ja-JP"/>
        </w:rPr>
        <w:t>on the SCell</w:t>
      </w:r>
      <w:r w:rsidR="001A1C03">
        <w:rPr>
          <w:iCs/>
          <w:lang w:val="en-US" w:eastAsia="ja-JP"/>
        </w:rPr>
        <w:t>(s)</w:t>
      </w:r>
      <w:r w:rsidR="001A1C03">
        <w:rPr>
          <w:iCs/>
          <w:lang w:eastAsia="ja-JP"/>
        </w:rPr>
        <w:t xml:space="preserve"> </w:t>
      </w:r>
      <w:r w:rsidR="001A1C03">
        <w:rPr>
          <w:iCs/>
          <w:lang w:val="en-US" w:eastAsia="ja-JP"/>
        </w:rPr>
        <w:t xml:space="preserve">indicated by the MAC CE </w:t>
      </w:r>
      <w:r w:rsidR="001A1C03">
        <w:rPr>
          <w:lang w:val="en-US"/>
        </w:rPr>
        <w:t>using the</w:t>
      </w:r>
      <w:r>
        <w:t xml:space="preserve"> </w:t>
      </w:r>
      <w:r w:rsidRPr="00265678">
        <w:rPr>
          <w:iCs/>
          <w:lang w:eastAsia="ja-JP"/>
        </w:rPr>
        <w:t>same antenna port quasi</w:t>
      </w:r>
      <w:r w:rsidR="001A1C03">
        <w:rPr>
          <w:iCs/>
          <w:lang w:val="en-US" w:eastAsia="ja-JP"/>
        </w:rPr>
        <w:t xml:space="preserve"> </w:t>
      </w:r>
      <w:r w:rsidR="001A1C03" w:rsidRPr="00265678">
        <w:rPr>
          <w:iCs/>
          <w:lang w:eastAsia="ja-JP"/>
        </w:rPr>
        <w:t>co</w:t>
      </w:r>
      <w:r w:rsidR="001A1C03">
        <w:rPr>
          <w:iCs/>
          <w:lang w:val="en-US" w:eastAsia="ja-JP"/>
        </w:rPr>
        <w:t>-</w:t>
      </w:r>
      <w:r w:rsidR="001A1C03" w:rsidRPr="00265678">
        <w:rPr>
          <w:iCs/>
          <w:lang w:eastAsia="ja-JP"/>
        </w:rPr>
        <w:t xml:space="preserve">location </w:t>
      </w:r>
      <w:r w:rsidRPr="00265678">
        <w:rPr>
          <w:iCs/>
          <w:lang w:eastAsia="ja-JP"/>
        </w:rPr>
        <w:t xml:space="preserve">parameters </w:t>
      </w:r>
      <w:r>
        <w:rPr>
          <w:iCs/>
          <w:lang w:eastAsia="ja-JP"/>
        </w:rPr>
        <w:t>as</w:t>
      </w:r>
      <w:r w:rsidRPr="00265678">
        <w:rPr>
          <w:iCs/>
          <w:lang w:eastAsia="ja-JP"/>
        </w:rPr>
        <w:t xml:space="preserve"> the ones associated with </w:t>
      </w:r>
      <w:r w:rsidR="001A1C03">
        <w:rPr>
          <w:iCs/>
          <w:lang w:val="en-US" w:eastAsia="ja-JP"/>
        </w:rPr>
        <w:t>the</w:t>
      </w:r>
      <w:r w:rsidR="001A1C03">
        <w:rPr>
          <w:iCs/>
          <w:lang w:eastAsia="ja-JP"/>
        </w:rPr>
        <w:t xml:space="preserve"> </w:t>
      </w:r>
      <w:r>
        <w:rPr>
          <w:iCs/>
          <w:lang w:eastAsia="ja-JP"/>
        </w:rPr>
        <w:t xml:space="preserve">corresponding </w:t>
      </w:r>
      <w:r w:rsidRPr="00265678">
        <w:rPr>
          <w:iCs/>
          <w:lang w:eastAsia="ja-JP"/>
        </w:rPr>
        <w:t>index</w:t>
      </w:r>
      <w:r w:rsidR="001A1C03">
        <w:rPr>
          <w:iCs/>
          <w:lang w:val="en-US" w:eastAsia="ja-JP"/>
        </w:rPr>
        <w:t>(es)</w:t>
      </w:r>
      <w:r w:rsidRPr="00265678">
        <w:rPr>
          <w:iCs/>
          <w:lang w:eastAsia="ja-JP"/>
        </w:rPr>
        <w:t xml:space="preserve"> </w:t>
      </w:r>
      <m:oMath>
        <m:sSub>
          <m:sSubPr>
            <m:ctrlPr>
              <w:rPr>
                <w:rFonts w:ascii="Cambria Math" w:hAnsi="Cambria Math"/>
                <w:i/>
                <w:iCs/>
              </w:rPr>
            </m:ctrlPr>
          </m:sSubPr>
          <m:e>
            <m:r>
              <w:rPr>
                <w:rFonts w:ascii="Cambria Math"/>
              </w:rPr>
              <m:t>q</m:t>
            </m:r>
          </m:e>
          <m:sub>
            <m:r>
              <m:rPr>
                <m:nor/>
              </m:rPr>
              <w:rPr>
                <w:rFonts w:ascii="Cambria Math"/>
                <w:iCs/>
              </w:rPr>
              <m:t>new</m:t>
            </m:r>
            <m:ctrlPr>
              <w:rPr>
                <w:rFonts w:ascii="Cambria Math" w:hAnsi="Cambria Math"/>
                <w:iCs/>
              </w:rPr>
            </m:ctrlPr>
          </m:sub>
        </m:sSub>
      </m:oMath>
      <w:r>
        <w:rPr>
          <w:iCs/>
        </w:rPr>
        <w:t>, if any</w:t>
      </w:r>
    </w:p>
    <w:p w14:paraId="448AF9D8" w14:textId="3509698A" w:rsidR="00E50667" w:rsidRDefault="00E50667" w:rsidP="00E50667">
      <w:pPr>
        <w:pStyle w:val="B1"/>
        <w:rPr>
          <w:iCs/>
        </w:rPr>
      </w:pPr>
      <w:r w:rsidRPr="0084769C">
        <w:t>-</w:t>
      </w:r>
      <w:r w:rsidRPr="0084769C">
        <w:tab/>
      </w:r>
      <w:r>
        <w:t xml:space="preserve">transmits PUCCH on a PUCCH-SCell </w:t>
      </w:r>
      <w:r w:rsidRPr="00152826">
        <w:t xml:space="preserve">using a same spatial domain filter as </w:t>
      </w:r>
      <w:r>
        <w:t xml:space="preserve">the one corresponding to </w:t>
      </w:r>
      <m:oMath>
        <m:sSub>
          <m:sSubPr>
            <m:ctrlPr>
              <w:rPr>
                <w:rFonts w:ascii="Cambria Math" w:hAnsi="Cambria Math"/>
                <w:i/>
                <w:iCs/>
              </w:rPr>
            </m:ctrlPr>
          </m:sSubPr>
          <m:e>
            <m:r>
              <w:rPr>
                <w:rFonts w:ascii="Cambria Math"/>
              </w:rPr>
              <m:t>q</m:t>
            </m:r>
          </m:e>
          <m:sub>
            <m:r>
              <m:rPr>
                <m:nor/>
              </m:rPr>
              <w:rPr>
                <w:rFonts w:ascii="Cambria Math"/>
                <w:iCs/>
              </w:rPr>
              <m:t>new</m:t>
            </m:r>
            <m:ctrlPr>
              <w:rPr>
                <w:rFonts w:ascii="Cambria Math" w:hAnsi="Cambria Math"/>
                <w:iCs/>
              </w:rPr>
            </m:ctrlPr>
          </m:sub>
        </m:sSub>
      </m:oMath>
      <w:r w:rsidR="00EC079E">
        <w:rPr>
          <w:rFonts w:asciiTheme="minorEastAsia" w:eastAsiaTheme="minorEastAsia" w:hAnsiTheme="minorEastAsia"/>
          <w:iCs/>
          <w:lang w:eastAsia="zh-CN"/>
        </w:rPr>
        <w:t>,</w:t>
      </w:r>
      <w:r w:rsidR="00EC079E">
        <w:rPr>
          <w:rFonts w:asciiTheme="minorEastAsia" w:eastAsiaTheme="minorEastAsia" w:hAnsiTheme="minorEastAsia"/>
          <w:iCs/>
          <w:lang w:val="en-US" w:eastAsia="zh-CN"/>
        </w:rPr>
        <w:t xml:space="preserve"> </w:t>
      </w:r>
      <w:r w:rsidR="00EC079E">
        <w:rPr>
          <w:rFonts w:eastAsiaTheme="minorEastAsia" w:hint="eastAsia"/>
          <w:iCs/>
          <w:lang w:eastAsia="zh-CN"/>
        </w:rPr>
        <w:t>i</w:t>
      </w:r>
      <w:r w:rsidR="00EC079E">
        <w:rPr>
          <w:rFonts w:eastAsiaTheme="minorEastAsia"/>
          <w:iCs/>
          <w:lang w:eastAsia="zh-CN"/>
        </w:rPr>
        <w:t xml:space="preserve">f any, </w:t>
      </w:r>
      <w:r>
        <w:t xml:space="preserve">for periodic CSI-RS </w:t>
      </w:r>
      <w:r w:rsidRPr="00B916EC">
        <w:t>or</w:t>
      </w:r>
      <w:r>
        <w:t xml:space="preserve"> </w:t>
      </w:r>
      <w:r w:rsidRPr="00B916EC">
        <w:t>SS/PBCH block</w:t>
      </w:r>
      <w:r>
        <w:t xml:space="preserve"> </w:t>
      </w:r>
      <w:r w:rsidRPr="00152826">
        <w:t>reception</w:t>
      </w:r>
      <w:r>
        <w:t>,</w:t>
      </w:r>
      <w:r w:rsidRPr="00152826">
        <w:t xml:space="preserve"> </w:t>
      </w:r>
      <w:r>
        <w:t xml:space="preserve">as described </w:t>
      </w:r>
      <w:r w:rsidR="006F5F9E">
        <w:t>in clause</w:t>
      </w:r>
      <w:r>
        <w:t xml:space="preserve"> 9.2.2, </w:t>
      </w:r>
      <w:r w:rsidR="001A1C03">
        <w:rPr>
          <w:lang w:val="en-US"/>
        </w:rPr>
        <w:t xml:space="preserve">and using a power determined as described </w:t>
      </w:r>
      <w:r w:rsidR="006F5F9E">
        <w:rPr>
          <w:lang w:val="en-US"/>
        </w:rPr>
        <w:t>in clause</w:t>
      </w:r>
      <w:r w:rsidR="001A1C03">
        <w:rPr>
          <w:lang w:val="en-US"/>
        </w:rPr>
        <w:t xml:space="preserve"> 7.2.1 with </w:t>
      </w:r>
      <m:oMath>
        <m:sSub>
          <m:sSubPr>
            <m:ctrlPr>
              <w:rPr>
                <w:rFonts w:ascii="Cambria Math" w:hAnsi="Cambria Math"/>
                <w:i/>
                <w:iCs/>
              </w:rPr>
            </m:ctrlPr>
          </m:sSubPr>
          <m:e>
            <m:r>
              <w:rPr>
                <w:rFonts w:ascii="Cambria Math"/>
              </w:rPr>
              <m:t>q</m:t>
            </m:r>
          </m:e>
          <m:sub>
            <m:r>
              <m:rPr>
                <m:nor/>
              </m:rPr>
              <w:rPr>
                <w:rFonts w:ascii="Cambria Math"/>
                <w:iCs/>
              </w:rPr>
              <m:t>u</m:t>
            </m:r>
            <m:ctrlPr>
              <w:rPr>
                <w:rFonts w:ascii="Cambria Math" w:hAnsi="Cambria Math"/>
                <w:iCs/>
              </w:rPr>
            </m:ctrlPr>
          </m:sub>
        </m:sSub>
        <m:r>
          <w:rPr>
            <w:rFonts w:ascii="Cambria Math" w:hAnsi="Cambria Math"/>
          </w:rPr>
          <m:t>=0</m:t>
        </m:r>
      </m:oMath>
      <w:r w:rsidR="001A1C03">
        <w:rPr>
          <w:lang w:val="en-US"/>
        </w:rPr>
        <w:t xml:space="preserve">, </w:t>
      </w:r>
      <m:oMath>
        <m:sSub>
          <m:sSubPr>
            <m:ctrlPr>
              <w:rPr>
                <w:rFonts w:ascii="Cambria Math" w:hAnsi="Cambria Math"/>
                <w:i/>
                <w:iCs/>
              </w:rPr>
            </m:ctrlPr>
          </m:sSubPr>
          <m:e>
            <m:sSub>
              <m:sSubPr>
                <m:ctrlPr>
                  <w:rPr>
                    <w:rFonts w:ascii="Cambria Math" w:hAnsi="Cambria Math"/>
                    <w:i/>
                    <w:iCs/>
                  </w:rPr>
                </m:ctrlPr>
              </m:sSubPr>
              <m:e>
                <m:r>
                  <w:rPr>
                    <w:rFonts w:ascii="Cambria Math"/>
                  </w:rPr>
                  <m:t>q</m:t>
                </m:r>
              </m:e>
              <m:sub>
                <m:r>
                  <m:rPr>
                    <m:nor/>
                  </m:rPr>
                  <w:rPr>
                    <w:rFonts w:ascii="Cambria Math"/>
                    <w:iCs/>
                    <w:lang w:val="en-US"/>
                  </w:rPr>
                  <m:t>d</m:t>
                </m:r>
                <m:ctrlPr>
                  <w:rPr>
                    <w:rFonts w:ascii="Cambria Math" w:hAnsi="Cambria Math"/>
                    <w:iCs/>
                  </w:rPr>
                </m:ctrlPr>
              </m:sub>
            </m:sSub>
            <m:r>
              <w:rPr>
                <w:rFonts w:ascii="Cambria Math" w:hAnsi="Cambria Math"/>
              </w:rPr>
              <m:t>=</m:t>
            </m:r>
            <m:r>
              <w:rPr>
                <w:rFonts w:ascii="Cambria Math"/>
              </w:rPr>
              <m:t>q</m:t>
            </m:r>
          </m:e>
          <m:sub>
            <m:r>
              <m:rPr>
                <m:nor/>
              </m:rPr>
              <w:rPr>
                <w:rFonts w:ascii="Cambria Math"/>
                <w:iCs/>
              </w:rPr>
              <m:t>new</m:t>
            </m:r>
            <m:ctrlPr>
              <w:rPr>
                <w:rFonts w:ascii="Cambria Math" w:hAnsi="Cambria Math"/>
                <w:iCs/>
              </w:rPr>
            </m:ctrlPr>
          </m:sub>
        </m:sSub>
      </m:oMath>
      <w:r w:rsidR="001A1C03">
        <w:rPr>
          <w:lang w:val="en-US"/>
        </w:rPr>
        <w:t xml:space="preserve">, and </w:t>
      </w:r>
      <m:oMath>
        <m:r>
          <w:rPr>
            <w:rFonts w:ascii="Cambria Math" w:hAnsi="Cambria Math"/>
          </w:rPr>
          <m:t>l=0</m:t>
        </m:r>
      </m:oMath>
      <w:r w:rsidR="001A1C03">
        <w:rPr>
          <w:iCs/>
          <w:lang w:val="en-US"/>
        </w:rPr>
        <w:t>,</w:t>
      </w:r>
      <w:r w:rsidR="001A1C03">
        <w:rPr>
          <w:lang w:val="en-US"/>
        </w:rPr>
        <w:t xml:space="preserve"> </w:t>
      </w:r>
      <w:r>
        <w:rPr>
          <w:iCs/>
        </w:rPr>
        <w:t xml:space="preserve">if </w:t>
      </w:r>
    </w:p>
    <w:p w14:paraId="229FAA9D" w14:textId="0C919047" w:rsidR="00E50667" w:rsidRDefault="00E50667" w:rsidP="0047180A">
      <w:pPr>
        <w:pStyle w:val="B2"/>
      </w:pPr>
      <w:r w:rsidRPr="0084769C">
        <w:t>-</w:t>
      </w:r>
      <w:r w:rsidR="00D93480">
        <w:tab/>
      </w:r>
      <w:r>
        <w:rPr>
          <w:iCs/>
        </w:rPr>
        <w:t xml:space="preserve">the UE is </w:t>
      </w:r>
      <w:r>
        <w:t xml:space="preserve">provided </w:t>
      </w:r>
      <w:r w:rsidRPr="00A03E39">
        <w:rPr>
          <w:i/>
        </w:rPr>
        <w:t>PUCCH-Spatial</w:t>
      </w:r>
      <w:r>
        <w:rPr>
          <w:i/>
        </w:rPr>
        <w:t>R</w:t>
      </w:r>
      <w:r w:rsidRPr="00A03E39">
        <w:rPr>
          <w:i/>
        </w:rPr>
        <w:t>elation</w:t>
      </w:r>
      <w:r>
        <w:rPr>
          <w:i/>
        </w:rPr>
        <w:t>I</w:t>
      </w:r>
      <w:r w:rsidRPr="00A03E39">
        <w:rPr>
          <w:i/>
        </w:rPr>
        <w:t>nfo</w:t>
      </w:r>
      <w:r>
        <w:t xml:space="preserve"> for the PUCCH,</w:t>
      </w:r>
    </w:p>
    <w:p w14:paraId="62610606" w14:textId="2D6F46C0" w:rsidR="00E50667" w:rsidRDefault="00E50667" w:rsidP="0047180A">
      <w:pPr>
        <w:pStyle w:val="B2"/>
      </w:pPr>
      <w:r w:rsidRPr="0084769C">
        <w:lastRenderedPageBreak/>
        <w:t>-</w:t>
      </w:r>
      <w:r w:rsidR="00D93480">
        <w:tab/>
      </w:r>
      <w:r w:rsidR="001A1C03" w:rsidRPr="008864CF">
        <w:t>a</w:t>
      </w:r>
      <w:r w:rsidR="001A1C03">
        <w:rPr>
          <w:lang w:val="en-US"/>
        </w:rPr>
        <w:t xml:space="preserve"> </w:t>
      </w:r>
      <w:r w:rsidR="001A1C03" w:rsidRPr="008864CF">
        <w:t>PUCCH with the LR</w:t>
      </w:r>
      <w:r w:rsidR="001A1C03">
        <w:t>R was either not transmitted or</w:t>
      </w:r>
      <w:r>
        <w:t xml:space="preserve"> was </w:t>
      </w:r>
      <w:r w:rsidR="001A1C03">
        <w:rPr>
          <w:lang w:val="en-US"/>
        </w:rPr>
        <w:t xml:space="preserve">transmitted </w:t>
      </w:r>
      <w:r>
        <w:t>on the PCell or the PSCell, and</w:t>
      </w:r>
    </w:p>
    <w:p w14:paraId="3F310ED6" w14:textId="20FA0520" w:rsidR="00E50667" w:rsidRPr="00FD2021" w:rsidRDefault="00E50667" w:rsidP="0047180A">
      <w:pPr>
        <w:pStyle w:val="B2"/>
      </w:pPr>
      <w:r w:rsidRPr="0084769C">
        <w:t>-</w:t>
      </w:r>
      <w:r w:rsidR="00D93480">
        <w:tab/>
      </w:r>
      <w:r>
        <w:t>the PUCCH-SCell is included in the SCell</w:t>
      </w:r>
      <w:r w:rsidR="001A1C03">
        <w:rPr>
          <w:lang w:val="en-US"/>
        </w:rPr>
        <w:t>(s) indicated by the MAC-CE</w:t>
      </w:r>
    </w:p>
    <w:p w14:paraId="74AF97F1" w14:textId="0F8CBAAF" w:rsidR="00BF5B42" w:rsidRPr="00BF5B42" w:rsidRDefault="00E50667" w:rsidP="001976B9">
      <w:pPr>
        <w:rPr>
          <w:rFonts w:cstheme="minorHAnsi"/>
          <w:lang w:val="en-US"/>
        </w:rPr>
      </w:pPr>
      <w:r>
        <w:t>where the SCS configuration for the 28 symbols is the smallest of the SCS configurations of the active DL BWP for the PDCCH reception and of the active DL BWP(s) of the at least one SCell.</w:t>
      </w:r>
    </w:p>
    <w:p w14:paraId="28B608F5" w14:textId="2F5D5E86" w:rsidR="001976B9" w:rsidRPr="00F415B1" w:rsidRDefault="003A4EE7" w:rsidP="001976B9">
      <w:pPr>
        <w:tabs>
          <w:tab w:val="left" w:pos="2116"/>
        </w:tabs>
      </w:pPr>
      <w:r>
        <w:rPr>
          <w:iCs/>
        </w:rPr>
        <w:t xml:space="preserve">For serving cells associated with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m:t>
            </m:r>
          </m:sub>
        </m:sSub>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m:t>
            </m:r>
          </m:sub>
        </m:sSub>
      </m:oMath>
      <w:r>
        <w:t xml:space="preserve">, </w:t>
      </w:r>
      <w:r>
        <w:rPr>
          <w:iCs/>
        </w:rPr>
        <w:t>if</w:t>
      </w:r>
      <w:r w:rsidRPr="00F415B1">
        <w:rPr>
          <w:iCs/>
        </w:rPr>
        <w:t xml:space="preserve"> a UE is provided </w:t>
      </w:r>
      <w:r w:rsidRPr="00997ADD">
        <w:rPr>
          <w:rFonts w:cs="Times"/>
          <w:i/>
          <w:szCs w:val="18"/>
          <w:lang w:eastAsia="zh-CN"/>
        </w:rPr>
        <w:t>dl-OrJointTCI</w:t>
      </w:r>
      <w:r>
        <w:rPr>
          <w:rFonts w:cs="Times"/>
          <w:i/>
          <w:szCs w:val="18"/>
          <w:lang w:eastAsia="zh-CN"/>
        </w:rPr>
        <w:t>-</w:t>
      </w:r>
      <w:r w:rsidRPr="00997ADD">
        <w:rPr>
          <w:rFonts w:cs="Times"/>
          <w:i/>
          <w:szCs w:val="18"/>
          <w:lang w:eastAsia="zh-CN"/>
        </w:rPr>
        <w:t>StateList</w:t>
      </w:r>
      <w:r>
        <w:rPr>
          <w:rFonts w:cs="Times"/>
          <w:iCs/>
          <w:szCs w:val="18"/>
          <w:lang w:eastAsia="zh-CN"/>
        </w:rPr>
        <w:t xml:space="preserve"> </w:t>
      </w:r>
      <w:r w:rsidRPr="00037243">
        <w:rPr>
          <w:rFonts w:cs="Times"/>
          <w:iCs/>
          <w:szCs w:val="18"/>
          <w:lang w:val="en-US" w:eastAsia="zh-CN"/>
        </w:rPr>
        <w:t>or</w:t>
      </w:r>
      <w:r w:rsidRPr="00037243">
        <w:rPr>
          <w:lang w:val="en-US"/>
        </w:rPr>
        <w:t xml:space="preserve"> </w:t>
      </w:r>
      <w:r w:rsidRPr="00F55553">
        <w:rPr>
          <w:rFonts w:hint="eastAsia"/>
          <w:i/>
          <w:iCs/>
          <w:lang w:eastAsia="zh-CN"/>
        </w:rPr>
        <w:t>ul</w:t>
      </w:r>
      <w:r w:rsidRPr="00F55553">
        <w:rPr>
          <w:i/>
          <w:iCs/>
        </w:rPr>
        <w:t>-TCI-StateList</w:t>
      </w:r>
      <w:r>
        <w:rPr>
          <w:iCs/>
        </w:rPr>
        <w:t xml:space="preserve"> and is indicated one or two</w:t>
      </w:r>
      <w:r w:rsidRPr="00F415B1">
        <w:rPr>
          <w:iCs/>
        </w:rPr>
        <w:t xml:space="preserve"> TCI state</w:t>
      </w:r>
      <w:r>
        <w:rPr>
          <w:iCs/>
        </w:rPr>
        <w:t>(s)</w:t>
      </w:r>
      <w:r w:rsidR="001976B9" w:rsidRPr="00F415B1">
        <w:rPr>
          <w:iCs/>
        </w:rPr>
        <w:t xml:space="preserve">, after </w:t>
      </w:r>
      <w:r w:rsidR="00C274AA">
        <w:rPr>
          <w:iCs/>
        </w:rPr>
        <w:t>28</w:t>
      </w:r>
      <w:r w:rsidR="001976B9" w:rsidRPr="00F415B1">
        <w:rPr>
          <w:iCs/>
        </w:rPr>
        <w:t xml:space="preserve"> symbols from a last symbol of a PDCCH reception with a DCI format scheduling a PUSCH transmission with a same HARQ process number as for the transmission of the first PUSCH and having a toggled NDI field value</w:t>
      </w:r>
      <w:r w:rsidR="001976B9" w:rsidRPr="00F415B1">
        <w:t>, the UE</w:t>
      </w:r>
    </w:p>
    <w:p w14:paraId="6A825972" w14:textId="79B810BC" w:rsidR="001976B9" w:rsidRPr="00F415B1" w:rsidRDefault="001976B9" w:rsidP="00BF5B42">
      <w:pPr>
        <w:pStyle w:val="B1"/>
        <w:rPr>
          <w:iCs/>
        </w:rPr>
      </w:pPr>
      <w:r w:rsidRPr="00F415B1">
        <w:t>-</w:t>
      </w:r>
      <w:r w:rsidRPr="00F415B1">
        <w:tab/>
      </w:r>
      <w:r w:rsidR="00DC265F" w:rsidRPr="00DC265F">
        <w:t xml:space="preserve">if </w:t>
      </w:r>
      <w:r w:rsidR="00DC265F" w:rsidRPr="006138D7">
        <w:rPr>
          <w:i/>
          <w:iCs/>
        </w:rPr>
        <w:t>SSB-MTC-AdditionalPCI</w:t>
      </w:r>
      <w:r w:rsidR="00DC265F" w:rsidRPr="00DC265F">
        <w:t xml:space="preserve"> is not provided,</w:t>
      </w:r>
      <w:r w:rsidR="00DC265F" w:rsidRPr="00DC265F">
        <w:rPr>
          <w:lang w:val="en-GB"/>
        </w:rPr>
        <w:t xml:space="preserve"> </w:t>
      </w:r>
      <w:r w:rsidRPr="00F415B1">
        <w:t>monitors PDCCH in all CORESETs,</w:t>
      </w:r>
      <w:r w:rsidRPr="00DC265F">
        <w:t xml:space="preserve"> </w:t>
      </w:r>
      <w:r w:rsidR="00DC265F" w:rsidRPr="00DC265F">
        <w:t>on the SCell (s) indicated by the MAC CE,</w:t>
      </w:r>
      <w:r w:rsidR="00DC265F" w:rsidRPr="00DC265F">
        <w:rPr>
          <w:lang w:val="en-GB"/>
        </w:rPr>
        <w:t xml:space="preserve"> </w:t>
      </w:r>
      <w:r w:rsidRPr="00F415B1">
        <w:t xml:space="preserve">and receives PDSCH and aperiodic CSI-RS resource </w:t>
      </w:r>
      <w:r w:rsidR="00C274AA" w:rsidRPr="00F415B1">
        <w:t>in</w:t>
      </w:r>
      <w:r w:rsidRPr="00F415B1">
        <w:t xml:space="preserve"> a CSI-RS resource set using the </w:t>
      </w:r>
      <w:r w:rsidRPr="00F415B1">
        <w:rPr>
          <w:iCs/>
          <w:lang w:eastAsia="ja-JP"/>
        </w:rPr>
        <w:t xml:space="preserve">same antenna port quasi co-location parameters as the ones associated with the corresponding index </w:t>
      </w:r>
      <m:oMath>
        <m:sSub>
          <m:sSubPr>
            <m:ctrlPr>
              <w:rPr>
                <w:rFonts w:ascii="Cambria Math" w:hAnsi="Cambria Math"/>
                <w:i/>
                <w:iCs/>
              </w:rPr>
            </m:ctrlPr>
          </m:sSubPr>
          <m:e>
            <m:r>
              <w:rPr>
                <w:rFonts w:ascii="Cambria Math"/>
              </w:rPr>
              <m:t>q</m:t>
            </m:r>
          </m:e>
          <m:sub>
            <m:r>
              <m:rPr>
                <m:nor/>
              </m:rPr>
              <w:rPr>
                <w:rFonts w:ascii="Cambria Math"/>
                <w:iCs/>
              </w:rPr>
              <m:t>new</m:t>
            </m:r>
            <m:ctrlPr>
              <w:rPr>
                <w:rFonts w:ascii="Cambria Math" w:hAnsi="Cambria Math"/>
                <w:iCs/>
              </w:rPr>
            </m:ctrlPr>
          </m:sub>
        </m:sSub>
      </m:oMath>
      <w:r w:rsidRPr="00F415B1">
        <w:rPr>
          <w:iCs/>
        </w:rPr>
        <w:t>, if any</w:t>
      </w:r>
    </w:p>
    <w:p w14:paraId="1E5763BB" w14:textId="77777777" w:rsidR="00C274AA" w:rsidRPr="00846698" w:rsidRDefault="00C274AA" w:rsidP="00C274AA">
      <w:pPr>
        <w:pStyle w:val="B1"/>
        <w:rPr>
          <w:iCs/>
          <w:lang w:val="en-US"/>
        </w:rPr>
      </w:pPr>
      <w:r w:rsidRPr="00F415B1">
        <w:t>-</w:t>
      </w:r>
      <w:r w:rsidRPr="00F415B1">
        <w:tab/>
        <w:t>transmits PU</w:t>
      </w:r>
      <w:r>
        <w:rPr>
          <w:lang w:val="en-US"/>
        </w:rPr>
        <w:t>S</w:t>
      </w:r>
      <w:r w:rsidRPr="00F415B1">
        <w:t>CH, PU</w:t>
      </w:r>
      <w:r>
        <w:rPr>
          <w:lang w:val="en-US"/>
        </w:rPr>
        <w:t>C</w:t>
      </w:r>
      <w:r w:rsidRPr="00F415B1">
        <w:t xml:space="preserve">CH and SRS </w:t>
      </w:r>
      <w:r>
        <w:t xml:space="preserve">that uses </w:t>
      </w:r>
      <w:r w:rsidRPr="00F415B1">
        <w:t xml:space="preserve">a same spatial domain filter </w:t>
      </w:r>
      <w:r>
        <w:t>with same indicated TCI state as for the PU</w:t>
      </w:r>
      <w:r>
        <w:rPr>
          <w:lang w:val="en-US"/>
        </w:rPr>
        <w:t>S</w:t>
      </w:r>
      <w:r>
        <w:t>CH and PU</w:t>
      </w:r>
      <w:r>
        <w:rPr>
          <w:lang w:val="en-US"/>
        </w:rPr>
        <w:t>C</w:t>
      </w:r>
      <w:r>
        <w:t xml:space="preserve">CH, </w:t>
      </w:r>
      <w:r w:rsidRPr="00F415B1">
        <w:t>using a same spatial domain filter as the one corresponding to</w:t>
      </w:r>
      <w:r w:rsidRPr="00F415B1">
        <w:rPr>
          <w:iCs/>
          <w:lang w:eastAsia="ja-JP"/>
        </w:rPr>
        <w:t xml:space="preserve"> </w:t>
      </w:r>
      <m:oMath>
        <m:sSub>
          <m:sSubPr>
            <m:ctrlPr>
              <w:rPr>
                <w:rFonts w:ascii="Cambria Math" w:hAnsi="Cambria Math"/>
                <w:i/>
                <w:iCs/>
              </w:rPr>
            </m:ctrlPr>
          </m:sSubPr>
          <m:e>
            <m:r>
              <w:rPr>
                <w:rFonts w:ascii="Cambria Math"/>
              </w:rPr>
              <m:t>q</m:t>
            </m:r>
          </m:e>
          <m:sub>
            <m:r>
              <m:rPr>
                <m:nor/>
              </m:rPr>
              <w:rPr>
                <w:rFonts w:ascii="Cambria Math"/>
                <w:iCs/>
              </w:rPr>
              <m:t>new</m:t>
            </m:r>
            <m:ctrlPr>
              <w:rPr>
                <w:rFonts w:ascii="Cambria Math" w:hAnsi="Cambria Math"/>
                <w:iCs/>
              </w:rPr>
            </m:ctrlPr>
          </m:sub>
        </m:sSub>
      </m:oMath>
      <w:r w:rsidRPr="00F415B1">
        <w:rPr>
          <w:iCs/>
        </w:rPr>
        <w:t>, if any</w:t>
      </w:r>
      <w:r>
        <w:rPr>
          <w:iCs/>
          <w:lang w:val="en-US"/>
        </w:rPr>
        <w:t>, and</w:t>
      </w:r>
      <w:r w:rsidRPr="002163C5">
        <w:rPr>
          <w:iCs/>
          <w:lang w:val="en-US"/>
        </w:rPr>
        <w:t xml:space="preserve"> </w:t>
      </w:r>
      <w:r w:rsidRPr="00846698">
        <w:rPr>
          <w:iCs/>
          <w:lang w:val="en-US"/>
        </w:rPr>
        <w:t>using the following parameters for determination of a corresponding power as described in clauses 7.1.1, 7.2.1, and 7.3.1</w:t>
      </w:r>
    </w:p>
    <w:p w14:paraId="1999C6F7" w14:textId="77777777" w:rsidR="00C274AA" w:rsidRPr="00846698" w:rsidRDefault="00C274AA" w:rsidP="00C274AA">
      <w:pPr>
        <w:pStyle w:val="B2"/>
      </w:pPr>
      <w:r w:rsidRPr="00846698">
        <w:t>-</w:t>
      </w:r>
      <w:r w:rsidRPr="00846698">
        <w:tab/>
        <w:t>the RS index</w:t>
      </w:r>
      <w:r w:rsidRPr="00846698">
        <w:rPr>
          <w:lang w:eastAsia="zh-CN"/>
        </w:rPr>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=q</m:t>
            </m:r>
          </m:e>
          <m:sub>
            <m:r>
              <m:rPr>
                <m:sty m:val="p"/>
              </m:rPr>
              <w:rPr>
                <w:rFonts w:ascii="Cambria Math" w:hAnsi="Cambria Math"/>
              </w:rPr>
              <m:t>new</m:t>
            </m:r>
          </m:sub>
        </m:sSub>
      </m:oMath>
      <w:r w:rsidRPr="00846698">
        <w:t xml:space="preserve"> for obtaining the downlink pathloss estimate</w:t>
      </w:r>
    </w:p>
    <w:p w14:paraId="3B72B6E4" w14:textId="5B229A25" w:rsidR="00C274AA" w:rsidRPr="00846698" w:rsidRDefault="00C274AA" w:rsidP="00C274AA">
      <w:pPr>
        <w:pStyle w:val="B2"/>
        <w:rPr>
          <w:b/>
          <w:i/>
        </w:rPr>
      </w:pPr>
      <w:r w:rsidRPr="00846698">
        <w:t>-</w:t>
      </w:r>
      <w:r w:rsidRPr="00846698">
        <w:tab/>
      </w:r>
      <w:r w:rsidRPr="00846698">
        <w:rPr>
          <w:lang w:eastAsia="ko-KR"/>
        </w:rPr>
        <w:t xml:space="preserve">the values of </w:t>
      </w:r>
      <m:oMath>
        <m:sSub>
          <m:sSubPr>
            <m:ctrlPr>
              <w:rPr>
                <w:rFonts w:ascii="Cambria Math" w:hAnsi="Cambria Math"/>
              </w:rPr>
            </m:ctrlPr>
          </m:sSubPr>
          <m:e>
            <m:r>
              <w:rPr>
                <w:rFonts w:ascii="Cambria Math" w:hAnsi="Cambria Math"/>
              </w:rPr>
              <m:t>P</m:t>
            </m:r>
          </m:e>
          <m:sub>
            <m:r>
              <m:rPr>
                <m:nor/>
              </m:rPr>
              <m:t>O_UE_PUSCH</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Pr="00846698">
        <w:t xml:space="preserve">, </w:t>
      </w:r>
      <m:oMath>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Pr="00846698">
        <w:t xml:space="preserve">, and the PUSCH power control adjustment state </w:t>
      </w:r>
      <m:oMath>
        <m:r>
          <w:rPr>
            <w:rFonts w:ascii="Cambria Math" w:hAnsi="Cambria Math"/>
          </w:rPr>
          <m:t>l</m:t>
        </m:r>
      </m:oMath>
      <w:r w:rsidRPr="00846698">
        <w:t xml:space="preserve"> provided by </w:t>
      </w:r>
      <w:r w:rsidR="00047715" w:rsidRPr="00DB6CC6">
        <w:rPr>
          <w:i/>
        </w:rPr>
        <w:t>p0AlphaSetforPUSCH</w:t>
      </w:r>
      <w:r w:rsidRPr="00846698">
        <w:t xml:space="preserve"> associated </w:t>
      </w:r>
      <w:r w:rsidRPr="00846698">
        <w:rPr>
          <w:lang w:eastAsia="zh-CN"/>
        </w:rPr>
        <w:t xml:space="preserve">with the </w:t>
      </w:r>
      <w:r w:rsidRPr="00846698">
        <w:rPr>
          <w:lang w:val="en-US" w:eastAsia="zh-CN"/>
        </w:rPr>
        <w:t>smallest</w:t>
      </w:r>
      <w:r w:rsidRPr="00846698">
        <w:rPr>
          <w:lang w:eastAsia="zh-CN"/>
        </w:rPr>
        <w:t xml:space="preserve"> value of </w:t>
      </w:r>
      <w:r w:rsidRPr="00846698">
        <w:rPr>
          <w:i/>
        </w:rPr>
        <w:t>ul-powercontrolId</w:t>
      </w:r>
      <w:r>
        <w:rPr>
          <w:lang w:val="en-US" w:eastAsia="zh-CN"/>
        </w:rPr>
        <w:t xml:space="preserve"> </w:t>
      </w:r>
      <w:r w:rsidRPr="00846698">
        <w:rPr>
          <w:lang w:eastAsia="zh-CN"/>
        </w:rPr>
        <w:t xml:space="preserve">for the </w:t>
      </w:r>
      <w:r>
        <w:rPr>
          <w:lang w:val="en-US"/>
        </w:rPr>
        <w:t>corresponding</w:t>
      </w:r>
      <w:r w:rsidRPr="00846698">
        <w:t xml:space="preserve"> SCell</w:t>
      </w:r>
    </w:p>
    <w:p w14:paraId="3ADF1568" w14:textId="1E2C3AE9" w:rsidR="00C274AA" w:rsidRPr="00846698" w:rsidRDefault="00C274AA" w:rsidP="00C274AA">
      <w:pPr>
        <w:pStyle w:val="B2"/>
        <w:rPr>
          <w:lang w:eastAsia="zh-CN"/>
        </w:rPr>
      </w:pPr>
      <w:r w:rsidRPr="00846698">
        <w:t>-</w:t>
      </w:r>
      <w:r w:rsidRPr="00846698">
        <w:tab/>
      </w:r>
      <w:r w:rsidRPr="00846698">
        <w:rPr>
          <w:lang w:eastAsia="ko-KR"/>
        </w:rPr>
        <w:t xml:space="preserve">the value of </w:t>
      </w:r>
      <m:oMath>
        <m:sSub>
          <m:sSubPr>
            <m:ctrlPr>
              <w:rPr>
                <w:rFonts w:ascii="Cambria Math" w:hAnsi="Cambria Math"/>
                <w:iCs/>
              </w:rPr>
            </m:ctrlPr>
          </m:sSubPr>
          <m:e>
            <m:r>
              <w:rPr>
                <w:rFonts w:ascii="Cambria Math" w:hAnsi="Cambria Math"/>
              </w:rPr>
              <m:t>P</m:t>
            </m:r>
          </m:e>
          <m:sub>
            <m:r>
              <m:rPr>
                <m:nor/>
              </m:rPr>
              <w:rPr>
                <w:rFonts w:ascii="Cambria Math"/>
                <w:iCs/>
                <w:lang w:val="en-US"/>
              </w:rPr>
              <m:t>O_UE_P</m:t>
            </m:r>
            <m:r>
              <m:rPr>
                <m:nor/>
              </m:rPr>
              <w:rPr>
                <w:rFonts w:ascii="Cambria Math"/>
                <w:iCs/>
              </w:rPr>
              <m:t>U</m:t>
            </m:r>
            <m:r>
              <m:rPr>
                <m:nor/>
              </m:rPr>
              <w:rPr>
                <w:rFonts w:ascii="Cambria Math"/>
                <w:iCs/>
                <w:lang w:val="en-US"/>
              </w:rPr>
              <m:t>C</m:t>
            </m:r>
            <m:r>
              <m:rPr>
                <m:nor/>
              </m:rPr>
              <w:rPr>
                <w:rFonts w:ascii="Cambria Math"/>
                <w:iCs/>
              </w:rPr>
              <m:t>CH</m:t>
            </m:r>
          </m:sub>
        </m:sSub>
        <m:d>
          <m:dPr>
            <m:ctrlPr>
              <w:rPr>
                <w:rFonts w:ascii="Cambria Math" w:hAnsi="Cambria Math"/>
              </w:rPr>
            </m:ctrlPr>
          </m:dPr>
          <m:e>
            <m:sSub>
              <m:sSubPr>
                <m:ctrlPr>
                  <w:rPr>
                    <w:rFonts w:ascii="Cambria Math" w:hAnsi="Cambria Math"/>
                    <w:iCs/>
                  </w:rPr>
                </m:ctrlPr>
              </m:sSubPr>
              <m:e>
                <m:r>
                  <w:rPr>
                    <w:rFonts w:ascii="Cambria Math" w:hAnsi="Cambria Math"/>
                  </w:rPr>
                  <m:t>q</m:t>
                </m:r>
              </m:e>
              <m:sub>
                <m:r>
                  <w:rPr>
                    <w:rFonts w:ascii="Cambria Math"/>
                  </w:rPr>
                  <m:t>u</m:t>
                </m:r>
              </m:sub>
            </m:sSub>
          </m:e>
        </m:d>
      </m:oMath>
      <w:r w:rsidRPr="00846698">
        <w:t xml:space="preserve"> and the PU</w:t>
      </w:r>
      <w:r w:rsidRPr="00846698">
        <w:rPr>
          <w:lang w:val="en-US"/>
        </w:rPr>
        <w:t>C</w:t>
      </w:r>
      <w:r w:rsidRPr="00846698">
        <w:t xml:space="preserve">CH power control adjustment state </w:t>
      </w:r>
      <m:oMath>
        <m:r>
          <w:rPr>
            <w:rFonts w:ascii="Cambria Math" w:hAnsi="Cambria Math"/>
          </w:rPr>
          <m:t>l</m:t>
        </m:r>
      </m:oMath>
      <w:r w:rsidRPr="00846698">
        <w:t xml:space="preserve"> provided by </w:t>
      </w:r>
      <w:r w:rsidR="00047715" w:rsidRPr="003170A5">
        <w:rPr>
          <w:i/>
        </w:rPr>
        <w:t>p0AlphaSetforPUCCH</w:t>
      </w:r>
      <w:r w:rsidRPr="00846698">
        <w:t xml:space="preserve"> associated </w:t>
      </w:r>
      <w:r w:rsidRPr="00846698">
        <w:rPr>
          <w:lang w:eastAsia="zh-CN"/>
        </w:rPr>
        <w:t xml:space="preserve">with the </w:t>
      </w:r>
      <w:r w:rsidRPr="00846698">
        <w:rPr>
          <w:lang w:val="en-US" w:eastAsia="zh-CN"/>
        </w:rPr>
        <w:t>smallest</w:t>
      </w:r>
      <w:r w:rsidRPr="00846698">
        <w:rPr>
          <w:lang w:eastAsia="zh-CN"/>
        </w:rPr>
        <w:t xml:space="preserve"> value of </w:t>
      </w:r>
      <w:r w:rsidRPr="00846698">
        <w:rPr>
          <w:i/>
        </w:rPr>
        <w:t>ul-powercontrolId</w:t>
      </w:r>
      <w:r w:rsidRPr="00846698">
        <w:rPr>
          <w:lang w:eastAsia="zh-CN"/>
        </w:rPr>
        <w:t xml:space="preserve"> for the </w:t>
      </w:r>
      <w:r>
        <w:rPr>
          <w:lang w:val="en-US"/>
        </w:rPr>
        <w:t xml:space="preserve">corresponding </w:t>
      </w:r>
      <w:r w:rsidRPr="00846698">
        <w:t xml:space="preserve">SCell </w:t>
      </w:r>
    </w:p>
    <w:p w14:paraId="1B4502B0" w14:textId="55E44E62" w:rsidR="00C274AA" w:rsidRPr="00846698" w:rsidRDefault="00C274AA" w:rsidP="00C274AA">
      <w:pPr>
        <w:pStyle w:val="B2"/>
        <w:rPr>
          <w:bCs/>
        </w:rPr>
      </w:pPr>
      <w:r w:rsidRPr="00846698">
        <w:t>-</w:t>
      </w:r>
      <w:r w:rsidRPr="00846698">
        <w:tab/>
      </w:r>
      <w:r w:rsidRPr="00846698">
        <w:rPr>
          <w:lang w:eastAsia="ko-KR"/>
        </w:rPr>
        <w:t xml:space="preserve">the values of </w:t>
      </w:r>
      <m:oMath>
        <m:sSub>
          <m:sSubPr>
            <m:ctrlPr>
              <w:rPr>
                <w:rFonts w:ascii="Cambria Math" w:hAnsi="Cambria Math"/>
                <w:iCs/>
              </w:rPr>
            </m:ctrlPr>
          </m:sSubPr>
          <m:e>
            <m:r>
              <w:rPr>
                <w:rFonts w:ascii="Cambria Math" w:hAnsi="Cambria Math"/>
              </w:rPr>
              <m:t>P</m:t>
            </m:r>
          </m:e>
          <m:sub>
            <m:r>
              <m:rPr>
                <m:nor/>
              </m:rPr>
              <w:rPr>
                <w:rFonts w:ascii="Cambria Math"/>
                <w:iCs/>
              </w:rPr>
              <m:t>O_UE_SRS</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sSub>
              <m:sSubPr>
                <m:ctrlPr>
                  <w:rPr>
                    <w:rFonts w:ascii="Cambria Math" w:hAnsi="Cambria Math"/>
                    <w:iCs/>
                  </w:rPr>
                </m:ctrlPr>
              </m:sSubPr>
              <m:e>
                <m:r>
                  <w:rPr>
                    <w:rFonts w:ascii="Cambria Math" w:hAnsi="Cambria Math"/>
                  </w:rPr>
                  <m:t>q</m:t>
                </m:r>
              </m:e>
              <m:sub>
                <m:r>
                  <w:rPr>
                    <w:rFonts w:ascii="Cambria Math"/>
                  </w:rPr>
                  <m:t>s</m:t>
                </m:r>
              </m:sub>
            </m:sSub>
          </m:e>
        </m:d>
      </m:oMath>
      <w:r w:rsidRPr="00846698">
        <w:t xml:space="preserve">, </w:t>
      </w:r>
      <m:oMath>
        <m:sSub>
          <m:sSubPr>
            <m:ctrlPr>
              <w:rPr>
                <w:rFonts w:ascii="Cambria Math" w:hAnsi="Cambria Math"/>
              </w:rPr>
            </m:ctrlPr>
          </m:sSubPr>
          <m:e>
            <m:r>
              <w:rPr>
                <w:rFonts w:ascii="Cambria Math" w:hAnsi="Cambria Math"/>
              </w:rPr>
              <m:t>α</m:t>
            </m:r>
          </m:e>
          <m:sub>
            <m:r>
              <m:rPr>
                <m:sty m:val="p"/>
              </m:rPr>
              <w:rPr>
                <w:rFonts w:ascii="Cambria Math" w:hAnsi="Cambria Math"/>
              </w:rPr>
              <m:t>SRS</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s</m:t>
                </m:r>
              </m:sub>
            </m:sSub>
          </m:e>
        </m:d>
      </m:oMath>
      <w:r w:rsidRPr="00846698">
        <w:t xml:space="preserve">, and the </w:t>
      </w:r>
      <w:r w:rsidRPr="00846698">
        <w:rPr>
          <w:lang w:val="en-US"/>
        </w:rPr>
        <w:t>SRS</w:t>
      </w:r>
      <w:r w:rsidRPr="00846698">
        <w:t xml:space="preserve"> power control adjustment state </w:t>
      </w:r>
      <m:oMath>
        <m:r>
          <w:rPr>
            <w:rFonts w:ascii="Cambria Math" w:hAnsi="Cambria Math"/>
          </w:rPr>
          <m:t>l</m:t>
        </m:r>
      </m:oMath>
      <w:r w:rsidRPr="00846698">
        <w:t xml:space="preserve"> provided by </w:t>
      </w:r>
      <w:r w:rsidR="00047715" w:rsidRPr="001B6792">
        <w:rPr>
          <w:i/>
        </w:rPr>
        <w:t>p0AlphaSetforSRS</w:t>
      </w:r>
      <w:r w:rsidRPr="00846698">
        <w:t xml:space="preserve"> associated </w:t>
      </w:r>
      <w:r w:rsidRPr="00846698">
        <w:rPr>
          <w:lang w:eastAsia="zh-CN"/>
        </w:rPr>
        <w:t xml:space="preserve">with the </w:t>
      </w:r>
      <w:r w:rsidRPr="00846698">
        <w:rPr>
          <w:lang w:val="en-US" w:eastAsia="zh-CN"/>
        </w:rPr>
        <w:t>smallest</w:t>
      </w:r>
      <w:r w:rsidRPr="00846698">
        <w:rPr>
          <w:lang w:eastAsia="zh-CN"/>
        </w:rPr>
        <w:t xml:space="preserve"> value of </w:t>
      </w:r>
      <w:r w:rsidRPr="00846698">
        <w:rPr>
          <w:i/>
        </w:rPr>
        <w:t>ul-powercontrolId</w:t>
      </w:r>
      <w:r w:rsidRPr="00846698">
        <w:rPr>
          <w:lang w:eastAsia="zh-CN"/>
        </w:rPr>
        <w:t xml:space="preserve"> for the </w:t>
      </w:r>
      <w:r>
        <w:rPr>
          <w:lang w:val="en-US"/>
        </w:rPr>
        <w:t xml:space="preserve">corresponding </w:t>
      </w:r>
      <w:r w:rsidRPr="00846698">
        <w:t>SCell</w:t>
      </w:r>
    </w:p>
    <w:p w14:paraId="2D659648" w14:textId="6998F2D9" w:rsidR="001976B9" w:rsidRPr="00F415B1" w:rsidRDefault="00004240" w:rsidP="001976B9">
      <w:pPr>
        <w:tabs>
          <w:tab w:val="left" w:pos="2116"/>
        </w:tabs>
        <w:rPr>
          <w:iCs/>
        </w:rPr>
      </w:pPr>
      <w:r>
        <w:rPr>
          <w:iCs/>
        </w:rPr>
        <w:t>If there is at least one</w:t>
      </w:r>
      <w:r w:rsidR="001976B9" w:rsidRPr="00F415B1">
        <w:rPr>
          <w:iCs/>
        </w:rPr>
        <w:t xml:space="preserve"> serving cell associated with </w:t>
      </w:r>
      <w:r w:rsidR="001976B9" w:rsidRPr="00F415B1">
        <w:t xml:space="preserve">sets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0,0</m:t>
            </m:r>
          </m:sub>
        </m:sSub>
      </m:oMath>
      <w:r w:rsidR="001976B9" w:rsidRPr="00F415B1">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1,0</m:t>
            </m:r>
          </m:sub>
        </m:sSub>
      </m:oMath>
      <w:r w:rsidR="001976B9" w:rsidRPr="00F415B1">
        <w:t xml:space="preserve">, and with sets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0,1</m:t>
            </m:r>
          </m:sub>
        </m:sSub>
      </m:oMath>
      <w:r w:rsidR="001976B9" w:rsidRPr="00F415B1">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1,1</m:t>
            </m:r>
          </m:sub>
        </m:sSub>
      </m:oMath>
      <w:r w:rsidR="001976B9" w:rsidRPr="00F415B1">
        <w:t xml:space="preserve">, the UE can provide in a second PUSCH MAC CE </w:t>
      </w:r>
      <w:r w:rsidR="001976B9" w:rsidRPr="00F415B1">
        <w:rPr>
          <w:iCs/>
          <w:noProof/>
          <w:lang w:eastAsia="zh-CN"/>
        </w:rPr>
        <w:t>index(es) for cell(s) with</w:t>
      </w:r>
      <w:r>
        <w:rPr>
          <w:iCs/>
          <w:noProof/>
          <w:lang w:eastAsia="zh-CN"/>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m:t>
            </m:r>
          </m:sub>
        </m:sSub>
      </m:oMath>
      <w:r w:rsidRPr="00F415B1">
        <w:t xml:space="preserve"> </w:t>
      </w:r>
      <w:r>
        <w:t>and/or with at least one of</w:t>
      </w:r>
      <w:r w:rsidR="001976B9" w:rsidRPr="00F415B1">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0,0</m:t>
            </m:r>
          </m:sub>
        </m:sSub>
      </m:oMath>
      <w:r w:rsidR="001976B9" w:rsidRPr="00F415B1">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0,1</m:t>
            </m:r>
          </m:sub>
        </m:sSub>
      </m:oMath>
      <w:r w:rsidR="001976B9" w:rsidRPr="00F415B1">
        <w:t xml:space="preserve"> having </w:t>
      </w:r>
      <w:r w:rsidR="001976B9" w:rsidRPr="00F415B1">
        <w:rPr>
          <w:iCs/>
        </w:rPr>
        <w:t>radio link quality</w:t>
      </w:r>
      <w:r w:rsidR="001976B9" w:rsidRPr="00F415B1">
        <w:t xml:space="preserve"> worse than Q</w:t>
      </w:r>
      <w:r w:rsidR="001976B9" w:rsidRPr="00F415B1">
        <w:rPr>
          <w:vertAlign w:val="subscript"/>
        </w:rPr>
        <w:t>out,LR</w:t>
      </w:r>
      <w:r w:rsidR="001976B9" w:rsidRPr="00F415B1">
        <w:rPr>
          <w:iCs/>
          <w:noProof/>
          <w:lang w:eastAsia="zh-CN"/>
        </w:rPr>
        <w:t>,</w:t>
      </w:r>
      <w:r w:rsidR="001976B9" w:rsidRPr="00F415B1">
        <w:t xml:space="preserve"> the index(es) of those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0,0</m:t>
            </m:r>
          </m:sub>
        </m:sSub>
      </m:oMath>
      <w:r w:rsidR="001976B9" w:rsidRPr="00F415B1">
        <w:t xml:space="preserve"> and/or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0,1</m:t>
            </m:r>
          </m:sub>
        </m:sSub>
      </m:oMath>
      <w:r w:rsidR="001976B9" w:rsidRPr="00F415B1">
        <w:t xml:space="preserve">, and indication(s) </w:t>
      </w:r>
      <w:r w:rsidR="001976B9" w:rsidRPr="00F415B1">
        <w:rPr>
          <w:rFonts w:eastAsia="DengXian"/>
          <w:iCs/>
          <w:noProof/>
        </w:rPr>
        <w:t xml:space="preserve">of presence of </w:t>
      </w:r>
      <m:oMath>
        <m:sSub>
          <m:sSubPr>
            <m:ctrlPr>
              <w:rPr>
                <w:rFonts w:ascii="Cambria Math" w:hAnsi="Cambria Math"/>
                <w:i/>
                <w:iCs/>
              </w:rPr>
            </m:ctrlPr>
          </m:sSubPr>
          <m:e>
            <m:r>
              <w:rPr>
                <w:rFonts w:ascii="Cambria Math"/>
              </w:rPr>
              <m:t>q</m:t>
            </m:r>
          </m:e>
          <m:sub>
            <m:r>
              <m:rPr>
                <m:nor/>
              </m:rPr>
              <w:rPr>
                <w:rFonts w:ascii="Cambria Math"/>
                <w:iCs/>
              </w:rPr>
              <m:t>new</m:t>
            </m:r>
            <m:ctrlPr>
              <w:rPr>
                <w:rFonts w:ascii="Cambria Math" w:hAnsi="Cambria Math"/>
                <w:iCs/>
              </w:rPr>
            </m:ctrlPr>
          </m:sub>
        </m:sSub>
      </m:oMath>
      <w:r w:rsidR="001976B9" w:rsidRPr="00F415B1">
        <w:rPr>
          <w:rFonts w:eastAsia="DengXian"/>
          <w:iCs/>
          <w:noProof/>
        </w:rPr>
        <w:t xml:space="preserve"> and</w:t>
      </w:r>
      <w:r w:rsidR="001976B9" w:rsidRPr="00F415B1">
        <w:rPr>
          <w:iCs/>
          <w:noProof/>
          <w:lang w:eastAsia="zh-CN"/>
        </w:rPr>
        <w:t xml:space="preserve"> of </w:t>
      </w:r>
      <w:r w:rsidR="001976B9" w:rsidRPr="00F415B1">
        <w:t xml:space="preserve">index(es) </w:t>
      </w:r>
      <m:oMath>
        <m:sSub>
          <m:sSubPr>
            <m:ctrlPr>
              <w:rPr>
                <w:rFonts w:ascii="Cambria Math" w:hAnsi="Cambria Math"/>
                <w:i/>
                <w:iCs/>
              </w:rPr>
            </m:ctrlPr>
          </m:sSubPr>
          <m:e>
            <m:r>
              <w:rPr>
                <w:rFonts w:ascii="Cambria Math"/>
              </w:rPr>
              <m:t>q</m:t>
            </m:r>
          </m:e>
          <m:sub>
            <m:r>
              <m:rPr>
                <m:nor/>
              </m:rPr>
              <w:rPr>
                <w:rFonts w:ascii="Cambria Math"/>
                <w:iCs/>
              </w:rPr>
              <m:t>new</m:t>
            </m:r>
            <m:ctrlPr>
              <w:rPr>
                <w:rFonts w:ascii="Cambria Math" w:hAnsi="Cambria Math"/>
                <w:iCs/>
              </w:rPr>
            </m:ctrlPr>
          </m:sub>
        </m:sSub>
      </m:oMath>
      <w:r w:rsidR="001976B9" w:rsidRPr="00F415B1">
        <w:rPr>
          <w:iCs/>
        </w:rPr>
        <w:t xml:space="preserve">, if any, </w:t>
      </w:r>
      <w:r w:rsidR="001976B9" w:rsidRPr="00F415B1">
        <w:t xml:space="preserve">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m:t>
            </m:r>
          </m:sub>
        </m:sSub>
      </m:oMath>
      <w:r>
        <w:t xml:space="preserve"> and/or </w:t>
      </w:r>
      <w:r w:rsidR="001976B9" w:rsidRPr="00F415B1">
        <w:t xml:space="preserve">corresponding sets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1,0</m:t>
            </m:r>
          </m:sub>
        </m:sSub>
      </m:oMath>
      <w:r w:rsidR="001976B9" w:rsidRPr="00F415B1">
        <w:t xml:space="preserve"> and/or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1,1</m:t>
            </m:r>
          </m:sub>
        </m:sSub>
      </m:oMath>
      <w:r w:rsidR="001976B9" w:rsidRPr="00F415B1">
        <w:t xml:space="preserve"> for the serving cells</w:t>
      </w:r>
      <w:r w:rsidR="001976B9" w:rsidRPr="00F415B1">
        <w:rPr>
          <w:iCs/>
        </w:rPr>
        <w:t>.</w:t>
      </w:r>
    </w:p>
    <w:p w14:paraId="2D4312DC" w14:textId="77777777" w:rsidR="001976B9" w:rsidRPr="00F415B1" w:rsidRDefault="001976B9" w:rsidP="001976B9">
      <w:pPr>
        <w:tabs>
          <w:tab w:val="left" w:pos="2116"/>
        </w:tabs>
        <w:rPr>
          <w:iCs/>
          <w:lang w:eastAsia="ja-JP"/>
        </w:rPr>
      </w:pPr>
      <w:r w:rsidRPr="00F415B1">
        <w:rPr>
          <w:iCs/>
        </w:rPr>
        <w:t xml:space="preserve">For serving cells associated with </w:t>
      </w:r>
      <w:r w:rsidRPr="00F415B1">
        <w:t xml:space="preserve">sets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0,0</m:t>
            </m:r>
          </m:sub>
        </m:sSub>
      </m:oMath>
      <w:r w:rsidRPr="00F415B1">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1,0</m:t>
            </m:r>
          </m:sub>
        </m:sSub>
      </m:oMath>
      <w:r w:rsidRPr="00F415B1">
        <w:t xml:space="preserve">, and with sets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0,1</m:t>
            </m:r>
          </m:sub>
        </m:sSub>
      </m:oMath>
      <w:r w:rsidRPr="00F415B1">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1,1</m:t>
            </m:r>
          </m:sub>
        </m:sSub>
      </m:oMath>
      <w:r w:rsidRPr="00F415B1">
        <w:t xml:space="preserve">, and having </w:t>
      </w:r>
      <w:r w:rsidRPr="00F415B1">
        <w:rPr>
          <w:iCs/>
        </w:rPr>
        <w:t>radio link quality</w:t>
      </w:r>
      <w:r w:rsidRPr="00F415B1">
        <w:t xml:space="preserve"> worse than Q</w:t>
      </w:r>
      <w:r w:rsidRPr="00F415B1">
        <w:rPr>
          <w:vertAlign w:val="subscript"/>
        </w:rPr>
        <w:t>out,LR</w:t>
      </w:r>
      <w:r w:rsidRPr="00F415B1">
        <w:t>, a</w:t>
      </w:r>
      <w:r w:rsidRPr="00F415B1">
        <w:rPr>
          <w:iCs/>
          <w:lang w:eastAsia="ja-JP"/>
        </w:rPr>
        <w:t>fter</w:t>
      </w:r>
      <w:r w:rsidRPr="00F415B1">
        <w:rPr>
          <w:iCs/>
          <w:lang w:val="en-US" w:eastAsia="ja-JP"/>
        </w:rPr>
        <w:t xml:space="preserve"> </w:t>
      </w:r>
      <w:r w:rsidRPr="00F415B1">
        <w:rPr>
          <w:iCs/>
          <w:lang w:eastAsia="ja-JP"/>
        </w:rPr>
        <w:t xml:space="preserve">28 symbols from a last symbol of a first PDCCH reception with a DCI format scheduling a PUSCH transmission with a same HARQ process number as for </w:t>
      </w:r>
      <w:r w:rsidRPr="00F415B1">
        <w:rPr>
          <w:iCs/>
        </w:rPr>
        <w:t>transmission of the second PUSCH and having a toggled NDI field value</w:t>
      </w:r>
      <w:r w:rsidRPr="00F415B1">
        <w:rPr>
          <w:iCs/>
          <w:lang w:eastAsia="ja-JP"/>
        </w:rPr>
        <w:t>,</w:t>
      </w:r>
      <w:r w:rsidRPr="00F415B1">
        <w:rPr>
          <w:iCs/>
          <w:lang w:val="en-US" w:eastAsia="ja-JP"/>
        </w:rPr>
        <w:t xml:space="preserve"> </w:t>
      </w:r>
      <w:r w:rsidRPr="00F415B1">
        <w:rPr>
          <w:iCs/>
          <w:lang w:eastAsia="ja-JP"/>
        </w:rPr>
        <w:t xml:space="preserve">the UE assumes antenna port quasi-collocation parameters </w:t>
      </w:r>
    </w:p>
    <w:p w14:paraId="01375F70" w14:textId="77777777" w:rsidR="001976B9" w:rsidRPr="00F415B1" w:rsidRDefault="001976B9" w:rsidP="001976B9">
      <w:pPr>
        <w:pStyle w:val="B1"/>
        <w:rPr>
          <w:lang w:val="en-US"/>
        </w:rPr>
      </w:pPr>
      <w:r w:rsidRPr="00F415B1">
        <w:t>-</w:t>
      </w:r>
      <w:r w:rsidRPr="00F415B1">
        <w:tab/>
      </w:r>
      <w:r w:rsidRPr="00F415B1">
        <w:rPr>
          <w:lang w:val="en-US"/>
        </w:rPr>
        <w:t xml:space="preserve">corresponding to </w:t>
      </w:r>
      <m:oMath>
        <m:sSub>
          <m:sSubPr>
            <m:ctrlPr>
              <w:rPr>
                <w:rFonts w:ascii="Cambria Math" w:hAnsi="Cambria Math"/>
                <w:i/>
                <w:iCs/>
              </w:rPr>
            </m:ctrlPr>
          </m:sSubPr>
          <m:e>
            <m:r>
              <w:rPr>
                <w:rFonts w:ascii="Cambria Math"/>
              </w:rPr>
              <m:t>q</m:t>
            </m:r>
          </m:e>
          <m:sub>
            <m:r>
              <m:rPr>
                <m:nor/>
              </m:rPr>
              <w:rPr>
                <w:rFonts w:ascii="Cambria Math"/>
                <w:iCs/>
              </w:rPr>
              <m:t>new</m:t>
            </m:r>
            <m:ctrlPr>
              <w:rPr>
                <w:rFonts w:ascii="Cambria Math" w:hAnsi="Cambria Math"/>
                <w:iCs/>
              </w:rPr>
            </m:ctrlPr>
          </m:sub>
        </m:sSub>
      </m:oMath>
      <w:r w:rsidRPr="00F415B1">
        <w:rPr>
          <w:iCs/>
          <w:lang w:val="en-US"/>
        </w:rPr>
        <w:t xml:space="preserve"> 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1,0</m:t>
            </m:r>
          </m:sub>
        </m:sSub>
      </m:oMath>
      <w:r w:rsidRPr="00F415B1">
        <w:rPr>
          <w:lang w:val="en-US"/>
        </w:rPr>
        <w:t>, if any, for the first CORESETs,</w:t>
      </w:r>
    </w:p>
    <w:p w14:paraId="4454F32D" w14:textId="77777777" w:rsidR="001976B9" w:rsidRPr="00F415B1" w:rsidRDefault="001976B9" w:rsidP="001976B9">
      <w:pPr>
        <w:pStyle w:val="B1"/>
        <w:rPr>
          <w:lang w:val="en-US"/>
        </w:rPr>
      </w:pPr>
      <w:r w:rsidRPr="00F415B1">
        <w:t>-</w:t>
      </w:r>
      <w:r w:rsidRPr="00F415B1">
        <w:tab/>
      </w:r>
      <w:r w:rsidRPr="00F415B1">
        <w:rPr>
          <w:lang w:val="en-US"/>
        </w:rPr>
        <w:t xml:space="preserve">corresponding to </w:t>
      </w:r>
      <m:oMath>
        <m:sSub>
          <m:sSubPr>
            <m:ctrlPr>
              <w:rPr>
                <w:rFonts w:ascii="Cambria Math" w:hAnsi="Cambria Math"/>
                <w:i/>
                <w:iCs/>
              </w:rPr>
            </m:ctrlPr>
          </m:sSubPr>
          <m:e>
            <m:r>
              <w:rPr>
                <w:rFonts w:ascii="Cambria Math"/>
              </w:rPr>
              <m:t>q</m:t>
            </m:r>
          </m:e>
          <m:sub>
            <m:r>
              <m:rPr>
                <m:nor/>
              </m:rPr>
              <w:rPr>
                <w:rFonts w:ascii="Cambria Math"/>
                <w:iCs/>
              </w:rPr>
              <m:t>new</m:t>
            </m:r>
            <m:ctrlPr>
              <w:rPr>
                <w:rFonts w:ascii="Cambria Math" w:hAnsi="Cambria Math"/>
                <w:iCs/>
              </w:rPr>
            </m:ctrlPr>
          </m:sub>
        </m:sSub>
      </m:oMath>
      <w:r w:rsidRPr="00F415B1">
        <w:rPr>
          <w:iCs/>
          <w:lang w:val="en-US"/>
        </w:rPr>
        <w:t xml:space="preserve"> 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1,1</m:t>
            </m:r>
          </m:sub>
        </m:sSub>
      </m:oMath>
      <w:r w:rsidRPr="00F415B1">
        <w:rPr>
          <w:lang w:val="en-US"/>
        </w:rPr>
        <w:t>, if any, for the second CORESETs</w:t>
      </w:r>
    </w:p>
    <w:p w14:paraId="156D0519" w14:textId="3C2C2B25" w:rsidR="00E50667" w:rsidRDefault="001976B9" w:rsidP="00E50667">
      <w:r w:rsidRPr="00F415B1">
        <w:t>where the SCS configuration for the 28 symbols is the smallest of the SCS configurations of the active DL BWP for the PDCCH reception and of the active DL BWP(s) of the serving cells.</w:t>
      </w:r>
    </w:p>
    <w:p w14:paraId="3D126CF0" w14:textId="77777777" w:rsidR="006138D7" w:rsidRPr="006138D7" w:rsidRDefault="006138D7" w:rsidP="006138D7">
      <w:pPr>
        <w:tabs>
          <w:tab w:val="left" w:pos="2116"/>
        </w:tabs>
        <w:rPr>
          <w:iCs/>
        </w:rPr>
      </w:pPr>
      <w:r w:rsidRPr="006138D7">
        <w:rPr>
          <w:iCs/>
        </w:rPr>
        <w:t xml:space="preserve">For a serving cell associated with sets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0,0</m:t>
            </m:r>
          </m:sub>
        </m:sSub>
      </m:oMath>
      <w:r w:rsidRPr="006138D7">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1,0</m:t>
            </m:r>
          </m:sub>
        </m:sSub>
      </m:oMath>
      <w:r w:rsidRPr="006138D7">
        <w:rPr>
          <w:iCs/>
        </w:rPr>
        <w:t xml:space="preserve">, and with sets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0,1</m:t>
            </m:r>
          </m:sub>
        </m:sSub>
      </m:oMath>
      <w:r w:rsidRPr="006138D7">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1,1</m:t>
            </m:r>
          </m:sub>
        </m:sSub>
      </m:oMath>
      <w:r w:rsidRPr="006138D7">
        <w:rPr>
          <w:iCs/>
        </w:rPr>
        <w:t xml:space="preserve">, and having radio link quality worse than </w:t>
      </w:r>
      <w:r w:rsidRPr="006138D7">
        <w:t>Q</w:t>
      </w:r>
      <w:r w:rsidRPr="006138D7">
        <w:rPr>
          <w:vertAlign w:val="subscript"/>
        </w:rPr>
        <w:t>out,LR</w:t>
      </w:r>
      <w:r w:rsidRPr="006138D7">
        <w:rPr>
          <w:iCs/>
        </w:rPr>
        <w:t xml:space="preserve">, and if a UE is provided </w:t>
      </w:r>
      <w:r w:rsidRPr="006138D7">
        <w:rPr>
          <w:rFonts w:cs="Times"/>
          <w:i/>
          <w:szCs w:val="18"/>
          <w:lang w:eastAsia="zh-CN"/>
        </w:rPr>
        <w:t>dl-OrJointTCI-StateList</w:t>
      </w:r>
      <w:r w:rsidRPr="006138D7">
        <w:rPr>
          <w:rFonts w:cs="Times"/>
          <w:iCs/>
          <w:szCs w:val="18"/>
          <w:lang w:eastAsia="zh-CN"/>
        </w:rPr>
        <w:t xml:space="preserve"> </w:t>
      </w:r>
      <w:r w:rsidRPr="006138D7">
        <w:rPr>
          <w:rFonts w:cs="Times"/>
          <w:iCs/>
          <w:szCs w:val="18"/>
          <w:lang w:val="en-US" w:eastAsia="zh-CN"/>
        </w:rPr>
        <w:t>or</w:t>
      </w:r>
      <w:r w:rsidRPr="006138D7">
        <w:rPr>
          <w:lang w:val="en-US"/>
        </w:rPr>
        <w:t xml:space="preserve"> </w:t>
      </w:r>
      <w:r w:rsidRPr="006138D7">
        <w:rPr>
          <w:i/>
          <w:iCs/>
          <w:lang w:val="en-US"/>
        </w:rPr>
        <w:t>TCI-UL-State</w:t>
      </w:r>
      <w:r w:rsidRPr="006138D7">
        <w:rPr>
          <w:iCs/>
        </w:rPr>
        <w:t xml:space="preserve"> and is indicated a first </w:t>
      </w:r>
      <w:r w:rsidRPr="006138D7">
        <w:rPr>
          <w:i/>
          <w:iCs/>
          <w:lang w:val="en-US"/>
        </w:rPr>
        <w:t>TCI-State</w:t>
      </w:r>
      <w:r w:rsidRPr="006138D7">
        <w:rPr>
          <w:iCs/>
        </w:rPr>
        <w:t xml:space="preserve"> or </w:t>
      </w:r>
      <w:r w:rsidRPr="006138D7">
        <w:rPr>
          <w:i/>
          <w:iCs/>
          <w:lang w:val="en-US"/>
        </w:rPr>
        <w:t>TCI-UL-State</w:t>
      </w:r>
      <w:r w:rsidRPr="006138D7">
        <w:rPr>
          <w:iCs/>
        </w:rPr>
        <w:t xml:space="preserve"> and a second </w:t>
      </w:r>
      <w:bookmarkStart w:id="138" w:name="_Hlk136939197"/>
      <w:r w:rsidRPr="006138D7">
        <w:rPr>
          <w:i/>
          <w:iCs/>
          <w:lang w:val="en-US"/>
        </w:rPr>
        <w:t>TCI-State</w:t>
      </w:r>
      <w:r w:rsidRPr="006138D7">
        <w:rPr>
          <w:iCs/>
        </w:rPr>
        <w:t xml:space="preserve"> </w:t>
      </w:r>
      <w:bookmarkEnd w:id="138"/>
      <w:r w:rsidRPr="006138D7">
        <w:rPr>
          <w:iCs/>
        </w:rPr>
        <w:t xml:space="preserve">or </w:t>
      </w:r>
      <w:r w:rsidRPr="006138D7">
        <w:rPr>
          <w:i/>
          <w:iCs/>
          <w:lang w:val="en-US"/>
        </w:rPr>
        <w:t>TCI-UL-State</w:t>
      </w:r>
      <w:r w:rsidRPr="006138D7">
        <w:rPr>
          <w:iCs/>
        </w:rPr>
        <w:t>, after 28 symbols from a last symbol of a first PDCCH reception with a DCI format scheduling a PUSCH transmission with a same HARQ process number as for the transmission of the second PUSCH and having a toggled NDI field value, the UE</w:t>
      </w:r>
    </w:p>
    <w:p w14:paraId="06EA1533" w14:textId="7DBDBD7B" w:rsidR="006138D7" w:rsidRPr="006138D7" w:rsidRDefault="006138D7" w:rsidP="006138D7">
      <w:pPr>
        <w:pStyle w:val="B1"/>
        <w:rPr>
          <w:iCs/>
        </w:rPr>
      </w:pPr>
      <w:r w:rsidRPr="006138D7">
        <w:t>-</w:t>
      </w:r>
      <w:r>
        <w:tab/>
      </w:r>
      <w:r w:rsidRPr="006138D7">
        <w:t xml:space="preserve">monitors PDCCH that applies the first </w:t>
      </w:r>
      <w:r w:rsidRPr="006138D7">
        <w:rPr>
          <w:i/>
          <w:iCs/>
          <w:lang w:val="en-US"/>
        </w:rPr>
        <w:t>TCI-State</w:t>
      </w:r>
      <w:r w:rsidRPr="006138D7">
        <w:rPr>
          <w:iCs/>
        </w:rPr>
        <w:t xml:space="preserve"> </w:t>
      </w:r>
      <w:r w:rsidRPr="006138D7">
        <w:t xml:space="preserve">state, and receives PDSCH and aperiodic CSI-RS resource </w:t>
      </w:r>
      <w:bookmarkStart w:id="139" w:name="_Hlk136535706"/>
      <w:r w:rsidRPr="006138D7">
        <w:t xml:space="preserve">that apply </w:t>
      </w:r>
      <w:bookmarkEnd w:id="139"/>
      <w:r w:rsidRPr="006138D7">
        <w:t xml:space="preserve">the first </w:t>
      </w:r>
      <w:r w:rsidRPr="006138D7">
        <w:rPr>
          <w:i/>
          <w:iCs/>
          <w:lang w:val="en-US"/>
        </w:rPr>
        <w:t>TCI-State</w:t>
      </w:r>
      <w:r w:rsidRPr="006138D7">
        <w:t xml:space="preserve">, using </w:t>
      </w:r>
      <w:r w:rsidRPr="006138D7">
        <w:rPr>
          <w:iCs/>
          <w:lang w:eastAsia="ja-JP"/>
        </w:rPr>
        <w:t xml:space="preserve">same antenna port quasi co-location parameters as the ones associated with a corresponding index </w:t>
      </w:r>
      <m:oMath>
        <m:sSub>
          <m:sSubPr>
            <m:ctrlPr>
              <w:rPr>
                <w:rFonts w:ascii="Cambria Math" w:hAnsi="Cambria Math"/>
                <w:i/>
                <w:iCs/>
              </w:rPr>
            </m:ctrlPr>
          </m:sSubPr>
          <m:e>
            <m:r>
              <w:rPr>
                <w:rFonts w:ascii="Cambria Math"/>
              </w:rPr>
              <m:t>q</m:t>
            </m:r>
          </m:e>
          <m:sub>
            <m:r>
              <m:rPr>
                <m:nor/>
              </m:rPr>
              <w:rPr>
                <w:rFonts w:ascii="Cambria Math"/>
                <w:iCs/>
              </w:rPr>
              <m:t>new</m:t>
            </m:r>
            <m:ctrlPr>
              <w:rPr>
                <w:rFonts w:ascii="Cambria Math" w:hAnsi="Cambria Math"/>
                <w:iCs/>
              </w:rPr>
            </m:ctrlPr>
          </m:sub>
        </m:sSub>
      </m:oMath>
      <w:r w:rsidRPr="006138D7">
        <w:rPr>
          <w:iCs/>
        </w:rPr>
        <w:t xml:space="preserve"> 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1,0</m:t>
            </m:r>
          </m:sub>
        </m:sSub>
      </m:oMath>
      <w:r w:rsidRPr="006138D7">
        <w:rPr>
          <w:iCs/>
        </w:rPr>
        <w:t xml:space="preserve">, if any, </w:t>
      </w:r>
      <w:r w:rsidRPr="006138D7">
        <w:t>on the serving cell</w:t>
      </w:r>
    </w:p>
    <w:p w14:paraId="5D3BE91E" w14:textId="2D7BD762" w:rsidR="006138D7" w:rsidRPr="006138D7" w:rsidRDefault="006138D7" w:rsidP="006138D7">
      <w:pPr>
        <w:pStyle w:val="B1"/>
        <w:rPr>
          <w:iCs/>
        </w:rPr>
      </w:pPr>
      <w:r w:rsidRPr="006138D7">
        <w:t>-</w:t>
      </w:r>
      <w:r>
        <w:tab/>
      </w:r>
      <w:r w:rsidRPr="006138D7">
        <w:t xml:space="preserve">monitors PDCCH that applies the second </w:t>
      </w:r>
      <w:r w:rsidRPr="006138D7">
        <w:rPr>
          <w:i/>
          <w:iCs/>
          <w:lang w:val="en-US"/>
        </w:rPr>
        <w:t>TCI-State</w:t>
      </w:r>
      <w:r w:rsidRPr="006138D7">
        <w:t xml:space="preserve">, and receives PDSCH and aperiodic CSI-RS resource that apply the second </w:t>
      </w:r>
      <w:r w:rsidRPr="006138D7">
        <w:rPr>
          <w:i/>
          <w:iCs/>
          <w:lang w:val="en-US"/>
        </w:rPr>
        <w:t>TCI-State</w:t>
      </w:r>
      <w:r w:rsidRPr="006138D7">
        <w:t xml:space="preserve">, on the serving cell using </w:t>
      </w:r>
      <w:r w:rsidRPr="006138D7">
        <w:rPr>
          <w:iCs/>
          <w:lang w:eastAsia="ja-JP"/>
        </w:rPr>
        <w:t xml:space="preserve">same antenna port quasi co-location parameters as the ones associated with a corresponding index </w:t>
      </w:r>
      <m:oMath>
        <m:sSub>
          <m:sSubPr>
            <m:ctrlPr>
              <w:rPr>
                <w:rFonts w:ascii="Cambria Math" w:hAnsi="Cambria Math"/>
                <w:i/>
                <w:iCs/>
              </w:rPr>
            </m:ctrlPr>
          </m:sSubPr>
          <m:e>
            <m:r>
              <w:rPr>
                <w:rFonts w:ascii="Cambria Math"/>
              </w:rPr>
              <m:t>q</m:t>
            </m:r>
          </m:e>
          <m:sub>
            <m:r>
              <m:rPr>
                <m:nor/>
              </m:rPr>
              <w:rPr>
                <w:rFonts w:ascii="Cambria Math"/>
                <w:iCs/>
              </w:rPr>
              <m:t>new</m:t>
            </m:r>
            <m:ctrlPr>
              <w:rPr>
                <w:rFonts w:ascii="Cambria Math" w:hAnsi="Cambria Math"/>
                <w:iCs/>
              </w:rPr>
            </m:ctrlPr>
          </m:sub>
        </m:sSub>
      </m:oMath>
      <w:r w:rsidRPr="006138D7">
        <w:rPr>
          <w:iCs/>
        </w:rPr>
        <w:t xml:space="preserve"> 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1,1</m:t>
            </m:r>
          </m:sub>
        </m:sSub>
      </m:oMath>
      <w:r w:rsidRPr="006138D7">
        <w:rPr>
          <w:iCs/>
        </w:rPr>
        <w:t>, if any, on the serving cell</w:t>
      </w:r>
    </w:p>
    <w:p w14:paraId="5E6B0873" w14:textId="77777777" w:rsidR="006138D7" w:rsidRPr="006138D7" w:rsidRDefault="006138D7" w:rsidP="006138D7">
      <w:pPr>
        <w:pStyle w:val="B1"/>
        <w:rPr>
          <w:iCs/>
          <w:lang w:val="en-US"/>
        </w:rPr>
      </w:pPr>
      <w:r w:rsidRPr="006138D7">
        <w:lastRenderedPageBreak/>
        <w:t>-</w:t>
      </w:r>
      <w:r w:rsidRPr="006138D7">
        <w:tab/>
        <w:t>transmits PU</w:t>
      </w:r>
      <w:r w:rsidRPr="006138D7">
        <w:rPr>
          <w:lang w:val="en-US"/>
        </w:rPr>
        <w:t>S</w:t>
      </w:r>
      <w:r w:rsidRPr="006138D7">
        <w:t>CH, PU</w:t>
      </w:r>
      <w:r w:rsidRPr="006138D7">
        <w:rPr>
          <w:lang w:val="en-US"/>
        </w:rPr>
        <w:t>C</w:t>
      </w:r>
      <w:r w:rsidRPr="006138D7">
        <w:t xml:space="preserve">CH, and SRS that apply the first </w:t>
      </w:r>
      <w:r w:rsidRPr="006138D7">
        <w:rPr>
          <w:i/>
          <w:iCs/>
          <w:lang w:val="en-US"/>
        </w:rPr>
        <w:t>TCI-State</w:t>
      </w:r>
      <w:r w:rsidRPr="006138D7">
        <w:rPr>
          <w:lang w:val="en-US"/>
        </w:rPr>
        <w:t xml:space="preserve"> or</w:t>
      </w:r>
      <w:r w:rsidRPr="006138D7">
        <w:rPr>
          <w:i/>
          <w:iCs/>
          <w:lang w:val="en-US"/>
        </w:rPr>
        <w:t xml:space="preserve"> TCI-UL-State</w:t>
      </w:r>
      <w:r w:rsidRPr="006138D7">
        <w:t xml:space="preserve"> using a same spatial domain filter as the one corresponding to</w:t>
      </w:r>
      <w:r w:rsidRPr="006138D7">
        <w:rPr>
          <w:iCs/>
          <w:lang w:eastAsia="ja-JP"/>
        </w:rPr>
        <w:t xml:space="preserve"> </w:t>
      </w:r>
      <m:oMath>
        <m:sSub>
          <m:sSubPr>
            <m:ctrlPr>
              <w:rPr>
                <w:rFonts w:ascii="Cambria Math" w:hAnsi="Cambria Math"/>
                <w:i/>
                <w:iCs/>
              </w:rPr>
            </m:ctrlPr>
          </m:sSubPr>
          <m:e>
            <m:r>
              <w:rPr>
                <w:rFonts w:ascii="Cambria Math"/>
              </w:rPr>
              <m:t>q</m:t>
            </m:r>
          </m:e>
          <m:sub>
            <m:r>
              <m:rPr>
                <m:nor/>
              </m:rPr>
              <w:rPr>
                <w:rFonts w:ascii="Cambria Math"/>
                <w:iCs/>
              </w:rPr>
              <m:t>new</m:t>
            </m:r>
            <m:ctrlPr>
              <w:rPr>
                <w:rFonts w:ascii="Cambria Math" w:hAnsi="Cambria Math"/>
                <w:iCs/>
              </w:rPr>
            </m:ctrlPr>
          </m:sub>
        </m:sSub>
      </m:oMath>
      <w:r w:rsidRPr="006138D7">
        <w:rPr>
          <w:iCs/>
        </w:rPr>
        <w:t xml:space="preserve"> 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1,0</m:t>
            </m:r>
          </m:sub>
        </m:sSub>
      </m:oMath>
      <w:r w:rsidRPr="006138D7">
        <w:rPr>
          <w:iCs/>
        </w:rPr>
        <w:t>, if any</w:t>
      </w:r>
      <w:r w:rsidRPr="006138D7">
        <w:rPr>
          <w:iCs/>
          <w:lang w:val="en-US"/>
        </w:rPr>
        <w:t xml:space="preserve">, </w:t>
      </w:r>
      <w:r w:rsidRPr="006138D7">
        <w:t xml:space="preserve">on the serving cell </w:t>
      </w:r>
      <w:r w:rsidRPr="006138D7">
        <w:rPr>
          <w:iCs/>
          <w:lang w:val="en-US"/>
        </w:rPr>
        <w:t xml:space="preserve">and using the following parameters for determination of a corresponding power as described in clauses 7.1.1, 7.2.1, and 7.3.1 </w:t>
      </w:r>
    </w:p>
    <w:p w14:paraId="4B301AD7" w14:textId="77777777" w:rsidR="006138D7" w:rsidRPr="006138D7" w:rsidRDefault="006138D7" w:rsidP="006138D7">
      <w:pPr>
        <w:pStyle w:val="B2"/>
      </w:pPr>
      <w:r w:rsidRPr="006138D7">
        <w:t>-</w:t>
      </w:r>
      <w:r w:rsidRPr="006138D7">
        <w:tab/>
        <w:t>the RS index</w:t>
      </w:r>
      <w:r w:rsidRPr="006138D7">
        <w:rPr>
          <w:lang w:eastAsia="zh-CN"/>
        </w:rPr>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=q</m:t>
            </m:r>
          </m:e>
          <m:sub>
            <m:r>
              <m:rPr>
                <m:sty m:val="p"/>
              </m:rPr>
              <w:rPr>
                <w:rFonts w:ascii="Cambria Math" w:hAnsi="Cambria Math"/>
              </w:rPr>
              <m:t>new</m:t>
            </m:r>
          </m:sub>
        </m:sSub>
      </m:oMath>
      <w:r w:rsidRPr="006138D7">
        <w:t xml:space="preserve"> </w:t>
      </w:r>
      <w:r w:rsidRPr="006138D7">
        <w:rPr>
          <w:iCs/>
        </w:rPr>
        <w:t xml:space="preserve">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1,0</m:t>
            </m:r>
          </m:sub>
        </m:sSub>
      </m:oMath>
      <w:r w:rsidRPr="006138D7">
        <w:t>, if any, for obtaining a corresponding downlink pathloss estimate for the serving cell</w:t>
      </w:r>
    </w:p>
    <w:p w14:paraId="0F8275A3" w14:textId="77777777" w:rsidR="006138D7" w:rsidRPr="006138D7" w:rsidRDefault="006138D7" w:rsidP="006138D7">
      <w:pPr>
        <w:pStyle w:val="B2"/>
        <w:rPr>
          <w:iCs/>
          <w:lang w:val="en-US"/>
        </w:rPr>
      </w:pPr>
      <w:r w:rsidRPr="006138D7">
        <w:t>-</w:t>
      </w:r>
      <w:r w:rsidRPr="006138D7">
        <w:tab/>
      </w:r>
      <w:r w:rsidRPr="006138D7">
        <w:rPr>
          <w:lang w:eastAsia="ko-KR"/>
        </w:rPr>
        <w:t xml:space="preserve">the values of </w:t>
      </w:r>
      <m:oMath>
        <m:sSub>
          <m:sSubPr>
            <m:ctrlPr>
              <w:rPr>
                <w:rFonts w:ascii="Cambria Math" w:hAnsi="Cambria Math"/>
              </w:rPr>
            </m:ctrlPr>
          </m:sSubPr>
          <m:e>
            <m:r>
              <w:rPr>
                <w:rFonts w:ascii="Cambria Math" w:hAnsi="Cambria Math"/>
              </w:rPr>
              <m:t>P</m:t>
            </m:r>
          </m:e>
          <m:sub>
            <m:r>
              <m:rPr>
                <m:nor/>
              </m:rPr>
              <m:t>O_UE_PUSCH</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Pr="006138D7">
        <w:t xml:space="preserve">, </w:t>
      </w:r>
      <m:oMath>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Pr="006138D7">
        <w:t xml:space="preserve">, and the PUSCH power control adjustment state </w:t>
      </w:r>
      <m:oMath>
        <m:r>
          <w:rPr>
            <w:rFonts w:ascii="Cambria Math" w:hAnsi="Cambria Math"/>
          </w:rPr>
          <m:t>l</m:t>
        </m:r>
      </m:oMath>
      <w:r w:rsidRPr="006138D7">
        <w:t xml:space="preserve"> provided by </w:t>
      </w:r>
      <w:r w:rsidRPr="006138D7">
        <w:rPr>
          <w:i/>
          <w:noProof/>
        </w:rPr>
        <w:t>p0AlphaSetforPUSCH</w:t>
      </w:r>
      <w:r w:rsidRPr="006138D7">
        <w:t xml:space="preserve"> associated </w:t>
      </w:r>
      <w:r w:rsidRPr="006138D7">
        <w:rPr>
          <w:lang w:eastAsia="zh-CN"/>
        </w:rPr>
        <w:t xml:space="preserve">with the </w:t>
      </w:r>
      <w:r w:rsidRPr="006138D7">
        <w:rPr>
          <w:lang w:val="en-US" w:eastAsia="zh-CN"/>
        </w:rPr>
        <w:t>smallest</w:t>
      </w:r>
      <w:r w:rsidRPr="006138D7">
        <w:rPr>
          <w:lang w:eastAsia="zh-CN"/>
        </w:rPr>
        <w:t xml:space="preserve"> value of </w:t>
      </w:r>
      <w:r w:rsidRPr="006138D7">
        <w:rPr>
          <w:i/>
        </w:rPr>
        <w:t>ul-powercontrolId</w:t>
      </w:r>
      <w:r w:rsidRPr="006138D7">
        <w:rPr>
          <w:lang w:eastAsia="zh-CN"/>
        </w:rPr>
        <w:t xml:space="preserve"> for the serving cell</w:t>
      </w:r>
    </w:p>
    <w:p w14:paraId="1AE7A54A" w14:textId="77777777" w:rsidR="006138D7" w:rsidRPr="006138D7" w:rsidRDefault="006138D7" w:rsidP="006138D7">
      <w:pPr>
        <w:pStyle w:val="B2"/>
        <w:rPr>
          <w:lang w:eastAsia="zh-CN"/>
        </w:rPr>
      </w:pPr>
      <w:r w:rsidRPr="006138D7">
        <w:t>-</w:t>
      </w:r>
      <w:r w:rsidRPr="006138D7">
        <w:tab/>
      </w:r>
      <w:r w:rsidRPr="006138D7">
        <w:rPr>
          <w:lang w:eastAsia="ko-KR"/>
        </w:rPr>
        <w:t xml:space="preserve">the value of </w:t>
      </w:r>
      <m:oMath>
        <m:sSub>
          <m:sSubPr>
            <m:ctrlPr>
              <w:rPr>
                <w:rFonts w:ascii="Cambria Math" w:hAnsi="Cambria Math"/>
                <w:iCs/>
              </w:rPr>
            </m:ctrlPr>
          </m:sSubPr>
          <m:e>
            <m:r>
              <w:rPr>
                <w:rFonts w:ascii="Cambria Math" w:hAnsi="Cambria Math"/>
              </w:rPr>
              <m:t>P</m:t>
            </m:r>
          </m:e>
          <m:sub>
            <m:r>
              <m:rPr>
                <m:sty m:val="p"/>
              </m:rPr>
              <w:rPr>
                <w:rFonts w:ascii="Cambria Math"/>
              </w:rPr>
              <m:t>O_UE_PUCCH</m:t>
            </m:r>
          </m:sub>
        </m:sSub>
        <m:d>
          <m:dPr>
            <m:ctrlPr>
              <w:rPr>
                <w:rFonts w:ascii="Cambria Math" w:hAnsi="Cambria Math"/>
              </w:rPr>
            </m:ctrlPr>
          </m:dPr>
          <m:e>
            <m:sSub>
              <m:sSubPr>
                <m:ctrlPr>
                  <w:rPr>
                    <w:rFonts w:ascii="Cambria Math" w:hAnsi="Cambria Math"/>
                    <w:iCs/>
                  </w:rPr>
                </m:ctrlPr>
              </m:sSubPr>
              <m:e>
                <m:r>
                  <w:rPr>
                    <w:rFonts w:ascii="Cambria Math" w:hAnsi="Cambria Math"/>
                  </w:rPr>
                  <m:t>q</m:t>
                </m:r>
              </m:e>
              <m:sub>
                <m:r>
                  <w:rPr>
                    <w:rFonts w:ascii="Cambria Math"/>
                  </w:rPr>
                  <m:t>u</m:t>
                </m:r>
              </m:sub>
            </m:sSub>
          </m:e>
        </m:d>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oMath>
      <w:r w:rsidRPr="006138D7">
        <w:t xml:space="preserve"> and the PU</w:t>
      </w:r>
      <w:r w:rsidRPr="006138D7">
        <w:rPr>
          <w:lang w:val="en-US"/>
        </w:rPr>
        <w:t>C</w:t>
      </w:r>
      <w:r w:rsidRPr="006138D7">
        <w:t xml:space="preserve">CH power control adjustment state </w:t>
      </w:r>
      <m:oMath>
        <m:r>
          <w:rPr>
            <w:rFonts w:ascii="Cambria Math" w:hAnsi="Cambria Math"/>
          </w:rPr>
          <m:t>l</m:t>
        </m:r>
      </m:oMath>
      <w:r w:rsidRPr="006138D7">
        <w:t xml:space="preserve"> provided by </w:t>
      </w:r>
      <w:r w:rsidRPr="006138D7">
        <w:rPr>
          <w:i/>
          <w:noProof/>
        </w:rPr>
        <w:t>p0AlphaSetforPUCCH</w:t>
      </w:r>
      <w:r w:rsidRPr="006138D7">
        <w:t xml:space="preserve"> associated </w:t>
      </w:r>
      <w:r w:rsidRPr="006138D7">
        <w:rPr>
          <w:lang w:eastAsia="zh-CN"/>
        </w:rPr>
        <w:t xml:space="preserve">with the </w:t>
      </w:r>
      <w:r w:rsidRPr="006138D7">
        <w:rPr>
          <w:lang w:val="en-US" w:eastAsia="zh-CN"/>
        </w:rPr>
        <w:t>smallest</w:t>
      </w:r>
      <w:r w:rsidRPr="006138D7">
        <w:rPr>
          <w:lang w:eastAsia="zh-CN"/>
        </w:rPr>
        <w:t xml:space="preserve"> value of </w:t>
      </w:r>
      <w:r w:rsidRPr="006138D7">
        <w:rPr>
          <w:i/>
        </w:rPr>
        <w:t>ul-powercontrolId</w:t>
      </w:r>
      <w:r w:rsidRPr="006138D7">
        <w:rPr>
          <w:lang w:eastAsia="zh-CN"/>
        </w:rPr>
        <w:t xml:space="preserve"> for the </w:t>
      </w:r>
      <w:r w:rsidRPr="006138D7">
        <w:t xml:space="preserve">serving cell </w:t>
      </w:r>
    </w:p>
    <w:p w14:paraId="43BCCEC4" w14:textId="77777777" w:rsidR="006138D7" w:rsidRPr="006138D7" w:rsidRDefault="006138D7" w:rsidP="006138D7">
      <w:pPr>
        <w:pStyle w:val="B2"/>
        <w:rPr>
          <w:bCs/>
        </w:rPr>
      </w:pPr>
      <w:r w:rsidRPr="006138D7">
        <w:t>-</w:t>
      </w:r>
      <w:r w:rsidRPr="006138D7">
        <w:tab/>
      </w:r>
      <w:r w:rsidRPr="006138D7">
        <w:rPr>
          <w:lang w:eastAsia="ko-KR"/>
        </w:rPr>
        <w:t xml:space="preserve">the values of </w:t>
      </w:r>
      <m:oMath>
        <m:sSub>
          <m:sSubPr>
            <m:ctrlPr>
              <w:rPr>
                <w:rFonts w:ascii="Cambria Math" w:hAnsi="Cambria Math"/>
                <w:iCs/>
              </w:rPr>
            </m:ctrlPr>
          </m:sSubPr>
          <m:e>
            <m:r>
              <w:rPr>
                <w:rFonts w:ascii="Cambria Math" w:hAnsi="Cambria Math"/>
              </w:rPr>
              <m:t>P</m:t>
            </m:r>
          </m:e>
          <m:sub>
            <m:r>
              <m:rPr>
                <m:nor/>
              </m:rPr>
              <w:rPr>
                <w:rFonts w:ascii="Cambria Math"/>
                <w:iCs/>
              </w:rPr>
              <m:t>O_UE_SRS</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sSub>
              <m:sSubPr>
                <m:ctrlPr>
                  <w:rPr>
                    <w:rFonts w:ascii="Cambria Math" w:hAnsi="Cambria Math"/>
                    <w:iCs/>
                  </w:rPr>
                </m:ctrlPr>
              </m:sSubPr>
              <m:e>
                <m:r>
                  <w:rPr>
                    <w:rFonts w:ascii="Cambria Math" w:hAnsi="Cambria Math"/>
                  </w:rPr>
                  <m:t>q</m:t>
                </m:r>
              </m:e>
              <m:sub>
                <m:r>
                  <w:rPr>
                    <w:rFonts w:ascii="Cambria Math"/>
                  </w:rPr>
                  <m:t>s</m:t>
                </m:r>
              </m:sub>
            </m:sSub>
          </m:e>
        </m:d>
      </m:oMath>
      <w:r w:rsidRPr="006138D7">
        <w:t xml:space="preserve">, </w:t>
      </w:r>
      <m:oMath>
        <m:sSub>
          <m:sSubPr>
            <m:ctrlPr>
              <w:rPr>
                <w:rFonts w:ascii="Cambria Math" w:hAnsi="Cambria Math"/>
              </w:rPr>
            </m:ctrlPr>
          </m:sSubPr>
          <m:e>
            <m:r>
              <w:rPr>
                <w:rFonts w:ascii="Cambria Math" w:hAnsi="Cambria Math"/>
              </w:rPr>
              <m:t>α</m:t>
            </m:r>
          </m:e>
          <m:sub>
            <m:r>
              <m:rPr>
                <m:sty m:val="p"/>
              </m:rPr>
              <w:rPr>
                <w:rFonts w:ascii="Cambria Math" w:hAnsi="Cambria Math"/>
              </w:rPr>
              <m:t>SRS</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s</m:t>
                </m:r>
              </m:sub>
            </m:sSub>
          </m:e>
        </m:d>
      </m:oMath>
      <w:r w:rsidRPr="006138D7">
        <w:t xml:space="preserve">, and the </w:t>
      </w:r>
      <w:r w:rsidRPr="006138D7">
        <w:rPr>
          <w:lang w:val="en-US"/>
        </w:rPr>
        <w:t>SRS</w:t>
      </w:r>
      <w:r w:rsidRPr="006138D7">
        <w:t xml:space="preserve"> power control adjustment state </w:t>
      </w:r>
      <m:oMath>
        <m:r>
          <w:rPr>
            <w:rFonts w:ascii="Cambria Math" w:hAnsi="Cambria Math"/>
          </w:rPr>
          <m:t>l</m:t>
        </m:r>
      </m:oMath>
      <w:r w:rsidRPr="006138D7">
        <w:t xml:space="preserve"> provided by </w:t>
      </w:r>
      <w:r w:rsidRPr="006138D7">
        <w:rPr>
          <w:i/>
          <w:noProof/>
        </w:rPr>
        <w:t>p0AlphaSetforSRS</w:t>
      </w:r>
      <w:r w:rsidRPr="006138D7">
        <w:t xml:space="preserve"> associated </w:t>
      </w:r>
      <w:r w:rsidRPr="006138D7">
        <w:rPr>
          <w:lang w:eastAsia="zh-CN"/>
        </w:rPr>
        <w:t xml:space="preserve">with the </w:t>
      </w:r>
      <w:r w:rsidRPr="006138D7">
        <w:rPr>
          <w:lang w:val="en-US" w:eastAsia="zh-CN"/>
        </w:rPr>
        <w:t>smallest</w:t>
      </w:r>
      <w:r w:rsidRPr="006138D7">
        <w:rPr>
          <w:lang w:eastAsia="zh-CN"/>
        </w:rPr>
        <w:t xml:space="preserve"> value of </w:t>
      </w:r>
      <w:r w:rsidRPr="006138D7">
        <w:rPr>
          <w:i/>
        </w:rPr>
        <w:t>ul-powercontrolId</w:t>
      </w:r>
      <w:r w:rsidRPr="006138D7">
        <w:rPr>
          <w:lang w:eastAsia="zh-CN"/>
        </w:rPr>
        <w:t xml:space="preserve"> for the </w:t>
      </w:r>
      <w:r w:rsidRPr="006138D7">
        <w:t>serving cell</w:t>
      </w:r>
    </w:p>
    <w:p w14:paraId="3D550899" w14:textId="77777777" w:rsidR="006138D7" w:rsidRPr="006138D7" w:rsidRDefault="006138D7" w:rsidP="006138D7">
      <w:pPr>
        <w:pStyle w:val="B1"/>
        <w:rPr>
          <w:iCs/>
          <w:lang w:val="en-US"/>
        </w:rPr>
      </w:pPr>
      <w:r w:rsidRPr="006138D7">
        <w:t>-</w:t>
      </w:r>
      <w:r w:rsidRPr="006138D7">
        <w:tab/>
        <w:t>transmits PU</w:t>
      </w:r>
      <w:r w:rsidRPr="006138D7">
        <w:rPr>
          <w:lang w:val="en-US"/>
        </w:rPr>
        <w:t>S</w:t>
      </w:r>
      <w:r w:rsidRPr="006138D7">
        <w:t>CH, PU</w:t>
      </w:r>
      <w:r w:rsidRPr="006138D7">
        <w:rPr>
          <w:lang w:val="en-US"/>
        </w:rPr>
        <w:t>C</w:t>
      </w:r>
      <w:r w:rsidRPr="006138D7">
        <w:t xml:space="preserve">CH, and SRS that apply the second </w:t>
      </w:r>
      <w:r w:rsidRPr="006138D7">
        <w:rPr>
          <w:i/>
          <w:iCs/>
          <w:lang w:val="en-US"/>
        </w:rPr>
        <w:t>TCI-State</w:t>
      </w:r>
      <w:r w:rsidRPr="006138D7">
        <w:rPr>
          <w:lang w:val="en-US"/>
        </w:rPr>
        <w:t xml:space="preserve"> or</w:t>
      </w:r>
      <w:r w:rsidRPr="006138D7">
        <w:rPr>
          <w:i/>
          <w:iCs/>
          <w:lang w:val="en-US"/>
        </w:rPr>
        <w:t xml:space="preserve"> TCI-UL-State</w:t>
      </w:r>
      <w:r w:rsidRPr="006138D7">
        <w:rPr>
          <w:lang w:val="en-US"/>
        </w:rPr>
        <w:t xml:space="preserve"> </w:t>
      </w:r>
      <w:r w:rsidRPr="006138D7">
        <w:t>using a same spatial domain filter as the one corresponding to</w:t>
      </w:r>
      <w:r w:rsidRPr="006138D7">
        <w:rPr>
          <w:iCs/>
          <w:lang w:eastAsia="ja-JP"/>
        </w:rPr>
        <w:t xml:space="preserve"> </w:t>
      </w:r>
      <m:oMath>
        <m:sSub>
          <m:sSubPr>
            <m:ctrlPr>
              <w:rPr>
                <w:rFonts w:ascii="Cambria Math" w:hAnsi="Cambria Math"/>
                <w:i/>
                <w:iCs/>
              </w:rPr>
            </m:ctrlPr>
          </m:sSubPr>
          <m:e>
            <m:r>
              <w:rPr>
                <w:rFonts w:ascii="Cambria Math"/>
              </w:rPr>
              <m:t>q</m:t>
            </m:r>
          </m:e>
          <m:sub>
            <m:r>
              <m:rPr>
                <m:nor/>
              </m:rPr>
              <w:rPr>
                <w:rFonts w:ascii="Cambria Math"/>
                <w:iCs/>
              </w:rPr>
              <m:t>new</m:t>
            </m:r>
            <m:ctrlPr>
              <w:rPr>
                <w:rFonts w:ascii="Cambria Math" w:hAnsi="Cambria Math"/>
                <w:iCs/>
              </w:rPr>
            </m:ctrlPr>
          </m:sub>
        </m:sSub>
      </m:oMath>
      <w:r w:rsidRPr="006138D7">
        <w:rPr>
          <w:iCs/>
        </w:rPr>
        <w:t xml:space="preserve"> 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1,1</m:t>
            </m:r>
          </m:sub>
        </m:sSub>
      </m:oMath>
      <w:r w:rsidRPr="006138D7">
        <w:rPr>
          <w:iCs/>
        </w:rPr>
        <w:t>, if any</w:t>
      </w:r>
      <w:r w:rsidRPr="006138D7">
        <w:rPr>
          <w:iCs/>
          <w:lang w:val="en-US"/>
        </w:rPr>
        <w:t xml:space="preserve">, on the serving cell and using the following parameters for determination of a corresponding power as described in clauses 7.1.1, 7.2.1, and 7.3.1 </w:t>
      </w:r>
    </w:p>
    <w:p w14:paraId="0237B5CB" w14:textId="77777777" w:rsidR="006138D7" w:rsidRPr="006138D7" w:rsidRDefault="006138D7" w:rsidP="006138D7">
      <w:pPr>
        <w:pStyle w:val="B2"/>
        <w:rPr>
          <w:iCs/>
          <w:lang w:val="en-US"/>
        </w:rPr>
      </w:pPr>
      <w:r w:rsidRPr="006138D7">
        <w:t>-</w:t>
      </w:r>
      <w:r w:rsidRPr="006138D7">
        <w:tab/>
        <w:t>the RS index</w:t>
      </w:r>
      <w:r w:rsidRPr="006138D7">
        <w:rPr>
          <w:lang w:eastAsia="zh-CN"/>
        </w:rPr>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=q</m:t>
            </m:r>
          </m:e>
          <m:sub>
            <m:r>
              <m:rPr>
                <m:sty m:val="p"/>
              </m:rPr>
              <w:rPr>
                <w:rFonts w:ascii="Cambria Math" w:hAnsi="Cambria Math"/>
              </w:rPr>
              <m:t>new</m:t>
            </m:r>
          </m:sub>
        </m:sSub>
      </m:oMath>
      <w:r w:rsidRPr="006138D7">
        <w:t xml:space="preserve"> </w:t>
      </w:r>
      <w:r w:rsidRPr="006138D7">
        <w:rPr>
          <w:iCs/>
        </w:rPr>
        <w:t xml:space="preserve">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1,1</m:t>
            </m:r>
          </m:sub>
        </m:sSub>
      </m:oMath>
      <w:r w:rsidRPr="006138D7">
        <w:t>, if any, for obtaining a corresponding downlink pathloss estimate for the serving cell</w:t>
      </w:r>
    </w:p>
    <w:p w14:paraId="2E45E8EA" w14:textId="77777777" w:rsidR="006138D7" w:rsidRPr="006138D7" w:rsidRDefault="006138D7" w:rsidP="006138D7">
      <w:pPr>
        <w:pStyle w:val="B2"/>
        <w:rPr>
          <w:iCs/>
          <w:lang w:val="en-US"/>
        </w:rPr>
      </w:pPr>
      <w:r w:rsidRPr="006138D7">
        <w:t>-</w:t>
      </w:r>
      <w:r w:rsidRPr="006138D7">
        <w:tab/>
      </w:r>
      <w:r w:rsidRPr="006138D7">
        <w:rPr>
          <w:lang w:eastAsia="ko-KR"/>
        </w:rPr>
        <w:t xml:space="preserve">the values of </w:t>
      </w:r>
      <m:oMath>
        <m:sSub>
          <m:sSubPr>
            <m:ctrlPr>
              <w:rPr>
                <w:rFonts w:ascii="Cambria Math" w:hAnsi="Cambria Math"/>
              </w:rPr>
            </m:ctrlPr>
          </m:sSubPr>
          <m:e>
            <m:r>
              <w:rPr>
                <w:rFonts w:ascii="Cambria Math" w:hAnsi="Cambria Math"/>
              </w:rPr>
              <m:t>P</m:t>
            </m:r>
          </m:e>
          <m:sub>
            <m:r>
              <m:rPr>
                <m:nor/>
              </m:rPr>
              <m:t>O_UE_PUSCH</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Pr="006138D7">
        <w:t xml:space="preserve">, </w:t>
      </w:r>
      <m:oMath>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Pr="006138D7">
        <w:t xml:space="preserve">, and the PUSCH power control adjustment state </w:t>
      </w:r>
      <m:oMath>
        <m:r>
          <w:rPr>
            <w:rFonts w:ascii="Cambria Math" w:hAnsi="Cambria Math"/>
          </w:rPr>
          <m:t>l</m:t>
        </m:r>
      </m:oMath>
      <w:r w:rsidRPr="006138D7">
        <w:t xml:space="preserve"> provided by </w:t>
      </w:r>
      <w:r w:rsidRPr="006138D7">
        <w:rPr>
          <w:i/>
          <w:noProof/>
        </w:rPr>
        <w:t>p0AlphaSetforPUSCH</w:t>
      </w:r>
      <w:r w:rsidRPr="006138D7">
        <w:t xml:space="preserve"> associated </w:t>
      </w:r>
      <w:r w:rsidRPr="006138D7">
        <w:rPr>
          <w:lang w:eastAsia="zh-CN"/>
        </w:rPr>
        <w:t xml:space="preserve">with the </w:t>
      </w:r>
      <w:r w:rsidRPr="006138D7">
        <w:rPr>
          <w:lang w:val="en-US" w:eastAsia="zh-CN"/>
        </w:rPr>
        <w:t>smallest</w:t>
      </w:r>
      <w:r w:rsidRPr="006138D7">
        <w:rPr>
          <w:lang w:eastAsia="zh-CN"/>
        </w:rPr>
        <w:t xml:space="preserve"> value of </w:t>
      </w:r>
      <w:r w:rsidRPr="006138D7">
        <w:rPr>
          <w:i/>
        </w:rPr>
        <w:t>ul-powercontrolId</w:t>
      </w:r>
      <w:r w:rsidRPr="006138D7">
        <w:rPr>
          <w:lang w:eastAsia="zh-CN"/>
        </w:rPr>
        <w:t xml:space="preserve"> for the serving cell</w:t>
      </w:r>
    </w:p>
    <w:p w14:paraId="4B052D61" w14:textId="77777777" w:rsidR="006138D7" w:rsidRPr="006138D7" w:rsidRDefault="006138D7" w:rsidP="006138D7">
      <w:pPr>
        <w:pStyle w:val="B2"/>
        <w:rPr>
          <w:lang w:eastAsia="zh-CN"/>
        </w:rPr>
      </w:pPr>
      <w:r w:rsidRPr="006138D7">
        <w:t>-</w:t>
      </w:r>
      <w:r w:rsidRPr="006138D7">
        <w:tab/>
      </w:r>
      <w:r w:rsidRPr="006138D7">
        <w:rPr>
          <w:lang w:eastAsia="ko-KR"/>
        </w:rPr>
        <w:t xml:space="preserve">the value of </w:t>
      </w:r>
      <m:oMath>
        <m:sSub>
          <m:sSubPr>
            <m:ctrlPr>
              <w:rPr>
                <w:rFonts w:ascii="Cambria Math" w:hAnsi="Cambria Math"/>
                <w:iCs/>
              </w:rPr>
            </m:ctrlPr>
          </m:sSubPr>
          <m:e>
            <m:r>
              <w:rPr>
                <w:rFonts w:ascii="Cambria Math" w:hAnsi="Cambria Math"/>
              </w:rPr>
              <m:t>P</m:t>
            </m:r>
          </m:e>
          <m:sub>
            <m:r>
              <m:rPr>
                <m:sty m:val="p"/>
              </m:rPr>
              <w:rPr>
                <w:rFonts w:ascii="Cambria Math"/>
              </w:rPr>
              <m:t>O_UE_PUCCH</m:t>
            </m:r>
          </m:sub>
        </m:sSub>
        <m:d>
          <m:dPr>
            <m:ctrlPr>
              <w:rPr>
                <w:rFonts w:ascii="Cambria Math" w:hAnsi="Cambria Math"/>
              </w:rPr>
            </m:ctrlPr>
          </m:dPr>
          <m:e>
            <m:sSub>
              <m:sSubPr>
                <m:ctrlPr>
                  <w:rPr>
                    <w:rFonts w:ascii="Cambria Math" w:hAnsi="Cambria Math"/>
                    <w:iCs/>
                  </w:rPr>
                </m:ctrlPr>
              </m:sSubPr>
              <m:e>
                <m:r>
                  <w:rPr>
                    <w:rFonts w:ascii="Cambria Math" w:hAnsi="Cambria Math"/>
                  </w:rPr>
                  <m:t>q</m:t>
                </m:r>
              </m:e>
              <m:sub>
                <m:r>
                  <w:rPr>
                    <w:rFonts w:ascii="Cambria Math"/>
                  </w:rPr>
                  <m:t>u</m:t>
                </m:r>
              </m:sub>
            </m:sSub>
          </m:e>
        </m:d>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oMath>
      <w:r w:rsidRPr="006138D7">
        <w:t xml:space="preserve"> and the PU</w:t>
      </w:r>
      <w:r w:rsidRPr="006138D7">
        <w:rPr>
          <w:lang w:val="en-US"/>
        </w:rPr>
        <w:t>C</w:t>
      </w:r>
      <w:r w:rsidRPr="006138D7">
        <w:t xml:space="preserve">CH power control adjustment state </w:t>
      </w:r>
      <m:oMath>
        <m:r>
          <w:rPr>
            <w:rFonts w:ascii="Cambria Math" w:hAnsi="Cambria Math"/>
          </w:rPr>
          <m:t>l</m:t>
        </m:r>
      </m:oMath>
      <w:r w:rsidRPr="006138D7">
        <w:t xml:space="preserve"> provided by </w:t>
      </w:r>
      <w:r w:rsidRPr="006138D7">
        <w:rPr>
          <w:i/>
          <w:noProof/>
        </w:rPr>
        <w:t>p0AlphaSetforPUCCH</w:t>
      </w:r>
      <w:r w:rsidRPr="006138D7">
        <w:t xml:space="preserve"> associated </w:t>
      </w:r>
      <w:r w:rsidRPr="006138D7">
        <w:rPr>
          <w:lang w:eastAsia="zh-CN"/>
        </w:rPr>
        <w:t xml:space="preserve">with the </w:t>
      </w:r>
      <w:r w:rsidRPr="006138D7">
        <w:rPr>
          <w:lang w:val="en-US" w:eastAsia="zh-CN"/>
        </w:rPr>
        <w:t>smallest</w:t>
      </w:r>
      <w:r w:rsidRPr="006138D7">
        <w:rPr>
          <w:lang w:eastAsia="zh-CN"/>
        </w:rPr>
        <w:t xml:space="preserve"> value of </w:t>
      </w:r>
      <w:r w:rsidRPr="006138D7">
        <w:rPr>
          <w:i/>
        </w:rPr>
        <w:t>ul-powercontrolId</w:t>
      </w:r>
      <w:r w:rsidRPr="006138D7">
        <w:rPr>
          <w:lang w:eastAsia="zh-CN"/>
        </w:rPr>
        <w:t xml:space="preserve"> for the </w:t>
      </w:r>
      <w:r w:rsidRPr="006138D7">
        <w:t xml:space="preserve">serving cell </w:t>
      </w:r>
    </w:p>
    <w:p w14:paraId="20AAC0F3" w14:textId="77777777" w:rsidR="006138D7" w:rsidRPr="006138D7" w:rsidRDefault="006138D7" w:rsidP="006138D7">
      <w:pPr>
        <w:pStyle w:val="B2"/>
        <w:rPr>
          <w:bCs/>
        </w:rPr>
      </w:pPr>
      <w:r w:rsidRPr="006138D7">
        <w:t>-</w:t>
      </w:r>
      <w:r w:rsidRPr="006138D7">
        <w:tab/>
      </w:r>
      <w:r w:rsidRPr="006138D7">
        <w:rPr>
          <w:lang w:eastAsia="ko-KR"/>
        </w:rPr>
        <w:t xml:space="preserve">the values of </w:t>
      </w:r>
      <m:oMath>
        <m:sSub>
          <m:sSubPr>
            <m:ctrlPr>
              <w:rPr>
                <w:rFonts w:ascii="Cambria Math" w:hAnsi="Cambria Math"/>
                <w:iCs/>
              </w:rPr>
            </m:ctrlPr>
          </m:sSubPr>
          <m:e>
            <m:r>
              <w:rPr>
                <w:rFonts w:ascii="Cambria Math" w:hAnsi="Cambria Math"/>
              </w:rPr>
              <m:t>P</m:t>
            </m:r>
          </m:e>
          <m:sub>
            <m:r>
              <m:rPr>
                <m:nor/>
              </m:rPr>
              <w:rPr>
                <w:rFonts w:ascii="Cambria Math"/>
                <w:iCs/>
              </w:rPr>
              <m:t>O_UE_SRS</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s</m:t>
                </m:r>
              </m:sub>
            </m:sSub>
          </m:e>
        </m:d>
      </m:oMath>
      <w:r w:rsidRPr="006138D7">
        <w:t xml:space="preserve">, </w:t>
      </w:r>
      <m:oMath>
        <m:sSub>
          <m:sSubPr>
            <m:ctrlPr>
              <w:rPr>
                <w:rFonts w:ascii="Cambria Math" w:hAnsi="Cambria Math"/>
              </w:rPr>
            </m:ctrlPr>
          </m:sSubPr>
          <m:e>
            <m:r>
              <w:rPr>
                <w:rFonts w:ascii="Cambria Math" w:hAnsi="Cambria Math"/>
              </w:rPr>
              <m:t>α</m:t>
            </m:r>
          </m:e>
          <m:sub>
            <m:r>
              <m:rPr>
                <m:sty m:val="p"/>
              </m:rPr>
              <w:rPr>
                <w:rFonts w:ascii="Cambria Math" w:hAnsi="Cambria Math"/>
              </w:rPr>
              <m:t>SRS</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s</m:t>
                </m:r>
              </m:sub>
            </m:sSub>
          </m:e>
        </m:d>
      </m:oMath>
      <w:r w:rsidRPr="006138D7">
        <w:t xml:space="preserve">, and the </w:t>
      </w:r>
      <w:r w:rsidRPr="006138D7">
        <w:rPr>
          <w:lang w:val="en-US"/>
        </w:rPr>
        <w:t>SRS</w:t>
      </w:r>
      <w:r w:rsidRPr="006138D7">
        <w:t xml:space="preserve"> power control adjustment state </w:t>
      </w:r>
      <m:oMath>
        <m:r>
          <w:rPr>
            <w:rFonts w:ascii="Cambria Math" w:hAnsi="Cambria Math"/>
          </w:rPr>
          <m:t>l</m:t>
        </m:r>
      </m:oMath>
      <w:r w:rsidRPr="006138D7">
        <w:t xml:space="preserve"> provided by </w:t>
      </w:r>
      <w:r w:rsidRPr="006138D7">
        <w:rPr>
          <w:i/>
          <w:noProof/>
        </w:rPr>
        <w:t>p0AlphaSetforSRS</w:t>
      </w:r>
      <w:r w:rsidRPr="006138D7">
        <w:t xml:space="preserve"> associated </w:t>
      </w:r>
      <w:r w:rsidRPr="006138D7">
        <w:rPr>
          <w:lang w:eastAsia="zh-CN"/>
        </w:rPr>
        <w:t xml:space="preserve">with the </w:t>
      </w:r>
      <w:r w:rsidRPr="006138D7">
        <w:rPr>
          <w:lang w:val="en-US" w:eastAsia="zh-CN"/>
        </w:rPr>
        <w:t>smallest</w:t>
      </w:r>
      <w:r w:rsidRPr="006138D7">
        <w:rPr>
          <w:lang w:eastAsia="zh-CN"/>
        </w:rPr>
        <w:t xml:space="preserve"> value of </w:t>
      </w:r>
      <w:r w:rsidRPr="006138D7">
        <w:rPr>
          <w:i/>
        </w:rPr>
        <w:t>ul-powercontrolId</w:t>
      </w:r>
      <w:r w:rsidRPr="006138D7">
        <w:rPr>
          <w:lang w:eastAsia="zh-CN"/>
        </w:rPr>
        <w:t xml:space="preserve"> for the </w:t>
      </w:r>
      <w:r w:rsidRPr="006138D7">
        <w:t>serving cell</w:t>
      </w:r>
    </w:p>
    <w:p w14:paraId="51B8F488" w14:textId="77777777" w:rsidR="006138D7" w:rsidRPr="006138D7" w:rsidRDefault="006138D7" w:rsidP="006138D7">
      <w:r w:rsidRPr="006138D7">
        <w:t>where the SCS configuration for the 28 symbols is the smallest of the SCS configurations of the active DL BWP for the PDCCH reception and of the active DL BWP(s) of the serving cells.</w:t>
      </w:r>
    </w:p>
    <w:p w14:paraId="3F89DF78" w14:textId="77777777" w:rsidR="006138D7" w:rsidRPr="006138D7" w:rsidRDefault="006138D7" w:rsidP="006138D7">
      <w:pPr>
        <w:tabs>
          <w:tab w:val="left" w:pos="2116"/>
        </w:tabs>
        <w:rPr>
          <w:iCs/>
        </w:rPr>
      </w:pPr>
      <w:r w:rsidRPr="006138D7">
        <w:rPr>
          <w:iCs/>
        </w:rPr>
        <w:t xml:space="preserve">For a serving cell associated with sets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0,0</m:t>
            </m:r>
          </m:sub>
        </m:sSub>
      </m:oMath>
      <w:r w:rsidRPr="006138D7">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1,0</m:t>
            </m:r>
          </m:sub>
        </m:sSub>
      </m:oMath>
      <w:r w:rsidRPr="006138D7">
        <w:rPr>
          <w:iCs/>
        </w:rPr>
        <w:t xml:space="preserve">, and with sets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0,1</m:t>
            </m:r>
          </m:sub>
        </m:sSub>
      </m:oMath>
      <w:r w:rsidRPr="006138D7">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1,1</m:t>
            </m:r>
          </m:sub>
        </m:sSub>
      </m:oMath>
      <w:r w:rsidRPr="006138D7">
        <w:rPr>
          <w:iCs/>
        </w:rPr>
        <w:t xml:space="preserve">, and having radio link quality worse than </w:t>
      </w:r>
      <w:r w:rsidRPr="006138D7">
        <w:t>Q</w:t>
      </w:r>
      <w:r w:rsidRPr="006138D7">
        <w:rPr>
          <w:vertAlign w:val="subscript"/>
        </w:rPr>
        <w:t>out,LR</w:t>
      </w:r>
      <w:r w:rsidRPr="006138D7">
        <w:rPr>
          <w:iCs/>
        </w:rPr>
        <w:t xml:space="preserve">, and if a UE is provided </w:t>
      </w:r>
      <w:r w:rsidRPr="006138D7">
        <w:t xml:space="preserve">two </w:t>
      </w:r>
      <w:r w:rsidRPr="006138D7">
        <w:rPr>
          <w:rFonts w:eastAsia="Batang"/>
          <w:i/>
          <w:iCs/>
        </w:rPr>
        <w:t xml:space="preserve">coresetPoolIndex </w:t>
      </w:r>
      <w:r w:rsidRPr="006138D7">
        <w:rPr>
          <w:rFonts w:eastAsia="Batang"/>
          <w:iCs/>
        </w:rPr>
        <w:t>values 0 and 1 for the first and second CORESETs, or is not provided</w:t>
      </w:r>
      <w:r w:rsidRPr="006138D7">
        <w:rPr>
          <w:rFonts w:eastAsia="Batang"/>
          <w:i/>
          <w:iCs/>
        </w:rPr>
        <w:t xml:space="preserve"> coresetPoolIndex </w:t>
      </w:r>
      <w:r w:rsidRPr="006138D7">
        <w:rPr>
          <w:rFonts w:eastAsia="Batang"/>
          <w:iCs/>
        </w:rPr>
        <w:t>value for the first CORESETs and is provided</w:t>
      </w:r>
      <w:r w:rsidRPr="006138D7">
        <w:rPr>
          <w:rFonts w:eastAsia="Batang"/>
          <w:i/>
          <w:iCs/>
        </w:rPr>
        <w:t xml:space="preserve"> coresetPoolIndex </w:t>
      </w:r>
      <w:r w:rsidRPr="006138D7">
        <w:rPr>
          <w:rFonts w:eastAsia="Batang"/>
          <w:iCs/>
        </w:rPr>
        <w:t>value of 1 for the second CORESETs, respectively</w:t>
      </w:r>
      <w:r w:rsidRPr="006138D7">
        <w:rPr>
          <w:iCs/>
        </w:rPr>
        <w:t xml:space="preserve">, and the UE is provided </w:t>
      </w:r>
      <w:r w:rsidRPr="006138D7">
        <w:rPr>
          <w:rFonts w:cs="Times"/>
          <w:i/>
          <w:szCs w:val="18"/>
          <w:lang w:eastAsia="zh-CN"/>
        </w:rPr>
        <w:t>dl-OrJointTCI-StateList</w:t>
      </w:r>
      <w:r w:rsidRPr="006138D7">
        <w:rPr>
          <w:rFonts w:cs="Times"/>
          <w:iCs/>
          <w:szCs w:val="18"/>
          <w:lang w:eastAsia="zh-CN"/>
        </w:rPr>
        <w:t xml:space="preserve"> </w:t>
      </w:r>
      <w:r w:rsidRPr="006138D7">
        <w:rPr>
          <w:rFonts w:cs="Times"/>
          <w:iCs/>
          <w:szCs w:val="18"/>
          <w:lang w:val="en-US" w:eastAsia="zh-CN"/>
        </w:rPr>
        <w:t>or</w:t>
      </w:r>
      <w:r w:rsidRPr="006138D7">
        <w:rPr>
          <w:lang w:val="en-US"/>
        </w:rPr>
        <w:t xml:space="preserve"> </w:t>
      </w:r>
      <w:r w:rsidRPr="006138D7">
        <w:rPr>
          <w:i/>
          <w:iCs/>
          <w:lang w:val="en-US"/>
        </w:rPr>
        <w:t>TCI-UL-State</w:t>
      </w:r>
      <w:r w:rsidRPr="006138D7">
        <w:rPr>
          <w:iCs/>
        </w:rPr>
        <w:t>, after 28 symbols from a last symbol of a first PDCCH reception with a DCI format scheduling a PUSCH transmission with a same HARQ process number as for the transmission of the second PUSCH and having a toggled NDI field value, the UE</w:t>
      </w:r>
    </w:p>
    <w:p w14:paraId="274EE52C" w14:textId="4C115471" w:rsidR="006138D7" w:rsidRPr="006138D7" w:rsidRDefault="006138D7" w:rsidP="006138D7">
      <w:pPr>
        <w:pStyle w:val="B1"/>
        <w:rPr>
          <w:iCs/>
        </w:rPr>
      </w:pPr>
      <w:r w:rsidRPr="006138D7">
        <w:t>-</w:t>
      </w:r>
      <w:r>
        <w:tab/>
      </w:r>
      <w:r w:rsidRPr="006138D7">
        <w:t xml:space="preserve">monitors PDCCH in the first CORESETs, and receives PDSCH scheduled/activated by PDCCH in the first CORESETs, and aperiodic CSI-RS resource that apply a </w:t>
      </w:r>
      <w:r w:rsidRPr="006138D7">
        <w:rPr>
          <w:i/>
          <w:iCs/>
          <w:lang w:val="en-US"/>
        </w:rPr>
        <w:t>TCI-State</w:t>
      </w:r>
      <w:r w:rsidRPr="006138D7">
        <w:t xml:space="preserve"> specific to the first CORESETs, using </w:t>
      </w:r>
      <w:r w:rsidRPr="006138D7">
        <w:rPr>
          <w:iCs/>
          <w:lang w:eastAsia="ja-JP"/>
        </w:rPr>
        <w:t xml:space="preserve">same antenna port quasi co-location parameters as the ones associated with a corresponding index </w:t>
      </w:r>
      <m:oMath>
        <m:sSub>
          <m:sSubPr>
            <m:ctrlPr>
              <w:rPr>
                <w:rFonts w:ascii="Cambria Math" w:hAnsi="Cambria Math"/>
                <w:i/>
                <w:iCs/>
              </w:rPr>
            </m:ctrlPr>
          </m:sSubPr>
          <m:e>
            <m:r>
              <w:rPr>
                <w:rFonts w:ascii="Cambria Math"/>
              </w:rPr>
              <m:t>q</m:t>
            </m:r>
          </m:e>
          <m:sub>
            <m:r>
              <m:rPr>
                <m:nor/>
              </m:rPr>
              <w:rPr>
                <w:rFonts w:ascii="Cambria Math"/>
                <w:iCs/>
              </w:rPr>
              <m:t>new</m:t>
            </m:r>
            <m:ctrlPr>
              <w:rPr>
                <w:rFonts w:ascii="Cambria Math" w:hAnsi="Cambria Math"/>
                <w:iCs/>
              </w:rPr>
            </m:ctrlPr>
          </m:sub>
        </m:sSub>
      </m:oMath>
      <w:r w:rsidRPr="006138D7">
        <w:rPr>
          <w:iCs/>
        </w:rPr>
        <w:t xml:space="preserve"> 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1,0</m:t>
            </m:r>
          </m:sub>
        </m:sSub>
      </m:oMath>
      <w:r w:rsidRPr="006138D7">
        <w:rPr>
          <w:iCs/>
        </w:rPr>
        <w:t>, if any, for the serving cell</w:t>
      </w:r>
    </w:p>
    <w:p w14:paraId="18BA9603" w14:textId="0B0FA9C8" w:rsidR="006138D7" w:rsidRPr="006138D7" w:rsidRDefault="006138D7" w:rsidP="006138D7">
      <w:pPr>
        <w:pStyle w:val="B1"/>
        <w:rPr>
          <w:iCs/>
        </w:rPr>
      </w:pPr>
      <w:r w:rsidRPr="006138D7">
        <w:t>-</w:t>
      </w:r>
      <w:r>
        <w:tab/>
      </w:r>
      <w:r w:rsidRPr="006138D7">
        <w:t xml:space="preserve">monitors PDCCH in the second CORESETs, and receives PDSCH scheduled/activated by PDCCH in the second CORESETs, and aperiodic CSI-RS resource that apply a </w:t>
      </w:r>
      <w:r w:rsidRPr="006138D7">
        <w:rPr>
          <w:i/>
          <w:iCs/>
          <w:lang w:val="en-US"/>
        </w:rPr>
        <w:t>TCI-State</w:t>
      </w:r>
      <w:r w:rsidRPr="006138D7">
        <w:t xml:space="preserve"> specific to the second CORESETs, using the </w:t>
      </w:r>
      <w:r w:rsidRPr="006138D7">
        <w:rPr>
          <w:iCs/>
          <w:lang w:eastAsia="ja-JP"/>
        </w:rPr>
        <w:t xml:space="preserve">same antenna port quasi co-location parameters as the ones associated with the corresponding index </w:t>
      </w:r>
      <m:oMath>
        <m:sSub>
          <m:sSubPr>
            <m:ctrlPr>
              <w:rPr>
                <w:rFonts w:ascii="Cambria Math" w:hAnsi="Cambria Math"/>
                <w:i/>
                <w:iCs/>
              </w:rPr>
            </m:ctrlPr>
          </m:sSubPr>
          <m:e>
            <m:r>
              <w:rPr>
                <w:rFonts w:ascii="Cambria Math"/>
              </w:rPr>
              <m:t>q</m:t>
            </m:r>
          </m:e>
          <m:sub>
            <m:r>
              <m:rPr>
                <m:nor/>
              </m:rPr>
              <w:rPr>
                <w:rFonts w:ascii="Cambria Math"/>
                <w:iCs/>
              </w:rPr>
              <m:t>new</m:t>
            </m:r>
            <m:ctrlPr>
              <w:rPr>
                <w:rFonts w:ascii="Cambria Math" w:hAnsi="Cambria Math"/>
                <w:iCs/>
              </w:rPr>
            </m:ctrlPr>
          </m:sub>
        </m:sSub>
      </m:oMath>
      <w:r w:rsidRPr="006138D7">
        <w:rPr>
          <w:iCs/>
        </w:rPr>
        <w:t xml:space="preserve"> 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1,1</m:t>
            </m:r>
          </m:sub>
        </m:sSub>
      </m:oMath>
      <w:r w:rsidRPr="006138D7">
        <w:rPr>
          <w:iCs/>
        </w:rPr>
        <w:t>, if any, for the serving cell</w:t>
      </w:r>
    </w:p>
    <w:p w14:paraId="4919C070" w14:textId="77777777" w:rsidR="006138D7" w:rsidRPr="006138D7" w:rsidRDefault="006138D7" w:rsidP="006138D7">
      <w:pPr>
        <w:pStyle w:val="B1"/>
        <w:rPr>
          <w:iCs/>
          <w:lang w:val="en-US"/>
        </w:rPr>
      </w:pPr>
      <w:r w:rsidRPr="006138D7">
        <w:t>-</w:t>
      </w:r>
      <w:r w:rsidRPr="006138D7">
        <w:tab/>
        <w:t>transmits PU</w:t>
      </w:r>
      <w:r w:rsidRPr="006138D7">
        <w:rPr>
          <w:lang w:val="en-US"/>
        </w:rPr>
        <w:t>S</w:t>
      </w:r>
      <w:r w:rsidRPr="006138D7">
        <w:t>CH, PU</w:t>
      </w:r>
      <w:r w:rsidRPr="006138D7">
        <w:rPr>
          <w:lang w:val="en-US"/>
        </w:rPr>
        <w:t>C</w:t>
      </w:r>
      <w:r w:rsidRPr="006138D7">
        <w:t xml:space="preserve">CH, and SRS that apply </w:t>
      </w:r>
      <w:r w:rsidRPr="006138D7">
        <w:rPr>
          <w:i/>
          <w:iCs/>
          <w:lang w:val="en-US"/>
        </w:rPr>
        <w:t>TCI-State</w:t>
      </w:r>
      <w:r w:rsidRPr="006138D7">
        <w:rPr>
          <w:lang w:val="en-US"/>
        </w:rPr>
        <w:t xml:space="preserve"> or</w:t>
      </w:r>
      <w:r w:rsidRPr="006138D7">
        <w:rPr>
          <w:i/>
          <w:iCs/>
          <w:lang w:val="en-US"/>
        </w:rPr>
        <w:t xml:space="preserve"> TCI-UL-State</w:t>
      </w:r>
      <w:r w:rsidRPr="006138D7">
        <w:t xml:space="preserve"> specific to the first CORESETs using a same spatial domain filter as the one corresponding to</w:t>
      </w:r>
      <w:r w:rsidRPr="006138D7">
        <w:rPr>
          <w:iCs/>
          <w:lang w:eastAsia="ja-JP"/>
        </w:rPr>
        <w:t xml:space="preserve"> </w:t>
      </w:r>
      <m:oMath>
        <m:sSub>
          <m:sSubPr>
            <m:ctrlPr>
              <w:rPr>
                <w:rFonts w:ascii="Cambria Math" w:hAnsi="Cambria Math"/>
                <w:i/>
                <w:iCs/>
              </w:rPr>
            </m:ctrlPr>
          </m:sSubPr>
          <m:e>
            <m:r>
              <w:rPr>
                <w:rFonts w:ascii="Cambria Math"/>
              </w:rPr>
              <m:t>q</m:t>
            </m:r>
          </m:e>
          <m:sub>
            <m:r>
              <m:rPr>
                <m:nor/>
              </m:rPr>
              <w:rPr>
                <w:rFonts w:ascii="Cambria Math"/>
                <w:iCs/>
              </w:rPr>
              <m:t>new</m:t>
            </m:r>
            <m:ctrlPr>
              <w:rPr>
                <w:rFonts w:ascii="Cambria Math" w:hAnsi="Cambria Math"/>
                <w:iCs/>
              </w:rPr>
            </m:ctrlPr>
          </m:sub>
        </m:sSub>
      </m:oMath>
      <w:r w:rsidRPr="006138D7">
        <w:rPr>
          <w:iCs/>
        </w:rPr>
        <w:t xml:space="preserve"> 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1,0</m:t>
            </m:r>
          </m:sub>
        </m:sSub>
      </m:oMath>
      <w:r w:rsidRPr="006138D7">
        <w:rPr>
          <w:iCs/>
        </w:rPr>
        <w:t>, if any</w:t>
      </w:r>
      <w:r w:rsidRPr="006138D7">
        <w:rPr>
          <w:iCs/>
          <w:lang w:val="en-US"/>
        </w:rPr>
        <w:t xml:space="preserve">, for the serving cell and using the following parameters for determination of a corresponding power as described in clauses 7.1.1, 7.2.1, and 7.3.1 </w:t>
      </w:r>
    </w:p>
    <w:p w14:paraId="7BF8703C" w14:textId="77777777" w:rsidR="006138D7" w:rsidRPr="006138D7" w:rsidRDefault="006138D7" w:rsidP="006138D7">
      <w:pPr>
        <w:pStyle w:val="B2"/>
      </w:pPr>
      <w:r w:rsidRPr="006138D7">
        <w:t>-</w:t>
      </w:r>
      <w:r w:rsidRPr="006138D7">
        <w:tab/>
        <w:t>the RS index</w:t>
      </w:r>
      <w:r w:rsidRPr="006138D7">
        <w:rPr>
          <w:lang w:eastAsia="zh-CN"/>
        </w:rPr>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=q</m:t>
            </m:r>
          </m:e>
          <m:sub>
            <m:r>
              <m:rPr>
                <m:sty m:val="p"/>
              </m:rPr>
              <w:rPr>
                <w:rFonts w:ascii="Cambria Math" w:hAnsi="Cambria Math"/>
              </w:rPr>
              <m:t>new</m:t>
            </m:r>
          </m:sub>
        </m:sSub>
      </m:oMath>
      <w:r w:rsidRPr="006138D7">
        <w:t xml:space="preserve"> </w:t>
      </w:r>
      <w:r w:rsidRPr="006138D7">
        <w:rPr>
          <w:iCs/>
        </w:rPr>
        <w:t xml:space="preserve">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1,0</m:t>
            </m:r>
          </m:sub>
        </m:sSub>
      </m:oMath>
      <w:r w:rsidRPr="006138D7">
        <w:t>, if any, for obtaining a corresponding downlink pathloss estimate for the serving cell</w:t>
      </w:r>
    </w:p>
    <w:p w14:paraId="04F6AF0D" w14:textId="77777777" w:rsidR="006138D7" w:rsidRPr="006138D7" w:rsidRDefault="006138D7" w:rsidP="006138D7">
      <w:pPr>
        <w:pStyle w:val="B2"/>
        <w:rPr>
          <w:iCs/>
          <w:lang w:val="en-US"/>
        </w:rPr>
      </w:pPr>
      <w:r w:rsidRPr="006138D7">
        <w:t>-</w:t>
      </w:r>
      <w:r w:rsidRPr="006138D7">
        <w:tab/>
      </w:r>
      <w:r w:rsidRPr="006138D7">
        <w:rPr>
          <w:lang w:eastAsia="ko-KR"/>
        </w:rPr>
        <w:t xml:space="preserve">the values of </w:t>
      </w:r>
      <m:oMath>
        <m:sSub>
          <m:sSubPr>
            <m:ctrlPr>
              <w:rPr>
                <w:rFonts w:ascii="Cambria Math" w:hAnsi="Cambria Math"/>
              </w:rPr>
            </m:ctrlPr>
          </m:sSubPr>
          <m:e>
            <m:r>
              <w:rPr>
                <w:rFonts w:ascii="Cambria Math" w:hAnsi="Cambria Math"/>
              </w:rPr>
              <m:t>P</m:t>
            </m:r>
          </m:e>
          <m:sub>
            <m:r>
              <m:rPr>
                <m:nor/>
              </m:rPr>
              <m:t>O_UE_PUSCH</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Pr="006138D7">
        <w:t xml:space="preserve">, </w:t>
      </w:r>
      <m:oMath>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Pr="006138D7">
        <w:t xml:space="preserve">, and the PUSCH power control adjustment state </w:t>
      </w:r>
      <m:oMath>
        <m:r>
          <w:rPr>
            <w:rFonts w:ascii="Cambria Math" w:hAnsi="Cambria Math"/>
          </w:rPr>
          <m:t>l</m:t>
        </m:r>
      </m:oMath>
      <w:r w:rsidRPr="006138D7">
        <w:t xml:space="preserve"> provided by </w:t>
      </w:r>
      <w:r w:rsidRPr="006138D7">
        <w:rPr>
          <w:i/>
          <w:noProof/>
        </w:rPr>
        <w:t>p0AlphaSetforPUSCH</w:t>
      </w:r>
      <w:r w:rsidRPr="006138D7">
        <w:t xml:space="preserve"> associated </w:t>
      </w:r>
      <w:r w:rsidRPr="006138D7">
        <w:rPr>
          <w:lang w:eastAsia="zh-CN"/>
        </w:rPr>
        <w:t xml:space="preserve">with the </w:t>
      </w:r>
      <w:r w:rsidRPr="006138D7">
        <w:rPr>
          <w:lang w:val="en-US" w:eastAsia="zh-CN"/>
        </w:rPr>
        <w:t>smallest</w:t>
      </w:r>
      <w:r w:rsidRPr="006138D7">
        <w:rPr>
          <w:lang w:eastAsia="zh-CN"/>
        </w:rPr>
        <w:t xml:space="preserve"> value of </w:t>
      </w:r>
      <w:r w:rsidRPr="006138D7">
        <w:rPr>
          <w:i/>
        </w:rPr>
        <w:t>ul-powercontrolId</w:t>
      </w:r>
      <w:r w:rsidRPr="006138D7">
        <w:rPr>
          <w:lang w:eastAsia="zh-CN"/>
        </w:rPr>
        <w:t xml:space="preserve"> for the serving cell</w:t>
      </w:r>
    </w:p>
    <w:p w14:paraId="06A645F1" w14:textId="77777777" w:rsidR="006138D7" w:rsidRPr="006138D7" w:rsidRDefault="006138D7" w:rsidP="006138D7">
      <w:pPr>
        <w:pStyle w:val="B2"/>
        <w:rPr>
          <w:lang w:eastAsia="zh-CN"/>
        </w:rPr>
      </w:pPr>
      <w:r w:rsidRPr="006138D7">
        <w:lastRenderedPageBreak/>
        <w:t>-</w:t>
      </w:r>
      <w:r w:rsidRPr="006138D7">
        <w:tab/>
      </w:r>
      <w:r w:rsidRPr="006138D7">
        <w:rPr>
          <w:lang w:eastAsia="ko-KR"/>
        </w:rPr>
        <w:t xml:space="preserve">the value of </w:t>
      </w:r>
      <m:oMath>
        <m:sSub>
          <m:sSubPr>
            <m:ctrlPr>
              <w:rPr>
                <w:rFonts w:ascii="Cambria Math" w:hAnsi="Cambria Math"/>
                <w:iCs/>
              </w:rPr>
            </m:ctrlPr>
          </m:sSubPr>
          <m:e>
            <m:r>
              <w:rPr>
                <w:rFonts w:ascii="Cambria Math" w:hAnsi="Cambria Math"/>
              </w:rPr>
              <m:t>P</m:t>
            </m:r>
          </m:e>
          <m:sub>
            <m:r>
              <m:rPr>
                <m:sty m:val="p"/>
              </m:rPr>
              <w:rPr>
                <w:rFonts w:ascii="Cambria Math"/>
              </w:rPr>
              <m:t>O_UE_PUCCH</m:t>
            </m:r>
          </m:sub>
        </m:sSub>
        <m:d>
          <m:dPr>
            <m:ctrlPr>
              <w:rPr>
                <w:rFonts w:ascii="Cambria Math" w:hAnsi="Cambria Math"/>
              </w:rPr>
            </m:ctrlPr>
          </m:dPr>
          <m:e>
            <m:sSub>
              <m:sSubPr>
                <m:ctrlPr>
                  <w:rPr>
                    <w:rFonts w:ascii="Cambria Math" w:hAnsi="Cambria Math"/>
                    <w:iCs/>
                  </w:rPr>
                </m:ctrlPr>
              </m:sSubPr>
              <m:e>
                <m:r>
                  <w:rPr>
                    <w:rFonts w:ascii="Cambria Math" w:hAnsi="Cambria Math"/>
                  </w:rPr>
                  <m:t>q</m:t>
                </m:r>
              </m:e>
              <m:sub>
                <m:r>
                  <w:rPr>
                    <w:rFonts w:ascii="Cambria Math"/>
                  </w:rPr>
                  <m:t>u</m:t>
                </m:r>
              </m:sub>
            </m:sSub>
          </m:e>
        </m:d>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oMath>
      <w:r w:rsidRPr="006138D7">
        <w:t xml:space="preserve"> and the PU</w:t>
      </w:r>
      <w:r w:rsidRPr="006138D7">
        <w:rPr>
          <w:lang w:val="en-US"/>
        </w:rPr>
        <w:t>C</w:t>
      </w:r>
      <w:r w:rsidRPr="006138D7">
        <w:t xml:space="preserve">CH power control adjustment state </w:t>
      </w:r>
      <m:oMath>
        <m:r>
          <w:rPr>
            <w:rFonts w:ascii="Cambria Math" w:hAnsi="Cambria Math"/>
          </w:rPr>
          <m:t>l</m:t>
        </m:r>
      </m:oMath>
      <w:r w:rsidRPr="006138D7">
        <w:t xml:space="preserve"> provided by </w:t>
      </w:r>
      <w:r w:rsidRPr="006138D7">
        <w:rPr>
          <w:i/>
          <w:noProof/>
        </w:rPr>
        <w:t>p0AlphaSetforPUCCH</w:t>
      </w:r>
      <w:r w:rsidRPr="006138D7">
        <w:t xml:space="preserve"> associated </w:t>
      </w:r>
      <w:r w:rsidRPr="006138D7">
        <w:rPr>
          <w:lang w:eastAsia="zh-CN"/>
        </w:rPr>
        <w:t xml:space="preserve">with the </w:t>
      </w:r>
      <w:r w:rsidRPr="006138D7">
        <w:rPr>
          <w:lang w:val="en-US" w:eastAsia="zh-CN"/>
        </w:rPr>
        <w:t>smallest</w:t>
      </w:r>
      <w:r w:rsidRPr="006138D7">
        <w:rPr>
          <w:lang w:eastAsia="zh-CN"/>
        </w:rPr>
        <w:t xml:space="preserve"> value of </w:t>
      </w:r>
      <w:r w:rsidRPr="006138D7">
        <w:rPr>
          <w:i/>
        </w:rPr>
        <w:t>ul-powercontrolId</w:t>
      </w:r>
      <w:r w:rsidRPr="006138D7">
        <w:rPr>
          <w:lang w:eastAsia="zh-CN"/>
        </w:rPr>
        <w:t xml:space="preserve"> for the </w:t>
      </w:r>
      <w:r w:rsidRPr="006138D7">
        <w:t xml:space="preserve">serving cell </w:t>
      </w:r>
    </w:p>
    <w:p w14:paraId="33D5D537" w14:textId="77777777" w:rsidR="006138D7" w:rsidRPr="006138D7" w:rsidRDefault="006138D7" w:rsidP="006138D7">
      <w:pPr>
        <w:pStyle w:val="B2"/>
        <w:rPr>
          <w:iCs/>
        </w:rPr>
      </w:pPr>
      <w:r w:rsidRPr="006138D7">
        <w:t>-</w:t>
      </w:r>
      <w:r w:rsidRPr="006138D7">
        <w:tab/>
      </w:r>
      <w:r w:rsidRPr="006138D7">
        <w:rPr>
          <w:lang w:eastAsia="ko-KR"/>
        </w:rPr>
        <w:t xml:space="preserve">the values of </w:t>
      </w:r>
      <m:oMath>
        <m:sSub>
          <m:sSubPr>
            <m:ctrlPr>
              <w:rPr>
                <w:rFonts w:ascii="Cambria Math" w:hAnsi="Cambria Math"/>
                <w:iCs/>
              </w:rPr>
            </m:ctrlPr>
          </m:sSubPr>
          <m:e>
            <m:r>
              <w:rPr>
                <w:rFonts w:ascii="Cambria Math" w:hAnsi="Cambria Math"/>
              </w:rPr>
              <m:t>P</m:t>
            </m:r>
          </m:e>
          <m:sub>
            <m:r>
              <m:rPr>
                <m:nor/>
              </m:rPr>
              <w:rPr>
                <w:rFonts w:ascii="Cambria Math"/>
                <w:iCs/>
              </w:rPr>
              <m:t>O_UE_SRS</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s</m:t>
                </m:r>
              </m:sub>
            </m:sSub>
          </m:e>
        </m:d>
      </m:oMath>
      <w:r w:rsidRPr="006138D7">
        <w:t xml:space="preserve">, </w:t>
      </w:r>
      <m:oMath>
        <m:sSub>
          <m:sSubPr>
            <m:ctrlPr>
              <w:rPr>
                <w:rFonts w:ascii="Cambria Math" w:hAnsi="Cambria Math"/>
              </w:rPr>
            </m:ctrlPr>
          </m:sSubPr>
          <m:e>
            <m:r>
              <w:rPr>
                <w:rFonts w:ascii="Cambria Math" w:hAnsi="Cambria Math"/>
              </w:rPr>
              <m:t>α</m:t>
            </m:r>
          </m:e>
          <m:sub>
            <m:r>
              <m:rPr>
                <m:sty m:val="p"/>
              </m:rPr>
              <w:rPr>
                <w:rFonts w:ascii="Cambria Math" w:hAnsi="Cambria Math"/>
              </w:rPr>
              <m:t>SRS</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s</m:t>
                </m:r>
              </m:sub>
            </m:sSub>
          </m:e>
        </m:d>
      </m:oMath>
      <w:r w:rsidRPr="006138D7">
        <w:t xml:space="preserve">, and the </w:t>
      </w:r>
      <w:r w:rsidRPr="006138D7">
        <w:rPr>
          <w:lang w:val="en-US"/>
        </w:rPr>
        <w:t>SRS</w:t>
      </w:r>
      <w:r w:rsidRPr="006138D7">
        <w:t xml:space="preserve"> power control adjustment state </w:t>
      </w:r>
      <m:oMath>
        <m:r>
          <w:rPr>
            <w:rFonts w:ascii="Cambria Math" w:hAnsi="Cambria Math"/>
          </w:rPr>
          <m:t>l</m:t>
        </m:r>
      </m:oMath>
      <w:r w:rsidRPr="006138D7">
        <w:t xml:space="preserve"> provided by </w:t>
      </w:r>
      <w:r w:rsidRPr="006138D7">
        <w:rPr>
          <w:i/>
          <w:noProof/>
        </w:rPr>
        <w:t>p0AlphaSetforSRS</w:t>
      </w:r>
      <w:r w:rsidRPr="006138D7">
        <w:t xml:space="preserve"> associated </w:t>
      </w:r>
      <w:r w:rsidRPr="006138D7">
        <w:rPr>
          <w:lang w:eastAsia="zh-CN"/>
        </w:rPr>
        <w:t xml:space="preserve">with the </w:t>
      </w:r>
      <w:r w:rsidRPr="006138D7">
        <w:rPr>
          <w:lang w:val="en-US" w:eastAsia="zh-CN"/>
        </w:rPr>
        <w:t>smallest</w:t>
      </w:r>
      <w:r w:rsidRPr="006138D7">
        <w:rPr>
          <w:lang w:eastAsia="zh-CN"/>
        </w:rPr>
        <w:t xml:space="preserve"> value of </w:t>
      </w:r>
      <w:r w:rsidRPr="006138D7">
        <w:rPr>
          <w:i/>
        </w:rPr>
        <w:t>ul-powercontrolId</w:t>
      </w:r>
      <w:r w:rsidRPr="006138D7">
        <w:rPr>
          <w:lang w:eastAsia="zh-CN"/>
        </w:rPr>
        <w:t xml:space="preserve"> for the </w:t>
      </w:r>
      <w:r w:rsidRPr="006138D7">
        <w:t>serving cell</w:t>
      </w:r>
    </w:p>
    <w:p w14:paraId="2D616E55" w14:textId="77777777" w:rsidR="006138D7" w:rsidRPr="006138D7" w:rsidRDefault="006138D7" w:rsidP="006138D7">
      <w:pPr>
        <w:pStyle w:val="B1"/>
        <w:rPr>
          <w:iCs/>
          <w:lang w:val="en-US"/>
        </w:rPr>
      </w:pPr>
      <w:r w:rsidRPr="006138D7">
        <w:t>-</w:t>
      </w:r>
      <w:r w:rsidRPr="006138D7">
        <w:tab/>
        <w:t>transmits PU</w:t>
      </w:r>
      <w:r w:rsidRPr="006138D7">
        <w:rPr>
          <w:lang w:val="en-US"/>
        </w:rPr>
        <w:t>S</w:t>
      </w:r>
      <w:r w:rsidRPr="006138D7">
        <w:t>CH, PU</w:t>
      </w:r>
      <w:r w:rsidRPr="006138D7">
        <w:rPr>
          <w:lang w:val="en-US"/>
        </w:rPr>
        <w:t>C</w:t>
      </w:r>
      <w:r w:rsidRPr="006138D7">
        <w:t xml:space="preserve">CH, and SRS that apply </w:t>
      </w:r>
      <w:r w:rsidRPr="006138D7">
        <w:rPr>
          <w:i/>
          <w:iCs/>
          <w:lang w:val="en-US"/>
        </w:rPr>
        <w:t>TCI-State</w:t>
      </w:r>
      <w:r w:rsidRPr="006138D7">
        <w:rPr>
          <w:lang w:val="en-US"/>
        </w:rPr>
        <w:t xml:space="preserve"> or</w:t>
      </w:r>
      <w:r w:rsidRPr="006138D7">
        <w:rPr>
          <w:i/>
          <w:iCs/>
          <w:lang w:val="en-US"/>
        </w:rPr>
        <w:t xml:space="preserve"> TCI-UL-State</w:t>
      </w:r>
      <w:r w:rsidRPr="006138D7">
        <w:t xml:space="preserve"> specific to the second CORESETs using a same spatial domain filter as the one corresponding to</w:t>
      </w:r>
      <w:r w:rsidRPr="006138D7">
        <w:rPr>
          <w:iCs/>
          <w:lang w:eastAsia="ja-JP"/>
        </w:rPr>
        <w:t xml:space="preserve"> </w:t>
      </w:r>
      <m:oMath>
        <m:sSub>
          <m:sSubPr>
            <m:ctrlPr>
              <w:rPr>
                <w:rFonts w:ascii="Cambria Math" w:hAnsi="Cambria Math"/>
                <w:i/>
                <w:iCs/>
              </w:rPr>
            </m:ctrlPr>
          </m:sSubPr>
          <m:e>
            <m:r>
              <w:rPr>
                <w:rFonts w:ascii="Cambria Math"/>
              </w:rPr>
              <m:t>q</m:t>
            </m:r>
          </m:e>
          <m:sub>
            <m:r>
              <m:rPr>
                <m:nor/>
              </m:rPr>
              <w:rPr>
                <w:rFonts w:ascii="Cambria Math"/>
                <w:iCs/>
              </w:rPr>
              <m:t>new</m:t>
            </m:r>
            <m:ctrlPr>
              <w:rPr>
                <w:rFonts w:ascii="Cambria Math" w:hAnsi="Cambria Math"/>
                <w:iCs/>
              </w:rPr>
            </m:ctrlPr>
          </m:sub>
        </m:sSub>
      </m:oMath>
      <w:r w:rsidRPr="006138D7">
        <w:rPr>
          <w:iCs/>
        </w:rPr>
        <w:t xml:space="preserve"> 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1,1</m:t>
            </m:r>
          </m:sub>
        </m:sSub>
      </m:oMath>
      <w:r w:rsidRPr="006138D7">
        <w:rPr>
          <w:iCs/>
        </w:rPr>
        <w:t>, if any</w:t>
      </w:r>
      <w:r w:rsidRPr="006138D7">
        <w:rPr>
          <w:iCs/>
          <w:lang w:val="en-US"/>
        </w:rPr>
        <w:t xml:space="preserve">, for the serving cell and using the following parameters for determination of a corresponding power as described in clauses 7.1.1, 7.2.1, and 7.3.1 </w:t>
      </w:r>
    </w:p>
    <w:p w14:paraId="0DD27412" w14:textId="77777777" w:rsidR="006138D7" w:rsidRPr="006138D7" w:rsidRDefault="006138D7" w:rsidP="006138D7">
      <w:pPr>
        <w:pStyle w:val="B2"/>
      </w:pPr>
      <w:r w:rsidRPr="006138D7">
        <w:t>-</w:t>
      </w:r>
      <w:r w:rsidRPr="006138D7">
        <w:tab/>
        <w:t>the RS index</w:t>
      </w:r>
      <w:r w:rsidRPr="006138D7">
        <w:rPr>
          <w:lang w:eastAsia="zh-CN"/>
        </w:rPr>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=q</m:t>
            </m:r>
          </m:e>
          <m:sub>
            <m:r>
              <m:rPr>
                <m:sty m:val="p"/>
              </m:rPr>
              <w:rPr>
                <w:rFonts w:ascii="Cambria Math" w:hAnsi="Cambria Math"/>
              </w:rPr>
              <m:t>new</m:t>
            </m:r>
          </m:sub>
        </m:sSub>
      </m:oMath>
      <w:r w:rsidRPr="006138D7">
        <w:t xml:space="preserve"> </w:t>
      </w:r>
      <w:r w:rsidRPr="006138D7">
        <w:rPr>
          <w:iCs/>
        </w:rPr>
        <w:t xml:space="preserve">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1,1</m:t>
            </m:r>
          </m:sub>
        </m:sSub>
      </m:oMath>
      <w:r w:rsidRPr="006138D7">
        <w:t>, if any, for obtaining a corresponding downlink pathloss estimate for the serving cell</w:t>
      </w:r>
    </w:p>
    <w:p w14:paraId="5DBB8B10" w14:textId="77777777" w:rsidR="006138D7" w:rsidRPr="006138D7" w:rsidRDefault="006138D7" w:rsidP="006138D7">
      <w:pPr>
        <w:pStyle w:val="B2"/>
        <w:rPr>
          <w:iCs/>
          <w:lang w:val="en-US"/>
        </w:rPr>
      </w:pPr>
      <w:r w:rsidRPr="006138D7">
        <w:t>-</w:t>
      </w:r>
      <w:r w:rsidRPr="006138D7">
        <w:tab/>
      </w:r>
      <w:r w:rsidRPr="006138D7">
        <w:rPr>
          <w:lang w:eastAsia="ko-KR"/>
        </w:rPr>
        <w:t xml:space="preserve">the values of </w:t>
      </w:r>
      <m:oMath>
        <m:sSub>
          <m:sSubPr>
            <m:ctrlPr>
              <w:rPr>
                <w:rFonts w:ascii="Cambria Math" w:hAnsi="Cambria Math"/>
              </w:rPr>
            </m:ctrlPr>
          </m:sSubPr>
          <m:e>
            <m:r>
              <w:rPr>
                <w:rFonts w:ascii="Cambria Math" w:hAnsi="Cambria Math"/>
              </w:rPr>
              <m:t>P</m:t>
            </m:r>
          </m:e>
          <m:sub>
            <m:r>
              <m:rPr>
                <m:nor/>
              </m:rPr>
              <m:t>O_UE_PUSCH</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Pr="006138D7">
        <w:t xml:space="preserve">, </w:t>
      </w:r>
      <m:oMath>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Pr="006138D7">
        <w:t xml:space="preserve">, and the PUSCH power control adjustment state </w:t>
      </w:r>
      <m:oMath>
        <m:r>
          <w:rPr>
            <w:rFonts w:ascii="Cambria Math" w:hAnsi="Cambria Math"/>
          </w:rPr>
          <m:t>l</m:t>
        </m:r>
      </m:oMath>
      <w:r w:rsidRPr="006138D7">
        <w:t xml:space="preserve"> provided by </w:t>
      </w:r>
      <w:r w:rsidRPr="006138D7">
        <w:rPr>
          <w:i/>
          <w:noProof/>
        </w:rPr>
        <w:t>p0AlphaSetforPUSCH</w:t>
      </w:r>
      <w:r w:rsidRPr="006138D7">
        <w:t xml:space="preserve"> associated </w:t>
      </w:r>
      <w:r w:rsidRPr="006138D7">
        <w:rPr>
          <w:lang w:eastAsia="zh-CN"/>
        </w:rPr>
        <w:t xml:space="preserve">with the </w:t>
      </w:r>
      <w:r w:rsidRPr="006138D7">
        <w:rPr>
          <w:lang w:val="en-US" w:eastAsia="zh-CN"/>
        </w:rPr>
        <w:t>smallest</w:t>
      </w:r>
      <w:r w:rsidRPr="006138D7">
        <w:rPr>
          <w:lang w:eastAsia="zh-CN"/>
        </w:rPr>
        <w:t xml:space="preserve"> value of </w:t>
      </w:r>
      <w:r w:rsidRPr="006138D7">
        <w:rPr>
          <w:i/>
        </w:rPr>
        <w:t>ul-powercontrolId</w:t>
      </w:r>
      <w:r w:rsidRPr="006138D7">
        <w:rPr>
          <w:lang w:eastAsia="zh-CN"/>
        </w:rPr>
        <w:t xml:space="preserve"> for the serving cell</w:t>
      </w:r>
    </w:p>
    <w:p w14:paraId="7ED2CB50" w14:textId="77777777" w:rsidR="006138D7" w:rsidRPr="006138D7" w:rsidRDefault="006138D7" w:rsidP="006138D7">
      <w:pPr>
        <w:pStyle w:val="B2"/>
        <w:rPr>
          <w:lang w:eastAsia="zh-CN"/>
        </w:rPr>
      </w:pPr>
      <w:r w:rsidRPr="006138D7">
        <w:t>-</w:t>
      </w:r>
      <w:r w:rsidRPr="006138D7">
        <w:tab/>
      </w:r>
      <w:r w:rsidRPr="006138D7">
        <w:rPr>
          <w:lang w:eastAsia="ko-KR"/>
        </w:rPr>
        <w:t xml:space="preserve">the value of </w:t>
      </w:r>
      <m:oMath>
        <m:sSub>
          <m:sSubPr>
            <m:ctrlPr>
              <w:rPr>
                <w:rFonts w:ascii="Cambria Math" w:hAnsi="Cambria Math"/>
                <w:iCs/>
              </w:rPr>
            </m:ctrlPr>
          </m:sSubPr>
          <m:e>
            <m:r>
              <w:rPr>
                <w:rFonts w:ascii="Cambria Math" w:hAnsi="Cambria Math"/>
              </w:rPr>
              <m:t>P</m:t>
            </m:r>
          </m:e>
          <m:sub>
            <m:r>
              <m:rPr>
                <m:sty m:val="p"/>
              </m:rPr>
              <w:rPr>
                <w:rFonts w:ascii="Cambria Math"/>
              </w:rPr>
              <m:t>O_UE_PUCCH</m:t>
            </m:r>
          </m:sub>
        </m:sSub>
        <m:d>
          <m:dPr>
            <m:ctrlPr>
              <w:rPr>
                <w:rFonts w:ascii="Cambria Math" w:hAnsi="Cambria Math"/>
              </w:rPr>
            </m:ctrlPr>
          </m:dPr>
          <m:e>
            <m:sSub>
              <m:sSubPr>
                <m:ctrlPr>
                  <w:rPr>
                    <w:rFonts w:ascii="Cambria Math" w:hAnsi="Cambria Math"/>
                    <w:iCs/>
                  </w:rPr>
                </m:ctrlPr>
              </m:sSubPr>
              <m:e>
                <m:r>
                  <w:rPr>
                    <w:rFonts w:ascii="Cambria Math" w:hAnsi="Cambria Math"/>
                  </w:rPr>
                  <m:t>q</m:t>
                </m:r>
              </m:e>
              <m:sub>
                <m:r>
                  <w:rPr>
                    <w:rFonts w:ascii="Cambria Math"/>
                  </w:rPr>
                  <m:t>u</m:t>
                </m:r>
              </m:sub>
            </m:sSub>
          </m:e>
        </m:d>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oMath>
      <w:r w:rsidRPr="006138D7">
        <w:t xml:space="preserve"> and the PU</w:t>
      </w:r>
      <w:r w:rsidRPr="006138D7">
        <w:rPr>
          <w:lang w:val="en-US"/>
        </w:rPr>
        <w:t>C</w:t>
      </w:r>
      <w:r w:rsidRPr="006138D7">
        <w:t xml:space="preserve">CH power control adjustment state </w:t>
      </w:r>
      <m:oMath>
        <m:r>
          <w:rPr>
            <w:rFonts w:ascii="Cambria Math" w:hAnsi="Cambria Math"/>
          </w:rPr>
          <m:t>l</m:t>
        </m:r>
      </m:oMath>
      <w:r w:rsidRPr="006138D7">
        <w:t xml:space="preserve"> provided by </w:t>
      </w:r>
      <w:r w:rsidRPr="006138D7">
        <w:rPr>
          <w:i/>
          <w:noProof/>
        </w:rPr>
        <w:t>p0AlphaSetforPUCCH</w:t>
      </w:r>
      <w:r w:rsidRPr="006138D7">
        <w:t xml:space="preserve"> associated </w:t>
      </w:r>
      <w:r w:rsidRPr="006138D7">
        <w:rPr>
          <w:lang w:eastAsia="zh-CN"/>
        </w:rPr>
        <w:t xml:space="preserve">with the </w:t>
      </w:r>
      <w:r w:rsidRPr="006138D7">
        <w:rPr>
          <w:lang w:val="en-US" w:eastAsia="zh-CN"/>
        </w:rPr>
        <w:t>smallest</w:t>
      </w:r>
      <w:r w:rsidRPr="006138D7">
        <w:rPr>
          <w:lang w:eastAsia="zh-CN"/>
        </w:rPr>
        <w:t xml:space="preserve"> value of </w:t>
      </w:r>
      <w:r w:rsidRPr="006138D7">
        <w:rPr>
          <w:i/>
        </w:rPr>
        <w:t>ul-powercontrolId</w:t>
      </w:r>
      <w:r w:rsidRPr="006138D7">
        <w:rPr>
          <w:lang w:eastAsia="zh-CN"/>
        </w:rPr>
        <w:t xml:space="preserve"> for the </w:t>
      </w:r>
      <w:r w:rsidRPr="006138D7">
        <w:t xml:space="preserve">serving cell </w:t>
      </w:r>
    </w:p>
    <w:p w14:paraId="77CEA87B" w14:textId="77777777" w:rsidR="006138D7" w:rsidRPr="006138D7" w:rsidRDefault="006138D7" w:rsidP="006138D7">
      <w:pPr>
        <w:pStyle w:val="B2"/>
        <w:rPr>
          <w:iCs/>
          <w:lang w:val="en-US"/>
        </w:rPr>
      </w:pPr>
      <w:r w:rsidRPr="006138D7">
        <w:t>-</w:t>
      </w:r>
      <w:r w:rsidRPr="006138D7">
        <w:tab/>
      </w:r>
      <w:r w:rsidRPr="006138D7">
        <w:rPr>
          <w:lang w:eastAsia="ko-KR"/>
        </w:rPr>
        <w:t xml:space="preserve">the values of </w:t>
      </w:r>
      <m:oMath>
        <m:sSub>
          <m:sSubPr>
            <m:ctrlPr>
              <w:rPr>
                <w:rFonts w:ascii="Cambria Math" w:hAnsi="Cambria Math"/>
                <w:iCs/>
              </w:rPr>
            </m:ctrlPr>
          </m:sSubPr>
          <m:e>
            <m:r>
              <w:rPr>
                <w:rFonts w:ascii="Cambria Math" w:hAnsi="Cambria Math"/>
              </w:rPr>
              <m:t>P</m:t>
            </m:r>
          </m:e>
          <m:sub>
            <m:r>
              <m:rPr>
                <m:nor/>
              </m:rPr>
              <w:rPr>
                <w:rFonts w:ascii="Cambria Math"/>
                <w:iCs/>
              </w:rPr>
              <m:t>O_UE_SRS</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oMath>
      <w:r w:rsidRPr="006138D7">
        <w:t xml:space="preserve">, </w:t>
      </w:r>
      <m:oMath>
        <m:sSub>
          <m:sSubPr>
            <m:ctrlPr>
              <w:rPr>
                <w:rFonts w:ascii="Cambria Math" w:hAnsi="Cambria Math"/>
              </w:rPr>
            </m:ctrlPr>
          </m:sSubPr>
          <m:e>
            <m:r>
              <w:rPr>
                <w:rFonts w:ascii="Cambria Math" w:hAnsi="Cambria Math"/>
              </w:rPr>
              <m:t>α</m:t>
            </m:r>
          </m:e>
          <m:sub>
            <m:r>
              <m:rPr>
                <m:sty m:val="p"/>
              </m:rPr>
              <w:rPr>
                <w:rFonts w:ascii="Cambria Math" w:hAnsi="Cambria Math"/>
              </w:rPr>
              <m:t>SRS</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s</m:t>
                </m:r>
              </m:sub>
            </m:sSub>
          </m:e>
        </m:d>
      </m:oMath>
      <w:r w:rsidRPr="006138D7">
        <w:t xml:space="preserve">, and the </w:t>
      </w:r>
      <w:r w:rsidRPr="006138D7">
        <w:rPr>
          <w:lang w:val="en-US"/>
        </w:rPr>
        <w:t>SRS</w:t>
      </w:r>
      <w:r w:rsidRPr="006138D7">
        <w:t xml:space="preserve"> power control adjustment state </w:t>
      </w:r>
      <m:oMath>
        <m:r>
          <w:rPr>
            <w:rFonts w:ascii="Cambria Math" w:hAnsi="Cambria Math"/>
          </w:rPr>
          <m:t>l</m:t>
        </m:r>
      </m:oMath>
      <w:r w:rsidRPr="006138D7">
        <w:t xml:space="preserve"> provided by </w:t>
      </w:r>
      <w:r w:rsidRPr="006138D7">
        <w:rPr>
          <w:i/>
          <w:noProof/>
        </w:rPr>
        <w:t>p0AlphaSetforSRS</w:t>
      </w:r>
      <w:r w:rsidRPr="006138D7">
        <w:t xml:space="preserve"> associated </w:t>
      </w:r>
      <w:r w:rsidRPr="006138D7">
        <w:rPr>
          <w:lang w:eastAsia="zh-CN"/>
        </w:rPr>
        <w:t xml:space="preserve">with the </w:t>
      </w:r>
      <w:r w:rsidRPr="006138D7">
        <w:rPr>
          <w:lang w:val="en-US" w:eastAsia="zh-CN"/>
        </w:rPr>
        <w:t>smallest</w:t>
      </w:r>
      <w:r w:rsidRPr="006138D7">
        <w:rPr>
          <w:lang w:eastAsia="zh-CN"/>
        </w:rPr>
        <w:t xml:space="preserve"> value of </w:t>
      </w:r>
      <w:r w:rsidRPr="006138D7">
        <w:rPr>
          <w:i/>
        </w:rPr>
        <w:t>ul-powercontrolId</w:t>
      </w:r>
      <w:r w:rsidRPr="006138D7">
        <w:rPr>
          <w:lang w:eastAsia="zh-CN"/>
        </w:rPr>
        <w:t xml:space="preserve"> for the </w:t>
      </w:r>
      <w:r w:rsidRPr="006138D7">
        <w:t>serving cell</w:t>
      </w:r>
    </w:p>
    <w:p w14:paraId="10750B3D" w14:textId="60CC4D3E" w:rsidR="006138D7" w:rsidRPr="00E50667" w:rsidRDefault="006138D7" w:rsidP="00E50667">
      <w:r w:rsidRPr="006138D7">
        <w:t>where the SCS configuration for the 28 symbols is the smallest of the SCS configurations of the active DL BWP for the PDCCH reception and of the active DL BWP(s) of the serving cells.</w:t>
      </w:r>
    </w:p>
    <w:p w14:paraId="1B99520D" w14:textId="77777777" w:rsidR="00EE6058" w:rsidRPr="00B916EC" w:rsidRDefault="00FC73F9" w:rsidP="00E4597E">
      <w:pPr>
        <w:pStyle w:val="Heading1"/>
        <w:tabs>
          <w:tab w:val="left" w:pos="1134"/>
        </w:tabs>
      </w:pPr>
      <w:bookmarkStart w:id="140" w:name="_Toc12021444"/>
      <w:bookmarkStart w:id="141" w:name="_Toc20311556"/>
      <w:bookmarkStart w:id="142" w:name="_Toc26719381"/>
      <w:bookmarkStart w:id="143" w:name="_Toc29894812"/>
      <w:bookmarkStart w:id="144" w:name="_Toc29899111"/>
      <w:bookmarkStart w:id="145" w:name="_Toc29899529"/>
      <w:bookmarkStart w:id="146" w:name="_Toc29917266"/>
      <w:bookmarkStart w:id="147" w:name="_Toc36498140"/>
      <w:bookmarkStart w:id="148" w:name="_Toc45699166"/>
      <w:bookmarkStart w:id="149" w:name="_Toc161999091"/>
      <w:r w:rsidRPr="00B916EC">
        <w:t>7</w:t>
      </w:r>
      <w:r w:rsidR="00080512" w:rsidRPr="00B916EC">
        <w:tab/>
      </w:r>
      <w:r w:rsidR="002B3BD2" w:rsidRPr="00B916EC">
        <w:t xml:space="preserve">Uplink </w:t>
      </w:r>
      <w:r w:rsidR="00FB33BA">
        <w:t>P</w:t>
      </w:r>
      <w:r w:rsidR="004A6977" w:rsidRPr="00B916EC">
        <w:t>ower control</w:t>
      </w:r>
      <w:bookmarkEnd w:id="140"/>
      <w:bookmarkEnd w:id="141"/>
      <w:bookmarkEnd w:id="142"/>
      <w:bookmarkEnd w:id="143"/>
      <w:bookmarkEnd w:id="144"/>
      <w:bookmarkEnd w:id="145"/>
      <w:bookmarkEnd w:id="146"/>
      <w:bookmarkEnd w:id="147"/>
      <w:bookmarkEnd w:id="148"/>
      <w:bookmarkEnd w:id="149"/>
    </w:p>
    <w:p w14:paraId="63ED7644" w14:textId="77777777" w:rsidR="00ED18DB" w:rsidRDefault="00ED18DB" w:rsidP="00ED18DB">
      <w:bookmarkStart w:id="150" w:name="_Ref491553850"/>
      <w:r w:rsidRPr="00B916EC">
        <w:t xml:space="preserve">Uplink power control determines </w:t>
      </w:r>
      <w:r>
        <w:t>a</w:t>
      </w:r>
      <w:r w:rsidRPr="00B916EC">
        <w:t xml:space="preserve"> power </w:t>
      </w:r>
      <w:r>
        <w:t>for PUSCH, PUCCH, SRS, and PRACH transmissions</w:t>
      </w:r>
      <w:r w:rsidRPr="00B916EC">
        <w:t xml:space="preserve">. </w:t>
      </w:r>
    </w:p>
    <w:p w14:paraId="27DEFBBA" w14:textId="4E0DA5F2" w:rsidR="00ED18DB" w:rsidRPr="0098252E" w:rsidRDefault="00ED18DB" w:rsidP="00ED18DB">
      <w:r>
        <w:rPr>
          <w:iCs/>
          <w:szCs w:val="32"/>
        </w:rPr>
        <w:t>A UE does not expect</w:t>
      </w:r>
      <w:r w:rsidRPr="0098252E">
        <w:rPr>
          <w:iCs/>
          <w:szCs w:val="32"/>
        </w:rPr>
        <w:t xml:space="preserve"> to simultaneously maintain more than four pathloss estimates per serv</w:t>
      </w:r>
      <w:r>
        <w:rPr>
          <w:iCs/>
          <w:szCs w:val="32"/>
        </w:rPr>
        <w:t>ing cell for all PUSCH/PUCCH/SRS</w:t>
      </w:r>
      <w:r w:rsidRPr="0098252E">
        <w:rPr>
          <w:iCs/>
          <w:szCs w:val="32"/>
        </w:rPr>
        <w:t xml:space="preserve"> transmissions</w:t>
      </w:r>
      <w:r>
        <w:rPr>
          <w:iCs/>
          <w:szCs w:val="32"/>
        </w:rPr>
        <w:t xml:space="preserve"> as described </w:t>
      </w:r>
      <w:r w:rsidR="006F5F9E">
        <w:rPr>
          <w:iCs/>
          <w:szCs w:val="32"/>
        </w:rPr>
        <w:t>in clause</w:t>
      </w:r>
      <w:r w:rsidR="00C97817">
        <w:rPr>
          <w:iCs/>
          <w:szCs w:val="32"/>
        </w:rPr>
        <w:t xml:space="preserve">s </w:t>
      </w:r>
      <w:r>
        <w:rPr>
          <w:iCs/>
          <w:szCs w:val="32"/>
        </w:rPr>
        <w:t>7.1.1, 7.2.1, and 7.3.1</w:t>
      </w:r>
      <w:r w:rsidR="00E56897" w:rsidRPr="006564DE">
        <w:rPr>
          <w:iCs/>
        </w:rPr>
        <w:t xml:space="preserve">, </w:t>
      </w:r>
      <w:r w:rsidR="00E56897" w:rsidRPr="006564DE">
        <w:t xml:space="preserve">except for SRS transmissions configured by </w:t>
      </w:r>
      <w:r w:rsidR="0097713F" w:rsidRPr="006F281D">
        <w:rPr>
          <w:i/>
          <w:lang w:eastAsia="zh-CN"/>
        </w:rPr>
        <w:t>SRS-PosResourceSet</w:t>
      </w:r>
      <w:r w:rsidR="00E56897" w:rsidRPr="006564DE">
        <w:t xml:space="preserve"> as described </w:t>
      </w:r>
      <w:r w:rsidR="006F5F9E">
        <w:t>in clause</w:t>
      </w:r>
      <w:r w:rsidR="00E56897" w:rsidRPr="006564DE">
        <w:t xml:space="preserve"> 7.3.1</w:t>
      </w:r>
      <w:r>
        <w:rPr>
          <w:iCs/>
          <w:szCs w:val="32"/>
        </w:rPr>
        <w:t>.</w:t>
      </w:r>
      <w:r w:rsidR="00F70324">
        <w:rPr>
          <w:iCs/>
          <w:szCs w:val="32"/>
        </w:rPr>
        <w:t xml:space="preserve"> </w:t>
      </w:r>
      <w:r w:rsidR="00F70324" w:rsidRPr="00326475">
        <w:rPr>
          <w:iCs/>
          <w:szCs w:val="32"/>
        </w:rPr>
        <w:t xml:space="preserve">If </w:t>
      </w:r>
      <w:r w:rsidR="00F70324">
        <w:rPr>
          <w:iCs/>
          <w:szCs w:val="32"/>
        </w:rPr>
        <w:t xml:space="preserve">the UE is provided a </w:t>
      </w:r>
      <w:r w:rsidR="00F70324" w:rsidRPr="00326475">
        <w:rPr>
          <w:iCs/>
          <w:szCs w:val="32"/>
        </w:rPr>
        <w:t>number of RS resources for pathloss estimation for PU</w:t>
      </w:r>
      <w:r w:rsidR="00F70324">
        <w:rPr>
          <w:iCs/>
          <w:szCs w:val="32"/>
        </w:rPr>
        <w:t>S</w:t>
      </w:r>
      <w:r w:rsidR="00F70324" w:rsidRPr="00326475">
        <w:rPr>
          <w:iCs/>
          <w:szCs w:val="32"/>
        </w:rPr>
        <w:t>CH</w:t>
      </w:r>
      <w:r w:rsidR="00F70324">
        <w:rPr>
          <w:iCs/>
          <w:szCs w:val="32"/>
        </w:rPr>
        <w:t>/</w:t>
      </w:r>
      <w:r w:rsidR="00F70324" w:rsidRPr="00326475">
        <w:rPr>
          <w:iCs/>
          <w:szCs w:val="32"/>
        </w:rPr>
        <w:t>PU</w:t>
      </w:r>
      <w:r w:rsidR="00F70324">
        <w:rPr>
          <w:iCs/>
          <w:szCs w:val="32"/>
        </w:rPr>
        <w:t>C</w:t>
      </w:r>
      <w:r w:rsidR="00F70324" w:rsidRPr="00326475">
        <w:rPr>
          <w:iCs/>
          <w:szCs w:val="32"/>
        </w:rPr>
        <w:t>CH</w:t>
      </w:r>
      <w:r w:rsidR="00F70324">
        <w:rPr>
          <w:iCs/>
          <w:szCs w:val="32"/>
        </w:rPr>
        <w:t>/</w:t>
      </w:r>
      <w:r w:rsidR="00F70324" w:rsidRPr="00326475">
        <w:rPr>
          <w:iCs/>
          <w:szCs w:val="32"/>
        </w:rPr>
        <w:t xml:space="preserve">SRS </w:t>
      </w:r>
      <w:r w:rsidR="00F70324">
        <w:rPr>
          <w:iCs/>
          <w:szCs w:val="32"/>
        </w:rPr>
        <w:t xml:space="preserve">transmissions that </w:t>
      </w:r>
      <w:r w:rsidR="00F70324" w:rsidRPr="00326475">
        <w:rPr>
          <w:iCs/>
          <w:szCs w:val="32"/>
        </w:rPr>
        <w:t xml:space="preserve">is </w:t>
      </w:r>
      <w:r w:rsidR="00F70324">
        <w:rPr>
          <w:iCs/>
          <w:szCs w:val="32"/>
        </w:rPr>
        <w:t>larg</w:t>
      </w:r>
      <w:r w:rsidR="00F70324" w:rsidRPr="00326475">
        <w:rPr>
          <w:iCs/>
          <w:szCs w:val="32"/>
        </w:rPr>
        <w:t xml:space="preserve">er than 4, </w:t>
      </w:r>
      <w:r w:rsidR="00F70324">
        <w:rPr>
          <w:iCs/>
          <w:szCs w:val="32"/>
        </w:rPr>
        <w:t xml:space="preserve">the </w:t>
      </w:r>
      <w:r w:rsidR="00F70324" w:rsidRPr="00326475">
        <w:rPr>
          <w:iCs/>
          <w:szCs w:val="32"/>
        </w:rPr>
        <w:t xml:space="preserve">UE </w:t>
      </w:r>
      <w:r w:rsidR="00F70324">
        <w:rPr>
          <w:iCs/>
          <w:szCs w:val="32"/>
        </w:rPr>
        <w:t>maintains</w:t>
      </w:r>
      <w:r w:rsidR="00F70324" w:rsidRPr="00326475">
        <w:rPr>
          <w:iCs/>
          <w:szCs w:val="32"/>
        </w:rPr>
        <w:t xml:space="preserve"> </w:t>
      </w:r>
      <w:r w:rsidR="00F70324">
        <w:rPr>
          <w:iCs/>
          <w:szCs w:val="32"/>
        </w:rPr>
        <w:t xml:space="preserve">for pathloss estimation </w:t>
      </w:r>
      <w:r w:rsidR="00F70324" w:rsidRPr="00326475">
        <w:rPr>
          <w:iCs/>
          <w:szCs w:val="32"/>
        </w:rPr>
        <w:t xml:space="preserve">RS resources </w:t>
      </w:r>
      <w:r w:rsidR="00F70324">
        <w:rPr>
          <w:iCs/>
          <w:szCs w:val="32"/>
        </w:rPr>
        <w:t xml:space="preserve">corresponding to </w:t>
      </w:r>
      <w:r w:rsidR="00F70324" w:rsidRPr="00B916EC">
        <w:rPr>
          <w:rFonts w:eastAsia="MS Mincho"/>
        </w:rPr>
        <w:t xml:space="preserve">RS resource </w:t>
      </w:r>
      <w:r w:rsidR="00F70324">
        <w:rPr>
          <w:rFonts w:eastAsia="MS Mincho"/>
        </w:rPr>
        <w:t>indexes</w:t>
      </w:r>
      <w:r w:rsidR="00F70324">
        <w:rPr>
          <w:rFonts w:eastAsia="MS Mincho"/>
          <w:lang w:val="en-US"/>
        </w:rPr>
        <w:t xml:space="preserve"> </w:t>
      </w:r>
      <m:oMath>
        <m:sSub>
          <m:sSubPr>
            <m:ctrlPr>
              <w:rPr>
                <w:rFonts w:ascii="Cambria Math" w:eastAsia="MS Mincho" w:hAnsi="Cambria Math"/>
                <w:i/>
                <w:lang w:val="en-US"/>
              </w:rPr>
            </m:ctrlPr>
          </m:sSubPr>
          <m:e>
            <m:r>
              <w:rPr>
                <w:rFonts w:ascii="Cambria Math" w:eastAsia="MS Mincho" w:hAnsi="Cambria Math"/>
                <w:lang w:val="en-US"/>
              </w:rPr>
              <m:t>q</m:t>
            </m:r>
          </m:e>
          <m:sub>
            <m:r>
              <w:rPr>
                <w:rFonts w:ascii="Cambria Math" w:eastAsia="MS Mincho" w:hAnsi="Cambria Math"/>
                <w:lang w:val="en-US"/>
              </w:rPr>
              <m:t>d</m:t>
            </m:r>
          </m:sub>
        </m:sSub>
      </m:oMath>
      <w:r w:rsidR="00F70324" w:rsidRPr="00326475">
        <w:rPr>
          <w:iCs/>
          <w:szCs w:val="32"/>
        </w:rPr>
        <w:t xml:space="preserve"> </w:t>
      </w:r>
      <w:r w:rsidR="00F70324">
        <w:rPr>
          <w:iCs/>
          <w:szCs w:val="32"/>
        </w:rPr>
        <w:t xml:space="preserve">as described </w:t>
      </w:r>
      <w:r w:rsidR="006F5F9E">
        <w:rPr>
          <w:iCs/>
          <w:szCs w:val="32"/>
        </w:rPr>
        <w:t>in clause</w:t>
      </w:r>
      <w:r w:rsidR="00F70324">
        <w:rPr>
          <w:iCs/>
          <w:szCs w:val="32"/>
        </w:rPr>
        <w:t>s</w:t>
      </w:r>
      <w:r w:rsidR="00F70324" w:rsidRPr="00326475">
        <w:rPr>
          <w:iCs/>
          <w:szCs w:val="32"/>
        </w:rPr>
        <w:t xml:space="preserve"> 7.1.1, 7.2.1</w:t>
      </w:r>
      <w:r w:rsidR="00F70324">
        <w:rPr>
          <w:iCs/>
          <w:szCs w:val="32"/>
        </w:rPr>
        <w:t>,</w:t>
      </w:r>
      <w:r w:rsidR="00F70324" w:rsidRPr="00326475">
        <w:rPr>
          <w:iCs/>
          <w:szCs w:val="32"/>
        </w:rPr>
        <w:t xml:space="preserve"> and 7.3.1.</w:t>
      </w:r>
      <w:r w:rsidR="00F70324">
        <w:t xml:space="preserve"> </w:t>
      </w:r>
      <w:r w:rsidR="00F70324" w:rsidRPr="00025B02">
        <w:rPr>
          <w:iCs/>
          <w:szCs w:val="32"/>
        </w:rPr>
        <w:t xml:space="preserve">If </w:t>
      </w:r>
      <w:r w:rsidR="00F70324">
        <w:rPr>
          <w:iCs/>
          <w:szCs w:val="32"/>
        </w:rPr>
        <w:t>an</w:t>
      </w:r>
      <w:r w:rsidR="00F70324" w:rsidRPr="00025B02">
        <w:rPr>
          <w:iCs/>
          <w:szCs w:val="32"/>
        </w:rPr>
        <w:t xml:space="preserve"> RS resource updated by </w:t>
      </w:r>
      <w:r w:rsidR="00F70324">
        <w:rPr>
          <w:iCs/>
          <w:szCs w:val="32"/>
        </w:rPr>
        <w:t xml:space="preserve">MAC </w:t>
      </w:r>
      <w:r w:rsidR="00F70324" w:rsidRPr="00025B02">
        <w:rPr>
          <w:iCs/>
          <w:szCs w:val="32"/>
        </w:rPr>
        <w:t>CE</w:t>
      </w:r>
      <w:r w:rsidR="00F70324">
        <w:rPr>
          <w:iCs/>
          <w:szCs w:val="32"/>
        </w:rPr>
        <w:t>,</w:t>
      </w:r>
      <w:r w:rsidR="00F70324" w:rsidRPr="00025B02">
        <w:rPr>
          <w:iCs/>
          <w:szCs w:val="32"/>
        </w:rPr>
        <w:t xml:space="preserve"> as described </w:t>
      </w:r>
      <w:r w:rsidR="006F5F9E">
        <w:rPr>
          <w:iCs/>
          <w:szCs w:val="32"/>
        </w:rPr>
        <w:t>in clause</w:t>
      </w:r>
      <w:r w:rsidR="00F70324">
        <w:rPr>
          <w:iCs/>
          <w:szCs w:val="32"/>
        </w:rPr>
        <w:t>s</w:t>
      </w:r>
      <w:r w:rsidR="00F70324" w:rsidRPr="00025B02">
        <w:rPr>
          <w:iCs/>
          <w:szCs w:val="32"/>
        </w:rPr>
        <w:t xml:space="preserve"> 7.</w:t>
      </w:r>
      <w:r w:rsidR="00F70324">
        <w:rPr>
          <w:iCs/>
          <w:szCs w:val="32"/>
        </w:rPr>
        <w:t>1</w:t>
      </w:r>
      <w:r w:rsidR="00F70324" w:rsidRPr="00025B02">
        <w:rPr>
          <w:iCs/>
          <w:szCs w:val="32"/>
        </w:rPr>
        <w:t>.1, 7.2.</w:t>
      </w:r>
      <w:r w:rsidR="00F70324">
        <w:rPr>
          <w:iCs/>
          <w:szCs w:val="32"/>
        </w:rPr>
        <w:t>1</w:t>
      </w:r>
      <w:r w:rsidR="00F70324" w:rsidRPr="00025B02">
        <w:rPr>
          <w:iCs/>
          <w:szCs w:val="32"/>
        </w:rPr>
        <w:t xml:space="preserve"> and 7.</w:t>
      </w:r>
      <w:r w:rsidR="00F70324">
        <w:rPr>
          <w:iCs/>
          <w:szCs w:val="32"/>
        </w:rPr>
        <w:t>3</w:t>
      </w:r>
      <w:r w:rsidR="00F70324" w:rsidRPr="00025B02">
        <w:rPr>
          <w:iCs/>
          <w:szCs w:val="32"/>
        </w:rPr>
        <w:t>.</w:t>
      </w:r>
      <w:r w:rsidR="00F70324">
        <w:rPr>
          <w:iCs/>
          <w:szCs w:val="32"/>
        </w:rPr>
        <w:t xml:space="preserve">1, is one from the RS resources the UE maintains </w:t>
      </w:r>
      <w:r w:rsidR="00F70324" w:rsidRPr="00025B02">
        <w:rPr>
          <w:iCs/>
          <w:szCs w:val="32"/>
        </w:rPr>
        <w:t xml:space="preserve">for pathloss estimation for </w:t>
      </w:r>
      <w:r w:rsidR="00F70324" w:rsidRPr="00326475">
        <w:rPr>
          <w:iCs/>
          <w:szCs w:val="32"/>
        </w:rPr>
        <w:t>PU</w:t>
      </w:r>
      <w:r w:rsidR="00F70324">
        <w:rPr>
          <w:iCs/>
          <w:szCs w:val="32"/>
        </w:rPr>
        <w:t>S</w:t>
      </w:r>
      <w:r w:rsidR="00F70324" w:rsidRPr="00326475">
        <w:rPr>
          <w:iCs/>
          <w:szCs w:val="32"/>
        </w:rPr>
        <w:t>CH</w:t>
      </w:r>
      <w:r w:rsidR="00F70324">
        <w:rPr>
          <w:iCs/>
          <w:szCs w:val="32"/>
        </w:rPr>
        <w:t>/</w:t>
      </w:r>
      <w:r w:rsidR="00F70324" w:rsidRPr="00326475">
        <w:rPr>
          <w:iCs/>
          <w:szCs w:val="32"/>
        </w:rPr>
        <w:t>PU</w:t>
      </w:r>
      <w:r w:rsidR="00F70324">
        <w:rPr>
          <w:iCs/>
          <w:szCs w:val="32"/>
        </w:rPr>
        <w:t>C</w:t>
      </w:r>
      <w:r w:rsidR="00F70324" w:rsidRPr="00326475">
        <w:rPr>
          <w:iCs/>
          <w:szCs w:val="32"/>
        </w:rPr>
        <w:t>CH</w:t>
      </w:r>
      <w:r w:rsidR="00F70324">
        <w:rPr>
          <w:iCs/>
          <w:szCs w:val="32"/>
        </w:rPr>
        <w:t>/</w:t>
      </w:r>
      <w:r w:rsidR="00F70324" w:rsidRPr="00326475">
        <w:rPr>
          <w:iCs/>
          <w:szCs w:val="32"/>
        </w:rPr>
        <w:t xml:space="preserve">SRS </w:t>
      </w:r>
      <w:r w:rsidR="00F70324">
        <w:rPr>
          <w:iCs/>
          <w:szCs w:val="32"/>
        </w:rPr>
        <w:t>transmissions</w:t>
      </w:r>
      <w:r w:rsidR="00F70324">
        <w:rPr>
          <w:lang w:val="en-US" w:eastAsia="ko-KR"/>
        </w:rPr>
        <w:t xml:space="preserve">, the UE applies </w:t>
      </w:r>
      <w:r w:rsidR="00F70324" w:rsidRPr="00B011D4">
        <w:rPr>
          <w:lang w:val="en-US" w:eastAsia="ko-KR"/>
        </w:rPr>
        <w:t xml:space="preserve">the pathloss estimation </w:t>
      </w:r>
      <w:r w:rsidR="00F70324">
        <w:rPr>
          <w:lang w:val="en-US" w:eastAsia="ko-KR"/>
        </w:rPr>
        <w:t xml:space="preserve">based </w:t>
      </w:r>
      <w:r w:rsidR="00F70324" w:rsidRPr="00B011D4">
        <w:rPr>
          <w:lang w:val="en-US" w:eastAsia="ko-KR"/>
        </w:rPr>
        <w:t xml:space="preserve">on </w:t>
      </w:r>
      <w:r w:rsidR="00F70324" w:rsidRPr="00B011D4">
        <w:t>the RS resource</w:t>
      </w:r>
      <w:r w:rsidR="00F70324">
        <w:t xml:space="preserve">s starting from the first slot that is after slot </w:t>
      </w:r>
      <m:oMath>
        <m:r>
          <w:rPr>
            <w:rFonts w:ascii="Cambria Math" w:hAnsi="Cambria Math"/>
          </w:rPr>
          <m:t>k</m:t>
        </m:r>
        <m:r>
          <m:rPr>
            <m:sty m:val="p"/>
          </m:rPr>
          <w:rPr>
            <w:rFonts w:ascii="Cambria Math" w:hAnsi="Cambria Math"/>
          </w:rPr>
          <m:t>+</m:t>
        </m:r>
        <m:r>
          <m:rPr>
            <m:sty m:val="p"/>
          </m:rPr>
          <w:rPr>
            <w:rFonts w:ascii="Cambria Math" w:hAnsi="Cambria Math" w:cs="Calibri"/>
            <w:sz w:val="18"/>
          </w:rPr>
          <m:t>3∙</m:t>
        </m:r>
        <m:sSubSup>
          <m:sSubSupPr>
            <m:ctrlPr>
              <w:rPr>
                <w:rFonts w:ascii="Cambria Math" w:hAnsi="Cambria Math" w:cs="Calibri"/>
                <w:sz w:val="18"/>
              </w:rPr>
            </m:ctrlPr>
          </m:sSubSupPr>
          <m:e>
            <m:r>
              <w:rPr>
                <w:rFonts w:ascii="Cambria Math" w:hAnsi="Cambria Math" w:cs="Calibri"/>
                <w:sz w:val="18"/>
              </w:rPr>
              <m:t>N</m:t>
            </m:r>
          </m:e>
          <m:sub>
            <m:r>
              <m:rPr>
                <m:sty m:val="p"/>
              </m:rPr>
              <w:rPr>
                <w:rFonts w:ascii="Cambria Math" w:hAnsi="Cambria Math" w:cs="Calibri"/>
                <w:sz w:val="18"/>
              </w:rPr>
              <m:t>slot</m:t>
            </m:r>
          </m:sub>
          <m:sup>
            <m:r>
              <m:rPr>
                <m:sty m:val="p"/>
              </m:rPr>
              <w:rPr>
                <w:rFonts w:ascii="Cambria Math" w:hAnsi="Cambria Math" w:cs="Calibri"/>
                <w:sz w:val="18"/>
              </w:rPr>
              <m:t xml:space="preserve">subframe,  </m:t>
            </m:r>
            <m:r>
              <w:rPr>
                <w:rFonts w:ascii="Cambria Math" w:hAnsi="Cambria Math" w:cs="Calibri"/>
                <w:sz w:val="18"/>
              </w:rPr>
              <m:t>μ</m:t>
            </m:r>
          </m:sup>
        </m:sSubSup>
        <m:r>
          <w:rPr>
            <w:rFonts w:ascii="Cambria Math" w:hAnsi="Cambria Math"/>
          </w:rPr>
          <m:t>+</m:t>
        </m:r>
        <m:sSub>
          <m:sSubPr>
            <m:ctrlPr>
              <w:rPr>
                <w:rFonts w:ascii="Cambria Math" w:hAnsi="Cambria Math"/>
                <w:i/>
              </w:rPr>
            </m:ctrlPr>
          </m:sSubPr>
          <m:e>
            <m:sSup>
              <m:sSupPr>
                <m:ctrlPr>
                  <w:rPr>
                    <w:rFonts w:ascii="Cambria Math" w:eastAsia="MS Mincho" w:hAnsi="Cambria Math"/>
                    <w:i/>
                    <w:kern w:val="2"/>
                  </w:rPr>
                </m:ctrlPr>
              </m:sSupPr>
              <m:e>
                <m:r>
                  <w:rPr>
                    <w:rFonts w:ascii="Cambria Math" w:eastAsia="MS Mincho" w:hAnsi="Cambria Math"/>
                    <w:kern w:val="2"/>
                  </w:rPr>
                  <m:t>2</m:t>
                </m:r>
              </m:e>
              <m:sup>
                <m:r>
                  <w:rPr>
                    <w:rFonts w:ascii="Cambria Math" w:eastAsia="MS Mincho" w:hAnsi="Cambria Math"/>
                    <w:kern w:val="2"/>
                  </w:rPr>
                  <m:t>μ</m:t>
                </m:r>
              </m:sup>
            </m:sSup>
            <m:r>
              <w:rPr>
                <w:rFonts w:ascii="Cambria Math" w:eastAsia="MS Mincho" w:hAnsi="Cambria Math"/>
                <w:kern w:val="2"/>
              </w:rPr>
              <m:t>∙</m:t>
            </m:r>
            <m:r>
              <w:rPr>
                <w:rFonts w:ascii="Cambria Math" w:hAnsi="Cambria Math"/>
              </w:rPr>
              <m:t>k</m:t>
            </m:r>
          </m:e>
          <m:sub>
            <m:r>
              <m:rPr>
                <m:sty m:val="p"/>
              </m:rPr>
              <w:rPr>
                <w:rFonts w:ascii="Cambria Math" w:hAnsi="Cambria Math"/>
              </w:rPr>
              <m:t>mac</m:t>
            </m:r>
          </m:sub>
        </m:sSub>
      </m:oMath>
      <w:r w:rsidR="00F70324">
        <w:rPr>
          <w:sz w:val="18"/>
        </w:rPr>
        <w:t xml:space="preserve"> </w:t>
      </w:r>
      <w:r w:rsidR="00F70324">
        <w:t>where</w:t>
      </w:r>
      <w:r w:rsidR="00F70324">
        <w:rPr>
          <w:lang w:val="en-US"/>
        </w:rPr>
        <w:t xml:space="preserve"> </w:t>
      </w:r>
      <m:oMath>
        <m:r>
          <w:rPr>
            <w:rFonts w:ascii="Cambria Math" w:hAnsi="Cambria Math"/>
          </w:rPr>
          <m:t>k</m:t>
        </m:r>
      </m:oMath>
      <w:r w:rsidR="00F70324">
        <w:rPr>
          <w:rFonts w:hint="eastAsia"/>
          <w:lang w:eastAsia="ko-KR"/>
        </w:rPr>
        <w:t xml:space="preserve"> </w:t>
      </w:r>
      <w:r w:rsidR="00F70324">
        <w:rPr>
          <w:lang w:val="en-US"/>
        </w:rPr>
        <w:t>is the slot where the UE would transmit a PUCCH or PUSCH with HARQ-ACK information for the PDSCH providing the MAC CE</w:t>
      </w:r>
      <w:r w:rsidR="0068516D">
        <w:rPr>
          <w:lang w:val="en-US"/>
        </w:rPr>
        <w:t>,</w:t>
      </w:r>
      <w:r w:rsidR="00F70324">
        <w:rPr>
          <w:lang w:val="en-US"/>
        </w:rPr>
        <w:t xml:space="preserve"> </w:t>
      </w:r>
      <m:oMath>
        <m:r>
          <w:rPr>
            <w:rFonts w:ascii="Cambria Math" w:hAnsi="Cambria Math"/>
            <w:lang w:val="en-US"/>
          </w:rPr>
          <m:t>μ</m:t>
        </m:r>
        <m:r>
          <w:rPr>
            <w:rFonts w:ascii="Cambria Math" w:hAnsi="Cambria Math"/>
          </w:rPr>
          <m:t xml:space="preserve">  </m:t>
        </m:r>
      </m:oMath>
      <w:r w:rsidR="00F70324">
        <w:t xml:space="preserve">is the SCS configuration for </w:t>
      </w:r>
      <w:r w:rsidR="00F70324">
        <w:rPr>
          <w:lang w:val="en-US"/>
        </w:rPr>
        <w:t xml:space="preserve">the </w:t>
      </w:r>
      <w:r w:rsidR="00F70324">
        <w:t>PUCCH or PUSCH, respectively</w:t>
      </w:r>
      <w:r w:rsidR="0068516D">
        <w:t xml:space="preserve">, </w:t>
      </w:r>
      <w:r w:rsidR="0068516D">
        <w:rPr>
          <w:lang w:val="en-US"/>
        </w:rPr>
        <w:t>that is determined in the slot when the MAC CE command is applied</w:t>
      </w:r>
      <w:r w:rsidR="0068516D">
        <w:t xml:space="preserve"> and </w:t>
      </w:r>
      <m:oMath>
        <m:sSub>
          <m:sSubPr>
            <m:ctrlPr>
              <w:rPr>
                <w:rFonts w:ascii="Cambria Math" w:hAnsi="Cambria Math"/>
                <w:i/>
              </w:rPr>
            </m:ctrlPr>
          </m:sSubPr>
          <m:e>
            <m:r>
              <w:rPr>
                <w:rFonts w:ascii="Cambria Math" w:hAnsi="Cambria Math"/>
              </w:rPr>
              <m:t>k</m:t>
            </m:r>
          </m:e>
          <m:sub>
            <m:r>
              <m:rPr>
                <m:sty m:val="p"/>
              </m:rPr>
              <w:rPr>
                <w:rFonts w:ascii="Cambria Math" w:hAnsi="Cambria Math"/>
              </w:rPr>
              <m:t>mac</m:t>
            </m:r>
          </m:sub>
        </m:sSub>
      </m:oMath>
      <w:r w:rsidR="0068516D">
        <w:t xml:space="preserve"> is a number of slots for SCS configuration </w:t>
      </w:r>
      <m:oMath>
        <m:r>
          <w:rPr>
            <w:rFonts w:ascii="Cambria Math" w:eastAsia="MS Mincho" w:hAnsi="Cambria Math"/>
            <w:kern w:val="2"/>
          </w:rPr>
          <m:t>μ</m:t>
        </m:r>
        <m:r>
          <w:rPr>
            <w:rFonts w:ascii="Cambria Math" w:hAnsi="Cambria Math"/>
            <w:kern w:val="2"/>
          </w:rPr>
          <m:t>=0</m:t>
        </m:r>
      </m:oMath>
      <w:r w:rsidR="0068516D">
        <w:t xml:space="preserve"> provided by </w:t>
      </w:r>
      <w:r w:rsidR="00CC587D">
        <w:rPr>
          <w:i/>
          <w:iCs/>
        </w:rPr>
        <w:t>kmac</w:t>
      </w:r>
      <w:r w:rsidR="0068516D">
        <w:t xml:space="preserve"> </w:t>
      </w:r>
      <w:r w:rsidR="0068516D">
        <w:rPr>
          <w:lang w:val="en-US"/>
        </w:rPr>
        <w:t xml:space="preserve">or </w:t>
      </w:r>
      <m:oMath>
        <m:sSub>
          <m:sSubPr>
            <m:ctrlPr>
              <w:rPr>
                <w:rFonts w:ascii="Cambria Math" w:hAnsi="Cambria Math"/>
                <w:i/>
              </w:rPr>
            </m:ctrlPr>
          </m:sSubPr>
          <m:e>
            <m:r>
              <w:rPr>
                <w:rFonts w:ascii="Cambria Math" w:hAnsi="Cambria Math"/>
              </w:rPr>
              <m:t>k</m:t>
            </m:r>
          </m:e>
          <m:sub>
            <m:r>
              <m:rPr>
                <m:sty m:val="p"/>
              </m:rPr>
              <w:rPr>
                <w:rFonts w:ascii="Cambria Math" w:hAnsi="Cambria Math"/>
              </w:rPr>
              <m:t>mac</m:t>
            </m:r>
          </m:sub>
        </m:sSub>
        <m:r>
          <w:rPr>
            <w:rFonts w:ascii="Cambria Math" w:hAnsi="Cambria Math"/>
          </w:rPr>
          <m:t>=0</m:t>
        </m:r>
      </m:oMath>
      <w:r w:rsidR="0068516D">
        <w:t xml:space="preserve"> if </w:t>
      </w:r>
      <w:r w:rsidR="00CC587D">
        <w:rPr>
          <w:i/>
          <w:iCs/>
        </w:rPr>
        <w:t>kmac</w:t>
      </w:r>
      <w:r w:rsidR="0068516D">
        <w:t xml:space="preserve"> is not provided</w:t>
      </w:r>
      <w:r w:rsidR="00F70324">
        <w:rPr>
          <w:i/>
        </w:rPr>
        <w:t>.</w:t>
      </w:r>
    </w:p>
    <w:p w14:paraId="24D01BB2" w14:textId="77777777" w:rsidR="00F416B2" w:rsidRPr="00F415B1" w:rsidRDefault="001B4D2B" w:rsidP="00F416B2">
      <w:r>
        <w:rPr>
          <w:iCs/>
        </w:rPr>
        <w:t xml:space="preserve">A PUSCH/PUCCH/SRS/PRACH transmission occasion </w:t>
      </w:r>
      <m:oMath>
        <m:r>
          <w:rPr>
            <w:rFonts w:ascii="Cambria Math" w:hAnsi="Cambria Math"/>
            <w:lang w:eastAsia="zh-CN"/>
          </w:rPr>
          <m:t>i</m:t>
        </m:r>
      </m:oMath>
      <w:r>
        <w:rPr>
          <w:iCs/>
        </w:rPr>
        <w:t xml:space="preserve"> is defined by a </w:t>
      </w:r>
      <w:r w:rsidRPr="00B916EC">
        <w:t xml:space="preserve">slot index </w:t>
      </w:r>
      <m:oMath>
        <m:sSubSup>
          <m:sSubSupPr>
            <m:ctrlPr>
              <w:rPr>
                <w:rFonts w:ascii="Cambria Math" w:hAnsi="Cambria Math"/>
                <w:i/>
                <w:lang w:eastAsia="zh-CN"/>
              </w:rPr>
            </m:ctrlPr>
          </m:sSubSupPr>
          <m:e>
            <m:r>
              <w:rPr>
                <w:rFonts w:ascii="Cambria Math" w:hAnsi="Cambria Math"/>
                <w:lang w:eastAsia="zh-CN"/>
              </w:rPr>
              <m:t>n</m:t>
            </m:r>
          </m:e>
          <m:sub>
            <m:r>
              <w:rPr>
                <w:rFonts w:ascii="Cambria Math" w:hAnsi="Cambria Math"/>
                <w:lang w:eastAsia="zh-CN"/>
              </w:rPr>
              <m:t>s,f</m:t>
            </m:r>
          </m:sub>
          <m:sup>
            <m:r>
              <w:rPr>
                <w:rFonts w:ascii="Cambria Math" w:hAnsi="Cambria Math"/>
                <w:lang w:eastAsia="zh-CN"/>
              </w:rPr>
              <m:t>μ</m:t>
            </m:r>
          </m:sup>
        </m:sSubSup>
      </m:oMath>
      <w:r>
        <w:t xml:space="preserve"> within a frame with system frame number </w:t>
      </w:r>
      <m:oMath>
        <m:r>
          <w:rPr>
            <w:rFonts w:ascii="Cambria Math" w:hAnsi="Cambria Math"/>
            <w:lang w:eastAsia="zh-CN"/>
          </w:rPr>
          <m:t>SFN</m:t>
        </m:r>
      </m:oMath>
      <w:r>
        <w:t xml:space="preserve">, a first symbol </w:t>
      </w:r>
      <m:oMath>
        <m:r>
          <w:rPr>
            <w:rFonts w:ascii="Cambria Math" w:hAnsi="Cambria Math"/>
            <w:lang w:eastAsia="zh-CN"/>
          </w:rPr>
          <m:t>S</m:t>
        </m:r>
      </m:oMath>
      <w:r>
        <w:t xml:space="preserve"> within the slot, and a number of consecutive symbols </w:t>
      </w:r>
      <m:oMath>
        <m:r>
          <w:rPr>
            <w:rFonts w:ascii="Cambria Math" w:hAnsi="Cambria Math"/>
          </w:rPr>
          <m:t>L</m:t>
        </m:r>
      </m:oMath>
      <w:r>
        <w:t>. For a PUSCH transmission with repetition Type B, a PUSCH transmission occasion is a nominal repetition [6, TS 38.214].</w:t>
      </w:r>
    </w:p>
    <w:p w14:paraId="5EC34218" w14:textId="69234C37" w:rsidR="00F416B2" w:rsidRPr="00F415B1" w:rsidRDefault="00F416B2" w:rsidP="00F416B2">
      <w:pPr>
        <w:rPr>
          <w:lang w:eastAsia="ko-KR"/>
        </w:rPr>
      </w:pPr>
      <w:r w:rsidRPr="00F415B1">
        <w:rPr>
          <w:lang w:eastAsia="ko-KR"/>
        </w:rPr>
        <w:t xml:space="preserve">In the remaining of this clause, if a UE is provided </w:t>
      </w:r>
      <w:r w:rsidR="00110C23" w:rsidRPr="00037243">
        <w:rPr>
          <w:rFonts w:cs="Times"/>
          <w:i/>
          <w:iCs/>
          <w:szCs w:val="18"/>
          <w:lang w:eastAsia="zh-CN"/>
        </w:rPr>
        <w:t>TCI</w:t>
      </w:r>
      <w:r w:rsidR="00CC587D">
        <w:rPr>
          <w:rFonts w:cs="Times"/>
          <w:i/>
          <w:iCs/>
          <w:szCs w:val="18"/>
          <w:lang w:eastAsia="zh-CN"/>
        </w:rPr>
        <w:t>-</w:t>
      </w:r>
      <w:r w:rsidR="00110C23" w:rsidRPr="00037243">
        <w:rPr>
          <w:rFonts w:cs="Times"/>
          <w:i/>
          <w:iCs/>
          <w:szCs w:val="18"/>
          <w:lang w:eastAsia="zh-CN"/>
        </w:rPr>
        <w:t>State</w:t>
      </w:r>
      <w:r w:rsidR="00110C23" w:rsidRPr="00037243">
        <w:rPr>
          <w:rFonts w:cs="Times"/>
          <w:iCs/>
          <w:szCs w:val="18"/>
          <w:lang w:eastAsia="zh-CN"/>
        </w:rPr>
        <w:t xml:space="preserve"> </w:t>
      </w:r>
      <w:r w:rsidR="00047715" w:rsidRPr="00A427A3">
        <w:rPr>
          <w:rFonts w:cs="Times"/>
          <w:iCs/>
          <w:szCs w:val="18"/>
          <w:lang w:eastAsia="zh-CN"/>
        </w:rPr>
        <w:t>in</w:t>
      </w:r>
      <w:r w:rsidR="00047715" w:rsidRPr="00A427A3">
        <w:t xml:space="preserve"> </w:t>
      </w:r>
      <w:r w:rsidR="00047715" w:rsidRPr="00A427A3">
        <w:rPr>
          <w:rFonts w:cs="Times"/>
          <w:i/>
          <w:szCs w:val="18"/>
          <w:lang w:eastAsia="zh-CN"/>
        </w:rPr>
        <w:t>dl-OrJointTCI</w:t>
      </w:r>
      <w:r w:rsidR="008A03D2">
        <w:rPr>
          <w:rFonts w:cs="Times"/>
          <w:i/>
          <w:szCs w:val="18"/>
          <w:lang w:eastAsia="zh-CN"/>
        </w:rPr>
        <w:t>-</w:t>
      </w:r>
      <w:r w:rsidR="00047715" w:rsidRPr="00A427A3">
        <w:rPr>
          <w:rFonts w:cs="Times"/>
          <w:i/>
          <w:szCs w:val="18"/>
          <w:lang w:eastAsia="zh-CN"/>
        </w:rPr>
        <w:t>StateList</w:t>
      </w:r>
      <w:r w:rsidR="00047715" w:rsidRPr="00A427A3">
        <w:rPr>
          <w:rFonts w:cs="Times"/>
          <w:iCs/>
          <w:szCs w:val="18"/>
          <w:lang w:eastAsia="zh-CN"/>
        </w:rPr>
        <w:t xml:space="preserve"> </w:t>
      </w:r>
      <w:r w:rsidR="00110C23" w:rsidRPr="00037243">
        <w:rPr>
          <w:rFonts w:cs="Times"/>
          <w:iCs/>
          <w:szCs w:val="18"/>
          <w:lang w:val="en-US" w:eastAsia="zh-CN"/>
        </w:rPr>
        <w:t>or</w:t>
      </w:r>
      <w:r w:rsidR="00110C23" w:rsidRPr="00037243">
        <w:rPr>
          <w:lang w:val="en-US"/>
        </w:rPr>
        <w:t xml:space="preserve"> </w:t>
      </w:r>
      <w:r w:rsidR="00CC587D" w:rsidRPr="003D3A1B">
        <w:rPr>
          <w:i/>
          <w:iCs/>
          <w:lang w:val="en-US"/>
        </w:rPr>
        <w:t>TCI-UL-State</w:t>
      </w:r>
      <w:r w:rsidR="0029374D">
        <w:rPr>
          <w:i/>
          <w:iCs/>
          <w:lang w:val="en-US"/>
        </w:rPr>
        <w:t>,</w:t>
      </w:r>
      <w:r w:rsidRPr="00F415B1">
        <w:rPr>
          <w:lang w:eastAsia="ko-KR"/>
        </w:rPr>
        <w:t xml:space="preserve"> and for </w:t>
      </w:r>
      <w:r w:rsidR="0029374D">
        <w:rPr>
          <w:lang w:eastAsia="ko-KR"/>
        </w:rPr>
        <w:t>each</w:t>
      </w:r>
      <w:r w:rsidR="0029374D" w:rsidRPr="00F415B1">
        <w:rPr>
          <w:lang w:eastAsia="ko-KR"/>
        </w:rPr>
        <w:t xml:space="preserve"> </w:t>
      </w:r>
      <w:r w:rsidRPr="00F415B1">
        <w:rPr>
          <w:lang w:eastAsia="ko-KR"/>
        </w:rPr>
        <w:t>indicated</w:t>
      </w:r>
      <w:r w:rsidR="0029374D">
        <w:rPr>
          <w:lang w:eastAsia="ko-KR"/>
        </w:rPr>
        <w:t xml:space="preserve"> one or two</w:t>
      </w:r>
      <w:r w:rsidRPr="00F415B1">
        <w:rPr>
          <w:lang w:eastAsia="ko-KR"/>
        </w:rPr>
        <w:t xml:space="preserve"> </w:t>
      </w:r>
      <w:r w:rsidR="00110C23" w:rsidRPr="00037243">
        <w:rPr>
          <w:rFonts w:cs="Times"/>
          <w:i/>
          <w:iCs/>
          <w:szCs w:val="18"/>
          <w:lang w:eastAsia="zh-CN"/>
        </w:rPr>
        <w:t>TCI</w:t>
      </w:r>
      <w:r w:rsidR="00CC587D">
        <w:rPr>
          <w:rFonts w:cs="Times"/>
          <w:i/>
          <w:iCs/>
          <w:szCs w:val="18"/>
          <w:lang w:eastAsia="zh-CN"/>
        </w:rPr>
        <w:t>-</w:t>
      </w:r>
      <w:r w:rsidR="00110C23" w:rsidRPr="00037243">
        <w:rPr>
          <w:rFonts w:cs="Times"/>
          <w:i/>
          <w:iCs/>
          <w:szCs w:val="18"/>
          <w:lang w:eastAsia="zh-CN"/>
        </w:rPr>
        <w:t>State</w:t>
      </w:r>
      <w:r w:rsidR="00110C23" w:rsidRPr="00037243">
        <w:rPr>
          <w:rFonts w:cs="Times"/>
          <w:iCs/>
          <w:szCs w:val="18"/>
          <w:lang w:eastAsia="zh-CN"/>
        </w:rPr>
        <w:t xml:space="preserve"> </w:t>
      </w:r>
      <w:r w:rsidR="00110C23" w:rsidRPr="00037243">
        <w:rPr>
          <w:rFonts w:cs="Times"/>
          <w:iCs/>
          <w:szCs w:val="18"/>
          <w:lang w:val="en-US" w:eastAsia="zh-CN"/>
        </w:rPr>
        <w:t>or</w:t>
      </w:r>
      <w:r w:rsidR="00110C23" w:rsidRPr="00037243">
        <w:rPr>
          <w:lang w:val="en-US"/>
        </w:rPr>
        <w:t xml:space="preserve"> </w:t>
      </w:r>
      <w:r w:rsidR="00CC587D" w:rsidRPr="003D3A1B">
        <w:rPr>
          <w:i/>
          <w:iCs/>
          <w:lang w:val="en-US"/>
        </w:rPr>
        <w:t>TCI-UL-State</w:t>
      </w:r>
      <w:r w:rsidRPr="00F415B1">
        <w:rPr>
          <w:lang w:val="en-US"/>
        </w:rPr>
        <w:t xml:space="preserve"> </w:t>
      </w:r>
      <w:r w:rsidR="0029374D" w:rsidRPr="00A21C09">
        <w:t xml:space="preserve">of a PUSCH, PUCCH, or SRS transmission occasion </w:t>
      </w:r>
      <w:r w:rsidRPr="00F415B1">
        <w:rPr>
          <w:lang w:val="en-US"/>
        </w:rPr>
        <w:t>as described in [6, TS 38.214]</w:t>
      </w:r>
      <w:r w:rsidRPr="00F415B1">
        <w:rPr>
          <w:lang w:eastAsia="ko-KR"/>
        </w:rPr>
        <w:t xml:space="preserve"> </w:t>
      </w:r>
    </w:p>
    <w:p w14:paraId="03CB8909" w14:textId="6E96C691" w:rsidR="00F416B2" w:rsidRPr="00F415B1" w:rsidRDefault="00F416B2" w:rsidP="00F416B2">
      <w:pPr>
        <w:pStyle w:val="B1"/>
        <w:rPr>
          <w:lang w:val="en-US" w:eastAsia="ko-KR"/>
        </w:rPr>
      </w:pPr>
      <w:r w:rsidRPr="00F415B1">
        <w:t>-</w:t>
      </w:r>
      <w:r w:rsidRPr="00F415B1">
        <w:tab/>
      </w:r>
      <w:r w:rsidRPr="00F415B1">
        <w:rPr>
          <w:lang w:val="en-US"/>
        </w:rPr>
        <w:t xml:space="preserve">in clauses 7.1.1, 7.2.1, and 7.3.1, the RS index </w:t>
      </w:r>
      <m:oMath>
        <m:sSub>
          <m:sSubPr>
            <m:ctrlPr>
              <w:rPr>
                <w:rFonts w:ascii="Cambria Math" w:hAnsi="Cambria Math"/>
                <w:iCs/>
              </w:rPr>
            </m:ctrlPr>
          </m:sSubPr>
          <m:e>
            <m:r>
              <w:rPr>
                <w:rFonts w:ascii="Cambria Math" w:hAnsi="Cambria Math"/>
              </w:rPr>
              <m:t>q</m:t>
            </m:r>
          </m:e>
          <m:sub>
            <m:r>
              <w:rPr>
                <w:rFonts w:ascii="Cambria Math"/>
              </w:rPr>
              <m:t>d</m:t>
            </m:r>
          </m:sub>
        </m:sSub>
      </m:oMath>
      <w:r w:rsidRPr="00F415B1">
        <w:rPr>
          <w:iCs/>
          <w:lang w:val="en-US"/>
        </w:rPr>
        <w:t xml:space="preserve"> for obtaining the downlink pathloss estimate for PUSCH, PUCCH, and SRS transmission is provided by</w:t>
      </w:r>
      <w:r w:rsidR="00E761DC">
        <w:rPr>
          <w:iCs/>
          <w:lang w:val="en-US"/>
        </w:rPr>
        <w:t xml:space="preserve"> </w:t>
      </w:r>
      <w:r w:rsidR="00E761DC" w:rsidRPr="003D3A1B">
        <w:rPr>
          <w:rStyle w:val="Emphasis"/>
          <w:rFonts w:ascii="Times" w:hAnsi="Times" w:cs="Times"/>
        </w:rPr>
        <w:t>pathlossReferenceRS-Id-r17</w:t>
      </w:r>
      <w:r w:rsidRPr="00F415B1">
        <w:rPr>
          <w:iCs/>
          <w:lang w:val="en-US"/>
        </w:rPr>
        <w:t xml:space="preserve"> associated with or included in the </w:t>
      </w:r>
      <w:r w:rsidRPr="00F415B1">
        <w:rPr>
          <w:lang w:eastAsia="ko-KR"/>
        </w:rPr>
        <w:t xml:space="preserve">indicated </w:t>
      </w:r>
      <w:r w:rsidR="00110C23" w:rsidRPr="00037243">
        <w:rPr>
          <w:rFonts w:cs="Times"/>
          <w:i/>
          <w:iCs/>
          <w:szCs w:val="18"/>
          <w:lang w:eastAsia="zh-CN"/>
        </w:rPr>
        <w:t>TCI</w:t>
      </w:r>
      <w:r w:rsidR="00E761DC">
        <w:rPr>
          <w:rFonts w:cs="Times"/>
          <w:i/>
          <w:iCs/>
          <w:szCs w:val="18"/>
          <w:lang w:val="en-GB" w:eastAsia="zh-CN"/>
        </w:rPr>
        <w:t>-</w:t>
      </w:r>
      <w:r w:rsidR="00110C23" w:rsidRPr="00037243">
        <w:rPr>
          <w:rFonts w:cs="Times"/>
          <w:i/>
          <w:iCs/>
          <w:szCs w:val="18"/>
          <w:lang w:eastAsia="zh-CN"/>
        </w:rPr>
        <w:t>State</w:t>
      </w:r>
      <w:r w:rsidR="00110C23" w:rsidRPr="00037243">
        <w:rPr>
          <w:rFonts w:cs="Times"/>
          <w:iCs/>
          <w:szCs w:val="18"/>
          <w:lang w:eastAsia="zh-CN"/>
        </w:rPr>
        <w:t xml:space="preserve"> </w:t>
      </w:r>
      <w:r w:rsidR="00110C23" w:rsidRPr="00037243">
        <w:rPr>
          <w:rFonts w:cs="Times"/>
          <w:iCs/>
          <w:szCs w:val="18"/>
          <w:lang w:val="en-US" w:eastAsia="zh-CN"/>
        </w:rPr>
        <w:t>or</w:t>
      </w:r>
      <w:r w:rsidR="00110C23" w:rsidRPr="00037243">
        <w:rPr>
          <w:lang w:val="en-US"/>
        </w:rPr>
        <w:t xml:space="preserve"> </w:t>
      </w:r>
      <w:r w:rsidR="00E761DC" w:rsidRPr="003D3A1B">
        <w:rPr>
          <w:i/>
          <w:iCs/>
          <w:lang w:val="en-US"/>
        </w:rPr>
        <w:t>TCI-UL-State</w:t>
      </w:r>
      <w:r w:rsidR="00110C23" w:rsidRPr="00037243">
        <w:rPr>
          <w:lang w:val="en-US"/>
        </w:rPr>
        <w:t xml:space="preserve"> except for SRS transmission that is not provided </w:t>
      </w:r>
      <w:r w:rsidR="00AB7025" w:rsidRPr="00997ADD">
        <w:rPr>
          <w:i/>
          <w:iCs/>
        </w:rPr>
        <w:t>followUnifiedTCI</w:t>
      </w:r>
      <w:r w:rsidR="00AB7025">
        <w:rPr>
          <w:i/>
          <w:iCs/>
          <w:lang w:val="en-GB"/>
        </w:rPr>
        <w:t>-S</w:t>
      </w:r>
      <w:r w:rsidR="00AB7025" w:rsidRPr="00997ADD">
        <w:rPr>
          <w:i/>
          <w:iCs/>
        </w:rPr>
        <w:t>tateSRS</w:t>
      </w:r>
    </w:p>
    <w:p w14:paraId="3254CA7A" w14:textId="145960AD" w:rsidR="00F416B2" w:rsidRPr="00F415B1" w:rsidRDefault="00F416B2" w:rsidP="00F416B2">
      <w:pPr>
        <w:pStyle w:val="B1"/>
        <w:rPr>
          <w:lang w:val="en-US" w:eastAsia="ko-KR"/>
        </w:rPr>
      </w:pPr>
      <w:r w:rsidRPr="00F415B1">
        <w:t>-</w:t>
      </w:r>
      <w:r w:rsidRPr="00F415B1">
        <w:tab/>
      </w:r>
      <w:r w:rsidRPr="00F415B1">
        <w:rPr>
          <w:lang w:val="en-US"/>
        </w:rPr>
        <w:t xml:space="preserve">in clause 7.1.1, if </w:t>
      </w:r>
      <w:r w:rsidR="00047715" w:rsidRPr="0049414F">
        <w:rPr>
          <w:i/>
        </w:rPr>
        <w:t>p0AlphaSetforPUSCH</w:t>
      </w:r>
      <w:r w:rsidRPr="00F415B1">
        <w:rPr>
          <w:lang w:val="en-US"/>
        </w:rPr>
        <w:t xml:space="preserve"> is provided, </w:t>
      </w:r>
      <w:r w:rsidRPr="00F415B1">
        <w:rPr>
          <w:lang w:val="en-US" w:eastAsia="ko-KR"/>
        </w:rPr>
        <w:t xml:space="preserve">the values of </w:t>
      </w:r>
      <m:oMath>
        <m:sSub>
          <m:sSubPr>
            <m:ctrlPr>
              <w:rPr>
                <w:rFonts w:ascii="Cambria Math" w:hAnsi="Cambria Math"/>
                <w:iCs/>
              </w:rPr>
            </m:ctrlPr>
          </m:sSubPr>
          <m:e>
            <m:r>
              <w:rPr>
                <w:rFonts w:ascii="Cambria Math" w:hAnsi="Cambria Math"/>
              </w:rPr>
              <m:t>P</m:t>
            </m:r>
          </m:e>
          <m:sub>
            <m:r>
              <m:rPr>
                <m:nor/>
              </m:rPr>
              <w:rPr>
                <w:rFonts w:ascii="Cambria Math"/>
                <w:iCs/>
                <w:lang w:val="en-US"/>
              </w:rPr>
              <m:t>O_UE_P</m:t>
            </m:r>
            <m:r>
              <m:rPr>
                <m:nor/>
              </m:rPr>
              <w:rPr>
                <w:rFonts w:ascii="Cambria Math"/>
                <w:iCs/>
              </w:rPr>
              <m:t>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oMath>
      <w:r w:rsidRPr="00F415B1">
        <w:rPr>
          <w:lang w:val="en-US"/>
        </w:rPr>
        <w:t xml:space="preserve">, </w:t>
      </w:r>
      <m:oMath>
        <m:sSub>
          <m:sSubPr>
            <m:ctrlPr>
              <w:rPr>
                <w:rFonts w:ascii="Cambria Math" w:hAnsi="Cambria Math"/>
                <w:iCs/>
              </w:rPr>
            </m:ctrlPr>
          </m:sSubPr>
          <m:e>
            <m:r>
              <w:rPr>
                <w:rFonts w:ascii="Cambria Math" w:hAnsi="Cambria Math"/>
              </w:rPr>
              <m:t>α</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oMath>
      <w:r w:rsidRPr="00F415B1">
        <w:rPr>
          <w:lang w:val="en-US"/>
        </w:rPr>
        <w:t xml:space="preserve">, and the </w:t>
      </w:r>
      <w:r w:rsidRPr="00F415B1">
        <w:t xml:space="preserve">PUSCH power control adjustment state </w:t>
      </w:r>
      <m:oMath>
        <m:r>
          <w:rPr>
            <w:rFonts w:ascii="Cambria Math" w:hAnsi="Cambria Math"/>
            <w:lang w:val="en-US"/>
          </w:rPr>
          <m:t>l</m:t>
        </m:r>
      </m:oMath>
      <w:r w:rsidRPr="00F415B1">
        <w:rPr>
          <w:lang w:val="en-US"/>
        </w:rPr>
        <w:t xml:space="preserve"> are provided by </w:t>
      </w:r>
      <w:r w:rsidR="00047715" w:rsidRPr="0049414F">
        <w:rPr>
          <w:i/>
        </w:rPr>
        <w:t>p0AlphaSetforPUSCH</w:t>
      </w:r>
      <w:r w:rsidRPr="00F415B1">
        <w:rPr>
          <w:lang w:val="en-US"/>
        </w:rPr>
        <w:t xml:space="preserve"> associated with the indicated </w:t>
      </w:r>
      <w:r w:rsidR="00110C23" w:rsidRPr="00037243">
        <w:rPr>
          <w:rFonts w:cs="Times"/>
          <w:i/>
          <w:iCs/>
          <w:szCs w:val="18"/>
          <w:lang w:eastAsia="zh-CN"/>
        </w:rPr>
        <w:t>TCI</w:t>
      </w:r>
      <w:r w:rsidR="00E761DC">
        <w:rPr>
          <w:rFonts w:cs="Times"/>
          <w:i/>
          <w:iCs/>
          <w:szCs w:val="18"/>
          <w:lang w:val="en-GB" w:eastAsia="zh-CN"/>
        </w:rPr>
        <w:t>-</w:t>
      </w:r>
      <w:r w:rsidR="00110C23" w:rsidRPr="00037243">
        <w:rPr>
          <w:rFonts w:cs="Times"/>
          <w:i/>
          <w:iCs/>
          <w:szCs w:val="18"/>
          <w:lang w:eastAsia="zh-CN"/>
        </w:rPr>
        <w:t>State</w:t>
      </w:r>
      <w:r w:rsidR="00110C23" w:rsidRPr="00037243">
        <w:rPr>
          <w:rFonts w:cs="Times"/>
          <w:iCs/>
          <w:szCs w:val="18"/>
          <w:lang w:eastAsia="zh-CN"/>
        </w:rPr>
        <w:t xml:space="preserve"> </w:t>
      </w:r>
      <w:r w:rsidR="00110C23" w:rsidRPr="00037243">
        <w:rPr>
          <w:rFonts w:cs="Times"/>
          <w:iCs/>
          <w:szCs w:val="18"/>
          <w:lang w:val="en-US" w:eastAsia="zh-CN"/>
        </w:rPr>
        <w:t>or</w:t>
      </w:r>
      <w:r w:rsidR="00110C23" w:rsidRPr="00037243">
        <w:rPr>
          <w:lang w:val="en-US"/>
        </w:rPr>
        <w:t xml:space="preserve"> </w:t>
      </w:r>
      <w:r w:rsidR="00E761DC" w:rsidRPr="003D3A1B">
        <w:rPr>
          <w:i/>
          <w:iCs/>
          <w:lang w:val="en-US"/>
        </w:rPr>
        <w:t>TCI-UL-State</w:t>
      </w:r>
    </w:p>
    <w:p w14:paraId="79E88A9A" w14:textId="5F30B3F7" w:rsidR="00F416B2" w:rsidRPr="00F415B1" w:rsidRDefault="00F416B2" w:rsidP="00F416B2">
      <w:pPr>
        <w:pStyle w:val="B1"/>
        <w:rPr>
          <w:lang w:val="en-US"/>
        </w:rPr>
      </w:pPr>
      <w:r w:rsidRPr="00F415B1">
        <w:lastRenderedPageBreak/>
        <w:t>-</w:t>
      </w:r>
      <w:r w:rsidRPr="00F415B1">
        <w:tab/>
      </w:r>
      <w:r w:rsidRPr="00F415B1">
        <w:rPr>
          <w:lang w:val="en-US"/>
        </w:rPr>
        <w:t xml:space="preserve">in clause 7.2.1, if </w:t>
      </w:r>
      <w:r w:rsidR="00047715" w:rsidRPr="0049414F">
        <w:rPr>
          <w:i/>
        </w:rPr>
        <w:t>p0AlphaSetforPU</w:t>
      </w:r>
      <w:r w:rsidR="00047715">
        <w:rPr>
          <w:i/>
        </w:rPr>
        <w:t>C</w:t>
      </w:r>
      <w:r w:rsidR="00047715" w:rsidRPr="0049414F">
        <w:rPr>
          <w:i/>
        </w:rPr>
        <w:t>CH</w:t>
      </w:r>
      <w:r w:rsidRPr="00F415B1">
        <w:rPr>
          <w:lang w:val="en-US"/>
        </w:rPr>
        <w:t xml:space="preserve"> is provided, </w:t>
      </w:r>
      <w:r w:rsidRPr="00F415B1">
        <w:rPr>
          <w:lang w:val="en-US" w:eastAsia="ko-KR"/>
        </w:rPr>
        <w:t xml:space="preserve">the values of </w:t>
      </w:r>
      <m:oMath>
        <m:sSub>
          <m:sSubPr>
            <m:ctrlPr>
              <w:rPr>
                <w:rFonts w:ascii="Cambria Math" w:hAnsi="Cambria Math"/>
                <w:iCs/>
              </w:rPr>
            </m:ctrlPr>
          </m:sSubPr>
          <m:e>
            <m:r>
              <w:rPr>
                <w:rFonts w:ascii="Cambria Math" w:hAnsi="Cambria Math"/>
              </w:rPr>
              <m:t>P</m:t>
            </m:r>
          </m:e>
          <m:sub>
            <m:r>
              <m:rPr>
                <m:nor/>
              </m:rPr>
              <w:rPr>
                <w:rFonts w:ascii="Cambria Math"/>
                <w:iCs/>
                <w:lang w:val="en-US"/>
              </w:rPr>
              <m:t>O_UE_P</m:t>
            </m:r>
            <m:r>
              <m:rPr>
                <m:nor/>
              </m:rPr>
              <w:rPr>
                <w:rFonts w:ascii="Cambria Math"/>
                <w:iCs/>
              </w:rPr>
              <m:t>U</m:t>
            </m:r>
            <m:r>
              <m:rPr>
                <m:nor/>
              </m:rPr>
              <w:rPr>
                <w:rFonts w:ascii="Cambria Math"/>
                <w:iCs/>
                <w:lang w:val="en-US"/>
              </w:rPr>
              <m:t>C</m:t>
            </m:r>
            <m:r>
              <m:rPr>
                <m:nor/>
              </m:rPr>
              <w:rPr>
                <w:rFonts w:ascii="Cambria Math"/>
                <w:iCs/>
              </w:rPr>
              <m:t>CH</m:t>
            </m:r>
          </m:sub>
        </m:sSub>
        <m:d>
          <m:dPr>
            <m:ctrlPr>
              <w:rPr>
                <w:rFonts w:ascii="Cambria Math" w:hAnsi="Cambria Math"/>
              </w:rPr>
            </m:ctrlPr>
          </m:dPr>
          <m:e>
            <m:sSub>
              <m:sSubPr>
                <m:ctrlPr>
                  <w:rPr>
                    <w:rFonts w:ascii="Cambria Math" w:hAnsi="Cambria Math"/>
                    <w:iCs/>
                  </w:rPr>
                </m:ctrlPr>
              </m:sSubPr>
              <m:e>
                <m:r>
                  <w:rPr>
                    <w:rFonts w:ascii="Cambria Math" w:hAnsi="Cambria Math"/>
                  </w:rPr>
                  <m:t>q</m:t>
                </m:r>
              </m:e>
              <m:sub>
                <m:r>
                  <w:rPr>
                    <w:rFonts w:ascii="Cambria Math"/>
                  </w:rPr>
                  <m:t>u</m:t>
                </m:r>
              </m:sub>
            </m:sSub>
          </m:e>
        </m:d>
      </m:oMath>
      <w:r w:rsidRPr="00F415B1">
        <w:rPr>
          <w:lang w:val="en-US"/>
        </w:rPr>
        <w:t xml:space="preserve"> and the </w:t>
      </w:r>
      <w:r w:rsidRPr="00F415B1">
        <w:t>PU</w:t>
      </w:r>
      <w:r w:rsidRPr="00F415B1">
        <w:rPr>
          <w:lang w:val="en-US"/>
        </w:rPr>
        <w:t>C</w:t>
      </w:r>
      <w:r w:rsidRPr="00F415B1">
        <w:t xml:space="preserve">CH power control adjustment state </w:t>
      </w:r>
      <m:oMath>
        <m:r>
          <w:rPr>
            <w:rFonts w:ascii="Cambria Math" w:hAnsi="Cambria Math"/>
            <w:lang w:val="en-US"/>
          </w:rPr>
          <m:t>l</m:t>
        </m:r>
      </m:oMath>
      <w:r w:rsidRPr="00F415B1">
        <w:rPr>
          <w:lang w:val="en-US"/>
        </w:rPr>
        <w:t xml:space="preserve"> are provided by </w:t>
      </w:r>
      <w:r w:rsidR="00047715" w:rsidRPr="0049414F">
        <w:rPr>
          <w:i/>
        </w:rPr>
        <w:t>p0AlphaSetforPU</w:t>
      </w:r>
      <w:r w:rsidR="00047715">
        <w:rPr>
          <w:i/>
        </w:rPr>
        <w:t>C</w:t>
      </w:r>
      <w:r w:rsidR="00047715" w:rsidRPr="0049414F">
        <w:rPr>
          <w:i/>
        </w:rPr>
        <w:t>CH</w:t>
      </w:r>
      <w:r w:rsidRPr="00F415B1">
        <w:rPr>
          <w:lang w:val="en-US"/>
        </w:rPr>
        <w:t xml:space="preserve"> associated with the indicated </w:t>
      </w:r>
      <w:r w:rsidR="00110C23" w:rsidRPr="00037243">
        <w:rPr>
          <w:rFonts w:cs="Times"/>
          <w:i/>
          <w:iCs/>
          <w:szCs w:val="18"/>
          <w:lang w:eastAsia="zh-CN"/>
        </w:rPr>
        <w:t>TCI</w:t>
      </w:r>
      <w:r w:rsidR="00E761DC">
        <w:rPr>
          <w:rFonts w:cs="Times"/>
          <w:i/>
          <w:iCs/>
          <w:szCs w:val="18"/>
          <w:lang w:val="en-GB" w:eastAsia="zh-CN"/>
        </w:rPr>
        <w:t>-</w:t>
      </w:r>
      <w:r w:rsidR="00110C23" w:rsidRPr="00037243">
        <w:rPr>
          <w:rFonts w:cs="Times"/>
          <w:i/>
          <w:iCs/>
          <w:szCs w:val="18"/>
          <w:lang w:eastAsia="zh-CN"/>
        </w:rPr>
        <w:t>State</w:t>
      </w:r>
      <w:r w:rsidR="00110C23" w:rsidRPr="00037243">
        <w:rPr>
          <w:rFonts w:cs="Times"/>
          <w:iCs/>
          <w:szCs w:val="18"/>
          <w:lang w:eastAsia="zh-CN"/>
        </w:rPr>
        <w:t xml:space="preserve"> </w:t>
      </w:r>
      <w:r w:rsidR="00110C23" w:rsidRPr="00037243">
        <w:rPr>
          <w:rFonts w:cs="Times"/>
          <w:iCs/>
          <w:szCs w:val="18"/>
          <w:lang w:val="en-US" w:eastAsia="zh-CN"/>
        </w:rPr>
        <w:t>or</w:t>
      </w:r>
      <w:r w:rsidR="00110C23" w:rsidRPr="00037243">
        <w:rPr>
          <w:lang w:val="en-US"/>
        </w:rPr>
        <w:t xml:space="preserve"> </w:t>
      </w:r>
      <w:r w:rsidR="00E761DC" w:rsidRPr="003D3A1B">
        <w:rPr>
          <w:i/>
          <w:iCs/>
          <w:lang w:val="en-US"/>
        </w:rPr>
        <w:t>TCI-UL-State</w:t>
      </w:r>
    </w:p>
    <w:p w14:paraId="24C20CC7" w14:textId="3B69F399" w:rsidR="00110C23" w:rsidRPr="00037243" w:rsidRDefault="00F416B2" w:rsidP="00110C23">
      <w:pPr>
        <w:pStyle w:val="B1"/>
        <w:rPr>
          <w:lang w:val="en-US"/>
        </w:rPr>
      </w:pPr>
      <w:r w:rsidRPr="00F415B1">
        <w:t>-</w:t>
      </w:r>
      <w:r w:rsidRPr="00F415B1">
        <w:tab/>
      </w:r>
      <w:r w:rsidRPr="00F415B1">
        <w:rPr>
          <w:lang w:val="en-US"/>
        </w:rPr>
        <w:t xml:space="preserve">in clause 7.3.1, if </w:t>
      </w:r>
      <w:r w:rsidR="00047715" w:rsidRPr="009C3EBD">
        <w:rPr>
          <w:i/>
        </w:rPr>
        <w:t>p0AlphaSetforSRS</w:t>
      </w:r>
      <w:r w:rsidRPr="00F415B1">
        <w:rPr>
          <w:lang w:val="en-US"/>
        </w:rPr>
        <w:t xml:space="preserve"> is provided, </w:t>
      </w:r>
    </w:p>
    <w:p w14:paraId="4370EF2E" w14:textId="0002DC85" w:rsidR="00110C23" w:rsidRPr="00037243" w:rsidRDefault="00110C23" w:rsidP="00110C23">
      <w:pPr>
        <w:pStyle w:val="B2"/>
      </w:pPr>
      <w:r w:rsidRPr="00037243">
        <w:t>-</w:t>
      </w:r>
      <w:r w:rsidRPr="00037243">
        <w:tab/>
        <w:t xml:space="preserve">if </w:t>
      </w:r>
      <w:r w:rsidR="00AB7025" w:rsidRPr="00997ADD">
        <w:rPr>
          <w:i/>
          <w:iCs/>
        </w:rPr>
        <w:t>followUnifiedTCI</w:t>
      </w:r>
      <w:r w:rsidR="00AB7025">
        <w:rPr>
          <w:i/>
          <w:iCs/>
          <w:lang w:val="en-GB"/>
        </w:rPr>
        <w:t>-S</w:t>
      </w:r>
      <w:r w:rsidR="00AB7025" w:rsidRPr="00997ADD">
        <w:rPr>
          <w:i/>
          <w:iCs/>
        </w:rPr>
        <w:t>tateSRS</w:t>
      </w:r>
      <w:r w:rsidR="00AB7025" w:rsidRPr="00037243">
        <w:t xml:space="preserve"> </w:t>
      </w:r>
      <w:r w:rsidRPr="00037243">
        <w:t xml:space="preserve">is provided for a SRS resource set, </w:t>
      </w:r>
      <w:r w:rsidRPr="00037243">
        <w:rPr>
          <w:lang w:eastAsia="ko-KR"/>
        </w:rPr>
        <w:t>the values of</w:t>
      </w:r>
      <w:r w:rsidR="00732484">
        <w:rPr>
          <w:lang w:val="en-GB" w:eastAsia="ko-KR"/>
        </w:rPr>
        <w:t xml:space="preserve"> </w:t>
      </w:r>
      <w:r w:rsidR="00732484">
        <w:rPr>
          <w:lang w:eastAsia="ko-KR"/>
        </w:rPr>
        <w:t xml:space="preserve"> </w:t>
      </w:r>
      <m:oMath>
        <m:sSub>
          <m:sSubPr>
            <m:ctrlPr>
              <w:rPr>
                <w:rFonts w:ascii="Cambria Math" w:hAnsi="Cambria Math"/>
                <w:iCs/>
              </w:rPr>
            </m:ctrlPr>
          </m:sSubPr>
          <m:e>
            <m:r>
              <w:rPr>
                <w:rFonts w:ascii="Cambria Math" w:hAnsi="Cambria Math"/>
              </w:rPr>
              <m:t>P</m:t>
            </m:r>
          </m:e>
          <m:sub>
            <m:r>
              <m:rPr>
                <m:nor/>
              </m:rPr>
              <w:rPr>
                <w:rFonts w:ascii="Cambria Math"/>
                <w:iCs/>
              </w:rPr>
              <m:t>O_UE_SRS</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sSub>
              <m:sSubPr>
                <m:ctrlPr>
                  <w:rPr>
                    <w:rFonts w:ascii="Cambria Math" w:hAnsi="Cambria Math"/>
                    <w:iCs/>
                  </w:rPr>
                </m:ctrlPr>
              </m:sSubPr>
              <m:e>
                <m:r>
                  <w:rPr>
                    <w:rFonts w:ascii="Cambria Math" w:hAnsi="Cambria Math"/>
                  </w:rPr>
                  <m:t>q</m:t>
                </m:r>
              </m:e>
              <m:sub>
                <m:r>
                  <w:rPr>
                    <w:rFonts w:ascii="Cambria Math"/>
                  </w:rPr>
                  <m:t>s</m:t>
                </m:r>
              </m:sub>
            </m:sSub>
          </m:e>
        </m:d>
      </m:oMath>
      <w:r w:rsidRPr="00037243">
        <w:t xml:space="preserve">, </w:t>
      </w:r>
      <m:oMath>
        <m:sSub>
          <m:sSubPr>
            <m:ctrlPr>
              <w:rPr>
                <w:rFonts w:ascii="Cambria Math" w:hAnsi="Cambria Math"/>
                <w:iCs/>
              </w:rPr>
            </m:ctrlPr>
          </m:sSubPr>
          <m:e>
            <m:r>
              <w:rPr>
                <w:rFonts w:ascii="Cambria Math" w:hAnsi="Cambria Math"/>
              </w:rPr>
              <m:t>α</m:t>
            </m:r>
          </m:e>
          <m:sub>
            <m:r>
              <m:rPr>
                <m:sty m:val="p"/>
              </m:rPr>
              <w:rPr>
                <w:rFonts w:ascii="Cambria Math"/>
              </w:rPr>
              <m:t>SRS</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sSub>
              <m:sSubPr>
                <m:ctrlPr>
                  <w:rPr>
                    <w:rFonts w:ascii="Cambria Math" w:hAnsi="Cambria Math"/>
                    <w:iCs/>
                  </w:rPr>
                </m:ctrlPr>
              </m:sSubPr>
              <m:e>
                <m:r>
                  <w:rPr>
                    <w:rFonts w:ascii="Cambria Math" w:hAnsi="Cambria Math"/>
                  </w:rPr>
                  <m:t>q</m:t>
                </m:r>
              </m:e>
              <m:sub>
                <m:r>
                  <w:rPr>
                    <w:rFonts w:ascii="Cambria Math"/>
                  </w:rPr>
                  <m:t>s</m:t>
                </m:r>
              </m:sub>
            </m:sSub>
          </m:e>
        </m:d>
      </m:oMath>
      <w:r w:rsidRPr="00037243">
        <w:t xml:space="preserve">, and SRS power control adjustment state </w:t>
      </w:r>
      <m:oMath>
        <m:r>
          <w:rPr>
            <w:rFonts w:ascii="Cambria Math" w:hAnsi="Cambria Math"/>
          </w:rPr>
          <m:t>l</m:t>
        </m:r>
      </m:oMath>
      <w:r w:rsidRPr="00037243">
        <w:t xml:space="preserve"> are provided by </w:t>
      </w:r>
      <w:r w:rsidR="00332B32" w:rsidRPr="009C3EBD">
        <w:rPr>
          <w:i/>
        </w:rPr>
        <w:t>p0AlphaSetforSRS</w:t>
      </w:r>
      <w:r w:rsidRPr="00037243">
        <w:t xml:space="preserve"> associated with the indicated </w:t>
      </w:r>
      <w:r w:rsidRPr="00037243">
        <w:rPr>
          <w:i/>
          <w:iCs/>
        </w:rPr>
        <w:t>TCI</w:t>
      </w:r>
      <w:r w:rsidR="00E761DC">
        <w:rPr>
          <w:i/>
          <w:iCs/>
          <w:lang w:val="en-GB"/>
        </w:rPr>
        <w:t>-</w:t>
      </w:r>
      <w:r w:rsidRPr="00037243">
        <w:rPr>
          <w:i/>
          <w:iCs/>
        </w:rPr>
        <w:t>State</w:t>
      </w:r>
      <w:r w:rsidRPr="00037243">
        <w:t xml:space="preserve"> or </w:t>
      </w:r>
      <w:r w:rsidR="00E761DC" w:rsidRPr="003D3A1B">
        <w:rPr>
          <w:i/>
          <w:iCs/>
          <w:lang w:val="en-US"/>
        </w:rPr>
        <w:t>TCI-UL-State</w:t>
      </w:r>
    </w:p>
    <w:p w14:paraId="71E4C1EF" w14:textId="0D6BDAE5" w:rsidR="00732484" w:rsidRDefault="00110C23" w:rsidP="00732484">
      <w:pPr>
        <w:pStyle w:val="B2"/>
        <w:rPr>
          <w:lang w:val="en-US"/>
        </w:rPr>
      </w:pPr>
      <w:r w:rsidRPr="00037243">
        <w:t>-</w:t>
      </w:r>
      <w:r w:rsidRPr="00037243">
        <w:tab/>
        <w:t xml:space="preserve">else, if </w:t>
      </w:r>
      <w:r w:rsidR="00AB7025" w:rsidRPr="00997ADD">
        <w:rPr>
          <w:i/>
          <w:iCs/>
        </w:rPr>
        <w:t>followUnifiedTCI</w:t>
      </w:r>
      <w:r w:rsidR="00AB7025">
        <w:rPr>
          <w:i/>
          <w:iCs/>
          <w:lang w:val="en-GB"/>
        </w:rPr>
        <w:t>-S</w:t>
      </w:r>
      <w:r w:rsidR="00AB7025" w:rsidRPr="00997ADD">
        <w:rPr>
          <w:i/>
          <w:iCs/>
        </w:rPr>
        <w:t>tateSRS</w:t>
      </w:r>
      <w:r w:rsidR="00AB7025" w:rsidRPr="00037243">
        <w:t xml:space="preserve"> </w:t>
      </w:r>
      <w:r w:rsidRPr="00037243">
        <w:t>is not provided for a SRS resource set and for a SRS resource from the SRS resource set</w:t>
      </w:r>
      <w:r>
        <w:rPr>
          <w:lang w:val="en-GB"/>
        </w:rPr>
        <w:t>,</w:t>
      </w:r>
      <w:r w:rsidRPr="00F415B1">
        <w:rPr>
          <w:lang w:eastAsia="ko-KR"/>
        </w:rPr>
        <w:t xml:space="preserve"> </w:t>
      </w:r>
      <w:r w:rsidR="00F416B2" w:rsidRPr="00F415B1">
        <w:rPr>
          <w:lang w:eastAsia="ko-KR"/>
        </w:rPr>
        <w:t xml:space="preserve">the values of </w:t>
      </w:r>
      <m:oMath>
        <m:sSub>
          <m:sSubPr>
            <m:ctrlPr>
              <w:rPr>
                <w:rFonts w:ascii="Cambria Math" w:hAnsi="Cambria Math"/>
                <w:iCs/>
              </w:rPr>
            </m:ctrlPr>
          </m:sSubPr>
          <m:e>
            <m:r>
              <w:rPr>
                <w:rFonts w:ascii="Cambria Math" w:hAnsi="Cambria Math"/>
              </w:rPr>
              <m:t>P</m:t>
            </m:r>
          </m:e>
          <m:sub>
            <m:r>
              <m:rPr>
                <m:nor/>
              </m:rPr>
              <w:rPr>
                <w:rFonts w:ascii="Cambria Math"/>
                <w:iCs/>
              </w:rPr>
              <m:t>O_UE_SRS</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sSub>
              <m:sSubPr>
                <m:ctrlPr>
                  <w:rPr>
                    <w:rFonts w:ascii="Cambria Math" w:hAnsi="Cambria Math"/>
                    <w:iCs/>
                  </w:rPr>
                </m:ctrlPr>
              </m:sSubPr>
              <m:e>
                <m:r>
                  <w:rPr>
                    <w:rFonts w:ascii="Cambria Math" w:hAnsi="Cambria Math"/>
                  </w:rPr>
                  <m:t>q</m:t>
                </m:r>
              </m:e>
              <m:sub>
                <m:r>
                  <w:rPr>
                    <w:rFonts w:ascii="Cambria Math"/>
                  </w:rPr>
                  <m:t>s</m:t>
                </m:r>
              </m:sub>
            </m:sSub>
          </m:e>
        </m:d>
      </m:oMath>
      <w:r w:rsidR="00F416B2" w:rsidRPr="00F415B1">
        <w:t xml:space="preserve">, </w:t>
      </w:r>
      <m:oMath>
        <m:sSub>
          <m:sSubPr>
            <m:ctrlPr>
              <w:rPr>
                <w:rFonts w:ascii="Cambria Math" w:hAnsi="Cambria Math"/>
                <w:iCs/>
              </w:rPr>
            </m:ctrlPr>
          </m:sSubPr>
          <m:e>
            <m:r>
              <w:rPr>
                <w:rFonts w:ascii="Cambria Math" w:hAnsi="Cambria Math"/>
              </w:rPr>
              <m:t>α</m:t>
            </m:r>
          </m:e>
          <m:sub>
            <m:r>
              <m:rPr>
                <m:sty m:val="p"/>
              </m:rPr>
              <w:rPr>
                <w:rFonts w:ascii="Cambria Math"/>
              </w:rPr>
              <m:t>SRS</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sSub>
              <m:sSubPr>
                <m:ctrlPr>
                  <w:rPr>
                    <w:rFonts w:ascii="Cambria Math" w:hAnsi="Cambria Math"/>
                    <w:iCs/>
                  </w:rPr>
                </m:ctrlPr>
              </m:sSubPr>
              <m:e>
                <m:r>
                  <w:rPr>
                    <w:rFonts w:ascii="Cambria Math" w:hAnsi="Cambria Math"/>
                  </w:rPr>
                  <m:t>q</m:t>
                </m:r>
              </m:e>
              <m:sub>
                <m:r>
                  <w:rPr>
                    <w:rFonts w:ascii="Cambria Math"/>
                  </w:rPr>
                  <m:t>s</m:t>
                </m:r>
              </m:sub>
            </m:sSub>
          </m:e>
        </m:d>
      </m:oMath>
      <w:r w:rsidR="00F416B2" w:rsidRPr="00F415B1">
        <w:t xml:space="preserve">, and </w:t>
      </w:r>
      <w:r w:rsidR="00F416B2">
        <w:t>SRS</w:t>
      </w:r>
      <w:r w:rsidR="00F416B2" w:rsidRPr="00F415B1">
        <w:t xml:space="preserve"> power control adjustment state </w:t>
      </w:r>
      <m:oMath>
        <m:r>
          <w:rPr>
            <w:rFonts w:ascii="Cambria Math" w:hAnsi="Cambria Math"/>
          </w:rPr>
          <m:t>l</m:t>
        </m:r>
      </m:oMath>
      <w:r w:rsidR="00F416B2" w:rsidRPr="00F415B1">
        <w:t xml:space="preserve"> are provided by </w:t>
      </w:r>
      <w:r w:rsidR="00332B32" w:rsidRPr="009C3EBD">
        <w:rPr>
          <w:i/>
        </w:rPr>
        <w:t>p0AlphaSetforSRS</w:t>
      </w:r>
      <w:r w:rsidR="00F416B2" w:rsidRPr="00F415B1">
        <w:t xml:space="preserve"> associated with </w:t>
      </w:r>
      <w:r w:rsidRPr="00037243">
        <w:rPr>
          <w:i/>
          <w:iCs/>
          <w:lang w:val="en-US"/>
        </w:rPr>
        <w:t>TCI</w:t>
      </w:r>
      <w:r w:rsidR="00E761DC">
        <w:rPr>
          <w:i/>
          <w:iCs/>
          <w:lang w:val="en-US"/>
        </w:rPr>
        <w:t>-</w:t>
      </w:r>
      <w:r w:rsidRPr="00037243">
        <w:rPr>
          <w:i/>
          <w:iCs/>
          <w:lang w:val="en-US"/>
        </w:rPr>
        <w:t>State</w:t>
      </w:r>
      <w:r w:rsidRPr="00037243">
        <w:rPr>
          <w:lang w:val="en-US"/>
        </w:rPr>
        <w:t xml:space="preserve"> or </w:t>
      </w:r>
      <w:r w:rsidR="00E761DC" w:rsidRPr="003D3A1B">
        <w:rPr>
          <w:i/>
          <w:iCs/>
          <w:lang w:val="en-US"/>
        </w:rPr>
        <w:t>TCI-UL-State</w:t>
      </w:r>
      <w:r>
        <w:rPr>
          <w:i/>
          <w:iCs/>
          <w:lang w:val="en-US"/>
        </w:rPr>
        <w:t xml:space="preserve"> </w:t>
      </w:r>
      <w:r w:rsidRPr="00037243">
        <w:rPr>
          <w:lang w:val="en-US"/>
        </w:rPr>
        <w:t xml:space="preserve">of an SRS resource with lowest </w:t>
      </w:r>
      <w:r w:rsidRPr="00037243">
        <w:rPr>
          <w:i/>
          <w:iCs/>
          <w:lang w:val="en-US"/>
        </w:rPr>
        <w:t>SRS-ResourceId</w:t>
      </w:r>
      <w:r w:rsidRPr="00037243">
        <w:rPr>
          <w:lang w:val="en-US"/>
        </w:rPr>
        <w:t xml:space="preserve"> in the SRS resource set and a RS index </w:t>
      </w:r>
      <m:oMath>
        <m:sSub>
          <m:sSubPr>
            <m:ctrlPr>
              <w:rPr>
                <w:rFonts w:ascii="Cambria Math" w:hAnsi="Cambria Math"/>
                <w:iCs/>
              </w:rPr>
            </m:ctrlPr>
          </m:sSubPr>
          <m:e>
            <m:r>
              <w:rPr>
                <w:rFonts w:ascii="Cambria Math" w:hAnsi="Cambria Math"/>
              </w:rPr>
              <m:t>q</m:t>
            </m:r>
          </m:e>
          <m:sub>
            <m:r>
              <w:rPr>
                <w:rFonts w:ascii="Cambria Math"/>
              </w:rPr>
              <m:t>d</m:t>
            </m:r>
          </m:sub>
        </m:sSub>
      </m:oMath>
      <w:r w:rsidRPr="00037243">
        <w:rPr>
          <w:iCs/>
          <w:lang w:val="en-US"/>
        </w:rPr>
        <w:t xml:space="preserve"> </w:t>
      </w:r>
      <w:r w:rsidRPr="00037243">
        <w:rPr>
          <w:lang w:val="en-US"/>
        </w:rPr>
        <w:t xml:space="preserve">for obtaining a pathloss estimate for the SRS transmission is provided by </w:t>
      </w:r>
      <w:r w:rsidR="00E761DC" w:rsidRPr="007F15AB">
        <w:rPr>
          <w:i/>
        </w:rPr>
        <w:t>pathlossReferenceRS-Id-r17</w:t>
      </w:r>
      <w:r w:rsidRPr="00037243">
        <w:rPr>
          <w:lang w:val="en-US"/>
        </w:rPr>
        <w:t xml:space="preserve"> associated with or included in the </w:t>
      </w:r>
      <w:r w:rsidRPr="00037243">
        <w:rPr>
          <w:i/>
          <w:iCs/>
          <w:lang w:val="en-US"/>
        </w:rPr>
        <w:t>TCI</w:t>
      </w:r>
      <w:r w:rsidR="00E761DC">
        <w:rPr>
          <w:i/>
          <w:iCs/>
          <w:lang w:val="en-US"/>
        </w:rPr>
        <w:t>-</w:t>
      </w:r>
      <w:r w:rsidRPr="00037243">
        <w:rPr>
          <w:i/>
          <w:iCs/>
          <w:lang w:val="en-US"/>
        </w:rPr>
        <w:t>State</w:t>
      </w:r>
      <w:r w:rsidRPr="00037243">
        <w:rPr>
          <w:lang w:val="en-US"/>
        </w:rPr>
        <w:t xml:space="preserve"> or </w:t>
      </w:r>
      <w:r w:rsidR="00E761DC" w:rsidRPr="003D3A1B">
        <w:rPr>
          <w:i/>
          <w:iCs/>
          <w:lang w:val="en-US"/>
        </w:rPr>
        <w:t>TCI-UL-State</w:t>
      </w:r>
      <w:r w:rsidRPr="00037243">
        <w:rPr>
          <w:lang w:val="en-US"/>
        </w:rPr>
        <w:t xml:space="preserve"> of an SRS resource with lowest </w:t>
      </w:r>
      <w:r w:rsidRPr="00037243">
        <w:rPr>
          <w:i/>
          <w:iCs/>
          <w:lang w:val="en-US"/>
        </w:rPr>
        <w:t>SRS-ResourceId</w:t>
      </w:r>
      <w:r w:rsidRPr="00037243">
        <w:rPr>
          <w:lang w:val="en-US"/>
        </w:rPr>
        <w:t xml:space="preserve"> in the SRS resource set</w:t>
      </w:r>
    </w:p>
    <w:p w14:paraId="691A1F71" w14:textId="6FF0D466" w:rsidR="00F416B2" w:rsidRPr="00F415B1" w:rsidRDefault="00000000" w:rsidP="00732484">
      <w:pPr>
        <w:pStyle w:val="B2"/>
        <w:ind w:left="567" w:firstLine="0"/>
        <w:rPr>
          <w:lang w:eastAsia="ko-KR"/>
        </w:rPr>
      </w:pPr>
      <m:oMath>
        <m:sSub>
          <m:sSubPr>
            <m:ctrlPr>
              <w:rPr>
                <w:rFonts w:ascii="Cambria Math" w:hAnsi="Cambria Math"/>
                <w:iCs/>
              </w:rPr>
            </m:ctrlPr>
          </m:sSubPr>
          <m:e>
            <m:r>
              <w:rPr>
                <w:rFonts w:ascii="Cambria Math" w:hAnsi="Cambria Math"/>
              </w:rPr>
              <m:t>P</m:t>
            </m:r>
          </m:e>
          <m:sub>
            <m:r>
              <m:rPr>
                <m:nor/>
              </m:rPr>
              <w:rPr>
                <w:rFonts w:ascii="Cambria Math"/>
                <w:iCs/>
              </w:rPr>
              <m:t>O_SRS</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sSub>
              <m:sSubPr>
                <m:ctrlPr>
                  <w:rPr>
                    <w:rFonts w:ascii="Cambria Math" w:hAnsi="Cambria Math"/>
                    <w:iCs/>
                  </w:rPr>
                </m:ctrlPr>
              </m:sSubPr>
              <m:e>
                <m:r>
                  <w:rPr>
                    <w:rFonts w:ascii="Cambria Math" w:hAnsi="Cambria Math"/>
                  </w:rPr>
                  <m:t>q</m:t>
                </m:r>
              </m:e>
              <m:sub>
                <m:r>
                  <w:rPr>
                    <w:rFonts w:ascii="Cambria Math"/>
                  </w:rPr>
                  <m:t>s</m:t>
                </m:r>
              </m:sub>
            </m:sSub>
          </m:e>
        </m:d>
      </m:oMath>
      <w:r w:rsidR="00732484">
        <w:t xml:space="preserve"> is </w:t>
      </w:r>
      <w:r w:rsidR="00732484" w:rsidRPr="002B041D">
        <w:t xml:space="preserve">the sum of </w:t>
      </w:r>
      <w:r w:rsidR="00732484">
        <w:t>the</w:t>
      </w:r>
      <w:r w:rsidR="00732484" w:rsidRPr="002B041D">
        <w:t xml:space="preserve"> component </w:t>
      </w:r>
      <m:oMath>
        <m:sSub>
          <m:sSubPr>
            <m:ctrlPr>
              <w:rPr>
                <w:rFonts w:ascii="Cambria Math" w:hAnsi="Cambria Math"/>
                <w:iCs/>
              </w:rPr>
            </m:ctrlPr>
          </m:sSubPr>
          <m:e>
            <m:r>
              <w:rPr>
                <w:rFonts w:ascii="Cambria Math" w:hAnsi="Cambria Math"/>
              </w:rPr>
              <m:t>P</m:t>
            </m:r>
          </m:e>
          <m:sub>
            <m:r>
              <m:rPr>
                <m:nor/>
              </m:rPr>
              <w:rPr>
                <w:rFonts w:ascii="Cambria Math"/>
                <w:iCs/>
              </w:rPr>
              <m:t>O_UE_SRS</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sSub>
              <m:sSubPr>
                <m:ctrlPr>
                  <w:rPr>
                    <w:rFonts w:ascii="Cambria Math" w:hAnsi="Cambria Math"/>
                    <w:iCs/>
                  </w:rPr>
                </m:ctrlPr>
              </m:sSubPr>
              <m:e>
                <m:r>
                  <w:rPr>
                    <w:rFonts w:ascii="Cambria Math" w:hAnsi="Cambria Math"/>
                  </w:rPr>
                  <m:t>q</m:t>
                </m:r>
              </m:e>
              <m:sub>
                <m:r>
                  <w:rPr>
                    <w:rFonts w:ascii="Cambria Math"/>
                  </w:rPr>
                  <m:t>s</m:t>
                </m:r>
              </m:sub>
            </m:sSub>
          </m:e>
        </m:d>
      </m:oMath>
      <w:r w:rsidR="00732484">
        <w:rPr>
          <w:iCs/>
          <w:lang w:val="en-US"/>
        </w:rPr>
        <w:t xml:space="preserve"> and </w:t>
      </w:r>
      <w:r w:rsidR="00732484" w:rsidRPr="002B041D">
        <w:t xml:space="preserve">a component </w:t>
      </w:r>
      <w:r w:rsidR="00732484">
        <w:rPr>
          <w:rFonts w:eastAsia="MS Mincho"/>
          <w:i/>
          <w:lang w:val="en-US"/>
        </w:rPr>
        <w:t>p0</w:t>
      </w:r>
      <w:r w:rsidR="00732484">
        <w:rPr>
          <w:rFonts w:eastAsia="MS Mincho"/>
          <w:lang w:val="en-US"/>
        </w:rPr>
        <w:t xml:space="preserve"> </w:t>
      </w:r>
      <w:r w:rsidR="00732484">
        <w:rPr>
          <w:lang w:val="en-US"/>
        </w:rPr>
        <w:t xml:space="preserve">provided by </w:t>
      </w:r>
      <w:r w:rsidR="00732484">
        <w:rPr>
          <w:i/>
          <w:lang w:val="en-US"/>
        </w:rPr>
        <w:t>SRS-ResourceSet</w:t>
      </w:r>
      <w:r w:rsidR="00732484">
        <w:rPr>
          <w:lang w:val="en-US"/>
        </w:rPr>
        <w:t xml:space="preserve"> corresponding to the SRS resource set.</w:t>
      </w:r>
    </w:p>
    <w:p w14:paraId="2A3528AA" w14:textId="77777777" w:rsidR="00F416B2" w:rsidRPr="00F415B1" w:rsidRDefault="00F416B2" w:rsidP="00F416B2">
      <w:pPr>
        <w:rPr>
          <w:lang w:eastAsia="ko-KR"/>
        </w:rPr>
      </w:pPr>
      <w:r w:rsidRPr="00F415B1">
        <w:rPr>
          <w:lang w:eastAsia="ko-KR"/>
        </w:rPr>
        <w:t>In the remaining of this clause, if a PDCCH reception by a UE includes two PDCCH candidates from corresponding search space sets, as described in clause 10.1</w:t>
      </w:r>
    </w:p>
    <w:p w14:paraId="5465C9D7" w14:textId="77777777" w:rsidR="00F416B2" w:rsidRPr="00F415B1" w:rsidRDefault="00F416B2" w:rsidP="00F416B2">
      <w:pPr>
        <w:pStyle w:val="B1"/>
        <w:rPr>
          <w:rFonts w:cstheme="minorHAnsi"/>
        </w:rPr>
      </w:pPr>
      <w:r w:rsidRPr="00F415B1">
        <w:t>-</w:t>
      </w:r>
      <w:r w:rsidRPr="00F415B1">
        <w:tab/>
      </w:r>
      <w:r w:rsidRPr="00F415B1">
        <w:rPr>
          <w:lang w:val="en-US" w:eastAsia="ko-KR"/>
        </w:rPr>
        <w:t>a</w:t>
      </w:r>
      <w:r w:rsidRPr="00F415B1">
        <w:rPr>
          <w:lang w:eastAsia="ko-KR"/>
        </w:rPr>
        <w:t xml:space="preserve"> PDCCH </w:t>
      </w:r>
      <w:r w:rsidRPr="00F415B1">
        <w:rPr>
          <w:lang w:val="en-US" w:eastAsia="ko-KR"/>
        </w:rPr>
        <w:t>monitoring occasion is the union of the PDCCH monitoring occasions for the two PDCCH candidates</w:t>
      </w:r>
    </w:p>
    <w:p w14:paraId="5FFD0CE7" w14:textId="77777777" w:rsidR="00F416B2" w:rsidRPr="005A07B6" w:rsidRDefault="00F416B2" w:rsidP="00F416B2">
      <w:pPr>
        <w:pStyle w:val="B1"/>
        <w:rPr>
          <w:rFonts w:cstheme="minorHAnsi"/>
          <w:lang w:val="en-US"/>
        </w:rPr>
      </w:pPr>
      <w:r w:rsidRPr="00F415B1">
        <w:t>-</w:t>
      </w:r>
      <w:r w:rsidRPr="00F415B1">
        <w:tab/>
      </w:r>
      <w:r w:rsidRPr="00F415B1">
        <w:rPr>
          <w:lang w:eastAsia="ko-KR"/>
        </w:rPr>
        <w:t xml:space="preserve">the end of the PDCCH reception </w:t>
      </w:r>
      <w:r w:rsidRPr="00F415B1">
        <w:rPr>
          <w:lang w:val="en-US" w:eastAsia="ko-KR"/>
        </w:rPr>
        <w:t>is</w:t>
      </w:r>
      <w:r w:rsidRPr="00F415B1">
        <w:rPr>
          <w:lang w:eastAsia="ko-KR"/>
        </w:rPr>
        <w:t xml:space="preserve"> the end of the PDCCH candidate</w:t>
      </w:r>
      <w:r>
        <w:rPr>
          <w:lang w:val="en-US" w:eastAsia="ko-KR"/>
        </w:rPr>
        <w:t xml:space="preserve"> that ends later</w:t>
      </w:r>
    </w:p>
    <w:p w14:paraId="296EC2EE" w14:textId="7DBD0036" w:rsidR="001B4D2B" w:rsidRPr="00BF5B42" w:rsidRDefault="00F416B2" w:rsidP="001B4D2B">
      <w:pPr>
        <w:rPr>
          <w:iCs/>
          <w:lang w:eastAsia="zh-CN"/>
        </w:rPr>
      </w:pPr>
      <w:r w:rsidRPr="00F415B1">
        <w:rPr>
          <w:lang w:eastAsia="ko-KR"/>
        </w:rPr>
        <w:t xml:space="preserve">The PDCCH reception includes the two PDCCH candidates also when </w:t>
      </w:r>
      <w:r w:rsidRPr="00F415B1">
        <w:rPr>
          <w:iCs/>
          <w:lang w:eastAsia="zh-CN"/>
        </w:rPr>
        <w:t>the UE is not required to monitor one of the two PDCCH candidates as described in clauses 10</w:t>
      </w:r>
      <w:r w:rsidR="00FF6F03">
        <w:rPr>
          <w:iCs/>
          <w:lang w:eastAsia="zh-CN"/>
        </w:rPr>
        <w:t xml:space="preserve"> </w:t>
      </w:r>
      <w:r w:rsidR="00FF6F03" w:rsidRPr="001948BB">
        <w:rPr>
          <w:iCs/>
          <w:lang w:eastAsia="zh-CN"/>
        </w:rPr>
        <w:t>(except clause 10.4)</w:t>
      </w:r>
      <w:r w:rsidRPr="00F415B1">
        <w:rPr>
          <w:iCs/>
          <w:lang w:eastAsia="zh-CN"/>
        </w:rPr>
        <w:t>, 11.1, 11.1.1</w:t>
      </w:r>
      <w:r w:rsidR="001A51E3">
        <w:rPr>
          <w:rFonts w:hint="eastAsia"/>
          <w:iCs/>
          <w:lang w:eastAsia="zh-CN"/>
        </w:rPr>
        <w:t xml:space="preserve"> and 17.2</w:t>
      </w:r>
      <w:r w:rsidRPr="00F415B1">
        <w:rPr>
          <w:iCs/>
          <w:lang w:eastAsia="zh-CN"/>
        </w:rPr>
        <w:t>.</w:t>
      </w:r>
    </w:p>
    <w:p w14:paraId="32A6A505" w14:textId="77777777" w:rsidR="0087714D" w:rsidRPr="00B916EC" w:rsidRDefault="0087714D" w:rsidP="0087714D">
      <w:pPr>
        <w:pStyle w:val="Heading2"/>
      </w:pPr>
      <w:bookmarkStart w:id="151" w:name="_Toc12021445"/>
      <w:bookmarkStart w:id="152" w:name="_Toc20311557"/>
      <w:bookmarkStart w:id="153" w:name="_Toc26719382"/>
      <w:bookmarkStart w:id="154" w:name="_Toc29894813"/>
      <w:bookmarkStart w:id="155" w:name="_Toc29899112"/>
      <w:bookmarkStart w:id="156" w:name="_Toc29899530"/>
      <w:bookmarkStart w:id="157" w:name="_Toc29917267"/>
      <w:bookmarkStart w:id="158" w:name="_Toc36498141"/>
      <w:bookmarkStart w:id="159" w:name="_Toc45699167"/>
      <w:bookmarkStart w:id="160" w:name="_Toc161999092"/>
      <w:r w:rsidRPr="00B916EC">
        <w:t>7.1</w:t>
      </w:r>
      <w:r w:rsidRPr="00B916EC">
        <w:tab/>
        <w:t>Physical uplink shared channel</w:t>
      </w:r>
      <w:bookmarkEnd w:id="151"/>
      <w:bookmarkEnd w:id="152"/>
      <w:bookmarkEnd w:id="153"/>
      <w:bookmarkEnd w:id="154"/>
      <w:bookmarkEnd w:id="155"/>
      <w:bookmarkEnd w:id="156"/>
      <w:bookmarkEnd w:id="157"/>
      <w:bookmarkEnd w:id="158"/>
      <w:bookmarkEnd w:id="159"/>
      <w:bookmarkEnd w:id="160"/>
    </w:p>
    <w:bookmarkEnd w:id="150"/>
    <w:p w14:paraId="2129D63F" w14:textId="7F4603EB" w:rsidR="00F71D74" w:rsidRPr="0047180A" w:rsidRDefault="00F60D8B" w:rsidP="00F71D74">
      <w:pPr>
        <w:rPr>
          <w:lang w:val="en-AU" w:eastAsia="zh-CN"/>
        </w:rPr>
      </w:pPr>
      <w:r w:rsidRPr="00B916EC">
        <w:rPr>
          <w:lang w:eastAsia="zh-CN"/>
        </w:rPr>
        <w:t xml:space="preserve">For </w:t>
      </w:r>
      <w:r>
        <w:rPr>
          <w:lang w:eastAsia="zh-CN"/>
        </w:rPr>
        <w:t xml:space="preserve">a </w:t>
      </w:r>
      <w:r w:rsidRPr="00B916EC">
        <w:rPr>
          <w:lang w:eastAsia="zh-CN"/>
        </w:rPr>
        <w:t>PUSCH</w:t>
      </w:r>
      <w:r>
        <w:rPr>
          <w:lang w:eastAsia="zh-CN"/>
        </w:rPr>
        <w:t xml:space="preserve"> transmission</w:t>
      </w:r>
      <w:r w:rsidRPr="00B916EC">
        <w:rPr>
          <w:iCs/>
        </w:rPr>
        <w:t xml:space="preserve"> </w:t>
      </w:r>
      <w:r w:rsidRPr="00B916EC">
        <w:t xml:space="preserve">on </w:t>
      </w:r>
      <w:r>
        <w:t>active UL BWP</w:t>
      </w:r>
      <w:r w:rsidR="00736188">
        <w:t xml:space="preserve"> </w:t>
      </w:r>
      <m:oMath>
        <m:r>
          <w:rPr>
            <w:rFonts w:ascii="Cambria Math" w:hAnsi="Cambria Math"/>
          </w:rPr>
          <m:t>b</m:t>
        </m:r>
      </m:oMath>
      <w:r w:rsidR="00736188">
        <w:rPr>
          <w:iCs/>
        </w:rPr>
        <w:t xml:space="preserve">, as described </w:t>
      </w:r>
      <w:r w:rsidR="006F5F9E">
        <w:rPr>
          <w:iCs/>
        </w:rPr>
        <w:t>in clause</w:t>
      </w:r>
      <w:r w:rsidR="00736188">
        <w:rPr>
          <w:iCs/>
        </w:rPr>
        <w:t xml:space="preserve"> 12, of </w:t>
      </w:r>
      <w:r w:rsidR="00736188" w:rsidRPr="00B916EC">
        <w:t xml:space="preserve">carrier </w:t>
      </w:r>
      <m:oMath>
        <m:r>
          <w:rPr>
            <w:rFonts w:ascii="Cambria Math" w:hAnsi="Cambria Math"/>
          </w:rPr>
          <m:t>f</m:t>
        </m:r>
      </m:oMath>
      <w:r w:rsidR="00736188" w:rsidRPr="00B916EC">
        <w:rPr>
          <w:iCs/>
        </w:rPr>
        <w:t xml:space="preserve"> of </w:t>
      </w:r>
      <w:r w:rsidR="00736188" w:rsidRPr="00B916EC">
        <w:t xml:space="preserve">serving cell </w:t>
      </w:r>
      <m:oMath>
        <m:r>
          <w:rPr>
            <w:rFonts w:ascii="Cambria Math" w:hAnsi="Cambria Math"/>
          </w:rPr>
          <m:t>c</m:t>
        </m:r>
      </m:oMath>
      <w:r w:rsidR="00736188" w:rsidRPr="00B916EC">
        <w:rPr>
          <w:iCs/>
        </w:rPr>
        <w:t xml:space="preserve">, </w:t>
      </w:r>
      <w:r w:rsidR="00736188" w:rsidRPr="00B916EC">
        <w:rPr>
          <w:lang w:eastAsia="zh-CN"/>
        </w:rPr>
        <w:t xml:space="preserve">a UE first </w:t>
      </w:r>
      <w:r w:rsidR="00736188" w:rsidRPr="00C6383D">
        <w:t>calculates</w:t>
      </w:r>
      <w:r w:rsidR="00736188" w:rsidRPr="00B916EC">
        <w:rPr>
          <w:lang w:eastAsia="zh-CN"/>
        </w:rPr>
        <w:t xml:space="preserve"> a linear value </w:t>
      </w:r>
      <m:oMath>
        <m:sSub>
          <m:sSubPr>
            <m:ctrlPr>
              <w:rPr>
                <w:rFonts w:ascii="Cambria Math" w:hAnsi="Cambria Math"/>
                <w:iCs/>
              </w:rPr>
            </m:ctrlPr>
          </m:sSubPr>
          <m:e>
            <m:acc>
              <m:accPr>
                <m:ctrlPr>
                  <w:rPr>
                    <w:rFonts w:ascii="Cambria Math" w:hAnsi="Cambria Math"/>
                    <w:iCs/>
                  </w:rPr>
                </m:ctrlPr>
              </m:accPr>
              <m:e>
                <m:r>
                  <w:rPr>
                    <w:rFonts w:ascii="Cambria Math"/>
                  </w:rPr>
                  <m:t>P</m:t>
                </m:r>
              </m:e>
            </m:acc>
          </m:e>
          <m:sub>
            <m:r>
              <m:rPr>
                <m:nor/>
              </m:rPr>
              <w:rPr>
                <w:rFonts w:ascii="Cambria Math"/>
                <w:iCs/>
              </w:rPr>
              <m:t>PUSCH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r>
          <w:rPr>
            <w:rFonts w:ascii="Cambria Math"/>
          </w:rPr>
          <m:t>i</m:t>
        </m:r>
        <m:r>
          <m:rPr>
            <m:sty m:val="p"/>
          </m:rPr>
          <w:rPr>
            <w:rFonts w:ascii="Cambria Math"/>
          </w:rPr>
          <m:t>,</m:t>
        </m:r>
        <m:r>
          <w:rPr>
            <w:rFonts w:ascii="Cambria Math"/>
          </w:rPr>
          <m:t>j</m:t>
        </m:r>
        <m:r>
          <m:rPr>
            <m:sty m:val="p"/>
          </m:rPr>
          <w:rPr>
            <w:rFonts w:ascii="Cambria Math"/>
          </w:rPr>
          <m:t>,</m:t>
        </m:r>
        <m:sSub>
          <m:sSubPr>
            <m:ctrlPr>
              <w:rPr>
                <w:rFonts w:ascii="Cambria Math" w:hAnsi="Cambria Math"/>
                <w:iCs/>
              </w:rPr>
            </m:ctrlPr>
          </m:sSubPr>
          <m:e>
            <m:r>
              <w:rPr>
                <w:rFonts w:ascii="Cambria Math"/>
              </w:rPr>
              <m:t>q</m:t>
            </m:r>
          </m:e>
          <m:sub>
            <m:r>
              <w:rPr>
                <w:rFonts w:ascii="Cambria Math"/>
              </w:rPr>
              <m:t>d</m:t>
            </m:r>
          </m:sub>
        </m:sSub>
        <m:r>
          <m:rPr>
            <m:sty m:val="p"/>
          </m:rPr>
          <w:rPr>
            <w:rFonts w:ascii="Cambria Math"/>
          </w:rPr>
          <m:t>,</m:t>
        </m:r>
        <m:r>
          <w:rPr>
            <w:rFonts w:ascii="Cambria Math"/>
          </w:rPr>
          <m:t>l</m:t>
        </m:r>
        <m:r>
          <m:rPr>
            <m:sty m:val="p"/>
          </m:rPr>
          <w:rPr>
            <w:rFonts w:ascii="Cambria Math"/>
          </w:rPr>
          <m:t>)</m:t>
        </m:r>
      </m:oMath>
      <w:r w:rsidR="00736188" w:rsidRPr="00B916EC">
        <w:rPr>
          <w:iCs/>
        </w:rPr>
        <w:t xml:space="preserve"> of the </w:t>
      </w:r>
      <w:r w:rsidR="00736188" w:rsidRPr="00B916EC">
        <w:rPr>
          <w:lang w:eastAsia="zh-CN"/>
        </w:rPr>
        <w:t xml:space="preserve">transmit power </w:t>
      </w:r>
      <m:oMath>
        <m:sSub>
          <m:sSubPr>
            <m:ctrlPr>
              <w:rPr>
                <w:rFonts w:ascii="Cambria Math" w:hAnsi="Cambria Math"/>
                <w:iCs/>
              </w:rPr>
            </m:ctrlPr>
          </m:sSubPr>
          <m:e>
            <m:r>
              <w:rPr>
                <w:rFonts w:ascii="Cambria Math" w:hAnsi="Cambria Math"/>
              </w:rPr>
              <m:t>P</m:t>
            </m:r>
          </m:e>
          <m:sub>
            <m:r>
              <m:rPr>
                <m:nor/>
              </m:rPr>
              <w:rPr>
                <w:rFonts w:ascii="Cambria Math"/>
                <w:iCs/>
              </w:rPr>
              <m:t>PUSCH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r>
          <w:rPr>
            <w:rFonts w:ascii="Cambria Math"/>
          </w:rPr>
          <m:t>i</m:t>
        </m:r>
        <m:r>
          <m:rPr>
            <m:sty m:val="p"/>
          </m:rPr>
          <w:rPr>
            <w:rFonts w:ascii="Cambria Math"/>
          </w:rPr>
          <m:t>,</m:t>
        </m:r>
        <m:r>
          <w:rPr>
            <w:rFonts w:ascii="Cambria Math"/>
          </w:rPr>
          <m:t>j</m:t>
        </m:r>
        <m:r>
          <m:rPr>
            <m:sty m:val="p"/>
          </m:rPr>
          <w:rPr>
            <w:rFonts w:ascii="Cambria Math"/>
          </w:rPr>
          <m:t>,</m:t>
        </m:r>
        <m:sSub>
          <m:sSubPr>
            <m:ctrlPr>
              <w:rPr>
                <w:rFonts w:ascii="Cambria Math" w:hAnsi="Cambria Math"/>
                <w:iCs/>
              </w:rPr>
            </m:ctrlPr>
          </m:sSubPr>
          <m:e>
            <m:r>
              <w:rPr>
                <w:rFonts w:ascii="Cambria Math"/>
              </w:rPr>
              <m:t>q</m:t>
            </m:r>
          </m:e>
          <m:sub>
            <m:r>
              <w:rPr>
                <w:rFonts w:ascii="Cambria Math"/>
              </w:rPr>
              <m:t>d</m:t>
            </m:r>
          </m:sub>
        </m:sSub>
        <m:r>
          <m:rPr>
            <m:sty m:val="p"/>
          </m:rPr>
          <w:rPr>
            <w:rFonts w:ascii="Cambria Math"/>
          </w:rPr>
          <m:t>,</m:t>
        </m:r>
        <m:r>
          <w:rPr>
            <w:rFonts w:ascii="Cambria Math"/>
          </w:rPr>
          <m:t>l</m:t>
        </m:r>
        <m:r>
          <m:rPr>
            <m:sty m:val="p"/>
          </m:rPr>
          <w:rPr>
            <w:rFonts w:ascii="Cambria Math"/>
          </w:rPr>
          <m:t>)</m:t>
        </m:r>
      </m:oMath>
      <w:r>
        <w:rPr>
          <w:iCs/>
        </w:rPr>
        <w:t xml:space="preserve">, </w:t>
      </w:r>
      <w:r w:rsidRPr="00B916EC">
        <w:rPr>
          <w:iCs/>
        </w:rPr>
        <w:t xml:space="preserve">with parameters as defined </w:t>
      </w:r>
      <w:r w:rsidR="006F5F9E">
        <w:rPr>
          <w:iCs/>
        </w:rPr>
        <w:t>in clause</w:t>
      </w:r>
      <w:r>
        <w:rPr>
          <w:iCs/>
        </w:rPr>
        <w:t xml:space="preserve"> 7.1.1</w:t>
      </w:r>
      <w:r w:rsidR="008B39D7" w:rsidRPr="00C6383D">
        <w:rPr>
          <w:iCs/>
        </w:rPr>
        <w:t xml:space="preserve">. </w:t>
      </w:r>
      <w:r w:rsidR="00791E00">
        <w:rPr>
          <w:iCs/>
        </w:rPr>
        <w:t>For a</w:t>
      </w:r>
      <w:r w:rsidR="008B39D7" w:rsidRPr="00C6383D">
        <w:rPr>
          <w:lang w:val="en-AU"/>
        </w:rPr>
        <w:t xml:space="preserve"> PUSCH transmission scheduled by </w:t>
      </w:r>
      <w:r w:rsidR="008B39D7">
        <w:rPr>
          <w:lang w:val="en-AU"/>
        </w:rPr>
        <w:t xml:space="preserve">a </w:t>
      </w:r>
      <w:r w:rsidR="008B39D7" w:rsidRPr="00C6383D">
        <w:rPr>
          <w:lang w:val="en-AU"/>
        </w:rPr>
        <w:t xml:space="preserve">DCI format </w:t>
      </w:r>
      <w:r w:rsidR="00F70324">
        <w:rPr>
          <w:lang w:val="en-AU"/>
        </w:rPr>
        <w:t xml:space="preserve">other than DCI format 0_0, </w:t>
      </w:r>
      <w:r w:rsidR="00791E00" w:rsidRPr="002A3D62">
        <w:rPr>
          <w:rFonts w:hint="eastAsia"/>
          <w:lang w:val="en-AU" w:eastAsia="zh-CN"/>
        </w:rPr>
        <w:t xml:space="preserve">or </w:t>
      </w:r>
      <w:r w:rsidR="00791E00" w:rsidRPr="002A3D62">
        <w:t xml:space="preserve">configured by </w:t>
      </w:r>
      <w:r w:rsidR="00791E00" w:rsidRPr="002A3D62">
        <w:rPr>
          <w:i/>
          <w:iCs/>
        </w:rPr>
        <w:t>ConfiguredGrantConfig</w:t>
      </w:r>
      <w:r w:rsidR="00791E00" w:rsidRPr="002A3D62">
        <w:t xml:space="preserve"> or</w:t>
      </w:r>
      <w:r w:rsidR="00791E00" w:rsidRPr="002A3D62">
        <w:rPr>
          <w:i/>
          <w:iCs/>
        </w:rPr>
        <w:t xml:space="preserve"> semiPersistentOnPUSCH</w:t>
      </w:r>
      <w:r w:rsidR="00791E00">
        <w:t>, if</w:t>
      </w:r>
      <w:r w:rsidR="008B39D7" w:rsidRPr="00C6383D">
        <w:rPr>
          <w:lang w:val="en-AU"/>
        </w:rPr>
        <w:t xml:space="preserve"> </w:t>
      </w:r>
      <w:r w:rsidR="008B39D7" w:rsidRPr="00C6383D">
        <w:rPr>
          <w:i/>
          <w:lang w:val="en-AU"/>
        </w:rPr>
        <w:t>txConfig</w:t>
      </w:r>
      <w:r w:rsidR="008B39D7" w:rsidRPr="00C6383D">
        <w:rPr>
          <w:lang w:val="en-AU"/>
        </w:rPr>
        <w:t xml:space="preserve"> in </w:t>
      </w:r>
      <w:r w:rsidR="008B39D7" w:rsidRPr="00C6383D">
        <w:rPr>
          <w:i/>
          <w:lang w:val="en-AU"/>
        </w:rPr>
        <w:t>PUSCH-Config</w:t>
      </w:r>
      <w:r w:rsidR="008B39D7" w:rsidRPr="00C6383D">
        <w:rPr>
          <w:lang w:val="en-AU"/>
        </w:rPr>
        <w:t xml:space="preserve"> is set to 'codebook'</w:t>
      </w:r>
      <w:r w:rsidR="00F71D74" w:rsidRPr="0047180A">
        <w:rPr>
          <w:lang w:val="en-AU"/>
        </w:rPr>
        <w:t xml:space="preserve">, </w:t>
      </w:r>
    </w:p>
    <w:p w14:paraId="5D0CF83D" w14:textId="57D46A2B" w:rsidR="00F71D74" w:rsidRPr="006438F3" w:rsidRDefault="00F71D74" w:rsidP="0047180A">
      <w:pPr>
        <w:pStyle w:val="B1"/>
      </w:pPr>
      <w:r w:rsidRPr="006438F3">
        <w:rPr>
          <w:lang w:eastAsia="zh-CN"/>
        </w:rPr>
        <w:t>-</w:t>
      </w:r>
      <w:r w:rsidRPr="006438F3">
        <w:rPr>
          <w:lang w:eastAsia="zh-CN"/>
        </w:rPr>
        <w:tab/>
        <w:t xml:space="preserve">if </w:t>
      </w:r>
      <w:r w:rsidR="00F70324" w:rsidRPr="00A77CA3">
        <w:rPr>
          <w:i/>
          <w:iCs/>
        </w:rPr>
        <w:t>ul-FullPowerTransmission</w:t>
      </w:r>
      <w:r w:rsidRPr="006438F3">
        <w:t xml:space="preserve"> </w:t>
      </w:r>
      <w:r w:rsidRPr="006438F3">
        <w:rPr>
          <w:lang w:val="en-AU"/>
        </w:rPr>
        <w:t xml:space="preserve">in </w:t>
      </w:r>
      <w:r w:rsidRPr="006438F3">
        <w:rPr>
          <w:i/>
          <w:iCs/>
          <w:lang w:val="en-AU"/>
        </w:rPr>
        <w:t>PUSCH-Config</w:t>
      </w:r>
      <w:r w:rsidRPr="006438F3">
        <w:rPr>
          <w:lang w:val="en-AU"/>
        </w:rPr>
        <w:t xml:space="preserve"> </w:t>
      </w:r>
      <w:r w:rsidRPr="006438F3">
        <w:t xml:space="preserve">is provided, </w:t>
      </w:r>
      <w:r w:rsidRPr="006438F3">
        <w:rPr>
          <w:iCs/>
        </w:rPr>
        <w:t xml:space="preserve">the UE scales </w:t>
      </w:r>
      <m:oMath>
        <m:sSub>
          <m:sSubPr>
            <m:ctrlPr>
              <w:rPr>
                <w:rFonts w:ascii="Cambria Math" w:hAnsi="Cambria Math"/>
                <w:iCs/>
              </w:rPr>
            </m:ctrlPr>
          </m:sSubPr>
          <m:e>
            <m:acc>
              <m:accPr>
                <m:ctrlPr>
                  <w:rPr>
                    <w:rFonts w:ascii="Cambria Math" w:hAnsi="Cambria Math"/>
                    <w:iCs/>
                  </w:rPr>
                </m:ctrlPr>
              </m:accPr>
              <m:e>
                <m:r>
                  <w:rPr>
                    <w:rFonts w:ascii="Cambria Math" w:hAnsi="Cambria Math"/>
                  </w:rPr>
                  <m:t>P</m:t>
                </m:r>
              </m:e>
            </m:acc>
          </m:e>
          <m:sub>
            <m:r>
              <m:rPr>
                <m:nor/>
              </m:rPr>
              <w:rPr>
                <w:iCs/>
              </w:rPr>
              <m:t>PUSCH</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iCs/>
              </w:rPr>
            </m:ctrlPr>
          </m:sSubPr>
          <m:e>
            <m:r>
              <w:rPr>
                <w:rFonts w:ascii="Cambria Math" w:hAnsi="Cambria Math"/>
              </w:rPr>
              <m:t>q</m:t>
            </m:r>
          </m:e>
          <m:sub>
            <m:r>
              <w:rPr>
                <w:rFonts w:ascii="Cambria Math" w:hAnsi="Cambria Math"/>
              </w:rPr>
              <m:t>d</m:t>
            </m:r>
          </m:sub>
        </m:sSub>
        <m:r>
          <m:rPr>
            <m:sty m:val="p"/>
          </m:rPr>
          <w:rPr>
            <w:rFonts w:ascii="Cambria Math" w:hAnsi="Cambria Math"/>
          </w:rPr>
          <m:t>,</m:t>
        </m:r>
        <m:r>
          <w:rPr>
            <w:rFonts w:ascii="Cambria Math" w:hAnsi="Cambria Math"/>
          </w:rPr>
          <m:t>l</m:t>
        </m:r>
        <m:r>
          <m:rPr>
            <m:sty m:val="p"/>
          </m:rPr>
          <w:rPr>
            <w:rFonts w:ascii="Cambria Math" w:hAnsi="Cambria Math"/>
          </w:rPr>
          <m:t>)</m:t>
        </m:r>
      </m:oMath>
      <w:r w:rsidRPr="006438F3">
        <w:rPr>
          <w:lang w:eastAsia="zh-CN"/>
        </w:rPr>
        <w:t xml:space="preserve"> by </w:t>
      </w:r>
      <m:oMath>
        <m:r>
          <w:rPr>
            <w:rFonts w:ascii="Cambria Math" w:hAnsi="Cambria Math"/>
          </w:rPr>
          <m:t>s</m:t>
        </m:r>
      </m:oMath>
      <w:r w:rsidRPr="006438F3">
        <w:rPr>
          <w:iCs/>
        </w:rPr>
        <w:t xml:space="preserve"> where:</w:t>
      </w:r>
    </w:p>
    <w:p w14:paraId="559C35B1" w14:textId="1B4103EB" w:rsidR="00F71D74" w:rsidRPr="006438F3" w:rsidRDefault="00F71D74" w:rsidP="0047180A">
      <w:pPr>
        <w:pStyle w:val="B2"/>
      </w:pPr>
      <w:r w:rsidRPr="006438F3">
        <w:t>-</w:t>
      </w:r>
      <w:r w:rsidRPr="006438F3">
        <w:tab/>
        <w:t xml:space="preserve">if </w:t>
      </w:r>
      <w:r w:rsidR="00F70324" w:rsidRPr="00A77CA3">
        <w:rPr>
          <w:i/>
          <w:iCs/>
        </w:rPr>
        <w:t>ul-FullPowerTransmission</w:t>
      </w:r>
      <w:r w:rsidRPr="006438F3">
        <w:t xml:space="preserve"> in </w:t>
      </w:r>
      <w:r w:rsidRPr="006438F3">
        <w:rPr>
          <w:i/>
          <w:iCs/>
        </w:rPr>
        <w:t>PUSCH-Config</w:t>
      </w:r>
      <w:r w:rsidRPr="006438F3">
        <w:t xml:space="preserve"> is set to </w:t>
      </w:r>
      <w:r w:rsidR="00F70324" w:rsidRPr="00A77CA3">
        <w:rPr>
          <w:i/>
          <w:iCs/>
        </w:rPr>
        <w:t>fullpowerMode1</w:t>
      </w:r>
      <w:r w:rsidRPr="006438F3">
        <w:t xml:space="preserve">, and each SRS resource in the </w:t>
      </w:r>
      <w:r w:rsidRPr="006438F3">
        <w:rPr>
          <w:i/>
          <w:iCs/>
        </w:rPr>
        <w:t>SRS-ResourceSet</w:t>
      </w:r>
      <w:r w:rsidRPr="006438F3">
        <w:t xml:space="preserve"> with </w:t>
      </w:r>
      <w:r w:rsidRPr="006438F3">
        <w:rPr>
          <w:i/>
          <w:iCs/>
        </w:rPr>
        <w:t>usage</w:t>
      </w:r>
      <w:r w:rsidRPr="006438F3">
        <w:t xml:space="preserve"> set to 'codebook' has more than one SRS port, </w:t>
      </w:r>
      <m:oMath>
        <m:r>
          <w:rPr>
            <w:rFonts w:ascii="Cambria Math"/>
          </w:rPr>
          <m:t>s</m:t>
        </m:r>
      </m:oMath>
      <w:r w:rsidRPr="006438F3">
        <w:rPr>
          <w:iCs/>
        </w:rPr>
        <w:t xml:space="preserve"> is</w:t>
      </w:r>
      <w:r w:rsidRPr="006438F3">
        <w:rPr>
          <w:lang w:eastAsia="zh-CN"/>
        </w:rPr>
        <w:t xml:space="preserve"> the ratio of a number of antenna ports with non-zero PUSCH transmission power over the maximum number of </w:t>
      </w:r>
      <w:r w:rsidRPr="006438F3">
        <w:t>SRS ports supported by the UE in one SRS resource</w:t>
      </w:r>
    </w:p>
    <w:p w14:paraId="5CE69A99" w14:textId="727C86CE" w:rsidR="00F70324" w:rsidRPr="006438F3" w:rsidRDefault="00F71D74" w:rsidP="0047180A">
      <w:pPr>
        <w:pStyle w:val="B2"/>
      </w:pPr>
      <w:r w:rsidRPr="006438F3">
        <w:t>-</w:t>
      </w:r>
      <w:r w:rsidRPr="006438F3">
        <w:tab/>
        <w:t xml:space="preserve">if </w:t>
      </w:r>
      <w:r w:rsidR="00F70324" w:rsidRPr="00A77CA3">
        <w:rPr>
          <w:i/>
          <w:iCs/>
        </w:rPr>
        <w:t>ul-FullPowerTransmission</w:t>
      </w:r>
      <w:r w:rsidRPr="006438F3">
        <w:t xml:space="preserve"> in </w:t>
      </w:r>
      <w:r w:rsidRPr="006438F3">
        <w:rPr>
          <w:i/>
          <w:iCs/>
        </w:rPr>
        <w:t>PUSCH-Config</w:t>
      </w:r>
      <w:r w:rsidRPr="006438F3">
        <w:t xml:space="preserve"> is set to </w:t>
      </w:r>
      <w:r w:rsidR="00F70324" w:rsidRPr="00A77CA3">
        <w:rPr>
          <w:i/>
          <w:iCs/>
        </w:rPr>
        <w:t>fullpowerMode</w:t>
      </w:r>
      <w:r w:rsidR="00F70324" w:rsidRPr="00A77CA3">
        <w:rPr>
          <w:i/>
          <w:iCs/>
          <w:lang w:val="en-US"/>
        </w:rPr>
        <w:t>2</w:t>
      </w:r>
      <w:r w:rsidRPr="006438F3">
        <w:t xml:space="preserve">, </w:t>
      </w:r>
    </w:p>
    <w:p w14:paraId="5733625C" w14:textId="64FC3874" w:rsidR="00F70324" w:rsidRPr="00B00012" w:rsidRDefault="00F70324" w:rsidP="00F70324">
      <w:pPr>
        <w:pStyle w:val="B2"/>
        <w:ind w:left="1136" w:hanging="285"/>
      </w:pPr>
      <w:r>
        <w:rPr>
          <w:lang w:val="en-US"/>
        </w:rPr>
        <w:t>-</w:t>
      </w:r>
      <w:r>
        <w:rPr>
          <w:lang w:val="en-US"/>
        </w:rPr>
        <w:tab/>
      </w:r>
      <m:oMath>
        <m:r>
          <w:rPr>
            <w:rFonts w:ascii="Cambria Math"/>
          </w:rPr>
          <m:t>s</m:t>
        </m:r>
        <m:r>
          <m:rPr>
            <m:sty m:val="p"/>
          </m:rPr>
          <w:rPr>
            <w:rFonts w:ascii="Cambria Math"/>
          </w:rPr>
          <m:t>=1</m:t>
        </m:r>
      </m:oMath>
      <w:r w:rsidR="00F71D74" w:rsidRPr="0047180A">
        <w:t xml:space="preserve"> for full power TPMIs</w:t>
      </w:r>
      <w:r w:rsidR="00F71D74" w:rsidRPr="0047180A">
        <w:rPr>
          <w:iCs/>
        </w:rPr>
        <w:t xml:space="preserve"> </w:t>
      </w:r>
      <w:r w:rsidR="00F71D74" w:rsidRPr="0047180A">
        <w:rPr>
          <w:rFonts w:eastAsia="DengXian" w:hint="eastAsia"/>
          <w:iCs/>
          <w:lang w:eastAsia="zh-CN"/>
        </w:rPr>
        <w:t xml:space="preserve">reported by the UE </w:t>
      </w:r>
      <w:r w:rsidR="00F71D74" w:rsidRPr="0047180A">
        <w:rPr>
          <w:rFonts w:eastAsia="DengXian"/>
          <w:iCs/>
          <w:lang w:eastAsia="zh-CN"/>
        </w:rPr>
        <w:t>[</w:t>
      </w:r>
      <w:r w:rsidR="00004240" w:rsidRPr="0047180A">
        <w:rPr>
          <w:rFonts w:eastAsia="DengXian"/>
          <w:iCs/>
          <w:lang w:eastAsia="zh-CN"/>
        </w:rPr>
        <w:t>1</w:t>
      </w:r>
      <w:r w:rsidR="00004240">
        <w:rPr>
          <w:rFonts w:eastAsia="DengXian"/>
          <w:iCs/>
          <w:lang w:val="en-GB" w:eastAsia="zh-CN"/>
        </w:rPr>
        <w:t>8</w:t>
      </w:r>
      <w:r w:rsidR="00F71D74" w:rsidRPr="0047180A">
        <w:rPr>
          <w:rFonts w:eastAsia="DengXian"/>
          <w:iCs/>
          <w:lang w:eastAsia="zh-CN"/>
        </w:rPr>
        <w:t xml:space="preserve">, TS 38.306], </w:t>
      </w:r>
      <w:r w:rsidR="00F71D74" w:rsidRPr="0047180A">
        <w:rPr>
          <w:iCs/>
        </w:rPr>
        <w:t xml:space="preserve">and </w:t>
      </w:r>
      <m:oMath>
        <m:r>
          <w:rPr>
            <w:rFonts w:ascii="Cambria Math"/>
          </w:rPr>
          <m:t>s</m:t>
        </m:r>
      </m:oMath>
      <w:r w:rsidR="00F71D74" w:rsidRPr="0047180A">
        <w:rPr>
          <w:iCs/>
        </w:rPr>
        <w:t xml:space="preserve"> </w:t>
      </w:r>
      <w:r w:rsidR="00F71D74" w:rsidRPr="0047180A">
        <w:t xml:space="preserve">is </w:t>
      </w:r>
      <w:r w:rsidR="00F71D74" w:rsidRPr="0047180A">
        <w:rPr>
          <w:lang w:eastAsia="zh-CN"/>
        </w:rPr>
        <w:t xml:space="preserve">the ratio of a number of antenna ports with non-zero PUSCH transmission power over a number of </w:t>
      </w:r>
      <w:r w:rsidR="00F71D74" w:rsidRPr="0047180A">
        <w:t xml:space="preserve">SRS ports </w:t>
      </w:r>
      <w:r w:rsidR="00F71D74" w:rsidRPr="0047180A">
        <w:rPr>
          <w:iCs/>
        </w:rPr>
        <w:t>for remaining TPMIs</w:t>
      </w:r>
      <w:r w:rsidR="00F71D74" w:rsidRPr="0047180A">
        <w:t>, where the number of SRS ports is associated with a</w:t>
      </w:r>
      <w:r w:rsidR="006438F3">
        <w:rPr>
          <w:lang w:val="en-US"/>
        </w:rPr>
        <w:t>n</w:t>
      </w:r>
      <w:r w:rsidR="00F71D74" w:rsidRPr="0047180A">
        <w:t xml:space="preserve"> SRS resource indicated by </w:t>
      </w:r>
      <w:r w:rsidRPr="00B00012">
        <w:rPr>
          <w:lang w:val="en-US"/>
        </w:rPr>
        <w:t>a</w:t>
      </w:r>
      <w:r w:rsidR="006438F3">
        <w:rPr>
          <w:lang w:val="en-US"/>
        </w:rPr>
        <w:t>n</w:t>
      </w:r>
      <w:r w:rsidRPr="00B00012">
        <w:rPr>
          <w:lang w:val="en-US"/>
        </w:rPr>
        <w:t xml:space="preserve"> </w:t>
      </w:r>
      <w:r w:rsidRPr="00B00012">
        <w:t xml:space="preserve">SRI </w:t>
      </w:r>
      <w:r w:rsidRPr="00B00012">
        <w:rPr>
          <w:lang w:val="en-US"/>
        </w:rPr>
        <w:t>field in a DCI format scheduling the PUSCH transmission</w:t>
      </w:r>
      <w:r w:rsidR="00F71D74" w:rsidRPr="0047180A">
        <w:t xml:space="preserve"> if more than one SRS resource</w:t>
      </w:r>
      <w:r>
        <w:t xml:space="preserve"> is</w:t>
      </w:r>
      <w:r w:rsidR="00F71D74" w:rsidRPr="0047180A">
        <w:t xml:space="preserve"> configured in the </w:t>
      </w:r>
      <w:r w:rsidR="00F71D74" w:rsidRPr="00833A06">
        <w:rPr>
          <w:i/>
          <w:iCs/>
        </w:rPr>
        <w:t>SRS-ResourceSet</w:t>
      </w:r>
      <w:r w:rsidR="00F71D74" w:rsidRPr="0047180A">
        <w:t xml:space="preserve"> with </w:t>
      </w:r>
      <w:r w:rsidR="00F71D74" w:rsidRPr="00833A06">
        <w:rPr>
          <w:i/>
          <w:iCs/>
        </w:rPr>
        <w:t>usage</w:t>
      </w:r>
      <w:r w:rsidR="00F71D74" w:rsidRPr="0047180A">
        <w:t xml:space="preserve"> set to </w:t>
      </w:r>
      <w:r w:rsidR="00D93480">
        <w:t>'</w:t>
      </w:r>
      <w:r w:rsidR="00F71D74" w:rsidRPr="0047180A">
        <w:t>codebook</w:t>
      </w:r>
      <w:r w:rsidR="00D93480">
        <w:t>'</w:t>
      </w:r>
      <w:r w:rsidR="00F71D74" w:rsidRPr="0047180A">
        <w:t xml:space="preserve">, </w:t>
      </w:r>
      <w:r w:rsidRPr="00E6599B">
        <w:t>or indicated by Type 1 configured grant</w:t>
      </w:r>
      <w:r w:rsidRPr="00E6599B">
        <w:rPr>
          <w:lang w:val="en-US"/>
        </w:rPr>
        <w:t>,</w:t>
      </w:r>
      <w:r>
        <w:rPr>
          <w:lang w:val="en-US"/>
        </w:rPr>
        <w:t xml:space="preserve"> </w:t>
      </w:r>
      <w:r w:rsidR="00F71D74" w:rsidRPr="0047180A">
        <w:t xml:space="preserve">or </w:t>
      </w:r>
      <w:r w:rsidR="00F71D74" w:rsidRPr="0047180A">
        <w:rPr>
          <w:rFonts w:eastAsia="DengXian"/>
          <w:lang w:eastAsia="zh-CN"/>
        </w:rPr>
        <w:t xml:space="preserve">the number of SRS ports </w:t>
      </w:r>
      <w:r w:rsidR="00F71D74" w:rsidRPr="0047180A">
        <w:t>is associated with the SRS resource</w:t>
      </w:r>
      <w:r w:rsidR="00F71D74" w:rsidRPr="0047180A">
        <w:rPr>
          <w:lang w:eastAsia="zh-CN"/>
        </w:rPr>
        <w:t xml:space="preserve"> </w:t>
      </w:r>
      <w:r w:rsidR="00F71D74" w:rsidRPr="0047180A">
        <w:rPr>
          <w:rFonts w:eastAsia="DengXian" w:hint="eastAsia"/>
          <w:lang w:eastAsia="zh-CN"/>
        </w:rPr>
        <w:t>if only one SRS resource is configured</w:t>
      </w:r>
      <w:r w:rsidR="00F71D74" w:rsidRPr="0047180A">
        <w:rPr>
          <w:rFonts w:eastAsia="DengXian"/>
          <w:lang w:eastAsia="zh-CN"/>
        </w:rPr>
        <w:t xml:space="preserve"> </w:t>
      </w:r>
      <w:r w:rsidR="00F71D74" w:rsidRPr="0047180A">
        <w:t xml:space="preserve">in the </w:t>
      </w:r>
      <w:r w:rsidR="00F71D74" w:rsidRPr="00833A06">
        <w:rPr>
          <w:i/>
          <w:iCs/>
        </w:rPr>
        <w:t>SRS-ResourceSet</w:t>
      </w:r>
      <w:r w:rsidR="00F71D74" w:rsidRPr="0047180A">
        <w:t xml:space="preserve"> with </w:t>
      </w:r>
      <w:r w:rsidR="00F71D74" w:rsidRPr="00833A06">
        <w:rPr>
          <w:i/>
          <w:iCs/>
        </w:rPr>
        <w:t>usage</w:t>
      </w:r>
      <w:r w:rsidR="00F71D74" w:rsidRPr="0047180A">
        <w:t xml:space="preserve"> set to </w:t>
      </w:r>
      <w:r w:rsidR="00D93480">
        <w:t>'</w:t>
      </w:r>
      <w:r w:rsidR="00F71D74" w:rsidRPr="0047180A">
        <w:t>codebook</w:t>
      </w:r>
      <w:r w:rsidR="00D93480">
        <w:t>'</w:t>
      </w:r>
      <w:r w:rsidR="00F71D74" w:rsidRPr="0047180A">
        <w:t xml:space="preserve">, </w:t>
      </w:r>
    </w:p>
    <w:p w14:paraId="64C4B8F7" w14:textId="153D809C" w:rsidR="00F71D74" w:rsidRPr="0047180A" w:rsidRDefault="00F70324" w:rsidP="00833A06">
      <w:pPr>
        <w:pStyle w:val="B2"/>
        <w:ind w:left="1136" w:hanging="285"/>
      </w:pPr>
      <w:r w:rsidRPr="00B00012">
        <w:t>-</w:t>
      </w:r>
      <w:r w:rsidRPr="00B00012">
        <w:tab/>
      </w:r>
      <m:oMath>
        <m:r>
          <w:rPr>
            <w:rFonts w:ascii="Cambria Math"/>
          </w:rPr>
          <m:t>s</m:t>
        </m:r>
        <m:r>
          <m:rPr>
            <m:sty m:val="p"/>
          </m:rPr>
          <w:rPr>
            <w:rFonts w:ascii="Cambria Math"/>
          </w:rPr>
          <m:t>=1</m:t>
        </m:r>
      </m:oMath>
      <w:r w:rsidRPr="00B00012">
        <w:rPr>
          <w:lang w:val="en-US"/>
        </w:rPr>
        <w:t>,</w:t>
      </w:r>
      <w:r w:rsidRPr="00B00012">
        <w:t xml:space="preserve"> if </w:t>
      </w:r>
      <w:r w:rsidRPr="00B00012">
        <w:rPr>
          <w:lang w:val="en-US"/>
        </w:rPr>
        <w:t>a</w:t>
      </w:r>
      <w:r w:rsidR="006438F3">
        <w:rPr>
          <w:lang w:val="en-US"/>
        </w:rPr>
        <w:t>n</w:t>
      </w:r>
      <w:r w:rsidRPr="00B00012">
        <w:t xml:space="preserve"> SRS resource with a single port is indicated by </w:t>
      </w:r>
      <w:r w:rsidRPr="00B00012">
        <w:rPr>
          <w:lang w:val="en-US"/>
        </w:rPr>
        <w:t>a</w:t>
      </w:r>
      <w:r w:rsidR="006438F3">
        <w:rPr>
          <w:lang w:val="en-US"/>
        </w:rPr>
        <w:t>n</w:t>
      </w:r>
      <w:r w:rsidRPr="00B00012">
        <w:rPr>
          <w:lang w:val="en-US"/>
        </w:rPr>
        <w:t xml:space="preserve"> </w:t>
      </w:r>
      <w:r w:rsidRPr="00B00012">
        <w:t xml:space="preserve">SRI </w:t>
      </w:r>
      <w:r w:rsidRPr="00B00012">
        <w:rPr>
          <w:lang w:val="en-US"/>
        </w:rPr>
        <w:t xml:space="preserve">field in a DCI format scheduling the PUSCH transmission </w:t>
      </w:r>
      <w:r w:rsidRPr="00B00012">
        <w:t xml:space="preserve">when more than one SRS resource is </w:t>
      </w:r>
      <w:r w:rsidRPr="00B00012">
        <w:rPr>
          <w:lang w:val="en-US"/>
        </w:rPr>
        <w:t>provided</w:t>
      </w:r>
      <w:r w:rsidRPr="00B00012">
        <w:t xml:space="preserve"> in the </w:t>
      </w:r>
      <w:r w:rsidRPr="00B00012">
        <w:rPr>
          <w:i/>
          <w:iCs/>
        </w:rPr>
        <w:t>SRS-ResourceSet</w:t>
      </w:r>
      <w:r w:rsidRPr="00B00012">
        <w:t xml:space="preserve"> with </w:t>
      </w:r>
      <w:r w:rsidRPr="00B00012">
        <w:rPr>
          <w:i/>
          <w:iCs/>
        </w:rPr>
        <w:t>usage</w:t>
      </w:r>
      <w:r w:rsidRPr="00B00012">
        <w:t xml:space="preserve"> set to 'codebook'</w:t>
      </w:r>
      <w:r w:rsidRPr="00B00012">
        <w:rPr>
          <w:lang w:val="en-US"/>
        </w:rPr>
        <w:t>,</w:t>
      </w:r>
      <w:r w:rsidRPr="00B00012">
        <w:t xml:space="preserve"> </w:t>
      </w:r>
      <w:r w:rsidRPr="00E6599B">
        <w:t>or indicated by Type 1 configured grant</w:t>
      </w:r>
      <w:r w:rsidRPr="00E6599B">
        <w:rPr>
          <w:lang w:val="en-US"/>
        </w:rPr>
        <w:t>,</w:t>
      </w:r>
      <w:r>
        <w:rPr>
          <w:lang w:val="en-US"/>
        </w:rPr>
        <w:t xml:space="preserve"> </w:t>
      </w:r>
      <w:r w:rsidRPr="00B00012">
        <w:t xml:space="preserve">or if only one SRS resource with a single port is </w:t>
      </w:r>
      <w:r w:rsidRPr="00B00012">
        <w:rPr>
          <w:lang w:val="en-US"/>
        </w:rPr>
        <w:t>provided</w:t>
      </w:r>
      <w:r w:rsidRPr="00B00012">
        <w:t xml:space="preserve"> in the </w:t>
      </w:r>
      <w:r w:rsidRPr="00B00012">
        <w:rPr>
          <w:i/>
          <w:iCs/>
        </w:rPr>
        <w:t>SRS-ResourceSet</w:t>
      </w:r>
      <w:r w:rsidRPr="00B00012">
        <w:t xml:space="preserve"> with </w:t>
      </w:r>
      <w:r w:rsidRPr="00B00012">
        <w:rPr>
          <w:i/>
          <w:iCs/>
        </w:rPr>
        <w:t>usage</w:t>
      </w:r>
      <w:r w:rsidRPr="00B00012">
        <w:t xml:space="preserve"> set to 'codebook', </w:t>
      </w:r>
      <w:r w:rsidR="00F71D74" w:rsidRPr="0047180A">
        <w:t xml:space="preserve">and </w:t>
      </w:r>
    </w:p>
    <w:p w14:paraId="69F8CA9F" w14:textId="6C006B93" w:rsidR="00F71D74" w:rsidRPr="006438F3" w:rsidRDefault="00F71D74" w:rsidP="0047180A">
      <w:pPr>
        <w:pStyle w:val="B2"/>
      </w:pPr>
      <w:r w:rsidRPr="00673FAC">
        <w:t>-</w:t>
      </w:r>
      <w:r w:rsidRPr="00673FAC">
        <w:tab/>
        <w:t xml:space="preserve">if </w:t>
      </w:r>
      <w:r w:rsidR="00F70324" w:rsidRPr="00A77CA3">
        <w:rPr>
          <w:i/>
          <w:iCs/>
        </w:rPr>
        <w:t>ul-FullPowerTransmission</w:t>
      </w:r>
      <w:r w:rsidRPr="00673FAC">
        <w:t xml:space="preserve"> in </w:t>
      </w:r>
      <w:r w:rsidRPr="006438F3">
        <w:rPr>
          <w:i/>
          <w:iCs/>
        </w:rPr>
        <w:t>PUSCH-Config</w:t>
      </w:r>
      <w:r w:rsidRPr="006438F3">
        <w:t xml:space="preserve"> is </w:t>
      </w:r>
      <w:r w:rsidR="0082200F" w:rsidRPr="006438F3">
        <w:rPr>
          <w:lang w:eastAsia="ko-KR"/>
        </w:rPr>
        <w:t xml:space="preserve">set to </w:t>
      </w:r>
      <w:r w:rsidR="0082200F" w:rsidRPr="006438F3">
        <w:rPr>
          <w:i/>
          <w:iCs/>
          <w:lang w:eastAsia="ko-KR"/>
        </w:rPr>
        <w:t>fullpower</w:t>
      </w:r>
      <w:r w:rsidRPr="006438F3">
        <w:t xml:space="preserve">, </w:t>
      </w:r>
      <m:oMath>
        <m:r>
          <w:rPr>
            <w:rFonts w:ascii="Cambria Math"/>
          </w:rPr>
          <m:t>s</m:t>
        </m:r>
        <m:r>
          <m:rPr>
            <m:sty m:val="p"/>
          </m:rPr>
          <w:rPr>
            <w:rFonts w:ascii="Cambria Math"/>
          </w:rPr>
          <m:t>=1</m:t>
        </m:r>
      </m:oMath>
    </w:p>
    <w:p w14:paraId="6A225DD9" w14:textId="3646C17F" w:rsidR="00F71D74" w:rsidRDefault="00F71D74" w:rsidP="0047180A">
      <w:pPr>
        <w:pStyle w:val="B1"/>
        <w:rPr>
          <w:lang w:eastAsia="zh-CN"/>
        </w:rPr>
      </w:pPr>
      <w:r w:rsidRPr="0047180A">
        <w:t>-</w:t>
      </w:r>
      <w:r w:rsidRPr="0047180A">
        <w:tab/>
        <w:t>else, if</w:t>
      </w:r>
      <w:r w:rsidR="00791E00">
        <w:rPr>
          <w:rFonts w:hint="eastAsia"/>
          <w:lang w:val="en-AU" w:eastAsia="zh-CN"/>
        </w:rPr>
        <w:t xml:space="preserve"> each SRS resource in the </w:t>
      </w:r>
      <w:r w:rsidR="00791E00" w:rsidRPr="00833A06">
        <w:rPr>
          <w:i/>
          <w:iCs/>
          <w:color w:val="000000"/>
        </w:rPr>
        <w:t>SRS-ResourceSet</w:t>
      </w:r>
      <w:r w:rsidR="00791E00">
        <w:rPr>
          <w:color w:val="000000"/>
        </w:rPr>
        <w:t xml:space="preserve"> with </w:t>
      </w:r>
      <w:r w:rsidR="00791E00" w:rsidRPr="00833A06">
        <w:rPr>
          <w:i/>
          <w:iCs/>
          <w:color w:val="000000"/>
        </w:rPr>
        <w:t>usage</w:t>
      </w:r>
      <w:r w:rsidR="00791E00">
        <w:rPr>
          <w:color w:val="000000"/>
        </w:rPr>
        <w:t xml:space="preserve"> set to 'codebook'</w:t>
      </w:r>
      <w:r w:rsidR="00791E00">
        <w:rPr>
          <w:rFonts w:hint="eastAsia"/>
          <w:color w:val="000000"/>
          <w:lang w:eastAsia="zh-CN"/>
        </w:rPr>
        <w:t xml:space="preserve"> </w:t>
      </w:r>
      <w:r w:rsidR="00791E00">
        <w:rPr>
          <w:rFonts w:hint="eastAsia"/>
          <w:lang w:val="en-AU" w:eastAsia="zh-CN"/>
        </w:rPr>
        <w:t>has more than one SRS port</w:t>
      </w:r>
      <w:r w:rsidR="008B39D7" w:rsidRPr="00B916EC">
        <w:rPr>
          <w:iCs/>
        </w:rPr>
        <w:t xml:space="preserve">, </w:t>
      </w:r>
      <w:r w:rsidR="008B39D7" w:rsidRPr="00C6383D">
        <w:rPr>
          <w:iCs/>
        </w:rPr>
        <w:t xml:space="preserve">the UE scales the linear value </w:t>
      </w:r>
      <w:r w:rsidR="008B39D7" w:rsidRPr="00B916EC">
        <w:rPr>
          <w:lang w:eastAsia="zh-CN"/>
        </w:rPr>
        <w:t>by</w:t>
      </w:r>
      <w:r w:rsidR="008B39D7">
        <w:rPr>
          <w:lang w:eastAsia="zh-CN"/>
        </w:rPr>
        <w:t xml:space="preserve"> </w:t>
      </w:r>
      <w:r w:rsidR="008B39D7" w:rsidRPr="00B916EC">
        <w:rPr>
          <w:lang w:eastAsia="zh-CN"/>
        </w:rPr>
        <w:t>the</w:t>
      </w:r>
      <w:r w:rsidR="008B39D7">
        <w:rPr>
          <w:lang w:eastAsia="zh-CN"/>
        </w:rPr>
        <w:t xml:space="preserve"> </w:t>
      </w:r>
      <w:r w:rsidR="008B39D7" w:rsidRPr="00B916EC">
        <w:rPr>
          <w:lang w:eastAsia="zh-CN"/>
        </w:rPr>
        <w:t>ratio of the number of antenna ports with a non-zero PUSCH transmission</w:t>
      </w:r>
      <w:r w:rsidR="008B39D7">
        <w:rPr>
          <w:lang w:eastAsia="zh-CN"/>
        </w:rPr>
        <w:t xml:space="preserve"> power </w:t>
      </w:r>
      <w:r w:rsidR="008B39D7" w:rsidRPr="00B916EC">
        <w:rPr>
          <w:lang w:eastAsia="zh-CN"/>
        </w:rPr>
        <w:t xml:space="preserve">to the </w:t>
      </w:r>
      <w:r w:rsidR="008B39D7">
        <w:rPr>
          <w:lang w:eastAsia="zh-CN"/>
        </w:rPr>
        <w:t xml:space="preserve">maximum </w:t>
      </w:r>
      <w:r w:rsidR="008B39D7" w:rsidRPr="00B916EC">
        <w:rPr>
          <w:lang w:eastAsia="zh-CN"/>
        </w:rPr>
        <w:t xml:space="preserve">number of </w:t>
      </w:r>
      <w:r w:rsidR="008B39D7" w:rsidRPr="00C6383D">
        <w:rPr>
          <w:lang w:val="en-AU"/>
        </w:rPr>
        <w:t xml:space="preserve">SRS ports </w:t>
      </w:r>
      <w:r w:rsidR="008B39D7">
        <w:rPr>
          <w:lang w:val="en-AU"/>
        </w:rPr>
        <w:t xml:space="preserve">supported by the UE </w:t>
      </w:r>
      <w:r w:rsidR="008B39D7" w:rsidRPr="00C6383D">
        <w:rPr>
          <w:lang w:val="en-AU"/>
        </w:rPr>
        <w:t xml:space="preserve">in one </w:t>
      </w:r>
      <w:r w:rsidR="008B39D7">
        <w:rPr>
          <w:lang w:val="en-AU"/>
        </w:rPr>
        <w:t>SRS resource</w:t>
      </w:r>
      <w:r w:rsidR="00F60D8B" w:rsidRPr="00B916EC">
        <w:rPr>
          <w:lang w:eastAsia="zh-CN"/>
        </w:rPr>
        <w:t>.</w:t>
      </w:r>
      <w:r w:rsidR="00F60D8B">
        <w:rPr>
          <w:lang w:eastAsia="zh-CN"/>
        </w:rPr>
        <w:t xml:space="preserve"> </w:t>
      </w:r>
    </w:p>
    <w:p w14:paraId="3E159239" w14:textId="2CF2653B" w:rsidR="00F60D8B" w:rsidRPr="00B916EC" w:rsidRDefault="00F60D8B" w:rsidP="00F71D74">
      <w:pPr>
        <w:rPr>
          <w:lang w:eastAsia="zh-CN"/>
        </w:rPr>
      </w:pPr>
      <w:r w:rsidRPr="00B916EC">
        <w:rPr>
          <w:lang w:eastAsia="zh-CN"/>
        </w:rPr>
        <w:lastRenderedPageBreak/>
        <w:t xml:space="preserve">The </w:t>
      </w:r>
      <w:r>
        <w:rPr>
          <w:lang w:eastAsia="zh-CN"/>
        </w:rPr>
        <w:t xml:space="preserve">UE splits the </w:t>
      </w:r>
      <w:r w:rsidRPr="00B916EC">
        <w:rPr>
          <w:lang w:eastAsia="zh-CN"/>
        </w:rPr>
        <w:t>power equally across</w:t>
      </w:r>
      <w:r>
        <w:rPr>
          <w:lang w:eastAsia="zh-CN"/>
        </w:rPr>
        <w:t xml:space="preserve"> </w:t>
      </w:r>
      <w:r w:rsidRPr="00B916EC">
        <w:rPr>
          <w:lang w:eastAsia="zh-CN"/>
        </w:rPr>
        <w:t>the</w:t>
      </w:r>
      <w:r>
        <w:rPr>
          <w:lang w:eastAsia="zh-CN"/>
        </w:rPr>
        <w:t xml:space="preserve"> </w:t>
      </w:r>
      <w:r w:rsidRPr="00B916EC">
        <w:rPr>
          <w:lang w:eastAsia="zh-CN"/>
        </w:rPr>
        <w:t>antenna ports</w:t>
      </w:r>
      <w:r>
        <w:rPr>
          <w:lang w:eastAsia="zh-CN"/>
        </w:rPr>
        <w:t xml:space="preserve"> </w:t>
      </w:r>
      <w:r w:rsidRPr="00B916EC">
        <w:rPr>
          <w:lang w:eastAsia="zh-CN"/>
        </w:rPr>
        <w:t xml:space="preserve">on which </w:t>
      </w:r>
      <w:r>
        <w:rPr>
          <w:lang w:eastAsia="zh-CN"/>
        </w:rPr>
        <w:t xml:space="preserve">the UE transmits </w:t>
      </w:r>
      <w:r w:rsidRPr="00B916EC">
        <w:rPr>
          <w:lang w:eastAsia="zh-CN"/>
        </w:rPr>
        <w:t>the</w:t>
      </w:r>
      <w:r>
        <w:rPr>
          <w:lang w:eastAsia="zh-CN"/>
        </w:rPr>
        <w:t xml:space="preserve"> PUSCH with </w:t>
      </w:r>
      <w:r w:rsidRPr="00B916EC">
        <w:rPr>
          <w:lang w:eastAsia="zh-CN"/>
        </w:rPr>
        <w:t xml:space="preserve">non-zero </w:t>
      </w:r>
      <w:r>
        <w:rPr>
          <w:lang w:eastAsia="zh-CN"/>
        </w:rPr>
        <w:t>power</w:t>
      </w:r>
      <w:r w:rsidRPr="00B916EC">
        <w:rPr>
          <w:lang w:eastAsia="zh-CN"/>
        </w:rPr>
        <w:t xml:space="preserve">. </w:t>
      </w:r>
    </w:p>
    <w:p w14:paraId="5C9773A4" w14:textId="77777777" w:rsidR="007C4BD5" w:rsidRPr="00B916EC" w:rsidRDefault="007C4BD5" w:rsidP="007C4BD5">
      <w:pPr>
        <w:pStyle w:val="Heading3"/>
      </w:pPr>
      <w:bookmarkStart w:id="161" w:name="_Ref500774487"/>
      <w:bookmarkStart w:id="162" w:name="_Toc12021446"/>
      <w:bookmarkStart w:id="163" w:name="_Toc20311558"/>
      <w:bookmarkStart w:id="164" w:name="_Toc26719383"/>
      <w:bookmarkStart w:id="165" w:name="_Toc29894814"/>
      <w:bookmarkStart w:id="166" w:name="_Toc29899113"/>
      <w:bookmarkStart w:id="167" w:name="_Toc29899531"/>
      <w:bookmarkStart w:id="168" w:name="_Toc29917268"/>
      <w:bookmarkStart w:id="169" w:name="_Toc36498142"/>
      <w:bookmarkStart w:id="170" w:name="_Toc45699168"/>
      <w:bookmarkStart w:id="171" w:name="_Toc161999093"/>
      <w:bookmarkStart w:id="172" w:name="_Ref497117847"/>
      <w:r w:rsidRPr="00B916EC">
        <w:t>7.1.1</w:t>
      </w:r>
      <w:r w:rsidRPr="00B916EC">
        <w:tab/>
        <w:t>UE behavio</w:t>
      </w:r>
      <w:r w:rsidR="00DF53FF" w:rsidRPr="00B916EC">
        <w:t>u</w:t>
      </w:r>
      <w:r w:rsidRPr="00B916EC">
        <w:t>r</w:t>
      </w:r>
      <w:bookmarkEnd w:id="161"/>
      <w:bookmarkEnd w:id="162"/>
      <w:bookmarkEnd w:id="163"/>
      <w:bookmarkEnd w:id="164"/>
      <w:bookmarkEnd w:id="165"/>
      <w:bookmarkEnd w:id="166"/>
      <w:bookmarkEnd w:id="167"/>
      <w:bookmarkEnd w:id="168"/>
      <w:bookmarkEnd w:id="169"/>
      <w:bookmarkEnd w:id="170"/>
      <w:bookmarkEnd w:id="171"/>
    </w:p>
    <w:bookmarkEnd w:id="172"/>
    <w:p w14:paraId="393C39BD" w14:textId="32BDA23F" w:rsidR="001B6CA8" w:rsidRPr="00B916EC" w:rsidRDefault="001B6CA8" w:rsidP="001B6CA8">
      <w:r w:rsidRPr="00B916EC">
        <w:t xml:space="preserve">If a UE transmits a PUSCH on </w:t>
      </w:r>
      <w:r w:rsidR="00E51F04">
        <w:t xml:space="preserve">active </w:t>
      </w:r>
      <w:r w:rsidR="00064240">
        <w:t xml:space="preserve">UL BWP </w:t>
      </w:r>
      <m:oMath>
        <m:r>
          <w:rPr>
            <w:rFonts w:ascii="Cambria Math" w:hAnsi="Cambria Math"/>
          </w:rPr>
          <m:t>b</m:t>
        </m:r>
      </m:oMath>
      <w:r w:rsidR="00064240">
        <w:rPr>
          <w:iCs/>
        </w:rPr>
        <w:t xml:space="preserve"> of </w:t>
      </w:r>
      <w:r w:rsidR="00D85108" w:rsidRPr="00B916EC">
        <w:t xml:space="preserve">carrier </w:t>
      </w:r>
      <m:oMath>
        <m:r>
          <w:rPr>
            <w:rFonts w:ascii="Cambria Math" w:hAnsi="Cambria Math"/>
          </w:rPr>
          <m:t>f</m:t>
        </m:r>
      </m:oMath>
      <w:r w:rsidR="00672941" w:rsidRPr="00B916EC">
        <w:rPr>
          <w:iCs/>
        </w:rPr>
        <w:t xml:space="preserve"> of </w:t>
      </w:r>
      <w:r w:rsidRPr="00B916EC">
        <w:t xml:space="preserve">serving cell </w:t>
      </w:r>
      <m:oMath>
        <m:r>
          <w:rPr>
            <w:rFonts w:ascii="Cambria Math" w:hAnsi="Cambria Math"/>
          </w:rPr>
          <m:t>c</m:t>
        </m:r>
      </m:oMath>
      <w:r w:rsidRPr="00B916EC">
        <w:rPr>
          <w:iCs/>
        </w:rPr>
        <w:t xml:space="preserve"> using </w:t>
      </w:r>
      <w:r w:rsidR="00D75097" w:rsidRPr="00B916EC">
        <w:t xml:space="preserve">parameter set configuration </w:t>
      </w:r>
      <w:r w:rsidR="00D75097" w:rsidRPr="00B916EC">
        <w:rPr>
          <w:iCs/>
        </w:rPr>
        <w:t xml:space="preserve">with index </w:t>
      </w:r>
      <m:oMath>
        <m:r>
          <w:rPr>
            <w:rFonts w:ascii="Cambria Math" w:hAnsi="Cambria Math"/>
          </w:rPr>
          <m:t>j</m:t>
        </m:r>
      </m:oMath>
      <w:r w:rsidR="00D75097" w:rsidRPr="00B916EC">
        <w:rPr>
          <w:iCs/>
        </w:rPr>
        <w:t xml:space="preserve"> and </w:t>
      </w:r>
      <w:r w:rsidR="00724ADF" w:rsidRPr="00B916EC">
        <w:t xml:space="preserve">PUSCH power control adjustment state with index </w:t>
      </w:r>
      <m:oMath>
        <m:r>
          <w:rPr>
            <w:rFonts w:ascii="Cambria Math" w:hAnsi="Cambria Math"/>
          </w:rPr>
          <m:t>l</m:t>
        </m:r>
      </m:oMath>
    </w:p>
    <w:p w14:paraId="260F62BF" w14:textId="77777777" w:rsidR="00FA7B7D" w:rsidRPr="00FA7B7D" w:rsidRDefault="00FA7B7D" w:rsidP="00FA7B7D">
      <w:pPr>
        <w:pStyle w:val="B1"/>
      </w:pPr>
      <w:r w:rsidRPr="00FA7B7D">
        <w:t>-</w:t>
      </w:r>
      <w:r w:rsidRPr="00FA7B7D">
        <w:tab/>
      </w:r>
      <w:r w:rsidRPr="00FA7B7D">
        <w:rPr>
          <w:rFonts w:eastAsia="PMingLiU"/>
          <w:lang w:eastAsia="zh-TW"/>
        </w:rPr>
        <w:t xml:space="preserve">if the UE is indicated </w:t>
      </w:r>
      <w:r w:rsidRPr="00FA7B7D">
        <w:t xml:space="preserve">a first </w:t>
      </w:r>
      <w:r w:rsidRPr="00FA7B7D">
        <w:rPr>
          <w:i/>
          <w:iCs/>
        </w:rPr>
        <w:t>TCI-State</w:t>
      </w:r>
      <w:r w:rsidRPr="00FA7B7D">
        <w:t xml:space="preserve"> or </w:t>
      </w:r>
      <w:r w:rsidRPr="00FA7B7D">
        <w:rPr>
          <w:i/>
          <w:iCs/>
        </w:rPr>
        <w:t>TCI-UL-State</w:t>
      </w:r>
      <w:r w:rsidRPr="00FA7B7D">
        <w:t xml:space="preserve"> and a second </w:t>
      </w:r>
      <w:r w:rsidRPr="00FA7B7D">
        <w:rPr>
          <w:i/>
          <w:iCs/>
        </w:rPr>
        <w:t xml:space="preserve">TCI-State </w:t>
      </w:r>
      <w:r w:rsidRPr="00FA7B7D">
        <w:t xml:space="preserve">or </w:t>
      </w:r>
      <w:r w:rsidRPr="00FA7B7D">
        <w:rPr>
          <w:i/>
          <w:iCs/>
        </w:rPr>
        <w:t>TCI-UL-State</w:t>
      </w:r>
      <w:r w:rsidRPr="00FA7B7D">
        <w:t xml:space="preserve">, and is configured with </w:t>
      </w:r>
      <w:r w:rsidRPr="00FA7B7D">
        <w:rPr>
          <w:i/>
          <w:iCs/>
        </w:rPr>
        <w:t>multipanelScheme,</w:t>
      </w:r>
      <w:r w:rsidRPr="00FA7B7D">
        <w:rPr>
          <w:rFonts w:eastAsia="PMingLiU"/>
          <w:lang w:eastAsia="zh-TW"/>
        </w:rPr>
        <w:t xml:space="preserve"> and the UE determines to apply both the first </w:t>
      </w:r>
      <w:r w:rsidRPr="00FA7B7D">
        <w:rPr>
          <w:i/>
          <w:iCs/>
        </w:rPr>
        <w:t>TCI-State</w:t>
      </w:r>
      <w:r w:rsidRPr="00FA7B7D">
        <w:t xml:space="preserve"> or </w:t>
      </w:r>
      <w:r w:rsidRPr="00FA7B7D">
        <w:rPr>
          <w:i/>
          <w:iCs/>
        </w:rPr>
        <w:t>TCI-UL-State</w:t>
      </w:r>
      <w:r w:rsidRPr="00FA7B7D">
        <w:t xml:space="preserve"> and the second </w:t>
      </w:r>
      <w:r w:rsidRPr="00FA7B7D">
        <w:rPr>
          <w:i/>
          <w:iCs/>
        </w:rPr>
        <w:t xml:space="preserve">TCI-State </w:t>
      </w:r>
      <w:r w:rsidRPr="00FA7B7D">
        <w:t xml:space="preserve">or </w:t>
      </w:r>
      <w:r w:rsidRPr="00FA7B7D">
        <w:rPr>
          <w:i/>
          <w:iCs/>
        </w:rPr>
        <w:t>TCI-UL-S</w:t>
      </w:r>
      <w:r w:rsidRPr="00FA7B7D">
        <w:t xml:space="preserve">tate in PUSCH transmission occasion </w:t>
      </w:r>
      <m:oMath>
        <m:r>
          <w:rPr>
            <w:rFonts w:ascii="Cambria Math" w:hAnsi="Cambria Math"/>
          </w:rPr>
          <m:t>i</m:t>
        </m:r>
      </m:oMath>
      <w:r w:rsidRPr="00FA7B7D">
        <w:t xml:space="preserve">, the UE determines the PUSCH transmission power </w:t>
      </w:r>
      <m:oMath>
        <m:sSub>
          <m:sSubPr>
            <m:ctrlPr>
              <w:rPr>
                <w:rFonts w:ascii="Cambria Math" w:hAnsi="Cambria Math"/>
              </w:rPr>
            </m:ctrlPr>
          </m:sSubPr>
          <m:e>
            <m:r>
              <w:rPr>
                <w:rFonts w:ascii="Cambria Math" w:hAnsi="Cambria Math"/>
              </w:rPr>
              <m:t>P</m:t>
            </m:r>
          </m:e>
          <m:sub>
            <m:r>
              <m:rPr>
                <m:nor/>
              </m:rPr>
              <m:t>PUSCH</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r>
              <m:rPr>
                <m:sty m:val="p"/>
              </m:rPr>
              <w:rPr>
                <w:rFonts w:ascii="Cambria Math" w:hAnsi="Cambria Math"/>
              </w:rPr>
              <m:t xml:space="preserve">, </m:t>
            </m:r>
            <m:r>
              <w:rPr>
                <w:rFonts w:ascii="Cambria Math" w:hAnsi="Cambria Math"/>
              </w:rPr>
              <m:t>k</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d</m:t>
            </m:r>
          </m:sub>
        </m:sSub>
        <m:r>
          <m:rPr>
            <m:sty m:val="p"/>
          </m:rPr>
          <w:rPr>
            <w:rFonts w:ascii="Cambria Math" w:hAnsi="Cambria Math"/>
          </w:rPr>
          <m:t>,</m:t>
        </m:r>
        <m:r>
          <w:rPr>
            <w:rFonts w:ascii="Cambria Math" w:hAnsi="Cambria Math"/>
          </w:rPr>
          <m:t>l</m:t>
        </m:r>
        <m:r>
          <m:rPr>
            <m:sty m:val="p"/>
          </m:rPr>
          <w:rPr>
            <w:rFonts w:ascii="Cambria Math" w:hAnsi="Cambria Math"/>
          </w:rPr>
          <m:t>)</m:t>
        </m:r>
      </m:oMath>
      <w:r w:rsidRPr="00FA7B7D">
        <w:t xml:space="preserve"> for the k-th indicated </w:t>
      </w:r>
      <w:r w:rsidRPr="00FA7B7D">
        <w:rPr>
          <w:i/>
          <w:iCs/>
        </w:rPr>
        <w:t>TCI-State</w:t>
      </w:r>
      <w:r w:rsidRPr="00FA7B7D">
        <w:t xml:space="preserve"> or </w:t>
      </w:r>
      <w:r w:rsidRPr="00FA7B7D">
        <w:rPr>
          <w:i/>
          <w:iCs/>
        </w:rPr>
        <w:t>TCI-UL-State</w:t>
      </w:r>
      <w:r w:rsidRPr="00FA7B7D">
        <w:t xml:space="preserve"> as</w:t>
      </w:r>
    </w:p>
    <w:p w14:paraId="374BF914" w14:textId="09ED25C7" w:rsidR="00FA7B7D" w:rsidRPr="007B5011" w:rsidRDefault="00000000" w:rsidP="00FA7B7D">
      <w:pPr>
        <w:pStyle w:val="EQ"/>
        <w:rPr>
          <w:lang w:val="sv-SE"/>
        </w:rPr>
      </w:pPr>
      <m:oMath>
        <m:sSub>
          <m:sSubPr>
            <m:ctrlPr>
              <w:rPr>
                <w:rFonts w:ascii="Cambria Math" w:hAnsi="Cambria Math"/>
                <w:iCs/>
              </w:rPr>
            </m:ctrlPr>
          </m:sSubPr>
          <m:e>
            <m:r>
              <w:rPr>
                <w:rFonts w:ascii="Cambria Math" w:hAnsi="Cambria Math"/>
              </w:rPr>
              <m:t>P</m:t>
            </m:r>
          </m:e>
          <m:sub>
            <m:r>
              <m:rPr>
                <m:nor/>
              </m:rPr>
              <w:rPr>
                <w:iCs/>
                <w:lang w:val="de-DE"/>
              </w:rPr>
              <m:t>PUSCH</m:t>
            </m:r>
            <m:r>
              <m:rPr>
                <m:sty m:val="p"/>
              </m:rPr>
              <w:rPr>
                <w:rFonts w:ascii="Cambria Math" w:hAnsi="Cambria Math"/>
                <w:lang w:val="de-DE"/>
              </w:rPr>
              <m:t>,</m:t>
            </m:r>
            <m:r>
              <w:rPr>
                <w:rFonts w:ascii="Cambria Math" w:hAnsi="Cambria Math"/>
              </w:rPr>
              <m:t>b</m:t>
            </m:r>
            <m:r>
              <m:rPr>
                <m:sty m:val="p"/>
              </m:rPr>
              <w:rPr>
                <w:rFonts w:ascii="Cambria Math" w:hAnsi="Cambria Math"/>
                <w:lang w:val="de-DE"/>
              </w:rPr>
              <m:t>,</m:t>
            </m:r>
            <m:r>
              <w:rPr>
                <w:rFonts w:ascii="Cambria Math" w:hAnsi="Cambria Math"/>
              </w:rPr>
              <m:t>f</m:t>
            </m:r>
            <m:r>
              <m:rPr>
                <m:sty m:val="p"/>
              </m:rPr>
              <w:rPr>
                <w:rFonts w:ascii="Cambria Math" w:hAnsi="Cambria Math"/>
                <w:lang w:val="de-DE"/>
              </w:rPr>
              <m:t>,</m:t>
            </m:r>
            <m:r>
              <w:rPr>
                <w:rFonts w:ascii="Cambria Math" w:hAnsi="Cambria Math"/>
              </w:rPr>
              <m:t>c</m:t>
            </m:r>
            <m:r>
              <m:rPr>
                <m:sty m:val="p"/>
              </m:rPr>
              <w:rPr>
                <w:rFonts w:ascii="Cambria Math" w:hAnsi="Cambria Math"/>
                <w:lang w:val="de-DE"/>
              </w:rPr>
              <m:t>,</m:t>
            </m:r>
            <m:r>
              <w:rPr>
                <w:rFonts w:ascii="Cambria Math" w:hAnsi="Cambria Math"/>
              </w:rPr>
              <m:t>k</m:t>
            </m:r>
          </m:sub>
        </m:sSub>
        <m:d>
          <m:dPr>
            <m:ctrlPr>
              <w:rPr>
                <w:rFonts w:ascii="Cambria Math" w:hAnsi="Cambria Math"/>
              </w:rPr>
            </m:ctrlPr>
          </m:dPr>
          <m:e>
            <m:r>
              <w:rPr>
                <w:rFonts w:ascii="Cambria Math" w:hAnsi="Cambria Math"/>
              </w:rPr>
              <m:t>i</m:t>
            </m:r>
            <m:r>
              <m:rPr>
                <m:sty m:val="p"/>
              </m:rPr>
              <w:rPr>
                <w:rFonts w:ascii="Cambria Math" w:hAnsi="Cambria Math"/>
                <w:lang w:val="de-DE"/>
              </w:rPr>
              <m:t>,</m:t>
            </m:r>
            <m:r>
              <w:rPr>
                <w:rFonts w:ascii="Cambria Math" w:hAnsi="Cambria Math"/>
              </w:rPr>
              <m:t>j</m:t>
            </m:r>
            <m:r>
              <m:rPr>
                <m:sty m:val="p"/>
              </m:rPr>
              <w:rPr>
                <w:rFonts w:ascii="Cambria Math" w:hAnsi="Cambria Math"/>
                <w:lang w:val="de-DE"/>
              </w:rPr>
              <m:t>,</m:t>
            </m:r>
            <m:sSub>
              <m:sSubPr>
                <m:ctrlPr>
                  <w:rPr>
                    <w:rFonts w:ascii="Cambria Math" w:hAnsi="Cambria Math"/>
                    <w:iCs/>
                  </w:rPr>
                </m:ctrlPr>
              </m:sSubPr>
              <m:e>
                <m:r>
                  <w:rPr>
                    <w:rFonts w:ascii="Cambria Math" w:hAnsi="Cambria Math"/>
                  </w:rPr>
                  <m:t>q</m:t>
                </m:r>
              </m:e>
              <m:sub>
                <m:r>
                  <w:rPr>
                    <w:rFonts w:ascii="Cambria Math" w:hAnsi="Cambria Math"/>
                  </w:rPr>
                  <m:t>d</m:t>
                </m:r>
              </m:sub>
            </m:sSub>
            <m:r>
              <m:rPr>
                <m:sty m:val="p"/>
              </m:rPr>
              <w:rPr>
                <w:rFonts w:ascii="Cambria Math" w:hAnsi="Cambria Math"/>
                <w:lang w:val="de-DE"/>
              </w:rPr>
              <m:t>,</m:t>
            </m:r>
            <m:r>
              <w:rPr>
                <w:rFonts w:ascii="Cambria Math" w:hAnsi="Cambria Math"/>
              </w:rPr>
              <m:t>l</m:t>
            </m:r>
          </m:e>
        </m:d>
        <m:r>
          <m:rPr>
            <m:sty m:val="p"/>
          </m:rPr>
          <w:rPr>
            <w:rFonts w:ascii="Cambria Math" w:hAnsi="Cambria Math"/>
            <w:lang w:val="de-DE"/>
          </w:rPr>
          <m:t>=</m:t>
        </m:r>
        <m:r>
          <m:rPr>
            <m:sty m:val="p"/>
          </m:rPr>
          <w:rPr>
            <w:rFonts w:ascii="Cambria Math" w:hAnsi="Cambria Math"/>
            <w:lang w:val="sv-SE"/>
          </w:rPr>
          <m:t>min</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Cs/>
                        </w:rPr>
                      </m:ctrlPr>
                    </m:sSubPr>
                    <m:e>
                      <m:r>
                        <w:rPr>
                          <w:rFonts w:ascii="Cambria Math" w:hAnsi="Cambria Math"/>
                        </w:rPr>
                        <m:t>P</m:t>
                      </m:r>
                    </m:e>
                    <m:sub>
                      <m:r>
                        <m:rPr>
                          <m:nor/>
                        </m:rPr>
                        <w:rPr>
                          <w:iCs/>
                          <w:lang w:val="sv-SE"/>
                        </w:rPr>
                        <m:t>CMAX</m:t>
                      </m:r>
                      <m:r>
                        <m:rPr>
                          <m:sty m:val="p"/>
                        </m:rPr>
                        <w:rPr>
                          <w:rFonts w:ascii="Cambria Math" w:hAnsi="Cambria Math"/>
                          <w:lang w:val="sv-SE"/>
                        </w:rPr>
                        <m:t>,</m:t>
                      </m:r>
                      <m:r>
                        <w:rPr>
                          <w:rFonts w:ascii="Cambria Math" w:hAnsi="Cambria Math"/>
                        </w:rPr>
                        <m:t>f</m:t>
                      </m:r>
                      <m:r>
                        <m:rPr>
                          <m:sty m:val="p"/>
                        </m:rPr>
                        <w:rPr>
                          <w:rFonts w:ascii="Cambria Math" w:hAnsi="Cambria Math"/>
                          <w:lang w:val="sv-SE"/>
                        </w:rPr>
                        <m:t>,</m:t>
                      </m:r>
                      <m:r>
                        <w:rPr>
                          <w:rFonts w:ascii="Cambria Math" w:hAnsi="Cambria Math"/>
                        </w:rPr>
                        <m:t>c</m:t>
                      </m:r>
                      <m:r>
                        <m:rPr>
                          <m:sty m:val="p"/>
                        </m:rPr>
                        <w:rPr>
                          <w:rFonts w:ascii="Cambria Math" w:hAnsi="Cambria Math"/>
                          <w:lang w:val="sv-SE"/>
                        </w:rPr>
                        <m:t>,</m:t>
                      </m:r>
                      <m:r>
                        <w:rPr>
                          <w:rFonts w:ascii="Cambria Math" w:hAnsi="Cambria Math"/>
                        </w:rPr>
                        <m:t>k</m:t>
                      </m:r>
                    </m:sub>
                  </m:sSub>
                  <m:d>
                    <m:dPr>
                      <m:ctrlPr>
                        <w:rPr>
                          <w:rFonts w:ascii="Cambria Math" w:hAnsi="Cambria Math"/>
                        </w:rPr>
                      </m:ctrlPr>
                    </m:dPr>
                    <m:e>
                      <m:r>
                        <w:rPr>
                          <w:rFonts w:ascii="Cambria Math" w:hAnsi="Cambria Math"/>
                        </w:rPr>
                        <m:t>i</m:t>
                      </m:r>
                    </m:e>
                  </m:d>
                </m:e>
              </m:mr>
              <m:mr>
                <m:e>
                  <m:sSub>
                    <m:sSubPr>
                      <m:ctrlPr>
                        <w:rPr>
                          <w:rFonts w:ascii="Cambria Math" w:hAnsi="Cambria Math"/>
                          <w:iCs/>
                        </w:rPr>
                      </m:ctrlPr>
                    </m:sSubPr>
                    <m:e>
                      <m:r>
                        <w:rPr>
                          <w:rFonts w:ascii="Cambria Math" w:hAnsi="Cambria Math"/>
                        </w:rPr>
                        <m:t>P</m:t>
                      </m:r>
                    </m:e>
                    <m:sub>
                      <m:r>
                        <m:rPr>
                          <m:sty m:val="p"/>
                        </m:rPr>
                        <w:rPr>
                          <w:rFonts w:ascii="Cambria Math" w:hAnsi="Cambria Math"/>
                          <w:lang w:val="sv-SE"/>
                        </w:rPr>
                        <m:t>O_PUSCH,</m:t>
                      </m:r>
                      <m:r>
                        <w:rPr>
                          <w:rFonts w:ascii="Cambria Math" w:hAnsi="Cambria Math"/>
                        </w:rPr>
                        <m:t>b</m:t>
                      </m:r>
                      <m:r>
                        <m:rPr>
                          <m:sty m:val="p"/>
                        </m:rPr>
                        <w:rPr>
                          <w:rFonts w:ascii="Cambria Math" w:hAnsi="Cambria Math"/>
                          <w:lang w:val="sv-SE"/>
                        </w:rPr>
                        <m:t>,</m:t>
                      </m:r>
                      <m:r>
                        <w:rPr>
                          <w:rFonts w:ascii="Cambria Math" w:hAnsi="Cambria Math"/>
                        </w:rPr>
                        <m:t>f</m:t>
                      </m:r>
                      <m:r>
                        <m:rPr>
                          <m:sty m:val="p"/>
                        </m:rPr>
                        <w:rPr>
                          <w:rFonts w:ascii="Cambria Math" w:hAnsi="Cambria Math"/>
                          <w:lang w:val="sv-SE"/>
                        </w:rPr>
                        <m:t>,</m:t>
                      </m:r>
                      <m:r>
                        <w:rPr>
                          <w:rFonts w:ascii="Cambria Math" w:hAnsi="Cambria Math"/>
                        </w:rPr>
                        <m:t>c</m:t>
                      </m:r>
                    </m:sub>
                  </m:sSub>
                  <m:d>
                    <m:dPr>
                      <m:ctrlPr>
                        <w:rPr>
                          <w:rFonts w:ascii="Cambria Math" w:hAnsi="Cambria Math"/>
                        </w:rPr>
                      </m:ctrlPr>
                    </m:dPr>
                    <m:e>
                      <m:r>
                        <w:rPr>
                          <w:rFonts w:ascii="Cambria Math" w:hAnsi="Cambria Math"/>
                        </w:rPr>
                        <m:t>j</m:t>
                      </m:r>
                    </m:e>
                  </m:d>
                  <m:r>
                    <m:rPr>
                      <m:sty m:val="p"/>
                    </m:rPr>
                    <w:rPr>
                      <w:rFonts w:ascii="Cambria Math" w:hAnsi="Cambria Math"/>
                      <w:lang w:val="sv-SE"/>
                    </w:rPr>
                    <m:t>+10</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lang w:val="sv-SE"/>
                            </w:rPr>
                            <m:t>log</m:t>
                          </m:r>
                        </m:e>
                        <m:sub>
                          <m:r>
                            <m:rPr>
                              <m:sty m:val="p"/>
                            </m:rPr>
                            <w:rPr>
                              <w:rFonts w:ascii="Cambria Math" w:hAnsi="Cambria Math"/>
                              <w:lang w:val="sv-SE"/>
                            </w:rPr>
                            <m:t>10</m:t>
                          </m:r>
                        </m:sub>
                      </m:sSub>
                    </m:fName>
                    <m:e>
                      <m:d>
                        <m:dPr>
                          <m:ctrlPr>
                            <w:rPr>
                              <w:rFonts w:ascii="Cambria Math" w:hAnsi="Cambria Math"/>
                            </w:rPr>
                          </m:ctrlPr>
                        </m:dPr>
                        <m:e>
                          <m:sSup>
                            <m:sSupPr>
                              <m:ctrlPr>
                                <w:rPr>
                                  <w:rFonts w:ascii="Cambria Math" w:hAnsi="Cambria Math"/>
                                </w:rPr>
                              </m:ctrlPr>
                            </m:sSupPr>
                            <m:e>
                              <m:r>
                                <m:rPr>
                                  <m:sty m:val="p"/>
                                </m:rPr>
                                <w:rPr>
                                  <w:rFonts w:ascii="Cambria Math" w:hAnsi="Cambria Math"/>
                                  <w:lang w:val="sv-SE"/>
                                </w:rPr>
                                <m:t>2</m:t>
                              </m:r>
                            </m:e>
                            <m:sup>
                              <m:r>
                                <w:rPr>
                                  <w:rFonts w:ascii="Cambria Math" w:hAnsi="Cambria Math"/>
                                </w:rPr>
                                <m:t>μ</m:t>
                              </m:r>
                            </m:sup>
                          </m:sSup>
                          <m:r>
                            <m:rPr>
                              <m:sty m:val="p"/>
                            </m:rPr>
                            <w:rPr>
                              <w:rFonts w:ascii="Cambria Math" w:hAnsi="Cambria Math"/>
                              <w:lang w:val="sv-SE"/>
                            </w:rPr>
                            <m:t>∙</m:t>
                          </m:r>
                          <m:sSubSup>
                            <m:sSubSupPr>
                              <m:ctrlPr>
                                <w:rPr>
                                  <w:rFonts w:ascii="Cambria Math" w:hAnsi="Cambria Math"/>
                                </w:rPr>
                              </m:ctrlPr>
                            </m:sSubSupPr>
                            <m:e>
                              <m:r>
                                <w:rPr>
                                  <w:rFonts w:ascii="Cambria Math" w:hAnsi="Cambria Math"/>
                                </w:rPr>
                                <m:t>M</m:t>
                              </m:r>
                            </m:e>
                            <m:sub>
                              <m:r>
                                <m:rPr>
                                  <m:sty m:val="p"/>
                                </m:rPr>
                                <w:rPr>
                                  <w:rFonts w:ascii="Cambria Math" w:hAnsi="Cambria Math"/>
                                  <w:lang w:val="sv-SE"/>
                                </w:rPr>
                                <m:t>RB,</m:t>
                              </m:r>
                              <m:r>
                                <w:rPr>
                                  <w:rFonts w:ascii="Cambria Math" w:hAnsi="Cambria Math"/>
                                </w:rPr>
                                <m:t>b</m:t>
                              </m:r>
                              <m:r>
                                <m:rPr>
                                  <m:sty m:val="p"/>
                                </m:rPr>
                                <w:rPr>
                                  <w:rFonts w:ascii="Cambria Math" w:hAnsi="Cambria Math"/>
                                  <w:lang w:val="sv-SE"/>
                                </w:rPr>
                                <m:t>,</m:t>
                              </m:r>
                              <m:r>
                                <w:rPr>
                                  <w:rFonts w:ascii="Cambria Math" w:hAnsi="Cambria Math"/>
                                </w:rPr>
                                <m:t>f</m:t>
                              </m:r>
                              <m:r>
                                <m:rPr>
                                  <m:sty m:val="p"/>
                                </m:rPr>
                                <w:rPr>
                                  <w:rFonts w:ascii="Cambria Math" w:hAnsi="Cambria Math"/>
                                  <w:lang w:val="sv-SE"/>
                                </w:rPr>
                                <m:t>,</m:t>
                              </m:r>
                              <m:r>
                                <w:rPr>
                                  <w:rFonts w:ascii="Cambria Math" w:hAnsi="Cambria Math"/>
                                </w:rPr>
                                <m:t>c</m:t>
                              </m:r>
                            </m:sub>
                            <m:sup>
                              <m:r>
                                <m:rPr>
                                  <m:sty m:val="p"/>
                                </m:rPr>
                                <w:rPr>
                                  <w:rFonts w:ascii="Cambria Math" w:hAnsi="Cambria Math"/>
                                  <w:lang w:val="sv-SE"/>
                                </w:rPr>
                                <m:t>PUSCH</m:t>
                              </m:r>
                            </m:sup>
                          </m:sSubSup>
                          <m:d>
                            <m:dPr>
                              <m:ctrlPr>
                                <w:rPr>
                                  <w:rFonts w:ascii="Cambria Math" w:hAnsi="Cambria Math"/>
                                </w:rPr>
                              </m:ctrlPr>
                            </m:dPr>
                            <m:e>
                              <m:r>
                                <w:rPr>
                                  <w:rFonts w:ascii="Cambria Math" w:hAnsi="Cambria Math"/>
                                </w:rPr>
                                <m:t>i</m:t>
                              </m:r>
                            </m:e>
                          </m:d>
                        </m:e>
                      </m:d>
                    </m:e>
                  </m:func>
                  <m:r>
                    <m:rPr>
                      <m:sty m:val="p"/>
                    </m:rPr>
                    <w:rPr>
                      <w:rFonts w:ascii="Cambria Math" w:hAnsi="Cambria Math"/>
                      <w:lang w:val="sv-SE"/>
                    </w:rPr>
                    <m:t>+</m:t>
                  </m:r>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lang w:val="sv-SE"/>
                        </w:rPr>
                        <m:t>,</m:t>
                      </m:r>
                      <m:r>
                        <w:rPr>
                          <w:rFonts w:ascii="Cambria Math" w:hAnsi="Cambria Math"/>
                        </w:rPr>
                        <m:t>f</m:t>
                      </m:r>
                      <m:r>
                        <m:rPr>
                          <m:sty m:val="p"/>
                        </m:rPr>
                        <w:rPr>
                          <w:rFonts w:ascii="Cambria Math" w:hAnsi="Cambria Math"/>
                          <w:lang w:val="sv-SE"/>
                        </w:rPr>
                        <m:t>,</m:t>
                      </m:r>
                      <m:r>
                        <w:rPr>
                          <w:rFonts w:ascii="Cambria Math" w:hAnsi="Cambria Math"/>
                        </w:rPr>
                        <m:t>c</m:t>
                      </m:r>
                    </m:sub>
                  </m:sSub>
                  <m:d>
                    <m:dPr>
                      <m:ctrlPr>
                        <w:rPr>
                          <w:rFonts w:ascii="Cambria Math" w:hAnsi="Cambria Math"/>
                        </w:rPr>
                      </m:ctrlPr>
                    </m:dPr>
                    <m:e>
                      <m:r>
                        <w:rPr>
                          <w:rFonts w:ascii="Cambria Math" w:hAnsi="Cambria Math"/>
                        </w:rPr>
                        <m:t>j</m:t>
                      </m:r>
                    </m:e>
                  </m:d>
                  <m:r>
                    <m:rPr>
                      <m:sty m:val="p"/>
                    </m:rPr>
                    <w:rPr>
                      <w:rFonts w:ascii="Cambria Math" w:hAnsi="Cambria Math"/>
                      <w:lang w:val="sv-SE"/>
                    </w:rPr>
                    <m:t>∙</m:t>
                  </m:r>
                  <m:sSub>
                    <m:sSubPr>
                      <m:ctrlPr>
                        <w:rPr>
                          <w:rFonts w:ascii="Cambria Math" w:hAnsi="Cambria Math"/>
                        </w:rPr>
                      </m:ctrlPr>
                    </m:sSubPr>
                    <m:e>
                      <m:r>
                        <w:rPr>
                          <w:rFonts w:ascii="Cambria Math" w:hAnsi="Cambria Math"/>
                        </w:rPr>
                        <m:t>PL</m:t>
                      </m:r>
                    </m:e>
                    <m:sub>
                      <m:r>
                        <w:rPr>
                          <w:rFonts w:ascii="Cambria Math" w:hAnsi="Cambria Math"/>
                        </w:rPr>
                        <m:t>b</m:t>
                      </m:r>
                      <m:r>
                        <m:rPr>
                          <m:sty m:val="p"/>
                        </m:rPr>
                        <w:rPr>
                          <w:rFonts w:ascii="Cambria Math" w:hAnsi="Cambria Math"/>
                          <w:lang w:val="sv-SE"/>
                        </w:rPr>
                        <m:t>,</m:t>
                      </m:r>
                      <m:r>
                        <w:rPr>
                          <w:rFonts w:ascii="Cambria Math" w:hAnsi="Cambria Math"/>
                        </w:rPr>
                        <m:t>f</m:t>
                      </m:r>
                      <m:r>
                        <m:rPr>
                          <m:sty m:val="p"/>
                        </m:rPr>
                        <w:rPr>
                          <w:rFonts w:ascii="Cambria Math" w:hAnsi="Cambria Math"/>
                          <w:lang w:val="sv-SE"/>
                        </w:rPr>
                        <m:t>,</m:t>
                      </m:r>
                      <m:r>
                        <w:rPr>
                          <w:rFonts w:ascii="Cambria Math" w:hAnsi="Cambria Math"/>
                        </w:rPr>
                        <m:t>c</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d</m:t>
                          </m:r>
                        </m:sub>
                      </m:sSub>
                    </m:e>
                  </m:d>
                  <m:r>
                    <m:rPr>
                      <m:sty m:val="p"/>
                    </m:rPr>
                    <w:rPr>
                      <w:rFonts w:ascii="Cambria Math" w:hAnsi="Cambria Math"/>
                      <w:lang w:val="sv-SE"/>
                    </w:rPr>
                    <m:t>+</m:t>
                  </m:r>
                  <m:sSub>
                    <m:sSubPr>
                      <m:ctrlPr>
                        <w:rPr>
                          <w:rFonts w:ascii="Cambria Math" w:hAnsi="Cambria Math"/>
                        </w:rPr>
                      </m:ctrlPr>
                    </m:sSubPr>
                    <m:e>
                      <m:r>
                        <m:rPr>
                          <m:sty m:val="p"/>
                        </m:rPr>
                        <w:rPr>
                          <w:rFonts w:ascii="Cambria Math" w:hAnsi="Cambria Math"/>
                          <w:lang w:val="sv-SE"/>
                        </w:rPr>
                        <m:t>∆</m:t>
                      </m:r>
                    </m:e>
                    <m:sub>
                      <m:r>
                        <m:rPr>
                          <m:sty m:val="p"/>
                        </m:rPr>
                        <w:rPr>
                          <w:rFonts w:ascii="Cambria Math" w:hAnsi="Cambria Math"/>
                          <w:lang w:val="sv-SE"/>
                        </w:rPr>
                        <m:t>TF,</m:t>
                      </m:r>
                      <m:r>
                        <w:rPr>
                          <w:rFonts w:ascii="Cambria Math" w:hAnsi="Cambria Math"/>
                        </w:rPr>
                        <m:t>b</m:t>
                      </m:r>
                      <m:r>
                        <m:rPr>
                          <m:sty m:val="p"/>
                        </m:rPr>
                        <w:rPr>
                          <w:rFonts w:ascii="Cambria Math" w:hAnsi="Cambria Math"/>
                          <w:lang w:val="sv-SE"/>
                        </w:rPr>
                        <m:t>,</m:t>
                      </m:r>
                      <m:r>
                        <w:rPr>
                          <w:rFonts w:ascii="Cambria Math" w:hAnsi="Cambria Math"/>
                        </w:rPr>
                        <m:t>f</m:t>
                      </m:r>
                      <m:r>
                        <m:rPr>
                          <m:sty m:val="p"/>
                        </m:rPr>
                        <w:rPr>
                          <w:rFonts w:ascii="Cambria Math" w:hAnsi="Cambria Math"/>
                          <w:lang w:val="sv-SE"/>
                        </w:rPr>
                        <m:t>,</m:t>
                      </m:r>
                      <m:r>
                        <w:rPr>
                          <w:rFonts w:ascii="Cambria Math" w:hAnsi="Cambria Math"/>
                        </w:rPr>
                        <m:t>c</m:t>
                      </m:r>
                    </m:sub>
                  </m:sSub>
                  <m:d>
                    <m:dPr>
                      <m:ctrlPr>
                        <w:rPr>
                          <w:rFonts w:ascii="Cambria Math" w:hAnsi="Cambria Math"/>
                        </w:rPr>
                      </m:ctrlPr>
                    </m:dPr>
                    <m:e>
                      <m:r>
                        <w:rPr>
                          <w:rFonts w:ascii="Cambria Math" w:hAnsi="Cambria Math"/>
                        </w:rPr>
                        <m:t>i</m:t>
                      </m:r>
                    </m:e>
                  </m:d>
                  <m:r>
                    <m:rPr>
                      <m:sty m:val="p"/>
                    </m:rPr>
                    <w:rPr>
                      <w:rFonts w:ascii="Cambria Math" w:hAnsi="Cambria Math"/>
                      <w:lang w:val="sv-SE"/>
                    </w:rPr>
                    <m:t>+</m:t>
                  </m:r>
                  <m:sSub>
                    <m:sSubPr>
                      <m:ctrlPr>
                        <w:rPr>
                          <w:rFonts w:ascii="Cambria Math" w:hAnsi="Cambria Math"/>
                          <w:iCs/>
                        </w:rPr>
                      </m:ctrlPr>
                    </m:sSubPr>
                    <m:e>
                      <m:r>
                        <w:rPr>
                          <w:rFonts w:ascii="Cambria Math" w:hAnsi="Cambria Math"/>
                        </w:rPr>
                        <m:t>f</m:t>
                      </m:r>
                    </m:e>
                    <m:sub>
                      <m:r>
                        <w:rPr>
                          <w:rFonts w:ascii="Cambria Math" w:hAnsi="Cambria Math"/>
                        </w:rPr>
                        <m:t>b</m:t>
                      </m:r>
                      <m:r>
                        <m:rPr>
                          <m:sty m:val="p"/>
                        </m:rPr>
                        <w:rPr>
                          <w:rFonts w:ascii="Cambria Math" w:hAnsi="Cambria Math"/>
                          <w:lang w:val="sv-SE"/>
                        </w:rPr>
                        <m:t>,</m:t>
                      </m:r>
                      <m:r>
                        <w:rPr>
                          <w:rFonts w:ascii="Cambria Math" w:hAnsi="Cambria Math"/>
                        </w:rPr>
                        <m:t>f</m:t>
                      </m:r>
                      <m:r>
                        <m:rPr>
                          <m:sty m:val="p"/>
                        </m:rPr>
                        <w:rPr>
                          <w:rFonts w:ascii="Cambria Math" w:hAnsi="Cambria Math"/>
                          <w:lang w:val="sv-SE"/>
                        </w:rPr>
                        <m:t>,</m:t>
                      </m:r>
                      <m:r>
                        <w:rPr>
                          <w:rFonts w:ascii="Cambria Math" w:hAnsi="Cambria Math"/>
                        </w:rPr>
                        <m:t>c</m:t>
                      </m:r>
                    </m:sub>
                  </m:sSub>
                  <m:d>
                    <m:dPr>
                      <m:ctrlPr>
                        <w:rPr>
                          <w:rFonts w:ascii="Cambria Math" w:hAnsi="Cambria Math"/>
                        </w:rPr>
                      </m:ctrlPr>
                    </m:dPr>
                    <m:e>
                      <m:r>
                        <w:rPr>
                          <w:rFonts w:ascii="Cambria Math" w:hAnsi="Cambria Math"/>
                        </w:rPr>
                        <m:t>i</m:t>
                      </m:r>
                      <m:r>
                        <m:rPr>
                          <m:sty m:val="p"/>
                        </m:rPr>
                        <w:rPr>
                          <w:rFonts w:ascii="Cambria Math" w:hAnsi="Cambria Math"/>
                          <w:lang w:val="sv-SE"/>
                        </w:rPr>
                        <m:t>,</m:t>
                      </m:r>
                      <m:r>
                        <w:rPr>
                          <w:rFonts w:ascii="Cambria Math" w:hAnsi="Cambria Math"/>
                        </w:rPr>
                        <m:t>l</m:t>
                      </m:r>
                    </m:e>
                  </m:d>
                  <m:r>
                    <m:rPr>
                      <m:sty m:val="p"/>
                    </m:rPr>
                    <w:rPr>
                      <w:rFonts w:ascii="Cambria Math" w:hAnsi="Cambria Math"/>
                      <w:lang w:val="sv-SE"/>
                    </w:rPr>
                    <m:t xml:space="preserve">  </m:t>
                  </m:r>
                </m:e>
              </m:mr>
            </m:m>
          </m:e>
        </m:d>
      </m:oMath>
      <w:r w:rsidR="00FA7B7D" w:rsidRPr="007B5011">
        <w:rPr>
          <w:lang w:val="sv-SE"/>
        </w:rPr>
        <w:t xml:space="preserve"> [dBm]</w:t>
      </w:r>
    </w:p>
    <w:p w14:paraId="0F091B93" w14:textId="77777777" w:rsidR="00FA7B7D" w:rsidRPr="00FA7B7D" w:rsidRDefault="00FA7B7D" w:rsidP="00FA7B7D">
      <w:pPr>
        <w:pStyle w:val="B1"/>
      </w:pPr>
      <w:r w:rsidRPr="00FA7B7D">
        <w:t>-</w:t>
      </w:r>
      <w:r w:rsidRPr="00FA7B7D">
        <w:tab/>
        <w:t>else,</w:t>
      </w:r>
      <w:r w:rsidRPr="00FA7B7D">
        <w:rPr>
          <w:rFonts w:eastAsia="PMingLiU"/>
          <w:lang w:eastAsia="zh-TW"/>
        </w:rPr>
        <w:t xml:space="preserve"> the UE </w:t>
      </w:r>
      <w:r w:rsidRPr="00FA7B7D">
        <w:t xml:space="preserve">determines the PUSCH transmission power </w:t>
      </w:r>
      <m:oMath>
        <m:sSub>
          <m:sSubPr>
            <m:ctrlPr>
              <w:rPr>
                <w:rFonts w:ascii="Cambria Math" w:hAnsi="Cambria Math"/>
                <w:iCs/>
              </w:rPr>
            </m:ctrlPr>
          </m:sSubPr>
          <m:e>
            <m:r>
              <w:rPr>
                <w:rFonts w:ascii="Cambria Math" w:hAnsi="Cambria Math"/>
              </w:rPr>
              <m:t>P</m:t>
            </m:r>
          </m:e>
          <m:sub>
            <m:r>
              <m:rPr>
                <m:nor/>
              </m:rPr>
              <w:rPr>
                <w:iCs/>
              </w:rPr>
              <m:t>PUSCH</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iCs/>
              </w:rPr>
            </m:ctrlPr>
          </m:sSubPr>
          <m:e>
            <m:r>
              <w:rPr>
                <w:rFonts w:ascii="Cambria Math" w:hAnsi="Cambria Math"/>
              </w:rPr>
              <m:t>q</m:t>
            </m:r>
          </m:e>
          <m:sub>
            <m:r>
              <w:rPr>
                <w:rFonts w:ascii="Cambria Math" w:hAnsi="Cambria Math"/>
              </w:rPr>
              <m:t>d</m:t>
            </m:r>
          </m:sub>
        </m:sSub>
        <m:r>
          <m:rPr>
            <m:sty m:val="p"/>
          </m:rPr>
          <w:rPr>
            <w:rFonts w:ascii="Cambria Math" w:hAnsi="Cambria Math"/>
          </w:rPr>
          <m:t>,</m:t>
        </m:r>
        <m:r>
          <w:rPr>
            <w:rFonts w:ascii="Cambria Math" w:hAnsi="Cambria Math"/>
          </w:rPr>
          <m:t>l</m:t>
        </m:r>
        <m:r>
          <m:rPr>
            <m:sty m:val="p"/>
          </m:rPr>
          <w:rPr>
            <w:rFonts w:ascii="Cambria Math" w:hAnsi="Cambria Math"/>
          </w:rPr>
          <m:t>)</m:t>
        </m:r>
      </m:oMath>
      <w:r w:rsidRPr="00FA7B7D">
        <w:t xml:space="preserve"> in PUSCH transmission occasion </w:t>
      </w:r>
      <m:oMath>
        <m:r>
          <w:rPr>
            <w:rFonts w:ascii="Cambria Math" w:hAnsi="Cambria Math"/>
          </w:rPr>
          <m:t>i</m:t>
        </m:r>
      </m:oMath>
      <w:r w:rsidRPr="00FA7B7D">
        <w:rPr>
          <w:iCs/>
        </w:rPr>
        <w:t xml:space="preserve"> </w:t>
      </w:r>
      <w:r w:rsidRPr="00FA7B7D">
        <w:t>as</w:t>
      </w:r>
    </w:p>
    <w:p w14:paraId="6B7394F7" w14:textId="77777777" w:rsidR="00FA7B7D" w:rsidRPr="007B5011" w:rsidRDefault="00000000" w:rsidP="00FA7B7D">
      <w:pPr>
        <w:pStyle w:val="EQ"/>
        <w:rPr>
          <w:lang w:val="sv-SE"/>
        </w:rPr>
      </w:pPr>
      <m:oMath>
        <m:sSub>
          <m:sSubPr>
            <m:ctrlPr>
              <w:rPr>
                <w:rFonts w:ascii="Cambria Math" w:hAnsi="Cambria Math"/>
                <w:iCs/>
              </w:rPr>
            </m:ctrlPr>
          </m:sSubPr>
          <m:e>
            <m:r>
              <w:rPr>
                <w:rFonts w:ascii="Cambria Math" w:hAnsi="Cambria Math"/>
              </w:rPr>
              <m:t>P</m:t>
            </m:r>
          </m:e>
          <m:sub>
            <m:r>
              <m:rPr>
                <m:nor/>
              </m:rPr>
              <w:rPr>
                <w:iCs/>
                <w:lang w:val="de-DE"/>
              </w:rPr>
              <m:t>PUSCH</m:t>
            </m:r>
            <m:r>
              <m:rPr>
                <m:sty m:val="p"/>
              </m:rPr>
              <w:rPr>
                <w:rFonts w:ascii="Cambria Math" w:hAnsi="Cambria Math"/>
                <w:lang w:val="de-DE"/>
              </w:rPr>
              <m:t>,</m:t>
            </m:r>
            <m:r>
              <w:rPr>
                <w:rFonts w:ascii="Cambria Math" w:hAnsi="Cambria Math"/>
              </w:rPr>
              <m:t>b</m:t>
            </m:r>
            <m:r>
              <m:rPr>
                <m:sty m:val="p"/>
              </m:rPr>
              <w:rPr>
                <w:rFonts w:ascii="Cambria Math" w:hAnsi="Cambria Math"/>
                <w:lang w:val="de-DE"/>
              </w:rPr>
              <m:t>,</m:t>
            </m:r>
            <m:r>
              <w:rPr>
                <w:rFonts w:ascii="Cambria Math" w:hAnsi="Cambria Math"/>
              </w:rPr>
              <m:t>f</m:t>
            </m:r>
            <m:r>
              <m:rPr>
                <m:sty m:val="p"/>
              </m:rPr>
              <w:rPr>
                <w:rFonts w:ascii="Cambria Math" w:hAnsi="Cambria Math"/>
                <w:lang w:val="de-DE"/>
              </w:rPr>
              <m:t>,</m:t>
            </m:r>
            <m:r>
              <w:rPr>
                <w:rFonts w:ascii="Cambria Math" w:hAnsi="Cambria Math"/>
              </w:rPr>
              <m:t>c</m:t>
            </m:r>
          </m:sub>
        </m:sSub>
        <m:d>
          <m:dPr>
            <m:ctrlPr>
              <w:rPr>
                <w:rFonts w:ascii="Cambria Math" w:hAnsi="Cambria Math"/>
              </w:rPr>
            </m:ctrlPr>
          </m:dPr>
          <m:e>
            <m:r>
              <w:rPr>
                <w:rFonts w:ascii="Cambria Math" w:hAnsi="Cambria Math"/>
              </w:rPr>
              <m:t>i</m:t>
            </m:r>
            <m:r>
              <m:rPr>
                <m:sty m:val="p"/>
              </m:rPr>
              <w:rPr>
                <w:rFonts w:ascii="Cambria Math" w:hAnsi="Cambria Math"/>
                <w:lang w:val="de-DE"/>
              </w:rPr>
              <m:t>,</m:t>
            </m:r>
            <m:r>
              <w:rPr>
                <w:rFonts w:ascii="Cambria Math" w:hAnsi="Cambria Math"/>
              </w:rPr>
              <m:t>j</m:t>
            </m:r>
            <m:r>
              <m:rPr>
                <m:sty m:val="p"/>
              </m:rPr>
              <w:rPr>
                <w:rFonts w:ascii="Cambria Math" w:hAnsi="Cambria Math"/>
                <w:lang w:val="de-DE"/>
              </w:rPr>
              <m:t>,</m:t>
            </m:r>
            <m:sSub>
              <m:sSubPr>
                <m:ctrlPr>
                  <w:rPr>
                    <w:rFonts w:ascii="Cambria Math" w:hAnsi="Cambria Math"/>
                    <w:iCs/>
                  </w:rPr>
                </m:ctrlPr>
              </m:sSubPr>
              <m:e>
                <m:r>
                  <w:rPr>
                    <w:rFonts w:ascii="Cambria Math" w:hAnsi="Cambria Math"/>
                  </w:rPr>
                  <m:t>q</m:t>
                </m:r>
              </m:e>
              <m:sub>
                <m:r>
                  <w:rPr>
                    <w:rFonts w:ascii="Cambria Math" w:hAnsi="Cambria Math"/>
                  </w:rPr>
                  <m:t>d</m:t>
                </m:r>
              </m:sub>
            </m:sSub>
            <m:r>
              <m:rPr>
                <m:sty m:val="p"/>
              </m:rPr>
              <w:rPr>
                <w:rFonts w:ascii="Cambria Math" w:hAnsi="Cambria Math"/>
                <w:lang w:val="de-DE"/>
              </w:rPr>
              <m:t>,</m:t>
            </m:r>
            <m:r>
              <w:rPr>
                <w:rFonts w:ascii="Cambria Math" w:hAnsi="Cambria Math"/>
              </w:rPr>
              <m:t>l</m:t>
            </m:r>
          </m:e>
        </m:d>
        <m:r>
          <m:rPr>
            <m:sty m:val="p"/>
          </m:rPr>
          <w:rPr>
            <w:rFonts w:ascii="Cambria Math" w:hAnsi="Cambria Math"/>
            <w:lang w:val="de-DE"/>
          </w:rPr>
          <m:t>=</m:t>
        </m:r>
        <m:r>
          <m:rPr>
            <m:sty m:val="p"/>
          </m:rPr>
          <w:rPr>
            <w:rFonts w:ascii="Cambria Math" w:hAnsi="Cambria Math"/>
            <w:lang w:val="sv-SE"/>
          </w:rPr>
          <m:t>min</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Cs/>
                        </w:rPr>
                      </m:ctrlPr>
                    </m:sSubPr>
                    <m:e>
                      <m:r>
                        <w:rPr>
                          <w:rFonts w:ascii="Cambria Math" w:hAnsi="Cambria Math"/>
                        </w:rPr>
                        <m:t>P</m:t>
                      </m:r>
                    </m:e>
                    <m:sub>
                      <m:r>
                        <m:rPr>
                          <m:nor/>
                        </m:rPr>
                        <w:rPr>
                          <w:iCs/>
                          <w:lang w:val="sv-SE"/>
                        </w:rPr>
                        <m:t>CMAX</m:t>
                      </m:r>
                      <m:r>
                        <m:rPr>
                          <m:sty m:val="p"/>
                        </m:rPr>
                        <w:rPr>
                          <w:rFonts w:ascii="Cambria Math" w:hAnsi="Cambria Math"/>
                          <w:lang w:val="sv-SE"/>
                        </w:rPr>
                        <m:t>,</m:t>
                      </m:r>
                      <m:r>
                        <w:rPr>
                          <w:rFonts w:ascii="Cambria Math" w:hAnsi="Cambria Math"/>
                        </w:rPr>
                        <m:t>f</m:t>
                      </m:r>
                      <m:r>
                        <m:rPr>
                          <m:sty m:val="p"/>
                        </m:rPr>
                        <w:rPr>
                          <w:rFonts w:ascii="Cambria Math" w:hAnsi="Cambria Math"/>
                          <w:lang w:val="sv-SE"/>
                        </w:rPr>
                        <m:t>,</m:t>
                      </m:r>
                      <m:r>
                        <w:rPr>
                          <w:rFonts w:ascii="Cambria Math" w:hAnsi="Cambria Math"/>
                        </w:rPr>
                        <m:t>c</m:t>
                      </m:r>
                    </m:sub>
                  </m:sSub>
                  <m:d>
                    <m:dPr>
                      <m:ctrlPr>
                        <w:rPr>
                          <w:rFonts w:ascii="Cambria Math" w:hAnsi="Cambria Math"/>
                        </w:rPr>
                      </m:ctrlPr>
                    </m:dPr>
                    <m:e>
                      <m:r>
                        <w:rPr>
                          <w:rFonts w:ascii="Cambria Math" w:hAnsi="Cambria Math"/>
                        </w:rPr>
                        <m:t>i</m:t>
                      </m:r>
                    </m:e>
                  </m:d>
                </m:e>
              </m:mr>
              <m:mr>
                <m:e>
                  <m:sSub>
                    <m:sSubPr>
                      <m:ctrlPr>
                        <w:rPr>
                          <w:rFonts w:ascii="Cambria Math" w:hAnsi="Cambria Math"/>
                          <w:iCs/>
                        </w:rPr>
                      </m:ctrlPr>
                    </m:sSubPr>
                    <m:e>
                      <m:r>
                        <w:rPr>
                          <w:rFonts w:ascii="Cambria Math" w:hAnsi="Cambria Math"/>
                        </w:rPr>
                        <m:t>P</m:t>
                      </m:r>
                    </m:e>
                    <m:sub>
                      <m:r>
                        <m:rPr>
                          <m:sty m:val="p"/>
                        </m:rPr>
                        <w:rPr>
                          <w:rFonts w:ascii="Cambria Math" w:hAnsi="Cambria Math"/>
                          <w:lang w:val="sv-SE"/>
                        </w:rPr>
                        <m:t>O_PUSCH,</m:t>
                      </m:r>
                      <m:r>
                        <w:rPr>
                          <w:rFonts w:ascii="Cambria Math" w:hAnsi="Cambria Math"/>
                        </w:rPr>
                        <m:t>b</m:t>
                      </m:r>
                      <m:r>
                        <m:rPr>
                          <m:sty m:val="p"/>
                        </m:rPr>
                        <w:rPr>
                          <w:rFonts w:ascii="Cambria Math" w:hAnsi="Cambria Math"/>
                          <w:lang w:val="sv-SE"/>
                        </w:rPr>
                        <m:t>,</m:t>
                      </m:r>
                      <m:r>
                        <w:rPr>
                          <w:rFonts w:ascii="Cambria Math" w:hAnsi="Cambria Math"/>
                        </w:rPr>
                        <m:t>f</m:t>
                      </m:r>
                      <m:r>
                        <m:rPr>
                          <m:sty m:val="p"/>
                        </m:rPr>
                        <w:rPr>
                          <w:rFonts w:ascii="Cambria Math" w:hAnsi="Cambria Math"/>
                          <w:lang w:val="sv-SE"/>
                        </w:rPr>
                        <m:t>,</m:t>
                      </m:r>
                      <m:r>
                        <w:rPr>
                          <w:rFonts w:ascii="Cambria Math" w:hAnsi="Cambria Math"/>
                        </w:rPr>
                        <m:t>c</m:t>
                      </m:r>
                    </m:sub>
                  </m:sSub>
                  <m:d>
                    <m:dPr>
                      <m:ctrlPr>
                        <w:rPr>
                          <w:rFonts w:ascii="Cambria Math" w:hAnsi="Cambria Math"/>
                        </w:rPr>
                      </m:ctrlPr>
                    </m:dPr>
                    <m:e>
                      <m:r>
                        <w:rPr>
                          <w:rFonts w:ascii="Cambria Math" w:hAnsi="Cambria Math"/>
                        </w:rPr>
                        <m:t>j</m:t>
                      </m:r>
                    </m:e>
                  </m:d>
                  <m:r>
                    <m:rPr>
                      <m:sty m:val="p"/>
                    </m:rPr>
                    <w:rPr>
                      <w:rFonts w:ascii="Cambria Math" w:hAnsi="Cambria Math"/>
                      <w:lang w:val="sv-SE"/>
                    </w:rPr>
                    <m:t>+10</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lang w:val="sv-SE"/>
                            </w:rPr>
                            <m:t>log</m:t>
                          </m:r>
                        </m:e>
                        <m:sub>
                          <m:r>
                            <m:rPr>
                              <m:sty m:val="p"/>
                            </m:rPr>
                            <w:rPr>
                              <w:rFonts w:ascii="Cambria Math" w:hAnsi="Cambria Math"/>
                              <w:lang w:val="sv-SE"/>
                            </w:rPr>
                            <m:t>10</m:t>
                          </m:r>
                        </m:sub>
                      </m:sSub>
                    </m:fName>
                    <m:e>
                      <m:d>
                        <m:dPr>
                          <m:ctrlPr>
                            <w:rPr>
                              <w:rFonts w:ascii="Cambria Math" w:hAnsi="Cambria Math"/>
                            </w:rPr>
                          </m:ctrlPr>
                        </m:dPr>
                        <m:e>
                          <m:sSup>
                            <m:sSupPr>
                              <m:ctrlPr>
                                <w:rPr>
                                  <w:rFonts w:ascii="Cambria Math" w:hAnsi="Cambria Math"/>
                                </w:rPr>
                              </m:ctrlPr>
                            </m:sSupPr>
                            <m:e>
                              <m:r>
                                <m:rPr>
                                  <m:sty m:val="p"/>
                                </m:rPr>
                                <w:rPr>
                                  <w:rFonts w:ascii="Cambria Math" w:hAnsi="Cambria Math"/>
                                  <w:lang w:val="sv-SE"/>
                                </w:rPr>
                                <m:t>2</m:t>
                              </m:r>
                            </m:e>
                            <m:sup>
                              <m:r>
                                <w:rPr>
                                  <w:rFonts w:ascii="Cambria Math" w:hAnsi="Cambria Math"/>
                                </w:rPr>
                                <m:t>μ</m:t>
                              </m:r>
                            </m:sup>
                          </m:sSup>
                          <m:r>
                            <m:rPr>
                              <m:sty m:val="p"/>
                            </m:rPr>
                            <w:rPr>
                              <w:rFonts w:ascii="Cambria Math" w:hAnsi="Cambria Math"/>
                              <w:lang w:val="sv-SE"/>
                            </w:rPr>
                            <m:t>∙</m:t>
                          </m:r>
                          <m:sSubSup>
                            <m:sSubSupPr>
                              <m:ctrlPr>
                                <w:rPr>
                                  <w:rFonts w:ascii="Cambria Math" w:hAnsi="Cambria Math"/>
                                </w:rPr>
                              </m:ctrlPr>
                            </m:sSubSupPr>
                            <m:e>
                              <m:r>
                                <w:rPr>
                                  <w:rFonts w:ascii="Cambria Math" w:hAnsi="Cambria Math"/>
                                </w:rPr>
                                <m:t>M</m:t>
                              </m:r>
                            </m:e>
                            <m:sub>
                              <m:r>
                                <m:rPr>
                                  <m:sty m:val="p"/>
                                </m:rPr>
                                <w:rPr>
                                  <w:rFonts w:ascii="Cambria Math" w:hAnsi="Cambria Math"/>
                                  <w:lang w:val="sv-SE"/>
                                </w:rPr>
                                <m:t>RB,</m:t>
                              </m:r>
                              <m:r>
                                <w:rPr>
                                  <w:rFonts w:ascii="Cambria Math" w:hAnsi="Cambria Math"/>
                                </w:rPr>
                                <m:t>b</m:t>
                              </m:r>
                              <m:r>
                                <m:rPr>
                                  <m:sty m:val="p"/>
                                </m:rPr>
                                <w:rPr>
                                  <w:rFonts w:ascii="Cambria Math" w:hAnsi="Cambria Math"/>
                                  <w:lang w:val="sv-SE"/>
                                </w:rPr>
                                <m:t>,</m:t>
                              </m:r>
                              <m:r>
                                <w:rPr>
                                  <w:rFonts w:ascii="Cambria Math" w:hAnsi="Cambria Math"/>
                                </w:rPr>
                                <m:t>f</m:t>
                              </m:r>
                              <m:r>
                                <m:rPr>
                                  <m:sty m:val="p"/>
                                </m:rPr>
                                <w:rPr>
                                  <w:rFonts w:ascii="Cambria Math" w:hAnsi="Cambria Math"/>
                                  <w:lang w:val="sv-SE"/>
                                </w:rPr>
                                <m:t>,</m:t>
                              </m:r>
                              <m:r>
                                <w:rPr>
                                  <w:rFonts w:ascii="Cambria Math" w:hAnsi="Cambria Math"/>
                                </w:rPr>
                                <m:t>c</m:t>
                              </m:r>
                            </m:sub>
                            <m:sup>
                              <m:r>
                                <m:rPr>
                                  <m:sty m:val="p"/>
                                </m:rPr>
                                <w:rPr>
                                  <w:rFonts w:ascii="Cambria Math" w:hAnsi="Cambria Math"/>
                                  <w:lang w:val="sv-SE"/>
                                </w:rPr>
                                <m:t>PUSCH</m:t>
                              </m:r>
                            </m:sup>
                          </m:sSubSup>
                          <m:d>
                            <m:dPr>
                              <m:ctrlPr>
                                <w:rPr>
                                  <w:rFonts w:ascii="Cambria Math" w:hAnsi="Cambria Math"/>
                                </w:rPr>
                              </m:ctrlPr>
                            </m:dPr>
                            <m:e>
                              <m:r>
                                <w:rPr>
                                  <w:rFonts w:ascii="Cambria Math" w:hAnsi="Cambria Math"/>
                                </w:rPr>
                                <m:t>i</m:t>
                              </m:r>
                            </m:e>
                          </m:d>
                        </m:e>
                      </m:d>
                    </m:e>
                  </m:func>
                  <m:r>
                    <m:rPr>
                      <m:sty m:val="p"/>
                    </m:rPr>
                    <w:rPr>
                      <w:rFonts w:ascii="Cambria Math" w:hAnsi="Cambria Math"/>
                      <w:lang w:val="sv-SE"/>
                    </w:rPr>
                    <m:t>+</m:t>
                  </m:r>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lang w:val="sv-SE"/>
                        </w:rPr>
                        <m:t>,</m:t>
                      </m:r>
                      <m:r>
                        <w:rPr>
                          <w:rFonts w:ascii="Cambria Math" w:hAnsi="Cambria Math"/>
                        </w:rPr>
                        <m:t>f</m:t>
                      </m:r>
                      <m:r>
                        <m:rPr>
                          <m:sty m:val="p"/>
                        </m:rPr>
                        <w:rPr>
                          <w:rFonts w:ascii="Cambria Math" w:hAnsi="Cambria Math"/>
                          <w:lang w:val="sv-SE"/>
                        </w:rPr>
                        <m:t>,</m:t>
                      </m:r>
                      <m:r>
                        <w:rPr>
                          <w:rFonts w:ascii="Cambria Math" w:hAnsi="Cambria Math"/>
                        </w:rPr>
                        <m:t>c</m:t>
                      </m:r>
                    </m:sub>
                  </m:sSub>
                  <m:d>
                    <m:dPr>
                      <m:ctrlPr>
                        <w:rPr>
                          <w:rFonts w:ascii="Cambria Math" w:hAnsi="Cambria Math"/>
                        </w:rPr>
                      </m:ctrlPr>
                    </m:dPr>
                    <m:e>
                      <m:r>
                        <w:rPr>
                          <w:rFonts w:ascii="Cambria Math" w:hAnsi="Cambria Math"/>
                        </w:rPr>
                        <m:t>j</m:t>
                      </m:r>
                    </m:e>
                  </m:d>
                  <m:r>
                    <m:rPr>
                      <m:sty m:val="p"/>
                    </m:rPr>
                    <w:rPr>
                      <w:rFonts w:ascii="Cambria Math" w:hAnsi="Cambria Math"/>
                      <w:lang w:val="sv-SE"/>
                    </w:rPr>
                    <m:t>∙</m:t>
                  </m:r>
                  <m:sSub>
                    <m:sSubPr>
                      <m:ctrlPr>
                        <w:rPr>
                          <w:rFonts w:ascii="Cambria Math" w:hAnsi="Cambria Math"/>
                        </w:rPr>
                      </m:ctrlPr>
                    </m:sSubPr>
                    <m:e>
                      <m:r>
                        <w:rPr>
                          <w:rFonts w:ascii="Cambria Math" w:hAnsi="Cambria Math"/>
                        </w:rPr>
                        <m:t>PL</m:t>
                      </m:r>
                    </m:e>
                    <m:sub>
                      <m:r>
                        <w:rPr>
                          <w:rFonts w:ascii="Cambria Math" w:hAnsi="Cambria Math"/>
                        </w:rPr>
                        <m:t>b</m:t>
                      </m:r>
                      <m:r>
                        <m:rPr>
                          <m:sty m:val="p"/>
                        </m:rPr>
                        <w:rPr>
                          <w:rFonts w:ascii="Cambria Math" w:hAnsi="Cambria Math"/>
                          <w:lang w:val="sv-SE"/>
                        </w:rPr>
                        <m:t>,</m:t>
                      </m:r>
                      <m:r>
                        <w:rPr>
                          <w:rFonts w:ascii="Cambria Math" w:hAnsi="Cambria Math"/>
                        </w:rPr>
                        <m:t>f</m:t>
                      </m:r>
                      <m:r>
                        <m:rPr>
                          <m:sty m:val="p"/>
                        </m:rPr>
                        <w:rPr>
                          <w:rFonts w:ascii="Cambria Math" w:hAnsi="Cambria Math"/>
                          <w:lang w:val="sv-SE"/>
                        </w:rPr>
                        <m:t>,</m:t>
                      </m:r>
                      <m:r>
                        <w:rPr>
                          <w:rFonts w:ascii="Cambria Math" w:hAnsi="Cambria Math"/>
                        </w:rPr>
                        <m:t>c</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d</m:t>
                          </m:r>
                        </m:sub>
                      </m:sSub>
                    </m:e>
                  </m:d>
                  <m:r>
                    <m:rPr>
                      <m:sty m:val="p"/>
                    </m:rPr>
                    <w:rPr>
                      <w:rFonts w:ascii="Cambria Math" w:hAnsi="Cambria Math"/>
                      <w:lang w:val="sv-SE"/>
                    </w:rPr>
                    <m:t>+</m:t>
                  </m:r>
                  <m:sSub>
                    <m:sSubPr>
                      <m:ctrlPr>
                        <w:rPr>
                          <w:rFonts w:ascii="Cambria Math" w:hAnsi="Cambria Math"/>
                        </w:rPr>
                      </m:ctrlPr>
                    </m:sSubPr>
                    <m:e>
                      <m:r>
                        <m:rPr>
                          <m:sty m:val="p"/>
                        </m:rPr>
                        <w:rPr>
                          <w:rFonts w:ascii="Cambria Math" w:hAnsi="Cambria Math"/>
                          <w:lang w:val="sv-SE"/>
                        </w:rPr>
                        <m:t>∆</m:t>
                      </m:r>
                    </m:e>
                    <m:sub>
                      <m:r>
                        <m:rPr>
                          <m:sty m:val="p"/>
                        </m:rPr>
                        <w:rPr>
                          <w:rFonts w:ascii="Cambria Math" w:hAnsi="Cambria Math"/>
                          <w:lang w:val="sv-SE"/>
                        </w:rPr>
                        <m:t>TF,</m:t>
                      </m:r>
                      <m:r>
                        <w:rPr>
                          <w:rFonts w:ascii="Cambria Math" w:hAnsi="Cambria Math"/>
                        </w:rPr>
                        <m:t>b</m:t>
                      </m:r>
                      <m:r>
                        <m:rPr>
                          <m:sty m:val="p"/>
                        </m:rPr>
                        <w:rPr>
                          <w:rFonts w:ascii="Cambria Math" w:hAnsi="Cambria Math"/>
                          <w:lang w:val="sv-SE"/>
                        </w:rPr>
                        <m:t>,</m:t>
                      </m:r>
                      <m:r>
                        <w:rPr>
                          <w:rFonts w:ascii="Cambria Math" w:hAnsi="Cambria Math"/>
                        </w:rPr>
                        <m:t>f</m:t>
                      </m:r>
                      <m:r>
                        <m:rPr>
                          <m:sty m:val="p"/>
                        </m:rPr>
                        <w:rPr>
                          <w:rFonts w:ascii="Cambria Math" w:hAnsi="Cambria Math"/>
                          <w:lang w:val="sv-SE"/>
                        </w:rPr>
                        <m:t>,</m:t>
                      </m:r>
                      <m:r>
                        <w:rPr>
                          <w:rFonts w:ascii="Cambria Math" w:hAnsi="Cambria Math"/>
                        </w:rPr>
                        <m:t>c</m:t>
                      </m:r>
                    </m:sub>
                  </m:sSub>
                  <m:d>
                    <m:dPr>
                      <m:ctrlPr>
                        <w:rPr>
                          <w:rFonts w:ascii="Cambria Math" w:hAnsi="Cambria Math"/>
                        </w:rPr>
                      </m:ctrlPr>
                    </m:dPr>
                    <m:e>
                      <m:r>
                        <w:rPr>
                          <w:rFonts w:ascii="Cambria Math" w:hAnsi="Cambria Math"/>
                        </w:rPr>
                        <m:t>i</m:t>
                      </m:r>
                    </m:e>
                  </m:d>
                  <m:r>
                    <m:rPr>
                      <m:sty m:val="p"/>
                    </m:rPr>
                    <w:rPr>
                      <w:rFonts w:ascii="Cambria Math" w:hAnsi="Cambria Math"/>
                      <w:lang w:val="sv-SE"/>
                    </w:rPr>
                    <m:t>+</m:t>
                  </m:r>
                  <m:sSub>
                    <m:sSubPr>
                      <m:ctrlPr>
                        <w:rPr>
                          <w:rFonts w:ascii="Cambria Math" w:hAnsi="Cambria Math"/>
                          <w:iCs/>
                        </w:rPr>
                      </m:ctrlPr>
                    </m:sSubPr>
                    <m:e>
                      <m:r>
                        <w:rPr>
                          <w:rFonts w:ascii="Cambria Math" w:hAnsi="Cambria Math"/>
                        </w:rPr>
                        <m:t>f</m:t>
                      </m:r>
                    </m:e>
                    <m:sub>
                      <m:r>
                        <w:rPr>
                          <w:rFonts w:ascii="Cambria Math" w:hAnsi="Cambria Math"/>
                        </w:rPr>
                        <m:t>b</m:t>
                      </m:r>
                      <m:r>
                        <m:rPr>
                          <m:sty m:val="p"/>
                        </m:rPr>
                        <w:rPr>
                          <w:rFonts w:ascii="Cambria Math" w:hAnsi="Cambria Math"/>
                          <w:lang w:val="sv-SE"/>
                        </w:rPr>
                        <m:t>,</m:t>
                      </m:r>
                      <m:r>
                        <w:rPr>
                          <w:rFonts w:ascii="Cambria Math" w:hAnsi="Cambria Math"/>
                        </w:rPr>
                        <m:t>f</m:t>
                      </m:r>
                      <m:r>
                        <m:rPr>
                          <m:sty m:val="p"/>
                        </m:rPr>
                        <w:rPr>
                          <w:rFonts w:ascii="Cambria Math" w:hAnsi="Cambria Math"/>
                          <w:lang w:val="sv-SE"/>
                        </w:rPr>
                        <m:t>,</m:t>
                      </m:r>
                      <m:r>
                        <w:rPr>
                          <w:rFonts w:ascii="Cambria Math" w:hAnsi="Cambria Math"/>
                        </w:rPr>
                        <m:t>c</m:t>
                      </m:r>
                    </m:sub>
                  </m:sSub>
                  <m:d>
                    <m:dPr>
                      <m:ctrlPr>
                        <w:rPr>
                          <w:rFonts w:ascii="Cambria Math" w:hAnsi="Cambria Math"/>
                        </w:rPr>
                      </m:ctrlPr>
                    </m:dPr>
                    <m:e>
                      <m:r>
                        <w:rPr>
                          <w:rFonts w:ascii="Cambria Math" w:hAnsi="Cambria Math"/>
                        </w:rPr>
                        <m:t>i</m:t>
                      </m:r>
                      <m:r>
                        <m:rPr>
                          <m:sty m:val="p"/>
                        </m:rPr>
                        <w:rPr>
                          <w:rFonts w:ascii="Cambria Math" w:hAnsi="Cambria Math"/>
                          <w:lang w:val="sv-SE"/>
                        </w:rPr>
                        <m:t>,</m:t>
                      </m:r>
                      <m:r>
                        <w:rPr>
                          <w:rFonts w:ascii="Cambria Math" w:hAnsi="Cambria Math"/>
                        </w:rPr>
                        <m:t>l</m:t>
                      </m:r>
                    </m:e>
                  </m:d>
                  <m:r>
                    <m:rPr>
                      <m:sty m:val="p"/>
                    </m:rPr>
                    <w:rPr>
                      <w:rFonts w:ascii="Cambria Math" w:hAnsi="Cambria Math"/>
                      <w:lang w:val="sv-SE"/>
                    </w:rPr>
                    <m:t xml:space="preserve">  </m:t>
                  </m:r>
                </m:e>
              </m:mr>
            </m:m>
          </m:e>
        </m:d>
      </m:oMath>
      <w:r w:rsidR="00FA7B7D" w:rsidRPr="007B5011">
        <w:rPr>
          <w:lang w:val="sv-SE"/>
        </w:rPr>
        <w:t xml:space="preserve"> [dBm]</w:t>
      </w:r>
    </w:p>
    <w:p w14:paraId="4C26BB45" w14:textId="77777777" w:rsidR="00FA7B7D" w:rsidRPr="00FA7B7D" w:rsidRDefault="00FA7B7D" w:rsidP="00FA7B7D">
      <w:r w:rsidRPr="00FA7B7D">
        <w:t>where,</w:t>
      </w:r>
    </w:p>
    <w:p w14:paraId="04EB2382" w14:textId="77777777" w:rsidR="00FA7B7D" w:rsidRPr="00FA7B7D" w:rsidRDefault="00FA7B7D" w:rsidP="00FA7B7D">
      <w:pPr>
        <w:pStyle w:val="B1"/>
        <w:rPr>
          <w:sz w:val="18"/>
        </w:rPr>
      </w:pPr>
      <w:r w:rsidRPr="00FA7B7D">
        <w:t>-</w:t>
      </w:r>
      <w:r w:rsidRPr="00FA7B7D">
        <w:tab/>
      </w:r>
      <m:oMath>
        <m:sSub>
          <m:sSubPr>
            <m:ctrlPr>
              <w:rPr>
                <w:rFonts w:ascii="Cambria Math" w:hAnsi="Cambria Math"/>
                <w:iCs/>
              </w:rPr>
            </m:ctrlPr>
          </m:sSubPr>
          <m:e>
            <m:r>
              <w:rPr>
                <w:rFonts w:ascii="Cambria Math" w:hAnsi="Cambria Math"/>
              </w:rPr>
              <m:t>P</m:t>
            </m:r>
          </m:e>
          <m:sub>
            <m:r>
              <m:rPr>
                <m:nor/>
              </m:rPr>
              <w:rPr>
                <w:iCs/>
              </w:rPr>
              <m:t>CMAX</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c,k</m:t>
            </m:r>
          </m:sub>
        </m:sSub>
        <m:r>
          <m:rPr>
            <m:sty m:val="p"/>
          </m:rPr>
          <w:rPr>
            <w:rFonts w:ascii="Cambria Math" w:hAnsi="Cambria Math"/>
          </w:rPr>
          <m:t>(</m:t>
        </m:r>
        <m:r>
          <w:rPr>
            <w:rFonts w:ascii="Cambria Math" w:hAnsi="Cambria Math"/>
          </w:rPr>
          <m:t>i</m:t>
        </m:r>
        <m:r>
          <m:rPr>
            <m:sty m:val="p"/>
          </m:rPr>
          <w:rPr>
            <w:rFonts w:ascii="Cambria Math" w:hAnsi="Cambria Math"/>
          </w:rPr>
          <m:t>)</m:t>
        </m:r>
      </m:oMath>
      <w:r w:rsidRPr="00FA7B7D">
        <w:t xml:space="preserve"> is the UE configured </w:t>
      </w:r>
      <w:r w:rsidRPr="00FA7B7D">
        <w:rPr>
          <w:rFonts w:eastAsia="Calibri"/>
        </w:rPr>
        <w:t>maximum output</w:t>
      </w:r>
      <w:r w:rsidRPr="00FA7B7D">
        <w:t xml:space="preserve"> power for the k-th indicated </w:t>
      </w:r>
      <w:r w:rsidRPr="00FA7B7D">
        <w:rPr>
          <w:i/>
          <w:iCs/>
        </w:rPr>
        <w:t>TCI-State</w:t>
      </w:r>
      <w:r w:rsidRPr="00FA7B7D">
        <w:t xml:space="preserve"> or </w:t>
      </w:r>
      <w:r w:rsidRPr="00FA7B7D">
        <w:rPr>
          <w:i/>
          <w:iCs/>
        </w:rPr>
        <w:t>TCI-UL-State</w:t>
      </w:r>
      <w:r w:rsidRPr="00FA7B7D">
        <w:t xml:space="preserve"> defined in [8-2, TS 38.101-2] for carrier </w:t>
      </w:r>
      <m:oMath>
        <m:r>
          <w:rPr>
            <w:rFonts w:ascii="Cambria Math" w:hAnsi="Cambria Math"/>
          </w:rPr>
          <m:t>f</m:t>
        </m:r>
      </m:oMath>
      <w:r w:rsidRPr="00FA7B7D">
        <w:rPr>
          <w:iCs/>
        </w:rPr>
        <w:t xml:space="preserve"> of </w:t>
      </w:r>
      <w:r w:rsidRPr="00FA7B7D">
        <w:t xml:space="preserve">serving cell </w:t>
      </w:r>
      <m:oMath>
        <m:r>
          <w:rPr>
            <w:rFonts w:ascii="Cambria Math" w:hAnsi="Cambria Math"/>
          </w:rPr>
          <m:t>c</m:t>
        </m:r>
      </m:oMath>
      <w:r w:rsidRPr="00FA7B7D">
        <w:t xml:space="preserve"> in PUSCH transmission occasion </w:t>
      </w:r>
      <m:oMath>
        <m:r>
          <w:rPr>
            <w:rFonts w:ascii="Cambria Math" w:hAnsi="Cambria Math"/>
          </w:rPr>
          <m:t>i</m:t>
        </m:r>
      </m:oMath>
      <w:r w:rsidRPr="00FA7B7D">
        <w:t xml:space="preserve"> .</w:t>
      </w:r>
    </w:p>
    <w:p w14:paraId="1FA91817" w14:textId="3B1F655A" w:rsidR="001B6CA8" w:rsidRPr="00B916EC" w:rsidRDefault="00416A87" w:rsidP="00416A87">
      <w:pPr>
        <w:pStyle w:val="B1"/>
      </w:pPr>
      <w:r>
        <w:t>-</w:t>
      </w:r>
      <w:r>
        <w:tab/>
      </w:r>
      <m:oMath>
        <m:sSub>
          <m:sSubPr>
            <m:ctrlPr>
              <w:rPr>
                <w:rFonts w:ascii="Cambria Math" w:hAnsi="Cambria Math"/>
                <w:iCs/>
              </w:rPr>
            </m:ctrlPr>
          </m:sSubPr>
          <m:e>
            <m:r>
              <w:rPr>
                <w:rFonts w:ascii="Cambria Math" w:hAnsi="Cambria Math"/>
              </w:rPr>
              <m:t>P</m:t>
            </m:r>
          </m:e>
          <m:sub>
            <m:r>
              <m:rPr>
                <m:nor/>
              </m:rPr>
              <w:rPr>
                <w:rFonts w:ascii="Cambria Math"/>
                <w:iCs/>
              </w:rPr>
              <m:t>C</m:t>
            </m:r>
            <m:r>
              <m:rPr>
                <m:nor/>
              </m:rPr>
              <w:rPr>
                <w:rFonts w:ascii="Cambria Math"/>
                <w:iCs/>
                <w:lang w:val="en-US"/>
              </w:rPr>
              <m:t>MAX</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r>
          <w:rPr>
            <w:rFonts w:ascii="Cambria Math"/>
          </w:rPr>
          <m:t>i</m:t>
        </m:r>
        <m:r>
          <m:rPr>
            <m:sty m:val="p"/>
          </m:rPr>
          <w:rPr>
            <w:rFonts w:ascii="Cambria Math"/>
          </w:rPr>
          <m:t>)</m:t>
        </m:r>
      </m:oMath>
      <w:r w:rsidR="001B6CA8" w:rsidRPr="00B916EC">
        <w:t>is the</w:t>
      </w:r>
      <w:r w:rsidR="00C30574">
        <w:rPr>
          <w:lang w:val="en-US"/>
        </w:rPr>
        <w:t xml:space="preserve"> UE</w:t>
      </w:r>
      <w:r w:rsidR="001B6CA8" w:rsidRPr="00B916EC">
        <w:t xml:space="preserve"> configured </w:t>
      </w:r>
      <w:r w:rsidR="00C30574" w:rsidRPr="00AE4694">
        <w:rPr>
          <w:rFonts w:eastAsia="Calibri"/>
          <w:lang w:val="en-US"/>
        </w:rPr>
        <w:t>maximum output</w:t>
      </w:r>
      <w:r w:rsidR="001B6CA8" w:rsidRPr="00B916EC">
        <w:t xml:space="preserve"> power defined in [</w:t>
      </w:r>
      <w:r w:rsidR="007071E9" w:rsidRPr="00B916EC">
        <w:rPr>
          <w:lang w:val="en-US"/>
        </w:rPr>
        <w:t>8</w:t>
      </w:r>
      <w:r w:rsidR="00064240">
        <w:rPr>
          <w:lang w:val="en-US"/>
        </w:rPr>
        <w:t>-1</w:t>
      </w:r>
      <w:r w:rsidR="001B6CA8" w:rsidRPr="00B916EC">
        <w:t>, TS 38.1</w:t>
      </w:r>
      <w:r w:rsidR="007071E9" w:rsidRPr="00B916EC">
        <w:rPr>
          <w:lang w:val="en-US"/>
        </w:rPr>
        <w:t>01</w:t>
      </w:r>
      <w:r w:rsidR="00064240">
        <w:rPr>
          <w:lang w:val="en-US"/>
        </w:rPr>
        <w:t>-1</w:t>
      </w:r>
      <w:r w:rsidR="001B6CA8" w:rsidRPr="00B916EC">
        <w:t>]</w:t>
      </w:r>
      <w:r w:rsidR="00C30574">
        <w:rPr>
          <w:lang w:val="en-US"/>
        </w:rPr>
        <w:t>,</w:t>
      </w:r>
      <w:r w:rsidR="00064240">
        <w:rPr>
          <w:lang w:val="en-US"/>
        </w:rPr>
        <w:t xml:space="preserve"> [8-2, </w:t>
      </w:r>
      <w:r w:rsidR="00295E42">
        <w:rPr>
          <w:lang w:val="en-US"/>
        </w:rPr>
        <w:t>TS 38.</w:t>
      </w:r>
      <w:r w:rsidR="00064240">
        <w:rPr>
          <w:lang w:val="en-US"/>
        </w:rPr>
        <w:t xml:space="preserve">101-2] </w:t>
      </w:r>
      <w:r w:rsidR="00C30574">
        <w:rPr>
          <w:lang w:val="en-US"/>
        </w:rPr>
        <w:t xml:space="preserve">and [8-3, </w:t>
      </w:r>
      <w:r w:rsidR="00295E42">
        <w:rPr>
          <w:lang w:val="en-US"/>
        </w:rPr>
        <w:t>TS 38.</w:t>
      </w:r>
      <w:r w:rsidR="00C30574">
        <w:rPr>
          <w:lang w:val="en-US"/>
        </w:rPr>
        <w:t xml:space="preserve">101-3] </w:t>
      </w:r>
      <w:r w:rsidR="001B6CA8" w:rsidRPr="00B916EC">
        <w:rPr>
          <w:lang w:val="en-US"/>
        </w:rPr>
        <w:t>for</w:t>
      </w:r>
      <w:r w:rsidR="001B6CA8" w:rsidRPr="00B916EC">
        <w:t xml:space="preserve"> </w:t>
      </w:r>
      <w:r w:rsidR="00A0471A" w:rsidRPr="00B916EC">
        <w:t xml:space="preserve">carrier </w:t>
      </w:r>
      <m:oMath>
        <m:r>
          <w:rPr>
            <w:rFonts w:ascii="Cambria Math" w:hAnsi="Cambria Math"/>
          </w:rPr>
          <m:t>f</m:t>
        </m:r>
      </m:oMath>
      <w:r w:rsidR="00A0471A" w:rsidRPr="00B916EC">
        <w:rPr>
          <w:iCs/>
        </w:rPr>
        <w:t xml:space="preserve"> </w:t>
      </w:r>
      <w:r w:rsidR="00A0471A" w:rsidRPr="00B916EC">
        <w:rPr>
          <w:iCs/>
          <w:lang w:val="en-US"/>
        </w:rPr>
        <w:t xml:space="preserve">of </w:t>
      </w:r>
      <w:r w:rsidR="001B6CA8" w:rsidRPr="00B916EC">
        <w:t xml:space="preserve">serving cell </w:t>
      </w:r>
      <m:oMath>
        <m:r>
          <w:rPr>
            <w:rFonts w:ascii="Cambria Math" w:hAnsi="Cambria Math"/>
          </w:rPr>
          <m:t>c</m:t>
        </m:r>
      </m:oMath>
      <w:r w:rsidR="001B6CA8" w:rsidRPr="00B916EC">
        <w:rPr>
          <w:lang w:val="en-US"/>
        </w:rPr>
        <w:t xml:space="preserve"> </w:t>
      </w:r>
      <w:r w:rsidR="001B6CA8" w:rsidRPr="00B916EC">
        <w:t xml:space="preserve">in </w:t>
      </w:r>
      <w:r w:rsidR="00566B23" w:rsidRPr="00B916EC">
        <w:rPr>
          <w:lang w:val="en-US"/>
        </w:rPr>
        <w:t xml:space="preserve">PUSCH transmission </w:t>
      </w:r>
      <w:r w:rsidR="006D4C27">
        <w:rPr>
          <w:lang w:val="en-US"/>
        </w:rPr>
        <w:t>occasion</w:t>
      </w:r>
      <w:r w:rsidR="001B6CA8" w:rsidRPr="00B916EC">
        <w:t xml:space="preserve"> </w:t>
      </w:r>
      <m:oMath>
        <m:r>
          <w:rPr>
            <w:rFonts w:ascii="Cambria Math" w:hAnsi="Cambria Math"/>
          </w:rPr>
          <m:t>i</m:t>
        </m:r>
      </m:oMath>
      <w:r w:rsidR="001B6CA8" w:rsidRPr="00B916EC">
        <w:t>.</w:t>
      </w:r>
    </w:p>
    <w:p w14:paraId="103F1C0B" w14:textId="14D0B7BF" w:rsidR="00571359" w:rsidRPr="00F415B1" w:rsidRDefault="00571359" w:rsidP="00571359">
      <w:pPr>
        <w:pStyle w:val="B1"/>
        <w:rPr>
          <w:lang w:val="en-US"/>
        </w:rPr>
      </w:pPr>
      <w:r w:rsidRPr="00F415B1">
        <w:t>-</w:t>
      </w:r>
      <w:r w:rsidRPr="00F415B1">
        <w:tab/>
      </w:r>
      <m:oMath>
        <m:sSub>
          <m:sSubPr>
            <m:ctrlPr>
              <w:rPr>
                <w:rFonts w:ascii="Cambria Math" w:hAnsi="Cambria Math"/>
                <w:iCs/>
              </w:rPr>
            </m:ctrlPr>
          </m:sSubPr>
          <m:e>
            <m:r>
              <w:rPr>
                <w:rFonts w:ascii="Cambria Math" w:hAnsi="Cambria Math"/>
              </w:rPr>
              <m:t>P</m:t>
            </m:r>
          </m:e>
          <m:sub>
            <m:r>
              <m:rPr>
                <m:nor/>
              </m:rPr>
              <w:rPr>
                <w:rFonts w:ascii="Cambria Math"/>
                <w:iCs/>
                <w:lang w:val="en-US"/>
              </w:rPr>
              <m:t>O_P</m:t>
            </m:r>
            <m:r>
              <m:rPr>
                <m:nor/>
              </m:rPr>
              <w:rPr>
                <w:rFonts w:ascii="Cambria Math"/>
                <w:iCs/>
              </w:rPr>
              <m:t>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r>
          <w:rPr>
            <w:rFonts w:ascii="Cambria Math"/>
          </w:rPr>
          <m:t>j</m:t>
        </m:r>
        <m:r>
          <m:rPr>
            <m:sty m:val="p"/>
          </m:rPr>
          <w:rPr>
            <w:rFonts w:ascii="Cambria Math"/>
          </w:rPr>
          <m:t>)</m:t>
        </m:r>
      </m:oMath>
      <w:r w:rsidRPr="00F415B1">
        <w:rPr>
          <w:lang w:val="en-US"/>
        </w:rPr>
        <w:t xml:space="preserve"> </w:t>
      </w:r>
      <w:r w:rsidRPr="00F415B1">
        <w:t xml:space="preserve">is a parameter composed of the sum of a component </w:t>
      </w:r>
      <m:oMath>
        <m:sSub>
          <m:sSubPr>
            <m:ctrlPr>
              <w:rPr>
                <w:rFonts w:ascii="Cambria Math" w:hAnsi="Cambria Math"/>
                <w:iCs/>
              </w:rPr>
            </m:ctrlPr>
          </m:sSubPr>
          <m:e>
            <m:r>
              <w:rPr>
                <w:rFonts w:ascii="Cambria Math" w:hAnsi="Cambria Math"/>
              </w:rPr>
              <m:t>P</m:t>
            </m:r>
          </m:e>
          <m:sub>
            <m:r>
              <m:rPr>
                <m:nor/>
              </m:rPr>
              <w:rPr>
                <w:rFonts w:ascii="Cambria Math"/>
                <w:iCs/>
                <w:lang w:val="en-US"/>
              </w:rPr>
              <m:t>O_NOMINAL,P</m:t>
            </m:r>
            <m:r>
              <m:rPr>
                <m:nor/>
              </m:rPr>
              <w:rPr>
                <w:rFonts w:ascii="Cambria Math"/>
                <w:iCs/>
              </w:rPr>
              <m:t>USCH</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r>
          <w:rPr>
            <w:rFonts w:ascii="Cambria Math"/>
          </w:rPr>
          <m:t>j</m:t>
        </m:r>
        <m:r>
          <m:rPr>
            <m:sty m:val="p"/>
          </m:rPr>
          <w:rPr>
            <w:rFonts w:ascii="Cambria Math"/>
          </w:rPr>
          <m:t>)</m:t>
        </m:r>
      </m:oMath>
      <w:r w:rsidRPr="00F415B1">
        <w:t xml:space="preserve"> and a component </w:t>
      </w:r>
      <m:oMath>
        <m:sSub>
          <m:sSubPr>
            <m:ctrlPr>
              <w:rPr>
                <w:rFonts w:ascii="Cambria Math" w:hAnsi="Cambria Math"/>
                <w:iCs/>
              </w:rPr>
            </m:ctrlPr>
          </m:sSubPr>
          <m:e>
            <m:r>
              <w:rPr>
                <w:rFonts w:ascii="Cambria Math" w:hAnsi="Cambria Math"/>
              </w:rPr>
              <m:t>P</m:t>
            </m:r>
          </m:e>
          <m:sub>
            <m:r>
              <m:rPr>
                <m:nor/>
              </m:rPr>
              <w:rPr>
                <w:rFonts w:ascii="Cambria Math"/>
                <w:iCs/>
                <w:lang w:val="en-US"/>
              </w:rPr>
              <m:t>O_UE_P</m:t>
            </m:r>
            <m:r>
              <m:rPr>
                <m:nor/>
              </m:rPr>
              <w:rPr>
                <w:rFonts w:ascii="Cambria Math"/>
                <w:iCs/>
              </w:rPr>
              <m:t>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r>
          <w:rPr>
            <w:rFonts w:ascii="Cambria Math"/>
          </w:rPr>
          <m:t>j</m:t>
        </m:r>
        <m:r>
          <m:rPr>
            <m:sty m:val="p"/>
          </m:rPr>
          <w:rPr>
            <w:rFonts w:ascii="Cambria Math"/>
          </w:rPr>
          <m:t>)</m:t>
        </m:r>
      </m:oMath>
      <w:r w:rsidRPr="00F415B1">
        <w:rPr>
          <w:lang w:val="en-US"/>
        </w:rPr>
        <w:t xml:space="preserve"> where </w:t>
      </w:r>
      <m:oMath>
        <m:r>
          <w:rPr>
            <w:rFonts w:ascii="Cambria Math" w:hAnsi="Cambria Math"/>
            <w:lang w:val="en-US"/>
          </w:rPr>
          <m:t>j∈</m:t>
        </m:r>
        <m:d>
          <m:dPr>
            <m:begChr m:val="{"/>
            <m:endChr m:val="}"/>
            <m:ctrlPr>
              <w:rPr>
                <w:rFonts w:ascii="Cambria Math" w:hAnsi="Cambria Math"/>
                <w:i/>
                <w:lang w:val="en-US"/>
              </w:rPr>
            </m:ctrlPr>
          </m:dPr>
          <m:e>
            <m:r>
              <w:rPr>
                <w:rFonts w:ascii="Cambria Math" w:hAnsi="Cambria Math"/>
                <w:lang w:val="en-US"/>
              </w:rPr>
              <m:t>0,1,…,J-1</m:t>
            </m:r>
          </m:e>
        </m:d>
      </m:oMath>
      <w:r w:rsidRPr="00F415B1">
        <w:rPr>
          <w:lang w:val="en-US"/>
        </w:rPr>
        <w:t xml:space="preserve">. </w:t>
      </w:r>
    </w:p>
    <w:p w14:paraId="70ADA9EB" w14:textId="472DA233" w:rsidR="00A8135D" w:rsidRDefault="00416A87" w:rsidP="00EA5731">
      <w:pPr>
        <w:pStyle w:val="B2"/>
        <w:rPr>
          <w:lang w:val="en-US"/>
        </w:rPr>
      </w:pPr>
      <w:r>
        <w:rPr>
          <w:lang w:val="en-US"/>
        </w:rPr>
        <w:t>-</w:t>
      </w:r>
      <w:r>
        <w:rPr>
          <w:lang w:val="en-US"/>
        </w:rPr>
        <w:tab/>
      </w:r>
      <w:r w:rsidR="00064240" w:rsidRPr="00B916EC">
        <w:t>If a UE</w:t>
      </w:r>
      <w:r w:rsidR="00A8135D" w:rsidRPr="00A8135D">
        <w:rPr>
          <w:lang w:val="en-US"/>
        </w:rPr>
        <w:t xml:space="preserve"> </w:t>
      </w:r>
      <w:r w:rsidR="00A8135D">
        <w:rPr>
          <w:lang w:val="en-US"/>
        </w:rPr>
        <w:t xml:space="preserve">established dedicated RRC connection using a Type-1 random access procedure, as described </w:t>
      </w:r>
      <w:r w:rsidR="006F5F9E">
        <w:rPr>
          <w:lang w:val="en-US"/>
        </w:rPr>
        <w:t>in clause</w:t>
      </w:r>
      <w:r w:rsidR="00A8135D">
        <w:rPr>
          <w:lang w:val="en-US"/>
        </w:rPr>
        <w:t xml:space="preserve"> 8, and</w:t>
      </w:r>
      <w:r w:rsidR="00064240">
        <w:rPr>
          <w:lang w:val="en-US"/>
        </w:rPr>
        <w:t xml:space="preserve"> is not provided </w:t>
      </w:r>
      <w:r w:rsidR="00B255D9" w:rsidRPr="00411613">
        <w:rPr>
          <w:i/>
        </w:rPr>
        <w:t>P0-PUSCH-AlphaSet</w:t>
      </w:r>
      <w:r w:rsidR="00B255D9">
        <w:rPr>
          <w:i/>
          <w:lang w:val="en-US"/>
        </w:rPr>
        <w:t xml:space="preserve"> </w:t>
      </w:r>
      <w:r w:rsidR="00B255D9">
        <w:rPr>
          <w:lang w:val="en-US"/>
        </w:rPr>
        <w:t xml:space="preserve">or for a PUSCH </w:t>
      </w:r>
      <w:r w:rsidR="009132F6">
        <w:t>(re)</w:t>
      </w:r>
      <w:r w:rsidR="00B255D9">
        <w:rPr>
          <w:lang w:val="en-US"/>
        </w:rPr>
        <w:t xml:space="preserve">transmission </w:t>
      </w:r>
      <w:r w:rsidR="009132F6">
        <w:rPr>
          <w:lang w:val="en-US"/>
        </w:rPr>
        <w:t>corresponding to</w:t>
      </w:r>
      <w:r w:rsidR="009D0B6C" w:rsidRPr="00443847">
        <w:rPr>
          <w:lang w:val="en-US"/>
        </w:rPr>
        <w:t xml:space="preserve"> a RAR UL grant </w:t>
      </w:r>
      <w:r w:rsidR="00B255D9">
        <w:rPr>
          <w:lang w:val="en-US"/>
        </w:rPr>
        <w:t xml:space="preserve">as described </w:t>
      </w:r>
      <w:r w:rsidR="006F5F9E">
        <w:rPr>
          <w:lang w:val="en-US"/>
        </w:rPr>
        <w:t>in clause</w:t>
      </w:r>
      <w:r w:rsidR="00B255D9">
        <w:rPr>
          <w:lang w:val="en-US"/>
        </w:rPr>
        <w:t xml:space="preserve"> 8.3</w:t>
      </w:r>
      <w:r w:rsidR="00064240">
        <w:rPr>
          <w:lang w:val="en-US"/>
        </w:rPr>
        <w:t xml:space="preserve">, </w:t>
      </w:r>
    </w:p>
    <w:p w14:paraId="708FA9E0" w14:textId="0C075789" w:rsidR="00571359" w:rsidRPr="00F415B1" w:rsidRDefault="003E2166" w:rsidP="00571359">
      <w:pPr>
        <w:pStyle w:val="EQ"/>
      </w:pPr>
      <w:r>
        <w:rPr>
          <w:position w:val="-10"/>
        </w:rPr>
        <w:tab/>
      </w:r>
      <m:oMath>
        <m:r>
          <w:rPr>
            <w:rFonts w:ascii="Cambria Math" w:hAnsi="Cambria Math"/>
            <w:lang w:val="en-US"/>
          </w:rPr>
          <m:t>j=0</m:t>
        </m:r>
      </m:oMath>
      <w:r w:rsidR="00571359" w:rsidRPr="00F415B1">
        <w:rPr>
          <w:lang w:val="en-US"/>
        </w:rPr>
        <w:t xml:space="preserve">, </w:t>
      </w:r>
      <m:oMath>
        <m:sSub>
          <m:sSubPr>
            <m:ctrlPr>
              <w:rPr>
                <w:rFonts w:ascii="Cambria Math" w:hAnsi="Cambria Math"/>
                <w:iCs/>
              </w:rPr>
            </m:ctrlPr>
          </m:sSubPr>
          <m:e>
            <m:r>
              <w:rPr>
                <w:rFonts w:ascii="Cambria Math" w:hAnsi="Cambria Math"/>
              </w:rPr>
              <m:t>P</m:t>
            </m:r>
          </m:e>
          <m:sub>
            <m:r>
              <m:rPr>
                <m:nor/>
              </m:rPr>
              <w:rPr>
                <w:rFonts w:ascii="Cambria Math"/>
                <w:iCs/>
                <w:lang w:val="en-US"/>
              </w:rPr>
              <m:t>O_UE_P</m:t>
            </m:r>
            <m:r>
              <m:rPr>
                <m:nor/>
              </m:rPr>
              <w:rPr>
                <w:rFonts w:ascii="Cambria Math"/>
                <w:iCs/>
              </w:rPr>
              <m:t>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0</m:t>
            </m:r>
          </m:e>
        </m:d>
        <m:r>
          <m:rPr>
            <m:sty m:val="p"/>
          </m:rPr>
          <w:rPr>
            <w:rFonts w:ascii="Cambria Math"/>
          </w:rPr>
          <m:t>=0</m:t>
        </m:r>
      </m:oMath>
      <w:r w:rsidR="00571359" w:rsidRPr="00F415B1">
        <w:rPr>
          <w:lang w:val="en-US"/>
        </w:rPr>
        <w:t>, and</w:t>
      </w:r>
      <w:r w:rsidR="00571359" w:rsidRPr="00F415B1">
        <w:t xml:space="preserve"> </w:t>
      </w:r>
      <m:oMath>
        <m:sSub>
          <m:sSubPr>
            <m:ctrlPr>
              <w:rPr>
                <w:rFonts w:ascii="Cambria Math" w:hAnsi="Cambria Math"/>
                <w:iCs/>
              </w:rPr>
            </m:ctrlPr>
          </m:sSubPr>
          <m:e>
            <m:r>
              <w:rPr>
                <w:rFonts w:ascii="Cambria Math" w:hAnsi="Cambria Math"/>
              </w:rPr>
              <m:t>P</m:t>
            </m:r>
          </m:e>
          <m:sub>
            <m:r>
              <m:rPr>
                <m:nor/>
              </m:rPr>
              <w:rPr>
                <w:rFonts w:ascii="Cambria Math"/>
                <w:iCs/>
                <w:lang w:val="en-US"/>
              </w:rPr>
              <m:t>O_NOMINAL,P</m:t>
            </m:r>
            <m:r>
              <m:rPr>
                <m:nor/>
              </m:rPr>
              <w:rPr>
                <w:rFonts w:ascii="Cambria Math"/>
                <w:iCs/>
              </w:rPr>
              <m:t>USCH</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0</m:t>
            </m:r>
          </m:e>
        </m:d>
        <m:r>
          <m:rPr>
            <m:sty m:val="p"/>
          </m:rPr>
          <w:rPr>
            <w:rFonts w:ascii="Cambria Math"/>
          </w:rPr>
          <m:t>=</m:t>
        </m:r>
        <m:sSub>
          <m:sSubPr>
            <m:ctrlPr>
              <w:rPr>
                <w:rFonts w:ascii="Cambria Math" w:hAnsi="Cambria Math"/>
                <w:iCs/>
              </w:rPr>
            </m:ctrlPr>
          </m:sSubPr>
          <m:e>
            <m:r>
              <w:rPr>
                <w:rFonts w:ascii="Cambria Math" w:hAnsi="Cambria Math"/>
              </w:rPr>
              <m:t>P</m:t>
            </m:r>
          </m:e>
          <m:sub>
            <m:r>
              <m:rPr>
                <m:nor/>
              </m:rPr>
              <w:rPr>
                <w:rFonts w:ascii="Cambria Math"/>
                <w:iCs/>
                <w:lang w:val="en-US"/>
              </w:rPr>
              <m:t>O_PRE</m:t>
            </m:r>
          </m:sub>
        </m:sSub>
        <m:r>
          <w:rPr>
            <w:rFonts w:ascii="Cambria Math" w:hAnsi="Cambria Math"/>
          </w:rPr>
          <m:t>+</m:t>
        </m:r>
        <m:sSub>
          <m:sSubPr>
            <m:ctrlPr>
              <w:rPr>
                <w:rFonts w:ascii="Cambria Math" w:hAnsi="Cambria Math"/>
                <w:i/>
                <w:iCs/>
              </w:rPr>
            </m:ctrlPr>
          </m:sSubPr>
          <m:e>
            <m:r>
              <w:rPr>
                <w:rFonts w:ascii="Cambria Math" w:hAnsi="Cambria Math"/>
              </w:rPr>
              <m:t>∆</m:t>
            </m:r>
          </m:e>
          <m:sub>
            <m:r>
              <m:rPr>
                <m:sty m:val="p"/>
              </m:rPr>
              <w:rPr>
                <w:rFonts w:ascii="Cambria Math" w:hAnsi="Cambria Math"/>
              </w:rPr>
              <m:t>PREAMBLE,Msg3</m:t>
            </m:r>
          </m:sub>
        </m:sSub>
      </m:oMath>
      <w:r w:rsidR="00571359" w:rsidRPr="00F415B1">
        <w:t xml:space="preserve">, </w:t>
      </w:r>
    </w:p>
    <w:p w14:paraId="691EF2FA" w14:textId="27324033" w:rsidR="00A8135D" w:rsidRDefault="009D0B6C" w:rsidP="00A8135D">
      <w:pPr>
        <w:pStyle w:val="B2"/>
        <w:ind w:left="900" w:hanging="13"/>
        <w:rPr>
          <w:iCs/>
        </w:rPr>
      </w:pPr>
      <w:r w:rsidRPr="00B916EC">
        <w:t xml:space="preserve">where </w:t>
      </w:r>
      <m:oMath>
        <m:sSub>
          <m:sSubPr>
            <m:ctrlPr>
              <w:rPr>
                <w:rFonts w:ascii="Cambria Math" w:hAnsi="Cambria Math"/>
                <w:i/>
              </w:rPr>
            </m:ctrlPr>
          </m:sSubPr>
          <m:e>
            <m:r>
              <w:rPr>
                <w:rFonts w:ascii="Cambria Math"/>
              </w:rPr>
              <m:t>P</m:t>
            </m:r>
          </m:e>
          <m:sub>
            <m:r>
              <m:rPr>
                <m:nor/>
              </m:rPr>
              <w:rPr>
                <w:rFonts w:ascii="Cambria Math"/>
              </w:rPr>
              <m:t>O_PRE</m:t>
            </m:r>
            <m:ctrlPr>
              <w:rPr>
                <w:rFonts w:ascii="Cambria Math" w:hAnsi="Cambria Math"/>
              </w:rPr>
            </m:ctrlPr>
          </m:sub>
        </m:sSub>
      </m:oMath>
      <w:r w:rsidR="00A8135D">
        <w:t xml:space="preserve"> is provided by</w:t>
      </w:r>
      <w:r w:rsidRPr="00B916EC">
        <w:t xml:space="preserve"> </w:t>
      </w:r>
      <w:r w:rsidRPr="00B916EC">
        <w:rPr>
          <w:i/>
        </w:rPr>
        <w:t>preambleReceivedTargetPower</w:t>
      </w:r>
      <w:r w:rsidRPr="00B916EC" w:rsidDel="0093274D">
        <w:t xml:space="preserve"> </w:t>
      </w:r>
      <w:r w:rsidRPr="00B916EC">
        <w:t>[1</w:t>
      </w:r>
      <w:r w:rsidRPr="00B916EC">
        <w:rPr>
          <w:lang w:val="en-US"/>
        </w:rPr>
        <w:t>1</w:t>
      </w:r>
      <w:r w:rsidRPr="00B916EC">
        <w:t>, TS 38.3</w:t>
      </w:r>
      <w:r w:rsidRPr="00B916EC">
        <w:rPr>
          <w:lang w:val="en-US"/>
        </w:rPr>
        <w:t>2</w:t>
      </w:r>
      <w:r w:rsidRPr="00B916EC">
        <w:t>1] and</w:t>
      </w:r>
      <w:r w:rsidRPr="00B916EC">
        <w:rPr>
          <w:lang w:val="en-US"/>
        </w:rPr>
        <w:t xml:space="preserve"> </w:t>
      </w:r>
      <m:oMath>
        <m:sSub>
          <m:sSubPr>
            <m:ctrlPr>
              <w:rPr>
                <w:rFonts w:ascii="Cambria Math" w:hAnsi="Cambria Math"/>
                <w:i/>
              </w:rPr>
            </m:ctrlPr>
          </m:sSubPr>
          <m:e>
            <m:r>
              <w:rPr>
                <w:rFonts w:ascii="Cambria Math"/>
              </w:rPr>
              <m:t>Δ</m:t>
            </m:r>
          </m:e>
          <m:sub>
            <m:r>
              <w:rPr>
                <w:rFonts w:ascii="Cambria Math"/>
              </w:rPr>
              <m:t>PREAMBLE_Msg3</m:t>
            </m:r>
          </m:sub>
        </m:sSub>
      </m:oMath>
      <w:r w:rsidR="00A8135D">
        <w:t xml:space="preserve"> is provided by</w:t>
      </w:r>
      <w:r w:rsidR="00A8135D" w:rsidRPr="003529FC">
        <w:rPr>
          <w:i/>
        </w:rPr>
        <w:t xml:space="preserve"> </w:t>
      </w:r>
      <w:r w:rsidRPr="003529FC">
        <w:rPr>
          <w:i/>
        </w:rPr>
        <w:t>msg3-DeltaPreamble</w:t>
      </w:r>
      <w:r w:rsidR="00546195">
        <w:rPr>
          <w:i/>
          <w:lang w:val="en-GB"/>
        </w:rPr>
        <w:t xml:space="preserve"> </w:t>
      </w:r>
      <w:r w:rsidR="00546195">
        <w:rPr>
          <w:rFonts w:hint="eastAsia"/>
          <w:iCs/>
          <w:lang w:val="en-US" w:eastAsia="zh-CN"/>
        </w:rPr>
        <w:t>or</w:t>
      </w:r>
      <w:r w:rsidR="00546195">
        <w:rPr>
          <w:rFonts w:hint="eastAsia"/>
          <w:i/>
          <w:lang w:val="en-US" w:eastAsia="zh-CN"/>
        </w:rPr>
        <w:t xml:space="preserve"> deltaPreamble</w:t>
      </w:r>
      <w:r>
        <w:t xml:space="preserve">, or </w:t>
      </w:r>
      <m:oMath>
        <m:sSub>
          <m:sSubPr>
            <m:ctrlPr>
              <w:rPr>
                <w:rFonts w:ascii="Cambria Math" w:hAnsi="Cambria Math"/>
                <w:i/>
                <w:iCs/>
                <w:noProof/>
                <w:lang w:val="en-GB"/>
              </w:rPr>
            </m:ctrlPr>
          </m:sSubPr>
          <m:e>
            <m:r>
              <w:rPr>
                <w:rFonts w:ascii="Cambria Math" w:hAnsi="Cambria Math"/>
              </w:rPr>
              <m:t>∆</m:t>
            </m:r>
          </m:e>
          <m:sub>
            <m:r>
              <m:rPr>
                <m:sty m:val="p"/>
              </m:rPr>
              <w:rPr>
                <w:rFonts w:ascii="Cambria Math" w:hAnsi="Cambria Math"/>
              </w:rPr>
              <m:t>PREAMBLE,Msg3</m:t>
            </m:r>
          </m:sub>
        </m:sSub>
        <m:r>
          <w:rPr>
            <w:rFonts w:ascii="Cambria Math" w:hAnsi="Cambria Math"/>
            <w:noProof/>
            <w:lang w:val="en-GB"/>
          </w:rPr>
          <m:t>=0</m:t>
        </m:r>
      </m:oMath>
      <w:r>
        <w:t xml:space="preserve"> dB if </w:t>
      </w:r>
      <w:r>
        <w:rPr>
          <w:i/>
        </w:rPr>
        <w:t>msg3-DeltaPreamble</w:t>
      </w:r>
      <w:r>
        <w:rPr>
          <w:iCs/>
        </w:rPr>
        <w:t xml:space="preserve"> </w:t>
      </w:r>
      <w:r w:rsidR="00546195">
        <w:rPr>
          <w:rFonts w:hint="eastAsia"/>
          <w:iCs/>
          <w:lang w:val="en-US" w:eastAsia="zh-CN"/>
        </w:rPr>
        <w:t xml:space="preserve">and </w:t>
      </w:r>
      <w:r w:rsidR="00546195">
        <w:rPr>
          <w:rFonts w:hint="eastAsia"/>
          <w:i/>
          <w:lang w:val="en-US" w:eastAsia="zh-CN"/>
        </w:rPr>
        <w:t>deltaPreamble</w:t>
      </w:r>
      <w:r w:rsidR="00546195" w:rsidRPr="00546195">
        <w:rPr>
          <w:iCs/>
          <w:lang w:val="en-US" w:eastAsia="zh-CN"/>
        </w:rPr>
        <w:t xml:space="preserve"> are</w:t>
      </w:r>
      <w:r>
        <w:rPr>
          <w:iCs/>
        </w:rPr>
        <w:t xml:space="preserve"> not provided</w:t>
      </w:r>
      <w:r>
        <w:t>,</w:t>
      </w:r>
      <w:r w:rsidR="001C4DB3" w:rsidRPr="00B916EC">
        <w:t xml:space="preserve"> for </w:t>
      </w:r>
      <w:r w:rsidR="00257B8F" w:rsidRPr="00B916EC">
        <w:rPr>
          <w:lang w:val="en-US"/>
        </w:rPr>
        <w:t xml:space="preserve">carrier </w:t>
      </w:r>
      <m:oMath>
        <m:r>
          <w:rPr>
            <w:rFonts w:ascii="Cambria Math" w:hAnsi="Cambria Math"/>
            <w:lang w:val="en-US"/>
          </w:rPr>
          <m:t>f</m:t>
        </m:r>
      </m:oMath>
      <w:r w:rsidR="00257B8F" w:rsidRPr="00B916EC">
        <w:rPr>
          <w:iCs/>
          <w:lang w:val="en-US"/>
        </w:rPr>
        <w:t xml:space="preserve"> of </w:t>
      </w:r>
      <w:r w:rsidR="001C4DB3" w:rsidRPr="00B916EC">
        <w:t xml:space="preserve">serving cell </w:t>
      </w:r>
      <m:oMath>
        <m:r>
          <w:rPr>
            <w:rFonts w:ascii="Cambria Math" w:hAnsi="Cambria Math"/>
          </w:rPr>
          <m:t>c</m:t>
        </m:r>
      </m:oMath>
    </w:p>
    <w:p w14:paraId="635C466C" w14:textId="37484E1F" w:rsidR="00A8135D" w:rsidRDefault="00A8135D" w:rsidP="00A8135D">
      <w:pPr>
        <w:pStyle w:val="B2"/>
        <w:rPr>
          <w:lang w:val="en-US"/>
        </w:rPr>
      </w:pPr>
      <w:r>
        <w:rPr>
          <w:lang w:val="en-US"/>
        </w:rPr>
        <w:t>-</w:t>
      </w:r>
      <w:r>
        <w:rPr>
          <w:lang w:val="en-US"/>
        </w:rPr>
        <w:tab/>
      </w:r>
      <w:r w:rsidRPr="00B916EC">
        <w:t>If a UE</w:t>
      </w:r>
      <w:r>
        <w:rPr>
          <w:lang w:val="en-US"/>
        </w:rPr>
        <w:t xml:space="preserve"> </w:t>
      </w:r>
      <w:r w:rsidRPr="00CA3FA2">
        <w:rPr>
          <w:lang w:val="en-US"/>
        </w:rPr>
        <w:t>establishe</w:t>
      </w:r>
      <w:r>
        <w:rPr>
          <w:lang w:val="en-US"/>
        </w:rPr>
        <w:t>d</w:t>
      </w:r>
      <w:r w:rsidRPr="00CA3FA2">
        <w:rPr>
          <w:lang w:val="en-US"/>
        </w:rPr>
        <w:t xml:space="preserve"> </w:t>
      </w:r>
      <w:r>
        <w:rPr>
          <w:lang w:val="en-US"/>
        </w:rPr>
        <w:t xml:space="preserve">dedicated </w:t>
      </w:r>
      <w:r w:rsidRPr="00CA3FA2">
        <w:rPr>
          <w:lang w:val="en-US"/>
        </w:rPr>
        <w:t>RRC connection</w:t>
      </w:r>
      <w:r>
        <w:rPr>
          <w:lang w:val="en-US"/>
        </w:rPr>
        <w:t xml:space="preserve"> using a Type-2 random access procedure, as described </w:t>
      </w:r>
      <w:r w:rsidR="006F5F9E">
        <w:rPr>
          <w:lang w:val="en-US"/>
        </w:rPr>
        <w:t>in clause</w:t>
      </w:r>
      <w:r>
        <w:rPr>
          <w:lang w:val="en-US"/>
        </w:rPr>
        <w:t xml:space="preserve"> 8, and is not provided </w:t>
      </w:r>
      <w:r w:rsidRPr="00411613">
        <w:rPr>
          <w:i/>
        </w:rPr>
        <w:t>P0-PUSCH-AlphaSet</w:t>
      </w:r>
      <w:r>
        <w:t>,</w:t>
      </w:r>
      <w:r>
        <w:rPr>
          <w:i/>
          <w:lang w:val="en-US"/>
        </w:rPr>
        <w:t xml:space="preserve"> </w:t>
      </w:r>
      <w:r>
        <w:rPr>
          <w:lang w:val="en-US"/>
        </w:rPr>
        <w:t>or for a PUSCH transmission</w:t>
      </w:r>
      <w:r w:rsidRPr="00443847">
        <w:rPr>
          <w:lang w:val="en-US"/>
        </w:rPr>
        <w:t xml:space="preserve"> </w:t>
      </w:r>
      <w:r>
        <w:rPr>
          <w:lang w:val="en-US"/>
        </w:rPr>
        <w:t xml:space="preserve">for Type-2 random access procedure as described </w:t>
      </w:r>
      <w:r w:rsidR="006F5F9E">
        <w:rPr>
          <w:lang w:val="en-US"/>
        </w:rPr>
        <w:t>in clause</w:t>
      </w:r>
      <w:r>
        <w:rPr>
          <w:lang w:val="en-US"/>
        </w:rPr>
        <w:t xml:space="preserve"> 8.1A, </w:t>
      </w:r>
    </w:p>
    <w:p w14:paraId="660682C3" w14:textId="0311B0DA" w:rsidR="00A8135D" w:rsidRDefault="00590EB5" w:rsidP="0047180A">
      <w:pPr>
        <w:pStyle w:val="EQ"/>
      </w:pPr>
      <w:r>
        <w:rPr>
          <w:noProof w:val="0"/>
        </w:rPr>
        <w:tab/>
      </w:r>
      <m:oMath>
        <m:r>
          <w:rPr>
            <w:rFonts w:ascii="Cambria Math" w:hAnsi="Cambria Math"/>
          </w:rPr>
          <m:t>j</m:t>
        </m:r>
        <m:r>
          <m:rPr>
            <m:sty m:val="p"/>
          </m:rPr>
          <w:rPr>
            <w:rFonts w:ascii="Cambria Math" w:hAnsi="Cambria Math"/>
          </w:rPr>
          <m:t>=0</m:t>
        </m:r>
      </m:oMath>
      <w:r w:rsidR="00A8135D" w:rsidRPr="00B916EC">
        <w:rPr>
          <w:lang w:val="en-US"/>
        </w:rPr>
        <w:t xml:space="preserve">, </w:t>
      </w:r>
      <m:oMath>
        <m:sSub>
          <m:sSubPr>
            <m:ctrlPr>
              <w:rPr>
                <w:rFonts w:ascii="Cambria Math" w:hAnsi="Cambria Math"/>
              </w:rPr>
            </m:ctrlPr>
          </m:sSubPr>
          <m:e>
            <m:r>
              <w:rPr>
                <w:rFonts w:ascii="Cambria Math" w:hAnsi="Cambria Math"/>
              </w:rPr>
              <m:t>P</m:t>
            </m:r>
          </m:e>
          <m:sub>
            <m:r>
              <m:rPr>
                <m:nor/>
              </m:rPr>
              <m:t>O_UE_PUSCH,</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(0)=0</m:t>
        </m:r>
      </m:oMath>
      <w:r w:rsidR="00A8135D" w:rsidRPr="00B916EC">
        <w:rPr>
          <w:lang w:val="en-US"/>
        </w:rPr>
        <w:t>, and</w:t>
      </w:r>
      <w:r w:rsidR="00A8135D" w:rsidRPr="00B916EC">
        <w:t xml:space="preserve"> </w:t>
      </w:r>
      <m:oMath>
        <m:sSub>
          <m:sSubPr>
            <m:ctrlPr>
              <w:rPr>
                <w:rFonts w:ascii="Cambria Math" w:hAnsi="Cambria Math"/>
              </w:rPr>
            </m:ctrlPr>
          </m:sSubPr>
          <m:e>
            <m:r>
              <w:rPr>
                <w:rFonts w:ascii="Cambria Math" w:hAnsi="Cambria Math"/>
              </w:rPr>
              <m:t>P</m:t>
            </m:r>
          </m:e>
          <m:sub>
            <m:r>
              <m:rPr>
                <m:nor/>
              </m:rPr>
              <m:t>O_NOMINAL_PUSCH,</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(0)=</m:t>
        </m:r>
        <m:sSub>
          <m:sSubPr>
            <m:ctrlPr>
              <w:rPr>
                <w:rFonts w:ascii="Cambria Math" w:hAnsi="Cambria Math"/>
              </w:rPr>
            </m:ctrlPr>
          </m:sSubPr>
          <m:e>
            <m:r>
              <w:rPr>
                <w:rFonts w:ascii="Cambria Math" w:hAnsi="Cambria Math"/>
              </w:rPr>
              <m:t>P</m:t>
            </m:r>
          </m:e>
          <m:sub>
            <m:r>
              <m:rPr>
                <m:nor/>
              </m:rPr>
              <m:t>O_PRE</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MsgA</m:t>
            </m:r>
            <m:r>
              <m:rPr>
                <m:sty m:val="p"/>
              </m:rPr>
              <w:rPr>
                <w:rFonts w:ascii="Cambria Math" w:hAnsi="Cambria Math"/>
              </w:rPr>
              <m:t>_</m:t>
            </m:r>
            <m:r>
              <w:rPr>
                <w:rFonts w:ascii="Cambria Math" w:hAnsi="Cambria Math"/>
              </w:rPr>
              <m:t>PUSCH</m:t>
            </m:r>
          </m:sub>
        </m:sSub>
      </m:oMath>
      <w:r w:rsidR="00A8135D" w:rsidRPr="00B916EC">
        <w:t xml:space="preserve">, </w:t>
      </w:r>
    </w:p>
    <w:p w14:paraId="22D35167" w14:textId="3ABA9685" w:rsidR="001C4DB3" w:rsidRPr="008A1513" w:rsidRDefault="00A8135D" w:rsidP="0047180A">
      <w:pPr>
        <w:pStyle w:val="B2"/>
        <w:ind w:left="900" w:firstLine="0"/>
        <w:rPr>
          <w:iCs/>
        </w:rPr>
      </w:pPr>
      <w:r w:rsidRPr="00B916EC">
        <w:t xml:space="preserve">where </w:t>
      </w:r>
      <m:oMath>
        <m:sSub>
          <m:sSubPr>
            <m:ctrlPr>
              <w:rPr>
                <w:rFonts w:ascii="Cambria Math" w:hAnsi="Cambria Math"/>
                <w:i/>
              </w:rPr>
            </m:ctrlPr>
          </m:sSubPr>
          <m:e>
            <m:r>
              <w:rPr>
                <w:rFonts w:ascii="Cambria Math"/>
              </w:rPr>
              <m:t>P</m:t>
            </m:r>
          </m:e>
          <m:sub>
            <m:r>
              <m:rPr>
                <m:nor/>
              </m:rPr>
              <w:rPr>
                <w:rFonts w:ascii="Cambria Math"/>
              </w:rPr>
              <m:t>O_PRE</m:t>
            </m:r>
            <m:ctrlPr>
              <w:rPr>
                <w:rFonts w:ascii="Cambria Math" w:hAnsi="Cambria Math"/>
              </w:rPr>
            </m:ctrlPr>
          </m:sub>
        </m:sSub>
      </m:oMath>
      <w:r>
        <w:t xml:space="preserve"> is provided by</w:t>
      </w:r>
      <w:r w:rsidR="00F9791D">
        <w:rPr>
          <w:lang w:val="en-US"/>
        </w:rPr>
        <w:t xml:space="preserve"> </w:t>
      </w:r>
      <w:r w:rsidR="00F9791D" w:rsidRPr="00001464">
        <w:rPr>
          <w:i/>
        </w:rPr>
        <w:t>msgA-preambleReceivedTargetPower</w:t>
      </w:r>
      <w:r w:rsidR="00F9791D" w:rsidRPr="00001464">
        <w:rPr>
          <w:iCs/>
        </w:rPr>
        <w:t>, or by</w:t>
      </w:r>
      <w:r>
        <w:t xml:space="preserve"> </w:t>
      </w:r>
      <w:r w:rsidRPr="00B916EC">
        <w:rPr>
          <w:i/>
        </w:rPr>
        <w:t>preambleReceivedTargetPower</w:t>
      </w:r>
      <w:r w:rsidRPr="00B916EC">
        <w:t xml:space="preserve"> </w:t>
      </w:r>
      <w:r w:rsidR="00F9791D" w:rsidRPr="00001464">
        <w:rPr>
          <w:iCs/>
        </w:rPr>
        <w:t xml:space="preserve">if </w:t>
      </w:r>
      <w:r w:rsidR="00F9791D" w:rsidRPr="00001464">
        <w:rPr>
          <w:i/>
        </w:rPr>
        <w:t>msgA-preambleReceivedTargetPower</w:t>
      </w:r>
      <w:r w:rsidR="00F9791D">
        <w:rPr>
          <w:i/>
        </w:rPr>
        <w:t xml:space="preserve"> </w:t>
      </w:r>
      <w:r w:rsidR="00F9791D" w:rsidRPr="00954B7D">
        <w:t>is</w:t>
      </w:r>
      <w:r w:rsidR="00F9791D" w:rsidRPr="00001464">
        <w:rPr>
          <w:i/>
        </w:rPr>
        <w:t xml:space="preserve"> </w:t>
      </w:r>
      <w:r w:rsidR="00F9791D" w:rsidRPr="00001464">
        <w:rPr>
          <w:iCs/>
        </w:rPr>
        <w:t>not provided</w:t>
      </w:r>
      <w:r w:rsidR="00F9791D" w:rsidRPr="00B916EC">
        <w:t xml:space="preserve"> </w:t>
      </w:r>
      <w:r w:rsidRPr="00B916EC">
        <w:t>and</w:t>
      </w:r>
      <w:r>
        <w:t xml:space="preserve"> </w:t>
      </w:r>
      <m:oMath>
        <m:sSub>
          <m:sSubPr>
            <m:ctrlPr>
              <w:rPr>
                <w:rFonts w:ascii="Cambria Math" w:hAnsi="Cambria Math"/>
                <w:i/>
              </w:rPr>
            </m:ctrlPr>
          </m:sSubPr>
          <m:e>
            <m:r>
              <w:rPr>
                <w:rFonts w:ascii="Cambria Math"/>
              </w:rPr>
              <m:t>Δ</m:t>
            </m:r>
          </m:e>
          <m:sub>
            <m:r>
              <w:rPr>
                <w:rFonts w:ascii="Cambria Math"/>
              </w:rPr>
              <m:t>MsgA_PUSCH</m:t>
            </m:r>
          </m:sub>
        </m:sSub>
      </m:oMath>
      <w:r>
        <w:t xml:space="preserve"> is provided by</w:t>
      </w:r>
      <w:r w:rsidRPr="00B916EC">
        <w:rPr>
          <w:lang w:val="en-US"/>
        </w:rPr>
        <w:t xml:space="preserve"> </w:t>
      </w:r>
      <w:r w:rsidRPr="003529FC">
        <w:rPr>
          <w:i/>
        </w:rPr>
        <w:t>msg</w:t>
      </w:r>
      <w:r>
        <w:rPr>
          <w:i/>
        </w:rPr>
        <w:t>A</w:t>
      </w:r>
      <w:r w:rsidR="00673FAC">
        <w:rPr>
          <w:i/>
          <w:lang w:val="en-US"/>
        </w:rPr>
        <w:t>-</w:t>
      </w:r>
      <w:r w:rsidRPr="003529FC">
        <w:rPr>
          <w:i/>
        </w:rPr>
        <w:t>DeltaPreamble</w:t>
      </w:r>
      <w:r w:rsidR="00546195">
        <w:rPr>
          <w:i/>
          <w:lang w:val="en-GB"/>
        </w:rPr>
        <w:t xml:space="preserve"> </w:t>
      </w:r>
      <w:r w:rsidR="00546195">
        <w:rPr>
          <w:rFonts w:hint="eastAsia"/>
          <w:iCs/>
          <w:lang w:val="en-US" w:eastAsia="zh-CN"/>
        </w:rPr>
        <w:t>or</w:t>
      </w:r>
      <w:r w:rsidR="00546195">
        <w:rPr>
          <w:rFonts w:hint="eastAsia"/>
          <w:i/>
          <w:lang w:val="en-US" w:eastAsia="zh-CN"/>
        </w:rPr>
        <w:t xml:space="preserve"> deltaPreamble</w:t>
      </w:r>
      <w:r>
        <w:t xml:space="preserve">, or </w:t>
      </w:r>
      <m:oMath>
        <m:sSub>
          <m:sSubPr>
            <m:ctrlPr>
              <w:rPr>
                <w:rFonts w:ascii="Cambria Math" w:hAnsi="Cambria Math"/>
                <w:i/>
              </w:rPr>
            </m:ctrlPr>
          </m:sSubPr>
          <m:e>
            <m:r>
              <w:rPr>
                <w:rFonts w:ascii="Cambria Math"/>
              </w:rPr>
              <m:t>Δ</m:t>
            </m:r>
          </m:e>
          <m:sub>
            <m:r>
              <w:rPr>
                <w:rFonts w:ascii="Cambria Math"/>
              </w:rPr>
              <m:t>MsgA_PUSCH</m:t>
            </m:r>
          </m:sub>
        </m:sSub>
        <m:r>
          <w:rPr>
            <w:rFonts w:ascii="Cambria Math"/>
          </w:rPr>
          <m:t>=</m:t>
        </m:r>
        <m:sSub>
          <m:sSubPr>
            <m:ctrlPr>
              <w:rPr>
                <w:rFonts w:ascii="Cambria Math" w:hAnsi="Cambria Math"/>
                <w:i/>
              </w:rPr>
            </m:ctrlPr>
          </m:sSubPr>
          <m:e>
            <m:r>
              <w:rPr>
                <w:rFonts w:ascii="Cambria Math"/>
              </w:rPr>
              <m:t>Δ</m:t>
            </m:r>
          </m:e>
          <m:sub>
            <m:r>
              <w:rPr>
                <w:rFonts w:ascii="Cambria Math"/>
              </w:rPr>
              <m:t>PREAMBLE_Msg3</m:t>
            </m:r>
          </m:sub>
        </m:sSub>
      </m:oMath>
      <w:r>
        <w:t xml:space="preserve"> dB if </w:t>
      </w:r>
      <w:r w:rsidRPr="003529FC">
        <w:rPr>
          <w:i/>
        </w:rPr>
        <w:t>msg</w:t>
      </w:r>
      <w:r>
        <w:rPr>
          <w:i/>
        </w:rPr>
        <w:t>A</w:t>
      </w:r>
      <w:r w:rsidR="00673FAC">
        <w:rPr>
          <w:i/>
          <w:lang w:val="en-US"/>
        </w:rPr>
        <w:t>-</w:t>
      </w:r>
      <w:r w:rsidRPr="003529FC">
        <w:rPr>
          <w:i/>
        </w:rPr>
        <w:t>DeltaPreamble</w:t>
      </w:r>
      <w:r>
        <w:rPr>
          <w:iCs/>
        </w:rPr>
        <w:t xml:space="preserve"> </w:t>
      </w:r>
      <w:r w:rsidR="00546195">
        <w:rPr>
          <w:rFonts w:hint="eastAsia"/>
          <w:iCs/>
          <w:lang w:val="en-US" w:eastAsia="zh-CN"/>
        </w:rPr>
        <w:t xml:space="preserve">and </w:t>
      </w:r>
      <w:r w:rsidR="00546195">
        <w:rPr>
          <w:rFonts w:hint="eastAsia"/>
          <w:i/>
          <w:lang w:val="en-US" w:eastAsia="zh-CN"/>
        </w:rPr>
        <w:t xml:space="preserve">deltaPreamble </w:t>
      </w:r>
      <w:r w:rsidR="00546195">
        <w:rPr>
          <w:rFonts w:hint="eastAsia"/>
          <w:iCs/>
          <w:lang w:val="en-US" w:eastAsia="zh-CN"/>
        </w:rPr>
        <w:t>are</w:t>
      </w:r>
      <w:r>
        <w:rPr>
          <w:iCs/>
        </w:rPr>
        <w:t xml:space="preserve"> not provided</w:t>
      </w:r>
      <w:r>
        <w:t>,</w:t>
      </w:r>
      <w:r w:rsidRPr="00B916EC">
        <w:t xml:space="preserve"> for </w:t>
      </w:r>
      <w:r w:rsidRPr="00B916EC">
        <w:rPr>
          <w:lang w:val="en-US"/>
        </w:rPr>
        <w:t xml:space="preserve">carrier </w:t>
      </w:r>
      <m:oMath>
        <m:r>
          <w:rPr>
            <w:rFonts w:ascii="Cambria Math"/>
          </w:rPr>
          <m:t>f</m:t>
        </m:r>
      </m:oMath>
      <w:r w:rsidRPr="00B916EC">
        <w:rPr>
          <w:iCs/>
          <w:lang w:val="en-US"/>
        </w:rPr>
        <w:t xml:space="preserve"> of </w:t>
      </w:r>
      <w:r w:rsidRPr="00B916EC">
        <w:t xml:space="preserve">serving cell </w:t>
      </w:r>
      <m:oMath>
        <m:r>
          <w:rPr>
            <w:rFonts w:ascii="Cambria Math"/>
          </w:rPr>
          <m:t>c</m:t>
        </m:r>
      </m:oMath>
    </w:p>
    <w:p w14:paraId="5DF6136E" w14:textId="108802C6" w:rsidR="002E53A4" w:rsidRPr="00F415B1" w:rsidRDefault="00416A87" w:rsidP="002E53A4">
      <w:pPr>
        <w:pStyle w:val="B2"/>
        <w:rPr>
          <w:lang w:val="en-US"/>
        </w:rPr>
      </w:pPr>
      <w:r>
        <w:rPr>
          <w:lang w:val="en-US"/>
        </w:rPr>
        <w:t>-</w:t>
      </w:r>
      <w:r>
        <w:rPr>
          <w:lang w:val="en-US"/>
        </w:rPr>
        <w:tab/>
      </w:r>
      <w:r w:rsidR="006B29D4" w:rsidRPr="00B916EC">
        <w:rPr>
          <w:lang w:val="en-US"/>
        </w:rPr>
        <w:t xml:space="preserve">For a </w:t>
      </w:r>
      <w:r w:rsidR="006B29D4" w:rsidRPr="00B916EC">
        <w:rPr>
          <w:rFonts w:eastAsia="Malgun Gothic" w:hint="eastAsia"/>
        </w:rPr>
        <w:t xml:space="preserve">PUSCH </w:t>
      </w:r>
      <w:r w:rsidR="006B29D4" w:rsidRPr="00B916EC">
        <w:rPr>
          <w:rFonts w:eastAsia="Malgun Gothic"/>
          <w:lang w:val="en-US"/>
        </w:rPr>
        <w:t>(re)</w:t>
      </w:r>
      <w:r w:rsidR="006B29D4" w:rsidRPr="00B916EC">
        <w:rPr>
          <w:rFonts w:eastAsia="Malgun Gothic" w:hint="eastAsia"/>
        </w:rPr>
        <w:t xml:space="preserve">transmission </w:t>
      </w:r>
      <w:r w:rsidR="00B255D9">
        <w:rPr>
          <w:rFonts w:eastAsia="Malgun Gothic"/>
          <w:lang w:val="en-US"/>
        </w:rPr>
        <w:t xml:space="preserve">configured by </w:t>
      </w:r>
      <w:r w:rsidR="00B7712F" w:rsidRPr="00692B06">
        <w:rPr>
          <w:i/>
        </w:rPr>
        <w:t>ConfiguredGrantConfig</w:t>
      </w:r>
      <w:r w:rsidR="00B7712F" w:rsidRPr="00B916EC">
        <w:rPr>
          <w:rFonts w:eastAsia="Malgun Gothic"/>
          <w:lang w:val="en-US"/>
        </w:rPr>
        <w:t>,</w:t>
      </w:r>
      <w:r w:rsidR="00B7712F" w:rsidRPr="00B916EC">
        <w:rPr>
          <w:lang w:val="en-US"/>
        </w:rPr>
        <w:t xml:space="preserve"> </w:t>
      </w:r>
      <m:oMath>
        <m:r>
          <w:rPr>
            <w:rFonts w:ascii="Cambria Math" w:hAnsi="Cambria Math"/>
            <w:lang w:val="en-US"/>
          </w:rPr>
          <m:t>j=1</m:t>
        </m:r>
      </m:oMath>
      <w:r w:rsidR="00B7712F" w:rsidRPr="00B916EC">
        <w:rPr>
          <w:lang w:val="en-US"/>
        </w:rPr>
        <w:t>,</w:t>
      </w:r>
      <w:r w:rsidR="002E53A4" w:rsidRPr="00F415B1">
        <w:rPr>
          <w:lang w:val="en-US"/>
        </w:rPr>
        <w:t xml:space="preserve"> </w:t>
      </w:r>
      <m:oMath>
        <m:sSub>
          <m:sSubPr>
            <m:ctrlPr>
              <w:rPr>
                <w:rFonts w:ascii="Cambria Math" w:hAnsi="Cambria Math"/>
                <w:iCs/>
              </w:rPr>
            </m:ctrlPr>
          </m:sSubPr>
          <m:e>
            <m:r>
              <w:rPr>
                <w:rFonts w:ascii="Cambria Math" w:hAnsi="Cambria Math"/>
              </w:rPr>
              <m:t>P</m:t>
            </m:r>
          </m:e>
          <m:sub>
            <m:r>
              <m:rPr>
                <m:nor/>
              </m:rPr>
              <w:rPr>
                <w:rFonts w:ascii="Cambria Math"/>
                <w:iCs/>
                <w:lang w:val="en-US"/>
              </w:rPr>
              <m:t>O_NOMINAL,P</m:t>
            </m:r>
            <m:r>
              <m:rPr>
                <m:nor/>
              </m:rPr>
              <w:rPr>
                <w:rFonts w:ascii="Cambria Math"/>
                <w:iCs/>
              </w:rPr>
              <m:t>USCH</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1</m:t>
            </m:r>
          </m:e>
        </m:d>
      </m:oMath>
      <w:r w:rsidR="002E53A4" w:rsidRPr="00F415B1">
        <w:rPr>
          <w:lang w:val="en-US"/>
        </w:rPr>
        <w:t xml:space="preserve"> </w:t>
      </w:r>
      <w:r w:rsidR="00B7712F" w:rsidRPr="00B916EC">
        <w:rPr>
          <w:lang w:val="en-US"/>
        </w:rPr>
        <w:t xml:space="preserve">is provided by </w:t>
      </w:r>
      <w:r w:rsidR="00B7712F" w:rsidRPr="000E4EAF" w:rsidDel="003D475F">
        <w:rPr>
          <w:i/>
        </w:rPr>
        <w:t>p0-NominalWithoutGrant</w:t>
      </w:r>
      <w:r w:rsidR="00B7712F">
        <w:rPr>
          <w:lang w:val="en-US"/>
        </w:rPr>
        <w:t xml:space="preserve">, or </w:t>
      </w:r>
      <m:oMath>
        <m:sSub>
          <m:sSubPr>
            <m:ctrlPr>
              <w:rPr>
                <w:rFonts w:ascii="Cambria Math" w:hAnsi="Cambria Math"/>
                <w:iCs/>
              </w:rPr>
            </m:ctrlPr>
          </m:sSubPr>
          <m:e>
            <m:r>
              <w:rPr>
                <w:rFonts w:ascii="Cambria Math" w:hAnsi="Cambria Math"/>
              </w:rPr>
              <m:t>P</m:t>
            </m:r>
          </m:e>
          <m:sub>
            <m:r>
              <m:rPr>
                <m:nor/>
              </m:rPr>
              <w:rPr>
                <w:rFonts w:ascii="Cambria Math"/>
                <w:iCs/>
                <w:lang w:val="en-US"/>
              </w:rPr>
              <m:t>O_NOMINAL,P</m:t>
            </m:r>
            <m:r>
              <m:rPr>
                <m:nor/>
              </m:rPr>
              <w:rPr>
                <w:rFonts w:ascii="Cambria Math"/>
                <w:iCs/>
              </w:rPr>
              <m:t>USCH</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1</m:t>
            </m:r>
          </m:e>
        </m:d>
        <m:r>
          <w:rPr>
            <w:rFonts w:ascii="Cambria Math"/>
          </w:rPr>
          <m:t>=</m:t>
        </m:r>
        <m:sSub>
          <m:sSubPr>
            <m:ctrlPr>
              <w:rPr>
                <w:rFonts w:ascii="Cambria Math" w:hAnsi="Cambria Math"/>
                <w:iCs/>
              </w:rPr>
            </m:ctrlPr>
          </m:sSubPr>
          <m:e>
            <m:r>
              <w:rPr>
                <w:rFonts w:ascii="Cambria Math" w:hAnsi="Cambria Math"/>
              </w:rPr>
              <m:t>P</m:t>
            </m:r>
          </m:e>
          <m:sub>
            <m:r>
              <m:rPr>
                <m:nor/>
              </m:rPr>
              <w:rPr>
                <w:rFonts w:ascii="Cambria Math"/>
                <w:iCs/>
                <w:lang w:val="en-US"/>
              </w:rPr>
              <m:t>O_NOMINAL,P</m:t>
            </m:r>
            <m:r>
              <m:rPr>
                <m:nor/>
              </m:rPr>
              <w:rPr>
                <w:rFonts w:ascii="Cambria Math"/>
                <w:iCs/>
              </w:rPr>
              <m:t>USCH</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0</m:t>
            </m:r>
          </m:e>
        </m:d>
      </m:oMath>
      <w:r w:rsidR="002E53A4" w:rsidRPr="00F415B1">
        <w:rPr>
          <w:lang w:val="en-US"/>
        </w:rPr>
        <w:t xml:space="preserve"> </w:t>
      </w:r>
      <w:r w:rsidR="00B7712F">
        <w:rPr>
          <w:lang w:val="en-US"/>
        </w:rPr>
        <w:t xml:space="preserve">if </w:t>
      </w:r>
      <w:r w:rsidR="00B7712F" w:rsidRPr="000E4EAF" w:rsidDel="003D475F">
        <w:rPr>
          <w:i/>
        </w:rPr>
        <w:t>p0-NominalWithoutGrant</w:t>
      </w:r>
      <w:r w:rsidR="00B7712F">
        <w:rPr>
          <w:lang w:val="en-US"/>
        </w:rPr>
        <w:t xml:space="preserve"> is not provided</w:t>
      </w:r>
      <w:r w:rsidR="002E53A4">
        <w:rPr>
          <w:lang w:val="en-US"/>
        </w:rPr>
        <w:t>.</w:t>
      </w:r>
      <w:r w:rsidR="00B7712F" w:rsidRPr="00B916EC">
        <w:t xml:space="preserve"> </w:t>
      </w:r>
    </w:p>
    <w:p w14:paraId="445444AB" w14:textId="619ACEDA" w:rsidR="002E53A4" w:rsidRPr="00F415B1" w:rsidRDefault="002E53A4" w:rsidP="002E53A4">
      <w:pPr>
        <w:pStyle w:val="B3"/>
      </w:pPr>
      <w:r w:rsidRPr="00F415B1">
        <w:rPr>
          <w:lang w:eastAsia="zh-CN"/>
        </w:rPr>
        <w:t>-</w:t>
      </w:r>
      <w:r w:rsidRPr="00F415B1">
        <w:rPr>
          <w:lang w:eastAsia="zh-CN"/>
        </w:rPr>
        <w:tab/>
        <w:t xml:space="preserve">If the UE is provided </w:t>
      </w:r>
      <w:r w:rsidRPr="00F415B1">
        <w:rPr>
          <w:iCs/>
        </w:rPr>
        <w:t xml:space="preserve">two SRS resource sets in </w:t>
      </w:r>
      <w:r w:rsidRPr="00F415B1">
        <w:rPr>
          <w:i/>
        </w:rPr>
        <w:t>srs-ResourceSetToAddModList</w:t>
      </w:r>
      <w:r w:rsidRPr="00F415B1">
        <w:rPr>
          <w:iCs/>
        </w:rPr>
        <w:t xml:space="preserve"> or </w:t>
      </w:r>
      <w:r w:rsidRPr="00F415B1">
        <w:rPr>
          <w:i/>
        </w:rPr>
        <w:t>srs-ResourceSetToAddModListDCI-0-2</w:t>
      </w:r>
      <w:r w:rsidRPr="00F415B1">
        <w:rPr>
          <w:iCs/>
        </w:rPr>
        <w:t xml:space="preserve"> with </w:t>
      </w:r>
      <w:r w:rsidRPr="00F415B1">
        <w:rPr>
          <w:i/>
        </w:rPr>
        <w:t>usage</w:t>
      </w:r>
      <w:r w:rsidRPr="00F415B1">
        <w:rPr>
          <w:iCs/>
        </w:rPr>
        <w:t xml:space="preserve"> set to </w:t>
      </w:r>
      <w:r w:rsidR="005E3B15">
        <w:rPr>
          <w:iCs/>
        </w:rPr>
        <w:t>'</w:t>
      </w:r>
      <w:r w:rsidRPr="00F415B1">
        <w:rPr>
          <w:iCs/>
        </w:rPr>
        <w:t>codebook</w:t>
      </w:r>
      <w:r w:rsidR="005E3B15">
        <w:rPr>
          <w:iCs/>
        </w:rPr>
        <w:t>'</w:t>
      </w:r>
      <w:r w:rsidRPr="00F415B1">
        <w:rPr>
          <w:iCs/>
        </w:rPr>
        <w:t xml:space="preserve"> or </w:t>
      </w:r>
      <w:r w:rsidR="005E3B15">
        <w:rPr>
          <w:iCs/>
        </w:rPr>
        <w:t>'</w:t>
      </w:r>
      <w:r w:rsidRPr="00F415B1">
        <w:rPr>
          <w:iCs/>
        </w:rPr>
        <w:t>nonCodebook</w:t>
      </w:r>
      <w:r w:rsidR="005E3B15">
        <w:rPr>
          <w:iCs/>
        </w:rPr>
        <w:t>'</w:t>
      </w:r>
      <w:r w:rsidRPr="00F415B1">
        <w:rPr>
          <w:iCs/>
        </w:rPr>
        <w:t xml:space="preserve"> and is provided </w:t>
      </w:r>
      <w:r w:rsidRPr="00F415B1">
        <w:rPr>
          <w:i/>
        </w:rPr>
        <w:t>p0-</w:t>
      </w:r>
      <w:r w:rsidRPr="00F415B1">
        <w:rPr>
          <w:i/>
        </w:rPr>
        <w:lastRenderedPageBreak/>
        <w:t>PUSCH-Alpha2</w:t>
      </w:r>
      <w:r w:rsidRPr="00F415B1">
        <w:t xml:space="preserve">, for a retransmission of a configured grant Type 1 PUSCH, or for activation or retransmission of a configured grant Type 2 PUSCH, scheduled by a DCI format that includes a SRS resource set indicator field, and for </w:t>
      </w:r>
      <w:r w:rsidRPr="00F415B1">
        <w:rPr>
          <w:lang w:val="en-US"/>
        </w:rPr>
        <w:t xml:space="preserve">active UL BWP </w:t>
      </w:r>
      <m:oMath>
        <m:r>
          <w:rPr>
            <w:rFonts w:ascii="Cambria Math" w:hAnsi="Cambria Math"/>
            <w:lang w:val="en-US"/>
          </w:rPr>
          <m:t>b</m:t>
        </m:r>
      </m:oMath>
      <w:r w:rsidRPr="00F415B1">
        <w:rPr>
          <w:iCs/>
          <w:lang w:val="en-US"/>
        </w:rPr>
        <w:t xml:space="preserve"> </w:t>
      </w:r>
      <w:r w:rsidRPr="00F415B1">
        <w:rPr>
          <w:lang w:val="en-US"/>
        </w:rPr>
        <w:t xml:space="preserve">of carrier </w:t>
      </w:r>
      <m:oMath>
        <m:r>
          <w:rPr>
            <w:rFonts w:ascii="Cambria Math" w:hAnsi="Cambria Math"/>
          </w:rPr>
          <m:t>f</m:t>
        </m:r>
      </m:oMath>
      <w:r w:rsidRPr="00F415B1">
        <w:rPr>
          <w:iCs/>
          <w:lang w:val="en-US"/>
        </w:rPr>
        <w:t xml:space="preserve"> of</w:t>
      </w:r>
      <w:r w:rsidRPr="00F415B1">
        <w:t xml:space="preserve"> serving cell </w:t>
      </w:r>
    </w:p>
    <w:p w14:paraId="6FDB2890" w14:textId="77777777" w:rsidR="002E53A4" w:rsidRPr="00F415B1" w:rsidRDefault="002E53A4" w:rsidP="002E53A4">
      <w:pPr>
        <w:pStyle w:val="B4"/>
        <w:ind w:left="1420"/>
      </w:pPr>
      <w:r w:rsidRPr="00F415B1">
        <w:rPr>
          <w:lang w:val="x-none"/>
        </w:rPr>
        <w:t>-</w:t>
      </w:r>
      <w:r w:rsidRPr="00F415B1">
        <w:rPr>
          <w:lang w:val="x-none"/>
        </w:rPr>
        <w:tab/>
      </w:r>
      <w:r w:rsidRPr="00F415B1">
        <w:t xml:space="preserve">If the SRS resource set indicator value is 00, first </w:t>
      </w:r>
      <m:oMath>
        <m:sSub>
          <m:sSubPr>
            <m:ctrlPr>
              <w:rPr>
                <w:rFonts w:ascii="Cambria Math" w:hAnsi="Cambria Math"/>
                <w:iCs/>
              </w:rPr>
            </m:ctrlPr>
          </m:sSubPr>
          <m:e>
            <m:r>
              <w:rPr>
                <w:rFonts w:ascii="Cambria Math" w:hAnsi="Cambria Math"/>
              </w:rPr>
              <m:t>P</m:t>
            </m:r>
          </m:e>
          <m:sub>
            <m:r>
              <m:rPr>
                <m:nor/>
              </m:rPr>
              <w:rPr>
                <w:rFonts w:ascii="Cambria Math"/>
                <w:iCs/>
                <w:lang w:val="en-US"/>
              </w:rPr>
              <m:t>O_UE_P</m:t>
            </m:r>
            <m:r>
              <m:rPr>
                <m:nor/>
              </m:rPr>
              <w:rPr>
                <w:rFonts w:ascii="Cambria Math"/>
                <w:iCs/>
              </w:rPr>
              <m:t>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1</m:t>
            </m:r>
          </m:e>
        </m:d>
      </m:oMath>
      <w:r w:rsidRPr="00F415B1">
        <w:rPr>
          <w:lang w:val="en-US"/>
        </w:rPr>
        <w:t xml:space="preserve"> value is provided by the </w:t>
      </w:r>
      <w:r w:rsidRPr="00F415B1">
        <w:rPr>
          <w:iCs/>
          <w:lang w:val="en-US"/>
        </w:rPr>
        <w:t>value of</w:t>
      </w:r>
      <w:r w:rsidRPr="00F415B1">
        <w:rPr>
          <w:lang w:val="en-US"/>
        </w:rPr>
        <w:t xml:space="preserve"> </w:t>
      </w:r>
      <w:r w:rsidRPr="00F415B1">
        <w:rPr>
          <w:i/>
        </w:rPr>
        <w:t>p0-PUSCH-Alpha</w:t>
      </w:r>
      <w:r w:rsidRPr="00F415B1">
        <w:rPr>
          <w:i/>
          <w:lang w:val="en-US"/>
        </w:rPr>
        <w:t xml:space="preserve"> </w:t>
      </w:r>
      <w:r w:rsidRPr="00F415B1">
        <w:rPr>
          <w:lang w:val="en-US"/>
        </w:rPr>
        <w:t xml:space="preserve">in </w:t>
      </w:r>
      <w:r w:rsidRPr="00F415B1">
        <w:rPr>
          <w:i/>
        </w:rPr>
        <w:t>ConfiguredGrantConfig</w:t>
      </w:r>
      <w:r w:rsidRPr="00F415B1">
        <w:t>.</w:t>
      </w:r>
    </w:p>
    <w:p w14:paraId="45B0115A" w14:textId="77777777" w:rsidR="002E53A4" w:rsidRPr="00F415B1" w:rsidRDefault="002E53A4" w:rsidP="002E53A4">
      <w:pPr>
        <w:pStyle w:val="B4"/>
        <w:ind w:left="1420"/>
      </w:pPr>
      <w:r w:rsidRPr="00F415B1">
        <w:rPr>
          <w:lang w:val="x-none"/>
        </w:rPr>
        <w:t>-</w:t>
      </w:r>
      <w:r w:rsidRPr="00F415B1">
        <w:rPr>
          <w:lang w:val="x-none"/>
        </w:rPr>
        <w:tab/>
      </w:r>
      <w:r w:rsidRPr="00F415B1">
        <w:t xml:space="preserve">If the SRS resource set indicator value is 01, second </w:t>
      </w:r>
      <m:oMath>
        <m:sSub>
          <m:sSubPr>
            <m:ctrlPr>
              <w:rPr>
                <w:rFonts w:ascii="Cambria Math" w:hAnsi="Cambria Math"/>
                <w:iCs/>
              </w:rPr>
            </m:ctrlPr>
          </m:sSubPr>
          <m:e>
            <m:r>
              <w:rPr>
                <w:rFonts w:ascii="Cambria Math" w:hAnsi="Cambria Math"/>
              </w:rPr>
              <m:t>P</m:t>
            </m:r>
          </m:e>
          <m:sub>
            <m:r>
              <m:rPr>
                <m:nor/>
              </m:rPr>
              <w:rPr>
                <w:rFonts w:ascii="Cambria Math"/>
                <w:iCs/>
                <w:lang w:val="en-US"/>
              </w:rPr>
              <m:t>O_UE_P</m:t>
            </m:r>
            <m:r>
              <m:rPr>
                <m:nor/>
              </m:rPr>
              <w:rPr>
                <w:rFonts w:ascii="Cambria Math"/>
                <w:iCs/>
              </w:rPr>
              <m:t>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1</m:t>
            </m:r>
          </m:e>
        </m:d>
      </m:oMath>
      <w:r w:rsidRPr="00F415B1">
        <w:rPr>
          <w:lang w:val="en-US"/>
        </w:rPr>
        <w:t xml:space="preserve"> value is provided by </w:t>
      </w:r>
      <w:r w:rsidRPr="00F415B1">
        <w:rPr>
          <w:iCs/>
          <w:lang w:val="en-US"/>
        </w:rPr>
        <w:t>the value of</w:t>
      </w:r>
      <w:r w:rsidRPr="00F415B1">
        <w:rPr>
          <w:lang w:val="en-US"/>
        </w:rPr>
        <w:t xml:space="preserve"> </w:t>
      </w:r>
      <w:r w:rsidRPr="00F415B1">
        <w:rPr>
          <w:i/>
        </w:rPr>
        <w:t>p0-PUSCH-Alpha2</w:t>
      </w:r>
      <w:r w:rsidRPr="00F415B1">
        <w:rPr>
          <w:i/>
          <w:lang w:val="en-US"/>
        </w:rPr>
        <w:t xml:space="preserve"> </w:t>
      </w:r>
      <w:r w:rsidRPr="00F415B1">
        <w:rPr>
          <w:lang w:val="en-US"/>
        </w:rPr>
        <w:t xml:space="preserve">in </w:t>
      </w:r>
      <w:r w:rsidRPr="00F415B1">
        <w:rPr>
          <w:i/>
        </w:rPr>
        <w:t>ConfiguredGrantConfig</w:t>
      </w:r>
      <w:r w:rsidRPr="00F415B1">
        <w:t>.</w:t>
      </w:r>
    </w:p>
    <w:p w14:paraId="0E96790C" w14:textId="5084CAF6" w:rsidR="002E53A4" w:rsidRDefault="002E53A4" w:rsidP="002E53A4">
      <w:pPr>
        <w:pStyle w:val="B4"/>
        <w:ind w:left="1420"/>
        <w:rPr>
          <w:lang w:val="en-US"/>
        </w:rPr>
      </w:pPr>
      <w:r w:rsidRPr="00F415B1">
        <w:rPr>
          <w:lang w:val="x-none"/>
        </w:rPr>
        <w:t>-</w:t>
      </w:r>
      <w:r w:rsidRPr="00F415B1">
        <w:rPr>
          <w:lang w:val="x-none"/>
        </w:rPr>
        <w:tab/>
      </w:r>
      <w:r w:rsidRPr="00F415B1">
        <w:t xml:space="preserve">If the SRS resource set indicator value is 10 or 11, first and second </w:t>
      </w:r>
      <m:oMath>
        <m:sSub>
          <m:sSubPr>
            <m:ctrlPr>
              <w:rPr>
                <w:rFonts w:ascii="Cambria Math" w:hAnsi="Cambria Math"/>
                <w:iCs/>
              </w:rPr>
            </m:ctrlPr>
          </m:sSubPr>
          <m:e>
            <m:r>
              <w:rPr>
                <w:rFonts w:ascii="Cambria Math" w:hAnsi="Cambria Math"/>
              </w:rPr>
              <m:t>P</m:t>
            </m:r>
          </m:e>
          <m:sub>
            <m:r>
              <m:rPr>
                <m:nor/>
              </m:rPr>
              <w:rPr>
                <w:rFonts w:ascii="Cambria Math"/>
                <w:iCs/>
                <w:lang w:val="en-US"/>
              </w:rPr>
              <m:t>O_UE_P</m:t>
            </m:r>
            <m:r>
              <m:rPr>
                <m:nor/>
              </m:rPr>
              <w:rPr>
                <w:rFonts w:ascii="Cambria Math"/>
                <w:iCs/>
              </w:rPr>
              <m:t>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1</m:t>
            </m:r>
          </m:e>
        </m:d>
      </m:oMath>
      <w:r w:rsidRPr="00F415B1">
        <w:rPr>
          <w:lang w:val="en-US"/>
        </w:rPr>
        <w:t xml:space="preserve"> values </w:t>
      </w:r>
      <w:r w:rsidR="009A43CD" w:rsidRPr="008F482D">
        <w:rPr>
          <w:lang w:val="en-US"/>
        </w:rPr>
        <w:t xml:space="preserve">that are </w:t>
      </w:r>
      <w:r w:rsidR="009A43CD" w:rsidRPr="008F482D">
        <w:t xml:space="preserve">respectively associated with the first and second SRS resource set </w:t>
      </w:r>
      <w:r w:rsidRPr="00F415B1">
        <w:rPr>
          <w:lang w:val="en-US"/>
        </w:rPr>
        <w:t xml:space="preserve">are respectively provided by </w:t>
      </w:r>
      <w:r w:rsidRPr="00F415B1">
        <w:rPr>
          <w:iCs/>
          <w:lang w:val="en-US"/>
        </w:rPr>
        <w:t>the values of</w:t>
      </w:r>
      <w:r w:rsidRPr="00F415B1">
        <w:rPr>
          <w:lang w:val="en-US"/>
        </w:rPr>
        <w:t xml:space="preserve"> </w:t>
      </w:r>
      <w:r w:rsidRPr="00F415B1">
        <w:rPr>
          <w:i/>
        </w:rPr>
        <w:t>p0-PUSCH-Alpha</w:t>
      </w:r>
      <w:r w:rsidRPr="00F415B1">
        <w:rPr>
          <w:i/>
          <w:lang w:val="en-US"/>
        </w:rPr>
        <w:t xml:space="preserve"> </w:t>
      </w:r>
      <w:r w:rsidRPr="00F415B1">
        <w:rPr>
          <w:iCs/>
          <w:lang w:val="en-US"/>
        </w:rPr>
        <w:t xml:space="preserve">and by </w:t>
      </w:r>
      <w:r w:rsidRPr="00F415B1">
        <w:rPr>
          <w:i/>
        </w:rPr>
        <w:t>p0-PUSCH-Alpha2</w:t>
      </w:r>
      <w:r w:rsidRPr="00F415B1">
        <w:rPr>
          <w:i/>
          <w:lang w:val="en-US"/>
        </w:rPr>
        <w:t xml:space="preserve"> </w:t>
      </w:r>
      <w:r w:rsidRPr="00F415B1">
        <w:rPr>
          <w:lang w:val="en-US"/>
        </w:rPr>
        <w:t xml:space="preserve">in </w:t>
      </w:r>
      <w:r w:rsidRPr="00F415B1">
        <w:rPr>
          <w:i/>
        </w:rPr>
        <w:t>ConfiguredGrantConfig</w:t>
      </w:r>
      <w:r w:rsidRPr="00F415B1">
        <w:rPr>
          <w:lang w:val="en-US"/>
        </w:rPr>
        <w:t>.</w:t>
      </w:r>
    </w:p>
    <w:p w14:paraId="5F3B3A19" w14:textId="36513F31" w:rsidR="001A23C6" w:rsidRPr="002B30E4" w:rsidRDefault="001A23C6" w:rsidP="001A23C6">
      <w:pPr>
        <w:pStyle w:val="B3"/>
        <w:rPr>
          <w:lang w:val="en-US" w:eastAsia="zh-CN"/>
        </w:rPr>
      </w:pPr>
      <w:r w:rsidRPr="002B30E4">
        <w:rPr>
          <w:lang w:val="en-US" w:eastAsia="zh-CN"/>
        </w:rPr>
        <w:t>-</w:t>
      </w:r>
      <w:r w:rsidRPr="002B30E4">
        <w:rPr>
          <w:lang w:val="en-US" w:eastAsia="zh-CN"/>
        </w:rPr>
        <w:tab/>
        <w:t xml:space="preserve">else if the UE is provided </w:t>
      </w:r>
      <w:r w:rsidRPr="002B30E4">
        <w:rPr>
          <w:iCs/>
          <w:lang w:val="en-US" w:eastAsia="zh-CN"/>
        </w:rPr>
        <w:t xml:space="preserve">two SRS resource sets in </w:t>
      </w:r>
      <w:r w:rsidRPr="002B30E4">
        <w:rPr>
          <w:i/>
          <w:lang w:val="en-US" w:eastAsia="zh-CN"/>
        </w:rPr>
        <w:t>srs-ResourceSetToAddModList</w:t>
      </w:r>
      <w:r w:rsidRPr="002B30E4">
        <w:rPr>
          <w:iCs/>
          <w:lang w:val="en-US" w:eastAsia="zh-CN"/>
        </w:rPr>
        <w:t xml:space="preserve"> or </w:t>
      </w:r>
      <w:r w:rsidRPr="002B30E4">
        <w:rPr>
          <w:i/>
          <w:lang w:val="en-US" w:eastAsia="zh-CN"/>
        </w:rPr>
        <w:t>srs-ResourceSetToAddModListDCI-0-2</w:t>
      </w:r>
      <w:r w:rsidRPr="002B30E4">
        <w:rPr>
          <w:iCs/>
          <w:lang w:val="en-US" w:eastAsia="zh-CN"/>
        </w:rPr>
        <w:t xml:space="preserve"> with </w:t>
      </w:r>
      <w:r w:rsidRPr="002B30E4">
        <w:rPr>
          <w:i/>
          <w:lang w:val="en-US" w:eastAsia="zh-CN"/>
        </w:rPr>
        <w:t>usage</w:t>
      </w:r>
      <w:r w:rsidRPr="002B30E4">
        <w:rPr>
          <w:iCs/>
          <w:lang w:val="en-US" w:eastAsia="zh-CN"/>
        </w:rPr>
        <w:t xml:space="preserve"> set to </w:t>
      </w:r>
      <w:r w:rsidR="008D77EB">
        <w:rPr>
          <w:iCs/>
          <w:lang w:val="en-US" w:eastAsia="zh-CN"/>
        </w:rPr>
        <w:t>'</w:t>
      </w:r>
      <w:r w:rsidRPr="002B30E4">
        <w:rPr>
          <w:iCs/>
          <w:lang w:val="en-US" w:eastAsia="zh-CN"/>
        </w:rPr>
        <w:t>codebook</w:t>
      </w:r>
      <w:r w:rsidR="008D77EB">
        <w:rPr>
          <w:iCs/>
          <w:lang w:val="en-US" w:eastAsia="zh-CN"/>
        </w:rPr>
        <w:t>'</w:t>
      </w:r>
      <w:r w:rsidRPr="002B30E4">
        <w:rPr>
          <w:iCs/>
          <w:lang w:val="en-US" w:eastAsia="zh-CN"/>
        </w:rPr>
        <w:t xml:space="preserve"> or </w:t>
      </w:r>
      <w:r w:rsidR="008D77EB">
        <w:rPr>
          <w:iCs/>
          <w:lang w:val="en-US" w:eastAsia="zh-CN"/>
        </w:rPr>
        <w:t>'</w:t>
      </w:r>
      <w:r w:rsidRPr="002B30E4">
        <w:rPr>
          <w:iCs/>
          <w:lang w:val="en-US" w:eastAsia="zh-CN"/>
        </w:rPr>
        <w:t>nonCodebook</w:t>
      </w:r>
      <w:r w:rsidR="008D77EB">
        <w:rPr>
          <w:iCs/>
          <w:lang w:val="en-US" w:eastAsia="zh-CN"/>
        </w:rPr>
        <w:t>'</w:t>
      </w:r>
      <w:r w:rsidRPr="002B30E4">
        <w:rPr>
          <w:iCs/>
          <w:lang w:val="en-US" w:eastAsia="zh-CN"/>
        </w:rPr>
        <w:t xml:space="preserve"> and is provided </w:t>
      </w:r>
      <w:r w:rsidRPr="002B30E4">
        <w:rPr>
          <w:i/>
          <w:lang w:val="en-US" w:eastAsia="zh-CN"/>
        </w:rPr>
        <w:t>p0-PUSCH-Alpha2</w:t>
      </w:r>
      <w:r w:rsidRPr="002B30E4">
        <w:rPr>
          <w:lang w:val="en-US" w:eastAsia="zh-CN"/>
        </w:rPr>
        <w:t xml:space="preserve">, for a transmission of a configured grant Type 1 PUSCH and for active UL BWP </w:t>
      </w:r>
      <m:oMath>
        <m:r>
          <w:rPr>
            <w:rFonts w:ascii="Cambria Math" w:hAnsi="Cambria Math"/>
            <w:lang w:val="en-US" w:eastAsia="zh-CN"/>
          </w:rPr>
          <m:t>b</m:t>
        </m:r>
      </m:oMath>
      <w:r w:rsidRPr="002B30E4">
        <w:rPr>
          <w:iCs/>
          <w:lang w:val="en-US" w:eastAsia="zh-CN"/>
        </w:rPr>
        <w:t xml:space="preserve"> </w:t>
      </w:r>
      <w:r w:rsidRPr="002B30E4">
        <w:rPr>
          <w:lang w:val="en-US" w:eastAsia="zh-CN"/>
        </w:rPr>
        <w:t xml:space="preserve">of carrier </w:t>
      </w:r>
      <m:oMath>
        <m:r>
          <w:rPr>
            <w:rFonts w:ascii="Cambria Math" w:hAnsi="Cambria Math"/>
            <w:lang w:val="en-US" w:eastAsia="zh-CN"/>
          </w:rPr>
          <m:t>f</m:t>
        </m:r>
      </m:oMath>
      <w:r w:rsidRPr="002B30E4">
        <w:rPr>
          <w:iCs/>
          <w:lang w:val="en-US" w:eastAsia="zh-CN"/>
        </w:rPr>
        <w:t xml:space="preserve"> of</w:t>
      </w:r>
      <w:r w:rsidRPr="002B30E4">
        <w:rPr>
          <w:lang w:val="en-US" w:eastAsia="zh-CN"/>
        </w:rPr>
        <w:t xml:space="preserve"> serving cell</w:t>
      </w:r>
    </w:p>
    <w:p w14:paraId="7E30CC56" w14:textId="77777777" w:rsidR="001A23C6" w:rsidRPr="002B30E4" w:rsidRDefault="001A23C6" w:rsidP="001A23C6">
      <w:pPr>
        <w:pStyle w:val="B4"/>
        <w:ind w:left="1420"/>
        <w:rPr>
          <w:lang w:val="en-US" w:eastAsia="zh-CN"/>
        </w:rPr>
      </w:pPr>
      <w:r w:rsidRPr="002B30E4">
        <w:rPr>
          <w:lang w:val="en-US" w:eastAsia="zh-CN"/>
        </w:rPr>
        <w:t>-</w:t>
      </w:r>
      <w:r w:rsidRPr="002B30E4">
        <w:rPr>
          <w:lang w:val="en-US" w:eastAsia="zh-CN"/>
        </w:rPr>
        <w:tab/>
        <w:t xml:space="preserve">a first </w:t>
      </w:r>
      <m:oMath>
        <m:sSub>
          <m:sSubPr>
            <m:ctrlPr>
              <w:rPr>
                <w:rFonts w:ascii="Cambria Math" w:hAnsi="Cambria Math"/>
                <w:iCs/>
                <w:lang w:val="en-US" w:eastAsia="zh-CN"/>
              </w:rPr>
            </m:ctrlPr>
          </m:sSubPr>
          <m:e>
            <m:r>
              <w:rPr>
                <w:rFonts w:ascii="Cambria Math" w:hAnsi="Cambria Math"/>
                <w:lang w:val="en-US" w:eastAsia="zh-CN"/>
              </w:rPr>
              <m:t>P</m:t>
            </m:r>
          </m:e>
          <m:sub>
            <m:r>
              <m:rPr>
                <m:nor/>
              </m:rPr>
              <w:rPr>
                <w:iCs/>
                <w:lang w:val="en-US" w:eastAsia="zh-CN"/>
              </w:rPr>
              <m:t>O_UE_PUSCH</m:t>
            </m:r>
            <m:r>
              <m:rPr>
                <m:sty m:val="p"/>
              </m:rPr>
              <w:rPr>
                <w:rFonts w:ascii="Cambria Math" w:hAnsi="Cambria Math"/>
                <w:lang w:val="en-US" w:eastAsia="zh-CN"/>
              </w:rPr>
              <m:t>,</m:t>
            </m:r>
            <m:r>
              <w:rPr>
                <w:rFonts w:ascii="Cambria Math" w:hAnsi="Cambria Math"/>
                <w:lang w:val="en-US" w:eastAsia="zh-CN"/>
              </w:rPr>
              <m:t>b</m:t>
            </m:r>
            <m:r>
              <m:rPr>
                <m:sty m:val="p"/>
              </m:rPr>
              <w:rPr>
                <w:rFonts w:ascii="Cambria Math" w:hAnsi="Cambria Math"/>
                <w:lang w:val="en-US" w:eastAsia="zh-CN"/>
              </w:rPr>
              <m:t>,</m:t>
            </m:r>
            <m:r>
              <w:rPr>
                <w:rFonts w:ascii="Cambria Math" w:hAnsi="Cambria Math"/>
                <w:lang w:val="en-US" w:eastAsia="zh-CN"/>
              </w:rPr>
              <m:t>f</m:t>
            </m:r>
            <m:r>
              <m:rPr>
                <m:sty m:val="p"/>
              </m:rPr>
              <w:rPr>
                <w:rFonts w:ascii="Cambria Math" w:hAnsi="Cambria Math"/>
                <w:lang w:val="en-US" w:eastAsia="zh-CN"/>
              </w:rPr>
              <m:t>,</m:t>
            </m:r>
            <m:r>
              <w:rPr>
                <w:rFonts w:ascii="Cambria Math" w:hAnsi="Cambria Math"/>
                <w:lang w:val="en-US" w:eastAsia="zh-CN"/>
              </w:rPr>
              <m:t>c</m:t>
            </m:r>
          </m:sub>
        </m:sSub>
        <m:d>
          <m:dPr>
            <m:ctrlPr>
              <w:rPr>
                <w:rFonts w:ascii="Cambria Math" w:hAnsi="Cambria Math"/>
                <w:lang w:val="en-US" w:eastAsia="zh-CN"/>
              </w:rPr>
            </m:ctrlPr>
          </m:dPr>
          <m:e>
            <m:r>
              <w:rPr>
                <w:rFonts w:ascii="Cambria Math" w:hAnsi="Cambria Math"/>
                <w:lang w:val="en-US" w:eastAsia="zh-CN"/>
              </w:rPr>
              <m:t>1</m:t>
            </m:r>
          </m:e>
        </m:d>
      </m:oMath>
      <w:r w:rsidRPr="002B30E4">
        <w:rPr>
          <w:lang w:val="en-US" w:eastAsia="zh-CN"/>
        </w:rPr>
        <w:t xml:space="preserve"> value is provided by the </w:t>
      </w:r>
      <w:r w:rsidRPr="002B30E4">
        <w:rPr>
          <w:iCs/>
          <w:lang w:val="en-US" w:eastAsia="zh-CN"/>
        </w:rPr>
        <w:t>value of</w:t>
      </w:r>
      <w:r w:rsidRPr="002B30E4">
        <w:rPr>
          <w:lang w:val="en-US" w:eastAsia="zh-CN"/>
        </w:rPr>
        <w:t xml:space="preserve"> </w:t>
      </w:r>
      <w:r w:rsidRPr="002B30E4">
        <w:rPr>
          <w:i/>
          <w:lang w:val="en-US" w:eastAsia="zh-CN"/>
        </w:rPr>
        <w:t xml:space="preserve">p0-PUSCH-Alpha </w:t>
      </w:r>
      <w:r w:rsidRPr="002B30E4">
        <w:rPr>
          <w:lang w:val="en-US" w:eastAsia="zh-CN"/>
        </w:rPr>
        <w:t xml:space="preserve">in </w:t>
      </w:r>
      <w:r w:rsidRPr="002B30E4">
        <w:rPr>
          <w:i/>
          <w:lang w:val="en-US" w:eastAsia="zh-CN"/>
        </w:rPr>
        <w:t xml:space="preserve">ConfiguredGrantConfig </w:t>
      </w:r>
      <w:r>
        <w:rPr>
          <w:iCs/>
          <w:lang w:val="en-US" w:eastAsia="zh-CN"/>
        </w:rPr>
        <w:t>that</w:t>
      </w:r>
      <w:r w:rsidRPr="002B30E4">
        <w:rPr>
          <w:iCs/>
          <w:lang w:val="en-US" w:eastAsia="zh-CN"/>
        </w:rPr>
        <w:t xml:space="preserve"> is associated with the firs</w:t>
      </w:r>
      <w:r w:rsidRPr="002B30E4">
        <w:rPr>
          <w:lang w:val="en-US" w:eastAsia="zh-CN"/>
        </w:rPr>
        <w:t xml:space="preserve">t </w:t>
      </w:r>
      <w:r w:rsidRPr="002B30E4">
        <w:rPr>
          <w:i/>
          <w:iCs/>
          <w:lang w:val="en-US" w:eastAsia="zh-CN"/>
        </w:rPr>
        <w:t>srs-ResourceIndicator</w:t>
      </w:r>
      <w:r w:rsidRPr="002B30E4">
        <w:rPr>
          <w:lang w:val="en-US" w:eastAsia="zh-CN"/>
        </w:rPr>
        <w:t xml:space="preserve"> in </w:t>
      </w:r>
      <w:r w:rsidRPr="002B30E4">
        <w:rPr>
          <w:i/>
          <w:iCs/>
          <w:lang w:val="en-US" w:eastAsia="zh-CN"/>
        </w:rPr>
        <w:t>rrc-ConfiguredUplinkGrant</w:t>
      </w:r>
    </w:p>
    <w:p w14:paraId="311BF7BA" w14:textId="77777777" w:rsidR="001A23C6" w:rsidRPr="002B30E4" w:rsidRDefault="001A23C6" w:rsidP="001A23C6">
      <w:pPr>
        <w:pStyle w:val="B4"/>
        <w:ind w:left="1420"/>
        <w:rPr>
          <w:lang w:val="en-US" w:eastAsia="zh-CN"/>
        </w:rPr>
      </w:pPr>
      <w:r w:rsidRPr="002B30E4">
        <w:rPr>
          <w:lang w:val="en-US" w:eastAsia="zh-CN"/>
        </w:rPr>
        <w:t>-</w:t>
      </w:r>
      <w:r w:rsidRPr="002B30E4">
        <w:rPr>
          <w:lang w:val="en-US" w:eastAsia="zh-CN"/>
        </w:rPr>
        <w:tab/>
        <w:t xml:space="preserve">a second </w:t>
      </w:r>
      <m:oMath>
        <m:sSub>
          <m:sSubPr>
            <m:ctrlPr>
              <w:rPr>
                <w:rFonts w:ascii="Cambria Math" w:hAnsi="Cambria Math"/>
                <w:iCs/>
                <w:lang w:val="en-US" w:eastAsia="zh-CN"/>
              </w:rPr>
            </m:ctrlPr>
          </m:sSubPr>
          <m:e>
            <m:r>
              <w:rPr>
                <w:rFonts w:ascii="Cambria Math" w:hAnsi="Cambria Math"/>
                <w:lang w:val="en-US" w:eastAsia="zh-CN"/>
              </w:rPr>
              <m:t>P</m:t>
            </m:r>
          </m:e>
          <m:sub>
            <m:r>
              <m:rPr>
                <m:nor/>
              </m:rPr>
              <w:rPr>
                <w:iCs/>
                <w:lang w:val="en-US" w:eastAsia="zh-CN"/>
              </w:rPr>
              <m:t>O_UE_PUSCH</m:t>
            </m:r>
            <m:r>
              <m:rPr>
                <m:sty m:val="p"/>
              </m:rPr>
              <w:rPr>
                <w:rFonts w:ascii="Cambria Math" w:hAnsi="Cambria Math"/>
                <w:lang w:val="en-US" w:eastAsia="zh-CN"/>
              </w:rPr>
              <m:t>,</m:t>
            </m:r>
            <m:r>
              <w:rPr>
                <w:rFonts w:ascii="Cambria Math" w:hAnsi="Cambria Math"/>
                <w:lang w:val="en-US" w:eastAsia="zh-CN"/>
              </w:rPr>
              <m:t>b</m:t>
            </m:r>
            <m:r>
              <m:rPr>
                <m:sty m:val="p"/>
              </m:rPr>
              <w:rPr>
                <w:rFonts w:ascii="Cambria Math" w:hAnsi="Cambria Math"/>
                <w:lang w:val="en-US" w:eastAsia="zh-CN"/>
              </w:rPr>
              <m:t>,</m:t>
            </m:r>
            <m:r>
              <w:rPr>
                <w:rFonts w:ascii="Cambria Math" w:hAnsi="Cambria Math"/>
                <w:lang w:val="en-US" w:eastAsia="zh-CN"/>
              </w:rPr>
              <m:t>f</m:t>
            </m:r>
            <m:r>
              <m:rPr>
                <m:sty m:val="p"/>
              </m:rPr>
              <w:rPr>
                <w:rFonts w:ascii="Cambria Math" w:hAnsi="Cambria Math"/>
                <w:lang w:val="en-US" w:eastAsia="zh-CN"/>
              </w:rPr>
              <m:t>,</m:t>
            </m:r>
            <m:r>
              <w:rPr>
                <w:rFonts w:ascii="Cambria Math" w:hAnsi="Cambria Math"/>
                <w:lang w:val="en-US" w:eastAsia="zh-CN"/>
              </w:rPr>
              <m:t>c</m:t>
            </m:r>
          </m:sub>
        </m:sSub>
        <m:d>
          <m:dPr>
            <m:ctrlPr>
              <w:rPr>
                <w:rFonts w:ascii="Cambria Math" w:hAnsi="Cambria Math"/>
                <w:lang w:val="en-US" w:eastAsia="zh-CN"/>
              </w:rPr>
            </m:ctrlPr>
          </m:dPr>
          <m:e>
            <m:r>
              <w:rPr>
                <w:rFonts w:ascii="Cambria Math" w:hAnsi="Cambria Math"/>
                <w:lang w:val="en-US" w:eastAsia="zh-CN"/>
              </w:rPr>
              <m:t>1</m:t>
            </m:r>
          </m:e>
        </m:d>
      </m:oMath>
      <w:r w:rsidRPr="002B30E4">
        <w:rPr>
          <w:lang w:val="en-US" w:eastAsia="zh-CN"/>
        </w:rPr>
        <w:t xml:space="preserve"> value is provided by </w:t>
      </w:r>
      <w:r w:rsidRPr="002B30E4">
        <w:rPr>
          <w:iCs/>
          <w:lang w:val="en-US" w:eastAsia="zh-CN"/>
        </w:rPr>
        <w:t>the value of</w:t>
      </w:r>
      <w:r w:rsidRPr="002B30E4">
        <w:rPr>
          <w:lang w:val="en-US" w:eastAsia="zh-CN"/>
        </w:rPr>
        <w:t xml:space="preserve"> </w:t>
      </w:r>
      <w:r w:rsidRPr="002B30E4">
        <w:rPr>
          <w:i/>
          <w:lang w:val="en-US" w:eastAsia="zh-CN"/>
        </w:rPr>
        <w:t xml:space="preserve">p0-PUSCH-Alpha2 </w:t>
      </w:r>
      <w:r w:rsidRPr="002B30E4">
        <w:rPr>
          <w:lang w:val="en-US" w:eastAsia="zh-CN"/>
        </w:rPr>
        <w:t xml:space="preserve">in </w:t>
      </w:r>
      <w:r w:rsidRPr="002B30E4">
        <w:rPr>
          <w:i/>
          <w:lang w:val="en-US" w:eastAsia="zh-CN"/>
        </w:rPr>
        <w:t xml:space="preserve">ConfiguredGrantConfig </w:t>
      </w:r>
      <w:r>
        <w:rPr>
          <w:iCs/>
          <w:lang w:val="en-US" w:eastAsia="zh-CN"/>
        </w:rPr>
        <w:t>that</w:t>
      </w:r>
      <w:r w:rsidRPr="002B30E4">
        <w:rPr>
          <w:iCs/>
          <w:lang w:val="en-US" w:eastAsia="zh-CN"/>
        </w:rPr>
        <w:t xml:space="preserve"> is associated with the second</w:t>
      </w:r>
      <w:r w:rsidRPr="002B30E4">
        <w:rPr>
          <w:lang w:val="en-US" w:eastAsia="zh-CN"/>
        </w:rPr>
        <w:t xml:space="preserve"> </w:t>
      </w:r>
      <w:r w:rsidRPr="002B30E4">
        <w:rPr>
          <w:i/>
          <w:iCs/>
          <w:lang w:val="en-US" w:eastAsia="zh-CN"/>
        </w:rPr>
        <w:t>srs-ResourceIndicator</w:t>
      </w:r>
      <w:r w:rsidRPr="002B30E4">
        <w:rPr>
          <w:lang w:val="en-US" w:eastAsia="zh-CN"/>
        </w:rPr>
        <w:t xml:space="preserve"> in </w:t>
      </w:r>
      <w:r w:rsidRPr="002B30E4">
        <w:rPr>
          <w:i/>
          <w:iCs/>
          <w:lang w:val="en-US" w:eastAsia="zh-CN"/>
        </w:rPr>
        <w:t>rrc-ConfiguredUplinkGrant</w:t>
      </w:r>
    </w:p>
    <w:p w14:paraId="18FB7769" w14:textId="4055D49C" w:rsidR="001A23C6" w:rsidRPr="002B30E4" w:rsidRDefault="001A23C6" w:rsidP="001A23C6">
      <w:pPr>
        <w:pStyle w:val="B3"/>
        <w:rPr>
          <w:lang w:val="en-US" w:eastAsia="zh-CN"/>
        </w:rPr>
      </w:pPr>
      <w:r w:rsidRPr="002B30E4">
        <w:rPr>
          <w:lang w:val="en-US" w:eastAsia="zh-CN"/>
        </w:rPr>
        <w:t>-</w:t>
      </w:r>
      <w:r>
        <w:rPr>
          <w:lang w:val="en-US" w:eastAsia="zh-CN"/>
        </w:rPr>
        <w:tab/>
      </w:r>
      <w:r w:rsidRPr="002B30E4">
        <w:rPr>
          <w:lang w:val="en-US" w:eastAsia="zh-CN"/>
        </w:rPr>
        <w:t xml:space="preserve">else if the UE is provided </w:t>
      </w:r>
      <w:r w:rsidRPr="002B30E4">
        <w:rPr>
          <w:iCs/>
          <w:lang w:val="en-US" w:eastAsia="zh-CN"/>
        </w:rPr>
        <w:t xml:space="preserve">two SRS resource sets in </w:t>
      </w:r>
      <w:r w:rsidRPr="002B30E4">
        <w:rPr>
          <w:i/>
          <w:lang w:val="en-US" w:eastAsia="zh-CN"/>
        </w:rPr>
        <w:t>srs-ResourceSetToAddModList</w:t>
      </w:r>
      <w:r w:rsidRPr="002B30E4">
        <w:rPr>
          <w:iCs/>
          <w:lang w:val="en-US" w:eastAsia="zh-CN"/>
        </w:rPr>
        <w:t xml:space="preserve"> or </w:t>
      </w:r>
      <w:r w:rsidRPr="002B30E4">
        <w:rPr>
          <w:i/>
          <w:lang w:val="en-US" w:eastAsia="zh-CN"/>
        </w:rPr>
        <w:t>srs-ResourceSetToAddModListDCI-0-2</w:t>
      </w:r>
      <w:r w:rsidRPr="002B30E4">
        <w:rPr>
          <w:iCs/>
          <w:lang w:val="en-US" w:eastAsia="zh-CN"/>
        </w:rPr>
        <w:t xml:space="preserve"> with </w:t>
      </w:r>
      <w:r w:rsidRPr="002B30E4">
        <w:rPr>
          <w:i/>
          <w:lang w:val="en-US" w:eastAsia="zh-CN"/>
        </w:rPr>
        <w:t>usage</w:t>
      </w:r>
      <w:r w:rsidRPr="002B30E4">
        <w:rPr>
          <w:iCs/>
          <w:lang w:val="en-US" w:eastAsia="zh-CN"/>
        </w:rPr>
        <w:t xml:space="preserve"> set to </w:t>
      </w:r>
      <w:r w:rsidR="008D77EB">
        <w:rPr>
          <w:iCs/>
          <w:lang w:val="en-US" w:eastAsia="zh-CN"/>
        </w:rPr>
        <w:t>'</w:t>
      </w:r>
      <w:r w:rsidRPr="002B30E4">
        <w:rPr>
          <w:iCs/>
          <w:lang w:val="en-US" w:eastAsia="zh-CN"/>
        </w:rPr>
        <w:t>codebook</w:t>
      </w:r>
      <w:r w:rsidR="008D77EB">
        <w:rPr>
          <w:iCs/>
          <w:lang w:val="en-US" w:eastAsia="zh-CN"/>
        </w:rPr>
        <w:t>'</w:t>
      </w:r>
      <w:r w:rsidRPr="002B30E4">
        <w:rPr>
          <w:iCs/>
          <w:lang w:val="en-US" w:eastAsia="zh-CN"/>
        </w:rPr>
        <w:t xml:space="preserve"> or </w:t>
      </w:r>
      <w:r w:rsidR="008D77EB">
        <w:rPr>
          <w:iCs/>
          <w:lang w:val="en-US" w:eastAsia="zh-CN"/>
        </w:rPr>
        <w:t>'</w:t>
      </w:r>
      <w:r w:rsidRPr="002B30E4">
        <w:rPr>
          <w:iCs/>
          <w:lang w:val="en-US" w:eastAsia="zh-CN"/>
        </w:rPr>
        <w:t>nonCodebook</w:t>
      </w:r>
      <w:r w:rsidR="008D77EB">
        <w:rPr>
          <w:iCs/>
          <w:lang w:val="en-US" w:eastAsia="zh-CN"/>
        </w:rPr>
        <w:t>'</w:t>
      </w:r>
      <w:r w:rsidRPr="002B30E4">
        <w:rPr>
          <w:iCs/>
          <w:lang w:val="en-US" w:eastAsia="zh-CN"/>
        </w:rPr>
        <w:t xml:space="preserve"> and is provided </w:t>
      </w:r>
      <w:r w:rsidRPr="002B30E4">
        <w:rPr>
          <w:i/>
          <w:lang w:val="en-US" w:eastAsia="zh-CN"/>
        </w:rPr>
        <w:t>p0-PUSCH-Alpha2</w:t>
      </w:r>
      <w:r w:rsidRPr="002B30E4">
        <w:rPr>
          <w:iCs/>
          <w:lang w:val="en-US" w:eastAsia="zh-CN"/>
        </w:rPr>
        <w:t>, for a retransmission of a configured grant Type 1 PUSCH</w:t>
      </w:r>
      <w:r>
        <w:rPr>
          <w:iCs/>
          <w:lang w:val="en-US" w:eastAsia="zh-CN"/>
        </w:rPr>
        <w:t>,</w:t>
      </w:r>
      <w:r w:rsidRPr="002B30E4">
        <w:rPr>
          <w:iCs/>
          <w:lang w:val="en-US" w:eastAsia="zh-CN"/>
        </w:rPr>
        <w:t xml:space="preserve"> or for activation or retransmis</w:t>
      </w:r>
      <w:r w:rsidRPr="002B30E4">
        <w:rPr>
          <w:lang w:val="en-US" w:eastAsia="zh-CN"/>
        </w:rPr>
        <w:t>sion of a configured grant Type 2 PUSCH</w:t>
      </w:r>
      <w:r>
        <w:rPr>
          <w:lang w:val="en-US" w:eastAsia="zh-CN"/>
        </w:rPr>
        <w:t>,</w:t>
      </w:r>
      <w:r w:rsidRPr="002B30E4">
        <w:rPr>
          <w:lang w:val="en-US" w:eastAsia="zh-CN"/>
        </w:rPr>
        <w:t xml:space="preserve"> scheduled by a DCI format 0_0</w:t>
      </w:r>
      <w:r>
        <w:rPr>
          <w:lang w:val="en-US" w:eastAsia="zh-CN"/>
        </w:rPr>
        <w:t>,</w:t>
      </w:r>
      <w:r w:rsidRPr="002B30E4">
        <w:rPr>
          <w:lang w:val="en-US" w:eastAsia="zh-CN"/>
        </w:rPr>
        <w:t xml:space="preserve"> and for active UL BWP </w:t>
      </w:r>
      <m:oMath>
        <m:r>
          <w:rPr>
            <w:rFonts w:ascii="Cambria Math" w:hAnsi="Cambria Math"/>
            <w:lang w:val="en-US" w:eastAsia="zh-CN"/>
          </w:rPr>
          <m:t>b</m:t>
        </m:r>
      </m:oMath>
      <w:r w:rsidRPr="002B30E4">
        <w:rPr>
          <w:iCs/>
          <w:lang w:val="en-US" w:eastAsia="zh-CN"/>
        </w:rPr>
        <w:t xml:space="preserve"> </w:t>
      </w:r>
      <w:r w:rsidRPr="002B30E4">
        <w:rPr>
          <w:lang w:val="en-US" w:eastAsia="zh-CN"/>
        </w:rPr>
        <w:t xml:space="preserve">of carrier </w:t>
      </w:r>
      <m:oMath>
        <m:r>
          <w:rPr>
            <w:rFonts w:ascii="Cambria Math" w:hAnsi="Cambria Math"/>
            <w:lang w:val="en-US" w:eastAsia="zh-CN"/>
          </w:rPr>
          <m:t>f</m:t>
        </m:r>
      </m:oMath>
      <w:r w:rsidRPr="002B30E4">
        <w:rPr>
          <w:iCs/>
          <w:lang w:val="en-US" w:eastAsia="zh-CN"/>
        </w:rPr>
        <w:t xml:space="preserve"> of</w:t>
      </w:r>
      <w:r w:rsidRPr="002B30E4">
        <w:rPr>
          <w:lang w:val="en-US" w:eastAsia="zh-CN"/>
        </w:rPr>
        <w:t xml:space="preserve"> serving cell</w:t>
      </w:r>
    </w:p>
    <w:p w14:paraId="433835FA" w14:textId="10FF6EB1" w:rsidR="001A23C6" w:rsidRPr="001A23C6" w:rsidRDefault="001A23C6" w:rsidP="002E53A4">
      <w:pPr>
        <w:pStyle w:val="B4"/>
        <w:ind w:left="1420"/>
        <w:rPr>
          <w:lang w:val="en-US" w:eastAsia="zh-CN"/>
        </w:rPr>
      </w:pPr>
      <w:r w:rsidRPr="002B30E4">
        <w:rPr>
          <w:lang w:val="en-US" w:eastAsia="zh-CN"/>
        </w:rPr>
        <w:t>-</w:t>
      </w:r>
      <w:r w:rsidRPr="002B30E4">
        <w:rPr>
          <w:lang w:val="en-US" w:eastAsia="zh-CN"/>
        </w:rPr>
        <w:tab/>
        <w:t xml:space="preserve">a first </w:t>
      </w:r>
      <m:oMath>
        <m:sSub>
          <m:sSubPr>
            <m:ctrlPr>
              <w:rPr>
                <w:rFonts w:ascii="Cambria Math" w:hAnsi="Cambria Math"/>
                <w:iCs/>
                <w:lang w:val="en-US" w:eastAsia="zh-CN"/>
              </w:rPr>
            </m:ctrlPr>
          </m:sSubPr>
          <m:e>
            <m:r>
              <w:rPr>
                <w:rFonts w:ascii="Cambria Math" w:hAnsi="Cambria Math"/>
                <w:lang w:val="en-US" w:eastAsia="zh-CN"/>
              </w:rPr>
              <m:t>P</m:t>
            </m:r>
          </m:e>
          <m:sub>
            <m:r>
              <m:rPr>
                <m:nor/>
              </m:rPr>
              <w:rPr>
                <w:iCs/>
                <w:lang w:val="en-US" w:eastAsia="zh-CN"/>
              </w:rPr>
              <m:t>O_UE_PUSCH</m:t>
            </m:r>
            <m:r>
              <m:rPr>
                <m:sty m:val="p"/>
              </m:rPr>
              <w:rPr>
                <w:rFonts w:ascii="Cambria Math" w:hAnsi="Cambria Math"/>
                <w:lang w:val="en-US" w:eastAsia="zh-CN"/>
              </w:rPr>
              <m:t>,</m:t>
            </m:r>
            <m:r>
              <w:rPr>
                <w:rFonts w:ascii="Cambria Math" w:hAnsi="Cambria Math"/>
                <w:lang w:val="en-US" w:eastAsia="zh-CN"/>
              </w:rPr>
              <m:t>b</m:t>
            </m:r>
            <m:r>
              <m:rPr>
                <m:sty m:val="p"/>
              </m:rPr>
              <w:rPr>
                <w:rFonts w:ascii="Cambria Math" w:hAnsi="Cambria Math"/>
                <w:lang w:val="en-US" w:eastAsia="zh-CN"/>
              </w:rPr>
              <m:t>,</m:t>
            </m:r>
            <m:r>
              <w:rPr>
                <w:rFonts w:ascii="Cambria Math" w:hAnsi="Cambria Math"/>
                <w:lang w:val="en-US" w:eastAsia="zh-CN"/>
              </w:rPr>
              <m:t>f</m:t>
            </m:r>
            <m:r>
              <m:rPr>
                <m:sty m:val="p"/>
              </m:rPr>
              <w:rPr>
                <w:rFonts w:ascii="Cambria Math" w:hAnsi="Cambria Math"/>
                <w:lang w:val="en-US" w:eastAsia="zh-CN"/>
              </w:rPr>
              <m:t>,</m:t>
            </m:r>
            <m:r>
              <w:rPr>
                <w:rFonts w:ascii="Cambria Math" w:hAnsi="Cambria Math"/>
                <w:lang w:val="en-US" w:eastAsia="zh-CN"/>
              </w:rPr>
              <m:t>c</m:t>
            </m:r>
          </m:sub>
        </m:sSub>
        <m:d>
          <m:dPr>
            <m:ctrlPr>
              <w:rPr>
                <w:rFonts w:ascii="Cambria Math" w:hAnsi="Cambria Math"/>
                <w:lang w:val="en-US" w:eastAsia="zh-CN"/>
              </w:rPr>
            </m:ctrlPr>
          </m:dPr>
          <m:e>
            <m:r>
              <w:rPr>
                <w:rFonts w:ascii="Cambria Math" w:hAnsi="Cambria Math"/>
                <w:lang w:val="en-US" w:eastAsia="zh-CN"/>
              </w:rPr>
              <m:t>1</m:t>
            </m:r>
          </m:e>
        </m:d>
      </m:oMath>
      <w:r w:rsidRPr="002B30E4">
        <w:rPr>
          <w:lang w:val="en-US" w:eastAsia="zh-CN"/>
        </w:rPr>
        <w:t xml:space="preserve"> value is provided by the </w:t>
      </w:r>
      <w:r w:rsidRPr="002B30E4">
        <w:rPr>
          <w:iCs/>
          <w:lang w:val="en-US" w:eastAsia="zh-CN"/>
        </w:rPr>
        <w:t>value of</w:t>
      </w:r>
      <w:r w:rsidRPr="002B30E4">
        <w:rPr>
          <w:lang w:val="en-US" w:eastAsia="zh-CN"/>
        </w:rPr>
        <w:t xml:space="preserve"> </w:t>
      </w:r>
      <w:r w:rsidRPr="002B30E4">
        <w:rPr>
          <w:i/>
          <w:lang w:val="en-US" w:eastAsia="zh-CN"/>
        </w:rPr>
        <w:t xml:space="preserve">p0-PUSCH-Alpha </w:t>
      </w:r>
      <w:r w:rsidRPr="002B30E4">
        <w:rPr>
          <w:lang w:val="en-US" w:eastAsia="zh-CN"/>
        </w:rPr>
        <w:t xml:space="preserve">in </w:t>
      </w:r>
      <w:r w:rsidRPr="002B30E4">
        <w:rPr>
          <w:i/>
          <w:lang w:val="en-US" w:eastAsia="zh-CN"/>
        </w:rPr>
        <w:t>ConfiguredGrantConfig</w:t>
      </w:r>
    </w:p>
    <w:p w14:paraId="1FE698BD" w14:textId="08F740B4" w:rsidR="00EA5731" w:rsidRDefault="002E53A4" w:rsidP="009400C8">
      <w:pPr>
        <w:pStyle w:val="B3"/>
        <w:rPr>
          <w:lang w:val="en-US"/>
        </w:rPr>
      </w:pPr>
      <w:r w:rsidRPr="00F415B1">
        <w:t>-</w:t>
      </w:r>
      <w:r w:rsidRPr="00F415B1">
        <w:tab/>
        <w:t xml:space="preserve">else, </w:t>
      </w:r>
      <m:oMath>
        <m:sSub>
          <m:sSubPr>
            <m:ctrlPr>
              <w:rPr>
                <w:rFonts w:ascii="Cambria Math" w:hAnsi="Cambria Math"/>
                <w:iCs/>
                <w:lang w:val="en-US" w:eastAsia="zh-CN"/>
              </w:rPr>
            </m:ctrlPr>
          </m:sSubPr>
          <m:e>
            <m:r>
              <w:rPr>
                <w:rFonts w:ascii="Cambria Math" w:hAnsi="Cambria Math"/>
                <w:lang w:val="en-US" w:eastAsia="zh-CN"/>
              </w:rPr>
              <m:t>P</m:t>
            </m:r>
          </m:e>
          <m:sub>
            <m:r>
              <m:rPr>
                <m:nor/>
              </m:rPr>
              <w:rPr>
                <w:iCs/>
                <w:lang w:val="en-US" w:eastAsia="zh-CN"/>
              </w:rPr>
              <m:t>O_UE_PUSCH</m:t>
            </m:r>
            <m:r>
              <m:rPr>
                <m:sty m:val="p"/>
              </m:rPr>
              <w:rPr>
                <w:rFonts w:ascii="Cambria Math" w:hAnsi="Cambria Math"/>
                <w:lang w:val="en-US" w:eastAsia="zh-CN"/>
              </w:rPr>
              <m:t>,</m:t>
            </m:r>
            <m:r>
              <w:rPr>
                <w:rFonts w:ascii="Cambria Math" w:hAnsi="Cambria Math"/>
                <w:lang w:val="en-US" w:eastAsia="zh-CN"/>
              </w:rPr>
              <m:t>b</m:t>
            </m:r>
            <m:r>
              <m:rPr>
                <m:sty m:val="p"/>
              </m:rPr>
              <w:rPr>
                <w:rFonts w:ascii="Cambria Math" w:hAnsi="Cambria Math"/>
                <w:lang w:val="en-US" w:eastAsia="zh-CN"/>
              </w:rPr>
              <m:t>,</m:t>
            </m:r>
            <m:r>
              <w:rPr>
                <w:rFonts w:ascii="Cambria Math" w:hAnsi="Cambria Math"/>
                <w:lang w:val="en-US" w:eastAsia="zh-CN"/>
              </w:rPr>
              <m:t>f</m:t>
            </m:r>
            <m:r>
              <m:rPr>
                <m:sty m:val="p"/>
              </m:rPr>
              <w:rPr>
                <w:rFonts w:ascii="Cambria Math" w:hAnsi="Cambria Math"/>
                <w:lang w:val="en-US" w:eastAsia="zh-CN"/>
              </w:rPr>
              <m:t>,</m:t>
            </m:r>
            <m:r>
              <w:rPr>
                <w:rFonts w:ascii="Cambria Math" w:hAnsi="Cambria Math"/>
                <w:lang w:val="en-US" w:eastAsia="zh-CN"/>
              </w:rPr>
              <m:t>c</m:t>
            </m:r>
          </m:sub>
        </m:sSub>
        <m:d>
          <m:dPr>
            <m:ctrlPr>
              <w:rPr>
                <w:rFonts w:ascii="Cambria Math" w:hAnsi="Cambria Math"/>
                <w:lang w:val="en-US" w:eastAsia="zh-CN"/>
              </w:rPr>
            </m:ctrlPr>
          </m:dPr>
          <m:e>
            <m:r>
              <w:rPr>
                <w:rFonts w:ascii="Cambria Math" w:hAnsi="Cambria Math"/>
                <w:lang w:val="en-US" w:eastAsia="zh-CN"/>
              </w:rPr>
              <m:t>1</m:t>
            </m:r>
          </m:e>
        </m:d>
      </m:oMath>
      <w:r>
        <w:rPr>
          <w:lang w:val="en-US"/>
        </w:rPr>
        <w:t xml:space="preserve"> </w:t>
      </w:r>
      <w:r w:rsidR="00B7712F" w:rsidRPr="00B916EC">
        <w:rPr>
          <w:lang w:val="en-US"/>
        </w:rPr>
        <w:t>is provided by</w:t>
      </w:r>
      <w:r w:rsidR="00B7712F">
        <w:rPr>
          <w:lang w:val="en-US"/>
        </w:rPr>
        <w:t xml:space="preserve"> </w:t>
      </w:r>
      <w:r w:rsidR="00B7712F" w:rsidRPr="00B916EC">
        <w:rPr>
          <w:i/>
          <w:lang w:val="en-US"/>
        </w:rPr>
        <w:t>p0</w:t>
      </w:r>
      <w:r w:rsidR="00B7712F" w:rsidRPr="00B916EC">
        <w:rPr>
          <w:lang w:val="en-US"/>
        </w:rPr>
        <w:t xml:space="preserve"> </w:t>
      </w:r>
      <w:r w:rsidR="00B7712F">
        <w:rPr>
          <w:lang w:val="en-US"/>
        </w:rPr>
        <w:t xml:space="preserve">obtained from </w:t>
      </w:r>
      <w:r w:rsidR="00B7712F" w:rsidRPr="00DD20CD">
        <w:rPr>
          <w:i/>
        </w:rPr>
        <w:t>p0-PUSCH-Alpha</w:t>
      </w:r>
      <w:r w:rsidR="00B7712F">
        <w:rPr>
          <w:i/>
          <w:lang w:val="en-US"/>
        </w:rPr>
        <w:t xml:space="preserve"> </w:t>
      </w:r>
      <w:r w:rsidR="00B7712F" w:rsidRPr="00A124FF">
        <w:rPr>
          <w:lang w:val="en-US"/>
        </w:rPr>
        <w:t xml:space="preserve">in </w:t>
      </w:r>
      <w:r w:rsidR="00B7712F" w:rsidRPr="00692B06">
        <w:rPr>
          <w:i/>
        </w:rPr>
        <w:t>ConfiguredGrantConfig</w:t>
      </w:r>
      <w:r w:rsidR="00B7712F" w:rsidRPr="00B916EC">
        <w:rPr>
          <w:lang w:val="en-US"/>
        </w:rPr>
        <w:t xml:space="preserve"> </w:t>
      </w:r>
      <w:r w:rsidR="00B7712F">
        <w:rPr>
          <w:lang w:val="en-US"/>
        </w:rPr>
        <w:t xml:space="preserve">that provides an index </w:t>
      </w:r>
      <w:r w:rsidR="00B7712F" w:rsidRPr="00747E15">
        <w:rPr>
          <w:i/>
        </w:rPr>
        <w:t>P0-PUSCH-AlphaSetId</w:t>
      </w:r>
      <w:r w:rsidR="00B7712F">
        <w:rPr>
          <w:lang w:val="en-US"/>
        </w:rPr>
        <w:t xml:space="preserve"> to a set of</w:t>
      </w:r>
      <w:r w:rsidR="00B7712F" w:rsidRPr="00B916EC">
        <w:t xml:space="preserve"> </w:t>
      </w:r>
      <w:r w:rsidR="00B7712F" w:rsidRPr="00747E15">
        <w:rPr>
          <w:i/>
        </w:rPr>
        <w:t>P0-PUSCH-AlphaSet</w:t>
      </w:r>
      <w:r w:rsidR="00A66624" w:rsidRPr="00DF2F9C">
        <w:rPr>
          <w:iCs/>
          <w:lang w:val="en-US"/>
        </w:rPr>
        <w:t>,</w:t>
      </w:r>
      <w:r w:rsidR="00A66624">
        <w:rPr>
          <w:iCs/>
          <w:lang w:val="en-US"/>
        </w:rPr>
        <w:t xml:space="preserve"> or by </w:t>
      </w:r>
      <w:r w:rsidR="00334424" w:rsidRPr="00981539">
        <w:rPr>
          <w:i/>
          <w:lang w:val="en-US"/>
        </w:rPr>
        <w:t>sdt</w:t>
      </w:r>
      <w:r w:rsidR="00334424">
        <w:rPr>
          <w:iCs/>
          <w:lang w:val="en-US"/>
        </w:rPr>
        <w:t>-</w:t>
      </w:r>
      <w:r w:rsidR="00334424">
        <w:rPr>
          <w:i/>
          <w:lang w:val="en-US"/>
        </w:rPr>
        <w:t>P</w:t>
      </w:r>
      <w:r w:rsidR="00334424" w:rsidRPr="00DF2F9C">
        <w:rPr>
          <w:i/>
          <w:lang w:val="en-US"/>
        </w:rPr>
        <w:t>0-PUSCH</w:t>
      </w:r>
      <w:r w:rsidR="00A66624">
        <w:rPr>
          <w:iCs/>
          <w:lang w:val="en-US"/>
        </w:rPr>
        <w:t xml:space="preserve"> for a PUSCH (re)transmission as described in clause 19.1,</w:t>
      </w:r>
      <w:r w:rsidR="00B7712F" w:rsidRPr="00B916EC">
        <w:t xml:space="preserve"> for </w:t>
      </w:r>
      <w:r w:rsidR="00B7712F">
        <w:rPr>
          <w:lang w:val="en-US"/>
        </w:rPr>
        <w:t xml:space="preserve">active UL BWP </w:t>
      </w:r>
      <m:oMath>
        <m:r>
          <w:rPr>
            <w:rFonts w:ascii="Cambria Math" w:hAnsi="Cambria Math"/>
          </w:rPr>
          <m:t>b</m:t>
        </m:r>
      </m:oMath>
      <w:r w:rsidR="00B7712F">
        <w:rPr>
          <w:iCs/>
          <w:lang w:val="en-US"/>
        </w:rPr>
        <w:t xml:space="preserve"> </w:t>
      </w:r>
      <w:r w:rsidR="00B7712F">
        <w:rPr>
          <w:lang w:val="en-US"/>
        </w:rPr>
        <w:t xml:space="preserve">of </w:t>
      </w:r>
      <w:r w:rsidR="00B7712F" w:rsidRPr="00B916EC">
        <w:rPr>
          <w:lang w:val="en-US"/>
        </w:rPr>
        <w:t xml:space="preserve">carrier </w:t>
      </w:r>
      <m:oMath>
        <m:r>
          <w:rPr>
            <w:rFonts w:ascii="Cambria Math" w:hAnsi="Cambria Math"/>
            <w:lang w:val="en-US"/>
          </w:rPr>
          <m:t>f</m:t>
        </m:r>
      </m:oMath>
      <w:r w:rsidR="00B7712F" w:rsidRPr="00B916EC">
        <w:rPr>
          <w:iCs/>
          <w:lang w:val="en-US"/>
        </w:rPr>
        <w:t xml:space="preserve"> of</w:t>
      </w:r>
      <w:r w:rsidR="00B7712F" w:rsidRPr="00B916EC">
        <w:t xml:space="preserve"> serving cell </w:t>
      </w:r>
      <m:oMath>
        <m:r>
          <w:rPr>
            <w:rFonts w:ascii="Cambria Math" w:hAnsi="Cambria Math"/>
          </w:rPr>
          <m:t>c</m:t>
        </m:r>
      </m:oMath>
    </w:p>
    <w:p w14:paraId="6C7E469A" w14:textId="4FEDEBCA" w:rsidR="00EA5731" w:rsidRDefault="00416A87" w:rsidP="0009732E">
      <w:pPr>
        <w:pStyle w:val="B2"/>
        <w:rPr>
          <w:lang w:eastAsia="zh-CN"/>
        </w:rPr>
      </w:pPr>
      <w:r>
        <w:t>-</w:t>
      </w:r>
      <w:r>
        <w:tab/>
      </w:r>
      <w:r w:rsidR="001E4314" w:rsidRPr="00B916EC">
        <w:t>For</w:t>
      </w:r>
      <w:r w:rsidR="00B7712F">
        <w:rPr>
          <w:lang w:val="en-US"/>
        </w:rPr>
        <w:t xml:space="preserve"> </w:t>
      </w:r>
      <m:oMath>
        <m:r>
          <w:rPr>
            <w:rFonts w:ascii="Cambria Math" w:hAnsi="Cambria Math"/>
            <w:lang w:val="en-US"/>
          </w:rPr>
          <m:t>j∈</m:t>
        </m:r>
        <m:d>
          <m:dPr>
            <m:begChr m:val="{"/>
            <m:endChr m:val="}"/>
            <m:ctrlPr>
              <w:rPr>
                <w:rFonts w:ascii="Cambria Math" w:hAnsi="Cambria Math"/>
                <w:i/>
                <w:lang w:val="en-US"/>
              </w:rPr>
            </m:ctrlPr>
          </m:dPr>
          <m:e>
            <m:r>
              <w:rPr>
                <w:rFonts w:ascii="Cambria Math" w:hAnsi="Cambria Math"/>
                <w:lang w:val="en-US"/>
              </w:rPr>
              <m:t>2,…,J-1</m:t>
            </m:r>
          </m:e>
        </m:d>
        <m:r>
          <w:rPr>
            <w:rFonts w:ascii="Cambria Math" w:hAnsi="Cambria Math"/>
            <w:lang w:val="en-US"/>
          </w:rPr>
          <m:t>=</m:t>
        </m:r>
        <m:sSub>
          <m:sSubPr>
            <m:ctrlPr>
              <w:rPr>
                <w:rFonts w:ascii="Cambria Math" w:hAnsi="Cambria Math"/>
                <w:iCs/>
              </w:rPr>
            </m:ctrlPr>
          </m:sSubPr>
          <m:e>
            <m:r>
              <w:rPr>
                <w:rFonts w:ascii="Cambria Math" w:hAnsi="Cambria Math"/>
              </w:rPr>
              <m:t>S</m:t>
            </m:r>
          </m:e>
          <m:sub>
            <m:r>
              <w:rPr>
                <w:rFonts w:ascii="Cambria Math"/>
              </w:rPr>
              <m:t>J</m:t>
            </m:r>
          </m:sub>
        </m:sSub>
      </m:oMath>
      <w:r w:rsidR="001E4314" w:rsidRPr="00B916EC">
        <w:t xml:space="preserve">, a </w:t>
      </w:r>
      <m:oMath>
        <m:sSub>
          <m:sSubPr>
            <m:ctrlPr>
              <w:rPr>
                <w:rFonts w:ascii="Cambria Math" w:hAnsi="Cambria Math"/>
                <w:iCs/>
              </w:rPr>
            </m:ctrlPr>
          </m:sSubPr>
          <m:e>
            <m:r>
              <w:rPr>
                <w:rFonts w:ascii="Cambria Math" w:hAnsi="Cambria Math"/>
              </w:rPr>
              <m:t>P</m:t>
            </m:r>
          </m:e>
          <m:sub>
            <m:r>
              <m:rPr>
                <m:nor/>
              </m:rPr>
              <w:rPr>
                <w:rFonts w:ascii="Cambria Math"/>
                <w:iCs/>
                <w:lang w:val="en-US"/>
              </w:rPr>
              <m:t>O_NOMINAL,P</m:t>
            </m:r>
            <m:r>
              <m:rPr>
                <m:nor/>
              </m:rPr>
              <w:rPr>
                <w:rFonts w:ascii="Cambria Math"/>
                <w:iCs/>
              </w:rPr>
              <m:t>USCH</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oMath>
      <w:r w:rsidR="007D5A3F">
        <w:t xml:space="preserve"> </w:t>
      </w:r>
      <w:r w:rsidR="001E4314" w:rsidRPr="00B916EC">
        <w:t>value</w:t>
      </w:r>
      <w:r w:rsidR="00845D0E" w:rsidRPr="00B916EC">
        <w:t xml:space="preserve">, </w:t>
      </w:r>
      <w:r w:rsidR="0033566D" w:rsidRPr="00B916EC">
        <w:t>a</w:t>
      </w:r>
      <w:r w:rsidR="00845D0E" w:rsidRPr="00B916EC">
        <w:t xml:space="preserve">pplicable for all </w:t>
      </w:r>
      <m:oMath>
        <m:r>
          <w:rPr>
            <w:rFonts w:ascii="Cambria Math" w:hAnsi="Cambria Math"/>
          </w:rPr>
          <m:t>j</m:t>
        </m:r>
        <m:r>
          <w:rPr>
            <w:rFonts w:ascii="Cambria Math" w:hAnsi="Cambria Math"/>
            <w:lang w:val="en-US"/>
          </w:rPr>
          <m:t>∈</m:t>
        </m:r>
        <m:sSub>
          <m:sSubPr>
            <m:ctrlPr>
              <w:rPr>
                <w:rFonts w:ascii="Cambria Math" w:hAnsi="Cambria Math"/>
                <w:iCs/>
              </w:rPr>
            </m:ctrlPr>
          </m:sSubPr>
          <m:e>
            <m:r>
              <w:rPr>
                <w:rFonts w:ascii="Cambria Math" w:hAnsi="Cambria Math"/>
              </w:rPr>
              <m:t>S</m:t>
            </m:r>
          </m:e>
          <m:sub>
            <m:r>
              <w:rPr>
                <w:rFonts w:ascii="Cambria Math"/>
              </w:rPr>
              <m:t>J</m:t>
            </m:r>
          </m:sub>
        </m:sSub>
      </m:oMath>
      <w:r w:rsidR="00845D0E" w:rsidRPr="00B916EC">
        <w:t>,</w:t>
      </w:r>
      <w:r w:rsidR="001E4314" w:rsidRPr="00B916EC">
        <w:t xml:space="preserve"> </w:t>
      </w:r>
      <w:r w:rsidR="002002F9" w:rsidRPr="00B916EC">
        <w:t>is</w:t>
      </w:r>
      <w:r w:rsidR="001E4314" w:rsidRPr="00B916EC">
        <w:t xml:space="preserve"> </w:t>
      </w:r>
      <w:r w:rsidR="00F12937" w:rsidRPr="00B916EC">
        <w:t xml:space="preserve">provided </w:t>
      </w:r>
      <w:r w:rsidR="001E4314" w:rsidRPr="00B916EC">
        <w:t xml:space="preserve">by </w:t>
      </w:r>
      <w:r w:rsidR="00B255D9" w:rsidRPr="00CC3E69">
        <w:rPr>
          <w:i/>
        </w:rPr>
        <w:t>p0-NominalWithGrant</w:t>
      </w:r>
      <w:r w:rsidR="00011187">
        <w:rPr>
          <w:i/>
          <w:lang w:val="en-US"/>
        </w:rPr>
        <w:t xml:space="preserve">, </w:t>
      </w:r>
      <w:r w:rsidR="00011187">
        <w:rPr>
          <w:lang w:val="en-US"/>
        </w:rPr>
        <w:t xml:space="preserve">or </w:t>
      </w:r>
      <m:oMath>
        <m:sSub>
          <m:sSubPr>
            <m:ctrlPr>
              <w:rPr>
                <w:rFonts w:ascii="Cambria Math" w:hAnsi="Cambria Math"/>
                <w:iCs/>
              </w:rPr>
            </m:ctrlPr>
          </m:sSubPr>
          <m:e>
            <m:r>
              <w:rPr>
                <w:rFonts w:ascii="Cambria Math" w:hAnsi="Cambria Math"/>
              </w:rPr>
              <m:t>P</m:t>
            </m:r>
          </m:e>
          <m:sub>
            <m:r>
              <m:rPr>
                <m:nor/>
              </m:rPr>
              <w:rPr>
                <w:rFonts w:ascii="Cambria Math"/>
                <w:iCs/>
                <w:lang w:val="en-US"/>
              </w:rPr>
              <m:t>O_NOMINAL,P</m:t>
            </m:r>
            <m:r>
              <m:rPr>
                <m:nor/>
              </m:rPr>
              <w:rPr>
                <w:rFonts w:ascii="Cambria Math"/>
                <w:iCs/>
              </w:rPr>
              <m:t>USCH</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r>
          <w:rPr>
            <w:rFonts w:ascii="Cambria Math"/>
          </w:rPr>
          <m:t>=</m:t>
        </m:r>
        <m:sSub>
          <m:sSubPr>
            <m:ctrlPr>
              <w:rPr>
                <w:rFonts w:ascii="Cambria Math" w:hAnsi="Cambria Math"/>
                <w:iCs/>
              </w:rPr>
            </m:ctrlPr>
          </m:sSubPr>
          <m:e>
            <m:r>
              <w:rPr>
                <w:rFonts w:ascii="Cambria Math" w:hAnsi="Cambria Math"/>
              </w:rPr>
              <m:t>P</m:t>
            </m:r>
          </m:e>
          <m:sub>
            <m:r>
              <m:rPr>
                <m:nor/>
              </m:rPr>
              <w:rPr>
                <w:rFonts w:ascii="Cambria Math"/>
                <w:iCs/>
                <w:lang w:val="en-US"/>
              </w:rPr>
              <m:t>O_NOMINAL,P</m:t>
            </m:r>
            <m:r>
              <m:rPr>
                <m:nor/>
              </m:rPr>
              <w:rPr>
                <w:rFonts w:ascii="Cambria Math"/>
                <w:iCs/>
              </w:rPr>
              <m:t>USCH</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0</m:t>
            </m:r>
          </m:e>
        </m:d>
      </m:oMath>
      <w:r w:rsidR="00011187">
        <w:rPr>
          <w:lang w:val="en-US"/>
        </w:rPr>
        <w:t xml:space="preserve"> if </w:t>
      </w:r>
      <w:r w:rsidR="00011187">
        <w:rPr>
          <w:i/>
        </w:rPr>
        <w:t>p0-NominalWith</w:t>
      </w:r>
      <w:r w:rsidR="00011187" w:rsidRPr="000E4EAF" w:rsidDel="003D475F">
        <w:rPr>
          <w:i/>
        </w:rPr>
        <w:t>Grant</w:t>
      </w:r>
      <w:r w:rsidR="00011187">
        <w:rPr>
          <w:lang w:val="en-US"/>
        </w:rPr>
        <w:t xml:space="preserve"> is not provided,</w:t>
      </w:r>
      <w:r w:rsidR="00B255D9" w:rsidRPr="00B916EC">
        <w:t xml:space="preserve"> for each carrier </w:t>
      </w:r>
      <m:oMath>
        <m:r>
          <w:rPr>
            <w:rFonts w:ascii="Cambria Math" w:hAnsi="Cambria Math"/>
          </w:rPr>
          <m:t>f</m:t>
        </m:r>
      </m:oMath>
      <w:r w:rsidR="00011187" w:rsidRPr="00B916EC">
        <w:rPr>
          <w:iCs/>
        </w:rPr>
        <w:t xml:space="preserve"> of</w:t>
      </w:r>
      <w:r w:rsidR="00011187" w:rsidRPr="00B916EC">
        <w:t xml:space="preserve"> serving cell </w:t>
      </w:r>
      <m:oMath>
        <m:r>
          <w:rPr>
            <w:rFonts w:ascii="Cambria Math" w:hAnsi="Cambria Math"/>
          </w:rPr>
          <m:t>c</m:t>
        </m:r>
      </m:oMath>
      <w:r w:rsidR="00011187" w:rsidRPr="00B916EC">
        <w:t xml:space="preserve"> and a set of</w:t>
      </w:r>
      <w:r w:rsidR="00011187">
        <w:t xml:space="preserve"> </w:t>
      </w:r>
      <m:oMath>
        <m:sSub>
          <m:sSubPr>
            <m:ctrlPr>
              <w:rPr>
                <w:rFonts w:ascii="Cambria Math" w:hAnsi="Cambria Math"/>
                <w:iCs/>
              </w:rPr>
            </m:ctrlPr>
          </m:sSubPr>
          <m:e>
            <m:r>
              <w:rPr>
                <w:rFonts w:ascii="Cambria Math" w:hAnsi="Cambria Math"/>
              </w:rPr>
              <m:t>P</m:t>
            </m:r>
          </m:e>
          <m:sub>
            <m:r>
              <m:rPr>
                <m:nor/>
              </m:rPr>
              <w:rPr>
                <w:rFonts w:ascii="Cambria Math"/>
                <w:iCs/>
                <w:lang w:val="en-US"/>
              </w:rPr>
              <m:t>O_UE_P</m:t>
            </m:r>
            <m:r>
              <m:rPr>
                <m:nor/>
              </m:rPr>
              <w:rPr>
                <w:rFonts w:ascii="Cambria Math"/>
                <w:iCs/>
              </w:rPr>
              <m:t>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r>
          <w:rPr>
            <w:rFonts w:ascii="Cambria Math" w:hAnsi="Cambria Math"/>
          </w:rPr>
          <m:t xml:space="preserve"> </m:t>
        </m:r>
      </m:oMath>
      <w:r w:rsidR="00B255D9" w:rsidRPr="00B916EC">
        <w:t xml:space="preserve">values are provided by a set of </w:t>
      </w:r>
      <w:r w:rsidR="00B255D9">
        <w:rPr>
          <w:i/>
          <w:lang w:val="en-US"/>
        </w:rPr>
        <w:t>p</w:t>
      </w:r>
      <w:r w:rsidR="00B255D9">
        <w:rPr>
          <w:i/>
        </w:rPr>
        <w:t>0</w:t>
      </w:r>
      <w:r w:rsidR="00B255D9" w:rsidRPr="00B916EC" w:rsidDel="000E4EAF">
        <w:rPr>
          <w:i/>
        </w:rPr>
        <w:t xml:space="preserve"> </w:t>
      </w:r>
      <w:r w:rsidR="00B255D9">
        <w:t xml:space="preserve">in </w:t>
      </w:r>
      <w:r w:rsidR="00B255D9" w:rsidRPr="00562201">
        <w:rPr>
          <w:i/>
        </w:rPr>
        <w:t>P0-PUSCH-AlphaSet</w:t>
      </w:r>
      <w:r w:rsidR="00B255D9" w:rsidRPr="005C75EF">
        <w:t xml:space="preserve"> </w:t>
      </w:r>
      <w:r w:rsidR="00B255D9">
        <w:rPr>
          <w:lang w:val="en-US"/>
        </w:rPr>
        <w:t>indicated by</w:t>
      </w:r>
      <w:r w:rsidR="00B255D9" w:rsidRPr="00B916EC">
        <w:t xml:space="preserve"> a respective</w:t>
      </w:r>
      <w:r w:rsidR="00B255D9">
        <w:t xml:space="preserve"> set of</w:t>
      </w:r>
      <w:r w:rsidR="00B255D9" w:rsidRPr="00B916EC">
        <w:t xml:space="preserve"> </w:t>
      </w:r>
      <w:r w:rsidR="00B255D9" w:rsidRPr="000E4EAF">
        <w:rPr>
          <w:i/>
        </w:rPr>
        <w:t>p0-PUSCH-AlphaSetId</w:t>
      </w:r>
      <w:r w:rsidR="00BE0954" w:rsidRPr="00B916EC">
        <w:t xml:space="preserve"> </w:t>
      </w:r>
      <w:r w:rsidR="001E4314" w:rsidRPr="00B916EC">
        <w:t xml:space="preserve">for </w:t>
      </w:r>
      <w:r w:rsidR="00E51F04">
        <w:rPr>
          <w:lang w:val="en-US"/>
        </w:rPr>
        <w:t xml:space="preserve">active </w:t>
      </w:r>
      <w:r w:rsidR="00EA5731">
        <w:t xml:space="preserve">UL BWP </w:t>
      </w:r>
      <m:oMath>
        <m:r>
          <w:rPr>
            <w:rFonts w:ascii="Cambria Math" w:hAnsi="Cambria Math"/>
          </w:rPr>
          <m:t>b</m:t>
        </m:r>
      </m:oMath>
      <w:r w:rsidR="00EA5731">
        <w:rPr>
          <w:iCs/>
        </w:rPr>
        <w:t xml:space="preserve"> </w:t>
      </w:r>
      <w:r w:rsidR="00EA5731">
        <w:t xml:space="preserve">of </w:t>
      </w:r>
      <w:r w:rsidR="003F4E7C" w:rsidRPr="00B916EC">
        <w:t xml:space="preserve">carrier </w:t>
      </w:r>
      <m:oMath>
        <m:r>
          <w:rPr>
            <w:rFonts w:ascii="Cambria Math" w:hAnsi="Cambria Math"/>
          </w:rPr>
          <m:t>f</m:t>
        </m:r>
      </m:oMath>
      <w:r w:rsidR="00011187" w:rsidRPr="00B916EC">
        <w:rPr>
          <w:iCs/>
        </w:rPr>
        <w:t xml:space="preserve"> of</w:t>
      </w:r>
      <w:r w:rsidR="00011187" w:rsidRPr="00B916EC">
        <w:t xml:space="preserve"> serving cell </w:t>
      </w:r>
      <m:oMath>
        <m:r>
          <w:rPr>
            <w:rFonts w:ascii="Cambria Math" w:hAnsi="Cambria Math"/>
          </w:rPr>
          <m:t>c</m:t>
        </m:r>
      </m:oMath>
    </w:p>
    <w:p w14:paraId="39BDA40A" w14:textId="17ADE091" w:rsidR="00F850C6" w:rsidRPr="00F415B1" w:rsidRDefault="00EA5731" w:rsidP="00F850C6">
      <w:pPr>
        <w:pStyle w:val="B3"/>
      </w:pPr>
      <w:r>
        <w:rPr>
          <w:lang w:eastAsia="zh-CN"/>
        </w:rPr>
        <w:t>-</w:t>
      </w:r>
      <w:r>
        <w:rPr>
          <w:lang w:eastAsia="zh-CN"/>
        </w:rPr>
        <w:tab/>
        <w:t xml:space="preserve">If the UE is provided </w:t>
      </w:r>
      <w:r w:rsidR="00B255D9">
        <w:rPr>
          <w:lang w:eastAsia="zh-CN"/>
        </w:rPr>
        <w:t>by</w:t>
      </w:r>
      <w:r w:rsidR="00B255D9" w:rsidRPr="00E61D74">
        <w:rPr>
          <w:lang w:eastAsia="zh-CN"/>
        </w:rPr>
        <w:t xml:space="preserve"> </w:t>
      </w:r>
      <w:r w:rsidR="0016293D" w:rsidRPr="00155FC2">
        <w:rPr>
          <w:i/>
        </w:rPr>
        <w:t>SRI-PUSCH-PowerControl</w:t>
      </w:r>
      <w:r w:rsidR="0016293D" w:rsidRPr="0022611C">
        <w:t xml:space="preserve"> </w:t>
      </w:r>
      <w:r w:rsidR="0016293D" w:rsidRPr="007A2D3D">
        <w:t xml:space="preserve">more than one values of </w:t>
      </w:r>
      <w:r w:rsidR="0016293D" w:rsidRPr="007A2D3D">
        <w:rPr>
          <w:i/>
        </w:rPr>
        <w:t>p0-PUSCH-AlphaSetId</w:t>
      </w:r>
      <w:r w:rsidR="0016293D">
        <w:t xml:space="preserve"> and if </w:t>
      </w:r>
      <w:r w:rsidR="001E0DF0">
        <w:t xml:space="preserve">a </w:t>
      </w:r>
      <w:r w:rsidR="0016293D">
        <w:t xml:space="preserve">DCI format </w:t>
      </w:r>
      <w:r w:rsidR="001E0DF0" w:rsidRPr="00EE027F">
        <w:t>scheduling the PUSCH transmission</w:t>
      </w:r>
      <w:r w:rsidR="001E0DF0">
        <w:t xml:space="preserve"> </w:t>
      </w:r>
      <w:r w:rsidR="0016293D">
        <w:t>includes a</w:t>
      </w:r>
      <w:r w:rsidR="00673FAC">
        <w:t>n</w:t>
      </w:r>
      <w:r w:rsidR="0016293D">
        <w:t xml:space="preserve"> SRI field</w:t>
      </w:r>
      <w:r>
        <w:t>, the UE obtains</w:t>
      </w:r>
      <w:r w:rsidRPr="00E61D74">
        <w:t xml:space="preserve"> a mapping</w:t>
      </w:r>
      <w:r w:rsidR="0016293D" w:rsidRPr="0016293D">
        <w:rPr>
          <w:lang w:val="en-US"/>
        </w:rPr>
        <w:t xml:space="preserve"> </w:t>
      </w:r>
      <w:r w:rsidR="0016293D">
        <w:rPr>
          <w:lang w:val="en-US"/>
        </w:rPr>
        <w:t xml:space="preserve">from </w:t>
      </w:r>
      <w:r w:rsidR="0016293D" w:rsidRPr="00155FC2">
        <w:rPr>
          <w:i/>
        </w:rPr>
        <w:t>sri-PUSCH-PowerControlId</w:t>
      </w:r>
      <w:r w:rsidR="0016293D" w:rsidRPr="004516B4">
        <w:t xml:space="preserve"> </w:t>
      </w:r>
      <w:r w:rsidR="0016293D">
        <w:rPr>
          <w:lang w:val="en-US"/>
        </w:rPr>
        <w:t xml:space="preserve">in </w:t>
      </w:r>
      <w:r w:rsidR="0016293D" w:rsidRPr="00155FC2">
        <w:rPr>
          <w:i/>
        </w:rPr>
        <w:t>SRI-PUSCH-PowerControl</w:t>
      </w:r>
      <w:r w:rsidRPr="00E61D74">
        <w:t xml:space="preserve"> between a set of values for the SRI field in </w:t>
      </w:r>
      <w:r w:rsidR="001E0DF0">
        <w:t xml:space="preserve">the </w:t>
      </w:r>
      <w:r w:rsidRPr="00E61D74">
        <w:t xml:space="preserve">DCI format </w:t>
      </w:r>
      <w:r w:rsidRPr="00B916EC">
        <w:t>[</w:t>
      </w:r>
      <w:r w:rsidRPr="00E61D74">
        <w:t>5</w:t>
      </w:r>
      <w:r w:rsidRPr="00B916EC">
        <w:t>, TS 38.</w:t>
      </w:r>
      <w:r w:rsidRPr="00E61D74">
        <w:t>212</w:t>
      </w:r>
      <w:r w:rsidRPr="00B916EC">
        <w:t>]</w:t>
      </w:r>
      <w:r w:rsidRPr="00E61D74">
        <w:t xml:space="preserve"> and a set of</w:t>
      </w:r>
      <w:r>
        <w:t xml:space="preserve"> indexes provided by </w:t>
      </w:r>
      <w:r w:rsidR="0016293D" w:rsidRPr="000E4EAF">
        <w:rPr>
          <w:i/>
        </w:rPr>
        <w:t>p0-PUSCH-AlphaSetId</w:t>
      </w:r>
      <w:r w:rsidRPr="00E61D74">
        <w:t xml:space="preserve"> </w:t>
      </w:r>
      <w:r>
        <w:t xml:space="preserve">that map to a set of </w:t>
      </w:r>
      <w:r w:rsidR="0016293D" w:rsidRPr="00562201">
        <w:rPr>
          <w:i/>
        </w:rPr>
        <w:t>P0-PUSCH-AlphaSet</w:t>
      </w:r>
      <w:r w:rsidR="0016293D" w:rsidRPr="00B916EC">
        <w:t xml:space="preserve"> </w:t>
      </w:r>
      <w:r w:rsidR="0016293D" w:rsidRPr="00E61D74">
        <w:t>values</w:t>
      </w:r>
      <w:r w:rsidR="001E0DF0">
        <w:t xml:space="preserve"> and</w:t>
      </w:r>
      <w:r>
        <w:t xml:space="preserve"> determines</w:t>
      </w:r>
      <w:r w:rsidRPr="00E61D74">
        <w:t xml:space="preserve"> the value of </w:t>
      </w:r>
      <m:oMath>
        <m:sSub>
          <m:sSubPr>
            <m:ctrlPr>
              <w:rPr>
                <w:rFonts w:ascii="Cambria Math" w:hAnsi="Cambria Math"/>
                <w:iCs/>
              </w:rPr>
            </m:ctrlPr>
          </m:sSubPr>
          <m:e>
            <m:r>
              <w:rPr>
                <w:rFonts w:ascii="Cambria Math" w:hAnsi="Cambria Math"/>
              </w:rPr>
              <m:t>P</m:t>
            </m:r>
          </m:e>
          <m:sub>
            <m:r>
              <m:rPr>
                <m:nor/>
              </m:rPr>
              <w:rPr>
                <w:rFonts w:ascii="Cambria Math"/>
                <w:iCs/>
                <w:lang w:val="en-US"/>
              </w:rPr>
              <m:t>O_UE_P</m:t>
            </m:r>
            <m:r>
              <m:rPr>
                <m:nor/>
              </m:rPr>
              <w:rPr>
                <w:rFonts w:ascii="Cambria Math"/>
                <w:iCs/>
              </w:rPr>
              <m:t>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oMath>
      <w:r w:rsidRPr="00E61D74">
        <w:t xml:space="preserve"> from the </w:t>
      </w:r>
      <w:r w:rsidR="00E51F04" w:rsidRPr="00E61D74">
        <w:rPr>
          <w:i/>
        </w:rPr>
        <w:t>p0</w:t>
      </w:r>
      <w:r w:rsidR="00E51F04">
        <w:rPr>
          <w:i/>
        </w:rPr>
        <w:t>-PUSCH-</w:t>
      </w:r>
      <w:r w:rsidR="00291C99">
        <w:rPr>
          <w:i/>
        </w:rPr>
        <w:t>A</w:t>
      </w:r>
      <w:r w:rsidR="00291C99" w:rsidRPr="00E61D74">
        <w:rPr>
          <w:i/>
        </w:rPr>
        <w:t>lpha</w:t>
      </w:r>
      <w:r w:rsidR="00291C99">
        <w:rPr>
          <w:i/>
        </w:rPr>
        <w:t>S</w:t>
      </w:r>
      <w:r w:rsidR="00291C99" w:rsidRPr="00E61D74">
        <w:rPr>
          <w:i/>
        </w:rPr>
        <w:t>et</w:t>
      </w:r>
      <w:r w:rsidR="00291C99">
        <w:rPr>
          <w:i/>
        </w:rPr>
        <w:t>Id</w:t>
      </w:r>
      <w:r w:rsidR="00291C99" w:rsidRPr="00E61D74">
        <w:t xml:space="preserve"> </w:t>
      </w:r>
      <w:r w:rsidRPr="00E61D74">
        <w:t>value that is mapped to the SRI field value</w:t>
      </w:r>
      <w:r w:rsidR="001E0DF0" w:rsidRPr="00EE027F">
        <w:t xml:space="preserve">. </w:t>
      </w:r>
      <w:r w:rsidR="00F850C6" w:rsidRPr="00F415B1">
        <w:rPr>
          <w:lang w:eastAsia="zh-CN"/>
        </w:rPr>
        <w:t>I</w:t>
      </w:r>
      <w:r w:rsidR="00F850C6" w:rsidRPr="00F415B1">
        <w:t xml:space="preserve">f </w:t>
      </w:r>
      <w:r w:rsidR="00F850C6" w:rsidRPr="00F415B1">
        <w:rPr>
          <w:lang w:eastAsia="zh-CN"/>
        </w:rPr>
        <w:t xml:space="preserve">the UE is provided by </w:t>
      </w:r>
      <w:r w:rsidR="00F850C6" w:rsidRPr="00F415B1">
        <w:rPr>
          <w:i/>
        </w:rPr>
        <w:t>SRI-PUSCH-PowerControl</w:t>
      </w:r>
      <w:r w:rsidR="00F850C6" w:rsidRPr="00F415B1">
        <w:t xml:space="preserve"> more than one values of </w:t>
      </w:r>
      <w:r w:rsidR="00F850C6" w:rsidRPr="00F415B1">
        <w:rPr>
          <w:i/>
        </w:rPr>
        <w:t>p0-PUSCH-AlphaSetId</w:t>
      </w:r>
      <w:r w:rsidR="00F850C6" w:rsidRPr="00F415B1">
        <w:t xml:space="preserve"> </w:t>
      </w:r>
    </w:p>
    <w:p w14:paraId="3B4AF2B8" w14:textId="6331DCF5" w:rsidR="00F850C6" w:rsidRPr="00F415B1" w:rsidRDefault="00F850C6" w:rsidP="00F850C6">
      <w:pPr>
        <w:pStyle w:val="B4"/>
        <w:ind w:left="1420"/>
      </w:pPr>
      <w:r w:rsidRPr="00F415B1">
        <w:rPr>
          <w:lang w:val="x-none"/>
        </w:rPr>
        <w:t>-</w:t>
      </w:r>
      <w:r w:rsidRPr="00F415B1">
        <w:rPr>
          <w:lang w:val="x-none"/>
        </w:rPr>
        <w:tab/>
      </w:r>
      <w:r w:rsidRPr="00F415B1">
        <w:t xml:space="preserve">if the DCI format scheduling the PUSCH transmission includes two SRI fields and the UE is provided </w:t>
      </w:r>
      <w:r w:rsidRPr="00F415B1">
        <w:rPr>
          <w:iCs/>
        </w:rPr>
        <w:t xml:space="preserve">two SRS resource sets in </w:t>
      </w:r>
      <w:r w:rsidRPr="00F415B1">
        <w:rPr>
          <w:i/>
        </w:rPr>
        <w:t>srs-ResourceSetToAddModList</w:t>
      </w:r>
      <w:r w:rsidRPr="00F415B1">
        <w:rPr>
          <w:iCs/>
        </w:rPr>
        <w:t xml:space="preserve"> or </w:t>
      </w:r>
      <w:r w:rsidRPr="00F415B1">
        <w:rPr>
          <w:i/>
        </w:rPr>
        <w:t>srs-ResourceSetToAddModListDCI-0-2</w:t>
      </w:r>
      <w:r w:rsidRPr="00F415B1">
        <w:rPr>
          <w:iCs/>
        </w:rPr>
        <w:t xml:space="preserve"> with </w:t>
      </w:r>
      <w:r w:rsidRPr="00F415B1">
        <w:rPr>
          <w:i/>
        </w:rPr>
        <w:t>usage</w:t>
      </w:r>
      <w:r w:rsidRPr="00F415B1">
        <w:rPr>
          <w:iCs/>
        </w:rPr>
        <w:t xml:space="preserve"> set to </w:t>
      </w:r>
      <w:r w:rsidR="005E3B15">
        <w:rPr>
          <w:iCs/>
        </w:rPr>
        <w:t>'</w:t>
      </w:r>
      <w:r w:rsidRPr="00F415B1">
        <w:rPr>
          <w:iCs/>
        </w:rPr>
        <w:t>codebook</w:t>
      </w:r>
      <w:r w:rsidR="005E3B15">
        <w:rPr>
          <w:iCs/>
        </w:rPr>
        <w:t>'</w:t>
      </w:r>
      <w:r w:rsidRPr="00F415B1">
        <w:t>, the UE obtains a mapping</w:t>
      </w:r>
      <w:r w:rsidRPr="00F415B1">
        <w:rPr>
          <w:lang w:val="en-US"/>
        </w:rPr>
        <w:t xml:space="preserve"> from </w:t>
      </w:r>
      <w:r w:rsidRPr="00F415B1">
        <w:rPr>
          <w:i/>
        </w:rPr>
        <w:t>sri-PUSCH-PowerControlId</w:t>
      </w:r>
      <w:r w:rsidRPr="00F415B1">
        <w:t xml:space="preserve"> </w:t>
      </w:r>
      <w:r w:rsidRPr="00F415B1">
        <w:rPr>
          <w:lang w:val="en-US"/>
        </w:rPr>
        <w:t xml:space="preserve">in </w:t>
      </w:r>
      <w:r w:rsidRPr="00F415B1">
        <w:rPr>
          <w:i/>
        </w:rPr>
        <w:t>SRI-PUSCH-PowerControl</w:t>
      </w:r>
      <w:r w:rsidRPr="00F415B1">
        <w:t xml:space="preserve"> between a set of values for the two SRI fields and a set of indexes provided by </w:t>
      </w:r>
      <w:r w:rsidRPr="00F415B1">
        <w:rPr>
          <w:i/>
        </w:rPr>
        <w:t>p0-PUSCH-AlphaSetId</w:t>
      </w:r>
      <w:r w:rsidRPr="00F415B1">
        <w:t xml:space="preserve"> that map to a set of </w:t>
      </w:r>
      <w:r w:rsidRPr="00F415B1">
        <w:rPr>
          <w:i/>
        </w:rPr>
        <w:t>P0-PUSCH-AlphaSet</w:t>
      </w:r>
      <w:r w:rsidRPr="00F415B1">
        <w:t xml:space="preserve"> values, and determines first and second values of </w:t>
      </w:r>
      <m:oMath>
        <m:sSub>
          <m:sSubPr>
            <m:ctrlPr>
              <w:rPr>
                <w:rFonts w:ascii="Cambria Math" w:hAnsi="Cambria Math"/>
                <w:iCs/>
              </w:rPr>
            </m:ctrlPr>
          </m:sSubPr>
          <m:e>
            <m:r>
              <w:rPr>
                <w:rFonts w:ascii="Cambria Math" w:hAnsi="Cambria Math"/>
              </w:rPr>
              <m:t>P</m:t>
            </m:r>
          </m:e>
          <m:sub>
            <m:r>
              <m:rPr>
                <m:nor/>
              </m:rPr>
              <w:rPr>
                <w:rFonts w:ascii="Cambria Math"/>
                <w:iCs/>
                <w:lang w:val="en-US"/>
              </w:rPr>
              <m:t>O_UE_P</m:t>
            </m:r>
            <m:r>
              <m:rPr>
                <m:nor/>
              </m:rPr>
              <w:rPr>
                <w:rFonts w:ascii="Cambria Math"/>
                <w:iCs/>
              </w:rPr>
              <m:t>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oMath>
      <w:r w:rsidRPr="00F415B1">
        <w:t xml:space="preserve"> from the </w:t>
      </w:r>
      <w:r w:rsidRPr="00F415B1">
        <w:rPr>
          <w:i/>
        </w:rPr>
        <w:t>p0-PUSCH-AlphaSetId</w:t>
      </w:r>
      <w:r w:rsidRPr="00F415B1">
        <w:t xml:space="preserve"> values that are mapped to the values of the first and second SRI fields, respectively.</w:t>
      </w:r>
    </w:p>
    <w:p w14:paraId="454E4393" w14:textId="77777777" w:rsidR="00F850C6" w:rsidRPr="00F415B1" w:rsidRDefault="00F850C6" w:rsidP="00F850C6">
      <w:pPr>
        <w:pStyle w:val="B4"/>
        <w:ind w:left="1420"/>
      </w:pPr>
      <w:r w:rsidRPr="00F415B1">
        <w:rPr>
          <w:lang w:val="x-none"/>
        </w:rPr>
        <w:lastRenderedPageBreak/>
        <w:t>-</w:t>
      </w:r>
      <w:r w:rsidRPr="00F415B1">
        <w:rPr>
          <w:lang w:val="x-none"/>
        </w:rPr>
        <w:tab/>
      </w:r>
      <w:r w:rsidRPr="00F415B1">
        <w:t xml:space="preserve">if the DCI format scheduling the PUSCH transmission includes two SRI fields and the UE is provided </w:t>
      </w:r>
      <w:r w:rsidRPr="00F415B1">
        <w:rPr>
          <w:iCs/>
        </w:rPr>
        <w:t xml:space="preserve">two SRS resource sets in </w:t>
      </w:r>
      <w:r w:rsidRPr="00F415B1">
        <w:rPr>
          <w:i/>
        </w:rPr>
        <w:t>srs-ResourceSetToAddModList</w:t>
      </w:r>
      <w:r w:rsidRPr="00F415B1">
        <w:rPr>
          <w:iCs/>
        </w:rPr>
        <w:t xml:space="preserve"> or </w:t>
      </w:r>
      <w:r w:rsidRPr="00F415B1">
        <w:rPr>
          <w:i/>
        </w:rPr>
        <w:t>srs-ResourceSetToAddModListDCI-0-2</w:t>
      </w:r>
      <w:r w:rsidRPr="00F415B1">
        <w:rPr>
          <w:iCs/>
        </w:rPr>
        <w:t xml:space="preserve"> with </w:t>
      </w:r>
      <w:r w:rsidRPr="00F415B1">
        <w:rPr>
          <w:i/>
        </w:rPr>
        <w:t>usage</w:t>
      </w:r>
      <w:r w:rsidRPr="00F415B1">
        <w:rPr>
          <w:iCs/>
        </w:rPr>
        <w:t xml:space="preserve"> set </w:t>
      </w:r>
      <w:r w:rsidRPr="00F415B1">
        <w:t>to 'nonCodebook', the UE obtains a mapping</w:t>
      </w:r>
      <w:r w:rsidRPr="00F415B1">
        <w:rPr>
          <w:lang w:val="en-US"/>
        </w:rPr>
        <w:t xml:space="preserve"> from </w:t>
      </w:r>
      <w:r w:rsidRPr="00F415B1">
        <w:rPr>
          <w:i/>
        </w:rPr>
        <w:t>sri-PUSCH-PowerControlId</w:t>
      </w:r>
      <w:r w:rsidRPr="00F415B1">
        <w:t xml:space="preserve"> </w:t>
      </w:r>
      <w:r w:rsidRPr="00F415B1">
        <w:rPr>
          <w:lang w:val="en-US"/>
        </w:rPr>
        <w:t xml:space="preserve">in </w:t>
      </w:r>
      <w:r w:rsidRPr="00F415B1">
        <w:rPr>
          <w:i/>
        </w:rPr>
        <w:t>SRI-PUSCH-PowerControl</w:t>
      </w:r>
      <w:r w:rsidRPr="00F415B1">
        <w:t xml:space="preserve"> between </w:t>
      </w:r>
    </w:p>
    <w:p w14:paraId="66834A39" w14:textId="048CD2F3" w:rsidR="00F850C6" w:rsidRPr="00F415B1" w:rsidRDefault="00F850C6" w:rsidP="009400C8">
      <w:pPr>
        <w:pStyle w:val="B5"/>
      </w:pPr>
      <w:r w:rsidRPr="00F415B1">
        <w:rPr>
          <w:lang w:val="x-none"/>
        </w:rPr>
        <w:t>-</w:t>
      </w:r>
      <w:r w:rsidRPr="00F415B1">
        <w:rPr>
          <w:lang w:val="x-none"/>
        </w:rPr>
        <w:tab/>
      </w:r>
      <w:r w:rsidRPr="00F415B1">
        <w:t xml:space="preserve">a set of values for the first SRI field value and a set of indexes provided by </w:t>
      </w:r>
      <w:r w:rsidRPr="00F415B1">
        <w:rPr>
          <w:i/>
        </w:rPr>
        <w:t>p0-PUSCH-AlphaSetId</w:t>
      </w:r>
      <w:r w:rsidRPr="00F415B1">
        <w:t xml:space="preserve"> that map to a set of </w:t>
      </w:r>
      <w:r w:rsidRPr="00F415B1">
        <w:rPr>
          <w:i/>
        </w:rPr>
        <w:t>P0-PUSCH-AlphaSet</w:t>
      </w:r>
      <w:r w:rsidRPr="00F415B1">
        <w:t xml:space="preserve"> values, and determines the first value of </w:t>
      </w:r>
      <m:oMath>
        <m:sSub>
          <m:sSubPr>
            <m:ctrlPr>
              <w:rPr>
                <w:rFonts w:ascii="Cambria Math" w:hAnsi="Cambria Math"/>
                <w:iCs/>
              </w:rPr>
            </m:ctrlPr>
          </m:sSubPr>
          <m:e>
            <m:r>
              <w:rPr>
                <w:rFonts w:ascii="Cambria Math" w:hAnsi="Cambria Math"/>
              </w:rPr>
              <m:t>P</m:t>
            </m:r>
          </m:e>
          <m:sub>
            <m:r>
              <m:rPr>
                <m:nor/>
              </m:rPr>
              <w:rPr>
                <w:rFonts w:ascii="Cambria Math"/>
                <w:iCs/>
                <w:lang w:val="en-US"/>
              </w:rPr>
              <m:t>O_UE_P</m:t>
            </m:r>
            <m:r>
              <m:rPr>
                <m:nor/>
              </m:rPr>
              <w:rPr>
                <w:rFonts w:ascii="Cambria Math"/>
                <w:iCs/>
              </w:rPr>
              <m:t>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oMath>
      <w:r w:rsidRPr="00F415B1">
        <w:t xml:space="preserve"> from the </w:t>
      </w:r>
      <w:r w:rsidRPr="00F415B1">
        <w:rPr>
          <w:i/>
        </w:rPr>
        <w:t>p0-PUSCH-AlphaSetId</w:t>
      </w:r>
      <w:r w:rsidRPr="00F415B1">
        <w:t xml:space="preserve"> value that is mapped to the first SRI field value, and</w:t>
      </w:r>
    </w:p>
    <w:p w14:paraId="55C35528" w14:textId="2E6B1E23" w:rsidR="00F850C6" w:rsidRPr="00F415B1" w:rsidRDefault="00F850C6" w:rsidP="009400C8">
      <w:pPr>
        <w:pStyle w:val="B5"/>
      </w:pPr>
      <w:r w:rsidRPr="00F415B1">
        <w:rPr>
          <w:lang w:val="x-none"/>
        </w:rPr>
        <w:t>-</w:t>
      </w:r>
      <w:r w:rsidRPr="00F415B1">
        <w:rPr>
          <w:lang w:val="x-none"/>
        </w:rPr>
        <w:tab/>
      </w:r>
      <w:r w:rsidRPr="00F415B1">
        <w:t xml:space="preserve">a set of values associated with the second SRI field value for a same number of layers as indicated by the first SRI field [5, TS 38.212], and a set of indexes provided by </w:t>
      </w:r>
      <w:r w:rsidRPr="00F415B1">
        <w:rPr>
          <w:i/>
        </w:rPr>
        <w:t>p0-PUSCH-AlphaSetId</w:t>
      </w:r>
      <w:r w:rsidRPr="00F415B1">
        <w:t xml:space="preserve"> that map to a set of </w:t>
      </w:r>
      <w:r w:rsidRPr="00F415B1">
        <w:rPr>
          <w:i/>
        </w:rPr>
        <w:t>P0-PUSCH-AlphaSet</w:t>
      </w:r>
      <w:r w:rsidRPr="00F415B1">
        <w:t xml:space="preserve"> values, and determines the second value of </w:t>
      </w:r>
      <m:oMath>
        <m:sSub>
          <m:sSubPr>
            <m:ctrlPr>
              <w:rPr>
                <w:rFonts w:ascii="Cambria Math" w:hAnsi="Cambria Math"/>
                <w:iCs/>
              </w:rPr>
            </m:ctrlPr>
          </m:sSubPr>
          <m:e>
            <m:r>
              <w:rPr>
                <w:rFonts w:ascii="Cambria Math" w:hAnsi="Cambria Math"/>
              </w:rPr>
              <m:t>P</m:t>
            </m:r>
          </m:e>
          <m:sub>
            <m:r>
              <m:rPr>
                <m:nor/>
              </m:rPr>
              <w:rPr>
                <w:rFonts w:ascii="Cambria Math"/>
                <w:iCs/>
                <w:lang w:val="en-US"/>
              </w:rPr>
              <m:t>O_UE_P</m:t>
            </m:r>
            <m:r>
              <m:rPr>
                <m:nor/>
              </m:rPr>
              <w:rPr>
                <w:rFonts w:ascii="Cambria Math"/>
                <w:iCs/>
              </w:rPr>
              <m:t>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oMath>
      <w:r w:rsidRPr="00F415B1">
        <w:t xml:space="preserve"> from the </w:t>
      </w:r>
      <w:r w:rsidRPr="00F415B1">
        <w:rPr>
          <w:i/>
        </w:rPr>
        <w:t>p0-PUSCH-AlphaSetId</w:t>
      </w:r>
      <w:r w:rsidRPr="00F415B1">
        <w:t xml:space="preserve"> value that is mapped to the second SRI field value corresponding to </w:t>
      </w:r>
      <w:r w:rsidRPr="00F415B1">
        <w:rPr>
          <w:rFonts w:hint="eastAsia"/>
          <w:lang w:eastAsia="zh-CN"/>
        </w:rPr>
        <w:t>Tables 7.3.1.1.2-28/29/30/31</w:t>
      </w:r>
      <w:r w:rsidRPr="00F415B1">
        <w:rPr>
          <w:lang w:eastAsia="zh-CN"/>
        </w:rPr>
        <w:t xml:space="preserve"> of </w:t>
      </w:r>
      <w:r w:rsidRPr="00F415B1">
        <w:t>[5, TS 38.212]</w:t>
      </w:r>
      <w:r>
        <w:t>.</w:t>
      </w:r>
    </w:p>
    <w:p w14:paraId="72157676" w14:textId="29857791" w:rsidR="00F850C6" w:rsidRPr="00F415B1" w:rsidRDefault="00F850C6" w:rsidP="00F850C6">
      <w:pPr>
        <w:pStyle w:val="B4"/>
        <w:ind w:left="1420"/>
      </w:pPr>
      <w:r>
        <w:t>-</w:t>
      </w:r>
      <w:r>
        <w:tab/>
      </w:r>
      <w:r w:rsidR="001E0DF0" w:rsidRPr="00EE027F">
        <w:t>If the DCI format also includes a</w:t>
      </w:r>
      <w:r w:rsidR="00673FAC">
        <w:t>n</w:t>
      </w:r>
      <w:r w:rsidR="001E0DF0" w:rsidRPr="00EE027F">
        <w:t xml:space="preserve"> </w:t>
      </w:r>
      <w:r w:rsidR="001E0DF0">
        <w:rPr>
          <w:lang w:val="en-US"/>
        </w:rPr>
        <w:t>open-loop power control parameter set indication</w:t>
      </w:r>
      <w:r w:rsidR="001E0DF0" w:rsidRPr="00EE027F">
        <w:rPr>
          <w:iCs/>
        </w:rPr>
        <w:t xml:space="preserve"> field</w:t>
      </w:r>
      <w:r w:rsidR="001E0DF0">
        <w:rPr>
          <w:iCs/>
        </w:rPr>
        <w:t xml:space="preserve"> and a value of the </w:t>
      </w:r>
      <w:r w:rsidR="001E0DF0">
        <w:rPr>
          <w:lang w:val="en-US"/>
        </w:rPr>
        <w:t>open-loop power control parameter set indication</w:t>
      </w:r>
      <w:r w:rsidR="001E0DF0">
        <w:rPr>
          <w:iCs/>
        </w:rPr>
        <w:t xml:space="preserve"> field is </w:t>
      </w:r>
      <w:r w:rsidR="00D93480">
        <w:rPr>
          <w:iCs/>
        </w:rPr>
        <w:t>'</w:t>
      </w:r>
      <w:r w:rsidR="001E0DF0">
        <w:rPr>
          <w:iCs/>
        </w:rPr>
        <w:t>1</w:t>
      </w:r>
      <w:r w:rsidR="00D93480">
        <w:rPr>
          <w:iCs/>
        </w:rPr>
        <w:t>'</w:t>
      </w:r>
      <w:r w:rsidRPr="00F415B1">
        <w:rPr>
          <w:iCs/>
        </w:rPr>
        <w:t xml:space="preserve"> and if the DCI format scheduling the PUSCH transmission includes an SRI field</w:t>
      </w:r>
      <w:r w:rsidR="001E0DF0" w:rsidRPr="00EE027F">
        <w:rPr>
          <w:iCs/>
        </w:rPr>
        <w:t xml:space="preserve">, </w:t>
      </w:r>
      <w:r w:rsidR="001E0DF0">
        <w:rPr>
          <w:iCs/>
        </w:rPr>
        <w:t>the UE determines</w:t>
      </w:r>
      <w:r w:rsidR="001E0DF0">
        <w:t xml:space="preserve"> a </w:t>
      </w:r>
      <w:r w:rsidR="001E0DF0" w:rsidRPr="00EE027F">
        <w:t xml:space="preserve">value of </w:t>
      </w:r>
      <m:oMath>
        <m:sSub>
          <m:sSubPr>
            <m:ctrlPr>
              <w:rPr>
                <w:rFonts w:ascii="Cambria Math" w:hAnsi="Cambria Math"/>
                <w:iCs/>
              </w:rPr>
            </m:ctrlPr>
          </m:sSubPr>
          <m:e>
            <m:r>
              <w:rPr>
                <w:rFonts w:ascii="Cambria Math" w:hAnsi="Cambria Math"/>
              </w:rPr>
              <m:t>P</m:t>
            </m:r>
          </m:e>
          <m:sub>
            <m:r>
              <m:rPr>
                <m:nor/>
              </m:rPr>
              <w:rPr>
                <w:rFonts w:ascii="Cambria Math"/>
                <w:iCs/>
                <w:lang w:val="en-US"/>
              </w:rPr>
              <m:t>O_UE_P</m:t>
            </m:r>
            <m:r>
              <m:rPr>
                <m:nor/>
              </m:rPr>
              <w:rPr>
                <w:rFonts w:ascii="Cambria Math"/>
                <w:iCs/>
              </w:rPr>
              <m:t>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oMath>
      <w:r w:rsidR="001E0DF0">
        <w:t xml:space="preserve"> from </w:t>
      </w:r>
      <w:r w:rsidR="001B4D2B">
        <w:t>a first value in</w:t>
      </w:r>
      <w:r w:rsidR="001B4D2B" w:rsidRPr="00C512C5">
        <w:rPr>
          <w:i/>
        </w:rPr>
        <w:t xml:space="preserve"> </w:t>
      </w:r>
      <w:r w:rsidR="001E0DF0" w:rsidRPr="00C512C5">
        <w:rPr>
          <w:i/>
        </w:rPr>
        <w:t>P0-PUSCH-Set</w:t>
      </w:r>
      <w:r w:rsidR="001E0DF0">
        <w:t xml:space="preserve"> with a </w:t>
      </w:r>
      <w:r w:rsidR="001E0DF0" w:rsidRPr="00C512C5">
        <w:rPr>
          <w:i/>
        </w:rPr>
        <w:t>p0-PUSCH-SetId</w:t>
      </w:r>
      <w:r w:rsidR="001E0DF0">
        <w:t xml:space="preserve"> value mapped to the SRI field value.</w:t>
      </w:r>
    </w:p>
    <w:p w14:paraId="3C6E8940" w14:textId="77777777" w:rsidR="00F850C6" w:rsidRPr="00F415B1" w:rsidRDefault="00F850C6" w:rsidP="00F850C6">
      <w:pPr>
        <w:pStyle w:val="B3"/>
        <w:ind w:left="1136"/>
      </w:pPr>
      <w:r w:rsidRPr="00F415B1">
        <w:rPr>
          <w:lang w:eastAsia="zh-CN"/>
        </w:rPr>
        <w:t>-</w:t>
      </w:r>
      <w:r w:rsidRPr="00F415B1">
        <w:rPr>
          <w:lang w:eastAsia="zh-CN"/>
        </w:rPr>
        <w:tab/>
        <w:t xml:space="preserve">If the UE is provided by </w:t>
      </w:r>
      <w:r w:rsidRPr="00F415B1">
        <w:rPr>
          <w:i/>
        </w:rPr>
        <w:t>SRI-PUSCH-PowerControl</w:t>
      </w:r>
      <w:r w:rsidRPr="00F415B1">
        <w:t xml:space="preserve"> more than one values of </w:t>
      </w:r>
      <w:r w:rsidRPr="00F415B1">
        <w:rPr>
          <w:i/>
        </w:rPr>
        <w:t>p0-PUSCH-AlphaSetId</w:t>
      </w:r>
      <w:r w:rsidRPr="00F415B1">
        <w:t xml:space="preserve"> </w:t>
      </w:r>
    </w:p>
    <w:p w14:paraId="779423CE" w14:textId="77777777" w:rsidR="00F850C6" w:rsidRPr="00F415B1" w:rsidRDefault="00F850C6" w:rsidP="009400C8">
      <w:pPr>
        <w:pStyle w:val="B4"/>
        <w:rPr>
          <w:lang w:eastAsia="zh-CN"/>
        </w:rPr>
      </w:pPr>
      <w:r w:rsidRPr="00F415B1">
        <w:rPr>
          <w:lang w:eastAsia="zh-CN"/>
        </w:rPr>
        <w:t>-</w:t>
      </w:r>
      <w:r w:rsidRPr="00F415B1">
        <w:rPr>
          <w:lang w:eastAsia="zh-CN"/>
        </w:rPr>
        <w:tab/>
        <w:t xml:space="preserve">if </w:t>
      </w:r>
      <w:r w:rsidRPr="00F415B1">
        <w:t xml:space="preserve">a DCI format scheduling the PUSCH transmission includes two SRI fields </w:t>
      </w:r>
      <w:r w:rsidRPr="00F415B1">
        <w:rPr>
          <w:iCs/>
        </w:rPr>
        <w:t xml:space="preserve">and an </w:t>
      </w:r>
      <w:r w:rsidRPr="00F415B1">
        <w:rPr>
          <w:lang w:eastAsia="zh-CN"/>
        </w:rPr>
        <w:t>open-loop power control parameter set indication</w:t>
      </w:r>
      <w:r w:rsidRPr="00F415B1">
        <w:rPr>
          <w:iCs/>
        </w:rPr>
        <w:t xml:space="preserve"> field </w:t>
      </w:r>
      <w:r w:rsidRPr="00F415B1">
        <w:t xml:space="preserve">and the UE is provided </w:t>
      </w:r>
      <w:r w:rsidRPr="00F415B1">
        <w:rPr>
          <w:iCs/>
        </w:rPr>
        <w:t xml:space="preserve">two SRS resource sets in </w:t>
      </w:r>
      <w:r w:rsidRPr="00F415B1">
        <w:rPr>
          <w:i/>
        </w:rPr>
        <w:t>srs-ResourceSetToAddModList</w:t>
      </w:r>
      <w:r w:rsidRPr="00F415B1">
        <w:rPr>
          <w:iCs/>
        </w:rPr>
        <w:t xml:space="preserve"> or </w:t>
      </w:r>
      <w:r w:rsidRPr="00F415B1">
        <w:rPr>
          <w:i/>
        </w:rPr>
        <w:t>srs-ResourceSetToAddModListDCI-0-2</w:t>
      </w:r>
      <w:r w:rsidRPr="00F415B1">
        <w:rPr>
          <w:iCs/>
        </w:rPr>
        <w:t xml:space="preserve"> with </w:t>
      </w:r>
      <w:r w:rsidRPr="00F415B1">
        <w:rPr>
          <w:i/>
        </w:rPr>
        <w:t>usage</w:t>
      </w:r>
      <w:r w:rsidRPr="00F415B1">
        <w:rPr>
          <w:iCs/>
        </w:rPr>
        <w:t xml:space="preserve"> set </w:t>
      </w:r>
      <w:r w:rsidRPr="00F415B1">
        <w:t>to 'codebook'</w:t>
      </w:r>
    </w:p>
    <w:p w14:paraId="092E8196" w14:textId="57215014" w:rsidR="00F850C6" w:rsidRPr="00F415B1" w:rsidRDefault="00F850C6" w:rsidP="009400C8">
      <w:pPr>
        <w:pStyle w:val="B5"/>
      </w:pPr>
      <w:r w:rsidRPr="00F415B1">
        <w:rPr>
          <w:lang w:val="x-none"/>
        </w:rPr>
        <w:t>-</w:t>
      </w:r>
      <w:r w:rsidRPr="00F415B1">
        <w:rPr>
          <w:lang w:val="x-none"/>
        </w:rPr>
        <w:tab/>
      </w:r>
      <w:r w:rsidRPr="00F415B1">
        <w:t xml:space="preserve">if </w:t>
      </w:r>
      <w:r w:rsidRPr="00F415B1">
        <w:rPr>
          <w:iCs/>
        </w:rPr>
        <w:t xml:space="preserve">a value of the </w:t>
      </w:r>
      <w:r w:rsidRPr="00F415B1">
        <w:rPr>
          <w:lang w:eastAsia="zh-CN"/>
        </w:rPr>
        <w:t>open-loop power control parameter set indication</w:t>
      </w:r>
      <w:r w:rsidRPr="00F415B1">
        <w:rPr>
          <w:iCs/>
        </w:rPr>
        <w:t xml:space="preserve"> field is '0', the UE </w:t>
      </w:r>
      <w:r w:rsidRPr="00F415B1">
        <w:t xml:space="preserve">determines two values of </w:t>
      </w:r>
      <m:oMath>
        <m:sSub>
          <m:sSubPr>
            <m:ctrlPr>
              <w:rPr>
                <w:rFonts w:ascii="Cambria Math" w:hAnsi="Cambria Math"/>
                <w:iCs/>
              </w:rPr>
            </m:ctrlPr>
          </m:sSubPr>
          <m:e>
            <m:r>
              <w:rPr>
                <w:rFonts w:ascii="Cambria Math" w:hAnsi="Cambria Math"/>
              </w:rPr>
              <m:t>P</m:t>
            </m:r>
          </m:e>
          <m:sub>
            <m:r>
              <m:rPr>
                <m:nor/>
              </m:rPr>
              <w:rPr>
                <w:rFonts w:ascii="Cambria Math"/>
                <w:iCs/>
                <w:lang w:val="en-US"/>
              </w:rPr>
              <m:t>O_UE_P</m:t>
            </m:r>
            <m:r>
              <m:rPr>
                <m:nor/>
              </m:rPr>
              <w:rPr>
                <w:rFonts w:ascii="Cambria Math"/>
                <w:iCs/>
              </w:rPr>
              <m:t>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oMath>
      <w:r w:rsidRPr="00F415B1">
        <w:t xml:space="preserve"> from the </w:t>
      </w:r>
      <w:r w:rsidRPr="00F415B1">
        <w:rPr>
          <w:i/>
        </w:rPr>
        <w:t>p0-PUSCH-AlphaSetId</w:t>
      </w:r>
      <w:r w:rsidRPr="00F415B1">
        <w:t xml:space="preserve"> values in </w:t>
      </w:r>
      <w:r w:rsidRPr="00F415B1">
        <w:rPr>
          <w:i/>
        </w:rPr>
        <w:t>SRI-PUSCH-PowerControl</w:t>
      </w:r>
      <w:r w:rsidRPr="00F415B1">
        <w:t xml:space="preserve"> that are mapped to the two SRI values corresponding to each SRS resource set with </w:t>
      </w:r>
      <w:r w:rsidRPr="00F415B1">
        <w:rPr>
          <w:i/>
        </w:rPr>
        <w:t>usage</w:t>
      </w:r>
      <w:r w:rsidRPr="00F415B1">
        <w:rPr>
          <w:iCs/>
        </w:rPr>
        <w:t xml:space="preserve"> set to </w:t>
      </w:r>
      <w:r w:rsidR="005E3B15">
        <w:rPr>
          <w:iCs/>
        </w:rPr>
        <w:t>'</w:t>
      </w:r>
      <w:r w:rsidRPr="00F415B1">
        <w:rPr>
          <w:iCs/>
        </w:rPr>
        <w:t>codebook</w:t>
      </w:r>
      <w:r w:rsidR="005E3B15">
        <w:rPr>
          <w:iCs/>
        </w:rPr>
        <w:t>'</w:t>
      </w:r>
      <w:r w:rsidRPr="00F415B1">
        <w:t>.</w:t>
      </w:r>
    </w:p>
    <w:p w14:paraId="582E12C2" w14:textId="7D79A8DF" w:rsidR="00F850C6" w:rsidRPr="00F415B1" w:rsidRDefault="00F850C6" w:rsidP="009400C8">
      <w:pPr>
        <w:pStyle w:val="B5"/>
      </w:pPr>
      <w:r w:rsidRPr="00F415B1">
        <w:rPr>
          <w:lang w:val="x-none"/>
        </w:rPr>
        <w:t>-</w:t>
      </w:r>
      <w:r w:rsidRPr="00F415B1">
        <w:rPr>
          <w:lang w:val="x-none"/>
        </w:rPr>
        <w:tab/>
      </w:r>
      <w:r w:rsidRPr="00F415B1">
        <w:t xml:space="preserve">if </w:t>
      </w:r>
      <w:r w:rsidRPr="00F415B1">
        <w:rPr>
          <w:iCs/>
        </w:rPr>
        <w:t xml:space="preserve">a value of the </w:t>
      </w:r>
      <w:r w:rsidRPr="00F415B1">
        <w:rPr>
          <w:lang w:eastAsia="zh-CN"/>
        </w:rPr>
        <w:t>open-loop power control parameter set indication</w:t>
      </w:r>
      <w:r w:rsidRPr="00F415B1">
        <w:rPr>
          <w:iCs/>
        </w:rPr>
        <w:t xml:space="preserve"> field is '1', the UE determines</w:t>
      </w:r>
      <w:r w:rsidRPr="00F415B1">
        <w:t xml:space="preserve"> two values of </w:t>
      </w:r>
      <m:oMath>
        <m:sSub>
          <m:sSubPr>
            <m:ctrlPr>
              <w:rPr>
                <w:rFonts w:ascii="Cambria Math" w:hAnsi="Cambria Math"/>
                <w:iCs/>
              </w:rPr>
            </m:ctrlPr>
          </m:sSubPr>
          <m:e>
            <m:r>
              <w:rPr>
                <w:rFonts w:ascii="Cambria Math" w:hAnsi="Cambria Math"/>
              </w:rPr>
              <m:t>P</m:t>
            </m:r>
          </m:e>
          <m:sub>
            <m:r>
              <m:rPr>
                <m:nor/>
              </m:rPr>
              <w:rPr>
                <w:rFonts w:ascii="Cambria Math"/>
                <w:iCs/>
                <w:lang w:val="en-US"/>
              </w:rPr>
              <m:t>O_UE_P</m:t>
            </m:r>
            <m:r>
              <m:rPr>
                <m:nor/>
              </m:rPr>
              <w:rPr>
                <w:rFonts w:ascii="Cambria Math"/>
                <w:iCs/>
              </w:rPr>
              <m:t>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oMath>
      <w:r w:rsidRPr="00F415B1">
        <w:t xml:space="preserve"> from first values in</w:t>
      </w:r>
      <w:r w:rsidRPr="00F415B1">
        <w:rPr>
          <w:i/>
        </w:rPr>
        <w:t xml:space="preserve"> P0-PUSCH-Set</w:t>
      </w:r>
      <w:r w:rsidRPr="00F415B1">
        <w:t xml:space="preserve"> in </w:t>
      </w:r>
      <w:r w:rsidRPr="00F415B1">
        <w:rPr>
          <w:i/>
        </w:rPr>
        <w:t>P0-PUSCH-SetList</w:t>
      </w:r>
      <w:r w:rsidRPr="00F415B1">
        <w:t xml:space="preserve"> and </w:t>
      </w:r>
      <w:r w:rsidRPr="00F415B1">
        <w:rPr>
          <w:i/>
        </w:rPr>
        <w:t>P0-PUSCH-Set</w:t>
      </w:r>
      <w:r w:rsidRPr="00F415B1">
        <w:t xml:space="preserve"> in </w:t>
      </w:r>
      <w:r w:rsidRPr="00F415B1">
        <w:rPr>
          <w:i/>
        </w:rPr>
        <w:t>P0-PUSCH-SetList</w:t>
      </w:r>
      <w:r w:rsidRPr="00F415B1">
        <w:rPr>
          <w:iCs/>
        </w:rPr>
        <w:t>2</w:t>
      </w:r>
      <w:r w:rsidRPr="00F415B1">
        <w:t xml:space="preserve"> with </w:t>
      </w:r>
      <w:r w:rsidRPr="00F415B1">
        <w:rPr>
          <w:i/>
        </w:rPr>
        <w:t>p0-PUSCH-SetId</w:t>
      </w:r>
      <w:r w:rsidRPr="00F415B1">
        <w:t xml:space="preserve"> values mapped to the two SRI values corresponding to each SRS resource set with </w:t>
      </w:r>
      <w:r w:rsidRPr="00F415B1">
        <w:rPr>
          <w:i/>
        </w:rPr>
        <w:t>usage</w:t>
      </w:r>
      <w:r w:rsidRPr="00F415B1">
        <w:rPr>
          <w:iCs/>
        </w:rPr>
        <w:t xml:space="preserve"> set to </w:t>
      </w:r>
      <w:r w:rsidR="005E3B15">
        <w:rPr>
          <w:iCs/>
        </w:rPr>
        <w:t>'</w:t>
      </w:r>
      <w:r w:rsidRPr="00F415B1">
        <w:rPr>
          <w:iCs/>
        </w:rPr>
        <w:t>codebook</w:t>
      </w:r>
      <w:r w:rsidR="005E3B15">
        <w:rPr>
          <w:iCs/>
        </w:rPr>
        <w:t>'</w:t>
      </w:r>
      <w:r w:rsidRPr="00F415B1">
        <w:t>, respectively.</w:t>
      </w:r>
    </w:p>
    <w:p w14:paraId="7A929050" w14:textId="77777777" w:rsidR="00F850C6" w:rsidRPr="00F415B1" w:rsidRDefault="00F850C6" w:rsidP="009400C8">
      <w:pPr>
        <w:pStyle w:val="B4"/>
      </w:pPr>
      <w:r w:rsidRPr="00F415B1">
        <w:rPr>
          <w:lang w:eastAsia="zh-CN"/>
        </w:rPr>
        <w:t>-</w:t>
      </w:r>
      <w:r w:rsidRPr="00F415B1">
        <w:rPr>
          <w:lang w:eastAsia="zh-CN"/>
        </w:rPr>
        <w:tab/>
        <w:t xml:space="preserve">if </w:t>
      </w:r>
      <w:r w:rsidRPr="00F415B1">
        <w:t xml:space="preserve">a DCI format scheduling the PUSCH transmission includes two SRI fields </w:t>
      </w:r>
      <w:r w:rsidRPr="00F415B1">
        <w:rPr>
          <w:iCs/>
        </w:rPr>
        <w:t xml:space="preserve">and an </w:t>
      </w:r>
      <w:r w:rsidRPr="00F415B1">
        <w:rPr>
          <w:lang w:eastAsia="zh-CN"/>
        </w:rPr>
        <w:t>open-loop power control parameter set indication</w:t>
      </w:r>
      <w:r w:rsidRPr="00F415B1">
        <w:rPr>
          <w:iCs/>
        </w:rPr>
        <w:t xml:space="preserve"> field </w:t>
      </w:r>
      <w:r w:rsidRPr="00F415B1">
        <w:t xml:space="preserve">and the UE is provided </w:t>
      </w:r>
      <w:r w:rsidRPr="00F415B1">
        <w:rPr>
          <w:iCs/>
        </w:rPr>
        <w:t xml:space="preserve">two SRS resource sets in </w:t>
      </w:r>
      <w:r w:rsidRPr="00F415B1">
        <w:rPr>
          <w:i/>
        </w:rPr>
        <w:t>srs-ResourceSetToAddModList</w:t>
      </w:r>
      <w:r w:rsidRPr="00F415B1">
        <w:rPr>
          <w:iCs/>
        </w:rPr>
        <w:t xml:space="preserve"> or </w:t>
      </w:r>
      <w:r w:rsidRPr="00F415B1">
        <w:rPr>
          <w:i/>
        </w:rPr>
        <w:t>srs-ResourceSetToAddModListDCI-0-2</w:t>
      </w:r>
      <w:r w:rsidRPr="00F415B1">
        <w:rPr>
          <w:iCs/>
        </w:rPr>
        <w:t xml:space="preserve"> with </w:t>
      </w:r>
      <w:r w:rsidRPr="00F415B1">
        <w:rPr>
          <w:i/>
        </w:rPr>
        <w:t>usage</w:t>
      </w:r>
      <w:r w:rsidRPr="00F415B1">
        <w:rPr>
          <w:iCs/>
        </w:rPr>
        <w:t xml:space="preserve"> set </w:t>
      </w:r>
      <w:r w:rsidRPr="00F415B1">
        <w:t>to 'nonCodebook',</w:t>
      </w:r>
    </w:p>
    <w:p w14:paraId="63B74638" w14:textId="0A70C05F" w:rsidR="00F850C6" w:rsidRPr="00F415B1" w:rsidRDefault="00F850C6" w:rsidP="009400C8">
      <w:pPr>
        <w:pStyle w:val="B5"/>
      </w:pPr>
      <w:r w:rsidRPr="00F415B1">
        <w:rPr>
          <w:lang w:val="x-none"/>
        </w:rPr>
        <w:t>-</w:t>
      </w:r>
      <w:r w:rsidRPr="00F415B1">
        <w:rPr>
          <w:lang w:val="x-none"/>
        </w:rPr>
        <w:tab/>
      </w:r>
      <w:r w:rsidRPr="00F415B1">
        <w:rPr>
          <w:lang w:val="en-US"/>
        </w:rPr>
        <w:t>if</w:t>
      </w:r>
      <w:r w:rsidRPr="00F415B1">
        <w:t xml:space="preserve"> </w:t>
      </w:r>
      <w:r w:rsidRPr="00F415B1">
        <w:rPr>
          <w:iCs/>
        </w:rPr>
        <w:t xml:space="preserve">a value of the </w:t>
      </w:r>
      <w:r w:rsidRPr="00F415B1">
        <w:rPr>
          <w:lang w:eastAsia="zh-CN"/>
        </w:rPr>
        <w:t>open-loop power control parameter set indication</w:t>
      </w:r>
      <w:r w:rsidRPr="00F415B1">
        <w:rPr>
          <w:iCs/>
        </w:rPr>
        <w:t xml:space="preserve"> field is '0', the UE </w:t>
      </w:r>
      <w:r w:rsidRPr="00F415B1">
        <w:t xml:space="preserve">determines two values of </w:t>
      </w:r>
      <m:oMath>
        <m:sSub>
          <m:sSubPr>
            <m:ctrlPr>
              <w:rPr>
                <w:rFonts w:ascii="Cambria Math" w:hAnsi="Cambria Math"/>
                <w:iCs/>
              </w:rPr>
            </m:ctrlPr>
          </m:sSubPr>
          <m:e>
            <m:r>
              <w:rPr>
                <w:rFonts w:ascii="Cambria Math" w:hAnsi="Cambria Math"/>
              </w:rPr>
              <m:t>P</m:t>
            </m:r>
          </m:e>
          <m:sub>
            <m:r>
              <m:rPr>
                <m:nor/>
              </m:rPr>
              <w:rPr>
                <w:rFonts w:ascii="Cambria Math"/>
                <w:iCs/>
                <w:lang w:val="en-US"/>
              </w:rPr>
              <m:t>O_UE_P</m:t>
            </m:r>
            <m:r>
              <m:rPr>
                <m:nor/>
              </m:rPr>
              <w:rPr>
                <w:rFonts w:ascii="Cambria Math"/>
                <w:iCs/>
              </w:rPr>
              <m:t>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oMath>
      <w:r w:rsidRPr="00F415B1">
        <w:t xml:space="preserve"> from the </w:t>
      </w:r>
      <w:r w:rsidRPr="00F415B1">
        <w:rPr>
          <w:i/>
        </w:rPr>
        <w:t>p0-PUSCH-AlphaSetId</w:t>
      </w:r>
      <w:r w:rsidRPr="00F415B1">
        <w:t xml:space="preserve"> values in </w:t>
      </w:r>
      <w:r w:rsidRPr="00F415B1">
        <w:rPr>
          <w:i/>
        </w:rPr>
        <w:t>SRI-PUSCH-PowerControl</w:t>
      </w:r>
      <w:r w:rsidRPr="00F415B1">
        <w:t xml:space="preserve"> that are mapped to the first SRI field value corresponding to the first SRS resource set with </w:t>
      </w:r>
      <w:r w:rsidRPr="00F415B1">
        <w:rPr>
          <w:i/>
        </w:rPr>
        <w:t>usage</w:t>
      </w:r>
      <w:r w:rsidRPr="00F415B1">
        <w:rPr>
          <w:iCs/>
        </w:rPr>
        <w:t xml:space="preserve"> set to </w:t>
      </w:r>
      <w:r w:rsidR="005E3B15">
        <w:rPr>
          <w:iCs/>
        </w:rPr>
        <w:t>'</w:t>
      </w:r>
      <w:r w:rsidRPr="00F415B1">
        <w:rPr>
          <w:iCs/>
        </w:rPr>
        <w:t>nonCodebook</w:t>
      </w:r>
      <w:r w:rsidR="005E3B15">
        <w:rPr>
          <w:iCs/>
        </w:rPr>
        <w:t>'</w:t>
      </w:r>
      <w:r w:rsidRPr="00F415B1">
        <w:rPr>
          <w:lang w:val="en-US"/>
        </w:rPr>
        <w:t xml:space="preserve"> </w:t>
      </w:r>
      <w:r w:rsidRPr="00F415B1">
        <w:rPr>
          <w:iCs/>
        </w:rPr>
        <w:t xml:space="preserve">and to a second value, that is associated with the second SRI field value </w:t>
      </w:r>
      <w:r w:rsidRPr="00F415B1">
        <w:t xml:space="preserve">corresponding to </w:t>
      </w:r>
      <w:r w:rsidRPr="00F415B1">
        <w:rPr>
          <w:rFonts w:hint="eastAsia"/>
          <w:lang w:eastAsia="zh-CN"/>
        </w:rPr>
        <w:t>Tables 7.3.1.1.2-28/29/30/31</w:t>
      </w:r>
      <w:r w:rsidRPr="00F415B1">
        <w:rPr>
          <w:lang w:eastAsia="zh-CN"/>
        </w:rPr>
        <w:t xml:space="preserve"> of </w:t>
      </w:r>
      <w:r w:rsidRPr="00F415B1">
        <w:t xml:space="preserve">[5, TS 38.212] </w:t>
      </w:r>
      <w:r w:rsidRPr="00F415B1">
        <w:rPr>
          <w:iCs/>
        </w:rPr>
        <w:t xml:space="preserve">for a same number of layers as indicated by the first SRI field value, corresponding to the second SRS resource set </w:t>
      </w:r>
      <w:r w:rsidRPr="00F415B1">
        <w:rPr>
          <w:lang w:val="en-US"/>
        </w:rPr>
        <w:t xml:space="preserve">with </w:t>
      </w:r>
      <w:r w:rsidRPr="00F415B1">
        <w:rPr>
          <w:i/>
        </w:rPr>
        <w:t>usage</w:t>
      </w:r>
      <w:r w:rsidRPr="00F415B1">
        <w:rPr>
          <w:iCs/>
        </w:rPr>
        <w:t xml:space="preserve"> set to </w:t>
      </w:r>
      <w:r w:rsidR="005E3B15">
        <w:rPr>
          <w:iCs/>
        </w:rPr>
        <w:t>'</w:t>
      </w:r>
      <w:r w:rsidRPr="00F415B1">
        <w:rPr>
          <w:iCs/>
        </w:rPr>
        <w:t>nonCodebook</w:t>
      </w:r>
      <w:r w:rsidR="005E3B15">
        <w:rPr>
          <w:iCs/>
        </w:rPr>
        <w:t>'</w:t>
      </w:r>
      <w:r w:rsidRPr="00F415B1">
        <w:t>.</w:t>
      </w:r>
    </w:p>
    <w:p w14:paraId="436767C6" w14:textId="22F317A3" w:rsidR="00EA5731" w:rsidRPr="00A13604" w:rsidRDefault="00F850C6" w:rsidP="009400C8">
      <w:pPr>
        <w:pStyle w:val="B5"/>
        <w:rPr>
          <w:lang w:eastAsia="zh-CN"/>
        </w:rPr>
      </w:pPr>
      <w:r w:rsidRPr="00F415B1">
        <w:rPr>
          <w:lang w:val="x-none"/>
        </w:rPr>
        <w:t>-</w:t>
      </w:r>
      <w:r w:rsidRPr="00F415B1">
        <w:rPr>
          <w:lang w:val="x-none"/>
        </w:rPr>
        <w:tab/>
      </w:r>
      <w:r w:rsidRPr="00F415B1">
        <w:t xml:space="preserve">if </w:t>
      </w:r>
      <w:r w:rsidRPr="00F415B1">
        <w:rPr>
          <w:iCs/>
        </w:rPr>
        <w:t xml:space="preserve">a value of the </w:t>
      </w:r>
      <w:r w:rsidRPr="00F415B1">
        <w:rPr>
          <w:lang w:eastAsia="zh-CN"/>
        </w:rPr>
        <w:t>open-loop power control parameter set indication</w:t>
      </w:r>
      <w:r w:rsidRPr="00F415B1">
        <w:rPr>
          <w:iCs/>
        </w:rPr>
        <w:t xml:space="preserve"> field is '1', the UE determines</w:t>
      </w:r>
      <w:r w:rsidRPr="00F415B1">
        <w:t xml:space="preserve"> two values of </w:t>
      </w:r>
      <m:oMath>
        <m:sSub>
          <m:sSubPr>
            <m:ctrlPr>
              <w:rPr>
                <w:rFonts w:ascii="Cambria Math" w:hAnsi="Cambria Math"/>
                <w:iCs/>
              </w:rPr>
            </m:ctrlPr>
          </m:sSubPr>
          <m:e>
            <m:r>
              <w:rPr>
                <w:rFonts w:ascii="Cambria Math" w:hAnsi="Cambria Math"/>
              </w:rPr>
              <m:t>P</m:t>
            </m:r>
          </m:e>
          <m:sub>
            <m:r>
              <m:rPr>
                <m:nor/>
              </m:rPr>
              <w:rPr>
                <w:rFonts w:ascii="Cambria Math"/>
                <w:iCs/>
                <w:lang w:val="en-US"/>
              </w:rPr>
              <m:t>O_UE_P</m:t>
            </m:r>
            <m:r>
              <m:rPr>
                <m:nor/>
              </m:rPr>
              <w:rPr>
                <w:rFonts w:ascii="Cambria Math"/>
                <w:iCs/>
              </w:rPr>
              <m:t>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oMath>
      <w:r w:rsidRPr="00F415B1">
        <w:t xml:space="preserve"> from first values in</w:t>
      </w:r>
      <w:r w:rsidRPr="00F415B1">
        <w:rPr>
          <w:i/>
        </w:rPr>
        <w:t xml:space="preserve"> P0-PUSCH-Set</w:t>
      </w:r>
      <w:r w:rsidRPr="00F415B1">
        <w:t xml:space="preserve"> in </w:t>
      </w:r>
      <w:r w:rsidRPr="00F415B1">
        <w:rPr>
          <w:i/>
        </w:rPr>
        <w:t>P0-PUSCH-SetList</w:t>
      </w:r>
      <w:r w:rsidRPr="00F415B1">
        <w:t xml:space="preserve"> and </w:t>
      </w:r>
      <w:r w:rsidRPr="00F415B1">
        <w:rPr>
          <w:i/>
        </w:rPr>
        <w:t>P0-PUSCH-Set</w:t>
      </w:r>
      <w:r w:rsidRPr="00F415B1">
        <w:t xml:space="preserve"> in </w:t>
      </w:r>
      <w:r w:rsidRPr="00F415B1">
        <w:rPr>
          <w:i/>
        </w:rPr>
        <w:t>P0-PUSCH-SetList</w:t>
      </w:r>
      <w:r w:rsidRPr="00F415B1">
        <w:rPr>
          <w:iCs/>
        </w:rPr>
        <w:t>2</w:t>
      </w:r>
      <w:r w:rsidRPr="00F415B1">
        <w:t xml:space="preserve"> with </w:t>
      </w:r>
      <w:r w:rsidRPr="00F415B1">
        <w:rPr>
          <w:i/>
        </w:rPr>
        <w:t>p0-PUSCH-SetId</w:t>
      </w:r>
      <w:r w:rsidRPr="00F415B1">
        <w:t xml:space="preserve"> values mapped to the first SRI field value corresponding to the first SRS resource set with </w:t>
      </w:r>
      <w:r w:rsidRPr="00F415B1">
        <w:rPr>
          <w:i/>
        </w:rPr>
        <w:t>usage</w:t>
      </w:r>
      <w:r w:rsidRPr="00F415B1">
        <w:rPr>
          <w:iCs/>
        </w:rPr>
        <w:t xml:space="preserve"> set to </w:t>
      </w:r>
      <w:r w:rsidR="005E3B15">
        <w:rPr>
          <w:iCs/>
        </w:rPr>
        <w:t>'</w:t>
      </w:r>
      <w:r w:rsidRPr="00F415B1">
        <w:rPr>
          <w:iCs/>
        </w:rPr>
        <w:t>nonCodebook</w:t>
      </w:r>
      <w:r w:rsidRPr="00F415B1">
        <w:t xml:space="preserve">, </w:t>
      </w:r>
      <w:r w:rsidRPr="00F415B1">
        <w:rPr>
          <w:iCs/>
        </w:rPr>
        <w:t xml:space="preserve">and a second value, that is associated with the second SRS field value </w:t>
      </w:r>
      <w:r w:rsidRPr="00F415B1">
        <w:t xml:space="preserve">corresponding to </w:t>
      </w:r>
      <w:r w:rsidRPr="00F415B1">
        <w:rPr>
          <w:rFonts w:hint="eastAsia"/>
          <w:lang w:eastAsia="zh-CN"/>
        </w:rPr>
        <w:t>Tables 7.3.1.1.2-28/29/30/31</w:t>
      </w:r>
      <w:r w:rsidRPr="00F415B1">
        <w:rPr>
          <w:lang w:eastAsia="zh-CN"/>
        </w:rPr>
        <w:t xml:space="preserve"> of </w:t>
      </w:r>
      <w:r w:rsidRPr="00F415B1">
        <w:t xml:space="preserve">[5, TS 38.212] </w:t>
      </w:r>
      <w:r w:rsidRPr="00F415B1">
        <w:rPr>
          <w:iCs/>
        </w:rPr>
        <w:t xml:space="preserve">for a same number of layers as indicated by the first SRI field value, corresponding to the second SRS resource set </w:t>
      </w:r>
      <w:r w:rsidRPr="00F415B1">
        <w:rPr>
          <w:lang w:val="en-US"/>
        </w:rPr>
        <w:t xml:space="preserve">with </w:t>
      </w:r>
      <w:r w:rsidRPr="00F415B1">
        <w:rPr>
          <w:i/>
        </w:rPr>
        <w:t>usage</w:t>
      </w:r>
      <w:r w:rsidRPr="00F415B1">
        <w:rPr>
          <w:iCs/>
        </w:rPr>
        <w:t xml:space="preserve"> set to </w:t>
      </w:r>
      <w:r w:rsidR="005E3B15">
        <w:rPr>
          <w:iCs/>
        </w:rPr>
        <w:t>'</w:t>
      </w:r>
      <w:r w:rsidRPr="00F415B1">
        <w:rPr>
          <w:iCs/>
        </w:rPr>
        <w:t>nonCodebook</w:t>
      </w:r>
      <w:r w:rsidR="005E3B15">
        <w:rPr>
          <w:iCs/>
        </w:rPr>
        <w:t>'</w:t>
      </w:r>
      <w:r w:rsidRPr="00F415B1">
        <w:rPr>
          <w:iCs/>
        </w:rPr>
        <w:t xml:space="preserve">, </w:t>
      </w:r>
      <w:r w:rsidRPr="00F415B1">
        <w:t>respectively.</w:t>
      </w:r>
    </w:p>
    <w:p w14:paraId="45CB9C8D" w14:textId="3D7B35F2" w:rsidR="001E0DF0" w:rsidRDefault="00EA5731" w:rsidP="0009732E">
      <w:pPr>
        <w:pStyle w:val="B3"/>
      </w:pPr>
      <w:r>
        <w:t>-</w:t>
      </w:r>
      <w:r>
        <w:tab/>
      </w:r>
      <w:r w:rsidR="00A90504">
        <w:t>i</w:t>
      </w:r>
      <w:r w:rsidR="00A90504" w:rsidRPr="00AD53AD">
        <w:t>f</w:t>
      </w:r>
      <w:r w:rsidR="00A90504">
        <w:t xml:space="preserve"> </w:t>
      </w:r>
      <w:r w:rsidR="00665F20" w:rsidRPr="00F415B1">
        <w:t xml:space="preserve">the UE is not provided </w:t>
      </w:r>
      <w:r w:rsidR="00665F20" w:rsidRPr="00F415B1">
        <w:rPr>
          <w:iCs/>
        </w:rPr>
        <w:t xml:space="preserve">two SRS resource sets in </w:t>
      </w:r>
      <w:r w:rsidR="00665F20" w:rsidRPr="00F415B1">
        <w:rPr>
          <w:i/>
        </w:rPr>
        <w:t>srs-ResourceSetToAddModList</w:t>
      </w:r>
      <w:r w:rsidR="00665F20" w:rsidRPr="00F415B1">
        <w:rPr>
          <w:iCs/>
        </w:rPr>
        <w:t xml:space="preserve"> or </w:t>
      </w:r>
      <w:r w:rsidR="00665F20" w:rsidRPr="00F415B1">
        <w:rPr>
          <w:i/>
        </w:rPr>
        <w:t>srs-ResourceSetToAddModListDCI-0-2</w:t>
      </w:r>
      <w:r w:rsidR="00665F20" w:rsidRPr="00F415B1">
        <w:rPr>
          <w:iCs/>
        </w:rPr>
        <w:t xml:space="preserve"> with </w:t>
      </w:r>
      <w:r w:rsidR="00665F20" w:rsidRPr="00F415B1">
        <w:rPr>
          <w:i/>
        </w:rPr>
        <w:t>usage</w:t>
      </w:r>
      <w:r w:rsidR="00665F20" w:rsidRPr="00F415B1">
        <w:rPr>
          <w:iCs/>
        </w:rPr>
        <w:t xml:space="preserve"> set to </w:t>
      </w:r>
      <w:r w:rsidR="005E3B15">
        <w:rPr>
          <w:iCs/>
        </w:rPr>
        <w:t>'</w:t>
      </w:r>
      <w:r w:rsidR="00665F20" w:rsidRPr="00F415B1">
        <w:rPr>
          <w:iCs/>
        </w:rPr>
        <w:t>codebook</w:t>
      </w:r>
      <w:r w:rsidR="005E3B15">
        <w:rPr>
          <w:iCs/>
        </w:rPr>
        <w:t>'</w:t>
      </w:r>
      <w:r w:rsidR="00665F20" w:rsidRPr="00F415B1">
        <w:rPr>
          <w:iCs/>
        </w:rPr>
        <w:t xml:space="preserve"> or </w:t>
      </w:r>
      <w:r w:rsidR="005E3B15">
        <w:rPr>
          <w:iCs/>
        </w:rPr>
        <w:t>'</w:t>
      </w:r>
      <w:r w:rsidR="00665F20" w:rsidRPr="00F415B1">
        <w:rPr>
          <w:iCs/>
        </w:rPr>
        <w:t>nonCodebook</w:t>
      </w:r>
      <w:r w:rsidR="005E3B15">
        <w:rPr>
          <w:iCs/>
        </w:rPr>
        <w:t>'</w:t>
      </w:r>
      <w:r w:rsidR="00665F20" w:rsidRPr="00F415B1">
        <w:rPr>
          <w:iCs/>
        </w:rPr>
        <w:t xml:space="preserve"> and if</w:t>
      </w:r>
      <w:r w:rsidRPr="00AD53AD">
        <w:t xml:space="preserve"> the PUSCH transmission</w:t>
      </w:r>
      <w:r w:rsidR="00665F20">
        <w:t>,</w:t>
      </w:r>
      <w:r w:rsidR="009132F6">
        <w:t xml:space="preserve"> </w:t>
      </w:r>
      <w:r w:rsidR="009132F6" w:rsidRPr="00CA183C">
        <w:t>except for the PUSCH retransmission corresponding to a RAR UL grant</w:t>
      </w:r>
      <w:r w:rsidR="00665F20">
        <w:t>,</w:t>
      </w:r>
      <w:r w:rsidRPr="00AD53AD">
        <w:t xml:space="preserve"> is scheduled by a DCI format that does not include a</w:t>
      </w:r>
      <w:r w:rsidR="001B4D2B">
        <w:t>n</w:t>
      </w:r>
      <w:r w:rsidRPr="00AD53AD">
        <w:t xml:space="preserve"> SRI field, or if </w:t>
      </w:r>
      <w:r w:rsidR="00E51F04" w:rsidRPr="00E61D74">
        <w:rPr>
          <w:i/>
        </w:rPr>
        <w:t>SRI-</w:t>
      </w:r>
      <w:r w:rsidR="00E51F04">
        <w:rPr>
          <w:i/>
        </w:rPr>
        <w:t>PUSCH</w:t>
      </w:r>
      <w:r w:rsidR="001B4D2B">
        <w:rPr>
          <w:i/>
        </w:rPr>
        <w:t>-</w:t>
      </w:r>
      <w:r w:rsidR="00E51F04">
        <w:rPr>
          <w:i/>
        </w:rPr>
        <w:t>PowerControl</w:t>
      </w:r>
      <w:r w:rsidRPr="00AD53AD">
        <w:t xml:space="preserve"> is not provided to the UE, </w:t>
      </w:r>
      <m:oMath>
        <m:r>
          <w:rPr>
            <w:rFonts w:ascii="Cambria Math" w:hAnsi="Cambria Math"/>
          </w:rPr>
          <m:t>j=2</m:t>
        </m:r>
      </m:oMath>
      <w:r w:rsidR="0016293D">
        <w:t xml:space="preserve">, </w:t>
      </w:r>
    </w:p>
    <w:p w14:paraId="5020A295" w14:textId="18469FDE" w:rsidR="001E0DF0" w:rsidRDefault="001E0DF0" w:rsidP="00590EB5">
      <w:pPr>
        <w:pStyle w:val="B4"/>
      </w:pPr>
      <w:r w:rsidRPr="004B2A70">
        <w:rPr>
          <w:lang w:val="x-none"/>
        </w:rPr>
        <w:lastRenderedPageBreak/>
        <w:t>-</w:t>
      </w:r>
      <w:r w:rsidRPr="004B2A70">
        <w:rPr>
          <w:lang w:val="x-none"/>
        </w:rPr>
        <w:tab/>
      </w:r>
      <w:r w:rsidR="00A90504">
        <w:t>i</w:t>
      </w:r>
      <w:r w:rsidR="00A90504" w:rsidRPr="00EE027F">
        <w:t xml:space="preserve">f </w:t>
      </w:r>
      <w:r w:rsidRPr="00C512C5">
        <w:rPr>
          <w:i/>
        </w:rPr>
        <w:t>P0-PUSCH-Set</w:t>
      </w:r>
      <w:r>
        <w:t xml:space="preserve"> is provided to the UE and</w:t>
      </w:r>
      <w:r w:rsidRPr="00EE027F">
        <w:t xml:space="preserve"> the DCI format includes a</w:t>
      </w:r>
      <w:r>
        <w:t>n</w:t>
      </w:r>
      <w:r w:rsidRPr="00EE027F">
        <w:t xml:space="preserve"> </w:t>
      </w:r>
      <w:r>
        <w:rPr>
          <w:lang w:eastAsia="zh-CN"/>
        </w:rPr>
        <w:t>open-loop power control parameter set indication</w:t>
      </w:r>
      <w:r w:rsidRPr="00EE027F">
        <w:rPr>
          <w:iCs/>
        </w:rPr>
        <w:t xml:space="preserve"> field, </w:t>
      </w:r>
      <w:r>
        <w:rPr>
          <w:iCs/>
        </w:rPr>
        <w:t>the UE determines</w:t>
      </w:r>
      <w:r>
        <w:t xml:space="preserve"> a </w:t>
      </w:r>
      <w:r w:rsidRPr="00EE027F">
        <w:t xml:space="preserve">value of </w:t>
      </w:r>
      <m:oMath>
        <m:sSub>
          <m:sSubPr>
            <m:ctrlPr>
              <w:rPr>
                <w:rFonts w:ascii="Cambria Math" w:hAnsi="Cambria Math"/>
                <w:iCs/>
              </w:rPr>
            </m:ctrlPr>
          </m:sSubPr>
          <m:e>
            <m:r>
              <w:rPr>
                <w:rFonts w:ascii="Cambria Math" w:hAnsi="Cambria Math"/>
              </w:rPr>
              <m:t>P</m:t>
            </m:r>
          </m:e>
          <m:sub>
            <m:r>
              <m:rPr>
                <m:nor/>
              </m:rPr>
              <w:rPr>
                <w:rFonts w:ascii="Cambria Math"/>
                <w:iCs/>
                <w:lang w:val="en-US"/>
              </w:rPr>
              <m:t>O_UE_P</m:t>
            </m:r>
            <m:r>
              <m:rPr>
                <m:nor/>
              </m:rPr>
              <w:rPr>
                <w:rFonts w:ascii="Cambria Math"/>
                <w:iCs/>
              </w:rPr>
              <m:t>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oMath>
      <w:r>
        <w:t xml:space="preserve"> from</w:t>
      </w:r>
    </w:p>
    <w:p w14:paraId="0F0A1383" w14:textId="360749BC" w:rsidR="001E0DF0" w:rsidRPr="00CF4C90" w:rsidRDefault="001E0DF0" w:rsidP="00590EB5">
      <w:pPr>
        <w:pStyle w:val="B5"/>
      </w:pPr>
      <w:r w:rsidRPr="004B2A70">
        <w:rPr>
          <w:lang w:val="x-none"/>
        </w:rPr>
        <w:t>-</w:t>
      </w:r>
      <w:r w:rsidRPr="004B2A70">
        <w:rPr>
          <w:lang w:val="x-none"/>
        </w:rPr>
        <w:tab/>
      </w:r>
      <w:r>
        <w:rPr>
          <w:lang w:val="en-US"/>
        </w:rPr>
        <w:t xml:space="preserve">a first </w:t>
      </w:r>
      <w:r w:rsidRPr="00EE027F">
        <w:rPr>
          <w:i/>
        </w:rPr>
        <w:t>P0-PUSCH-AlphaSet</w:t>
      </w:r>
      <w:r w:rsidRPr="00EE027F">
        <w:t xml:space="preserve"> in </w:t>
      </w:r>
      <w:r w:rsidRPr="00EE027F">
        <w:rPr>
          <w:i/>
        </w:rPr>
        <w:t>p0-AlphaSets</w:t>
      </w:r>
      <w:r>
        <w:t xml:space="preserve"> if </w:t>
      </w:r>
      <w:r>
        <w:rPr>
          <w:iCs/>
        </w:rPr>
        <w:t xml:space="preserve">a value of the </w:t>
      </w:r>
      <w:r>
        <w:rPr>
          <w:lang w:eastAsia="zh-CN"/>
        </w:rPr>
        <w:t>open-loop power control parameter set indication</w:t>
      </w:r>
      <w:r>
        <w:rPr>
          <w:iCs/>
        </w:rPr>
        <w:t xml:space="preserve"> field is </w:t>
      </w:r>
      <w:r w:rsidR="00D93480">
        <w:rPr>
          <w:iCs/>
        </w:rPr>
        <w:t>'</w:t>
      </w:r>
      <w:r>
        <w:rPr>
          <w:iCs/>
        </w:rPr>
        <w:t>0</w:t>
      </w:r>
      <w:r w:rsidR="00D93480">
        <w:rPr>
          <w:iCs/>
        </w:rPr>
        <w:t>'</w:t>
      </w:r>
      <w:r>
        <w:rPr>
          <w:iCs/>
        </w:rPr>
        <w:t xml:space="preserve"> or </w:t>
      </w:r>
      <w:r w:rsidR="00D93480">
        <w:rPr>
          <w:iCs/>
        </w:rPr>
        <w:t>'</w:t>
      </w:r>
      <w:r>
        <w:rPr>
          <w:iCs/>
        </w:rPr>
        <w:t>00</w:t>
      </w:r>
      <w:r w:rsidR="00D93480">
        <w:rPr>
          <w:iCs/>
        </w:rPr>
        <w:t>'</w:t>
      </w:r>
    </w:p>
    <w:p w14:paraId="109B32DA" w14:textId="72C26F23" w:rsidR="001E0DF0" w:rsidRDefault="001E0DF0" w:rsidP="00590EB5">
      <w:pPr>
        <w:pStyle w:val="B5"/>
        <w:rPr>
          <w:iCs/>
        </w:rPr>
      </w:pPr>
      <w:r w:rsidRPr="004B2A70">
        <w:rPr>
          <w:lang w:val="x-none"/>
        </w:rPr>
        <w:t>-</w:t>
      </w:r>
      <w:r w:rsidRPr="004B2A70">
        <w:rPr>
          <w:lang w:val="x-none"/>
        </w:rPr>
        <w:tab/>
      </w:r>
      <w:r>
        <w:rPr>
          <w:lang w:val="en-US"/>
        </w:rPr>
        <w:t xml:space="preserve">a </w:t>
      </w:r>
      <w:r>
        <w:t xml:space="preserve">first value in </w:t>
      </w:r>
      <w:r w:rsidRPr="00C512C5">
        <w:rPr>
          <w:i/>
        </w:rPr>
        <w:t>P0-PUSCH-Set</w:t>
      </w:r>
      <w:r w:rsidR="001B4D2B">
        <w:t xml:space="preserve"> with the lowest </w:t>
      </w:r>
      <w:r w:rsidR="001B4D2B">
        <w:rPr>
          <w:i/>
        </w:rPr>
        <w:t>p</w:t>
      </w:r>
      <w:r w:rsidR="001B4D2B" w:rsidRPr="00C512C5">
        <w:rPr>
          <w:i/>
        </w:rPr>
        <w:t>0-PUSCH-Set</w:t>
      </w:r>
      <w:r w:rsidR="001B4D2B">
        <w:rPr>
          <w:i/>
        </w:rPr>
        <w:t>ID</w:t>
      </w:r>
      <w:r w:rsidR="001B4D2B">
        <w:t xml:space="preserve"> value</w:t>
      </w:r>
      <w:r>
        <w:t xml:space="preserve"> if </w:t>
      </w:r>
      <w:r>
        <w:rPr>
          <w:iCs/>
        </w:rPr>
        <w:t xml:space="preserve">a value of the </w:t>
      </w:r>
      <w:r>
        <w:rPr>
          <w:lang w:eastAsia="zh-CN"/>
        </w:rPr>
        <w:t>open-loop power control parameter set indication</w:t>
      </w:r>
      <w:r>
        <w:rPr>
          <w:iCs/>
        </w:rPr>
        <w:t xml:space="preserve"> field is </w:t>
      </w:r>
      <w:r w:rsidR="00D93480">
        <w:rPr>
          <w:iCs/>
        </w:rPr>
        <w:t>'</w:t>
      </w:r>
      <w:r>
        <w:rPr>
          <w:iCs/>
        </w:rPr>
        <w:t>1</w:t>
      </w:r>
      <w:r w:rsidR="00D93480">
        <w:rPr>
          <w:iCs/>
        </w:rPr>
        <w:t>'</w:t>
      </w:r>
      <w:r>
        <w:rPr>
          <w:iCs/>
        </w:rPr>
        <w:t xml:space="preserve"> or </w:t>
      </w:r>
      <w:r w:rsidR="00D93480">
        <w:rPr>
          <w:iCs/>
        </w:rPr>
        <w:t>'</w:t>
      </w:r>
      <w:r>
        <w:rPr>
          <w:iCs/>
        </w:rPr>
        <w:t>01</w:t>
      </w:r>
      <w:r w:rsidR="00D93480">
        <w:rPr>
          <w:iCs/>
        </w:rPr>
        <w:t>'</w:t>
      </w:r>
    </w:p>
    <w:p w14:paraId="2CFA99C2" w14:textId="64BB5DD7" w:rsidR="001E0DF0" w:rsidRDefault="001E0DF0" w:rsidP="00590EB5">
      <w:pPr>
        <w:pStyle w:val="B5"/>
        <w:rPr>
          <w:iCs/>
        </w:rPr>
      </w:pPr>
      <w:r w:rsidRPr="004B2A70">
        <w:rPr>
          <w:lang w:val="x-none"/>
        </w:rPr>
        <w:t>-</w:t>
      </w:r>
      <w:r w:rsidRPr="004B2A70">
        <w:rPr>
          <w:lang w:val="x-none"/>
        </w:rPr>
        <w:tab/>
      </w:r>
      <w:r>
        <w:rPr>
          <w:lang w:val="en-US"/>
        </w:rPr>
        <w:t xml:space="preserve">a </w:t>
      </w:r>
      <w:r>
        <w:t xml:space="preserve">second value in </w:t>
      </w:r>
      <w:r w:rsidRPr="00C512C5">
        <w:rPr>
          <w:i/>
        </w:rPr>
        <w:t>P0-PUSCH-Set</w:t>
      </w:r>
      <w:r w:rsidR="001B4D2B">
        <w:t xml:space="preserve"> with the lowest </w:t>
      </w:r>
      <w:r w:rsidR="001B4D2B">
        <w:rPr>
          <w:i/>
        </w:rPr>
        <w:t>p</w:t>
      </w:r>
      <w:r w:rsidR="001B4D2B" w:rsidRPr="00C512C5">
        <w:rPr>
          <w:i/>
        </w:rPr>
        <w:t>0-PUSCH-Set</w:t>
      </w:r>
      <w:r w:rsidR="001B4D2B">
        <w:rPr>
          <w:i/>
        </w:rPr>
        <w:t>ID</w:t>
      </w:r>
      <w:r w:rsidR="001B4D2B">
        <w:t xml:space="preserve"> value</w:t>
      </w:r>
      <w:r>
        <w:t xml:space="preserve"> if </w:t>
      </w:r>
      <w:r>
        <w:rPr>
          <w:iCs/>
        </w:rPr>
        <w:t xml:space="preserve">a value of the </w:t>
      </w:r>
      <w:r>
        <w:rPr>
          <w:lang w:eastAsia="zh-CN"/>
        </w:rPr>
        <w:t>open-loop power control parameter set indication</w:t>
      </w:r>
      <w:r>
        <w:rPr>
          <w:iCs/>
        </w:rPr>
        <w:t xml:space="preserve"> field is </w:t>
      </w:r>
      <w:r w:rsidR="00D93480">
        <w:rPr>
          <w:iCs/>
        </w:rPr>
        <w:t>'</w:t>
      </w:r>
      <w:r>
        <w:rPr>
          <w:iCs/>
        </w:rPr>
        <w:t>10</w:t>
      </w:r>
      <w:r w:rsidR="00D93480">
        <w:rPr>
          <w:iCs/>
        </w:rPr>
        <w:t>'</w:t>
      </w:r>
    </w:p>
    <w:p w14:paraId="038B27CD" w14:textId="23C06D3E" w:rsidR="009711B6" w:rsidRPr="00F415B1" w:rsidRDefault="001E0DF0" w:rsidP="009400C8">
      <w:pPr>
        <w:pStyle w:val="B3"/>
        <w:rPr>
          <w:i/>
        </w:rPr>
      </w:pPr>
      <w:r w:rsidRPr="004B2A70">
        <w:rPr>
          <w:lang w:val="x-none"/>
        </w:rPr>
        <w:t>-</w:t>
      </w:r>
      <w:r w:rsidRPr="004B2A70">
        <w:rPr>
          <w:lang w:val="x-none"/>
        </w:rPr>
        <w:tab/>
      </w:r>
      <w:r>
        <w:t>else,</w:t>
      </w:r>
      <w:r w:rsidRPr="00EE027F">
        <w:t xml:space="preserve"> </w:t>
      </w:r>
      <w:r w:rsidR="00EA5731" w:rsidRPr="00AD53AD">
        <w:t xml:space="preserve">the UE determines </w:t>
      </w:r>
      <m:oMath>
        <m:sSub>
          <m:sSubPr>
            <m:ctrlPr>
              <w:rPr>
                <w:rFonts w:ascii="Cambria Math" w:hAnsi="Cambria Math"/>
                <w:iCs/>
              </w:rPr>
            </m:ctrlPr>
          </m:sSubPr>
          <m:e>
            <m:r>
              <w:rPr>
                <w:rFonts w:ascii="Cambria Math" w:hAnsi="Cambria Math"/>
              </w:rPr>
              <m:t>P</m:t>
            </m:r>
          </m:e>
          <m:sub>
            <m:r>
              <m:rPr>
                <m:nor/>
              </m:rPr>
              <w:rPr>
                <w:rFonts w:ascii="Cambria Math"/>
                <w:iCs/>
                <w:lang w:val="en-US"/>
              </w:rPr>
              <m:t>O_UE_P</m:t>
            </m:r>
            <m:r>
              <m:rPr>
                <m:nor/>
              </m:rPr>
              <w:rPr>
                <w:rFonts w:ascii="Cambria Math"/>
                <w:iCs/>
              </w:rPr>
              <m:t>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oMath>
      <w:r w:rsidR="00EA5731">
        <w:t xml:space="preserve"> from the </w:t>
      </w:r>
      <w:r w:rsidR="00E51F04">
        <w:t xml:space="preserve">value of the first </w:t>
      </w:r>
      <w:r w:rsidR="00BC343B">
        <w:rPr>
          <w:i/>
        </w:rPr>
        <w:t>P</w:t>
      </w:r>
      <w:r w:rsidR="00BC343B" w:rsidRPr="00B916EC">
        <w:rPr>
          <w:i/>
        </w:rPr>
        <w:t>0</w:t>
      </w:r>
      <w:r w:rsidR="00E51F04" w:rsidRPr="00B916EC">
        <w:rPr>
          <w:i/>
        </w:rPr>
        <w:t>-</w:t>
      </w:r>
      <w:r w:rsidR="00BC343B">
        <w:rPr>
          <w:i/>
        </w:rPr>
        <w:t>PUSCH</w:t>
      </w:r>
      <w:r w:rsidR="00E51F04" w:rsidRPr="00B916EC">
        <w:rPr>
          <w:i/>
        </w:rPr>
        <w:t>-</w:t>
      </w:r>
      <w:r w:rsidR="00E51F04">
        <w:rPr>
          <w:i/>
        </w:rPr>
        <w:t>A</w:t>
      </w:r>
      <w:r w:rsidR="00E51F04" w:rsidRPr="00B916EC">
        <w:rPr>
          <w:i/>
        </w:rPr>
        <w:t>lpha</w:t>
      </w:r>
      <w:r w:rsidR="00E51F04">
        <w:rPr>
          <w:i/>
        </w:rPr>
        <w:t>S</w:t>
      </w:r>
      <w:r w:rsidR="00E51F04" w:rsidRPr="00B916EC">
        <w:rPr>
          <w:i/>
        </w:rPr>
        <w:t>et</w:t>
      </w:r>
      <w:r w:rsidR="00E51F04">
        <w:t xml:space="preserve"> in </w:t>
      </w:r>
      <w:r w:rsidR="00E51F04" w:rsidRPr="005C75EF">
        <w:rPr>
          <w:i/>
        </w:rPr>
        <w:t>p0-</w:t>
      </w:r>
      <w:r w:rsidR="00E51F04">
        <w:rPr>
          <w:i/>
        </w:rPr>
        <w:t>A</w:t>
      </w:r>
      <w:r w:rsidR="00E51F04" w:rsidRPr="005C75EF">
        <w:rPr>
          <w:i/>
        </w:rPr>
        <w:t>lpha</w:t>
      </w:r>
      <w:r w:rsidR="00E51F04">
        <w:rPr>
          <w:i/>
        </w:rPr>
        <w:t>S</w:t>
      </w:r>
      <w:r w:rsidR="00E51F04" w:rsidRPr="005C75EF">
        <w:rPr>
          <w:i/>
        </w:rPr>
        <w:t>et</w:t>
      </w:r>
      <w:r w:rsidR="00E51F04">
        <w:rPr>
          <w:i/>
        </w:rPr>
        <w:t>s</w:t>
      </w:r>
    </w:p>
    <w:p w14:paraId="0C828C76" w14:textId="6E09A8ED" w:rsidR="009711B6" w:rsidRPr="00F415B1" w:rsidRDefault="009711B6" w:rsidP="009711B6">
      <w:pPr>
        <w:pStyle w:val="B3"/>
      </w:pPr>
      <w:r w:rsidRPr="00F415B1">
        <w:t>-</w:t>
      </w:r>
      <w:r w:rsidRPr="00F415B1">
        <w:tab/>
      </w:r>
      <w:r w:rsidR="00A90504">
        <w:rPr>
          <w:lang w:eastAsia="zh-CN"/>
        </w:rPr>
        <w:t>i</w:t>
      </w:r>
      <w:r w:rsidR="00A90504" w:rsidRPr="00F415B1">
        <w:rPr>
          <w:lang w:eastAsia="zh-CN"/>
        </w:rPr>
        <w:t xml:space="preserve">f </w:t>
      </w:r>
      <w:r w:rsidRPr="00F415B1">
        <w:rPr>
          <w:lang w:eastAsia="zh-CN"/>
        </w:rPr>
        <w:t xml:space="preserve">the UE is provided </w:t>
      </w:r>
      <w:r w:rsidRPr="00F415B1">
        <w:rPr>
          <w:iCs/>
        </w:rPr>
        <w:t xml:space="preserve">two SRS resource sets in </w:t>
      </w:r>
      <w:r w:rsidRPr="00F415B1">
        <w:rPr>
          <w:i/>
        </w:rPr>
        <w:t>srs-ResourceSetToAddModList</w:t>
      </w:r>
      <w:r w:rsidRPr="00F415B1">
        <w:rPr>
          <w:iCs/>
        </w:rPr>
        <w:t xml:space="preserve"> or </w:t>
      </w:r>
      <w:r w:rsidRPr="00F415B1">
        <w:rPr>
          <w:i/>
        </w:rPr>
        <w:t>srs-ResourceSetToAddModListDCI-0-2</w:t>
      </w:r>
      <w:r w:rsidRPr="00F415B1">
        <w:rPr>
          <w:iCs/>
        </w:rPr>
        <w:t xml:space="preserve"> with </w:t>
      </w:r>
      <w:r w:rsidRPr="00F415B1">
        <w:rPr>
          <w:i/>
        </w:rPr>
        <w:t>usage</w:t>
      </w:r>
      <w:r w:rsidRPr="00F415B1">
        <w:rPr>
          <w:iCs/>
        </w:rPr>
        <w:t xml:space="preserve"> set to </w:t>
      </w:r>
      <w:r w:rsidR="005E3B15">
        <w:rPr>
          <w:iCs/>
        </w:rPr>
        <w:t>'</w:t>
      </w:r>
      <w:r w:rsidRPr="00F415B1">
        <w:rPr>
          <w:iCs/>
        </w:rPr>
        <w:t>codebook</w:t>
      </w:r>
      <w:r w:rsidR="005E3B15">
        <w:rPr>
          <w:iCs/>
        </w:rPr>
        <w:t>'</w:t>
      </w:r>
      <w:r w:rsidRPr="00F415B1">
        <w:rPr>
          <w:iCs/>
        </w:rPr>
        <w:t xml:space="preserve"> or </w:t>
      </w:r>
      <w:r w:rsidR="005E3B15">
        <w:rPr>
          <w:iCs/>
        </w:rPr>
        <w:t>'</w:t>
      </w:r>
      <w:r w:rsidRPr="00F415B1">
        <w:rPr>
          <w:iCs/>
        </w:rPr>
        <w:t>nonCodebook</w:t>
      </w:r>
      <w:r w:rsidR="005E3B15">
        <w:rPr>
          <w:iCs/>
        </w:rPr>
        <w:t>'</w:t>
      </w:r>
      <w:r w:rsidRPr="00F415B1">
        <w:rPr>
          <w:iCs/>
        </w:rPr>
        <w:t xml:space="preserve"> </w:t>
      </w:r>
      <w:r w:rsidRPr="00F415B1">
        <w:t>and the PUSCH transmission is scheduled by a DCI format that does not include an SRI field and includes an SRS resource set indicator field with value 10 or 11</w:t>
      </w:r>
    </w:p>
    <w:p w14:paraId="07534C0F" w14:textId="586AE480" w:rsidR="009711B6" w:rsidRPr="00F415B1" w:rsidRDefault="009711B6" w:rsidP="009711B6">
      <w:pPr>
        <w:pStyle w:val="B4"/>
        <w:ind w:left="1419"/>
      </w:pPr>
      <w:r w:rsidRPr="00F415B1">
        <w:rPr>
          <w:lang w:val="x-none"/>
        </w:rPr>
        <w:t>-</w:t>
      </w:r>
      <w:r w:rsidRPr="00F415B1">
        <w:rPr>
          <w:lang w:val="x-none"/>
        </w:rPr>
        <w:tab/>
      </w:r>
      <w:r w:rsidR="00A90504">
        <w:t>i</w:t>
      </w:r>
      <w:r w:rsidR="00A90504" w:rsidRPr="00F415B1">
        <w:t xml:space="preserve">f </w:t>
      </w:r>
      <w:r w:rsidRPr="00F415B1">
        <w:rPr>
          <w:i/>
        </w:rPr>
        <w:t>P0-PUSCH-Set</w:t>
      </w:r>
      <w:r w:rsidRPr="00F415B1">
        <w:t xml:space="preserve"> is provided to the UE and the DCI format includes an </w:t>
      </w:r>
      <w:r w:rsidRPr="00F415B1">
        <w:rPr>
          <w:lang w:eastAsia="zh-CN"/>
        </w:rPr>
        <w:t>open-loop power control parameter set indication</w:t>
      </w:r>
      <w:r w:rsidRPr="00F415B1">
        <w:rPr>
          <w:iCs/>
        </w:rPr>
        <w:t xml:space="preserve"> field, the UE determines</w:t>
      </w:r>
      <w:r w:rsidRPr="00F415B1">
        <w:t xml:space="preserve"> first and second values of </w:t>
      </w:r>
      <m:oMath>
        <m:sSub>
          <m:sSubPr>
            <m:ctrlPr>
              <w:rPr>
                <w:rFonts w:ascii="Cambria Math" w:hAnsi="Cambria Math"/>
                <w:iCs/>
              </w:rPr>
            </m:ctrlPr>
          </m:sSubPr>
          <m:e>
            <m:r>
              <w:rPr>
                <w:rFonts w:ascii="Cambria Math" w:hAnsi="Cambria Math"/>
              </w:rPr>
              <m:t>P</m:t>
            </m:r>
          </m:e>
          <m:sub>
            <m:r>
              <m:rPr>
                <m:nor/>
              </m:rPr>
              <w:rPr>
                <w:rFonts w:ascii="Cambria Math"/>
                <w:iCs/>
                <w:lang w:val="en-US"/>
              </w:rPr>
              <m:t>O_UE_P</m:t>
            </m:r>
            <m:r>
              <m:rPr>
                <m:nor/>
              </m:rPr>
              <w:rPr>
                <w:rFonts w:ascii="Cambria Math"/>
                <w:iCs/>
              </w:rPr>
              <m:t>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oMath>
      <w:r w:rsidRPr="00F415B1">
        <w:t xml:space="preserve"> </w:t>
      </w:r>
      <w:r w:rsidR="009A43CD" w:rsidRPr="008F482D">
        <w:t xml:space="preserve">respectively associated with the first and second SRS resource set </w:t>
      </w:r>
      <w:r w:rsidRPr="00F415B1">
        <w:t>as</w:t>
      </w:r>
    </w:p>
    <w:p w14:paraId="21998FFA" w14:textId="77777777" w:rsidR="009711B6" w:rsidRPr="00F415B1" w:rsidRDefault="009711B6" w:rsidP="009711B6">
      <w:pPr>
        <w:pStyle w:val="B5"/>
        <w:ind w:left="1704"/>
      </w:pPr>
      <w:r w:rsidRPr="00F415B1">
        <w:rPr>
          <w:lang w:val="x-none"/>
        </w:rPr>
        <w:t>-</w:t>
      </w:r>
      <w:r w:rsidRPr="00F415B1">
        <w:rPr>
          <w:lang w:val="x-none"/>
        </w:rPr>
        <w:tab/>
      </w:r>
      <w:r w:rsidRPr="00F415B1">
        <w:rPr>
          <w:lang w:val="en-US"/>
        </w:rPr>
        <w:t xml:space="preserve">first and second </w:t>
      </w:r>
      <w:r w:rsidRPr="00F415B1">
        <w:rPr>
          <w:i/>
        </w:rPr>
        <w:t>P0-PUSCH-AlphaSet</w:t>
      </w:r>
      <w:r w:rsidRPr="00F415B1">
        <w:t xml:space="preserve"> in </w:t>
      </w:r>
      <w:r w:rsidRPr="00F415B1">
        <w:rPr>
          <w:i/>
        </w:rPr>
        <w:t>p0-AlphaSets</w:t>
      </w:r>
      <w:r w:rsidRPr="00F415B1">
        <w:t xml:space="preserve"> if </w:t>
      </w:r>
      <w:r w:rsidRPr="00F415B1">
        <w:rPr>
          <w:iCs/>
        </w:rPr>
        <w:t xml:space="preserve">the </w:t>
      </w:r>
      <w:r w:rsidRPr="00F415B1">
        <w:rPr>
          <w:lang w:eastAsia="zh-CN"/>
        </w:rPr>
        <w:t>open-loop power control parameter set indication</w:t>
      </w:r>
      <w:r w:rsidRPr="00F415B1">
        <w:rPr>
          <w:iCs/>
        </w:rPr>
        <w:t xml:space="preserve"> value is '0' or '00'</w:t>
      </w:r>
    </w:p>
    <w:p w14:paraId="1B3529F6" w14:textId="77777777" w:rsidR="009711B6" w:rsidRPr="00F415B1" w:rsidRDefault="009711B6" w:rsidP="009711B6">
      <w:pPr>
        <w:pStyle w:val="B5"/>
        <w:ind w:left="1704"/>
        <w:rPr>
          <w:iCs/>
        </w:rPr>
      </w:pPr>
      <w:r w:rsidRPr="00F415B1">
        <w:rPr>
          <w:lang w:val="x-none"/>
        </w:rPr>
        <w:t>-</w:t>
      </w:r>
      <w:r w:rsidRPr="00F415B1">
        <w:rPr>
          <w:lang w:val="x-none"/>
        </w:rPr>
        <w:tab/>
      </w:r>
      <w:r w:rsidRPr="00F415B1">
        <w:t xml:space="preserve">first value in </w:t>
      </w:r>
      <w:r w:rsidRPr="00F415B1">
        <w:rPr>
          <w:i/>
        </w:rPr>
        <w:t>P0-PUSCH-Set</w:t>
      </w:r>
      <w:r w:rsidRPr="00F415B1">
        <w:t xml:space="preserve"> with the lowest </w:t>
      </w:r>
      <w:r w:rsidRPr="00F415B1">
        <w:rPr>
          <w:i/>
        </w:rPr>
        <w:t>p0-PUSCH-SetID</w:t>
      </w:r>
      <w:r w:rsidRPr="00F415B1">
        <w:t xml:space="preserve"> value in </w:t>
      </w:r>
      <w:r w:rsidRPr="00F415B1">
        <w:rPr>
          <w:i/>
          <w:iCs/>
        </w:rPr>
        <w:t>p0-PUSCH-SetList</w:t>
      </w:r>
      <w:r w:rsidRPr="00F415B1">
        <w:t xml:space="preserve"> and first value in </w:t>
      </w:r>
      <w:r w:rsidRPr="00F415B1">
        <w:rPr>
          <w:i/>
        </w:rPr>
        <w:t>P0-PUSCH-Set</w:t>
      </w:r>
      <w:r w:rsidRPr="00F415B1">
        <w:t xml:space="preserve"> with the lowest </w:t>
      </w:r>
      <w:r w:rsidRPr="00F415B1">
        <w:rPr>
          <w:i/>
        </w:rPr>
        <w:t>p0-PUSCH-SetID</w:t>
      </w:r>
      <w:r w:rsidRPr="00F415B1">
        <w:t xml:space="preserve"> value in </w:t>
      </w:r>
      <w:r w:rsidRPr="00F415B1">
        <w:rPr>
          <w:i/>
          <w:iCs/>
        </w:rPr>
        <w:t>p0-PUSCH-SetList2</w:t>
      </w:r>
      <w:r w:rsidRPr="00F415B1">
        <w:t xml:space="preserve">, respectively, if </w:t>
      </w:r>
      <w:r w:rsidRPr="00F415B1">
        <w:rPr>
          <w:iCs/>
        </w:rPr>
        <w:t xml:space="preserve">the </w:t>
      </w:r>
      <w:r w:rsidRPr="00F415B1">
        <w:rPr>
          <w:lang w:eastAsia="zh-CN"/>
        </w:rPr>
        <w:t>open-loop power control parameter set indication</w:t>
      </w:r>
      <w:r w:rsidRPr="00F415B1">
        <w:rPr>
          <w:iCs/>
        </w:rPr>
        <w:t xml:space="preserve"> value is '1' or '01'</w:t>
      </w:r>
    </w:p>
    <w:p w14:paraId="6197886C" w14:textId="77777777" w:rsidR="009711B6" w:rsidRPr="00F415B1" w:rsidRDefault="009711B6" w:rsidP="009711B6">
      <w:pPr>
        <w:pStyle w:val="B5"/>
        <w:ind w:left="1704"/>
        <w:rPr>
          <w:iCs/>
        </w:rPr>
      </w:pPr>
      <w:r w:rsidRPr="00F415B1">
        <w:rPr>
          <w:lang w:val="x-none"/>
        </w:rPr>
        <w:t>-</w:t>
      </w:r>
      <w:r w:rsidRPr="00F415B1">
        <w:rPr>
          <w:lang w:val="x-none"/>
        </w:rPr>
        <w:tab/>
      </w:r>
      <w:r w:rsidRPr="00F415B1">
        <w:t xml:space="preserve">second value in </w:t>
      </w:r>
      <w:r w:rsidRPr="00F415B1">
        <w:rPr>
          <w:i/>
        </w:rPr>
        <w:t>P0-PUSCH-Set</w:t>
      </w:r>
      <w:r w:rsidRPr="00F415B1">
        <w:t xml:space="preserve"> with the lowest </w:t>
      </w:r>
      <w:r w:rsidRPr="00F415B1">
        <w:rPr>
          <w:i/>
        </w:rPr>
        <w:t>p0-PUSCH-SetID</w:t>
      </w:r>
      <w:r w:rsidRPr="00F415B1">
        <w:t xml:space="preserve"> value in </w:t>
      </w:r>
      <w:r w:rsidRPr="00F415B1">
        <w:rPr>
          <w:i/>
          <w:iCs/>
        </w:rPr>
        <w:t>p0-PUSCH-SetList</w:t>
      </w:r>
      <w:r w:rsidRPr="00F415B1">
        <w:t xml:space="preserve"> and second value in </w:t>
      </w:r>
      <w:r w:rsidRPr="00F415B1">
        <w:rPr>
          <w:i/>
        </w:rPr>
        <w:t>P0-PUSCH-Set</w:t>
      </w:r>
      <w:r w:rsidRPr="00F415B1">
        <w:t xml:space="preserve"> with the lowest </w:t>
      </w:r>
      <w:r w:rsidRPr="00F415B1">
        <w:rPr>
          <w:i/>
        </w:rPr>
        <w:t>p0-PUSCH-SetID</w:t>
      </w:r>
      <w:r w:rsidRPr="00F415B1">
        <w:t xml:space="preserve"> in </w:t>
      </w:r>
      <w:r w:rsidRPr="00F415B1">
        <w:rPr>
          <w:i/>
          <w:iCs/>
        </w:rPr>
        <w:t>p0-PUSCH-SetList2</w:t>
      </w:r>
      <w:r w:rsidRPr="00F415B1">
        <w:t xml:space="preserve">, respectively, if </w:t>
      </w:r>
      <w:r w:rsidRPr="00F415B1">
        <w:rPr>
          <w:iCs/>
        </w:rPr>
        <w:t xml:space="preserve">the </w:t>
      </w:r>
      <w:r w:rsidRPr="00F415B1">
        <w:rPr>
          <w:lang w:eastAsia="zh-CN"/>
        </w:rPr>
        <w:t>open-loop power control parameter set indication</w:t>
      </w:r>
      <w:r w:rsidRPr="00F415B1">
        <w:rPr>
          <w:iCs/>
        </w:rPr>
        <w:t xml:space="preserve"> value is '10' or '11'</w:t>
      </w:r>
    </w:p>
    <w:p w14:paraId="7263765F" w14:textId="2BD8827B" w:rsidR="00A90504" w:rsidRPr="000A1D10" w:rsidRDefault="00A90504" w:rsidP="00A90504">
      <w:pPr>
        <w:pStyle w:val="B4"/>
        <w:rPr>
          <w:iCs/>
        </w:rPr>
      </w:pPr>
      <w:r w:rsidRPr="00F415B1">
        <w:t>-</w:t>
      </w:r>
      <w:r w:rsidRPr="00F415B1">
        <w:tab/>
      </w:r>
      <w:r w:rsidRPr="000A1D10">
        <w:rPr>
          <w:lang w:val="en-US"/>
        </w:rPr>
        <w:t xml:space="preserve">else, the UE determines first and second values </w:t>
      </w:r>
      <m:oMath>
        <m:sSub>
          <m:sSubPr>
            <m:ctrlPr>
              <w:rPr>
                <w:rFonts w:ascii="Cambria Math" w:hAnsi="Cambria Math"/>
                <w:iCs/>
                <w:lang w:val="en-US"/>
              </w:rPr>
            </m:ctrlPr>
          </m:sSubPr>
          <m:e>
            <m:r>
              <w:rPr>
                <w:rFonts w:ascii="Cambria Math" w:hAnsi="Cambria Math"/>
                <w:lang w:val="en-US"/>
              </w:rPr>
              <m:t>P</m:t>
            </m:r>
          </m:e>
          <m:sub>
            <m:r>
              <m:rPr>
                <m:nor/>
              </m:rPr>
              <w:rPr>
                <w:iCs/>
                <w:lang w:val="en-US"/>
              </w:rPr>
              <m:t>O_UE_PUSCH</m:t>
            </m:r>
            <m:r>
              <m:rPr>
                <m:sty m:val="p"/>
              </m:rPr>
              <w:rPr>
                <w:rFonts w:ascii="Cambria Math" w:hAnsi="Cambria Math"/>
                <w:lang w:val="en-US"/>
              </w:rPr>
              <m:t>,</m:t>
            </m:r>
            <m:r>
              <w:rPr>
                <w:rFonts w:ascii="Cambria Math" w:hAnsi="Cambria Math"/>
                <w:lang w:val="en-US"/>
              </w:rPr>
              <m:t>b</m:t>
            </m:r>
            <m:r>
              <m:rPr>
                <m:sty m:val="p"/>
              </m:rPr>
              <w:rPr>
                <w:rFonts w:ascii="Cambria Math" w:hAnsi="Cambria Math"/>
                <w:lang w:val="en-US"/>
              </w:rPr>
              <m:t>,</m:t>
            </m:r>
            <m:r>
              <w:rPr>
                <w:rFonts w:ascii="Cambria Math" w:hAnsi="Cambria Math"/>
                <w:lang w:val="en-US"/>
              </w:rPr>
              <m:t>f</m:t>
            </m:r>
            <m:r>
              <m:rPr>
                <m:sty m:val="p"/>
              </m:rPr>
              <w:rPr>
                <w:rFonts w:ascii="Cambria Math" w:hAnsi="Cambria Math"/>
                <w:lang w:val="en-US"/>
              </w:rPr>
              <m:t>,</m:t>
            </m:r>
            <m:r>
              <w:rPr>
                <w:rFonts w:ascii="Cambria Math" w:hAnsi="Cambria Math"/>
                <w:lang w:val="en-US"/>
              </w:rPr>
              <m:t>c</m:t>
            </m:r>
          </m:sub>
        </m:sSub>
        <m:d>
          <m:dPr>
            <m:ctrlPr>
              <w:rPr>
                <w:rFonts w:ascii="Cambria Math" w:hAnsi="Cambria Math"/>
                <w:lang w:val="en-US"/>
              </w:rPr>
            </m:ctrlPr>
          </m:dPr>
          <m:e>
            <m:r>
              <w:rPr>
                <w:rFonts w:ascii="Cambria Math" w:hAnsi="Cambria Math"/>
                <w:lang w:val="en-US"/>
              </w:rPr>
              <m:t>j</m:t>
            </m:r>
          </m:e>
        </m:d>
      </m:oMath>
      <w:r w:rsidRPr="000A1D10">
        <w:rPr>
          <w:lang w:val="en-US"/>
        </w:rPr>
        <w:t xml:space="preserve"> </w:t>
      </w:r>
      <w:r w:rsidR="009A43CD" w:rsidRPr="008F482D">
        <w:t>respectively associated with the first and second SRS resource set</w:t>
      </w:r>
      <w:r w:rsidR="009A43CD" w:rsidRPr="008F482D">
        <w:rPr>
          <w:lang w:val="en-US"/>
        </w:rPr>
        <w:t xml:space="preserve"> </w:t>
      </w:r>
      <w:r w:rsidRPr="000A1D10">
        <w:rPr>
          <w:lang w:val="en-US"/>
        </w:rPr>
        <w:t>from the value</w:t>
      </w:r>
      <w:r>
        <w:rPr>
          <w:lang w:val="en-US"/>
        </w:rPr>
        <w:t>s</w:t>
      </w:r>
      <w:r w:rsidRPr="000A1D10">
        <w:rPr>
          <w:lang w:val="en-US"/>
        </w:rPr>
        <w:t xml:space="preserve"> of the first and second </w:t>
      </w:r>
      <w:r w:rsidRPr="000A1D10">
        <w:rPr>
          <w:i/>
          <w:lang w:val="en-US"/>
        </w:rPr>
        <w:t>P0-PUSCH-AlphaSet</w:t>
      </w:r>
      <w:r w:rsidRPr="000A1D10">
        <w:rPr>
          <w:lang w:val="en-US"/>
        </w:rPr>
        <w:t xml:space="preserve"> in </w:t>
      </w:r>
      <w:r w:rsidRPr="000A1D10">
        <w:rPr>
          <w:i/>
          <w:lang w:val="en-US"/>
        </w:rPr>
        <w:t>p0-AlphaSets</w:t>
      </w:r>
      <w:r w:rsidRPr="000A1D10">
        <w:rPr>
          <w:iCs/>
          <w:lang w:val="en-US"/>
        </w:rPr>
        <w:t>, respectively</w:t>
      </w:r>
    </w:p>
    <w:p w14:paraId="6CC11338" w14:textId="77777777" w:rsidR="00A90504" w:rsidRPr="000A1D10" w:rsidRDefault="00A90504" w:rsidP="00A90504">
      <w:pPr>
        <w:pStyle w:val="B3"/>
        <w:rPr>
          <w:lang w:val="en-US"/>
        </w:rPr>
      </w:pPr>
      <w:r w:rsidRPr="00F415B1">
        <w:t>-</w:t>
      </w:r>
      <w:r w:rsidRPr="00F415B1">
        <w:tab/>
      </w:r>
      <w:r>
        <w:rPr>
          <w:lang w:val="en-US" w:eastAsia="zh-CN"/>
        </w:rPr>
        <w:t>if</w:t>
      </w:r>
      <w:r w:rsidRPr="000A1D10">
        <w:rPr>
          <w:lang w:val="en-US" w:eastAsia="zh-CN"/>
        </w:rPr>
        <w:t xml:space="preserve"> the UE is provided </w:t>
      </w:r>
      <w:r w:rsidRPr="000A1D10">
        <w:rPr>
          <w:iCs/>
          <w:lang w:val="en-US"/>
        </w:rPr>
        <w:t xml:space="preserve">two SRS resource sets in </w:t>
      </w:r>
      <w:r w:rsidRPr="000A1D10">
        <w:rPr>
          <w:i/>
          <w:lang w:val="en-US"/>
        </w:rPr>
        <w:t>srs-ResourceSetToAddModList</w:t>
      </w:r>
      <w:r w:rsidRPr="000A1D10">
        <w:rPr>
          <w:iCs/>
          <w:lang w:val="en-US"/>
        </w:rPr>
        <w:t xml:space="preserve"> or </w:t>
      </w:r>
      <w:r w:rsidRPr="000A1D10">
        <w:rPr>
          <w:i/>
          <w:lang w:val="en-US"/>
        </w:rPr>
        <w:t>srs-ResourceSetToAddModListDCI-0-2</w:t>
      </w:r>
      <w:r w:rsidRPr="000A1D10">
        <w:rPr>
          <w:iCs/>
          <w:lang w:val="en-US"/>
        </w:rPr>
        <w:t xml:space="preserve"> with </w:t>
      </w:r>
      <w:r w:rsidRPr="000A1D10">
        <w:rPr>
          <w:i/>
          <w:lang w:val="en-US"/>
        </w:rPr>
        <w:t>usage</w:t>
      </w:r>
      <w:r w:rsidRPr="000A1D10">
        <w:rPr>
          <w:iCs/>
          <w:lang w:val="en-US"/>
        </w:rPr>
        <w:t xml:space="preserve"> set to 'codebook' or 'nonCodebook'</w:t>
      </w:r>
      <w:r>
        <w:rPr>
          <w:iCs/>
          <w:lang w:val="en-US"/>
        </w:rPr>
        <w:t>,</w:t>
      </w:r>
      <w:r w:rsidRPr="000A1D10">
        <w:rPr>
          <w:iCs/>
          <w:lang w:val="en-US"/>
        </w:rPr>
        <w:t xml:space="preserve"> </w:t>
      </w:r>
      <w:r w:rsidRPr="000A1D10">
        <w:rPr>
          <w:lang w:val="en-US"/>
        </w:rPr>
        <w:t xml:space="preserve">and the PUSCH transmission is scheduled by a DCI format that does not include an SRI field and includes an SRS resource set indicator field with value </w:t>
      </w:r>
      <w:r w:rsidRPr="000A1D10">
        <w:rPr>
          <w:iCs/>
          <w:lang w:val="en-US"/>
        </w:rPr>
        <w:t>'</w:t>
      </w:r>
      <w:r w:rsidRPr="000A1D10">
        <w:rPr>
          <w:lang w:val="en-US" w:eastAsia="zh-CN"/>
        </w:rPr>
        <w:t>00</w:t>
      </w:r>
      <w:r w:rsidRPr="000A1D10">
        <w:rPr>
          <w:iCs/>
          <w:lang w:val="en-US"/>
        </w:rPr>
        <w:t>'</w:t>
      </w:r>
    </w:p>
    <w:p w14:paraId="460B3D29" w14:textId="77777777" w:rsidR="00A90504" w:rsidRPr="000A1D10" w:rsidRDefault="00A90504" w:rsidP="00A90504">
      <w:pPr>
        <w:pStyle w:val="B4"/>
        <w:adjustRightInd w:val="0"/>
        <w:snapToGrid w:val="0"/>
        <w:ind w:left="1419"/>
        <w:rPr>
          <w:lang w:val="en-US"/>
        </w:rPr>
      </w:pPr>
      <w:r w:rsidRPr="000A1D10">
        <w:rPr>
          <w:lang w:val="en-US"/>
        </w:rPr>
        <w:t>-</w:t>
      </w:r>
      <w:r w:rsidRPr="000A1D10">
        <w:rPr>
          <w:lang w:val="en-US"/>
        </w:rPr>
        <w:tab/>
      </w:r>
      <w:r>
        <w:rPr>
          <w:lang w:val="en-US"/>
        </w:rPr>
        <w:t>if the UE is provided</w:t>
      </w:r>
      <w:r w:rsidRPr="000A1D10">
        <w:rPr>
          <w:lang w:val="en-US"/>
        </w:rPr>
        <w:t xml:space="preserve"> </w:t>
      </w:r>
      <w:r w:rsidRPr="000A1D10">
        <w:rPr>
          <w:i/>
          <w:lang w:val="en-US"/>
        </w:rPr>
        <w:t>P0-PUSCH-Set</w:t>
      </w:r>
      <w:r w:rsidRPr="000A1D10">
        <w:rPr>
          <w:lang w:val="en-US"/>
        </w:rPr>
        <w:t xml:space="preserve"> and the DCI format includes an </w:t>
      </w:r>
      <w:r w:rsidRPr="000A1D10">
        <w:rPr>
          <w:lang w:val="en-US" w:eastAsia="zh-CN"/>
        </w:rPr>
        <w:t>open-loop power control parameter set indication</w:t>
      </w:r>
      <w:r w:rsidRPr="000A1D10">
        <w:rPr>
          <w:iCs/>
          <w:lang w:val="en-US"/>
        </w:rPr>
        <w:t xml:space="preserve"> field, the UE determines</w:t>
      </w:r>
      <w:r w:rsidRPr="000A1D10">
        <w:rPr>
          <w:lang w:val="en-US"/>
        </w:rPr>
        <w:t xml:space="preserve"> a value of </w:t>
      </w:r>
      <m:oMath>
        <m:sSub>
          <m:sSubPr>
            <m:ctrlPr>
              <w:rPr>
                <w:rFonts w:ascii="Cambria Math" w:hAnsi="Cambria Math"/>
                <w:iCs/>
                <w:lang w:val="en-US"/>
              </w:rPr>
            </m:ctrlPr>
          </m:sSubPr>
          <m:e>
            <m:r>
              <w:rPr>
                <w:rFonts w:ascii="Cambria Math" w:hAnsi="Cambria Math"/>
                <w:lang w:val="en-US"/>
              </w:rPr>
              <m:t>P</m:t>
            </m:r>
          </m:e>
          <m:sub>
            <m:r>
              <m:rPr>
                <m:nor/>
              </m:rPr>
              <w:rPr>
                <w:iCs/>
                <w:lang w:val="en-US"/>
              </w:rPr>
              <m:t>O_UE_PUSCH</m:t>
            </m:r>
            <m:r>
              <m:rPr>
                <m:sty m:val="p"/>
              </m:rPr>
              <w:rPr>
                <w:rFonts w:ascii="Cambria Math" w:hAnsi="Cambria Math"/>
                <w:lang w:val="en-US"/>
              </w:rPr>
              <m:t>,</m:t>
            </m:r>
            <m:r>
              <w:rPr>
                <w:rFonts w:ascii="Cambria Math" w:hAnsi="Cambria Math"/>
                <w:lang w:val="en-US"/>
              </w:rPr>
              <m:t>b</m:t>
            </m:r>
            <m:r>
              <m:rPr>
                <m:sty m:val="p"/>
              </m:rPr>
              <w:rPr>
                <w:rFonts w:ascii="Cambria Math" w:hAnsi="Cambria Math"/>
                <w:lang w:val="en-US"/>
              </w:rPr>
              <m:t>,</m:t>
            </m:r>
            <m:r>
              <w:rPr>
                <w:rFonts w:ascii="Cambria Math" w:hAnsi="Cambria Math"/>
                <w:lang w:val="en-US"/>
              </w:rPr>
              <m:t>f</m:t>
            </m:r>
            <m:r>
              <m:rPr>
                <m:sty m:val="p"/>
              </m:rPr>
              <w:rPr>
                <w:rFonts w:ascii="Cambria Math" w:hAnsi="Cambria Math"/>
                <w:lang w:val="en-US"/>
              </w:rPr>
              <m:t>,</m:t>
            </m:r>
            <m:r>
              <w:rPr>
                <w:rFonts w:ascii="Cambria Math" w:hAnsi="Cambria Math"/>
                <w:lang w:val="en-US"/>
              </w:rPr>
              <m:t>c</m:t>
            </m:r>
          </m:sub>
        </m:sSub>
        <m:d>
          <m:dPr>
            <m:ctrlPr>
              <w:rPr>
                <w:rFonts w:ascii="Cambria Math" w:hAnsi="Cambria Math"/>
                <w:lang w:val="en-US"/>
              </w:rPr>
            </m:ctrlPr>
          </m:dPr>
          <m:e>
            <m:r>
              <w:rPr>
                <w:rFonts w:ascii="Cambria Math" w:hAnsi="Cambria Math"/>
                <w:lang w:val="en-US"/>
              </w:rPr>
              <m:t>j</m:t>
            </m:r>
          </m:e>
        </m:d>
      </m:oMath>
      <w:r w:rsidRPr="000A1D10">
        <w:rPr>
          <w:lang w:val="en-US"/>
        </w:rPr>
        <w:t xml:space="preserve"> as</w:t>
      </w:r>
    </w:p>
    <w:p w14:paraId="38362470" w14:textId="77777777" w:rsidR="00A90504" w:rsidRPr="000A1D10" w:rsidRDefault="00A90504" w:rsidP="00A90504">
      <w:pPr>
        <w:pStyle w:val="B5"/>
        <w:adjustRightInd w:val="0"/>
        <w:snapToGrid w:val="0"/>
        <w:ind w:left="1704"/>
        <w:rPr>
          <w:lang w:val="en-US"/>
        </w:rPr>
      </w:pPr>
      <w:r w:rsidRPr="000A1D10">
        <w:rPr>
          <w:lang w:val="en-US"/>
        </w:rPr>
        <w:t>-</w:t>
      </w:r>
      <w:r w:rsidRPr="000A1D10">
        <w:rPr>
          <w:lang w:val="en-US"/>
        </w:rPr>
        <w:tab/>
        <w:t xml:space="preserve">first </w:t>
      </w:r>
      <w:r w:rsidRPr="000A1D10">
        <w:rPr>
          <w:i/>
          <w:lang w:val="en-US"/>
        </w:rPr>
        <w:t>P0-PUSCH-AlphaSet</w:t>
      </w:r>
      <w:r w:rsidRPr="000A1D10">
        <w:rPr>
          <w:lang w:val="en-US"/>
        </w:rPr>
        <w:t xml:space="preserve"> in </w:t>
      </w:r>
      <w:r w:rsidRPr="000A1D10">
        <w:rPr>
          <w:i/>
          <w:lang w:val="en-US"/>
        </w:rPr>
        <w:t>p0-AlphaSets</w:t>
      </w:r>
      <w:r w:rsidRPr="000A1D10">
        <w:rPr>
          <w:lang w:val="en-US"/>
        </w:rPr>
        <w:t xml:space="preserve"> if </w:t>
      </w:r>
      <w:r w:rsidRPr="000A1D10">
        <w:rPr>
          <w:iCs/>
          <w:lang w:val="en-US"/>
        </w:rPr>
        <w:t xml:space="preserve">the </w:t>
      </w:r>
      <w:r w:rsidRPr="000A1D10">
        <w:rPr>
          <w:lang w:val="en-US" w:eastAsia="zh-CN"/>
        </w:rPr>
        <w:t>open-loop power control parameter set indication</w:t>
      </w:r>
      <w:r w:rsidRPr="000A1D10">
        <w:rPr>
          <w:iCs/>
          <w:lang w:val="en-US"/>
        </w:rPr>
        <w:t xml:space="preserve"> value is '0' or '00'</w:t>
      </w:r>
    </w:p>
    <w:p w14:paraId="1020AEAA" w14:textId="77777777" w:rsidR="00A90504" w:rsidRPr="000A1D10" w:rsidRDefault="00A90504" w:rsidP="00A90504">
      <w:pPr>
        <w:pStyle w:val="B5"/>
        <w:adjustRightInd w:val="0"/>
        <w:snapToGrid w:val="0"/>
        <w:ind w:left="1704"/>
        <w:rPr>
          <w:iCs/>
          <w:lang w:val="en-US"/>
        </w:rPr>
      </w:pPr>
      <w:r w:rsidRPr="000A1D10">
        <w:rPr>
          <w:lang w:val="en-US"/>
        </w:rPr>
        <w:t>-</w:t>
      </w:r>
      <w:r w:rsidRPr="000A1D10">
        <w:rPr>
          <w:lang w:val="en-US"/>
        </w:rPr>
        <w:tab/>
        <w:t xml:space="preserve">first value in </w:t>
      </w:r>
      <w:r w:rsidRPr="000A1D10">
        <w:rPr>
          <w:i/>
          <w:lang w:val="en-US"/>
        </w:rPr>
        <w:t>P0-PUSCH-Set</w:t>
      </w:r>
      <w:r w:rsidRPr="000A1D10">
        <w:rPr>
          <w:lang w:val="en-US"/>
        </w:rPr>
        <w:t xml:space="preserve"> with the lowest </w:t>
      </w:r>
      <w:r w:rsidRPr="000A1D10">
        <w:rPr>
          <w:i/>
          <w:lang w:val="en-US"/>
        </w:rPr>
        <w:t>p0-PUSCH-SetID</w:t>
      </w:r>
      <w:r w:rsidRPr="000A1D10">
        <w:rPr>
          <w:lang w:val="en-US"/>
        </w:rPr>
        <w:t xml:space="preserve"> value in </w:t>
      </w:r>
      <w:r w:rsidRPr="000A1D10">
        <w:rPr>
          <w:i/>
          <w:iCs/>
          <w:lang w:val="en-US"/>
        </w:rPr>
        <w:t>p0-PUSCH-SetList</w:t>
      </w:r>
      <w:r w:rsidRPr="000A1D10">
        <w:rPr>
          <w:lang w:val="en-US"/>
        </w:rPr>
        <w:t xml:space="preserve">, if </w:t>
      </w:r>
      <w:r w:rsidRPr="000A1D10">
        <w:rPr>
          <w:iCs/>
          <w:lang w:val="en-US"/>
        </w:rPr>
        <w:t xml:space="preserve">the </w:t>
      </w:r>
      <w:r w:rsidRPr="000A1D10">
        <w:rPr>
          <w:lang w:val="en-US" w:eastAsia="zh-CN"/>
        </w:rPr>
        <w:t>open-loop power control parameter set indication</w:t>
      </w:r>
      <w:r w:rsidRPr="000A1D10">
        <w:rPr>
          <w:iCs/>
          <w:lang w:val="en-US"/>
        </w:rPr>
        <w:t xml:space="preserve"> value is '1' or '01'</w:t>
      </w:r>
    </w:p>
    <w:p w14:paraId="50D9584B" w14:textId="77777777" w:rsidR="00A90504" w:rsidRPr="000A1D10" w:rsidRDefault="00A90504" w:rsidP="00A90504">
      <w:pPr>
        <w:pStyle w:val="B5"/>
        <w:adjustRightInd w:val="0"/>
        <w:snapToGrid w:val="0"/>
        <w:ind w:left="1704"/>
        <w:rPr>
          <w:iCs/>
          <w:lang w:val="en-US"/>
        </w:rPr>
      </w:pPr>
      <w:r w:rsidRPr="000A1D10">
        <w:rPr>
          <w:lang w:val="en-US"/>
        </w:rPr>
        <w:t>-</w:t>
      </w:r>
      <w:r w:rsidRPr="000A1D10">
        <w:rPr>
          <w:lang w:val="en-US"/>
        </w:rPr>
        <w:tab/>
        <w:t xml:space="preserve">second value in </w:t>
      </w:r>
      <w:r w:rsidRPr="000A1D10">
        <w:rPr>
          <w:i/>
          <w:lang w:val="en-US"/>
        </w:rPr>
        <w:t>P0-PUSCH-Set</w:t>
      </w:r>
      <w:r w:rsidRPr="000A1D10">
        <w:rPr>
          <w:lang w:val="en-US"/>
        </w:rPr>
        <w:t xml:space="preserve"> with the lowest </w:t>
      </w:r>
      <w:r w:rsidRPr="000A1D10">
        <w:rPr>
          <w:i/>
          <w:lang w:val="en-US"/>
        </w:rPr>
        <w:t>p0-PUSCH-SetID</w:t>
      </w:r>
      <w:r w:rsidRPr="000A1D10">
        <w:rPr>
          <w:lang w:val="en-US"/>
        </w:rPr>
        <w:t xml:space="preserve"> value in </w:t>
      </w:r>
      <w:r w:rsidRPr="000A1D10">
        <w:rPr>
          <w:i/>
          <w:iCs/>
          <w:lang w:val="en-US"/>
        </w:rPr>
        <w:t>p0-PUSCH-SetList</w:t>
      </w:r>
      <w:r w:rsidRPr="000A1D10">
        <w:rPr>
          <w:lang w:val="en-US"/>
        </w:rPr>
        <w:t xml:space="preserve">, if </w:t>
      </w:r>
      <w:r w:rsidRPr="000A1D10">
        <w:rPr>
          <w:iCs/>
          <w:lang w:val="en-US"/>
        </w:rPr>
        <w:t xml:space="preserve">the </w:t>
      </w:r>
      <w:r w:rsidRPr="000A1D10">
        <w:rPr>
          <w:lang w:val="en-US" w:eastAsia="zh-CN"/>
        </w:rPr>
        <w:t>open-loop power control parameter set indication</w:t>
      </w:r>
      <w:r w:rsidRPr="000A1D10">
        <w:rPr>
          <w:iCs/>
          <w:lang w:val="en-US"/>
        </w:rPr>
        <w:t xml:space="preserve"> value is '10' or '11'</w:t>
      </w:r>
    </w:p>
    <w:p w14:paraId="3D1D195A" w14:textId="77777777" w:rsidR="00A90504" w:rsidRPr="000A1D10" w:rsidRDefault="00A90504" w:rsidP="00A90504">
      <w:pPr>
        <w:pStyle w:val="B4"/>
        <w:rPr>
          <w:iCs/>
          <w:lang w:val="en-US"/>
        </w:rPr>
      </w:pPr>
      <w:r w:rsidRPr="000A1D10">
        <w:rPr>
          <w:lang w:val="en-US"/>
        </w:rPr>
        <w:t>-</w:t>
      </w:r>
      <w:r w:rsidRPr="000A1D10">
        <w:rPr>
          <w:lang w:val="en-US"/>
        </w:rPr>
        <w:tab/>
        <w:t xml:space="preserve">else, the UE determines a value of </w:t>
      </w:r>
      <m:oMath>
        <m:sSub>
          <m:sSubPr>
            <m:ctrlPr>
              <w:rPr>
                <w:rFonts w:ascii="Cambria Math" w:hAnsi="Cambria Math"/>
                <w:iCs/>
                <w:lang w:val="en-US"/>
              </w:rPr>
            </m:ctrlPr>
          </m:sSubPr>
          <m:e>
            <m:r>
              <w:rPr>
                <w:rFonts w:ascii="Cambria Math" w:hAnsi="Cambria Math"/>
                <w:lang w:val="en-US"/>
              </w:rPr>
              <m:t>P</m:t>
            </m:r>
          </m:e>
          <m:sub>
            <m:r>
              <m:rPr>
                <m:nor/>
              </m:rPr>
              <w:rPr>
                <w:iCs/>
                <w:lang w:val="en-US"/>
              </w:rPr>
              <m:t>O_UE_PUSCH</m:t>
            </m:r>
            <m:r>
              <m:rPr>
                <m:sty m:val="p"/>
              </m:rPr>
              <w:rPr>
                <w:rFonts w:ascii="Cambria Math" w:hAnsi="Cambria Math"/>
                <w:lang w:val="en-US"/>
              </w:rPr>
              <m:t>,</m:t>
            </m:r>
            <m:r>
              <w:rPr>
                <w:rFonts w:ascii="Cambria Math" w:hAnsi="Cambria Math"/>
                <w:lang w:val="en-US"/>
              </w:rPr>
              <m:t>b</m:t>
            </m:r>
            <m:r>
              <m:rPr>
                <m:sty m:val="p"/>
              </m:rPr>
              <w:rPr>
                <w:rFonts w:ascii="Cambria Math" w:hAnsi="Cambria Math"/>
                <w:lang w:val="en-US"/>
              </w:rPr>
              <m:t>,</m:t>
            </m:r>
            <m:r>
              <w:rPr>
                <w:rFonts w:ascii="Cambria Math" w:hAnsi="Cambria Math"/>
                <w:lang w:val="en-US"/>
              </w:rPr>
              <m:t>f</m:t>
            </m:r>
            <m:r>
              <m:rPr>
                <m:sty m:val="p"/>
              </m:rPr>
              <w:rPr>
                <w:rFonts w:ascii="Cambria Math" w:hAnsi="Cambria Math"/>
                <w:lang w:val="en-US"/>
              </w:rPr>
              <m:t>,</m:t>
            </m:r>
            <m:r>
              <w:rPr>
                <w:rFonts w:ascii="Cambria Math" w:hAnsi="Cambria Math"/>
                <w:lang w:val="en-US"/>
              </w:rPr>
              <m:t>c</m:t>
            </m:r>
          </m:sub>
        </m:sSub>
        <m:d>
          <m:dPr>
            <m:ctrlPr>
              <w:rPr>
                <w:rFonts w:ascii="Cambria Math" w:hAnsi="Cambria Math"/>
                <w:lang w:val="en-US"/>
              </w:rPr>
            </m:ctrlPr>
          </m:dPr>
          <m:e>
            <m:r>
              <w:rPr>
                <w:rFonts w:ascii="Cambria Math" w:hAnsi="Cambria Math"/>
                <w:lang w:val="en-US"/>
              </w:rPr>
              <m:t>j</m:t>
            </m:r>
          </m:e>
        </m:d>
      </m:oMath>
      <w:r w:rsidRPr="000A1D10">
        <w:rPr>
          <w:lang w:val="en-US"/>
        </w:rPr>
        <w:t xml:space="preserve"> from the value of the first </w:t>
      </w:r>
      <w:r w:rsidRPr="000A1D10">
        <w:rPr>
          <w:i/>
          <w:lang w:val="en-US"/>
        </w:rPr>
        <w:t>P0-PUSCH-AlphaSet</w:t>
      </w:r>
      <w:r w:rsidRPr="000A1D10">
        <w:rPr>
          <w:lang w:val="en-US"/>
        </w:rPr>
        <w:t xml:space="preserve"> in </w:t>
      </w:r>
      <w:r w:rsidRPr="000A1D10">
        <w:rPr>
          <w:i/>
          <w:lang w:val="en-US"/>
        </w:rPr>
        <w:t>p0-AlphaSets</w:t>
      </w:r>
      <w:r w:rsidRPr="000A1D10">
        <w:rPr>
          <w:iCs/>
          <w:lang w:val="en-US"/>
        </w:rPr>
        <w:t xml:space="preserve"> </w:t>
      </w:r>
    </w:p>
    <w:p w14:paraId="20625EF3" w14:textId="7787D9E4" w:rsidR="00A90504" w:rsidRDefault="00A90504" w:rsidP="00A90504">
      <w:pPr>
        <w:pStyle w:val="B3"/>
        <w:rPr>
          <w:lang w:val="en-US" w:eastAsia="zh-CN"/>
        </w:rPr>
      </w:pPr>
      <w:r w:rsidRPr="000A1D10">
        <w:rPr>
          <w:lang w:val="en-US" w:eastAsia="zh-CN"/>
        </w:rPr>
        <w:t>-</w:t>
      </w:r>
      <w:r>
        <w:rPr>
          <w:lang w:val="en-US" w:eastAsia="zh-CN"/>
        </w:rPr>
        <w:tab/>
        <w:t>if</w:t>
      </w:r>
      <w:r w:rsidRPr="000A1D10">
        <w:rPr>
          <w:lang w:val="en-US" w:eastAsia="zh-CN"/>
        </w:rPr>
        <w:t xml:space="preserve"> the UE is provided </w:t>
      </w:r>
      <w:r w:rsidRPr="000A1D10">
        <w:rPr>
          <w:iCs/>
          <w:lang w:val="en-US"/>
        </w:rPr>
        <w:t xml:space="preserve">two SRS resource sets in </w:t>
      </w:r>
      <w:r w:rsidRPr="000A1D10">
        <w:rPr>
          <w:i/>
          <w:lang w:val="en-US"/>
        </w:rPr>
        <w:t>srs-ResourceSetToAddModList</w:t>
      </w:r>
      <w:r w:rsidRPr="000A1D10">
        <w:rPr>
          <w:iCs/>
          <w:lang w:val="en-US"/>
        </w:rPr>
        <w:t xml:space="preserve"> or </w:t>
      </w:r>
      <w:r w:rsidRPr="000A1D10">
        <w:rPr>
          <w:i/>
          <w:lang w:val="en-US"/>
        </w:rPr>
        <w:t>srs-ResourceSetToAddModListDCI-0-2</w:t>
      </w:r>
      <w:r w:rsidRPr="000A1D10">
        <w:rPr>
          <w:iCs/>
          <w:lang w:val="en-US"/>
        </w:rPr>
        <w:t xml:space="preserve"> with </w:t>
      </w:r>
      <w:r w:rsidRPr="000A1D10">
        <w:rPr>
          <w:i/>
          <w:lang w:val="en-US"/>
        </w:rPr>
        <w:t>usage</w:t>
      </w:r>
      <w:r w:rsidRPr="000A1D10">
        <w:rPr>
          <w:iCs/>
          <w:lang w:val="en-US"/>
        </w:rPr>
        <w:t xml:space="preserve"> set to 'codebook' or 'nonCodebook'</w:t>
      </w:r>
      <w:r>
        <w:rPr>
          <w:iCs/>
          <w:lang w:val="en-US"/>
        </w:rPr>
        <w:t>,</w:t>
      </w:r>
      <w:r w:rsidRPr="000A1D10">
        <w:rPr>
          <w:iCs/>
          <w:lang w:val="en-US"/>
        </w:rPr>
        <w:t xml:space="preserve"> </w:t>
      </w:r>
      <w:r w:rsidRPr="000A1D10">
        <w:rPr>
          <w:lang w:val="en-US"/>
        </w:rPr>
        <w:t xml:space="preserve">and the PUSCH transmission is scheduled by a DCI format that does not include an SRI field and includes an SRS resource set indicator field with value </w:t>
      </w:r>
      <w:r w:rsidRPr="000A1D10">
        <w:rPr>
          <w:iCs/>
          <w:lang w:val="en-US"/>
        </w:rPr>
        <w:t>'0</w:t>
      </w:r>
      <w:r>
        <w:rPr>
          <w:iCs/>
          <w:lang w:val="en-US"/>
        </w:rPr>
        <w:t>1</w:t>
      </w:r>
      <w:r w:rsidRPr="000A1D10">
        <w:rPr>
          <w:iCs/>
          <w:lang w:val="en-US"/>
        </w:rPr>
        <w:t>'</w:t>
      </w:r>
    </w:p>
    <w:p w14:paraId="78E14E2A" w14:textId="77777777" w:rsidR="00A90504" w:rsidRPr="000A1D10" w:rsidRDefault="00A90504" w:rsidP="00A90504">
      <w:pPr>
        <w:pStyle w:val="B4"/>
        <w:rPr>
          <w:lang w:val="en-US"/>
        </w:rPr>
      </w:pPr>
      <w:r w:rsidRPr="000A1D10">
        <w:rPr>
          <w:lang w:val="en-US"/>
        </w:rPr>
        <w:lastRenderedPageBreak/>
        <w:t>-</w:t>
      </w:r>
      <w:r w:rsidRPr="000A1D10">
        <w:rPr>
          <w:lang w:val="en-US"/>
        </w:rPr>
        <w:tab/>
      </w:r>
      <w:r>
        <w:rPr>
          <w:lang w:val="en-US"/>
        </w:rPr>
        <w:t>if</w:t>
      </w:r>
      <w:r w:rsidRPr="000A1D10">
        <w:rPr>
          <w:lang w:val="en-US"/>
        </w:rPr>
        <w:t xml:space="preserve"> </w:t>
      </w:r>
      <w:r w:rsidRPr="000A1D10">
        <w:rPr>
          <w:i/>
          <w:lang w:val="en-US"/>
        </w:rPr>
        <w:t>P0-PUSCH-Set</w:t>
      </w:r>
      <w:r w:rsidRPr="000A1D10">
        <w:rPr>
          <w:lang w:val="en-US"/>
        </w:rPr>
        <w:t xml:space="preserve"> is provided to the UE and the DCI format includes an </w:t>
      </w:r>
      <w:r w:rsidRPr="000A1D10">
        <w:rPr>
          <w:lang w:val="en-US" w:eastAsia="zh-CN"/>
        </w:rPr>
        <w:t>open-loop power control parameter set indication</w:t>
      </w:r>
      <w:r w:rsidRPr="000A1D10">
        <w:rPr>
          <w:iCs/>
          <w:lang w:val="en-US"/>
        </w:rPr>
        <w:t xml:space="preserve"> field, the UE determines</w:t>
      </w:r>
      <w:r w:rsidRPr="000A1D10">
        <w:rPr>
          <w:lang w:val="en-US"/>
        </w:rPr>
        <w:t xml:space="preserve"> a value of </w:t>
      </w:r>
      <m:oMath>
        <m:sSub>
          <m:sSubPr>
            <m:ctrlPr>
              <w:rPr>
                <w:rFonts w:ascii="Cambria Math" w:hAnsi="Cambria Math"/>
                <w:iCs/>
                <w:lang w:val="en-US"/>
              </w:rPr>
            </m:ctrlPr>
          </m:sSubPr>
          <m:e>
            <m:r>
              <w:rPr>
                <w:rFonts w:ascii="Cambria Math" w:hAnsi="Cambria Math"/>
                <w:lang w:val="en-US"/>
              </w:rPr>
              <m:t>P</m:t>
            </m:r>
          </m:e>
          <m:sub>
            <m:r>
              <m:rPr>
                <m:nor/>
              </m:rPr>
              <w:rPr>
                <w:iCs/>
                <w:lang w:val="en-US"/>
              </w:rPr>
              <m:t>O_UE_PUSCH</m:t>
            </m:r>
            <m:r>
              <m:rPr>
                <m:sty m:val="p"/>
              </m:rPr>
              <w:rPr>
                <w:rFonts w:ascii="Cambria Math" w:hAnsi="Cambria Math"/>
                <w:lang w:val="en-US"/>
              </w:rPr>
              <m:t>,</m:t>
            </m:r>
            <m:r>
              <w:rPr>
                <w:rFonts w:ascii="Cambria Math" w:hAnsi="Cambria Math"/>
                <w:lang w:val="en-US"/>
              </w:rPr>
              <m:t>b</m:t>
            </m:r>
            <m:r>
              <m:rPr>
                <m:sty m:val="p"/>
              </m:rPr>
              <w:rPr>
                <w:rFonts w:ascii="Cambria Math" w:hAnsi="Cambria Math"/>
                <w:lang w:val="en-US"/>
              </w:rPr>
              <m:t>,</m:t>
            </m:r>
            <m:r>
              <w:rPr>
                <w:rFonts w:ascii="Cambria Math" w:hAnsi="Cambria Math"/>
                <w:lang w:val="en-US"/>
              </w:rPr>
              <m:t>f</m:t>
            </m:r>
            <m:r>
              <m:rPr>
                <m:sty m:val="p"/>
              </m:rPr>
              <w:rPr>
                <w:rFonts w:ascii="Cambria Math" w:hAnsi="Cambria Math"/>
                <w:lang w:val="en-US"/>
              </w:rPr>
              <m:t>,</m:t>
            </m:r>
            <m:r>
              <w:rPr>
                <w:rFonts w:ascii="Cambria Math" w:hAnsi="Cambria Math"/>
                <w:lang w:val="en-US"/>
              </w:rPr>
              <m:t>c</m:t>
            </m:r>
          </m:sub>
        </m:sSub>
        <m:d>
          <m:dPr>
            <m:ctrlPr>
              <w:rPr>
                <w:rFonts w:ascii="Cambria Math" w:hAnsi="Cambria Math"/>
                <w:lang w:val="en-US"/>
              </w:rPr>
            </m:ctrlPr>
          </m:dPr>
          <m:e>
            <m:r>
              <w:rPr>
                <w:rFonts w:ascii="Cambria Math" w:hAnsi="Cambria Math"/>
                <w:lang w:val="en-US"/>
              </w:rPr>
              <m:t>j</m:t>
            </m:r>
          </m:e>
        </m:d>
      </m:oMath>
      <w:r w:rsidRPr="000A1D10">
        <w:rPr>
          <w:lang w:val="en-US"/>
        </w:rPr>
        <w:t xml:space="preserve"> as</w:t>
      </w:r>
    </w:p>
    <w:p w14:paraId="7680A2CE" w14:textId="77777777" w:rsidR="00A90504" w:rsidRPr="000A1D10" w:rsidRDefault="00A90504" w:rsidP="00A90504">
      <w:pPr>
        <w:pStyle w:val="B5"/>
        <w:adjustRightInd w:val="0"/>
        <w:snapToGrid w:val="0"/>
        <w:ind w:left="1704"/>
        <w:rPr>
          <w:lang w:val="en-US"/>
        </w:rPr>
      </w:pPr>
      <w:r w:rsidRPr="000A1D10">
        <w:rPr>
          <w:lang w:val="en-US"/>
        </w:rPr>
        <w:t>-</w:t>
      </w:r>
      <w:r w:rsidRPr="000A1D10">
        <w:rPr>
          <w:lang w:val="en-US"/>
        </w:rPr>
        <w:tab/>
        <w:t xml:space="preserve">second </w:t>
      </w:r>
      <w:r w:rsidRPr="000A1D10">
        <w:rPr>
          <w:i/>
          <w:lang w:val="en-US"/>
        </w:rPr>
        <w:t>P0-PUSCH-AlphaSet</w:t>
      </w:r>
      <w:r w:rsidRPr="000A1D10">
        <w:rPr>
          <w:lang w:val="en-US"/>
        </w:rPr>
        <w:t xml:space="preserve"> in </w:t>
      </w:r>
      <w:r w:rsidRPr="000A1D10">
        <w:rPr>
          <w:i/>
          <w:lang w:val="en-US"/>
        </w:rPr>
        <w:t>p0-AlphaSets</w:t>
      </w:r>
      <w:r w:rsidRPr="000A1D10">
        <w:rPr>
          <w:lang w:val="en-US"/>
        </w:rPr>
        <w:t xml:space="preserve"> if </w:t>
      </w:r>
      <w:r w:rsidRPr="000A1D10">
        <w:rPr>
          <w:iCs/>
          <w:lang w:val="en-US"/>
        </w:rPr>
        <w:t xml:space="preserve">the </w:t>
      </w:r>
      <w:r w:rsidRPr="000A1D10">
        <w:rPr>
          <w:lang w:val="en-US" w:eastAsia="zh-CN"/>
        </w:rPr>
        <w:t>open-loop power control parameter set indication</w:t>
      </w:r>
      <w:r w:rsidRPr="000A1D10">
        <w:rPr>
          <w:iCs/>
          <w:lang w:val="en-US"/>
        </w:rPr>
        <w:t xml:space="preserve"> value is '0' or '00'</w:t>
      </w:r>
    </w:p>
    <w:p w14:paraId="3FF2BB49" w14:textId="77777777" w:rsidR="00A90504" w:rsidRPr="000A1D10" w:rsidRDefault="00A90504" w:rsidP="00A90504">
      <w:pPr>
        <w:pStyle w:val="B5"/>
        <w:adjustRightInd w:val="0"/>
        <w:snapToGrid w:val="0"/>
        <w:ind w:left="1704"/>
        <w:rPr>
          <w:iCs/>
          <w:lang w:val="en-US"/>
        </w:rPr>
      </w:pPr>
      <w:r w:rsidRPr="000A1D10">
        <w:rPr>
          <w:lang w:val="en-US"/>
        </w:rPr>
        <w:t>-</w:t>
      </w:r>
      <w:r w:rsidRPr="000A1D10">
        <w:rPr>
          <w:lang w:val="en-US"/>
        </w:rPr>
        <w:tab/>
        <w:t xml:space="preserve">first value in </w:t>
      </w:r>
      <w:r w:rsidRPr="000A1D10">
        <w:rPr>
          <w:i/>
          <w:lang w:val="en-US"/>
        </w:rPr>
        <w:t>P0-PUSCH-Set</w:t>
      </w:r>
      <w:r w:rsidRPr="000A1D10">
        <w:rPr>
          <w:lang w:val="en-US"/>
        </w:rPr>
        <w:t xml:space="preserve"> with the lowest </w:t>
      </w:r>
      <w:r w:rsidRPr="000A1D10">
        <w:rPr>
          <w:i/>
          <w:lang w:val="en-US"/>
        </w:rPr>
        <w:t>p0-PUSCH-SetID</w:t>
      </w:r>
      <w:r w:rsidRPr="000A1D10">
        <w:rPr>
          <w:lang w:val="en-US"/>
        </w:rPr>
        <w:t xml:space="preserve"> value in </w:t>
      </w:r>
      <w:r w:rsidRPr="000A1D10">
        <w:rPr>
          <w:i/>
          <w:iCs/>
          <w:lang w:val="en-US"/>
        </w:rPr>
        <w:t>p0-PUSCH-SetList2</w:t>
      </w:r>
      <w:r w:rsidRPr="000A1D10">
        <w:rPr>
          <w:lang w:val="en-US"/>
        </w:rPr>
        <w:t xml:space="preserve">, if </w:t>
      </w:r>
      <w:r w:rsidRPr="000A1D10">
        <w:rPr>
          <w:iCs/>
          <w:lang w:val="en-US"/>
        </w:rPr>
        <w:t xml:space="preserve">the </w:t>
      </w:r>
      <w:r w:rsidRPr="000A1D10">
        <w:rPr>
          <w:lang w:val="en-US" w:eastAsia="zh-CN"/>
        </w:rPr>
        <w:t>open-loop power control parameter set indication</w:t>
      </w:r>
      <w:r w:rsidRPr="000A1D10">
        <w:rPr>
          <w:iCs/>
          <w:lang w:val="en-US"/>
        </w:rPr>
        <w:t xml:space="preserve"> value is '1' or '01'</w:t>
      </w:r>
    </w:p>
    <w:p w14:paraId="5E07C280" w14:textId="77777777" w:rsidR="00A90504" w:rsidRPr="000A1D10" w:rsidRDefault="00A90504" w:rsidP="00A90504">
      <w:pPr>
        <w:pStyle w:val="B5"/>
        <w:adjustRightInd w:val="0"/>
        <w:snapToGrid w:val="0"/>
        <w:ind w:left="1704"/>
        <w:rPr>
          <w:iCs/>
          <w:lang w:val="en-US"/>
        </w:rPr>
      </w:pPr>
      <w:r w:rsidRPr="000A1D10">
        <w:rPr>
          <w:lang w:val="en-US"/>
        </w:rPr>
        <w:t>-</w:t>
      </w:r>
      <w:r w:rsidRPr="000A1D10">
        <w:rPr>
          <w:lang w:val="en-US"/>
        </w:rPr>
        <w:tab/>
        <w:t xml:space="preserve">second value in </w:t>
      </w:r>
      <w:r w:rsidRPr="000A1D10">
        <w:rPr>
          <w:i/>
          <w:lang w:val="en-US"/>
        </w:rPr>
        <w:t>P0-PUSCH-Set</w:t>
      </w:r>
      <w:r w:rsidRPr="000A1D10">
        <w:rPr>
          <w:lang w:val="en-US"/>
        </w:rPr>
        <w:t xml:space="preserve"> with the lowest </w:t>
      </w:r>
      <w:r w:rsidRPr="000A1D10">
        <w:rPr>
          <w:i/>
          <w:lang w:val="en-US"/>
        </w:rPr>
        <w:t>p0-PUSCH-SetID</w:t>
      </w:r>
      <w:r w:rsidRPr="000A1D10">
        <w:rPr>
          <w:lang w:val="en-US"/>
        </w:rPr>
        <w:t xml:space="preserve"> in </w:t>
      </w:r>
      <w:r w:rsidRPr="000A1D10">
        <w:rPr>
          <w:i/>
          <w:iCs/>
          <w:lang w:val="en-US"/>
        </w:rPr>
        <w:t>p0-PUSCH-SetList2</w:t>
      </w:r>
      <w:r w:rsidRPr="000A1D10">
        <w:rPr>
          <w:lang w:val="en-US"/>
        </w:rPr>
        <w:t xml:space="preserve">, if </w:t>
      </w:r>
      <w:r w:rsidRPr="000A1D10">
        <w:rPr>
          <w:iCs/>
          <w:lang w:val="en-US"/>
        </w:rPr>
        <w:t xml:space="preserve">the </w:t>
      </w:r>
      <w:r w:rsidRPr="000A1D10">
        <w:rPr>
          <w:lang w:val="en-US" w:eastAsia="zh-CN"/>
        </w:rPr>
        <w:t>open-loop power control parameter set indication</w:t>
      </w:r>
      <w:r w:rsidRPr="000A1D10">
        <w:rPr>
          <w:iCs/>
          <w:lang w:val="en-US"/>
        </w:rPr>
        <w:t xml:space="preserve"> value is '10' or '11'</w:t>
      </w:r>
    </w:p>
    <w:p w14:paraId="6ABD8050" w14:textId="3BD19D20" w:rsidR="00A90504" w:rsidRPr="000A1D10" w:rsidRDefault="00A90504" w:rsidP="00A90504">
      <w:pPr>
        <w:pStyle w:val="B4"/>
        <w:rPr>
          <w:iCs/>
          <w:lang w:val="en-US"/>
        </w:rPr>
      </w:pPr>
      <w:r w:rsidRPr="000A1D10">
        <w:rPr>
          <w:lang w:val="en-US"/>
        </w:rPr>
        <w:t>-</w:t>
      </w:r>
      <w:r w:rsidRPr="000A1D10">
        <w:rPr>
          <w:lang w:val="en-US"/>
        </w:rPr>
        <w:tab/>
        <w:t xml:space="preserve">else, the UE determines a value of </w:t>
      </w:r>
      <m:oMath>
        <m:sSub>
          <m:sSubPr>
            <m:ctrlPr>
              <w:rPr>
                <w:rFonts w:ascii="Cambria Math" w:hAnsi="Cambria Math"/>
                <w:iCs/>
                <w:lang w:val="en-US"/>
              </w:rPr>
            </m:ctrlPr>
          </m:sSubPr>
          <m:e>
            <m:r>
              <w:rPr>
                <w:rFonts w:ascii="Cambria Math" w:hAnsi="Cambria Math"/>
                <w:lang w:val="en-US"/>
              </w:rPr>
              <m:t>P</m:t>
            </m:r>
          </m:e>
          <m:sub>
            <m:r>
              <m:rPr>
                <m:nor/>
              </m:rPr>
              <w:rPr>
                <w:iCs/>
                <w:lang w:val="en-US"/>
              </w:rPr>
              <m:t>O_UE_PUSCH</m:t>
            </m:r>
            <m:r>
              <m:rPr>
                <m:sty m:val="p"/>
              </m:rPr>
              <w:rPr>
                <w:rFonts w:ascii="Cambria Math" w:hAnsi="Cambria Math"/>
                <w:lang w:val="en-US"/>
              </w:rPr>
              <m:t>,</m:t>
            </m:r>
            <m:r>
              <w:rPr>
                <w:rFonts w:ascii="Cambria Math" w:hAnsi="Cambria Math"/>
                <w:lang w:val="en-US"/>
              </w:rPr>
              <m:t>b</m:t>
            </m:r>
            <m:r>
              <m:rPr>
                <m:sty m:val="p"/>
              </m:rPr>
              <w:rPr>
                <w:rFonts w:ascii="Cambria Math" w:hAnsi="Cambria Math"/>
                <w:lang w:val="en-US"/>
              </w:rPr>
              <m:t>,</m:t>
            </m:r>
            <m:r>
              <w:rPr>
                <w:rFonts w:ascii="Cambria Math" w:hAnsi="Cambria Math"/>
                <w:lang w:val="en-US"/>
              </w:rPr>
              <m:t>f</m:t>
            </m:r>
            <m:r>
              <m:rPr>
                <m:sty m:val="p"/>
              </m:rPr>
              <w:rPr>
                <w:rFonts w:ascii="Cambria Math" w:hAnsi="Cambria Math"/>
                <w:lang w:val="en-US"/>
              </w:rPr>
              <m:t>,</m:t>
            </m:r>
            <m:r>
              <w:rPr>
                <w:rFonts w:ascii="Cambria Math" w:hAnsi="Cambria Math"/>
                <w:lang w:val="en-US"/>
              </w:rPr>
              <m:t>c</m:t>
            </m:r>
          </m:sub>
        </m:sSub>
        <m:d>
          <m:dPr>
            <m:ctrlPr>
              <w:rPr>
                <w:rFonts w:ascii="Cambria Math" w:hAnsi="Cambria Math"/>
                <w:lang w:val="en-US"/>
              </w:rPr>
            </m:ctrlPr>
          </m:dPr>
          <m:e>
            <m:r>
              <w:rPr>
                <w:rFonts w:ascii="Cambria Math" w:hAnsi="Cambria Math"/>
                <w:lang w:val="en-US"/>
              </w:rPr>
              <m:t>j</m:t>
            </m:r>
          </m:e>
        </m:d>
      </m:oMath>
      <w:r w:rsidRPr="000A1D10">
        <w:rPr>
          <w:lang w:val="en-US"/>
        </w:rPr>
        <w:t xml:space="preserve"> from the value of the </w:t>
      </w:r>
      <w:r w:rsidR="00F31BB9">
        <w:rPr>
          <w:lang w:val="en-US"/>
        </w:rPr>
        <w:t>second</w:t>
      </w:r>
      <w:r w:rsidR="00F31BB9" w:rsidRPr="000A1D10">
        <w:rPr>
          <w:lang w:val="en-US"/>
        </w:rPr>
        <w:t xml:space="preserve"> </w:t>
      </w:r>
      <w:r w:rsidRPr="000A1D10">
        <w:rPr>
          <w:i/>
          <w:lang w:val="en-US"/>
        </w:rPr>
        <w:t>P0-PUSCH-AlphaSet</w:t>
      </w:r>
      <w:r w:rsidRPr="000A1D10">
        <w:rPr>
          <w:lang w:val="en-US"/>
        </w:rPr>
        <w:t xml:space="preserve"> in </w:t>
      </w:r>
      <w:r w:rsidRPr="000A1D10">
        <w:rPr>
          <w:i/>
          <w:lang w:val="en-US"/>
        </w:rPr>
        <w:t>p0-AlphaSets</w:t>
      </w:r>
      <w:r w:rsidRPr="000A1D10">
        <w:rPr>
          <w:iCs/>
          <w:lang w:val="en-US"/>
        </w:rPr>
        <w:t xml:space="preserve"> </w:t>
      </w:r>
    </w:p>
    <w:p w14:paraId="64BB1111" w14:textId="2C86C375" w:rsidR="00EA5731" w:rsidRDefault="00F31749" w:rsidP="00F31749">
      <w:pPr>
        <w:pStyle w:val="B1"/>
        <w:rPr>
          <w:lang w:val="en-US"/>
        </w:rPr>
      </w:pPr>
      <w:r>
        <w:rPr>
          <w:rFonts w:eastAsia="Malgun Gothic"/>
        </w:rPr>
        <w:t>-</w:t>
      </w:r>
      <w:r>
        <w:rPr>
          <w:rFonts w:eastAsia="Malgun Gothic"/>
        </w:rPr>
        <w:tab/>
      </w:r>
      <w:r w:rsidR="00EA5731" w:rsidRPr="00B916EC">
        <w:rPr>
          <w:rFonts w:eastAsia="Malgun Gothic" w:hint="eastAsia"/>
        </w:rPr>
        <w:t>For</w:t>
      </w:r>
      <w:r w:rsidR="00EA5731" w:rsidRPr="00B916EC">
        <w:rPr>
          <w:rFonts w:eastAsia="Malgun Gothic"/>
          <w:lang w:val="en-US"/>
        </w:rPr>
        <w:t xml:space="preserve"> </w:t>
      </w:r>
      <m:oMath>
        <m:sSub>
          <m:sSubPr>
            <m:ctrlPr>
              <w:rPr>
                <w:rFonts w:ascii="Cambria Math" w:hAnsi="Cambria Math"/>
                <w:iCs/>
              </w:rPr>
            </m:ctrlPr>
          </m:sSubPr>
          <m:e>
            <m:r>
              <w:rPr>
                <w:rFonts w:ascii="Cambria Math" w:hAnsi="Cambria Math"/>
              </w:rPr>
              <m:t>α</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oMath>
    </w:p>
    <w:p w14:paraId="778A9902" w14:textId="49052B2E" w:rsidR="008A1513" w:rsidRDefault="007639D4" w:rsidP="008A1513">
      <w:pPr>
        <w:pStyle w:val="B2"/>
        <w:rPr>
          <w:lang w:val="en-US"/>
        </w:rPr>
      </w:pPr>
      <w:r>
        <w:rPr>
          <w:rFonts w:eastAsia="Malgun Gothic"/>
          <w:lang w:val="en-US"/>
        </w:rPr>
        <w:t>-</w:t>
      </w:r>
      <w:r>
        <w:rPr>
          <w:rFonts w:eastAsia="Malgun Gothic"/>
          <w:lang w:val="en-US"/>
        </w:rPr>
        <w:tab/>
      </w:r>
      <w:r w:rsidR="00EA5731">
        <w:rPr>
          <w:rFonts w:eastAsia="Malgun Gothic"/>
          <w:lang w:val="en-US"/>
        </w:rPr>
        <w:t>For</w:t>
      </w:r>
      <w:r w:rsidR="00EA5731" w:rsidRPr="00B916EC">
        <w:t xml:space="preserve"> </w:t>
      </w:r>
      <m:oMath>
        <m:r>
          <w:rPr>
            <w:rFonts w:ascii="Cambria Math" w:hAnsi="Cambria Math"/>
          </w:rPr>
          <m:t>j=0</m:t>
        </m:r>
      </m:oMath>
      <w:r w:rsidR="00EA5731" w:rsidRPr="00B916EC">
        <w:rPr>
          <w:lang w:val="en-US"/>
        </w:rPr>
        <w:t>,</w:t>
      </w:r>
      <w:r w:rsidR="0016293D">
        <w:rPr>
          <w:lang w:val="en-US"/>
        </w:rPr>
        <w:t xml:space="preserve"> </w:t>
      </w:r>
    </w:p>
    <w:p w14:paraId="1B1CC7C8" w14:textId="4928C794" w:rsidR="008A1513" w:rsidRDefault="008A1513" w:rsidP="00590EB5">
      <w:pPr>
        <w:pStyle w:val="B3"/>
        <w:rPr>
          <w:lang w:val="en-US"/>
        </w:rPr>
      </w:pPr>
      <w:r>
        <w:rPr>
          <w:rFonts w:eastAsia="Malgun Gothic"/>
          <w:lang w:val="en-US"/>
        </w:rPr>
        <w:t>-</w:t>
      </w:r>
      <w:r>
        <w:rPr>
          <w:rFonts w:eastAsia="Malgun Gothic"/>
          <w:lang w:val="en-US"/>
        </w:rPr>
        <w:tab/>
        <w:t xml:space="preserve">if </w:t>
      </w:r>
      <m:oMath>
        <m:sSub>
          <m:sSubPr>
            <m:ctrlPr>
              <w:rPr>
                <w:rFonts w:ascii="Cambria Math" w:hAnsi="Cambria Math"/>
              </w:rPr>
            </m:ctrlPr>
          </m:sSubPr>
          <m:e>
            <m:r>
              <w:rPr>
                <w:rFonts w:ascii="Cambria Math" w:hAnsi="Cambria Math"/>
              </w:rPr>
              <m:t>P</m:t>
            </m:r>
          </m:e>
          <m:sub>
            <m:r>
              <m:rPr>
                <m:nor/>
              </m:rPr>
              <m:t>O_NOMINAL_PUSCH,</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(0)=</m:t>
        </m:r>
        <m:sSub>
          <m:sSubPr>
            <m:ctrlPr>
              <w:rPr>
                <w:rFonts w:ascii="Cambria Math" w:hAnsi="Cambria Math"/>
              </w:rPr>
            </m:ctrlPr>
          </m:sSubPr>
          <m:e>
            <m:r>
              <w:rPr>
                <w:rFonts w:ascii="Cambria Math" w:hAnsi="Cambria Math"/>
              </w:rPr>
              <m:t>P</m:t>
            </m:r>
          </m:e>
          <m:sub>
            <m:r>
              <m:rPr>
                <m:nor/>
              </m:rPr>
              <m:t>O_PRE</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MsgA</m:t>
            </m:r>
            <m:r>
              <m:rPr>
                <m:sty m:val="p"/>
              </m:rPr>
              <w:rPr>
                <w:rFonts w:ascii="Cambria Math" w:hAnsi="Cambria Math"/>
              </w:rPr>
              <m:t>_</m:t>
            </m:r>
            <m:r>
              <w:rPr>
                <w:rFonts w:ascii="Cambria Math" w:hAnsi="Cambria Math"/>
              </w:rPr>
              <m:t>PUSCH</m:t>
            </m:r>
          </m:sub>
        </m:sSub>
      </m:oMath>
      <w:r>
        <w:t xml:space="preserve"> and </w:t>
      </w:r>
      <w:r w:rsidRPr="00590EB5">
        <w:rPr>
          <w:i/>
          <w:iCs/>
        </w:rPr>
        <w:t>msgA-Alpha</w:t>
      </w:r>
      <w:r>
        <w:rPr>
          <w:iCs/>
        </w:rPr>
        <w:t xml:space="preserve"> is provided</w:t>
      </w:r>
      <w:r>
        <w:t xml:space="preserve">, </w:t>
      </w:r>
      <m:oMath>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(0)</m:t>
        </m:r>
      </m:oMath>
      <w:r>
        <w:rPr>
          <w:lang w:val="en-US"/>
        </w:rPr>
        <w:t xml:space="preserve"> is the value of </w:t>
      </w:r>
      <w:r w:rsidRPr="00590EB5">
        <w:rPr>
          <w:i/>
        </w:rPr>
        <w:t>msgA-Alpha</w:t>
      </w:r>
    </w:p>
    <w:p w14:paraId="3A29066B" w14:textId="66566F15" w:rsidR="008A1513" w:rsidRDefault="008A1513" w:rsidP="008A1513">
      <w:pPr>
        <w:pStyle w:val="B3"/>
      </w:pPr>
      <w:r>
        <w:rPr>
          <w:rFonts w:eastAsia="Malgun Gothic"/>
          <w:lang w:val="en-US"/>
        </w:rPr>
        <w:t>-</w:t>
      </w:r>
      <w:r>
        <w:rPr>
          <w:rFonts w:eastAsia="Malgun Gothic"/>
          <w:lang w:val="en-US"/>
        </w:rPr>
        <w:tab/>
        <w:t xml:space="preserve">elseif </w:t>
      </w:r>
      <m:oMath>
        <m:sSub>
          <m:sSubPr>
            <m:ctrlPr>
              <w:rPr>
                <w:rFonts w:ascii="Cambria Math" w:hAnsi="Cambria Math"/>
              </w:rPr>
            </m:ctrlPr>
          </m:sSubPr>
          <m:e>
            <m:r>
              <w:rPr>
                <w:rFonts w:ascii="Cambria Math" w:hAnsi="Cambria Math"/>
              </w:rPr>
              <m:t>P</m:t>
            </m:r>
          </m:e>
          <m:sub>
            <m:r>
              <m:rPr>
                <m:nor/>
              </m:rPr>
              <m:t>O_NOMINAL_PUSCH,</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(0)=</m:t>
        </m:r>
        <m:sSub>
          <m:sSubPr>
            <m:ctrlPr>
              <w:rPr>
                <w:rFonts w:ascii="Cambria Math" w:hAnsi="Cambria Math"/>
              </w:rPr>
            </m:ctrlPr>
          </m:sSubPr>
          <m:e>
            <m:r>
              <w:rPr>
                <w:rFonts w:ascii="Cambria Math" w:hAnsi="Cambria Math"/>
              </w:rPr>
              <m:t>P</m:t>
            </m:r>
          </m:e>
          <m:sub>
            <m:r>
              <m:rPr>
                <m:nor/>
              </m:rPr>
              <m:t>O_PRE</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PREAMBLE</m:t>
            </m:r>
            <m:r>
              <m:rPr>
                <m:sty m:val="p"/>
              </m:rPr>
              <w:rPr>
                <w:rFonts w:ascii="Cambria Math" w:hAnsi="Cambria Math"/>
              </w:rPr>
              <m:t>_</m:t>
            </m:r>
            <m:r>
              <w:rPr>
                <w:rFonts w:ascii="Cambria Math" w:hAnsi="Cambria Math"/>
              </w:rPr>
              <m:t>Msg</m:t>
            </m:r>
            <m:r>
              <m:rPr>
                <m:sty m:val="p"/>
              </m:rPr>
              <w:rPr>
                <w:rFonts w:ascii="Cambria Math" w:hAnsi="Cambria Math"/>
              </w:rPr>
              <m:t>3</m:t>
            </m:r>
          </m:sub>
        </m:sSub>
      </m:oMath>
      <w:r>
        <w:t xml:space="preserve"> or </w:t>
      </w:r>
      <w:r w:rsidRPr="00590EB5">
        <w:rPr>
          <w:i/>
          <w:iCs/>
        </w:rPr>
        <w:t>msgA-Alpha</w:t>
      </w:r>
      <w:r>
        <w:rPr>
          <w:iCs/>
        </w:rPr>
        <w:t xml:space="preserve"> is not provided</w:t>
      </w:r>
      <w:r>
        <w:t xml:space="preserve">, and </w:t>
      </w:r>
      <w:r w:rsidRPr="00590EB5">
        <w:rPr>
          <w:i/>
        </w:rPr>
        <w:t>msg3-Alpha</w:t>
      </w:r>
      <w:r>
        <w:rPr>
          <w:lang w:val="en-US"/>
        </w:rPr>
        <w:t xml:space="preserve"> is provided, </w:t>
      </w:r>
      <m:oMath>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(0)</m:t>
        </m:r>
      </m:oMath>
      <w:r w:rsidR="0016293D">
        <w:rPr>
          <w:lang w:val="en-US"/>
        </w:rPr>
        <w:t xml:space="preserve"> is </w:t>
      </w:r>
      <w:r>
        <w:rPr>
          <w:lang w:val="en-US"/>
        </w:rPr>
        <w:t xml:space="preserve">the </w:t>
      </w:r>
      <w:r w:rsidR="0016293D">
        <w:rPr>
          <w:lang w:val="en-US"/>
        </w:rPr>
        <w:t xml:space="preserve">value of </w:t>
      </w:r>
      <w:r w:rsidR="0016293D" w:rsidRPr="0047230A">
        <w:rPr>
          <w:i/>
        </w:rPr>
        <w:t>msg3-Alpha</w:t>
      </w:r>
    </w:p>
    <w:p w14:paraId="52E80AA4" w14:textId="1CF05DA2" w:rsidR="00EA5731" w:rsidRDefault="008A1513" w:rsidP="00590EB5">
      <w:pPr>
        <w:pStyle w:val="B3"/>
        <w:rPr>
          <w:lang w:val="en-US"/>
        </w:rPr>
      </w:pPr>
      <w:r>
        <w:rPr>
          <w:rFonts w:eastAsia="Malgun Gothic"/>
        </w:rPr>
        <w:t>-</w:t>
      </w:r>
      <w:r>
        <w:rPr>
          <w:rFonts w:eastAsia="Malgun Gothic"/>
        </w:rPr>
        <w:tab/>
        <w:t>else</w:t>
      </w:r>
      <w:r w:rsidR="0016293D">
        <w:rPr>
          <w:lang w:val="en-US"/>
        </w:rPr>
        <w:t>,</w:t>
      </w:r>
      <w:r w:rsidR="00EA5731" w:rsidRPr="00B916EC">
        <w:rPr>
          <w:lang w:val="en-US"/>
        </w:rPr>
        <w:t xml:space="preserve"> </w:t>
      </w:r>
      <m:oMath>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m:rPr>
                <m:sty m:val="p"/>
              </m:rPr>
              <w:rPr>
                <w:rFonts w:ascii="Cambria Math" w:hAnsi="Cambria Math"/>
              </w:rPr>
              <m:t>0</m:t>
            </m:r>
          </m:e>
        </m:d>
        <m:r>
          <m:rPr>
            <m:sty m:val="p"/>
          </m:rPr>
          <w:rPr>
            <w:rFonts w:ascii="Cambria Math" w:hAnsi="Cambria Math"/>
          </w:rPr>
          <m:t>=1</m:t>
        </m:r>
      </m:oMath>
    </w:p>
    <w:p w14:paraId="27B557C9" w14:textId="4C44E3FF" w:rsidR="00D036C3" w:rsidRPr="00F415B1" w:rsidRDefault="007639D4" w:rsidP="00D036C3">
      <w:pPr>
        <w:pStyle w:val="B2"/>
        <w:rPr>
          <w:lang w:val="en-US"/>
        </w:rPr>
      </w:pPr>
      <w:r>
        <w:rPr>
          <w:lang w:val="en-US"/>
        </w:rPr>
        <w:t>-</w:t>
      </w:r>
      <w:r>
        <w:rPr>
          <w:lang w:val="en-US"/>
        </w:rPr>
        <w:tab/>
      </w:r>
      <w:r w:rsidR="00EA5731" w:rsidRPr="00B916EC">
        <w:rPr>
          <w:lang w:val="en-US"/>
        </w:rPr>
        <w:t xml:space="preserve">For </w:t>
      </w:r>
      <m:oMath>
        <m:r>
          <w:rPr>
            <w:rFonts w:ascii="Cambria Math" w:hAnsi="Cambria Math"/>
          </w:rPr>
          <m:t>j=1</m:t>
        </m:r>
      </m:oMath>
      <w:r w:rsidR="00EA5731" w:rsidRPr="00B916EC">
        <w:rPr>
          <w:lang w:val="en-US"/>
        </w:rPr>
        <w:t xml:space="preserve">, </w:t>
      </w:r>
    </w:p>
    <w:p w14:paraId="72F574FC" w14:textId="18F0B270" w:rsidR="00D036C3" w:rsidRPr="00F415B1" w:rsidRDefault="00D036C3" w:rsidP="00D036C3">
      <w:pPr>
        <w:pStyle w:val="B3"/>
      </w:pPr>
      <w:r w:rsidRPr="00F415B1">
        <w:rPr>
          <w:lang w:eastAsia="zh-CN"/>
        </w:rPr>
        <w:t>-</w:t>
      </w:r>
      <w:r w:rsidRPr="00F415B1">
        <w:rPr>
          <w:lang w:eastAsia="zh-CN"/>
        </w:rPr>
        <w:tab/>
      </w:r>
      <w:r w:rsidR="00A90504">
        <w:rPr>
          <w:lang w:eastAsia="zh-CN"/>
        </w:rPr>
        <w:t>i</w:t>
      </w:r>
      <w:r w:rsidR="00A90504" w:rsidRPr="00F415B1">
        <w:rPr>
          <w:lang w:eastAsia="zh-CN"/>
        </w:rPr>
        <w:t xml:space="preserve">f </w:t>
      </w:r>
      <w:r w:rsidRPr="00F415B1">
        <w:rPr>
          <w:lang w:eastAsia="zh-CN"/>
        </w:rPr>
        <w:t xml:space="preserve">the UE is provided </w:t>
      </w:r>
      <w:r w:rsidRPr="00F415B1">
        <w:rPr>
          <w:iCs/>
        </w:rPr>
        <w:t xml:space="preserve">two SRS resource sets in </w:t>
      </w:r>
      <w:r w:rsidRPr="00F415B1">
        <w:rPr>
          <w:i/>
        </w:rPr>
        <w:t>srs-ResourceSetToAddModList</w:t>
      </w:r>
      <w:r w:rsidRPr="00F415B1">
        <w:rPr>
          <w:iCs/>
        </w:rPr>
        <w:t xml:space="preserve"> or </w:t>
      </w:r>
      <w:r w:rsidRPr="00F415B1">
        <w:rPr>
          <w:i/>
        </w:rPr>
        <w:t>srs-ResourceSetToAddModListDCI-0-2</w:t>
      </w:r>
      <w:r w:rsidRPr="00F415B1">
        <w:rPr>
          <w:iCs/>
        </w:rPr>
        <w:t xml:space="preserve"> with </w:t>
      </w:r>
      <w:r w:rsidRPr="00F415B1">
        <w:rPr>
          <w:i/>
        </w:rPr>
        <w:t>usage</w:t>
      </w:r>
      <w:r w:rsidRPr="00F415B1">
        <w:rPr>
          <w:iCs/>
        </w:rPr>
        <w:t xml:space="preserve"> set to </w:t>
      </w:r>
      <w:r w:rsidR="005E3B15">
        <w:rPr>
          <w:iCs/>
        </w:rPr>
        <w:t>'</w:t>
      </w:r>
      <w:r w:rsidRPr="00F415B1">
        <w:rPr>
          <w:iCs/>
        </w:rPr>
        <w:t>codebook</w:t>
      </w:r>
      <w:r w:rsidR="005E3B15">
        <w:rPr>
          <w:iCs/>
        </w:rPr>
        <w:t>'</w:t>
      </w:r>
      <w:r w:rsidRPr="00F415B1">
        <w:rPr>
          <w:iCs/>
        </w:rPr>
        <w:t xml:space="preserve"> or </w:t>
      </w:r>
      <w:r w:rsidR="005E3B15">
        <w:rPr>
          <w:iCs/>
        </w:rPr>
        <w:t>'</w:t>
      </w:r>
      <w:r w:rsidRPr="00F415B1">
        <w:rPr>
          <w:iCs/>
        </w:rPr>
        <w:t>nonCodebook</w:t>
      </w:r>
      <w:r w:rsidR="005E3B15">
        <w:rPr>
          <w:iCs/>
        </w:rPr>
        <w:t>'</w:t>
      </w:r>
      <w:r w:rsidRPr="00F415B1">
        <w:rPr>
          <w:iCs/>
        </w:rPr>
        <w:t xml:space="preserve"> and is provided </w:t>
      </w:r>
      <w:r w:rsidRPr="00F415B1">
        <w:rPr>
          <w:i/>
        </w:rPr>
        <w:t>p0-PUSCH-Alpha2</w:t>
      </w:r>
      <w:r w:rsidRPr="00F415B1">
        <w:t xml:space="preserve">, for a retransmission of a configured grant Type 1 PUSCH, or for activation or retransmission of a configured grant Type 2 PUSCH, scheduled by a DCI format that includes an SRS resource set indicator field, and for </w:t>
      </w:r>
      <w:r w:rsidRPr="00F415B1">
        <w:rPr>
          <w:lang w:val="en-US"/>
        </w:rPr>
        <w:t xml:space="preserve">active UL BWP </w:t>
      </w:r>
      <m:oMath>
        <m:r>
          <w:rPr>
            <w:rFonts w:ascii="Cambria Math" w:hAnsi="Cambria Math"/>
            <w:lang w:val="en-US"/>
          </w:rPr>
          <m:t>b</m:t>
        </m:r>
      </m:oMath>
      <w:r w:rsidRPr="00F415B1">
        <w:rPr>
          <w:iCs/>
          <w:lang w:val="en-US"/>
        </w:rPr>
        <w:t xml:space="preserve"> </w:t>
      </w:r>
      <w:r w:rsidRPr="00F415B1">
        <w:rPr>
          <w:lang w:val="en-US"/>
        </w:rPr>
        <w:t xml:space="preserve">of carrier </w:t>
      </w:r>
      <m:oMath>
        <m:r>
          <w:rPr>
            <w:rFonts w:ascii="Cambria Math" w:hAnsi="Cambria Math"/>
          </w:rPr>
          <m:t>f</m:t>
        </m:r>
      </m:oMath>
      <w:r w:rsidRPr="00F415B1">
        <w:rPr>
          <w:iCs/>
          <w:lang w:val="en-US"/>
        </w:rPr>
        <w:t xml:space="preserve"> of</w:t>
      </w:r>
      <w:r w:rsidRPr="00F415B1">
        <w:t xml:space="preserve"> serving cell </w:t>
      </w:r>
    </w:p>
    <w:p w14:paraId="4D95E5E0" w14:textId="75F3ED4D" w:rsidR="00D036C3" w:rsidRPr="00F415B1" w:rsidRDefault="00D036C3" w:rsidP="00D036C3">
      <w:pPr>
        <w:pStyle w:val="B4"/>
        <w:ind w:left="1420"/>
      </w:pPr>
      <w:r w:rsidRPr="00F415B1">
        <w:rPr>
          <w:lang w:val="x-none"/>
        </w:rPr>
        <w:t>-</w:t>
      </w:r>
      <w:r w:rsidRPr="00F415B1">
        <w:rPr>
          <w:lang w:val="x-none"/>
        </w:rPr>
        <w:tab/>
      </w:r>
      <w:r w:rsidR="00A90504">
        <w:t>i</w:t>
      </w:r>
      <w:r w:rsidR="00A90504" w:rsidRPr="00F415B1">
        <w:t xml:space="preserve">f </w:t>
      </w:r>
      <w:r w:rsidRPr="00F415B1">
        <w:t xml:space="preserve">the SRS resource set indicator value is </w:t>
      </w:r>
      <w:r w:rsidR="00A90504">
        <w:t>'</w:t>
      </w:r>
      <w:r w:rsidRPr="00F415B1">
        <w:t>00</w:t>
      </w:r>
      <w:r w:rsidR="00A90504">
        <w:t>'</w:t>
      </w:r>
      <w:r w:rsidRPr="00F415B1">
        <w:t xml:space="preserve">, first </w:t>
      </w:r>
      <m:oMath>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(1)</m:t>
        </m:r>
      </m:oMath>
      <w:r w:rsidRPr="00F415B1">
        <w:rPr>
          <w:lang w:val="en-US"/>
        </w:rPr>
        <w:t xml:space="preserve"> value is provided by </w:t>
      </w:r>
      <w:r w:rsidRPr="00F415B1">
        <w:rPr>
          <w:i/>
        </w:rPr>
        <w:t>p0-PUSCH-Alpha</w:t>
      </w:r>
      <w:r w:rsidRPr="00F415B1">
        <w:rPr>
          <w:i/>
          <w:lang w:val="en-US"/>
        </w:rPr>
        <w:t xml:space="preserve"> </w:t>
      </w:r>
      <w:r w:rsidRPr="00F415B1">
        <w:rPr>
          <w:lang w:val="en-US"/>
        </w:rPr>
        <w:t xml:space="preserve">in </w:t>
      </w:r>
      <w:r w:rsidRPr="00F415B1">
        <w:rPr>
          <w:i/>
        </w:rPr>
        <w:t>ConfiguredGrantConfig</w:t>
      </w:r>
    </w:p>
    <w:p w14:paraId="0AA0A5CF" w14:textId="077D61D4" w:rsidR="00D036C3" w:rsidRPr="00F415B1" w:rsidRDefault="00D036C3" w:rsidP="00D036C3">
      <w:pPr>
        <w:pStyle w:val="B4"/>
        <w:ind w:left="1420"/>
      </w:pPr>
      <w:r w:rsidRPr="00F415B1">
        <w:rPr>
          <w:lang w:val="x-none"/>
        </w:rPr>
        <w:t>-</w:t>
      </w:r>
      <w:r w:rsidRPr="00F415B1">
        <w:rPr>
          <w:lang w:val="x-none"/>
        </w:rPr>
        <w:tab/>
      </w:r>
      <w:r w:rsidR="00A90504">
        <w:t>i</w:t>
      </w:r>
      <w:r w:rsidR="00A90504" w:rsidRPr="00F415B1">
        <w:t xml:space="preserve">f </w:t>
      </w:r>
      <w:r w:rsidRPr="00F415B1">
        <w:t xml:space="preserve">the SRS resource set indicator value is </w:t>
      </w:r>
      <w:r w:rsidR="00A90504">
        <w:t>'</w:t>
      </w:r>
      <w:r w:rsidRPr="00F415B1">
        <w:t>01</w:t>
      </w:r>
      <w:r w:rsidR="00A90504">
        <w:t>'</w:t>
      </w:r>
      <w:r w:rsidRPr="00F415B1">
        <w:t xml:space="preserve">, first </w:t>
      </w:r>
      <m:oMath>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(1)</m:t>
        </m:r>
      </m:oMath>
      <w:r w:rsidRPr="00F415B1">
        <w:t xml:space="preserve"> value </w:t>
      </w:r>
      <w:r w:rsidRPr="00F415B1">
        <w:rPr>
          <w:lang w:val="en-US"/>
        </w:rPr>
        <w:t xml:space="preserve">is provided by </w:t>
      </w:r>
      <w:r w:rsidRPr="00F415B1">
        <w:rPr>
          <w:i/>
        </w:rPr>
        <w:t>p0-PUSCH-Alpha2</w:t>
      </w:r>
      <w:r w:rsidRPr="00F415B1">
        <w:rPr>
          <w:i/>
          <w:lang w:val="en-US"/>
        </w:rPr>
        <w:t xml:space="preserve"> </w:t>
      </w:r>
      <w:r w:rsidRPr="00F415B1">
        <w:rPr>
          <w:lang w:val="en-US"/>
        </w:rPr>
        <w:t xml:space="preserve">in </w:t>
      </w:r>
      <w:r w:rsidRPr="00F415B1">
        <w:rPr>
          <w:i/>
        </w:rPr>
        <w:t>ConfiguredGrantConfig</w:t>
      </w:r>
    </w:p>
    <w:p w14:paraId="5005AB19" w14:textId="39DBECA8" w:rsidR="00D036C3" w:rsidRDefault="00D036C3" w:rsidP="00D036C3">
      <w:pPr>
        <w:pStyle w:val="B4"/>
        <w:ind w:left="1420"/>
        <w:rPr>
          <w:lang w:val="en-US"/>
        </w:rPr>
      </w:pPr>
      <w:r w:rsidRPr="00F415B1">
        <w:rPr>
          <w:lang w:val="x-none"/>
        </w:rPr>
        <w:t>-</w:t>
      </w:r>
      <w:r w:rsidRPr="00F415B1">
        <w:rPr>
          <w:lang w:val="x-none"/>
        </w:rPr>
        <w:tab/>
      </w:r>
      <w:r w:rsidR="00A90504">
        <w:t>i</w:t>
      </w:r>
      <w:r w:rsidR="00A90504" w:rsidRPr="00F415B1">
        <w:t xml:space="preserve">f </w:t>
      </w:r>
      <w:r w:rsidRPr="00F415B1">
        <w:t xml:space="preserve">the SRS resource set indicator value is </w:t>
      </w:r>
      <w:r w:rsidR="00A90504">
        <w:t>'</w:t>
      </w:r>
      <w:r w:rsidRPr="00F415B1">
        <w:t>10</w:t>
      </w:r>
      <w:r w:rsidR="00A90504">
        <w:t>'</w:t>
      </w:r>
      <w:r w:rsidRPr="00F415B1">
        <w:t xml:space="preserve"> or </w:t>
      </w:r>
      <w:r w:rsidR="00A90504">
        <w:t>'</w:t>
      </w:r>
      <w:r w:rsidRPr="00F415B1">
        <w:t>11</w:t>
      </w:r>
      <w:r w:rsidR="00A90504">
        <w:t>'</w:t>
      </w:r>
      <w:r w:rsidRPr="00F415B1">
        <w:t xml:space="preserve">, first and second </w:t>
      </w:r>
      <m:oMath>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(1)</m:t>
        </m:r>
      </m:oMath>
      <w:r w:rsidRPr="00F415B1">
        <w:rPr>
          <w:lang w:val="en-US"/>
        </w:rPr>
        <w:t xml:space="preserve"> values </w:t>
      </w:r>
      <w:r w:rsidR="009A43CD" w:rsidRPr="008F482D">
        <w:t>associated with the first and second SRS resource set</w:t>
      </w:r>
      <w:r w:rsidR="009A43CD" w:rsidRPr="008F482D">
        <w:rPr>
          <w:lang w:val="en-US"/>
        </w:rPr>
        <w:t xml:space="preserve"> </w:t>
      </w:r>
      <w:r w:rsidRPr="00F415B1">
        <w:rPr>
          <w:lang w:val="en-US"/>
        </w:rPr>
        <w:t xml:space="preserve">are respectively provided by </w:t>
      </w:r>
      <w:r w:rsidRPr="00F415B1">
        <w:rPr>
          <w:i/>
        </w:rPr>
        <w:t>p0-PUSCH-Alpha</w:t>
      </w:r>
      <w:r w:rsidRPr="00F415B1">
        <w:rPr>
          <w:i/>
          <w:lang w:val="en-US"/>
        </w:rPr>
        <w:t xml:space="preserve"> </w:t>
      </w:r>
      <w:r w:rsidRPr="00F415B1">
        <w:rPr>
          <w:iCs/>
          <w:lang w:val="en-US"/>
        </w:rPr>
        <w:t xml:space="preserve">and </w:t>
      </w:r>
      <w:r w:rsidRPr="00F415B1">
        <w:rPr>
          <w:i/>
        </w:rPr>
        <w:t>p0-PUSCH-Alpha2</w:t>
      </w:r>
      <w:r w:rsidRPr="00F415B1">
        <w:rPr>
          <w:i/>
          <w:lang w:val="en-US"/>
        </w:rPr>
        <w:t xml:space="preserve"> </w:t>
      </w:r>
      <w:r w:rsidRPr="00F415B1">
        <w:rPr>
          <w:lang w:val="en-US"/>
        </w:rPr>
        <w:t xml:space="preserve">in </w:t>
      </w:r>
      <w:r w:rsidRPr="00F415B1">
        <w:rPr>
          <w:i/>
        </w:rPr>
        <w:t>ConfiguredGrantConfig</w:t>
      </w:r>
    </w:p>
    <w:p w14:paraId="6725D438" w14:textId="7EF52AE6" w:rsidR="00A90504" w:rsidRPr="002B30E4" w:rsidRDefault="008D77EB" w:rsidP="008D77EB">
      <w:pPr>
        <w:pStyle w:val="B3"/>
        <w:rPr>
          <w:lang w:val="en-US" w:eastAsia="zh-CN"/>
        </w:rPr>
      </w:pPr>
      <w:r>
        <w:rPr>
          <w:lang w:val="en-US" w:eastAsia="zh-CN"/>
        </w:rPr>
        <w:t>-</w:t>
      </w:r>
      <w:r>
        <w:rPr>
          <w:lang w:val="en-US" w:eastAsia="zh-CN"/>
        </w:rPr>
        <w:tab/>
      </w:r>
      <w:r w:rsidR="00A90504" w:rsidRPr="002B30E4">
        <w:rPr>
          <w:lang w:val="en-US" w:eastAsia="zh-CN"/>
        </w:rPr>
        <w:t xml:space="preserve">else if the UE is provided </w:t>
      </w:r>
      <w:r w:rsidR="00A90504" w:rsidRPr="002B30E4">
        <w:rPr>
          <w:iCs/>
          <w:lang w:val="en-US" w:eastAsia="zh-CN"/>
        </w:rPr>
        <w:t xml:space="preserve">two SRS resource sets in </w:t>
      </w:r>
      <w:r w:rsidR="00A90504" w:rsidRPr="002B30E4">
        <w:rPr>
          <w:i/>
          <w:lang w:val="en-US" w:eastAsia="zh-CN"/>
        </w:rPr>
        <w:t>srs-ResourceSetToAddModList</w:t>
      </w:r>
      <w:r w:rsidR="00A90504" w:rsidRPr="002B30E4">
        <w:rPr>
          <w:iCs/>
          <w:lang w:val="en-US" w:eastAsia="zh-CN"/>
        </w:rPr>
        <w:t xml:space="preserve"> or </w:t>
      </w:r>
      <w:r w:rsidR="00A90504" w:rsidRPr="002B30E4">
        <w:rPr>
          <w:i/>
          <w:lang w:val="en-US" w:eastAsia="zh-CN"/>
        </w:rPr>
        <w:t>srs-ResourceSetToAddModListDCI-0-2</w:t>
      </w:r>
      <w:r w:rsidR="00A90504" w:rsidRPr="002B30E4">
        <w:rPr>
          <w:iCs/>
          <w:lang w:val="en-US" w:eastAsia="zh-CN"/>
        </w:rPr>
        <w:t xml:space="preserve"> with </w:t>
      </w:r>
      <w:r w:rsidR="00A90504" w:rsidRPr="002B30E4">
        <w:rPr>
          <w:i/>
          <w:lang w:val="en-US" w:eastAsia="zh-CN"/>
        </w:rPr>
        <w:t>usage</w:t>
      </w:r>
      <w:r w:rsidR="00A90504" w:rsidRPr="002B30E4">
        <w:rPr>
          <w:iCs/>
          <w:lang w:val="en-US" w:eastAsia="zh-CN"/>
        </w:rPr>
        <w:t xml:space="preserve"> set to </w:t>
      </w:r>
      <w:r>
        <w:rPr>
          <w:iCs/>
          <w:lang w:val="en-US" w:eastAsia="zh-CN"/>
        </w:rPr>
        <w:t>'</w:t>
      </w:r>
      <w:r w:rsidR="00A90504" w:rsidRPr="002B30E4">
        <w:rPr>
          <w:iCs/>
          <w:lang w:val="en-US" w:eastAsia="zh-CN"/>
        </w:rPr>
        <w:t>codebook</w:t>
      </w:r>
      <w:r>
        <w:rPr>
          <w:iCs/>
          <w:lang w:val="en-US" w:eastAsia="zh-CN"/>
        </w:rPr>
        <w:t>'</w:t>
      </w:r>
      <w:r w:rsidR="00A90504" w:rsidRPr="002B30E4">
        <w:rPr>
          <w:iCs/>
          <w:lang w:val="en-US" w:eastAsia="zh-CN"/>
        </w:rPr>
        <w:t xml:space="preserve"> or </w:t>
      </w:r>
      <w:r>
        <w:rPr>
          <w:iCs/>
          <w:lang w:val="en-US" w:eastAsia="zh-CN"/>
        </w:rPr>
        <w:t>'</w:t>
      </w:r>
      <w:r w:rsidR="00A90504" w:rsidRPr="002B30E4">
        <w:rPr>
          <w:iCs/>
          <w:lang w:val="en-US" w:eastAsia="zh-CN"/>
        </w:rPr>
        <w:t>nonCodebook</w:t>
      </w:r>
      <w:r>
        <w:rPr>
          <w:iCs/>
          <w:lang w:val="en-US" w:eastAsia="zh-CN"/>
        </w:rPr>
        <w:t>'</w:t>
      </w:r>
      <w:r w:rsidR="00A90504" w:rsidRPr="002B30E4">
        <w:rPr>
          <w:iCs/>
          <w:lang w:val="en-US" w:eastAsia="zh-CN"/>
        </w:rPr>
        <w:t xml:space="preserve"> and is provided </w:t>
      </w:r>
      <w:r w:rsidR="00A90504" w:rsidRPr="002B30E4">
        <w:rPr>
          <w:i/>
          <w:lang w:val="en-US" w:eastAsia="zh-CN"/>
        </w:rPr>
        <w:t>p0-PUSCH-Alpha2</w:t>
      </w:r>
      <w:r w:rsidR="00A90504" w:rsidRPr="002B30E4">
        <w:rPr>
          <w:lang w:val="en-US" w:eastAsia="zh-CN"/>
        </w:rPr>
        <w:t xml:space="preserve">, for a transmission of a configured grant Type 1 PUSCH and for active UL BWP </w:t>
      </w:r>
      <m:oMath>
        <m:r>
          <w:rPr>
            <w:rFonts w:ascii="Cambria Math" w:hAnsi="Cambria Math"/>
            <w:lang w:val="en-US" w:eastAsia="zh-CN"/>
          </w:rPr>
          <m:t>b</m:t>
        </m:r>
      </m:oMath>
      <w:r w:rsidR="00A90504" w:rsidRPr="002B30E4">
        <w:rPr>
          <w:iCs/>
          <w:lang w:val="en-US" w:eastAsia="zh-CN"/>
        </w:rPr>
        <w:t xml:space="preserve"> </w:t>
      </w:r>
      <w:r w:rsidR="00A90504" w:rsidRPr="002B30E4">
        <w:rPr>
          <w:lang w:val="en-US" w:eastAsia="zh-CN"/>
        </w:rPr>
        <w:t xml:space="preserve">of carrier </w:t>
      </w:r>
      <m:oMath>
        <m:r>
          <w:rPr>
            <w:rFonts w:ascii="Cambria Math" w:hAnsi="Cambria Math"/>
            <w:lang w:val="en-US" w:eastAsia="zh-CN"/>
          </w:rPr>
          <m:t>f</m:t>
        </m:r>
      </m:oMath>
      <w:r w:rsidR="00A90504" w:rsidRPr="002B30E4">
        <w:rPr>
          <w:iCs/>
          <w:lang w:val="en-US" w:eastAsia="zh-CN"/>
        </w:rPr>
        <w:t xml:space="preserve"> of</w:t>
      </w:r>
      <w:r w:rsidR="00A90504" w:rsidRPr="002B30E4">
        <w:rPr>
          <w:lang w:val="en-US" w:eastAsia="zh-CN"/>
        </w:rPr>
        <w:t xml:space="preserve"> serving cell</w:t>
      </w:r>
    </w:p>
    <w:p w14:paraId="314B5DE8" w14:textId="77777777" w:rsidR="00A90504" w:rsidRPr="002B30E4" w:rsidRDefault="00A90504" w:rsidP="008D77EB">
      <w:pPr>
        <w:pStyle w:val="B4"/>
        <w:rPr>
          <w:lang w:val="en-US" w:eastAsia="zh-CN"/>
        </w:rPr>
      </w:pPr>
      <w:r w:rsidRPr="002B30E4">
        <w:rPr>
          <w:lang w:val="en-US" w:eastAsia="zh-CN"/>
        </w:rPr>
        <w:t>-</w:t>
      </w:r>
      <w:r w:rsidRPr="002B30E4">
        <w:rPr>
          <w:lang w:val="en-US" w:eastAsia="zh-CN"/>
        </w:rPr>
        <w:tab/>
        <w:t xml:space="preserve">a first </w:t>
      </w:r>
      <m:oMath>
        <m:sSub>
          <m:sSubPr>
            <m:ctrlPr>
              <w:rPr>
                <w:rFonts w:ascii="Cambria Math" w:hAnsi="Cambria Math"/>
                <w:lang w:val="en-US" w:eastAsia="zh-CN"/>
              </w:rPr>
            </m:ctrlPr>
          </m:sSubPr>
          <m:e>
            <m:r>
              <w:rPr>
                <w:rFonts w:ascii="Cambria Math" w:hAnsi="Cambria Math"/>
                <w:lang w:val="en-US" w:eastAsia="zh-CN"/>
              </w:rPr>
              <m:t>α</m:t>
            </m:r>
          </m:e>
          <m:sub>
            <m:r>
              <w:rPr>
                <w:rFonts w:ascii="Cambria Math" w:hAnsi="Cambria Math"/>
                <w:lang w:val="en-US" w:eastAsia="zh-CN"/>
              </w:rPr>
              <m:t>b</m:t>
            </m:r>
            <m:r>
              <m:rPr>
                <m:sty m:val="p"/>
              </m:rPr>
              <w:rPr>
                <w:rFonts w:ascii="Cambria Math" w:hAnsi="Cambria Math"/>
                <w:lang w:val="en-US" w:eastAsia="zh-CN"/>
              </w:rPr>
              <m:t>,</m:t>
            </m:r>
            <m:r>
              <w:rPr>
                <w:rFonts w:ascii="Cambria Math" w:hAnsi="Cambria Math"/>
                <w:lang w:val="en-US" w:eastAsia="zh-CN"/>
              </w:rPr>
              <m:t>f</m:t>
            </m:r>
            <m:r>
              <m:rPr>
                <m:sty m:val="p"/>
              </m:rPr>
              <w:rPr>
                <w:rFonts w:ascii="Cambria Math" w:hAnsi="Cambria Math"/>
                <w:lang w:val="en-US" w:eastAsia="zh-CN"/>
              </w:rPr>
              <m:t>,</m:t>
            </m:r>
            <m:r>
              <w:rPr>
                <w:rFonts w:ascii="Cambria Math" w:hAnsi="Cambria Math"/>
                <w:lang w:val="en-US" w:eastAsia="zh-CN"/>
              </w:rPr>
              <m:t>c</m:t>
            </m:r>
          </m:sub>
        </m:sSub>
        <m:r>
          <m:rPr>
            <m:sty m:val="p"/>
          </m:rPr>
          <w:rPr>
            <w:rFonts w:ascii="Cambria Math" w:hAnsi="Cambria Math"/>
            <w:lang w:val="en-US" w:eastAsia="zh-CN"/>
          </w:rPr>
          <m:t>(1)</m:t>
        </m:r>
      </m:oMath>
      <w:r w:rsidRPr="002B30E4">
        <w:rPr>
          <w:lang w:val="en-US" w:eastAsia="zh-CN"/>
        </w:rPr>
        <w:t xml:space="preserve"> value is provided by the </w:t>
      </w:r>
      <w:r w:rsidRPr="002B30E4">
        <w:rPr>
          <w:iCs/>
          <w:lang w:val="en-US" w:eastAsia="zh-CN"/>
        </w:rPr>
        <w:t>value of</w:t>
      </w:r>
      <w:r w:rsidRPr="002B30E4">
        <w:rPr>
          <w:lang w:val="en-US" w:eastAsia="zh-CN"/>
        </w:rPr>
        <w:t xml:space="preserve"> </w:t>
      </w:r>
      <w:r w:rsidRPr="002B30E4">
        <w:rPr>
          <w:i/>
          <w:lang w:val="en-US" w:eastAsia="zh-CN"/>
        </w:rPr>
        <w:t xml:space="preserve">p0-PUSCH-Alpha </w:t>
      </w:r>
      <w:r w:rsidRPr="002B30E4">
        <w:rPr>
          <w:lang w:val="en-US" w:eastAsia="zh-CN"/>
        </w:rPr>
        <w:t xml:space="preserve">in </w:t>
      </w:r>
      <w:r w:rsidRPr="002B30E4">
        <w:rPr>
          <w:i/>
          <w:lang w:val="en-US" w:eastAsia="zh-CN"/>
        </w:rPr>
        <w:t>ConfiguredGrantConfig</w:t>
      </w:r>
      <w:r w:rsidRPr="002B30E4">
        <w:rPr>
          <w:iCs/>
          <w:lang w:val="en-US" w:eastAsia="zh-CN"/>
        </w:rPr>
        <w:t xml:space="preserve"> </w:t>
      </w:r>
      <w:r>
        <w:rPr>
          <w:iCs/>
          <w:lang w:val="en-US" w:eastAsia="zh-CN"/>
        </w:rPr>
        <w:t>that</w:t>
      </w:r>
      <w:r w:rsidRPr="002B30E4">
        <w:rPr>
          <w:iCs/>
          <w:lang w:val="en-US" w:eastAsia="zh-CN"/>
        </w:rPr>
        <w:t xml:space="preserve"> is associated with the firs</w:t>
      </w:r>
      <w:r w:rsidRPr="002B30E4">
        <w:rPr>
          <w:lang w:val="en-US" w:eastAsia="zh-CN"/>
        </w:rPr>
        <w:t xml:space="preserve">t </w:t>
      </w:r>
      <w:r w:rsidRPr="002B30E4">
        <w:rPr>
          <w:i/>
          <w:iCs/>
          <w:lang w:val="en-US" w:eastAsia="zh-CN"/>
        </w:rPr>
        <w:t>srs-ResourceIndicator</w:t>
      </w:r>
      <w:r w:rsidRPr="002B30E4">
        <w:rPr>
          <w:lang w:val="en-US" w:eastAsia="zh-CN"/>
        </w:rPr>
        <w:t xml:space="preserve"> in </w:t>
      </w:r>
      <w:r w:rsidRPr="002B30E4">
        <w:rPr>
          <w:i/>
          <w:iCs/>
          <w:lang w:val="en-US" w:eastAsia="zh-CN"/>
        </w:rPr>
        <w:t>rrc-ConfiguredUplinkGrant</w:t>
      </w:r>
      <w:r w:rsidRPr="002B30E4">
        <w:rPr>
          <w:lang w:val="en-US" w:eastAsia="zh-CN"/>
        </w:rPr>
        <w:t>.</w:t>
      </w:r>
    </w:p>
    <w:p w14:paraId="335E66E6" w14:textId="77777777" w:rsidR="00A90504" w:rsidRPr="002B30E4" w:rsidRDefault="00A90504" w:rsidP="008D77EB">
      <w:pPr>
        <w:pStyle w:val="B4"/>
        <w:rPr>
          <w:lang w:val="en-US" w:eastAsia="zh-CN"/>
        </w:rPr>
      </w:pPr>
      <w:r w:rsidRPr="002B30E4">
        <w:rPr>
          <w:lang w:val="en-US" w:eastAsia="zh-CN"/>
        </w:rPr>
        <w:t>-</w:t>
      </w:r>
      <w:r w:rsidRPr="002B30E4">
        <w:rPr>
          <w:lang w:val="en-US" w:eastAsia="zh-CN"/>
        </w:rPr>
        <w:tab/>
        <w:t xml:space="preserve">a second </w:t>
      </w:r>
      <m:oMath>
        <m:sSub>
          <m:sSubPr>
            <m:ctrlPr>
              <w:rPr>
                <w:rFonts w:ascii="Cambria Math" w:hAnsi="Cambria Math"/>
                <w:lang w:val="en-US" w:eastAsia="zh-CN"/>
              </w:rPr>
            </m:ctrlPr>
          </m:sSubPr>
          <m:e>
            <m:r>
              <w:rPr>
                <w:rFonts w:ascii="Cambria Math" w:hAnsi="Cambria Math"/>
                <w:lang w:val="en-US" w:eastAsia="zh-CN"/>
              </w:rPr>
              <m:t>α</m:t>
            </m:r>
          </m:e>
          <m:sub>
            <m:r>
              <w:rPr>
                <w:rFonts w:ascii="Cambria Math" w:hAnsi="Cambria Math"/>
                <w:lang w:val="en-US" w:eastAsia="zh-CN"/>
              </w:rPr>
              <m:t>b</m:t>
            </m:r>
            <m:r>
              <m:rPr>
                <m:sty m:val="p"/>
              </m:rPr>
              <w:rPr>
                <w:rFonts w:ascii="Cambria Math" w:hAnsi="Cambria Math"/>
                <w:lang w:val="en-US" w:eastAsia="zh-CN"/>
              </w:rPr>
              <m:t>,</m:t>
            </m:r>
            <m:r>
              <w:rPr>
                <w:rFonts w:ascii="Cambria Math" w:hAnsi="Cambria Math"/>
                <w:lang w:val="en-US" w:eastAsia="zh-CN"/>
              </w:rPr>
              <m:t>f</m:t>
            </m:r>
            <m:r>
              <m:rPr>
                <m:sty m:val="p"/>
              </m:rPr>
              <w:rPr>
                <w:rFonts w:ascii="Cambria Math" w:hAnsi="Cambria Math"/>
                <w:lang w:val="en-US" w:eastAsia="zh-CN"/>
              </w:rPr>
              <m:t>,</m:t>
            </m:r>
            <m:r>
              <w:rPr>
                <w:rFonts w:ascii="Cambria Math" w:hAnsi="Cambria Math"/>
                <w:lang w:val="en-US" w:eastAsia="zh-CN"/>
              </w:rPr>
              <m:t>c</m:t>
            </m:r>
          </m:sub>
        </m:sSub>
        <m:r>
          <m:rPr>
            <m:sty m:val="p"/>
          </m:rPr>
          <w:rPr>
            <w:rFonts w:ascii="Cambria Math" w:hAnsi="Cambria Math"/>
            <w:lang w:val="en-US" w:eastAsia="zh-CN"/>
          </w:rPr>
          <m:t>(1)</m:t>
        </m:r>
      </m:oMath>
      <w:r w:rsidRPr="002B30E4">
        <w:rPr>
          <w:lang w:val="en-US" w:eastAsia="zh-CN"/>
        </w:rPr>
        <w:t xml:space="preserve"> value is provided by </w:t>
      </w:r>
      <w:r w:rsidRPr="002B30E4">
        <w:rPr>
          <w:iCs/>
          <w:lang w:val="en-US" w:eastAsia="zh-CN"/>
        </w:rPr>
        <w:t>the value of</w:t>
      </w:r>
      <w:r w:rsidRPr="002B30E4">
        <w:rPr>
          <w:lang w:val="en-US" w:eastAsia="zh-CN"/>
        </w:rPr>
        <w:t xml:space="preserve"> </w:t>
      </w:r>
      <w:r w:rsidRPr="002B30E4">
        <w:rPr>
          <w:i/>
          <w:lang w:val="en-US" w:eastAsia="zh-CN"/>
        </w:rPr>
        <w:t xml:space="preserve">p0-PUSCH-Alpha2 </w:t>
      </w:r>
      <w:r w:rsidRPr="002B30E4">
        <w:rPr>
          <w:lang w:val="en-US" w:eastAsia="zh-CN"/>
        </w:rPr>
        <w:t xml:space="preserve">in </w:t>
      </w:r>
      <w:r w:rsidRPr="002B30E4">
        <w:rPr>
          <w:i/>
          <w:lang w:val="en-US" w:eastAsia="zh-CN"/>
        </w:rPr>
        <w:t>ConfiguredGrantConfig</w:t>
      </w:r>
      <w:r w:rsidRPr="002B30E4">
        <w:rPr>
          <w:iCs/>
          <w:lang w:val="en-US" w:eastAsia="zh-CN"/>
        </w:rPr>
        <w:t xml:space="preserve"> </w:t>
      </w:r>
      <w:r>
        <w:rPr>
          <w:iCs/>
          <w:lang w:val="en-US" w:eastAsia="zh-CN"/>
        </w:rPr>
        <w:t>that</w:t>
      </w:r>
      <w:r w:rsidRPr="002B30E4">
        <w:rPr>
          <w:iCs/>
          <w:lang w:val="en-US" w:eastAsia="zh-CN"/>
        </w:rPr>
        <w:t xml:space="preserve"> is associated with the second</w:t>
      </w:r>
      <w:r w:rsidRPr="002B30E4">
        <w:rPr>
          <w:lang w:val="en-US" w:eastAsia="zh-CN"/>
        </w:rPr>
        <w:t xml:space="preserve"> </w:t>
      </w:r>
      <w:r w:rsidRPr="002B30E4">
        <w:rPr>
          <w:i/>
          <w:iCs/>
          <w:lang w:val="en-US" w:eastAsia="zh-CN"/>
        </w:rPr>
        <w:t>srs-ResourceIndicator</w:t>
      </w:r>
      <w:r w:rsidRPr="002B30E4">
        <w:rPr>
          <w:lang w:val="en-US" w:eastAsia="zh-CN"/>
        </w:rPr>
        <w:t xml:space="preserve"> in </w:t>
      </w:r>
      <w:r w:rsidRPr="002B30E4">
        <w:rPr>
          <w:i/>
          <w:iCs/>
          <w:lang w:val="en-US" w:eastAsia="zh-CN"/>
        </w:rPr>
        <w:t>rrc-ConfiguredUplinkGrant</w:t>
      </w:r>
      <w:r w:rsidRPr="002B30E4">
        <w:rPr>
          <w:lang w:val="en-US" w:eastAsia="zh-CN"/>
        </w:rPr>
        <w:t>.</w:t>
      </w:r>
    </w:p>
    <w:p w14:paraId="479E4252" w14:textId="329C97D8" w:rsidR="00A90504" w:rsidRPr="002B30E4" w:rsidRDefault="008D77EB" w:rsidP="008D77EB">
      <w:pPr>
        <w:pStyle w:val="B3"/>
        <w:rPr>
          <w:lang w:val="en-US" w:eastAsia="zh-CN"/>
        </w:rPr>
      </w:pPr>
      <w:r>
        <w:rPr>
          <w:lang w:val="en-US" w:eastAsia="zh-CN"/>
        </w:rPr>
        <w:t>-</w:t>
      </w:r>
      <w:r>
        <w:rPr>
          <w:lang w:val="en-US" w:eastAsia="zh-CN"/>
        </w:rPr>
        <w:tab/>
      </w:r>
      <w:r w:rsidR="00A90504" w:rsidRPr="002B30E4">
        <w:rPr>
          <w:lang w:val="en-US" w:eastAsia="zh-CN"/>
        </w:rPr>
        <w:t xml:space="preserve">else if the UE is provided two SRS resource sets in </w:t>
      </w:r>
      <w:r w:rsidR="00A90504" w:rsidRPr="002B30E4">
        <w:rPr>
          <w:i/>
          <w:lang w:val="en-US" w:eastAsia="zh-CN"/>
        </w:rPr>
        <w:t>srs-ResourceSetToAddModList</w:t>
      </w:r>
      <w:r w:rsidR="00A90504" w:rsidRPr="002B30E4">
        <w:rPr>
          <w:lang w:val="en-US" w:eastAsia="zh-CN"/>
        </w:rPr>
        <w:t xml:space="preserve"> or </w:t>
      </w:r>
      <w:r w:rsidR="00A90504" w:rsidRPr="002B30E4">
        <w:rPr>
          <w:i/>
          <w:lang w:val="en-US" w:eastAsia="zh-CN"/>
        </w:rPr>
        <w:t>srs-ResourceSetToAddModListDCI-0-2</w:t>
      </w:r>
      <w:r w:rsidR="00A90504" w:rsidRPr="002B30E4">
        <w:rPr>
          <w:lang w:val="en-US" w:eastAsia="zh-CN"/>
        </w:rPr>
        <w:t xml:space="preserve"> with </w:t>
      </w:r>
      <w:r w:rsidR="00A90504" w:rsidRPr="002B30E4">
        <w:rPr>
          <w:i/>
          <w:lang w:val="en-US" w:eastAsia="zh-CN"/>
        </w:rPr>
        <w:t>usage</w:t>
      </w:r>
      <w:r w:rsidR="00A90504" w:rsidRPr="002B30E4">
        <w:rPr>
          <w:lang w:val="en-US" w:eastAsia="zh-CN"/>
        </w:rPr>
        <w:t xml:space="preserve"> set to </w:t>
      </w:r>
      <w:r>
        <w:rPr>
          <w:lang w:val="en-US" w:eastAsia="zh-CN"/>
        </w:rPr>
        <w:t>'</w:t>
      </w:r>
      <w:r w:rsidR="00A90504" w:rsidRPr="002B30E4">
        <w:rPr>
          <w:lang w:val="en-US" w:eastAsia="zh-CN"/>
        </w:rPr>
        <w:t>codebook</w:t>
      </w:r>
      <w:r>
        <w:rPr>
          <w:lang w:val="en-US" w:eastAsia="zh-CN"/>
        </w:rPr>
        <w:t>'</w:t>
      </w:r>
      <w:r w:rsidR="00A90504" w:rsidRPr="002B30E4">
        <w:rPr>
          <w:lang w:val="en-US" w:eastAsia="zh-CN"/>
        </w:rPr>
        <w:t xml:space="preserve"> or </w:t>
      </w:r>
      <w:r>
        <w:rPr>
          <w:lang w:val="en-US" w:eastAsia="zh-CN"/>
        </w:rPr>
        <w:t>'</w:t>
      </w:r>
      <w:r w:rsidR="00A90504" w:rsidRPr="002B30E4">
        <w:rPr>
          <w:lang w:val="en-US" w:eastAsia="zh-CN"/>
        </w:rPr>
        <w:t>nonCodebook</w:t>
      </w:r>
      <w:r>
        <w:rPr>
          <w:lang w:val="en-US" w:eastAsia="zh-CN"/>
        </w:rPr>
        <w:t>'</w:t>
      </w:r>
      <w:r w:rsidR="00A90504" w:rsidRPr="002B30E4">
        <w:rPr>
          <w:lang w:val="en-US" w:eastAsia="zh-CN"/>
        </w:rPr>
        <w:t xml:space="preserve"> and is provided </w:t>
      </w:r>
      <w:r w:rsidR="00A90504" w:rsidRPr="002B30E4">
        <w:rPr>
          <w:i/>
          <w:lang w:val="en-US" w:eastAsia="zh-CN"/>
        </w:rPr>
        <w:t>p0-PUSCH-Alpha2</w:t>
      </w:r>
      <w:r w:rsidR="00A90504" w:rsidRPr="002B30E4">
        <w:rPr>
          <w:lang w:val="en-US" w:eastAsia="zh-CN"/>
        </w:rPr>
        <w:t xml:space="preserve">, for a retransmission of a configured grant Type 1 PUSCH, or for activation or retransmission of a configured grant Type 2 PUSCH, scheduled by a DCI format 0_0 and for active UL BWP </w:t>
      </w:r>
      <m:oMath>
        <m:r>
          <w:rPr>
            <w:rFonts w:ascii="Cambria Math" w:hAnsi="Cambria Math"/>
            <w:lang w:val="en-US" w:eastAsia="zh-CN"/>
          </w:rPr>
          <m:t>b</m:t>
        </m:r>
      </m:oMath>
      <w:r w:rsidR="00A90504" w:rsidRPr="002B30E4">
        <w:rPr>
          <w:lang w:val="en-US" w:eastAsia="zh-CN"/>
        </w:rPr>
        <w:t xml:space="preserve"> of carrier </w:t>
      </w:r>
      <m:oMath>
        <m:r>
          <w:rPr>
            <w:rFonts w:ascii="Cambria Math" w:hAnsi="Cambria Math"/>
            <w:lang w:val="en-US" w:eastAsia="zh-CN"/>
          </w:rPr>
          <m:t>f</m:t>
        </m:r>
      </m:oMath>
      <w:r w:rsidR="00A90504" w:rsidRPr="002B30E4">
        <w:rPr>
          <w:lang w:val="en-US" w:eastAsia="zh-CN"/>
        </w:rPr>
        <w:t xml:space="preserve"> of serving cell</w:t>
      </w:r>
    </w:p>
    <w:p w14:paraId="03D01512" w14:textId="74743360" w:rsidR="00A90504" w:rsidRPr="00A90504" w:rsidRDefault="00A90504" w:rsidP="008D77EB">
      <w:pPr>
        <w:pStyle w:val="B4"/>
        <w:rPr>
          <w:lang w:val="en-US" w:eastAsia="zh-CN"/>
        </w:rPr>
      </w:pPr>
      <w:r w:rsidRPr="002B30E4">
        <w:rPr>
          <w:lang w:val="en-US" w:eastAsia="zh-CN"/>
        </w:rPr>
        <w:t>-</w:t>
      </w:r>
      <w:r w:rsidRPr="002B30E4">
        <w:rPr>
          <w:lang w:val="en-US" w:eastAsia="zh-CN"/>
        </w:rPr>
        <w:tab/>
        <w:t>a first</w:t>
      </w:r>
      <w:r w:rsidRPr="002B30E4">
        <w:rPr>
          <w:lang w:val="en-US" w:eastAsia="zh-CN"/>
        </w:rPr>
        <w:fldChar w:fldCharType="begin"/>
      </w:r>
      <w:r w:rsidRPr="002B30E4">
        <w:rPr>
          <w:lang w:val="en-US" w:eastAsia="zh-CN"/>
        </w:rPr>
        <w:instrText xml:space="preserve"> QUOTE </w:instrText>
      </w:r>
      <m:oMath>
        <m:sSub>
          <m:sSubPr>
            <m:ctrlPr>
              <w:rPr>
                <w:rFonts w:ascii="Cambria Math" w:hAnsi="Cambria Math"/>
                <w:iCs/>
                <w:lang w:val="en-US" w:eastAsia="zh-CN"/>
              </w:rPr>
            </m:ctrlPr>
          </m:sSubPr>
          <m:e>
            <m:r>
              <m:rPr>
                <m:sty m:val="p"/>
              </m:rPr>
              <w:rPr>
                <w:rFonts w:ascii="Cambria Math" w:hAnsi="Cambria Math"/>
                <w:lang w:val="en-US" w:eastAsia="zh-CN"/>
              </w:rPr>
              <m:t>P</m:t>
            </m:r>
          </m:e>
          <m:sub>
            <m:r>
              <m:rPr>
                <m:nor/>
              </m:rPr>
              <w:rPr>
                <w:iCs/>
                <w:lang w:val="en-US" w:eastAsia="zh-CN"/>
              </w:rPr>
              <m:t>O_UE_PUSCH</m:t>
            </m:r>
            <m:r>
              <m:rPr>
                <m:sty m:val="p"/>
              </m:rPr>
              <w:rPr>
                <w:rFonts w:ascii="Cambria Math" w:hAnsi="Cambria Math"/>
                <w:lang w:val="en-US" w:eastAsia="zh-CN"/>
              </w:rPr>
              <m:t>,b,f,c</m:t>
            </m:r>
          </m:sub>
        </m:sSub>
        <m:d>
          <m:dPr>
            <m:ctrlPr>
              <w:rPr>
                <w:rFonts w:ascii="Cambria Math" w:hAnsi="Cambria Math"/>
                <w:lang w:val="en-US" w:eastAsia="zh-CN"/>
              </w:rPr>
            </m:ctrlPr>
          </m:dPr>
          <m:e>
            <m:r>
              <m:rPr>
                <m:sty m:val="p"/>
              </m:rPr>
              <w:rPr>
                <w:rFonts w:ascii="Cambria Math" w:hAnsi="Cambria Math"/>
                <w:lang w:val="en-US" w:eastAsia="zh-CN"/>
              </w:rPr>
              <m:t>1</m:t>
            </m:r>
          </m:e>
        </m:d>
      </m:oMath>
      <w:r w:rsidRPr="002B30E4">
        <w:rPr>
          <w:lang w:val="en-US" w:eastAsia="zh-CN"/>
        </w:rPr>
        <w:instrText xml:space="preserve"> </w:instrText>
      </w:r>
      <w:r w:rsidRPr="002B30E4">
        <w:rPr>
          <w:lang w:val="en-US" w:eastAsia="zh-CN"/>
        </w:rPr>
        <w:fldChar w:fldCharType="end"/>
      </w:r>
      <w:r w:rsidRPr="002B30E4">
        <w:rPr>
          <w:lang w:val="en-US" w:eastAsia="zh-CN"/>
        </w:rPr>
        <w:t xml:space="preserve"> </w:t>
      </w:r>
      <m:oMath>
        <m:sSub>
          <m:sSubPr>
            <m:ctrlPr>
              <w:rPr>
                <w:rFonts w:ascii="Cambria Math" w:hAnsi="Cambria Math"/>
                <w:lang w:val="en-US" w:eastAsia="zh-CN"/>
              </w:rPr>
            </m:ctrlPr>
          </m:sSubPr>
          <m:e>
            <m:r>
              <w:rPr>
                <w:rFonts w:ascii="Cambria Math" w:hAnsi="Cambria Math"/>
                <w:lang w:val="en-US" w:eastAsia="zh-CN"/>
              </w:rPr>
              <m:t>α</m:t>
            </m:r>
          </m:e>
          <m:sub>
            <m:r>
              <w:rPr>
                <w:rFonts w:ascii="Cambria Math" w:hAnsi="Cambria Math"/>
                <w:lang w:val="en-US" w:eastAsia="zh-CN"/>
              </w:rPr>
              <m:t>b</m:t>
            </m:r>
            <m:r>
              <m:rPr>
                <m:sty m:val="p"/>
              </m:rPr>
              <w:rPr>
                <w:rFonts w:ascii="Cambria Math" w:hAnsi="Cambria Math"/>
                <w:lang w:val="en-US" w:eastAsia="zh-CN"/>
              </w:rPr>
              <m:t>,</m:t>
            </m:r>
            <m:r>
              <w:rPr>
                <w:rFonts w:ascii="Cambria Math" w:hAnsi="Cambria Math"/>
                <w:lang w:val="en-US" w:eastAsia="zh-CN"/>
              </w:rPr>
              <m:t>f</m:t>
            </m:r>
            <m:r>
              <m:rPr>
                <m:sty m:val="p"/>
              </m:rPr>
              <w:rPr>
                <w:rFonts w:ascii="Cambria Math" w:hAnsi="Cambria Math"/>
                <w:lang w:val="en-US" w:eastAsia="zh-CN"/>
              </w:rPr>
              <m:t>,</m:t>
            </m:r>
            <m:r>
              <w:rPr>
                <w:rFonts w:ascii="Cambria Math" w:hAnsi="Cambria Math"/>
                <w:lang w:val="en-US" w:eastAsia="zh-CN"/>
              </w:rPr>
              <m:t>c</m:t>
            </m:r>
          </m:sub>
        </m:sSub>
        <m:r>
          <m:rPr>
            <m:sty m:val="p"/>
          </m:rPr>
          <w:rPr>
            <w:rFonts w:ascii="Cambria Math" w:hAnsi="Cambria Math"/>
            <w:lang w:val="en-US" w:eastAsia="zh-CN"/>
          </w:rPr>
          <m:t>(1)</m:t>
        </m:r>
      </m:oMath>
      <w:r>
        <w:rPr>
          <w:lang w:val="en-US" w:eastAsia="zh-CN"/>
        </w:rPr>
        <w:t xml:space="preserve"> value</w:t>
      </w:r>
      <w:r w:rsidRPr="002B30E4">
        <w:rPr>
          <w:lang w:val="en-US" w:eastAsia="zh-CN"/>
        </w:rPr>
        <w:t xml:space="preserve"> is provided by the </w:t>
      </w:r>
      <w:r w:rsidRPr="002B30E4">
        <w:rPr>
          <w:iCs/>
          <w:lang w:val="en-US" w:eastAsia="zh-CN"/>
        </w:rPr>
        <w:t>value of</w:t>
      </w:r>
      <w:r w:rsidRPr="002B30E4">
        <w:rPr>
          <w:lang w:val="en-US" w:eastAsia="zh-CN"/>
        </w:rPr>
        <w:t xml:space="preserve"> </w:t>
      </w:r>
      <w:r w:rsidRPr="002B30E4">
        <w:rPr>
          <w:i/>
          <w:lang w:val="en-US" w:eastAsia="zh-CN"/>
        </w:rPr>
        <w:t xml:space="preserve">p0-PUSCH-Alpha </w:t>
      </w:r>
      <w:r w:rsidRPr="002B30E4">
        <w:rPr>
          <w:lang w:val="en-US" w:eastAsia="zh-CN"/>
        </w:rPr>
        <w:t xml:space="preserve">in </w:t>
      </w:r>
      <w:r w:rsidRPr="002B30E4">
        <w:rPr>
          <w:i/>
          <w:lang w:val="en-US" w:eastAsia="zh-CN"/>
        </w:rPr>
        <w:t>ConfiguredGrantConfig.</w:t>
      </w:r>
    </w:p>
    <w:p w14:paraId="2AED1244" w14:textId="3628C7A2" w:rsidR="00EA5731" w:rsidRDefault="00D036C3" w:rsidP="008D77EB">
      <w:pPr>
        <w:pStyle w:val="B3"/>
        <w:rPr>
          <w:lang w:val="en-US"/>
        </w:rPr>
      </w:pPr>
      <w:r w:rsidRPr="00F415B1">
        <w:lastRenderedPageBreak/>
        <w:t>-</w:t>
      </w:r>
      <w:r w:rsidRPr="00F415B1">
        <w:tab/>
        <w:t xml:space="preserve">else </w:t>
      </w:r>
      <m:oMath>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(1)</m:t>
        </m:r>
      </m:oMath>
      <w:r w:rsidR="00EA5731" w:rsidRPr="00B916EC">
        <w:rPr>
          <w:lang w:val="en-US"/>
        </w:rPr>
        <w:t xml:space="preserve"> is provided by </w:t>
      </w:r>
      <w:r w:rsidR="0016293D" w:rsidRPr="00B916EC">
        <w:rPr>
          <w:i/>
          <w:lang w:val="en-US"/>
        </w:rPr>
        <w:t>alpha</w:t>
      </w:r>
      <w:r w:rsidR="0016293D" w:rsidRPr="00B916EC" w:rsidDel="00BE0954">
        <w:rPr>
          <w:i/>
          <w:lang w:val="en-US"/>
        </w:rPr>
        <w:t xml:space="preserve"> </w:t>
      </w:r>
      <w:r w:rsidR="0016293D">
        <w:rPr>
          <w:lang w:val="en-US"/>
        </w:rPr>
        <w:t xml:space="preserve">obtained from </w:t>
      </w:r>
      <w:r w:rsidR="0016293D" w:rsidRPr="00DD20CD">
        <w:rPr>
          <w:i/>
        </w:rPr>
        <w:t>p0-PUSCH-Alpha</w:t>
      </w:r>
      <w:r w:rsidR="0016293D" w:rsidRPr="003F7BE1">
        <w:rPr>
          <w:lang w:val="en-US"/>
        </w:rPr>
        <w:t xml:space="preserve"> </w:t>
      </w:r>
      <w:r w:rsidR="0016293D" w:rsidRPr="00A124FF">
        <w:rPr>
          <w:lang w:val="en-US"/>
        </w:rPr>
        <w:t xml:space="preserve">in </w:t>
      </w:r>
      <w:r w:rsidR="0016293D" w:rsidRPr="00692B06">
        <w:rPr>
          <w:i/>
        </w:rPr>
        <w:t>ConfiguredGrantConfig</w:t>
      </w:r>
      <w:r w:rsidR="0016293D">
        <w:rPr>
          <w:lang w:val="en-US"/>
        </w:rPr>
        <w:t xml:space="preserve"> providing an index </w:t>
      </w:r>
      <w:r w:rsidR="0016293D" w:rsidRPr="00747E15">
        <w:rPr>
          <w:i/>
        </w:rPr>
        <w:t>P0-PUSCH-AlphaSetId</w:t>
      </w:r>
      <w:r w:rsidR="0016293D">
        <w:rPr>
          <w:lang w:val="en-US"/>
        </w:rPr>
        <w:t xml:space="preserve"> to a set of</w:t>
      </w:r>
      <w:r w:rsidR="0016293D" w:rsidRPr="00B916EC">
        <w:rPr>
          <w:lang w:val="en-US"/>
        </w:rPr>
        <w:t xml:space="preserve"> </w:t>
      </w:r>
      <w:r w:rsidR="0016293D" w:rsidRPr="00747E15">
        <w:rPr>
          <w:i/>
        </w:rPr>
        <w:t>P0-PUSCH-AlphaSet</w:t>
      </w:r>
      <w:r w:rsidR="00A66624" w:rsidRPr="00DF2F9C">
        <w:rPr>
          <w:iCs/>
          <w:lang w:val="en-US"/>
        </w:rPr>
        <w:t>,</w:t>
      </w:r>
      <w:r w:rsidR="00A66624">
        <w:rPr>
          <w:iCs/>
          <w:lang w:val="en-US"/>
        </w:rPr>
        <w:t xml:space="preserve"> or by </w:t>
      </w:r>
      <w:r w:rsidR="00334424" w:rsidRPr="004D384D">
        <w:rPr>
          <w:i/>
          <w:lang w:val="en-US"/>
        </w:rPr>
        <w:t>sdt</w:t>
      </w:r>
      <w:r w:rsidR="00334424">
        <w:rPr>
          <w:iCs/>
          <w:lang w:val="en-US"/>
        </w:rPr>
        <w:t>-</w:t>
      </w:r>
      <w:r w:rsidR="00334424">
        <w:rPr>
          <w:i/>
          <w:lang w:val="en-US"/>
        </w:rPr>
        <w:t>Alpha</w:t>
      </w:r>
      <w:r w:rsidR="00A66624">
        <w:rPr>
          <w:iCs/>
          <w:lang w:val="en-US"/>
        </w:rPr>
        <w:t xml:space="preserve"> for a PUSCH (re)transmission as described in clause 19.1,</w:t>
      </w:r>
      <w:r w:rsidR="00EA5731" w:rsidRPr="00B916EC">
        <w:t xml:space="preserve"> for </w:t>
      </w:r>
      <w:r w:rsidR="00E51F04">
        <w:rPr>
          <w:lang w:val="en-US"/>
        </w:rPr>
        <w:t xml:space="preserve">active </w:t>
      </w:r>
      <w:r w:rsidR="00EA5731">
        <w:rPr>
          <w:lang w:val="en-US"/>
        </w:rPr>
        <w:t xml:space="preserve">UL BWP </w:t>
      </w:r>
      <m:oMath>
        <m:r>
          <w:rPr>
            <w:rFonts w:ascii="Cambria Math" w:hAnsi="Cambria Math"/>
          </w:rPr>
          <m:t>b</m:t>
        </m:r>
      </m:oMath>
      <w:r w:rsidR="00EA5731">
        <w:rPr>
          <w:iCs/>
          <w:lang w:val="en-US"/>
        </w:rPr>
        <w:t xml:space="preserve"> </w:t>
      </w:r>
      <w:r w:rsidR="00EA5731">
        <w:rPr>
          <w:lang w:val="en-US"/>
        </w:rPr>
        <w:t xml:space="preserve">of </w:t>
      </w:r>
      <w:r w:rsidR="00EA5731" w:rsidRPr="00B916EC">
        <w:rPr>
          <w:lang w:val="en-US"/>
        </w:rPr>
        <w:t xml:space="preserve">carrier </w:t>
      </w:r>
      <m:oMath>
        <m:r>
          <w:rPr>
            <w:rFonts w:ascii="Cambria Math" w:hAnsi="Cambria Math"/>
            <w:lang w:val="en-US"/>
          </w:rPr>
          <m:t>f</m:t>
        </m:r>
      </m:oMath>
      <w:r w:rsidR="00EA5731" w:rsidRPr="00B916EC">
        <w:rPr>
          <w:iCs/>
          <w:lang w:val="en-US"/>
        </w:rPr>
        <w:t xml:space="preserve"> of</w:t>
      </w:r>
      <w:r w:rsidR="00EA5731" w:rsidRPr="00B916EC">
        <w:t xml:space="preserve"> serving cell </w:t>
      </w:r>
      <m:oMath>
        <m:r>
          <w:rPr>
            <w:rFonts w:ascii="Cambria Math" w:hAnsi="Cambria Math"/>
          </w:rPr>
          <m:t>c</m:t>
        </m:r>
      </m:oMath>
    </w:p>
    <w:p w14:paraId="63E288A0" w14:textId="174D9C7F" w:rsidR="00EA5731" w:rsidRDefault="007639D4" w:rsidP="0009732E">
      <w:pPr>
        <w:pStyle w:val="B2"/>
        <w:rPr>
          <w:lang w:val="en-US"/>
        </w:rPr>
      </w:pPr>
      <w:r>
        <w:rPr>
          <w:lang w:val="en-US"/>
        </w:rPr>
        <w:t>-</w:t>
      </w:r>
      <w:r>
        <w:rPr>
          <w:lang w:val="en-US"/>
        </w:rPr>
        <w:tab/>
      </w:r>
      <w:r w:rsidR="00EA5731" w:rsidRPr="00B916EC">
        <w:rPr>
          <w:lang w:val="en-US"/>
        </w:rPr>
        <w:t xml:space="preserve">For </w:t>
      </w:r>
      <m:oMath>
        <m:r>
          <w:rPr>
            <w:rFonts w:ascii="Cambria Math" w:hAnsi="Cambria Math"/>
          </w:rPr>
          <m:t>j</m:t>
        </m:r>
        <m:r>
          <w:rPr>
            <w:rFonts w:ascii="Cambria Math" w:hAnsi="Cambria Math"/>
            <w:lang w:val="en-US"/>
          </w:rPr>
          <m:t>∈</m:t>
        </m:r>
        <m:sSub>
          <m:sSubPr>
            <m:ctrlPr>
              <w:rPr>
                <w:rFonts w:ascii="Cambria Math" w:hAnsi="Cambria Math"/>
                <w:iCs/>
              </w:rPr>
            </m:ctrlPr>
          </m:sSubPr>
          <m:e>
            <m:r>
              <w:rPr>
                <w:rFonts w:ascii="Cambria Math" w:hAnsi="Cambria Math"/>
              </w:rPr>
              <m:t>S</m:t>
            </m:r>
          </m:e>
          <m:sub>
            <m:r>
              <w:rPr>
                <w:rFonts w:ascii="Cambria Math"/>
              </w:rPr>
              <m:t>J</m:t>
            </m:r>
          </m:sub>
        </m:sSub>
      </m:oMath>
      <w:r w:rsidR="00EA5731" w:rsidRPr="00B916EC">
        <w:rPr>
          <w:lang w:val="en-US"/>
        </w:rPr>
        <w:t xml:space="preserve">, a set of </w:t>
      </w:r>
      <m:oMath>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00EA5731" w:rsidRPr="00B916EC">
        <w:rPr>
          <w:lang w:val="en-US"/>
        </w:rPr>
        <w:t xml:space="preserve"> values </w:t>
      </w:r>
      <w:r w:rsidR="00EA5731" w:rsidRPr="00B916EC">
        <w:t xml:space="preserve">are </w:t>
      </w:r>
      <w:r w:rsidR="00EA5731" w:rsidRPr="00B916EC">
        <w:rPr>
          <w:lang w:val="en-US"/>
        </w:rPr>
        <w:t>provided</w:t>
      </w:r>
      <w:r w:rsidR="00EA5731" w:rsidRPr="00B916EC">
        <w:t xml:space="preserve"> </w:t>
      </w:r>
      <w:r w:rsidR="00EA5731" w:rsidRPr="00B916EC">
        <w:rPr>
          <w:lang w:val="en-US"/>
        </w:rPr>
        <w:t>by</w:t>
      </w:r>
      <w:r w:rsidR="00EA5731" w:rsidRPr="00B916EC">
        <w:t xml:space="preserve"> </w:t>
      </w:r>
      <w:r w:rsidR="00EA5731" w:rsidRPr="00B916EC">
        <w:rPr>
          <w:lang w:val="en-US"/>
        </w:rPr>
        <w:t xml:space="preserve">a set of </w:t>
      </w:r>
      <w:r w:rsidR="0016293D">
        <w:rPr>
          <w:i/>
          <w:lang w:val="en-US"/>
        </w:rPr>
        <w:t>alpha</w:t>
      </w:r>
      <w:r w:rsidR="0016293D" w:rsidRPr="00B916EC">
        <w:t xml:space="preserve"> </w:t>
      </w:r>
      <w:r w:rsidR="0016293D">
        <w:t xml:space="preserve">in </w:t>
      </w:r>
      <w:r w:rsidR="0016293D" w:rsidRPr="00562201">
        <w:rPr>
          <w:i/>
        </w:rPr>
        <w:t>P0-PUSCH-AlphaSet</w:t>
      </w:r>
      <w:r w:rsidR="0016293D" w:rsidRPr="005C75EF">
        <w:t xml:space="preserve"> </w:t>
      </w:r>
      <w:r w:rsidR="0016293D">
        <w:rPr>
          <w:lang w:val="en-US"/>
        </w:rPr>
        <w:t>indicated by</w:t>
      </w:r>
      <w:r w:rsidR="0016293D" w:rsidRPr="00B916EC">
        <w:t xml:space="preserve"> a respective</w:t>
      </w:r>
      <w:r w:rsidR="0016293D">
        <w:t xml:space="preserve"> set of</w:t>
      </w:r>
      <w:r w:rsidR="0016293D" w:rsidRPr="00B916EC">
        <w:t xml:space="preserve"> </w:t>
      </w:r>
      <w:r w:rsidR="0016293D" w:rsidRPr="000E4EAF">
        <w:rPr>
          <w:i/>
        </w:rPr>
        <w:t>p0-PUSCH-AlphaSetId</w:t>
      </w:r>
      <w:r w:rsidR="00EA5731" w:rsidRPr="00B916EC">
        <w:t xml:space="preserve"> for</w:t>
      </w:r>
      <w:r w:rsidR="00EA5731">
        <w:rPr>
          <w:lang w:val="en-US"/>
        </w:rPr>
        <w:t xml:space="preserve"> </w:t>
      </w:r>
      <w:r w:rsidR="00E51F04">
        <w:rPr>
          <w:lang w:val="en-US"/>
        </w:rPr>
        <w:t xml:space="preserve">active </w:t>
      </w:r>
      <w:r w:rsidR="00EA5731">
        <w:rPr>
          <w:lang w:val="en-US"/>
        </w:rPr>
        <w:t xml:space="preserve">UL BWP </w:t>
      </w:r>
      <m:oMath>
        <m:r>
          <w:rPr>
            <w:rFonts w:ascii="Cambria Math" w:hAnsi="Cambria Math"/>
          </w:rPr>
          <m:t>b</m:t>
        </m:r>
      </m:oMath>
      <w:r w:rsidR="00EA5731">
        <w:rPr>
          <w:iCs/>
          <w:lang w:val="en-US"/>
        </w:rPr>
        <w:t xml:space="preserve"> </w:t>
      </w:r>
      <w:r w:rsidR="00EA5731">
        <w:rPr>
          <w:lang w:val="en-US"/>
        </w:rPr>
        <w:t>of</w:t>
      </w:r>
      <w:r w:rsidR="00EA5731" w:rsidRPr="00B916EC">
        <w:t xml:space="preserve"> </w:t>
      </w:r>
      <w:r w:rsidR="00EA5731" w:rsidRPr="00B916EC">
        <w:rPr>
          <w:lang w:val="en-US"/>
        </w:rPr>
        <w:t xml:space="preserve">carrier </w:t>
      </w:r>
      <m:oMath>
        <m:r>
          <w:rPr>
            <w:rFonts w:ascii="Cambria Math" w:hAnsi="Cambria Math"/>
            <w:lang w:val="en-US"/>
          </w:rPr>
          <m:t>f</m:t>
        </m:r>
      </m:oMath>
      <w:r w:rsidR="00EA5731" w:rsidRPr="00B916EC">
        <w:rPr>
          <w:iCs/>
          <w:lang w:val="en-US"/>
        </w:rPr>
        <w:t xml:space="preserve"> of</w:t>
      </w:r>
      <w:r w:rsidR="00EA5731" w:rsidRPr="00B916EC">
        <w:t xml:space="preserve"> serving cell </w:t>
      </w:r>
      <m:oMath>
        <m:r>
          <w:rPr>
            <w:rFonts w:ascii="Cambria Math" w:hAnsi="Cambria Math"/>
          </w:rPr>
          <m:t>c</m:t>
        </m:r>
      </m:oMath>
    </w:p>
    <w:p w14:paraId="1329F1A3" w14:textId="6941BB64" w:rsidR="00DE1AB1" w:rsidRPr="00F415B1" w:rsidRDefault="007639D4" w:rsidP="00DE1AB1">
      <w:pPr>
        <w:pStyle w:val="B3"/>
        <w:rPr>
          <w:lang w:eastAsia="zh-CN"/>
        </w:rPr>
      </w:pPr>
      <w:r>
        <w:rPr>
          <w:lang w:val="en-US" w:eastAsia="zh-CN"/>
        </w:rPr>
        <w:t>-</w:t>
      </w:r>
      <w:r>
        <w:rPr>
          <w:lang w:val="en-US" w:eastAsia="zh-CN"/>
        </w:rPr>
        <w:tab/>
      </w:r>
      <w:r w:rsidR="00EA5731">
        <w:rPr>
          <w:lang w:val="en-US" w:eastAsia="zh-CN"/>
        </w:rPr>
        <w:t xml:space="preserve">If the UE is provided </w:t>
      </w:r>
      <w:r w:rsidR="00CA0E12" w:rsidRPr="00155FC2">
        <w:rPr>
          <w:i/>
        </w:rPr>
        <w:t>SRI-PUSCH-PowerControl</w:t>
      </w:r>
      <w:r w:rsidR="00CA0E12" w:rsidRPr="00C04C84">
        <w:t xml:space="preserve"> </w:t>
      </w:r>
      <w:r w:rsidR="00CA0E12" w:rsidRPr="007A2D3D">
        <w:t xml:space="preserve">and more than one values of </w:t>
      </w:r>
      <w:r w:rsidR="00CA0E12" w:rsidRPr="007A2D3D">
        <w:rPr>
          <w:i/>
        </w:rPr>
        <w:t>p0-PUSCH-AlphaSetId</w:t>
      </w:r>
      <w:r w:rsidR="00DE1AB1" w:rsidRPr="00F415B1">
        <w:rPr>
          <w:iCs/>
        </w:rPr>
        <w:t xml:space="preserve"> in </w:t>
      </w:r>
      <w:r w:rsidR="00DE1AB1" w:rsidRPr="00F415B1">
        <w:rPr>
          <w:i/>
        </w:rPr>
        <w:t>p0-AlphaSets</w:t>
      </w:r>
      <w:r w:rsidR="00CA0E12">
        <w:rPr>
          <w:lang w:val="en-US"/>
        </w:rPr>
        <w:t>,</w:t>
      </w:r>
    </w:p>
    <w:p w14:paraId="4B27C811" w14:textId="77777777" w:rsidR="00DE1AB1" w:rsidRPr="00F415B1" w:rsidRDefault="00DE1AB1" w:rsidP="009400C8">
      <w:pPr>
        <w:pStyle w:val="B4"/>
        <w:rPr>
          <w:iCs/>
        </w:rPr>
      </w:pPr>
      <w:r w:rsidRPr="00F415B1">
        <w:rPr>
          <w:lang w:val="en-US" w:eastAsia="zh-CN"/>
        </w:rPr>
        <w:t>-</w:t>
      </w:r>
      <w:r w:rsidRPr="00F415B1">
        <w:rPr>
          <w:lang w:val="en-US" w:eastAsia="zh-CN"/>
        </w:rPr>
        <w:tab/>
      </w:r>
      <w:r w:rsidRPr="00F415B1">
        <w:rPr>
          <w:lang w:eastAsia="zh-CN"/>
        </w:rPr>
        <w:t xml:space="preserve">if </w:t>
      </w:r>
      <w:r w:rsidRPr="00F415B1">
        <w:rPr>
          <w:lang w:val="en-US"/>
        </w:rPr>
        <w:t xml:space="preserve">a </w:t>
      </w:r>
      <w:r w:rsidRPr="00F415B1">
        <w:t xml:space="preserve">DCI format scheduling the PUSCH transmission includes two SRI fields and the UE is provided </w:t>
      </w:r>
      <w:r w:rsidRPr="00F415B1">
        <w:rPr>
          <w:iCs/>
        </w:rPr>
        <w:t xml:space="preserve">two SRS resource sets in </w:t>
      </w:r>
      <w:r w:rsidRPr="00F415B1">
        <w:rPr>
          <w:i/>
        </w:rPr>
        <w:t>srs-ResourceSetToAddModList</w:t>
      </w:r>
      <w:r w:rsidRPr="00F415B1">
        <w:rPr>
          <w:iCs/>
        </w:rPr>
        <w:t xml:space="preserve"> or </w:t>
      </w:r>
      <w:r w:rsidRPr="00F415B1">
        <w:rPr>
          <w:i/>
        </w:rPr>
        <w:t>srs-ResourceSetToAddModListDCI-0-2</w:t>
      </w:r>
      <w:r w:rsidRPr="00F415B1">
        <w:rPr>
          <w:iCs/>
        </w:rPr>
        <w:t xml:space="preserve"> with </w:t>
      </w:r>
      <w:r w:rsidRPr="00F415B1">
        <w:rPr>
          <w:i/>
        </w:rPr>
        <w:t>usage</w:t>
      </w:r>
      <w:r w:rsidRPr="00F415B1">
        <w:rPr>
          <w:iCs/>
        </w:rPr>
        <w:t xml:space="preserve"> set to</w:t>
      </w:r>
      <w:r w:rsidRPr="00F415B1">
        <w:t xml:space="preserve"> 'codebook', the UE obtains a mapping from </w:t>
      </w:r>
      <w:r w:rsidRPr="00F415B1">
        <w:rPr>
          <w:i/>
        </w:rPr>
        <w:t>sri-PUSCH-PowerControlId</w:t>
      </w:r>
      <w:r w:rsidRPr="00F415B1">
        <w:rPr>
          <w:iCs/>
        </w:rPr>
        <w:t xml:space="preserve"> in </w:t>
      </w:r>
      <w:r w:rsidRPr="00F415B1">
        <w:rPr>
          <w:i/>
        </w:rPr>
        <w:t>SRI-PUSCH-PowerControl</w:t>
      </w:r>
      <w:r w:rsidRPr="00F415B1">
        <w:rPr>
          <w:iCs/>
        </w:rPr>
        <w:t xml:space="preserve"> between a set of values for </w:t>
      </w:r>
    </w:p>
    <w:p w14:paraId="50330373" w14:textId="77777777" w:rsidR="00DE1AB1" w:rsidRPr="00F415B1" w:rsidRDefault="00DE1AB1" w:rsidP="009400C8">
      <w:pPr>
        <w:pStyle w:val="B5"/>
      </w:pPr>
      <w:r w:rsidRPr="00F415B1">
        <w:rPr>
          <w:lang w:val="x-none"/>
        </w:rPr>
        <w:t>-</w:t>
      </w:r>
      <w:r w:rsidRPr="00F415B1">
        <w:rPr>
          <w:lang w:val="x-none"/>
        </w:rPr>
        <w:tab/>
      </w:r>
      <w:r w:rsidRPr="00F415B1">
        <w:t xml:space="preserve">the two SRI fields and a set of indexes provided by </w:t>
      </w:r>
      <w:r w:rsidRPr="00F415B1">
        <w:rPr>
          <w:i/>
        </w:rPr>
        <w:t>P0-PUSCH-AlphaSetId</w:t>
      </w:r>
      <w:r w:rsidRPr="00F415B1">
        <w:t xml:space="preserve"> that map to </w:t>
      </w:r>
      <w:r w:rsidRPr="00F415B1">
        <w:rPr>
          <w:i/>
        </w:rPr>
        <w:t>P0-PUSCH-AlphaSet</w:t>
      </w:r>
      <w:r w:rsidRPr="00F415B1">
        <w:t xml:space="preserve"> values, and determines first and second values of </w:t>
      </w:r>
      <m:oMath>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Pr="00F415B1">
        <w:t xml:space="preserve"> from the </w:t>
      </w:r>
      <w:r w:rsidRPr="00F415B1">
        <w:rPr>
          <w:i/>
        </w:rPr>
        <w:t>P0-PUSCH-AlphaSetID</w:t>
      </w:r>
      <w:r w:rsidRPr="00F415B1">
        <w:t xml:space="preserve"> values that are mapped to the values of the first and second SRI field values, respectively.</w:t>
      </w:r>
    </w:p>
    <w:p w14:paraId="5018335C" w14:textId="77777777" w:rsidR="00DE1AB1" w:rsidRPr="00F415B1" w:rsidRDefault="00DE1AB1" w:rsidP="009400C8">
      <w:pPr>
        <w:pStyle w:val="B4"/>
        <w:rPr>
          <w:iCs/>
        </w:rPr>
      </w:pPr>
      <w:r w:rsidRPr="00F415B1">
        <w:rPr>
          <w:lang w:val="en-US" w:eastAsia="zh-CN"/>
        </w:rPr>
        <w:t>-</w:t>
      </w:r>
      <w:r w:rsidRPr="00F415B1">
        <w:rPr>
          <w:lang w:val="en-US" w:eastAsia="zh-CN"/>
        </w:rPr>
        <w:tab/>
      </w:r>
      <w:r w:rsidRPr="00F415B1">
        <w:rPr>
          <w:lang w:eastAsia="zh-CN"/>
        </w:rPr>
        <w:t xml:space="preserve">if </w:t>
      </w:r>
      <w:r w:rsidRPr="00F415B1">
        <w:rPr>
          <w:lang w:val="en-US"/>
        </w:rPr>
        <w:t xml:space="preserve">a </w:t>
      </w:r>
      <w:r w:rsidRPr="00F415B1">
        <w:t xml:space="preserve">DCI format scheduling the PUSCH transmission includes two SRI fields and the UE is provided </w:t>
      </w:r>
      <w:r w:rsidRPr="00F415B1">
        <w:rPr>
          <w:iCs/>
        </w:rPr>
        <w:t xml:space="preserve">two SRS resource sets in </w:t>
      </w:r>
      <w:r w:rsidRPr="00F415B1">
        <w:rPr>
          <w:i/>
        </w:rPr>
        <w:t>srs-ResourceSetToAddModList</w:t>
      </w:r>
      <w:r w:rsidRPr="00F415B1">
        <w:rPr>
          <w:iCs/>
        </w:rPr>
        <w:t xml:space="preserve"> or </w:t>
      </w:r>
      <w:r w:rsidRPr="00F415B1">
        <w:rPr>
          <w:i/>
        </w:rPr>
        <w:t>srs-ResourceSetToAddModListDCI-0-2</w:t>
      </w:r>
      <w:r w:rsidRPr="00F415B1">
        <w:rPr>
          <w:iCs/>
        </w:rPr>
        <w:t xml:space="preserve"> with </w:t>
      </w:r>
      <w:r w:rsidRPr="00F415B1">
        <w:rPr>
          <w:i/>
        </w:rPr>
        <w:t>usage</w:t>
      </w:r>
      <w:r w:rsidRPr="00F415B1">
        <w:rPr>
          <w:iCs/>
        </w:rPr>
        <w:t xml:space="preserve"> set to</w:t>
      </w:r>
      <w:r w:rsidRPr="00F415B1">
        <w:t xml:space="preserve"> 'nonCodebook', the UE obtains a mapping from </w:t>
      </w:r>
      <w:r w:rsidRPr="00F415B1">
        <w:rPr>
          <w:i/>
        </w:rPr>
        <w:t>sri-PUSCH-PowerControlId</w:t>
      </w:r>
      <w:r w:rsidRPr="00F415B1">
        <w:rPr>
          <w:iCs/>
        </w:rPr>
        <w:t xml:space="preserve"> in </w:t>
      </w:r>
      <w:r w:rsidRPr="00F415B1">
        <w:rPr>
          <w:i/>
        </w:rPr>
        <w:t>SRI-PUSCH-PowerControl</w:t>
      </w:r>
      <w:r w:rsidRPr="00F415B1">
        <w:rPr>
          <w:iCs/>
        </w:rPr>
        <w:t xml:space="preserve"> between a set of values for </w:t>
      </w:r>
    </w:p>
    <w:p w14:paraId="4B772F6E" w14:textId="77777777" w:rsidR="00DE1AB1" w:rsidRPr="00F415B1" w:rsidRDefault="00DE1AB1" w:rsidP="009400C8">
      <w:pPr>
        <w:pStyle w:val="B5"/>
      </w:pPr>
      <w:r w:rsidRPr="00F415B1">
        <w:rPr>
          <w:lang w:val="x-none"/>
        </w:rPr>
        <w:t>-</w:t>
      </w:r>
      <w:r w:rsidRPr="00F415B1">
        <w:rPr>
          <w:lang w:val="x-none"/>
        </w:rPr>
        <w:tab/>
      </w:r>
      <w:r w:rsidRPr="00F415B1">
        <w:t xml:space="preserve">the first SRI field and a set of indexes provided by </w:t>
      </w:r>
      <w:r w:rsidRPr="00F415B1">
        <w:rPr>
          <w:i/>
        </w:rPr>
        <w:t>P0-PUSCH-AlphaSetId</w:t>
      </w:r>
      <w:r w:rsidRPr="00F415B1">
        <w:t xml:space="preserve"> that map to </w:t>
      </w:r>
      <w:r w:rsidRPr="00F415B1">
        <w:rPr>
          <w:i/>
        </w:rPr>
        <w:t>P0-PUSCH-AlphaSet</w:t>
      </w:r>
      <w:r w:rsidRPr="00F415B1">
        <w:t xml:space="preserve"> values, and determines first value of </w:t>
      </w:r>
      <m:oMath>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Pr="00F415B1">
        <w:t xml:space="preserve"> from the </w:t>
      </w:r>
      <w:r w:rsidRPr="00F415B1">
        <w:rPr>
          <w:i/>
        </w:rPr>
        <w:t>P0-PUSCH-AlphaSetID</w:t>
      </w:r>
      <w:r w:rsidRPr="00F415B1">
        <w:t xml:space="preserve"> value that is mapped to the first SRI field value, and</w:t>
      </w:r>
    </w:p>
    <w:p w14:paraId="39F5CF59" w14:textId="05CAC7F3" w:rsidR="00DE1AB1" w:rsidRPr="009400C8" w:rsidRDefault="00DE1AB1" w:rsidP="009400C8">
      <w:pPr>
        <w:pStyle w:val="B5"/>
      </w:pPr>
      <w:r w:rsidRPr="00F415B1">
        <w:rPr>
          <w:lang w:val="x-none"/>
        </w:rPr>
        <w:t>-</w:t>
      </w:r>
      <w:r w:rsidRPr="00F415B1">
        <w:rPr>
          <w:lang w:val="x-none"/>
        </w:rPr>
        <w:tab/>
      </w:r>
      <w:r w:rsidRPr="00F415B1">
        <w:t xml:space="preserve">the second value, associated with the second SRI field value corresponding to </w:t>
      </w:r>
      <w:r w:rsidRPr="00F415B1">
        <w:rPr>
          <w:rFonts w:hint="eastAsia"/>
          <w:lang w:eastAsia="zh-CN"/>
        </w:rPr>
        <w:t>Tables 7.3.1.1.2-28/29/30/31</w:t>
      </w:r>
      <w:r w:rsidRPr="00F415B1">
        <w:rPr>
          <w:lang w:eastAsia="zh-CN"/>
        </w:rPr>
        <w:t xml:space="preserve"> of </w:t>
      </w:r>
      <w:r w:rsidRPr="00F415B1">
        <w:t xml:space="preserve">[5, TS 38.212] for a same number of layers as indicated by the first SRI field value, and a set of indexes provided by </w:t>
      </w:r>
      <w:r w:rsidRPr="00F415B1">
        <w:rPr>
          <w:i/>
        </w:rPr>
        <w:t>p0-PUSCH-AlphaSetId</w:t>
      </w:r>
      <w:r w:rsidRPr="00F415B1">
        <w:t xml:space="preserve"> that map to a set of </w:t>
      </w:r>
      <w:r w:rsidRPr="00F415B1">
        <w:rPr>
          <w:i/>
        </w:rPr>
        <w:t>P0-PUSCH-AlphaSet</w:t>
      </w:r>
      <w:r w:rsidRPr="00F415B1">
        <w:t xml:space="preserve"> values, and determines the second value of </w:t>
      </w:r>
      <m:oMath>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Pr="00F415B1">
        <w:t xml:space="preserve"> from the </w:t>
      </w:r>
      <w:r w:rsidRPr="00F415B1">
        <w:rPr>
          <w:i/>
        </w:rPr>
        <w:t>p0-PUSCH-AlphaSetId</w:t>
      </w:r>
      <w:r w:rsidRPr="00F415B1">
        <w:t xml:space="preserve"> value that is mapped to the second SRI field value</w:t>
      </w:r>
    </w:p>
    <w:p w14:paraId="04A05EBC" w14:textId="060CDB5A" w:rsidR="00EA5731" w:rsidRPr="00AD53AD" w:rsidRDefault="00EE706A" w:rsidP="009400C8">
      <w:pPr>
        <w:pStyle w:val="B4"/>
        <w:rPr>
          <w:lang w:val="en-US" w:eastAsia="zh-CN"/>
        </w:rPr>
      </w:pPr>
      <w:r>
        <w:rPr>
          <w:lang w:val="en-US"/>
        </w:rPr>
        <w:t>-</w:t>
      </w:r>
      <w:r>
        <w:rPr>
          <w:lang w:val="en-US"/>
        </w:rPr>
        <w:tab/>
      </w:r>
      <w:r w:rsidR="00F3787F">
        <w:rPr>
          <w:lang w:val="en-US"/>
        </w:rPr>
        <w:t xml:space="preserve">if </w:t>
      </w:r>
      <w:r w:rsidR="00B830C1">
        <w:rPr>
          <w:lang w:val="en-US"/>
        </w:rPr>
        <w:t xml:space="preserve">a </w:t>
      </w:r>
      <w:r w:rsidR="00CA0E12">
        <w:t xml:space="preserve">DCI format </w:t>
      </w:r>
      <w:r w:rsidR="00B830C1" w:rsidRPr="00EE027F">
        <w:t>scheduling the PUSCH transmission</w:t>
      </w:r>
      <w:r w:rsidR="00CA0E12">
        <w:t xml:space="preserve"> includes </w:t>
      </w:r>
      <w:r w:rsidRPr="00F415B1">
        <w:t>one</w:t>
      </w:r>
      <w:r w:rsidR="00CA0E12">
        <w:t xml:space="preserve"> SRI field</w:t>
      </w:r>
      <w:r w:rsidR="00F3787F">
        <w:t>,</w:t>
      </w:r>
      <w:r w:rsidR="00CA0E12">
        <w:t xml:space="preserve"> </w:t>
      </w:r>
      <w:r w:rsidR="00CA0E12">
        <w:rPr>
          <w:lang w:val="en-US"/>
        </w:rPr>
        <w:t>the UE obtains</w:t>
      </w:r>
      <w:r w:rsidR="00CA0E12" w:rsidRPr="00E61D74">
        <w:rPr>
          <w:lang w:val="en-US"/>
        </w:rPr>
        <w:t xml:space="preserve"> a mapping </w:t>
      </w:r>
      <w:r w:rsidR="00CA0E12">
        <w:rPr>
          <w:lang w:val="en-US"/>
        </w:rPr>
        <w:t xml:space="preserve">from </w:t>
      </w:r>
      <w:r w:rsidR="00CA0E12" w:rsidRPr="00155FC2">
        <w:rPr>
          <w:i/>
        </w:rPr>
        <w:t>sri-PUSCH-PowerControlId</w:t>
      </w:r>
      <w:r w:rsidR="00CA0E12" w:rsidRPr="004516B4">
        <w:t xml:space="preserve"> </w:t>
      </w:r>
      <w:r w:rsidR="00CA0E12">
        <w:rPr>
          <w:lang w:val="en-US"/>
        </w:rPr>
        <w:t xml:space="preserve">in </w:t>
      </w:r>
      <w:r w:rsidR="00CA0E12" w:rsidRPr="00155FC2">
        <w:rPr>
          <w:i/>
        </w:rPr>
        <w:t>SRI-PUSCH-PowerControl</w:t>
      </w:r>
      <w:r w:rsidR="00EA5731" w:rsidRPr="00E61D74">
        <w:rPr>
          <w:lang w:val="en-US"/>
        </w:rPr>
        <w:t xml:space="preserve"> between a set of values for the SRI field in </w:t>
      </w:r>
      <w:r w:rsidR="00B830C1">
        <w:rPr>
          <w:lang w:val="en-US"/>
        </w:rPr>
        <w:t xml:space="preserve">the </w:t>
      </w:r>
      <w:r w:rsidR="00EA5731" w:rsidRPr="00E61D74">
        <w:rPr>
          <w:lang w:val="en-US"/>
        </w:rPr>
        <w:t xml:space="preserve">DCI format </w:t>
      </w:r>
      <w:r w:rsidR="00EA5731" w:rsidRPr="00B916EC">
        <w:t>[</w:t>
      </w:r>
      <w:r w:rsidR="00EA5731" w:rsidRPr="00E61D74">
        <w:rPr>
          <w:lang w:val="en-US"/>
        </w:rPr>
        <w:t>5</w:t>
      </w:r>
      <w:r w:rsidR="00EA5731" w:rsidRPr="00B916EC">
        <w:t>, TS 38.</w:t>
      </w:r>
      <w:r w:rsidR="00EA5731" w:rsidRPr="00E61D74">
        <w:rPr>
          <w:lang w:val="en-US"/>
        </w:rPr>
        <w:t>212</w:t>
      </w:r>
      <w:r w:rsidR="00EA5731" w:rsidRPr="00B916EC">
        <w:t>]</w:t>
      </w:r>
      <w:r w:rsidR="00EA5731" w:rsidRPr="00E61D74">
        <w:rPr>
          <w:lang w:val="en-US"/>
        </w:rPr>
        <w:t xml:space="preserve"> and a set of</w:t>
      </w:r>
      <w:r w:rsidR="00EA5731">
        <w:rPr>
          <w:lang w:val="en-US"/>
        </w:rPr>
        <w:t xml:space="preserve"> indexes provided by </w:t>
      </w:r>
      <w:r w:rsidR="00CA0E12" w:rsidRPr="000E4EAF">
        <w:rPr>
          <w:i/>
        </w:rPr>
        <w:t>p0-PUSCH-AlphaSetId</w:t>
      </w:r>
      <w:r w:rsidR="00EA5731" w:rsidRPr="00E61D74">
        <w:rPr>
          <w:lang w:val="en-US"/>
        </w:rPr>
        <w:t xml:space="preserve"> </w:t>
      </w:r>
      <w:r w:rsidR="00EA5731">
        <w:rPr>
          <w:lang w:val="en-US"/>
        </w:rPr>
        <w:t xml:space="preserve">that map to a set of </w:t>
      </w:r>
      <w:r w:rsidR="00CA0E12" w:rsidRPr="00562201">
        <w:rPr>
          <w:i/>
        </w:rPr>
        <w:t>P0-PUSCH-AlphaSet</w:t>
      </w:r>
      <w:r w:rsidR="00EA5731" w:rsidRPr="00B916EC">
        <w:rPr>
          <w:lang w:val="en-US"/>
        </w:rPr>
        <w:t xml:space="preserve"> </w:t>
      </w:r>
      <w:r w:rsidR="00EA5731" w:rsidRPr="00E61D74">
        <w:rPr>
          <w:lang w:val="en-US"/>
        </w:rPr>
        <w:t>values</w:t>
      </w:r>
      <w:r w:rsidR="00817D03">
        <w:rPr>
          <w:lang w:val="en-US"/>
        </w:rPr>
        <w:t xml:space="preserve"> and</w:t>
      </w:r>
      <w:r w:rsidR="00EA5731">
        <w:rPr>
          <w:lang w:val="en-US"/>
        </w:rPr>
        <w:t xml:space="preserve"> determines</w:t>
      </w:r>
      <w:r w:rsidR="00EA5731" w:rsidRPr="00E61D74">
        <w:rPr>
          <w:lang w:val="en-US"/>
        </w:rPr>
        <w:t xml:space="preserve"> the values of </w:t>
      </w:r>
      <m:oMath>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00EA5731" w:rsidRPr="00E61D74">
        <w:rPr>
          <w:lang w:val="en-US"/>
        </w:rPr>
        <w:t xml:space="preserve"> from the </w:t>
      </w:r>
      <w:r w:rsidR="00E51F04" w:rsidRPr="00E61D74">
        <w:rPr>
          <w:i/>
          <w:lang w:val="en-US"/>
        </w:rPr>
        <w:t>p0</w:t>
      </w:r>
      <w:r w:rsidR="00E51F04">
        <w:rPr>
          <w:i/>
          <w:lang w:val="en-US"/>
        </w:rPr>
        <w:t>-PUSCH-</w:t>
      </w:r>
      <w:r w:rsidR="00F3787F">
        <w:rPr>
          <w:i/>
          <w:lang w:val="en-US"/>
        </w:rPr>
        <w:t>A</w:t>
      </w:r>
      <w:r w:rsidR="00F3787F" w:rsidRPr="00E61D74">
        <w:rPr>
          <w:i/>
          <w:lang w:val="en-US"/>
        </w:rPr>
        <w:t>lpha</w:t>
      </w:r>
      <w:r w:rsidR="00F3787F">
        <w:rPr>
          <w:i/>
          <w:lang w:val="en-US"/>
        </w:rPr>
        <w:t>S</w:t>
      </w:r>
      <w:r w:rsidR="00F3787F" w:rsidRPr="00E61D74">
        <w:rPr>
          <w:i/>
          <w:lang w:val="en-US"/>
        </w:rPr>
        <w:t>et</w:t>
      </w:r>
      <w:r w:rsidR="00F3787F">
        <w:rPr>
          <w:i/>
          <w:lang w:val="en-US"/>
        </w:rPr>
        <w:t>Id</w:t>
      </w:r>
      <w:r w:rsidR="00F3787F" w:rsidRPr="00E61D74">
        <w:rPr>
          <w:lang w:val="en-US"/>
        </w:rPr>
        <w:t xml:space="preserve"> </w:t>
      </w:r>
      <w:r w:rsidR="00EA5731" w:rsidRPr="00E61D74">
        <w:rPr>
          <w:lang w:val="en-US"/>
        </w:rPr>
        <w:t>value that is mapped to the SRI field value</w:t>
      </w:r>
    </w:p>
    <w:p w14:paraId="175F0866" w14:textId="6711FEB7" w:rsidR="00EA5731" w:rsidRDefault="007639D4" w:rsidP="0009732E">
      <w:pPr>
        <w:pStyle w:val="B3"/>
        <w:rPr>
          <w:i/>
          <w:lang w:val="en-US"/>
        </w:rPr>
      </w:pPr>
      <w:r>
        <w:rPr>
          <w:lang w:val="en-US"/>
        </w:rPr>
        <w:t>-</w:t>
      </w:r>
      <w:r>
        <w:rPr>
          <w:lang w:val="en-US"/>
        </w:rPr>
        <w:tab/>
      </w:r>
      <w:r w:rsidR="00EA5731" w:rsidRPr="00AD53AD">
        <w:rPr>
          <w:lang w:val="en-US"/>
        </w:rPr>
        <w:t xml:space="preserve">If </w:t>
      </w:r>
      <w:r w:rsidR="002A389A" w:rsidRPr="00F415B1">
        <w:t xml:space="preserve">the UE is not provided </w:t>
      </w:r>
      <w:r w:rsidR="002A389A" w:rsidRPr="00F415B1">
        <w:rPr>
          <w:iCs/>
        </w:rPr>
        <w:t xml:space="preserve">two SRS resource sets in </w:t>
      </w:r>
      <w:r w:rsidR="002A389A" w:rsidRPr="00F415B1">
        <w:rPr>
          <w:i/>
        </w:rPr>
        <w:t>srs-ResourceSetToAddModList</w:t>
      </w:r>
      <w:r w:rsidR="002A389A" w:rsidRPr="00F415B1">
        <w:rPr>
          <w:iCs/>
        </w:rPr>
        <w:t xml:space="preserve"> or </w:t>
      </w:r>
      <w:r w:rsidR="002A389A" w:rsidRPr="00F415B1">
        <w:rPr>
          <w:i/>
        </w:rPr>
        <w:t>srs-ResourceSetToAddModListDCI-0-2</w:t>
      </w:r>
      <w:r w:rsidR="002A389A" w:rsidRPr="00F415B1">
        <w:rPr>
          <w:iCs/>
        </w:rPr>
        <w:t xml:space="preserve"> with </w:t>
      </w:r>
      <w:r w:rsidR="002A389A" w:rsidRPr="00F415B1">
        <w:rPr>
          <w:i/>
        </w:rPr>
        <w:t>usage</w:t>
      </w:r>
      <w:r w:rsidR="002A389A" w:rsidRPr="00F415B1">
        <w:rPr>
          <w:iCs/>
        </w:rPr>
        <w:t xml:space="preserve"> set to </w:t>
      </w:r>
      <w:r w:rsidR="005E3B15">
        <w:rPr>
          <w:iCs/>
        </w:rPr>
        <w:t>'</w:t>
      </w:r>
      <w:r w:rsidR="002A389A" w:rsidRPr="00F415B1">
        <w:rPr>
          <w:iCs/>
        </w:rPr>
        <w:t>codebook</w:t>
      </w:r>
      <w:r w:rsidR="005E3B15">
        <w:rPr>
          <w:iCs/>
        </w:rPr>
        <w:t>'</w:t>
      </w:r>
      <w:r w:rsidR="002A389A" w:rsidRPr="00F415B1">
        <w:rPr>
          <w:iCs/>
        </w:rPr>
        <w:t xml:space="preserve"> or </w:t>
      </w:r>
      <w:r w:rsidR="005E3B15">
        <w:rPr>
          <w:iCs/>
        </w:rPr>
        <w:t>'</w:t>
      </w:r>
      <w:r w:rsidR="002A389A" w:rsidRPr="00F415B1">
        <w:rPr>
          <w:iCs/>
        </w:rPr>
        <w:t>nonCodebook</w:t>
      </w:r>
      <w:r w:rsidR="005E3B15">
        <w:rPr>
          <w:iCs/>
        </w:rPr>
        <w:t>'</w:t>
      </w:r>
      <w:r w:rsidR="002A389A" w:rsidRPr="00F415B1">
        <w:rPr>
          <w:iCs/>
        </w:rPr>
        <w:t xml:space="preserve"> and if </w:t>
      </w:r>
      <w:r w:rsidR="00EA5731" w:rsidRPr="00AD53AD">
        <w:rPr>
          <w:lang w:val="en-US"/>
        </w:rPr>
        <w:t>the PUSCH transmission</w:t>
      </w:r>
      <w:r w:rsidR="009132F6">
        <w:rPr>
          <w:lang w:val="en-US"/>
        </w:rPr>
        <w:t xml:space="preserve"> </w:t>
      </w:r>
      <w:r w:rsidR="009132F6" w:rsidRPr="00277887">
        <w:t>except for the PUSCH retransmission corresponding to a RAR UL grant</w:t>
      </w:r>
      <w:r w:rsidR="00EA5731" w:rsidRPr="00AD53AD">
        <w:rPr>
          <w:lang w:val="en-US"/>
        </w:rPr>
        <w:t xml:space="preserve"> is scheduled by a DCI format that does not include a</w:t>
      </w:r>
      <w:r w:rsidR="00673FAC">
        <w:rPr>
          <w:lang w:val="en-US"/>
        </w:rPr>
        <w:t>n</w:t>
      </w:r>
      <w:r w:rsidR="00EA5731" w:rsidRPr="00AD53AD">
        <w:rPr>
          <w:lang w:val="en-US"/>
        </w:rPr>
        <w:t xml:space="preserve"> SRI field, or if </w:t>
      </w:r>
      <w:r w:rsidR="00E51F04" w:rsidRPr="00E61D74">
        <w:rPr>
          <w:i/>
        </w:rPr>
        <w:t>SRI-</w:t>
      </w:r>
      <w:r w:rsidR="00E51F04">
        <w:rPr>
          <w:i/>
        </w:rPr>
        <w:t>PUSCH-PowerControl</w:t>
      </w:r>
      <w:r w:rsidR="00EA5731" w:rsidRPr="00AD53AD">
        <w:rPr>
          <w:lang w:val="en-US"/>
        </w:rPr>
        <w:t xml:space="preserve"> is not provided to the UE, </w:t>
      </w:r>
      <m:oMath>
        <m:r>
          <w:rPr>
            <w:rFonts w:ascii="Cambria Math" w:hAnsi="Cambria Math"/>
          </w:rPr>
          <m:t>j=2</m:t>
        </m:r>
      </m:oMath>
      <w:r w:rsidR="00CA0E12">
        <w:t xml:space="preserve">, and </w:t>
      </w:r>
      <w:r w:rsidR="00EA5731" w:rsidRPr="00AD53AD">
        <w:rPr>
          <w:lang w:val="en-US"/>
        </w:rPr>
        <w:t xml:space="preserve">the UE determines </w:t>
      </w:r>
      <m:oMath>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00F3787F">
        <w:t xml:space="preserve"> </w:t>
      </w:r>
      <w:r w:rsidR="00EA5731">
        <w:rPr>
          <w:lang w:val="en-US"/>
        </w:rPr>
        <w:t xml:space="preserve">from the </w:t>
      </w:r>
      <w:r w:rsidR="00E51F04">
        <w:rPr>
          <w:lang w:val="en-US"/>
        </w:rPr>
        <w:t xml:space="preserve">value of the first </w:t>
      </w:r>
      <w:r w:rsidR="00BC343B">
        <w:rPr>
          <w:i/>
          <w:lang w:val="en-US"/>
        </w:rPr>
        <w:t>P</w:t>
      </w:r>
      <w:r w:rsidR="00BC343B" w:rsidRPr="00B916EC">
        <w:rPr>
          <w:i/>
          <w:lang w:val="en-US"/>
        </w:rPr>
        <w:t>0</w:t>
      </w:r>
      <w:r w:rsidR="00E51F04" w:rsidRPr="00B916EC">
        <w:rPr>
          <w:i/>
          <w:lang w:val="en-US"/>
        </w:rPr>
        <w:t>-</w:t>
      </w:r>
      <w:r w:rsidR="00E51F04">
        <w:rPr>
          <w:i/>
          <w:lang w:val="en-US"/>
        </w:rPr>
        <w:t>PUSCH</w:t>
      </w:r>
      <w:r w:rsidR="00E51F04" w:rsidRPr="00B916EC">
        <w:rPr>
          <w:i/>
          <w:lang w:val="en-US"/>
        </w:rPr>
        <w:t>-</w:t>
      </w:r>
      <w:r w:rsidR="00E51F04">
        <w:rPr>
          <w:i/>
          <w:lang w:val="en-US"/>
        </w:rPr>
        <w:t>A</w:t>
      </w:r>
      <w:r w:rsidR="00E51F04" w:rsidRPr="00B916EC">
        <w:rPr>
          <w:i/>
          <w:lang w:val="en-US"/>
        </w:rPr>
        <w:t>lpha</w:t>
      </w:r>
      <w:r w:rsidR="00E51F04">
        <w:rPr>
          <w:i/>
          <w:lang w:val="en-US"/>
        </w:rPr>
        <w:t>S</w:t>
      </w:r>
      <w:r w:rsidR="00E51F04" w:rsidRPr="00B916EC">
        <w:rPr>
          <w:i/>
          <w:lang w:val="en-US"/>
        </w:rPr>
        <w:t>et</w:t>
      </w:r>
      <w:r w:rsidR="00E51F04">
        <w:rPr>
          <w:lang w:val="en-US"/>
        </w:rPr>
        <w:t xml:space="preserve"> in </w:t>
      </w:r>
      <w:r w:rsidR="00E51F04" w:rsidRPr="005C75EF">
        <w:rPr>
          <w:i/>
          <w:lang w:val="en-US"/>
        </w:rPr>
        <w:t>p0-</w:t>
      </w:r>
      <w:r w:rsidR="00E51F04">
        <w:rPr>
          <w:i/>
          <w:lang w:val="en-US"/>
        </w:rPr>
        <w:t>A</w:t>
      </w:r>
      <w:r w:rsidR="00E51F04" w:rsidRPr="005C75EF">
        <w:rPr>
          <w:i/>
          <w:lang w:val="en-US"/>
        </w:rPr>
        <w:t>lpha</w:t>
      </w:r>
      <w:r w:rsidR="00E51F04">
        <w:rPr>
          <w:i/>
          <w:lang w:val="en-US"/>
        </w:rPr>
        <w:t>S</w:t>
      </w:r>
      <w:r w:rsidR="00E51F04" w:rsidRPr="005C75EF">
        <w:rPr>
          <w:i/>
          <w:lang w:val="en-US"/>
        </w:rPr>
        <w:t>et</w:t>
      </w:r>
      <w:r w:rsidR="00E51F04">
        <w:rPr>
          <w:i/>
          <w:lang w:val="en-US"/>
        </w:rPr>
        <w:t>s</w:t>
      </w:r>
    </w:p>
    <w:p w14:paraId="2B7121D4" w14:textId="14FB572D" w:rsidR="002A389A" w:rsidRDefault="002A389A" w:rsidP="0009732E">
      <w:pPr>
        <w:pStyle w:val="B3"/>
        <w:rPr>
          <w:i/>
        </w:rPr>
      </w:pPr>
      <w:r w:rsidRPr="00F415B1">
        <w:t>-</w:t>
      </w:r>
      <w:r w:rsidRPr="00F415B1">
        <w:tab/>
      </w:r>
      <w:r w:rsidRPr="00F415B1">
        <w:rPr>
          <w:lang w:eastAsia="zh-CN"/>
        </w:rPr>
        <w:t xml:space="preserve">If the UE is provided </w:t>
      </w:r>
      <w:r w:rsidRPr="00F415B1">
        <w:rPr>
          <w:iCs/>
        </w:rPr>
        <w:t xml:space="preserve">two SRS resource sets in </w:t>
      </w:r>
      <w:r w:rsidRPr="00F415B1">
        <w:rPr>
          <w:i/>
        </w:rPr>
        <w:t>srs-ResourceSetToAddModList</w:t>
      </w:r>
      <w:r w:rsidRPr="00F415B1">
        <w:rPr>
          <w:iCs/>
        </w:rPr>
        <w:t xml:space="preserve"> or </w:t>
      </w:r>
      <w:r w:rsidRPr="00F415B1">
        <w:rPr>
          <w:i/>
        </w:rPr>
        <w:t>srs-ResourceSetToAddModListDCI-0-2</w:t>
      </w:r>
      <w:r w:rsidRPr="00F415B1">
        <w:rPr>
          <w:iCs/>
        </w:rPr>
        <w:t xml:space="preserve"> with </w:t>
      </w:r>
      <w:r w:rsidRPr="00F415B1">
        <w:rPr>
          <w:i/>
        </w:rPr>
        <w:t>usage</w:t>
      </w:r>
      <w:r w:rsidRPr="00F415B1">
        <w:rPr>
          <w:iCs/>
        </w:rPr>
        <w:t xml:space="preserve"> set to </w:t>
      </w:r>
      <w:r w:rsidR="005E3B15">
        <w:rPr>
          <w:iCs/>
        </w:rPr>
        <w:t>'</w:t>
      </w:r>
      <w:r w:rsidRPr="00F415B1">
        <w:rPr>
          <w:iCs/>
        </w:rPr>
        <w:t>codebook</w:t>
      </w:r>
      <w:r w:rsidR="005E3B15">
        <w:rPr>
          <w:iCs/>
        </w:rPr>
        <w:t>'</w:t>
      </w:r>
      <w:r w:rsidRPr="00F415B1">
        <w:rPr>
          <w:iCs/>
        </w:rPr>
        <w:t xml:space="preserve"> or </w:t>
      </w:r>
      <w:r w:rsidR="005E3B15">
        <w:rPr>
          <w:iCs/>
        </w:rPr>
        <w:t>'</w:t>
      </w:r>
      <w:r w:rsidRPr="00F415B1">
        <w:rPr>
          <w:iCs/>
        </w:rPr>
        <w:t>nonCodebook</w:t>
      </w:r>
      <w:r w:rsidR="005E3B15">
        <w:rPr>
          <w:iCs/>
        </w:rPr>
        <w:t>'</w:t>
      </w:r>
      <w:r w:rsidRPr="00F415B1">
        <w:t xml:space="preserve"> and the PUSCH transmission is scheduled by a DCI format that does not include an SRI field and includes an SRS resource set indicator field with value </w:t>
      </w:r>
      <w:r w:rsidR="009C0EC2">
        <w:t>'</w:t>
      </w:r>
      <w:r w:rsidRPr="00F415B1">
        <w:t>10</w:t>
      </w:r>
      <w:r w:rsidR="009C0EC2">
        <w:t>'</w:t>
      </w:r>
      <w:r w:rsidRPr="00F415B1">
        <w:t xml:space="preserve"> or </w:t>
      </w:r>
      <w:r w:rsidR="009C0EC2">
        <w:t>'</w:t>
      </w:r>
      <w:r w:rsidRPr="00F415B1">
        <w:t>11</w:t>
      </w:r>
      <w:r w:rsidR="009C0EC2">
        <w:t>'</w:t>
      </w:r>
      <w:r w:rsidRPr="00F415B1">
        <w:t xml:space="preserve">, the UE determines </w:t>
      </w:r>
      <m:oMath>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Pr="00F415B1">
        <w:t xml:space="preserve"> </w:t>
      </w:r>
      <w:r w:rsidR="002D6F6A" w:rsidRPr="008F482D">
        <w:t xml:space="preserve">respectively associated with the first and second SRS resource set </w:t>
      </w:r>
      <w:r w:rsidRPr="00F415B1">
        <w:t xml:space="preserve">from first and second </w:t>
      </w:r>
      <w:r w:rsidRPr="00F415B1">
        <w:rPr>
          <w:i/>
        </w:rPr>
        <w:t>P0-PUSCH-AlphaSet</w:t>
      </w:r>
      <w:r w:rsidRPr="00F415B1">
        <w:t xml:space="preserve"> in </w:t>
      </w:r>
      <w:r w:rsidRPr="00F415B1">
        <w:rPr>
          <w:i/>
        </w:rPr>
        <w:t>p0-AlphaSets</w:t>
      </w:r>
    </w:p>
    <w:p w14:paraId="678E6AF9" w14:textId="4658F253" w:rsidR="009C0EC2" w:rsidRPr="009C0EC2" w:rsidRDefault="009C0EC2" w:rsidP="009C0EC2">
      <w:pPr>
        <w:pStyle w:val="B3"/>
        <w:rPr>
          <w:lang w:val="en-US"/>
        </w:rPr>
      </w:pPr>
      <w:r w:rsidRPr="00726AEC">
        <w:rPr>
          <w:lang w:val="en-US"/>
        </w:rPr>
        <w:t>-</w:t>
      </w:r>
      <w:r w:rsidRPr="00726AEC">
        <w:rPr>
          <w:lang w:val="en-US"/>
        </w:rPr>
        <w:tab/>
      </w:r>
      <w:r w:rsidRPr="00726AEC">
        <w:rPr>
          <w:lang w:val="en-US" w:eastAsia="zh-CN"/>
        </w:rPr>
        <w:t xml:space="preserve">If the UE is provided </w:t>
      </w:r>
      <w:r w:rsidRPr="00726AEC">
        <w:rPr>
          <w:iCs/>
          <w:lang w:val="en-US"/>
        </w:rPr>
        <w:t xml:space="preserve">two SRS resource sets in </w:t>
      </w:r>
      <w:r w:rsidRPr="00726AEC">
        <w:rPr>
          <w:i/>
          <w:lang w:val="en-US"/>
        </w:rPr>
        <w:t>srs-ResourceSetToAddModList</w:t>
      </w:r>
      <w:r w:rsidRPr="00726AEC">
        <w:rPr>
          <w:iCs/>
          <w:lang w:val="en-US"/>
        </w:rPr>
        <w:t xml:space="preserve"> or </w:t>
      </w:r>
      <w:r w:rsidRPr="00726AEC">
        <w:rPr>
          <w:i/>
          <w:lang w:val="en-US"/>
        </w:rPr>
        <w:t>srs-ResourceSetToAddModListDCI-0-2</w:t>
      </w:r>
      <w:r w:rsidRPr="00726AEC">
        <w:rPr>
          <w:iCs/>
          <w:lang w:val="en-US"/>
        </w:rPr>
        <w:t xml:space="preserve"> with </w:t>
      </w:r>
      <w:r w:rsidRPr="00726AEC">
        <w:rPr>
          <w:i/>
          <w:lang w:val="en-US"/>
        </w:rPr>
        <w:t>usage</w:t>
      </w:r>
      <w:r w:rsidRPr="00726AEC">
        <w:rPr>
          <w:iCs/>
          <w:lang w:val="en-US"/>
        </w:rPr>
        <w:t xml:space="preserve"> set to 'codebook' or 'nonCodebook'</w:t>
      </w:r>
      <w:r>
        <w:rPr>
          <w:iCs/>
          <w:lang w:val="en-US"/>
        </w:rPr>
        <w:t>,</w:t>
      </w:r>
      <w:r w:rsidRPr="00726AEC">
        <w:rPr>
          <w:lang w:val="en-US"/>
        </w:rPr>
        <w:t xml:space="preserve"> and the PUSCH transmission is scheduled by a DCI format that does not include an SRI field and includes an SRS resource set indicator field with value </w:t>
      </w:r>
      <w:r w:rsidRPr="000A1D10">
        <w:rPr>
          <w:iCs/>
          <w:lang w:val="en-US"/>
        </w:rPr>
        <w:t>'</w:t>
      </w:r>
      <w:r w:rsidRPr="00726AEC">
        <w:rPr>
          <w:lang w:val="en-US"/>
        </w:rPr>
        <w:t>00</w:t>
      </w:r>
      <w:r w:rsidRPr="000A1D10">
        <w:rPr>
          <w:iCs/>
          <w:lang w:val="en-US"/>
        </w:rPr>
        <w:t>'</w:t>
      </w:r>
      <w:r w:rsidRPr="00726AEC">
        <w:rPr>
          <w:lang w:val="en-US"/>
        </w:rPr>
        <w:t xml:space="preserve"> or </w:t>
      </w:r>
      <w:r w:rsidRPr="000A1D10">
        <w:rPr>
          <w:iCs/>
          <w:lang w:val="en-US"/>
        </w:rPr>
        <w:t>'</w:t>
      </w:r>
      <w:r w:rsidRPr="00726AEC">
        <w:rPr>
          <w:lang w:val="en-US" w:eastAsia="zh-CN"/>
        </w:rPr>
        <w:t>01</w:t>
      </w:r>
      <w:r w:rsidRPr="000A1D10">
        <w:rPr>
          <w:iCs/>
          <w:lang w:val="en-US"/>
        </w:rPr>
        <w:t>'</w:t>
      </w:r>
      <w:r w:rsidRPr="00726AEC">
        <w:rPr>
          <w:lang w:val="en-US"/>
        </w:rPr>
        <w:t xml:space="preserve">, the UE determines </w:t>
      </w:r>
      <m:oMath>
        <m:sSub>
          <m:sSubPr>
            <m:ctrlPr>
              <w:rPr>
                <w:rFonts w:ascii="Cambria Math" w:hAnsi="Cambria Math"/>
                <w:lang w:val="en-US"/>
              </w:rPr>
            </m:ctrlPr>
          </m:sSubPr>
          <m:e>
            <m:r>
              <w:rPr>
                <w:rFonts w:ascii="Cambria Math" w:hAnsi="Cambria Math"/>
                <w:lang w:val="en-US"/>
              </w:rPr>
              <m:t>α</m:t>
            </m:r>
          </m:e>
          <m:sub>
            <m:r>
              <w:rPr>
                <w:rFonts w:ascii="Cambria Math" w:hAnsi="Cambria Math"/>
                <w:lang w:val="en-US"/>
              </w:rPr>
              <m:t>b</m:t>
            </m:r>
            <m:r>
              <m:rPr>
                <m:sty m:val="p"/>
              </m:rPr>
              <w:rPr>
                <w:rFonts w:ascii="Cambria Math" w:hAnsi="Cambria Math"/>
                <w:lang w:val="en-US"/>
              </w:rPr>
              <m:t>,</m:t>
            </m:r>
            <m:r>
              <w:rPr>
                <w:rFonts w:ascii="Cambria Math" w:hAnsi="Cambria Math"/>
                <w:lang w:val="en-US"/>
              </w:rPr>
              <m:t>f</m:t>
            </m:r>
            <m:r>
              <m:rPr>
                <m:sty m:val="p"/>
              </m:rPr>
              <w:rPr>
                <w:rFonts w:ascii="Cambria Math" w:hAnsi="Cambria Math"/>
                <w:lang w:val="en-US"/>
              </w:rPr>
              <m:t>,</m:t>
            </m:r>
            <m:r>
              <w:rPr>
                <w:rFonts w:ascii="Cambria Math" w:hAnsi="Cambria Math"/>
                <w:lang w:val="en-US"/>
              </w:rPr>
              <m:t>c</m:t>
            </m:r>
          </m:sub>
        </m:sSub>
        <m:d>
          <m:dPr>
            <m:ctrlPr>
              <w:rPr>
                <w:rFonts w:ascii="Cambria Math" w:hAnsi="Cambria Math"/>
                <w:lang w:val="en-US"/>
              </w:rPr>
            </m:ctrlPr>
          </m:dPr>
          <m:e>
            <m:r>
              <w:rPr>
                <w:rFonts w:ascii="Cambria Math" w:hAnsi="Cambria Math"/>
                <w:lang w:val="en-US"/>
              </w:rPr>
              <m:t>j</m:t>
            </m:r>
          </m:e>
        </m:d>
      </m:oMath>
      <w:r w:rsidRPr="00726AEC">
        <w:rPr>
          <w:lang w:val="en-US"/>
        </w:rPr>
        <w:t xml:space="preserve"> from first </w:t>
      </w:r>
      <w:r w:rsidRPr="00726AEC">
        <w:rPr>
          <w:i/>
          <w:lang w:val="en-US"/>
        </w:rPr>
        <w:t>P0-PUSCH-AlphaSet</w:t>
      </w:r>
      <w:r w:rsidRPr="00726AEC">
        <w:rPr>
          <w:lang w:val="en-US"/>
        </w:rPr>
        <w:t xml:space="preserve"> </w:t>
      </w:r>
      <w:r w:rsidRPr="00726AEC">
        <w:rPr>
          <w:lang w:val="en-US" w:eastAsia="zh-CN"/>
        </w:rPr>
        <w:t xml:space="preserve">or second </w:t>
      </w:r>
      <w:r w:rsidRPr="00726AEC">
        <w:rPr>
          <w:i/>
          <w:lang w:val="en-US"/>
        </w:rPr>
        <w:t>P0-PUSCH-AlphaSet</w:t>
      </w:r>
      <w:r w:rsidRPr="00726AEC">
        <w:rPr>
          <w:lang w:val="en-US"/>
        </w:rPr>
        <w:t xml:space="preserve"> in </w:t>
      </w:r>
      <w:r w:rsidRPr="00726AEC">
        <w:rPr>
          <w:i/>
          <w:lang w:val="en-US"/>
        </w:rPr>
        <w:t>p0-AlphaSets</w:t>
      </w:r>
      <w:r w:rsidRPr="00726AEC">
        <w:rPr>
          <w:lang w:val="en-US"/>
        </w:rPr>
        <w:t>, respectively</w:t>
      </w:r>
      <w:r w:rsidRPr="00726AEC">
        <w:rPr>
          <w:lang w:val="en-US" w:eastAsia="zh-CN"/>
        </w:rPr>
        <w:t>.</w:t>
      </w:r>
    </w:p>
    <w:p w14:paraId="33D1EA14" w14:textId="2FCE2005" w:rsidR="00EA5731" w:rsidRPr="00B916EC" w:rsidRDefault="00F31749" w:rsidP="00F31749">
      <w:pPr>
        <w:pStyle w:val="B1"/>
      </w:pPr>
      <w:r>
        <w:t>-</w:t>
      </w:r>
      <w:r>
        <w:tab/>
      </w:r>
      <m:oMath>
        <m:sSubSup>
          <m:sSubSupPr>
            <m:ctrlPr>
              <w:rPr>
                <w:rFonts w:ascii="Cambria Math" w:hAnsi="Cambria Math"/>
                <w:i/>
              </w:rPr>
            </m:ctrlPr>
          </m:sSubSupPr>
          <m:e>
            <m:r>
              <w:rPr>
                <w:rFonts w:ascii="Cambria Math" w:hAnsi="Cambria Math"/>
              </w:rPr>
              <m:t>M</m:t>
            </m:r>
          </m:e>
          <m:sub>
            <m:r>
              <m:rPr>
                <m:sty m:val="p"/>
              </m:rPr>
              <w:rPr>
                <w:rFonts w:ascii="Cambria Math" w:hAnsi="Cambria Math"/>
              </w:rPr>
              <m:t>RB</m:t>
            </m:r>
            <m:r>
              <w:rPr>
                <w:rFonts w:ascii="Cambria Math" w:hAnsi="Cambria Math"/>
              </w:rPr>
              <m:t>,b,f,c</m:t>
            </m:r>
          </m:sub>
          <m:sup>
            <m:r>
              <m:rPr>
                <m:sty m:val="p"/>
              </m:rPr>
              <w:rPr>
                <w:rFonts w:ascii="Cambria Math" w:hAnsi="Cambria Math"/>
              </w:rPr>
              <m:t>PUSCH</m:t>
            </m:r>
          </m:sup>
        </m:sSubSup>
        <m:r>
          <w:rPr>
            <w:rFonts w:ascii="Cambria Math" w:hAnsi="Cambria Math"/>
          </w:rPr>
          <m:t>(i)</m:t>
        </m:r>
      </m:oMath>
      <w:r w:rsidR="00FF09C1">
        <w:rPr>
          <w:lang w:val="en-US"/>
        </w:rPr>
        <w:t xml:space="preserve"> </w:t>
      </w:r>
      <w:r w:rsidR="00EA5731" w:rsidRPr="00B916EC">
        <w:t xml:space="preserve">is the bandwidth of the PUSCH resource assignment expressed in number of resource blocks for </w:t>
      </w:r>
      <w:r w:rsidR="00EA5731" w:rsidRPr="00B916EC">
        <w:rPr>
          <w:lang w:val="en-US"/>
        </w:rPr>
        <w:t xml:space="preserve">PUSCH transmission </w:t>
      </w:r>
      <w:r w:rsidR="00F3787F">
        <w:rPr>
          <w:lang w:val="en-US"/>
        </w:rPr>
        <w:t>occasion</w:t>
      </w:r>
      <w:r w:rsidR="00F3787F" w:rsidRPr="00B916EC">
        <w:t xml:space="preserve"> </w:t>
      </w:r>
      <m:oMath>
        <m:r>
          <w:rPr>
            <w:rFonts w:ascii="Cambria Math" w:hAnsi="Cambria Math"/>
          </w:rPr>
          <m:t>i</m:t>
        </m:r>
      </m:oMath>
      <w:r w:rsidR="00F3787F" w:rsidRPr="00B916EC">
        <w:rPr>
          <w:i/>
        </w:rPr>
        <w:t xml:space="preserve"> </w:t>
      </w:r>
      <w:r w:rsidR="00F3787F" w:rsidRPr="00B916EC">
        <w:rPr>
          <w:lang w:val="en-US"/>
        </w:rPr>
        <w:t>on</w:t>
      </w:r>
      <w:r w:rsidR="00F3787F" w:rsidRPr="00B916EC">
        <w:t xml:space="preserve"> </w:t>
      </w:r>
      <w:r w:rsidR="00F3787F">
        <w:rPr>
          <w:lang w:val="en-US"/>
        </w:rPr>
        <w:t xml:space="preserve">active UL BWP </w:t>
      </w:r>
      <m:oMath>
        <m:r>
          <w:rPr>
            <w:rFonts w:ascii="Cambria Math" w:hAnsi="Cambria Math"/>
          </w:rPr>
          <m:t>b</m:t>
        </m:r>
      </m:oMath>
      <w:r w:rsidR="00F3787F">
        <w:rPr>
          <w:iCs/>
          <w:lang w:val="en-US"/>
        </w:rPr>
        <w:t xml:space="preserve"> </w:t>
      </w:r>
      <w:r w:rsidR="00F3787F">
        <w:rPr>
          <w:lang w:val="en-US"/>
        </w:rPr>
        <w:t>of</w:t>
      </w:r>
      <w:r w:rsidR="00F3787F" w:rsidRPr="00B916EC">
        <w:rPr>
          <w:lang w:val="en-US"/>
        </w:rPr>
        <w:t xml:space="preserve"> carrier </w:t>
      </w:r>
      <m:oMath>
        <m:r>
          <w:rPr>
            <w:rFonts w:ascii="Cambria Math" w:hAnsi="Cambria Math"/>
            <w:lang w:val="en-US"/>
          </w:rPr>
          <m:t>f</m:t>
        </m:r>
      </m:oMath>
      <w:r w:rsidR="00F3787F" w:rsidRPr="00B916EC">
        <w:rPr>
          <w:iCs/>
          <w:lang w:val="en-US"/>
        </w:rPr>
        <w:t xml:space="preserve"> of</w:t>
      </w:r>
      <w:r w:rsidR="00F3787F" w:rsidRPr="00B916EC">
        <w:t xml:space="preserve"> serving cell</w:t>
      </w:r>
      <w:r w:rsidR="00F3787F" w:rsidRPr="00B916EC">
        <w:rPr>
          <w:i/>
        </w:rPr>
        <w:t xml:space="preserve"> </w:t>
      </w:r>
      <m:oMath>
        <m:r>
          <w:rPr>
            <w:rFonts w:ascii="Cambria Math" w:hAnsi="Cambria Math"/>
          </w:rPr>
          <m:t>c</m:t>
        </m:r>
      </m:oMath>
      <w:r w:rsidR="00F3787F" w:rsidRPr="00B916EC">
        <w:rPr>
          <w:lang w:val="en-US"/>
        </w:rPr>
        <w:t xml:space="preserve"> and </w:t>
      </w:r>
      <m:oMath>
        <m:r>
          <w:rPr>
            <w:rFonts w:ascii="Cambria Math"/>
            <w:lang w:eastAsia="x-none"/>
          </w:rPr>
          <m:t>μ</m:t>
        </m:r>
      </m:oMath>
      <w:r w:rsidR="00F3787F" w:rsidRPr="00B916EC">
        <w:rPr>
          <w:lang w:val="en-US"/>
        </w:rPr>
        <w:t xml:space="preserve"> </w:t>
      </w:r>
      <w:r w:rsidR="00EA5731" w:rsidRPr="00B916EC">
        <w:rPr>
          <w:lang w:val="en-US"/>
        </w:rPr>
        <w:t xml:space="preserve">is </w:t>
      </w:r>
      <w:r w:rsidR="00E45316">
        <w:rPr>
          <w:lang w:val="en-US"/>
        </w:rPr>
        <w:t xml:space="preserve">a </w:t>
      </w:r>
      <w:r w:rsidR="00143099">
        <w:rPr>
          <w:lang w:val="en-US"/>
        </w:rPr>
        <w:t>SCS</w:t>
      </w:r>
      <w:r w:rsidR="00E45316">
        <w:rPr>
          <w:lang w:val="en-US"/>
        </w:rPr>
        <w:t xml:space="preserve"> configuration </w:t>
      </w:r>
      <w:r w:rsidR="00EA5731" w:rsidRPr="00B916EC">
        <w:rPr>
          <w:lang w:val="en-US"/>
        </w:rPr>
        <w:t>defined in [4, TS 38.211]</w:t>
      </w:r>
    </w:p>
    <w:p w14:paraId="416A4CCC" w14:textId="633FF0B1" w:rsidR="0082200F" w:rsidRDefault="00F31749" w:rsidP="0082200F">
      <w:pPr>
        <w:pStyle w:val="B1"/>
        <w:rPr>
          <w:lang w:val="en-US"/>
        </w:rPr>
      </w:pPr>
      <w:r>
        <w:lastRenderedPageBreak/>
        <w:t>-</w:t>
      </w:r>
      <w:r>
        <w:tab/>
      </w:r>
      <m:oMath>
        <m:sSub>
          <m:sSubPr>
            <m:ctrlPr>
              <w:rPr>
                <w:rFonts w:ascii="Cambria Math" w:hAnsi="Cambria Math"/>
                <w:i/>
              </w:rPr>
            </m:ctrlPr>
          </m:sSubPr>
          <m:e>
            <m:r>
              <w:rPr>
                <w:rFonts w:ascii="Cambria Math" w:hAnsi="Cambria Math"/>
              </w:rPr>
              <m:t>PL</m:t>
            </m:r>
          </m:e>
          <m:sub>
            <m:r>
              <w:rPr>
                <w:rFonts w:ascii="Cambria Math" w:hAnsi="Cambria Math"/>
              </w:rPr>
              <m:t>b,f,c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oMath>
      <w:r w:rsidR="009C0EC2">
        <w:rPr>
          <w:lang w:val="en-GB"/>
        </w:rPr>
        <w:t xml:space="preserve"> </w:t>
      </w:r>
      <w:r w:rsidR="00EA5731" w:rsidRPr="00B916EC">
        <w:t xml:space="preserve">is </w:t>
      </w:r>
      <w:r w:rsidR="00EA5731" w:rsidRPr="00B916EC">
        <w:rPr>
          <w:lang w:val="en-US"/>
        </w:rPr>
        <w:t>a</w:t>
      </w:r>
      <w:r w:rsidR="00EA5731" w:rsidRPr="00B916EC">
        <w:t xml:space="preserve"> downlink pathloss estimate </w:t>
      </w:r>
      <w:r w:rsidR="00EA5731" w:rsidRPr="00B916EC">
        <w:rPr>
          <w:rFonts w:eastAsia="MS Mincho"/>
        </w:rPr>
        <w:t xml:space="preserve">in dB </w:t>
      </w:r>
      <w:r w:rsidR="00EA5731" w:rsidRPr="00B916EC">
        <w:t xml:space="preserve">calculated </w:t>
      </w:r>
      <w:r w:rsidR="00EA5731" w:rsidRPr="00B916EC">
        <w:rPr>
          <w:lang w:val="en-US"/>
        </w:rPr>
        <w:t>by</w:t>
      </w:r>
      <w:r w:rsidR="00EA5731" w:rsidRPr="00B916EC">
        <w:t xml:space="preserve"> the UE </w:t>
      </w:r>
      <w:r w:rsidR="00EA5731" w:rsidRPr="00B916EC">
        <w:rPr>
          <w:lang w:val="en-US"/>
        </w:rPr>
        <w:t xml:space="preserve">using reference signal (RS) </w:t>
      </w:r>
      <w:r w:rsidR="0082200F">
        <w:rPr>
          <w:lang w:val="en-US"/>
        </w:rPr>
        <w:t>index</w:t>
      </w:r>
      <w:r w:rsidR="0082200F" w:rsidRPr="00B916EC">
        <w:rPr>
          <w:lang w:val="en-US"/>
        </w:rPr>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0082200F" w:rsidRPr="00B916EC">
        <w:rPr>
          <w:iCs/>
          <w:lang w:val="en-US"/>
        </w:rPr>
        <w:t xml:space="preserve"> </w:t>
      </w:r>
      <w:r w:rsidR="0082200F" w:rsidRPr="00B916EC">
        <w:t xml:space="preserve">for </w:t>
      </w:r>
      <w:r w:rsidR="0082200F">
        <w:rPr>
          <w:lang w:val="en-US"/>
        </w:rPr>
        <w:t xml:space="preserve">the active DL BWP, as described </w:t>
      </w:r>
      <w:r w:rsidR="006F5F9E">
        <w:rPr>
          <w:lang w:val="en-US"/>
        </w:rPr>
        <w:t>in clause</w:t>
      </w:r>
      <w:r w:rsidR="0082200F">
        <w:rPr>
          <w:lang w:val="en-US"/>
        </w:rPr>
        <w:t xml:space="preserve"> 12,</w:t>
      </w:r>
      <w:r w:rsidR="0082200F" w:rsidRPr="00B916EC">
        <w:rPr>
          <w:iCs/>
          <w:lang w:val="en-US"/>
        </w:rPr>
        <w:t xml:space="preserve"> </w:t>
      </w:r>
      <w:r w:rsidR="0082200F">
        <w:rPr>
          <w:iCs/>
          <w:lang w:val="en-US"/>
        </w:rPr>
        <w:t xml:space="preserve">of carrier </w:t>
      </w:r>
      <m:oMath>
        <m:r>
          <w:rPr>
            <w:rFonts w:ascii="Cambria Math" w:eastAsia="MS Mincho" w:hAnsi="Cambria Math"/>
            <w:lang w:val="en-US"/>
          </w:rPr>
          <m:t>f</m:t>
        </m:r>
      </m:oMath>
      <w:r w:rsidR="0082200F">
        <w:rPr>
          <w:iCs/>
          <w:lang w:val="en-US"/>
        </w:rPr>
        <w:t xml:space="preserve"> </w:t>
      </w:r>
      <w:r w:rsidR="0082200F" w:rsidRPr="00B916EC">
        <w:rPr>
          <w:iCs/>
          <w:lang w:val="en-US"/>
        </w:rPr>
        <w:t>of</w:t>
      </w:r>
      <w:r w:rsidR="0082200F" w:rsidRPr="00B916EC">
        <w:t xml:space="preserve"> serving cell </w:t>
      </w:r>
      <m:oMath>
        <m:r>
          <w:rPr>
            <w:rFonts w:ascii="Cambria Math" w:eastAsia="MS Mincho" w:hAnsi="Cambria Math"/>
            <w:lang w:val="en-US"/>
          </w:rPr>
          <m:t>c</m:t>
        </m:r>
      </m:oMath>
    </w:p>
    <w:p w14:paraId="4D5DE3D8" w14:textId="77777777" w:rsidR="001A0F7C" w:rsidRDefault="00CA0E12" w:rsidP="00A77CA3">
      <w:pPr>
        <w:pStyle w:val="B2"/>
        <w:rPr>
          <w:iCs/>
        </w:rPr>
      </w:pPr>
      <w:r>
        <w:t>-</w:t>
      </w:r>
      <w:r>
        <w:tab/>
        <w:t xml:space="preserve">If the UE is not provided </w:t>
      </w:r>
      <w:r w:rsidRPr="005B3110">
        <w:rPr>
          <w:i/>
        </w:rPr>
        <w:t>PUSCH-PathlossReferenceRS</w:t>
      </w:r>
      <w:r>
        <w:rPr>
          <w:rFonts w:eastAsia="MS Mincho"/>
        </w:rPr>
        <w:t xml:space="preserve"> </w:t>
      </w:r>
      <w:r w:rsidR="00327D89">
        <w:rPr>
          <w:lang w:val="en-US"/>
        </w:rPr>
        <w:t>and</w:t>
      </w:r>
      <w:r w:rsidR="00327D89" w:rsidRPr="00E37D08">
        <w:t xml:space="preserve"> </w:t>
      </w:r>
      <w:r w:rsidR="00CC43BD" w:rsidRPr="00E37D08">
        <w:rPr>
          <w:i/>
          <w:iCs/>
        </w:rPr>
        <w:t>enableDefaultBeamP</w:t>
      </w:r>
      <w:r w:rsidR="00CC43BD">
        <w:rPr>
          <w:i/>
          <w:iCs/>
          <w:lang w:val="en-US"/>
        </w:rPr>
        <w:t>L-</w:t>
      </w:r>
      <w:r w:rsidR="00CC43BD" w:rsidRPr="00E37D08">
        <w:rPr>
          <w:i/>
          <w:iCs/>
        </w:rPr>
        <w:t>ForSRS</w:t>
      </w:r>
      <w:r w:rsidR="00327D89">
        <w:rPr>
          <w:lang w:val="en-US"/>
        </w:rPr>
        <w:t>,</w:t>
      </w:r>
      <w:r w:rsidR="00327D89" w:rsidRPr="00E37D08">
        <w:rPr>
          <w:i/>
          <w:iCs/>
        </w:rPr>
        <w:t xml:space="preserve"> </w:t>
      </w:r>
      <w:r w:rsidR="00794930">
        <w:rPr>
          <w:rFonts w:eastAsia="MS Mincho"/>
          <w:lang w:val="en-US"/>
        </w:rPr>
        <w:t>or</w:t>
      </w:r>
      <w:r w:rsidR="00794930">
        <w:rPr>
          <w:rFonts w:eastAsia="MS Mincho"/>
        </w:rPr>
        <w:t xml:space="preserve"> </w:t>
      </w:r>
      <w:r>
        <w:rPr>
          <w:rFonts w:eastAsia="MS Mincho"/>
        </w:rPr>
        <w:t>before the UE is provided dedicated higher layer parameters</w:t>
      </w:r>
      <w:r w:rsidRPr="00B916EC">
        <w:rPr>
          <w:iCs/>
        </w:rPr>
        <w:t xml:space="preserve">, </w:t>
      </w:r>
      <w:r>
        <w:rPr>
          <w:iCs/>
        </w:rPr>
        <w:t xml:space="preserve">the UE calculates </w:t>
      </w:r>
      <m:oMath>
        <m:sSub>
          <m:sSubPr>
            <m:ctrlPr>
              <w:rPr>
                <w:rFonts w:ascii="Cambria Math" w:hAnsi="Cambria Math"/>
                <w:i/>
              </w:rPr>
            </m:ctrlPr>
          </m:sSubPr>
          <m:e>
            <m:r>
              <w:rPr>
                <w:rFonts w:ascii="Cambria Math" w:hAnsi="Cambria Math"/>
              </w:rPr>
              <m:t>PL</m:t>
            </m:r>
          </m:e>
          <m:sub>
            <m:r>
              <w:rPr>
                <w:rFonts w:ascii="Cambria Math" w:hAnsi="Cambria Math"/>
              </w:rPr>
              <m:t>b,f,c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oMath>
      <w:r>
        <w:rPr>
          <w:iCs/>
        </w:rPr>
        <w:t xml:space="preserve"> </w:t>
      </w:r>
    </w:p>
    <w:p w14:paraId="771D1146" w14:textId="2C8A8540" w:rsidR="001A0F7C" w:rsidRPr="001A0F7C" w:rsidRDefault="001A0F7C" w:rsidP="001A0F7C">
      <w:pPr>
        <w:pStyle w:val="B3"/>
        <w:rPr>
          <w:i/>
          <w:lang w:val="en-US"/>
        </w:rPr>
      </w:pPr>
      <w:r>
        <w:t>-</w:t>
      </w:r>
      <w:r>
        <w:tab/>
      </w:r>
      <w:r w:rsidR="00CA0E12">
        <w:t>using a RS resource</w:t>
      </w:r>
      <w:r w:rsidR="00794930">
        <w:rPr>
          <w:lang w:val="en-US"/>
        </w:rPr>
        <w:t xml:space="preserve"> </w:t>
      </w:r>
      <w:r w:rsidR="00CA0E12">
        <w:t xml:space="preserve">from </w:t>
      </w:r>
      <w:r w:rsidR="002015E7">
        <w:rPr>
          <w:lang w:val="en-US"/>
        </w:rPr>
        <w:t>an</w:t>
      </w:r>
      <w:r w:rsidR="002015E7">
        <w:t xml:space="preserve"> SS/PBCH block </w:t>
      </w:r>
      <w:r w:rsidR="002015E7" w:rsidRPr="007E77FC">
        <w:rPr>
          <w:rFonts w:eastAsia="MS Mincho"/>
        </w:rPr>
        <w:t>with same SS/PBCH block index as the one</w:t>
      </w:r>
      <w:r w:rsidR="00CA0E12">
        <w:t xml:space="preserve"> the UE </w:t>
      </w:r>
      <w:r w:rsidR="00794930">
        <w:rPr>
          <w:lang w:val="en-US"/>
        </w:rPr>
        <w:t xml:space="preserve">uses to </w:t>
      </w:r>
      <w:r w:rsidR="00CA0E12">
        <w:t xml:space="preserve">obtain </w:t>
      </w:r>
      <w:r w:rsidR="00C52891">
        <w:rPr>
          <w:i/>
          <w:lang w:val="en-US"/>
        </w:rPr>
        <w:t>MIB</w:t>
      </w:r>
      <w:r w:rsidR="002A0AA2" w:rsidRPr="00B54C25">
        <w:rPr>
          <w:iCs/>
          <w:lang w:val="en-US"/>
        </w:rPr>
        <w:t>, or using the SS/PBCH block the UE acquired the time and frequency synchronization for a secondary cell.</w:t>
      </w:r>
    </w:p>
    <w:p w14:paraId="052BFF91" w14:textId="312CB0DA" w:rsidR="00CA0E12" w:rsidRDefault="001A0F7C" w:rsidP="001A0F7C">
      <w:pPr>
        <w:pStyle w:val="B3"/>
      </w:pPr>
      <w:r w:rsidRPr="001A0F7C">
        <w:t>-</w:t>
      </w:r>
      <w:r w:rsidRPr="001A0F7C">
        <w:tab/>
        <w:t xml:space="preserve">if the UE is provided </w:t>
      </w:r>
      <w:r w:rsidRPr="001A0F7C">
        <w:rPr>
          <w:i/>
        </w:rPr>
        <w:t>ntn-RACH-LessHO</w:t>
      </w:r>
      <w:r w:rsidRPr="001A0F7C">
        <w:t xml:space="preserve"> in </w:t>
      </w:r>
      <w:r w:rsidRPr="001A0F7C">
        <w:rPr>
          <w:i/>
        </w:rPr>
        <w:t>ReconfigurationWithSync</w:t>
      </w:r>
      <w:r w:rsidRPr="001A0F7C">
        <w:t xml:space="preserve"> [12. TS 38.331], using a RS resource</w:t>
      </w:r>
      <w:r w:rsidRPr="001A0F7C">
        <w:rPr>
          <w:lang w:val="en-US"/>
        </w:rPr>
        <w:t xml:space="preserve"> </w:t>
      </w:r>
      <w:r w:rsidRPr="001A0F7C">
        <w:t xml:space="preserve">from </w:t>
      </w:r>
      <w:r w:rsidRPr="001A0F7C">
        <w:rPr>
          <w:lang w:val="en-US"/>
        </w:rPr>
        <w:t>an</w:t>
      </w:r>
      <w:r w:rsidRPr="001A0F7C">
        <w:t xml:space="preserve"> SS/PBCH block </w:t>
      </w:r>
      <w:r w:rsidRPr="001A0F7C">
        <w:rPr>
          <w:rFonts w:eastAsia="MS Mincho"/>
        </w:rPr>
        <w:t xml:space="preserve">with same SS/PBCH block index as the one with same </w:t>
      </w:r>
      <w:r w:rsidRPr="001A0F7C">
        <w:t xml:space="preserve">quasi co-location properties as for PDCCH receptions for scheduling an initial PUSCH transmission, as described in Clause 10.1, in </w:t>
      </w:r>
      <w:r w:rsidRPr="001A0F7C">
        <w:rPr>
          <w:i/>
        </w:rPr>
        <w:t>controlResourceSetZero</w:t>
      </w:r>
      <w:r w:rsidRPr="001A0F7C">
        <w:t xml:space="preserve"> provided in </w:t>
      </w:r>
      <w:r w:rsidRPr="001A0F7C">
        <w:rPr>
          <w:i/>
        </w:rPr>
        <w:t>ServingCellConfigCommon</w:t>
      </w:r>
      <w:r w:rsidRPr="001A0F7C">
        <w:t xml:space="preserve"> of </w:t>
      </w:r>
      <w:r w:rsidRPr="001A0F7C">
        <w:rPr>
          <w:i/>
        </w:rPr>
        <w:t>ReconfigurationWithSync</w:t>
      </w:r>
    </w:p>
    <w:p w14:paraId="03F82144" w14:textId="0F407244" w:rsidR="00CA0E12" w:rsidRDefault="00CA0E12" w:rsidP="00BA5282">
      <w:pPr>
        <w:pStyle w:val="B2"/>
        <w:rPr>
          <w:rFonts w:eastAsia="MS Mincho"/>
        </w:rPr>
      </w:pPr>
      <w:r>
        <w:t>-</w:t>
      </w:r>
      <w:r>
        <w:tab/>
        <w:t xml:space="preserve">If </w:t>
      </w:r>
      <w:r w:rsidRPr="00B916EC">
        <w:t>the UE is configured with a number of RS resource</w:t>
      </w:r>
      <w:r>
        <w:t xml:space="preserve"> indexe</w:t>
      </w:r>
      <w:r w:rsidRPr="00B916EC">
        <w:t>s</w:t>
      </w:r>
      <w:r w:rsidR="0058198C">
        <w:rPr>
          <w:lang w:val="en-US"/>
        </w:rPr>
        <w:t>,</w:t>
      </w:r>
      <w:r w:rsidRPr="00B916EC">
        <w:t xml:space="preserve"> </w:t>
      </w:r>
      <w:r>
        <w:t>up to the value of</w:t>
      </w:r>
      <w:r w:rsidRPr="00B916EC">
        <w:t xml:space="preserve"> </w:t>
      </w:r>
      <w:r w:rsidRPr="005B3110">
        <w:rPr>
          <w:i/>
        </w:rPr>
        <w:t>maxNrofPUSCH-PathlossReferenceRS</w:t>
      </w:r>
      <w:r w:rsidRPr="00612E78">
        <w:rPr>
          <w:i/>
        </w:rPr>
        <w:t>s</w:t>
      </w:r>
      <w:r w:rsidR="0058198C" w:rsidRPr="00AB72D2">
        <w:rPr>
          <w:lang w:val="en-US"/>
        </w:rPr>
        <w:t>,</w:t>
      </w:r>
      <w:r w:rsidRPr="0058198C">
        <w:rPr>
          <w:rFonts w:eastAsia="MS Mincho"/>
        </w:rPr>
        <w:t xml:space="preserve"> </w:t>
      </w:r>
      <w:r w:rsidRPr="00B916EC">
        <w:rPr>
          <w:rFonts w:eastAsia="MS Mincho"/>
        </w:rPr>
        <w:t>and a respective set of RS configurations for the number of RS resource</w:t>
      </w:r>
      <w:r>
        <w:rPr>
          <w:rFonts w:eastAsia="MS Mincho"/>
        </w:rPr>
        <w:t xml:space="preserve"> indexe</w:t>
      </w:r>
      <w:r w:rsidRPr="00B916EC">
        <w:rPr>
          <w:rFonts w:eastAsia="MS Mincho"/>
        </w:rPr>
        <w:t xml:space="preserve">s by </w:t>
      </w:r>
      <w:r w:rsidRPr="005B3110">
        <w:rPr>
          <w:i/>
        </w:rPr>
        <w:t>PUSCH-PathlossReferenceRS</w:t>
      </w:r>
      <w:r w:rsidR="0058198C">
        <w:rPr>
          <w:lang w:val="en-US"/>
        </w:rPr>
        <w:t>, t</w:t>
      </w:r>
      <w:r>
        <w:rPr>
          <w:rFonts w:eastAsia="MS Mincho"/>
        </w:rPr>
        <w:t xml:space="preserve">he set of RS resource indexes can </w:t>
      </w:r>
      <w:r w:rsidRPr="00B916EC">
        <w:rPr>
          <w:rFonts w:eastAsia="MS Mincho"/>
        </w:rPr>
        <w:t>include one or both of a set of SS/PBCH block indexes</w:t>
      </w:r>
      <w:r>
        <w:rPr>
          <w:rFonts w:eastAsia="MS Mincho"/>
        </w:rPr>
        <w:t>, each</w:t>
      </w:r>
      <w:r w:rsidRPr="00B916EC">
        <w:rPr>
          <w:rFonts w:eastAsia="MS Mincho"/>
        </w:rPr>
        <w:t xml:space="preserve"> provided by </w:t>
      </w:r>
      <w:r w:rsidRPr="005B3110">
        <w:rPr>
          <w:i/>
        </w:rPr>
        <w:t>ssb-Index</w:t>
      </w:r>
      <w:r w:rsidRPr="00B916EC">
        <w:rPr>
          <w:rFonts w:eastAsia="MS Mincho"/>
        </w:rPr>
        <w:t xml:space="preserve"> </w:t>
      </w:r>
      <w:r>
        <w:rPr>
          <w:rFonts w:eastAsia="MS Mincho"/>
        </w:rPr>
        <w:t xml:space="preserve">when a value of a corresponding </w:t>
      </w:r>
      <w:r w:rsidRPr="00075297">
        <w:rPr>
          <w:i/>
        </w:rPr>
        <w:t>pusch-</w:t>
      </w:r>
      <w:r w:rsidRPr="00BF09E1">
        <w:rPr>
          <w:i/>
        </w:rPr>
        <w:t>PathlossReferenceRS-Id</w:t>
      </w:r>
      <w:r w:rsidRPr="00B916EC">
        <w:rPr>
          <w:rFonts w:eastAsia="MS Mincho"/>
        </w:rPr>
        <w:t xml:space="preserve"> </w:t>
      </w:r>
      <w:r>
        <w:rPr>
          <w:rFonts w:eastAsia="MS Mincho"/>
        </w:rPr>
        <w:t xml:space="preserve">maps to a SS/PBCH block index, </w:t>
      </w:r>
      <w:r w:rsidRPr="00B916EC">
        <w:rPr>
          <w:rFonts w:eastAsia="MS Mincho"/>
        </w:rPr>
        <w:t xml:space="preserve">and a set of CSI-RS </w:t>
      </w:r>
      <w:r>
        <w:rPr>
          <w:rFonts w:eastAsia="MS Mincho"/>
        </w:rPr>
        <w:t>resource</w:t>
      </w:r>
      <w:r w:rsidRPr="00B916EC">
        <w:rPr>
          <w:rFonts w:eastAsia="MS Mincho"/>
        </w:rPr>
        <w:t xml:space="preserve"> indexes</w:t>
      </w:r>
      <w:r>
        <w:rPr>
          <w:rFonts w:eastAsia="MS Mincho"/>
        </w:rPr>
        <w:t>, each</w:t>
      </w:r>
      <w:r w:rsidRPr="00B916EC">
        <w:rPr>
          <w:rFonts w:eastAsia="MS Mincho"/>
        </w:rPr>
        <w:t xml:space="preserve"> provided by </w:t>
      </w:r>
      <w:r w:rsidRPr="005B3110">
        <w:rPr>
          <w:i/>
        </w:rPr>
        <w:t>csi-RS-Index</w:t>
      </w:r>
      <w:r>
        <w:rPr>
          <w:rFonts w:eastAsia="MS Mincho"/>
          <w:i/>
        </w:rPr>
        <w:t xml:space="preserve"> </w:t>
      </w:r>
      <w:r>
        <w:rPr>
          <w:rFonts w:eastAsia="MS Mincho"/>
        </w:rPr>
        <w:t xml:space="preserve">when a value of a corresponding </w:t>
      </w:r>
      <w:r w:rsidRPr="00BF09E1">
        <w:rPr>
          <w:i/>
        </w:rPr>
        <w:t>pusch-PathlossReferenceRS-Id</w:t>
      </w:r>
      <w:r w:rsidRPr="00B916EC">
        <w:rPr>
          <w:rFonts w:eastAsia="MS Mincho"/>
        </w:rPr>
        <w:t xml:space="preserve"> </w:t>
      </w:r>
      <w:r>
        <w:rPr>
          <w:rFonts w:eastAsia="MS Mincho"/>
        </w:rPr>
        <w:t>maps to a CSI-RS resource index</w:t>
      </w:r>
      <w:r w:rsidRPr="00B916EC">
        <w:rPr>
          <w:iCs/>
        </w:rPr>
        <w:t xml:space="preserve">. </w:t>
      </w:r>
      <w:r w:rsidRPr="00B916EC">
        <w:rPr>
          <w:rFonts w:eastAsia="MS Mincho"/>
        </w:rPr>
        <w:t xml:space="preserve">The UE identifies a RS resource </w:t>
      </w:r>
      <w:r>
        <w:rPr>
          <w:rFonts w:eastAsia="MS Mincho"/>
        </w:rPr>
        <w:t>index</w:t>
      </w:r>
      <w:r w:rsidR="0058198C">
        <w:rPr>
          <w:rFonts w:eastAsia="MS Mincho"/>
          <w:lang w:val="en-US"/>
        </w:rPr>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Pr>
          <w:rFonts w:eastAsia="MS Mincho"/>
        </w:rPr>
        <w:t xml:space="preserve"> </w:t>
      </w:r>
      <w:r w:rsidRPr="00B916EC">
        <w:rPr>
          <w:rFonts w:eastAsia="MS Mincho"/>
        </w:rPr>
        <w:t>in the set of RS resource</w:t>
      </w:r>
      <w:r>
        <w:rPr>
          <w:rFonts w:eastAsia="MS Mincho"/>
        </w:rPr>
        <w:t xml:space="preserve"> indexe</w:t>
      </w:r>
      <w:r w:rsidRPr="00B916EC">
        <w:rPr>
          <w:rFonts w:eastAsia="MS Mincho"/>
        </w:rPr>
        <w:t xml:space="preserve">s to correspond </w:t>
      </w:r>
      <w:r>
        <w:rPr>
          <w:rFonts w:eastAsia="MS Mincho"/>
        </w:rPr>
        <w:t xml:space="preserve">either </w:t>
      </w:r>
      <w:r w:rsidRPr="00B916EC">
        <w:rPr>
          <w:rFonts w:eastAsia="MS Mincho"/>
        </w:rPr>
        <w:t xml:space="preserve">to a SS/PBCH block </w:t>
      </w:r>
      <w:r>
        <w:rPr>
          <w:rFonts w:eastAsia="MS Mincho"/>
        </w:rPr>
        <w:t xml:space="preserve">index </w:t>
      </w:r>
      <w:r w:rsidRPr="00B916EC">
        <w:rPr>
          <w:rFonts w:eastAsia="MS Mincho"/>
        </w:rPr>
        <w:t xml:space="preserve">or to a CSI-RS </w:t>
      </w:r>
      <w:r>
        <w:rPr>
          <w:rFonts w:eastAsia="MS Mincho"/>
        </w:rPr>
        <w:t>resource index</w:t>
      </w:r>
      <w:r w:rsidRPr="00B916EC">
        <w:rPr>
          <w:rFonts w:eastAsia="MS Mincho"/>
        </w:rPr>
        <w:t xml:space="preserve"> as provided by </w:t>
      </w:r>
      <w:r w:rsidRPr="005B3110">
        <w:rPr>
          <w:i/>
        </w:rPr>
        <w:t>pusch-PathlossReferenceRS-Id</w:t>
      </w:r>
      <w:r>
        <w:rPr>
          <w:rFonts w:eastAsia="MS Mincho"/>
        </w:rPr>
        <w:t xml:space="preserve"> in </w:t>
      </w:r>
      <w:r w:rsidRPr="005B3110">
        <w:rPr>
          <w:i/>
        </w:rPr>
        <w:t>PUSCH-PathlossReferenceRS</w:t>
      </w:r>
    </w:p>
    <w:p w14:paraId="6120DB08" w14:textId="5388C09C" w:rsidR="00CA0E12" w:rsidRDefault="00CA0E12" w:rsidP="00BA5282">
      <w:pPr>
        <w:pStyle w:val="B2"/>
      </w:pPr>
      <w:r>
        <w:t>-</w:t>
      </w:r>
      <w:r>
        <w:tab/>
        <w:t>If the PUSCH</w:t>
      </w:r>
      <w:r w:rsidR="00C52891" w:rsidRPr="00C52891">
        <w:rPr>
          <w:lang w:val="en-US"/>
        </w:rPr>
        <w:t xml:space="preserve"> </w:t>
      </w:r>
      <w:r w:rsidR="00C52891">
        <w:rPr>
          <w:lang w:val="en-US"/>
        </w:rPr>
        <w:t xml:space="preserve">transmission </w:t>
      </w:r>
      <w:r w:rsidR="00C52891">
        <w:t xml:space="preserve">is </w:t>
      </w:r>
      <w:r w:rsidR="00C52891">
        <w:rPr>
          <w:lang w:val="en-US"/>
        </w:rPr>
        <w:t xml:space="preserve">scheduled by a RAR UL grant as described </w:t>
      </w:r>
      <w:r w:rsidR="006F5F9E">
        <w:rPr>
          <w:lang w:val="en-US"/>
        </w:rPr>
        <w:t>in clause</w:t>
      </w:r>
      <w:r w:rsidR="00C52891">
        <w:rPr>
          <w:lang w:val="en-US"/>
        </w:rPr>
        <w:t xml:space="preserve"> 8.3</w:t>
      </w:r>
      <w:r w:rsidRPr="00B916EC">
        <w:rPr>
          <w:iCs/>
        </w:rPr>
        <w:t xml:space="preserve">, </w:t>
      </w:r>
      <w:r w:rsidR="00E31DED">
        <w:rPr>
          <w:iCs/>
        </w:rPr>
        <w:t xml:space="preserve">or for a PUSCH transmission for Type-2 random access procedure as described </w:t>
      </w:r>
      <w:r w:rsidR="006F5F9E">
        <w:rPr>
          <w:iCs/>
        </w:rPr>
        <w:t>in clause</w:t>
      </w:r>
      <w:r w:rsidR="00E31DED">
        <w:rPr>
          <w:iCs/>
        </w:rPr>
        <w:t xml:space="preserve"> 8.1A, </w:t>
      </w:r>
      <w:r>
        <w:rPr>
          <w:iCs/>
        </w:rPr>
        <w:t>the UE uses the same RS resource index</w:t>
      </w:r>
      <w:r w:rsidR="0058198C">
        <w:rPr>
          <w:iCs/>
          <w:lang w:val="en-US"/>
        </w:rPr>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Pr>
          <w:iCs/>
        </w:rPr>
        <w:t xml:space="preserve"> as for a corresponding PRACH transmission</w:t>
      </w:r>
    </w:p>
    <w:p w14:paraId="6BD8BEA2" w14:textId="77777777" w:rsidR="00752CE6" w:rsidRDefault="00495967" w:rsidP="00495967">
      <w:pPr>
        <w:pStyle w:val="B2"/>
        <w:rPr>
          <w:lang w:val="en-US"/>
        </w:rPr>
      </w:pPr>
      <w:r>
        <w:rPr>
          <w:lang w:eastAsia="zh-CN"/>
        </w:rPr>
        <w:t>-</w:t>
      </w:r>
      <w:r>
        <w:rPr>
          <w:lang w:eastAsia="zh-CN"/>
        </w:rPr>
        <w:tab/>
        <w:t xml:space="preserve">If the UE is provided </w:t>
      </w:r>
      <w:r w:rsidRPr="00155FC2">
        <w:rPr>
          <w:i/>
        </w:rPr>
        <w:t>SRI-PUSCH-PowerControl</w:t>
      </w:r>
      <w:r>
        <w:rPr>
          <w:iCs/>
          <w:lang w:val="en-US"/>
        </w:rPr>
        <w:t xml:space="preserve"> </w:t>
      </w:r>
      <w:r w:rsidRPr="007A2D3D">
        <w:t xml:space="preserve">and more than one values of </w:t>
      </w:r>
      <w:r w:rsidRPr="005B3110">
        <w:rPr>
          <w:i/>
        </w:rPr>
        <w:t>PUSCH-PathlossReferenceRS-Id</w:t>
      </w:r>
      <w:r>
        <w:t>, the UE obtains</w:t>
      </w:r>
      <w:r w:rsidRPr="004516B4">
        <w:t xml:space="preserve"> a mapping </w:t>
      </w:r>
      <w:r>
        <w:rPr>
          <w:lang w:val="en-US"/>
        </w:rPr>
        <w:t xml:space="preserve">from </w:t>
      </w:r>
      <w:r w:rsidRPr="00155FC2">
        <w:rPr>
          <w:i/>
        </w:rPr>
        <w:t>sri-PUSCH-PowerControlId</w:t>
      </w:r>
      <w:r w:rsidRPr="004516B4">
        <w:t xml:space="preserve"> </w:t>
      </w:r>
      <w:r>
        <w:rPr>
          <w:lang w:val="en-US"/>
        </w:rPr>
        <w:t xml:space="preserve">in </w:t>
      </w:r>
      <w:r w:rsidRPr="00155FC2">
        <w:rPr>
          <w:i/>
        </w:rPr>
        <w:t>SRI-PUSCH-PowerControl</w:t>
      </w:r>
      <w:r w:rsidRPr="004516B4">
        <w:t xml:space="preserve"> between a set of values for the SRI field</w:t>
      </w:r>
      <w:r w:rsidR="00752CE6" w:rsidRPr="00F415B1">
        <w:rPr>
          <w:lang w:val="en-US"/>
        </w:rPr>
        <w:t>, or for first and second SRI fields if</w:t>
      </w:r>
      <w:r w:rsidR="00752CE6" w:rsidRPr="00F415B1">
        <w:t xml:space="preserve"> the UE is provided </w:t>
      </w:r>
      <w:r w:rsidR="00752CE6" w:rsidRPr="00F415B1">
        <w:rPr>
          <w:iCs/>
        </w:rPr>
        <w:t xml:space="preserve">two SRS resource sets in </w:t>
      </w:r>
      <w:r w:rsidR="00752CE6" w:rsidRPr="00F415B1">
        <w:rPr>
          <w:i/>
        </w:rPr>
        <w:t>srs-ResourceSetToAddModList</w:t>
      </w:r>
      <w:r w:rsidR="00752CE6" w:rsidRPr="00F415B1">
        <w:rPr>
          <w:iCs/>
        </w:rPr>
        <w:t xml:space="preserve"> or </w:t>
      </w:r>
      <w:r w:rsidR="00752CE6" w:rsidRPr="00F415B1">
        <w:rPr>
          <w:i/>
        </w:rPr>
        <w:t>srs-ResourceSetToAddModListDCI-0-2</w:t>
      </w:r>
      <w:r w:rsidR="00752CE6" w:rsidRPr="00F415B1">
        <w:rPr>
          <w:iCs/>
        </w:rPr>
        <w:t xml:space="preserve"> with </w:t>
      </w:r>
      <w:r w:rsidR="00752CE6" w:rsidRPr="00F415B1">
        <w:rPr>
          <w:i/>
        </w:rPr>
        <w:t>usage</w:t>
      </w:r>
      <w:r w:rsidR="00752CE6" w:rsidRPr="00F415B1">
        <w:rPr>
          <w:iCs/>
        </w:rPr>
        <w:t xml:space="preserve"> set to</w:t>
      </w:r>
      <w:r w:rsidR="00752CE6" w:rsidRPr="00F415B1">
        <w:t xml:space="preserve"> 'codebook'</w:t>
      </w:r>
      <w:r w:rsidR="00752CE6" w:rsidRPr="00F415B1">
        <w:rPr>
          <w:lang w:val="en-US"/>
        </w:rPr>
        <w:t xml:space="preserve">, or values for a first SRI field and values associated with a second SRI field value </w:t>
      </w:r>
      <w:r w:rsidR="00752CE6" w:rsidRPr="00F415B1">
        <w:t xml:space="preserve">corresponding to </w:t>
      </w:r>
      <w:r w:rsidR="00752CE6" w:rsidRPr="00F415B1">
        <w:rPr>
          <w:rFonts w:hint="eastAsia"/>
          <w:lang w:eastAsia="zh-CN"/>
        </w:rPr>
        <w:t>Tables 7.3.1.1.2-28/29/30/31</w:t>
      </w:r>
      <w:r w:rsidR="00752CE6" w:rsidRPr="00F415B1">
        <w:rPr>
          <w:lang w:eastAsia="zh-CN"/>
        </w:rPr>
        <w:t xml:space="preserve"> of </w:t>
      </w:r>
      <w:r w:rsidR="00752CE6" w:rsidRPr="00F415B1">
        <w:t>[5, TS 38.212]</w:t>
      </w:r>
      <w:r w:rsidR="00752CE6" w:rsidRPr="00F415B1">
        <w:rPr>
          <w:lang w:val="en-US"/>
        </w:rPr>
        <w:t xml:space="preserve"> for a same </w:t>
      </w:r>
      <w:r w:rsidR="00752CE6" w:rsidRPr="00F415B1">
        <w:rPr>
          <w:iCs/>
        </w:rPr>
        <w:t xml:space="preserve">number of layers </w:t>
      </w:r>
      <w:r w:rsidR="00752CE6" w:rsidRPr="00F415B1">
        <w:rPr>
          <w:iCs/>
          <w:lang w:val="en-US"/>
        </w:rPr>
        <w:t xml:space="preserve">as </w:t>
      </w:r>
      <w:r w:rsidR="00752CE6" w:rsidRPr="00F415B1">
        <w:rPr>
          <w:iCs/>
        </w:rPr>
        <w:t>indicated by the first SRI field</w:t>
      </w:r>
      <w:r w:rsidR="00752CE6" w:rsidRPr="00F415B1">
        <w:rPr>
          <w:iCs/>
          <w:lang w:val="en-US"/>
        </w:rPr>
        <w:t xml:space="preserve"> value</w:t>
      </w:r>
      <w:r w:rsidR="00752CE6" w:rsidRPr="00F415B1">
        <w:rPr>
          <w:lang w:val="en-US"/>
        </w:rPr>
        <w:t xml:space="preserve"> </w:t>
      </w:r>
      <w:r w:rsidR="00752CE6" w:rsidRPr="00F415B1">
        <w:t xml:space="preserve">if the UE is provided </w:t>
      </w:r>
      <w:r w:rsidR="00752CE6" w:rsidRPr="00F415B1">
        <w:rPr>
          <w:iCs/>
        </w:rPr>
        <w:t xml:space="preserve">two SRS resource sets in </w:t>
      </w:r>
      <w:r w:rsidR="00752CE6" w:rsidRPr="00F415B1">
        <w:rPr>
          <w:i/>
        </w:rPr>
        <w:t>srs-ResourceSetToAddModList</w:t>
      </w:r>
      <w:r w:rsidR="00752CE6" w:rsidRPr="00F415B1">
        <w:rPr>
          <w:iCs/>
        </w:rPr>
        <w:t xml:space="preserve"> or </w:t>
      </w:r>
      <w:r w:rsidR="00752CE6" w:rsidRPr="00F415B1">
        <w:rPr>
          <w:i/>
        </w:rPr>
        <w:t>srs-ResourceSetToAddModListDCI-0-2</w:t>
      </w:r>
      <w:r w:rsidR="00752CE6" w:rsidRPr="00F415B1">
        <w:rPr>
          <w:iCs/>
        </w:rPr>
        <w:t xml:space="preserve"> with </w:t>
      </w:r>
      <w:r w:rsidR="00752CE6" w:rsidRPr="00F415B1">
        <w:rPr>
          <w:i/>
        </w:rPr>
        <w:t>usage</w:t>
      </w:r>
      <w:r w:rsidR="00752CE6" w:rsidRPr="00F415B1">
        <w:rPr>
          <w:iCs/>
        </w:rPr>
        <w:t xml:space="preserve"> set to</w:t>
      </w:r>
      <w:r w:rsidR="00752CE6" w:rsidRPr="00F415B1">
        <w:t xml:space="preserve"> 'nonCodebook'</w:t>
      </w:r>
      <w:r w:rsidR="00752CE6" w:rsidRPr="00F415B1">
        <w:rPr>
          <w:lang w:val="en-US"/>
        </w:rPr>
        <w:t>,</w:t>
      </w:r>
      <w:r w:rsidRPr="004516B4">
        <w:t xml:space="preserve"> in </w:t>
      </w:r>
      <w:r w:rsidR="00817D03">
        <w:rPr>
          <w:lang w:val="en-US"/>
        </w:rPr>
        <w:t xml:space="preserve">a </w:t>
      </w:r>
      <w:r w:rsidRPr="004516B4">
        <w:t xml:space="preserve">DCI format </w:t>
      </w:r>
      <w:r w:rsidR="00817D03" w:rsidRPr="00EE027F">
        <w:rPr>
          <w:lang w:val="en-US"/>
        </w:rPr>
        <w:t>scheduling the PUSCH transmission</w:t>
      </w:r>
      <w:r w:rsidRPr="004516B4">
        <w:t xml:space="preserve"> and a set of </w:t>
      </w:r>
      <w:r w:rsidRPr="005B3110">
        <w:rPr>
          <w:i/>
        </w:rPr>
        <w:t>PUSCH-PathlossReferenceRS-Id</w:t>
      </w:r>
      <w:r>
        <w:rPr>
          <w:rFonts w:eastAsia="MS Mincho"/>
        </w:rPr>
        <w:t xml:space="preserve"> values</w:t>
      </w:r>
      <w:r w:rsidR="00817D03">
        <w:rPr>
          <w:lang w:val="en-US"/>
        </w:rPr>
        <w:t xml:space="preserve"> and</w:t>
      </w:r>
      <w:r w:rsidRPr="004516B4">
        <w:t xml:space="preserve"> </w:t>
      </w:r>
      <w:r>
        <w:t>determines</w:t>
      </w:r>
      <w:r w:rsidRPr="004516B4">
        <w:t xml:space="preserve"> the RS resource </w:t>
      </w:r>
      <w:r w:rsidR="004B17ED">
        <w:rPr>
          <w:lang w:val="en-US"/>
        </w:rPr>
        <w:t>index</w:t>
      </w:r>
      <w:r w:rsidR="004B17ED" w:rsidRPr="004516B4">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00752CE6" w:rsidRPr="00F415B1">
        <w:rPr>
          <w:lang w:val="en-US" w:eastAsia="zh-CN"/>
        </w:rPr>
        <w:t xml:space="preserve">, or </w:t>
      </w:r>
      <w:r w:rsidR="00752CE6" w:rsidRPr="00F415B1">
        <w:rPr>
          <w:lang w:val="en-US"/>
        </w:rPr>
        <w:t xml:space="preserve">respective first and second </w:t>
      </w:r>
      <w:r w:rsidR="00752CE6" w:rsidRPr="00F415B1">
        <w:t xml:space="preserve">RS resource </w:t>
      </w:r>
      <w:r w:rsidR="00752CE6" w:rsidRPr="00F415B1">
        <w:rPr>
          <w:lang w:val="en-US"/>
        </w:rPr>
        <w:t>indexes</w:t>
      </w:r>
      <w:r w:rsidR="00752CE6" w:rsidRPr="00F415B1">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00752CE6" w:rsidRPr="00F415B1">
        <w:rPr>
          <w:lang w:val="en-US" w:eastAsia="zh-CN"/>
        </w:rPr>
        <w:t>,</w:t>
      </w:r>
      <w:r w:rsidRPr="004516B4">
        <w:rPr>
          <w:iCs/>
        </w:rPr>
        <w:t xml:space="preserve"> </w:t>
      </w:r>
      <w:r w:rsidRPr="004516B4">
        <w:t xml:space="preserve">from the </w:t>
      </w:r>
      <w:r>
        <w:t>value</w:t>
      </w:r>
      <w:r w:rsidRPr="004516B4">
        <w:t xml:space="preserve"> of </w:t>
      </w:r>
      <w:r w:rsidR="004B17ED">
        <w:rPr>
          <w:rFonts w:eastAsia="MS Mincho"/>
          <w:i/>
          <w:lang w:val="en-US"/>
        </w:rPr>
        <w:t>PUSCH</w:t>
      </w:r>
      <w:r w:rsidR="004B17ED" w:rsidRPr="00B916EC">
        <w:rPr>
          <w:rFonts w:eastAsia="MS Mincho"/>
          <w:i/>
        </w:rPr>
        <w:t>-</w:t>
      </w:r>
      <w:r w:rsidR="004B17ED">
        <w:rPr>
          <w:rFonts w:eastAsia="MS Mincho"/>
          <w:i/>
          <w:lang w:val="en-US"/>
        </w:rPr>
        <w:t>P</w:t>
      </w:r>
      <w:r w:rsidR="004B17ED" w:rsidRPr="00B916EC">
        <w:rPr>
          <w:rFonts w:eastAsia="MS Mincho"/>
          <w:i/>
        </w:rPr>
        <w:t>athloss</w:t>
      </w:r>
      <w:r w:rsidR="004B17ED">
        <w:rPr>
          <w:rFonts w:eastAsia="MS Mincho"/>
          <w:i/>
          <w:lang w:val="en-US"/>
        </w:rPr>
        <w:t>R</w:t>
      </w:r>
      <w:r w:rsidR="004B17ED" w:rsidRPr="00B916EC">
        <w:rPr>
          <w:rFonts w:eastAsia="MS Mincho"/>
          <w:i/>
        </w:rPr>
        <w:t>eference</w:t>
      </w:r>
      <w:r w:rsidR="00C52891">
        <w:rPr>
          <w:rFonts w:eastAsia="MS Mincho"/>
          <w:i/>
          <w:lang w:val="en-US"/>
        </w:rPr>
        <w:t>RS</w:t>
      </w:r>
      <w:r w:rsidR="004B17ED" w:rsidRPr="00B916EC">
        <w:rPr>
          <w:rFonts w:eastAsia="MS Mincho"/>
          <w:i/>
        </w:rPr>
        <w:t>-</w:t>
      </w:r>
      <w:r w:rsidR="004B17ED">
        <w:rPr>
          <w:rFonts w:eastAsia="MS Mincho"/>
          <w:i/>
          <w:lang w:val="en-US"/>
        </w:rPr>
        <w:t>Id</w:t>
      </w:r>
      <w:r>
        <w:rPr>
          <w:rFonts w:eastAsia="MS Mincho"/>
        </w:rPr>
        <w:t xml:space="preserve"> </w:t>
      </w:r>
      <w:r w:rsidRPr="004516B4">
        <w:t>that is mapped to the SRI field value</w:t>
      </w:r>
      <w:r w:rsidR="00752CE6" w:rsidRPr="00F415B1">
        <w:rPr>
          <w:lang w:val="en-US"/>
        </w:rPr>
        <w:t xml:space="preserve">, or from the </w:t>
      </w:r>
      <w:r w:rsidR="00752CE6" w:rsidRPr="00F415B1">
        <w:t>value</w:t>
      </w:r>
      <w:r w:rsidR="00752CE6" w:rsidRPr="00F415B1">
        <w:rPr>
          <w:lang w:val="en-US"/>
        </w:rPr>
        <w:t>s</w:t>
      </w:r>
      <w:r w:rsidR="00752CE6" w:rsidRPr="00F415B1">
        <w:t xml:space="preserve"> of </w:t>
      </w:r>
      <w:r w:rsidR="00752CE6" w:rsidRPr="00F415B1">
        <w:rPr>
          <w:rFonts w:eastAsia="MS Mincho"/>
          <w:i/>
          <w:lang w:val="en-US"/>
        </w:rPr>
        <w:t>PUSCH</w:t>
      </w:r>
      <w:r w:rsidR="00752CE6" w:rsidRPr="00F415B1">
        <w:rPr>
          <w:rFonts w:eastAsia="MS Mincho"/>
          <w:i/>
        </w:rPr>
        <w:t>-</w:t>
      </w:r>
      <w:r w:rsidR="00752CE6" w:rsidRPr="00F415B1">
        <w:rPr>
          <w:rFonts w:eastAsia="MS Mincho"/>
          <w:i/>
          <w:lang w:val="en-US"/>
        </w:rPr>
        <w:t>P</w:t>
      </w:r>
      <w:r w:rsidR="00752CE6" w:rsidRPr="00F415B1">
        <w:rPr>
          <w:rFonts w:eastAsia="MS Mincho"/>
          <w:i/>
        </w:rPr>
        <w:t>athloss</w:t>
      </w:r>
      <w:r w:rsidR="00752CE6" w:rsidRPr="00F415B1">
        <w:rPr>
          <w:rFonts w:eastAsia="MS Mincho"/>
          <w:i/>
          <w:lang w:val="en-US"/>
        </w:rPr>
        <w:t>R</w:t>
      </w:r>
      <w:r w:rsidR="00752CE6" w:rsidRPr="00F415B1">
        <w:rPr>
          <w:rFonts w:eastAsia="MS Mincho"/>
          <w:i/>
        </w:rPr>
        <w:t>eference</w:t>
      </w:r>
      <w:r w:rsidR="00752CE6" w:rsidRPr="00F415B1">
        <w:rPr>
          <w:rFonts w:eastAsia="MS Mincho"/>
          <w:i/>
          <w:lang w:val="en-US"/>
        </w:rPr>
        <w:t>RS</w:t>
      </w:r>
      <w:r w:rsidR="00752CE6" w:rsidRPr="00F415B1">
        <w:rPr>
          <w:rFonts w:eastAsia="MS Mincho"/>
          <w:i/>
        </w:rPr>
        <w:t>-</w:t>
      </w:r>
      <w:r w:rsidR="00752CE6" w:rsidRPr="00F415B1">
        <w:rPr>
          <w:rFonts w:eastAsia="MS Mincho"/>
          <w:i/>
          <w:lang w:val="en-US"/>
        </w:rPr>
        <w:t>Id</w:t>
      </w:r>
      <w:r w:rsidR="00752CE6" w:rsidRPr="00F415B1">
        <w:rPr>
          <w:rFonts w:eastAsia="MS Mincho"/>
        </w:rPr>
        <w:t xml:space="preserve"> </w:t>
      </w:r>
      <w:r w:rsidR="00752CE6" w:rsidRPr="00F415B1">
        <w:t xml:space="preserve">that </w:t>
      </w:r>
      <w:r w:rsidR="00752CE6" w:rsidRPr="00F415B1">
        <w:rPr>
          <w:lang w:val="en-US"/>
        </w:rPr>
        <w:t>are</w:t>
      </w:r>
      <w:r w:rsidR="00752CE6" w:rsidRPr="00F415B1">
        <w:t xml:space="preserve"> mapped to </w:t>
      </w:r>
      <w:r w:rsidR="00752CE6" w:rsidRPr="00F415B1">
        <w:rPr>
          <w:lang w:val="en-US"/>
        </w:rPr>
        <w:t xml:space="preserve">respective first and second </w:t>
      </w:r>
      <w:r w:rsidR="00752CE6" w:rsidRPr="00F415B1">
        <w:t>SRI field value</w:t>
      </w:r>
      <w:r w:rsidR="00752CE6" w:rsidRPr="00F415B1">
        <w:rPr>
          <w:lang w:val="en-US"/>
        </w:rPr>
        <w:t>s if</w:t>
      </w:r>
      <w:r w:rsidR="00752CE6" w:rsidRPr="00F415B1">
        <w:t xml:space="preserve"> the UE is provided </w:t>
      </w:r>
      <w:r w:rsidR="00752CE6" w:rsidRPr="00F415B1">
        <w:rPr>
          <w:iCs/>
        </w:rPr>
        <w:t xml:space="preserve">two SRS resource sets in </w:t>
      </w:r>
      <w:r w:rsidR="00752CE6" w:rsidRPr="00F415B1">
        <w:rPr>
          <w:i/>
        </w:rPr>
        <w:t>srs-ResourceSetToAddModList</w:t>
      </w:r>
      <w:r w:rsidR="00752CE6" w:rsidRPr="00F415B1">
        <w:rPr>
          <w:iCs/>
        </w:rPr>
        <w:t xml:space="preserve"> or </w:t>
      </w:r>
      <w:r w:rsidR="00752CE6" w:rsidRPr="00F415B1">
        <w:rPr>
          <w:i/>
        </w:rPr>
        <w:t>srs-ResourceSetToAddModListDCI-0-2</w:t>
      </w:r>
      <w:r w:rsidR="00752CE6" w:rsidRPr="00F415B1">
        <w:rPr>
          <w:iCs/>
        </w:rPr>
        <w:t xml:space="preserve"> with </w:t>
      </w:r>
      <w:r w:rsidR="00752CE6" w:rsidRPr="00F415B1">
        <w:rPr>
          <w:i/>
        </w:rPr>
        <w:t>usage</w:t>
      </w:r>
      <w:r w:rsidR="00752CE6" w:rsidRPr="00F415B1">
        <w:rPr>
          <w:iCs/>
        </w:rPr>
        <w:t xml:space="preserve"> set to</w:t>
      </w:r>
      <w:r w:rsidR="00752CE6" w:rsidRPr="00F415B1">
        <w:t xml:space="preserve"> 'codebook'</w:t>
      </w:r>
      <w:r w:rsidR="00752CE6" w:rsidRPr="00F415B1">
        <w:rPr>
          <w:lang w:val="en-US"/>
        </w:rPr>
        <w:t xml:space="preserve">, or from the </w:t>
      </w:r>
      <w:r w:rsidR="00752CE6" w:rsidRPr="00F415B1">
        <w:t>value</w:t>
      </w:r>
      <w:r w:rsidR="00752CE6" w:rsidRPr="00F415B1">
        <w:rPr>
          <w:lang w:val="en-US"/>
        </w:rPr>
        <w:t>s</w:t>
      </w:r>
      <w:r w:rsidR="00752CE6" w:rsidRPr="00F415B1">
        <w:t xml:space="preserve"> of </w:t>
      </w:r>
      <w:r w:rsidR="00752CE6" w:rsidRPr="00F415B1">
        <w:rPr>
          <w:rFonts w:eastAsia="MS Mincho"/>
          <w:i/>
          <w:lang w:val="en-US"/>
        </w:rPr>
        <w:t>PUSCH</w:t>
      </w:r>
      <w:r w:rsidR="00752CE6" w:rsidRPr="00F415B1">
        <w:rPr>
          <w:rFonts w:eastAsia="MS Mincho"/>
          <w:i/>
        </w:rPr>
        <w:t>-</w:t>
      </w:r>
      <w:r w:rsidR="00752CE6" w:rsidRPr="00F415B1">
        <w:rPr>
          <w:rFonts w:eastAsia="MS Mincho"/>
          <w:i/>
          <w:lang w:val="en-US"/>
        </w:rPr>
        <w:t>P</w:t>
      </w:r>
      <w:r w:rsidR="00752CE6" w:rsidRPr="00F415B1">
        <w:rPr>
          <w:rFonts w:eastAsia="MS Mincho"/>
          <w:i/>
        </w:rPr>
        <w:t>athloss</w:t>
      </w:r>
      <w:r w:rsidR="00752CE6" w:rsidRPr="00F415B1">
        <w:rPr>
          <w:rFonts w:eastAsia="MS Mincho"/>
          <w:i/>
          <w:lang w:val="en-US"/>
        </w:rPr>
        <w:t>R</w:t>
      </w:r>
      <w:r w:rsidR="00752CE6" w:rsidRPr="00F415B1">
        <w:rPr>
          <w:rFonts w:eastAsia="MS Mincho"/>
          <w:i/>
        </w:rPr>
        <w:t>eference</w:t>
      </w:r>
      <w:r w:rsidR="00752CE6" w:rsidRPr="00F415B1">
        <w:rPr>
          <w:rFonts w:eastAsia="MS Mincho"/>
          <w:i/>
          <w:lang w:val="en-US"/>
        </w:rPr>
        <w:t>RS</w:t>
      </w:r>
      <w:r w:rsidR="00752CE6" w:rsidRPr="00F415B1">
        <w:rPr>
          <w:rFonts w:eastAsia="MS Mincho"/>
          <w:i/>
        </w:rPr>
        <w:t>-</w:t>
      </w:r>
      <w:r w:rsidR="00752CE6" w:rsidRPr="00F415B1">
        <w:rPr>
          <w:rFonts w:eastAsia="MS Mincho"/>
          <w:i/>
          <w:lang w:val="en-US"/>
        </w:rPr>
        <w:t>Id</w:t>
      </w:r>
      <w:r w:rsidR="00752CE6" w:rsidRPr="00F415B1">
        <w:rPr>
          <w:rFonts w:eastAsia="MS Mincho"/>
        </w:rPr>
        <w:t xml:space="preserve"> </w:t>
      </w:r>
      <w:r w:rsidR="00752CE6" w:rsidRPr="00F415B1">
        <w:t xml:space="preserve">that </w:t>
      </w:r>
      <w:r w:rsidR="00752CE6" w:rsidRPr="00F415B1">
        <w:rPr>
          <w:lang w:val="en-US"/>
        </w:rPr>
        <w:t>are</w:t>
      </w:r>
      <w:r w:rsidR="00752CE6" w:rsidRPr="00F415B1">
        <w:t xml:space="preserve"> mapped to </w:t>
      </w:r>
      <w:r w:rsidR="00752CE6" w:rsidRPr="00F415B1">
        <w:rPr>
          <w:lang w:val="en-US"/>
        </w:rPr>
        <w:t xml:space="preserve">respective first </w:t>
      </w:r>
      <w:r w:rsidR="00752CE6" w:rsidRPr="00F415B1">
        <w:t>SRI field value</w:t>
      </w:r>
      <w:r w:rsidR="00752CE6" w:rsidRPr="00F415B1">
        <w:rPr>
          <w:lang w:val="en-US"/>
        </w:rPr>
        <w:t xml:space="preserve"> and a value associated with the second SRI field value </w:t>
      </w:r>
      <w:r w:rsidR="00752CE6" w:rsidRPr="00F415B1">
        <w:t xml:space="preserve">corresponding to </w:t>
      </w:r>
      <w:r w:rsidR="00752CE6" w:rsidRPr="00F415B1">
        <w:rPr>
          <w:rFonts w:hint="eastAsia"/>
          <w:lang w:eastAsia="zh-CN"/>
        </w:rPr>
        <w:t>Tables 7.3.1.1.2-28/29/30/31</w:t>
      </w:r>
      <w:r w:rsidR="00752CE6" w:rsidRPr="00F415B1">
        <w:rPr>
          <w:lang w:eastAsia="zh-CN"/>
        </w:rPr>
        <w:t xml:space="preserve"> of </w:t>
      </w:r>
      <w:r w:rsidR="00752CE6" w:rsidRPr="00F415B1">
        <w:t>[5, TS 38.212]</w:t>
      </w:r>
      <w:r w:rsidR="00752CE6" w:rsidRPr="00F415B1">
        <w:rPr>
          <w:lang w:val="en-US"/>
        </w:rPr>
        <w:t xml:space="preserve"> for a same </w:t>
      </w:r>
      <w:r w:rsidR="00752CE6" w:rsidRPr="00F415B1">
        <w:rPr>
          <w:iCs/>
        </w:rPr>
        <w:t xml:space="preserve">number of layers </w:t>
      </w:r>
      <w:r w:rsidR="00752CE6" w:rsidRPr="00F415B1">
        <w:rPr>
          <w:iCs/>
          <w:lang w:val="en-US"/>
        </w:rPr>
        <w:t xml:space="preserve">as </w:t>
      </w:r>
      <w:r w:rsidR="00752CE6" w:rsidRPr="00F415B1">
        <w:rPr>
          <w:iCs/>
        </w:rPr>
        <w:t>indicated by the first SRI field</w:t>
      </w:r>
      <w:r w:rsidR="00752CE6" w:rsidRPr="00F415B1">
        <w:rPr>
          <w:iCs/>
          <w:lang w:val="en-US"/>
        </w:rPr>
        <w:t xml:space="preserve"> value</w:t>
      </w:r>
      <w:r w:rsidR="00752CE6" w:rsidRPr="00F415B1">
        <w:rPr>
          <w:lang w:val="en-US"/>
        </w:rPr>
        <w:t xml:space="preserve"> </w:t>
      </w:r>
      <w:r w:rsidR="00752CE6" w:rsidRPr="00F415B1">
        <w:t xml:space="preserve">if the UE is provided </w:t>
      </w:r>
      <w:r w:rsidR="00752CE6" w:rsidRPr="00F415B1">
        <w:rPr>
          <w:iCs/>
        </w:rPr>
        <w:t xml:space="preserve">two SRS resource sets in </w:t>
      </w:r>
      <w:r w:rsidR="00752CE6" w:rsidRPr="00F415B1">
        <w:rPr>
          <w:i/>
        </w:rPr>
        <w:t>srs-ResourceSetToAddModList</w:t>
      </w:r>
      <w:r w:rsidR="00752CE6" w:rsidRPr="00F415B1">
        <w:rPr>
          <w:iCs/>
        </w:rPr>
        <w:t xml:space="preserve"> or </w:t>
      </w:r>
      <w:r w:rsidR="00752CE6" w:rsidRPr="00F415B1">
        <w:rPr>
          <w:i/>
        </w:rPr>
        <w:t>srs-ResourceSetToAddModListDCI-0-2</w:t>
      </w:r>
      <w:r w:rsidR="00752CE6" w:rsidRPr="00F415B1">
        <w:rPr>
          <w:iCs/>
        </w:rPr>
        <w:t xml:space="preserve"> with </w:t>
      </w:r>
      <w:r w:rsidR="00752CE6" w:rsidRPr="00F415B1">
        <w:rPr>
          <w:i/>
        </w:rPr>
        <w:t>usage</w:t>
      </w:r>
      <w:r w:rsidR="00752CE6" w:rsidRPr="00F415B1">
        <w:rPr>
          <w:iCs/>
        </w:rPr>
        <w:t xml:space="preserve"> set to</w:t>
      </w:r>
      <w:r w:rsidR="00752CE6" w:rsidRPr="00F415B1">
        <w:t xml:space="preserve"> 'nonCodebook'</w:t>
      </w:r>
      <w:r w:rsidR="00752CE6" w:rsidRPr="00F415B1">
        <w:rPr>
          <w:lang w:val="en-US"/>
        </w:rPr>
        <w:t>,</w:t>
      </w:r>
      <w:r w:rsidR="00C52891">
        <w:rPr>
          <w:lang w:val="en-US"/>
        </w:rPr>
        <w:t xml:space="preserve"> </w:t>
      </w:r>
    </w:p>
    <w:p w14:paraId="447FBDFD" w14:textId="48472163" w:rsidR="00495967" w:rsidRPr="003A5BF8" w:rsidRDefault="00C52891" w:rsidP="009400C8">
      <w:pPr>
        <w:pStyle w:val="B2"/>
        <w:ind w:left="567" w:firstLine="0"/>
        <w:rPr>
          <w:lang w:val="en-US"/>
        </w:rPr>
      </w:pPr>
      <w:r w:rsidRPr="007E2EF1">
        <w:t>where the RS resource is either on serving cell</w:t>
      </w:r>
      <w:r w:rsidRPr="007E2EF1">
        <w:rPr>
          <w:i/>
        </w:rPr>
        <w:t xml:space="preserve"> </w:t>
      </w:r>
      <m:oMath>
        <m:r>
          <w:rPr>
            <w:rFonts w:ascii="Cambria Math" w:eastAsia="MS Mincho" w:hAnsi="Cambria Math"/>
            <w:lang w:val="en-US"/>
          </w:rPr>
          <m:t>c</m:t>
        </m:r>
      </m:oMath>
      <w:r w:rsidRPr="007E2EF1">
        <w:rPr>
          <w:lang w:val="en-US"/>
        </w:rPr>
        <w:t xml:space="preserve"> </w:t>
      </w:r>
      <w:r w:rsidRPr="007E2EF1">
        <w:t xml:space="preserve">or, if provided, on a serving cell indicated by a value of </w:t>
      </w:r>
      <w:r w:rsidRPr="007E2EF1">
        <w:rPr>
          <w:i/>
          <w:iCs/>
        </w:rPr>
        <w:t>pathlossReferenceLinking</w:t>
      </w:r>
    </w:p>
    <w:p w14:paraId="513BE6D3" w14:textId="77777777" w:rsidR="00752CE6" w:rsidRDefault="00495967" w:rsidP="00E420AA">
      <w:pPr>
        <w:pStyle w:val="B2"/>
        <w:rPr>
          <w:shd w:val="clear" w:color="auto" w:fill="FFFFFF"/>
        </w:rPr>
      </w:pPr>
      <w:r w:rsidRPr="00E22A2E">
        <w:t>-</w:t>
      </w:r>
      <w:r w:rsidRPr="00E22A2E">
        <w:tab/>
      </w:r>
      <w:r w:rsidRPr="00EA04AE">
        <w:t xml:space="preserve">If the PUSCH transmission is </w:t>
      </w:r>
      <w:r w:rsidR="00AC16EB" w:rsidRPr="00AC16EB">
        <w:rPr>
          <w:lang w:val="en-US"/>
        </w:rPr>
        <w:t>scheduled by</w:t>
      </w:r>
      <w:r w:rsidRPr="00EA04AE">
        <w:t xml:space="preserve"> DCI format 0_0, </w:t>
      </w:r>
      <w:r w:rsidRPr="00EA04AE">
        <w:rPr>
          <w:shd w:val="clear" w:color="auto" w:fill="FFFFFF"/>
        </w:rPr>
        <w:t xml:space="preserve">and </w:t>
      </w:r>
    </w:p>
    <w:p w14:paraId="123D3DA8" w14:textId="6020FF5B" w:rsidR="00752CE6" w:rsidRPr="00F415B1" w:rsidRDefault="00752CE6" w:rsidP="009400C8">
      <w:pPr>
        <w:pStyle w:val="B3"/>
        <w:rPr>
          <w:shd w:val="clear" w:color="auto" w:fill="FFFFFF"/>
          <w:lang w:val="en-US"/>
        </w:rPr>
      </w:pPr>
      <w:r>
        <w:rPr>
          <w:lang w:val="en-US"/>
        </w:rPr>
        <w:t>-</w:t>
      </w:r>
      <w:r>
        <w:rPr>
          <w:lang w:val="en-US"/>
        </w:rPr>
        <w:tab/>
      </w:r>
      <w:r w:rsidRPr="00F415B1">
        <w:rPr>
          <w:lang w:val="en-US"/>
        </w:rPr>
        <w:t>if</w:t>
      </w:r>
      <w:r w:rsidRPr="00F415B1">
        <w:t xml:space="preserve"> </w:t>
      </w:r>
      <w:r w:rsidRPr="00F415B1">
        <w:rPr>
          <w:lang w:val="en-US"/>
        </w:rPr>
        <w:t xml:space="preserve">two spatial settings from </w:t>
      </w:r>
      <w:r w:rsidRPr="00F415B1">
        <w:rPr>
          <w:rStyle w:val="Emphasis"/>
        </w:rPr>
        <w:t>PUCCH-Spatial</w:t>
      </w:r>
      <w:r w:rsidRPr="00F415B1">
        <w:rPr>
          <w:rStyle w:val="Emphasis"/>
          <w:lang w:val="en-US"/>
        </w:rPr>
        <w:t>R</w:t>
      </w:r>
      <w:r w:rsidRPr="00F415B1">
        <w:rPr>
          <w:rStyle w:val="Emphasis"/>
        </w:rPr>
        <w:t>elation</w:t>
      </w:r>
      <w:r w:rsidRPr="00F415B1">
        <w:rPr>
          <w:rStyle w:val="Emphasis"/>
          <w:lang w:val="en-US"/>
        </w:rPr>
        <w:t>I</w:t>
      </w:r>
      <w:r w:rsidRPr="00F415B1">
        <w:rPr>
          <w:rStyle w:val="Emphasis"/>
        </w:rPr>
        <w:t>nfo</w:t>
      </w:r>
      <w:r w:rsidRPr="00F415B1">
        <w:rPr>
          <w:rStyle w:val="Emphasis"/>
          <w:i w:val="0"/>
          <w:iCs w:val="0"/>
          <w:lang w:val="en-US"/>
        </w:rPr>
        <w:t xml:space="preserve"> are activated for a PUCCH resource with a lowest index</w:t>
      </w:r>
      <w:r w:rsidR="00685C06" w:rsidRPr="0028409A">
        <w:rPr>
          <w:shd w:val="clear" w:color="auto" w:fill="FFFFFF"/>
        </w:rPr>
        <w:t xml:space="preserve"> </w:t>
      </w:r>
      <w:r w:rsidR="00685C06" w:rsidRPr="00EE5B10">
        <w:rPr>
          <w:shd w:val="clear" w:color="auto" w:fill="FFFFFF"/>
        </w:rPr>
        <w:t xml:space="preserve">for </w:t>
      </w:r>
      <w:r w:rsidR="00685C06">
        <w:rPr>
          <w:shd w:val="clear" w:color="auto" w:fill="FFFFFF"/>
          <w:lang w:val="en-US"/>
        </w:rPr>
        <w:t xml:space="preserve">active </w:t>
      </w:r>
      <w:r w:rsidR="00685C06" w:rsidRPr="00654992">
        <w:rPr>
          <w:lang w:val="en-US"/>
        </w:rPr>
        <w:t xml:space="preserve">UL BWP </w:t>
      </w:r>
      <m:oMath>
        <m:r>
          <w:rPr>
            <w:rFonts w:ascii="Cambria Math" w:hAnsi="Cambria Math"/>
            <w:lang w:val="en-US"/>
          </w:rPr>
          <m:t>b</m:t>
        </m:r>
      </m:oMath>
      <w:r w:rsidR="00685C06" w:rsidRPr="00EA04AE">
        <w:rPr>
          <w:lang w:val="en-US"/>
        </w:rPr>
        <w:t xml:space="preserve"> of </w:t>
      </w:r>
      <w:r w:rsidR="00685C06" w:rsidRPr="00EA04AE">
        <w:t xml:space="preserve">each </w:t>
      </w:r>
      <w:r w:rsidR="00685C06" w:rsidRPr="00EA04AE">
        <w:rPr>
          <w:lang w:val="en-US"/>
        </w:rPr>
        <w:t xml:space="preserve">carrier </w:t>
      </w:r>
      <m:oMath>
        <m:r>
          <w:rPr>
            <w:rFonts w:ascii="Cambria Math" w:eastAsia="MS Mincho" w:hAnsi="Cambria Math"/>
            <w:lang w:val="en-US"/>
          </w:rPr>
          <m:t>f</m:t>
        </m:r>
      </m:oMath>
      <w:r w:rsidR="00685C06" w:rsidRPr="00EA04AE">
        <w:rPr>
          <w:lang w:val="en-US"/>
        </w:rPr>
        <w:t xml:space="preserve"> and </w:t>
      </w:r>
      <w:r w:rsidR="00685C06" w:rsidRPr="00EA04AE">
        <w:t xml:space="preserve">serving cell </w:t>
      </w:r>
      <m:oMath>
        <m:r>
          <w:rPr>
            <w:rFonts w:ascii="Cambria Math" w:eastAsia="MS Mincho" w:hAnsi="Cambria Math"/>
            <w:lang w:val="en-US"/>
          </w:rPr>
          <m:t>c</m:t>
        </m:r>
      </m:oMath>
      <w:r w:rsidRPr="00F415B1">
        <w:rPr>
          <w:rStyle w:val="Emphasis"/>
          <w:i w:val="0"/>
          <w:iCs w:val="0"/>
          <w:lang w:val="en-US"/>
        </w:rPr>
        <w:t>, the UE uses the</w:t>
      </w:r>
      <w:r w:rsidRPr="00F415B1">
        <w:rPr>
          <w:lang w:val="en-US"/>
        </w:rPr>
        <w:t xml:space="preserve"> same RS resource index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Pr="00F415B1">
        <w:rPr>
          <w:lang w:val="en-US"/>
        </w:rPr>
        <w:t xml:space="preserve"> as for a PUCCH transmission with a spatial setting from the two spatial settings with lowest index in the PUCCH resource with the lowest index </w:t>
      </w:r>
      <w:r w:rsidR="00685C06" w:rsidRPr="00EE5B10">
        <w:rPr>
          <w:shd w:val="clear" w:color="auto" w:fill="FFFFFF"/>
        </w:rPr>
        <w:t xml:space="preserve">for </w:t>
      </w:r>
      <w:r w:rsidR="00685C06">
        <w:rPr>
          <w:shd w:val="clear" w:color="auto" w:fill="FFFFFF"/>
          <w:lang w:val="en-US"/>
        </w:rPr>
        <w:t xml:space="preserve">active </w:t>
      </w:r>
      <w:r w:rsidR="00685C06" w:rsidRPr="00654992">
        <w:rPr>
          <w:lang w:val="en-US"/>
        </w:rPr>
        <w:t xml:space="preserve">UL BWP </w:t>
      </w:r>
      <m:oMath>
        <m:r>
          <w:rPr>
            <w:rFonts w:ascii="Cambria Math" w:hAnsi="Cambria Math"/>
            <w:lang w:val="en-US"/>
          </w:rPr>
          <m:t>b</m:t>
        </m:r>
      </m:oMath>
      <w:r w:rsidR="00685C06" w:rsidRPr="00EA04AE">
        <w:rPr>
          <w:lang w:val="en-US"/>
        </w:rPr>
        <w:t xml:space="preserve"> of </w:t>
      </w:r>
      <w:r w:rsidR="00685C06" w:rsidRPr="00EA04AE">
        <w:t xml:space="preserve">each </w:t>
      </w:r>
      <w:r w:rsidR="00685C06" w:rsidRPr="00EA04AE">
        <w:rPr>
          <w:lang w:val="en-US"/>
        </w:rPr>
        <w:t xml:space="preserve">carrier </w:t>
      </w:r>
      <m:oMath>
        <m:r>
          <w:rPr>
            <w:rFonts w:ascii="Cambria Math" w:eastAsia="MS Mincho" w:hAnsi="Cambria Math"/>
            <w:lang w:val="en-US"/>
          </w:rPr>
          <m:t>f</m:t>
        </m:r>
      </m:oMath>
      <w:r w:rsidR="00685C06" w:rsidRPr="00EA04AE">
        <w:rPr>
          <w:lang w:val="en-US"/>
        </w:rPr>
        <w:t xml:space="preserve"> and </w:t>
      </w:r>
      <w:r w:rsidR="00685C06" w:rsidRPr="00EA04AE">
        <w:t xml:space="preserve">serving cell </w:t>
      </w:r>
      <m:oMath>
        <m:r>
          <w:rPr>
            <w:rFonts w:ascii="Cambria Math" w:eastAsia="MS Mincho" w:hAnsi="Cambria Math"/>
            <w:lang w:val="en-US"/>
          </w:rPr>
          <m:t>c</m:t>
        </m:r>
      </m:oMath>
    </w:p>
    <w:p w14:paraId="38820D4F" w14:textId="1DEC2128" w:rsidR="00E420AA" w:rsidRDefault="00752CE6" w:rsidP="009400C8">
      <w:pPr>
        <w:pStyle w:val="B3"/>
        <w:rPr>
          <w:lang w:val="en-US"/>
        </w:rPr>
      </w:pPr>
      <w:r>
        <w:rPr>
          <w:lang w:val="en-US"/>
        </w:rPr>
        <w:t>-</w:t>
      </w:r>
      <w:r>
        <w:rPr>
          <w:lang w:val="en-US"/>
        </w:rPr>
        <w:tab/>
      </w:r>
      <w:r w:rsidRPr="00F415B1">
        <w:rPr>
          <w:lang w:val="en-US"/>
        </w:rPr>
        <w:t>else,</w:t>
      </w:r>
      <w:r w:rsidRPr="00F415B1">
        <w:t xml:space="preserve"> </w:t>
      </w:r>
      <w:r w:rsidR="00495967" w:rsidRPr="00EA04AE">
        <w:rPr>
          <w:shd w:val="clear" w:color="auto" w:fill="FFFFFF"/>
        </w:rPr>
        <w:t xml:space="preserve">if the UE is provided a spatial setting by </w:t>
      </w:r>
      <w:r w:rsidR="00495967" w:rsidRPr="00FA7E83">
        <w:rPr>
          <w:rStyle w:val="Emphasis"/>
        </w:rPr>
        <w:t>PUCCH-</w:t>
      </w:r>
      <w:r w:rsidR="00BC343B" w:rsidRPr="00FA7E83">
        <w:rPr>
          <w:rStyle w:val="Emphasis"/>
        </w:rPr>
        <w:t>Spatial</w:t>
      </w:r>
      <w:r w:rsidR="00BC343B">
        <w:rPr>
          <w:rStyle w:val="Emphasis"/>
          <w:lang w:val="en-US"/>
        </w:rPr>
        <w:t>R</w:t>
      </w:r>
      <w:r w:rsidR="00BC343B" w:rsidRPr="00FA7E83">
        <w:rPr>
          <w:rStyle w:val="Emphasis"/>
        </w:rPr>
        <w:t>elation</w:t>
      </w:r>
      <w:r w:rsidR="00BC343B">
        <w:rPr>
          <w:rStyle w:val="Emphasis"/>
          <w:lang w:val="en-US"/>
        </w:rPr>
        <w:t>I</w:t>
      </w:r>
      <w:r w:rsidR="00BC343B" w:rsidRPr="00FA7E83">
        <w:rPr>
          <w:rStyle w:val="Emphasis"/>
        </w:rPr>
        <w:t>nfo</w:t>
      </w:r>
      <w:r w:rsidR="00BC343B">
        <w:rPr>
          <w:rStyle w:val="Emphasis"/>
          <w:lang w:val="en-US"/>
        </w:rPr>
        <w:t xml:space="preserve"> </w:t>
      </w:r>
      <w:r w:rsidR="00495967" w:rsidRPr="00EE5B10">
        <w:rPr>
          <w:shd w:val="clear" w:color="auto" w:fill="FFFFFF"/>
        </w:rPr>
        <w:t xml:space="preserve">for a PUCCH resource with a lowest index for </w:t>
      </w:r>
      <w:r w:rsidR="00AC16EB">
        <w:rPr>
          <w:shd w:val="clear" w:color="auto" w:fill="FFFFFF"/>
          <w:lang w:val="en-US"/>
        </w:rPr>
        <w:t xml:space="preserve">active </w:t>
      </w:r>
      <w:r w:rsidR="00495967" w:rsidRPr="00654992">
        <w:rPr>
          <w:lang w:val="en-US"/>
        </w:rPr>
        <w:t xml:space="preserve">UL </w:t>
      </w:r>
      <w:r w:rsidR="0023774A" w:rsidRPr="00654992">
        <w:rPr>
          <w:lang w:val="en-US"/>
        </w:rPr>
        <w:t xml:space="preserve">BWP </w:t>
      </w:r>
      <m:oMath>
        <m:r>
          <w:rPr>
            <w:rFonts w:ascii="Cambria Math" w:hAnsi="Cambria Math"/>
            <w:lang w:val="en-US"/>
          </w:rPr>
          <m:t>b</m:t>
        </m:r>
      </m:oMath>
      <w:r w:rsidR="0023774A" w:rsidRPr="00EA04AE">
        <w:rPr>
          <w:lang w:val="en-US"/>
        </w:rPr>
        <w:t xml:space="preserve"> of </w:t>
      </w:r>
      <w:r w:rsidR="0023774A" w:rsidRPr="00EA04AE">
        <w:t xml:space="preserve">each </w:t>
      </w:r>
      <w:r w:rsidR="0023774A" w:rsidRPr="00EA04AE">
        <w:rPr>
          <w:lang w:val="en-US"/>
        </w:rPr>
        <w:t xml:space="preserve">carrier </w:t>
      </w:r>
      <m:oMath>
        <m:r>
          <w:rPr>
            <w:rFonts w:ascii="Cambria Math" w:eastAsia="MS Mincho" w:hAnsi="Cambria Math"/>
            <w:lang w:val="en-US"/>
          </w:rPr>
          <m:t>f</m:t>
        </m:r>
      </m:oMath>
      <w:r w:rsidR="0023774A" w:rsidRPr="00EA04AE">
        <w:rPr>
          <w:lang w:val="en-US"/>
        </w:rPr>
        <w:t xml:space="preserve"> and </w:t>
      </w:r>
      <w:r w:rsidR="0023774A" w:rsidRPr="00EA04AE">
        <w:t xml:space="preserve">serving cell </w:t>
      </w:r>
      <m:oMath>
        <m:r>
          <w:rPr>
            <w:rFonts w:ascii="Cambria Math" w:eastAsia="MS Mincho" w:hAnsi="Cambria Math"/>
            <w:lang w:val="en-US"/>
          </w:rPr>
          <m:t>c</m:t>
        </m:r>
      </m:oMath>
      <w:r w:rsidR="00495967" w:rsidRPr="00EA04AE">
        <w:rPr>
          <w:shd w:val="clear" w:color="auto" w:fill="FFFFFF"/>
        </w:rPr>
        <w:t xml:space="preserve">, as described </w:t>
      </w:r>
      <w:r w:rsidR="006F5F9E">
        <w:rPr>
          <w:shd w:val="clear" w:color="auto" w:fill="FFFFFF"/>
        </w:rPr>
        <w:t>in clause</w:t>
      </w:r>
      <w:r w:rsidR="00495967" w:rsidRPr="00EA04AE">
        <w:rPr>
          <w:shd w:val="clear" w:color="auto" w:fill="FFFFFF"/>
        </w:rPr>
        <w:t xml:space="preserve"> 9.2.2, </w:t>
      </w:r>
      <w:r w:rsidR="00495967" w:rsidRPr="00EA04AE">
        <w:rPr>
          <w:lang w:val="en-US"/>
        </w:rPr>
        <w:lastRenderedPageBreak/>
        <w:t>the UE uses the same RS resource index</w:t>
      </w:r>
      <w:r w:rsidR="00AC16EB">
        <w:rPr>
          <w:lang w:val="en-US"/>
        </w:rPr>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00495967" w:rsidRPr="00EA04AE">
        <w:rPr>
          <w:lang w:val="en-US"/>
        </w:rPr>
        <w:t xml:space="preserve"> as for a PUCCH transmission</w:t>
      </w:r>
      <w:r w:rsidR="00AC16EB">
        <w:rPr>
          <w:lang w:val="en-US"/>
        </w:rPr>
        <w:t xml:space="preserve"> in the PUCCH resource with the lowest index</w:t>
      </w:r>
    </w:p>
    <w:p w14:paraId="73A864F4" w14:textId="407E96DB" w:rsidR="00495967" w:rsidRPr="00BA5282" w:rsidRDefault="00E420AA" w:rsidP="00BA5282">
      <w:pPr>
        <w:pStyle w:val="B2"/>
      </w:pPr>
      <w:r w:rsidRPr="00E37D08">
        <w:rPr>
          <w:rFonts w:hint="eastAsia"/>
        </w:rPr>
        <w:t>-</w:t>
      </w:r>
      <w:r>
        <w:tab/>
      </w:r>
      <w:r w:rsidRPr="00E37D08">
        <w:rPr>
          <w:rFonts w:hint="eastAsia"/>
        </w:rPr>
        <w:t xml:space="preserve">If the PUSCH transmission is </w:t>
      </w:r>
      <w:r w:rsidR="00CC43BD">
        <w:rPr>
          <w:lang w:val="en-US"/>
        </w:rPr>
        <w:t xml:space="preserve">not </w:t>
      </w:r>
      <w:r w:rsidRPr="00E37D08">
        <w:rPr>
          <w:rFonts w:hint="eastAsia"/>
        </w:rPr>
        <w:t>scheduled by DCI format 0_</w:t>
      </w:r>
      <w:r w:rsidR="00CC43BD">
        <w:rPr>
          <w:lang w:val="en-US"/>
        </w:rPr>
        <w:t>0</w:t>
      </w:r>
      <w:r w:rsidRPr="00E37D08">
        <w:rPr>
          <w:rFonts w:hint="eastAsia"/>
        </w:rPr>
        <w:t xml:space="preserve">, and if the UE is provided </w:t>
      </w:r>
      <w:r w:rsidR="00CC43BD" w:rsidRPr="00E37D08">
        <w:rPr>
          <w:i/>
          <w:iCs/>
        </w:rPr>
        <w:t>enableDefaultBeamP</w:t>
      </w:r>
      <w:r w:rsidR="00CC43BD">
        <w:rPr>
          <w:i/>
          <w:iCs/>
          <w:lang w:val="en-US"/>
        </w:rPr>
        <w:t>L-</w:t>
      </w:r>
      <w:r w:rsidR="00CC43BD" w:rsidRPr="00E37D08">
        <w:rPr>
          <w:i/>
          <w:iCs/>
        </w:rPr>
        <w:t>ForSRS</w:t>
      </w:r>
      <w:r w:rsidRPr="00E37D08">
        <w:rPr>
          <w:rFonts w:hint="eastAsia"/>
        </w:rPr>
        <w:t xml:space="preserve"> and is </w:t>
      </w:r>
      <w:r>
        <w:rPr>
          <w:lang w:val="en-US"/>
        </w:rPr>
        <w:t xml:space="preserve">not </w:t>
      </w:r>
      <w:r w:rsidRPr="00E37D08">
        <w:rPr>
          <w:rFonts w:hint="eastAsia"/>
        </w:rPr>
        <w:t xml:space="preserve">provided </w:t>
      </w:r>
      <w:r w:rsidRPr="00E37D08">
        <w:rPr>
          <w:rFonts w:hint="eastAsia"/>
          <w:i/>
        </w:rPr>
        <w:t>PUSCH-PathlossReferenceRS</w:t>
      </w:r>
      <w:r w:rsidRPr="00E37D08">
        <w:rPr>
          <w:rFonts w:hint="eastAsia"/>
        </w:rPr>
        <w:t xml:space="preserve"> </w:t>
      </w:r>
      <w:r>
        <w:rPr>
          <w:lang w:val="en-US"/>
        </w:rPr>
        <w:t>and</w:t>
      </w:r>
      <w:r w:rsidRPr="00E37D08">
        <w:rPr>
          <w:rFonts w:hint="eastAsia"/>
        </w:rPr>
        <w:t xml:space="preserve"> </w:t>
      </w:r>
      <w:r w:rsidRPr="00E37D08">
        <w:rPr>
          <w:rFonts w:hint="eastAsia"/>
          <w:i/>
        </w:rPr>
        <w:t>PUSCH-PathlossReferenceRS-r16,</w:t>
      </w:r>
      <w:r w:rsidRPr="00E37D08">
        <w:rPr>
          <w:rFonts w:hint="eastAsia"/>
        </w:rPr>
        <w:t xml:space="preserve"> the UE uses the same RS resource index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Pr>
          <w:lang w:val="en-US"/>
        </w:rPr>
        <w:t xml:space="preserve"> </w:t>
      </w:r>
      <w:r w:rsidRPr="00E37D08">
        <w:rPr>
          <w:rFonts w:hint="eastAsia"/>
        </w:rPr>
        <w:t xml:space="preserve">as for </w:t>
      </w:r>
      <w:r>
        <w:rPr>
          <w:lang w:val="en-US"/>
        </w:rPr>
        <w:t>a</w:t>
      </w:r>
      <w:r w:rsidR="00E12A0D">
        <w:rPr>
          <w:lang w:val="en-US"/>
        </w:rPr>
        <w:t>n</w:t>
      </w:r>
      <w:r w:rsidRPr="00E37D08">
        <w:rPr>
          <w:rFonts w:hint="eastAsia"/>
        </w:rPr>
        <w:t xml:space="preserve"> SRS resource set with </w:t>
      </w:r>
      <w:r>
        <w:rPr>
          <w:lang w:val="en-US"/>
        </w:rPr>
        <w:t xml:space="preserve">an </w:t>
      </w:r>
      <w:r w:rsidRPr="00E37D08">
        <w:rPr>
          <w:rFonts w:hint="eastAsia"/>
        </w:rPr>
        <w:t xml:space="preserve">SRS resource </w:t>
      </w:r>
      <w:r>
        <w:rPr>
          <w:lang w:val="en-US"/>
        </w:rPr>
        <w:t>associated with</w:t>
      </w:r>
      <w:r w:rsidRPr="00E37D08">
        <w:rPr>
          <w:rFonts w:hint="eastAsia"/>
        </w:rPr>
        <w:t xml:space="preserve"> the PUSCH transmission</w:t>
      </w:r>
    </w:p>
    <w:p w14:paraId="5C8A53F9" w14:textId="77777777" w:rsidR="00EE5E4F" w:rsidRDefault="007639D4" w:rsidP="0009732E">
      <w:pPr>
        <w:pStyle w:val="B2"/>
      </w:pPr>
      <w:r>
        <w:t>-</w:t>
      </w:r>
      <w:r>
        <w:tab/>
      </w:r>
      <w:r w:rsidR="00EA5731" w:rsidRPr="004516B4">
        <w:t xml:space="preserve">If </w:t>
      </w:r>
    </w:p>
    <w:p w14:paraId="43F7822C" w14:textId="27077BBB" w:rsidR="00361524" w:rsidRPr="0046408A" w:rsidRDefault="00361524" w:rsidP="00590EB5">
      <w:pPr>
        <w:pStyle w:val="B3"/>
      </w:pPr>
      <w:r w:rsidRPr="0046408A">
        <w:t>-</w:t>
      </w:r>
      <w:r w:rsidRPr="0046408A">
        <w:tab/>
      </w:r>
      <w:r w:rsidR="00302149" w:rsidRPr="0046408A">
        <w:rPr>
          <w:szCs w:val="16"/>
        </w:rPr>
        <w:t xml:space="preserve">the UE is not provided </w:t>
      </w:r>
      <w:r w:rsidR="00302149" w:rsidRPr="0046408A">
        <w:rPr>
          <w:i/>
          <w:szCs w:val="16"/>
        </w:rPr>
        <w:t>enableDefaultBeamPL-ForPUSCH0-0</w:t>
      </w:r>
      <w:r w:rsidR="00302149" w:rsidRPr="0046408A">
        <w:rPr>
          <w:szCs w:val="16"/>
        </w:rPr>
        <w:t xml:space="preserve"> and</w:t>
      </w:r>
      <w:r w:rsidR="00302149" w:rsidRPr="0046408A">
        <w:t xml:space="preserve"> </w:t>
      </w:r>
      <w:r w:rsidR="00EA5731" w:rsidRPr="0046408A">
        <w:t>the PUSCH transmission is scheduled by DCI format 0_0</w:t>
      </w:r>
      <w:r w:rsidR="00495967" w:rsidRPr="0046408A">
        <w:rPr>
          <w:lang w:val="en-US"/>
        </w:rPr>
        <w:t xml:space="preserve"> and the</w:t>
      </w:r>
      <w:r w:rsidR="00495967" w:rsidRPr="0046408A">
        <w:t xml:space="preserve"> UE is not provided a spatial setting for a PUCCH transmission</w:t>
      </w:r>
      <w:r w:rsidR="00495967" w:rsidRPr="0046408A">
        <w:rPr>
          <w:lang w:val="en-US"/>
        </w:rPr>
        <w:t>,</w:t>
      </w:r>
      <w:r w:rsidR="00EA5731" w:rsidRPr="0046408A">
        <w:t xml:space="preserve"> or </w:t>
      </w:r>
    </w:p>
    <w:p w14:paraId="1F003E62" w14:textId="141D1B5D" w:rsidR="00361524" w:rsidRDefault="00361524" w:rsidP="00590EB5">
      <w:pPr>
        <w:pStyle w:val="B3"/>
      </w:pPr>
      <w:r>
        <w:t>-</w:t>
      </w:r>
      <w:r>
        <w:tab/>
      </w:r>
      <w:r w:rsidRPr="004516B4">
        <w:t>the PUSCH transmission is</w:t>
      </w:r>
      <w:r w:rsidR="00CC43BD">
        <w:t xml:space="preserve"> </w:t>
      </w:r>
      <w:r w:rsidRPr="004516B4">
        <w:t>scheduled</w:t>
      </w:r>
      <w:r>
        <w:t xml:space="preserve"> </w:t>
      </w:r>
      <w:r w:rsidR="00EA5731">
        <w:t>by DCI format 0_</w:t>
      </w:r>
      <w:r w:rsidR="00BA745E">
        <w:t xml:space="preserve">1 </w:t>
      </w:r>
      <w:r w:rsidR="00BA745E" w:rsidRPr="00C319A5">
        <w:rPr>
          <w:lang w:val="x-none"/>
        </w:rPr>
        <w:t>or DCI format 0_2</w:t>
      </w:r>
      <w:r w:rsidR="00BA745E">
        <w:t xml:space="preserve"> </w:t>
      </w:r>
      <w:r w:rsidR="00EA5731">
        <w:t>that does not include a</w:t>
      </w:r>
      <w:r w:rsidR="00E420AA">
        <w:t>n</w:t>
      </w:r>
      <w:r w:rsidR="00EA5731">
        <w:t xml:space="preserve"> SRI field</w:t>
      </w:r>
      <w:r w:rsidR="00EA5731" w:rsidRPr="004516B4">
        <w:t>,</w:t>
      </w:r>
      <w:r w:rsidR="00EA5731">
        <w:t xml:space="preserve"> or </w:t>
      </w:r>
    </w:p>
    <w:p w14:paraId="2E9337D9" w14:textId="544CE9BF" w:rsidR="00361524" w:rsidRDefault="00361524" w:rsidP="00590EB5">
      <w:pPr>
        <w:pStyle w:val="B3"/>
      </w:pPr>
      <w:r>
        <w:t>-</w:t>
      </w:r>
      <w:r>
        <w:tab/>
      </w:r>
      <w:r w:rsidR="00AC16EB" w:rsidRPr="004516B4">
        <w:rPr>
          <w:i/>
          <w:iCs/>
        </w:rPr>
        <w:t>SRI-</w:t>
      </w:r>
      <w:r w:rsidR="00AC16EB">
        <w:rPr>
          <w:i/>
          <w:iCs/>
          <w:lang w:val="en-US"/>
        </w:rPr>
        <w:t>PUSCH-PowerControl</w:t>
      </w:r>
      <w:r w:rsidR="00EA5731">
        <w:t xml:space="preserve"> is not provided to the UE, </w:t>
      </w:r>
    </w:p>
    <w:p w14:paraId="1E35E0E0" w14:textId="55FA53F9" w:rsidR="00EA5731" w:rsidRDefault="00361524" w:rsidP="00361524">
      <w:pPr>
        <w:pStyle w:val="B2"/>
        <w:rPr>
          <w:i/>
          <w:iCs/>
        </w:rPr>
      </w:pPr>
      <w:r>
        <w:tab/>
      </w:r>
      <w:r w:rsidR="00EA5731">
        <w:t>the UE determines a RS resource</w:t>
      </w:r>
      <w:r w:rsidR="00AC16EB">
        <w:rPr>
          <w:lang w:val="en-US"/>
        </w:rPr>
        <w:t xml:space="preserve"> index</w:t>
      </w:r>
      <w:r w:rsidR="00AC16EB">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00EA5731">
        <w:t xml:space="preserve"> with a respective </w:t>
      </w:r>
      <w:r w:rsidR="00AC16EB">
        <w:rPr>
          <w:rFonts w:eastAsia="MS Mincho"/>
          <w:i/>
          <w:lang w:val="en-US"/>
        </w:rPr>
        <w:t>PUSCH</w:t>
      </w:r>
      <w:r w:rsidR="00AC16EB" w:rsidRPr="00B916EC">
        <w:rPr>
          <w:rFonts w:eastAsia="MS Mincho"/>
          <w:i/>
        </w:rPr>
        <w:t>-</w:t>
      </w:r>
      <w:r w:rsidR="00AC16EB">
        <w:rPr>
          <w:rFonts w:eastAsia="MS Mincho"/>
          <w:i/>
          <w:lang w:val="en-US"/>
        </w:rPr>
        <w:t>P</w:t>
      </w:r>
      <w:r w:rsidR="00AC16EB" w:rsidRPr="00B916EC">
        <w:rPr>
          <w:rFonts w:eastAsia="MS Mincho"/>
          <w:i/>
        </w:rPr>
        <w:t>athloss</w:t>
      </w:r>
      <w:r w:rsidR="00AC16EB">
        <w:rPr>
          <w:rFonts w:eastAsia="MS Mincho"/>
          <w:i/>
          <w:lang w:val="en-US"/>
        </w:rPr>
        <w:t>R</w:t>
      </w:r>
      <w:r w:rsidR="00AC16EB" w:rsidRPr="00B916EC">
        <w:rPr>
          <w:rFonts w:eastAsia="MS Mincho"/>
          <w:i/>
        </w:rPr>
        <w:t>eference</w:t>
      </w:r>
      <w:r w:rsidR="00C816D4">
        <w:rPr>
          <w:rFonts w:eastAsia="MS Mincho"/>
          <w:i/>
          <w:lang w:val="en-US"/>
        </w:rPr>
        <w:t>RS</w:t>
      </w:r>
      <w:r w:rsidR="00AC16EB" w:rsidRPr="00B916EC">
        <w:rPr>
          <w:rFonts w:eastAsia="MS Mincho"/>
          <w:i/>
        </w:rPr>
        <w:t>-</w:t>
      </w:r>
      <w:r w:rsidR="00AC16EB">
        <w:rPr>
          <w:rFonts w:eastAsia="MS Mincho"/>
          <w:i/>
          <w:lang w:val="en-US"/>
        </w:rPr>
        <w:t>Id</w:t>
      </w:r>
      <w:r w:rsidR="00EA5731">
        <w:rPr>
          <w:rFonts w:eastAsia="MS Mincho"/>
        </w:rPr>
        <w:t xml:space="preserve"> </w:t>
      </w:r>
      <w:r w:rsidR="00EA5731">
        <w:t>value being equal to zero</w:t>
      </w:r>
      <w:r w:rsidR="00C816D4">
        <w:rPr>
          <w:lang w:val="en-US"/>
        </w:rPr>
        <w:t xml:space="preserve"> </w:t>
      </w:r>
      <w:r w:rsidR="00C816D4" w:rsidRPr="007E2EF1">
        <w:t>where the RS resource is either on serving cell</w:t>
      </w:r>
      <w:r w:rsidR="00C816D4" w:rsidRPr="007E2EF1">
        <w:rPr>
          <w:i/>
        </w:rPr>
        <w:t xml:space="preserve"> </w:t>
      </w:r>
      <m:oMath>
        <m:r>
          <w:rPr>
            <w:rFonts w:ascii="Cambria Math" w:eastAsia="MS Mincho" w:hAnsi="Cambria Math"/>
            <w:lang w:val="en-US"/>
          </w:rPr>
          <m:t>c</m:t>
        </m:r>
      </m:oMath>
      <w:r w:rsidR="00C816D4" w:rsidRPr="007E2EF1">
        <w:rPr>
          <w:lang w:val="en-US"/>
        </w:rPr>
        <w:t xml:space="preserve"> </w:t>
      </w:r>
      <w:r w:rsidR="00C816D4" w:rsidRPr="007E2EF1">
        <w:t xml:space="preserve">or, if provided, on a serving cell indicated by a value of </w:t>
      </w:r>
      <w:r w:rsidR="00C816D4" w:rsidRPr="007E2EF1">
        <w:rPr>
          <w:i/>
          <w:iCs/>
        </w:rPr>
        <w:t>pathlossReferenceLinking</w:t>
      </w:r>
    </w:p>
    <w:p w14:paraId="754E7DC9" w14:textId="77777777" w:rsidR="00361524" w:rsidRDefault="00361524" w:rsidP="00361524">
      <w:pPr>
        <w:pStyle w:val="B2"/>
      </w:pPr>
      <w:r>
        <w:t>-</w:t>
      </w:r>
      <w:r>
        <w:tab/>
      </w:r>
      <w:r w:rsidRPr="004516B4">
        <w:t xml:space="preserve">If </w:t>
      </w:r>
    </w:p>
    <w:p w14:paraId="5F3C89F2" w14:textId="322B88BE" w:rsidR="00361524" w:rsidRDefault="00361524" w:rsidP="00590EB5">
      <w:pPr>
        <w:pStyle w:val="B3"/>
        <w:rPr>
          <w:lang w:val="en-US"/>
        </w:rPr>
      </w:pPr>
      <w:r>
        <w:t>-</w:t>
      </w:r>
      <w:r>
        <w:tab/>
      </w:r>
      <w:r w:rsidRPr="004516B4">
        <w:t xml:space="preserve">the PUSCH transmission is scheduled by </w:t>
      </w:r>
      <w:r>
        <w:t>DCI format 0_0</w:t>
      </w:r>
      <w:r w:rsidR="00E420AA" w:rsidRPr="00E420AA">
        <w:t xml:space="preserve"> </w:t>
      </w:r>
      <w:r w:rsidR="00E420AA">
        <w:t xml:space="preserve">on serving cell </w:t>
      </w:r>
      <m:oMath>
        <m:r>
          <w:rPr>
            <w:rFonts w:ascii="Cambria Math" w:eastAsia="MS Mincho" w:hAnsi="Cambria Math"/>
            <w:lang w:val="en-US"/>
          </w:rPr>
          <m:t>c</m:t>
        </m:r>
      </m:oMath>
      <w:r>
        <w:t>,</w:t>
      </w:r>
      <w:r>
        <w:rPr>
          <w:lang w:val="en-US"/>
        </w:rPr>
        <w:t xml:space="preserve"> </w:t>
      </w:r>
    </w:p>
    <w:p w14:paraId="3084E18E" w14:textId="003A617C" w:rsidR="00361524" w:rsidRDefault="00361524" w:rsidP="00590EB5">
      <w:pPr>
        <w:pStyle w:val="B3"/>
        <w:rPr>
          <w:lang w:val="en-US"/>
        </w:rPr>
      </w:pPr>
      <w:r>
        <w:t>-</w:t>
      </w:r>
      <w:r>
        <w:tab/>
      </w:r>
      <w:r>
        <w:rPr>
          <w:lang w:val="en-US"/>
        </w:rPr>
        <w:t>the</w:t>
      </w:r>
      <w:r w:rsidRPr="000753B4">
        <w:t xml:space="preserve"> UE is not provided </w:t>
      </w:r>
      <w:r>
        <w:t>PUCCH resources for the active UL BWP</w:t>
      </w:r>
      <w:r w:rsidR="00E420AA" w:rsidRPr="00E420AA">
        <w:t xml:space="preserve"> </w:t>
      </w:r>
      <w:r w:rsidR="00E420AA">
        <w:t xml:space="preserve">of serving cell </w:t>
      </w:r>
      <m:oMath>
        <m:r>
          <w:rPr>
            <w:rFonts w:ascii="Cambria Math" w:eastAsia="MS Mincho" w:hAnsi="Cambria Math"/>
            <w:lang w:val="en-US"/>
          </w:rPr>
          <m:t>c</m:t>
        </m:r>
      </m:oMath>
      <w:r>
        <w:rPr>
          <w:lang w:val="en-US"/>
        </w:rPr>
        <w:t>, and</w:t>
      </w:r>
    </w:p>
    <w:p w14:paraId="74CDD9DA" w14:textId="675833D8" w:rsidR="00361524" w:rsidRDefault="00361524" w:rsidP="00590EB5">
      <w:pPr>
        <w:pStyle w:val="B3"/>
      </w:pPr>
      <w:r>
        <w:t>-</w:t>
      </w:r>
      <w:r>
        <w:tab/>
      </w:r>
      <w:r>
        <w:rPr>
          <w:lang w:val="en-US"/>
        </w:rPr>
        <w:t xml:space="preserve">the UE is provided </w:t>
      </w:r>
      <w:r w:rsidR="000733CD" w:rsidRPr="00D74E91">
        <w:rPr>
          <w:i/>
          <w:lang w:val="en-US"/>
        </w:rPr>
        <w:t>enableDefaultBeamP</w:t>
      </w:r>
      <w:r w:rsidR="000733CD">
        <w:rPr>
          <w:i/>
          <w:lang w:val="en-US"/>
        </w:rPr>
        <w:t>L-</w:t>
      </w:r>
      <w:r w:rsidR="000733CD" w:rsidRPr="00D74E91">
        <w:rPr>
          <w:i/>
          <w:lang w:val="en-US"/>
        </w:rPr>
        <w:t>ForPUSCH0</w:t>
      </w:r>
      <w:r w:rsidR="00E12A0D">
        <w:rPr>
          <w:i/>
          <w:lang w:val="en-US"/>
        </w:rPr>
        <w:t>-0</w:t>
      </w:r>
      <w:r>
        <w:t xml:space="preserve"> </w:t>
      </w:r>
    </w:p>
    <w:p w14:paraId="60A657AF" w14:textId="450BD67B" w:rsidR="00590EB5" w:rsidRDefault="00361524" w:rsidP="00361524">
      <w:pPr>
        <w:pStyle w:val="B2"/>
      </w:pPr>
      <w:r>
        <w:tab/>
        <w:t>the UE determines a RS resource</w:t>
      </w:r>
      <w:r>
        <w:rPr>
          <w:lang w:val="en-US"/>
        </w:rPr>
        <w:t xml:space="preserve"> index</w:t>
      </w:r>
      <w:r>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t xml:space="preserve"> providing a </w:t>
      </w:r>
      <w:r w:rsidR="0096154A">
        <w:rPr>
          <w:lang w:val="en-US"/>
        </w:rPr>
        <w:t xml:space="preserve">periodic </w:t>
      </w:r>
      <w:r>
        <w:t xml:space="preserve">RS resource </w:t>
      </w:r>
      <w:r w:rsidR="00E12A0D">
        <w:rPr>
          <w:lang w:val="en-US"/>
        </w:rPr>
        <w:t xml:space="preserve">configured </w:t>
      </w:r>
      <w:r w:rsidR="00E12A0D">
        <w:t xml:space="preserve">with </w:t>
      </w:r>
      <w:r w:rsidR="00E12A0D" w:rsidRPr="005F35BE">
        <w:rPr>
          <w:i/>
          <w:lang w:val="en-US" w:eastAsia="ja-JP"/>
        </w:rPr>
        <w:t>qcl-Type</w:t>
      </w:r>
      <w:r w:rsidR="00E12A0D">
        <w:rPr>
          <w:lang w:val="en-US" w:eastAsia="ja-JP"/>
        </w:rPr>
        <w:t xml:space="preserve"> set to</w:t>
      </w:r>
      <w:r>
        <w:t xml:space="preserve"> </w:t>
      </w:r>
      <w:r w:rsidR="00D93480">
        <w:rPr>
          <w:lang w:val="en-US"/>
        </w:rPr>
        <w:t>'</w:t>
      </w:r>
      <w:r w:rsidR="00E12A0D">
        <w:rPr>
          <w:lang w:val="en-US"/>
        </w:rPr>
        <w:t>t</w:t>
      </w:r>
      <w:r w:rsidRPr="00326D6E">
        <w:t>ypeD</w:t>
      </w:r>
      <w:r w:rsidR="00D93480">
        <w:t>'</w:t>
      </w:r>
      <w:r>
        <w:t xml:space="preserve"> in the TCI state or the QCL assumption of a CORESET with the lowest index in the active DL BWP of the serving cell</w:t>
      </w:r>
      <w:r w:rsidR="00E420AA">
        <w:rPr>
          <w:lang w:val="en-US"/>
        </w:rPr>
        <w:t xml:space="preserve"> </w:t>
      </w:r>
      <m:oMath>
        <m:r>
          <w:rPr>
            <w:rFonts w:ascii="Cambria Math" w:eastAsia="MS Mincho" w:hAnsi="Cambria Math"/>
            <w:lang w:val="en-US"/>
          </w:rPr>
          <m:t>c</m:t>
        </m:r>
      </m:oMath>
      <w:r w:rsidR="009400C8">
        <w:rPr>
          <w:lang w:val="en-US"/>
        </w:rPr>
        <w:t>.</w:t>
      </w:r>
      <w:r w:rsidR="00752CE6" w:rsidRPr="00752CE6">
        <w:t xml:space="preserve"> </w:t>
      </w:r>
      <w:r w:rsidR="00752CE6" w:rsidRPr="00F415B1">
        <w:t>If the CORESET has two activated TCI states, as described in clause 10.1, the UE determines the RS resource</w:t>
      </w:r>
      <w:r w:rsidR="00752CE6" w:rsidRPr="00F415B1">
        <w:rPr>
          <w:lang w:val="en-US"/>
        </w:rPr>
        <w:t xml:space="preserve"> index</w:t>
      </w:r>
      <w:r w:rsidR="00752CE6" w:rsidRPr="00F415B1">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00752CE6" w:rsidRPr="00F415B1">
        <w:t xml:space="preserve"> based on the first TCI state.</w:t>
      </w:r>
    </w:p>
    <w:p w14:paraId="563A6E33" w14:textId="46E1D49D" w:rsidR="00361524" w:rsidRDefault="00361524" w:rsidP="00361524">
      <w:pPr>
        <w:pStyle w:val="B2"/>
      </w:pPr>
      <w:r>
        <w:t>-</w:t>
      </w:r>
      <w:r>
        <w:tab/>
      </w:r>
      <w:r w:rsidRPr="004516B4">
        <w:t xml:space="preserve">If </w:t>
      </w:r>
    </w:p>
    <w:p w14:paraId="1AA27F3C" w14:textId="17046F39" w:rsidR="00361524" w:rsidRDefault="00361524" w:rsidP="00590EB5">
      <w:pPr>
        <w:pStyle w:val="B3"/>
        <w:rPr>
          <w:lang w:val="en-US"/>
        </w:rPr>
      </w:pPr>
      <w:r>
        <w:t>-</w:t>
      </w:r>
      <w:r>
        <w:tab/>
      </w:r>
      <w:r w:rsidRPr="004516B4">
        <w:t xml:space="preserve">the PUSCH transmission is scheduled by </w:t>
      </w:r>
      <w:r>
        <w:t>DCI format 0_0</w:t>
      </w:r>
      <w:r w:rsidR="00E420AA" w:rsidRPr="00E420AA">
        <w:t xml:space="preserve"> </w:t>
      </w:r>
      <w:r w:rsidR="00E420AA">
        <w:t xml:space="preserve">on serving cell </w:t>
      </w:r>
      <m:oMath>
        <m:r>
          <w:rPr>
            <w:rFonts w:ascii="Cambria Math" w:eastAsia="MS Mincho" w:hAnsi="Cambria Math"/>
            <w:lang w:val="en-US"/>
          </w:rPr>
          <m:t>c</m:t>
        </m:r>
      </m:oMath>
      <w:r>
        <w:t>,</w:t>
      </w:r>
      <w:r>
        <w:rPr>
          <w:lang w:val="en-US"/>
        </w:rPr>
        <w:t xml:space="preserve"> </w:t>
      </w:r>
    </w:p>
    <w:p w14:paraId="66F7D911" w14:textId="77777777" w:rsidR="00361524" w:rsidRDefault="00361524" w:rsidP="00590EB5">
      <w:pPr>
        <w:pStyle w:val="B3"/>
        <w:rPr>
          <w:lang w:val="en-US"/>
        </w:rPr>
      </w:pPr>
      <w:r>
        <w:t>-</w:t>
      </w:r>
      <w:r>
        <w:tab/>
      </w:r>
      <w:r>
        <w:rPr>
          <w:lang w:val="en-US"/>
        </w:rPr>
        <w:t>the</w:t>
      </w:r>
      <w:r>
        <w:t xml:space="preserve"> UE is not </w:t>
      </w:r>
      <w:r w:rsidRPr="000753B4">
        <w:t xml:space="preserve">provided </w:t>
      </w:r>
      <w:r>
        <w:t>a spatial setting for PUCCH resources on the active UL BWP of the primary cell [11, TS 38.321]</w:t>
      </w:r>
      <w:r>
        <w:rPr>
          <w:lang w:val="en-US"/>
        </w:rPr>
        <w:t>, and</w:t>
      </w:r>
    </w:p>
    <w:p w14:paraId="4D4F4AD3" w14:textId="43445953" w:rsidR="00361524" w:rsidRDefault="00361524" w:rsidP="00590EB5">
      <w:pPr>
        <w:pStyle w:val="B3"/>
      </w:pPr>
      <w:r>
        <w:t>-</w:t>
      </w:r>
      <w:r>
        <w:tab/>
      </w:r>
      <w:r>
        <w:rPr>
          <w:lang w:val="en-US"/>
        </w:rPr>
        <w:t xml:space="preserve">the UE is provided </w:t>
      </w:r>
      <w:r w:rsidR="000733CD" w:rsidRPr="00D74E91">
        <w:rPr>
          <w:i/>
          <w:lang w:val="en-US"/>
        </w:rPr>
        <w:t>enableDefaultBeamP</w:t>
      </w:r>
      <w:r w:rsidR="000733CD">
        <w:rPr>
          <w:i/>
          <w:lang w:val="en-US"/>
        </w:rPr>
        <w:t>L-</w:t>
      </w:r>
      <w:r w:rsidR="000733CD" w:rsidRPr="00D74E91">
        <w:rPr>
          <w:i/>
          <w:lang w:val="en-US"/>
        </w:rPr>
        <w:t>ForPUSCH0</w:t>
      </w:r>
      <w:r w:rsidR="000733CD">
        <w:rPr>
          <w:i/>
          <w:lang w:val="en-US"/>
        </w:rPr>
        <w:t>-</w:t>
      </w:r>
      <w:r w:rsidR="00E12A0D">
        <w:rPr>
          <w:i/>
          <w:lang w:val="en-US"/>
        </w:rPr>
        <w:t>0</w:t>
      </w:r>
      <w:r w:rsidR="00E12A0D">
        <w:t xml:space="preserve"> </w:t>
      </w:r>
    </w:p>
    <w:p w14:paraId="3FDCB0DF" w14:textId="5C0D7082" w:rsidR="00361524" w:rsidRPr="00590EB5" w:rsidRDefault="00361524">
      <w:pPr>
        <w:pStyle w:val="B2"/>
      </w:pPr>
      <w:r>
        <w:tab/>
        <w:t>the UE determines a RS resource</w:t>
      </w:r>
      <w:r>
        <w:rPr>
          <w:lang w:val="en-US"/>
        </w:rPr>
        <w:t xml:space="preserve"> index</w:t>
      </w:r>
      <w:r>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t xml:space="preserve"> providing a </w:t>
      </w:r>
      <w:r w:rsidR="0096154A">
        <w:rPr>
          <w:lang w:val="en-US"/>
        </w:rPr>
        <w:t xml:space="preserve">periodic </w:t>
      </w:r>
      <w:r>
        <w:t xml:space="preserve">RS resource </w:t>
      </w:r>
      <w:r w:rsidR="00E12A0D">
        <w:rPr>
          <w:lang w:val="en-US"/>
        </w:rPr>
        <w:t xml:space="preserve">configured </w:t>
      </w:r>
      <w:r w:rsidR="00E12A0D">
        <w:t xml:space="preserve">with </w:t>
      </w:r>
      <w:r w:rsidR="00E12A0D" w:rsidRPr="005F35BE">
        <w:rPr>
          <w:i/>
          <w:lang w:val="en-US" w:eastAsia="ja-JP"/>
        </w:rPr>
        <w:t>qcl-Type</w:t>
      </w:r>
      <w:r w:rsidR="00E12A0D">
        <w:rPr>
          <w:lang w:val="en-US" w:eastAsia="ja-JP"/>
        </w:rPr>
        <w:t xml:space="preserve"> set to</w:t>
      </w:r>
      <w:r>
        <w:t xml:space="preserve"> </w:t>
      </w:r>
      <w:r w:rsidR="00D93480">
        <w:rPr>
          <w:lang w:val="en-US"/>
        </w:rPr>
        <w:t>'</w:t>
      </w:r>
      <w:r w:rsidR="00E12A0D">
        <w:rPr>
          <w:lang w:val="en-US"/>
        </w:rPr>
        <w:t>t</w:t>
      </w:r>
      <w:r w:rsidRPr="00326D6E">
        <w:t>ypeD</w:t>
      </w:r>
      <w:r w:rsidR="00D93480">
        <w:t>'</w:t>
      </w:r>
      <w:r>
        <w:t xml:space="preserve"> in the TCI state or the QCL assumption of a CORESET with the lowest index in the active DL BWP of </w:t>
      </w:r>
      <w:r w:rsidR="00E12A0D">
        <w:rPr>
          <w:lang w:val="en-US"/>
        </w:rPr>
        <w:t xml:space="preserve">the </w:t>
      </w:r>
      <w:r w:rsidR="00E420AA">
        <w:rPr>
          <w:lang w:val="en-US"/>
        </w:rPr>
        <w:t>serving</w:t>
      </w:r>
      <w:r w:rsidR="00E420AA">
        <w:t xml:space="preserve"> cell</w:t>
      </w:r>
      <w:r w:rsidR="00E420AA">
        <w:rPr>
          <w:lang w:val="en-US"/>
        </w:rPr>
        <w:t xml:space="preserve"> </w:t>
      </w:r>
      <m:oMath>
        <m:r>
          <w:rPr>
            <w:rFonts w:ascii="Cambria Math" w:eastAsia="MS Mincho" w:hAnsi="Cambria Math"/>
            <w:lang w:val="en-US"/>
          </w:rPr>
          <m:t>c</m:t>
        </m:r>
      </m:oMath>
      <w:r w:rsidR="009400C8">
        <w:rPr>
          <w:lang w:val="en-US"/>
        </w:rPr>
        <w:t>.</w:t>
      </w:r>
      <w:r w:rsidR="003703DC" w:rsidRPr="003703DC">
        <w:t xml:space="preserve"> </w:t>
      </w:r>
      <w:r w:rsidR="003703DC" w:rsidRPr="00F415B1">
        <w:t>If the CORESET has two activated TCI states, as described in clause 10.1, the UE determines the RS resource</w:t>
      </w:r>
      <w:r w:rsidR="003703DC" w:rsidRPr="00F415B1">
        <w:rPr>
          <w:lang w:val="en-US"/>
        </w:rPr>
        <w:t xml:space="preserve"> index</w:t>
      </w:r>
      <w:r w:rsidR="003703DC" w:rsidRPr="00F415B1">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003703DC" w:rsidRPr="00F415B1">
        <w:t xml:space="preserve"> based on the first TCI state.</w:t>
      </w:r>
    </w:p>
    <w:p w14:paraId="11D783A4" w14:textId="77777777" w:rsidR="00CE2354" w:rsidRPr="00CE2354" w:rsidRDefault="006B4E28" w:rsidP="00CE2354">
      <w:pPr>
        <w:pStyle w:val="B2"/>
        <w:rPr>
          <w:rFonts w:eastAsia="Malgun Gothic"/>
          <w:lang w:val="en-GB"/>
        </w:rPr>
      </w:pPr>
      <w:r>
        <w:t>-</w:t>
      </w:r>
      <w:r>
        <w:tab/>
      </w:r>
      <w:r w:rsidRPr="009D5B6D">
        <w:t xml:space="preserve">For a PUSCH transmission configured by </w:t>
      </w:r>
      <w:r w:rsidRPr="009D5B6D">
        <w:rPr>
          <w:i/>
          <w:iCs/>
        </w:rPr>
        <w:t>ConfiguredGrantConfig</w:t>
      </w:r>
      <w:r w:rsidRPr="009D5B6D">
        <w:rPr>
          <w:i/>
          <w:iCs/>
          <w:lang w:val="en-US"/>
        </w:rPr>
        <w:t xml:space="preserve">, </w:t>
      </w:r>
      <w:r w:rsidRPr="009D5B6D">
        <w:rPr>
          <w:lang w:val="en-US"/>
        </w:rPr>
        <w:t xml:space="preserve">if </w:t>
      </w:r>
      <w:r w:rsidRPr="00110C77">
        <w:rPr>
          <w:i/>
        </w:rPr>
        <w:t>rrc-ConfiguredUplinkGrant</w:t>
      </w:r>
      <w:r w:rsidRPr="00110C77">
        <w:rPr>
          <w:lang w:val="en-US"/>
        </w:rPr>
        <w:t xml:space="preserve"> </w:t>
      </w:r>
      <w:r>
        <w:rPr>
          <w:lang w:val="en-US"/>
        </w:rPr>
        <w:t xml:space="preserve">is included </w:t>
      </w:r>
      <w:r w:rsidRPr="00110C77">
        <w:rPr>
          <w:lang w:val="en-US"/>
        </w:rPr>
        <w:t xml:space="preserve">in </w:t>
      </w:r>
      <w:r w:rsidRPr="00110C77">
        <w:rPr>
          <w:i/>
        </w:rPr>
        <w:t>ConfiguredGrantConfig</w:t>
      </w:r>
      <w:r>
        <w:rPr>
          <w:rFonts w:eastAsia="Malgun Gothic"/>
        </w:rPr>
        <w:t xml:space="preserve">, </w:t>
      </w:r>
    </w:p>
    <w:p w14:paraId="13E1F031" w14:textId="77777777" w:rsidR="00CE2354" w:rsidRPr="00CE2354" w:rsidRDefault="00CE2354" w:rsidP="00CE2354">
      <w:pPr>
        <w:pStyle w:val="B3"/>
        <w:rPr>
          <w:rFonts w:eastAsia="Malgun Gothic"/>
          <w:lang w:eastAsia="en-GB"/>
        </w:rPr>
      </w:pPr>
      <w:r w:rsidRPr="00CE2354">
        <w:rPr>
          <w:lang w:val="en-US"/>
        </w:rPr>
        <w:t>-</w:t>
      </w:r>
      <w:r w:rsidRPr="00CE2354">
        <w:rPr>
          <w:lang w:val="en-US"/>
        </w:rPr>
        <w:tab/>
      </w:r>
      <w:r w:rsidRPr="00CE2354">
        <w:rPr>
          <w:bCs/>
          <w:iCs/>
          <w:lang w:eastAsia="en-GB"/>
        </w:rPr>
        <w:t xml:space="preserve">if the UE is provided </w:t>
      </w:r>
      <w:r w:rsidRPr="00CE2354">
        <w:rPr>
          <w:bCs/>
          <w:i/>
          <w:iCs/>
        </w:rPr>
        <w:t>enablePL</w:t>
      </w:r>
      <w:r w:rsidRPr="00CE2354">
        <w:rPr>
          <w:bCs/>
          <w:i/>
          <w:iCs/>
          <w:lang w:val="en-US"/>
        </w:rPr>
        <w:t>-</w:t>
      </w:r>
      <w:r w:rsidRPr="00CE2354">
        <w:rPr>
          <w:bCs/>
          <w:i/>
          <w:iCs/>
        </w:rPr>
        <w:t>RS</w:t>
      </w:r>
      <w:r w:rsidRPr="00CE2354">
        <w:rPr>
          <w:bCs/>
          <w:i/>
          <w:iCs/>
          <w:lang w:val="en-US"/>
        </w:rPr>
        <w:t>-U</w:t>
      </w:r>
      <w:r w:rsidRPr="00CE2354">
        <w:rPr>
          <w:bCs/>
          <w:i/>
          <w:iCs/>
        </w:rPr>
        <w:t>pdateForType1CG-PUSCH</w:t>
      </w:r>
      <w:r w:rsidRPr="00CE2354">
        <w:rPr>
          <w:bCs/>
          <w:iCs/>
          <w:lang w:eastAsia="en-GB"/>
        </w:rPr>
        <w:t>,</w:t>
      </w:r>
      <w:r w:rsidRPr="00CE2354">
        <w:rPr>
          <w:rFonts w:eastAsia="Malgun Gothic"/>
          <w:lang w:eastAsia="en-GB"/>
        </w:rPr>
        <w:t xml:space="preserve"> the </w:t>
      </w:r>
      <w:r w:rsidRPr="00CE2354">
        <w:rPr>
          <w:lang w:eastAsia="en-GB"/>
        </w:rPr>
        <w:t xml:space="preserve">UE determines a RS resource index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Pr="00CE2354">
        <w:rPr>
          <w:lang w:eastAsia="en-GB"/>
        </w:rPr>
        <w:t xml:space="preserve"> from the value of </w:t>
      </w:r>
      <w:r w:rsidRPr="00CE2354">
        <w:rPr>
          <w:rFonts w:eastAsia="MS Mincho"/>
          <w:i/>
          <w:lang w:eastAsia="en-GB"/>
        </w:rPr>
        <w:t>PUSCH-PathlossReferenceRS-Id</w:t>
      </w:r>
      <w:r w:rsidRPr="00CE2354">
        <w:rPr>
          <w:rFonts w:eastAsia="MS Mincho"/>
          <w:lang w:eastAsia="en-GB"/>
        </w:rPr>
        <w:t xml:space="preserve"> </w:t>
      </w:r>
      <w:r w:rsidRPr="00CE2354">
        <w:rPr>
          <w:lang w:eastAsia="en-GB"/>
        </w:rPr>
        <w:t xml:space="preserve">that is mapped to the </w:t>
      </w:r>
      <w:r w:rsidRPr="00CE2354">
        <w:rPr>
          <w:i/>
          <w:lang w:eastAsia="en-GB"/>
        </w:rPr>
        <w:t>sri-PUSCH-PowerControlId</w:t>
      </w:r>
      <w:r w:rsidRPr="00CE2354">
        <w:rPr>
          <w:lang w:eastAsia="en-GB"/>
        </w:rPr>
        <w:t xml:space="preserve"> indicated by the </w:t>
      </w:r>
      <w:r w:rsidRPr="00CE2354">
        <w:rPr>
          <w:i/>
          <w:lang w:eastAsia="en-GB"/>
        </w:rPr>
        <w:t>srs-ResourceIndicator</w:t>
      </w:r>
      <w:r w:rsidRPr="00CE2354">
        <w:rPr>
          <w:lang w:eastAsia="en-GB"/>
        </w:rPr>
        <w:t xml:space="preserve"> value included in </w:t>
      </w:r>
      <w:r w:rsidRPr="00CE2354">
        <w:rPr>
          <w:i/>
          <w:iCs/>
          <w:lang w:eastAsia="zh-CN"/>
        </w:rPr>
        <w:t>rrc-ConfiguredUplinkGrant</w:t>
      </w:r>
    </w:p>
    <w:p w14:paraId="1400AB26" w14:textId="5DC83176" w:rsidR="006B4E28" w:rsidRPr="003A5BF8" w:rsidRDefault="00CE2354" w:rsidP="00CE2354">
      <w:pPr>
        <w:pStyle w:val="B3"/>
        <w:rPr>
          <w:lang w:val="en-US" w:eastAsia="zh-CN"/>
        </w:rPr>
      </w:pPr>
      <w:r w:rsidRPr="00CE2354">
        <w:rPr>
          <w:lang w:val="en-US"/>
        </w:rPr>
        <w:t>-</w:t>
      </w:r>
      <w:r w:rsidRPr="00CE2354">
        <w:rPr>
          <w:lang w:val="en-US"/>
        </w:rPr>
        <w:tab/>
      </w:r>
      <w:r w:rsidRPr="00CE2354">
        <w:rPr>
          <w:rFonts w:eastAsia="Times New Roman"/>
          <w:bCs/>
          <w:iCs/>
          <w:lang w:eastAsia="en-GB"/>
        </w:rPr>
        <w:t xml:space="preserve">if the UE is not provided </w:t>
      </w:r>
      <w:r w:rsidRPr="00CE2354">
        <w:rPr>
          <w:bCs/>
          <w:i/>
          <w:iCs/>
        </w:rPr>
        <w:t>enablePL</w:t>
      </w:r>
      <w:r w:rsidRPr="00CE2354">
        <w:rPr>
          <w:bCs/>
          <w:i/>
          <w:iCs/>
          <w:lang w:val="en-US"/>
        </w:rPr>
        <w:t>-</w:t>
      </w:r>
      <w:r w:rsidRPr="00CE2354">
        <w:rPr>
          <w:bCs/>
          <w:i/>
          <w:iCs/>
        </w:rPr>
        <w:t>RS</w:t>
      </w:r>
      <w:r w:rsidRPr="00CE2354">
        <w:rPr>
          <w:bCs/>
          <w:i/>
          <w:iCs/>
          <w:lang w:val="en-US"/>
        </w:rPr>
        <w:t>-U</w:t>
      </w:r>
      <w:r w:rsidRPr="00CE2354">
        <w:rPr>
          <w:bCs/>
          <w:i/>
          <w:iCs/>
        </w:rPr>
        <w:t>pdateForType1CG-PUSCH</w:t>
      </w:r>
      <w:r w:rsidRPr="00CE2354">
        <w:rPr>
          <w:rFonts w:eastAsia="Times New Roman"/>
          <w:bCs/>
          <w:iCs/>
          <w:lang w:eastAsia="en-GB"/>
        </w:rPr>
        <w:t>,</w:t>
      </w:r>
      <w:r w:rsidRPr="00CE2354">
        <w:rPr>
          <w:rFonts w:eastAsia="Malgun Gothic"/>
          <w:lang w:eastAsia="en-GB"/>
        </w:rPr>
        <w:t xml:space="preserve"> </w:t>
      </w:r>
      <w:r w:rsidR="006B4E28">
        <w:rPr>
          <w:rFonts w:eastAsia="Malgun Gothic"/>
        </w:rPr>
        <w:t xml:space="preserve">a </w:t>
      </w:r>
      <w:r w:rsidR="006B4E28" w:rsidRPr="00B916EC">
        <w:t>RS resource</w:t>
      </w:r>
      <w:r w:rsidR="006B4E28">
        <w:rPr>
          <w:lang w:val="en-US"/>
        </w:rPr>
        <w:t xml:space="preserve"> index</w:t>
      </w:r>
      <w:r w:rsidR="006B4E28" w:rsidRPr="00B916EC">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006B4E28">
        <w:t xml:space="preserve"> is provided by </w:t>
      </w:r>
      <w:r w:rsidR="006B4E28">
        <w:rPr>
          <w:lang w:val="en-US"/>
        </w:rPr>
        <w:t xml:space="preserve">a value of </w:t>
      </w:r>
      <w:r w:rsidR="006B4E28" w:rsidRPr="003669B6">
        <w:rPr>
          <w:i/>
        </w:rPr>
        <w:t>pathlossReferenceIndex</w:t>
      </w:r>
      <w:r w:rsidR="006B4E28" w:rsidRPr="000538E2">
        <w:rPr>
          <w:lang w:val="en-US"/>
        </w:rPr>
        <w:t xml:space="preserve"> </w:t>
      </w:r>
      <w:r w:rsidR="006B4E28" w:rsidRPr="004C0BB8">
        <w:rPr>
          <w:lang w:eastAsia="zh-CN"/>
        </w:rPr>
        <w:t xml:space="preserve">included in </w:t>
      </w:r>
      <w:r w:rsidR="006B4E28" w:rsidRPr="004C0BB8">
        <w:rPr>
          <w:i/>
          <w:iCs/>
          <w:lang w:eastAsia="zh-CN"/>
        </w:rPr>
        <w:t>rrc-ConfiguredUplinkGrant</w:t>
      </w:r>
      <w:r w:rsidR="00C816D4">
        <w:rPr>
          <w:i/>
          <w:iCs/>
          <w:lang w:val="en-US" w:eastAsia="zh-CN"/>
        </w:rPr>
        <w:t xml:space="preserve"> </w:t>
      </w:r>
      <w:r w:rsidR="00C816D4" w:rsidRPr="004864B4">
        <w:t>where the RS resource is either on serving cell</w:t>
      </w:r>
      <w:r w:rsidR="00C816D4" w:rsidRPr="004864B4">
        <w:rPr>
          <w:i/>
        </w:rPr>
        <w:t xml:space="preserve"> </w:t>
      </w:r>
      <m:oMath>
        <m:r>
          <w:rPr>
            <w:rFonts w:ascii="Cambria Math" w:eastAsia="MS Mincho" w:hAnsi="Cambria Math"/>
            <w:lang w:val="en-US"/>
          </w:rPr>
          <m:t>c</m:t>
        </m:r>
      </m:oMath>
      <w:r w:rsidR="00C816D4" w:rsidRPr="004864B4">
        <w:rPr>
          <w:lang w:val="en-US"/>
        </w:rPr>
        <w:t xml:space="preserve"> </w:t>
      </w:r>
      <w:r w:rsidR="00C816D4" w:rsidRPr="004864B4">
        <w:t xml:space="preserve">or, if provided, on a serving cell indicated by a value of </w:t>
      </w:r>
      <w:r w:rsidR="00C816D4" w:rsidRPr="004864B4">
        <w:rPr>
          <w:i/>
          <w:iCs/>
        </w:rPr>
        <w:t>pathlossReferenceLinking</w:t>
      </w:r>
      <w:r w:rsidR="003703DC" w:rsidRPr="00F415B1">
        <w:rPr>
          <w:lang w:val="en-US"/>
        </w:rPr>
        <w:t xml:space="preserve">. If the UE is provided </w:t>
      </w:r>
      <w:r w:rsidR="003703DC" w:rsidRPr="00F415B1">
        <w:rPr>
          <w:iCs/>
        </w:rPr>
        <w:t xml:space="preserve">two SRS resource sets in </w:t>
      </w:r>
      <w:r w:rsidR="003703DC" w:rsidRPr="00F415B1">
        <w:rPr>
          <w:i/>
        </w:rPr>
        <w:t>srs-ResourceSetToAddModList</w:t>
      </w:r>
      <w:r w:rsidR="003703DC" w:rsidRPr="00F415B1">
        <w:rPr>
          <w:iCs/>
        </w:rPr>
        <w:t xml:space="preserve"> or </w:t>
      </w:r>
      <w:r w:rsidR="003703DC" w:rsidRPr="00F415B1">
        <w:rPr>
          <w:i/>
        </w:rPr>
        <w:t>srs-ResourceSetToAddModListDCI-0-2</w:t>
      </w:r>
      <w:r w:rsidR="003703DC" w:rsidRPr="00F415B1">
        <w:rPr>
          <w:iCs/>
        </w:rPr>
        <w:t xml:space="preserve"> with </w:t>
      </w:r>
      <w:r w:rsidR="003703DC" w:rsidRPr="00F415B1">
        <w:rPr>
          <w:i/>
        </w:rPr>
        <w:t>usage</w:t>
      </w:r>
      <w:r w:rsidR="003703DC" w:rsidRPr="00F415B1">
        <w:rPr>
          <w:iCs/>
        </w:rPr>
        <w:t xml:space="preserve"> set to </w:t>
      </w:r>
      <w:r w:rsidR="005E3B15">
        <w:rPr>
          <w:iCs/>
        </w:rPr>
        <w:t>'</w:t>
      </w:r>
      <w:r w:rsidR="003703DC" w:rsidRPr="00F415B1">
        <w:rPr>
          <w:iCs/>
        </w:rPr>
        <w:t>codebook</w:t>
      </w:r>
      <w:r w:rsidR="005E3B15">
        <w:rPr>
          <w:iCs/>
        </w:rPr>
        <w:t>'</w:t>
      </w:r>
      <w:r w:rsidR="003703DC" w:rsidRPr="00F415B1">
        <w:rPr>
          <w:iCs/>
        </w:rPr>
        <w:t xml:space="preserve"> or </w:t>
      </w:r>
      <w:r w:rsidR="005E3B15">
        <w:rPr>
          <w:iCs/>
        </w:rPr>
        <w:t>'</w:t>
      </w:r>
      <w:r w:rsidR="003703DC" w:rsidRPr="00F415B1">
        <w:rPr>
          <w:iCs/>
        </w:rPr>
        <w:t>nonCodebook</w:t>
      </w:r>
      <w:r w:rsidR="005E3B15">
        <w:rPr>
          <w:iCs/>
        </w:rPr>
        <w:t>'</w:t>
      </w:r>
      <w:r w:rsidR="003703DC" w:rsidRPr="00F415B1">
        <w:rPr>
          <w:lang w:val="en-US"/>
        </w:rPr>
        <w:t xml:space="preserve"> and for </w:t>
      </w:r>
      <w:r w:rsidR="003703DC" w:rsidRPr="00F415B1">
        <w:t>configured grant Type</w:t>
      </w:r>
      <w:r w:rsidR="003703DC" w:rsidRPr="00F415B1">
        <w:rPr>
          <w:lang w:val="en-US"/>
        </w:rPr>
        <w:t xml:space="preserve"> 1</w:t>
      </w:r>
      <w:r w:rsidR="003703DC" w:rsidRPr="00F415B1">
        <w:t xml:space="preserve"> PUSCH</w:t>
      </w:r>
      <w:r w:rsidR="003703DC" w:rsidRPr="00F415B1">
        <w:rPr>
          <w:lang w:val="en-US"/>
        </w:rPr>
        <w:t xml:space="preserve">, first and second </w:t>
      </w:r>
      <w:r w:rsidR="003703DC" w:rsidRPr="00F415B1">
        <w:t>RS resource</w:t>
      </w:r>
      <w:r w:rsidR="003703DC" w:rsidRPr="00F415B1">
        <w:rPr>
          <w:lang w:val="en-US"/>
        </w:rPr>
        <w:t xml:space="preserve"> indexes</w:t>
      </w:r>
      <w:r w:rsidR="003703DC" w:rsidRPr="00F415B1">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003703DC" w:rsidRPr="00F415B1">
        <w:t xml:space="preserve"> </w:t>
      </w:r>
      <w:r w:rsidR="002D6F6A" w:rsidRPr="008F482D">
        <w:rPr>
          <w:iCs/>
          <w:lang w:val="en-US" w:eastAsia="zh-CN"/>
        </w:rPr>
        <w:t xml:space="preserve">that </w:t>
      </w:r>
      <w:r w:rsidR="002D6F6A" w:rsidRPr="008F482D">
        <w:rPr>
          <w:rFonts w:hint="eastAsia"/>
          <w:iCs/>
          <w:lang w:val="en-US" w:eastAsia="zh-CN"/>
        </w:rPr>
        <w:t>ar</w:t>
      </w:r>
      <w:r w:rsidR="002D6F6A" w:rsidRPr="008F482D">
        <w:rPr>
          <w:iCs/>
          <w:lang w:val="en-US" w:eastAsia="zh-CN"/>
        </w:rPr>
        <w:t>e respectively associated with the firs</w:t>
      </w:r>
      <w:r w:rsidR="002D6F6A" w:rsidRPr="008F482D">
        <w:rPr>
          <w:lang w:val="en-US" w:eastAsia="zh-CN"/>
        </w:rPr>
        <w:t xml:space="preserve">t and second </w:t>
      </w:r>
      <w:r w:rsidR="002D6F6A" w:rsidRPr="008F482D">
        <w:rPr>
          <w:i/>
          <w:iCs/>
          <w:lang w:val="en-US" w:eastAsia="zh-CN"/>
        </w:rPr>
        <w:t>srs-ResourceIndicator</w:t>
      </w:r>
      <w:r w:rsidR="002D6F6A" w:rsidRPr="008F482D">
        <w:rPr>
          <w:lang w:val="en-US" w:eastAsia="zh-CN"/>
        </w:rPr>
        <w:t xml:space="preserve"> in </w:t>
      </w:r>
      <w:r w:rsidR="002D6F6A" w:rsidRPr="008F482D">
        <w:rPr>
          <w:i/>
          <w:iCs/>
          <w:lang w:val="en-US" w:eastAsia="zh-CN"/>
        </w:rPr>
        <w:t>rrc-ConfiguredUplinkGrant</w:t>
      </w:r>
      <w:r w:rsidR="002D6F6A" w:rsidRPr="008F482D">
        <w:rPr>
          <w:lang w:val="en-US"/>
        </w:rPr>
        <w:t xml:space="preserve"> </w:t>
      </w:r>
      <w:r w:rsidR="003703DC" w:rsidRPr="00F415B1">
        <w:rPr>
          <w:lang w:val="en-US"/>
        </w:rPr>
        <w:t>are</w:t>
      </w:r>
      <w:r w:rsidR="003703DC" w:rsidRPr="00F415B1">
        <w:t xml:space="preserve"> provided by </w:t>
      </w:r>
      <w:r w:rsidR="003703DC" w:rsidRPr="00F415B1">
        <w:rPr>
          <w:lang w:val="en-US"/>
        </w:rPr>
        <w:t xml:space="preserve">respective values of </w:t>
      </w:r>
      <w:r w:rsidR="003703DC" w:rsidRPr="00F415B1">
        <w:rPr>
          <w:i/>
        </w:rPr>
        <w:t>pathlossReferenceIndex</w:t>
      </w:r>
      <w:r w:rsidR="003703DC" w:rsidRPr="00F415B1">
        <w:rPr>
          <w:lang w:val="en-US"/>
        </w:rPr>
        <w:t xml:space="preserve"> </w:t>
      </w:r>
      <w:r w:rsidR="003703DC" w:rsidRPr="00F415B1">
        <w:rPr>
          <w:lang w:val="en-US" w:eastAsia="zh-CN"/>
        </w:rPr>
        <w:t xml:space="preserve">and </w:t>
      </w:r>
      <w:r w:rsidR="003703DC" w:rsidRPr="00F415B1">
        <w:rPr>
          <w:i/>
        </w:rPr>
        <w:t>pathlossReferenceIndex</w:t>
      </w:r>
      <w:r w:rsidR="003703DC" w:rsidRPr="00F415B1">
        <w:rPr>
          <w:i/>
          <w:lang w:val="en-US"/>
        </w:rPr>
        <w:t>2</w:t>
      </w:r>
      <w:r w:rsidR="003703DC" w:rsidRPr="00F415B1">
        <w:rPr>
          <w:lang w:eastAsia="zh-CN"/>
        </w:rPr>
        <w:t xml:space="preserve"> in </w:t>
      </w:r>
      <w:r w:rsidR="003703DC" w:rsidRPr="00F415B1">
        <w:rPr>
          <w:i/>
          <w:iCs/>
          <w:lang w:eastAsia="zh-CN"/>
        </w:rPr>
        <w:t>rrc-ConfiguredUplinkGrant</w:t>
      </w:r>
      <w:r w:rsidR="003703DC" w:rsidRPr="00F415B1">
        <w:rPr>
          <w:lang w:val="en-US"/>
        </w:rPr>
        <w:t>.</w:t>
      </w:r>
    </w:p>
    <w:p w14:paraId="68C8607F" w14:textId="63F85AD7" w:rsidR="003703DC" w:rsidRPr="00F415B1" w:rsidRDefault="007639D4" w:rsidP="003703DC">
      <w:pPr>
        <w:pStyle w:val="B2"/>
      </w:pPr>
      <w:r>
        <w:lastRenderedPageBreak/>
        <w:t>-</w:t>
      </w:r>
      <w:r>
        <w:tab/>
      </w:r>
      <w:r w:rsidR="006B4E28" w:rsidRPr="009D5B6D">
        <w:t xml:space="preserve">For a PUSCH transmission configured by </w:t>
      </w:r>
      <w:r w:rsidR="006B4E28" w:rsidRPr="009D5B6D">
        <w:rPr>
          <w:i/>
          <w:iCs/>
        </w:rPr>
        <w:t>ConfiguredGrantConfig</w:t>
      </w:r>
      <w:r w:rsidR="006B4E28">
        <w:rPr>
          <w:iCs/>
          <w:lang w:val="en-US"/>
        </w:rPr>
        <w:t xml:space="preserve"> </w:t>
      </w:r>
      <w:r w:rsidR="00AC16EB">
        <w:rPr>
          <w:iCs/>
          <w:lang w:val="en-US"/>
        </w:rPr>
        <w:t>that does</w:t>
      </w:r>
      <w:r w:rsidR="006B4E28">
        <w:rPr>
          <w:iCs/>
          <w:lang w:val="en-US"/>
        </w:rPr>
        <w:t xml:space="preserve"> not include</w:t>
      </w:r>
      <w:r w:rsidR="006B4E28">
        <w:rPr>
          <w:lang w:val="en-US"/>
        </w:rPr>
        <w:t xml:space="preserve"> </w:t>
      </w:r>
      <w:r w:rsidR="00AC16EB" w:rsidRPr="007E3666">
        <w:rPr>
          <w:i/>
          <w:lang w:val="en-US"/>
        </w:rPr>
        <w:t>rrc-</w:t>
      </w:r>
      <w:r w:rsidR="00AC16EB" w:rsidRPr="00692B06">
        <w:rPr>
          <w:i/>
        </w:rPr>
        <w:t>Configured</w:t>
      </w:r>
      <w:r w:rsidR="00AC16EB">
        <w:rPr>
          <w:i/>
          <w:lang w:val="en-US"/>
        </w:rPr>
        <w:t>Uplink</w:t>
      </w:r>
      <w:r w:rsidR="00AC16EB" w:rsidRPr="00692B06">
        <w:rPr>
          <w:i/>
        </w:rPr>
        <w:t>Grant</w:t>
      </w:r>
      <w:r w:rsidR="00EA5731">
        <w:rPr>
          <w:rFonts w:eastAsia="Malgun Gothic"/>
        </w:rPr>
        <w:t xml:space="preserve">, the </w:t>
      </w:r>
      <w:r w:rsidR="00EA5731" w:rsidRPr="004516B4">
        <w:t xml:space="preserve">UE </w:t>
      </w:r>
      <w:r w:rsidR="00EA5731">
        <w:t xml:space="preserve">determines </w:t>
      </w:r>
      <w:r w:rsidR="00AC16EB">
        <w:rPr>
          <w:lang w:val="en-US"/>
        </w:rPr>
        <w:t>a</w:t>
      </w:r>
      <w:r w:rsidR="00AC16EB">
        <w:t xml:space="preserve"> </w:t>
      </w:r>
      <w:r w:rsidR="00EA5731">
        <w:t>RS</w:t>
      </w:r>
      <w:r w:rsidR="00EA5731" w:rsidRPr="004516B4">
        <w:t xml:space="preserve"> resource</w:t>
      </w:r>
      <w:r w:rsidR="00AC16EB">
        <w:rPr>
          <w:lang w:val="en-US"/>
        </w:rPr>
        <w:t xml:space="preserve"> index</w:t>
      </w:r>
      <w:r w:rsidR="00EA5731" w:rsidRPr="004516B4">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00EA5731" w:rsidRPr="004516B4">
        <w:rPr>
          <w:iCs/>
        </w:rPr>
        <w:t xml:space="preserve"> </w:t>
      </w:r>
      <w:r w:rsidR="00EA5731" w:rsidRPr="004516B4">
        <w:t xml:space="preserve">from </w:t>
      </w:r>
      <w:r w:rsidR="00AC16EB">
        <w:rPr>
          <w:lang w:val="en-US"/>
        </w:rPr>
        <w:t>a</w:t>
      </w:r>
      <w:r w:rsidR="00AC16EB" w:rsidRPr="004516B4">
        <w:t xml:space="preserve"> </w:t>
      </w:r>
      <w:r w:rsidR="00EA5731">
        <w:t>value</w:t>
      </w:r>
      <w:r w:rsidR="00EA5731" w:rsidRPr="004516B4">
        <w:t xml:space="preserve"> of </w:t>
      </w:r>
      <w:r w:rsidR="006B4E28" w:rsidRPr="005B3110">
        <w:rPr>
          <w:i/>
        </w:rPr>
        <w:t>PUSCH-PathlossReferenceRS-Id</w:t>
      </w:r>
      <w:r w:rsidR="00EA5731">
        <w:rPr>
          <w:rFonts w:eastAsia="MS Mincho"/>
        </w:rPr>
        <w:t xml:space="preserve"> </w:t>
      </w:r>
      <w:r w:rsidR="00EA5731" w:rsidRPr="004516B4">
        <w:t xml:space="preserve">that is mapped to </w:t>
      </w:r>
      <w:r w:rsidR="00AC16EB">
        <w:rPr>
          <w:lang w:val="en-US"/>
        </w:rPr>
        <w:t>a</w:t>
      </w:r>
      <w:r w:rsidR="00AC16EB" w:rsidRPr="004516B4">
        <w:t xml:space="preserve"> </w:t>
      </w:r>
      <w:r w:rsidR="00EA5731" w:rsidRPr="004516B4">
        <w:t>SRI field value</w:t>
      </w:r>
      <w:r w:rsidR="00EA5731">
        <w:t xml:space="preserve"> in </w:t>
      </w:r>
      <w:r w:rsidR="00AC16EB">
        <w:rPr>
          <w:lang w:val="en-US"/>
        </w:rPr>
        <w:t>a</w:t>
      </w:r>
      <w:r w:rsidR="00AC16EB">
        <w:t xml:space="preserve"> </w:t>
      </w:r>
      <w:r w:rsidR="00EA5731">
        <w:t>DCI format activating the PUSCH transmission</w:t>
      </w:r>
      <w:r w:rsidR="00EA5731" w:rsidRPr="004516B4">
        <w:t>.</w:t>
      </w:r>
      <w:r w:rsidR="00EA5731">
        <w:t xml:space="preserve"> </w:t>
      </w:r>
    </w:p>
    <w:p w14:paraId="6A2AC7F8" w14:textId="22F980A0" w:rsidR="003703DC" w:rsidRPr="00F415B1" w:rsidRDefault="003703DC" w:rsidP="009400C8">
      <w:pPr>
        <w:pStyle w:val="B3"/>
      </w:pPr>
      <w:r>
        <w:rPr>
          <w:lang w:val="en-US"/>
        </w:rPr>
        <w:t>-</w:t>
      </w:r>
      <w:r>
        <w:rPr>
          <w:lang w:val="en-US"/>
        </w:rPr>
        <w:tab/>
      </w:r>
      <w:r w:rsidRPr="00F415B1">
        <w:rPr>
          <w:lang w:val="en-US"/>
        </w:rPr>
        <w:t xml:space="preserve">If the UE is provided </w:t>
      </w:r>
      <w:r w:rsidRPr="00F415B1">
        <w:rPr>
          <w:iCs/>
        </w:rPr>
        <w:t xml:space="preserve">two SRS resource sets in </w:t>
      </w:r>
      <w:r w:rsidRPr="00F415B1">
        <w:rPr>
          <w:i/>
        </w:rPr>
        <w:t>srs-ResourceSetToAddModList</w:t>
      </w:r>
      <w:r w:rsidRPr="00F415B1">
        <w:rPr>
          <w:iCs/>
        </w:rPr>
        <w:t xml:space="preserve"> or </w:t>
      </w:r>
      <w:r w:rsidRPr="00F415B1">
        <w:rPr>
          <w:i/>
        </w:rPr>
        <w:t>srs-ResourceSetToAddModListDCI-0-2</w:t>
      </w:r>
      <w:r w:rsidRPr="00F415B1">
        <w:rPr>
          <w:iCs/>
        </w:rPr>
        <w:t xml:space="preserve"> with </w:t>
      </w:r>
      <w:r w:rsidRPr="00F415B1">
        <w:rPr>
          <w:i/>
        </w:rPr>
        <w:t>usage</w:t>
      </w:r>
      <w:r w:rsidRPr="00F415B1">
        <w:rPr>
          <w:iCs/>
        </w:rPr>
        <w:t xml:space="preserve"> set to </w:t>
      </w:r>
      <w:r w:rsidR="005E3B15">
        <w:rPr>
          <w:iCs/>
        </w:rPr>
        <w:t>'</w:t>
      </w:r>
      <w:r w:rsidRPr="00F415B1">
        <w:rPr>
          <w:iCs/>
        </w:rPr>
        <w:t>codebook</w:t>
      </w:r>
      <w:r w:rsidR="005E3B15">
        <w:rPr>
          <w:iCs/>
        </w:rPr>
        <w:t>'</w:t>
      </w:r>
      <w:r w:rsidRPr="00F415B1">
        <w:rPr>
          <w:iCs/>
        </w:rPr>
        <w:t xml:space="preserve"> </w:t>
      </w:r>
      <w:r w:rsidRPr="00F415B1">
        <w:t xml:space="preserve">and </w:t>
      </w:r>
      <w:r w:rsidRPr="00F415B1">
        <w:rPr>
          <w:lang w:val="en-US"/>
        </w:rPr>
        <w:t xml:space="preserve">the DCI format </w:t>
      </w:r>
      <w:r w:rsidRPr="00F415B1">
        <w:t>activating the PUSCH transmission include</w:t>
      </w:r>
      <w:r w:rsidRPr="00F415B1">
        <w:rPr>
          <w:lang w:val="en-US"/>
        </w:rPr>
        <w:t>s</w:t>
      </w:r>
      <w:r w:rsidRPr="00F415B1">
        <w:t xml:space="preserve"> </w:t>
      </w:r>
      <w:r w:rsidRPr="00F415B1">
        <w:rPr>
          <w:lang w:val="en-US"/>
        </w:rPr>
        <w:t>two</w:t>
      </w:r>
      <w:r w:rsidRPr="00F415B1">
        <w:t xml:space="preserve"> SRI field</w:t>
      </w:r>
      <w:r w:rsidRPr="00F415B1">
        <w:rPr>
          <w:lang w:val="en-US"/>
        </w:rPr>
        <w:t xml:space="preserve">s, </w:t>
      </w:r>
      <w:r w:rsidRPr="00F415B1">
        <w:rPr>
          <w:rFonts w:eastAsia="Malgun Gothic"/>
        </w:rPr>
        <w:t xml:space="preserve">the </w:t>
      </w:r>
      <w:r w:rsidRPr="00F415B1">
        <w:t xml:space="preserve">UE determines </w:t>
      </w:r>
      <w:r w:rsidRPr="00F415B1">
        <w:rPr>
          <w:lang w:val="en-US"/>
        </w:rPr>
        <w:t>first and second</w:t>
      </w:r>
      <w:r w:rsidRPr="00F415B1">
        <w:t xml:space="preserve"> RS resource</w:t>
      </w:r>
      <w:r w:rsidRPr="00F415B1">
        <w:rPr>
          <w:lang w:val="en-US"/>
        </w:rPr>
        <w:t xml:space="preserve"> indexes</w:t>
      </w:r>
      <w:r w:rsidRPr="00F415B1">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Pr="00F415B1">
        <w:rPr>
          <w:iCs/>
        </w:rPr>
        <w:t xml:space="preserve"> </w:t>
      </w:r>
      <w:r w:rsidRPr="00F415B1">
        <w:t xml:space="preserve">from </w:t>
      </w:r>
      <w:r w:rsidRPr="00F415B1">
        <w:rPr>
          <w:lang w:val="en-US"/>
        </w:rPr>
        <w:t>respective first and second</w:t>
      </w:r>
      <w:r w:rsidRPr="00F415B1">
        <w:t xml:space="preserve"> value</w:t>
      </w:r>
      <w:r w:rsidRPr="00F415B1">
        <w:rPr>
          <w:lang w:val="en-US"/>
        </w:rPr>
        <w:t>s</w:t>
      </w:r>
      <w:r w:rsidRPr="00F415B1">
        <w:t xml:space="preserve"> of </w:t>
      </w:r>
      <w:r w:rsidRPr="00F415B1">
        <w:rPr>
          <w:i/>
        </w:rPr>
        <w:t>PUSCH-PathlossReferenceRS-Id</w:t>
      </w:r>
      <w:r w:rsidRPr="00F415B1">
        <w:rPr>
          <w:rFonts w:eastAsia="MS Mincho"/>
        </w:rPr>
        <w:t xml:space="preserve"> </w:t>
      </w:r>
      <w:r w:rsidRPr="00F415B1">
        <w:t xml:space="preserve">that </w:t>
      </w:r>
      <w:r w:rsidRPr="00F415B1">
        <w:rPr>
          <w:lang w:val="en-US"/>
        </w:rPr>
        <w:t>are</w:t>
      </w:r>
      <w:r w:rsidRPr="00F415B1">
        <w:t xml:space="preserve"> mapped to </w:t>
      </w:r>
      <w:r w:rsidRPr="00F415B1">
        <w:rPr>
          <w:lang w:val="en-US"/>
        </w:rPr>
        <w:t>the first and second</w:t>
      </w:r>
      <w:r w:rsidRPr="00F415B1">
        <w:t xml:space="preserve"> SR</w:t>
      </w:r>
      <w:r w:rsidRPr="00F415B1">
        <w:rPr>
          <w:lang w:val="en-US"/>
        </w:rPr>
        <w:t>I</w:t>
      </w:r>
      <w:r w:rsidRPr="00F415B1">
        <w:t xml:space="preserve"> value</w:t>
      </w:r>
      <w:r w:rsidRPr="00F415B1">
        <w:rPr>
          <w:lang w:val="en-US"/>
        </w:rPr>
        <w:t xml:space="preserve">s corresponding to each SRS resource set with </w:t>
      </w:r>
      <w:r w:rsidRPr="00F415B1">
        <w:rPr>
          <w:i/>
        </w:rPr>
        <w:t>usage</w:t>
      </w:r>
      <w:r w:rsidRPr="00F415B1">
        <w:rPr>
          <w:iCs/>
        </w:rPr>
        <w:t xml:space="preserve"> set to </w:t>
      </w:r>
      <w:r w:rsidR="005E3B15">
        <w:rPr>
          <w:iCs/>
        </w:rPr>
        <w:t>'</w:t>
      </w:r>
      <w:r w:rsidRPr="00F415B1">
        <w:rPr>
          <w:iCs/>
        </w:rPr>
        <w:t>codebook</w:t>
      </w:r>
      <w:r w:rsidR="005E3B15">
        <w:rPr>
          <w:iCs/>
        </w:rPr>
        <w:t>'</w:t>
      </w:r>
      <w:r w:rsidRPr="00F415B1">
        <w:rPr>
          <w:iCs/>
          <w:lang w:val="en-US"/>
        </w:rPr>
        <w:t>, respectively</w:t>
      </w:r>
      <w:r w:rsidRPr="00F415B1">
        <w:rPr>
          <w:lang w:val="en-US"/>
        </w:rPr>
        <w:t>.</w:t>
      </w:r>
    </w:p>
    <w:p w14:paraId="06465B26" w14:textId="3BD77226" w:rsidR="003703DC" w:rsidRPr="00F415B1" w:rsidRDefault="003703DC" w:rsidP="009400C8">
      <w:pPr>
        <w:pStyle w:val="B3"/>
      </w:pPr>
      <w:r>
        <w:rPr>
          <w:lang w:val="en-US"/>
        </w:rPr>
        <w:t>-</w:t>
      </w:r>
      <w:r>
        <w:rPr>
          <w:lang w:val="en-US"/>
        </w:rPr>
        <w:tab/>
      </w:r>
      <w:r w:rsidRPr="00F415B1">
        <w:rPr>
          <w:lang w:val="en-US"/>
        </w:rPr>
        <w:t xml:space="preserve">If the UE is provided </w:t>
      </w:r>
      <w:r w:rsidRPr="00F415B1">
        <w:rPr>
          <w:iCs/>
        </w:rPr>
        <w:t xml:space="preserve">two SRS resource sets in </w:t>
      </w:r>
      <w:r w:rsidRPr="00F415B1">
        <w:rPr>
          <w:i/>
        </w:rPr>
        <w:t>srs-ResourceSetToAddModList</w:t>
      </w:r>
      <w:r w:rsidRPr="00F415B1">
        <w:rPr>
          <w:iCs/>
        </w:rPr>
        <w:t xml:space="preserve"> or </w:t>
      </w:r>
      <w:r w:rsidRPr="00F415B1">
        <w:rPr>
          <w:i/>
        </w:rPr>
        <w:t>srs-ResourceSetToAddModListDCI-0-2</w:t>
      </w:r>
      <w:r w:rsidRPr="00F415B1">
        <w:rPr>
          <w:iCs/>
        </w:rPr>
        <w:t xml:space="preserve"> with </w:t>
      </w:r>
      <w:r w:rsidRPr="00F415B1">
        <w:rPr>
          <w:i/>
        </w:rPr>
        <w:t>usage</w:t>
      </w:r>
      <w:r w:rsidRPr="00F415B1">
        <w:rPr>
          <w:iCs/>
        </w:rPr>
        <w:t xml:space="preserve"> set to </w:t>
      </w:r>
      <w:r w:rsidR="005E3B15">
        <w:rPr>
          <w:iCs/>
        </w:rPr>
        <w:t>'</w:t>
      </w:r>
      <w:r w:rsidRPr="00F415B1">
        <w:rPr>
          <w:iCs/>
        </w:rPr>
        <w:t>nonCodebook</w:t>
      </w:r>
      <w:r w:rsidR="005E3B15">
        <w:rPr>
          <w:iCs/>
        </w:rPr>
        <w:t>'</w:t>
      </w:r>
      <w:r w:rsidRPr="00F415B1">
        <w:rPr>
          <w:i/>
          <w:lang w:val="en-US"/>
        </w:rPr>
        <w:t xml:space="preserve"> </w:t>
      </w:r>
      <w:r w:rsidRPr="00F415B1">
        <w:t xml:space="preserve">and </w:t>
      </w:r>
      <w:r w:rsidRPr="00F415B1">
        <w:rPr>
          <w:lang w:val="en-US"/>
        </w:rPr>
        <w:t xml:space="preserve">the DCI format </w:t>
      </w:r>
      <w:r w:rsidRPr="00F415B1">
        <w:t>activating the PUSCH transmission include</w:t>
      </w:r>
      <w:r w:rsidRPr="00F415B1">
        <w:rPr>
          <w:lang w:val="en-US"/>
        </w:rPr>
        <w:t>s</w:t>
      </w:r>
      <w:r w:rsidRPr="00F415B1">
        <w:t xml:space="preserve"> </w:t>
      </w:r>
      <w:r w:rsidRPr="00F415B1">
        <w:rPr>
          <w:lang w:val="en-US"/>
        </w:rPr>
        <w:t>two</w:t>
      </w:r>
      <w:r w:rsidRPr="00F415B1">
        <w:t xml:space="preserve"> SRI field</w:t>
      </w:r>
      <w:r w:rsidRPr="00F415B1">
        <w:rPr>
          <w:lang w:val="en-US"/>
        </w:rPr>
        <w:t xml:space="preserve">s, </w:t>
      </w:r>
      <w:r w:rsidRPr="00F415B1">
        <w:rPr>
          <w:rFonts w:eastAsia="Malgun Gothic"/>
        </w:rPr>
        <w:t xml:space="preserve">the </w:t>
      </w:r>
      <w:r w:rsidRPr="00F415B1">
        <w:t xml:space="preserve">UE determines </w:t>
      </w:r>
      <w:r w:rsidRPr="00F415B1">
        <w:rPr>
          <w:lang w:val="en-US"/>
        </w:rPr>
        <w:t>first and second</w:t>
      </w:r>
      <w:r w:rsidRPr="00F415B1">
        <w:t xml:space="preserve"> RS resource</w:t>
      </w:r>
      <w:r w:rsidRPr="00F415B1">
        <w:rPr>
          <w:lang w:val="en-US"/>
        </w:rPr>
        <w:t xml:space="preserve"> indexes</w:t>
      </w:r>
      <w:r w:rsidRPr="00F415B1">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Pr="00F415B1">
        <w:rPr>
          <w:iCs/>
        </w:rPr>
        <w:t xml:space="preserve"> </w:t>
      </w:r>
      <w:r w:rsidRPr="00F415B1">
        <w:t xml:space="preserve">from </w:t>
      </w:r>
      <w:r w:rsidRPr="00F415B1">
        <w:rPr>
          <w:lang w:val="en-US"/>
        </w:rPr>
        <w:t>respective first and second</w:t>
      </w:r>
      <w:r w:rsidRPr="00F415B1">
        <w:t xml:space="preserve"> value</w:t>
      </w:r>
      <w:r w:rsidRPr="00F415B1">
        <w:rPr>
          <w:lang w:val="en-US"/>
        </w:rPr>
        <w:t>s</w:t>
      </w:r>
      <w:r w:rsidRPr="00F415B1">
        <w:t xml:space="preserve"> of </w:t>
      </w:r>
      <w:r w:rsidRPr="00F415B1">
        <w:rPr>
          <w:i/>
        </w:rPr>
        <w:t>PUSCH-PathlossReferenceRS-Id</w:t>
      </w:r>
      <w:r w:rsidRPr="00F415B1">
        <w:rPr>
          <w:rFonts w:eastAsia="MS Mincho"/>
        </w:rPr>
        <w:t xml:space="preserve"> </w:t>
      </w:r>
      <w:r w:rsidRPr="00F415B1">
        <w:t xml:space="preserve">that </w:t>
      </w:r>
      <w:r w:rsidRPr="00F415B1">
        <w:rPr>
          <w:lang w:val="en-US"/>
        </w:rPr>
        <w:t>are</w:t>
      </w:r>
      <w:r w:rsidRPr="00F415B1">
        <w:t xml:space="preserve"> mapped to </w:t>
      </w:r>
      <w:r w:rsidRPr="00F415B1">
        <w:rPr>
          <w:lang w:val="en-US"/>
        </w:rPr>
        <w:t xml:space="preserve">the first </w:t>
      </w:r>
      <w:r w:rsidRPr="00F415B1">
        <w:t>SR</w:t>
      </w:r>
      <w:r w:rsidRPr="00F415B1">
        <w:rPr>
          <w:lang w:val="en-US"/>
        </w:rPr>
        <w:t>I</w:t>
      </w:r>
      <w:r w:rsidRPr="00F415B1">
        <w:t xml:space="preserve"> value</w:t>
      </w:r>
      <w:r w:rsidRPr="00F415B1">
        <w:rPr>
          <w:lang w:val="en-US"/>
        </w:rPr>
        <w:t xml:space="preserve"> corresponding to the first SRS resource set with </w:t>
      </w:r>
      <w:r w:rsidRPr="00F415B1">
        <w:rPr>
          <w:i/>
        </w:rPr>
        <w:t>usage</w:t>
      </w:r>
      <w:r w:rsidRPr="00F415B1">
        <w:rPr>
          <w:iCs/>
        </w:rPr>
        <w:t xml:space="preserve"> set to </w:t>
      </w:r>
      <w:r w:rsidR="005E3B15">
        <w:rPr>
          <w:iCs/>
        </w:rPr>
        <w:t>'</w:t>
      </w:r>
      <w:r w:rsidRPr="00F415B1">
        <w:rPr>
          <w:iCs/>
        </w:rPr>
        <w:t>nonCodebook</w:t>
      </w:r>
      <w:r w:rsidR="005E3B15">
        <w:rPr>
          <w:iCs/>
        </w:rPr>
        <w:t>'</w:t>
      </w:r>
      <w:r w:rsidRPr="00F415B1">
        <w:rPr>
          <w:iCs/>
          <w:lang w:val="en-US"/>
        </w:rPr>
        <w:t xml:space="preserve">, and the value, associated with </w:t>
      </w:r>
      <w:r w:rsidRPr="00F415B1">
        <w:rPr>
          <w:iCs/>
        </w:rPr>
        <w:t xml:space="preserve">the second SRI field </w:t>
      </w:r>
      <w:r w:rsidRPr="00F415B1">
        <w:rPr>
          <w:iCs/>
          <w:lang w:val="en-US"/>
        </w:rPr>
        <w:t xml:space="preserve">value </w:t>
      </w:r>
      <w:r w:rsidRPr="00F415B1">
        <w:t xml:space="preserve">corresponding to </w:t>
      </w:r>
      <w:r w:rsidRPr="00F415B1">
        <w:rPr>
          <w:rFonts w:hint="eastAsia"/>
          <w:lang w:eastAsia="zh-CN"/>
        </w:rPr>
        <w:t>Tables 7.3.1.1.2-28/29/30/31</w:t>
      </w:r>
      <w:r w:rsidRPr="00F415B1">
        <w:rPr>
          <w:lang w:eastAsia="zh-CN"/>
        </w:rPr>
        <w:t xml:space="preserve"> of </w:t>
      </w:r>
      <w:r w:rsidRPr="00F415B1">
        <w:t>[5, TS 38.212]</w:t>
      </w:r>
      <w:r w:rsidRPr="00F415B1">
        <w:rPr>
          <w:lang w:val="en-US"/>
        </w:rPr>
        <w:t xml:space="preserve"> </w:t>
      </w:r>
      <w:r w:rsidRPr="00F415B1">
        <w:rPr>
          <w:iCs/>
          <w:lang w:val="en-US"/>
        </w:rPr>
        <w:t>for</w:t>
      </w:r>
      <w:r w:rsidRPr="00F415B1">
        <w:rPr>
          <w:iCs/>
        </w:rPr>
        <w:t xml:space="preserve"> </w:t>
      </w:r>
      <w:r w:rsidRPr="00F415B1">
        <w:rPr>
          <w:iCs/>
          <w:lang w:val="en-US"/>
        </w:rPr>
        <w:t>a</w:t>
      </w:r>
      <w:r w:rsidRPr="00F415B1">
        <w:rPr>
          <w:iCs/>
        </w:rPr>
        <w:t xml:space="preserve"> same number of layers </w:t>
      </w:r>
      <w:r w:rsidRPr="00F415B1">
        <w:rPr>
          <w:iCs/>
          <w:lang w:val="en-US"/>
        </w:rPr>
        <w:t xml:space="preserve">as </w:t>
      </w:r>
      <w:r w:rsidRPr="00F415B1">
        <w:rPr>
          <w:iCs/>
        </w:rPr>
        <w:t xml:space="preserve">indicated by the first SRI field </w:t>
      </w:r>
      <w:r w:rsidRPr="00F415B1">
        <w:rPr>
          <w:iCs/>
          <w:lang w:val="en-US"/>
        </w:rPr>
        <w:t xml:space="preserve">value, </w:t>
      </w:r>
      <w:r w:rsidRPr="00F415B1">
        <w:rPr>
          <w:iCs/>
        </w:rPr>
        <w:t xml:space="preserve">corresponding to the second SRS resource set </w:t>
      </w:r>
      <w:r w:rsidRPr="00F415B1">
        <w:rPr>
          <w:lang w:val="en-US"/>
        </w:rPr>
        <w:t xml:space="preserve">with </w:t>
      </w:r>
      <w:r w:rsidRPr="00F415B1">
        <w:rPr>
          <w:i/>
        </w:rPr>
        <w:t>usage</w:t>
      </w:r>
      <w:r w:rsidRPr="00F415B1">
        <w:rPr>
          <w:iCs/>
        </w:rPr>
        <w:t xml:space="preserve"> set to</w:t>
      </w:r>
      <w:r w:rsidRPr="00F415B1">
        <w:rPr>
          <w:iCs/>
          <w:lang w:val="en-US"/>
        </w:rPr>
        <w:t xml:space="preserve"> </w:t>
      </w:r>
      <w:r w:rsidR="005E3B15">
        <w:rPr>
          <w:iCs/>
        </w:rPr>
        <w:t>'</w:t>
      </w:r>
      <w:r w:rsidRPr="00F415B1">
        <w:rPr>
          <w:iCs/>
        </w:rPr>
        <w:t>nonCodebook</w:t>
      </w:r>
      <w:r w:rsidR="005E3B15">
        <w:rPr>
          <w:iCs/>
        </w:rPr>
        <w:t>'</w:t>
      </w:r>
      <w:r w:rsidRPr="00F415B1">
        <w:rPr>
          <w:lang w:val="en-US"/>
        </w:rPr>
        <w:t>.</w:t>
      </w:r>
    </w:p>
    <w:p w14:paraId="5423836A" w14:textId="4132B6ED" w:rsidR="003703DC" w:rsidRPr="00F415B1" w:rsidRDefault="003703DC" w:rsidP="009400C8">
      <w:pPr>
        <w:pStyle w:val="B3"/>
        <w:rPr>
          <w:lang w:val="en-US"/>
        </w:rPr>
      </w:pPr>
      <w:r>
        <w:rPr>
          <w:lang w:val="en-US"/>
        </w:rPr>
        <w:t>-</w:t>
      </w:r>
      <w:r>
        <w:rPr>
          <w:lang w:val="en-US"/>
        </w:rPr>
        <w:tab/>
      </w:r>
      <w:r w:rsidRPr="00F415B1">
        <w:rPr>
          <w:lang w:val="en-US"/>
        </w:rPr>
        <w:t xml:space="preserve">If the UE is provided </w:t>
      </w:r>
      <w:r w:rsidRPr="00F415B1">
        <w:rPr>
          <w:iCs/>
        </w:rPr>
        <w:t xml:space="preserve">two SRS resource sets in </w:t>
      </w:r>
      <w:r w:rsidRPr="00F415B1">
        <w:rPr>
          <w:i/>
        </w:rPr>
        <w:t>srs-ResourceSetToAddModList</w:t>
      </w:r>
      <w:r w:rsidRPr="00F415B1">
        <w:rPr>
          <w:iCs/>
        </w:rPr>
        <w:t xml:space="preserve"> or </w:t>
      </w:r>
      <w:r w:rsidRPr="00F415B1">
        <w:rPr>
          <w:i/>
        </w:rPr>
        <w:t>srs-ResourceSetToAddModListDCI-0-2</w:t>
      </w:r>
      <w:r w:rsidRPr="00F415B1">
        <w:rPr>
          <w:iCs/>
        </w:rPr>
        <w:t xml:space="preserve"> with </w:t>
      </w:r>
      <w:r w:rsidRPr="00F415B1">
        <w:rPr>
          <w:i/>
        </w:rPr>
        <w:t>usage</w:t>
      </w:r>
      <w:r w:rsidRPr="00F415B1">
        <w:rPr>
          <w:iCs/>
        </w:rPr>
        <w:t xml:space="preserve"> set to </w:t>
      </w:r>
      <w:r w:rsidR="005E3B15">
        <w:rPr>
          <w:iCs/>
        </w:rPr>
        <w:t>'</w:t>
      </w:r>
      <w:r w:rsidRPr="00F415B1">
        <w:rPr>
          <w:iCs/>
        </w:rPr>
        <w:t>codebook</w:t>
      </w:r>
      <w:r w:rsidR="005E3B15">
        <w:rPr>
          <w:iCs/>
        </w:rPr>
        <w:t>'</w:t>
      </w:r>
      <w:r w:rsidRPr="00F415B1">
        <w:rPr>
          <w:iCs/>
        </w:rPr>
        <w:t xml:space="preserve"> or </w:t>
      </w:r>
      <w:r w:rsidR="005E3B15">
        <w:rPr>
          <w:iCs/>
        </w:rPr>
        <w:t>'</w:t>
      </w:r>
      <w:r w:rsidRPr="00F415B1">
        <w:rPr>
          <w:iCs/>
        </w:rPr>
        <w:t>nonCodebook</w:t>
      </w:r>
      <w:r w:rsidR="005E3B15">
        <w:rPr>
          <w:iCs/>
        </w:rPr>
        <w:t>'</w:t>
      </w:r>
      <w:r w:rsidRPr="00F415B1">
        <w:rPr>
          <w:i/>
          <w:lang w:val="en-US"/>
        </w:rPr>
        <w:t xml:space="preserve"> </w:t>
      </w:r>
      <w:r w:rsidRPr="00F415B1">
        <w:t xml:space="preserve">and </w:t>
      </w:r>
      <w:r w:rsidRPr="00F415B1">
        <w:rPr>
          <w:lang w:val="en-US"/>
        </w:rPr>
        <w:t xml:space="preserve">the DCI format </w:t>
      </w:r>
      <w:r w:rsidRPr="00F415B1">
        <w:t>activating the PUSCH transmission does not include a</w:t>
      </w:r>
      <w:r w:rsidRPr="00F415B1">
        <w:rPr>
          <w:lang w:val="en-US"/>
        </w:rPr>
        <w:t>n</w:t>
      </w:r>
      <w:r w:rsidRPr="00F415B1">
        <w:t xml:space="preserve"> SRI field</w:t>
      </w:r>
      <w:r w:rsidRPr="00F415B1">
        <w:rPr>
          <w:lang w:val="en-US"/>
        </w:rPr>
        <w:t xml:space="preserve">, </w:t>
      </w:r>
      <w:r w:rsidRPr="00F415B1">
        <w:rPr>
          <w:rFonts w:eastAsia="Malgun Gothic"/>
        </w:rPr>
        <w:t xml:space="preserve">the </w:t>
      </w:r>
      <w:r w:rsidRPr="00F415B1">
        <w:t xml:space="preserve">UE determines </w:t>
      </w:r>
      <w:r w:rsidRPr="00F415B1">
        <w:rPr>
          <w:lang w:val="en-US"/>
        </w:rPr>
        <w:t>first and</w:t>
      </w:r>
      <w:r w:rsidRPr="00F415B1">
        <w:t xml:space="preserve"> </w:t>
      </w:r>
      <w:r w:rsidRPr="00F415B1">
        <w:rPr>
          <w:lang w:val="en-US"/>
        </w:rPr>
        <w:t xml:space="preserve">second </w:t>
      </w:r>
      <w:r w:rsidRPr="00F415B1">
        <w:t>RS resource</w:t>
      </w:r>
      <w:r w:rsidRPr="00F415B1">
        <w:rPr>
          <w:lang w:val="en-US"/>
        </w:rPr>
        <w:t xml:space="preserve"> indexes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Pr="00F415B1">
        <w:t xml:space="preserve"> </w:t>
      </w:r>
      <w:r w:rsidR="002D6F6A" w:rsidRPr="008F482D">
        <w:rPr>
          <w:iCs/>
          <w:lang w:val="en-US" w:eastAsia="zh-CN"/>
        </w:rPr>
        <w:t xml:space="preserve">respectively </w:t>
      </w:r>
      <w:r w:rsidR="002D6F6A" w:rsidRPr="008F482D">
        <w:t xml:space="preserve">associated with the first and second SRS resource set </w:t>
      </w:r>
      <w:r w:rsidRPr="00F415B1">
        <w:t>with respective</w:t>
      </w:r>
      <w:r w:rsidRPr="00F415B1">
        <w:rPr>
          <w:lang w:val="en-US"/>
        </w:rPr>
        <w:t xml:space="preserve"> first and second</w:t>
      </w:r>
      <w:r w:rsidRPr="00F415B1">
        <w:t xml:space="preserve"> </w:t>
      </w:r>
      <w:r w:rsidRPr="00F415B1">
        <w:rPr>
          <w:i/>
        </w:rPr>
        <w:t>PUSCH-PathlossReferenceRS-Id</w:t>
      </w:r>
      <w:r w:rsidRPr="00F415B1">
        <w:rPr>
          <w:rFonts w:eastAsia="MS Mincho"/>
        </w:rPr>
        <w:t xml:space="preserve"> </w:t>
      </w:r>
      <w:r w:rsidRPr="00F415B1">
        <w:t xml:space="preserve">value being equal to </w:t>
      </w:r>
      <w:r w:rsidRPr="00F415B1">
        <w:rPr>
          <w:lang w:val="en-US"/>
        </w:rPr>
        <w:t>zero and one.</w:t>
      </w:r>
    </w:p>
    <w:p w14:paraId="43C6D35F" w14:textId="2204A6A1" w:rsidR="00CA49BF" w:rsidRDefault="003703DC" w:rsidP="003703DC">
      <w:pPr>
        <w:pStyle w:val="B3"/>
        <w:rPr>
          <w:lang w:val="en-US"/>
        </w:rPr>
      </w:pPr>
      <w:r>
        <w:t>-</w:t>
      </w:r>
      <w:r>
        <w:tab/>
      </w:r>
      <w:r w:rsidR="00EA5731">
        <w:t>If the DCI format activating the PUSCH transmission does not include a</w:t>
      </w:r>
      <w:r w:rsidR="00E12A0D">
        <w:rPr>
          <w:lang w:val="en-US"/>
        </w:rPr>
        <w:t>n</w:t>
      </w:r>
      <w:r w:rsidR="00EA5731">
        <w:t xml:space="preserve"> SRI field, </w:t>
      </w:r>
      <w:r w:rsidR="00EA5731">
        <w:rPr>
          <w:rFonts w:eastAsia="Malgun Gothic"/>
        </w:rPr>
        <w:t xml:space="preserve">the </w:t>
      </w:r>
      <w:r w:rsidR="00EA5731" w:rsidRPr="004516B4">
        <w:t xml:space="preserve">UE </w:t>
      </w:r>
      <w:r w:rsidR="00EA5731">
        <w:t>determines a RS</w:t>
      </w:r>
      <w:r w:rsidR="00EA5731" w:rsidRPr="004516B4">
        <w:t xml:space="preserve"> resource</w:t>
      </w:r>
      <w:r w:rsidR="00AC16EB">
        <w:rPr>
          <w:lang w:val="en-US"/>
        </w:rPr>
        <w:t xml:space="preserve"> index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00EA5731">
        <w:t xml:space="preserve"> with a respective </w:t>
      </w:r>
      <w:r w:rsidR="006B4E28" w:rsidRPr="005B3110">
        <w:rPr>
          <w:i/>
        </w:rPr>
        <w:t>PUSCH-PathlossReferenceRS-Id</w:t>
      </w:r>
      <w:r w:rsidR="00EA5731">
        <w:rPr>
          <w:rFonts w:eastAsia="MS Mincho"/>
        </w:rPr>
        <w:t xml:space="preserve"> </w:t>
      </w:r>
      <w:r w:rsidR="00EA5731">
        <w:t>value being equal to zero</w:t>
      </w:r>
      <w:r w:rsidR="001349CE">
        <w:rPr>
          <w:lang w:val="en-US"/>
        </w:rPr>
        <w:t xml:space="preserve"> </w:t>
      </w:r>
    </w:p>
    <w:p w14:paraId="78B28600" w14:textId="071EC0FC" w:rsidR="00EA5731" w:rsidRPr="003A5BF8" w:rsidRDefault="001349CE" w:rsidP="009400C8">
      <w:pPr>
        <w:pStyle w:val="B3"/>
        <w:ind w:left="851" w:firstLine="0"/>
        <w:rPr>
          <w:lang w:val="en-US" w:eastAsia="zh-CN"/>
        </w:rPr>
      </w:pPr>
      <w:r w:rsidRPr="004864B4">
        <w:t>where the RS resource</w:t>
      </w:r>
      <w:r w:rsidR="00685C06">
        <w:t>s are</w:t>
      </w:r>
      <w:r w:rsidRPr="004864B4">
        <w:t xml:space="preserve"> either on serving cell</w:t>
      </w:r>
      <w:r w:rsidRPr="004864B4">
        <w:rPr>
          <w:i/>
        </w:rPr>
        <w:t xml:space="preserve"> </w:t>
      </w:r>
      <m:oMath>
        <m:r>
          <w:rPr>
            <w:rFonts w:ascii="Cambria Math" w:eastAsia="MS Mincho" w:hAnsi="Cambria Math"/>
            <w:lang w:val="en-US"/>
          </w:rPr>
          <m:t>c</m:t>
        </m:r>
      </m:oMath>
      <w:r w:rsidRPr="004864B4">
        <w:rPr>
          <w:lang w:val="en-US"/>
        </w:rPr>
        <w:t xml:space="preserve"> </w:t>
      </w:r>
      <w:r w:rsidRPr="004864B4">
        <w:t xml:space="preserve">or, if provided, on a serving cell indicated by a value of </w:t>
      </w:r>
      <w:r w:rsidRPr="004864B4">
        <w:rPr>
          <w:i/>
          <w:iCs/>
        </w:rPr>
        <w:t>pathlossReferenceLinking</w:t>
      </w:r>
    </w:p>
    <w:p w14:paraId="4148738D" w14:textId="015243FF" w:rsidR="00E90DBB" w:rsidRDefault="00E12A0D" w:rsidP="00A77CA3">
      <w:pPr>
        <w:pStyle w:val="B2"/>
        <w:rPr>
          <w:lang w:val="en-US"/>
        </w:rPr>
      </w:pPr>
      <w:r>
        <w:rPr>
          <w:bCs/>
          <w:iCs/>
        </w:rPr>
        <w:t>-</w:t>
      </w:r>
      <w:r>
        <w:rPr>
          <w:bCs/>
          <w:iCs/>
        </w:rPr>
        <w:tab/>
      </w:r>
      <w:r w:rsidR="00E90DBB">
        <w:rPr>
          <w:bCs/>
          <w:iCs/>
        </w:rPr>
        <w:t xml:space="preserve">If the UE is provided </w:t>
      </w:r>
      <w:r w:rsidR="000733CD" w:rsidRPr="003255BC">
        <w:rPr>
          <w:bCs/>
          <w:i/>
          <w:iCs/>
        </w:rPr>
        <w:t>enablePL</w:t>
      </w:r>
      <w:r>
        <w:rPr>
          <w:bCs/>
          <w:i/>
          <w:iCs/>
          <w:lang w:val="en-US"/>
        </w:rPr>
        <w:t>-</w:t>
      </w:r>
      <w:r w:rsidR="000733CD" w:rsidRPr="003255BC">
        <w:rPr>
          <w:bCs/>
          <w:i/>
          <w:iCs/>
        </w:rPr>
        <w:t>RS</w:t>
      </w:r>
      <w:r w:rsidR="000733CD">
        <w:rPr>
          <w:bCs/>
          <w:i/>
          <w:iCs/>
          <w:lang w:val="en-US"/>
        </w:rPr>
        <w:t>-U</w:t>
      </w:r>
      <w:r w:rsidR="000733CD" w:rsidRPr="003255BC">
        <w:rPr>
          <w:bCs/>
          <w:i/>
          <w:iCs/>
        </w:rPr>
        <w:t>pdateForPUSCH</w:t>
      </w:r>
      <w:r w:rsidR="000733CD">
        <w:rPr>
          <w:bCs/>
          <w:i/>
          <w:iCs/>
          <w:lang w:val="en-US"/>
        </w:rPr>
        <w:t>-</w:t>
      </w:r>
      <w:r w:rsidR="000733CD" w:rsidRPr="003255BC">
        <w:rPr>
          <w:bCs/>
          <w:i/>
          <w:iCs/>
        </w:rPr>
        <w:t>SRS</w:t>
      </w:r>
      <w:r w:rsidR="00E90DBB">
        <w:rPr>
          <w:bCs/>
          <w:iCs/>
        </w:rPr>
        <w:t>,</w:t>
      </w:r>
      <w:r w:rsidR="00E90DBB" w:rsidRPr="003255BC">
        <w:rPr>
          <w:lang w:val="en-US"/>
        </w:rPr>
        <w:t xml:space="preserve"> </w:t>
      </w:r>
      <w:r w:rsidR="00E90DBB">
        <w:rPr>
          <w:lang w:val="en-US"/>
        </w:rPr>
        <w:t>a</w:t>
      </w:r>
      <w:r w:rsidR="00E90DBB" w:rsidRPr="003255BC">
        <w:rPr>
          <w:lang w:val="en-US"/>
        </w:rPr>
        <w:t xml:space="preserve"> mapping between </w:t>
      </w:r>
      <w:r w:rsidR="00E90DBB" w:rsidRPr="003255BC">
        <w:rPr>
          <w:i/>
        </w:rPr>
        <w:t>sri-PUSCH-PowerControlId</w:t>
      </w:r>
      <w:r w:rsidR="00E90DBB" w:rsidRPr="003255BC">
        <w:t xml:space="preserve"> and </w:t>
      </w:r>
      <w:r w:rsidR="00E90DBB" w:rsidRPr="003255BC">
        <w:rPr>
          <w:i/>
        </w:rPr>
        <w:t>PUSCH-PathlossReferenceRS-Id</w:t>
      </w:r>
      <w:r w:rsidR="00E90DBB" w:rsidRPr="003255BC">
        <w:rPr>
          <w:rFonts w:eastAsia="MS Mincho"/>
        </w:rPr>
        <w:t xml:space="preserve"> values</w:t>
      </w:r>
      <w:r w:rsidR="00E90DBB" w:rsidRPr="003255BC">
        <w:rPr>
          <w:lang w:val="en-US"/>
        </w:rPr>
        <w:t xml:space="preserve"> can be updated by a MAC CE as described in [11, TS</w:t>
      </w:r>
      <w:r w:rsidR="00CA49BF">
        <w:rPr>
          <w:lang w:val="en-US"/>
        </w:rPr>
        <w:t xml:space="preserve"> </w:t>
      </w:r>
      <w:r w:rsidR="00E90DBB" w:rsidRPr="003255BC">
        <w:rPr>
          <w:lang w:val="en-US"/>
        </w:rPr>
        <w:t>38.321]</w:t>
      </w:r>
    </w:p>
    <w:p w14:paraId="3A4B6861" w14:textId="7EAA8918" w:rsidR="00590EB5" w:rsidRDefault="00E12A0D" w:rsidP="00D057B9">
      <w:pPr>
        <w:pStyle w:val="B3"/>
      </w:pPr>
      <w:r>
        <w:t>-</w:t>
      </w:r>
      <w:r>
        <w:tab/>
      </w:r>
      <w:r w:rsidR="00E90DBB" w:rsidRPr="009D5B6D">
        <w:t xml:space="preserve">For a PUSCH transmission </w:t>
      </w:r>
      <w:r w:rsidR="00E90DBB">
        <w:t>scheduled</w:t>
      </w:r>
      <w:r w:rsidR="00E90DBB" w:rsidRPr="00110C77">
        <w:rPr>
          <w:lang w:val="en-US"/>
        </w:rPr>
        <w:t xml:space="preserve"> </w:t>
      </w:r>
      <w:r w:rsidR="00E90DBB">
        <w:rPr>
          <w:lang w:val="en-US"/>
        </w:rPr>
        <w:t>by a DCI format that does not include a</w:t>
      </w:r>
      <w:r>
        <w:rPr>
          <w:lang w:val="en-US"/>
        </w:rPr>
        <w:t>n</w:t>
      </w:r>
      <w:r w:rsidR="00E90DBB">
        <w:rPr>
          <w:lang w:val="en-US"/>
        </w:rPr>
        <w:t xml:space="preserve"> SRI field, or for a</w:t>
      </w:r>
      <w:r w:rsidR="00E90DBB" w:rsidRPr="009D5B6D">
        <w:t xml:space="preserve"> PUSCH transmission configured by </w:t>
      </w:r>
      <w:r w:rsidR="00E90DBB" w:rsidRPr="009D5B6D">
        <w:rPr>
          <w:i/>
          <w:iCs/>
        </w:rPr>
        <w:t>ConfiguredGrantConfig</w:t>
      </w:r>
      <w:r w:rsidR="00E90DBB">
        <w:rPr>
          <w:iCs/>
        </w:rPr>
        <w:t xml:space="preserve"> and activated, as described </w:t>
      </w:r>
      <w:r w:rsidR="006F5F9E">
        <w:rPr>
          <w:iCs/>
        </w:rPr>
        <w:t>in clause</w:t>
      </w:r>
      <w:r w:rsidR="00E90DBB">
        <w:rPr>
          <w:iCs/>
        </w:rPr>
        <w:t xml:space="preserve"> 10.2, </w:t>
      </w:r>
      <w:r w:rsidR="00E90DBB">
        <w:rPr>
          <w:lang w:val="en-US"/>
        </w:rPr>
        <w:t>by a DCI format that does not include a</w:t>
      </w:r>
      <w:r>
        <w:rPr>
          <w:lang w:val="en-US"/>
        </w:rPr>
        <w:t>n</w:t>
      </w:r>
      <w:r w:rsidR="00E90DBB">
        <w:rPr>
          <w:lang w:val="en-US"/>
        </w:rPr>
        <w:t xml:space="preserve"> SRI field</w:t>
      </w:r>
      <w:r w:rsidR="00E90DBB">
        <w:rPr>
          <w:rFonts w:eastAsia="Malgun Gothic"/>
        </w:rPr>
        <w:t xml:space="preserve">, </w:t>
      </w:r>
      <w:r w:rsidR="00CA49BF" w:rsidRPr="00F415B1">
        <w:rPr>
          <w:rFonts w:eastAsia="Malgun Gothic"/>
        </w:rPr>
        <w:t xml:space="preserve">the UE determines </w:t>
      </w:r>
      <w:r w:rsidR="00E90DBB">
        <w:rPr>
          <w:rFonts w:eastAsia="Malgun Gothic"/>
        </w:rPr>
        <w:t xml:space="preserve">a </w:t>
      </w:r>
      <w:r w:rsidR="00E90DBB" w:rsidRPr="00B916EC">
        <w:t>RS resource</w:t>
      </w:r>
      <w:r w:rsidR="00E90DBB">
        <w:rPr>
          <w:lang w:val="en-US"/>
        </w:rPr>
        <w:t xml:space="preserve"> index</w:t>
      </w:r>
      <w:r w:rsidR="00E90DBB" w:rsidRPr="00B916EC">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00E90DBB">
        <w:t xml:space="preserve"> from the </w:t>
      </w:r>
      <w:r w:rsidR="00E90DBB" w:rsidRPr="003255BC">
        <w:rPr>
          <w:i/>
        </w:rPr>
        <w:t>PUSCH-PathlossReferenceRS-Id</w:t>
      </w:r>
      <w:r w:rsidR="00E90DBB" w:rsidRPr="00B35C4C">
        <w:t xml:space="preserve"> </w:t>
      </w:r>
      <w:r w:rsidR="00E90DBB">
        <w:rPr>
          <w:rFonts w:eastAsia="MS Mincho"/>
        </w:rPr>
        <w:t xml:space="preserve">mapped to </w:t>
      </w:r>
      <w:r w:rsidR="00E90DBB" w:rsidRPr="003255BC">
        <w:rPr>
          <w:i/>
        </w:rPr>
        <w:t>sri-PUSCH-PowerControlId</w:t>
      </w:r>
      <w:r w:rsidR="00E90DBB" w:rsidRPr="00B35C4C">
        <w:t xml:space="preserve"> </w:t>
      </w:r>
      <w:r w:rsidR="00E90DBB">
        <w:t>= 0</w:t>
      </w:r>
      <w:r w:rsidR="00CA49BF" w:rsidRPr="00F415B1">
        <w:t xml:space="preserve">. </w:t>
      </w:r>
      <w:r w:rsidR="00CA49BF" w:rsidRPr="00F415B1">
        <w:rPr>
          <w:lang w:val="en-US"/>
        </w:rPr>
        <w:t xml:space="preserve">If the UE is provided </w:t>
      </w:r>
      <w:r w:rsidR="00CA49BF" w:rsidRPr="00F415B1">
        <w:rPr>
          <w:iCs/>
        </w:rPr>
        <w:t xml:space="preserve">two SRS resource sets in </w:t>
      </w:r>
      <w:r w:rsidR="00CA49BF" w:rsidRPr="00F415B1">
        <w:rPr>
          <w:i/>
        </w:rPr>
        <w:t>srs-ResourceSetToAddModList</w:t>
      </w:r>
      <w:r w:rsidR="00CA49BF" w:rsidRPr="00F415B1">
        <w:rPr>
          <w:iCs/>
        </w:rPr>
        <w:t xml:space="preserve"> or </w:t>
      </w:r>
      <w:r w:rsidR="00CA49BF" w:rsidRPr="00F415B1">
        <w:rPr>
          <w:i/>
        </w:rPr>
        <w:t>srs-ResourceSetToAddModListDCI-0-2</w:t>
      </w:r>
      <w:r w:rsidR="00CA49BF" w:rsidRPr="00F415B1">
        <w:rPr>
          <w:iCs/>
        </w:rPr>
        <w:t xml:space="preserve"> with </w:t>
      </w:r>
      <w:r w:rsidR="00CA49BF" w:rsidRPr="00F415B1">
        <w:rPr>
          <w:i/>
        </w:rPr>
        <w:t>usage</w:t>
      </w:r>
      <w:r w:rsidR="00CA49BF" w:rsidRPr="00F415B1">
        <w:rPr>
          <w:iCs/>
        </w:rPr>
        <w:t xml:space="preserve"> set to </w:t>
      </w:r>
      <w:r w:rsidR="005E3B15">
        <w:rPr>
          <w:iCs/>
        </w:rPr>
        <w:t>'</w:t>
      </w:r>
      <w:r w:rsidR="00CA49BF" w:rsidRPr="00F415B1">
        <w:rPr>
          <w:iCs/>
        </w:rPr>
        <w:t>codebook</w:t>
      </w:r>
      <w:r w:rsidR="005E3B15">
        <w:rPr>
          <w:iCs/>
        </w:rPr>
        <w:t>'</w:t>
      </w:r>
      <w:r w:rsidR="00CA49BF" w:rsidRPr="00F415B1">
        <w:rPr>
          <w:iCs/>
        </w:rPr>
        <w:t xml:space="preserve"> or </w:t>
      </w:r>
      <w:r w:rsidR="005E3B15">
        <w:rPr>
          <w:iCs/>
        </w:rPr>
        <w:t>'</w:t>
      </w:r>
      <w:r w:rsidR="00CA49BF" w:rsidRPr="00F415B1">
        <w:rPr>
          <w:iCs/>
        </w:rPr>
        <w:t>nonCodebook</w:t>
      </w:r>
      <w:r w:rsidR="005E3B15">
        <w:rPr>
          <w:iCs/>
        </w:rPr>
        <w:t>'</w:t>
      </w:r>
      <w:r w:rsidR="00CA49BF" w:rsidRPr="00F415B1">
        <w:rPr>
          <w:lang w:val="en-US"/>
        </w:rPr>
        <w:t xml:space="preserve">, </w:t>
      </w:r>
      <w:r w:rsidR="00CA49BF" w:rsidRPr="00F415B1">
        <w:rPr>
          <w:rFonts w:eastAsia="Malgun Gothic"/>
        </w:rPr>
        <w:t xml:space="preserve">the UE determines first and second </w:t>
      </w:r>
      <w:r w:rsidR="00CA49BF" w:rsidRPr="00F415B1">
        <w:t>RS resource</w:t>
      </w:r>
      <w:r w:rsidR="00CA49BF" w:rsidRPr="00F415B1">
        <w:rPr>
          <w:lang w:val="en-US"/>
        </w:rPr>
        <w:t xml:space="preserve"> indexes</w:t>
      </w:r>
      <w:r w:rsidR="00CA49BF" w:rsidRPr="00F415B1">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00CA49BF" w:rsidRPr="00F415B1">
        <w:t xml:space="preserve"> from respective </w:t>
      </w:r>
      <w:r w:rsidR="00CA49BF" w:rsidRPr="00F415B1">
        <w:rPr>
          <w:i/>
        </w:rPr>
        <w:t>PUSCH-PathlossReferenceRS-Id</w:t>
      </w:r>
      <w:r w:rsidR="00CA49BF" w:rsidRPr="00F415B1">
        <w:t xml:space="preserve"> </w:t>
      </w:r>
      <w:r w:rsidR="00CA49BF" w:rsidRPr="00F415B1">
        <w:rPr>
          <w:rFonts w:eastAsia="MS Mincho"/>
        </w:rPr>
        <w:t xml:space="preserve">mapped to </w:t>
      </w:r>
      <w:r w:rsidR="00CA49BF" w:rsidRPr="00F415B1">
        <w:rPr>
          <w:i/>
        </w:rPr>
        <w:t>sri-PUSCH-PowerControlId</w:t>
      </w:r>
      <w:r w:rsidR="00CA49BF" w:rsidRPr="00F415B1">
        <w:t xml:space="preserve"> = 0 </w:t>
      </w:r>
      <w:r w:rsidR="00110C23" w:rsidRPr="00037243">
        <w:t xml:space="preserve">of </w:t>
      </w:r>
      <w:r w:rsidR="00110C23" w:rsidRPr="00037243">
        <w:rPr>
          <w:i/>
        </w:rPr>
        <w:t>sri-PUSCH-MappingToAddModList</w:t>
      </w:r>
      <w:r w:rsidR="00110C23" w:rsidRPr="00037243">
        <w:rPr>
          <w:iCs/>
        </w:rPr>
        <w:t xml:space="preserve"> </w:t>
      </w:r>
      <w:r w:rsidR="00CA49BF" w:rsidRPr="00F415B1">
        <w:t xml:space="preserve">and </w:t>
      </w:r>
      <w:r w:rsidR="00CA49BF" w:rsidRPr="00F415B1">
        <w:rPr>
          <w:i/>
        </w:rPr>
        <w:t>sri-PUSCH-PowerControlId</w:t>
      </w:r>
      <w:r w:rsidR="00CA49BF" w:rsidRPr="00F415B1">
        <w:t xml:space="preserve"> = </w:t>
      </w:r>
      <w:r w:rsidR="00110C23">
        <w:t xml:space="preserve">0 </w:t>
      </w:r>
      <w:r w:rsidR="00110C23" w:rsidRPr="00037243">
        <w:t xml:space="preserve">of </w:t>
      </w:r>
      <w:r w:rsidR="00110C23" w:rsidRPr="00037243">
        <w:rPr>
          <w:i/>
        </w:rPr>
        <w:t>sri-PUSCH-MappingToAddModList2</w:t>
      </w:r>
      <w:r w:rsidR="00110C23" w:rsidRPr="00037243">
        <w:rPr>
          <w:iCs/>
        </w:rPr>
        <w:t>, respectively</w:t>
      </w:r>
      <w:r w:rsidR="00CA49BF" w:rsidRPr="00F415B1">
        <w:t>.</w:t>
      </w:r>
    </w:p>
    <w:p w14:paraId="5BC8AD5A" w14:textId="77777777" w:rsidR="00CA49BF" w:rsidRPr="00F415B1" w:rsidRDefault="00CA49BF" w:rsidP="00CA49BF">
      <w:pPr>
        <w:pStyle w:val="B2"/>
        <w:rPr>
          <w:lang w:val="en-US"/>
        </w:rPr>
      </w:pPr>
      <w:r w:rsidRPr="00F415B1">
        <w:rPr>
          <w:bCs/>
          <w:iCs/>
        </w:rPr>
        <w:t>-</w:t>
      </w:r>
      <w:r w:rsidRPr="00F415B1">
        <w:rPr>
          <w:bCs/>
          <w:iCs/>
        </w:rPr>
        <w:tab/>
        <w:t xml:space="preserve">If the UE is </w:t>
      </w:r>
      <w:r w:rsidRPr="00F415B1">
        <w:rPr>
          <w:bCs/>
          <w:iCs/>
          <w:lang w:val="en-US"/>
        </w:rPr>
        <w:t xml:space="preserve">not </w:t>
      </w:r>
      <w:r w:rsidRPr="00F415B1">
        <w:rPr>
          <w:bCs/>
          <w:iCs/>
        </w:rPr>
        <w:t xml:space="preserve">provided </w:t>
      </w:r>
      <w:r w:rsidRPr="00F415B1">
        <w:rPr>
          <w:bCs/>
          <w:i/>
          <w:iCs/>
        </w:rPr>
        <w:t>enablePL</w:t>
      </w:r>
      <w:r w:rsidRPr="00F415B1">
        <w:rPr>
          <w:bCs/>
          <w:i/>
          <w:iCs/>
          <w:lang w:val="en-US"/>
        </w:rPr>
        <w:t>-</w:t>
      </w:r>
      <w:r w:rsidRPr="00F415B1">
        <w:rPr>
          <w:bCs/>
          <w:i/>
          <w:iCs/>
        </w:rPr>
        <w:t>RS</w:t>
      </w:r>
      <w:r w:rsidRPr="00F415B1">
        <w:rPr>
          <w:bCs/>
          <w:i/>
          <w:iCs/>
          <w:lang w:val="en-US"/>
        </w:rPr>
        <w:t>-U</w:t>
      </w:r>
      <w:r w:rsidRPr="00F415B1">
        <w:rPr>
          <w:bCs/>
          <w:i/>
          <w:iCs/>
        </w:rPr>
        <w:t>pdateForPUSCH</w:t>
      </w:r>
      <w:r w:rsidRPr="00F415B1">
        <w:rPr>
          <w:bCs/>
          <w:i/>
          <w:iCs/>
          <w:lang w:val="en-US"/>
        </w:rPr>
        <w:t>-</w:t>
      </w:r>
      <w:r w:rsidRPr="00F415B1">
        <w:rPr>
          <w:bCs/>
          <w:i/>
          <w:iCs/>
        </w:rPr>
        <w:t>SRS</w:t>
      </w:r>
    </w:p>
    <w:p w14:paraId="3CAF409E" w14:textId="64F63211" w:rsidR="00CA49BF" w:rsidRPr="00F415B1" w:rsidRDefault="00CA49BF" w:rsidP="00CA49BF">
      <w:pPr>
        <w:pStyle w:val="B3"/>
      </w:pPr>
      <w:r w:rsidRPr="00F415B1">
        <w:t>-</w:t>
      </w:r>
      <w:r w:rsidRPr="00F415B1">
        <w:tab/>
        <w:t>For a PUSCH transmission scheduled</w:t>
      </w:r>
      <w:r w:rsidRPr="00F415B1">
        <w:rPr>
          <w:lang w:val="en-US"/>
        </w:rPr>
        <w:t xml:space="preserve"> by a DCI format that does not include an SRI field, if </w:t>
      </w:r>
      <w:r w:rsidRPr="00F415B1">
        <w:rPr>
          <w:rFonts w:eastAsia="Malgun Gothic"/>
        </w:rPr>
        <w:t xml:space="preserve">the UE is provided two SRS </w:t>
      </w:r>
      <w:r w:rsidR="002D6F6A" w:rsidRPr="008F482D">
        <w:rPr>
          <w:rFonts w:eastAsia="Malgun Gothic"/>
        </w:rPr>
        <w:t>resource set</w:t>
      </w:r>
      <w:r w:rsidR="002D6F6A">
        <w:rPr>
          <w:rFonts w:eastAsia="Malgun Gothic"/>
        </w:rPr>
        <w:t>s</w:t>
      </w:r>
      <w:r w:rsidRPr="00F415B1">
        <w:rPr>
          <w:rFonts w:eastAsia="Malgun Gothic"/>
        </w:rPr>
        <w:t xml:space="preserve"> </w:t>
      </w:r>
      <w:r w:rsidRPr="00F415B1">
        <w:rPr>
          <w:iCs/>
        </w:rPr>
        <w:t xml:space="preserve">in </w:t>
      </w:r>
      <w:r w:rsidRPr="00F415B1">
        <w:rPr>
          <w:i/>
        </w:rPr>
        <w:t>srs-ResourceSetToAddModList</w:t>
      </w:r>
      <w:r w:rsidRPr="00F415B1">
        <w:rPr>
          <w:iCs/>
        </w:rPr>
        <w:t xml:space="preserve"> or </w:t>
      </w:r>
      <w:r w:rsidRPr="00F415B1">
        <w:rPr>
          <w:i/>
        </w:rPr>
        <w:t>srs-ResourceSetToAddModListDCI-0-2</w:t>
      </w:r>
      <w:r w:rsidRPr="00F415B1">
        <w:rPr>
          <w:iCs/>
        </w:rPr>
        <w:t xml:space="preserve"> with </w:t>
      </w:r>
      <w:r w:rsidRPr="00F415B1">
        <w:rPr>
          <w:i/>
        </w:rPr>
        <w:t>usage</w:t>
      </w:r>
      <w:r w:rsidRPr="00F415B1">
        <w:rPr>
          <w:iCs/>
        </w:rPr>
        <w:t xml:space="preserve"> set to </w:t>
      </w:r>
      <w:r w:rsidR="005E3B15">
        <w:rPr>
          <w:iCs/>
        </w:rPr>
        <w:t>'</w:t>
      </w:r>
      <w:r w:rsidRPr="00F415B1">
        <w:rPr>
          <w:iCs/>
        </w:rPr>
        <w:t>codebook</w:t>
      </w:r>
      <w:r w:rsidR="005E3B15">
        <w:rPr>
          <w:iCs/>
        </w:rPr>
        <w:t>'</w:t>
      </w:r>
      <w:r w:rsidRPr="00F415B1">
        <w:rPr>
          <w:iCs/>
        </w:rPr>
        <w:t xml:space="preserve"> or </w:t>
      </w:r>
      <w:r w:rsidR="005E3B15">
        <w:rPr>
          <w:iCs/>
        </w:rPr>
        <w:t>'</w:t>
      </w:r>
      <w:r w:rsidRPr="00F415B1">
        <w:rPr>
          <w:iCs/>
        </w:rPr>
        <w:t>nonCodebook</w:t>
      </w:r>
      <w:r w:rsidR="005E3B15">
        <w:rPr>
          <w:iCs/>
        </w:rPr>
        <w:t>'</w:t>
      </w:r>
      <w:r w:rsidRPr="00F415B1">
        <w:rPr>
          <w:lang w:val="en-US"/>
        </w:rPr>
        <w:t xml:space="preserve">, </w:t>
      </w:r>
      <w:r w:rsidRPr="00F415B1">
        <w:rPr>
          <w:rFonts w:eastAsia="Malgun Gothic"/>
        </w:rPr>
        <w:t xml:space="preserve">the UE determines first and second </w:t>
      </w:r>
      <w:r w:rsidRPr="00F415B1">
        <w:t>RS resource</w:t>
      </w:r>
      <w:r w:rsidRPr="00F415B1">
        <w:rPr>
          <w:lang w:val="en-US"/>
        </w:rPr>
        <w:t xml:space="preserve"> indexes</w:t>
      </w:r>
      <w:r w:rsidRPr="00F415B1">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Pr="00F415B1">
        <w:t xml:space="preserve"> </w:t>
      </w:r>
      <w:r w:rsidR="002D6F6A" w:rsidRPr="008F482D">
        <w:rPr>
          <w:iCs/>
          <w:lang w:val="en-US" w:eastAsia="zh-CN"/>
        </w:rPr>
        <w:t xml:space="preserve">respectively </w:t>
      </w:r>
      <w:r w:rsidR="002D6F6A" w:rsidRPr="008F482D">
        <w:t xml:space="preserve">associated with the first and second SRS resource set </w:t>
      </w:r>
      <w:r w:rsidRPr="00F415B1">
        <w:t xml:space="preserve">with respective first and second </w:t>
      </w:r>
      <w:r w:rsidRPr="00F415B1">
        <w:rPr>
          <w:i/>
        </w:rPr>
        <w:t>PUSCH-PathlossReferenceRS-Id</w:t>
      </w:r>
      <w:r w:rsidRPr="00F415B1">
        <w:t xml:space="preserve"> values being equal to 0 and 1.</w:t>
      </w:r>
    </w:p>
    <w:p w14:paraId="73CBACDA" w14:textId="1756D317" w:rsidR="00A27C38" w:rsidRPr="00B916EC" w:rsidRDefault="00000000" w:rsidP="00CA49BF">
      <w:pPr>
        <w:pStyle w:val="B1"/>
        <w:ind w:firstLine="0"/>
        <w:rPr>
          <w:rFonts w:eastAsia="MS Mincho"/>
        </w:rPr>
      </w:pPr>
      <m:oMath>
        <m:sSub>
          <m:sSubPr>
            <m:ctrlPr>
              <w:rPr>
                <w:rFonts w:ascii="Cambria Math" w:hAnsi="Cambria Math"/>
                <w:i/>
              </w:rPr>
            </m:ctrlPr>
          </m:sSubPr>
          <m:e>
            <m:r>
              <w:rPr>
                <w:rFonts w:ascii="Cambria Math" w:hAnsi="Cambria Math"/>
              </w:rPr>
              <m:t>PL</m:t>
            </m:r>
          </m:e>
          <m:sub>
            <m:r>
              <w:rPr>
                <w:rFonts w:ascii="Cambria Math" w:hAnsi="Cambria Math"/>
              </w:rPr>
              <m:t>b,f,c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oMath>
      <w:r w:rsidR="00CA49BF" w:rsidDel="00CA49BF">
        <w:rPr>
          <w:position w:val="-12"/>
        </w:rPr>
        <w:t xml:space="preserve"> </w:t>
      </w:r>
      <w:r w:rsidR="002D17BD" w:rsidRPr="00B916EC">
        <w:rPr>
          <w:rFonts w:eastAsia="MS Mincho"/>
        </w:rPr>
        <w:t xml:space="preserve">= </w:t>
      </w:r>
      <w:r w:rsidR="002D17BD" w:rsidRPr="00B916EC">
        <w:rPr>
          <w:rFonts w:eastAsia="MS Mincho"/>
          <w:i/>
        </w:rPr>
        <w:t>referenceSignalPower</w:t>
      </w:r>
      <w:r w:rsidR="002D17BD" w:rsidRPr="00B916EC">
        <w:rPr>
          <w:rFonts w:eastAsia="MS Mincho"/>
        </w:rPr>
        <w:t xml:space="preserve"> – higher layer filtered RSRP, where </w:t>
      </w:r>
      <w:r w:rsidR="002D17BD" w:rsidRPr="00B916EC">
        <w:rPr>
          <w:rFonts w:eastAsia="MS Mincho"/>
          <w:i/>
        </w:rPr>
        <w:t>referenceSignalPower</w:t>
      </w:r>
      <w:r w:rsidR="002D17BD" w:rsidRPr="00B916EC">
        <w:rPr>
          <w:rFonts w:eastAsia="MS Mincho"/>
        </w:rPr>
        <w:t xml:space="preserve"> is provided by higher layers and RSRP is defined in </w:t>
      </w:r>
      <w:r w:rsidR="002D17BD" w:rsidRPr="00B916EC">
        <w:t>[</w:t>
      </w:r>
      <w:r w:rsidR="002D17BD" w:rsidRPr="00B916EC">
        <w:rPr>
          <w:lang w:val="en-US"/>
        </w:rPr>
        <w:t>7</w:t>
      </w:r>
      <w:r w:rsidR="002D17BD" w:rsidRPr="00B916EC">
        <w:t>, TS 38.21</w:t>
      </w:r>
      <w:r w:rsidR="002D17BD" w:rsidRPr="00B916EC">
        <w:rPr>
          <w:lang w:val="en-US"/>
        </w:rPr>
        <w:t>5</w:t>
      </w:r>
      <w:r w:rsidR="002D17BD" w:rsidRPr="00B916EC">
        <w:t>]</w:t>
      </w:r>
      <w:r w:rsidR="002D17BD" w:rsidRPr="00B916EC">
        <w:rPr>
          <w:rFonts w:eastAsia="MS Mincho"/>
        </w:rPr>
        <w:t xml:space="preserve"> for the reference serving cell and the higher layer filter configuration</w:t>
      </w:r>
      <w:r w:rsidR="0028470B">
        <w:rPr>
          <w:rFonts w:eastAsia="MS Mincho"/>
          <w:lang w:val="en-US"/>
        </w:rPr>
        <w:t xml:space="preserve"> </w:t>
      </w:r>
      <w:r w:rsidR="0028470B" w:rsidRPr="00D61DB9">
        <w:t xml:space="preserve">provided by </w:t>
      </w:r>
      <w:r w:rsidR="0028470B" w:rsidRPr="00FA4577">
        <w:rPr>
          <w:i/>
        </w:rPr>
        <w:t>QuantityConfig</w:t>
      </w:r>
      <w:r w:rsidR="002D17BD" w:rsidRPr="00B916EC">
        <w:rPr>
          <w:rFonts w:eastAsia="MS Mincho"/>
        </w:rPr>
        <w:t xml:space="preserve"> is defined in </w:t>
      </w:r>
      <w:r w:rsidR="002D17BD" w:rsidRPr="00B916EC">
        <w:t>[</w:t>
      </w:r>
      <w:r w:rsidR="002D17BD" w:rsidRPr="00B916EC">
        <w:rPr>
          <w:lang w:val="en-US"/>
        </w:rPr>
        <w:t>12</w:t>
      </w:r>
      <w:r w:rsidR="002D17BD" w:rsidRPr="00B916EC">
        <w:t>, TS 38.</w:t>
      </w:r>
      <w:r w:rsidR="002D17BD" w:rsidRPr="00B916EC">
        <w:rPr>
          <w:lang w:val="en-US"/>
        </w:rPr>
        <w:t>331</w:t>
      </w:r>
      <w:r w:rsidR="002D17BD" w:rsidRPr="00B916EC">
        <w:t>]</w:t>
      </w:r>
      <w:r w:rsidR="002D17BD" w:rsidRPr="00B916EC">
        <w:rPr>
          <w:lang w:val="en-US"/>
        </w:rPr>
        <w:t xml:space="preserve"> </w:t>
      </w:r>
      <w:r w:rsidR="002D17BD" w:rsidRPr="00B916EC">
        <w:rPr>
          <w:rFonts w:eastAsia="MS Mincho"/>
        </w:rPr>
        <w:t>for the reference serving cell</w:t>
      </w:r>
    </w:p>
    <w:p w14:paraId="67B314F7" w14:textId="77777777" w:rsidR="006F00B8" w:rsidRPr="00B916EC" w:rsidRDefault="0028470B" w:rsidP="0028470B">
      <w:pPr>
        <w:pStyle w:val="B1"/>
        <w:ind w:firstLine="0"/>
        <w:rPr>
          <w:lang w:val="en-US" w:eastAsia="zh-CN"/>
        </w:rPr>
      </w:pPr>
      <w:r>
        <w:rPr>
          <w:rFonts w:eastAsia="MS Mincho"/>
          <w:lang w:val="en-US"/>
        </w:rPr>
        <w:t>If the UE is not configured periodic CSI-RS reception</w:t>
      </w:r>
      <w:r w:rsidR="002D17BD" w:rsidRPr="00B916EC">
        <w:rPr>
          <w:lang w:val="en-US"/>
        </w:rPr>
        <w:t xml:space="preserve">, </w:t>
      </w:r>
      <w:r w:rsidR="002D17BD" w:rsidRPr="00B916EC">
        <w:rPr>
          <w:rFonts w:eastAsia="MS Mincho"/>
          <w:i/>
        </w:rPr>
        <w:t>referenceSignalPower</w:t>
      </w:r>
      <w:r w:rsidR="002D17BD" w:rsidRPr="00B916EC">
        <w:rPr>
          <w:rFonts w:eastAsia="MS Mincho"/>
        </w:rPr>
        <w:t xml:space="preserve"> </w:t>
      </w:r>
      <w:r w:rsidR="002D17BD" w:rsidRPr="00B916EC">
        <w:rPr>
          <w:rFonts w:eastAsia="MS Mincho"/>
          <w:lang w:val="en-US"/>
        </w:rPr>
        <w:t xml:space="preserve">is </w:t>
      </w:r>
      <w:r w:rsidR="006B4E28">
        <w:rPr>
          <w:rFonts w:eastAsia="MS Mincho"/>
          <w:lang w:val="en-US"/>
        </w:rPr>
        <w:t>provided</w:t>
      </w:r>
      <w:r w:rsidR="002D17BD" w:rsidRPr="00B916EC">
        <w:rPr>
          <w:rFonts w:eastAsia="MS Mincho"/>
          <w:lang w:val="en-US"/>
        </w:rPr>
        <w:t xml:space="preserve"> by </w:t>
      </w:r>
      <w:r w:rsidR="006B4E28" w:rsidRPr="003B4338">
        <w:rPr>
          <w:i/>
        </w:rPr>
        <w:t>ss-PBCH-BlockPower</w:t>
      </w:r>
      <w:r w:rsidR="002D17BD" w:rsidRPr="00B916EC">
        <w:rPr>
          <w:lang w:val="en-US"/>
        </w:rPr>
        <w:t xml:space="preserve">. </w:t>
      </w:r>
      <w:r>
        <w:rPr>
          <w:rFonts w:eastAsia="MS Mincho"/>
          <w:lang w:val="en-US"/>
        </w:rPr>
        <w:t>If the UE is configured periodic CSI-RS reception</w:t>
      </w:r>
      <w:r w:rsidR="002F6DCC" w:rsidRPr="00B916EC">
        <w:rPr>
          <w:lang w:val="en-US"/>
        </w:rPr>
        <w:t xml:space="preserve">, </w:t>
      </w:r>
      <w:r w:rsidR="002D17BD" w:rsidRPr="00B916EC">
        <w:rPr>
          <w:rFonts w:eastAsia="MS Mincho"/>
          <w:i/>
        </w:rPr>
        <w:t>referenceSignalPower</w:t>
      </w:r>
      <w:r w:rsidR="002D17BD" w:rsidRPr="00B916EC">
        <w:rPr>
          <w:rFonts w:eastAsia="MS Mincho"/>
        </w:rPr>
        <w:t xml:space="preserve"> </w:t>
      </w:r>
      <w:r w:rsidR="002D17BD" w:rsidRPr="00B916EC">
        <w:rPr>
          <w:rFonts w:eastAsia="MS Mincho"/>
          <w:lang w:val="en-US"/>
        </w:rPr>
        <w:t xml:space="preserve">is </w:t>
      </w:r>
      <w:r>
        <w:rPr>
          <w:rFonts w:eastAsia="MS Mincho"/>
          <w:lang w:val="en-US"/>
        </w:rPr>
        <w:t>provided</w:t>
      </w:r>
      <w:r w:rsidR="002D17BD" w:rsidRPr="00B916EC">
        <w:rPr>
          <w:rFonts w:eastAsia="MS Mincho"/>
          <w:lang w:val="en-US"/>
        </w:rPr>
        <w:t xml:space="preserve"> either </w:t>
      </w:r>
      <w:r>
        <w:rPr>
          <w:rFonts w:eastAsia="MS Mincho"/>
          <w:lang w:val="en-US"/>
        </w:rPr>
        <w:t xml:space="preserve">by </w:t>
      </w:r>
      <w:r w:rsidR="006B4E28" w:rsidRPr="003B4338">
        <w:rPr>
          <w:i/>
        </w:rPr>
        <w:t>ss-PBCH-BlockPower</w:t>
      </w:r>
      <w:r w:rsidR="002D17BD" w:rsidRPr="00B916EC">
        <w:rPr>
          <w:rFonts w:eastAsia="MS Mincho"/>
          <w:lang w:val="en-US"/>
        </w:rPr>
        <w:t xml:space="preserve"> </w:t>
      </w:r>
      <w:r w:rsidR="002D17BD" w:rsidRPr="00B916EC">
        <w:rPr>
          <w:lang w:val="en-US"/>
        </w:rPr>
        <w:t xml:space="preserve">or by </w:t>
      </w:r>
      <w:r w:rsidR="006B4E28" w:rsidRPr="003B4338">
        <w:rPr>
          <w:i/>
        </w:rPr>
        <w:t>powerControlOffsetSS</w:t>
      </w:r>
      <w:r w:rsidR="00766741" w:rsidRPr="00B916EC">
        <w:rPr>
          <w:lang w:val="en-US"/>
        </w:rPr>
        <w:t xml:space="preserve"> providing an offset of the CSI-RS transmission power relative to the SS/PBCH block transmission power </w:t>
      </w:r>
      <w:r w:rsidR="00766741" w:rsidRPr="00B916EC">
        <w:t>[</w:t>
      </w:r>
      <w:r w:rsidR="00766741" w:rsidRPr="00B916EC">
        <w:rPr>
          <w:lang w:val="en-US"/>
        </w:rPr>
        <w:t>6</w:t>
      </w:r>
      <w:r w:rsidR="00766741" w:rsidRPr="00B916EC">
        <w:t>, TS 38.</w:t>
      </w:r>
      <w:r w:rsidR="00766741" w:rsidRPr="00B916EC">
        <w:rPr>
          <w:lang w:val="en-US"/>
        </w:rPr>
        <w:t>214</w:t>
      </w:r>
      <w:r w:rsidR="00766741" w:rsidRPr="00B916EC">
        <w:t>]</w:t>
      </w:r>
      <w:r w:rsidR="002D17BD" w:rsidRPr="00B916EC">
        <w:rPr>
          <w:lang w:val="en-US"/>
        </w:rPr>
        <w:t>.</w:t>
      </w:r>
      <w:r>
        <w:rPr>
          <w:lang w:val="en-US"/>
        </w:rPr>
        <w:t xml:space="preserve"> If </w:t>
      </w:r>
      <w:r w:rsidRPr="003B4338">
        <w:rPr>
          <w:i/>
        </w:rPr>
        <w:t>powerControlOffsetSS</w:t>
      </w:r>
      <w:r>
        <w:rPr>
          <w:lang w:val="en-US"/>
        </w:rPr>
        <w:t xml:space="preserve"> is not provided to the UE, the UE assumes an offset of 0 dB.</w:t>
      </w:r>
    </w:p>
    <w:p w14:paraId="5C38259D" w14:textId="22CBB5FD" w:rsidR="00D21BF4" w:rsidRPr="00B916EC" w:rsidRDefault="00416A87" w:rsidP="00416A87">
      <w:pPr>
        <w:pStyle w:val="B1"/>
      </w:pPr>
      <w:r>
        <w:lastRenderedPageBreak/>
        <w:t>-</w:t>
      </w:r>
      <w:r>
        <w:tab/>
      </w:r>
      <m:oMath>
        <m:sSub>
          <m:sSubPr>
            <m:ctrlPr>
              <w:rPr>
                <w:rFonts w:ascii="Cambria Math" w:hAnsi="Cambria Math"/>
                <w:i/>
              </w:rPr>
            </m:ctrlPr>
          </m:sSubPr>
          <m:e>
            <m:r>
              <w:rPr>
                <w:rFonts w:ascii="Cambria Math" w:hAnsi="Cambria Math"/>
              </w:rPr>
              <m:t>∆</m:t>
            </m:r>
          </m:e>
          <m:sub>
            <m:r>
              <m:rPr>
                <m:sty m:val="p"/>
              </m:rPr>
              <w:rPr>
                <w:rFonts w:ascii="Cambria Math" w:hAnsi="Cambria Math"/>
              </w:rPr>
              <m:t>TF</m:t>
            </m:r>
            <m:r>
              <w:rPr>
                <w:rFonts w:ascii="Cambria Math" w:hAnsi="Cambria Math"/>
              </w:rPr>
              <m:t>,b,f,c</m:t>
            </m:r>
          </m:sub>
        </m:sSub>
        <m:d>
          <m:dPr>
            <m:ctrlPr>
              <w:rPr>
                <w:rFonts w:ascii="Cambria Math" w:hAnsi="Cambria Math"/>
                <w:i/>
              </w:rPr>
            </m:ctrlPr>
          </m:dPr>
          <m:e>
            <m:r>
              <w:rPr>
                <w:rFonts w:ascii="Cambria Math" w:hAnsi="Cambria Math"/>
              </w:rPr>
              <m:t>i</m:t>
            </m:r>
          </m:e>
        </m:d>
        <m:r>
          <w:rPr>
            <w:rFonts w:ascii="Cambria Math" w:hAnsi="Cambria Math"/>
          </w:rPr>
          <m:t>=10</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d>
              <m:dPr>
                <m:ctrlPr>
                  <w:rPr>
                    <w:rFonts w:ascii="Cambria Math" w:hAnsi="Cambria Math"/>
                    <w:i/>
                  </w:rPr>
                </m:ctrlPr>
              </m:dPr>
              <m:e>
                <m:sSup>
                  <m:sSupPr>
                    <m:ctrlPr>
                      <w:rPr>
                        <w:rFonts w:ascii="Cambria Math" w:hAnsi="Cambria Math"/>
                        <w:i/>
                      </w:rPr>
                    </m:ctrlPr>
                  </m:sSupPr>
                  <m:e>
                    <m:r>
                      <w:rPr>
                        <w:rFonts w:ascii="Cambria Math" w:hAnsi="Cambria Math"/>
                      </w:rPr>
                      <m:t>2</m:t>
                    </m:r>
                  </m:e>
                  <m:sup>
                    <m:r>
                      <m:rPr>
                        <m:sty m:val="p"/>
                      </m:rPr>
                      <w:rPr>
                        <w:rFonts w:ascii="Cambria Math" w:hAnsi="Cambria Math"/>
                        <w:lang w:val="en-US"/>
                      </w:rPr>
                      <m:t>BPRE</m:t>
                    </m:r>
                    <m:r>
                      <w:rPr>
                        <w:rFonts w:ascii="Cambria Math" w:hAnsi="Cambria Math" w:cs="Cambria Math"/>
                      </w:rPr>
                      <m:t>⋅</m:t>
                    </m:r>
                    <m:sSub>
                      <m:sSubPr>
                        <m:ctrlPr>
                          <w:rPr>
                            <w:rFonts w:ascii="Cambria Math" w:hAnsi="Cambria Math"/>
                            <w:i/>
                          </w:rPr>
                        </m:ctrlPr>
                      </m:sSubPr>
                      <m:e>
                        <m:r>
                          <w:rPr>
                            <w:rFonts w:ascii="Cambria Math" w:hAnsi="Cambria Math"/>
                          </w:rPr>
                          <m:t>K</m:t>
                        </m:r>
                      </m:e>
                      <m:sub>
                        <m:r>
                          <w:rPr>
                            <w:rFonts w:ascii="Cambria Math" w:hAnsi="Cambria Math"/>
                          </w:rPr>
                          <m:t>s</m:t>
                        </m:r>
                      </m:sub>
                    </m:sSub>
                  </m:sup>
                </m:sSup>
                <m:r>
                  <w:rPr>
                    <w:rFonts w:ascii="Cambria Math" w:hAnsi="Cambria Math"/>
                  </w:rPr>
                  <m:t>-1</m:t>
                </m:r>
              </m:e>
            </m:d>
            <m:r>
              <w:rPr>
                <w:rFonts w:ascii="Cambria Math" w:hAnsi="Cambria Math" w:cs="Cambria Math"/>
              </w:rPr>
              <m:t>⋅</m:t>
            </m:r>
            <m:sSubSup>
              <m:sSubSupPr>
                <m:ctrlPr>
                  <w:rPr>
                    <w:rFonts w:ascii="Cambria Math" w:hAnsi="Cambria Math"/>
                    <w:iCs/>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PUSCH</m:t>
                </m:r>
              </m:sup>
            </m:sSubSup>
          </m:e>
        </m:d>
      </m:oMath>
      <w:r w:rsidR="00D21BF4" w:rsidRPr="00B916EC">
        <w:rPr>
          <w:lang w:val="en-US"/>
        </w:rPr>
        <w:t xml:space="preserve"> </w:t>
      </w:r>
      <w:r w:rsidR="00D21BF4" w:rsidRPr="00B916EC">
        <w:t xml:space="preserve">for </w:t>
      </w:r>
      <m:oMath>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=1.25</m:t>
        </m:r>
      </m:oMath>
      <w:r w:rsidR="00D21BF4" w:rsidRPr="00B916EC">
        <w:rPr>
          <w:lang w:val="en-US"/>
        </w:rPr>
        <w:t xml:space="preserve"> </w:t>
      </w:r>
      <w:r w:rsidR="00D21BF4" w:rsidRPr="00B916EC">
        <w:t xml:space="preserve">and </w:t>
      </w:r>
      <m:oMath>
        <m:sSub>
          <m:sSubPr>
            <m:ctrlPr>
              <w:rPr>
                <w:rFonts w:ascii="Cambria Math" w:hAnsi="Cambria Math"/>
                <w:i/>
              </w:rPr>
            </m:ctrlPr>
          </m:sSubPr>
          <m:e>
            <m:r>
              <w:rPr>
                <w:rFonts w:ascii="Cambria Math" w:hAnsi="Cambria Math"/>
              </w:rPr>
              <m:t>∆</m:t>
            </m:r>
          </m:e>
          <m:sub>
            <m:r>
              <m:rPr>
                <m:sty m:val="p"/>
              </m:rPr>
              <w:rPr>
                <w:rFonts w:ascii="Cambria Math" w:hAnsi="Cambria Math"/>
              </w:rPr>
              <m:t>TF</m:t>
            </m:r>
            <m:r>
              <w:rPr>
                <w:rFonts w:ascii="Cambria Math" w:hAnsi="Cambria Math"/>
              </w:rPr>
              <m:t>,b,f,c</m:t>
            </m:r>
          </m:sub>
        </m:sSub>
        <m:d>
          <m:dPr>
            <m:ctrlPr>
              <w:rPr>
                <w:rFonts w:ascii="Cambria Math" w:hAnsi="Cambria Math"/>
                <w:i/>
              </w:rPr>
            </m:ctrlPr>
          </m:dPr>
          <m:e>
            <m:r>
              <w:rPr>
                <w:rFonts w:ascii="Cambria Math" w:hAnsi="Cambria Math"/>
              </w:rPr>
              <m:t>i</m:t>
            </m:r>
          </m:e>
        </m:d>
        <m:r>
          <w:rPr>
            <w:rFonts w:ascii="Cambria Math" w:hAnsi="Cambria Math"/>
          </w:rPr>
          <m:t>=0</m:t>
        </m:r>
      </m:oMath>
      <w:r w:rsidR="00D21BF4" w:rsidRPr="00B916EC">
        <w:t xml:space="preserve"> for </w:t>
      </w:r>
      <m:oMath>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=0</m:t>
        </m:r>
      </m:oMath>
      <w:r w:rsidR="00D21BF4" w:rsidRPr="00B916EC">
        <w:rPr>
          <w:lang w:val="en-US"/>
        </w:rPr>
        <w:t xml:space="preserve"> </w:t>
      </w:r>
      <w:r w:rsidR="00D21BF4" w:rsidRPr="00B916EC">
        <w:t xml:space="preserve">where </w:t>
      </w:r>
      <m:oMath>
        <m:sSub>
          <m:sSubPr>
            <m:ctrlPr>
              <w:rPr>
                <w:rFonts w:ascii="Cambria Math" w:hAnsi="Cambria Math"/>
                <w:i/>
              </w:rPr>
            </m:ctrlPr>
          </m:sSubPr>
          <m:e>
            <m:r>
              <w:rPr>
                <w:rFonts w:ascii="Cambria Math" w:hAnsi="Cambria Math"/>
              </w:rPr>
              <m:t>K</m:t>
            </m:r>
          </m:e>
          <m:sub>
            <m:r>
              <w:rPr>
                <w:rFonts w:ascii="Cambria Math" w:hAnsi="Cambria Math"/>
              </w:rPr>
              <m:t>s</m:t>
            </m:r>
          </m:sub>
        </m:sSub>
      </m:oMath>
      <w:r w:rsidR="00D21BF4" w:rsidRPr="00B916EC">
        <w:t xml:space="preserve"> is </w:t>
      </w:r>
      <w:r w:rsidR="000D5576" w:rsidRPr="00B916EC">
        <w:rPr>
          <w:lang w:val="en-US"/>
        </w:rPr>
        <w:t>provided</w:t>
      </w:r>
      <w:r w:rsidR="000D5576" w:rsidRPr="00B916EC">
        <w:t xml:space="preserve"> by </w:t>
      </w:r>
      <w:r w:rsidR="00D21BF4" w:rsidRPr="00B916EC">
        <w:rPr>
          <w:i/>
          <w:lang w:eastAsia="zh-CN"/>
        </w:rPr>
        <w:t>deltaMCS</w:t>
      </w:r>
      <w:r w:rsidR="00D21BF4" w:rsidRPr="00B916EC">
        <w:rPr>
          <w:lang w:val="en-US"/>
        </w:rPr>
        <w:t xml:space="preserve"> </w:t>
      </w:r>
      <w:r w:rsidR="00D21BF4" w:rsidRPr="00B916EC">
        <w:t xml:space="preserve">for </w:t>
      </w:r>
      <w:r w:rsidR="00AE420F">
        <w:rPr>
          <w:lang w:val="en-US"/>
        </w:rPr>
        <w:t xml:space="preserve">each UL BWP </w:t>
      </w:r>
      <m:oMath>
        <m:r>
          <w:rPr>
            <w:rFonts w:ascii="Cambria Math" w:hAnsi="Cambria Math"/>
          </w:rPr>
          <m:t>b</m:t>
        </m:r>
      </m:oMath>
      <w:r w:rsidR="00AE420F">
        <w:rPr>
          <w:iCs/>
          <w:lang w:val="en-US"/>
        </w:rPr>
        <w:t xml:space="preserve"> </w:t>
      </w:r>
      <w:r w:rsidR="00AE420F">
        <w:rPr>
          <w:lang w:val="en-US"/>
        </w:rPr>
        <w:t>of</w:t>
      </w:r>
      <w:r w:rsidR="00AE420F" w:rsidRPr="00B916EC">
        <w:rPr>
          <w:lang w:val="en-US"/>
        </w:rPr>
        <w:t xml:space="preserve"> </w:t>
      </w:r>
      <w:r w:rsidR="00D21BF4" w:rsidRPr="00B916EC">
        <w:t xml:space="preserve">each </w:t>
      </w:r>
      <w:r w:rsidR="00646CE8" w:rsidRPr="00B916EC">
        <w:rPr>
          <w:lang w:val="en-US"/>
        </w:rPr>
        <w:t xml:space="preserve">carrier </w:t>
      </w:r>
      <m:oMath>
        <m:r>
          <w:rPr>
            <w:rFonts w:ascii="Cambria Math" w:hAnsi="Cambria Math"/>
          </w:rPr>
          <m:t>f</m:t>
        </m:r>
      </m:oMath>
      <w:r w:rsidR="000D5576" w:rsidRPr="00B916EC">
        <w:rPr>
          <w:iCs/>
          <w:lang w:val="en-US"/>
        </w:rPr>
        <w:t xml:space="preserve"> and</w:t>
      </w:r>
      <w:r w:rsidR="00646CE8" w:rsidRPr="00B916EC">
        <w:rPr>
          <w:iCs/>
          <w:lang w:val="en-US"/>
        </w:rPr>
        <w:t xml:space="preserve"> </w:t>
      </w:r>
      <w:r w:rsidR="00D21BF4" w:rsidRPr="00B916EC">
        <w:t xml:space="preserve">serving cell </w:t>
      </w:r>
      <m:oMath>
        <m:r>
          <w:rPr>
            <w:rFonts w:ascii="Cambria Math" w:hAnsi="Cambria Math"/>
          </w:rPr>
          <m:t>c</m:t>
        </m:r>
      </m:oMath>
      <w:r w:rsidR="00D21BF4" w:rsidRPr="00B916EC">
        <w:t xml:space="preserve">. </w:t>
      </w:r>
      <w:r w:rsidR="00E41E98" w:rsidRPr="00B916EC">
        <w:rPr>
          <w:lang w:val="en-US"/>
        </w:rPr>
        <w:t xml:space="preserve">If the PUSCH transmission is over more than one layer </w:t>
      </w:r>
      <w:r w:rsidR="00E41E98" w:rsidRPr="00B916EC">
        <w:t>[</w:t>
      </w:r>
      <w:r w:rsidR="00E41E98" w:rsidRPr="00B916EC">
        <w:rPr>
          <w:lang w:val="en-US"/>
        </w:rPr>
        <w:t>6</w:t>
      </w:r>
      <w:r w:rsidR="00E41E98" w:rsidRPr="00B916EC">
        <w:t>, TS 38.</w:t>
      </w:r>
      <w:r w:rsidR="00E41E98" w:rsidRPr="00B916EC">
        <w:rPr>
          <w:lang w:val="en-US"/>
        </w:rPr>
        <w:t>214</w:t>
      </w:r>
      <w:r w:rsidR="00E41E98" w:rsidRPr="00B916EC">
        <w:t>]</w:t>
      </w:r>
      <w:r w:rsidR="00E41E98" w:rsidRPr="00B916EC">
        <w:rPr>
          <w:lang w:val="en-US"/>
        </w:rPr>
        <w:t xml:space="preserve">, </w:t>
      </w:r>
      <m:oMath>
        <m:sSub>
          <m:sSubPr>
            <m:ctrlPr>
              <w:rPr>
                <w:rFonts w:ascii="Cambria Math" w:hAnsi="Cambria Math"/>
                <w:i/>
              </w:rPr>
            </m:ctrlPr>
          </m:sSubPr>
          <m:e>
            <m:r>
              <w:rPr>
                <w:rFonts w:ascii="Cambria Math" w:hAnsi="Cambria Math"/>
              </w:rPr>
              <m:t>∆</m:t>
            </m:r>
          </m:e>
          <m:sub>
            <m:r>
              <m:rPr>
                <m:sty m:val="p"/>
              </m:rPr>
              <w:rPr>
                <w:rFonts w:ascii="Cambria Math" w:hAnsi="Cambria Math"/>
              </w:rPr>
              <m:t>TF</m:t>
            </m:r>
            <m:r>
              <w:rPr>
                <w:rFonts w:ascii="Cambria Math" w:hAnsi="Cambria Math"/>
              </w:rPr>
              <m:t>,b,f,c</m:t>
            </m:r>
          </m:sub>
        </m:sSub>
        <m:d>
          <m:dPr>
            <m:ctrlPr>
              <w:rPr>
                <w:rFonts w:ascii="Cambria Math" w:hAnsi="Cambria Math"/>
                <w:i/>
              </w:rPr>
            </m:ctrlPr>
          </m:dPr>
          <m:e>
            <m:r>
              <w:rPr>
                <w:rFonts w:ascii="Cambria Math" w:hAnsi="Cambria Math"/>
              </w:rPr>
              <m:t>i</m:t>
            </m:r>
          </m:e>
        </m:d>
        <m:r>
          <w:rPr>
            <w:rFonts w:ascii="Cambria Math" w:hAnsi="Cambria Math"/>
          </w:rPr>
          <m:t>=0</m:t>
        </m:r>
      </m:oMath>
      <w:r w:rsidR="00E41E98" w:rsidRPr="00B916EC">
        <w:rPr>
          <w:lang w:val="en-US"/>
        </w:rPr>
        <w:t xml:space="preserve">. </w:t>
      </w:r>
      <m:oMath>
        <m:r>
          <m:rPr>
            <m:sty m:val="p"/>
          </m:rPr>
          <w:rPr>
            <w:rFonts w:ascii="Cambria Math" w:hAnsi="Cambria Math"/>
            <w:lang w:val="en-US"/>
          </w:rPr>
          <m:t>BPRE</m:t>
        </m:r>
      </m:oMath>
      <w:r w:rsidR="00D21BF4" w:rsidRPr="00B916EC">
        <w:t xml:space="preserve"> and </w:t>
      </w:r>
      <m:oMath>
        <m:sSubSup>
          <m:sSubSupPr>
            <m:ctrlPr>
              <w:rPr>
                <w:rFonts w:ascii="Cambria Math" w:hAnsi="Cambria Math"/>
                <w:iCs/>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PUSCH</m:t>
            </m:r>
          </m:sup>
        </m:sSubSup>
      </m:oMath>
      <w:r w:rsidR="00D21BF4" w:rsidRPr="00B916EC">
        <w:t xml:space="preserve">, for </w:t>
      </w:r>
      <w:r w:rsidR="0028470B">
        <w:rPr>
          <w:lang w:val="en-US"/>
        </w:rPr>
        <w:t xml:space="preserve">active </w:t>
      </w:r>
      <w:r w:rsidR="00AE420F">
        <w:rPr>
          <w:lang w:val="en-US"/>
        </w:rPr>
        <w:t xml:space="preserve">UL BWP </w:t>
      </w:r>
      <m:oMath>
        <m:r>
          <w:rPr>
            <w:rFonts w:ascii="Cambria Math" w:hAnsi="Cambria Math"/>
          </w:rPr>
          <m:t>b</m:t>
        </m:r>
      </m:oMath>
      <w:r w:rsidR="00AE420F">
        <w:rPr>
          <w:iCs/>
          <w:lang w:val="en-US"/>
        </w:rPr>
        <w:t xml:space="preserve"> </w:t>
      </w:r>
      <w:r w:rsidR="00AE420F">
        <w:rPr>
          <w:lang w:val="en-US"/>
        </w:rPr>
        <w:t>of</w:t>
      </w:r>
      <w:r w:rsidR="00AE420F" w:rsidRPr="00B916EC">
        <w:rPr>
          <w:lang w:val="en-US"/>
        </w:rPr>
        <w:t xml:space="preserve"> </w:t>
      </w:r>
      <w:r w:rsidR="00646CE8" w:rsidRPr="00B916EC">
        <w:t xml:space="preserve">each </w:t>
      </w:r>
      <w:r w:rsidR="00646CE8" w:rsidRPr="00B916EC">
        <w:rPr>
          <w:lang w:val="en-US"/>
        </w:rPr>
        <w:t xml:space="preserve">carrier </w:t>
      </w:r>
      <m:oMath>
        <m:r>
          <w:rPr>
            <w:rFonts w:ascii="Cambria Math" w:hAnsi="Cambria Math"/>
          </w:rPr>
          <m:t>f</m:t>
        </m:r>
      </m:oMath>
      <w:r w:rsidR="00646CE8" w:rsidRPr="00B916EC">
        <w:rPr>
          <w:iCs/>
          <w:lang w:val="en-US"/>
        </w:rPr>
        <w:t xml:space="preserve"> and </w:t>
      </w:r>
      <w:r w:rsidR="00D21BF4" w:rsidRPr="00B916EC">
        <w:t xml:space="preserve">each serving cell </w:t>
      </w:r>
      <m:oMath>
        <m:r>
          <w:rPr>
            <w:rFonts w:ascii="Cambria Math" w:hAnsi="Cambria Math"/>
          </w:rPr>
          <m:t>c</m:t>
        </m:r>
      </m:oMath>
      <w:r w:rsidR="00D21BF4" w:rsidRPr="00B916EC">
        <w:t>, are computed as below</w:t>
      </w:r>
    </w:p>
    <w:p w14:paraId="7107E8BA" w14:textId="42FF9AE2" w:rsidR="00D21BF4" w:rsidRPr="00B916EC" w:rsidRDefault="00416A87" w:rsidP="00416A87">
      <w:pPr>
        <w:pStyle w:val="B2"/>
        <w:rPr>
          <w:lang w:val="en-US" w:eastAsia="zh-CN"/>
        </w:rPr>
      </w:pPr>
      <w:r>
        <w:t>-</w:t>
      </w:r>
      <w:r>
        <w:tab/>
      </w:r>
      <m:oMath>
        <m:r>
          <m:rPr>
            <m:sty m:val="p"/>
          </m:rPr>
          <w:rPr>
            <w:rFonts w:ascii="Cambria Math" w:hAnsi="Cambria Math"/>
            <w:lang w:val="en-US"/>
          </w:rPr>
          <m:t>BPRE=</m:t>
        </m:r>
        <m:nary>
          <m:naryPr>
            <m:chr m:val="∑"/>
            <m:limLoc m:val="undOvr"/>
            <m:ctrlPr>
              <w:rPr>
                <w:rFonts w:ascii="Cambria Math" w:hAnsi="Cambria Math"/>
                <w:iCs/>
                <w:lang w:val="en-US"/>
              </w:rPr>
            </m:ctrlPr>
          </m:naryPr>
          <m:sub>
            <m:r>
              <w:rPr>
                <w:rFonts w:ascii="Cambria Math" w:hAnsi="Cambria Math"/>
                <w:lang w:val="en-US"/>
              </w:rPr>
              <m:t>r=0</m:t>
            </m:r>
          </m:sub>
          <m:sup>
            <m:r>
              <w:rPr>
                <w:rFonts w:ascii="Cambria Math" w:hAnsi="Cambria Math"/>
                <w:lang w:val="en-US"/>
              </w:rPr>
              <m:t>C-1</m:t>
            </m:r>
          </m:sup>
          <m:e>
            <m:f>
              <m:fPr>
                <m:type m:val="lin"/>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K</m:t>
                    </m:r>
                  </m:e>
                  <m:sub>
                    <m:r>
                      <w:rPr>
                        <w:rFonts w:ascii="Cambria Math" w:hAnsi="Cambria Math"/>
                        <w:lang w:val="en-US"/>
                      </w:rPr>
                      <m:t>r</m:t>
                    </m:r>
                  </m:sub>
                </m:sSub>
              </m:num>
              <m:den>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RE</m:t>
                    </m:r>
                  </m:sub>
                </m:sSub>
              </m:den>
            </m:f>
          </m:e>
        </m:nary>
      </m:oMath>
      <w:r w:rsidR="00D21BF4" w:rsidRPr="00B916EC">
        <w:rPr>
          <w:lang w:val="en-US"/>
        </w:rPr>
        <w:t xml:space="preserve"> for PUSCH with UL-SCH data and </w:t>
      </w:r>
      <m:oMath>
        <m:r>
          <m:rPr>
            <m:sty m:val="p"/>
          </m:rPr>
          <w:rPr>
            <w:rFonts w:ascii="Cambria Math" w:hAnsi="Cambria Math"/>
            <w:lang w:val="en-US"/>
          </w:rPr>
          <m:t>BPRE=</m:t>
        </m:r>
        <m:f>
          <m:fPr>
            <m:type m:val="lin"/>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Q</m:t>
                </m:r>
              </m:e>
              <m:sub>
                <m:r>
                  <w:rPr>
                    <w:rFonts w:ascii="Cambria Math" w:hAnsi="Cambria Math"/>
                    <w:lang w:val="en-US"/>
                  </w:rPr>
                  <m:t>m</m:t>
                </m:r>
              </m:sub>
            </m:sSub>
            <m:r>
              <w:rPr>
                <w:rFonts w:ascii="Cambria Math" w:hAnsi="Cambria Math" w:cs="Cambria Math"/>
              </w:rPr>
              <m:t>⋅R</m:t>
            </m:r>
          </m:num>
          <m:den>
            <m:sSubSup>
              <m:sSubSupPr>
                <m:ctrlPr>
                  <w:rPr>
                    <w:rFonts w:ascii="Cambria Math" w:hAnsi="Cambria Math"/>
                    <w:iCs/>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PUSCH</m:t>
                </m:r>
              </m:sup>
            </m:sSubSup>
          </m:den>
        </m:f>
      </m:oMath>
      <w:r w:rsidR="0028470B">
        <w:rPr>
          <w:lang w:val="en-US"/>
        </w:rPr>
        <w:t xml:space="preserve"> </w:t>
      </w:r>
      <w:r w:rsidR="00D21BF4" w:rsidRPr="00B916EC">
        <w:rPr>
          <w:rFonts w:hint="eastAsia"/>
          <w:lang w:eastAsia="zh-CN"/>
        </w:rPr>
        <w:t>for</w:t>
      </w:r>
      <w:r w:rsidR="00D21BF4" w:rsidRPr="00B916EC">
        <w:rPr>
          <w:lang w:eastAsia="zh-CN"/>
        </w:rPr>
        <w:t xml:space="preserve"> C</w:t>
      </w:r>
      <w:r w:rsidR="00D21BF4" w:rsidRPr="00B916EC">
        <w:rPr>
          <w:lang w:val="en-US" w:eastAsia="zh-CN"/>
        </w:rPr>
        <w:t>S</w:t>
      </w:r>
      <w:r w:rsidR="00D21BF4" w:rsidRPr="00B916EC">
        <w:rPr>
          <w:lang w:eastAsia="zh-CN"/>
        </w:rPr>
        <w:t xml:space="preserve">I </w:t>
      </w:r>
      <w:r w:rsidR="00D21BF4" w:rsidRPr="00B916EC">
        <w:rPr>
          <w:lang w:val="en-US" w:eastAsia="zh-CN"/>
        </w:rPr>
        <w:t>transmission in</w:t>
      </w:r>
      <w:r w:rsidR="00D21BF4" w:rsidRPr="00B916EC">
        <w:rPr>
          <w:lang w:eastAsia="zh-CN"/>
        </w:rPr>
        <w:t xml:space="preserve"> a PUSCH without UL-SCH data</w:t>
      </w:r>
      <w:r w:rsidR="00D21BF4" w:rsidRPr="00B916EC">
        <w:rPr>
          <w:rFonts w:eastAsia="MS Mincho"/>
          <w:lang w:val="en-US"/>
        </w:rPr>
        <w:t xml:space="preserve">, </w:t>
      </w:r>
      <w:r w:rsidR="00714582" w:rsidRPr="00B916EC">
        <w:rPr>
          <w:rFonts w:eastAsia="MS Mincho"/>
          <w:lang w:val="en-US"/>
        </w:rPr>
        <w:t>where</w:t>
      </w:r>
    </w:p>
    <w:p w14:paraId="5778089A" w14:textId="1DC1116E" w:rsidR="00D21BF4" w:rsidRPr="00B916EC" w:rsidRDefault="00416A87" w:rsidP="00416A87">
      <w:pPr>
        <w:pStyle w:val="B3"/>
      </w:pPr>
      <w:r>
        <w:t>-</w:t>
      </w:r>
      <w:r>
        <w:tab/>
      </w:r>
      <m:oMath>
        <m:r>
          <w:rPr>
            <w:rFonts w:ascii="Cambria Math" w:hAnsi="Cambria Math"/>
            <w:lang w:val="x-none"/>
          </w:rPr>
          <m:t>C</m:t>
        </m:r>
      </m:oMath>
      <w:r w:rsidR="00D21BF4" w:rsidRPr="00B916EC">
        <w:t xml:space="preserve"> is </w:t>
      </w:r>
      <w:r w:rsidR="0028470B">
        <w:t>a</w:t>
      </w:r>
      <w:r w:rsidR="0028470B" w:rsidRPr="00B916EC">
        <w:t xml:space="preserve"> </w:t>
      </w:r>
      <w:r w:rsidR="00D21BF4" w:rsidRPr="00B916EC">
        <w:rPr>
          <w:rFonts w:hint="eastAsia"/>
          <w:lang w:eastAsia="zh-CN"/>
        </w:rPr>
        <w:t xml:space="preserve">number of </w:t>
      </w:r>
      <w:r w:rsidR="00EC5A48">
        <w:rPr>
          <w:lang w:eastAsia="zh-CN"/>
        </w:rPr>
        <w:t xml:space="preserve">transmitted </w:t>
      </w:r>
      <w:r w:rsidR="00D21BF4" w:rsidRPr="00B916EC">
        <w:rPr>
          <w:rFonts w:hint="eastAsia"/>
          <w:lang w:eastAsia="zh-CN"/>
        </w:rPr>
        <w:t xml:space="preserve">code blocks, </w:t>
      </w:r>
      <m:oMath>
        <m:sSub>
          <m:sSubPr>
            <m:ctrlPr>
              <w:rPr>
                <w:rFonts w:ascii="Cambria Math" w:hAnsi="Cambria Math"/>
                <w:i/>
                <w:lang w:val="x-none"/>
              </w:rPr>
            </m:ctrlPr>
          </m:sSubPr>
          <m:e>
            <m:r>
              <w:rPr>
                <w:rFonts w:ascii="Cambria Math" w:hAnsi="Cambria Math"/>
              </w:rPr>
              <m:t>K</m:t>
            </m:r>
          </m:e>
          <m:sub>
            <m:r>
              <w:rPr>
                <w:rFonts w:ascii="Cambria Math" w:hAnsi="Cambria Math"/>
              </w:rPr>
              <m:t>r</m:t>
            </m:r>
          </m:sub>
        </m:sSub>
      </m:oMath>
      <w:r w:rsidR="00D21BF4" w:rsidRPr="00B916EC">
        <w:rPr>
          <w:rFonts w:hint="eastAsia"/>
          <w:lang w:eastAsia="zh-CN"/>
        </w:rPr>
        <w:t xml:space="preserve"> is </w:t>
      </w:r>
      <w:r w:rsidR="0028470B">
        <w:rPr>
          <w:lang w:eastAsia="zh-CN"/>
        </w:rPr>
        <w:t>a</w:t>
      </w:r>
      <w:r w:rsidR="0028470B" w:rsidRPr="00B916EC">
        <w:rPr>
          <w:rFonts w:hint="eastAsia"/>
          <w:lang w:eastAsia="zh-CN"/>
        </w:rPr>
        <w:t xml:space="preserve"> </w:t>
      </w:r>
      <w:r w:rsidR="00D21BF4" w:rsidRPr="00B916EC">
        <w:rPr>
          <w:rFonts w:hint="eastAsia"/>
          <w:lang w:eastAsia="zh-CN"/>
        </w:rPr>
        <w:t xml:space="preserve">size for code block </w:t>
      </w:r>
      <m:oMath>
        <m:r>
          <w:rPr>
            <w:rFonts w:ascii="Cambria Math" w:hAnsi="Cambria Math"/>
            <w:lang w:eastAsia="zh-CN"/>
          </w:rPr>
          <m:t>r</m:t>
        </m:r>
      </m:oMath>
      <w:r w:rsidR="00D21BF4" w:rsidRPr="00B916EC">
        <w:rPr>
          <w:rFonts w:hint="eastAsia"/>
          <w:lang w:eastAsia="zh-CN"/>
        </w:rPr>
        <w:t xml:space="preserve">, </w:t>
      </w:r>
      <w:r w:rsidR="00D21BF4" w:rsidRPr="00B916EC">
        <w:t xml:space="preserve">and </w:t>
      </w:r>
      <m:oMath>
        <m:sSub>
          <m:sSubPr>
            <m:ctrlPr>
              <w:rPr>
                <w:rFonts w:ascii="Cambria Math" w:hAnsi="Cambria Math"/>
                <w:i/>
                <w:lang w:val="x-none"/>
              </w:rPr>
            </m:ctrlPr>
          </m:sSubPr>
          <m:e>
            <m:r>
              <w:rPr>
                <w:rFonts w:ascii="Cambria Math" w:hAnsi="Cambria Math"/>
              </w:rPr>
              <m:t>N</m:t>
            </m:r>
          </m:e>
          <m:sub>
            <m:r>
              <m:rPr>
                <m:sty m:val="p"/>
              </m:rPr>
              <w:rPr>
                <w:rFonts w:ascii="Cambria Math" w:hAnsi="Cambria Math"/>
              </w:rPr>
              <m:t>RE</m:t>
            </m:r>
          </m:sub>
        </m:sSub>
      </m:oMath>
      <w:r w:rsidR="00D21BF4" w:rsidRPr="00B916EC">
        <w:t xml:space="preserve"> is </w:t>
      </w:r>
      <w:r w:rsidR="0028470B">
        <w:t>a</w:t>
      </w:r>
      <w:r w:rsidR="0028470B" w:rsidRPr="00B916EC">
        <w:t xml:space="preserve"> </w:t>
      </w:r>
      <w:r w:rsidR="00D21BF4" w:rsidRPr="00B916EC">
        <w:t xml:space="preserve">number of resource elements determined as </w:t>
      </w:r>
      <m:oMath>
        <m:sSub>
          <m:sSubPr>
            <m:ctrlPr>
              <w:rPr>
                <w:rFonts w:ascii="Cambria Math" w:hAnsi="Cambria Math"/>
                <w:i/>
                <w:lang w:val="x-none"/>
              </w:rPr>
            </m:ctrlPr>
          </m:sSubPr>
          <m:e>
            <m:r>
              <w:rPr>
                <w:rFonts w:ascii="Cambria Math" w:hAnsi="Cambria Math"/>
              </w:rPr>
              <m:t>N</m:t>
            </m:r>
          </m:e>
          <m:sub>
            <m:r>
              <m:rPr>
                <m:sty m:val="p"/>
              </m:rPr>
              <w:rPr>
                <w:rFonts w:ascii="Cambria Math" w:hAnsi="Cambria Math"/>
              </w:rPr>
              <m:t>RE</m:t>
            </m:r>
          </m:sub>
        </m:sSub>
        <m:r>
          <w:rPr>
            <w:rFonts w:ascii="Cambria Math" w:hAnsi="Cambria Math"/>
            <w:lang w:val="x-none"/>
          </w:rPr>
          <m:t>=</m:t>
        </m:r>
        <m:r>
          <w:rPr>
            <w:rFonts w:ascii="Cambria Math" w:hAnsi="Cambria Math"/>
          </w:rPr>
          <m:t>N</m:t>
        </m:r>
        <m:r>
          <w:rPr>
            <w:rFonts w:ascii="Cambria Math" w:hAnsi="Cambria Math" w:cs="Cambria Math"/>
          </w:rPr>
          <m:t>⋅</m:t>
        </m:r>
        <m:sSubSup>
          <m:sSubSupPr>
            <m:ctrlPr>
              <w:rPr>
                <w:rFonts w:ascii="Cambria Math" w:hAnsi="Cambria Math"/>
                <w:iCs/>
                <w:lang w:val="x-none"/>
              </w:rPr>
            </m:ctrlPr>
          </m:sSubSupPr>
          <m:e>
            <m:r>
              <w:rPr>
                <w:rFonts w:ascii="Cambria Math" w:hAnsi="Cambria Math"/>
              </w:rPr>
              <m:t>M</m:t>
            </m:r>
          </m:e>
          <m:sub>
            <m:r>
              <m:rPr>
                <m:sty m:val="p"/>
              </m:rPr>
              <w:rPr>
                <w:rFonts w:ascii="Cambria Math" w:hAnsi="Cambria Math"/>
              </w:rPr>
              <m:t>RB</m:t>
            </m:r>
            <m:r>
              <w:rPr>
                <w:rFonts w:ascii="Cambria Math" w:hAnsi="Cambria Math"/>
              </w:rPr>
              <m:t>,b,f,c</m:t>
            </m:r>
          </m:sub>
          <m:sup>
            <m:r>
              <m:rPr>
                <m:sty m:val="p"/>
              </m:rPr>
              <w:rPr>
                <w:rFonts w:ascii="Cambria Math" w:hAnsi="Cambria Math"/>
              </w:rPr>
              <m:t>PUSCH</m:t>
            </m:r>
          </m:sup>
        </m:sSubSup>
        <m:r>
          <w:rPr>
            <w:rFonts w:ascii="Cambria Math" w:hAnsi="Cambria Math"/>
            <w:lang w:val="x-none"/>
          </w:rPr>
          <m:t>(i)</m:t>
        </m:r>
        <m:r>
          <w:rPr>
            <w:rFonts w:ascii="Cambria Math" w:hAnsi="Cambria Math" w:cs="Cambria Math"/>
          </w:rPr>
          <m:t>⋅</m:t>
        </m:r>
        <m:nary>
          <m:naryPr>
            <m:chr m:val="∑"/>
            <m:limLoc m:val="undOvr"/>
            <m:ctrlPr>
              <w:rPr>
                <w:rFonts w:ascii="Cambria Math" w:hAnsi="Cambria Math"/>
                <w:iCs/>
                <w:lang w:val="en-US"/>
              </w:rPr>
            </m:ctrlPr>
          </m:naryPr>
          <m:sub>
            <m:r>
              <w:rPr>
                <w:rFonts w:ascii="Cambria Math" w:hAnsi="Cambria Math"/>
                <w:lang w:val="en-US"/>
              </w:rPr>
              <m:t>j=0</m:t>
            </m:r>
          </m:sub>
          <m:sup>
            <m:sSubSup>
              <m:sSubSupPr>
                <m:ctrlPr>
                  <w:rPr>
                    <w:rFonts w:ascii="Cambria Math" w:hAnsi="Cambria Math"/>
                    <w:iCs/>
                    <w:lang w:val="x-none"/>
                  </w:rPr>
                </m:ctrlPr>
              </m:sSubSupPr>
              <m:e>
                <m:r>
                  <w:rPr>
                    <w:rFonts w:ascii="Cambria Math" w:hAnsi="Cambria Math"/>
                  </w:rPr>
                  <m:t>N</m:t>
                </m:r>
              </m:e>
              <m:sub>
                <m:r>
                  <m:rPr>
                    <m:sty m:val="p"/>
                  </m:rPr>
                  <w:rPr>
                    <w:rFonts w:ascii="Cambria Math" w:hAnsi="Cambria Math"/>
                  </w:rPr>
                  <m:t>symb,</m:t>
                </m:r>
                <m:r>
                  <w:rPr>
                    <w:rFonts w:ascii="Cambria Math" w:hAnsi="Cambria Math"/>
                  </w:rPr>
                  <m:t>b,f,c</m:t>
                </m:r>
              </m:sub>
              <m:sup>
                <m:r>
                  <m:rPr>
                    <m:sty m:val="p"/>
                  </m:rPr>
                  <w:rPr>
                    <w:rFonts w:ascii="Cambria Math" w:hAnsi="Cambria Math"/>
                  </w:rPr>
                  <m:t>PUSCH</m:t>
                </m:r>
              </m:sup>
            </m:sSubSup>
            <m:d>
              <m:dPr>
                <m:ctrlPr>
                  <w:rPr>
                    <w:rFonts w:ascii="Cambria Math" w:hAnsi="Cambria Math"/>
                    <w:i/>
                    <w:iCs/>
                    <w:lang w:val="x-none"/>
                  </w:rPr>
                </m:ctrlPr>
              </m:dPr>
              <m:e>
                <m:r>
                  <w:rPr>
                    <w:rFonts w:ascii="Cambria Math" w:hAnsi="Cambria Math"/>
                    <w:lang w:val="x-none"/>
                  </w:rPr>
                  <m:t>i</m:t>
                </m:r>
              </m:e>
            </m:d>
            <m:r>
              <w:rPr>
                <w:rFonts w:ascii="Cambria Math" w:hAnsi="Cambria Math"/>
                <w:lang w:val="x-none"/>
              </w:rPr>
              <m:t>-1</m:t>
            </m:r>
          </m:sup>
          <m:e>
            <m:sSubSup>
              <m:sSubSupPr>
                <m:ctrlPr>
                  <w:rPr>
                    <w:rFonts w:ascii="Cambria Math" w:hAnsi="Cambria Math"/>
                    <w:iCs/>
                    <w:lang w:val="x-none"/>
                  </w:rPr>
                </m:ctrlPr>
              </m:sSubSupPr>
              <m:e>
                <m:r>
                  <w:rPr>
                    <w:rFonts w:ascii="Cambria Math" w:hAnsi="Cambria Math"/>
                  </w:rPr>
                  <m:t>N</m:t>
                </m:r>
              </m:e>
              <m:sub>
                <m:r>
                  <m:rPr>
                    <m:sty m:val="p"/>
                  </m:rPr>
                  <w:rPr>
                    <w:rFonts w:ascii="Cambria Math" w:hAnsi="Cambria Math"/>
                  </w:rPr>
                  <m:t>sc,data</m:t>
                </m:r>
              </m:sub>
              <m:sup>
                <m:r>
                  <m:rPr>
                    <m:sty m:val="p"/>
                  </m:rPr>
                  <w:rPr>
                    <w:rFonts w:ascii="Cambria Math" w:hAnsi="Cambria Math"/>
                  </w:rPr>
                  <m:t>RB</m:t>
                </m:r>
              </m:sup>
            </m:sSubSup>
            <m:r>
              <w:rPr>
                <w:rFonts w:ascii="Cambria Math" w:hAnsi="Cambria Math"/>
                <w:lang w:val="x-none"/>
              </w:rPr>
              <m:t>(i,j)</m:t>
            </m:r>
          </m:e>
        </m:nary>
      </m:oMath>
      <w:r w:rsidR="00D21BF4" w:rsidRPr="00B916EC">
        <w:t xml:space="preserve">, </w:t>
      </w:r>
      <w:r w:rsidR="00D21BF4" w:rsidRPr="00B916EC">
        <w:rPr>
          <w:rFonts w:hint="eastAsia"/>
        </w:rPr>
        <w:t>where</w:t>
      </w:r>
      <w:r w:rsidR="00FC701E" w:rsidRPr="00B916EC">
        <w:rPr>
          <w:lang w:val="en-US"/>
        </w:rPr>
        <w:t xml:space="preserve"> </w:t>
      </w:r>
      <m:oMath>
        <m:r>
          <w:rPr>
            <w:rFonts w:ascii="Cambria Math" w:hAnsi="Cambria Math"/>
          </w:rPr>
          <m:t>N≥1</m:t>
        </m:r>
      </m:oMath>
      <w:r w:rsidR="00AA5B67" w:rsidRPr="005F7DE3">
        <w:t xml:space="preserve"> is provided by </w:t>
      </w:r>
      <w:r w:rsidR="00AA5B67" w:rsidRPr="005F7DE3">
        <w:rPr>
          <w:i/>
        </w:rPr>
        <w:t>numberOfSlotsTBoMS</w:t>
      </w:r>
      <w:r w:rsidR="00AA5B67" w:rsidRPr="005F7DE3">
        <w:t xml:space="preserve"> as described in [6, TS 38.214] and </w:t>
      </w:r>
      <m:oMath>
        <m:r>
          <w:rPr>
            <w:rFonts w:ascii="Cambria Math" w:hAnsi="Cambria Math"/>
          </w:rPr>
          <m:t>N=1</m:t>
        </m:r>
      </m:oMath>
      <w:r w:rsidR="00AA5B67" w:rsidRPr="005F7DE3">
        <w:t xml:space="preserve"> if </w:t>
      </w:r>
      <w:r w:rsidR="00AA5B67" w:rsidRPr="005F7DE3">
        <w:rPr>
          <w:i/>
        </w:rPr>
        <w:t>numberOfSlotsTBoMS</w:t>
      </w:r>
      <w:r w:rsidR="00AA5B67" w:rsidRPr="005F7DE3">
        <w:t xml:space="preserve"> is not provided,</w:t>
      </w:r>
      <w:r w:rsidR="00AA5B67">
        <w:t xml:space="preserve"> </w:t>
      </w:r>
      <m:oMath>
        <m:sSubSup>
          <m:sSubSupPr>
            <m:ctrlPr>
              <w:rPr>
                <w:rFonts w:ascii="Cambria Math" w:hAnsi="Cambria Math"/>
                <w:iCs/>
                <w:lang w:val="x-none"/>
              </w:rPr>
            </m:ctrlPr>
          </m:sSubSupPr>
          <m:e>
            <m:r>
              <w:rPr>
                <w:rFonts w:ascii="Cambria Math" w:hAnsi="Cambria Math"/>
              </w:rPr>
              <m:t>N</m:t>
            </m:r>
          </m:e>
          <m:sub>
            <m:r>
              <m:rPr>
                <m:sty m:val="p"/>
              </m:rPr>
              <w:rPr>
                <w:rFonts w:ascii="Cambria Math" w:hAnsi="Cambria Math"/>
              </w:rPr>
              <m:t>symb,</m:t>
            </m:r>
            <m:r>
              <w:rPr>
                <w:rFonts w:ascii="Cambria Math" w:hAnsi="Cambria Math"/>
              </w:rPr>
              <m:t>b,f,c</m:t>
            </m:r>
          </m:sub>
          <m:sup>
            <m:r>
              <m:rPr>
                <m:sty m:val="p"/>
              </m:rPr>
              <w:rPr>
                <w:rFonts w:ascii="Cambria Math" w:hAnsi="Cambria Math"/>
              </w:rPr>
              <m:t>PUSCH</m:t>
            </m:r>
          </m:sup>
        </m:sSubSup>
        <m:d>
          <m:dPr>
            <m:ctrlPr>
              <w:rPr>
                <w:rFonts w:ascii="Cambria Math" w:hAnsi="Cambria Math"/>
                <w:i/>
                <w:iCs/>
                <w:lang w:val="x-none"/>
              </w:rPr>
            </m:ctrlPr>
          </m:dPr>
          <m:e>
            <m:r>
              <w:rPr>
                <w:rFonts w:ascii="Cambria Math" w:hAnsi="Cambria Math"/>
                <w:lang w:val="x-none"/>
              </w:rPr>
              <m:t>i</m:t>
            </m:r>
          </m:e>
        </m:d>
      </m:oMath>
      <w:r w:rsidR="00F7679D" w:rsidRPr="00B916EC">
        <w:rPr>
          <w:lang w:val="en-US"/>
        </w:rPr>
        <w:t xml:space="preserve"> is </w:t>
      </w:r>
      <w:r w:rsidR="0028470B">
        <w:rPr>
          <w:lang w:val="en-US"/>
        </w:rPr>
        <w:t>a</w:t>
      </w:r>
      <w:r w:rsidR="0028470B" w:rsidRPr="00B916EC">
        <w:rPr>
          <w:lang w:val="en-US"/>
        </w:rPr>
        <w:t xml:space="preserve"> </w:t>
      </w:r>
      <w:r w:rsidR="00F7679D" w:rsidRPr="00B916EC">
        <w:rPr>
          <w:lang w:val="en-US"/>
        </w:rPr>
        <w:t>number of symbols</w:t>
      </w:r>
      <w:r w:rsidR="00FC701E" w:rsidRPr="00B916EC">
        <w:rPr>
          <w:lang w:val="en-US"/>
        </w:rPr>
        <w:t xml:space="preserve"> </w:t>
      </w:r>
      <w:r w:rsidR="00F7679D" w:rsidRPr="00B916EC">
        <w:t xml:space="preserve">for </w:t>
      </w:r>
      <w:r w:rsidR="00F7679D" w:rsidRPr="00B916EC">
        <w:rPr>
          <w:lang w:val="en-US"/>
        </w:rPr>
        <w:t xml:space="preserve">PUSCH transmission </w:t>
      </w:r>
      <w:r w:rsidR="00660F48">
        <w:rPr>
          <w:lang w:val="en-US"/>
        </w:rPr>
        <w:t>occasion</w:t>
      </w:r>
      <w:r w:rsidR="00F7679D" w:rsidRPr="00B916EC">
        <w:t xml:space="preserve"> </w:t>
      </w:r>
      <m:oMath>
        <m:r>
          <w:rPr>
            <w:rFonts w:ascii="Cambria Math" w:hAnsi="Cambria Math"/>
          </w:rPr>
          <m:t>i</m:t>
        </m:r>
      </m:oMath>
      <w:r w:rsidR="00F7679D" w:rsidRPr="00B916EC">
        <w:rPr>
          <w:i/>
        </w:rPr>
        <w:t xml:space="preserve"> </w:t>
      </w:r>
      <w:r w:rsidR="00F7679D" w:rsidRPr="00B916EC">
        <w:rPr>
          <w:lang w:val="en-US"/>
        </w:rPr>
        <w:t>on</w:t>
      </w:r>
      <w:r w:rsidR="0028470B">
        <w:rPr>
          <w:lang w:val="en-US"/>
        </w:rPr>
        <w:t xml:space="preserve"> active</w:t>
      </w:r>
      <w:r w:rsidR="00F7679D" w:rsidRPr="00B916EC">
        <w:t xml:space="preserve"> </w:t>
      </w:r>
      <w:r w:rsidR="003E0824">
        <w:rPr>
          <w:lang w:val="en-US"/>
        </w:rPr>
        <w:t xml:space="preserve">UL BWP </w:t>
      </w:r>
      <m:oMath>
        <m:r>
          <w:rPr>
            <w:rFonts w:ascii="Cambria Math" w:hAnsi="Cambria Math"/>
          </w:rPr>
          <m:t>b</m:t>
        </m:r>
      </m:oMath>
      <w:r w:rsidR="003E0824">
        <w:rPr>
          <w:iCs/>
          <w:lang w:val="en-US"/>
        </w:rPr>
        <w:t xml:space="preserve"> </w:t>
      </w:r>
      <w:r w:rsidR="003E0824">
        <w:rPr>
          <w:lang w:val="en-US"/>
        </w:rPr>
        <w:t>of</w:t>
      </w:r>
      <w:r w:rsidR="003E0824" w:rsidRPr="00B916EC">
        <w:rPr>
          <w:lang w:val="en-US"/>
        </w:rPr>
        <w:t xml:space="preserve"> </w:t>
      </w:r>
      <w:r w:rsidR="00F7679D" w:rsidRPr="00B916EC">
        <w:rPr>
          <w:lang w:val="en-US"/>
        </w:rPr>
        <w:t xml:space="preserve">carrier </w:t>
      </w:r>
      <m:oMath>
        <m:r>
          <w:rPr>
            <w:rFonts w:ascii="Cambria Math" w:hAnsi="Cambria Math"/>
            <w:lang w:val="en-US"/>
          </w:rPr>
          <m:t>f</m:t>
        </m:r>
      </m:oMath>
      <w:r w:rsidR="00F7679D" w:rsidRPr="00B916EC">
        <w:rPr>
          <w:iCs/>
          <w:lang w:val="en-US"/>
        </w:rPr>
        <w:t xml:space="preserve"> of</w:t>
      </w:r>
      <w:r w:rsidR="00F7679D" w:rsidRPr="00B916EC">
        <w:t xml:space="preserve"> serving cell</w:t>
      </w:r>
      <w:r w:rsidR="00F7679D" w:rsidRPr="00B916EC">
        <w:rPr>
          <w:i/>
        </w:rPr>
        <w:t xml:space="preserve"> </w:t>
      </w:r>
      <m:oMath>
        <m:r>
          <w:rPr>
            <w:rFonts w:ascii="Cambria Math" w:hAnsi="Cambria Math"/>
          </w:rPr>
          <m:t>c</m:t>
        </m:r>
      </m:oMath>
      <w:r w:rsidR="00B17FC5">
        <w:t>,</w:t>
      </w:r>
      <w:r w:rsidR="00B17FC5" w:rsidRPr="00B916EC">
        <w:rPr>
          <w:rFonts w:hint="eastAsia"/>
        </w:rPr>
        <w:t xml:space="preserve"> </w:t>
      </w:r>
      <m:oMath>
        <m:sSubSup>
          <m:sSubSupPr>
            <m:ctrlPr>
              <w:rPr>
                <w:rFonts w:ascii="Cambria Math" w:hAnsi="Cambria Math"/>
                <w:iCs/>
                <w:lang w:val="x-none"/>
              </w:rPr>
            </m:ctrlPr>
          </m:sSubSupPr>
          <m:e>
            <m:r>
              <w:rPr>
                <w:rFonts w:ascii="Cambria Math" w:hAnsi="Cambria Math"/>
              </w:rPr>
              <m:t>N</m:t>
            </m:r>
          </m:e>
          <m:sub>
            <m:r>
              <m:rPr>
                <m:sty m:val="p"/>
              </m:rPr>
              <w:rPr>
                <w:rFonts w:ascii="Cambria Math" w:hAnsi="Cambria Math"/>
              </w:rPr>
              <m:t>sc,data</m:t>
            </m:r>
          </m:sub>
          <m:sup>
            <m:r>
              <m:rPr>
                <m:sty m:val="p"/>
              </m:rPr>
              <w:rPr>
                <w:rFonts w:ascii="Cambria Math" w:hAnsi="Cambria Math"/>
              </w:rPr>
              <m:t>RB</m:t>
            </m:r>
          </m:sup>
        </m:sSubSup>
        <m:r>
          <w:rPr>
            <w:rFonts w:ascii="Cambria Math" w:hAnsi="Cambria Math"/>
            <w:lang w:val="x-none"/>
          </w:rPr>
          <m:t>(i,j)</m:t>
        </m:r>
      </m:oMath>
      <w:r w:rsidR="00B17FC5">
        <w:t xml:space="preserve"> is a number of subcarriers excluding DM-RS subcarriers </w:t>
      </w:r>
      <w:r w:rsidR="00B16C06" w:rsidRPr="00FA0CBB">
        <w:t xml:space="preserve">and phase-tracking RS </w:t>
      </w:r>
      <w:r w:rsidR="00B16C06">
        <w:t>samples [4, TS 38.211]</w:t>
      </w:r>
      <w:r w:rsidR="00B16C06" w:rsidRPr="00FA0CBB">
        <w:t xml:space="preserve"> </w:t>
      </w:r>
      <w:r w:rsidR="00B17FC5">
        <w:t xml:space="preserve">in PUSCH symbol </w:t>
      </w:r>
      <m:oMath>
        <m:r>
          <w:rPr>
            <w:rFonts w:ascii="Cambria Math" w:hAnsi="Cambria Math"/>
          </w:rPr>
          <m:t>j</m:t>
        </m:r>
      </m:oMath>
      <w:r w:rsidR="001B4D2B">
        <w:rPr>
          <w:iCs/>
          <w:position w:val="-10"/>
        </w:rPr>
        <w:t xml:space="preserve"> </w:t>
      </w:r>
      <w:r w:rsidR="001B4D2B">
        <w:t>and assuming no segmentation for a nominal repetition in case the PUSCH transmission is with repetition Type B</w:t>
      </w:r>
      <w:r w:rsidR="00B17FC5">
        <w:t xml:space="preserve">, </w:t>
      </w:r>
      <m:oMath>
        <m:r>
          <w:rPr>
            <w:rFonts w:ascii="Cambria Math" w:hAnsi="Cambria Math"/>
          </w:rPr>
          <m:t>0≤j&lt;</m:t>
        </m:r>
        <m:sSubSup>
          <m:sSubSupPr>
            <m:ctrlPr>
              <w:rPr>
                <w:rFonts w:ascii="Cambria Math" w:hAnsi="Cambria Math"/>
                <w:iCs/>
                <w:lang w:val="x-none"/>
              </w:rPr>
            </m:ctrlPr>
          </m:sSubSupPr>
          <m:e>
            <m:r>
              <w:rPr>
                <w:rFonts w:ascii="Cambria Math" w:hAnsi="Cambria Math"/>
              </w:rPr>
              <m:t>N</m:t>
            </m:r>
          </m:e>
          <m:sub>
            <m:r>
              <m:rPr>
                <m:sty m:val="p"/>
              </m:rPr>
              <w:rPr>
                <w:rFonts w:ascii="Cambria Math" w:hAnsi="Cambria Math"/>
              </w:rPr>
              <m:t>symb,</m:t>
            </m:r>
            <m:r>
              <w:rPr>
                <w:rFonts w:ascii="Cambria Math" w:hAnsi="Cambria Math"/>
              </w:rPr>
              <m:t>b,f,c</m:t>
            </m:r>
          </m:sub>
          <m:sup>
            <m:r>
              <m:rPr>
                <m:sty m:val="p"/>
              </m:rPr>
              <w:rPr>
                <w:rFonts w:ascii="Cambria Math" w:hAnsi="Cambria Math"/>
              </w:rPr>
              <m:t>PUSCH</m:t>
            </m:r>
          </m:sup>
        </m:sSubSup>
        <m:d>
          <m:dPr>
            <m:ctrlPr>
              <w:rPr>
                <w:rFonts w:ascii="Cambria Math" w:hAnsi="Cambria Math"/>
                <w:i/>
                <w:iCs/>
                <w:lang w:val="x-none"/>
              </w:rPr>
            </m:ctrlPr>
          </m:dPr>
          <m:e>
            <m:r>
              <w:rPr>
                <w:rFonts w:ascii="Cambria Math" w:hAnsi="Cambria Math"/>
                <w:lang w:val="x-none"/>
              </w:rPr>
              <m:t>i</m:t>
            </m:r>
          </m:e>
        </m:d>
      </m:oMath>
      <w:r w:rsidR="00B17FC5">
        <w:t xml:space="preserve">, </w:t>
      </w:r>
      <w:r w:rsidR="00F7679D" w:rsidRPr="00B916EC">
        <w:rPr>
          <w:lang w:val="en-US"/>
        </w:rPr>
        <w:t xml:space="preserve">and </w:t>
      </w:r>
      <m:oMath>
        <m:r>
          <w:rPr>
            <w:rFonts w:ascii="Cambria Math" w:hAnsi="Cambria Math"/>
          </w:rPr>
          <m:t>c</m:t>
        </m:r>
      </m:oMath>
      <w:r w:rsidR="00F66C70" w:rsidRPr="00FA0CBB">
        <w:rPr>
          <w:rFonts w:hint="eastAsia"/>
          <w:lang w:eastAsia="zh-CN"/>
        </w:rPr>
        <w:t xml:space="preserve">, </w:t>
      </w:r>
      <m:oMath>
        <m:sSub>
          <m:sSubPr>
            <m:ctrlPr>
              <w:rPr>
                <w:rFonts w:ascii="Cambria Math" w:hAnsi="Cambria Math"/>
                <w:i/>
                <w:lang w:val="x-none"/>
              </w:rPr>
            </m:ctrlPr>
          </m:sSubPr>
          <m:e>
            <m:r>
              <w:rPr>
                <w:rFonts w:ascii="Cambria Math" w:hAnsi="Cambria Math"/>
              </w:rPr>
              <m:t>K</m:t>
            </m:r>
          </m:e>
          <m:sub>
            <m:r>
              <w:rPr>
                <w:rFonts w:ascii="Cambria Math" w:hAnsi="Cambria Math"/>
              </w:rPr>
              <m:t>r</m:t>
            </m:r>
          </m:sub>
        </m:sSub>
      </m:oMath>
      <w:r w:rsidR="00F66C70" w:rsidRPr="00FA0CBB">
        <w:rPr>
          <w:rFonts w:hint="eastAsia"/>
        </w:rPr>
        <w:t xml:space="preserve"> </w:t>
      </w:r>
      <w:r w:rsidR="00D21BF4" w:rsidRPr="00B916EC">
        <w:t>are</w:t>
      </w:r>
      <w:r w:rsidR="00D21BF4" w:rsidRPr="00B916EC">
        <w:rPr>
          <w:rFonts w:hint="eastAsia"/>
        </w:rPr>
        <w:t xml:space="preserve"> defined in [</w:t>
      </w:r>
      <w:r w:rsidR="00D21BF4" w:rsidRPr="00B916EC">
        <w:rPr>
          <w:lang w:val="en-US"/>
        </w:rPr>
        <w:t>5</w:t>
      </w:r>
      <w:r w:rsidR="00D21BF4" w:rsidRPr="00B916EC">
        <w:t>, TS 38.</w:t>
      </w:r>
      <w:r w:rsidR="00D21BF4" w:rsidRPr="00B916EC">
        <w:rPr>
          <w:lang w:val="en-US"/>
        </w:rPr>
        <w:t>212</w:t>
      </w:r>
      <w:r w:rsidR="00D21BF4" w:rsidRPr="00B916EC">
        <w:rPr>
          <w:rFonts w:hint="eastAsia"/>
        </w:rPr>
        <w:t>]</w:t>
      </w:r>
    </w:p>
    <w:p w14:paraId="32EEDE7A" w14:textId="52DB7D8B" w:rsidR="00F66C70" w:rsidRPr="00FA0CBB" w:rsidRDefault="00416A87" w:rsidP="00F66C70">
      <w:pPr>
        <w:pStyle w:val="B2"/>
        <w:rPr>
          <w:lang w:eastAsia="zh-CN"/>
        </w:rPr>
      </w:pPr>
      <w:r>
        <w:t>-</w:t>
      </w:r>
      <w:r>
        <w:tab/>
      </w:r>
      <m:oMath>
        <m:sSubSup>
          <m:sSubSupPr>
            <m:ctrlPr>
              <w:rPr>
                <w:rFonts w:ascii="Cambria Math" w:hAnsi="Cambria Math"/>
                <w:iCs/>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PUSCH</m:t>
            </m:r>
          </m:sup>
        </m:sSubSup>
        <m:r>
          <w:rPr>
            <w:rFonts w:ascii="Cambria Math" w:hAnsi="Cambria Math"/>
          </w:rPr>
          <m:t>=1</m:t>
        </m:r>
      </m:oMath>
      <w:r w:rsidR="00D21BF4" w:rsidRPr="00B916EC">
        <w:rPr>
          <w:lang w:val="en-US"/>
        </w:rPr>
        <w:t xml:space="preserve"> when </w:t>
      </w:r>
      <w:r w:rsidR="00AD18AF" w:rsidRPr="00B916EC">
        <w:rPr>
          <w:lang w:val="en-US"/>
        </w:rPr>
        <w:t xml:space="preserve">the PUSCH includes UL-SCH data </w:t>
      </w:r>
      <w:r w:rsidR="00D21BF4" w:rsidRPr="00B916EC">
        <w:rPr>
          <w:lang w:val="en-US"/>
        </w:rPr>
        <w:t xml:space="preserve">and </w:t>
      </w:r>
      <m:oMath>
        <m:sSubSup>
          <m:sSubSupPr>
            <m:ctrlPr>
              <w:rPr>
                <w:rFonts w:ascii="Cambria Math" w:hAnsi="Cambria Math"/>
                <w:iCs/>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PUSCH</m:t>
            </m:r>
          </m:sup>
        </m:sSubSup>
        <m:r>
          <w:rPr>
            <w:rFonts w:ascii="Cambria Math" w:hAnsi="Cambria Math"/>
          </w:rPr>
          <m:t>=</m:t>
        </m:r>
        <m:sSubSup>
          <m:sSubSupPr>
            <m:ctrlPr>
              <w:rPr>
                <w:rFonts w:ascii="Cambria Math" w:hAnsi="Cambria Math"/>
                <w:iCs/>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CSI,1</m:t>
            </m:r>
          </m:sup>
        </m:sSubSup>
      </m:oMath>
      <w:r w:rsidR="00D21BF4" w:rsidRPr="00B916EC">
        <w:rPr>
          <w:lang w:val="en-US"/>
        </w:rPr>
        <w:t>,</w:t>
      </w:r>
      <w:r w:rsidR="00D21BF4" w:rsidRPr="00B916EC">
        <w:rPr>
          <w:rFonts w:hint="eastAsia"/>
          <w:lang w:eastAsia="zh-CN"/>
        </w:rPr>
        <w:t xml:space="preserve"> </w:t>
      </w:r>
      <w:r w:rsidR="00D21BF4" w:rsidRPr="00B916EC">
        <w:rPr>
          <w:noProof/>
        </w:rPr>
        <w:t xml:space="preserve">as described </w:t>
      </w:r>
      <w:r w:rsidR="006F5F9E">
        <w:rPr>
          <w:noProof/>
        </w:rPr>
        <w:t>in clause</w:t>
      </w:r>
      <w:r>
        <w:rPr>
          <w:noProof/>
          <w:lang w:val="en-US"/>
        </w:rPr>
        <w:t xml:space="preserve"> 9.3</w:t>
      </w:r>
      <w:r w:rsidR="00D21BF4" w:rsidRPr="00B916EC">
        <w:rPr>
          <w:noProof/>
          <w:lang w:val="en-US"/>
        </w:rPr>
        <w:t xml:space="preserve">, </w:t>
      </w:r>
      <w:r w:rsidR="00D21BF4" w:rsidRPr="00B916EC">
        <w:rPr>
          <w:lang w:val="en-US" w:eastAsia="zh-CN"/>
        </w:rPr>
        <w:t>when</w:t>
      </w:r>
      <w:r w:rsidR="00D21BF4" w:rsidRPr="00B916EC">
        <w:rPr>
          <w:lang w:eastAsia="zh-CN"/>
        </w:rPr>
        <w:t xml:space="preserve"> </w:t>
      </w:r>
      <w:r w:rsidR="00D21BF4" w:rsidRPr="00B916EC">
        <w:rPr>
          <w:lang w:val="en-US" w:eastAsia="zh-CN"/>
        </w:rPr>
        <w:t>the</w:t>
      </w:r>
      <w:r w:rsidR="00D21BF4" w:rsidRPr="00B916EC">
        <w:rPr>
          <w:lang w:eastAsia="zh-CN"/>
        </w:rPr>
        <w:t xml:space="preserve"> PUSCH </w:t>
      </w:r>
      <w:r w:rsidR="00D21BF4" w:rsidRPr="00B916EC">
        <w:rPr>
          <w:lang w:val="en-US" w:eastAsia="zh-CN"/>
        </w:rPr>
        <w:t>includes CSI and does not include</w:t>
      </w:r>
      <w:r w:rsidR="00D21BF4" w:rsidRPr="00B916EC">
        <w:rPr>
          <w:lang w:eastAsia="zh-CN"/>
        </w:rPr>
        <w:t xml:space="preserve"> UL-SCH data</w:t>
      </w:r>
    </w:p>
    <w:p w14:paraId="10D9C2B1" w14:textId="53F8C234" w:rsidR="00395506" w:rsidRPr="003A5BF8" w:rsidRDefault="00F66C70" w:rsidP="00416A87">
      <w:pPr>
        <w:pStyle w:val="B2"/>
        <w:rPr>
          <w:lang w:eastAsia="zh-CN"/>
        </w:rPr>
      </w:pPr>
      <w:r w:rsidRPr="00170D23">
        <w:t>-</w:t>
      </w:r>
      <w:r w:rsidRPr="00170D23">
        <w:tab/>
      </w:r>
      <m:oMath>
        <m:sSub>
          <m:sSubPr>
            <m:ctrlPr>
              <w:rPr>
                <w:rFonts w:ascii="Cambria Math" w:hAnsi="Cambria Math"/>
                <w:i/>
              </w:rPr>
            </m:ctrlPr>
          </m:sSubPr>
          <m:e>
            <m:r>
              <w:rPr>
                <w:rFonts w:ascii="Cambria Math" w:hAnsi="Cambria Math"/>
              </w:rPr>
              <m:t>Q</m:t>
            </m:r>
          </m:e>
          <m:sub>
            <m:r>
              <w:rPr>
                <w:rFonts w:ascii="Cambria Math" w:hAnsi="Cambria Math"/>
              </w:rPr>
              <m:t>m</m:t>
            </m:r>
          </m:sub>
        </m:sSub>
      </m:oMath>
      <w:r w:rsidRPr="00170D23">
        <w:rPr>
          <w:lang w:val="en-US"/>
        </w:rPr>
        <w:t xml:space="preserve"> is the modulation order and </w:t>
      </w:r>
      <m:oMath>
        <m:r>
          <w:rPr>
            <w:rFonts w:ascii="Cambria Math" w:hAnsi="Cambria Math"/>
            <w:lang w:val="en-GB"/>
          </w:rPr>
          <m:t>R</m:t>
        </m:r>
      </m:oMath>
      <w:r w:rsidRPr="00170D23">
        <w:rPr>
          <w:lang w:val="en-US"/>
        </w:rPr>
        <w:t xml:space="preserve"> is the target code rate, as described in [6, TS 38.214], provided by the DCI format scheduling the </w:t>
      </w:r>
      <w:r w:rsidRPr="00170D23">
        <w:rPr>
          <w:lang w:eastAsia="zh-CN"/>
        </w:rPr>
        <w:t xml:space="preserve">PUSCH </w:t>
      </w:r>
      <w:r w:rsidRPr="00170D23">
        <w:rPr>
          <w:lang w:val="en-US" w:eastAsia="zh-CN"/>
        </w:rPr>
        <w:t>transmission that includes CSI and does not include</w:t>
      </w:r>
      <w:r w:rsidRPr="00170D23">
        <w:rPr>
          <w:lang w:eastAsia="zh-CN"/>
        </w:rPr>
        <w:t xml:space="preserve"> UL-SCH data</w:t>
      </w:r>
    </w:p>
    <w:p w14:paraId="0D0EC803" w14:textId="489CC004" w:rsidR="008B1830" w:rsidRPr="00B916EC" w:rsidRDefault="00126575" w:rsidP="00126575">
      <w:pPr>
        <w:pStyle w:val="B1"/>
        <w:rPr>
          <w:lang w:val="en-US"/>
        </w:rPr>
      </w:pPr>
      <w:r>
        <w:rPr>
          <w:lang w:val="en-US"/>
        </w:rPr>
        <w:t>-</w:t>
      </w:r>
      <w:r>
        <w:rPr>
          <w:lang w:val="en-US"/>
        </w:rPr>
        <w:tab/>
      </w:r>
      <w:r w:rsidR="008B1830" w:rsidRPr="00B916EC">
        <w:rPr>
          <w:lang w:val="en-US"/>
        </w:rPr>
        <w:t xml:space="preserve">For the </w:t>
      </w:r>
      <w:r w:rsidR="008B1830" w:rsidRPr="00B916EC">
        <w:t>PUSCH power control adjustment state</w:t>
      </w:r>
      <w:r w:rsidR="000B4166">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b,f,c</m:t>
            </m:r>
          </m:sub>
        </m:sSub>
        <m:r>
          <w:rPr>
            <w:rFonts w:ascii="Cambria Math" w:hAnsi="Cambria Math"/>
            <w:lang w:val="en-US"/>
          </w:rPr>
          <m:t>(i,l)</m:t>
        </m:r>
      </m:oMath>
      <w:r w:rsidR="00F66C70" w:rsidRPr="00FA0CBB">
        <w:rPr>
          <w:lang w:val="en-US"/>
        </w:rPr>
        <w:t xml:space="preserve"> </w:t>
      </w:r>
      <w:r w:rsidR="00F66C70" w:rsidRPr="00FA0CBB">
        <w:t xml:space="preserve">for </w:t>
      </w:r>
      <w:r w:rsidR="00F66C70" w:rsidRPr="00FA0CBB">
        <w:rPr>
          <w:lang w:val="en-US"/>
        </w:rPr>
        <w:t xml:space="preserve">active UL BWP </w:t>
      </w:r>
      <m:oMath>
        <m:r>
          <w:rPr>
            <w:rFonts w:ascii="Cambria Math" w:hAnsi="Cambria Math"/>
          </w:rPr>
          <m:t>b</m:t>
        </m:r>
      </m:oMath>
      <w:r w:rsidR="00F66C70" w:rsidRPr="00FA0CBB">
        <w:rPr>
          <w:iCs/>
          <w:lang w:val="en-US"/>
        </w:rPr>
        <w:t xml:space="preserve"> </w:t>
      </w:r>
      <w:r w:rsidR="00F66C70" w:rsidRPr="00FA0CBB">
        <w:rPr>
          <w:lang w:val="en-US"/>
        </w:rPr>
        <w:t xml:space="preserve">of carrier </w:t>
      </w:r>
      <m:oMath>
        <m:r>
          <w:rPr>
            <w:rFonts w:ascii="Cambria Math" w:hAnsi="Cambria Math"/>
          </w:rPr>
          <m:t>f</m:t>
        </m:r>
      </m:oMath>
      <w:r w:rsidR="00F66C70" w:rsidRPr="00FA0CBB">
        <w:rPr>
          <w:iCs/>
          <w:lang w:val="en-US"/>
        </w:rPr>
        <w:t xml:space="preserve"> of</w:t>
      </w:r>
      <w:r w:rsidR="00F66C70" w:rsidRPr="00FA0CBB">
        <w:t xml:space="preserve"> serving cell </w:t>
      </w:r>
      <m:oMath>
        <m:r>
          <w:rPr>
            <w:rFonts w:ascii="Cambria Math" w:hAnsi="Cambria Math"/>
          </w:rPr>
          <m:t>c</m:t>
        </m:r>
      </m:oMath>
      <w:r w:rsidR="00F66C70">
        <w:rPr>
          <w:lang w:val="en-US"/>
        </w:rPr>
        <w:t xml:space="preserve"> </w:t>
      </w:r>
      <w:r w:rsidR="00975687" w:rsidRPr="00B916EC">
        <w:rPr>
          <w:lang w:val="en-US"/>
        </w:rPr>
        <w:t>in</w:t>
      </w:r>
      <w:r w:rsidR="008B1830" w:rsidRPr="00B916EC">
        <w:rPr>
          <w:lang w:val="en-US"/>
        </w:rPr>
        <w:t xml:space="preserve"> PUSCH transmission </w:t>
      </w:r>
      <w:r w:rsidR="00B17FC5">
        <w:rPr>
          <w:lang w:val="en-US"/>
        </w:rPr>
        <w:t>occasion</w:t>
      </w:r>
      <w:r w:rsidR="008B1830" w:rsidRPr="00B916EC">
        <w:rPr>
          <w:lang w:val="en-US"/>
        </w:rPr>
        <w:t xml:space="preserve"> </w:t>
      </w:r>
      <m:oMath>
        <m:r>
          <w:rPr>
            <w:rFonts w:ascii="Cambria Math" w:hAnsi="Cambria Math"/>
            <w:lang w:val="en-US"/>
          </w:rPr>
          <m:t>i</m:t>
        </m:r>
      </m:oMath>
    </w:p>
    <w:p w14:paraId="0B1BC80D" w14:textId="51EA6069" w:rsidR="001E3B1A" w:rsidRDefault="00F31749" w:rsidP="00F31749">
      <w:pPr>
        <w:pStyle w:val="B2"/>
        <w:rPr>
          <w:lang w:val="en-US"/>
        </w:rPr>
      </w:pPr>
      <w:r>
        <w:t>-</w:t>
      </w:r>
      <w:r>
        <w:tab/>
      </w:r>
      <m:oMath>
        <m:sSub>
          <m:sSubPr>
            <m:ctrlPr>
              <w:rPr>
                <w:rFonts w:ascii="Cambria Math" w:hAnsi="Cambria Math"/>
                <w:iCs/>
              </w:rPr>
            </m:ctrlPr>
          </m:sSubPr>
          <m:e>
            <m:r>
              <w:rPr>
                <w:rFonts w:ascii="Cambria Math" w:hAnsi="Cambria Math"/>
              </w:rPr>
              <m:t>δ</m:t>
            </m:r>
          </m:e>
          <m:sub>
            <m:r>
              <m:rPr>
                <m:sty m:val="p"/>
              </m:rPr>
              <w:rPr>
                <w:rFonts w:ascii="Cambria Math"/>
              </w:rPr>
              <m:t>PUSCH</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w:rPr>
            <w:rFonts w:ascii="Cambria Math" w:hAnsi="Cambria Math"/>
          </w:rPr>
          <m:t>(i,l)</m:t>
        </m:r>
      </m:oMath>
      <w:r w:rsidR="00B17FC5">
        <w:rPr>
          <w:lang w:val="en-US"/>
        </w:rPr>
        <w:t xml:space="preserve"> </w:t>
      </w:r>
      <w:r w:rsidR="00B17FC5" w:rsidRPr="00B916EC">
        <w:t>is</w:t>
      </w:r>
      <w:r w:rsidR="00C74DE2" w:rsidRPr="00B916EC">
        <w:t xml:space="preserve"> a </w:t>
      </w:r>
      <w:r w:rsidR="000B4166">
        <w:rPr>
          <w:lang w:val="en-US"/>
        </w:rPr>
        <w:t>TPC command</w:t>
      </w:r>
      <w:r w:rsidR="000B4166" w:rsidRPr="00B916EC">
        <w:t xml:space="preserve"> value</w:t>
      </w:r>
      <w:r w:rsidR="00C74DE2" w:rsidRPr="00B916EC">
        <w:t xml:space="preserve"> included in </w:t>
      </w:r>
      <w:r w:rsidR="00C74DE2" w:rsidRPr="00B916EC">
        <w:rPr>
          <w:lang w:val="en-US"/>
        </w:rPr>
        <w:t xml:space="preserve">a </w:t>
      </w:r>
      <w:r w:rsidR="00C74DE2" w:rsidRPr="00B916EC">
        <w:t xml:space="preserve">DCI format </w:t>
      </w:r>
      <w:r w:rsidR="001E1A10" w:rsidRPr="00B916EC">
        <w:rPr>
          <w:iCs/>
          <w:lang w:val="en-US"/>
        </w:rPr>
        <w:t xml:space="preserve">that schedules the PUSCH transmission </w:t>
      </w:r>
      <w:r w:rsidR="00B17FC5">
        <w:rPr>
          <w:lang w:val="en-US"/>
        </w:rPr>
        <w:t>occasion</w:t>
      </w:r>
      <w:r w:rsidR="00B17FC5" w:rsidRPr="00B916EC">
        <w:t xml:space="preserve"> </w:t>
      </w:r>
      <m:oMath>
        <m:r>
          <w:rPr>
            <w:rFonts w:ascii="Cambria Math" w:hAnsi="Cambria Math"/>
          </w:rPr>
          <m:t>i</m:t>
        </m:r>
      </m:oMath>
      <w:r w:rsidR="005B6093">
        <w:rPr>
          <w:lang w:val="en-US"/>
        </w:rPr>
        <w:t xml:space="preserve"> </w:t>
      </w:r>
      <w:r w:rsidR="005B6093" w:rsidRPr="00B916EC">
        <w:rPr>
          <w:iCs/>
          <w:lang w:val="en-US"/>
        </w:rPr>
        <w:t>on</w:t>
      </w:r>
      <w:r w:rsidR="005B6093" w:rsidRPr="00B916EC">
        <w:t xml:space="preserve"> </w:t>
      </w:r>
      <w:r w:rsidR="005B6093">
        <w:rPr>
          <w:lang w:val="en-US"/>
        </w:rPr>
        <w:t>active</w:t>
      </w:r>
      <w:r w:rsidR="00C74DE2" w:rsidRPr="00B916EC">
        <w:t xml:space="preserve"> </w:t>
      </w:r>
      <w:r w:rsidR="003E0824">
        <w:rPr>
          <w:lang w:val="en-US"/>
        </w:rPr>
        <w:t xml:space="preserve">UL BWP </w:t>
      </w:r>
      <m:oMath>
        <m:r>
          <w:rPr>
            <w:rFonts w:ascii="Cambria Math" w:hAnsi="Cambria Math"/>
          </w:rPr>
          <m:t>b</m:t>
        </m:r>
      </m:oMath>
      <w:r w:rsidR="003E0824">
        <w:rPr>
          <w:iCs/>
          <w:lang w:val="en-US"/>
        </w:rPr>
        <w:t xml:space="preserve"> </w:t>
      </w:r>
      <w:r w:rsidR="003E0824">
        <w:rPr>
          <w:lang w:val="en-US"/>
        </w:rPr>
        <w:t>of</w:t>
      </w:r>
      <w:r w:rsidR="003E0824" w:rsidRPr="00B916EC">
        <w:rPr>
          <w:lang w:val="en-US"/>
        </w:rPr>
        <w:t xml:space="preserve"> </w:t>
      </w:r>
      <w:r w:rsidR="00CD3A3D" w:rsidRPr="00B916EC">
        <w:rPr>
          <w:lang w:val="en-US"/>
        </w:rPr>
        <w:t xml:space="preserve">carrier </w:t>
      </w:r>
      <m:oMath>
        <m:r>
          <w:rPr>
            <w:rFonts w:ascii="Cambria Math" w:hAnsi="Cambria Math"/>
            <w:lang w:val="en-US"/>
          </w:rPr>
          <m:t>f</m:t>
        </m:r>
      </m:oMath>
      <w:r w:rsidR="00CD3A3D" w:rsidRPr="00B916EC">
        <w:rPr>
          <w:iCs/>
          <w:lang w:val="en-US"/>
        </w:rPr>
        <w:t xml:space="preserve"> of</w:t>
      </w:r>
      <w:r w:rsidR="00CD3A3D" w:rsidRPr="00B916EC">
        <w:t xml:space="preserve"> </w:t>
      </w:r>
      <w:r w:rsidR="00C74DE2" w:rsidRPr="00B916EC">
        <w:t xml:space="preserve">serving cell </w:t>
      </w:r>
      <m:oMath>
        <m:r>
          <w:rPr>
            <w:rFonts w:ascii="Cambria Math" w:hAnsi="Cambria Math"/>
          </w:rPr>
          <m:t>c</m:t>
        </m:r>
      </m:oMath>
      <w:r w:rsidR="00C74DE2" w:rsidRPr="00B916EC">
        <w:rPr>
          <w:lang w:val="en-US"/>
        </w:rPr>
        <w:t xml:space="preserve"> </w:t>
      </w:r>
      <w:r w:rsidR="00C74DE2" w:rsidRPr="00B916EC">
        <w:t>or</w:t>
      </w:r>
      <w:r w:rsidR="00AB6E3D" w:rsidRPr="00B916EC">
        <w:rPr>
          <w:lang w:val="en-US"/>
        </w:rPr>
        <w:t xml:space="preserve"> </w:t>
      </w:r>
      <w:r w:rsidR="00C74DE2" w:rsidRPr="00B916EC">
        <w:t xml:space="preserve">jointly coded with other TPC commands in </w:t>
      </w:r>
      <w:r w:rsidR="00C74DE2" w:rsidRPr="00B916EC">
        <w:rPr>
          <w:lang w:val="en-US"/>
        </w:rPr>
        <w:t xml:space="preserve">a </w:t>
      </w:r>
      <w:r w:rsidR="00C74DE2" w:rsidRPr="00B916EC">
        <w:t xml:space="preserve">DCI format </w:t>
      </w:r>
      <w:r w:rsidR="001E1A10" w:rsidRPr="00B916EC">
        <w:rPr>
          <w:lang w:val="en-US"/>
        </w:rPr>
        <w:t>2_2</w:t>
      </w:r>
      <w:r w:rsidR="00C74DE2" w:rsidRPr="00B916EC">
        <w:rPr>
          <w:rFonts w:hint="eastAsia"/>
        </w:rPr>
        <w:t xml:space="preserve"> </w:t>
      </w:r>
      <w:r w:rsidR="005B6093">
        <w:rPr>
          <w:lang w:val="en-US"/>
        </w:rPr>
        <w:t>with</w:t>
      </w:r>
      <w:r w:rsidR="005B6093" w:rsidRPr="00B916EC">
        <w:rPr>
          <w:rFonts w:hint="eastAsia"/>
        </w:rPr>
        <w:t xml:space="preserve"> </w:t>
      </w:r>
      <w:r w:rsidR="00C74DE2" w:rsidRPr="00B916EC">
        <w:rPr>
          <w:rFonts w:hint="eastAsia"/>
        </w:rPr>
        <w:t xml:space="preserve">CRC scrambled </w:t>
      </w:r>
      <w:r w:rsidR="00C74DE2" w:rsidRPr="00B916EC">
        <w:rPr>
          <w:lang w:val="en-US"/>
        </w:rPr>
        <w:t>by</w:t>
      </w:r>
      <w:r w:rsidR="00C74DE2" w:rsidRPr="00B916EC">
        <w:rPr>
          <w:rFonts w:hint="eastAsia"/>
        </w:rPr>
        <w:t xml:space="preserve"> TPC-PUSCH-RNTI</w:t>
      </w:r>
      <w:r w:rsidR="00B17FC5">
        <w:rPr>
          <w:lang w:val="en-US"/>
        </w:rPr>
        <w:t>,</w:t>
      </w:r>
      <w:r w:rsidR="00B17FC5" w:rsidRPr="00467F26">
        <w:rPr>
          <w:lang w:val="en-US"/>
        </w:rPr>
        <w:t xml:space="preserve"> </w:t>
      </w:r>
      <w:r w:rsidR="00B17FC5">
        <w:rPr>
          <w:lang w:val="en-US"/>
        </w:rPr>
        <w:t xml:space="preserve">as described </w:t>
      </w:r>
      <w:r w:rsidR="006F5F9E">
        <w:rPr>
          <w:lang w:val="en-US"/>
        </w:rPr>
        <w:t>in clause</w:t>
      </w:r>
      <w:r w:rsidR="00B17FC5">
        <w:rPr>
          <w:lang w:val="en-US"/>
        </w:rPr>
        <w:t xml:space="preserve"> 11.3</w:t>
      </w:r>
    </w:p>
    <w:p w14:paraId="77B0FE6F" w14:textId="2D8F4B19" w:rsidR="00EB1C37" w:rsidRPr="00F415B1" w:rsidRDefault="001E3B1A" w:rsidP="00EB1C37">
      <w:pPr>
        <w:pStyle w:val="B3"/>
      </w:pPr>
      <w:r>
        <w:t>-</w:t>
      </w:r>
      <w:r>
        <w:tab/>
      </w:r>
      <m:oMath>
        <m:r>
          <w:rPr>
            <w:rFonts w:ascii="Cambria Math" w:hAnsi="Cambria Math"/>
            <w:lang w:val="en-US"/>
          </w:rPr>
          <m:t>l∈</m:t>
        </m:r>
        <m:d>
          <m:dPr>
            <m:begChr m:val="{"/>
            <m:endChr m:val="}"/>
            <m:ctrlPr>
              <w:rPr>
                <w:rFonts w:ascii="Cambria Math" w:hAnsi="Cambria Math"/>
                <w:i/>
                <w:lang w:val="en-US"/>
              </w:rPr>
            </m:ctrlPr>
          </m:dPr>
          <m:e>
            <m:r>
              <w:rPr>
                <w:rFonts w:ascii="Cambria Math" w:hAnsi="Cambria Math"/>
                <w:lang w:val="en-US"/>
              </w:rPr>
              <m:t>0,1</m:t>
            </m:r>
          </m:e>
        </m:d>
      </m:oMath>
      <w:r w:rsidRPr="00B916EC">
        <w:rPr>
          <w:lang w:val="en-US"/>
        </w:rPr>
        <w:t xml:space="preserve"> if the UE is configured with </w:t>
      </w:r>
      <w:r w:rsidR="00B17FC5" w:rsidRPr="007132D3">
        <w:rPr>
          <w:i/>
        </w:rPr>
        <w:t>twoPUSCH-PC-AdjustmentStates</w:t>
      </w:r>
      <w:r w:rsidR="00B17FC5" w:rsidRPr="00B916EC">
        <w:rPr>
          <w:lang w:val="en-US"/>
        </w:rPr>
        <w:t xml:space="preserve"> </w:t>
      </w:r>
      <w:r w:rsidR="00B17FC5">
        <w:rPr>
          <w:lang w:val="en-US"/>
        </w:rPr>
        <w:t xml:space="preserve">and </w:t>
      </w:r>
      <m:oMath>
        <m:r>
          <w:rPr>
            <w:rFonts w:ascii="Cambria Math" w:hAnsi="Cambria Math"/>
            <w:lang w:val="en-US"/>
          </w:rPr>
          <m:t>l=0</m:t>
        </m:r>
      </m:oMath>
      <w:r w:rsidR="00B17FC5">
        <w:t xml:space="preserve"> if the UE is not </w:t>
      </w:r>
      <w:r w:rsidR="00B17FC5" w:rsidRPr="00B916EC">
        <w:rPr>
          <w:lang w:val="en-US"/>
        </w:rPr>
        <w:t xml:space="preserve">configured with </w:t>
      </w:r>
      <w:r w:rsidR="00B17FC5" w:rsidRPr="007132D3">
        <w:rPr>
          <w:i/>
        </w:rPr>
        <w:t>twoPUSCH-PC-AdjustmentStates</w:t>
      </w:r>
      <w:r w:rsidR="00B17FC5">
        <w:rPr>
          <w:i/>
        </w:rPr>
        <w:t xml:space="preserve"> </w:t>
      </w:r>
      <w:r w:rsidR="00B17FC5">
        <w:t xml:space="preserve">or if the PUSCH </w:t>
      </w:r>
      <w:r w:rsidR="00761C49">
        <w:t xml:space="preserve">transmission is scheduled by a RAR UL grant as described </w:t>
      </w:r>
      <w:r w:rsidR="006F5F9E">
        <w:t>in clause</w:t>
      </w:r>
      <w:r w:rsidR="00761C49">
        <w:t xml:space="preserve"> 8.3</w:t>
      </w:r>
    </w:p>
    <w:p w14:paraId="5C1DE5D4" w14:textId="7C4F7165" w:rsidR="00EB1C37" w:rsidRPr="00F415B1" w:rsidRDefault="00EB1C37" w:rsidP="002104E0">
      <w:pPr>
        <w:pStyle w:val="B4"/>
      </w:pPr>
      <w:r w:rsidRPr="00F415B1">
        <w:rPr>
          <w:lang w:eastAsia="zh-CN"/>
        </w:rPr>
        <w:t>-</w:t>
      </w:r>
      <w:r w:rsidRPr="00F415B1">
        <w:rPr>
          <w:lang w:eastAsia="zh-CN"/>
        </w:rPr>
        <w:tab/>
      </w:r>
      <w:r w:rsidR="00685C06">
        <w:rPr>
          <w:lang w:eastAsia="zh-CN"/>
        </w:rPr>
        <w:t>i</w:t>
      </w:r>
      <w:r w:rsidR="00685C06" w:rsidRPr="00F415B1">
        <w:rPr>
          <w:lang w:eastAsia="zh-CN"/>
        </w:rPr>
        <w:t xml:space="preserve">f </w:t>
      </w:r>
      <w:r w:rsidRPr="00F415B1">
        <w:rPr>
          <w:lang w:eastAsia="zh-CN"/>
        </w:rPr>
        <w:t xml:space="preserve">the UE is provided </w:t>
      </w:r>
      <w:r w:rsidRPr="00F415B1">
        <w:rPr>
          <w:iCs/>
        </w:rPr>
        <w:t xml:space="preserve">two SRS resource sets in </w:t>
      </w:r>
      <w:r w:rsidRPr="00F415B1">
        <w:rPr>
          <w:i/>
        </w:rPr>
        <w:t>srs-ResourceSetToAddModList</w:t>
      </w:r>
      <w:r w:rsidRPr="00F415B1">
        <w:rPr>
          <w:iCs/>
        </w:rPr>
        <w:t xml:space="preserve"> or </w:t>
      </w:r>
      <w:r w:rsidRPr="00F415B1">
        <w:rPr>
          <w:i/>
        </w:rPr>
        <w:t>srs-ResourceSetToAddModListDCI-0-2</w:t>
      </w:r>
      <w:r w:rsidRPr="00F415B1">
        <w:rPr>
          <w:iCs/>
        </w:rPr>
        <w:t xml:space="preserve"> with </w:t>
      </w:r>
      <w:r w:rsidRPr="00F415B1">
        <w:rPr>
          <w:i/>
        </w:rPr>
        <w:t>usage</w:t>
      </w:r>
      <w:r w:rsidRPr="00F415B1">
        <w:rPr>
          <w:iCs/>
        </w:rPr>
        <w:t xml:space="preserve"> set to </w:t>
      </w:r>
      <w:r w:rsidR="005E3B15">
        <w:rPr>
          <w:iCs/>
        </w:rPr>
        <w:t>'</w:t>
      </w:r>
      <w:r w:rsidRPr="00F415B1">
        <w:rPr>
          <w:iCs/>
        </w:rPr>
        <w:t>codebook</w:t>
      </w:r>
      <w:r w:rsidR="005E3B15">
        <w:rPr>
          <w:iCs/>
        </w:rPr>
        <w:t>'</w:t>
      </w:r>
      <w:r w:rsidRPr="00F415B1">
        <w:rPr>
          <w:iCs/>
        </w:rPr>
        <w:t xml:space="preserve"> or </w:t>
      </w:r>
      <w:r w:rsidR="005E3B15">
        <w:rPr>
          <w:iCs/>
        </w:rPr>
        <w:t>'</w:t>
      </w:r>
      <w:r w:rsidRPr="00F415B1">
        <w:rPr>
          <w:iCs/>
        </w:rPr>
        <w:t>nonCodebook</w:t>
      </w:r>
      <w:r w:rsidR="005E3B15">
        <w:rPr>
          <w:iCs/>
        </w:rPr>
        <w:t>'</w:t>
      </w:r>
      <w:r w:rsidRPr="00F415B1">
        <w:rPr>
          <w:iCs/>
        </w:rPr>
        <w:t xml:space="preserve">, and is provided </w:t>
      </w:r>
      <w:r w:rsidRPr="00F415B1">
        <w:rPr>
          <w:i/>
        </w:rPr>
        <w:t>p0-PUSCH-Alpha2</w:t>
      </w:r>
      <w:r w:rsidRPr="00F415B1">
        <w:t xml:space="preserve">, for a retransmission of a configured grant Type 1 PUSCH, or for activation or retransmission of a configured grant Type 2 PUSCH, scheduled by a DCI format that includes a SRS resource set indicator field, and for </w:t>
      </w:r>
      <w:r w:rsidRPr="00F415B1">
        <w:rPr>
          <w:lang w:val="en-US"/>
        </w:rPr>
        <w:t xml:space="preserve">active UL BWP </w:t>
      </w:r>
      <m:oMath>
        <m:r>
          <w:rPr>
            <w:rFonts w:ascii="Cambria Math" w:hAnsi="Cambria Math"/>
            <w:lang w:val="en-US"/>
          </w:rPr>
          <m:t>b</m:t>
        </m:r>
      </m:oMath>
      <w:r w:rsidRPr="00F415B1">
        <w:rPr>
          <w:iCs/>
          <w:lang w:val="en-US"/>
        </w:rPr>
        <w:t xml:space="preserve"> </w:t>
      </w:r>
      <w:r w:rsidRPr="00F415B1">
        <w:rPr>
          <w:lang w:val="en-US"/>
        </w:rPr>
        <w:t xml:space="preserve">of carrier </w:t>
      </w:r>
      <m:oMath>
        <m:r>
          <w:rPr>
            <w:rFonts w:ascii="Cambria Math" w:hAnsi="Cambria Math"/>
          </w:rPr>
          <m:t>f</m:t>
        </m:r>
      </m:oMath>
      <w:r w:rsidRPr="00F415B1">
        <w:rPr>
          <w:iCs/>
          <w:lang w:val="en-US"/>
        </w:rPr>
        <w:t xml:space="preserve"> of</w:t>
      </w:r>
      <w:r w:rsidRPr="00F415B1">
        <w:t xml:space="preserve"> serving cell </w:t>
      </w:r>
    </w:p>
    <w:p w14:paraId="0206D973" w14:textId="7F3D823D" w:rsidR="00EB1C37" w:rsidRPr="00F415B1" w:rsidRDefault="00EB1C37" w:rsidP="002104E0">
      <w:pPr>
        <w:pStyle w:val="B5"/>
      </w:pPr>
      <w:r w:rsidRPr="00F415B1">
        <w:rPr>
          <w:lang w:val="x-none"/>
        </w:rPr>
        <w:t>-</w:t>
      </w:r>
      <w:r w:rsidRPr="00F415B1">
        <w:rPr>
          <w:lang w:val="x-none"/>
        </w:rPr>
        <w:tab/>
      </w:r>
      <w:r w:rsidR="00685C06">
        <w:t>i</w:t>
      </w:r>
      <w:r w:rsidR="00685C06" w:rsidRPr="00F415B1">
        <w:t xml:space="preserve">f </w:t>
      </w:r>
      <w:r w:rsidRPr="00F415B1">
        <w:t xml:space="preserve">the SRS resource set indicator value is 00, </w:t>
      </w:r>
      <m:oMath>
        <m:r>
          <w:rPr>
            <w:rFonts w:ascii="Cambria Math" w:hAnsi="Cambria Math"/>
            <w:lang w:val="en-US"/>
          </w:rPr>
          <m:t>l</m:t>
        </m:r>
      </m:oMath>
      <w:r w:rsidRPr="00F415B1">
        <w:rPr>
          <w:lang w:val="en-US"/>
        </w:rPr>
        <w:t xml:space="preserve"> is equal to the value of </w:t>
      </w:r>
      <w:r w:rsidRPr="00F415B1">
        <w:rPr>
          <w:i/>
        </w:rPr>
        <w:t>powerControlLoopToUse</w:t>
      </w:r>
      <w:r w:rsidRPr="00F415B1">
        <w:rPr>
          <w:lang w:val="en-US"/>
        </w:rPr>
        <w:t xml:space="preserve"> in </w:t>
      </w:r>
      <w:r w:rsidRPr="00F415B1">
        <w:rPr>
          <w:i/>
        </w:rPr>
        <w:t>ConfiguredGrantConfig</w:t>
      </w:r>
    </w:p>
    <w:p w14:paraId="5BD0C5AD" w14:textId="707A89AB" w:rsidR="00EB1C37" w:rsidRPr="00F415B1" w:rsidRDefault="00EB1C37" w:rsidP="002104E0">
      <w:pPr>
        <w:pStyle w:val="B5"/>
      </w:pPr>
      <w:r w:rsidRPr="00F415B1">
        <w:rPr>
          <w:lang w:val="x-none"/>
        </w:rPr>
        <w:t>-</w:t>
      </w:r>
      <w:r w:rsidRPr="00F415B1">
        <w:rPr>
          <w:lang w:val="x-none"/>
        </w:rPr>
        <w:tab/>
      </w:r>
      <w:r w:rsidR="00685C06">
        <w:t>i</w:t>
      </w:r>
      <w:r w:rsidR="00685C06" w:rsidRPr="00F415B1">
        <w:t xml:space="preserve">f </w:t>
      </w:r>
      <w:r w:rsidRPr="00F415B1">
        <w:t xml:space="preserve">the SRS resource set indicator value is 01, </w:t>
      </w:r>
      <m:oMath>
        <m:r>
          <w:rPr>
            <w:rFonts w:ascii="Cambria Math" w:hAnsi="Cambria Math"/>
            <w:lang w:val="en-US"/>
          </w:rPr>
          <m:t>l</m:t>
        </m:r>
      </m:oMath>
      <w:r w:rsidRPr="00F415B1">
        <w:rPr>
          <w:lang w:val="en-US"/>
        </w:rPr>
        <w:t xml:space="preserve"> is equal to the value of </w:t>
      </w:r>
      <w:r w:rsidRPr="00F415B1">
        <w:rPr>
          <w:i/>
        </w:rPr>
        <w:t>powerControlLoopToUse2</w:t>
      </w:r>
      <w:r w:rsidRPr="00F415B1">
        <w:rPr>
          <w:lang w:val="en-US"/>
        </w:rPr>
        <w:t xml:space="preserve"> in </w:t>
      </w:r>
      <w:r w:rsidRPr="00F415B1">
        <w:rPr>
          <w:i/>
        </w:rPr>
        <w:t>ConfiguredGrantConfig</w:t>
      </w:r>
    </w:p>
    <w:p w14:paraId="43D64D99" w14:textId="3979C950" w:rsidR="001E3B1A" w:rsidRDefault="00EB1C37" w:rsidP="002104E0">
      <w:pPr>
        <w:pStyle w:val="B5"/>
      </w:pPr>
      <w:r w:rsidRPr="00F415B1">
        <w:rPr>
          <w:lang w:val="x-none"/>
        </w:rPr>
        <w:t>-</w:t>
      </w:r>
      <w:r w:rsidRPr="00F415B1">
        <w:rPr>
          <w:lang w:val="x-none"/>
        </w:rPr>
        <w:tab/>
      </w:r>
      <w:r w:rsidR="00685C06">
        <w:t>i</w:t>
      </w:r>
      <w:r w:rsidR="00685C06" w:rsidRPr="00F415B1">
        <w:t xml:space="preserve">f </w:t>
      </w:r>
      <w:r w:rsidRPr="00F415B1">
        <w:t xml:space="preserve">the SRS resource set indicator value is 10 or 11, a first </w:t>
      </w:r>
      <m:oMath>
        <m:r>
          <w:rPr>
            <w:rFonts w:ascii="Cambria Math" w:hAnsi="Cambria Math"/>
            <w:lang w:val="en-US"/>
          </w:rPr>
          <m:t>l</m:t>
        </m:r>
      </m:oMath>
      <w:r w:rsidRPr="00F415B1">
        <w:rPr>
          <w:lang w:val="en-US"/>
        </w:rPr>
        <w:t xml:space="preserve"> and a second </w:t>
      </w:r>
      <m:oMath>
        <m:r>
          <w:rPr>
            <w:rFonts w:ascii="Cambria Math" w:hAnsi="Cambria Math"/>
            <w:lang w:val="en-US"/>
          </w:rPr>
          <m:t>l</m:t>
        </m:r>
      </m:oMath>
      <w:r w:rsidRPr="00F415B1">
        <w:rPr>
          <w:lang w:val="en-US"/>
        </w:rPr>
        <w:t xml:space="preserve"> </w:t>
      </w:r>
      <w:r w:rsidR="002D6F6A" w:rsidRPr="008F482D">
        <w:rPr>
          <w:lang w:val="en-US"/>
        </w:rPr>
        <w:t xml:space="preserve">respectively </w:t>
      </w:r>
      <w:r w:rsidR="002D6F6A" w:rsidRPr="008F482D">
        <w:t>associated with the first and second SRS resource set</w:t>
      </w:r>
      <w:r w:rsidR="002D6F6A" w:rsidRPr="00F415B1">
        <w:rPr>
          <w:lang w:val="en-US"/>
        </w:rPr>
        <w:t xml:space="preserve"> </w:t>
      </w:r>
      <w:r w:rsidRPr="00F415B1">
        <w:rPr>
          <w:lang w:val="en-US"/>
        </w:rPr>
        <w:t xml:space="preserve">are respectively equal to </w:t>
      </w:r>
      <w:r w:rsidRPr="00F415B1">
        <w:rPr>
          <w:i/>
        </w:rPr>
        <w:t>powerControlLoopToUse</w:t>
      </w:r>
      <w:r w:rsidRPr="00F415B1">
        <w:rPr>
          <w:lang w:val="en-US"/>
        </w:rPr>
        <w:t xml:space="preserve"> and </w:t>
      </w:r>
      <w:r w:rsidRPr="00F415B1">
        <w:rPr>
          <w:i/>
        </w:rPr>
        <w:t xml:space="preserve">powerControlLoopToUse2 </w:t>
      </w:r>
      <w:r w:rsidRPr="00F415B1">
        <w:rPr>
          <w:lang w:val="en-US"/>
        </w:rPr>
        <w:t xml:space="preserve">in </w:t>
      </w:r>
      <w:r w:rsidRPr="00F415B1">
        <w:rPr>
          <w:i/>
        </w:rPr>
        <w:t>ConfiguredGrantConfig</w:t>
      </w:r>
    </w:p>
    <w:p w14:paraId="53F48867" w14:textId="45A007CC" w:rsidR="00685C06" w:rsidRPr="002B30E4" w:rsidRDefault="00685C06" w:rsidP="00685C06">
      <w:pPr>
        <w:pStyle w:val="B4"/>
        <w:rPr>
          <w:lang w:val="en-US" w:eastAsia="zh-CN"/>
        </w:rPr>
      </w:pPr>
      <w:r w:rsidRPr="002B30E4">
        <w:rPr>
          <w:lang w:val="en-US" w:eastAsia="zh-CN"/>
        </w:rPr>
        <w:t>-</w:t>
      </w:r>
      <w:r w:rsidRPr="002B30E4">
        <w:rPr>
          <w:lang w:val="en-US" w:eastAsia="zh-CN"/>
        </w:rPr>
        <w:tab/>
      </w:r>
      <w:r>
        <w:rPr>
          <w:lang w:val="en-US" w:eastAsia="zh-CN"/>
        </w:rPr>
        <w:t>else if</w:t>
      </w:r>
      <w:r w:rsidRPr="002B30E4">
        <w:rPr>
          <w:lang w:val="en-US" w:eastAsia="zh-CN"/>
        </w:rPr>
        <w:t xml:space="preserve"> the UE is provided </w:t>
      </w:r>
      <w:r w:rsidRPr="002B30E4">
        <w:rPr>
          <w:iCs/>
          <w:lang w:val="en-US" w:eastAsia="zh-CN"/>
        </w:rPr>
        <w:t xml:space="preserve">two SRS resource sets in </w:t>
      </w:r>
      <w:r w:rsidRPr="002B30E4">
        <w:rPr>
          <w:i/>
          <w:lang w:val="en-US" w:eastAsia="zh-CN"/>
        </w:rPr>
        <w:t>srs-ResourceSetToAddModList</w:t>
      </w:r>
      <w:r w:rsidRPr="002B30E4">
        <w:rPr>
          <w:iCs/>
          <w:lang w:val="en-US" w:eastAsia="zh-CN"/>
        </w:rPr>
        <w:t xml:space="preserve"> or </w:t>
      </w:r>
      <w:r w:rsidRPr="002B30E4">
        <w:rPr>
          <w:i/>
          <w:lang w:val="en-US" w:eastAsia="zh-CN"/>
        </w:rPr>
        <w:t>srs-ResourceSetToAddModListDCI-0-2</w:t>
      </w:r>
      <w:r w:rsidRPr="002B30E4">
        <w:rPr>
          <w:iCs/>
          <w:lang w:val="en-US" w:eastAsia="zh-CN"/>
        </w:rPr>
        <w:t xml:space="preserve"> with </w:t>
      </w:r>
      <w:r w:rsidRPr="002B30E4">
        <w:rPr>
          <w:i/>
          <w:lang w:val="en-US" w:eastAsia="zh-CN"/>
        </w:rPr>
        <w:t>usage</w:t>
      </w:r>
      <w:r w:rsidRPr="002B30E4">
        <w:rPr>
          <w:iCs/>
          <w:lang w:val="en-US" w:eastAsia="zh-CN"/>
        </w:rPr>
        <w:t xml:space="preserve"> set to </w:t>
      </w:r>
      <w:r w:rsidR="008D77EB">
        <w:rPr>
          <w:iCs/>
          <w:lang w:val="en-US" w:eastAsia="zh-CN"/>
        </w:rPr>
        <w:t>'</w:t>
      </w:r>
      <w:r w:rsidRPr="002B30E4">
        <w:rPr>
          <w:iCs/>
          <w:lang w:val="en-US" w:eastAsia="zh-CN"/>
        </w:rPr>
        <w:t>codebook</w:t>
      </w:r>
      <w:r w:rsidR="008D77EB">
        <w:rPr>
          <w:iCs/>
          <w:lang w:val="en-US" w:eastAsia="zh-CN"/>
        </w:rPr>
        <w:t>'</w:t>
      </w:r>
      <w:r w:rsidRPr="002B30E4">
        <w:rPr>
          <w:iCs/>
          <w:lang w:val="en-US" w:eastAsia="zh-CN"/>
        </w:rPr>
        <w:t xml:space="preserve"> or </w:t>
      </w:r>
      <w:r w:rsidR="008D77EB">
        <w:rPr>
          <w:iCs/>
          <w:lang w:val="en-US" w:eastAsia="zh-CN"/>
        </w:rPr>
        <w:t>'</w:t>
      </w:r>
      <w:r w:rsidRPr="002B30E4">
        <w:rPr>
          <w:iCs/>
          <w:lang w:val="en-US" w:eastAsia="zh-CN"/>
        </w:rPr>
        <w:t>nonCodebook</w:t>
      </w:r>
      <w:r w:rsidR="008D77EB">
        <w:rPr>
          <w:iCs/>
          <w:lang w:val="en-US" w:eastAsia="zh-CN"/>
        </w:rPr>
        <w:t>'</w:t>
      </w:r>
      <w:r w:rsidRPr="002B30E4">
        <w:rPr>
          <w:iCs/>
          <w:lang w:val="en-US" w:eastAsia="zh-CN"/>
        </w:rPr>
        <w:t xml:space="preserve"> and is provided </w:t>
      </w:r>
      <w:r w:rsidRPr="002B30E4">
        <w:rPr>
          <w:i/>
          <w:lang w:val="en-US" w:eastAsia="zh-CN"/>
        </w:rPr>
        <w:t>p0-PUSCH-Alpha2</w:t>
      </w:r>
      <w:r w:rsidRPr="002B30E4">
        <w:rPr>
          <w:lang w:val="en-US" w:eastAsia="zh-CN"/>
        </w:rPr>
        <w:t>, for a transmission of a configured grant Type 1 PUSCH and for active UL BWP</w:t>
      </w:r>
      <w:r>
        <w:rPr>
          <w:lang w:val="en-US" w:eastAsia="zh-CN"/>
        </w:rPr>
        <w:t xml:space="preserve"> </w:t>
      </w:r>
      <m:oMath>
        <m:r>
          <w:rPr>
            <w:rFonts w:ascii="Cambria Math" w:hAnsi="Cambria Math"/>
            <w:lang w:val="en-US" w:eastAsia="zh-CN"/>
          </w:rPr>
          <m:t>b</m:t>
        </m:r>
      </m:oMath>
      <w:r w:rsidRPr="002B30E4">
        <w:rPr>
          <w:iCs/>
          <w:lang w:val="en-US" w:eastAsia="zh-CN"/>
        </w:rPr>
        <w:t xml:space="preserve"> </w:t>
      </w:r>
      <w:r w:rsidRPr="002B30E4">
        <w:rPr>
          <w:lang w:val="en-US" w:eastAsia="zh-CN"/>
        </w:rPr>
        <w:t xml:space="preserve">of carrier </w:t>
      </w:r>
      <m:oMath>
        <m:r>
          <w:rPr>
            <w:rFonts w:ascii="Cambria Math" w:hAnsi="Cambria Math"/>
            <w:lang w:val="en-US" w:eastAsia="zh-CN"/>
          </w:rPr>
          <m:t>f</m:t>
        </m:r>
      </m:oMath>
      <w:r w:rsidRPr="002B30E4">
        <w:rPr>
          <w:iCs/>
          <w:lang w:val="en-US" w:eastAsia="zh-CN"/>
        </w:rPr>
        <w:t xml:space="preserve"> of</w:t>
      </w:r>
      <w:r w:rsidRPr="002B30E4">
        <w:rPr>
          <w:lang w:val="en-US" w:eastAsia="zh-CN"/>
        </w:rPr>
        <w:t xml:space="preserve"> serving cell</w:t>
      </w:r>
    </w:p>
    <w:p w14:paraId="6721C7A9" w14:textId="77777777" w:rsidR="00685C06" w:rsidRPr="002B30E4" w:rsidRDefault="00685C06" w:rsidP="00685C06">
      <w:pPr>
        <w:pStyle w:val="B5"/>
        <w:rPr>
          <w:lang w:val="en-US" w:eastAsia="zh-CN"/>
        </w:rPr>
      </w:pPr>
      <w:r w:rsidRPr="002B30E4">
        <w:rPr>
          <w:lang w:val="en-US" w:eastAsia="zh-CN"/>
        </w:rPr>
        <w:t>-</w:t>
      </w:r>
      <w:r w:rsidRPr="002B30E4">
        <w:rPr>
          <w:lang w:val="en-US" w:eastAsia="zh-CN"/>
        </w:rPr>
        <w:tab/>
        <w:t xml:space="preserve">a first </w:t>
      </w:r>
      <m:oMath>
        <m:r>
          <w:rPr>
            <w:rFonts w:ascii="Cambria Math" w:hAnsi="Cambria Math"/>
            <w:lang w:val="en-US" w:eastAsia="zh-CN"/>
          </w:rPr>
          <m:t>l</m:t>
        </m:r>
      </m:oMath>
      <w:r w:rsidRPr="002B30E4">
        <w:rPr>
          <w:lang w:val="en-US" w:eastAsia="zh-CN"/>
        </w:rPr>
        <w:t xml:space="preserve"> is equal to the value of </w:t>
      </w:r>
      <w:r w:rsidRPr="002B30E4">
        <w:rPr>
          <w:i/>
          <w:lang w:val="en-US" w:eastAsia="zh-CN"/>
        </w:rPr>
        <w:t>powerControlLoopToUse</w:t>
      </w:r>
      <w:r w:rsidRPr="002B30E4">
        <w:rPr>
          <w:lang w:val="en-US" w:eastAsia="zh-CN"/>
        </w:rPr>
        <w:t xml:space="preserve"> in </w:t>
      </w:r>
      <w:r w:rsidRPr="002B30E4">
        <w:rPr>
          <w:i/>
          <w:lang w:val="en-US" w:eastAsia="zh-CN"/>
        </w:rPr>
        <w:t xml:space="preserve">ConfiguredGrantConfig </w:t>
      </w:r>
      <w:r w:rsidRPr="00895227">
        <w:rPr>
          <w:iCs/>
          <w:lang w:val="en-US" w:eastAsia="zh-CN"/>
        </w:rPr>
        <w:t xml:space="preserve">that is associated with the first </w:t>
      </w:r>
      <w:r w:rsidRPr="002B30E4">
        <w:rPr>
          <w:i/>
          <w:iCs/>
          <w:lang w:val="en-US" w:eastAsia="zh-CN"/>
        </w:rPr>
        <w:t>srs-ResourceIndicator</w:t>
      </w:r>
      <w:r w:rsidRPr="002B30E4">
        <w:rPr>
          <w:lang w:val="en-US" w:eastAsia="zh-CN"/>
        </w:rPr>
        <w:t xml:space="preserve"> in </w:t>
      </w:r>
      <w:r w:rsidRPr="002B30E4">
        <w:rPr>
          <w:i/>
          <w:iCs/>
          <w:lang w:val="en-US" w:eastAsia="zh-CN"/>
        </w:rPr>
        <w:t>rrc-ConfiguredUplinkGrant</w:t>
      </w:r>
    </w:p>
    <w:p w14:paraId="15F57BFC" w14:textId="77777777" w:rsidR="00685C06" w:rsidRPr="002B30E4" w:rsidRDefault="00685C06" w:rsidP="00685C06">
      <w:pPr>
        <w:pStyle w:val="B5"/>
        <w:rPr>
          <w:lang w:val="en-US" w:eastAsia="zh-CN"/>
        </w:rPr>
      </w:pPr>
      <w:r w:rsidRPr="002B30E4">
        <w:rPr>
          <w:lang w:val="en-US" w:eastAsia="zh-CN"/>
        </w:rPr>
        <w:t>-</w:t>
      </w:r>
      <w:r w:rsidRPr="002B30E4">
        <w:rPr>
          <w:lang w:val="en-US" w:eastAsia="zh-CN"/>
        </w:rPr>
        <w:tab/>
        <w:t xml:space="preserve">a second </w:t>
      </w:r>
      <m:oMath>
        <m:r>
          <w:rPr>
            <w:rFonts w:ascii="Cambria Math" w:hAnsi="Cambria Math"/>
            <w:lang w:val="en-US" w:eastAsia="zh-CN"/>
          </w:rPr>
          <m:t>l</m:t>
        </m:r>
      </m:oMath>
      <w:r w:rsidRPr="002B30E4">
        <w:rPr>
          <w:lang w:val="en-US" w:eastAsia="zh-CN"/>
        </w:rPr>
        <w:t xml:space="preserve"> is equal to the value of </w:t>
      </w:r>
      <w:r w:rsidRPr="002B30E4">
        <w:rPr>
          <w:i/>
          <w:lang w:val="en-US" w:eastAsia="zh-CN"/>
        </w:rPr>
        <w:t>powerControlLoopToUse2</w:t>
      </w:r>
      <w:r w:rsidRPr="002B30E4">
        <w:rPr>
          <w:lang w:val="en-US" w:eastAsia="zh-CN"/>
        </w:rPr>
        <w:t xml:space="preserve"> in </w:t>
      </w:r>
      <w:r w:rsidRPr="002B30E4">
        <w:rPr>
          <w:i/>
          <w:lang w:val="en-US" w:eastAsia="zh-CN"/>
        </w:rPr>
        <w:t>ConfiguredGrantConfig</w:t>
      </w:r>
      <w:r w:rsidRPr="00895227">
        <w:rPr>
          <w:iCs/>
          <w:lang w:val="en-US" w:eastAsia="zh-CN"/>
        </w:rPr>
        <w:t xml:space="preserve"> that is associated with the second</w:t>
      </w:r>
      <w:r w:rsidRPr="002B30E4">
        <w:rPr>
          <w:i/>
          <w:lang w:val="en-US" w:eastAsia="zh-CN"/>
        </w:rPr>
        <w:t xml:space="preserve"> </w:t>
      </w:r>
      <w:r w:rsidRPr="002B30E4">
        <w:rPr>
          <w:i/>
          <w:iCs/>
          <w:lang w:val="en-US" w:eastAsia="zh-CN"/>
        </w:rPr>
        <w:t>srs-ResourceIndicator</w:t>
      </w:r>
      <w:r w:rsidRPr="002B30E4">
        <w:rPr>
          <w:lang w:val="en-US" w:eastAsia="zh-CN"/>
        </w:rPr>
        <w:t xml:space="preserve"> in </w:t>
      </w:r>
      <w:r w:rsidRPr="002B30E4">
        <w:rPr>
          <w:i/>
          <w:iCs/>
          <w:lang w:val="en-US" w:eastAsia="zh-CN"/>
        </w:rPr>
        <w:t>rrc-ConfiguredUplinkGrant</w:t>
      </w:r>
    </w:p>
    <w:p w14:paraId="05A22102" w14:textId="0B1FCA0E" w:rsidR="00685C06" w:rsidRPr="002B30E4" w:rsidRDefault="00685C06" w:rsidP="00685C06">
      <w:pPr>
        <w:pStyle w:val="B4"/>
        <w:rPr>
          <w:lang w:val="en-US" w:eastAsia="zh-CN"/>
        </w:rPr>
      </w:pPr>
      <w:r w:rsidRPr="002B30E4">
        <w:rPr>
          <w:lang w:val="en-US" w:eastAsia="zh-CN"/>
        </w:rPr>
        <w:lastRenderedPageBreak/>
        <w:t>-</w:t>
      </w:r>
      <w:r w:rsidRPr="002B30E4">
        <w:rPr>
          <w:lang w:val="en-US" w:eastAsia="zh-CN"/>
        </w:rPr>
        <w:tab/>
        <w:t xml:space="preserve">else if the UE is provided </w:t>
      </w:r>
      <w:r w:rsidRPr="002B30E4">
        <w:rPr>
          <w:iCs/>
          <w:lang w:val="en-US" w:eastAsia="zh-CN"/>
        </w:rPr>
        <w:t xml:space="preserve">two SRS resource sets in </w:t>
      </w:r>
      <w:r w:rsidRPr="002B30E4">
        <w:rPr>
          <w:i/>
          <w:lang w:val="en-US" w:eastAsia="zh-CN"/>
        </w:rPr>
        <w:t>srs-ResourceSetToAddModList</w:t>
      </w:r>
      <w:r w:rsidRPr="002B30E4">
        <w:rPr>
          <w:iCs/>
          <w:lang w:val="en-US" w:eastAsia="zh-CN"/>
        </w:rPr>
        <w:t xml:space="preserve"> or </w:t>
      </w:r>
      <w:r w:rsidRPr="002B30E4">
        <w:rPr>
          <w:i/>
          <w:lang w:val="en-US" w:eastAsia="zh-CN"/>
        </w:rPr>
        <w:t>srs-ResourceSetToAddModListDCI-0-2</w:t>
      </w:r>
      <w:r w:rsidRPr="002B30E4">
        <w:rPr>
          <w:iCs/>
          <w:lang w:val="en-US" w:eastAsia="zh-CN"/>
        </w:rPr>
        <w:t xml:space="preserve"> with </w:t>
      </w:r>
      <w:r w:rsidRPr="002B30E4">
        <w:rPr>
          <w:i/>
          <w:lang w:val="en-US" w:eastAsia="zh-CN"/>
        </w:rPr>
        <w:t>usage</w:t>
      </w:r>
      <w:r w:rsidRPr="002B30E4">
        <w:rPr>
          <w:iCs/>
          <w:lang w:val="en-US" w:eastAsia="zh-CN"/>
        </w:rPr>
        <w:t xml:space="preserve"> set to </w:t>
      </w:r>
      <w:r w:rsidR="008D77EB">
        <w:rPr>
          <w:iCs/>
          <w:lang w:val="en-US" w:eastAsia="zh-CN"/>
        </w:rPr>
        <w:t>'</w:t>
      </w:r>
      <w:r w:rsidRPr="002B30E4">
        <w:rPr>
          <w:iCs/>
          <w:lang w:val="en-US" w:eastAsia="zh-CN"/>
        </w:rPr>
        <w:t>codebook</w:t>
      </w:r>
      <w:r w:rsidR="008D77EB">
        <w:rPr>
          <w:iCs/>
          <w:lang w:val="en-US" w:eastAsia="zh-CN"/>
        </w:rPr>
        <w:t>'</w:t>
      </w:r>
      <w:r w:rsidRPr="002B30E4">
        <w:rPr>
          <w:iCs/>
          <w:lang w:val="en-US" w:eastAsia="zh-CN"/>
        </w:rPr>
        <w:t xml:space="preserve"> or </w:t>
      </w:r>
      <w:r w:rsidR="008D77EB">
        <w:rPr>
          <w:iCs/>
          <w:lang w:val="en-US" w:eastAsia="zh-CN"/>
        </w:rPr>
        <w:t>'</w:t>
      </w:r>
      <w:r w:rsidRPr="002B30E4">
        <w:rPr>
          <w:iCs/>
          <w:lang w:val="en-US" w:eastAsia="zh-CN"/>
        </w:rPr>
        <w:t>nonCodebook</w:t>
      </w:r>
      <w:r w:rsidR="008D77EB">
        <w:rPr>
          <w:iCs/>
          <w:lang w:val="en-US" w:eastAsia="zh-CN"/>
        </w:rPr>
        <w:t>'</w:t>
      </w:r>
      <w:r w:rsidRPr="002B30E4">
        <w:rPr>
          <w:iCs/>
          <w:lang w:val="en-US" w:eastAsia="zh-CN"/>
        </w:rPr>
        <w:t xml:space="preserve"> and is provided </w:t>
      </w:r>
      <w:r w:rsidRPr="002B30E4">
        <w:rPr>
          <w:i/>
          <w:lang w:val="en-US" w:eastAsia="zh-CN"/>
        </w:rPr>
        <w:t>p0-PUSCH-Alpha2</w:t>
      </w:r>
      <w:r w:rsidRPr="002B30E4">
        <w:rPr>
          <w:lang w:val="en-US" w:eastAsia="zh-CN"/>
        </w:rPr>
        <w:t xml:space="preserve">, for a retransmission of a configured grant Type 1 PUSCH, or for activation or retransmission of a configured grant Type 2 PUSCH, scheduled by a DCI format 0_0 and for active UL BWP </w:t>
      </w:r>
      <m:oMath>
        <m:r>
          <w:rPr>
            <w:rFonts w:ascii="Cambria Math" w:hAnsi="Cambria Math"/>
            <w:lang w:val="en-US" w:eastAsia="zh-CN"/>
          </w:rPr>
          <m:t>b</m:t>
        </m:r>
      </m:oMath>
      <w:r w:rsidRPr="002B30E4">
        <w:rPr>
          <w:iCs/>
          <w:lang w:val="en-US" w:eastAsia="zh-CN"/>
        </w:rPr>
        <w:t xml:space="preserve"> </w:t>
      </w:r>
      <w:r w:rsidRPr="002B30E4">
        <w:rPr>
          <w:lang w:val="en-US" w:eastAsia="zh-CN"/>
        </w:rPr>
        <w:t xml:space="preserve">of carrier </w:t>
      </w:r>
      <m:oMath>
        <m:r>
          <w:rPr>
            <w:rFonts w:ascii="Cambria Math" w:hAnsi="Cambria Math"/>
            <w:lang w:val="en-US" w:eastAsia="zh-CN"/>
          </w:rPr>
          <m:t>f</m:t>
        </m:r>
      </m:oMath>
      <w:r w:rsidRPr="002B30E4">
        <w:rPr>
          <w:iCs/>
          <w:lang w:val="en-US" w:eastAsia="zh-CN"/>
        </w:rPr>
        <w:t xml:space="preserve"> of</w:t>
      </w:r>
      <w:r w:rsidRPr="002B30E4">
        <w:rPr>
          <w:lang w:val="en-US" w:eastAsia="zh-CN"/>
        </w:rPr>
        <w:t xml:space="preserve"> serving cell </w:t>
      </w:r>
    </w:p>
    <w:p w14:paraId="5EB70156" w14:textId="6B675A54" w:rsidR="00685C06" w:rsidRPr="00685C06" w:rsidRDefault="00685C06" w:rsidP="002104E0">
      <w:pPr>
        <w:pStyle w:val="B5"/>
        <w:rPr>
          <w:lang w:val="en-US" w:eastAsia="zh-CN"/>
        </w:rPr>
      </w:pPr>
      <w:r w:rsidRPr="002B30E4">
        <w:rPr>
          <w:lang w:val="en-US" w:eastAsia="zh-CN"/>
        </w:rPr>
        <w:t>-</w:t>
      </w:r>
      <w:r w:rsidRPr="002B30E4">
        <w:rPr>
          <w:lang w:val="en-US" w:eastAsia="zh-CN"/>
        </w:rPr>
        <w:tab/>
      </w:r>
      <m:oMath>
        <m:r>
          <w:rPr>
            <w:rFonts w:ascii="Cambria Math" w:hAnsi="Cambria Math"/>
            <w:lang w:val="en-US" w:eastAsia="zh-CN"/>
          </w:rPr>
          <m:t>l</m:t>
        </m:r>
      </m:oMath>
      <w:r w:rsidRPr="002B30E4">
        <w:rPr>
          <w:lang w:val="en-US" w:eastAsia="zh-CN"/>
        </w:rPr>
        <w:t xml:space="preserve"> is equal to the value of </w:t>
      </w:r>
      <w:r w:rsidRPr="002B30E4">
        <w:rPr>
          <w:i/>
          <w:lang w:val="en-US" w:eastAsia="zh-CN"/>
        </w:rPr>
        <w:t>powerControlLoopToUse</w:t>
      </w:r>
      <w:r w:rsidRPr="002B30E4">
        <w:rPr>
          <w:lang w:val="en-US" w:eastAsia="zh-CN"/>
        </w:rPr>
        <w:t xml:space="preserve"> in </w:t>
      </w:r>
      <w:r w:rsidRPr="002B30E4">
        <w:rPr>
          <w:i/>
          <w:lang w:val="en-US" w:eastAsia="zh-CN"/>
        </w:rPr>
        <w:t>ConfiguredGrantConfig</w:t>
      </w:r>
    </w:p>
    <w:p w14:paraId="0F6BCD3D" w14:textId="1E7D7C0B" w:rsidR="001E3B1A" w:rsidRDefault="001E3B1A" w:rsidP="0009732E">
      <w:pPr>
        <w:pStyle w:val="B4"/>
      </w:pPr>
      <w:r>
        <w:rPr>
          <w:lang w:val="en-US"/>
        </w:rPr>
        <w:t>-</w:t>
      </w:r>
      <w:r w:rsidR="00F31749">
        <w:rPr>
          <w:lang w:val="en-US"/>
        </w:rPr>
        <w:tab/>
      </w:r>
      <w:r w:rsidR="00EB1C37" w:rsidRPr="00F415B1">
        <w:rPr>
          <w:lang w:val="en-US"/>
        </w:rPr>
        <w:t>else, for</w:t>
      </w:r>
      <w:r w:rsidRPr="00B916EC">
        <w:rPr>
          <w:lang w:val="en-US"/>
        </w:rPr>
        <w:t xml:space="preserve"> a </w:t>
      </w:r>
      <w:r w:rsidRPr="00B916EC">
        <w:rPr>
          <w:rFonts w:eastAsia="Malgun Gothic" w:hint="eastAsia"/>
        </w:rPr>
        <w:t xml:space="preserve">PUSCH </w:t>
      </w:r>
      <w:r w:rsidRPr="00B916EC">
        <w:rPr>
          <w:rFonts w:eastAsia="Malgun Gothic"/>
          <w:lang w:val="en-US"/>
        </w:rPr>
        <w:t>(re)</w:t>
      </w:r>
      <w:r w:rsidRPr="00B916EC">
        <w:rPr>
          <w:rFonts w:eastAsia="Malgun Gothic" w:hint="eastAsia"/>
        </w:rPr>
        <w:t xml:space="preserve">transmission </w:t>
      </w:r>
      <w:r w:rsidR="00BE7792">
        <w:rPr>
          <w:rFonts w:eastAsia="Malgun Gothic"/>
          <w:lang w:val="en-US"/>
        </w:rPr>
        <w:t xml:space="preserve">configured by </w:t>
      </w:r>
      <w:r w:rsidR="00BE7792" w:rsidRPr="00692B06">
        <w:rPr>
          <w:i/>
        </w:rPr>
        <w:t>ConfiguredGrantConfig</w:t>
      </w:r>
      <w:r w:rsidRPr="00B916EC">
        <w:rPr>
          <w:rFonts w:eastAsia="Malgun Gothic"/>
          <w:lang w:val="en-US"/>
        </w:rPr>
        <w:t xml:space="preserve">, the value of </w:t>
      </w:r>
      <m:oMath>
        <m:r>
          <w:rPr>
            <w:rFonts w:ascii="Cambria Math" w:hAnsi="Cambria Math"/>
            <w:lang w:val="en-US"/>
          </w:rPr>
          <m:t>l∈</m:t>
        </m:r>
        <m:d>
          <m:dPr>
            <m:begChr m:val="{"/>
            <m:endChr m:val="}"/>
            <m:ctrlPr>
              <w:rPr>
                <w:rFonts w:ascii="Cambria Math" w:hAnsi="Cambria Math"/>
                <w:i/>
                <w:lang w:val="en-US"/>
              </w:rPr>
            </m:ctrlPr>
          </m:dPr>
          <m:e>
            <m:r>
              <w:rPr>
                <w:rFonts w:ascii="Cambria Math" w:hAnsi="Cambria Math"/>
                <w:lang w:val="en-US"/>
              </w:rPr>
              <m:t>0,1</m:t>
            </m:r>
          </m:e>
        </m:d>
      </m:oMath>
      <w:r w:rsidRPr="00B916EC">
        <w:rPr>
          <w:lang w:val="en-US"/>
        </w:rPr>
        <w:t xml:space="preserve"> is provided to the UE by </w:t>
      </w:r>
      <w:r w:rsidR="00BE7792" w:rsidRPr="003C1F40">
        <w:rPr>
          <w:i/>
        </w:rPr>
        <w:t>powerControlLoopToUse</w:t>
      </w:r>
      <w:r w:rsidR="00EB1C37" w:rsidRPr="00F415B1">
        <w:rPr>
          <w:lang w:val="en-US"/>
        </w:rPr>
        <w:t xml:space="preserve"> in </w:t>
      </w:r>
      <w:r w:rsidR="00EB1C37" w:rsidRPr="00F415B1">
        <w:rPr>
          <w:i/>
        </w:rPr>
        <w:t>ConfiguredGrantConfig</w:t>
      </w:r>
      <w:r w:rsidR="00EB1C37" w:rsidRPr="00F415B1">
        <w:t>.</w:t>
      </w:r>
    </w:p>
    <w:p w14:paraId="206E6ACA" w14:textId="00655830" w:rsidR="00EB1C37" w:rsidRPr="00F415B1" w:rsidRDefault="00EB1C37" w:rsidP="002104E0">
      <w:pPr>
        <w:pStyle w:val="B4"/>
      </w:pPr>
      <w:r w:rsidRPr="00F415B1">
        <w:rPr>
          <w:lang w:eastAsia="zh-CN"/>
        </w:rPr>
        <w:t>-</w:t>
      </w:r>
      <w:r w:rsidRPr="00F415B1">
        <w:rPr>
          <w:lang w:eastAsia="zh-CN"/>
        </w:rPr>
        <w:tab/>
        <w:t xml:space="preserve">If the UE is provided </w:t>
      </w:r>
      <w:r w:rsidRPr="00F415B1">
        <w:rPr>
          <w:iCs/>
        </w:rPr>
        <w:t xml:space="preserve">two SRS resource sets in </w:t>
      </w:r>
      <w:r w:rsidRPr="00F415B1">
        <w:rPr>
          <w:i/>
        </w:rPr>
        <w:t>srs-ResourceSetToAddModList</w:t>
      </w:r>
      <w:r w:rsidRPr="00F415B1">
        <w:rPr>
          <w:iCs/>
        </w:rPr>
        <w:t xml:space="preserve"> or </w:t>
      </w:r>
      <w:r w:rsidRPr="00F415B1">
        <w:rPr>
          <w:i/>
        </w:rPr>
        <w:t>srs-ResourceSetToAddModListDCI-0-2</w:t>
      </w:r>
      <w:r w:rsidRPr="00F415B1">
        <w:rPr>
          <w:iCs/>
        </w:rPr>
        <w:t xml:space="preserve"> with </w:t>
      </w:r>
      <w:r w:rsidRPr="00F415B1">
        <w:rPr>
          <w:i/>
        </w:rPr>
        <w:t>usage</w:t>
      </w:r>
      <w:r w:rsidRPr="00F415B1">
        <w:rPr>
          <w:iCs/>
        </w:rPr>
        <w:t xml:space="preserve"> set to </w:t>
      </w:r>
      <w:r w:rsidR="005E3B15">
        <w:rPr>
          <w:iCs/>
        </w:rPr>
        <w:t>'</w:t>
      </w:r>
      <w:r w:rsidRPr="00F415B1">
        <w:rPr>
          <w:iCs/>
        </w:rPr>
        <w:t>codebook</w:t>
      </w:r>
      <w:r w:rsidR="005E3B15">
        <w:rPr>
          <w:iCs/>
        </w:rPr>
        <w:t>'</w:t>
      </w:r>
      <w:r w:rsidRPr="00F415B1">
        <w:rPr>
          <w:iCs/>
        </w:rPr>
        <w:t>,</w:t>
      </w:r>
      <w:r w:rsidRPr="00F415B1">
        <w:t xml:space="preserve"> is provided </w:t>
      </w:r>
      <w:r w:rsidRPr="00F415B1">
        <w:rPr>
          <w:i/>
        </w:rPr>
        <w:t>SRI-PUSCH-PowerControl</w:t>
      </w:r>
      <w:r w:rsidRPr="00F415B1">
        <w:t>, and a DCI format scheduling the PUSCH transmission includes two SRI fields, the UE obtains a mapping</w:t>
      </w:r>
      <w:r w:rsidRPr="00F415B1">
        <w:rPr>
          <w:lang w:val="en-US"/>
        </w:rPr>
        <w:t xml:space="preserve"> from </w:t>
      </w:r>
      <w:r w:rsidRPr="00F415B1">
        <w:rPr>
          <w:i/>
        </w:rPr>
        <w:t>sri-PUSCH-PowerControlId</w:t>
      </w:r>
      <w:r w:rsidRPr="00F415B1">
        <w:t xml:space="preserve"> </w:t>
      </w:r>
      <w:r w:rsidRPr="00F415B1">
        <w:rPr>
          <w:lang w:val="en-US"/>
        </w:rPr>
        <w:t xml:space="preserve">in </w:t>
      </w:r>
      <w:r w:rsidRPr="00F415B1">
        <w:rPr>
          <w:i/>
        </w:rPr>
        <w:t>SRI-PUSCH-PowerControl</w:t>
      </w:r>
      <w:r w:rsidRPr="00F415B1">
        <w:t xml:space="preserve"> between a set of values for</w:t>
      </w:r>
      <w:r w:rsidRPr="00F415B1" w:rsidDel="005C1D8D">
        <w:t xml:space="preserve"> </w:t>
      </w:r>
      <w:r w:rsidRPr="00F415B1">
        <w:rPr>
          <w:lang w:val="x-none"/>
        </w:rPr>
        <w:t xml:space="preserve">the first and second SRI fields and the </w:t>
      </w:r>
      <m:oMath>
        <m:r>
          <w:rPr>
            <w:rFonts w:ascii="Cambria Math" w:hAnsi="Cambria Math"/>
            <w:lang w:val="en-US"/>
          </w:rPr>
          <m:t>l</m:t>
        </m:r>
      </m:oMath>
      <w:r w:rsidRPr="00F415B1">
        <w:rPr>
          <w:rFonts w:eastAsiaTheme="minorEastAsia" w:hint="eastAsia"/>
          <w:lang w:val="en-US" w:eastAsia="ko-KR"/>
        </w:rPr>
        <w:t xml:space="preserve"> values </w:t>
      </w:r>
      <w:r w:rsidRPr="00F415B1">
        <w:rPr>
          <w:rFonts w:eastAsiaTheme="minorEastAsia"/>
          <w:lang w:val="en-US" w:eastAsia="ko-KR"/>
        </w:rPr>
        <w:t>provided</w:t>
      </w:r>
      <w:r w:rsidRPr="00F415B1">
        <w:rPr>
          <w:rFonts w:eastAsiaTheme="minorEastAsia" w:hint="eastAsia"/>
          <w:lang w:val="en-US" w:eastAsia="ko-KR"/>
        </w:rPr>
        <w:t xml:space="preserve"> </w:t>
      </w:r>
      <w:r w:rsidRPr="00F415B1">
        <w:rPr>
          <w:rFonts w:eastAsiaTheme="minorEastAsia"/>
          <w:lang w:val="en-US" w:eastAsia="ko-KR"/>
        </w:rPr>
        <w:t xml:space="preserve">by </w:t>
      </w:r>
      <w:r w:rsidRPr="00F415B1">
        <w:rPr>
          <w:i/>
        </w:rPr>
        <w:t>sri-PUSCH-ClosedLoopIndex</w:t>
      </w:r>
      <w:r w:rsidRPr="00F415B1">
        <w:rPr>
          <w:lang w:val="x-none"/>
        </w:rPr>
        <w:t xml:space="preserve">, and </w:t>
      </w:r>
      <w:r w:rsidRPr="00F415B1">
        <w:t xml:space="preserve">determines the </w:t>
      </w:r>
      <m:oMath>
        <m:r>
          <w:rPr>
            <w:rFonts w:ascii="Cambria Math" w:hAnsi="Cambria Math"/>
            <w:lang w:val="en-US"/>
          </w:rPr>
          <m:t>l</m:t>
        </m:r>
      </m:oMath>
      <w:r w:rsidRPr="00F415B1">
        <w:rPr>
          <w:i/>
        </w:rPr>
        <w:t xml:space="preserve"> </w:t>
      </w:r>
      <w:r w:rsidRPr="00F415B1">
        <w:rPr>
          <w:iCs/>
        </w:rPr>
        <w:t xml:space="preserve">values mapped to the values of the first and second SRI fields corresponding to each SRS resource set with </w:t>
      </w:r>
      <w:r w:rsidRPr="00F415B1">
        <w:rPr>
          <w:i/>
        </w:rPr>
        <w:t>usage</w:t>
      </w:r>
      <w:r w:rsidRPr="00F415B1">
        <w:rPr>
          <w:iCs/>
        </w:rPr>
        <w:t xml:space="preserve"> set to </w:t>
      </w:r>
      <w:r w:rsidR="005E3B15">
        <w:rPr>
          <w:iCs/>
        </w:rPr>
        <w:t>'</w:t>
      </w:r>
      <w:r w:rsidRPr="00F415B1">
        <w:rPr>
          <w:iCs/>
        </w:rPr>
        <w:t>codebook</w:t>
      </w:r>
      <w:r w:rsidR="005E3B15">
        <w:rPr>
          <w:iCs/>
        </w:rPr>
        <w:t>'</w:t>
      </w:r>
      <w:r w:rsidRPr="00F415B1">
        <w:rPr>
          <w:iCs/>
        </w:rPr>
        <w:t>, respectively</w:t>
      </w:r>
    </w:p>
    <w:p w14:paraId="4703954F" w14:textId="2E0E1738" w:rsidR="00EB1C37" w:rsidRPr="00F415B1" w:rsidRDefault="00EB1C37" w:rsidP="002104E0">
      <w:pPr>
        <w:pStyle w:val="B4"/>
        <w:rPr>
          <w:iCs/>
        </w:rPr>
      </w:pPr>
      <w:r w:rsidRPr="00F415B1">
        <w:rPr>
          <w:lang w:eastAsia="zh-CN"/>
        </w:rPr>
        <w:t>-</w:t>
      </w:r>
      <w:r w:rsidRPr="00F415B1">
        <w:rPr>
          <w:lang w:eastAsia="zh-CN"/>
        </w:rPr>
        <w:tab/>
        <w:t xml:space="preserve">If the UE is provided </w:t>
      </w:r>
      <w:r w:rsidRPr="00F415B1">
        <w:rPr>
          <w:iCs/>
        </w:rPr>
        <w:t xml:space="preserve">two SRS resource sets in </w:t>
      </w:r>
      <w:r w:rsidRPr="00F415B1">
        <w:rPr>
          <w:i/>
        </w:rPr>
        <w:t>srs-ResourceSetToAddModList</w:t>
      </w:r>
      <w:r w:rsidRPr="00F415B1">
        <w:rPr>
          <w:iCs/>
        </w:rPr>
        <w:t xml:space="preserve"> or </w:t>
      </w:r>
      <w:r w:rsidRPr="00F415B1">
        <w:rPr>
          <w:i/>
        </w:rPr>
        <w:t>srs-ResourceSetToAddModListDCI-0-2</w:t>
      </w:r>
      <w:r w:rsidRPr="00F415B1">
        <w:rPr>
          <w:iCs/>
        </w:rPr>
        <w:t xml:space="preserve"> with </w:t>
      </w:r>
      <w:r w:rsidRPr="00F415B1">
        <w:rPr>
          <w:i/>
        </w:rPr>
        <w:t>usage</w:t>
      </w:r>
      <w:r w:rsidRPr="00F415B1">
        <w:rPr>
          <w:iCs/>
        </w:rPr>
        <w:t xml:space="preserve"> set to </w:t>
      </w:r>
      <w:r w:rsidR="005E3B15">
        <w:rPr>
          <w:iCs/>
        </w:rPr>
        <w:t>'</w:t>
      </w:r>
      <w:r w:rsidRPr="00F415B1">
        <w:rPr>
          <w:iCs/>
        </w:rPr>
        <w:t>nonCodebook</w:t>
      </w:r>
      <w:r w:rsidR="005E3B15">
        <w:rPr>
          <w:iCs/>
        </w:rPr>
        <w:t>'</w:t>
      </w:r>
      <w:r w:rsidRPr="00F415B1">
        <w:rPr>
          <w:iCs/>
        </w:rPr>
        <w:t>,</w:t>
      </w:r>
      <w:r w:rsidRPr="00F415B1">
        <w:t xml:space="preserve"> is provided </w:t>
      </w:r>
      <w:r w:rsidRPr="00F415B1">
        <w:rPr>
          <w:i/>
        </w:rPr>
        <w:t>SRI-PUSCH-PowerControl</w:t>
      </w:r>
      <w:r w:rsidRPr="00F415B1">
        <w:t>, and a DCI format scheduling the PUSCH transmission includes two SRI fields,</w:t>
      </w:r>
      <w:r w:rsidRPr="00F415B1">
        <w:rPr>
          <w:lang w:val="x-none"/>
        </w:rPr>
        <w:tab/>
      </w:r>
      <w:r w:rsidRPr="00F415B1">
        <w:t>the UE obtains a mapping</w:t>
      </w:r>
      <w:r w:rsidRPr="00F415B1">
        <w:rPr>
          <w:lang w:val="en-US"/>
        </w:rPr>
        <w:t xml:space="preserve"> from </w:t>
      </w:r>
      <w:r w:rsidRPr="00F415B1">
        <w:rPr>
          <w:i/>
        </w:rPr>
        <w:t>sri-PUSCH-PowerControlId</w:t>
      </w:r>
      <w:r w:rsidRPr="00F415B1">
        <w:t xml:space="preserve"> </w:t>
      </w:r>
      <w:r w:rsidRPr="00F415B1">
        <w:rPr>
          <w:lang w:val="en-US"/>
        </w:rPr>
        <w:t xml:space="preserve">in </w:t>
      </w:r>
      <w:r w:rsidRPr="00F415B1">
        <w:rPr>
          <w:i/>
        </w:rPr>
        <w:t>SRI-PUSCH-PowerControl</w:t>
      </w:r>
      <w:r w:rsidRPr="00F415B1">
        <w:t xml:space="preserve"> between a set of values for</w:t>
      </w:r>
      <w:r w:rsidRPr="00F415B1" w:rsidDel="005C1D8D">
        <w:t xml:space="preserve"> </w:t>
      </w:r>
    </w:p>
    <w:p w14:paraId="6F83CDF0" w14:textId="4EE595F5" w:rsidR="00EB1C37" w:rsidRPr="00F415B1" w:rsidRDefault="00EB1C37" w:rsidP="002104E0">
      <w:pPr>
        <w:pStyle w:val="B5"/>
      </w:pPr>
      <w:r w:rsidRPr="00F415B1">
        <w:rPr>
          <w:lang w:val="x-none"/>
        </w:rPr>
        <w:t>-</w:t>
      </w:r>
      <w:r w:rsidRPr="00F415B1">
        <w:rPr>
          <w:lang w:val="x-none"/>
        </w:rPr>
        <w:tab/>
      </w:r>
      <w:r w:rsidRPr="00F415B1">
        <w:rPr>
          <w:iCs/>
        </w:rPr>
        <w:t>the first SRI field value and</w:t>
      </w:r>
      <w:r w:rsidRPr="00F415B1">
        <w:t xml:space="preserve"> the </w:t>
      </w:r>
      <m:oMath>
        <m:r>
          <w:rPr>
            <w:rFonts w:ascii="Cambria Math" w:hAnsi="Cambria Math"/>
            <w:lang w:val="en-US"/>
          </w:rPr>
          <m:t>l</m:t>
        </m:r>
      </m:oMath>
      <w:r w:rsidRPr="00F415B1">
        <w:t xml:space="preserve"> values provided by </w:t>
      </w:r>
      <w:r w:rsidRPr="00F415B1">
        <w:rPr>
          <w:i/>
        </w:rPr>
        <w:t>sri-PUSCH-ClosedLoopIndex</w:t>
      </w:r>
      <w:r w:rsidRPr="00F415B1">
        <w:t xml:space="preserve">, and determines the </w:t>
      </w:r>
      <m:oMath>
        <m:r>
          <w:rPr>
            <w:rFonts w:ascii="Cambria Math" w:hAnsi="Cambria Math"/>
            <w:lang w:val="en-US"/>
          </w:rPr>
          <m:t>l</m:t>
        </m:r>
      </m:oMath>
      <w:r w:rsidRPr="00F415B1">
        <w:t xml:space="preserve"> value that is mapped to the first SRI field value corresponding to the first SRS resource set </w:t>
      </w:r>
      <w:r w:rsidRPr="00F415B1">
        <w:rPr>
          <w:iCs/>
        </w:rPr>
        <w:t xml:space="preserve">with </w:t>
      </w:r>
      <w:r w:rsidRPr="00F415B1">
        <w:rPr>
          <w:i/>
        </w:rPr>
        <w:t>usage</w:t>
      </w:r>
      <w:r w:rsidRPr="00F415B1">
        <w:rPr>
          <w:iCs/>
        </w:rPr>
        <w:t xml:space="preserve"> set to </w:t>
      </w:r>
      <w:r w:rsidR="005E3B15">
        <w:rPr>
          <w:iCs/>
        </w:rPr>
        <w:t>'</w:t>
      </w:r>
      <w:r w:rsidRPr="00F415B1">
        <w:rPr>
          <w:iCs/>
        </w:rPr>
        <w:t>nonCodebook</w:t>
      </w:r>
      <w:r w:rsidR="005E3B15">
        <w:rPr>
          <w:iCs/>
        </w:rPr>
        <w:t>'</w:t>
      </w:r>
      <w:r w:rsidRPr="00F415B1">
        <w:t>, and</w:t>
      </w:r>
    </w:p>
    <w:p w14:paraId="787F0B42" w14:textId="77777777" w:rsidR="002D290A" w:rsidRPr="0046408A" w:rsidRDefault="00EB1C37" w:rsidP="002D290A">
      <w:pPr>
        <w:pStyle w:val="B5"/>
        <w:rPr>
          <w:iCs/>
        </w:rPr>
      </w:pPr>
      <w:r w:rsidRPr="00F415B1">
        <w:rPr>
          <w:lang w:val="x-none"/>
        </w:rPr>
        <w:t>-</w:t>
      </w:r>
      <w:r w:rsidRPr="00F415B1">
        <w:rPr>
          <w:lang w:val="x-none"/>
        </w:rPr>
        <w:tab/>
      </w:r>
      <w:r w:rsidRPr="00F415B1">
        <w:t xml:space="preserve">the value, </w:t>
      </w:r>
      <w:r w:rsidRPr="00F415B1">
        <w:rPr>
          <w:iCs/>
        </w:rPr>
        <w:t xml:space="preserve">associated with the second SRI field value </w:t>
      </w:r>
      <w:r w:rsidRPr="00F415B1">
        <w:t xml:space="preserve">corresponding to </w:t>
      </w:r>
      <w:r w:rsidRPr="00F415B1">
        <w:rPr>
          <w:rFonts w:hint="eastAsia"/>
          <w:lang w:eastAsia="zh-CN"/>
        </w:rPr>
        <w:t>Tables 7.3.1.1.2-28/29/30/31</w:t>
      </w:r>
      <w:r w:rsidRPr="00F415B1">
        <w:rPr>
          <w:lang w:eastAsia="zh-CN"/>
        </w:rPr>
        <w:t xml:space="preserve"> of </w:t>
      </w:r>
      <w:r w:rsidRPr="00F415B1">
        <w:t xml:space="preserve">[5, TS 38.212] </w:t>
      </w:r>
      <w:r w:rsidRPr="00F415B1">
        <w:rPr>
          <w:iCs/>
        </w:rPr>
        <w:t xml:space="preserve">for a same number of layers as indicated by the first SRI field </w:t>
      </w:r>
      <w:r w:rsidRPr="00F415B1">
        <w:t xml:space="preserve">value, and the </w:t>
      </w:r>
      <m:oMath>
        <m:r>
          <w:rPr>
            <w:rFonts w:ascii="Cambria Math" w:hAnsi="Cambria Math"/>
            <w:lang w:val="en-US"/>
          </w:rPr>
          <m:t>l</m:t>
        </m:r>
      </m:oMath>
      <w:r w:rsidRPr="00F415B1">
        <w:t xml:space="preserve"> value(s) provided by </w:t>
      </w:r>
      <w:r w:rsidRPr="00F415B1">
        <w:rPr>
          <w:i/>
        </w:rPr>
        <w:t>sri-PUSCH-ClosedLoopIndex</w:t>
      </w:r>
      <w:r w:rsidRPr="00F415B1">
        <w:rPr>
          <w:iCs/>
        </w:rPr>
        <w:t xml:space="preserve">, </w:t>
      </w:r>
      <w:r w:rsidRPr="00F415B1">
        <w:t xml:space="preserve">and determines the </w:t>
      </w:r>
      <m:oMath>
        <m:r>
          <w:rPr>
            <w:rFonts w:ascii="Cambria Math" w:hAnsi="Cambria Math"/>
            <w:lang w:val="en-US"/>
          </w:rPr>
          <m:t>l</m:t>
        </m:r>
      </m:oMath>
      <w:r w:rsidRPr="00F415B1">
        <w:t xml:space="preserve"> value that is mapped to the</w:t>
      </w:r>
      <w:r w:rsidRPr="00F415B1">
        <w:rPr>
          <w:iCs/>
        </w:rPr>
        <w:t xml:space="preserve"> value corresponding to the second SRS resource set </w:t>
      </w:r>
      <w:r w:rsidRPr="00F415B1">
        <w:rPr>
          <w:lang w:val="en-US"/>
        </w:rPr>
        <w:t xml:space="preserve">with </w:t>
      </w:r>
      <w:r w:rsidRPr="00F415B1">
        <w:rPr>
          <w:i/>
        </w:rPr>
        <w:t>usage</w:t>
      </w:r>
      <w:r w:rsidRPr="00F415B1">
        <w:rPr>
          <w:iCs/>
        </w:rPr>
        <w:t xml:space="preserve"> set to </w:t>
      </w:r>
      <w:r w:rsidR="005E3B15">
        <w:rPr>
          <w:iCs/>
        </w:rPr>
        <w:t>'</w:t>
      </w:r>
      <w:r w:rsidRPr="00F415B1">
        <w:rPr>
          <w:iCs/>
        </w:rPr>
        <w:t>nonCodebook</w:t>
      </w:r>
      <w:r w:rsidR="005E3B15">
        <w:rPr>
          <w:iCs/>
        </w:rPr>
        <w:t>'</w:t>
      </w:r>
    </w:p>
    <w:p w14:paraId="10C919A0" w14:textId="1A20D459" w:rsidR="00EB1C37" w:rsidRPr="00F415B1" w:rsidRDefault="00EB1C37" w:rsidP="002104E0">
      <w:pPr>
        <w:pStyle w:val="B4"/>
      </w:pPr>
      <w:r w:rsidRPr="00F415B1">
        <w:rPr>
          <w:lang w:eastAsia="zh-CN"/>
        </w:rPr>
        <w:t>-</w:t>
      </w:r>
      <w:r w:rsidRPr="00F415B1">
        <w:rPr>
          <w:lang w:eastAsia="zh-CN"/>
        </w:rPr>
        <w:tab/>
        <w:t xml:space="preserve">If the UE is provided </w:t>
      </w:r>
      <w:r w:rsidRPr="00F415B1">
        <w:rPr>
          <w:iCs/>
        </w:rPr>
        <w:t xml:space="preserve">two SRS resource sets in </w:t>
      </w:r>
      <w:r w:rsidRPr="00F415B1">
        <w:rPr>
          <w:i/>
        </w:rPr>
        <w:t>srs-ResourceSetToAddModList</w:t>
      </w:r>
      <w:r w:rsidRPr="00F415B1">
        <w:rPr>
          <w:iCs/>
        </w:rPr>
        <w:t xml:space="preserve"> or </w:t>
      </w:r>
      <w:r w:rsidRPr="00F415B1">
        <w:rPr>
          <w:i/>
        </w:rPr>
        <w:t>srs-ResourceSetToAddModListDCI-0-2</w:t>
      </w:r>
      <w:r w:rsidRPr="00F415B1">
        <w:rPr>
          <w:iCs/>
        </w:rPr>
        <w:t xml:space="preserve"> with </w:t>
      </w:r>
      <w:r w:rsidRPr="00F415B1">
        <w:rPr>
          <w:i/>
        </w:rPr>
        <w:t>usage</w:t>
      </w:r>
      <w:r w:rsidRPr="00F415B1">
        <w:rPr>
          <w:iCs/>
        </w:rPr>
        <w:t xml:space="preserve"> set to </w:t>
      </w:r>
      <w:r w:rsidR="005E3B15">
        <w:rPr>
          <w:iCs/>
        </w:rPr>
        <w:t>'</w:t>
      </w:r>
      <w:r w:rsidRPr="00F415B1">
        <w:rPr>
          <w:iCs/>
        </w:rPr>
        <w:t>codebook</w:t>
      </w:r>
      <w:r w:rsidR="005E3B15">
        <w:rPr>
          <w:iCs/>
        </w:rPr>
        <w:t>'</w:t>
      </w:r>
      <w:r w:rsidRPr="00F415B1">
        <w:rPr>
          <w:iCs/>
        </w:rPr>
        <w:t xml:space="preserve"> or </w:t>
      </w:r>
      <w:r w:rsidR="005E3B15">
        <w:rPr>
          <w:iCs/>
        </w:rPr>
        <w:t>'</w:t>
      </w:r>
      <w:r w:rsidRPr="00F415B1">
        <w:rPr>
          <w:iCs/>
        </w:rPr>
        <w:t>nonCodebook</w:t>
      </w:r>
      <w:r w:rsidR="005E3B15">
        <w:rPr>
          <w:iCs/>
        </w:rPr>
        <w:t>'</w:t>
      </w:r>
      <w:r w:rsidRPr="00F415B1">
        <w:rPr>
          <w:iCs/>
        </w:rPr>
        <w:t>,</w:t>
      </w:r>
      <w:r w:rsidRPr="00F415B1">
        <w:t xml:space="preserve"> is provided </w:t>
      </w:r>
      <w:r w:rsidRPr="00F415B1">
        <w:rPr>
          <w:i/>
        </w:rPr>
        <w:t>SRI-PUSCH-PowerControl</w:t>
      </w:r>
      <w:r w:rsidRPr="00F415B1">
        <w:t>, and a DCI format scheduling the PUSCH transmission does not include an SRI field</w:t>
      </w:r>
    </w:p>
    <w:p w14:paraId="0DE8D94F" w14:textId="77777777" w:rsidR="00EB1C37" w:rsidRPr="00F415B1" w:rsidRDefault="00EB1C37" w:rsidP="002104E0">
      <w:pPr>
        <w:pStyle w:val="B5"/>
      </w:pPr>
      <w:r w:rsidRPr="00F415B1">
        <w:rPr>
          <w:lang w:val="x-none"/>
        </w:rPr>
        <w:t>-</w:t>
      </w:r>
      <w:r w:rsidRPr="00F415B1">
        <w:rPr>
          <w:lang w:val="x-none"/>
        </w:rPr>
        <w:tab/>
      </w:r>
      <w:r w:rsidRPr="00F415B1">
        <w:rPr>
          <w:rFonts w:eastAsia="DengXian"/>
          <w:lang w:eastAsia="zh-CN"/>
        </w:rPr>
        <w:t>If</w:t>
      </w:r>
      <w:r w:rsidRPr="00F415B1">
        <w:rPr>
          <w:rFonts w:eastAsia="DengXian"/>
        </w:rPr>
        <w:t xml:space="preserve"> the UE is provided </w:t>
      </w:r>
      <w:r w:rsidRPr="00F415B1">
        <w:t>twoPUSCH-PC-AdjustmentStates</w:t>
      </w:r>
    </w:p>
    <w:p w14:paraId="38E5586F" w14:textId="3A46E604" w:rsidR="00EB1C37" w:rsidRPr="00F415B1" w:rsidRDefault="00EB1C37" w:rsidP="002104E0">
      <w:pPr>
        <w:pStyle w:val="B5"/>
        <w:ind w:left="1985"/>
      </w:pPr>
      <w:r w:rsidRPr="00F415B1">
        <w:rPr>
          <w:lang w:val="x-none"/>
        </w:rPr>
        <w:t>-</w:t>
      </w:r>
      <w:r w:rsidRPr="00F415B1">
        <w:rPr>
          <w:lang w:val="x-none"/>
        </w:rPr>
        <w:tab/>
      </w:r>
      <w:r w:rsidRPr="00F415B1">
        <w:t xml:space="preserve">the UE determines </w:t>
      </w:r>
      <m:oMath>
        <m:r>
          <w:rPr>
            <w:rFonts w:ascii="Cambria Math" w:hAnsi="Cambria Math"/>
            <w:lang w:val="en-US"/>
          </w:rPr>
          <m:t>l</m:t>
        </m:r>
        <m:r>
          <m:rPr>
            <m:sty m:val="p"/>
          </m:rPr>
          <w:rPr>
            <w:rFonts w:ascii="Cambria Math" w:hAnsi="Cambria Math"/>
            <w:lang w:val="en-US"/>
          </w:rPr>
          <m:t>=0</m:t>
        </m:r>
      </m:oMath>
      <w:r w:rsidRPr="00F415B1">
        <w:t xml:space="preserve"> </w:t>
      </w:r>
      <w:r w:rsidRPr="00F415B1">
        <w:rPr>
          <w:iCs/>
        </w:rPr>
        <w:t xml:space="preserve">for the PUSCH transmission corresponding to the first SRS resource set with </w:t>
      </w:r>
      <w:r w:rsidRPr="00F415B1">
        <w:t>usage</w:t>
      </w:r>
      <w:r w:rsidRPr="00F415B1">
        <w:rPr>
          <w:iCs/>
        </w:rPr>
        <w:t xml:space="preserve"> set to </w:t>
      </w:r>
      <w:r w:rsidR="005E3B15">
        <w:rPr>
          <w:iCs/>
        </w:rPr>
        <w:t>'</w:t>
      </w:r>
      <w:r w:rsidRPr="00F415B1">
        <w:rPr>
          <w:iCs/>
        </w:rPr>
        <w:t>codebook</w:t>
      </w:r>
      <w:r w:rsidR="005E3B15">
        <w:rPr>
          <w:iCs/>
        </w:rPr>
        <w:t>'</w:t>
      </w:r>
      <w:r w:rsidRPr="00F415B1">
        <w:rPr>
          <w:iCs/>
        </w:rPr>
        <w:t xml:space="preserve"> or </w:t>
      </w:r>
      <w:r w:rsidR="005E3B15">
        <w:rPr>
          <w:iCs/>
        </w:rPr>
        <w:t>'</w:t>
      </w:r>
      <w:r w:rsidRPr="00F415B1">
        <w:rPr>
          <w:iCs/>
        </w:rPr>
        <w:t>nonCodebook</w:t>
      </w:r>
      <w:r w:rsidR="005E3B15">
        <w:rPr>
          <w:iCs/>
        </w:rPr>
        <w:t>'</w:t>
      </w:r>
      <w:r w:rsidRPr="00F415B1">
        <w:rPr>
          <w:iCs/>
        </w:rPr>
        <w:t xml:space="preserve">, and </w:t>
      </w:r>
      <m:oMath>
        <m:r>
          <w:rPr>
            <w:rFonts w:ascii="Cambria Math" w:hAnsi="Cambria Math"/>
            <w:lang w:val="en-US"/>
          </w:rPr>
          <m:t>l</m:t>
        </m:r>
        <m:r>
          <m:rPr>
            <m:sty m:val="p"/>
          </m:rPr>
          <w:rPr>
            <w:rFonts w:ascii="Cambria Math" w:hAnsi="Cambria Math"/>
            <w:lang w:val="en-US"/>
          </w:rPr>
          <m:t>=1</m:t>
        </m:r>
      </m:oMath>
      <w:r w:rsidRPr="00F415B1">
        <w:t xml:space="preserve"> </w:t>
      </w:r>
      <w:r w:rsidRPr="00F415B1">
        <w:rPr>
          <w:iCs/>
        </w:rPr>
        <w:t xml:space="preserve">for the PUSCH transmission corresponding to the </w:t>
      </w:r>
      <w:r>
        <w:rPr>
          <w:iCs/>
        </w:rPr>
        <w:t>second</w:t>
      </w:r>
      <w:r w:rsidRPr="00F415B1">
        <w:rPr>
          <w:iCs/>
        </w:rPr>
        <w:t xml:space="preserve"> SRS resource set with </w:t>
      </w:r>
      <w:r w:rsidRPr="00F415B1">
        <w:t>usage</w:t>
      </w:r>
      <w:r w:rsidRPr="00F415B1">
        <w:rPr>
          <w:iCs/>
        </w:rPr>
        <w:t xml:space="preserve"> set to </w:t>
      </w:r>
      <w:r w:rsidR="005E3B15">
        <w:rPr>
          <w:iCs/>
        </w:rPr>
        <w:t>'</w:t>
      </w:r>
      <w:r w:rsidRPr="00F415B1">
        <w:rPr>
          <w:iCs/>
        </w:rPr>
        <w:t>codebook</w:t>
      </w:r>
      <w:r w:rsidR="005E3B15">
        <w:rPr>
          <w:iCs/>
        </w:rPr>
        <w:t>'</w:t>
      </w:r>
      <w:r w:rsidRPr="00F415B1">
        <w:rPr>
          <w:iCs/>
        </w:rPr>
        <w:t xml:space="preserve"> or </w:t>
      </w:r>
      <w:r w:rsidR="005E3B15">
        <w:rPr>
          <w:iCs/>
        </w:rPr>
        <w:t>'</w:t>
      </w:r>
      <w:r w:rsidRPr="00F415B1">
        <w:rPr>
          <w:iCs/>
        </w:rPr>
        <w:t>nonCodebook</w:t>
      </w:r>
      <w:r w:rsidR="005E3B15">
        <w:rPr>
          <w:iCs/>
        </w:rPr>
        <w:t>'</w:t>
      </w:r>
    </w:p>
    <w:p w14:paraId="517E5EA8" w14:textId="77777777" w:rsidR="00EB1C37" w:rsidRPr="00F415B1" w:rsidRDefault="00EB1C37" w:rsidP="002104E0">
      <w:pPr>
        <w:pStyle w:val="B5"/>
      </w:pPr>
      <w:r w:rsidRPr="00F415B1">
        <w:rPr>
          <w:lang w:val="x-none"/>
        </w:rPr>
        <w:t>-</w:t>
      </w:r>
      <w:r w:rsidRPr="00F415B1">
        <w:rPr>
          <w:lang w:val="x-none"/>
        </w:rPr>
        <w:tab/>
      </w:r>
      <w:r w:rsidRPr="00F415B1">
        <w:rPr>
          <w:rFonts w:eastAsia="DengXian"/>
          <w:lang w:eastAsia="zh-CN"/>
        </w:rPr>
        <w:t>else</w:t>
      </w:r>
    </w:p>
    <w:p w14:paraId="7802460B" w14:textId="77777777" w:rsidR="00EB1C37" w:rsidRPr="00F415B1" w:rsidRDefault="00EB1C37" w:rsidP="002104E0">
      <w:pPr>
        <w:pStyle w:val="B5"/>
        <w:ind w:left="1985"/>
      </w:pPr>
      <w:r w:rsidRPr="00F415B1">
        <w:rPr>
          <w:lang w:val="x-none"/>
        </w:rPr>
        <w:t>-</w:t>
      </w:r>
      <w:r w:rsidRPr="00F415B1">
        <w:rPr>
          <w:lang w:val="x-none"/>
        </w:rPr>
        <w:tab/>
      </w:r>
      <w:r w:rsidRPr="00F415B1">
        <w:t xml:space="preserve">the UE determines </w:t>
      </w:r>
      <m:oMath>
        <m:r>
          <w:rPr>
            <w:rFonts w:ascii="Cambria Math" w:hAnsi="Cambria Math"/>
            <w:lang w:val="en-US"/>
          </w:rPr>
          <m:t>l</m:t>
        </m:r>
        <m:r>
          <m:rPr>
            <m:sty m:val="p"/>
          </m:rPr>
          <w:rPr>
            <w:rFonts w:ascii="Cambria Math" w:hAnsi="Cambria Math"/>
            <w:lang w:val="en-US"/>
          </w:rPr>
          <m:t>=0</m:t>
        </m:r>
      </m:oMath>
      <w:r w:rsidRPr="00F415B1">
        <w:t xml:space="preserve"> </w:t>
      </w:r>
      <w:r w:rsidRPr="00F415B1">
        <w:rPr>
          <w:iCs/>
        </w:rPr>
        <w:t xml:space="preserve">for the PUSCH transmission </w:t>
      </w:r>
    </w:p>
    <w:p w14:paraId="0A460D3C" w14:textId="4B587A78" w:rsidR="00EB1C37" w:rsidRPr="00F415B1" w:rsidRDefault="00EB1C37" w:rsidP="002104E0">
      <w:pPr>
        <w:pStyle w:val="B4"/>
        <w:rPr>
          <w:rFonts w:eastAsia="DengXian"/>
        </w:rPr>
      </w:pPr>
      <w:r w:rsidRPr="00F415B1">
        <w:rPr>
          <w:lang w:val="en-US"/>
        </w:rPr>
        <w:t>-</w:t>
      </w:r>
      <w:r w:rsidRPr="00F415B1">
        <w:rPr>
          <w:lang w:val="en-US"/>
        </w:rPr>
        <w:tab/>
      </w:r>
      <w:r w:rsidRPr="00F415B1">
        <w:rPr>
          <w:rFonts w:eastAsia="DengXian"/>
          <w:lang w:eastAsia="zh-CN"/>
        </w:rPr>
        <w:t>If</w:t>
      </w:r>
      <w:r w:rsidRPr="00F415B1">
        <w:rPr>
          <w:rFonts w:eastAsia="DengXian"/>
        </w:rPr>
        <w:t xml:space="preserve"> the UE is provided </w:t>
      </w:r>
      <w:r w:rsidRPr="00F415B1">
        <w:rPr>
          <w:iCs/>
        </w:rPr>
        <w:t xml:space="preserve">two SRS resource sets in </w:t>
      </w:r>
      <w:r w:rsidRPr="00F415B1">
        <w:rPr>
          <w:i/>
        </w:rPr>
        <w:t>srs-ResourceSetToAddModList</w:t>
      </w:r>
      <w:r w:rsidRPr="00F415B1">
        <w:rPr>
          <w:iCs/>
        </w:rPr>
        <w:t xml:space="preserve"> or </w:t>
      </w:r>
      <w:r w:rsidRPr="00F415B1">
        <w:rPr>
          <w:i/>
        </w:rPr>
        <w:t>srs-ResourceSetToAddModListDCI-0-2</w:t>
      </w:r>
      <w:r w:rsidRPr="00F415B1">
        <w:rPr>
          <w:iCs/>
        </w:rPr>
        <w:t xml:space="preserve"> with </w:t>
      </w:r>
      <w:r w:rsidRPr="00F415B1">
        <w:rPr>
          <w:i/>
        </w:rPr>
        <w:t>usage</w:t>
      </w:r>
      <w:r w:rsidRPr="00F415B1">
        <w:rPr>
          <w:iCs/>
        </w:rPr>
        <w:t xml:space="preserve"> set to </w:t>
      </w:r>
      <w:r w:rsidR="005E3B15">
        <w:rPr>
          <w:iCs/>
        </w:rPr>
        <w:t>'</w:t>
      </w:r>
      <w:r w:rsidRPr="00F415B1">
        <w:rPr>
          <w:iCs/>
        </w:rPr>
        <w:t>codebook</w:t>
      </w:r>
      <w:r w:rsidR="005E3B15">
        <w:rPr>
          <w:iCs/>
        </w:rPr>
        <w:t>'</w:t>
      </w:r>
      <w:r w:rsidRPr="00F415B1">
        <w:rPr>
          <w:iCs/>
        </w:rPr>
        <w:t xml:space="preserve"> or </w:t>
      </w:r>
      <w:r w:rsidR="005E3B15">
        <w:rPr>
          <w:iCs/>
        </w:rPr>
        <w:t>'</w:t>
      </w:r>
      <w:r w:rsidRPr="00F415B1">
        <w:rPr>
          <w:iCs/>
        </w:rPr>
        <w:t>nonCodebook</w:t>
      </w:r>
      <w:r w:rsidR="005E3B15">
        <w:rPr>
          <w:iCs/>
        </w:rPr>
        <w:t>'</w:t>
      </w:r>
      <w:r w:rsidRPr="00F415B1">
        <w:rPr>
          <w:iCs/>
        </w:rPr>
        <w:t>,</w:t>
      </w:r>
      <w:r w:rsidRPr="00F415B1">
        <w:t xml:space="preserve"> and is provided</w:t>
      </w:r>
      <w:r w:rsidRPr="00F415B1">
        <w:rPr>
          <w:rFonts w:eastAsia="DengXian"/>
        </w:rPr>
        <w:t xml:space="preserve"> </w:t>
      </w:r>
      <w:r w:rsidRPr="00F415B1">
        <w:rPr>
          <w:i/>
        </w:rPr>
        <w:t>twoPUSCH-PC-AdjustmentStates</w:t>
      </w:r>
    </w:p>
    <w:p w14:paraId="3C766660" w14:textId="77777777" w:rsidR="00EB1C37" w:rsidRPr="00F415B1" w:rsidRDefault="00EB1C37" w:rsidP="002104E0">
      <w:pPr>
        <w:pStyle w:val="B5"/>
        <w:rPr>
          <w:lang w:val="en-US"/>
        </w:rPr>
      </w:pPr>
      <w:r w:rsidRPr="00F415B1">
        <w:rPr>
          <w:lang w:val="en-US"/>
        </w:rPr>
        <w:t>-</w:t>
      </w:r>
      <w:r w:rsidRPr="00F415B1">
        <w:rPr>
          <w:lang w:val="en-US"/>
        </w:rPr>
        <w:tab/>
      </w:r>
      <w:r w:rsidRPr="00F415B1">
        <w:rPr>
          <w:lang w:eastAsia="zh-CN"/>
        </w:rPr>
        <w:t>If</w:t>
      </w:r>
      <w:r w:rsidRPr="00F415B1">
        <w:t xml:space="preserve"> the DCI format includes two TPC command values and the PUSCH transmissions are associated with </w:t>
      </w:r>
      <m:oMath>
        <m:r>
          <w:rPr>
            <w:rFonts w:ascii="Cambria Math" w:hAnsi="Cambria Math"/>
            <w:lang w:val="en-US"/>
          </w:rPr>
          <m:t>l=0</m:t>
        </m:r>
      </m:oMath>
      <w:r w:rsidRPr="00F415B1">
        <w:rPr>
          <w:lang w:val="en-US"/>
        </w:rPr>
        <w:t xml:space="preserve"> and </w:t>
      </w:r>
      <m:oMath>
        <m:r>
          <w:rPr>
            <w:rFonts w:ascii="Cambria Math" w:hAnsi="Cambria Math"/>
            <w:lang w:val="en-US"/>
          </w:rPr>
          <m:t>l=1</m:t>
        </m:r>
      </m:oMath>
      <w:r w:rsidRPr="00F415B1">
        <w:t xml:space="preserve">, the UE applies the first TPC command value for </w:t>
      </w:r>
      <m:oMath>
        <m:r>
          <w:rPr>
            <w:rFonts w:ascii="Cambria Math" w:hAnsi="Cambria Math"/>
            <w:lang w:val="en-US"/>
          </w:rPr>
          <m:t>l=0</m:t>
        </m:r>
      </m:oMath>
      <w:r w:rsidRPr="00F415B1">
        <w:rPr>
          <w:lang w:val="en-US"/>
        </w:rPr>
        <w:t xml:space="preserve"> and applies the second </w:t>
      </w:r>
      <w:r w:rsidRPr="00F415B1">
        <w:t xml:space="preserve">TPC command value for </w:t>
      </w:r>
      <m:oMath>
        <m:r>
          <w:rPr>
            <w:rFonts w:ascii="Cambria Math" w:hAnsi="Cambria Math"/>
            <w:lang w:val="en-US"/>
          </w:rPr>
          <m:t>l=1</m:t>
        </m:r>
      </m:oMath>
    </w:p>
    <w:p w14:paraId="254257D4" w14:textId="77777777" w:rsidR="00EB1C37" w:rsidRPr="00F415B1" w:rsidRDefault="00EB1C37" w:rsidP="002104E0">
      <w:pPr>
        <w:pStyle w:val="B5"/>
        <w:rPr>
          <w:lang w:val="en-US"/>
        </w:rPr>
      </w:pPr>
      <w:r w:rsidRPr="00F415B1">
        <w:rPr>
          <w:lang w:val="en-US"/>
        </w:rPr>
        <w:t>-</w:t>
      </w:r>
      <w:r w:rsidRPr="00F415B1">
        <w:rPr>
          <w:lang w:val="en-US"/>
        </w:rPr>
        <w:tab/>
      </w:r>
      <w:r w:rsidRPr="00F415B1">
        <w:rPr>
          <w:lang w:eastAsia="zh-CN"/>
        </w:rPr>
        <w:t>If</w:t>
      </w:r>
      <w:r w:rsidRPr="00F415B1">
        <w:t xml:space="preserve"> the DCI format includes two TPC command values and the PUSCH transmissions are associated with </w:t>
      </w:r>
      <m:oMath>
        <m:r>
          <w:rPr>
            <w:rFonts w:ascii="Cambria Math" w:hAnsi="Cambria Math"/>
            <w:lang w:val="en-US"/>
          </w:rPr>
          <m:t>l=0</m:t>
        </m:r>
      </m:oMath>
      <w:r w:rsidRPr="00F415B1">
        <w:t xml:space="preserve">, the UE applies the first TPC command value for </w:t>
      </w:r>
      <m:oMath>
        <m:r>
          <w:rPr>
            <w:rFonts w:ascii="Cambria Math" w:hAnsi="Cambria Math"/>
            <w:lang w:val="en-US"/>
          </w:rPr>
          <m:t>l=0</m:t>
        </m:r>
      </m:oMath>
      <w:r w:rsidRPr="00F415B1">
        <w:rPr>
          <w:lang w:val="en-US"/>
        </w:rPr>
        <w:t xml:space="preserve"> and ignores the second </w:t>
      </w:r>
      <w:r w:rsidRPr="00F415B1">
        <w:t>TPC command value</w:t>
      </w:r>
    </w:p>
    <w:p w14:paraId="7D302984" w14:textId="77777777" w:rsidR="00EB1C37" w:rsidRDefault="00EB1C37" w:rsidP="002104E0">
      <w:pPr>
        <w:pStyle w:val="B5"/>
      </w:pPr>
      <w:r w:rsidRPr="00F415B1">
        <w:rPr>
          <w:lang w:val="en-US"/>
        </w:rPr>
        <w:t>-</w:t>
      </w:r>
      <w:r w:rsidRPr="00F415B1">
        <w:rPr>
          <w:lang w:val="en-US"/>
        </w:rPr>
        <w:tab/>
      </w:r>
      <w:r w:rsidRPr="00F415B1">
        <w:rPr>
          <w:lang w:eastAsia="zh-CN"/>
        </w:rPr>
        <w:t>If</w:t>
      </w:r>
      <w:r w:rsidRPr="00F415B1">
        <w:t xml:space="preserve"> the DCI format includes two TPC command values and the PUSCH transmissions are associated with </w:t>
      </w:r>
      <m:oMath>
        <m:r>
          <w:rPr>
            <w:rFonts w:ascii="Cambria Math" w:hAnsi="Cambria Math"/>
            <w:lang w:val="en-US"/>
          </w:rPr>
          <m:t>l=1</m:t>
        </m:r>
      </m:oMath>
      <w:r w:rsidRPr="00F415B1">
        <w:t xml:space="preserve">, the UE applies the second TPC command value for </w:t>
      </w:r>
      <m:oMath>
        <m:r>
          <w:rPr>
            <w:rFonts w:ascii="Cambria Math" w:hAnsi="Cambria Math"/>
            <w:lang w:val="en-US"/>
          </w:rPr>
          <m:t>l=1</m:t>
        </m:r>
      </m:oMath>
      <w:r w:rsidRPr="00F415B1">
        <w:rPr>
          <w:lang w:val="en-US"/>
        </w:rPr>
        <w:t xml:space="preserve"> and ignores the first </w:t>
      </w:r>
      <w:r w:rsidRPr="00F415B1">
        <w:t>TPC command value</w:t>
      </w:r>
    </w:p>
    <w:p w14:paraId="0E1579C2" w14:textId="3FE10F18" w:rsidR="00EB1C37" w:rsidRPr="002104E0" w:rsidRDefault="00EB1C37" w:rsidP="002104E0">
      <w:pPr>
        <w:pStyle w:val="B5"/>
      </w:pPr>
      <w:r w:rsidRPr="00F415B1">
        <w:rPr>
          <w:lang w:val="en-US"/>
        </w:rPr>
        <w:lastRenderedPageBreak/>
        <w:t>-</w:t>
      </w:r>
      <w:r w:rsidRPr="00F415B1">
        <w:rPr>
          <w:lang w:val="en-US"/>
        </w:rPr>
        <w:tab/>
      </w:r>
      <w:r w:rsidRPr="00F415B1">
        <w:rPr>
          <w:lang w:eastAsia="zh-CN"/>
        </w:rPr>
        <w:t>If</w:t>
      </w:r>
      <w:r w:rsidRPr="00F415B1">
        <w:t xml:space="preserve"> the DCI format includes one TPC command value, the UE applies the TPC command value for all </w:t>
      </w:r>
      <m:oMath>
        <m:r>
          <w:rPr>
            <w:rFonts w:ascii="Cambria Math" w:hAnsi="Cambria Math"/>
            <w:lang w:val="en-US"/>
          </w:rPr>
          <m:t>l</m:t>
        </m:r>
      </m:oMath>
      <w:r w:rsidRPr="00F415B1">
        <w:t xml:space="preserve"> associated with the PUSCH transmission </w:t>
      </w:r>
    </w:p>
    <w:p w14:paraId="35AD4ACB" w14:textId="66EAED0A" w:rsidR="001E3B1A" w:rsidRDefault="001E3B1A" w:rsidP="0009732E">
      <w:pPr>
        <w:pStyle w:val="B4"/>
        <w:rPr>
          <w:lang w:val="en-US"/>
        </w:rPr>
      </w:pPr>
      <w:r>
        <w:rPr>
          <w:lang w:val="en-US" w:eastAsia="zh-CN"/>
        </w:rPr>
        <w:t>-</w:t>
      </w:r>
      <w:r>
        <w:rPr>
          <w:lang w:val="en-US" w:eastAsia="zh-CN"/>
        </w:rPr>
        <w:tab/>
        <w:t>If the UE is provided</w:t>
      </w:r>
      <w:r w:rsidRPr="004516B4">
        <w:rPr>
          <w:lang w:val="en-US" w:eastAsia="zh-CN"/>
        </w:rPr>
        <w:t xml:space="preserve"> </w:t>
      </w:r>
      <w:r w:rsidR="00BE7792" w:rsidRPr="00F10AA1">
        <w:rPr>
          <w:i/>
        </w:rPr>
        <w:t>SRI-PUSCH-PowerControl</w:t>
      </w:r>
      <w:r>
        <w:rPr>
          <w:lang w:val="en-US"/>
        </w:rPr>
        <w:t>, the UE obtains</w:t>
      </w:r>
      <w:r w:rsidRPr="004516B4">
        <w:rPr>
          <w:lang w:val="en-US"/>
        </w:rPr>
        <w:t xml:space="preserve"> a mapping between a set of values for the SRI field in </w:t>
      </w:r>
      <w:r w:rsidR="00817D03">
        <w:rPr>
          <w:lang w:val="en-US"/>
        </w:rPr>
        <w:t xml:space="preserve">a </w:t>
      </w:r>
      <w:r w:rsidRPr="004516B4">
        <w:rPr>
          <w:lang w:val="en-US"/>
        </w:rPr>
        <w:t xml:space="preserve">DCI format </w:t>
      </w:r>
      <w:r w:rsidR="00817D03" w:rsidRPr="00EE027F">
        <w:rPr>
          <w:lang w:val="en-US"/>
        </w:rPr>
        <w:t>scheduling the PUSCH transmission</w:t>
      </w:r>
      <w:r w:rsidRPr="004516B4">
        <w:rPr>
          <w:lang w:val="en-US"/>
        </w:rPr>
        <w:t xml:space="preserve"> and</w:t>
      </w:r>
      <w:r>
        <w:rPr>
          <w:lang w:val="en-US"/>
        </w:rPr>
        <w:t xml:space="preserve"> the </w:t>
      </w:r>
      <m:oMath>
        <m:r>
          <w:rPr>
            <w:rFonts w:ascii="Cambria Math" w:hAnsi="Cambria Math"/>
            <w:lang w:val="en-US"/>
          </w:rPr>
          <m:t>l</m:t>
        </m:r>
      </m:oMath>
      <w:r>
        <w:rPr>
          <w:iCs/>
          <w:lang w:val="en-US"/>
        </w:rPr>
        <w:t xml:space="preserve"> </w:t>
      </w:r>
      <w:r>
        <w:rPr>
          <w:lang w:val="en-US"/>
        </w:rPr>
        <w:t>value(s)</w:t>
      </w:r>
      <w:r w:rsidR="00BE7792" w:rsidRPr="00F10AA1">
        <w:rPr>
          <w:lang w:val="en-US"/>
        </w:rPr>
        <w:t xml:space="preserve"> provided by </w:t>
      </w:r>
      <w:r w:rsidR="00BE7792" w:rsidRPr="00F10AA1">
        <w:rPr>
          <w:i/>
        </w:rPr>
        <w:t>sri-PUSCH-ClosedLoopIndex</w:t>
      </w:r>
      <w:r w:rsidR="00817D03">
        <w:rPr>
          <w:lang w:val="en-US"/>
        </w:rPr>
        <w:t xml:space="preserve"> and</w:t>
      </w:r>
      <w:r>
        <w:rPr>
          <w:lang w:val="en-US"/>
        </w:rPr>
        <w:t xml:space="preserve"> determines</w:t>
      </w:r>
      <w:r w:rsidRPr="004516B4">
        <w:rPr>
          <w:lang w:val="en-US"/>
        </w:rPr>
        <w:t xml:space="preserve"> the </w:t>
      </w:r>
      <m:oMath>
        <m:r>
          <w:rPr>
            <w:rFonts w:ascii="Cambria Math" w:hAnsi="Cambria Math"/>
            <w:lang w:val="en-US"/>
          </w:rPr>
          <m:t>l</m:t>
        </m:r>
      </m:oMath>
      <w:r>
        <w:rPr>
          <w:lang w:val="en-US"/>
        </w:rPr>
        <w:t xml:space="preserve"> value </w:t>
      </w:r>
      <w:r w:rsidRPr="004516B4">
        <w:rPr>
          <w:lang w:val="en-US"/>
        </w:rPr>
        <w:t>that is mapped to the SRI field value</w:t>
      </w:r>
    </w:p>
    <w:p w14:paraId="541B18F9" w14:textId="5D947C36" w:rsidR="005B6093" w:rsidRDefault="001E3B1A" w:rsidP="005B6093">
      <w:pPr>
        <w:pStyle w:val="B4"/>
      </w:pPr>
      <w:r>
        <w:rPr>
          <w:lang w:val="en-US"/>
        </w:rPr>
        <w:t>-</w:t>
      </w:r>
      <w:r>
        <w:rPr>
          <w:lang w:val="en-US"/>
        </w:rPr>
        <w:tab/>
      </w:r>
      <w:r w:rsidRPr="00FB7654">
        <w:rPr>
          <w:lang w:val="en-US"/>
        </w:rPr>
        <w:t>If the PUSCH transmission is scheduled by a DCI format that does not include a</w:t>
      </w:r>
      <w:r w:rsidR="00817D03">
        <w:rPr>
          <w:lang w:val="en-US"/>
        </w:rPr>
        <w:t>n</w:t>
      </w:r>
      <w:r w:rsidRPr="00FB7654">
        <w:rPr>
          <w:lang w:val="en-US"/>
        </w:rPr>
        <w:t xml:space="preserve"> SRI field, or if a</w:t>
      </w:r>
      <w:r w:rsidR="00817D03">
        <w:rPr>
          <w:lang w:val="en-US"/>
        </w:rPr>
        <w:t>n</w:t>
      </w:r>
      <w:r w:rsidRPr="00FB7654">
        <w:rPr>
          <w:lang w:val="en-US"/>
        </w:rPr>
        <w:t xml:space="preserve"> </w:t>
      </w:r>
      <w:r w:rsidR="00BE7792" w:rsidRPr="00155FC2">
        <w:rPr>
          <w:i/>
        </w:rPr>
        <w:t>SRI-PUSCH-PowerControl</w:t>
      </w:r>
      <w:r w:rsidRPr="00FB7654">
        <w:rPr>
          <w:lang w:val="en-US"/>
        </w:rPr>
        <w:t xml:space="preserve"> is not provided to the UE, </w:t>
      </w:r>
      <m:oMath>
        <m:r>
          <w:rPr>
            <w:rFonts w:ascii="Cambria Math" w:hAnsi="Cambria Math"/>
            <w:lang w:val="en-US"/>
          </w:rPr>
          <m:t>l=0</m:t>
        </m:r>
      </m:oMath>
    </w:p>
    <w:p w14:paraId="2E99F062" w14:textId="246E0CD2" w:rsidR="00BE7792" w:rsidRPr="00AB72D2" w:rsidRDefault="005B6093" w:rsidP="00BE7792">
      <w:pPr>
        <w:pStyle w:val="B4"/>
      </w:pPr>
      <w:r>
        <w:rPr>
          <w:lang w:val="en-US"/>
        </w:rPr>
        <w:t>-</w:t>
      </w:r>
      <w:r>
        <w:rPr>
          <w:lang w:val="en-US"/>
        </w:rPr>
        <w:tab/>
      </w:r>
      <w:r>
        <w:rPr>
          <w:rFonts w:eastAsia="DengXian"/>
          <w:lang w:eastAsia="zh-CN"/>
        </w:rPr>
        <w:t>If</w:t>
      </w:r>
      <w:r w:rsidRPr="001D010E">
        <w:rPr>
          <w:rFonts w:eastAsia="DengXian"/>
        </w:rPr>
        <w:t xml:space="preserve"> </w:t>
      </w:r>
      <w:r>
        <w:rPr>
          <w:rFonts w:eastAsia="DengXian"/>
        </w:rPr>
        <w:t xml:space="preserve">the UE obtains one TPC command from a </w:t>
      </w:r>
      <w:r w:rsidRPr="001D010E">
        <w:rPr>
          <w:rFonts w:eastAsia="DengXian"/>
        </w:rPr>
        <w:t xml:space="preserve">DCI format 2_2 </w:t>
      </w:r>
      <w:r>
        <w:rPr>
          <w:rFonts w:eastAsia="DengXian"/>
        </w:rPr>
        <w:t>with</w:t>
      </w:r>
      <w:r w:rsidRPr="001D010E">
        <w:rPr>
          <w:rFonts w:eastAsia="DengXian" w:hint="eastAsia"/>
        </w:rPr>
        <w:t xml:space="preserve"> </w:t>
      </w:r>
      <w:r>
        <w:rPr>
          <w:rFonts w:eastAsia="DengXian"/>
        </w:rPr>
        <w:t xml:space="preserve">CRC </w:t>
      </w:r>
      <w:r w:rsidRPr="001D010E">
        <w:rPr>
          <w:rFonts w:eastAsia="DengXian" w:hint="eastAsia"/>
        </w:rPr>
        <w:t xml:space="preserve">scrambled </w:t>
      </w:r>
      <w:r w:rsidRPr="001D010E">
        <w:rPr>
          <w:rFonts w:eastAsia="DengXian"/>
        </w:rPr>
        <w:t>by</w:t>
      </w:r>
      <w:r w:rsidRPr="001D010E">
        <w:rPr>
          <w:rFonts w:eastAsia="DengXian" w:hint="eastAsia"/>
        </w:rPr>
        <w:t xml:space="preserve"> </w:t>
      </w:r>
      <w:r>
        <w:rPr>
          <w:rFonts w:eastAsia="DengXian"/>
        </w:rPr>
        <w:t xml:space="preserve">a </w:t>
      </w:r>
      <w:r>
        <w:rPr>
          <w:rFonts w:eastAsia="DengXian" w:hint="eastAsia"/>
        </w:rPr>
        <w:t>TPC-PUS</w:t>
      </w:r>
      <w:r w:rsidRPr="001D010E">
        <w:rPr>
          <w:rFonts w:eastAsia="DengXian" w:hint="eastAsia"/>
        </w:rPr>
        <w:t>CH-RNTI</w:t>
      </w:r>
      <w:r>
        <w:rPr>
          <w:rFonts w:eastAsia="DengXian"/>
        </w:rPr>
        <w:t xml:space="preserve">, the </w:t>
      </w:r>
      <m:oMath>
        <m:r>
          <w:rPr>
            <w:rFonts w:ascii="Cambria Math" w:hAnsi="Cambria Math"/>
            <w:lang w:val="en-US"/>
          </w:rPr>
          <m:t>l</m:t>
        </m:r>
      </m:oMath>
      <w:r w:rsidRPr="001D010E">
        <w:rPr>
          <w:rFonts w:eastAsia="DengXian"/>
        </w:rPr>
        <w:t xml:space="preserve"> value is provided by the closed loop indica</w:t>
      </w:r>
      <w:r>
        <w:rPr>
          <w:rFonts w:eastAsia="DengXian"/>
        </w:rPr>
        <w:t>tor field in</w:t>
      </w:r>
      <w:r w:rsidRPr="001D010E">
        <w:rPr>
          <w:rFonts w:eastAsia="DengXian"/>
        </w:rPr>
        <w:t xml:space="preserve"> DCI</w:t>
      </w:r>
      <w:r>
        <w:rPr>
          <w:rFonts w:eastAsia="DengXian"/>
        </w:rPr>
        <w:t xml:space="preserve"> format 2_2</w:t>
      </w:r>
    </w:p>
    <w:p w14:paraId="62A7B6F7" w14:textId="11E6CF57" w:rsidR="00692FB9" w:rsidRDefault="00692FB9" w:rsidP="00692FB9">
      <w:pPr>
        <w:pStyle w:val="B2"/>
        <w:rPr>
          <w:lang w:val="en-US"/>
        </w:rPr>
      </w:pPr>
      <w:r>
        <w:t>-</w:t>
      </w:r>
      <w:r>
        <w:tab/>
      </w:r>
      <m:oMath>
        <m:sSub>
          <m:sSubPr>
            <m:ctrlPr>
              <w:rPr>
                <w:rFonts w:ascii="Cambria Math" w:hAnsi="Cambria Math"/>
                <w:iCs/>
              </w:rPr>
            </m:ctrlPr>
          </m:sSubPr>
          <m:e>
            <m:r>
              <w:rPr>
                <w:rFonts w:ascii="Cambria Math" w:hAnsi="Cambria Math"/>
              </w:rPr>
              <m:t>f</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i,l</m:t>
            </m:r>
          </m:e>
        </m:d>
        <m:r>
          <w:rPr>
            <w:rFonts w:ascii="Cambria Math"/>
          </w:rPr>
          <m:t>=</m:t>
        </m:r>
        <m:sSub>
          <m:sSubPr>
            <m:ctrlPr>
              <w:rPr>
                <w:rFonts w:ascii="Cambria Math" w:hAnsi="Cambria Math"/>
                <w:iCs/>
              </w:rPr>
            </m:ctrlPr>
          </m:sSubPr>
          <m:e>
            <m:r>
              <w:rPr>
                <w:rFonts w:ascii="Cambria Math" w:hAnsi="Cambria Math"/>
              </w:rPr>
              <m:t>f</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hAnsi="Cambria Math"/>
              </w:rPr>
              <m:t>i-</m:t>
            </m:r>
            <m:sSub>
              <m:sSubPr>
                <m:ctrlPr>
                  <w:rPr>
                    <w:rFonts w:ascii="Cambria Math" w:hAnsi="Cambria Math"/>
                    <w:i/>
                    <w:lang w:val="en-GB"/>
                  </w:rPr>
                </m:ctrlPr>
              </m:sSubPr>
              <m:e>
                <m:r>
                  <w:rPr>
                    <w:rFonts w:ascii="Cambria Math" w:hAnsi="Cambria Math"/>
                  </w:rPr>
                  <m:t>i</m:t>
                </m:r>
              </m:e>
              <m:sub>
                <m:r>
                  <w:rPr>
                    <w:rFonts w:ascii="Cambria Math" w:hAnsi="Cambria Math"/>
                  </w:rPr>
                  <m:t>0</m:t>
                </m:r>
              </m:sub>
            </m:sSub>
            <m:r>
              <w:rPr>
                <w:rFonts w:ascii="Cambria Math"/>
              </w:rPr>
              <m:t>,l</m:t>
            </m:r>
          </m:e>
        </m:d>
        <m:r>
          <w:rPr>
            <w:rFonts w:ascii="Cambria Math"/>
          </w:rPr>
          <m:t>+</m:t>
        </m:r>
        <m:nary>
          <m:naryPr>
            <m:chr m:val="∑"/>
            <m:limLoc m:val="undOvr"/>
            <m:ctrlPr>
              <w:rPr>
                <w:rFonts w:ascii="Cambria Math" w:hAnsi="Cambria Math"/>
                <w:i/>
                <w:lang w:val="en-GB"/>
              </w:rPr>
            </m:ctrlPr>
          </m:naryPr>
          <m:sub>
            <m:r>
              <w:rPr>
                <w:rFonts w:ascii="Cambria Math" w:hAnsi="Cambria Math"/>
              </w:rPr>
              <m:t>m=0</m:t>
            </m:r>
          </m:sub>
          <m:sup>
            <m:r>
              <m:rPr>
                <m:nor/>
              </m:rPr>
              <w:rPr>
                <w:rFonts w:ascii="Freestyle Script" w:hAnsi="Freestyle Script"/>
              </w:rPr>
              <m:t>C</m:t>
            </m:r>
            <m:d>
              <m:dPr>
                <m:ctrlPr>
                  <w:rPr>
                    <w:rFonts w:ascii="Cambria Math" w:hAnsi="Cambria Math" w:cs="Helvetica"/>
                    <w:i/>
                    <w:lang w:val="en-GB"/>
                  </w:rPr>
                </m:ctrlPr>
              </m:dPr>
              <m:e>
                <m:sSub>
                  <m:sSubPr>
                    <m:ctrlPr>
                      <w:rPr>
                        <w:rFonts w:ascii="Cambria Math" w:hAnsi="Cambria Math"/>
                        <w:i/>
                        <w:noProof/>
                        <w:lang w:val="en-GB"/>
                      </w:rPr>
                    </m:ctrlPr>
                  </m:sSubPr>
                  <m:e>
                    <m:r>
                      <w:rPr>
                        <w:rFonts w:ascii="Cambria Math" w:hAnsi="Cambria Math"/>
                        <w:noProof/>
                      </w:rPr>
                      <m:t>D</m:t>
                    </m:r>
                  </m:e>
                  <m:sub>
                    <m:r>
                      <w:rPr>
                        <w:rFonts w:ascii="Cambria Math" w:hAnsi="Cambria Math"/>
                        <w:noProof/>
                      </w:rPr>
                      <m:t>i</m:t>
                    </m:r>
                  </m:sub>
                </m:sSub>
              </m:e>
            </m:d>
            <m:r>
              <w:rPr>
                <w:rFonts w:ascii="Cambria Math" w:hAnsi="Cambria Math" w:cs="Helvetica"/>
              </w:rPr>
              <m:t>-1</m:t>
            </m:r>
          </m:sup>
          <m:e>
            <m:sSub>
              <m:sSubPr>
                <m:ctrlPr>
                  <w:rPr>
                    <w:rFonts w:ascii="Cambria Math" w:hAnsi="Cambria Math"/>
                    <w:iCs/>
                  </w:rPr>
                </m:ctrlPr>
              </m:sSubPr>
              <m:e>
                <m:r>
                  <w:rPr>
                    <w:rFonts w:ascii="Cambria Math" w:hAnsi="Cambria Math"/>
                  </w:rPr>
                  <m:t>δ</m:t>
                </m:r>
              </m:e>
              <m:sub>
                <m:r>
                  <m:rPr>
                    <m:sty m:val="p"/>
                  </m:rPr>
                  <w:rPr>
                    <w:rFonts w:ascii="Cambria Math"/>
                  </w:rPr>
                  <m:t>PUSCH</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w:rPr>
                <w:rFonts w:ascii="Cambria Math" w:hAnsi="Cambria Math"/>
              </w:rPr>
              <m:t>(m,l)</m:t>
            </m:r>
          </m:e>
        </m:nary>
      </m:oMath>
      <w:r w:rsidRPr="00B916EC">
        <w:t xml:space="preserve"> </w:t>
      </w:r>
      <w:r w:rsidRPr="00B916EC">
        <w:rPr>
          <w:lang w:val="en-US"/>
        </w:rPr>
        <w:t>is t</w:t>
      </w:r>
      <w:r w:rsidRPr="00B916EC">
        <w:t xml:space="preserve">he PUSCH power control adjustment state </w:t>
      </w:r>
      <m:oMath>
        <m:r>
          <w:rPr>
            <w:rFonts w:ascii="Cambria Math" w:hAnsi="Cambria Math"/>
            <w:lang w:val="en-US"/>
          </w:rPr>
          <m:t>l</m:t>
        </m:r>
      </m:oMath>
      <w:r>
        <w:rPr>
          <w:lang w:val="en-US"/>
        </w:rPr>
        <w:t xml:space="preserve"> </w:t>
      </w:r>
      <w:r w:rsidRPr="00B916EC">
        <w:t xml:space="preserve">for </w:t>
      </w:r>
      <w:r>
        <w:rPr>
          <w:lang w:val="en-US"/>
        </w:rPr>
        <w:t>active UL BWP</w:t>
      </w:r>
      <w:r w:rsidR="00761C49">
        <w:rPr>
          <w:lang w:val="en-US"/>
        </w:rPr>
        <w:t xml:space="preserve"> </w:t>
      </w:r>
      <m:oMath>
        <m:r>
          <w:rPr>
            <w:rFonts w:ascii="Cambria Math" w:hAnsi="Cambria Math"/>
            <w:lang w:val="en-US"/>
          </w:rPr>
          <m:t>b</m:t>
        </m:r>
      </m:oMath>
      <w:r w:rsidR="00761C49">
        <w:rPr>
          <w:iCs/>
          <w:lang w:val="en-US"/>
        </w:rPr>
        <w:t xml:space="preserve"> </w:t>
      </w:r>
      <w:r w:rsidR="00761C49">
        <w:rPr>
          <w:lang w:val="en-US"/>
        </w:rPr>
        <w:t>of</w:t>
      </w:r>
      <w:r w:rsidR="00761C49" w:rsidRPr="00B916EC">
        <w:rPr>
          <w:lang w:val="en-US"/>
        </w:rPr>
        <w:t xml:space="preserve"> carrier </w:t>
      </w:r>
      <m:oMath>
        <m:r>
          <w:rPr>
            <w:rFonts w:ascii="Cambria Math" w:hAnsi="Cambria Math"/>
            <w:lang w:val="en-US"/>
          </w:rPr>
          <m:t>f</m:t>
        </m:r>
      </m:oMath>
      <w:r w:rsidR="00761C49" w:rsidRPr="00B916EC">
        <w:rPr>
          <w:iCs/>
          <w:lang w:val="en-US"/>
        </w:rPr>
        <w:t xml:space="preserve"> of</w:t>
      </w:r>
      <w:r w:rsidR="00761C49" w:rsidRPr="00B916EC">
        <w:t xml:space="preserve"> serving cell </w:t>
      </w:r>
      <m:oMath>
        <m:r>
          <w:rPr>
            <w:rFonts w:ascii="Cambria Math" w:hAnsi="Cambria Math"/>
          </w:rPr>
          <m:t>c</m:t>
        </m:r>
      </m:oMath>
      <w:r w:rsidRPr="00B916EC">
        <w:rPr>
          <w:lang w:val="en-US"/>
        </w:rPr>
        <w:t xml:space="preserve"> and PUSCH transmission </w:t>
      </w:r>
      <w:r w:rsidRPr="00473A9C">
        <w:rPr>
          <w:lang w:val="en-US"/>
        </w:rPr>
        <w:t>occasion</w:t>
      </w:r>
      <w:r w:rsidRPr="00B916EC">
        <w:rPr>
          <w:lang w:val="en-US"/>
        </w:rPr>
        <w:t xml:space="preserve"> </w:t>
      </w:r>
      <m:oMath>
        <m:r>
          <w:rPr>
            <w:rFonts w:ascii="Cambria Math" w:hAnsi="Cambria Math"/>
            <w:lang w:val="en-US"/>
          </w:rPr>
          <m:t>i</m:t>
        </m:r>
      </m:oMath>
      <w:r w:rsidRPr="00B916EC">
        <w:t xml:space="preserve"> if </w:t>
      </w:r>
      <w:r>
        <w:t>the</w:t>
      </w:r>
      <w:r>
        <w:rPr>
          <w:lang w:val="en-US"/>
        </w:rPr>
        <w:t xml:space="preserve"> UE is </w:t>
      </w:r>
      <w:r w:rsidR="00761C49">
        <w:rPr>
          <w:lang w:val="en-US"/>
        </w:rPr>
        <w:t xml:space="preserve">not </w:t>
      </w:r>
      <w:r>
        <w:rPr>
          <w:lang w:val="en-US"/>
        </w:rPr>
        <w:t>provided</w:t>
      </w:r>
      <w:r w:rsidRPr="00B916EC">
        <w:t xml:space="preserve"> </w:t>
      </w:r>
      <w:r w:rsidRPr="00222F6E">
        <w:rPr>
          <w:i/>
        </w:rPr>
        <w:t>tpc-Accumulation</w:t>
      </w:r>
      <w:r w:rsidRPr="00B916EC">
        <w:rPr>
          <w:lang w:val="en-US"/>
        </w:rPr>
        <w:t>,</w:t>
      </w:r>
      <w:r w:rsidRPr="00B916EC">
        <w:rPr>
          <w:rFonts w:hint="eastAsia"/>
        </w:rPr>
        <w:t xml:space="preserve"> </w:t>
      </w:r>
      <w:r w:rsidRPr="00B916EC">
        <w:rPr>
          <w:lang w:val="en-US"/>
        </w:rPr>
        <w:t>where</w:t>
      </w:r>
      <w:r>
        <w:rPr>
          <w:lang w:val="en-US"/>
        </w:rPr>
        <w:t xml:space="preserve"> </w:t>
      </w:r>
    </w:p>
    <w:p w14:paraId="572319FD" w14:textId="5EAD0489" w:rsidR="00692FB9" w:rsidRPr="00B916EC" w:rsidRDefault="00692FB9" w:rsidP="00692FB9">
      <w:pPr>
        <w:pStyle w:val="B3"/>
        <w:rPr>
          <w:lang w:val="en-US"/>
        </w:rPr>
      </w:pPr>
      <w:r>
        <w:rPr>
          <w:lang w:val="en-US"/>
        </w:rPr>
        <w:t>-</w:t>
      </w:r>
      <w:r>
        <w:rPr>
          <w:lang w:val="en-US"/>
        </w:rPr>
        <w:tab/>
        <w:t xml:space="preserve">The </w:t>
      </w:r>
      <m:oMath>
        <m:sSub>
          <m:sSubPr>
            <m:ctrlPr>
              <w:rPr>
                <w:rFonts w:ascii="Cambria Math" w:hAnsi="Cambria Math"/>
                <w:iCs/>
              </w:rPr>
            </m:ctrlPr>
          </m:sSubPr>
          <m:e>
            <m:r>
              <w:rPr>
                <w:rFonts w:ascii="Cambria Math" w:hAnsi="Cambria Math"/>
              </w:rPr>
              <m:t>δ</m:t>
            </m:r>
          </m:e>
          <m:sub>
            <m:r>
              <m:rPr>
                <m:sty m:val="p"/>
              </m:rPr>
              <w:rPr>
                <w:rFonts w:ascii="Cambria Math"/>
              </w:rPr>
              <m:t>PUSCH</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oMath>
      <w:r w:rsidRPr="00B916EC">
        <w:t xml:space="preserve"> values are given in Table 7.1.1-1</w:t>
      </w:r>
    </w:p>
    <w:p w14:paraId="78A8ED34" w14:textId="68E7D7F8" w:rsidR="00761C49" w:rsidRDefault="00692FB9" w:rsidP="00692FB9">
      <w:pPr>
        <w:pStyle w:val="B3"/>
      </w:pPr>
      <w:r>
        <w:rPr>
          <w:lang w:val="en-US"/>
        </w:rPr>
        <w:t>-</w:t>
      </w:r>
      <w:r>
        <w:rPr>
          <w:lang w:val="en-US"/>
        </w:rPr>
        <w:tab/>
      </w:r>
      <m:oMath>
        <m:nary>
          <m:naryPr>
            <m:chr m:val="∑"/>
            <m:limLoc m:val="undOvr"/>
            <m:ctrlPr>
              <w:rPr>
                <w:rFonts w:ascii="Cambria Math" w:hAnsi="Cambria Math"/>
                <w:i/>
              </w:rPr>
            </m:ctrlPr>
          </m:naryPr>
          <m:sub>
            <m:r>
              <w:rPr>
                <w:rFonts w:ascii="Cambria Math" w:hAnsi="Cambria Math"/>
              </w:rPr>
              <m:t>m=0</m:t>
            </m:r>
          </m:sub>
          <m:sup>
            <m:r>
              <m:rPr>
                <m:nor/>
              </m:rPr>
              <w:rPr>
                <w:rFonts w:ascii="Freestyle Script" w:hAnsi="Freestyle Script"/>
              </w:rPr>
              <m:t>C</m:t>
            </m:r>
            <m:d>
              <m:dPr>
                <m:ctrlPr>
                  <w:rPr>
                    <w:rFonts w:ascii="Cambria Math" w:hAnsi="Cambria Math" w:cs="Helvetica"/>
                    <w:i/>
                  </w:rPr>
                </m:ctrlPr>
              </m:dPr>
              <m:e>
                <m:sSub>
                  <m:sSubPr>
                    <m:ctrlPr>
                      <w:rPr>
                        <w:rFonts w:ascii="Cambria Math" w:hAnsi="Cambria Math"/>
                        <w:i/>
                        <w:noProof/>
                      </w:rPr>
                    </m:ctrlPr>
                  </m:sSubPr>
                  <m:e>
                    <m:r>
                      <w:rPr>
                        <w:rFonts w:ascii="Cambria Math" w:hAnsi="Cambria Math"/>
                        <w:noProof/>
                      </w:rPr>
                      <m:t>D</m:t>
                    </m:r>
                  </m:e>
                  <m:sub>
                    <m:r>
                      <w:rPr>
                        <w:rFonts w:ascii="Cambria Math" w:hAnsi="Cambria Math"/>
                        <w:noProof/>
                      </w:rPr>
                      <m:t>i</m:t>
                    </m:r>
                  </m:sub>
                </m:sSub>
              </m:e>
            </m:d>
            <m:r>
              <w:rPr>
                <w:rFonts w:ascii="Cambria Math" w:hAnsi="Cambria Math" w:cs="Helvetica"/>
              </w:rPr>
              <m:t>-1</m:t>
            </m:r>
          </m:sup>
          <m:e>
            <m:sSub>
              <m:sSubPr>
                <m:ctrlPr>
                  <w:rPr>
                    <w:rFonts w:ascii="Cambria Math" w:hAnsi="Cambria Math"/>
                    <w:iCs/>
                  </w:rPr>
                </m:ctrlPr>
              </m:sSubPr>
              <m:e>
                <m:r>
                  <w:rPr>
                    <w:rFonts w:ascii="Cambria Math" w:hAnsi="Cambria Math"/>
                  </w:rPr>
                  <m:t>δ</m:t>
                </m:r>
              </m:e>
              <m:sub>
                <m:r>
                  <m:rPr>
                    <m:sty m:val="p"/>
                  </m:rPr>
                  <w:rPr>
                    <w:rFonts w:ascii="Cambria Math"/>
                  </w:rPr>
                  <m:t>PUSCH</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w:rPr>
                <w:rFonts w:ascii="Cambria Math" w:hAnsi="Cambria Math"/>
              </w:rPr>
              <m:t>(m,l)</m:t>
            </m:r>
          </m:e>
        </m:nary>
      </m:oMath>
      <w:r>
        <w:rPr>
          <w:noProof/>
        </w:rPr>
        <w:t xml:space="preserve"> is a sum of TPC command values in a set </w:t>
      </w:r>
      <m:oMath>
        <m:sSub>
          <m:sSubPr>
            <m:ctrlPr>
              <w:rPr>
                <w:rFonts w:ascii="Cambria Math" w:hAnsi="Cambria Math"/>
                <w:iCs/>
              </w:rPr>
            </m:ctrlPr>
          </m:sSubPr>
          <m:e>
            <m:r>
              <w:rPr>
                <w:rFonts w:ascii="Cambria Math" w:hAnsi="Cambria Math"/>
              </w:rPr>
              <m:t>D</m:t>
            </m:r>
          </m:e>
          <m:sub>
            <m:r>
              <w:rPr>
                <w:rFonts w:ascii="Cambria Math"/>
              </w:rPr>
              <m:t>i</m:t>
            </m:r>
          </m:sub>
        </m:sSub>
      </m:oMath>
      <w:r>
        <w:t xml:space="preserve"> </w:t>
      </w:r>
      <w:r>
        <w:rPr>
          <w:noProof/>
        </w:rPr>
        <w:t xml:space="preserve">of TPC command values with cardinality </w:t>
      </w:r>
      <m:oMath>
        <m:r>
          <m:rPr>
            <m:nor/>
          </m:rPr>
          <w:rPr>
            <w:rFonts w:ascii="Freestyle Script" w:hAnsi="Freestyle Script"/>
          </w:rPr>
          <m:t>C</m:t>
        </m:r>
        <m:d>
          <m:dPr>
            <m:ctrlPr>
              <w:rPr>
                <w:rFonts w:ascii="Cambria Math" w:hAnsi="Cambria Math" w:cs="Helvetica"/>
                <w:i/>
              </w:rPr>
            </m:ctrlPr>
          </m:dPr>
          <m:e>
            <m:sSub>
              <m:sSubPr>
                <m:ctrlPr>
                  <w:rPr>
                    <w:rFonts w:ascii="Cambria Math" w:hAnsi="Cambria Math"/>
                    <w:i/>
                    <w:noProof/>
                  </w:rPr>
                </m:ctrlPr>
              </m:sSubPr>
              <m:e>
                <m:r>
                  <w:rPr>
                    <w:rFonts w:ascii="Cambria Math" w:hAnsi="Cambria Math"/>
                    <w:noProof/>
                  </w:rPr>
                  <m:t>D</m:t>
                </m:r>
              </m:e>
              <m:sub>
                <m:r>
                  <w:rPr>
                    <w:rFonts w:ascii="Cambria Math" w:hAnsi="Cambria Math"/>
                    <w:noProof/>
                  </w:rPr>
                  <m:t>i</m:t>
                </m:r>
              </m:sub>
            </m:sSub>
          </m:e>
        </m:d>
      </m:oMath>
      <w:r>
        <w:t xml:space="preserve"> </w:t>
      </w:r>
      <w:r>
        <w:rPr>
          <w:noProof/>
        </w:rPr>
        <w:t xml:space="preserve">that the UE receives </w:t>
      </w:r>
      <w:r>
        <w:t xml:space="preserve">between </w:t>
      </w:r>
      <m:oMath>
        <m:sSub>
          <m:sSubPr>
            <m:ctrlPr>
              <w:rPr>
                <w:rFonts w:ascii="Cambria Math" w:hAnsi="Cambria Math"/>
                <w:iCs/>
              </w:rPr>
            </m:ctrlPr>
          </m:sSubPr>
          <m:e>
            <m:r>
              <w:rPr>
                <w:rFonts w:ascii="Cambria Math" w:hAnsi="Cambria Math"/>
              </w:rPr>
              <m:t>K</m:t>
            </m:r>
          </m:e>
          <m:sub>
            <m:r>
              <m:rPr>
                <m:sty m:val="p"/>
              </m:rPr>
              <w:rPr>
                <w:rFonts w:ascii="Cambria Math"/>
              </w:rPr>
              <m:t>PUSCH</m:t>
            </m:r>
          </m:sub>
        </m:sSub>
        <m:d>
          <m:dPr>
            <m:ctrlPr>
              <w:rPr>
                <w:rFonts w:ascii="Cambria Math" w:hAnsi="Cambria Math"/>
                <w:i/>
                <w:iCs/>
              </w:rPr>
            </m:ctrlPr>
          </m:dPr>
          <m:e>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0</m:t>
                </m:r>
              </m:sub>
            </m:sSub>
            <m:ctrlPr>
              <w:rPr>
                <w:rFonts w:ascii="Cambria Math" w:hAnsi="Cambria Math"/>
                <w:i/>
              </w:rPr>
            </m:ctrlPr>
          </m:e>
        </m:d>
        <m:r>
          <w:rPr>
            <w:rFonts w:ascii="Cambria Math" w:hAnsi="Cambria Math"/>
          </w:rPr>
          <m:t>-1</m:t>
        </m:r>
      </m:oMath>
      <w:r>
        <w:t xml:space="preserve"> symbols before PUSCH transmission occasion </w:t>
      </w:r>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and</w:t>
      </w:r>
      <w:r w:rsidRPr="00B916EC">
        <w:t xml:space="preserve"> </w:t>
      </w:r>
      <m:oMath>
        <m:sSub>
          <m:sSubPr>
            <m:ctrlPr>
              <w:rPr>
                <w:rFonts w:ascii="Cambria Math" w:hAnsi="Cambria Math"/>
                <w:iCs/>
              </w:rPr>
            </m:ctrlPr>
          </m:sSubPr>
          <m:e>
            <m:r>
              <w:rPr>
                <w:rFonts w:ascii="Cambria Math" w:hAnsi="Cambria Math"/>
              </w:rPr>
              <m:t>K</m:t>
            </m:r>
          </m:e>
          <m:sub>
            <m:r>
              <m:rPr>
                <m:sty m:val="p"/>
              </m:rPr>
              <w:rPr>
                <w:rFonts w:ascii="Cambria Math"/>
              </w:rPr>
              <m:t>PUSCH</m:t>
            </m:r>
          </m:sub>
        </m:sSub>
        <m:r>
          <w:rPr>
            <w:rFonts w:ascii="Cambria Math" w:hAnsi="Cambria Math"/>
          </w:rPr>
          <m:t>(i)</m:t>
        </m:r>
      </m:oMath>
      <w:r>
        <w:t xml:space="preserve"> symbols before PUSCH transmission</w:t>
      </w:r>
      <w:r w:rsidR="004F0C02">
        <w:t xml:space="preserve"> </w:t>
      </w:r>
      <w:r>
        <w:t xml:space="preserve">occasion </w:t>
      </w:r>
      <m:oMath>
        <m:r>
          <w:rPr>
            <w:rFonts w:ascii="Cambria Math" w:hAnsi="Cambria Math"/>
            <w:lang w:val="en-US"/>
          </w:rPr>
          <m:t>i</m:t>
        </m:r>
      </m:oMath>
      <w:r>
        <w:t xml:space="preserve"> on active </w:t>
      </w:r>
      <w:r>
        <w:rPr>
          <w:lang w:val="en-US"/>
        </w:rPr>
        <w:t xml:space="preserve">UL BWP </w:t>
      </w:r>
      <m:oMath>
        <m:r>
          <w:rPr>
            <w:rFonts w:ascii="Cambria Math" w:hAnsi="Cambria Math"/>
            <w:lang w:val="en-US"/>
          </w:rPr>
          <m:t>b</m:t>
        </m:r>
      </m:oMath>
      <w:r>
        <w:rPr>
          <w:iCs/>
          <w:lang w:val="en-US"/>
        </w:rPr>
        <w:t xml:space="preserve"> </w:t>
      </w:r>
      <w:r>
        <w:rPr>
          <w:lang w:val="en-US"/>
        </w:rPr>
        <w:t>of</w:t>
      </w:r>
      <w:r w:rsidRPr="00B916EC">
        <w:rPr>
          <w:lang w:val="en-US"/>
        </w:rPr>
        <w:t xml:space="preserve"> carrier </w:t>
      </w:r>
      <m:oMath>
        <m:r>
          <w:rPr>
            <w:rFonts w:ascii="Cambria Math" w:hAnsi="Cambria Math"/>
            <w:lang w:val="en-US"/>
          </w:rPr>
          <m:t>f</m:t>
        </m:r>
      </m:oMath>
      <w:r w:rsidRPr="00B916EC">
        <w:rPr>
          <w:iCs/>
          <w:lang w:val="en-US"/>
        </w:rPr>
        <w:t xml:space="preserve"> of</w:t>
      </w:r>
      <w:r w:rsidRPr="00B916EC">
        <w:t xml:space="preserve"> serving cell </w:t>
      </w:r>
      <m:oMath>
        <m:r>
          <w:rPr>
            <w:rFonts w:ascii="Cambria Math" w:hAnsi="Cambria Math"/>
          </w:rPr>
          <m:t>c</m:t>
        </m:r>
      </m:oMath>
      <w:r>
        <w:t xml:space="preserve"> for PUSCH power control adjustment state </w:t>
      </w:r>
      <m:oMath>
        <m:r>
          <w:rPr>
            <w:rFonts w:ascii="Cambria Math" w:hAnsi="Cambria Math"/>
          </w:rPr>
          <m:t>l</m:t>
        </m:r>
      </m:oMath>
      <w:r>
        <w:t xml:space="preserve">, where </w:t>
      </w:r>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&gt;0</m:t>
        </m:r>
      </m:oMath>
      <w:r>
        <w:t xml:space="preserve"> is the smallest integer for which </w:t>
      </w:r>
      <m:oMath>
        <m:sSub>
          <m:sSubPr>
            <m:ctrlPr>
              <w:rPr>
                <w:rFonts w:ascii="Cambria Math" w:hAnsi="Cambria Math"/>
                <w:iCs/>
              </w:rPr>
            </m:ctrlPr>
          </m:sSubPr>
          <m:e>
            <m:r>
              <w:rPr>
                <w:rFonts w:ascii="Cambria Math" w:hAnsi="Cambria Math"/>
              </w:rPr>
              <m:t>K</m:t>
            </m:r>
          </m:e>
          <m:sub>
            <m:r>
              <m:rPr>
                <m:sty m:val="p"/>
              </m:rPr>
              <w:rPr>
                <w:rFonts w:ascii="Cambria Math"/>
              </w:rPr>
              <m:t>PUSCH</m:t>
            </m:r>
          </m:sub>
        </m:s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oMath>
      <w:r>
        <w:t xml:space="preserve"> symbols before PUSCH transmission occasion </w:t>
      </w:r>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is earlier than </w:t>
      </w:r>
      <m:oMath>
        <m:sSub>
          <m:sSubPr>
            <m:ctrlPr>
              <w:rPr>
                <w:rFonts w:ascii="Cambria Math" w:hAnsi="Cambria Math"/>
                <w:iCs/>
              </w:rPr>
            </m:ctrlPr>
          </m:sSubPr>
          <m:e>
            <m:r>
              <w:rPr>
                <w:rFonts w:ascii="Cambria Math" w:hAnsi="Cambria Math"/>
              </w:rPr>
              <m:t>K</m:t>
            </m:r>
          </m:e>
          <m:sub>
            <m:r>
              <m:rPr>
                <m:sty m:val="p"/>
              </m:rPr>
              <w:rPr>
                <w:rFonts w:ascii="Cambria Math"/>
              </w:rPr>
              <m:t>PUSCH</m:t>
            </m:r>
          </m:sub>
        </m:sSub>
        <m:r>
          <w:rPr>
            <w:rFonts w:ascii="Cambria Math" w:hAnsi="Cambria Math"/>
          </w:rPr>
          <m:t>(i)</m:t>
        </m:r>
      </m:oMath>
      <w:r>
        <w:t xml:space="preserve"> symbols before PUSCH transmission occasion </w:t>
      </w:r>
      <m:oMath>
        <m:r>
          <w:rPr>
            <w:rFonts w:ascii="Cambria Math" w:hAnsi="Cambria Math"/>
          </w:rPr>
          <m:t>i</m:t>
        </m:r>
      </m:oMath>
    </w:p>
    <w:p w14:paraId="03A0CC1F" w14:textId="59598523" w:rsidR="00692FB9" w:rsidRPr="00B916EC" w:rsidRDefault="00692FB9" w:rsidP="00692FB9">
      <w:pPr>
        <w:pStyle w:val="B3"/>
        <w:rPr>
          <w:lang w:val="en-US"/>
        </w:rPr>
      </w:pPr>
      <w:r>
        <w:t>-</w:t>
      </w:r>
      <w:r>
        <w:tab/>
        <w:t xml:space="preserve">If a PUSCH transmission is scheduled by a DCI format, </w:t>
      </w:r>
      <m:oMath>
        <m:sSub>
          <m:sSubPr>
            <m:ctrlPr>
              <w:rPr>
                <w:rFonts w:ascii="Cambria Math" w:hAnsi="Cambria Math"/>
                <w:iCs/>
              </w:rPr>
            </m:ctrlPr>
          </m:sSubPr>
          <m:e>
            <m:r>
              <w:rPr>
                <w:rFonts w:ascii="Cambria Math" w:hAnsi="Cambria Math"/>
              </w:rPr>
              <m:t>K</m:t>
            </m:r>
          </m:e>
          <m:sub>
            <m:r>
              <m:rPr>
                <m:sty m:val="p"/>
              </m:rPr>
              <w:rPr>
                <w:rFonts w:ascii="Cambria Math"/>
              </w:rPr>
              <m:t>PUSCH</m:t>
            </m:r>
          </m:sub>
        </m:sSub>
        <m:r>
          <w:rPr>
            <w:rFonts w:ascii="Cambria Math" w:hAnsi="Cambria Math"/>
          </w:rPr>
          <m:t>(i)</m:t>
        </m:r>
      </m:oMath>
      <w:r>
        <w:t xml:space="preserve"> is a number of symbols </w:t>
      </w:r>
      <w:r w:rsidRPr="00B916EC">
        <w:t xml:space="preserve">for </w:t>
      </w:r>
      <w:r>
        <w:t xml:space="preserve">active </w:t>
      </w:r>
      <w:r>
        <w:rPr>
          <w:lang w:val="en-US"/>
        </w:rPr>
        <w:t>UL BWP</w:t>
      </w:r>
      <w:r w:rsidR="009A0ACD">
        <w:rPr>
          <w:lang w:val="en-US"/>
        </w:rPr>
        <w:t xml:space="preserve"> </w:t>
      </w:r>
      <m:oMath>
        <m:r>
          <w:rPr>
            <w:rFonts w:ascii="Cambria Math" w:hAnsi="Cambria Math"/>
          </w:rPr>
          <m:t>b</m:t>
        </m:r>
      </m:oMath>
      <w:r w:rsidR="009A0ACD" w:rsidRPr="00F415B1">
        <w:rPr>
          <w:iCs/>
          <w:lang w:val="en-US"/>
        </w:rPr>
        <w:t xml:space="preserve"> </w:t>
      </w:r>
      <w:r w:rsidR="009A0ACD" w:rsidRPr="00F415B1">
        <w:rPr>
          <w:lang w:val="en-US"/>
        </w:rPr>
        <w:t xml:space="preserve">of carrier </w:t>
      </w:r>
      <m:oMath>
        <m:r>
          <w:rPr>
            <w:rFonts w:ascii="Cambria Math" w:hAnsi="Cambria Math"/>
            <w:lang w:val="en-US"/>
          </w:rPr>
          <m:t>f</m:t>
        </m:r>
      </m:oMath>
      <w:r w:rsidR="009A0ACD" w:rsidRPr="00F415B1">
        <w:rPr>
          <w:iCs/>
          <w:lang w:val="en-US"/>
        </w:rPr>
        <w:t xml:space="preserve"> of</w:t>
      </w:r>
      <w:r w:rsidR="009A0ACD" w:rsidRPr="00F415B1">
        <w:t xml:space="preserve"> serving cell </w:t>
      </w:r>
      <m:oMath>
        <m:r>
          <w:rPr>
            <w:rFonts w:ascii="Cambria Math" w:hAnsi="Cambria Math"/>
          </w:rPr>
          <m:t>c</m:t>
        </m:r>
      </m:oMath>
      <w:r>
        <w:t xml:space="preserve"> after a last symbol of a corresponding PDCCH reception and before a first symbol of the PUSCH transmission </w:t>
      </w:r>
    </w:p>
    <w:p w14:paraId="4AC367D9" w14:textId="0E4BBC64" w:rsidR="00692FB9" w:rsidRDefault="00692FB9" w:rsidP="00692FB9">
      <w:pPr>
        <w:pStyle w:val="B3"/>
      </w:pPr>
      <w:r w:rsidRPr="008471F8">
        <w:t>-</w:t>
      </w:r>
      <w:r w:rsidRPr="008471F8">
        <w:tab/>
        <w:t xml:space="preserve">If </w:t>
      </w:r>
      <w:r>
        <w:t>a</w:t>
      </w:r>
      <w:r w:rsidRPr="008471F8">
        <w:t xml:space="preserve"> PUSCH transmission is configured by </w:t>
      </w:r>
      <w:r w:rsidRPr="008471F8">
        <w:rPr>
          <w:i/>
          <w:iCs/>
        </w:rPr>
        <w:t>ConfiguredGrantConfig</w:t>
      </w:r>
      <w:r w:rsidRPr="008471F8">
        <w:t xml:space="preserve">, </w:t>
      </w:r>
      <m:oMath>
        <m:sSub>
          <m:sSubPr>
            <m:ctrlPr>
              <w:rPr>
                <w:rFonts w:ascii="Cambria Math" w:hAnsi="Cambria Math"/>
                <w:iCs/>
              </w:rPr>
            </m:ctrlPr>
          </m:sSubPr>
          <m:e>
            <m:r>
              <w:rPr>
                <w:rFonts w:ascii="Cambria Math" w:hAnsi="Cambria Math"/>
              </w:rPr>
              <m:t>K</m:t>
            </m:r>
          </m:e>
          <m:sub>
            <m:r>
              <m:rPr>
                <m:sty m:val="p"/>
              </m:rPr>
              <w:rPr>
                <w:rFonts w:ascii="Cambria Math"/>
              </w:rPr>
              <m:t>PUSCH</m:t>
            </m:r>
          </m:sub>
        </m:sSub>
        <m:r>
          <w:rPr>
            <w:rFonts w:ascii="Cambria Math" w:hAnsi="Cambria Math"/>
          </w:rPr>
          <m:t>(i)</m:t>
        </m:r>
      </m:oMath>
      <w:r w:rsidRPr="008471F8">
        <w:t xml:space="preserve"> is a number of </w:t>
      </w:r>
      <m:oMath>
        <m:sSub>
          <m:sSubPr>
            <m:ctrlPr>
              <w:rPr>
                <w:rFonts w:ascii="Cambria Math" w:hAnsi="Cambria Math"/>
                <w:iCs/>
              </w:rPr>
            </m:ctrlPr>
          </m:sSubPr>
          <m:e>
            <m:r>
              <w:rPr>
                <w:rFonts w:ascii="Cambria Math" w:hAnsi="Cambria Math"/>
              </w:rPr>
              <m:t>K</m:t>
            </m:r>
          </m:e>
          <m:sub>
            <m:r>
              <m:rPr>
                <m:sty m:val="p"/>
              </m:rPr>
              <w:rPr>
                <w:rFonts w:ascii="Cambria Math"/>
              </w:rPr>
              <m:t>PUSCH,min</m:t>
            </m:r>
          </m:sub>
        </m:sSub>
      </m:oMath>
      <w:r w:rsidRPr="008471F8">
        <w:t xml:space="preserve"> symbols equal to the product of a number of symbols per slot, </w:t>
      </w:r>
      <m:oMath>
        <m:sSubSup>
          <m:sSubSupPr>
            <m:ctrlPr>
              <w:rPr>
                <w:rFonts w:ascii="Cambria Math" w:hAnsi="Cambria Math"/>
                <w:iCs/>
                <w:lang w:val="x-none"/>
              </w:rPr>
            </m:ctrlPr>
          </m:sSubSupPr>
          <m:e>
            <m:r>
              <w:rPr>
                <w:rFonts w:ascii="Cambria Math" w:hAnsi="Cambria Math"/>
              </w:rPr>
              <m:t>N</m:t>
            </m:r>
          </m:e>
          <m:sub>
            <m:r>
              <m:rPr>
                <m:sty m:val="p"/>
              </m:rPr>
              <w:rPr>
                <w:rFonts w:ascii="Cambria Math" w:hAnsi="Cambria Math"/>
              </w:rPr>
              <m:t>symb</m:t>
            </m:r>
          </m:sub>
          <m:sup>
            <m:r>
              <m:rPr>
                <m:sty m:val="p"/>
              </m:rPr>
              <w:rPr>
                <w:rFonts w:ascii="Cambria Math" w:hAnsi="Cambria Math"/>
              </w:rPr>
              <m:t>slot</m:t>
            </m:r>
          </m:sup>
        </m:sSubSup>
      </m:oMath>
      <w:r w:rsidRPr="008471F8">
        <w:t xml:space="preserve">, and the minimum of the values provided by </w:t>
      </w:r>
      <w:r w:rsidRPr="008471F8">
        <w:rPr>
          <w:i/>
        </w:rPr>
        <w:t>k2</w:t>
      </w:r>
      <w:r w:rsidRPr="008471F8">
        <w:t xml:space="preserve"> </w:t>
      </w:r>
      <w:r w:rsidRPr="008471F8">
        <w:rPr>
          <w:rFonts w:hint="eastAsia"/>
        </w:rPr>
        <w:t xml:space="preserve">in </w:t>
      </w:r>
      <w:r w:rsidRPr="008471F8">
        <w:rPr>
          <w:rFonts w:hint="eastAsia"/>
          <w:i/>
          <w:iCs/>
        </w:rPr>
        <w:t xml:space="preserve">PUSCH-ConfigCommon </w:t>
      </w:r>
      <w:r w:rsidRPr="008471F8">
        <w:t xml:space="preserve">for </w:t>
      </w:r>
      <w:r>
        <w:t xml:space="preserve">active </w:t>
      </w:r>
      <w:r w:rsidRPr="008471F8">
        <w:rPr>
          <w:lang w:val="en-US"/>
        </w:rPr>
        <w:t>UL BWP</w:t>
      </w:r>
      <w:r w:rsidR="00CB6B38" w:rsidRPr="00F415B1">
        <w:rPr>
          <w:lang w:val="en-US"/>
        </w:rPr>
        <w:t xml:space="preserve"> </w:t>
      </w:r>
      <m:oMath>
        <m:r>
          <w:rPr>
            <w:rFonts w:ascii="Cambria Math" w:hAnsi="Cambria Math"/>
          </w:rPr>
          <m:t>b</m:t>
        </m:r>
      </m:oMath>
      <w:r w:rsidR="00CB6B38" w:rsidRPr="00F415B1">
        <w:rPr>
          <w:iCs/>
          <w:lang w:val="en-US"/>
        </w:rPr>
        <w:t xml:space="preserve"> </w:t>
      </w:r>
      <w:r w:rsidR="00CB6B38" w:rsidRPr="00F415B1">
        <w:rPr>
          <w:lang w:val="en-US"/>
        </w:rPr>
        <w:t xml:space="preserve">of carrier </w:t>
      </w:r>
      <m:oMath>
        <m:r>
          <w:rPr>
            <w:rFonts w:ascii="Cambria Math" w:hAnsi="Cambria Math"/>
            <w:lang w:val="en-US"/>
          </w:rPr>
          <m:t>f</m:t>
        </m:r>
      </m:oMath>
      <w:r w:rsidR="00CB6B38" w:rsidRPr="00F415B1">
        <w:rPr>
          <w:iCs/>
          <w:lang w:val="en-US"/>
        </w:rPr>
        <w:t xml:space="preserve"> of</w:t>
      </w:r>
      <w:r w:rsidR="00CB6B38" w:rsidRPr="00F415B1">
        <w:t xml:space="preserve"> serving cell </w:t>
      </w:r>
      <m:oMath>
        <m:r>
          <w:rPr>
            <w:rFonts w:ascii="Cambria Math" w:hAnsi="Cambria Math"/>
          </w:rPr>
          <m:t>c</m:t>
        </m:r>
      </m:oMath>
    </w:p>
    <w:p w14:paraId="0A8711E9" w14:textId="4D7DF6FB" w:rsidR="00C570D7" w:rsidRPr="008471F8" w:rsidRDefault="00F9623F" w:rsidP="00F9623F">
      <w:pPr>
        <w:pStyle w:val="B4"/>
        <w:rPr>
          <w:lang w:val="en-US"/>
        </w:rPr>
      </w:pPr>
      <w:r>
        <w:t>-</w:t>
      </w:r>
      <w:r>
        <w:tab/>
        <w:t xml:space="preserve">If the first symbol of the PUSCH transmission occasion occurs within </w:t>
      </w:r>
      <m:oMath>
        <m:sSub>
          <m:sSubPr>
            <m:ctrlPr>
              <w:rPr>
                <w:rFonts w:ascii="Cambria Math" w:hAnsi="Cambria Math"/>
                <w:i/>
                <w:iCs/>
                <w:sz w:val="24"/>
                <w:szCs w:val="24"/>
              </w:rPr>
            </m:ctrlPr>
          </m:sSubPr>
          <m:e>
            <m:r>
              <w:rPr>
                <w:rFonts w:ascii="Cambria Math" w:hAnsi="Cambria Math"/>
              </w:rPr>
              <m:t>T</m:t>
            </m:r>
          </m:e>
          <m:sub>
            <m:r>
              <m:rPr>
                <m:sty m:val="p"/>
              </m:rPr>
              <w:rPr>
                <w:rFonts w:ascii="Cambria Math" w:hAnsi="Cambria Math"/>
              </w:rPr>
              <m:t>proc,2</m:t>
            </m:r>
            <m:ctrlPr>
              <w:rPr>
                <w:rFonts w:ascii="Cambria Math" w:hAnsi="Cambria Math"/>
                <w:sz w:val="24"/>
                <w:szCs w:val="24"/>
              </w:rPr>
            </m:ctrlPr>
          </m:sub>
        </m:sSub>
      </m:oMath>
      <w:r>
        <w:rPr>
          <w:sz w:val="24"/>
          <w:szCs w:val="24"/>
        </w:rPr>
        <w:t xml:space="preserve"> </w:t>
      </w:r>
      <w:r>
        <w:t xml:space="preserve">after a last symbol of a </w:t>
      </w:r>
      <w:r w:rsidR="00651277">
        <w:t>PDCCH reception</w:t>
      </w:r>
      <w:r>
        <w:t xml:space="preserve"> where the UE detects the DCI format providing the TPC command, the UE may postpone the application of the TPC command until the above condition is not valid</w:t>
      </w:r>
      <w:r>
        <w:rPr>
          <w:sz w:val="24"/>
          <w:szCs w:val="24"/>
        </w:rPr>
        <w:t xml:space="preserve">. </w:t>
      </w:r>
      <m:oMath>
        <m:sSub>
          <m:sSubPr>
            <m:ctrlPr>
              <w:rPr>
                <w:rFonts w:ascii="Cambria Math" w:hAnsi="Cambria Math"/>
                <w:i/>
                <w:iCs/>
                <w:sz w:val="24"/>
                <w:szCs w:val="24"/>
              </w:rPr>
            </m:ctrlPr>
          </m:sSubPr>
          <m:e>
            <m:r>
              <w:rPr>
                <w:rFonts w:ascii="Cambria Math" w:hAnsi="Cambria Math"/>
              </w:rPr>
              <m:t>T</m:t>
            </m:r>
          </m:e>
          <m:sub>
            <m:r>
              <m:rPr>
                <m:sty m:val="p"/>
              </m:rPr>
              <w:rPr>
                <w:rFonts w:ascii="Cambria Math" w:hAnsi="Cambria Math"/>
              </w:rPr>
              <m:t>proc,2</m:t>
            </m:r>
          </m:sub>
        </m:sSub>
      </m:oMath>
      <w:r>
        <w:t xml:space="preserve"> is the PUSCH preparation time for the corresponding UE processing capability [6, TS 38.214] assuming </w:t>
      </w:r>
      <m:oMath>
        <m:sSub>
          <m:sSubPr>
            <m:ctrlPr>
              <w:rPr>
                <w:rFonts w:ascii="Cambria Math" w:hAnsi="Cambria Math"/>
                <w:i/>
                <w:iCs/>
                <w:sz w:val="24"/>
                <w:szCs w:val="24"/>
              </w:rPr>
            </m:ctrlPr>
          </m:sSubPr>
          <m:e>
            <m:r>
              <w:rPr>
                <w:rFonts w:ascii="Cambria Math" w:hAnsi="Cambria Math"/>
              </w:rPr>
              <m:t>d</m:t>
            </m:r>
          </m:e>
          <m:sub>
            <m:r>
              <m:rPr>
                <m:sty m:val="p"/>
              </m:rPr>
              <w:rPr>
                <w:rFonts w:ascii="Cambria Math" w:hAnsi="Cambria Math"/>
              </w:rPr>
              <m:t>2,1</m:t>
            </m:r>
            <m:ctrlPr>
              <w:rPr>
                <w:rFonts w:ascii="Cambria Math" w:hAnsi="Cambria Math"/>
                <w:sz w:val="24"/>
                <w:szCs w:val="24"/>
              </w:rPr>
            </m:ctrlPr>
          </m:sub>
        </m:sSub>
        <m:r>
          <w:rPr>
            <w:rFonts w:ascii="Cambria Math" w:hAnsi="Cambria Math"/>
          </w:rPr>
          <m:t>=0</m:t>
        </m:r>
      </m:oMath>
      <w:r>
        <w:rPr>
          <w:iCs/>
        </w:rPr>
        <w:t xml:space="preserve">, </w:t>
      </w:r>
      <w:r>
        <w:t xml:space="preserve">and </w:t>
      </w:r>
      <m:oMath>
        <m:r>
          <w:rPr>
            <w:rFonts w:ascii="Cambria Math" w:hAnsi="Cambria Math"/>
          </w:rPr>
          <m:t>μ</m:t>
        </m:r>
      </m:oMath>
      <w:r>
        <w:t xml:space="preserve"> corresponds to the smallest SCS configuration between the SCS configuration of the PDCCH carrying the DCI format and the SCS configuration of the PUSCH.</w:t>
      </w:r>
    </w:p>
    <w:p w14:paraId="4573DE93" w14:textId="355F2271" w:rsidR="00692FB9" w:rsidRPr="00B916EC" w:rsidRDefault="00692FB9" w:rsidP="00692FB9">
      <w:pPr>
        <w:pStyle w:val="B3"/>
        <w:rPr>
          <w:lang w:val="en-US"/>
        </w:rPr>
      </w:pPr>
      <w:r>
        <w:t>-</w:t>
      </w:r>
      <w:r>
        <w:tab/>
      </w:r>
      <w:r w:rsidRPr="00B916EC">
        <w:t xml:space="preserve">If </w:t>
      </w:r>
      <w:r w:rsidRPr="00B916EC">
        <w:rPr>
          <w:lang w:val="en-US"/>
        </w:rPr>
        <w:t xml:space="preserve">the </w:t>
      </w:r>
      <w:r w:rsidRPr="00B916EC">
        <w:t>UE has reached</w:t>
      </w:r>
      <w:r>
        <w:t xml:space="preserve"> maximum power</w:t>
      </w:r>
      <w:r w:rsidRPr="00B916EC">
        <w:t xml:space="preserve"> for </w:t>
      </w:r>
      <w:r>
        <w:t xml:space="preserve">active </w:t>
      </w:r>
      <w:r>
        <w:rPr>
          <w:lang w:val="en-US"/>
        </w:rPr>
        <w:t>UL BWP</w:t>
      </w:r>
      <w:r w:rsidR="0055735C">
        <w:rPr>
          <w:lang w:val="en-US"/>
        </w:rPr>
        <w:t xml:space="preserve"> </w:t>
      </w:r>
      <m:oMath>
        <m:r>
          <w:rPr>
            <w:rFonts w:ascii="Cambria Math" w:hAnsi="Cambria Math"/>
          </w:rPr>
          <m:t>b</m:t>
        </m:r>
      </m:oMath>
      <w:r w:rsidR="0055735C" w:rsidRPr="00F415B1">
        <w:rPr>
          <w:iCs/>
          <w:lang w:val="en-US"/>
        </w:rPr>
        <w:t xml:space="preserve"> </w:t>
      </w:r>
      <w:r w:rsidR="0055735C" w:rsidRPr="00F415B1">
        <w:rPr>
          <w:lang w:val="en-US"/>
        </w:rPr>
        <w:t xml:space="preserve">of carrier </w:t>
      </w:r>
      <m:oMath>
        <m:r>
          <w:rPr>
            <w:rFonts w:ascii="Cambria Math" w:hAnsi="Cambria Math"/>
            <w:lang w:val="en-US"/>
          </w:rPr>
          <m:t>f</m:t>
        </m:r>
      </m:oMath>
      <w:r w:rsidR="0055735C" w:rsidRPr="00F415B1">
        <w:rPr>
          <w:iCs/>
          <w:lang w:val="en-US"/>
        </w:rPr>
        <w:t xml:space="preserve"> of</w:t>
      </w:r>
      <w:r w:rsidR="0055735C" w:rsidRPr="00F415B1">
        <w:t xml:space="preserve"> serving cell </w:t>
      </w:r>
      <m:oMath>
        <m:r>
          <w:rPr>
            <w:rFonts w:ascii="Cambria Math" w:hAnsi="Cambria Math"/>
          </w:rPr>
          <m:t>c</m:t>
        </m:r>
      </m:oMath>
      <w:r w:rsidR="0055735C">
        <w:rPr>
          <w:iCs/>
          <w:position w:val="-6"/>
        </w:rPr>
        <w:t xml:space="preserve"> </w:t>
      </w:r>
      <w:r>
        <w:t xml:space="preserve">at PUSCH transmission occasion </w:t>
      </w:r>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and </w:t>
      </w:r>
      <m:oMath>
        <m:nary>
          <m:naryPr>
            <m:chr m:val="∑"/>
            <m:limLoc m:val="undOvr"/>
            <m:ctrlPr>
              <w:rPr>
                <w:rFonts w:ascii="Cambria Math" w:hAnsi="Cambria Math"/>
                <w:i/>
              </w:rPr>
            </m:ctrlPr>
          </m:naryPr>
          <m:sub>
            <m:r>
              <w:rPr>
                <w:rFonts w:ascii="Cambria Math" w:hAnsi="Cambria Math"/>
              </w:rPr>
              <m:t>m=0</m:t>
            </m:r>
          </m:sub>
          <m:sup>
            <m:r>
              <m:rPr>
                <m:nor/>
              </m:rPr>
              <w:rPr>
                <w:rFonts w:ascii="Freestyle Script" w:hAnsi="Freestyle Script"/>
              </w:rPr>
              <m:t>C</m:t>
            </m:r>
            <m:d>
              <m:dPr>
                <m:ctrlPr>
                  <w:rPr>
                    <w:rFonts w:ascii="Cambria Math" w:hAnsi="Cambria Math" w:cs="Helvetica"/>
                    <w:i/>
                  </w:rPr>
                </m:ctrlPr>
              </m:dPr>
              <m:e>
                <m:sSub>
                  <m:sSubPr>
                    <m:ctrlPr>
                      <w:rPr>
                        <w:rFonts w:ascii="Cambria Math" w:hAnsi="Cambria Math"/>
                        <w:i/>
                        <w:noProof/>
                      </w:rPr>
                    </m:ctrlPr>
                  </m:sSubPr>
                  <m:e>
                    <m:r>
                      <w:rPr>
                        <w:rFonts w:ascii="Cambria Math" w:hAnsi="Cambria Math"/>
                        <w:noProof/>
                      </w:rPr>
                      <m:t>D</m:t>
                    </m:r>
                  </m:e>
                  <m:sub>
                    <m:r>
                      <w:rPr>
                        <w:rFonts w:ascii="Cambria Math" w:hAnsi="Cambria Math"/>
                        <w:noProof/>
                      </w:rPr>
                      <m:t>i</m:t>
                    </m:r>
                  </m:sub>
                </m:sSub>
              </m:e>
            </m:d>
            <m:r>
              <w:rPr>
                <w:rFonts w:ascii="Cambria Math" w:hAnsi="Cambria Math" w:cs="Helvetica"/>
              </w:rPr>
              <m:t>-1</m:t>
            </m:r>
          </m:sup>
          <m:e>
            <m:sSub>
              <m:sSubPr>
                <m:ctrlPr>
                  <w:rPr>
                    <w:rFonts w:ascii="Cambria Math" w:hAnsi="Cambria Math"/>
                    <w:iCs/>
                  </w:rPr>
                </m:ctrlPr>
              </m:sSubPr>
              <m:e>
                <m:r>
                  <w:rPr>
                    <w:rFonts w:ascii="Cambria Math" w:hAnsi="Cambria Math"/>
                  </w:rPr>
                  <m:t>δ</m:t>
                </m:r>
              </m:e>
              <m:sub>
                <m:r>
                  <m:rPr>
                    <m:sty m:val="p"/>
                  </m:rPr>
                  <w:rPr>
                    <w:rFonts w:ascii="Cambria Math"/>
                  </w:rPr>
                  <m:t>PUSCH</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w:rPr>
                <w:rFonts w:ascii="Cambria Math" w:hAnsi="Cambria Math"/>
              </w:rPr>
              <m:t>(m,l)≥0</m:t>
            </m:r>
          </m:e>
        </m:nary>
      </m:oMath>
      <w:r w:rsidRPr="00B916EC">
        <w:t xml:space="preserve">, </w:t>
      </w:r>
      <w:r>
        <w:t xml:space="preserve">then </w:t>
      </w:r>
      <m:oMath>
        <m:sSub>
          <m:sSubPr>
            <m:ctrlPr>
              <w:rPr>
                <w:rFonts w:ascii="Cambria Math" w:hAnsi="Cambria Math"/>
                <w:iCs/>
              </w:rPr>
            </m:ctrlPr>
          </m:sSubPr>
          <m:e>
            <m:r>
              <w:rPr>
                <w:rFonts w:ascii="Cambria Math" w:hAnsi="Cambria Math"/>
              </w:rPr>
              <m:t>f</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i,l</m:t>
            </m:r>
          </m:e>
        </m:d>
        <m:r>
          <w:rPr>
            <w:rFonts w:ascii="Cambria Math"/>
          </w:rPr>
          <m:t>=</m:t>
        </m:r>
        <m:sSub>
          <m:sSubPr>
            <m:ctrlPr>
              <w:rPr>
                <w:rFonts w:ascii="Cambria Math" w:hAnsi="Cambria Math"/>
                <w:iCs/>
              </w:rPr>
            </m:ctrlPr>
          </m:sSubPr>
          <m:e>
            <m:r>
              <w:rPr>
                <w:rFonts w:ascii="Cambria Math" w:hAnsi="Cambria Math"/>
              </w:rPr>
              <m:t>f</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rPr>
              <m:t>,l</m:t>
            </m:r>
          </m:e>
        </m:d>
      </m:oMath>
    </w:p>
    <w:p w14:paraId="092E9914" w14:textId="5BDB2EB5" w:rsidR="00125897" w:rsidRPr="00B916EC" w:rsidRDefault="00126575" w:rsidP="00126575">
      <w:pPr>
        <w:pStyle w:val="B3"/>
        <w:rPr>
          <w:lang w:val="en-US"/>
        </w:rPr>
      </w:pPr>
      <w:r>
        <w:t>-</w:t>
      </w:r>
      <w:r>
        <w:tab/>
      </w:r>
      <w:r w:rsidR="008B1830" w:rsidRPr="00B916EC">
        <w:t>If UE has reached minimum power</w:t>
      </w:r>
      <w:r w:rsidR="003E3E6F" w:rsidRPr="00B916EC">
        <w:rPr>
          <w:lang w:val="en-US"/>
        </w:rPr>
        <w:t xml:space="preserve"> </w:t>
      </w:r>
      <w:r w:rsidR="001E1A10" w:rsidRPr="00B916EC">
        <w:rPr>
          <w:lang w:val="en-US"/>
        </w:rPr>
        <w:t xml:space="preserve">for </w:t>
      </w:r>
      <w:r w:rsidR="00692FB9">
        <w:rPr>
          <w:lang w:val="en-US"/>
        </w:rPr>
        <w:t xml:space="preserve">active </w:t>
      </w:r>
      <w:r w:rsidR="00E80611">
        <w:rPr>
          <w:lang w:val="en-US"/>
        </w:rPr>
        <w:t>UL BWP</w:t>
      </w:r>
      <w:r w:rsidR="0055735C">
        <w:rPr>
          <w:lang w:val="en-US"/>
        </w:rPr>
        <w:t xml:space="preserve"> </w:t>
      </w:r>
      <m:oMath>
        <m:r>
          <w:rPr>
            <w:rFonts w:ascii="Cambria Math" w:hAnsi="Cambria Math"/>
          </w:rPr>
          <m:t>b</m:t>
        </m:r>
      </m:oMath>
      <w:r w:rsidR="0055735C" w:rsidRPr="00F415B1">
        <w:rPr>
          <w:iCs/>
          <w:lang w:val="en-US"/>
        </w:rPr>
        <w:t xml:space="preserve"> </w:t>
      </w:r>
      <w:r w:rsidR="0055735C" w:rsidRPr="00F415B1">
        <w:rPr>
          <w:lang w:val="en-US"/>
        </w:rPr>
        <w:t xml:space="preserve">of carrier </w:t>
      </w:r>
      <m:oMath>
        <m:r>
          <w:rPr>
            <w:rFonts w:ascii="Cambria Math" w:hAnsi="Cambria Math"/>
            <w:lang w:val="en-US"/>
          </w:rPr>
          <m:t>f</m:t>
        </m:r>
      </m:oMath>
      <w:r w:rsidR="0055735C" w:rsidRPr="00F415B1">
        <w:rPr>
          <w:iCs/>
          <w:lang w:val="en-US"/>
        </w:rPr>
        <w:t xml:space="preserve"> of</w:t>
      </w:r>
      <w:r w:rsidR="0055735C" w:rsidRPr="00F415B1">
        <w:t xml:space="preserve"> serving cell </w:t>
      </w:r>
      <m:oMath>
        <m:r>
          <w:rPr>
            <w:rFonts w:ascii="Cambria Math" w:hAnsi="Cambria Math"/>
          </w:rPr>
          <m:t>c</m:t>
        </m:r>
      </m:oMath>
      <w:r w:rsidR="0055735C">
        <w:rPr>
          <w:iCs/>
          <w:position w:val="-6"/>
        </w:rPr>
        <w:t xml:space="preserve"> </w:t>
      </w:r>
      <w:r w:rsidR="00692FB9">
        <w:t xml:space="preserve">at PUSCH transmission occasion </w:t>
      </w:r>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0</m:t>
            </m:r>
          </m:sub>
        </m:sSub>
      </m:oMath>
      <w:r w:rsidR="00692FB9">
        <w:t xml:space="preserve"> and </w:t>
      </w:r>
      <m:oMath>
        <m:nary>
          <m:naryPr>
            <m:chr m:val="∑"/>
            <m:limLoc m:val="undOvr"/>
            <m:ctrlPr>
              <w:rPr>
                <w:rFonts w:ascii="Cambria Math" w:hAnsi="Cambria Math"/>
                <w:i/>
              </w:rPr>
            </m:ctrlPr>
          </m:naryPr>
          <m:sub>
            <m:r>
              <w:rPr>
                <w:rFonts w:ascii="Cambria Math" w:hAnsi="Cambria Math"/>
              </w:rPr>
              <m:t>m=0</m:t>
            </m:r>
          </m:sub>
          <m:sup>
            <m:r>
              <m:rPr>
                <m:nor/>
              </m:rPr>
              <w:rPr>
                <w:rFonts w:ascii="Freestyle Script" w:hAnsi="Freestyle Script"/>
              </w:rPr>
              <m:t>C</m:t>
            </m:r>
            <m:d>
              <m:dPr>
                <m:ctrlPr>
                  <w:rPr>
                    <w:rFonts w:ascii="Cambria Math" w:hAnsi="Cambria Math" w:cs="Helvetica"/>
                    <w:i/>
                  </w:rPr>
                </m:ctrlPr>
              </m:dPr>
              <m:e>
                <m:sSub>
                  <m:sSubPr>
                    <m:ctrlPr>
                      <w:rPr>
                        <w:rFonts w:ascii="Cambria Math" w:hAnsi="Cambria Math"/>
                        <w:i/>
                        <w:noProof/>
                      </w:rPr>
                    </m:ctrlPr>
                  </m:sSubPr>
                  <m:e>
                    <m:r>
                      <w:rPr>
                        <w:rFonts w:ascii="Cambria Math" w:hAnsi="Cambria Math"/>
                        <w:noProof/>
                      </w:rPr>
                      <m:t>D</m:t>
                    </m:r>
                  </m:e>
                  <m:sub>
                    <m:r>
                      <w:rPr>
                        <w:rFonts w:ascii="Cambria Math" w:hAnsi="Cambria Math"/>
                        <w:noProof/>
                      </w:rPr>
                      <m:t>i</m:t>
                    </m:r>
                  </m:sub>
                </m:sSub>
              </m:e>
            </m:d>
            <m:r>
              <w:rPr>
                <w:rFonts w:ascii="Cambria Math" w:hAnsi="Cambria Math" w:cs="Helvetica"/>
              </w:rPr>
              <m:t>-1</m:t>
            </m:r>
          </m:sup>
          <m:e>
            <m:sSub>
              <m:sSubPr>
                <m:ctrlPr>
                  <w:rPr>
                    <w:rFonts w:ascii="Cambria Math" w:hAnsi="Cambria Math"/>
                    <w:iCs/>
                  </w:rPr>
                </m:ctrlPr>
              </m:sSubPr>
              <m:e>
                <m:r>
                  <w:rPr>
                    <w:rFonts w:ascii="Cambria Math" w:hAnsi="Cambria Math"/>
                  </w:rPr>
                  <m:t>δ</m:t>
                </m:r>
              </m:e>
              <m:sub>
                <m:r>
                  <m:rPr>
                    <m:sty m:val="p"/>
                  </m:rPr>
                  <w:rPr>
                    <w:rFonts w:ascii="Cambria Math"/>
                  </w:rPr>
                  <m:t>PUSCH</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w:rPr>
                <w:rFonts w:ascii="Cambria Math" w:hAnsi="Cambria Math"/>
              </w:rPr>
              <m:t>(m,l)≤0</m:t>
            </m:r>
          </m:e>
        </m:nary>
      </m:oMath>
      <w:r w:rsidR="00692FB9" w:rsidRPr="00B916EC">
        <w:t xml:space="preserve">, </w:t>
      </w:r>
      <w:r w:rsidR="00692FB9">
        <w:t xml:space="preserve">then </w:t>
      </w:r>
      <m:oMath>
        <m:sSub>
          <m:sSubPr>
            <m:ctrlPr>
              <w:rPr>
                <w:rFonts w:ascii="Cambria Math" w:hAnsi="Cambria Math"/>
                <w:iCs/>
              </w:rPr>
            </m:ctrlPr>
          </m:sSubPr>
          <m:e>
            <m:r>
              <w:rPr>
                <w:rFonts w:ascii="Cambria Math" w:hAnsi="Cambria Math"/>
              </w:rPr>
              <m:t>f</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i,l</m:t>
            </m:r>
          </m:e>
        </m:d>
        <m:r>
          <w:rPr>
            <w:rFonts w:ascii="Cambria Math"/>
          </w:rPr>
          <m:t>=</m:t>
        </m:r>
        <m:sSub>
          <m:sSubPr>
            <m:ctrlPr>
              <w:rPr>
                <w:rFonts w:ascii="Cambria Math" w:hAnsi="Cambria Math"/>
                <w:iCs/>
              </w:rPr>
            </m:ctrlPr>
          </m:sSubPr>
          <m:e>
            <m:r>
              <w:rPr>
                <w:rFonts w:ascii="Cambria Math" w:hAnsi="Cambria Math"/>
              </w:rPr>
              <m:t>f</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rPr>
              <m:t>,l</m:t>
            </m:r>
          </m:e>
        </m:d>
      </m:oMath>
    </w:p>
    <w:p w14:paraId="5BB3486A" w14:textId="0C4B2A60" w:rsidR="006B1D90" w:rsidRPr="00B916EC" w:rsidRDefault="00126575" w:rsidP="00126575">
      <w:pPr>
        <w:pStyle w:val="B3"/>
        <w:rPr>
          <w:lang w:val="en-US"/>
        </w:rPr>
      </w:pPr>
      <w:r>
        <w:t>-</w:t>
      </w:r>
      <w:r>
        <w:tab/>
      </w:r>
      <w:r w:rsidR="006B1D90" w:rsidRPr="00B916EC">
        <w:t>A UE reset</w:t>
      </w:r>
      <w:r w:rsidR="003E3E6F">
        <w:t>s</w:t>
      </w:r>
      <w:r w:rsidR="00B2532F">
        <w:t xml:space="preserve"> accumulation</w:t>
      </w:r>
      <w:r w:rsidR="006B1D90" w:rsidRPr="00B916EC">
        <w:rPr>
          <w:lang w:val="en-US"/>
        </w:rPr>
        <w:t xml:space="preserve"> </w:t>
      </w:r>
      <w:r w:rsidR="00692FB9">
        <w:rPr>
          <w:lang w:val="en-US"/>
        </w:rPr>
        <w:t xml:space="preserve">of a </w:t>
      </w:r>
      <w:r w:rsidR="00692FB9" w:rsidRPr="00B916EC">
        <w:t>PUSCH power control adjustment state</w:t>
      </w:r>
      <w:r w:rsidR="00692FB9">
        <w:t xml:space="preserve"> </w:t>
      </w:r>
      <m:oMath>
        <m:r>
          <w:rPr>
            <w:rFonts w:ascii="Cambria Math" w:hAnsi="Cambria Math"/>
          </w:rPr>
          <m:t>l</m:t>
        </m:r>
      </m:oMath>
      <w:r w:rsidR="00692FB9">
        <w:rPr>
          <w:iCs/>
        </w:rPr>
        <w:t xml:space="preserve"> </w:t>
      </w:r>
      <w:r w:rsidR="00692FB9" w:rsidRPr="00B916EC">
        <w:rPr>
          <w:lang w:val="en-US"/>
        </w:rPr>
        <w:t xml:space="preserve">for </w:t>
      </w:r>
      <w:r w:rsidR="00692FB9">
        <w:rPr>
          <w:lang w:val="en-US"/>
        </w:rPr>
        <w:t>active</w:t>
      </w:r>
      <w:r w:rsidR="006B1D90" w:rsidRPr="00B916EC">
        <w:rPr>
          <w:lang w:val="en-US"/>
        </w:rPr>
        <w:t xml:space="preserve"> </w:t>
      </w:r>
      <w:r w:rsidR="00E80611">
        <w:rPr>
          <w:lang w:val="en-US"/>
        </w:rPr>
        <w:t>UL BWP</w:t>
      </w:r>
      <w:r w:rsidR="008F02BF">
        <w:rPr>
          <w:lang w:val="en-US"/>
        </w:rPr>
        <w:t xml:space="preserve"> </w:t>
      </w:r>
      <m:oMath>
        <m:r>
          <w:rPr>
            <w:rFonts w:ascii="Cambria Math" w:hAnsi="Cambria Math"/>
          </w:rPr>
          <m:t>b</m:t>
        </m:r>
      </m:oMath>
      <w:r w:rsidR="0055735C" w:rsidRPr="00F415B1">
        <w:rPr>
          <w:iCs/>
          <w:lang w:val="en-US"/>
        </w:rPr>
        <w:t xml:space="preserve"> </w:t>
      </w:r>
      <w:r w:rsidR="0055735C" w:rsidRPr="00F415B1">
        <w:rPr>
          <w:lang w:val="en-US"/>
        </w:rPr>
        <w:t xml:space="preserve">of carrier </w:t>
      </w:r>
      <m:oMath>
        <m:r>
          <w:rPr>
            <w:rFonts w:ascii="Cambria Math" w:hAnsi="Cambria Math"/>
            <w:lang w:val="en-US"/>
          </w:rPr>
          <m:t>f</m:t>
        </m:r>
      </m:oMath>
      <w:r w:rsidR="0055735C" w:rsidRPr="00F415B1">
        <w:rPr>
          <w:iCs/>
          <w:lang w:val="en-US"/>
        </w:rPr>
        <w:t xml:space="preserve"> of</w:t>
      </w:r>
      <w:r w:rsidR="0055735C" w:rsidRPr="00F415B1">
        <w:t xml:space="preserve"> serving cell </w:t>
      </w:r>
      <m:oMath>
        <m:r>
          <w:rPr>
            <w:rFonts w:ascii="Cambria Math" w:hAnsi="Cambria Math"/>
          </w:rPr>
          <m:t>c</m:t>
        </m:r>
      </m:oMath>
      <w:r w:rsidR="0055735C">
        <w:rPr>
          <w:iCs/>
          <w:position w:val="-6"/>
        </w:rPr>
        <w:t xml:space="preserve"> </w:t>
      </w:r>
      <w:r w:rsidR="00692FB9">
        <w:t xml:space="preserve">to </w:t>
      </w:r>
      <m:oMath>
        <m:sSub>
          <m:sSubPr>
            <m:ctrlPr>
              <w:rPr>
                <w:rFonts w:ascii="Cambria Math" w:hAnsi="Cambria Math"/>
                <w:iCs/>
              </w:rPr>
            </m:ctrlPr>
          </m:sSubPr>
          <m:e>
            <m:r>
              <w:rPr>
                <w:rFonts w:ascii="Cambria Math" w:hAnsi="Cambria Math"/>
              </w:rPr>
              <m:t>f</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k,l</m:t>
            </m:r>
          </m:e>
        </m:d>
        <m:r>
          <w:rPr>
            <w:rFonts w:ascii="Cambria Math"/>
          </w:rPr>
          <m:t>=0,  k=0,1,</m:t>
        </m:r>
        <m:r>
          <w:rPr>
            <w:rFonts w:ascii="Cambria Math"/>
          </w:rPr>
          <m:t>…</m:t>
        </m:r>
        <m:r>
          <w:rPr>
            <w:rFonts w:ascii="Cambria Math"/>
          </w:rPr>
          <m:t>,i</m:t>
        </m:r>
      </m:oMath>
    </w:p>
    <w:p w14:paraId="07EDF489" w14:textId="3AA55B80" w:rsidR="004B2011" w:rsidRDefault="00126575" w:rsidP="00126575">
      <w:pPr>
        <w:pStyle w:val="B4"/>
        <w:rPr>
          <w:lang w:val="en-US"/>
        </w:rPr>
      </w:pPr>
      <w:r>
        <w:rPr>
          <w:lang w:val="en-US"/>
        </w:rPr>
        <w:t>-</w:t>
      </w:r>
      <w:r>
        <w:rPr>
          <w:lang w:val="en-US"/>
        </w:rPr>
        <w:tab/>
      </w:r>
      <w:r w:rsidR="00021303">
        <w:rPr>
          <w:lang w:val="en-US"/>
        </w:rPr>
        <w:t>If</w:t>
      </w:r>
      <w:r w:rsidR="00021303" w:rsidRPr="00B916EC">
        <w:rPr>
          <w:lang w:val="en-US"/>
        </w:rPr>
        <w:t xml:space="preserve"> </w:t>
      </w:r>
      <w:r w:rsidR="00021303">
        <w:rPr>
          <w:lang w:val="en-US"/>
        </w:rPr>
        <w:t>a configuration for a corresponding</w:t>
      </w:r>
      <w:r w:rsidR="002E1274" w:rsidRPr="00B916EC">
        <w:rPr>
          <w:lang w:val="en-US"/>
        </w:rPr>
        <w:t xml:space="preserve"> </w:t>
      </w:r>
      <m:oMath>
        <m:sSub>
          <m:sSubPr>
            <m:ctrlPr>
              <w:rPr>
                <w:rFonts w:ascii="Cambria Math" w:hAnsi="Cambria Math"/>
                <w:iCs/>
              </w:rPr>
            </m:ctrlPr>
          </m:sSubPr>
          <m:e>
            <m:r>
              <w:rPr>
                <w:rFonts w:ascii="Cambria Math" w:hAnsi="Cambria Math"/>
              </w:rPr>
              <m:t>P</m:t>
            </m:r>
          </m:e>
          <m:sub>
            <m:r>
              <m:rPr>
                <m:sty m:val="p"/>
              </m:rPr>
              <w:rPr>
                <w:rFonts w:ascii="Cambria Math"/>
              </w:rPr>
              <m:t>O_UE_PUSCH</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oMath>
      <w:r w:rsidR="003E3E6F" w:rsidRPr="00B916EC">
        <w:t xml:space="preserve"> </w:t>
      </w:r>
      <w:r w:rsidR="003E3E6F" w:rsidRPr="00B916EC">
        <w:rPr>
          <w:rFonts w:hint="eastAsia"/>
        </w:rPr>
        <w:t xml:space="preserve">value is </w:t>
      </w:r>
      <w:r w:rsidR="003E3E6F">
        <w:t>provided</w:t>
      </w:r>
      <w:r w:rsidR="004B2011" w:rsidRPr="00B916EC">
        <w:rPr>
          <w:rFonts w:hint="eastAsia"/>
        </w:rPr>
        <w:t xml:space="preserve"> by higher layers</w:t>
      </w:r>
    </w:p>
    <w:p w14:paraId="4ECAE012" w14:textId="74B400EF" w:rsidR="003E3E6F" w:rsidRDefault="00126575" w:rsidP="003E3E6F">
      <w:pPr>
        <w:pStyle w:val="B4"/>
      </w:pPr>
      <w:r>
        <w:rPr>
          <w:lang w:val="en-US"/>
        </w:rPr>
        <w:t>-</w:t>
      </w:r>
      <w:r>
        <w:rPr>
          <w:lang w:val="en-US"/>
        </w:rPr>
        <w:tab/>
      </w:r>
      <w:r w:rsidR="00021303">
        <w:rPr>
          <w:lang w:val="en-US"/>
        </w:rPr>
        <w:t>If</w:t>
      </w:r>
      <w:r w:rsidR="00021303" w:rsidRPr="00B916EC">
        <w:rPr>
          <w:lang w:val="en-US"/>
        </w:rPr>
        <w:t xml:space="preserve"> </w:t>
      </w:r>
      <w:r w:rsidR="00021303">
        <w:rPr>
          <w:lang w:val="en-US"/>
        </w:rPr>
        <w:t>a configuration for a corresponding</w:t>
      </w:r>
      <w:r w:rsidR="00EE0F55" w:rsidRPr="00B916EC">
        <w:rPr>
          <w:lang w:val="en-US"/>
        </w:rPr>
        <w:t xml:space="preserve"> </w:t>
      </w:r>
      <m:oMath>
        <m:sSub>
          <m:sSubPr>
            <m:ctrlPr>
              <w:rPr>
                <w:rFonts w:ascii="Cambria Math" w:hAnsi="Cambria Math"/>
                <w:iCs/>
              </w:rPr>
            </m:ctrlPr>
          </m:sSubPr>
          <m:e>
            <m:r>
              <w:rPr>
                <w:rFonts w:ascii="Cambria Math" w:hAnsi="Cambria Math"/>
              </w:rPr>
              <m:t>α</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oMath>
      <w:r w:rsidR="00021303">
        <w:t xml:space="preserve"> </w:t>
      </w:r>
      <w:r w:rsidR="003E3E6F" w:rsidRPr="00B916EC">
        <w:rPr>
          <w:rFonts w:hint="eastAsia"/>
        </w:rPr>
        <w:t xml:space="preserve">value is </w:t>
      </w:r>
      <w:r w:rsidR="003E3E6F">
        <w:t>provided</w:t>
      </w:r>
      <w:r w:rsidR="00EE0F55" w:rsidRPr="00B916EC">
        <w:rPr>
          <w:rFonts w:hint="eastAsia"/>
        </w:rPr>
        <w:t xml:space="preserve"> by higher layers</w:t>
      </w:r>
    </w:p>
    <w:p w14:paraId="5802E423" w14:textId="5D3B94B1" w:rsidR="00575BD1" w:rsidRPr="00B81AD4" w:rsidRDefault="00575BD1" w:rsidP="00E7186F">
      <w:pPr>
        <w:pStyle w:val="B4"/>
        <w:rPr>
          <w:lang w:val="en-US"/>
        </w:rPr>
      </w:pPr>
      <w:r>
        <w:rPr>
          <w:rFonts w:eastAsia="DengXian"/>
        </w:rPr>
        <w:t xml:space="preserve">where </w:t>
      </w:r>
      <m:oMath>
        <m:r>
          <w:rPr>
            <w:rFonts w:ascii="Cambria Math" w:hAnsi="Cambria Math"/>
            <w:lang w:val="en-US"/>
          </w:rPr>
          <m:t>l</m:t>
        </m:r>
      </m:oMath>
      <w:r w:rsidRPr="00376BE6">
        <w:rPr>
          <w:rFonts w:eastAsia="DengXian"/>
          <w:iCs/>
        </w:rPr>
        <w:t xml:space="preserve"> </w:t>
      </w:r>
      <w:r>
        <w:rPr>
          <w:rFonts w:eastAsia="DengXian"/>
          <w:iCs/>
        </w:rPr>
        <w:t xml:space="preserve">is determined from </w:t>
      </w:r>
      <w:r w:rsidRPr="00376BE6">
        <w:rPr>
          <w:rFonts w:eastAsia="DengXian"/>
          <w:lang w:val="en-US"/>
        </w:rPr>
        <w:t xml:space="preserve">the value of </w:t>
      </w:r>
      <m:oMath>
        <m:r>
          <w:rPr>
            <w:rFonts w:ascii="Cambria Math" w:hAnsi="Cambria Math"/>
            <w:lang w:val="en-US"/>
          </w:rPr>
          <m:t>j</m:t>
        </m:r>
      </m:oMath>
      <w:r>
        <w:rPr>
          <w:rFonts w:eastAsia="DengXian"/>
        </w:rPr>
        <w:t xml:space="preserve"> as </w:t>
      </w:r>
    </w:p>
    <w:p w14:paraId="01F6E524" w14:textId="23311AA8" w:rsidR="00575BD1" w:rsidRPr="009513DB" w:rsidRDefault="00575BD1" w:rsidP="0072309D">
      <w:pPr>
        <w:pStyle w:val="B5"/>
        <w:rPr>
          <w:lang w:val="en-US"/>
        </w:rPr>
      </w:pPr>
      <w:r w:rsidRPr="009513DB">
        <w:rPr>
          <w:lang w:val="en-US"/>
        </w:rPr>
        <w:t>-</w:t>
      </w:r>
      <w:r w:rsidRPr="009513DB">
        <w:rPr>
          <w:lang w:val="en-US"/>
        </w:rPr>
        <w:tab/>
        <w:t xml:space="preserve">If </w:t>
      </w:r>
      <m:oMath>
        <m:r>
          <w:rPr>
            <w:rFonts w:ascii="Cambria Math" w:hAnsi="Cambria Math"/>
            <w:lang w:val="en-US"/>
          </w:rPr>
          <m:t>j&gt;1</m:t>
        </m:r>
      </m:oMath>
      <w:r>
        <w:t xml:space="preserve"> </w:t>
      </w:r>
      <w:r w:rsidRPr="009513DB">
        <w:t xml:space="preserve">and </w:t>
      </w:r>
      <w:r w:rsidRPr="009513DB">
        <w:rPr>
          <w:lang w:val="en-US"/>
        </w:rPr>
        <w:t xml:space="preserve">the UE is provided higher </w:t>
      </w:r>
      <w:r w:rsidRPr="009513DB">
        <w:rPr>
          <w:i/>
        </w:rPr>
        <w:t>SRI-PUSCH-PowerControl</w:t>
      </w:r>
      <w:r w:rsidRPr="009513DB">
        <w:rPr>
          <w:lang w:val="en-US"/>
        </w:rPr>
        <w:t xml:space="preserve">, </w:t>
      </w:r>
      <m:oMath>
        <m:r>
          <w:rPr>
            <w:rFonts w:ascii="Cambria Math" w:hAnsi="Cambria Math"/>
            <w:lang w:val="en-US"/>
          </w:rPr>
          <m:t>l</m:t>
        </m:r>
      </m:oMath>
      <w:r>
        <w:rPr>
          <w:rFonts w:eastAsia="DengXian"/>
        </w:rPr>
        <w:t xml:space="preserve"> is the </w:t>
      </w:r>
      <w:r w:rsidRPr="00376BE6">
        <w:rPr>
          <w:rFonts w:eastAsia="DengXian"/>
          <w:i/>
        </w:rPr>
        <w:t>sri-PUSCH-ClosedLoopIndex</w:t>
      </w:r>
      <w:r w:rsidRPr="00376BE6" w:rsidDel="007F6F04">
        <w:rPr>
          <w:rFonts w:eastAsia="DengXian"/>
          <w:lang w:val="en-US"/>
        </w:rPr>
        <w:t xml:space="preserve"> </w:t>
      </w:r>
      <w:r w:rsidRPr="00376BE6">
        <w:rPr>
          <w:rFonts w:eastAsia="DengXian"/>
          <w:lang w:val="en-US"/>
        </w:rPr>
        <w:t>value</w:t>
      </w:r>
      <w:r>
        <w:rPr>
          <w:rFonts w:eastAsia="DengXian"/>
          <w:lang w:val="en-US"/>
        </w:rPr>
        <w:t>(s)</w:t>
      </w:r>
      <w:r w:rsidRPr="00376BE6">
        <w:rPr>
          <w:rFonts w:eastAsia="DengXian"/>
          <w:lang w:val="en-US"/>
        </w:rPr>
        <w:t xml:space="preserve"> </w:t>
      </w:r>
      <w:r>
        <w:rPr>
          <w:rFonts w:eastAsia="DengXian"/>
          <w:lang w:val="en-US"/>
        </w:rPr>
        <w:t xml:space="preserve">configured in any </w:t>
      </w:r>
      <w:r w:rsidRPr="00376BE6">
        <w:rPr>
          <w:rFonts w:eastAsia="DengXian"/>
          <w:i/>
        </w:rPr>
        <w:t>SRI-PUSCH-PowerControl</w:t>
      </w:r>
      <w:r>
        <w:rPr>
          <w:rFonts w:eastAsia="DengXian"/>
          <w:lang w:val="en-US"/>
        </w:rPr>
        <w:t xml:space="preserve"> </w:t>
      </w:r>
      <w:r w:rsidRPr="009513DB">
        <w:t xml:space="preserve">with the </w:t>
      </w:r>
      <w:r w:rsidRPr="009513DB">
        <w:rPr>
          <w:i/>
        </w:rPr>
        <w:t>sri-P0-PUSCH-AlphaSetId</w:t>
      </w:r>
      <w:r w:rsidRPr="009513DB">
        <w:t xml:space="preserve"> value corresponding to</w:t>
      </w:r>
      <w:r>
        <w:t xml:space="preserve"> </w:t>
      </w:r>
      <m:oMath>
        <m:r>
          <w:rPr>
            <w:rFonts w:ascii="Cambria Math" w:hAnsi="Cambria Math"/>
            <w:lang w:val="en-US"/>
          </w:rPr>
          <m:t>j</m:t>
        </m:r>
      </m:oMath>
      <w:r w:rsidRPr="009513DB">
        <w:t xml:space="preserve"> </w:t>
      </w:r>
    </w:p>
    <w:p w14:paraId="3D3A382C" w14:textId="4271EB2F" w:rsidR="00AD6E56" w:rsidRPr="00AD6E56" w:rsidRDefault="003E3E6F" w:rsidP="0072309D">
      <w:pPr>
        <w:pStyle w:val="B5"/>
      </w:pPr>
      <w:r w:rsidRPr="002114CA">
        <w:rPr>
          <w:lang w:val="en-US"/>
        </w:rPr>
        <w:lastRenderedPageBreak/>
        <w:t>-</w:t>
      </w:r>
      <w:r w:rsidRPr="002114CA">
        <w:rPr>
          <w:lang w:val="en-US"/>
        </w:rPr>
        <w:tab/>
        <w:t xml:space="preserve">If </w:t>
      </w:r>
      <m:oMath>
        <m:r>
          <w:rPr>
            <w:rFonts w:ascii="Cambria Math" w:hAnsi="Cambria Math"/>
            <w:lang w:val="en-US"/>
          </w:rPr>
          <m:t>j&gt;1</m:t>
        </m:r>
      </m:oMath>
      <w:r w:rsidRPr="002114CA">
        <w:t xml:space="preserve"> and </w:t>
      </w:r>
      <w:r w:rsidRPr="002114CA">
        <w:rPr>
          <w:lang w:val="en-US"/>
        </w:rPr>
        <w:t xml:space="preserve">the UE is not provided </w:t>
      </w:r>
      <w:r w:rsidRPr="002114CA">
        <w:rPr>
          <w:i/>
        </w:rPr>
        <w:t>SRI-PUSCH-PowerControl</w:t>
      </w:r>
      <w:r w:rsidR="00575BD1" w:rsidRPr="002114CA">
        <w:t xml:space="preserve"> </w:t>
      </w:r>
      <w:r w:rsidR="00575BD1" w:rsidRPr="002114CA">
        <w:rPr>
          <w:lang w:val="en-US"/>
        </w:rPr>
        <w:t xml:space="preserve">or </w:t>
      </w:r>
      <m:oMath>
        <m:r>
          <w:rPr>
            <w:rFonts w:ascii="Cambria Math" w:hAnsi="Cambria Math"/>
            <w:lang w:val="en-US"/>
          </w:rPr>
          <m:t>j=0</m:t>
        </m:r>
      </m:oMath>
      <w:r w:rsidRPr="002114CA">
        <w:rPr>
          <w:lang w:val="en-US"/>
        </w:rPr>
        <w:t xml:space="preserve">, </w:t>
      </w:r>
      <m:oMath>
        <m:r>
          <w:rPr>
            <w:rFonts w:ascii="Cambria Math" w:hAnsi="Cambria Math"/>
            <w:lang w:val="en-US"/>
          </w:rPr>
          <m:t>l=1</m:t>
        </m:r>
      </m:oMath>
      <w:r w:rsidR="00AD6E56">
        <w:rPr>
          <w:lang w:val="en-US"/>
        </w:rPr>
        <w:t xml:space="preserve"> if </w:t>
      </w:r>
      <m:oMath>
        <m:sSub>
          <m:sSubPr>
            <m:ctrlPr>
              <w:rPr>
                <w:rFonts w:ascii="Cambria Math" w:hAnsi="Cambria Math"/>
                <w:iCs/>
              </w:rPr>
            </m:ctrlPr>
          </m:sSubPr>
          <m:e>
            <m:r>
              <w:rPr>
                <w:rFonts w:ascii="Cambria Math" w:hAnsi="Cambria Math"/>
              </w:rPr>
              <m:t>P</m:t>
            </m:r>
          </m:e>
          <m:sub>
            <m:r>
              <m:rPr>
                <m:sty m:val="p"/>
              </m:rPr>
              <w:rPr>
                <w:rFonts w:ascii="Cambria Math" w:hAnsi="Cambria Math"/>
              </w:rPr>
              <m:t>O_UE_PUSCH</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00AD6E56">
        <w:t xml:space="preserve"> </w:t>
      </w:r>
      <w:r w:rsidR="00AD6E56">
        <w:rPr>
          <w:lang w:val="en-US"/>
        </w:rPr>
        <w:t xml:space="preserve">and </w:t>
      </w:r>
      <m:oMath>
        <m:r>
          <m:rPr>
            <m:sty m:val="p"/>
          </m:rPr>
          <w:rPr>
            <w:rFonts w:ascii="Cambria Math" w:hAnsi="Cambria Math"/>
            <w:lang w:eastAsia="zh-CN"/>
          </w:rPr>
          <m:t xml:space="preserve"> </m:t>
        </m:r>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r>
          <m:rPr>
            <m:sty m:val="p"/>
          </m:rPr>
          <w:rPr>
            <w:rFonts w:ascii="Cambria Math" w:hAnsi="Cambria Math"/>
          </w:rPr>
          <m:t xml:space="preserve"> </m:t>
        </m:r>
      </m:oMath>
      <w:r w:rsidR="00AD6E56">
        <w:t xml:space="preserve"> are provided by the second </w:t>
      </w:r>
      <m:oMath>
        <m:r>
          <w:rPr>
            <w:rFonts w:ascii="Cambria Math" w:hAnsi="Cambria Math"/>
          </w:rPr>
          <m:t>P0-PUSCH-AlphaSet</m:t>
        </m:r>
        <m:r>
          <m:rPr>
            <m:sty m:val="p"/>
          </m:rPr>
          <w:rPr>
            <w:rFonts w:ascii="Cambria Math" w:hAnsi="Cambria Math"/>
          </w:rPr>
          <m:t xml:space="preserve"> in </m:t>
        </m:r>
        <m:r>
          <w:rPr>
            <w:rFonts w:ascii="Cambria Math" w:hAnsi="Cambria Math"/>
          </w:rPr>
          <m:t>p0-AlphaSets</m:t>
        </m:r>
      </m:oMath>
      <w:r w:rsidR="00AD6E56">
        <w:t xml:space="preserve">; otherwise, </w:t>
      </w:r>
      <m:oMath>
        <m:r>
          <w:rPr>
            <w:rFonts w:ascii="Cambria Math" w:hAnsi="Cambria Math"/>
          </w:rPr>
          <m:t>l=0</m:t>
        </m:r>
      </m:oMath>
      <w:r w:rsidR="00AD6E56">
        <w:t xml:space="preserve"> </w:t>
      </w:r>
    </w:p>
    <w:p w14:paraId="4448B3AF" w14:textId="2BFDA89C" w:rsidR="0072309D" w:rsidRDefault="003E3E6F" w:rsidP="0072309D">
      <w:pPr>
        <w:pStyle w:val="B5"/>
        <w:rPr>
          <w:lang w:val="en-US"/>
        </w:rPr>
      </w:pPr>
      <w:r w:rsidRPr="009513DB">
        <w:rPr>
          <w:lang w:val="en-US"/>
        </w:rPr>
        <w:t>-</w:t>
      </w:r>
      <w:r w:rsidRPr="009513DB">
        <w:rPr>
          <w:lang w:val="en-US"/>
        </w:rPr>
        <w:tab/>
        <w:t xml:space="preserve">If </w:t>
      </w:r>
      <m:oMath>
        <m:r>
          <w:rPr>
            <w:rFonts w:ascii="Cambria Math" w:hAnsi="Cambria Math"/>
            <w:lang w:val="en-US"/>
          </w:rPr>
          <m:t>j=1</m:t>
        </m:r>
      </m:oMath>
      <w:r w:rsidR="005D0FCC" w:rsidRPr="009513DB">
        <w:rPr>
          <w:lang w:val="en-US"/>
        </w:rPr>
        <w:t xml:space="preserve">, </w:t>
      </w:r>
    </w:p>
    <w:p w14:paraId="4E19B8A0" w14:textId="4133BD28" w:rsidR="0072309D" w:rsidRPr="00037243" w:rsidRDefault="0072309D" w:rsidP="0072309D">
      <w:pPr>
        <w:pStyle w:val="B5"/>
        <w:ind w:left="1985"/>
        <w:rPr>
          <w:iCs/>
        </w:rPr>
      </w:pPr>
      <w:r>
        <w:rPr>
          <w:lang w:val="en-US"/>
        </w:rPr>
        <w:t>-</w:t>
      </w:r>
      <w:r>
        <w:rPr>
          <w:lang w:val="en-US"/>
        </w:rPr>
        <w:tab/>
      </w:r>
      <m:oMath>
        <m:r>
          <w:rPr>
            <w:rFonts w:ascii="Cambria Math" w:hAnsi="Cambria Math"/>
            <w:lang w:val="en-US"/>
          </w:rPr>
          <m:t>l</m:t>
        </m:r>
      </m:oMath>
      <w:r w:rsidR="003E3E6F" w:rsidRPr="009513DB">
        <w:t xml:space="preserve"> is provided by the value of </w:t>
      </w:r>
      <w:r w:rsidR="003E3E6F" w:rsidRPr="009513DB">
        <w:rPr>
          <w:i/>
          <w:iCs/>
        </w:rPr>
        <w:t>powerControlLoopToUse</w:t>
      </w:r>
      <w:r w:rsidRPr="0072309D">
        <w:t xml:space="preserve"> </w:t>
      </w:r>
      <w:r w:rsidRPr="00037243">
        <w:t xml:space="preserve">if </w:t>
      </w:r>
      <m:oMath>
        <m:sSub>
          <m:sSubPr>
            <m:ctrlPr>
              <w:rPr>
                <w:rFonts w:ascii="Cambria Math" w:hAnsi="Cambria Math"/>
                <w:iCs/>
              </w:rPr>
            </m:ctrlPr>
          </m:sSubPr>
          <m:e>
            <m:r>
              <w:rPr>
                <w:rFonts w:ascii="Cambria Math" w:hAnsi="Cambria Math"/>
              </w:rPr>
              <m:t>P</m:t>
            </m:r>
          </m:e>
          <m:sub>
            <m:r>
              <m:rPr>
                <m:sty m:val="p"/>
              </m:rPr>
              <w:rPr>
                <w:rFonts w:ascii="Cambria Math" w:hAnsi="Cambria Math"/>
              </w:rPr>
              <m:t>O_UE_PUSCH</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1</m:t>
            </m:r>
          </m:e>
        </m:d>
      </m:oMath>
      <w:r w:rsidRPr="00037243">
        <w:t xml:space="preserve"> and</w:t>
      </w:r>
      <w:r w:rsidRPr="00037243">
        <w:rPr>
          <w:lang w:eastAsia="zh-CN"/>
        </w:rPr>
        <w:t xml:space="preserve"> </w:t>
      </w:r>
      <m:oMath>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1</m:t>
            </m:r>
          </m:e>
        </m:d>
      </m:oMath>
      <w:r w:rsidRPr="00037243">
        <w:t xml:space="preserve"> are provided by </w:t>
      </w:r>
      <w:r w:rsidRPr="00037243">
        <w:rPr>
          <w:i/>
        </w:rPr>
        <w:t>p0-PUSCH-Alpha</w:t>
      </w:r>
      <w:r w:rsidRPr="00037243">
        <w:rPr>
          <w:iCs/>
        </w:rPr>
        <w:t xml:space="preserve"> in </w:t>
      </w:r>
      <w:r w:rsidRPr="00037243">
        <w:rPr>
          <w:i/>
        </w:rPr>
        <w:t>ConfiguredGrantConfig</w:t>
      </w:r>
    </w:p>
    <w:p w14:paraId="4C102B31" w14:textId="71E579C7" w:rsidR="003E3E6F" w:rsidRPr="0072309D" w:rsidRDefault="0072309D" w:rsidP="0072309D">
      <w:pPr>
        <w:pStyle w:val="B5"/>
        <w:ind w:left="1985"/>
        <w:rPr>
          <w:iCs/>
        </w:rPr>
      </w:pPr>
      <w:r w:rsidRPr="00037243">
        <w:rPr>
          <w:lang w:val="en-US"/>
        </w:rPr>
        <w:t>-</w:t>
      </w:r>
      <w:r w:rsidRPr="00037243">
        <w:rPr>
          <w:lang w:val="en-US"/>
        </w:rPr>
        <w:tab/>
      </w:r>
      <m:oMath>
        <m:r>
          <w:rPr>
            <w:rFonts w:ascii="Cambria Math" w:hAnsi="Cambria Math"/>
            <w:lang w:val="en-US"/>
          </w:rPr>
          <m:t>l</m:t>
        </m:r>
      </m:oMath>
      <w:r w:rsidRPr="00037243">
        <w:t xml:space="preserve"> is provided by the value of </w:t>
      </w:r>
      <w:r w:rsidRPr="00037243">
        <w:rPr>
          <w:i/>
          <w:iCs/>
        </w:rPr>
        <w:t>powerControlLoopToUse2</w:t>
      </w:r>
      <w:r w:rsidRPr="00037243">
        <w:t xml:space="preserve"> if </w:t>
      </w:r>
      <m:oMath>
        <m:sSub>
          <m:sSubPr>
            <m:ctrlPr>
              <w:rPr>
                <w:rFonts w:ascii="Cambria Math" w:hAnsi="Cambria Math"/>
                <w:iCs/>
              </w:rPr>
            </m:ctrlPr>
          </m:sSubPr>
          <m:e>
            <m:r>
              <w:rPr>
                <w:rFonts w:ascii="Cambria Math" w:hAnsi="Cambria Math"/>
              </w:rPr>
              <m:t>P</m:t>
            </m:r>
          </m:e>
          <m:sub>
            <m:r>
              <m:rPr>
                <m:sty m:val="p"/>
              </m:rPr>
              <w:rPr>
                <w:rFonts w:ascii="Cambria Math" w:hAnsi="Cambria Math"/>
              </w:rPr>
              <m:t>O_UE_PUSCH</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1</m:t>
            </m:r>
          </m:e>
        </m:d>
      </m:oMath>
      <w:r w:rsidRPr="00037243">
        <w:t xml:space="preserve"> and</w:t>
      </w:r>
      <w:r w:rsidRPr="00037243">
        <w:rPr>
          <w:lang w:eastAsia="zh-CN"/>
        </w:rPr>
        <w:t xml:space="preserve"> </w:t>
      </w:r>
      <m:oMath>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1</m:t>
            </m:r>
          </m:e>
        </m:d>
      </m:oMath>
      <w:r w:rsidRPr="00037243">
        <w:t xml:space="preserve"> are provided by </w:t>
      </w:r>
      <w:r w:rsidRPr="00037243">
        <w:rPr>
          <w:i/>
        </w:rPr>
        <w:t>p0-PUSCH-Alpha2</w:t>
      </w:r>
      <w:r w:rsidRPr="00037243">
        <w:rPr>
          <w:iCs/>
        </w:rPr>
        <w:t xml:space="preserve"> in </w:t>
      </w:r>
      <w:r w:rsidRPr="00037243">
        <w:rPr>
          <w:i/>
        </w:rPr>
        <w:t>ConfiguredGrantConfig</w:t>
      </w:r>
    </w:p>
    <w:p w14:paraId="2355DD61" w14:textId="2F47ECC2" w:rsidR="001B6CA8" w:rsidRPr="00B916EC" w:rsidRDefault="00126575" w:rsidP="00126575">
      <w:pPr>
        <w:pStyle w:val="B2"/>
        <w:rPr>
          <w:lang w:val="en-US"/>
        </w:rPr>
      </w:pPr>
      <w:r>
        <w:t>-</w:t>
      </w:r>
      <w:r>
        <w:tab/>
      </w:r>
      <m:oMath>
        <m:sSub>
          <m:sSubPr>
            <m:ctrlPr>
              <w:rPr>
                <w:rFonts w:ascii="Cambria Math" w:hAnsi="Cambria Math"/>
                <w:iCs/>
              </w:rPr>
            </m:ctrlPr>
          </m:sSubPr>
          <m:e>
            <m:r>
              <w:rPr>
                <w:rFonts w:ascii="Cambria Math" w:hAnsi="Cambria Math"/>
              </w:rPr>
              <m:t>f</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i,l</m:t>
            </m:r>
          </m:e>
        </m:d>
        <m:r>
          <w:rPr>
            <w:rFonts w:ascii="Cambria Math"/>
          </w:rPr>
          <m:t>=</m:t>
        </m:r>
        <m:sSub>
          <m:sSubPr>
            <m:ctrlPr>
              <w:rPr>
                <w:rFonts w:ascii="Cambria Math" w:hAnsi="Cambria Math"/>
                <w:iCs/>
              </w:rPr>
            </m:ctrlPr>
          </m:sSubPr>
          <m:e>
            <m:r>
              <w:rPr>
                <w:rFonts w:ascii="Cambria Math" w:hAnsi="Cambria Math"/>
              </w:rPr>
              <m:t>δ</m:t>
            </m:r>
          </m:e>
          <m:sub>
            <m:r>
              <m:rPr>
                <m:sty m:val="p"/>
              </m:rPr>
              <w:rPr>
                <w:rFonts w:ascii="Cambria Math"/>
              </w:rPr>
              <m:t>PUSCH</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hAnsi="Cambria Math"/>
              </w:rPr>
              <m:t>i</m:t>
            </m:r>
            <m:r>
              <w:rPr>
                <w:rFonts w:ascii="Cambria Math"/>
              </w:rPr>
              <m:t>,l</m:t>
            </m:r>
          </m:e>
        </m:d>
      </m:oMath>
      <w:r w:rsidR="00CC5356">
        <w:rPr>
          <w:lang w:val="en-US"/>
        </w:rPr>
        <w:t xml:space="preserve"> </w:t>
      </w:r>
      <w:r w:rsidR="0020321C" w:rsidRPr="00B916EC">
        <w:rPr>
          <w:lang w:val="en-US"/>
        </w:rPr>
        <w:t>is</w:t>
      </w:r>
      <w:r w:rsidR="00C74DE2" w:rsidRPr="00B916EC">
        <w:rPr>
          <w:lang w:val="en-US"/>
        </w:rPr>
        <w:t xml:space="preserve"> t</w:t>
      </w:r>
      <w:r w:rsidR="00C74DE2" w:rsidRPr="00B916EC">
        <w:t xml:space="preserve">he PUSCH power control adjustment state for </w:t>
      </w:r>
      <w:r w:rsidR="00021303">
        <w:rPr>
          <w:lang w:val="en-US"/>
        </w:rPr>
        <w:t xml:space="preserve">active </w:t>
      </w:r>
      <w:r w:rsidR="00281ABC">
        <w:rPr>
          <w:lang w:val="en-US"/>
        </w:rPr>
        <w:t xml:space="preserve">UL BWP </w:t>
      </w:r>
      <m:oMath>
        <m:r>
          <w:rPr>
            <w:rFonts w:ascii="Cambria Math" w:hAnsi="Cambria Math"/>
          </w:rPr>
          <m:t>b</m:t>
        </m:r>
      </m:oMath>
      <w:r w:rsidR="00C03999" w:rsidRPr="00F415B1">
        <w:rPr>
          <w:iCs/>
          <w:lang w:val="en-US"/>
        </w:rPr>
        <w:t xml:space="preserve"> </w:t>
      </w:r>
      <w:r w:rsidR="00C03999" w:rsidRPr="00F415B1">
        <w:rPr>
          <w:lang w:val="en-US"/>
        </w:rPr>
        <w:t xml:space="preserve">of carrier </w:t>
      </w:r>
      <m:oMath>
        <m:r>
          <w:rPr>
            <w:rFonts w:ascii="Cambria Math" w:hAnsi="Cambria Math"/>
            <w:lang w:val="en-US"/>
          </w:rPr>
          <m:t>f</m:t>
        </m:r>
      </m:oMath>
      <w:r w:rsidR="00C03999" w:rsidRPr="00F415B1">
        <w:rPr>
          <w:iCs/>
          <w:lang w:val="en-US"/>
        </w:rPr>
        <w:t xml:space="preserve"> of</w:t>
      </w:r>
      <w:r w:rsidR="00C03999" w:rsidRPr="00F415B1">
        <w:t xml:space="preserve"> serving cell </w:t>
      </w:r>
      <m:oMath>
        <m:r>
          <w:rPr>
            <w:rFonts w:ascii="Cambria Math" w:hAnsi="Cambria Math"/>
          </w:rPr>
          <m:t>c</m:t>
        </m:r>
      </m:oMath>
      <w:r w:rsidR="00C03999">
        <w:rPr>
          <w:iCs/>
          <w:position w:val="-6"/>
        </w:rPr>
        <w:t xml:space="preserve"> </w:t>
      </w:r>
      <w:r w:rsidR="00C74DE2" w:rsidRPr="00B916EC">
        <w:rPr>
          <w:lang w:val="en-US"/>
        </w:rPr>
        <w:t xml:space="preserve">and PUSCH transmission </w:t>
      </w:r>
      <w:r w:rsidR="0020321C">
        <w:rPr>
          <w:lang w:val="en-US"/>
        </w:rPr>
        <w:t>occasion</w:t>
      </w:r>
      <w:r w:rsidR="00C74DE2" w:rsidRPr="00B916EC">
        <w:rPr>
          <w:lang w:val="en-US"/>
        </w:rPr>
        <w:t xml:space="preserve"> </w:t>
      </w:r>
      <w:r w:rsidR="00ED3701">
        <w:rPr>
          <w:noProof/>
          <w:position w:val="-6"/>
        </w:rPr>
        <w:drawing>
          <wp:inline distT="0" distB="0" distL="0" distR="0" wp14:anchorId="00BE2FA0" wp14:editId="0E5007CD">
            <wp:extent cx="95250" cy="180975"/>
            <wp:effectExtent l="0" t="0" r="0" b="0"/>
            <wp:docPr id="17"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 cy="180975"/>
                    </a:xfrm>
                    <a:prstGeom prst="rect">
                      <a:avLst/>
                    </a:prstGeom>
                    <a:noFill/>
                    <a:ln>
                      <a:noFill/>
                    </a:ln>
                  </pic:spPr>
                </pic:pic>
              </a:graphicData>
            </a:graphic>
          </wp:inline>
        </w:drawing>
      </w:r>
      <w:r w:rsidR="00C74DE2" w:rsidRPr="00B916EC">
        <w:t xml:space="preserve"> if </w:t>
      </w:r>
      <w:r w:rsidR="00021303">
        <w:rPr>
          <w:lang w:val="en-US"/>
        </w:rPr>
        <w:t>the UE is provided</w:t>
      </w:r>
      <w:r w:rsidR="00C74DE2" w:rsidRPr="00B916EC">
        <w:t xml:space="preserve"> </w:t>
      </w:r>
      <w:r w:rsidR="0020321C" w:rsidRPr="00222F6E">
        <w:rPr>
          <w:i/>
        </w:rPr>
        <w:t>tpc-Accumulation</w:t>
      </w:r>
      <w:r w:rsidR="00C74DE2" w:rsidRPr="00B916EC">
        <w:rPr>
          <w:lang w:val="en-US"/>
        </w:rPr>
        <w:t>, where</w:t>
      </w:r>
    </w:p>
    <w:p w14:paraId="301A9F44" w14:textId="771615D5" w:rsidR="00AB6E3D" w:rsidRDefault="00126575" w:rsidP="00126575">
      <w:pPr>
        <w:pStyle w:val="B3"/>
      </w:pPr>
      <w:r>
        <w:rPr>
          <w:lang w:val="en-US"/>
        </w:rPr>
        <w:t>-</w:t>
      </w:r>
      <w:r>
        <w:rPr>
          <w:lang w:val="en-US"/>
        </w:rPr>
        <w:tab/>
      </w:r>
      <m:oMath>
        <m:sSub>
          <m:sSubPr>
            <m:ctrlPr>
              <w:rPr>
                <w:rFonts w:ascii="Cambria Math" w:hAnsi="Cambria Math"/>
                <w:iCs/>
              </w:rPr>
            </m:ctrlPr>
          </m:sSubPr>
          <m:e>
            <m:r>
              <w:rPr>
                <w:rFonts w:ascii="Cambria Math" w:hAnsi="Cambria Math"/>
              </w:rPr>
              <m:t>δ</m:t>
            </m:r>
          </m:e>
          <m:sub>
            <m:r>
              <m:rPr>
                <m:sty m:val="p"/>
              </m:rPr>
              <w:rPr>
                <w:rFonts w:ascii="Cambria Math"/>
              </w:rPr>
              <m:t>PUSCH</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oMath>
      <w:r w:rsidR="0020321C" w:rsidRPr="00B916EC">
        <w:t xml:space="preserve"> </w:t>
      </w:r>
      <w:r w:rsidR="00DF3522" w:rsidRPr="00B916EC">
        <w:rPr>
          <w:lang w:val="en-US"/>
        </w:rPr>
        <w:t>absolute</w:t>
      </w:r>
      <w:r w:rsidR="00DF3522" w:rsidRPr="00B916EC">
        <w:t xml:space="preserve"> values are given in Table </w:t>
      </w:r>
      <w:r w:rsidR="00AB6E3D" w:rsidRPr="00B916EC">
        <w:t>7.1.1-1</w:t>
      </w:r>
    </w:p>
    <w:p w14:paraId="3C8E0D10" w14:textId="25845CC4" w:rsidR="001328BB" w:rsidRPr="00B916EC" w:rsidRDefault="001328BB" w:rsidP="00B36559">
      <w:pPr>
        <w:pStyle w:val="B1"/>
        <w:ind w:left="284" w:firstLine="0"/>
        <w:rPr>
          <w:lang w:val="en-US"/>
        </w:rPr>
      </w:pPr>
      <w:r w:rsidRPr="00F415B1">
        <w:t xml:space="preserve">If the UE transmits a PUSCH associated with the </w:t>
      </w:r>
      <w:r w:rsidRPr="00F415B1">
        <w:rPr>
          <w:lang w:val="en-US"/>
        </w:rPr>
        <w:t xml:space="preserve">first </w:t>
      </w:r>
      <w:r w:rsidRPr="00F415B1">
        <w:t>RS resource</w:t>
      </w:r>
      <w:r w:rsidRPr="00F415B1">
        <w:rPr>
          <w:lang w:val="en-US"/>
        </w:rPr>
        <w:t xml:space="preserve"> index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Pr="00F415B1">
        <w:t xml:space="preserve">, the UE applies </w:t>
      </w:r>
      <w:r w:rsidRPr="00F415B1">
        <w:rPr>
          <w:iCs/>
        </w:rPr>
        <w:t xml:space="preserve">the first </w:t>
      </w:r>
      <m:oMath>
        <m:sSub>
          <m:sSubPr>
            <m:ctrlPr>
              <w:rPr>
                <w:rFonts w:ascii="Cambria Math" w:hAnsi="Cambria Math"/>
                <w:iCs/>
              </w:rPr>
            </m:ctrlPr>
          </m:sSubPr>
          <m:e>
            <m:r>
              <w:rPr>
                <w:rFonts w:ascii="Cambria Math" w:hAnsi="Cambria Math"/>
              </w:rPr>
              <m:t>P</m:t>
            </m:r>
          </m:e>
          <m:sub>
            <m:r>
              <m:rPr>
                <m:nor/>
              </m:rPr>
              <w:rPr>
                <w:rFonts w:ascii="Cambria Math"/>
                <w:iCs/>
                <w:lang w:val="en-US"/>
              </w:rPr>
              <m:t>O_UE_P</m:t>
            </m:r>
            <m:r>
              <m:rPr>
                <m:nor/>
              </m:rPr>
              <w:rPr>
                <w:rFonts w:ascii="Cambria Math"/>
                <w:iCs/>
              </w:rPr>
              <m:t>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oMath>
      <w:r w:rsidRPr="00F415B1">
        <w:t xml:space="preserve"> value</w:t>
      </w:r>
      <w:r>
        <w:t xml:space="preserve">, the first </w:t>
      </w:r>
      <m:oMath>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Pr="00F415B1">
        <w:t xml:space="preserve"> </w:t>
      </w:r>
      <w:r>
        <w:t xml:space="preserve">value, </w:t>
      </w:r>
      <w:r w:rsidRPr="00F415B1">
        <w:t xml:space="preserve">and </w:t>
      </w:r>
      <m:oMath>
        <m:sSub>
          <m:sSubPr>
            <m:ctrlPr>
              <w:rPr>
                <w:rFonts w:ascii="Cambria Math" w:hAnsi="Cambria Math"/>
                <w:iCs/>
              </w:rPr>
            </m:ctrlPr>
          </m:sSubPr>
          <m:e>
            <m:r>
              <w:rPr>
                <w:rFonts w:ascii="Cambria Math" w:hAnsi="Cambria Math"/>
              </w:rPr>
              <m:t>f</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i,l</m:t>
            </m:r>
          </m:e>
        </m:d>
      </m:oMath>
      <w:r w:rsidRPr="00F415B1">
        <w:t xml:space="preserve"> for determining </w:t>
      </w:r>
      <m:oMath>
        <m:sSub>
          <m:sSubPr>
            <m:ctrlPr>
              <w:rPr>
                <w:rFonts w:ascii="Cambria Math" w:hAnsi="Cambria Math"/>
                <w:iCs/>
              </w:rPr>
            </m:ctrlPr>
          </m:sSubPr>
          <m:e>
            <m:r>
              <w:rPr>
                <w:rFonts w:ascii="Cambria Math" w:hAnsi="Cambria Math"/>
              </w:rPr>
              <m:t>P</m:t>
            </m:r>
          </m:e>
          <m:sub>
            <m:r>
              <m:rPr>
                <m:nor/>
              </m:rPr>
              <w:rPr>
                <w:rFonts w:ascii="Cambria Math"/>
                <w:iCs/>
              </w:rPr>
              <m:t>PUSCH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r>
          <w:rPr>
            <w:rFonts w:ascii="Cambria Math"/>
          </w:rPr>
          <m:t>i</m:t>
        </m:r>
        <m:r>
          <m:rPr>
            <m:sty m:val="p"/>
          </m:rPr>
          <w:rPr>
            <w:rFonts w:ascii="Cambria Math"/>
          </w:rPr>
          <m:t>,</m:t>
        </m:r>
        <m:r>
          <w:rPr>
            <w:rFonts w:ascii="Cambria Math"/>
          </w:rPr>
          <m:t>j</m:t>
        </m:r>
        <m:r>
          <m:rPr>
            <m:sty m:val="p"/>
          </m:rPr>
          <w:rPr>
            <w:rFonts w:ascii="Cambria Math"/>
          </w:rPr>
          <m:t>,</m:t>
        </m:r>
        <m:sSub>
          <m:sSubPr>
            <m:ctrlPr>
              <w:rPr>
                <w:rFonts w:ascii="Cambria Math" w:hAnsi="Cambria Math"/>
                <w:iCs/>
              </w:rPr>
            </m:ctrlPr>
          </m:sSubPr>
          <m:e>
            <m:r>
              <w:rPr>
                <w:rFonts w:ascii="Cambria Math"/>
              </w:rPr>
              <m:t>q</m:t>
            </m:r>
          </m:e>
          <m:sub>
            <m:r>
              <w:rPr>
                <w:rFonts w:ascii="Cambria Math"/>
              </w:rPr>
              <m:t>d</m:t>
            </m:r>
          </m:sub>
        </m:sSub>
        <m:r>
          <m:rPr>
            <m:sty m:val="p"/>
          </m:rPr>
          <w:rPr>
            <w:rFonts w:ascii="Cambria Math"/>
          </w:rPr>
          <m:t>,</m:t>
        </m:r>
        <m:r>
          <w:rPr>
            <w:rFonts w:ascii="Cambria Math"/>
          </w:rPr>
          <m:t>l)</m:t>
        </m:r>
      </m:oMath>
      <w:r w:rsidRPr="00F415B1">
        <w:t xml:space="preserve">. If the UE transmits a PUSCH associated with the </w:t>
      </w:r>
      <w:r w:rsidRPr="00F415B1">
        <w:rPr>
          <w:lang w:val="en-US"/>
        </w:rPr>
        <w:t xml:space="preserve">second </w:t>
      </w:r>
      <w:r w:rsidRPr="00F415B1">
        <w:t>RS resource</w:t>
      </w:r>
      <w:r w:rsidRPr="00F415B1">
        <w:rPr>
          <w:lang w:val="en-US"/>
        </w:rPr>
        <w:t xml:space="preserve"> index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Pr="00F415B1">
        <w:t xml:space="preserve">, the UE applies </w:t>
      </w:r>
      <w:r w:rsidRPr="00F415B1">
        <w:rPr>
          <w:iCs/>
        </w:rPr>
        <w:t xml:space="preserve">the second </w:t>
      </w:r>
      <m:oMath>
        <m:sSub>
          <m:sSubPr>
            <m:ctrlPr>
              <w:rPr>
                <w:rFonts w:ascii="Cambria Math" w:hAnsi="Cambria Math"/>
                <w:iCs/>
              </w:rPr>
            </m:ctrlPr>
          </m:sSubPr>
          <m:e>
            <m:r>
              <w:rPr>
                <w:rFonts w:ascii="Cambria Math" w:hAnsi="Cambria Math"/>
              </w:rPr>
              <m:t>P</m:t>
            </m:r>
          </m:e>
          <m:sub>
            <m:r>
              <m:rPr>
                <m:nor/>
              </m:rPr>
              <w:rPr>
                <w:rFonts w:ascii="Cambria Math"/>
                <w:iCs/>
                <w:lang w:val="en-US"/>
              </w:rPr>
              <m:t>O_UE_P</m:t>
            </m:r>
            <m:r>
              <m:rPr>
                <m:nor/>
              </m:rPr>
              <w:rPr>
                <w:rFonts w:ascii="Cambria Math"/>
                <w:iCs/>
              </w:rPr>
              <m:t>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oMath>
      <w:r w:rsidRPr="00F415B1">
        <w:t xml:space="preserve"> value</w:t>
      </w:r>
      <w:r>
        <w:t xml:space="preserve">, the second </w:t>
      </w:r>
      <m:oMath>
        <m:sSub>
          <m:sSubPr>
            <m:ctrlPr>
              <w:rPr>
                <w:rFonts w:ascii="Cambria Math" w:hAnsi="Cambria Math"/>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Pr="00F415B1">
        <w:t xml:space="preserve"> </w:t>
      </w:r>
      <w:r>
        <w:t>value,</w:t>
      </w:r>
      <w:r w:rsidRPr="00F415B1">
        <w:t xml:space="preserve"> and </w:t>
      </w:r>
      <m:oMath>
        <m:sSub>
          <m:sSubPr>
            <m:ctrlPr>
              <w:rPr>
                <w:rFonts w:ascii="Cambria Math" w:hAnsi="Cambria Math"/>
                <w:iCs/>
              </w:rPr>
            </m:ctrlPr>
          </m:sSubPr>
          <m:e>
            <m:r>
              <w:rPr>
                <w:rFonts w:ascii="Cambria Math" w:hAnsi="Cambria Math"/>
              </w:rPr>
              <m:t>f</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i,l</m:t>
            </m:r>
          </m:e>
        </m:d>
      </m:oMath>
      <w:r w:rsidRPr="00F415B1">
        <w:t xml:space="preserve"> or </w:t>
      </w:r>
      <m:oMath>
        <m:sSub>
          <m:sSubPr>
            <m:ctrlPr>
              <w:rPr>
                <w:rFonts w:ascii="Cambria Math" w:hAnsi="Cambria Math"/>
                <w:iCs/>
              </w:rPr>
            </m:ctrlPr>
          </m:sSubPr>
          <m:e>
            <m:r>
              <w:rPr>
                <w:rFonts w:ascii="Cambria Math" w:hAnsi="Cambria Math"/>
              </w:rPr>
              <m:t>f</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i,0</m:t>
            </m:r>
          </m:e>
        </m:d>
      </m:oMath>
      <w:r w:rsidRPr="00F415B1">
        <w:t xml:space="preserve"> if </w:t>
      </w:r>
      <w:r w:rsidRPr="00F415B1">
        <w:rPr>
          <w:i/>
          <w:iCs/>
        </w:rPr>
        <w:t>twoPUSCH-PC-AdjustmentStates</w:t>
      </w:r>
      <w:r w:rsidRPr="00F415B1">
        <w:t xml:space="preserve"> is provided or not provided, respectively, for determining </w:t>
      </w:r>
      <m:oMath>
        <m:sSub>
          <m:sSubPr>
            <m:ctrlPr>
              <w:rPr>
                <w:rFonts w:ascii="Cambria Math" w:hAnsi="Cambria Math"/>
                <w:iCs/>
              </w:rPr>
            </m:ctrlPr>
          </m:sSubPr>
          <m:e>
            <m:r>
              <w:rPr>
                <w:rFonts w:ascii="Cambria Math" w:hAnsi="Cambria Math"/>
              </w:rPr>
              <m:t>P</m:t>
            </m:r>
          </m:e>
          <m:sub>
            <m:r>
              <m:rPr>
                <m:nor/>
              </m:rPr>
              <w:rPr>
                <w:rFonts w:ascii="Cambria Math"/>
                <w:iCs/>
              </w:rPr>
              <m:t>PUSCH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r>
          <w:rPr>
            <w:rFonts w:ascii="Cambria Math"/>
          </w:rPr>
          <m:t>i</m:t>
        </m:r>
        <m:r>
          <m:rPr>
            <m:sty m:val="p"/>
          </m:rPr>
          <w:rPr>
            <w:rFonts w:ascii="Cambria Math"/>
          </w:rPr>
          <m:t>,</m:t>
        </m:r>
        <m:r>
          <w:rPr>
            <w:rFonts w:ascii="Cambria Math"/>
          </w:rPr>
          <m:t>j</m:t>
        </m:r>
        <m:r>
          <m:rPr>
            <m:sty m:val="p"/>
          </m:rPr>
          <w:rPr>
            <w:rFonts w:ascii="Cambria Math"/>
          </w:rPr>
          <m:t>,</m:t>
        </m:r>
        <m:sSub>
          <m:sSubPr>
            <m:ctrlPr>
              <w:rPr>
                <w:rFonts w:ascii="Cambria Math" w:hAnsi="Cambria Math"/>
                <w:iCs/>
              </w:rPr>
            </m:ctrlPr>
          </m:sSubPr>
          <m:e>
            <m:r>
              <w:rPr>
                <w:rFonts w:ascii="Cambria Math"/>
              </w:rPr>
              <m:t>q</m:t>
            </m:r>
          </m:e>
          <m:sub>
            <m:r>
              <w:rPr>
                <w:rFonts w:ascii="Cambria Math"/>
              </w:rPr>
              <m:t>d</m:t>
            </m:r>
          </m:sub>
        </m:sSub>
        <m:r>
          <m:rPr>
            <m:sty m:val="p"/>
          </m:rPr>
          <w:rPr>
            <w:rFonts w:ascii="Cambria Math"/>
          </w:rPr>
          <m:t>,</m:t>
        </m:r>
        <m:r>
          <w:rPr>
            <w:rFonts w:ascii="Cambria Math"/>
          </w:rPr>
          <m:t>l)</m:t>
        </m:r>
      </m:oMath>
      <w:r w:rsidRPr="00F415B1">
        <w:t>.</w:t>
      </w:r>
    </w:p>
    <w:p w14:paraId="085CC30E" w14:textId="61B7CE9F" w:rsidR="006776FF" w:rsidRPr="00021303" w:rsidRDefault="00126575" w:rsidP="00021303">
      <w:pPr>
        <w:pStyle w:val="B2"/>
        <w:rPr>
          <w:lang w:val="en-US"/>
        </w:rPr>
      </w:pPr>
      <w:r>
        <w:t>-</w:t>
      </w:r>
      <w:r>
        <w:tab/>
      </w:r>
      <w:r w:rsidR="001328BB">
        <w:rPr>
          <w:lang w:val="en-GB"/>
        </w:rPr>
        <w:t>If</w:t>
      </w:r>
      <w:r w:rsidR="00281ABC" w:rsidRPr="00B916EC">
        <w:t xml:space="preserve"> </w:t>
      </w:r>
      <w:r w:rsidR="00D04A11" w:rsidRPr="00B916EC">
        <w:t xml:space="preserve">the UE receives </w:t>
      </w:r>
      <w:r w:rsidR="00021303">
        <w:rPr>
          <w:lang w:val="en-US"/>
        </w:rPr>
        <w:t>a</w:t>
      </w:r>
      <w:r w:rsidR="00021303" w:rsidRPr="00B916EC">
        <w:t xml:space="preserve"> </w:t>
      </w:r>
      <w:r w:rsidR="00D04A11" w:rsidRPr="00B916EC">
        <w:t xml:space="preserve">random access response message </w:t>
      </w:r>
      <w:r w:rsidR="00021303">
        <w:rPr>
          <w:lang w:val="en-US"/>
        </w:rPr>
        <w:t>in response to a PRACH transmission</w:t>
      </w:r>
      <w:r w:rsidR="001A3FC8" w:rsidRPr="001A3FC8">
        <w:rPr>
          <w:lang w:val="en-US"/>
        </w:rPr>
        <w:t xml:space="preserve"> </w:t>
      </w:r>
      <w:r w:rsidR="001A3FC8" w:rsidRPr="00AE0927">
        <w:rPr>
          <w:lang w:val="en-US"/>
        </w:rPr>
        <w:t>or a MsgA transmission</w:t>
      </w:r>
      <w:r w:rsidR="00021303">
        <w:rPr>
          <w:lang w:val="en-US"/>
        </w:rPr>
        <w:t xml:space="preserve"> on</w:t>
      </w:r>
      <w:r w:rsidR="00021303" w:rsidRPr="00B916EC">
        <w:t xml:space="preserve"> </w:t>
      </w:r>
      <w:r w:rsidR="00021303">
        <w:rPr>
          <w:lang w:val="en-US"/>
        </w:rPr>
        <w:t>active</w:t>
      </w:r>
      <w:r w:rsidR="00D04A11" w:rsidRPr="00B916EC">
        <w:t xml:space="preserve"> </w:t>
      </w:r>
      <w:r w:rsidR="00281ABC">
        <w:rPr>
          <w:lang w:val="en-US"/>
        </w:rPr>
        <w:t xml:space="preserve">UL BWP </w:t>
      </w:r>
      <m:oMath>
        <m:r>
          <w:rPr>
            <w:rFonts w:ascii="Cambria Math" w:hAnsi="Cambria Math"/>
          </w:rPr>
          <m:t>b</m:t>
        </m:r>
      </m:oMath>
      <w:r w:rsidR="00C03999" w:rsidRPr="00F415B1">
        <w:rPr>
          <w:iCs/>
          <w:lang w:val="en-US"/>
        </w:rPr>
        <w:t xml:space="preserve"> </w:t>
      </w:r>
      <w:r w:rsidR="00C03999" w:rsidRPr="00F415B1">
        <w:rPr>
          <w:lang w:val="en-US"/>
        </w:rPr>
        <w:t xml:space="preserve">of carrier </w:t>
      </w:r>
      <m:oMath>
        <m:r>
          <w:rPr>
            <w:rFonts w:ascii="Cambria Math" w:hAnsi="Cambria Math"/>
            <w:lang w:val="en-US"/>
          </w:rPr>
          <m:t>f</m:t>
        </m:r>
      </m:oMath>
      <w:r w:rsidR="00C03999" w:rsidRPr="00F415B1">
        <w:rPr>
          <w:iCs/>
          <w:lang w:val="en-US"/>
        </w:rPr>
        <w:t xml:space="preserve"> of</w:t>
      </w:r>
      <w:r w:rsidR="00C03999" w:rsidRPr="00F415B1">
        <w:t xml:space="preserve"> serving cell </w:t>
      </w:r>
      <m:oMath>
        <m:r>
          <w:rPr>
            <w:rFonts w:ascii="Cambria Math" w:hAnsi="Cambria Math"/>
          </w:rPr>
          <m:t>c</m:t>
        </m:r>
      </m:oMath>
      <w:r w:rsidR="00C03999">
        <w:rPr>
          <w:iCs/>
          <w:position w:val="-6"/>
        </w:rPr>
        <w:t xml:space="preserve"> </w:t>
      </w:r>
      <w:r w:rsidR="00021303">
        <w:rPr>
          <w:lang w:val="en-US"/>
        </w:rPr>
        <w:t xml:space="preserve">as </w:t>
      </w:r>
      <w:r w:rsidR="00BC343B">
        <w:rPr>
          <w:lang w:val="en-US"/>
        </w:rPr>
        <w:t xml:space="preserve">described </w:t>
      </w:r>
      <w:r w:rsidR="006F5F9E">
        <w:rPr>
          <w:lang w:val="en-US"/>
        </w:rPr>
        <w:t>in clause</w:t>
      </w:r>
      <w:r w:rsidR="00BC343B">
        <w:rPr>
          <w:lang w:val="en-US"/>
        </w:rPr>
        <w:t xml:space="preserve"> </w:t>
      </w:r>
      <w:r w:rsidR="00021303">
        <w:rPr>
          <w:lang w:val="en-US"/>
        </w:rPr>
        <w:t>8</w:t>
      </w:r>
    </w:p>
    <w:p w14:paraId="69B3B145" w14:textId="0A711B41" w:rsidR="00D04A11" w:rsidRPr="00B916EC" w:rsidRDefault="00126575" w:rsidP="0009732E">
      <w:pPr>
        <w:pStyle w:val="B3"/>
        <w:rPr>
          <w:lang w:val="en-US"/>
        </w:rPr>
      </w:pPr>
      <w:r>
        <w:rPr>
          <w:lang w:val="en-US"/>
        </w:rPr>
        <w:t>-</w:t>
      </w:r>
      <w:r>
        <w:rPr>
          <w:lang w:val="en-US"/>
        </w:rPr>
        <w:tab/>
      </w:r>
      <m:oMath>
        <m:sSub>
          <m:sSubPr>
            <m:ctrlPr>
              <w:rPr>
                <w:rFonts w:ascii="Cambria Math" w:hAnsi="Cambria Math"/>
                <w:iCs/>
              </w:rPr>
            </m:ctrlPr>
          </m:sSubPr>
          <m:e>
            <m:r>
              <w:rPr>
                <w:rFonts w:ascii="Cambria Math" w:hAnsi="Cambria Math"/>
              </w:rPr>
              <m:t>f</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0,l</m:t>
            </m:r>
          </m:e>
        </m:d>
        <m:r>
          <w:rPr>
            <w:rFonts w:ascii="Cambria Math"/>
          </w:rPr>
          <m:t>=</m:t>
        </m:r>
        <m:sSub>
          <m:sSubPr>
            <m:ctrlPr>
              <w:rPr>
                <w:rFonts w:ascii="Cambria Math" w:hAnsi="Cambria Math"/>
                <w:iCs/>
              </w:rPr>
            </m:ctrlPr>
          </m:sSubPr>
          <m:e>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rampup</m:t>
                </m:r>
                <m:r>
                  <w:rPr>
                    <w:rFonts w:ascii="Cambria Math" w:hAnsi="Cambria Math"/>
                  </w:rPr>
                  <m:t>,b,f,c</m:t>
                </m:r>
              </m:sub>
            </m:sSub>
            <m:r>
              <w:rPr>
                <w:rFonts w:ascii="Cambria Math" w:hAnsi="Cambria Math"/>
              </w:rPr>
              <m:t>+δ</m:t>
            </m:r>
          </m:e>
          <m:sub>
            <m:r>
              <m:rPr>
                <m:sty m:val="p"/>
              </m:rPr>
              <w:rPr>
                <w:rFonts w:ascii="Cambria Math"/>
              </w:rPr>
              <m:t>msg2</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oMath>
      <w:r w:rsidR="00FD769A" w:rsidRPr="00B916EC">
        <w:rPr>
          <w:lang w:val="en-US"/>
        </w:rPr>
        <w:t>, where</w:t>
      </w:r>
      <w:r w:rsidR="00FD769A">
        <w:rPr>
          <w:lang w:val="en-US"/>
        </w:rPr>
        <w:t xml:space="preserve"> </w:t>
      </w:r>
      <m:oMath>
        <m:r>
          <w:rPr>
            <w:rFonts w:ascii="Cambria Math" w:hAnsi="Cambria Math"/>
            <w:lang w:val="en-US"/>
          </w:rPr>
          <m:t>l=0</m:t>
        </m:r>
      </m:oMath>
      <w:r w:rsidR="00FD769A">
        <w:t xml:space="preserve"> and</w:t>
      </w:r>
    </w:p>
    <w:p w14:paraId="2DA4A552" w14:textId="29AA1987" w:rsidR="00D04A11" w:rsidRPr="00B916EC" w:rsidRDefault="00126575" w:rsidP="0009732E">
      <w:pPr>
        <w:pStyle w:val="B4"/>
        <w:rPr>
          <w:lang w:val="en-US"/>
        </w:rPr>
      </w:pPr>
      <w:r>
        <w:t>-</w:t>
      </w:r>
      <w:r>
        <w:tab/>
      </w:r>
      <m:oMath>
        <m:sSub>
          <m:sSubPr>
            <m:ctrlPr>
              <w:rPr>
                <w:rFonts w:ascii="Cambria Math" w:hAnsi="Cambria Math"/>
                <w:iCs/>
              </w:rPr>
            </m:ctrlPr>
          </m:sSubPr>
          <m:e>
            <m:r>
              <w:rPr>
                <w:rFonts w:ascii="Cambria Math" w:hAnsi="Cambria Math"/>
              </w:rPr>
              <m:t>δ</m:t>
            </m:r>
          </m:e>
          <m:sub>
            <m:r>
              <m:rPr>
                <m:sty m:val="p"/>
              </m:rPr>
              <w:rPr>
                <w:rFonts w:ascii="Cambria Math"/>
              </w:rPr>
              <m:t>msg2</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oMath>
      <w:r w:rsidR="00FD769A" w:rsidRPr="00B916EC">
        <w:t xml:space="preserve"> is</w:t>
      </w:r>
      <w:r w:rsidR="00D04A11" w:rsidRPr="00B916EC">
        <w:t xml:space="preserve"> </w:t>
      </w:r>
      <w:r w:rsidR="00021303">
        <w:t>a</w:t>
      </w:r>
      <w:r w:rsidR="00021303" w:rsidRPr="00B916EC">
        <w:t xml:space="preserve"> </w:t>
      </w:r>
      <w:r w:rsidR="00D04A11" w:rsidRPr="00B916EC">
        <w:t xml:space="preserve">TPC command </w:t>
      </w:r>
      <w:r w:rsidR="00021303">
        <w:t xml:space="preserve">value </w:t>
      </w:r>
      <w:r w:rsidR="00D04A11" w:rsidRPr="00B916EC">
        <w:t xml:space="preserve">indicated in </w:t>
      </w:r>
      <w:r w:rsidR="001A3FC8">
        <w:t>a</w:t>
      </w:r>
      <w:r w:rsidR="001A3FC8" w:rsidRPr="00B916EC">
        <w:t xml:space="preserve"> </w:t>
      </w:r>
      <w:r w:rsidR="00D04A11" w:rsidRPr="00B916EC">
        <w:t xml:space="preserve">random access response </w:t>
      </w:r>
      <w:r w:rsidR="00281ABC">
        <w:rPr>
          <w:lang w:val="en-US"/>
        </w:rPr>
        <w:t xml:space="preserve">grant of the random access response message </w:t>
      </w:r>
      <w:r w:rsidR="00D04A11" w:rsidRPr="00B916EC">
        <w:t xml:space="preserve">corresponding to </w:t>
      </w:r>
      <w:r w:rsidR="001A3FC8">
        <w:t>a</w:t>
      </w:r>
      <w:r w:rsidR="001A3FC8" w:rsidRPr="00B916EC">
        <w:t xml:space="preserve"> </w:t>
      </w:r>
      <w:r w:rsidR="00DA6033">
        <w:t>PRACH</w:t>
      </w:r>
      <w:r w:rsidR="00D04A11" w:rsidRPr="00B916EC">
        <w:t xml:space="preserve"> </w:t>
      </w:r>
      <w:r w:rsidR="00DA6033" w:rsidRPr="00B916EC">
        <w:t>transmi</w:t>
      </w:r>
      <w:r w:rsidR="00DA6033">
        <w:t>ssion</w:t>
      </w:r>
      <w:r w:rsidR="00DA6033" w:rsidRPr="00B916EC">
        <w:t xml:space="preserve"> </w:t>
      </w:r>
      <w:r w:rsidR="001A3FC8" w:rsidRPr="00AE0927">
        <w:t xml:space="preserve">according to Type-1 random access procedure, </w:t>
      </w:r>
      <w:r w:rsidR="001A3FC8" w:rsidRPr="00AE0927">
        <w:rPr>
          <w:shd w:val="clear" w:color="auto" w:fill="FFFFFF"/>
        </w:rPr>
        <w:t xml:space="preserve">or in a random access response grant of the random access response message corresponding to a MsgA transmission according to Type-2 random access procedure with RAR message(s) for fallbackRAR, </w:t>
      </w:r>
      <w:r w:rsidR="00FD769A">
        <w:t xml:space="preserve">on </w:t>
      </w:r>
      <w:r w:rsidR="00DA6033">
        <w:t xml:space="preserve">active </w:t>
      </w:r>
      <w:r w:rsidR="00FD769A">
        <w:rPr>
          <w:lang w:val="en-US"/>
        </w:rPr>
        <w:t>UL BWP</w:t>
      </w:r>
      <w:r w:rsidR="00C55B73">
        <w:rPr>
          <w:lang w:val="en-US"/>
        </w:rPr>
        <w:t xml:space="preserve"> </w:t>
      </w:r>
      <m:oMath>
        <m:r>
          <w:rPr>
            <w:rFonts w:ascii="Cambria Math" w:hAnsi="Cambria Math"/>
          </w:rPr>
          <m:t>b</m:t>
        </m:r>
      </m:oMath>
      <w:r w:rsidR="00C03999" w:rsidRPr="00F415B1">
        <w:rPr>
          <w:iCs/>
          <w:lang w:val="en-US"/>
        </w:rPr>
        <w:t xml:space="preserve"> </w:t>
      </w:r>
      <w:r w:rsidR="00C03999" w:rsidRPr="00F415B1">
        <w:rPr>
          <w:lang w:val="en-US"/>
        </w:rPr>
        <w:t xml:space="preserve">of carrier </w:t>
      </w:r>
      <m:oMath>
        <m:r>
          <w:rPr>
            <w:rFonts w:ascii="Cambria Math" w:hAnsi="Cambria Math"/>
            <w:lang w:val="en-US"/>
          </w:rPr>
          <m:t>f</m:t>
        </m:r>
      </m:oMath>
      <w:r w:rsidR="00C03999" w:rsidRPr="00F415B1">
        <w:rPr>
          <w:iCs/>
          <w:lang w:val="en-US"/>
        </w:rPr>
        <w:t xml:space="preserve"> of</w:t>
      </w:r>
      <w:r w:rsidR="00C03999" w:rsidRPr="00F415B1">
        <w:t xml:space="preserve"> serving cell </w:t>
      </w:r>
      <m:oMath>
        <m:r>
          <w:rPr>
            <w:rFonts w:ascii="Cambria Math" w:hAnsi="Cambria Math"/>
          </w:rPr>
          <m:t>c</m:t>
        </m:r>
      </m:oMath>
      <w:r w:rsidR="00D04A11" w:rsidRPr="00B916EC">
        <w:t>, and</w:t>
      </w:r>
      <w:r w:rsidR="00D04A11" w:rsidRPr="00B916EC">
        <w:rPr>
          <w:lang w:val="en-US"/>
        </w:rPr>
        <w:t xml:space="preserve"> </w:t>
      </w:r>
    </w:p>
    <w:p w14:paraId="2066FAEE" w14:textId="27062052" w:rsidR="00281ABC" w:rsidRDefault="00126575" w:rsidP="003A5BF8">
      <w:pPr>
        <w:pStyle w:val="B4"/>
      </w:pPr>
      <w:r>
        <w:t>-</w:t>
      </w:r>
      <w:r>
        <w:tab/>
      </w:r>
      <w:r w:rsidR="00ED3701">
        <w:rPr>
          <w:noProof/>
          <w:position w:val="-50"/>
        </w:rPr>
        <w:drawing>
          <wp:inline distT="0" distB="0" distL="0" distR="0" wp14:anchorId="7ADBD314" wp14:editId="01A80CF7">
            <wp:extent cx="5133975" cy="638175"/>
            <wp:effectExtent l="0" t="0" r="0" b="0"/>
            <wp:docPr id="7984824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3975" cy="638175"/>
                    </a:xfrm>
                    <a:prstGeom prst="rect">
                      <a:avLst/>
                    </a:prstGeom>
                    <a:noFill/>
                    <a:ln>
                      <a:noFill/>
                    </a:ln>
                  </pic:spPr>
                </pic:pic>
              </a:graphicData>
            </a:graphic>
          </wp:inline>
        </w:drawing>
      </w:r>
      <w:r w:rsidR="00FD769A" w:rsidRPr="00B916EC">
        <w:t xml:space="preserve"> and </w:t>
      </w:r>
      <m:oMath>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rampup_requested</m:t>
            </m:r>
            <m:r>
              <w:rPr>
                <w:rFonts w:ascii="Cambria Math" w:hAnsi="Cambria Math"/>
              </w:rPr>
              <m:t>,b,f,c</m:t>
            </m:r>
          </m:sub>
        </m:sSub>
      </m:oMath>
      <w:r w:rsidR="00EE4F6F" w:rsidRPr="00B916EC">
        <w:t xml:space="preserve"> is provided by higher layers and corresponds to the total power ramp-up requested by higher layers from the first to the last </w:t>
      </w:r>
      <w:r w:rsidR="00EE4F6F" w:rsidRPr="00B916EC">
        <w:rPr>
          <w:lang w:val="en-US"/>
        </w:rPr>
        <w:t xml:space="preserve">random access </w:t>
      </w:r>
      <w:r w:rsidR="00EE4F6F" w:rsidRPr="00B916EC">
        <w:t xml:space="preserve">preamble </w:t>
      </w:r>
      <w:r w:rsidR="00EE4F6F" w:rsidRPr="00B916EC">
        <w:rPr>
          <w:lang w:val="en-US"/>
        </w:rPr>
        <w:t xml:space="preserve">for carrier </w:t>
      </w:r>
      <m:oMath>
        <m:r>
          <w:rPr>
            <w:rFonts w:ascii="Cambria Math" w:hAnsi="Cambria Math"/>
            <w:lang w:val="en-US"/>
          </w:rPr>
          <m:t>f</m:t>
        </m:r>
      </m:oMath>
      <w:r w:rsidR="00EE4F6F" w:rsidRPr="00B916EC">
        <w:rPr>
          <w:iCs/>
          <w:lang w:val="en-US"/>
        </w:rPr>
        <w:t xml:space="preserve"> </w:t>
      </w:r>
      <w:r w:rsidR="00EE4F6F" w:rsidRPr="00B916EC">
        <w:t xml:space="preserve">in the serving cell </w:t>
      </w:r>
      <m:oMath>
        <m:r>
          <w:rPr>
            <w:rFonts w:ascii="Cambria Math" w:hAnsi="Cambria Math"/>
          </w:rPr>
          <m:t>c</m:t>
        </m:r>
      </m:oMath>
      <w:r w:rsidR="00EE4F6F" w:rsidRPr="00B916EC">
        <w:t xml:space="preserve">, </w:t>
      </w:r>
      <m:oMath>
        <m:sSubSup>
          <m:sSubSupPr>
            <m:ctrlPr>
              <w:rPr>
                <w:rFonts w:ascii="Cambria Math" w:hAnsi="Cambria Math"/>
                <w:i/>
              </w:rPr>
            </m:ctrlPr>
          </m:sSubSupPr>
          <m:e>
            <m:r>
              <w:rPr>
                <w:rFonts w:ascii="Cambria Math" w:hAnsi="Cambria Math"/>
              </w:rPr>
              <m:t>M</m:t>
            </m:r>
          </m:e>
          <m:sub>
            <m:r>
              <m:rPr>
                <m:sty m:val="p"/>
              </m:rPr>
              <w:rPr>
                <w:rFonts w:ascii="Cambria Math" w:hAnsi="Cambria Math"/>
              </w:rPr>
              <m:t>RB</m:t>
            </m:r>
            <m:r>
              <w:rPr>
                <w:rFonts w:ascii="Cambria Math" w:hAnsi="Cambria Math"/>
              </w:rPr>
              <m:t>,b,f,c</m:t>
            </m:r>
          </m:sub>
          <m:sup>
            <m:r>
              <m:rPr>
                <m:sty m:val="p"/>
              </m:rPr>
              <w:rPr>
                <w:rFonts w:ascii="Cambria Math" w:hAnsi="Cambria Math"/>
              </w:rPr>
              <m:t>PUSCH</m:t>
            </m:r>
          </m:sup>
        </m:sSubSup>
        <m:r>
          <w:rPr>
            <w:rFonts w:ascii="Cambria Math" w:hAnsi="Cambria Math"/>
          </w:rPr>
          <m:t>(0)</m:t>
        </m:r>
      </m:oMath>
      <w:r w:rsidR="00EE4F6F" w:rsidRPr="00B916EC">
        <w:rPr>
          <w:lang w:val="en-US"/>
        </w:rPr>
        <w:t xml:space="preserve"> </w:t>
      </w:r>
      <w:r w:rsidR="00EE4F6F" w:rsidRPr="00B916EC">
        <w:t xml:space="preserve">is the bandwidth of the PUSCH resource assignment expressed in number of resource blocks for the first PUSCH transmission </w:t>
      </w:r>
      <w:r w:rsidR="00EE4F6F">
        <w:rPr>
          <w:lang w:val="en-US"/>
        </w:rPr>
        <w:t>on</w:t>
      </w:r>
      <w:r w:rsidR="00EE4F6F" w:rsidRPr="00B916EC">
        <w:rPr>
          <w:lang w:val="en-US"/>
        </w:rPr>
        <w:t xml:space="preserve"> </w:t>
      </w:r>
      <w:r w:rsidR="00EE4F6F">
        <w:rPr>
          <w:lang w:val="en-US"/>
        </w:rPr>
        <w:t>active UL BWP</w:t>
      </w:r>
      <m:oMath>
        <m:r>
          <w:rPr>
            <w:rFonts w:ascii="Cambria Math" w:hAnsi="Cambria Math"/>
            <w:lang w:val="en-US"/>
          </w:rPr>
          <m:t xml:space="preserve"> </m:t>
        </m:r>
        <m:r>
          <w:rPr>
            <w:rFonts w:ascii="Cambria Math" w:hAnsi="Cambria Math"/>
          </w:rPr>
          <m:t>b</m:t>
        </m:r>
      </m:oMath>
      <w:r w:rsidR="00C03999" w:rsidRPr="00F415B1">
        <w:rPr>
          <w:iCs/>
          <w:lang w:val="en-US"/>
        </w:rPr>
        <w:t xml:space="preserve"> </w:t>
      </w:r>
      <w:r w:rsidR="00C03999" w:rsidRPr="00F415B1">
        <w:rPr>
          <w:lang w:val="en-US"/>
        </w:rPr>
        <w:t xml:space="preserve">of carrier </w:t>
      </w:r>
      <m:oMath>
        <m:r>
          <w:rPr>
            <w:rFonts w:ascii="Cambria Math" w:hAnsi="Cambria Math"/>
            <w:lang w:val="en-US"/>
          </w:rPr>
          <m:t>f</m:t>
        </m:r>
      </m:oMath>
      <w:r w:rsidR="00C03999" w:rsidRPr="00F415B1">
        <w:rPr>
          <w:iCs/>
          <w:lang w:val="en-US"/>
        </w:rPr>
        <w:t xml:space="preserve"> of</w:t>
      </w:r>
      <w:r w:rsidR="00C03999" w:rsidRPr="00F415B1">
        <w:t xml:space="preserve"> serving cell </w:t>
      </w:r>
      <m:oMath>
        <m:r>
          <w:rPr>
            <w:rFonts w:ascii="Cambria Math" w:hAnsi="Cambria Math"/>
          </w:rPr>
          <m:t>c</m:t>
        </m:r>
      </m:oMath>
      <w:r w:rsidR="00EE4F6F" w:rsidRPr="00B916EC">
        <w:t xml:space="preserve">, and </w:t>
      </w:r>
      <m:oMath>
        <m:sSub>
          <m:sSubPr>
            <m:ctrlPr>
              <w:rPr>
                <w:rFonts w:ascii="Cambria Math" w:hAnsi="Cambria Math"/>
                <w:i/>
                <w:lang w:val="x-none"/>
              </w:rPr>
            </m:ctrlPr>
          </m:sSubPr>
          <m:e>
            <m:r>
              <w:rPr>
                <w:rFonts w:ascii="Cambria Math" w:hAnsi="Cambria Math"/>
              </w:rPr>
              <m:t>∆</m:t>
            </m:r>
          </m:e>
          <m:sub>
            <m:r>
              <m:rPr>
                <m:sty m:val="p"/>
              </m:rPr>
              <w:rPr>
                <w:rFonts w:ascii="Cambria Math" w:hAnsi="Cambria Math"/>
              </w:rPr>
              <m:t>TF</m:t>
            </m:r>
            <m:r>
              <w:rPr>
                <w:rFonts w:ascii="Cambria Math" w:hAnsi="Cambria Math"/>
              </w:rPr>
              <m:t>,b,f,c</m:t>
            </m:r>
          </m:sub>
        </m:sSub>
        <m:d>
          <m:dPr>
            <m:ctrlPr>
              <w:rPr>
                <w:rFonts w:ascii="Cambria Math" w:hAnsi="Cambria Math"/>
                <w:i/>
              </w:rPr>
            </m:ctrlPr>
          </m:dPr>
          <m:e>
            <m:r>
              <w:rPr>
                <w:rFonts w:ascii="Cambria Math" w:hAnsi="Cambria Math"/>
              </w:rPr>
              <m:t>0</m:t>
            </m:r>
          </m:e>
        </m:d>
      </m:oMath>
      <w:r w:rsidR="00EE4F6F" w:rsidRPr="00B916EC">
        <w:t xml:space="preserve"> is the power adjustment of first PUSCH transmission </w:t>
      </w:r>
      <w:r w:rsidR="00EE4F6F">
        <w:rPr>
          <w:lang w:val="en-US"/>
        </w:rPr>
        <w:t>on</w:t>
      </w:r>
      <w:r w:rsidR="00EE4F6F" w:rsidRPr="00B916EC">
        <w:rPr>
          <w:lang w:val="en-US"/>
        </w:rPr>
        <w:t xml:space="preserve"> </w:t>
      </w:r>
      <w:r w:rsidR="00EE4F6F">
        <w:rPr>
          <w:lang w:val="en-US"/>
        </w:rPr>
        <w:t xml:space="preserve">active UL BWP </w:t>
      </w:r>
      <m:oMath>
        <m:r>
          <w:rPr>
            <w:rFonts w:ascii="Cambria Math" w:hAnsi="Cambria Math"/>
          </w:rPr>
          <m:t>b</m:t>
        </m:r>
      </m:oMath>
      <w:r w:rsidR="00C03999" w:rsidRPr="00F415B1">
        <w:rPr>
          <w:iCs/>
          <w:lang w:val="en-US"/>
        </w:rPr>
        <w:t xml:space="preserve"> </w:t>
      </w:r>
      <w:r w:rsidR="00C03999" w:rsidRPr="00F415B1">
        <w:rPr>
          <w:lang w:val="en-US"/>
        </w:rPr>
        <w:t xml:space="preserve">of carrier </w:t>
      </w:r>
      <m:oMath>
        <m:r>
          <w:rPr>
            <w:rFonts w:ascii="Cambria Math" w:hAnsi="Cambria Math"/>
            <w:lang w:val="en-US"/>
          </w:rPr>
          <m:t>f</m:t>
        </m:r>
      </m:oMath>
      <w:r w:rsidR="00C03999" w:rsidRPr="00F415B1">
        <w:rPr>
          <w:iCs/>
          <w:lang w:val="en-US"/>
        </w:rPr>
        <w:t xml:space="preserve"> of</w:t>
      </w:r>
      <w:r w:rsidR="00C03999" w:rsidRPr="00F415B1">
        <w:t xml:space="preserve"> serving cell </w:t>
      </w:r>
      <m:oMath>
        <m:r>
          <w:rPr>
            <w:rFonts w:ascii="Cambria Math" w:hAnsi="Cambria Math"/>
          </w:rPr>
          <m:t>c</m:t>
        </m:r>
      </m:oMath>
      <w:r w:rsidR="006776FF" w:rsidRPr="00B916EC">
        <w:t xml:space="preserve">. </w:t>
      </w:r>
    </w:p>
    <w:p w14:paraId="29B54285" w14:textId="7A97C380" w:rsidR="00E31DED" w:rsidRDefault="00E31DED" w:rsidP="00E31DED">
      <w:pPr>
        <w:pStyle w:val="B2"/>
        <w:rPr>
          <w:lang w:val="en-US"/>
        </w:rPr>
      </w:pPr>
      <w:r>
        <w:t>-</w:t>
      </w:r>
      <w:r>
        <w:tab/>
      </w:r>
      <w:r>
        <w:rPr>
          <w:lang w:val="en-US"/>
        </w:rPr>
        <w:t>If</w:t>
      </w:r>
      <w:r w:rsidRPr="00B916EC">
        <w:t xml:space="preserve"> the UE </w:t>
      </w:r>
      <w:r>
        <w:t>transmits the PUSCH</w:t>
      </w:r>
      <w:r>
        <w:rPr>
          <w:lang w:val="en-US"/>
        </w:rPr>
        <w:t xml:space="preserve"> in PUSCH transmission occasion </w:t>
      </w:r>
      <m:oMath>
        <m:r>
          <w:rPr>
            <w:rFonts w:ascii="Cambria Math" w:hAnsi="Cambria Math"/>
            <w:lang w:val="en-US"/>
          </w:rPr>
          <m:t>i</m:t>
        </m:r>
      </m:oMath>
      <w:r>
        <w:rPr>
          <w:lang w:val="en-US"/>
        </w:rPr>
        <w:t xml:space="preserve"> on</w:t>
      </w:r>
      <w:r w:rsidRPr="00B916EC">
        <w:t xml:space="preserve"> </w:t>
      </w:r>
      <w:r>
        <w:rPr>
          <w:lang w:val="en-US"/>
        </w:rPr>
        <w:t>active</w:t>
      </w:r>
      <w:r w:rsidRPr="00B916EC">
        <w:t xml:space="preserve"> </w:t>
      </w:r>
      <w:r>
        <w:rPr>
          <w:lang w:val="en-US"/>
        </w:rPr>
        <w:t xml:space="preserve">UL BWP </w:t>
      </w:r>
      <m:oMath>
        <m:r>
          <w:rPr>
            <w:rFonts w:ascii="Cambria Math"/>
          </w:rPr>
          <m:t>b</m:t>
        </m:r>
      </m:oMath>
      <w:r>
        <w:rPr>
          <w:rStyle w:val="CommentReference"/>
          <w:rFonts w:eastAsia="MS Mincho"/>
        </w:rPr>
        <w:t xml:space="preserve"> </w:t>
      </w:r>
      <w:r>
        <w:rPr>
          <w:lang w:val="en-US"/>
        </w:rPr>
        <w:t>of</w:t>
      </w:r>
      <w:r w:rsidRPr="00B916EC">
        <w:rPr>
          <w:lang w:val="en-US"/>
        </w:rPr>
        <w:t xml:space="preserve"> carrier </w:t>
      </w:r>
      <m:oMath>
        <m:r>
          <w:rPr>
            <w:rFonts w:ascii="Cambria Math"/>
          </w:rPr>
          <m:t>f</m:t>
        </m:r>
      </m:oMath>
      <w:r w:rsidRPr="00B916EC">
        <w:rPr>
          <w:iCs/>
          <w:lang w:val="en-US"/>
        </w:rPr>
        <w:t xml:space="preserve"> of</w:t>
      </w:r>
      <w:r w:rsidRPr="00B916EC">
        <w:t xml:space="preserve"> serving cell </w:t>
      </w:r>
      <m:oMath>
        <m:r>
          <w:rPr>
            <w:rFonts w:ascii="Cambria Math"/>
          </w:rPr>
          <m:t>c</m:t>
        </m:r>
      </m:oMath>
      <w:r>
        <w:rPr>
          <w:lang w:val="en-US"/>
        </w:rPr>
        <w:t xml:space="preserve"> as described </w:t>
      </w:r>
      <w:r w:rsidR="006F5F9E">
        <w:rPr>
          <w:lang w:val="en-US"/>
        </w:rPr>
        <w:t>in clause</w:t>
      </w:r>
      <w:r>
        <w:rPr>
          <w:lang w:val="en-US"/>
        </w:rPr>
        <w:t xml:space="preserve"> 8.1A, </w:t>
      </w:r>
      <m:oMath>
        <m:sSub>
          <m:sSubPr>
            <m:ctrlPr>
              <w:rPr>
                <w:rFonts w:ascii="Cambria Math" w:hAnsi="Cambria Math"/>
                <w:i/>
              </w:rPr>
            </m:ctrlPr>
          </m:sSubPr>
          <m:e>
            <m:r>
              <w:rPr>
                <w:rFonts w:ascii="Cambria Math"/>
              </w:rPr>
              <m:t>f</m:t>
            </m:r>
          </m:e>
          <m:sub>
            <m:r>
              <w:rPr>
                <w:rFonts w:ascii="Cambria Math"/>
              </w:rPr>
              <m:t>b,f,c</m:t>
            </m:r>
          </m:sub>
        </m:sSub>
        <m:r>
          <w:rPr>
            <w:rFonts w:ascii="Cambria Math"/>
          </w:rPr>
          <m:t>(0,l)=Δ</m:t>
        </m:r>
        <m:sSub>
          <m:sSubPr>
            <m:ctrlPr>
              <w:rPr>
                <w:rFonts w:ascii="Cambria Math" w:hAnsi="Cambria Math"/>
                <w:i/>
              </w:rPr>
            </m:ctrlPr>
          </m:sSubPr>
          <m:e>
            <m:r>
              <w:rPr>
                <w:rFonts w:ascii="Cambria Math"/>
              </w:rPr>
              <m:t>P</m:t>
            </m:r>
          </m:e>
          <m:sub>
            <m:r>
              <w:rPr>
                <w:rFonts w:ascii="Cambria Math"/>
              </w:rPr>
              <m:t>rampup,b,f,c</m:t>
            </m:r>
          </m:sub>
        </m:sSub>
      </m:oMath>
      <w:r w:rsidRPr="00B916EC">
        <w:rPr>
          <w:lang w:val="en-US"/>
        </w:rPr>
        <w:t>, where</w:t>
      </w:r>
    </w:p>
    <w:p w14:paraId="29C5BBCA" w14:textId="77777777" w:rsidR="00E31DED" w:rsidRDefault="00E31DED" w:rsidP="00E31DED">
      <w:pPr>
        <w:pStyle w:val="B3"/>
      </w:pPr>
      <w:r>
        <w:t>-</w:t>
      </w:r>
      <w:r>
        <w:tab/>
      </w:r>
      <m:oMath>
        <m:r>
          <w:rPr>
            <w:rFonts w:ascii="Cambria Math"/>
          </w:rPr>
          <m:t>l=0</m:t>
        </m:r>
      </m:oMath>
      <w:r>
        <w:t>, and</w:t>
      </w:r>
    </w:p>
    <w:p w14:paraId="21C1F533" w14:textId="32B9F2EA" w:rsidR="00E31DED" w:rsidRPr="00B916EC" w:rsidRDefault="00E31DED" w:rsidP="00590EB5">
      <w:pPr>
        <w:pStyle w:val="B3"/>
        <w:rPr>
          <w:lang w:val="en-US"/>
        </w:rPr>
      </w:pPr>
      <w:r>
        <w:t>-</w:t>
      </w:r>
      <w:r>
        <w:tab/>
      </w:r>
      <w:r w:rsidR="00ED3701">
        <w:rPr>
          <w:noProof/>
          <w:position w:val="-50"/>
        </w:rPr>
        <w:drawing>
          <wp:inline distT="0" distB="0" distL="0" distR="0" wp14:anchorId="21BC40E2" wp14:editId="5421E0CD">
            <wp:extent cx="5229225" cy="638175"/>
            <wp:effectExtent l="0" t="0" r="0" b="0"/>
            <wp:docPr id="19"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9225" cy="638175"/>
                    </a:xfrm>
                    <a:prstGeom prst="rect">
                      <a:avLst/>
                    </a:prstGeom>
                    <a:noFill/>
                    <a:ln>
                      <a:noFill/>
                    </a:ln>
                  </pic:spPr>
                </pic:pic>
              </a:graphicData>
            </a:graphic>
          </wp:inline>
        </w:drawing>
      </w:r>
      <w:r w:rsidRPr="00B916EC">
        <w:t xml:space="preserve"> and </w:t>
      </w:r>
      <m:oMath>
        <m:r>
          <w:rPr>
            <w:rFonts w:ascii="Cambria Math"/>
          </w:rPr>
          <m:t>Δ</m:t>
        </m:r>
        <m:sSub>
          <m:sSubPr>
            <m:ctrlPr>
              <w:rPr>
                <w:rFonts w:ascii="Cambria Math" w:hAnsi="Cambria Math"/>
                <w:i/>
              </w:rPr>
            </m:ctrlPr>
          </m:sSubPr>
          <m:e>
            <m:r>
              <w:rPr>
                <w:rFonts w:ascii="Cambria Math"/>
              </w:rPr>
              <m:t>P</m:t>
            </m:r>
          </m:e>
          <m:sub>
            <m:r>
              <w:rPr>
                <w:rFonts w:ascii="Cambria Math"/>
              </w:rPr>
              <m:t>rampup</m:t>
            </m:r>
            <m:r>
              <m:rPr>
                <m:sty m:val="p"/>
              </m:rPr>
              <w:rPr>
                <w:rFonts w:ascii="Cambria Math"/>
              </w:rPr>
              <m:t>_</m:t>
            </m:r>
            <m:r>
              <w:rPr>
                <w:rFonts w:ascii="Cambria Math"/>
              </w:rPr>
              <m:t>requested,b,f,c</m:t>
            </m:r>
          </m:sub>
        </m:sSub>
      </m:oMath>
      <w:r w:rsidRPr="00B916EC">
        <w:t xml:space="preserve"> is provided by higher layers and corresponds to the total power ramp-up requested by higher layers, </w:t>
      </w:r>
      <m:oMath>
        <m:sSubSup>
          <m:sSubSupPr>
            <m:ctrlPr>
              <w:rPr>
                <w:rFonts w:ascii="Cambria Math" w:hAnsi="Cambria Math"/>
                <w:i/>
              </w:rPr>
            </m:ctrlPr>
          </m:sSubSupPr>
          <m:e>
            <m:r>
              <w:rPr>
                <w:rFonts w:ascii="Cambria Math"/>
              </w:rPr>
              <m:t>M</m:t>
            </m:r>
          </m:e>
          <m:sub>
            <m:r>
              <m:rPr>
                <m:nor/>
              </m:rPr>
              <w:rPr>
                <w:rFonts w:ascii="Cambria Math"/>
              </w:rPr>
              <m:t>RB,</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ctrlPr>
              <w:rPr>
                <w:rFonts w:ascii="Cambria Math" w:hAnsi="Cambria Math"/>
              </w:rPr>
            </m:ctrlPr>
          </m:sub>
          <m:sup>
            <m:r>
              <m:rPr>
                <m:nor/>
              </m:rPr>
              <w:rPr>
                <w:rFonts w:ascii="Cambria Math"/>
              </w:rPr>
              <m:t>PUSCH</m:t>
            </m:r>
            <m:ctrlPr>
              <w:rPr>
                <w:rFonts w:ascii="Cambria Math" w:hAnsi="Cambria Math"/>
              </w:rPr>
            </m:ctrlPr>
          </m:sup>
        </m:sSubSup>
        <m:r>
          <w:rPr>
            <w:rFonts w:ascii="Cambria Math"/>
          </w:rPr>
          <m:t>(i)</m:t>
        </m:r>
      </m:oMath>
      <w:r w:rsidRPr="00B916EC">
        <w:rPr>
          <w:lang w:val="en-US"/>
        </w:rPr>
        <w:t xml:space="preserve"> </w:t>
      </w:r>
      <w:r w:rsidRPr="00B916EC">
        <w:t xml:space="preserve">is the bandwidth of the PUSCH resource assignment expressed in number </w:t>
      </w:r>
      <w:r>
        <w:t>of resource blocks</w:t>
      </w:r>
      <w:r w:rsidRPr="00B916EC">
        <w:t xml:space="preserve">, and </w:t>
      </w:r>
      <m:oMath>
        <m:sSub>
          <m:sSubPr>
            <m:ctrlPr>
              <w:rPr>
                <w:rFonts w:ascii="Cambria Math" w:hAnsi="Cambria Math"/>
                <w:i/>
              </w:rPr>
            </m:ctrlPr>
          </m:sSubPr>
          <m:e>
            <m:r>
              <w:rPr>
                <w:rFonts w:ascii="Cambria Math"/>
              </w:rPr>
              <m:t>Δ</m:t>
            </m:r>
          </m:e>
          <m:sub>
            <m:r>
              <m:rPr>
                <m:nor/>
              </m:rPr>
              <w:rPr>
                <w:rFonts w:ascii="Cambria Math"/>
              </w:rPr>
              <m:t>TF</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ctrlPr>
              <w:rPr>
                <w:rFonts w:ascii="Cambria Math" w:hAnsi="Cambria Math"/>
              </w:rPr>
            </m:ctrlPr>
          </m:sub>
        </m:sSub>
        <m:r>
          <w:rPr>
            <w:rFonts w:ascii="Cambria Math"/>
          </w:rPr>
          <m:t>(i)</m:t>
        </m:r>
      </m:oMath>
      <w:r>
        <w:t xml:space="preserve"> is the power adjustment of </w:t>
      </w:r>
      <w:r w:rsidRPr="00B916EC">
        <w:t>t</w:t>
      </w:r>
      <w:r>
        <w:t>he</w:t>
      </w:r>
      <w:r w:rsidRPr="00B916EC">
        <w:t xml:space="preserve"> PUSCH transmission</w:t>
      </w:r>
      <w:r>
        <w:t xml:space="preserve"> in PUSCH transmission </w:t>
      </w:r>
      <w:r>
        <w:rPr>
          <w:lang w:val="en-US"/>
        </w:rPr>
        <w:t xml:space="preserve">occasion </w:t>
      </w:r>
      <m:oMath>
        <m:r>
          <w:rPr>
            <w:rFonts w:ascii="Cambria Math" w:hAnsi="Cambria Math"/>
            <w:lang w:val="en-US"/>
          </w:rPr>
          <m:t>i</m:t>
        </m:r>
      </m:oMath>
      <w:r w:rsidR="00E12A0D">
        <w:rPr>
          <w:lang w:val="en-US"/>
        </w:rPr>
        <w:t>.</w:t>
      </w:r>
      <w:r w:rsidRPr="00425377">
        <w:rPr>
          <w:iCs/>
        </w:rPr>
        <w:t xml:space="preserve"> </w:t>
      </w:r>
    </w:p>
    <w:p w14:paraId="755AA525" w14:textId="63DFAACB" w:rsidR="001B6CA8" w:rsidRPr="00B916EC" w:rsidRDefault="001B6CA8" w:rsidP="001B6CA8">
      <w:pPr>
        <w:pStyle w:val="TH"/>
      </w:pPr>
      <w:r w:rsidRPr="00B916EC">
        <w:lastRenderedPageBreak/>
        <w:t xml:space="preserve">Table 7.1.1-1: Mapping of TPC Command Field in </w:t>
      </w:r>
      <w:r w:rsidR="00547764">
        <w:t xml:space="preserve">a </w:t>
      </w:r>
      <w:r w:rsidRPr="00B916EC">
        <w:t xml:space="preserve">DCI format </w:t>
      </w:r>
      <w:r w:rsidR="00547764" w:rsidRPr="00EE027F">
        <w:t>scheduling a PUSCH transmission</w:t>
      </w:r>
      <w:r w:rsidR="00C72738" w:rsidRPr="00B916EC">
        <w:rPr>
          <w:iCs/>
          <w:lang w:val="en-US"/>
        </w:rPr>
        <w:t>, or</w:t>
      </w:r>
      <w:r w:rsidR="00B4229C" w:rsidRPr="00B916EC">
        <w:rPr>
          <w:iCs/>
          <w:lang w:val="en-US"/>
        </w:rPr>
        <w:t xml:space="preserve"> </w:t>
      </w:r>
      <w:r w:rsidR="00547764">
        <w:rPr>
          <w:iCs/>
          <w:lang w:val="en-US"/>
        </w:rPr>
        <w:t xml:space="preserve">in </w:t>
      </w:r>
      <w:r w:rsidR="00B4229C" w:rsidRPr="00B916EC">
        <w:rPr>
          <w:iCs/>
          <w:lang w:val="en-US"/>
        </w:rPr>
        <w:t xml:space="preserve">DCI format </w:t>
      </w:r>
      <w:r w:rsidR="00C72738" w:rsidRPr="00B916EC">
        <w:rPr>
          <w:lang w:val="en-US"/>
        </w:rPr>
        <w:t>2_2</w:t>
      </w:r>
      <w:r w:rsidR="003B26EE">
        <w:rPr>
          <w:lang w:val="en-US"/>
        </w:rPr>
        <w:t xml:space="preserve"> </w:t>
      </w:r>
      <w:r w:rsidR="00DA6033">
        <w:rPr>
          <w:lang w:val="en-US"/>
        </w:rPr>
        <w:t>with</w:t>
      </w:r>
      <w:r w:rsidR="003B26EE" w:rsidRPr="00B916EC">
        <w:rPr>
          <w:rFonts w:hint="eastAsia"/>
        </w:rPr>
        <w:t xml:space="preserve"> CRC scrambled </w:t>
      </w:r>
      <w:r w:rsidR="003B26EE" w:rsidRPr="00B916EC">
        <w:rPr>
          <w:lang w:val="en-US"/>
        </w:rPr>
        <w:t>by</w:t>
      </w:r>
      <w:r w:rsidR="003B26EE" w:rsidRPr="00B916EC">
        <w:rPr>
          <w:rFonts w:hint="eastAsia"/>
        </w:rPr>
        <w:t xml:space="preserve"> TPC-PUSCH-RNTI</w:t>
      </w:r>
      <w:r w:rsidR="00FE6B27">
        <w:rPr>
          <w:lang w:val="en-US"/>
        </w:rPr>
        <w:t xml:space="preserve">, or </w:t>
      </w:r>
      <w:r w:rsidR="00547764">
        <w:rPr>
          <w:lang w:val="en-US"/>
        </w:rPr>
        <w:t xml:space="preserve">in </w:t>
      </w:r>
      <w:r w:rsidR="00FE6B27">
        <w:rPr>
          <w:lang w:val="en-US"/>
        </w:rPr>
        <w:t>DCI format 2_3</w:t>
      </w:r>
      <w:r w:rsidR="00B4229C" w:rsidRPr="00B916EC">
        <w:t>,</w:t>
      </w:r>
      <w:r w:rsidR="00781AD8" w:rsidRPr="00B916EC">
        <w:t xml:space="preserve"> </w:t>
      </w:r>
      <w:r w:rsidRPr="00B916EC">
        <w:t xml:space="preserve">to absolute and accumulated </w:t>
      </w:r>
      <m:oMath>
        <m:sSub>
          <m:sSubPr>
            <m:ctrlPr>
              <w:rPr>
                <w:rFonts w:ascii="Cambria Math" w:hAnsi="Cambria Math"/>
                <w:iCs/>
              </w:rPr>
            </m:ctrlPr>
          </m:sSubPr>
          <m:e>
            <m:r>
              <m:rPr>
                <m:sty m:val="bi"/>
              </m:rPr>
              <w:rPr>
                <w:rFonts w:ascii="Cambria Math" w:hAnsi="Cambria Math"/>
              </w:rPr>
              <m:t>δ</m:t>
            </m:r>
          </m:e>
          <m:sub>
            <m:r>
              <m:rPr>
                <m:sty m:val="b"/>
              </m:rPr>
              <w:rPr>
                <w:rFonts w:ascii="Cambria Math"/>
              </w:rPr>
              <m:t>PUSCH</m:t>
            </m:r>
            <m:r>
              <m:rPr>
                <m:sty m:val="bi"/>
              </m:rPr>
              <w:rPr>
                <w:rFonts w:ascii="Cambria Math"/>
              </w:rPr>
              <m:t>,b</m:t>
            </m:r>
            <m:r>
              <m:rPr>
                <m:sty m:val="b"/>
              </m:rPr>
              <w:rPr>
                <w:rFonts w:ascii="Cambria Math"/>
              </w:rPr>
              <m:t>,</m:t>
            </m:r>
            <m:r>
              <m:rPr>
                <m:sty m:val="bi"/>
              </m:rPr>
              <w:rPr>
                <w:rFonts w:ascii="Cambria Math"/>
              </w:rPr>
              <m:t>f</m:t>
            </m:r>
            <m:r>
              <m:rPr>
                <m:sty m:val="b"/>
              </m:rPr>
              <w:rPr>
                <w:rFonts w:ascii="Cambria Math"/>
              </w:rPr>
              <m:t>,</m:t>
            </m:r>
            <m:r>
              <m:rPr>
                <m:sty m:val="bi"/>
              </m:rPr>
              <w:rPr>
                <w:rFonts w:ascii="Cambria Math"/>
              </w:rPr>
              <m:t>c</m:t>
            </m:r>
          </m:sub>
        </m:sSub>
      </m:oMath>
      <w:r w:rsidR="00FD769A" w:rsidRPr="00D93BE5">
        <w:rPr>
          <w:rFonts w:cs="Arial"/>
        </w:rPr>
        <w:t xml:space="preserve"> values or </w:t>
      </w:r>
      <m:oMath>
        <m:sSub>
          <m:sSubPr>
            <m:ctrlPr>
              <w:rPr>
                <w:rFonts w:ascii="Cambria Math" w:hAnsi="Cambria Math"/>
                <w:iCs/>
              </w:rPr>
            </m:ctrlPr>
          </m:sSubPr>
          <m:e>
            <m:r>
              <m:rPr>
                <m:sty m:val="bi"/>
              </m:rPr>
              <w:rPr>
                <w:rFonts w:ascii="Cambria Math" w:hAnsi="Cambria Math"/>
              </w:rPr>
              <m:t>δ</m:t>
            </m:r>
          </m:e>
          <m:sub>
            <m:r>
              <m:rPr>
                <m:sty m:val="b"/>
              </m:rPr>
              <w:rPr>
                <w:rFonts w:ascii="Cambria Math"/>
              </w:rPr>
              <m:t>SRS</m:t>
            </m:r>
            <m:r>
              <m:rPr>
                <m:sty m:val="bi"/>
              </m:rPr>
              <w:rPr>
                <w:rFonts w:ascii="Cambria Math"/>
              </w:rPr>
              <m:t>,b</m:t>
            </m:r>
            <m:r>
              <m:rPr>
                <m:sty m:val="b"/>
              </m:rPr>
              <w:rPr>
                <w:rFonts w:ascii="Cambria Math"/>
              </w:rPr>
              <m:t>,</m:t>
            </m:r>
            <m:r>
              <m:rPr>
                <m:sty m:val="bi"/>
              </m:rPr>
              <w:rPr>
                <w:rFonts w:ascii="Cambria Math"/>
              </w:rPr>
              <m:t>f</m:t>
            </m:r>
            <m:r>
              <m:rPr>
                <m:sty m:val="b"/>
              </m:rPr>
              <w:rPr>
                <w:rFonts w:ascii="Cambria Math"/>
              </w:rPr>
              <m:t>,</m:t>
            </m:r>
            <m:r>
              <m:rPr>
                <m:sty m:val="bi"/>
              </m:rPr>
              <w:rPr>
                <w:rFonts w:ascii="Cambria Math"/>
              </w:rPr>
              <m:t>c</m:t>
            </m:r>
          </m:sub>
        </m:sSub>
      </m:oMath>
      <w:r w:rsidR="00FD769A" w:rsidRPr="00D93BE5">
        <w:rPr>
          <w:rFonts w:cs="Arial"/>
        </w:rPr>
        <w:t xml:space="preserve"> values</w:t>
      </w:r>
      <w:r w:rsidR="0098334E">
        <w:rPr>
          <w:rFonts w:cs="Arial"/>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7"/>
        <w:gridCol w:w="3705"/>
        <w:gridCol w:w="3345"/>
      </w:tblGrid>
      <w:tr w:rsidR="00D44E88" w:rsidRPr="00B916EC" w14:paraId="3A6BDC01" w14:textId="77777777" w:rsidTr="00FD769A">
        <w:trPr>
          <w:jc w:val="center"/>
        </w:trPr>
        <w:tc>
          <w:tcPr>
            <w:tcW w:w="0" w:type="auto"/>
            <w:shd w:val="clear" w:color="auto" w:fill="E0E0E0"/>
            <w:vAlign w:val="center"/>
          </w:tcPr>
          <w:p w14:paraId="317E66FE" w14:textId="77777777" w:rsidR="00D44E88" w:rsidRPr="00B916EC" w:rsidRDefault="00D44E88" w:rsidP="00D44E88">
            <w:pPr>
              <w:pStyle w:val="TAH"/>
            </w:pPr>
            <w:r w:rsidRPr="00B916EC">
              <w:t xml:space="preserve">TPC Command Field </w:t>
            </w:r>
          </w:p>
        </w:tc>
        <w:tc>
          <w:tcPr>
            <w:tcW w:w="0" w:type="auto"/>
            <w:shd w:val="clear" w:color="auto" w:fill="E0E0E0"/>
            <w:vAlign w:val="center"/>
          </w:tcPr>
          <w:p w14:paraId="5941DD23" w14:textId="2EA401B1" w:rsidR="00D44E88" w:rsidRPr="00B916EC" w:rsidRDefault="00D44E88" w:rsidP="00D44E88">
            <w:pPr>
              <w:pStyle w:val="TAH"/>
              <w:rPr>
                <w:szCs w:val="18"/>
              </w:rPr>
            </w:pPr>
            <w:r w:rsidRPr="00F415B1">
              <w:t xml:space="preserve">Accumulated </w:t>
            </w:r>
            <m:oMath>
              <m:sSub>
                <m:sSubPr>
                  <m:ctrlPr>
                    <w:rPr>
                      <w:rFonts w:ascii="Cambria Math" w:hAnsi="Cambria Math"/>
                      <w:iCs/>
                    </w:rPr>
                  </m:ctrlPr>
                </m:sSubPr>
                <m:e>
                  <m:r>
                    <m:rPr>
                      <m:sty m:val="bi"/>
                    </m:rPr>
                    <w:rPr>
                      <w:rFonts w:ascii="Cambria Math" w:hAnsi="Cambria Math"/>
                    </w:rPr>
                    <m:t>δ</m:t>
                  </m:r>
                </m:e>
                <m:sub>
                  <m:r>
                    <m:rPr>
                      <m:sty m:val="b"/>
                    </m:rPr>
                    <w:rPr>
                      <w:rFonts w:ascii="Cambria Math"/>
                    </w:rPr>
                    <m:t>PUSCH</m:t>
                  </m:r>
                  <m:r>
                    <m:rPr>
                      <m:sty m:val="bi"/>
                    </m:rPr>
                    <w:rPr>
                      <w:rFonts w:ascii="Cambria Math"/>
                    </w:rPr>
                    <m:t>,b</m:t>
                  </m:r>
                  <m:r>
                    <m:rPr>
                      <m:sty m:val="b"/>
                    </m:rPr>
                    <w:rPr>
                      <w:rFonts w:ascii="Cambria Math"/>
                    </w:rPr>
                    <m:t>,</m:t>
                  </m:r>
                  <m:r>
                    <m:rPr>
                      <m:sty m:val="bi"/>
                    </m:rPr>
                    <w:rPr>
                      <w:rFonts w:ascii="Cambria Math"/>
                    </w:rPr>
                    <m:t>f</m:t>
                  </m:r>
                  <m:r>
                    <m:rPr>
                      <m:sty m:val="b"/>
                    </m:rPr>
                    <w:rPr>
                      <w:rFonts w:ascii="Cambria Math"/>
                    </w:rPr>
                    <m:t>,</m:t>
                  </m:r>
                  <m:r>
                    <m:rPr>
                      <m:sty m:val="bi"/>
                    </m:rPr>
                    <w:rPr>
                      <w:rFonts w:ascii="Cambria Math"/>
                    </w:rPr>
                    <m:t>c</m:t>
                  </m:r>
                </m:sub>
              </m:sSub>
            </m:oMath>
            <w:r w:rsidRPr="00F415B1" w:rsidDel="005872D2">
              <w:t xml:space="preserve"> </w:t>
            </w:r>
            <w:r w:rsidRPr="00F415B1">
              <w:t xml:space="preserve">or </w:t>
            </w:r>
            <m:oMath>
              <m:sSub>
                <m:sSubPr>
                  <m:ctrlPr>
                    <w:rPr>
                      <w:rFonts w:ascii="Cambria Math" w:hAnsi="Cambria Math"/>
                      <w:iCs/>
                    </w:rPr>
                  </m:ctrlPr>
                </m:sSubPr>
                <m:e>
                  <m:r>
                    <m:rPr>
                      <m:sty m:val="bi"/>
                    </m:rPr>
                    <w:rPr>
                      <w:rFonts w:ascii="Cambria Math" w:hAnsi="Cambria Math"/>
                    </w:rPr>
                    <m:t>δ</m:t>
                  </m:r>
                </m:e>
                <m:sub>
                  <m:r>
                    <m:rPr>
                      <m:sty m:val="b"/>
                    </m:rPr>
                    <w:rPr>
                      <w:rFonts w:ascii="Cambria Math"/>
                    </w:rPr>
                    <m:t>SRS</m:t>
                  </m:r>
                  <m:r>
                    <m:rPr>
                      <m:sty m:val="bi"/>
                    </m:rPr>
                    <w:rPr>
                      <w:rFonts w:ascii="Cambria Math"/>
                    </w:rPr>
                    <m:t>,b</m:t>
                  </m:r>
                  <m:r>
                    <m:rPr>
                      <m:sty m:val="b"/>
                    </m:rPr>
                    <w:rPr>
                      <w:rFonts w:ascii="Cambria Math"/>
                    </w:rPr>
                    <m:t>,</m:t>
                  </m:r>
                  <m:r>
                    <m:rPr>
                      <m:sty m:val="bi"/>
                    </m:rPr>
                    <w:rPr>
                      <w:rFonts w:ascii="Cambria Math"/>
                    </w:rPr>
                    <m:t>f</m:t>
                  </m:r>
                  <m:r>
                    <m:rPr>
                      <m:sty m:val="b"/>
                    </m:rPr>
                    <w:rPr>
                      <w:rFonts w:ascii="Cambria Math"/>
                    </w:rPr>
                    <m:t>,</m:t>
                  </m:r>
                  <m:r>
                    <m:rPr>
                      <m:sty m:val="bi"/>
                    </m:rPr>
                    <w:rPr>
                      <w:rFonts w:ascii="Cambria Math"/>
                    </w:rPr>
                    <m:t>c</m:t>
                  </m:r>
                </m:sub>
              </m:sSub>
            </m:oMath>
            <w:r w:rsidRPr="00F415B1">
              <w:t xml:space="preserve"> [dB]</w:t>
            </w:r>
          </w:p>
        </w:tc>
        <w:tc>
          <w:tcPr>
            <w:tcW w:w="0" w:type="auto"/>
            <w:shd w:val="clear" w:color="auto" w:fill="E0E0E0"/>
            <w:vAlign w:val="center"/>
          </w:tcPr>
          <w:p w14:paraId="4ECD70C4" w14:textId="68F65437" w:rsidR="00D44E88" w:rsidRPr="00B916EC" w:rsidRDefault="00D44E88" w:rsidP="00D44E88">
            <w:pPr>
              <w:pStyle w:val="TAH"/>
              <w:rPr>
                <w:szCs w:val="18"/>
              </w:rPr>
            </w:pPr>
            <w:r w:rsidRPr="00F415B1">
              <w:t xml:space="preserve">Absolute </w:t>
            </w:r>
            <m:oMath>
              <m:sSub>
                <m:sSubPr>
                  <m:ctrlPr>
                    <w:rPr>
                      <w:rFonts w:ascii="Cambria Math" w:hAnsi="Cambria Math"/>
                      <w:iCs/>
                    </w:rPr>
                  </m:ctrlPr>
                </m:sSubPr>
                <m:e>
                  <m:r>
                    <m:rPr>
                      <m:sty m:val="bi"/>
                    </m:rPr>
                    <w:rPr>
                      <w:rFonts w:ascii="Cambria Math" w:hAnsi="Cambria Math"/>
                    </w:rPr>
                    <m:t>δ</m:t>
                  </m:r>
                </m:e>
                <m:sub>
                  <m:r>
                    <m:rPr>
                      <m:sty m:val="b"/>
                    </m:rPr>
                    <w:rPr>
                      <w:rFonts w:ascii="Cambria Math"/>
                    </w:rPr>
                    <m:t>PUSCH</m:t>
                  </m:r>
                  <m:r>
                    <m:rPr>
                      <m:sty m:val="bi"/>
                    </m:rPr>
                    <w:rPr>
                      <w:rFonts w:ascii="Cambria Math"/>
                    </w:rPr>
                    <m:t>,b</m:t>
                  </m:r>
                  <m:r>
                    <m:rPr>
                      <m:sty m:val="b"/>
                    </m:rPr>
                    <w:rPr>
                      <w:rFonts w:ascii="Cambria Math"/>
                    </w:rPr>
                    <m:t>,</m:t>
                  </m:r>
                  <m:r>
                    <m:rPr>
                      <m:sty m:val="bi"/>
                    </m:rPr>
                    <w:rPr>
                      <w:rFonts w:ascii="Cambria Math"/>
                    </w:rPr>
                    <m:t>f</m:t>
                  </m:r>
                  <m:r>
                    <m:rPr>
                      <m:sty m:val="b"/>
                    </m:rPr>
                    <w:rPr>
                      <w:rFonts w:ascii="Cambria Math"/>
                    </w:rPr>
                    <m:t>,</m:t>
                  </m:r>
                  <m:r>
                    <m:rPr>
                      <m:sty m:val="bi"/>
                    </m:rPr>
                    <w:rPr>
                      <w:rFonts w:ascii="Cambria Math"/>
                    </w:rPr>
                    <m:t>c</m:t>
                  </m:r>
                </m:sub>
              </m:sSub>
            </m:oMath>
            <w:r w:rsidRPr="00F415B1">
              <w:t xml:space="preserve"> or </w:t>
            </w:r>
            <m:oMath>
              <m:sSub>
                <m:sSubPr>
                  <m:ctrlPr>
                    <w:rPr>
                      <w:rFonts w:ascii="Cambria Math" w:hAnsi="Cambria Math"/>
                      <w:iCs/>
                    </w:rPr>
                  </m:ctrlPr>
                </m:sSubPr>
                <m:e>
                  <m:r>
                    <m:rPr>
                      <m:sty m:val="bi"/>
                    </m:rPr>
                    <w:rPr>
                      <w:rFonts w:ascii="Cambria Math" w:hAnsi="Cambria Math"/>
                    </w:rPr>
                    <m:t>δ</m:t>
                  </m:r>
                </m:e>
                <m:sub>
                  <m:r>
                    <m:rPr>
                      <m:sty m:val="b"/>
                    </m:rPr>
                    <w:rPr>
                      <w:rFonts w:ascii="Cambria Math"/>
                    </w:rPr>
                    <m:t>SRS</m:t>
                  </m:r>
                  <m:r>
                    <m:rPr>
                      <m:sty m:val="bi"/>
                    </m:rPr>
                    <w:rPr>
                      <w:rFonts w:ascii="Cambria Math"/>
                    </w:rPr>
                    <m:t>,b</m:t>
                  </m:r>
                  <m:r>
                    <m:rPr>
                      <m:sty m:val="b"/>
                    </m:rPr>
                    <w:rPr>
                      <w:rFonts w:ascii="Cambria Math"/>
                    </w:rPr>
                    <m:t>,</m:t>
                  </m:r>
                  <m:r>
                    <m:rPr>
                      <m:sty m:val="bi"/>
                    </m:rPr>
                    <w:rPr>
                      <w:rFonts w:ascii="Cambria Math"/>
                    </w:rPr>
                    <m:t>f</m:t>
                  </m:r>
                  <m:r>
                    <m:rPr>
                      <m:sty m:val="b"/>
                    </m:rPr>
                    <w:rPr>
                      <w:rFonts w:ascii="Cambria Math"/>
                    </w:rPr>
                    <m:t>,</m:t>
                  </m:r>
                  <m:r>
                    <m:rPr>
                      <m:sty m:val="bi"/>
                    </m:rPr>
                    <w:rPr>
                      <w:rFonts w:ascii="Cambria Math"/>
                    </w:rPr>
                    <m:t>c</m:t>
                  </m:r>
                </m:sub>
              </m:sSub>
            </m:oMath>
            <w:r w:rsidRPr="00F415B1" w:rsidDel="005872D2">
              <w:t xml:space="preserve"> </w:t>
            </w:r>
            <w:r w:rsidRPr="00F415B1">
              <w:t xml:space="preserve">[dB] </w:t>
            </w:r>
          </w:p>
        </w:tc>
      </w:tr>
      <w:tr w:rsidR="001B6CA8" w:rsidRPr="00B916EC" w14:paraId="6ABE9B79" w14:textId="77777777" w:rsidTr="00FD769A">
        <w:trPr>
          <w:trHeight w:hRule="exact" w:val="227"/>
          <w:jc w:val="center"/>
        </w:trPr>
        <w:tc>
          <w:tcPr>
            <w:tcW w:w="0" w:type="auto"/>
            <w:vAlign w:val="center"/>
          </w:tcPr>
          <w:p w14:paraId="56E3F32B" w14:textId="77777777" w:rsidR="001B6CA8" w:rsidRPr="00B916EC" w:rsidRDefault="001B6CA8" w:rsidP="006F00B8">
            <w:pPr>
              <w:pStyle w:val="TAC"/>
            </w:pPr>
            <w:r w:rsidRPr="00B916EC">
              <w:t>0</w:t>
            </w:r>
          </w:p>
        </w:tc>
        <w:tc>
          <w:tcPr>
            <w:tcW w:w="0" w:type="auto"/>
            <w:vAlign w:val="center"/>
          </w:tcPr>
          <w:p w14:paraId="01F4AC8A" w14:textId="77777777" w:rsidR="001B6CA8" w:rsidRPr="00B916EC" w:rsidRDefault="001B6CA8" w:rsidP="006F00B8">
            <w:pPr>
              <w:pStyle w:val="TAC"/>
            </w:pPr>
            <w:r w:rsidRPr="00B916EC">
              <w:t>-1</w:t>
            </w:r>
          </w:p>
        </w:tc>
        <w:tc>
          <w:tcPr>
            <w:tcW w:w="0" w:type="auto"/>
            <w:vAlign w:val="center"/>
          </w:tcPr>
          <w:p w14:paraId="228BDD89" w14:textId="77777777" w:rsidR="001B6CA8" w:rsidRPr="00B916EC" w:rsidRDefault="001B6CA8" w:rsidP="006F00B8">
            <w:pPr>
              <w:pStyle w:val="TAC"/>
            </w:pPr>
            <w:r w:rsidRPr="00B916EC">
              <w:t>-4</w:t>
            </w:r>
          </w:p>
        </w:tc>
      </w:tr>
      <w:tr w:rsidR="001B6CA8" w:rsidRPr="00B916EC" w14:paraId="77BC99C4" w14:textId="77777777" w:rsidTr="00FD769A">
        <w:trPr>
          <w:trHeight w:hRule="exact" w:val="227"/>
          <w:jc w:val="center"/>
        </w:trPr>
        <w:tc>
          <w:tcPr>
            <w:tcW w:w="0" w:type="auto"/>
            <w:vAlign w:val="center"/>
          </w:tcPr>
          <w:p w14:paraId="2D5F6579" w14:textId="77777777" w:rsidR="001B6CA8" w:rsidRPr="00B916EC" w:rsidRDefault="001B6CA8" w:rsidP="006F00B8">
            <w:pPr>
              <w:pStyle w:val="TAC"/>
            </w:pPr>
            <w:r w:rsidRPr="00B916EC">
              <w:t>1</w:t>
            </w:r>
          </w:p>
        </w:tc>
        <w:tc>
          <w:tcPr>
            <w:tcW w:w="0" w:type="auto"/>
            <w:vAlign w:val="center"/>
          </w:tcPr>
          <w:p w14:paraId="3FC497BE" w14:textId="77777777" w:rsidR="001B6CA8" w:rsidRPr="00B916EC" w:rsidRDefault="001B6CA8" w:rsidP="006F00B8">
            <w:pPr>
              <w:pStyle w:val="TAC"/>
            </w:pPr>
            <w:r w:rsidRPr="00B916EC">
              <w:t>0</w:t>
            </w:r>
          </w:p>
        </w:tc>
        <w:tc>
          <w:tcPr>
            <w:tcW w:w="0" w:type="auto"/>
            <w:vAlign w:val="center"/>
          </w:tcPr>
          <w:p w14:paraId="73FE241E" w14:textId="77777777" w:rsidR="001B6CA8" w:rsidRPr="00B916EC" w:rsidRDefault="001B6CA8" w:rsidP="006F00B8">
            <w:pPr>
              <w:pStyle w:val="TAC"/>
            </w:pPr>
            <w:r w:rsidRPr="00B916EC">
              <w:t>-1</w:t>
            </w:r>
          </w:p>
        </w:tc>
      </w:tr>
      <w:tr w:rsidR="001B6CA8" w:rsidRPr="00B916EC" w14:paraId="5CE926A7" w14:textId="77777777" w:rsidTr="00FD769A">
        <w:trPr>
          <w:trHeight w:hRule="exact" w:val="227"/>
          <w:jc w:val="center"/>
        </w:trPr>
        <w:tc>
          <w:tcPr>
            <w:tcW w:w="0" w:type="auto"/>
            <w:vAlign w:val="center"/>
          </w:tcPr>
          <w:p w14:paraId="1963F29C" w14:textId="77777777" w:rsidR="001B6CA8" w:rsidRPr="00B916EC" w:rsidRDefault="001B6CA8" w:rsidP="006F00B8">
            <w:pPr>
              <w:pStyle w:val="TAC"/>
            </w:pPr>
            <w:r w:rsidRPr="00B916EC">
              <w:t>2</w:t>
            </w:r>
          </w:p>
        </w:tc>
        <w:tc>
          <w:tcPr>
            <w:tcW w:w="0" w:type="auto"/>
            <w:vAlign w:val="center"/>
          </w:tcPr>
          <w:p w14:paraId="2A5F0EA2" w14:textId="77777777" w:rsidR="001B6CA8" w:rsidRPr="00B916EC" w:rsidRDefault="001B6CA8" w:rsidP="006F00B8">
            <w:pPr>
              <w:pStyle w:val="TAC"/>
            </w:pPr>
            <w:r w:rsidRPr="00B916EC">
              <w:t>1</w:t>
            </w:r>
          </w:p>
        </w:tc>
        <w:tc>
          <w:tcPr>
            <w:tcW w:w="0" w:type="auto"/>
            <w:vAlign w:val="center"/>
          </w:tcPr>
          <w:p w14:paraId="1BC12D07" w14:textId="77777777" w:rsidR="001B6CA8" w:rsidRPr="00B916EC" w:rsidRDefault="001B6CA8" w:rsidP="006F00B8">
            <w:pPr>
              <w:pStyle w:val="TAC"/>
            </w:pPr>
            <w:r w:rsidRPr="00B916EC">
              <w:t>1</w:t>
            </w:r>
          </w:p>
        </w:tc>
      </w:tr>
      <w:tr w:rsidR="001B6CA8" w:rsidRPr="00B916EC" w14:paraId="152EBBD0" w14:textId="77777777" w:rsidTr="00FD769A">
        <w:trPr>
          <w:trHeight w:hRule="exact" w:val="227"/>
          <w:jc w:val="center"/>
        </w:trPr>
        <w:tc>
          <w:tcPr>
            <w:tcW w:w="0" w:type="auto"/>
            <w:vAlign w:val="center"/>
          </w:tcPr>
          <w:p w14:paraId="777CCEF3" w14:textId="77777777" w:rsidR="001B6CA8" w:rsidRPr="00B916EC" w:rsidRDefault="001B6CA8" w:rsidP="006F00B8">
            <w:pPr>
              <w:pStyle w:val="TAC"/>
            </w:pPr>
            <w:r w:rsidRPr="00B916EC">
              <w:t>3</w:t>
            </w:r>
          </w:p>
        </w:tc>
        <w:tc>
          <w:tcPr>
            <w:tcW w:w="0" w:type="auto"/>
            <w:vAlign w:val="center"/>
          </w:tcPr>
          <w:p w14:paraId="0A1C2AE7" w14:textId="77777777" w:rsidR="001B6CA8" w:rsidRPr="00B916EC" w:rsidRDefault="001B6CA8" w:rsidP="006F00B8">
            <w:pPr>
              <w:pStyle w:val="TAC"/>
            </w:pPr>
            <w:r w:rsidRPr="00B916EC">
              <w:t>3</w:t>
            </w:r>
          </w:p>
        </w:tc>
        <w:tc>
          <w:tcPr>
            <w:tcW w:w="0" w:type="auto"/>
            <w:vAlign w:val="center"/>
          </w:tcPr>
          <w:p w14:paraId="75A6A5AC" w14:textId="77777777" w:rsidR="001B6CA8" w:rsidRPr="00B916EC" w:rsidRDefault="001B6CA8" w:rsidP="006F00B8">
            <w:pPr>
              <w:pStyle w:val="TAC"/>
            </w:pPr>
            <w:r w:rsidRPr="00B916EC">
              <w:t>4</w:t>
            </w:r>
          </w:p>
        </w:tc>
      </w:tr>
    </w:tbl>
    <w:p w14:paraId="3CE7C5A6" w14:textId="77777777" w:rsidR="001B6CA8" w:rsidRPr="00B916EC" w:rsidRDefault="001B6CA8" w:rsidP="001B6CA8"/>
    <w:p w14:paraId="229635CB" w14:textId="77777777" w:rsidR="00A10623" w:rsidRPr="00B916EC" w:rsidRDefault="00A10623" w:rsidP="004C3D45">
      <w:pPr>
        <w:pStyle w:val="Heading2"/>
      </w:pPr>
      <w:bookmarkStart w:id="173" w:name="_Toc12021447"/>
      <w:bookmarkStart w:id="174" w:name="_Toc20311559"/>
      <w:bookmarkStart w:id="175" w:name="_Toc26719384"/>
      <w:bookmarkStart w:id="176" w:name="_Toc29894815"/>
      <w:bookmarkStart w:id="177" w:name="_Toc29899114"/>
      <w:bookmarkStart w:id="178" w:name="_Toc29899532"/>
      <w:bookmarkStart w:id="179" w:name="_Toc29917269"/>
      <w:bookmarkStart w:id="180" w:name="_Toc36498143"/>
      <w:bookmarkStart w:id="181" w:name="_Toc45699169"/>
      <w:bookmarkStart w:id="182" w:name="_Toc161999094"/>
      <w:r w:rsidRPr="00B916EC">
        <w:t>7.2</w:t>
      </w:r>
      <w:r w:rsidR="007D5A3F">
        <w:tab/>
      </w:r>
      <w:r w:rsidRPr="00B916EC">
        <w:t>Physical uplink control channel</w:t>
      </w:r>
      <w:bookmarkEnd w:id="173"/>
      <w:bookmarkEnd w:id="174"/>
      <w:bookmarkEnd w:id="175"/>
      <w:bookmarkEnd w:id="176"/>
      <w:bookmarkEnd w:id="177"/>
      <w:bookmarkEnd w:id="178"/>
      <w:bookmarkEnd w:id="179"/>
      <w:bookmarkEnd w:id="180"/>
      <w:bookmarkEnd w:id="181"/>
      <w:bookmarkEnd w:id="182"/>
    </w:p>
    <w:p w14:paraId="779A60F8" w14:textId="53A448C3" w:rsidR="00BA71B1" w:rsidRPr="00B916EC" w:rsidRDefault="00BA71B1" w:rsidP="00BA71B1">
      <w:r w:rsidRPr="00B916EC">
        <w:rPr>
          <w:lang w:val="en-US"/>
        </w:rPr>
        <w:t>I</w:t>
      </w:r>
      <w:r w:rsidRPr="00B916EC">
        <w:t xml:space="preserve">f the UE is configured with a SCG, the UE shall apply the procedures described in this </w:t>
      </w:r>
      <w:r w:rsidR="00EE236C">
        <w:t>clause</w:t>
      </w:r>
      <w:r w:rsidRPr="00B916EC">
        <w:t xml:space="preserve"> for both MCG and SCG.</w:t>
      </w:r>
    </w:p>
    <w:p w14:paraId="7886FB15" w14:textId="63D5C72D" w:rsidR="00BA71B1" w:rsidRPr="00B916EC" w:rsidRDefault="00126575" w:rsidP="00126575">
      <w:pPr>
        <w:pStyle w:val="B1"/>
      </w:pPr>
      <w:r>
        <w:t>-</w:t>
      </w:r>
      <w:r>
        <w:tab/>
      </w:r>
      <w:r w:rsidR="00BA71B1" w:rsidRPr="00B916EC">
        <w:t xml:space="preserve">When the procedures are applied for MCG, the term </w:t>
      </w:r>
      <w:r w:rsidR="002A01CD">
        <w:t>'</w:t>
      </w:r>
      <w:r w:rsidR="00BA71B1" w:rsidRPr="00B916EC">
        <w:t>serving cell</w:t>
      </w:r>
      <w:r w:rsidR="002A01CD">
        <w:t>'</w:t>
      </w:r>
      <w:r w:rsidR="00BA71B1" w:rsidRPr="00B916EC">
        <w:t xml:space="preserve"> in this </w:t>
      </w:r>
      <w:r w:rsidR="00EE236C">
        <w:rPr>
          <w:lang w:val="en-US"/>
        </w:rPr>
        <w:t>clause</w:t>
      </w:r>
      <w:r w:rsidR="00BA71B1" w:rsidRPr="00B916EC">
        <w:t xml:space="preserve"> refer</w:t>
      </w:r>
      <w:r w:rsidR="00BA71B1" w:rsidRPr="00B916EC">
        <w:rPr>
          <w:lang w:val="en-US"/>
        </w:rPr>
        <w:t>s</w:t>
      </w:r>
      <w:r w:rsidR="00BA71B1" w:rsidRPr="00B916EC">
        <w:t xml:space="preserve"> </w:t>
      </w:r>
      <w:r w:rsidR="00BA71B1" w:rsidRPr="00B916EC">
        <w:rPr>
          <w:lang w:val="en-US"/>
        </w:rPr>
        <w:t xml:space="preserve">to </w:t>
      </w:r>
      <w:r w:rsidR="00BA71B1" w:rsidRPr="00B916EC">
        <w:t>serving cell belonging to the MCG.</w:t>
      </w:r>
    </w:p>
    <w:p w14:paraId="6D5B5188" w14:textId="348121E1" w:rsidR="00DA6033" w:rsidRDefault="00DA6033" w:rsidP="00AB72D2">
      <w:pPr>
        <w:pStyle w:val="B1"/>
      </w:pPr>
      <w:r>
        <w:t>-</w:t>
      </w:r>
      <w:r>
        <w:tab/>
      </w:r>
      <w:r w:rsidR="00BA71B1" w:rsidRPr="00B916EC">
        <w:t xml:space="preserve">When the procedures are applied for SCG, the term </w:t>
      </w:r>
      <w:r w:rsidR="002A01CD">
        <w:t>'</w:t>
      </w:r>
      <w:r w:rsidR="00BA71B1" w:rsidRPr="00B916EC">
        <w:t>serving cell</w:t>
      </w:r>
      <w:r w:rsidR="002A01CD">
        <w:t>'</w:t>
      </w:r>
      <w:r w:rsidR="00BA71B1" w:rsidRPr="00B916EC">
        <w:rPr>
          <w:lang w:val="en-US"/>
        </w:rPr>
        <w:t xml:space="preserve"> </w:t>
      </w:r>
      <w:r w:rsidR="00BA71B1" w:rsidRPr="00B916EC">
        <w:t xml:space="preserve">in this </w:t>
      </w:r>
      <w:r w:rsidR="00EE236C">
        <w:rPr>
          <w:lang w:val="en-US"/>
        </w:rPr>
        <w:t>clause</w:t>
      </w:r>
      <w:r w:rsidR="00BA71B1" w:rsidRPr="00B916EC">
        <w:t xml:space="preserve"> refer</w:t>
      </w:r>
      <w:r w:rsidR="00BA71B1" w:rsidRPr="00B916EC">
        <w:rPr>
          <w:lang w:val="en-US"/>
        </w:rPr>
        <w:t>s</w:t>
      </w:r>
      <w:r w:rsidR="00BA71B1" w:rsidRPr="00B916EC">
        <w:t xml:space="preserve"> to serving cell</w:t>
      </w:r>
      <w:r w:rsidR="00BA71B1" w:rsidRPr="00B916EC">
        <w:rPr>
          <w:lang w:val="en-US"/>
        </w:rPr>
        <w:t xml:space="preserve"> </w:t>
      </w:r>
      <w:r w:rsidR="00BA71B1" w:rsidRPr="00B916EC">
        <w:t xml:space="preserve">belonging to the SCG. The term </w:t>
      </w:r>
      <w:r w:rsidR="002A01CD">
        <w:t>'</w:t>
      </w:r>
      <w:r w:rsidR="00BA71B1" w:rsidRPr="00B916EC">
        <w:t>primary cell</w:t>
      </w:r>
      <w:r w:rsidR="002A01CD">
        <w:t>'</w:t>
      </w:r>
      <w:r w:rsidR="00BA71B1" w:rsidRPr="00B916EC">
        <w:t xml:space="preserve"> in this </w:t>
      </w:r>
      <w:r w:rsidR="00EE236C">
        <w:rPr>
          <w:lang w:val="en-US"/>
        </w:rPr>
        <w:t>clause</w:t>
      </w:r>
      <w:r w:rsidR="00BA71B1" w:rsidRPr="00B916EC">
        <w:t xml:space="preserve"> refers to the PSCell of the SCG. </w:t>
      </w:r>
    </w:p>
    <w:p w14:paraId="6353C6D0" w14:textId="1281935F" w:rsidR="00BA71B1" w:rsidRPr="00B916EC" w:rsidRDefault="00BA71B1" w:rsidP="00BA71B1">
      <w:r w:rsidRPr="00B916EC">
        <w:rPr>
          <w:lang w:val="en-US"/>
        </w:rPr>
        <w:t>If</w:t>
      </w:r>
      <w:r w:rsidRPr="00B916EC">
        <w:t xml:space="preserve"> the UE is configured with a </w:t>
      </w:r>
      <w:r w:rsidRPr="00B916EC">
        <w:rPr>
          <w:rFonts w:hint="eastAsia"/>
          <w:lang w:eastAsia="zh-CN"/>
        </w:rPr>
        <w:t>PUCCH</w:t>
      </w:r>
      <w:r w:rsidRPr="00B916EC">
        <w:rPr>
          <w:lang w:eastAsia="zh-CN"/>
        </w:rPr>
        <w:t>-</w:t>
      </w:r>
      <w:r w:rsidRPr="00B916EC">
        <w:rPr>
          <w:rFonts w:hint="eastAsia"/>
          <w:lang w:eastAsia="zh-CN"/>
        </w:rPr>
        <w:t>SCell</w:t>
      </w:r>
      <w:r w:rsidRPr="00B916EC">
        <w:t xml:space="preserve">, the UE shall apply the procedures described in this </w:t>
      </w:r>
      <w:r w:rsidR="00EE236C">
        <w:t>clause</w:t>
      </w:r>
      <w:r w:rsidRPr="00B916EC">
        <w:t xml:space="preserve"> for both </w:t>
      </w:r>
      <w:r w:rsidRPr="00B916EC">
        <w:rPr>
          <w:rFonts w:hint="eastAsia"/>
          <w:lang w:eastAsia="zh-CN"/>
        </w:rPr>
        <w:t>primary PUCCH group</w:t>
      </w:r>
      <w:r w:rsidRPr="00B916EC">
        <w:t xml:space="preserve"> and </w:t>
      </w:r>
      <w:r w:rsidRPr="00B916EC">
        <w:rPr>
          <w:rFonts w:hint="eastAsia"/>
          <w:lang w:eastAsia="zh-CN"/>
        </w:rPr>
        <w:t>secondary PUCCH group</w:t>
      </w:r>
      <w:r w:rsidRPr="00B916EC">
        <w:t>.</w:t>
      </w:r>
    </w:p>
    <w:p w14:paraId="1FFF15DF" w14:textId="5345A7BC" w:rsidR="00BA71B1" w:rsidRPr="00B916EC" w:rsidRDefault="00126575" w:rsidP="00126575">
      <w:pPr>
        <w:pStyle w:val="B1"/>
      </w:pPr>
      <w:r>
        <w:t>-</w:t>
      </w:r>
      <w:r>
        <w:tab/>
      </w:r>
      <w:r w:rsidR="00BA71B1" w:rsidRPr="00B916EC">
        <w:t xml:space="preserve">When the procedures are applied for </w:t>
      </w:r>
      <w:r w:rsidR="00BA71B1" w:rsidRPr="00B916EC">
        <w:rPr>
          <w:rFonts w:hint="eastAsia"/>
          <w:lang w:eastAsia="zh-CN"/>
        </w:rPr>
        <w:t>the primary PUCCH group</w:t>
      </w:r>
      <w:r w:rsidR="00BA71B1" w:rsidRPr="00B916EC">
        <w:t xml:space="preserve">, the term </w:t>
      </w:r>
      <w:r w:rsidR="002A01CD">
        <w:t>'</w:t>
      </w:r>
      <w:r w:rsidR="00BA71B1" w:rsidRPr="00B916EC">
        <w:t>serving cell</w:t>
      </w:r>
      <w:r w:rsidR="002A01CD">
        <w:t>'</w:t>
      </w:r>
      <w:r w:rsidR="00BA71B1" w:rsidRPr="00B916EC">
        <w:t xml:space="preserve"> in this </w:t>
      </w:r>
      <w:r w:rsidR="00EE236C">
        <w:rPr>
          <w:lang w:val="en-US"/>
        </w:rPr>
        <w:t>clause</w:t>
      </w:r>
      <w:r w:rsidR="00BA71B1" w:rsidRPr="00B916EC">
        <w:t xml:space="preserve"> refer</w:t>
      </w:r>
      <w:r w:rsidR="00BA71B1" w:rsidRPr="00B916EC">
        <w:rPr>
          <w:lang w:val="en-US"/>
        </w:rPr>
        <w:t>s</w:t>
      </w:r>
      <w:r w:rsidR="00BA71B1" w:rsidRPr="00B916EC">
        <w:t xml:space="preserve"> </w:t>
      </w:r>
      <w:r w:rsidR="00BA71B1" w:rsidRPr="00B916EC">
        <w:rPr>
          <w:lang w:val="en-US"/>
        </w:rPr>
        <w:t xml:space="preserve">to </w:t>
      </w:r>
      <w:r w:rsidR="00BA71B1" w:rsidRPr="00B916EC">
        <w:t xml:space="preserve">serving cell belonging to the </w:t>
      </w:r>
      <w:r w:rsidR="00BA71B1" w:rsidRPr="00B916EC">
        <w:rPr>
          <w:rFonts w:hint="eastAsia"/>
          <w:lang w:eastAsia="zh-CN"/>
        </w:rPr>
        <w:t>primary PUCCH group</w:t>
      </w:r>
      <w:r w:rsidR="00BA71B1" w:rsidRPr="00B916EC">
        <w:t>.</w:t>
      </w:r>
    </w:p>
    <w:p w14:paraId="29CE142C" w14:textId="77777777" w:rsidR="009B5A01" w:rsidRPr="00111FF6" w:rsidRDefault="00126575" w:rsidP="009B5A01">
      <w:pPr>
        <w:pStyle w:val="B1"/>
        <w:rPr>
          <w:lang w:eastAsia="zh-CN"/>
        </w:rPr>
      </w:pPr>
      <w:r>
        <w:t>-</w:t>
      </w:r>
      <w:r>
        <w:tab/>
      </w:r>
      <w:r w:rsidR="00BA71B1" w:rsidRPr="00B916EC">
        <w:t xml:space="preserve">When the procedures are applied for </w:t>
      </w:r>
      <w:r w:rsidR="00BA71B1" w:rsidRPr="00B916EC">
        <w:rPr>
          <w:rFonts w:hint="eastAsia"/>
          <w:lang w:eastAsia="zh-CN"/>
        </w:rPr>
        <w:t>the secondary PUCCH group</w:t>
      </w:r>
      <w:r w:rsidR="00BA71B1" w:rsidRPr="00B916EC">
        <w:t xml:space="preserve">, the term </w:t>
      </w:r>
      <w:r w:rsidR="002A01CD">
        <w:t>'</w:t>
      </w:r>
      <w:r w:rsidR="00BA71B1" w:rsidRPr="00B916EC">
        <w:t>serving cell</w:t>
      </w:r>
      <w:r w:rsidR="002A01CD">
        <w:t>'</w:t>
      </w:r>
      <w:r w:rsidR="00BA71B1" w:rsidRPr="00B916EC">
        <w:rPr>
          <w:lang w:val="en-US"/>
        </w:rPr>
        <w:t xml:space="preserve"> </w:t>
      </w:r>
      <w:r w:rsidR="00BA71B1" w:rsidRPr="00B916EC">
        <w:t xml:space="preserve">in this </w:t>
      </w:r>
      <w:r w:rsidR="00EE236C">
        <w:rPr>
          <w:lang w:val="en-US"/>
        </w:rPr>
        <w:t>clause</w:t>
      </w:r>
      <w:r w:rsidR="00BA71B1" w:rsidRPr="00B916EC">
        <w:t xml:space="preserve"> refer</w:t>
      </w:r>
      <w:r w:rsidR="00BA71B1" w:rsidRPr="00B916EC">
        <w:rPr>
          <w:lang w:val="en-US"/>
        </w:rPr>
        <w:t>s</w:t>
      </w:r>
      <w:r w:rsidR="00BA71B1" w:rsidRPr="00B916EC">
        <w:t xml:space="preserve"> to serving cell</w:t>
      </w:r>
      <w:r w:rsidR="00BA71B1" w:rsidRPr="00B916EC">
        <w:rPr>
          <w:lang w:val="en-US"/>
        </w:rPr>
        <w:t xml:space="preserve"> </w:t>
      </w:r>
      <w:r w:rsidR="00BA71B1" w:rsidRPr="00B916EC">
        <w:t xml:space="preserve">belonging to the </w:t>
      </w:r>
      <w:r w:rsidR="00BA71B1" w:rsidRPr="00B916EC">
        <w:rPr>
          <w:rFonts w:hint="eastAsia"/>
          <w:lang w:eastAsia="zh-CN"/>
        </w:rPr>
        <w:t>secondary PUCCH group</w:t>
      </w:r>
      <w:r w:rsidR="00BA71B1" w:rsidRPr="00B916EC">
        <w:t xml:space="preserve">. The term </w:t>
      </w:r>
      <w:r w:rsidR="002A01CD">
        <w:t>'</w:t>
      </w:r>
      <w:r w:rsidR="00BA71B1" w:rsidRPr="00B916EC">
        <w:t>primary cell</w:t>
      </w:r>
      <w:r w:rsidR="002A01CD">
        <w:t>'</w:t>
      </w:r>
      <w:r w:rsidR="00BA71B1" w:rsidRPr="00B916EC">
        <w:t xml:space="preserve"> in this </w:t>
      </w:r>
      <w:r w:rsidR="00EE236C">
        <w:rPr>
          <w:lang w:val="en-US"/>
        </w:rPr>
        <w:t>clause</w:t>
      </w:r>
      <w:r w:rsidR="00BA71B1" w:rsidRPr="00B916EC">
        <w:t xml:space="preserve"> refers to the </w:t>
      </w:r>
      <w:r w:rsidR="00BA71B1" w:rsidRPr="00B916EC">
        <w:rPr>
          <w:rFonts w:hint="eastAsia"/>
          <w:lang w:eastAsia="zh-CN"/>
        </w:rPr>
        <w:t>PUCCH</w:t>
      </w:r>
      <w:r w:rsidR="00BA71B1" w:rsidRPr="00B916EC">
        <w:rPr>
          <w:lang w:eastAsia="zh-CN"/>
        </w:rPr>
        <w:t>-</w:t>
      </w:r>
      <w:r w:rsidR="00BA71B1" w:rsidRPr="00B916EC">
        <w:rPr>
          <w:rFonts w:hint="eastAsia"/>
          <w:lang w:eastAsia="zh-CN"/>
        </w:rPr>
        <w:t>SCell</w:t>
      </w:r>
      <w:r w:rsidR="00BA71B1" w:rsidRPr="00B916EC">
        <w:t xml:space="preserve"> of the </w:t>
      </w:r>
      <w:r w:rsidR="00BA71B1" w:rsidRPr="00B916EC">
        <w:rPr>
          <w:rFonts w:hint="eastAsia"/>
          <w:lang w:eastAsia="zh-CN"/>
        </w:rPr>
        <w:t>secondary PUCCH group</w:t>
      </w:r>
      <w:r w:rsidR="00BA71B1" w:rsidRPr="00B916EC">
        <w:t>.</w:t>
      </w:r>
      <w:r w:rsidR="00F75A4A">
        <w:rPr>
          <w:lang w:val="en-US"/>
        </w:rPr>
        <w:t xml:space="preserve"> </w:t>
      </w:r>
      <w:r w:rsidR="00F75A4A" w:rsidRPr="00A77CA3">
        <w:rPr>
          <w:lang w:eastAsia="zh-CN"/>
        </w:rPr>
        <w:t xml:space="preserve">If </w:t>
      </w:r>
      <w:r w:rsidR="00F75A4A" w:rsidRPr="00A77CA3">
        <w:rPr>
          <w:i/>
        </w:rPr>
        <w:t>pdsch-HARQ-ACK-Codebook-secondaryPUCCHgroup-r16</w:t>
      </w:r>
      <w:r w:rsidR="00F75A4A" w:rsidRPr="00A77CA3">
        <w:rPr>
          <w:lang w:eastAsia="zh-CN"/>
        </w:rPr>
        <w:t xml:space="preserve"> is provided, </w:t>
      </w:r>
      <w:r w:rsidR="00F75A4A" w:rsidRPr="00A77CA3">
        <w:rPr>
          <w:i/>
          <w:lang w:val="en-US" w:eastAsia="zh-CN"/>
        </w:rPr>
        <w:t>pdsch-</w:t>
      </w:r>
      <w:r w:rsidR="00F75A4A" w:rsidRPr="00A77CA3">
        <w:rPr>
          <w:rFonts w:cs="Arial"/>
          <w:i/>
          <w:lang w:eastAsia="zh-CN"/>
        </w:rPr>
        <w:t>HARQ-ACK-Codebook</w:t>
      </w:r>
      <w:r w:rsidR="00F75A4A" w:rsidRPr="00A77CA3">
        <w:rPr>
          <w:rFonts w:cs="Arial"/>
          <w:lang w:eastAsia="zh-CN"/>
        </w:rPr>
        <w:t xml:space="preserve"> is replaced by </w:t>
      </w:r>
      <w:r w:rsidR="00F75A4A" w:rsidRPr="00A77CA3">
        <w:rPr>
          <w:i/>
        </w:rPr>
        <w:t>pdsch-HARQ-ACK-Codebook-secondaryPUCCHgroup-r16</w:t>
      </w:r>
      <w:r w:rsidR="00F75A4A" w:rsidRPr="00A77CA3">
        <w:rPr>
          <w:lang w:eastAsia="zh-CN"/>
        </w:rPr>
        <w:t>.</w:t>
      </w:r>
    </w:p>
    <w:p w14:paraId="17F6CC9A" w14:textId="6106FE9D" w:rsidR="00BA71B1" w:rsidRPr="009B5A01" w:rsidRDefault="009B5A01" w:rsidP="009B5A01">
      <w:r w:rsidRPr="00111FF6">
        <w:t xml:space="preserve">For unpaired spectrum operation, </w:t>
      </w:r>
      <w:r w:rsidRPr="00111FF6">
        <w:rPr>
          <w:lang w:val="en-US"/>
        </w:rPr>
        <w:t>if</w:t>
      </w:r>
      <w:r w:rsidRPr="00111FF6">
        <w:t xml:space="preserve"> the UE is </w:t>
      </w:r>
      <w:r>
        <w:t>provided</w:t>
      </w:r>
      <w:r w:rsidRPr="00111FF6">
        <w:t xml:space="preserve"> a </w:t>
      </w:r>
      <w:r w:rsidRPr="00111FF6">
        <w:rPr>
          <w:rFonts w:hint="eastAsia"/>
          <w:lang w:eastAsia="zh-CN"/>
        </w:rPr>
        <w:t>PUCCH</w:t>
      </w:r>
      <w:r w:rsidRPr="00111FF6">
        <w:rPr>
          <w:lang w:eastAsia="zh-CN"/>
        </w:rPr>
        <w:t>-</w:t>
      </w:r>
      <w:r>
        <w:rPr>
          <w:lang w:eastAsia="zh-CN"/>
        </w:rPr>
        <w:t>s</w:t>
      </w:r>
      <w:r w:rsidRPr="00111FF6">
        <w:rPr>
          <w:rFonts w:hint="eastAsia"/>
          <w:lang w:eastAsia="zh-CN"/>
        </w:rPr>
        <w:t>SCell</w:t>
      </w:r>
      <w:r w:rsidRPr="00111FF6">
        <w:rPr>
          <w:lang w:eastAsia="zh-CN"/>
        </w:rPr>
        <w:t xml:space="preserve"> by</w:t>
      </w:r>
      <w:r w:rsidRPr="00111FF6">
        <w:t xml:space="preserve"> </w:t>
      </w:r>
      <w:r w:rsidRPr="00111FF6">
        <w:rPr>
          <w:i/>
          <w:iCs/>
        </w:rPr>
        <w:t>pucch-</w:t>
      </w:r>
      <w:r>
        <w:rPr>
          <w:i/>
          <w:iCs/>
        </w:rPr>
        <w:t>s</w:t>
      </w:r>
      <w:r w:rsidRPr="00111FF6">
        <w:rPr>
          <w:i/>
          <w:iCs/>
        </w:rPr>
        <w:t>SCell</w:t>
      </w:r>
      <w:r w:rsidRPr="00065A36">
        <w:t xml:space="preserve"> </w:t>
      </w:r>
      <w:r w:rsidRPr="00111FF6">
        <w:rPr>
          <w:lang w:eastAsia="zh-CN"/>
        </w:rPr>
        <w:t>as described in clause 9.A</w:t>
      </w:r>
      <w:r w:rsidRPr="00111FF6">
        <w:t xml:space="preserve">, the UE shall apply the procedures described in this clause for both the </w:t>
      </w:r>
      <w:r w:rsidRPr="00111FF6">
        <w:rPr>
          <w:rFonts w:hint="eastAsia"/>
          <w:lang w:eastAsia="zh-CN"/>
        </w:rPr>
        <w:t xml:space="preserve">primary </w:t>
      </w:r>
      <w:r w:rsidRPr="00111FF6">
        <w:rPr>
          <w:lang w:eastAsia="zh-CN"/>
        </w:rPr>
        <w:t>cell</w:t>
      </w:r>
      <w:r w:rsidRPr="00111FF6">
        <w:t xml:space="preserve"> and </w:t>
      </w:r>
      <w:r w:rsidRPr="00111FF6">
        <w:rPr>
          <w:lang w:eastAsia="zh-CN"/>
        </w:rPr>
        <w:t>the PUCCH-sSCell</w:t>
      </w:r>
      <w:r w:rsidRPr="00111FF6">
        <w:t>.</w:t>
      </w:r>
    </w:p>
    <w:p w14:paraId="7213F972" w14:textId="77777777" w:rsidR="008305E0" w:rsidRPr="00B916EC" w:rsidRDefault="008305E0" w:rsidP="008305E0">
      <w:pPr>
        <w:pStyle w:val="Heading3"/>
      </w:pPr>
      <w:bookmarkStart w:id="183" w:name="_Toc12021448"/>
      <w:bookmarkStart w:id="184" w:name="_Toc20311560"/>
      <w:bookmarkStart w:id="185" w:name="_Toc26719385"/>
      <w:bookmarkStart w:id="186" w:name="_Toc29894816"/>
      <w:bookmarkStart w:id="187" w:name="_Toc29899115"/>
      <w:bookmarkStart w:id="188" w:name="_Toc29899533"/>
      <w:bookmarkStart w:id="189" w:name="_Toc29917270"/>
      <w:bookmarkStart w:id="190" w:name="_Toc36498144"/>
      <w:bookmarkStart w:id="191" w:name="_Toc45699170"/>
      <w:bookmarkStart w:id="192" w:name="_Toc161999095"/>
      <w:r w:rsidRPr="00B916EC">
        <w:t>7.2.1</w:t>
      </w:r>
      <w:r w:rsidRPr="00B916EC">
        <w:tab/>
        <w:t>UE behaviour</w:t>
      </w:r>
      <w:bookmarkEnd w:id="183"/>
      <w:bookmarkEnd w:id="184"/>
      <w:bookmarkEnd w:id="185"/>
      <w:bookmarkEnd w:id="186"/>
      <w:bookmarkEnd w:id="187"/>
      <w:bookmarkEnd w:id="188"/>
      <w:bookmarkEnd w:id="189"/>
      <w:bookmarkEnd w:id="190"/>
      <w:bookmarkEnd w:id="191"/>
      <w:bookmarkEnd w:id="192"/>
    </w:p>
    <w:p w14:paraId="109C2177" w14:textId="15941459" w:rsidR="00D448FF" w:rsidRPr="00F415B1" w:rsidRDefault="00D448FF" w:rsidP="00D448FF">
      <w:r w:rsidRPr="00F415B1">
        <w:t xml:space="preserve">If a UE transmits a PUCCH on active </w:t>
      </w:r>
      <w:r w:rsidRPr="00F415B1">
        <w:rPr>
          <w:lang w:val="en-US"/>
        </w:rPr>
        <w:t xml:space="preserve">UL BWP </w:t>
      </w:r>
      <m:oMath>
        <m:r>
          <w:rPr>
            <w:rFonts w:ascii="Cambria Math" w:hAnsi="Cambria Math"/>
            <w:lang w:val="en-US"/>
          </w:rPr>
          <m:t>b</m:t>
        </m:r>
      </m:oMath>
      <w:r w:rsidRPr="00F415B1">
        <w:rPr>
          <w:iCs/>
          <w:lang w:val="en-US"/>
        </w:rPr>
        <w:t xml:space="preserve"> </w:t>
      </w:r>
      <w:r w:rsidRPr="00F415B1">
        <w:rPr>
          <w:lang w:val="en-US"/>
        </w:rPr>
        <w:t xml:space="preserve">of carrier </w:t>
      </w:r>
      <m:oMath>
        <m:r>
          <w:rPr>
            <w:rFonts w:ascii="Cambria Math" w:hAnsi="Cambria Math"/>
            <w:lang w:val="en-US"/>
          </w:rPr>
          <m:t>f</m:t>
        </m:r>
      </m:oMath>
      <w:r w:rsidRPr="00F415B1">
        <w:rPr>
          <w:iCs/>
          <w:lang w:val="en-US"/>
        </w:rPr>
        <w:t xml:space="preserve"> </w:t>
      </w:r>
      <w:r w:rsidRPr="00F415B1">
        <w:t xml:space="preserve">in the primary cell </w:t>
      </w:r>
      <m:oMath>
        <m:r>
          <w:rPr>
            <w:rFonts w:ascii="Cambria Math" w:hAnsi="Cambria Math"/>
          </w:rPr>
          <m:t>c</m:t>
        </m:r>
      </m:oMath>
      <w:r w:rsidRPr="00F415B1">
        <w:rPr>
          <w:iCs/>
        </w:rPr>
        <w:t xml:space="preserve"> using </w:t>
      </w:r>
      <w:r w:rsidRPr="00F415B1">
        <w:t xml:space="preserve">PUCCH power control adjustment state with index </w:t>
      </w:r>
      <m:oMath>
        <m:r>
          <w:rPr>
            <w:rFonts w:ascii="Cambria Math" w:hAnsi="Cambria Math"/>
          </w:rPr>
          <m:t>l</m:t>
        </m:r>
      </m:oMath>
    </w:p>
    <w:p w14:paraId="7A251BE1" w14:textId="77777777" w:rsidR="00FA7B7D" w:rsidRPr="00FA7B7D" w:rsidRDefault="00FA7B7D" w:rsidP="00FA7B7D">
      <w:pPr>
        <w:pStyle w:val="B1"/>
      </w:pPr>
      <w:r w:rsidRPr="00FA7B7D">
        <w:t>-</w:t>
      </w:r>
      <w:r w:rsidRPr="00FA7B7D">
        <w:tab/>
      </w:r>
      <w:r w:rsidRPr="00FA7B7D">
        <w:rPr>
          <w:rFonts w:eastAsia="PMingLiU"/>
          <w:lang w:eastAsia="zh-TW"/>
        </w:rPr>
        <w:t xml:space="preserve">if the UE is indicated </w:t>
      </w:r>
      <w:r w:rsidRPr="00FA7B7D">
        <w:t xml:space="preserve">a first </w:t>
      </w:r>
      <w:r w:rsidRPr="00FA7B7D">
        <w:rPr>
          <w:i/>
          <w:iCs/>
        </w:rPr>
        <w:t>TCI-State</w:t>
      </w:r>
      <w:r w:rsidRPr="00FA7B7D">
        <w:t xml:space="preserve"> or </w:t>
      </w:r>
      <w:r w:rsidRPr="00FA7B7D">
        <w:rPr>
          <w:i/>
          <w:iCs/>
        </w:rPr>
        <w:t>TCI-UL-State</w:t>
      </w:r>
      <w:r w:rsidRPr="00FA7B7D">
        <w:t xml:space="preserve"> and a second </w:t>
      </w:r>
      <w:r w:rsidRPr="00FA7B7D">
        <w:rPr>
          <w:i/>
          <w:iCs/>
        </w:rPr>
        <w:t xml:space="preserve">TCI-State </w:t>
      </w:r>
      <w:r w:rsidRPr="00FA7B7D">
        <w:t xml:space="preserve">or </w:t>
      </w:r>
      <w:r w:rsidRPr="00FA7B7D">
        <w:rPr>
          <w:i/>
          <w:iCs/>
        </w:rPr>
        <w:t>TCI-UL-State</w:t>
      </w:r>
      <w:r w:rsidRPr="00FA7B7D">
        <w:t xml:space="preserve">, and is configured with </w:t>
      </w:r>
      <w:r w:rsidRPr="00FA7B7D">
        <w:rPr>
          <w:i/>
          <w:iCs/>
        </w:rPr>
        <w:t>multipanelScheme,</w:t>
      </w:r>
      <w:r w:rsidRPr="00FA7B7D">
        <w:rPr>
          <w:rFonts w:eastAsia="PMingLiU"/>
          <w:lang w:eastAsia="zh-TW"/>
        </w:rPr>
        <w:t xml:space="preserve"> and the UE determines to apply both the first </w:t>
      </w:r>
      <w:r w:rsidRPr="00FA7B7D">
        <w:rPr>
          <w:i/>
          <w:iCs/>
        </w:rPr>
        <w:t>TCI-State</w:t>
      </w:r>
      <w:r w:rsidRPr="00FA7B7D">
        <w:t xml:space="preserve"> or </w:t>
      </w:r>
      <w:r w:rsidRPr="00FA7B7D">
        <w:rPr>
          <w:i/>
          <w:iCs/>
        </w:rPr>
        <w:t>TCI-UL-State</w:t>
      </w:r>
      <w:r w:rsidRPr="00FA7B7D">
        <w:t xml:space="preserve"> and the second </w:t>
      </w:r>
      <w:r w:rsidRPr="00FA7B7D">
        <w:rPr>
          <w:i/>
          <w:iCs/>
        </w:rPr>
        <w:t xml:space="preserve">TCI-State </w:t>
      </w:r>
      <w:r w:rsidRPr="00FA7B7D">
        <w:t xml:space="preserve">or </w:t>
      </w:r>
      <w:r w:rsidRPr="00FA7B7D">
        <w:rPr>
          <w:i/>
          <w:iCs/>
        </w:rPr>
        <w:t>TCI-UL-S</w:t>
      </w:r>
      <w:r w:rsidRPr="00FA7B7D">
        <w:t xml:space="preserve">tate in PUCCH transmission occasion </w:t>
      </w:r>
      <m:oMath>
        <m:r>
          <w:rPr>
            <w:rFonts w:ascii="Cambria Math" w:hAnsi="Cambria Math"/>
          </w:rPr>
          <m:t>i</m:t>
        </m:r>
      </m:oMath>
      <w:r w:rsidRPr="00FA7B7D">
        <w:t xml:space="preserve">, the UE determines the PUCCH transmission power </w:t>
      </w:r>
      <m:oMath>
        <m:sSub>
          <m:sSubPr>
            <m:ctrlPr>
              <w:rPr>
                <w:rFonts w:ascii="Cambria Math" w:hAnsi="Cambria Math"/>
              </w:rPr>
            </m:ctrlPr>
          </m:sSubPr>
          <m:e>
            <m:r>
              <w:rPr>
                <w:rFonts w:ascii="Cambria Math" w:hAnsi="Cambria Math"/>
              </w:rPr>
              <m:t>P</m:t>
            </m:r>
          </m:e>
          <m:sub>
            <m:r>
              <m:rPr>
                <m:nor/>
              </m:rPr>
              <m:t>PUCCH</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r>
              <m:rPr>
                <m:sty m:val="p"/>
              </m:rPr>
              <w:rPr>
                <w:rFonts w:ascii="Cambria Math" w:hAnsi="Cambria Math"/>
              </w:rPr>
              <m:t xml:space="preserve">, </m:t>
            </m:r>
            <m:r>
              <w:rPr>
                <w:rFonts w:ascii="Cambria Math" w:hAnsi="Cambria Math"/>
              </w:rPr>
              <m:t>k</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d</m:t>
            </m:r>
          </m:sub>
        </m:sSub>
        <m:r>
          <m:rPr>
            <m:sty m:val="p"/>
          </m:rPr>
          <w:rPr>
            <w:rFonts w:ascii="Cambria Math" w:hAnsi="Cambria Math"/>
          </w:rPr>
          <m:t>,</m:t>
        </m:r>
        <m:r>
          <w:rPr>
            <w:rFonts w:ascii="Cambria Math" w:hAnsi="Cambria Math"/>
          </w:rPr>
          <m:t>l</m:t>
        </m:r>
        <m:r>
          <m:rPr>
            <m:sty m:val="p"/>
          </m:rPr>
          <w:rPr>
            <w:rFonts w:ascii="Cambria Math" w:hAnsi="Cambria Math"/>
          </w:rPr>
          <m:t>)</m:t>
        </m:r>
      </m:oMath>
      <w:r w:rsidRPr="00FA7B7D">
        <w:t xml:space="preserve"> for the k-th indicated </w:t>
      </w:r>
      <w:r w:rsidRPr="00FA7B7D">
        <w:rPr>
          <w:i/>
          <w:iCs/>
        </w:rPr>
        <w:t>TCI-State</w:t>
      </w:r>
      <w:r w:rsidRPr="00FA7B7D">
        <w:t xml:space="preserve"> or </w:t>
      </w:r>
      <w:r w:rsidRPr="00FA7B7D">
        <w:rPr>
          <w:i/>
          <w:iCs/>
        </w:rPr>
        <w:t>TCI-UL-State</w:t>
      </w:r>
      <w:r w:rsidRPr="00FA7B7D">
        <w:t xml:space="preserve"> as</w:t>
      </w:r>
    </w:p>
    <w:p w14:paraId="7CAB6DFC" w14:textId="4DBAEDEA" w:rsidR="00FA7B7D" w:rsidRPr="00FA7B7D" w:rsidRDefault="00000000" w:rsidP="00FA7B7D">
      <w:pPr>
        <w:pStyle w:val="EQ"/>
      </w:pPr>
      <m:oMath>
        <m:sSub>
          <m:sSubPr>
            <m:ctrlPr>
              <w:rPr>
                <w:rFonts w:ascii="Cambria Math" w:hAnsi="Cambria Math"/>
                <w:iCs/>
              </w:rPr>
            </m:ctrlPr>
          </m:sSubPr>
          <m:e>
            <m:r>
              <w:rPr>
                <w:rFonts w:ascii="Cambria Math" w:hAnsi="Cambria Math"/>
              </w:rPr>
              <m:t>P</m:t>
            </m:r>
          </m:e>
          <m:sub>
            <m:r>
              <m:rPr>
                <m:nor/>
              </m:rPr>
              <w:rPr>
                <w:iCs/>
                <w:lang w:val="de-DE"/>
              </w:rPr>
              <m:t>PUCCH</m:t>
            </m:r>
            <m:r>
              <m:rPr>
                <m:sty m:val="p"/>
              </m:rPr>
              <w:rPr>
                <w:rFonts w:ascii="Cambria Math" w:hAnsi="Cambria Math"/>
                <w:lang w:val="de-DE"/>
              </w:rPr>
              <m:t>,</m:t>
            </m:r>
            <m:r>
              <w:rPr>
                <w:rFonts w:ascii="Cambria Math" w:hAnsi="Cambria Math"/>
              </w:rPr>
              <m:t>b</m:t>
            </m:r>
            <m:r>
              <m:rPr>
                <m:sty m:val="p"/>
              </m:rPr>
              <w:rPr>
                <w:rFonts w:ascii="Cambria Math" w:hAnsi="Cambria Math"/>
                <w:lang w:val="de-DE"/>
              </w:rPr>
              <m:t>,</m:t>
            </m:r>
            <m:r>
              <w:rPr>
                <w:rFonts w:ascii="Cambria Math" w:hAnsi="Cambria Math"/>
              </w:rPr>
              <m:t>f</m:t>
            </m:r>
            <m:r>
              <m:rPr>
                <m:sty m:val="p"/>
              </m:rPr>
              <w:rPr>
                <w:rFonts w:ascii="Cambria Math" w:hAnsi="Cambria Math"/>
                <w:lang w:val="de-DE"/>
              </w:rPr>
              <m:t>,</m:t>
            </m:r>
            <m:r>
              <w:rPr>
                <w:rFonts w:ascii="Cambria Math" w:hAnsi="Cambria Math"/>
              </w:rPr>
              <m:t>c</m:t>
            </m:r>
            <m:r>
              <m:rPr>
                <m:sty m:val="p"/>
              </m:rPr>
              <w:rPr>
                <w:rFonts w:ascii="Cambria Math" w:hAnsi="Cambria Math"/>
                <w:lang w:val="de-DE"/>
              </w:rPr>
              <m:t>,</m:t>
            </m:r>
            <m:r>
              <w:rPr>
                <w:rFonts w:ascii="Cambria Math" w:hAnsi="Cambria Math"/>
              </w:rPr>
              <m:t>k</m:t>
            </m:r>
          </m:sub>
        </m:sSub>
        <m:d>
          <m:dPr>
            <m:ctrlPr>
              <w:rPr>
                <w:rFonts w:ascii="Cambria Math" w:hAnsi="Cambria Math"/>
              </w:rPr>
            </m:ctrlPr>
          </m:dPr>
          <m:e>
            <m:r>
              <w:rPr>
                <w:rFonts w:ascii="Cambria Math" w:hAnsi="Cambria Math"/>
              </w:rPr>
              <m:t>i</m:t>
            </m:r>
            <m:r>
              <m:rPr>
                <m:sty m:val="p"/>
              </m:rPr>
              <w:rPr>
                <w:rFonts w:ascii="Cambria Math" w:hAnsi="Cambria Math"/>
                <w:lang w:val="de-DE"/>
              </w:rPr>
              <m:t>,</m:t>
            </m:r>
            <m:sSub>
              <m:sSubPr>
                <m:ctrlPr>
                  <w:rPr>
                    <w:rFonts w:ascii="Cambria Math" w:hAnsi="Cambria Math"/>
                    <w:iCs/>
                  </w:rPr>
                </m:ctrlPr>
              </m:sSubPr>
              <m:e>
                <m:r>
                  <w:rPr>
                    <w:rFonts w:ascii="Cambria Math" w:hAnsi="Cambria Math"/>
                  </w:rPr>
                  <m:t>q</m:t>
                </m:r>
              </m:e>
              <m:sub>
                <m:r>
                  <w:rPr>
                    <w:rFonts w:ascii="Cambria Math" w:hAnsi="Cambria Math"/>
                  </w:rPr>
                  <m:t>u</m:t>
                </m:r>
              </m:sub>
            </m:sSub>
            <m:r>
              <m:rPr>
                <m:sty m:val="p"/>
              </m:rPr>
              <w:rPr>
                <w:rFonts w:ascii="Cambria Math" w:hAnsi="Cambria Math"/>
                <w:lang w:val="de-DE"/>
              </w:rPr>
              <m:t>,</m:t>
            </m:r>
            <m:sSub>
              <m:sSubPr>
                <m:ctrlPr>
                  <w:rPr>
                    <w:rFonts w:ascii="Cambria Math" w:hAnsi="Cambria Math"/>
                    <w:iCs/>
                  </w:rPr>
                </m:ctrlPr>
              </m:sSubPr>
              <m:e>
                <m:r>
                  <w:rPr>
                    <w:rFonts w:ascii="Cambria Math" w:hAnsi="Cambria Math"/>
                  </w:rPr>
                  <m:t>q</m:t>
                </m:r>
              </m:e>
              <m:sub>
                <m:r>
                  <w:rPr>
                    <w:rFonts w:ascii="Cambria Math" w:hAnsi="Cambria Math"/>
                  </w:rPr>
                  <m:t>d</m:t>
                </m:r>
              </m:sub>
            </m:sSub>
            <m:r>
              <m:rPr>
                <m:sty m:val="p"/>
              </m:rPr>
              <w:rPr>
                <w:rFonts w:ascii="Cambria Math" w:hAnsi="Cambria Math"/>
                <w:lang w:val="de-DE"/>
              </w:rPr>
              <m:t>,</m:t>
            </m:r>
            <m:r>
              <w:rPr>
                <w:rFonts w:ascii="Cambria Math" w:hAnsi="Cambria Math"/>
              </w:rPr>
              <m:t>l</m:t>
            </m:r>
          </m:e>
        </m:d>
        <m:r>
          <m:rPr>
            <m:sty m:val="p"/>
          </m:rPr>
          <w:rPr>
            <w:rFonts w:ascii="Cambria Math" w:hAnsi="Cambria Math"/>
            <w:lang w:val="de-DE"/>
          </w:rPr>
          <m:t>=</m:t>
        </m:r>
        <m:r>
          <m:rPr>
            <m:sty m:val="p"/>
          </m:rPr>
          <w:rPr>
            <w:rFonts w:ascii="Cambria Math" w:hAnsi="Cambria Math"/>
          </w:rPr>
          <m:t>min</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Cs/>
                        </w:rPr>
                      </m:ctrlPr>
                    </m:sSubPr>
                    <m:e>
                      <m:r>
                        <w:rPr>
                          <w:rFonts w:ascii="Cambria Math" w:hAnsi="Cambria Math"/>
                        </w:rPr>
                        <m:t>P</m:t>
                      </m:r>
                    </m:e>
                    <m:sub>
                      <m:r>
                        <m:rPr>
                          <m:nor/>
                        </m:rPr>
                        <w:rPr>
                          <w:iCs/>
                        </w:rPr>
                        <m:t>CMAX</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k</m:t>
                      </m:r>
                    </m:sub>
                  </m:sSub>
                  <m:d>
                    <m:dPr>
                      <m:ctrlPr>
                        <w:rPr>
                          <w:rFonts w:ascii="Cambria Math" w:hAnsi="Cambria Math"/>
                        </w:rPr>
                      </m:ctrlPr>
                    </m:dPr>
                    <m:e>
                      <m:r>
                        <w:rPr>
                          <w:rFonts w:ascii="Cambria Math" w:hAnsi="Cambria Math"/>
                        </w:rPr>
                        <m:t>i</m:t>
                      </m:r>
                    </m:e>
                  </m:d>
                </m:e>
              </m:mr>
              <m:mr>
                <m:e>
                  <m:sSub>
                    <m:sSubPr>
                      <m:ctrlPr>
                        <w:rPr>
                          <w:rFonts w:ascii="Cambria Math" w:hAnsi="Cambria Math"/>
                          <w:iCs/>
                        </w:rPr>
                      </m:ctrlPr>
                    </m:sSubPr>
                    <m:e>
                      <m:r>
                        <w:rPr>
                          <w:rFonts w:ascii="Cambria Math" w:hAnsi="Cambria Math"/>
                        </w:rPr>
                        <m:t>P</m:t>
                      </m:r>
                    </m:e>
                    <m:sub>
                      <m:r>
                        <m:rPr>
                          <m:sty m:val="p"/>
                        </m:rPr>
                        <w:rPr>
                          <w:rFonts w:ascii="Cambria Math" w:hAnsi="Cambria Math"/>
                        </w:rPr>
                        <m:t>O_PUCCH,</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r>
                    <m:rPr>
                      <m:sty m:val="p"/>
                    </m:rPr>
                    <w:rPr>
                      <w:rFonts w:ascii="Cambria Math" w:hAnsi="Cambria Math"/>
                    </w:rPr>
                    <m:t>+10</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w:rPr>
                                  <w:rFonts w:ascii="Cambria Math" w:hAnsi="Cambria Math"/>
                                </w:rPr>
                                <m:t>μ</m:t>
                              </m:r>
                            </m:sup>
                          </m:sSup>
                          <m:r>
                            <m:rPr>
                              <m:sty m:val="p"/>
                            </m:rPr>
                            <w:rPr>
                              <w:rFonts w:ascii="Cambria Math" w:hAnsi="Cambria Math"/>
                            </w:rPr>
                            <m:t>∙</m:t>
                          </m:r>
                          <m:sSubSup>
                            <m:sSubSupPr>
                              <m:ctrlPr>
                                <w:rPr>
                                  <w:rFonts w:ascii="Cambria Math" w:hAnsi="Cambria Math"/>
                                </w:rPr>
                              </m:ctrlPr>
                            </m:sSubSupPr>
                            <m:e>
                              <m:r>
                                <w:rPr>
                                  <w:rFonts w:ascii="Cambria Math" w:hAnsi="Cambria Math"/>
                                </w:rPr>
                                <m:t>M</m:t>
                              </m:r>
                            </m:e>
                            <m:sub>
                              <m:r>
                                <m:rPr>
                                  <m:sty m:val="p"/>
                                </m:rPr>
                                <w:rPr>
                                  <w:rFonts w:ascii="Cambria Math" w:hAnsi="Cambria Math"/>
                                </w:rPr>
                                <m:t>RB,</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up>
                              <m:r>
                                <m:rPr>
                                  <m:sty m:val="p"/>
                                </m:rPr>
                                <w:rPr>
                                  <w:rFonts w:ascii="Cambria Math" w:hAnsi="Cambria Math"/>
                                </w:rPr>
                                <m:t>PUCCH</m:t>
                              </m:r>
                            </m:sup>
                          </m:sSubSup>
                          <m:d>
                            <m:dPr>
                              <m:ctrlPr>
                                <w:rPr>
                                  <w:rFonts w:ascii="Cambria Math" w:hAnsi="Cambria Math"/>
                                </w:rPr>
                              </m:ctrlPr>
                            </m:dPr>
                            <m:e>
                              <m:r>
                                <w:rPr>
                                  <w:rFonts w:ascii="Cambria Math" w:hAnsi="Cambria Math"/>
                                </w:rPr>
                                <m:t>i</m:t>
                              </m:r>
                            </m:e>
                          </m:d>
                        </m:e>
                      </m:d>
                    </m:e>
                  </m:func>
                  <m:r>
                    <m:rPr>
                      <m:sty m:val="p"/>
                    </m:rPr>
                    <w:rPr>
                      <w:rFonts w:ascii="Cambria Math" w:hAnsi="Cambria Math"/>
                    </w:rPr>
                    <m:t>+</m:t>
                  </m:r>
                  <m:sSub>
                    <m:sSubPr>
                      <m:ctrlPr>
                        <w:rPr>
                          <w:rFonts w:ascii="Cambria Math" w:hAnsi="Cambria Math"/>
                        </w:rPr>
                      </m:ctrlPr>
                    </m:sSubPr>
                    <m:e>
                      <m:r>
                        <w:rPr>
                          <w:rFonts w:ascii="Cambria Math" w:hAnsi="Cambria Math"/>
                        </w:rPr>
                        <m:t>PL</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d</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F_PUCCH</m:t>
                      </m:r>
                    </m:sub>
                  </m:sSub>
                  <m:d>
                    <m:dPr>
                      <m:ctrlPr>
                        <w:rPr>
                          <w:rFonts w:ascii="Cambria Math" w:hAnsi="Cambria Math"/>
                        </w:rPr>
                      </m:ctrlPr>
                    </m:dPr>
                    <m:e>
                      <m:r>
                        <w:rPr>
                          <w:rFonts w:ascii="Cambria Math" w:hAnsi="Cambria Math"/>
                        </w:rPr>
                        <m:t>F</m:t>
                      </m:r>
                    </m:e>
                  </m:d>
                  <m:r>
                    <m:rPr>
                      <m:sty m:val="p"/>
                    </m:rPr>
                    <w:rPr>
                      <w:rFonts w:ascii="Cambria Math" w:hAnsi="Cambria Math"/>
                    </w:rPr>
                    <m:t>+</m:t>
                  </m:r>
                  <m:sSub>
                    <m:sSubPr>
                      <m:ctrlPr>
                        <w:rPr>
                          <w:rFonts w:ascii="Cambria Math" w:hAnsi="Cambria Math"/>
                          <w:iCs/>
                        </w:rPr>
                      </m:ctrlPr>
                    </m:sSubPr>
                    <m:e>
                      <m:sSub>
                        <m:sSubPr>
                          <m:ctrlPr>
                            <w:rPr>
                              <w:rFonts w:ascii="Cambria Math" w:hAnsi="Cambria Math"/>
                            </w:rPr>
                          </m:ctrlPr>
                        </m:sSubPr>
                        <m:e>
                          <m:r>
                            <m:rPr>
                              <m:sty m:val="p"/>
                            </m:rPr>
                            <w:rPr>
                              <w:rFonts w:ascii="Cambria Math" w:hAnsi="Cambria Math"/>
                            </w:rPr>
                            <m:t>∆</m:t>
                          </m:r>
                        </m:e>
                        <m:sub>
                          <m:r>
                            <m:rPr>
                              <m:sty m:val="p"/>
                            </m:rPr>
                            <w:rPr>
                              <w:rFonts w:ascii="Cambria Math" w:hAnsi="Cambria Math"/>
                            </w:rPr>
                            <m:t>TF,</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g</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l</m:t>
                      </m:r>
                    </m:e>
                  </m:d>
                  <m:r>
                    <m:rPr>
                      <m:sty m:val="p"/>
                    </m:rPr>
                    <w:rPr>
                      <w:rFonts w:ascii="Cambria Math" w:hAnsi="Cambria Math"/>
                    </w:rPr>
                    <m:t xml:space="preserve">  </m:t>
                  </m:r>
                </m:e>
              </m:mr>
            </m:m>
          </m:e>
        </m:d>
      </m:oMath>
      <w:r w:rsidR="00FA7B7D" w:rsidRPr="00FA7B7D">
        <w:t xml:space="preserve"> [dBm]</w:t>
      </w:r>
    </w:p>
    <w:p w14:paraId="57A76870" w14:textId="77777777" w:rsidR="00FA7B7D" w:rsidRPr="00FA7B7D" w:rsidRDefault="00FA7B7D" w:rsidP="00FA7B7D">
      <w:pPr>
        <w:pStyle w:val="B1"/>
      </w:pPr>
      <w:r w:rsidRPr="00FA7B7D">
        <w:t>-</w:t>
      </w:r>
      <w:r w:rsidRPr="00FA7B7D">
        <w:tab/>
        <w:t>else,</w:t>
      </w:r>
      <w:r w:rsidRPr="00FA7B7D">
        <w:rPr>
          <w:rFonts w:eastAsia="PMingLiU"/>
          <w:lang w:eastAsia="zh-TW"/>
        </w:rPr>
        <w:t xml:space="preserve"> the UE </w:t>
      </w:r>
      <w:r w:rsidRPr="00FA7B7D">
        <w:t xml:space="preserve">determines the PUCCH transmission power </w:t>
      </w:r>
      <m:oMath>
        <m:sSub>
          <m:sSubPr>
            <m:ctrlPr>
              <w:rPr>
                <w:rFonts w:ascii="Cambria Math" w:hAnsi="Cambria Math"/>
                <w:iCs/>
              </w:rPr>
            </m:ctrlPr>
          </m:sSubPr>
          <m:e>
            <m:r>
              <w:rPr>
                <w:rFonts w:ascii="Cambria Math" w:hAnsi="Cambria Math"/>
              </w:rPr>
              <m:t>P</m:t>
            </m:r>
          </m:e>
          <m:sub>
            <m:r>
              <m:rPr>
                <m:nor/>
              </m:rPr>
              <w:rPr>
                <w:iCs/>
              </w:rPr>
              <m:t>PUCCH</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m:t>
        </m:r>
        <m:r>
          <w:rPr>
            <w:rFonts w:ascii="Cambria Math" w:hAnsi="Cambria Math"/>
          </w:rPr>
          <m:t>i</m:t>
        </m:r>
        <m:r>
          <m:rPr>
            <m:sty m:val="p"/>
          </m:rPr>
          <w:rPr>
            <w:rFonts w:ascii="Cambria Math" w:hAnsi="Cambria Math"/>
            <w:lang w:val="de-DE"/>
          </w:rPr>
          <m:t>,</m:t>
        </m:r>
        <m:sSub>
          <m:sSubPr>
            <m:ctrlPr>
              <w:rPr>
                <w:rFonts w:ascii="Cambria Math" w:hAnsi="Cambria Math"/>
                <w:iCs/>
              </w:rPr>
            </m:ctrlPr>
          </m:sSubPr>
          <m:e>
            <m:r>
              <w:rPr>
                <w:rFonts w:ascii="Cambria Math" w:hAnsi="Cambria Math"/>
              </w:rPr>
              <m:t>q</m:t>
            </m:r>
          </m:e>
          <m:sub>
            <m:r>
              <w:rPr>
                <w:rFonts w:ascii="Cambria Math" w:hAnsi="Cambria Math"/>
              </w:rPr>
              <m:t>u</m:t>
            </m:r>
          </m:sub>
        </m:sSub>
        <m:r>
          <m:rPr>
            <m:sty m:val="p"/>
          </m:rPr>
          <w:rPr>
            <w:rFonts w:ascii="Cambria Math" w:hAnsi="Cambria Math"/>
            <w:lang w:val="de-DE"/>
          </w:rPr>
          <m:t>,</m:t>
        </m:r>
        <m:sSub>
          <m:sSubPr>
            <m:ctrlPr>
              <w:rPr>
                <w:rFonts w:ascii="Cambria Math" w:hAnsi="Cambria Math"/>
                <w:iCs/>
              </w:rPr>
            </m:ctrlPr>
          </m:sSubPr>
          <m:e>
            <m:r>
              <w:rPr>
                <w:rFonts w:ascii="Cambria Math" w:hAnsi="Cambria Math"/>
              </w:rPr>
              <m:t>q</m:t>
            </m:r>
          </m:e>
          <m:sub>
            <m:r>
              <w:rPr>
                <w:rFonts w:ascii="Cambria Math" w:hAnsi="Cambria Math"/>
              </w:rPr>
              <m:t>d</m:t>
            </m:r>
          </m:sub>
        </m:sSub>
        <m:r>
          <m:rPr>
            <m:sty m:val="p"/>
          </m:rPr>
          <w:rPr>
            <w:rFonts w:ascii="Cambria Math" w:hAnsi="Cambria Math"/>
            <w:lang w:val="de-DE"/>
          </w:rPr>
          <m:t>,</m:t>
        </m:r>
        <m:r>
          <w:rPr>
            <w:rFonts w:ascii="Cambria Math" w:hAnsi="Cambria Math"/>
          </w:rPr>
          <m:t>l</m:t>
        </m:r>
        <m:r>
          <m:rPr>
            <m:sty m:val="p"/>
          </m:rPr>
          <w:rPr>
            <w:rFonts w:ascii="Cambria Math" w:hAnsi="Cambria Math"/>
          </w:rPr>
          <m:t>)</m:t>
        </m:r>
      </m:oMath>
      <w:r w:rsidRPr="00FA7B7D">
        <w:t xml:space="preserve"> in PUCCH transmission occasion </w:t>
      </w:r>
      <m:oMath>
        <m:r>
          <w:rPr>
            <w:rFonts w:ascii="Cambria Math" w:hAnsi="Cambria Math"/>
          </w:rPr>
          <m:t>i</m:t>
        </m:r>
      </m:oMath>
      <w:r w:rsidRPr="00FA7B7D">
        <w:rPr>
          <w:iCs/>
        </w:rPr>
        <w:t xml:space="preserve"> </w:t>
      </w:r>
      <w:r w:rsidRPr="00FA7B7D">
        <w:t>as</w:t>
      </w:r>
    </w:p>
    <w:p w14:paraId="4C5E6F52" w14:textId="38EE4D6B" w:rsidR="00FA7B7D" w:rsidRPr="00FA7B7D" w:rsidRDefault="00000000" w:rsidP="00FA7B7D">
      <w:pPr>
        <w:pStyle w:val="EQ"/>
      </w:pPr>
      <m:oMath>
        <m:sSub>
          <m:sSubPr>
            <m:ctrlPr>
              <w:rPr>
                <w:rFonts w:ascii="Cambria Math" w:hAnsi="Cambria Math"/>
                <w:iCs/>
              </w:rPr>
            </m:ctrlPr>
          </m:sSubPr>
          <m:e>
            <m:r>
              <w:rPr>
                <w:rFonts w:ascii="Cambria Math" w:hAnsi="Cambria Math"/>
              </w:rPr>
              <m:t>P</m:t>
            </m:r>
          </m:e>
          <m:sub>
            <m:r>
              <m:rPr>
                <m:nor/>
              </m:rPr>
              <w:rPr>
                <w:iCs/>
                <w:lang w:val="de-DE"/>
              </w:rPr>
              <m:t>PUCCH</m:t>
            </m:r>
            <m:r>
              <m:rPr>
                <m:sty m:val="p"/>
              </m:rPr>
              <w:rPr>
                <w:rFonts w:ascii="Cambria Math" w:hAnsi="Cambria Math"/>
                <w:lang w:val="de-DE"/>
              </w:rPr>
              <m:t>,</m:t>
            </m:r>
            <m:r>
              <w:rPr>
                <w:rFonts w:ascii="Cambria Math" w:hAnsi="Cambria Math"/>
              </w:rPr>
              <m:t>b</m:t>
            </m:r>
            <m:r>
              <m:rPr>
                <m:sty m:val="p"/>
              </m:rPr>
              <w:rPr>
                <w:rFonts w:ascii="Cambria Math" w:hAnsi="Cambria Math"/>
                <w:lang w:val="de-DE"/>
              </w:rPr>
              <m:t>,</m:t>
            </m:r>
            <m:r>
              <w:rPr>
                <w:rFonts w:ascii="Cambria Math" w:hAnsi="Cambria Math"/>
              </w:rPr>
              <m:t>f</m:t>
            </m:r>
            <m:r>
              <m:rPr>
                <m:sty m:val="p"/>
              </m:rPr>
              <w:rPr>
                <w:rFonts w:ascii="Cambria Math" w:hAnsi="Cambria Math"/>
                <w:lang w:val="de-DE"/>
              </w:rPr>
              <m:t>,</m:t>
            </m:r>
            <m:r>
              <w:rPr>
                <w:rFonts w:ascii="Cambria Math" w:hAnsi="Cambria Math"/>
              </w:rPr>
              <m:t>c</m:t>
            </m:r>
          </m:sub>
        </m:sSub>
        <m:d>
          <m:dPr>
            <m:ctrlPr>
              <w:rPr>
                <w:rFonts w:ascii="Cambria Math" w:hAnsi="Cambria Math"/>
              </w:rPr>
            </m:ctrlPr>
          </m:dPr>
          <m:e>
            <m:r>
              <w:rPr>
                <w:rFonts w:ascii="Cambria Math" w:hAnsi="Cambria Math"/>
              </w:rPr>
              <m:t>i</m:t>
            </m:r>
            <m:r>
              <m:rPr>
                <m:sty m:val="p"/>
              </m:rPr>
              <w:rPr>
                <w:rFonts w:ascii="Cambria Math" w:hAnsi="Cambria Math"/>
                <w:lang w:val="de-DE"/>
              </w:rPr>
              <m:t>,</m:t>
            </m:r>
            <m:sSub>
              <m:sSubPr>
                <m:ctrlPr>
                  <w:rPr>
                    <w:rFonts w:ascii="Cambria Math" w:hAnsi="Cambria Math"/>
                    <w:iCs/>
                  </w:rPr>
                </m:ctrlPr>
              </m:sSubPr>
              <m:e>
                <m:r>
                  <w:rPr>
                    <w:rFonts w:ascii="Cambria Math" w:hAnsi="Cambria Math"/>
                  </w:rPr>
                  <m:t>q</m:t>
                </m:r>
              </m:e>
              <m:sub>
                <m:r>
                  <w:rPr>
                    <w:rFonts w:ascii="Cambria Math" w:hAnsi="Cambria Math"/>
                  </w:rPr>
                  <m:t>u</m:t>
                </m:r>
              </m:sub>
            </m:sSub>
            <m:r>
              <m:rPr>
                <m:sty m:val="p"/>
              </m:rPr>
              <w:rPr>
                <w:rFonts w:ascii="Cambria Math" w:hAnsi="Cambria Math"/>
                <w:lang w:val="de-DE"/>
              </w:rPr>
              <m:t>,</m:t>
            </m:r>
            <m:sSub>
              <m:sSubPr>
                <m:ctrlPr>
                  <w:rPr>
                    <w:rFonts w:ascii="Cambria Math" w:hAnsi="Cambria Math"/>
                    <w:iCs/>
                  </w:rPr>
                </m:ctrlPr>
              </m:sSubPr>
              <m:e>
                <m:r>
                  <w:rPr>
                    <w:rFonts w:ascii="Cambria Math" w:hAnsi="Cambria Math"/>
                  </w:rPr>
                  <m:t>q</m:t>
                </m:r>
              </m:e>
              <m:sub>
                <m:r>
                  <w:rPr>
                    <w:rFonts w:ascii="Cambria Math" w:hAnsi="Cambria Math"/>
                  </w:rPr>
                  <m:t>d</m:t>
                </m:r>
              </m:sub>
            </m:sSub>
            <m:r>
              <m:rPr>
                <m:sty m:val="p"/>
              </m:rPr>
              <w:rPr>
                <w:rFonts w:ascii="Cambria Math" w:hAnsi="Cambria Math"/>
                <w:lang w:val="de-DE"/>
              </w:rPr>
              <m:t>,</m:t>
            </m:r>
            <m:r>
              <w:rPr>
                <w:rFonts w:ascii="Cambria Math" w:hAnsi="Cambria Math"/>
              </w:rPr>
              <m:t>l</m:t>
            </m:r>
          </m:e>
        </m:d>
        <m:r>
          <m:rPr>
            <m:sty m:val="p"/>
          </m:rPr>
          <w:rPr>
            <w:rFonts w:ascii="Cambria Math" w:hAnsi="Cambria Math"/>
            <w:lang w:val="de-DE"/>
          </w:rPr>
          <m:t>=</m:t>
        </m:r>
        <m:r>
          <m:rPr>
            <m:sty m:val="p"/>
          </m:rPr>
          <w:rPr>
            <w:rFonts w:ascii="Cambria Math" w:hAnsi="Cambria Math"/>
          </w:rPr>
          <m:t>min</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Cs/>
                        </w:rPr>
                      </m:ctrlPr>
                    </m:sSubPr>
                    <m:e>
                      <m:r>
                        <w:rPr>
                          <w:rFonts w:ascii="Cambria Math" w:hAnsi="Cambria Math"/>
                        </w:rPr>
                        <m:t>P</m:t>
                      </m:r>
                    </m:e>
                    <m:sub>
                      <m:r>
                        <m:rPr>
                          <m:nor/>
                        </m:rPr>
                        <w:rPr>
                          <w:iCs/>
                        </w:rPr>
                        <m:t>CMAX</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i</m:t>
                      </m:r>
                    </m:e>
                  </m:d>
                </m:e>
              </m:mr>
              <m:mr>
                <m:e>
                  <m:sSub>
                    <m:sSubPr>
                      <m:ctrlPr>
                        <w:rPr>
                          <w:rFonts w:ascii="Cambria Math" w:hAnsi="Cambria Math"/>
                          <w:iCs/>
                        </w:rPr>
                      </m:ctrlPr>
                    </m:sSubPr>
                    <m:e>
                      <m:r>
                        <w:rPr>
                          <w:rFonts w:ascii="Cambria Math" w:hAnsi="Cambria Math"/>
                        </w:rPr>
                        <m:t>P</m:t>
                      </m:r>
                    </m:e>
                    <m:sub>
                      <m:r>
                        <m:rPr>
                          <m:sty m:val="p"/>
                        </m:rPr>
                        <w:rPr>
                          <w:rFonts w:ascii="Cambria Math" w:hAnsi="Cambria Math"/>
                        </w:rPr>
                        <m:t>O_PUCCH,</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sSub>
                        <m:sSubPr>
                          <m:ctrlPr>
                            <w:rPr>
                              <w:rFonts w:ascii="Cambria Math" w:hAnsi="Cambria Math"/>
                              <w:iCs/>
                            </w:rPr>
                          </m:ctrlPr>
                        </m:sSubPr>
                        <m:e>
                          <m:r>
                            <w:rPr>
                              <w:rFonts w:ascii="Cambria Math" w:hAnsi="Cambria Math"/>
                            </w:rPr>
                            <m:t>q</m:t>
                          </m:r>
                        </m:e>
                        <m:sub>
                          <m:r>
                            <w:rPr>
                              <w:rFonts w:ascii="Cambria Math" w:hAnsi="Cambria Math"/>
                            </w:rPr>
                            <m:t>u</m:t>
                          </m:r>
                        </m:sub>
                      </m:sSub>
                    </m:e>
                  </m:d>
                  <m:r>
                    <m:rPr>
                      <m:sty m:val="p"/>
                    </m:rPr>
                    <w:rPr>
                      <w:rFonts w:ascii="Cambria Math" w:hAnsi="Cambria Math"/>
                    </w:rPr>
                    <m:t>+10</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w:rPr>
                                  <w:rFonts w:ascii="Cambria Math" w:hAnsi="Cambria Math"/>
                                </w:rPr>
                                <m:t>μ</m:t>
                              </m:r>
                            </m:sup>
                          </m:sSup>
                          <m:r>
                            <m:rPr>
                              <m:sty m:val="p"/>
                            </m:rPr>
                            <w:rPr>
                              <w:rFonts w:ascii="Cambria Math" w:hAnsi="Cambria Math"/>
                            </w:rPr>
                            <m:t>∙</m:t>
                          </m:r>
                          <m:sSubSup>
                            <m:sSubSupPr>
                              <m:ctrlPr>
                                <w:rPr>
                                  <w:rFonts w:ascii="Cambria Math" w:hAnsi="Cambria Math"/>
                                </w:rPr>
                              </m:ctrlPr>
                            </m:sSubSupPr>
                            <m:e>
                              <m:r>
                                <w:rPr>
                                  <w:rFonts w:ascii="Cambria Math" w:hAnsi="Cambria Math"/>
                                </w:rPr>
                                <m:t>M</m:t>
                              </m:r>
                            </m:e>
                            <m:sub>
                              <m:r>
                                <m:rPr>
                                  <m:sty m:val="p"/>
                                </m:rPr>
                                <w:rPr>
                                  <w:rFonts w:ascii="Cambria Math" w:hAnsi="Cambria Math"/>
                                </w:rPr>
                                <m:t>RB,</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up>
                              <m:r>
                                <m:rPr>
                                  <m:sty m:val="p"/>
                                </m:rPr>
                                <w:rPr>
                                  <w:rFonts w:ascii="Cambria Math" w:hAnsi="Cambria Math"/>
                                </w:rPr>
                                <m:t>PUCCH</m:t>
                              </m:r>
                            </m:sup>
                          </m:sSubSup>
                          <m:d>
                            <m:dPr>
                              <m:ctrlPr>
                                <w:rPr>
                                  <w:rFonts w:ascii="Cambria Math" w:hAnsi="Cambria Math"/>
                                </w:rPr>
                              </m:ctrlPr>
                            </m:dPr>
                            <m:e>
                              <m:r>
                                <w:rPr>
                                  <w:rFonts w:ascii="Cambria Math" w:hAnsi="Cambria Math"/>
                                </w:rPr>
                                <m:t>i</m:t>
                              </m:r>
                            </m:e>
                          </m:d>
                        </m:e>
                      </m:d>
                    </m:e>
                  </m:func>
                  <m:r>
                    <m:rPr>
                      <m:sty m:val="p"/>
                    </m:rPr>
                    <w:rPr>
                      <w:rFonts w:ascii="Cambria Math" w:hAnsi="Cambria Math"/>
                    </w:rPr>
                    <m:t>+</m:t>
                  </m:r>
                  <m:sSub>
                    <m:sSubPr>
                      <m:ctrlPr>
                        <w:rPr>
                          <w:rFonts w:ascii="Cambria Math" w:hAnsi="Cambria Math"/>
                        </w:rPr>
                      </m:ctrlPr>
                    </m:sSubPr>
                    <m:e>
                      <m:r>
                        <w:rPr>
                          <w:rFonts w:ascii="Cambria Math" w:hAnsi="Cambria Math"/>
                        </w:rPr>
                        <m:t>PL</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d</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F_PUCCH</m:t>
                      </m:r>
                    </m:sub>
                  </m:sSub>
                  <m:d>
                    <m:dPr>
                      <m:ctrlPr>
                        <w:rPr>
                          <w:rFonts w:ascii="Cambria Math" w:hAnsi="Cambria Math"/>
                        </w:rPr>
                      </m:ctrlPr>
                    </m:dPr>
                    <m:e>
                      <m:r>
                        <w:rPr>
                          <w:rFonts w:ascii="Cambria Math" w:hAnsi="Cambria Math"/>
                        </w:rPr>
                        <m:t>F</m:t>
                      </m:r>
                    </m:e>
                  </m:d>
                  <m:r>
                    <m:rPr>
                      <m:sty m:val="p"/>
                    </m:rPr>
                    <w:rPr>
                      <w:rFonts w:ascii="Cambria Math" w:hAnsi="Cambria Math"/>
                    </w:rPr>
                    <m:t>+</m:t>
                  </m:r>
                  <m:sSub>
                    <m:sSubPr>
                      <m:ctrlPr>
                        <w:rPr>
                          <w:rFonts w:ascii="Cambria Math" w:hAnsi="Cambria Math"/>
                          <w:iCs/>
                        </w:rPr>
                      </m:ctrlPr>
                    </m:sSubPr>
                    <m:e>
                      <m:sSub>
                        <m:sSubPr>
                          <m:ctrlPr>
                            <w:rPr>
                              <w:rFonts w:ascii="Cambria Math" w:hAnsi="Cambria Math"/>
                            </w:rPr>
                          </m:ctrlPr>
                        </m:sSubPr>
                        <m:e>
                          <m:r>
                            <m:rPr>
                              <m:sty m:val="p"/>
                            </m:rPr>
                            <w:rPr>
                              <w:rFonts w:ascii="Cambria Math" w:hAnsi="Cambria Math"/>
                            </w:rPr>
                            <m:t>∆</m:t>
                          </m:r>
                        </m:e>
                        <m:sub>
                          <m:r>
                            <m:rPr>
                              <m:sty m:val="p"/>
                            </m:rPr>
                            <w:rPr>
                              <w:rFonts w:ascii="Cambria Math" w:hAnsi="Cambria Math"/>
                            </w:rPr>
                            <m:t>TF,</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g</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l</m:t>
                      </m:r>
                    </m:e>
                  </m:d>
                  <m:r>
                    <m:rPr>
                      <m:sty m:val="p"/>
                    </m:rPr>
                    <w:rPr>
                      <w:rFonts w:ascii="Cambria Math" w:hAnsi="Cambria Math"/>
                    </w:rPr>
                    <m:t xml:space="preserve">  </m:t>
                  </m:r>
                </m:e>
              </m:mr>
            </m:m>
          </m:e>
        </m:d>
      </m:oMath>
      <w:r w:rsidR="00FA7B7D" w:rsidRPr="00FA7B7D">
        <w:t xml:space="preserve"> [dBm]</w:t>
      </w:r>
    </w:p>
    <w:p w14:paraId="2FEF54E0" w14:textId="77777777" w:rsidR="00FA7B7D" w:rsidRPr="00FA7B7D" w:rsidRDefault="00FA7B7D" w:rsidP="00FA7B7D">
      <w:r w:rsidRPr="00FA7B7D">
        <w:t xml:space="preserve">where </w:t>
      </w:r>
    </w:p>
    <w:p w14:paraId="0B97D538" w14:textId="77777777" w:rsidR="00FA7B7D" w:rsidRPr="00FA7B7D" w:rsidRDefault="00FA7B7D" w:rsidP="00FA7B7D">
      <w:pPr>
        <w:pStyle w:val="B1"/>
        <w:rPr>
          <w:sz w:val="18"/>
        </w:rPr>
      </w:pPr>
      <w:r w:rsidRPr="00FA7B7D">
        <w:t>-</w:t>
      </w:r>
      <w:r w:rsidRPr="00FA7B7D">
        <w:tab/>
      </w:r>
      <m:oMath>
        <m:sSub>
          <m:sSubPr>
            <m:ctrlPr>
              <w:rPr>
                <w:rFonts w:ascii="Cambria Math" w:hAnsi="Cambria Math"/>
                <w:iCs/>
              </w:rPr>
            </m:ctrlPr>
          </m:sSubPr>
          <m:e>
            <m:r>
              <w:rPr>
                <w:rFonts w:ascii="Cambria Math" w:hAnsi="Cambria Math"/>
              </w:rPr>
              <m:t>P</m:t>
            </m:r>
          </m:e>
          <m:sub>
            <m:r>
              <m:rPr>
                <m:nor/>
              </m:rPr>
              <w:rPr>
                <w:iCs/>
              </w:rPr>
              <m:t>CMAX</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c,k</m:t>
            </m:r>
          </m:sub>
        </m:sSub>
        <m:r>
          <m:rPr>
            <m:sty m:val="p"/>
          </m:rPr>
          <w:rPr>
            <w:rFonts w:ascii="Cambria Math" w:hAnsi="Cambria Math"/>
          </w:rPr>
          <m:t>(</m:t>
        </m:r>
        <m:r>
          <w:rPr>
            <w:rFonts w:ascii="Cambria Math" w:hAnsi="Cambria Math"/>
          </w:rPr>
          <m:t>i</m:t>
        </m:r>
        <m:r>
          <m:rPr>
            <m:sty m:val="p"/>
          </m:rPr>
          <w:rPr>
            <w:rFonts w:ascii="Cambria Math" w:hAnsi="Cambria Math"/>
          </w:rPr>
          <m:t>)</m:t>
        </m:r>
      </m:oMath>
      <w:r w:rsidRPr="00FA7B7D">
        <w:t xml:space="preserve"> is the UE configured </w:t>
      </w:r>
      <w:r w:rsidRPr="00FA7B7D">
        <w:rPr>
          <w:rFonts w:eastAsia="Calibri"/>
        </w:rPr>
        <w:t>maximum output</w:t>
      </w:r>
      <w:r w:rsidRPr="00FA7B7D">
        <w:t xml:space="preserve"> power for the k-th indicated </w:t>
      </w:r>
      <w:r w:rsidRPr="00FA7B7D">
        <w:rPr>
          <w:i/>
          <w:iCs/>
        </w:rPr>
        <w:t>TCI-State</w:t>
      </w:r>
      <w:r w:rsidRPr="00FA7B7D">
        <w:t xml:space="preserve"> or </w:t>
      </w:r>
      <w:r w:rsidRPr="00FA7B7D">
        <w:rPr>
          <w:i/>
          <w:iCs/>
        </w:rPr>
        <w:t>TCI-UL-State</w:t>
      </w:r>
      <w:r w:rsidRPr="00FA7B7D">
        <w:t xml:space="preserve"> defined in [8-2, TS 38.101-2] for carrier </w:t>
      </w:r>
      <m:oMath>
        <m:r>
          <w:rPr>
            <w:rFonts w:ascii="Cambria Math" w:hAnsi="Cambria Math"/>
          </w:rPr>
          <m:t>f</m:t>
        </m:r>
      </m:oMath>
      <w:r w:rsidRPr="00FA7B7D">
        <w:rPr>
          <w:iCs/>
        </w:rPr>
        <w:t xml:space="preserve"> of </w:t>
      </w:r>
      <w:r w:rsidRPr="00FA7B7D">
        <w:t xml:space="preserve">serving cell </w:t>
      </w:r>
      <m:oMath>
        <m:r>
          <w:rPr>
            <w:rFonts w:ascii="Cambria Math" w:hAnsi="Cambria Math"/>
          </w:rPr>
          <m:t>c</m:t>
        </m:r>
      </m:oMath>
      <w:r w:rsidRPr="00FA7B7D">
        <w:t xml:space="preserve"> in PUCCH transmission occasion </w:t>
      </w:r>
      <m:oMath>
        <m:r>
          <w:rPr>
            <w:rFonts w:ascii="Cambria Math" w:hAnsi="Cambria Math"/>
          </w:rPr>
          <m:t>i</m:t>
        </m:r>
      </m:oMath>
      <w:r w:rsidRPr="00FA7B7D">
        <w:t xml:space="preserve"> .</w:t>
      </w:r>
    </w:p>
    <w:p w14:paraId="37DA1E92" w14:textId="4ACB0575" w:rsidR="00D448FF" w:rsidRPr="00F415B1" w:rsidRDefault="00D448FF" w:rsidP="00D448FF">
      <w:pPr>
        <w:pStyle w:val="B1"/>
        <w:rPr>
          <w:lang w:val="en-US"/>
        </w:rPr>
      </w:pPr>
      <w:r w:rsidRPr="00F415B1">
        <w:lastRenderedPageBreak/>
        <w:t>-</w:t>
      </w:r>
      <w:r w:rsidRPr="00F415B1">
        <w:tab/>
      </w:r>
      <m:oMath>
        <m:sSub>
          <m:sSubPr>
            <m:ctrlPr>
              <w:rPr>
                <w:rFonts w:ascii="Cambria Math" w:hAnsi="Cambria Math"/>
                <w:iCs/>
              </w:rPr>
            </m:ctrlPr>
          </m:sSubPr>
          <m:e>
            <m:r>
              <w:rPr>
                <w:rFonts w:ascii="Cambria Math" w:hAnsi="Cambria Math"/>
              </w:rPr>
              <m:t>P</m:t>
            </m:r>
          </m:e>
          <m:sub>
            <m:r>
              <m:rPr>
                <m:nor/>
              </m:rPr>
              <w:rPr>
                <w:rFonts w:ascii="Cambria Math"/>
                <w:iCs/>
              </w:rPr>
              <m:t>C</m:t>
            </m:r>
            <m:r>
              <m:rPr>
                <m:nor/>
              </m:rPr>
              <w:rPr>
                <w:rFonts w:ascii="Cambria Math"/>
                <w:iCs/>
                <w:lang w:val="en-US"/>
              </w:rPr>
              <m:t>MAX</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r>
          <w:rPr>
            <w:rFonts w:ascii="Cambria Math"/>
          </w:rPr>
          <m:t>i</m:t>
        </m:r>
        <m:r>
          <m:rPr>
            <m:sty m:val="p"/>
          </m:rPr>
          <w:rPr>
            <w:rFonts w:ascii="Cambria Math"/>
          </w:rPr>
          <m:t>)</m:t>
        </m:r>
      </m:oMath>
      <w:r w:rsidRPr="00F415B1">
        <w:rPr>
          <w:lang w:val="en-US"/>
        </w:rPr>
        <w:t xml:space="preserve"> </w:t>
      </w:r>
      <w:r w:rsidRPr="00F415B1">
        <w:t xml:space="preserve">is the </w:t>
      </w:r>
      <w:r w:rsidRPr="00F415B1">
        <w:rPr>
          <w:lang w:val="en-US"/>
        </w:rPr>
        <w:t xml:space="preserve">UE </w:t>
      </w:r>
      <w:r w:rsidRPr="00F415B1">
        <w:t xml:space="preserve">configured </w:t>
      </w:r>
      <w:r w:rsidRPr="00F415B1">
        <w:rPr>
          <w:lang w:val="en-US"/>
        </w:rPr>
        <w:t>maximum output</w:t>
      </w:r>
      <w:r w:rsidRPr="00F415B1">
        <w:t xml:space="preserve"> power defined in [</w:t>
      </w:r>
      <w:r w:rsidRPr="00F415B1">
        <w:rPr>
          <w:lang w:val="en-US"/>
        </w:rPr>
        <w:t>8-1</w:t>
      </w:r>
      <w:r w:rsidRPr="00F415B1">
        <w:t>, TS 38.1</w:t>
      </w:r>
      <w:r w:rsidRPr="00F415B1">
        <w:rPr>
          <w:lang w:val="en-US"/>
        </w:rPr>
        <w:t>01-1</w:t>
      </w:r>
      <w:r w:rsidRPr="00F415B1">
        <w:t>]</w:t>
      </w:r>
      <w:r w:rsidRPr="00F415B1">
        <w:rPr>
          <w:lang w:val="en-US"/>
        </w:rPr>
        <w:t xml:space="preserve">, [8-2, </w:t>
      </w:r>
      <w:r w:rsidR="00295E42">
        <w:rPr>
          <w:lang w:val="en-US"/>
        </w:rPr>
        <w:t>TS 38.</w:t>
      </w:r>
      <w:r w:rsidRPr="00F415B1">
        <w:rPr>
          <w:lang w:val="en-US"/>
        </w:rPr>
        <w:t xml:space="preserve">101-2] and [8-3, </w:t>
      </w:r>
      <w:r w:rsidR="00295E42">
        <w:rPr>
          <w:lang w:val="en-US"/>
        </w:rPr>
        <w:t>TS 38.</w:t>
      </w:r>
      <w:r w:rsidRPr="00F415B1">
        <w:rPr>
          <w:lang w:val="en-US"/>
        </w:rPr>
        <w:t>101-3] for</w:t>
      </w:r>
      <w:r w:rsidRPr="00F415B1">
        <w:t xml:space="preserve"> carrier </w:t>
      </w:r>
      <m:oMath>
        <m:r>
          <w:rPr>
            <w:rFonts w:ascii="Cambria Math" w:hAnsi="Cambria Math"/>
            <w:lang w:val="en-US"/>
          </w:rPr>
          <m:t>f</m:t>
        </m:r>
      </m:oMath>
      <w:r w:rsidRPr="00F415B1">
        <w:rPr>
          <w:iCs/>
        </w:rPr>
        <w:t xml:space="preserve"> </w:t>
      </w:r>
      <w:r w:rsidRPr="00F415B1">
        <w:rPr>
          <w:iCs/>
          <w:lang w:val="en-US"/>
        </w:rPr>
        <w:t xml:space="preserve">of </w:t>
      </w:r>
      <w:r w:rsidRPr="00F415B1">
        <w:rPr>
          <w:lang w:val="en-US"/>
        </w:rPr>
        <w:t>primary</w:t>
      </w:r>
      <w:r w:rsidRPr="00F415B1">
        <w:t xml:space="preserve"> cell </w:t>
      </w:r>
      <m:oMath>
        <m:r>
          <w:rPr>
            <w:rFonts w:ascii="Cambria Math" w:hAnsi="Cambria Math"/>
          </w:rPr>
          <m:t>c</m:t>
        </m:r>
      </m:oMath>
      <w:r w:rsidRPr="00F415B1">
        <w:rPr>
          <w:lang w:val="en-US"/>
        </w:rPr>
        <w:t xml:space="preserve"> </w:t>
      </w:r>
      <w:r w:rsidRPr="00F415B1">
        <w:t xml:space="preserve">in </w:t>
      </w:r>
      <w:r w:rsidRPr="00F415B1">
        <w:rPr>
          <w:lang w:val="en-US"/>
        </w:rPr>
        <w:t xml:space="preserve">PUCCH transmission </w:t>
      </w:r>
      <w:r w:rsidRPr="00F415B1">
        <w:t xml:space="preserve">occasion </w:t>
      </w:r>
      <m:oMath>
        <m:r>
          <w:rPr>
            <w:rFonts w:ascii="Cambria Math" w:hAnsi="Cambria Math"/>
          </w:rPr>
          <m:t>i</m:t>
        </m:r>
      </m:oMath>
    </w:p>
    <w:p w14:paraId="45D3A380" w14:textId="77777777" w:rsidR="00D448FF" w:rsidRPr="00F415B1" w:rsidRDefault="00D448FF" w:rsidP="00D448FF">
      <w:pPr>
        <w:pStyle w:val="B1"/>
        <w:rPr>
          <w:lang w:val="en-US"/>
        </w:rPr>
      </w:pPr>
      <w:r w:rsidRPr="00F415B1">
        <w:t>-</w:t>
      </w:r>
      <w:r w:rsidRPr="00F415B1">
        <w:tab/>
      </w:r>
      <m:oMath>
        <m:sSub>
          <m:sSubPr>
            <m:ctrlPr>
              <w:rPr>
                <w:rFonts w:ascii="Cambria Math" w:hAnsi="Cambria Math"/>
                <w:iCs/>
              </w:rPr>
            </m:ctrlPr>
          </m:sSubPr>
          <m:e>
            <m:r>
              <w:rPr>
                <w:rFonts w:ascii="Cambria Math" w:hAnsi="Cambria Math"/>
              </w:rPr>
              <m:t>P</m:t>
            </m:r>
          </m:e>
          <m:sub>
            <m:r>
              <m:rPr>
                <m:nor/>
              </m:rPr>
              <w:rPr>
                <w:rFonts w:ascii="Cambria Math"/>
                <w:iCs/>
                <w:lang w:val="en-US"/>
              </w:rPr>
              <m:t>O_P</m:t>
            </m:r>
            <m:r>
              <m:rPr>
                <m:nor/>
              </m:rPr>
              <w:rPr>
                <w:rFonts w:ascii="Cambria Math"/>
                <w:iCs/>
              </w:rPr>
              <m:t>U</m:t>
            </m:r>
            <m:r>
              <m:rPr>
                <m:nor/>
              </m:rPr>
              <w:rPr>
                <w:rFonts w:ascii="Cambria Math"/>
                <w:iCs/>
                <w:lang w:val="en-US"/>
              </w:rPr>
              <m:t>C</m:t>
            </m:r>
            <m:r>
              <m:rPr>
                <m:nor/>
              </m:rPr>
              <w:rPr>
                <w:rFonts w:ascii="Cambria Math"/>
                <w:iCs/>
              </w:rPr>
              <m:t>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sSub>
          <m:sSubPr>
            <m:ctrlPr>
              <w:rPr>
                <w:rFonts w:ascii="Cambria Math" w:hAnsi="Cambria Math"/>
                <w:iCs/>
              </w:rPr>
            </m:ctrlPr>
          </m:sSubPr>
          <m:e>
            <m:r>
              <w:rPr>
                <w:rFonts w:ascii="Cambria Math"/>
              </w:rPr>
              <m:t>q</m:t>
            </m:r>
          </m:e>
          <m:sub>
            <m:r>
              <w:rPr>
                <w:rFonts w:ascii="Cambria Math"/>
              </w:rPr>
              <m:t>u</m:t>
            </m:r>
          </m:sub>
        </m:sSub>
        <m:r>
          <m:rPr>
            <m:sty m:val="p"/>
          </m:rPr>
          <w:rPr>
            <w:rFonts w:ascii="Cambria Math"/>
          </w:rPr>
          <m:t>)</m:t>
        </m:r>
      </m:oMath>
      <w:r w:rsidRPr="00F415B1">
        <w:t xml:space="preserve"> is a parameter composed of the sum of a component </w:t>
      </w:r>
      <m:oMath>
        <m:sSub>
          <m:sSubPr>
            <m:ctrlPr>
              <w:rPr>
                <w:rFonts w:ascii="Cambria Math" w:hAnsi="Cambria Math"/>
                <w:iCs/>
              </w:rPr>
            </m:ctrlPr>
          </m:sSubPr>
          <m:e>
            <m:r>
              <w:rPr>
                <w:rFonts w:ascii="Cambria Math" w:hAnsi="Cambria Math"/>
              </w:rPr>
              <m:t>P</m:t>
            </m:r>
          </m:e>
          <m:sub>
            <m:r>
              <m:rPr>
                <m:nor/>
              </m:rPr>
              <w:rPr>
                <w:rFonts w:ascii="Cambria Math"/>
                <w:iCs/>
                <w:lang w:val="en-US"/>
              </w:rPr>
              <m:t>O_NOMINAL,P</m:t>
            </m:r>
            <m:r>
              <m:rPr>
                <m:nor/>
              </m:rPr>
              <w:rPr>
                <w:rFonts w:ascii="Cambria Math"/>
                <w:iCs/>
              </w:rPr>
              <m:t>U</m:t>
            </m:r>
            <m:r>
              <m:rPr>
                <m:nor/>
              </m:rPr>
              <w:rPr>
                <w:rFonts w:ascii="Cambria Math"/>
                <w:iCs/>
                <w:lang w:val="en-US"/>
              </w:rPr>
              <m:t>C</m:t>
            </m:r>
            <m:r>
              <m:rPr>
                <m:nor/>
              </m:rPr>
              <w:rPr>
                <w:rFonts w:ascii="Cambria Math"/>
                <w:iCs/>
              </w:rPr>
              <m:t>CH</m:t>
            </m:r>
          </m:sub>
        </m:sSub>
      </m:oMath>
      <w:r w:rsidRPr="00F415B1">
        <w:rPr>
          <w:lang w:val="en-US"/>
        </w:rPr>
        <w:t>,</w:t>
      </w:r>
      <w:r w:rsidRPr="00F415B1">
        <w:t xml:space="preserve"> provided by </w:t>
      </w:r>
      <w:r w:rsidRPr="00F415B1">
        <w:rPr>
          <w:rFonts w:eastAsia="MS Mincho"/>
          <w:i/>
          <w:lang w:val="en-US"/>
        </w:rPr>
        <w:t>p0-nominal</w:t>
      </w:r>
      <w:r w:rsidRPr="00F415B1">
        <w:rPr>
          <w:rFonts w:eastAsia="MS Mincho"/>
          <w:lang w:val="en-US"/>
        </w:rPr>
        <w:t xml:space="preserve">, </w:t>
      </w:r>
      <w:r w:rsidRPr="00F415B1">
        <w:rPr>
          <w:lang w:val="en-US"/>
        </w:rPr>
        <w:t xml:space="preserve">or </w:t>
      </w:r>
      <m:oMath>
        <m:sSub>
          <m:sSubPr>
            <m:ctrlPr>
              <w:rPr>
                <w:rFonts w:ascii="Cambria Math" w:hAnsi="Cambria Math"/>
                <w:iCs/>
              </w:rPr>
            </m:ctrlPr>
          </m:sSubPr>
          <m:e>
            <m:r>
              <w:rPr>
                <w:rFonts w:ascii="Cambria Math" w:hAnsi="Cambria Math"/>
              </w:rPr>
              <m:t>P</m:t>
            </m:r>
          </m:e>
          <m:sub>
            <m:r>
              <m:rPr>
                <m:nor/>
              </m:rPr>
              <w:rPr>
                <w:rFonts w:ascii="Cambria Math"/>
                <w:iCs/>
                <w:lang w:val="en-US"/>
              </w:rPr>
              <m:t>O_NOMINAL,P</m:t>
            </m:r>
            <m:r>
              <m:rPr>
                <m:nor/>
              </m:rPr>
              <w:rPr>
                <w:rFonts w:ascii="Cambria Math"/>
                <w:iCs/>
              </w:rPr>
              <m:t>U</m:t>
            </m:r>
            <m:r>
              <m:rPr>
                <m:nor/>
              </m:rPr>
              <w:rPr>
                <w:rFonts w:ascii="Cambria Math"/>
                <w:iCs/>
                <w:lang w:val="en-US"/>
              </w:rPr>
              <m:t>C</m:t>
            </m:r>
            <m:r>
              <m:rPr>
                <m:nor/>
              </m:rPr>
              <w:rPr>
                <w:rFonts w:ascii="Cambria Math"/>
                <w:iCs/>
              </w:rPr>
              <m:t>CH</m:t>
            </m:r>
          </m:sub>
        </m:sSub>
        <m:r>
          <w:rPr>
            <w:rFonts w:ascii="Cambria Math" w:hAnsi="Cambria Math"/>
          </w:rPr>
          <m:t>=0</m:t>
        </m:r>
      </m:oMath>
      <w:r w:rsidRPr="00F415B1">
        <w:rPr>
          <w:lang w:val="en-US"/>
        </w:rPr>
        <w:t xml:space="preserve"> dBm if </w:t>
      </w:r>
      <w:r w:rsidRPr="00F415B1">
        <w:rPr>
          <w:rFonts w:eastAsia="MS Mincho"/>
          <w:i/>
          <w:lang w:val="en-US"/>
        </w:rPr>
        <w:t>p0-nominal</w:t>
      </w:r>
      <w:r w:rsidRPr="00F415B1">
        <w:rPr>
          <w:lang w:val="en-US"/>
        </w:rPr>
        <w:t xml:space="preserve"> is not provided,</w:t>
      </w:r>
      <w:r w:rsidRPr="00F415B1">
        <w:rPr>
          <w:rFonts w:eastAsia="MS Mincho"/>
          <w:lang w:val="en-US"/>
        </w:rPr>
        <w:t xml:space="preserve"> for </w:t>
      </w:r>
      <w:r w:rsidRPr="00F415B1">
        <w:rPr>
          <w:lang w:val="en-US"/>
        </w:rPr>
        <w:t xml:space="preserve">carrier </w:t>
      </w:r>
      <m:oMath>
        <m:r>
          <w:rPr>
            <w:rFonts w:ascii="Cambria Math" w:hAnsi="Cambria Math"/>
            <w:lang w:val="en-US"/>
          </w:rPr>
          <m:t>f</m:t>
        </m:r>
      </m:oMath>
      <w:r w:rsidRPr="00F415B1">
        <w:rPr>
          <w:iCs/>
          <w:lang w:val="en-US"/>
        </w:rPr>
        <w:t xml:space="preserve"> </w:t>
      </w:r>
      <w:r w:rsidRPr="00F415B1">
        <w:rPr>
          <w:lang w:val="en-US"/>
        </w:rPr>
        <w:t xml:space="preserve">of </w:t>
      </w:r>
      <w:r w:rsidRPr="00F415B1">
        <w:rPr>
          <w:rFonts w:eastAsia="MS Mincho"/>
          <w:lang w:val="en-US"/>
        </w:rPr>
        <w:t xml:space="preserve">primary cell </w:t>
      </w:r>
      <m:oMath>
        <m:r>
          <w:rPr>
            <w:rFonts w:ascii="Cambria Math" w:hAnsi="Cambria Math"/>
          </w:rPr>
          <m:t>c</m:t>
        </m:r>
      </m:oMath>
      <w:r w:rsidRPr="00F415B1">
        <w:rPr>
          <w:lang w:val="en-US"/>
        </w:rPr>
        <w:t xml:space="preserve"> </w:t>
      </w:r>
      <w:r w:rsidRPr="00F415B1">
        <w:t>and</w:t>
      </w:r>
      <w:r w:rsidRPr="00F415B1">
        <w:rPr>
          <w:lang w:val="en-US"/>
        </w:rPr>
        <w:t>, if provided,</w:t>
      </w:r>
      <w:r w:rsidRPr="00F415B1">
        <w:t xml:space="preserve"> a component </w:t>
      </w:r>
      <m:oMath>
        <m:sSub>
          <m:sSubPr>
            <m:ctrlPr>
              <w:rPr>
                <w:rFonts w:ascii="Cambria Math" w:hAnsi="Cambria Math"/>
                <w:iCs/>
              </w:rPr>
            </m:ctrlPr>
          </m:sSubPr>
          <m:e>
            <m:r>
              <w:rPr>
                <w:rFonts w:ascii="Cambria Math" w:hAnsi="Cambria Math"/>
              </w:rPr>
              <m:t>P</m:t>
            </m:r>
          </m:e>
          <m:sub>
            <m:r>
              <m:rPr>
                <m:nor/>
              </m:rPr>
              <w:rPr>
                <w:rFonts w:ascii="Cambria Math"/>
                <w:iCs/>
                <w:lang w:val="en-US"/>
              </w:rPr>
              <m:t>O_UE_P</m:t>
            </m:r>
            <m:r>
              <m:rPr>
                <m:nor/>
              </m:rPr>
              <w:rPr>
                <w:rFonts w:ascii="Cambria Math"/>
                <w:iCs/>
              </w:rPr>
              <m:t>U</m:t>
            </m:r>
            <m:r>
              <m:rPr>
                <m:nor/>
              </m:rPr>
              <w:rPr>
                <w:rFonts w:ascii="Cambria Math"/>
                <w:iCs/>
                <w:lang w:val="en-US"/>
              </w:rPr>
              <m:t>C</m:t>
            </m:r>
            <m:r>
              <m:rPr>
                <m:nor/>
              </m:rPr>
              <w:rPr>
                <w:rFonts w:ascii="Cambria Math"/>
                <w:iCs/>
              </w:rPr>
              <m:t>CH</m:t>
            </m:r>
          </m:sub>
        </m:sSub>
        <m:r>
          <m:rPr>
            <m:sty m:val="p"/>
          </m:rPr>
          <w:rPr>
            <w:rFonts w:ascii="Cambria Math"/>
          </w:rPr>
          <m:t>(</m:t>
        </m:r>
        <m:sSub>
          <m:sSubPr>
            <m:ctrlPr>
              <w:rPr>
                <w:rFonts w:ascii="Cambria Math" w:hAnsi="Cambria Math"/>
                <w:iCs/>
              </w:rPr>
            </m:ctrlPr>
          </m:sSubPr>
          <m:e>
            <m:r>
              <w:rPr>
                <w:rFonts w:ascii="Cambria Math"/>
              </w:rPr>
              <m:t>q</m:t>
            </m:r>
          </m:e>
          <m:sub>
            <m:r>
              <w:rPr>
                <w:rFonts w:ascii="Cambria Math"/>
              </w:rPr>
              <m:t>u</m:t>
            </m:r>
          </m:sub>
        </m:sSub>
        <m:r>
          <m:rPr>
            <m:sty m:val="p"/>
          </m:rPr>
          <w:rPr>
            <w:rFonts w:ascii="Cambria Math"/>
          </w:rPr>
          <m:t>)</m:t>
        </m:r>
      </m:oMath>
      <w:r w:rsidRPr="00F415B1">
        <w:rPr>
          <w:lang w:val="en-US"/>
        </w:rPr>
        <w:t xml:space="preserve"> </w:t>
      </w:r>
      <w:r w:rsidRPr="00F415B1">
        <w:t xml:space="preserve">provided by </w:t>
      </w:r>
      <w:r w:rsidRPr="00F415B1">
        <w:rPr>
          <w:i/>
        </w:rPr>
        <w:t>p0-PUCCH-Value</w:t>
      </w:r>
      <w:r w:rsidRPr="00F415B1">
        <w:rPr>
          <w:lang w:val="en-US"/>
        </w:rPr>
        <w:t xml:space="preserve"> in</w:t>
      </w:r>
      <w:r w:rsidRPr="00F415B1">
        <w:t xml:space="preserve"> </w:t>
      </w:r>
      <w:r w:rsidRPr="00F415B1">
        <w:rPr>
          <w:rFonts w:eastAsia="MS Mincho"/>
          <w:i/>
          <w:lang w:val="en-US"/>
        </w:rPr>
        <w:t>P0-PUCCH</w:t>
      </w:r>
      <w:r w:rsidRPr="00F415B1">
        <w:rPr>
          <w:rFonts w:eastAsia="MS Mincho"/>
          <w:lang w:val="en-US"/>
        </w:rPr>
        <w:t xml:space="preserve"> for active </w:t>
      </w:r>
      <w:r w:rsidRPr="00F415B1">
        <w:rPr>
          <w:lang w:val="en-US"/>
        </w:rPr>
        <w:t xml:space="preserve">UL BWP </w:t>
      </w:r>
      <m:oMath>
        <m:r>
          <w:rPr>
            <w:rFonts w:ascii="Cambria Math" w:hAnsi="Cambria Math"/>
            <w:lang w:val="en-US"/>
          </w:rPr>
          <m:t>b</m:t>
        </m:r>
      </m:oMath>
      <w:r w:rsidRPr="00F415B1">
        <w:rPr>
          <w:iCs/>
          <w:lang w:val="en-US"/>
        </w:rPr>
        <w:t xml:space="preserve"> </w:t>
      </w:r>
      <w:r w:rsidRPr="00F415B1">
        <w:rPr>
          <w:lang w:val="en-US"/>
        </w:rPr>
        <w:t>of</w:t>
      </w:r>
      <w:r w:rsidRPr="00F415B1">
        <w:t xml:space="preserve"> </w:t>
      </w:r>
      <w:r w:rsidRPr="00F415B1">
        <w:rPr>
          <w:lang w:val="en-US"/>
        </w:rPr>
        <w:t xml:space="preserve">carrier </w:t>
      </w:r>
      <m:oMath>
        <m:r>
          <w:rPr>
            <w:rFonts w:ascii="Cambria Math" w:hAnsi="Cambria Math"/>
            <w:lang w:val="en-US"/>
          </w:rPr>
          <m:t>f</m:t>
        </m:r>
      </m:oMath>
      <w:r w:rsidRPr="00F415B1">
        <w:rPr>
          <w:iCs/>
          <w:lang w:val="en-US"/>
        </w:rPr>
        <w:t xml:space="preserve"> </w:t>
      </w:r>
      <w:r w:rsidRPr="00F415B1">
        <w:rPr>
          <w:lang w:val="en-US"/>
        </w:rPr>
        <w:t xml:space="preserve">of </w:t>
      </w:r>
      <w:r w:rsidRPr="00F415B1">
        <w:rPr>
          <w:rFonts w:eastAsia="MS Mincho"/>
          <w:lang w:val="en-US"/>
        </w:rPr>
        <w:t xml:space="preserve">primary cell </w:t>
      </w:r>
      <m:oMath>
        <m:r>
          <w:rPr>
            <w:rFonts w:ascii="Cambria Math" w:hAnsi="Cambria Math"/>
          </w:rPr>
          <m:t>c</m:t>
        </m:r>
      </m:oMath>
      <w:r w:rsidRPr="00F415B1">
        <w:rPr>
          <w:lang w:val="en-US"/>
        </w:rPr>
        <w:t xml:space="preserve">, where </w:t>
      </w:r>
      <m:oMath>
        <m:r>
          <w:rPr>
            <w:rFonts w:ascii="Cambria Math" w:hAnsi="Cambria Math"/>
            <w:lang w:val="en-US"/>
          </w:rPr>
          <m:t>0≤</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u</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u</m:t>
            </m:r>
          </m:sub>
        </m:sSub>
      </m:oMath>
      <w:r w:rsidRPr="00F415B1">
        <w:rPr>
          <w:lang w:val="en-US"/>
        </w:rPr>
        <w:t xml:space="preserve">.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u</m:t>
            </m:r>
          </m:sub>
        </m:sSub>
      </m:oMath>
      <w:r w:rsidRPr="00F415B1">
        <w:rPr>
          <w:lang w:val="en-US"/>
        </w:rPr>
        <w:t xml:space="preserve"> is a size for a set of </w:t>
      </w:r>
      <m:oMath>
        <m:sSub>
          <m:sSubPr>
            <m:ctrlPr>
              <w:rPr>
                <w:rFonts w:ascii="Cambria Math" w:hAnsi="Cambria Math"/>
              </w:rPr>
            </m:ctrlPr>
          </m:sSubPr>
          <m:e>
            <m:r>
              <w:rPr>
                <w:rFonts w:ascii="Cambria Math" w:hAnsi="Cambria Math"/>
              </w:rPr>
              <m:t>P</m:t>
            </m:r>
          </m:e>
          <m:sub>
            <m:r>
              <m:rPr>
                <m:nor/>
              </m:rPr>
              <m:t>O_UE_PU</m:t>
            </m:r>
            <m:r>
              <m:rPr>
                <m:nor/>
              </m:rPr>
              <w:rPr>
                <w:lang w:val="en-US"/>
              </w:rPr>
              <m:t>C</m:t>
            </m:r>
            <m:r>
              <m:rPr>
                <m:nor/>
              </m:rPr>
              <m:t>CH</m:t>
            </m:r>
          </m:sub>
        </m:sSub>
      </m:oMath>
      <w:r w:rsidRPr="00F415B1">
        <w:rPr>
          <w:lang w:val="en-US"/>
        </w:rPr>
        <w:t xml:space="preserve"> values provided by </w:t>
      </w:r>
      <w:r w:rsidRPr="00F415B1">
        <w:rPr>
          <w:i/>
        </w:rPr>
        <w:t>maxNrofPUCCH-P0-PerSet</w:t>
      </w:r>
      <w:r w:rsidRPr="00F415B1">
        <w:rPr>
          <w:lang w:val="en-US"/>
        </w:rPr>
        <w:t xml:space="preserve">. The set of </w:t>
      </w:r>
      <m:oMath>
        <m:sSub>
          <m:sSubPr>
            <m:ctrlPr>
              <w:rPr>
                <w:rFonts w:ascii="Cambria Math" w:hAnsi="Cambria Math"/>
              </w:rPr>
            </m:ctrlPr>
          </m:sSubPr>
          <m:e>
            <m:r>
              <w:rPr>
                <w:rFonts w:ascii="Cambria Math" w:hAnsi="Cambria Math"/>
              </w:rPr>
              <m:t>P</m:t>
            </m:r>
          </m:e>
          <m:sub>
            <m:r>
              <m:rPr>
                <m:nor/>
              </m:rPr>
              <m:t>O_UE_PU</m:t>
            </m:r>
            <m:r>
              <m:rPr>
                <m:nor/>
              </m:rPr>
              <w:rPr>
                <w:lang w:val="en-US"/>
              </w:rPr>
              <m:t>C</m:t>
            </m:r>
            <m:r>
              <m:rPr>
                <m:nor/>
              </m:rPr>
              <m:t>CH</m:t>
            </m:r>
          </m:sub>
        </m:sSub>
      </m:oMath>
      <w:r w:rsidRPr="00F415B1">
        <w:rPr>
          <w:lang w:val="en-US"/>
        </w:rPr>
        <w:t xml:space="preserve"> values is provided by </w:t>
      </w:r>
      <w:r w:rsidRPr="00F415B1">
        <w:rPr>
          <w:i/>
          <w:lang w:val="en-US"/>
        </w:rPr>
        <w:t>p0-Set</w:t>
      </w:r>
      <w:r w:rsidRPr="00F415B1">
        <w:rPr>
          <w:lang w:val="en-US"/>
        </w:rPr>
        <w:t xml:space="preserve">. If </w:t>
      </w:r>
      <w:r w:rsidRPr="00F415B1">
        <w:rPr>
          <w:i/>
          <w:lang w:val="en-US"/>
        </w:rPr>
        <w:t>p0-Set</w:t>
      </w:r>
      <w:r w:rsidRPr="00F415B1">
        <w:rPr>
          <w:lang w:val="en-US"/>
        </w:rPr>
        <w:t xml:space="preserve"> is not provided to the UE, </w:t>
      </w:r>
      <m:oMath>
        <m:sSub>
          <m:sSubPr>
            <m:ctrlPr>
              <w:rPr>
                <w:rFonts w:ascii="Cambria Math" w:hAnsi="Cambria Math"/>
                <w:iCs/>
              </w:rPr>
            </m:ctrlPr>
          </m:sSubPr>
          <m:e>
            <m:r>
              <w:rPr>
                <w:rFonts w:ascii="Cambria Math" w:hAnsi="Cambria Math"/>
              </w:rPr>
              <m:t>P</m:t>
            </m:r>
          </m:e>
          <m:sub>
            <m:r>
              <m:rPr>
                <m:nor/>
              </m:rPr>
              <w:rPr>
                <w:rFonts w:ascii="Cambria Math"/>
                <w:iCs/>
                <w:lang w:val="en-US"/>
              </w:rPr>
              <m:t>O_P</m:t>
            </m:r>
            <m:r>
              <m:rPr>
                <m:nor/>
              </m:rPr>
              <w:rPr>
                <w:rFonts w:ascii="Cambria Math"/>
                <w:iCs/>
              </w:rPr>
              <m:t>U</m:t>
            </m:r>
            <m:r>
              <m:rPr>
                <m:nor/>
              </m:rPr>
              <w:rPr>
                <w:rFonts w:ascii="Cambria Math"/>
                <w:iCs/>
                <w:lang w:val="en-US"/>
              </w:rPr>
              <m:t>C</m:t>
            </m:r>
            <m:r>
              <m:rPr>
                <m:nor/>
              </m:rPr>
              <w:rPr>
                <w:rFonts w:ascii="Cambria Math"/>
                <w:iCs/>
              </w:rPr>
              <m:t>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sSub>
              <m:sSubPr>
                <m:ctrlPr>
                  <w:rPr>
                    <w:rFonts w:ascii="Cambria Math" w:hAnsi="Cambria Math"/>
                    <w:iCs/>
                  </w:rPr>
                </m:ctrlPr>
              </m:sSubPr>
              <m:e>
                <m:r>
                  <w:rPr>
                    <w:rFonts w:ascii="Cambria Math"/>
                  </w:rPr>
                  <m:t>q</m:t>
                </m:r>
              </m:e>
              <m:sub>
                <m:r>
                  <w:rPr>
                    <w:rFonts w:ascii="Cambria Math"/>
                  </w:rPr>
                  <m:t>u</m:t>
                </m:r>
              </m:sub>
            </m:sSub>
          </m:e>
        </m:d>
        <m:r>
          <m:rPr>
            <m:sty m:val="p"/>
          </m:rPr>
          <w:rPr>
            <w:rFonts w:ascii="Cambria Math"/>
          </w:rPr>
          <m:t>=0</m:t>
        </m:r>
      </m:oMath>
      <w:r w:rsidRPr="00F415B1">
        <w:rPr>
          <w:lang w:val="en-US"/>
        </w:rPr>
        <w:t xml:space="preserve">, </w:t>
      </w:r>
      <m:oMath>
        <m:r>
          <w:rPr>
            <w:rFonts w:ascii="Cambria Math" w:hAnsi="Cambria Math"/>
            <w:lang w:val="en-US"/>
          </w:rPr>
          <m:t>0≤</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u</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u</m:t>
            </m:r>
          </m:sub>
        </m:sSub>
      </m:oMath>
    </w:p>
    <w:p w14:paraId="097CAB35" w14:textId="093AFA97" w:rsidR="004D7218" w:rsidRDefault="004D7218" w:rsidP="004D7218">
      <w:pPr>
        <w:pStyle w:val="B2"/>
        <w:rPr>
          <w:lang w:val="en-US"/>
        </w:rPr>
      </w:pPr>
      <w:r>
        <w:rPr>
          <w:lang w:eastAsia="zh-CN"/>
        </w:rPr>
        <w:t>-</w:t>
      </w:r>
      <w:r>
        <w:rPr>
          <w:lang w:eastAsia="zh-CN"/>
        </w:rPr>
        <w:tab/>
        <w:t>If the UE is provided</w:t>
      </w:r>
      <w:r w:rsidRPr="00E61D74">
        <w:rPr>
          <w:lang w:eastAsia="zh-CN"/>
        </w:rPr>
        <w:t xml:space="preserve"> </w:t>
      </w:r>
      <w:r w:rsidRPr="00E57AC4">
        <w:rPr>
          <w:i/>
        </w:rPr>
        <w:t>PUCCH-Spatial</w:t>
      </w:r>
      <w:r>
        <w:rPr>
          <w:i/>
          <w:lang w:val="en-US"/>
        </w:rPr>
        <w:t>R</w:t>
      </w:r>
      <w:r w:rsidRPr="00E57AC4">
        <w:rPr>
          <w:i/>
        </w:rPr>
        <w:t>elation</w:t>
      </w:r>
      <w:r>
        <w:rPr>
          <w:i/>
          <w:lang w:val="en-US"/>
        </w:rPr>
        <w:t>I</w:t>
      </w:r>
      <w:r w:rsidRPr="00E57AC4">
        <w:rPr>
          <w:i/>
        </w:rPr>
        <w:t>nfo</w:t>
      </w:r>
      <w:r>
        <w:t>, the UE obtains</w:t>
      </w:r>
      <w:r w:rsidRPr="00E61D74">
        <w:t xml:space="preserve"> a</w:t>
      </w:r>
      <w:r>
        <w:t xml:space="preserve"> mapping</w:t>
      </w:r>
      <w:r>
        <w:rPr>
          <w:lang w:val="en-US"/>
        </w:rPr>
        <w:t xml:space="preserve">, by an index provided by </w:t>
      </w:r>
      <w:r w:rsidRPr="00851934">
        <w:rPr>
          <w:i/>
        </w:rPr>
        <w:t>p0-PUCCH-Id</w:t>
      </w:r>
      <w:r>
        <w:rPr>
          <w:lang w:val="en-US"/>
        </w:rPr>
        <w:t>,</w:t>
      </w:r>
      <w:r>
        <w:t xml:space="preserve"> between a set of</w:t>
      </w:r>
      <w:r w:rsidRPr="00E61D74">
        <w:t xml:space="preserve"> </w:t>
      </w:r>
      <w:r w:rsidRPr="00851934">
        <w:rPr>
          <w:i/>
        </w:rPr>
        <w:t>pucch-SpatialRelationInfoId</w:t>
      </w:r>
      <w:r w:rsidRPr="00E61D74">
        <w:t xml:space="preserve"> </w:t>
      </w:r>
      <w:r>
        <w:t xml:space="preserve">values </w:t>
      </w:r>
      <w:r w:rsidRPr="00E61D74">
        <w:t xml:space="preserve">and a set of </w:t>
      </w:r>
      <w:r w:rsidRPr="00674669">
        <w:rPr>
          <w:i/>
        </w:rPr>
        <w:t>p0-PUCCH-Value</w:t>
      </w:r>
      <w:r w:rsidRPr="00E61D74">
        <w:t xml:space="preserve"> values. </w:t>
      </w:r>
      <w:r w:rsidRPr="00D83302">
        <w:t xml:space="preserve">If </w:t>
      </w:r>
      <w:r w:rsidRPr="00373B66">
        <w:rPr>
          <w:lang w:val="en-US"/>
        </w:rPr>
        <w:t>the UE is provided more than one values for</w:t>
      </w:r>
      <w:r w:rsidRPr="00373B66">
        <w:t xml:space="preserve"> </w:t>
      </w:r>
      <w:r w:rsidRPr="00D83302">
        <w:rPr>
          <w:i/>
          <w:iCs/>
        </w:rPr>
        <w:t>pucch-SpatialRelationInfoId</w:t>
      </w:r>
      <w:r w:rsidRPr="00D83302">
        <w:t xml:space="preserve"> and the </w:t>
      </w:r>
      <w:r>
        <w:t xml:space="preserve">UE receives </w:t>
      </w:r>
      <w:r>
        <w:rPr>
          <w:iCs/>
        </w:rPr>
        <w:t xml:space="preserve">an </w:t>
      </w:r>
      <w:r w:rsidRPr="00966886">
        <w:rPr>
          <w:color w:val="000000"/>
        </w:rPr>
        <w:t>activation command [</w:t>
      </w:r>
      <w:r w:rsidRPr="00966886">
        <w:rPr>
          <w:rFonts w:eastAsia="MS Mincho"/>
          <w:color w:val="000000"/>
          <w:lang w:eastAsia="ja-JP"/>
        </w:rPr>
        <w:t>1</w:t>
      </w:r>
      <w:r>
        <w:rPr>
          <w:rFonts w:eastAsia="MS Mincho"/>
          <w:color w:val="000000"/>
          <w:lang w:eastAsia="ja-JP"/>
        </w:rPr>
        <w:t>1</w:t>
      </w:r>
      <w:r w:rsidRPr="00966886">
        <w:rPr>
          <w:color w:val="000000"/>
        </w:rPr>
        <w:t>, TS 38.321]</w:t>
      </w:r>
      <w:r>
        <w:rPr>
          <w:color w:val="000000"/>
        </w:rPr>
        <w:t xml:space="preserve"> indicating a value of </w:t>
      </w:r>
      <w:r w:rsidRPr="00851934">
        <w:rPr>
          <w:i/>
        </w:rPr>
        <w:t>pucch-SpatialRelationInfoId</w:t>
      </w:r>
      <w:r w:rsidRPr="00E61D74">
        <w:t xml:space="preserve">, the </w:t>
      </w:r>
      <w:r>
        <w:t xml:space="preserve">UE determines the </w:t>
      </w:r>
      <w:r w:rsidRPr="00674669">
        <w:rPr>
          <w:i/>
        </w:rPr>
        <w:t>p0-PUCCH-Value</w:t>
      </w:r>
      <w:r w:rsidRPr="00E61D74">
        <w:t xml:space="preserve"> </w:t>
      </w:r>
      <w:r>
        <w:t>value</w:t>
      </w:r>
      <w:r>
        <w:rPr>
          <w:lang w:val="en-US"/>
        </w:rPr>
        <w:t xml:space="preserve"> through the link to a corresponding </w:t>
      </w:r>
      <w:r w:rsidRPr="00851934">
        <w:rPr>
          <w:i/>
        </w:rPr>
        <w:t>p0-PUCCH-Id</w:t>
      </w:r>
      <w:r>
        <w:rPr>
          <w:lang w:val="en-US"/>
        </w:rPr>
        <w:t xml:space="preserve"> index</w:t>
      </w:r>
      <w:r>
        <w:t xml:space="preserve">. </w:t>
      </w:r>
      <w:r>
        <w:rPr>
          <w:lang w:val="en-US"/>
        </w:rPr>
        <w:t xml:space="preserve">The UE applies the activation command </w:t>
      </w:r>
      <w:r w:rsidR="001F4042">
        <w:rPr>
          <w:lang w:val="en-US"/>
        </w:rPr>
        <w:t>in</w:t>
      </w:r>
      <w:r w:rsidR="001F4042">
        <w:t xml:space="preserve"> the first slot that is after slot </w:t>
      </w:r>
      <m:oMath>
        <m:r>
          <w:rPr>
            <w:rFonts w:ascii="Cambria Math" w:hAnsi="Cambria Math"/>
          </w:rPr>
          <m:t>k+3</m:t>
        </m:r>
        <m:r>
          <w:rPr>
            <w:rFonts w:ascii="Cambria Math" w:hAnsi="Cambria Math" w:cs="Cambria Math"/>
          </w:rPr>
          <m:t>⋅</m:t>
        </m:r>
        <m:sSubSup>
          <m:sSubSupPr>
            <m:ctrlPr>
              <w:rPr>
                <w:rFonts w:ascii="Cambria Math" w:hAnsi="Cambria Math"/>
                <w:iCs/>
              </w:rPr>
            </m:ctrlPr>
          </m:sSubSupPr>
          <m:e>
            <m:r>
              <w:rPr>
                <w:rFonts w:ascii="Cambria Math" w:hAnsi="Cambria Math"/>
              </w:rPr>
              <m:t>N</m:t>
            </m:r>
          </m:e>
          <m:sub>
            <m:r>
              <m:rPr>
                <m:sty m:val="p"/>
              </m:rPr>
              <w:rPr>
                <w:rFonts w:ascii="Cambria Math" w:hAnsi="Cambria Math"/>
              </w:rPr>
              <m:t>slot</m:t>
            </m:r>
          </m:sub>
          <m:sup>
            <m:r>
              <m:rPr>
                <m:sty m:val="p"/>
              </m:rPr>
              <w:rPr>
                <w:rFonts w:ascii="Cambria Math" w:hAnsi="Cambria Math"/>
              </w:rPr>
              <m:t>subframe,</m:t>
            </m:r>
            <m:r>
              <w:rPr>
                <w:rFonts w:ascii="Cambria Math" w:eastAsia="Gulim" w:hAnsi="Cambria Math"/>
                <w:lang w:eastAsia="ko-KR"/>
              </w:rPr>
              <m:t>μ</m:t>
            </m:r>
          </m:sup>
        </m:sSubSup>
      </m:oMath>
      <w:r w:rsidR="001F4042">
        <w:t xml:space="preserve"> where </w:t>
      </w:r>
      <m:oMath>
        <m:r>
          <w:rPr>
            <w:rFonts w:ascii="Cambria Math" w:hAnsi="Cambria Math"/>
          </w:rPr>
          <m:t>k</m:t>
        </m:r>
      </m:oMath>
      <w:r w:rsidR="001F4042">
        <w:rPr>
          <w:lang w:val="en-US"/>
        </w:rPr>
        <w:t xml:space="preserve"> is the slot</w:t>
      </w:r>
      <w:r>
        <w:rPr>
          <w:lang w:val="en-US"/>
        </w:rPr>
        <w:t xml:space="preserve"> where the UE </w:t>
      </w:r>
      <w:r w:rsidR="00063DE7">
        <w:rPr>
          <w:lang w:val="en-US"/>
        </w:rPr>
        <w:t xml:space="preserve">would </w:t>
      </w:r>
      <w:r>
        <w:rPr>
          <w:lang w:val="en-US"/>
        </w:rPr>
        <w:t xml:space="preserve">transmit </w:t>
      </w:r>
      <w:r w:rsidR="001F4042">
        <w:rPr>
          <w:lang w:val="en-US"/>
        </w:rPr>
        <w:t xml:space="preserve">a PUCCH with </w:t>
      </w:r>
      <w:r>
        <w:rPr>
          <w:lang w:val="en-US"/>
        </w:rPr>
        <w:t>HARQ-ACK information for the PDSCH providing the activation command</w:t>
      </w:r>
      <w:r w:rsidR="001F4042">
        <w:rPr>
          <w:lang w:val="en-US"/>
        </w:rPr>
        <w:t xml:space="preserve"> and </w:t>
      </w:r>
      <m:oMath>
        <m:r>
          <w:rPr>
            <w:rFonts w:ascii="Cambria Math"/>
            <w:lang w:eastAsia="x-none"/>
          </w:rPr>
          <m:t>μ</m:t>
        </m:r>
      </m:oMath>
      <w:r w:rsidR="001F4042" w:rsidRPr="0014499E">
        <w:t xml:space="preserve"> </w:t>
      </w:r>
      <w:r w:rsidR="001F4042">
        <w:t xml:space="preserve">is the SCS configuration for </w:t>
      </w:r>
      <w:r w:rsidR="001F4042">
        <w:rPr>
          <w:lang w:val="en-US"/>
        </w:rPr>
        <w:t xml:space="preserve">the </w:t>
      </w:r>
      <w:r w:rsidR="001F4042">
        <w:t>PUCCH</w:t>
      </w:r>
      <w:r w:rsidR="001F4042">
        <w:rPr>
          <w:lang w:val="en-US"/>
        </w:rPr>
        <w:t xml:space="preserve"> </w:t>
      </w:r>
    </w:p>
    <w:p w14:paraId="36AC36F7" w14:textId="63B92164" w:rsidR="0072309D" w:rsidRPr="0072309D" w:rsidRDefault="00F22988" w:rsidP="00F22988">
      <w:pPr>
        <w:pStyle w:val="B2"/>
        <w:rPr>
          <w:lang w:eastAsia="ja-JP"/>
        </w:rPr>
      </w:pPr>
      <w:r>
        <w:rPr>
          <w:lang w:val="en-GB" w:eastAsia="zh-CN"/>
        </w:rPr>
        <w:t>-</w:t>
      </w:r>
      <w:r>
        <w:rPr>
          <w:lang w:val="en-GB" w:eastAsia="zh-CN"/>
        </w:rPr>
        <w:tab/>
      </w:r>
      <w:r w:rsidR="0072309D" w:rsidRPr="00037243">
        <w:rPr>
          <w:lang w:eastAsia="zh-CN"/>
        </w:rPr>
        <w:t xml:space="preserve">If the UE is </w:t>
      </w:r>
      <w:r w:rsidR="0072309D" w:rsidRPr="00037243">
        <w:rPr>
          <w:lang w:eastAsia="ja-JP"/>
        </w:rPr>
        <w:t xml:space="preserve">provided more than one sets of power control parameters for operation in FR1, and the UE receives </w:t>
      </w:r>
      <w:r w:rsidR="0072309D" w:rsidRPr="00037243">
        <w:rPr>
          <w:iCs/>
          <w:lang w:eastAsia="ja-JP"/>
        </w:rPr>
        <w:t xml:space="preserve">an </w:t>
      </w:r>
      <w:r w:rsidR="0072309D" w:rsidRPr="00037243">
        <w:rPr>
          <w:lang w:eastAsia="ja-JP"/>
        </w:rPr>
        <w:t>activation command [</w:t>
      </w:r>
      <w:r w:rsidR="0072309D" w:rsidRPr="00037243">
        <w:rPr>
          <w:rFonts w:eastAsia="MS Mincho"/>
          <w:lang w:eastAsia="ja-JP"/>
        </w:rPr>
        <w:t>11</w:t>
      </w:r>
      <w:r w:rsidR="0072309D" w:rsidRPr="00037243">
        <w:rPr>
          <w:lang w:eastAsia="ja-JP"/>
        </w:rPr>
        <w:t xml:space="preserve">, TS 38.321] indicating one or two of the more than one sets of power control parameters, the UE determines </w:t>
      </w:r>
      <w:r w:rsidR="0072309D" w:rsidRPr="00037243">
        <w:rPr>
          <w:i/>
          <w:lang w:eastAsia="ja-JP"/>
        </w:rPr>
        <w:t>p0-PUCCH-Value</w:t>
      </w:r>
      <w:r w:rsidR="0072309D" w:rsidRPr="00037243">
        <w:rPr>
          <w:lang w:eastAsia="ja-JP"/>
        </w:rPr>
        <w:t xml:space="preserve"> value according to the corresponding one or two sets of power control parameters. The UE applies the activation command in the first slot that is after slot </w:t>
      </w:r>
      <m:oMath>
        <m:r>
          <w:rPr>
            <w:rFonts w:ascii="Cambria Math" w:hAnsi="Cambria Math"/>
            <w:lang w:eastAsia="ja-JP"/>
          </w:rPr>
          <m:t>k+3⋅</m:t>
        </m:r>
        <m:sSubSup>
          <m:sSubSupPr>
            <m:ctrlPr>
              <w:rPr>
                <w:rFonts w:ascii="Cambria Math" w:hAnsi="Cambria Math"/>
                <w:iCs/>
                <w:lang w:eastAsia="ja-JP"/>
              </w:rPr>
            </m:ctrlPr>
          </m:sSubSupPr>
          <m:e>
            <m:r>
              <w:rPr>
                <w:rFonts w:ascii="Cambria Math" w:hAnsi="Cambria Math"/>
                <w:lang w:eastAsia="ja-JP"/>
              </w:rPr>
              <m:t>N</m:t>
            </m:r>
          </m:e>
          <m:sub>
            <m:r>
              <m:rPr>
                <m:sty m:val="p"/>
              </m:rPr>
              <w:rPr>
                <w:rFonts w:ascii="Cambria Math" w:hAnsi="Cambria Math"/>
                <w:lang w:eastAsia="ja-JP"/>
              </w:rPr>
              <m:t>slot</m:t>
            </m:r>
          </m:sub>
          <m:sup>
            <m:r>
              <m:rPr>
                <m:sty m:val="p"/>
              </m:rPr>
              <w:rPr>
                <w:rFonts w:ascii="Cambria Math" w:hAnsi="Cambria Math"/>
                <w:lang w:eastAsia="ja-JP"/>
              </w:rPr>
              <m:t>subframe,</m:t>
            </m:r>
            <m:r>
              <w:rPr>
                <w:rFonts w:ascii="Cambria Math" w:eastAsia="Gulim" w:hAnsi="Cambria Math"/>
                <w:lang w:eastAsia="ko-KR"/>
              </w:rPr>
              <m:t>μ</m:t>
            </m:r>
          </m:sup>
        </m:sSubSup>
      </m:oMath>
      <w:r w:rsidR="0072309D" w:rsidRPr="00037243">
        <w:rPr>
          <w:lang w:eastAsia="ja-JP"/>
        </w:rPr>
        <w:t xml:space="preserve"> where </w:t>
      </w:r>
      <m:oMath>
        <m:r>
          <w:rPr>
            <w:rFonts w:ascii="Cambria Math" w:hAnsi="Cambria Math"/>
            <w:lang w:eastAsia="ja-JP"/>
          </w:rPr>
          <m:t>k</m:t>
        </m:r>
      </m:oMath>
      <w:r w:rsidR="0072309D" w:rsidRPr="00037243">
        <w:rPr>
          <w:lang w:eastAsia="ja-JP"/>
        </w:rPr>
        <w:t xml:space="preserve"> is the slot where the UE would transmit a PUCCH with HARQ-ACK information for the PDSCH providing the activation command and </w:t>
      </w:r>
      <m:oMath>
        <m:r>
          <w:rPr>
            <w:rFonts w:ascii="Cambria Math" w:hAnsi="Cambria Math"/>
            <w:lang w:eastAsia="zh-CN"/>
          </w:rPr>
          <m:t>μ</m:t>
        </m:r>
      </m:oMath>
      <w:r w:rsidR="0072309D" w:rsidRPr="00037243">
        <w:rPr>
          <w:lang w:eastAsia="ja-JP"/>
        </w:rPr>
        <w:t xml:space="preserve"> is the SCS configuration for the PUCCH.</w:t>
      </w:r>
    </w:p>
    <w:p w14:paraId="0EC0C0A9" w14:textId="5F094D02" w:rsidR="00D87673" w:rsidRPr="003038C4" w:rsidRDefault="00D87673" w:rsidP="0009732E">
      <w:pPr>
        <w:pStyle w:val="B2"/>
        <w:rPr>
          <w:lang w:eastAsia="zh-CN"/>
        </w:rPr>
      </w:pPr>
      <w:r>
        <w:rPr>
          <w:lang w:eastAsia="zh-CN"/>
        </w:rPr>
        <w:t>-</w:t>
      </w:r>
      <w:r>
        <w:rPr>
          <w:lang w:eastAsia="zh-CN"/>
        </w:rPr>
        <w:tab/>
      </w:r>
      <w:r w:rsidRPr="003038C4">
        <w:rPr>
          <w:lang w:eastAsia="zh-CN"/>
        </w:rPr>
        <w:t xml:space="preserve">If the UE is not provided </w:t>
      </w:r>
      <w:r w:rsidR="004D7218" w:rsidRPr="003038C4">
        <w:rPr>
          <w:i/>
        </w:rPr>
        <w:t>PUCCH-Spatial</w:t>
      </w:r>
      <w:r w:rsidR="004D7218">
        <w:rPr>
          <w:i/>
          <w:lang w:val="en-US"/>
        </w:rPr>
        <w:t>R</w:t>
      </w:r>
      <w:r w:rsidR="004D7218" w:rsidRPr="003038C4">
        <w:rPr>
          <w:i/>
        </w:rPr>
        <w:t>elation</w:t>
      </w:r>
      <w:r w:rsidR="004D7218">
        <w:rPr>
          <w:i/>
          <w:lang w:val="en-US"/>
        </w:rPr>
        <w:t>I</w:t>
      </w:r>
      <w:r w:rsidR="004D7218" w:rsidRPr="003038C4">
        <w:rPr>
          <w:i/>
        </w:rPr>
        <w:t>nfo</w:t>
      </w:r>
      <w:r w:rsidR="0072309D" w:rsidRPr="00037243">
        <w:rPr>
          <w:rFonts w:eastAsia="Calibri"/>
          <w:lang w:eastAsia="zh-CN"/>
        </w:rPr>
        <w:t xml:space="preserve"> </w:t>
      </w:r>
      <w:r w:rsidR="0072309D" w:rsidRPr="00037243">
        <w:rPr>
          <w:rFonts w:eastAsia="Calibri"/>
          <w:lang w:val="en-US" w:eastAsia="zh-CN"/>
        </w:rPr>
        <w:t xml:space="preserve">and </w:t>
      </w:r>
      <w:r w:rsidR="0072309D" w:rsidRPr="00037243">
        <w:rPr>
          <w:rFonts w:eastAsia="Calibri"/>
          <w:lang w:eastAsia="zh-CN"/>
        </w:rPr>
        <w:t xml:space="preserve">is </w:t>
      </w:r>
      <w:r w:rsidR="0072309D" w:rsidRPr="00037243">
        <w:rPr>
          <w:rFonts w:eastAsia="Calibri"/>
          <w:lang w:val="en-US" w:eastAsia="zh-CN"/>
        </w:rPr>
        <w:t xml:space="preserve">not </w:t>
      </w:r>
      <w:r w:rsidR="0072309D" w:rsidRPr="00037243">
        <w:rPr>
          <w:rFonts w:eastAsia="Calibri"/>
          <w:lang w:eastAsia="ja-JP"/>
        </w:rPr>
        <w:t xml:space="preserve">provided more than one sets of power control parameters </w:t>
      </w:r>
      <w:r w:rsidR="0072309D" w:rsidRPr="00037243">
        <w:rPr>
          <w:rFonts w:eastAsia="Calibri"/>
          <w:lang w:val="en-US" w:eastAsia="ja-JP"/>
        </w:rPr>
        <w:t xml:space="preserve">for operation </w:t>
      </w:r>
      <w:r w:rsidR="0072309D" w:rsidRPr="00037243">
        <w:rPr>
          <w:rFonts w:eastAsia="Calibri"/>
          <w:lang w:eastAsia="ja-JP"/>
        </w:rPr>
        <w:t>in FR1</w:t>
      </w:r>
      <w:r w:rsidRPr="003038C4">
        <w:t xml:space="preserve">, the UE obtains the </w:t>
      </w:r>
      <w:r w:rsidR="004D7218" w:rsidRPr="00674669">
        <w:rPr>
          <w:i/>
        </w:rPr>
        <w:t>p0-PUCCH-Value</w:t>
      </w:r>
      <w:r w:rsidR="004D7218" w:rsidRPr="003038C4">
        <w:t xml:space="preserve"> value from the </w:t>
      </w:r>
      <w:r w:rsidR="004D7218" w:rsidRPr="00B916EC">
        <w:rPr>
          <w:rFonts w:eastAsia="MS Mincho"/>
          <w:i/>
          <w:lang w:val="en-US"/>
        </w:rPr>
        <w:t>P0-PUCCH</w:t>
      </w:r>
      <w:r w:rsidR="004D7218" w:rsidRPr="00490FF3">
        <w:rPr>
          <w:rFonts w:eastAsia="MS Mincho"/>
          <w:lang w:val="en-US"/>
        </w:rPr>
        <w:t xml:space="preserve"> </w:t>
      </w:r>
      <w:r w:rsidR="004D7218">
        <w:rPr>
          <w:rFonts w:eastAsia="MS Mincho"/>
          <w:lang w:val="en-US"/>
        </w:rPr>
        <w:t xml:space="preserve">with </w:t>
      </w:r>
      <w:r w:rsidR="004D7218" w:rsidRPr="00851934">
        <w:rPr>
          <w:i/>
        </w:rPr>
        <w:t>p0-PUCCH-Id</w:t>
      </w:r>
      <w:r w:rsidR="004D7218">
        <w:rPr>
          <w:lang w:val="en-US"/>
        </w:rPr>
        <w:t xml:space="preserve"> </w:t>
      </w:r>
      <w:r w:rsidR="00472E6D">
        <w:rPr>
          <w:rFonts w:eastAsia="MS Mincho"/>
          <w:lang w:val="en-US"/>
        </w:rPr>
        <w:t>value equal to</w:t>
      </w:r>
      <w:r w:rsidR="004D7218">
        <w:rPr>
          <w:rFonts w:eastAsia="MS Mincho"/>
          <w:lang w:val="en-US"/>
        </w:rPr>
        <w:t xml:space="preserve"> </w:t>
      </w:r>
      <w:r w:rsidR="00063DE7">
        <w:rPr>
          <w:rFonts w:eastAsia="MS Mincho"/>
          <w:lang w:val="en-US"/>
        </w:rPr>
        <w:t xml:space="preserve">the minimum </w:t>
      </w:r>
      <w:r w:rsidR="00063DE7">
        <w:rPr>
          <w:rFonts w:eastAsia="MS Mincho"/>
          <w:i/>
          <w:lang w:val="en-US"/>
        </w:rPr>
        <w:t xml:space="preserve">p0-PUCCH-Id </w:t>
      </w:r>
      <w:r w:rsidR="00063DE7">
        <w:rPr>
          <w:rFonts w:eastAsia="MS Mincho"/>
          <w:lang w:val="en-US"/>
        </w:rPr>
        <w:t>value</w:t>
      </w:r>
      <w:r w:rsidR="004D7218" w:rsidRPr="003038C4">
        <w:t xml:space="preserve"> in </w:t>
      </w:r>
      <w:r w:rsidR="004D7218" w:rsidRPr="003038C4">
        <w:rPr>
          <w:i/>
        </w:rPr>
        <w:t>p0-</w:t>
      </w:r>
      <w:r w:rsidR="004D7218">
        <w:rPr>
          <w:i/>
          <w:lang w:val="en-US"/>
        </w:rPr>
        <w:t>S</w:t>
      </w:r>
      <w:r w:rsidR="004D7218" w:rsidRPr="003038C4">
        <w:rPr>
          <w:i/>
        </w:rPr>
        <w:t>et</w:t>
      </w:r>
    </w:p>
    <w:p w14:paraId="188F8F78" w14:textId="77777777" w:rsidR="00B17B60" w:rsidRDefault="007F1FD0" w:rsidP="007F1FD0">
      <w:pPr>
        <w:pStyle w:val="B1"/>
      </w:pPr>
      <w:r w:rsidRPr="00F415B1">
        <w:t>-</w:t>
      </w:r>
      <w:r w:rsidRPr="00F415B1">
        <w:tab/>
      </w:r>
      <m:oMath>
        <m:sSubSup>
          <m:sSubSupPr>
            <m:ctrlPr>
              <w:rPr>
                <w:rFonts w:ascii="Cambria Math" w:hAnsi="Cambria Math"/>
                <w:i/>
              </w:rPr>
            </m:ctrlPr>
          </m:sSubSupPr>
          <m:e>
            <m:r>
              <w:rPr>
                <w:rFonts w:ascii="Cambria Math" w:hAnsi="Cambria Math"/>
              </w:rPr>
              <m:t>M</m:t>
            </m:r>
          </m:e>
          <m:sub>
            <m:r>
              <m:rPr>
                <m:sty m:val="p"/>
              </m:rPr>
              <w:rPr>
                <w:rFonts w:ascii="Cambria Math" w:hAnsi="Cambria Math"/>
              </w:rPr>
              <m:t>RB</m:t>
            </m:r>
            <m:r>
              <w:rPr>
                <w:rFonts w:ascii="Cambria Math" w:hAnsi="Cambria Math"/>
              </w:rPr>
              <m:t>,b,f,c</m:t>
            </m:r>
          </m:sub>
          <m:sup>
            <m:r>
              <m:rPr>
                <m:sty m:val="p"/>
              </m:rPr>
              <w:rPr>
                <w:rFonts w:ascii="Cambria Math" w:hAnsi="Cambria Math"/>
              </w:rPr>
              <m:t>PUCCH</m:t>
            </m:r>
          </m:sup>
        </m:sSubSup>
        <m:r>
          <w:rPr>
            <w:rFonts w:ascii="Cambria Math" w:hAnsi="Cambria Math"/>
          </w:rPr>
          <m:t>(i)</m:t>
        </m:r>
      </m:oMath>
      <w:r w:rsidRPr="00F415B1">
        <w:rPr>
          <w:lang w:val="en-US"/>
        </w:rPr>
        <w:t xml:space="preserve"> </w:t>
      </w:r>
      <w:r w:rsidRPr="00F415B1">
        <w:t xml:space="preserve">is </w:t>
      </w:r>
      <w:r w:rsidRPr="00F415B1">
        <w:rPr>
          <w:lang w:val="en-US"/>
        </w:rPr>
        <w:t>a</w:t>
      </w:r>
      <w:r w:rsidRPr="00F415B1">
        <w:t xml:space="preserve"> bandwidth of the PUCCH resource assignment expressed in number of resource blocks for PUCCH transmission occasion </w:t>
      </w:r>
      <m:oMath>
        <m:r>
          <w:rPr>
            <w:rFonts w:ascii="Cambria Math" w:hAnsi="Cambria Math"/>
          </w:rPr>
          <m:t>i</m:t>
        </m:r>
      </m:oMath>
      <w:r w:rsidRPr="00F415B1">
        <w:rPr>
          <w:i/>
        </w:rPr>
        <w:t xml:space="preserve"> </w:t>
      </w:r>
      <w:r w:rsidRPr="00F415B1">
        <w:t xml:space="preserve">on </w:t>
      </w:r>
      <w:r w:rsidRPr="00F415B1">
        <w:rPr>
          <w:lang w:val="en-US"/>
        </w:rPr>
        <w:t xml:space="preserve">active </w:t>
      </w:r>
      <w:r w:rsidRPr="00F415B1">
        <w:t xml:space="preserve">UL BWP </w:t>
      </w:r>
      <m:oMath>
        <m:r>
          <w:rPr>
            <w:rFonts w:ascii="Cambria Math" w:hAnsi="Cambria Math"/>
          </w:rPr>
          <m:t>b</m:t>
        </m:r>
      </m:oMath>
      <w:r w:rsidRPr="00F415B1">
        <w:rPr>
          <w:iCs/>
        </w:rPr>
        <w:t xml:space="preserve"> </w:t>
      </w:r>
      <w:r w:rsidRPr="00F415B1">
        <w:t xml:space="preserve">of carrier </w:t>
      </w:r>
      <m:oMath>
        <m:r>
          <w:rPr>
            <w:rFonts w:ascii="Cambria Math" w:hAnsi="Cambria Math"/>
          </w:rPr>
          <m:t>f</m:t>
        </m:r>
      </m:oMath>
      <w:r w:rsidRPr="00F415B1">
        <w:rPr>
          <w:iCs/>
        </w:rPr>
        <w:t xml:space="preserve"> of</w:t>
      </w:r>
      <w:r w:rsidRPr="00F415B1">
        <w:t xml:space="preserve"> </w:t>
      </w:r>
      <w:r w:rsidRPr="00F415B1">
        <w:rPr>
          <w:lang w:val="en-US"/>
        </w:rPr>
        <w:t>primary</w:t>
      </w:r>
      <w:r w:rsidRPr="00F415B1">
        <w:t xml:space="preserve"> cell</w:t>
      </w:r>
      <w:r w:rsidRPr="00F415B1">
        <w:rPr>
          <w:i/>
        </w:rPr>
        <w:t xml:space="preserve"> </w:t>
      </w:r>
      <m:oMath>
        <m:r>
          <w:rPr>
            <w:rFonts w:ascii="Cambria Math" w:hAnsi="Cambria Math"/>
          </w:rPr>
          <m:t>c</m:t>
        </m:r>
      </m:oMath>
      <w:r w:rsidRPr="00F415B1">
        <w:t xml:space="preserve"> and </w:t>
      </w:r>
      <m:oMath>
        <m:r>
          <w:rPr>
            <w:rFonts w:ascii="Cambria Math"/>
            <w:lang w:eastAsia="x-none"/>
          </w:rPr>
          <m:t>μ</m:t>
        </m:r>
      </m:oMath>
      <w:r w:rsidRPr="00F415B1">
        <w:t xml:space="preserve"> is </w:t>
      </w:r>
      <w:r w:rsidRPr="00F415B1">
        <w:rPr>
          <w:lang w:val="en-US"/>
        </w:rPr>
        <w:t>a SCS configuration</w:t>
      </w:r>
      <w:r w:rsidRPr="00F415B1">
        <w:t xml:space="preserve"> defined in [4, TS 38.211]</w:t>
      </w:r>
    </w:p>
    <w:p w14:paraId="7C5ACC0A" w14:textId="16C82DBE" w:rsidR="007F1FD0" w:rsidRPr="00F415B1" w:rsidRDefault="007F1FD0" w:rsidP="007F1FD0">
      <w:pPr>
        <w:pStyle w:val="B1"/>
        <w:rPr>
          <w:lang w:val="en-US"/>
        </w:rPr>
      </w:pPr>
      <w:r w:rsidRPr="00F415B1">
        <w:t>-</w:t>
      </w:r>
      <w:r w:rsidRPr="00F415B1">
        <w:tab/>
      </w:r>
      <m:oMath>
        <m:sSub>
          <m:sSubPr>
            <m:ctrlPr>
              <w:rPr>
                <w:rFonts w:ascii="Cambria Math" w:hAnsi="Cambria Math"/>
                <w:i/>
              </w:rPr>
            </m:ctrlPr>
          </m:sSubPr>
          <m:e>
            <m:r>
              <w:rPr>
                <w:rFonts w:ascii="Cambria Math" w:hAnsi="Cambria Math"/>
              </w:rPr>
              <m:t>PL</m:t>
            </m:r>
          </m:e>
          <m:sub>
            <m:r>
              <w:rPr>
                <w:rFonts w:ascii="Cambria Math" w:hAnsi="Cambria Math"/>
              </w:rPr>
              <m:t>b,f,c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oMath>
      <w:r w:rsidRPr="00F415B1">
        <w:rPr>
          <w:rFonts w:eastAsia="MS Mincho"/>
        </w:rPr>
        <w:t xml:space="preserve"> </w:t>
      </w:r>
      <w:r w:rsidRPr="00F415B1">
        <w:t xml:space="preserve">is </w:t>
      </w:r>
      <w:r w:rsidRPr="00F415B1">
        <w:rPr>
          <w:lang w:val="en-US"/>
        </w:rPr>
        <w:t>a</w:t>
      </w:r>
      <w:r w:rsidRPr="00F415B1">
        <w:t xml:space="preserve"> downlink pathloss estimate </w:t>
      </w:r>
      <w:r w:rsidRPr="00F415B1">
        <w:rPr>
          <w:rFonts w:eastAsia="MS Mincho"/>
        </w:rPr>
        <w:t xml:space="preserve">in dB </w:t>
      </w:r>
      <w:r w:rsidRPr="00F415B1">
        <w:t xml:space="preserve">calculated </w:t>
      </w:r>
      <w:r w:rsidRPr="00F415B1">
        <w:rPr>
          <w:lang w:val="en-US"/>
        </w:rPr>
        <w:t>by</w:t>
      </w:r>
      <w:r w:rsidRPr="00F415B1">
        <w:t xml:space="preserve"> the UE</w:t>
      </w:r>
      <w:r w:rsidRPr="00F415B1">
        <w:rPr>
          <w:lang w:val="en-US"/>
        </w:rPr>
        <w:t xml:space="preserve"> using RS resource index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Pr="00F415B1">
        <w:rPr>
          <w:lang w:val="en-US"/>
        </w:rPr>
        <w:t xml:space="preserve"> as described in clause 7.1.1 </w:t>
      </w:r>
      <w:r w:rsidRPr="00F415B1">
        <w:t xml:space="preserve">for </w:t>
      </w:r>
      <w:r w:rsidRPr="00F415B1">
        <w:rPr>
          <w:lang w:val="en-US"/>
        </w:rPr>
        <w:t xml:space="preserve">the active DL BWP </w:t>
      </w:r>
      <m:oMath>
        <m:r>
          <w:rPr>
            <w:rFonts w:ascii="Cambria Math" w:hAnsi="Cambria Math"/>
            <w:lang w:val="en-US"/>
          </w:rPr>
          <m:t>b</m:t>
        </m:r>
      </m:oMath>
      <w:r w:rsidRPr="00F415B1">
        <w:rPr>
          <w:iCs/>
          <w:lang w:val="en-US"/>
        </w:rPr>
        <w:t xml:space="preserve"> </w:t>
      </w:r>
      <w:r w:rsidRPr="00F415B1">
        <w:rPr>
          <w:lang w:val="en-US"/>
        </w:rPr>
        <w:t>of</w:t>
      </w:r>
      <w:r w:rsidRPr="00F415B1">
        <w:t xml:space="preserve"> </w:t>
      </w:r>
      <w:r w:rsidRPr="00F415B1">
        <w:rPr>
          <w:lang w:val="en-US"/>
        </w:rPr>
        <w:t xml:space="preserve">carrier </w:t>
      </w:r>
      <m:oMath>
        <m:r>
          <w:rPr>
            <w:rFonts w:ascii="Cambria Math" w:hAnsi="Cambria Math"/>
            <w:lang w:val="en-US"/>
          </w:rPr>
          <m:t>f</m:t>
        </m:r>
      </m:oMath>
      <w:r w:rsidRPr="00F415B1">
        <w:rPr>
          <w:iCs/>
          <w:lang w:val="en-US"/>
        </w:rPr>
        <w:t xml:space="preserve"> </w:t>
      </w:r>
      <w:r w:rsidRPr="00F415B1">
        <w:rPr>
          <w:lang w:val="en-US"/>
        </w:rPr>
        <w:t>of</w:t>
      </w:r>
      <w:r w:rsidRPr="00F415B1">
        <w:t xml:space="preserve"> the primary cell </w:t>
      </w:r>
      <m:oMath>
        <m:r>
          <w:rPr>
            <w:rFonts w:ascii="Cambria Math" w:hAnsi="Cambria Math"/>
          </w:rPr>
          <m:t>c</m:t>
        </m:r>
      </m:oMath>
      <w:r w:rsidRPr="00F415B1">
        <w:rPr>
          <w:lang w:val="en-US"/>
        </w:rPr>
        <w:t xml:space="preserve"> as described in clause 12</w:t>
      </w:r>
    </w:p>
    <w:p w14:paraId="425289B4" w14:textId="2FAE9E7E" w:rsidR="007F1FD0" w:rsidRPr="00F415B1" w:rsidRDefault="007F1FD0" w:rsidP="007F1FD0">
      <w:pPr>
        <w:pStyle w:val="B2"/>
      </w:pPr>
      <w:r w:rsidRPr="00F415B1">
        <w:t>-</w:t>
      </w:r>
      <w:r w:rsidRPr="00F415B1">
        <w:tab/>
        <w:t xml:space="preserve">If the UE is not provided </w:t>
      </w:r>
      <w:r w:rsidRPr="00F415B1">
        <w:rPr>
          <w:i/>
        </w:rPr>
        <w:t>pathlossReferenceRSs</w:t>
      </w:r>
      <w:r w:rsidRPr="00F415B1">
        <w:rPr>
          <w:rFonts w:eastAsia="MS Mincho"/>
        </w:rPr>
        <w:t xml:space="preserve"> </w:t>
      </w:r>
      <w:r w:rsidR="004727FD">
        <w:rPr>
          <w:rFonts w:eastAsia="MS Mincho"/>
        </w:rPr>
        <w:t xml:space="preserve">and </w:t>
      </w:r>
      <w:r w:rsidR="004727FD" w:rsidRPr="00A3396D">
        <w:rPr>
          <w:i/>
          <w:lang w:val="en-US"/>
        </w:rPr>
        <w:t>enableDefaultBeamP</w:t>
      </w:r>
      <w:r w:rsidR="004727FD">
        <w:rPr>
          <w:i/>
          <w:lang w:val="en-US"/>
        </w:rPr>
        <w:t>L-</w:t>
      </w:r>
      <w:r w:rsidR="004727FD" w:rsidRPr="00A3396D">
        <w:rPr>
          <w:i/>
          <w:lang w:val="en-US"/>
        </w:rPr>
        <w:t>ForPUCCH</w:t>
      </w:r>
      <w:r w:rsidR="004727FD" w:rsidRPr="00B916EC">
        <w:rPr>
          <w:iCs/>
        </w:rPr>
        <w:t>,</w:t>
      </w:r>
      <w:r w:rsidR="004727FD">
        <w:rPr>
          <w:rFonts w:eastAsia="MS Mincho"/>
          <w:lang w:val="en-US"/>
        </w:rPr>
        <w:t xml:space="preserve"> </w:t>
      </w:r>
      <w:r w:rsidRPr="00F415B1">
        <w:rPr>
          <w:rFonts w:eastAsia="MS Mincho"/>
          <w:lang w:val="en-US"/>
        </w:rPr>
        <w:t>or</w:t>
      </w:r>
      <w:r w:rsidRPr="00F415B1">
        <w:rPr>
          <w:rFonts w:eastAsia="MS Mincho"/>
        </w:rPr>
        <w:t xml:space="preserve"> before the UE is provided dedicated higher layer parameters</w:t>
      </w:r>
      <w:r w:rsidRPr="00F415B1">
        <w:rPr>
          <w:iCs/>
        </w:rPr>
        <w:t xml:space="preserve">, the UE calculates </w:t>
      </w:r>
      <m:oMath>
        <m:sSub>
          <m:sSubPr>
            <m:ctrlPr>
              <w:rPr>
                <w:rFonts w:ascii="Cambria Math" w:hAnsi="Cambria Math"/>
                <w:i/>
              </w:rPr>
            </m:ctrlPr>
          </m:sSubPr>
          <m:e>
            <m:r>
              <w:rPr>
                <w:rFonts w:ascii="Cambria Math" w:hAnsi="Cambria Math"/>
              </w:rPr>
              <m:t>PL</m:t>
            </m:r>
          </m:e>
          <m:sub>
            <m:r>
              <w:rPr>
                <w:rFonts w:ascii="Cambria Math" w:hAnsi="Cambria Math"/>
              </w:rPr>
              <m:t>b,f,c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oMath>
      <w:r w:rsidRPr="00F415B1">
        <w:t xml:space="preserve"> using </w:t>
      </w:r>
      <w:r w:rsidRPr="00F415B1">
        <w:rPr>
          <w:iCs/>
        </w:rPr>
        <w:t xml:space="preserve">a RS resource obtained from </w:t>
      </w:r>
      <w:r w:rsidRPr="00F415B1">
        <w:rPr>
          <w:iCs/>
          <w:lang w:val="en-US"/>
        </w:rPr>
        <w:t>an</w:t>
      </w:r>
      <w:r w:rsidRPr="00F415B1">
        <w:rPr>
          <w:iCs/>
        </w:rPr>
        <w:t xml:space="preserve"> SS/PBCH block </w:t>
      </w:r>
      <w:r w:rsidRPr="00F415B1">
        <w:rPr>
          <w:rFonts w:eastAsia="MS Mincho"/>
        </w:rPr>
        <w:t>with same SS/PBCH block index as the one</w:t>
      </w:r>
      <w:r w:rsidRPr="00F415B1">
        <w:rPr>
          <w:iCs/>
        </w:rPr>
        <w:t xml:space="preserve"> the UE </w:t>
      </w:r>
      <w:r w:rsidRPr="00F415B1">
        <w:rPr>
          <w:iCs/>
          <w:lang w:val="en-US"/>
        </w:rPr>
        <w:t xml:space="preserve">uses to </w:t>
      </w:r>
      <w:r w:rsidRPr="00F415B1">
        <w:rPr>
          <w:iCs/>
        </w:rPr>
        <w:t xml:space="preserve">obtain </w:t>
      </w:r>
      <w:r w:rsidRPr="00F415B1">
        <w:rPr>
          <w:i/>
          <w:lang w:val="en-US"/>
        </w:rPr>
        <w:t>MIB</w:t>
      </w:r>
      <w:r w:rsidR="002A0AA2" w:rsidRPr="00B54C25">
        <w:rPr>
          <w:iCs/>
          <w:lang w:val="en-US"/>
        </w:rPr>
        <w:t>, or using the SS/PBCH block the UE acquired the time and frequency synchronization for a secondary cell.</w:t>
      </w:r>
    </w:p>
    <w:p w14:paraId="737991C8" w14:textId="77777777" w:rsidR="007F1FD0" w:rsidRPr="00F415B1" w:rsidRDefault="007F1FD0" w:rsidP="007F1FD0">
      <w:pPr>
        <w:pStyle w:val="B2"/>
        <w:rPr>
          <w:rFonts w:eastAsia="MS Mincho"/>
        </w:rPr>
      </w:pPr>
      <w:r w:rsidRPr="00F415B1">
        <w:t>-</w:t>
      </w:r>
      <w:r w:rsidRPr="00F415B1">
        <w:tab/>
        <w:t xml:space="preserve">If the UE is provided a number of RS resource indexes, the UE calculates </w:t>
      </w:r>
      <m:oMath>
        <m:sSub>
          <m:sSubPr>
            <m:ctrlPr>
              <w:rPr>
                <w:rFonts w:ascii="Cambria Math" w:hAnsi="Cambria Math"/>
                <w:i/>
              </w:rPr>
            </m:ctrlPr>
          </m:sSubPr>
          <m:e>
            <m:r>
              <w:rPr>
                <w:rFonts w:ascii="Cambria Math" w:hAnsi="Cambria Math"/>
              </w:rPr>
              <m:t>PL</m:t>
            </m:r>
          </m:e>
          <m:sub>
            <m:r>
              <w:rPr>
                <w:rFonts w:ascii="Cambria Math" w:hAnsi="Cambria Math"/>
              </w:rPr>
              <m:t>b,f,c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oMath>
      <w:r w:rsidRPr="00F415B1">
        <w:t xml:space="preserve"> using RS resource</w:t>
      </w:r>
      <w:r w:rsidRPr="00F415B1">
        <w:rPr>
          <w:lang w:val="en-US"/>
        </w:rPr>
        <w:t xml:space="preserve"> with index</w:t>
      </w:r>
      <w:r w:rsidRPr="00F415B1">
        <w:t xml:space="preserv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Pr="00F415B1">
        <w:t xml:space="preserve">, where </w:t>
      </w:r>
      <m:oMath>
        <m:r>
          <w:rPr>
            <w:rFonts w:ascii="Cambria Math" w:hAnsi="Cambria Math"/>
            <w:lang w:val="en-US"/>
          </w:rPr>
          <m:t>0≤</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d</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d</m:t>
            </m:r>
          </m:sub>
        </m:sSub>
      </m:oMath>
      <w:r w:rsidRPr="00F415B1">
        <w:t xml:space="preserve">.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d</m:t>
            </m:r>
          </m:sub>
        </m:sSub>
      </m:oMath>
      <w:r w:rsidRPr="00F415B1">
        <w:t xml:space="preserve"> is a size for a set of RS resources provided by </w:t>
      </w:r>
      <w:r w:rsidRPr="00F415B1">
        <w:rPr>
          <w:i/>
        </w:rPr>
        <w:t>maxNrofPUCCH-PathlossReferenceRSs</w:t>
      </w:r>
      <w:r w:rsidRPr="00F415B1">
        <w:t xml:space="preserve">. The set of RS resources is provided by </w:t>
      </w:r>
      <w:r w:rsidRPr="00F415B1">
        <w:rPr>
          <w:i/>
        </w:rPr>
        <w:t>pathlossReferenceRSs</w:t>
      </w:r>
      <w:r w:rsidRPr="00F415B1">
        <w:t xml:space="preserve">. The set of RS resources can include </w:t>
      </w:r>
      <w:r w:rsidRPr="00F415B1">
        <w:rPr>
          <w:rFonts w:eastAsia="MS Mincho"/>
        </w:rPr>
        <w:t xml:space="preserve">one or both of a set of SS/PBCH block indexes, each provided by </w:t>
      </w:r>
      <w:r w:rsidRPr="00F415B1">
        <w:rPr>
          <w:i/>
        </w:rPr>
        <w:t>ssb-Index</w:t>
      </w:r>
      <w:r w:rsidRPr="00F415B1">
        <w:rPr>
          <w:rFonts w:eastAsia="MS Mincho"/>
        </w:rPr>
        <w:t xml:space="preserve"> in </w:t>
      </w:r>
      <w:r w:rsidRPr="00F415B1">
        <w:rPr>
          <w:i/>
        </w:rPr>
        <w:t>PUCCH-PathlossReferenceRS</w:t>
      </w:r>
      <w:r w:rsidRPr="00F415B1">
        <w:rPr>
          <w:rFonts w:eastAsia="MS Mincho"/>
        </w:rPr>
        <w:t xml:space="preserve"> when a value of a corresponding </w:t>
      </w:r>
      <w:r w:rsidRPr="00F415B1">
        <w:rPr>
          <w:i/>
        </w:rPr>
        <w:t>pucch-PathlossReferenceRS-Id</w:t>
      </w:r>
      <w:r w:rsidRPr="00F415B1">
        <w:rPr>
          <w:rFonts w:eastAsia="MS Mincho"/>
        </w:rPr>
        <w:t xml:space="preserve"> maps to a SS/PBCH block index, and a set of CSI-RS resource indexes, each provided by </w:t>
      </w:r>
      <w:r w:rsidRPr="00F415B1">
        <w:rPr>
          <w:i/>
        </w:rPr>
        <w:t>csi-RS-Index</w:t>
      </w:r>
      <w:r w:rsidRPr="00F415B1">
        <w:rPr>
          <w:rFonts w:eastAsia="MS Mincho"/>
        </w:rPr>
        <w:t xml:space="preserve"> when a value of a corresponding </w:t>
      </w:r>
      <w:r w:rsidRPr="00F415B1">
        <w:rPr>
          <w:i/>
        </w:rPr>
        <w:t>pucch-PathlossReferenceRS-Id</w:t>
      </w:r>
      <w:r w:rsidRPr="00F415B1">
        <w:rPr>
          <w:rFonts w:eastAsia="MS Mincho"/>
        </w:rPr>
        <w:t xml:space="preserve"> maps to a CSI-RS resource index. The UE identifies a RS resource in the set of RS resources to correspond either to a SS/PBCH block index or to a CSI-RS resource index as provided by </w:t>
      </w:r>
      <w:r w:rsidRPr="00F415B1">
        <w:rPr>
          <w:i/>
        </w:rPr>
        <w:t>pucch-PathlossReferenceRS-Id</w:t>
      </w:r>
      <w:r w:rsidRPr="00F415B1">
        <w:rPr>
          <w:rFonts w:eastAsia="MS Mincho"/>
          <w:i/>
        </w:rPr>
        <w:t xml:space="preserve"> </w:t>
      </w:r>
      <w:r w:rsidRPr="00F415B1">
        <w:t xml:space="preserve">in </w:t>
      </w:r>
      <w:r w:rsidRPr="00F415B1">
        <w:rPr>
          <w:i/>
        </w:rPr>
        <w:t>PUCCH-PathlossReferenceRS</w:t>
      </w:r>
    </w:p>
    <w:p w14:paraId="0147C5F7" w14:textId="0F68B566" w:rsidR="00C31956" w:rsidRPr="00557603" w:rsidRDefault="00C31956" w:rsidP="00C31956">
      <w:pPr>
        <w:pStyle w:val="B2"/>
        <w:rPr>
          <w:lang w:val="en-US"/>
        </w:rPr>
      </w:pPr>
      <w:r>
        <w:rPr>
          <w:lang w:eastAsia="zh-CN"/>
        </w:rPr>
        <w:t>-</w:t>
      </w:r>
      <w:r>
        <w:rPr>
          <w:lang w:eastAsia="zh-CN"/>
        </w:rPr>
        <w:tab/>
      </w:r>
      <w:r w:rsidRPr="004341ED">
        <w:rPr>
          <w:lang w:eastAsia="zh-CN"/>
        </w:rPr>
        <w:t>If the UE is provided</w:t>
      </w:r>
      <w:r w:rsidR="00F27BF1">
        <w:rPr>
          <w:lang w:val="en-US" w:eastAsia="zh-CN"/>
        </w:rPr>
        <w:t xml:space="preserve"> </w:t>
      </w:r>
      <w:r w:rsidR="00F27BF1" w:rsidRPr="00D268AA">
        <w:rPr>
          <w:i/>
        </w:rPr>
        <w:t>pathlossReferenceRSs</w:t>
      </w:r>
      <w:r w:rsidR="00F27BF1" w:rsidRPr="00316343">
        <w:t xml:space="preserve"> </w:t>
      </w:r>
      <w:r w:rsidR="00F27BF1" w:rsidRPr="00316343">
        <w:rPr>
          <w:lang w:val="en-US"/>
        </w:rPr>
        <w:t>and</w:t>
      </w:r>
      <w:r w:rsidRPr="00F27BF1">
        <w:rPr>
          <w:lang w:eastAsia="zh-CN"/>
        </w:rPr>
        <w:t xml:space="preserve"> </w:t>
      </w:r>
      <w:r w:rsidRPr="004341ED">
        <w:rPr>
          <w:i/>
        </w:rPr>
        <w:t>PUCCH-SpatialRelationInfo</w:t>
      </w:r>
      <w:r w:rsidRPr="004341ED">
        <w:t xml:space="preserve">, the UE obtains a mapping, by indexes provided by corresponding </w:t>
      </w:r>
      <w:r w:rsidR="002F6D9A">
        <w:rPr>
          <w:lang w:val="en-US"/>
        </w:rPr>
        <w:t>values of</w:t>
      </w:r>
      <w:r w:rsidRPr="004341ED">
        <w:t xml:space="preserve"> </w:t>
      </w:r>
      <w:r w:rsidRPr="004341ED">
        <w:rPr>
          <w:i/>
          <w:iCs/>
        </w:rPr>
        <w:t>pucch-PathlossReferenceRS-Id</w:t>
      </w:r>
      <w:r w:rsidRPr="004341ED">
        <w:t xml:space="preserve">, between a set of </w:t>
      </w:r>
      <w:r w:rsidRPr="004341ED">
        <w:rPr>
          <w:i/>
        </w:rPr>
        <w:t>pucch-SpatialRelationInfoId</w:t>
      </w:r>
      <w:r w:rsidRPr="004341ED">
        <w:t xml:space="preserve"> values and a set of </w:t>
      </w:r>
      <w:r w:rsidR="00C25648" w:rsidRPr="004341ED">
        <w:rPr>
          <w:i/>
        </w:rPr>
        <w:t>reference</w:t>
      </w:r>
      <w:r w:rsidR="00C25648">
        <w:rPr>
          <w:i/>
          <w:lang w:val="en-US"/>
        </w:rPr>
        <w:t>S</w:t>
      </w:r>
      <w:r w:rsidR="00C25648" w:rsidRPr="004341ED">
        <w:rPr>
          <w:i/>
        </w:rPr>
        <w:t>ignal</w:t>
      </w:r>
      <w:r w:rsidR="00C25648" w:rsidRPr="004341ED">
        <w:t xml:space="preserve"> </w:t>
      </w:r>
      <w:r w:rsidRPr="004341ED">
        <w:t xml:space="preserve">values provided by </w:t>
      </w:r>
      <w:r w:rsidRPr="004341ED">
        <w:rPr>
          <w:i/>
        </w:rPr>
        <w:t>PUCCH-PathlossReferenceRS</w:t>
      </w:r>
      <w:r w:rsidRPr="004341ED">
        <w:t xml:space="preserve">. If the UE is provided more than one values for </w:t>
      </w:r>
      <w:r w:rsidRPr="004341ED">
        <w:rPr>
          <w:i/>
          <w:iCs/>
        </w:rPr>
        <w:t>pucch-SpatialRelationInfoId</w:t>
      </w:r>
      <w:r w:rsidRPr="004341ED">
        <w:t xml:space="preserve"> and the UE receives </w:t>
      </w:r>
      <w:r w:rsidRPr="004341ED">
        <w:rPr>
          <w:iCs/>
        </w:rPr>
        <w:t xml:space="preserve">an </w:t>
      </w:r>
      <w:r w:rsidRPr="004341ED">
        <w:t>activation command [</w:t>
      </w:r>
      <w:r w:rsidRPr="004341ED">
        <w:rPr>
          <w:rFonts w:eastAsia="MS Mincho"/>
          <w:lang w:eastAsia="ja-JP"/>
        </w:rPr>
        <w:t>11</w:t>
      </w:r>
      <w:r w:rsidRPr="004341ED">
        <w:t xml:space="preserve">, TS 38.321] indicating a value of </w:t>
      </w:r>
      <w:r w:rsidRPr="004341ED">
        <w:rPr>
          <w:i/>
        </w:rPr>
        <w:t>pucch-SpatialRelationInfoId</w:t>
      </w:r>
      <w:r w:rsidRPr="004341ED">
        <w:t xml:space="preserve">, the UE determines the </w:t>
      </w:r>
      <w:r w:rsidR="00542CF6" w:rsidRPr="004341ED">
        <w:rPr>
          <w:i/>
        </w:rPr>
        <w:t>reference</w:t>
      </w:r>
      <w:r w:rsidR="00542CF6">
        <w:rPr>
          <w:i/>
          <w:lang w:val="en-US"/>
        </w:rPr>
        <w:t>S</w:t>
      </w:r>
      <w:r w:rsidR="00542CF6" w:rsidRPr="004341ED">
        <w:rPr>
          <w:i/>
        </w:rPr>
        <w:t>ignal</w:t>
      </w:r>
      <w:r w:rsidR="00542CF6" w:rsidRPr="004341ED">
        <w:t xml:space="preserve"> </w:t>
      </w:r>
      <w:r w:rsidRPr="004341ED">
        <w:t xml:space="preserve">value in </w:t>
      </w:r>
      <w:r w:rsidRPr="004341ED">
        <w:rPr>
          <w:i/>
        </w:rPr>
        <w:t>PUCCH-PathlossReferenceRS</w:t>
      </w:r>
      <w:r w:rsidRPr="004341ED">
        <w:t xml:space="preserve"> through the link to a corresponding </w:t>
      </w:r>
      <w:r w:rsidRPr="004341ED">
        <w:rPr>
          <w:i/>
          <w:iCs/>
        </w:rPr>
        <w:t>pucch-PathlossReferenceRS-Id</w:t>
      </w:r>
      <w:r w:rsidRPr="004341ED">
        <w:t xml:space="preserve"> index. </w:t>
      </w:r>
      <w:r>
        <w:t xml:space="preserve">The UE applies the activation command </w:t>
      </w:r>
      <w:r w:rsidR="001F4042">
        <w:rPr>
          <w:lang w:val="en-US"/>
        </w:rPr>
        <w:t>in</w:t>
      </w:r>
      <w:r w:rsidR="001F4042">
        <w:t xml:space="preserve"> the first slot that is after slot </w:t>
      </w:r>
      <m:oMath>
        <m:r>
          <w:rPr>
            <w:rFonts w:ascii="Cambria Math" w:hAnsi="Cambria Math"/>
          </w:rPr>
          <m:t>k+</m:t>
        </m:r>
        <m:r>
          <w:rPr>
            <w:rFonts w:ascii="Cambria Math" w:hAnsi="Cambria Math"/>
          </w:rPr>
          <w:lastRenderedPageBreak/>
          <m:t>3</m:t>
        </m:r>
        <m:r>
          <w:rPr>
            <w:rFonts w:ascii="Cambria Math" w:hAnsi="Cambria Math" w:cs="Cambria Math"/>
          </w:rPr>
          <m:t>⋅</m:t>
        </m:r>
        <m:sSubSup>
          <m:sSubSupPr>
            <m:ctrlPr>
              <w:rPr>
                <w:rFonts w:ascii="Cambria Math" w:hAnsi="Cambria Math"/>
                <w:iCs/>
              </w:rPr>
            </m:ctrlPr>
          </m:sSubSupPr>
          <m:e>
            <m:r>
              <w:rPr>
                <w:rFonts w:ascii="Cambria Math" w:hAnsi="Cambria Math"/>
              </w:rPr>
              <m:t>N</m:t>
            </m:r>
          </m:e>
          <m:sub>
            <m:r>
              <m:rPr>
                <m:sty m:val="p"/>
              </m:rPr>
              <w:rPr>
                <w:rFonts w:ascii="Cambria Math" w:hAnsi="Cambria Math"/>
              </w:rPr>
              <m:t>slot</m:t>
            </m:r>
          </m:sub>
          <m:sup>
            <m:r>
              <m:rPr>
                <m:sty m:val="p"/>
              </m:rPr>
              <w:rPr>
                <w:rFonts w:ascii="Cambria Math" w:hAnsi="Cambria Math"/>
              </w:rPr>
              <m:t>subframe,</m:t>
            </m:r>
            <m:r>
              <w:rPr>
                <w:rFonts w:ascii="Cambria Math" w:eastAsia="Gulim" w:hAnsi="Cambria Math"/>
                <w:lang w:eastAsia="ko-KR"/>
              </w:rPr>
              <m:t>μ</m:t>
            </m:r>
          </m:sup>
        </m:sSubSup>
      </m:oMath>
      <w:r w:rsidR="001F4042">
        <w:t xml:space="preserve"> where </w:t>
      </w:r>
      <m:oMath>
        <m:r>
          <w:rPr>
            <w:rFonts w:ascii="Cambria Math" w:hAnsi="Cambria Math"/>
          </w:rPr>
          <m:t>k</m:t>
        </m:r>
      </m:oMath>
      <w:r w:rsidR="001F4042">
        <w:rPr>
          <w:lang w:val="en-US"/>
        </w:rPr>
        <w:t xml:space="preserve"> is the slot</w:t>
      </w:r>
      <w:r>
        <w:t xml:space="preserve"> where the UE </w:t>
      </w:r>
      <w:r w:rsidR="00542CF6">
        <w:rPr>
          <w:lang w:val="en-US"/>
        </w:rPr>
        <w:t xml:space="preserve">would </w:t>
      </w:r>
      <w:r>
        <w:t xml:space="preserve">transmit </w:t>
      </w:r>
      <w:r w:rsidR="001F4042">
        <w:rPr>
          <w:lang w:val="en-US"/>
        </w:rPr>
        <w:t xml:space="preserve">a PUCCH with </w:t>
      </w:r>
      <w:r>
        <w:t>HARQ-ACK information for the PDSCH providing the activation command</w:t>
      </w:r>
      <w:r w:rsidR="001F4042">
        <w:rPr>
          <w:lang w:val="en-US"/>
        </w:rPr>
        <w:t xml:space="preserve"> and </w:t>
      </w:r>
      <m:oMath>
        <m:r>
          <w:rPr>
            <w:rFonts w:ascii="Cambria Math"/>
            <w:lang w:eastAsia="x-none"/>
          </w:rPr>
          <m:t>μ</m:t>
        </m:r>
      </m:oMath>
      <w:r w:rsidR="001F4042" w:rsidRPr="0014499E">
        <w:t xml:space="preserve"> </w:t>
      </w:r>
      <w:r w:rsidR="001F4042">
        <w:t xml:space="preserve">is the SCS configuration for </w:t>
      </w:r>
      <w:r w:rsidR="001F4042">
        <w:rPr>
          <w:lang w:val="en-US"/>
        </w:rPr>
        <w:t xml:space="preserve">the </w:t>
      </w:r>
      <w:r w:rsidR="001F4042">
        <w:t>PUCCH</w:t>
      </w:r>
      <w:r w:rsidR="001F4042">
        <w:rPr>
          <w:lang w:val="en-US"/>
        </w:rPr>
        <w:t xml:space="preserve"> </w:t>
      </w:r>
    </w:p>
    <w:p w14:paraId="734129E4" w14:textId="77777777" w:rsidR="0072309D" w:rsidRPr="00037243" w:rsidRDefault="00C31956" w:rsidP="0072309D">
      <w:pPr>
        <w:pStyle w:val="B2"/>
      </w:pPr>
      <w:r>
        <w:rPr>
          <w:lang w:eastAsia="zh-CN"/>
        </w:rPr>
        <w:t>-</w:t>
      </w:r>
      <w:r>
        <w:rPr>
          <w:lang w:eastAsia="zh-CN"/>
        </w:rPr>
        <w:tab/>
      </w:r>
      <w:r w:rsidRPr="00AB6A62">
        <w:rPr>
          <w:lang w:eastAsia="zh-CN"/>
        </w:rPr>
        <w:t>If</w:t>
      </w:r>
      <w:r>
        <w:rPr>
          <w:lang w:eastAsia="zh-CN"/>
        </w:rPr>
        <w:t xml:space="preserve"> </w:t>
      </w:r>
      <w:r w:rsidR="00472E6D" w:rsidRPr="005258A3">
        <w:rPr>
          <w:i/>
          <w:iCs/>
        </w:rPr>
        <w:t>PUCCH-SpatialRelationInfo</w:t>
      </w:r>
      <w:r w:rsidRPr="00AB6A62">
        <w:rPr>
          <w:lang w:eastAsia="zh-CN"/>
        </w:rPr>
        <w:t xml:space="preserve"> </w:t>
      </w:r>
      <w:r>
        <w:rPr>
          <w:lang w:eastAsia="zh-CN"/>
        </w:rPr>
        <w:t xml:space="preserve">includes </w:t>
      </w:r>
      <w:r w:rsidR="00472E6D" w:rsidRPr="002F7C95">
        <w:rPr>
          <w:i/>
          <w:iCs/>
        </w:rPr>
        <w:t>servingCellId</w:t>
      </w:r>
      <w:r w:rsidR="00472E6D" w:rsidRPr="005258A3">
        <w:rPr>
          <w:lang w:eastAsia="zh-CN"/>
        </w:rPr>
        <w:t xml:space="preserve"> indicating a serving cell</w:t>
      </w:r>
      <w:r>
        <w:rPr>
          <w:lang w:eastAsia="zh-CN"/>
        </w:rPr>
        <w:t xml:space="preserve">, the UE receives the </w:t>
      </w:r>
      <w:r w:rsidRPr="002C39E5">
        <w:t xml:space="preserve">RS </w:t>
      </w:r>
      <w:r w:rsidR="00472E6D" w:rsidRPr="005258A3">
        <w:t>for resource</w:t>
      </w:r>
      <w:r w:rsidRPr="002C39E5">
        <w:t xml:space="preserve"> index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Pr="002C39E5">
        <w:rPr>
          <w:lang w:eastAsia="zh-CN"/>
        </w:rPr>
        <w:t xml:space="preserve"> on the </w:t>
      </w:r>
      <w:r w:rsidR="00472E6D">
        <w:rPr>
          <w:lang w:eastAsia="zh-CN"/>
        </w:rPr>
        <w:t xml:space="preserve">active </w:t>
      </w:r>
      <w:r w:rsidRPr="002C39E5">
        <w:rPr>
          <w:lang w:eastAsia="zh-CN"/>
        </w:rPr>
        <w:t xml:space="preserve">DL BWP </w:t>
      </w:r>
      <w:r w:rsidRPr="002C39E5">
        <w:t>of the serving cell</w:t>
      </w:r>
    </w:p>
    <w:p w14:paraId="39824F2D" w14:textId="25F0F32F" w:rsidR="00C31956" w:rsidRDefault="0072309D" w:rsidP="0072309D">
      <w:pPr>
        <w:pStyle w:val="B2"/>
      </w:pPr>
      <w:r w:rsidRPr="00037243">
        <w:rPr>
          <w:lang w:eastAsia="zh-CN"/>
        </w:rPr>
        <w:t>-</w:t>
      </w:r>
      <w:r w:rsidRPr="00037243">
        <w:rPr>
          <w:lang w:eastAsia="zh-CN"/>
        </w:rPr>
        <w:tab/>
        <w:t xml:space="preserve">If </w:t>
      </w:r>
      <w:r w:rsidRPr="00037243">
        <w:rPr>
          <w:rFonts w:eastAsia="Calibri"/>
          <w:lang w:eastAsia="zh-CN"/>
        </w:rPr>
        <w:t xml:space="preserve">the UE is </w:t>
      </w:r>
      <w:r w:rsidRPr="00037243">
        <w:rPr>
          <w:rFonts w:eastAsia="Calibri"/>
          <w:lang w:eastAsia="ja-JP"/>
        </w:rPr>
        <w:t xml:space="preserve">provided </w:t>
      </w:r>
      <w:r w:rsidRPr="00037243">
        <w:rPr>
          <w:rFonts w:eastAsia="Calibri"/>
          <w:i/>
          <w:lang w:eastAsia="ja-JP"/>
        </w:rPr>
        <w:t>pathlossReferenceRSs</w:t>
      </w:r>
      <w:r w:rsidRPr="00037243">
        <w:rPr>
          <w:rFonts w:eastAsia="Calibri"/>
          <w:lang w:eastAsia="zh-CN"/>
        </w:rPr>
        <w:t xml:space="preserve"> and </w:t>
      </w:r>
      <w:r w:rsidRPr="00037243">
        <w:rPr>
          <w:rFonts w:eastAsia="Calibri"/>
          <w:lang w:val="en-US" w:eastAsia="ja-JP"/>
        </w:rPr>
        <w:t>more than one</w:t>
      </w:r>
      <w:r w:rsidRPr="00037243">
        <w:rPr>
          <w:rFonts w:eastAsia="Calibri"/>
          <w:lang w:eastAsia="ja-JP"/>
        </w:rPr>
        <w:t xml:space="preserve"> sets of power control parameters</w:t>
      </w:r>
      <w:r w:rsidRPr="00037243">
        <w:rPr>
          <w:rFonts w:eastAsia="Calibri"/>
          <w:lang w:eastAsia="zh-CN"/>
        </w:rPr>
        <w:t xml:space="preserve"> </w:t>
      </w:r>
      <w:r w:rsidRPr="00037243">
        <w:rPr>
          <w:rFonts w:eastAsia="Calibri"/>
          <w:lang w:val="en-US" w:eastAsia="zh-CN"/>
        </w:rPr>
        <w:t>for operation in</w:t>
      </w:r>
      <w:r w:rsidRPr="00037243">
        <w:rPr>
          <w:rFonts w:eastAsia="Calibri"/>
          <w:lang w:eastAsia="zh-CN"/>
        </w:rPr>
        <w:t xml:space="preserve"> FR1</w:t>
      </w:r>
      <w:r w:rsidRPr="00037243">
        <w:rPr>
          <w:rFonts w:eastAsia="Calibri"/>
          <w:lang w:eastAsia="ja-JP"/>
        </w:rPr>
        <w:t xml:space="preserve">, and the UE receives </w:t>
      </w:r>
      <w:r w:rsidRPr="00037243">
        <w:rPr>
          <w:rFonts w:eastAsia="Calibri"/>
          <w:iCs/>
          <w:lang w:eastAsia="ja-JP"/>
        </w:rPr>
        <w:t xml:space="preserve">an </w:t>
      </w:r>
      <w:r w:rsidRPr="00037243">
        <w:rPr>
          <w:rFonts w:eastAsia="Calibri"/>
          <w:lang w:eastAsia="ja-JP"/>
        </w:rPr>
        <w:t>activation command [</w:t>
      </w:r>
      <w:r w:rsidRPr="00037243">
        <w:rPr>
          <w:rFonts w:eastAsia="MS Mincho"/>
          <w:lang w:eastAsia="ja-JP"/>
        </w:rPr>
        <w:t>11</w:t>
      </w:r>
      <w:r w:rsidRPr="00037243">
        <w:rPr>
          <w:rFonts w:eastAsia="Calibri"/>
          <w:lang w:eastAsia="ja-JP"/>
        </w:rPr>
        <w:t xml:space="preserve">, TS 38.321] indicating one or two of the </w:t>
      </w:r>
      <w:r w:rsidRPr="00037243">
        <w:rPr>
          <w:rFonts w:eastAsia="Calibri"/>
          <w:lang w:val="en-US" w:eastAsia="ja-JP"/>
        </w:rPr>
        <w:t>more than one</w:t>
      </w:r>
      <w:r w:rsidRPr="00037243">
        <w:rPr>
          <w:rFonts w:eastAsia="Calibri"/>
          <w:lang w:eastAsia="ja-JP"/>
        </w:rPr>
        <w:t xml:space="preserve"> sets of power control parameters, the UE determines the </w:t>
      </w:r>
      <w:r w:rsidRPr="00037243">
        <w:rPr>
          <w:rFonts w:eastAsia="Calibri"/>
          <w:i/>
          <w:lang w:eastAsia="ja-JP"/>
        </w:rPr>
        <w:t>referenceSignal</w:t>
      </w:r>
      <w:r w:rsidRPr="00037243">
        <w:rPr>
          <w:rFonts w:eastAsia="Calibri"/>
          <w:lang w:eastAsia="ja-JP"/>
        </w:rPr>
        <w:t xml:space="preserve"> value</w:t>
      </w:r>
      <w:r w:rsidRPr="00037243">
        <w:rPr>
          <w:rFonts w:eastAsia="Calibri"/>
          <w:lang w:val="en-US" w:eastAsia="ja-JP"/>
        </w:rPr>
        <w:t>s</w:t>
      </w:r>
      <w:r w:rsidRPr="00037243">
        <w:rPr>
          <w:rFonts w:eastAsia="Calibri"/>
          <w:lang w:eastAsia="ja-JP"/>
        </w:rPr>
        <w:t xml:space="preserve"> in </w:t>
      </w:r>
      <w:r w:rsidRPr="00037243">
        <w:rPr>
          <w:rFonts w:eastAsia="Calibri"/>
          <w:i/>
          <w:lang w:eastAsia="ja-JP"/>
        </w:rPr>
        <w:t xml:space="preserve">PUCCH-PathlossReferenceRS </w:t>
      </w:r>
      <w:r w:rsidRPr="00037243">
        <w:rPr>
          <w:rFonts w:eastAsia="Calibri"/>
          <w:iCs/>
          <w:lang w:val="en-US" w:eastAsia="ja-JP"/>
        </w:rPr>
        <w:t xml:space="preserve">that are </w:t>
      </w:r>
      <w:r w:rsidRPr="00037243">
        <w:rPr>
          <w:rFonts w:eastAsia="Calibri"/>
          <w:iCs/>
          <w:lang w:eastAsia="ja-JP"/>
        </w:rPr>
        <w:t>indicated in the one or two sets of</w:t>
      </w:r>
      <w:r w:rsidRPr="00037243">
        <w:rPr>
          <w:rFonts w:eastAsia="Calibri"/>
          <w:i/>
          <w:lang w:eastAsia="ja-JP"/>
        </w:rPr>
        <w:t xml:space="preserve"> </w:t>
      </w:r>
      <w:r w:rsidRPr="00037243">
        <w:rPr>
          <w:rFonts w:eastAsia="Calibri"/>
          <w:lang w:eastAsia="ja-JP"/>
        </w:rPr>
        <w:t>power control parameter</w:t>
      </w:r>
    </w:p>
    <w:p w14:paraId="57243EE6" w14:textId="161ADD0B" w:rsidR="0010628E" w:rsidRDefault="00C432D5" w:rsidP="0009732E">
      <w:pPr>
        <w:pStyle w:val="B2"/>
        <w:rPr>
          <w:rFonts w:asciiTheme="majorBidi" w:hAnsiTheme="majorBidi" w:cstheme="majorBidi"/>
          <w:i/>
          <w:iCs/>
          <w:lang w:val="en-US"/>
        </w:rPr>
      </w:pPr>
      <w:r>
        <w:rPr>
          <w:lang w:eastAsia="zh-CN"/>
        </w:rPr>
        <w:t>-</w:t>
      </w:r>
      <w:r>
        <w:rPr>
          <w:lang w:eastAsia="zh-CN"/>
        </w:rPr>
        <w:tab/>
      </w:r>
      <w:r w:rsidRPr="00AB6A62">
        <w:rPr>
          <w:lang w:eastAsia="zh-CN"/>
        </w:rPr>
        <w:t xml:space="preserve">If the UE is </w:t>
      </w:r>
      <w:r w:rsidR="00F27BF1">
        <w:rPr>
          <w:lang w:val="en-US"/>
        </w:rPr>
        <w:t xml:space="preserve">provided </w:t>
      </w:r>
      <w:r w:rsidR="00F27BF1" w:rsidRPr="00D268AA">
        <w:rPr>
          <w:i/>
        </w:rPr>
        <w:t>pathlossReferenceRSs</w:t>
      </w:r>
      <w:r w:rsidR="00F27BF1" w:rsidRPr="00AB6A62">
        <w:rPr>
          <w:lang w:eastAsia="zh-CN"/>
        </w:rPr>
        <w:t xml:space="preserve"> </w:t>
      </w:r>
      <w:r w:rsidR="00F27BF1">
        <w:rPr>
          <w:lang w:val="en-US" w:eastAsia="zh-CN"/>
        </w:rPr>
        <w:t xml:space="preserve">and is </w:t>
      </w:r>
      <w:r w:rsidRPr="00AB6A62">
        <w:rPr>
          <w:lang w:eastAsia="zh-CN"/>
        </w:rPr>
        <w:t xml:space="preserve">not provided </w:t>
      </w:r>
      <w:r w:rsidR="00C31956" w:rsidRPr="002C39E5">
        <w:rPr>
          <w:i/>
        </w:rPr>
        <w:t>PUCCH-Spatial</w:t>
      </w:r>
      <w:r w:rsidR="00C31956" w:rsidRPr="002C39E5">
        <w:rPr>
          <w:i/>
          <w:lang w:val="en-US"/>
        </w:rPr>
        <w:t>R</w:t>
      </w:r>
      <w:r w:rsidR="00C31956" w:rsidRPr="002C39E5">
        <w:rPr>
          <w:i/>
        </w:rPr>
        <w:t>elation</w:t>
      </w:r>
      <w:r w:rsidR="00C31956" w:rsidRPr="002C39E5">
        <w:rPr>
          <w:i/>
          <w:lang w:val="en-US"/>
        </w:rPr>
        <w:t>I</w:t>
      </w:r>
      <w:r w:rsidR="00C31956" w:rsidRPr="002C39E5">
        <w:rPr>
          <w:i/>
        </w:rPr>
        <w:t>nfo</w:t>
      </w:r>
      <w:r w:rsidR="0072309D" w:rsidRPr="00037243">
        <w:rPr>
          <w:rFonts w:eastAsia="Calibri"/>
          <w:iCs/>
          <w:lang w:eastAsia="ja-JP"/>
        </w:rPr>
        <w:t xml:space="preserve"> and</w:t>
      </w:r>
      <w:r w:rsidR="0072309D" w:rsidRPr="00037243">
        <w:rPr>
          <w:rFonts w:eastAsia="Calibri"/>
          <w:i/>
          <w:lang w:eastAsia="ja-JP"/>
        </w:rPr>
        <w:t xml:space="preserve"> </w:t>
      </w:r>
      <w:r w:rsidR="0072309D" w:rsidRPr="00037243">
        <w:rPr>
          <w:rFonts w:eastAsia="Calibri"/>
          <w:iCs/>
          <w:lang w:eastAsia="ja-JP"/>
        </w:rPr>
        <w:t xml:space="preserve">is not provided </w:t>
      </w:r>
      <w:r w:rsidR="0072309D" w:rsidRPr="00037243">
        <w:rPr>
          <w:rFonts w:eastAsia="Calibri"/>
          <w:lang w:val="en-US" w:eastAsia="ja-JP"/>
        </w:rPr>
        <w:t>more than one</w:t>
      </w:r>
      <w:r w:rsidR="0072309D" w:rsidRPr="00037243">
        <w:rPr>
          <w:rFonts w:eastAsia="Calibri"/>
          <w:lang w:eastAsia="ja-JP"/>
        </w:rPr>
        <w:t xml:space="preserve"> sets of power control parameters </w:t>
      </w:r>
      <w:r w:rsidR="0072309D" w:rsidRPr="00037243">
        <w:rPr>
          <w:rFonts w:eastAsia="Calibri"/>
          <w:lang w:val="en-US" w:eastAsia="ja-JP"/>
        </w:rPr>
        <w:t>f</w:t>
      </w:r>
      <w:r w:rsidR="0072309D" w:rsidRPr="00037243">
        <w:rPr>
          <w:lang w:val="en-US" w:eastAsia="zh-CN"/>
        </w:rPr>
        <w:t xml:space="preserve">or operation </w:t>
      </w:r>
      <w:r w:rsidR="0072309D" w:rsidRPr="00037243">
        <w:rPr>
          <w:rFonts w:eastAsia="Calibri"/>
          <w:lang w:val="en-US" w:eastAsia="ja-JP"/>
        </w:rPr>
        <w:t>in</w:t>
      </w:r>
      <w:r w:rsidR="0072309D" w:rsidRPr="00037243">
        <w:rPr>
          <w:rFonts w:eastAsia="Calibri"/>
          <w:lang w:eastAsia="ja-JP"/>
        </w:rPr>
        <w:t xml:space="preserve"> FR1</w:t>
      </w:r>
      <w:r w:rsidRPr="00AB6A62">
        <w:t xml:space="preserve">, the UE obtains the </w:t>
      </w:r>
      <w:r w:rsidR="00542CF6" w:rsidRPr="002C39E5">
        <w:rPr>
          <w:i/>
          <w:lang w:val="en-US"/>
        </w:rPr>
        <w:t>reference</w:t>
      </w:r>
      <w:r w:rsidR="00542CF6">
        <w:rPr>
          <w:i/>
          <w:lang w:val="en-US"/>
        </w:rPr>
        <w:t>S</w:t>
      </w:r>
      <w:r w:rsidR="00542CF6" w:rsidRPr="002C39E5">
        <w:rPr>
          <w:i/>
          <w:lang w:val="en-US"/>
        </w:rPr>
        <w:t>ignal</w:t>
      </w:r>
      <w:r w:rsidR="00542CF6" w:rsidRPr="002C39E5">
        <w:t xml:space="preserve"> </w:t>
      </w:r>
      <w:r w:rsidR="00C31956" w:rsidRPr="002C39E5">
        <w:t>value</w:t>
      </w:r>
      <w:r w:rsidR="00C31956" w:rsidRPr="002C39E5">
        <w:rPr>
          <w:lang w:val="en-US"/>
        </w:rPr>
        <w:t xml:space="preserve"> in</w:t>
      </w:r>
      <w:r w:rsidR="00C31956" w:rsidRPr="002C39E5">
        <w:t xml:space="preserve"> </w:t>
      </w:r>
      <w:r w:rsidR="00C31956" w:rsidRPr="002C39E5">
        <w:rPr>
          <w:i/>
        </w:rPr>
        <w:t>PUCCH-PathlossReferenceRS</w:t>
      </w:r>
      <w:r w:rsidR="00C31956" w:rsidRPr="002C39E5">
        <w:t xml:space="preserve"> from the </w:t>
      </w:r>
      <w:r w:rsidR="00C31956" w:rsidRPr="002C39E5">
        <w:rPr>
          <w:i/>
          <w:iCs/>
        </w:rPr>
        <w:t>pucch-PathlossReferenceRS-Id</w:t>
      </w:r>
      <w:r w:rsidR="00C31956" w:rsidRPr="002C39E5">
        <w:rPr>
          <w:rFonts w:eastAsia="MS Mincho"/>
          <w:lang w:val="en-US"/>
        </w:rPr>
        <w:t xml:space="preserve"> with</w:t>
      </w:r>
      <w:r w:rsidR="00C31956" w:rsidRPr="002C39E5">
        <w:rPr>
          <w:lang w:val="en-US"/>
        </w:rPr>
        <w:t xml:space="preserve"> </w:t>
      </w:r>
      <w:r w:rsidR="00C31956" w:rsidRPr="002C39E5">
        <w:rPr>
          <w:rFonts w:eastAsia="MS Mincho"/>
          <w:lang w:val="en-US"/>
        </w:rPr>
        <w:t>index 0</w:t>
      </w:r>
      <w:r w:rsidR="00C31956" w:rsidRPr="002C39E5">
        <w:t xml:space="preserve"> in </w:t>
      </w:r>
      <w:r w:rsidR="00C31956" w:rsidRPr="002C39E5">
        <w:rPr>
          <w:i/>
        </w:rPr>
        <w:t>PUCCH-PathlossReferenceRS</w:t>
      </w:r>
      <w:r w:rsidR="002F6D9A">
        <w:rPr>
          <w:lang w:val="en-US"/>
        </w:rPr>
        <w:t xml:space="preserve"> </w:t>
      </w:r>
      <w:r w:rsidR="002F6D9A" w:rsidRPr="001A5864">
        <w:rPr>
          <w:lang w:val="en-US"/>
        </w:rPr>
        <w:t xml:space="preserve">where the RS resource is either on </w:t>
      </w:r>
      <w:r w:rsidR="00C2463B">
        <w:rPr>
          <w:lang w:val="en-US"/>
        </w:rPr>
        <w:t>the primary</w:t>
      </w:r>
      <w:r w:rsidR="002F6D9A" w:rsidRPr="001A5864">
        <w:rPr>
          <w:lang w:val="en-US"/>
        </w:rPr>
        <w:t xml:space="preserve"> cell or</w:t>
      </w:r>
      <w:r w:rsidR="002F6D9A">
        <w:rPr>
          <w:lang w:val="en-US"/>
        </w:rPr>
        <w:t>, if provided,</w:t>
      </w:r>
      <w:r w:rsidR="002F6D9A" w:rsidRPr="001A5864">
        <w:rPr>
          <w:lang w:val="en-US"/>
        </w:rPr>
        <w:t xml:space="preserve"> on a serving cell indicated </w:t>
      </w:r>
      <w:r w:rsidR="002F6D9A" w:rsidRPr="001A5864">
        <w:rPr>
          <w:rFonts w:asciiTheme="majorBidi" w:hAnsiTheme="majorBidi" w:cstheme="majorBidi"/>
          <w:lang w:val="en-US"/>
        </w:rPr>
        <w:t xml:space="preserve">by a value of </w:t>
      </w:r>
      <w:r w:rsidR="002F6D9A" w:rsidRPr="001A5864">
        <w:rPr>
          <w:rFonts w:asciiTheme="majorBidi" w:hAnsiTheme="majorBidi" w:cstheme="majorBidi"/>
          <w:i/>
          <w:iCs/>
          <w:lang w:val="en-US"/>
        </w:rPr>
        <w:t>pathlossReferenceLinking</w:t>
      </w:r>
    </w:p>
    <w:p w14:paraId="0037DE4C" w14:textId="77777777" w:rsidR="004D0B72" w:rsidRDefault="004D0B72" w:rsidP="004D0B72">
      <w:pPr>
        <w:pStyle w:val="B2"/>
      </w:pPr>
      <w:r>
        <w:t>-</w:t>
      </w:r>
      <w:r>
        <w:tab/>
      </w:r>
      <w:r w:rsidRPr="004516B4">
        <w:t xml:space="preserve">If </w:t>
      </w:r>
      <w:r>
        <w:t>the UE</w:t>
      </w:r>
    </w:p>
    <w:p w14:paraId="7A57C7CC" w14:textId="77777777" w:rsidR="004D0B72" w:rsidRDefault="004D0B72" w:rsidP="00590EB5">
      <w:pPr>
        <w:pStyle w:val="B3"/>
        <w:rPr>
          <w:lang w:val="en-US"/>
        </w:rPr>
      </w:pPr>
      <w:r>
        <w:t>-</w:t>
      </w:r>
      <w:r>
        <w:tab/>
      </w:r>
      <w:r w:rsidRPr="000753B4">
        <w:t xml:space="preserve">is not provided </w:t>
      </w:r>
      <w:r w:rsidRPr="00D268AA">
        <w:rPr>
          <w:i/>
        </w:rPr>
        <w:t>pathlossReferenceRS</w:t>
      </w:r>
      <w:r>
        <w:rPr>
          <w:i/>
        </w:rPr>
        <w:t>s</w:t>
      </w:r>
      <w:r>
        <w:rPr>
          <w:lang w:val="en-US"/>
        </w:rPr>
        <w:t>, and</w:t>
      </w:r>
    </w:p>
    <w:p w14:paraId="1498D42D" w14:textId="77777777" w:rsidR="004D0B72" w:rsidRPr="00A851DA" w:rsidRDefault="004D0B72" w:rsidP="00590EB5">
      <w:pPr>
        <w:pStyle w:val="B3"/>
        <w:rPr>
          <w:lang w:val="en-US"/>
        </w:rPr>
      </w:pPr>
      <w:r w:rsidRPr="00A851DA">
        <w:t>-</w:t>
      </w:r>
      <w:r w:rsidRPr="00A851DA">
        <w:tab/>
        <w:t>is not provided</w:t>
      </w:r>
      <w:r w:rsidRPr="00A851DA">
        <w:rPr>
          <w:lang w:eastAsia="zh-CN"/>
        </w:rPr>
        <w:t xml:space="preserve"> </w:t>
      </w:r>
      <w:r w:rsidRPr="00A851DA">
        <w:rPr>
          <w:i/>
          <w:iCs/>
        </w:rPr>
        <w:t xml:space="preserve">PUCCH-SpatialRelationInfo, </w:t>
      </w:r>
      <w:r w:rsidRPr="00A851DA">
        <w:t>and</w:t>
      </w:r>
    </w:p>
    <w:p w14:paraId="2E5CE749" w14:textId="2BEC14D3" w:rsidR="00C2463B" w:rsidRDefault="004D0B72" w:rsidP="00C2463B">
      <w:pPr>
        <w:pStyle w:val="B3"/>
      </w:pPr>
      <w:r>
        <w:t>-</w:t>
      </w:r>
      <w:r>
        <w:tab/>
      </w:r>
      <w:r>
        <w:rPr>
          <w:lang w:val="en-US"/>
        </w:rPr>
        <w:t xml:space="preserve">is provided </w:t>
      </w:r>
      <w:r w:rsidR="000733CD" w:rsidRPr="00A3396D">
        <w:rPr>
          <w:i/>
          <w:lang w:val="en-US"/>
        </w:rPr>
        <w:t>enableDefaultBeamP</w:t>
      </w:r>
      <w:r w:rsidR="000733CD">
        <w:rPr>
          <w:i/>
          <w:lang w:val="en-US"/>
        </w:rPr>
        <w:t>L-</w:t>
      </w:r>
      <w:r w:rsidR="000733CD" w:rsidRPr="00A3396D">
        <w:rPr>
          <w:i/>
          <w:lang w:val="en-US"/>
        </w:rPr>
        <w:t>ForPUCCH</w:t>
      </w:r>
      <w:r w:rsidR="00C2463B">
        <w:rPr>
          <w:lang w:val="en-US"/>
        </w:rPr>
        <w:t>, and</w:t>
      </w:r>
      <w:r w:rsidR="00C2463B">
        <w:t xml:space="preserve"> </w:t>
      </w:r>
    </w:p>
    <w:p w14:paraId="461075F9" w14:textId="227D9FAC" w:rsidR="004D0B72" w:rsidRDefault="00C2463B" w:rsidP="00C2463B">
      <w:pPr>
        <w:pStyle w:val="B3"/>
      </w:pPr>
      <w:r w:rsidRPr="00CC04D1">
        <w:t>-</w:t>
      </w:r>
      <w:r w:rsidRPr="00CC04D1">
        <w:tab/>
        <w:t>is not provided</w:t>
      </w:r>
      <w:r>
        <w:t xml:space="preserve"> </w:t>
      </w:r>
      <w:r w:rsidR="000E7147">
        <w:rPr>
          <w:rStyle w:val="Emphasis"/>
          <w:rFonts w:eastAsia="Batang"/>
        </w:rPr>
        <w:t>coreset</w:t>
      </w:r>
      <w:r w:rsidRPr="00CC04D1">
        <w:rPr>
          <w:rStyle w:val="Emphasis"/>
          <w:rFonts w:eastAsia="Batang"/>
        </w:rPr>
        <w:t>PoolIndex</w:t>
      </w:r>
      <w:r w:rsidR="00B17B60">
        <w:t xml:space="preserve"> </w:t>
      </w:r>
      <w:r>
        <w:t xml:space="preserve">value of 1 for any CORESET, or is provided </w:t>
      </w:r>
      <w:r w:rsidR="000E7147">
        <w:rPr>
          <w:rStyle w:val="Emphasis"/>
          <w:rFonts w:eastAsia="Batang"/>
        </w:rPr>
        <w:t>coreset</w:t>
      </w:r>
      <w:r w:rsidRPr="00CC04D1">
        <w:rPr>
          <w:rStyle w:val="Emphasis"/>
          <w:rFonts w:eastAsia="Batang"/>
        </w:rPr>
        <w:t>PoolIndex</w:t>
      </w:r>
      <w:r w:rsidR="00B17B60">
        <w:t xml:space="preserve"> </w:t>
      </w:r>
      <w:r>
        <w:t>value of 1 for all CORESETs,</w:t>
      </w:r>
      <w:r w:rsidRPr="00CC04D1">
        <w:t xml:space="preserve"> in</w:t>
      </w:r>
      <w:r w:rsidR="00B17B60">
        <w:t xml:space="preserve"> </w:t>
      </w:r>
      <w:r w:rsidRPr="00CC04D1">
        <w:rPr>
          <w:rStyle w:val="Emphasis"/>
          <w:rFonts w:eastAsia="Batang"/>
        </w:rPr>
        <w:t>ControlResourceSet</w:t>
      </w:r>
      <w:r w:rsidR="00B17B60">
        <w:rPr>
          <w:rStyle w:val="Emphasis"/>
          <w:rFonts w:eastAsia="Batang"/>
        </w:rPr>
        <w:t xml:space="preserve"> </w:t>
      </w:r>
      <w:r w:rsidRPr="00CC04D1">
        <w:t>and</w:t>
      </w:r>
      <w:r w:rsidR="00B17B60">
        <w:t xml:space="preserve"> </w:t>
      </w:r>
      <w:r>
        <w:t>no</w:t>
      </w:r>
      <w:r w:rsidRPr="00CC04D1">
        <w:t xml:space="preserve"> codepoint </w:t>
      </w:r>
      <w:r>
        <w:t xml:space="preserve">of a TCI field, if any, in a DCI format of any search space set </w:t>
      </w:r>
      <w:r w:rsidRPr="00CC04D1">
        <w:t>map</w:t>
      </w:r>
      <w:r>
        <w:t>s to</w:t>
      </w:r>
      <w:r w:rsidR="00B17B60">
        <w:t xml:space="preserve"> </w:t>
      </w:r>
      <w:r w:rsidRPr="00CC04D1">
        <w:t>two TCI states</w:t>
      </w:r>
      <w:r>
        <w:t xml:space="preserve"> [5, TS 38.212]</w:t>
      </w:r>
      <w:r w:rsidR="004D0B72">
        <w:t xml:space="preserve"> </w:t>
      </w:r>
    </w:p>
    <w:p w14:paraId="05A21726" w14:textId="0781B669" w:rsidR="004D0B72" w:rsidRPr="00D93480" w:rsidRDefault="004D0B72" w:rsidP="00A173BC">
      <w:pPr>
        <w:pStyle w:val="B3"/>
        <w:rPr>
          <w:b/>
          <w:bCs/>
          <w:lang w:eastAsia="x-none"/>
        </w:rPr>
      </w:pPr>
      <w:r>
        <w:tab/>
        <w:t>the UE determines a RS resource</w:t>
      </w:r>
      <w:r>
        <w:rPr>
          <w:lang w:val="en-US"/>
        </w:rPr>
        <w:t xml:space="preserve"> index</w:t>
      </w:r>
      <w:r>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t xml:space="preserve"> providing a </w:t>
      </w:r>
      <w:r w:rsidR="0096154A">
        <w:rPr>
          <w:lang w:val="en-US"/>
        </w:rPr>
        <w:t xml:space="preserve">periodic </w:t>
      </w:r>
      <w:r>
        <w:t xml:space="preserve">RS resource </w:t>
      </w:r>
      <w:r w:rsidR="000E7147" w:rsidRPr="00061DFD">
        <w:t xml:space="preserve">configured </w:t>
      </w:r>
      <w:r w:rsidR="000E7147">
        <w:t xml:space="preserve">with </w:t>
      </w:r>
      <w:r w:rsidR="000E7147" w:rsidRPr="00061DFD">
        <w:rPr>
          <w:i/>
          <w:iCs/>
        </w:rPr>
        <w:t>qcl-Type</w:t>
      </w:r>
      <w:r w:rsidR="000E7147" w:rsidRPr="00061DFD">
        <w:t xml:space="preserve"> set to</w:t>
      </w:r>
      <w:r>
        <w:t xml:space="preserve"> </w:t>
      </w:r>
      <w:r w:rsidR="00D93480">
        <w:rPr>
          <w:lang w:val="en-US"/>
        </w:rPr>
        <w:t>'</w:t>
      </w:r>
      <w:r w:rsidR="000E7147">
        <w:t>t</w:t>
      </w:r>
      <w:r w:rsidRPr="00326D6E">
        <w:t>ypeD</w:t>
      </w:r>
      <w:r w:rsidR="00D93480">
        <w:t>'</w:t>
      </w:r>
      <w:r>
        <w:t xml:space="preserve"> in the TCI state or the QCL assumption of a CORESET with the lowest index in the active DL BWP of the primary cell</w:t>
      </w:r>
      <w:r w:rsidR="00C2463B">
        <w:t>.</w:t>
      </w:r>
      <w:r w:rsidR="00C2463B" w:rsidRPr="005A4B8D">
        <w:rPr>
          <w:rFonts w:hint="eastAsia"/>
        </w:rPr>
        <w:t xml:space="preserve"> </w:t>
      </w:r>
      <w:r w:rsidR="00B17B60" w:rsidRPr="00F415B1">
        <w:t>If the CORESET has two activated TCI states, as described in clause 10.1, the UE determines the RS resource</w:t>
      </w:r>
      <w:r w:rsidR="00B17B60" w:rsidRPr="00F415B1">
        <w:rPr>
          <w:lang w:val="en-US"/>
        </w:rPr>
        <w:t xml:space="preserve"> index</w:t>
      </w:r>
      <w:r w:rsidR="00B17B60" w:rsidRPr="00F415B1">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00B17B60" w:rsidRPr="00F415B1">
        <w:t xml:space="preserve"> based on the first activated TCI state. </w:t>
      </w:r>
      <w:r w:rsidR="00C2463B" w:rsidRPr="005A4B8D">
        <w:rPr>
          <w:rFonts w:hint="eastAsia"/>
        </w:rPr>
        <w:t>For</w:t>
      </w:r>
      <w:r w:rsidR="00C2463B">
        <w:rPr>
          <w:lang w:val="en-US"/>
        </w:rPr>
        <w:t xml:space="preserve"> a</w:t>
      </w:r>
      <w:r w:rsidR="00C2463B" w:rsidRPr="005A4B8D">
        <w:rPr>
          <w:rFonts w:hint="eastAsia"/>
        </w:rPr>
        <w:t xml:space="preserve"> PUCCH</w:t>
      </w:r>
      <w:r w:rsidR="00C2463B">
        <w:rPr>
          <w:lang w:val="en-US"/>
        </w:rPr>
        <w:t xml:space="preserve"> transmission over multiple slots</w:t>
      </w:r>
      <w:r w:rsidR="00C2463B" w:rsidRPr="005A4B8D">
        <w:rPr>
          <w:rFonts w:hint="eastAsia"/>
        </w:rPr>
        <w:t xml:space="preserve">, </w:t>
      </w:r>
      <w:r w:rsidR="00C2463B">
        <w:rPr>
          <w:lang w:val="en-US"/>
        </w:rPr>
        <w:t xml:space="preserve">a same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00C2463B" w:rsidRPr="005A4B8D">
        <w:rPr>
          <w:rFonts w:hint="eastAsia"/>
        </w:rPr>
        <w:t xml:space="preserve"> applies to </w:t>
      </w:r>
      <w:r w:rsidR="00C2463B">
        <w:rPr>
          <w:lang w:val="en-US"/>
        </w:rPr>
        <w:t>the</w:t>
      </w:r>
      <w:r w:rsidR="00C2463B" w:rsidRPr="005A4B8D">
        <w:rPr>
          <w:rFonts w:hint="eastAsia"/>
        </w:rPr>
        <w:t xml:space="preserve"> PUCCH transmission</w:t>
      </w:r>
      <w:r w:rsidR="00C2463B">
        <w:rPr>
          <w:lang w:val="en-US"/>
        </w:rPr>
        <w:t xml:space="preserve"> in each of the multiple slots</w:t>
      </w:r>
      <w:r w:rsidR="00C2463B" w:rsidRPr="005A4B8D">
        <w:rPr>
          <w:rFonts w:hint="eastAsia"/>
        </w:rPr>
        <w:t>.</w:t>
      </w:r>
    </w:p>
    <w:p w14:paraId="248DE2C9" w14:textId="1462A370" w:rsidR="00D84BFC" w:rsidRPr="00B916EC" w:rsidRDefault="00126575" w:rsidP="00126575">
      <w:pPr>
        <w:pStyle w:val="B1"/>
        <w:rPr>
          <w:lang w:val="en-US"/>
        </w:rPr>
      </w:pPr>
      <w:r>
        <w:t>-</w:t>
      </w:r>
      <w:r>
        <w:tab/>
      </w:r>
      <w:r w:rsidR="00B735E5" w:rsidRPr="00B916EC">
        <w:t xml:space="preserve">The parameter </w:t>
      </w:r>
      <m:oMath>
        <m:sSub>
          <m:sSubPr>
            <m:ctrlPr>
              <w:rPr>
                <w:rFonts w:ascii="Cambria Math" w:hAnsi="Cambria Math" w:cs="Arial"/>
                <w:bCs/>
              </w:rPr>
            </m:ctrlPr>
          </m:sSubPr>
          <m:e>
            <m:r>
              <m:rPr>
                <m:sty m:val="p"/>
              </m:rPr>
              <w:rPr>
                <w:rFonts w:ascii="Cambria Math" w:hAnsi="Cambria Math" w:cs="Arial" w:hint="eastAsia"/>
              </w:rPr>
              <m:t>Δ</m:t>
            </m:r>
            <m:ctrlPr>
              <w:rPr>
                <w:rFonts w:ascii="Cambria Math" w:hAnsi="Cambria Math" w:cs="Arial" w:hint="eastAsia"/>
                <w:bCs/>
              </w:rPr>
            </m:ctrlPr>
          </m:e>
          <m:sub>
            <m:r>
              <m:rPr>
                <m:nor/>
              </m:rPr>
              <w:rPr>
                <w:rFonts w:ascii="Cambria Math" w:hAnsi="Cambria Math" w:cs="Arial"/>
                <w:bCs/>
              </w:rPr>
              <m:t>F_PUCCH</m:t>
            </m:r>
          </m:sub>
        </m:sSub>
        <m:d>
          <m:dPr>
            <m:ctrlPr>
              <w:rPr>
                <w:rFonts w:ascii="Cambria Math" w:hAnsi="Cambria Math" w:cs="Arial"/>
                <w:bCs/>
              </w:rPr>
            </m:ctrlPr>
          </m:dPr>
          <m:e>
            <m:r>
              <w:rPr>
                <w:rFonts w:ascii="Cambria Math" w:hAnsi="Cambria Math" w:cs="Arial"/>
              </w:rPr>
              <m:t>F</m:t>
            </m:r>
          </m:e>
        </m:d>
      </m:oMath>
      <w:r w:rsidR="007D5A3F">
        <w:rPr>
          <w:lang w:val="en-US"/>
        </w:rPr>
        <w:t xml:space="preserve"> </w:t>
      </w:r>
      <w:r w:rsidR="00D84BFC" w:rsidRPr="00B916EC">
        <w:t xml:space="preserve">is </w:t>
      </w:r>
      <w:r w:rsidR="00E50DB7">
        <w:t>a value of</w:t>
      </w:r>
      <w:r w:rsidR="00D84BFC" w:rsidRPr="00B916EC">
        <w:t xml:space="preserve"> </w:t>
      </w:r>
      <w:r w:rsidR="00C31956" w:rsidRPr="00B916EC">
        <w:rPr>
          <w:i/>
        </w:rPr>
        <w:t>deltaF-</w:t>
      </w:r>
      <w:r w:rsidR="00C31956">
        <w:rPr>
          <w:i/>
          <w:lang w:val="en-US"/>
        </w:rPr>
        <w:t>PUCCH</w:t>
      </w:r>
      <w:r w:rsidR="00C31956" w:rsidRPr="00B916EC">
        <w:rPr>
          <w:i/>
        </w:rPr>
        <w:t>-f0</w:t>
      </w:r>
      <w:r w:rsidR="00D84BFC" w:rsidRPr="00B916EC">
        <w:rPr>
          <w:lang w:val="en-US"/>
        </w:rPr>
        <w:t xml:space="preserve"> for PUCCH format 0, </w:t>
      </w:r>
      <w:r w:rsidR="00C31956" w:rsidRPr="00B916EC">
        <w:rPr>
          <w:i/>
        </w:rPr>
        <w:t>deltaF-</w:t>
      </w:r>
      <w:r w:rsidR="00C31956">
        <w:rPr>
          <w:i/>
          <w:lang w:val="en-US"/>
        </w:rPr>
        <w:t>PUCCH</w:t>
      </w:r>
      <w:r w:rsidR="00C31956" w:rsidRPr="00B916EC">
        <w:rPr>
          <w:i/>
        </w:rPr>
        <w:t>-f1</w:t>
      </w:r>
      <w:r w:rsidR="00D84BFC" w:rsidRPr="00B916EC">
        <w:rPr>
          <w:lang w:val="en-US"/>
        </w:rPr>
        <w:t xml:space="preserve"> for PUCCH format 1, </w:t>
      </w:r>
      <w:r w:rsidR="00C31956" w:rsidRPr="00B916EC">
        <w:rPr>
          <w:i/>
        </w:rPr>
        <w:t>deltaF-</w:t>
      </w:r>
      <w:r w:rsidR="00C31956">
        <w:rPr>
          <w:i/>
          <w:lang w:val="en-US"/>
        </w:rPr>
        <w:t>PUCCH</w:t>
      </w:r>
      <w:r w:rsidR="00C31956" w:rsidRPr="00B916EC">
        <w:rPr>
          <w:i/>
        </w:rPr>
        <w:t>-f2</w:t>
      </w:r>
      <w:r w:rsidR="00D84BFC" w:rsidRPr="00B916EC">
        <w:rPr>
          <w:lang w:val="en-US"/>
        </w:rPr>
        <w:t xml:space="preserve"> for PUCCH format 2, </w:t>
      </w:r>
      <w:r w:rsidR="00C31956" w:rsidRPr="00B916EC">
        <w:rPr>
          <w:i/>
        </w:rPr>
        <w:t>deltaF-</w:t>
      </w:r>
      <w:r w:rsidR="00C31956">
        <w:rPr>
          <w:i/>
          <w:lang w:val="en-US"/>
        </w:rPr>
        <w:t>PUCCH</w:t>
      </w:r>
      <w:r w:rsidR="00C31956" w:rsidRPr="00B916EC">
        <w:rPr>
          <w:i/>
        </w:rPr>
        <w:t>-f3</w:t>
      </w:r>
      <w:r w:rsidR="00D84BFC" w:rsidRPr="00B916EC">
        <w:rPr>
          <w:lang w:val="en-US"/>
        </w:rPr>
        <w:t xml:space="preserve"> for PUCCH format 3, and </w:t>
      </w:r>
      <w:r w:rsidR="00C31956" w:rsidRPr="00B916EC">
        <w:rPr>
          <w:i/>
        </w:rPr>
        <w:t>deltaF-</w:t>
      </w:r>
      <w:r w:rsidR="00C31956">
        <w:rPr>
          <w:i/>
          <w:lang w:val="en-US"/>
        </w:rPr>
        <w:t>PUCCH</w:t>
      </w:r>
      <w:r w:rsidR="00C31956" w:rsidRPr="00B916EC">
        <w:rPr>
          <w:i/>
        </w:rPr>
        <w:t>-f4</w:t>
      </w:r>
      <w:r w:rsidR="00D84BFC" w:rsidRPr="00B916EC">
        <w:rPr>
          <w:lang w:val="en-US"/>
        </w:rPr>
        <w:t xml:space="preserve"> for PUCCH format 4</w:t>
      </w:r>
      <w:r w:rsidR="00E50DB7">
        <w:rPr>
          <w:lang w:val="en-US"/>
        </w:rPr>
        <w:t xml:space="preserve">, if provided; otherwise </w:t>
      </w:r>
      <m:oMath>
        <m:sSub>
          <m:sSubPr>
            <m:ctrlPr>
              <w:rPr>
                <w:rFonts w:ascii="Cambria Math" w:hAnsi="Cambria Math" w:cs="Arial"/>
                <w:bCs/>
              </w:rPr>
            </m:ctrlPr>
          </m:sSubPr>
          <m:e>
            <m:r>
              <m:rPr>
                <m:sty m:val="p"/>
              </m:rPr>
              <w:rPr>
                <w:rFonts w:ascii="Cambria Math" w:hAnsi="Cambria Math" w:cs="Arial" w:hint="eastAsia"/>
              </w:rPr>
              <m:t>Δ</m:t>
            </m:r>
            <m:ctrlPr>
              <w:rPr>
                <w:rFonts w:ascii="Cambria Math" w:hAnsi="Cambria Math" w:cs="Arial" w:hint="eastAsia"/>
                <w:bCs/>
              </w:rPr>
            </m:ctrlPr>
          </m:e>
          <m:sub>
            <m:r>
              <m:rPr>
                <m:nor/>
              </m:rPr>
              <w:rPr>
                <w:rFonts w:ascii="Cambria Math" w:hAnsi="Cambria Math" w:cs="Arial"/>
                <w:bCs/>
              </w:rPr>
              <m:t>F_PUCCH</m:t>
            </m:r>
          </m:sub>
        </m:sSub>
        <m:d>
          <m:dPr>
            <m:ctrlPr>
              <w:rPr>
                <w:rFonts w:ascii="Cambria Math" w:hAnsi="Cambria Math" w:cs="Arial"/>
                <w:bCs/>
              </w:rPr>
            </m:ctrlPr>
          </m:dPr>
          <m:e>
            <m:r>
              <w:rPr>
                <w:rFonts w:ascii="Cambria Math" w:hAnsi="Cambria Math" w:cs="Arial"/>
              </w:rPr>
              <m:t>F</m:t>
            </m:r>
          </m:e>
        </m:d>
        <m:r>
          <w:rPr>
            <w:rFonts w:ascii="Cambria Math" w:hAnsi="Cambria Math" w:cs="Arial"/>
          </w:rPr>
          <m:t>=0</m:t>
        </m:r>
      </m:oMath>
      <w:r w:rsidR="00E50DB7">
        <w:rPr>
          <w:rFonts w:hint="eastAsia"/>
          <w:bCs/>
          <w:lang w:eastAsia="ja-JP"/>
        </w:rPr>
        <w:t>.</w:t>
      </w:r>
    </w:p>
    <w:p w14:paraId="470E9A9B" w14:textId="77777777" w:rsidR="003C2FA6" w:rsidRPr="00F415B1" w:rsidRDefault="003C2FA6" w:rsidP="003C2FA6">
      <w:pPr>
        <w:pStyle w:val="B1"/>
      </w:pPr>
      <w:r w:rsidRPr="00F415B1">
        <w:t>-</w:t>
      </w:r>
      <w:r w:rsidRPr="00F415B1">
        <w:tab/>
      </w:r>
      <m:oMath>
        <m:sSub>
          <m:sSubPr>
            <m:ctrlPr>
              <w:rPr>
                <w:rFonts w:ascii="Cambria Math" w:hAnsi="Cambria Math"/>
                <w:i/>
              </w:rPr>
            </m:ctrlPr>
          </m:sSubPr>
          <m:e>
            <m:r>
              <w:rPr>
                <w:rFonts w:ascii="Cambria Math" w:hAnsi="Cambria Math"/>
              </w:rPr>
              <m:t>∆</m:t>
            </m:r>
          </m:e>
          <m:sub>
            <m:r>
              <m:rPr>
                <m:sty m:val="p"/>
              </m:rPr>
              <w:rPr>
                <w:rFonts w:ascii="Cambria Math" w:hAnsi="Cambria Math"/>
              </w:rPr>
              <m:t>TF</m:t>
            </m:r>
            <m:r>
              <w:rPr>
                <w:rFonts w:ascii="Cambria Math" w:hAnsi="Cambria Math"/>
              </w:rPr>
              <m:t>,b,f,c</m:t>
            </m:r>
          </m:sub>
        </m:sSub>
        <m:d>
          <m:dPr>
            <m:ctrlPr>
              <w:rPr>
                <w:rFonts w:ascii="Cambria Math" w:hAnsi="Cambria Math"/>
                <w:i/>
              </w:rPr>
            </m:ctrlPr>
          </m:dPr>
          <m:e>
            <m:r>
              <w:rPr>
                <w:rFonts w:ascii="Cambria Math" w:hAnsi="Cambria Math"/>
              </w:rPr>
              <m:t>i</m:t>
            </m:r>
          </m:e>
        </m:d>
      </m:oMath>
      <w:r w:rsidRPr="00F415B1">
        <w:rPr>
          <w:lang w:eastAsia="zh-CN"/>
        </w:rPr>
        <w:t xml:space="preserve"> is a PUCCH transmission power adjustment component </w:t>
      </w:r>
      <w:r w:rsidRPr="00F415B1">
        <w:rPr>
          <w:rFonts w:eastAsia="MS Mincho"/>
          <w:lang w:val="en-US"/>
        </w:rPr>
        <w:t xml:space="preserve">on active </w:t>
      </w:r>
      <w:r w:rsidRPr="00F415B1">
        <w:rPr>
          <w:lang w:val="en-US"/>
        </w:rPr>
        <w:t xml:space="preserve">UL BWP </w:t>
      </w:r>
      <m:oMath>
        <m:r>
          <w:rPr>
            <w:rFonts w:ascii="Cambria Math" w:hAnsi="Cambria Math"/>
            <w:lang w:val="en-US"/>
          </w:rPr>
          <m:t>b</m:t>
        </m:r>
      </m:oMath>
      <w:r w:rsidRPr="00F415B1">
        <w:rPr>
          <w:iCs/>
          <w:lang w:val="en-US"/>
        </w:rPr>
        <w:t xml:space="preserve"> </w:t>
      </w:r>
      <w:r w:rsidRPr="00F415B1">
        <w:rPr>
          <w:lang w:val="en-US"/>
        </w:rPr>
        <w:t xml:space="preserve">of carrier </w:t>
      </w:r>
      <m:oMath>
        <m:r>
          <w:rPr>
            <w:rFonts w:ascii="Cambria Math" w:hAnsi="Cambria Math"/>
            <w:lang w:val="en-US"/>
          </w:rPr>
          <m:t>f</m:t>
        </m:r>
      </m:oMath>
      <w:r w:rsidRPr="00F415B1">
        <w:rPr>
          <w:iCs/>
          <w:lang w:val="en-US"/>
        </w:rPr>
        <w:t xml:space="preserve"> </w:t>
      </w:r>
      <w:r w:rsidRPr="00F415B1">
        <w:rPr>
          <w:lang w:val="en-US"/>
        </w:rPr>
        <w:t xml:space="preserve">of </w:t>
      </w:r>
      <w:r w:rsidRPr="00F415B1">
        <w:rPr>
          <w:rFonts w:eastAsia="MS Mincho"/>
          <w:lang w:val="en-US"/>
        </w:rPr>
        <w:t xml:space="preserve">primary cell </w:t>
      </w:r>
      <m:oMath>
        <m:r>
          <w:rPr>
            <w:rFonts w:ascii="Cambria Math" w:eastAsia="MS Mincho" w:hAnsi="Cambria Math"/>
            <w:lang w:val="en-US"/>
          </w:rPr>
          <m:t>c</m:t>
        </m:r>
      </m:oMath>
    </w:p>
    <w:p w14:paraId="164E0C85" w14:textId="77777777" w:rsidR="003C2FA6" w:rsidRPr="00F415B1" w:rsidRDefault="003C2FA6" w:rsidP="003C2FA6">
      <w:pPr>
        <w:pStyle w:val="B2"/>
      </w:pPr>
      <w:r w:rsidRPr="00F415B1">
        <w:rPr>
          <w:lang w:eastAsia="zh-CN"/>
        </w:rPr>
        <w:t>-</w:t>
      </w:r>
      <w:r w:rsidRPr="00F415B1">
        <w:rPr>
          <w:lang w:eastAsia="zh-CN"/>
        </w:rPr>
        <w:tab/>
        <w:t xml:space="preserve">For a PUCCH transmission using PUCCH format 0 or PUCCH format 1, </w:t>
      </w:r>
      <m:oMath>
        <m:sSub>
          <m:sSubPr>
            <m:ctrlPr>
              <w:rPr>
                <w:rFonts w:ascii="Cambria Math" w:hAnsi="Cambria Math"/>
                <w:i/>
              </w:rPr>
            </m:ctrlPr>
          </m:sSubPr>
          <m:e>
            <m:r>
              <w:rPr>
                <w:rFonts w:ascii="Cambria Math" w:hAnsi="Cambria Math"/>
              </w:rPr>
              <m:t>∆</m:t>
            </m:r>
          </m:e>
          <m:sub>
            <m:r>
              <m:rPr>
                <m:sty m:val="p"/>
              </m:rPr>
              <w:rPr>
                <w:rFonts w:ascii="Cambria Math" w:hAnsi="Cambria Math"/>
              </w:rPr>
              <m:t>TF</m:t>
            </m:r>
            <m:r>
              <w:rPr>
                <w:rFonts w:ascii="Cambria Math" w:hAnsi="Cambria Math"/>
              </w:rPr>
              <m:t>,b,f,c</m:t>
            </m:r>
          </m:sub>
        </m:sSub>
        <m:d>
          <m:dPr>
            <m:ctrlPr>
              <w:rPr>
                <w:rFonts w:ascii="Cambria Math" w:hAnsi="Cambria Math"/>
                <w:i/>
              </w:rPr>
            </m:ctrlPr>
          </m:dPr>
          <m:e>
            <m:r>
              <w:rPr>
                <w:rFonts w:ascii="Cambria Math" w:hAnsi="Cambria Math"/>
              </w:rPr>
              <m:t>i</m:t>
            </m:r>
          </m:e>
        </m:d>
        <m:r>
          <w:rPr>
            <w:rFonts w:ascii="Cambria Math" w:hAnsi="Cambria Math"/>
          </w:rPr>
          <m:t>=10</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f>
              <m:fPr>
                <m:ctrlPr>
                  <w:rPr>
                    <w:rFonts w:ascii="Cambria Math" w:hAnsi="Cambria Math"/>
                    <w:i/>
                  </w:rPr>
                </m:ctrlPr>
              </m:fPr>
              <m:num>
                <m:sSubSup>
                  <m:sSubSupPr>
                    <m:ctrlPr>
                      <w:rPr>
                        <w:rFonts w:ascii="Cambria Math" w:hAnsi="Cambria Math"/>
                        <w:iCs/>
                      </w:rPr>
                    </m:ctrlPr>
                  </m:sSubSupPr>
                  <m:e>
                    <m:r>
                      <w:rPr>
                        <w:rFonts w:ascii="Cambria Math" w:hAnsi="Cambria Math"/>
                      </w:rPr>
                      <m:t>N</m:t>
                    </m:r>
                  </m:e>
                  <m:sub>
                    <m:r>
                      <m:rPr>
                        <m:sty m:val="p"/>
                      </m:rPr>
                      <w:rPr>
                        <w:rFonts w:ascii="Cambria Math" w:hAnsi="Cambria Math"/>
                      </w:rPr>
                      <m:t>ref</m:t>
                    </m:r>
                  </m:sub>
                  <m:sup>
                    <m:r>
                      <m:rPr>
                        <m:sty m:val="p"/>
                      </m:rPr>
                      <w:rPr>
                        <w:rFonts w:ascii="Cambria Math" w:hAnsi="Cambria Math"/>
                      </w:rPr>
                      <m:t>PUCCH</m:t>
                    </m:r>
                  </m:sup>
                </m:sSubSup>
              </m:num>
              <m:den>
                <m:sSubSup>
                  <m:sSubSupPr>
                    <m:ctrlPr>
                      <w:rPr>
                        <w:rFonts w:ascii="Cambria Math" w:hAnsi="Cambria Math"/>
                        <w:iCs/>
                      </w:rPr>
                    </m:ctrlPr>
                  </m:sSubSupPr>
                  <m:e>
                    <m:r>
                      <w:rPr>
                        <w:rFonts w:ascii="Cambria Math" w:hAnsi="Cambria Math"/>
                      </w:rPr>
                      <m:t>N</m:t>
                    </m:r>
                  </m:e>
                  <m:sub>
                    <m:r>
                      <m:rPr>
                        <m:sty m:val="p"/>
                      </m:rPr>
                      <w:rPr>
                        <w:rFonts w:ascii="Cambria Math" w:hAnsi="Cambria Math"/>
                      </w:rPr>
                      <m:t>symb</m:t>
                    </m:r>
                  </m:sub>
                  <m:sup>
                    <m:r>
                      <m:rPr>
                        <m:sty m:val="p"/>
                      </m:rPr>
                      <w:rPr>
                        <w:rFonts w:ascii="Cambria Math" w:hAnsi="Cambria Math"/>
                      </w:rPr>
                      <m:t>PUCCH</m:t>
                    </m:r>
                  </m:sup>
                </m:sSubSup>
                <m:r>
                  <w:rPr>
                    <w:rFonts w:ascii="Cambria Math" w:hAnsi="Cambria Math"/>
                  </w:rPr>
                  <m:t>(i)</m:t>
                </m:r>
              </m:den>
            </m:f>
          </m:e>
        </m:d>
        <m:r>
          <w:rPr>
            <w:rFonts w:ascii="Cambria Math" w:hAnsi="Cambria Math"/>
          </w:rPr>
          <m:t>+</m:t>
        </m:r>
        <m:sSub>
          <m:sSubPr>
            <m:ctrlPr>
              <w:rPr>
                <w:rFonts w:ascii="Cambria Math" w:hAnsi="Cambria Math"/>
                <w:i/>
              </w:rPr>
            </m:ctrlPr>
          </m:sSubPr>
          <m:e>
            <m:r>
              <w:rPr>
                <w:rFonts w:ascii="Cambria Math" w:hAnsi="Cambria Math"/>
              </w:rPr>
              <m:t>∆</m:t>
            </m:r>
          </m:e>
          <m:sub>
            <m:r>
              <m:rPr>
                <m:sty m:val="p"/>
              </m:rPr>
              <w:rPr>
                <w:rFonts w:ascii="Cambria Math" w:hAnsi="Cambria Math"/>
              </w:rPr>
              <m:t>UCI</m:t>
            </m:r>
          </m:sub>
        </m:sSub>
        <m:d>
          <m:dPr>
            <m:ctrlPr>
              <w:rPr>
                <w:rFonts w:ascii="Cambria Math" w:hAnsi="Cambria Math"/>
                <w:i/>
              </w:rPr>
            </m:ctrlPr>
          </m:dPr>
          <m:e>
            <m:r>
              <w:rPr>
                <w:rFonts w:ascii="Cambria Math" w:hAnsi="Cambria Math"/>
              </w:rPr>
              <m:t>i</m:t>
            </m:r>
          </m:e>
        </m:d>
      </m:oMath>
      <w:r w:rsidRPr="00F415B1">
        <w:t xml:space="preserve"> where </w:t>
      </w:r>
    </w:p>
    <w:p w14:paraId="4B43067C" w14:textId="77777777" w:rsidR="003C2FA6" w:rsidRPr="00F415B1" w:rsidRDefault="003C2FA6" w:rsidP="003C2FA6">
      <w:pPr>
        <w:pStyle w:val="B3"/>
      </w:pPr>
      <w:r w:rsidRPr="00F415B1">
        <w:t>-</w:t>
      </w:r>
      <w:r w:rsidRPr="00F415B1">
        <w:tab/>
      </w:r>
      <m:oMath>
        <m:sSubSup>
          <m:sSubSupPr>
            <m:ctrlPr>
              <w:rPr>
                <w:rFonts w:ascii="Cambria Math" w:hAnsi="Cambria Math"/>
                <w:iCs/>
              </w:rPr>
            </m:ctrlPr>
          </m:sSubSupPr>
          <m:e>
            <m:r>
              <w:rPr>
                <w:rFonts w:ascii="Cambria Math" w:hAnsi="Cambria Math"/>
              </w:rPr>
              <m:t>N</m:t>
            </m:r>
          </m:e>
          <m:sub>
            <m:r>
              <m:rPr>
                <m:sty m:val="p"/>
              </m:rPr>
              <w:rPr>
                <w:rFonts w:ascii="Cambria Math" w:hAnsi="Cambria Math"/>
              </w:rPr>
              <m:t>symb</m:t>
            </m:r>
          </m:sub>
          <m:sup>
            <m:r>
              <m:rPr>
                <m:sty m:val="p"/>
              </m:rPr>
              <w:rPr>
                <w:rFonts w:ascii="Cambria Math" w:hAnsi="Cambria Math"/>
              </w:rPr>
              <m:t>PUCCH</m:t>
            </m:r>
          </m:sup>
        </m:sSubSup>
        <m:r>
          <w:rPr>
            <w:rFonts w:ascii="Cambria Math" w:hAnsi="Cambria Math"/>
          </w:rPr>
          <m:t>(i)</m:t>
        </m:r>
      </m:oMath>
      <w:r w:rsidRPr="00F415B1">
        <w:t xml:space="preserve"> is a number of </w:t>
      </w:r>
      <w:r w:rsidRPr="00F415B1">
        <w:rPr>
          <w:lang w:val="en-US"/>
        </w:rPr>
        <w:t xml:space="preserve">PUCCH format 0 </w:t>
      </w:r>
      <w:r w:rsidRPr="00F415B1">
        <w:t>symbols</w:t>
      </w:r>
      <w:r w:rsidRPr="00F415B1">
        <w:rPr>
          <w:lang w:val="en-US"/>
        </w:rPr>
        <w:t xml:space="preserve"> or PUCCH format 1 symbols for the PUCCH transmission as described in clause 9.2.</w:t>
      </w:r>
    </w:p>
    <w:p w14:paraId="655C976A" w14:textId="77777777" w:rsidR="003C2FA6" w:rsidRPr="00F415B1" w:rsidRDefault="003C2FA6" w:rsidP="003C2FA6">
      <w:pPr>
        <w:pStyle w:val="B3"/>
      </w:pPr>
      <w:r w:rsidRPr="00F415B1">
        <w:t>-</w:t>
      </w:r>
      <w:r w:rsidRPr="00F415B1">
        <w:tab/>
      </w:r>
      <m:oMath>
        <m:sSubSup>
          <m:sSubSupPr>
            <m:ctrlPr>
              <w:rPr>
                <w:rFonts w:ascii="Cambria Math" w:hAnsi="Cambria Math"/>
                <w:iCs/>
              </w:rPr>
            </m:ctrlPr>
          </m:sSubSupPr>
          <m:e>
            <m:r>
              <w:rPr>
                <w:rFonts w:ascii="Cambria Math" w:hAnsi="Cambria Math"/>
              </w:rPr>
              <m:t>N</m:t>
            </m:r>
          </m:e>
          <m:sub>
            <m:r>
              <m:rPr>
                <m:sty m:val="p"/>
              </m:rPr>
              <w:rPr>
                <w:rFonts w:ascii="Cambria Math" w:hAnsi="Cambria Math"/>
              </w:rPr>
              <m:t>ref</m:t>
            </m:r>
          </m:sub>
          <m:sup>
            <m:r>
              <m:rPr>
                <m:sty m:val="p"/>
              </m:rPr>
              <w:rPr>
                <w:rFonts w:ascii="Cambria Math" w:hAnsi="Cambria Math"/>
              </w:rPr>
              <m:t>PUCCH</m:t>
            </m:r>
          </m:sup>
        </m:sSubSup>
        <m:r>
          <w:rPr>
            <w:rFonts w:ascii="Cambria Math" w:hAnsi="Cambria Math"/>
          </w:rPr>
          <m:t>=2</m:t>
        </m:r>
      </m:oMath>
      <w:r w:rsidRPr="00F415B1">
        <w:rPr>
          <w:lang w:val="en-US"/>
        </w:rPr>
        <w:t xml:space="preserve"> for PUCCH format 0 </w:t>
      </w:r>
    </w:p>
    <w:p w14:paraId="2C29AB94" w14:textId="77777777" w:rsidR="003C2FA6" w:rsidRPr="00F415B1" w:rsidRDefault="003C2FA6" w:rsidP="003C2FA6">
      <w:pPr>
        <w:pStyle w:val="B3"/>
        <w:rPr>
          <w:lang w:val="en-US"/>
        </w:rPr>
      </w:pPr>
      <w:r w:rsidRPr="00F415B1">
        <w:t>-</w:t>
      </w:r>
      <w:r w:rsidRPr="00F415B1">
        <w:tab/>
      </w:r>
      <m:oMath>
        <m:sSubSup>
          <m:sSubSupPr>
            <m:ctrlPr>
              <w:rPr>
                <w:rFonts w:ascii="Cambria Math" w:hAnsi="Cambria Math"/>
                <w:iCs/>
              </w:rPr>
            </m:ctrlPr>
          </m:sSubSupPr>
          <m:e>
            <m:r>
              <w:rPr>
                <w:rFonts w:ascii="Cambria Math" w:hAnsi="Cambria Math"/>
              </w:rPr>
              <m:t>N</m:t>
            </m:r>
          </m:e>
          <m:sub>
            <m:r>
              <m:rPr>
                <m:sty m:val="p"/>
              </m:rPr>
              <w:rPr>
                <w:rFonts w:ascii="Cambria Math" w:hAnsi="Cambria Math"/>
              </w:rPr>
              <m:t>ref</m:t>
            </m:r>
          </m:sub>
          <m:sup>
            <m:r>
              <m:rPr>
                <m:sty m:val="p"/>
              </m:rPr>
              <w:rPr>
                <w:rFonts w:ascii="Cambria Math" w:hAnsi="Cambria Math"/>
              </w:rPr>
              <m:t>PUCCH</m:t>
            </m:r>
          </m:sup>
        </m:sSubSup>
        <m:r>
          <w:rPr>
            <w:rFonts w:ascii="Cambria Math" w:hAnsi="Cambria Math"/>
          </w:rPr>
          <m:t>=</m:t>
        </m:r>
        <m:sSubSup>
          <m:sSubSupPr>
            <m:ctrlPr>
              <w:rPr>
                <w:rFonts w:ascii="Cambria Math" w:hAnsi="Cambria Math"/>
                <w:iCs/>
              </w:rPr>
            </m:ctrlPr>
          </m:sSubSupPr>
          <m:e>
            <m:r>
              <w:rPr>
                <w:rFonts w:ascii="Cambria Math" w:hAnsi="Cambria Math"/>
              </w:rPr>
              <m:t>N</m:t>
            </m:r>
          </m:e>
          <m:sub>
            <m:r>
              <m:rPr>
                <m:sty m:val="p"/>
              </m:rPr>
              <w:rPr>
                <w:rFonts w:ascii="Cambria Math" w:hAnsi="Cambria Math"/>
              </w:rPr>
              <m:t>symb</m:t>
            </m:r>
          </m:sub>
          <m:sup>
            <m:r>
              <m:rPr>
                <m:sty m:val="p"/>
              </m:rPr>
              <w:rPr>
                <w:rFonts w:ascii="Cambria Math" w:hAnsi="Cambria Math"/>
              </w:rPr>
              <m:t>slot</m:t>
            </m:r>
          </m:sup>
        </m:sSubSup>
      </m:oMath>
      <w:r w:rsidRPr="00F415B1">
        <w:rPr>
          <w:lang w:val="en-US"/>
        </w:rPr>
        <w:t xml:space="preserve"> for PUCCH format 1</w:t>
      </w:r>
    </w:p>
    <w:p w14:paraId="3296F46C" w14:textId="221C3D58" w:rsidR="0040427D" w:rsidRPr="00F415B1" w:rsidRDefault="0040427D" w:rsidP="0040427D">
      <w:pPr>
        <w:pStyle w:val="B3"/>
      </w:pPr>
      <w:r w:rsidRPr="00F415B1">
        <w:t>-</w:t>
      </w:r>
      <w:r w:rsidRPr="00F415B1">
        <w:tab/>
      </w:r>
      <w:r>
        <w:t xml:space="preserve">For PUCCH format 0, </w:t>
      </w:r>
      <m:oMath>
        <m:sSub>
          <m:sSubPr>
            <m:ctrlPr>
              <w:rPr>
                <w:rFonts w:ascii="Cambria Math" w:hAnsi="Cambria Math"/>
                <w:i/>
              </w:rPr>
            </m:ctrlPr>
          </m:sSubPr>
          <m:e>
            <m:r>
              <w:rPr>
                <w:rFonts w:ascii="Cambria Math" w:hAnsi="Cambria Math"/>
              </w:rPr>
              <m:t>∆</m:t>
            </m:r>
          </m:e>
          <m:sub>
            <m:r>
              <m:rPr>
                <m:sty m:val="p"/>
              </m:rPr>
              <w:rPr>
                <w:rFonts w:ascii="Cambria Math" w:hAnsi="Cambria Math"/>
              </w:rPr>
              <m:t>UCI</m:t>
            </m:r>
          </m:sub>
        </m:sSub>
        <m:d>
          <m:dPr>
            <m:ctrlPr>
              <w:rPr>
                <w:rFonts w:ascii="Cambria Math" w:hAnsi="Cambria Math"/>
                <w:i/>
              </w:rPr>
            </m:ctrlPr>
          </m:dPr>
          <m:e>
            <m:r>
              <w:rPr>
                <w:rFonts w:ascii="Cambria Math" w:hAnsi="Cambria Math"/>
              </w:rPr>
              <m:t>i</m:t>
            </m:r>
          </m:e>
        </m:d>
        <m:r>
          <w:rPr>
            <w:rFonts w:ascii="Cambria Math" w:hAnsi="Cambria Math"/>
          </w:rPr>
          <m:t>=0</m:t>
        </m:r>
      </m:oMath>
      <w:r w:rsidRPr="00F415B1">
        <w:rPr>
          <w:lang w:val="en-US"/>
        </w:rPr>
        <w:t xml:space="preserve"> </w:t>
      </w:r>
    </w:p>
    <w:p w14:paraId="642BB2EA" w14:textId="77777777" w:rsidR="0040427D" w:rsidRDefault="0040427D" w:rsidP="0040427D">
      <w:pPr>
        <w:pStyle w:val="B3"/>
      </w:pPr>
      <w:r w:rsidRPr="00F415B1">
        <w:t>-</w:t>
      </w:r>
      <w:r w:rsidRPr="00F415B1">
        <w:tab/>
      </w:r>
      <w:r>
        <w:t>For PUCCH format 1</w:t>
      </w:r>
    </w:p>
    <w:p w14:paraId="7B7BB97C" w14:textId="77777777" w:rsidR="0040427D" w:rsidRDefault="0040427D" w:rsidP="0040427D">
      <w:pPr>
        <w:pStyle w:val="B4"/>
      </w:pPr>
      <w:r w:rsidRPr="00F415B1">
        <w:t>-</w:t>
      </w:r>
      <w:r w:rsidRPr="00F415B1">
        <w:tab/>
      </w:r>
      <w:r>
        <w:rPr>
          <w:lang w:val="en-US"/>
        </w:rPr>
        <w:t xml:space="preserve">if the PUCCH transmission provides multicast HARQ-ACK information according to the </w:t>
      </w:r>
      <w:r w:rsidRPr="00B06CC2">
        <w:t>second HARQ-ACK reporting mode</w:t>
      </w:r>
      <w:r>
        <w:t xml:space="preserve"> as described in clause 18, </w:t>
      </w:r>
      <m:oMath>
        <m:sSub>
          <m:sSubPr>
            <m:ctrlPr>
              <w:rPr>
                <w:rFonts w:ascii="Cambria Math" w:hAnsi="Cambria Math"/>
                <w:i/>
              </w:rPr>
            </m:ctrlPr>
          </m:sSubPr>
          <m:e>
            <m:r>
              <w:rPr>
                <w:rFonts w:ascii="Cambria Math" w:hAnsi="Cambria Math"/>
              </w:rPr>
              <m:t>∆</m:t>
            </m:r>
          </m:e>
          <m:sub>
            <m:r>
              <m:rPr>
                <m:sty m:val="p"/>
              </m:rPr>
              <w:rPr>
                <w:rFonts w:ascii="Cambria Math" w:hAnsi="Cambria Math"/>
              </w:rPr>
              <m:t>UCI</m:t>
            </m:r>
          </m:sub>
        </m:sSub>
        <m:d>
          <m:dPr>
            <m:ctrlPr>
              <w:rPr>
                <w:rFonts w:ascii="Cambria Math" w:hAnsi="Cambria Math"/>
                <w:i/>
              </w:rPr>
            </m:ctrlPr>
          </m:dPr>
          <m:e>
            <m:r>
              <w:rPr>
                <w:rFonts w:ascii="Cambria Math" w:hAnsi="Cambria Math"/>
              </w:rPr>
              <m:t>i</m:t>
            </m:r>
          </m:e>
        </m:d>
        <m:r>
          <w:rPr>
            <w:rFonts w:ascii="Cambria Math" w:hAnsi="Cambria Math"/>
          </w:rPr>
          <m:t>=0</m:t>
        </m:r>
      </m:oMath>
    </w:p>
    <w:p w14:paraId="2DE3C53C" w14:textId="15D125EB" w:rsidR="003C2FA6" w:rsidRPr="00F415B1" w:rsidRDefault="003C2FA6" w:rsidP="0040427D">
      <w:pPr>
        <w:pStyle w:val="B4"/>
      </w:pPr>
      <w:r w:rsidRPr="00F415B1">
        <w:t>-</w:t>
      </w:r>
      <w:r w:rsidRPr="00F415B1">
        <w:tab/>
      </w:r>
      <w:r w:rsidR="0040427D">
        <w:t xml:space="preserve">otherwise, </w:t>
      </w:r>
      <m:oMath>
        <m:sSub>
          <m:sSubPr>
            <m:ctrlPr>
              <w:rPr>
                <w:rFonts w:ascii="Cambria Math" w:hAnsi="Cambria Math"/>
                <w:i/>
              </w:rPr>
            </m:ctrlPr>
          </m:sSubPr>
          <m:e>
            <m:r>
              <w:rPr>
                <w:rFonts w:ascii="Cambria Math" w:hAnsi="Cambria Math"/>
              </w:rPr>
              <m:t>∆</m:t>
            </m:r>
          </m:e>
          <m:sub>
            <m:r>
              <m:rPr>
                <m:sty m:val="p"/>
              </m:rPr>
              <w:rPr>
                <w:rFonts w:ascii="Cambria Math" w:hAnsi="Cambria Math"/>
              </w:rPr>
              <m:t>UCI</m:t>
            </m:r>
          </m:sub>
        </m:sSub>
        <m:d>
          <m:dPr>
            <m:ctrlPr>
              <w:rPr>
                <w:rFonts w:ascii="Cambria Math" w:hAnsi="Cambria Math"/>
                <w:i/>
              </w:rPr>
            </m:ctrlPr>
          </m:dPr>
          <m:e>
            <m:r>
              <w:rPr>
                <w:rFonts w:ascii="Cambria Math" w:hAnsi="Cambria Math"/>
              </w:rPr>
              <m:t>i</m:t>
            </m:r>
          </m:e>
        </m:d>
        <m:r>
          <w:rPr>
            <w:rFonts w:ascii="Cambria Math" w:hAnsi="Cambria Math"/>
          </w:rPr>
          <m:t>=10</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sSub>
              <m:sSubPr>
                <m:ctrlPr>
                  <w:rPr>
                    <w:rFonts w:ascii="Cambria Math" w:hAnsi="Cambria Math"/>
                    <w:i/>
                  </w:rPr>
                </m:ctrlPr>
              </m:sSubPr>
              <m:e>
                <m:r>
                  <w:rPr>
                    <w:rFonts w:ascii="Cambria Math" w:hAnsi="Cambria Math"/>
                  </w:rPr>
                  <m:t>O</m:t>
                </m:r>
              </m:e>
              <m:sub>
                <m:r>
                  <m:rPr>
                    <m:sty m:val="p"/>
                  </m:rPr>
                  <w:rPr>
                    <w:rFonts w:ascii="Cambria Math" w:hAnsi="Cambria Math"/>
                  </w:rPr>
                  <m:t>UCI</m:t>
                </m:r>
              </m:sub>
            </m:sSub>
            <m:d>
              <m:dPr>
                <m:ctrlPr>
                  <w:rPr>
                    <w:rFonts w:ascii="Cambria Math" w:hAnsi="Cambria Math"/>
                    <w:i/>
                  </w:rPr>
                </m:ctrlPr>
              </m:dPr>
              <m:e>
                <m:r>
                  <w:rPr>
                    <w:rFonts w:ascii="Cambria Math" w:hAnsi="Cambria Math"/>
                  </w:rPr>
                  <m:t>i</m:t>
                </m:r>
              </m:e>
            </m:d>
          </m:e>
        </m:d>
      </m:oMath>
      <w:r w:rsidRPr="00F415B1">
        <w:rPr>
          <w:lang w:val="en-US"/>
        </w:rPr>
        <w:t xml:space="preserve">, where </w:t>
      </w:r>
      <m:oMath>
        <m:sSub>
          <m:sSubPr>
            <m:ctrlPr>
              <w:rPr>
                <w:rFonts w:ascii="Cambria Math" w:hAnsi="Cambria Math"/>
                <w:i/>
              </w:rPr>
            </m:ctrlPr>
          </m:sSubPr>
          <m:e>
            <m:r>
              <w:rPr>
                <w:rFonts w:ascii="Cambria Math" w:hAnsi="Cambria Math"/>
              </w:rPr>
              <m:t>O</m:t>
            </m:r>
          </m:e>
          <m:sub>
            <m:r>
              <m:rPr>
                <m:sty m:val="p"/>
              </m:rPr>
              <w:rPr>
                <w:rFonts w:ascii="Cambria Math" w:hAnsi="Cambria Math"/>
              </w:rPr>
              <m:t>UCI</m:t>
            </m:r>
          </m:sub>
        </m:sSub>
        <m:d>
          <m:dPr>
            <m:ctrlPr>
              <w:rPr>
                <w:rFonts w:ascii="Cambria Math" w:hAnsi="Cambria Math"/>
                <w:i/>
              </w:rPr>
            </m:ctrlPr>
          </m:dPr>
          <m:e>
            <m:r>
              <w:rPr>
                <w:rFonts w:ascii="Cambria Math" w:hAnsi="Cambria Math"/>
              </w:rPr>
              <m:t>i</m:t>
            </m:r>
          </m:e>
        </m:d>
      </m:oMath>
      <w:r w:rsidRPr="00F415B1">
        <w:t xml:space="preserve"> is a number of UCI bits in PUCCH </w:t>
      </w:r>
      <w:r w:rsidRPr="00F415B1">
        <w:rPr>
          <w:iCs/>
        </w:rPr>
        <w:t xml:space="preserve">transmission occasion </w:t>
      </w:r>
      <m:oMath>
        <m:r>
          <w:rPr>
            <w:rFonts w:ascii="Cambria Math" w:hAnsi="Cambria Math"/>
          </w:rPr>
          <m:t>i</m:t>
        </m:r>
      </m:oMath>
      <w:r w:rsidRPr="00F415B1">
        <w:rPr>
          <w:iCs/>
        </w:rPr>
        <w:t xml:space="preserve"> </w:t>
      </w:r>
    </w:p>
    <w:p w14:paraId="16124F17" w14:textId="77777777" w:rsidR="003C2FA6" w:rsidRPr="00F415B1" w:rsidRDefault="003C2FA6" w:rsidP="003C2FA6">
      <w:pPr>
        <w:pStyle w:val="B2"/>
      </w:pPr>
      <w:r w:rsidRPr="00F415B1">
        <w:rPr>
          <w:lang w:val="en-US" w:eastAsia="zh-CN"/>
        </w:rPr>
        <w:lastRenderedPageBreak/>
        <w:t>-</w:t>
      </w:r>
      <w:r w:rsidRPr="00F415B1">
        <w:rPr>
          <w:lang w:val="en-US" w:eastAsia="zh-CN"/>
        </w:rPr>
        <w:tab/>
        <w:t xml:space="preserve">For a PUCCH transmission using PUCCH format 2 or PUCCH format 3 or PUCCH format 4 and for a number of UCI bits smaller than or equal to 11, </w:t>
      </w:r>
      <m:oMath>
        <m:sSub>
          <m:sSubPr>
            <m:ctrlPr>
              <w:rPr>
                <w:rFonts w:ascii="Cambria Math" w:hAnsi="Cambria Math"/>
                <w:i/>
              </w:rPr>
            </m:ctrlPr>
          </m:sSubPr>
          <m:e>
            <m:r>
              <w:rPr>
                <w:rFonts w:ascii="Cambria Math" w:hAnsi="Cambria Math"/>
              </w:rPr>
              <m:t>∆</m:t>
            </m:r>
          </m:e>
          <m:sub>
            <m:r>
              <m:rPr>
                <m:sty m:val="p"/>
              </m:rPr>
              <w:rPr>
                <w:rFonts w:ascii="Cambria Math" w:hAnsi="Cambria Math"/>
              </w:rPr>
              <m:t>TF</m:t>
            </m:r>
            <m:r>
              <w:rPr>
                <w:rFonts w:ascii="Cambria Math" w:hAnsi="Cambria Math"/>
              </w:rPr>
              <m:t>,b,f,c</m:t>
            </m:r>
          </m:sub>
        </m:sSub>
        <m:d>
          <m:dPr>
            <m:ctrlPr>
              <w:rPr>
                <w:rFonts w:ascii="Cambria Math" w:hAnsi="Cambria Math"/>
                <w:i/>
              </w:rPr>
            </m:ctrlPr>
          </m:dPr>
          <m:e>
            <m:r>
              <w:rPr>
                <w:rFonts w:ascii="Cambria Math" w:hAnsi="Cambria Math"/>
              </w:rPr>
              <m:t>i</m:t>
            </m:r>
          </m:e>
        </m:d>
        <m:r>
          <w:rPr>
            <w:rFonts w:ascii="Cambria Math" w:hAnsi="Cambria Math"/>
          </w:rPr>
          <m:t>=10</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m:rPr>
                    <m:sty m:val="p"/>
                  </m:rPr>
                  <w:rPr>
                    <w:rFonts w:ascii="Cambria Math" w:hAnsi="Cambria Math"/>
                  </w:rPr>
                  <m:t>1</m:t>
                </m:r>
              </m:sub>
            </m:sSub>
            <m:r>
              <w:rPr>
                <w:rFonts w:ascii="Cambria Math" w:hAnsi="Cambria Math" w:cs="Cambria Math"/>
              </w:rPr>
              <m:t>⋅</m:t>
            </m:r>
            <m:f>
              <m:fPr>
                <m:type m:val="lin"/>
                <m:ctrlPr>
                  <w:rPr>
                    <w:rFonts w:ascii="Cambria Math" w:hAnsi="Cambria Math" w:cs="Cambria Math"/>
                    <w:i/>
                  </w:rPr>
                </m:ctrlPr>
              </m:fPr>
              <m:num>
                <m:d>
                  <m:dPr>
                    <m:ctrlPr>
                      <w:rPr>
                        <w:rFonts w:ascii="Cambria Math" w:hAnsi="Cambria Math" w:cs="Cambria Math"/>
                        <w:i/>
                      </w:rPr>
                    </m:ctrlPr>
                  </m:dPr>
                  <m:e>
                    <m:sSub>
                      <m:sSubPr>
                        <m:ctrlPr>
                          <w:rPr>
                            <w:rFonts w:ascii="Cambria Math" w:hAnsi="Cambria Math"/>
                            <w:i/>
                          </w:rPr>
                        </m:ctrlPr>
                      </m:sSubPr>
                      <m:e>
                        <m:r>
                          <w:rPr>
                            <w:rFonts w:ascii="Cambria Math" w:hAnsi="Cambria Math"/>
                          </w:rPr>
                          <m:t>n</m:t>
                        </m:r>
                      </m:e>
                      <m:sub>
                        <m:r>
                          <m:rPr>
                            <m:sty m:val="p"/>
                          </m:rPr>
                          <w:rPr>
                            <w:rFonts w:ascii="Cambria Math" w:hAnsi="Cambria Math"/>
                          </w:rPr>
                          <m:t>HARQ-ACK</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O</m:t>
                        </m:r>
                      </m:e>
                      <m:sub>
                        <m:r>
                          <m:rPr>
                            <m:sty m:val="p"/>
                          </m:rPr>
                          <w:rPr>
                            <w:rFonts w:ascii="Cambria Math" w:hAnsi="Cambria Math"/>
                          </w:rPr>
                          <m:t>SR</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O</m:t>
                        </m:r>
                      </m:e>
                      <m:sub>
                        <m:r>
                          <m:rPr>
                            <m:sty m:val="p"/>
                          </m:rPr>
                          <w:rPr>
                            <w:rFonts w:ascii="Cambria Math" w:hAnsi="Cambria Math"/>
                          </w:rPr>
                          <m:t>CSI</m:t>
                        </m:r>
                      </m:sub>
                    </m:sSub>
                    <m:d>
                      <m:dPr>
                        <m:ctrlPr>
                          <w:rPr>
                            <w:rFonts w:ascii="Cambria Math" w:hAnsi="Cambria Math"/>
                            <w:i/>
                          </w:rPr>
                        </m:ctrlPr>
                      </m:dPr>
                      <m:e>
                        <m:r>
                          <w:rPr>
                            <w:rFonts w:ascii="Cambria Math" w:hAnsi="Cambria Math"/>
                          </w:rPr>
                          <m:t>i</m:t>
                        </m:r>
                      </m:e>
                    </m:d>
                  </m:e>
                </m:d>
              </m:num>
              <m:den>
                <m:sSub>
                  <m:sSubPr>
                    <m:ctrlPr>
                      <w:rPr>
                        <w:rFonts w:ascii="Cambria Math" w:hAnsi="Cambria Math"/>
                        <w:i/>
                      </w:rPr>
                    </m:ctrlPr>
                  </m:sSubPr>
                  <m:e>
                    <m:r>
                      <w:rPr>
                        <w:rFonts w:ascii="Cambria Math" w:hAnsi="Cambria Math"/>
                      </w:rPr>
                      <m:t>N</m:t>
                    </m:r>
                  </m:e>
                  <m:sub>
                    <m:r>
                      <m:rPr>
                        <m:sty m:val="p"/>
                      </m:rPr>
                      <w:rPr>
                        <w:rFonts w:ascii="Cambria Math" w:hAnsi="Cambria Math"/>
                      </w:rPr>
                      <m:t>RE</m:t>
                    </m:r>
                  </m:sub>
                </m:sSub>
                <m:d>
                  <m:dPr>
                    <m:ctrlPr>
                      <w:rPr>
                        <w:rFonts w:ascii="Cambria Math" w:hAnsi="Cambria Math"/>
                        <w:i/>
                      </w:rPr>
                    </m:ctrlPr>
                  </m:dPr>
                  <m:e>
                    <m:r>
                      <w:rPr>
                        <w:rFonts w:ascii="Cambria Math" w:hAnsi="Cambria Math"/>
                      </w:rPr>
                      <m:t>i</m:t>
                    </m:r>
                  </m:e>
                </m:d>
              </m:den>
            </m:f>
          </m:e>
        </m:d>
      </m:oMath>
      <w:r w:rsidRPr="00F415B1">
        <w:rPr>
          <w:lang w:val="en-US"/>
        </w:rPr>
        <w:t xml:space="preserve">, where </w:t>
      </w:r>
    </w:p>
    <w:p w14:paraId="5770D2FC" w14:textId="77777777" w:rsidR="003C2FA6" w:rsidRPr="00F415B1" w:rsidRDefault="003C2FA6" w:rsidP="003C2FA6">
      <w:pPr>
        <w:pStyle w:val="B3"/>
      </w:pPr>
      <w:r w:rsidRPr="00F415B1">
        <w:t>-</w:t>
      </w:r>
      <w:r w:rsidRPr="00F415B1">
        <w:tab/>
      </w:r>
      <m:oMath>
        <m:sSub>
          <m:sSubPr>
            <m:ctrlPr>
              <w:rPr>
                <w:rFonts w:ascii="Cambria Math" w:hAnsi="Cambria Math"/>
                <w:i/>
              </w:rPr>
            </m:ctrlPr>
          </m:sSubPr>
          <m:e>
            <m:r>
              <w:rPr>
                <w:rFonts w:ascii="Cambria Math" w:hAnsi="Cambria Math"/>
              </w:rPr>
              <m:t>K</m:t>
            </m:r>
          </m:e>
          <m:sub>
            <m:r>
              <m:rPr>
                <m:sty m:val="p"/>
              </m:rPr>
              <w:rPr>
                <w:rFonts w:ascii="Cambria Math" w:hAnsi="Cambria Math"/>
              </w:rPr>
              <m:t>1</m:t>
            </m:r>
          </m:sub>
        </m:sSub>
        <m:r>
          <w:rPr>
            <w:rFonts w:ascii="Cambria Math" w:hAnsi="Cambria Math"/>
          </w:rPr>
          <m:t>=6</m:t>
        </m:r>
      </m:oMath>
    </w:p>
    <w:p w14:paraId="641CC1EB" w14:textId="0B6D4BBF" w:rsidR="003C2FA6" w:rsidRPr="00F415B1" w:rsidRDefault="003C2FA6" w:rsidP="003C2FA6">
      <w:pPr>
        <w:pStyle w:val="B3"/>
      </w:pPr>
      <w:r w:rsidRPr="00F415B1">
        <w:t>-</w:t>
      </w:r>
      <w:r w:rsidRPr="00F415B1">
        <w:tab/>
      </w:r>
      <m:oMath>
        <m:sSub>
          <m:sSubPr>
            <m:ctrlPr>
              <w:rPr>
                <w:rFonts w:ascii="Cambria Math" w:hAnsi="Cambria Math"/>
                <w:i/>
              </w:rPr>
            </m:ctrlPr>
          </m:sSubPr>
          <m:e>
            <m:r>
              <w:rPr>
                <w:rFonts w:ascii="Cambria Math" w:hAnsi="Cambria Math"/>
              </w:rPr>
              <m:t>n</m:t>
            </m:r>
          </m:e>
          <m:sub>
            <m:r>
              <m:rPr>
                <m:sty m:val="p"/>
              </m:rPr>
              <w:rPr>
                <w:rFonts w:ascii="Cambria Math" w:hAnsi="Cambria Math"/>
              </w:rPr>
              <m:t>HARQ-ACK</m:t>
            </m:r>
          </m:sub>
        </m:sSub>
        <m:d>
          <m:dPr>
            <m:ctrlPr>
              <w:rPr>
                <w:rFonts w:ascii="Cambria Math" w:hAnsi="Cambria Math"/>
                <w:i/>
              </w:rPr>
            </m:ctrlPr>
          </m:dPr>
          <m:e>
            <m:r>
              <w:rPr>
                <w:rFonts w:ascii="Cambria Math" w:hAnsi="Cambria Math"/>
              </w:rPr>
              <m:t>i</m:t>
            </m:r>
          </m:e>
        </m:d>
      </m:oMath>
      <w:r w:rsidRPr="00F415B1">
        <w:rPr>
          <w:lang w:val="en-US"/>
        </w:rPr>
        <w:t xml:space="preserve"> is a number of HARQ-ACK information bits that the UE determines as described in clause 9.1.2.1 or 16.5.1.1 for Type-1 HARQ-ACK codebook and as described in clause 9.1.3.1 or 9.1.3.3 or 16.5.2.1 for Type-2 HARQ-ACK codebook</w:t>
      </w:r>
      <w:r w:rsidR="00787B4D" w:rsidRPr="00132081">
        <w:rPr>
          <w:rFonts w:hint="eastAsia"/>
          <w:lang w:val="en-US" w:eastAsia="zh-CN"/>
        </w:rPr>
        <w:t xml:space="preserve">, </w:t>
      </w:r>
      <w:r w:rsidR="00787B4D">
        <w:rPr>
          <w:rFonts w:hint="eastAsia"/>
          <w:lang w:val="en-US" w:eastAsia="zh-CN"/>
        </w:rPr>
        <w:t xml:space="preserve">or </w:t>
      </w:r>
      <w:r w:rsidR="00787B4D" w:rsidRPr="00132081">
        <w:rPr>
          <w:rFonts w:hint="eastAsia"/>
          <w:lang w:val="en-US" w:eastAsia="zh-CN"/>
        </w:rPr>
        <w:t>as described in clause 9.1.5 for HARQ-ACK codebook retransmission</w:t>
      </w:r>
      <w:r w:rsidR="00787B4D">
        <w:rPr>
          <w:rFonts w:hint="eastAsia"/>
          <w:lang w:val="en-US" w:eastAsia="zh-CN"/>
        </w:rPr>
        <w:t>,</w:t>
      </w:r>
      <w:r w:rsidR="00787B4D" w:rsidRPr="00132081">
        <w:rPr>
          <w:rFonts w:hint="eastAsia"/>
          <w:lang w:val="en-US" w:eastAsia="zh-CN"/>
        </w:rPr>
        <w:t xml:space="preserve"> </w:t>
      </w:r>
      <w:r w:rsidR="00787B4D">
        <w:rPr>
          <w:rFonts w:hint="eastAsia"/>
          <w:lang w:val="en-US" w:eastAsia="zh-CN"/>
        </w:rPr>
        <w:t>or</w:t>
      </w:r>
      <w:r w:rsidR="00787B4D" w:rsidRPr="00132081">
        <w:rPr>
          <w:rFonts w:hint="eastAsia"/>
          <w:lang w:val="en-US" w:eastAsia="zh-CN"/>
        </w:rPr>
        <w:t xml:space="preserve"> as described in clause 9.2.5.4 for </w:t>
      </w:r>
      <w:r w:rsidR="00787B4D" w:rsidRPr="00132081">
        <w:t>deferring HARQ-ACK for SPS PDSCH</w:t>
      </w:r>
      <w:r w:rsidRPr="00F415B1">
        <w:rPr>
          <w:lang w:eastAsia="zh-CN"/>
        </w:rPr>
        <w:t>.</w:t>
      </w:r>
      <w:r w:rsidRPr="00F415B1">
        <w:rPr>
          <w:rFonts w:ascii="Cambria Math" w:hAnsi="Cambria Math"/>
          <w:i/>
        </w:rPr>
        <w:t xml:space="preserve"> </w:t>
      </w:r>
      <m:oMath>
        <m:sSub>
          <m:sSubPr>
            <m:ctrlPr>
              <w:rPr>
                <w:rFonts w:ascii="Cambria Math" w:hAnsi="Cambria Math"/>
                <w:i/>
              </w:rPr>
            </m:ctrlPr>
          </m:sSubPr>
          <m:e>
            <m:r>
              <w:rPr>
                <w:rFonts w:ascii="Cambria Math" w:hAnsi="Cambria Math"/>
              </w:rPr>
              <m:t>n</m:t>
            </m:r>
          </m:e>
          <m:sub>
            <m:r>
              <m:rPr>
                <m:sty m:val="p"/>
              </m:rPr>
              <w:rPr>
                <w:rFonts w:ascii="Cambria Math" w:hAnsi="Cambria Math"/>
              </w:rPr>
              <m:t>HARQ-ACK</m:t>
            </m:r>
          </m:sub>
        </m:sSub>
        <m:d>
          <m:dPr>
            <m:ctrlPr>
              <w:rPr>
                <w:rFonts w:ascii="Cambria Math" w:hAnsi="Cambria Math"/>
                <w:i/>
              </w:rPr>
            </m:ctrlPr>
          </m:dPr>
          <m:e>
            <m:r>
              <w:rPr>
                <w:rFonts w:ascii="Cambria Math" w:hAnsi="Cambria Math"/>
              </w:rPr>
              <m:t>i</m:t>
            </m:r>
          </m:e>
        </m:d>
      </m:oMath>
      <w:r w:rsidR="00206443">
        <w:rPr>
          <w:rFonts w:ascii="Cambria Math" w:hAnsi="Cambria Math"/>
          <w:i/>
        </w:rPr>
        <w:t xml:space="preserve"> </w:t>
      </w:r>
      <w:r w:rsidRPr="00F415B1">
        <w:rPr>
          <w:noProof/>
        </w:rPr>
        <w:t xml:space="preserve">is the same as </w:t>
      </w:r>
      <m:oMath>
        <m:sSub>
          <m:sSubPr>
            <m:ctrlPr>
              <w:rPr>
                <w:rFonts w:ascii="Cambria Math" w:hAnsi="Cambria Math"/>
                <w:i/>
              </w:rPr>
            </m:ctrlPr>
          </m:sSubPr>
          <m:e>
            <m:r>
              <w:rPr>
                <w:rFonts w:ascii="Cambria Math" w:hAnsi="Cambria Math"/>
              </w:rPr>
              <m:t>O</m:t>
            </m:r>
          </m:e>
          <m:sub>
            <m:r>
              <m:rPr>
                <m:sty m:val="p"/>
              </m:rPr>
              <w:rPr>
                <w:rFonts w:ascii="Cambria Math" w:hAnsi="Cambria Math"/>
              </w:rPr>
              <m:t>ACK</m:t>
            </m:r>
          </m:sub>
        </m:sSub>
        <m:d>
          <m:dPr>
            <m:ctrlPr>
              <w:rPr>
                <w:rFonts w:ascii="Cambria Math" w:hAnsi="Cambria Math"/>
                <w:i/>
              </w:rPr>
            </m:ctrlPr>
          </m:dPr>
          <m:e>
            <m:r>
              <w:rPr>
                <w:rFonts w:ascii="Cambria Math" w:hAnsi="Cambria Math"/>
              </w:rPr>
              <m:t>i</m:t>
            </m:r>
          </m:e>
        </m:d>
      </m:oMath>
      <w:r w:rsidRPr="00F415B1">
        <w:t xml:space="preserve"> as described in clause 9.1.4 </w:t>
      </w:r>
      <w:r w:rsidRPr="00F415B1">
        <w:rPr>
          <w:rFonts w:hint="eastAsia"/>
          <w:lang w:eastAsia="zh-CN"/>
        </w:rPr>
        <w:t xml:space="preserve">for </w:t>
      </w:r>
      <w:r w:rsidRPr="00F415B1">
        <w:t>Type-</w:t>
      </w:r>
      <w:r w:rsidRPr="00F415B1">
        <w:rPr>
          <w:rFonts w:hint="eastAsia"/>
          <w:lang w:eastAsia="zh-CN"/>
        </w:rPr>
        <w:t>3</w:t>
      </w:r>
      <w:r w:rsidRPr="00F415B1">
        <w:t xml:space="preserve"> HARQ-ACK codebook</w:t>
      </w:r>
      <w:r w:rsidRPr="00F415B1">
        <w:rPr>
          <w:lang w:val="en-US"/>
        </w:rPr>
        <w:t xml:space="preserve">. If the UE is not provided any of </w:t>
      </w:r>
      <w:r w:rsidRPr="00F415B1">
        <w:rPr>
          <w:i/>
          <w:lang w:val="en-US"/>
        </w:rPr>
        <w:t>pdsch-</w:t>
      </w:r>
      <w:r w:rsidRPr="00F415B1">
        <w:rPr>
          <w:rFonts w:cs="Arial"/>
          <w:i/>
          <w:lang w:eastAsia="zh-CN"/>
        </w:rPr>
        <w:t>HARQ-ACK-Codebook</w:t>
      </w:r>
      <w:r w:rsidRPr="00F415B1">
        <w:rPr>
          <w:lang w:val="en-US"/>
        </w:rPr>
        <w:t xml:space="preserve">, </w:t>
      </w:r>
      <w:r w:rsidRPr="00F415B1">
        <w:rPr>
          <w:i/>
          <w:lang w:val="en-US"/>
        </w:rPr>
        <w:t>pdsch-</w:t>
      </w:r>
      <w:r w:rsidRPr="00F415B1">
        <w:rPr>
          <w:rFonts w:cs="Arial"/>
          <w:i/>
          <w:lang w:eastAsia="zh-CN"/>
        </w:rPr>
        <w:t>HARQ-ACK-Codebook-r16</w:t>
      </w:r>
      <w:r w:rsidRPr="00F415B1">
        <w:rPr>
          <w:rFonts w:cs="Arial"/>
          <w:lang w:eastAsia="zh-CN"/>
        </w:rPr>
        <w:t xml:space="preserve">, or </w:t>
      </w:r>
      <w:r w:rsidRPr="00F415B1">
        <w:rPr>
          <w:i/>
        </w:rPr>
        <w:t>pdsch-HARQ-ACK-OneShotFeedback</w:t>
      </w:r>
      <w:r w:rsidRPr="00F415B1">
        <w:rPr>
          <w:rFonts w:cs="Arial"/>
          <w:lang w:eastAsia="zh-CN"/>
        </w:rPr>
        <w:t>,</w:t>
      </w:r>
      <w:r w:rsidRPr="00F415B1">
        <w:rPr>
          <w:lang w:val="en-US"/>
        </w:rPr>
        <w:t xml:space="preserve"> </w:t>
      </w:r>
      <m:oMath>
        <m:sSub>
          <m:sSubPr>
            <m:ctrlPr>
              <w:rPr>
                <w:rFonts w:ascii="Cambria Math" w:hAnsi="Cambria Math"/>
                <w:i/>
              </w:rPr>
            </m:ctrlPr>
          </m:sSubPr>
          <m:e>
            <m:r>
              <w:rPr>
                <w:rFonts w:ascii="Cambria Math" w:hAnsi="Cambria Math"/>
              </w:rPr>
              <m:t>n</m:t>
            </m:r>
          </m:e>
          <m:sub>
            <m:r>
              <m:rPr>
                <m:sty m:val="p"/>
              </m:rPr>
              <w:rPr>
                <w:rFonts w:ascii="Cambria Math" w:hAnsi="Cambria Math"/>
              </w:rPr>
              <m:t>HARQ-ACK</m:t>
            </m:r>
          </m:sub>
        </m:sSub>
        <m:d>
          <m:dPr>
            <m:ctrlPr>
              <w:rPr>
                <w:rFonts w:ascii="Cambria Math" w:hAnsi="Cambria Math"/>
                <w:i/>
              </w:rPr>
            </m:ctrlPr>
          </m:dPr>
          <m:e>
            <m:r>
              <w:rPr>
                <w:rFonts w:ascii="Cambria Math" w:hAnsi="Cambria Math"/>
              </w:rPr>
              <m:t>i</m:t>
            </m:r>
          </m:e>
        </m:d>
        <m:r>
          <w:rPr>
            <w:rFonts w:ascii="Cambria Math" w:hAnsi="Cambria Math"/>
          </w:rPr>
          <m:t>=1</m:t>
        </m:r>
      </m:oMath>
      <w:r w:rsidRPr="00F415B1">
        <w:rPr>
          <w:lang w:val="en-US"/>
        </w:rPr>
        <w:t xml:space="preserve"> if the UE includes a HARQ-ACK information bit in the PUCCH transmission; otherwise, </w:t>
      </w:r>
      <m:oMath>
        <m:sSub>
          <m:sSubPr>
            <m:ctrlPr>
              <w:rPr>
                <w:rFonts w:ascii="Cambria Math" w:hAnsi="Cambria Math"/>
                <w:i/>
              </w:rPr>
            </m:ctrlPr>
          </m:sSubPr>
          <m:e>
            <m:r>
              <w:rPr>
                <w:rFonts w:ascii="Cambria Math" w:hAnsi="Cambria Math"/>
              </w:rPr>
              <m:t>n</m:t>
            </m:r>
          </m:e>
          <m:sub>
            <m:r>
              <m:rPr>
                <m:sty m:val="p"/>
              </m:rPr>
              <w:rPr>
                <w:rFonts w:ascii="Cambria Math" w:hAnsi="Cambria Math"/>
              </w:rPr>
              <m:t>HARQ-ACK</m:t>
            </m:r>
          </m:sub>
        </m:sSub>
        <m:d>
          <m:dPr>
            <m:ctrlPr>
              <w:rPr>
                <w:rFonts w:ascii="Cambria Math" w:hAnsi="Cambria Math"/>
                <w:i/>
              </w:rPr>
            </m:ctrlPr>
          </m:dPr>
          <m:e>
            <m:r>
              <w:rPr>
                <w:rFonts w:ascii="Cambria Math" w:hAnsi="Cambria Math"/>
              </w:rPr>
              <m:t>i</m:t>
            </m:r>
          </m:e>
        </m:d>
        <m:r>
          <w:rPr>
            <w:rFonts w:ascii="Cambria Math" w:hAnsi="Cambria Math"/>
          </w:rPr>
          <m:t>=0</m:t>
        </m:r>
      </m:oMath>
    </w:p>
    <w:p w14:paraId="3E48491C" w14:textId="77777777" w:rsidR="003C2FA6" w:rsidRPr="00F415B1" w:rsidRDefault="003C2FA6" w:rsidP="003C2FA6">
      <w:pPr>
        <w:pStyle w:val="B3"/>
      </w:pPr>
      <w:r w:rsidRPr="00F415B1">
        <w:t>-</w:t>
      </w:r>
      <w:r w:rsidRPr="00F415B1">
        <w:tab/>
      </w:r>
      <m:oMath>
        <m:sSub>
          <m:sSubPr>
            <m:ctrlPr>
              <w:rPr>
                <w:rFonts w:ascii="Cambria Math" w:hAnsi="Cambria Math"/>
                <w:i/>
              </w:rPr>
            </m:ctrlPr>
          </m:sSubPr>
          <m:e>
            <m:r>
              <w:rPr>
                <w:rFonts w:ascii="Cambria Math" w:hAnsi="Cambria Math"/>
              </w:rPr>
              <m:t>O</m:t>
            </m:r>
          </m:e>
          <m:sub>
            <m:r>
              <m:rPr>
                <m:sty m:val="p"/>
              </m:rPr>
              <w:rPr>
                <w:rFonts w:ascii="Cambria Math" w:hAnsi="Cambria Math"/>
              </w:rPr>
              <m:t>SR</m:t>
            </m:r>
          </m:sub>
        </m:sSub>
        <m:d>
          <m:dPr>
            <m:ctrlPr>
              <w:rPr>
                <w:rFonts w:ascii="Cambria Math" w:hAnsi="Cambria Math"/>
                <w:i/>
              </w:rPr>
            </m:ctrlPr>
          </m:dPr>
          <m:e>
            <m:r>
              <w:rPr>
                <w:rFonts w:ascii="Cambria Math" w:hAnsi="Cambria Math"/>
              </w:rPr>
              <m:t>i</m:t>
            </m:r>
          </m:e>
        </m:d>
      </m:oMath>
      <w:r w:rsidRPr="00F415B1">
        <w:rPr>
          <w:lang w:val="en-US"/>
        </w:rPr>
        <w:t xml:space="preserve"> is a number of SR information bits that the UE determines as described in clause 9.2.5.1</w:t>
      </w:r>
    </w:p>
    <w:p w14:paraId="762990DC" w14:textId="77777777" w:rsidR="003C2FA6" w:rsidRPr="00F415B1" w:rsidRDefault="003C2FA6" w:rsidP="003C2FA6">
      <w:pPr>
        <w:pStyle w:val="B3"/>
      </w:pPr>
      <w:r w:rsidRPr="00F415B1">
        <w:t>-</w:t>
      </w:r>
      <w:r w:rsidRPr="00F415B1">
        <w:tab/>
      </w:r>
      <m:oMath>
        <m:sSub>
          <m:sSubPr>
            <m:ctrlPr>
              <w:rPr>
                <w:rFonts w:ascii="Cambria Math" w:hAnsi="Cambria Math"/>
                <w:i/>
              </w:rPr>
            </m:ctrlPr>
          </m:sSubPr>
          <m:e>
            <m:r>
              <w:rPr>
                <w:rFonts w:ascii="Cambria Math" w:hAnsi="Cambria Math"/>
              </w:rPr>
              <m:t>O</m:t>
            </m:r>
          </m:e>
          <m:sub>
            <m:r>
              <m:rPr>
                <m:sty m:val="p"/>
              </m:rPr>
              <w:rPr>
                <w:rFonts w:ascii="Cambria Math" w:hAnsi="Cambria Math"/>
              </w:rPr>
              <m:t>CSI</m:t>
            </m:r>
          </m:sub>
        </m:sSub>
        <m:d>
          <m:dPr>
            <m:ctrlPr>
              <w:rPr>
                <w:rFonts w:ascii="Cambria Math" w:hAnsi="Cambria Math"/>
                <w:i/>
              </w:rPr>
            </m:ctrlPr>
          </m:dPr>
          <m:e>
            <m:r>
              <w:rPr>
                <w:rFonts w:ascii="Cambria Math" w:hAnsi="Cambria Math"/>
              </w:rPr>
              <m:t>i</m:t>
            </m:r>
          </m:e>
        </m:d>
      </m:oMath>
      <w:r w:rsidRPr="00F415B1">
        <w:rPr>
          <w:lang w:val="en-US"/>
        </w:rPr>
        <w:t xml:space="preserve"> is a number of CSI information bits that the UE determines as described in clause 9.2.5.2</w:t>
      </w:r>
    </w:p>
    <w:p w14:paraId="33A73205" w14:textId="59FF145C" w:rsidR="003C2FA6" w:rsidRPr="00F415B1" w:rsidRDefault="003C2FA6" w:rsidP="003C2FA6">
      <w:pPr>
        <w:pStyle w:val="B3"/>
      </w:pPr>
      <w:r w:rsidRPr="00F415B1">
        <w:t>-</w:t>
      </w:r>
      <w:r w:rsidRPr="00F415B1">
        <w:tab/>
      </w:r>
      <m:oMath>
        <m:sSub>
          <m:sSubPr>
            <m:ctrlPr>
              <w:rPr>
                <w:rFonts w:ascii="Cambria Math" w:hAnsi="Cambria Math"/>
                <w:i/>
              </w:rPr>
            </m:ctrlPr>
          </m:sSubPr>
          <m:e>
            <m:r>
              <w:rPr>
                <w:rFonts w:ascii="Cambria Math" w:hAnsi="Cambria Math"/>
              </w:rPr>
              <m:t>N</m:t>
            </m:r>
          </m:e>
          <m:sub>
            <m:r>
              <m:rPr>
                <m:sty m:val="p"/>
              </m:rPr>
              <w:rPr>
                <w:rFonts w:ascii="Cambria Math" w:hAnsi="Cambria Math"/>
              </w:rPr>
              <m:t>RE</m:t>
            </m:r>
          </m:sub>
        </m:sSub>
        <m:d>
          <m:dPr>
            <m:ctrlPr>
              <w:rPr>
                <w:rFonts w:ascii="Cambria Math" w:hAnsi="Cambria Math"/>
                <w:i/>
              </w:rPr>
            </m:ctrlPr>
          </m:dPr>
          <m:e>
            <m:r>
              <w:rPr>
                <w:rFonts w:ascii="Cambria Math" w:hAnsi="Cambria Math"/>
              </w:rPr>
              <m:t>i</m:t>
            </m:r>
          </m:e>
        </m:d>
      </m:oMath>
      <w:r w:rsidRPr="00F415B1">
        <w:t xml:space="preserve"> is a number of resource elements determined as </w:t>
      </w:r>
      <m:oMath>
        <m:sSub>
          <m:sSubPr>
            <m:ctrlPr>
              <w:rPr>
                <w:rFonts w:ascii="Cambria Math" w:hAnsi="Cambria Math"/>
                <w:i/>
                <w:lang w:val="x-none"/>
              </w:rPr>
            </m:ctrlPr>
          </m:sSubPr>
          <m:e>
            <m:r>
              <w:rPr>
                <w:rFonts w:ascii="Cambria Math" w:hAnsi="Cambria Math"/>
              </w:rPr>
              <m:t>N</m:t>
            </m:r>
          </m:e>
          <m:sub>
            <m:r>
              <m:rPr>
                <m:sty m:val="p"/>
              </m:rPr>
              <w:rPr>
                <w:rFonts w:ascii="Cambria Math" w:hAnsi="Cambria Math"/>
              </w:rPr>
              <m:t>RE</m:t>
            </m:r>
          </m:sub>
        </m:sSub>
        <m:r>
          <w:rPr>
            <w:rFonts w:ascii="Cambria Math" w:hAnsi="Cambria Math"/>
            <w:lang w:val="x-none"/>
          </w:rPr>
          <m:t>(i)=</m:t>
        </m:r>
        <m:sSubSup>
          <m:sSubSupPr>
            <m:ctrlPr>
              <w:rPr>
                <w:rFonts w:ascii="Cambria Math" w:hAnsi="Cambria Math"/>
                <w:iCs/>
                <w:lang w:val="x-none"/>
              </w:rPr>
            </m:ctrlPr>
          </m:sSubSupPr>
          <m:e>
            <m:r>
              <w:rPr>
                <w:rFonts w:ascii="Cambria Math" w:hAnsi="Cambria Math"/>
              </w:rPr>
              <m:t>M</m:t>
            </m:r>
          </m:e>
          <m:sub>
            <m:r>
              <m:rPr>
                <m:sty m:val="p"/>
              </m:rPr>
              <w:rPr>
                <w:rFonts w:ascii="Cambria Math" w:hAnsi="Cambria Math"/>
              </w:rPr>
              <m:t>RB</m:t>
            </m:r>
            <m:r>
              <w:rPr>
                <w:rFonts w:ascii="Cambria Math" w:hAnsi="Cambria Math"/>
              </w:rPr>
              <m:t>,b,f,c</m:t>
            </m:r>
          </m:sub>
          <m:sup>
            <m:r>
              <m:rPr>
                <m:sty m:val="p"/>
              </m:rPr>
              <w:rPr>
                <w:rFonts w:ascii="Cambria Math" w:hAnsi="Cambria Math"/>
              </w:rPr>
              <m:t>PUCCH</m:t>
            </m:r>
          </m:sup>
        </m:sSubSup>
        <m:r>
          <w:rPr>
            <w:rFonts w:ascii="Cambria Math" w:hAnsi="Cambria Math"/>
            <w:lang w:val="x-none"/>
          </w:rPr>
          <m:t>(i)</m:t>
        </m:r>
        <m:r>
          <w:rPr>
            <w:rFonts w:ascii="Cambria Math" w:hAnsi="Cambria Math" w:cs="Cambria Math"/>
          </w:rPr>
          <m:t>⋅</m:t>
        </m:r>
        <m:sSubSup>
          <m:sSubSupPr>
            <m:ctrlPr>
              <w:rPr>
                <w:rFonts w:ascii="Cambria Math" w:hAnsi="Cambria Math"/>
                <w:iCs/>
                <w:lang w:val="x-none"/>
              </w:rPr>
            </m:ctrlPr>
          </m:sSubSupPr>
          <m:e>
            <m:r>
              <w:rPr>
                <w:rFonts w:ascii="Cambria Math" w:hAnsi="Cambria Math"/>
              </w:rPr>
              <m:t>N</m:t>
            </m:r>
          </m:e>
          <m:sub>
            <m:r>
              <m:rPr>
                <m:sty m:val="p"/>
              </m:rPr>
              <w:rPr>
                <w:rFonts w:ascii="Cambria Math" w:hAnsi="Cambria Math"/>
              </w:rPr>
              <m:t>sc,ctrl</m:t>
            </m:r>
          </m:sub>
          <m:sup>
            <m:r>
              <m:rPr>
                <m:sty m:val="p"/>
              </m:rPr>
              <w:rPr>
                <w:rFonts w:ascii="Cambria Math" w:hAnsi="Cambria Math"/>
              </w:rPr>
              <m:t>RB</m:t>
            </m:r>
          </m:sup>
        </m:sSubSup>
        <m:r>
          <w:rPr>
            <w:rFonts w:ascii="Cambria Math" w:hAnsi="Cambria Math"/>
            <w:lang w:val="x-none"/>
          </w:rPr>
          <m:t>(i)</m:t>
        </m:r>
        <m:sSubSup>
          <m:sSubSupPr>
            <m:ctrlPr>
              <w:rPr>
                <w:rFonts w:ascii="Cambria Math" w:hAnsi="Cambria Math"/>
                <w:iCs/>
                <w:lang w:val="x-none"/>
              </w:rPr>
            </m:ctrlPr>
          </m:sSubSupPr>
          <m:e>
            <m:r>
              <w:rPr>
                <w:rFonts w:ascii="Cambria Math" w:hAnsi="Cambria Math" w:cs="Cambria Math"/>
              </w:rPr>
              <m:t>⋅</m:t>
            </m:r>
            <m:r>
              <w:rPr>
                <w:rFonts w:ascii="Cambria Math" w:hAnsi="Cambria Math"/>
              </w:rPr>
              <m:t>N</m:t>
            </m:r>
          </m:e>
          <m:sub>
            <m:r>
              <m:rPr>
                <m:sty m:val="p"/>
              </m:rPr>
              <w:rPr>
                <w:rFonts w:ascii="Cambria Math" w:hAnsi="Cambria Math"/>
              </w:rPr>
              <m:t>symb-UCI</m:t>
            </m:r>
            <m:r>
              <w:rPr>
                <w:rFonts w:ascii="Cambria Math" w:hAnsi="Cambria Math"/>
              </w:rPr>
              <m:t>,b,f,c</m:t>
            </m:r>
          </m:sub>
          <m:sup>
            <m:r>
              <m:rPr>
                <m:sty m:val="p"/>
              </m:rPr>
              <w:rPr>
                <w:rFonts w:ascii="Cambria Math" w:hAnsi="Cambria Math"/>
              </w:rPr>
              <m:t>PUCCH</m:t>
            </m:r>
          </m:sup>
        </m:sSubSup>
        <m:r>
          <w:rPr>
            <w:rFonts w:ascii="Cambria Math" w:hAnsi="Cambria Math"/>
            <w:lang w:val="x-none"/>
          </w:rPr>
          <m:t>(i)</m:t>
        </m:r>
      </m:oMath>
      <w:r w:rsidRPr="00F415B1">
        <w:t xml:space="preserve">, </w:t>
      </w:r>
      <w:r w:rsidRPr="00F415B1">
        <w:rPr>
          <w:rFonts w:hint="eastAsia"/>
        </w:rPr>
        <w:t>where</w:t>
      </w:r>
      <w:r w:rsidRPr="00F415B1">
        <w:rPr>
          <w:lang w:val="en-US"/>
        </w:rPr>
        <w:t xml:space="preserve"> </w:t>
      </w:r>
      <m:oMath>
        <m:sSubSup>
          <m:sSubSupPr>
            <m:ctrlPr>
              <w:rPr>
                <w:rFonts w:ascii="Cambria Math" w:hAnsi="Cambria Math"/>
                <w:iCs/>
                <w:lang w:val="x-none"/>
              </w:rPr>
            </m:ctrlPr>
          </m:sSubSupPr>
          <m:e>
            <m:r>
              <w:rPr>
                <w:rFonts w:ascii="Cambria Math" w:hAnsi="Cambria Math"/>
              </w:rPr>
              <m:t>N</m:t>
            </m:r>
          </m:e>
          <m:sub>
            <m:r>
              <m:rPr>
                <m:sty m:val="p"/>
              </m:rPr>
              <w:rPr>
                <w:rFonts w:ascii="Cambria Math" w:hAnsi="Cambria Math"/>
              </w:rPr>
              <m:t>sc,ctrl</m:t>
            </m:r>
          </m:sub>
          <m:sup>
            <m:r>
              <m:rPr>
                <m:sty m:val="p"/>
              </m:rPr>
              <w:rPr>
                <w:rFonts w:ascii="Cambria Math" w:hAnsi="Cambria Math"/>
              </w:rPr>
              <m:t>RB</m:t>
            </m:r>
          </m:sup>
        </m:sSubSup>
        <m:r>
          <w:rPr>
            <w:rFonts w:ascii="Cambria Math" w:hAnsi="Cambria Math"/>
            <w:lang w:val="x-none"/>
          </w:rPr>
          <m:t>(i)</m:t>
        </m:r>
      </m:oMath>
      <w:r w:rsidRPr="00F415B1">
        <w:t xml:space="preserve"> is a number of subcarriers per resource block excluding subcarriers used for DM-RS transmission, and </w:t>
      </w:r>
      <m:oMath>
        <m:sSubSup>
          <m:sSubSupPr>
            <m:ctrlPr>
              <w:rPr>
                <w:rFonts w:ascii="Cambria Math" w:hAnsi="Cambria Math"/>
                <w:iCs/>
                <w:lang w:val="x-none"/>
              </w:rPr>
            </m:ctrlPr>
          </m:sSubSupPr>
          <m:e>
            <m:r>
              <w:rPr>
                <w:rFonts w:ascii="Cambria Math" w:hAnsi="Cambria Math"/>
              </w:rPr>
              <m:t>N</m:t>
            </m:r>
          </m:e>
          <m:sub>
            <m:r>
              <m:rPr>
                <m:sty m:val="p"/>
              </m:rPr>
              <w:rPr>
                <w:rFonts w:ascii="Cambria Math" w:hAnsi="Cambria Math"/>
              </w:rPr>
              <m:t>symb-UCI</m:t>
            </m:r>
            <m:r>
              <w:rPr>
                <w:rFonts w:ascii="Cambria Math" w:hAnsi="Cambria Math"/>
              </w:rPr>
              <m:t>,b,f,c</m:t>
            </m:r>
          </m:sub>
          <m:sup>
            <m:r>
              <m:rPr>
                <m:sty m:val="p"/>
              </m:rPr>
              <w:rPr>
                <w:rFonts w:ascii="Cambria Math" w:hAnsi="Cambria Math"/>
              </w:rPr>
              <m:t>PUCCH</m:t>
            </m:r>
          </m:sup>
        </m:sSubSup>
        <m:r>
          <w:rPr>
            <w:rFonts w:ascii="Cambria Math" w:hAnsi="Cambria Math"/>
            <w:lang w:val="x-none"/>
          </w:rPr>
          <m:t>(i)</m:t>
        </m:r>
      </m:oMath>
      <w:r w:rsidRPr="00F415B1">
        <w:rPr>
          <w:lang w:val="en-US"/>
        </w:rPr>
        <w:t xml:space="preserve"> is a number of symbols excluding symbols used for DM-RS transmission, as defined in clause 9.2.5.2, </w:t>
      </w:r>
      <w:r w:rsidRPr="00F415B1">
        <w:t xml:space="preserve">for </w:t>
      </w:r>
      <w:r w:rsidRPr="00F415B1">
        <w:rPr>
          <w:lang w:val="en-US"/>
        </w:rPr>
        <w:t>PUCCH transmission occasion</w:t>
      </w:r>
      <w:r w:rsidRPr="00F415B1">
        <w:t xml:space="preserve"> </w:t>
      </w:r>
      <m:oMath>
        <m:r>
          <w:rPr>
            <w:rFonts w:ascii="Cambria Math" w:hAnsi="Cambria Math"/>
          </w:rPr>
          <m:t>i</m:t>
        </m:r>
      </m:oMath>
      <w:r w:rsidRPr="00F415B1">
        <w:rPr>
          <w:i/>
        </w:rPr>
        <w:t xml:space="preserve"> </w:t>
      </w:r>
      <w:r w:rsidRPr="00F415B1">
        <w:rPr>
          <w:lang w:val="en-US"/>
        </w:rPr>
        <w:t>on</w:t>
      </w:r>
      <w:r w:rsidRPr="00F415B1">
        <w:t xml:space="preserve"> active </w:t>
      </w:r>
      <w:r w:rsidRPr="00F415B1">
        <w:rPr>
          <w:lang w:val="en-US"/>
        </w:rPr>
        <w:t xml:space="preserve">UL BWP </w:t>
      </w:r>
      <m:oMath>
        <m:r>
          <w:rPr>
            <w:rFonts w:ascii="Cambria Math" w:hAnsi="Cambria Math"/>
            <w:lang w:val="en-US"/>
          </w:rPr>
          <m:t>b</m:t>
        </m:r>
      </m:oMath>
      <w:r w:rsidRPr="00F415B1">
        <w:rPr>
          <w:iCs/>
          <w:lang w:val="en-US"/>
        </w:rPr>
        <w:t xml:space="preserve"> </w:t>
      </w:r>
      <w:r w:rsidRPr="00F415B1">
        <w:rPr>
          <w:lang w:val="en-US"/>
        </w:rPr>
        <w:t xml:space="preserve">of carrier </w:t>
      </w:r>
      <m:oMath>
        <m:r>
          <w:rPr>
            <w:rFonts w:ascii="Cambria Math" w:hAnsi="Cambria Math"/>
            <w:lang w:val="en-US"/>
          </w:rPr>
          <m:t>f</m:t>
        </m:r>
      </m:oMath>
      <w:r w:rsidRPr="00F415B1">
        <w:rPr>
          <w:iCs/>
          <w:lang w:val="en-US"/>
        </w:rPr>
        <w:t xml:space="preserve"> of</w:t>
      </w:r>
      <w:r w:rsidRPr="00F415B1">
        <w:t xml:space="preserve"> primary cell</w:t>
      </w:r>
      <w:r w:rsidRPr="00F415B1">
        <w:rPr>
          <w:i/>
        </w:rPr>
        <w:t xml:space="preserve"> </w:t>
      </w:r>
      <m:oMath>
        <m:r>
          <w:rPr>
            <w:rFonts w:ascii="Cambria Math" w:hAnsi="Cambria Math"/>
          </w:rPr>
          <m:t>c</m:t>
        </m:r>
      </m:oMath>
      <w:r w:rsidRPr="00F415B1">
        <w:rPr>
          <w:rFonts w:hint="eastAsia"/>
          <w:lang w:eastAsia="zh-CN"/>
        </w:rPr>
        <w:t xml:space="preserve"> </w:t>
      </w:r>
    </w:p>
    <w:p w14:paraId="3036CB73" w14:textId="77777777" w:rsidR="003C2FA6" w:rsidRPr="00F415B1" w:rsidRDefault="003C2FA6" w:rsidP="003C2FA6">
      <w:pPr>
        <w:pStyle w:val="B2"/>
      </w:pPr>
      <w:r w:rsidRPr="00F415B1">
        <w:rPr>
          <w:lang w:val="en-US" w:eastAsia="zh-CN"/>
        </w:rPr>
        <w:t>-</w:t>
      </w:r>
      <w:r w:rsidRPr="00F415B1">
        <w:rPr>
          <w:lang w:val="en-US" w:eastAsia="zh-CN"/>
        </w:rPr>
        <w:tab/>
        <w:t xml:space="preserve">For a PUCCH transmission using PUCCH format 2 or PUCCH format 3 or PUCCH format 4 and for a number of UCI bits larger than 11, </w:t>
      </w:r>
      <m:oMath>
        <m:sSub>
          <m:sSubPr>
            <m:ctrlPr>
              <w:rPr>
                <w:rFonts w:ascii="Cambria Math" w:hAnsi="Cambria Math"/>
                <w:i/>
              </w:rPr>
            </m:ctrlPr>
          </m:sSubPr>
          <m:e>
            <m:r>
              <w:rPr>
                <w:rFonts w:ascii="Cambria Math" w:hAnsi="Cambria Math"/>
              </w:rPr>
              <m:t>∆</m:t>
            </m:r>
          </m:e>
          <m:sub>
            <m:r>
              <m:rPr>
                <m:sty m:val="p"/>
              </m:rPr>
              <w:rPr>
                <w:rFonts w:ascii="Cambria Math" w:hAnsi="Cambria Math"/>
              </w:rPr>
              <m:t>TF</m:t>
            </m:r>
            <m:r>
              <w:rPr>
                <w:rFonts w:ascii="Cambria Math" w:hAnsi="Cambria Math"/>
              </w:rPr>
              <m:t>,b,f,c</m:t>
            </m:r>
          </m:sub>
        </m:sSub>
        <m:d>
          <m:dPr>
            <m:ctrlPr>
              <w:rPr>
                <w:rFonts w:ascii="Cambria Math" w:hAnsi="Cambria Math"/>
                <w:i/>
              </w:rPr>
            </m:ctrlPr>
          </m:dPr>
          <m:e>
            <m:r>
              <w:rPr>
                <w:rFonts w:ascii="Cambria Math" w:hAnsi="Cambria Math"/>
              </w:rPr>
              <m:t>i</m:t>
            </m:r>
          </m:e>
        </m:d>
        <m:r>
          <w:rPr>
            <w:rFonts w:ascii="Cambria Math" w:hAnsi="Cambria Math"/>
          </w:rPr>
          <m:t>=10</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sSup>
              <m:sSupPr>
                <m:ctrlPr>
                  <w:rPr>
                    <w:rFonts w:ascii="Cambria Math" w:hAnsi="Cambria Math"/>
                    <w:i/>
                  </w:rPr>
                </m:ctrlPr>
              </m:sSupPr>
              <m:e>
                <m:r>
                  <w:rPr>
                    <w:rFonts w:ascii="Cambria Math" w:hAnsi="Cambria Math"/>
                  </w:rPr>
                  <m:t>2</m:t>
                </m:r>
              </m:e>
              <m:sup>
                <m:r>
                  <m:rPr>
                    <m:sty m:val="p"/>
                  </m:rPr>
                  <w:rPr>
                    <w:rFonts w:ascii="Cambria Math" w:hAnsi="Cambria Math"/>
                    <w:lang w:val="en-US"/>
                  </w:rPr>
                  <m:t>BPRE</m:t>
                </m:r>
                <m:r>
                  <w:rPr>
                    <w:rFonts w:ascii="Cambria Math" w:hAnsi="Cambria Math" w:cs="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up>
            </m:sSup>
            <m:r>
              <w:rPr>
                <w:rFonts w:ascii="Cambria Math" w:hAnsi="Cambria Math"/>
              </w:rPr>
              <m:t>-1</m:t>
            </m:r>
          </m:e>
        </m:d>
      </m:oMath>
      <w:r w:rsidRPr="00F415B1">
        <w:rPr>
          <w:lang w:val="en-US"/>
        </w:rPr>
        <w:t xml:space="preserve">, where </w:t>
      </w:r>
    </w:p>
    <w:p w14:paraId="4127C841" w14:textId="77777777" w:rsidR="003C2FA6" w:rsidRPr="00F415B1" w:rsidRDefault="003C2FA6" w:rsidP="003C2FA6">
      <w:pPr>
        <w:pStyle w:val="B3"/>
      </w:pPr>
      <w:r w:rsidRPr="00F415B1">
        <w:t>-</w:t>
      </w:r>
      <w:r w:rsidRPr="00F415B1">
        <w:tab/>
      </w:r>
      <m:oMath>
        <m:sSub>
          <m:sSubPr>
            <m:ctrlPr>
              <w:rPr>
                <w:rFonts w:ascii="Cambria Math" w:hAnsi="Cambria Math"/>
                <w:i/>
              </w:rPr>
            </m:ctrlPr>
          </m:sSubPr>
          <m:e>
            <m:r>
              <w:rPr>
                <w:rFonts w:ascii="Cambria Math" w:hAnsi="Cambria Math"/>
              </w:rPr>
              <m:t>K</m:t>
            </m:r>
          </m:e>
          <m:sub>
            <m:r>
              <m:rPr>
                <m:sty m:val="p"/>
              </m:rPr>
              <w:rPr>
                <w:rFonts w:ascii="Cambria Math" w:hAnsi="Cambria Math"/>
              </w:rPr>
              <m:t>2</m:t>
            </m:r>
          </m:sub>
        </m:sSub>
        <m:r>
          <w:rPr>
            <w:rFonts w:ascii="Cambria Math" w:hAnsi="Cambria Math"/>
          </w:rPr>
          <m:t>=2.4</m:t>
        </m:r>
      </m:oMath>
    </w:p>
    <w:p w14:paraId="2E3A3869" w14:textId="77777777" w:rsidR="003C2FA6" w:rsidRPr="00F415B1" w:rsidRDefault="003C2FA6" w:rsidP="003C2FA6">
      <w:pPr>
        <w:pStyle w:val="B3"/>
      </w:pPr>
      <w:r w:rsidRPr="00F415B1">
        <w:t>-</w:t>
      </w:r>
      <w:r w:rsidRPr="00F415B1">
        <w:tab/>
      </w:r>
      <m:oMath>
        <m:r>
          <m:rPr>
            <m:sty m:val="p"/>
          </m:rPr>
          <w:rPr>
            <w:rFonts w:ascii="Cambria Math" w:hAnsi="Cambria Math"/>
            <w:lang w:val="en-US"/>
          </w:rPr>
          <m:t>BPRE(i)=</m:t>
        </m:r>
        <m:f>
          <m:fPr>
            <m:type m:val="lin"/>
            <m:ctrlPr>
              <w:rPr>
                <w:rFonts w:ascii="Cambria Math" w:hAnsi="Cambria Math"/>
                <w:i/>
                <w:iCs/>
                <w:lang w:val="en-US"/>
              </w:rPr>
            </m:ctrlPr>
          </m:fPr>
          <m:num>
            <m:d>
              <m:dPr>
                <m:ctrlPr>
                  <w:rPr>
                    <w:rFonts w:ascii="Cambria Math" w:hAnsi="Cambria Math"/>
                    <w:i/>
                    <w:iCs/>
                    <w:lang w:val="en-US"/>
                  </w:rPr>
                </m:ctrlPr>
              </m:dPr>
              <m:e>
                <m:sSub>
                  <m:sSubPr>
                    <m:ctrlPr>
                      <w:rPr>
                        <w:rFonts w:ascii="Cambria Math" w:hAnsi="Cambria Math"/>
                        <w:i/>
                      </w:rPr>
                    </m:ctrlPr>
                  </m:sSubPr>
                  <m:e>
                    <m:r>
                      <w:rPr>
                        <w:rFonts w:ascii="Cambria Math" w:hAnsi="Cambria Math"/>
                      </w:rPr>
                      <m:t>O</m:t>
                    </m:r>
                  </m:e>
                  <m:sub>
                    <m:r>
                      <m:rPr>
                        <m:sty m:val="p"/>
                      </m:rPr>
                      <w:rPr>
                        <w:rFonts w:ascii="Cambria Math" w:hAnsi="Cambria Math"/>
                      </w:rPr>
                      <m:t>ACK</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O</m:t>
                    </m:r>
                  </m:e>
                  <m:sub>
                    <m:r>
                      <m:rPr>
                        <m:sty m:val="p"/>
                      </m:rPr>
                      <w:rPr>
                        <w:rFonts w:ascii="Cambria Math" w:hAnsi="Cambria Math"/>
                      </w:rPr>
                      <m:t>SR</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O</m:t>
                    </m:r>
                  </m:e>
                  <m:sub>
                    <m:r>
                      <m:rPr>
                        <m:sty m:val="p"/>
                      </m:rPr>
                      <w:rPr>
                        <w:rFonts w:ascii="Cambria Math" w:hAnsi="Cambria Math"/>
                      </w:rPr>
                      <m:t>CSI</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O</m:t>
                    </m:r>
                  </m:e>
                  <m:sub>
                    <m:r>
                      <m:rPr>
                        <m:sty m:val="p"/>
                      </m:rPr>
                      <w:rPr>
                        <w:rFonts w:ascii="Cambria Math" w:hAnsi="Cambria Math"/>
                      </w:rPr>
                      <m:t>CRC</m:t>
                    </m:r>
                  </m:sub>
                </m:sSub>
                <m:d>
                  <m:dPr>
                    <m:ctrlPr>
                      <w:rPr>
                        <w:rFonts w:ascii="Cambria Math" w:hAnsi="Cambria Math"/>
                        <w:i/>
                      </w:rPr>
                    </m:ctrlPr>
                  </m:dPr>
                  <m:e>
                    <m:r>
                      <w:rPr>
                        <w:rFonts w:ascii="Cambria Math" w:hAnsi="Cambria Math"/>
                      </w:rPr>
                      <m:t>i</m:t>
                    </m:r>
                  </m:e>
                </m:d>
              </m:e>
            </m:d>
          </m:num>
          <m:den>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RE</m:t>
                </m:r>
              </m:sub>
            </m:sSub>
          </m:den>
        </m:f>
        <m:r>
          <w:rPr>
            <w:rFonts w:ascii="Cambria Math" w:hAnsi="Cambria Math"/>
            <w:lang w:val="en-US"/>
          </w:rPr>
          <m:t>(i)</m:t>
        </m:r>
      </m:oMath>
    </w:p>
    <w:p w14:paraId="0A92E2F9" w14:textId="17A4B893" w:rsidR="003C2FA6" w:rsidRPr="00F415B1" w:rsidRDefault="003C2FA6" w:rsidP="003C2FA6">
      <w:pPr>
        <w:pStyle w:val="B3"/>
      </w:pPr>
      <w:r w:rsidRPr="00F415B1">
        <w:t>-</w:t>
      </w:r>
      <w:r w:rsidRPr="00F415B1">
        <w:tab/>
      </w:r>
      <m:oMath>
        <m:sSub>
          <m:sSubPr>
            <m:ctrlPr>
              <w:rPr>
                <w:rFonts w:ascii="Cambria Math" w:hAnsi="Cambria Math"/>
                <w:i/>
              </w:rPr>
            </m:ctrlPr>
          </m:sSubPr>
          <m:e>
            <m:r>
              <w:rPr>
                <w:rFonts w:ascii="Cambria Math" w:hAnsi="Cambria Math"/>
              </w:rPr>
              <m:t>O</m:t>
            </m:r>
          </m:e>
          <m:sub>
            <m:r>
              <m:rPr>
                <m:sty m:val="p"/>
              </m:rPr>
              <w:rPr>
                <w:rFonts w:ascii="Cambria Math" w:hAnsi="Cambria Math"/>
              </w:rPr>
              <m:t>ACK</m:t>
            </m:r>
          </m:sub>
        </m:sSub>
        <m:d>
          <m:dPr>
            <m:ctrlPr>
              <w:rPr>
                <w:rFonts w:ascii="Cambria Math" w:hAnsi="Cambria Math"/>
                <w:i/>
              </w:rPr>
            </m:ctrlPr>
          </m:dPr>
          <m:e>
            <m:r>
              <w:rPr>
                <w:rFonts w:ascii="Cambria Math" w:hAnsi="Cambria Math"/>
              </w:rPr>
              <m:t>i</m:t>
            </m:r>
          </m:e>
        </m:d>
      </m:oMath>
      <w:r w:rsidRPr="00F415B1">
        <w:rPr>
          <w:lang w:val="en-US"/>
        </w:rPr>
        <w:t xml:space="preserve"> is a number of HARQ-ACK information bits that the UE determines as described in clause 9.1.2.1 or 16.5.1.1 for Type-1 HARQ-ACK codebook and as described in clause 9.1.3.1 or 9.1.3.3 or 16.5.2.1 for Type-2 HARQ-ACK codebook</w:t>
      </w:r>
      <w:r w:rsidRPr="00F415B1">
        <w:t>,</w:t>
      </w:r>
      <w:r w:rsidRPr="00F415B1">
        <w:rPr>
          <w:rFonts w:hint="eastAsia"/>
          <w:lang w:eastAsia="zh-CN"/>
        </w:rPr>
        <w:t xml:space="preserve"> or </w:t>
      </w:r>
      <w:r w:rsidRPr="00F415B1">
        <w:t>as described in clause 9.1.</w:t>
      </w:r>
      <w:r w:rsidRPr="00F415B1">
        <w:rPr>
          <w:rFonts w:hint="eastAsia"/>
          <w:lang w:eastAsia="zh-CN"/>
        </w:rPr>
        <w:t>4</w:t>
      </w:r>
      <w:r w:rsidRPr="00F415B1">
        <w:t xml:space="preserve"> </w:t>
      </w:r>
      <w:r w:rsidRPr="00F415B1">
        <w:rPr>
          <w:rFonts w:hint="eastAsia"/>
          <w:lang w:eastAsia="zh-CN"/>
        </w:rPr>
        <w:t xml:space="preserve">for </w:t>
      </w:r>
      <w:r w:rsidRPr="00F415B1">
        <w:t>Type-</w:t>
      </w:r>
      <w:r w:rsidRPr="00F415B1">
        <w:rPr>
          <w:rFonts w:hint="eastAsia"/>
          <w:lang w:eastAsia="zh-CN"/>
        </w:rPr>
        <w:t>3</w:t>
      </w:r>
      <w:r w:rsidRPr="00F415B1">
        <w:t xml:space="preserve"> HARQ-ACK codebook</w:t>
      </w:r>
      <w:r w:rsidR="00787B4D" w:rsidRPr="00132081">
        <w:rPr>
          <w:rFonts w:hint="eastAsia"/>
          <w:lang w:eastAsia="zh-CN"/>
        </w:rPr>
        <w:t xml:space="preserve">, or </w:t>
      </w:r>
      <w:r w:rsidR="00787B4D" w:rsidRPr="00132081">
        <w:rPr>
          <w:rFonts w:hint="eastAsia"/>
          <w:lang w:val="en-US" w:eastAsia="zh-CN"/>
        </w:rPr>
        <w:t>as described in clause 9.1.5 for HARQ-ACK codebook retransmission</w:t>
      </w:r>
      <w:r w:rsidR="00787B4D" w:rsidRPr="00132081">
        <w:rPr>
          <w:rFonts w:hint="eastAsia"/>
          <w:lang w:eastAsia="zh-CN"/>
        </w:rPr>
        <w:t xml:space="preserve">, or </w:t>
      </w:r>
      <w:r w:rsidR="00787B4D" w:rsidRPr="00132081">
        <w:rPr>
          <w:rFonts w:hint="eastAsia"/>
          <w:lang w:val="en-US" w:eastAsia="zh-CN"/>
        </w:rPr>
        <w:t xml:space="preserve">as described in clause 9.2.5.4 for </w:t>
      </w:r>
      <w:r w:rsidR="00787B4D" w:rsidRPr="00132081">
        <w:t>deferring HARQ-ACK for SPS PDSCH</w:t>
      </w:r>
      <w:r w:rsidRPr="00F415B1">
        <w:rPr>
          <w:lang w:val="en-US"/>
        </w:rPr>
        <w:t xml:space="preserve">. If the UE is not provided any of </w:t>
      </w:r>
      <w:r w:rsidRPr="00F415B1">
        <w:rPr>
          <w:i/>
          <w:lang w:val="en-US"/>
        </w:rPr>
        <w:t>pdsch-</w:t>
      </w:r>
      <w:r w:rsidRPr="00F415B1">
        <w:rPr>
          <w:rFonts w:cs="Arial"/>
          <w:i/>
          <w:lang w:eastAsia="zh-CN"/>
        </w:rPr>
        <w:t>HARQ-ACK-Codebook</w:t>
      </w:r>
      <w:r w:rsidRPr="00F415B1">
        <w:rPr>
          <w:lang w:val="en-US"/>
        </w:rPr>
        <w:t xml:space="preserve">, </w:t>
      </w:r>
      <w:r w:rsidRPr="00F415B1">
        <w:rPr>
          <w:i/>
          <w:lang w:val="en-US"/>
        </w:rPr>
        <w:t>pdsch-</w:t>
      </w:r>
      <w:r w:rsidRPr="00F415B1">
        <w:rPr>
          <w:rFonts w:cs="Arial"/>
          <w:i/>
          <w:lang w:eastAsia="zh-CN"/>
        </w:rPr>
        <w:t>HARQ-ACK-Codebook-r16</w:t>
      </w:r>
      <w:r w:rsidRPr="00F415B1">
        <w:rPr>
          <w:rFonts w:cs="Arial"/>
          <w:lang w:eastAsia="zh-CN"/>
        </w:rPr>
        <w:t xml:space="preserve">, or </w:t>
      </w:r>
      <w:r w:rsidRPr="00F415B1">
        <w:rPr>
          <w:i/>
        </w:rPr>
        <w:t>pdsch-HARQ-ACK-OneShotFeedback</w:t>
      </w:r>
      <w:r w:rsidRPr="00F415B1">
        <w:rPr>
          <w:rFonts w:cs="Arial"/>
          <w:lang w:eastAsia="zh-CN"/>
        </w:rPr>
        <w:t>,</w:t>
      </w:r>
      <w:r w:rsidRPr="00F415B1">
        <w:rPr>
          <w:lang w:val="en-US"/>
        </w:rPr>
        <w:t xml:space="preserve"> </w:t>
      </w:r>
      <m:oMath>
        <m:sSub>
          <m:sSubPr>
            <m:ctrlPr>
              <w:rPr>
                <w:rFonts w:ascii="Cambria Math" w:hAnsi="Cambria Math"/>
                <w:i/>
              </w:rPr>
            </m:ctrlPr>
          </m:sSubPr>
          <m:e>
            <m:r>
              <w:rPr>
                <w:rFonts w:ascii="Cambria Math" w:hAnsi="Cambria Math"/>
              </w:rPr>
              <m:t>O</m:t>
            </m:r>
          </m:e>
          <m:sub>
            <m:r>
              <m:rPr>
                <m:sty m:val="p"/>
              </m:rPr>
              <w:rPr>
                <w:rFonts w:ascii="Cambria Math" w:hAnsi="Cambria Math"/>
              </w:rPr>
              <m:t>ACK</m:t>
            </m:r>
          </m:sub>
        </m:sSub>
        <m:r>
          <w:rPr>
            <w:rFonts w:ascii="Cambria Math" w:hAnsi="Cambria Math"/>
          </w:rPr>
          <m:t>=1</m:t>
        </m:r>
      </m:oMath>
      <w:r w:rsidRPr="00F415B1">
        <w:rPr>
          <w:lang w:val="en-US"/>
        </w:rPr>
        <w:t xml:space="preserve"> if the UE includes a HARQ-ACK information bit in the PUCCH transmission; otherwise, </w:t>
      </w:r>
      <m:oMath>
        <m:sSub>
          <m:sSubPr>
            <m:ctrlPr>
              <w:rPr>
                <w:rFonts w:ascii="Cambria Math" w:hAnsi="Cambria Math"/>
                <w:i/>
              </w:rPr>
            </m:ctrlPr>
          </m:sSubPr>
          <m:e>
            <m:r>
              <w:rPr>
                <w:rFonts w:ascii="Cambria Math" w:hAnsi="Cambria Math"/>
              </w:rPr>
              <m:t>O</m:t>
            </m:r>
          </m:e>
          <m:sub>
            <m:r>
              <m:rPr>
                <m:sty m:val="p"/>
              </m:rPr>
              <w:rPr>
                <w:rFonts w:ascii="Cambria Math" w:hAnsi="Cambria Math"/>
              </w:rPr>
              <m:t>ACK</m:t>
            </m:r>
          </m:sub>
        </m:sSub>
        <m:r>
          <w:rPr>
            <w:rFonts w:ascii="Cambria Math" w:hAnsi="Cambria Math"/>
          </w:rPr>
          <m:t>=0</m:t>
        </m:r>
      </m:oMath>
    </w:p>
    <w:p w14:paraId="401A213B" w14:textId="77777777" w:rsidR="003C2FA6" w:rsidRPr="00F415B1" w:rsidRDefault="003C2FA6" w:rsidP="003C2FA6">
      <w:pPr>
        <w:pStyle w:val="B3"/>
      </w:pPr>
      <w:r w:rsidRPr="00F415B1">
        <w:t>-</w:t>
      </w:r>
      <w:r w:rsidRPr="00F415B1">
        <w:tab/>
      </w:r>
      <m:oMath>
        <m:sSub>
          <m:sSubPr>
            <m:ctrlPr>
              <w:rPr>
                <w:rFonts w:ascii="Cambria Math" w:hAnsi="Cambria Math"/>
                <w:i/>
              </w:rPr>
            </m:ctrlPr>
          </m:sSubPr>
          <m:e>
            <m:r>
              <w:rPr>
                <w:rFonts w:ascii="Cambria Math" w:hAnsi="Cambria Math"/>
              </w:rPr>
              <m:t>O</m:t>
            </m:r>
          </m:e>
          <m:sub>
            <m:r>
              <m:rPr>
                <m:sty m:val="p"/>
              </m:rPr>
              <w:rPr>
                <w:rFonts w:ascii="Cambria Math" w:hAnsi="Cambria Math"/>
              </w:rPr>
              <m:t>SR</m:t>
            </m:r>
          </m:sub>
        </m:sSub>
        <m:d>
          <m:dPr>
            <m:ctrlPr>
              <w:rPr>
                <w:rFonts w:ascii="Cambria Math" w:hAnsi="Cambria Math"/>
                <w:i/>
              </w:rPr>
            </m:ctrlPr>
          </m:dPr>
          <m:e>
            <m:r>
              <w:rPr>
                <w:rFonts w:ascii="Cambria Math" w:hAnsi="Cambria Math"/>
              </w:rPr>
              <m:t>i</m:t>
            </m:r>
          </m:e>
        </m:d>
      </m:oMath>
      <w:r w:rsidRPr="00F415B1">
        <w:rPr>
          <w:lang w:val="en-US"/>
        </w:rPr>
        <w:t xml:space="preserve"> is a number of SR information bits that the UE determines as described in clause 9.2.5.1</w:t>
      </w:r>
    </w:p>
    <w:p w14:paraId="4579A5CE" w14:textId="77777777" w:rsidR="003C2FA6" w:rsidRPr="00F415B1" w:rsidRDefault="003C2FA6" w:rsidP="003C2FA6">
      <w:pPr>
        <w:pStyle w:val="B3"/>
        <w:rPr>
          <w:lang w:val="en-US"/>
        </w:rPr>
      </w:pPr>
      <w:r w:rsidRPr="00F415B1">
        <w:t>-</w:t>
      </w:r>
      <w:r w:rsidRPr="00F415B1">
        <w:tab/>
      </w:r>
      <m:oMath>
        <m:sSub>
          <m:sSubPr>
            <m:ctrlPr>
              <w:rPr>
                <w:rFonts w:ascii="Cambria Math" w:hAnsi="Cambria Math"/>
                <w:i/>
              </w:rPr>
            </m:ctrlPr>
          </m:sSubPr>
          <m:e>
            <m:r>
              <w:rPr>
                <w:rFonts w:ascii="Cambria Math" w:hAnsi="Cambria Math"/>
              </w:rPr>
              <m:t>O</m:t>
            </m:r>
          </m:e>
          <m:sub>
            <m:r>
              <m:rPr>
                <m:sty m:val="p"/>
              </m:rPr>
              <w:rPr>
                <w:rFonts w:ascii="Cambria Math" w:hAnsi="Cambria Math"/>
              </w:rPr>
              <m:t>CSI</m:t>
            </m:r>
          </m:sub>
        </m:sSub>
        <m:d>
          <m:dPr>
            <m:ctrlPr>
              <w:rPr>
                <w:rFonts w:ascii="Cambria Math" w:hAnsi="Cambria Math"/>
                <w:i/>
              </w:rPr>
            </m:ctrlPr>
          </m:dPr>
          <m:e>
            <m:r>
              <w:rPr>
                <w:rFonts w:ascii="Cambria Math" w:hAnsi="Cambria Math"/>
              </w:rPr>
              <m:t>i</m:t>
            </m:r>
          </m:e>
        </m:d>
      </m:oMath>
      <w:r w:rsidRPr="00F415B1">
        <w:rPr>
          <w:lang w:val="en-US"/>
        </w:rPr>
        <w:t xml:space="preserve"> is a number of CSI information bits that the UE determines as described in clause 9.2.5.2 </w:t>
      </w:r>
    </w:p>
    <w:p w14:paraId="66DAB3B7" w14:textId="77777777" w:rsidR="003C2FA6" w:rsidRPr="00F415B1" w:rsidRDefault="003C2FA6" w:rsidP="003C2FA6">
      <w:pPr>
        <w:pStyle w:val="B3"/>
        <w:rPr>
          <w:lang w:val="en-US"/>
        </w:rPr>
      </w:pPr>
      <w:r w:rsidRPr="00F415B1">
        <w:t>-</w:t>
      </w:r>
      <w:r w:rsidRPr="00F415B1">
        <w:tab/>
      </w:r>
      <m:oMath>
        <m:sSub>
          <m:sSubPr>
            <m:ctrlPr>
              <w:rPr>
                <w:rFonts w:ascii="Cambria Math" w:hAnsi="Cambria Math"/>
                <w:i/>
              </w:rPr>
            </m:ctrlPr>
          </m:sSubPr>
          <m:e>
            <m:r>
              <w:rPr>
                <w:rFonts w:ascii="Cambria Math" w:hAnsi="Cambria Math"/>
              </w:rPr>
              <m:t>O</m:t>
            </m:r>
          </m:e>
          <m:sub>
            <m:r>
              <m:rPr>
                <m:sty m:val="p"/>
              </m:rPr>
              <w:rPr>
                <w:rFonts w:ascii="Cambria Math" w:hAnsi="Cambria Math"/>
              </w:rPr>
              <m:t>CRC</m:t>
            </m:r>
          </m:sub>
        </m:sSub>
        <m:d>
          <m:dPr>
            <m:ctrlPr>
              <w:rPr>
                <w:rFonts w:ascii="Cambria Math" w:hAnsi="Cambria Math"/>
                <w:i/>
              </w:rPr>
            </m:ctrlPr>
          </m:dPr>
          <m:e>
            <m:r>
              <w:rPr>
                <w:rFonts w:ascii="Cambria Math" w:hAnsi="Cambria Math"/>
              </w:rPr>
              <m:t>i</m:t>
            </m:r>
          </m:e>
        </m:d>
      </m:oMath>
      <w:r w:rsidRPr="00F415B1">
        <w:rPr>
          <w:lang w:val="en-US"/>
        </w:rPr>
        <w:t xml:space="preserve"> is </w:t>
      </w:r>
      <w:r w:rsidRPr="00F415B1">
        <w:rPr>
          <w:rFonts w:eastAsiaTheme="minorEastAsia"/>
          <w:lang w:eastAsia="zh-CN"/>
        </w:rPr>
        <w:t xml:space="preserve">a number of CRC bits that the UE </w:t>
      </w:r>
      <w:r w:rsidRPr="00F415B1">
        <w:rPr>
          <w:lang w:val="en-US"/>
        </w:rPr>
        <w:t>determines</w:t>
      </w:r>
      <w:r w:rsidRPr="00F415B1">
        <w:rPr>
          <w:rFonts w:eastAsiaTheme="minorEastAsia"/>
          <w:lang w:eastAsia="zh-CN"/>
        </w:rPr>
        <w:t xml:space="preserve"> as described in clause 9.2</w:t>
      </w:r>
    </w:p>
    <w:p w14:paraId="7DF6DB72" w14:textId="537CAA00" w:rsidR="007853E3" w:rsidRPr="00F415B1" w:rsidRDefault="007853E3" w:rsidP="007853E3">
      <w:pPr>
        <w:pStyle w:val="B3"/>
      </w:pPr>
      <w:r w:rsidRPr="00F415B1">
        <w:t>-</w:t>
      </w:r>
      <w:r w:rsidRPr="00F415B1">
        <w:tab/>
      </w:r>
      <m:oMath>
        <m:sSub>
          <m:sSubPr>
            <m:ctrlPr>
              <w:rPr>
                <w:rFonts w:ascii="Cambria Math" w:hAnsi="Cambria Math"/>
                <w:i/>
              </w:rPr>
            </m:ctrlPr>
          </m:sSubPr>
          <m:e>
            <m:r>
              <w:rPr>
                <w:rFonts w:ascii="Cambria Math" w:hAnsi="Cambria Math"/>
              </w:rPr>
              <m:t>N</m:t>
            </m:r>
          </m:e>
          <m:sub>
            <m:r>
              <m:rPr>
                <m:sty m:val="p"/>
              </m:rPr>
              <w:rPr>
                <w:rFonts w:ascii="Cambria Math" w:hAnsi="Cambria Math"/>
              </w:rPr>
              <m:t>RE</m:t>
            </m:r>
          </m:sub>
        </m:sSub>
        <m:d>
          <m:dPr>
            <m:ctrlPr>
              <w:rPr>
                <w:rFonts w:ascii="Cambria Math" w:hAnsi="Cambria Math"/>
                <w:i/>
              </w:rPr>
            </m:ctrlPr>
          </m:dPr>
          <m:e>
            <m:r>
              <w:rPr>
                <w:rFonts w:ascii="Cambria Math" w:hAnsi="Cambria Math"/>
              </w:rPr>
              <m:t>i</m:t>
            </m:r>
          </m:e>
        </m:d>
      </m:oMath>
      <w:r w:rsidRPr="00F415B1">
        <w:t xml:space="preserve"> is a number of resource elements </w:t>
      </w:r>
      <w:r w:rsidRPr="00F415B1">
        <w:rPr>
          <w:lang w:val="en-US"/>
        </w:rPr>
        <w:t xml:space="preserve">that the UE </w:t>
      </w:r>
      <w:r w:rsidRPr="00F415B1">
        <w:t>determine</w:t>
      </w:r>
      <w:r w:rsidRPr="00F415B1">
        <w:rPr>
          <w:lang w:val="en-US"/>
        </w:rPr>
        <w:t>s</w:t>
      </w:r>
      <w:r w:rsidRPr="00F415B1">
        <w:t xml:space="preserve"> as </w:t>
      </w:r>
      <m:oMath>
        <m:sSub>
          <m:sSubPr>
            <m:ctrlPr>
              <w:rPr>
                <w:rFonts w:ascii="Cambria Math" w:hAnsi="Cambria Math"/>
                <w:i/>
                <w:lang w:val="x-none"/>
              </w:rPr>
            </m:ctrlPr>
          </m:sSubPr>
          <m:e>
            <m:r>
              <w:rPr>
                <w:rFonts w:ascii="Cambria Math" w:hAnsi="Cambria Math"/>
              </w:rPr>
              <m:t>N</m:t>
            </m:r>
          </m:e>
          <m:sub>
            <m:r>
              <m:rPr>
                <m:sty m:val="p"/>
              </m:rPr>
              <w:rPr>
                <w:rFonts w:ascii="Cambria Math" w:hAnsi="Cambria Math"/>
              </w:rPr>
              <m:t>RE</m:t>
            </m:r>
          </m:sub>
        </m:sSub>
        <m:r>
          <w:rPr>
            <w:rFonts w:ascii="Cambria Math" w:hAnsi="Cambria Math"/>
            <w:lang w:val="x-none"/>
          </w:rPr>
          <m:t>(i)=</m:t>
        </m:r>
        <m:sSubSup>
          <m:sSubSupPr>
            <m:ctrlPr>
              <w:rPr>
                <w:rFonts w:ascii="Cambria Math" w:hAnsi="Cambria Math"/>
                <w:iCs/>
                <w:lang w:val="x-none"/>
              </w:rPr>
            </m:ctrlPr>
          </m:sSubSupPr>
          <m:e>
            <m:r>
              <w:rPr>
                <w:rFonts w:ascii="Cambria Math" w:hAnsi="Cambria Math"/>
              </w:rPr>
              <m:t>M</m:t>
            </m:r>
          </m:e>
          <m:sub>
            <m:r>
              <m:rPr>
                <m:sty m:val="p"/>
              </m:rPr>
              <w:rPr>
                <w:rFonts w:ascii="Cambria Math" w:hAnsi="Cambria Math"/>
              </w:rPr>
              <m:t>RB</m:t>
            </m:r>
            <m:r>
              <w:rPr>
                <w:rFonts w:ascii="Cambria Math" w:hAnsi="Cambria Math"/>
              </w:rPr>
              <m:t>,b,f,c</m:t>
            </m:r>
          </m:sub>
          <m:sup>
            <m:r>
              <m:rPr>
                <m:sty m:val="p"/>
              </m:rPr>
              <w:rPr>
                <w:rFonts w:ascii="Cambria Math" w:hAnsi="Cambria Math"/>
              </w:rPr>
              <m:t>PUCCH</m:t>
            </m:r>
          </m:sup>
        </m:sSubSup>
        <m:r>
          <w:rPr>
            <w:rFonts w:ascii="Cambria Math" w:hAnsi="Cambria Math"/>
            <w:lang w:val="x-none"/>
          </w:rPr>
          <m:t>(i)</m:t>
        </m:r>
        <m:r>
          <w:rPr>
            <w:rFonts w:ascii="Cambria Math" w:hAnsi="Cambria Math" w:cs="Cambria Math"/>
          </w:rPr>
          <m:t>⋅</m:t>
        </m:r>
        <m:sSubSup>
          <m:sSubSupPr>
            <m:ctrlPr>
              <w:rPr>
                <w:rFonts w:ascii="Cambria Math" w:hAnsi="Cambria Math"/>
                <w:iCs/>
                <w:lang w:val="x-none"/>
              </w:rPr>
            </m:ctrlPr>
          </m:sSubSupPr>
          <m:e>
            <m:r>
              <w:rPr>
                <w:rFonts w:ascii="Cambria Math" w:hAnsi="Cambria Math"/>
              </w:rPr>
              <m:t>N</m:t>
            </m:r>
          </m:e>
          <m:sub>
            <m:r>
              <m:rPr>
                <m:sty m:val="p"/>
              </m:rPr>
              <w:rPr>
                <w:rFonts w:ascii="Cambria Math" w:hAnsi="Cambria Math"/>
              </w:rPr>
              <m:t>sc,ctrl</m:t>
            </m:r>
          </m:sub>
          <m:sup>
            <m:r>
              <m:rPr>
                <m:sty m:val="p"/>
              </m:rPr>
              <w:rPr>
                <w:rFonts w:ascii="Cambria Math" w:hAnsi="Cambria Math"/>
              </w:rPr>
              <m:t>RB</m:t>
            </m:r>
          </m:sup>
        </m:sSubSup>
        <m:r>
          <w:rPr>
            <w:rFonts w:ascii="Cambria Math" w:hAnsi="Cambria Math"/>
            <w:lang w:val="x-none"/>
          </w:rPr>
          <m:t>(i)</m:t>
        </m:r>
        <m:sSubSup>
          <m:sSubSupPr>
            <m:ctrlPr>
              <w:rPr>
                <w:rFonts w:ascii="Cambria Math" w:hAnsi="Cambria Math"/>
                <w:iCs/>
                <w:lang w:val="x-none"/>
              </w:rPr>
            </m:ctrlPr>
          </m:sSubSupPr>
          <m:e>
            <m:r>
              <w:rPr>
                <w:rFonts w:ascii="Cambria Math" w:hAnsi="Cambria Math" w:cs="Cambria Math"/>
              </w:rPr>
              <m:t>⋅</m:t>
            </m:r>
            <m:r>
              <w:rPr>
                <w:rFonts w:ascii="Cambria Math" w:hAnsi="Cambria Math"/>
              </w:rPr>
              <m:t>N</m:t>
            </m:r>
          </m:e>
          <m:sub>
            <m:r>
              <m:rPr>
                <m:sty m:val="p"/>
              </m:rPr>
              <w:rPr>
                <w:rFonts w:ascii="Cambria Math" w:hAnsi="Cambria Math"/>
              </w:rPr>
              <m:t>symb-UCI</m:t>
            </m:r>
            <m:r>
              <w:rPr>
                <w:rFonts w:ascii="Cambria Math" w:hAnsi="Cambria Math"/>
              </w:rPr>
              <m:t>,b,f,c</m:t>
            </m:r>
          </m:sub>
          <m:sup>
            <m:r>
              <m:rPr>
                <m:sty m:val="p"/>
              </m:rPr>
              <w:rPr>
                <w:rFonts w:ascii="Cambria Math" w:hAnsi="Cambria Math"/>
              </w:rPr>
              <m:t>PUCCH</m:t>
            </m:r>
          </m:sup>
        </m:sSubSup>
        <m:r>
          <w:rPr>
            <w:rFonts w:ascii="Cambria Math" w:hAnsi="Cambria Math"/>
            <w:lang w:val="x-none"/>
          </w:rPr>
          <m:t>(i)</m:t>
        </m:r>
      </m:oMath>
      <w:r w:rsidRPr="00F415B1">
        <w:rPr>
          <w:lang w:val="en-US"/>
        </w:rPr>
        <w:t xml:space="preserve">, where </w:t>
      </w:r>
      <m:oMath>
        <m:sSubSup>
          <m:sSubSupPr>
            <m:ctrlPr>
              <w:rPr>
                <w:rFonts w:ascii="Cambria Math" w:hAnsi="Cambria Math"/>
                <w:iCs/>
                <w:lang w:val="x-none"/>
              </w:rPr>
            </m:ctrlPr>
          </m:sSubSupPr>
          <m:e>
            <m:r>
              <w:rPr>
                <w:rFonts w:ascii="Cambria Math" w:hAnsi="Cambria Math"/>
              </w:rPr>
              <m:t>N</m:t>
            </m:r>
          </m:e>
          <m:sub>
            <m:r>
              <m:rPr>
                <m:sty m:val="p"/>
              </m:rPr>
              <w:rPr>
                <w:rFonts w:ascii="Cambria Math" w:hAnsi="Cambria Math"/>
              </w:rPr>
              <m:t>sc,ctrl</m:t>
            </m:r>
          </m:sub>
          <m:sup>
            <m:r>
              <m:rPr>
                <m:sty m:val="p"/>
              </m:rPr>
              <w:rPr>
                <w:rFonts w:ascii="Cambria Math" w:hAnsi="Cambria Math"/>
              </w:rPr>
              <m:t>RB</m:t>
            </m:r>
          </m:sup>
        </m:sSubSup>
        <m:r>
          <w:rPr>
            <w:rFonts w:ascii="Cambria Math" w:hAnsi="Cambria Math"/>
            <w:lang w:val="x-none"/>
          </w:rPr>
          <m:t>(i)</m:t>
        </m:r>
      </m:oMath>
      <w:r w:rsidRPr="00F415B1">
        <w:t xml:space="preserve"> is a number of subcarriers per resource block</w:t>
      </w:r>
      <w:r w:rsidRPr="00F415B1">
        <w:rPr>
          <w:lang w:val="en-US"/>
        </w:rPr>
        <w:t xml:space="preserve"> excluding subcarriers used for DM-RS transmission</w:t>
      </w:r>
      <w:r w:rsidRPr="00F415B1">
        <w:t xml:space="preserve">, and </w:t>
      </w:r>
      <m:oMath>
        <m:sSubSup>
          <m:sSubSupPr>
            <m:ctrlPr>
              <w:rPr>
                <w:rFonts w:ascii="Cambria Math" w:hAnsi="Cambria Math"/>
                <w:iCs/>
                <w:lang w:val="x-none"/>
              </w:rPr>
            </m:ctrlPr>
          </m:sSubSupPr>
          <m:e>
            <m:r>
              <w:rPr>
                <w:rFonts w:ascii="Cambria Math" w:hAnsi="Cambria Math"/>
              </w:rPr>
              <m:t>N</m:t>
            </m:r>
          </m:e>
          <m:sub>
            <m:r>
              <m:rPr>
                <m:sty m:val="p"/>
              </m:rPr>
              <w:rPr>
                <w:rFonts w:ascii="Cambria Math" w:hAnsi="Cambria Math"/>
              </w:rPr>
              <m:t>symb-UCI</m:t>
            </m:r>
            <m:r>
              <w:rPr>
                <w:rFonts w:ascii="Cambria Math" w:hAnsi="Cambria Math"/>
              </w:rPr>
              <m:t>,b,f,c</m:t>
            </m:r>
          </m:sub>
          <m:sup>
            <m:r>
              <m:rPr>
                <m:sty m:val="p"/>
              </m:rPr>
              <w:rPr>
                <w:rFonts w:ascii="Cambria Math" w:hAnsi="Cambria Math"/>
              </w:rPr>
              <m:t>PUCCH</m:t>
            </m:r>
          </m:sup>
        </m:sSubSup>
        <m:r>
          <w:rPr>
            <w:rFonts w:ascii="Cambria Math" w:hAnsi="Cambria Math"/>
            <w:lang w:val="x-none"/>
          </w:rPr>
          <m:t>(i)</m:t>
        </m:r>
      </m:oMath>
      <w:r w:rsidRPr="00F415B1">
        <w:rPr>
          <w:lang w:val="en-US"/>
        </w:rPr>
        <w:t xml:space="preserve"> is a number of symbols excluding symbols used for DM-RS transmission, as defined in clause 9.2.5.2, </w:t>
      </w:r>
      <w:r w:rsidRPr="00F415B1">
        <w:t xml:space="preserve">for </w:t>
      </w:r>
      <w:r w:rsidRPr="00F415B1">
        <w:rPr>
          <w:lang w:val="en-US"/>
        </w:rPr>
        <w:t>PUCCH transmission occasion</w:t>
      </w:r>
      <w:r w:rsidRPr="00F415B1">
        <w:t xml:space="preserve"> </w:t>
      </w:r>
      <m:oMath>
        <m:r>
          <w:rPr>
            <w:rFonts w:ascii="Cambria Math" w:hAnsi="Cambria Math"/>
          </w:rPr>
          <m:t>i</m:t>
        </m:r>
      </m:oMath>
      <w:r w:rsidRPr="00F415B1">
        <w:rPr>
          <w:i/>
        </w:rPr>
        <w:t xml:space="preserve"> </w:t>
      </w:r>
      <w:r w:rsidRPr="00F415B1">
        <w:rPr>
          <w:lang w:val="en-US"/>
        </w:rPr>
        <w:t>on</w:t>
      </w:r>
      <w:r w:rsidRPr="00F415B1">
        <w:t xml:space="preserve"> active </w:t>
      </w:r>
      <w:r w:rsidRPr="00F415B1">
        <w:rPr>
          <w:lang w:val="en-US"/>
        </w:rPr>
        <w:t xml:space="preserve">UL BWP </w:t>
      </w:r>
      <m:oMath>
        <m:r>
          <w:rPr>
            <w:rFonts w:ascii="Cambria Math" w:hAnsi="Cambria Math"/>
            <w:lang w:val="en-US"/>
          </w:rPr>
          <m:t>b</m:t>
        </m:r>
      </m:oMath>
      <w:r w:rsidRPr="00F415B1">
        <w:rPr>
          <w:iCs/>
          <w:lang w:val="en-US"/>
        </w:rPr>
        <w:t xml:space="preserve"> </w:t>
      </w:r>
      <w:r w:rsidRPr="00F415B1">
        <w:rPr>
          <w:lang w:val="en-US"/>
        </w:rPr>
        <w:t xml:space="preserve">of carrier </w:t>
      </w:r>
      <m:oMath>
        <m:r>
          <w:rPr>
            <w:rFonts w:ascii="Cambria Math" w:hAnsi="Cambria Math"/>
            <w:lang w:val="en-US"/>
          </w:rPr>
          <m:t>f</m:t>
        </m:r>
      </m:oMath>
      <w:r w:rsidRPr="00F415B1">
        <w:rPr>
          <w:iCs/>
          <w:lang w:val="en-US"/>
        </w:rPr>
        <w:t xml:space="preserve"> of</w:t>
      </w:r>
      <w:r w:rsidRPr="00F415B1">
        <w:t xml:space="preserve"> primary cell</w:t>
      </w:r>
      <w:r w:rsidRPr="00F415B1">
        <w:rPr>
          <w:i/>
        </w:rPr>
        <w:t xml:space="preserve"> </w:t>
      </w:r>
      <m:oMath>
        <m:r>
          <w:rPr>
            <w:rFonts w:ascii="Cambria Math" w:hAnsi="Cambria Math"/>
          </w:rPr>
          <m:t>c</m:t>
        </m:r>
      </m:oMath>
      <w:r w:rsidRPr="00F415B1">
        <w:rPr>
          <w:rFonts w:hint="eastAsia"/>
        </w:rPr>
        <w:t>.</w:t>
      </w:r>
    </w:p>
    <w:p w14:paraId="024DA0A6" w14:textId="77777777" w:rsidR="007853E3" w:rsidRPr="00F415B1" w:rsidRDefault="007853E3" w:rsidP="007853E3">
      <w:pPr>
        <w:pStyle w:val="B1"/>
      </w:pPr>
      <w:r w:rsidRPr="00F415B1">
        <w:rPr>
          <w:lang w:val="en-US"/>
        </w:rPr>
        <w:t>-</w:t>
      </w:r>
      <w:r w:rsidRPr="00F415B1">
        <w:rPr>
          <w:lang w:val="en-US"/>
        </w:rPr>
        <w:tab/>
        <w:t xml:space="preserve">For the </w:t>
      </w:r>
      <w:r w:rsidRPr="00F415B1">
        <w:t>PUCCH power control adjustment state</w:t>
      </w:r>
      <w:r w:rsidRPr="00F415B1">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b,f,c</m:t>
            </m:r>
          </m:sub>
        </m:sSub>
        <m:d>
          <m:dPr>
            <m:ctrlPr>
              <w:rPr>
                <w:rFonts w:ascii="Cambria Math" w:hAnsi="Cambria Math"/>
                <w:i/>
                <w:lang w:val="en-US"/>
              </w:rPr>
            </m:ctrlPr>
          </m:dPr>
          <m:e>
            <m:r>
              <w:rPr>
                <w:rFonts w:ascii="Cambria Math" w:hAnsi="Cambria Math"/>
                <w:lang w:val="en-US"/>
              </w:rPr>
              <m:t>i,l</m:t>
            </m:r>
          </m:e>
        </m:d>
      </m:oMath>
      <w:r w:rsidRPr="00F415B1">
        <w:t xml:space="preserve"> for </w:t>
      </w:r>
      <w:r w:rsidRPr="00F415B1">
        <w:rPr>
          <w:lang w:val="en-US"/>
        </w:rPr>
        <w:t xml:space="preserve">active UL BWP </w:t>
      </w:r>
      <m:oMath>
        <m:r>
          <w:rPr>
            <w:rFonts w:ascii="Cambria Math" w:hAnsi="Cambria Math"/>
            <w:lang w:val="en-US"/>
          </w:rPr>
          <m:t>b</m:t>
        </m:r>
      </m:oMath>
      <w:r w:rsidRPr="00F415B1">
        <w:rPr>
          <w:iCs/>
          <w:lang w:val="en-US"/>
        </w:rPr>
        <w:t xml:space="preserve"> </w:t>
      </w:r>
      <w:r w:rsidRPr="00F415B1">
        <w:rPr>
          <w:lang w:val="en-US"/>
        </w:rPr>
        <w:t xml:space="preserve">of carrier </w:t>
      </w:r>
      <m:oMath>
        <m:r>
          <w:rPr>
            <w:rFonts w:ascii="Cambria Math" w:hAnsi="Cambria Math"/>
            <w:lang w:val="en-US"/>
          </w:rPr>
          <m:t>f</m:t>
        </m:r>
      </m:oMath>
      <w:r w:rsidRPr="00F415B1">
        <w:rPr>
          <w:iCs/>
          <w:lang w:val="en-US"/>
        </w:rPr>
        <w:t xml:space="preserve"> </w:t>
      </w:r>
      <w:r w:rsidRPr="00F415B1">
        <w:rPr>
          <w:lang w:val="en-US"/>
        </w:rPr>
        <w:t xml:space="preserve">of </w:t>
      </w:r>
      <w:r w:rsidRPr="00F415B1">
        <w:rPr>
          <w:rFonts w:eastAsia="MS Mincho"/>
          <w:lang w:val="en-US"/>
        </w:rPr>
        <w:t xml:space="preserve">primary cell </w:t>
      </w:r>
      <m:oMath>
        <m:r>
          <w:rPr>
            <w:rFonts w:ascii="Cambria Math" w:eastAsia="MS Mincho" w:hAnsi="Cambria Math"/>
            <w:lang w:val="en-US"/>
          </w:rPr>
          <m:t>c</m:t>
        </m:r>
      </m:oMath>
      <w:r w:rsidRPr="00F415B1">
        <w:rPr>
          <w:lang w:val="en-US"/>
        </w:rPr>
        <w:t xml:space="preserve"> and PUCCH transmission occasion </w:t>
      </w:r>
      <m:oMath>
        <m:r>
          <w:rPr>
            <w:rFonts w:ascii="Cambria Math" w:hAnsi="Cambria Math"/>
            <w:lang w:val="en-US"/>
          </w:rPr>
          <m:t>i</m:t>
        </m:r>
      </m:oMath>
    </w:p>
    <w:p w14:paraId="2F66A0B4" w14:textId="4A03EAB1" w:rsidR="009603DF" w:rsidRDefault="007F1725" w:rsidP="007F1725">
      <w:pPr>
        <w:pStyle w:val="B2"/>
        <w:rPr>
          <w:lang w:val="en-US"/>
        </w:rPr>
      </w:pPr>
      <w:bookmarkStart w:id="193" w:name="_Hlk534811171"/>
      <w:r w:rsidRPr="00AB47D9">
        <w:t>-</w:t>
      </w:r>
      <w:r w:rsidRPr="00AB47D9">
        <w:tab/>
      </w:r>
      <m:oMath>
        <m:sSub>
          <m:sSubPr>
            <m:ctrlPr>
              <w:rPr>
                <w:rFonts w:ascii="Cambria Math" w:hAnsi="Cambria Math"/>
                <w:i/>
              </w:rPr>
            </m:ctrlPr>
          </m:sSubPr>
          <m:e>
            <m:r>
              <w:rPr>
                <w:rFonts w:ascii="Cambria Math" w:hAnsi="Cambria Math"/>
              </w:rPr>
              <m:t>δ</m:t>
            </m:r>
          </m:e>
          <m:sub>
            <m:r>
              <m:rPr>
                <m:sty m:val="p"/>
              </m:rPr>
              <w:rPr>
                <w:rFonts w:ascii="Cambria Math" w:hAnsi="Cambria Math"/>
              </w:rPr>
              <m:t>PUCCH</m:t>
            </m:r>
            <m:r>
              <w:rPr>
                <w:rFonts w:ascii="Cambria Math" w:hAnsi="Cambria Math"/>
              </w:rPr>
              <m:t>,b,f,c</m:t>
            </m:r>
          </m:sub>
        </m:sSub>
        <m:r>
          <w:rPr>
            <w:rFonts w:ascii="Cambria Math" w:hAnsi="Cambria Math"/>
          </w:rPr>
          <m:t>(i,l)</m:t>
        </m:r>
      </m:oMath>
      <w:r w:rsidRPr="00FF4EDF">
        <w:rPr>
          <w:lang w:val="en-US"/>
        </w:rPr>
        <w:t xml:space="preserve"> </w:t>
      </w:r>
      <w:r w:rsidRPr="00AB47D9">
        <w:t>is a TPC comma</w:t>
      </w:r>
      <w:r w:rsidRPr="00B916EC">
        <w:t>nd</w:t>
      </w:r>
      <w:r w:rsidR="009603DF">
        <w:rPr>
          <w:lang w:val="en-US"/>
        </w:rPr>
        <w:t xml:space="preserve"> value</w:t>
      </w:r>
      <w:r w:rsidRPr="00B916EC">
        <w:t xml:space="preserve"> included in </w:t>
      </w:r>
      <w:r w:rsidRPr="00B916EC">
        <w:rPr>
          <w:lang w:val="en-US"/>
        </w:rPr>
        <w:t xml:space="preserve">a </w:t>
      </w:r>
      <w:r w:rsidRPr="00B916EC">
        <w:t xml:space="preserve">DCI format </w:t>
      </w:r>
      <w:r w:rsidR="00E52887" w:rsidRPr="00F415B1">
        <w:rPr>
          <w:lang w:val="en-US"/>
        </w:rPr>
        <w:t>associated with the PUCCH transmission</w:t>
      </w:r>
      <w:r w:rsidRPr="00B916EC">
        <w:t xml:space="preserve"> for </w:t>
      </w:r>
      <w:r w:rsidR="009603DF">
        <w:rPr>
          <w:lang w:val="en-US"/>
        </w:rPr>
        <w:t xml:space="preserve">active </w:t>
      </w:r>
      <w:r>
        <w:rPr>
          <w:lang w:val="en-US"/>
        </w:rPr>
        <w:t>UL BWP</w:t>
      </w:r>
      <w:r w:rsidR="00AC577F" w:rsidRPr="00A339A6">
        <w:rPr>
          <w:lang w:val="en-US"/>
        </w:rPr>
        <w:t xml:space="preserve"> </w:t>
      </w:r>
      <m:oMath>
        <m:r>
          <w:rPr>
            <w:rFonts w:ascii="Cambria Math" w:hAnsi="Cambria Math"/>
            <w:lang w:val="en-US"/>
          </w:rPr>
          <m:t>b</m:t>
        </m:r>
      </m:oMath>
      <w:r w:rsidR="00E52887" w:rsidRPr="00F415B1">
        <w:rPr>
          <w:iCs/>
          <w:lang w:val="en-US"/>
        </w:rPr>
        <w:t xml:space="preserve"> </w:t>
      </w:r>
      <w:r w:rsidR="00E52887" w:rsidRPr="00F415B1">
        <w:rPr>
          <w:lang w:val="en-US"/>
        </w:rPr>
        <w:t xml:space="preserve">of carrier </w:t>
      </w:r>
      <m:oMath>
        <m:r>
          <w:rPr>
            <w:rFonts w:ascii="Cambria Math" w:hAnsi="Cambria Math"/>
            <w:lang w:val="en-US"/>
          </w:rPr>
          <m:t>f</m:t>
        </m:r>
      </m:oMath>
      <w:r w:rsidR="00E52887" w:rsidRPr="00F415B1">
        <w:rPr>
          <w:iCs/>
          <w:lang w:val="en-US"/>
        </w:rPr>
        <w:t xml:space="preserve"> </w:t>
      </w:r>
      <w:r w:rsidR="00E52887" w:rsidRPr="00F415B1">
        <w:rPr>
          <w:lang w:val="en-US"/>
        </w:rPr>
        <w:t>of the primary</w:t>
      </w:r>
      <w:r w:rsidR="00E52887" w:rsidRPr="00F415B1">
        <w:t xml:space="preserve"> cell </w:t>
      </w:r>
      <m:oMath>
        <m:r>
          <w:rPr>
            <w:rFonts w:ascii="Cambria Math" w:eastAsia="MS Mincho" w:hAnsi="Cambria Math"/>
            <w:lang w:val="en-US"/>
          </w:rPr>
          <m:t>c</m:t>
        </m:r>
      </m:oMath>
      <w:r w:rsidR="00E52887" w:rsidRPr="00F415B1">
        <w:rPr>
          <w:iCs/>
          <w:lang w:val="en-US"/>
        </w:rPr>
        <w:t xml:space="preserve"> </w:t>
      </w:r>
      <w:r w:rsidRPr="00B916EC">
        <w:rPr>
          <w:lang w:val="en-US"/>
        </w:rPr>
        <w:t xml:space="preserve">that the UE detects </w:t>
      </w:r>
      <w:r>
        <w:rPr>
          <w:lang w:val="en-US"/>
        </w:rPr>
        <w:t>for</w:t>
      </w:r>
      <w:r w:rsidRPr="00B916EC">
        <w:rPr>
          <w:lang w:val="en-US"/>
        </w:rPr>
        <w:t xml:space="preserve"> PUCCH transmission </w:t>
      </w:r>
      <w:r>
        <w:rPr>
          <w:lang w:val="en-US"/>
        </w:rPr>
        <w:t>occasion</w:t>
      </w:r>
      <w:r w:rsidRPr="00B916EC">
        <w:rPr>
          <w:lang w:val="en-US"/>
        </w:rPr>
        <w:t xml:space="preserve"> </w:t>
      </w:r>
      <m:oMath>
        <m:r>
          <w:rPr>
            <w:rFonts w:ascii="Cambria Math" w:hAnsi="Cambria Math"/>
            <w:lang w:val="en-US"/>
          </w:rPr>
          <m:t>i</m:t>
        </m:r>
      </m:oMath>
      <w:r w:rsidR="000E7147">
        <w:rPr>
          <w:lang w:val="en-US"/>
        </w:rPr>
        <w:t>,</w:t>
      </w:r>
      <w:r w:rsidRPr="00B916EC">
        <w:rPr>
          <w:lang w:val="en-US"/>
        </w:rPr>
        <w:t xml:space="preserve"> </w:t>
      </w:r>
      <w:r w:rsidRPr="00B916EC">
        <w:t>or</w:t>
      </w:r>
      <w:r w:rsidRPr="00B916EC">
        <w:rPr>
          <w:lang w:val="en-US"/>
        </w:rPr>
        <w:t xml:space="preserve"> </w:t>
      </w:r>
      <w:r w:rsidR="009603DF">
        <w:rPr>
          <w:lang w:val="en-US"/>
        </w:rPr>
        <w:t xml:space="preserve">is </w:t>
      </w:r>
      <w:r w:rsidRPr="00B916EC">
        <w:t xml:space="preserve">jointly coded with other TPC commands in </w:t>
      </w:r>
      <w:r w:rsidRPr="00B916EC">
        <w:rPr>
          <w:lang w:val="en-US"/>
        </w:rPr>
        <w:t xml:space="preserve">a </w:t>
      </w:r>
      <w:r w:rsidRPr="00B916EC">
        <w:t xml:space="preserve">DCI format </w:t>
      </w:r>
      <w:r w:rsidRPr="00B916EC">
        <w:rPr>
          <w:lang w:val="en-US"/>
        </w:rPr>
        <w:t xml:space="preserve">2_2 </w:t>
      </w:r>
      <w:r w:rsidR="009603DF">
        <w:rPr>
          <w:lang w:val="en-US"/>
        </w:rPr>
        <w:t>with</w:t>
      </w:r>
      <w:r w:rsidR="009603DF" w:rsidRPr="00597FA9">
        <w:rPr>
          <w:lang w:val="en-US"/>
        </w:rPr>
        <w:t xml:space="preserve"> </w:t>
      </w:r>
      <w:r w:rsidR="009603DF" w:rsidRPr="00597FA9">
        <w:rPr>
          <w:rFonts w:hint="eastAsia"/>
        </w:rPr>
        <w:t>CRC</w:t>
      </w:r>
      <w:r w:rsidRPr="00B916EC">
        <w:rPr>
          <w:rFonts w:hint="eastAsia"/>
        </w:rPr>
        <w:t xml:space="preserve"> scrambled </w:t>
      </w:r>
      <w:r w:rsidRPr="00B916EC">
        <w:rPr>
          <w:lang w:val="en-US"/>
        </w:rPr>
        <w:t>by</w:t>
      </w:r>
      <w:r w:rsidRPr="00B916EC">
        <w:rPr>
          <w:rFonts w:hint="eastAsia"/>
        </w:rPr>
        <w:t xml:space="preserve"> TPC-PUCCH-RNTI</w:t>
      </w:r>
      <w:r w:rsidRPr="00B916EC">
        <w:rPr>
          <w:lang w:val="en-US"/>
        </w:rPr>
        <w:t xml:space="preserve"> [5, TS </w:t>
      </w:r>
      <w:r w:rsidR="00F336E1" w:rsidRPr="00B916EC">
        <w:rPr>
          <w:lang w:val="en-US"/>
        </w:rPr>
        <w:t>3</w:t>
      </w:r>
      <w:r w:rsidR="00F336E1">
        <w:rPr>
          <w:lang w:val="en-US"/>
        </w:rPr>
        <w:t>8</w:t>
      </w:r>
      <w:r w:rsidRPr="00B916EC">
        <w:rPr>
          <w:lang w:val="en-US"/>
        </w:rPr>
        <w:t xml:space="preserve">.212], </w:t>
      </w:r>
      <w:r>
        <w:rPr>
          <w:lang w:val="en-US"/>
        </w:rPr>
        <w:t xml:space="preserve">as described </w:t>
      </w:r>
      <w:r w:rsidR="006F5F9E">
        <w:rPr>
          <w:lang w:val="en-US"/>
        </w:rPr>
        <w:t>in clause</w:t>
      </w:r>
      <w:r>
        <w:rPr>
          <w:lang w:val="en-US"/>
        </w:rPr>
        <w:t xml:space="preserve"> 11.3</w:t>
      </w:r>
    </w:p>
    <w:p w14:paraId="37FBB046" w14:textId="5761B18B" w:rsidR="00E52887" w:rsidRDefault="00E52887" w:rsidP="00B36559">
      <w:pPr>
        <w:pStyle w:val="B3"/>
        <w:rPr>
          <w:lang w:val="en-US"/>
        </w:rPr>
      </w:pPr>
      <w:r w:rsidRPr="00F415B1">
        <w:rPr>
          <w:lang w:val="en-US"/>
        </w:rPr>
        <w:lastRenderedPageBreak/>
        <w:t>-</w:t>
      </w:r>
      <w:r w:rsidRPr="00F415B1">
        <w:rPr>
          <w:lang w:val="en-US"/>
        </w:rPr>
        <w:tab/>
      </w:r>
      <m:oMath>
        <m:r>
          <w:rPr>
            <w:rFonts w:ascii="Cambria Math" w:hAnsi="Cambria Math"/>
            <w:lang w:val="en-US"/>
          </w:rPr>
          <m:t>l</m:t>
        </m:r>
        <m:r>
          <m:rPr>
            <m:sty m:val="p"/>
          </m:rPr>
          <w:rPr>
            <w:rFonts w:ascii="Cambria Math" w:hAnsi="Cambria Math"/>
            <w:lang w:val="en-US"/>
          </w:rPr>
          <m:t>∈</m:t>
        </m:r>
        <m:d>
          <m:dPr>
            <m:begChr m:val="{"/>
            <m:endChr m:val="}"/>
            <m:ctrlPr>
              <w:rPr>
                <w:rFonts w:ascii="Cambria Math" w:hAnsi="Cambria Math"/>
                <w:lang w:val="en-US"/>
              </w:rPr>
            </m:ctrlPr>
          </m:dPr>
          <m:e>
            <m:r>
              <m:rPr>
                <m:sty m:val="p"/>
              </m:rPr>
              <w:rPr>
                <w:rFonts w:ascii="Cambria Math" w:hAnsi="Cambria Math"/>
                <w:lang w:val="en-US"/>
              </w:rPr>
              <m:t>0,1</m:t>
            </m:r>
          </m:e>
        </m:d>
      </m:oMath>
      <w:r w:rsidRPr="00F415B1">
        <w:rPr>
          <w:lang w:val="en-US"/>
        </w:rPr>
        <w:t xml:space="preserve"> if the UE is provided </w:t>
      </w:r>
      <w:r w:rsidRPr="00E5527F">
        <w:rPr>
          <w:i/>
          <w:iCs/>
        </w:rPr>
        <w:t>twoPUCCH-PC-AdjustmentStates</w:t>
      </w:r>
      <w:r w:rsidRPr="00F415B1">
        <w:rPr>
          <w:lang w:val="en-US"/>
        </w:rPr>
        <w:t xml:space="preserve"> </w:t>
      </w:r>
      <w:r w:rsidRPr="00F415B1">
        <w:rPr>
          <w:rFonts w:hint="eastAsia"/>
          <w:lang w:val="en-US" w:eastAsia="zh-CN"/>
        </w:rPr>
        <w:t xml:space="preserve">and </w:t>
      </w:r>
      <w:r w:rsidRPr="00E5527F">
        <w:rPr>
          <w:i/>
          <w:iCs/>
        </w:rPr>
        <w:t>PUCCH-Spatial</w:t>
      </w:r>
      <w:r w:rsidRPr="00E5527F">
        <w:rPr>
          <w:i/>
          <w:iCs/>
          <w:lang w:val="en-US"/>
        </w:rPr>
        <w:t>R</w:t>
      </w:r>
      <w:r w:rsidRPr="00E5527F">
        <w:rPr>
          <w:i/>
          <w:iCs/>
        </w:rPr>
        <w:t>elation</w:t>
      </w:r>
      <w:r w:rsidRPr="00E5527F">
        <w:rPr>
          <w:i/>
          <w:iCs/>
          <w:lang w:val="en-US"/>
        </w:rPr>
        <w:t>I</w:t>
      </w:r>
      <w:r w:rsidRPr="00E5527F">
        <w:rPr>
          <w:i/>
          <w:iCs/>
        </w:rPr>
        <w:t>nfo</w:t>
      </w:r>
      <w:r w:rsidR="00E5527F">
        <w:rPr>
          <w:lang w:val="en-US"/>
        </w:rPr>
        <w:t xml:space="preserve">, </w:t>
      </w:r>
      <w:r w:rsidR="00E5527F" w:rsidRPr="00037243">
        <w:rPr>
          <w:rFonts w:eastAsia="Calibri"/>
          <w:lang w:eastAsia="ja-JP"/>
        </w:rPr>
        <w:t>or more than one sets of power control parameters for operation in FR1,</w:t>
      </w:r>
      <w:r w:rsidRPr="00F415B1">
        <w:rPr>
          <w:lang w:val="en-US"/>
        </w:rPr>
        <w:t xml:space="preserve"> </w:t>
      </w:r>
      <m:oMath>
        <m:r>
          <w:rPr>
            <w:rFonts w:ascii="Cambria Math" w:hAnsi="Cambria Math"/>
            <w:lang w:val="en-US"/>
          </w:rPr>
          <m:t>l</m:t>
        </m:r>
        <m:r>
          <m:rPr>
            <m:sty m:val="p"/>
          </m:rPr>
          <w:rPr>
            <w:rFonts w:ascii="Cambria Math" w:hAnsi="Cambria Math"/>
            <w:lang w:val="en-US"/>
          </w:rPr>
          <m:t>=0</m:t>
        </m:r>
      </m:oMath>
      <w:r w:rsidRPr="00F415B1">
        <w:rPr>
          <w:lang w:val="en-US"/>
        </w:rPr>
        <w:t xml:space="preserve"> if the UE is not provided </w:t>
      </w:r>
      <w:r w:rsidRPr="00D00F84">
        <w:rPr>
          <w:i/>
          <w:iCs/>
        </w:rPr>
        <w:t>twoPUCCH-PC-AdjustmentStates</w:t>
      </w:r>
      <w:r w:rsidRPr="00F415B1">
        <w:rPr>
          <w:lang w:val="en-US"/>
        </w:rPr>
        <w:t xml:space="preserve"> or </w:t>
      </w:r>
      <w:r w:rsidRPr="00D00F84">
        <w:rPr>
          <w:i/>
          <w:iCs/>
        </w:rPr>
        <w:t>PUCCH-Spatial</w:t>
      </w:r>
      <w:r w:rsidRPr="00D00F84">
        <w:rPr>
          <w:i/>
          <w:iCs/>
          <w:lang w:val="en-US"/>
        </w:rPr>
        <w:t>R</w:t>
      </w:r>
      <w:r w:rsidRPr="00D00F84">
        <w:rPr>
          <w:i/>
          <w:iCs/>
        </w:rPr>
        <w:t>elation</w:t>
      </w:r>
      <w:r w:rsidRPr="00D00F84">
        <w:rPr>
          <w:i/>
          <w:iCs/>
          <w:lang w:val="en-US"/>
        </w:rPr>
        <w:t>I</w:t>
      </w:r>
      <w:r w:rsidRPr="00D00F84">
        <w:rPr>
          <w:i/>
          <w:iCs/>
        </w:rPr>
        <w:t>nfo</w:t>
      </w:r>
      <w:r w:rsidR="00D00F84">
        <w:t xml:space="preserve"> </w:t>
      </w:r>
      <w:r w:rsidR="00D00F84" w:rsidRPr="00037243">
        <w:t xml:space="preserve">and </w:t>
      </w:r>
      <w:r w:rsidR="00D00F84" w:rsidRPr="00037243">
        <w:rPr>
          <w:rFonts w:eastAsia="Calibri"/>
          <w:lang w:eastAsia="ja-JP"/>
        </w:rPr>
        <w:t>more than one sets of power control parameters</w:t>
      </w:r>
      <w:r w:rsidR="0040427D">
        <w:rPr>
          <w:rFonts w:eastAsia="Calibri"/>
          <w:lang w:eastAsia="ja-JP"/>
        </w:rPr>
        <w:t xml:space="preserve">, and </w:t>
      </w:r>
      <m:oMath>
        <m:r>
          <w:rPr>
            <w:rFonts w:ascii="Cambria Math" w:hAnsi="Cambria Math"/>
            <w:lang w:val="en-US"/>
          </w:rPr>
          <m:t>l</m:t>
        </m:r>
        <m:r>
          <m:rPr>
            <m:sty m:val="p"/>
          </m:rPr>
          <w:rPr>
            <w:rFonts w:ascii="Cambria Math" w:hAnsi="Cambria Math"/>
            <w:lang w:val="en-US"/>
          </w:rPr>
          <m:t>=0</m:t>
        </m:r>
      </m:oMath>
      <w:r w:rsidR="0040427D">
        <w:rPr>
          <w:rFonts w:eastAsia="Calibri"/>
          <w:lang w:val="en-US"/>
        </w:rPr>
        <w:t xml:space="preserve"> if the PUCCH transmission provides only multicast HARQ-ACK information</w:t>
      </w:r>
    </w:p>
    <w:bookmarkEnd w:id="193"/>
    <w:p w14:paraId="39ECBA23" w14:textId="04A8F16A" w:rsidR="009603DF" w:rsidRDefault="007F1725" w:rsidP="009603DF">
      <w:pPr>
        <w:pStyle w:val="B3"/>
        <w:rPr>
          <w:lang w:val="en-US"/>
        </w:rPr>
      </w:pPr>
      <w:r>
        <w:rPr>
          <w:lang w:val="en-US"/>
        </w:rPr>
        <w:t>-</w:t>
      </w:r>
      <w:r>
        <w:rPr>
          <w:lang w:val="en-US"/>
        </w:rPr>
        <w:tab/>
      </w:r>
      <w:r>
        <w:rPr>
          <w:lang w:eastAsia="zh-CN"/>
        </w:rPr>
        <w:t xml:space="preserve">If the UE </w:t>
      </w:r>
      <w:r w:rsidR="009603DF">
        <w:rPr>
          <w:lang w:eastAsia="zh-CN"/>
        </w:rPr>
        <w:t xml:space="preserve">obtains a TPC command value from a DCI format </w:t>
      </w:r>
      <w:r w:rsidR="009662DA" w:rsidRPr="00F415B1">
        <w:rPr>
          <w:lang w:val="en-US"/>
        </w:rPr>
        <w:t>associated with the PUCCH transmission</w:t>
      </w:r>
      <w:r w:rsidR="009603DF">
        <w:rPr>
          <w:lang w:eastAsia="zh-CN"/>
        </w:rPr>
        <w:t xml:space="preserve"> and if the UE </w:t>
      </w:r>
      <w:r>
        <w:rPr>
          <w:lang w:eastAsia="zh-CN"/>
        </w:rPr>
        <w:t>is provided</w:t>
      </w:r>
      <w:r w:rsidRPr="00E61D74">
        <w:rPr>
          <w:lang w:eastAsia="zh-CN"/>
        </w:rPr>
        <w:t xml:space="preserve"> </w:t>
      </w:r>
      <w:r w:rsidRPr="00E57AC4">
        <w:rPr>
          <w:i/>
        </w:rPr>
        <w:t>PUCCH-Spatial</w:t>
      </w:r>
      <w:r>
        <w:rPr>
          <w:i/>
          <w:lang w:val="en-US"/>
        </w:rPr>
        <w:t>R</w:t>
      </w:r>
      <w:r w:rsidRPr="00E57AC4">
        <w:rPr>
          <w:i/>
        </w:rPr>
        <w:t>elation</w:t>
      </w:r>
      <w:r>
        <w:rPr>
          <w:i/>
          <w:lang w:val="en-US"/>
        </w:rPr>
        <w:t>I</w:t>
      </w:r>
      <w:r w:rsidRPr="00E57AC4">
        <w:rPr>
          <w:i/>
        </w:rPr>
        <w:t>nfo</w:t>
      </w:r>
      <w:r>
        <w:t>, the UE obtains</w:t>
      </w:r>
      <w:r w:rsidRPr="00E61D74">
        <w:t xml:space="preserve"> a</w:t>
      </w:r>
      <w:r>
        <w:t xml:space="preserve"> mapping</w:t>
      </w:r>
      <w:r>
        <w:rPr>
          <w:lang w:val="en-US"/>
        </w:rPr>
        <w:t xml:space="preserve">, by an index provided by </w:t>
      </w:r>
      <w:r w:rsidRPr="00851934">
        <w:rPr>
          <w:i/>
        </w:rPr>
        <w:t>p0-PUCCH-Id</w:t>
      </w:r>
      <w:r>
        <w:rPr>
          <w:lang w:val="en-US"/>
        </w:rPr>
        <w:t>,</w:t>
      </w:r>
      <w:r>
        <w:t xml:space="preserve"> between a set of</w:t>
      </w:r>
      <w:r w:rsidRPr="00E61D74">
        <w:t xml:space="preserve"> </w:t>
      </w:r>
      <w:r w:rsidRPr="00851934">
        <w:rPr>
          <w:i/>
        </w:rPr>
        <w:t>pucch-SpatialRelationInfoId</w:t>
      </w:r>
      <w:r w:rsidRPr="00E61D74">
        <w:t xml:space="preserve"> </w:t>
      </w:r>
      <w:r>
        <w:t xml:space="preserve">values </w:t>
      </w:r>
      <w:r w:rsidRPr="00E61D74">
        <w:t>and a set of</w:t>
      </w:r>
      <w:r>
        <w:t xml:space="preserve"> values for </w:t>
      </w:r>
      <w:r w:rsidRPr="00767E1D">
        <w:rPr>
          <w:i/>
        </w:rPr>
        <w:t>closedLoopIndex</w:t>
      </w:r>
      <w:r>
        <w:rPr>
          <w:lang w:val="en-US"/>
        </w:rPr>
        <w:t xml:space="preserve"> that provide</w:t>
      </w:r>
      <w:r w:rsidRPr="00E61D74">
        <w:rPr>
          <w:lang w:val="en-US"/>
        </w:rPr>
        <w:t xml:space="preserve"> </w:t>
      </w:r>
      <w:r>
        <w:rPr>
          <w:lang w:val="en-US"/>
        </w:rPr>
        <w:t xml:space="preserve">the </w:t>
      </w:r>
      <m:oMath>
        <m:r>
          <w:rPr>
            <w:rFonts w:ascii="Cambria Math" w:hAnsi="Cambria Math"/>
            <w:lang w:val="en-US"/>
          </w:rPr>
          <m:t>l</m:t>
        </m:r>
      </m:oMath>
      <w:r>
        <w:rPr>
          <w:iCs/>
          <w:lang w:val="en-US"/>
        </w:rPr>
        <w:t xml:space="preserve"> </w:t>
      </w:r>
      <w:r>
        <w:rPr>
          <w:lang w:val="en-US"/>
        </w:rPr>
        <w:t>value(s)</w:t>
      </w:r>
      <w:r w:rsidRPr="00E61D74">
        <w:rPr>
          <w:lang w:val="en-US"/>
        </w:rPr>
        <w:t xml:space="preserve">. If the </w:t>
      </w:r>
      <w:r>
        <w:rPr>
          <w:lang w:val="en-US"/>
        </w:rPr>
        <w:t xml:space="preserve">UE receives </w:t>
      </w:r>
      <w:r>
        <w:rPr>
          <w:iCs/>
        </w:rPr>
        <w:t xml:space="preserve">an </w:t>
      </w:r>
      <w:r w:rsidRPr="00966886">
        <w:rPr>
          <w:color w:val="000000"/>
        </w:rPr>
        <w:t xml:space="preserve">activation command </w:t>
      </w:r>
      <w:r>
        <w:rPr>
          <w:color w:val="000000"/>
          <w:lang w:val="en-US"/>
        </w:rPr>
        <w:t xml:space="preserve">indicating a value of </w:t>
      </w:r>
      <w:r w:rsidRPr="00851934">
        <w:rPr>
          <w:i/>
        </w:rPr>
        <w:t>pucch-SpatialRelationInfoId</w:t>
      </w:r>
      <w:r w:rsidRPr="00E61D74">
        <w:rPr>
          <w:lang w:val="en-US"/>
        </w:rPr>
        <w:t xml:space="preserve">, the </w:t>
      </w:r>
      <w:r>
        <w:rPr>
          <w:lang w:val="en-US"/>
        </w:rPr>
        <w:t xml:space="preserve">UE determines the value </w:t>
      </w:r>
      <w:r w:rsidRPr="00767E1D">
        <w:rPr>
          <w:i/>
        </w:rPr>
        <w:t>closedLoopIndex</w:t>
      </w:r>
      <w:r w:rsidRPr="00767E1D">
        <w:t xml:space="preserve"> </w:t>
      </w:r>
      <w:r>
        <w:t xml:space="preserve">that provides </w:t>
      </w:r>
      <w:r>
        <w:rPr>
          <w:lang w:val="en-US"/>
        </w:rPr>
        <w:t>the value</w:t>
      </w:r>
      <w:r w:rsidRPr="00E61D74">
        <w:rPr>
          <w:lang w:val="en-US"/>
        </w:rPr>
        <w:t xml:space="preserve"> of </w:t>
      </w:r>
      <m:oMath>
        <m:r>
          <w:rPr>
            <w:rFonts w:ascii="Cambria Math" w:hAnsi="Cambria Math"/>
            <w:lang w:val="en-US"/>
          </w:rPr>
          <m:t>l</m:t>
        </m:r>
      </m:oMath>
      <w:r>
        <w:rPr>
          <w:iCs/>
          <w:lang w:val="en-US"/>
        </w:rPr>
        <w:t xml:space="preserve"> </w:t>
      </w:r>
      <w:r>
        <w:rPr>
          <w:lang w:val="en-US"/>
        </w:rPr>
        <w:t xml:space="preserve">through the link to a corresponding </w:t>
      </w:r>
      <w:r w:rsidRPr="00851934">
        <w:rPr>
          <w:i/>
        </w:rPr>
        <w:t>p0-PUCCH-Id</w:t>
      </w:r>
      <w:r>
        <w:rPr>
          <w:lang w:val="en-US"/>
        </w:rPr>
        <w:t xml:space="preserve"> index</w:t>
      </w:r>
      <w:r w:rsidR="009603DF" w:rsidRPr="009603DF">
        <w:rPr>
          <w:lang w:val="en-US"/>
        </w:rPr>
        <w:t xml:space="preserve"> </w:t>
      </w:r>
    </w:p>
    <w:p w14:paraId="60422A8D" w14:textId="5B9FE933" w:rsidR="00685C06" w:rsidRPr="00685C06" w:rsidRDefault="00685C06" w:rsidP="009603DF">
      <w:pPr>
        <w:pStyle w:val="B3"/>
        <w:rPr>
          <w:lang w:eastAsia="zh-CN"/>
        </w:rPr>
      </w:pPr>
      <w:r w:rsidRPr="00574AC2">
        <w:rPr>
          <w:lang w:eastAsia="zh-CN"/>
        </w:rPr>
        <w:t>-</w:t>
      </w:r>
      <w:r>
        <w:rPr>
          <w:lang w:eastAsia="zh-CN"/>
        </w:rPr>
        <w:tab/>
        <w:t>If</w:t>
      </w:r>
      <w:r w:rsidRPr="00574AC2">
        <w:rPr>
          <w:lang w:eastAsia="zh-CN"/>
        </w:rPr>
        <w:t xml:space="preserve"> the UE obtains a TPC command value from a DCI format associated with the PUCCH transmission, and if the UE is provided more than one sets of power control parameters for operation in FR1, and if the UE receives an activation command [11, TS 38.321] indicating one or two sets of the more than one sets of power control parameters, the UE determines the value of </w:t>
      </w:r>
      <m:oMath>
        <m:r>
          <w:rPr>
            <w:rFonts w:ascii="Cambria Math" w:hAnsi="Cambria Math"/>
            <w:lang w:eastAsia="zh-CN"/>
          </w:rPr>
          <m:t>l</m:t>
        </m:r>
      </m:oMath>
      <w:r w:rsidRPr="00574AC2">
        <w:rPr>
          <w:lang w:eastAsia="zh-CN"/>
        </w:rPr>
        <w:t xml:space="preserve"> based on the </w:t>
      </w:r>
      <w:r w:rsidRPr="00D81E50">
        <w:rPr>
          <w:i/>
          <w:iCs/>
          <w:lang w:eastAsia="zh-CN"/>
        </w:rPr>
        <w:t>closedLoopIndex</w:t>
      </w:r>
      <w:r w:rsidRPr="00574AC2">
        <w:rPr>
          <w:lang w:eastAsia="zh-CN"/>
        </w:rPr>
        <w:t xml:space="preserve"> value in the one or two sets of power control parameters</w:t>
      </w:r>
    </w:p>
    <w:p w14:paraId="524F6921" w14:textId="15B80FFB" w:rsidR="009662DA" w:rsidRPr="00F415B1" w:rsidRDefault="009603DF" w:rsidP="009662DA">
      <w:pPr>
        <w:pStyle w:val="B3"/>
        <w:rPr>
          <w:rFonts w:eastAsia="DengXian"/>
        </w:rPr>
      </w:pPr>
      <w:r>
        <w:rPr>
          <w:lang w:val="en-US"/>
        </w:rPr>
        <w:t>-</w:t>
      </w:r>
      <w:r>
        <w:rPr>
          <w:lang w:val="en-US"/>
        </w:rPr>
        <w:tab/>
      </w:r>
      <w:r>
        <w:rPr>
          <w:rFonts w:eastAsia="DengXian"/>
          <w:lang w:eastAsia="zh-CN"/>
        </w:rPr>
        <w:t>If</w:t>
      </w:r>
      <w:r w:rsidRPr="001D010E">
        <w:rPr>
          <w:rFonts w:eastAsia="DengXian"/>
        </w:rPr>
        <w:t xml:space="preserve"> </w:t>
      </w:r>
      <w:r>
        <w:rPr>
          <w:rFonts w:eastAsia="DengXian"/>
        </w:rPr>
        <w:t xml:space="preserve">the UE obtains </w:t>
      </w:r>
      <w:r w:rsidR="009662DA" w:rsidRPr="00F415B1">
        <w:rPr>
          <w:rFonts w:eastAsia="DengXian"/>
        </w:rPr>
        <w:t>a</w:t>
      </w:r>
      <w:r>
        <w:rPr>
          <w:rFonts w:eastAsia="DengXian"/>
        </w:rPr>
        <w:t xml:space="preserve"> TPC command from a </w:t>
      </w:r>
      <w:r w:rsidRPr="001D010E">
        <w:rPr>
          <w:rFonts w:eastAsia="DengXian"/>
        </w:rPr>
        <w:t xml:space="preserve">DCI format 2_2 </w:t>
      </w:r>
      <w:r>
        <w:rPr>
          <w:rFonts w:eastAsia="DengXian"/>
        </w:rPr>
        <w:t>with</w:t>
      </w:r>
      <w:r w:rsidRPr="001D010E">
        <w:rPr>
          <w:rFonts w:eastAsia="DengXian" w:hint="eastAsia"/>
        </w:rPr>
        <w:t xml:space="preserve"> </w:t>
      </w:r>
      <w:r>
        <w:rPr>
          <w:rFonts w:eastAsia="DengXian"/>
        </w:rPr>
        <w:t xml:space="preserve">CRC </w:t>
      </w:r>
      <w:r w:rsidRPr="001D010E">
        <w:rPr>
          <w:rFonts w:eastAsia="DengXian" w:hint="eastAsia"/>
        </w:rPr>
        <w:t xml:space="preserve">scrambled </w:t>
      </w:r>
      <w:r w:rsidRPr="001D010E">
        <w:rPr>
          <w:rFonts w:eastAsia="DengXian"/>
        </w:rPr>
        <w:t>by</w:t>
      </w:r>
      <w:r w:rsidRPr="001D010E">
        <w:rPr>
          <w:rFonts w:eastAsia="DengXian" w:hint="eastAsia"/>
        </w:rPr>
        <w:t xml:space="preserve"> </w:t>
      </w:r>
      <w:r>
        <w:rPr>
          <w:rFonts w:eastAsia="DengXian"/>
        </w:rPr>
        <w:t xml:space="preserve">a </w:t>
      </w:r>
      <w:r>
        <w:rPr>
          <w:rFonts w:eastAsia="DengXian" w:hint="eastAsia"/>
        </w:rPr>
        <w:t>TPC-PUC</w:t>
      </w:r>
      <w:r w:rsidRPr="001D010E">
        <w:rPr>
          <w:rFonts w:eastAsia="DengXian" w:hint="eastAsia"/>
        </w:rPr>
        <w:t>CH-RNTI</w:t>
      </w:r>
      <w:r>
        <w:rPr>
          <w:rFonts w:eastAsia="DengXian"/>
        </w:rPr>
        <w:t xml:space="preserve">, the </w:t>
      </w:r>
      <m:oMath>
        <m:r>
          <w:rPr>
            <w:rFonts w:ascii="Cambria Math" w:hAnsi="Cambria Math"/>
            <w:lang w:val="en-US"/>
          </w:rPr>
          <m:t>l</m:t>
        </m:r>
      </m:oMath>
      <w:r w:rsidRPr="001D010E">
        <w:rPr>
          <w:rFonts w:eastAsia="DengXian"/>
        </w:rPr>
        <w:t xml:space="preserve"> value is provided by the closed loop indica</w:t>
      </w:r>
      <w:r>
        <w:rPr>
          <w:rFonts w:eastAsia="DengXian"/>
        </w:rPr>
        <w:t>tor field in</w:t>
      </w:r>
      <w:r w:rsidRPr="001D010E">
        <w:rPr>
          <w:rFonts w:eastAsia="DengXian"/>
        </w:rPr>
        <w:t xml:space="preserve"> DCI</w:t>
      </w:r>
      <w:r>
        <w:rPr>
          <w:rFonts w:eastAsia="DengXian"/>
        </w:rPr>
        <w:t xml:space="preserve"> format 2_2</w:t>
      </w:r>
    </w:p>
    <w:p w14:paraId="4B8103A2" w14:textId="76117946" w:rsidR="009662DA" w:rsidRPr="00F415B1" w:rsidRDefault="009662DA" w:rsidP="009662DA">
      <w:pPr>
        <w:pStyle w:val="B3"/>
        <w:rPr>
          <w:rFonts w:eastAsia="DengXian"/>
        </w:rPr>
      </w:pPr>
      <w:r w:rsidRPr="00F415B1">
        <w:rPr>
          <w:lang w:val="en-US"/>
        </w:rPr>
        <w:t>-</w:t>
      </w:r>
      <w:r w:rsidRPr="00F415B1">
        <w:rPr>
          <w:lang w:val="en-US"/>
        </w:rPr>
        <w:tab/>
        <w:t>If</w:t>
      </w:r>
      <w:r w:rsidRPr="00F415B1">
        <w:rPr>
          <w:rFonts w:eastAsia="DengXian"/>
        </w:rPr>
        <w:t xml:space="preserve"> the UE transmits the PUCCH with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r>
          <w:rPr>
            <w:rFonts w:ascii="Cambria Math" w:hAnsi="Cambria Math"/>
          </w:rPr>
          <m:t>&gt;1</m:t>
        </m:r>
      </m:oMath>
      <w:r w:rsidRPr="00F415B1">
        <w:rPr>
          <w:rFonts w:eastAsia="DengXian"/>
        </w:rPr>
        <w:t xml:space="preserve"> repetitions, as described in clause 9.2.6, </w:t>
      </w:r>
      <w:r w:rsidRPr="00F415B1">
        <w:t>and</w:t>
      </w:r>
      <w:r w:rsidRPr="00F415B1">
        <w:rPr>
          <w:rFonts w:eastAsia="DengXian"/>
          <w:lang w:eastAsia="zh-CN"/>
        </w:rPr>
        <w:t xml:space="preserve"> </w:t>
      </w:r>
      <w:r w:rsidRPr="00F415B1">
        <w:rPr>
          <w:rFonts w:eastAsia="DengXian"/>
        </w:rPr>
        <w:t xml:space="preserve">the UE is provided </w:t>
      </w:r>
      <w:r w:rsidRPr="00F415B1">
        <w:rPr>
          <w:i/>
        </w:rPr>
        <w:t>twoPUCCH-PC-AdjustmentStates</w:t>
      </w:r>
      <w:r w:rsidRPr="00F415B1">
        <w:rPr>
          <w:lang w:val="en-US"/>
        </w:rPr>
        <w:t xml:space="preserve"> </w:t>
      </w:r>
      <w:r w:rsidR="00D00F84" w:rsidRPr="00037243">
        <w:rPr>
          <w:lang w:val="en-US"/>
        </w:rPr>
        <w:t xml:space="preserve">by </w:t>
      </w:r>
      <w:r w:rsidR="00D00F84" w:rsidRPr="00037243">
        <w:rPr>
          <w:i/>
        </w:rPr>
        <w:t>pucch-PowerControl</w:t>
      </w:r>
    </w:p>
    <w:p w14:paraId="2F75463A" w14:textId="77777777" w:rsidR="009662DA" w:rsidRPr="00F415B1" w:rsidRDefault="009662DA" w:rsidP="00B36559">
      <w:pPr>
        <w:pStyle w:val="B4"/>
        <w:rPr>
          <w:lang w:val="en-US"/>
        </w:rPr>
      </w:pPr>
      <w:r w:rsidRPr="00F415B1">
        <w:rPr>
          <w:lang w:val="en-US"/>
        </w:rPr>
        <w:t>-</w:t>
      </w:r>
      <w:r w:rsidRPr="00F415B1">
        <w:rPr>
          <w:lang w:val="en-US"/>
        </w:rPr>
        <w:tab/>
      </w:r>
      <w:r w:rsidRPr="00F415B1">
        <w:rPr>
          <w:lang w:eastAsia="zh-CN"/>
        </w:rPr>
        <w:t>If</w:t>
      </w:r>
      <w:r w:rsidRPr="00F415B1">
        <w:t xml:space="preserve"> the DCI format includes two TPC command values and the PUCCH resource of the PUCCH transmission is associated with </w:t>
      </w:r>
      <m:oMath>
        <m:r>
          <w:rPr>
            <w:rFonts w:ascii="Cambria Math" w:hAnsi="Cambria Math"/>
            <w:lang w:val="en-US"/>
          </w:rPr>
          <m:t>l=0</m:t>
        </m:r>
      </m:oMath>
      <w:r w:rsidRPr="00F415B1">
        <w:rPr>
          <w:lang w:val="en-US"/>
        </w:rPr>
        <w:t xml:space="preserve"> and </w:t>
      </w:r>
      <m:oMath>
        <m:r>
          <w:rPr>
            <w:rFonts w:ascii="Cambria Math" w:hAnsi="Cambria Math"/>
            <w:lang w:val="en-US"/>
          </w:rPr>
          <m:t>l=1</m:t>
        </m:r>
      </m:oMath>
      <w:r w:rsidRPr="00F415B1">
        <w:t xml:space="preserve">, the UE applies the first TPC command value for </w:t>
      </w:r>
      <m:oMath>
        <m:r>
          <w:rPr>
            <w:rFonts w:ascii="Cambria Math" w:hAnsi="Cambria Math"/>
            <w:lang w:val="en-US"/>
          </w:rPr>
          <m:t>l=0</m:t>
        </m:r>
      </m:oMath>
      <w:r w:rsidRPr="00F415B1">
        <w:rPr>
          <w:lang w:val="en-US"/>
        </w:rPr>
        <w:t xml:space="preserve"> and applies the second </w:t>
      </w:r>
      <w:r w:rsidRPr="00F415B1">
        <w:t xml:space="preserve">TPC command value for </w:t>
      </w:r>
      <m:oMath>
        <m:r>
          <w:rPr>
            <w:rFonts w:ascii="Cambria Math" w:hAnsi="Cambria Math"/>
            <w:lang w:val="en-US"/>
          </w:rPr>
          <m:t>l=1</m:t>
        </m:r>
      </m:oMath>
    </w:p>
    <w:p w14:paraId="4113F9E2" w14:textId="77777777" w:rsidR="009662DA" w:rsidRPr="00F415B1" w:rsidRDefault="009662DA" w:rsidP="00B36559">
      <w:pPr>
        <w:pStyle w:val="B4"/>
        <w:rPr>
          <w:lang w:val="en-US"/>
        </w:rPr>
      </w:pPr>
      <w:r w:rsidRPr="00F415B1">
        <w:rPr>
          <w:lang w:val="en-US"/>
        </w:rPr>
        <w:t>-</w:t>
      </w:r>
      <w:r w:rsidRPr="00F415B1">
        <w:rPr>
          <w:lang w:val="en-US"/>
        </w:rPr>
        <w:tab/>
      </w:r>
      <w:r w:rsidRPr="00F415B1">
        <w:rPr>
          <w:lang w:eastAsia="zh-CN"/>
        </w:rPr>
        <w:t>If</w:t>
      </w:r>
      <w:r w:rsidRPr="00F415B1">
        <w:t xml:space="preserve"> the DCI format includes two TPC command values and the PUCCH resource of the PUCCH transmission is associated with </w:t>
      </w:r>
      <m:oMath>
        <m:r>
          <w:rPr>
            <w:rFonts w:ascii="Cambria Math" w:hAnsi="Cambria Math"/>
            <w:lang w:val="en-US"/>
          </w:rPr>
          <m:t>l=0</m:t>
        </m:r>
      </m:oMath>
      <w:r w:rsidRPr="00F415B1">
        <w:t xml:space="preserve">, the UE applies the first TPC command value for </w:t>
      </w:r>
      <m:oMath>
        <m:r>
          <w:rPr>
            <w:rFonts w:ascii="Cambria Math" w:hAnsi="Cambria Math"/>
            <w:lang w:val="en-US"/>
          </w:rPr>
          <m:t>l=0</m:t>
        </m:r>
      </m:oMath>
      <w:r w:rsidRPr="00F415B1">
        <w:rPr>
          <w:lang w:val="en-US"/>
        </w:rPr>
        <w:t xml:space="preserve"> and ignores the second </w:t>
      </w:r>
      <w:r w:rsidRPr="00F415B1">
        <w:t>TPC command value</w:t>
      </w:r>
    </w:p>
    <w:p w14:paraId="366632A3" w14:textId="77777777" w:rsidR="009662DA" w:rsidRPr="00F415B1" w:rsidRDefault="009662DA" w:rsidP="00B36559">
      <w:pPr>
        <w:pStyle w:val="B4"/>
        <w:rPr>
          <w:lang w:val="en-US"/>
        </w:rPr>
      </w:pPr>
      <w:r w:rsidRPr="00F415B1">
        <w:rPr>
          <w:lang w:val="en-US"/>
        </w:rPr>
        <w:t>-</w:t>
      </w:r>
      <w:r w:rsidRPr="00F415B1">
        <w:rPr>
          <w:lang w:val="en-US"/>
        </w:rPr>
        <w:tab/>
      </w:r>
      <w:r w:rsidRPr="00F415B1">
        <w:rPr>
          <w:lang w:eastAsia="zh-CN"/>
        </w:rPr>
        <w:t>If</w:t>
      </w:r>
      <w:r w:rsidRPr="00F415B1">
        <w:t xml:space="preserve"> the DCI format includes two TPC command values and the PUCCH resource of the PUCCH transmission is associated with </w:t>
      </w:r>
      <m:oMath>
        <m:r>
          <w:rPr>
            <w:rFonts w:ascii="Cambria Math" w:hAnsi="Cambria Math"/>
            <w:lang w:val="en-US"/>
          </w:rPr>
          <m:t>l=1</m:t>
        </m:r>
      </m:oMath>
      <w:r w:rsidRPr="00F415B1">
        <w:t xml:space="preserve">, the UE applies the second TPC command value for </w:t>
      </w:r>
      <m:oMath>
        <m:r>
          <w:rPr>
            <w:rFonts w:ascii="Cambria Math" w:hAnsi="Cambria Math"/>
            <w:lang w:val="en-US"/>
          </w:rPr>
          <m:t>l=1</m:t>
        </m:r>
      </m:oMath>
      <w:r w:rsidRPr="00F415B1">
        <w:rPr>
          <w:lang w:val="en-US"/>
        </w:rPr>
        <w:t xml:space="preserve"> and ignores the first </w:t>
      </w:r>
      <w:r w:rsidRPr="00F415B1">
        <w:t>TPC command value</w:t>
      </w:r>
    </w:p>
    <w:p w14:paraId="49ADA6BB" w14:textId="3B5BA26E" w:rsidR="007F1725" w:rsidRPr="00CF6C5F" w:rsidRDefault="009662DA" w:rsidP="00B36559">
      <w:pPr>
        <w:pStyle w:val="B4"/>
      </w:pPr>
      <w:r w:rsidRPr="00F415B1">
        <w:rPr>
          <w:lang w:val="en-US"/>
        </w:rPr>
        <w:t>-</w:t>
      </w:r>
      <w:r w:rsidRPr="00F415B1">
        <w:rPr>
          <w:lang w:val="en-US"/>
        </w:rPr>
        <w:tab/>
      </w:r>
      <w:r w:rsidRPr="00F415B1">
        <w:rPr>
          <w:lang w:eastAsia="zh-CN"/>
        </w:rPr>
        <w:t>If</w:t>
      </w:r>
      <w:r w:rsidRPr="00F415B1">
        <w:t xml:space="preserve"> the DCI format includes one TPC command value, the UE applies the TPC command value for all </w:t>
      </w:r>
      <m:oMath>
        <m:r>
          <w:rPr>
            <w:rFonts w:ascii="Cambria Math" w:hAnsi="Cambria Math"/>
            <w:lang w:val="en-US"/>
          </w:rPr>
          <m:t>l</m:t>
        </m:r>
      </m:oMath>
      <w:r w:rsidRPr="00F415B1">
        <w:t xml:space="preserve"> associated with the PUCCH resource of the PUCCH transmission</w:t>
      </w:r>
    </w:p>
    <w:p w14:paraId="13FE5659" w14:textId="22098B61" w:rsidR="009662DA" w:rsidRPr="00F415B1" w:rsidRDefault="009662DA" w:rsidP="009662DA">
      <w:pPr>
        <w:pStyle w:val="B2"/>
        <w:rPr>
          <w:lang w:val="en-US"/>
        </w:rPr>
      </w:pPr>
      <w:r w:rsidRPr="00F415B1">
        <w:t>-</w:t>
      </w:r>
      <w:r w:rsidRPr="00F415B1">
        <w:tab/>
      </w:r>
      <m:oMath>
        <m:sSub>
          <m:sSubPr>
            <m:ctrlPr>
              <w:rPr>
                <w:rFonts w:ascii="Cambria Math" w:hAnsi="Cambria Math"/>
                <w:iCs/>
              </w:rPr>
            </m:ctrlPr>
          </m:sSubPr>
          <m:e>
            <m:r>
              <w:rPr>
                <w:rFonts w:ascii="Cambria Math" w:hAnsi="Cambria Math"/>
              </w:rPr>
              <m:t>g</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i,l</m:t>
            </m:r>
          </m:e>
        </m:d>
        <m:r>
          <w:rPr>
            <w:rFonts w:ascii="Cambria Math"/>
          </w:rPr>
          <m:t>=</m:t>
        </m:r>
        <m:sSub>
          <m:sSubPr>
            <m:ctrlPr>
              <w:rPr>
                <w:rFonts w:ascii="Cambria Math" w:hAnsi="Cambria Math"/>
                <w:iCs/>
              </w:rPr>
            </m:ctrlPr>
          </m:sSubPr>
          <m:e>
            <m:r>
              <w:rPr>
                <w:rFonts w:ascii="Cambria Math" w:hAnsi="Cambria Math"/>
              </w:rPr>
              <m:t>g</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hAnsi="Cambria Math"/>
              </w:rPr>
              <m:t>i-</m:t>
            </m:r>
            <m:sSub>
              <m:sSubPr>
                <m:ctrlPr>
                  <w:rPr>
                    <w:rFonts w:ascii="Cambria Math" w:hAnsi="Cambria Math"/>
                    <w:i/>
                    <w:lang w:val="en-GB"/>
                  </w:rPr>
                </m:ctrlPr>
              </m:sSubPr>
              <m:e>
                <m:r>
                  <w:rPr>
                    <w:rFonts w:ascii="Cambria Math" w:hAnsi="Cambria Math"/>
                  </w:rPr>
                  <m:t>i</m:t>
                </m:r>
              </m:e>
              <m:sub>
                <m:r>
                  <w:rPr>
                    <w:rFonts w:ascii="Cambria Math" w:hAnsi="Cambria Math"/>
                  </w:rPr>
                  <m:t>0</m:t>
                </m:r>
              </m:sub>
            </m:sSub>
            <m:r>
              <w:rPr>
                <w:rFonts w:ascii="Cambria Math"/>
              </w:rPr>
              <m:t>,l</m:t>
            </m:r>
          </m:e>
        </m:d>
        <m:r>
          <w:rPr>
            <w:rFonts w:ascii="Cambria Math"/>
          </w:rPr>
          <m:t>+</m:t>
        </m:r>
        <m:nary>
          <m:naryPr>
            <m:chr m:val="∑"/>
            <m:limLoc m:val="undOvr"/>
            <m:ctrlPr>
              <w:rPr>
                <w:rFonts w:ascii="Cambria Math" w:hAnsi="Cambria Math"/>
                <w:i/>
                <w:lang w:val="en-GB"/>
              </w:rPr>
            </m:ctrlPr>
          </m:naryPr>
          <m:sub>
            <m:r>
              <w:rPr>
                <w:rFonts w:ascii="Cambria Math" w:hAnsi="Cambria Math"/>
              </w:rPr>
              <m:t>m=0</m:t>
            </m:r>
          </m:sub>
          <m:sup>
            <m:r>
              <m:rPr>
                <m:nor/>
              </m:rPr>
              <w:rPr>
                <w:rFonts w:ascii="Freestyle Script" w:hAnsi="Freestyle Script"/>
              </w:rPr>
              <m:t>C</m:t>
            </m:r>
            <m:d>
              <m:dPr>
                <m:ctrlPr>
                  <w:rPr>
                    <w:rFonts w:ascii="Cambria Math" w:hAnsi="Cambria Math" w:cs="Helvetica"/>
                    <w:i/>
                    <w:lang w:val="en-GB"/>
                  </w:rPr>
                </m:ctrlPr>
              </m:dPr>
              <m:e>
                <m:sSub>
                  <m:sSubPr>
                    <m:ctrlPr>
                      <w:rPr>
                        <w:rFonts w:ascii="Cambria Math" w:hAnsi="Cambria Math"/>
                        <w:i/>
                        <w:noProof/>
                        <w:lang w:val="en-GB"/>
                      </w:rPr>
                    </m:ctrlPr>
                  </m:sSubPr>
                  <m:e>
                    <m:r>
                      <w:rPr>
                        <w:rFonts w:ascii="Cambria Math" w:hAnsi="Cambria Math"/>
                        <w:noProof/>
                      </w:rPr>
                      <m:t>C</m:t>
                    </m:r>
                  </m:e>
                  <m:sub>
                    <m:r>
                      <w:rPr>
                        <w:rFonts w:ascii="Cambria Math" w:hAnsi="Cambria Math"/>
                        <w:noProof/>
                      </w:rPr>
                      <m:t>i</m:t>
                    </m:r>
                  </m:sub>
                </m:sSub>
              </m:e>
            </m:d>
            <m:r>
              <w:rPr>
                <w:rFonts w:ascii="Cambria Math" w:hAnsi="Cambria Math" w:cs="Helvetica"/>
              </w:rPr>
              <m:t>-1</m:t>
            </m:r>
          </m:sup>
          <m:e>
            <m:sSub>
              <m:sSubPr>
                <m:ctrlPr>
                  <w:rPr>
                    <w:rFonts w:ascii="Cambria Math" w:hAnsi="Cambria Math"/>
                    <w:iCs/>
                  </w:rPr>
                </m:ctrlPr>
              </m:sSubPr>
              <m:e>
                <m:r>
                  <w:rPr>
                    <w:rFonts w:ascii="Cambria Math" w:hAnsi="Cambria Math"/>
                  </w:rPr>
                  <m:t>δ</m:t>
                </m:r>
              </m:e>
              <m:sub>
                <m:r>
                  <m:rPr>
                    <m:sty m:val="p"/>
                  </m:rPr>
                  <w:rPr>
                    <w:rFonts w:ascii="Cambria Math"/>
                  </w:rPr>
                  <m:t>PUCCH</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w:rPr>
                <w:rFonts w:ascii="Cambria Math" w:hAnsi="Cambria Math"/>
              </w:rPr>
              <m:t>(m,l)</m:t>
            </m:r>
          </m:e>
        </m:nary>
      </m:oMath>
      <w:r w:rsidRPr="00F415B1">
        <w:rPr>
          <w:lang w:val="en-US"/>
        </w:rPr>
        <w:t xml:space="preserve"> </w:t>
      </w:r>
      <w:r w:rsidRPr="00F415B1">
        <w:t xml:space="preserve">is the current PUCCH power control adjustment state </w:t>
      </w:r>
      <m:oMath>
        <m:r>
          <w:rPr>
            <w:rFonts w:ascii="Cambria Math" w:hAnsi="Cambria Math"/>
            <w:lang w:val="en-US"/>
          </w:rPr>
          <m:t>l</m:t>
        </m:r>
      </m:oMath>
      <w:r w:rsidRPr="00F415B1">
        <w:rPr>
          <w:lang w:val="en-US"/>
        </w:rPr>
        <w:t xml:space="preserve"> </w:t>
      </w:r>
      <w:r w:rsidRPr="00F415B1">
        <w:t xml:space="preserve">for </w:t>
      </w:r>
      <w:r w:rsidRPr="00F415B1">
        <w:rPr>
          <w:lang w:val="en-US"/>
        </w:rPr>
        <w:t xml:space="preserve">active UL BWP </w:t>
      </w:r>
      <m:oMath>
        <m:r>
          <w:rPr>
            <w:rFonts w:ascii="Cambria Math" w:hAnsi="Cambria Math"/>
            <w:lang w:val="en-US"/>
          </w:rPr>
          <m:t>b</m:t>
        </m:r>
      </m:oMath>
      <w:r w:rsidRPr="00F415B1">
        <w:rPr>
          <w:iCs/>
          <w:lang w:val="en-US"/>
        </w:rPr>
        <w:t xml:space="preserve"> </w:t>
      </w:r>
      <w:r w:rsidRPr="00F415B1">
        <w:rPr>
          <w:lang w:val="en-US"/>
        </w:rPr>
        <w:t xml:space="preserve">of carrier </w:t>
      </w:r>
      <m:oMath>
        <m:r>
          <w:rPr>
            <w:rFonts w:ascii="Cambria Math" w:hAnsi="Cambria Math"/>
            <w:lang w:val="en-US"/>
          </w:rPr>
          <m:t>f</m:t>
        </m:r>
      </m:oMath>
      <w:r w:rsidRPr="00F415B1">
        <w:rPr>
          <w:iCs/>
          <w:lang w:val="en-US"/>
        </w:rPr>
        <w:t xml:space="preserve"> of</w:t>
      </w:r>
      <w:r w:rsidRPr="00F415B1">
        <w:t xml:space="preserve"> </w:t>
      </w:r>
      <w:r w:rsidRPr="00F415B1">
        <w:rPr>
          <w:lang w:val="en-US"/>
        </w:rPr>
        <w:t>primary</w:t>
      </w:r>
      <w:r w:rsidRPr="00F415B1">
        <w:t xml:space="preserve"> cell </w:t>
      </w:r>
      <m:oMath>
        <m:r>
          <w:rPr>
            <w:rFonts w:ascii="Cambria Math" w:eastAsia="MS Mincho" w:hAnsi="Cambria Math"/>
            <w:lang w:val="en-US"/>
          </w:rPr>
          <m:t>c</m:t>
        </m:r>
      </m:oMath>
      <w:r w:rsidRPr="00F415B1">
        <w:rPr>
          <w:lang w:val="en-US"/>
        </w:rPr>
        <w:t xml:space="preserve"> and PUCCH transmission occasion </w:t>
      </w:r>
      <m:oMath>
        <m:r>
          <w:rPr>
            <w:rFonts w:ascii="Cambria Math" w:hAnsi="Cambria Math"/>
            <w:lang w:val="en-US"/>
          </w:rPr>
          <m:t>i</m:t>
        </m:r>
      </m:oMath>
      <w:r w:rsidRPr="00F415B1">
        <w:rPr>
          <w:lang w:val="en-US"/>
        </w:rPr>
        <w:t xml:space="preserve">, where </w:t>
      </w:r>
    </w:p>
    <w:p w14:paraId="1F436123" w14:textId="77777777" w:rsidR="009662DA" w:rsidRPr="00F415B1" w:rsidRDefault="009662DA" w:rsidP="009662DA">
      <w:pPr>
        <w:pStyle w:val="B3"/>
        <w:rPr>
          <w:lang w:val="en-US"/>
        </w:rPr>
      </w:pPr>
      <w:r w:rsidRPr="00F415B1">
        <w:rPr>
          <w:lang w:val="en-US"/>
        </w:rPr>
        <w:t>-</w:t>
      </w:r>
      <w:r w:rsidRPr="00F415B1">
        <w:rPr>
          <w:lang w:val="en-US"/>
        </w:rPr>
        <w:tab/>
        <w:t xml:space="preserve">The </w:t>
      </w:r>
      <m:oMath>
        <m:sSub>
          <m:sSubPr>
            <m:ctrlPr>
              <w:rPr>
                <w:rFonts w:ascii="Cambria Math" w:hAnsi="Cambria Math"/>
                <w:iCs/>
              </w:rPr>
            </m:ctrlPr>
          </m:sSubPr>
          <m:e>
            <m:r>
              <w:rPr>
                <w:rFonts w:ascii="Cambria Math" w:hAnsi="Cambria Math"/>
              </w:rPr>
              <m:t>δ</m:t>
            </m:r>
          </m:e>
          <m:sub>
            <m:r>
              <m:rPr>
                <m:sty m:val="p"/>
              </m:rPr>
              <w:rPr>
                <w:rFonts w:ascii="Cambria Math"/>
              </w:rPr>
              <m:t>PUCCH</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oMath>
      <w:r w:rsidRPr="00F415B1">
        <w:t xml:space="preserve"> values are given in Table 7.1.2-1</w:t>
      </w:r>
    </w:p>
    <w:p w14:paraId="76F23628" w14:textId="6334C767" w:rsidR="009662DA" w:rsidRPr="00F415B1" w:rsidRDefault="009662DA" w:rsidP="009662DA">
      <w:pPr>
        <w:pStyle w:val="B3"/>
      </w:pPr>
      <w:r w:rsidRPr="00F415B1">
        <w:rPr>
          <w:lang w:val="en-US"/>
        </w:rPr>
        <w:t>-</w:t>
      </w:r>
      <w:r w:rsidRPr="00F415B1">
        <w:rPr>
          <w:lang w:val="en-US"/>
        </w:rPr>
        <w:tab/>
      </w:r>
      <m:oMath>
        <m:nary>
          <m:naryPr>
            <m:chr m:val="∑"/>
            <m:limLoc m:val="undOvr"/>
            <m:ctrlPr>
              <w:rPr>
                <w:rFonts w:ascii="Cambria Math" w:hAnsi="Cambria Math"/>
                <w:i/>
              </w:rPr>
            </m:ctrlPr>
          </m:naryPr>
          <m:sub>
            <m:r>
              <w:rPr>
                <w:rFonts w:ascii="Cambria Math" w:hAnsi="Cambria Math"/>
              </w:rPr>
              <m:t>m=0</m:t>
            </m:r>
          </m:sub>
          <m:sup>
            <m:r>
              <m:rPr>
                <m:nor/>
              </m:rPr>
              <w:rPr>
                <w:rFonts w:ascii="Freestyle Script" w:hAnsi="Freestyle Script"/>
              </w:rPr>
              <m:t>C</m:t>
            </m:r>
            <m:d>
              <m:dPr>
                <m:ctrlPr>
                  <w:rPr>
                    <w:rFonts w:ascii="Cambria Math" w:hAnsi="Cambria Math" w:cs="Helvetica"/>
                    <w:i/>
                  </w:rPr>
                </m:ctrlPr>
              </m:dPr>
              <m:e>
                <m:sSub>
                  <m:sSubPr>
                    <m:ctrlPr>
                      <w:rPr>
                        <w:rFonts w:ascii="Cambria Math" w:hAnsi="Cambria Math"/>
                        <w:i/>
                        <w:noProof/>
                      </w:rPr>
                    </m:ctrlPr>
                  </m:sSubPr>
                  <m:e>
                    <m:r>
                      <w:rPr>
                        <w:rFonts w:ascii="Cambria Math" w:hAnsi="Cambria Math"/>
                        <w:noProof/>
                      </w:rPr>
                      <m:t>C</m:t>
                    </m:r>
                  </m:e>
                  <m:sub>
                    <m:r>
                      <w:rPr>
                        <w:rFonts w:ascii="Cambria Math" w:hAnsi="Cambria Math"/>
                        <w:noProof/>
                      </w:rPr>
                      <m:t>i</m:t>
                    </m:r>
                  </m:sub>
                </m:sSub>
              </m:e>
            </m:d>
            <m:r>
              <w:rPr>
                <w:rFonts w:ascii="Cambria Math" w:hAnsi="Cambria Math" w:cs="Helvetica"/>
              </w:rPr>
              <m:t>-1</m:t>
            </m:r>
          </m:sup>
          <m:e>
            <m:sSub>
              <m:sSubPr>
                <m:ctrlPr>
                  <w:rPr>
                    <w:rFonts w:ascii="Cambria Math" w:hAnsi="Cambria Math"/>
                    <w:iCs/>
                  </w:rPr>
                </m:ctrlPr>
              </m:sSubPr>
              <m:e>
                <m:r>
                  <w:rPr>
                    <w:rFonts w:ascii="Cambria Math" w:hAnsi="Cambria Math"/>
                  </w:rPr>
                  <m:t>δ</m:t>
                </m:r>
              </m:e>
              <m:sub>
                <m:r>
                  <m:rPr>
                    <m:sty m:val="p"/>
                  </m:rPr>
                  <w:rPr>
                    <w:rFonts w:ascii="Cambria Math"/>
                  </w:rPr>
                  <m:t>PUCCH</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w:rPr>
                <w:rFonts w:ascii="Cambria Math" w:hAnsi="Cambria Math"/>
              </w:rPr>
              <m:t>(m,l)</m:t>
            </m:r>
          </m:e>
        </m:nary>
      </m:oMath>
      <w:r w:rsidRPr="00F415B1">
        <w:rPr>
          <w:noProof/>
        </w:rPr>
        <w:t xml:space="preserve"> is a sum of TPC command values in a set </w:t>
      </w:r>
      <m:oMath>
        <m:sSub>
          <m:sSubPr>
            <m:ctrlPr>
              <w:rPr>
                <w:rFonts w:ascii="Cambria Math" w:hAnsi="Cambria Math"/>
                <w:i/>
                <w:noProof/>
              </w:rPr>
            </m:ctrlPr>
          </m:sSubPr>
          <m:e>
            <m:r>
              <w:rPr>
                <w:rFonts w:ascii="Cambria Math" w:hAnsi="Cambria Math"/>
                <w:noProof/>
              </w:rPr>
              <m:t>C</m:t>
            </m:r>
          </m:e>
          <m:sub>
            <m:r>
              <w:rPr>
                <w:rFonts w:ascii="Cambria Math" w:hAnsi="Cambria Math"/>
                <w:noProof/>
              </w:rPr>
              <m:t>i</m:t>
            </m:r>
          </m:sub>
        </m:sSub>
      </m:oMath>
      <w:r w:rsidRPr="00F415B1">
        <w:t xml:space="preserve"> </w:t>
      </w:r>
      <w:r w:rsidRPr="00F415B1">
        <w:rPr>
          <w:noProof/>
        </w:rPr>
        <w:t xml:space="preserve">of TPC command values with cardinality </w:t>
      </w:r>
      <m:oMath>
        <m:r>
          <m:rPr>
            <m:nor/>
          </m:rPr>
          <w:rPr>
            <w:rFonts w:ascii="Freestyle Script" w:hAnsi="Freestyle Script"/>
          </w:rPr>
          <m:t>C</m:t>
        </m:r>
        <m:d>
          <m:dPr>
            <m:ctrlPr>
              <w:rPr>
                <w:rFonts w:ascii="Cambria Math" w:hAnsi="Cambria Math" w:cs="Helvetica"/>
                <w:i/>
              </w:rPr>
            </m:ctrlPr>
          </m:dPr>
          <m:e>
            <m:sSub>
              <m:sSubPr>
                <m:ctrlPr>
                  <w:rPr>
                    <w:rFonts w:ascii="Cambria Math" w:hAnsi="Cambria Math"/>
                    <w:i/>
                    <w:noProof/>
                  </w:rPr>
                </m:ctrlPr>
              </m:sSubPr>
              <m:e>
                <m:r>
                  <w:rPr>
                    <w:rFonts w:ascii="Cambria Math" w:hAnsi="Cambria Math"/>
                    <w:noProof/>
                  </w:rPr>
                  <m:t>C</m:t>
                </m:r>
              </m:e>
              <m:sub>
                <m:r>
                  <w:rPr>
                    <w:rFonts w:ascii="Cambria Math" w:hAnsi="Cambria Math"/>
                    <w:noProof/>
                  </w:rPr>
                  <m:t>i</m:t>
                </m:r>
              </m:sub>
            </m:sSub>
          </m:e>
        </m:d>
      </m:oMath>
      <w:r w:rsidRPr="00F415B1">
        <w:t xml:space="preserve"> </w:t>
      </w:r>
      <w:r w:rsidRPr="00F415B1">
        <w:rPr>
          <w:noProof/>
        </w:rPr>
        <w:t xml:space="preserve">that the UE receives </w:t>
      </w:r>
      <w:r w:rsidRPr="00F415B1">
        <w:t xml:space="preserve">between </w:t>
      </w:r>
      <m:oMath>
        <m:sSub>
          <m:sSubPr>
            <m:ctrlPr>
              <w:rPr>
                <w:rFonts w:ascii="Cambria Math" w:hAnsi="Cambria Math"/>
                <w:iCs/>
              </w:rPr>
            </m:ctrlPr>
          </m:sSubPr>
          <m:e>
            <m:r>
              <w:rPr>
                <w:rFonts w:ascii="Cambria Math" w:hAnsi="Cambria Math"/>
              </w:rPr>
              <m:t>K</m:t>
            </m:r>
          </m:e>
          <m:sub>
            <m:r>
              <m:rPr>
                <m:sty m:val="p"/>
              </m:rPr>
              <w:rPr>
                <w:rFonts w:ascii="Cambria Math"/>
              </w:rPr>
              <m:t>PUCCH</m:t>
            </m:r>
          </m:sub>
        </m:sSub>
        <m:d>
          <m:dPr>
            <m:ctrlPr>
              <w:rPr>
                <w:rFonts w:ascii="Cambria Math" w:hAnsi="Cambria Math"/>
                <w:i/>
                <w:iCs/>
              </w:rPr>
            </m:ctrlPr>
          </m:dPr>
          <m:e>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0</m:t>
                </m:r>
              </m:sub>
            </m:sSub>
            <m:ctrlPr>
              <w:rPr>
                <w:rFonts w:ascii="Cambria Math" w:hAnsi="Cambria Math"/>
                <w:i/>
              </w:rPr>
            </m:ctrlPr>
          </m:e>
        </m:d>
        <m:r>
          <w:rPr>
            <w:rFonts w:ascii="Cambria Math" w:hAnsi="Cambria Math"/>
          </w:rPr>
          <m:t>-1</m:t>
        </m:r>
      </m:oMath>
      <w:r w:rsidRPr="00F415B1">
        <w:t xml:space="preserve"> symbols before PUCCH transmission occasion </w:t>
      </w:r>
      <m:oMath>
        <m:r>
          <w:rPr>
            <w:rFonts w:ascii="Cambria Math" w:hAnsi="Cambria Math"/>
            <w:lang w:val="en-US"/>
          </w:rPr>
          <m:t>i-</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oMath>
      <w:r w:rsidRPr="00F415B1">
        <w:t xml:space="preserve"> and </w:t>
      </w:r>
      <w:r>
        <w:rPr>
          <w:noProof/>
          <w:position w:val="-10"/>
        </w:rPr>
        <w:drawing>
          <wp:inline distT="0" distB="0" distL="0" distR="0" wp14:anchorId="5E3435BC" wp14:editId="4545EFA6">
            <wp:extent cx="561975" cy="180975"/>
            <wp:effectExtent l="0" t="0" r="9525" b="9525"/>
            <wp:docPr id="1574" name="Picture 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975" cy="180975"/>
                    </a:xfrm>
                    <a:prstGeom prst="rect">
                      <a:avLst/>
                    </a:prstGeom>
                    <a:noFill/>
                    <a:ln>
                      <a:noFill/>
                    </a:ln>
                  </pic:spPr>
                </pic:pic>
              </a:graphicData>
            </a:graphic>
          </wp:inline>
        </w:drawing>
      </w:r>
      <w:r w:rsidRPr="00F415B1">
        <w:t xml:space="preserve"> symbols before PUCCH transmission occasion </w:t>
      </w:r>
      <m:oMath>
        <m:r>
          <w:rPr>
            <w:rFonts w:ascii="Cambria Math" w:hAnsi="Cambria Math"/>
            <w:lang w:val="en-US"/>
          </w:rPr>
          <m:t>i</m:t>
        </m:r>
      </m:oMath>
      <w:r w:rsidRPr="00F415B1">
        <w:t xml:space="preserve"> on active </w:t>
      </w:r>
      <w:r w:rsidRPr="00F415B1">
        <w:rPr>
          <w:lang w:val="en-US"/>
        </w:rPr>
        <w:t xml:space="preserve">UL BWP </w:t>
      </w:r>
      <m:oMath>
        <m:r>
          <w:rPr>
            <w:rFonts w:ascii="Cambria Math" w:hAnsi="Cambria Math"/>
            <w:lang w:val="en-US"/>
          </w:rPr>
          <m:t>b</m:t>
        </m:r>
      </m:oMath>
      <w:r w:rsidRPr="00F415B1">
        <w:rPr>
          <w:iCs/>
          <w:lang w:val="en-US"/>
        </w:rPr>
        <w:t xml:space="preserve"> </w:t>
      </w:r>
      <w:r w:rsidRPr="00F415B1">
        <w:rPr>
          <w:lang w:val="en-US"/>
        </w:rPr>
        <w:t xml:space="preserve">of carrier </w:t>
      </w:r>
      <m:oMath>
        <m:r>
          <w:rPr>
            <w:rFonts w:ascii="Cambria Math" w:hAnsi="Cambria Math"/>
            <w:lang w:val="en-US"/>
          </w:rPr>
          <m:t>f</m:t>
        </m:r>
      </m:oMath>
      <w:r w:rsidRPr="00F415B1">
        <w:rPr>
          <w:iCs/>
          <w:lang w:val="en-US"/>
        </w:rPr>
        <w:t xml:space="preserve"> of</w:t>
      </w:r>
      <w:r w:rsidRPr="00F415B1">
        <w:t xml:space="preserve"> primary cell </w:t>
      </w:r>
      <m:oMath>
        <m:r>
          <w:rPr>
            <w:rFonts w:ascii="Cambria Math" w:eastAsia="MS Mincho" w:hAnsi="Cambria Math"/>
            <w:lang w:val="en-US"/>
          </w:rPr>
          <m:t>c</m:t>
        </m:r>
      </m:oMath>
      <w:r w:rsidRPr="00F415B1">
        <w:t xml:space="preserve"> for PUCCH power control adjustment state, where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r>
          <w:rPr>
            <w:rFonts w:ascii="Cambria Math" w:hAnsi="Cambria Math"/>
            <w:lang w:val="en-US"/>
          </w:rPr>
          <m:t>&gt;0</m:t>
        </m:r>
      </m:oMath>
      <w:r w:rsidRPr="00F415B1">
        <w:t xml:space="preserve"> is the smallest integer for which </w:t>
      </w:r>
      <m:oMath>
        <m:sSub>
          <m:sSubPr>
            <m:ctrlPr>
              <w:rPr>
                <w:rFonts w:ascii="Cambria Math" w:hAnsi="Cambria Math"/>
                <w:iCs/>
              </w:rPr>
            </m:ctrlPr>
          </m:sSubPr>
          <m:e>
            <m:r>
              <w:rPr>
                <w:rFonts w:ascii="Cambria Math" w:hAnsi="Cambria Math"/>
              </w:rPr>
              <m:t>K</m:t>
            </m:r>
          </m:e>
          <m:sub>
            <m:r>
              <m:rPr>
                <m:sty m:val="p"/>
              </m:rPr>
              <w:rPr>
                <w:rFonts w:ascii="Cambria Math"/>
              </w:rPr>
              <m:t>PUCCH</m:t>
            </m:r>
          </m:sub>
        </m:sSub>
        <m:d>
          <m:dPr>
            <m:ctrlPr>
              <w:rPr>
                <w:rFonts w:ascii="Cambria Math" w:hAnsi="Cambria Math"/>
                <w:i/>
                <w:iCs/>
              </w:rPr>
            </m:ctrlPr>
          </m:dPr>
          <m:e>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0</m:t>
                </m:r>
              </m:sub>
            </m:sSub>
            <m:ctrlPr>
              <w:rPr>
                <w:rFonts w:ascii="Cambria Math" w:hAnsi="Cambria Math"/>
                <w:i/>
              </w:rPr>
            </m:ctrlPr>
          </m:e>
        </m:d>
      </m:oMath>
      <w:r w:rsidRPr="00F415B1">
        <w:t xml:space="preserve"> symbols before PUCCH transmission occasion </w:t>
      </w:r>
      <m:oMath>
        <m:r>
          <w:rPr>
            <w:rFonts w:ascii="Cambria Math" w:hAnsi="Cambria Math"/>
            <w:lang w:val="en-US"/>
          </w:rPr>
          <m:t>i-</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oMath>
      <w:r w:rsidRPr="00F415B1">
        <w:t xml:space="preserve"> is earlier than </w:t>
      </w:r>
      <m:oMath>
        <m:sSub>
          <m:sSubPr>
            <m:ctrlPr>
              <w:rPr>
                <w:rFonts w:ascii="Cambria Math" w:hAnsi="Cambria Math"/>
                <w:iCs/>
              </w:rPr>
            </m:ctrlPr>
          </m:sSubPr>
          <m:e>
            <m:r>
              <w:rPr>
                <w:rFonts w:ascii="Cambria Math" w:hAnsi="Cambria Math"/>
              </w:rPr>
              <m:t>K</m:t>
            </m:r>
          </m:e>
          <m:sub>
            <m:r>
              <m:rPr>
                <m:sty m:val="p"/>
              </m:rPr>
              <w:rPr>
                <w:rFonts w:ascii="Cambria Math"/>
              </w:rPr>
              <m:t>PUCCH</m:t>
            </m:r>
          </m:sub>
        </m:sSub>
        <m:d>
          <m:dPr>
            <m:ctrlPr>
              <w:rPr>
                <w:rFonts w:ascii="Cambria Math" w:hAnsi="Cambria Math"/>
                <w:i/>
                <w:iCs/>
              </w:rPr>
            </m:ctrlPr>
          </m:dPr>
          <m:e>
            <m:r>
              <w:rPr>
                <w:rFonts w:ascii="Cambria Math" w:hAnsi="Cambria Math"/>
              </w:rPr>
              <m:t>i</m:t>
            </m:r>
            <m:ctrlPr>
              <w:rPr>
                <w:rFonts w:ascii="Cambria Math" w:hAnsi="Cambria Math"/>
                <w:i/>
              </w:rPr>
            </m:ctrlPr>
          </m:e>
        </m:d>
      </m:oMath>
      <w:r w:rsidRPr="00F415B1">
        <w:t xml:space="preserve"> symbols before PUCCH transmission occasion </w:t>
      </w:r>
      <m:oMath>
        <m:r>
          <w:rPr>
            <w:rFonts w:ascii="Cambria Math" w:hAnsi="Cambria Math"/>
            <w:lang w:val="en-US"/>
          </w:rPr>
          <m:t>i</m:t>
        </m:r>
      </m:oMath>
    </w:p>
    <w:p w14:paraId="45149072" w14:textId="77777777" w:rsidR="009662DA" w:rsidRPr="00F415B1" w:rsidRDefault="009662DA" w:rsidP="009662DA">
      <w:pPr>
        <w:pStyle w:val="B3"/>
        <w:rPr>
          <w:lang w:val="en-US"/>
        </w:rPr>
      </w:pPr>
      <w:r w:rsidRPr="00F415B1">
        <w:t>-</w:t>
      </w:r>
      <w:r w:rsidRPr="00F415B1">
        <w:tab/>
        <w:t xml:space="preserve">If the PUCCH transmission is in response to a detection by the UE of a DCI format, </w:t>
      </w:r>
      <m:oMath>
        <m:sSub>
          <m:sSubPr>
            <m:ctrlPr>
              <w:rPr>
                <w:rFonts w:ascii="Cambria Math" w:hAnsi="Cambria Math"/>
                <w:iCs/>
              </w:rPr>
            </m:ctrlPr>
          </m:sSubPr>
          <m:e>
            <m:r>
              <w:rPr>
                <w:rFonts w:ascii="Cambria Math" w:hAnsi="Cambria Math"/>
              </w:rPr>
              <m:t>K</m:t>
            </m:r>
          </m:e>
          <m:sub>
            <m:r>
              <m:rPr>
                <m:sty m:val="p"/>
              </m:rPr>
              <w:rPr>
                <w:rFonts w:ascii="Cambria Math"/>
              </w:rPr>
              <m:t>PUCCH</m:t>
            </m:r>
          </m:sub>
        </m:sSub>
        <m:d>
          <m:dPr>
            <m:ctrlPr>
              <w:rPr>
                <w:rFonts w:ascii="Cambria Math" w:hAnsi="Cambria Math"/>
                <w:i/>
                <w:iCs/>
              </w:rPr>
            </m:ctrlPr>
          </m:dPr>
          <m:e>
            <m:r>
              <w:rPr>
                <w:rFonts w:ascii="Cambria Math" w:hAnsi="Cambria Math"/>
              </w:rPr>
              <m:t>i</m:t>
            </m:r>
            <m:ctrlPr>
              <w:rPr>
                <w:rFonts w:ascii="Cambria Math" w:hAnsi="Cambria Math"/>
                <w:i/>
              </w:rPr>
            </m:ctrlPr>
          </m:e>
        </m:d>
      </m:oMath>
      <w:r w:rsidRPr="00F415B1">
        <w:t xml:space="preserve"> is a number of symbols for active </w:t>
      </w:r>
      <w:r w:rsidRPr="00F415B1">
        <w:rPr>
          <w:lang w:val="en-US"/>
        </w:rPr>
        <w:t xml:space="preserve">UL BWP </w:t>
      </w:r>
      <m:oMath>
        <m:r>
          <w:rPr>
            <w:rFonts w:ascii="Cambria Math" w:hAnsi="Cambria Math"/>
            <w:lang w:val="en-US"/>
          </w:rPr>
          <m:t>b</m:t>
        </m:r>
      </m:oMath>
      <w:r w:rsidRPr="00F415B1">
        <w:rPr>
          <w:iCs/>
          <w:lang w:val="en-US"/>
        </w:rPr>
        <w:t xml:space="preserve"> </w:t>
      </w:r>
      <w:r w:rsidRPr="00F415B1">
        <w:rPr>
          <w:lang w:val="en-US"/>
        </w:rPr>
        <w:t xml:space="preserve">of carrier </w:t>
      </w:r>
      <m:oMath>
        <m:r>
          <w:rPr>
            <w:rFonts w:ascii="Cambria Math" w:hAnsi="Cambria Math"/>
            <w:lang w:val="en-US"/>
          </w:rPr>
          <m:t>f</m:t>
        </m:r>
      </m:oMath>
      <w:r w:rsidRPr="00F415B1">
        <w:rPr>
          <w:iCs/>
          <w:lang w:val="en-US"/>
        </w:rPr>
        <w:t xml:space="preserve"> of</w:t>
      </w:r>
      <w:r w:rsidRPr="00F415B1">
        <w:t xml:space="preserve"> primary cell </w:t>
      </w:r>
      <m:oMath>
        <m:r>
          <w:rPr>
            <w:rFonts w:ascii="Cambria Math" w:eastAsia="MS Mincho" w:hAnsi="Cambria Math"/>
            <w:lang w:val="en-US"/>
          </w:rPr>
          <m:t>c</m:t>
        </m:r>
      </m:oMath>
      <w:r w:rsidRPr="00F415B1">
        <w:t xml:space="preserve"> after a last symbol of a corresponding PDCCH reception and before a first symbol of the PUCCH transmission</w:t>
      </w:r>
    </w:p>
    <w:p w14:paraId="790CF141" w14:textId="77777777" w:rsidR="002D6DA7" w:rsidRDefault="009662DA" w:rsidP="002D6DA7">
      <w:pPr>
        <w:pStyle w:val="B3"/>
      </w:pPr>
      <w:r w:rsidRPr="00F415B1">
        <w:t>-</w:t>
      </w:r>
      <w:r w:rsidRPr="00F415B1">
        <w:tab/>
        <w:t xml:space="preserve">If the PUCCH transmission is not in response to a detection by the UE of a DCI format, </w:t>
      </w:r>
      <m:oMath>
        <m:sSub>
          <m:sSubPr>
            <m:ctrlPr>
              <w:rPr>
                <w:rFonts w:ascii="Cambria Math" w:hAnsi="Cambria Math"/>
                <w:iCs/>
              </w:rPr>
            </m:ctrlPr>
          </m:sSubPr>
          <m:e>
            <m:r>
              <w:rPr>
                <w:rFonts w:ascii="Cambria Math" w:hAnsi="Cambria Math"/>
              </w:rPr>
              <m:t>K</m:t>
            </m:r>
          </m:e>
          <m:sub>
            <m:r>
              <m:rPr>
                <m:sty m:val="p"/>
              </m:rPr>
              <w:rPr>
                <w:rFonts w:ascii="Cambria Math"/>
              </w:rPr>
              <m:t>PUCCH</m:t>
            </m:r>
          </m:sub>
        </m:sSub>
        <m:d>
          <m:dPr>
            <m:ctrlPr>
              <w:rPr>
                <w:rFonts w:ascii="Cambria Math" w:hAnsi="Cambria Math"/>
                <w:i/>
                <w:iCs/>
              </w:rPr>
            </m:ctrlPr>
          </m:dPr>
          <m:e>
            <m:r>
              <w:rPr>
                <w:rFonts w:ascii="Cambria Math" w:hAnsi="Cambria Math"/>
              </w:rPr>
              <m:t>i</m:t>
            </m:r>
            <m:ctrlPr>
              <w:rPr>
                <w:rFonts w:ascii="Cambria Math" w:hAnsi="Cambria Math"/>
                <w:i/>
              </w:rPr>
            </m:ctrlPr>
          </m:e>
        </m:d>
      </m:oMath>
      <w:r w:rsidRPr="00F415B1">
        <w:t xml:space="preserve"> is a number of </w:t>
      </w:r>
      <m:oMath>
        <m:sSub>
          <m:sSubPr>
            <m:ctrlPr>
              <w:rPr>
                <w:rFonts w:ascii="Cambria Math" w:hAnsi="Cambria Math"/>
                <w:iCs/>
              </w:rPr>
            </m:ctrlPr>
          </m:sSubPr>
          <m:e>
            <m:r>
              <w:rPr>
                <w:rFonts w:ascii="Cambria Math" w:hAnsi="Cambria Math"/>
              </w:rPr>
              <m:t>K</m:t>
            </m:r>
          </m:e>
          <m:sub>
            <m:r>
              <m:rPr>
                <m:sty m:val="p"/>
              </m:rPr>
              <w:rPr>
                <w:rFonts w:ascii="Cambria Math"/>
              </w:rPr>
              <m:t>PUCCH,min</m:t>
            </m:r>
          </m:sub>
        </m:sSub>
      </m:oMath>
      <w:r w:rsidRPr="00F415B1">
        <w:t xml:space="preserve"> symbols equal to the product of a number of symbols per slot, </w:t>
      </w:r>
      <m:oMath>
        <m:sSubSup>
          <m:sSubSupPr>
            <m:ctrlPr>
              <w:rPr>
                <w:rFonts w:ascii="Cambria Math" w:hAnsi="Cambria Math"/>
                <w:iCs/>
                <w:lang w:val="x-none"/>
              </w:rPr>
            </m:ctrlPr>
          </m:sSubSupPr>
          <m:e>
            <m:r>
              <w:rPr>
                <w:rFonts w:ascii="Cambria Math" w:hAnsi="Cambria Math"/>
              </w:rPr>
              <m:t>N</m:t>
            </m:r>
          </m:e>
          <m:sub>
            <m:r>
              <m:rPr>
                <m:sty m:val="p"/>
              </m:rPr>
              <w:rPr>
                <w:rFonts w:ascii="Cambria Math" w:hAnsi="Cambria Math"/>
              </w:rPr>
              <m:t>symb</m:t>
            </m:r>
          </m:sub>
          <m:sup>
            <m:r>
              <m:rPr>
                <m:sty m:val="p"/>
              </m:rPr>
              <w:rPr>
                <w:rFonts w:ascii="Cambria Math" w:hAnsi="Cambria Math"/>
              </w:rPr>
              <m:t>slot</m:t>
            </m:r>
          </m:sup>
        </m:sSubSup>
      </m:oMath>
      <w:r w:rsidRPr="00F415B1">
        <w:t xml:space="preserve">, and the minimum of the values provided by </w:t>
      </w:r>
      <w:r w:rsidRPr="00F415B1">
        <w:rPr>
          <w:i/>
        </w:rPr>
        <w:t>k2</w:t>
      </w:r>
      <w:r w:rsidRPr="00F415B1">
        <w:t xml:space="preserve"> </w:t>
      </w:r>
      <w:r w:rsidRPr="00F415B1">
        <w:rPr>
          <w:rFonts w:hint="eastAsia"/>
        </w:rPr>
        <w:t xml:space="preserve">in </w:t>
      </w:r>
      <w:r w:rsidRPr="00F415B1">
        <w:rPr>
          <w:rFonts w:hint="eastAsia"/>
          <w:i/>
          <w:iCs/>
        </w:rPr>
        <w:t>PUSCH-ConfigCommon</w:t>
      </w:r>
      <w:r w:rsidRPr="00F415B1">
        <w:rPr>
          <w:rFonts w:hint="eastAsia"/>
          <w:iCs/>
        </w:rPr>
        <w:t xml:space="preserve"> </w:t>
      </w:r>
      <w:r w:rsidRPr="00F415B1">
        <w:t xml:space="preserve">for active </w:t>
      </w:r>
      <w:r w:rsidRPr="00F415B1">
        <w:rPr>
          <w:lang w:val="en-US"/>
        </w:rPr>
        <w:t xml:space="preserve">UL BWP </w:t>
      </w:r>
      <m:oMath>
        <m:r>
          <w:rPr>
            <w:rFonts w:ascii="Cambria Math" w:hAnsi="Cambria Math"/>
            <w:lang w:val="en-US"/>
          </w:rPr>
          <m:t>b</m:t>
        </m:r>
      </m:oMath>
      <w:r w:rsidRPr="00F415B1">
        <w:rPr>
          <w:iCs/>
          <w:lang w:val="en-US"/>
        </w:rPr>
        <w:t xml:space="preserve"> </w:t>
      </w:r>
      <w:r w:rsidRPr="00F415B1">
        <w:rPr>
          <w:lang w:val="en-US"/>
        </w:rPr>
        <w:t xml:space="preserve">of carrier </w:t>
      </w:r>
      <m:oMath>
        <m:r>
          <w:rPr>
            <w:rFonts w:ascii="Cambria Math" w:hAnsi="Cambria Math"/>
            <w:lang w:val="en-US"/>
          </w:rPr>
          <m:t>f</m:t>
        </m:r>
      </m:oMath>
      <w:r w:rsidRPr="00F415B1">
        <w:rPr>
          <w:iCs/>
          <w:lang w:val="en-US"/>
        </w:rPr>
        <w:t xml:space="preserve"> of</w:t>
      </w:r>
      <w:r w:rsidRPr="00F415B1">
        <w:t xml:space="preserve"> primary cell </w:t>
      </w:r>
      <m:oMath>
        <m:r>
          <w:rPr>
            <w:rFonts w:ascii="Cambria Math" w:eastAsia="MS Mincho" w:hAnsi="Cambria Math"/>
            <w:lang w:val="en-US"/>
          </w:rPr>
          <m:t>c</m:t>
        </m:r>
      </m:oMath>
    </w:p>
    <w:p w14:paraId="40F63F41" w14:textId="42A0731C" w:rsidR="009662DA" w:rsidRPr="002D6DA7" w:rsidRDefault="002D6DA7" w:rsidP="002D6DA7">
      <w:pPr>
        <w:pStyle w:val="B3"/>
        <w:ind w:left="1419"/>
        <w:rPr>
          <w:lang w:val="en-US"/>
        </w:rPr>
      </w:pPr>
      <w:r>
        <w:lastRenderedPageBreak/>
        <w:t>-</w:t>
      </w:r>
      <w:r>
        <w:tab/>
        <w:t xml:space="preserve">If the first symbol of the PUCCH transmission occasion occurs within </w:t>
      </w:r>
      <m:oMath>
        <m:sSub>
          <m:sSubPr>
            <m:ctrlPr>
              <w:rPr>
                <w:rFonts w:ascii="Cambria Math" w:hAnsi="Cambria Math"/>
                <w:i/>
                <w:iCs/>
                <w:sz w:val="24"/>
                <w:szCs w:val="24"/>
              </w:rPr>
            </m:ctrlPr>
          </m:sSubPr>
          <m:e>
            <m:r>
              <w:rPr>
                <w:rFonts w:ascii="Cambria Math" w:hAnsi="Cambria Math"/>
              </w:rPr>
              <m:t>T</m:t>
            </m:r>
          </m:e>
          <m:sub>
            <m:r>
              <m:rPr>
                <m:sty m:val="p"/>
              </m:rPr>
              <w:rPr>
                <w:rFonts w:ascii="Cambria Math" w:hAnsi="Cambria Math"/>
              </w:rPr>
              <m:t>proc,2</m:t>
            </m:r>
            <m:ctrlPr>
              <w:rPr>
                <w:rFonts w:ascii="Cambria Math" w:hAnsi="Cambria Math"/>
                <w:sz w:val="24"/>
                <w:szCs w:val="24"/>
              </w:rPr>
            </m:ctrlPr>
          </m:sub>
        </m:sSub>
      </m:oMath>
      <w:r>
        <w:rPr>
          <w:sz w:val="24"/>
          <w:szCs w:val="24"/>
        </w:rPr>
        <w:t xml:space="preserve"> </w:t>
      </w:r>
      <w:r>
        <w:t xml:space="preserve">after a last symbol of a </w:t>
      </w:r>
      <w:r w:rsidR="00651277">
        <w:t>PDCCH reception</w:t>
      </w:r>
      <w:r>
        <w:t xml:space="preserve"> where the UE detects the DCI format providing the TPC command, the UE may postpone the application of the TPC command until the above condition is not valid</w:t>
      </w:r>
      <w:r>
        <w:rPr>
          <w:sz w:val="24"/>
          <w:szCs w:val="24"/>
        </w:rPr>
        <w:t xml:space="preserve">. </w:t>
      </w:r>
      <m:oMath>
        <m:sSub>
          <m:sSubPr>
            <m:ctrlPr>
              <w:rPr>
                <w:rFonts w:ascii="Cambria Math" w:hAnsi="Cambria Math"/>
                <w:i/>
                <w:iCs/>
                <w:sz w:val="24"/>
                <w:szCs w:val="24"/>
              </w:rPr>
            </m:ctrlPr>
          </m:sSubPr>
          <m:e>
            <m:r>
              <w:rPr>
                <w:rFonts w:ascii="Cambria Math" w:hAnsi="Cambria Math"/>
              </w:rPr>
              <m:t>T</m:t>
            </m:r>
          </m:e>
          <m:sub>
            <m:r>
              <m:rPr>
                <m:sty m:val="p"/>
              </m:rPr>
              <w:rPr>
                <w:rFonts w:ascii="Cambria Math" w:hAnsi="Cambria Math"/>
              </w:rPr>
              <m:t>proc,2</m:t>
            </m:r>
          </m:sub>
        </m:sSub>
      </m:oMath>
      <w:r>
        <w:t xml:space="preserve"> is the PUSCH preparation time for the corresponding UE processing capability [6, TS 38.214] assuming </w:t>
      </w:r>
      <m:oMath>
        <m:sSub>
          <m:sSubPr>
            <m:ctrlPr>
              <w:rPr>
                <w:rFonts w:ascii="Cambria Math" w:hAnsi="Cambria Math"/>
                <w:i/>
                <w:iCs/>
                <w:sz w:val="24"/>
                <w:szCs w:val="24"/>
              </w:rPr>
            </m:ctrlPr>
          </m:sSubPr>
          <m:e>
            <m:r>
              <w:rPr>
                <w:rFonts w:ascii="Cambria Math" w:hAnsi="Cambria Math"/>
              </w:rPr>
              <m:t>d</m:t>
            </m:r>
          </m:e>
          <m:sub>
            <m:r>
              <m:rPr>
                <m:sty m:val="p"/>
              </m:rPr>
              <w:rPr>
                <w:rFonts w:ascii="Cambria Math" w:hAnsi="Cambria Math"/>
              </w:rPr>
              <m:t>2,1</m:t>
            </m:r>
            <m:ctrlPr>
              <w:rPr>
                <w:rFonts w:ascii="Cambria Math" w:hAnsi="Cambria Math"/>
                <w:sz w:val="24"/>
                <w:szCs w:val="24"/>
              </w:rPr>
            </m:ctrlPr>
          </m:sub>
        </m:sSub>
        <m:r>
          <w:rPr>
            <w:rFonts w:ascii="Cambria Math" w:hAnsi="Cambria Math"/>
          </w:rPr>
          <m:t>=0</m:t>
        </m:r>
      </m:oMath>
      <w:r>
        <w:rPr>
          <w:iCs/>
        </w:rPr>
        <w:t xml:space="preserve">, </w:t>
      </w:r>
      <w:r>
        <w:t xml:space="preserve">and </w:t>
      </w:r>
      <m:oMath>
        <m:r>
          <w:rPr>
            <w:rFonts w:ascii="Cambria Math" w:hAnsi="Cambria Math"/>
          </w:rPr>
          <m:t>μ</m:t>
        </m:r>
      </m:oMath>
      <w:r>
        <w:t xml:space="preserve"> corresponds to the smallest SCS configuration between the SCS configuration of the PDCCH carrying the DCI format and the SCS configuration of the PUCCH.</w:t>
      </w:r>
    </w:p>
    <w:p w14:paraId="41E57249" w14:textId="7AD298F9" w:rsidR="009662DA" w:rsidRPr="00F415B1" w:rsidRDefault="009662DA" w:rsidP="009662DA">
      <w:pPr>
        <w:pStyle w:val="B3"/>
        <w:rPr>
          <w:lang w:val="en-US"/>
        </w:rPr>
      </w:pPr>
      <w:r w:rsidRPr="00F415B1">
        <w:t>-</w:t>
      </w:r>
      <w:r w:rsidRPr="00F415B1">
        <w:tab/>
        <w:t xml:space="preserve">If </w:t>
      </w:r>
      <w:r w:rsidRPr="00F415B1">
        <w:rPr>
          <w:lang w:val="en-US"/>
        </w:rPr>
        <w:t xml:space="preserve">the </w:t>
      </w:r>
      <w:r w:rsidRPr="00F415B1">
        <w:t xml:space="preserve">UE has reached maximum power for active </w:t>
      </w:r>
      <w:r w:rsidRPr="00F415B1">
        <w:rPr>
          <w:lang w:val="en-US"/>
        </w:rPr>
        <w:t xml:space="preserve">UL BWP </w:t>
      </w:r>
      <m:oMath>
        <m:r>
          <w:rPr>
            <w:rFonts w:ascii="Cambria Math" w:hAnsi="Cambria Math"/>
            <w:lang w:val="en-US"/>
          </w:rPr>
          <m:t>b</m:t>
        </m:r>
      </m:oMath>
      <w:r w:rsidRPr="00F415B1">
        <w:rPr>
          <w:iCs/>
          <w:lang w:val="en-US"/>
        </w:rPr>
        <w:t xml:space="preserve"> </w:t>
      </w:r>
      <w:r w:rsidRPr="00F415B1">
        <w:rPr>
          <w:lang w:val="en-US"/>
        </w:rPr>
        <w:t xml:space="preserve">of carrier </w:t>
      </w:r>
      <m:oMath>
        <m:r>
          <w:rPr>
            <w:rFonts w:ascii="Cambria Math" w:hAnsi="Cambria Math"/>
            <w:lang w:val="en-US"/>
          </w:rPr>
          <m:t>f</m:t>
        </m:r>
      </m:oMath>
      <w:r w:rsidRPr="00F415B1">
        <w:rPr>
          <w:iCs/>
          <w:lang w:val="en-US"/>
        </w:rPr>
        <w:t xml:space="preserve"> of</w:t>
      </w:r>
      <w:r w:rsidRPr="00F415B1">
        <w:t xml:space="preserve"> primary cell </w:t>
      </w:r>
      <m:oMath>
        <m:r>
          <w:rPr>
            <w:rFonts w:ascii="Cambria Math" w:hAnsi="Cambria Math"/>
          </w:rPr>
          <m:t>c</m:t>
        </m:r>
      </m:oMath>
      <w:r w:rsidRPr="00F415B1">
        <w:t xml:space="preserve"> at PUCCH transmission occasion </w:t>
      </w:r>
      <m:oMath>
        <m:r>
          <w:rPr>
            <w:rFonts w:ascii="Cambria Math" w:hAnsi="Cambria Math"/>
            <w:lang w:val="en-US"/>
          </w:rPr>
          <m:t>i-</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oMath>
      <w:r w:rsidRPr="00F415B1">
        <w:t xml:space="preserve"> and </w:t>
      </w:r>
      <m:oMath>
        <m:nary>
          <m:naryPr>
            <m:chr m:val="∑"/>
            <m:limLoc m:val="undOvr"/>
            <m:ctrlPr>
              <w:rPr>
                <w:rFonts w:ascii="Cambria Math" w:hAnsi="Cambria Math"/>
                <w:i/>
              </w:rPr>
            </m:ctrlPr>
          </m:naryPr>
          <m:sub>
            <m:r>
              <w:rPr>
                <w:rFonts w:ascii="Cambria Math" w:hAnsi="Cambria Math"/>
              </w:rPr>
              <m:t>m=0</m:t>
            </m:r>
          </m:sub>
          <m:sup>
            <m:r>
              <m:rPr>
                <m:nor/>
              </m:rPr>
              <w:rPr>
                <w:rFonts w:ascii="Freestyle Script" w:hAnsi="Freestyle Script"/>
              </w:rPr>
              <m:t>C</m:t>
            </m:r>
            <m:d>
              <m:dPr>
                <m:ctrlPr>
                  <w:rPr>
                    <w:rFonts w:ascii="Cambria Math" w:hAnsi="Cambria Math" w:cs="Helvetica"/>
                    <w:i/>
                  </w:rPr>
                </m:ctrlPr>
              </m:dPr>
              <m:e>
                <m:sSub>
                  <m:sSubPr>
                    <m:ctrlPr>
                      <w:rPr>
                        <w:rFonts w:ascii="Cambria Math" w:hAnsi="Cambria Math"/>
                        <w:i/>
                        <w:noProof/>
                      </w:rPr>
                    </m:ctrlPr>
                  </m:sSubPr>
                  <m:e>
                    <m:r>
                      <w:rPr>
                        <w:rFonts w:ascii="Cambria Math" w:hAnsi="Cambria Math"/>
                        <w:noProof/>
                      </w:rPr>
                      <m:t>C</m:t>
                    </m:r>
                  </m:e>
                  <m:sub>
                    <m:r>
                      <w:rPr>
                        <w:rFonts w:ascii="Cambria Math" w:hAnsi="Cambria Math"/>
                        <w:noProof/>
                      </w:rPr>
                      <m:t>i</m:t>
                    </m:r>
                  </m:sub>
                </m:sSub>
              </m:e>
            </m:d>
            <m:r>
              <w:rPr>
                <w:rFonts w:ascii="Cambria Math" w:hAnsi="Cambria Math" w:cs="Helvetica"/>
              </w:rPr>
              <m:t>-1</m:t>
            </m:r>
          </m:sup>
          <m:e>
            <m:sSub>
              <m:sSubPr>
                <m:ctrlPr>
                  <w:rPr>
                    <w:rFonts w:ascii="Cambria Math" w:hAnsi="Cambria Math"/>
                    <w:iCs/>
                  </w:rPr>
                </m:ctrlPr>
              </m:sSubPr>
              <m:e>
                <m:r>
                  <w:rPr>
                    <w:rFonts w:ascii="Cambria Math" w:hAnsi="Cambria Math"/>
                  </w:rPr>
                  <m:t>δ</m:t>
                </m:r>
              </m:e>
              <m:sub>
                <m:r>
                  <m:rPr>
                    <m:sty m:val="p"/>
                  </m:rPr>
                  <w:rPr>
                    <w:rFonts w:ascii="Cambria Math"/>
                  </w:rPr>
                  <m:t>PUCCH</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w:rPr>
                <w:rFonts w:ascii="Cambria Math" w:hAnsi="Cambria Math"/>
              </w:rPr>
              <m:t>(m,l)</m:t>
            </m:r>
          </m:e>
        </m:nary>
        <m:r>
          <w:rPr>
            <w:rFonts w:ascii="Cambria Math" w:hAnsi="Cambria Math"/>
          </w:rPr>
          <m:t>≥0</m:t>
        </m:r>
      </m:oMath>
      <w:r w:rsidRPr="00F415B1">
        <w:t xml:space="preserve">, then </w:t>
      </w:r>
      <m:oMath>
        <m:sSub>
          <m:sSubPr>
            <m:ctrlPr>
              <w:rPr>
                <w:rFonts w:ascii="Cambria Math" w:hAnsi="Cambria Math"/>
                <w:iCs/>
              </w:rPr>
            </m:ctrlPr>
          </m:sSubPr>
          <m:e>
            <m:r>
              <w:rPr>
                <w:rFonts w:ascii="Cambria Math" w:hAnsi="Cambria Math"/>
              </w:rPr>
              <m:t>g</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i,l</m:t>
            </m:r>
          </m:e>
        </m:d>
        <m:r>
          <w:rPr>
            <w:rFonts w:ascii="Cambria Math"/>
          </w:rPr>
          <m:t>=</m:t>
        </m:r>
        <m:sSub>
          <m:sSubPr>
            <m:ctrlPr>
              <w:rPr>
                <w:rFonts w:ascii="Cambria Math" w:hAnsi="Cambria Math"/>
                <w:iCs/>
              </w:rPr>
            </m:ctrlPr>
          </m:sSubPr>
          <m:e>
            <m:r>
              <w:rPr>
                <w:rFonts w:ascii="Cambria Math" w:hAnsi="Cambria Math"/>
              </w:rPr>
              <m:t>g</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rPr>
              <m:t>,l</m:t>
            </m:r>
          </m:e>
        </m:d>
      </m:oMath>
    </w:p>
    <w:p w14:paraId="1A5E33E9" w14:textId="7C43917F" w:rsidR="009662DA" w:rsidRPr="00F415B1" w:rsidRDefault="009662DA" w:rsidP="009662DA">
      <w:pPr>
        <w:pStyle w:val="B3"/>
      </w:pPr>
      <w:r w:rsidRPr="00F415B1">
        <w:t>-</w:t>
      </w:r>
      <w:r w:rsidRPr="00F415B1">
        <w:tab/>
        <w:t>If UE has reached minimum power</w:t>
      </w:r>
      <w:r w:rsidRPr="00F415B1">
        <w:rPr>
          <w:lang w:val="en-US"/>
        </w:rPr>
        <w:t xml:space="preserve"> </w:t>
      </w:r>
      <w:r w:rsidRPr="00F415B1">
        <w:t xml:space="preserve">for active </w:t>
      </w:r>
      <w:r w:rsidRPr="00F415B1">
        <w:rPr>
          <w:lang w:val="en-US"/>
        </w:rPr>
        <w:t xml:space="preserve">UL BWP </w:t>
      </w:r>
      <m:oMath>
        <m:r>
          <w:rPr>
            <w:rFonts w:ascii="Cambria Math" w:hAnsi="Cambria Math"/>
            <w:lang w:val="en-US"/>
          </w:rPr>
          <m:t>b</m:t>
        </m:r>
      </m:oMath>
      <w:r w:rsidRPr="00F415B1">
        <w:rPr>
          <w:iCs/>
          <w:lang w:val="en-US"/>
        </w:rPr>
        <w:t xml:space="preserve"> </w:t>
      </w:r>
      <w:r w:rsidRPr="00F415B1">
        <w:rPr>
          <w:lang w:val="en-US"/>
        </w:rPr>
        <w:t xml:space="preserve">of carrier </w:t>
      </w:r>
      <m:oMath>
        <m:r>
          <w:rPr>
            <w:rFonts w:ascii="Cambria Math" w:hAnsi="Cambria Math"/>
            <w:lang w:val="en-US"/>
          </w:rPr>
          <m:t>f</m:t>
        </m:r>
      </m:oMath>
      <w:r w:rsidRPr="00F415B1">
        <w:rPr>
          <w:iCs/>
          <w:lang w:val="en-US"/>
        </w:rPr>
        <w:t xml:space="preserve"> of</w:t>
      </w:r>
      <w:r w:rsidRPr="00F415B1">
        <w:t xml:space="preserve"> primary cell </w:t>
      </w:r>
      <m:oMath>
        <m:r>
          <w:rPr>
            <w:rFonts w:ascii="Cambria Math" w:hAnsi="Cambria Math"/>
          </w:rPr>
          <m:t>c</m:t>
        </m:r>
      </m:oMath>
      <w:r w:rsidRPr="00F415B1">
        <w:t xml:space="preserve"> at PUCCH transmission occasion </w:t>
      </w:r>
      <m:oMath>
        <m:r>
          <w:rPr>
            <w:rFonts w:ascii="Cambria Math" w:hAnsi="Cambria Math"/>
            <w:lang w:val="en-US"/>
          </w:rPr>
          <m:t>i-</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oMath>
      <w:r w:rsidRPr="00F415B1">
        <w:t xml:space="preserve"> and </w:t>
      </w:r>
      <m:oMath>
        <m:nary>
          <m:naryPr>
            <m:chr m:val="∑"/>
            <m:limLoc m:val="undOvr"/>
            <m:ctrlPr>
              <w:rPr>
                <w:rFonts w:ascii="Cambria Math" w:hAnsi="Cambria Math"/>
                <w:i/>
              </w:rPr>
            </m:ctrlPr>
          </m:naryPr>
          <m:sub>
            <m:r>
              <w:rPr>
                <w:rFonts w:ascii="Cambria Math" w:hAnsi="Cambria Math"/>
              </w:rPr>
              <m:t>m=0</m:t>
            </m:r>
          </m:sub>
          <m:sup>
            <m:r>
              <m:rPr>
                <m:nor/>
              </m:rPr>
              <w:rPr>
                <w:rFonts w:ascii="Freestyle Script" w:hAnsi="Freestyle Script"/>
              </w:rPr>
              <m:t>C</m:t>
            </m:r>
            <m:d>
              <m:dPr>
                <m:ctrlPr>
                  <w:rPr>
                    <w:rFonts w:ascii="Cambria Math" w:hAnsi="Cambria Math" w:cs="Helvetica"/>
                    <w:i/>
                  </w:rPr>
                </m:ctrlPr>
              </m:dPr>
              <m:e>
                <m:sSub>
                  <m:sSubPr>
                    <m:ctrlPr>
                      <w:rPr>
                        <w:rFonts w:ascii="Cambria Math" w:hAnsi="Cambria Math"/>
                        <w:i/>
                        <w:noProof/>
                      </w:rPr>
                    </m:ctrlPr>
                  </m:sSubPr>
                  <m:e>
                    <m:r>
                      <w:rPr>
                        <w:rFonts w:ascii="Cambria Math" w:hAnsi="Cambria Math"/>
                        <w:noProof/>
                      </w:rPr>
                      <m:t>C</m:t>
                    </m:r>
                  </m:e>
                  <m:sub>
                    <m:r>
                      <w:rPr>
                        <w:rFonts w:ascii="Cambria Math" w:hAnsi="Cambria Math"/>
                        <w:noProof/>
                      </w:rPr>
                      <m:t>i</m:t>
                    </m:r>
                  </m:sub>
                </m:sSub>
              </m:e>
            </m:d>
            <m:r>
              <w:rPr>
                <w:rFonts w:ascii="Cambria Math" w:hAnsi="Cambria Math" w:cs="Helvetica"/>
              </w:rPr>
              <m:t>-1</m:t>
            </m:r>
          </m:sup>
          <m:e>
            <m:sSub>
              <m:sSubPr>
                <m:ctrlPr>
                  <w:rPr>
                    <w:rFonts w:ascii="Cambria Math" w:hAnsi="Cambria Math"/>
                    <w:iCs/>
                  </w:rPr>
                </m:ctrlPr>
              </m:sSubPr>
              <m:e>
                <m:r>
                  <w:rPr>
                    <w:rFonts w:ascii="Cambria Math" w:hAnsi="Cambria Math"/>
                  </w:rPr>
                  <m:t>δ</m:t>
                </m:r>
              </m:e>
              <m:sub>
                <m:r>
                  <m:rPr>
                    <m:sty m:val="p"/>
                  </m:rPr>
                  <w:rPr>
                    <w:rFonts w:ascii="Cambria Math"/>
                  </w:rPr>
                  <m:t>PUCCH</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w:rPr>
                <w:rFonts w:ascii="Cambria Math" w:hAnsi="Cambria Math"/>
              </w:rPr>
              <m:t>(m,l)</m:t>
            </m:r>
          </m:e>
        </m:nary>
        <m:r>
          <w:rPr>
            <w:rFonts w:ascii="Cambria Math" w:hAnsi="Cambria Math"/>
          </w:rPr>
          <m:t>≤0</m:t>
        </m:r>
      </m:oMath>
      <w:r w:rsidRPr="00F415B1">
        <w:t xml:space="preserve">, then </w:t>
      </w:r>
      <m:oMath>
        <m:sSub>
          <m:sSubPr>
            <m:ctrlPr>
              <w:rPr>
                <w:rFonts w:ascii="Cambria Math" w:hAnsi="Cambria Math"/>
                <w:iCs/>
              </w:rPr>
            </m:ctrlPr>
          </m:sSubPr>
          <m:e>
            <m:r>
              <w:rPr>
                <w:rFonts w:ascii="Cambria Math" w:hAnsi="Cambria Math"/>
              </w:rPr>
              <m:t>g</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i,l</m:t>
            </m:r>
          </m:e>
        </m:d>
        <m:r>
          <w:rPr>
            <w:rFonts w:ascii="Cambria Math"/>
          </w:rPr>
          <m:t>=</m:t>
        </m:r>
        <m:sSub>
          <m:sSubPr>
            <m:ctrlPr>
              <w:rPr>
                <w:rFonts w:ascii="Cambria Math" w:hAnsi="Cambria Math"/>
                <w:iCs/>
              </w:rPr>
            </m:ctrlPr>
          </m:sSubPr>
          <m:e>
            <m:r>
              <w:rPr>
                <w:rFonts w:ascii="Cambria Math" w:hAnsi="Cambria Math"/>
              </w:rPr>
              <m:t>g</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rPr>
              <m:t>,l</m:t>
            </m:r>
          </m:e>
        </m:d>
      </m:oMath>
      <w:r w:rsidRPr="00F415B1" w:rsidDel="000A0CD2">
        <w:t xml:space="preserve"> </w:t>
      </w:r>
    </w:p>
    <w:p w14:paraId="2AFA3FDF" w14:textId="77777777" w:rsidR="009662DA" w:rsidRPr="00F415B1" w:rsidRDefault="009662DA" w:rsidP="009662DA">
      <w:pPr>
        <w:pStyle w:val="B3"/>
      </w:pPr>
      <w:r w:rsidRPr="00F415B1">
        <w:t>-</w:t>
      </w:r>
      <w:r w:rsidRPr="00F415B1">
        <w:tab/>
        <w:t xml:space="preserve">If a configuration of a </w:t>
      </w:r>
      <m:oMath>
        <m:sSub>
          <m:sSubPr>
            <m:ctrlPr>
              <w:rPr>
                <w:rFonts w:ascii="Cambria Math" w:hAnsi="Cambria Math"/>
                <w:iCs/>
              </w:rPr>
            </m:ctrlPr>
          </m:sSubPr>
          <m:e>
            <m:r>
              <w:rPr>
                <w:rFonts w:ascii="Cambria Math" w:hAnsi="Cambria Math"/>
              </w:rPr>
              <m:t>P</m:t>
            </m:r>
          </m:e>
          <m:sub>
            <m:r>
              <m:rPr>
                <m:nor/>
              </m:rPr>
              <w:rPr>
                <w:rFonts w:ascii="Cambria Math"/>
                <w:iCs/>
                <w:lang w:val="en-US"/>
              </w:rPr>
              <m:t>O_P</m:t>
            </m:r>
            <m:r>
              <m:rPr>
                <m:nor/>
              </m:rPr>
              <w:rPr>
                <w:rFonts w:ascii="Cambria Math"/>
                <w:iCs/>
              </w:rPr>
              <m:t>U</m:t>
            </m:r>
            <m:r>
              <m:rPr>
                <m:nor/>
              </m:rPr>
              <w:rPr>
                <w:rFonts w:ascii="Cambria Math"/>
                <w:iCs/>
                <w:lang w:val="en-US"/>
              </w:rPr>
              <m:t>C</m:t>
            </m:r>
            <m:r>
              <m:rPr>
                <m:nor/>
              </m:rPr>
              <w:rPr>
                <w:rFonts w:ascii="Cambria Math"/>
                <w:iCs/>
              </w:rPr>
              <m:t>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sSub>
              <m:sSubPr>
                <m:ctrlPr>
                  <w:rPr>
                    <w:rFonts w:ascii="Cambria Math" w:hAnsi="Cambria Math"/>
                    <w:iCs/>
                  </w:rPr>
                </m:ctrlPr>
              </m:sSubPr>
              <m:e>
                <m:r>
                  <w:rPr>
                    <w:rFonts w:ascii="Cambria Math"/>
                  </w:rPr>
                  <m:t>q</m:t>
                </m:r>
              </m:e>
              <m:sub>
                <m:r>
                  <w:rPr>
                    <w:rFonts w:ascii="Cambria Math"/>
                  </w:rPr>
                  <m:t>u</m:t>
                </m:r>
              </m:sub>
            </m:sSub>
          </m:e>
        </m:d>
      </m:oMath>
      <w:r w:rsidRPr="00F415B1">
        <w:t xml:space="preserve"> </w:t>
      </w:r>
      <w:r w:rsidRPr="00F415B1">
        <w:rPr>
          <w:rFonts w:hint="eastAsia"/>
        </w:rPr>
        <w:t xml:space="preserve">value </w:t>
      </w:r>
      <w:r w:rsidRPr="00F415B1">
        <w:t xml:space="preserve">for a corresponding PUCCH power control adjustment state </w:t>
      </w:r>
      <m:oMath>
        <m:r>
          <w:rPr>
            <w:rFonts w:ascii="Cambria Math" w:hAnsi="Cambria Math"/>
            <w:lang w:val="en-US"/>
          </w:rPr>
          <m:t>l</m:t>
        </m:r>
      </m:oMath>
      <w:r w:rsidRPr="00F415B1">
        <w:rPr>
          <w:iCs/>
        </w:rPr>
        <w:t xml:space="preserve"> </w:t>
      </w:r>
      <w:r w:rsidRPr="00F415B1">
        <w:t xml:space="preserve">for active </w:t>
      </w:r>
      <w:r w:rsidRPr="00F415B1">
        <w:rPr>
          <w:lang w:val="en-US"/>
        </w:rPr>
        <w:t xml:space="preserve">UL BWP </w:t>
      </w:r>
      <m:oMath>
        <m:r>
          <w:rPr>
            <w:rFonts w:ascii="Cambria Math" w:hAnsi="Cambria Math"/>
            <w:lang w:val="en-US"/>
          </w:rPr>
          <m:t>b</m:t>
        </m:r>
      </m:oMath>
      <w:r w:rsidRPr="00F415B1">
        <w:rPr>
          <w:iCs/>
          <w:lang w:val="en-US"/>
        </w:rPr>
        <w:t xml:space="preserve"> </w:t>
      </w:r>
      <w:r w:rsidRPr="00F415B1">
        <w:rPr>
          <w:lang w:val="en-US"/>
        </w:rPr>
        <w:t xml:space="preserve">of carrier </w:t>
      </w:r>
      <m:oMath>
        <m:r>
          <w:rPr>
            <w:rFonts w:ascii="Cambria Math" w:hAnsi="Cambria Math"/>
            <w:lang w:val="en-US"/>
          </w:rPr>
          <m:t>f</m:t>
        </m:r>
      </m:oMath>
      <w:r w:rsidRPr="00F415B1">
        <w:rPr>
          <w:iCs/>
          <w:lang w:val="en-US"/>
        </w:rPr>
        <w:t xml:space="preserve"> of</w:t>
      </w:r>
      <w:r w:rsidRPr="00F415B1">
        <w:t xml:space="preserve"> primary cell </w:t>
      </w:r>
      <m:oMath>
        <m:r>
          <w:rPr>
            <w:rFonts w:ascii="Cambria Math" w:hAnsi="Cambria Math"/>
          </w:rPr>
          <m:t>c</m:t>
        </m:r>
      </m:oMath>
      <w:r w:rsidRPr="00F415B1">
        <w:t xml:space="preserve"> </w:t>
      </w:r>
      <w:r w:rsidRPr="00F415B1">
        <w:rPr>
          <w:rFonts w:hint="eastAsia"/>
        </w:rPr>
        <w:t xml:space="preserve">is </w:t>
      </w:r>
      <w:r w:rsidRPr="00F415B1">
        <w:t>provided</w:t>
      </w:r>
      <w:r w:rsidRPr="00F415B1">
        <w:rPr>
          <w:rFonts w:hint="eastAsia"/>
        </w:rPr>
        <w:t xml:space="preserve"> by higher layers</w:t>
      </w:r>
      <w:r w:rsidRPr="00F415B1">
        <w:t xml:space="preserve">, </w:t>
      </w:r>
    </w:p>
    <w:p w14:paraId="5D7119C3" w14:textId="77777777" w:rsidR="009662DA" w:rsidRPr="00F415B1" w:rsidRDefault="009662DA" w:rsidP="009662DA">
      <w:pPr>
        <w:pStyle w:val="B4"/>
        <w:rPr>
          <w:lang w:val="en-US"/>
        </w:rPr>
      </w:pPr>
      <w:r w:rsidRPr="00F415B1">
        <w:t>-</w:t>
      </w:r>
      <w:r w:rsidRPr="00F415B1">
        <w:tab/>
      </w:r>
      <m:oMath>
        <m:sSub>
          <m:sSubPr>
            <m:ctrlPr>
              <w:rPr>
                <w:rFonts w:ascii="Cambria Math" w:hAnsi="Cambria Math"/>
                <w:iCs/>
              </w:rPr>
            </m:ctrlPr>
          </m:sSubPr>
          <m:e>
            <m:r>
              <w:rPr>
                <w:rFonts w:ascii="Cambria Math" w:hAnsi="Cambria Math"/>
              </w:rPr>
              <m:t>g</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k,l</m:t>
            </m:r>
          </m:e>
        </m:d>
        <m:r>
          <w:rPr>
            <w:rFonts w:ascii="Cambria Math"/>
          </w:rPr>
          <m:t>=0,  k=0,1,</m:t>
        </m:r>
        <m:r>
          <w:rPr>
            <w:rFonts w:ascii="Cambria Math"/>
          </w:rPr>
          <m:t>…</m:t>
        </m:r>
        <m:r>
          <w:rPr>
            <w:rFonts w:ascii="Cambria Math"/>
          </w:rPr>
          <m:t>,i</m:t>
        </m:r>
      </m:oMath>
    </w:p>
    <w:p w14:paraId="0B9EB6F0" w14:textId="2AC5A049" w:rsidR="00D00F84" w:rsidRPr="00037243" w:rsidRDefault="00D00F84" w:rsidP="00D00F84">
      <w:pPr>
        <w:pStyle w:val="B5"/>
      </w:pPr>
      <w:r>
        <w:rPr>
          <w:lang w:val="en-US"/>
        </w:rPr>
        <w:t>-</w:t>
      </w:r>
      <w:r>
        <w:rPr>
          <w:lang w:val="en-US"/>
        </w:rPr>
        <w:tab/>
        <w:t>i</w:t>
      </w:r>
      <w:r w:rsidRPr="00F415B1">
        <w:rPr>
          <w:lang w:val="en-US"/>
        </w:rPr>
        <w:t xml:space="preserve">f </w:t>
      </w:r>
      <w:r w:rsidR="009662DA" w:rsidRPr="00F415B1">
        <w:rPr>
          <w:lang w:val="en-US"/>
        </w:rPr>
        <w:t xml:space="preserve">the UE is provided </w:t>
      </w:r>
      <w:r w:rsidR="009662DA" w:rsidRPr="00F415B1">
        <w:rPr>
          <w:i/>
        </w:rPr>
        <w:t>PUCCH-SpatialRelationInfo</w:t>
      </w:r>
      <w:r w:rsidR="009662DA" w:rsidRPr="00F415B1">
        <w:rPr>
          <w:lang w:val="en-US"/>
        </w:rPr>
        <w:t xml:space="preserve">, the UE determines the value of </w:t>
      </w:r>
      <m:oMath>
        <m:r>
          <w:rPr>
            <w:rFonts w:ascii="Cambria Math" w:hAnsi="Cambria Math"/>
            <w:lang w:val="en-US"/>
          </w:rPr>
          <m:t>l</m:t>
        </m:r>
      </m:oMath>
      <w:r w:rsidR="009662DA" w:rsidRPr="00F415B1">
        <w:rPr>
          <w:lang w:val="en-US"/>
        </w:rPr>
        <w:t xml:space="preserve"> from the value of </w:t>
      </w:r>
      <m:oMath>
        <m:sSub>
          <m:sSubPr>
            <m:ctrlPr>
              <w:rPr>
                <w:rFonts w:ascii="Cambria Math" w:hAnsi="Cambria Math"/>
                <w:iCs/>
              </w:rPr>
            </m:ctrlPr>
          </m:sSubPr>
          <m:e>
            <m:r>
              <w:rPr>
                <w:rFonts w:ascii="Cambria Math"/>
              </w:rPr>
              <m:t>q</m:t>
            </m:r>
          </m:e>
          <m:sub>
            <m:r>
              <w:rPr>
                <w:rFonts w:ascii="Cambria Math"/>
              </w:rPr>
              <m:t>u</m:t>
            </m:r>
          </m:sub>
        </m:sSub>
      </m:oMath>
      <w:r w:rsidR="009662DA" w:rsidRPr="00F415B1">
        <w:rPr>
          <w:lang w:val="en-US"/>
        </w:rPr>
        <w:t xml:space="preserve"> based on a </w:t>
      </w:r>
      <w:r w:rsidR="009662DA" w:rsidRPr="00F415B1">
        <w:rPr>
          <w:i/>
        </w:rPr>
        <w:t>pucch-SpatialRelationInfoId</w:t>
      </w:r>
      <w:r w:rsidR="009662DA" w:rsidRPr="00F415B1">
        <w:t xml:space="preserve"> value associated with the </w:t>
      </w:r>
      <w:r w:rsidR="009662DA" w:rsidRPr="00F415B1">
        <w:rPr>
          <w:i/>
        </w:rPr>
        <w:t>p0-PUCCH-Id</w:t>
      </w:r>
      <w:r w:rsidR="009662DA" w:rsidRPr="00F415B1">
        <w:t xml:space="preserve"> value corresponding to </w:t>
      </w:r>
      <m:oMath>
        <m:sSub>
          <m:sSubPr>
            <m:ctrlPr>
              <w:rPr>
                <w:rFonts w:ascii="Cambria Math" w:hAnsi="Cambria Math"/>
                <w:iCs/>
              </w:rPr>
            </m:ctrlPr>
          </m:sSubPr>
          <m:e>
            <m:r>
              <w:rPr>
                <w:rFonts w:ascii="Cambria Math"/>
              </w:rPr>
              <m:t>q</m:t>
            </m:r>
          </m:e>
          <m:sub>
            <m:r>
              <w:rPr>
                <w:rFonts w:ascii="Cambria Math"/>
              </w:rPr>
              <m:t>u</m:t>
            </m:r>
          </m:sub>
        </m:sSub>
      </m:oMath>
      <w:r w:rsidR="009662DA" w:rsidRPr="00F415B1">
        <w:t xml:space="preserve"> and with the </w:t>
      </w:r>
      <w:r w:rsidR="009662DA" w:rsidRPr="00F415B1">
        <w:rPr>
          <w:i/>
        </w:rPr>
        <w:t>closedLoopIndex</w:t>
      </w:r>
      <w:r w:rsidR="009662DA" w:rsidRPr="00F415B1">
        <w:rPr>
          <w:lang w:val="en-US"/>
        </w:rPr>
        <w:t xml:space="preserve"> value corresponding to </w:t>
      </w:r>
      <m:oMath>
        <m:r>
          <w:rPr>
            <w:rFonts w:ascii="Cambria Math" w:hAnsi="Cambria Math"/>
            <w:lang w:val="en-US"/>
          </w:rPr>
          <m:t>l</m:t>
        </m:r>
      </m:oMath>
      <w:r w:rsidR="009662DA" w:rsidRPr="00F415B1">
        <w:t xml:space="preserve">; </w:t>
      </w:r>
    </w:p>
    <w:p w14:paraId="62DCD819" w14:textId="77777777" w:rsidR="00D00F84" w:rsidRPr="00037243" w:rsidRDefault="00D00F84" w:rsidP="00D00F84">
      <w:pPr>
        <w:pStyle w:val="B5"/>
      </w:pPr>
      <w:r w:rsidRPr="00037243">
        <w:t>-</w:t>
      </w:r>
      <w:r w:rsidRPr="00037243">
        <w:tab/>
      </w:r>
      <w:r w:rsidRPr="00037243">
        <w:rPr>
          <w:lang w:val="en-US"/>
        </w:rPr>
        <w:t xml:space="preserve">else, if </w:t>
      </w:r>
      <w:r w:rsidRPr="00037243">
        <w:rPr>
          <w:rFonts w:eastAsia="Calibri"/>
          <w:lang w:eastAsia="ja-JP"/>
        </w:rPr>
        <w:t xml:space="preserve">the UE is provided more than one sets of power control parameters for operation in FR1, and if the UE receives an activation command for a PUCCH resource that indicates one or two sets of the more than one sets of power control parameters, the UE determines the value of </w:t>
      </w:r>
      <m:oMath>
        <m:r>
          <w:rPr>
            <w:rFonts w:ascii="Cambria Math" w:eastAsia="Calibri" w:hAnsi="Cambria Math"/>
            <w:lang w:eastAsia="ja-JP"/>
          </w:rPr>
          <m:t>l</m:t>
        </m:r>
      </m:oMath>
      <w:r w:rsidRPr="00037243">
        <w:rPr>
          <w:rFonts w:eastAsia="Calibri"/>
          <w:lang w:eastAsia="ja-JP"/>
        </w:rPr>
        <w:t xml:space="preserve"> based on the </w:t>
      </w:r>
      <w:r w:rsidRPr="00037243">
        <w:rPr>
          <w:rFonts w:eastAsia="Calibri"/>
          <w:i/>
          <w:lang w:eastAsia="ja-JP"/>
        </w:rPr>
        <w:t>closedLoopIndex</w:t>
      </w:r>
      <w:r w:rsidRPr="00037243">
        <w:rPr>
          <w:rFonts w:eastAsia="Calibri"/>
          <w:lang w:eastAsia="ja-JP"/>
        </w:rPr>
        <w:t xml:space="preserve"> value in the one or two sets of power control parameters</w:t>
      </w:r>
      <w:r w:rsidRPr="00037243">
        <w:t>;</w:t>
      </w:r>
    </w:p>
    <w:p w14:paraId="28380DA5" w14:textId="4731BDE1" w:rsidR="009662DA" w:rsidRPr="00F415B1" w:rsidRDefault="00D00F84" w:rsidP="00D00F84">
      <w:pPr>
        <w:pStyle w:val="B5"/>
        <w:rPr>
          <w:lang w:val="en-US"/>
        </w:rPr>
      </w:pPr>
      <w:r w:rsidRPr="00037243">
        <w:t>-</w:t>
      </w:r>
      <w:r w:rsidRPr="00037243">
        <w:tab/>
      </w:r>
      <w:r>
        <w:t>else</w:t>
      </w:r>
      <w:r w:rsidR="009662DA" w:rsidRPr="00F415B1">
        <w:t xml:space="preserve">, </w:t>
      </w:r>
      <m:oMath>
        <m:r>
          <w:rPr>
            <w:rFonts w:ascii="Cambria Math" w:hAnsi="Cambria Math"/>
          </w:rPr>
          <m:t>l=0</m:t>
        </m:r>
      </m:oMath>
    </w:p>
    <w:p w14:paraId="0970448B" w14:textId="77777777" w:rsidR="009662DA" w:rsidRPr="00F415B1" w:rsidRDefault="009662DA" w:rsidP="009662DA">
      <w:pPr>
        <w:pStyle w:val="B3"/>
        <w:rPr>
          <w:lang w:val="en-US"/>
        </w:rPr>
      </w:pPr>
      <w:r w:rsidRPr="00F415B1">
        <w:t>-</w:t>
      </w:r>
      <w:r w:rsidRPr="00F415B1">
        <w:tab/>
        <w:t xml:space="preserve">Else, </w:t>
      </w:r>
    </w:p>
    <w:p w14:paraId="3302348E" w14:textId="77777777" w:rsidR="009662DA" w:rsidRPr="00F415B1" w:rsidRDefault="009662DA" w:rsidP="009662DA">
      <w:pPr>
        <w:pStyle w:val="B4"/>
      </w:pPr>
      <w:r w:rsidRPr="00F415B1">
        <w:t>-</w:t>
      </w:r>
      <w:r w:rsidRPr="00F415B1">
        <w:tab/>
      </w:r>
      <m:oMath>
        <m:sSub>
          <m:sSubPr>
            <m:ctrlPr>
              <w:rPr>
                <w:rFonts w:ascii="Cambria Math" w:hAnsi="Cambria Math"/>
                <w:iCs/>
              </w:rPr>
            </m:ctrlPr>
          </m:sSubPr>
          <m:e>
            <m:r>
              <w:rPr>
                <w:rFonts w:ascii="Cambria Math" w:hAnsi="Cambria Math"/>
              </w:rPr>
              <m:t>g</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0,l</m:t>
            </m:r>
          </m:e>
        </m:d>
        <m:r>
          <w:rPr>
            <w:rFonts w:ascii="Cambria Math"/>
          </w:rPr>
          <m:t>=</m:t>
        </m:r>
        <m:sSub>
          <m:sSubPr>
            <m:ctrlPr>
              <w:rPr>
                <w:rFonts w:ascii="Cambria Math" w:hAnsi="Cambria Math"/>
                <w:iCs/>
              </w:rPr>
            </m:ctrlPr>
          </m:sSubPr>
          <m:e>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rampup</m:t>
                </m:r>
                <m:r>
                  <w:rPr>
                    <w:rFonts w:ascii="Cambria Math" w:hAnsi="Cambria Math"/>
                  </w:rPr>
                  <m:t>,b,f,c</m:t>
                </m:r>
              </m:sub>
            </m:sSub>
            <m:r>
              <w:rPr>
                <w:rFonts w:ascii="Cambria Math" w:hAnsi="Cambria Math"/>
              </w:rPr>
              <m:t>+δ</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oMath>
      <w:r w:rsidRPr="00F415B1">
        <w:rPr>
          <w:lang w:val="en-US"/>
        </w:rPr>
        <w:t xml:space="preserve">, where </w:t>
      </w:r>
      <m:oMath>
        <m:r>
          <w:rPr>
            <w:rFonts w:ascii="Cambria Math" w:hAnsi="Cambria Math"/>
          </w:rPr>
          <m:t>l=0</m:t>
        </m:r>
      </m:oMath>
      <w:r w:rsidRPr="00F415B1">
        <w:rPr>
          <w:rFonts w:hint="eastAsia"/>
        </w:rPr>
        <w:t>,</w:t>
      </w:r>
      <w:r w:rsidRPr="00F415B1">
        <w:t xml:space="preserve"> and </w:t>
      </w:r>
      <m:oMath>
        <m:sSub>
          <m:sSubPr>
            <m:ctrlPr>
              <w:rPr>
                <w:rFonts w:ascii="Cambria Math" w:hAnsi="Cambria Math"/>
                <w:iCs/>
              </w:rPr>
            </m:ctrlPr>
          </m:sSubPr>
          <m:e>
            <m:r>
              <w:rPr>
                <w:rFonts w:ascii="Cambria Math" w:hAnsi="Cambria Math"/>
              </w:rPr>
              <m:t>δ</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oMath>
      <w:r w:rsidRPr="00F415B1">
        <w:t xml:space="preserve"> is </w:t>
      </w:r>
    </w:p>
    <w:p w14:paraId="76A6FDEE" w14:textId="77777777" w:rsidR="009662DA" w:rsidRPr="00F415B1" w:rsidRDefault="009662DA" w:rsidP="009662DA">
      <w:pPr>
        <w:pStyle w:val="B5"/>
        <w:rPr>
          <w:lang w:val="en-US"/>
        </w:rPr>
      </w:pPr>
      <w:r w:rsidRPr="00F415B1">
        <w:t>-</w:t>
      </w:r>
      <w:r w:rsidRPr="00F415B1">
        <w:tab/>
        <w:t xml:space="preserve">the TPC command value indicated in a random access response </w:t>
      </w:r>
      <w:r w:rsidRPr="00F415B1">
        <w:rPr>
          <w:lang w:val="en-US"/>
        </w:rPr>
        <w:t xml:space="preserve">grant </w:t>
      </w:r>
      <w:r w:rsidRPr="00F415B1">
        <w:t xml:space="preserve">corresponding to a PRACH transmission </w:t>
      </w:r>
      <w:r w:rsidRPr="00F415B1">
        <w:rPr>
          <w:lang w:val="en-US"/>
        </w:rPr>
        <w:t xml:space="preserve">according to Type-1 random access procedure, or in a </w:t>
      </w:r>
      <w:r w:rsidRPr="00F415B1">
        <w:t>random access response</w:t>
      </w:r>
      <w:r w:rsidRPr="00F415B1">
        <w:rPr>
          <w:lang w:val="en-US"/>
        </w:rPr>
        <w:t xml:space="preserve"> grant </w:t>
      </w:r>
      <w:r w:rsidRPr="00F415B1">
        <w:t xml:space="preserve">corresponding to MsgA transmissions </w:t>
      </w:r>
      <w:r w:rsidRPr="00F415B1">
        <w:rPr>
          <w:lang w:val="en-US"/>
        </w:rPr>
        <w:t xml:space="preserve">according to Type-2 random access procedure with </w:t>
      </w:r>
      <w:r w:rsidRPr="00F415B1">
        <w:t xml:space="preserve">RAR message(s) for </w:t>
      </w:r>
      <w:r w:rsidRPr="00F415B1">
        <w:rPr>
          <w:rFonts w:eastAsia="Calibri"/>
        </w:rPr>
        <w:t>fallbackRAR</w:t>
      </w:r>
      <w:r w:rsidRPr="00F415B1">
        <w:rPr>
          <w:lang w:val="en-US"/>
        </w:rPr>
        <w:t>, or</w:t>
      </w:r>
    </w:p>
    <w:p w14:paraId="7F688533" w14:textId="77777777" w:rsidR="009662DA" w:rsidRPr="00F415B1" w:rsidRDefault="009662DA" w:rsidP="009662DA">
      <w:pPr>
        <w:pStyle w:val="B5"/>
      </w:pPr>
      <w:r w:rsidRPr="00F415B1">
        <w:t>-</w:t>
      </w:r>
      <w:r w:rsidRPr="00F415B1">
        <w:tab/>
        <w:t>the TPC command value indicated in a successRAR corresponding to MsgA transmissions for Type-2 random access procedure</w:t>
      </w:r>
      <w:r w:rsidRPr="00F415B1">
        <w:rPr>
          <w:lang w:val="en-US"/>
        </w:rPr>
        <w:t xml:space="preserve">, </w:t>
      </w:r>
      <w:r w:rsidRPr="00F415B1">
        <w:t xml:space="preserve">or </w:t>
      </w:r>
    </w:p>
    <w:p w14:paraId="67CAEB8A" w14:textId="77777777" w:rsidR="009662DA" w:rsidRPr="00F415B1" w:rsidRDefault="009662DA" w:rsidP="009662DA">
      <w:pPr>
        <w:pStyle w:val="B5"/>
      </w:pPr>
      <w:r w:rsidRPr="00F415B1">
        <w:t>-</w:t>
      </w:r>
      <w:r w:rsidRPr="00F415B1">
        <w:tab/>
        <w:t xml:space="preserve">the TPC command value in a DCI format </w:t>
      </w:r>
      <w:r w:rsidRPr="00F415B1">
        <w:rPr>
          <w:iCs/>
          <w:lang w:eastAsia="ja-JP"/>
        </w:rPr>
        <w:t>with CRC scrambled by C-RNTI or MCS-C-RNTI</w:t>
      </w:r>
      <w:r w:rsidRPr="00F415B1">
        <w:t xml:space="preserve"> that the UE detects in a first PDCCH reception in a </w:t>
      </w:r>
      <w:r w:rsidRPr="00F415B1">
        <w:rPr>
          <w:iCs/>
          <w:lang w:eastAsia="ja-JP"/>
        </w:rPr>
        <w:t xml:space="preserve">search space set provided by </w:t>
      </w:r>
      <w:r w:rsidRPr="00F415B1">
        <w:rPr>
          <w:i/>
          <w:iCs/>
          <w:lang w:eastAsia="ja-JP"/>
        </w:rPr>
        <w:t>recoverySearchSpaceId</w:t>
      </w:r>
      <w:r w:rsidRPr="00F415B1">
        <w:rPr>
          <w:iCs/>
          <w:lang w:eastAsia="ja-JP"/>
        </w:rPr>
        <w:t xml:space="preserve"> if </w:t>
      </w:r>
      <w:r w:rsidRPr="00F415B1">
        <w:t xml:space="preserve">the PUCCH transmission is a first PUCCH transmission after 28 symbols </w:t>
      </w:r>
      <w:r w:rsidRPr="00F415B1">
        <w:rPr>
          <w:iCs/>
          <w:lang w:eastAsia="ja-JP"/>
        </w:rPr>
        <w:t>from a last symbol of the first PDCCH reception</w:t>
      </w:r>
      <w:r w:rsidRPr="00F415B1">
        <w:t xml:space="preserve">, </w:t>
      </w:r>
    </w:p>
    <w:p w14:paraId="6EBAEA44" w14:textId="77777777" w:rsidR="009662DA" w:rsidRPr="00F415B1" w:rsidRDefault="009662DA" w:rsidP="009662DA">
      <w:pPr>
        <w:pStyle w:val="B4"/>
        <w:ind w:left="1702"/>
        <w:rPr>
          <w:lang w:val="en-US"/>
        </w:rPr>
      </w:pPr>
      <w:r w:rsidRPr="00F415B1">
        <w:t>and</w:t>
      </w:r>
      <w:r w:rsidRPr="00F415B1">
        <w:rPr>
          <w:lang w:val="en-US"/>
        </w:rPr>
        <w:t xml:space="preserve">, if the UE transmits PUCCH on </w:t>
      </w:r>
      <w:r w:rsidRPr="00F415B1">
        <w:t xml:space="preserve">active </w:t>
      </w:r>
      <w:r w:rsidRPr="00F415B1">
        <w:rPr>
          <w:lang w:val="en-US"/>
        </w:rPr>
        <w:t xml:space="preserve">UL BWP </w:t>
      </w:r>
      <m:oMath>
        <m:r>
          <w:rPr>
            <w:rFonts w:ascii="Cambria Math" w:hAnsi="Cambria Math"/>
            <w:lang w:val="en-US"/>
          </w:rPr>
          <m:t>b</m:t>
        </m:r>
      </m:oMath>
      <w:r w:rsidRPr="00F415B1">
        <w:rPr>
          <w:iCs/>
          <w:lang w:val="en-US"/>
        </w:rPr>
        <w:t xml:space="preserve"> </w:t>
      </w:r>
      <w:r w:rsidRPr="00F415B1">
        <w:rPr>
          <w:lang w:val="en-US"/>
        </w:rPr>
        <w:t xml:space="preserve">of carrier </w:t>
      </w:r>
      <m:oMath>
        <m:r>
          <w:rPr>
            <w:rFonts w:ascii="Cambria Math" w:hAnsi="Cambria Math"/>
            <w:lang w:val="en-US"/>
          </w:rPr>
          <m:t>f</m:t>
        </m:r>
      </m:oMath>
      <w:r w:rsidRPr="00F415B1">
        <w:rPr>
          <w:iCs/>
          <w:lang w:val="en-US"/>
        </w:rPr>
        <w:t xml:space="preserve"> of</w:t>
      </w:r>
      <w:r w:rsidRPr="00F415B1">
        <w:t xml:space="preserve"> primary cell </w:t>
      </w:r>
      <m:oMath>
        <m:r>
          <w:rPr>
            <w:rFonts w:ascii="Cambria Math" w:hAnsi="Cambria Math"/>
          </w:rPr>
          <m:t>c</m:t>
        </m:r>
      </m:oMath>
      <w:r w:rsidRPr="00F415B1">
        <w:rPr>
          <w:lang w:val="en-US"/>
        </w:rPr>
        <w:t xml:space="preserve">, </w:t>
      </w:r>
    </w:p>
    <w:p w14:paraId="13BA2A71" w14:textId="24593C0B" w:rsidR="009662DA" w:rsidRPr="00F415B1" w:rsidRDefault="009662DA" w:rsidP="009662DA">
      <w:pPr>
        <w:pStyle w:val="B4"/>
        <w:ind w:firstLine="0"/>
        <w:rPr>
          <w:lang w:val="en-US"/>
        </w:rPr>
      </w:pPr>
      <m:oMath>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rampup</m:t>
            </m:r>
            <m:r>
              <w:rPr>
                <w:rFonts w:ascii="Cambria Math" w:hAnsi="Cambria Math"/>
              </w:rPr>
              <m:t>,b,f,c</m:t>
            </m:r>
          </m:sub>
        </m:sSub>
        <m:r>
          <w:rPr>
            <w:rFonts w:ascii="Cambria Math" w:hAnsi="Cambria Math"/>
          </w:rPr>
          <m:t>=min</m:t>
        </m:r>
        <m:d>
          <m:dPr>
            <m:begChr m:val="["/>
            <m:endChr m:val="]"/>
            <m:ctrlPr>
              <w:rPr>
                <w:rFonts w:ascii="Cambria Math" w:hAnsi="Cambria Math"/>
                <w:i/>
              </w:rPr>
            </m:ctrlPr>
          </m:dPr>
          <m:e>
            <m:r>
              <w:rPr>
                <w:rFonts w:ascii="Cambria Math" w:hAnsi="Cambria Math"/>
              </w:rPr>
              <m:t>max</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P</m:t>
                    </m:r>
                  </m:e>
                  <m:sub>
                    <m:r>
                      <m:rPr>
                        <m:sty m:val="p"/>
                      </m:rPr>
                      <w:rPr>
                        <w:rFonts w:ascii="Cambria Math" w:hAnsi="Cambria Math"/>
                      </w:rPr>
                      <m:t>CMAX</m:t>
                    </m:r>
                    <m:r>
                      <w:rPr>
                        <w:rFonts w:ascii="Cambria Math" w:hAnsi="Cambria Math"/>
                      </w:rPr>
                      <m:t>,f,c</m:t>
                    </m:r>
                  </m:sub>
                </m:sSub>
                <m:r>
                  <w:rPr>
                    <w:rFonts w:ascii="Cambria Math" w:hAnsi="Cambria Math"/>
                  </w:rPr>
                  <m:t>-</m:t>
                </m:r>
                <m:d>
                  <m:dPr>
                    <m:ctrlPr>
                      <w:rPr>
                        <w:rFonts w:ascii="Cambria Math" w:hAnsi="Cambria Math"/>
                        <w:i/>
                      </w:rPr>
                    </m:ctrlPr>
                  </m:dPr>
                  <m:e>
                    <m:sSub>
                      <m:sSubPr>
                        <m:ctrlPr>
                          <w:rPr>
                            <w:rFonts w:ascii="Cambria Math" w:hAnsi="Cambria Math"/>
                            <w:iCs/>
                          </w:rPr>
                        </m:ctrlPr>
                      </m:sSubPr>
                      <m:e>
                        <m:r>
                          <w:rPr>
                            <w:rFonts w:ascii="Cambria Math" w:hAnsi="Cambria Math"/>
                          </w:rPr>
                          <m:t>P</m:t>
                        </m:r>
                      </m:e>
                      <m:sub>
                        <m:r>
                          <m:rPr>
                            <m:nor/>
                          </m:rPr>
                          <w:rPr>
                            <w:rFonts w:ascii="Cambria Math"/>
                            <w:iCs/>
                            <w:lang w:val="en-US"/>
                          </w:rPr>
                          <m:t>O_P</m:t>
                        </m:r>
                        <m:r>
                          <m:rPr>
                            <m:nor/>
                          </m:rPr>
                          <w:rPr>
                            <w:rFonts w:ascii="Cambria Math"/>
                            <w:iCs/>
                          </w:rPr>
                          <m:t>UCCH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w:rPr>
                        <w:rFonts w:ascii="Cambria Math" w:hAnsi="Cambria Math"/>
                      </w:rPr>
                      <m:t>+</m:t>
                    </m:r>
                    <m:sSub>
                      <m:sSubPr>
                        <m:ctrlPr>
                          <w:rPr>
                            <w:rFonts w:ascii="Cambria Math" w:hAnsi="Cambria Math"/>
                            <w:i/>
                          </w:rPr>
                        </m:ctrlPr>
                      </m:sSubPr>
                      <m:e>
                        <m:r>
                          <w:rPr>
                            <w:rFonts w:ascii="Cambria Math" w:hAnsi="Cambria Math"/>
                          </w:rPr>
                          <m:t>PL</m:t>
                        </m:r>
                      </m:e>
                      <m:sub>
                        <m:r>
                          <w:rPr>
                            <w:rFonts w:ascii="Cambria Math" w:hAnsi="Cambria Math"/>
                          </w:rPr>
                          <m:t>b,f,c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sSub>
                      <m:sSubPr>
                        <m:ctrlPr>
                          <w:rPr>
                            <w:rFonts w:ascii="Cambria Math" w:hAnsi="Cambria Math"/>
                            <w:i/>
                            <w:lang w:val="x-none"/>
                          </w:rPr>
                        </m:ctrlPr>
                      </m:sSubPr>
                      <m:e>
                        <m:r>
                          <w:rPr>
                            <w:rFonts w:ascii="Cambria Math" w:hAnsi="Cambria Math"/>
                          </w:rPr>
                          <m:t>∆</m:t>
                        </m:r>
                      </m:e>
                      <m:sub>
                        <m:r>
                          <m:rPr>
                            <m:sty m:val="p"/>
                          </m:rPr>
                          <w:rPr>
                            <w:rFonts w:ascii="Cambria Math" w:hAnsi="Cambria Math"/>
                          </w:rPr>
                          <m:t>F_PUCCH</m:t>
                        </m:r>
                      </m:sub>
                    </m:sSub>
                    <m:r>
                      <w:rPr>
                        <w:rFonts w:ascii="Cambria Math" w:hAnsi="Cambria Math"/>
                      </w:rPr>
                      <m:t>+</m:t>
                    </m:r>
                    <m:sSub>
                      <m:sSubPr>
                        <m:ctrlPr>
                          <w:rPr>
                            <w:rFonts w:ascii="Cambria Math" w:hAnsi="Cambria Math"/>
                            <w:i/>
                            <w:lang w:val="x-none"/>
                          </w:rPr>
                        </m:ctrlPr>
                      </m:sSubPr>
                      <m:e>
                        <m:r>
                          <w:rPr>
                            <w:rFonts w:ascii="Cambria Math" w:hAnsi="Cambria Math"/>
                          </w:rPr>
                          <m:t>∆</m:t>
                        </m:r>
                      </m:e>
                      <m:sub>
                        <m:r>
                          <w:rPr>
                            <w:rFonts w:ascii="Cambria Math" w:hAnsi="Cambria Math"/>
                          </w:rPr>
                          <m:t>TF,b,f,c</m:t>
                        </m:r>
                      </m:sub>
                    </m:sSub>
                    <m:r>
                      <w:rPr>
                        <w:rFonts w:ascii="Cambria Math" w:hAnsi="Cambria Math"/>
                      </w:rPr>
                      <m:t>+</m:t>
                    </m:r>
                    <m:sSub>
                      <m:sSubPr>
                        <m:ctrlPr>
                          <w:rPr>
                            <w:rFonts w:ascii="Cambria Math" w:hAnsi="Cambria Math"/>
                            <w:iCs/>
                          </w:rPr>
                        </m:ctrlPr>
                      </m:sSubPr>
                      <m:e>
                        <m:r>
                          <w:rPr>
                            <w:rFonts w:ascii="Cambria Math" w:hAnsi="Cambria Math"/>
                          </w:rPr>
                          <m:t>δ</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e>
                </m:d>
              </m:e>
            </m:d>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rampup_requested</m:t>
                </m:r>
                <m:r>
                  <w:rPr>
                    <w:rFonts w:ascii="Cambria Math" w:hAnsi="Cambria Math"/>
                  </w:rPr>
                  <m:t>,b,f,c</m:t>
                </m:r>
              </m:sub>
            </m:sSub>
          </m:e>
        </m:d>
      </m:oMath>
      <w:r w:rsidRPr="00F415B1">
        <w:rPr>
          <w:lang w:val="en-US"/>
        </w:rPr>
        <w:t>;</w:t>
      </w:r>
      <w:r w:rsidRPr="00F415B1">
        <w:t xml:space="preserve"> </w:t>
      </w:r>
    </w:p>
    <w:p w14:paraId="67FAEEB7" w14:textId="77777777" w:rsidR="009662DA" w:rsidRPr="00F415B1" w:rsidRDefault="009662DA" w:rsidP="009662DA">
      <w:pPr>
        <w:pStyle w:val="B4"/>
        <w:ind w:firstLine="0"/>
      </w:pPr>
      <w:r w:rsidRPr="00F415B1">
        <w:rPr>
          <w:lang w:val="en-US"/>
        </w:rPr>
        <w:t>otherwise,</w:t>
      </w:r>
      <w:r w:rsidRPr="00F415B1">
        <w:t xml:space="preserve"> </w:t>
      </w:r>
    </w:p>
    <w:p w14:paraId="20A4CF21" w14:textId="77777777" w:rsidR="009662DA" w:rsidRPr="00F415B1" w:rsidRDefault="009662DA" w:rsidP="009662DA">
      <w:pPr>
        <w:pStyle w:val="B4"/>
        <w:ind w:firstLine="0"/>
        <w:rPr>
          <w:lang w:val="en-US"/>
        </w:rPr>
      </w:pPr>
      <m:oMath>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rampup</m:t>
            </m:r>
            <m:r>
              <w:rPr>
                <w:rFonts w:ascii="Cambria Math" w:hAnsi="Cambria Math"/>
              </w:rPr>
              <m:t>,b,f,c</m:t>
            </m:r>
          </m:sub>
        </m:sSub>
        <m:r>
          <w:rPr>
            <w:rFonts w:ascii="Cambria Math" w:hAnsi="Cambria Math"/>
          </w:rPr>
          <m:t>=min</m:t>
        </m:r>
        <m:d>
          <m:dPr>
            <m:begChr m:val="["/>
            <m:endChr m:val="]"/>
            <m:ctrlPr>
              <w:rPr>
                <w:rFonts w:ascii="Cambria Math" w:hAnsi="Cambria Math"/>
                <w:i/>
              </w:rPr>
            </m:ctrlPr>
          </m:dPr>
          <m:e>
            <m:r>
              <w:rPr>
                <w:rFonts w:ascii="Cambria Math" w:hAnsi="Cambria Math"/>
              </w:rPr>
              <m:t>max</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P</m:t>
                    </m:r>
                  </m:e>
                  <m:sub>
                    <m:r>
                      <m:rPr>
                        <m:sty m:val="p"/>
                      </m:rPr>
                      <w:rPr>
                        <w:rFonts w:ascii="Cambria Math" w:hAnsi="Cambria Math"/>
                      </w:rPr>
                      <m:t>CMAX</m:t>
                    </m:r>
                    <m:r>
                      <w:rPr>
                        <w:rFonts w:ascii="Cambria Math" w:hAnsi="Cambria Math"/>
                      </w:rPr>
                      <m:t>,f,c</m:t>
                    </m:r>
                  </m:sub>
                </m:sSub>
                <m:r>
                  <w:rPr>
                    <w:rFonts w:ascii="Cambria Math" w:hAnsi="Cambria Math"/>
                  </w:rPr>
                  <m:t>-</m:t>
                </m:r>
                <m:d>
                  <m:dPr>
                    <m:ctrlPr>
                      <w:rPr>
                        <w:rFonts w:ascii="Cambria Math" w:hAnsi="Cambria Math"/>
                        <w:i/>
                      </w:rPr>
                    </m:ctrlPr>
                  </m:dPr>
                  <m:e>
                    <m:sSub>
                      <m:sSubPr>
                        <m:ctrlPr>
                          <w:rPr>
                            <w:rFonts w:ascii="Cambria Math" w:hAnsi="Cambria Math"/>
                            <w:iCs/>
                          </w:rPr>
                        </m:ctrlPr>
                      </m:sSubPr>
                      <m:e>
                        <m:r>
                          <w:rPr>
                            <w:rFonts w:ascii="Cambria Math" w:hAnsi="Cambria Math"/>
                          </w:rPr>
                          <m:t>P</m:t>
                        </m:r>
                      </m:e>
                      <m:sub>
                        <m:r>
                          <m:rPr>
                            <m:nor/>
                          </m:rPr>
                          <w:rPr>
                            <w:rFonts w:ascii="Cambria Math"/>
                            <w:iCs/>
                            <w:lang w:val="en-US"/>
                          </w:rPr>
                          <m:t>O_P</m:t>
                        </m:r>
                        <m:r>
                          <m:rPr>
                            <m:nor/>
                          </m:rPr>
                          <w:rPr>
                            <w:rFonts w:ascii="Cambria Math"/>
                            <w:iCs/>
                          </w:rPr>
                          <m:t>UCCH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w:rPr>
                        <w:rFonts w:ascii="Cambria Math" w:hAnsi="Cambria Math"/>
                      </w:rPr>
                      <m:t>+</m:t>
                    </m:r>
                    <m:sSub>
                      <m:sSubPr>
                        <m:ctrlPr>
                          <w:rPr>
                            <w:rFonts w:ascii="Cambria Math" w:hAnsi="Cambria Math"/>
                            <w:i/>
                          </w:rPr>
                        </m:ctrlPr>
                      </m:sSubPr>
                      <m:e>
                        <m:r>
                          <w:rPr>
                            <w:rFonts w:ascii="Cambria Math" w:hAnsi="Cambria Math"/>
                          </w:rPr>
                          <m:t>PL</m:t>
                        </m:r>
                      </m:e>
                      <m:sub>
                        <m:r>
                          <w:rPr>
                            <w:rFonts w:ascii="Cambria Math" w:hAnsi="Cambria Math"/>
                          </w:rPr>
                          <m:t>b,f,c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e>
                </m:d>
              </m:e>
            </m:d>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rampup_requested</m:t>
                </m:r>
                <m:r>
                  <w:rPr>
                    <w:rFonts w:ascii="Cambria Math" w:hAnsi="Cambria Math"/>
                  </w:rPr>
                  <m:t>,b,f,c</m:t>
                </m:r>
              </m:sub>
            </m:sSub>
          </m:e>
        </m:d>
      </m:oMath>
      <w:r w:rsidRPr="00F415B1">
        <w:t xml:space="preserve"> where </w:t>
      </w:r>
      <m:oMath>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rampup_requested</m:t>
            </m:r>
            <m:r>
              <w:rPr>
                <w:rFonts w:ascii="Cambria Math" w:hAnsi="Cambria Math"/>
              </w:rPr>
              <m:t>,b,f,c</m:t>
            </m:r>
          </m:sub>
        </m:sSub>
      </m:oMath>
      <w:r w:rsidRPr="00F415B1">
        <w:t xml:space="preserve"> is provided by higher layers and corresponds to the total power ramp-up requested by higher layers from the first to the last preamble </w:t>
      </w:r>
      <w:r w:rsidRPr="00F415B1">
        <w:rPr>
          <w:lang w:val="en-US"/>
        </w:rPr>
        <w:t xml:space="preserve">for active UL BWP </w:t>
      </w:r>
      <m:oMath>
        <m:r>
          <w:rPr>
            <w:rFonts w:ascii="Cambria Math" w:hAnsi="Cambria Math"/>
            <w:lang w:val="en-US"/>
          </w:rPr>
          <m:t>b</m:t>
        </m:r>
      </m:oMath>
      <w:r w:rsidRPr="00F415B1">
        <w:rPr>
          <w:iCs/>
          <w:lang w:val="en-US"/>
        </w:rPr>
        <w:t xml:space="preserve"> </w:t>
      </w:r>
      <w:r w:rsidRPr="00F415B1">
        <w:rPr>
          <w:lang w:val="en-US"/>
        </w:rPr>
        <w:t xml:space="preserve">of carrier </w:t>
      </w:r>
      <m:oMath>
        <m:r>
          <w:rPr>
            <w:rFonts w:ascii="Cambria Math" w:hAnsi="Cambria Math"/>
            <w:lang w:val="en-US"/>
          </w:rPr>
          <m:t>f</m:t>
        </m:r>
      </m:oMath>
      <w:r w:rsidRPr="00F415B1">
        <w:rPr>
          <w:iCs/>
          <w:lang w:val="en-US"/>
        </w:rPr>
        <w:t xml:space="preserve"> </w:t>
      </w:r>
      <w:r w:rsidRPr="00F415B1">
        <w:t>of primary cell</w:t>
      </w:r>
      <w:r w:rsidRPr="00F415B1">
        <w:rPr>
          <w:lang w:val="en-US"/>
        </w:rPr>
        <w:t xml:space="preserve"> </w:t>
      </w:r>
      <m:oMath>
        <m:r>
          <w:rPr>
            <w:rFonts w:ascii="Cambria Math" w:hAnsi="Cambria Math"/>
          </w:rPr>
          <m:t>c</m:t>
        </m:r>
      </m:oMath>
      <w:r w:rsidRPr="00F415B1">
        <w:rPr>
          <w:lang w:val="en-US"/>
        </w:rPr>
        <w:t xml:space="preserve">, and </w:t>
      </w:r>
      <m:oMath>
        <m:sSub>
          <m:sSubPr>
            <m:ctrlPr>
              <w:rPr>
                <w:rFonts w:ascii="Cambria Math" w:hAnsi="Cambria Math"/>
                <w:i/>
                <w:lang w:val="x-none"/>
              </w:rPr>
            </m:ctrlPr>
          </m:sSubPr>
          <m:e>
            <m:r>
              <w:rPr>
                <w:rFonts w:ascii="Cambria Math" w:hAnsi="Cambria Math"/>
              </w:rPr>
              <m:t>∆</m:t>
            </m:r>
          </m:e>
          <m:sub>
            <m:r>
              <m:rPr>
                <m:sty m:val="p"/>
              </m:rPr>
              <w:rPr>
                <w:rFonts w:ascii="Cambria Math" w:hAnsi="Cambria Math"/>
              </w:rPr>
              <m:t>F_PUCCH</m:t>
            </m:r>
          </m:sub>
        </m:sSub>
      </m:oMath>
      <w:r w:rsidRPr="00F415B1">
        <w:rPr>
          <w:lang w:val="en-US"/>
        </w:rPr>
        <w:t xml:space="preserve"> corresponds to PUCCH format 0 or PUCCH format 1</w:t>
      </w:r>
    </w:p>
    <w:p w14:paraId="05920054" w14:textId="01E57732" w:rsidR="005566B0" w:rsidRPr="00B916EC" w:rsidRDefault="005566B0" w:rsidP="005566B0">
      <w:pPr>
        <w:pStyle w:val="TH"/>
      </w:pPr>
      <w:r w:rsidRPr="00B916EC">
        <w:lastRenderedPageBreak/>
        <w:t xml:space="preserve">Table 7.2.1-1: Mapping of TPC Command Field in </w:t>
      </w:r>
      <w:r w:rsidR="000E7147">
        <w:t xml:space="preserve">a </w:t>
      </w:r>
      <w:r w:rsidRPr="00B916EC">
        <w:t>DCI format to accumulated</w:t>
      </w:r>
      <w:r w:rsidR="00C41D94">
        <w:t xml:space="preserve"> </w:t>
      </w:r>
      <m:oMath>
        <m:sSub>
          <m:sSubPr>
            <m:ctrlPr>
              <w:rPr>
                <w:rFonts w:ascii="Cambria Math" w:hAnsi="Cambria Math"/>
                <w:iCs/>
              </w:rPr>
            </m:ctrlPr>
          </m:sSubPr>
          <m:e>
            <m:r>
              <m:rPr>
                <m:sty m:val="bi"/>
              </m:rPr>
              <w:rPr>
                <w:rFonts w:ascii="Cambria Math" w:hAnsi="Cambria Math"/>
              </w:rPr>
              <m:t>δ</m:t>
            </m:r>
          </m:e>
          <m:sub>
            <m:r>
              <m:rPr>
                <m:sty m:val="b"/>
              </m:rPr>
              <w:rPr>
                <w:rFonts w:ascii="Cambria Math"/>
              </w:rPr>
              <m:t>PUCCH</m:t>
            </m:r>
            <m:r>
              <m:rPr>
                <m:sty m:val="bi"/>
              </m:rPr>
              <w:rPr>
                <w:rFonts w:ascii="Cambria Math"/>
              </w:rPr>
              <m:t>,b</m:t>
            </m:r>
            <m:r>
              <m:rPr>
                <m:sty m:val="b"/>
              </m:rPr>
              <w:rPr>
                <w:rFonts w:ascii="Cambria Math"/>
              </w:rPr>
              <m:t>,</m:t>
            </m:r>
            <m:r>
              <m:rPr>
                <m:sty m:val="bi"/>
              </m:rPr>
              <w:rPr>
                <w:rFonts w:ascii="Cambria Math"/>
              </w:rPr>
              <m:t>f</m:t>
            </m:r>
            <m:r>
              <m:rPr>
                <m:sty m:val="b"/>
              </m:rPr>
              <w:rPr>
                <w:rFonts w:ascii="Cambria Math"/>
              </w:rPr>
              <m:t>,</m:t>
            </m:r>
            <m:r>
              <m:rPr>
                <m:sty m:val="bi"/>
              </m:rPr>
              <w:rPr>
                <w:rFonts w:ascii="Cambria Math"/>
              </w:rPr>
              <m:t>c</m:t>
            </m:r>
          </m:sub>
        </m:sSub>
      </m:oMath>
      <w:r w:rsidRPr="00B916EC">
        <w:t xml:space="preserve"> </w:t>
      </w:r>
      <w:r w:rsidR="00006890" w:rsidRPr="00B916EC">
        <w:t>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7"/>
        <w:gridCol w:w="2717"/>
      </w:tblGrid>
      <w:tr w:rsidR="00006890" w:rsidRPr="00B916EC" w14:paraId="3E32724A" w14:textId="77777777" w:rsidTr="00006890">
        <w:trPr>
          <w:jc w:val="center"/>
        </w:trPr>
        <w:tc>
          <w:tcPr>
            <w:tcW w:w="0" w:type="auto"/>
            <w:shd w:val="clear" w:color="auto" w:fill="E0E0E0"/>
            <w:vAlign w:val="center"/>
          </w:tcPr>
          <w:p w14:paraId="4D234951" w14:textId="77777777" w:rsidR="00006890" w:rsidRPr="00B916EC" w:rsidRDefault="00006890" w:rsidP="00006890">
            <w:pPr>
              <w:pStyle w:val="TAH"/>
            </w:pPr>
            <w:r w:rsidRPr="00B916EC">
              <w:t xml:space="preserve">TPC Command Field </w:t>
            </w:r>
          </w:p>
        </w:tc>
        <w:tc>
          <w:tcPr>
            <w:tcW w:w="0" w:type="auto"/>
            <w:shd w:val="clear" w:color="auto" w:fill="E0E0E0"/>
            <w:vAlign w:val="center"/>
          </w:tcPr>
          <w:p w14:paraId="5DC0881C" w14:textId="4EE014B0" w:rsidR="00006890" w:rsidRPr="00B916EC" w:rsidRDefault="00006890" w:rsidP="00006890">
            <w:pPr>
              <w:pStyle w:val="TAH"/>
              <w:rPr>
                <w:szCs w:val="18"/>
              </w:rPr>
            </w:pPr>
            <w:r w:rsidRPr="00B916EC">
              <w:t xml:space="preserve">Accumulated </w:t>
            </w:r>
            <m:oMath>
              <m:sSub>
                <m:sSubPr>
                  <m:ctrlPr>
                    <w:rPr>
                      <w:rFonts w:ascii="Cambria Math" w:hAnsi="Cambria Math"/>
                      <w:iCs/>
                    </w:rPr>
                  </m:ctrlPr>
                </m:sSubPr>
                <m:e>
                  <m:r>
                    <m:rPr>
                      <m:sty m:val="bi"/>
                    </m:rPr>
                    <w:rPr>
                      <w:rFonts w:ascii="Cambria Math" w:hAnsi="Cambria Math"/>
                    </w:rPr>
                    <m:t>δ</m:t>
                  </m:r>
                </m:e>
                <m:sub>
                  <m:r>
                    <m:rPr>
                      <m:sty m:val="b"/>
                    </m:rPr>
                    <w:rPr>
                      <w:rFonts w:ascii="Cambria Math"/>
                    </w:rPr>
                    <m:t>PUCCH</m:t>
                  </m:r>
                  <m:r>
                    <m:rPr>
                      <m:sty m:val="bi"/>
                    </m:rPr>
                    <w:rPr>
                      <w:rFonts w:ascii="Cambria Math"/>
                    </w:rPr>
                    <m:t>,b</m:t>
                  </m:r>
                  <m:r>
                    <m:rPr>
                      <m:sty m:val="b"/>
                    </m:rPr>
                    <w:rPr>
                      <w:rFonts w:ascii="Cambria Math"/>
                    </w:rPr>
                    <m:t>,</m:t>
                  </m:r>
                  <m:r>
                    <m:rPr>
                      <m:sty m:val="bi"/>
                    </m:rPr>
                    <w:rPr>
                      <w:rFonts w:ascii="Cambria Math"/>
                    </w:rPr>
                    <m:t>f</m:t>
                  </m:r>
                  <m:r>
                    <m:rPr>
                      <m:sty m:val="b"/>
                    </m:rPr>
                    <w:rPr>
                      <w:rFonts w:ascii="Cambria Math"/>
                    </w:rPr>
                    <m:t>,</m:t>
                  </m:r>
                  <m:r>
                    <m:rPr>
                      <m:sty m:val="bi"/>
                    </m:rPr>
                    <w:rPr>
                      <w:rFonts w:ascii="Cambria Math"/>
                    </w:rPr>
                    <m:t>c</m:t>
                  </m:r>
                </m:sub>
              </m:sSub>
            </m:oMath>
            <w:r w:rsidRPr="00B916EC" w:rsidDel="005872D2">
              <w:t xml:space="preserve"> </w:t>
            </w:r>
            <w:r w:rsidRPr="00B916EC">
              <w:t>[dB]</w:t>
            </w:r>
          </w:p>
        </w:tc>
      </w:tr>
      <w:tr w:rsidR="005566B0" w:rsidRPr="00B916EC" w14:paraId="6E69A2FE" w14:textId="77777777" w:rsidTr="00006890">
        <w:trPr>
          <w:trHeight w:hRule="exact" w:val="227"/>
          <w:jc w:val="center"/>
        </w:trPr>
        <w:tc>
          <w:tcPr>
            <w:tcW w:w="0" w:type="auto"/>
            <w:vAlign w:val="center"/>
          </w:tcPr>
          <w:p w14:paraId="30574BBD" w14:textId="77777777" w:rsidR="005566B0" w:rsidRPr="00B916EC" w:rsidRDefault="005566B0" w:rsidP="00A16BFB">
            <w:pPr>
              <w:pStyle w:val="TAC"/>
            </w:pPr>
            <w:r w:rsidRPr="00B916EC">
              <w:t>0</w:t>
            </w:r>
          </w:p>
        </w:tc>
        <w:tc>
          <w:tcPr>
            <w:tcW w:w="0" w:type="auto"/>
            <w:vAlign w:val="center"/>
          </w:tcPr>
          <w:p w14:paraId="200156BF" w14:textId="77777777" w:rsidR="005566B0" w:rsidRPr="00B916EC" w:rsidRDefault="005566B0" w:rsidP="00A16BFB">
            <w:pPr>
              <w:pStyle w:val="TAC"/>
            </w:pPr>
            <w:r w:rsidRPr="00B916EC">
              <w:t>-1</w:t>
            </w:r>
          </w:p>
        </w:tc>
      </w:tr>
      <w:tr w:rsidR="005566B0" w:rsidRPr="00B916EC" w14:paraId="57B488FC" w14:textId="77777777" w:rsidTr="00006890">
        <w:trPr>
          <w:trHeight w:hRule="exact" w:val="227"/>
          <w:jc w:val="center"/>
        </w:trPr>
        <w:tc>
          <w:tcPr>
            <w:tcW w:w="0" w:type="auto"/>
            <w:vAlign w:val="center"/>
          </w:tcPr>
          <w:p w14:paraId="659EE0A8" w14:textId="77777777" w:rsidR="005566B0" w:rsidRPr="00B916EC" w:rsidRDefault="005566B0" w:rsidP="00A16BFB">
            <w:pPr>
              <w:pStyle w:val="TAC"/>
            </w:pPr>
            <w:r w:rsidRPr="00B916EC">
              <w:t>1</w:t>
            </w:r>
          </w:p>
        </w:tc>
        <w:tc>
          <w:tcPr>
            <w:tcW w:w="0" w:type="auto"/>
            <w:vAlign w:val="center"/>
          </w:tcPr>
          <w:p w14:paraId="1B1D8CF0" w14:textId="77777777" w:rsidR="005566B0" w:rsidRPr="00B916EC" w:rsidRDefault="005566B0" w:rsidP="00A16BFB">
            <w:pPr>
              <w:pStyle w:val="TAC"/>
            </w:pPr>
            <w:r w:rsidRPr="00B916EC">
              <w:t>0</w:t>
            </w:r>
          </w:p>
        </w:tc>
      </w:tr>
      <w:tr w:rsidR="005566B0" w:rsidRPr="00B916EC" w14:paraId="72446334" w14:textId="77777777" w:rsidTr="00006890">
        <w:trPr>
          <w:trHeight w:hRule="exact" w:val="227"/>
          <w:jc w:val="center"/>
        </w:trPr>
        <w:tc>
          <w:tcPr>
            <w:tcW w:w="0" w:type="auto"/>
            <w:vAlign w:val="center"/>
          </w:tcPr>
          <w:p w14:paraId="43F8156C" w14:textId="77777777" w:rsidR="005566B0" w:rsidRPr="00B916EC" w:rsidRDefault="005566B0" w:rsidP="00A16BFB">
            <w:pPr>
              <w:pStyle w:val="TAC"/>
            </w:pPr>
            <w:r w:rsidRPr="00B916EC">
              <w:t>2</w:t>
            </w:r>
          </w:p>
        </w:tc>
        <w:tc>
          <w:tcPr>
            <w:tcW w:w="0" w:type="auto"/>
            <w:vAlign w:val="center"/>
          </w:tcPr>
          <w:p w14:paraId="1F5A9CF7" w14:textId="77777777" w:rsidR="005566B0" w:rsidRPr="00B916EC" w:rsidRDefault="005566B0" w:rsidP="00A16BFB">
            <w:pPr>
              <w:pStyle w:val="TAC"/>
            </w:pPr>
            <w:r w:rsidRPr="00B916EC">
              <w:t>1</w:t>
            </w:r>
          </w:p>
        </w:tc>
      </w:tr>
      <w:tr w:rsidR="005566B0" w:rsidRPr="00B916EC" w14:paraId="3FB95361" w14:textId="77777777" w:rsidTr="00006890">
        <w:trPr>
          <w:trHeight w:hRule="exact" w:val="227"/>
          <w:jc w:val="center"/>
        </w:trPr>
        <w:tc>
          <w:tcPr>
            <w:tcW w:w="0" w:type="auto"/>
            <w:vAlign w:val="center"/>
          </w:tcPr>
          <w:p w14:paraId="449EB9ED" w14:textId="77777777" w:rsidR="005566B0" w:rsidRPr="00B916EC" w:rsidRDefault="005566B0" w:rsidP="00A16BFB">
            <w:pPr>
              <w:pStyle w:val="TAC"/>
            </w:pPr>
            <w:r w:rsidRPr="00B916EC">
              <w:t>3</w:t>
            </w:r>
          </w:p>
        </w:tc>
        <w:tc>
          <w:tcPr>
            <w:tcW w:w="0" w:type="auto"/>
            <w:vAlign w:val="center"/>
          </w:tcPr>
          <w:p w14:paraId="184F92A4" w14:textId="77777777" w:rsidR="005566B0" w:rsidRPr="00B916EC" w:rsidRDefault="005566B0" w:rsidP="00A16BFB">
            <w:pPr>
              <w:pStyle w:val="TAC"/>
            </w:pPr>
            <w:r w:rsidRPr="00B916EC">
              <w:t>3</w:t>
            </w:r>
          </w:p>
        </w:tc>
      </w:tr>
    </w:tbl>
    <w:p w14:paraId="43C073C0" w14:textId="77777777" w:rsidR="00817602" w:rsidRDefault="00817602" w:rsidP="00817602"/>
    <w:p w14:paraId="4925597A" w14:textId="77777777" w:rsidR="00E072F9" w:rsidRPr="00B916EC" w:rsidRDefault="00E072F9" w:rsidP="00E072F9">
      <w:pPr>
        <w:pStyle w:val="Heading2"/>
        <w:ind w:left="566" w:hanging="566"/>
      </w:pPr>
      <w:bookmarkStart w:id="194" w:name="_Toc12021449"/>
      <w:bookmarkStart w:id="195" w:name="_Toc20311561"/>
      <w:bookmarkStart w:id="196" w:name="_Toc26719386"/>
      <w:bookmarkStart w:id="197" w:name="_Toc29894817"/>
      <w:bookmarkStart w:id="198" w:name="_Toc29899116"/>
      <w:bookmarkStart w:id="199" w:name="_Toc29899534"/>
      <w:bookmarkStart w:id="200" w:name="_Toc29917271"/>
      <w:bookmarkStart w:id="201" w:name="_Toc36498145"/>
      <w:bookmarkStart w:id="202" w:name="_Toc45699171"/>
      <w:bookmarkStart w:id="203" w:name="_Toc161999096"/>
      <w:r w:rsidRPr="00B916EC">
        <w:t>7.3</w:t>
      </w:r>
      <w:r w:rsidR="007D5A3F">
        <w:tab/>
      </w:r>
      <w:r w:rsidRPr="00B916EC">
        <w:t>Sounding reference signals</w:t>
      </w:r>
      <w:bookmarkEnd w:id="194"/>
      <w:bookmarkEnd w:id="195"/>
      <w:bookmarkEnd w:id="196"/>
      <w:bookmarkEnd w:id="197"/>
      <w:bookmarkEnd w:id="198"/>
      <w:bookmarkEnd w:id="199"/>
      <w:bookmarkEnd w:id="200"/>
      <w:bookmarkEnd w:id="201"/>
      <w:bookmarkEnd w:id="202"/>
      <w:bookmarkEnd w:id="203"/>
    </w:p>
    <w:p w14:paraId="005C93DF" w14:textId="77777777" w:rsidR="00175144" w:rsidRPr="00175144" w:rsidRDefault="00FA0D3E" w:rsidP="00175144">
      <w:pPr>
        <w:rPr>
          <w:lang w:eastAsia="zh-CN"/>
        </w:rPr>
      </w:pPr>
      <w:r w:rsidRPr="00F415B1">
        <w:rPr>
          <w:lang w:eastAsia="zh-CN"/>
        </w:rPr>
        <w:t xml:space="preserve">For SRS, </w:t>
      </w:r>
    </w:p>
    <w:p w14:paraId="7AA17A06" w14:textId="4E1085E3" w:rsidR="00175144" w:rsidRPr="00175144" w:rsidRDefault="00175144" w:rsidP="00175144">
      <w:pPr>
        <w:pStyle w:val="B1"/>
        <w:rPr>
          <w:rFonts w:cs="Calibri"/>
        </w:rPr>
      </w:pPr>
      <w:r w:rsidRPr="00175144">
        <w:t>-</w:t>
      </w:r>
      <w:r w:rsidRPr="00175144">
        <w:tab/>
      </w:r>
      <w:r w:rsidRPr="00175144">
        <w:rPr>
          <w:lang w:eastAsia="ko-KR"/>
        </w:rPr>
        <w:t xml:space="preserve">if a UE is provided </w:t>
      </w:r>
      <w:r w:rsidR="002A0CF2">
        <w:rPr>
          <w:rFonts w:eastAsia="Malgun Gothic"/>
          <w:i/>
          <w:iCs/>
        </w:rPr>
        <w:t>nrofSRS-Ports-n8</w:t>
      </w:r>
      <w:r w:rsidR="002A0CF2">
        <w:rPr>
          <w:rFonts w:eastAsia="Malgun Gothic"/>
        </w:rPr>
        <w:t xml:space="preserve"> </w:t>
      </w:r>
      <w:r w:rsidR="002A0CF2" w:rsidRPr="0015746F">
        <w:rPr>
          <w:rFonts w:cs="Arial"/>
          <w:iCs/>
          <w:lang w:eastAsia="zh-CN"/>
        </w:rPr>
        <w:t xml:space="preserve">= </w:t>
      </w:r>
      <w:r w:rsidR="002A0CF2" w:rsidRPr="002A0CF2">
        <w:rPr>
          <w:rFonts w:cs="Arial"/>
          <w:iCs/>
          <w:lang w:val="en-US" w:eastAsia="zh-CN"/>
        </w:rPr>
        <w:t>'</w:t>
      </w:r>
      <w:r w:rsidR="002A0CF2" w:rsidRPr="006D2224">
        <w:rPr>
          <w:rFonts w:eastAsia="Malgun Gothic"/>
        </w:rPr>
        <w:t>ports8tdm</w:t>
      </w:r>
      <w:r w:rsidR="002A0CF2" w:rsidRPr="002A0CF2">
        <w:rPr>
          <w:rFonts w:cs="Arial"/>
          <w:iCs/>
          <w:lang w:val="en-US" w:eastAsia="zh-CN"/>
        </w:rPr>
        <w:t>'</w:t>
      </w:r>
      <w:r w:rsidRPr="00175144">
        <w:rPr>
          <w:i/>
          <w:lang w:eastAsia="ko-KR"/>
        </w:rPr>
        <w:t xml:space="preserve"> </w:t>
      </w:r>
      <w:r w:rsidRPr="00175144">
        <w:rPr>
          <w:lang w:eastAsia="ko-KR"/>
        </w:rPr>
        <w:t xml:space="preserve">for an SRS resource with 8 ports in an SRS resource set with usage </w:t>
      </w:r>
      <w:r w:rsidR="002D5F43">
        <w:rPr>
          <w:lang w:eastAsia="ko-KR"/>
        </w:rPr>
        <w:t>'</w:t>
      </w:r>
      <w:r w:rsidRPr="00175144">
        <w:rPr>
          <w:lang w:eastAsia="ko-KR"/>
        </w:rPr>
        <w:t>codebook</w:t>
      </w:r>
      <w:r w:rsidR="002D5F43">
        <w:rPr>
          <w:lang w:eastAsia="ko-KR"/>
        </w:rPr>
        <w:t>'</w:t>
      </w:r>
      <w:r w:rsidRPr="00175144">
        <w:rPr>
          <w:lang w:eastAsia="ko-KR"/>
        </w:rPr>
        <w:t xml:space="preserve"> or </w:t>
      </w:r>
      <w:r w:rsidR="002D5F43">
        <w:rPr>
          <w:lang w:eastAsia="ko-KR"/>
        </w:rPr>
        <w:t>'</w:t>
      </w:r>
      <w:r w:rsidRPr="00175144">
        <w:rPr>
          <w:lang w:eastAsia="ko-KR"/>
        </w:rPr>
        <w:t>antennaSwitching</w:t>
      </w:r>
      <w:r w:rsidR="002D5F43">
        <w:rPr>
          <w:lang w:eastAsia="ko-KR"/>
        </w:rPr>
        <w:t>'</w:t>
      </w:r>
      <w:r w:rsidRPr="00175144">
        <w:rPr>
          <w:lang w:eastAsia="ko-KR"/>
        </w:rPr>
        <w:t xml:space="preserve">, the UE </w:t>
      </w:r>
      <w:r w:rsidRPr="00175144">
        <w:rPr>
          <w:lang w:eastAsia="zh-CN"/>
        </w:rPr>
        <w:t xml:space="preserve">splits a linear value </w:t>
      </w:r>
      <m:oMath>
        <m:sSub>
          <m:sSubPr>
            <m:ctrlPr>
              <w:rPr>
                <w:rFonts w:ascii="Cambria Math" w:hAnsi="Cambria Math"/>
                <w:iCs/>
              </w:rPr>
            </m:ctrlPr>
          </m:sSubPr>
          <m:e>
            <m:acc>
              <m:accPr>
                <m:ctrlPr>
                  <w:rPr>
                    <w:rFonts w:ascii="Cambria Math" w:hAnsi="Cambria Math"/>
                    <w:i/>
                  </w:rPr>
                </m:ctrlPr>
              </m:accPr>
              <m:e>
                <m:r>
                  <w:rPr>
                    <w:rFonts w:ascii="Cambria Math" w:hAnsi="Cambria Math"/>
                  </w:rPr>
                  <m:t>P</m:t>
                </m:r>
              </m:e>
            </m:acc>
          </m:e>
          <m:sub>
            <m:r>
              <m:rPr>
                <m:nor/>
              </m:rPr>
              <w:rPr>
                <w:rFonts w:ascii="Cambria Math"/>
                <w:iCs/>
              </w:rPr>
              <m:t>SRS</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r>
          <w:rPr>
            <w:rFonts w:ascii="Cambria Math"/>
          </w:rPr>
          <m:t>i</m:t>
        </m:r>
        <m:r>
          <m:rPr>
            <m:sty m:val="p"/>
          </m:rPr>
          <w:rPr>
            <w:rFonts w:ascii="Cambria Math"/>
          </w:rPr>
          <m:t>,</m:t>
        </m:r>
        <m:sSub>
          <m:sSubPr>
            <m:ctrlPr>
              <w:rPr>
                <w:rFonts w:ascii="Cambria Math" w:hAnsi="Cambria Math"/>
                <w:iCs/>
              </w:rPr>
            </m:ctrlPr>
          </m:sSubPr>
          <m:e>
            <m:r>
              <w:rPr>
                <w:rFonts w:ascii="Cambria Math"/>
              </w:rPr>
              <m:t>q</m:t>
            </m:r>
          </m:e>
          <m:sub>
            <m:r>
              <w:rPr>
                <w:rFonts w:ascii="Cambria Math"/>
              </w:rPr>
              <m:t>s</m:t>
            </m:r>
          </m:sub>
        </m:sSub>
        <m:r>
          <m:rPr>
            <m:sty m:val="p"/>
          </m:rPr>
          <w:rPr>
            <w:rFonts w:ascii="Cambria Math"/>
          </w:rPr>
          <m:t>,</m:t>
        </m:r>
        <m:r>
          <w:rPr>
            <w:rFonts w:ascii="Cambria Math"/>
          </w:rPr>
          <m:t>l</m:t>
        </m:r>
        <m:r>
          <m:rPr>
            <m:sty m:val="p"/>
          </m:rPr>
          <w:rPr>
            <w:rFonts w:ascii="Cambria Math"/>
          </w:rPr>
          <m:t>)</m:t>
        </m:r>
      </m:oMath>
      <w:r w:rsidRPr="00175144">
        <w:t xml:space="preserve"> </w:t>
      </w:r>
      <w:r w:rsidRPr="00175144">
        <w:rPr>
          <w:lang w:eastAsia="zh-CN"/>
        </w:rPr>
        <w:t>of the transmit power</w:t>
      </w:r>
      <w:r w:rsidRPr="00175144">
        <w:t xml:space="preserve"> </w:t>
      </w:r>
      <m:oMath>
        <m:sSub>
          <m:sSubPr>
            <m:ctrlPr>
              <w:rPr>
                <w:rFonts w:ascii="Cambria Math" w:hAnsi="Cambria Math"/>
                <w:iCs/>
              </w:rPr>
            </m:ctrlPr>
          </m:sSubPr>
          <m:e>
            <m:r>
              <w:rPr>
                <w:rFonts w:ascii="Cambria Math" w:hAnsi="Cambria Math"/>
              </w:rPr>
              <m:t>P</m:t>
            </m:r>
          </m:e>
          <m:sub>
            <m:r>
              <m:rPr>
                <m:nor/>
              </m:rPr>
              <w:rPr>
                <w:rFonts w:ascii="Cambria Math"/>
                <w:iCs/>
              </w:rPr>
              <m:t>SRS</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r>
          <w:rPr>
            <w:rFonts w:ascii="Cambria Math"/>
          </w:rPr>
          <m:t>i</m:t>
        </m:r>
        <m:r>
          <m:rPr>
            <m:sty m:val="p"/>
          </m:rPr>
          <w:rPr>
            <w:rFonts w:ascii="Cambria Math"/>
          </w:rPr>
          <m:t>,</m:t>
        </m:r>
        <m:sSub>
          <m:sSubPr>
            <m:ctrlPr>
              <w:rPr>
                <w:rFonts w:ascii="Cambria Math" w:hAnsi="Cambria Math"/>
                <w:iCs/>
              </w:rPr>
            </m:ctrlPr>
          </m:sSubPr>
          <m:e>
            <m:r>
              <w:rPr>
                <w:rFonts w:ascii="Cambria Math"/>
              </w:rPr>
              <m:t>q</m:t>
            </m:r>
          </m:e>
          <m:sub>
            <m:r>
              <w:rPr>
                <w:rFonts w:ascii="Cambria Math"/>
              </w:rPr>
              <m:t>s</m:t>
            </m:r>
          </m:sub>
        </m:sSub>
        <m:r>
          <m:rPr>
            <m:sty m:val="p"/>
          </m:rPr>
          <w:rPr>
            <w:rFonts w:ascii="Cambria Math"/>
          </w:rPr>
          <m:t>,</m:t>
        </m:r>
        <m:r>
          <w:rPr>
            <w:rFonts w:ascii="Cambria Math"/>
          </w:rPr>
          <m:t>l</m:t>
        </m:r>
        <m:r>
          <m:rPr>
            <m:sty m:val="p"/>
          </m:rPr>
          <w:rPr>
            <w:rFonts w:ascii="Cambria Math"/>
          </w:rPr>
          <m:t>)</m:t>
        </m:r>
      </m:oMath>
      <w:r w:rsidRPr="00175144">
        <w:rPr>
          <w:iCs/>
        </w:rPr>
        <w:t xml:space="preserve"> </w:t>
      </w:r>
      <w:r w:rsidRPr="00175144">
        <w:rPr>
          <w:lang w:eastAsia="zh-CN"/>
        </w:rPr>
        <w:t xml:space="preserve">on active </w:t>
      </w:r>
      <w:r w:rsidRPr="00175144">
        <w:rPr>
          <w:lang w:val="en-US"/>
        </w:rPr>
        <w:t xml:space="preserve">UL BWP </w:t>
      </w:r>
      <m:oMath>
        <m:r>
          <w:rPr>
            <w:rFonts w:ascii="Cambria Math" w:hAnsi="Cambria Math"/>
          </w:rPr>
          <m:t>b</m:t>
        </m:r>
      </m:oMath>
      <w:r w:rsidRPr="00175144">
        <w:rPr>
          <w:iCs/>
          <w:lang w:val="en-US"/>
        </w:rPr>
        <w:t xml:space="preserve"> </w:t>
      </w:r>
      <w:r w:rsidRPr="00175144">
        <w:rPr>
          <w:lang w:val="en-US"/>
        </w:rPr>
        <w:t xml:space="preserve">of carrier </w:t>
      </w:r>
      <m:oMath>
        <m:r>
          <w:rPr>
            <w:rFonts w:ascii="Cambria Math" w:hAnsi="Cambria Math"/>
            <w:lang w:val="en-US"/>
          </w:rPr>
          <m:t>f</m:t>
        </m:r>
      </m:oMath>
      <w:r w:rsidRPr="00175144">
        <w:rPr>
          <w:iCs/>
          <w:lang w:val="en-US"/>
        </w:rPr>
        <w:t xml:space="preserve"> </w:t>
      </w:r>
      <w:r w:rsidRPr="00175144">
        <w:t xml:space="preserve">of serving cell </w:t>
      </w:r>
      <m:oMath>
        <m:r>
          <w:rPr>
            <w:rFonts w:ascii="Cambria Math" w:hAnsi="Cambria Math"/>
          </w:rPr>
          <m:t>c</m:t>
        </m:r>
      </m:oMath>
      <w:r w:rsidRPr="00175144">
        <w:t xml:space="preserve"> </w:t>
      </w:r>
      <w:r w:rsidRPr="00175144">
        <w:rPr>
          <w:lang w:eastAsia="zh-CN"/>
        </w:rPr>
        <w:t>equally across the configured antenna ports on each symbol for SRS transmission</w:t>
      </w:r>
      <w:r w:rsidRPr="00175144">
        <w:rPr>
          <w:lang w:eastAsia="ko-KR"/>
        </w:rPr>
        <w:t>.</w:t>
      </w:r>
    </w:p>
    <w:p w14:paraId="3E092DF5" w14:textId="1FD328DE" w:rsidR="00FA0D3E" w:rsidRPr="00F415B1" w:rsidRDefault="00175144" w:rsidP="00175144">
      <w:pPr>
        <w:pStyle w:val="B1"/>
      </w:pPr>
      <w:r w:rsidRPr="00175144">
        <w:t>-</w:t>
      </w:r>
      <w:r w:rsidRPr="00175144">
        <w:tab/>
      </w:r>
      <w:r w:rsidRPr="00175144">
        <w:rPr>
          <w:lang w:val="en-US" w:eastAsia="ko-KR"/>
        </w:rPr>
        <w:t xml:space="preserve">else, </w:t>
      </w:r>
      <w:r w:rsidR="00FA0D3E" w:rsidRPr="00F415B1">
        <w:rPr>
          <w:lang w:eastAsia="zh-CN"/>
        </w:rPr>
        <w:t xml:space="preserve">a UE splits a linear value </w:t>
      </w:r>
      <m:oMath>
        <m:sSub>
          <m:sSubPr>
            <m:ctrlPr>
              <w:rPr>
                <w:rFonts w:ascii="Cambria Math" w:hAnsi="Cambria Math"/>
                <w:iCs/>
              </w:rPr>
            </m:ctrlPr>
          </m:sSubPr>
          <m:e>
            <m:acc>
              <m:accPr>
                <m:ctrlPr>
                  <w:rPr>
                    <w:rFonts w:ascii="Cambria Math" w:hAnsi="Cambria Math"/>
                    <w:i/>
                  </w:rPr>
                </m:ctrlPr>
              </m:accPr>
              <m:e>
                <m:r>
                  <w:rPr>
                    <w:rFonts w:ascii="Cambria Math" w:hAnsi="Cambria Math"/>
                  </w:rPr>
                  <m:t>P</m:t>
                </m:r>
              </m:e>
            </m:acc>
          </m:e>
          <m:sub>
            <m:r>
              <m:rPr>
                <m:nor/>
              </m:rPr>
              <w:rPr>
                <w:rFonts w:ascii="Cambria Math"/>
                <w:iCs/>
              </w:rPr>
              <m:t>SRS</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r>
          <w:rPr>
            <w:rFonts w:ascii="Cambria Math"/>
          </w:rPr>
          <m:t>i</m:t>
        </m:r>
        <m:r>
          <m:rPr>
            <m:sty m:val="p"/>
          </m:rPr>
          <w:rPr>
            <w:rFonts w:ascii="Cambria Math"/>
          </w:rPr>
          <m:t>,</m:t>
        </m:r>
        <m:sSub>
          <m:sSubPr>
            <m:ctrlPr>
              <w:rPr>
                <w:rFonts w:ascii="Cambria Math" w:hAnsi="Cambria Math"/>
                <w:iCs/>
              </w:rPr>
            </m:ctrlPr>
          </m:sSubPr>
          <m:e>
            <m:r>
              <w:rPr>
                <w:rFonts w:ascii="Cambria Math"/>
              </w:rPr>
              <m:t>q</m:t>
            </m:r>
          </m:e>
          <m:sub>
            <m:r>
              <w:rPr>
                <w:rFonts w:ascii="Cambria Math"/>
              </w:rPr>
              <m:t>s</m:t>
            </m:r>
          </m:sub>
        </m:sSub>
        <m:r>
          <m:rPr>
            <m:sty m:val="p"/>
          </m:rPr>
          <w:rPr>
            <w:rFonts w:ascii="Cambria Math"/>
          </w:rPr>
          <m:t>,</m:t>
        </m:r>
        <m:r>
          <w:rPr>
            <w:rFonts w:ascii="Cambria Math"/>
          </w:rPr>
          <m:t>l</m:t>
        </m:r>
        <m:r>
          <m:rPr>
            <m:sty m:val="p"/>
          </m:rPr>
          <w:rPr>
            <w:rFonts w:ascii="Cambria Math"/>
          </w:rPr>
          <m:t>)</m:t>
        </m:r>
      </m:oMath>
      <w:r w:rsidR="00FA0D3E" w:rsidRPr="00F415B1">
        <w:t xml:space="preserve"> </w:t>
      </w:r>
      <w:r w:rsidR="00FA0D3E" w:rsidRPr="00F415B1">
        <w:rPr>
          <w:lang w:eastAsia="zh-CN"/>
        </w:rPr>
        <w:t>of the transmit power</w:t>
      </w:r>
      <w:r w:rsidR="00FA0D3E" w:rsidRPr="00F415B1">
        <w:t xml:space="preserve"> </w:t>
      </w:r>
      <m:oMath>
        <m:sSub>
          <m:sSubPr>
            <m:ctrlPr>
              <w:rPr>
                <w:rFonts w:ascii="Cambria Math" w:hAnsi="Cambria Math"/>
                <w:iCs/>
              </w:rPr>
            </m:ctrlPr>
          </m:sSubPr>
          <m:e>
            <m:r>
              <w:rPr>
                <w:rFonts w:ascii="Cambria Math" w:hAnsi="Cambria Math"/>
              </w:rPr>
              <m:t>P</m:t>
            </m:r>
          </m:e>
          <m:sub>
            <m:r>
              <m:rPr>
                <m:nor/>
              </m:rPr>
              <w:rPr>
                <w:rFonts w:ascii="Cambria Math"/>
                <w:iCs/>
              </w:rPr>
              <m:t>SRS</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r>
          <w:rPr>
            <w:rFonts w:ascii="Cambria Math"/>
          </w:rPr>
          <m:t>i</m:t>
        </m:r>
        <m:r>
          <m:rPr>
            <m:sty m:val="p"/>
          </m:rPr>
          <w:rPr>
            <w:rFonts w:ascii="Cambria Math"/>
          </w:rPr>
          <m:t>,</m:t>
        </m:r>
        <m:sSub>
          <m:sSubPr>
            <m:ctrlPr>
              <w:rPr>
                <w:rFonts w:ascii="Cambria Math" w:hAnsi="Cambria Math"/>
                <w:iCs/>
              </w:rPr>
            </m:ctrlPr>
          </m:sSubPr>
          <m:e>
            <m:r>
              <w:rPr>
                <w:rFonts w:ascii="Cambria Math"/>
              </w:rPr>
              <m:t>q</m:t>
            </m:r>
          </m:e>
          <m:sub>
            <m:r>
              <w:rPr>
                <w:rFonts w:ascii="Cambria Math"/>
              </w:rPr>
              <m:t>s</m:t>
            </m:r>
          </m:sub>
        </m:sSub>
        <m:r>
          <m:rPr>
            <m:sty m:val="p"/>
          </m:rPr>
          <w:rPr>
            <w:rFonts w:ascii="Cambria Math"/>
          </w:rPr>
          <m:t>,</m:t>
        </m:r>
        <m:r>
          <w:rPr>
            <w:rFonts w:ascii="Cambria Math"/>
          </w:rPr>
          <m:t>l</m:t>
        </m:r>
        <m:r>
          <m:rPr>
            <m:sty m:val="p"/>
          </m:rPr>
          <w:rPr>
            <w:rFonts w:ascii="Cambria Math"/>
          </w:rPr>
          <m:t>)</m:t>
        </m:r>
      </m:oMath>
      <w:r w:rsidR="00FA0D3E" w:rsidRPr="00F415B1">
        <w:rPr>
          <w:iCs/>
        </w:rPr>
        <w:t xml:space="preserve"> </w:t>
      </w:r>
      <w:r w:rsidR="00FA0D3E" w:rsidRPr="00F415B1">
        <w:rPr>
          <w:lang w:eastAsia="zh-CN"/>
        </w:rPr>
        <w:t xml:space="preserve">on active </w:t>
      </w:r>
      <w:r w:rsidR="00FA0D3E" w:rsidRPr="00F415B1">
        <w:rPr>
          <w:lang w:val="en-US"/>
        </w:rPr>
        <w:t xml:space="preserve">UL BWP </w:t>
      </w:r>
      <m:oMath>
        <m:r>
          <w:rPr>
            <w:rFonts w:ascii="Cambria Math" w:hAnsi="Cambria Math"/>
          </w:rPr>
          <m:t>b</m:t>
        </m:r>
      </m:oMath>
      <w:r w:rsidR="00FA0D3E" w:rsidRPr="00F415B1">
        <w:rPr>
          <w:iCs/>
          <w:lang w:val="en-US"/>
        </w:rPr>
        <w:t xml:space="preserve"> </w:t>
      </w:r>
      <w:r w:rsidR="00FA0D3E" w:rsidRPr="00F415B1">
        <w:rPr>
          <w:lang w:val="en-US"/>
        </w:rPr>
        <w:t xml:space="preserve">of carrier </w:t>
      </w:r>
      <m:oMath>
        <m:r>
          <w:rPr>
            <w:rFonts w:ascii="Cambria Math" w:hAnsi="Cambria Math"/>
            <w:lang w:val="en-US"/>
          </w:rPr>
          <m:t>f</m:t>
        </m:r>
      </m:oMath>
      <w:r w:rsidR="00FA0D3E" w:rsidRPr="00F415B1">
        <w:rPr>
          <w:iCs/>
          <w:lang w:val="en-US"/>
        </w:rPr>
        <w:t xml:space="preserve"> </w:t>
      </w:r>
      <w:r w:rsidR="00FA0D3E" w:rsidRPr="00F415B1">
        <w:t xml:space="preserve">of serving cell </w:t>
      </w:r>
      <m:oMath>
        <m:r>
          <w:rPr>
            <w:rFonts w:ascii="Cambria Math" w:hAnsi="Cambria Math"/>
          </w:rPr>
          <m:t>c</m:t>
        </m:r>
      </m:oMath>
      <w:r w:rsidR="00FA0D3E" w:rsidRPr="00F415B1">
        <w:t xml:space="preserve"> </w:t>
      </w:r>
      <w:r w:rsidR="00FA0D3E" w:rsidRPr="00F415B1">
        <w:rPr>
          <w:lang w:eastAsia="zh-CN"/>
        </w:rPr>
        <w:t>equally across the configured antenna ports for SRS</w:t>
      </w:r>
      <w:r w:rsidR="00FA0D3E" w:rsidRPr="00F415B1">
        <w:t xml:space="preserve">. </w:t>
      </w:r>
    </w:p>
    <w:p w14:paraId="7C763190" w14:textId="77777777" w:rsidR="007404E3" w:rsidRPr="00B916EC" w:rsidRDefault="007404E3" w:rsidP="007404E3">
      <w:pPr>
        <w:pStyle w:val="Heading3"/>
      </w:pPr>
      <w:bookmarkStart w:id="204" w:name="_Ref500079796"/>
      <w:bookmarkStart w:id="205" w:name="_Toc12021450"/>
      <w:bookmarkStart w:id="206" w:name="_Toc20311562"/>
      <w:bookmarkStart w:id="207" w:name="_Toc26719387"/>
      <w:bookmarkStart w:id="208" w:name="_Toc29894818"/>
      <w:bookmarkStart w:id="209" w:name="_Toc29899117"/>
      <w:bookmarkStart w:id="210" w:name="_Toc29899535"/>
      <w:bookmarkStart w:id="211" w:name="_Toc29917272"/>
      <w:bookmarkStart w:id="212" w:name="_Toc36498146"/>
      <w:bookmarkStart w:id="213" w:name="_Toc45699172"/>
      <w:bookmarkStart w:id="214" w:name="_Toc161999097"/>
      <w:r w:rsidRPr="00B916EC">
        <w:t>7.3.1</w:t>
      </w:r>
      <w:r w:rsidRPr="00B916EC">
        <w:tab/>
        <w:t>UE behaviour</w:t>
      </w:r>
      <w:bookmarkEnd w:id="204"/>
      <w:bookmarkEnd w:id="205"/>
      <w:bookmarkEnd w:id="206"/>
      <w:bookmarkEnd w:id="207"/>
      <w:bookmarkEnd w:id="208"/>
      <w:bookmarkEnd w:id="209"/>
      <w:bookmarkEnd w:id="210"/>
      <w:bookmarkEnd w:id="211"/>
      <w:bookmarkEnd w:id="212"/>
      <w:bookmarkEnd w:id="213"/>
      <w:bookmarkEnd w:id="214"/>
    </w:p>
    <w:p w14:paraId="341D49B3" w14:textId="77777777" w:rsidR="00015FCE" w:rsidRPr="00F415B1" w:rsidRDefault="00015FCE" w:rsidP="00015FCE">
      <w:r w:rsidRPr="00F415B1">
        <w:t xml:space="preserve">If a UE transmits SRS based on a configuration by </w:t>
      </w:r>
      <w:r w:rsidRPr="00F415B1">
        <w:rPr>
          <w:i/>
          <w:lang w:eastAsia="zh-CN"/>
        </w:rPr>
        <w:t>SRS-ResourceSet</w:t>
      </w:r>
      <w:r w:rsidRPr="00F415B1">
        <w:rPr>
          <w:i/>
        </w:rPr>
        <w:t xml:space="preserve"> </w:t>
      </w:r>
      <w:r w:rsidRPr="00F415B1">
        <w:t xml:space="preserve">on active </w:t>
      </w:r>
      <w:r w:rsidRPr="00F415B1">
        <w:rPr>
          <w:lang w:val="en-US"/>
        </w:rPr>
        <w:t xml:space="preserve">UL BWP </w:t>
      </w:r>
      <m:oMath>
        <m:r>
          <w:rPr>
            <w:rFonts w:ascii="Cambria Math" w:hAnsi="Cambria Math"/>
          </w:rPr>
          <m:t>b</m:t>
        </m:r>
      </m:oMath>
      <w:r w:rsidRPr="00F415B1">
        <w:rPr>
          <w:iCs/>
          <w:lang w:val="en-US"/>
        </w:rPr>
        <w:t xml:space="preserve"> </w:t>
      </w:r>
      <w:r w:rsidRPr="00F415B1">
        <w:rPr>
          <w:lang w:val="en-US"/>
        </w:rPr>
        <w:t xml:space="preserve">of </w:t>
      </w:r>
      <w:r w:rsidRPr="00F415B1">
        <w:t xml:space="preserve">carrier </w:t>
      </w:r>
      <m:oMath>
        <m:r>
          <w:rPr>
            <w:rFonts w:ascii="Cambria Math" w:hAnsi="Cambria Math"/>
          </w:rPr>
          <m:t>f</m:t>
        </m:r>
      </m:oMath>
      <w:r w:rsidRPr="00F415B1">
        <w:rPr>
          <w:iCs/>
        </w:rPr>
        <w:t xml:space="preserve"> of</w:t>
      </w:r>
      <w:r w:rsidRPr="00F415B1">
        <w:t xml:space="preserve"> serving cell </w:t>
      </w:r>
      <m:oMath>
        <m:r>
          <w:rPr>
            <w:rFonts w:ascii="Cambria Math" w:hAnsi="Cambria Math"/>
          </w:rPr>
          <m:t>c</m:t>
        </m:r>
      </m:oMath>
      <w:r w:rsidRPr="00F415B1">
        <w:rPr>
          <w:iCs/>
        </w:rPr>
        <w:t xml:space="preserve"> using </w:t>
      </w:r>
      <w:r w:rsidRPr="00F415B1">
        <w:t xml:space="preserve">SRS power control adjustment state with index </w:t>
      </w:r>
      <m:oMath>
        <m:r>
          <w:rPr>
            <w:rFonts w:ascii="Cambria Math" w:hAnsi="Cambria Math"/>
          </w:rPr>
          <m:t>l</m:t>
        </m:r>
      </m:oMath>
      <w:r w:rsidRPr="00F415B1">
        <w:t xml:space="preserve">, the UE determines the SRS transmission power </w:t>
      </w:r>
      <m:oMath>
        <m:sSub>
          <m:sSubPr>
            <m:ctrlPr>
              <w:rPr>
                <w:rFonts w:ascii="Cambria Math" w:hAnsi="Cambria Math"/>
                <w:iCs/>
              </w:rPr>
            </m:ctrlPr>
          </m:sSubPr>
          <m:e>
            <m:r>
              <w:rPr>
                <w:rFonts w:ascii="Cambria Math" w:hAnsi="Cambria Math"/>
              </w:rPr>
              <m:t>P</m:t>
            </m:r>
          </m:e>
          <m:sub>
            <m:r>
              <m:rPr>
                <m:nor/>
              </m:rPr>
              <w:rPr>
                <w:rFonts w:ascii="Cambria Math"/>
                <w:iCs/>
              </w:rPr>
              <m:t>SRS</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r>
          <w:rPr>
            <w:rFonts w:ascii="Cambria Math"/>
          </w:rPr>
          <m:t>i</m:t>
        </m:r>
        <m:r>
          <m:rPr>
            <m:sty m:val="p"/>
          </m:rPr>
          <w:rPr>
            <w:rFonts w:ascii="Cambria Math"/>
          </w:rPr>
          <m:t>,</m:t>
        </m:r>
        <m:sSub>
          <m:sSubPr>
            <m:ctrlPr>
              <w:rPr>
                <w:rFonts w:ascii="Cambria Math" w:hAnsi="Cambria Math"/>
                <w:iCs/>
              </w:rPr>
            </m:ctrlPr>
          </m:sSubPr>
          <m:e>
            <m:r>
              <w:rPr>
                <w:rFonts w:ascii="Cambria Math"/>
              </w:rPr>
              <m:t>q</m:t>
            </m:r>
          </m:e>
          <m:sub>
            <m:r>
              <w:rPr>
                <w:rFonts w:ascii="Cambria Math"/>
              </w:rPr>
              <m:t>s</m:t>
            </m:r>
          </m:sub>
        </m:sSub>
        <m:r>
          <m:rPr>
            <m:sty m:val="p"/>
          </m:rPr>
          <w:rPr>
            <w:rFonts w:ascii="Cambria Math"/>
          </w:rPr>
          <m:t>,</m:t>
        </m:r>
        <m:r>
          <w:rPr>
            <w:rFonts w:ascii="Cambria Math"/>
          </w:rPr>
          <m:t>l</m:t>
        </m:r>
        <m:r>
          <m:rPr>
            <m:sty m:val="p"/>
          </m:rPr>
          <w:rPr>
            <w:rFonts w:ascii="Cambria Math"/>
          </w:rPr>
          <m:t>)</m:t>
        </m:r>
      </m:oMath>
      <w:r w:rsidRPr="00F415B1">
        <w:t xml:space="preserve"> in SRS transmission occasion </w:t>
      </w:r>
      <m:oMath>
        <m:r>
          <w:rPr>
            <w:rFonts w:ascii="Cambria Math" w:hAnsi="Cambria Math"/>
            <w:lang w:val="en-US"/>
          </w:rPr>
          <m:t>i</m:t>
        </m:r>
      </m:oMath>
      <w:r w:rsidRPr="00F415B1">
        <w:rPr>
          <w:iCs/>
        </w:rPr>
        <w:t xml:space="preserve"> </w:t>
      </w:r>
      <w:r w:rsidRPr="00F415B1">
        <w:t xml:space="preserve">as </w:t>
      </w:r>
    </w:p>
    <w:p w14:paraId="2290977A" w14:textId="39C1EDC4" w:rsidR="00F53D0B" w:rsidRPr="00B916EC" w:rsidRDefault="00ED3701" w:rsidP="00F53D0B">
      <w:pPr>
        <w:pStyle w:val="EQ"/>
        <w:jc w:val="center"/>
      </w:pPr>
      <w:r>
        <w:rPr>
          <w:position w:val="-32"/>
        </w:rPr>
        <w:drawing>
          <wp:inline distT="0" distB="0" distL="0" distR="0" wp14:anchorId="240AA38A" wp14:editId="0A495155">
            <wp:extent cx="5295900" cy="466725"/>
            <wp:effectExtent l="0" t="0" r="0" b="0"/>
            <wp:docPr id="20"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5900" cy="466725"/>
                    </a:xfrm>
                    <a:prstGeom prst="rect">
                      <a:avLst/>
                    </a:prstGeom>
                    <a:noFill/>
                    <a:ln>
                      <a:noFill/>
                    </a:ln>
                  </pic:spPr>
                </pic:pic>
              </a:graphicData>
            </a:graphic>
          </wp:inline>
        </w:drawing>
      </w:r>
      <w:r w:rsidR="00F53D0B" w:rsidRPr="00B916EC">
        <w:t xml:space="preserve"> [dBm]</w:t>
      </w:r>
    </w:p>
    <w:p w14:paraId="200FF60B" w14:textId="77777777" w:rsidR="0052175C" w:rsidRPr="00B916EC" w:rsidRDefault="0052175C" w:rsidP="0052175C">
      <w:r w:rsidRPr="00B916EC">
        <w:t>where,</w:t>
      </w:r>
    </w:p>
    <w:p w14:paraId="17ECE485" w14:textId="3CDA0223" w:rsidR="00015FCE" w:rsidRPr="00F415B1" w:rsidRDefault="00015FCE" w:rsidP="00015FCE">
      <w:pPr>
        <w:pStyle w:val="B1"/>
      </w:pPr>
      <w:r w:rsidRPr="00F415B1">
        <w:t>-</w:t>
      </w:r>
      <w:r w:rsidRPr="00F415B1">
        <w:tab/>
      </w:r>
      <m:oMath>
        <m:sSub>
          <m:sSubPr>
            <m:ctrlPr>
              <w:rPr>
                <w:rFonts w:ascii="Cambria Math" w:hAnsi="Cambria Math"/>
                <w:iCs/>
              </w:rPr>
            </m:ctrlPr>
          </m:sSubPr>
          <m:e>
            <m:r>
              <w:rPr>
                <w:rFonts w:ascii="Cambria Math" w:hAnsi="Cambria Math"/>
              </w:rPr>
              <m:t>P</m:t>
            </m:r>
          </m:e>
          <m:sub>
            <m:r>
              <m:rPr>
                <m:nor/>
              </m:rPr>
              <w:rPr>
                <w:rFonts w:ascii="Cambria Math"/>
                <w:iCs/>
                <w:lang w:val="en-US"/>
              </w:rPr>
              <m:t>CMAX</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r>
          <w:rPr>
            <w:rFonts w:ascii="Cambria Math" w:hAnsi="Cambria Math"/>
          </w:rPr>
          <m:t>i</m:t>
        </m:r>
        <m:r>
          <m:rPr>
            <m:sty m:val="p"/>
          </m:rPr>
          <w:rPr>
            <w:rFonts w:ascii="Cambria Math"/>
          </w:rPr>
          <m:t>)</m:t>
        </m:r>
      </m:oMath>
      <w:r w:rsidRPr="00F415B1">
        <w:rPr>
          <w:lang w:val="en-US"/>
        </w:rPr>
        <w:t xml:space="preserve"> </w:t>
      </w:r>
      <w:r w:rsidRPr="00F415B1">
        <w:t xml:space="preserve">is the </w:t>
      </w:r>
      <w:r w:rsidRPr="00F415B1">
        <w:rPr>
          <w:lang w:val="en-US"/>
        </w:rPr>
        <w:t xml:space="preserve">UE </w:t>
      </w:r>
      <w:r w:rsidRPr="00F415B1">
        <w:t xml:space="preserve">configured </w:t>
      </w:r>
      <w:r w:rsidRPr="00F415B1">
        <w:rPr>
          <w:lang w:val="en-US"/>
        </w:rPr>
        <w:t>maximum output</w:t>
      </w:r>
      <w:r w:rsidRPr="00F415B1">
        <w:t xml:space="preserve"> power defined in [</w:t>
      </w:r>
      <w:r w:rsidRPr="00F415B1">
        <w:rPr>
          <w:lang w:val="en-US"/>
        </w:rPr>
        <w:t>8</w:t>
      </w:r>
      <w:r w:rsidRPr="00F415B1">
        <w:t>, TS 38.1</w:t>
      </w:r>
      <w:r w:rsidRPr="00F415B1">
        <w:rPr>
          <w:lang w:val="en-US"/>
        </w:rPr>
        <w:t>01-1</w:t>
      </w:r>
      <w:r w:rsidRPr="00F415B1">
        <w:t>]</w:t>
      </w:r>
      <w:r w:rsidRPr="00F415B1">
        <w:rPr>
          <w:lang w:val="en-US"/>
        </w:rPr>
        <w:t xml:space="preserve">, [8-2, </w:t>
      </w:r>
      <w:r w:rsidR="00295E42">
        <w:rPr>
          <w:lang w:val="en-US"/>
        </w:rPr>
        <w:t>TS 38.</w:t>
      </w:r>
      <w:r w:rsidRPr="00F415B1">
        <w:rPr>
          <w:lang w:val="en-US"/>
        </w:rPr>
        <w:t>101-2] and [TS 38.101-3] for</w:t>
      </w:r>
      <w:r w:rsidRPr="00F415B1">
        <w:t xml:space="preserve"> carrier </w:t>
      </w:r>
      <m:oMath>
        <m:r>
          <w:rPr>
            <w:rFonts w:ascii="Cambria Math" w:hAnsi="Cambria Math"/>
          </w:rPr>
          <m:t>f</m:t>
        </m:r>
      </m:oMath>
      <w:r w:rsidRPr="00F415B1">
        <w:rPr>
          <w:iCs/>
        </w:rPr>
        <w:t xml:space="preserve"> of</w:t>
      </w:r>
      <w:r w:rsidRPr="00F415B1">
        <w:t xml:space="preserve"> serving cell </w:t>
      </w:r>
      <m:oMath>
        <m:r>
          <w:rPr>
            <w:rFonts w:ascii="Cambria Math" w:hAnsi="Cambria Math"/>
          </w:rPr>
          <m:t>c</m:t>
        </m:r>
      </m:oMath>
      <w:r w:rsidRPr="00F415B1">
        <w:rPr>
          <w:lang w:val="en-US"/>
        </w:rPr>
        <w:t xml:space="preserve"> </w:t>
      </w:r>
      <w:r w:rsidRPr="00F415B1">
        <w:t xml:space="preserve">in </w:t>
      </w:r>
      <w:r w:rsidRPr="00F415B1">
        <w:rPr>
          <w:lang w:val="en-US"/>
        </w:rPr>
        <w:t>SRS transmission occasion</w:t>
      </w:r>
      <w:r w:rsidRPr="00F415B1">
        <w:t xml:space="preserve"> </w:t>
      </w:r>
      <m:oMath>
        <m:r>
          <w:rPr>
            <w:rFonts w:ascii="Cambria Math" w:hAnsi="Cambria Math"/>
            <w:lang w:val="en-US"/>
          </w:rPr>
          <m:t>i</m:t>
        </m:r>
      </m:oMath>
    </w:p>
    <w:p w14:paraId="76078CCB" w14:textId="77777777" w:rsidR="00015FCE" w:rsidRPr="00F415B1" w:rsidRDefault="00015FCE" w:rsidP="00015FCE">
      <w:pPr>
        <w:pStyle w:val="B1"/>
        <w:ind w:left="630" w:hanging="346"/>
        <w:rPr>
          <w:lang w:val="en-US"/>
        </w:rPr>
      </w:pPr>
      <w:r w:rsidRPr="00F415B1">
        <w:t>-</w:t>
      </w:r>
      <w:r w:rsidRPr="00F415B1">
        <w:tab/>
      </w:r>
      <m:oMath>
        <m:sSub>
          <m:sSubPr>
            <m:ctrlPr>
              <w:rPr>
                <w:rFonts w:ascii="Cambria Math" w:hAnsi="Cambria Math"/>
                <w:iCs/>
              </w:rPr>
            </m:ctrlPr>
          </m:sSubPr>
          <m:e>
            <m:r>
              <w:rPr>
                <w:rFonts w:ascii="Cambria Math" w:hAnsi="Cambria Math"/>
              </w:rPr>
              <m:t>P</m:t>
            </m:r>
          </m:e>
          <m:sub>
            <m:r>
              <m:rPr>
                <m:nor/>
              </m:rPr>
              <w:rPr>
                <w:rFonts w:ascii="Cambria Math"/>
                <w:iCs/>
                <w:lang w:val="en-US"/>
              </w:rPr>
              <m:t>O_</m:t>
            </m:r>
            <m:r>
              <m:rPr>
                <m:nor/>
              </m:rPr>
              <w:rPr>
                <w:rFonts w:ascii="Cambria Math"/>
                <w:iCs/>
              </w:rPr>
              <m:t>SRS</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sSub>
          <m:sSubPr>
            <m:ctrlPr>
              <w:rPr>
                <w:rFonts w:ascii="Cambria Math" w:hAnsi="Cambria Math"/>
                <w:iCs/>
              </w:rPr>
            </m:ctrlPr>
          </m:sSubPr>
          <m:e>
            <m:r>
              <w:rPr>
                <w:rFonts w:ascii="Cambria Math"/>
              </w:rPr>
              <m:t>q</m:t>
            </m:r>
          </m:e>
          <m:sub>
            <m:r>
              <w:rPr>
                <w:rFonts w:ascii="Cambria Math"/>
              </w:rPr>
              <m:t>s</m:t>
            </m:r>
          </m:sub>
        </m:sSub>
        <m:r>
          <m:rPr>
            <m:sty m:val="p"/>
          </m:rPr>
          <w:rPr>
            <w:rFonts w:ascii="Cambria Math"/>
          </w:rPr>
          <m:t>)</m:t>
        </m:r>
      </m:oMath>
      <w:r w:rsidRPr="00F415B1">
        <w:rPr>
          <w:lang w:val="en-US"/>
        </w:rPr>
        <w:t xml:space="preserve"> </w:t>
      </w:r>
      <w:r w:rsidRPr="00F415B1">
        <w:t xml:space="preserve">is provided by </w:t>
      </w:r>
      <w:r w:rsidRPr="00F415B1">
        <w:rPr>
          <w:rFonts w:eastAsia="MS Mincho"/>
          <w:i/>
          <w:lang w:val="en-US"/>
        </w:rPr>
        <w:t>p0</w:t>
      </w:r>
      <w:r w:rsidRPr="00F415B1">
        <w:rPr>
          <w:rFonts w:eastAsia="MS Mincho"/>
          <w:lang w:val="en-US"/>
        </w:rPr>
        <w:t xml:space="preserve"> </w:t>
      </w:r>
      <w:r w:rsidRPr="00F415B1">
        <w:rPr>
          <w:lang w:val="en-US"/>
        </w:rPr>
        <w:t xml:space="preserve">for active UL BWP </w:t>
      </w:r>
      <m:oMath>
        <m:r>
          <w:rPr>
            <w:rFonts w:ascii="Cambria Math" w:hAnsi="Cambria Math"/>
          </w:rPr>
          <m:t>b</m:t>
        </m:r>
      </m:oMath>
      <w:r w:rsidRPr="00F415B1">
        <w:rPr>
          <w:iCs/>
          <w:lang w:val="en-US"/>
        </w:rPr>
        <w:t xml:space="preserve"> </w:t>
      </w:r>
      <w:r w:rsidRPr="00F415B1">
        <w:rPr>
          <w:lang w:val="en-US"/>
        </w:rPr>
        <w:t xml:space="preserve">of </w:t>
      </w:r>
      <w:r w:rsidRPr="00F415B1">
        <w:t xml:space="preserve">carrier </w:t>
      </w:r>
      <m:oMath>
        <m:r>
          <w:rPr>
            <w:rFonts w:ascii="Cambria Math" w:hAnsi="Cambria Math"/>
          </w:rPr>
          <m:t>f</m:t>
        </m:r>
      </m:oMath>
      <w:r w:rsidRPr="00F415B1">
        <w:rPr>
          <w:iCs/>
        </w:rPr>
        <w:t xml:space="preserve"> of</w:t>
      </w:r>
      <w:r w:rsidRPr="00F415B1">
        <w:t xml:space="preserve"> serving cell </w:t>
      </w:r>
      <m:oMath>
        <m:r>
          <w:rPr>
            <w:rFonts w:ascii="Cambria Math" w:hAnsi="Cambria Math"/>
          </w:rPr>
          <m:t>c</m:t>
        </m:r>
      </m:oMath>
      <w:r w:rsidRPr="00F415B1">
        <w:rPr>
          <w:iCs/>
          <w:lang w:val="en-US"/>
        </w:rPr>
        <w:t xml:space="preserve"> and </w:t>
      </w:r>
      <w:r w:rsidRPr="00F415B1">
        <w:rPr>
          <w:lang w:val="en-US"/>
        </w:rPr>
        <w:t xml:space="preserve">SRS resource set </w:t>
      </w:r>
      <m:oMath>
        <m:sSub>
          <m:sSubPr>
            <m:ctrlPr>
              <w:rPr>
                <w:rFonts w:ascii="Cambria Math" w:hAnsi="Cambria Math"/>
                <w:i/>
              </w:rPr>
            </m:ctrlPr>
          </m:sSubPr>
          <m:e>
            <m:r>
              <w:rPr>
                <w:rFonts w:ascii="Cambria Math" w:hAnsi="Cambria Math"/>
              </w:rPr>
              <m:t>q</m:t>
            </m:r>
          </m:e>
          <m:sub>
            <m:r>
              <w:rPr>
                <w:rFonts w:ascii="Cambria Math" w:hAnsi="Cambria Math"/>
              </w:rPr>
              <m:t>s</m:t>
            </m:r>
          </m:sub>
        </m:sSub>
      </m:oMath>
      <w:r w:rsidRPr="00F415B1">
        <w:rPr>
          <w:lang w:val="en-US"/>
        </w:rPr>
        <w:t xml:space="preserve"> provided by </w:t>
      </w:r>
      <w:r w:rsidRPr="00F415B1">
        <w:rPr>
          <w:i/>
          <w:lang w:val="en-US"/>
        </w:rPr>
        <w:t>SRS-ResourceSet</w:t>
      </w:r>
      <w:r w:rsidRPr="00F415B1">
        <w:rPr>
          <w:lang w:val="en-US"/>
        </w:rPr>
        <w:t xml:space="preserve"> and </w:t>
      </w:r>
      <w:r w:rsidRPr="00F415B1">
        <w:rPr>
          <w:i/>
          <w:lang w:val="en-US"/>
        </w:rPr>
        <w:t>SRS-ResourceSetId</w:t>
      </w:r>
    </w:p>
    <w:p w14:paraId="1AB136B8" w14:textId="77777777" w:rsidR="00015FCE" w:rsidRPr="00F415B1" w:rsidRDefault="00015FCE" w:rsidP="00015FCE">
      <w:pPr>
        <w:pStyle w:val="B1"/>
      </w:pPr>
      <w:r w:rsidRPr="00F415B1">
        <w:t>-</w:t>
      </w:r>
      <w:r w:rsidRPr="00F415B1">
        <w:tab/>
      </w:r>
      <m:oMath>
        <m:sSub>
          <m:sSubPr>
            <m:ctrlPr>
              <w:rPr>
                <w:rFonts w:ascii="Cambria Math" w:hAnsi="Cambria Math"/>
                <w:iCs/>
              </w:rPr>
            </m:ctrlPr>
          </m:sSubPr>
          <m:e>
            <m:r>
              <w:rPr>
                <w:rFonts w:ascii="Cambria Math" w:hAnsi="Cambria Math"/>
              </w:rPr>
              <m:t>M</m:t>
            </m:r>
          </m:e>
          <m:sub>
            <m:r>
              <m:rPr>
                <m:nor/>
              </m:rPr>
              <w:rPr>
                <w:rFonts w:ascii="Cambria Math"/>
                <w:iCs/>
              </w:rPr>
              <m:t>SRS</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r>
          <w:rPr>
            <w:rFonts w:ascii="Cambria Math" w:hAnsi="Cambria Math"/>
          </w:rPr>
          <m:t>i</m:t>
        </m:r>
        <m:r>
          <m:rPr>
            <m:sty m:val="p"/>
          </m:rPr>
          <w:rPr>
            <w:rFonts w:ascii="Cambria Math"/>
          </w:rPr>
          <m:t>)</m:t>
        </m:r>
      </m:oMath>
      <w:r w:rsidRPr="00F415B1">
        <w:rPr>
          <w:lang w:val="en-US"/>
        </w:rPr>
        <w:t xml:space="preserve"> </w:t>
      </w:r>
      <w:r w:rsidRPr="00F415B1">
        <w:t xml:space="preserve">is </w:t>
      </w:r>
      <w:r w:rsidRPr="00F415B1">
        <w:rPr>
          <w:lang w:val="en-US"/>
        </w:rPr>
        <w:t>a</w:t>
      </w:r>
      <w:r w:rsidRPr="00F415B1">
        <w:t xml:space="preserve"> </w:t>
      </w:r>
      <w:r w:rsidRPr="00F415B1">
        <w:rPr>
          <w:lang w:val="en-US"/>
        </w:rPr>
        <w:t xml:space="preserve">SRS </w:t>
      </w:r>
      <w:r w:rsidRPr="00F415B1">
        <w:t xml:space="preserve">bandwidth expressed in number of resource blocks for </w:t>
      </w:r>
      <w:r w:rsidRPr="00F415B1">
        <w:rPr>
          <w:lang w:val="en-US"/>
        </w:rPr>
        <w:t>SRS transmission occasion</w:t>
      </w:r>
      <w:r w:rsidRPr="00F415B1">
        <w:t xml:space="preserve"> </w:t>
      </w:r>
      <m:oMath>
        <m:r>
          <w:rPr>
            <w:rFonts w:ascii="Cambria Math" w:hAnsi="Cambria Math"/>
            <w:lang w:val="en-US"/>
          </w:rPr>
          <m:t>i</m:t>
        </m:r>
      </m:oMath>
      <w:r w:rsidRPr="00F415B1">
        <w:rPr>
          <w:i/>
        </w:rPr>
        <w:t xml:space="preserve"> </w:t>
      </w:r>
      <w:r w:rsidRPr="00F415B1">
        <w:rPr>
          <w:lang w:val="en-US"/>
        </w:rPr>
        <w:t>on</w:t>
      </w:r>
      <w:r w:rsidRPr="00F415B1">
        <w:t xml:space="preserve"> </w:t>
      </w:r>
      <w:r w:rsidRPr="00F415B1">
        <w:rPr>
          <w:lang w:val="en-US"/>
        </w:rPr>
        <w:t xml:space="preserve">active UL BWP </w:t>
      </w:r>
      <m:oMath>
        <m:r>
          <w:rPr>
            <w:rFonts w:ascii="Cambria Math" w:hAnsi="Cambria Math"/>
          </w:rPr>
          <m:t>b</m:t>
        </m:r>
      </m:oMath>
      <w:r w:rsidRPr="00F415B1">
        <w:rPr>
          <w:iCs/>
          <w:lang w:val="en-US"/>
        </w:rPr>
        <w:t xml:space="preserve"> </w:t>
      </w:r>
      <w:r w:rsidRPr="00F415B1">
        <w:rPr>
          <w:lang w:val="en-US"/>
        </w:rPr>
        <w:t xml:space="preserve">of </w:t>
      </w:r>
      <w:r w:rsidRPr="00F415B1">
        <w:t xml:space="preserve">carrier </w:t>
      </w:r>
      <m:oMath>
        <m:r>
          <w:rPr>
            <w:rFonts w:ascii="Cambria Math" w:hAnsi="Cambria Math"/>
          </w:rPr>
          <m:t>f</m:t>
        </m:r>
      </m:oMath>
      <w:r w:rsidRPr="00F415B1">
        <w:rPr>
          <w:iCs/>
        </w:rPr>
        <w:t xml:space="preserve"> of</w:t>
      </w:r>
      <w:r w:rsidRPr="00F415B1">
        <w:t xml:space="preserve"> serving cell</w:t>
      </w:r>
      <w:r w:rsidRPr="00F415B1">
        <w:rPr>
          <w:i/>
        </w:rPr>
        <w:t xml:space="preserve"> </w:t>
      </w:r>
      <m:oMath>
        <m:r>
          <w:rPr>
            <w:rFonts w:ascii="Cambria Math" w:hAnsi="Cambria Math"/>
          </w:rPr>
          <m:t>c</m:t>
        </m:r>
      </m:oMath>
      <w:r w:rsidRPr="00F415B1">
        <w:rPr>
          <w:lang w:val="en-US"/>
        </w:rPr>
        <w:t xml:space="preserve"> and </w:t>
      </w:r>
      <m:oMath>
        <m:r>
          <w:rPr>
            <w:rFonts w:ascii="Cambria Math"/>
            <w:lang w:eastAsia="x-none"/>
          </w:rPr>
          <m:t>μ</m:t>
        </m:r>
      </m:oMath>
      <w:r w:rsidRPr="00F415B1">
        <w:rPr>
          <w:lang w:val="en-US"/>
        </w:rPr>
        <w:t xml:space="preserve"> is a SCS configuration defined in [4, TS 38.211]</w:t>
      </w:r>
      <w:r w:rsidRPr="00F415B1">
        <w:t xml:space="preserve"> </w:t>
      </w:r>
    </w:p>
    <w:p w14:paraId="1B8CE4C6" w14:textId="77777777" w:rsidR="00015FCE" w:rsidRPr="00F415B1" w:rsidRDefault="00015FCE" w:rsidP="00015FCE">
      <w:pPr>
        <w:pStyle w:val="B1"/>
        <w:rPr>
          <w:lang w:val="en-US"/>
        </w:rPr>
      </w:pPr>
      <w:r w:rsidRPr="00F415B1">
        <w:t>-</w:t>
      </w:r>
      <w:r w:rsidRPr="00F415B1">
        <w:tab/>
      </w:r>
      <m:oMath>
        <m:sSub>
          <m:sSubPr>
            <m:ctrlPr>
              <w:rPr>
                <w:rFonts w:ascii="Cambria Math" w:hAnsi="Cambria Math"/>
                <w:iCs/>
              </w:rPr>
            </m:ctrlPr>
          </m:sSubPr>
          <m:e>
            <m:r>
              <w:rPr>
                <w:rFonts w:ascii="Cambria Math" w:hAnsi="Cambria Math"/>
              </w:rPr>
              <m:t>α</m:t>
            </m:r>
          </m:e>
          <m:sub>
            <m:r>
              <m:rPr>
                <m:nor/>
              </m:rPr>
              <w:rPr>
                <w:rFonts w:ascii="Cambria Math"/>
                <w:iCs/>
              </w:rPr>
              <m:t>SRS</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sSub>
          <m:sSubPr>
            <m:ctrlPr>
              <w:rPr>
                <w:rFonts w:ascii="Cambria Math" w:hAnsi="Cambria Math"/>
                <w:iCs/>
              </w:rPr>
            </m:ctrlPr>
          </m:sSubPr>
          <m:e>
            <m:r>
              <w:rPr>
                <w:rFonts w:ascii="Cambria Math"/>
              </w:rPr>
              <m:t>q</m:t>
            </m:r>
          </m:e>
          <m:sub>
            <m:r>
              <w:rPr>
                <w:rFonts w:ascii="Cambria Math"/>
              </w:rPr>
              <m:t>s</m:t>
            </m:r>
          </m:sub>
        </m:sSub>
        <m:r>
          <m:rPr>
            <m:sty m:val="p"/>
          </m:rPr>
          <w:rPr>
            <w:rFonts w:ascii="Cambria Math"/>
          </w:rPr>
          <m:t>)</m:t>
        </m:r>
      </m:oMath>
      <w:r w:rsidRPr="00F415B1">
        <w:rPr>
          <w:lang w:val="en-US"/>
        </w:rPr>
        <w:t xml:space="preserve"> is provided by </w:t>
      </w:r>
      <w:r w:rsidRPr="00F415B1">
        <w:rPr>
          <w:i/>
          <w:lang w:val="en-US"/>
        </w:rPr>
        <w:t>alpha</w:t>
      </w:r>
      <w:r w:rsidRPr="00F415B1">
        <w:rPr>
          <w:lang w:val="en-US"/>
        </w:rPr>
        <w:t xml:space="preserve"> for active UL BWP </w:t>
      </w:r>
      <m:oMath>
        <m:r>
          <w:rPr>
            <w:rFonts w:ascii="Cambria Math" w:hAnsi="Cambria Math"/>
          </w:rPr>
          <m:t>b</m:t>
        </m:r>
      </m:oMath>
      <w:r w:rsidRPr="00F415B1">
        <w:rPr>
          <w:iCs/>
          <w:lang w:val="en-US"/>
        </w:rPr>
        <w:t xml:space="preserve"> </w:t>
      </w:r>
      <w:r w:rsidRPr="00F415B1">
        <w:rPr>
          <w:lang w:val="en-US"/>
        </w:rPr>
        <w:t xml:space="preserve">of </w:t>
      </w:r>
      <w:r w:rsidRPr="00F415B1">
        <w:t xml:space="preserve">carrier </w:t>
      </w:r>
      <m:oMath>
        <m:r>
          <w:rPr>
            <w:rFonts w:ascii="Cambria Math" w:hAnsi="Cambria Math"/>
          </w:rPr>
          <m:t>f</m:t>
        </m:r>
      </m:oMath>
      <w:r w:rsidRPr="00F415B1">
        <w:rPr>
          <w:iCs/>
        </w:rPr>
        <w:t xml:space="preserve"> of</w:t>
      </w:r>
      <w:r w:rsidRPr="00F415B1">
        <w:t xml:space="preserve"> serving cell </w:t>
      </w:r>
      <m:oMath>
        <m:r>
          <w:rPr>
            <w:rFonts w:ascii="Cambria Math" w:hAnsi="Cambria Math"/>
          </w:rPr>
          <m:t>c</m:t>
        </m:r>
      </m:oMath>
      <w:r w:rsidRPr="00F415B1">
        <w:rPr>
          <w:iCs/>
          <w:lang w:val="en-US"/>
        </w:rPr>
        <w:t xml:space="preserve"> and</w:t>
      </w:r>
      <w:r w:rsidRPr="00F415B1">
        <w:rPr>
          <w:lang w:val="en-US"/>
        </w:rPr>
        <w:t xml:space="preserve"> SRS resource set </w:t>
      </w:r>
      <m:oMath>
        <m:sSub>
          <m:sSubPr>
            <m:ctrlPr>
              <w:rPr>
                <w:rFonts w:ascii="Cambria Math" w:hAnsi="Cambria Math"/>
                <w:i/>
              </w:rPr>
            </m:ctrlPr>
          </m:sSubPr>
          <m:e>
            <m:r>
              <w:rPr>
                <w:rFonts w:ascii="Cambria Math" w:hAnsi="Cambria Math"/>
              </w:rPr>
              <m:t>q</m:t>
            </m:r>
          </m:e>
          <m:sub>
            <m:r>
              <w:rPr>
                <w:rFonts w:ascii="Cambria Math" w:hAnsi="Cambria Math"/>
              </w:rPr>
              <m:t>s</m:t>
            </m:r>
          </m:sub>
        </m:sSub>
      </m:oMath>
    </w:p>
    <w:p w14:paraId="07312EB0" w14:textId="77777777" w:rsidR="00015FCE" w:rsidRPr="00F415B1" w:rsidRDefault="00015FCE" w:rsidP="00015FCE">
      <w:pPr>
        <w:pStyle w:val="B1"/>
        <w:rPr>
          <w:rFonts w:eastAsia="MS Mincho"/>
          <w:lang w:val="en-US"/>
        </w:rPr>
      </w:pPr>
      <w:r w:rsidRPr="00F415B1">
        <w:t>-</w:t>
      </w:r>
      <w:r w:rsidRPr="00F415B1">
        <w:tab/>
      </w:r>
      <m:oMath>
        <m:sSub>
          <m:sSubPr>
            <m:ctrlPr>
              <w:rPr>
                <w:rFonts w:ascii="Cambria Math" w:hAnsi="Cambria Math"/>
                <w:iCs/>
              </w:rPr>
            </m:ctrlPr>
          </m:sSubPr>
          <m:e>
            <m:r>
              <w:rPr>
                <w:rFonts w:ascii="Cambria Math" w:hAnsi="Cambria Math"/>
              </w:rPr>
              <m:t>PL</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sSub>
          <m:sSubPr>
            <m:ctrlPr>
              <w:rPr>
                <w:rFonts w:ascii="Cambria Math" w:hAnsi="Cambria Math"/>
                <w:iCs/>
              </w:rPr>
            </m:ctrlPr>
          </m:sSubPr>
          <m:e>
            <m:r>
              <w:rPr>
                <w:rFonts w:ascii="Cambria Math"/>
              </w:rPr>
              <m:t>q</m:t>
            </m:r>
          </m:e>
          <m:sub>
            <m:r>
              <w:rPr>
                <w:rFonts w:ascii="Cambria Math"/>
              </w:rPr>
              <m:t>d</m:t>
            </m:r>
          </m:sub>
        </m:sSub>
        <m:r>
          <m:rPr>
            <m:sty m:val="p"/>
          </m:rPr>
          <w:rPr>
            <w:rFonts w:ascii="Cambria Math"/>
          </w:rPr>
          <m:t>)</m:t>
        </m:r>
      </m:oMath>
      <w:r w:rsidRPr="00F415B1">
        <w:rPr>
          <w:lang w:val="en-US"/>
        </w:rPr>
        <w:t xml:space="preserve"> </w:t>
      </w:r>
      <w:r w:rsidRPr="00F415B1">
        <w:t xml:space="preserve">is </w:t>
      </w:r>
      <w:r w:rsidRPr="00F415B1">
        <w:rPr>
          <w:lang w:val="en-US"/>
        </w:rPr>
        <w:t>a</w:t>
      </w:r>
      <w:r w:rsidRPr="00F415B1">
        <w:t xml:space="preserve"> downlink pathloss estimate </w:t>
      </w:r>
      <w:r w:rsidRPr="00F415B1">
        <w:rPr>
          <w:rFonts w:eastAsia="MS Mincho"/>
        </w:rPr>
        <w:t xml:space="preserve">in dB </w:t>
      </w:r>
      <w:r w:rsidRPr="00F415B1">
        <w:t xml:space="preserve">calculated </w:t>
      </w:r>
      <w:r w:rsidRPr="00F415B1">
        <w:rPr>
          <w:lang w:val="en-US"/>
        </w:rPr>
        <w:t>by</w:t>
      </w:r>
      <w:r w:rsidRPr="00F415B1">
        <w:t xml:space="preserve"> the UE </w:t>
      </w:r>
      <w:r w:rsidRPr="00F415B1">
        <w:rPr>
          <w:lang w:val="en-US"/>
        </w:rPr>
        <w:t xml:space="preserve">using RS resource index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Pr="00F415B1">
        <w:rPr>
          <w:iCs/>
          <w:lang w:val="en-US"/>
        </w:rPr>
        <w:t xml:space="preserve"> </w:t>
      </w:r>
      <w:r w:rsidRPr="00F415B1">
        <w:rPr>
          <w:lang w:val="en-US"/>
        </w:rPr>
        <w:t xml:space="preserve">as described in clause 7.1.1 </w:t>
      </w:r>
      <w:r w:rsidRPr="00F415B1">
        <w:t xml:space="preserve">for </w:t>
      </w:r>
      <w:r w:rsidRPr="00F415B1">
        <w:rPr>
          <w:lang w:val="en-US"/>
        </w:rPr>
        <w:t xml:space="preserve">the active DL BWP </w:t>
      </w:r>
      <w:r w:rsidRPr="00F415B1">
        <w:rPr>
          <w:iCs/>
        </w:rPr>
        <w:t>of</w:t>
      </w:r>
      <w:r w:rsidRPr="00F415B1">
        <w:rPr>
          <w:lang w:val="en-US"/>
        </w:rPr>
        <w:t xml:space="preserve"> serving</w:t>
      </w:r>
      <w:r w:rsidRPr="00F415B1">
        <w:t xml:space="preserve"> cell </w:t>
      </w:r>
      <m:oMath>
        <m:r>
          <w:rPr>
            <w:rFonts w:ascii="Cambria Math" w:hAnsi="Cambria Math"/>
          </w:rPr>
          <m:t>c</m:t>
        </m:r>
      </m:oMath>
      <w:r w:rsidRPr="00F415B1">
        <w:rPr>
          <w:lang w:val="en-US"/>
        </w:rPr>
        <w:t xml:space="preserve"> </w:t>
      </w:r>
      <w:r w:rsidRPr="00F415B1">
        <w:rPr>
          <w:rFonts w:eastAsia="MS Mincho"/>
          <w:lang w:val="en-US"/>
        </w:rPr>
        <w:t xml:space="preserve">and SRS resource set </w:t>
      </w:r>
      <m:oMath>
        <m:sSub>
          <m:sSubPr>
            <m:ctrlPr>
              <w:rPr>
                <w:rFonts w:ascii="Cambria Math" w:hAnsi="Cambria Math"/>
                <w:i/>
              </w:rPr>
            </m:ctrlPr>
          </m:sSubPr>
          <m:e>
            <m:r>
              <w:rPr>
                <w:rFonts w:ascii="Cambria Math" w:hAnsi="Cambria Math"/>
              </w:rPr>
              <m:t>q</m:t>
            </m:r>
          </m:e>
          <m:sub>
            <m:r>
              <w:rPr>
                <w:rFonts w:ascii="Cambria Math" w:hAnsi="Cambria Math"/>
              </w:rPr>
              <m:t>s</m:t>
            </m:r>
          </m:sub>
        </m:sSub>
      </m:oMath>
      <w:r w:rsidRPr="00F415B1">
        <w:rPr>
          <w:lang w:val="en-US"/>
        </w:rPr>
        <w:t xml:space="preserve"> </w:t>
      </w:r>
      <w:r w:rsidRPr="00F415B1">
        <w:t>[</w:t>
      </w:r>
      <w:r w:rsidRPr="00F415B1">
        <w:rPr>
          <w:lang w:val="en-US"/>
        </w:rPr>
        <w:t>6</w:t>
      </w:r>
      <w:r w:rsidRPr="00F415B1">
        <w:t>, TS 38.214]</w:t>
      </w:r>
      <w:r w:rsidRPr="00F415B1">
        <w:rPr>
          <w:lang w:val="en-US"/>
        </w:rPr>
        <w:t xml:space="preserve">. The RS resource index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Pr="00F415B1">
        <w:rPr>
          <w:lang w:val="en-US"/>
        </w:rPr>
        <w:t xml:space="preserve"> is provided by </w:t>
      </w:r>
      <w:r w:rsidRPr="00F415B1">
        <w:rPr>
          <w:i/>
        </w:rPr>
        <w:t>pathlossReferenceRS</w:t>
      </w:r>
      <w:r w:rsidRPr="00F415B1">
        <w:rPr>
          <w:lang w:val="en-US"/>
        </w:rPr>
        <w:t xml:space="preserve"> associated with the SRS resource set </w:t>
      </w:r>
      <m:oMath>
        <m:sSub>
          <m:sSubPr>
            <m:ctrlPr>
              <w:rPr>
                <w:rFonts w:ascii="Cambria Math" w:hAnsi="Cambria Math"/>
                <w:i/>
              </w:rPr>
            </m:ctrlPr>
          </m:sSubPr>
          <m:e>
            <m:r>
              <w:rPr>
                <w:rFonts w:ascii="Cambria Math" w:hAnsi="Cambria Math"/>
              </w:rPr>
              <m:t>q</m:t>
            </m:r>
          </m:e>
          <m:sub>
            <m:r>
              <w:rPr>
                <w:rFonts w:ascii="Cambria Math" w:hAnsi="Cambria Math"/>
              </w:rPr>
              <m:t>s</m:t>
            </m:r>
          </m:sub>
        </m:sSub>
      </m:oMath>
      <w:r w:rsidRPr="00F415B1">
        <w:rPr>
          <w:lang w:val="en-US"/>
        </w:rPr>
        <w:t xml:space="preserve"> </w:t>
      </w:r>
      <w:r w:rsidRPr="00F415B1">
        <w:rPr>
          <w:rFonts w:eastAsia="MS Mincho"/>
          <w:lang w:val="en-US"/>
        </w:rPr>
        <w:t xml:space="preserve">and is either an </w:t>
      </w:r>
      <w:r w:rsidRPr="00F415B1">
        <w:rPr>
          <w:i/>
        </w:rPr>
        <w:t>ssb-Index</w:t>
      </w:r>
      <w:r w:rsidRPr="00F415B1">
        <w:rPr>
          <w:lang w:val="en-US"/>
        </w:rPr>
        <w:t xml:space="preserve"> providing a </w:t>
      </w:r>
      <w:r w:rsidRPr="00F415B1">
        <w:rPr>
          <w:rFonts w:eastAsia="MS Mincho"/>
          <w:lang w:val="en-US"/>
        </w:rPr>
        <w:t xml:space="preserve">SS/PBCH block index or a </w:t>
      </w:r>
      <w:r w:rsidRPr="00F415B1">
        <w:rPr>
          <w:i/>
        </w:rPr>
        <w:t>csi-RS-Index</w:t>
      </w:r>
      <w:r w:rsidRPr="00F415B1">
        <w:rPr>
          <w:rFonts w:eastAsia="MS Mincho"/>
          <w:lang w:val="en-US"/>
        </w:rPr>
        <w:t xml:space="preserve"> providing a CSI-RS resource index. If the UE is provided </w:t>
      </w:r>
      <w:r w:rsidRPr="00F415B1">
        <w:rPr>
          <w:bCs/>
          <w:i/>
          <w:iCs/>
        </w:rPr>
        <w:t>enablePL</w:t>
      </w:r>
      <w:r w:rsidRPr="00F415B1">
        <w:rPr>
          <w:bCs/>
          <w:i/>
          <w:iCs/>
          <w:lang w:val="en-US"/>
        </w:rPr>
        <w:t>-</w:t>
      </w:r>
      <w:r w:rsidRPr="00F415B1">
        <w:rPr>
          <w:bCs/>
          <w:i/>
          <w:iCs/>
        </w:rPr>
        <w:t>RS</w:t>
      </w:r>
      <w:r w:rsidRPr="00F415B1">
        <w:rPr>
          <w:bCs/>
          <w:i/>
          <w:iCs/>
          <w:lang w:val="en-US"/>
        </w:rPr>
        <w:t>-U</w:t>
      </w:r>
      <w:r w:rsidRPr="00F415B1">
        <w:rPr>
          <w:bCs/>
          <w:i/>
          <w:iCs/>
        </w:rPr>
        <w:t>pdateForPUSCH</w:t>
      </w:r>
      <w:r w:rsidRPr="00F415B1">
        <w:rPr>
          <w:bCs/>
          <w:i/>
          <w:iCs/>
          <w:lang w:val="en-US"/>
        </w:rPr>
        <w:t>-</w:t>
      </w:r>
      <w:r w:rsidRPr="00F415B1">
        <w:rPr>
          <w:bCs/>
          <w:i/>
          <w:iCs/>
        </w:rPr>
        <w:t>SRS</w:t>
      </w:r>
      <w:r w:rsidRPr="00F415B1">
        <w:rPr>
          <w:lang w:eastAsia="ko-KR"/>
        </w:rPr>
        <w:t xml:space="preserve">, a MAC CE [11, TS 38.321] can provide by </w:t>
      </w:r>
      <w:r w:rsidRPr="00F415B1">
        <w:rPr>
          <w:i/>
          <w:iCs/>
          <w:lang w:eastAsia="ko-KR"/>
        </w:rPr>
        <w:t>SRS-PathlossReferenceRS-Id</w:t>
      </w:r>
      <w:r w:rsidRPr="00F415B1">
        <w:rPr>
          <w:lang w:eastAsia="ko-KR"/>
        </w:rPr>
        <w:t xml:space="preserve"> a corresponding RS resource index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Pr="00F415B1">
        <w:t xml:space="preserve"> for aperiodic or semi-persistent SRS resource set </w:t>
      </w:r>
      <m:oMath>
        <m:sSub>
          <m:sSubPr>
            <m:ctrlPr>
              <w:rPr>
                <w:rFonts w:ascii="Cambria Math" w:hAnsi="Cambria Math"/>
                <w:i/>
              </w:rPr>
            </m:ctrlPr>
          </m:sSubPr>
          <m:e>
            <m:r>
              <w:rPr>
                <w:rFonts w:ascii="Cambria Math" w:hAnsi="Cambria Math"/>
              </w:rPr>
              <m:t>q</m:t>
            </m:r>
          </m:e>
          <m:sub>
            <m:r>
              <w:rPr>
                <w:rFonts w:ascii="Cambria Math" w:hAnsi="Cambria Math"/>
              </w:rPr>
              <m:t>s</m:t>
            </m:r>
          </m:sub>
        </m:sSub>
      </m:oMath>
    </w:p>
    <w:p w14:paraId="04D8D69B" w14:textId="637D969E" w:rsidR="00015FCE" w:rsidRPr="00F415B1" w:rsidRDefault="00015FCE" w:rsidP="00015FCE">
      <w:pPr>
        <w:pStyle w:val="B2"/>
        <w:rPr>
          <w:lang w:val="en-US"/>
        </w:rPr>
      </w:pPr>
      <w:r w:rsidRPr="00F415B1">
        <w:t>-</w:t>
      </w:r>
      <w:r w:rsidRPr="00F415B1">
        <w:tab/>
        <w:t xml:space="preserve">If the UE is not provided </w:t>
      </w:r>
      <w:r w:rsidRPr="00F415B1">
        <w:rPr>
          <w:i/>
        </w:rPr>
        <w:t>pathlossReferenceRS</w:t>
      </w:r>
      <w:r w:rsidRPr="00F415B1">
        <w:rPr>
          <w:rFonts w:eastAsia="MS Mincho"/>
        </w:rPr>
        <w:t xml:space="preserve"> or </w:t>
      </w:r>
      <w:r w:rsidRPr="00F415B1">
        <w:rPr>
          <w:i/>
          <w:iCs/>
          <w:lang w:eastAsia="ko-KR"/>
        </w:rPr>
        <w:t>SRS-PathlossReferenceRS</w:t>
      </w:r>
      <w:r w:rsidRPr="00F415B1">
        <w:rPr>
          <w:i/>
          <w:iCs/>
          <w:lang w:val="en-US" w:eastAsia="ko-KR"/>
        </w:rPr>
        <w:t>-Id</w:t>
      </w:r>
      <w:r w:rsidR="004727FD">
        <w:rPr>
          <w:i/>
          <w:iCs/>
          <w:lang w:val="en-US" w:eastAsia="ko-KR"/>
        </w:rPr>
        <w:t xml:space="preserve"> </w:t>
      </w:r>
      <w:r w:rsidR="004727FD">
        <w:rPr>
          <w:lang w:val="en-US"/>
        </w:rPr>
        <w:t xml:space="preserve">and </w:t>
      </w:r>
      <w:r w:rsidR="004727FD">
        <w:rPr>
          <w:lang w:val="en-US" w:eastAsia="zh-CN"/>
        </w:rPr>
        <w:t>if the UE is not provided</w:t>
      </w:r>
      <w:r w:rsidR="004727FD" w:rsidRPr="00E37D08">
        <w:rPr>
          <w:rFonts w:hint="eastAsia"/>
          <w:lang w:eastAsia="zh-CN"/>
        </w:rPr>
        <w:t xml:space="preserve"> </w:t>
      </w:r>
      <w:r w:rsidR="004727FD" w:rsidRPr="00E37D08">
        <w:rPr>
          <w:i/>
          <w:iCs/>
        </w:rPr>
        <w:t>enableDefaultBeamP</w:t>
      </w:r>
      <w:r w:rsidR="004727FD">
        <w:rPr>
          <w:i/>
          <w:iCs/>
          <w:lang w:val="en-US"/>
        </w:rPr>
        <w:t>L-</w:t>
      </w:r>
      <w:r w:rsidR="004727FD" w:rsidRPr="00E37D08">
        <w:rPr>
          <w:i/>
          <w:iCs/>
        </w:rPr>
        <w:t>ForSRS</w:t>
      </w:r>
      <w:r w:rsidRPr="00F415B1">
        <w:rPr>
          <w:lang w:eastAsia="ko-KR"/>
        </w:rPr>
        <w:t xml:space="preserve">, </w:t>
      </w:r>
      <w:r w:rsidRPr="00F415B1">
        <w:rPr>
          <w:rFonts w:eastAsia="MS Mincho"/>
          <w:lang w:val="en-US"/>
        </w:rPr>
        <w:t>or</w:t>
      </w:r>
      <w:r w:rsidRPr="00F415B1">
        <w:rPr>
          <w:rFonts w:eastAsia="MS Mincho"/>
        </w:rPr>
        <w:t xml:space="preserve"> before the UE is provided dedicated higher layer parameters</w:t>
      </w:r>
      <w:r w:rsidRPr="00F415B1">
        <w:rPr>
          <w:iCs/>
        </w:rPr>
        <w:t xml:space="preserve">, the UE calculates </w:t>
      </w:r>
      <m:oMath>
        <m:sSub>
          <m:sSubPr>
            <m:ctrlPr>
              <w:rPr>
                <w:rFonts w:ascii="Cambria Math" w:hAnsi="Cambria Math"/>
                <w:iCs/>
              </w:rPr>
            </m:ctrlPr>
          </m:sSubPr>
          <m:e>
            <m:r>
              <w:rPr>
                <w:rFonts w:ascii="Cambria Math" w:hAnsi="Cambria Math"/>
              </w:rPr>
              <m:t>PL</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sSub>
          <m:sSubPr>
            <m:ctrlPr>
              <w:rPr>
                <w:rFonts w:ascii="Cambria Math" w:hAnsi="Cambria Math"/>
                <w:iCs/>
              </w:rPr>
            </m:ctrlPr>
          </m:sSubPr>
          <m:e>
            <m:r>
              <w:rPr>
                <w:rFonts w:ascii="Cambria Math"/>
              </w:rPr>
              <m:t>q</m:t>
            </m:r>
          </m:e>
          <m:sub>
            <m:r>
              <w:rPr>
                <w:rFonts w:ascii="Cambria Math"/>
              </w:rPr>
              <m:t>d</m:t>
            </m:r>
          </m:sub>
        </m:sSub>
        <m:r>
          <m:rPr>
            <m:sty m:val="p"/>
          </m:rPr>
          <w:rPr>
            <w:rFonts w:ascii="Cambria Math"/>
          </w:rPr>
          <m:t>)</m:t>
        </m:r>
      </m:oMath>
      <w:r w:rsidRPr="00F415B1">
        <w:t xml:space="preserve"> using </w:t>
      </w:r>
      <w:r w:rsidRPr="00F415B1">
        <w:rPr>
          <w:iCs/>
        </w:rPr>
        <w:t xml:space="preserve">a RS resource obtained from </w:t>
      </w:r>
      <w:r w:rsidRPr="00F415B1">
        <w:rPr>
          <w:iCs/>
          <w:lang w:val="en-US"/>
        </w:rPr>
        <w:t>an</w:t>
      </w:r>
      <w:r w:rsidRPr="00F415B1">
        <w:rPr>
          <w:iCs/>
        </w:rPr>
        <w:t xml:space="preserve"> SS/PBCH block </w:t>
      </w:r>
      <w:r w:rsidRPr="00F415B1">
        <w:rPr>
          <w:rFonts w:eastAsia="MS Mincho"/>
        </w:rPr>
        <w:t>with same SS/PBCH block index as the one</w:t>
      </w:r>
      <w:r w:rsidRPr="00F415B1">
        <w:rPr>
          <w:iCs/>
        </w:rPr>
        <w:t xml:space="preserve"> the UE </w:t>
      </w:r>
      <w:r w:rsidRPr="00F415B1">
        <w:rPr>
          <w:iCs/>
          <w:lang w:val="en-US"/>
        </w:rPr>
        <w:t xml:space="preserve">uses to </w:t>
      </w:r>
      <w:r w:rsidRPr="00F415B1">
        <w:rPr>
          <w:iCs/>
        </w:rPr>
        <w:t xml:space="preserve">obtain </w:t>
      </w:r>
      <w:r w:rsidRPr="00F415B1">
        <w:rPr>
          <w:i/>
          <w:lang w:val="en-US"/>
        </w:rPr>
        <w:t>MIB</w:t>
      </w:r>
      <w:r w:rsidR="002A0AA2" w:rsidRPr="00B54C25">
        <w:rPr>
          <w:iCs/>
          <w:lang w:val="en-US"/>
        </w:rPr>
        <w:t>, or using the SS/PBCH block the UE acquired the time and frequency synchronization for a secondary cell.</w:t>
      </w:r>
    </w:p>
    <w:p w14:paraId="0DADA26C" w14:textId="77777777" w:rsidR="00015FCE" w:rsidRPr="00F415B1" w:rsidRDefault="00015FCE" w:rsidP="00015FCE">
      <w:pPr>
        <w:pStyle w:val="B2"/>
      </w:pPr>
      <w:r w:rsidRPr="00F415B1">
        <w:t>-</w:t>
      </w:r>
      <w:r w:rsidRPr="00F415B1">
        <w:tab/>
        <w:t>If the UE is provided</w:t>
      </w:r>
      <w:r w:rsidRPr="00F415B1">
        <w:rPr>
          <w:lang w:val="en-US"/>
        </w:rPr>
        <w:t xml:space="preserve"> </w:t>
      </w:r>
      <w:r w:rsidRPr="00F415B1">
        <w:rPr>
          <w:rFonts w:asciiTheme="majorBidi" w:hAnsiTheme="majorBidi" w:cstheme="majorBidi"/>
          <w:i/>
          <w:iCs/>
          <w:lang w:val="en-US"/>
        </w:rPr>
        <w:t>pathlossReferenceLinking</w:t>
      </w:r>
      <w:r w:rsidRPr="00F415B1">
        <w:t xml:space="preserve">, the </w:t>
      </w:r>
      <w:r w:rsidRPr="00F415B1">
        <w:rPr>
          <w:lang w:val="en-US"/>
        </w:rPr>
        <w:t xml:space="preserve">RS resource is on a serving cell indicated </w:t>
      </w:r>
      <w:r w:rsidRPr="00F415B1">
        <w:rPr>
          <w:rFonts w:asciiTheme="majorBidi" w:hAnsiTheme="majorBidi" w:cstheme="majorBidi"/>
          <w:lang w:val="en-US"/>
        </w:rPr>
        <w:t xml:space="preserve">by a value of </w:t>
      </w:r>
      <w:r w:rsidRPr="00F415B1">
        <w:rPr>
          <w:rFonts w:asciiTheme="majorBidi" w:hAnsiTheme="majorBidi" w:cstheme="majorBidi"/>
          <w:i/>
          <w:iCs/>
          <w:lang w:val="en-US"/>
        </w:rPr>
        <w:t>pathlossReferenceLinking</w:t>
      </w:r>
      <w:r w:rsidRPr="00F415B1">
        <w:t xml:space="preserve"> </w:t>
      </w:r>
    </w:p>
    <w:p w14:paraId="593CBFDB" w14:textId="77777777" w:rsidR="00015FCE" w:rsidRPr="00F415B1" w:rsidRDefault="00015FCE" w:rsidP="00015FCE">
      <w:pPr>
        <w:pStyle w:val="B2"/>
      </w:pPr>
      <w:r w:rsidRPr="00F415B1">
        <w:lastRenderedPageBreak/>
        <w:t>-</w:t>
      </w:r>
      <w:r w:rsidRPr="00F415B1">
        <w:tab/>
        <w:t>If the UE</w:t>
      </w:r>
    </w:p>
    <w:p w14:paraId="0A991E5C" w14:textId="77777777" w:rsidR="00015FCE" w:rsidRPr="00F415B1" w:rsidRDefault="00015FCE" w:rsidP="00015FCE">
      <w:pPr>
        <w:pStyle w:val="B3"/>
        <w:rPr>
          <w:lang w:val="en-US"/>
        </w:rPr>
      </w:pPr>
      <w:r w:rsidRPr="00F415B1">
        <w:t>-</w:t>
      </w:r>
      <w:r w:rsidRPr="00F415B1">
        <w:tab/>
        <w:t xml:space="preserve">is not provided </w:t>
      </w:r>
      <w:r w:rsidRPr="00F415B1">
        <w:rPr>
          <w:i/>
          <w:iCs/>
        </w:rPr>
        <w:t>pathlossReferenceRS</w:t>
      </w:r>
      <w:r w:rsidRPr="00F415B1">
        <w:rPr>
          <w:rFonts w:eastAsia="MS Mincho"/>
        </w:rPr>
        <w:t xml:space="preserve"> or </w:t>
      </w:r>
      <w:r w:rsidRPr="00F415B1">
        <w:rPr>
          <w:i/>
          <w:lang w:eastAsia="ko-KR"/>
        </w:rPr>
        <w:t>SRS-PathlossReferenceRS</w:t>
      </w:r>
      <w:r w:rsidRPr="00F415B1">
        <w:rPr>
          <w:i/>
          <w:iCs/>
          <w:lang w:val="en-US" w:eastAsia="ko-KR"/>
        </w:rPr>
        <w:t>-Id</w:t>
      </w:r>
      <w:r w:rsidRPr="00F415B1">
        <w:rPr>
          <w:lang w:val="en-US"/>
        </w:rPr>
        <w:t xml:space="preserve">, </w:t>
      </w:r>
    </w:p>
    <w:p w14:paraId="2F2E752E" w14:textId="77777777" w:rsidR="00015FCE" w:rsidRPr="00F415B1" w:rsidRDefault="00015FCE" w:rsidP="00015FCE">
      <w:pPr>
        <w:pStyle w:val="B3"/>
      </w:pPr>
      <w:r w:rsidRPr="00F415B1">
        <w:t>-</w:t>
      </w:r>
      <w:r w:rsidRPr="00F415B1">
        <w:tab/>
      </w:r>
      <w:r w:rsidRPr="00F415B1">
        <w:rPr>
          <w:lang w:eastAsia="zh-CN"/>
        </w:rPr>
        <w:t xml:space="preserve">is not provided </w:t>
      </w:r>
      <w:r w:rsidRPr="00F415B1">
        <w:rPr>
          <w:i/>
        </w:rPr>
        <w:t>spatialRelationInfo</w:t>
      </w:r>
      <w:r w:rsidRPr="00F415B1">
        <w:rPr>
          <w:iCs/>
        </w:rPr>
        <w:t xml:space="preserve">, </w:t>
      </w:r>
      <w:r w:rsidRPr="00F415B1">
        <w:rPr>
          <w:lang w:val="en-US"/>
        </w:rPr>
        <w:t>and</w:t>
      </w:r>
    </w:p>
    <w:p w14:paraId="245243AC" w14:textId="77777777" w:rsidR="00015FCE" w:rsidRPr="00F415B1" w:rsidRDefault="00015FCE" w:rsidP="00015FCE">
      <w:pPr>
        <w:pStyle w:val="B3"/>
      </w:pPr>
      <w:r w:rsidRPr="00F415B1">
        <w:t>-</w:t>
      </w:r>
      <w:r w:rsidRPr="00F415B1">
        <w:tab/>
      </w:r>
      <w:r w:rsidRPr="00F415B1">
        <w:rPr>
          <w:lang w:val="en-US"/>
        </w:rPr>
        <w:t xml:space="preserve">is provided </w:t>
      </w:r>
      <w:r w:rsidRPr="00F415B1">
        <w:rPr>
          <w:i/>
          <w:iCs/>
          <w:lang w:val="en-US"/>
        </w:rPr>
        <w:t>enableDefaultBeamPL-ForSRS</w:t>
      </w:r>
      <w:r w:rsidRPr="00F415B1">
        <w:rPr>
          <w:iCs/>
          <w:lang w:val="en-US"/>
        </w:rPr>
        <w:t>, and</w:t>
      </w:r>
      <w:r w:rsidRPr="00F415B1">
        <w:t xml:space="preserve"> </w:t>
      </w:r>
    </w:p>
    <w:p w14:paraId="02FAEEC9" w14:textId="77777777" w:rsidR="00015FCE" w:rsidRPr="00F415B1" w:rsidRDefault="00015FCE" w:rsidP="00015FCE">
      <w:pPr>
        <w:pStyle w:val="B3"/>
      </w:pPr>
      <w:r w:rsidRPr="00F415B1">
        <w:t>-</w:t>
      </w:r>
      <w:r w:rsidRPr="00F415B1">
        <w:tab/>
        <w:t xml:space="preserve">is not provided </w:t>
      </w:r>
      <w:r w:rsidRPr="00F415B1">
        <w:rPr>
          <w:rStyle w:val="Emphasis"/>
          <w:rFonts w:eastAsia="Batang"/>
        </w:rPr>
        <w:t>coresetPoolIndex</w:t>
      </w:r>
      <w:r w:rsidRPr="00F415B1">
        <w:t xml:space="preserve"> value of 1 for any CORESET, or is provided </w:t>
      </w:r>
      <w:r w:rsidRPr="00F415B1">
        <w:rPr>
          <w:rStyle w:val="Emphasis"/>
          <w:rFonts w:eastAsia="Batang"/>
        </w:rPr>
        <w:t>coresetPoolIndex</w:t>
      </w:r>
      <w:r w:rsidRPr="00F415B1">
        <w:t xml:space="preserve"> value of 1 for all CORESETs, in </w:t>
      </w:r>
      <w:r w:rsidRPr="00F415B1">
        <w:rPr>
          <w:rStyle w:val="Emphasis"/>
          <w:rFonts w:eastAsia="Batang"/>
        </w:rPr>
        <w:t xml:space="preserve">ControlResourceSet </w:t>
      </w:r>
      <w:r w:rsidRPr="00F415B1">
        <w:t xml:space="preserve">and no codepoint of a TCI field, if any, in a DCI format of any search space set maps to two TCI states [5, TS 38.212] </w:t>
      </w:r>
    </w:p>
    <w:p w14:paraId="6FA74B91" w14:textId="77777777" w:rsidR="00015FCE" w:rsidRPr="00F415B1" w:rsidRDefault="00015FCE" w:rsidP="00015FCE">
      <w:pPr>
        <w:pStyle w:val="B2"/>
      </w:pPr>
      <w:r w:rsidRPr="00F415B1">
        <w:tab/>
        <w:t>the UE determines a RS resource</w:t>
      </w:r>
      <w:r w:rsidRPr="00F415B1">
        <w:rPr>
          <w:lang w:val="en-US"/>
        </w:rPr>
        <w:t xml:space="preserve"> index</w:t>
      </w:r>
      <w:r w:rsidRPr="00F415B1">
        <w:t xml:space="preserv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Pr="00F415B1">
        <w:t xml:space="preserve"> providing a </w:t>
      </w:r>
      <w:r w:rsidRPr="00F415B1">
        <w:rPr>
          <w:lang w:val="en-US"/>
        </w:rPr>
        <w:t xml:space="preserve">periodic </w:t>
      </w:r>
      <w:r w:rsidRPr="00F415B1">
        <w:t xml:space="preserve">RS resource </w:t>
      </w:r>
      <w:r w:rsidRPr="00F415B1">
        <w:rPr>
          <w:lang w:val="en-US"/>
        </w:rPr>
        <w:t xml:space="preserve">configured </w:t>
      </w:r>
      <w:r w:rsidRPr="00F415B1">
        <w:t xml:space="preserve">with </w:t>
      </w:r>
      <w:r w:rsidRPr="00F415B1">
        <w:rPr>
          <w:i/>
          <w:lang w:val="en-US"/>
        </w:rPr>
        <w:t>qcl-Type</w:t>
      </w:r>
      <w:r w:rsidRPr="00F415B1">
        <w:rPr>
          <w:lang w:val="en-US"/>
        </w:rPr>
        <w:t xml:space="preserve"> set to</w:t>
      </w:r>
      <w:r w:rsidRPr="00F415B1">
        <w:t xml:space="preserve"> </w:t>
      </w:r>
      <w:r w:rsidRPr="00F415B1">
        <w:rPr>
          <w:lang w:val="en-US"/>
        </w:rPr>
        <w:t>'t</w:t>
      </w:r>
      <w:r w:rsidRPr="00F415B1">
        <w:t>ypeD' in</w:t>
      </w:r>
    </w:p>
    <w:p w14:paraId="38CCA431" w14:textId="3E20FDCC" w:rsidR="00A47FB7" w:rsidRPr="00392F96" w:rsidRDefault="00A47FB7" w:rsidP="008E602B">
      <w:pPr>
        <w:pStyle w:val="B3"/>
      </w:pPr>
      <w:r w:rsidRPr="00392F96">
        <w:t>-</w:t>
      </w:r>
      <w:r w:rsidRPr="00392F96">
        <w:tab/>
        <w:t>the TCI state or the QCL assumption of a CORESET with the lowest index</w:t>
      </w:r>
      <w:r w:rsidR="0099740D">
        <w:t xml:space="preserve"> in the active DL BWP</w:t>
      </w:r>
      <w:r>
        <w:t>, if</w:t>
      </w:r>
      <w:r w:rsidRPr="00392F96">
        <w:t xml:space="preserve"> </w:t>
      </w:r>
      <w:r>
        <w:t>CORESETs</w:t>
      </w:r>
      <w:r w:rsidRPr="00392F96">
        <w:t xml:space="preserve"> are provided in the active DL BWP</w:t>
      </w:r>
      <w:r w:rsidR="0099740D">
        <w:t xml:space="preserve"> of serving cell </w:t>
      </w:r>
      <m:oMath>
        <m:r>
          <w:rPr>
            <w:rFonts w:ascii="Cambria Math" w:eastAsia="MS Mincho" w:hAnsi="Cambria Math"/>
            <w:lang w:val="en-US"/>
          </w:rPr>
          <m:t>c</m:t>
        </m:r>
      </m:oMath>
      <w:r w:rsidR="00015FCE" w:rsidRPr="00F415B1">
        <w:rPr>
          <w:lang w:val="en-US"/>
        </w:rPr>
        <w:t xml:space="preserve">. </w:t>
      </w:r>
      <w:r w:rsidR="00015FCE" w:rsidRPr="00F415B1">
        <w:t>If the CORESET has two activated TCI states, as described in clause 10.1, the UE determines the RS resource</w:t>
      </w:r>
      <w:r w:rsidR="00015FCE" w:rsidRPr="00F415B1">
        <w:rPr>
          <w:lang w:val="en-US"/>
        </w:rPr>
        <w:t xml:space="preserve"> index</w:t>
      </w:r>
      <w:r w:rsidR="00015FCE" w:rsidRPr="00F415B1">
        <w:t xml:space="preserve"> </w:t>
      </w:r>
      <m:oMath>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d</m:t>
            </m:r>
          </m:sub>
        </m:sSub>
      </m:oMath>
      <w:r w:rsidR="00015FCE" w:rsidRPr="00F415B1">
        <w:t xml:space="preserve"> based on the first TCI state</w:t>
      </w:r>
      <w:r w:rsidR="00015FCE" w:rsidRPr="00F415B1">
        <w:rPr>
          <w:lang w:val="en-US"/>
        </w:rPr>
        <w:t>.</w:t>
      </w:r>
    </w:p>
    <w:p w14:paraId="3367A344" w14:textId="1F4E51DB" w:rsidR="00A47FB7" w:rsidRPr="00DD5101" w:rsidRDefault="00A47FB7" w:rsidP="008E602B">
      <w:pPr>
        <w:pStyle w:val="B3"/>
      </w:pPr>
      <w:r w:rsidRPr="00392F96">
        <w:t>-</w:t>
      </w:r>
      <w:r w:rsidRPr="00392F96">
        <w:tab/>
        <w:t>the active PDSCH TCI state with lowest ID [6, TS 38.214]</w:t>
      </w:r>
      <w:r w:rsidR="0099740D">
        <w:t xml:space="preserve"> in the active DL BWP</w:t>
      </w:r>
      <w:r w:rsidRPr="00392F96">
        <w:t xml:space="preserve">, if </w:t>
      </w:r>
      <w:r>
        <w:t>CORESETs</w:t>
      </w:r>
      <w:r w:rsidRPr="00392F96">
        <w:t xml:space="preserve"> are not provided in the active DL BWP</w:t>
      </w:r>
      <w:r w:rsidR="0099740D">
        <w:t xml:space="preserve"> of serving cell </w:t>
      </w:r>
      <m:oMath>
        <m:r>
          <w:rPr>
            <w:rFonts w:ascii="Cambria Math" w:eastAsia="MS Mincho" w:hAnsi="Cambria Math"/>
            <w:lang w:val="en-US"/>
          </w:rPr>
          <m:t>c</m:t>
        </m:r>
      </m:oMath>
    </w:p>
    <w:p w14:paraId="416915C4" w14:textId="77777777" w:rsidR="009F47E8" w:rsidRPr="00F415B1" w:rsidRDefault="009F47E8" w:rsidP="009F47E8">
      <w:pPr>
        <w:pStyle w:val="B1"/>
        <w:rPr>
          <w:lang w:val="en-US"/>
        </w:rPr>
      </w:pPr>
      <w:r w:rsidRPr="00F415B1">
        <w:rPr>
          <w:lang w:val="en-US"/>
        </w:rPr>
        <w:t>-</w:t>
      </w:r>
      <w:r w:rsidRPr="00F415B1">
        <w:rPr>
          <w:lang w:val="en-US"/>
        </w:rPr>
        <w:tab/>
        <w:t>For the SRS</w:t>
      </w:r>
      <w:r w:rsidRPr="00F415B1">
        <w:t xml:space="preserve"> power control adjustment state for </w:t>
      </w:r>
      <w:r w:rsidRPr="00F415B1">
        <w:rPr>
          <w:lang w:val="en-US"/>
        </w:rPr>
        <w:t xml:space="preserve">active UL BWP </w:t>
      </w:r>
      <m:oMath>
        <m:r>
          <w:rPr>
            <w:rFonts w:ascii="Cambria Math" w:hAnsi="Cambria Math"/>
          </w:rPr>
          <m:t>b</m:t>
        </m:r>
      </m:oMath>
      <w:r w:rsidRPr="00F415B1">
        <w:rPr>
          <w:iCs/>
          <w:lang w:val="en-US"/>
        </w:rPr>
        <w:t xml:space="preserve"> </w:t>
      </w:r>
      <w:r w:rsidRPr="00F415B1">
        <w:rPr>
          <w:lang w:val="en-US"/>
        </w:rPr>
        <w:t xml:space="preserve">of </w:t>
      </w:r>
      <w:r w:rsidRPr="00F415B1">
        <w:t xml:space="preserve">carrier </w:t>
      </w:r>
      <m:oMath>
        <m:r>
          <w:rPr>
            <w:rFonts w:ascii="Cambria Math" w:hAnsi="Cambria Math"/>
          </w:rPr>
          <m:t>f</m:t>
        </m:r>
      </m:oMath>
      <w:r w:rsidRPr="00F415B1">
        <w:rPr>
          <w:iCs/>
        </w:rPr>
        <w:t xml:space="preserve"> of</w:t>
      </w:r>
      <w:r w:rsidRPr="00F415B1">
        <w:t xml:space="preserve"> serving cell </w:t>
      </w:r>
      <m:oMath>
        <m:r>
          <w:rPr>
            <w:rFonts w:ascii="Cambria Math" w:hAnsi="Cambria Math"/>
          </w:rPr>
          <m:t>c</m:t>
        </m:r>
      </m:oMath>
      <w:r w:rsidRPr="00F415B1">
        <w:rPr>
          <w:lang w:val="en-US"/>
        </w:rPr>
        <w:t xml:space="preserve"> and SRS transmission occasion </w:t>
      </w:r>
      <m:oMath>
        <m:r>
          <w:rPr>
            <w:rFonts w:ascii="Cambria Math" w:hAnsi="Cambria Math"/>
          </w:rPr>
          <m:t>i</m:t>
        </m:r>
      </m:oMath>
    </w:p>
    <w:p w14:paraId="7774D432" w14:textId="77777777" w:rsidR="009F47E8" w:rsidRPr="00F415B1" w:rsidRDefault="009F47E8" w:rsidP="009F47E8">
      <w:pPr>
        <w:pStyle w:val="B2"/>
      </w:pPr>
      <w:r w:rsidRPr="00F415B1">
        <w:t>-</w:t>
      </w:r>
      <w:r w:rsidRPr="00F415B1">
        <w:tab/>
      </w:r>
      <m:oMath>
        <m:sSub>
          <m:sSubPr>
            <m:ctrlPr>
              <w:rPr>
                <w:rFonts w:ascii="Cambria Math" w:hAnsi="Cambria Math"/>
                <w:i/>
              </w:rPr>
            </m:ctrlPr>
          </m:sSubPr>
          <m:e>
            <m:r>
              <w:rPr>
                <w:rFonts w:ascii="Cambria Math" w:hAnsi="Cambria Math"/>
              </w:rPr>
              <m:t>h</m:t>
            </m:r>
          </m:e>
          <m:sub>
            <m:r>
              <w:rPr>
                <w:rFonts w:ascii="Cambria Math" w:hAnsi="Cambria Math"/>
              </w:rPr>
              <m:t>b,f,c</m:t>
            </m:r>
          </m:sub>
        </m:sSub>
        <m:d>
          <m:dPr>
            <m:ctrlPr>
              <w:rPr>
                <w:rFonts w:ascii="Cambria Math" w:hAnsi="Cambria Math"/>
                <w:i/>
              </w:rPr>
            </m:ctrlPr>
          </m:dPr>
          <m:e>
            <m:r>
              <w:rPr>
                <w:rFonts w:ascii="Cambria Math" w:hAnsi="Cambria Math"/>
              </w:rPr>
              <m:t>i,l</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b,f,c</m:t>
            </m:r>
          </m:sub>
        </m:sSub>
        <m:d>
          <m:dPr>
            <m:ctrlPr>
              <w:rPr>
                <w:rFonts w:ascii="Cambria Math" w:hAnsi="Cambria Math"/>
                <w:i/>
              </w:rPr>
            </m:ctrlPr>
          </m:dPr>
          <m:e>
            <m:r>
              <w:rPr>
                <w:rFonts w:ascii="Cambria Math" w:hAnsi="Cambria Math"/>
              </w:rPr>
              <m:t>i,l</m:t>
            </m:r>
          </m:e>
        </m:d>
      </m:oMath>
      <w:r w:rsidRPr="00F415B1">
        <w:t xml:space="preserve">, </w:t>
      </w:r>
      <w:r w:rsidRPr="00F415B1">
        <w:rPr>
          <w:lang w:val="en-US"/>
        </w:rPr>
        <w:t xml:space="preserve">where </w:t>
      </w:r>
      <m:oMath>
        <m:sSub>
          <m:sSubPr>
            <m:ctrlPr>
              <w:rPr>
                <w:rFonts w:ascii="Cambria Math" w:hAnsi="Cambria Math"/>
                <w:i/>
              </w:rPr>
            </m:ctrlPr>
          </m:sSubPr>
          <m:e>
            <m:r>
              <w:rPr>
                <w:rFonts w:ascii="Cambria Math" w:hAnsi="Cambria Math"/>
              </w:rPr>
              <m:t>f</m:t>
            </m:r>
          </m:e>
          <m:sub>
            <m:r>
              <w:rPr>
                <w:rFonts w:ascii="Cambria Math" w:hAnsi="Cambria Math"/>
              </w:rPr>
              <m:t>b,f,c</m:t>
            </m:r>
          </m:sub>
        </m:sSub>
        <m:d>
          <m:dPr>
            <m:ctrlPr>
              <w:rPr>
                <w:rFonts w:ascii="Cambria Math" w:hAnsi="Cambria Math"/>
                <w:i/>
              </w:rPr>
            </m:ctrlPr>
          </m:dPr>
          <m:e>
            <m:r>
              <w:rPr>
                <w:rFonts w:ascii="Cambria Math" w:hAnsi="Cambria Math"/>
              </w:rPr>
              <m:t>i,l</m:t>
            </m:r>
          </m:e>
        </m:d>
      </m:oMath>
      <w:r w:rsidRPr="00F415B1">
        <w:rPr>
          <w:lang w:val="en-US"/>
        </w:rPr>
        <w:t xml:space="preserve"> is </w:t>
      </w:r>
      <w:r w:rsidRPr="00F415B1">
        <w:t>the current PUSCH power control adjustment state as described in clause</w:t>
      </w:r>
      <w:r w:rsidRPr="00F415B1">
        <w:rPr>
          <w:lang w:val="en-US"/>
        </w:rPr>
        <w:t xml:space="preserve"> 7.1.1</w:t>
      </w:r>
      <w:r w:rsidRPr="00F415B1">
        <w:t xml:space="preserve">, if </w:t>
      </w:r>
      <w:r w:rsidRPr="00F415B1">
        <w:rPr>
          <w:i/>
        </w:rPr>
        <w:t>srs-PowerControlAdjustmentStates</w:t>
      </w:r>
      <w:r w:rsidRPr="00F415B1">
        <w:t xml:space="preserve"> indicates a same power control adjustment state for SRS transmissions and PUSCH transmissions; or</w:t>
      </w:r>
    </w:p>
    <w:p w14:paraId="57FD73C1" w14:textId="77777777" w:rsidR="009F47E8" w:rsidRPr="00F415B1" w:rsidRDefault="009F47E8" w:rsidP="009F47E8">
      <w:pPr>
        <w:pStyle w:val="B2"/>
      </w:pPr>
      <w:r w:rsidRPr="00F415B1">
        <w:t>-</w:t>
      </w:r>
      <w:r w:rsidRPr="00F415B1">
        <w:tab/>
      </w:r>
      <w:r w:rsidRPr="00F415B1">
        <w:rPr>
          <w:noProof/>
          <w:position w:val="-24"/>
        </w:rPr>
        <w:drawing>
          <wp:inline distT="0" distB="0" distL="0" distR="0" wp14:anchorId="5D06291C" wp14:editId="506406F7">
            <wp:extent cx="2032635" cy="351155"/>
            <wp:effectExtent l="0" t="0" r="0" b="0"/>
            <wp:docPr id="1577" name="Picture 1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32635" cy="351155"/>
                    </a:xfrm>
                    <a:prstGeom prst="rect">
                      <a:avLst/>
                    </a:prstGeom>
                    <a:noFill/>
                    <a:ln>
                      <a:noFill/>
                    </a:ln>
                  </pic:spPr>
                </pic:pic>
              </a:graphicData>
            </a:graphic>
          </wp:inline>
        </w:drawing>
      </w:r>
      <w:r w:rsidRPr="00F415B1">
        <w:rPr>
          <w:lang w:val="en-US"/>
        </w:rPr>
        <w:t xml:space="preserve"> if the UE is not configured for PUSCH transmissions on active UL BWP </w:t>
      </w:r>
      <m:oMath>
        <m:r>
          <w:rPr>
            <w:rFonts w:ascii="Cambria Math" w:hAnsi="Cambria Math"/>
          </w:rPr>
          <m:t>b</m:t>
        </m:r>
      </m:oMath>
      <w:r w:rsidRPr="00F415B1">
        <w:rPr>
          <w:iCs/>
          <w:lang w:val="en-US"/>
        </w:rPr>
        <w:t xml:space="preserve"> </w:t>
      </w:r>
      <w:r w:rsidRPr="00F415B1">
        <w:rPr>
          <w:lang w:val="en-US"/>
        </w:rPr>
        <w:t xml:space="preserve">of </w:t>
      </w:r>
      <w:r w:rsidRPr="00F415B1">
        <w:t xml:space="preserve">carrier </w:t>
      </w:r>
      <m:oMath>
        <m:r>
          <w:rPr>
            <w:rFonts w:ascii="Cambria Math" w:hAnsi="Cambria Math"/>
          </w:rPr>
          <m:t>f</m:t>
        </m:r>
      </m:oMath>
      <w:r w:rsidRPr="00F415B1">
        <w:rPr>
          <w:iCs/>
        </w:rPr>
        <w:t xml:space="preserve"> of</w:t>
      </w:r>
      <w:r w:rsidRPr="00F415B1">
        <w:t xml:space="preserve"> serving cell </w:t>
      </w:r>
      <m:oMath>
        <m:r>
          <w:rPr>
            <w:rFonts w:ascii="Cambria Math" w:hAnsi="Cambria Math"/>
          </w:rPr>
          <m:t>c</m:t>
        </m:r>
      </m:oMath>
      <w:r w:rsidRPr="00F415B1">
        <w:rPr>
          <w:iCs/>
          <w:lang w:val="en-US"/>
        </w:rPr>
        <w:t>, or</w:t>
      </w:r>
      <w:r w:rsidRPr="00F415B1">
        <w:t xml:space="preserve"> if </w:t>
      </w:r>
      <w:r w:rsidRPr="00F415B1">
        <w:rPr>
          <w:i/>
        </w:rPr>
        <w:t>srs-PowerControlAdjustmentStates</w:t>
      </w:r>
      <w:r w:rsidRPr="00F415B1">
        <w:t xml:space="preserve"> indicates separate power control adjustment state</w:t>
      </w:r>
      <w:r w:rsidRPr="00F415B1">
        <w:rPr>
          <w:lang w:val="en-US"/>
        </w:rPr>
        <w:t>s</w:t>
      </w:r>
      <w:r w:rsidRPr="00F415B1">
        <w:t xml:space="preserve"> between SRS transmissions and PUSCH transmissions</w:t>
      </w:r>
      <w:r w:rsidRPr="00F415B1">
        <w:rPr>
          <w:lang w:val="en-US"/>
        </w:rPr>
        <w:t>,</w:t>
      </w:r>
      <w:r w:rsidRPr="00F415B1">
        <w:t xml:space="preserve"> and if </w:t>
      </w:r>
      <w:r w:rsidRPr="00F415B1">
        <w:rPr>
          <w:i/>
        </w:rPr>
        <w:t>tpc-Accumulation</w:t>
      </w:r>
      <w:r w:rsidRPr="00F415B1">
        <w:t xml:space="preserve"> </w:t>
      </w:r>
      <w:r w:rsidRPr="00F415B1">
        <w:rPr>
          <w:lang w:val="en-US"/>
        </w:rPr>
        <w:t xml:space="preserve">is not </w:t>
      </w:r>
      <w:r w:rsidRPr="00F415B1">
        <w:t xml:space="preserve">provided, where </w:t>
      </w:r>
    </w:p>
    <w:p w14:paraId="314E9B0A" w14:textId="77777777" w:rsidR="009F47E8" w:rsidRPr="00F415B1" w:rsidRDefault="009F47E8" w:rsidP="009F47E8">
      <w:pPr>
        <w:pStyle w:val="B3"/>
        <w:rPr>
          <w:lang w:val="en-US"/>
        </w:rPr>
      </w:pPr>
      <w:r w:rsidRPr="00F415B1">
        <w:rPr>
          <w:lang w:val="en-US"/>
        </w:rPr>
        <w:t>-</w:t>
      </w:r>
      <w:r w:rsidRPr="00F415B1">
        <w:rPr>
          <w:lang w:val="en-US"/>
        </w:rPr>
        <w:tab/>
        <w:t xml:space="preserve">The </w:t>
      </w:r>
      <m:oMath>
        <m:sSub>
          <m:sSubPr>
            <m:ctrlPr>
              <w:rPr>
                <w:rFonts w:ascii="Cambria Math" w:hAnsi="Cambria Math"/>
                <w:i/>
              </w:rPr>
            </m:ctrlPr>
          </m:sSubPr>
          <m:e>
            <m:r>
              <w:rPr>
                <w:rFonts w:ascii="Cambria Math" w:hAnsi="Cambria Math"/>
              </w:rPr>
              <m:t>δ</m:t>
            </m:r>
          </m:e>
          <m:sub>
            <m:r>
              <m:rPr>
                <m:sty m:val="p"/>
              </m:rPr>
              <w:rPr>
                <w:rFonts w:ascii="Cambria Math" w:hAnsi="Cambria Math"/>
              </w:rPr>
              <m:t>SRS</m:t>
            </m:r>
            <m:r>
              <w:rPr>
                <w:rFonts w:ascii="Cambria Math" w:hAnsi="Cambria Math"/>
              </w:rPr>
              <m:t>,b,f,c</m:t>
            </m:r>
          </m:sub>
        </m:sSub>
      </m:oMath>
      <w:r w:rsidRPr="00F415B1">
        <w:t xml:space="preserve"> values are given in Table 7.1.1-1</w:t>
      </w:r>
    </w:p>
    <w:p w14:paraId="2F9EA600" w14:textId="77777777" w:rsidR="009F47E8" w:rsidRPr="00F415B1" w:rsidRDefault="009F47E8" w:rsidP="009F47E8">
      <w:pPr>
        <w:pStyle w:val="B3"/>
        <w:rPr>
          <w:lang w:val="en-US"/>
        </w:rPr>
      </w:pPr>
      <w:r w:rsidRPr="00F415B1">
        <w:rPr>
          <w:lang w:val="en-US"/>
        </w:rPr>
        <w:t>-</w:t>
      </w:r>
      <w:r w:rsidRPr="00F415B1">
        <w:rPr>
          <w:lang w:val="en-US"/>
        </w:rPr>
        <w:tab/>
      </w:r>
      <m:oMath>
        <m:sSub>
          <m:sSubPr>
            <m:ctrlPr>
              <w:rPr>
                <w:rFonts w:ascii="Cambria Math" w:hAnsi="Cambria Math"/>
                <w:i/>
              </w:rPr>
            </m:ctrlPr>
          </m:sSubPr>
          <m:e>
            <m:r>
              <w:rPr>
                <w:rFonts w:ascii="Cambria Math" w:hAnsi="Cambria Math"/>
              </w:rPr>
              <m:t>δ</m:t>
            </m:r>
          </m:e>
          <m:sub>
            <m:r>
              <m:rPr>
                <m:sty m:val="p"/>
              </m:rPr>
              <w:rPr>
                <w:rFonts w:ascii="Cambria Math" w:hAnsi="Cambria Math"/>
              </w:rPr>
              <m:t>SRS</m:t>
            </m:r>
            <m:r>
              <w:rPr>
                <w:rFonts w:ascii="Cambria Math" w:hAnsi="Cambria Math"/>
              </w:rPr>
              <m:t>,b,f,c</m:t>
            </m:r>
          </m:sub>
        </m:sSub>
        <m:r>
          <w:rPr>
            <w:rFonts w:ascii="Cambria Math" w:hAnsi="Cambria Math"/>
          </w:rPr>
          <m:t>(m)</m:t>
        </m:r>
      </m:oMath>
      <w:r w:rsidRPr="00F415B1">
        <w:t xml:space="preserve"> is jointly coded with other TPC commands in a PDCCH with DCI format 2_3</w:t>
      </w:r>
      <w:r w:rsidRPr="00F415B1">
        <w:rPr>
          <w:lang w:val="en-US"/>
        </w:rPr>
        <w:t>, as described in clause 11.4</w:t>
      </w:r>
    </w:p>
    <w:p w14:paraId="74531FE5" w14:textId="77777777" w:rsidR="009F47E8" w:rsidRPr="00F415B1" w:rsidRDefault="009F47E8" w:rsidP="009F47E8">
      <w:pPr>
        <w:pStyle w:val="B3"/>
      </w:pPr>
      <w:r w:rsidRPr="00F415B1">
        <w:rPr>
          <w:lang w:val="en-US"/>
        </w:rPr>
        <w:t>-</w:t>
      </w:r>
      <w:r w:rsidRPr="00F415B1">
        <w:rPr>
          <w:lang w:val="en-US"/>
        </w:rPr>
        <w:tab/>
      </w:r>
      <m:oMath>
        <m:nary>
          <m:naryPr>
            <m:chr m:val="∑"/>
            <m:limLoc m:val="undOvr"/>
            <m:ctrlPr>
              <w:rPr>
                <w:rFonts w:ascii="Cambria Math" w:hAnsi="Cambria Math"/>
                <w:i/>
              </w:rPr>
            </m:ctrlPr>
          </m:naryPr>
          <m:sub>
            <m:r>
              <w:rPr>
                <w:rFonts w:ascii="Cambria Math" w:hAnsi="Cambria Math"/>
              </w:rPr>
              <m:t>m=0</m:t>
            </m:r>
          </m:sub>
          <m:sup>
            <m:r>
              <m:rPr>
                <m:nor/>
              </m:rPr>
              <w:rPr>
                <w:rFonts w:ascii="Freestyle Script" w:hAnsi="Freestyle Script"/>
              </w:rPr>
              <m:t>C</m:t>
            </m:r>
            <m:d>
              <m:dPr>
                <m:ctrlPr>
                  <w:rPr>
                    <w:rFonts w:ascii="Cambria Math" w:hAnsi="Cambria Math" w:cs="Helvetica"/>
                    <w:i/>
                  </w:rPr>
                </m:ctrlPr>
              </m:dPr>
              <m:e>
                <m:sSub>
                  <m:sSubPr>
                    <m:ctrlPr>
                      <w:rPr>
                        <w:rFonts w:ascii="Cambria Math" w:hAnsi="Cambria Math"/>
                        <w:i/>
                        <w:noProof/>
                      </w:rPr>
                    </m:ctrlPr>
                  </m:sSubPr>
                  <m:e>
                    <m:r>
                      <w:rPr>
                        <w:rFonts w:ascii="Cambria Math" w:hAnsi="Cambria Math"/>
                        <w:noProof/>
                      </w:rPr>
                      <m:t>S</m:t>
                    </m:r>
                  </m:e>
                  <m:sub>
                    <m:r>
                      <w:rPr>
                        <w:rFonts w:ascii="Cambria Math" w:hAnsi="Cambria Math"/>
                        <w:noProof/>
                      </w:rPr>
                      <m:t>i</m:t>
                    </m:r>
                  </m:sub>
                </m:sSub>
              </m:e>
            </m:d>
            <m:r>
              <w:rPr>
                <w:rFonts w:ascii="Cambria Math" w:hAnsi="Cambria Math" w:cs="Helvetica"/>
              </w:rPr>
              <m:t>-1</m:t>
            </m:r>
          </m:sup>
          <m:e>
            <m:sSub>
              <m:sSubPr>
                <m:ctrlPr>
                  <w:rPr>
                    <w:rFonts w:ascii="Cambria Math" w:hAnsi="Cambria Math"/>
                    <w:iCs/>
                  </w:rPr>
                </m:ctrlPr>
              </m:sSubPr>
              <m:e>
                <m:r>
                  <w:rPr>
                    <w:rFonts w:ascii="Cambria Math" w:hAnsi="Cambria Math"/>
                  </w:rPr>
                  <m:t>δ</m:t>
                </m:r>
              </m:e>
              <m:sub>
                <m:r>
                  <m:rPr>
                    <m:sty m:val="p"/>
                  </m:rPr>
                  <w:rPr>
                    <w:rFonts w:ascii="Cambria Math"/>
                  </w:rPr>
                  <m:t>SRS</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w:rPr>
                <w:rFonts w:ascii="Cambria Math" w:hAnsi="Cambria Math"/>
              </w:rPr>
              <m:t>(m)</m:t>
            </m:r>
          </m:e>
        </m:nary>
      </m:oMath>
      <w:r w:rsidRPr="00F415B1">
        <w:rPr>
          <w:noProof/>
        </w:rPr>
        <w:t xml:space="preserve"> is a sum of TPC command values in a set </w:t>
      </w:r>
      <m:oMath>
        <m:sSub>
          <m:sSubPr>
            <m:ctrlPr>
              <w:rPr>
                <w:rFonts w:ascii="Cambria Math" w:hAnsi="Cambria Math"/>
                <w:i/>
                <w:noProof/>
              </w:rPr>
            </m:ctrlPr>
          </m:sSubPr>
          <m:e>
            <m:r>
              <w:rPr>
                <w:rFonts w:ascii="Cambria Math" w:hAnsi="Cambria Math"/>
                <w:noProof/>
              </w:rPr>
              <m:t>S</m:t>
            </m:r>
          </m:e>
          <m:sub>
            <m:r>
              <w:rPr>
                <w:rFonts w:ascii="Cambria Math" w:hAnsi="Cambria Math"/>
                <w:noProof/>
              </w:rPr>
              <m:t>i</m:t>
            </m:r>
          </m:sub>
        </m:sSub>
      </m:oMath>
      <w:r w:rsidRPr="00F415B1">
        <w:t xml:space="preserve"> </w:t>
      </w:r>
      <w:r w:rsidRPr="00F415B1">
        <w:rPr>
          <w:noProof/>
        </w:rPr>
        <w:t xml:space="preserve">of TPC command values with cardinality </w:t>
      </w:r>
      <m:oMath>
        <m:r>
          <m:rPr>
            <m:nor/>
          </m:rPr>
          <w:rPr>
            <w:rFonts w:ascii="Freestyle Script" w:hAnsi="Freestyle Script"/>
          </w:rPr>
          <m:t>C</m:t>
        </m:r>
        <m:d>
          <m:dPr>
            <m:ctrlPr>
              <w:rPr>
                <w:rFonts w:ascii="Cambria Math" w:hAnsi="Cambria Math" w:cs="Helvetica"/>
                <w:i/>
              </w:rPr>
            </m:ctrlPr>
          </m:dPr>
          <m:e>
            <m:sSub>
              <m:sSubPr>
                <m:ctrlPr>
                  <w:rPr>
                    <w:rFonts w:ascii="Cambria Math" w:hAnsi="Cambria Math"/>
                    <w:i/>
                    <w:noProof/>
                  </w:rPr>
                </m:ctrlPr>
              </m:sSubPr>
              <m:e>
                <m:r>
                  <w:rPr>
                    <w:rFonts w:ascii="Cambria Math" w:hAnsi="Cambria Math"/>
                    <w:noProof/>
                  </w:rPr>
                  <m:t>S</m:t>
                </m:r>
              </m:e>
              <m:sub>
                <m:r>
                  <w:rPr>
                    <w:rFonts w:ascii="Cambria Math" w:hAnsi="Cambria Math"/>
                    <w:noProof/>
                  </w:rPr>
                  <m:t>i</m:t>
                </m:r>
              </m:sub>
            </m:sSub>
          </m:e>
        </m:d>
      </m:oMath>
      <w:r w:rsidRPr="00F415B1">
        <w:t xml:space="preserve"> </w:t>
      </w:r>
      <w:r w:rsidRPr="00F415B1">
        <w:rPr>
          <w:noProof/>
        </w:rPr>
        <w:t xml:space="preserve">that the UE receives </w:t>
      </w:r>
      <w:r w:rsidRPr="00F415B1">
        <w:t xml:space="preserve">between </w:t>
      </w:r>
      <m:oMath>
        <m:sSub>
          <m:sSubPr>
            <m:ctrlPr>
              <w:rPr>
                <w:rFonts w:ascii="Cambria Math" w:hAnsi="Cambria Math"/>
                <w:i/>
              </w:rPr>
            </m:ctrlPr>
          </m:sSubPr>
          <m:e>
            <m:r>
              <w:rPr>
                <w:rFonts w:ascii="Cambria Math" w:hAnsi="Cambria Math"/>
              </w:rPr>
              <m:t>K</m:t>
            </m:r>
          </m:e>
          <m:sub>
            <m:r>
              <m:rPr>
                <m:sty m:val="p"/>
              </m:rPr>
              <w:rPr>
                <w:rFonts w:ascii="Cambria Math" w:hAnsi="Cambria Math"/>
              </w:rPr>
              <m:t>SRS</m:t>
            </m:r>
          </m:sub>
        </m:sSub>
        <m:d>
          <m:dPr>
            <m:ctrlPr>
              <w:rPr>
                <w:rFonts w:ascii="Cambria Math" w:hAnsi="Cambria Math"/>
                <w:i/>
              </w:rPr>
            </m:ctrlPr>
          </m:dPr>
          <m:e>
            <m:r>
              <w:rPr>
                <w:rFonts w:ascii="Cambria Math" w:hAnsi="Cambria Math"/>
              </w:rPr>
              <m:t>i</m:t>
            </m:r>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e>
        </m:d>
        <m:r>
          <w:rPr>
            <w:rFonts w:ascii="Cambria Math" w:hAnsi="Cambria Math"/>
          </w:rPr>
          <m:t>-1</m:t>
        </m:r>
      </m:oMath>
      <w:r w:rsidRPr="00F415B1">
        <w:t xml:space="preserve"> symbols before SRS transmission occasion </w:t>
      </w:r>
      <m:oMath>
        <m:r>
          <w:rPr>
            <w:rFonts w:ascii="Cambria Math" w:hAnsi="Cambria Math"/>
            <w:lang w:val="en-US"/>
          </w:rPr>
          <m:t>i-</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oMath>
      <w:r w:rsidRPr="00F415B1">
        <w:t xml:space="preserve"> and </w:t>
      </w:r>
      <m:oMath>
        <m:sSub>
          <m:sSubPr>
            <m:ctrlPr>
              <w:rPr>
                <w:rFonts w:ascii="Cambria Math" w:hAnsi="Cambria Math"/>
                <w:i/>
              </w:rPr>
            </m:ctrlPr>
          </m:sSubPr>
          <m:e>
            <m:r>
              <w:rPr>
                <w:rFonts w:ascii="Cambria Math" w:hAnsi="Cambria Math"/>
              </w:rPr>
              <m:t>K</m:t>
            </m:r>
          </m:e>
          <m:sub>
            <m:r>
              <m:rPr>
                <m:sty m:val="p"/>
              </m:rPr>
              <w:rPr>
                <w:rFonts w:ascii="Cambria Math" w:hAnsi="Cambria Math"/>
              </w:rPr>
              <m:t>SRS</m:t>
            </m:r>
          </m:sub>
        </m:sSub>
        <m:r>
          <w:rPr>
            <w:rFonts w:ascii="Cambria Math" w:hAnsi="Cambria Math"/>
          </w:rPr>
          <m:t>(i)</m:t>
        </m:r>
      </m:oMath>
      <w:r w:rsidRPr="00F415B1">
        <w:t xml:space="preserve"> symbols before SRS transmission occasion </w:t>
      </w:r>
      <m:oMath>
        <m:r>
          <w:rPr>
            <w:rFonts w:ascii="Cambria Math" w:hAnsi="Cambria Math"/>
          </w:rPr>
          <m:t>i</m:t>
        </m:r>
      </m:oMath>
      <w:r w:rsidRPr="00F415B1">
        <w:t xml:space="preserve"> on active </w:t>
      </w:r>
      <w:r w:rsidRPr="00F415B1">
        <w:rPr>
          <w:lang w:val="en-US"/>
        </w:rPr>
        <w:t xml:space="preserve">UL BWP </w:t>
      </w:r>
      <m:oMath>
        <m:r>
          <w:rPr>
            <w:rFonts w:ascii="Cambria Math" w:hAnsi="Cambria Math"/>
          </w:rPr>
          <m:t>b</m:t>
        </m:r>
      </m:oMath>
      <w:r w:rsidRPr="00F415B1">
        <w:rPr>
          <w:iCs/>
          <w:lang w:val="en-US"/>
        </w:rPr>
        <w:t xml:space="preserve"> </w:t>
      </w:r>
      <w:r w:rsidRPr="00F415B1">
        <w:rPr>
          <w:lang w:val="en-US"/>
        </w:rPr>
        <w:t xml:space="preserve">of carrier </w:t>
      </w:r>
      <m:oMath>
        <m:r>
          <w:rPr>
            <w:rFonts w:ascii="Cambria Math" w:hAnsi="Cambria Math"/>
          </w:rPr>
          <m:t>f</m:t>
        </m:r>
      </m:oMath>
      <w:r w:rsidRPr="00F415B1">
        <w:rPr>
          <w:iCs/>
          <w:lang w:val="en-US"/>
        </w:rPr>
        <w:t xml:space="preserve"> of</w:t>
      </w:r>
      <w:r w:rsidRPr="00F415B1">
        <w:t xml:space="preserve"> serving cell </w:t>
      </w:r>
      <m:oMath>
        <m:r>
          <w:rPr>
            <w:rFonts w:ascii="Cambria Math" w:hAnsi="Cambria Math"/>
          </w:rPr>
          <m:t>c</m:t>
        </m:r>
      </m:oMath>
      <w:r w:rsidRPr="00F415B1">
        <w:t xml:space="preserve"> for SRS power control adjustment state, where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r>
          <w:rPr>
            <w:rFonts w:ascii="Cambria Math" w:hAnsi="Cambria Math"/>
            <w:lang w:val="en-US"/>
          </w:rPr>
          <m:t>&gt;0</m:t>
        </m:r>
      </m:oMath>
      <w:r w:rsidRPr="00F415B1">
        <w:t xml:space="preserve"> is the smallest integer for which </w:t>
      </w:r>
      <m:oMath>
        <m:sSub>
          <m:sSubPr>
            <m:ctrlPr>
              <w:rPr>
                <w:rFonts w:ascii="Cambria Math" w:hAnsi="Cambria Math"/>
                <w:i/>
              </w:rPr>
            </m:ctrlPr>
          </m:sSubPr>
          <m:e>
            <m:r>
              <w:rPr>
                <w:rFonts w:ascii="Cambria Math" w:hAnsi="Cambria Math"/>
              </w:rPr>
              <m:t>K</m:t>
            </m:r>
          </m:e>
          <m:sub>
            <m:r>
              <m:rPr>
                <m:sty m:val="p"/>
              </m:rPr>
              <w:rPr>
                <w:rFonts w:ascii="Cambria Math" w:hAnsi="Cambria Math"/>
              </w:rPr>
              <m:t>SRS</m:t>
            </m:r>
          </m:sub>
        </m:sSub>
        <m:r>
          <w:rPr>
            <w:rFonts w:ascii="Cambria Math" w:hAnsi="Cambria Math"/>
          </w:rPr>
          <m:t>(i)</m:t>
        </m:r>
      </m:oMath>
      <w:r w:rsidRPr="00F415B1">
        <w:t xml:space="preserve"> symbols before SRS transmission occasion </w:t>
      </w:r>
      <m:oMath>
        <m:r>
          <w:rPr>
            <w:rFonts w:ascii="Cambria Math" w:hAnsi="Cambria Math"/>
            <w:lang w:val="en-US"/>
          </w:rPr>
          <m:t>i-</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oMath>
      <w:r w:rsidRPr="00F415B1">
        <w:t xml:space="preserve"> is earlier than </w:t>
      </w:r>
      <m:oMath>
        <m:sSub>
          <m:sSubPr>
            <m:ctrlPr>
              <w:rPr>
                <w:rFonts w:ascii="Cambria Math" w:hAnsi="Cambria Math"/>
                <w:i/>
              </w:rPr>
            </m:ctrlPr>
          </m:sSubPr>
          <m:e>
            <m:r>
              <w:rPr>
                <w:rFonts w:ascii="Cambria Math" w:hAnsi="Cambria Math"/>
              </w:rPr>
              <m:t>K</m:t>
            </m:r>
          </m:e>
          <m:sub>
            <m:r>
              <m:rPr>
                <m:sty m:val="p"/>
              </m:rPr>
              <w:rPr>
                <w:rFonts w:ascii="Cambria Math" w:hAnsi="Cambria Math"/>
              </w:rPr>
              <m:t>SRS</m:t>
            </m:r>
          </m:sub>
        </m:sSub>
        <m:r>
          <w:rPr>
            <w:rFonts w:ascii="Cambria Math" w:hAnsi="Cambria Math"/>
          </w:rPr>
          <m:t>(i</m:t>
        </m:r>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r>
          <w:rPr>
            <w:rFonts w:ascii="Cambria Math" w:hAnsi="Cambria Math"/>
          </w:rPr>
          <m:t>)</m:t>
        </m:r>
      </m:oMath>
      <w:r w:rsidRPr="00F415B1">
        <w:t xml:space="preserve"> symbols before SRS transmission occasion </w:t>
      </w:r>
      <m:oMath>
        <m:r>
          <w:rPr>
            <w:rFonts w:ascii="Cambria Math" w:hAnsi="Cambria Math"/>
          </w:rPr>
          <m:t>i</m:t>
        </m:r>
      </m:oMath>
    </w:p>
    <w:p w14:paraId="33FB827D" w14:textId="77777777" w:rsidR="009F47E8" w:rsidRPr="00F415B1" w:rsidRDefault="009F47E8" w:rsidP="009F47E8">
      <w:pPr>
        <w:pStyle w:val="B3"/>
        <w:rPr>
          <w:lang w:val="en-US"/>
        </w:rPr>
      </w:pPr>
      <w:r w:rsidRPr="00F415B1">
        <w:t>-</w:t>
      </w:r>
      <w:r w:rsidRPr="00F415B1">
        <w:tab/>
        <w:t xml:space="preserve">if the SRS transmission is aperiodic, </w:t>
      </w:r>
      <m:oMath>
        <m:sSub>
          <m:sSubPr>
            <m:ctrlPr>
              <w:rPr>
                <w:rFonts w:ascii="Cambria Math" w:hAnsi="Cambria Math"/>
                <w:i/>
              </w:rPr>
            </m:ctrlPr>
          </m:sSubPr>
          <m:e>
            <m:r>
              <w:rPr>
                <w:rFonts w:ascii="Cambria Math" w:hAnsi="Cambria Math"/>
              </w:rPr>
              <m:t>K</m:t>
            </m:r>
          </m:e>
          <m:sub>
            <m:r>
              <m:rPr>
                <m:sty m:val="p"/>
              </m:rPr>
              <w:rPr>
                <w:rFonts w:ascii="Cambria Math" w:hAnsi="Cambria Math"/>
              </w:rPr>
              <m:t>SRS</m:t>
            </m:r>
          </m:sub>
        </m:sSub>
        <m:r>
          <w:rPr>
            <w:rFonts w:ascii="Cambria Math" w:hAnsi="Cambria Math"/>
          </w:rPr>
          <m:t>(i)</m:t>
        </m:r>
      </m:oMath>
      <w:r w:rsidRPr="00F415B1">
        <w:t xml:space="preserve"> is a number of symbols for active </w:t>
      </w:r>
      <w:r w:rsidRPr="00F415B1">
        <w:rPr>
          <w:lang w:val="en-US"/>
        </w:rPr>
        <w:t xml:space="preserve">UL BWP </w:t>
      </w:r>
      <m:oMath>
        <m:r>
          <w:rPr>
            <w:rFonts w:ascii="Cambria Math" w:hAnsi="Cambria Math"/>
          </w:rPr>
          <m:t>b</m:t>
        </m:r>
      </m:oMath>
      <w:r w:rsidRPr="00F415B1">
        <w:rPr>
          <w:iCs/>
          <w:lang w:val="en-US"/>
        </w:rPr>
        <w:t xml:space="preserve"> </w:t>
      </w:r>
      <w:r w:rsidRPr="00F415B1">
        <w:rPr>
          <w:lang w:val="en-US"/>
        </w:rPr>
        <w:t xml:space="preserve">of carrier </w:t>
      </w:r>
      <m:oMath>
        <m:r>
          <w:rPr>
            <w:rFonts w:ascii="Cambria Math" w:hAnsi="Cambria Math"/>
          </w:rPr>
          <m:t>f</m:t>
        </m:r>
      </m:oMath>
      <w:r w:rsidRPr="00F415B1">
        <w:rPr>
          <w:iCs/>
          <w:lang w:val="en-US"/>
        </w:rPr>
        <w:t xml:space="preserve"> of</w:t>
      </w:r>
      <w:r w:rsidRPr="00F415B1">
        <w:t xml:space="preserve"> serving cell </w:t>
      </w:r>
      <m:oMath>
        <m:r>
          <w:rPr>
            <w:rFonts w:ascii="Cambria Math" w:hAnsi="Cambria Math"/>
          </w:rPr>
          <m:t>c</m:t>
        </m:r>
      </m:oMath>
      <w:r w:rsidRPr="00F415B1">
        <w:t xml:space="preserve"> after a last symbol of a corresponding PDCCH </w:t>
      </w:r>
      <w:r w:rsidRPr="00F415B1">
        <w:rPr>
          <w:rFonts w:eastAsia="DengXian" w:hint="eastAsia"/>
          <w:lang w:eastAsia="zh-CN"/>
        </w:rPr>
        <w:t>triggering the SRS transmission</w:t>
      </w:r>
      <w:r w:rsidRPr="00F415B1">
        <w:rPr>
          <w:rFonts w:eastAsia="DengXian"/>
        </w:rPr>
        <w:t xml:space="preserve"> </w:t>
      </w:r>
      <w:r w:rsidRPr="00F415B1">
        <w:t xml:space="preserve">and before a first symbol of the SRS transmission </w:t>
      </w:r>
    </w:p>
    <w:p w14:paraId="0640D991" w14:textId="77777777" w:rsidR="00CB1D2F" w:rsidRPr="00CB1D2F" w:rsidRDefault="009F47E8" w:rsidP="00CB1D2F">
      <w:pPr>
        <w:pStyle w:val="B3"/>
        <w:rPr>
          <w:rFonts w:eastAsia="Times New Roman"/>
        </w:rPr>
      </w:pPr>
      <w:r w:rsidRPr="00F415B1">
        <w:t>-</w:t>
      </w:r>
      <w:r w:rsidRPr="00F415B1">
        <w:tab/>
        <w:t xml:space="preserve">if the SRS transmission is semi-persistent or periodic, </w:t>
      </w:r>
      <m:oMath>
        <m:sSub>
          <m:sSubPr>
            <m:ctrlPr>
              <w:rPr>
                <w:rFonts w:ascii="Cambria Math" w:hAnsi="Cambria Math"/>
                <w:i/>
              </w:rPr>
            </m:ctrlPr>
          </m:sSubPr>
          <m:e>
            <m:r>
              <w:rPr>
                <w:rFonts w:ascii="Cambria Math" w:hAnsi="Cambria Math"/>
              </w:rPr>
              <m:t>K</m:t>
            </m:r>
          </m:e>
          <m:sub>
            <m:r>
              <m:rPr>
                <m:sty m:val="p"/>
              </m:rPr>
              <w:rPr>
                <w:rFonts w:ascii="Cambria Math" w:hAnsi="Cambria Math"/>
              </w:rPr>
              <m:t>SRS</m:t>
            </m:r>
          </m:sub>
        </m:sSub>
        <m:r>
          <w:rPr>
            <w:rFonts w:ascii="Cambria Math" w:hAnsi="Cambria Math"/>
          </w:rPr>
          <m:t>(i)</m:t>
        </m:r>
      </m:oMath>
      <w:r w:rsidRPr="00F415B1">
        <w:t xml:space="preserve"> is a number of </w:t>
      </w:r>
      <m:oMath>
        <m:sSub>
          <m:sSubPr>
            <m:ctrlPr>
              <w:rPr>
                <w:rFonts w:ascii="Cambria Math" w:hAnsi="Cambria Math"/>
                <w:i/>
              </w:rPr>
            </m:ctrlPr>
          </m:sSubPr>
          <m:e>
            <m:r>
              <w:rPr>
                <w:rFonts w:ascii="Cambria Math" w:hAnsi="Cambria Math"/>
              </w:rPr>
              <m:t>K</m:t>
            </m:r>
          </m:e>
          <m:sub>
            <m:r>
              <m:rPr>
                <m:sty m:val="p"/>
              </m:rPr>
              <w:rPr>
                <w:rFonts w:ascii="Cambria Math" w:hAnsi="Cambria Math"/>
              </w:rPr>
              <m:t>SRS,min</m:t>
            </m:r>
          </m:sub>
        </m:sSub>
      </m:oMath>
      <w:r w:rsidRPr="00F415B1">
        <w:t xml:space="preserve"> symbols equal to the product of a number of symbols per slot,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symb</m:t>
            </m:r>
          </m:sub>
          <m:sup>
            <m:r>
              <m:rPr>
                <m:sty m:val="p"/>
              </m:rPr>
              <w:rPr>
                <w:rFonts w:ascii="Cambria Math" w:hAnsi="Cambria Math"/>
              </w:rPr>
              <m:t>slot</m:t>
            </m:r>
          </m:sup>
        </m:sSubSup>
      </m:oMath>
      <w:r w:rsidRPr="00F415B1">
        <w:t xml:space="preserve">, and the minimum of the values provided by </w:t>
      </w:r>
      <w:r w:rsidRPr="00F415B1">
        <w:rPr>
          <w:i/>
        </w:rPr>
        <w:t>k2</w:t>
      </w:r>
      <w:r w:rsidRPr="00F415B1">
        <w:t xml:space="preserve"> </w:t>
      </w:r>
      <w:r w:rsidRPr="00F415B1">
        <w:rPr>
          <w:rFonts w:hint="eastAsia"/>
        </w:rPr>
        <w:t xml:space="preserve">in </w:t>
      </w:r>
      <w:r w:rsidRPr="00F415B1">
        <w:rPr>
          <w:rFonts w:hint="eastAsia"/>
          <w:i/>
          <w:iCs/>
        </w:rPr>
        <w:t>PUSCH-ConfigCommon</w:t>
      </w:r>
      <w:r w:rsidRPr="00F415B1">
        <w:rPr>
          <w:rFonts w:hint="eastAsia"/>
          <w:iCs/>
        </w:rPr>
        <w:t xml:space="preserve"> </w:t>
      </w:r>
      <w:r w:rsidRPr="00F415B1">
        <w:t xml:space="preserve">for active </w:t>
      </w:r>
      <w:r w:rsidRPr="00F415B1">
        <w:rPr>
          <w:lang w:val="en-US"/>
        </w:rPr>
        <w:t xml:space="preserve">UL BWP </w:t>
      </w:r>
      <m:oMath>
        <m:r>
          <w:rPr>
            <w:rFonts w:ascii="Cambria Math" w:hAnsi="Cambria Math"/>
          </w:rPr>
          <m:t>b</m:t>
        </m:r>
      </m:oMath>
      <w:r w:rsidRPr="00F415B1">
        <w:rPr>
          <w:iCs/>
          <w:lang w:val="en-US"/>
        </w:rPr>
        <w:t xml:space="preserve"> </w:t>
      </w:r>
      <w:r w:rsidRPr="00F415B1">
        <w:rPr>
          <w:lang w:val="en-US"/>
        </w:rPr>
        <w:t xml:space="preserve">of carrier </w:t>
      </w:r>
      <m:oMath>
        <m:r>
          <w:rPr>
            <w:rFonts w:ascii="Cambria Math" w:hAnsi="Cambria Math"/>
          </w:rPr>
          <m:t>f</m:t>
        </m:r>
      </m:oMath>
      <w:r w:rsidRPr="00F415B1">
        <w:rPr>
          <w:iCs/>
          <w:lang w:val="en-US"/>
        </w:rPr>
        <w:t xml:space="preserve"> of</w:t>
      </w:r>
      <w:r w:rsidRPr="00F415B1">
        <w:t xml:space="preserve"> serving cell </w:t>
      </w:r>
      <m:oMath>
        <m:r>
          <w:rPr>
            <w:rFonts w:ascii="Cambria Math" w:hAnsi="Cambria Math"/>
          </w:rPr>
          <m:t>c</m:t>
        </m:r>
      </m:oMath>
      <w:r w:rsidRPr="00F415B1">
        <w:t xml:space="preserve"> </w:t>
      </w:r>
    </w:p>
    <w:p w14:paraId="52C9B745" w14:textId="606C1CA4" w:rsidR="009F47E8" w:rsidRPr="00CB1D2F" w:rsidRDefault="00CB1D2F" w:rsidP="00CB1D2F">
      <w:pPr>
        <w:pStyle w:val="B4"/>
        <w:rPr>
          <w:lang w:val="en-US"/>
        </w:rPr>
      </w:pPr>
      <w:r w:rsidRPr="00CB1D2F">
        <w:t>-</w:t>
      </w:r>
      <w:r w:rsidRPr="00CB1D2F">
        <w:tab/>
        <w:t xml:space="preserve">If the first symbol of the SRS transmission occasion occurs within </w:t>
      </w:r>
      <m:oMath>
        <m:sSub>
          <m:sSubPr>
            <m:ctrlPr>
              <w:rPr>
                <w:rFonts w:ascii="Cambria Math" w:hAnsi="Cambria Math"/>
                <w:i/>
                <w:iCs/>
                <w:sz w:val="24"/>
                <w:szCs w:val="24"/>
              </w:rPr>
            </m:ctrlPr>
          </m:sSubPr>
          <m:e>
            <m:r>
              <w:rPr>
                <w:rFonts w:ascii="Cambria Math" w:hAnsi="Cambria Math"/>
              </w:rPr>
              <m:t>T</m:t>
            </m:r>
          </m:e>
          <m:sub>
            <m:r>
              <m:rPr>
                <m:sty m:val="p"/>
              </m:rPr>
              <w:rPr>
                <w:rFonts w:ascii="Cambria Math" w:hAnsi="Cambria Math"/>
              </w:rPr>
              <m:t>proc,2</m:t>
            </m:r>
            <m:ctrlPr>
              <w:rPr>
                <w:rFonts w:ascii="Cambria Math" w:hAnsi="Cambria Math"/>
                <w:sz w:val="24"/>
                <w:szCs w:val="24"/>
              </w:rPr>
            </m:ctrlPr>
          </m:sub>
        </m:sSub>
      </m:oMath>
      <w:r w:rsidRPr="00CB1D2F">
        <w:rPr>
          <w:sz w:val="24"/>
          <w:szCs w:val="24"/>
        </w:rPr>
        <w:t xml:space="preserve"> </w:t>
      </w:r>
      <w:r w:rsidRPr="00CB1D2F">
        <w:t xml:space="preserve">after a last symbol of a </w:t>
      </w:r>
      <w:r w:rsidR="00F90D83">
        <w:t>PDCCH reception</w:t>
      </w:r>
      <w:r w:rsidRPr="00CB1D2F">
        <w:t xml:space="preserve"> where the UE detects the DCI format providing the TPC command, the UE may postpone the application of the TPC until the above condition is not valid</w:t>
      </w:r>
      <w:r w:rsidRPr="00CB1D2F">
        <w:rPr>
          <w:sz w:val="24"/>
          <w:szCs w:val="24"/>
        </w:rPr>
        <w:t xml:space="preserve">. </w:t>
      </w:r>
      <m:oMath>
        <m:sSub>
          <m:sSubPr>
            <m:ctrlPr>
              <w:rPr>
                <w:rFonts w:ascii="Cambria Math" w:hAnsi="Cambria Math"/>
                <w:i/>
                <w:iCs/>
                <w:sz w:val="24"/>
                <w:szCs w:val="24"/>
              </w:rPr>
            </m:ctrlPr>
          </m:sSubPr>
          <m:e>
            <m:r>
              <w:rPr>
                <w:rFonts w:ascii="Cambria Math" w:hAnsi="Cambria Math"/>
              </w:rPr>
              <m:t>T</m:t>
            </m:r>
          </m:e>
          <m:sub>
            <m:r>
              <m:rPr>
                <m:sty m:val="p"/>
              </m:rPr>
              <w:rPr>
                <w:rFonts w:ascii="Cambria Math" w:hAnsi="Cambria Math"/>
              </w:rPr>
              <m:t>proc,2</m:t>
            </m:r>
          </m:sub>
        </m:sSub>
      </m:oMath>
      <w:r w:rsidRPr="00CB1D2F">
        <w:t xml:space="preserve"> is the PUSCH preparation time for the corresponding UE processing capability [6, TS 38.214] assuming </w:t>
      </w:r>
      <m:oMath>
        <m:sSub>
          <m:sSubPr>
            <m:ctrlPr>
              <w:rPr>
                <w:rFonts w:ascii="Cambria Math" w:hAnsi="Cambria Math"/>
                <w:i/>
                <w:iCs/>
                <w:sz w:val="24"/>
                <w:szCs w:val="24"/>
              </w:rPr>
            </m:ctrlPr>
          </m:sSubPr>
          <m:e>
            <m:r>
              <w:rPr>
                <w:rFonts w:ascii="Cambria Math" w:hAnsi="Cambria Math"/>
              </w:rPr>
              <m:t>d</m:t>
            </m:r>
          </m:e>
          <m:sub>
            <m:r>
              <m:rPr>
                <m:sty m:val="p"/>
              </m:rPr>
              <w:rPr>
                <w:rFonts w:ascii="Cambria Math" w:hAnsi="Cambria Math"/>
              </w:rPr>
              <m:t>2,1</m:t>
            </m:r>
            <m:ctrlPr>
              <w:rPr>
                <w:rFonts w:ascii="Cambria Math" w:hAnsi="Cambria Math"/>
                <w:sz w:val="24"/>
                <w:szCs w:val="24"/>
              </w:rPr>
            </m:ctrlPr>
          </m:sub>
        </m:sSub>
        <m:r>
          <w:rPr>
            <w:rFonts w:ascii="Cambria Math" w:hAnsi="Cambria Math"/>
          </w:rPr>
          <m:t>=0</m:t>
        </m:r>
      </m:oMath>
      <w:r w:rsidRPr="00CB1D2F">
        <w:rPr>
          <w:iCs/>
        </w:rPr>
        <w:t xml:space="preserve">, </w:t>
      </w:r>
      <w:r w:rsidRPr="00CB1D2F">
        <w:t xml:space="preserve">and </w:t>
      </w:r>
      <m:oMath>
        <m:r>
          <w:rPr>
            <w:rFonts w:ascii="Cambria Math" w:hAnsi="Cambria Math"/>
          </w:rPr>
          <m:t>μ</m:t>
        </m:r>
      </m:oMath>
      <w:r w:rsidRPr="00CB1D2F">
        <w:t xml:space="preserve"> corresponds to the smallest SCS configuration between the SCS configuration of the PDCCH carrying the DCI format and the SCS configuration of the SRS.</w:t>
      </w:r>
    </w:p>
    <w:p w14:paraId="1F88C54F" w14:textId="77777777" w:rsidR="009F47E8" w:rsidRPr="00F415B1" w:rsidRDefault="009F47E8" w:rsidP="009F47E8">
      <w:pPr>
        <w:pStyle w:val="B3"/>
        <w:rPr>
          <w:lang w:val="en-US"/>
        </w:rPr>
      </w:pPr>
      <w:r w:rsidRPr="00F415B1">
        <w:lastRenderedPageBreak/>
        <w:t>-</w:t>
      </w:r>
      <w:r w:rsidRPr="00F415B1">
        <w:tab/>
        <w:t xml:space="preserve">If </w:t>
      </w:r>
      <w:r w:rsidRPr="00F415B1">
        <w:rPr>
          <w:lang w:val="en-US"/>
        </w:rPr>
        <w:t xml:space="preserve">the </w:t>
      </w:r>
      <w:r w:rsidRPr="00F415B1">
        <w:t xml:space="preserve">UE has reached maximum power for active </w:t>
      </w:r>
      <w:r w:rsidRPr="00F415B1">
        <w:rPr>
          <w:lang w:val="en-US"/>
        </w:rPr>
        <w:t xml:space="preserve">UL BWP </w:t>
      </w:r>
      <m:oMath>
        <m:r>
          <w:rPr>
            <w:rFonts w:ascii="Cambria Math" w:hAnsi="Cambria Math"/>
          </w:rPr>
          <m:t>b</m:t>
        </m:r>
      </m:oMath>
      <w:r w:rsidRPr="00F415B1">
        <w:rPr>
          <w:iCs/>
          <w:lang w:val="en-US"/>
        </w:rPr>
        <w:t xml:space="preserve"> </w:t>
      </w:r>
      <w:r w:rsidRPr="00F415B1">
        <w:rPr>
          <w:lang w:val="en-US"/>
        </w:rPr>
        <w:t xml:space="preserve">of </w:t>
      </w:r>
      <w:r w:rsidRPr="00F415B1">
        <w:t xml:space="preserve">carrier </w:t>
      </w:r>
      <m:oMath>
        <m:r>
          <w:rPr>
            <w:rFonts w:ascii="Cambria Math" w:hAnsi="Cambria Math"/>
          </w:rPr>
          <m:t>f</m:t>
        </m:r>
      </m:oMath>
      <w:r w:rsidRPr="00F415B1">
        <w:rPr>
          <w:iCs/>
        </w:rPr>
        <w:t xml:space="preserve"> of</w:t>
      </w:r>
      <w:r w:rsidRPr="00F415B1">
        <w:t xml:space="preserve"> serving cell </w:t>
      </w:r>
      <m:oMath>
        <m:r>
          <w:rPr>
            <w:rFonts w:ascii="Cambria Math" w:hAnsi="Cambria Math"/>
          </w:rPr>
          <m:t>c</m:t>
        </m:r>
      </m:oMath>
      <w:r w:rsidRPr="00F415B1">
        <w:t xml:space="preserve"> at SRS transmission occasion </w:t>
      </w:r>
      <m:oMath>
        <m:r>
          <w:rPr>
            <w:rFonts w:ascii="Cambria Math" w:hAnsi="Cambria Math"/>
            <w:lang w:val="en-US"/>
          </w:rPr>
          <m:t>i-</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oMath>
      <w:r w:rsidRPr="00F415B1">
        <w:t xml:space="preserve"> and </w:t>
      </w:r>
      <m:oMath>
        <m:nary>
          <m:naryPr>
            <m:chr m:val="∑"/>
            <m:limLoc m:val="undOvr"/>
            <m:ctrlPr>
              <w:rPr>
                <w:rFonts w:ascii="Cambria Math" w:hAnsi="Cambria Math"/>
                <w:i/>
              </w:rPr>
            </m:ctrlPr>
          </m:naryPr>
          <m:sub>
            <m:r>
              <w:rPr>
                <w:rFonts w:ascii="Cambria Math" w:hAnsi="Cambria Math"/>
              </w:rPr>
              <m:t>m=0</m:t>
            </m:r>
          </m:sub>
          <m:sup>
            <m:r>
              <m:rPr>
                <m:nor/>
              </m:rPr>
              <w:rPr>
                <w:rFonts w:ascii="Freestyle Script" w:hAnsi="Freestyle Script"/>
              </w:rPr>
              <m:t>C</m:t>
            </m:r>
            <m:d>
              <m:dPr>
                <m:ctrlPr>
                  <w:rPr>
                    <w:rFonts w:ascii="Cambria Math" w:hAnsi="Cambria Math" w:cs="Helvetica"/>
                    <w:i/>
                  </w:rPr>
                </m:ctrlPr>
              </m:dPr>
              <m:e>
                <m:sSub>
                  <m:sSubPr>
                    <m:ctrlPr>
                      <w:rPr>
                        <w:rFonts w:ascii="Cambria Math" w:hAnsi="Cambria Math"/>
                        <w:i/>
                        <w:noProof/>
                      </w:rPr>
                    </m:ctrlPr>
                  </m:sSubPr>
                  <m:e>
                    <m:r>
                      <w:rPr>
                        <w:rFonts w:ascii="Cambria Math" w:hAnsi="Cambria Math"/>
                        <w:noProof/>
                      </w:rPr>
                      <m:t>S</m:t>
                    </m:r>
                  </m:e>
                  <m:sub>
                    <m:r>
                      <w:rPr>
                        <w:rFonts w:ascii="Cambria Math" w:hAnsi="Cambria Math"/>
                        <w:noProof/>
                      </w:rPr>
                      <m:t>i</m:t>
                    </m:r>
                  </m:sub>
                </m:sSub>
              </m:e>
            </m:d>
            <m:r>
              <w:rPr>
                <w:rFonts w:ascii="Cambria Math" w:hAnsi="Cambria Math" w:cs="Helvetica"/>
              </w:rPr>
              <m:t>-1</m:t>
            </m:r>
          </m:sup>
          <m:e>
            <m:sSub>
              <m:sSubPr>
                <m:ctrlPr>
                  <w:rPr>
                    <w:rFonts w:ascii="Cambria Math" w:hAnsi="Cambria Math"/>
                    <w:iCs/>
                  </w:rPr>
                </m:ctrlPr>
              </m:sSubPr>
              <m:e>
                <m:r>
                  <w:rPr>
                    <w:rFonts w:ascii="Cambria Math" w:hAnsi="Cambria Math"/>
                  </w:rPr>
                  <m:t>δ</m:t>
                </m:r>
              </m:e>
              <m:sub>
                <m:r>
                  <m:rPr>
                    <m:sty m:val="p"/>
                  </m:rPr>
                  <w:rPr>
                    <w:rFonts w:ascii="Cambria Math"/>
                  </w:rPr>
                  <m:t>SRS</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w:rPr>
                <w:rFonts w:ascii="Cambria Math" w:hAnsi="Cambria Math"/>
              </w:rPr>
              <m:t>(m)</m:t>
            </m:r>
          </m:e>
        </m:nary>
        <m:r>
          <w:rPr>
            <w:rFonts w:ascii="Cambria Math" w:hAnsi="Cambria Math"/>
          </w:rPr>
          <m:t>≥0</m:t>
        </m:r>
      </m:oMath>
      <w:r w:rsidRPr="00F415B1">
        <w:t xml:space="preserve">, then </w:t>
      </w:r>
      <m:oMath>
        <m:sSub>
          <m:sSubPr>
            <m:ctrlPr>
              <w:rPr>
                <w:rFonts w:ascii="Cambria Math" w:hAnsi="Cambria Math"/>
                <w:i/>
              </w:rPr>
            </m:ctrlPr>
          </m:sSubPr>
          <m:e>
            <m:r>
              <w:rPr>
                <w:rFonts w:ascii="Cambria Math" w:hAnsi="Cambria Math"/>
              </w:rPr>
              <m:t>h</m:t>
            </m:r>
          </m:e>
          <m:sub>
            <m:r>
              <w:rPr>
                <w:rFonts w:ascii="Cambria Math" w:hAnsi="Cambria Math"/>
              </w:rPr>
              <m:t>b,f,c</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b,f,c</m:t>
            </m:r>
          </m:sub>
        </m:sSub>
        <m:d>
          <m:dPr>
            <m:ctrlPr>
              <w:rPr>
                <w:rFonts w:ascii="Cambria Math" w:hAnsi="Cambria Math"/>
                <w:i/>
              </w:rPr>
            </m:ctrlPr>
          </m:dPr>
          <m:e>
            <m:r>
              <w:rPr>
                <w:rFonts w:ascii="Cambria Math" w:hAnsi="Cambria Math"/>
                <w:lang w:val="en-US"/>
              </w:rPr>
              <m:t>i-</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e>
        </m:d>
      </m:oMath>
    </w:p>
    <w:p w14:paraId="7EC61099" w14:textId="77777777" w:rsidR="003C14C4" w:rsidRPr="00F415B1" w:rsidRDefault="003C14C4" w:rsidP="003C14C4">
      <w:pPr>
        <w:pStyle w:val="B3"/>
        <w:rPr>
          <w:lang w:val="en-US"/>
        </w:rPr>
      </w:pPr>
      <w:r w:rsidRPr="00F415B1">
        <w:t>-</w:t>
      </w:r>
      <w:r w:rsidRPr="00F415B1">
        <w:tab/>
        <w:t>If UE has reached minimum power</w:t>
      </w:r>
      <w:r w:rsidRPr="00F415B1">
        <w:rPr>
          <w:lang w:val="en-US"/>
        </w:rPr>
        <w:t xml:space="preserve"> </w:t>
      </w:r>
      <w:r w:rsidRPr="00F415B1">
        <w:t xml:space="preserve">for active </w:t>
      </w:r>
      <w:r w:rsidRPr="00F415B1">
        <w:rPr>
          <w:lang w:val="en-US"/>
        </w:rPr>
        <w:t xml:space="preserve">UL BWP </w:t>
      </w:r>
      <m:oMath>
        <m:r>
          <w:rPr>
            <w:rFonts w:ascii="Cambria Math" w:hAnsi="Cambria Math"/>
          </w:rPr>
          <m:t>b</m:t>
        </m:r>
      </m:oMath>
      <w:r w:rsidRPr="00F415B1">
        <w:rPr>
          <w:iCs/>
          <w:lang w:val="en-US"/>
        </w:rPr>
        <w:t xml:space="preserve"> </w:t>
      </w:r>
      <w:r w:rsidRPr="00F415B1">
        <w:rPr>
          <w:lang w:val="en-US"/>
        </w:rPr>
        <w:t xml:space="preserve">of </w:t>
      </w:r>
      <w:r w:rsidRPr="00F415B1">
        <w:t xml:space="preserve">carrier </w:t>
      </w:r>
      <m:oMath>
        <m:r>
          <w:rPr>
            <w:rFonts w:ascii="Cambria Math" w:hAnsi="Cambria Math"/>
          </w:rPr>
          <m:t>f</m:t>
        </m:r>
      </m:oMath>
      <w:r w:rsidRPr="00F415B1">
        <w:rPr>
          <w:iCs/>
        </w:rPr>
        <w:t xml:space="preserve"> of</w:t>
      </w:r>
      <w:r w:rsidRPr="00F415B1">
        <w:t xml:space="preserve"> serving cell </w:t>
      </w:r>
      <m:oMath>
        <m:r>
          <w:rPr>
            <w:rFonts w:ascii="Cambria Math" w:hAnsi="Cambria Math"/>
          </w:rPr>
          <m:t>c</m:t>
        </m:r>
      </m:oMath>
      <w:r w:rsidRPr="00F415B1">
        <w:rPr>
          <w:iCs/>
        </w:rPr>
        <w:t xml:space="preserve"> </w:t>
      </w:r>
      <w:r w:rsidRPr="00F415B1">
        <w:t xml:space="preserve">at SRS transmission occasion </w:t>
      </w:r>
      <m:oMath>
        <m:r>
          <w:rPr>
            <w:rFonts w:ascii="Cambria Math" w:hAnsi="Cambria Math"/>
            <w:lang w:val="en-US"/>
          </w:rPr>
          <m:t>i-</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oMath>
      <w:r w:rsidRPr="00F415B1">
        <w:t xml:space="preserve"> and </w:t>
      </w:r>
      <m:oMath>
        <m:nary>
          <m:naryPr>
            <m:chr m:val="∑"/>
            <m:limLoc m:val="undOvr"/>
            <m:ctrlPr>
              <w:rPr>
                <w:rFonts w:ascii="Cambria Math" w:hAnsi="Cambria Math"/>
                <w:i/>
              </w:rPr>
            </m:ctrlPr>
          </m:naryPr>
          <m:sub>
            <m:r>
              <w:rPr>
                <w:rFonts w:ascii="Cambria Math" w:hAnsi="Cambria Math"/>
              </w:rPr>
              <m:t>m=0</m:t>
            </m:r>
          </m:sub>
          <m:sup>
            <m:r>
              <m:rPr>
                <m:nor/>
              </m:rPr>
              <w:rPr>
                <w:rFonts w:ascii="Freestyle Script" w:hAnsi="Freestyle Script"/>
              </w:rPr>
              <m:t>C</m:t>
            </m:r>
            <m:d>
              <m:dPr>
                <m:ctrlPr>
                  <w:rPr>
                    <w:rFonts w:ascii="Cambria Math" w:hAnsi="Cambria Math" w:cs="Helvetica"/>
                    <w:i/>
                  </w:rPr>
                </m:ctrlPr>
              </m:dPr>
              <m:e>
                <m:sSub>
                  <m:sSubPr>
                    <m:ctrlPr>
                      <w:rPr>
                        <w:rFonts w:ascii="Cambria Math" w:hAnsi="Cambria Math"/>
                        <w:i/>
                        <w:noProof/>
                      </w:rPr>
                    </m:ctrlPr>
                  </m:sSubPr>
                  <m:e>
                    <m:r>
                      <w:rPr>
                        <w:rFonts w:ascii="Cambria Math" w:hAnsi="Cambria Math"/>
                        <w:noProof/>
                      </w:rPr>
                      <m:t>S</m:t>
                    </m:r>
                  </m:e>
                  <m:sub>
                    <m:r>
                      <w:rPr>
                        <w:rFonts w:ascii="Cambria Math" w:hAnsi="Cambria Math"/>
                        <w:noProof/>
                      </w:rPr>
                      <m:t>i</m:t>
                    </m:r>
                  </m:sub>
                </m:sSub>
              </m:e>
            </m:d>
            <m:r>
              <w:rPr>
                <w:rFonts w:ascii="Cambria Math" w:hAnsi="Cambria Math" w:cs="Helvetica"/>
              </w:rPr>
              <m:t>-1</m:t>
            </m:r>
          </m:sup>
          <m:e>
            <m:sSub>
              <m:sSubPr>
                <m:ctrlPr>
                  <w:rPr>
                    <w:rFonts w:ascii="Cambria Math" w:hAnsi="Cambria Math"/>
                    <w:iCs/>
                  </w:rPr>
                </m:ctrlPr>
              </m:sSubPr>
              <m:e>
                <m:r>
                  <w:rPr>
                    <w:rFonts w:ascii="Cambria Math" w:hAnsi="Cambria Math"/>
                  </w:rPr>
                  <m:t>δ</m:t>
                </m:r>
              </m:e>
              <m:sub>
                <m:r>
                  <m:rPr>
                    <m:sty m:val="p"/>
                  </m:rPr>
                  <w:rPr>
                    <w:rFonts w:ascii="Cambria Math"/>
                  </w:rPr>
                  <m:t>SRS</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w:rPr>
                <w:rFonts w:ascii="Cambria Math" w:hAnsi="Cambria Math"/>
              </w:rPr>
              <m:t>(m)</m:t>
            </m:r>
          </m:e>
        </m:nary>
        <m:r>
          <w:rPr>
            <w:rFonts w:ascii="Cambria Math" w:hAnsi="Cambria Math"/>
          </w:rPr>
          <m:t>≤0</m:t>
        </m:r>
      </m:oMath>
      <w:r w:rsidRPr="00F415B1">
        <w:t xml:space="preserve">, then </w:t>
      </w:r>
      <m:oMath>
        <m:sSub>
          <m:sSubPr>
            <m:ctrlPr>
              <w:rPr>
                <w:rFonts w:ascii="Cambria Math" w:hAnsi="Cambria Math"/>
                <w:i/>
              </w:rPr>
            </m:ctrlPr>
          </m:sSubPr>
          <m:e>
            <m:r>
              <w:rPr>
                <w:rFonts w:ascii="Cambria Math" w:hAnsi="Cambria Math"/>
              </w:rPr>
              <m:t>h</m:t>
            </m:r>
          </m:e>
          <m:sub>
            <m:r>
              <w:rPr>
                <w:rFonts w:ascii="Cambria Math" w:hAnsi="Cambria Math"/>
              </w:rPr>
              <m:t>b,f,c</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b,f,c</m:t>
            </m:r>
          </m:sub>
        </m:sSub>
        <m:d>
          <m:dPr>
            <m:ctrlPr>
              <w:rPr>
                <w:rFonts w:ascii="Cambria Math" w:hAnsi="Cambria Math"/>
                <w:i/>
              </w:rPr>
            </m:ctrlPr>
          </m:dPr>
          <m:e>
            <m:r>
              <w:rPr>
                <w:rFonts w:ascii="Cambria Math" w:hAnsi="Cambria Math"/>
                <w:lang w:val="en-US"/>
              </w:rPr>
              <m:t>i-</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e>
        </m:d>
      </m:oMath>
    </w:p>
    <w:p w14:paraId="0F77C6B5" w14:textId="490FA214" w:rsidR="003C14C4" w:rsidRPr="00F415B1" w:rsidRDefault="003C14C4" w:rsidP="003C14C4">
      <w:pPr>
        <w:pStyle w:val="B3"/>
        <w:rPr>
          <w:lang w:val="en-US"/>
        </w:rPr>
      </w:pPr>
      <w:r w:rsidRPr="00F415B1">
        <w:t>-</w:t>
      </w:r>
      <w:r w:rsidRPr="00F415B1">
        <w:tab/>
        <w:t xml:space="preserve">If a configuration for a </w:t>
      </w:r>
      <m:oMath>
        <m:sSub>
          <m:sSubPr>
            <m:ctrlPr>
              <w:rPr>
                <w:rFonts w:ascii="Cambria Math" w:hAnsi="Cambria Math"/>
                <w:i/>
              </w:rPr>
            </m:ctrlPr>
          </m:sSubPr>
          <m:e>
            <m:r>
              <w:rPr>
                <w:rFonts w:ascii="Cambria Math" w:hAnsi="Cambria Math"/>
              </w:rPr>
              <m:t>P</m:t>
            </m:r>
          </m:e>
          <m:sub>
            <m:r>
              <m:rPr>
                <m:sty m:val="p"/>
              </m:rPr>
              <w:rPr>
                <w:rFonts w:ascii="Cambria Math" w:hAnsi="Cambria Math"/>
              </w:rPr>
              <m:t>O_SRS</m:t>
            </m:r>
            <m:r>
              <w:rPr>
                <w:rFonts w:ascii="Cambria Math" w:hAnsi="Cambria Math"/>
              </w:rPr>
              <m:t>,b,f,c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m:t>
        </m:r>
      </m:oMath>
      <w:r w:rsidRPr="00F415B1">
        <w:t xml:space="preserve"> </w:t>
      </w:r>
      <w:r w:rsidRPr="00F415B1">
        <w:rPr>
          <w:rFonts w:hint="eastAsia"/>
        </w:rPr>
        <w:t xml:space="preserve">value </w:t>
      </w:r>
      <w:r w:rsidRPr="00F415B1">
        <w:t xml:space="preserve">or for a </w:t>
      </w:r>
      <m:oMath>
        <m:sSub>
          <m:sSubPr>
            <m:ctrlPr>
              <w:rPr>
                <w:rFonts w:ascii="Cambria Math" w:hAnsi="Cambria Math"/>
                <w:i/>
              </w:rPr>
            </m:ctrlPr>
          </m:sSubPr>
          <m:e>
            <m:r>
              <w:rPr>
                <w:rFonts w:ascii="Cambria Math" w:hAnsi="Cambria Math"/>
              </w:rPr>
              <m:t>α</m:t>
            </m:r>
          </m:e>
          <m:sub>
            <m:r>
              <m:rPr>
                <m:sty m:val="p"/>
              </m:rPr>
              <w:rPr>
                <w:rFonts w:ascii="Cambria Math" w:hAnsi="Cambria Math"/>
              </w:rPr>
              <m:t>SRS</m:t>
            </m:r>
            <m:r>
              <w:rPr>
                <w:rFonts w:ascii="Cambria Math" w:hAnsi="Cambria Math"/>
              </w:rPr>
              <m:t>,b,f,c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m:t>
        </m:r>
      </m:oMath>
      <w:r w:rsidR="007966D8">
        <w:t xml:space="preserve"> </w:t>
      </w:r>
      <w:r w:rsidRPr="00F415B1">
        <w:rPr>
          <w:rFonts w:hint="eastAsia"/>
        </w:rPr>
        <w:t xml:space="preserve">value </w:t>
      </w:r>
      <w:r w:rsidRPr="00F415B1">
        <w:t xml:space="preserve">for a corresponding SRS power control adjustment state </w:t>
      </w:r>
      <m:oMath>
        <m:r>
          <w:rPr>
            <w:rFonts w:ascii="Cambria Math" w:hAnsi="Cambria Math"/>
          </w:rPr>
          <m:t>l</m:t>
        </m:r>
      </m:oMath>
      <w:r w:rsidRPr="00F415B1">
        <w:rPr>
          <w:lang w:val="en-US"/>
        </w:rPr>
        <w:t xml:space="preserve"> for</w:t>
      </w:r>
      <w:r w:rsidRPr="00F415B1">
        <w:t xml:space="preserve"> active </w:t>
      </w:r>
      <w:r w:rsidRPr="00F415B1">
        <w:rPr>
          <w:lang w:val="en-US"/>
        </w:rPr>
        <w:t xml:space="preserve">UL BWP </w:t>
      </w:r>
      <m:oMath>
        <m:r>
          <w:rPr>
            <w:rFonts w:ascii="Cambria Math" w:hAnsi="Cambria Math"/>
          </w:rPr>
          <m:t>b</m:t>
        </m:r>
      </m:oMath>
      <w:r w:rsidRPr="00F415B1">
        <w:rPr>
          <w:iCs/>
          <w:lang w:val="en-US"/>
        </w:rPr>
        <w:t xml:space="preserve"> </w:t>
      </w:r>
      <w:r w:rsidRPr="00F415B1">
        <w:rPr>
          <w:lang w:val="en-US"/>
        </w:rPr>
        <w:t xml:space="preserve">of </w:t>
      </w:r>
      <w:r w:rsidRPr="00F415B1">
        <w:t xml:space="preserve">carrier </w:t>
      </w:r>
      <m:oMath>
        <m:r>
          <w:rPr>
            <w:rFonts w:ascii="Cambria Math" w:hAnsi="Cambria Math"/>
          </w:rPr>
          <m:t>f</m:t>
        </m:r>
      </m:oMath>
      <w:r w:rsidRPr="00F415B1">
        <w:rPr>
          <w:iCs/>
        </w:rPr>
        <w:t xml:space="preserve"> of</w:t>
      </w:r>
      <w:r w:rsidRPr="00F415B1">
        <w:t xml:space="preserve"> </w:t>
      </w:r>
      <w:r w:rsidRPr="00F415B1">
        <w:rPr>
          <w:lang w:val="en-US"/>
        </w:rPr>
        <w:t xml:space="preserve">serving cell </w:t>
      </w:r>
      <m:oMath>
        <m:r>
          <w:rPr>
            <w:rFonts w:ascii="Cambria Math" w:hAnsi="Cambria Math"/>
          </w:rPr>
          <m:t>c</m:t>
        </m:r>
      </m:oMath>
      <w:r w:rsidRPr="00F415B1">
        <w:t xml:space="preserve"> </w:t>
      </w:r>
      <w:r w:rsidRPr="00F415B1">
        <w:rPr>
          <w:rFonts w:hint="eastAsia"/>
        </w:rPr>
        <w:t xml:space="preserve">is </w:t>
      </w:r>
      <w:r w:rsidRPr="00F415B1">
        <w:t>provided</w:t>
      </w:r>
      <w:r w:rsidRPr="00F415B1">
        <w:rPr>
          <w:rFonts w:hint="eastAsia"/>
        </w:rPr>
        <w:t xml:space="preserve"> by higher layers</w:t>
      </w:r>
    </w:p>
    <w:p w14:paraId="010EB8B1" w14:textId="77777777" w:rsidR="003C14C4" w:rsidRPr="00F415B1" w:rsidRDefault="003C14C4" w:rsidP="003C14C4">
      <w:pPr>
        <w:pStyle w:val="B4"/>
        <w:ind w:left="1419"/>
        <w:rPr>
          <w:lang w:val="en-US"/>
        </w:rPr>
      </w:pPr>
      <w:r w:rsidRPr="00F415B1">
        <w:t>-</w:t>
      </w:r>
      <w:r w:rsidRPr="00F415B1">
        <w:tab/>
      </w:r>
      <m:oMath>
        <m:sSub>
          <m:sSubPr>
            <m:ctrlPr>
              <w:rPr>
                <w:rFonts w:ascii="Cambria Math" w:hAnsi="Cambria Math"/>
                <w:i/>
              </w:rPr>
            </m:ctrlPr>
          </m:sSubPr>
          <m:e>
            <m:r>
              <w:rPr>
                <w:rFonts w:ascii="Cambria Math" w:hAnsi="Cambria Math"/>
              </w:rPr>
              <m:t>h</m:t>
            </m:r>
          </m:e>
          <m:sub>
            <m:r>
              <w:rPr>
                <w:rFonts w:ascii="Cambria Math" w:hAnsi="Cambria Math"/>
              </w:rPr>
              <m:t>b,f,c</m:t>
            </m:r>
          </m:sub>
        </m:sSub>
        <m:d>
          <m:dPr>
            <m:ctrlPr>
              <w:rPr>
                <w:rFonts w:ascii="Cambria Math" w:hAnsi="Cambria Math"/>
                <w:i/>
              </w:rPr>
            </m:ctrlPr>
          </m:dPr>
          <m:e>
            <m:r>
              <w:rPr>
                <w:rFonts w:ascii="Cambria Math" w:hAnsi="Cambria Math"/>
              </w:rPr>
              <m:t>k</m:t>
            </m:r>
          </m:e>
        </m:d>
        <m:r>
          <w:rPr>
            <w:rFonts w:ascii="Cambria Math" w:hAnsi="Cambria Math"/>
          </w:rPr>
          <m:t>=0, k=0,1,…,i</m:t>
        </m:r>
      </m:oMath>
      <w:r w:rsidRPr="00F415B1">
        <w:t xml:space="preserve"> </w:t>
      </w:r>
    </w:p>
    <w:p w14:paraId="2CD014DA" w14:textId="62808DC3" w:rsidR="003C14C4" w:rsidRPr="00F415B1" w:rsidRDefault="003C14C4" w:rsidP="003C14C4">
      <w:pPr>
        <w:pStyle w:val="B3"/>
        <w:ind w:left="1136"/>
        <w:rPr>
          <w:lang w:val="en-US"/>
        </w:rPr>
      </w:pPr>
      <w:r w:rsidRPr="00F415B1">
        <w:t>-</w:t>
      </w:r>
      <w:r w:rsidRPr="00F415B1">
        <w:tab/>
      </w:r>
      <w:r w:rsidR="00961CD4">
        <w:t>e</w:t>
      </w:r>
      <w:r w:rsidR="00961CD4" w:rsidRPr="00F415B1">
        <w:t>lse</w:t>
      </w:r>
    </w:p>
    <w:p w14:paraId="4D6D7973" w14:textId="77777777" w:rsidR="007966D8" w:rsidRPr="007966D8" w:rsidRDefault="007966D8" w:rsidP="007966D8">
      <w:pPr>
        <w:pStyle w:val="B4"/>
        <w:rPr>
          <w:lang w:val="en-US"/>
        </w:rPr>
      </w:pPr>
      <w:r w:rsidRPr="007966D8">
        <w:t>-</w:t>
      </w:r>
      <w:r w:rsidRPr="007966D8">
        <w:tab/>
      </w:r>
      <m:oMath>
        <m:sSub>
          <m:sSubPr>
            <m:ctrlPr>
              <w:rPr>
                <w:rFonts w:ascii="Cambria Math" w:hAnsi="Cambria Math"/>
                <w:lang w:val="en-US" w:eastAsia="zh-TW"/>
              </w:rPr>
            </m:ctrlPr>
          </m:sSubPr>
          <m:e>
            <m:r>
              <w:rPr>
                <w:rFonts w:ascii="Cambria Math" w:hAnsi="Cambria Math"/>
                <w:lang w:val="en-US" w:eastAsia="zh-TW"/>
              </w:rPr>
              <m:t>h</m:t>
            </m:r>
          </m:e>
          <m:sub>
            <m:r>
              <w:rPr>
                <w:rFonts w:ascii="Cambria Math" w:hAnsi="Cambria Math"/>
                <w:lang w:val="en-US" w:eastAsia="zh-TW"/>
              </w:rPr>
              <m:t>b</m:t>
            </m:r>
            <m:r>
              <m:rPr>
                <m:sty m:val="p"/>
              </m:rPr>
              <w:rPr>
                <w:rFonts w:ascii="Cambria Math" w:hAnsi="Cambria Math"/>
                <w:lang w:val="en-US" w:eastAsia="zh-TW"/>
              </w:rPr>
              <m:t>,</m:t>
            </m:r>
            <m:r>
              <w:rPr>
                <w:rFonts w:ascii="Cambria Math" w:hAnsi="Cambria Math"/>
                <w:lang w:val="en-US" w:eastAsia="zh-TW"/>
              </w:rPr>
              <m:t>f</m:t>
            </m:r>
            <m:r>
              <m:rPr>
                <m:sty m:val="p"/>
              </m:rPr>
              <w:rPr>
                <w:rFonts w:ascii="Cambria Math" w:hAnsi="Cambria Math"/>
                <w:lang w:val="en-US" w:eastAsia="zh-TW"/>
              </w:rPr>
              <m:t>,</m:t>
            </m:r>
            <m:r>
              <w:rPr>
                <w:rFonts w:ascii="Cambria Math" w:hAnsi="Cambria Math"/>
                <w:lang w:val="en-US" w:eastAsia="zh-TW"/>
              </w:rPr>
              <m:t>c</m:t>
            </m:r>
          </m:sub>
        </m:sSub>
        <m:d>
          <m:dPr>
            <m:ctrlPr>
              <w:rPr>
                <w:rFonts w:ascii="Cambria Math" w:hAnsi="Cambria Math"/>
                <w:lang w:val="en-US" w:eastAsia="zh-TW"/>
              </w:rPr>
            </m:ctrlPr>
          </m:dPr>
          <m:e>
            <m:r>
              <m:rPr>
                <m:sty m:val="p"/>
              </m:rPr>
              <w:rPr>
                <w:rFonts w:ascii="Cambria Math" w:hAnsi="Cambria Math"/>
                <w:lang w:val="en-US" w:eastAsia="zh-TW"/>
              </w:rPr>
              <m:t>0</m:t>
            </m:r>
          </m:e>
        </m:d>
        <m:r>
          <m:rPr>
            <m:sty m:val="p"/>
          </m:rPr>
          <w:rPr>
            <w:rFonts w:ascii="Cambria Math" w:hAnsi="Cambria Math"/>
            <w:lang w:val="en-US" w:eastAsia="zh-TW"/>
          </w:rPr>
          <m:t xml:space="preserve">= </m:t>
        </m:r>
        <m:r>
          <w:rPr>
            <w:rFonts w:ascii="Cambria Math" w:hAnsi="Cambria Math" w:hint="eastAsia"/>
            <w:lang w:val="en-US" w:eastAsia="zh-TW"/>
          </w:rPr>
          <m:t>Δ</m:t>
        </m:r>
        <m:sSub>
          <m:sSubPr>
            <m:ctrlPr>
              <w:rPr>
                <w:rFonts w:ascii="Cambria Math" w:hAnsi="Cambria Math"/>
                <w:lang w:val="en-US" w:eastAsia="zh-TW"/>
              </w:rPr>
            </m:ctrlPr>
          </m:sSubPr>
          <m:e>
            <m:r>
              <w:rPr>
                <w:rFonts w:ascii="Cambria Math" w:hAnsi="Cambria Math"/>
                <w:lang w:val="en-US" w:eastAsia="zh-TW"/>
              </w:rPr>
              <m:t>P</m:t>
            </m:r>
          </m:e>
          <m:sub>
            <m:r>
              <w:rPr>
                <w:rFonts w:ascii="Cambria Math" w:hAnsi="Cambria Math"/>
                <w:lang w:val="en-US" w:eastAsia="zh-TW"/>
              </w:rPr>
              <m:t>rampup</m:t>
            </m:r>
            <m:r>
              <m:rPr>
                <m:sty m:val="p"/>
              </m:rPr>
              <w:rPr>
                <w:rFonts w:ascii="Cambria Math" w:hAnsi="Cambria Math"/>
                <w:lang w:val="en-US" w:eastAsia="zh-TW"/>
              </w:rPr>
              <m:t>,</m:t>
            </m:r>
            <m:r>
              <w:rPr>
                <w:rFonts w:ascii="Cambria Math" w:hAnsi="Cambria Math"/>
                <w:lang w:val="en-US" w:eastAsia="zh-TW"/>
              </w:rPr>
              <m:t>b</m:t>
            </m:r>
            <m:r>
              <m:rPr>
                <m:sty m:val="p"/>
              </m:rPr>
              <w:rPr>
                <w:rFonts w:ascii="Cambria Math" w:hAnsi="Cambria Math"/>
                <w:lang w:val="en-US" w:eastAsia="zh-TW"/>
              </w:rPr>
              <m:t>,</m:t>
            </m:r>
            <m:r>
              <w:rPr>
                <w:rFonts w:ascii="Cambria Math" w:hAnsi="Cambria Math"/>
                <w:lang w:val="en-US" w:eastAsia="zh-TW"/>
              </w:rPr>
              <m:t>f</m:t>
            </m:r>
            <m:r>
              <m:rPr>
                <m:sty m:val="p"/>
              </m:rPr>
              <w:rPr>
                <w:rFonts w:ascii="Cambria Math" w:hAnsi="Cambria Math"/>
                <w:lang w:val="en-US" w:eastAsia="zh-TW"/>
              </w:rPr>
              <m:t>,</m:t>
            </m:r>
            <m:r>
              <w:rPr>
                <w:rFonts w:ascii="Cambria Math" w:hAnsi="Cambria Math"/>
                <w:lang w:val="en-US" w:eastAsia="zh-TW"/>
              </w:rPr>
              <m:t>c</m:t>
            </m:r>
          </m:sub>
        </m:sSub>
        <m:r>
          <m:rPr>
            <m:sty m:val="p"/>
          </m:rPr>
          <w:rPr>
            <w:rFonts w:ascii="Cambria Math" w:hAnsi="Cambria Math"/>
            <w:lang w:val="en-US" w:eastAsia="zh-TW"/>
          </w:rPr>
          <m:t>+</m:t>
        </m:r>
        <m:sSub>
          <m:sSubPr>
            <m:ctrlPr>
              <w:rPr>
                <w:rFonts w:ascii="Cambria Math" w:hAnsi="Cambria Math"/>
                <w:lang w:val="en-US" w:eastAsia="zh-TW"/>
              </w:rPr>
            </m:ctrlPr>
          </m:sSubPr>
          <m:e>
            <m:r>
              <w:rPr>
                <w:rFonts w:ascii="Cambria Math" w:hAnsi="Cambria Math"/>
                <w:lang w:val="en-US" w:eastAsia="zh-TW"/>
              </w:rPr>
              <m:t>δ</m:t>
            </m:r>
          </m:e>
          <m:sub>
            <m:r>
              <w:rPr>
                <w:rFonts w:ascii="Cambria Math" w:hAnsi="Cambria Math"/>
                <w:lang w:val="en-US" w:eastAsia="zh-TW"/>
              </w:rPr>
              <m:t>b</m:t>
            </m:r>
            <m:r>
              <m:rPr>
                <m:sty m:val="p"/>
              </m:rPr>
              <w:rPr>
                <w:rFonts w:ascii="Cambria Math" w:hAnsi="Cambria Math"/>
                <w:lang w:val="en-US" w:eastAsia="zh-TW"/>
              </w:rPr>
              <m:t>,</m:t>
            </m:r>
            <m:r>
              <w:rPr>
                <w:rFonts w:ascii="Cambria Math" w:hAnsi="Cambria Math"/>
                <w:lang w:val="en-US" w:eastAsia="zh-TW"/>
              </w:rPr>
              <m:t>f</m:t>
            </m:r>
            <m:r>
              <m:rPr>
                <m:sty m:val="p"/>
              </m:rPr>
              <w:rPr>
                <w:rFonts w:ascii="Cambria Math" w:hAnsi="Cambria Math"/>
                <w:lang w:val="en-US" w:eastAsia="zh-TW"/>
              </w:rPr>
              <m:t>,</m:t>
            </m:r>
            <m:r>
              <w:rPr>
                <w:rFonts w:ascii="Cambria Math" w:hAnsi="Cambria Math"/>
                <w:lang w:val="en-US" w:eastAsia="zh-TW"/>
              </w:rPr>
              <m:t>c</m:t>
            </m:r>
          </m:sub>
        </m:sSub>
      </m:oMath>
      <w:r w:rsidRPr="007966D8">
        <w:rPr>
          <w:lang w:val="en-US"/>
        </w:rPr>
        <w:t xml:space="preserve"> </w:t>
      </w:r>
    </w:p>
    <w:p w14:paraId="7BD90F7C" w14:textId="77777777" w:rsidR="007966D8" w:rsidRPr="007966D8" w:rsidRDefault="007966D8" w:rsidP="007966D8">
      <w:pPr>
        <w:pStyle w:val="B4"/>
        <w:rPr>
          <w:lang w:val="en-US"/>
        </w:rPr>
      </w:pPr>
      <w:r w:rsidRPr="007966D8">
        <w:rPr>
          <w:lang w:val="en-US"/>
        </w:rPr>
        <w:t>where</w:t>
      </w:r>
    </w:p>
    <w:p w14:paraId="5133F8AA" w14:textId="77777777" w:rsidR="007966D8" w:rsidRPr="007966D8" w:rsidRDefault="00000000" w:rsidP="007966D8">
      <w:pPr>
        <w:pStyle w:val="B5"/>
      </w:pPr>
      <m:oMath>
        <m:sSub>
          <m:sSubPr>
            <m:ctrlPr>
              <w:rPr>
                <w:rFonts w:ascii="Cambria Math" w:hAnsi="Cambria Math"/>
                <w:lang w:val="en-US" w:eastAsia="zh-TW"/>
              </w:rPr>
            </m:ctrlPr>
          </m:sSubPr>
          <m:e>
            <m:r>
              <w:rPr>
                <w:rFonts w:ascii="Cambria Math" w:hAnsi="Cambria Math"/>
                <w:lang w:val="en-US" w:eastAsia="zh-TW"/>
              </w:rPr>
              <m:t>δ</m:t>
            </m:r>
          </m:e>
          <m:sub>
            <m:r>
              <w:rPr>
                <w:rFonts w:ascii="Cambria Math" w:hAnsi="Cambria Math"/>
                <w:lang w:val="en-US" w:eastAsia="zh-TW"/>
              </w:rPr>
              <m:t>b</m:t>
            </m:r>
            <m:r>
              <m:rPr>
                <m:sty m:val="p"/>
              </m:rPr>
              <w:rPr>
                <w:rFonts w:ascii="Cambria Math" w:hAnsi="Cambria Math"/>
                <w:lang w:val="en-US" w:eastAsia="zh-TW"/>
              </w:rPr>
              <m:t>,</m:t>
            </m:r>
            <m:r>
              <w:rPr>
                <w:rFonts w:ascii="Cambria Math" w:hAnsi="Cambria Math"/>
                <w:lang w:val="en-US" w:eastAsia="zh-TW"/>
              </w:rPr>
              <m:t>f</m:t>
            </m:r>
            <m:r>
              <m:rPr>
                <m:sty m:val="p"/>
              </m:rPr>
              <w:rPr>
                <w:rFonts w:ascii="Cambria Math" w:hAnsi="Cambria Math"/>
                <w:lang w:val="en-US" w:eastAsia="zh-TW"/>
              </w:rPr>
              <m:t>,</m:t>
            </m:r>
            <m:r>
              <w:rPr>
                <w:rFonts w:ascii="Cambria Math" w:hAnsi="Cambria Math"/>
                <w:lang w:val="en-US" w:eastAsia="zh-TW"/>
              </w:rPr>
              <m:t>c</m:t>
            </m:r>
          </m:sub>
        </m:sSub>
      </m:oMath>
      <w:r w:rsidR="007966D8" w:rsidRPr="007966D8">
        <w:t xml:space="preserve"> is </w:t>
      </w:r>
    </w:p>
    <w:p w14:paraId="51D76BE5" w14:textId="6A23A315" w:rsidR="007966D8" w:rsidRPr="007966D8" w:rsidRDefault="00C60E6E" w:rsidP="00C60E6E">
      <w:pPr>
        <w:pStyle w:val="B5"/>
      </w:pPr>
      <w:r>
        <w:t>-</w:t>
      </w:r>
      <w:r>
        <w:tab/>
      </w:r>
      <w:r w:rsidR="007966D8" w:rsidRPr="007966D8">
        <w:t xml:space="preserve">the TPC command value indicated in the random access response </w:t>
      </w:r>
      <w:r w:rsidR="007966D8" w:rsidRPr="007966D8">
        <w:rPr>
          <w:lang w:val="en-US"/>
        </w:rPr>
        <w:t xml:space="preserve">grant </w:t>
      </w:r>
      <w:r w:rsidR="007966D8" w:rsidRPr="007966D8">
        <w:t xml:space="preserve">corresponding to a PRACH transmission </w:t>
      </w:r>
      <w:r w:rsidR="007966D8" w:rsidRPr="007966D8">
        <w:rPr>
          <w:lang w:val="en-US"/>
        </w:rPr>
        <w:t xml:space="preserve">according to Type-1 random access procedure, or in a </w:t>
      </w:r>
      <w:r w:rsidR="007966D8" w:rsidRPr="007966D8">
        <w:t>random access response</w:t>
      </w:r>
      <w:r w:rsidR="007966D8" w:rsidRPr="007966D8">
        <w:rPr>
          <w:lang w:val="en-US"/>
        </w:rPr>
        <w:t xml:space="preserve"> grant </w:t>
      </w:r>
      <w:r w:rsidR="007966D8" w:rsidRPr="007966D8">
        <w:t xml:space="preserve">corresponding to MsgA transmissions </w:t>
      </w:r>
      <w:r w:rsidR="007966D8" w:rsidRPr="007966D8">
        <w:rPr>
          <w:lang w:val="en-US"/>
        </w:rPr>
        <w:t xml:space="preserve">according to Type-2 random access procedure with </w:t>
      </w:r>
      <w:r w:rsidR="007966D8" w:rsidRPr="007966D8">
        <w:t xml:space="preserve">RAR message(s) for </w:t>
      </w:r>
      <w:r w:rsidR="007966D8" w:rsidRPr="007966D8">
        <w:rPr>
          <w:rFonts w:eastAsia="Calibri"/>
        </w:rPr>
        <w:t>fallbackRAR</w:t>
      </w:r>
      <w:r w:rsidR="007966D8" w:rsidRPr="007966D8">
        <w:rPr>
          <w:lang w:val="en-US"/>
        </w:rPr>
        <w:t>, or</w:t>
      </w:r>
    </w:p>
    <w:p w14:paraId="50531DBC" w14:textId="140BB4E5" w:rsidR="007966D8" w:rsidRPr="007966D8" w:rsidRDefault="00C60E6E" w:rsidP="00C60E6E">
      <w:pPr>
        <w:pStyle w:val="B5"/>
      </w:pPr>
      <w:r>
        <w:t>-</w:t>
      </w:r>
      <w:r>
        <w:tab/>
      </w:r>
      <w:r w:rsidR="007966D8" w:rsidRPr="007966D8">
        <w:t xml:space="preserve">the TPC command value indicated in a successRAR corresponding to MsgA transmissions for Type-2 random access procedure, </w:t>
      </w:r>
    </w:p>
    <w:p w14:paraId="1FA8A491" w14:textId="77777777" w:rsidR="007966D8" w:rsidRPr="007966D8" w:rsidRDefault="007966D8" w:rsidP="007966D8">
      <w:pPr>
        <w:pStyle w:val="B5"/>
        <w:rPr>
          <w:lang w:val="en-US"/>
        </w:rPr>
      </w:pPr>
      <w:r w:rsidRPr="007966D8">
        <w:t>and</w:t>
      </w:r>
      <w:r w:rsidRPr="007966D8">
        <w:rPr>
          <w:lang w:val="en-US"/>
        </w:rPr>
        <w:t xml:space="preserve"> </w:t>
      </w:r>
    </w:p>
    <w:p w14:paraId="60B36F92" w14:textId="33D112D3" w:rsidR="003C14C4" w:rsidRPr="00F415B1" w:rsidRDefault="007966D8" w:rsidP="007966D8">
      <w:pPr>
        <w:pStyle w:val="B5"/>
        <w:rPr>
          <w:lang w:val="en-US"/>
        </w:rPr>
      </w:pPr>
      <w:r>
        <w:tab/>
      </w:r>
      <m:oMath>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rampup,</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=min</m:t>
        </m:r>
        <m:d>
          <m:dPr>
            <m:begChr m:val="["/>
            <m:endChr m:val="]"/>
            <m:ctrlPr>
              <w:rPr>
                <w:rFonts w:ascii="Cambria Math" w:hAnsi="Cambria Math"/>
              </w:rPr>
            </m:ctrlPr>
          </m:dPr>
          <m:e>
            <m:r>
              <m:rPr>
                <m:sty m:val="p"/>
              </m:rPr>
              <w:rPr>
                <w:rFonts w:ascii="Cambria Math" w:hAnsi="Cambria Math"/>
              </w:rPr>
              <m:t>max</m:t>
            </m:r>
            <m:d>
              <m:dPr>
                <m:ctrlPr>
                  <w:rPr>
                    <w:rFonts w:ascii="Cambria Math" w:hAnsi="Cambria Math"/>
                  </w:rPr>
                </m:ctrlPr>
              </m:dPr>
              <m:e>
                <m:r>
                  <m:rPr>
                    <m:sty m:val="p"/>
                  </m:rPr>
                  <w:rPr>
                    <w:rFonts w:ascii="Cambria Math" w:hAnsi="Cambria Math"/>
                  </w:rPr>
                  <m:t>0,</m:t>
                </m:r>
                <m:sSub>
                  <m:sSubPr>
                    <m:ctrlPr>
                      <w:rPr>
                        <w:rFonts w:ascii="Cambria Math" w:hAnsi="Cambria Math"/>
                      </w:rPr>
                    </m:ctrlPr>
                  </m:sSubPr>
                  <m:e>
                    <m:r>
                      <w:rPr>
                        <w:rFonts w:ascii="Cambria Math" w:hAnsi="Cambria Math"/>
                      </w:rPr>
                      <m:t>P</m:t>
                    </m:r>
                  </m:e>
                  <m:sub>
                    <m:r>
                      <m:rPr>
                        <m:sty m:val="p"/>
                      </m:rPr>
                      <w:rPr>
                        <w:rFonts w:ascii="Cambria Math" w:hAnsi="Cambria Math"/>
                      </w:rPr>
                      <m:t>CMAX,</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m:t>
                </m:r>
                <m:d>
                  <m:dPr>
                    <m:ctrlPr>
                      <w:rPr>
                        <w:rFonts w:ascii="Cambria Math" w:hAnsi="Cambria Math"/>
                      </w:rPr>
                    </m:ctrlPr>
                  </m:dPr>
                  <m:e>
                    <m:sSub>
                      <m:sSubPr>
                        <m:ctrlPr>
                          <w:rPr>
                            <w:rFonts w:ascii="Cambria Math" w:hAnsi="Cambria Math"/>
                            <w:iCs/>
                          </w:rPr>
                        </m:ctrlPr>
                      </m:sSubPr>
                      <m:e>
                        <m:r>
                          <w:rPr>
                            <w:rFonts w:ascii="Cambria Math" w:hAnsi="Cambria Math"/>
                          </w:rPr>
                          <m:t>P</m:t>
                        </m:r>
                      </m:e>
                      <m:sub>
                        <m:r>
                          <m:rPr>
                            <m:nor/>
                          </m:rPr>
                          <w:rPr>
                            <w:iCs/>
                            <w:lang w:val="en-US"/>
                          </w:rPr>
                          <m:t>O_SRS</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s</m:t>
                            </m:r>
                          </m:sub>
                        </m:sSub>
                      </m:e>
                    </m:d>
                    <m:r>
                      <m:rPr>
                        <m:sty m:val="p"/>
                      </m:rPr>
                      <w:rPr>
                        <w:rFonts w:ascii="Cambria Math" w:hAnsi="Cambria Math"/>
                      </w:rPr>
                      <m:t>+10</m:t>
                    </m:r>
                    <m:sSub>
                      <m:sSubPr>
                        <m:ctrlPr>
                          <w:rPr>
                            <w:rFonts w:ascii="Cambria Math" w:hAnsi="Cambria Math"/>
                          </w:rPr>
                        </m:ctrlPr>
                      </m:sSubPr>
                      <m:e>
                        <m:r>
                          <w:rPr>
                            <w:rFonts w:ascii="Cambria Math" w:hAnsi="Cambria Math"/>
                          </w:rPr>
                          <m:t>log</m:t>
                        </m:r>
                      </m:e>
                      <m:sub>
                        <m:r>
                          <m:rPr>
                            <m:sty m:val="p"/>
                          </m:rPr>
                          <w:rPr>
                            <w:rFonts w:ascii="Cambria Math" w:hAnsi="Cambria Math"/>
                          </w:rPr>
                          <m:t>10</m:t>
                        </m:r>
                      </m:sub>
                    </m:sSub>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w:rPr>
                                <w:rFonts w:ascii="Cambria Math" w:eastAsia="Gulim" w:hAnsi="Cambria Math"/>
                                <w:lang w:eastAsia="ko-KR"/>
                              </w:rPr>
                              <m:t>μ</m:t>
                            </m:r>
                          </m:sup>
                        </m:sSup>
                        <m:r>
                          <m:rPr>
                            <m:sty m:val="p"/>
                          </m:rPr>
                          <w:rPr>
                            <w:rFonts w:ascii="Cambria Math" w:hAnsi="Cambria Math" w:cs="Cambria Math"/>
                          </w:rPr>
                          <m:t>⋅</m:t>
                        </m:r>
                        <m:sSub>
                          <m:sSubPr>
                            <m:ctrlPr>
                              <w:rPr>
                                <w:rFonts w:ascii="Cambria Math" w:hAnsi="Cambria Math"/>
                                <w:iCs/>
                              </w:rPr>
                            </m:ctrlPr>
                          </m:sSubPr>
                          <m:e>
                            <m:r>
                              <w:rPr>
                                <w:rFonts w:ascii="Cambria Math" w:hAnsi="Cambria Math"/>
                              </w:rPr>
                              <m:t>M</m:t>
                            </m:r>
                          </m:e>
                          <m:sub>
                            <m:r>
                              <m:rPr>
                                <m:nor/>
                              </m:rPr>
                              <w:rPr>
                                <w:iCs/>
                                <w:lang w:val="en-US"/>
                              </w:rPr>
                              <m:t>SRS</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i</m:t>
                            </m:r>
                          </m:e>
                        </m:d>
                      </m:e>
                    </m:d>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SRS</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s</m:t>
                            </m:r>
                          </m:sub>
                        </m:sSub>
                      </m:e>
                    </m:d>
                    <m:r>
                      <m:rPr>
                        <m:sty m:val="p"/>
                      </m:rPr>
                      <w:rPr>
                        <w:rFonts w:ascii="Cambria Math" w:hAnsi="Cambria Math" w:cs="Cambria Math"/>
                      </w:rPr>
                      <m:t>⋅</m:t>
                    </m:r>
                    <m:sSub>
                      <m:sSubPr>
                        <m:ctrlPr>
                          <w:rPr>
                            <w:rFonts w:ascii="Cambria Math" w:hAnsi="Cambria Math"/>
                          </w:rPr>
                        </m:ctrlPr>
                      </m:sSubPr>
                      <m:e>
                        <m:r>
                          <w:rPr>
                            <w:rFonts w:ascii="Cambria Math" w:hAnsi="Cambria Math"/>
                          </w:rPr>
                          <m:t>PL</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d</m:t>
                        </m:r>
                      </m:sub>
                    </m:sSub>
                    <m:r>
                      <m:rPr>
                        <m:sty m:val="p"/>
                      </m:rPr>
                      <w:rPr>
                        <w:rFonts w:ascii="Cambria Math" w:hAnsi="Cambria Math"/>
                      </w:rPr>
                      <m:t>)</m:t>
                    </m:r>
                  </m:e>
                </m:d>
              </m:e>
            </m:d>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rampup_requested,</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e>
        </m:d>
      </m:oMath>
      <w:r w:rsidR="003C14C4" w:rsidRPr="00F415B1">
        <w:rPr>
          <w:lang w:val="en-US"/>
        </w:rPr>
        <w:t>;</w:t>
      </w:r>
      <w:r w:rsidR="003C14C4" w:rsidRPr="00F415B1">
        <w:t xml:space="preserve"> </w:t>
      </w:r>
    </w:p>
    <w:p w14:paraId="5ECC2794" w14:textId="5438253B" w:rsidR="003C14C4" w:rsidRPr="00F415B1" w:rsidRDefault="003C14C4" w:rsidP="003C14C4">
      <w:pPr>
        <w:pStyle w:val="B4"/>
        <w:ind w:left="1419" w:firstLine="0"/>
        <w:rPr>
          <w:lang w:val="en-US"/>
        </w:rPr>
      </w:pPr>
      <w:r w:rsidRPr="00F415B1">
        <w:t xml:space="preserve">where </w:t>
      </w:r>
      <m:oMath>
        <m:sSub>
          <m:sSubPr>
            <m:ctrlPr>
              <w:rPr>
                <w:rFonts w:ascii="Cambria Math" w:hAnsi="Cambria Math"/>
                <w:i/>
              </w:rPr>
            </m:ctrlPr>
          </m:sSubPr>
          <m:e>
            <m:r>
              <w:rPr>
                <w:rFonts w:ascii="Cambria Math" w:hAnsi="Cambria Math"/>
              </w:rPr>
              <m:t>∆P</m:t>
            </m:r>
          </m:e>
          <m:sub>
            <m:r>
              <m:rPr>
                <m:sty m:val="p"/>
              </m:rPr>
              <w:rPr>
                <w:rFonts w:ascii="Cambria Math" w:hAnsi="Cambria Math"/>
              </w:rPr>
              <m:t>rampup_requested</m:t>
            </m:r>
            <m:r>
              <w:rPr>
                <w:rFonts w:ascii="Cambria Math" w:hAnsi="Cambria Math"/>
              </w:rPr>
              <m:t>,b,f,c</m:t>
            </m:r>
          </m:sub>
        </m:sSub>
      </m:oMath>
      <w:r w:rsidRPr="00F415B1">
        <w:t xml:space="preserve"> is provided by higher layers and corresponds to the total power ramp-up requested by higher layers from the first to the last preamble </w:t>
      </w:r>
      <w:r w:rsidRPr="00F415B1">
        <w:rPr>
          <w:lang w:val="en-US"/>
        </w:rPr>
        <w:t xml:space="preserve">for active UL BWP </w:t>
      </w:r>
      <m:oMath>
        <m:r>
          <w:rPr>
            <w:rFonts w:ascii="Cambria Math" w:hAnsi="Cambria Math"/>
          </w:rPr>
          <m:t>b</m:t>
        </m:r>
      </m:oMath>
      <w:r w:rsidRPr="00F415B1">
        <w:rPr>
          <w:iCs/>
          <w:lang w:val="en-US"/>
        </w:rPr>
        <w:t xml:space="preserve"> </w:t>
      </w:r>
      <w:r w:rsidRPr="00F415B1">
        <w:rPr>
          <w:lang w:val="en-US"/>
        </w:rPr>
        <w:t xml:space="preserve">of carrier </w:t>
      </w:r>
      <m:oMath>
        <m:r>
          <w:rPr>
            <w:rFonts w:ascii="Cambria Math" w:hAnsi="Cambria Math"/>
            <w:lang w:val="en-US"/>
          </w:rPr>
          <m:t>f</m:t>
        </m:r>
      </m:oMath>
      <w:r w:rsidRPr="00F415B1">
        <w:rPr>
          <w:iCs/>
          <w:lang w:val="en-US"/>
        </w:rPr>
        <w:t xml:space="preserve"> </w:t>
      </w:r>
      <w:r w:rsidRPr="00F415B1">
        <w:t>of serving cell</w:t>
      </w:r>
      <w:r w:rsidRPr="00F415B1">
        <w:rPr>
          <w:lang w:val="en-US"/>
        </w:rPr>
        <w:t xml:space="preserve"> </w:t>
      </w:r>
      <m:oMath>
        <m:r>
          <w:rPr>
            <w:rFonts w:ascii="Cambria Math" w:hAnsi="Cambria Math"/>
          </w:rPr>
          <m:t>c</m:t>
        </m:r>
      </m:oMath>
      <w:r w:rsidRPr="00F415B1">
        <w:t>.</w:t>
      </w:r>
    </w:p>
    <w:p w14:paraId="5917360D" w14:textId="607AFF08" w:rsidR="003C14C4" w:rsidRPr="00F415B1" w:rsidRDefault="003C14C4" w:rsidP="003C14C4">
      <w:pPr>
        <w:pStyle w:val="B2"/>
        <w:rPr>
          <w:lang w:val="en-US"/>
        </w:rPr>
      </w:pPr>
      <w:r w:rsidRPr="00F415B1">
        <w:t>-</w:t>
      </w:r>
      <w:r w:rsidRPr="00F415B1">
        <w:tab/>
      </w:r>
      <m:oMath>
        <m:sSub>
          <m:sSubPr>
            <m:ctrlPr>
              <w:rPr>
                <w:rFonts w:ascii="Cambria Math" w:hAnsi="Cambria Math"/>
                <w:i/>
              </w:rPr>
            </m:ctrlPr>
          </m:sSubPr>
          <m:e>
            <m:r>
              <w:rPr>
                <w:rFonts w:ascii="Cambria Math" w:hAnsi="Cambria Math"/>
              </w:rPr>
              <m:t>h</m:t>
            </m:r>
          </m:e>
          <m:sub>
            <m:r>
              <w:rPr>
                <w:rFonts w:ascii="Cambria Math" w:hAnsi="Cambria Math"/>
              </w:rPr>
              <m:t>b,f,c</m:t>
            </m:r>
          </m:sub>
        </m:sSub>
        <m:r>
          <w:rPr>
            <w:rFonts w:ascii="Cambria Math" w:hAnsi="Cambria Math"/>
          </w:rPr>
          <m:t>(i)=</m:t>
        </m:r>
        <m:sSub>
          <m:sSubPr>
            <m:ctrlPr>
              <w:rPr>
                <w:rFonts w:ascii="Cambria Math" w:hAnsi="Cambria Math"/>
                <w:i/>
              </w:rPr>
            </m:ctrlPr>
          </m:sSubPr>
          <m:e>
            <m:r>
              <w:rPr>
                <w:rFonts w:ascii="Cambria Math" w:hAnsi="Cambria Math"/>
              </w:rPr>
              <m:t>δ</m:t>
            </m:r>
          </m:e>
          <m:sub>
            <m:r>
              <m:rPr>
                <m:sty m:val="p"/>
              </m:rPr>
              <w:rPr>
                <w:rFonts w:ascii="Cambria Math" w:hAnsi="Cambria Math"/>
              </w:rPr>
              <m:t>SRS</m:t>
            </m:r>
            <m:r>
              <w:rPr>
                <w:rFonts w:ascii="Cambria Math" w:hAnsi="Cambria Math"/>
              </w:rPr>
              <m:t>,b,f,c</m:t>
            </m:r>
          </m:sub>
        </m:sSub>
        <m:r>
          <w:rPr>
            <w:rFonts w:ascii="Cambria Math" w:hAnsi="Cambria Math"/>
          </w:rPr>
          <m:t>(i)</m:t>
        </m:r>
      </m:oMath>
      <w:r w:rsidRPr="00F415B1">
        <w:rPr>
          <w:lang w:val="en-US"/>
        </w:rPr>
        <w:t xml:space="preserve"> if the UE is not configured for PUSCH transmissions on active UL BWP </w:t>
      </w:r>
      <m:oMath>
        <m:r>
          <w:rPr>
            <w:rFonts w:ascii="Cambria Math" w:hAnsi="Cambria Math"/>
          </w:rPr>
          <m:t>b</m:t>
        </m:r>
      </m:oMath>
      <w:r w:rsidRPr="00F415B1">
        <w:rPr>
          <w:iCs/>
          <w:lang w:val="en-US"/>
        </w:rPr>
        <w:t xml:space="preserve"> </w:t>
      </w:r>
      <w:r w:rsidRPr="00F415B1">
        <w:rPr>
          <w:lang w:val="en-US"/>
        </w:rPr>
        <w:t xml:space="preserve">of </w:t>
      </w:r>
      <w:r w:rsidRPr="00F415B1">
        <w:t xml:space="preserve">carrier </w:t>
      </w:r>
      <m:oMath>
        <m:r>
          <w:rPr>
            <w:rFonts w:ascii="Cambria Math" w:hAnsi="Cambria Math"/>
          </w:rPr>
          <m:t>f</m:t>
        </m:r>
      </m:oMath>
      <w:r w:rsidRPr="00F415B1">
        <w:rPr>
          <w:iCs/>
        </w:rPr>
        <w:t xml:space="preserve"> of</w:t>
      </w:r>
      <w:r w:rsidRPr="00F415B1">
        <w:t xml:space="preserve"> serving cell </w:t>
      </w:r>
      <m:oMath>
        <m:r>
          <w:rPr>
            <w:rFonts w:ascii="Cambria Math" w:hAnsi="Cambria Math"/>
          </w:rPr>
          <m:t>c</m:t>
        </m:r>
      </m:oMath>
      <w:r w:rsidRPr="00F415B1">
        <w:rPr>
          <w:iCs/>
          <w:lang w:val="en-US"/>
        </w:rPr>
        <w:t>, or</w:t>
      </w:r>
      <w:r w:rsidRPr="00F415B1">
        <w:t xml:space="preserve"> if </w:t>
      </w:r>
      <w:r w:rsidRPr="00F415B1">
        <w:rPr>
          <w:i/>
        </w:rPr>
        <w:t>srs-PowerControlAdjustmentStates</w:t>
      </w:r>
      <w:r w:rsidRPr="00F415B1">
        <w:t xml:space="preserve"> indicates separate power control adjustment state</w:t>
      </w:r>
      <w:r w:rsidRPr="00F415B1">
        <w:rPr>
          <w:lang w:val="en-US"/>
        </w:rPr>
        <w:t>s</w:t>
      </w:r>
      <w:r w:rsidRPr="00F415B1">
        <w:t xml:space="preserve"> between SRS transmissions and PUSCH transmissions</w:t>
      </w:r>
      <w:r w:rsidRPr="00F415B1">
        <w:rPr>
          <w:lang w:val="en-US"/>
        </w:rPr>
        <w:t>,</w:t>
      </w:r>
      <w:r w:rsidRPr="00F415B1">
        <w:t xml:space="preserve"> and </w:t>
      </w:r>
      <w:r w:rsidRPr="00F415B1">
        <w:rPr>
          <w:i/>
        </w:rPr>
        <w:t>tpc-Accumulation</w:t>
      </w:r>
      <w:r w:rsidRPr="00F415B1">
        <w:rPr>
          <w:lang w:val="en-US"/>
        </w:rPr>
        <w:t xml:space="preserve"> is provided</w:t>
      </w:r>
      <w:r w:rsidRPr="00F415B1">
        <w:t xml:space="preserve">, </w:t>
      </w:r>
      <w:r w:rsidRPr="00F415B1">
        <w:rPr>
          <w:lang w:val="en-US"/>
        </w:rPr>
        <w:t xml:space="preserve">and the UE detects </w:t>
      </w:r>
      <w:r w:rsidRPr="00F415B1">
        <w:t>a DCI format 2_3</w:t>
      </w:r>
      <w:r w:rsidRPr="00F415B1">
        <w:rPr>
          <w:lang w:val="en-US"/>
        </w:rPr>
        <w:t xml:space="preserve"> </w:t>
      </w:r>
      <m:oMath>
        <m:sSub>
          <m:sSubPr>
            <m:ctrlPr>
              <w:rPr>
                <w:rFonts w:ascii="Cambria Math" w:hAnsi="Cambria Math"/>
                <w:i/>
              </w:rPr>
            </m:ctrlPr>
          </m:sSubPr>
          <m:e>
            <m:r>
              <w:rPr>
                <w:rFonts w:ascii="Cambria Math" w:hAnsi="Cambria Math"/>
              </w:rPr>
              <m:t>K</m:t>
            </m:r>
          </m:e>
          <m:sub>
            <m:r>
              <m:rPr>
                <m:sty m:val="p"/>
              </m:rPr>
              <w:rPr>
                <w:rFonts w:ascii="Cambria Math" w:hAnsi="Cambria Math"/>
              </w:rPr>
              <m:t>SRS,min</m:t>
            </m:r>
          </m:sub>
        </m:sSub>
      </m:oMath>
      <w:r w:rsidRPr="00F415B1">
        <w:rPr>
          <w:rFonts w:eastAsia="DengXian"/>
        </w:rPr>
        <w:t xml:space="preserve"> symbols before a first symbol of</w:t>
      </w:r>
      <w:r w:rsidRPr="00F415B1">
        <w:rPr>
          <w:lang w:val="en-US"/>
        </w:rPr>
        <w:t xml:space="preserve"> SRS transmission occasion</w:t>
      </w:r>
      <w:r w:rsidRPr="00F415B1">
        <w:t xml:space="preserve"> </w:t>
      </w:r>
      <m:oMath>
        <m:r>
          <w:rPr>
            <w:rFonts w:ascii="Cambria Math" w:hAnsi="Cambria Math"/>
            <w:lang w:val="en-US"/>
          </w:rPr>
          <m:t>i</m:t>
        </m:r>
      </m:oMath>
      <w:r w:rsidRPr="00F415B1">
        <w:rPr>
          <w:lang w:val="en-US"/>
        </w:rPr>
        <w:t>,</w:t>
      </w:r>
      <w:r w:rsidRPr="00F415B1">
        <w:rPr>
          <w:rFonts w:hint="eastAsia"/>
        </w:rPr>
        <w:t xml:space="preserve"> </w:t>
      </w:r>
      <w:r w:rsidRPr="00F415B1">
        <w:rPr>
          <w:lang w:val="en-US"/>
        </w:rPr>
        <w:t>where</w:t>
      </w:r>
      <w:r w:rsidRPr="00F415B1">
        <w:t xml:space="preserve"> absolute values of </w:t>
      </w:r>
      <m:oMath>
        <m:sSub>
          <m:sSubPr>
            <m:ctrlPr>
              <w:rPr>
                <w:rFonts w:ascii="Cambria Math" w:hAnsi="Cambria Math"/>
                <w:i/>
              </w:rPr>
            </m:ctrlPr>
          </m:sSubPr>
          <m:e>
            <m:r>
              <w:rPr>
                <w:rFonts w:ascii="Cambria Math" w:hAnsi="Cambria Math"/>
              </w:rPr>
              <m:t>δ</m:t>
            </m:r>
          </m:e>
          <m:sub>
            <m:r>
              <m:rPr>
                <m:sty m:val="p"/>
              </m:rPr>
              <w:rPr>
                <w:rFonts w:ascii="Cambria Math" w:hAnsi="Cambria Math"/>
              </w:rPr>
              <m:t>SRS</m:t>
            </m:r>
            <m:r>
              <w:rPr>
                <w:rFonts w:ascii="Cambria Math" w:hAnsi="Cambria Math"/>
              </w:rPr>
              <m:t>,b,f,c</m:t>
            </m:r>
          </m:sub>
        </m:sSub>
      </m:oMath>
      <w:r w:rsidRPr="00F415B1">
        <w:t xml:space="preserve"> are provided in Table 7.1.1-1</w:t>
      </w:r>
    </w:p>
    <w:p w14:paraId="269A097C" w14:textId="77777777" w:rsidR="003C14C4" w:rsidRPr="00F415B1" w:rsidRDefault="003C14C4" w:rsidP="003C14C4">
      <w:pPr>
        <w:pStyle w:val="B2"/>
        <w:rPr>
          <w:lang w:val="en-US"/>
        </w:rPr>
      </w:pPr>
      <w:r w:rsidRPr="00F415B1">
        <w:rPr>
          <w:lang w:val="en-US"/>
        </w:rPr>
        <w:t>-</w:t>
      </w:r>
      <w:r w:rsidRPr="00F415B1">
        <w:rPr>
          <w:lang w:val="en-US"/>
        </w:rPr>
        <w:tab/>
        <w:t xml:space="preserve">if </w:t>
      </w:r>
      <w:r w:rsidRPr="00F415B1">
        <w:rPr>
          <w:i/>
        </w:rPr>
        <w:t>srs-PowerControlAdjustmentStates</w:t>
      </w:r>
      <w:r w:rsidRPr="00F415B1">
        <w:rPr>
          <w:lang w:val="en-US"/>
        </w:rPr>
        <w:t xml:space="preserve"> indicates a same power control adjustment state for SRS transmissions and PUSCH transmissions, the update of the power control adjustment state for SRS transmission occasion </w:t>
      </w:r>
      <m:oMath>
        <m:r>
          <w:rPr>
            <w:rFonts w:ascii="Cambria Math" w:hAnsi="Cambria Math"/>
            <w:lang w:val="en-US"/>
          </w:rPr>
          <m:t>i</m:t>
        </m:r>
      </m:oMath>
      <w:r w:rsidRPr="00F415B1">
        <w:rPr>
          <w:lang w:val="en-US"/>
        </w:rPr>
        <w:t xml:space="preserve"> occurs at the beginning of each SRS resource in the SRS resource set </w:t>
      </w:r>
      <m:oMath>
        <m:sSub>
          <m:sSubPr>
            <m:ctrlPr>
              <w:rPr>
                <w:rFonts w:ascii="Cambria Math" w:hAnsi="Cambria Math"/>
                <w:i/>
              </w:rPr>
            </m:ctrlPr>
          </m:sSubPr>
          <m:e>
            <m:r>
              <w:rPr>
                <w:rFonts w:ascii="Cambria Math" w:hAnsi="Cambria Math"/>
              </w:rPr>
              <m:t>q</m:t>
            </m:r>
          </m:e>
          <m:sub>
            <m:r>
              <w:rPr>
                <w:rFonts w:ascii="Cambria Math" w:hAnsi="Cambria Math"/>
              </w:rPr>
              <m:t>s</m:t>
            </m:r>
          </m:sub>
        </m:sSub>
      </m:oMath>
      <w:r w:rsidRPr="00F415B1">
        <w:rPr>
          <w:lang w:val="en-US"/>
        </w:rPr>
        <w:t xml:space="preserve">; otherwise, the update of the power control adjustment state SRS transmission occasion </w:t>
      </w:r>
      <m:oMath>
        <m:r>
          <w:rPr>
            <w:rFonts w:ascii="Cambria Math" w:hAnsi="Cambria Math"/>
            <w:lang w:val="en-US"/>
          </w:rPr>
          <m:t>i</m:t>
        </m:r>
      </m:oMath>
      <w:r w:rsidRPr="00F415B1">
        <w:rPr>
          <w:lang w:val="en-US"/>
        </w:rPr>
        <w:t xml:space="preserve"> occurs at the beginning of the first transmitted SRS resource in the SRS resource set </w:t>
      </w:r>
      <m:oMath>
        <m:sSub>
          <m:sSubPr>
            <m:ctrlPr>
              <w:rPr>
                <w:rFonts w:ascii="Cambria Math" w:hAnsi="Cambria Math"/>
                <w:i/>
              </w:rPr>
            </m:ctrlPr>
          </m:sSubPr>
          <m:e>
            <m:r>
              <w:rPr>
                <w:rFonts w:ascii="Cambria Math" w:hAnsi="Cambria Math"/>
              </w:rPr>
              <m:t>q</m:t>
            </m:r>
          </m:e>
          <m:sub>
            <m:r>
              <w:rPr>
                <w:rFonts w:ascii="Cambria Math" w:hAnsi="Cambria Math"/>
              </w:rPr>
              <m:t>s</m:t>
            </m:r>
          </m:sub>
        </m:sSub>
      </m:oMath>
      <w:r w:rsidRPr="00F415B1">
        <w:rPr>
          <w:lang w:val="en-US"/>
        </w:rPr>
        <w:t xml:space="preserve">. </w:t>
      </w:r>
    </w:p>
    <w:p w14:paraId="37835E63" w14:textId="04C61D70" w:rsidR="00E56897" w:rsidRPr="00B916EC" w:rsidRDefault="00E56897" w:rsidP="00E56897">
      <w:r w:rsidRPr="00B916EC">
        <w:t>If a UE transmits SRS</w:t>
      </w:r>
      <w:r>
        <w:t xml:space="preserve"> based on a configuration by </w:t>
      </w:r>
      <w:r w:rsidR="0097713F" w:rsidRPr="006F281D">
        <w:rPr>
          <w:i/>
          <w:lang w:eastAsia="zh-CN"/>
        </w:rPr>
        <w:t>SRS-PosResourceSet</w:t>
      </w:r>
      <w:r w:rsidRPr="0096519C">
        <w:rPr>
          <w:i/>
        </w:rPr>
        <w:t xml:space="preserve"> </w:t>
      </w:r>
      <w:r w:rsidRPr="00B916EC">
        <w:t xml:space="preserve">on </w:t>
      </w:r>
      <w:r>
        <w:t xml:space="preserve">active </w:t>
      </w:r>
      <w:r>
        <w:rPr>
          <w:lang w:val="en-US"/>
        </w:rPr>
        <w:t xml:space="preserve">UL BWP </w:t>
      </w:r>
      <m:oMath>
        <m:r>
          <w:rPr>
            <w:rFonts w:ascii="Cambria Math" w:eastAsia="MS Mincho" w:hAnsi="Cambria Math"/>
            <w:lang w:eastAsia="ja-JP"/>
          </w:rPr>
          <m:t>b</m:t>
        </m:r>
      </m:oMath>
      <w:r>
        <w:rPr>
          <w:iCs/>
          <w:lang w:val="en-US"/>
        </w:rPr>
        <w:t xml:space="preserve"> </w:t>
      </w:r>
      <w:r>
        <w:rPr>
          <w:lang w:val="en-US"/>
        </w:rPr>
        <w:t>of</w:t>
      </w:r>
      <w:r w:rsidRPr="00B916EC">
        <w:rPr>
          <w:lang w:val="en-US"/>
        </w:rPr>
        <w:t xml:space="preserve"> </w:t>
      </w:r>
      <w:r w:rsidRPr="00B916EC">
        <w:t xml:space="preserve">carrier </w:t>
      </w:r>
      <m:oMath>
        <m:r>
          <w:rPr>
            <w:rFonts w:ascii="Cambria Math" w:eastAsia="MS Mincho" w:hAnsi="Cambria Math"/>
            <w:lang w:eastAsia="ja-JP"/>
          </w:rPr>
          <m:t>f</m:t>
        </m:r>
      </m:oMath>
      <w:r w:rsidRPr="00B916EC">
        <w:rPr>
          <w:iCs/>
        </w:rPr>
        <w:t xml:space="preserve"> of</w:t>
      </w:r>
      <w:r w:rsidRPr="00B916EC">
        <w:t xml:space="preserve"> serving cell </w:t>
      </w:r>
      <m:oMath>
        <m:r>
          <w:rPr>
            <w:rFonts w:ascii="Cambria Math" w:eastAsia="MS Mincho" w:hAnsi="Cambria Math"/>
            <w:lang w:eastAsia="ja-JP"/>
          </w:rPr>
          <m:t>c</m:t>
        </m:r>
      </m:oMath>
      <w:r w:rsidRPr="00B916EC">
        <w:t>, the UE determine</w:t>
      </w:r>
      <w:r>
        <w:t>s</w:t>
      </w:r>
      <w:r w:rsidRPr="00B916EC">
        <w:t xml:space="preserve"> the SRS transmission power </w:t>
      </w:r>
      <m:oMath>
        <m:sSub>
          <m:sSubPr>
            <m:ctrlPr>
              <w:rPr>
                <w:rFonts w:ascii="Cambria Math" w:hAnsi="Cambria Math"/>
                <w:i/>
              </w:rPr>
            </m:ctrlPr>
          </m:sSubPr>
          <m:e>
            <m:r>
              <w:rPr>
                <w:rFonts w:ascii="Cambria Math" w:hAnsi="Cambria Math"/>
              </w:rPr>
              <m:t>P</m:t>
            </m:r>
          </m:e>
          <m:sub>
            <m:r>
              <w:rPr>
                <w:rFonts w:ascii="Cambria Math" w:hAnsi="Cambria Math"/>
              </w:rPr>
              <m:t>SRS,b,f,c</m:t>
            </m:r>
          </m:sub>
        </m:sSub>
        <m:d>
          <m:dPr>
            <m:ctrlPr>
              <w:rPr>
                <w:rFonts w:ascii="Cambria Math" w:eastAsia="MS Mincho" w:hAnsi="Cambria Math"/>
                <w:i/>
                <w:lang w:eastAsia="ja-JP"/>
              </w:rPr>
            </m:ctrlPr>
          </m:dPr>
          <m:e>
            <m:r>
              <w:rPr>
                <w:rFonts w:ascii="Cambria Math" w:eastAsia="MS Mincho" w:hAnsi="Cambria Math"/>
                <w:lang w:eastAsia="ja-JP"/>
              </w:rPr>
              <m:t>i,</m:t>
            </m:r>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s</m:t>
                </m:r>
              </m:sub>
            </m:sSub>
          </m:e>
        </m:d>
      </m:oMath>
      <w:r w:rsidRPr="00B916EC">
        <w:t xml:space="preserve"> in SRS transmission </w:t>
      </w:r>
      <w:r>
        <w:t>occasion</w:t>
      </w:r>
      <w:r w:rsidRPr="00B916EC">
        <w:t xml:space="preserve"> </w:t>
      </w:r>
      <m:oMath>
        <m:r>
          <w:rPr>
            <w:rFonts w:ascii="Cambria Math" w:hAnsi="Cambria Math"/>
          </w:rPr>
          <m:t>i</m:t>
        </m:r>
      </m:oMath>
      <w:r w:rsidRPr="00B916EC">
        <w:rPr>
          <w:iCs/>
        </w:rPr>
        <w:t xml:space="preserve"> </w:t>
      </w:r>
      <w:r w:rsidRPr="00B916EC">
        <w:t xml:space="preserve">as </w:t>
      </w:r>
    </w:p>
    <w:p w14:paraId="45C8DC66" w14:textId="316A0FE2" w:rsidR="00E56897" w:rsidRPr="00B916EC" w:rsidRDefault="00ED3701" w:rsidP="00E56897">
      <w:pPr>
        <w:pStyle w:val="EQ"/>
        <w:jc w:val="center"/>
      </w:pPr>
      <w:r>
        <w:rPr>
          <w:position w:val="-32"/>
        </w:rPr>
        <w:drawing>
          <wp:inline distT="0" distB="0" distL="0" distR="0" wp14:anchorId="002C1DE4" wp14:editId="4F5956F7">
            <wp:extent cx="4591050" cy="466725"/>
            <wp:effectExtent l="0" t="0" r="0" b="0"/>
            <wp:docPr id="21"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1050" cy="466725"/>
                    </a:xfrm>
                    <a:prstGeom prst="rect">
                      <a:avLst/>
                    </a:prstGeom>
                    <a:noFill/>
                    <a:ln>
                      <a:noFill/>
                    </a:ln>
                  </pic:spPr>
                </pic:pic>
              </a:graphicData>
            </a:graphic>
          </wp:inline>
        </w:drawing>
      </w:r>
      <w:r w:rsidR="00E56897" w:rsidRPr="00B916EC">
        <w:t xml:space="preserve"> [dBm]</w:t>
      </w:r>
    </w:p>
    <w:p w14:paraId="45BC1483" w14:textId="77777777" w:rsidR="00E56897" w:rsidRPr="00B916EC" w:rsidRDefault="00E56897" w:rsidP="00E56897">
      <w:r w:rsidRPr="00B916EC">
        <w:t>where,</w:t>
      </w:r>
      <w:r>
        <w:t xml:space="preserve"> </w:t>
      </w:r>
    </w:p>
    <w:p w14:paraId="0CEBC713" w14:textId="0A69BF65" w:rsidR="0097713F" w:rsidRPr="0071532D" w:rsidRDefault="0097713F" w:rsidP="0097713F">
      <w:pPr>
        <w:pStyle w:val="B1"/>
        <w:ind w:left="630" w:hanging="346"/>
        <w:rPr>
          <w:lang w:val="en-US"/>
        </w:rPr>
      </w:pPr>
      <w:r w:rsidRPr="00324598">
        <w:t>-</w:t>
      </w:r>
      <w:r w:rsidRPr="00324598">
        <w:tab/>
      </w:r>
      <m:oMath>
        <m:sSub>
          <m:sSubPr>
            <m:ctrlPr>
              <w:rPr>
                <w:rFonts w:ascii="Cambria Math" w:hAnsi="Cambria Math"/>
                <w:i/>
              </w:rPr>
            </m:ctrlPr>
          </m:sSubPr>
          <m:e>
            <m:r>
              <w:rPr>
                <w:rFonts w:ascii="Cambria Math" w:hAnsi="Cambria Math"/>
              </w:rPr>
              <m:t>P</m:t>
            </m:r>
          </m:e>
          <m:sub>
            <m:r>
              <m:rPr>
                <m:sty m:val="p"/>
              </m:rPr>
              <w:rPr>
                <w:rFonts w:ascii="Cambria Math" w:hAnsi="Cambria Math"/>
              </w:rPr>
              <m:t>O_SRS</m:t>
            </m:r>
            <m:r>
              <w:rPr>
                <w:rFonts w:ascii="Cambria Math" w:hAnsi="Cambria Math"/>
              </w:rPr>
              <m:t>,b,f,c</m:t>
            </m:r>
          </m:sub>
        </m:sSub>
        <m:d>
          <m:dPr>
            <m:ctrlPr>
              <w:rPr>
                <w:rFonts w:ascii="Cambria Math" w:eastAsia="MS Mincho" w:hAnsi="Cambria Math"/>
                <w:i/>
                <w:lang w:eastAsia="ja-JP"/>
              </w:rPr>
            </m:ctrlPr>
          </m:dPr>
          <m:e>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s</m:t>
                </m:r>
              </m:sub>
            </m:sSub>
          </m:e>
        </m:d>
      </m:oMath>
      <w:r>
        <w:rPr>
          <w:lang w:eastAsia="ja-JP"/>
        </w:rPr>
        <w:t xml:space="preserve"> and </w:t>
      </w:r>
      <m:oMath>
        <m:sSub>
          <m:sSubPr>
            <m:ctrlPr>
              <w:rPr>
                <w:rFonts w:ascii="Cambria Math" w:hAnsi="Cambria Math"/>
                <w:i/>
              </w:rPr>
            </m:ctrlPr>
          </m:sSubPr>
          <m:e>
            <m:r>
              <w:rPr>
                <w:rFonts w:ascii="Cambria Math" w:hAnsi="Cambria Math"/>
              </w:rPr>
              <m:t>α</m:t>
            </m:r>
          </m:e>
          <m:sub>
            <m:r>
              <m:rPr>
                <m:sty m:val="p"/>
              </m:rPr>
              <w:rPr>
                <w:rFonts w:ascii="Cambria Math" w:hAnsi="Cambria Math"/>
              </w:rPr>
              <m:t>SRS</m:t>
            </m:r>
            <m:r>
              <w:rPr>
                <w:rFonts w:ascii="Cambria Math" w:hAnsi="Cambria Math"/>
              </w:rPr>
              <m:t>,b,f,c</m:t>
            </m:r>
          </m:sub>
        </m:sSub>
        <m:d>
          <m:dPr>
            <m:ctrlPr>
              <w:rPr>
                <w:rFonts w:ascii="Cambria Math" w:eastAsia="MS Mincho" w:hAnsi="Cambria Math"/>
                <w:i/>
                <w:lang w:eastAsia="ja-JP"/>
              </w:rPr>
            </m:ctrlPr>
          </m:dPr>
          <m:e>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s</m:t>
                </m:r>
              </m:sub>
            </m:sSub>
          </m:e>
        </m:d>
      </m:oMath>
      <w:r>
        <w:rPr>
          <w:lang w:eastAsia="ja-JP"/>
        </w:rPr>
        <w:t xml:space="preserve"> </w:t>
      </w:r>
      <w:r w:rsidRPr="00324598">
        <w:t>are</w:t>
      </w:r>
      <w:r w:rsidRPr="0071532D">
        <w:t xml:space="preserve"> provided by </w:t>
      </w:r>
      <w:r w:rsidRPr="0071532D">
        <w:rPr>
          <w:rFonts w:eastAsia="MS Mincho"/>
          <w:i/>
          <w:lang w:val="en-US"/>
        </w:rPr>
        <w:t>p0</w:t>
      </w:r>
      <w:r>
        <w:rPr>
          <w:rFonts w:eastAsia="MS Mincho"/>
          <w:i/>
          <w:lang w:val="en-US"/>
        </w:rPr>
        <w:t>-r16</w:t>
      </w:r>
      <w:r w:rsidRPr="0071532D">
        <w:rPr>
          <w:rFonts w:eastAsia="MS Mincho"/>
          <w:lang w:val="en-US"/>
        </w:rPr>
        <w:t xml:space="preserve"> </w:t>
      </w:r>
      <w:r>
        <w:rPr>
          <w:rFonts w:eastAsia="MS Mincho"/>
          <w:lang w:val="en-US"/>
        </w:rPr>
        <w:t>and</w:t>
      </w:r>
      <w:r w:rsidRPr="00324598">
        <w:rPr>
          <w:i/>
          <w:lang w:val="en-US"/>
        </w:rPr>
        <w:t xml:space="preserve"> </w:t>
      </w:r>
      <w:r w:rsidRPr="00F15057">
        <w:rPr>
          <w:i/>
          <w:lang w:val="en-US"/>
        </w:rPr>
        <w:t>alpha</w:t>
      </w:r>
      <w:r>
        <w:rPr>
          <w:i/>
          <w:lang w:val="en-US"/>
        </w:rPr>
        <w:t>-r16</w:t>
      </w:r>
      <w:r w:rsidRPr="00F15057">
        <w:rPr>
          <w:lang w:val="en-US"/>
        </w:rPr>
        <w:t xml:space="preserve"> </w:t>
      </w:r>
      <w:r>
        <w:t>respectively, f</w:t>
      </w:r>
      <w:r w:rsidRPr="0071532D">
        <w:rPr>
          <w:lang w:val="en-US"/>
        </w:rPr>
        <w:t xml:space="preserve">or active UL BWP </w:t>
      </w:r>
      <m:oMath>
        <m:r>
          <w:rPr>
            <w:rFonts w:ascii="Cambria Math" w:eastAsia="MS Mincho" w:hAnsi="Cambria Math"/>
            <w:lang w:eastAsia="ja-JP"/>
          </w:rPr>
          <m:t>b</m:t>
        </m:r>
      </m:oMath>
      <w:r w:rsidRPr="0071532D">
        <w:rPr>
          <w:iCs/>
          <w:lang w:val="en-US"/>
        </w:rPr>
        <w:t xml:space="preserve"> </w:t>
      </w:r>
      <w:r w:rsidRPr="0071532D">
        <w:rPr>
          <w:lang w:val="en-US"/>
        </w:rPr>
        <w:t xml:space="preserve">of </w:t>
      </w:r>
      <w:r w:rsidRPr="0071532D">
        <w:t xml:space="preserve">carrier </w:t>
      </w:r>
      <m:oMath>
        <m:r>
          <w:rPr>
            <w:rFonts w:ascii="Cambria Math" w:eastAsia="MS Mincho" w:hAnsi="Cambria Math"/>
            <w:lang w:eastAsia="ja-JP"/>
          </w:rPr>
          <m:t>f</m:t>
        </m:r>
      </m:oMath>
      <w:r w:rsidRPr="0071532D">
        <w:rPr>
          <w:iCs/>
        </w:rPr>
        <w:t xml:space="preserve"> of</w:t>
      </w:r>
      <w:r w:rsidRPr="0071532D">
        <w:t xml:space="preserve"> serving cell </w:t>
      </w:r>
      <m:oMath>
        <m:r>
          <w:rPr>
            <w:rFonts w:ascii="Cambria Math" w:eastAsia="MS Mincho" w:hAnsi="Cambria Math"/>
            <w:lang w:eastAsia="ja-JP"/>
          </w:rPr>
          <m:t>c</m:t>
        </m:r>
      </m:oMath>
      <w:r>
        <w:rPr>
          <w:lang w:eastAsia="ja-JP"/>
        </w:rPr>
        <w:t>,</w:t>
      </w:r>
      <w:r w:rsidRPr="0071532D">
        <w:t xml:space="preserve"> and </w:t>
      </w:r>
      <w:r w:rsidRPr="0071532D">
        <w:rPr>
          <w:lang w:val="en-US"/>
        </w:rPr>
        <w:t xml:space="preserve">SRS resource set </w:t>
      </w:r>
      <m:oMath>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s</m:t>
            </m:r>
          </m:sub>
        </m:sSub>
      </m:oMath>
      <w:r w:rsidRPr="0071532D">
        <w:rPr>
          <w:lang w:val="en-US"/>
        </w:rPr>
        <w:t xml:space="preserve"> </w:t>
      </w:r>
      <w:r>
        <w:rPr>
          <w:lang w:val="en-US"/>
        </w:rPr>
        <w:t>is indicat</w:t>
      </w:r>
      <w:r w:rsidRPr="0071532D">
        <w:rPr>
          <w:lang w:val="en-US"/>
        </w:rPr>
        <w:t xml:space="preserve">ed by </w:t>
      </w:r>
      <w:r w:rsidRPr="0071532D">
        <w:rPr>
          <w:i/>
          <w:lang w:val="en-US"/>
        </w:rPr>
        <w:t>SRS-</w:t>
      </w:r>
      <w:r>
        <w:rPr>
          <w:i/>
          <w:lang w:val="en-US"/>
        </w:rPr>
        <w:t>Pos</w:t>
      </w:r>
      <w:r w:rsidRPr="0071532D">
        <w:rPr>
          <w:i/>
          <w:lang w:val="en-US"/>
        </w:rPr>
        <w:t xml:space="preserve">ResourceSetId </w:t>
      </w:r>
      <w:r>
        <w:rPr>
          <w:lang w:val="en-US"/>
        </w:rPr>
        <w:t xml:space="preserve">from </w:t>
      </w:r>
      <w:r w:rsidRPr="00F15057">
        <w:rPr>
          <w:i/>
          <w:lang w:val="en-US"/>
        </w:rPr>
        <w:t>SRS-</w:t>
      </w:r>
      <w:r>
        <w:rPr>
          <w:i/>
          <w:lang w:val="en-US"/>
        </w:rPr>
        <w:t>Pos</w:t>
      </w:r>
      <w:r w:rsidRPr="00F15057">
        <w:rPr>
          <w:i/>
          <w:lang w:val="en-US"/>
        </w:rPr>
        <w:t>ResourceSet</w:t>
      </w:r>
      <w:r>
        <w:rPr>
          <w:lang w:val="en-US"/>
        </w:rPr>
        <w:t>, and</w:t>
      </w:r>
    </w:p>
    <w:p w14:paraId="51F75579" w14:textId="08C551A2" w:rsidR="00E56897" w:rsidRDefault="00E56897" w:rsidP="00E56897">
      <w:pPr>
        <w:pStyle w:val="B1"/>
        <w:rPr>
          <w:lang w:val="en-US"/>
        </w:rPr>
      </w:pPr>
      <w:r w:rsidRPr="00B06441">
        <w:lastRenderedPageBreak/>
        <w:t>-</w:t>
      </w:r>
      <w:r w:rsidRPr="00B06441">
        <w:tab/>
      </w:r>
      <m:oMath>
        <m:sSub>
          <m:sSubPr>
            <m:ctrlPr>
              <w:rPr>
                <w:rFonts w:ascii="Cambria Math" w:hAnsi="Cambria Math"/>
                <w:i/>
              </w:rPr>
            </m:ctrlPr>
          </m:sSubPr>
          <m:e>
            <m:r>
              <w:rPr>
                <w:rFonts w:ascii="Cambria Math" w:hAnsi="Cambria Math"/>
              </w:rPr>
              <m:t>PL</m:t>
            </m:r>
          </m:e>
          <m:sub>
            <m:r>
              <w:rPr>
                <w:rFonts w:ascii="Cambria Math" w:hAnsi="Cambria Math"/>
              </w:rPr>
              <m:t>b,f,c</m:t>
            </m:r>
          </m:sub>
        </m:sSub>
        <m:d>
          <m:dPr>
            <m:ctrlPr>
              <w:rPr>
                <w:rFonts w:ascii="Cambria Math" w:eastAsia="MS Mincho" w:hAnsi="Cambria Math"/>
                <w:i/>
                <w:lang w:eastAsia="ja-JP"/>
              </w:rPr>
            </m:ctrlPr>
          </m:dPr>
          <m:e>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d</m:t>
                </m:r>
              </m:sub>
            </m:sSub>
          </m:e>
        </m:d>
      </m:oMath>
      <w:r>
        <w:rPr>
          <w:lang w:eastAsia="ja-JP"/>
        </w:rPr>
        <w:t xml:space="preserve"> </w:t>
      </w:r>
      <w:r w:rsidRPr="00B06441">
        <w:t xml:space="preserve">is </w:t>
      </w:r>
      <w:r w:rsidRPr="00B06441">
        <w:rPr>
          <w:lang w:val="en-US"/>
        </w:rPr>
        <w:t>a</w:t>
      </w:r>
      <w:r w:rsidRPr="00B06441">
        <w:t xml:space="preserve"> downlink </w:t>
      </w:r>
      <w:r w:rsidRPr="006564DE">
        <w:t xml:space="preserve">pathloss estimate </w:t>
      </w:r>
      <w:r w:rsidRPr="006564DE">
        <w:rPr>
          <w:rFonts w:eastAsia="MS Mincho"/>
        </w:rPr>
        <w:t xml:space="preserve">in dB </w:t>
      </w:r>
      <w:r w:rsidRPr="006564DE">
        <w:t xml:space="preserve">calculated </w:t>
      </w:r>
      <w:r w:rsidRPr="006564DE">
        <w:rPr>
          <w:lang w:val="en-US"/>
        </w:rPr>
        <w:t>by</w:t>
      </w:r>
      <w:r w:rsidRPr="006564DE">
        <w:t xml:space="preserve"> the UE</w:t>
      </w:r>
      <w:r>
        <w:t xml:space="preserve">, </w:t>
      </w:r>
      <w:r w:rsidRPr="006564DE">
        <w:rPr>
          <w:lang w:val="en-US"/>
        </w:rPr>
        <w:t xml:space="preserve">as described </w:t>
      </w:r>
      <w:r w:rsidR="006F5F9E">
        <w:rPr>
          <w:lang w:val="en-US"/>
        </w:rPr>
        <w:t>in clause</w:t>
      </w:r>
      <w:r w:rsidRPr="00B06441">
        <w:rPr>
          <w:lang w:val="en-US"/>
        </w:rPr>
        <w:t xml:space="preserve"> 7.1.1 </w:t>
      </w:r>
      <w:r>
        <w:rPr>
          <w:lang w:val="en-US"/>
        </w:rPr>
        <w:t>in case of an</w:t>
      </w:r>
      <w:r w:rsidRPr="00B06441">
        <w:rPr>
          <w:lang w:val="en-US"/>
        </w:rPr>
        <w:t xml:space="preserve"> active DL BWP </w:t>
      </w:r>
      <w:r w:rsidRPr="00B916EC">
        <w:rPr>
          <w:iCs/>
        </w:rPr>
        <w:t>of</w:t>
      </w:r>
      <w:r w:rsidRPr="00B916EC">
        <w:t xml:space="preserve"> </w:t>
      </w:r>
      <w:r>
        <w:t xml:space="preserve">a </w:t>
      </w:r>
      <w:r w:rsidRPr="00B916EC">
        <w:t xml:space="preserve">serving cell </w:t>
      </w:r>
      <m:oMath>
        <m:r>
          <w:rPr>
            <w:rFonts w:ascii="Cambria Math" w:eastAsia="MS Mincho" w:hAnsi="Cambria Math"/>
            <w:lang w:eastAsia="ja-JP"/>
          </w:rPr>
          <m:t>c</m:t>
        </m:r>
      </m:oMath>
      <w:r>
        <w:rPr>
          <w:lang w:eastAsia="ja-JP"/>
        </w:rPr>
        <w:t>,</w:t>
      </w:r>
      <w:r w:rsidRPr="006564DE">
        <w:t xml:space="preserve"> </w:t>
      </w:r>
      <w:r w:rsidRPr="006564DE">
        <w:rPr>
          <w:lang w:val="en-US"/>
        </w:rPr>
        <w:t xml:space="preserve">using RS resource indexed </w:t>
      </w:r>
      <m:oMath>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d</m:t>
            </m:r>
          </m:sub>
        </m:sSub>
      </m:oMath>
      <w:r w:rsidRPr="006564DE">
        <w:rPr>
          <w:iCs/>
          <w:lang w:val="en-US"/>
        </w:rPr>
        <w:t xml:space="preserve"> </w:t>
      </w:r>
      <w:r>
        <w:t>in a serving or</w:t>
      </w:r>
      <w:r w:rsidRPr="006564DE">
        <w:t xml:space="preserve"> non-serving cell </w:t>
      </w:r>
      <w:r>
        <w:rPr>
          <w:rFonts w:eastAsia="MS Mincho"/>
          <w:lang w:val="en-US"/>
        </w:rPr>
        <w:t>for</w:t>
      </w:r>
      <w:r w:rsidRPr="00B06441">
        <w:rPr>
          <w:rFonts w:eastAsia="MS Mincho"/>
          <w:lang w:val="en-US"/>
        </w:rPr>
        <w:t xml:space="preserve"> SRS resource set </w:t>
      </w:r>
      <m:oMath>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s</m:t>
            </m:r>
          </m:sub>
        </m:sSub>
      </m:oMath>
      <w:r w:rsidRPr="00B06441">
        <w:rPr>
          <w:lang w:val="en-US"/>
        </w:rPr>
        <w:t xml:space="preserve"> </w:t>
      </w:r>
      <w:r w:rsidRPr="00B06441">
        <w:t>[</w:t>
      </w:r>
      <w:r w:rsidRPr="00B06441">
        <w:rPr>
          <w:lang w:val="en-US"/>
        </w:rPr>
        <w:t>6</w:t>
      </w:r>
      <w:r w:rsidRPr="00B06441">
        <w:t>, TS 38.214]</w:t>
      </w:r>
      <w:r w:rsidRPr="00B06441">
        <w:rPr>
          <w:lang w:val="en-US"/>
        </w:rPr>
        <w:t xml:space="preserve">. </w:t>
      </w:r>
      <w:r>
        <w:rPr>
          <w:lang w:val="en-US"/>
        </w:rPr>
        <w:t>A configuration for</w:t>
      </w:r>
      <w:r w:rsidRPr="00B06441">
        <w:rPr>
          <w:lang w:val="en-US"/>
        </w:rPr>
        <w:t xml:space="preserve"> RS resource index </w:t>
      </w:r>
      <m:oMath>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d</m:t>
            </m:r>
          </m:sub>
        </m:sSub>
      </m:oMath>
      <w:r w:rsidRPr="00B06441">
        <w:rPr>
          <w:lang w:val="en-US"/>
        </w:rPr>
        <w:t xml:space="preserve"> </w:t>
      </w:r>
      <w:r>
        <w:rPr>
          <w:lang w:val="en-US"/>
        </w:rPr>
        <w:t>associated with</w:t>
      </w:r>
      <w:r w:rsidRPr="00B06441">
        <w:rPr>
          <w:lang w:val="en-US"/>
        </w:rPr>
        <w:t xml:space="preserve"> SRS resource set </w:t>
      </w:r>
      <m:oMath>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s</m:t>
            </m:r>
          </m:sub>
        </m:sSub>
      </m:oMath>
      <w:r w:rsidRPr="00B06441">
        <w:rPr>
          <w:lang w:val="en-US"/>
        </w:rPr>
        <w:t xml:space="preserve"> is provided </w:t>
      </w:r>
      <w:r>
        <w:rPr>
          <w:rFonts w:eastAsia="MS Mincho"/>
          <w:lang w:val="en-US"/>
        </w:rPr>
        <w:t>by</w:t>
      </w:r>
      <w:r w:rsidRPr="00B06441">
        <w:rPr>
          <w:lang w:val="en-US"/>
        </w:rPr>
        <w:t xml:space="preserve"> </w:t>
      </w:r>
      <w:r w:rsidRPr="00B06441">
        <w:rPr>
          <w:i/>
        </w:rPr>
        <w:t>pathlossReferenceRS</w:t>
      </w:r>
      <w:r w:rsidR="0097713F">
        <w:rPr>
          <w:i/>
          <w:lang w:val="en-US"/>
        </w:rPr>
        <w:t>-Pos</w:t>
      </w:r>
      <w:r w:rsidRPr="00B06441">
        <w:rPr>
          <w:lang w:val="en-US"/>
        </w:rPr>
        <w:t xml:space="preserve"> </w:t>
      </w:r>
    </w:p>
    <w:p w14:paraId="2D172795" w14:textId="77777777" w:rsidR="00447DE3" w:rsidRPr="00447DE3" w:rsidRDefault="00E56897" w:rsidP="00447DE3">
      <w:pPr>
        <w:pStyle w:val="B2"/>
      </w:pPr>
      <w:r>
        <w:t>-</w:t>
      </w:r>
      <w:r>
        <w:tab/>
      </w:r>
      <w:r w:rsidR="00447DE3" w:rsidRPr="00447DE3">
        <w:t xml:space="preserve">if </w:t>
      </w:r>
      <w:r w:rsidR="00447DE3" w:rsidRPr="00447DE3">
        <w:rPr>
          <w:rFonts w:eastAsia="MS Mincho"/>
          <w:lang w:val="en-US"/>
        </w:rPr>
        <w:t xml:space="preserve">a </w:t>
      </w:r>
      <w:r w:rsidR="00447DE3" w:rsidRPr="00146E49">
        <w:rPr>
          <w:i/>
          <w:lang w:val="en-US" w:eastAsia="zh-CN" w:bidi="ar"/>
        </w:rPr>
        <w:t>ssb-IndexServing</w:t>
      </w:r>
      <w:r w:rsidR="00447DE3" w:rsidRPr="00447DE3">
        <w:t xml:space="preserve"> is provided</w:t>
      </w:r>
      <w:r w:rsidR="00447DE3" w:rsidRPr="00447DE3">
        <w:rPr>
          <w:iCs/>
          <w:lang w:val="en-US"/>
        </w:rPr>
        <w:t xml:space="preserve">, </w:t>
      </w:r>
      <w:r w:rsidR="00447DE3" w:rsidRPr="00447DE3">
        <w:rPr>
          <w:rFonts w:eastAsia="MS Mincho"/>
          <w:i/>
          <w:iCs/>
        </w:rPr>
        <w:t>referenceSignalPower</w:t>
      </w:r>
      <w:r w:rsidR="00447DE3" w:rsidRPr="00447DE3">
        <w:rPr>
          <w:rFonts w:eastAsia="MS Mincho"/>
        </w:rPr>
        <w:t xml:space="preserve"> is provided by </w:t>
      </w:r>
      <w:r w:rsidR="00447DE3" w:rsidRPr="00447DE3">
        <w:rPr>
          <w:i/>
          <w:iCs/>
        </w:rPr>
        <w:t>ss-PBCH-BlockPower</w:t>
      </w:r>
    </w:p>
    <w:p w14:paraId="1896ED48" w14:textId="5DD0614E" w:rsidR="00E56897" w:rsidRDefault="00447DE3" w:rsidP="00447DE3">
      <w:pPr>
        <w:pStyle w:val="B2"/>
        <w:rPr>
          <w:lang w:val="en-US"/>
        </w:rPr>
      </w:pPr>
      <w:r w:rsidRPr="00447DE3">
        <w:rPr>
          <w:lang w:val="en-GB"/>
        </w:rPr>
        <w:t>-</w:t>
      </w:r>
      <w:r>
        <w:rPr>
          <w:lang w:val="en-GB"/>
        </w:rPr>
        <w:tab/>
      </w:r>
      <w:r w:rsidR="00E56897">
        <w:t>i</w:t>
      </w:r>
      <w:r w:rsidR="00E56897" w:rsidRPr="00DD5101">
        <w:t xml:space="preserve">f </w:t>
      </w:r>
      <w:r w:rsidR="00E56897" w:rsidRPr="00B06441">
        <w:rPr>
          <w:rFonts w:eastAsia="MS Mincho"/>
          <w:lang w:val="en-US"/>
        </w:rPr>
        <w:t xml:space="preserve">a </w:t>
      </w:r>
      <w:r w:rsidRPr="00A8549C">
        <w:rPr>
          <w:i/>
          <w:iCs/>
        </w:rPr>
        <w:t>ssb-Ncell</w:t>
      </w:r>
      <w:r w:rsidR="00E56897">
        <w:t xml:space="preserve"> is provided</w:t>
      </w:r>
      <w:r w:rsidR="00E56897" w:rsidRPr="00F97BF4">
        <w:rPr>
          <w:rFonts w:asciiTheme="majorBidi" w:hAnsiTheme="majorBidi" w:cstheme="majorBidi"/>
          <w:iCs/>
          <w:lang w:val="en-US"/>
        </w:rPr>
        <w:t>,</w:t>
      </w:r>
      <w:r w:rsidR="00E56897">
        <w:rPr>
          <w:rFonts w:asciiTheme="majorBidi" w:hAnsiTheme="majorBidi" w:cstheme="majorBidi"/>
          <w:iCs/>
          <w:lang w:val="en-US"/>
        </w:rPr>
        <w:t xml:space="preserve"> </w:t>
      </w:r>
      <w:r w:rsidR="00E56897" w:rsidRPr="00B916EC">
        <w:rPr>
          <w:rFonts w:eastAsia="MS Mincho"/>
          <w:i/>
        </w:rPr>
        <w:t>referenceSignalPower</w:t>
      </w:r>
      <w:r w:rsidR="00E56897">
        <w:rPr>
          <w:rFonts w:eastAsia="MS Mincho"/>
        </w:rPr>
        <w:t xml:space="preserve"> is provided by </w:t>
      </w:r>
      <w:r w:rsidR="00E56897" w:rsidRPr="003B4338">
        <w:rPr>
          <w:i/>
        </w:rPr>
        <w:t>ss-PBCH-BlockPower</w:t>
      </w:r>
      <w:r w:rsidR="0097713F">
        <w:rPr>
          <w:i/>
          <w:lang w:val="en-US"/>
        </w:rPr>
        <w:t>-r16</w:t>
      </w:r>
    </w:p>
    <w:p w14:paraId="7119B354" w14:textId="7A4AB1A2" w:rsidR="00E56897" w:rsidRPr="00CF25C3" w:rsidRDefault="00E56897" w:rsidP="00E56897">
      <w:pPr>
        <w:pStyle w:val="B2"/>
        <w:rPr>
          <w:lang w:val="en-US"/>
        </w:rPr>
      </w:pPr>
      <w:r>
        <w:t>-</w:t>
      </w:r>
      <w:r>
        <w:tab/>
        <w:t>i</w:t>
      </w:r>
      <w:r w:rsidRPr="00DD5101">
        <w:t xml:space="preserve">f </w:t>
      </w:r>
      <w:r w:rsidRPr="00B06441">
        <w:rPr>
          <w:rFonts w:eastAsia="MS Mincho"/>
          <w:lang w:val="en-US"/>
        </w:rPr>
        <w:t xml:space="preserve">a </w:t>
      </w:r>
      <w:r w:rsidR="00447DE3" w:rsidRPr="00A8549C">
        <w:rPr>
          <w:i/>
          <w:iCs/>
          <w:lang w:val="en-US" w:eastAsia="zh-CN" w:bidi="ar"/>
        </w:rPr>
        <w:t>dl-PRS</w:t>
      </w:r>
      <w:r>
        <w:t xml:space="preserve"> is provided,</w:t>
      </w:r>
      <w:r>
        <w:rPr>
          <w:lang w:val="en-US"/>
        </w:rPr>
        <w:t xml:space="preserve"> </w:t>
      </w:r>
      <w:r w:rsidRPr="00B916EC">
        <w:rPr>
          <w:rFonts w:eastAsia="MS Mincho"/>
          <w:i/>
        </w:rPr>
        <w:t>referenceSignalPower</w:t>
      </w:r>
      <w:r>
        <w:rPr>
          <w:rFonts w:eastAsia="MS Mincho"/>
        </w:rPr>
        <w:t xml:space="preserve"> is provided by </w:t>
      </w:r>
      <w:r w:rsidRPr="00F15057">
        <w:rPr>
          <w:i/>
          <w:lang w:eastAsia="x-none"/>
        </w:rPr>
        <w:t>dl-PRS-ResourcePower</w:t>
      </w:r>
    </w:p>
    <w:p w14:paraId="293AA9E0" w14:textId="36321E4E" w:rsidR="007E56E4" w:rsidRPr="00347EFC" w:rsidRDefault="007E56E4" w:rsidP="007E56E4">
      <w:pPr>
        <w:pStyle w:val="B1"/>
        <w:rPr>
          <w:iCs/>
        </w:rPr>
      </w:pPr>
      <w:r w:rsidRPr="00347EFC">
        <w:tab/>
        <w:t xml:space="preserve">If the UE </w:t>
      </w:r>
      <w:r w:rsidRPr="006365A4">
        <w:t xml:space="preserve">is in the RRC_CONNECTED state and </w:t>
      </w:r>
      <w:r w:rsidRPr="00347EFC">
        <w:t xml:space="preserve">determines that the UE is not able to accurately measure </w:t>
      </w:r>
      <m:oMath>
        <m:sSub>
          <m:sSubPr>
            <m:ctrlPr>
              <w:rPr>
                <w:rFonts w:ascii="Cambria Math" w:hAnsi="Cambria Math"/>
                <w:i/>
              </w:rPr>
            </m:ctrlPr>
          </m:sSubPr>
          <m:e>
            <m:r>
              <w:rPr>
                <w:rFonts w:ascii="Cambria Math" w:hAnsi="Cambria Math"/>
              </w:rPr>
              <m:t>PL</m:t>
            </m:r>
          </m:e>
          <m:sub>
            <m:r>
              <w:rPr>
                <w:rFonts w:ascii="Cambria Math" w:hAnsi="Cambria Math"/>
              </w:rPr>
              <m:t>b,f,c</m:t>
            </m:r>
          </m:sub>
        </m:sSub>
        <m:d>
          <m:dPr>
            <m:ctrlPr>
              <w:rPr>
                <w:rFonts w:ascii="Cambria Math" w:eastAsia="MS Mincho" w:hAnsi="Cambria Math"/>
                <w:i/>
                <w:lang w:eastAsia="ja-JP"/>
              </w:rPr>
            </m:ctrlPr>
          </m:dPr>
          <m:e>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d</m:t>
                </m:r>
              </m:sub>
            </m:sSub>
          </m:e>
        </m:d>
      </m:oMath>
      <w:r w:rsidRPr="00347EFC">
        <w:rPr>
          <w:lang w:val="en-US" w:eastAsia="ja-JP"/>
        </w:rPr>
        <w:t xml:space="preserve">, or the UE is not provided with </w:t>
      </w:r>
      <w:r w:rsidRPr="00347EFC">
        <w:rPr>
          <w:i/>
          <w:iCs/>
          <w:lang w:val="en-US" w:eastAsia="ja-JP"/>
        </w:rPr>
        <w:t>pathlossReferenceRS-Pos</w:t>
      </w:r>
      <w:r w:rsidRPr="00347EFC">
        <w:rPr>
          <w:iCs/>
        </w:rPr>
        <w:t xml:space="preserve">, the UE calculates </w:t>
      </w:r>
      <m:oMath>
        <m:sSub>
          <m:sSubPr>
            <m:ctrlPr>
              <w:rPr>
                <w:rFonts w:ascii="Cambria Math" w:hAnsi="Cambria Math"/>
                <w:i/>
              </w:rPr>
            </m:ctrlPr>
          </m:sSubPr>
          <m:e>
            <m:r>
              <w:rPr>
                <w:rFonts w:ascii="Cambria Math" w:hAnsi="Cambria Math"/>
              </w:rPr>
              <m:t>PL</m:t>
            </m:r>
          </m:e>
          <m:sub>
            <m:r>
              <w:rPr>
                <w:rFonts w:ascii="Cambria Math" w:hAnsi="Cambria Math"/>
              </w:rPr>
              <m:t>b,f,c</m:t>
            </m:r>
          </m:sub>
        </m:sSub>
        <m:d>
          <m:dPr>
            <m:ctrlPr>
              <w:rPr>
                <w:rFonts w:ascii="Cambria Math" w:eastAsia="MS Mincho" w:hAnsi="Cambria Math"/>
                <w:i/>
                <w:lang w:eastAsia="ja-JP"/>
              </w:rPr>
            </m:ctrlPr>
          </m:dPr>
          <m:e>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d</m:t>
                </m:r>
              </m:sub>
            </m:sSub>
          </m:e>
        </m:d>
      </m:oMath>
      <w:r w:rsidRPr="00347EFC">
        <w:t xml:space="preserve"> using </w:t>
      </w:r>
      <w:r w:rsidRPr="00347EFC">
        <w:rPr>
          <w:iCs/>
        </w:rPr>
        <w:t xml:space="preserve">a RS resource obtained from the SS/PBCH block </w:t>
      </w:r>
      <w:r w:rsidRPr="00347EFC">
        <w:rPr>
          <w:iCs/>
          <w:lang w:val="en-US"/>
        </w:rPr>
        <w:t xml:space="preserve">of the serving cell </w:t>
      </w:r>
      <w:r w:rsidRPr="00347EFC">
        <w:rPr>
          <w:iCs/>
        </w:rPr>
        <w:t xml:space="preserve">that the UE </w:t>
      </w:r>
      <w:r w:rsidRPr="00347EFC">
        <w:rPr>
          <w:iCs/>
          <w:lang w:val="en-US"/>
        </w:rPr>
        <w:t xml:space="preserve">uses to </w:t>
      </w:r>
      <w:r w:rsidRPr="00347EFC">
        <w:rPr>
          <w:iCs/>
        </w:rPr>
        <w:t xml:space="preserve">obtain </w:t>
      </w:r>
      <w:r w:rsidRPr="00347EFC">
        <w:rPr>
          <w:i/>
          <w:lang w:val="en-US"/>
        </w:rPr>
        <w:t>MIB</w:t>
      </w:r>
      <w:r w:rsidRPr="00347EFC">
        <w:rPr>
          <w:iCs/>
          <w:lang w:val="en-US"/>
        </w:rPr>
        <w:t xml:space="preserve">. </w:t>
      </w:r>
      <w:r w:rsidRPr="00347EFC">
        <w:t xml:space="preserve">If the UE </w:t>
      </w:r>
      <w:r w:rsidRPr="00347EFC">
        <w:rPr>
          <w:lang w:val="en-US"/>
        </w:rPr>
        <w:t>is in the RRC_INACTIVE state</w:t>
      </w:r>
      <w:r w:rsidR="00764F3A">
        <w:rPr>
          <w:lang w:val="en-US"/>
        </w:rPr>
        <w:t xml:space="preserve">, is not provided </w:t>
      </w:r>
      <w:r w:rsidR="00764F3A" w:rsidRPr="00F5494D">
        <w:rPr>
          <w:i/>
          <w:lang w:eastAsia="zh-CN"/>
        </w:rPr>
        <w:t>SRS-PosRRC-InactiveConfig-ValidityArea</w:t>
      </w:r>
      <w:r w:rsidR="00764F3A">
        <w:rPr>
          <w:iCs/>
          <w:lang w:eastAsia="zh-CN"/>
        </w:rPr>
        <w:t>,</w:t>
      </w:r>
      <w:r w:rsidRPr="00347EFC">
        <w:rPr>
          <w:lang w:val="en-US"/>
        </w:rPr>
        <w:t xml:space="preserve"> and </w:t>
      </w:r>
      <w:r w:rsidRPr="00347EFC">
        <w:t>determines</w:t>
      </w:r>
      <w:r w:rsidRPr="00347EFC">
        <w:rPr>
          <w:lang w:val="en-US"/>
        </w:rPr>
        <w:t xml:space="preserve"> </w:t>
      </w:r>
      <w:r w:rsidRPr="00347EFC">
        <w:t xml:space="preserve">that the UE is not able to accurately measure </w:t>
      </w:r>
      <m:oMath>
        <m:sSub>
          <m:sSubPr>
            <m:ctrlPr>
              <w:rPr>
                <w:rFonts w:ascii="Cambria Math" w:hAnsi="Cambria Math"/>
                <w:i/>
              </w:rPr>
            </m:ctrlPr>
          </m:sSubPr>
          <m:e>
            <m:r>
              <w:rPr>
                <w:rFonts w:ascii="Cambria Math" w:hAnsi="Cambria Math"/>
              </w:rPr>
              <m:t>PL</m:t>
            </m:r>
          </m:e>
          <m:sub>
            <m:r>
              <w:rPr>
                <w:rFonts w:ascii="Cambria Math" w:hAnsi="Cambria Math"/>
              </w:rPr>
              <m:t>b,f,c</m:t>
            </m:r>
          </m:sub>
        </m:sSub>
        <m:d>
          <m:dPr>
            <m:ctrlPr>
              <w:rPr>
                <w:rFonts w:ascii="Cambria Math" w:eastAsia="MS Mincho" w:hAnsi="Cambria Math"/>
                <w:i/>
                <w:lang w:eastAsia="ja-JP"/>
              </w:rPr>
            </m:ctrlPr>
          </m:dPr>
          <m:e>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d</m:t>
                </m:r>
              </m:sub>
            </m:sSub>
          </m:e>
        </m:d>
      </m:oMath>
      <w:r w:rsidRPr="00347EFC">
        <w:rPr>
          <w:lang w:val="en-US" w:eastAsia="ja-JP"/>
        </w:rPr>
        <w:t>, the UE does not transmit SRS</w:t>
      </w:r>
      <w:r>
        <w:rPr>
          <w:lang w:val="en-US" w:eastAsia="ja-JP"/>
        </w:rPr>
        <w:t xml:space="preserve"> for the SRS resource set</w:t>
      </w:r>
      <w:r w:rsidRPr="00347EFC">
        <w:rPr>
          <w:lang w:val="en-US" w:eastAsia="ja-JP"/>
        </w:rPr>
        <w:t>.</w:t>
      </w:r>
    </w:p>
    <w:p w14:paraId="5AC2ED34" w14:textId="01DF5243" w:rsidR="00E56897" w:rsidRDefault="00E56897" w:rsidP="008E602B">
      <w:pPr>
        <w:pStyle w:val="B1"/>
      </w:pPr>
      <w:r>
        <w:tab/>
        <w:t xml:space="preserve">The UE </w:t>
      </w:r>
      <w:r w:rsidR="0031780B">
        <w:rPr>
          <w:lang w:val="en-US"/>
        </w:rPr>
        <w:t xml:space="preserve">may </w:t>
      </w:r>
      <w:r>
        <w:t xml:space="preserve">indicate a capability for a number of </w:t>
      </w:r>
      <w:r w:rsidRPr="00B06441">
        <w:t>pathloss estimate</w:t>
      </w:r>
      <w:r>
        <w:t>s that the UE can simultaneously maintain</w:t>
      </w:r>
      <w:r w:rsidR="00DC296D">
        <w:rPr>
          <w:lang w:val="en-US"/>
        </w:rPr>
        <w:t xml:space="preserve"> </w:t>
      </w:r>
      <w:r w:rsidR="0097713F" w:rsidRPr="006D04B0">
        <w:rPr>
          <w:lang w:val="en-US"/>
        </w:rPr>
        <w:t xml:space="preserve">for all SRS resource sets </w:t>
      </w:r>
      <w:r w:rsidR="0097713F">
        <w:rPr>
          <w:lang w:val="en-US"/>
        </w:rPr>
        <w:t>provid</w:t>
      </w:r>
      <w:r w:rsidR="0097713F" w:rsidRPr="006D04B0">
        <w:rPr>
          <w:lang w:val="en-US"/>
        </w:rPr>
        <w:t xml:space="preserve">ed by </w:t>
      </w:r>
      <w:r w:rsidR="0097713F" w:rsidRPr="006D04B0">
        <w:rPr>
          <w:i/>
          <w:iCs/>
        </w:rPr>
        <w:t xml:space="preserve">SRS-PosResourceSet </w:t>
      </w:r>
      <w:r w:rsidR="0097713F" w:rsidRPr="006D04B0">
        <w:t>in addition to the up to four pathloss estimates that the UE maintains per serving cell for PUSCH/PUCCH transmissions</w:t>
      </w:r>
      <w:r w:rsidR="0097713F">
        <w:rPr>
          <w:lang w:val="en-US"/>
        </w:rPr>
        <w:t xml:space="preserve"> and for SRS transmissions configured by </w:t>
      </w:r>
      <w:r w:rsidR="0097713F" w:rsidRPr="00AB7CE6">
        <w:rPr>
          <w:i/>
          <w:iCs/>
          <w:lang w:val="en-US"/>
        </w:rPr>
        <w:t>SRS-Resource</w:t>
      </w:r>
      <w:r>
        <w:t>.</w:t>
      </w:r>
    </w:p>
    <w:p w14:paraId="6F637F7F" w14:textId="1E9B831E" w:rsidR="00095CD6" w:rsidRDefault="00095CD6" w:rsidP="00095CD6">
      <w:pPr>
        <w:rPr>
          <w:lang w:eastAsia="zh-CN"/>
        </w:rPr>
      </w:pPr>
      <w:r w:rsidRPr="00095CD6">
        <w:rPr>
          <w:lang w:eastAsia="zh-CN"/>
        </w:rPr>
        <w:t xml:space="preserve">If a UE transmits SRS based on a configuration by </w:t>
      </w:r>
      <w:r w:rsidRPr="00095CD6">
        <w:rPr>
          <w:i/>
          <w:lang w:eastAsia="zh-CN"/>
        </w:rPr>
        <w:t>SRS-PosResourceSet</w:t>
      </w:r>
      <w:r w:rsidRPr="00095CD6">
        <w:rPr>
          <w:lang w:eastAsia="zh-CN"/>
        </w:rPr>
        <w:t xml:space="preserve"> outside initial UL BWP of carrier </w:t>
      </w:r>
      <w:r w:rsidRPr="00095CD6">
        <w:rPr>
          <w:i/>
          <w:lang w:eastAsia="zh-CN"/>
        </w:rPr>
        <w:t>f</w:t>
      </w:r>
      <w:r w:rsidRPr="00095CD6">
        <w:rPr>
          <w:lang w:eastAsia="zh-CN"/>
        </w:rPr>
        <w:t xml:space="preserve"> of serving cell </w:t>
      </w:r>
      <w:r w:rsidRPr="00095CD6">
        <w:rPr>
          <w:i/>
          <w:lang w:eastAsia="zh-CN"/>
        </w:rPr>
        <w:t>c</w:t>
      </w:r>
      <w:r w:rsidRPr="00095CD6">
        <w:rPr>
          <w:lang w:eastAsia="zh-CN"/>
        </w:rPr>
        <w:t xml:space="preserve"> in RRC_INACTIVE state, the active UL BWP </w:t>
      </w:r>
      <w:r w:rsidRPr="00095CD6">
        <w:rPr>
          <w:i/>
          <w:lang w:eastAsia="zh-CN"/>
        </w:rPr>
        <w:t>b</w:t>
      </w:r>
      <w:r w:rsidRPr="00095CD6">
        <w:rPr>
          <w:lang w:eastAsia="zh-CN"/>
        </w:rPr>
        <w:t xml:space="preserve"> refers to the BWP configuration provided by </w:t>
      </w:r>
      <w:r w:rsidRPr="00095CD6">
        <w:rPr>
          <w:i/>
          <w:lang w:eastAsia="zh-CN"/>
        </w:rPr>
        <w:t>bwp-NUL</w:t>
      </w:r>
      <w:r w:rsidRPr="00095CD6">
        <w:rPr>
          <w:lang w:eastAsia="zh-CN"/>
        </w:rPr>
        <w:t xml:space="preserve"> or </w:t>
      </w:r>
      <w:r w:rsidRPr="00095CD6">
        <w:rPr>
          <w:i/>
          <w:lang w:eastAsia="zh-CN"/>
        </w:rPr>
        <w:t>bwp-SUL</w:t>
      </w:r>
      <w:r w:rsidRPr="00095CD6">
        <w:rPr>
          <w:lang w:eastAsia="zh-CN"/>
        </w:rPr>
        <w:t xml:space="preserve"> in </w:t>
      </w:r>
      <w:r w:rsidRPr="00095CD6">
        <w:rPr>
          <w:i/>
          <w:lang w:eastAsia="zh-CN"/>
        </w:rPr>
        <w:t>SRS-PosRRC-InactiveConfig</w:t>
      </w:r>
      <w:r w:rsidRPr="00095CD6">
        <w:rPr>
          <w:lang w:eastAsia="zh-CN"/>
        </w:rPr>
        <w:t xml:space="preserve"> for the corresponding carrier.</w:t>
      </w:r>
    </w:p>
    <w:p w14:paraId="301C8350" w14:textId="77777777" w:rsidR="00E169CB" w:rsidRPr="00141BBF" w:rsidRDefault="00E169CB" w:rsidP="00E169CB">
      <w:pPr>
        <w:rPr>
          <w:iCs/>
          <w:lang w:eastAsia="zh-CN"/>
        </w:rPr>
      </w:pPr>
      <w:r>
        <w:rPr>
          <w:lang w:eastAsia="zh-CN"/>
        </w:rPr>
        <w:t xml:space="preserve">If a UE transmits SRS on multiple SRS resources </w:t>
      </w:r>
      <w:r>
        <w:t xml:space="preserve">for positioning bandwidth aggregation </w:t>
      </w:r>
      <w:r>
        <w:rPr>
          <w:lang w:eastAsia="zh-CN"/>
        </w:rPr>
        <w:t xml:space="preserve">according to </w:t>
      </w:r>
      <w:r w:rsidRPr="007B1BD4">
        <w:rPr>
          <w:i/>
          <w:iCs/>
        </w:rPr>
        <w:t>linkage</w:t>
      </w:r>
      <w:r>
        <w:rPr>
          <w:lang w:eastAsia="zh-CN"/>
        </w:rPr>
        <w:t xml:space="preserve"> [6, TS 38.214]</w:t>
      </w:r>
      <w:r>
        <w:rPr>
          <w:iCs/>
          <w:lang w:eastAsia="zh-CN"/>
        </w:rPr>
        <w:t xml:space="preserve">, the UE calculates </w:t>
      </w:r>
      <m:oMath>
        <m:sSub>
          <m:sSubPr>
            <m:ctrlPr>
              <w:rPr>
                <w:rFonts w:ascii="Cambria Math" w:hAnsi="Cambria Math"/>
                <w:i/>
              </w:rPr>
            </m:ctrlPr>
          </m:sSubPr>
          <m:e>
            <m:r>
              <w:rPr>
                <w:rFonts w:ascii="Cambria Math" w:hAnsi="Cambria Math"/>
              </w:rPr>
              <m:t>P</m:t>
            </m:r>
          </m:e>
          <m:sub>
            <m:r>
              <w:rPr>
                <w:rFonts w:ascii="Cambria Math" w:hAnsi="Cambria Math"/>
              </w:rPr>
              <m:t>SRS,b,f,c</m:t>
            </m:r>
          </m:sub>
        </m:sSub>
        <m:d>
          <m:dPr>
            <m:ctrlPr>
              <w:rPr>
                <w:rFonts w:ascii="Cambria Math" w:eastAsia="MS Mincho" w:hAnsi="Cambria Math"/>
                <w:i/>
                <w:lang w:eastAsia="ja-JP"/>
              </w:rPr>
            </m:ctrlPr>
          </m:dPr>
          <m:e>
            <m:r>
              <w:rPr>
                <w:rFonts w:ascii="Cambria Math" w:eastAsia="MS Mincho" w:hAnsi="Cambria Math"/>
                <w:lang w:eastAsia="ja-JP"/>
              </w:rPr>
              <m:t>i,</m:t>
            </m:r>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s</m:t>
                </m:r>
              </m:sub>
            </m:sSub>
          </m:e>
        </m:d>
      </m:oMath>
      <w:r>
        <w:rPr>
          <w:iCs/>
          <w:lang w:eastAsia="zh-CN"/>
        </w:rPr>
        <w:t xml:space="preserve"> using the same values of </w:t>
      </w:r>
      <m:oMath>
        <m:sSub>
          <m:sSubPr>
            <m:ctrlPr>
              <w:rPr>
                <w:rFonts w:ascii="Cambria Math" w:hAnsi="Cambria Math"/>
                <w:i/>
              </w:rPr>
            </m:ctrlPr>
          </m:sSubPr>
          <m:e>
            <m:r>
              <w:rPr>
                <w:rFonts w:ascii="Cambria Math" w:hAnsi="Cambria Math"/>
              </w:rPr>
              <m:t>P</m:t>
            </m:r>
          </m:e>
          <m:sub>
            <m:r>
              <m:rPr>
                <m:sty m:val="p"/>
              </m:rPr>
              <w:rPr>
                <w:rFonts w:ascii="Cambria Math" w:hAnsi="Cambria Math"/>
              </w:rPr>
              <m:t>O_SRS</m:t>
            </m:r>
            <m:r>
              <w:rPr>
                <w:rFonts w:ascii="Cambria Math" w:hAnsi="Cambria Math"/>
              </w:rPr>
              <m:t>,b,f,c</m:t>
            </m:r>
          </m:sub>
        </m:sSub>
        <m:d>
          <m:dPr>
            <m:ctrlPr>
              <w:rPr>
                <w:rFonts w:ascii="Cambria Math" w:eastAsia="MS Mincho" w:hAnsi="Cambria Math"/>
                <w:i/>
                <w:lang w:eastAsia="ja-JP"/>
              </w:rPr>
            </m:ctrlPr>
          </m:dPr>
          <m:e>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s</m:t>
                </m:r>
              </m:sub>
            </m:sSub>
          </m:e>
        </m:d>
      </m:oMath>
      <w:r>
        <w:rPr>
          <w:lang w:eastAsia="ja-JP"/>
        </w:rPr>
        <w:t xml:space="preserve">, </w:t>
      </w:r>
      <m:oMath>
        <m:sSub>
          <m:sSubPr>
            <m:ctrlPr>
              <w:rPr>
                <w:rFonts w:ascii="Cambria Math" w:hAnsi="Cambria Math"/>
                <w:i/>
              </w:rPr>
            </m:ctrlPr>
          </m:sSubPr>
          <m:e>
            <m:r>
              <w:rPr>
                <w:rFonts w:ascii="Cambria Math" w:hAnsi="Cambria Math"/>
              </w:rPr>
              <m:t>α</m:t>
            </m:r>
          </m:e>
          <m:sub>
            <m:r>
              <m:rPr>
                <m:sty m:val="p"/>
              </m:rPr>
              <w:rPr>
                <w:rFonts w:ascii="Cambria Math" w:hAnsi="Cambria Math"/>
              </w:rPr>
              <m:t>SRS</m:t>
            </m:r>
            <m:r>
              <w:rPr>
                <w:rFonts w:ascii="Cambria Math" w:hAnsi="Cambria Math"/>
              </w:rPr>
              <m:t>,b,f,c</m:t>
            </m:r>
          </m:sub>
        </m:sSub>
        <m:d>
          <m:dPr>
            <m:ctrlPr>
              <w:rPr>
                <w:rFonts w:ascii="Cambria Math" w:eastAsia="MS Mincho" w:hAnsi="Cambria Math"/>
                <w:i/>
                <w:lang w:eastAsia="ja-JP"/>
              </w:rPr>
            </m:ctrlPr>
          </m:dPr>
          <m:e>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s</m:t>
                </m:r>
              </m:sub>
            </m:sSub>
          </m:e>
        </m:d>
      </m:oMath>
      <w:r>
        <w:rPr>
          <w:lang w:eastAsia="ja-JP"/>
        </w:rPr>
        <w:t xml:space="preserve">, </w:t>
      </w:r>
      <w:r>
        <w:rPr>
          <w:iCs/>
          <w:lang w:eastAsia="zh-CN"/>
        </w:rPr>
        <w:t xml:space="preserve">and </w:t>
      </w:r>
      <m:oMath>
        <m:sSub>
          <m:sSubPr>
            <m:ctrlPr>
              <w:rPr>
                <w:rFonts w:ascii="Cambria Math" w:hAnsi="Cambria Math"/>
                <w:i/>
              </w:rPr>
            </m:ctrlPr>
          </m:sSubPr>
          <m:e>
            <m:r>
              <w:rPr>
                <w:rFonts w:ascii="Cambria Math" w:hAnsi="Cambria Math"/>
              </w:rPr>
              <m:t>PL</m:t>
            </m:r>
          </m:e>
          <m:sub>
            <m:r>
              <w:rPr>
                <w:rFonts w:ascii="Cambria Math" w:hAnsi="Cambria Math"/>
              </w:rPr>
              <m:t>b,f,c</m:t>
            </m:r>
          </m:sub>
        </m:sSub>
        <m:d>
          <m:dPr>
            <m:ctrlPr>
              <w:rPr>
                <w:rFonts w:ascii="Cambria Math" w:eastAsia="MS Mincho" w:hAnsi="Cambria Math"/>
                <w:i/>
                <w:lang w:eastAsia="ja-JP"/>
              </w:rPr>
            </m:ctrlPr>
          </m:dPr>
          <m:e>
            <m:sSub>
              <m:sSubPr>
                <m:ctrlPr>
                  <w:rPr>
                    <w:rFonts w:ascii="Cambria Math" w:eastAsia="MS Mincho" w:hAnsi="Cambria Math"/>
                    <w:i/>
                    <w:lang w:eastAsia="ja-JP"/>
                  </w:rPr>
                </m:ctrlPr>
              </m:sSubPr>
              <m:e>
                <m:r>
                  <w:rPr>
                    <w:rFonts w:ascii="Cambria Math" w:eastAsia="MS Mincho" w:hAnsi="Cambria Math"/>
                    <w:lang w:eastAsia="ja-JP"/>
                  </w:rPr>
                  <m:t>q</m:t>
                </m:r>
              </m:e>
              <m:sub>
                <m:r>
                  <w:rPr>
                    <w:rFonts w:ascii="Cambria Math" w:eastAsia="MS Mincho" w:hAnsi="Cambria Math"/>
                    <w:lang w:eastAsia="ja-JP"/>
                  </w:rPr>
                  <m:t>d</m:t>
                </m:r>
              </m:sub>
            </m:sSub>
          </m:e>
        </m:d>
      </m:oMath>
      <w:r>
        <w:rPr>
          <w:lang w:eastAsia="ja-JP"/>
        </w:rPr>
        <w:t xml:space="preserve"> for each of</w:t>
      </w:r>
      <w:r>
        <w:rPr>
          <w:iCs/>
          <w:lang w:eastAsia="zh-CN"/>
        </w:rPr>
        <w:t xml:space="preserve"> the multiple </w:t>
      </w:r>
      <w:r>
        <w:rPr>
          <w:lang w:eastAsia="zh-CN"/>
        </w:rPr>
        <w:t>SRS resources</w:t>
      </w:r>
      <w:r>
        <w:rPr>
          <w:iCs/>
          <w:lang w:eastAsia="zh-CN"/>
        </w:rPr>
        <w:t>.</w:t>
      </w:r>
      <w:r>
        <w:rPr>
          <w:lang w:eastAsia="ja-JP"/>
        </w:rPr>
        <w:t xml:space="preserve"> </w:t>
      </w:r>
    </w:p>
    <w:p w14:paraId="3A360405" w14:textId="1408EAD4" w:rsidR="00764F3A" w:rsidRPr="00684938" w:rsidRDefault="00764F3A" w:rsidP="00764F3A">
      <w:r w:rsidRPr="00F5494D">
        <w:rPr>
          <w:lang w:eastAsia="zh-CN"/>
        </w:rPr>
        <w:t xml:space="preserve">If a UE transmits SRS based on a configuration by </w:t>
      </w:r>
      <w:r w:rsidRPr="00F5494D">
        <w:rPr>
          <w:i/>
          <w:lang w:eastAsia="zh-CN"/>
        </w:rPr>
        <w:t>SRS-PosResourceSet</w:t>
      </w:r>
      <w:r w:rsidRPr="00F5494D">
        <w:rPr>
          <w:iCs/>
          <w:lang w:eastAsia="zh-CN"/>
        </w:rPr>
        <w:t xml:space="preserve"> in </w:t>
      </w:r>
      <w:r w:rsidR="006E2918" w:rsidRPr="00F67AA8">
        <w:rPr>
          <w:i/>
          <w:iCs/>
        </w:rPr>
        <w:t>SRS-PosRRC-InactiveValidityAreaConfig</w:t>
      </w:r>
      <w:r>
        <w:rPr>
          <w:iCs/>
          <w:lang w:eastAsia="zh-CN"/>
        </w:rPr>
        <w:t xml:space="preserve"> </w:t>
      </w:r>
      <w:r w:rsidRPr="00095CD6">
        <w:rPr>
          <w:lang w:eastAsia="zh-CN"/>
        </w:rPr>
        <w:t>in RRC_INACTIVE state</w:t>
      </w:r>
      <w:r>
        <w:rPr>
          <w:iCs/>
          <w:lang w:eastAsia="zh-CN"/>
        </w:rPr>
        <w:t xml:space="preserve"> [12, TS 38.331], </w:t>
      </w:r>
      <w:r w:rsidRPr="00095CD6">
        <w:rPr>
          <w:lang w:eastAsia="zh-CN"/>
        </w:rPr>
        <w:t xml:space="preserve">the active UL BWP </w:t>
      </w:r>
      <w:r w:rsidRPr="00095CD6">
        <w:rPr>
          <w:i/>
          <w:lang w:eastAsia="zh-CN"/>
        </w:rPr>
        <w:t>b</w:t>
      </w:r>
      <w:r w:rsidRPr="00095CD6">
        <w:rPr>
          <w:lang w:eastAsia="zh-CN"/>
        </w:rPr>
        <w:t xml:space="preserve"> </w:t>
      </w:r>
      <w:r>
        <w:rPr>
          <w:lang w:eastAsia="zh-CN"/>
        </w:rPr>
        <w:t>refers to the BWP</w:t>
      </w:r>
      <w:r w:rsidRPr="00095CD6">
        <w:rPr>
          <w:lang w:eastAsia="zh-CN"/>
        </w:rPr>
        <w:t xml:space="preserve"> provided</w:t>
      </w:r>
      <w:r>
        <w:rPr>
          <w:iCs/>
          <w:lang w:eastAsia="zh-CN"/>
        </w:rPr>
        <w:t xml:space="preserve"> by </w:t>
      </w:r>
      <w:r w:rsidRPr="00D11393">
        <w:rPr>
          <w:i/>
          <w:lang w:eastAsia="zh-CN"/>
        </w:rPr>
        <w:t>bwp</w:t>
      </w:r>
      <w:r w:rsidRPr="00F5494D">
        <w:rPr>
          <w:iCs/>
          <w:lang w:eastAsia="zh-CN"/>
        </w:rPr>
        <w:t xml:space="preserve"> </w:t>
      </w:r>
      <w:r>
        <w:rPr>
          <w:iCs/>
          <w:lang w:eastAsia="zh-CN"/>
        </w:rPr>
        <w:t xml:space="preserve">in </w:t>
      </w:r>
      <w:r w:rsidR="006E2918" w:rsidRPr="00F67AA8">
        <w:rPr>
          <w:i/>
          <w:iCs/>
        </w:rPr>
        <w:t>SRS-PosRRC-InactiveValidityAreaConfig</w:t>
      </w:r>
      <w:r>
        <w:rPr>
          <w:iCs/>
          <w:lang w:eastAsia="zh-CN"/>
        </w:rPr>
        <w:t xml:space="preserve">. If the UE is not provided </w:t>
      </w:r>
      <w:r w:rsidRPr="00347EFC">
        <w:rPr>
          <w:i/>
          <w:iCs/>
          <w:lang w:val="en-US" w:eastAsia="ja-JP"/>
        </w:rPr>
        <w:t>pathlossReferenceRS-Pos</w:t>
      </w:r>
      <w:r>
        <w:rPr>
          <w:iCs/>
          <w:lang w:eastAsia="zh-CN"/>
        </w:rPr>
        <w:t xml:space="preserve"> in </w:t>
      </w:r>
      <w:r w:rsidRPr="00F5494D">
        <w:rPr>
          <w:i/>
          <w:lang w:eastAsia="zh-CN"/>
        </w:rPr>
        <w:t>SRS-PosResourceSet</w:t>
      </w:r>
      <w:r>
        <w:rPr>
          <w:iCs/>
          <w:lang w:eastAsia="zh-CN"/>
        </w:rPr>
        <w:t xml:space="preserve">, or if the UE is provided </w:t>
      </w:r>
      <w:r w:rsidRPr="00347EFC">
        <w:rPr>
          <w:i/>
          <w:iCs/>
          <w:lang w:val="en-US" w:eastAsia="ja-JP"/>
        </w:rPr>
        <w:t>pathlossReferenceRS-Pos</w:t>
      </w:r>
      <w:r>
        <w:rPr>
          <w:iCs/>
          <w:lang w:eastAsia="zh-CN"/>
        </w:rPr>
        <w:t xml:space="preserve"> in </w:t>
      </w:r>
      <w:r w:rsidRPr="00F5494D">
        <w:rPr>
          <w:i/>
          <w:lang w:eastAsia="zh-CN"/>
        </w:rPr>
        <w:t>SRS-PosResourceSet</w:t>
      </w:r>
      <w:r>
        <w:rPr>
          <w:iCs/>
          <w:lang w:eastAsia="zh-CN"/>
        </w:rPr>
        <w:t xml:space="preserve"> and the UE cannot accurately measure a pathloss, the UE </w:t>
      </w:r>
      <w:r>
        <w:rPr>
          <w:iCs/>
        </w:rPr>
        <w:t xml:space="preserve">calculates </w:t>
      </w:r>
      <m:oMath>
        <m:sSub>
          <m:sSubPr>
            <m:ctrlPr>
              <w:rPr>
                <w:rFonts w:ascii="Cambria Math" w:hAnsi="Cambria Math"/>
                <w:i/>
              </w:rPr>
            </m:ctrlPr>
          </m:sSubPr>
          <m:e>
            <m:r>
              <w:rPr>
                <w:rFonts w:ascii="Cambria Math" w:hAnsi="Cambria Math"/>
              </w:rPr>
              <m:t>PL</m:t>
            </m:r>
          </m:e>
          <m:sub>
            <m:r>
              <w:rPr>
                <w:rFonts w:ascii="Cambria Math" w:hAnsi="Cambria Math"/>
              </w:rPr>
              <m:t>b,f,c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oMath>
      <w:r>
        <w:rPr>
          <w:iCs/>
        </w:rPr>
        <w:t xml:space="preserve"> using an RS resource</w:t>
      </w:r>
      <w:r>
        <w:rPr>
          <w:iCs/>
          <w:lang w:val="en-US"/>
        </w:rPr>
        <w:t xml:space="preserve"> </w:t>
      </w:r>
      <w:r>
        <w:rPr>
          <w:iCs/>
        </w:rPr>
        <w:t xml:space="preserve">from </w:t>
      </w:r>
      <w:r>
        <w:rPr>
          <w:iCs/>
          <w:lang w:val="en-US"/>
        </w:rPr>
        <w:t>an</w:t>
      </w:r>
      <w:r>
        <w:rPr>
          <w:iCs/>
        </w:rPr>
        <w:t xml:space="preserve"> SS/PBCH block </w:t>
      </w:r>
      <w:r w:rsidRPr="007E77FC">
        <w:rPr>
          <w:rFonts w:eastAsia="MS Mincho"/>
        </w:rPr>
        <w:t>with same index as the one</w:t>
      </w:r>
      <w:r>
        <w:rPr>
          <w:iCs/>
        </w:rPr>
        <w:t xml:space="preserve"> the UE </w:t>
      </w:r>
      <w:r>
        <w:rPr>
          <w:iCs/>
          <w:lang w:val="en-US"/>
        </w:rPr>
        <w:t xml:space="preserve">used to </w:t>
      </w:r>
      <w:r>
        <w:rPr>
          <w:iCs/>
        </w:rPr>
        <w:t xml:space="preserve">obtain </w:t>
      </w:r>
      <w:r>
        <w:rPr>
          <w:i/>
          <w:lang w:val="en-US"/>
        </w:rPr>
        <w:t>MIB</w:t>
      </w:r>
      <w:r>
        <w:rPr>
          <w:iCs/>
          <w:lang w:val="en-US"/>
        </w:rPr>
        <w:t xml:space="preserve">; otherwise, the UE uses the RS indicated by </w:t>
      </w:r>
      <w:r w:rsidRPr="00347EFC">
        <w:rPr>
          <w:i/>
          <w:iCs/>
          <w:lang w:val="en-US" w:eastAsia="ja-JP"/>
        </w:rPr>
        <w:t>pathlossReferenceRS-Pos</w:t>
      </w:r>
      <w:r>
        <w:rPr>
          <w:iCs/>
          <w:lang w:val="en-US"/>
        </w:rPr>
        <w:t xml:space="preserve"> to </w:t>
      </w:r>
      <w:r>
        <w:rPr>
          <w:iCs/>
        </w:rPr>
        <w:t xml:space="preserve">calculate </w:t>
      </w:r>
      <m:oMath>
        <m:sSub>
          <m:sSubPr>
            <m:ctrlPr>
              <w:rPr>
                <w:rFonts w:ascii="Cambria Math" w:hAnsi="Cambria Math"/>
                <w:i/>
              </w:rPr>
            </m:ctrlPr>
          </m:sSubPr>
          <m:e>
            <m:r>
              <w:rPr>
                <w:rFonts w:ascii="Cambria Math" w:hAnsi="Cambria Math"/>
              </w:rPr>
              <m:t>PL</m:t>
            </m:r>
          </m:e>
          <m:sub>
            <m:r>
              <w:rPr>
                <w:rFonts w:ascii="Cambria Math" w:hAnsi="Cambria Math"/>
              </w:rPr>
              <m:t>b,f,c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oMath>
      <w:r>
        <w:t>.</w:t>
      </w:r>
    </w:p>
    <w:p w14:paraId="3AB0CC6D" w14:textId="77777777" w:rsidR="00E169CB" w:rsidRPr="00684938" w:rsidRDefault="00E169CB" w:rsidP="00E169CB">
      <w:pPr>
        <w:rPr>
          <w:iCs/>
          <w:lang w:val="en-US"/>
        </w:rPr>
      </w:pPr>
      <w:r w:rsidRPr="00684938">
        <w:rPr>
          <w:lang w:val="en-US"/>
        </w:rPr>
        <w:t xml:space="preserve">If a RedCap UE transmits SRS with frequency hopping outside the active UL BWP of carrier </w:t>
      </w:r>
      <m:oMath>
        <m:r>
          <w:rPr>
            <w:rFonts w:ascii="Cambria Math" w:hAnsi="Cambria Math"/>
          </w:rPr>
          <m:t>f</m:t>
        </m:r>
      </m:oMath>
      <w:r w:rsidRPr="00684938">
        <w:rPr>
          <w:lang w:val="en-US"/>
        </w:rPr>
        <w:t xml:space="preserve"> of serving cell </w:t>
      </w:r>
      <m:oMath>
        <m:r>
          <w:rPr>
            <w:rFonts w:ascii="Cambria Math" w:hAnsi="Cambria Math"/>
          </w:rPr>
          <m:t>c</m:t>
        </m:r>
      </m:oMath>
      <w:r w:rsidRPr="00684938">
        <w:rPr>
          <w:lang w:val="en-US"/>
        </w:rPr>
        <w:t xml:space="preserve"> in RRC_CONNECTED state</w:t>
      </w:r>
      <w:r w:rsidRPr="00684938">
        <w:rPr>
          <w:iCs/>
          <w:lang w:val="en-US"/>
        </w:rPr>
        <w:t xml:space="preserve"> </w:t>
      </w:r>
      <w:r w:rsidRPr="00684938">
        <w:rPr>
          <w:lang w:val="en-US"/>
        </w:rPr>
        <w:t xml:space="preserve">based on an indication by </w:t>
      </w:r>
      <w:r w:rsidRPr="00684938">
        <w:rPr>
          <w:i/>
          <w:lang w:val="en-US"/>
        </w:rPr>
        <w:t>SRS-PosResourceSet</w:t>
      </w:r>
      <w:r w:rsidRPr="00684938">
        <w:rPr>
          <w:iCs/>
          <w:lang w:val="en-US"/>
        </w:rPr>
        <w:t xml:space="preserve"> in </w:t>
      </w:r>
      <w:r w:rsidRPr="00684938">
        <w:rPr>
          <w:i/>
          <w:iCs/>
          <w:lang w:val="en-US"/>
        </w:rPr>
        <w:t>XYZ</w:t>
      </w:r>
      <w:r w:rsidRPr="00684938">
        <w:rPr>
          <w:iCs/>
          <w:lang w:val="en-US"/>
        </w:rPr>
        <w:t xml:space="preserve">, </w:t>
      </w:r>
      <w:r w:rsidRPr="00684938">
        <w:rPr>
          <w:lang w:val="en-US"/>
        </w:rPr>
        <w:t xml:space="preserve">the active UL BWP </w:t>
      </w:r>
      <m:oMath>
        <m:r>
          <w:rPr>
            <w:rFonts w:ascii="Cambria Math" w:hAnsi="Cambria Math"/>
          </w:rPr>
          <m:t>b</m:t>
        </m:r>
      </m:oMath>
      <w:r w:rsidRPr="00684938">
        <w:rPr>
          <w:lang w:val="en-US"/>
        </w:rPr>
        <w:t xml:space="preserve"> refers to the BWP provided</w:t>
      </w:r>
      <w:r w:rsidRPr="00684938">
        <w:rPr>
          <w:iCs/>
          <w:lang w:val="en-US"/>
        </w:rPr>
        <w:t xml:space="preserve"> by </w:t>
      </w:r>
      <w:r w:rsidRPr="00684938">
        <w:rPr>
          <w:i/>
          <w:lang w:val="en-US"/>
        </w:rPr>
        <w:t>bwp</w:t>
      </w:r>
      <w:r w:rsidRPr="00684938">
        <w:rPr>
          <w:iCs/>
          <w:lang w:val="en-US"/>
        </w:rPr>
        <w:t xml:space="preserve"> in </w:t>
      </w:r>
      <w:r w:rsidRPr="00684938">
        <w:rPr>
          <w:i/>
          <w:iCs/>
          <w:lang w:val="en-US"/>
        </w:rPr>
        <w:t>XYZ</w:t>
      </w:r>
      <w:r w:rsidRPr="00684938">
        <w:rPr>
          <w:iCs/>
          <w:lang w:val="en-US"/>
        </w:rPr>
        <w:t xml:space="preserve">. </w:t>
      </w:r>
    </w:p>
    <w:p w14:paraId="060BFDD7" w14:textId="37AE595C" w:rsidR="00E169CB" w:rsidRPr="00E169CB" w:rsidRDefault="00E169CB" w:rsidP="00764F3A">
      <w:pPr>
        <w:rPr>
          <w:iCs/>
          <w:u w:val="single"/>
          <w:lang w:val="en-US"/>
        </w:rPr>
      </w:pPr>
      <w:r w:rsidRPr="00684938">
        <w:rPr>
          <w:lang w:val="en-US"/>
        </w:rPr>
        <w:t xml:space="preserve">If a RedCap UE transmits SRS with frequency hopping outside the initial UL BWP of carrier </w:t>
      </w:r>
      <m:oMath>
        <m:r>
          <w:rPr>
            <w:rFonts w:ascii="Cambria Math" w:hAnsi="Cambria Math"/>
          </w:rPr>
          <m:t>f</m:t>
        </m:r>
      </m:oMath>
      <w:r w:rsidRPr="00684938">
        <w:rPr>
          <w:lang w:val="en-US"/>
        </w:rPr>
        <w:t xml:space="preserve"> of serving cell </w:t>
      </w:r>
      <m:oMath>
        <m:r>
          <w:rPr>
            <w:rFonts w:ascii="Cambria Math" w:hAnsi="Cambria Math"/>
          </w:rPr>
          <m:t>c</m:t>
        </m:r>
      </m:oMath>
      <w:r w:rsidRPr="00684938">
        <w:rPr>
          <w:lang w:val="en-US"/>
        </w:rPr>
        <w:t xml:space="preserve"> in RRC_INACTIVE state</w:t>
      </w:r>
      <w:r w:rsidRPr="00684938">
        <w:rPr>
          <w:iCs/>
          <w:lang w:val="en-US"/>
        </w:rPr>
        <w:t xml:space="preserve"> </w:t>
      </w:r>
      <w:r w:rsidRPr="00684938">
        <w:rPr>
          <w:lang w:val="en-US"/>
        </w:rPr>
        <w:t xml:space="preserve">based on an indication by </w:t>
      </w:r>
      <w:r w:rsidRPr="00684938">
        <w:rPr>
          <w:i/>
          <w:lang w:val="en-US"/>
        </w:rPr>
        <w:t>SRS-PosResourceSet</w:t>
      </w:r>
      <w:r w:rsidRPr="00684938">
        <w:rPr>
          <w:iCs/>
          <w:lang w:val="en-US"/>
        </w:rPr>
        <w:t xml:space="preserve"> in </w:t>
      </w:r>
      <w:r w:rsidRPr="00684938">
        <w:rPr>
          <w:i/>
          <w:iCs/>
          <w:lang w:val="en-US"/>
        </w:rPr>
        <w:t>XYZ</w:t>
      </w:r>
      <w:r w:rsidRPr="00684938">
        <w:rPr>
          <w:iCs/>
          <w:lang w:val="en-US"/>
        </w:rPr>
        <w:t xml:space="preserve">, </w:t>
      </w:r>
      <w:r w:rsidRPr="00684938">
        <w:rPr>
          <w:lang w:val="en-US"/>
        </w:rPr>
        <w:t xml:space="preserve">the active UL BWP </w:t>
      </w:r>
      <m:oMath>
        <m:r>
          <w:rPr>
            <w:rFonts w:ascii="Cambria Math" w:hAnsi="Cambria Math"/>
          </w:rPr>
          <m:t>b</m:t>
        </m:r>
      </m:oMath>
      <w:r w:rsidRPr="00684938">
        <w:rPr>
          <w:lang w:val="en-US"/>
        </w:rPr>
        <w:t xml:space="preserve"> refers to the BWP provided</w:t>
      </w:r>
      <w:r w:rsidRPr="00684938">
        <w:rPr>
          <w:iCs/>
          <w:lang w:val="en-US"/>
        </w:rPr>
        <w:t xml:space="preserve"> by </w:t>
      </w:r>
      <w:r w:rsidRPr="00684938">
        <w:rPr>
          <w:i/>
          <w:lang w:val="en-US"/>
        </w:rPr>
        <w:t>bwp</w:t>
      </w:r>
      <w:r w:rsidRPr="00684938">
        <w:rPr>
          <w:iCs/>
          <w:lang w:val="en-US"/>
        </w:rPr>
        <w:t xml:space="preserve"> in </w:t>
      </w:r>
      <w:r w:rsidRPr="00684938">
        <w:rPr>
          <w:i/>
          <w:iCs/>
          <w:lang w:val="en-US"/>
        </w:rPr>
        <w:t>XYZ</w:t>
      </w:r>
      <w:r w:rsidRPr="00684938">
        <w:rPr>
          <w:iCs/>
          <w:lang w:val="en-US"/>
        </w:rPr>
        <w:t>.</w:t>
      </w:r>
    </w:p>
    <w:p w14:paraId="0DEBA6E6" w14:textId="77777777" w:rsidR="00E072F9" w:rsidRPr="00B916EC" w:rsidRDefault="00E072F9" w:rsidP="004C3D45">
      <w:pPr>
        <w:pStyle w:val="Heading2"/>
      </w:pPr>
      <w:bookmarkStart w:id="215" w:name="_Toc12021451"/>
      <w:bookmarkStart w:id="216" w:name="_Toc20311563"/>
      <w:bookmarkStart w:id="217" w:name="_Toc26719388"/>
      <w:bookmarkStart w:id="218" w:name="_Toc29894819"/>
      <w:bookmarkStart w:id="219" w:name="_Toc29899118"/>
      <w:bookmarkStart w:id="220" w:name="_Toc29899536"/>
      <w:bookmarkStart w:id="221" w:name="_Toc29917273"/>
      <w:bookmarkStart w:id="222" w:name="_Toc36498147"/>
      <w:bookmarkStart w:id="223" w:name="_Toc45699173"/>
      <w:bookmarkStart w:id="224" w:name="_Toc161999098"/>
      <w:bookmarkStart w:id="225" w:name="_Ref491459187"/>
      <w:r w:rsidRPr="00B916EC">
        <w:t>7.4</w:t>
      </w:r>
      <w:r w:rsidR="007D5A3F">
        <w:tab/>
      </w:r>
      <w:r w:rsidRPr="00B916EC">
        <w:t>Physical random access channel</w:t>
      </w:r>
      <w:bookmarkEnd w:id="215"/>
      <w:bookmarkEnd w:id="216"/>
      <w:bookmarkEnd w:id="217"/>
      <w:bookmarkEnd w:id="218"/>
      <w:bookmarkEnd w:id="219"/>
      <w:bookmarkEnd w:id="220"/>
      <w:bookmarkEnd w:id="221"/>
      <w:bookmarkEnd w:id="222"/>
      <w:bookmarkEnd w:id="223"/>
      <w:bookmarkEnd w:id="224"/>
    </w:p>
    <w:bookmarkEnd w:id="225"/>
    <w:p w14:paraId="6E75C037" w14:textId="77777777" w:rsidR="00290476" w:rsidRPr="00290476" w:rsidRDefault="00290476" w:rsidP="00290476">
      <w:r w:rsidRPr="00290476">
        <w:t xml:space="preserve">A UE determines a transmission power for a physical random access channel (PRACH), </w:t>
      </w:r>
      <m:oMath>
        <m:sSub>
          <m:sSubPr>
            <m:ctrlPr>
              <w:rPr>
                <w:rFonts w:ascii="Cambria Math" w:hAnsi="Cambria Math"/>
                <w:i/>
                <w:lang w:val="x-none"/>
              </w:rPr>
            </m:ctrlPr>
          </m:sSubPr>
          <m:e>
            <m:r>
              <w:rPr>
                <w:rFonts w:ascii="Cambria Math" w:hAnsi="Cambria Math"/>
              </w:rPr>
              <m:t>P</m:t>
            </m:r>
          </m:e>
          <m:sub>
            <m:r>
              <m:rPr>
                <m:sty m:val="p"/>
              </m:rPr>
              <w:rPr>
                <w:rFonts w:ascii="Cambria Math" w:hAnsi="Cambria Math"/>
              </w:rPr>
              <m:t>PRACH,</m:t>
            </m:r>
            <m:r>
              <w:rPr>
                <w:rFonts w:ascii="Cambria Math" w:hAnsi="Cambria Math"/>
              </w:rPr>
              <m:t>b,f,c</m:t>
            </m:r>
          </m:sub>
        </m:sSub>
        <m:r>
          <w:rPr>
            <w:rFonts w:ascii="Cambria Math" w:hAnsi="Cambria Math"/>
            <w:lang w:val="x-none"/>
          </w:rPr>
          <m:t>(i)</m:t>
        </m:r>
      </m:oMath>
      <w:r w:rsidRPr="00290476">
        <w:t xml:space="preserve">, on active UL BWP </w:t>
      </w:r>
      <m:oMath>
        <m:r>
          <w:rPr>
            <w:rFonts w:ascii="Cambria Math" w:hAnsi="Cambria Math"/>
            <w:lang w:val="x-none"/>
          </w:rPr>
          <m:t>b</m:t>
        </m:r>
      </m:oMath>
      <w:r w:rsidRPr="00290476">
        <w:rPr>
          <w:iCs/>
        </w:rPr>
        <w:t xml:space="preserve"> </w:t>
      </w:r>
      <w:r w:rsidRPr="00290476">
        <w:t xml:space="preserve">of carrier </w:t>
      </w:r>
      <m:oMath>
        <m:r>
          <w:rPr>
            <w:rFonts w:ascii="Cambria Math" w:hAnsi="Cambria Math"/>
          </w:rPr>
          <m:t>f</m:t>
        </m:r>
      </m:oMath>
      <w:r w:rsidRPr="00290476">
        <w:t xml:space="preserve"> of cell </w:t>
      </w:r>
      <m:oMath>
        <m:r>
          <w:rPr>
            <w:rFonts w:ascii="Cambria Math" w:hAnsi="Cambria Math"/>
          </w:rPr>
          <m:t>c</m:t>
        </m:r>
      </m:oMath>
      <w:r w:rsidRPr="00290476">
        <w:rPr>
          <w:iCs/>
        </w:rPr>
        <w:t xml:space="preserve"> </w:t>
      </w:r>
      <w:r w:rsidRPr="00290476">
        <w:t xml:space="preserve">based on DL RS for cell </w:t>
      </w:r>
      <m:oMath>
        <m:r>
          <w:rPr>
            <w:rFonts w:ascii="Cambria Math" w:hAnsi="Cambria Math"/>
          </w:rPr>
          <m:t>c</m:t>
        </m:r>
      </m:oMath>
      <w:r w:rsidRPr="00290476">
        <w:t xml:space="preserve"> in transmission </w:t>
      </w:r>
      <w:r w:rsidRPr="00290476">
        <w:rPr>
          <w:lang w:val="en-US"/>
        </w:rPr>
        <w:t>occasion</w:t>
      </w:r>
      <w:r w:rsidRPr="00290476">
        <w:t xml:space="preserve"> </w:t>
      </w:r>
      <m:oMath>
        <m:r>
          <w:rPr>
            <w:rFonts w:ascii="Cambria Math" w:hAnsi="Cambria Math"/>
          </w:rPr>
          <m:t>i</m:t>
        </m:r>
      </m:oMath>
      <w:r w:rsidRPr="00290476" w:rsidDel="008619CD">
        <w:t xml:space="preserve"> </w:t>
      </w:r>
      <w:r w:rsidRPr="00290476">
        <w:t xml:space="preserve">as </w:t>
      </w:r>
    </w:p>
    <w:p w14:paraId="365BEE26" w14:textId="77777777" w:rsidR="00290476" w:rsidRPr="00290476" w:rsidRDefault="00290476" w:rsidP="00290476">
      <w:pPr>
        <w:pStyle w:val="EQ"/>
      </w:pPr>
      <w:r w:rsidRPr="00290476">
        <w:tab/>
      </w:r>
      <m:oMath>
        <m:sSub>
          <m:sSubPr>
            <m:ctrlPr>
              <w:rPr>
                <w:rFonts w:ascii="Cambria Math" w:hAnsi="Cambria Math"/>
                <w:lang w:val="x-none"/>
              </w:rPr>
            </m:ctrlPr>
          </m:sSubPr>
          <m:e>
            <m:r>
              <w:rPr>
                <w:rFonts w:ascii="Cambria Math" w:hAnsi="Cambria Math"/>
              </w:rPr>
              <m:t>P</m:t>
            </m:r>
          </m:e>
          <m:sub>
            <m:r>
              <m:rPr>
                <m:sty m:val="p"/>
              </m:rPr>
              <w:rPr>
                <w:rFonts w:ascii="Cambria Math" w:hAnsi="Cambria Math"/>
              </w:rPr>
              <m:t>PRACH,</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lang w:val="x-none"/>
              </w:rPr>
            </m:ctrlPr>
          </m:dPr>
          <m:e>
            <m:r>
              <w:rPr>
                <w:rFonts w:ascii="Cambria Math" w:hAnsi="Cambria Math"/>
                <w:lang w:val="x-none"/>
              </w:rPr>
              <m:t>i</m:t>
            </m:r>
          </m:e>
        </m:d>
        <m:r>
          <m:rPr>
            <m:sty m:val="p"/>
          </m:rPr>
          <w:rPr>
            <w:rFonts w:ascii="Cambria Math" w:hAnsi="Cambria Math"/>
            <w:lang w:val="x-none"/>
          </w:rPr>
          <m:t>=</m:t>
        </m:r>
        <m:r>
          <w:rPr>
            <w:rFonts w:ascii="Cambria Math" w:hAnsi="Cambria Math"/>
            <w:lang w:val="x-none"/>
          </w:rPr>
          <m:t>min</m:t>
        </m:r>
        <m:d>
          <m:dPr>
            <m:begChr m:val="{"/>
            <m:endChr m:val="}"/>
            <m:ctrlPr>
              <w:rPr>
                <w:rFonts w:ascii="Cambria Math" w:hAnsi="Cambria Math"/>
                <w:lang w:val="x-none"/>
              </w:rPr>
            </m:ctrlPr>
          </m:dPr>
          <m:e>
            <m:sSub>
              <m:sSubPr>
                <m:ctrlPr>
                  <w:rPr>
                    <w:rFonts w:ascii="Cambria Math" w:hAnsi="Cambria Math"/>
                    <w:lang w:val="x-none"/>
                  </w:rPr>
                </m:ctrlPr>
              </m:sSubPr>
              <m:e>
                <m:r>
                  <w:rPr>
                    <w:rFonts w:ascii="Cambria Math" w:hAnsi="Cambria Math"/>
                  </w:rPr>
                  <m:t>P</m:t>
                </m:r>
              </m:e>
              <m:sub>
                <m:r>
                  <m:rPr>
                    <m:sty m:val="p"/>
                  </m:rPr>
                  <w:rPr>
                    <w:rFonts w:ascii="Cambria Math" w:hAnsi="Cambria Math"/>
                  </w:rPr>
                  <m:t>CMAX,</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lang w:val="x-none"/>
                  </w:rPr>
                </m:ctrlPr>
              </m:dPr>
              <m:e>
                <m:r>
                  <w:rPr>
                    <w:rFonts w:ascii="Cambria Math" w:hAnsi="Cambria Math"/>
                    <w:lang w:val="x-none"/>
                  </w:rPr>
                  <m:t>i</m:t>
                </m:r>
              </m:e>
            </m:d>
            <m:r>
              <m:rPr>
                <m:sty m:val="p"/>
              </m:rPr>
              <w:rPr>
                <w:rFonts w:ascii="Cambria Math" w:hAnsi="Cambria Math"/>
                <w:lang w:val="x-none"/>
              </w:rPr>
              <m:t>,</m:t>
            </m:r>
            <m:sSub>
              <m:sSubPr>
                <m:ctrlPr>
                  <w:rPr>
                    <w:rFonts w:ascii="Cambria Math" w:hAnsi="Cambria Math"/>
                    <w:lang w:val="x-none"/>
                  </w:rPr>
                </m:ctrlPr>
              </m:sSubPr>
              <m:e>
                <m:r>
                  <w:rPr>
                    <w:rFonts w:ascii="Cambria Math" w:hAnsi="Cambria Math"/>
                  </w:rPr>
                  <m:t>P</m:t>
                </m:r>
              </m:e>
              <m:sub>
                <m:r>
                  <m:rPr>
                    <m:sty m:val="p"/>
                  </m:rPr>
                  <w:rPr>
                    <w:rFonts w:ascii="Cambria Math" w:hAnsi="Cambria Math"/>
                  </w:rPr>
                  <m:t>PRACH,target,</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lang w:val="x-none"/>
              </w:rPr>
              <m:t>+</m:t>
            </m:r>
            <m:sSub>
              <m:sSubPr>
                <m:ctrlPr>
                  <w:rPr>
                    <w:rFonts w:ascii="Cambria Math" w:hAnsi="Cambria Math"/>
                    <w:lang w:val="x-none"/>
                  </w:rPr>
                </m:ctrlPr>
              </m:sSubPr>
              <m:e>
                <m:r>
                  <w:rPr>
                    <w:rFonts w:ascii="Cambria Math" w:hAnsi="Cambria Math"/>
                  </w:rPr>
                  <m:t>PL</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e>
        </m:d>
      </m:oMath>
      <w:r w:rsidRPr="00290476" w:rsidDel="00DF549F">
        <w:t xml:space="preserve"> </w:t>
      </w:r>
      <w:r w:rsidRPr="00290476">
        <w:t>[dBm],</w:t>
      </w:r>
    </w:p>
    <w:p w14:paraId="7FCBFE7E" w14:textId="77777777" w:rsidR="00290476" w:rsidRPr="00290476" w:rsidRDefault="00290476" w:rsidP="00290476">
      <w:r w:rsidRPr="00290476">
        <w:t xml:space="preserve">where </w:t>
      </w:r>
    </w:p>
    <w:p w14:paraId="4FEF2E0B" w14:textId="77777777" w:rsidR="00290476" w:rsidRPr="00290476" w:rsidRDefault="00290476" w:rsidP="00290476">
      <w:pPr>
        <w:pStyle w:val="B1"/>
      </w:pPr>
      <w:r w:rsidRPr="00290476">
        <w:t>-</w:t>
      </w:r>
      <w:r w:rsidRPr="00290476">
        <w:tab/>
      </w:r>
      <m:oMath>
        <m:sSub>
          <m:sSubPr>
            <m:ctrlPr>
              <w:rPr>
                <w:rFonts w:ascii="Cambria Math" w:hAnsi="Cambria Math"/>
                <w:i/>
              </w:rPr>
            </m:ctrlPr>
          </m:sSubPr>
          <m:e>
            <m:r>
              <w:rPr>
                <w:rFonts w:ascii="Cambria Math" w:hAnsi="Cambria Math"/>
              </w:rPr>
              <m:t>P</m:t>
            </m:r>
          </m:e>
          <m:sub>
            <m:r>
              <m:rPr>
                <m:sty m:val="p"/>
              </m:rPr>
              <w:rPr>
                <w:rFonts w:ascii="Cambria Math" w:hAnsi="Cambria Math"/>
              </w:rPr>
              <m:t>CMAX,</m:t>
            </m:r>
            <m:r>
              <w:rPr>
                <w:rFonts w:ascii="Cambria Math" w:hAnsi="Cambria Math"/>
              </w:rPr>
              <m:t>f,c</m:t>
            </m:r>
          </m:sub>
        </m:sSub>
        <m:r>
          <w:rPr>
            <w:rFonts w:ascii="Cambria Math" w:hAnsi="Cambria Math"/>
          </w:rPr>
          <m:t>(i)</m:t>
        </m:r>
      </m:oMath>
      <w:r w:rsidRPr="00290476">
        <w:t xml:space="preserve"> is the UE configured maximum output power defined in [8-1, TS 38.101-1]</w:t>
      </w:r>
      <w:r w:rsidRPr="00290476">
        <w:rPr>
          <w:lang w:val="en-US"/>
        </w:rPr>
        <w:t>, [8-2, TS 38.101-2] and [8-3, TS 38.101-3] for</w:t>
      </w:r>
      <w:r w:rsidRPr="00290476">
        <w:t xml:space="preserve"> carrier </w:t>
      </w:r>
      <m:oMath>
        <m:r>
          <w:rPr>
            <w:rFonts w:ascii="Cambria Math" w:hAnsi="Cambria Math"/>
          </w:rPr>
          <m:t>f</m:t>
        </m:r>
      </m:oMath>
      <w:r w:rsidRPr="00290476">
        <w:t xml:space="preserve"> of cell </w:t>
      </w:r>
      <m:oMath>
        <m:r>
          <w:rPr>
            <w:rFonts w:ascii="Cambria Math" w:hAnsi="Cambria Math"/>
          </w:rPr>
          <m:t>c</m:t>
        </m:r>
      </m:oMath>
      <w:r w:rsidRPr="00290476">
        <w:rPr>
          <w:lang w:val="en-US"/>
        </w:rPr>
        <w:t xml:space="preserve"> </w:t>
      </w:r>
      <w:r w:rsidRPr="00290476">
        <w:t xml:space="preserve">within transmission </w:t>
      </w:r>
      <w:r w:rsidRPr="00290476">
        <w:rPr>
          <w:lang w:val="en-US"/>
        </w:rPr>
        <w:t>occasion</w:t>
      </w:r>
      <w:r w:rsidRPr="00290476">
        <w:t xml:space="preserve"> </w:t>
      </w:r>
      <m:oMath>
        <m:r>
          <w:rPr>
            <w:rFonts w:ascii="Cambria Math" w:hAnsi="Cambria Math"/>
          </w:rPr>
          <m:t>i</m:t>
        </m:r>
      </m:oMath>
      <w:r w:rsidRPr="00290476">
        <w:t xml:space="preserve">, </w:t>
      </w:r>
    </w:p>
    <w:p w14:paraId="25C64905" w14:textId="77777777" w:rsidR="00290476" w:rsidRPr="00290476" w:rsidRDefault="00290476" w:rsidP="00290476">
      <w:pPr>
        <w:pStyle w:val="B1"/>
      </w:pPr>
      <w:r w:rsidRPr="00290476">
        <w:t>-</w:t>
      </w:r>
      <w:r w:rsidRPr="00290476">
        <w:tab/>
      </w:r>
      <m:oMath>
        <m:sSub>
          <m:sSubPr>
            <m:ctrlPr>
              <w:rPr>
                <w:rFonts w:ascii="Cambria Math" w:hAnsi="Cambria Math"/>
                <w:i/>
              </w:rPr>
            </m:ctrlPr>
          </m:sSubPr>
          <m:e>
            <m:r>
              <w:rPr>
                <w:rFonts w:ascii="Cambria Math" w:hAnsi="Cambria Math"/>
              </w:rPr>
              <m:t>P</m:t>
            </m:r>
          </m:e>
          <m:sub>
            <m:r>
              <m:rPr>
                <m:sty m:val="p"/>
              </m:rPr>
              <w:rPr>
                <w:rFonts w:ascii="Cambria Math" w:hAnsi="Cambria Math"/>
              </w:rPr>
              <m:t>PRACH,target</m:t>
            </m:r>
            <m:r>
              <w:rPr>
                <w:rFonts w:ascii="Cambria Math" w:hAnsi="Cambria Math"/>
              </w:rPr>
              <m:t>,f,c</m:t>
            </m:r>
          </m:sub>
        </m:sSub>
      </m:oMath>
      <w:r w:rsidRPr="00290476">
        <w:t xml:space="preserve"> is the PRACH target reception power </w:t>
      </w:r>
      <w:r w:rsidRPr="00290476">
        <w:rPr>
          <w:i/>
        </w:rPr>
        <w:t>PREAMBLE_RECEIVED_TARGET_POWER</w:t>
      </w:r>
      <w:r w:rsidRPr="00290476">
        <w:t xml:space="preserve"> provided by higher layers [11, TS 38.321] </w:t>
      </w:r>
      <w:r w:rsidRPr="00290476">
        <w:rPr>
          <w:lang w:val="en-US"/>
        </w:rPr>
        <w:t>for</w:t>
      </w:r>
      <w:r w:rsidRPr="00290476">
        <w:t xml:space="preserve"> the active UL BWP </w:t>
      </w:r>
      <m:oMath>
        <m:r>
          <w:rPr>
            <w:rFonts w:ascii="Cambria Math" w:hAnsi="Cambria Math"/>
          </w:rPr>
          <m:t>b</m:t>
        </m:r>
      </m:oMath>
      <w:r w:rsidRPr="00290476">
        <w:rPr>
          <w:iCs/>
        </w:rPr>
        <w:t xml:space="preserve"> </w:t>
      </w:r>
      <w:r w:rsidRPr="00290476">
        <w:t xml:space="preserve">of carrier </w:t>
      </w:r>
      <m:oMath>
        <m:r>
          <w:rPr>
            <w:rFonts w:ascii="Cambria Math" w:hAnsi="Cambria Math"/>
          </w:rPr>
          <m:t>f</m:t>
        </m:r>
      </m:oMath>
      <w:r w:rsidRPr="00290476">
        <w:t xml:space="preserve"> of cell </w:t>
      </w:r>
      <m:oMath>
        <m:r>
          <w:rPr>
            <w:rFonts w:ascii="Cambria Math" w:hAnsi="Cambria Math"/>
          </w:rPr>
          <m:t>c</m:t>
        </m:r>
      </m:oMath>
      <w:r w:rsidRPr="00290476">
        <w:t>, and</w:t>
      </w:r>
    </w:p>
    <w:p w14:paraId="42EC034F" w14:textId="77777777" w:rsidR="00290476" w:rsidRPr="00290476" w:rsidRDefault="00290476" w:rsidP="00290476">
      <w:pPr>
        <w:pStyle w:val="B1"/>
      </w:pPr>
      <w:r w:rsidRPr="00290476">
        <w:t>-</w:t>
      </w:r>
      <w:r w:rsidRPr="00290476">
        <w:tab/>
      </w:r>
      <m:oMath>
        <m:sSub>
          <m:sSubPr>
            <m:ctrlPr>
              <w:rPr>
                <w:rFonts w:ascii="Cambria Math" w:hAnsi="Cambria Math"/>
                <w:i/>
              </w:rPr>
            </m:ctrlPr>
          </m:sSubPr>
          <m:e>
            <m:r>
              <w:rPr>
                <w:rFonts w:ascii="Cambria Math" w:hAnsi="Cambria Math"/>
              </w:rPr>
              <m:t>PL</m:t>
            </m:r>
          </m:e>
          <m:sub>
            <m:r>
              <w:rPr>
                <w:rFonts w:ascii="Cambria Math" w:hAnsi="Cambria Math"/>
              </w:rPr>
              <m:t>b,f,c</m:t>
            </m:r>
          </m:sub>
        </m:sSub>
      </m:oMath>
      <w:r w:rsidRPr="00290476">
        <w:t xml:space="preserve"> is a pathloss for the active UL BWP </w:t>
      </w:r>
      <m:oMath>
        <m:r>
          <w:rPr>
            <w:rFonts w:ascii="Cambria Math" w:hAnsi="Cambria Math"/>
          </w:rPr>
          <m:t>b</m:t>
        </m:r>
      </m:oMath>
      <w:r w:rsidRPr="00290476">
        <w:t xml:space="preserve"> of carrier </w:t>
      </w:r>
      <m:oMath>
        <m:r>
          <w:rPr>
            <w:rFonts w:ascii="Cambria Math" w:hAnsi="Cambria Math"/>
          </w:rPr>
          <m:t>f</m:t>
        </m:r>
      </m:oMath>
      <w:r w:rsidRPr="00290476">
        <w:rPr>
          <w:iCs/>
        </w:rPr>
        <w:t xml:space="preserve"> based on</w:t>
      </w:r>
      <w:r w:rsidRPr="00290476">
        <w:t xml:space="preserve"> the DL RS associated with the PRACH transmission on the active DL BWP </w:t>
      </w:r>
      <w:r w:rsidRPr="00290476">
        <w:rPr>
          <w:iCs/>
        </w:rPr>
        <w:t>of</w:t>
      </w:r>
      <w:r w:rsidRPr="00290476">
        <w:rPr>
          <w:lang w:val="en-US"/>
        </w:rPr>
        <w:t xml:space="preserve"> </w:t>
      </w:r>
      <w:r w:rsidRPr="00290476">
        <w:t xml:space="preserve">cell </w:t>
      </w:r>
      <m:oMath>
        <m:r>
          <w:rPr>
            <w:rFonts w:ascii="Cambria Math" w:hAnsi="Cambria Math"/>
          </w:rPr>
          <m:t>c</m:t>
        </m:r>
      </m:oMath>
      <w:r w:rsidRPr="00290476">
        <w:t xml:space="preserve"> and calculated by the UE </w:t>
      </w:r>
      <w:r w:rsidRPr="00290476">
        <w:rPr>
          <w:rFonts w:eastAsia="MS Mincho"/>
        </w:rPr>
        <w:t xml:space="preserve">in dB as </w:t>
      </w:r>
      <w:r w:rsidRPr="00290476">
        <w:rPr>
          <w:rFonts w:eastAsia="MS Mincho"/>
          <w:i/>
        </w:rPr>
        <w:t>referenceSignalPower</w:t>
      </w:r>
      <w:r w:rsidRPr="00290476">
        <w:rPr>
          <w:rFonts w:eastAsia="MS Mincho"/>
        </w:rPr>
        <w:t xml:space="preserve"> – higher layer filtered RSRP in dBm, where RSRP is defined in </w:t>
      </w:r>
      <w:r w:rsidRPr="00290476">
        <w:rPr>
          <w:kern w:val="2"/>
          <w:lang w:eastAsia="zh-CN"/>
        </w:rPr>
        <w:t>[7, TS 38.215] and</w:t>
      </w:r>
      <w:r w:rsidRPr="00290476">
        <w:rPr>
          <w:rFonts w:eastAsia="MS Mincho"/>
        </w:rPr>
        <w:t xml:space="preserve"> the higher layer filter configuration is </w:t>
      </w:r>
      <w:r w:rsidRPr="00290476">
        <w:rPr>
          <w:rFonts w:eastAsia="MS Mincho"/>
        </w:rPr>
        <w:lastRenderedPageBreak/>
        <w:t xml:space="preserve">defined in </w:t>
      </w:r>
      <w:r w:rsidRPr="00290476">
        <w:t xml:space="preserve">[12, TS 38.331]. If the active DL BWP is the initial DL BWP and for SS/PBCH block and CORESET multiplexing pattern 2 or 3 as described in clause 13, or for a non-serving cell, the UE determines </w:t>
      </w:r>
      <m:oMath>
        <m:sSub>
          <m:sSubPr>
            <m:ctrlPr>
              <w:rPr>
                <w:rFonts w:ascii="Cambria Math" w:hAnsi="Cambria Math"/>
                <w:i/>
              </w:rPr>
            </m:ctrlPr>
          </m:sSubPr>
          <m:e>
            <m:r>
              <w:rPr>
                <w:rFonts w:ascii="Cambria Math" w:hAnsi="Cambria Math"/>
              </w:rPr>
              <m:t>PL</m:t>
            </m:r>
          </m:e>
          <m:sub>
            <m:r>
              <w:rPr>
                <w:rFonts w:ascii="Cambria Math" w:hAnsi="Cambria Math"/>
              </w:rPr>
              <m:t>b,f,c</m:t>
            </m:r>
          </m:sub>
        </m:sSub>
      </m:oMath>
      <w:r w:rsidRPr="00290476">
        <w:t xml:space="preserve"> based on the SS/PBCH block associated with the PRACH transmission.</w:t>
      </w:r>
    </w:p>
    <w:p w14:paraId="3879B451" w14:textId="0B1F2A06" w:rsidR="005F3259" w:rsidRPr="00B916EC" w:rsidRDefault="005F3259" w:rsidP="005F3259">
      <w:r>
        <w:t xml:space="preserve">If </w:t>
      </w:r>
      <w:r w:rsidR="00B609CF">
        <w:t xml:space="preserve">a </w:t>
      </w:r>
      <w:r>
        <w:t xml:space="preserve">PRACH transmission from </w:t>
      </w:r>
      <w:r w:rsidR="00B609CF">
        <w:t xml:space="preserve">a </w:t>
      </w:r>
      <w:r>
        <w:t xml:space="preserve">UE is not in response to a detection of a PDCCH order by the UE, </w:t>
      </w:r>
      <w:r w:rsidR="00DF291E">
        <w:t xml:space="preserve">or </w:t>
      </w:r>
      <w:r w:rsidR="00DF291E" w:rsidRPr="00B44469">
        <w:rPr>
          <w:rFonts w:eastAsia="Yu Mincho"/>
        </w:rPr>
        <w:t>is in response to a detection of a PDCCH order by the UE that triggers a contention based random access procedure</w:t>
      </w:r>
      <w:r w:rsidR="00DF291E" w:rsidRPr="00B609CF">
        <w:t>,</w:t>
      </w:r>
      <w:r w:rsidR="00B609CF">
        <w:t xml:space="preserve"> or is associated with a link recovery procedure where a corresponding index </w:t>
      </w:r>
      <m:oMath>
        <m:sSub>
          <m:sSubPr>
            <m:ctrlPr>
              <w:rPr>
                <w:rFonts w:ascii="Cambria Math" w:hAnsi="Cambria Math"/>
                <w:i/>
                <w:lang w:val="x-none"/>
              </w:rPr>
            </m:ctrlPr>
          </m:sSubPr>
          <m:e>
            <m:r>
              <w:rPr>
                <w:rFonts w:ascii="Cambria Math" w:hAnsi="Cambria Math"/>
              </w:rPr>
              <m:t>q</m:t>
            </m:r>
          </m:e>
          <m:sub>
            <m:r>
              <m:rPr>
                <m:sty m:val="p"/>
              </m:rPr>
              <w:rPr>
                <w:rFonts w:ascii="Cambria Math" w:hAnsi="Cambria Math"/>
              </w:rPr>
              <m:t>new</m:t>
            </m:r>
          </m:sub>
        </m:sSub>
      </m:oMath>
      <w:r w:rsidR="00B609CF">
        <w:rPr>
          <w:iCs/>
        </w:rPr>
        <w:t xml:space="preserve"> is associated with a SS/PBCH block, as described </w:t>
      </w:r>
      <w:r w:rsidR="006F5F9E">
        <w:rPr>
          <w:iCs/>
        </w:rPr>
        <w:t>in clause</w:t>
      </w:r>
      <w:r w:rsidR="00B609CF">
        <w:rPr>
          <w:iCs/>
        </w:rPr>
        <w:t xml:space="preserve"> 6,</w:t>
      </w:r>
      <w:r w:rsidR="00DF291E">
        <w:t xml:space="preserve"> </w:t>
      </w:r>
      <w:r w:rsidR="00DF291E" w:rsidRPr="00B916EC">
        <w:rPr>
          <w:rFonts w:eastAsia="MS Mincho"/>
          <w:i/>
        </w:rPr>
        <w:t>referenceSignalPower</w:t>
      </w:r>
      <w:r w:rsidR="00DF291E" w:rsidRPr="00B916EC">
        <w:rPr>
          <w:rFonts w:eastAsia="MS Mincho"/>
        </w:rPr>
        <w:t xml:space="preserve"> is </w:t>
      </w:r>
      <w:r w:rsidR="00DF291E">
        <w:rPr>
          <w:rFonts w:eastAsia="MS Mincho"/>
        </w:rPr>
        <w:t>provided by</w:t>
      </w:r>
      <w:r w:rsidR="00DF291E" w:rsidRPr="00B916EC">
        <w:rPr>
          <w:rFonts w:eastAsia="MS Mincho"/>
        </w:rPr>
        <w:t xml:space="preserve"> </w:t>
      </w:r>
      <w:r w:rsidR="00DF291E" w:rsidRPr="003B4338">
        <w:rPr>
          <w:i/>
        </w:rPr>
        <w:t>ss-PBCH-BlockPower</w:t>
      </w:r>
      <w:r w:rsidRPr="00B916EC">
        <w:t xml:space="preserve">. </w:t>
      </w:r>
    </w:p>
    <w:p w14:paraId="50226161" w14:textId="77777777" w:rsidR="003A4EE7" w:rsidRDefault="005F3259" w:rsidP="005F3259">
      <w:r>
        <w:t xml:space="preserve">If </w:t>
      </w:r>
      <w:r w:rsidR="00B609CF">
        <w:t xml:space="preserve">a </w:t>
      </w:r>
      <w:r>
        <w:t xml:space="preserve">PRACH transmission from </w:t>
      </w:r>
      <w:r w:rsidR="00B609CF">
        <w:t xml:space="preserve">a </w:t>
      </w:r>
      <w:r>
        <w:t>UE is in response to a detection of a PDCCH order by the UE</w:t>
      </w:r>
      <w:r w:rsidR="00DF291E">
        <w:t xml:space="preserve"> that triggers a contention</w:t>
      </w:r>
      <w:r w:rsidR="00542CF6">
        <w:t>-free</w:t>
      </w:r>
      <w:r w:rsidR="00DF291E">
        <w:t xml:space="preserve"> random access procedure and depending</w:t>
      </w:r>
      <w:r w:rsidR="00B609CF">
        <w:t xml:space="preserve"> on</w:t>
      </w:r>
      <w:r w:rsidR="00DF291E">
        <w:t xml:space="preserve"> the DL RS that the DM-RS of the PDCCH order is quasi-collocated with as described </w:t>
      </w:r>
      <w:r w:rsidR="006F5F9E">
        <w:t>in clause</w:t>
      </w:r>
      <w:r w:rsidR="00DF291E">
        <w:t xml:space="preserve"> 10.1</w:t>
      </w:r>
      <w:r w:rsidR="00290476" w:rsidRPr="000F11A2">
        <w:t xml:space="preserve"> </w:t>
      </w:r>
    </w:p>
    <w:p w14:paraId="6A0A7CB9" w14:textId="77777777" w:rsidR="003A4EE7" w:rsidRPr="003A4EE7" w:rsidRDefault="003A4EE7" w:rsidP="003A4EE7">
      <w:pPr>
        <w:pStyle w:val="B1"/>
      </w:pPr>
      <w:r w:rsidRPr="003A4EE7">
        <w:t>-</w:t>
      </w:r>
      <w:r w:rsidRPr="003A4EE7">
        <w:tab/>
        <w:t xml:space="preserve">when the PRACH association indicator is not present in the PDCCH order, or </w:t>
      </w:r>
    </w:p>
    <w:p w14:paraId="2F5FB84C" w14:textId="77777777" w:rsidR="003A4EE7" w:rsidRPr="003A4EE7" w:rsidRDefault="003A4EE7" w:rsidP="003A4EE7">
      <w:pPr>
        <w:pStyle w:val="B1"/>
      </w:pPr>
      <w:r w:rsidRPr="003A4EE7">
        <w:t>-</w:t>
      </w:r>
      <w:r w:rsidRPr="003A4EE7">
        <w:tab/>
        <w:t xml:space="preserve">when the cell indicator field in the PDCCH order is not present or has value 0, or </w:t>
      </w:r>
    </w:p>
    <w:p w14:paraId="062E1574" w14:textId="77777777" w:rsidR="003A4EE7" w:rsidRPr="003A4EE7" w:rsidRDefault="003A4EE7" w:rsidP="003A4EE7">
      <w:pPr>
        <w:pStyle w:val="B1"/>
        <w:rPr>
          <w:rFonts w:eastAsia="DengXian"/>
          <w:iCs/>
          <w:kern w:val="2"/>
          <w:lang w:eastAsia="zh-CN"/>
        </w:rPr>
      </w:pPr>
      <w:r w:rsidRPr="003A4EE7">
        <w:t>-</w:t>
      </w:r>
      <w:r w:rsidRPr="003A4EE7">
        <w:tab/>
        <w:t xml:space="preserve">when a value of a PRACH association indicator field in the PDCCH order is 0 if </w:t>
      </w:r>
      <w:r w:rsidRPr="003A4EE7">
        <w:rPr>
          <w:rFonts w:eastAsia="DengXian"/>
        </w:rPr>
        <w:t>the UE is not provided</w:t>
      </w:r>
      <w:r w:rsidRPr="003A4EE7">
        <w:rPr>
          <w:rFonts w:eastAsia="DengXian"/>
          <w:kern w:val="2"/>
          <w:lang w:eastAsia="zh-CN"/>
        </w:rPr>
        <w:t xml:space="preserve"> </w:t>
      </w:r>
      <w:r w:rsidRPr="003A4EE7">
        <w:rPr>
          <w:rFonts w:eastAsia="DengXian"/>
          <w:i/>
          <w:kern w:val="2"/>
          <w:lang w:eastAsia="zh-CN"/>
        </w:rPr>
        <w:t>SSB-MTC-AdditionalPCI</w:t>
      </w:r>
      <w:r w:rsidRPr="003A4EE7">
        <w:rPr>
          <w:rFonts w:eastAsia="DengXian"/>
          <w:iCs/>
          <w:kern w:val="2"/>
          <w:lang w:eastAsia="zh-CN"/>
        </w:rPr>
        <w:t>,</w:t>
      </w:r>
      <w:r w:rsidRPr="003A4EE7">
        <w:rPr>
          <w:rFonts w:eastAsia="DengXian" w:hint="eastAsia"/>
          <w:iCs/>
          <w:kern w:val="2"/>
          <w:lang w:eastAsia="zh-CN"/>
        </w:rPr>
        <w:t xml:space="preserve"> or </w:t>
      </w:r>
    </w:p>
    <w:p w14:paraId="30F9AE73" w14:textId="77777777" w:rsidR="003A4EE7" w:rsidRPr="003A4EE7" w:rsidRDefault="003A4EE7" w:rsidP="003A4EE7">
      <w:pPr>
        <w:pStyle w:val="B1"/>
      </w:pPr>
      <w:r w:rsidRPr="003A4EE7">
        <w:t>-</w:t>
      </w:r>
      <w:r w:rsidRPr="003A4EE7">
        <w:tab/>
      </w:r>
      <w:r w:rsidRPr="003A4EE7">
        <w:rPr>
          <w:rFonts w:eastAsia="DengXian" w:hint="eastAsia"/>
          <w:iCs/>
          <w:kern w:val="2"/>
          <w:lang w:eastAsia="zh-CN"/>
        </w:rPr>
        <w:t xml:space="preserve">when </w:t>
      </w:r>
      <w:r w:rsidRPr="003A4EE7">
        <w:rPr>
          <w:rFonts w:eastAsia="DengXian"/>
          <w:iCs/>
          <w:kern w:val="2"/>
          <w:lang w:eastAsia="zh-CN"/>
        </w:rPr>
        <w:t xml:space="preserve">the </w:t>
      </w:r>
      <w:r w:rsidRPr="003A4EE7">
        <w:t>PRACH association</w:t>
      </w:r>
      <w:r w:rsidRPr="003A4EE7">
        <w:rPr>
          <w:rFonts w:hint="eastAsia"/>
          <w:lang w:eastAsia="zh-CN"/>
        </w:rPr>
        <w:t xml:space="preserve"> indicator field in the PDCCH order indicates a </w:t>
      </w:r>
      <w:r w:rsidRPr="003A4EE7">
        <w:rPr>
          <w:i/>
          <w:iCs/>
          <w:lang w:eastAsia="zh-CN"/>
        </w:rPr>
        <w:t>physCellId</w:t>
      </w:r>
      <w:r w:rsidRPr="003A4EE7">
        <w:rPr>
          <w:rFonts w:hint="eastAsia"/>
          <w:lang w:eastAsia="zh-CN"/>
        </w:rPr>
        <w:t xml:space="preserve"> associated with the </w:t>
      </w:r>
      <w:r w:rsidRPr="003A4EE7">
        <w:rPr>
          <w:lang w:eastAsia="zh-CN"/>
        </w:rPr>
        <w:t>cell</w:t>
      </w:r>
      <w:r w:rsidRPr="003A4EE7">
        <w:rPr>
          <w:rFonts w:hint="eastAsia"/>
          <w:lang w:eastAsia="zh-CN"/>
        </w:rPr>
        <w:t xml:space="preserve"> </w:t>
      </w:r>
      <w:r w:rsidRPr="003A4EE7">
        <w:rPr>
          <w:lang w:eastAsia="zh-CN"/>
        </w:rPr>
        <w:t>of</w:t>
      </w:r>
      <w:r w:rsidRPr="003A4EE7">
        <w:rPr>
          <w:rFonts w:hint="eastAsia"/>
          <w:lang w:eastAsia="zh-CN"/>
        </w:rPr>
        <w:t xml:space="preserve"> the PDCCH order</w:t>
      </w:r>
      <w:r w:rsidRPr="003A4EE7">
        <w:rPr>
          <w:lang w:eastAsia="zh-CN"/>
        </w:rPr>
        <w:t xml:space="preserve"> reception</w:t>
      </w:r>
      <w:r w:rsidRPr="003A4EE7">
        <w:t xml:space="preserve">, </w:t>
      </w:r>
    </w:p>
    <w:p w14:paraId="75A64B2A" w14:textId="77777777" w:rsidR="003A4EE7" w:rsidRPr="003A4EE7" w:rsidRDefault="003A4EE7" w:rsidP="003A4EE7">
      <w:pPr>
        <w:pStyle w:val="B1"/>
      </w:pPr>
      <w:r w:rsidRPr="003A4EE7">
        <w:t xml:space="preserve">or depending on an indicated SS/PBCH block </w:t>
      </w:r>
    </w:p>
    <w:p w14:paraId="079E7EDA" w14:textId="77777777" w:rsidR="003A4EE7" w:rsidRPr="003A4EE7" w:rsidRDefault="003A4EE7" w:rsidP="003A4EE7">
      <w:pPr>
        <w:pStyle w:val="B1"/>
      </w:pPr>
      <w:r w:rsidRPr="003A4EE7">
        <w:t>-</w:t>
      </w:r>
      <w:r w:rsidRPr="003A4EE7">
        <w:tab/>
        <w:t xml:space="preserve">when the PRACH transmission is on a non-serving cell indicated by the cell indicator field in the PDCCH order, or </w:t>
      </w:r>
    </w:p>
    <w:p w14:paraId="66751695" w14:textId="77777777" w:rsidR="003A4EE7" w:rsidRPr="003A4EE7" w:rsidRDefault="003A4EE7" w:rsidP="003A4EE7">
      <w:pPr>
        <w:pStyle w:val="B1"/>
        <w:rPr>
          <w:lang w:eastAsia="zh-CN"/>
        </w:rPr>
      </w:pPr>
      <w:r w:rsidRPr="003A4EE7">
        <w:t>-</w:t>
      </w:r>
      <w:r w:rsidRPr="003A4EE7">
        <w:tab/>
        <w:t>when a value of a PRACH association indicator field in the PDCCH order is 1</w:t>
      </w:r>
      <w:r w:rsidRPr="003A4EE7">
        <w:rPr>
          <w:rFonts w:hint="eastAsia"/>
          <w:lang w:eastAsia="zh-CN"/>
        </w:rPr>
        <w:t xml:space="preserve"> if the UE is not provided </w:t>
      </w:r>
      <w:r w:rsidRPr="003A4EE7">
        <w:rPr>
          <w:rFonts w:hint="eastAsia"/>
          <w:i/>
          <w:iCs/>
          <w:lang w:eastAsia="zh-CN"/>
        </w:rPr>
        <w:t>SSB-MTC-Add</w:t>
      </w:r>
      <w:r w:rsidRPr="003A4EE7">
        <w:rPr>
          <w:i/>
          <w:iCs/>
          <w:lang w:eastAsia="zh-CN"/>
        </w:rPr>
        <w:t>i</w:t>
      </w:r>
      <w:r w:rsidRPr="003A4EE7">
        <w:rPr>
          <w:rFonts w:hint="eastAsia"/>
          <w:i/>
          <w:iCs/>
          <w:lang w:eastAsia="zh-CN"/>
        </w:rPr>
        <w:t>tionalPCI</w:t>
      </w:r>
      <w:r w:rsidRPr="003A4EE7">
        <w:rPr>
          <w:lang w:eastAsia="zh-CN"/>
        </w:rPr>
        <w:t>,</w:t>
      </w:r>
      <w:r w:rsidRPr="003A4EE7">
        <w:rPr>
          <w:rFonts w:hint="eastAsia"/>
          <w:lang w:eastAsia="zh-CN"/>
        </w:rPr>
        <w:t xml:space="preserve"> or </w:t>
      </w:r>
    </w:p>
    <w:p w14:paraId="34F04478" w14:textId="77777777" w:rsidR="003A4EE7" w:rsidRPr="003A4EE7" w:rsidRDefault="003A4EE7" w:rsidP="003A4EE7">
      <w:pPr>
        <w:pStyle w:val="B1"/>
      </w:pPr>
      <w:r w:rsidRPr="003A4EE7">
        <w:t>-</w:t>
      </w:r>
      <w:r w:rsidRPr="003A4EE7">
        <w:tab/>
      </w:r>
      <w:r w:rsidRPr="003A4EE7">
        <w:rPr>
          <w:rFonts w:hint="eastAsia"/>
          <w:lang w:eastAsia="zh-CN"/>
        </w:rPr>
        <w:t xml:space="preserve">when </w:t>
      </w:r>
      <w:r w:rsidRPr="003A4EE7">
        <w:rPr>
          <w:lang w:eastAsia="zh-CN"/>
        </w:rPr>
        <w:t xml:space="preserve">the </w:t>
      </w:r>
      <w:r w:rsidRPr="003A4EE7">
        <w:t>PRACH association</w:t>
      </w:r>
      <w:r w:rsidRPr="003A4EE7">
        <w:rPr>
          <w:rFonts w:hint="eastAsia"/>
          <w:lang w:eastAsia="zh-CN"/>
        </w:rPr>
        <w:t xml:space="preserve"> indicator field in the PDCCH order indicates a</w:t>
      </w:r>
      <w:r w:rsidRPr="003A4EE7">
        <w:rPr>
          <w:i/>
          <w:iCs/>
          <w:lang w:eastAsia="zh-CN"/>
        </w:rPr>
        <w:t xml:space="preserve"> physCellId</w:t>
      </w:r>
      <w:r w:rsidRPr="003A4EE7">
        <w:rPr>
          <w:rFonts w:hint="eastAsia"/>
          <w:lang w:eastAsia="zh-CN"/>
        </w:rPr>
        <w:t xml:space="preserve"> </w:t>
      </w:r>
      <w:r w:rsidRPr="003A4EE7">
        <w:rPr>
          <w:lang w:eastAsia="zh-CN"/>
        </w:rPr>
        <w:t xml:space="preserve">that is </w:t>
      </w:r>
      <w:r w:rsidRPr="003A4EE7">
        <w:rPr>
          <w:rFonts w:hint="eastAsia"/>
          <w:lang w:eastAsia="zh-CN"/>
        </w:rPr>
        <w:t xml:space="preserve">different </w:t>
      </w:r>
      <w:r w:rsidRPr="003A4EE7">
        <w:rPr>
          <w:lang w:eastAsia="zh-CN"/>
        </w:rPr>
        <w:t>that</w:t>
      </w:r>
      <w:r w:rsidRPr="003A4EE7">
        <w:rPr>
          <w:rFonts w:hint="eastAsia"/>
          <w:lang w:eastAsia="zh-CN"/>
        </w:rPr>
        <w:t xml:space="preserve"> the </w:t>
      </w:r>
      <w:r w:rsidRPr="003A4EE7">
        <w:rPr>
          <w:i/>
          <w:iCs/>
          <w:lang w:eastAsia="zh-CN"/>
        </w:rPr>
        <w:t>physCellId</w:t>
      </w:r>
      <w:r w:rsidRPr="003A4EE7">
        <w:rPr>
          <w:rFonts w:hint="eastAsia"/>
          <w:lang w:eastAsia="zh-CN"/>
        </w:rPr>
        <w:t xml:space="preserve"> associated with the </w:t>
      </w:r>
      <w:r w:rsidRPr="003A4EE7">
        <w:rPr>
          <w:lang w:eastAsia="zh-CN"/>
        </w:rPr>
        <w:t>cell</w:t>
      </w:r>
      <w:r w:rsidRPr="003A4EE7">
        <w:rPr>
          <w:rFonts w:hint="eastAsia"/>
          <w:lang w:eastAsia="zh-CN"/>
        </w:rPr>
        <w:t xml:space="preserve"> </w:t>
      </w:r>
      <w:r w:rsidRPr="003A4EE7">
        <w:rPr>
          <w:lang w:eastAsia="zh-CN"/>
        </w:rPr>
        <w:t>of</w:t>
      </w:r>
      <w:r w:rsidRPr="003A4EE7">
        <w:rPr>
          <w:rFonts w:hint="eastAsia"/>
          <w:lang w:eastAsia="zh-CN"/>
        </w:rPr>
        <w:t xml:space="preserve"> the PDCCH order</w:t>
      </w:r>
      <w:r w:rsidRPr="003A4EE7">
        <w:rPr>
          <w:lang w:eastAsia="zh-CN"/>
        </w:rPr>
        <w:t xml:space="preserve"> reception</w:t>
      </w:r>
      <w:r w:rsidRPr="003A4EE7">
        <w:t xml:space="preserve">, </w:t>
      </w:r>
    </w:p>
    <w:p w14:paraId="007F907B" w14:textId="77777777" w:rsidR="003A4EE7" w:rsidRPr="003A4EE7" w:rsidRDefault="003A4EE7" w:rsidP="003A4EE7">
      <w:pPr>
        <w:rPr>
          <w:rFonts w:eastAsia="MS Mincho"/>
        </w:rPr>
      </w:pPr>
      <w:r w:rsidRPr="003A4EE7">
        <w:rPr>
          <w:rFonts w:eastAsia="MS Mincho"/>
          <w:i/>
        </w:rPr>
        <w:t>referenceSignalPower</w:t>
      </w:r>
      <w:r w:rsidRPr="003A4EE7">
        <w:rPr>
          <w:rFonts w:eastAsia="MS Mincho"/>
        </w:rPr>
        <w:t xml:space="preserve"> is provided by a corresponding </w:t>
      </w:r>
      <w:r w:rsidRPr="003A4EE7">
        <w:rPr>
          <w:i/>
        </w:rPr>
        <w:t>ss-PBCH-BlockPower</w:t>
      </w:r>
      <w:r w:rsidRPr="003A4EE7">
        <w:rPr>
          <w:rFonts w:eastAsia="MS Mincho"/>
        </w:rPr>
        <w:t xml:space="preserve">. </w:t>
      </w:r>
    </w:p>
    <w:p w14:paraId="38D66CD7" w14:textId="77777777" w:rsidR="003A4EE7" w:rsidRPr="003A4EE7" w:rsidRDefault="003A4EE7" w:rsidP="003A4EE7">
      <w:pPr>
        <w:rPr>
          <w:lang w:eastAsia="zh-CN"/>
        </w:rPr>
      </w:pPr>
      <w:r w:rsidRPr="003A4EE7">
        <w:t>When a value of a PRACH association indicator field in the PDCCH order is 1</w:t>
      </w:r>
      <w:r w:rsidRPr="003A4EE7">
        <w:rPr>
          <w:rFonts w:hint="eastAsia"/>
          <w:lang w:eastAsia="zh-CN"/>
        </w:rPr>
        <w:t xml:space="preserve"> if the UE is not provided </w:t>
      </w:r>
      <w:r w:rsidRPr="003A4EE7">
        <w:rPr>
          <w:rFonts w:hint="eastAsia"/>
          <w:i/>
          <w:iCs/>
          <w:lang w:eastAsia="zh-CN"/>
        </w:rPr>
        <w:t>SSB-MTC-Add</w:t>
      </w:r>
      <w:r w:rsidRPr="003A4EE7">
        <w:rPr>
          <w:i/>
          <w:iCs/>
          <w:lang w:eastAsia="zh-CN"/>
        </w:rPr>
        <w:t>i</w:t>
      </w:r>
      <w:r w:rsidRPr="003A4EE7">
        <w:rPr>
          <w:rFonts w:hint="eastAsia"/>
          <w:i/>
          <w:iCs/>
          <w:lang w:eastAsia="zh-CN"/>
        </w:rPr>
        <w:t>tionalPCI</w:t>
      </w:r>
      <w:r w:rsidRPr="003A4EE7">
        <w:rPr>
          <w:lang w:eastAsia="zh-CN"/>
        </w:rPr>
        <w:t>,</w:t>
      </w:r>
      <w:r w:rsidRPr="003A4EE7">
        <w:rPr>
          <w:rFonts w:hint="eastAsia"/>
          <w:lang w:eastAsia="zh-CN"/>
        </w:rPr>
        <w:t xml:space="preserve"> or when </w:t>
      </w:r>
      <w:r w:rsidRPr="003A4EE7">
        <w:rPr>
          <w:lang w:eastAsia="zh-CN"/>
        </w:rPr>
        <w:t xml:space="preserve">the </w:t>
      </w:r>
      <w:r w:rsidRPr="003A4EE7">
        <w:t>PRACH association</w:t>
      </w:r>
      <w:r w:rsidRPr="003A4EE7">
        <w:rPr>
          <w:rFonts w:hint="eastAsia"/>
          <w:lang w:eastAsia="zh-CN"/>
        </w:rPr>
        <w:t xml:space="preserve"> indicator field in the PDCCH order indicates a</w:t>
      </w:r>
      <w:r w:rsidRPr="003A4EE7">
        <w:rPr>
          <w:i/>
          <w:iCs/>
          <w:lang w:eastAsia="zh-CN"/>
        </w:rPr>
        <w:t xml:space="preserve"> physCellId</w:t>
      </w:r>
      <w:r w:rsidRPr="003A4EE7">
        <w:rPr>
          <w:rFonts w:hint="eastAsia"/>
          <w:lang w:eastAsia="zh-CN"/>
        </w:rPr>
        <w:t xml:space="preserve"> </w:t>
      </w:r>
      <w:r w:rsidRPr="003A4EE7">
        <w:rPr>
          <w:lang w:eastAsia="zh-CN"/>
        </w:rPr>
        <w:t xml:space="preserve">that is </w:t>
      </w:r>
      <w:r w:rsidRPr="003A4EE7">
        <w:rPr>
          <w:rFonts w:hint="eastAsia"/>
          <w:lang w:eastAsia="zh-CN"/>
        </w:rPr>
        <w:t xml:space="preserve">different </w:t>
      </w:r>
      <w:r w:rsidRPr="003A4EE7">
        <w:rPr>
          <w:lang w:eastAsia="zh-CN"/>
        </w:rPr>
        <w:t>that</w:t>
      </w:r>
      <w:r w:rsidRPr="003A4EE7">
        <w:rPr>
          <w:rFonts w:hint="eastAsia"/>
          <w:lang w:eastAsia="zh-CN"/>
        </w:rPr>
        <w:t xml:space="preserve"> the </w:t>
      </w:r>
      <w:r w:rsidRPr="003A4EE7">
        <w:rPr>
          <w:i/>
          <w:iCs/>
          <w:lang w:eastAsia="zh-CN"/>
        </w:rPr>
        <w:t>physCellId</w:t>
      </w:r>
      <w:r w:rsidRPr="003A4EE7">
        <w:rPr>
          <w:rFonts w:hint="eastAsia"/>
          <w:lang w:eastAsia="zh-CN"/>
        </w:rPr>
        <w:t xml:space="preserve"> associated with the </w:t>
      </w:r>
      <w:r w:rsidRPr="003A4EE7">
        <w:rPr>
          <w:lang w:eastAsia="zh-CN"/>
        </w:rPr>
        <w:t>cell</w:t>
      </w:r>
      <w:r w:rsidRPr="003A4EE7">
        <w:rPr>
          <w:rFonts w:hint="eastAsia"/>
          <w:lang w:eastAsia="zh-CN"/>
        </w:rPr>
        <w:t xml:space="preserve"> </w:t>
      </w:r>
      <w:r w:rsidRPr="003A4EE7">
        <w:rPr>
          <w:lang w:eastAsia="zh-CN"/>
        </w:rPr>
        <w:t>of</w:t>
      </w:r>
      <w:r w:rsidRPr="003A4EE7">
        <w:rPr>
          <w:rFonts w:hint="eastAsia"/>
          <w:lang w:eastAsia="zh-CN"/>
        </w:rPr>
        <w:t xml:space="preserve"> the PDCCH order</w:t>
      </w:r>
      <w:r w:rsidRPr="003A4EE7">
        <w:rPr>
          <w:lang w:eastAsia="zh-CN"/>
        </w:rPr>
        <w:t xml:space="preserve"> reception, the UE expects that the </w:t>
      </w:r>
      <w:r w:rsidRPr="003A4EE7">
        <w:t xml:space="preserve">indicated SS/PBCH block in the PDCCH order is configured as </w:t>
      </w:r>
      <w:r w:rsidRPr="003A4EE7">
        <w:rPr>
          <w:i/>
          <w:iCs/>
        </w:rPr>
        <w:t>pathlossReferenceRS-Id</w:t>
      </w:r>
      <w:r w:rsidRPr="003A4EE7">
        <w:t xml:space="preserve"> of an active TCI state</w:t>
      </w:r>
      <w:r w:rsidRPr="003A4EE7">
        <w:rPr>
          <w:lang w:eastAsia="zh-CN"/>
        </w:rPr>
        <w:t xml:space="preserve">. </w:t>
      </w:r>
    </w:p>
    <w:p w14:paraId="30074A44" w14:textId="24180B5A" w:rsidR="005F3259" w:rsidRPr="00647210" w:rsidRDefault="00290476" w:rsidP="005F3259">
      <w:pPr>
        <w:rPr>
          <w:rFonts w:eastAsia="MS Mincho"/>
        </w:rPr>
      </w:pPr>
      <w:r>
        <w:rPr>
          <w:rFonts w:eastAsia="MS Mincho"/>
        </w:rPr>
        <w:t>If</w:t>
      </w:r>
      <w:r w:rsidR="00B609CF">
        <w:rPr>
          <w:rFonts w:eastAsia="MS Mincho"/>
        </w:rPr>
        <w:t xml:space="preserve"> </w:t>
      </w:r>
      <w:r w:rsidR="00DF291E">
        <w:rPr>
          <w:rFonts w:eastAsia="MS Mincho"/>
        </w:rPr>
        <w:t>the UE is configured resources for a periodic CSI-RS reception</w:t>
      </w:r>
      <w:r w:rsidR="00B609CF">
        <w:rPr>
          <w:rFonts w:eastAsia="MS Mincho"/>
        </w:rPr>
        <w:t xml:space="preserve"> or the </w:t>
      </w:r>
      <w:r w:rsidR="00B609CF">
        <w:t xml:space="preserve">PRACH transmission is associated with a link recovery procedure where a corresponding index </w:t>
      </w:r>
      <m:oMath>
        <m:sSub>
          <m:sSubPr>
            <m:ctrlPr>
              <w:rPr>
                <w:rFonts w:ascii="Cambria Math" w:hAnsi="Cambria Math"/>
                <w:i/>
                <w:lang w:val="x-none"/>
              </w:rPr>
            </m:ctrlPr>
          </m:sSubPr>
          <m:e>
            <m:r>
              <w:rPr>
                <w:rFonts w:ascii="Cambria Math" w:hAnsi="Cambria Math"/>
              </w:rPr>
              <m:t>q</m:t>
            </m:r>
          </m:e>
          <m:sub>
            <m:r>
              <m:rPr>
                <m:sty m:val="p"/>
              </m:rPr>
              <w:rPr>
                <w:rFonts w:ascii="Cambria Math" w:hAnsi="Cambria Math"/>
              </w:rPr>
              <m:t>new</m:t>
            </m:r>
          </m:sub>
        </m:sSub>
      </m:oMath>
      <w:r w:rsidR="00B609CF">
        <w:rPr>
          <w:iCs/>
        </w:rPr>
        <w:t xml:space="preserve"> is associated with a periodic CSI-RS configuration</w:t>
      </w:r>
      <w:r w:rsidR="00B609CF">
        <w:t xml:space="preserve"> </w:t>
      </w:r>
      <w:r w:rsidR="00B609CF">
        <w:rPr>
          <w:iCs/>
        </w:rPr>
        <w:t xml:space="preserve">as described </w:t>
      </w:r>
      <w:r w:rsidR="006F5F9E">
        <w:rPr>
          <w:iCs/>
        </w:rPr>
        <w:t>in clause</w:t>
      </w:r>
      <w:r w:rsidR="00B609CF">
        <w:rPr>
          <w:iCs/>
        </w:rPr>
        <w:t xml:space="preserve"> 6</w:t>
      </w:r>
      <w:r w:rsidR="00DF291E">
        <w:rPr>
          <w:rFonts w:eastAsia="MS Mincho"/>
        </w:rPr>
        <w:t xml:space="preserve">, </w:t>
      </w:r>
      <w:r w:rsidR="00DF291E" w:rsidRPr="00B916EC">
        <w:rPr>
          <w:rFonts w:eastAsia="MS Mincho"/>
          <w:i/>
        </w:rPr>
        <w:t>referenceSignalPower</w:t>
      </w:r>
      <w:r w:rsidR="00DF291E">
        <w:rPr>
          <w:rFonts w:eastAsia="MS Mincho"/>
        </w:rPr>
        <w:t xml:space="preserve"> is </w:t>
      </w:r>
      <w:r w:rsidR="00DF291E">
        <w:rPr>
          <w:rFonts w:eastAsia="MS Mincho"/>
          <w:lang w:val="en-US"/>
        </w:rPr>
        <w:t>obtained</w:t>
      </w:r>
      <w:r w:rsidR="00DF291E" w:rsidRPr="00B916EC">
        <w:rPr>
          <w:rFonts w:eastAsia="MS Mincho"/>
          <w:lang w:val="en-US"/>
        </w:rPr>
        <w:t xml:space="preserve"> by </w:t>
      </w:r>
      <w:r w:rsidR="00DF291E" w:rsidRPr="003B4338">
        <w:rPr>
          <w:i/>
        </w:rPr>
        <w:t>ss-PBCH-BlockPower</w:t>
      </w:r>
      <w:r w:rsidR="00DF291E">
        <w:t xml:space="preserve"> and</w:t>
      </w:r>
      <w:r w:rsidR="00DF291E" w:rsidRPr="00B916EC">
        <w:rPr>
          <w:lang w:val="en-US"/>
        </w:rPr>
        <w:t xml:space="preserve"> </w:t>
      </w:r>
      <w:r w:rsidR="00DF291E" w:rsidRPr="003B4338">
        <w:rPr>
          <w:i/>
        </w:rPr>
        <w:t>powerControlOffsetSS</w:t>
      </w:r>
      <w:r w:rsidR="00DF291E">
        <w:rPr>
          <w:lang w:val="en-US"/>
        </w:rPr>
        <w:t xml:space="preserve"> where </w:t>
      </w:r>
      <w:r w:rsidR="00DF291E" w:rsidRPr="003B4338">
        <w:rPr>
          <w:i/>
        </w:rPr>
        <w:t>powerControlOffsetSS</w:t>
      </w:r>
      <w:r w:rsidR="00DF291E">
        <w:rPr>
          <w:i/>
        </w:rPr>
        <w:t xml:space="preserve"> </w:t>
      </w:r>
      <w:r w:rsidR="00DF291E">
        <w:rPr>
          <w:lang w:val="en-US"/>
        </w:rPr>
        <w:t>provides an offset of</w:t>
      </w:r>
      <w:r w:rsidR="00DF291E" w:rsidRPr="00B916EC">
        <w:rPr>
          <w:lang w:val="en-US"/>
        </w:rPr>
        <w:t xml:space="preserve"> CSI-RS tr</w:t>
      </w:r>
      <w:r w:rsidR="00DF291E">
        <w:rPr>
          <w:lang w:val="en-US"/>
        </w:rPr>
        <w:t>ansmission power relative to</w:t>
      </w:r>
      <w:r w:rsidR="00DF291E" w:rsidRPr="00B916EC">
        <w:rPr>
          <w:lang w:val="en-US"/>
        </w:rPr>
        <w:t xml:space="preserve"> SS/PBCH block transmission power </w:t>
      </w:r>
      <w:r w:rsidR="00DF291E" w:rsidRPr="00B916EC">
        <w:t>[</w:t>
      </w:r>
      <w:r w:rsidR="00DF291E" w:rsidRPr="00B916EC">
        <w:rPr>
          <w:lang w:val="en-US"/>
        </w:rPr>
        <w:t>6</w:t>
      </w:r>
      <w:r w:rsidR="00DF291E" w:rsidRPr="00B916EC">
        <w:t>, TS 38.</w:t>
      </w:r>
      <w:r w:rsidR="00DF291E" w:rsidRPr="00B916EC">
        <w:rPr>
          <w:lang w:val="en-US"/>
        </w:rPr>
        <w:t>214</w:t>
      </w:r>
      <w:r w:rsidR="00DF291E" w:rsidRPr="00B916EC">
        <w:t>]</w:t>
      </w:r>
      <w:r w:rsidR="00DF291E" w:rsidRPr="00B916EC">
        <w:rPr>
          <w:lang w:val="en-US"/>
        </w:rPr>
        <w:t>.</w:t>
      </w:r>
      <w:r w:rsidR="00DF291E">
        <w:rPr>
          <w:lang w:val="en-US"/>
        </w:rPr>
        <w:t xml:space="preserve"> If </w:t>
      </w:r>
      <w:r w:rsidR="00DF291E" w:rsidRPr="003B4338">
        <w:rPr>
          <w:i/>
        </w:rPr>
        <w:t>powerControlOffsetSS</w:t>
      </w:r>
      <w:r w:rsidR="00DF291E">
        <w:t xml:space="preserve"> is not provided to the UE, the UE assumes an offset of 0 dB</w:t>
      </w:r>
      <w:r w:rsidR="005F3259" w:rsidRPr="00B916EC">
        <w:rPr>
          <w:lang w:val="en-US"/>
        </w:rPr>
        <w:t>.</w:t>
      </w:r>
      <w:bookmarkStart w:id="226" w:name="_Hlk528933777"/>
      <w:r w:rsidR="003B3D29" w:rsidRPr="003B3D29">
        <w:rPr>
          <w:lang w:eastAsia="ja-JP"/>
        </w:rPr>
        <w:t xml:space="preserve"> </w:t>
      </w:r>
      <w:r w:rsidR="003B3D29" w:rsidRPr="006D57BA">
        <w:rPr>
          <w:lang w:eastAsia="ja-JP"/>
        </w:rPr>
        <w:t xml:space="preserve">If </w:t>
      </w:r>
      <w:r w:rsidR="003B3D29" w:rsidRPr="006D57BA">
        <w:t xml:space="preserve">the </w:t>
      </w:r>
      <w:r w:rsidR="003B3D29" w:rsidRPr="006D57BA">
        <w:rPr>
          <w:lang w:eastAsia="ja-JP"/>
        </w:rPr>
        <w:t xml:space="preserve">active TCI state for the PDCCH </w:t>
      </w:r>
      <w:r w:rsidR="003B3D29">
        <w:rPr>
          <w:lang w:eastAsia="ja-JP"/>
        </w:rPr>
        <w:t xml:space="preserve">that provides the PDCCH order </w:t>
      </w:r>
      <w:r w:rsidR="003B3D29" w:rsidRPr="006D57BA">
        <w:rPr>
          <w:lang w:eastAsia="ja-JP"/>
        </w:rPr>
        <w:t xml:space="preserve">includes two RS, the UE expects that one RS </w:t>
      </w:r>
      <w:r w:rsidR="00DC296D">
        <w:rPr>
          <w:lang w:eastAsia="ja-JP"/>
        </w:rPr>
        <w:t>is configured with</w:t>
      </w:r>
      <w:r w:rsidR="00DC296D" w:rsidRPr="006D57BA">
        <w:rPr>
          <w:lang w:eastAsia="ja-JP"/>
        </w:rPr>
        <w:t xml:space="preserve"> </w:t>
      </w:r>
      <w:r w:rsidR="00DC296D" w:rsidRPr="009C2B03">
        <w:rPr>
          <w:i/>
          <w:lang w:eastAsia="ja-JP"/>
        </w:rPr>
        <w:t>qcl-Type</w:t>
      </w:r>
      <w:r w:rsidR="00DC296D">
        <w:rPr>
          <w:lang w:eastAsia="ja-JP"/>
        </w:rPr>
        <w:t xml:space="preserve"> set to</w:t>
      </w:r>
      <w:r w:rsidR="003B3D29" w:rsidRPr="006D57BA">
        <w:rPr>
          <w:lang w:eastAsia="ja-JP"/>
        </w:rPr>
        <w:t xml:space="preserve"> </w:t>
      </w:r>
      <w:r w:rsidR="00DC296D">
        <w:rPr>
          <w:lang w:eastAsia="ja-JP"/>
        </w:rPr>
        <w:t>'t</w:t>
      </w:r>
      <w:r w:rsidR="003B3D29" w:rsidRPr="006D57BA">
        <w:rPr>
          <w:lang w:eastAsia="ja-JP"/>
        </w:rPr>
        <w:t>ypeD</w:t>
      </w:r>
      <w:r w:rsidR="00DC296D">
        <w:rPr>
          <w:lang w:eastAsia="ja-JP"/>
        </w:rPr>
        <w:t>'</w:t>
      </w:r>
      <w:r w:rsidR="003B3D29">
        <w:rPr>
          <w:lang w:eastAsia="ja-JP"/>
        </w:rPr>
        <w:t xml:space="preserve"> </w:t>
      </w:r>
      <w:r w:rsidR="003B3D29" w:rsidRPr="006D57BA">
        <w:rPr>
          <w:lang w:eastAsia="ja-JP"/>
        </w:rPr>
        <w:t>and the UE uses the one RS when applying</w:t>
      </w:r>
      <w:r w:rsidR="003B3D29">
        <w:rPr>
          <w:lang w:eastAsia="ja-JP"/>
        </w:rPr>
        <w:t xml:space="preserve"> a value provided by</w:t>
      </w:r>
      <w:r w:rsidR="003B3D29" w:rsidRPr="006D57BA">
        <w:rPr>
          <w:lang w:eastAsia="ja-JP"/>
        </w:rPr>
        <w:t xml:space="preserve"> </w:t>
      </w:r>
      <w:r w:rsidR="003B3D29" w:rsidRPr="006D57BA">
        <w:rPr>
          <w:i/>
          <w:iCs/>
        </w:rPr>
        <w:t>powerControlOffsetSS</w:t>
      </w:r>
      <w:r w:rsidR="003B3D29" w:rsidRPr="006D57BA">
        <w:t>.</w:t>
      </w:r>
      <w:bookmarkEnd w:id="226"/>
    </w:p>
    <w:p w14:paraId="22B8DE15" w14:textId="0AB1249B" w:rsidR="002805BB" w:rsidRDefault="00A10623" w:rsidP="00A10623">
      <w:r w:rsidRPr="00B916EC">
        <w:rPr>
          <w:noProof/>
        </w:rPr>
        <w:t xml:space="preserve">If within a random access response window, as described </w:t>
      </w:r>
      <w:r w:rsidR="006F5F9E">
        <w:rPr>
          <w:noProof/>
        </w:rPr>
        <w:t>in clause</w:t>
      </w:r>
      <w:r w:rsidR="00D42FE8">
        <w:rPr>
          <w:noProof/>
        </w:rPr>
        <w:t xml:space="preserve"> 8.2</w:t>
      </w:r>
      <w:r w:rsidRPr="00B916EC">
        <w:rPr>
          <w:noProof/>
        </w:rPr>
        <w:t xml:space="preserve">, the UE does not receive a random access response that contains a preamble identifier corresponding to the preamble sequence transmitted by the UE, </w:t>
      </w:r>
      <w:r w:rsidR="00290476">
        <w:rPr>
          <w:noProof/>
        </w:rPr>
        <w:t xml:space="preserve">or when a random access response does not exist, </w:t>
      </w:r>
      <w:r w:rsidRPr="00B916EC">
        <w:rPr>
          <w:noProof/>
        </w:rPr>
        <w:t>the UE determine</w:t>
      </w:r>
      <w:r w:rsidR="00DF291E">
        <w:rPr>
          <w:noProof/>
        </w:rPr>
        <w:t>s</w:t>
      </w:r>
      <w:r w:rsidRPr="00B916EC">
        <w:rPr>
          <w:noProof/>
        </w:rPr>
        <w:t xml:space="preserve"> a transmission power for a subsequent PRACH transmission, if any, as described in </w:t>
      </w:r>
      <w:r w:rsidRPr="00B916EC">
        <w:t>[</w:t>
      </w:r>
      <w:r w:rsidRPr="00B916EC">
        <w:rPr>
          <w:lang w:val="en-US"/>
        </w:rPr>
        <w:t>11, TS 38.321</w:t>
      </w:r>
      <w:r w:rsidRPr="00B916EC">
        <w:t>].</w:t>
      </w:r>
    </w:p>
    <w:p w14:paraId="292C9B21" w14:textId="77777777" w:rsidR="005F3259" w:rsidRDefault="005F3259" w:rsidP="00A10623">
      <w:r>
        <w:t>If prior to a PRACH retransmission, a UE</w:t>
      </w:r>
      <w:r w:rsidRPr="00C14186">
        <w:t xml:space="preserve"> </w:t>
      </w:r>
      <w:r>
        <w:t>changes the</w:t>
      </w:r>
      <w:r w:rsidRPr="00F359A3">
        <w:t xml:space="preserve"> spati</w:t>
      </w:r>
      <w:r>
        <w:t>al domain transmission filter, L</w:t>
      </w:r>
      <w:r w:rsidRPr="00C14186">
        <w:t xml:space="preserve">ayer 1 </w:t>
      </w:r>
      <w:r w:rsidR="00DF291E" w:rsidRPr="00C14186">
        <w:t>notif</w:t>
      </w:r>
      <w:r w:rsidR="00DF291E">
        <w:t>ies</w:t>
      </w:r>
      <w:r w:rsidR="00DF291E" w:rsidRPr="00C14186">
        <w:t xml:space="preserve"> </w:t>
      </w:r>
      <w:r>
        <w:t>higher</w:t>
      </w:r>
      <w:r w:rsidRPr="00C14186">
        <w:t xml:space="preserve"> layer</w:t>
      </w:r>
      <w:r>
        <w:t>s to suspend the</w:t>
      </w:r>
      <w:r w:rsidRPr="00C14186">
        <w:t xml:space="preserve"> power ramping counter</w:t>
      </w:r>
      <w:r>
        <w:t xml:space="preserve"> as described in </w:t>
      </w:r>
      <w:r>
        <w:rPr>
          <w:lang w:val="en-US"/>
        </w:rPr>
        <w:t>[11, TS 38.32</w:t>
      </w:r>
      <w:r w:rsidRPr="00B916EC">
        <w:rPr>
          <w:lang w:val="en-US"/>
        </w:rPr>
        <w:t>1]</w:t>
      </w:r>
      <w:r w:rsidRPr="00C14186">
        <w:t>.</w:t>
      </w:r>
    </w:p>
    <w:p w14:paraId="2BA0E090" w14:textId="0856E6AD" w:rsidR="00653294" w:rsidRDefault="003B3D29" w:rsidP="003A5BF8">
      <w:pPr>
        <w:spacing w:before="120"/>
        <w:rPr>
          <w:rFonts w:eastAsia="Yu Mincho"/>
          <w:lang w:eastAsia="ja-JP"/>
        </w:rPr>
      </w:pPr>
      <w:r w:rsidRPr="00842A2A">
        <w:rPr>
          <w:rFonts w:eastAsia="Yu Mincho"/>
          <w:lang w:eastAsia="ja-JP"/>
        </w:rPr>
        <w:t xml:space="preserve">If due to power allocation </w:t>
      </w:r>
      <w:r w:rsidRPr="00844103">
        <w:rPr>
          <w:iCs/>
        </w:rPr>
        <w:t xml:space="preserve">to </w:t>
      </w:r>
      <w:r w:rsidRPr="00844103">
        <w:t>PUSCH/PUCCH/PRACH</w:t>
      </w:r>
      <w:r w:rsidRPr="00844103">
        <w:rPr>
          <w:iCs/>
        </w:rPr>
        <w:t xml:space="preserve">/SRS transmissions as described </w:t>
      </w:r>
      <w:r w:rsidR="006F5F9E">
        <w:rPr>
          <w:iCs/>
        </w:rPr>
        <w:t>in clause</w:t>
      </w:r>
      <w:r w:rsidRPr="00844103">
        <w:rPr>
          <w:iCs/>
        </w:rPr>
        <w:t xml:space="preserve"> 7.5, </w:t>
      </w:r>
      <w:r>
        <w:rPr>
          <w:iCs/>
        </w:rPr>
        <w:t xml:space="preserve">or due to power allocation in EN-DC </w:t>
      </w:r>
      <w:r w:rsidR="006A673C">
        <w:rPr>
          <w:iCs/>
        </w:rPr>
        <w:t>or NE-DC</w:t>
      </w:r>
      <w:r w:rsidR="00B63E79" w:rsidRPr="00B63E79">
        <w:rPr>
          <w:iCs/>
        </w:rPr>
        <w:t xml:space="preserve"> </w:t>
      </w:r>
      <w:r w:rsidR="00B63E79">
        <w:rPr>
          <w:iCs/>
        </w:rPr>
        <w:t>or NR-DC</w:t>
      </w:r>
      <w:r w:rsidR="006A673C">
        <w:rPr>
          <w:iCs/>
        </w:rPr>
        <w:t xml:space="preserve"> </w:t>
      </w:r>
      <w:r>
        <w:rPr>
          <w:iCs/>
        </w:rPr>
        <w:t>operation</w:t>
      </w:r>
      <w:r w:rsidR="006A673C">
        <w:rPr>
          <w:iCs/>
        </w:rPr>
        <w:t xml:space="preserve">, </w:t>
      </w:r>
      <w:r w:rsidR="00CD41CB">
        <w:rPr>
          <w:rFonts w:hint="eastAsia"/>
          <w:iCs/>
          <w:lang w:eastAsia="zh-CN"/>
        </w:rPr>
        <w:t xml:space="preserve">or due to slot format determination </w:t>
      </w:r>
      <w:r w:rsidR="00CD41CB" w:rsidRPr="00844103">
        <w:rPr>
          <w:iCs/>
        </w:rPr>
        <w:t xml:space="preserve">as described </w:t>
      </w:r>
      <w:r w:rsidR="006F5F9E">
        <w:rPr>
          <w:iCs/>
        </w:rPr>
        <w:t>in clause</w:t>
      </w:r>
      <w:r w:rsidR="00CD41CB" w:rsidRPr="00844103">
        <w:rPr>
          <w:iCs/>
        </w:rPr>
        <w:t xml:space="preserve"> </w:t>
      </w:r>
      <w:r w:rsidR="00CD41CB">
        <w:rPr>
          <w:rFonts w:hint="eastAsia"/>
          <w:iCs/>
          <w:lang w:eastAsia="zh-CN"/>
        </w:rPr>
        <w:t>11</w:t>
      </w:r>
      <w:r w:rsidR="00CD41CB" w:rsidRPr="00844103">
        <w:rPr>
          <w:iCs/>
        </w:rPr>
        <w:t>.</w:t>
      </w:r>
      <w:r w:rsidR="00CD41CB">
        <w:rPr>
          <w:rFonts w:hint="eastAsia"/>
          <w:iCs/>
          <w:lang w:eastAsia="zh-CN"/>
        </w:rPr>
        <w:t xml:space="preserve">1, or due to the </w:t>
      </w:r>
      <w:r w:rsidR="00CD41CB" w:rsidRPr="00844103">
        <w:t>PUSCH/PUCCH/PRACH</w:t>
      </w:r>
      <w:r w:rsidR="00CD41CB" w:rsidRPr="00844103">
        <w:rPr>
          <w:iCs/>
        </w:rPr>
        <w:t>/SRS</w:t>
      </w:r>
      <w:r w:rsidR="00CD41CB">
        <w:rPr>
          <w:rFonts w:hint="eastAsia"/>
          <w:iCs/>
          <w:lang w:eastAsia="zh-CN"/>
        </w:rPr>
        <w:t xml:space="preserve"> </w:t>
      </w:r>
      <w:r w:rsidR="00CD41CB" w:rsidRPr="00844103">
        <w:rPr>
          <w:iCs/>
        </w:rPr>
        <w:t>transmission</w:t>
      </w:r>
      <w:r w:rsidR="00CD41CB">
        <w:rPr>
          <w:rFonts w:hint="eastAsia"/>
          <w:iCs/>
          <w:lang w:eastAsia="zh-CN"/>
        </w:rPr>
        <w:t xml:space="preserve"> occasions are in the same slot or the gap </w:t>
      </w:r>
      <w:r w:rsidR="00CD41CB" w:rsidRPr="00CD25BC">
        <w:rPr>
          <w:iCs/>
          <w:lang w:eastAsia="zh-CN"/>
        </w:rPr>
        <w:t xml:space="preserve">between a PRACH transmission and PUSCH/PUCCH/SRS transmission </w:t>
      </w:r>
      <w:r w:rsidR="00CD41CB">
        <w:rPr>
          <w:rFonts w:hint="eastAsia"/>
          <w:iCs/>
          <w:lang w:eastAsia="zh-CN"/>
        </w:rPr>
        <w:t xml:space="preserve">is small as described </w:t>
      </w:r>
      <w:r w:rsidR="006F5F9E">
        <w:rPr>
          <w:rFonts w:hint="eastAsia"/>
          <w:iCs/>
          <w:lang w:eastAsia="zh-CN"/>
        </w:rPr>
        <w:t>in clause</w:t>
      </w:r>
      <w:r w:rsidR="00CD41CB">
        <w:rPr>
          <w:rFonts w:hint="eastAsia"/>
          <w:iCs/>
          <w:lang w:eastAsia="zh-CN"/>
        </w:rPr>
        <w:t xml:space="preserve"> 8.1,</w:t>
      </w:r>
      <w:r w:rsidR="00CD41CB">
        <w:rPr>
          <w:rFonts w:eastAsia="DengXian" w:hint="eastAsia"/>
          <w:iCs/>
          <w:lang w:eastAsia="zh-CN"/>
        </w:rPr>
        <w:t xml:space="preserve"> </w:t>
      </w:r>
      <w:r w:rsidR="003B0C82">
        <w:rPr>
          <w:rFonts w:eastAsia="DengXian" w:hint="eastAsia"/>
          <w:iCs/>
          <w:lang w:eastAsia="zh-CN"/>
        </w:rPr>
        <w:t xml:space="preserve">or due to DAPS operation as described in clause 15, </w:t>
      </w:r>
      <w:r w:rsidR="001A51E3">
        <w:rPr>
          <w:rFonts w:eastAsia="DengXian" w:hint="eastAsia"/>
          <w:iCs/>
          <w:lang w:eastAsia="zh-CN"/>
        </w:rPr>
        <w:t xml:space="preserve">or due to HD-UE operation </w:t>
      </w:r>
      <w:r w:rsidR="001A51E3">
        <w:t>in paired spectrum</w:t>
      </w:r>
      <w:r w:rsidR="001A51E3">
        <w:rPr>
          <w:rFonts w:eastAsia="DengXian" w:hint="eastAsia"/>
          <w:iCs/>
          <w:lang w:eastAsia="zh-CN"/>
        </w:rPr>
        <w:t xml:space="preserve"> as described in clause 17.2, </w:t>
      </w:r>
      <w:r w:rsidRPr="00842A2A">
        <w:rPr>
          <w:rFonts w:eastAsia="Yu Mincho"/>
          <w:lang w:eastAsia="ja-JP"/>
        </w:rPr>
        <w:t>the UE does not transmit a PRACH</w:t>
      </w:r>
      <w:r>
        <w:rPr>
          <w:rFonts w:eastAsia="Yu Mincho"/>
          <w:lang w:eastAsia="ja-JP"/>
        </w:rPr>
        <w:t xml:space="preserve"> </w:t>
      </w:r>
      <w:r w:rsidRPr="00844103">
        <w:rPr>
          <w:iCs/>
        </w:rPr>
        <w:t xml:space="preserve">in </w:t>
      </w:r>
      <w:r>
        <w:rPr>
          <w:iCs/>
        </w:rPr>
        <w:t xml:space="preserve">a </w:t>
      </w:r>
      <w:r w:rsidRPr="00844103">
        <w:rPr>
          <w:iCs/>
        </w:rPr>
        <w:t>transmission occasion</w:t>
      </w:r>
      <w:r w:rsidR="00653294">
        <w:rPr>
          <w:iCs/>
        </w:rPr>
        <w:t>,</w:t>
      </w:r>
      <w:r w:rsidR="00653294" w:rsidRPr="0028193F">
        <w:rPr>
          <w:rFonts w:eastAsia="Yu Mincho"/>
          <w:lang w:eastAsia="ja-JP"/>
        </w:rPr>
        <w:t xml:space="preserve"> </w:t>
      </w:r>
      <w:r w:rsidR="00653294">
        <w:rPr>
          <w:rFonts w:eastAsia="Yu Mincho"/>
          <w:lang w:eastAsia="ja-JP"/>
        </w:rPr>
        <w:t xml:space="preserve">or does not transmit any of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preamble</m:t>
            </m:r>
          </m:sub>
          <m:sup>
            <m:r>
              <m:rPr>
                <m:sty m:val="p"/>
              </m:rPr>
              <w:rPr>
                <w:rFonts w:ascii="Cambria Math" w:hAnsi="Cambria Math"/>
              </w:rPr>
              <m:t>rep</m:t>
            </m:r>
          </m:sup>
        </m:sSubSup>
      </m:oMath>
      <w:r w:rsidR="00653294">
        <w:rPr>
          <w:rFonts w:eastAsia="Yu Mincho"/>
        </w:rPr>
        <w:t xml:space="preserve"> </w:t>
      </w:r>
      <w:r w:rsidR="00653294">
        <w:rPr>
          <w:rFonts w:eastAsia="Yu Mincho"/>
          <w:lang w:eastAsia="ja-JP"/>
        </w:rPr>
        <w:t>preamble repetitions of a PRACH as described in Clause 8.1</w:t>
      </w:r>
      <w:r w:rsidRPr="00842A2A">
        <w:rPr>
          <w:rFonts w:eastAsia="Yu Mincho"/>
          <w:lang w:eastAsia="ja-JP"/>
        </w:rPr>
        <w:t xml:space="preserve">, Layer 1 notifies higher layers to suspend the corresponding power ramping counter. </w:t>
      </w:r>
    </w:p>
    <w:p w14:paraId="2F48101D" w14:textId="47C039B1" w:rsidR="003B3D29" w:rsidRPr="003A5BF8" w:rsidRDefault="003B3D29" w:rsidP="003A5BF8">
      <w:pPr>
        <w:spacing w:before="120"/>
        <w:rPr>
          <w:rFonts w:eastAsia="Yu Mincho"/>
          <w:lang w:eastAsia="ja-JP"/>
        </w:rPr>
      </w:pPr>
      <w:r w:rsidRPr="00842A2A">
        <w:rPr>
          <w:rFonts w:eastAsia="Yu Mincho"/>
          <w:lang w:eastAsia="ja-JP"/>
        </w:rPr>
        <w:lastRenderedPageBreak/>
        <w:t xml:space="preserve">If due to power allocation </w:t>
      </w:r>
      <w:r w:rsidRPr="00844103">
        <w:rPr>
          <w:iCs/>
        </w:rPr>
        <w:t xml:space="preserve">to </w:t>
      </w:r>
      <w:r w:rsidRPr="00844103">
        <w:t>PUSCH/PUCCH/PRACH</w:t>
      </w:r>
      <w:r w:rsidRPr="00844103">
        <w:rPr>
          <w:iCs/>
        </w:rPr>
        <w:t xml:space="preserve">/SRS transmissions as described </w:t>
      </w:r>
      <w:r w:rsidR="006F5F9E">
        <w:rPr>
          <w:iCs/>
        </w:rPr>
        <w:t>in clause</w:t>
      </w:r>
      <w:r w:rsidRPr="00844103">
        <w:rPr>
          <w:iCs/>
        </w:rPr>
        <w:t xml:space="preserve"> 7.5, </w:t>
      </w:r>
      <w:r>
        <w:rPr>
          <w:iCs/>
        </w:rPr>
        <w:t>or due to power allocation in EN-DC</w:t>
      </w:r>
      <w:r w:rsidR="006A673C" w:rsidRPr="006A673C">
        <w:rPr>
          <w:iCs/>
        </w:rPr>
        <w:t xml:space="preserve"> </w:t>
      </w:r>
      <w:r w:rsidR="006A673C">
        <w:rPr>
          <w:iCs/>
        </w:rPr>
        <w:t>or NE-DC</w:t>
      </w:r>
      <w:r w:rsidR="00B15D62" w:rsidRPr="00B15D62">
        <w:rPr>
          <w:iCs/>
        </w:rPr>
        <w:t xml:space="preserve"> </w:t>
      </w:r>
      <w:r w:rsidR="00B15D62">
        <w:rPr>
          <w:iCs/>
        </w:rPr>
        <w:t>or NR-DC</w:t>
      </w:r>
      <w:r>
        <w:rPr>
          <w:iCs/>
        </w:rPr>
        <w:t xml:space="preserve"> operation</w:t>
      </w:r>
      <w:r w:rsidR="006A673C">
        <w:rPr>
          <w:iCs/>
        </w:rPr>
        <w:t xml:space="preserve">, </w:t>
      </w:r>
      <w:r w:rsidRPr="00844103">
        <w:rPr>
          <w:rFonts w:eastAsia="Yu Mincho"/>
          <w:lang w:eastAsia="ja-JP"/>
        </w:rPr>
        <w:t>the UE transmits a PRACH with reduced power</w:t>
      </w:r>
      <w:r>
        <w:rPr>
          <w:rFonts w:eastAsia="Yu Mincho"/>
          <w:lang w:eastAsia="ja-JP"/>
        </w:rPr>
        <w:t xml:space="preserve"> </w:t>
      </w:r>
      <w:r w:rsidRPr="00844103">
        <w:rPr>
          <w:iCs/>
        </w:rPr>
        <w:t xml:space="preserve">in </w:t>
      </w:r>
      <w:r>
        <w:rPr>
          <w:iCs/>
        </w:rPr>
        <w:t xml:space="preserve">a </w:t>
      </w:r>
      <w:r w:rsidRPr="00844103">
        <w:rPr>
          <w:iCs/>
        </w:rPr>
        <w:t>transmission occasion</w:t>
      </w:r>
      <w:r w:rsidR="00653294">
        <w:rPr>
          <w:iCs/>
        </w:rPr>
        <w:t>,</w:t>
      </w:r>
      <w:r w:rsidR="00653294" w:rsidRPr="0028193F">
        <w:rPr>
          <w:rFonts w:eastAsia="Yu Mincho"/>
          <w:lang w:eastAsia="ja-JP"/>
        </w:rPr>
        <w:t xml:space="preserve"> </w:t>
      </w:r>
      <w:r w:rsidR="00653294">
        <w:rPr>
          <w:rFonts w:eastAsia="Yu Mincho"/>
          <w:lang w:eastAsia="ja-JP"/>
        </w:rPr>
        <w:t xml:space="preserve">or transmits one or more of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preamble</m:t>
            </m:r>
          </m:sub>
          <m:sup>
            <m:r>
              <m:rPr>
                <m:sty m:val="p"/>
              </m:rPr>
              <w:rPr>
                <w:rFonts w:ascii="Cambria Math" w:hAnsi="Cambria Math"/>
              </w:rPr>
              <m:t>rep</m:t>
            </m:r>
          </m:sup>
        </m:sSubSup>
      </m:oMath>
      <w:r w:rsidR="00653294">
        <w:rPr>
          <w:rFonts w:eastAsia="Yu Mincho"/>
        </w:rPr>
        <w:t xml:space="preserve"> </w:t>
      </w:r>
      <w:r w:rsidR="00653294">
        <w:rPr>
          <w:rFonts w:eastAsia="Yu Mincho"/>
          <w:lang w:eastAsia="ja-JP"/>
        </w:rPr>
        <w:t xml:space="preserve">preamble repetitions of a PRACH with reduced power or transmits less than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preamble</m:t>
            </m:r>
          </m:sub>
          <m:sup>
            <m:r>
              <m:rPr>
                <m:sty m:val="p"/>
              </m:rPr>
              <w:rPr>
                <w:rFonts w:ascii="Cambria Math" w:hAnsi="Cambria Math"/>
              </w:rPr>
              <m:t>rep</m:t>
            </m:r>
          </m:sup>
        </m:sSubSup>
      </m:oMath>
      <w:r w:rsidR="00653294">
        <w:rPr>
          <w:rFonts w:eastAsia="Yu Mincho"/>
          <w:lang w:eastAsia="ja-JP"/>
        </w:rPr>
        <w:t xml:space="preserve"> preamble repetitions of a PRACH</w:t>
      </w:r>
      <w:r w:rsidRPr="00844103">
        <w:rPr>
          <w:rFonts w:eastAsia="Yu Mincho"/>
          <w:lang w:eastAsia="ja-JP"/>
        </w:rPr>
        <w:t>, Layer 1 may notify higher layers to suspend the corresponding power ramping counter.</w:t>
      </w:r>
    </w:p>
    <w:p w14:paraId="7A9EFB2E" w14:textId="77777777" w:rsidR="00E072F9" w:rsidRPr="00B916EC" w:rsidRDefault="00E072F9" w:rsidP="004C3D45">
      <w:pPr>
        <w:pStyle w:val="Heading2"/>
      </w:pPr>
      <w:bookmarkStart w:id="227" w:name="_Toc12021452"/>
      <w:bookmarkStart w:id="228" w:name="_Toc20311564"/>
      <w:bookmarkStart w:id="229" w:name="_Toc26719389"/>
      <w:bookmarkStart w:id="230" w:name="_Toc29894820"/>
      <w:bookmarkStart w:id="231" w:name="_Toc29899119"/>
      <w:bookmarkStart w:id="232" w:name="_Toc29899537"/>
      <w:bookmarkStart w:id="233" w:name="_Toc29917274"/>
      <w:bookmarkStart w:id="234" w:name="_Toc36498148"/>
      <w:bookmarkStart w:id="235" w:name="_Toc45699174"/>
      <w:bookmarkStart w:id="236" w:name="_Toc161999099"/>
      <w:r w:rsidRPr="00B916EC">
        <w:t>7.5</w:t>
      </w:r>
      <w:r w:rsidR="007D5A3F">
        <w:tab/>
      </w:r>
      <w:r w:rsidR="005F3259">
        <w:t>Prioritizations for transmission power reductions</w:t>
      </w:r>
      <w:bookmarkEnd w:id="227"/>
      <w:bookmarkEnd w:id="228"/>
      <w:bookmarkEnd w:id="229"/>
      <w:bookmarkEnd w:id="230"/>
      <w:bookmarkEnd w:id="231"/>
      <w:bookmarkEnd w:id="232"/>
      <w:bookmarkEnd w:id="233"/>
      <w:bookmarkEnd w:id="234"/>
      <w:bookmarkEnd w:id="235"/>
      <w:bookmarkEnd w:id="236"/>
    </w:p>
    <w:p w14:paraId="7AF2446D" w14:textId="77777777" w:rsidR="00764F3A" w:rsidRDefault="005F3259" w:rsidP="00764F3A">
      <w:pPr>
        <w:rPr>
          <w:iCs/>
        </w:rPr>
      </w:pPr>
      <w:r>
        <w:t xml:space="preserve">For single cell operation with two </w:t>
      </w:r>
      <w:r w:rsidR="00DF291E">
        <w:t xml:space="preserve">uplink </w:t>
      </w:r>
      <w:r>
        <w:t>carriers or for operation with carrier aggregation, if</w:t>
      </w:r>
      <w:r w:rsidR="00205B50" w:rsidRPr="00B916EC">
        <w:t xml:space="preserve"> a</w:t>
      </w:r>
      <w:r w:rsidR="00205B50" w:rsidRPr="00B916EC">
        <w:rPr>
          <w:iCs/>
        </w:rPr>
        <w:t xml:space="preserve"> total UE transmit power </w:t>
      </w:r>
      <w:r w:rsidR="0017444F" w:rsidRPr="00B916EC">
        <w:rPr>
          <w:iCs/>
        </w:rPr>
        <w:t>for PUSCH or PUCCH or PRACH or SRS transmission</w:t>
      </w:r>
      <w:r w:rsidR="00542CF6">
        <w:rPr>
          <w:iCs/>
        </w:rPr>
        <w:t>s on serving cells in a frequency range</w:t>
      </w:r>
      <w:r w:rsidR="0017444F" w:rsidRPr="00B916EC">
        <w:rPr>
          <w:iCs/>
        </w:rPr>
        <w:t xml:space="preserve"> </w:t>
      </w:r>
      <w:r w:rsidR="00205B50" w:rsidRPr="00B916EC">
        <w:rPr>
          <w:iCs/>
        </w:rPr>
        <w:t xml:space="preserve">in </w:t>
      </w:r>
      <w:r w:rsidR="0017444F" w:rsidRPr="00B916EC">
        <w:rPr>
          <w:iCs/>
        </w:rPr>
        <w:t xml:space="preserve">a respective </w:t>
      </w:r>
      <w:r w:rsidR="00E63D37" w:rsidRPr="00B916EC">
        <w:rPr>
          <w:iCs/>
        </w:rPr>
        <w:t xml:space="preserve">transmission </w:t>
      </w:r>
      <w:r w:rsidR="00E63D37">
        <w:rPr>
          <w:iCs/>
        </w:rPr>
        <w:t>occasion</w:t>
      </w:r>
      <w:r w:rsidR="00E63D37" w:rsidRPr="00B916EC">
        <w:rPr>
          <w:iCs/>
        </w:rPr>
        <w:t xml:space="preserve"> </w:t>
      </w:r>
      <m:oMath>
        <m:r>
          <w:rPr>
            <w:rFonts w:ascii="Cambria Math" w:hAnsi="Cambria Math"/>
          </w:rPr>
          <m:t>i</m:t>
        </m:r>
      </m:oMath>
      <w:r w:rsidR="00E63D37" w:rsidRPr="00B916EC">
        <w:rPr>
          <w:iCs/>
        </w:rPr>
        <w:t xml:space="preserve"> would exceed </w:t>
      </w:r>
      <m:oMath>
        <m:sSub>
          <m:sSubPr>
            <m:ctrlPr>
              <w:rPr>
                <w:rFonts w:ascii="Cambria Math" w:hAnsi="Cambria Math"/>
                <w:i/>
              </w:rPr>
            </m:ctrlPr>
          </m:sSubPr>
          <m:e>
            <m:acc>
              <m:accPr>
                <m:ctrlPr>
                  <w:rPr>
                    <w:rFonts w:ascii="Cambria Math" w:hAnsi="Cambria Math"/>
                    <w:i/>
                  </w:rPr>
                </m:ctrlPr>
              </m:accPr>
              <m:e>
                <m:r>
                  <w:rPr>
                    <w:rFonts w:ascii="Cambria Math"/>
                  </w:rPr>
                  <m:t>P</m:t>
                </m:r>
              </m:e>
            </m:acc>
          </m:e>
          <m:sub>
            <m:r>
              <m:rPr>
                <m:sty m:val="p"/>
              </m:rPr>
              <w:rPr>
                <w:rFonts w:ascii="Cambria Math" w:hAnsi="Cambria Math"/>
              </w:rPr>
              <m:t>CMAX</m:t>
            </m:r>
          </m:sub>
        </m:sSub>
        <m:r>
          <w:rPr>
            <w:rFonts w:ascii="Cambria Math" w:hAnsi="Cambria Math"/>
          </w:rPr>
          <m:t>(i)</m:t>
        </m:r>
      </m:oMath>
      <w:r w:rsidR="00E63D37" w:rsidRPr="00B916EC">
        <w:rPr>
          <w:iCs/>
        </w:rPr>
        <w:t xml:space="preserve">, </w:t>
      </w:r>
      <w:r w:rsidR="00E63D37">
        <w:rPr>
          <w:iCs/>
        </w:rPr>
        <w:t xml:space="preserve">where </w:t>
      </w:r>
      <m:oMath>
        <m:sSub>
          <m:sSubPr>
            <m:ctrlPr>
              <w:rPr>
                <w:rFonts w:ascii="Cambria Math" w:hAnsi="Cambria Math"/>
                <w:i/>
              </w:rPr>
            </m:ctrlPr>
          </m:sSubPr>
          <m:e>
            <m:acc>
              <m:accPr>
                <m:ctrlPr>
                  <w:rPr>
                    <w:rFonts w:ascii="Cambria Math" w:hAnsi="Cambria Math"/>
                    <w:i/>
                  </w:rPr>
                </m:ctrlPr>
              </m:accPr>
              <m:e>
                <m:r>
                  <w:rPr>
                    <w:rFonts w:ascii="Cambria Math"/>
                  </w:rPr>
                  <m:t>P</m:t>
                </m:r>
              </m:e>
            </m:acc>
          </m:e>
          <m:sub>
            <m:r>
              <m:rPr>
                <m:sty m:val="p"/>
              </m:rPr>
              <w:rPr>
                <w:rFonts w:ascii="Cambria Math" w:hAnsi="Cambria Math"/>
              </w:rPr>
              <m:t>CMAX</m:t>
            </m:r>
          </m:sub>
        </m:sSub>
        <m:r>
          <w:rPr>
            <w:rFonts w:ascii="Cambria Math" w:hAnsi="Cambria Math"/>
          </w:rPr>
          <m:t>(i)</m:t>
        </m:r>
      </m:oMath>
      <w:r w:rsidR="00E63D37">
        <w:rPr>
          <w:iCs/>
        </w:rPr>
        <w:t xml:space="preserve"> is the linear value of </w:t>
      </w:r>
      <m:oMath>
        <m:sSub>
          <m:sSubPr>
            <m:ctrlPr>
              <w:rPr>
                <w:rFonts w:ascii="Cambria Math" w:hAnsi="Cambria Math"/>
                <w:i/>
              </w:rPr>
            </m:ctrlPr>
          </m:sSubPr>
          <m:e>
            <m:r>
              <w:rPr>
                <w:rFonts w:ascii="Cambria Math" w:hAnsi="Cambria Math"/>
              </w:rPr>
              <m:t>P</m:t>
            </m:r>
          </m:e>
          <m:sub>
            <m:r>
              <m:rPr>
                <m:sty m:val="p"/>
              </m:rPr>
              <w:rPr>
                <w:rFonts w:ascii="Cambria Math" w:hAnsi="Cambria Math"/>
              </w:rPr>
              <m:t>CMAX</m:t>
            </m:r>
          </m:sub>
        </m:sSub>
        <m:r>
          <w:rPr>
            <w:rFonts w:ascii="Cambria Math" w:hAnsi="Cambria Math"/>
          </w:rPr>
          <m:t>(i)</m:t>
        </m:r>
      </m:oMath>
      <w:r w:rsidR="00E63D37">
        <w:rPr>
          <w:iCs/>
        </w:rPr>
        <w:t xml:space="preserve"> in </w:t>
      </w:r>
      <w:r w:rsidR="00E63D37" w:rsidRPr="00B916EC">
        <w:rPr>
          <w:iCs/>
        </w:rPr>
        <w:t xml:space="preserve">transmission </w:t>
      </w:r>
      <w:r w:rsidR="00E63D37">
        <w:rPr>
          <w:iCs/>
        </w:rPr>
        <w:t>occasion</w:t>
      </w:r>
      <w:r w:rsidR="00E63D37" w:rsidRPr="00B916EC">
        <w:rPr>
          <w:iCs/>
        </w:rPr>
        <w:t xml:space="preserve"> </w:t>
      </w:r>
      <m:oMath>
        <m:r>
          <w:rPr>
            <w:rFonts w:ascii="Cambria Math" w:hAnsi="Cambria Math"/>
          </w:rPr>
          <m:t>i</m:t>
        </m:r>
      </m:oMath>
      <w:r w:rsidR="00E63D37">
        <w:rPr>
          <w:iCs/>
        </w:rPr>
        <w:t xml:space="preserve"> as defined</w:t>
      </w:r>
      <w:r>
        <w:rPr>
          <w:iCs/>
        </w:rPr>
        <w:t xml:space="preserve"> in [8-1, TS 38.101-1] </w:t>
      </w:r>
      <w:r w:rsidR="00542CF6">
        <w:rPr>
          <w:iCs/>
        </w:rPr>
        <w:t xml:space="preserve">for FR1 </w:t>
      </w:r>
      <w:r>
        <w:rPr>
          <w:lang w:val="en-US"/>
        </w:rPr>
        <w:t xml:space="preserve">and [8-2, </w:t>
      </w:r>
      <w:r w:rsidR="00295E42">
        <w:rPr>
          <w:lang w:val="en-US"/>
        </w:rPr>
        <w:t>TS 38.</w:t>
      </w:r>
      <w:r>
        <w:rPr>
          <w:lang w:val="en-US"/>
        </w:rPr>
        <w:t>101-2]</w:t>
      </w:r>
      <w:r w:rsidR="00542CF6" w:rsidRPr="00542CF6">
        <w:rPr>
          <w:iCs/>
        </w:rPr>
        <w:t xml:space="preserve"> </w:t>
      </w:r>
      <w:r w:rsidR="00542CF6">
        <w:rPr>
          <w:iCs/>
        </w:rPr>
        <w:t>for FR2</w:t>
      </w:r>
      <w:r>
        <w:rPr>
          <w:iCs/>
        </w:rPr>
        <w:t>,</w:t>
      </w:r>
      <w:r w:rsidRPr="00B916EC">
        <w:rPr>
          <w:iCs/>
        </w:rPr>
        <w:t xml:space="preserve"> </w:t>
      </w:r>
      <w:r w:rsidR="00205B50" w:rsidRPr="00B916EC">
        <w:rPr>
          <w:iCs/>
        </w:rPr>
        <w:t xml:space="preserve">the UE allocates power to </w:t>
      </w:r>
      <w:r w:rsidR="00205B50" w:rsidRPr="00B916EC">
        <w:t>PUSCH/PUCCH/PRACH</w:t>
      </w:r>
      <w:r w:rsidR="00205B50" w:rsidRPr="00B916EC">
        <w:rPr>
          <w:iCs/>
        </w:rPr>
        <w:t xml:space="preserve">/SRS transmissions according to the following priority order (in descending order) so that the total UE transmit power </w:t>
      </w:r>
      <w:r w:rsidR="00542CF6">
        <w:rPr>
          <w:iCs/>
        </w:rPr>
        <w:t xml:space="preserve">for transmissions on serving cells in the frequency range </w:t>
      </w:r>
      <w:r w:rsidR="00205B50" w:rsidRPr="00B916EC">
        <w:rPr>
          <w:iCs/>
        </w:rPr>
        <w:t xml:space="preserve">is smaller than or equal </w:t>
      </w:r>
      <w:r>
        <w:rPr>
          <w:iCs/>
        </w:rPr>
        <w:t>to</w:t>
      </w:r>
      <w:r w:rsidRPr="00B916EC">
        <w:rPr>
          <w:iCs/>
        </w:rPr>
        <w:t xml:space="preserve"> </w:t>
      </w:r>
      <m:oMath>
        <m:sSub>
          <m:sSubPr>
            <m:ctrlPr>
              <w:rPr>
                <w:rFonts w:ascii="Cambria Math" w:hAnsi="Cambria Math"/>
                <w:i/>
              </w:rPr>
            </m:ctrlPr>
          </m:sSubPr>
          <m:e>
            <m:acc>
              <m:accPr>
                <m:ctrlPr>
                  <w:rPr>
                    <w:rFonts w:ascii="Cambria Math" w:hAnsi="Cambria Math"/>
                    <w:i/>
                  </w:rPr>
                </m:ctrlPr>
              </m:accPr>
              <m:e>
                <m:r>
                  <w:rPr>
                    <w:rFonts w:ascii="Cambria Math"/>
                  </w:rPr>
                  <m:t>P</m:t>
                </m:r>
              </m:e>
            </m:acc>
          </m:e>
          <m:sub>
            <m:r>
              <m:rPr>
                <m:sty m:val="p"/>
              </m:rPr>
              <w:rPr>
                <w:rFonts w:ascii="Cambria Math" w:hAnsi="Cambria Math"/>
              </w:rPr>
              <m:t>CMAX</m:t>
            </m:r>
          </m:sub>
        </m:sSub>
        <m:r>
          <w:rPr>
            <w:rFonts w:ascii="Cambria Math" w:hAnsi="Cambria Math"/>
          </w:rPr>
          <m:t>(i)</m:t>
        </m:r>
      </m:oMath>
      <w:r w:rsidR="0017444F" w:rsidRPr="00B916EC">
        <w:rPr>
          <w:iCs/>
        </w:rPr>
        <w:t xml:space="preserve"> </w:t>
      </w:r>
      <w:r w:rsidR="00542CF6">
        <w:rPr>
          <w:iCs/>
        </w:rPr>
        <w:t xml:space="preserve">for that frequency range </w:t>
      </w:r>
      <w:r w:rsidR="0017444F" w:rsidRPr="00B916EC">
        <w:rPr>
          <w:iCs/>
        </w:rPr>
        <w:t xml:space="preserve">in every symbol of transmission </w:t>
      </w:r>
      <w:r w:rsidR="00DF291E">
        <w:rPr>
          <w:iCs/>
        </w:rPr>
        <w:t>occasion</w:t>
      </w:r>
      <w:r w:rsidR="0017444F" w:rsidRPr="00B916EC">
        <w:rPr>
          <w:iCs/>
        </w:rPr>
        <w:t xml:space="preserve"> </w:t>
      </w:r>
      <m:oMath>
        <m:r>
          <w:rPr>
            <w:rFonts w:ascii="Cambria Math" w:hAnsi="Cambria Math"/>
          </w:rPr>
          <m:t>i</m:t>
        </m:r>
      </m:oMath>
      <w:r w:rsidR="00205B50" w:rsidRPr="00B916EC">
        <w:rPr>
          <w:iCs/>
        </w:rPr>
        <w:t xml:space="preserve">. </w:t>
      </w:r>
      <w:r w:rsidR="00764F3A">
        <w:rPr>
          <w:lang w:eastAsia="zh-CN"/>
        </w:rPr>
        <w:t xml:space="preserve">If the UE transmits SRS on multiple SRS resources according the </w:t>
      </w:r>
      <w:r w:rsidR="00764F3A" w:rsidRPr="00E63B1D">
        <w:rPr>
          <w:i/>
          <w:iCs/>
          <w:lang w:eastAsia="zh-CN"/>
        </w:rPr>
        <w:t>XYZ</w:t>
      </w:r>
      <w:r w:rsidR="00764F3A">
        <w:rPr>
          <w:lang w:eastAsia="zh-CN"/>
        </w:rPr>
        <w:t xml:space="preserve"> [6, TS 38.214]</w:t>
      </w:r>
      <w:r w:rsidR="00764F3A">
        <w:rPr>
          <w:iCs/>
          <w:lang w:eastAsia="zh-CN"/>
        </w:rPr>
        <w:t>, the UE allocates power so that all REs of the SRS transmission have same power.</w:t>
      </w:r>
    </w:p>
    <w:p w14:paraId="4016FAF6" w14:textId="3B38023C" w:rsidR="00205B50" w:rsidRDefault="00E63D37" w:rsidP="00205B50">
      <w:pPr>
        <w:rPr>
          <w:iCs/>
        </w:rPr>
      </w:pPr>
      <w:r>
        <w:rPr>
          <w:iCs/>
        </w:rPr>
        <w:t xml:space="preserve">For the purpose of power allocation in this clause, if a UE is provided </w:t>
      </w:r>
      <w:r w:rsidR="00E761DC" w:rsidRPr="00865261">
        <w:rPr>
          <w:i/>
          <w:iCs/>
        </w:rPr>
        <w:t>uci</w:t>
      </w:r>
      <w:r w:rsidR="00E761DC" w:rsidRPr="00E6011E">
        <w:rPr>
          <w:i/>
          <w:iCs/>
        </w:rPr>
        <w:t>-MuxWithDiffPrio</w:t>
      </w:r>
      <w:r>
        <w:rPr>
          <w:lang w:eastAsia="zh-CN"/>
        </w:rPr>
        <w:t xml:space="preserve"> and the UE multiplexes HARQ-ACK information in a PUSCH, a priority index of the PUSCH is the larger of (a) the priority index of the PUSCH according to clause 9 and (b) the larger priority index of the HARQ-ACK information. </w:t>
      </w:r>
      <w:r w:rsidR="005F3259">
        <w:rPr>
          <w:iCs/>
        </w:rPr>
        <w:t xml:space="preserve">When determining a total transmit power </w:t>
      </w:r>
      <w:r w:rsidR="00542CF6">
        <w:rPr>
          <w:iCs/>
        </w:rPr>
        <w:t xml:space="preserve">for serving cells in a frequency range </w:t>
      </w:r>
      <w:r w:rsidR="005F3259">
        <w:rPr>
          <w:iCs/>
        </w:rPr>
        <w:t xml:space="preserve">in a symbol of </w:t>
      </w:r>
      <w:r w:rsidR="005F3259" w:rsidRPr="00B916EC">
        <w:rPr>
          <w:iCs/>
        </w:rPr>
        <w:t xml:space="preserve">transmission </w:t>
      </w:r>
      <w:r w:rsidR="00DF291E">
        <w:rPr>
          <w:iCs/>
        </w:rPr>
        <w:t>occasion</w:t>
      </w:r>
      <w:r w:rsidR="005F3259" w:rsidRPr="00B916EC">
        <w:rPr>
          <w:iCs/>
        </w:rPr>
        <w:t xml:space="preserve"> </w:t>
      </w:r>
      <m:oMath>
        <m:r>
          <w:rPr>
            <w:rFonts w:ascii="Cambria Math" w:hAnsi="Cambria Math"/>
          </w:rPr>
          <m:t>i</m:t>
        </m:r>
      </m:oMath>
      <w:r w:rsidR="005F3259">
        <w:rPr>
          <w:iCs/>
        </w:rPr>
        <w:t xml:space="preserve">, the UE does not include power for transmissions starting after the symbol of </w:t>
      </w:r>
      <w:r w:rsidR="005F3259" w:rsidRPr="00B916EC">
        <w:rPr>
          <w:iCs/>
        </w:rPr>
        <w:t xml:space="preserve">transmission </w:t>
      </w:r>
      <w:r w:rsidR="00DF291E">
        <w:rPr>
          <w:iCs/>
        </w:rPr>
        <w:t>occasion</w:t>
      </w:r>
      <w:r w:rsidR="005F3259" w:rsidRPr="00B916EC">
        <w:rPr>
          <w:iCs/>
        </w:rPr>
        <w:t xml:space="preserve"> </w:t>
      </w:r>
      <m:oMath>
        <m:r>
          <w:rPr>
            <w:rFonts w:ascii="Cambria Math" w:hAnsi="Cambria Math"/>
          </w:rPr>
          <m:t>i</m:t>
        </m:r>
      </m:oMath>
      <w:r w:rsidR="005F3259">
        <w:rPr>
          <w:iCs/>
        </w:rPr>
        <w:t xml:space="preserve">. </w:t>
      </w:r>
      <w:r w:rsidR="00205B50" w:rsidRPr="00B916EC">
        <w:rPr>
          <w:iCs/>
        </w:rPr>
        <w:t>The total UE transmit power</w:t>
      </w:r>
      <w:r w:rsidR="003F6F6B">
        <w:rPr>
          <w:iCs/>
        </w:rPr>
        <w:t xml:space="preserve"> in a symbol of a slot</w:t>
      </w:r>
      <w:r w:rsidR="00205B50" w:rsidRPr="00B916EC">
        <w:rPr>
          <w:iCs/>
        </w:rPr>
        <w:t xml:space="preserve"> is defined as the sum of the linear values of UE transmit powers for PUSCH, PUCCH, PRACH, and SRS</w:t>
      </w:r>
      <w:r w:rsidR="003F6F6B">
        <w:rPr>
          <w:iCs/>
        </w:rPr>
        <w:t xml:space="preserve"> in the symbol of the slot</w:t>
      </w:r>
      <w:r w:rsidR="00205B50" w:rsidRPr="00B916EC">
        <w:rPr>
          <w:iCs/>
        </w:rPr>
        <w:t xml:space="preserve">. </w:t>
      </w:r>
    </w:p>
    <w:p w14:paraId="57063711" w14:textId="168F1730" w:rsidR="00290476" w:rsidRPr="00290476" w:rsidRDefault="00290476" w:rsidP="00290476">
      <w:pPr>
        <w:pStyle w:val="B1"/>
      </w:pPr>
      <w:r w:rsidRPr="00290476">
        <w:t>-</w:t>
      </w:r>
      <w:r w:rsidRPr="00290476">
        <w:tab/>
        <w:t>PRACH transmission on a candidate cell, if any, as described in Clause 21</w:t>
      </w:r>
    </w:p>
    <w:p w14:paraId="4CA694E5" w14:textId="1DADA156" w:rsidR="00205B50" w:rsidRDefault="006C377F" w:rsidP="006C377F">
      <w:pPr>
        <w:pStyle w:val="B1"/>
      </w:pPr>
      <w:r>
        <w:t>-</w:t>
      </w:r>
      <w:r>
        <w:tab/>
      </w:r>
      <w:r w:rsidR="00205B50" w:rsidRPr="00B916EC">
        <w:t xml:space="preserve">PRACH transmission on the </w:t>
      </w:r>
      <w:r w:rsidR="00DC296D" w:rsidRPr="00B916EC">
        <w:t>P</w:t>
      </w:r>
      <w:r w:rsidR="00DC296D">
        <w:rPr>
          <w:lang w:val="en-US"/>
        </w:rPr>
        <w:t>C</w:t>
      </w:r>
      <w:r w:rsidR="00DC296D" w:rsidRPr="00B916EC">
        <w:t>ell</w:t>
      </w:r>
    </w:p>
    <w:p w14:paraId="10BD55C0" w14:textId="6D709C9B" w:rsidR="001B4D2B" w:rsidRDefault="001B4D2B" w:rsidP="001B4D2B">
      <w:pPr>
        <w:pStyle w:val="B1"/>
      </w:pPr>
      <w:r>
        <w:t>-</w:t>
      </w:r>
      <w:r>
        <w:tab/>
      </w:r>
      <w:r>
        <w:rPr>
          <w:lang w:val="en-US"/>
        </w:rPr>
        <w:t>PUCCH or PUSCH transmissions</w:t>
      </w:r>
      <w:r>
        <w:t xml:space="preserve"> with </w:t>
      </w:r>
      <w:r w:rsidR="00E63D37">
        <w:rPr>
          <w:lang w:val="en-US"/>
        </w:rPr>
        <w:t>larger</w:t>
      </w:r>
      <w:r>
        <w:t xml:space="preserve"> priority index </w:t>
      </w:r>
    </w:p>
    <w:p w14:paraId="1810EDC8" w14:textId="2FCA34A4" w:rsidR="001B4D2B" w:rsidRPr="00B916EC" w:rsidRDefault="001B4D2B" w:rsidP="006C377F">
      <w:pPr>
        <w:pStyle w:val="B1"/>
      </w:pPr>
      <w:r>
        <w:t>-</w:t>
      </w:r>
      <w:r>
        <w:tab/>
      </w:r>
      <w:r>
        <w:rPr>
          <w:lang w:val="en-US"/>
        </w:rPr>
        <w:t>For PUCCH or PUSCH transmissions</w:t>
      </w:r>
      <w:r>
        <w:t xml:space="preserve"> with </w:t>
      </w:r>
      <w:r>
        <w:rPr>
          <w:lang w:val="en-US"/>
        </w:rPr>
        <w:t>same</w:t>
      </w:r>
      <w:r>
        <w:t xml:space="preserve"> priority inde</w:t>
      </w:r>
      <w:r>
        <w:rPr>
          <w:lang w:val="en-US"/>
        </w:rPr>
        <w:t>x</w:t>
      </w:r>
      <w:r>
        <w:t xml:space="preserve"> </w:t>
      </w:r>
    </w:p>
    <w:p w14:paraId="2DAAF3C1" w14:textId="34C5ED64" w:rsidR="00205B50" w:rsidRPr="001322F1" w:rsidRDefault="006C377F" w:rsidP="00A173BC">
      <w:pPr>
        <w:pStyle w:val="B2"/>
        <w:rPr>
          <w:lang w:val="en-US"/>
        </w:rPr>
      </w:pPr>
      <w:r>
        <w:t>-</w:t>
      </w:r>
      <w:r>
        <w:tab/>
      </w:r>
      <w:r w:rsidR="00205B50" w:rsidRPr="00B916EC">
        <w:t xml:space="preserve">PUCCH transmission with </w:t>
      </w:r>
      <w:r w:rsidR="00DF291E">
        <w:rPr>
          <w:lang w:val="en-US"/>
        </w:rPr>
        <w:t>HARQ-ACK information</w:t>
      </w:r>
      <w:r w:rsidR="00E918B2">
        <w:rPr>
          <w:lang w:val="en-US"/>
        </w:rPr>
        <w:t>,</w:t>
      </w:r>
      <w:r w:rsidR="00DF291E">
        <w:rPr>
          <w:lang w:val="en-US"/>
        </w:rPr>
        <w:t xml:space="preserve"> and/or SR</w:t>
      </w:r>
      <w:r w:rsidR="007647E7">
        <w:rPr>
          <w:lang w:val="en-US"/>
        </w:rPr>
        <w:t>, and/or LRR,</w:t>
      </w:r>
      <w:r w:rsidR="00205B50" w:rsidRPr="00B916EC">
        <w:t xml:space="preserve"> or PUSCH transmission with HARQ-ACK</w:t>
      </w:r>
      <w:r w:rsidR="00DF291E">
        <w:rPr>
          <w:lang w:val="en-US"/>
        </w:rPr>
        <w:t xml:space="preserve"> information</w:t>
      </w:r>
      <w:r w:rsidR="00E63D37">
        <w:rPr>
          <w:lang w:val="en-US"/>
        </w:rPr>
        <w:t xml:space="preserve"> of the priority index</w:t>
      </w:r>
    </w:p>
    <w:p w14:paraId="1255EF6F" w14:textId="77777777" w:rsidR="00205B50" w:rsidRPr="00B916EC" w:rsidRDefault="006C377F" w:rsidP="00A173BC">
      <w:pPr>
        <w:pStyle w:val="B2"/>
      </w:pPr>
      <w:r>
        <w:t>-</w:t>
      </w:r>
      <w:r>
        <w:tab/>
      </w:r>
      <w:r w:rsidR="00205B50" w:rsidRPr="00B916EC">
        <w:t>PUCCH transmission with CSI or PUSCH transmission with CSI</w:t>
      </w:r>
    </w:p>
    <w:p w14:paraId="05CF3145" w14:textId="0514275E" w:rsidR="00205B50" w:rsidRPr="00B916EC" w:rsidRDefault="006C377F" w:rsidP="00A173BC">
      <w:pPr>
        <w:pStyle w:val="B2"/>
      </w:pPr>
      <w:r>
        <w:t>-</w:t>
      </w:r>
      <w:r>
        <w:tab/>
      </w:r>
      <w:r w:rsidR="00205B50" w:rsidRPr="00B916EC">
        <w:t>PUSCH transmission without HARQ-ACK</w:t>
      </w:r>
      <w:r w:rsidR="00DF291E" w:rsidRPr="00DF291E">
        <w:rPr>
          <w:lang w:val="en-US"/>
        </w:rPr>
        <w:t xml:space="preserve"> </w:t>
      </w:r>
      <w:r w:rsidR="00DF291E">
        <w:rPr>
          <w:lang w:val="en-US"/>
        </w:rPr>
        <w:t>information</w:t>
      </w:r>
      <w:r w:rsidR="00205B50" w:rsidRPr="00B916EC">
        <w:t xml:space="preserve"> </w:t>
      </w:r>
      <w:r w:rsidR="00E63D37">
        <w:rPr>
          <w:lang w:val="en-US"/>
        </w:rPr>
        <w:t>of the priority index</w:t>
      </w:r>
      <w:r w:rsidR="00E63D37" w:rsidRPr="00B916EC">
        <w:t xml:space="preserve"> </w:t>
      </w:r>
      <w:r w:rsidR="00205B50" w:rsidRPr="00B916EC">
        <w:t>or CSI</w:t>
      </w:r>
      <w:r w:rsidR="003D050B">
        <w:t xml:space="preserve"> and, for Type-2 random access procedure, PUSCH </w:t>
      </w:r>
      <w:r w:rsidR="003D050B" w:rsidRPr="00B916EC">
        <w:t>transmission on the PCell</w:t>
      </w:r>
    </w:p>
    <w:p w14:paraId="44D3286F" w14:textId="77777777" w:rsidR="00D045C3" w:rsidRPr="00D045C3" w:rsidRDefault="00D045C3" w:rsidP="00D045C3">
      <w:pPr>
        <w:pStyle w:val="B1"/>
      </w:pPr>
      <w:r w:rsidRPr="00D045C3">
        <w:rPr>
          <w:lang w:val="en-US"/>
        </w:rPr>
        <w:t>-</w:t>
      </w:r>
      <w:r w:rsidRPr="00D045C3">
        <w:rPr>
          <w:lang w:val="en-US"/>
        </w:rPr>
        <w:tab/>
        <w:t>I</w:t>
      </w:r>
      <w:r w:rsidRPr="00D045C3">
        <w:t>f the UE is configured with prioSCellPRACH-OverSP-PeriodicSRS-r17</w:t>
      </w:r>
    </w:p>
    <w:p w14:paraId="73C2F121" w14:textId="77777777" w:rsidR="00D045C3" w:rsidRPr="00D045C3" w:rsidRDefault="00D045C3" w:rsidP="00D045C3">
      <w:pPr>
        <w:pStyle w:val="B2"/>
      </w:pPr>
      <w:r w:rsidRPr="00D045C3">
        <w:t>-</w:t>
      </w:r>
      <w:r w:rsidRPr="00D045C3">
        <w:tab/>
      </w:r>
      <w:r w:rsidRPr="00D045C3">
        <w:rPr>
          <w:lang w:val="en-US"/>
        </w:rPr>
        <w:t>Aperiodic SRS transmission</w:t>
      </w:r>
      <w:r w:rsidRPr="00D045C3">
        <w:t xml:space="preserve"> or PRACH transmission on a serving cell other than the PCell </w:t>
      </w:r>
    </w:p>
    <w:p w14:paraId="18A971C8" w14:textId="77777777" w:rsidR="00D045C3" w:rsidRPr="00D045C3" w:rsidRDefault="00D045C3" w:rsidP="00D045C3">
      <w:pPr>
        <w:pStyle w:val="B2"/>
      </w:pPr>
      <w:r w:rsidRPr="00D045C3">
        <w:t>-</w:t>
      </w:r>
      <w:r w:rsidRPr="00D045C3">
        <w:tab/>
        <w:t>Semi-persistent and/or periodic SRS transmission</w:t>
      </w:r>
    </w:p>
    <w:p w14:paraId="55AA2893" w14:textId="377EC39F" w:rsidR="00D045C3" w:rsidRDefault="00D045C3" w:rsidP="00D045C3">
      <w:pPr>
        <w:pStyle w:val="B1"/>
      </w:pPr>
      <w:r w:rsidRPr="00D045C3">
        <w:rPr>
          <w:lang w:val="en-GB"/>
        </w:rPr>
        <w:t>-</w:t>
      </w:r>
      <w:r w:rsidRPr="00D045C3">
        <w:rPr>
          <w:lang w:val="en-GB"/>
        </w:rPr>
        <w:tab/>
      </w:r>
      <w:r w:rsidRPr="00D045C3">
        <w:t>otherwise</w:t>
      </w:r>
      <w:r w:rsidRPr="00D045C3">
        <w:rPr>
          <w:lang w:val="en-GB"/>
        </w:rPr>
        <w:t>,</w:t>
      </w:r>
    </w:p>
    <w:p w14:paraId="78A1E387" w14:textId="29DB1B11" w:rsidR="00DF291E" w:rsidRDefault="006C377F" w:rsidP="00D045C3">
      <w:pPr>
        <w:pStyle w:val="B2"/>
      </w:pPr>
      <w:r>
        <w:t>-</w:t>
      </w:r>
      <w:r>
        <w:tab/>
      </w:r>
      <w:r w:rsidR="00205B50" w:rsidRPr="00B916EC">
        <w:t>SRS transmission</w:t>
      </w:r>
      <w:r w:rsidR="005F3259">
        <w:t>, with aperiodic SRS having higher priority than semi-persistent and/or periodic SRS,</w:t>
      </w:r>
      <w:r w:rsidR="00205B50" w:rsidRPr="00B916EC">
        <w:t xml:space="preserve"> or PRACH transmission on a serving cell other than the PCell</w:t>
      </w:r>
      <w:r w:rsidR="00DF291E" w:rsidRPr="00DF291E">
        <w:t xml:space="preserve"> </w:t>
      </w:r>
    </w:p>
    <w:p w14:paraId="75A2AC79" w14:textId="77777777" w:rsidR="00326F68" w:rsidRPr="00B916EC" w:rsidRDefault="00DF291E" w:rsidP="003F6F6B">
      <w:r w:rsidRPr="00B916EC">
        <w:t>In case of same priority order</w:t>
      </w:r>
      <w:r>
        <w:t xml:space="preserve"> and for operation with carrier aggregation</w:t>
      </w:r>
      <w:r w:rsidRPr="00B916EC">
        <w:t xml:space="preserve">, </w:t>
      </w:r>
      <w:r>
        <w:rPr>
          <w:lang w:val="en-US"/>
        </w:rPr>
        <w:t xml:space="preserve">the UE prioritizes power allocation for </w:t>
      </w:r>
      <w:r w:rsidRPr="00B916EC">
        <w:t>transmission</w:t>
      </w:r>
      <w:r>
        <w:rPr>
          <w:lang w:val="en-US"/>
        </w:rPr>
        <w:t>s</w:t>
      </w:r>
      <w:r w:rsidRPr="00B916EC">
        <w:t xml:space="preserve"> on the primary cell of t</w:t>
      </w:r>
      <w:r>
        <w:t>he MCG or the SCG</w:t>
      </w:r>
      <w:r w:rsidRPr="00B916EC">
        <w:t xml:space="preserve"> over transmission</w:t>
      </w:r>
      <w:r>
        <w:rPr>
          <w:lang w:val="en-US"/>
        </w:rPr>
        <w:t>s</w:t>
      </w:r>
      <w:r w:rsidRPr="00B916EC">
        <w:t xml:space="preserve"> on a secondary cell.</w:t>
      </w:r>
      <w:r>
        <w:rPr>
          <w:lang w:val="en-US"/>
        </w:rPr>
        <w:t xml:space="preserve"> </w:t>
      </w:r>
      <w:r w:rsidRPr="00B916EC">
        <w:t>In case of same priority order</w:t>
      </w:r>
      <w:r>
        <w:t xml:space="preserve"> and for operation with two </w:t>
      </w:r>
      <w:r w:rsidR="003F6F6B">
        <w:t xml:space="preserve">UL </w:t>
      </w:r>
      <w:r>
        <w:t xml:space="preserve">carriers, the </w:t>
      </w:r>
      <w:r>
        <w:rPr>
          <w:lang w:val="en-US"/>
        </w:rPr>
        <w:t xml:space="preserve">UE prioritizes power allocation for transmissions on the </w:t>
      </w:r>
      <w:r>
        <w:t>carrier</w:t>
      </w:r>
      <w:r>
        <w:rPr>
          <w:lang w:val="en-US"/>
        </w:rPr>
        <w:t xml:space="preserve"> where the UE is configured to transmit PUCCH.</w:t>
      </w:r>
      <w:r w:rsidR="003F6F6B">
        <w:rPr>
          <w:lang w:val="en-US"/>
        </w:rPr>
        <w:t xml:space="preserve"> </w:t>
      </w:r>
      <w:r w:rsidR="003F6F6B" w:rsidRPr="00EA2CF8">
        <w:t xml:space="preserve">If </w:t>
      </w:r>
      <w:r w:rsidR="003F6F6B" w:rsidRPr="00EA2CF8">
        <w:rPr>
          <w:iCs/>
        </w:rPr>
        <w:t>PUCCH</w:t>
      </w:r>
      <w:r w:rsidR="003F6F6B" w:rsidRPr="00EA2CF8">
        <w:t xml:space="preserve"> is not configured for any of the </w:t>
      </w:r>
      <w:r w:rsidR="003F6F6B" w:rsidRPr="00EA2CF8">
        <w:rPr>
          <w:iCs/>
        </w:rPr>
        <w:t xml:space="preserve">two UL carriers, the </w:t>
      </w:r>
      <w:r w:rsidR="003F6F6B" w:rsidRPr="00EA2CF8">
        <w:rPr>
          <w:iCs/>
          <w:lang w:val="en-US"/>
        </w:rPr>
        <w:t>UE prioritizes power allocation for transmissions on</w:t>
      </w:r>
      <w:r w:rsidR="003F6F6B" w:rsidRPr="00EA2CF8">
        <w:t xml:space="preserve"> the non-supplementary UL carrier.</w:t>
      </w:r>
    </w:p>
    <w:p w14:paraId="7CBF96AA" w14:textId="77777777" w:rsidR="00E072F9" w:rsidRPr="00B916EC" w:rsidRDefault="00E072F9" w:rsidP="004C3D45">
      <w:pPr>
        <w:pStyle w:val="Heading2"/>
      </w:pPr>
      <w:bookmarkStart w:id="237" w:name="_Toc12021453"/>
      <w:bookmarkStart w:id="238" w:name="_Toc20311565"/>
      <w:bookmarkStart w:id="239" w:name="_Toc26719390"/>
      <w:bookmarkStart w:id="240" w:name="_Toc29894821"/>
      <w:bookmarkStart w:id="241" w:name="_Toc29899120"/>
      <w:bookmarkStart w:id="242" w:name="_Toc29899538"/>
      <w:bookmarkStart w:id="243" w:name="_Toc29917275"/>
      <w:bookmarkStart w:id="244" w:name="_Toc36498149"/>
      <w:bookmarkStart w:id="245" w:name="_Toc45699175"/>
      <w:bookmarkStart w:id="246" w:name="_Toc161999100"/>
      <w:r w:rsidRPr="00B916EC">
        <w:lastRenderedPageBreak/>
        <w:t>7.6</w:t>
      </w:r>
      <w:r w:rsidR="007D5A3F">
        <w:tab/>
      </w:r>
      <w:r w:rsidRPr="00B916EC">
        <w:t>Dual connectivity</w:t>
      </w:r>
      <w:bookmarkEnd w:id="237"/>
      <w:bookmarkEnd w:id="238"/>
      <w:bookmarkEnd w:id="239"/>
      <w:bookmarkEnd w:id="240"/>
      <w:bookmarkEnd w:id="241"/>
      <w:bookmarkEnd w:id="242"/>
      <w:bookmarkEnd w:id="243"/>
      <w:bookmarkEnd w:id="244"/>
      <w:bookmarkEnd w:id="245"/>
      <w:bookmarkEnd w:id="246"/>
    </w:p>
    <w:p w14:paraId="5D03E993" w14:textId="77777777" w:rsidR="00895CF2" w:rsidRPr="00C463CB" w:rsidRDefault="00895CF2" w:rsidP="004C3D45">
      <w:pPr>
        <w:pStyle w:val="Heading3"/>
      </w:pPr>
      <w:bookmarkStart w:id="247" w:name="_Toc12021454"/>
      <w:bookmarkStart w:id="248" w:name="_Toc20311566"/>
      <w:bookmarkStart w:id="249" w:name="_Toc26719391"/>
      <w:bookmarkStart w:id="250" w:name="_Toc29894822"/>
      <w:bookmarkStart w:id="251" w:name="_Toc29899121"/>
      <w:bookmarkStart w:id="252" w:name="_Toc29899539"/>
      <w:bookmarkStart w:id="253" w:name="_Toc29917276"/>
      <w:bookmarkStart w:id="254" w:name="_Toc36498150"/>
      <w:bookmarkStart w:id="255" w:name="_Toc45699176"/>
      <w:bookmarkStart w:id="256" w:name="_Toc161999101"/>
      <w:r w:rsidRPr="00B916EC">
        <w:t>7</w:t>
      </w:r>
      <w:r>
        <w:t>.6</w:t>
      </w:r>
      <w:r w:rsidRPr="00B916EC">
        <w:t>.1</w:t>
      </w:r>
      <w:r w:rsidRPr="00B916EC">
        <w:tab/>
      </w:r>
      <w:r>
        <w:t>EN-DC</w:t>
      </w:r>
      <w:bookmarkEnd w:id="247"/>
      <w:bookmarkEnd w:id="248"/>
      <w:bookmarkEnd w:id="249"/>
      <w:bookmarkEnd w:id="250"/>
      <w:bookmarkEnd w:id="251"/>
      <w:bookmarkEnd w:id="252"/>
      <w:bookmarkEnd w:id="253"/>
      <w:bookmarkEnd w:id="254"/>
      <w:bookmarkEnd w:id="255"/>
      <w:bookmarkEnd w:id="256"/>
    </w:p>
    <w:p w14:paraId="7A2482F1" w14:textId="3EEEC91D" w:rsidR="00542CF6" w:rsidRDefault="00895CF2" w:rsidP="003F6F6B">
      <w:pPr>
        <w:rPr>
          <w:lang w:eastAsia="ja-JP"/>
        </w:rPr>
      </w:pPr>
      <w:r w:rsidRPr="00B916EC">
        <w:t xml:space="preserve">If a UE is configured with a MCG using </w:t>
      </w:r>
      <w:r>
        <w:t>E-UTRA</w:t>
      </w:r>
      <w:r w:rsidRPr="00B916EC">
        <w:t xml:space="preserve"> radio access and with a SCG using </w:t>
      </w:r>
      <w:r w:rsidRPr="00B916EC">
        <w:rPr>
          <w:lang w:eastAsia="ja-JP"/>
        </w:rPr>
        <w:t xml:space="preserve">NR radio access, </w:t>
      </w:r>
      <w:r>
        <w:rPr>
          <w:lang w:eastAsia="ja-JP"/>
        </w:rPr>
        <w:t xml:space="preserve">the UE is configured a maximum power </w:t>
      </w:r>
      <w:r w:rsidR="00ED3701">
        <w:rPr>
          <w:noProof/>
          <w:position w:val="-10"/>
        </w:rPr>
        <w:drawing>
          <wp:inline distT="0" distB="0" distL="0" distR="0" wp14:anchorId="642D50E0" wp14:editId="3F691F9E">
            <wp:extent cx="276225" cy="180975"/>
            <wp:effectExtent l="0" t="0" r="0" b="0"/>
            <wp:docPr id="2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Pr>
          <w:lang w:eastAsia="ja-JP"/>
        </w:rPr>
        <w:t xml:space="preserve"> for transmissions on the MCG by </w:t>
      </w:r>
      <w:r w:rsidR="00DF291E">
        <w:rPr>
          <w:i/>
          <w:lang w:eastAsia="ja-JP"/>
        </w:rPr>
        <w:t>p-MaxEUTRA</w:t>
      </w:r>
      <w:r>
        <w:rPr>
          <w:lang w:eastAsia="ja-JP"/>
        </w:rPr>
        <w:t xml:space="preserve"> and a maximum power </w:t>
      </w:r>
      <w:r w:rsidR="00ED3701">
        <w:rPr>
          <w:noProof/>
          <w:position w:val="-10"/>
        </w:rPr>
        <w:drawing>
          <wp:inline distT="0" distB="0" distL="0" distR="0" wp14:anchorId="39849284" wp14:editId="2D1405C0">
            <wp:extent cx="276225" cy="180975"/>
            <wp:effectExtent l="0" t="0" r="0" b="0"/>
            <wp:docPr id="23"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t xml:space="preserve"> </w:t>
      </w:r>
      <w:r>
        <w:rPr>
          <w:lang w:eastAsia="ja-JP"/>
        </w:rPr>
        <w:t xml:space="preserve">for transmissions </w:t>
      </w:r>
      <w:r w:rsidR="003F6F6B">
        <w:rPr>
          <w:lang w:eastAsia="ja-JP"/>
        </w:rPr>
        <w:t xml:space="preserve">in </w:t>
      </w:r>
      <w:r w:rsidR="003B3D29">
        <w:rPr>
          <w:lang w:eastAsia="ja-JP"/>
        </w:rPr>
        <w:t>FR</w:t>
      </w:r>
      <w:r w:rsidR="003F6F6B">
        <w:rPr>
          <w:lang w:eastAsia="ja-JP"/>
        </w:rPr>
        <w:t xml:space="preserve">1 </w:t>
      </w:r>
      <w:r>
        <w:rPr>
          <w:lang w:eastAsia="ja-JP"/>
        </w:rPr>
        <w:t xml:space="preserve">on the SCG by </w:t>
      </w:r>
      <w:r w:rsidR="00DF291E">
        <w:rPr>
          <w:i/>
          <w:lang w:eastAsia="ja-JP"/>
        </w:rPr>
        <w:t>p-NR</w:t>
      </w:r>
      <w:r w:rsidR="00542CF6">
        <w:rPr>
          <w:i/>
          <w:lang w:eastAsia="ja-JP"/>
        </w:rPr>
        <w:t>-FR1</w:t>
      </w:r>
      <w:r>
        <w:rPr>
          <w:lang w:eastAsia="ja-JP"/>
        </w:rPr>
        <w:t xml:space="preserve">. </w:t>
      </w:r>
    </w:p>
    <w:p w14:paraId="65C04FE2" w14:textId="4415FEB6" w:rsidR="003F6F6B" w:rsidRDefault="00895CF2" w:rsidP="003F6F6B">
      <w:pPr>
        <w:rPr>
          <w:lang w:eastAsia="ja-JP"/>
        </w:rPr>
      </w:pPr>
      <w:r>
        <w:rPr>
          <w:lang w:val="en-US" w:eastAsia="zh-CN"/>
        </w:rPr>
        <w:t>T</w:t>
      </w:r>
      <w:r>
        <w:t>he UE determin</w:t>
      </w:r>
      <w:r w:rsidRPr="001C7D27">
        <w:t xml:space="preserve">es </w:t>
      </w:r>
      <w:r>
        <w:t>a transmission power for the MCG as described in [13, TS 36.213]</w:t>
      </w:r>
      <w:r w:rsidRPr="001C7D27">
        <w:t xml:space="preserve"> </w:t>
      </w:r>
      <w:r>
        <w:rPr>
          <w:lang w:val="en-US"/>
        </w:rPr>
        <w:t xml:space="preserve">using </w:t>
      </w:r>
      <w:r w:rsidR="00ED3701">
        <w:rPr>
          <w:noProof/>
          <w:position w:val="-10"/>
        </w:rPr>
        <w:drawing>
          <wp:inline distT="0" distB="0" distL="0" distR="0" wp14:anchorId="2DF5B66F" wp14:editId="20359EB3">
            <wp:extent cx="276225" cy="180975"/>
            <wp:effectExtent l="0" t="0" r="0" b="0"/>
            <wp:docPr id="24"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Pr>
          <w:lang w:val="en-US"/>
        </w:rPr>
        <w:t xml:space="preserve"> as the maximum transmission power. The UE determines</w:t>
      </w:r>
      <w:r w:rsidRPr="001C7D27">
        <w:t xml:space="preserve"> </w:t>
      </w:r>
      <w:r>
        <w:t>transmission power for the SCG</w:t>
      </w:r>
      <w:r w:rsidR="003F6F6B">
        <w:t xml:space="preserve"> </w:t>
      </w:r>
      <w:r w:rsidR="003F6F6B">
        <w:rPr>
          <w:lang w:eastAsia="ja-JP"/>
        </w:rPr>
        <w:t xml:space="preserve">in </w:t>
      </w:r>
      <w:r w:rsidR="003B3D29">
        <w:rPr>
          <w:lang w:eastAsia="ja-JP"/>
        </w:rPr>
        <w:t>FR</w:t>
      </w:r>
      <w:r w:rsidR="003F6F6B">
        <w:rPr>
          <w:lang w:eastAsia="ja-JP"/>
        </w:rPr>
        <w:t>1</w:t>
      </w:r>
      <w:r>
        <w:t xml:space="preserve"> as described</w:t>
      </w:r>
      <w:r w:rsidR="006F5F9E">
        <w:t xml:space="preserve"> in</w:t>
      </w:r>
      <w:r w:rsidRPr="001C7D27">
        <w:t xml:space="preserve"> </w:t>
      </w:r>
      <w:r w:rsidR="006F5F9E">
        <w:t>c</w:t>
      </w:r>
      <w:r w:rsidR="00EE236C">
        <w:t>lause</w:t>
      </w:r>
      <w:r w:rsidRPr="001C7D27">
        <w:t>s</w:t>
      </w:r>
      <w:r>
        <w:t xml:space="preserve"> 7.1</w:t>
      </w:r>
      <w:r w:rsidRPr="001C7D27">
        <w:t xml:space="preserve"> throu</w:t>
      </w:r>
      <w:r>
        <w:t>gh 7.5</w:t>
      </w:r>
      <w:r>
        <w:rPr>
          <w:lang w:val="en-US"/>
        </w:rPr>
        <w:t xml:space="preserve"> using </w:t>
      </w:r>
      <w:r w:rsidR="00ED3701">
        <w:rPr>
          <w:noProof/>
          <w:position w:val="-10"/>
        </w:rPr>
        <w:drawing>
          <wp:inline distT="0" distB="0" distL="0" distR="0" wp14:anchorId="46648A0E" wp14:editId="5464066F">
            <wp:extent cx="276225" cy="180975"/>
            <wp:effectExtent l="0" t="0" r="0" b="0"/>
            <wp:docPr id="25"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Pr>
          <w:lang w:val="en-US"/>
        </w:rPr>
        <w:t xml:space="preserve"> as the maximum transmission </w:t>
      </w:r>
      <w:r w:rsidRPr="00186758">
        <w:rPr>
          <w:lang w:val="en-US"/>
        </w:rPr>
        <w:t>power.</w:t>
      </w:r>
      <w:r w:rsidR="003F6F6B">
        <w:rPr>
          <w:lang w:val="en-US"/>
        </w:rPr>
        <w:t xml:space="preserve"> The UE determines</w:t>
      </w:r>
      <w:r w:rsidR="003F6F6B" w:rsidRPr="001C7D27">
        <w:t xml:space="preserve"> </w:t>
      </w:r>
      <w:r w:rsidR="003F6F6B">
        <w:t xml:space="preserve">transmission power for the SCG in </w:t>
      </w:r>
      <w:r w:rsidR="003B3D29">
        <w:rPr>
          <w:lang w:eastAsia="ja-JP"/>
        </w:rPr>
        <w:t>FR</w:t>
      </w:r>
      <w:r w:rsidR="003F6F6B">
        <w:t>2 as described</w:t>
      </w:r>
      <w:r w:rsidR="006F5F9E">
        <w:t xml:space="preserve"> in</w:t>
      </w:r>
      <w:r w:rsidR="003F6F6B" w:rsidRPr="001C7D27">
        <w:t xml:space="preserve"> </w:t>
      </w:r>
      <w:r w:rsidR="006F5F9E">
        <w:t>c</w:t>
      </w:r>
      <w:r w:rsidR="00EE236C">
        <w:t>lause</w:t>
      </w:r>
      <w:r w:rsidR="003F6F6B" w:rsidRPr="001C7D27">
        <w:t>s</w:t>
      </w:r>
      <w:r w:rsidR="003F6F6B">
        <w:t xml:space="preserve"> 7.1</w:t>
      </w:r>
      <w:r w:rsidR="003F6F6B" w:rsidRPr="001C7D27">
        <w:t xml:space="preserve"> throu</w:t>
      </w:r>
      <w:r w:rsidR="003F6F6B">
        <w:t>gh 7.5</w:t>
      </w:r>
      <w:r w:rsidR="003B3D29">
        <w:t>.</w:t>
      </w:r>
    </w:p>
    <w:p w14:paraId="1DC58684" w14:textId="77777777" w:rsidR="00895CF2" w:rsidRDefault="003F6F6B" w:rsidP="00895CF2">
      <w:pPr>
        <w:rPr>
          <w:lang w:eastAsia="ja-JP"/>
        </w:rPr>
      </w:pPr>
      <w:r>
        <w:rPr>
          <w:lang w:eastAsia="ja-JP"/>
        </w:rPr>
        <w:t xml:space="preserve">A UE </w:t>
      </w:r>
      <w:r>
        <w:rPr>
          <w:lang w:eastAsia="x-none"/>
        </w:rPr>
        <w:t xml:space="preserve">does not expect to be configured </w:t>
      </w:r>
      <w:r w:rsidRPr="00B916EC">
        <w:t>for operation with shortened TTI and</w:t>
      </w:r>
      <w:r>
        <w:t>/or</w:t>
      </w:r>
      <w:r w:rsidRPr="00B916EC">
        <w:t xml:space="preserve"> processing </w:t>
      </w:r>
      <w:r>
        <w:t xml:space="preserve">time [13, TS 36.213] </w:t>
      </w:r>
      <w:r>
        <w:rPr>
          <w:lang w:eastAsia="x-none"/>
        </w:rPr>
        <w:t>on a cell that is included in an EN-DC configuration.</w:t>
      </w:r>
    </w:p>
    <w:p w14:paraId="3DC641A2" w14:textId="735B2934" w:rsidR="00895CF2" w:rsidRDefault="00895CF2" w:rsidP="00895CF2">
      <w:pPr>
        <w:rPr>
          <w:lang w:eastAsia="ja-JP"/>
        </w:rPr>
      </w:pPr>
      <w:r>
        <w:rPr>
          <w:lang w:eastAsia="ja-JP"/>
        </w:rPr>
        <w:t xml:space="preserve">If a UE is configured with </w:t>
      </w:r>
      <w:r w:rsidR="00ED3701">
        <w:rPr>
          <w:noProof/>
          <w:position w:val="-10"/>
        </w:rPr>
        <w:drawing>
          <wp:inline distT="0" distB="0" distL="0" distR="0" wp14:anchorId="1A110ABD" wp14:editId="2959C159">
            <wp:extent cx="1009650" cy="180975"/>
            <wp:effectExtent l="0" t="0" r="0" b="0"/>
            <wp:docPr id="26"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09650" cy="180975"/>
                    </a:xfrm>
                    <a:prstGeom prst="rect">
                      <a:avLst/>
                    </a:prstGeom>
                    <a:noFill/>
                    <a:ln>
                      <a:noFill/>
                    </a:ln>
                  </pic:spPr>
                </pic:pic>
              </a:graphicData>
            </a:graphic>
          </wp:inline>
        </w:drawing>
      </w:r>
      <w:r>
        <w:t xml:space="preserve">, where </w:t>
      </w:r>
      <w:r w:rsidR="00ED3701">
        <w:rPr>
          <w:noProof/>
          <w:position w:val="-10"/>
        </w:rPr>
        <w:drawing>
          <wp:inline distT="0" distB="0" distL="0" distR="0" wp14:anchorId="1AD5AB5C" wp14:editId="2D747EB7">
            <wp:extent cx="276225" cy="180975"/>
            <wp:effectExtent l="0" t="0" r="0" b="0"/>
            <wp:docPr id="2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003B3D29">
        <w:rPr>
          <w:rFonts w:hint="eastAsia"/>
          <w:lang w:eastAsia="zh-CN"/>
        </w:rPr>
        <w:t xml:space="preserve"> is the linear value</w:t>
      </w:r>
      <w:r w:rsidR="003B3D29">
        <w:rPr>
          <w:lang w:eastAsia="ja-JP"/>
        </w:rPr>
        <w:t xml:space="preserve"> of </w:t>
      </w:r>
      <w:r w:rsidR="00ED3701">
        <w:rPr>
          <w:noProof/>
          <w:position w:val="-10"/>
        </w:rPr>
        <w:drawing>
          <wp:inline distT="0" distB="0" distL="0" distR="0" wp14:anchorId="121BB2D4" wp14:editId="5C4C6530">
            <wp:extent cx="276225" cy="180975"/>
            <wp:effectExtent l="0" t="0" r="0" b="0"/>
            <wp:docPr id="28"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003B3D29">
        <w:t xml:space="preserve">, </w:t>
      </w:r>
      <w:r w:rsidR="00ED3701">
        <w:rPr>
          <w:noProof/>
          <w:position w:val="-10"/>
        </w:rPr>
        <w:drawing>
          <wp:inline distT="0" distB="0" distL="0" distR="0" wp14:anchorId="4BA830A7" wp14:editId="06EB1305">
            <wp:extent cx="180975" cy="180975"/>
            <wp:effectExtent l="0" t="0" r="0" b="0"/>
            <wp:docPr id="29"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3B3D29">
        <w:rPr>
          <w:rFonts w:hint="eastAsia"/>
          <w:lang w:eastAsia="zh-CN"/>
        </w:rPr>
        <w:t xml:space="preserve"> is the linear value</w:t>
      </w:r>
      <w:r w:rsidR="003B3D29">
        <w:rPr>
          <w:lang w:eastAsia="ja-JP"/>
        </w:rPr>
        <w:t xml:space="preserve"> of </w:t>
      </w:r>
      <w:r w:rsidR="00ED3701">
        <w:rPr>
          <w:noProof/>
          <w:position w:val="-10"/>
        </w:rPr>
        <w:drawing>
          <wp:inline distT="0" distB="0" distL="0" distR="0" wp14:anchorId="0E5F5502" wp14:editId="6A15A1BD">
            <wp:extent cx="180975" cy="180975"/>
            <wp:effectExtent l="0" t="0" r="0" b="0"/>
            <wp:docPr id="30"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3B3D29">
        <w:t>, and</w:t>
      </w:r>
      <w:r w:rsidR="003B3D29">
        <w:rPr>
          <w:rFonts w:hint="eastAsia"/>
          <w:lang w:eastAsia="zh-CN"/>
        </w:rPr>
        <w:t xml:space="preserve"> </w:t>
      </w:r>
      <w:r w:rsidR="00ED3701">
        <w:rPr>
          <w:noProof/>
          <w:position w:val="-10"/>
        </w:rPr>
        <w:drawing>
          <wp:inline distT="0" distB="0" distL="0" distR="0" wp14:anchorId="7A4CD523" wp14:editId="462682D0">
            <wp:extent cx="352425" cy="180975"/>
            <wp:effectExtent l="0" t="0" r="0" b="0"/>
            <wp:docPr id="31"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2425" cy="180975"/>
                    </a:xfrm>
                    <a:prstGeom prst="rect">
                      <a:avLst/>
                    </a:prstGeom>
                    <a:noFill/>
                    <a:ln>
                      <a:noFill/>
                    </a:ln>
                  </pic:spPr>
                </pic:pic>
              </a:graphicData>
            </a:graphic>
          </wp:inline>
        </w:drawing>
      </w:r>
      <w:r w:rsidR="003B3D29">
        <w:t xml:space="preserve"> </w:t>
      </w:r>
      <w:r w:rsidR="003B3D29">
        <w:rPr>
          <w:rFonts w:hint="eastAsia"/>
          <w:lang w:eastAsia="zh-CN"/>
        </w:rPr>
        <w:t>is</w:t>
      </w:r>
      <w:r>
        <w:rPr>
          <w:rFonts w:hint="eastAsia"/>
          <w:lang w:eastAsia="zh-CN"/>
        </w:rPr>
        <w:t xml:space="preserve"> the linear value of </w:t>
      </w:r>
      <w:r w:rsidRPr="002C7AFF">
        <w:rPr>
          <w:lang w:val="en-US" w:eastAsia="zh-CN"/>
        </w:rPr>
        <w:t>a</w:t>
      </w:r>
      <w:r>
        <w:rPr>
          <w:rFonts w:hint="eastAsia"/>
          <w:lang w:eastAsia="zh-CN"/>
        </w:rPr>
        <w:t xml:space="preserve"> </w:t>
      </w:r>
      <w:r>
        <w:t>c</w:t>
      </w:r>
      <w:r w:rsidRPr="00E458C1">
        <w:t xml:space="preserve">onfigured </w:t>
      </w:r>
      <w:r>
        <w:rPr>
          <w:rFonts w:hint="eastAsia"/>
          <w:lang w:eastAsia="zh-CN"/>
        </w:rPr>
        <w:t xml:space="preserve">maximum </w:t>
      </w:r>
      <w:r w:rsidRPr="002C7AFF">
        <w:rPr>
          <w:lang w:val="en-US" w:eastAsia="zh-CN"/>
        </w:rPr>
        <w:t>transmission</w:t>
      </w:r>
      <w:r w:rsidRPr="00E458C1">
        <w:t xml:space="preserve"> power </w:t>
      </w:r>
      <w:r w:rsidRPr="002C7AFF">
        <w:rPr>
          <w:lang w:val="en-US"/>
        </w:rPr>
        <w:t xml:space="preserve">for EN-DC operation </w:t>
      </w:r>
      <w:r w:rsidRPr="00B916EC">
        <w:t xml:space="preserve">as </w:t>
      </w:r>
      <w:r w:rsidRPr="002C7AFF">
        <w:rPr>
          <w:iCs/>
        </w:rPr>
        <w:t xml:space="preserve">defined in </w:t>
      </w:r>
      <w:r>
        <w:t xml:space="preserve">[8-3, TS 38.101-3] for </w:t>
      </w:r>
      <w:r w:rsidR="008B493E">
        <w:t>FR</w:t>
      </w:r>
      <w:r>
        <w:t xml:space="preserve">1, </w:t>
      </w:r>
      <w:r>
        <w:rPr>
          <w:lang w:eastAsia="ja-JP"/>
        </w:rPr>
        <w:t xml:space="preserve">the UE determines a transmission power </w:t>
      </w:r>
      <w:r w:rsidR="008B493E">
        <w:rPr>
          <w:lang w:eastAsia="ja-JP"/>
        </w:rPr>
        <w:t xml:space="preserve">for </w:t>
      </w:r>
      <w:r>
        <w:rPr>
          <w:lang w:eastAsia="ja-JP"/>
        </w:rPr>
        <w:t>the SCG as follows.</w:t>
      </w:r>
    </w:p>
    <w:p w14:paraId="79D0A8DB" w14:textId="15777ADD" w:rsidR="00895CF2" w:rsidRPr="00B916EC" w:rsidRDefault="00895CF2" w:rsidP="0009732E">
      <w:pPr>
        <w:pStyle w:val="B1"/>
        <w:rPr>
          <w:lang w:val="en-US"/>
        </w:rPr>
      </w:pPr>
      <w:r>
        <w:rPr>
          <w:lang w:eastAsia="ja-JP"/>
        </w:rPr>
        <w:t>-</w:t>
      </w:r>
      <w:r>
        <w:rPr>
          <w:lang w:eastAsia="ja-JP"/>
        </w:rPr>
        <w:tab/>
        <w:t xml:space="preserve">If the UE </w:t>
      </w:r>
      <w:r>
        <w:rPr>
          <w:lang w:val="en-US" w:eastAsia="ja-JP"/>
        </w:rPr>
        <w:t xml:space="preserve">is </w:t>
      </w:r>
      <w:r>
        <w:rPr>
          <w:rFonts w:hint="eastAsia"/>
          <w:lang w:eastAsia="zh-CN"/>
        </w:rPr>
        <w:t>configured</w:t>
      </w:r>
      <w:r w:rsidRPr="00B916EC">
        <w:t xml:space="preserve"> </w:t>
      </w:r>
      <w:r>
        <w:rPr>
          <w:rFonts w:hint="eastAsia"/>
          <w:lang w:eastAsia="zh-CN"/>
        </w:rPr>
        <w:t xml:space="preserve">with </w:t>
      </w:r>
      <w:r w:rsidRPr="00EB5B01">
        <w:t>reference TDD configuration</w:t>
      </w:r>
      <w:r>
        <w:rPr>
          <w:rFonts w:hint="eastAsia"/>
          <w:lang w:eastAsia="zh-CN"/>
        </w:rPr>
        <w:t xml:space="preserve"> </w:t>
      </w:r>
      <w:r>
        <w:rPr>
          <w:lang w:val="en-US" w:eastAsia="zh-CN"/>
        </w:rPr>
        <w:t>for E</w:t>
      </w:r>
      <w:r w:rsidR="003F6F6B">
        <w:rPr>
          <w:lang w:val="en-US" w:eastAsia="zh-CN"/>
        </w:rPr>
        <w:t>-</w:t>
      </w:r>
      <w:r>
        <w:rPr>
          <w:lang w:val="en-US" w:eastAsia="zh-CN"/>
        </w:rPr>
        <w:t xml:space="preserve">UTRA (by </w:t>
      </w:r>
      <w:r w:rsidR="00DF291E" w:rsidRPr="001930CB">
        <w:rPr>
          <w:i/>
          <w:iCs/>
          <w:lang w:eastAsia="zh-CN"/>
        </w:rPr>
        <w:t>tdm-PatternConfig</w:t>
      </w:r>
      <w:r w:rsidRPr="00BE2EE9">
        <w:rPr>
          <w:rFonts w:hint="eastAsia"/>
          <w:lang w:val="en-US" w:eastAsia="zh-CN"/>
        </w:rPr>
        <w:t xml:space="preserve"> </w:t>
      </w:r>
      <w:r w:rsidR="000E36BD">
        <w:rPr>
          <w:lang w:val="en-US" w:eastAsia="zh-CN"/>
        </w:rPr>
        <w:t xml:space="preserve">or by </w:t>
      </w:r>
      <w:r w:rsidR="000E36BD" w:rsidRPr="001930CB">
        <w:rPr>
          <w:i/>
          <w:iCs/>
          <w:lang w:eastAsia="zh-CN"/>
        </w:rPr>
        <w:t>tdm-PatternConfig</w:t>
      </w:r>
      <w:r w:rsidR="006F59DA">
        <w:rPr>
          <w:i/>
          <w:iCs/>
          <w:lang w:val="en-US" w:eastAsia="zh-CN"/>
        </w:rPr>
        <w:t>2</w:t>
      </w:r>
      <w:r w:rsidR="000E36BD">
        <w:rPr>
          <w:lang w:eastAsia="zh-CN"/>
        </w:rPr>
        <w:t xml:space="preserve"> </w:t>
      </w:r>
      <w:r>
        <w:rPr>
          <w:lang w:val="en-US" w:eastAsia="zh-CN"/>
        </w:rPr>
        <w:t xml:space="preserve">in </w:t>
      </w:r>
      <w:r>
        <w:rPr>
          <w:rFonts w:hint="eastAsia"/>
          <w:lang w:eastAsia="zh-CN"/>
        </w:rPr>
        <w:t>[13, TS</w:t>
      </w:r>
      <w:r>
        <w:rPr>
          <w:lang w:eastAsia="zh-CN"/>
        </w:rPr>
        <w:t xml:space="preserve"> </w:t>
      </w:r>
      <w:r>
        <w:rPr>
          <w:rFonts w:hint="eastAsia"/>
          <w:lang w:eastAsia="zh-CN"/>
        </w:rPr>
        <w:t>36.213]</w:t>
      </w:r>
      <w:r>
        <w:rPr>
          <w:lang w:val="en-US" w:eastAsia="zh-CN"/>
        </w:rPr>
        <w:t>)</w:t>
      </w:r>
    </w:p>
    <w:p w14:paraId="54EAE4ED" w14:textId="1047ACD4" w:rsidR="00895CF2" w:rsidRDefault="00895CF2" w:rsidP="0009732E">
      <w:pPr>
        <w:pStyle w:val="B2"/>
      </w:pPr>
      <w:r>
        <w:rPr>
          <w:lang w:val="en-US"/>
        </w:rPr>
        <w:t>-</w:t>
      </w:r>
      <w:r>
        <w:rPr>
          <w:lang w:val="en-US"/>
        </w:rPr>
        <w:tab/>
        <w:t xml:space="preserve">If the UE does </w:t>
      </w:r>
      <w:r>
        <w:rPr>
          <w:lang w:eastAsia="ja-JP"/>
        </w:rPr>
        <w:t>not indicate a capability for dynamic power sharing</w:t>
      </w:r>
      <w:r>
        <w:rPr>
          <w:lang w:val="en-US" w:eastAsia="ja-JP"/>
        </w:rPr>
        <w:t xml:space="preserve"> between E</w:t>
      </w:r>
      <w:r w:rsidR="003F6F6B">
        <w:rPr>
          <w:lang w:val="en-US" w:eastAsia="ja-JP"/>
        </w:rPr>
        <w:t>-</w:t>
      </w:r>
      <w:r>
        <w:rPr>
          <w:lang w:val="en-US" w:eastAsia="ja-JP"/>
        </w:rPr>
        <w:t>UTRA and NR</w:t>
      </w:r>
      <w:r w:rsidR="008B493E">
        <w:rPr>
          <w:lang w:val="en-US" w:eastAsia="ja-JP"/>
        </w:rPr>
        <w:t xml:space="preserve"> for EN-DC</w:t>
      </w:r>
      <w:r>
        <w:rPr>
          <w:lang w:val="en-US" w:eastAsia="ja-JP"/>
        </w:rPr>
        <w:t xml:space="preserve">, </w:t>
      </w:r>
      <w:r>
        <w:rPr>
          <w:lang w:val="en-US"/>
        </w:rPr>
        <w:t>t</w:t>
      </w:r>
      <w:r w:rsidRPr="00B916EC">
        <w:t xml:space="preserve">he UE </w:t>
      </w:r>
      <w:r w:rsidR="003F6F6B">
        <w:rPr>
          <w:lang w:val="en-US" w:eastAsia="zh-CN"/>
        </w:rPr>
        <w:t>does</w:t>
      </w:r>
      <w:r w:rsidR="003F6F6B">
        <w:rPr>
          <w:rFonts w:hint="eastAsia"/>
          <w:lang w:eastAsia="zh-CN"/>
        </w:rPr>
        <w:t xml:space="preserve"> </w:t>
      </w:r>
      <w:r>
        <w:rPr>
          <w:rFonts w:hint="eastAsia"/>
          <w:lang w:eastAsia="zh-CN"/>
        </w:rPr>
        <w:t>not transmit</w:t>
      </w:r>
      <w:r w:rsidRPr="00B916EC">
        <w:t xml:space="preserve"> in a slot </w:t>
      </w:r>
      <w:r>
        <w:t>on the SCG</w:t>
      </w:r>
      <w:r w:rsidR="003F6F6B" w:rsidRPr="003F6F6B">
        <w:rPr>
          <w:lang w:val="en-US"/>
        </w:rPr>
        <w:t xml:space="preserve"> </w:t>
      </w:r>
      <w:r w:rsidR="003F6F6B">
        <w:rPr>
          <w:lang w:val="en-US"/>
        </w:rPr>
        <w:t xml:space="preserve">in </w:t>
      </w:r>
      <w:r w:rsidR="008B493E">
        <w:rPr>
          <w:lang w:val="en-US"/>
        </w:rPr>
        <w:t>FR</w:t>
      </w:r>
      <w:r w:rsidR="003F6F6B">
        <w:rPr>
          <w:lang w:val="en-US"/>
        </w:rPr>
        <w:t>1</w:t>
      </w:r>
      <w:r>
        <w:t xml:space="preserve"> </w:t>
      </w:r>
      <w:r>
        <w:rPr>
          <w:lang w:val="en-US"/>
        </w:rPr>
        <w:t>when</w:t>
      </w:r>
      <w:r w:rsidRPr="00B916EC">
        <w:t xml:space="preserve"> a corresponding subframe on the MCG </w:t>
      </w:r>
      <w:r>
        <w:rPr>
          <w:rFonts w:hint="eastAsia"/>
          <w:lang w:eastAsia="zh-CN"/>
        </w:rPr>
        <w:t>is an</w:t>
      </w:r>
      <w:r w:rsidRPr="00EB5B01">
        <w:t xml:space="preserve"> UL </w:t>
      </w:r>
      <w:r>
        <w:rPr>
          <w:rFonts w:hint="eastAsia"/>
          <w:lang w:eastAsia="zh-CN"/>
        </w:rPr>
        <w:t xml:space="preserve">subframe </w:t>
      </w:r>
      <w:r w:rsidRPr="00EB5B01">
        <w:t>in the reference TDD configuration</w:t>
      </w:r>
      <w:r w:rsidRPr="00B916EC">
        <w:t>.</w:t>
      </w:r>
    </w:p>
    <w:p w14:paraId="61A3C474" w14:textId="18007CB9" w:rsidR="000E36BD" w:rsidRPr="00A312BF" w:rsidRDefault="000E36BD" w:rsidP="0009732E">
      <w:pPr>
        <w:pStyle w:val="B2"/>
      </w:pPr>
      <w:r w:rsidRPr="00F325E8">
        <w:rPr>
          <w:lang w:val="en-US"/>
        </w:rPr>
        <w:t>-</w:t>
      </w:r>
      <w:r w:rsidRPr="00F325E8">
        <w:rPr>
          <w:lang w:val="en-US"/>
        </w:rPr>
        <w:tab/>
        <w:t xml:space="preserve">If </w:t>
      </w:r>
      <w:r w:rsidRPr="00F325E8">
        <w:t xml:space="preserve">the UE indicates a capability for dynamic power sharing between E-UTRA and NR for EN-DC, and does not indicate a capability </w:t>
      </w:r>
      <w:r w:rsidR="006F59DA" w:rsidRPr="00B2168F">
        <w:rPr>
          <w:i/>
        </w:rPr>
        <w:t>tdm-restrictionDualTX-FDD-endc-r16</w:t>
      </w:r>
      <w:r w:rsidRPr="00F325E8">
        <w:t xml:space="preserve"> in [</w:t>
      </w:r>
      <w:r w:rsidR="00FD7414" w:rsidRPr="00F325E8">
        <w:t>1</w:t>
      </w:r>
      <w:r w:rsidR="00FD7414">
        <w:rPr>
          <w:lang w:val="en-GB"/>
        </w:rPr>
        <w:t>8</w:t>
      </w:r>
      <w:r w:rsidRPr="00F325E8">
        <w:t xml:space="preserve">, TS 38.306], and is configured with </w:t>
      </w:r>
      <w:r w:rsidRPr="00F325E8">
        <w:rPr>
          <w:i/>
          <w:iCs/>
        </w:rPr>
        <w:t>tdm-PatternConfig</w:t>
      </w:r>
      <w:r w:rsidR="006F59DA">
        <w:rPr>
          <w:i/>
          <w:iCs/>
          <w:lang w:val="en-US"/>
        </w:rPr>
        <w:t>2</w:t>
      </w:r>
      <w:r w:rsidRPr="00F325E8">
        <w:t>, the UE does not transmit on the SCG in FR1 when the UE has overlapped transmission on a subframe on the MCG.</w:t>
      </w:r>
    </w:p>
    <w:p w14:paraId="525D2C3E" w14:textId="77777777" w:rsidR="00895CF2" w:rsidRPr="00B916EC" w:rsidRDefault="00895CF2" w:rsidP="0009732E">
      <w:pPr>
        <w:pStyle w:val="B1"/>
        <w:rPr>
          <w:lang w:val="en-US"/>
        </w:rPr>
      </w:pPr>
      <w:r>
        <w:rPr>
          <w:lang w:eastAsia="ja-JP"/>
        </w:rPr>
        <w:t>-</w:t>
      </w:r>
      <w:r>
        <w:rPr>
          <w:lang w:eastAsia="ja-JP"/>
        </w:rPr>
        <w:tab/>
        <w:t>If the UE indicate</w:t>
      </w:r>
      <w:r>
        <w:rPr>
          <w:lang w:val="en-US" w:eastAsia="ja-JP"/>
        </w:rPr>
        <w:t>s</w:t>
      </w:r>
      <w:r>
        <w:rPr>
          <w:lang w:eastAsia="ja-JP"/>
        </w:rPr>
        <w:t xml:space="preserve"> a capability for dynamic power sharing</w:t>
      </w:r>
      <w:r>
        <w:rPr>
          <w:lang w:val="en-US" w:eastAsia="ja-JP"/>
        </w:rPr>
        <w:t xml:space="preserve"> between E</w:t>
      </w:r>
      <w:r w:rsidR="003F6F6B">
        <w:rPr>
          <w:lang w:val="en-US" w:eastAsia="ja-JP"/>
        </w:rPr>
        <w:t>-</w:t>
      </w:r>
      <w:r>
        <w:rPr>
          <w:lang w:val="en-US" w:eastAsia="ja-JP"/>
        </w:rPr>
        <w:t xml:space="preserve">UTRA and NR </w:t>
      </w:r>
      <w:r w:rsidR="008B493E">
        <w:rPr>
          <w:lang w:val="en-US" w:eastAsia="ja-JP"/>
        </w:rPr>
        <w:t xml:space="preserve">for EN-DC </w:t>
      </w:r>
      <w:r>
        <w:rPr>
          <w:lang w:val="en-US" w:eastAsia="ja-JP"/>
        </w:rPr>
        <w:t>and</w:t>
      </w:r>
    </w:p>
    <w:p w14:paraId="5B771FB0" w14:textId="36FDEAD8" w:rsidR="00895CF2" w:rsidRDefault="00895CF2" w:rsidP="0009732E">
      <w:pPr>
        <w:pStyle w:val="B2"/>
        <w:rPr>
          <w:lang w:val="en-US"/>
        </w:rPr>
      </w:pPr>
      <w:r>
        <w:rPr>
          <w:lang w:val="en-US"/>
        </w:rPr>
        <w:t>-</w:t>
      </w:r>
      <w:r>
        <w:rPr>
          <w:lang w:val="en-US"/>
        </w:rPr>
        <w:tab/>
        <w:t xml:space="preserve">if UE transmission(s) in subframe </w:t>
      </w:r>
      <w:r w:rsidR="00ED3701">
        <w:rPr>
          <w:noProof/>
          <w:position w:val="-10"/>
        </w:rPr>
        <w:drawing>
          <wp:inline distT="0" distB="0" distL="0" distR="0" wp14:anchorId="70998E62" wp14:editId="4CE98E1E">
            <wp:extent cx="95250" cy="180975"/>
            <wp:effectExtent l="0" t="0" r="0" b="0"/>
            <wp:docPr id="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5250" cy="180975"/>
                    </a:xfrm>
                    <a:prstGeom prst="rect">
                      <a:avLst/>
                    </a:prstGeom>
                    <a:noFill/>
                    <a:ln>
                      <a:noFill/>
                    </a:ln>
                  </pic:spPr>
                </pic:pic>
              </a:graphicData>
            </a:graphic>
          </wp:inline>
        </w:drawing>
      </w:r>
      <w:r>
        <w:rPr>
          <w:rFonts w:hint="eastAsia"/>
          <w:lang w:eastAsia="zh-CN"/>
        </w:rPr>
        <w:t xml:space="preserve"> </w:t>
      </w:r>
      <w:r>
        <w:rPr>
          <w:lang w:val="en-US" w:eastAsia="zh-CN"/>
        </w:rPr>
        <w:t xml:space="preserve">of the MCG overlap in time with UE transmission(s) in slot </w:t>
      </w:r>
      <w:r w:rsidR="00ED3701">
        <w:rPr>
          <w:noProof/>
          <w:position w:val="-10"/>
        </w:rPr>
        <w:drawing>
          <wp:inline distT="0" distB="0" distL="0" distR="0" wp14:anchorId="4DF82A61" wp14:editId="679098CD">
            <wp:extent cx="95250" cy="180975"/>
            <wp:effectExtent l="0" t="0" r="0" b="0"/>
            <wp:docPr id="33"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5250" cy="180975"/>
                    </a:xfrm>
                    <a:prstGeom prst="rect">
                      <a:avLst/>
                    </a:prstGeom>
                    <a:noFill/>
                    <a:ln>
                      <a:noFill/>
                    </a:ln>
                  </pic:spPr>
                </pic:pic>
              </a:graphicData>
            </a:graphic>
          </wp:inline>
        </w:drawing>
      </w:r>
      <w:r>
        <w:rPr>
          <w:lang w:val="en-US"/>
        </w:rPr>
        <w:t xml:space="preserve"> of the SCG</w:t>
      </w:r>
      <w:r w:rsidR="003F6F6B" w:rsidRPr="003F6F6B">
        <w:rPr>
          <w:lang w:val="en-US"/>
        </w:rPr>
        <w:t xml:space="preserve"> </w:t>
      </w:r>
      <w:r w:rsidR="003F6F6B">
        <w:rPr>
          <w:lang w:val="en-US"/>
        </w:rPr>
        <w:t xml:space="preserve">in </w:t>
      </w:r>
      <w:r w:rsidR="008B493E">
        <w:rPr>
          <w:lang w:val="en-US"/>
        </w:rPr>
        <w:t>FR</w:t>
      </w:r>
      <w:r w:rsidR="003F6F6B">
        <w:rPr>
          <w:lang w:val="en-US"/>
        </w:rPr>
        <w:t>1</w:t>
      </w:r>
      <w:r>
        <w:rPr>
          <w:lang w:val="en-US"/>
        </w:rPr>
        <w:t>, and</w:t>
      </w:r>
    </w:p>
    <w:p w14:paraId="040782A0" w14:textId="50BDE321" w:rsidR="008B493E" w:rsidRDefault="008B493E" w:rsidP="008B493E">
      <w:pPr>
        <w:pStyle w:val="B2"/>
        <w:rPr>
          <w:lang w:val="en-US"/>
        </w:rPr>
      </w:pPr>
      <w:r>
        <w:rPr>
          <w:lang w:val="en-US"/>
        </w:rPr>
        <w:t>-</w:t>
      </w:r>
      <w:r>
        <w:rPr>
          <w:lang w:val="en-US"/>
        </w:rPr>
        <w:tab/>
        <w:t xml:space="preserve">if </w:t>
      </w:r>
      <w:r w:rsidR="00ED3701">
        <w:rPr>
          <w:noProof/>
          <w:position w:val="-10"/>
        </w:rPr>
        <w:drawing>
          <wp:inline distT="0" distB="0" distL="0" distR="0" wp14:anchorId="447EB0EB" wp14:editId="104C0DE6">
            <wp:extent cx="1476375" cy="180975"/>
            <wp:effectExtent l="0" t="0" r="0" b="0"/>
            <wp:docPr id="34"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76375" cy="180975"/>
                    </a:xfrm>
                    <a:prstGeom prst="rect">
                      <a:avLst/>
                    </a:prstGeom>
                    <a:noFill/>
                    <a:ln>
                      <a:noFill/>
                    </a:ln>
                  </pic:spPr>
                </pic:pic>
              </a:graphicData>
            </a:graphic>
          </wp:inline>
        </w:drawing>
      </w:r>
      <w:r>
        <w:rPr>
          <w:lang w:val="en-US"/>
        </w:rPr>
        <w:t xml:space="preserve"> in any portion of </w:t>
      </w:r>
      <w:r>
        <w:rPr>
          <w:lang w:val="en-US" w:eastAsia="zh-CN"/>
        </w:rPr>
        <w:t xml:space="preserve">slot </w:t>
      </w:r>
      <w:r w:rsidR="00ED3701">
        <w:rPr>
          <w:noProof/>
          <w:position w:val="-10"/>
        </w:rPr>
        <w:drawing>
          <wp:inline distT="0" distB="0" distL="0" distR="0" wp14:anchorId="4B55ED81" wp14:editId="7B44AAC4">
            <wp:extent cx="95250" cy="180975"/>
            <wp:effectExtent l="0" t="0" r="0" b="0"/>
            <wp:docPr id="35"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5250" cy="180975"/>
                    </a:xfrm>
                    <a:prstGeom prst="rect">
                      <a:avLst/>
                    </a:prstGeom>
                    <a:noFill/>
                    <a:ln>
                      <a:noFill/>
                    </a:ln>
                  </pic:spPr>
                </pic:pic>
              </a:graphicData>
            </a:graphic>
          </wp:inline>
        </w:drawing>
      </w:r>
      <w:r>
        <w:rPr>
          <w:lang w:val="en-US"/>
        </w:rPr>
        <w:t xml:space="preserve"> of the SCG</w:t>
      </w:r>
      <w:r>
        <w:rPr>
          <w:rFonts w:hint="eastAsia"/>
          <w:lang w:eastAsia="zh-CN"/>
        </w:rPr>
        <w:t xml:space="preserve">, </w:t>
      </w:r>
    </w:p>
    <w:p w14:paraId="2F2AE5E1" w14:textId="040CFC47" w:rsidR="00895CF2" w:rsidRPr="008B493E" w:rsidRDefault="00895CF2" w:rsidP="008B493E">
      <w:pPr>
        <w:pStyle w:val="B2"/>
        <w:rPr>
          <w:lang w:val="en-US"/>
        </w:rPr>
      </w:pPr>
      <w:r>
        <w:tab/>
      </w:r>
      <w:r w:rsidRPr="00B916EC">
        <w:t xml:space="preserve">the UE </w:t>
      </w:r>
      <w:r>
        <w:rPr>
          <w:lang w:eastAsia="zh-CN"/>
        </w:rPr>
        <w:t>reduces</w:t>
      </w:r>
      <w:r>
        <w:rPr>
          <w:rFonts w:hint="eastAsia"/>
          <w:lang w:eastAsia="zh-CN"/>
        </w:rPr>
        <w:t xml:space="preserve"> </w:t>
      </w:r>
      <w:r>
        <w:rPr>
          <w:lang w:val="en-US" w:eastAsia="zh-CN"/>
        </w:rPr>
        <w:t>transmission power</w:t>
      </w:r>
      <w:r w:rsidDel="001A0D35">
        <w:t xml:space="preserve"> </w:t>
      </w:r>
      <w:r>
        <w:rPr>
          <w:lang w:val="en-US" w:eastAsia="zh-CN"/>
        </w:rPr>
        <w:t xml:space="preserve">in </w:t>
      </w:r>
      <w:r w:rsidR="00DF291E">
        <w:rPr>
          <w:lang w:val="en-US" w:eastAsia="zh-CN"/>
        </w:rPr>
        <w:t xml:space="preserve">any </w:t>
      </w:r>
      <w:r>
        <w:rPr>
          <w:lang w:val="en-US"/>
        </w:rPr>
        <w:t xml:space="preserve">portion of </w:t>
      </w:r>
      <w:r>
        <w:rPr>
          <w:lang w:val="en-US" w:eastAsia="zh-CN"/>
        </w:rPr>
        <w:t xml:space="preserve">slot </w:t>
      </w:r>
      <w:r w:rsidR="00ED3701">
        <w:rPr>
          <w:noProof/>
          <w:position w:val="-10"/>
        </w:rPr>
        <w:drawing>
          <wp:inline distT="0" distB="0" distL="0" distR="0" wp14:anchorId="3A85484D" wp14:editId="518F5DC4">
            <wp:extent cx="95250" cy="180975"/>
            <wp:effectExtent l="0" t="0" r="0" b="0"/>
            <wp:docPr id="36"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5250" cy="180975"/>
                    </a:xfrm>
                    <a:prstGeom prst="rect">
                      <a:avLst/>
                    </a:prstGeom>
                    <a:noFill/>
                    <a:ln>
                      <a:noFill/>
                    </a:ln>
                  </pic:spPr>
                </pic:pic>
              </a:graphicData>
            </a:graphic>
          </wp:inline>
        </w:drawing>
      </w:r>
      <w:r>
        <w:rPr>
          <w:lang w:val="en-US"/>
        </w:rPr>
        <w:t xml:space="preserve"> </w:t>
      </w:r>
      <w:r>
        <w:rPr>
          <w:rFonts w:hint="eastAsia"/>
          <w:lang w:eastAsia="zh-CN"/>
        </w:rPr>
        <w:t>o</w:t>
      </w:r>
      <w:r>
        <w:rPr>
          <w:lang w:val="en-US" w:eastAsia="zh-CN"/>
        </w:rPr>
        <w:t>f</w:t>
      </w:r>
      <w:r>
        <w:rPr>
          <w:rFonts w:hint="eastAsia"/>
          <w:lang w:eastAsia="zh-CN"/>
        </w:rPr>
        <w:t xml:space="preserve"> the SCG so that </w:t>
      </w:r>
      <w:r w:rsidR="00ED3701">
        <w:rPr>
          <w:noProof/>
          <w:position w:val="-10"/>
        </w:rPr>
        <w:drawing>
          <wp:inline distT="0" distB="0" distL="0" distR="0" wp14:anchorId="26339508" wp14:editId="25F0D0FA">
            <wp:extent cx="1381125" cy="180975"/>
            <wp:effectExtent l="0" t="0" r="0" b="0"/>
            <wp:docPr id="3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81125" cy="180975"/>
                    </a:xfrm>
                    <a:prstGeom prst="rect">
                      <a:avLst/>
                    </a:prstGeom>
                    <a:noFill/>
                    <a:ln>
                      <a:noFill/>
                    </a:ln>
                  </pic:spPr>
                </pic:pic>
              </a:graphicData>
            </a:graphic>
          </wp:inline>
        </w:drawing>
      </w:r>
      <w:r w:rsidR="008B493E" w:rsidRPr="001A0D35">
        <w:rPr>
          <w:lang w:val="en-US"/>
        </w:rPr>
        <w:t xml:space="preserve"> </w:t>
      </w:r>
      <w:r w:rsidR="008B493E">
        <w:rPr>
          <w:lang w:val="en-US"/>
        </w:rPr>
        <w:t xml:space="preserve">in any portion of </w:t>
      </w:r>
      <w:r w:rsidR="008B493E">
        <w:rPr>
          <w:lang w:val="en-US" w:eastAsia="zh-CN"/>
        </w:rPr>
        <w:t xml:space="preserve">slot </w:t>
      </w:r>
      <w:r w:rsidR="00ED3701">
        <w:rPr>
          <w:noProof/>
          <w:position w:val="-10"/>
        </w:rPr>
        <w:drawing>
          <wp:inline distT="0" distB="0" distL="0" distR="0" wp14:anchorId="23E90C54" wp14:editId="1FAF6DD1">
            <wp:extent cx="95250" cy="180975"/>
            <wp:effectExtent l="0" t="0" r="0" b="0"/>
            <wp:docPr id="38"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5250" cy="180975"/>
                    </a:xfrm>
                    <a:prstGeom prst="rect">
                      <a:avLst/>
                    </a:prstGeom>
                    <a:noFill/>
                    <a:ln>
                      <a:noFill/>
                    </a:ln>
                  </pic:spPr>
                </pic:pic>
              </a:graphicData>
            </a:graphic>
          </wp:inline>
        </w:drawing>
      </w:r>
      <w:r w:rsidR="008B493E">
        <w:rPr>
          <w:lang w:val="en-US"/>
        </w:rPr>
        <w:t>,</w:t>
      </w:r>
      <w:r w:rsidR="008B493E">
        <w:rPr>
          <w:rFonts w:hint="eastAsia"/>
          <w:lang w:eastAsia="zh-CN"/>
        </w:rPr>
        <w:t xml:space="preserve"> where </w:t>
      </w:r>
      <w:r w:rsidR="00ED3701">
        <w:rPr>
          <w:noProof/>
          <w:position w:val="-10"/>
        </w:rPr>
        <w:drawing>
          <wp:inline distT="0" distB="0" distL="0" distR="0" wp14:anchorId="3E8AC3BD" wp14:editId="73912728">
            <wp:extent cx="352425" cy="180975"/>
            <wp:effectExtent l="0" t="0" r="0" b="0"/>
            <wp:docPr id="39"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2425" cy="180975"/>
                    </a:xfrm>
                    <a:prstGeom prst="rect">
                      <a:avLst/>
                    </a:prstGeom>
                    <a:noFill/>
                    <a:ln>
                      <a:noFill/>
                    </a:ln>
                  </pic:spPr>
                </pic:pic>
              </a:graphicData>
            </a:graphic>
          </wp:inline>
        </w:drawing>
      </w:r>
      <w:r w:rsidR="008B493E" w:rsidRPr="00B916EC">
        <w:t xml:space="preserve"> </w:t>
      </w:r>
      <w:r w:rsidR="008B493E">
        <w:t>and</w:t>
      </w:r>
      <w:r w:rsidR="008B493E" w:rsidRPr="00B916EC">
        <w:t xml:space="preserve"> </w:t>
      </w:r>
      <w:r w:rsidR="00ED3701">
        <w:rPr>
          <w:noProof/>
          <w:position w:val="-10"/>
        </w:rPr>
        <w:drawing>
          <wp:inline distT="0" distB="0" distL="0" distR="0" wp14:anchorId="6C83FF9A" wp14:editId="4AAE1FC1">
            <wp:extent cx="466725" cy="180975"/>
            <wp:effectExtent l="0" t="0" r="0" b="0"/>
            <wp:docPr id="40"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6725" cy="180975"/>
                    </a:xfrm>
                    <a:prstGeom prst="rect">
                      <a:avLst/>
                    </a:prstGeom>
                    <a:noFill/>
                    <a:ln>
                      <a:noFill/>
                    </a:ln>
                  </pic:spPr>
                </pic:pic>
              </a:graphicData>
            </a:graphic>
          </wp:inline>
        </w:drawing>
      </w:r>
      <w:r w:rsidR="008B493E" w:rsidRPr="00B916EC">
        <w:t xml:space="preserve"> </w:t>
      </w:r>
      <w:r w:rsidR="008B493E">
        <w:rPr>
          <w:lang w:val="en-US"/>
        </w:rPr>
        <w:t xml:space="preserve">are </w:t>
      </w:r>
      <w:r w:rsidR="008B493E" w:rsidRPr="00B916EC">
        <w:t xml:space="preserve">the linear values of the </w:t>
      </w:r>
      <w:r w:rsidR="008B493E">
        <w:rPr>
          <w:lang w:val="en-US"/>
        </w:rPr>
        <w:t xml:space="preserve">total </w:t>
      </w:r>
      <w:r w:rsidR="008B493E">
        <w:t>UE transmi</w:t>
      </w:r>
      <w:r w:rsidR="008B493E">
        <w:rPr>
          <w:lang w:val="en-US"/>
        </w:rPr>
        <w:t>ssion</w:t>
      </w:r>
      <w:r w:rsidR="008B493E" w:rsidRPr="00B916EC">
        <w:t xml:space="preserve"> power</w:t>
      </w:r>
      <w:r w:rsidR="008B493E">
        <w:rPr>
          <w:rFonts w:hint="eastAsia"/>
          <w:lang w:eastAsia="zh-CN"/>
        </w:rPr>
        <w:t>s</w:t>
      </w:r>
      <w:r w:rsidR="008B493E">
        <w:t xml:space="preserve"> </w:t>
      </w:r>
      <w:r w:rsidR="008B493E">
        <w:rPr>
          <w:lang w:val="en-US"/>
        </w:rPr>
        <w:t>in</w:t>
      </w:r>
      <w:r w:rsidR="008B493E">
        <w:rPr>
          <w:rFonts w:hint="eastAsia"/>
          <w:lang w:eastAsia="zh-CN"/>
        </w:rPr>
        <w:t xml:space="preserve"> subframe </w:t>
      </w:r>
      <w:r w:rsidR="00ED3701">
        <w:rPr>
          <w:noProof/>
          <w:position w:val="-10"/>
        </w:rPr>
        <w:drawing>
          <wp:inline distT="0" distB="0" distL="0" distR="0" wp14:anchorId="1EF19DE6" wp14:editId="188FBB53">
            <wp:extent cx="95250" cy="180975"/>
            <wp:effectExtent l="0" t="0" r="0" b="0"/>
            <wp:docPr id="41"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5250" cy="180975"/>
                    </a:xfrm>
                    <a:prstGeom prst="rect">
                      <a:avLst/>
                    </a:prstGeom>
                    <a:noFill/>
                    <a:ln>
                      <a:noFill/>
                    </a:ln>
                  </pic:spPr>
                </pic:pic>
              </a:graphicData>
            </a:graphic>
          </wp:inline>
        </w:drawing>
      </w:r>
      <w:r w:rsidR="008B493E">
        <w:rPr>
          <w:rFonts w:hint="eastAsia"/>
          <w:lang w:eastAsia="zh-CN"/>
        </w:rPr>
        <w:t xml:space="preserve"> </w:t>
      </w:r>
      <w:r w:rsidR="008B493E">
        <w:rPr>
          <w:lang w:val="en-US" w:eastAsia="zh-CN"/>
        </w:rPr>
        <w:t xml:space="preserve">of the MCG </w:t>
      </w:r>
      <w:r w:rsidR="008B493E">
        <w:t xml:space="preserve">and </w:t>
      </w:r>
      <w:r w:rsidR="008B493E">
        <w:rPr>
          <w:lang w:val="en-US"/>
        </w:rPr>
        <w:t>in</w:t>
      </w:r>
      <w:r w:rsidR="008B493E">
        <w:rPr>
          <w:rFonts w:hint="eastAsia"/>
          <w:lang w:eastAsia="zh-CN"/>
        </w:rPr>
        <w:t xml:space="preserve"> slot </w:t>
      </w:r>
      <w:r w:rsidR="00ED3701">
        <w:rPr>
          <w:noProof/>
          <w:position w:val="-10"/>
        </w:rPr>
        <w:drawing>
          <wp:inline distT="0" distB="0" distL="0" distR="0" wp14:anchorId="36434A36" wp14:editId="3C476961">
            <wp:extent cx="95250" cy="180975"/>
            <wp:effectExtent l="0" t="0" r="0" b="0"/>
            <wp:docPr id="4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5250" cy="180975"/>
                    </a:xfrm>
                    <a:prstGeom prst="rect">
                      <a:avLst/>
                    </a:prstGeom>
                    <a:noFill/>
                    <a:ln>
                      <a:noFill/>
                    </a:ln>
                  </pic:spPr>
                </pic:pic>
              </a:graphicData>
            </a:graphic>
          </wp:inline>
        </w:drawing>
      </w:r>
      <w:r w:rsidR="008B493E">
        <w:rPr>
          <w:lang w:val="en-US"/>
        </w:rPr>
        <w:t xml:space="preserve"> of</w:t>
      </w:r>
      <w:r>
        <w:rPr>
          <w:lang w:val="en-US"/>
        </w:rPr>
        <w:t xml:space="preserve"> the SCG</w:t>
      </w:r>
      <w:r w:rsidR="003F6F6B" w:rsidRPr="003F6F6B">
        <w:rPr>
          <w:lang w:val="en-US"/>
        </w:rPr>
        <w:t xml:space="preserve"> </w:t>
      </w:r>
      <w:r w:rsidR="003F6F6B">
        <w:rPr>
          <w:lang w:val="en-US"/>
        </w:rPr>
        <w:t xml:space="preserve">in </w:t>
      </w:r>
      <w:r w:rsidR="008B493E">
        <w:rPr>
          <w:lang w:val="en-US"/>
        </w:rPr>
        <w:t>FR</w:t>
      </w:r>
      <w:r w:rsidR="003F6F6B">
        <w:rPr>
          <w:lang w:val="en-US"/>
        </w:rPr>
        <w:t>1</w:t>
      </w:r>
      <w:r w:rsidRPr="00B916EC">
        <w:t>, respectively.</w:t>
      </w:r>
      <w:r w:rsidR="008B493E">
        <w:rPr>
          <w:lang w:val="en-US"/>
        </w:rPr>
        <w:t xml:space="preserve"> </w:t>
      </w:r>
      <w:r w:rsidR="008B493E" w:rsidRPr="00163936">
        <w:rPr>
          <w:lang w:val="en-US"/>
        </w:rPr>
        <w:t xml:space="preserve">The UE is not required to transmit </w:t>
      </w:r>
      <w:r w:rsidR="008B493E" w:rsidRPr="00163936">
        <w:rPr>
          <w:lang w:val="en-US" w:eastAsia="zh-CN"/>
        </w:rPr>
        <w:t xml:space="preserve">in any </w:t>
      </w:r>
      <w:r w:rsidR="008B493E" w:rsidRPr="00163936">
        <w:rPr>
          <w:lang w:val="en-US"/>
        </w:rPr>
        <w:t xml:space="preserve">portion of </w:t>
      </w:r>
      <w:r w:rsidR="008B493E" w:rsidRPr="00163936">
        <w:rPr>
          <w:lang w:val="en-US" w:eastAsia="zh-CN"/>
        </w:rPr>
        <w:t xml:space="preserve">slot </w:t>
      </w:r>
      <w:r w:rsidR="00ED3701">
        <w:rPr>
          <w:noProof/>
          <w:position w:val="-10"/>
        </w:rPr>
        <w:drawing>
          <wp:inline distT="0" distB="0" distL="0" distR="0" wp14:anchorId="4E82C24C" wp14:editId="737F65F5">
            <wp:extent cx="95250" cy="180975"/>
            <wp:effectExtent l="0" t="0" r="0" b="0"/>
            <wp:docPr id="43"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5250" cy="180975"/>
                    </a:xfrm>
                    <a:prstGeom prst="rect">
                      <a:avLst/>
                    </a:prstGeom>
                    <a:noFill/>
                    <a:ln>
                      <a:noFill/>
                    </a:ln>
                  </pic:spPr>
                </pic:pic>
              </a:graphicData>
            </a:graphic>
          </wp:inline>
        </w:drawing>
      </w:r>
      <w:r w:rsidR="008B493E" w:rsidRPr="00163936">
        <w:rPr>
          <w:lang w:val="en-US"/>
        </w:rPr>
        <w:t xml:space="preserve"> of the SCG if </w:t>
      </w:r>
      <w:r w:rsidR="00ED3701">
        <w:rPr>
          <w:noProof/>
          <w:position w:val="-10"/>
        </w:rPr>
        <w:drawing>
          <wp:inline distT="0" distB="0" distL="0" distR="0" wp14:anchorId="0964BECC" wp14:editId="4D9CC50C">
            <wp:extent cx="466725" cy="180975"/>
            <wp:effectExtent l="0" t="0" r="0" b="0"/>
            <wp:docPr id="44"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6725" cy="180975"/>
                    </a:xfrm>
                    <a:prstGeom prst="rect">
                      <a:avLst/>
                    </a:prstGeom>
                    <a:noFill/>
                    <a:ln>
                      <a:noFill/>
                    </a:ln>
                  </pic:spPr>
                </pic:pic>
              </a:graphicData>
            </a:graphic>
          </wp:inline>
        </w:drawing>
      </w:r>
      <w:r w:rsidR="008B493E" w:rsidRPr="00163936">
        <w:rPr>
          <w:lang w:val="en-US"/>
        </w:rPr>
        <w:t xml:space="preserve"> would need to be reduced by more than the value provided by </w:t>
      </w:r>
      <w:r w:rsidR="008B493E" w:rsidRPr="00163936">
        <w:rPr>
          <w:i/>
          <w:lang w:val="en-US"/>
        </w:rPr>
        <w:t>X</w:t>
      </w:r>
      <w:r w:rsidR="008B493E" w:rsidRPr="00163936">
        <w:rPr>
          <w:i/>
          <w:vertAlign w:val="subscript"/>
          <w:lang w:val="en-US"/>
        </w:rPr>
        <w:t>SCALE</w:t>
      </w:r>
      <w:r w:rsidR="008B493E" w:rsidRPr="00163936">
        <w:rPr>
          <w:lang w:val="en-US"/>
        </w:rPr>
        <w:t xml:space="preserve"> in order for </w:t>
      </w:r>
      <w:r w:rsidR="00ED3701">
        <w:rPr>
          <w:noProof/>
          <w:position w:val="-10"/>
        </w:rPr>
        <w:drawing>
          <wp:inline distT="0" distB="0" distL="0" distR="0" wp14:anchorId="78F83BC6" wp14:editId="31D3A3B9">
            <wp:extent cx="1381125" cy="180975"/>
            <wp:effectExtent l="0" t="0" r="0" b="0"/>
            <wp:docPr id="45"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81125" cy="180975"/>
                    </a:xfrm>
                    <a:prstGeom prst="rect">
                      <a:avLst/>
                    </a:prstGeom>
                    <a:noFill/>
                    <a:ln>
                      <a:noFill/>
                    </a:ln>
                  </pic:spPr>
                </pic:pic>
              </a:graphicData>
            </a:graphic>
          </wp:inline>
        </w:drawing>
      </w:r>
      <w:r w:rsidR="008B493E" w:rsidRPr="00163936">
        <w:rPr>
          <w:lang w:val="en-US"/>
        </w:rPr>
        <w:t xml:space="preserve"> in any portion of slot </w:t>
      </w:r>
      <w:r w:rsidR="00ED3701">
        <w:rPr>
          <w:noProof/>
          <w:position w:val="-10"/>
        </w:rPr>
        <w:drawing>
          <wp:inline distT="0" distB="0" distL="0" distR="0" wp14:anchorId="661A0673" wp14:editId="066E0184">
            <wp:extent cx="95250" cy="180975"/>
            <wp:effectExtent l="0" t="0" r="0" b="0"/>
            <wp:docPr id="46"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5250" cy="180975"/>
                    </a:xfrm>
                    <a:prstGeom prst="rect">
                      <a:avLst/>
                    </a:prstGeom>
                    <a:noFill/>
                    <a:ln>
                      <a:noFill/>
                    </a:ln>
                  </pic:spPr>
                </pic:pic>
              </a:graphicData>
            </a:graphic>
          </wp:inline>
        </w:drawing>
      </w:r>
      <w:r w:rsidR="008B493E" w:rsidRPr="00163936">
        <w:rPr>
          <w:rFonts w:hint="eastAsia"/>
          <w:lang w:eastAsia="zh-CN"/>
        </w:rPr>
        <w:t xml:space="preserve"> o</w:t>
      </w:r>
      <w:r w:rsidR="008B493E" w:rsidRPr="00163936">
        <w:rPr>
          <w:lang w:val="en-US" w:eastAsia="zh-CN"/>
        </w:rPr>
        <w:t>f</w:t>
      </w:r>
      <w:r w:rsidR="008B493E" w:rsidRPr="00163936">
        <w:rPr>
          <w:rFonts w:hint="eastAsia"/>
          <w:lang w:eastAsia="zh-CN"/>
        </w:rPr>
        <w:t xml:space="preserve"> the SCG</w:t>
      </w:r>
      <w:r w:rsidR="008B493E" w:rsidRPr="00163936">
        <w:rPr>
          <w:lang w:val="en-US"/>
        </w:rPr>
        <w:t xml:space="preserve">. The UE is required to transmit </w:t>
      </w:r>
      <w:r w:rsidR="008B493E" w:rsidRPr="00163936">
        <w:rPr>
          <w:lang w:val="en-US" w:eastAsia="zh-CN"/>
        </w:rPr>
        <w:t xml:space="preserve">in slot </w:t>
      </w:r>
      <w:r w:rsidR="00ED3701">
        <w:rPr>
          <w:noProof/>
          <w:position w:val="-10"/>
        </w:rPr>
        <w:drawing>
          <wp:inline distT="0" distB="0" distL="0" distR="0" wp14:anchorId="0F765CCC" wp14:editId="2DA2E3F7">
            <wp:extent cx="95250" cy="180975"/>
            <wp:effectExtent l="0" t="0" r="0" b="0"/>
            <wp:docPr id="4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5250" cy="180975"/>
                    </a:xfrm>
                    <a:prstGeom prst="rect">
                      <a:avLst/>
                    </a:prstGeom>
                    <a:noFill/>
                    <a:ln>
                      <a:noFill/>
                    </a:ln>
                  </pic:spPr>
                </pic:pic>
              </a:graphicData>
            </a:graphic>
          </wp:inline>
        </w:drawing>
      </w:r>
      <w:r w:rsidR="008B493E" w:rsidRPr="00163936">
        <w:rPr>
          <w:lang w:val="en-US"/>
        </w:rPr>
        <w:t xml:space="preserve"> of the SCG if </w:t>
      </w:r>
      <w:r w:rsidR="00ED3701">
        <w:rPr>
          <w:noProof/>
          <w:position w:val="-10"/>
        </w:rPr>
        <w:drawing>
          <wp:inline distT="0" distB="0" distL="0" distR="0" wp14:anchorId="4AD2AA9E" wp14:editId="37FC4C51">
            <wp:extent cx="352425" cy="180975"/>
            <wp:effectExtent l="0" t="0" r="0" b="0"/>
            <wp:docPr id="48"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2425" cy="180975"/>
                    </a:xfrm>
                    <a:prstGeom prst="rect">
                      <a:avLst/>
                    </a:prstGeom>
                    <a:noFill/>
                    <a:ln>
                      <a:noFill/>
                    </a:ln>
                  </pic:spPr>
                </pic:pic>
              </a:graphicData>
            </a:graphic>
          </wp:inline>
        </w:drawing>
      </w:r>
      <w:r w:rsidR="008B493E" w:rsidRPr="00163936">
        <w:rPr>
          <w:lang w:val="en-US"/>
        </w:rPr>
        <w:t xml:space="preserve"> would not need to be reduced by more than the value provided by </w:t>
      </w:r>
      <w:r w:rsidR="008B493E" w:rsidRPr="00163936">
        <w:rPr>
          <w:i/>
          <w:lang w:val="en-US"/>
        </w:rPr>
        <w:t>X</w:t>
      </w:r>
      <w:r w:rsidR="008B493E" w:rsidRPr="00163936">
        <w:rPr>
          <w:i/>
          <w:vertAlign w:val="subscript"/>
          <w:lang w:val="en-US"/>
        </w:rPr>
        <w:t>SCALE</w:t>
      </w:r>
      <w:r w:rsidR="008B493E" w:rsidRPr="00163936">
        <w:rPr>
          <w:lang w:val="en-US"/>
        </w:rPr>
        <w:t xml:space="preserve"> in order for </w:t>
      </w:r>
      <w:r w:rsidR="00ED3701">
        <w:rPr>
          <w:noProof/>
          <w:position w:val="-10"/>
        </w:rPr>
        <w:drawing>
          <wp:inline distT="0" distB="0" distL="0" distR="0" wp14:anchorId="0EE84532" wp14:editId="23BBEFB7">
            <wp:extent cx="1266825" cy="180975"/>
            <wp:effectExtent l="0" t="0" r="0" b="0"/>
            <wp:docPr id="49"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66825" cy="180975"/>
                    </a:xfrm>
                    <a:prstGeom prst="rect">
                      <a:avLst/>
                    </a:prstGeom>
                    <a:noFill/>
                    <a:ln>
                      <a:noFill/>
                    </a:ln>
                  </pic:spPr>
                </pic:pic>
              </a:graphicData>
            </a:graphic>
          </wp:inline>
        </w:drawing>
      </w:r>
      <w:r w:rsidR="008B493E" w:rsidRPr="00163936">
        <w:rPr>
          <w:lang w:val="en-US"/>
        </w:rPr>
        <w:t xml:space="preserve"> in all portions of slot </w:t>
      </w:r>
      <w:r w:rsidR="00ED3701">
        <w:rPr>
          <w:noProof/>
          <w:position w:val="-10"/>
        </w:rPr>
        <w:drawing>
          <wp:inline distT="0" distB="0" distL="0" distR="0" wp14:anchorId="7FB341D0" wp14:editId="7F2EC320">
            <wp:extent cx="95250" cy="180975"/>
            <wp:effectExtent l="0" t="0" r="0" b="0"/>
            <wp:docPr id="50"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5250" cy="180975"/>
                    </a:xfrm>
                    <a:prstGeom prst="rect">
                      <a:avLst/>
                    </a:prstGeom>
                    <a:noFill/>
                    <a:ln>
                      <a:noFill/>
                    </a:ln>
                  </pic:spPr>
                </pic:pic>
              </a:graphicData>
            </a:graphic>
          </wp:inline>
        </w:drawing>
      </w:r>
      <w:r w:rsidR="008B493E" w:rsidRPr="00163936">
        <w:rPr>
          <w:lang w:val="en-US"/>
        </w:rPr>
        <w:t>.</w:t>
      </w:r>
    </w:p>
    <w:p w14:paraId="1BC1B398" w14:textId="40991E60" w:rsidR="00895CF2" w:rsidRDefault="00895CF2" w:rsidP="0009732E">
      <w:pPr>
        <w:pStyle w:val="B1"/>
      </w:pPr>
      <w:r>
        <w:t>-</w:t>
      </w:r>
      <w:r>
        <w:tab/>
        <w:t xml:space="preserve">If the UE </w:t>
      </w:r>
      <w:r w:rsidRPr="00F809A6">
        <w:rPr>
          <w:lang w:val="en-US"/>
        </w:rPr>
        <w:t xml:space="preserve">does </w:t>
      </w:r>
      <w:r>
        <w:rPr>
          <w:lang w:eastAsia="ja-JP"/>
        </w:rPr>
        <w:t>not indicate a capability for dynamic power sharing</w:t>
      </w:r>
      <w:r w:rsidRPr="00F809A6">
        <w:rPr>
          <w:lang w:val="en-US" w:eastAsia="ja-JP"/>
        </w:rPr>
        <w:t xml:space="preserve"> between E</w:t>
      </w:r>
      <w:r w:rsidR="003F6F6B">
        <w:rPr>
          <w:lang w:val="en-US" w:eastAsia="ja-JP"/>
        </w:rPr>
        <w:t>-</w:t>
      </w:r>
      <w:r w:rsidRPr="00F809A6">
        <w:rPr>
          <w:lang w:val="en-US" w:eastAsia="ja-JP"/>
        </w:rPr>
        <w:t>UTRA and NR</w:t>
      </w:r>
      <w:r w:rsidR="008B493E">
        <w:rPr>
          <w:lang w:val="en-US" w:eastAsia="ja-JP"/>
        </w:rPr>
        <w:t xml:space="preserve"> for EN-DC</w:t>
      </w:r>
      <w:r>
        <w:rPr>
          <w:lang w:val="en-US" w:eastAsia="ja-JP"/>
        </w:rPr>
        <w:t xml:space="preserve">, the UE </w:t>
      </w:r>
      <w:r w:rsidR="003F6F6B">
        <w:rPr>
          <w:lang w:val="en-US" w:eastAsia="ja-JP"/>
        </w:rPr>
        <w:t xml:space="preserve">expects </w:t>
      </w:r>
      <w:r>
        <w:rPr>
          <w:lang w:val="en-US" w:eastAsia="ja-JP"/>
        </w:rPr>
        <w:t xml:space="preserve">to be configured </w:t>
      </w:r>
      <w:r>
        <w:rPr>
          <w:rFonts w:hint="eastAsia"/>
          <w:lang w:eastAsia="zh-CN"/>
        </w:rPr>
        <w:t xml:space="preserve">with </w:t>
      </w:r>
      <w:r w:rsidRPr="00EB5B01">
        <w:t>reference TDD configuration</w:t>
      </w:r>
      <w:r>
        <w:rPr>
          <w:rFonts w:hint="eastAsia"/>
          <w:lang w:eastAsia="zh-CN"/>
        </w:rPr>
        <w:t xml:space="preserve"> </w:t>
      </w:r>
      <w:r>
        <w:rPr>
          <w:lang w:val="en-US" w:eastAsia="zh-CN"/>
        </w:rPr>
        <w:t>for E</w:t>
      </w:r>
      <w:r w:rsidR="003F6F6B">
        <w:rPr>
          <w:lang w:val="en-US" w:eastAsia="zh-CN"/>
        </w:rPr>
        <w:t>-</w:t>
      </w:r>
      <w:r>
        <w:rPr>
          <w:lang w:val="en-US" w:eastAsia="zh-CN"/>
        </w:rPr>
        <w:t xml:space="preserve">UTRA by </w:t>
      </w:r>
      <w:r w:rsidR="00DF291E" w:rsidRPr="001930CB">
        <w:rPr>
          <w:i/>
          <w:iCs/>
          <w:lang w:eastAsia="zh-CN"/>
        </w:rPr>
        <w:t>tdm-PatternConfig</w:t>
      </w:r>
      <w:r w:rsidRPr="00BE2EE9">
        <w:rPr>
          <w:rFonts w:hint="eastAsia"/>
          <w:lang w:val="en-US" w:eastAsia="zh-CN"/>
        </w:rPr>
        <w:t xml:space="preserve"> </w:t>
      </w:r>
      <w:r>
        <w:rPr>
          <w:lang w:val="en-US" w:eastAsia="zh-CN"/>
        </w:rPr>
        <w:t xml:space="preserve">in </w:t>
      </w:r>
      <w:r>
        <w:rPr>
          <w:rFonts w:hint="eastAsia"/>
          <w:lang w:eastAsia="zh-CN"/>
        </w:rPr>
        <w:t>[13, TS</w:t>
      </w:r>
      <w:r>
        <w:rPr>
          <w:lang w:eastAsia="zh-CN"/>
        </w:rPr>
        <w:t xml:space="preserve"> </w:t>
      </w:r>
      <w:r>
        <w:rPr>
          <w:rFonts w:hint="eastAsia"/>
          <w:lang w:eastAsia="zh-CN"/>
        </w:rPr>
        <w:t>36.213]</w:t>
      </w:r>
      <w:r>
        <w:rPr>
          <w:lang w:val="en-US" w:eastAsia="zh-CN"/>
        </w:rPr>
        <w:t>.</w:t>
      </w:r>
      <w:r>
        <w:t xml:space="preserve"> </w:t>
      </w:r>
    </w:p>
    <w:p w14:paraId="7113934D" w14:textId="77777777" w:rsidR="00462723" w:rsidRPr="00C463CB" w:rsidRDefault="00462723" w:rsidP="00462723">
      <w:pPr>
        <w:pStyle w:val="Heading3"/>
      </w:pPr>
      <w:bookmarkStart w:id="257" w:name="_Toc12021455"/>
      <w:bookmarkStart w:id="258" w:name="_Toc20311567"/>
      <w:bookmarkStart w:id="259" w:name="_Toc26719392"/>
      <w:bookmarkStart w:id="260" w:name="_Toc29894823"/>
      <w:bookmarkStart w:id="261" w:name="_Toc29899122"/>
      <w:bookmarkStart w:id="262" w:name="_Toc29899540"/>
      <w:bookmarkStart w:id="263" w:name="_Toc29917277"/>
      <w:bookmarkStart w:id="264" w:name="_Toc36498151"/>
      <w:bookmarkStart w:id="265" w:name="_Toc45699177"/>
      <w:bookmarkStart w:id="266" w:name="_Toc161999102"/>
      <w:r w:rsidRPr="00B916EC">
        <w:t>7</w:t>
      </w:r>
      <w:r>
        <w:t>.6.1A</w:t>
      </w:r>
      <w:r w:rsidRPr="00B916EC">
        <w:tab/>
      </w:r>
      <w:r>
        <w:t>NE-DC</w:t>
      </w:r>
      <w:bookmarkEnd w:id="257"/>
      <w:bookmarkEnd w:id="258"/>
      <w:bookmarkEnd w:id="259"/>
      <w:bookmarkEnd w:id="260"/>
      <w:bookmarkEnd w:id="261"/>
      <w:bookmarkEnd w:id="262"/>
      <w:bookmarkEnd w:id="263"/>
      <w:bookmarkEnd w:id="264"/>
      <w:bookmarkEnd w:id="265"/>
      <w:bookmarkEnd w:id="266"/>
    </w:p>
    <w:p w14:paraId="1706DCF2" w14:textId="16C05313" w:rsidR="00542CF6" w:rsidRDefault="00462723" w:rsidP="00462723">
      <w:pPr>
        <w:rPr>
          <w:lang w:eastAsia="ja-JP"/>
        </w:rPr>
      </w:pPr>
      <w:r w:rsidRPr="00B916EC">
        <w:t>If a UE is configured with a</w:t>
      </w:r>
      <w:r w:rsidR="00F44495">
        <w:t>n</w:t>
      </w:r>
      <w:r w:rsidRPr="00B916EC">
        <w:t xml:space="preserve"> MCG using </w:t>
      </w:r>
      <w:r>
        <w:t>NR</w:t>
      </w:r>
      <w:r w:rsidRPr="00B916EC">
        <w:t xml:space="preserve"> radio access and with a SCG using </w:t>
      </w:r>
      <w:r>
        <w:rPr>
          <w:lang w:eastAsia="ja-JP"/>
        </w:rPr>
        <w:t>E-UTRA</w:t>
      </w:r>
      <w:r w:rsidRPr="00B916EC">
        <w:rPr>
          <w:lang w:eastAsia="ja-JP"/>
        </w:rPr>
        <w:t xml:space="preserve"> radio access, </w:t>
      </w:r>
      <w:r>
        <w:rPr>
          <w:lang w:eastAsia="ja-JP"/>
        </w:rPr>
        <w:t xml:space="preserve">the UE is configured a maximum power </w:t>
      </w:r>
      <w:r w:rsidR="00ED3701">
        <w:rPr>
          <w:noProof/>
          <w:position w:val="-10"/>
        </w:rPr>
        <w:drawing>
          <wp:inline distT="0" distB="0" distL="0" distR="0" wp14:anchorId="1AF0C0AD" wp14:editId="4C348ADE">
            <wp:extent cx="180975" cy="180975"/>
            <wp:effectExtent l="0" t="0" r="0" b="0"/>
            <wp:docPr id="51"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lang w:eastAsia="ja-JP"/>
        </w:rPr>
        <w:t xml:space="preserve"> for transmissions in FR1 on the MCG by </w:t>
      </w:r>
      <w:r>
        <w:rPr>
          <w:i/>
          <w:lang w:eastAsia="ja-JP"/>
        </w:rPr>
        <w:t>p-NR</w:t>
      </w:r>
      <w:r w:rsidR="00542CF6">
        <w:rPr>
          <w:i/>
          <w:lang w:eastAsia="ja-JP"/>
        </w:rPr>
        <w:t>-FR1</w:t>
      </w:r>
      <w:r>
        <w:rPr>
          <w:lang w:eastAsia="ja-JP"/>
        </w:rPr>
        <w:t xml:space="preserve"> and a maximum power </w:t>
      </w:r>
      <w:r w:rsidR="00ED3701">
        <w:rPr>
          <w:noProof/>
          <w:position w:val="-10"/>
        </w:rPr>
        <w:drawing>
          <wp:inline distT="0" distB="0" distL="0" distR="0" wp14:anchorId="211C66EB" wp14:editId="713C9FF5">
            <wp:extent cx="276225" cy="180975"/>
            <wp:effectExtent l="0" t="0" r="0" b="0"/>
            <wp:docPr id="5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t xml:space="preserve"> </w:t>
      </w:r>
      <w:r>
        <w:rPr>
          <w:lang w:eastAsia="ja-JP"/>
        </w:rPr>
        <w:t xml:space="preserve">for transmissions on the SCG by </w:t>
      </w:r>
      <w:r>
        <w:rPr>
          <w:i/>
          <w:lang w:eastAsia="ja-JP"/>
        </w:rPr>
        <w:t>p-MaxEUTRA</w:t>
      </w:r>
      <w:r>
        <w:rPr>
          <w:lang w:eastAsia="ja-JP"/>
        </w:rPr>
        <w:t xml:space="preserve">. </w:t>
      </w:r>
    </w:p>
    <w:p w14:paraId="7D570002" w14:textId="23FDD80C" w:rsidR="00462723" w:rsidRDefault="00462723" w:rsidP="00462723">
      <w:pPr>
        <w:rPr>
          <w:lang w:val="en-US"/>
        </w:rPr>
      </w:pPr>
      <w:r>
        <w:rPr>
          <w:lang w:val="en-US"/>
        </w:rPr>
        <w:t>The UE determines</w:t>
      </w:r>
      <w:r w:rsidRPr="001C7D27">
        <w:t xml:space="preserve"> </w:t>
      </w:r>
      <w:r>
        <w:t>transmission power for the MCG in FR1 as described</w:t>
      </w:r>
      <w:r w:rsidRPr="001C7D27">
        <w:t xml:space="preserve"> </w:t>
      </w:r>
      <w:r w:rsidR="006F5F9E">
        <w:t>in c</w:t>
      </w:r>
      <w:r w:rsidR="00EE236C">
        <w:t>lause</w:t>
      </w:r>
      <w:r w:rsidRPr="001C7D27">
        <w:t>s</w:t>
      </w:r>
      <w:r>
        <w:t xml:space="preserve"> 7.1</w:t>
      </w:r>
      <w:r w:rsidRPr="001C7D27">
        <w:t xml:space="preserve"> throu</w:t>
      </w:r>
      <w:r>
        <w:t>gh 7.5</w:t>
      </w:r>
      <w:r>
        <w:rPr>
          <w:lang w:val="en-US"/>
        </w:rPr>
        <w:t xml:space="preserve"> using </w:t>
      </w:r>
      <w:r w:rsidR="00ED3701">
        <w:rPr>
          <w:noProof/>
          <w:position w:val="-10"/>
        </w:rPr>
        <w:drawing>
          <wp:inline distT="0" distB="0" distL="0" distR="0" wp14:anchorId="59A51671" wp14:editId="484BEE32">
            <wp:extent cx="180975" cy="180975"/>
            <wp:effectExtent l="0" t="0" r="0" b="0"/>
            <wp:docPr id="53"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lang w:val="en-US"/>
        </w:rPr>
        <w:t xml:space="preserve"> as the maximum transmission </w:t>
      </w:r>
      <w:r w:rsidRPr="00186758">
        <w:rPr>
          <w:lang w:val="en-US"/>
        </w:rPr>
        <w:t>power</w:t>
      </w:r>
      <w:r w:rsidRPr="00186758">
        <w:t xml:space="preserve"> for </w:t>
      </w:r>
      <w:r w:rsidR="00ED3701">
        <w:rPr>
          <w:noProof/>
          <w:position w:val="-10"/>
        </w:rPr>
        <w:drawing>
          <wp:inline distT="0" distB="0" distL="0" distR="0" wp14:anchorId="2D5ADB6C" wp14:editId="707F5A32">
            <wp:extent cx="638175" cy="180975"/>
            <wp:effectExtent l="0" t="0" r="0" b="0"/>
            <wp:docPr id="54"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8175" cy="180975"/>
                    </a:xfrm>
                    <a:prstGeom prst="rect">
                      <a:avLst/>
                    </a:prstGeom>
                    <a:noFill/>
                    <a:ln>
                      <a:noFill/>
                    </a:ln>
                  </pic:spPr>
                </pic:pic>
              </a:graphicData>
            </a:graphic>
          </wp:inline>
        </w:drawing>
      </w:r>
      <w:r w:rsidRPr="00186758">
        <w:rPr>
          <w:lang w:val="en-US"/>
        </w:rPr>
        <w:t>.</w:t>
      </w:r>
      <w:r>
        <w:rPr>
          <w:lang w:val="en-US"/>
        </w:rPr>
        <w:t xml:space="preserve"> The UE determines</w:t>
      </w:r>
      <w:r w:rsidRPr="001C7D27">
        <w:t xml:space="preserve"> </w:t>
      </w:r>
      <w:r>
        <w:t>transmission power for the MCG in FR2 as described</w:t>
      </w:r>
      <w:r w:rsidR="006F5F9E">
        <w:t xml:space="preserve"> in</w:t>
      </w:r>
      <w:r w:rsidRPr="001C7D27">
        <w:t xml:space="preserve"> </w:t>
      </w:r>
      <w:r w:rsidR="006F5F9E">
        <w:t>c</w:t>
      </w:r>
      <w:r w:rsidR="00EE236C">
        <w:t>lause</w:t>
      </w:r>
      <w:r w:rsidRPr="001C7D27">
        <w:t>s</w:t>
      </w:r>
      <w:r>
        <w:t xml:space="preserve"> 7.1</w:t>
      </w:r>
      <w:r w:rsidRPr="001C7D27">
        <w:t xml:space="preserve"> throu</w:t>
      </w:r>
      <w:r>
        <w:t>gh 7.5</w:t>
      </w:r>
      <w:r>
        <w:rPr>
          <w:lang w:eastAsia="ja-JP"/>
        </w:rPr>
        <w:t xml:space="preserve">. </w:t>
      </w:r>
    </w:p>
    <w:p w14:paraId="0DA8539A" w14:textId="0BA38E6F" w:rsidR="00462723" w:rsidRDefault="00462723" w:rsidP="00462723">
      <w:r>
        <w:lastRenderedPageBreak/>
        <w:t xml:space="preserve">If the </w:t>
      </w:r>
      <w:r>
        <w:rPr>
          <w:lang w:eastAsia="ja-JP"/>
        </w:rPr>
        <w:t xml:space="preserve">UE </w:t>
      </w:r>
      <w:r>
        <w:rPr>
          <w:lang w:val="x-none"/>
        </w:rPr>
        <w:t xml:space="preserve">is not provided </w:t>
      </w:r>
      <w:r w:rsidR="00E87744">
        <w:rPr>
          <w:i/>
          <w:iCs/>
        </w:rPr>
        <w:t>tdd</w:t>
      </w:r>
      <w:r>
        <w:rPr>
          <w:i/>
          <w:iCs/>
        </w:rPr>
        <w:t>-</w:t>
      </w:r>
      <w:r>
        <w:rPr>
          <w:i/>
          <w:iCs/>
          <w:lang w:val="x-none"/>
        </w:rPr>
        <w:t>UL-DL-</w:t>
      </w:r>
      <w:r>
        <w:rPr>
          <w:i/>
          <w:iCs/>
        </w:rPr>
        <w:t>C</w:t>
      </w:r>
      <w:r>
        <w:rPr>
          <w:i/>
          <w:iCs/>
          <w:lang w:val="x-none"/>
        </w:rPr>
        <w:t>onfiguration</w:t>
      </w:r>
      <w:r>
        <w:rPr>
          <w:i/>
          <w:iCs/>
        </w:rPr>
        <w:t>C</w:t>
      </w:r>
      <w:r>
        <w:rPr>
          <w:i/>
          <w:iCs/>
          <w:lang w:val="x-none"/>
        </w:rPr>
        <w:t>ommon</w:t>
      </w:r>
      <w:r>
        <w:rPr>
          <w:iCs/>
          <w:lang w:val="en-US"/>
        </w:rPr>
        <w:t xml:space="preserve"> for the MCG, t</w:t>
      </w:r>
      <w:r>
        <w:t>he UE determin</w:t>
      </w:r>
      <w:r w:rsidRPr="001C7D27">
        <w:t xml:space="preserve">es </w:t>
      </w:r>
      <w:r>
        <w:t>a transmission power for the SCG as described in [13, TS 36.213]</w:t>
      </w:r>
      <w:r w:rsidRPr="001C7D27">
        <w:t xml:space="preserve"> </w:t>
      </w:r>
      <w:r>
        <w:rPr>
          <w:lang w:val="en-US"/>
        </w:rPr>
        <w:t xml:space="preserve">using </w:t>
      </w:r>
      <w:r w:rsidR="00ED3701">
        <w:rPr>
          <w:noProof/>
          <w:position w:val="-10"/>
        </w:rPr>
        <w:drawing>
          <wp:inline distT="0" distB="0" distL="0" distR="0" wp14:anchorId="11A08711" wp14:editId="08ED1DF9">
            <wp:extent cx="276225" cy="180975"/>
            <wp:effectExtent l="0" t="0" r="0" b="0"/>
            <wp:docPr id="55"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Pr>
          <w:lang w:val="en-US"/>
        </w:rPr>
        <w:t xml:space="preserve"> as the maximum transmission power</w:t>
      </w:r>
      <w:r>
        <w:t>.</w:t>
      </w:r>
    </w:p>
    <w:p w14:paraId="0D9BECA0" w14:textId="5C27C7C0" w:rsidR="00462723" w:rsidRPr="007D01DD" w:rsidRDefault="00462723" w:rsidP="00462723">
      <w:r w:rsidRPr="007D01DD">
        <w:t xml:space="preserve">If at least one symbol of slot </w:t>
      </w:r>
      <w:r w:rsidR="00ED3701">
        <w:rPr>
          <w:noProof/>
          <w:position w:val="-10"/>
        </w:rPr>
        <w:drawing>
          <wp:inline distT="0" distB="0" distL="0" distR="0" wp14:anchorId="566A5FEE" wp14:editId="48FE3AEF">
            <wp:extent cx="95250" cy="180975"/>
            <wp:effectExtent l="0" t="0" r="0" b="0"/>
            <wp:docPr id="56"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5250" cy="180975"/>
                    </a:xfrm>
                    <a:prstGeom prst="rect">
                      <a:avLst/>
                    </a:prstGeom>
                    <a:noFill/>
                    <a:ln>
                      <a:noFill/>
                    </a:ln>
                  </pic:spPr>
                </pic:pic>
              </a:graphicData>
            </a:graphic>
          </wp:inline>
        </w:drawing>
      </w:r>
      <w:r>
        <w:t xml:space="preserve"> of</w:t>
      </w:r>
      <w:r w:rsidRPr="007D01DD">
        <w:t xml:space="preserve"> </w:t>
      </w:r>
      <w:r>
        <w:t xml:space="preserve">the </w:t>
      </w:r>
      <w:r w:rsidRPr="007D01DD">
        <w:t>MCG</w:t>
      </w:r>
      <w:r>
        <w:t xml:space="preserve"> that is</w:t>
      </w:r>
      <w:r w:rsidRPr="007D01DD">
        <w:t xml:space="preserve"> indicated as uplink or flexible by </w:t>
      </w:r>
      <w:r w:rsidR="00E87744">
        <w:rPr>
          <w:i/>
          <w:iCs/>
        </w:rPr>
        <w:t>tdd</w:t>
      </w:r>
      <w:r w:rsidRPr="007D01DD">
        <w:rPr>
          <w:i/>
          <w:lang w:val="en-US"/>
        </w:rPr>
        <w:t>-</w:t>
      </w:r>
      <w:r w:rsidRPr="007D01DD">
        <w:rPr>
          <w:i/>
        </w:rPr>
        <w:t>UL-DL-</w:t>
      </w:r>
      <w:r w:rsidRPr="007D01DD">
        <w:rPr>
          <w:i/>
          <w:lang w:val="en-US"/>
        </w:rPr>
        <w:t>C</w:t>
      </w:r>
      <w:r w:rsidRPr="007D01DD">
        <w:rPr>
          <w:i/>
        </w:rPr>
        <w:t>onfiguration</w:t>
      </w:r>
      <w:r w:rsidRPr="007D01DD">
        <w:rPr>
          <w:i/>
          <w:lang w:val="en-US"/>
        </w:rPr>
        <w:t>C</w:t>
      </w:r>
      <w:r w:rsidRPr="007D01DD">
        <w:rPr>
          <w:i/>
        </w:rPr>
        <w:t>ommon</w:t>
      </w:r>
      <w:r w:rsidRPr="007D01DD">
        <w:t xml:space="preserve"> or </w:t>
      </w:r>
      <w:r w:rsidR="00E87744">
        <w:rPr>
          <w:i/>
          <w:iCs/>
        </w:rPr>
        <w:t>tdd</w:t>
      </w:r>
      <w:r w:rsidRPr="007D01DD">
        <w:rPr>
          <w:lang w:val="en-US"/>
        </w:rPr>
        <w:t>-</w:t>
      </w:r>
      <w:r w:rsidRPr="007D01DD">
        <w:rPr>
          <w:i/>
        </w:rPr>
        <w:t>UL-DL-</w:t>
      </w:r>
      <w:r w:rsidRPr="007D01DD">
        <w:rPr>
          <w:i/>
          <w:lang w:val="en-US"/>
        </w:rPr>
        <w:t>C</w:t>
      </w:r>
      <w:r w:rsidRPr="007D01DD">
        <w:rPr>
          <w:i/>
        </w:rPr>
        <w:t>onfig</w:t>
      </w:r>
      <w:r w:rsidR="00E87744">
        <w:rPr>
          <w:i/>
        </w:rPr>
        <w:t>uration</w:t>
      </w:r>
      <w:r w:rsidRPr="007D01DD">
        <w:rPr>
          <w:i/>
          <w:lang w:val="en-US"/>
        </w:rPr>
        <w:t>D</w:t>
      </w:r>
      <w:r w:rsidRPr="007D01DD">
        <w:rPr>
          <w:i/>
        </w:rPr>
        <w:t>edicated</w:t>
      </w:r>
      <w:r w:rsidRPr="007D01DD">
        <w:t xml:space="preserve"> overlaps with subframe </w:t>
      </w:r>
      <w:r w:rsidR="00ED3701">
        <w:rPr>
          <w:noProof/>
          <w:position w:val="-10"/>
        </w:rPr>
        <w:drawing>
          <wp:inline distT="0" distB="0" distL="0" distR="0" wp14:anchorId="49EF159C" wp14:editId="6589F42E">
            <wp:extent cx="95250" cy="180975"/>
            <wp:effectExtent l="0" t="0" r="0" b="0"/>
            <wp:docPr id="5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5250" cy="180975"/>
                    </a:xfrm>
                    <a:prstGeom prst="rect">
                      <a:avLst/>
                    </a:prstGeom>
                    <a:noFill/>
                    <a:ln>
                      <a:noFill/>
                    </a:ln>
                  </pic:spPr>
                </pic:pic>
              </a:graphicData>
            </a:graphic>
          </wp:inline>
        </w:drawing>
      </w:r>
      <w:r>
        <w:t xml:space="preserve"> of the SCG</w:t>
      </w:r>
    </w:p>
    <w:p w14:paraId="31D17A03" w14:textId="67B74B8D" w:rsidR="00462723" w:rsidRPr="007D01DD" w:rsidRDefault="00462723" w:rsidP="003A5BF8">
      <w:pPr>
        <w:pStyle w:val="B1"/>
      </w:pPr>
      <w:r>
        <w:t>-</w:t>
      </w:r>
      <w:r>
        <w:tab/>
      </w:r>
      <w:r w:rsidRPr="007D01DD">
        <w:t xml:space="preserve">for subframe </w:t>
      </w:r>
      <w:r w:rsidR="00ED3701">
        <w:rPr>
          <w:noProof/>
          <w:position w:val="-10"/>
        </w:rPr>
        <w:drawing>
          <wp:inline distT="0" distB="0" distL="0" distR="0" wp14:anchorId="741CEDF1" wp14:editId="4CD6CE5B">
            <wp:extent cx="95250" cy="180975"/>
            <wp:effectExtent l="0" t="0" r="0" b="0"/>
            <wp:docPr id="58"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5250" cy="180975"/>
                    </a:xfrm>
                    <a:prstGeom prst="rect">
                      <a:avLst/>
                    </a:prstGeom>
                    <a:noFill/>
                    <a:ln>
                      <a:noFill/>
                    </a:ln>
                  </pic:spPr>
                </pic:pic>
              </a:graphicData>
            </a:graphic>
          </wp:inline>
        </w:drawing>
      </w:r>
      <w:r w:rsidRPr="007D01DD">
        <w:t xml:space="preserve">, the UE determines </w:t>
      </w:r>
      <w:r>
        <w:t>a transmission power for</w:t>
      </w:r>
      <w:r w:rsidRPr="007D01DD">
        <w:t xml:space="preserve"> the SCG as described in [13, TS 36.213] using </w:t>
      </w:r>
      <w:r w:rsidR="00ED3701">
        <w:rPr>
          <w:noProof/>
          <w:position w:val="-10"/>
        </w:rPr>
        <w:drawing>
          <wp:inline distT="0" distB="0" distL="0" distR="0" wp14:anchorId="14E12273" wp14:editId="04268D2D">
            <wp:extent cx="276225" cy="180975"/>
            <wp:effectExtent l="0" t="0" r="0" b="0"/>
            <wp:docPr id="172291379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7D01DD">
        <w:t xml:space="preserve"> as the maximum transmission power </w:t>
      </w:r>
    </w:p>
    <w:p w14:paraId="4C428E4B" w14:textId="77777777" w:rsidR="00462723" w:rsidRPr="007D01DD" w:rsidRDefault="00462723" w:rsidP="00462723">
      <w:pPr>
        <w:rPr>
          <w:lang w:val="en-US"/>
        </w:rPr>
      </w:pPr>
      <w:r>
        <w:rPr>
          <w:lang w:val="en-US"/>
        </w:rPr>
        <w:t>o</w:t>
      </w:r>
      <w:r w:rsidRPr="007D01DD">
        <w:rPr>
          <w:lang w:val="en-US"/>
        </w:rPr>
        <w:t xml:space="preserve">therwise </w:t>
      </w:r>
    </w:p>
    <w:p w14:paraId="3059BED8" w14:textId="2BB4265D" w:rsidR="00462723" w:rsidRPr="007D01DD" w:rsidRDefault="00462723" w:rsidP="003A5BF8">
      <w:pPr>
        <w:pStyle w:val="B1"/>
      </w:pPr>
      <w:r>
        <w:t>-</w:t>
      </w:r>
      <w:r>
        <w:tab/>
      </w:r>
      <w:r w:rsidRPr="007D01DD">
        <w:t xml:space="preserve">the UE determines </w:t>
      </w:r>
      <w:r>
        <w:t>a transmission power for</w:t>
      </w:r>
      <w:r w:rsidRPr="007D01DD">
        <w:t xml:space="preserve"> the SCG as described in [13, TS 36.213] </w:t>
      </w:r>
      <w:r w:rsidR="00516E3C">
        <w:rPr>
          <w:lang w:val="en-US"/>
        </w:rPr>
        <w:t>without considering</w:t>
      </w:r>
      <w:r w:rsidRPr="007D01DD">
        <w:t xml:space="preserve"> </w:t>
      </w:r>
      <w:r w:rsidR="00ED3701">
        <w:rPr>
          <w:rFonts w:eastAsia="DengXian"/>
          <w:noProof/>
          <w:position w:val="-10"/>
        </w:rPr>
        <w:drawing>
          <wp:inline distT="0" distB="0" distL="0" distR="0" wp14:anchorId="1BF35ED6" wp14:editId="427C0AB9">
            <wp:extent cx="276225" cy="180975"/>
            <wp:effectExtent l="0" t="0" r="0" b="0"/>
            <wp:docPr id="60"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7D01DD">
        <w:t xml:space="preserve"> as the maximum transmission power</w:t>
      </w:r>
    </w:p>
    <w:p w14:paraId="7DFB3803" w14:textId="2CA550E8" w:rsidR="00462723" w:rsidRDefault="00462723" w:rsidP="00462723">
      <w:pPr>
        <w:rPr>
          <w:lang w:eastAsia="ja-JP"/>
        </w:rPr>
      </w:pPr>
      <w:r>
        <w:rPr>
          <w:lang w:eastAsia="ja-JP"/>
        </w:rPr>
        <w:t xml:space="preserve">If a UE is configured with </w:t>
      </w:r>
      <w:r w:rsidR="00ED3701">
        <w:rPr>
          <w:noProof/>
          <w:position w:val="-12"/>
        </w:rPr>
        <w:drawing>
          <wp:inline distT="0" distB="0" distL="0" distR="0" wp14:anchorId="6289EF0A" wp14:editId="78F36637">
            <wp:extent cx="1009650" cy="180975"/>
            <wp:effectExtent l="0" t="0" r="0" b="0"/>
            <wp:docPr id="61"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09650" cy="180975"/>
                    </a:xfrm>
                    <a:prstGeom prst="rect">
                      <a:avLst/>
                    </a:prstGeom>
                    <a:noFill/>
                    <a:ln>
                      <a:noFill/>
                    </a:ln>
                  </pic:spPr>
                </pic:pic>
              </a:graphicData>
            </a:graphic>
          </wp:inline>
        </w:drawing>
      </w:r>
      <w:r>
        <w:t xml:space="preserve">, where </w:t>
      </w:r>
      <w:r w:rsidR="00ED3701">
        <w:rPr>
          <w:noProof/>
          <w:position w:val="-10"/>
        </w:rPr>
        <w:drawing>
          <wp:inline distT="0" distB="0" distL="0" distR="0" wp14:anchorId="60A42E6B" wp14:editId="190020A6">
            <wp:extent cx="276225" cy="180975"/>
            <wp:effectExtent l="0" t="0" r="0" b="0"/>
            <wp:docPr id="62"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Pr>
          <w:rFonts w:hint="eastAsia"/>
          <w:lang w:eastAsia="zh-CN"/>
        </w:rPr>
        <w:t xml:space="preserve"> is the linear value</w:t>
      </w:r>
      <w:r>
        <w:rPr>
          <w:lang w:eastAsia="ja-JP"/>
        </w:rPr>
        <w:t xml:space="preserve"> of </w:t>
      </w:r>
      <w:r w:rsidR="00ED3701">
        <w:rPr>
          <w:noProof/>
          <w:position w:val="-10"/>
        </w:rPr>
        <w:drawing>
          <wp:inline distT="0" distB="0" distL="0" distR="0" wp14:anchorId="1595AC45" wp14:editId="4EFCCA78">
            <wp:extent cx="276225" cy="180975"/>
            <wp:effectExtent l="0" t="0" r="0" b="0"/>
            <wp:docPr id="63"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t xml:space="preserve">, </w:t>
      </w:r>
      <w:r w:rsidR="00ED3701">
        <w:rPr>
          <w:noProof/>
          <w:position w:val="-10"/>
        </w:rPr>
        <w:drawing>
          <wp:inline distT="0" distB="0" distL="0" distR="0" wp14:anchorId="29FE8E09" wp14:editId="5ADA3D58">
            <wp:extent cx="276225" cy="180975"/>
            <wp:effectExtent l="0" t="0" r="0" b="0"/>
            <wp:docPr id="64"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Pr>
          <w:rFonts w:hint="eastAsia"/>
          <w:lang w:eastAsia="zh-CN"/>
        </w:rPr>
        <w:t xml:space="preserve"> is the linear value</w:t>
      </w:r>
      <w:r>
        <w:rPr>
          <w:lang w:eastAsia="ja-JP"/>
        </w:rPr>
        <w:t xml:space="preserve"> of </w:t>
      </w:r>
      <w:r w:rsidR="00ED3701">
        <w:rPr>
          <w:noProof/>
          <w:position w:val="-10"/>
        </w:rPr>
        <w:drawing>
          <wp:inline distT="0" distB="0" distL="0" distR="0" wp14:anchorId="259BC73D" wp14:editId="2CF45290">
            <wp:extent cx="276225" cy="180975"/>
            <wp:effectExtent l="0" t="0" r="0" b="0"/>
            <wp:docPr id="65"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t>, and</w:t>
      </w:r>
      <w:r>
        <w:rPr>
          <w:rFonts w:hint="eastAsia"/>
          <w:lang w:eastAsia="zh-CN"/>
        </w:rPr>
        <w:t xml:space="preserve"> </w:t>
      </w:r>
      <w:r w:rsidR="00ED3701">
        <w:rPr>
          <w:noProof/>
          <w:position w:val="-12"/>
        </w:rPr>
        <w:drawing>
          <wp:inline distT="0" distB="0" distL="0" distR="0" wp14:anchorId="64372C13" wp14:editId="2EBAFEC4">
            <wp:extent cx="381000" cy="209550"/>
            <wp:effectExtent l="0" t="0" r="0" b="0"/>
            <wp:docPr id="66"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000" cy="209550"/>
                    </a:xfrm>
                    <a:prstGeom prst="rect">
                      <a:avLst/>
                    </a:prstGeom>
                    <a:noFill/>
                    <a:ln>
                      <a:noFill/>
                    </a:ln>
                  </pic:spPr>
                </pic:pic>
              </a:graphicData>
            </a:graphic>
          </wp:inline>
        </w:drawing>
      </w:r>
      <w:r>
        <w:t xml:space="preserve"> </w:t>
      </w:r>
      <w:r>
        <w:rPr>
          <w:rFonts w:hint="eastAsia"/>
          <w:lang w:eastAsia="zh-CN"/>
        </w:rPr>
        <w:t xml:space="preserve">is the linear value of </w:t>
      </w:r>
      <w:r w:rsidRPr="002C7AFF">
        <w:rPr>
          <w:lang w:val="en-US" w:eastAsia="zh-CN"/>
        </w:rPr>
        <w:t>a</w:t>
      </w:r>
      <w:r>
        <w:rPr>
          <w:rFonts w:hint="eastAsia"/>
          <w:lang w:eastAsia="zh-CN"/>
        </w:rPr>
        <w:t xml:space="preserve"> </w:t>
      </w:r>
      <w:r>
        <w:t>c</w:t>
      </w:r>
      <w:r w:rsidRPr="00E458C1">
        <w:t xml:space="preserve">onfigured </w:t>
      </w:r>
      <w:r>
        <w:rPr>
          <w:rFonts w:hint="eastAsia"/>
          <w:lang w:eastAsia="zh-CN"/>
        </w:rPr>
        <w:t xml:space="preserve">maximum </w:t>
      </w:r>
      <w:r w:rsidRPr="002C7AFF">
        <w:rPr>
          <w:lang w:val="en-US" w:eastAsia="zh-CN"/>
        </w:rPr>
        <w:t>transmission</w:t>
      </w:r>
      <w:r w:rsidRPr="00E458C1">
        <w:t xml:space="preserve"> power </w:t>
      </w:r>
      <w:r w:rsidRPr="002C7AFF">
        <w:rPr>
          <w:lang w:val="en-US"/>
        </w:rPr>
        <w:t xml:space="preserve">for </w:t>
      </w:r>
      <w:r>
        <w:rPr>
          <w:lang w:val="en-US"/>
        </w:rPr>
        <w:t>NE</w:t>
      </w:r>
      <w:r w:rsidRPr="002C7AFF">
        <w:rPr>
          <w:lang w:val="en-US"/>
        </w:rPr>
        <w:t xml:space="preserve">-DC operation </w:t>
      </w:r>
      <w:r w:rsidRPr="00B916EC">
        <w:t xml:space="preserve">as </w:t>
      </w:r>
      <w:r w:rsidRPr="002C7AFF">
        <w:rPr>
          <w:iCs/>
        </w:rPr>
        <w:t xml:space="preserve">defined in </w:t>
      </w:r>
      <w:r>
        <w:t xml:space="preserve">[8-3, TS 38.101-3] for FR1, </w:t>
      </w:r>
      <w:r>
        <w:rPr>
          <w:lang w:eastAsia="ja-JP"/>
        </w:rPr>
        <w:t>the UE determines a transmission power for the MCG as follows</w:t>
      </w:r>
    </w:p>
    <w:p w14:paraId="29A0B93C" w14:textId="24B282FF" w:rsidR="00462723" w:rsidRPr="00B916EC" w:rsidRDefault="00462723" w:rsidP="00462723">
      <w:pPr>
        <w:pStyle w:val="B1"/>
        <w:rPr>
          <w:lang w:val="en-US"/>
        </w:rPr>
      </w:pPr>
      <w:r>
        <w:rPr>
          <w:lang w:eastAsia="ja-JP"/>
        </w:rPr>
        <w:t>-</w:t>
      </w:r>
      <w:r>
        <w:rPr>
          <w:lang w:eastAsia="ja-JP"/>
        </w:rPr>
        <w:tab/>
        <w:t xml:space="preserve">If the UE </w:t>
      </w:r>
      <w:r>
        <w:rPr>
          <w:lang w:val="en-US" w:eastAsia="ja-JP"/>
        </w:rPr>
        <w:t xml:space="preserve">is </w:t>
      </w:r>
      <w:r>
        <w:rPr>
          <w:rFonts w:hint="eastAsia"/>
          <w:lang w:eastAsia="zh-CN"/>
        </w:rPr>
        <w:t>configured</w:t>
      </w:r>
      <w:r w:rsidRPr="00B916EC">
        <w:t xml:space="preserve"> </w:t>
      </w:r>
      <w:r>
        <w:rPr>
          <w:rFonts w:hint="eastAsia"/>
          <w:lang w:eastAsia="zh-CN"/>
        </w:rPr>
        <w:t xml:space="preserve">with </w:t>
      </w:r>
      <w:r w:rsidRPr="00EB5B01">
        <w:t>reference TDD configuration</w:t>
      </w:r>
      <w:r>
        <w:rPr>
          <w:rFonts w:hint="eastAsia"/>
          <w:lang w:eastAsia="zh-CN"/>
        </w:rPr>
        <w:t xml:space="preserve"> </w:t>
      </w:r>
      <w:r>
        <w:rPr>
          <w:lang w:val="en-US" w:eastAsia="zh-CN"/>
        </w:rPr>
        <w:t xml:space="preserve">for E-UTRA (by </w:t>
      </w:r>
      <w:r w:rsidRPr="001930CB">
        <w:rPr>
          <w:i/>
          <w:iCs/>
          <w:lang w:eastAsia="zh-CN"/>
        </w:rPr>
        <w:t>tdm-PatternConfig</w:t>
      </w:r>
      <w:r w:rsidR="006F59DA">
        <w:rPr>
          <w:i/>
          <w:iCs/>
          <w:lang w:eastAsia="zh-CN"/>
        </w:rPr>
        <w:t>NE-DC</w:t>
      </w:r>
      <w:r w:rsidRPr="001930CB">
        <w:rPr>
          <w:i/>
          <w:iCs/>
          <w:lang w:eastAsia="zh-CN"/>
        </w:rPr>
        <w:t>-r15</w:t>
      </w:r>
      <w:r w:rsidRPr="00BE2EE9">
        <w:rPr>
          <w:rFonts w:hint="eastAsia"/>
          <w:lang w:val="en-US" w:eastAsia="zh-CN"/>
        </w:rPr>
        <w:t xml:space="preserve"> </w:t>
      </w:r>
      <w:r>
        <w:rPr>
          <w:lang w:val="en-US" w:eastAsia="zh-CN"/>
        </w:rPr>
        <w:t xml:space="preserve">in </w:t>
      </w:r>
      <w:r>
        <w:rPr>
          <w:rFonts w:hint="eastAsia"/>
          <w:lang w:eastAsia="zh-CN"/>
        </w:rPr>
        <w:t>[13, TS</w:t>
      </w:r>
      <w:r>
        <w:rPr>
          <w:lang w:eastAsia="zh-CN"/>
        </w:rPr>
        <w:t xml:space="preserve"> </w:t>
      </w:r>
      <w:r>
        <w:rPr>
          <w:rFonts w:hint="eastAsia"/>
          <w:lang w:eastAsia="zh-CN"/>
        </w:rPr>
        <w:t>36.213]</w:t>
      </w:r>
      <w:r>
        <w:rPr>
          <w:lang w:val="en-US" w:eastAsia="zh-CN"/>
        </w:rPr>
        <w:t>)</w:t>
      </w:r>
    </w:p>
    <w:p w14:paraId="15EF0D3D" w14:textId="77777777" w:rsidR="00462723" w:rsidRPr="00530CF7" w:rsidRDefault="00462723" w:rsidP="008D37F2">
      <w:pPr>
        <w:pStyle w:val="B2"/>
        <w:rPr>
          <w:lang w:val="en-US"/>
        </w:rPr>
      </w:pPr>
      <w:r>
        <w:rPr>
          <w:lang w:val="en-US"/>
        </w:rPr>
        <w:t>-</w:t>
      </w:r>
      <w:r>
        <w:rPr>
          <w:lang w:val="en-US"/>
        </w:rPr>
        <w:tab/>
        <w:t xml:space="preserve">If the UE does </w:t>
      </w:r>
      <w:r>
        <w:rPr>
          <w:lang w:eastAsia="ja-JP"/>
        </w:rPr>
        <w:t>not indicate a capability for dynamic power sharing</w:t>
      </w:r>
      <w:r>
        <w:rPr>
          <w:lang w:val="en-US" w:eastAsia="ja-JP"/>
        </w:rPr>
        <w:t xml:space="preserve"> between E-UTRA and NR for NE-DC, </w:t>
      </w:r>
      <w:r>
        <w:rPr>
          <w:lang w:val="en-US"/>
        </w:rPr>
        <w:t>t</w:t>
      </w:r>
      <w:r w:rsidRPr="00B916EC">
        <w:t xml:space="preserve">he UE </w:t>
      </w:r>
      <w:r>
        <w:rPr>
          <w:lang w:val="en-US" w:eastAsia="zh-CN"/>
        </w:rPr>
        <w:t>does</w:t>
      </w:r>
      <w:r>
        <w:rPr>
          <w:rFonts w:hint="eastAsia"/>
          <w:lang w:eastAsia="zh-CN"/>
        </w:rPr>
        <w:t xml:space="preserve"> not expect to transmit</w:t>
      </w:r>
      <w:r w:rsidRPr="00B916EC">
        <w:t xml:space="preserve"> in a slot </w:t>
      </w:r>
      <w:r>
        <w:t xml:space="preserve">on the </w:t>
      </w:r>
      <w:r>
        <w:rPr>
          <w:lang w:val="en-US"/>
        </w:rPr>
        <w:t>M</w:t>
      </w:r>
      <w:r>
        <w:t xml:space="preserve">CG </w:t>
      </w:r>
      <w:r>
        <w:rPr>
          <w:lang w:val="en-US"/>
        </w:rPr>
        <w:t>in FR1 when</w:t>
      </w:r>
      <w:r w:rsidRPr="00B916EC">
        <w:t xml:space="preserve"> a corresponding subframe on the </w:t>
      </w:r>
      <w:r>
        <w:rPr>
          <w:lang w:val="en-US"/>
        </w:rPr>
        <w:t>S</w:t>
      </w:r>
      <w:r w:rsidRPr="00B916EC">
        <w:t xml:space="preserve">CG </w:t>
      </w:r>
      <w:r>
        <w:rPr>
          <w:rFonts w:hint="eastAsia"/>
          <w:lang w:eastAsia="zh-CN"/>
        </w:rPr>
        <w:t>is an</w:t>
      </w:r>
      <w:r w:rsidRPr="00EB5B01">
        <w:t xml:space="preserve"> UL </w:t>
      </w:r>
      <w:r>
        <w:rPr>
          <w:rFonts w:hint="eastAsia"/>
          <w:lang w:eastAsia="zh-CN"/>
        </w:rPr>
        <w:t xml:space="preserve">subframe </w:t>
      </w:r>
      <w:r w:rsidRPr="00EB5B01">
        <w:t>in the reference TDD configuration</w:t>
      </w:r>
      <w:r w:rsidRPr="00B916EC">
        <w:t>.</w:t>
      </w:r>
    </w:p>
    <w:p w14:paraId="0EDB99DB" w14:textId="77777777" w:rsidR="00462723" w:rsidRPr="00B916EC" w:rsidRDefault="00462723" w:rsidP="008D37F2">
      <w:pPr>
        <w:pStyle w:val="B1"/>
        <w:rPr>
          <w:lang w:val="en-US"/>
        </w:rPr>
      </w:pPr>
      <w:r>
        <w:rPr>
          <w:lang w:eastAsia="ja-JP"/>
        </w:rPr>
        <w:t>-</w:t>
      </w:r>
      <w:r>
        <w:rPr>
          <w:lang w:eastAsia="ja-JP"/>
        </w:rPr>
        <w:tab/>
        <w:t>If the UE indicate</w:t>
      </w:r>
      <w:r>
        <w:rPr>
          <w:lang w:val="en-US" w:eastAsia="ja-JP"/>
        </w:rPr>
        <w:t>s</w:t>
      </w:r>
      <w:r>
        <w:rPr>
          <w:lang w:eastAsia="ja-JP"/>
        </w:rPr>
        <w:t xml:space="preserve"> a capability for dynamic power sharing</w:t>
      </w:r>
      <w:r>
        <w:rPr>
          <w:lang w:val="en-US" w:eastAsia="ja-JP"/>
        </w:rPr>
        <w:t xml:space="preserve"> between E-UTRA and NR for NE-DC and</w:t>
      </w:r>
    </w:p>
    <w:p w14:paraId="19AA1EFB" w14:textId="628A97AA" w:rsidR="00462723" w:rsidRDefault="00462723" w:rsidP="00AB47D9">
      <w:pPr>
        <w:pStyle w:val="B2"/>
      </w:pPr>
      <w:r>
        <w:t>-</w:t>
      </w:r>
      <w:r>
        <w:tab/>
        <w:t xml:space="preserve">if the UE transmission(s) in </w:t>
      </w:r>
      <w:r>
        <w:rPr>
          <w:lang w:eastAsia="zh-CN"/>
        </w:rPr>
        <w:t xml:space="preserve">slot </w:t>
      </w:r>
      <w:r w:rsidR="00ED3701">
        <w:rPr>
          <w:noProof/>
          <w:position w:val="-10"/>
        </w:rPr>
        <w:drawing>
          <wp:inline distT="0" distB="0" distL="0" distR="0" wp14:anchorId="33A2C898" wp14:editId="1B1728F2">
            <wp:extent cx="104775" cy="180975"/>
            <wp:effectExtent l="0" t="0" r="0" b="0"/>
            <wp:docPr id="67"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4775" cy="180975"/>
                    </a:xfrm>
                    <a:prstGeom prst="rect">
                      <a:avLst/>
                    </a:prstGeom>
                    <a:noFill/>
                    <a:ln>
                      <a:noFill/>
                    </a:ln>
                  </pic:spPr>
                </pic:pic>
              </a:graphicData>
            </a:graphic>
          </wp:inline>
        </w:drawing>
      </w:r>
      <w:r>
        <w:t xml:space="preserve"> of the MCG in FR1 </w:t>
      </w:r>
      <w:r>
        <w:rPr>
          <w:lang w:eastAsia="zh-CN"/>
        </w:rPr>
        <w:t xml:space="preserve">overlap in time with UE transmission(s) in </w:t>
      </w:r>
      <w:r>
        <w:t xml:space="preserve">subframe </w:t>
      </w:r>
      <w:r w:rsidR="00ED3701">
        <w:rPr>
          <w:noProof/>
          <w:position w:val="-10"/>
        </w:rPr>
        <w:drawing>
          <wp:inline distT="0" distB="0" distL="0" distR="0" wp14:anchorId="06F63415" wp14:editId="4347A517">
            <wp:extent cx="114300" cy="180975"/>
            <wp:effectExtent l="0" t="0" r="0" b="0"/>
            <wp:docPr id="68"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rPr>
          <w:rFonts w:hint="eastAsia"/>
          <w:lang w:eastAsia="zh-CN"/>
        </w:rPr>
        <w:t xml:space="preserve"> </w:t>
      </w:r>
      <w:r>
        <w:rPr>
          <w:lang w:eastAsia="zh-CN"/>
        </w:rPr>
        <w:t>of the SCG</w:t>
      </w:r>
      <w:r>
        <w:t>, and</w:t>
      </w:r>
    </w:p>
    <w:p w14:paraId="2E735468" w14:textId="531A3DBA" w:rsidR="00462723" w:rsidRDefault="00462723" w:rsidP="00D30258">
      <w:pPr>
        <w:pStyle w:val="B2"/>
        <w:rPr>
          <w:lang w:val="en-US"/>
        </w:rPr>
      </w:pPr>
      <w:r>
        <w:rPr>
          <w:lang w:val="en-US"/>
        </w:rPr>
        <w:t>-</w:t>
      </w:r>
      <w:r>
        <w:rPr>
          <w:lang w:val="en-US"/>
        </w:rPr>
        <w:tab/>
        <w:t xml:space="preserve">if </w:t>
      </w:r>
      <w:r w:rsidR="00ED3701">
        <w:rPr>
          <w:noProof/>
          <w:position w:val="-14"/>
        </w:rPr>
        <w:drawing>
          <wp:inline distT="0" distB="0" distL="0" distR="0" wp14:anchorId="2E38BA55" wp14:editId="11F3DAB6">
            <wp:extent cx="1552575" cy="238125"/>
            <wp:effectExtent l="0" t="0" r="0" b="0"/>
            <wp:docPr id="69"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52575" cy="238125"/>
                    </a:xfrm>
                    <a:prstGeom prst="rect">
                      <a:avLst/>
                    </a:prstGeom>
                    <a:noFill/>
                    <a:ln>
                      <a:noFill/>
                    </a:ln>
                  </pic:spPr>
                </pic:pic>
              </a:graphicData>
            </a:graphic>
          </wp:inline>
        </w:drawing>
      </w:r>
      <w:r>
        <w:rPr>
          <w:lang w:val="en-US"/>
        </w:rPr>
        <w:t xml:space="preserve"> in any portion of </w:t>
      </w:r>
      <w:r>
        <w:rPr>
          <w:lang w:val="en-US" w:eastAsia="zh-CN"/>
        </w:rPr>
        <w:t xml:space="preserve">slot </w:t>
      </w:r>
      <w:r w:rsidR="00ED3701">
        <w:rPr>
          <w:noProof/>
          <w:position w:val="-10"/>
        </w:rPr>
        <w:drawing>
          <wp:inline distT="0" distB="0" distL="0" distR="0" wp14:anchorId="51512B44" wp14:editId="10850C47">
            <wp:extent cx="104775" cy="180975"/>
            <wp:effectExtent l="0" t="0" r="0" b="0"/>
            <wp:docPr id="70"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4775" cy="180975"/>
                    </a:xfrm>
                    <a:prstGeom prst="rect">
                      <a:avLst/>
                    </a:prstGeom>
                    <a:noFill/>
                    <a:ln>
                      <a:noFill/>
                    </a:ln>
                  </pic:spPr>
                </pic:pic>
              </a:graphicData>
            </a:graphic>
          </wp:inline>
        </w:drawing>
      </w:r>
      <w:r>
        <w:rPr>
          <w:lang w:val="en-US"/>
        </w:rPr>
        <w:t xml:space="preserve"> of the MCG</w:t>
      </w:r>
      <w:r>
        <w:rPr>
          <w:rFonts w:hint="eastAsia"/>
          <w:lang w:eastAsia="zh-CN"/>
        </w:rPr>
        <w:t xml:space="preserve">, </w:t>
      </w:r>
    </w:p>
    <w:p w14:paraId="1979EFBA" w14:textId="4B73CF29" w:rsidR="00462723" w:rsidRDefault="00462723" w:rsidP="003A5BF8">
      <w:pPr>
        <w:pStyle w:val="B2"/>
        <w:rPr>
          <w:lang w:val="en-US"/>
        </w:rPr>
      </w:pPr>
      <w:r>
        <w:tab/>
      </w:r>
      <w:r w:rsidRPr="00B916EC">
        <w:t xml:space="preserve">the UE </w:t>
      </w:r>
      <w:r>
        <w:rPr>
          <w:lang w:eastAsia="zh-CN"/>
        </w:rPr>
        <w:t>reduces</w:t>
      </w:r>
      <w:r>
        <w:rPr>
          <w:rFonts w:hint="eastAsia"/>
          <w:lang w:eastAsia="zh-CN"/>
        </w:rPr>
        <w:t xml:space="preserve"> </w:t>
      </w:r>
      <w:r>
        <w:rPr>
          <w:lang w:val="en-US" w:eastAsia="zh-CN"/>
        </w:rPr>
        <w:t>transmission power</w:t>
      </w:r>
      <w:r w:rsidDel="001A0D35">
        <w:t xml:space="preserve"> </w:t>
      </w:r>
      <w:r>
        <w:rPr>
          <w:lang w:val="en-US" w:eastAsia="zh-CN"/>
        </w:rPr>
        <w:t xml:space="preserve">in any </w:t>
      </w:r>
      <w:r>
        <w:rPr>
          <w:lang w:val="en-US"/>
        </w:rPr>
        <w:t xml:space="preserve">portion of </w:t>
      </w:r>
      <w:r>
        <w:rPr>
          <w:lang w:val="en-US" w:eastAsia="zh-CN"/>
        </w:rPr>
        <w:t xml:space="preserve">slot </w:t>
      </w:r>
      <w:r w:rsidR="00ED3701">
        <w:rPr>
          <w:noProof/>
          <w:position w:val="-10"/>
        </w:rPr>
        <w:drawing>
          <wp:inline distT="0" distB="0" distL="0" distR="0" wp14:anchorId="31F5A81F" wp14:editId="15933563">
            <wp:extent cx="95250" cy="180975"/>
            <wp:effectExtent l="0" t="0" r="0" b="0"/>
            <wp:docPr id="71"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5250" cy="180975"/>
                    </a:xfrm>
                    <a:prstGeom prst="rect">
                      <a:avLst/>
                    </a:prstGeom>
                    <a:noFill/>
                    <a:ln>
                      <a:noFill/>
                    </a:ln>
                  </pic:spPr>
                </pic:pic>
              </a:graphicData>
            </a:graphic>
          </wp:inline>
        </w:drawing>
      </w:r>
      <w:r>
        <w:rPr>
          <w:lang w:val="en-US"/>
        </w:rPr>
        <w:t xml:space="preserve"> </w:t>
      </w:r>
      <w:r>
        <w:rPr>
          <w:rFonts w:hint="eastAsia"/>
          <w:lang w:eastAsia="zh-CN"/>
        </w:rPr>
        <w:t>o</w:t>
      </w:r>
      <w:r>
        <w:rPr>
          <w:lang w:val="en-US" w:eastAsia="zh-CN"/>
        </w:rPr>
        <w:t>f</w:t>
      </w:r>
      <w:r>
        <w:rPr>
          <w:rFonts w:hint="eastAsia"/>
          <w:lang w:eastAsia="zh-CN"/>
        </w:rPr>
        <w:t xml:space="preserve"> the </w:t>
      </w:r>
      <w:r>
        <w:rPr>
          <w:lang w:val="en-US" w:eastAsia="zh-CN"/>
        </w:rPr>
        <w:t>M</w:t>
      </w:r>
      <w:r>
        <w:rPr>
          <w:rFonts w:hint="eastAsia"/>
          <w:lang w:eastAsia="zh-CN"/>
        </w:rPr>
        <w:t xml:space="preserve">CG so that </w:t>
      </w:r>
      <w:r w:rsidR="00ED3701">
        <w:rPr>
          <w:noProof/>
          <w:position w:val="-14"/>
        </w:rPr>
        <w:drawing>
          <wp:inline distT="0" distB="0" distL="0" distR="0" wp14:anchorId="383F6DA0" wp14:editId="44E67137">
            <wp:extent cx="1476375" cy="238125"/>
            <wp:effectExtent l="0" t="0" r="0" b="0"/>
            <wp:docPr id="72"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76375" cy="238125"/>
                    </a:xfrm>
                    <a:prstGeom prst="rect">
                      <a:avLst/>
                    </a:prstGeom>
                    <a:noFill/>
                    <a:ln>
                      <a:noFill/>
                    </a:ln>
                  </pic:spPr>
                </pic:pic>
              </a:graphicData>
            </a:graphic>
          </wp:inline>
        </w:drawing>
      </w:r>
      <w:r w:rsidRPr="001A0D35">
        <w:rPr>
          <w:lang w:val="en-US"/>
        </w:rPr>
        <w:t xml:space="preserve"> </w:t>
      </w:r>
      <w:r>
        <w:rPr>
          <w:lang w:val="en-US"/>
        </w:rPr>
        <w:t xml:space="preserve">in all portions of </w:t>
      </w:r>
      <w:r>
        <w:rPr>
          <w:lang w:val="en-US" w:eastAsia="zh-CN"/>
        </w:rPr>
        <w:t xml:space="preserve">slot </w:t>
      </w:r>
      <w:r w:rsidR="00ED3701">
        <w:rPr>
          <w:noProof/>
          <w:position w:val="-10"/>
        </w:rPr>
        <w:drawing>
          <wp:inline distT="0" distB="0" distL="0" distR="0" wp14:anchorId="745D6E16" wp14:editId="3C7CDD12">
            <wp:extent cx="104775" cy="180975"/>
            <wp:effectExtent l="0" t="0" r="0" b="0"/>
            <wp:docPr id="73"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4775" cy="180975"/>
                    </a:xfrm>
                    <a:prstGeom prst="rect">
                      <a:avLst/>
                    </a:prstGeom>
                    <a:noFill/>
                    <a:ln>
                      <a:noFill/>
                    </a:ln>
                  </pic:spPr>
                </pic:pic>
              </a:graphicData>
            </a:graphic>
          </wp:inline>
        </w:drawing>
      </w:r>
      <w:r>
        <w:rPr>
          <w:lang w:val="en-US"/>
        </w:rPr>
        <w:t>,</w:t>
      </w:r>
      <w:r>
        <w:rPr>
          <w:rFonts w:hint="eastAsia"/>
          <w:lang w:eastAsia="zh-CN"/>
        </w:rPr>
        <w:t xml:space="preserve"> where </w:t>
      </w:r>
      <w:r w:rsidR="00ED3701">
        <w:rPr>
          <w:noProof/>
          <w:position w:val="-10"/>
        </w:rPr>
        <w:drawing>
          <wp:inline distT="0" distB="0" distL="0" distR="0" wp14:anchorId="3F552F76" wp14:editId="46DE8869">
            <wp:extent cx="381000" cy="180975"/>
            <wp:effectExtent l="0" t="0" r="0" b="0"/>
            <wp:docPr id="74"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1000" cy="180975"/>
                    </a:xfrm>
                    <a:prstGeom prst="rect">
                      <a:avLst/>
                    </a:prstGeom>
                    <a:noFill/>
                    <a:ln>
                      <a:noFill/>
                    </a:ln>
                  </pic:spPr>
                </pic:pic>
              </a:graphicData>
            </a:graphic>
          </wp:inline>
        </w:drawing>
      </w:r>
      <w:r w:rsidRPr="00B916EC">
        <w:t xml:space="preserve"> </w:t>
      </w:r>
      <w:r>
        <w:t>and</w:t>
      </w:r>
      <w:r w:rsidRPr="00B916EC">
        <w:t xml:space="preserve"> </w:t>
      </w:r>
      <w:r w:rsidR="00ED3701">
        <w:rPr>
          <w:noProof/>
          <w:position w:val="-10"/>
        </w:rPr>
        <w:drawing>
          <wp:inline distT="0" distB="0" distL="0" distR="0" wp14:anchorId="420AAA3E" wp14:editId="37A7300C">
            <wp:extent cx="352425" cy="180975"/>
            <wp:effectExtent l="0" t="0" r="0" b="0"/>
            <wp:docPr id="75"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2425" cy="180975"/>
                    </a:xfrm>
                    <a:prstGeom prst="rect">
                      <a:avLst/>
                    </a:prstGeom>
                    <a:noFill/>
                    <a:ln>
                      <a:noFill/>
                    </a:ln>
                  </pic:spPr>
                </pic:pic>
              </a:graphicData>
            </a:graphic>
          </wp:inline>
        </w:drawing>
      </w:r>
      <w:r w:rsidRPr="00B916EC">
        <w:t xml:space="preserve"> </w:t>
      </w:r>
      <w:r>
        <w:rPr>
          <w:lang w:val="en-US"/>
        </w:rPr>
        <w:t xml:space="preserve">are </w:t>
      </w:r>
      <w:r w:rsidRPr="00B916EC">
        <w:t xml:space="preserve">the linear values of the </w:t>
      </w:r>
      <w:r>
        <w:rPr>
          <w:lang w:val="en-US"/>
        </w:rPr>
        <w:t xml:space="preserve">total </w:t>
      </w:r>
      <w:r>
        <w:t>UE transmi</w:t>
      </w:r>
      <w:r>
        <w:rPr>
          <w:lang w:val="en-US"/>
        </w:rPr>
        <w:t>ssion</w:t>
      </w:r>
      <w:r w:rsidRPr="00B916EC">
        <w:t xml:space="preserve"> power</w:t>
      </w:r>
      <w:r>
        <w:rPr>
          <w:rFonts w:hint="eastAsia"/>
          <w:lang w:eastAsia="zh-CN"/>
        </w:rPr>
        <w:t>s</w:t>
      </w:r>
      <w:r>
        <w:t xml:space="preserve"> </w:t>
      </w:r>
      <w:r>
        <w:rPr>
          <w:lang w:val="en-US"/>
        </w:rPr>
        <w:t>in</w:t>
      </w:r>
      <w:r>
        <w:rPr>
          <w:rFonts w:hint="eastAsia"/>
          <w:lang w:eastAsia="zh-CN"/>
        </w:rPr>
        <w:t xml:space="preserve"> s</w:t>
      </w:r>
      <w:r>
        <w:rPr>
          <w:lang w:val="en-US" w:eastAsia="zh-CN"/>
        </w:rPr>
        <w:t>lot</w:t>
      </w:r>
      <w:r>
        <w:rPr>
          <w:rFonts w:hint="eastAsia"/>
          <w:lang w:eastAsia="zh-CN"/>
        </w:rPr>
        <w:t xml:space="preserve"> </w:t>
      </w:r>
      <w:r w:rsidR="00ED3701">
        <w:rPr>
          <w:noProof/>
          <w:position w:val="-10"/>
        </w:rPr>
        <w:drawing>
          <wp:inline distT="0" distB="0" distL="0" distR="0" wp14:anchorId="2E31E757" wp14:editId="11CF409C">
            <wp:extent cx="104775" cy="180975"/>
            <wp:effectExtent l="0" t="0" r="0" b="0"/>
            <wp:docPr id="76"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4775" cy="180975"/>
                    </a:xfrm>
                    <a:prstGeom prst="rect">
                      <a:avLst/>
                    </a:prstGeom>
                    <a:noFill/>
                    <a:ln>
                      <a:noFill/>
                    </a:ln>
                  </pic:spPr>
                </pic:pic>
              </a:graphicData>
            </a:graphic>
          </wp:inline>
        </w:drawing>
      </w:r>
      <w:r>
        <w:rPr>
          <w:rFonts w:hint="eastAsia"/>
          <w:lang w:eastAsia="zh-CN"/>
        </w:rPr>
        <w:t xml:space="preserve"> </w:t>
      </w:r>
      <w:r>
        <w:rPr>
          <w:lang w:val="en-US" w:eastAsia="zh-CN"/>
        </w:rPr>
        <w:t xml:space="preserve">of the MCG in FR1 </w:t>
      </w:r>
      <w:r>
        <w:t xml:space="preserve">and </w:t>
      </w:r>
      <w:r>
        <w:rPr>
          <w:lang w:val="en-US"/>
        </w:rPr>
        <w:t>in</w:t>
      </w:r>
      <w:r>
        <w:rPr>
          <w:rFonts w:hint="eastAsia"/>
          <w:lang w:eastAsia="zh-CN"/>
        </w:rPr>
        <w:t xml:space="preserve"> s</w:t>
      </w:r>
      <w:r>
        <w:rPr>
          <w:lang w:val="en-US" w:eastAsia="zh-CN"/>
        </w:rPr>
        <w:t>ubframe</w:t>
      </w:r>
      <w:r>
        <w:rPr>
          <w:rFonts w:hint="eastAsia"/>
          <w:lang w:eastAsia="zh-CN"/>
        </w:rPr>
        <w:t xml:space="preserve"> </w:t>
      </w:r>
      <w:r w:rsidR="00ED3701">
        <w:rPr>
          <w:noProof/>
          <w:position w:val="-10"/>
        </w:rPr>
        <w:drawing>
          <wp:inline distT="0" distB="0" distL="0" distR="0" wp14:anchorId="4B84ADC6" wp14:editId="54518FEF">
            <wp:extent cx="114300" cy="180975"/>
            <wp:effectExtent l="0" t="0" r="0" b="0"/>
            <wp:docPr id="77"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rPr>
          <w:lang w:val="en-US"/>
        </w:rPr>
        <w:t xml:space="preserve"> of the SCG</w:t>
      </w:r>
      <w:r w:rsidRPr="00B916EC">
        <w:t>, respectively.</w:t>
      </w:r>
    </w:p>
    <w:p w14:paraId="75EE7328" w14:textId="6CF8A63F" w:rsidR="00462723" w:rsidRDefault="00462723" w:rsidP="00462723">
      <w:pPr>
        <w:pStyle w:val="B1"/>
      </w:pPr>
      <w:r>
        <w:t>-</w:t>
      </w:r>
      <w:r>
        <w:tab/>
        <w:t xml:space="preserve">If the UE </w:t>
      </w:r>
      <w:r w:rsidRPr="00F809A6">
        <w:rPr>
          <w:lang w:val="en-US"/>
        </w:rPr>
        <w:t xml:space="preserve">does </w:t>
      </w:r>
      <w:r>
        <w:rPr>
          <w:lang w:eastAsia="ja-JP"/>
        </w:rPr>
        <w:t>not indicate a capability for dynamic power sharing</w:t>
      </w:r>
      <w:r w:rsidRPr="00F809A6">
        <w:rPr>
          <w:lang w:val="en-US" w:eastAsia="ja-JP"/>
        </w:rPr>
        <w:t xml:space="preserve"> between E</w:t>
      </w:r>
      <w:r>
        <w:rPr>
          <w:lang w:val="en-US" w:eastAsia="ja-JP"/>
        </w:rPr>
        <w:t>-</w:t>
      </w:r>
      <w:r w:rsidRPr="00F809A6">
        <w:rPr>
          <w:lang w:val="en-US" w:eastAsia="ja-JP"/>
        </w:rPr>
        <w:t>UTRA and NR</w:t>
      </w:r>
      <w:r>
        <w:rPr>
          <w:lang w:val="en-US" w:eastAsia="ja-JP"/>
        </w:rPr>
        <w:t xml:space="preserve"> for NE-DC, the UE expects to be configured </w:t>
      </w:r>
      <w:r>
        <w:rPr>
          <w:rFonts w:hint="eastAsia"/>
          <w:lang w:eastAsia="zh-CN"/>
        </w:rPr>
        <w:t xml:space="preserve">with </w:t>
      </w:r>
      <w:r w:rsidRPr="00EB5B01">
        <w:t>reference TDD configuration</w:t>
      </w:r>
      <w:r>
        <w:rPr>
          <w:rFonts w:hint="eastAsia"/>
          <w:lang w:eastAsia="zh-CN"/>
        </w:rPr>
        <w:t xml:space="preserve"> </w:t>
      </w:r>
      <w:r>
        <w:rPr>
          <w:lang w:val="en-US" w:eastAsia="zh-CN"/>
        </w:rPr>
        <w:t xml:space="preserve">for E-UTRA (by </w:t>
      </w:r>
      <w:r w:rsidRPr="001930CB">
        <w:rPr>
          <w:i/>
          <w:iCs/>
          <w:lang w:eastAsia="zh-CN"/>
        </w:rPr>
        <w:t>tdm-PatternConfig</w:t>
      </w:r>
      <w:r w:rsidR="006F59DA">
        <w:rPr>
          <w:i/>
          <w:iCs/>
          <w:lang w:eastAsia="zh-CN"/>
        </w:rPr>
        <w:t>NE-DC</w:t>
      </w:r>
      <w:r w:rsidRPr="001930CB">
        <w:rPr>
          <w:i/>
          <w:iCs/>
          <w:lang w:eastAsia="zh-CN"/>
        </w:rPr>
        <w:t>-r15</w:t>
      </w:r>
      <w:r w:rsidRPr="00BE2EE9">
        <w:rPr>
          <w:rFonts w:hint="eastAsia"/>
          <w:lang w:val="en-US" w:eastAsia="zh-CN"/>
        </w:rPr>
        <w:t xml:space="preserve"> </w:t>
      </w:r>
      <w:r>
        <w:rPr>
          <w:lang w:val="en-US" w:eastAsia="zh-CN"/>
        </w:rPr>
        <w:t xml:space="preserve">in </w:t>
      </w:r>
      <w:r>
        <w:rPr>
          <w:rFonts w:hint="eastAsia"/>
          <w:lang w:eastAsia="zh-CN"/>
        </w:rPr>
        <w:t>[13, TS</w:t>
      </w:r>
      <w:r>
        <w:rPr>
          <w:lang w:eastAsia="zh-CN"/>
        </w:rPr>
        <w:t xml:space="preserve"> </w:t>
      </w:r>
      <w:r>
        <w:rPr>
          <w:rFonts w:hint="eastAsia"/>
          <w:lang w:eastAsia="zh-CN"/>
        </w:rPr>
        <w:t>36.213]</w:t>
      </w:r>
      <w:r>
        <w:rPr>
          <w:lang w:val="en-US" w:eastAsia="zh-CN"/>
        </w:rPr>
        <w:t>).</w:t>
      </w:r>
      <w:r>
        <w:t xml:space="preserve"> </w:t>
      </w:r>
    </w:p>
    <w:p w14:paraId="57C4B566" w14:textId="77777777" w:rsidR="003F6F6B" w:rsidRPr="00C463CB" w:rsidRDefault="003F6F6B" w:rsidP="003F6F6B">
      <w:pPr>
        <w:pStyle w:val="Heading3"/>
      </w:pPr>
      <w:bookmarkStart w:id="267" w:name="_Toc12021456"/>
      <w:bookmarkStart w:id="268" w:name="_Toc20311568"/>
      <w:bookmarkStart w:id="269" w:name="_Toc26719393"/>
      <w:bookmarkStart w:id="270" w:name="_Toc29894824"/>
      <w:bookmarkStart w:id="271" w:name="_Toc29899123"/>
      <w:bookmarkStart w:id="272" w:name="_Toc29899541"/>
      <w:bookmarkStart w:id="273" w:name="_Toc29917278"/>
      <w:bookmarkStart w:id="274" w:name="_Toc36498152"/>
      <w:bookmarkStart w:id="275" w:name="_Toc45699178"/>
      <w:bookmarkStart w:id="276" w:name="_Toc161999103"/>
      <w:r w:rsidRPr="00B916EC">
        <w:t>7</w:t>
      </w:r>
      <w:r>
        <w:t>.6.2</w:t>
      </w:r>
      <w:r w:rsidRPr="00B916EC">
        <w:tab/>
      </w:r>
      <w:r w:rsidR="00C30574">
        <w:t>NR</w:t>
      </w:r>
      <w:r>
        <w:t>-DC</w:t>
      </w:r>
      <w:bookmarkEnd w:id="267"/>
      <w:bookmarkEnd w:id="268"/>
      <w:bookmarkEnd w:id="269"/>
      <w:bookmarkEnd w:id="270"/>
      <w:bookmarkEnd w:id="271"/>
      <w:bookmarkEnd w:id="272"/>
      <w:bookmarkEnd w:id="273"/>
      <w:bookmarkEnd w:id="274"/>
      <w:bookmarkEnd w:id="275"/>
      <w:bookmarkEnd w:id="276"/>
    </w:p>
    <w:p w14:paraId="3F3777B9" w14:textId="0E80D656" w:rsidR="00FD7414" w:rsidRPr="003F2885" w:rsidRDefault="00FD7414" w:rsidP="00FD7414">
      <w:pPr>
        <w:shd w:val="clear" w:color="auto" w:fill="FFFFFF"/>
        <w:spacing w:after="120"/>
        <w:jc w:val="both"/>
        <w:rPr>
          <w:lang w:eastAsia="zh-CN"/>
        </w:rPr>
      </w:pPr>
      <w:r w:rsidRPr="003F2885">
        <w:t>The UE proced</w:t>
      </w:r>
      <w:r>
        <w:t>ures described in this clause are</w:t>
      </w:r>
      <w:r w:rsidRPr="003F2885">
        <w:t xml:space="preserve"> not applicable if the UE is provided</w:t>
      </w:r>
      <w:r>
        <w:t xml:space="preserve"> </w:t>
      </w:r>
      <w:r w:rsidRPr="003F2885">
        <w:rPr>
          <w:i/>
        </w:rPr>
        <w:t>scg-State</w:t>
      </w:r>
      <w:r>
        <w:t xml:space="preserve"> </w:t>
      </w:r>
      <w:r w:rsidRPr="003F2885">
        <w:t>[12, TS 38.331].</w:t>
      </w:r>
    </w:p>
    <w:p w14:paraId="306FEB3D" w14:textId="18AC55FF" w:rsidR="003F6F6B" w:rsidRDefault="003F6F6B" w:rsidP="00B44469">
      <w:pPr>
        <w:rPr>
          <w:lang w:eastAsia="ja-JP"/>
        </w:rPr>
      </w:pPr>
      <w:r w:rsidRPr="00B916EC">
        <w:t>If a UE is configured with a</w:t>
      </w:r>
      <w:r w:rsidR="00F44495">
        <w:t>n</w:t>
      </w:r>
      <w:r w:rsidRPr="00B916EC">
        <w:t xml:space="preserve"> MCG using </w:t>
      </w:r>
      <w:r>
        <w:rPr>
          <w:lang w:val="en-US"/>
        </w:rPr>
        <w:t>NR</w:t>
      </w:r>
      <w:r w:rsidRPr="00B916EC">
        <w:t xml:space="preserve"> radio access </w:t>
      </w:r>
      <w:r>
        <w:rPr>
          <w:lang w:val="en-US"/>
        </w:rPr>
        <w:t xml:space="preserve">in </w:t>
      </w:r>
      <w:r w:rsidR="00890F22">
        <w:rPr>
          <w:lang w:val="en-US"/>
        </w:rPr>
        <w:t>FR</w:t>
      </w:r>
      <w:r>
        <w:rPr>
          <w:lang w:val="en-US"/>
        </w:rPr>
        <w:t xml:space="preserve">1 or in </w:t>
      </w:r>
      <w:r w:rsidR="00890F22">
        <w:rPr>
          <w:lang w:val="en-US"/>
        </w:rPr>
        <w:t>FR</w:t>
      </w:r>
      <w:r>
        <w:rPr>
          <w:lang w:val="en-US"/>
        </w:rPr>
        <w:t xml:space="preserve">2 </w:t>
      </w:r>
      <w:r w:rsidRPr="00B916EC">
        <w:t xml:space="preserve">and with a SCG using </w:t>
      </w:r>
      <w:r w:rsidRPr="00B916EC">
        <w:rPr>
          <w:lang w:eastAsia="ja-JP"/>
        </w:rPr>
        <w:t>NR radio access</w:t>
      </w:r>
      <w:r>
        <w:rPr>
          <w:lang w:val="en-US" w:eastAsia="ja-JP"/>
        </w:rPr>
        <w:t xml:space="preserve"> in </w:t>
      </w:r>
      <w:r w:rsidR="00890F22">
        <w:rPr>
          <w:lang w:val="en-US"/>
        </w:rPr>
        <w:t>FR</w:t>
      </w:r>
      <w:r>
        <w:rPr>
          <w:lang w:val="en-US"/>
        </w:rPr>
        <w:t xml:space="preserve">2 or in </w:t>
      </w:r>
      <w:r w:rsidR="00890F22">
        <w:rPr>
          <w:lang w:val="en-US"/>
        </w:rPr>
        <w:t>FR</w:t>
      </w:r>
      <w:r>
        <w:rPr>
          <w:lang w:val="en-US"/>
        </w:rPr>
        <w:t>1</w:t>
      </w:r>
      <w:r w:rsidRPr="00B916EC">
        <w:rPr>
          <w:lang w:eastAsia="ja-JP"/>
        </w:rPr>
        <w:t xml:space="preserve">, </w:t>
      </w:r>
      <w:r>
        <w:rPr>
          <w:lang w:val="en-US" w:eastAsia="ja-JP"/>
        </w:rPr>
        <w:t xml:space="preserve">respectively, </w:t>
      </w:r>
      <w:r w:rsidRPr="00DA2E0D">
        <w:t xml:space="preserve">the </w:t>
      </w:r>
      <w:r>
        <w:rPr>
          <w:lang w:val="en-US"/>
        </w:rPr>
        <w:t xml:space="preserve">UE performs transmission power control independently per cell group as described </w:t>
      </w:r>
      <w:r w:rsidR="006F5F9E">
        <w:rPr>
          <w:lang w:val="en-US"/>
        </w:rPr>
        <w:t>in clause</w:t>
      </w:r>
      <w:r>
        <w:rPr>
          <w:lang w:val="en-US"/>
        </w:rPr>
        <w:t>s 7.1 through 7.5</w:t>
      </w:r>
      <w:r>
        <w:rPr>
          <w:lang w:eastAsia="ja-JP"/>
        </w:rPr>
        <w:t>.</w:t>
      </w:r>
    </w:p>
    <w:p w14:paraId="0D85C8C0" w14:textId="241A7737" w:rsidR="003773EA" w:rsidRPr="00D27B1E" w:rsidRDefault="003773EA" w:rsidP="00234FA4">
      <w:pPr>
        <w:rPr>
          <w:lang w:eastAsia="ja-JP"/>
        </w:rPr>
      </w:pPr>
      <w:r w:rsidRPr="00D27B1E">
        <w:t xml:space="preserve">If a UE is configured with an MCG and a SCG using </w:t>
      </w:r>
      <w:r w:rsidRPr="00D27B1E">
        <w:rPr>
          <w:lang w:val="en-US"/>
        </w:rPr>
        <w:t>NR</w:t>
      </w:r>
      <w:r w:rsidRPr="00D27B1E">
        <w:t xml:space="preserve"> radio access </w:t>
      </w:r>
      <w:r w:rsidRPr="00D27B1E">
        <w:rPr>
          <w:lang w:val="en-US"/>
        </w:rPr>
        <w:t>in FR1 and/or in FR2</w:t>
      </w:r>
      <w:r w:rsidRPr="00D27B1E">
        <w:rPr>
          <w:lang w:val="en-US" w:eastAsia="ja-JP"/>
        </w:rPr>
        <w:t xml:space="preserve">, </w:t>
      </w:r>
      <w:r w:rsidRPr="00D27B1E">
        <w:rPr>
          <w:lang w:eastAsia="ja-JP"/>
        </w:rPr>
        <w:t xml:space="preserve">the UE is configured a maximum power </w:t>
      </w:r>
      <m:oMath>
        <m:sSub>
          <m:sSubPr>
            <m:ctrlPr>
              <w:rPr>
                <w:rFonts w:ascii="Cambria Math" w:hAnsi="Cambria Math"/>
                <w:i/>
              </w:rPr>
            </m:ctrlPr>
          </m:sSubPr>
          <m:e>
            <m:r>
              <w:rPr>
                <w:rFonts w:ascii="Cambria Math" w:hAnsi="Cambria Math"/>
              </w:rPr>
              <m:t>P</m:t>
            </m:r>
          </m:e>
          <m:sub>
            <m:r>
              <m:rPr>
                <m:nor/>
              </m:rPr>
              <m:t>MCG</m:t>
            </m:r>
            <m:ctrlPr>
              <w:rPr>
                <w:rFonts w:ascii="Cambria Math" w:hAnsi="Cambria Math"/>
              </w:rPr>
            </m:ctrlPr>
          </m:sub>
        </m:sSub>
      </m:oMath>
      <w:r w:rsidRPr="00D27B1E">
        <w:rPr>
          <w:lang w:eastAsia="ja-JP"/>
        </w:rPr>
        <w:t xml:space="preserve"> for transmissions on the MCG by </w:t>
      </w:r>
      <w:r w:rsidRPr="00D27B1E">
        <w:rPr>
          <w:i/>
          <w:lang w:eastAsia="ja-JP"/>
        </w:rPr>
        <w:t>p-NR-FR1</w:t>
      </w:r>
      <w:r w:rsidRPr="00D27B1E">
        <w:rPr>
          <w:lang w:eastAsia="ja-JP"/>
        </w:rPr>
        <w:t xml:space="preserve"> and/or by </w:t>
      </w:r>
      <w:r w:rsidRPr="00D27B1E">
        <w:rPr>
          <w:i/>
          <w:lang w:eastAsia="ja-JP"/>
        </w:rPr>
        <w:t>p-NR-FR2</w:t>
      </w:r>
      <w:r w:rsidRPr="00D27B1E">
        <w:rPr>
          <w:lang w:eastAsia="ja-JP"/>
        </w:rPr>
        <w:t xml:space="preserve"> and a maximum power </w:t>
      </w:r>
      <m:oMath>
        <m:sSub>
          <m:sSubPr>
            <m:ctrlPr>
              <w:rPr>
                <w:rFonts w:ascii="Cambria Math" w:hAnsi="Cambria Math"/>
                <w:i/>
              </w:rPr>
            </m:ctrlPr>
          </m:sSubPr>
          <m:e>
            <m:r>
              <w:rPr>
                <w:rFonts w:ascii="Cambria Math" w:hAnsi="Cambria Math"/>
              </w:rPr>
              <m:t>P</m:t>
            </m:r>
          </m:e>
          <m:sub>
            <m:r>
              <m:rPr>
                <m:nor/>
              </m:rPr>
              <m:t>SCG</m:t>
            </m:r>
            <m:ctrlPr>
              <w:rPr>
                <w:rFonts w:ascii="Cambria Math" w:hAnsi="Cambria Math"/>
              </w:rPr>
            </m:ctrlPr>
          </m:sub>
        </m:sSub>
      </m:oMath>
      <w:r w:rsidRPr="00D27B1E">
        <w:t xml:space="preserve"> </w:t>
      </w:r>
      <w:r w:rsidRPr="00D27B1E">
        <w:rPr>
          <w:lang w:eastAsia="ja-JP"/>
        </w:rPr>
        <w:t xml:space="preserve">for transmissions on the SCG by </w:t>
      </w:r>
      <w:r w:rsidRPr="00D27B1E">
        <w:rPr>
          <w:i/>
          <w:lang w:eastAsia="ja-JP"/>
        </w:rPr>
        <w:t>p-NR-FR1</w:t>
      </w:r>
      <w:r w:rsidRPr="00D27B1E">
        <w:rPr>
          <w:iCs/>
          <w:lang w:eastAsia="ja-JP"/>
        </w:rPr>
        <w:t xml:space="preserve"> </w:t>
      </w:r>
      <w:r w:rsidRPr="00D27B1E">
        <w:rPr>
          <w:lang w:eastAsia="ja-JP"/>
        </w:rPr>
        <w:t xml:space="preserve">and/or by </w:t>
      </w:r>
      <w:r w:rsidRPr="00D27B1E">
        <w:rPr>
          <w:i/>
          <w:lang w:eastAsia="ja-JP"/>
        </w:rPr>
        <w:t>p-NR-FR2</w:t>
      </w:r>
      <w:r w:rsidRPr="00D27B1E">
        <w:rPr>
          <w:lang w:eastAsia="ja-JP"/>
        </w:rPr>
        <w:t xml:space="preserve"> and with an inter-CG power sharing mode by </w:t>
      </w:r>
      <w:r w:rsidR="00232009">
        <w:rPr>
          <w:i/>
          <w:iCs/>
          <w:lang w:eastAsia="ja-JP"/>
        </w:rPr>
        <w:t>nrdc</w:t>
      </w:r>
      <w:r w:rsidR="00232009" w:rsidRPr="00D27B1E">
        <w:rPr>
          <w:i/>
          <w:iCs/>
          <w:lang w:eastAsia="ja-JP"/>
        </w:rPr>
        <w:t>-PCmode</w:t>
      </w:r>
      <w:r w:rsidR="00232009">
        <w:rPr>
          <w:i/>
          <w:iCs/>
          <w:lang w:eastAsia="ja-JP"/>
        </w:rPr>
        <w:t>-FR1</w:t>
      </w:r>
      <w:r w:rsidRPr="00D27B1E">
        <w:rPr>
          <w:iCs/>
          <w:lang w:eastAsia="ja-JP"/>
        </w:rPr>
        <w:t xml:space="preserve"> for FR1 and/or </w:t>
      </w:r>
      <w:r w:rsidRPr="00D27B1E">
        <w:rPr>
          <w:lang w:eastAsia="ja-JP"/>
        </w:rPr>
        <w:t xml:space="preserve">by </w:t>
      </w:r>
      <w:r w:rsidR="00232009">
        <w:rPr>
          <w:i/>
          <w:iCs/>
          <w:lang w:eastAsia="ja-JP"/>
        </w:rPr>
        <w:t>nrdc</w:t>
      </w:r>
      <w:r w:rsidR="00232009" w:rsidRPr="00D27B1E">
        <w:rPr>
          <w:i/>
          <w:iCs/>
          <w:lang w:eastAsia="ja-JP"/>
        </w:rPr>
        <w:t>-PCmode</w:t>
      </w:r>
      <w:r w:rsidR="00232009">
        <w:rPr>
          <w:i/>
          <w:iCs/>
          <w:lang w:eastAsia="ja-JP"/>
        </w:rPr>
        <w:t>-FR2</w:t>
      </w:r>
      <w:r w:rsidRPr="00D27B1E">
        <w:rPr>
          <w:iCs/>
          <w:lang w:eastAsia="ja-JP"/>
        </w:rPr>
        <w:t xml:space="preserve"> for FR2</w:t>
      </w:r>
      <w:r w:rsidRPr="00D27B1E">
        <w:rPr>
          <w:lang w:eastAsia="ja-JP"/>
        </w:rPr>
        <w:t>. The UE determines a transmission power on the MCG and a transmission power on the SCG per frequency range.</w:t>
      </w:r>
    </w:p>
    <w:p w14:paraId="65207A7D" w14:textId="3E5D0072" w:rsidR="00086422" w:rsidRPr="001F0BA9" w:rsidRDefault="00086422" w:rsidP="00086422">
      <w:r w:rsidRPr="001F0BA9">
        <w:t xml:space="preserve">If a UE is provided </w:t>
      </w:r>
      <w:r w:rsidR="00232009">
        <w:rPr>
          <w:i/>
        </w:rPr>
        <w:t>s</w:t>
      </w:r>
      <w:r w:rsidR="00232009" w:rsidRPr="001F0BA9">
        <w:rPr>
          <w:i/>
        </w:rPr>
        <w:t>emi-static-mode1</w:t>
      </w:r>
      <w:r w:rsidR="00232009">
        <w:rPr>
          <w:i/>
        </w:rPr>
        <w:t xml:space="preserve"> </w:t>
      </w:r>
      <w:r w:rsidR="00232009">
        <w:rPr>
          <w:iCs/>
        </w:rPr>
        <w:t xml:space="preserve">for </w:t>
      </w:r>
      <w:r w:rsidR="00232009">
        <w:rPr>
          <w:i/>
          <w:iCs/>
        </w:rPr>
        <w:t>nrdc</w:t>
      </w:r>
      <w:r w:rsidR="00232009" w:rsidRPr="001F0BA9">
        <w:rPr>
          <w:i/>
          <w:iCs/>
        </w:rPr>
        <w:t>-PCmode</w:t>
      </w:r>
      <w:r w:rsidR="00232009">
        <w:rPr>
          <w:i/>
          <w:iCs/>
        </w:rPr>
        <w:t>-FR1</w:t>
      </w:r>
      <w:r w:rsidR="00232009" w:rsidRPr="001F0BA9">
        <w:t xml:space="preserve"> </w:t>
      </w:r>
      <w:r w:rsidR="00232009">
        <w:t xml:space="preserve">or for </w:t>
      </w:r>
      <w:r w:rsidR="00232009">
        <w:rPr>
          <w:i/>
          <w:iCs/>
        </w:rPr>
        <w:t>nrdc</w:t>
      </w:r>
      <w:r w:rsidR="00232009" w:rsidRPr="001F0BA9">
        <w:rPr>
          <w:i/>
          <w:iCs/>
        </w:rPr>
        <w:t>-PCmode</w:t>
      </w:r>
      <w:r w:rsidR="00232009">
        <w:rPr>
          <w:i/>
          <w:iCs/>
        </w:rPr>
        <w:t>-FR2</w:t>
      </w:r>
      <w:r w:rsidR="00232009">
        <w:rPr>
          <w:iCs/>
        </w:rPr>
        <w:t>,</w:t>
      </w:r>
      <w:r w:rsidR="00232009" w:rsidRPr="001F0BA9">
        <w:rPr>
          <w:i/>
        </w:rPr>
        <w:t xml:space="preserve"> </w:t>
      </w:r>
      <w:r w:rsidR="00232009" w:rsidRPr="001F0BA9">
        <w:rPr>
          <w:iCs/>
        </w:rPr>
        <w:t xml:space="preserve">or </w:t>
      </w:r>
      <w:r w:rsidR="00232009">
        <w:rPr>
          <w:i/>
        </w:rPr>
        <w:t>s</w:t>
      </w:r>
      <w:r w:rsidR="00232009" w:rsidRPr="001F0BA9">
        <w:rPr>
          <w:i/>
        </w:rPr>
        <w:t>emi-static-mode2</w:t>
      </w:r>
      <w:r w:rsidR="00232009">
        <w:rPr>
          <w:i/>
        </w:rPr>
        <w:t xml:space="preserve"> </w:t>
      </w:r>
      <w:r w:rsidR="00232009">
        <w:rPr>
          <w:iCs/>
        </w:rPr>
        <w:t xml:space="preserve">for </w:t>
      </w:r>
      <w:r w:rsidR="00232009">
        <w:rPr>
          <w:i/>
          <w:iCs/>
        </w:rPr>
        <w:t>nrdc</w:t>
      </w:r>
      <w:r w:rsidR="00232009" w:rsidRPr="001F0BA9">
        <w:rPr>
          <w:i/>
          <w:iCs/>
        </w:rPr>
        <w:t>-PCmode</w:t>
      </w:r>
      <w:r w:rsidR="00232009">
        <w:rPr>
          <w:i/>
          <w:iCs/>
        </w:rPr>
        <w:t>-FR1</w:t>
      </w:r>
      <w:r w:rsidR="00232009" w:rsidRPr="001F0BA9">
        <w:t xml:space="preserve"> </w:t>
      </w:r>
      <w:r w:rsidR="00232009">
        <w:t xml:space="preserve">or for </w:t>
      </w:r>
      <w:r w:rsidR="00232009">
        <w:rPr>
          <w:i/>
          <w:iCs/>
        </w:rPr>
        <w:t>nrdc</w:t>
      </w:r>
      <w:r w:rsidR="00232009" w:rsidRPr="001F0BA9">
        <w:rPr>
          <w:i/>
          <w:iCs/>
        </w:rPr>
        <w:t>-PCmode</w:t>
      </w:r>
      <w:r w:rsidR="00232009">
        <w:rPr>
          <w:i/>
          <w:iCs/>
        </w:rPr>
        <w:t>-FR2</w:t>
      </w:r>
      <w:r w:rsidRPr="001F0BA9">
        <w:rPr>
          <w:iCs/>
        </w:rPr>
        <w:t xml:space="preserve">, the UE does not expect </w:t>
      </w:r>
      <m:oMath>
        <m:sSub>
          <m:sSubPr>
            <m:ctrlPr>
              <w:rPr>
                <w:rFonts w:ascii="Cambria Math" w:hAnsi="Cambria Math"/>
                <w:i/>
              </w:rPr>
            </m:ctrlPr>
          </m:sSubPr>
          <m:e>
            <m:r>
              <w:rPr>
                <w:rFonts w:ascii="Cambria Math"/>
              </w:rPr>
              <m:t>P</m:t>
            </m:r>
          </m:e>
          <m:sub>
            <m:r>
              <m:rPr>
                <m:nor/>
              </m:rPr>
              <w:rPr>
                <w:rFonts w:ascii="Cambria Math"/>
              </w:rPr>
              <m:t>MCG</m:t>
            </m:r>
            <m:ctrlPr>
              <w:rPr>
                <w:rFonts w:ascii="Cambria Math" w:hAnsi="Cambria Math"/>
              </w:rPr>
            </m:ctrlPr>
          </m:sub>
        </m:sSub>
      </m:oMath>
      <w:r w:rsidRPr="001F0BA9">
        <w:t xml:space="preserve"> and </w:t>
      </w:r>
      <m:oMath>
        <m:sSub>
          <m:sSubPr>
            <m:ctrlPr>
              <w:rPr>
                <w:rFonts w:ascii="Cambria Math" w:hAnsi="Cambria Math"/>
                <w:i/>
              </w:rPr>
            </m:ctrlPr>
          </m:sSubPr>
          <m:e>
            <m:r>
              <w:rPr>
                <w:rFonts w:ascii="Cambria Math"/>
              </w:rPr>
              <m:t>P</m:t>
            </m:r>
          </m:e>
          <m:sub>
            <m:r>
              <m:rPr>
                <m:nor/>
              </m:rPr>
              <w:rPr>
                <w:rFonts w:ascii="Cambria Math"/>
              </w:rPr>
              <m:t>SCG</m:t>
            </m:r>
            <m:ctrlPr>
              <w:rPr>
                <w:rFonts w:ascii="Cambria Math" w:hAnsi="Cambria Math"/>
              </w:rPr>
            </m:ctrlPr>
          </m:sub>
        </m:sSub>
      </m:oMath>
      <w:r w:rsidRPr="001F0BA9">
        <w:rPr>
          <w:iCs/>
        </w:rPr>
        <w:t xml:space="preserve"> to be configured such that </w:t>
      </w:r>
      <m:oMath>
        <m:sSub>
          <m:sSubPr>
            <m:ctrlPr>
              <w:rPr>
                <w:rFonts w:ascii="Cambria Math" w:hAnsi="Cambria Math"/>
                <w:i/>
              </w:rPr>
            </m:ctrlPr>
          </m:sSubPr>
          <m:e>
            <m:acc>
              <m:accPr>
                <m:ctrlPr>
                  <w:rPr>
                    <w:rFonts w:ascii="Cambria Math" w:hAnsi="Cambria Math"/>
                    <w:i/>
                  </w:rPr>
                </m:ctrlPr>
              </m:accPr>
              <m:e>
                <m:r>
                  <w:rPr>
                    <w:rFonts w:ascii="Cambria Math"/>
                  </w:rPr>
                  <m:t>P</m:t>
                </m:r>
              </m:e>
            </m:acc>
          </m:e>
          <m:sub>
            <m:r>
              <m:rPr>
                <m:nor/>
              </m:rPr>
              <w:rPr>
                <w:rFonts w:ascii="Cambria Math"/>
              </w:rPr>
              <m:t>MCG</m:t>
            </m:r>
            <m:ctrlPr>
              <w:rPr>
                <w:rFonts w:ascii="Cambria Math" w:hAnsi="Cambria Math"/>
              </w:rPr>
            </m:ctrlP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rPr>
                  <m:t>P</m:t>
                </m:r>
              </m:e>
            </m:acc>
          </m:e>
          <m:sub>
            <m:r>
              <w:rPr>
                <w:rFonts w:ascii="Cambria Math" w:hAnsi="Cambria Math"/>
              </w:rPr>
              <m:t>SCG</m:t>
            </m:r>
          </m:sub>
        </m:sSub>
        <m:r>
          <w:rPr>
            <w:rFonts w:ascii="Cambria Math" w:hAnsi="Cambria Math"/>
          </w:rPr>
          <m:t>&gt;</m:t>
        </m:r>
        <m:sSubSup>
          <m:sSubSupPr>
            <m:ctrlPr>
              <w:rPr>
                <w:rFonts w:ascii="Cambria Math" w:hAnsi="Cambria Math"/>
                <w:i/>
              </w:rPr>
            </m:ctrlPr>
          </m:sSubSupPr>
          <m:e>
            <m:acc>
              <m:accPr>
                <m:ctrlPr>
                  <w:rPr>
                    <w:rFonts w:ascii="Cambria Math" w:hAnsi="Cambria Math"/>
                    <w:i/>
                  </w:rPr>
                </m:ctrlPr>
              </m:accPr>
              <m:e>
                <m:r>
                  <w:rPr>
                    <w:rFonts w:ascii="Cambria Math"/>
                  </w:rPr>
                  <m:t>P</m:t>
                </m:r>
              </m:e>
            </m:acc>
          </m:e>
          <m:sub>
            <m:r>
              <w:rPr>
                <w:rFonts w:ascii="Cambria Math" w:hAnsi="Cambria Math"/>
              </w:rPr>
              <m:t>Total</m:t>
            </m:r>
          </m:sub>
          <m:sup>
            <m:r>
              <w:rPr>
                <w:rFonts w:ascii="Cambria Math" w:hAnsi="Cambria Math"/>
              </w:rPr>
              <m:t>NR-DC</m:t>
            </m:r>
          </m:sup>
        </m:sSubSup>
      </m:oMath>
      <w:r w:rsidRPr="001F0BA9">
        <w:t>, where</w:t>
      </w:r>
      <w:r>
        <w:t xml:space="preserve"> </w:t>
      </w:r>
      <m:oMath>
        <m:sSub>
          <m:sSubPr>
            <m:ctrlPr>
              <w:rPr>
                <w:rFonts w:ascii="Cambria Math" w:hAnsi="Cambria Math"/>
                <w:i/>
              </w:rPr>
            </m:ctrlPr>
          </m:sSubPr>
          <m:e>
            <m:acc>
              <m:accPr>
                <m:ctrlPr>
                  <w:rPr>
                    <w:rFonts w:ascii="Cambria Math" w:hAnsi="Cambria Math"/>
                    <w:i/>
                  </w:rPr>
                </m:ctrlPr>
              </m:accPr>
              <m:e>
                <m:r>
                  <w:rPr>
                    <w:rFonts w:ascii="Cambria Math"/>
                  </w:rPr>
                  <m:t>P</m:t>
                </m:r>
              </m:e>
            </m:acc>
          </m:e>
          <m:sub>
            <m:r>
              <m:rPr>
                <m:nor/>
              </m:rPr>
              <w:rPr>
                <w:rFonts w:ascii="Cambria Math"/>
              </w:rPr>
              <m:t>MCG</m:t>
            </m:r>
            <m:ctrlPr>
              <w:rPr>
                <w:rFonts w:ascii="Cambria Math" w:hAnsi="Cambria Math"/>
              </w:rPr>
            </m:ctrlPr>
          </m:sub>
        </m:sSub>
      </m:oMath>
      <w:r>
        <w:t xml:space="preserve"> </w:t>
      </w:r>
      <w:r w:rsidRPr="001F0BA9">
        <w:t>is the linear value of</w:t>
      </w:r>
      <w:r>
        <w:t xml:space="preserve"> </w:t>
      </w:r>
      <m:oMath>
        <m:sSub>
          <m:sSubPr>
            <m:ctrlPr>
              <w:rPr>
                <w:rFonts w:ascii="Cambria Math" w:hAnsi="Cambria Math"/>
                <w:i/>
              </w:rPr>
            </m:ctrlPr>
          </m:sSubPr>
          <m:e>
            <m:r>
              <w:rPr>
                <w:rFonts w:ascii="Cambria Math"/>
              </w:rPr>
              <m:t>P</m:t>
            </m:r>
          </m:e>
          <m:sub>
            <m:r>
              <m:rPr>
                <m:nor/>
              </m:rPr>
              <w:rPr>
                <w:rFonts w:ascii="Cambria Math"/>
              </w:rPr>
              <m:t>MCG</m:t>
            </m:r>
            <m:ctrlPr>
              <w:rPr>
                <w:rFonts w:ascii="Cambria Math" w:hAnsi="Cambria Math"/>
              </w:rPr>
            </m:ctrlPr>
          </m:sub>
        </m:sSub>
      </m:oMath>
      <w:r w:rsidRPr="001F0BA9">
        <w:t>,</w:t>
      </w:r>
      <w:r>
        <w:t xml:space="preserve"> </w:t>
      </w:r>
      <m:oMath>
        <m:sSub>
          <m:sSubPr>
            <m:ctrlPr>
              <w:rPr>
                <w:rFonts w:ascii="Cambria Math" w:hAnsi="Cambria Math"/>
                <w:i/>
              </w:rPr>
            </m:ctrlPr>
          </m:sSubPr>
          <m:e>
            <m:acc>
              <m:accPr>
                <m:ctrlPr>
                  <w:rPr>
                    <w:rFonts w:ascii="Cambria Math" w:hAnsi="Cambria Math"/>
                    <w:i/>
                  </w:rPr>
                </m:ctrlPr>
              </m:accPr>
              <m:e>
                <m:r>
                  <w:rPr>
                    <w:rFonts w:ascii="Cambria Math"/>
                  </w:rPr>
                  <m:t>P</m:t>
                </m:r>
              </m:e>
            </m:acc>
          </m:e>
          <m:sub>
            <m:r>
              <w:rPr>
                <w:rFonts w:ascii="Cambria Math" w:hAnsi="Cambria Math"/>
              </w:rPr>
              <m:t>SCG</m:t>
            </m:r>
          </m:sub>
        </m:sSub>
      </m:oMath>
      <w:r>
        <w:t xml:space="preserve"> </w:t>
      </w:r>
      <w:r w:rsidRPr="001F0BA9">
        <w:t>is the linear value of</w:t>
      </w:r>
      <w:r>
        <w:t xml:space="preserve"> </w:t>
      </w:r>
      <m:oMath>
        <m:sSub>
          <m:sSubPr>
            <m:ctrlPr>
              <w:rPr>
                <w:rFonts w:ascii="Cambria Math" w:hAnsi="Cambria Math"/>
                <w:i/>
              </w:rPr>
            </m:ctrlPr>
          </m:sSubPr>
          <m:e>
            <m:r>
              <w:rPr>
                <w:rFonts w:ascii="Cambria Math"/>
              </w:rPr>
              <m:t>P</m:t>
            </m:r>
          </m:e>
          <m:sub>
            <m:r>
              <m:rPr>
                <m:nor/>
              </m:rPr>
              <w:rPr>
                <w:rFonts w:ascii="Cambria Math"/>
              </w:rPr>
              <m:t>SCG</m:t>
            </m:r>
            <m:ctrlPr>
              <w:rPr>
                <w:rFonts w:ascii="Cambria Math" w:hAnsi="Cambria Math"/>
              </w:rPr>
            </m:ctrlPr>
          </m:sub>
        </m:sSub>
      </m:oMath>
      <w:r w:rsidRPr="001F0BA9">
        <w:t>, and</w:t>
      </w:r>
      <w:r>
        <w:t xml:space="preserve"> </w:t>
      </w:r>
      <m:oMath>
        <m:sSubSup>
          <m:sSubSupPr>
            <m:ctrlPr>
              <w:rPr>
                <w:rFonts w:ascii="Cambria Math" w:hAnsi="Cambria Math"/>
                <w:i/>
              </w:rPr>
            </m:ctrlPr>
          </m:sSubSupPr>
          <m:e>
            <m:acc>
              <m:accPr>
                <m:ctrlPr>
                  <w:rPr>
                    <w:rFonts w:ascii="Cambria Math" w:hAnsi="Cambria Math"/>
                    <w:i/>
                  </w:rPr>
                </m:ctrlPr>
              </m:accPr>
              <m:e>
                <m:r>
                  <w:rPr>
                    <w:rFonts w:ascii="Cambria Math"/>
                  </w:rPr>
                  <m:t>P</m:t>
                </m:r>
              </m:e>
            </m:acc>
          </m:e>
          <m:sub>
            <m:r>
              <w:rPr>
                <w:rFonts w:ascii="Cambria Math" w:hAnsi="Cambria Math"/>
              </w:rPr>
              <m:t>Total</m:t>
            </m:r>
          </m:sub>
          <m:sup>
            <m:r>
              <w:rPr>
                <w:rFonts w:ascii="Cambria Math" w:hAnsi="Cambria Math"/>
              </w:rPr>
              <m:t>NR-DC</m:t>
            </m:r>
          </m:sup>
        </m:sSubSup>
      </m:oMath>
      <w:r>
        <w:t xml:space="preserve"> </w:t>
      </w:r>
      <w:r w:rsidRPr="001F0BA9">
        <w:t xml:space="preserve">is the linear value of a configured maximum transmission power for NR-DC operation in FR1 </w:t>
      </w:r>
      <w:r w:rsidR="00A366E6">
        <w:t xml:space="preserve">or FR2 </w:t>
      </w:r>
      <w:r w:rsidRPr="001F0BA9">
        <w:t>as defined in [8-3, TS 38.101-3].</w:t>
      </w:r>
    </w:p>
    <w:p w14:paraId="607316F5" w14:textId="11E8975D" w:rsidR="003773EA" w:rsidRPr="007D01DD" w:rsidRDefault="003773EA" w:rsidP="004D631E">
      <w:r>
        <w:lastRenderedPageBreak/>
        <w:t xml:space="preserve">If a UE is provided </w:t>
      </w:r>
      <w:r w:rsidR="00232009">
        <w:rPr>
          <w:i/>
          <w:lang w:eastAsia="ja-JP"/>
        </w:rPr>
        <w:t>s</w:t>
      </w:r>
      <w:r w:rsidR="00232009" w:rsidRPr="00A312BF">
        <w:rPr>
          <w:i/>
          <w:lang w:eastAsia="ja-JP"/>
        </w:rPr>
        <w:t>emi-static-mode1</w:t>
      </w:r>
      <w:r w:rsidR="00232009">
        <w:rPr>
          <w:i/>
          <w:lang w:eastAsia="ja-JP"/>
        </w:rPr>
        <w:t xml:space="preserve"> </w:t>
      </w:r>
      <w:r w:rsidR="00232009">
        <w:rPr>
          <w:iCs/>
          <w:lang w:eastAsia="ja-JP"/>
        </w:rPr>
        <w:t xml:space="preserve">for </w:t>
      </w:r>
      <w:r w:rsidR="00232009">
        <w:rPr>
          <w:i/>
          <w:iCs/>
          <w:lang w:eastAsia="ja-JP"/>
        </w:rPr>
        <w:t>nrdc</w:t>
      </w:r>
      <w:r w:rsidR="00232009" w:rsidRPr="00CF3657">
        <w:rPr>
          <w:i/>
          <w:iCs/>
          <w:lang w:eastAsia="ja-JP"/>
        </w:rPr>
        <w:t>-PCmode</w:t>
      </w:r>
      <w:r w:rsidR="00232009">
        <w:rPr>
          <w:i/>
          <w:iCs/>
          <w:lang w:eastAsia="ja-JP"/>
        </w:rPr>
        <w:t>-FR1</w:t>
      </w:r>
      <w:r w:rsidR="00232009">
        <w:rPr>
          <w:lang w:eastAsia="ja-JP"/>
        </w:rPr>
        <w:t xml:space="preserve"> or for </w:t>
      </w:r>
      <w:r w:rsidR="00232009">
        <w:rPr>
          <w:i/>
          <w:iCs/>
          <w:lang w:eastAsia="ja-JP"/>
        </w:rPr>
        <w:t>nrdc</w:t>
      </w:r>
      <w:r w:rsidR="00232009" w:rsidRPr="00CF3657">
        <w:rPr>
          <w:i/>
          <w:iCs/>
          <w:lang w:eastAsia="ja-JP"/>
        </w:rPr>
        <w:t>-PCmode</w:t>
      </w:r>
      <w:r w:rsidR="00232009">
        <w:rPr>
          <w:i/>
          <w:iCs/>
          <w:lang w:eastAsia="ja-JP"/>
        </w:rPr>
        <w:t>-FR2</w:t>
      </w:r>
      <w:r>
        <w:rPr>
          <w:lang w:eastAsia="ja-JP"/>
        </w:rPr>
        <w:t xml:space="preserve">, </w:t>
      </w:r>
      <w:r w:rsidRPr="007D01DD">
        <w:t xml:space="preserve">the UE determines </w:t>
      </w:r>
      <w:r>
        <w:t>a transmission power for the M</w:t>
      </w:r>
      <w:r w:rsidRPr="007D01DD">
        <w:t xml:space="preserve">CG </w:t>
      </w:r>
      <w:r>
        <w:t>or for the SCG</w:t>
      </w:r>
      <w:r w:rsidRPr="007D01DD">
        <w:t xml:space="preserve"> </w:t>
      </w:r>
      <w:r>
        <w:t>as described</w:t>
      </w:r>
      <w:r w:rsidRPr="001C7D27">
        <w:t xml:space="preserve"> </w:t>
      </w:r>
      <w:r w:rsidR="006F5F9E">
        <w:t>in clause</w:t>
      </w:r>
      <w:r w:rsidRPr="001C7D27">
        <w:t>s</w:t>
      </w:r>
      <w:r>
        <w:t xml:space="preserve"> 7.1</w:t>
      </w:r>
      <w:r w:rsidRPr="001C7D27">
        <w:t xml:space="preserve"> throu</w:t>
      </w:r>
      <w:r>
        <w:t xml:space="preserve">gh 7.5 </w:t>
      </w:r>
      <w:r w:rsidRPr="007D01DD">
        <w:t xml:space="preserve">using </w:t>
      </w:r>
      <m:oMath>
        <m:sSub>
          <m:sSubPr>
            <m:ctrlPr>
              <w:rPr>
                <w:rFonts w:ascii="Cambria Math" w:hAnsi="Cambria Math"/>
                <w:i/>
              </w:rPr>
            </m:ctrlPr>
          </m:sSubPr>
          <m:e>
            <m:r>
              <w:rPr>
                <w:rFonts w:ascii="Cambria Math"/>
              </w:rPr>
              <m:t>P</m:t>
            </m:r>
          </m:e>
          <m:sub>
            <m:r>
              <m:rPr>
                <m:nor/>
              </m:rPr>
              <w:rPr>
                <w:rFonts w:ascii="Cambria Math"/>
              </w:rPr>
              <m:t>MCG</m:t>
            </m:r>
            <m:ctrlPr>
              <w:rPr>
                <w:rFonts w:ascii="Cambria Math" w:hAnsi="Cambria Math"/>
              </w:rPr>
            </m:ctrlPr>
          </m:sub>
        </m:sSub>
      </m:oMath>
      <w:r w:rsidRPr="007D01DD">
        <w:t xml:space="preserve"> </w:t>
      </w:r>
      <w:r>
        <w:t xml:space="preserve">or </w:t>
      </w:r>
      <m:oMath>
        <m:sSub>
          <m:sSubPr>
            <m:ctrlPr>
              <w:rPr>
                <w:rFonts w:ascii="Cambria Math" w:hAnsi="Cambria Math"/>
                <w:i/>
              </w:rPr>
            </m:ctrlPr>
          </m:sSubPr>
          <m:e>
            <m:r>
              <w:rPr>
                <w:rFonts w:ascii="Cambria Math"/>
              </w:rPr>
              <m:t>P</m:t>
            </m:r>
          </m:e>
          <m:sub>
            <m:r>
              <m:rPr>
                <m:nor/>
              </m:rPr>
              <w:rPr>
                <w:rFonts w:ascii="Cambria Math"/>
              </w:rPr>
              <m:t>SCG</m:t>
            </m:r>
            <m:ctrlPr>
              <w:rPr>
                <w:rFonts w:ascii="Cambria Math" w:hAnsi="Cambria Math"/>
              </w:rPr>
            </m:ctrlPr>
          </m:sub>
        </m:sSub>
      </m:oMath>
      <w:r>
        <w:t xml:space="preserve"> </w:t>
      </w:r>
      <w:r w:rsidRPr="007D01DD">
        <w:t>as the maximum transmission power</w:t>
      </w:r>
      <w:r>
        <w:t>, respectively.</w:t>
      </w:r>
    </w:p>
    <w:p w14:paraId="3A44B176" w14:textId="759BA1D8" w:rsidR="003773EA" w:rsidRDefault="003773EA" w:rsidP="00E50667">
      <w:pPr>
        <w:rPr>
          <w:i/>
          <w:iCs/>
          <w:lang w:eastAsia="ja-JP"/>
        </w:rPr>
      </w:pPr>
      <w:r>
        <w:t xml:space="preserve">If a UE is provided </w:t>
      </w:r>
      <w:r w:rsidR="00232009">
        <w:rPr>
          <w:i/>
          <w:lang w:eastAsia="ja-JP"/>
        </w:rPr>
        <w:t>s</w:t>
      </w:r>
      <w:r w:rsidR="00232009" w:rsidRPr="00A312BF">
        <w:rPr>
          <w:i/>
          <w:lang w:eastAsia="ja-JP"/>
        </w:rPr>
        <w:t>emi-static-mode2</w:t>
      </w:r>
      <w:r w:rsidR="00232009">
        <w:rPr>
          <w:i/>
          <w:lang w:eastAsia="ja-JP"/>
        </w:rPr>
        <w:t xml:space="preserve"> </w:t>
      </w:r>
      <w:r w:rsidR="00232009">
        <w:rPr>
          <w:iCs/>
          <w:lang w:eastAsia="ja-JP"/>
        </w:rPr>
        <w:t xml:space="preserve">for </w:t>
      </w:r>
      <w:r w:rsidR="00232009">
        <w:rPr>
          <w:i/>
          <w:iCs/>
          <w:lang w:eastAsia="ja-JP"/>
        </w:rPr>
        <w:t>nrdc</w:t>
      </w:r>
      <w:r w:rsidR="00232009" w:rsidRPr="00CF3657">
        <w:rPr>
          <w:i/>
          <w:iCs/>
          <w:lang w:eastAsia="ja-JP"/>
        </w:rPr>
        <w:t>-PCmode</w:t>
      </w:r>
      <w:r w:rsidR="00232009">
        <w:rPr>
          <w:i/>
          <w:iCs/>
          <w:lang w:eastAsia="ja-JP"/>
        </w:rPr>
        <w:t>-FR1</w:t>
      </w:r>
      <w:r w:rsidR="00232009">
        <w:rPr>
          <w:lang w:eastAsia="ja-JP"/>
        </w:rPr>
        <w:t xml:space="preserve"> or for </w:t>
      </w:r>
      <w:r w:rsidR="00232009">
        <w:rPr>
          <w:i/>
          <w:iCs/>
          <w:lang w:eastAsia="ja-JP"/>
        </w:rPr>
        <w:t>nrdc</w:t>
      </w:r>
      <w:r w:rsidR="00232009" w:rsidRPr="00CF3657">
        <w:rPr>
          <w:i/>
          <w:iCs/>
          <w:lang w:eastAsia="ja-JP"/>
        </w:rPr>
        <w:t>-PCmode</w:t>
      </w:r>
      <w:r w:rsidR="00232009">
        <w:rPr>
          <w:i/>
          <w:iCs/>
          <w:lang w:eastAsia="ja-JP"/>
        </w:rPr>
        <w:t>-FR2</w:t>
      </w:r>
    </w:p>
    <w:p w14:paraId="6E9CD8D2" w14:textId="59011726" w:rsidR="005633BE" w:rsidRPr="00C453D7" w:rsidRDefault="005633BE" w:rsidP="00C453D7">
      <w:pPr>
        <w:pStyle w:val="B1"/>
      </w:pPr>
      <w:r>
        <w:t>-</w:t>
      </w:r>
      <w:r w:rsidR="00D60C3E">
        <w:tab/>
      </w:r>
      <w:r w:rsidRPr="00090E88">
        <w:t xml:space="preserve">if the UE is not provided </w:t>
      </w:r>
      <w:r w:rsidRPr="00C453D7">
        <w:rPr>
          <w:i/>
          <w:iCs/>
        </w:rPr>
        <w:t>tdd-UL-DL-ConfigurationCommon</w:t>
      </w:r>
      <w:r w:rsidRPr="00090E88">
        <w:t xml:space="preserve"> for the MCG or SCG, the UE determines a transmission power for the MCG or for the SCG as described </w:t>
      </w:r>
      <w:r w:rsidR="006F5F9E">
        <w:t>in clause</w:t>
      </w:r>
      <w:r w:rsidRPr="00090E88">
        <w:t>s 7.1 through 7.5 using</w:t>
      </w:r>
      <w:r w:rsidR="00ED54C1">
        <w:rPr>
          <w:lang w:val="en-US"/>
        </w:rPr>
        <w:t xml:space="preserve"> </w:t>
      </w:r>
      <m:oMath>
        <m:sSub>
          <m:sSubPr>
            <m:ctrlPr>
              <w:rPr>
                <w:rFonts w:ascii="Cambria Math" w:hAnsi="Cambria Math"/>
                <w:i/>
              </w:rPr>
            </m:ctrlPr>
          </m:sSubPr>
          <m:e>
            <m:r>
              <w:rPr>
                <w:rFonts w:ascii="Cambria Math"/>
              </w:rPr>
              <m:t>P</m:t>
            </m:r>
          </m:e>
          <m:sub>
            <m:r>
              <m:rPr>
                <m:nor/>
              </m:rPr>
              <w:rPr>
                <w:rFonts w:ascii="Cambria Math"/>
              </w:rPr>
              <m:t>MCG</m:t>
            </m:r>
            <m:ctrlPr>
              <w:rPr>
                <w:rFonts w:ascii="Cambria Math" w:hAnsi="Cambria Math"/>
              </w:rPr>
            </m:ctrlPr>
          </m:sub>
        </m:sSub>
      </m:oMath>
      <w:r w:rsidR="00ED54C1">
        <w:rPr>
          <w:lang w:val="en-US"/>
        </w:rPr>
        <w:t xml:space="preserve"> or</w:t>
      </w:r>
      <w:r w:rsidRPr="00090E88">
        <w:t xml:space="preserve"> </w:t>
      </w:r>
      <m:oMath>
        <m:sSub>
          <m:sSubPr>
            <m:ctrlPr>
              <w:rPr>
                <w:rFonts w:ascii="Cambria Math" w:hAnsi="Cambria Math"/>
                <w:i/>
              </w:rPr>
            </m:ctrlPr>
          </m:sSubPr>
          <m:e>
            <m:r>
              <w:rPr>
                <w:rFonts w:ascii="Cambria Math"/>
              </w:rPr>
              <m:t>P</m:t>
            </m:r>
          </m:e>
          <m:sub>
            <m:r>
              <m:rPr>
                <m:nor/>
              </m:rPr>
              <w:rPr>
                <w:rFonts w:ascii="Cambria Math"/>
              </w:rPr>
              <m:t>SCG</m:t>
            </m:r>
            <m:ctrlPr>
              <w:rPr>
                <w:rFonts w:ascii="Cambria Math" w:hAnsi="Cambria Math"/>
              </w:rPr>
            </m:ctrlPr>
          </m:sub>
        </m:sSub>
      </m:oMath>
      <w:r w:rsidRPr="00090E88">
        <w:t xml:space="preserve"> as the maximum transmission power, respectively</w:t>
      </w:r>
      <w:r>
        <w:t xml:space="preserve"> </w:t>
      </w:r>
    </w:p>
    <w:p w14:paraId="7858CA64" w14:textId="0A265BF2" w:rsidR="003773EA" w:rsidRPr="007D01DD" w:rsidRDefault="003773EA" w:rsidP="003773EA">
      <w:pPr>
        <w:pStyle w:val="B1"/>
      </w:pPr>
      <w:r>
        <w:t>-</w:t>
      </w:r>
      <w:r>
        <w:tab/>
        <w:t>i</w:t>
      </w:r>
      <w:r w:rsidRPr="007D01DD">
        <w:t xml:space="preserve">f at least one symbol of slot </w:t>
      </w:r>
      <m:oMath>
        <m:sSub>
          <m:sSubPr>
            <m:ctrlPr>
              <w:rPr>
                <w:rFonts w:ascii="Cambria Math" w:hAnsi="Cambria Math"/>
                <w:i/>
              </w:rPr>
            </m:ctrlPr>
          </m:sSubPr>
          <m:e>
            <m:r>
              <w:rPr>
                <w:rFonts w:ascii="Cambria Math"/>
              </w:rPr>
              <m:t>i</m:t>
            </m:r>
          </m:e>
          <m:sub>
            <m:r>
              <w:rPr>
                <w:rFonts w:ascii="Cambria Math"/>
              </w:rPr>
              <m:t>1</m:t>
            </m:r>
          </m:sub>
        </m:sSub>
      </m:oMath>
      <w:r>
        <w:t xml:space="preserve"> of</w:t>
      </w:r>
      <w:r w:rsidRPr="007D01DD">
        <w:t xml:space="preserve"> </w:t>
      </w:r>
      <w:r>
        <w:t xml:space="preserve">the </w:t>
      </w:r>
      <w:r w:rsidRPr="007D01DD">
        <w:t>MCG</w:t>
      </w:r>
      <w:r>
        <w:t xml:space="preserve"> or of the SCG that is</w:t>
      </w:r>
      <w:r w:rsidRPr="007D01DD">
        <w:t xml:space="preserve"> indicated as uplink or flexible </w:t>
      </w:r>
      <w:r>
        <w:t xml:space="preserve">to a UE </w:t>
      </w:r>
      <w:r w:rsidRPr="007D01DD">
        <w:t xml:space="preserve">by </w:t>
      </w:r>
      <w:r>
        <w:rPr>
          <w:i/>
          <w:iCs/>
        </w:rPr>
        <w:t>tdd</w:t>
      </w:r>
      <w:r w:rsidRPr="007D01DD">
        <w:rPr>
          <w:i/>
          <w:lang w:val="en-US"/>
        </w:rPr>
        <w:t>-</w:t>
      </w:r>
      <w:r w:rsidRPr="007D01DD">
        <w:rPr>
          <w:i/>
        </w:rPr>
        <w:t>UL-DL-</w:t>
      </w:r>
      <w:r w:rsidRPr="007D01DD">
        <w:rPr>
          <w:i/>
          <w:lang w:val="en-US"/>
        </w:rPr>
        <w:t>C</w:t>
      </w:r>
      <w:r w:rsidRPr="007D01DD">
        <w:rPr>
          <w:i/>
        </w:rPr>
        <w:t>onfiguration</w:t>
      </w:r>
      <w:r w:rsidRPr="007D01DD">
        <w:rPr>
          <w:i/>
          <w:lang w:val="en-US"/>
        </w:rPr>
        <w:t>C</w:t>
      </w:r>
      <w:r w:rsidRPr="007D01DD">
        <w:rPr>
          <w:i/>
        </w:rPr>
        <w:t>ommon</w:t>
      </w:r>
      <w:r w:rsidRPr="007D01DD">
        <w:t xml:space="preserve"> </w:t>
      </w:r>
      <w:r>
        <w:t>and</w:t>
      </w:r>
      <w:r w:rsidRPr="007D01DD">
        <w:t xml:space="preserve"> </w:t>
      </w:r>
      <w:r>
        <w:rPr>
          <w:i/>
          <w:iCs/>
        </w:rPr>
        <w:t>tdd</w:t>
      </w:r>
      <w:r w:rsidRPr="007D01DD">
        <w:rPr>
          <w:lang w:val="en-US"/>
        </w:rPr>
        <w:t>-</w:t>
      </w:r>
      <w:r w:rsidRPr="007D01DD">
        <w:rPr>
          <w:i/>
        </w:rPr>
        <w:t>UL-DL-</w:t>
      </w:r>
      <w:r w:rsidRPr="007D01DD">
        <w:rPr>
          <w:i/>
          <w:lang w:val="en-US"/>
        </w:rPr>
        <w:t>C</w:t>
      </w:r>
      <w:r w:rsidRPr="007D01DD">
        <w:rPr>
          <w:i/>
        </w:rPr>
        <w:t>onfig</w:t>
      </w:r>
      <w:r>
        <w:rPr>
          <w:i/>
        </w:rPr>
        <w:t>uration</w:t>
      </w:r>
      <w:r w:rsidRPr="007D01DD">
        <w:rPr>
          <w:i/>
          <w:lang w:val="en-US"/>
        </w:rPr>
        <w:t>D</w:t>
      </w:r>
      <w:r w:rsidRPr="007D01DD">
        <w:rPr>
          <w:i/>
        </w:rPr>
        <w:t>edicated</w:t>
      </w:r>
      <w:r>
        <w:t>, if provided,</w:t>
      </w:r>
      <w:r w:rsidRPr="007D01DD">
        <w:t xml:space="preserve"> overlaps with </w:t>
      </w:r>
      <w:r>
        <w:t xml:space="preserve">a symbol for any ongoing transmission </w:t>
      </w:r>
      <w:r w:rsidR="008A263B" w:rsidRPr="003901B7">
        <w:rPr>
          <w:lang w:val="en-US"/>
        </w:rPr>
        <w:t>overlapping with</w:t>
      </w:r>
      <w:r>
        <w:t xml:space="preserve"> slot</w:t>
      </w:r>
      <w:r w:rsidRPr="007D01DD">
        <w:t xml:space="preserve"> </w:t>
      </w:r>
      <m:oMath>
        <m:sSub>
          <m:sSubPr>
            <m:ctrlPr>
              <w:rPr>
                <w:rFonts w:ascii="Cambria Math" w:hAnsi="Cambria Math"/>
                <w:i/>
              </w:rPr>
            </m:ctrlPr>
          </m:sSubPr>
          <m:e>
            <m:r>
              <w:rPr>
                <w:rFonts w:ascii="Cambria Math"/>
              </w:rPr>
              <m:t>i</m:t>
            </m:r>
          </m:e>
          <m:sub>
            <m:r>
              <w:rPr>
                <w:rFonts w:ascii="Cambria Math"/>
              </w:rPr>
              <m:t>2</m:t>
            </m:r>
          </m:sub>
        </m:sSub>
      </m:oMath>
      <w:r>
        <w:t xml:space="preserve"> of the SCG or of the MCG, respectively,</w:t>
      </w:r>
      <w:r w:rsidRPr="007D01DD">
        <w:t xml:space="preserve"> the UE determines </w:t>
      </w:r>
      <w:r>
        <w:t>a power for</w:t>
      </w:r>
      <w:r w:rsidRPr="007D01DD">
        <w:t xml:space="preserve"> the </w:t>
      </w:r>
      <w:r>
        <w:t xml:space="preserve">transmission on the </w:t>
      </w:r>
      <w:r w:rsidRPr="007D01DD">
        <w:t xml:space="preserve">SCG </w:t>
      </w:r>
      <w:r>
        <w:t>or the MCG</w:t>
      </w:r>
      <w:r w:rsidRPr="007D01DD">
        <w:t xml:space="preserve"> </w:t>
      </w:r>
      <w:r w:rsidR="00A90F55" w:rsidRPr="003901B7">
        <w:rPr>
          <w:lang w:val="en-US"/>
        </w:rPr>
        <w:t>overlapping with</w:t>
      </w:r>
      <w:r>
        <w:t xml:space="preserve"> slot </w:t>
      </w:r>
      <m:oMath>
        <m:sSub>
          <m:sSubPr>
            <m:ctrlPr>
              <w:rPr>
                <w:rFonts w:ascii="Cambria Math" w:hAnsi="Cambria Math"/>
                <w:i/>
              </w:rPr>
            </m:ctrlPr>
          </m:sSubPr>
          <m:e>
            <m:r>
              <w:rPr>
                <w:rFonts w:ascii="Cambria Math"/>
              </w:rPr>
              <m:t>i</m:t>
            </m:r>
          </m:e>
          <m:sub>
            <m:r>
              <w:rPr>
                <w:rFonts w:ascii="Cambria Math"/>
              </w:rPr>
              <m:t>2</m:t>
            </m:r>
          </m:sub>
        </m:sSub>
      </m:oMath>
      <w:r>
        <w:t xml:space="preserve"> as described</w:t>
      </w:r>
      <w:r w:rsidRPr="001C7D27">
        <w:t xml:space="preserve"> </w:t>
      </w:r>
      <w:r w:rsidR="006F5F9E">
        <w:t>in clause</w:t>
      </w:r>
      <w:r w:rsidRPr="001C7D27">
        <w:t>s</w:t>
      </w:r>
      <w:r>
        <w:t xml:space="preserve"> 7.1</w:t>
      </w:r>
      <w:r w:rsidRPr="001C7D27">
        <w:t xml:space="preserve"> throu</w:t>
      </w:r>
      <w:r>
        <w:t xml:space="preserve">gh 7.5 </w:t>
      </w:r>
      <w:r w:rsidRPr="007D01DD">
        <w:t xml:space="preserve">using </w:t>
      </w:r>
      <m:oMath>
        <m:sSub>
          <m:sSubPr>
            <m:ctrlPr>
              <w:rPr>
                <w:rFonts w:ascii="Cambria Math" w:hAnsi="Cambria Math"/>
                <w:i/>
              </w:rPr>
            </m:ctrlPr>
          </m:sSubPr>
          <m:e>
            <m:r>
              <w:rPr>
                <w:rFonts w:ascii="Cambria Math"/>
              </w:rPr>
              <m:t>P</m:t>
            </m:r>
          </m:e>
          <m:sub>
            <m:r>
              <m:rPr>
                <m:nor/>
              </m:rPr>
              <w:rPr>
                <w:rFonts w:ascii="Cambria Math"/>
              </w:rPr>
              <m:t>SCG</m:t>
            </m:r>
            <m:ctrlPr>
              <w:rPr>
                <w:rFonts w:ascii="Cambria Math" w:hAnsi="Cambria Math"/>
              </w:rPr>
            </m:ctrlPr>
          </m:sub>
        </m:sSub>
      </m:oMath>
      <w:r w:rsidRPr="007D01DD">
        <w:t xml:space="preserve"> </w:t>
      </w:r>
      <w:r>
        <w:t xml:space="preserve">or </w:t>
      </w:r>
      <m:oMath>
        <m:sSub>
          <m:sSubPr>
            <m:ctrlPr>
              <w:rPr>
                <w:rFonts w:ascii="Cambria Math" w:hAnsi="Cambria Math"/>
                <w:i/>
              </w:rPr>
            </m:ctrlPr>
          </m:sSubPr>
          <m:e>
            <m:r>
              <w:rPr>
                <w:rFonts w:ascii="Cambria Math"/>
              </w:rPr>
              <m:t>P</m:t>
            </m:r>
          </m:e>
          <m:sub>
            <m:r>
              <m:rPr>
                <m:nor/>
              </m:rPr>
              <w:rPr>
                <w:rFonts w:ascii="Cambria Math"/>
              </w:rPr>
              <m:t>MCG</m:t>
            </m:r>
            <m:ctrlPr>
              <w:rPr>
                <w:rFonts w:ascii="Cambria Math" w:hAnsi="Cambria Math"/>
              </w:rPr>
            </m:ctrlPr>
          </m:sub>
        </m:sSub>
      </m:oMath>
      <w:r>
        <w:t xml:space="preserve">, respectively, </w:t>
      </w:r>
      <w:r w:rsidRPr="007D01DD">
        <w:t>as the maximum transmission power</w:t>
      </w:r>
    </w:p>
    <w:p w14:paraId="015945F5" w14:textId="6E69012C" w:rsidR="003773EA" w:rsidRPr="005636A1" w:rsidRDefault="003773EA" w:rsidP="003773EA">
      <w:pPr>
        <w:pStyle w:val="B1"/>
      </w:pPr>
      <w:r>
        <w:t>-</w:t>
      </w:r>
      <w:r>
        <w:tab/>
      </w:r>
      <w:r>
        <w:rPr>
          <w:lang w:val="en-US"/>
        </w:rPr>
        <w:t>o</w:t>
      </w:r>
      <w:r w:rsidRPr="007D01DD">
        <w:rPr>
          <w:lang w:val="en-US"/>
        </w:rPr>
        <w:t>therwise</w:t>
      </w:r>
      <w:r>
        <w:rPr>
          <w:lang w:val="en-US"/>
        </w:rPr>
        <w:t xml:space="preserve">, </w:t>
      </w:r>
      <w:r w:rsidRPr="007D01DD">
        <w:t xml:space="preserve">the UE determines </w:t>
      </w:r>
      <w:r>
        <w:t>a power for</w:t>
      </w:r>
      <w:r w:rsidRPr="007D01DD">
        <w:t xml:space="preserve"> the </w:t>
      </w:r>
      <w:r w:rsidR="00A90F55" w:rsidRPr="003901B7">
        <w:rPr>
          <w:rFonts w:eastAsia="DengXian"/>
        </w:rPr>
        <w:t>transmission on</w:t>
      </w:r>
      <w:r w:rsidR="00A90F55" w:rsidRPr="003901B7">
        <w:t xml:space="preserve"> </w:t>
      </w:r>
      <w:r w:rsidR="00ED54C1">
        <w:rPr>
          <w:lang w:val="en-US"/>
        </w:rPr>
        <w:t>SCG</w:t>
      </w:r>
      <w:r w:rsidRPr="007D01DD">
        <w:t xml:space="preserve"> </w:t>
      </w:r>
      <w:r>
        <w:t xml:space="preserve">or the </w:t>
      </w:r>
      <w:r w:rsidR="00ED54C1">
        <w:rPr>
          <w:lang w:val="en-US"/>
        </w:rPr>
        <w:t>MCG</w:t>
      </w:r>
      <w:r w:rsidR="00A90F55" w:rsidRPr="00A90F55">
        <w:rPr>
          <w:lang w:val="en-US"/>
        </w:rPr>
        <w:t xml:space="preserve"> </w:t>
      </w:r>
      <w:r w:rsidR="00A90F55" w:rsidRPr="003901B7">
        <w:rPr>
          <w:lang w:val="en-US"/>
        </w:rPr>
        <w:t>overlapping with</w:t>
      </w:r>
      <w:r w:rsidR="00A90F55" w:rsidRPr="003901B7">
        <w:t xml:space="preserve"> slot </w:t>
      </w:r>
      <m:oMath>
        <m:sSub>
          <m:sSubPr>
            <m:ctrlPr>
              <w:rPr>
                <w:rFonts w:ascii="Cambria Math" w:hAnsi="Cambria Math"/>
                <w:i/>
              </w:rPr>
            </m:ctrlPr>
          </m:sSubPr>
          <m:e>
            <m:r>
              <w:rPr>
                <w:rFonts w:ascii="Cambria Math"/>
              </w:rPr>
              <m:t>i</m:t>
            </m:r>
          </m:e>
          <m:sub>
            <m:r>
              <w:rPr>
                <w:rFonts w:ascii="Cambria Math"/>
              </w:rPr>
              <m:t>2</m:t>
            </m:r>
          </m:sub>
        </m:sSub>
      </m:oMath>
      <w:r>
        <w:t xml:space="preserve">, </w:t>
      </w:r>
      <w:r w:rsidRPr="007D01DD">
        <w:t xml:space="preserve">as described in </w:t>
      </w:r>
      <w:r>
        <w:t xml:space="preserve">[8-3, TS 38.101-3] and </w:t>
      </w:r>
      <w:r w:rsidR="006F5F9E">
        <w:t>in clause</w:t>
      </w:r>
      <w:r w:rsidRPr="001C7D27">
        <w:t>s</w:t>
      </w:r>
      <w:r>
        <w:t xml:space="preserve"> 7.1</w:t>
      </w:r>
      <w:r w:rsidRPr="001C7D27">
        <w:t xml:space="preserve"> throu</w:t>
      </w:r>
      <w:r>
        <w:t>gh 7.5 without considering</w:t>
      </w:r>
      <w:r w:rsidR="00ED54C1">
        <w:rPr>
          <w:lang w:val="en-US"/>
        </w:rPr>
        <w:t xml:space="preserve"> </w:t>
      </w:r>
      <m:oMath>
        <m:sSub>
          <m:sSubPr>
            <m:ctrlPr>
              <w:rPr>
                <w:rFonts w:ascii="Cambria Math" w:hAnsi="Cambria Math"/>
                <w:i/>
              </w:rPr>
            </m:ctrlPr>
          </m:sSubPr>
          <m:e>
            <m:r>
              <w:rPr>
                <w:rFonts w:ascii="Cambria Math"/>
              </w:rPr>
              <m:t>P</m:t>
            </m:r>
          </m:e>
          <m:sub>
            <m:r>
              <m:rPr>
                <m:nor/>
              </m:rPr>
              <w:rPr>
                <w:rFonts w:ascii="Cambria Math"/>
              </w:rPr>
              <m:t>SCG</m:t>
            </m:r>
            <m:ctrlPr>
              <w:rPr>
                <w:rFonts w:ascii="Cambria Math" w:hAnsi="Cambria Math"/>
              </w:rPr>
            </m:ctrlPr>
          </m:sub>
        </m:sSub>
      </m:oMath>
      <w:r w:rsidR="00ED54C1">
        <w:rPr>
          <w:lang w:val="en-US"/>
        </w:rPr>
        <w:t xml:space="preserve"> or</w:t>
      </w:r>
      <w:r>
        <w:t xml:space="preserve"> </w:t>
      </w:r>
      <m:oMath>
        <m:sSub>
          <m:sSubPr>
            <m:ctrlPr>
              <w:rPr>
                <w:rFonts w:ascii="Cambria Math" w:hAnsi="Cambria Math"/>
                <w:i/>
              </w:rPr>
            </m:ctrlPr>
          </m:sSubPr>
          <m:e>
            <m:r>
              <w:rPr>
                <w:rFonts w:ascii="Cambria Math"/>
              </w:rPr>
              <m:t>P</m:t>
            </m:r>
          </m:e>
          <m:sub>
            <m:r>
              <m:rPr>
                <m:nor/>
              </m:rPr>
              <w:rPr>
                <w:rFonts w:ascii="Cambria Math"/>
              </w:rPr>
              <m:t>MCG</m:t>
            </m:r>
            <m:ctrlPr>
              <w:rPr>
                <w:rFonts w:ascii="Cambria Math" w:hAnsi="Cambria Math"/>
              </w:rPr>
            </m:ctrlPr>
          </m:sub>
        </m:sSub>
      </m:oMath>
      <w:r w:rsidRPr="007D01DD">
        <w:t xml:space="preserve"> </w:t>
      </w:r>
      <w:r>
        <w:t>respectively</w:t>
      </w:r>
    </w:p>
    <w:p w14:paraId="58DD8392" w14:textId="6069FBDA" w:rsidR="003773EA" w:rsidRDefault="003773EA" w:rsidP="003773EA">
      <w:pPr>
        <w:rPr>
          <w:lang w:eastAsia="ja-JP"/>
        </w:rPr>
      </w:pPr>
      <w:r>
        <w:rPr>
          <w:lang w:eastAsia="ja-JP"/>
        </w:rPr>
        <w:t xml:space="preserve">The UE expects to be provided </w:t>
      </w:r>
      <w:r w:rsidR="00232009">
        <w:rPr>
          <w:i/>
          <w:lang w:eastAsia="ja-JP"/>
        </w:rPr>
        <w:t>s</w:t>
      </w:r>
      <w:r w:rsidR="00232009" w:rsidRPr="00B67882">
        <w:rPr>
          <w:i/>
          <w:lang w:eastAsia="ja-JP"/>
        </w:rPr>
        <w:t>emi-static-mode2</w:t>
      </w:r>
      <w:r w:rsidR="00232009">
        <w:rPr>
          <w:lang w:eastAsia="ja-JP"/>
        </w:rPr>
        <w:t xml:space="preserve"> for </w:t>
      </w:r>
      <w:r w:rsidR="00232009">
        <w:rPr>
          <w:i/>
          <w:iCs/>
          <w:lang w:eastAsia="ja-JP"/>
        </w:rPr>
        <w:t>nrdc</w:t>
      </w:r>
      <w:r w:rsidR="00232009" w:rsidRPr="00CF3657">
        <w:rPr>
          <w:i/>
          <w:iCs/>
          <w:lang w:eastAsia="ja-JP"/>
        </w:rPr>
        <w:t>-PCmode</w:t>
      </w:r>
      <w:r w:rsidR="00232009">
        <w:rPr>
          <w:i/>
          <w:iCs/>
          <w:lang w:eastAsia="ja-JP"/>
        </w:rPr>
        <w:t>-FR1</w:t>
      </w:r>
      <w:r w:rsidR="00232009">
        <w:rPr>
          <w:lang w:eastAsia="ja-JP"/>
        </w:rPr>
        <w:t xml:space="preserve"> or for </w:t>
      </w:r>
      <w:r w:rsidR="00232009">
        <w:rPr>
          <w:i/>
          <w:iCs/>
          <w:lang w:eastAsia="ja-JP"/>
        </w:rPr>
        <w:t>nrdc</w:t>
      </w:r>
      <w:r w:rsidR="00232009" w:rsidRPr="00CF3657">
        <w:rPr>
          <w:i/>
          <w:iCs/>
          <w:lang w:eastAsia="ja-JP"/>
        </w:rPr>
        <w:t>-PCmode</w:t>
      </w:r>
      <w:r w:rsidR="00232009">
        <w:rPr>
          <w:i/>
          <w:iCs/>
          <w:lang w:eastAsia="ja-JP"/>
        </w:rPr>
        <w:t>-</w:t>
      </w:r>
      <w:r w:rsidR="00A366E6">
        <w:rPr>
          <w:i/>
          <w:iCs/>
          <w:lang w:eastAsia="ja-JP"/>
        </w:rPr>
        <w:t>FR2</w:t>
      </w:r>
      <w:r w:rsidR="00232009">
        <w:rPr>
          <w:lang w:eastAsia="ja-JP"/>
        </w:rPr>
        <w:t xml:space="preserve"> </w:t>
      </w:r>
      <w:r>
        <w:rPr>
          <w:lang w:eastAsia="ja-JP"/>
        </w:rPr>
        <w:t>only for synchronous NR-DC operation [10, TS 38.133].</w:t>
      </w:r>
    </w:p>
    <w:p w14:paraId="32A4C03D" w14:textId="77777777" w:rsidR="003773EA" w:rsidRDefault="003773EA" w:rsidP="003773EA">
      <w:r>
        <w:t xml:space="preserve">If a UE </w:t>
      </w:r>
    </w:p>
    <w:p w14:paraId="756FC2CB" w14:textId="2D8861AC" w:rsidR="003773EA" w:rsidRDefault="003773EA" w:rsidP="003773EA">
      <w:pPr>
        <w:pStyle w:val="B1"/>
      </w:pPr>
      <w:r>
        <w:t>-</w:t>
      </w:r>
      <w:r>
        <w:tab/>
      </w:r>
      <w:r>
        <w:rPr>
          <w:lang w:val="en-US" w:eastAsia="ja-JP"/>
        </w:rPr>
        <w:t xml:space="preserve">is provided </w:t>
      </w:r>
      <w:r w:rsidR="00232009">
        <w:rPr>
          <w:i/>
          <w:lang w:eastAsia="ja-JP"/>
        </w:rPr>
        <w:t>d</w:t>
      </w:r>
      <w:r w:rsidR="00232009" w:rsidRPr="00A00314">
        <w:rPr>
          <w:i/>
          <w:lang w:eastAsia="ja-JP"/>
        </w:rPr>
        <w:t>ynamic</w:t>
      </w:r>
      <w:r w:rsidR="00232009">
        <w:rPr>
          <w:lang w:val="en-US" w:eastAsia="ja-JP"/>
        </w:rPr>
        <w:t xml:space="preserve"> for </w:t>
      </w:r>
      <w:r w:rsidR="00232009">
        <w:rPr>
          <w:i/>
          <w:iCs/>
          <w:lang w:eastAsia="ja-JP"/>
        </w:rPr>
        <w:t>nrdc</w:t>
      </w:r>
      <w:r w:rsidR="00232009" w:rsidRPr="00CF3657">
        <w:rPr>
          <w:i/>
          <w:iCs/>
          <w:lang w:eastAsia="ja-JP"/>
        </w:rPr>
        <w:t>-PCmode</w:t>
      </w:r>
      <w:r w:rsidR="00232009">
        <w:rPr>
          <w:i/>
          <w:iCs/>
          <w:lang w:eastAsia="ja-JP"/>
        </w:rPr>
        <w:t>-FR1</w:t>
      </w:r>
      <w:r w:rsidR="00232009">
        <w:rPr>
          <w:lang w:eastAsia="ja-JP"/>
        </w:rPr>
        <w:t xml:space="preserve"> or for </w:t>
      </w:r>
      <w:r w:rsidR="00232009">
        <w:rPr>
          <w:i/>
          <w:iCs/>
          <w:lang w:eastAsia="ja-JP"/>
        </w:rPr>
        <w:t>nrdc</w:t>
      </w:r>
      <w:r w:rsidR="00232009" w:rsidRPr="00CF3657">
        <w:rPr>
          <w:i/>
          <w:iCs/>
          <w:lang w:eastAsia="ja-JP"/>
        </w:rPr>
        <w:t>-PCmode</w:t>
      </w:r>
      <w:r w:rsidR="00232009">
        <w:rPr>
          <w:i/>
          <w:iCs/>
          <w:lang w:eastAsia="ja-JP"/>
        </w:rPr>
        <w:t>-FR2</w:t>
      </w:r>
      <w:r>
        <w:rPr>
          <w:lang w:eastAsia="ja-JP"/>
        </w:rPr>
        <w:t>,</w:t>
      </w:r>
      <w:r>
        <w:t xml:space="preserve"> and </w:t>
      </w:r>
    </w:p>
    <w:p w14:paraId="5B90CF65" w14:textId="44B5F39F" w:rsidR="003773EA" w:rsidRDefault="003773EA" w:rsidP="003773EA">
      <w:pPr>
        <w:pStyle w:val="B1"/>
      </w:pPr>
      <w:r>
        <w:t>-</w:t>
      </w:r>
      <w:r>
        <w:tab/>
        <w:t xml:space="preserve">indicates a capability to </w:t>
      </w:r>
      <w:r w:rsidR="00A05324" w:rsidRPr="00C453D7">
        <w:t>support dynamic power sharing for intra-FR NR DC,</w:t>
      </w:r>
    </w:p>
    <w:p w14:paraId="775BEB21" w14:textId="77777777" w:rsidR="00A05324" w:rsidRPr="00C453D7" w:rsidRDefault="00A05324" w:rsidP="00A05324">
      <w:pPr>
        <w:rPr>
          <w:rFonts w:eastAsia="Malgun Gothic"/>
          <w:lang w:val="x-none" w:eastAsia="ko-KR"/>
        </w:rPr>
      </w:pPr>
      <w:r w:rsidRPr="00C453D7">
        <w:rPr>
          <w:rFonts w:eastAsia="Malgun Gothic"/>
          <w:lang w:eastAsia="ko-KR"/>
        </w:rPr>
        <w:t>the UE</w:t>
      </w:r>
      <w:r w:rsidRPr="00C453D7">
        <w:rPr>
          <w:lang w:val="x-none"/>
        </w:rPr>
        <w:t xml:space="preserve"> determines a maximum transmission power on the SCG at a first symbol of a transmission occasion on the SCG by determining transmissions on the MCG that</w:t>
      </w:r>
    </w:p>
    <w:p w14:paraId="1C584342" w14:textId="5BF23A22" w:rsidR="00A05324" w:rsidRPr="00C453D7" w:rsidRDefault="00A05324" w:rsidP="00C453D7">
      <w:pPr>
        <w:pStyle w:val="B1"/>
      </w:pPr>
      <w:r>
        <w:t>-</w:t>
      </w:r>
      <w:r>
        <w:tab/>
      </w:r>
      <w:r w:rsidRPr="00C453D7">
        <w:t xml:space="preserve">are scheduled by DCI formats in PDCCH receptions with a last symbol that is earlier by </w:t>
      </w:r>
      <w:r>
        <w:rPr>
          <w:lang w:val="fi-FI"/>
        </w:rPr>
        <w:t>at least</w:t>
      </w:r>
      <w:r w:rsidRPr="00C453D7">
        <w:t xml:space="preserve"> </w:t>
      </w:r>
      <m:oMath>
        <m:sSub>
          <m:sSubPr>
            <m:ctrlPr>
              <w:rPr>
                <w:rFonts w:ascii="Cambria Math" w:hAnsi="Cambria Math"/>
                <w:i/>
              </w:rPr>
            </m:ctrlPr>
          </m:sSubPr>
          <m:e>
            <m:r>
              <w:rPr>
                <w:rFonts w:ascii="Cambria Math"/>
              </w:rPr>
              <m:t>T</m:t>
            </m:r>
          </m:e>
          <m:sub>
            <m:r>
              <m:rPr>
                <m:nor/>
              </m:rPr>
              <w:rPr>
                <w:rFonts w:ascii="Cambria Math"/>
              </w:rPr>
              <m:t>offset</m:t>
            </m:r>
            <m:ctrlPr>
              <w:rPr>
                <w:rFonts w:ascii="Cambria Math" w:hAnsi="Cambria Math"/>
              </w:rPr>
            </m:ctrlPr>
          </m:sub>
        </m:sSub>
      </m:oMath>
      <w:r w:rsidRPr="00C453D7">
        <w:t xml:space="preserve"> from the first symbol of the transmission occasion on the SCG, or are configured by higher layers, and </w:t>
      </w:r>
    </w:p>
    <w:p w14:paraId="0118EE9B" w14:textId="646C07D3" w:rsidR="00A05324" w:rsidRPr="00C453D7" w:rsidRDefault="00A05324" w:rsidP="00C453D7">
      <w:pPr>
        <w:pStyle w:val="B1"/>
      </w:pPr>
      <w:r>
        <w:t>-</w:t>
      </w:r>
      <w:r>
        <w:tab/>
      </w:r>
      <w:r w:rsidRPr="00C453D7">
        <w:t xml:space="preserve">overlap with the transmission occasion on the SCG </w:t>
      </w:r>
    </w:p>
    <w:p w14:paraId="04459500" w14:textId="77777777" w:rsidR="00A05324" w:rsidRDefault="00A05324" w:rsidP="00A05324">
      <w:r>
        <w:rPr>
          <w:lang w:val="fi-FI"/>
        </w:rPr>
        <w:t>t</w:t>
      </w:r>
      <w:r w:rsidRPr="00C453D7">
        <w:t>he maximum transmission power on the SCG is determined as</w:t>
      </w:r>
    </w:p>
    <w:p w14:paraId="6980356C" w14:textId="77777777" w:rsidR="003773EA" w:rsidRDefault="003773EA" w:rsidP="003773EA">
      <w:pPr>
        <w:pStyle w:val="B1"/>
      </w:pPr>
      <w:r>
        <w:t>-</w:t>
      </w:r>
      <w:r>
        <w:tab/>
      </w:r>
      <m:oMath>
        <m:r>
          <w:rPr>
            <w:rFonts w:ascii="Cambria Math" w:hAnsi="Cambria Math"/>
          </w:rPr>
          <m:t>min</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rPr>
                      <m:t>P</m:t>
                    </m:r>
                  </m:e>
                </m:acc>
                <m:ctrlPr>
                  <w:rPr>
                    <w:rFonts w:ascii="Cambria Math" w:hAnsi="Cambria Math"/>
                  </w:rPr>
                </m:ctrlPr>
              </m:e>
              <m:sub>
                <m:r>
                  <m:rPr>
                    <m:nor/>
                  </m:rPr>
                  <w:rPr>
                    <w:rFonts w:ascii="Cambria Math"/>
                  </w:rPr>
                  <m:t>SCG</m:t>
                </m:r>
                <m:ctrlPr>
                  <w:rPr>
                    <w:rFonts w:ascii="Cambria Math" w:hAnsi="Cambria Math"/>
                  </w:rPr>
                </m:ctrlP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rPr>
                      <m:t>P</m:t>
                    </m:r>
                  </m:e>
                </m:acc>
                <m:ctrlPr>
                  <w:rPr>
                    <w:rFonts w:ascii="Cambria Math" w:hAnsi="Cambria Math"/>
                  </w:rPr>
                </m:ctrlPr>
              </m:e>
              <m:sub>
                <m:r>
                  <m:rPr>
                    <m:nor/>
                  </m:rPr>
                  <w:rPr>
                    <w:rFonts w:ascii="Cambria Math"/>
                  </w:rPr>
                  <m:t>Total</m:t>
                </m:r>
                <m:ctrlPr>
                  <w:rPr>
                    <w:rFonts w:ascii="Cambria Math" w:hAnsi="Cambria Math"/>
                  </w:rPr>
                </m:ctrlPr>
              </m:sub>
              <m:sup>
                <m:r>
                  <m:rPr>
                    <m:nor/>
                  </m:rPr>
                  <w:rPr>
                    <w:rFonts w:ascii="Cambria Math"/>
                  </w:rPr>
                  <m:t>NR-DC</m:t>
                </m:r>
                <m:ctrlPr>
                  <w:rPr>
                    <w:rFonts w:ascii="Cambria Math" w:hAnsi="Cambria Math"/>
                  </w:rPr>
                </m:ctrlPr>
              </m:sup>
            </m:sSubSup>
            <m:r>
              <w:rPr>
                <w:rFonts w:ascii="Cambria Math" w:hAnsi="Cambria Math"/>
              </w:rPr>
              <m:t xml:space="preserve">- </m:t>
            </m:r>
            <m:sSubSup>
              <m:sSubSupPr>
                <m:ctrlPr>
                  <w:rPr>
                    <w:rFonts w:ascii="Cambria Math" w:hAnsi="Cambria Math"/>
                    <w:i/>
                  </w:rPr>
                </m:ctrlPr>
              </m:sSubSupPr>
              <m:e>
                <m:acc>
                  <m:accPr>
                    <m:ctrlPr>
                      <w:rPr>
                        <w:rFonts w:ascii="Cambria Math" w:hAnsi="Cambria Math"/>
                        <w:i/>
                      </w:rPr>
                    </m:ctrlPr>
                  </m:accPr>
                  <m:e>
                    <m:r>
                      <w:rPr>
                        <w:rFonts w:ascii="Cambria Math"/>
                      </w:rPr>
                      <m:t>P</m:t>
                    </m:r>
                  </m:e>
                </m:acc>
              </m:e>
              <m:sub>
                <m:r>
                  <m:rPr>
                    <m:nor/>
                  </m:rPr>
                  <w:rPr>
                    <w:rFonts w:ascii="Cambria Math"/>
                  </w:rPr>
                  <m:t>MCG</m:t>
                </m:r>
              </m:sub>
              <m:sup>
                <m:r>
                  <m:rPr>
                    <m:sty m:val="p"/>
                  </m:rPr>
                  <w:rPr>
                    <w:rFonts w:ascii="Cambria Math"/>
                  </w:rPr>
                  <m:t>actual</m:t>
                </m:r>
              </m:sup>
            </m:sSubSup>
          </m:e>
        </m:d>
      </m:oMath>
      <w:r>
        <w:rPr>
          <w:rFonts w:eastAsia="MS PGothic"/>
          <w:color w:val="000000"/>
          <w:lang w:val="en-US" w:eastAsia="zh-CN"/>
        </w:rPr>
        <w:t xml:space="preserve">, if the UE determines transmissions on the MCG with a </w:t>
      </w:r>
      <m:oMath>
        <m:sSubSup>
          <m:sSubSupPr>
            <m:ctrlPr>
              <w:rPr>
                <w:rFonts w:ascii="Cambria Math" w:hAnsi="Cambria Math"/>
                <w:i/>
              </w:rPr>
            </m:ctrlPr>
          </m:sSubSupPr>
          <m:e>
            <m:acc>
              <m:accPr>
                <m:ctrlPr>
                  <w:rPr>
                    <w:rFonts w:ascii="Cambria Math" w:hAnsi="Cambria Math"/>
                    <w:i/>
                  </w:rPr>
                </m:ctrlPr>
              </m:accPr>
              <m:e>
                <m:r>
                  <w:rPr>
                    <w:rFonts w:ascii="Cambria Math"/>
                  </w:rPr>
                  <m:t>P</m:t>
                </m:r>
              </m:e>
            </m:acc>
          </m:e>
          <m:sub>
            <m:r>
              <m:rPr>
                <m:nor/>
              </m:rPr>
              <w:rPr>
                <w:rFonts w:ascii="Cambria Math"/>
              </w:rPr>
              <m:t>MCG</m:t>
            </m:r>
          </m:sub>
          <m:sup>
            <m:r>
              <m:rPr>
                <m:sty m:val="p"/>
              </m:rPr>
              <w:rPr>
                <w:rFonts w:ascii="Cambria Math"/>
              </w:rPr>
              <m:t>actual</m:t>
            </m:r>
          </m:sup>
        </m:sSubSup>
      </m:oMath>
      <w:r>
        <w:rPr>
          <w:rFonts w:eastAsia="MS PGothic"/>
        </w:rPr>
        <w:t xml:space="preserve"> total power</w:t>
      </w:r>
    </w:p>
    <w:p w14:paraId="768E4EDE" w14:textId="77777777" w:rsidR="003773EA" w:rsidRDefault="003773EA" w:rsidP="003773EA">
      <w:pPr>
        <w:pStyle w:val="B1"/>
      </w:pPr>
      <w:r>
        <w:t>-</w:t>
      </w:r>
      <w:r>
        <w:tab/>
      </w:r>
      <m:oMath>
        <m:sSubSup>
          <m:sSubSupPr>
            <m:ctrlPr>
              <w:rPr>
                <w:rFonts w:ascii="Cambria Math" w:hAnsi="Cambria Math"/>
                <w:i/>
              </w:rPr>
            </m:ctrlPr>
          </m:sSubSupPr>
          <m:e>
            <m:acc>
              <m:accPr>
                <m:ctrlPr>
                  <w:rPr>
                    <w:rFonts w:ascii="Cambria Math" w:hAnsi="Cambria Math"/>
                    <w:i/>
                  </w:rPr>
                </m:ctrlPr>
              </m:accPr>
              <m:e>
                <m:r>
                  <w:rPr>
                    <w:rFonts w:ascii="Cambria Math"/>
                  </w:rPr>
                  <m:t>P</m:t>
                </m:r>
              </m:e>
            </m:acc>
            <m:ctrlPr>
              <w:rPr>
                <w:rFonts w:ascii="Cambria Math" w:hAnsi="Cambria Math"/>
              </w:rPr>
            </m:ctrlPr>
          </m:e>
          <m:sub>
            <m:r>
              <m:rPr>
                <m:nor/>
              </m:rPr>
              <w:rPr>
                <w:rFonts w:ascii="Cambria Math"/>
              </w:rPr>
              <m:t>Total</m:t>
            </m:r>
            <m:ctrlPr>
              <w:rPr>
                <w:rFonts w:ascii="Cambria Math" w:hAnsi="Cambria Math"/>
              </w:rPr>
            </m:ctrlPr>
          </m:sub>
          <m:sup>
            <m:r>
              <m:rPr>
                <m:nor/>
              </m:rPr>
              <w:rPr>
                <w:rFonts w:ascii="Cambria Math"/>
              </w:rPr>
              <m:t>NR-DC</m:t>
            </m:r>
            <m:ctrlPr>
              <w:rPr>
                <w:rFonts w:ascii="Cambria Math" w:hAnsi="Cambria Math"/>
              </w:rPr>
            </m:ctrlPr>
          </m:sup>
        </m:sSubSup>
      </m:oMath>
      <w:r>
        <w:t xml:space="preserve">, </w:t>
      </w:r>
      <w:r>
        <w:rPr>
          <w:rFonts w:eastAsia="MS PGothic"/>
          <w:color w:val="000000"/>
          <w:lang w:val="en-US" w:eastAsia="zh-CN"/>
        </w:rPr>
        <w:t>if the UE does not determine any transmissions on the MCG</w:t>
      </w:r>
    </w:p>
    <w:p w14:paraId="4F4AAACA" w14:textId="77777777" w:rsidR="00A90F55" w:rsidRPr="003901B7" w:rsidRDefault="00A90F55" w:rsidP="00A90F55">
      <w:pPr>
        <w:rPr>
          <w:rFonts w:eastAsia="MS PGothic"/>
          <w:lang w:val="en-US" w:eastAsia="zh-CN"/>
        </w:rPr>
      </w:pPr>
      <w:r w:rsidRPr="003901B7">
        <w:rPr>
          <w:rFonts w:eastAsia="MS PGothic"/>
          <w:lang w:val="en-US" w:eastAsia="zh-CN"/>
        </w:rPr>
        <w:t>where</w:t>
      </w:r>
    </w:p>
    <w:p w14:paraId="7E86E8C9" w14:textId="77777777" w:rsidR="00A90F55" w:rsidRPr="003901B7" w:rsidRDefault="00A90F55" w:rsidP="00A90F55">
      <w:pPr>
        <w:pStyle w:val="B1"/>
        <w:ind w:left="284" w:firstLine="0"/>
        <w:rPr>
          <w:bCs/>
        </w:rPr>
      </w:pPr>
      <w:r w:rsidRPr="003901B7">
        <w:t>-</w:t>
      </w:r>
      <w:r w:rsidRPr="003901B7">
        <w:tab/>
      </w:r>
      <m:oMath>
        <m:sSub>
          <m:sSubPr>
            <m:ctrlPr>
              <w:rPr>
                <w:rFonts w:ascii="Cambria Math" w:hAnsi="Cambria Math"/>
                <w:i/>
              </w:rPr>
            </m:ctrlPr>
          </m:sSubPr>
          <m:e>
            <m:r>
              <w:rPr>
                <w:rFonts w:ascii="Cambria Math" w:hAnsi="Cambria Math"/>
              </w:rPr>
              <m:t>T</m:t>
            </m:r>
          </m:e>
          <m:sub>
            <m:r>
              <m:rPr>
                <m:nor/>
              </m:rPr>
              <m:t>offset</m:t>
            </m:r>
            <m:ctrlPr>
              <w:rPr>
                <w:rFonts w:ascii="Cambria Math" w:hAnsi="Cambria Math"/>
              </w:rPr>
            </m:ctrlPr>
          </m:sub>
        </m:sSub>
        <m:r>
          <m:rPr>
            <m:sty m:val="p"/>
          </m:rPr>
          <w:rPr>
            <w:rStyle w:val="apple-converted-space"/>
            <w:rFonts w:ascii="Cambria Math" w:hAnsi="Cambria Math"/>
          </w:rPr>
          <m:t>=max⁡</m:t>
        </m:r>
        <m:r>
          <w:rPr>
            <w:rStyle w:val="apple-converted-space"/>
            <w:rFonts w:ascii="Cambria Math" w:hAnsi="Cambria Math"/>
          </w:rPr>
          <m:t>{</m:t>
        </m:r>
        <m:sSubSup>
          <m:sSubSupPr>
            <m:ctrlPr>
              <w:rPr>
                <w:rStyle w:val="apple-converted-space"/>
                <w:rFonts w:ascii="Cambria Math" w:hAnsi="Cambria Math"/>
                <w:i/>
              </w:rPr>
            </m:ctrlPr>
          </m:sSubSupPr>
          <m:e>
            <m:r>
              <w:rPr>
                <w:rStyle w:val="apple-converted-space"/>
                <w:rFonts w:ascii="Cambria Math" w:hAnsi="Cambria Math"/>
              </w:rPr>
              <m:t>T</m:t>
            </m:r>
          </m:e>
          <m:sub>
            <m:r>
              <w:rPr>
                <w:rStyle w:val="apple-converted-space"/>
                <w:rFonts w:ascii="Cambria Math" w:hAnsi="Cambria Math"/>
              </w:rPr>
              <m:t>proc,MCG</m:t>
            </m:r>
          </m:sub>
          <m:sup>
            <m:r>
              <w:rPr>
                <w:rStyle w:val="apple-converted-space"/>
                <w:rFonts w:ascii="Cambria Math" w:hAnsi="Cambria Math"/>
              </w:rPr>
              <m:t>max</m:t>
            </m:r>
          </m:sup>
        </m:sSubSup>
        <m:r>
          <w:rPr>
            <w:rStyle w:val="apple-converted-space"/>
            <w:rFonts w:ascii="Cambria Math" w:hAnsi="Cambria Math"/>
          </w:rPr>
          <m:t>,</m:t>
        </m:r>
        <m:sSubSup>
          <m:sSubSupPr>
            <m:ctrlPr>
              <w:rPr>
                <w:rStyle w:val="apple-converted-space"/>
                <w:rFonts w:ascii="Cambria Math" w:hAnsi="Cambria Math"/>
                <w:i/>
              </w:rPr>
            </m:ctrlPr>
          </m:sSubSupPr>
          <m:e>
            <m:r>
              <w:rPr>
                <w:rStyle w:val="apple-converted-space"/>
                <w:rFonts w:ascii="Cambria Math" w:hAnsi="Cambria Math"/>
              </w:rPr>
              <m:t>T</m:t>
            </m:r>
          </m:e>
          <m:sub>
            <m:r>
              <w:rPr>
                <w:rStyle w:val="apple-converted-space"/>
                <w:rFonts w:ascii="Cambria Math" w:hAnsi="Cambria Math"/>
              </w:rPr>
              <m:t>proc,SCG</m:t>
            </m:r>
          </m:sub>
          <m:sup>
            <m:r>
              <w:rPr>
                <w:rStyle w:val="apple-converted-space"/>
                <w:rFonts w:ascii="Cambria Math" w:hAnsi="Cambria Math"/>
              </w:rPr>
              <m:t>max</m:t>
            </m:r>
          </m:sup>
        </m:sSubSup>
        <m:r>
          <w:rPr>
            <w:rStyle w:val="apple-converted-space"/>
            <w:rFonts w:ascii="Cambria Math" w:hAnsi="Cambria Math"/>
          </w:rPr>
          <m:t>}</m:t>
        </m:r>
      </m:oMath>
      <w:r w:rsidRPr="003901B7">
        <w:rPr>
          <w:rStyle w:val="apple-converted-space"/>
          <w:lang w:val="en-US"/>
        </w:rPr>
        <w:t>,</w:t>
      </w:r>
      <w:r w:rsidRPr="003901B7">
        <w:fldChar w:fldCharType="begin"/>
      </w:r>
      <w:r w:rsidRPr="003901B7">
        <w:instrText xml:space="preserve"> INCLUDEPICTURE "cid:image001.png@01D5EE03.48F7F560" \* MERGEFORMATINET </w:instrText>
      </w:r>
      <w:r w:rsidRPr="003901B7">
        <w:fldChar w:fldCharType="end"/>
      </w:r>
    </w:p>
    <w:p w14:paraId="189D6C52" w14:textId="1FD4C819" w:rsidR="00A90F55" w:rsidRPr="003901B7" w:rsidRDefault="00A90F55" w:rsidP="00A90F55">
      <w:pPr>
        <w:pStyle w:val="B1"/>
        <w:rPr>
          <w:lang w:val="en-US"/>
        </w:rPr>
      </w:pPr>
      <w:r w:rsidRPr="003901B7">
        <w:t>-</w:t>
      </w:r>
      <w:r w:rsidRPr="003901B7">
        <w:tab/>
      </w:r>
      <m:oMath>
        <m:sSubSup>
          <m:sSubSupPr>
            <m:ctrlPr>
              <w:rPr>
                <w:rStyle w:val="apple-converted-space"/>
                <w:rFonts w:ascii="Cambria Math" w:hAnsi="Cambria Math"/>
                <w:i/>
              </w:rPr>
            </m:ctrlPr>
          </m:sSubSupPr>
          <m:e>
            <m:r>
              <w:rPr>
                <w:rStyle w:val="apple-converted-space"/>
                <w:rFonts w:ascii="Cambria Math" w:hAnsi="Cambria Math"/>
              </w:rPr>
              <m:t>T</m:t>
            </m:r>
          </m:e>
          <m:sub>
            <m:r>
              <w:rPr>
                <w:rStyle w:val="apple-converted-space"/>
                <w:rFonts w:ascii="Cambria Math" w:hAnsi="Cambria Math"/>
              </w:rPr>
              <m:t>proc,MCG</m:t>
            </m:r>
          </m:sub>
          <m:sup>
            <m:r>
              <w:rPr>
                <w:rStyle w:val="apple-converted-space"/>
                <w:rFonts w:ascii="Cambria Math" w:hAnsi="Cambria Math"/>
              </w:rPr>
              <m:t>max</m:t>
            </m:r>
          </m:sup>
        </m:sSubSup>
      </m:oMath>
      <w:r w:rsidRPr="003901B7">
        <w:rPr>
          <w:rStyle w:val="apple-converted-space"/>
          <w:lang w:val="en-US"/>
        </w:rPr>
        <w:t xml:space="preserve"> and </w:t>
      </w:r>
      <m:oMath>
        <m:sSubSup>
          <m:sSubSupPr>
            <m:ctrlPr>
              <w:rPr>
                <w:rStyle w:val="apple-converted-space"/>
                <w:rFonts w:ascii="Cambria Math" w:hAnsi="Cambria Math"/>
                <w:i/>
              </w:rPr>
            </m:ctrlPr>
          </m:sSubSupPr>
          <m:e>
            <m:r>
              <w:rPr>
                <w:rStyle w:val="apple-converted-space"/>
                <w:rFonts w:ascii="Cambria Math" w:hAnsi="Cambria Math"/>
              </w:rPr>
              <m:t>T</m:t>
            </m:r>
          </m:e>
          <m:sub>
            <m:r>
              <w:rPr>
                <w:rStyle w:val="apple-converted-space"/>
                <w:rFonts w:ascii="Cambria Math" w:hAnsi="Cambria Math"/>
              </w:rPr>
              <m:t>proc,SCG</m:t>
            </m:r>
          </m:sub>
          <m:sup>
            <m:r>
              <w:rPr>
                <w:rStyle w:val="apple-converted-space"/>
                <w:rFonts w:ascii="Cambria Math" w:hAnsi="Cambria Math"/>
              </w:rPr>
              <m:t>max</m:t>
            </m:r>
          </m:sup>
        </m:sSubSup>
      </m:oMath>
      <w:r w:rsidRPr="003901B7">
        <w:rPr>
          <w:rStyle w:val="apple-converted-space"/>
          <w:lang w:val="en-US"/>
        </w:rPr>
        <w:t xml:space="preserve"> </w:t>
      </w:r>
      <w:r w:rsidRPr="003901B7">
        <w:t xml:space="preserve">is the maximum of </w:t>
      </w:r>
      <m:oMath>
        <m:sSub>
          <m:sSubPr>
            <m:ctrlPr>
              <w:rPr>
                <w:rFonts w:ascii="Cambria Math" w:eastAsia="MS Mincho" w:hAnsi="Cambria Math"/>
                <w:bCs/>
                <w:lang w:eastAsia="ja-JP"/>
              </w:rPr>
            </m:ctrlPr>
          </m:sSubPr>
          <m:e>
            <m:r>
              <w:rPr>
                <w:rFonts w:ascii="Cambria Math" w:eastAsia="MS Mincho" w:hAnsi="Cambria Math"/>
                <w:lang w:eastAsia="ja-JP"/>
              </w:rPr>
              <m:t>T</m:t>
            </m:r>
          </m:e>
          <m:sub>
            <m:r>
              <w:rPr>
                <w:rFonts w:ascii="Cambria Math" w:eastAsia="MS Mincho" w:hAnsi="Cambria Math"/>
                <w:lang w:eastAsia="ja-JP"/>
              </w:rPr>
              <m:t>proc,2</m:t>
            </m:r>
          </m:sub>
        </m:sSub>
      </m:oMath>
      <w:r w:rsidRPr="003901B7">
        <w:rPr>
          <w:rFonts w:eastAsia="MS Mincho"/>
          <w:bCs/>
          <w:lang w:eastAsia="ja-JP"/>
        </w:rPr>
        <w:t xml:space="preserve">, </w:t>
      </w:r>
      <m:oMath>
        <m:sSub>
          <m:sSubPr>
            <m:ctrlPr>
              <w:rPr>
                <w:rFonts w:ascii="Cambria Math" w:eastAsia="MS Mincho" w:hAnsi="Cambria Math"/>
                <w:bCs/>
                <w:lang w:eastAsia="ja-JP"/>
              </w:rPr>
            </m:ctrlPr>
          </m:sSubPr>
          <m:e>
            <m:r>
              <w:rPr>
                <w:rFonts w:ascii="Cambria Math" w:eastAsia="MS Mincho" w:hAnsi="Cambria Math"/>
                <w:lang w:eastAsia="ja-JP"/>
              </w:rPr>
              <m:t>T</m:t>
            </m:r>
          </m:e>
          <m:sub>
            <m:r>
              <w:rPr>
                <w:rFonts w:ascii="Cambria Math" w:eastAsia="MS Mincho" w:hAnsi="Cambria Math"/>
                <w:lang w:eastAsia="ja-JP"/>
              </w:rPr>
              <m:t>proc,CSI</m:t>
            </m:r>
          </m:sub>
        </m:sSub>
      </m:oMath>
      <w:r w:rsidRPr="003901B7">
        <w:rPr>
          <w:rFonts w:eastAsia="MS Mincho"/>
          <w:bCs/>
          <w:lang w:eastAsia="ja-JP"/>
        </w:rPr>
        <w:t xml:space="preserve">, </w:t>
      </w:r>
      <m:oMath>
        <m:sSubSup>
          <m:sSubSupPr>
            <m:ctrlPr>
              <w:rPr>
                <w:rFonts w:ascii="Cambria Math" w:eastAsia="MS Mincho" w:hAnsi="Cambria Math"/>
                <w:bCs/>
                <w:lang w:eastAsia="ja-JP"/>
              </w:rPr>
            </m:ctrlPr>
          </m:sSubSupPr>
          <m:e>
            <m:r>
              <w:rPr>
                <w:rFonts w:ascii="Cambria Math" w:eastAsia="MS Mincho" w:hAnsi="Cambria Math"/>
                <w:lang w:eastAsia="ja-JP"/>
              </w:rPr>
              <m:t>T</m:t>
            </m:r>
          </m:e>
          <m:sub>
            <m:r>
              <w:rPr>
                <w:rFonts w:ascii="Cambria Math" w:eastAsia="MS Mincho" w:hAnsi="Cambria Math"/>
                <w:lang w:eastAsia="ja-JP"/>
              </w:rPr>
              <m:t>proc,release</m:t>
            </m:r>
          </m:sub>
          <m:sup>
            <m:r>
              <w:rPr>
                <w:rFonts w:ascii="Cambria Math" w:eastAsia="MS Mincho" w:hAnsi="Cambria Math"/>
                <w:lang w:eastAsia="ja-JP"/>
              </w:rPr>
              <m:t>mux</m:t>
            </m:r>
          </m:sup>
        </m:sSubSup>
      </m:oMath>
      <w:r w:rsidRPr="003901B7">
        <w:rPr>
          <w:rFonts w:eastAsia="MS Mincho"/>
          <w:bCs/>
          <w:lang w:eastAsia="ja-JP"/>
        </w:rPr>
        <w:t xml:space="preserve">, </w:t>
      </w:r>
      <m:oMath>
        <m:sSubSup>
          <m:sSubSupPr>
            <m:ctrlPr>
              <w:rPr>
                <w:rFonts w:ascii="Cambria Math" w:eastAsia="MS Mincho" w:hAnsi="Cambria Math"/>
                <w:bCs/>
                <w:lang w:eastAsia="ja-JP"/>
              </w:rPr>
            </m:ctrlPr>
          </m:sSubSupPr>
          <m:e>
            <m:r>
              <w:rPr>
                <w:rFonts w:ascii="Cambria Math" w:eastAsia="MS Mincho" w:hAnsi="Cambria Math"/>
                <w:lang w:eastAsia="ja-JP"/>
              </w:rPr>
              <m:t>T</m:t>
            </m:r>
          </m:e>
          <m:sub>
            <m:r>
              <w:rPr>
                <w:rFonts w:ascii="Cambria Math" w:eastAsia="MS Mincho" w:hAnsi="Cambria Math"/>
                <w:lang w:eastAsia="ja-JP"/>
              </w:rPr>
              <m:t>proc,2</m:t>
            </m:r>
          </m:sub>
          <m:sup>
            <m:r>
              <w:rPr>
                <w:rFonts w:ascii="Cambria Math" w:eastAsia="MS Mincho" w:hAnsi="Cambria Math"/>
                <w:lang w:eastAsia="ja-JP"/>
              </w:rPr>
              <m:t>mux</m:t>
            </m:r>
          </m:sup>
        </m:sSubSup>
      </m:oMath>
      <w:r w:rsidRPr="003901B7">
        <w:rPr>
          <w:rFonts w:eastAsia="MS Mincho"/>
          <w:bCs/>
          <w:lang w:eastAsia="ja-JP"/>
        </w:rPr>
        <w:t xml:space="preserve">, </w:t>
      </w:r>
      <w:r w:rsidRPr="003901B7">
        <w:t>and</w:t>
      </w:r>
      <w:r w:rsidRPr="003901B7">
        <w:rPr>
          <w:rFonts w:eastAsia="MS Mincho"/>
          <w:bCs/>
          <w:lang w:eastAsia="ja-JP"/>
        </w:rPr>
        <w:t xml:space="preserve"> </w:t>
      </w:r>
      <m:oMath>
        <m:sSubSup>
          <m:sSubSupPr>
            <m:ctrlPr>
              <w:rPr>
                <w:rFonts w:ascii="Cambria Math" w:eastAsia="MS Mincho" w:hAnsi="Cambria Math"/>
                <w:bCs/>
                <w:lang w:eastAsia="ja-JP"/>
              </w:rPr>
            </m:ctrlPr>
          </m:sSubSupPr>
          <m:e>
            <m:r>
              <w:rPr>
                <w:rFonts w:ascii="Cambria Math" w:eastAsia="MS Mincho" w:hAnsi="Cambria Math"/>
                <w:lang w:eastAsia="ja-JP"/>
              </w:rPr>
              <m:t>T</m:t>
            </m:r>
          </m:e>
          <m:sub>
            <m:r>
              <w:rPr>
                <w:rFonts w:ascii="Cambria Math" w:eastAsia="MS Mincho" w:hAnsi="Cambria Math"/>
                <w:lang w:eastAsia="ja-JP"/>
              </w:rPr>
              <m:t>proc,CSI</m:t>
            </m:r>
          </m:sub>
          <m:sup>
            <m:r>
              <w:rPr>
                <w:rFonts w:ascii="Cambria Math" w:eastAsia="MS Mincho" w:hAnsi="Cambria Math"/>
                <w:lang w:eastAsia="ja-JP"/>
              </w:rPr>
              <m:t>mux</m:t>
            </m:r>
          </m:sup>
        </m:sSubSup>
      </m:oMath>
      <w:r w:rsidRPr="003901B7">
        <w:rPr>
          <w:rFonts w:eastAsia="MS Mincho"/>
          <w:b/>
          <w:bCs/>
          <w:lang w:eastAsia="ja-JP"/>
        </w:rPr>
        <w:t xml:space="preserve"> </w:t>
      </w:r>
      <w:r w:rsidRPr="003901B7">
        <w:t xml:space="preserve">based on the configurations on the </w:t>
      </w:r>
      <w:r w:rsidRPr="003901B7">
        <w:rPr>
          <w:lang w:val="en-US"/>
        </w:rPr>
        <w:t xml:space="preserve">MCG and the SCG, respectively, when the UE indicates </w:t>
      </w:r>
      <w:r w:rsidR="00A6724C">
        <w:rPr>
          <w:lang w:val="en-US"/>
        </w:rPr>
        <w:t>the</w:t>
      </w:r>
      <w:r w:rsidRPr="003901B7">
        <w:rPr>
          <w:lang w:val="en-US"/>
        </w:rPr>
        <w:t xml:space="preserve"> value </w:t>
      </w:r>
      <w:r w:rsidR="00A6724C">
        <w:rPr>
          <w:lang w:val="en-US"/>
        </w:rPr>
        <w:t xml:space="preserve">of 'long' </w:t>
      </w:r>
      <w:r w:rsidRPr="003901B7">
        <w:rPr>
          <w:lang w:val="en-US"/>
        </w:rPr>
        <w:t xml:space="preserve">for the capability, </w:t>
      </w:r>
    </w:p>
    <w:p w14:paraId="0CB83636" w14:textId="53A1D307" w:rsidR="00232009" w:rsidRDefault="00A90F55" w:rsidP="00232009">
      <w:pPr>
        <w:pStyle w:val="B1"/>
        <w:rPr>
          <w:lang w:val="en-US"/>
        </w:rPr>
      </w:pPr>
      <w:r w:rsidRPr="003901B7">
        <w:t>-</w:t>
      </w:r>
      <w:r w:rsidRPr="003901B7">
        <w:tab/>
      </w:r>
      <m:oMath>
        <m:sSubSup>
          <m:sSubSupPr>
            <m:ctrlPr>
              <w:rPr>
                <w:rStyle w:val="apple-converted-space"/>
                <w:rFonts w:ascii="Cambria Math" w:hAnsi="Cambria Math"/>
                <w:i/>
              </w:rPr>
            </m:ctrlPr>
          </m:sSubSupPr>
          <m:e>
            <m:r>
              <w:rPr>
                <w:rStyle w:val="apple-converted-space"/>
                <w:rFonts w:ascii="Cambria Math" w:hAnsi="Cambria Math"/>
              </w:rPr>
              <m:t>T</m:t>
            </m:r>
          </m:e>
          <m:sub>
            <m:r>
              <w:rPr>
                <w:rStyle w:val="apple-converted-space"/>
                <w:rFonts w:ascii="Cambria Math" w:hAnsi="Cambria Math"/>
              </w:rPr>
              <m:t>proc,MCG</m:t>
            </m:r>
          </m:sub>
          <m:sup>
            <m:r>
              <w:rPr>
                <w:rStyle w:val="apple-converted-space"/>
                <w:rFonts w:ascii="Cambria Math" w:hAnsi="Cambria Math"/>
              </w:rPr>
              <m:t>max</m:t>
            </m:r>
          </m:sup>
        </m:sSubSup>
      </m:oMath>
      <w:r w:rsidRPr="003901B7">
        <w:rPr>
          <w:rStyle w:val="apple-converted-space"/>
          <w:lang w:val="en-US"/>
        </w:rPr>
        <w:t xml:space="preserve"> and </w:t>
      </w:r>
      <m:oMath>
        <m:sSubSup>
          <m:sSubSupPr>
            <m:ctrlPr>
              <w:rPr>
                <w:rStyle w:val="apple-converted-space"/>
                <w:rFonts w:ascii="Cambria Math" w:hAnsi="Cambria Math"/>
                <w:i/>
              </w:rPr>
            </m:ctrlPr>
          </m:sSubSupPr>
          <m:e>
            <m:r>
              <w:rPr>
                <w:rStyle w:val="apple-converted-space"/>
                <w:rFonts w:ascii="Cambria Math" w:hAnsi="Cambria Math"/>
              </w:rPr>
              <m:t>T</m:t>
            </m:r>
          </m:e>
          <m:sub>
            <m:r>
              <w:rPr>
                <w:rStyle w:val="apple-converted-space"/>
                <w:rFonts w:ascii="Cambria Math" w:hAnsi="Cambria Math"/>
              </w:rPr>
              <m:t>proc,SCG</m:t>
            </m:r>
          </m:sub>
          <m:sup>
            <m:r>
              <w:rPr>
                <w:rStyle w:val="apple-converted-space"/>
                <w:rFonts w:ascii="Cambria Math" w:hAnsi="Cambria Math"/>
              </w:rPr>
              <m:t>max</m:t>
            </m:r>
          </m:sup>
        </m:sSubSup>
      </m:oMath>
      <w:r w:rsidRPr="003901B7">
        <w:rPr>
          <w:rStyle w:val="apple-converted-space"/>
          <w:lang w:val="en-US"/>
        </w:rPr>
        <w:t xml:space="preserve"> </w:t>
      </w:r>
      <w:r w:rsidRPr="003901B7">
        <w:t xml:space="preserve">is the maximum of </w:t>
      </w:r>
      <m:oMath>
        <m:sSub>
          <m:sSubPr>
            <m:ctrlPr>
              <w:rPr>
                <w:rFonts w:ascii="Cambria Math" w:eastAsia="MS Mincho" w:hAnsi="Cambria Math"/>
                <w:bCs/>
                <w:lang w:eastAsia="ja-JP"/>
              </w:rPr>
            </m:ctrlPr>
          </m:sSubPr>
          <m:e>
            <m:r>
              <w:rPr>
                <w:rFonts w:ascii="Cambria Math" w:eastAsia="MS Mincho" w:hAnsi="Cambria Math"/>
                <w:lang w:eastAsia="ja-JP"/>
              </w:rPr>
              <m:t>T</m:t>
            </m:r>
          </m:e>
          <m:sub>
            <m:r>
              <w:rPr>
                <w:rFonts w:ascii="Cambria Math" w:eastAsia="MS Mincho" w:hAnsi="Cambria Math"/>
                <w:lang w:eastAsia="ja-JP"/>
              </w:rPr>
              <m:t>proc,2</m:t>
            </m:r>
          </m:sub>
        </m:sSub>
      </m:oMath>
      <w:r w:rsidRPr="003901B7">
        <w:rPr>
          <w:rFonts w:eastAsia="MS Mincho"/>
          <w:bCs/>
          <w:lang w:eastAsia="ja-JP"/>
        </w:rPr>
        <w:t xml:space="preserve">, </w:t>
      </w:r>
      <m:oMath>
        <m:sSubSup>
          <m:sSubSupPr>
            <m:ctrlPr>
              <w:rPr>
                <w:rFonts w:ascii="Cambria Math" w:eastAsia="MS Mincho" w:hAnsi="Cambria Math"/>
                <w:bCs/>
                <w:lang w:eastAsia="ja-JP"/>
              </w:rPr>
            </m:ctrlPr>
          </m:sSubSupPr>
          <m:e>
            <m:r>
              <w:rPr>
                <w:rFonts w:ascii="Cambria Math" w:eastAsia="MS Mincho" w:hAnsi="Cambria Math"/>
                <w:lang w:eastAsia="ja-JP"/>
              </w:rPr>
              <m:t>T</m:t>
            </m:r>
          </m:e>
          <m:sub>
            <m:r>
              <w:rPr>
                <w:rFonts w:ascii="Cambria Math" w:eastAsia="MS Mincho" w:hAnsi="Cambria Math"/>
                <w:lang w:eastAsia="ja-JP"/>
              </w:rPr>
              <m:t>proc,release</m:t>
            </m:r>
          </m:sub>
          <m:sup>
            <m:r>
              <w:rPr>
                <w:rFonts w:ascii="Cambria Math" w:eastAsia="MS Mincho" w:hAnsi="Cambria Math"/>
                <w:lang w:eastAsia="ja-JP"/>
              </w:rPr>
              <m:t>mux</m:t>
            </m:r>
          </m:sup>
        </m:sSubSup>
      </m:oMath>
      <w:r w:rsidRPr="003901B7">
        <w:rPr>
          <w:rFonts w:eastAsia="MS Mincho"/>
          <w:bCs/>
          <w:lang w:eastAsia="ja-JP"/>
        </w:rPr>
        <w:t xml:space="preserve">, </w:t>
      </w:r>
      <m:oMath>
        <m:sSubSup>
          <m:sSubSupPr>
            <m:ctrlPr>
              <w:rPr>
                <w:rFonts w:ascii="Cambria Math" w:eastAsia="MS Mincho" w:hAnsi="Cambria Math"/>
                <w:bCs/>
                <w:lang w:eastAsia="ja-JP"/>
              </w:rPr>
            </m:ctrlPr>
          </m:sSubSupPr>
          <m:e>
            <m:r>
              <w:rPr>
                <w:rFonts w:ascii="Cambria Math" w:eastAsia="MS Mincho" w:hAnsi="Cambria Math"/>
                <w:lang w:eastAsia="ja-JP"/>
              </w:rPr>
              <m:t>T</m:t>
            </m:r>
          </m:e>
          <m:sub>
            <m:r>
              <w:rPr>
                <w:rFonts w:ascii="Cambria Math" w:eastAsia="MS Mincho" w:hAnsi="Cambria Math"/>
                <w:lang w:eastAsia="ja-JP"/>
              </w:rPr>
              <m:t>proc,2</m:t>
            </m:r>
          </m:sub>
          <m:sup>
            <m:r>
              <w:rPr>
                <w:rFonts w:ascii="Cambria Math" w:eastAsia="MS Mincho" w:hAnsi="Cambria Math"/>
                <w:lang w:eastAsia="ja-JP"/>
              </w:rPr>
              <m:t>mux</m:t>
            </m:r>
          </m:sup>
        </m:sSubSup>
      </m:oMath>
      <w:r w:rsidRPr="003901B7">
        <w:rPr>
          <w:rFonts w:eastAsia="MS Mincho"/>
          <w:b/>
          <w:bCs/>
          <w:lang w:eastAsia="ja-JP"/>
        </w:rPr>
        <w:t xml:space="preserve"> </w:t>
      </w:r>
      <w:r w:rsidRPr="003901B7">
        <w:t xml:space="preserve">based on the configurations on the </w:t>
      </w:r>
      <w:r w:rsidRPr="003901B7">
        <w:rPr>
          <w:lang w:val="en-US"/>
        </w:rPr>
        <w:t xml:space="preserve">MCG and the SCG, respectively, when the UE indicates </w:t>
      </w:r>
      <w:r w:rsidR="00A6724C">
        <w:rPr>
          <w:lang w:val="en-US"/>
        </w:rPr>
        <w:t>the</w:t>
      </w:r>
      <w:r w:rsidRPr="003901B7">
        <w:rPr>
          <w:lang w:val="en-US"/>
        </w:rPr>
        <w:t xml:space="preserve"> value </w:t>
      </w:r>
      <w:r w:rsidR="00A6724C">
        <w:rPr>
          <w:lang w:val="en-US"/>
        </w:rPr>
        <w:t xml:space="preserve">of 'short' </w:t>
      </w:r>
      <w:r w:rsidRPr="003901B7">
        <w:rPr>
          <w:lang w:val="en-US"/>
        </w:rPr>
        <w:t>for the capability</w:t>
      </w:r>
      <w:r w:rsidR="00232009">
        <w:rPr>
          <w:lang w:val="en-US"/>
        </w:rPr>
        <w:t>, and</w:t>
      </w:r>
    </w:p>
    <w:p w14:paraId="6A513EA8" w14:textId="227D5FEB" w:rsidR="00A90F55" w:rsidRPr="003901B7" w:rsidRDefault="00232009" w:rsidP="00232009">
      <w:pPr>
        <w:pStyle w:val="B1"/>
        <w:rPr>
          <w:lang w:val="en-US"/>
        </w:rPr>
      </w:pPr>
      <w:r>
        <w:rPr>
          <w:lang w:val="en-US"/>
        </w:rPr>
        <w:t>-</w:t>
      </w:r>
      <w:r>
        <w:rPr>
          <w:lang w:val="en-US"/>
        </w:rPr>
        <w:tab/>
      </w:r>
      <m:oMath>
        <m:sSubSup>
          <m:sSubSupPr>
            <m:ctrlPr>
              <w:rPr>
                <w:rFonts w:ascii="Cambria Math" w:hAnsi="Cambria Math"/>
                <w:i/>
              </w:rPr>
            </m:ctrlPr>
          </m:sSubSupPr>
          <m:e>
            <m:acc>
              <m:accPr>
                <m:ctrlPr>
                  <w:rPr>
                    <w:rFonts w:ascii="Cambria Math" w:hAnsi="Cambria Math"/>
                    <w:i/>
                  </w:rPr>
                </m:ctrlPr>
              </m:accPr>
              <m:e>
                <m:r>
                  <w:rPr>
                    <w:rFonts w:ascii="Cambria Math"/>
                  </w:rPr>
                  <m:t>P</m:t>
                </m:r>
              </m:e>
            </m:acc>
          </m:e>
          <m:sub>
            <m:r>
              <m:rPr>
                <m:nor/>
              </m:rPr>
              <w:rPr>
                <w:rFonts w:ascii="Cambria Math"/>
              </w:rPr>
              <m:t>MCG</m:t>
            </m:r>
          </m:sub>
          <m:sup>
            <m:r>
              <m:rPr>
                <m:sty m:val="p"/>
              </m:rPr>
              <w:rPr>
                <w:rFonts w:ascii="Cambria Math"/>
              </w:rPr>
              <m:t>actual</m:t>
            </m:r>
          </m:sup>
        </m:sSubSup>
      </m:oMath>
      <w:r>
        <w:rPr>
          <w:rFonts w:eastAsia="MS PGothic" w:hint="eastAsia"/>
          <w:lang w:eastAsia="ja-JP"/>
        </w:rPr>
        <w:t xml:space="preserve"> </w:t>
      </w:r>
      <w:r>
        <w:rPr>
          <w:rFonts w:eastAsia="MS PGothic"/>
          <w:lang w:eastAsia="ja-JP"/>
        </w:rPr>
        <w:t xml:space="preserve">is the total power for </w:t>
      </w:r>
      <w:r>
        <w:rPr>
          <w:rFonts w:eastAsia="MS PGothic"/>
          <w:lang w:val="en-US" w:eastAsia="ja-JP"/>
        </w:rPr>
        <w:t xml:space="preserve">the </w:t>
      </w:r>
      <w:r>
        <w:rPr>
          <w:rFonts w:eastAsia="MS PGothic"/>
          <w:lang w:eastAsia="ja-JP"/>
        </w:rPr>
        <w:t>transmissions on the MCG</w:t>
      </w:r>
      <w:r>
        <w:rPr>
          <w:rFonts w:eastAsia="MS PGothic"/>
          <w:lang w:val="en-US" w:eastAsia="ja-JP"/>
        </w:rPr>
        <w:t xml:space="preserve"> that overlap with the transmission occasion </w:t>
      </w:r>
      <w:r>
        <w:rPr>
          <w:rFonts w:eastAsia="MS PGothic"/>
          <w:lang w:eastAsia="ja-JP"/>
        </w:rPr>
        <w:t>on the SCG</w:t>
      </w:r>
      <w:r>
        <w:rPr>
          <w:rFonts w:eastAsia="MS PGothic"/>
          <w:lang w:val="en-US" w:eastAsia="ja-JP"/>
        </w:rPr>
        <w:t xml:space="preserve"> where </w:t>
      </w:r>
      <m:oMath>
        <m:sSubSup>
          <m:sSubSupPr>
            <m:ctrlPr>
              <w:rPr>
                <w:rFonts w:ascii="Cambria Math" w:hAnsi="Cambria Math"/>
                <w:i/>
              </w:rPr>
            </m:ctrlPr>
          </m:sSubSupPr>
          <m:e>
            <m:acc>
              <m:accPr>
                <m:ctrlPr>
                  <w:rPr>
                    <w:rFonts w:ascii="Cambria Math" w:hAnsi="Cambria Math"/>
                    <w:i/>
                  </w:rPr>
                </m:ctrlPr>
              </m:accPr>
              <m:e>
                <m:r>
                  <w:rPr>
                    <w:rFonts w:ascii="Cambria Math"/>
                  </w:rPr>
                  <m:t>P</m:t>
                </m:r>
              </m:e>
            </m:acc>
          </m:e>
          <m:sub>
            <m:r>
              <m:rPr>
                <m:nor/>
              </m:rPr>
              <w:rPr>
                <w:rFonts w:ascii="Cambria Math"/>
              </w:rPr>
              <m:t>MCG</m:t>
            </m:r>
          </m:sub>
          <m:sup>
            <m:r>
              <m:rPr>
                <m:sty m:val="p"/>
              </m:rPr>
              <w:rPr>
                <w:rFonts w:ascii="Cambria Math"/>
              </w:rPr>
              <m:t>actual</m:t>
            </m:r>
          </m:sup>
        </m:sSubSup>
      </m:oMath>
      <w:r>
        <w:rPr>
          <w:rFonts w:eastAsia="MS PGothic"/>
          <w:lang w:val="en-US" w:eastAsia="ja-JP"/>
        </w:rPr>
        <w:t xml:space="preserve"> is</w:t>
      </w:r>
      <w:r>
        <w:rPr>
          <w:rFonts w:eastAsia="MS PGothic"/>
          <w:lang w:eastAsia="ja-JP"/>
        </w:rPr>
        <w:t xml:space="preserve"> determined based on</w:t>
      </w:r>
      <w:r>
        <w:rPr>
          <w:rFonts w:eastAsia="MS PGothic"/>
          <w:lang w:val="en-US" w:eastAsia="ja-JP"/>
        </w:rPr>
        <w:t xml:space="preserve"> transmissions configured by</w:t>
      </w:r>
      <w:r w:rsidRPr="0055374D">
        <w:rPr>
          <w:rFonts w:eastAsia="MS PGothic"/>
        </w:rPr>
        <w:t xml:space="preserve"> higher layers and</w:t>
      </w:r>
      <w:r>
        <w:rPr>
          <w:rFonts w:eastAsia="MS PGothic"/>
          <w:lang w:val="en-US"/>
        </w:rPr>
        <w:t xml:space="preserve"> on transmissions scheduled by</w:t>
      </w:r>
      <w:r w:rsidRPr="0055374D">
        <w:rPr>
          <w:rFonts w:eastAsia="MS PGothic"/>
        </w:rPr>
        <w:t xml:space="preserve"> DCI formats</w:t>
      </w:r>
      <w:r>
        <w:rPr>
          <w:rFonts w:eastAsia="MS PGothic"/>
          <w:lang w:val="en-US"/>
        </w:rPr>
        <w:t xml:space="preserve"> </w:t>
      </w:r>
      <w:r w:rsidRPr="0055374D">
        <w:rPr>
          <w:rFonts w:eastAsia="MS PGothic"/>
        </w:rPr>
        <w:t xml:space="preserve">in PDCCH receptions with a last symbol that is </w:t>
      </w:r>
      <w:r>
        <w:rPr>
          <w:rFonts w:eastAsia="MS PGothic"/>
          <w:lang w:val="en-US"/>
        </w:rPr>
        <w:t>at least</w:t>
      </w:r>
      <w:r w:rsidRPr="0055374D">
        <w:rPr>
          <w:rFonts w:eastAsia="MS PGothic"/>
        </w:rPr>
        <w:t xml:space="preserve"> </w:t>
      </w:r>
      <m:oMath>
        <m:sSub>
          <m:sSubPr>
            <m:ctrlPr>
              <w:rPr>
                <w:rFonts w:ascii="Cambria Math" w:eastAsia="Yu Mincho" w:hAnsi="Cambria Math"/>
                <w:i/>
              </w:rPr>
            </m:ctrlPr>
          </m:sSubPr>
          <m:e>
            <m:r>
              <w:rPr>
                <w:rFonts w:ascii="Cambria Math" w:eastAsia="Yu Mincho"/>
              </w:rPr>
              <m:t>T</m:t>
            </m:r>
          </m:e>
          <m:sub>
            <m:r>
              <m:rPr>
                <m:nor/>
              </m:rPr>
              <w:rPr>
                <w:rFonts w:ascii="Cambria Math" w:eastAsia="Yu Mincho"/>
              </w:rPr>
              <m:t>offset</m:t>
            </m:r>
            <m:ctrlPr>
              <w:rPr>
                <w:rFonts w:ascii="Cambria Math" w:eastAsia="Yu Mincho" w:hAnsi="Cambria Math"/>
              </w:rPr>
            </m:ctrlPr>
          </m:sub>
        </m:sSub>
      </m:oMath>
      <w:r w:rsidRPr="0055374D">
        <w:rPr>
          <w:rFonts w:eastAsia="Yu Mincho"/>
        </w:rPr>
        <w:t xml:space="preserve"> </w:t>
      </w:r>
      <w:r>
        <w:rPr>
          <w:rFonts w:eastAsia="Yu Mincho"/>
          <w:lang w:val="en-US"/>
        </w:rPr>
        <w:t>before</w:t>
      </w:r>
      <w:r w:rsidRPr="0055374D">
        <w:rPr>
          <w:rFonts w:eastAsia="Yu Mincho"/>
        </w:rPr>
        <w:t xml:space="preserve"> the first symbol of the transmission occasion on the SCG</w:t>
      </w:r>
      <w:r w:rsidR="00A90F55">
        <w:rPr>
          <w:lang w:val="en-US"/>
        </w:rPr>
        <w:t>.</w:t>
      </w:r>
    </w:p>
    <w:p w14:paraId="4C74844C" w14:textId="1225834C" w:rsidR="003773EA" w:rsidRDefault="003773EA" w:rsidP="003773EA">
      <w:pPr>
        <w:rPr>
          <w:rFonts w:eastAsia="MS PGothic"/>
          <w:color w:val="000000"/>
          <w:lang w:val="en-US" w:eastAsia="zh-CN"/>
        </w:rPr>
      </w:pPr>
      <w:r>
        <w:rPr>
          <w:rFonts w:eastAsia="MS PGothic"/>
          <w:color w:val="000000"/>
          <w:lang w:val="en-US" w:eastAsia="zh-CN"/>
        </w:rPr>
        <w:t xml:space="preserve">The </w:t>
      </w:r>
      <w:r w:rsidRPr="006E0CFA">
        <w:rPr>
          <w:rFonts w:eastAsia="MS PGothic"/>
          <w:color w:val="000000"/>
          <w:lang w:val="en-US" w:eastAsia="zh-CN"/>
        </w:rPr>
        <w:t>UE</w:t>
      </w:r>
      <w:r>
        <w:rPr>
          <w:rFonts w:eastAsia="MS PGothic"/>
          <w:color w:val="000000"/>
          <w:lang w:val="en-US" w:eastAsia="zh-CN"/>
        </w:rPr>
        <w:t xml:space="preserve"> does not expect to have</w:t>
      </w:r>
      <w:r w:rsidRPr="006E0CFA">
        <w:rPr>
          <w:rFonts w:eastAsia="MS PGothic"/>
          <w:color w:val="000000"/>
          <w:lang w:val="en-US" w:eastAsia="zh-CN"/>
        </w:rPr>
        <w:t xml:space="preserve"> </w:t>
      </w:r>
      <w:r w:rsidR="00232009">
        <w:rPr>
          <w:rFonts w:eastAsia="MS PGothic"/>
          <w:color w:val="000000"/>
          <w:lang w:val="en-US" w:eastAsia="zh-CN"/>
        </w:rPr>
        <w:t xml:space="preserve">PUSCH, PUCCH, </w:t>
      </w:r>
      <w:r w:rsidR="003C435B">
        <w:rPr>
          <w:rFonts w:eastAsia="MS PGothic"/>
          <w:color w:val="000000"/>
          <w:lang w:val="en-US" w:eastAsia="zh-CN"/>
        </w:rPr>
        <w:t xml:space="preserve">PRACH, </w:t>
      </w:r>
      <w:r w:rsidR="00232009">
        <w:rPr>
          <w:rFonts w:eastAsia="MS PGothic"/>
          <w:color w:val="000000"/>
          <w:lang w:val="en-US" w:eastAsia="zh-CN"/>
        </w:rPr>
        <w:t xml:space="preserve">or SRS </w:t>
      </w:r>
      <w:r>
        <w:rPr>
          <w:rFonts w:eastAsia="MS PGothic"/>
          <w:color w:val="000000"/>
          <w:lang w:val="en-US" w:eastAsia="zh-CN"/>
        </w:rPr>
        <w:t>transmissions on the MCG</w:t>
      </w:r>
      <w:r w:rsidRPr="006E0CFA">
        <w:rPr>
          <w:rFonts w:eastAsia="MS PGothic"/>
          <w:color w:val="000000"/>
          <w:lang w:val="en-US" w:eastAsia="zh-CN"/>
        </w:rPr>
        <w:t xml:space="preserve"> </w:t>
      </w:r>
      <w:r>
        <w:rPr>
          <w:rFonts w:eastAsia="MS PGothic"/>
          <w:color w:val="000000"/>
          <w:lang w:val="en-US" w:eastAsia="zh-CN"/>
        </w:rPr>
        <w:t xml:space="preserve">that </w:t>
      </w:r>
    </w:p>
    <w:p w14:paraId="2D0435F2" w14:textId="6C092967" w:rsidR="003773EA" w:rsidRDefault="003773EA" w:rsidP="003773EA">
      <w:pPr>
        <w:pStyle w:val="B1"/>
      </w:pPr>
      <w:r>
        <w:t>-</w:t>
      </w:r>
      <w:r>
        <w:tab/>
        <w:t>are scheduled</w:t>
      </w:r>
      <w:r w:rsidR="00232009">
        <w:rPr>
          <w:lang w:val="en-US"/>
        </w:rPr>
        <w:t>/triggered</w:t>
      </w:r>
      <w:r>
        <w:t xml:space="preserve"> by DCI formats in PDCCH receptions with a last symbol that</w:t>
      </w:r>
      <w:r>
        <w:rPr>
          <w:rFonts w:eastAsia="MS PGothic"/>
          <w:color w:val="000000"/>
          <w:lang w:val="en-US" w:eastAsia="zh-CN"/>
        </w:rPr>
        <w:t xml:space="preserve"> is earlier by less than </w:t>
      </w:r>
      <m:oMath>
        <m:sSub>
          <m:sSubPr>
            <m:ctrlPr>
              <w:rPr>
                <w:rFonts w:ascii="Cambria Math" w:hAnsi="Cambria Math"/>
                <w:i/>
              </w:rPr>
            </m:ctrlPr>
          </m:sSubPr>
          <m:e>
            <m:r>
              <w:rPr>
                <w:rFonts w:ascii="Cambria Math"/>
              </w:rPr>
              <m:t>T</m:t>
            </m:r>
          </m:e>
          <m:sub>
            <m:r>
              <m:rPr>
                <m:nor/>
              </m:rPr>
              <w:rPr>
                <w:rFonts w:ascii="Cambria Math"/>
              </w:rPr>
              <m:t>offset</m:t>
            </m:r>
            <m:ctrlPr>
              <w:rPr>
                <w:rFonts w:ascii="Cambria Math" w:hAnsi="Cambria Math"/>
              </w:rPr>
            </m:ctrlPr>
          </m:sub>
        </m:sSub>
      </m:oMath>
      <w:r w:rsidRPr="006E0CFA">
        <w:rPr>
          <w:rFonts w:eastAsia="MS PGothic"/>
          <w:color w:val="000000"/>
          <w:lang w:val="en-US" w:eastAsia="zh-CN"/>
        </w:rPr>
        <w:t xml:space="preserve"> </w:t>
      </w:r>
      <w:r>
        <w:t>from the first symbol of the transmission occasion on the SCG, and</w:t>
      </w:r>
    </w:p>
    <w:p w14:paraId="3FE7EC47" w14:textId="265CA7F7" w:rsidR="003773EA" w:rsidRDefault="003773EA" w:rsidP="00A312BF">
      <w:pPr>
        <w:pStyle w:val="B1"/>
        <w:ind w:left="284" w:firstLine="0"/>
        <w:rPr>
          <w:rFonts w:eastAsia="MS PGothic"/>
          <w:color w:val="000000"/>
          <w:lang w:val="en-US" w:eastAsia="zh-CN"/>
        </w:rPr>
      </w:pPr>
      <w:r>
        <w:t>-</w:t>
      </w:r>
      <w:r>
        <w:tab/>
      </w:r>
      <w:r>
        <w:rPr>
          <w:rFonts w:eastAsia="MS PGothic"/>
          <w:color w:val="000000"/>
          <w:lang w:val="en-US" w:eastAsia="zh-CN"/>
        </w:rPr>
        <w:t>overlap with the</w:t>
      </w:r>
      <w:r w:rsidRPr="006E0CFA">
        <w:rPr>
          <w:rFonts w:eastAsia="MS PGothic"/>
          <w:color w:val="000000"/>
          <w:lang w:val="en-US" w:eastAsia="zh-CN"/>
        </w:rPr>
        <w:t xml:space="preserve"> transmission</w:t>
      </w:r>
      <w:r>
        <w:rPr>
          <w:rFonts w:eastAsia="MS PGothic"/>
          <w:color w:val="000000"/>
          <w:lang w:val="en-US" w:eastAsia="zh-CN"/>
        </w:rPr>
        <w:t xml:space="preserve"> occasion on the SCG</w:t>
      </w:r>
    </w:p>
    <w:p w14:paraId="0C769458" w14:textId="77777777" w:rsidR="000777DD" w:rsidRPr="0026616D" w:rsidRDefault="000777DD" w:rsidP="00A173BC">
      <w:pPr>
        <w:rPr>
          <w:lang w:val="en-US"/>
        </w:rPr>
      </w:pPr>
      <w:r>
        <w:rPr>
          <w:lang w:val="en-US" w:eastAsia="zh-CN"/>
        </w:rPr>
        <w:lastRenderedPageBreak/>
        <w:t xml:space="preserve">The UE does not expect to receive a positive TPC command value in a DCI format 2_2 or a DCI format 2_3 in a PDCCH reception with a last symbol that is less than </w:t>
      </w:r>
      <m:oMath>
        <m:sSub>
          <m:sSubPr>
            <m:ctrlPr>
              <w:rPr>
                <w:rFonts w:ascii="Cambria Math" w:hAnsi="Cambria Math"/>
                <w:i/>
              </w:rPr>
            </m:ctrlPr>
          </m:sSubPr>
          <m:e>
            <m:r>
              <w:rPr>
                <w:rFonts w:ascii="Cambria Math" w:hAnsi="Cambria Math"/>
              </w:rPr>
              <m:t>T</m:t>
            </m:r>
          </m:e>
          <m:sub>
            <m:r>
              <m:rPr>
                <m:nor/>
              </m:rPr>
              <m:t>offset</m:t>
            </m:r>
            <m:ctrlPr>
              <w:rPr>
                <w:rFonts w:ascii="Cambria Math" w:hAnsi="Cambria Math"/>
              </w:rPr>
            </m:ctrlPr>
          </m:sub>
        </m:sSub>
      </m:oMath>
      <w:r>
        <w:rPr>
          <w:lang w:val="en-US"/>
        </w:rPr>
        <w:t xml:space="preserve"> before the first symbol of the transmission occasion on the SCG, if </w:t>
      </w:r>
      <w:r w:rsidRPr="005E4043">
        <w:rPr>
          <w:lang w:val="en-US"/>
        </w:rPr>
        <w:t>the transmission on the MCG overlaps with the transmission occasion on the SCG.</w:t>
      </w:r>
    </w:p>
    <w:p w14:paraId="4BA48293" w14:textId="3C25A62C" w:rsidR="000777DD" w:rsidRPr="00A312BF" w:rsidRDefault="000777DD" w:rsidP="00A173BC">
      <w:r>
        <w:rPr>
          <w:lang w:val="en-US" w:eastAsia="zh-CN"/>
        </w:rPr>
        <w:t xml:space="preserve">The UE is </w:t>
      </w:r>
      <w:r w:rsidRPr="0026616D">
        <w:rPr>
          <w:lang w:val="en-US" w:eastAsia="zh-CN"/>
        </w:rPr>
        <w:t>not required to</w:t>
      </w:r>
      <w:r>
        <w:rPr>
          <w:lang w:val="en-US" w:eastAsia="zh-CN"/>
        </w:rPr>
        <w:t xml:space="preserve"> apply </w:t>
      </w:r>
      <w:r w:rsidRPr="005E4043">
        <w:rPr>
          <w:lang w:val="en-US" w:eastAsia="zh-CN"/>
        </w:rPr>
        <w:t xml:space="preserve">a TPC command </w:t>
      </w:r>
      <w:r>
        <w:rPr>
          <w:lang w:val="en-US" w:eastAsia="zh-CN"/>
        </w:rPr>
        <w:t xml:space="preserve">the UE receives </w:t>
      </w:r>
      <w:r w:rsidRPr="005E4043">
        <w:rPr>
          <w:lang w:val="en-US" w:eastAsia="zh-CN"/>
        </w:rPr>
        <w:t>in a DCI format 2_2 or a DCI format 2_3</w:t>
      </w:r>
      <w:r>
        <w:rPr>
          <w:lang w:val="en-US" w:eastAsia="zh-CN"/>
        </w:rPr>
        <w:t xml:space="preserve"> </w:t>
      </w:r>
      <w:r w:rsidRPr="005E4043">
        <w:rPr>
          <w:lang w:val="en-US" w:eastAsia="zh-CN"/>
        </w:rPr>
        <w:t xml:space="preserve">in </w:t>
      </w:r>
      <w:r>
        <w:rPr>
          <w:lang w:val="en-US" w:eastAsia="zh-CN"/>
        </w:rPr>
        <w:t xml:space="preserve">a </w:t>
      </w:r>
      <w:r w:rsidRPr="005E4043">
        <w:rPr>
          <w:lang w:val="en-US" w:eastAsia="zh-CN"/>
        </w:rPr>
        <w:t xml:space="preserve">PDCCH reception with a last symbol that is less than </w:t>
      </w:r>
      <m:oMath>
        <m:sSub>
          <m:sSubPr>
            <m:ctrlPr>
              <w:rPr>
                <w:rFonts w:ascii="Cambria Math" w:hAnsi="Cambria Math"/>
                <w:i/>
              </w:rPr>
            </m:ctrlPr>
          </m:sSubPr>
          <m:e>
            <m:r>
              <w:rPr>
                <w:rFonts w:ascii="Cambria Math" w:hAnsi="Cambria Math"/>
              </w:rPr>
              <m:t>T</m:t>
            </m:r>
          </m:e>
          <m:sub>
            <m:r>
              <m:rPr>
                <m:nor/>
              </m:rPr>
              <m:t>offset</m:t>
            </m:r>
            <m:ctrlPr>
              <w:rPr>
                <w:rFonts w:ascii="Cambria Math" w:hAnsi="Cambria Math"/>
              </w:rPr>
            </m:ctrlPr>
          </m:sub>
        </m:sSub>
      </m:oMath>
      <w:r>
        <w:rPr>
          <w:lang w:val="en-US"/>
        </w:rPr>
        <w:t xml:space="preserve"> </w:t>
      </w:r>
      <w:r>
        <w:rPr>
          <w:lang w:val="en-US" w:eastAsia="zh-CN"/>
        </w:rPr>
        <w:t>before</w:t>
      </w:r>
      <w:r w:rsidRPr="005E4043">
        <w:rPr>
          <w:lang w:val="en-US" w:eastAsia="zh-CN"/>
        </w:rPr>
        <w:t xml:space="preserve"> the first symbol of the transmission occasion on the SCG, if</w:t>
      </w:r>
      <w:r>
        <w:rPr>
          <w:lang w:val="en-US" w:eastAsia="zh-CN"/>
        </w:rPr>
        <w:t xml:space="preserve"> </w:t>
      </w:r>
      <w:r w:rsidRPr="005E4043">
        <w:rPr>
          <w:lang w:val="en-US" w:eastAsia="zh-CN"/>
        </w:rPr>
        <w:t>the transmission on the MCG overlaps with the transmission occasion on the SCG.</w:t>
      </w:r>
    </w:p>
    <w:p w14:paraId="50A04D30" w14:textId="77777777" w:rsidR="00E072F9" w:rsidRPr="00B916EC" w:rsidRDefault="00E072F9" w:rsidP="004C3D45">
      <w:pPr>
        <w:pStyle w:val="Heading2"/>
      </w:pPr>
      <w:bookmarkStart w:id="277" w:name="_Toc12021457"/>
      <w:bookmarkStart w:id="278" w:name="_Toc20311569"/>
      <w:bookmarkStart w:id="279" w:name="_Toc26719394"/>
      <w:bookmarkStart w:id="280" w:name="_Toc29894825"/>
      <w:bookmarkStart w:id="281" w:name="_Toc29899124"/>
      <w:bookmarkStart w:id="282" w:name="_Toc29899542"/>
      <w:bookmarkStart w:id="283" w:name="_Toc29917279"/>
      <w:bookmarkStart w:id="284" w:name="_Toc36498153"/>
      <w:bookmarkStart w:id="285" w:name="_Toc45699179"/>
      <w:bookmarkStart w:id="286" w:name="_Toc161999104"/>
      <w:r w:rsidRPr="00B916EC">
        <w:t>7.7</w:t>
      </w:r>
      <w:r w:rsidR="007D5A3F">
        <w:tab/>
      </w:r>
      <w:r w:rsidRPr="00B916EC">
        <w:t>Power headroom report</w:t>
      </w:r>
      <w:bookmarkEnd w:id="277"/>
      <w:bookmarkEnd w:id="278"/>
      <w:bookmarkEnd w:id="279"/>
      <w:bookmarkEnd w:id="280"/>
      <w:bookmarkEnd w:id="281"/>
      <w:bookmarkEnd w:id="282"/>
      <w:bookmarkEnd w:id="283"/>
      <w:bookmarkEnd w:id="284"/>
      <w:bookmarkEnd w:id="285"/>
      <w:bookmarkEnd w:id="286"/>
    </w:p>
    <w:p w14:paraId="30BE15F6" w14:textId="6F6F1507" w:rsidR="00890F22" w:rsidRDefault="00890F22" w:rsidP="00890F22">
      <w:r w:rsidRPr="00B916EC">
        <w:t>The</w:t>
      </w:r>
      <w:r w:rsidRPr="008B40E0">
        <w:t xml:space="preserve"> types</w:t>
      </w:r>
      <w:r w:rsidRPr="00B916EC">
        <w:t xml:space="preserve"> of UE power headroom reports </w:t>
      </w:r>
      <w:r>
        <w:t>are the following</w:t>
      </w:r>
      <w:r w:rsidRPr="00B916EC">
        <w:t xml:space="preserve">. A </w:t>
      </w:r>
      <w:r>
        <w:t xml:space="preserve">Type 1 </w:t>
      </w:r>
      <w:r w:rsidRPr="00B916EC">
        <w:t>UE power headroom</w:t>
      </w:r>
      <w:r>
        <w:t xml:space="preserve"> </w:t>
      </w:r>
      <w:r w:rsidR="00ED3701">
        <w:rPr>
          <w:noProof/>
          <w:position w:val="-4"/>
        </w:rPr>
        <w:drawing>
          <wp:inline distT="0" distB="0" distL="0" distR="0" wp14:anchorId="3C0B7579" wp14:editId="60672123">
            <wp:extent cx="238125" cy="142875"/>
            <wp:effectExtent l="0" t="0" r="0" b="0"/>
            <wp:docPr id="78"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8125" cy="142875"/>
                    </a:xfrm>
                    <a:prstGeom prst="rect">
                      <a:avLst/>
                    </a:prstGeom>
                    <a:noFill/>
                    <a:ln>
                      <a:noFill/>
                    </a:ln>
                  </pic:spPr>
                </pic:pic>
              </a:graphicData>
            </a:graphic>
          </wp:inline>
        </w:drawing>
      </w:r>
      <w:r w:rsidRPr="00B916EC">
        <w:t xml:space="preserve"> </w:t>
      </w:r>
      <w:r>
        <w:t xml:space="preserve">that </w:t>
      </w:r>
      <w:r w:rsidRPr="00B916EC">
        <w:t xml:space="preserve">is valid for PUSCH transmission </w:t>
      </w:r>
      <w:r>
        <w:t>occasion</w:t>
      </w:r>
      <w:r w:rsidRPr="00B916EC">
        <w:t xml:space="preserve"> </w:t>
      </w:r>
      <w:r w:rsidR="00ED3701">
        <w:rPr>
          <w:noProof/>
          <w:position w:val="-6"/>
        </w:rPr>
        <w:drawing>
          <wp:inline distT="0" distB="0" distL="0" distR="0" wp14:anchorId="1EA6760E" wp14:editId="41622846">
            <wp:extent cx="95250" cy="180975"/>
            <wp:effectExtent l="0" t="0" r="0" b="0"/>
            <wp:docPr id="79"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5250" cy="180975"/>
                    </a:xfrm>
                    <a:prstGeom prst="rect">
                      <a:avLst/>
                    </a:prstGeom>
                    <a:noFill/>
                    <a:ln>
                      <a:noFill/>
                    </a:ln>
                  </pic:spPr>
                </pic:pic>
              </a:graphicData>
            </a:graphic>
          </wp:inline>
        </w:drawing>
      </w:r>
      <w:r w:rsidRPr="00B916EC">
        <w:t xml:space="preserve"> </w:t>
      </w:r>
      <w:r>
        <w:t>on</w:t>
      </w:r>
      <w:r w:rsidRPr="00B916EC">
        <w:t xml:space="preserve"> </w:t>
      </w:r>
      <w:r>
        <w:t xml:space="preserve">active </w:t>
      </w:r>
      <w:r>
        <w:rPr>
          <w:lang w:val="en-US"/>
        </w:rPr>
        <w:t xml:space="preserve">UL BWP </w:t>
      </w:r>
      <w:r w:rsidR="00ED3701">
        <w:rPr>
          <w:iCs/>
          <w:noProof/>
          <w:position w:val="-6"/>
        </w:rPr>
        <w:drawing>
          <wp:inline distT="0" distB="0" distL="0" distR="0" wp14:anchorId="730BBB6B" wp14:editId="7462CABC">
            <wp:extent cx="180975" cy="180975"/>
            <wp:effectExtent l="0" t="0" r="0" b="0"/>
            <wp:docPr id="80"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iCs/>
          <w:lang w:val="en-US"/>
        </w:rPr>
        <w:t xml:space="preserve"> </w:t>
      </w:r>
      <w:r>
        <w:rPr>
          <w:lang w:val="en-US"/>
        </w:rPr>
        <w:t>of</w:t>
      </w:r>
      <w:r w:rsidRPr="00B916EC">
        <w:rPr>
          <w:lang w:val="en-US"/>
        </w:rPr>
        <w:t xml:space="preserve"> </w:t>
      </w:r>
      <w:r w:rsidRPr="00B916EC">
        <w:t xml:space="preserve">carrier </w:t>
      </w:r>
      <w:r w:rsidR="00ED3701">
        <w:rPr>
          <w:iCs/>
          <w:noProof/>
          <w:position w:val="-10"/>
        </w:rPr>
        <w:drawing>
          <wp:inline distT="0" distB="0" distL="0" distR="0" wp14:anchorId="2421EAE3" wp14:editId="570A1660">
            <wp:extent cx="95250" cy="180975"/>
            <wp:effectExtent l="0" t="0" r="0" b="0"/>
            <wp:docPr id="81"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5250" cy="180975"/>
                    </a:xfrm>
                    <a:prstGeom prst="rect">
                      <a:avLst/>
                    </a:prstGeom>
                    <a:noFill/>
                    <a:ln>
                      <a:noFill/>
                    </a:ln>
                  </pic:spPr>
                </pic:pic>
              </a:graphicData>
            </a:graphic>
          </wp:inline>
        </w:drawing>
      </w:r>
      <w:r>
        <w:rPr>
          <w:iCs/>
        </w:rPr>
        <w:t xml:space="preserve"> of </w:t>
      </w:r>
      <w:r w:rsidRPr="00B916EC">
        <w:t xml:space="preserve">serving cell </w:t>
      </w:r>
      <w:r w:rsidR="00ED3701">
        <w:rPr>
          <w:iCs/>
          <w:noProof/>
          <w:position w:val="-6"/>
        </w:rPr>
        <w:drawing>
          <wp:inline distT="0" distB="0" distL="0" distR="0" wp14:anchorId="443CD969" wp14:editId="2D10FE57">
            <wp:extent cx="114300" cy="161925"/>
            <wp:effectExtent l="0" t="0" r="0" b="0"/>
            <wp:docPr id="82"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4300" cy="161925"/>
                    </a:xfrm>
                    <a:prstGeom prst="rect">
                      <a:avLst/>
                    </a:prstGeom>
                    <a:noFill/>
                    <a:ln>
                      <a:noFill/>
                    </a:ln>
                  </pic:spPr>
                </pic:pic>
              </a:graphicData>
            </a:graphic>
          </wp:inline>
        </w:drawing>
      </w:r>
      <w:r w:rsidRPr="00B916EC">
        <w:t xml:space="preserve">. A </w:t>
      </w:r>
      <w:r>
        <w:t xml:space="preserve">Type 3 </w:t>
      </w:r>
      <w:r w:rsidRPr="00B916EC">
        <w:t>UE power headroom</w:t>
      </w:r>
      <w:r w:rsidR="00ED3701">
        <w:rPr>
          <w:noProof/>
          <w:position w:val="-4"/>
        </w:rPr>
        <w:drawing>
          <wp:inline distT="0" distB="0" distL="0" distR="0" wp14:anchorId="6D6D6DE7" wp14:editId="77B1463B">
            <wp:extent cx="238125" cy="142875"/>
            <wp:effectExtent l="0" t="0" r="0" b="0"/>
            <wp:docPr id="83"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8125" cy="142875"/>
                    </a:xfrm>
                    <a:prstGeom prst="rect">
                      <a:avLst/>
                    </a:prstGeom>
                    <a:noFill/>
                    <a:ln>
                      <a:noFill/>
                    </a:ln>
                  </pic:spPr>
                </pic:pic>
              </a:graphicData>
            </a:graphic>
          </wp:inline>
        </w:drawing>
      </w:r>
      <w:r>
        <w:t xml:space="preserve"> that is valid for SRS</w:t>
      </w:r>
      <w:r w:rsidRPr="00B916EC">
        <w:t xml:space="preserve"> transmission </w:t>
      </w:r>
      <w:r>
        <w:t>occasion</w:t>
      </w:r>
      <w:r w:rsidRPr="00B916EC">
        <w:t xml:space="preserve"> </w:t>
      </w:r>
      <w:r w:rsidR="00ED3701">
        <w:rPr>
          <w:noProof/>
          <w:position w:val="-6"/>
        </w:rPr>
        <w:drawing>
          <wp:inline distT="0" distB="0" distL="0" distR="0" wp14:anchorId="1A1E322D" wp14:editId="1A1BF6EA">
            <wp:extent cx="95250" cy="180975"/>
            <wp:effectExtent l="0" t="0" r="0" b="0"/>
            <wp:docPr id="84"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5250" cy="180975"/>
                    </a:xfrm>
                    <a:prstGeom prst="rect">
                      <a:avLst/>
                    </a:prstGeom>
                    <a:noFill/>
                    <a:ln>
                      <a:noFill/>
                    </a:ln>
                  </pic:spPr>
                </pic:pic>
              </a:graphicData>
            </a:graphic>
          </wp:inline>
        </w:drawing>
      </w:r>
      <w:r w:rsidRPr="00B916EC">
        <w:t xml:space="preserve"> </w:t>
      </w:r>
      <w:r>
        <w:t>on</w:t>
      </w:r>
      <w:r w:rsidRPr="00B916EC">
        <w:t xml:space="preserve"> </w:t>
      </w:r>
      <w:r>
        <w:t xml:space="preserve">active </w:t>
      </w:r>
      <w:r>
        <w:rPr>
          <w:lang w:val="en-US"/>
        </w:rPr>
        <w:t xml:space="preserve">UL BWP </w:t>
      </w:r>
      <w:r w:rsidR="00ED3701">
        <w:rPr>
          <w:iCs/>
          <w:noProof/>
          <w:position w:val="-6"/>
        </w:rPr>
        <w:drawing>
          <wp:inline distT="0" distB="0" distL="0" distR="0" wp14:anchorId="1377BA8C" wp14:editId="3C5454A5">
            <wp:extent cx="180975" cy="180975"/>
            <wp:effectExtent l="0" t="0" r="0" b="0"/>
            <wp:docPr id="85"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iCs/>
          <w:lang w:val="en-US"/>
        </w:rPr>
        <w:t xml:space="preserve"> </w:t>
      </w:r>
      <w:r>
        <w:rPr>
          <w:lang w:val="en-US"/>
        </w:rPr>
        <w:t>of</w:t>
      </w:r>
      <w:r w:rsidRPr="00B916EC">
        <w:rPr>
          <w:lang w:val="en-US"/>
        </w:rPr>
        <w:t xml:space="preserve"> </w:t>
      </w:r>
      <w:r w:rsidRPr="00B916EC">
        <w:t xml:space="preserve">carrier </w:t>
      </w:r>
      <w:r w:rsidR="00ED3701">
        <w:rPr>
          <w:iCs/>
          <w:noProof/>
          <w:position w:val="-10"/>
        </w:rPr>
        <w:drawing>
          <wp:inline distT="0" distB="0" distL="0" distR="0" wp14:anchorId="733C4A4C" wp14:editId="1EA9DB46">
            <wp:extent cx="95250" cy="180975"/>
            <wp:effectExtent l="0" t="0" r="0" b="0"/>
            <wp:docPr id="86"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5250" cy="180975"/>
                    </a:xfrm>
                    <a:prstGeom prst="rect">
                      <a:avLst/>
                    </a:prstGeom>
                    <a:noFill/>
                    <a:ln>
                      <a:noFill/>
                    </a:ln>
                  </pic:spPr>
                </pic:pic>
              </a:graphicData>
            </a:graphic>
          </wp:inline>
        </w:drawing>
      </w:r>
      <w:r>
        <w:rPr>
          <w:iCs/>
        </w:rPr>
        <w:t xml:space="preserve"> of</w:t>
      </w:r>
      <w:r w:rsidRPr="00B916EC">
        <w:t xml:space="preserve"> serving cell </w:t>
      </w:r>
      <w:r w:rsidR="00ED3701">
        <w:rPr>
          <w:iCs/>
          <w:noProof/>
          <w:position w:val="-6"/>
        </w:rPr>
        <w:drawing>
          <wp:inline distT="0" distB="0" distL="0" distR="0" wp14:anchorId="6AFB43B6" wp14:editId="3ABB6E2E">
            <wp:extent cx="114300" cy="161925"/>
            <wp:effectExtent l="0" t="0" r="0" b="0"/>
            <wp:docPr id="87"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4300" cy="161925"/>
                    </a:xfrm>
                    <a:prstGeom prst="rect">
                      <a:avLst/>
                    </a:prstGeom>
                    <a:noFill/>
                    <a:ln>
                      <a:noFill/>
                    </a:ln>
                  </pic:spPr>
                </pic:pic>
              </a:graphicData>
            </a:graphic>
          </wp:inline>
        </w:drawing>
      </w:r>
      <w:r w:rsidRPr="00B916EC">
        <w:t>.</w:t>
      </w:r>
      <w:r w:rsidRPr="003C4B3C">
        <w:t xml:space="preserve"> </w:t>
      </w:r>
    </w:p>
    <w:p w14:paraId="075D4AF3" w14:textId="5076AE4F" w:rsidR="00E9200F" w:rsidRPr="00557603" w:rsidRDefault="003C4B3C" w:rsidP="003C4B3C">
      <w:pPr>
        <w:rPr>
          <w:lang w:eastAsia="ko-KR"/>
        </w:rPr>
      </w:pPr>
      <w:r w:rsidRPr="00557603">
        <w:rPr>
          <w:lang w:eastAsia="ko-KR"/>
        </w:rPr>
        <w:t>A UE determines whether a power headroom report for an activated serving cell [11, TS</w:t>
      </w:r>
      <w:r w:rsidR="00890F22" w:rsidRPr="00557603">
        <w:rPr>
          <w:lang w:eastAsia="ko-KR"/>
        </w:rPr>
        <w:t xml:space="preserve"> </w:t>
      </w:r>
      <w:r w:rsidRPr="00557603">
        <w:rPr>
          <w:lang w:eastAsia="ko-KR"/>
        </w:rPr>
        <w:t xml:space="preserve">38.321] is based on an actual transmission or a reference format </w:t>
      </w:r>
      <w:r w:rsidR="00DB79F4" w:rsidRPr="00557603">
        <w:rPr>
          <w:lang w:eastAsia="ko-KR"/>
        </w:rPr>
        <w:t>based on</w:t>
      </w:r>
      <w:r w:rsidRPr="00557603">
        <w:rPr>
          <w:lang w:eastAsia="ko-KR"/>
        </w:rPr>
        <w:t xml:space="preserve"> the </w:t>
      </w:r>
      <w:r w:rsidR="00A33517" w:rsidRPr="00557603">
        <w:rPr>
          <w:lang w:eastAsia="ko-KR"/>
        </w:rPr>
        <w:t xml:space="preserve">higher layer signalling of configured grant </w:t>
      </w:r>
      <w:r w:rsidR="00892E40" w:rsidRPr="00557603">
        <w:rPr>
          <w:lang w:eastAsia="ko-KR"/>
        </w:rPr>
        <w:t xml:space="preserve">and periodic/semi-persistent sounding reference signal transmissions </w:t>
      </w:r>
      <w:r w:rsidR="00A33517" w:rsidRPr="00557603">
        <w:rPr>
          <w:lang w:eastAsia="ko-KR"/>
        </w:rPr>
        <w:t xml:space="preserve">and </w:t>
      </w:r>
      <w:r w:rsidRPr="00557603">
        <w:rPr>
          <w:lang w:eastAsia="ko-KR"/>
        </w:rPr>
        <w:t>downlink control information the UE received until and including the PDCCH monitoring occasion where the UE detects the first DCI format scheduling an initial transmission of a transport block since a power headroom report was triggered</w:t>
      </w:r>
      <w:r w:rsidR="00A33517" w:rsidRPr="00557603">
        <w:rPr>
          <w:lang w:eastAsia="ko-KR"/>
        </w:rPr>
        <w:t xml:space="preserve"> if the power headroom report is reported on a PUSCH triggered by the first DCI</w:t>
      </w:r>
      <w:r w:rsidR="006545FE">
        <w:rPr>
          <w:lang w:eastAsia="ko-KR"/>
        </w:rPr>
        <w:t xml:space="preserve"> format</w:t>
      </w:r>
      <w:r w:rsidR="00A33517" w:rsidRPr="00557603">
        <w:rPr>
          <w:lang w:eastAsia="ko-KR"/>
        </w:rPr>
        <w:t xml:space="preserve">. Otherwise, a UE determines whether a power headroom report is based on an actual transmission or a reference format based on the higher layer signalling of configured grant </w:t>
      </w:r>
      <w:r w:rsidR="00892E40" w:rsidRPr="00557603">
        <w:rPr>
          <w:lang w:eastAsia="ko-KR"/>
        </w:rPr>
        <w:t xml:space="preserve">and periodic/semi-persistent sounding reference signal transmissions </w:t>
      </w:r>
      <w:r w:rsidR="00A33517" w:rsidRPr="00557603">
        <w:rPr>
          <w:lang w:eastAsia="ko-KR"/>
        </w:rPr>
        <w:t xml:space="preserve">and downlink control information the UE received until the first uplink symbol of a configured PUSCH transmission minus </w:t>
      </w:r>
      <w:bookmarkStart w:id="287" w:name="OLE_LINK31"/>
      <w:r w:rsidR="00A33517" w:rsidRPr="00557603">
        <w:rPr>
          <w:i/>
          <w:lang w:val="en-AU"/>
        </w:rPr>
        <w:t>T</w:t>
      </w:r>
      <w:r w:rsidR="004B21ED" w:rsidRPr="00557603">
        <w:rPr>
          <w:i/>
          <w:lang w:val="en-AU"/>
        </w:rPr>
        <w:t>'</w:t>
      </w:r>
      <w:r w:rsidR="00A33517" w:rsidRPr="00557603">
        <w:rPr>
          <w:i/>
          <w:vertAlign w:val="subscript"/>
          <w:lang w:val="en-AU"/>
        </w:rPr>
        <w:t>proc,2</w:t>
      </w:r>
      <w:r w:rsidR="00A33517" w:rsidRPr="00557603">
        <w:rPr>
          <w:lang w:eastAsia="ko-KR"/>
        </w:rPr>
        <w:t>=</w:t>
      </w:r>
      <w:r w:rsidR="00A33517" w:rsidRPr="00557603">
        <w:rPr>
          <w:i/>
          <w:lang w:val="en-AU"/>
        </w:rPr>
        <w:t>T</w:t>
      </w:r>
      <w:r w:rsidR="00A33517" w:rsidRPr="00557603">
        <w:rPr>
          <w:i/>
          <w:vertAlign w:val="subscript"/>
          <w:lang w:val="en-AU"/>
        </w:rPr>
        <w:t>proc,2</w:t>
      </w:r>
      <w:bookmarkStart w:id="288" w:name="OLE_LINK5"/>
      <w:r w:rsidR="00A33517" w:rsidRPr="00557603">
        <w:rPr>
          <w:lang w:eastAsia="ko-KR"/>
        </w:rPr>
        <w:t xml:space="preserve"> where </w:t>
      </w:r>
      <w:r w:rsidR="00A33517" w:rsidRPr="00557603">
        <w:rPr>
          <w:i/>
          <w:lang w:val="en-AU"/>
        </w:rPr>
        <w:t>T</w:t>
      </w:r>
      <w:r w:rsidR="00A33517" w:rsidRPr="00557603">
        <w:rPr>
          <w:i/>
          <w:vertAlign w:val="subscript"/>
          <w:lang w:val="en-AU"/>
        </w:rPr>
        <w:t>proc,2</w:t>
      </w:r>
      <w:bookmarkEnd w:id="288"/>
      <w:r w:rsidR="00A33517" w:rsidRPr="00557603">
        <w:rPr>
          <w:i/>
          <w:vertAlign w:val="subscript"/>
          <w:lang w:val="en-AU"/>
        </w:rPr>
        <w:t xml:space="preserve"> </w:t>
      </w:r>
      <w:r w:rsidR="00A33517" w:rsidRPr="00557603">
        <w:rPr>
          <w:lang w:eastAsia="ko-KR"/>
        </w:rPr>
        <w:t>is determined</w:t>
      </w:r>
      <w:bookmarkEnd w:id="287"/>
      <w:r w:rsidR="00A33517" w:rsidRPr="00557603">
        <w:rPr>
          <w:lang w:eastAsia="ko-KR"/>
        </w:rPr>
        <w:t xml:space="preserve"> according to </w:t>
      </w:r>
      <w:r w:rsidR="00A33517" w:rsidRPr="00557603">
        <w:rPr>
          <w:rFonts w:hint="eastAsia"/>
          <w:lang w:eastAsia="zh-CN"/>
        </w:rPr>
        <w:t>[</w:t>
      </w:r>
      <w:r w:rsidR="00A33517" w:rsidRPr="00557603">
        <w:rPr>
          <w:lang w:eastAsia="zh-CN"/>
        </w:rPr>
        <w:t>6, TS 38.214</w:t>
      </w:r>
      <w:r w:rsidR="00A33517" w:rsidRPr="00557603">
        <w:rPr>
          <w:rFonts w:hint="eastAsia"/>
          <w:lang w:eastAsia="zh-CN"/>
        </w:rPr>
        <w:t>]</w:t>
      </w:r>
      <w:r w:rsidR="00A33517" w:rsidRPr="00557603">
        <w:rPr>
          <w:lang w:eastAsia="ko-KR"/>
        </w:rPr>
        <w:t xml:space="preserve"> assuming </w:t>
      </w:r>
      <w:r w:rsidR="00A33517" w:rsidRPr="00557603">
        <w:rPr>
          <w:i/>
          <w:lang w:val="en-AU"/>
        </w:rPr>
        <w:t>d</w:t>
      </w:r>
      <w:r w:rsidR="00A33517" w:rsidRPr="00557603">
        <w:rPr>
          <w:i/>
          <w:vertAlign w:val="subscript"/>
          <w:lang w:val="en-AU"/>
        </w:rPr>
        <w:t xml:space="preserve">2,1 </w:t>
      </w:r>
      <w:r w:rsidR="00A33517" w:rsidRPr="00557603">
        <w:rPr>
          <w:lang w:val="en-AU"/>
        </w:rPr>
        <w:t>= 1</w:t>
      </w:r>
      <w:r w:rsidR="00A33517" w:rsidRPr="00557603">
        <w:rPr>
          <w:lang w:eastAsia="ko-KR"/>
        </w:rPr>
        <w:t xml:space="preserve">, </w:t>
      </w:r>
      <w:r w:rsidR="00A33517" w:rsidRPr="00557603">
        <w:rPr>
          <w:i/>
          <w:lang w:val="en-AU"/>
        </w:rPr>
        <w:t>d</w:t>
      </w:r>
      <w:r w:rsidR="00A33517" w:rsidRPr="00557603">
        <w:rPr>
          <w:i/>
          <w:vertAlign w:val="subscript"/>
          <w:lang w:val="en-AU"/>
        </w:rPr>
        <w:t>2,2</w:t>
      </w:r>
      <w:r w:rsidR="00A33517" w:rsidRPr="00557603">
        <w:rPr>
          <w:lang w:val="en-AU"/>
        </w:rPr>
        <w:t>=0, and</w:t>
      </w:r>
      <w:r w:rsidR="00A33517" w:rsidRPr="00557603">
        <w:rPr>
          <w:lang w:eastAsia="ko-KR"/>
        </w:rPr>
        <w:t xml:space="preserve"> with </w:t>
      </w:r>
      <w:bookmarkStart w:id="289" w:name="OLE_LINK29"/>
      <w:r w:rsidR="00A33517" w:rsidRPr="00557603">
        <w:rPr>
          <w:i/>
          <w:lang w:val="en-AU"/>
        </w:rPr>
        <w:t>µ</w:t>
      </w:r>
      <w:r w:rsidR="00A33517" w:rsidRPr="00557603">
        <w:rPr>
          <w:i/>
          <w:vertAlign w:val="subscript"/>
          <w:lang w:val="en-AU"/>
        </w:rPr>
        <w:t>DL</w:t>
      </w:r>
      <w:bookmarkEnd w:id="289"/>
      <w:r w:rsidR="00A33517" w:rsidRPr="00557603">
        <w:rPr>
          <w:lang w:eastAsia="ko-KR"/>
        </w:rPr>
        <w:t xml:space="preserve"> corresponding to the subcarrier spacing of the active downlink BWP of </w:t>
      </w:r>
      <w:bookmarkStart w:id="290" w:name="OLE_LINK30"/>
      <w:r w:rsidR="00A33517" w:rsidRPr="00557603">
        <w:rPr>
          <w:lang w:eastAsia="ko-KR"/>
        </w:rPr>
        <w:t>the scheduling cell for a configured grant</w:t>
      </w:r>
      <w:bookmarkEnd w:id="290"/>
      <w:r w:rsidR="00A33517" w:rsidRPr="00557603">
        <w:rPr>
          <w:lang w:eastAsia="ko-KR"/>
        </w:rPr>
        <w:t xml:space="preserve"> if the power headroom report is reported on the PUSCH using the configured grant</w:t>
      </w:r>
      <w:r w:rsidRPr="00557603">
        <w:rPr>
          <w:lang w:eastAsia="ko-KR"/>
        </w:rPr>
        <w:t>.</w:t>
      </w:r>
    </w:p>
    <w:p w14:paraId="2110F1D2" w14:textId="77777777" w:rsidR="00890F22" w:rsidRDefault="00890F22" w:rsidP="00890F22">
      <w:pPr>
        <w:pStyle w:val="ListParagraph"/>
        <w:spacing w:after="180" w:line="240" w:lineRule="auto"/>
        <w:ind w:left="0"/>
        <w:jc w:val="both"/>
        <w:rPr>
          <w:rFonts w:ascii="Times New Roman" w:hAnsi="Times New Roman"/>
          <w:sz w:val="20"/>
          <w:szCs w:val="20"/>
        </w:rPr>
      </w:pPr>
      <w:r w:rsidRPr="0093391D">
        <w:rPr>
          <w:rFonts w:ascii="Times New Roman" w:hAnsi="Times New Roman"/>
          <w:sz w:val="20"/>
          <w:szCs w:val="20"/>
        </w:rPr>
        <w:t>I</w:t>
      </w:r>
      <w:r w:rsidRPr="0093391D">
        <w:rPr>
          <w:rFonts w:ascii="Times New Roman" w:hAnsi="Times New Roman" w:hint="eastAsia"/>
          <w:sz w:val="20"/>
          <w:szCs w:val="20"/>
        </w:rPr>
        <w:t xml:space="preserve">f a UE </w:t>
      </w:r>
    </w:p>
    <w:p w14:paraId="2219B8D8" w14:textId="77777777" w:rsidR="00890F22" w:rsidRDefault="00890F22" w:rsidP="00890F22">
      <w:pPr>
        <w:pStyle w:val="B1"/>
      </w:pPr>
      <w:r>
        <w:t>-</w:t>
      </w:r>
      <w:r>
        <w:tab/>
      </w:r>
      <w:r w:rsidRPr="0093391D">
        <w:rPr>
          <w:rFonts w:hint="eastAsia"/>
        </w:rPr>
        <w:t>is configured with two UL carriers for a serving cell</w:t>
      </w:r>
      <w:r>
        <w:rPr>
          <w:lang w:val="en-US"/>
        </w:rPr>
        <w:t>,</w:t>
      </w:r>
      <w:r w:rsidRPr="0093391D">
        <w:rPr>
          <w:rFonts w:hint="eastAsia"/>
        </w:rPr>
        <w:t xml:space="preserve"> </w:t>
      </w:r>
      <w:r>
        <w:t>and</w:t>
      </w:r>
      <w:r w:rsidR="003915B7">
        <w:t xml:space="preserve"> </w:t>
      </w:r>
    </w:p>
    <w:p w14:paraId="4FD4E8BF" w14:textId="77777777" w:rsidR="00890F22" w:rsidRDefault="00890F22" w:rsidP="00890F22">
      <w:pPr>
        <w:pStyle w:val="B1"/>
        <w:rPr>
          <w:lang w:val="en-US"/>
        </w:rPr>
      </w:pPr>
      <w:r>
        <w:t>-</w:t>
      </w:r>
      <w:r>
        <w:tab/>
      </w:r>
      <w:r>
        <w:rPr>
          <w:rFonts w:hint="eastAsia"/>
        </w:rPr>
        <w:t xml:space="preserve">determines </w:t>
      </w:r>
      <w:r>
        <w:rPr>
          <w:lang w:val="en-US"/>
        </w:rPr>
        <w:t xml:space="preserve">a </w:t>
      </w:r>
      <w:r w:rsidRPr="0093391D">
        <w:rPr>
          <w:rFonts w:hint="eastAsia"/>
        </w:rPr>
        <w:t xml:space="preserve">Type 1 power headroom report </w:t>
      </w:r>
      <w:r>
        <w:rPr>
          <w:lang w:val="en-US"/>
        </w:rPr>
        <w:t xml:space="preserve">and a </w:t>
      </w:r>
      <w:r>
        <w:rPr>
          <w:rFonts w:hint="eastAsia"/>
        </w:rPr>
        <w:t>Type 3</w:t>
      </w:r>
      <w:r w:rsidRPr="0093391D">
        <w:rPr>
          <w:rFonts w:hint="eastAsia"/>
        </w:rPr>
        <w:t xml:space="preserve"> power headroom report</w:t>
      </w:r>
      <w:r>
        <w:rPr>
          <w:lang w:val="en-US"/>
        </w:rPr>
        <w:t xml:space="preserve"> for the serving cell </w:t>
      </w:r>
    </w:p>
    <w:p w14:paraId="35F1BCA8" w14:textId="77777777" w:rsidR="00890F22" w:rsidRDefault="00890F22" w:rsidP="003A5BF8">
      <w:pPr>
        <w:rPr>
          <w:lang w:val="en-US"/>
        </w:rPr>
      </w:pPr>
      <w:r>
        <w:rPr>
          <w:lang w:val="en-US"/>
        </w:rPr>
        <w:t>the UE</w:t>
      </w:r>
    </w:p>
    <w:p w14:paraId="15DF47A2" w14:textId="77777777" w:rsidR="00890F22" w:rsidRDefault="00890F22" w:rsidP="00890F22">
      <w:pPr>
        <w:pStyle w:val="B1"/>
        <w:rPr>
          <w:lang w:val="en-US" w:eastAsia="ja-JP"/>
        </w:rPr>
      </w:pPr>
      <w:r>
        <w:rPr>
          <w:lang w:val="en-US" w:eastAsia="ja-JP"/>
        </w:rPr>
        <w:t>-</w:t>
      </w:r>
      <w:r>
        <w:rPr>
          <w:lang w:val="en-US" w:eastAsia="ja-JP"/>
        </w:rPr>
        <w:tab/>
        <w:t>provides the Type 1 power headroom report if both the Type 1 and Type 3 power headroom reports are based on respective actual transmissions or on respective reference transmissions</w:t>
      </w:r>
    </w:p>
    <w:p w14:paraId="31CBDA15" w14:textId="77777777" w:rsidR="00890F22" w:rsidRPr="005446E5" w:rsidRDefault="00890F22" w:rsidP="00890F22">
      <w:pPr>
        <w:pStyle w:val="B1"/>
        <w:rPr>
          <w:lang w:val="en-US" w:eastAsia="ja-JP"/>
        </w:rPr>
      </w:pPr>
      <w:r>
        <w:rPr>
          <w:lang w:val="en-US" w:eastAsia="ja-JP"/>
        </w:rPr>
        <w:t>-</w:t>
      </w:r>
      <w:r>
        <w:rPr>
          <w:lang w:val="en-US" w:eastAsia="ja-JP"/>
        </w:rPr>
        <w:tab/>
        <w:t>provides the power headroom report that is based on a respective actual transmission if either the Type 1 report or the Type 3 report is based on a respective reference transmission</w:t>
      </w:r>
    </w:p>
    <w:p w14:paraId="747A355C" w14:textId="1EEAF52B" w:rsidR="00890F22" w:rsidRPr="00B916EC" w:rsidRDefault="00890F22" w:rsidP="003C4B3C">
      <w:r w:rsidRPr="006D0784">
        <w:t>If a</w:t>
      </w:r>
      <w:r w:rsidRPr="00FC53F7">
        <w:t xml:space="preserve"> UE is configured with a SCG and if </w:t>
      </w:r>
      <w:r w:rsidRPr="00FC53F7">
        <w:rPr>
          <w:i/>
        </w:rPr>
        <w:t>phr-ModeOtherCG</w:t>
      </w:r>
      <w:r w:rsidRPr="00F13F0C">
        <w:t xml:space="preserve"> for a CG indicates </w:t>
      </w:r>
      <w:r w:rsidR="00E7283E">
        <w:t>'</w:t>
      </w:r>
      <w:r w:rsidRPr="00F13F0C">
        <w:t>virtual</w:t>
      </w:r>
      <w:r w:rsidR="00E7283E">
        <w:t>'</w:t>
      </w:r>
      <w:r w:rsidRPr="00F13F0C">
        <w:t xml:space="preserve"> then</w:t>
      </w:r>
      <w:r w:rsidRPr="00FA0CBB">
        <w:t xml:space="preserve">, for power headroom reports transmitted on the CG, the UE computes </w:t>
      </w:r>
      <w:r w:rsidRPr="00FA0CBB">
        <w:rPr>
          <w:i/>
        </w:rPr>
        <w:t>PH</w:t>
      </w:r>
      <w:r w:rsidRPr="00FA0CBB">
        <w:t xml:space="preserve"> assuming that the UE does not transmit PUSCH/PUCCH on any serving cell of the other CG.</w:t>
      </w:r>
      <w:r w:rsidR="00234FA4">
        <w:t xml:space="preserve"> For NR-DC when both the MCG and the SCG operate either</w:t>
      </w:r>
      <w:r w:rsidR="00234FA4" w:rsidRPr="00B916EC">
        <w:t xml:space="preserve"> </w:t>
      </w:r>
      <w:r w:rsidR="00234FA4">
        <w:rPr>
          <w:lang w:val="en-US"/>
        </w:rPr>
        <w:t>in FR1 or in FR2</w:t>
      </w:r>
      <w:r w:rsidR="00234FA4">
        <w:t xml:space="preserve"> and</w:t>
      </w:r>
      <w:r w:rsidR="00234FA4" w:rsidRPr="00FA0CBB">
        <w:t xml:space="preserve"> for </w:t>
      </w:r>
      <w:r w:rsidR="00234FA4">
        <w:t xml:space="preserve">a </w:t>
      </w:r>
      <w:r w:rsidR="00234FA4" w:rsidRPr="00FA0CBB">
        <w:t xml:space="preserve">power headroom report transmitted on </w:t>
      </w:r>
      <w:r w:rsidR="00234FA4">
        <w:t>the M</w:t>
      </w:r>
      <w:r w:rsidR="00234FA4" w:rsidRPr="00FA0CBB">
        <w:t>CG</w:t>
      </w:r>
      <w:r w:rsidR="00234FA4">
        <w:t xml:space="preserve"> or the SCG</w:t>
      </w:r>
      <w:r w:rsidR="00234FA4" w:rsidRPr="00FA0CBB">
        <w:t xml:space="preserve">, the UE computes </w:t>
      </w:r>
      <w:r w:rsidR="00234FA4" w:rsidRPr="00FA0CBB">
        <w:rPr>
          <w:i/>
        </w:rPr>
        <w:t>PH</w:t>
      </w:r>
      <w:r w:rsidR="00234FA4">
        <w:t xml:space="preserve"> </w:t>
      </w:r>
      <w:r w:rsidR="00234FA4" w:rsidRPr="00FA0CBB">
        <w:t xml:space="preserve">assuming that the UE does not transmit PUSCH/PUCCH on any serving cell of the </w:t>
      </w:r>
      <w:r w:rsidR="00234FA4">
        <w:t>SCG or the MCG, respectively.</w:t>
      </w:r>
    </w:p>
    <w:p w14:paraId="0F5E138B" w14:textId="77777777" w:rsidR="00D60B07" w:rsidRPr="00B916EC" w:rsidRDefault="00D60B07" w:rsidP="00D60B07">
      <w:r w:rsidRPr="00B916EC">
        <w:t xml:space="preserve">If the UE is configured with a SCG, </w:t>
      </w:r>
    </w:p>
    <w:p w14:paraId="27207E8F" w14:textId="22D71782" w:rsidR="00D60B07" w:rsidRPr="00B916EC" w:rsidRDefault="006C377F" w:rsidP="006C377F">
      <w:pPr>
        <w:pStyle w:val="B1"/>
        <w:rPr>
          <w:lang w:val="en-US"/>
        </w:rPr>
      </w:pPr>
      <w:r>
        <w:t>-</w:t>
      </w:r>
      <w:r>
        <w:tab/>
      </w:r>
      <w:r w:rsidR="00D60B07" w:rsidRPr="00B916EC">
        <w:t xml:space="preserve">For computing power headroom for cells belonging to MCG, the term </w:t>
      </w:r>
      <w:r w:rsidR="002A01CD">
        <w:t>'</w:t>
      </w:r>
      <w:r w:rsidR="00D60B07" w:rsidRPr="00B916EC">
        <w:t>serving cell</w:t>
      </w:r>
      <w:r w:rsidR="002A01CD">
        <w:t>'</w:t>
      </w:r>
      <w:r w:rsidR="00D60B07" w:rsidRPr="00B916EC">
        <w:t xml:space="preserve"> in this </w:t>
      </w:r>
      <w:r w:rsidR="00EE236C">
        <w:t>clause</w:t>
      </w:r>
      <w:r w:rsidR="00D60B07" w:rsidRPr="00B916EC">
        <w:t xml:space="preserve"> refers to serving cell belonging to the MCG.</w:t>
      </w:r>
    </w:p>
    <w:p w14:paraId="24A3FD3B" w14:textId="04DCA626" w:rsidR="00D60B07" w:rsidRPr="00B916EC" w:rsidRDefault="006C377F" w:rsidP="006C377F">
      <w:pPr>
        <w:pStyle w:val="B1"/>
      </w:pPr>
      <w:r>
        <w:t>-</w:t>
      </w:r>
      <w:r>
        <w:tab/>
      </w:r>
      <w:r w:rsidR="00D60B07" w:rsidRPr="00B916EC">
        <w:t xml:space="preserve">For computing power headroom for cells belonging to SCG, the term </w:t>
      </w:r>
      <w:r w:rsidR="002A01CD">
        <w:t>'</w:t>
      </w:r>
      <w:r w:rsidR="00D60B07" w:rsidRPr="00B916EC">
        <w:t>serving cell</w:t>
      </w:r>
      <w:r w:rsidR="002A01CD">
        <w:t>'</w:t>
      </w:r>
      <w:r w:rsidR="00D60B07" w:rsidRPr="00B916EC">
        <w:t xml:space="preserve"> in this </w:t>
      </w:r>
      <w:r w:rsidR="00EE236C">
        <w:t>clause</w:t>
      </w:r>
      <w:r w:rsidR="00D60B07" w:rsidRPr="00B916EC">
        <w:t xml:space="preserve"> refers to serving cell belonging to the SCG. The term </w:t>
      </w:r>
      <w:r w:rsidR="002A01CD">
        <w:t>'</w:t>
      </w:r>
      <w:r w:rsidR="00D60B07" w:rsidRPr="00B916EC">
        <w:t>primary cell</w:t>
      </w:r>
      <w:r w:rsidR="002A01CD">
        <w:t>'</w:t>
      </w:r>
      <w:r w:rsidR="00D60B07" w:rsidRPr="00B916EC">
        <w:t xml:space="preserve"> in this </w:t>
      </w:r>
      <w:r w:rsidR="00EE236C">
        <w:t>clause</w:t>
      </w:r>
      <w:r w:rsidR="00D60B07" w:rsidRPr="00B916EC">
        <w:t xml:space="preserve"> refers to the PSCell of the SCG.</w:t>
      </w:r>
    </w:p>
    <w:p w14:paraId="42368CA3" w14:textId="77777777" w:rsidR="00D60B07" w:rsidRPr="00B916EC" w:rsidRDefault="00D60B07" w:rsidP="006C377F">
      <w:r w:rsidRPr="00B916EC">
        <w:t xml:space="preserve">If the UE is configured with a </w:t>
      </w:r>
      <w:r w:rsidRPr="00B916EC">
        <w:rPr>
          <w:rFonts w:hint="eastAsia"/>
          <w:lang w:eastAsia="zh-CN"/>
        </w:rPr>
        <w:t>PUCCH</w:t>
      </w:r>
      <w:r w:rsidRPr="00B916EC">
        <w:rPr>
          <w:lang w:eastAsia="zh-CN"/>
        </w:rPr>
        <w:t>-</w:t>
      </w:r>
      <w:r w:rsidRPr="00B916EC">
        <w:rPr>
          <w:rFonts w:hint="eastAsia"/>
          <w:lang w:eastAsia="zh-CN"/>
        </w:rPr>
        <w:t>SCell</w:t>
      </w:r>
      <w:r w:rsidRPr="00B916EC">
        <w:t xml:space="preserve">, </w:t>
      </w:r>
    </w:p>
    <w:p w14:paraId="41BE18A4" w14:textId="3CD8AB1B" w:rsidR="00D60B07" w:rsidRPr="00B916EC" w:rsidRDefault="006C377F" w:rsidP="006C377F">
      <w:pPr>
        <w:pStyle w:val="B1"/>
        <w:rPr>
          <w:lang w:val="en-US"/>
        </w:rPr>
      </w:pPr>
      <w:r>
        <w:t>-</w:t>
      </w:r>
      <w:r>
        <w:tab/>
      </w:r>
      <w:r w:rsidR="00D60B07" w:rsidRPr="00B916EC">
        <w:t xml:space="preserve">For computing power headroom for cells belonging to </w:t>
      </w:r>
      <w:r w:rsidR="00D60B07" w:rsidRPr="00B916EC">
        <w:rPr>
          <w:rFonts w:hint="eastAsia"/>
          <w:lang w:eastAsia="zh-CN"/>
        </w:rPr>
        <w:t>primary PUCCH group</w:t>
      </w:r>
      <w:r w:rsidR="00D60B07" w:rsidRPr="00B916EC">
        <w:t xml:space="preserve">, the term </w:t>
      </w:r>
      <w:r w:rsidR="002A01CD">
        <w:t>'</w:t>
      </w:r>
      <w:r w:rsidR="00D60B07" w:rsidRPr="00B916EC">
        <w:t>serving cell</w:t>
      </w:r>
      <w:r w:rsidR="002A01CD">
        <w:t>'</w:t>
      </w:r>
      <w:r w:rsidR="00D60B07" w:rsidRPr="00B916EC">
        <w:t xml:space="preserve"> in this </w:t>
      </w:r>
      <w:r w:rsidR="00EE236C">
        <w:t>clause</w:t>
      </w:r>
      <w:r w:rsidR="00D60B07" w:rsidRPr="00B916EC">
        <w:t xml:space="preserve"> refers to serving cell belonging to the </w:t>
      </w:r>
      <w:r w:rsidR="00D60B07" w:rsidRPr="00B916EC">
        <w:rPr>
          <w:rFonts w:hint="eastAsia"/>
          <w:lang w:eastAsia="zh-CN"/>
        </w:rPr>
        <w:t>primary PUCCH group</w:t>
      </w:r>
      <w:r w:rsidR="00D60B07" w:rsidRPr="00B916EC">
        <w:t>.</w:t>
      </w:r>
    </w:p>
    <w:p w14:paraId="34C413BC" w14:textId="739014A5" w:rsidR="00D60B07" w:rsidRDefault="006C377F" w:rsidP="006C377F">
      <w:pPr>
        <w:pStyle w:val="B1"/>
      </w:pPr>
      <w:r>
        <w:t>-</w:t>
      </w:r>
      <w:r>
        <w:tab/>
      </w:r>
      <w:r w:rsidR="00D60B07" w:rsidRPr="00B916EC">
        <w:t xml:space="preserve">For computing power headroom for cells belonging to </w:t>
      </w:r>
      <w:r w:rsidR="00D60B07" w:rsidRPr="00B916EC">
        <w:rPr>
          <w:rFonts w:hint="eastAsia"/>
          <w:lang w:eastAsia="zh-CN"/>
        </w:rPr>
        <w:t>secondary PUCCH group</w:t>
      </w:r>
      <w:r w:rsidR="00D60B07" w:rsidRPr="00B916EC">
        <w:t xml:space="preserve">, the term </w:t>
      </w:r>
      <w:r w:rsidR="002A01CD">
        <w:t>'</w:t>
      </w:r>
      <w:r w:rsidR="00D60B07" w:rsidRPr="00B916EC">
        <w:t>serving cell</w:t>
      </w:r>
      <w:r w:rsidR="002A01CD">
        <w:t>'</w:t>
      </w:r>
      <w:r w:rsidR="00D60B07" w:rsidRPr="00B916EC">
        <w:t xml:space="preserve"> in this </w:t>
      </w:r>
      <w:r w:rsidR="00EE236C">
        <w:t>clause</w:t>
      </w:r>
      <w:r w:rsidR="00D60B07" w:rsidRPr="00B916EC">
        <w:t xml:space="preserve"> refers to serving cell belonging to the </w:t>
      </w:r>
      <w:r w:rsidR="00D60B07" w:rsidRPr="00B916EC">
        <w:rPr>
          <w:rFonts w:hint="eastAsia"/>
          <w:lang w:eastAsia="zh-CN"/>
        </w:rPr>
        <w:t>secondary PUCCH group</w:t>
      </w:r>
      <w:r w:rsidR="00D60B07" w:rsidRPr="00B916EC">
        <w:t xml:space="preserve">. The term </w:t>
      </w:r>
      <w:r w:rsidR="002A01CD">
        <w:t>'</w:t>
      </w:r>
      <w:r w:rsidR="00D60B07" w:rsidRPr="00B916EC">
        <w:t>primary cell</w:t>
      </w:r>
      <w:r w:rsidR="002A01CD">
        <w:t>'</w:t>
      </w:r>
      <w:r w:rsidR="00D60B07" w:rsidRPr="00B916EC">
        <w:t xml:space="preserve"> in this </w:t>
      </w:r>
      <w:r w:rsidR="00EE236C">
        <w:t>clause</w:t>
      </w:r>
      <w:r w:rsidR="00D60B07" w:rsidRPr="00B916EC">
        <w:t xml:space="preserve"> refers to the </w:t>
      </w:r>
      <w:r w:rsidR="00D60B07" w:rsidRPr="00B916EC">
        <w:rPr>
          <w:rFonts w:hint="eastAsia"/>
          <w:lang w:eastAsia="zh-CN"/>
        </w:rPr>
        <w:t>PUCCH</w:t>
      </w:r>
      <w:r w:rsidR="00D60B07" w:rsidRPr="00B916EC">
        <w:rPr>
          <w:lang w:eastAsia="zh-CN"/>
        </w:rPr>
        <w:t>-</w:t>
      </w:r>
      <w:r w:rsidR="00D60B07" w:rsidRPr="00B916EC">
        <w:rPr>
          <w:rFonts w:hint="eastAsia"/>
          <w:lang w:eastAsia="zh-CN"/>
        </w:rPr>
        <w:t>SCell</w:t>
      </w:r>
      <w:r w:rsidR="00D60B07" w:rsidRPr="00B916EC">
        <w:t xml:space="preserve"> of the </w:t>
      </w:r>
      <w:r w:rsidR="00D60B07" w:rsidRPr="00B916EC">
        <w:rPr>
          <w:rFonts w:hint="eastAsia"/>
          <w:lang w:eastAsia="zh-CN"/>
        </w:rPr>
        <w:t>secondary PUCCH group</w:t>
      </w:r>
      <w:r w:rsidR="00D60B07" w:rsidRPr="00B916EC">
        <w:t>.</w:t>
      </w:r>
    </w:p>
    <w:p w14:paraId="6135EA10" w14:textId="77777777" w:rsidR="00DE66FC" w:rsidRDefault="00EB2C1A" w:rsidP="00557603">
      <w:pPr>
        <w:rPr>
          <w:lang w:val="en-US" w:eastAsia="ja-JP"/>
        </w:rPr>
      </w:pPr>
      <w:r w:rsidRPr="008E16E0">
        <w:rPr>
          <w:lang w:eastAsia="ja-JP"/>
        </w:rPr>
        <w:lastRenderedPageBreak/>
        <w:t>For a UE configured with EN-DC/NE-DC</w:t>
      </w:r>
      <w:r>
        <w:rPr>
          <w:lang w:eastAsia="ja-JP"/>
        </w:rPr>
        <w:t xml:space="preserve"> and capable of dynamic power sharing,</w:t>
      </w:r>
      <w:r>
        <w:rPr>
          <w:lang w:val="en-US" w:eastAsia="ja-JP"/>
        </w:rPr>
        <w:t xml:space="preserve"> if</w:t>
      </w:r>
      <w:r w:rsidRPr="00D81CFB">
        <w:t xml:space="preserve"> </w:t>
      </w:r>
      <w:r>
        <w:rPr>
          <w:lang w:val="en-US" w:eastAsia="ja-JP"/>
        </w:rPr>
        <w:t xml:space="preserve">E-UTRA Dual Connectivity PHR </w:t>
      </w:r>
      <w:r>
        <w:rPr>
          <w:rFonts w:hint="eastAsia"/>
          <w:lang w:eastAsia="zh-CN"/>
        </w:rPr>
        <w:t>[1</w:t>
      </w:r>
      <w:r>
        <w:rPr>
          <w:lang w:eastAsia="zh-CN"/>
        </w:rPr>
        <w:t>4</w:t>
      </w:r>
      <w:r>
        <w:rPr>
          <w:rFonts w:hint="eastAsia"/>
          <w:lang w:eastAsia="zh-CN"/>
        </w:rPr>
        <w:t>, TS</w:t>
      </w:r>
      <w:r>
        <w:rPr>
          <w:lang w:eastAsia="zh-CN"/>
        </w:rPr>
        <w:t xml:space="preserve"> </w:t>
      </w:r>
      <w:r>
        <w:rPr>
          <w:rFonts w:hint="eastAsia"/>
          <w:lang w:eastAsia="zh-CN"/>
        </w:rPr>
        <w:t>3</w:t>
      </w:r>
      <w:r>
        <w:rPr>
          <w:lang w:eastAsia="zh-CN"/>
        </w:rPr>
        <w:t>6</w:t>
      </w:r>
      <w:r>
        <w:rPr>
          <w:rFonts w:hint="eastAsia"/>
          <w:lang w:eastAsia="zh-CN"/>
        </w:rPr>
        <w:t>.3</w:t>
      </w:r>
      <w:r>
        <w:rPr>
          <w:lang w:eastAsia="zh-CN"/>
        </w:rPr>
        <w:t>21</w:t>
      </w:r>
      <w:r>
        <w:rPr>
          <w:rFonts w:hint="eastAsia"/>
          <w:lang w:eastAsia="zh-CN"/>
        </w:rPr>
        <w:t>]</w:t>
      </w:r>
      <w:r>
        <w:rPr>
          <w:lang w:eastAsia="zh-CN"/>
        </w:rPr>
        <w:t xml:space="preserve"> is triggered</w:t>
      </w:r>
      <w:r>
        <w:rPr>
          <w:lang w:val="en-US" w:eastAsia="ja-JP"/>
        </w:rPr>
        <w:t xml:space="preserve"> and</w:t>
      </w:r>
      <w:r w:rsidR="00DE66FC">
        <w:rPr>
          <w:lang w:val="en-US" w:eastAsia="ja-JP"/>
        </w:rPr>
        <w:t>,</w:t>
      </w:r>
      <w:r>
        <w:rPr>
          <w:lang w:val="en-US" w:eastAsia="ja-JP"/>
        </w:rPr>
        <w:t xml:space="preserve"> </w:t>
      </w:r>
    </w:p>
    <w:p w14:paraId="6C614EB0" w14:textId="77777777" w:rsidR="00DE66FC" w:rsidRPr="000600E8" w:rsidRDefault="00DE66FC" w:rsidP="00DE66FC">
      <w:pPr>
        <w:pStyle w:val="B1"/>
        <w:rPr>
          <w:lang w:val="en-US" w:eastAsia="ja-JP"/>
        </w:rPr>
      </w:pPr>
      <w:r>
        <w:rPr>
          <w:lang w:eastAsia="ja-JP"/>
        </w:rPr>
        <w:t>-</w:t>
      </w:r>
      <w:r>
        <w:rPr>
          <w:lang w:eastAsia="ja-JP"/>
        </w:rPr>
        <w:tab/>
      </w:r>
      <w:r w:rsidR="00EB2C1A">
        <w:rPr>
          <w:lang w:eastAsia="ja-JP"/>
        </w:rPr>
        <w:t>if</w:t>
      </w:r>
      <w:r w:rsidR="00EB2C1A" w:rsidRPr="00444289">
        <w:rPr>
          <w:lang w:eastAsia="ja-JP"/>
        </w:rPr>
        <w:t xml:space="preserve"> </w:t>
      </w:r>
      <w:r w:rsidR="00EB2C1A">
        <w:rPr>
          <w:lang w:eastAsia="ja-JP"/>
        </w:rPr>
        <w:t>the duration of NR slot on active UL BWP is different from that of E-UTRA subframe carrying</w:t>
      </w:r>
      <w:r w:rsidR="00EB2C1A" w:rsidRPr="00330A9B">
        <w:rPr>
          <w:noProof/>
          <w:lang w:eastAsia="zh-CN"/>
        </w:rPr>
        <w:t xml:space="preserve"> the </w:t>
      </w:r>
      <w:r w:rsidR="00EB2C1A" w:rsidRPr="008A423B">
        <w:rPr>
          <w:noProof/>
          <w:lang w:eastAsia="zh-CN"/>
        </w:rPr>
        <w:t>Dual Connectivity PHR</w:t>
      </w:r>
      <w:r w:rsidR="00EB2C1A">
        <w:rPr>
          <w:lang w:eastAsia="ja-JP"/>
        </w:rPr>
        <w:t xml:space="preserve">, </w:t>
      </w:r>
      <w:r>
        <w:rPr>
          <w:lang w:val="en-US" w:eastAsia="ja-JP"/>
        </w:rPr>
        <w:t xml:space="preserve">the </w:t>
      </w:r>
      <w:r w:rsidR="00EB2C1A">
        <w:rPr>
          <w:lang w:eastAsia="ja-JP"/>
        </w:rPr>
        <w:t xml:space="preserve">UE provides power headroom of </w:t>
      </w:r>
      <w:r w:rsidR="00EB2C1A" w:rsidRPr="00444289">
        <w:rPr>
          <w:lang w:eastAsia="ja-JP"/>
        </w:rPr>
        <w:t>the first NR slot that</w:t>
      </w:r>
      <w:r w:rsidR="00EB2C1A">
        <w:rPr>
          <w:lang w:eastAsia="ja-JP"/>
        </w:rPr>
        <w:t xml:space="preserve"> fully</w:t>
      </w:r>
      <w:r w:rsidR="00EB2C1A" w:rsidRPr="00444289">
        <w:rPr>
          <w:lang w:eastAsia="ja-JP"/>
        </w:rPr>
        <w:t xml:space="preserve"> overlaps with </w:t>
      </w:r>
      <w:r w:rsidR="00EB2C1A">
        <w:rPr>
          <w:lang w:eastAsia="ja-JP"/>
        </w:rPr>
        <w:t xml:space="preserve">the </w:t>
      </w:r>
      <w:r w:rsidR="00EB2C1A">
        <w:rPr>
          <w:lang w:val="en-US" w:eastAsia="zh-CN"/>
        </w:rPr>
        <w:t>E-UTRA</w:t>
      </w:r>
      <w:r w:rsidR="00EB2C1A">
        <w:rPr>
          <w:lang w:eastAsia="ja-JP"/>
        </w:rPr>
        <w:t xml:space="preserve"> subframe</w:t>
      </w:r>
      <w:r>
        <w:rPr>
          <w:lang w:val="en-US" w:eastAsia="ja-JP"/>
        </w:rPr>
        <w:t>;</w:t>
      </w:r>
    </w:p>
    <w:p w14:paraId="6C149ED6" w14:textId="77777777" w:rsidR="00EB2C1A" w:rsidRPr="00B916EC" w:rsidRDefault="00DE66FC" w:rsidP="000600E8">
      <w:pPr>
        <w:pStyle w:val="B1"/>
      </w:pPr>
      <w:r>
        <w:t>-</w:t>
      </w:r>
      <w:r>
        <w:tab/>
        <w:t>if</w:t>
      </w:r>
      <w:r w:rsidRPr="00444289">
        <w:t xml:space="preserve"> </w:t>
      </w:r>
      <w:r>
        <w:t>the duration of NR slot on active UL BWP is the same as that of E-UTRA subframe carrying</w:t>
      </w:r>
      <w:r w:rsidRPr="00330A9B">
        <w:t xml:space="preserve"> the </w:t>
      </w:r>
      <w:r w:rsidRPr="008A423B">
        <w:t>Dual Connectivity PHR</w:t>
      </w:r>
      <w:r>
        <w:t xml:space="preserve"> for asynchronous EN-DC/NE-DC [10, TS </w:t>
      </w:r>
      <w:r w:rsidRPr="00890865">
        <w:t>38.133</w:t>
      </w:r>
      <w:r>
        <w:t xml:space="preserve">], the UE provides </w:t>
      </w:r>
      <w:r w:rsidRPr="005333D4">
        <w:t xml:space="preserve">power headroom </w:t>
      </w:r>
      <w:r>
        <w:t xml:space="preserve">of </w:t>
      </w:r>
      <w:r w:rsidRPr="00444289">
        <w:t xml:space="preserve">the first </w:t>
      </w:r>
      <w:r w:rsidRPr="000600E8">
        <w:rPr>
          <w:lang w:val="en-GB"/>
        </w:rPr>
        <w:t>NR slot</w:t>
      </w:r>
      <w:r w:rsidRPr="00444289">
        <w:t xml:space="preserve"> that</w:t>
      </w:r>
      <w:r>
        <w:t xml:space="preserve"> </w:t>
      </w:r>
      <w:r w:rsidRPr="00444289">
        <w:t xml:space="preserve">overlaps with </w:t>
      </w:r>
      <w:r>
        <w:t xml:space="preserve">the </w:t>
      </w:r>
      <w:r w:rsidRPr="000934BF">
        <w:t>E-UTRA</w:t>
      </w:r>
      <w:r>
        <w:t xml:space="preserve"> subframe</w:t>
      </w:r>
      <w:r w:rsidR="00EB2C1A" w:rsidRPr="00444289">
        <w:rPr>
          <w:lang w:eastAsia="ja-JP"/>
        </w:rPr>
        <w:t>.</w:t>
      </w:r>
    </w:p>
    <w:p w14:paraId="6E1E5CF8" w14:textId="77777777" w:rsidR="00E072F9" w:rsidRPr="00B916EC" w:rsidRDefault="00E072F9" w:rsidP="00E072F9">
      <w:pPr>
        <w:pStyle w:val="Heading3"/>
      </w:pPr>
      <w:bookmarkStart w:id="291" w:name="_Toc12021458"/>
      <w:bookmarkStart w:id="292" w:name="_Toc20311570"/>
      <w:bookmarkStart w:id="293" w:name="_Toc26719395"/>
      <w:bookmarkStart w:id="294" w:name="_Toc29894826"/>
      <w:bookmarkStart w:id="295" w:name="_Toc29899125"/>
      <w:bookmarkStart w:id="296" w:name="_Toc29899543"/>
      <w:bookmarkStart w:id="297" w:name="_Toc29917280"/>
      <w:bookmarkStart w:id="298" w:name="_Toc36498154"/>
      <w:bookmarkStart w:id="299" w:name="_Toc45699180"/>
      <w:bookmarkStart w:id="300" w:name="_Toc161999105"/>
      <w:r w:rsidRPr="00B916EC">
        <w:t>7</w:t>
      </w:r>
      <w:r w:rsidR="00034A1C" w:rsidRPr="00B916EC">
        <w:t>.7</w:t>
      </w:r>
      <w:r w:rsidRPr="00B916EC">
        <w:t>.1</w:t>
      </w:r>
      <w:r w:rsidRPr="00B916EC">
        <w:tab/>
      </w:r>
      <w:r w:rsidR="00E9200F">
        <w:t xml:space="preserve">Type 1 PH </w:t>
      </w:r>
      <w:r w:rsidR="00DB79F4">
        <w:t>report</w:t>
      </w:r>
      <w:bookmarkEnd w:id="291"/>
      <w:bookmarkEnd w:id="292"/>
      <w:bookmarkEnd w:id="293"/>
      <w:bookmarkEnd w:id="294"/>
      <w:bookmarkEnd w:id="295"/>
      <w:bookmarkEnd w:id="296"/>
      <w:bookmarkEnd w:id="297"/>
      <w:bookmarkEnd w:id="298"/>
      <w:bookmarkEnd w:id="299"/>
      <w:bookmarkEnd w:id="300"/>
    </w:p>
    <w:p w14:paraId="2658808B" w14:textId="77777777" w:rsidR="00D81BAA" w:rsidRPr="00F415B1" w:rsidRDefault="00D81BAA" w:rsidP="00D81BAA">
      <w:r w:rsidRPr="00F415B1">
        <w:t xml:space="preserve">If a UE determines that </w:t>
      </w:r>
      <w:r w:rsidRPr="00F415B1">
        <w:rPr>
          <w:lang w:eastAsia="ko-KR"/>
        </w:rPr>
        <w:t>a Type 1 power headroom report for an activated serving cell is based on an actual PUSCH transmission</w:t>
      </w:r>
      <w:r w:rsidRPr="00F415B1">
        <w:t xml:space="preserve"> then, for PUSCH transmission occasion </w:t>
      </w:r>
      <m:oMath>
        <m:r>
          <w:rPr>
            <w:rFonts w:ascii="Cambria Math" w:hAnsi="Cambria Math"/>
          </w:rPr>
          <m:t>i</m:t>
        </m:r>
      </m:oMath>
      <w:r w:rsidRPr="00F415B1">
        <w:t xml:space="preserve"> on active </w:t>
      </w:r>
      <w:r w:rsidRPr="00F415B1">
        <w:rPr>
          <w:lang w:val="en-US"/>
        </w:rPr>
        <w:t xml:space="preserve">UL BWP </w:t>
      </w:r>
      <m:oMath>
        <m:r>
          <w:rPr>
            <w:rFonts w:ascii="Cambria Math" w:hAnsi="Cambria Math"/>
            <w:lang w:val="en-US"/>
          </w:rPr>
          <m:t>b</m:t>
        </m:r>
      </m:oMath>
      <w:r w:rsidRPr="00F415B1">
        <w:rPr>
          <w:iCs/>
        </w:rPr>
        <w:t xml:space="preserve"> of </w:t>
      </w:r>
      <w:r w:rsidRPr="00F415B1">
        <w:t xml:space="preserve">carrier </w:t>
      </w:r>
      <m:oMath>
        <m:r>
          <w:rPr>
            <w:rFonts w:ascii="Cambria Math" w:hAnsi="Cambria Math"/>
          </w:rPr>
          <m:t>f</m:t>
        </m:r>
      </m:oMath>
      <w:r w:rsidRPr="00F415B1">
        <w:rPr>
          <w:iCs/>
        </w:rPr>
        <w:t xml:space="preserve"> of</w:t>
      </w:r>
      <w:r w:rsidRPr="00F415B1">
        <w:t xml:space="preserve"> serving cell </w:t>
      </w:r>
      <m:oMath>
        <m:r>
          <w:rPr>
            <w:rFonts w:ascii="Cambria Math" w:hAnsi="Cambria Math"/>
          </w:rPr>
          <m:t>c</m:t>
        </m:r>
      </m:oMath>
      <w:r w:rsidRPr="00F415B1">
        <w:t xml:space="preserve">, the UE computes the Type 1 power headroom report as </w:t>
      </w:r>
    </w:p>
    <w:p w14:paraId="5A2411E7" w14:textId="77777777" w:rsidR="00175144" w:rsidRDefault="00000000" w:rsidP="00D81BAA">
      <w:pPr>
        <w:pStyle w:val="EQ"/>
        <w:jc w:val="center"/>
      </w:pPr>
      <m:oMath>
        <m:sSub>
          <m:sSubPr>
            <m:ctrlPr>
              <w:rPr>
                <w:rFonts w:ascii="Cambria Math" w:hAnsi="Cambria Math"/>
                <w:iCs/>
              </w:rPr>
            </m:ctrlPr>
          </m:sSubPr>
          <m:e>
            <m:r>
              <w:rPr>
                <w:rFonts w:ascii="Cambria Math" w:hAnsi="Cambria Math"/>
              </w:rPr>
              <m:t>PH</m:t>
            </m:r>
          </m:e>
          <m:sub>
            <m:r>
              <m:rPr>
                <m:nor/>
              </m:rPr>
              <w:rPr>
                <w:rFonts w:ascii="Cambria Math"/>
                <w:iCs/>
              </w:rPr>
              <m:t>type1</m:t>
            </m:r>
            <m:r>
              <m:rPr>
                <m:sty m:val="p"/>
              </m:rPr>
              <w:rPr>
                <w:rFonts w:ascii="Cambria Math"/>
              </w:rPr>
              <m:t>,</m:t>
            </m:r>
            <m:r>
              <w:rPr>
                <w:rFonts w:ascii="Cambria Math"/>
              </w:rPr>
              <m:t>b,f</m:t>
            </m:r>
            <m:r>
              <m:rPr>
                <m:sty m:val="p"/>
              </m:rPr>
              <w:rPr>
                <w:rFonts w:ascii="Cambria Math"/>
              </w:rPr>
              <m:t>,</m:t>
            </m:r>
            <m:r>
              <w:rPr>
                <w:rFonts w:ascii="Cambria Math"/>
              </w:rPr>
              <m:t>c</m:t>
            </m:r>
          </m:sub>
        </m:sSub>
        <m:d>
          <m:dPr>
            <m:ctrlPr>
              <w:rPr>
                <w:rFonts w:ascii="Cambria Math" w:hAnsi="Cambria Math"/>
              </w:rPr>
            </m:ctrlPr>
          </m:dPr>
          <m:e>
            <m:r>
              <w:rPr>
                <w:rFonts w:ascii="Cambria Math"/>
              </w:rPr>
              <m:t>i,j,</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,l</m:t>
            </m:r>
            <m:ctrlPr>
              <w:rPr>
                <w:rFonts w:ascii="Cambria Math" w:hAnsi="Cambria Math"/>
                <w:i/>
              </w:rPr>
            </m:ctrlPr>
          </m:e>
        </m:d>
        <m:r>
          <w:rPr>
            <w:rFonts w:ascii="Cambria Math"/>
          </w:rPr>
          <m:t xml:space="preserve">= </m:t>
        </m:r>
        <m:sSub>
          <m:sSubPr>
            <m:ctrlPr>
              <w:rPr>
                <w:rFonts w:ascii="Cambria Math" w:hAnsi="Cambria Math"/>
                <w:iCs/>
              </w:rPr>
            </m:ctrlPr>
          </m:sSubPr>
          <m:e>
            <m:r>
              <w:rPr>
                <w:rFonts w:ascii="Cambria Math" w:hAnsi="Cambria Math"/>
              </w:rPr>
              <m:t>P</m:t>
            </m:r>
          </m:e>
          <m:sub>
            <m:r>
              <m:rPr>
                <m:nor/>
              </m:rPr>
              <w:rPr>
                <w:rFonts w:ascii="Cambria Math"/>
                <w:iCs/>
              </w:rPr>
              <m:t>C</m:t>
            </m:r>
            <m:r>
              <m:rPr>
                <m:nor/>
              </m:rPr>
              <w:rPr>
                <w:rFonts w:ascii="Cambria Math"/>
                <w:iCs/>
                <w:lang w:val="en-US"/>
              </w:rPr>
              <m:t>MAX</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i</m:t>
            </m:r>
          </m:e>
        </m:d>
        <m:r>
          <m:rPr>
            <m:sty m:val="p"/>
          </m:rPr>
          <w:rPr>
            <w:rFonts w:ascii="Cambria Math"/>
          </w:rPr>
          <m:t>-</m:t>
        </m:r>
        <m:d>
          <m:dPr>
            <m:begChr m:val="{"/>
            <m:endChr m:val="}"/>
            <m:ctrlPr>
              <w:rPr>
                <w:rFonts w:ascii="Cambria Math" w:hAnsi="Cambria Math"/>
              </w:rPr>
            </m:ctrlPr>
          </m:dPr>
          <m:e>
            <m:sSub>
              <m:sSubPr>
                <m:ctrlPr>
                  <w:rPr>
                    <w:rFonts w:ascii="Cambria Math" w:hAnsi="Cambria Math"/>
                    <w:iCs/>
                  </w:rPr>
                </m:ctrlPr>
              </m:sSubPr>
              <m:e>
                <m:r>
                  <w:rPr>
                    <w:rFonts w:ascii="Cambria Math" w:hAnsi="Cambria Math"/>
                  </w:rPr>
                  <m:t>P</m:t>
                </m:r>
              </m:e>
              <m:sub>
                <m:r>
                  <m:rPr>
                    <m:nor/>
                  </m:rPr>
                  <w:rPr>
                    <w:rFonts w:ascii="Cambria Math"/>
                    <w:iCs/>
                    <w:lang w:val="en-US"/>
                  </w:rPr>
                  <m:t>O_P</m:t>
                </m:r>
                <m:r>
                  <m:rPr>
                    <m:nor/>
                  </m:rPr>
                  <w:rPr>
                    <w:rFonts w:ascii="Cambria Math"/>
                    <w:iCs/>
                  </w:rPr>
                  <m:t>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r>
              <m:rPr>
                <m:sty m:val="p"/>
              </m:rPr>
              <w:rPr>
                <w:rFonts w:ascii="Cambria Math"/>
              </w:rPr>
              <m:t>+10</m:t>
            </m:r>
            <m:sSub>
              <m:sSubPr>
                <m:ctrlPr>
                  <w:rPr>
                    <w:rFonts w:ascii="Cambria Math" w:hAnsi="Cambria Math"/>
                  </w:rPr>
                </m:ctrlPr>
              </m:sSubPr>
              <m:e>
                <m:r>
                  <w:rPr>
                    <w:rFonts w:ascii="Cambria Math"/>
                  </w:rPr>
                  <m:t>log</m:t>
                </m:r>
              </m:e>
              <m:sub>
                <m:r>
                  <w:rPr>
                    <w:rFonts w:ascii="Cambria Math"/>
                  </w:rPr>
                  <m:t>10</m:t>
                </m:r>
              </m:sub>
            </m:sSub>
            <m:d>
              <m:dPr>
                <m:ctrlPr>
                  <w:rPr>
                    <w:rFonts w:ascii="Cambria Math" w:hAnsi="Cambria Math"/>
                    <w:i/>
                  </w:rPr>
                </m:ctrlPr>
              </m:dPr>
              <m:e>
                <m:sSup>
                  <m:sSupPr>
                    <m:ctrlPr>
                      <w:rPr>
                        <w:rFonts w:ascii="Cambria Math" w:hAnsi="Cambria Math"/>
                        <w:i/>
                      </w:rPr>
                    </m:ctrlPr>
                  </m:sSupPr>
                  <m:e>
                    <m:r>
                      <w:rPr>
                        <w:rFonts w:ascii="Cambria Math"/>
                      </w:rPr>
                      <m:t>2</m:t>
                    </m:r>
                  </m:e>
                  <m:sup>
                    <m:r>
                      <w:rPr>
                        <w:rFonts w:ascii="Cambria Math" w:hAnsi="Cambria Math"/>
                      </w:rPr>
                      <m:t>μ</m:t>
                    </m:r>
                  </m:sup>
                </m:sSup>
                <m:sSubSup>
                  <m:sSubSupPr>
                    <m:ctrlPr>
                      <w:rPr>
                        <w:rFonts w:ascii="Cambria Math" w:hAnsi="Cambria Math"/>
                        <w:i/>
                      </w:rPr>
                    </m:ctrlPr>
                  </m:sSubSupPr>
                  <m:e>
                    <m:r>
                      <w:rPr>
                        <w:rFonts w:ascii="Cambria Math" w:hAnsi="Cambria Math" w:cs="Cambria Math"/>
                      </w:rPr>
                      <m:t>⋅</m:t>
                    </m:r>
                    <m:r>
                      <w:rPr>
                        <w:rFonts w:ascii="Cambria Math" w:hAnsi="Cambria Math"/>
                      </w:rPr>
                      <m:t>M</m:t>
                    </m:r>
                  </m:e>
                  <m:sub>
                    <m:r>
                      <m:rPr>
                        <m:sty m:val="p"/>
                      </m:rPr>
                      <w:rPr>
                        <w:rFonts w:ascii="Cambria Math" w:hAnsi="Cambria Math"/>
                      </w:rPr>
                      <m:t>RB</m:t>
                    </m:r>
                    <m:r>
                      <w:rPr>
                        <w:rFonts w:ascii="Cambria Math" w:hAnsi="Cambria Math"/>
                      </w:rPr>
                      <m:t>,b,f,c</m:t>
                    </m:r>
                  </m:sub>
                  <m:sup>
                    <m:r>
                      <m:rPr>
                        <m:sty m:val="p"/>
                      </m:rPr>
                      <w:rPr>
                        <w:rFonts w:ascii="Cambria Math" w:hAnsi="Cambria Math"/>
                      </w:rPr>
                      <m:t>PUSCH</m:t>
                    </m:r>
                  </m:sup>
                </m:sSubSup>
                <m:r>
                  <w:rPr>
                    <w:rFonts w:ascii="Cambria Math" w:hAnsi="Cambria Math"/>
                  </w:rPr>
                  <m:t>(i)</m:t>
                </m:r>
              </m:e>
            </m:d>
            <m:r>
              <w:rPr>
                <w:rFonts w:ascii="Cambria Math"/>
              </w:rPr>
              <m:t>+</m:t>
            </m:r>
            <m:sSub>
              <m:sSubPr>
                <m:ctrlPr>
                  <w:rPr>
                    <w:rFonts w:ascii="Cambria Math" w:hAnsi="Cambria Math"/>
                    <w:iCs/>
                  </w:rPr>
                </m:ctrlPr>
              </m:sSubPr>
              <m:e>
                <m:r>
                  <w:rPr>
                    <w:rFonts w:ascii="Cambria Math" w:hAnsi="Cambria Math"/>
                  </w:rPr>
                  <m:t>α</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r>
              <w:rPr>
                <w:rFonts w:ascii="Cambria Math" w:hAnsi="Cambria Math" w:cs="Cambria Math"/>
              </w:rPr>
              <m:t>⋅</m:t>
            </m:r>
            <m:sSub>
              <m:sSubPr>
                <m:ctrlPr>
                  <w:rPr>
                    <w:rFonts w:ascii="Cambria Math" w:hAnsi="Cambria Math"/>
                    <w:i/>
                  </w:rPr>
                </m:ctrlPr>
              </m:sSubPr>
              <m:e>
                <m:r>
                  <w:rPr>
                    <w:rFonts w:ascii="Cambria Math" w:hAnsi="Cambria Math"/>
                  </w:rPr>
                  <m:t>PL</m:t>
                </m:r>
              </m:e>
              <m:sub>
                <m:r>
                  <w:rPr>
                    <w:rFonts w:ascii="Cambria Math" w:hAnsi="Cambria Math"/>
                  </w:rPr>
                  <m:t>b,f,c</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e>
            </m:d>
            <m:r>
              <w:rPr>
                <w:rFonts w:ascii="Cambria Math" w:hAnsi="Cambria Math"/>
              </w:rPr>
              <m:t>+</m:t>
            </m:r>
            <m:sSub>
              <m:sSubPr>
                <m:ctrlPr>
                  <w:rPr>
                    <w:rFonts w:ascii="Cambria Math" w:hAnsi="Cambria Math"/>
                    <w:i/>
                  </w:rPr>
                </m:ctrlPr>
              </m:sSubPr>
              <m:e>
                <m:r>
                  <w:rPr>
                    <w:rFonts w:ascii="Cambria Math" w:hAnsi="Cambria Math"/>
                  </w:rPr>
                  <m:t>∆</m:t>
                </m:r>
              </m:e>
              <m:sub>
                <m:r>
                  <m:rPr>
                    <m:sty m:val="p"/>
                  </m:rPr>
                  <w:rPr>
                    <w:rFonts w:ascii="Cambria Math" w:hAnsi="Cambria Math"/>
                  </w:rPr>
                  <m:t>TF</m:t>
                </m:r>
                <m:r>
                  <w:rPr>
                    <w:rFonts w:ascii="Cambria Math" w:hAnsi="Cambria Math"/>
                  </w:rPr>
                  <m:t>,b,f,c</m:t>
                </m:r>
              </m:sub>
            </m:sSub>
            <m:d>
              <m:dPr>
                <m:ctrlPr>
                  <w:rPr>
                    <w:rFonts w:ascii="Cambria Math" w:hAnsi="Cambria Math"/>
                    <w:i/>
                  </w:rPr>
                </m:ctrlPr>
              </m:dPr>
              <m:e>
                <m:r>
                  <w:rPr>
                    <w:rFonts w:ascii="Cambria Math" w:hAnsi="Cambria Math"/>
                  </w:rPr>
                  <m:t>i</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i,l</m:t>
                </m:r>
              </m:e>
            </m:d>
          </m:e>
        </m:d>
      </m:oMath>
      <w:r w:rsidR="00175144" w:rsidRPr="006B1D60">
        <w:t xml:space="preserve"> </w:t>
      </w:r>
      <w:r w:rsidR="00175144">
        <w:t>[dB]</w:t>
      </w:r>
    </w:p>
    <w:p w14:paraId="66911D26" w14:textId="77777777" w:rsidR="00D81BAA" w:rsidRPr="00F415B1" w:rsidRDefault="00D81BAA" w:rsidP="00D81BAA">
      <w:r w:rsidRPr="00F415B1">
        <w:t xml:space="preserve">where </w:t>
      </w:r>
      <m:oMath>
        <m:sSub>
          <m:sSubPr>
            <m:ctrlPr>
              <w:rPr>
                <w:rFonts w:ascii="Cambria Math" w:hAnsi="Cambria Math"/>
                <w:iCs/>
              </w:rPr>
            </m:ctrlPr>
          </m:sSubPr>
          <m:e>
            <m:r>
              <w:rPr>
                <w:rFonts w:ascii="Cambria Math" w:hAnsi="Cambria Math"/>
              </w:rPr>
              <m:t>P</m:t>
            </m:r>
          </m:e>
          <m:sub>
            <m:r>
              <m:rPr>
                <m:nor/>
              </m:rPr>
              <w:rPr>
                <w:rFonts w:ascii="Cambria Math"/>
                <w:iCs/>
              </w:rPr>
              <m:t>C</m:t>
            </m:r>
            <m:r>
              <m:rPr>
                <m:nor/>
              </m:rPr>
              <w:rPr>
                <w:rFonts w:ascii="Cambria Math"/>
                <w:iCs/>
                <w:lang w:val="en-US"/>
              </w:rPr>
              <m:t>MAX</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r>
          <w:rPr>
            <w:rFonts w:ascii="Cambria Math"/>
          </w:rPr>
          <m:t>i</m:t>
        </m:r>
        <m:r>
          <m:rPr>
            <m:sty m:val="p"/>
          </m:rPr>
          <w:rPr>
            <w:rFonts w:ascii="Cambria Math"/>
          </w:rPr>
          <m:t>)</m:t>
        </m:r>
      </m:oMath>
      <w:r w:rsidRPr="00F415B1">
        <w:t xml:space="preserve">, </w:t>
      </w:r>
      <m:oMath>
        <m:sSub>
          <m:sSubPr>
            <m:ctrlPr>
              <w:rPr>
                <w:rFonts w:ascii="Cambria Math" w:hAnsi="Cambria Math"/>
                <w:iCs/>
              </w:rPr>
            </m:ctrlPr>
          </m:sSubPr>
          <m:e>
            <m:r>
              <w:rPr>
                <w:rFonts w:ascii="Cambria Math" w:hAnsi="Cambria Math"/>
              </w:rPr>
              <m:t>P</m:t>
            </m:r>
          </m:e>
          <m:sub>
            <m:r>
              <m:rPr>
                <m:nor/>
              </m:rPr>
              <w:rPr>
                <w:rFonts w:ascii="Cambria Math"/>
                <w:iCs/>
                <w:lang w:val="en-US"/>
              </w:rPr>
              <m:t>O_P</m:t>
            </m:r>
            <m:r>
              <m:rPr>
                <m:nor/>
              </m:rPr>
              <w:rPr>
                <w:rFonts w:ascii="Cambria Math"/>
                <w:iCs/>
              </w:rPr>
              <m:t>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r>
          <w:rPr>
            <w:rFonts w:ascii="Cambria Math"/>
          </w:rPr>
          <m:t>j</m:t>
        </m:r>
        <m:r>
          <m:rPr>
            <m:sty m:val="p"/>
          </m:rPr>
          <w:rPr>
            <w:rFonts w:ascii="Cambria Math"/>
          </w:rPr>
          <m:t>)</m:t>
        </m:r>
      </m:oMath>
      <w:r w:rsidRPr="00F415B1">
        <w:t xml:space="preserve">, </w:t>
      </w:r>
      <m:oMath>
        <m:sSubSup>
          <m:sSubSupPr>
            <m:ctrlPr>
              <w:rPr>
                <w:rFonts w:ascii="Cambria Math" w:hAnsi="Cambria Math"/>
                <w:i/>
              </w:rPr>
            </m:ctrlPr>
          </m:sSubSupPr>
          <m:e>
            <m:r>
              <w:rPr>
                <w:rFonts w:ascii="Cambria Math" w:hAnsi="Cambria Math"/>
              </w:rPr>
              <m:t>M</m:t>
            </m:r>
          </m:e>
          <m:sub>
            <m:r>
              <m:rPr>
                <m:sty m:val="p"/>
              </m:rPr>
              <w:rPr>
                <w:rFonts w:ascii="Cambria Math" w:hAnsi="Cambria Math"/>
              </w:rPr>
              <m:t>RB</m:t>
            </m:r>
            <m:r>
              <w:rPr>
                <w:rFonts w:ascii="Cambria Math" w:hAnsi="Cambria Math"/>
              </w:rPr>
              <m:t>,b,f,c</m:t>
            </m:r>
          </m:sub>
          <m:sup>
            <m:r>
              <m:rPr>
                <m:sty m:val="p"/>
              </m:rPr>
              <w:rPr>
                <w:rFonts w:ascii="Cambria Math" w:hAnsi="Cambria Math"/>
              </w:rPr>
              <m:t>PUSCH</m:t>
            </m:r>
          </m:sup>
        </m:sSubSup>
        <m:r>
          <w:rPr>
            <w:rFonts w:ascii="Cambria Math" w:hAnsi="Cambria Math"/>
          </w:rPr>
          <m:t>(i)</m:t>
        </m:r>
      </m:oMath>
      <w:r w:rsidRPr="00F415B1">
        <w:t xml:space="preserve">, </w:t>
      </w:r>
      <m:oMath>
        <m:sSub>
          <m:sSubPr>
            <m:ctrlPr>
              <w:rPr>
                <w:rFonts w:ascii="Cambria Math" w:hAnsi="Cambria Math"/>
                <w:iCs/>
              </w:rPr>
            </m:ctrlPr>
          </m:sSubPr>
          <m:e>
            <m:r>
              <w:rPr>
                <w:rFonts w:ascii="Cambria Math" w:hAnsi="Cambria Math"/>
              </w:rPr>
              <m:t>α</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oMath>
      <w:r w:rsidRPr="00F415B1">
        <w:t xml:space="preserve">, </w:t>
      </w:r>
      <m:oMath>
        <m:sSub>
          <m:sSubPr>
            <m:ctrlPr>
              <w:rPr>
                <w:rFonts w:ascii="Cambria Math" w:hAnsi="Cambria Math"/>
                <w:i/>
              </w:rPr>
            </m:ctrlPr>
          </m:sSubPr>
          <m:e>
            <m:r>
              <w:rPr>
                <w:rFonts w:ascii="Cambria Math" w:hAnsi="Cambria Math"/>
              </w:rPr>
              <m:t>PL</m:t>
            </m:r>
          </m:e>
          <m:sub>
            <m:r>
              <w:rPr>
                <w:rFonts w:ascii="Cambria Math" w:hAnsi="Cambria Math"/>
              </w:rPr>
              <m:t>b,f,c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oMath>
      <w:r w:rsidRPr="00F415B1">
        <w:t xml:space="preserve">, </w:t>
      </w:r>
      <m:oMath>
        <m:sSub>
          <m:sSubPr>
            <m:ctrlPr>
              <w:rPr>
                <w:rFonts w:ascii="Cambria Math" w:hAnsi="Cambria Math"/>
                <w:i/>
              </w:rPr>
            </m:ctrlPr>
          </m:sSubPr>
          <m:e>
            <m:r>
              <w:rPr>
                <w:rFonts w:ascii="Cambria Math" w:hAnsi="Cambria Math"/>
              </w:rPr>
              <m:t>∆</m:t>
            </m:r>
          </m:e>
          <m:sub>
            <m:r>
              <m:rPr>
                <m:sty m:val="p"/>
              </m:rPr>
              <w:rPr>
                <w:rFonts w:ascii="Cambria Math" w:hAnsi="Cambria Math"/>
              </w:rPr>
              <m:t>TF</m:t>
            </m:r>
            <m:r>
              <w:rPr>
                <w:rFonts w:ascii="Cambria Math" w:hAnsi="Cambria Math"/>
              </w:rPr>
              <m:t>,b,f,c</m:t>
            </m:r>
          </m:sub>
        </m:sSub>
        <m:d>
          <m:dPr>
            <m:ctrlPr>
              <w:rPr>
                <w:rFonts w:ascii="Cambria Math" w:hAnsi="Cambria Math"/>
                <w:i/>
              </w:rPr>
            </m:ctrlPr>
          </m:dPr>
          <m:e>
            <m:r>
              <w:rPr>
                <w:rFonts w:ascii="Cambria Math" w:hAnsi="Cambria Math"/>
              </w:rPr>
              <m:t>i</m:t>
            </m:r>
          </m:e>
        </m:d>
      </m:oMath>
      <w:r w:rsidRPr="00F415B1">
        <w:rPr>
          <w:rFonts w:hint="eastAsia"/>
        </w:rPr>
        <w:t xml:space="preserve"> </w:t>
      </w:r>
      <w:r w:rsidRPr="00F415B1">
        <w:t xml:space="preserve">and </w:t>
      </w:r>
      <m:oMath>
        <m:sSub>
          <m:sSubPr>
            <m:ctrlPr>
              <w:rPr>
                <w:rFonts w:ascii="Cambria Math" w:hAnsi="Cambria Math"/>
                <w:iCs/>
              </w:rPr>
            </m:ctrlPr>
          </m:sSubPr>
          <m:e>
            <m:r>
              <w:rPr>
                <w:rFonts w:ascii="Cambria Math" w:hAnsi="Cambria Math"/>
              </w:rPr>
              <m:t>f</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i,l</m:t>
            </m:r>
          </m:e>
        </m:d>
      </m:oMath>
      <w:r w:rsidRPr="00F415B1">
        <w:t xml:space="preserve"> are defined in clause 7.1.1. </w:t>
      </w:r>
    </w:p>
    <w:p w14:paraId="681819D0" w14:textId="77777777" w:rsidR="00D81BAA" w:rsidRPr="00F415B1" w:rsidRDefault="00D81BAA" w:rsidP="00D81BAA">
      <w:r w:rsidRPr="00F415B1">
        <w:t xml:space="preserve">If a UE is configured with multiple cells for PUSCH transmissions, where a SCS configuration </w:t>
      </w:r>
      <m:oMath>
        <m:sSub>
          <m:sSubPr>
            <m:ctrlPr>
              <w:rPr>
                <w:rFonts w:ascii="Cambria Math" w:eastAsia="Gulim" w:hAnsi="Cambria Math"/>
                <w:i/>
                <w:lang w:eastAsia="ko-KR"/>
              </w:rPr>
            </m:ctrlPr>
          </m:sSubPr>
          <m:e>
            <m:r>
              <w:rPr>
                <w:rFonts w:ascii="Cambria Math" w:eastAsia="Gulim" w:hAnsi="Cambria Math"/>
                <w:lang w:eastAsia="ko-KR"/>
              </w:rPr>
              <m:t>μ</m:t>
            </m:r>
          </m:e>
          <m:sub>
            <m:r>
              <w:rPr>
                <w:rFonts w:ascii="Cambria Math" w:eastAsia="Gulim" w:hAnsi="Cambria Math"/>
                <w:lang w:eastAsia="ko-KR"/>
              </w:rPr>
              <m:t>1</m:t>
            </m:r>
          </m:sub>
        </m:sSub>
      </m:oMath>
      <w:r w:rsidRPr="00F415B1">
        <w:t xml:space="preserve"> on</w:t>
      </w:r>
      <w:r w:rsidRPr="00F415B1">
        <w:rPr>
          <w:lang w:val="x-none" w:eastAsia="x-none"/>
        </w:rPr>
        <w:t xml:space="preserve"> </w:t>
      </w:r>
      <w:r w:rsidRPr="00F415B1">
        <w:rPr>
          <w:lang w:val="en-US" w:eastAsia="x-none"/>
        </w:rPr>
        <w:t xml:space="preserve">active </w:t>
      </w:r>
      <w:r w:rsidRPr="00F415B1">
        <w:rPr>
          <w:lang w:val="en-US"/>
        </w:rPr>
        <w:t xml:space="preserve">UL BWP </w:t>
      </w:r>
      <m:oMath>
        <m:sSub>
          <m:sSubPr>
            <m:ctrlPr>
              <w:rPr>
                <w:rFonts w:ascii="Cambria Math" w:eastAsia="Gulim" w:hAnsi="Cambria Math"/>
                <w:i/>
                <w:lang w:eastAsia="ko-KR"/>
              </w:rPr>
            </m:ctrlPr>
          </m:sSubPr>
          <m:e>
            <m:r>
              <w:rPr>
                <w:rFonts w:ascii="Cambria Math" w:eastAsia="Gulim" w:hAnsi="Cambria Math"/>
                <w:lang w:eastAsia="ko-KR"/>
              </w:rPr>
              <m:t>b</m:t>
            </m:r>
          </m:e>
          <m:sub>
            <m:r>
              <w:rPr>
                <w:rFonts w:ascii="Cambria Math" w:eastAsia="Gulim" w:hAnsi="Cambria Math"/>
                <w:lang w:eastAsia="ko-KR"/>
              </w:rPr>
              <m:t>1</m:t>
            </m:r>
          </m:sub>
        </m:sSub>
      </m:oMath>
      <w:r w:rsidRPr="00F415B1">
        <w:rPr>
          <w:iCs/>
        </w:rPr>
        <w:t xml:space="preserve"> of </w:t>
      </w:r>
      <w:r w:rsidRPr="00F415B1">
        <w:rPr>
          <w:lang w:val="x-none" w:eastAsia="x-none"/>
        </w:rPr>
        <w:t xml:space="preserve">carrier </w:t>
      </w:r>
      <m:oMath>
        <m:sSub>
          <m:sSubPr>
            <m:ctrlPr>
              <w:rPr>
                <w:rFonts w:ascii="Cambria Math" w:eastAsia="Gulim" w:hAnsi="Cambria Math"/>
                <w:i/>
                <w:lang w:eastAsia="ko-KR"/>
              </w:rPr>
            </m:ctrlPr>
          </m:sSubPr>
          <m:e>
            <m:r>
              <w:rPr>
                <w:rFonts w:ascii="Cambria Math" w:eastAsia="Gulim" w:hAnsi="Cambria Math"/>
                <w:lang w:eastAsia="ko-KR"/>
              </w:rPr>
              <m:t>f</m:t>
            </m:r>
          </m:e>
          <m:sub>
            <m:r>
              <w:rPr>
                <w:rFonts w:ascii="Cambria Math" w:eastAsia="Gulim" w:hAnsi="Cambria Math"/>
                <w:lang w:eastAsia="ko-KR"/>
              </w:rPr>
              <m:t>1</m:t>
            </m:r>
          </m:sub>
        </m:sSub>
      </m:oMath>
      <w:r w:rsidRPr="00F415B1">
        <w:rPr>
          <w:lang w:val="en-US" w:eastAsia="x-none"/>
        </w:rPr>
        <w:t xml:space="preserve"> of </w:t>
      </w:r>
      <w:r w:rsidRPr="00F415B1">
        <w:rPr>
          <w:lang w:val="x-none" w:eastAsia="x-none"/>
        </w:rPr>
        <w:t xml:space="preserve">serving cell </w:t>
      </w:r>
      <m:oMath>
        <m:sSub>
          <m:sSubPr>
            <m:ctrlPr>
              <w:rPr>
                <w:rFonts w:ascii="Cambria Math" w:eastAsia="Gulim" w:hAnsi="Cambria Math"/>
                <w:i/>
                <w:lang w:eastAsia="ko-KR"/>
              </w:rPr>
            </m:ctrlPr>
          </m:sSubPr>
          <m:e>
            <m:r>
              <w:rPr>
                <w:rFonts w:ascii="Cambria Math" w:eastAsia="Gulim" w:hAnsi="Cambria Math"/>
                <w:lang w:eastAsia="ko-KR"/>
              </w:rPr>
              <m:t>c</m:t>
            </m:r>
          </m:e>
          <m:sub>
            <m:r>
              <w:rPr>
                <w:rFonts w:ascii="Cambria Math" w:eastAsia="Gulim" w:hAnsi="Cambria Math"/>
                <w:lang w:eastAsia="ko-KR"/>
              </w:rPr>
              <m:t>1</m:t>
            </m:r>
          </m:sub>
        </m:sSub>
      </m:oMath>
      <w:r w:rsidRPr="00F415B1">
        <w:rPr>
          <w:iCs/>
        </w:rPr>
        <w:t xml:space="preserve"> is smaller than a </w:t>
      </w:r>
      <w:r w:rsidRPr="00F415B1">
        <w:t xml:space="preserve">SCS configuration </w:t>
      </w:r>
      <m:oMath>
        <m:sSub>
          <m:sSubPr>
            <m:ctrlPr>
              <w:rPr>
                <w:rFonts w:ascii="Cambria Math" w:eastAsia="Gulim" w:hAnsi="Cambria Math"/>
                <w:i/>
                <w:lang w:eastAsia="ko-KR"/>
              </w:rPr>
            </m:ctrlPr>
          </m:sSubPr>
          <m:e>
            <m:r>
              <w:rPr>
                <w:rFonts w:ascii="Cambria Math" w:eastAsia="Gulim" w:hAnsi="Cambria Math"/>
                <w:lang w:eastAsia="ko-KR"/>
              </w:rPr>
              <m:t>μ</m:t>
            </m:r>
          </m:e>
          <m:sub>
            <m:r>
              <w:rPr>
                <w:rFonts w:ascii="Cambria Math" w:eastAsia="Gulim" w:hAnsi="Cambria Math"/>
                <w:lang w:eastAsia="ko-KR"/>
              </w:rPr>
              <m:t>2</m:t>
            </m:r>
          </m:sub>
        </m:sSub>
      </m:oMath>
      <w:r w:rsidRPr="00F415B1">
        <w:t xml:space="preserve"> on active </w:t>
      </w:r>
      <w:r w:rsidRPr="00F415B1">
        <w:rPr>
          <w:lang w:val="en-US"/>
        </w:rPr>
        <w:t xml:space="preserve">UL BWP </w:t>
      </w:r>
      <m:oMath>
        <m:sSub>
          <m:sSubPr>
            <m:ctrlPr>
              <w:rPr>
                <w:rFonts w:ascii="Cambria Math" w:eastAsia="Gulim" w:hAnsi="Cambria Math"/>
                <w:i/>
                <w:lang w:eastAsia="ko-KR"/>
              </w:rPr>
            </m:ctrlPr>
          </m:sSubPr>
          <m:e>
            <m:r>
              <w:rPr>
                <w:rFonts w:ascii="Cambria Math" w:eastAsia="Gulim" w:hAnsi="Cambria Math"/>
                <w:lang w:eastAsia="ko-KR"/>
              </w:rPr>
              <m:t>b</m:t>
            </m:r>
          </m:e>
          <m:sub>
            <m:r>
              <w:rPr>
                <w:rFonts w:ascii="Cambria Math" w:eastAsia="Gulim" w:hAnsi="Cambria Math"/>
                <w:lang w:eastAsia="ko-KR"/>
              </w:rPr>
              <m:t>2</m:t>
            </m:r>
          </m:sub>
        </m:sSub>
      </m:oMath>
      <w:r w:rsidRPr="00F415B1">
        <w:rPr>
          <w:iCs/>
        </w:rPr>
        <w:t xml:space="preserve"> of </w:t>
      </w:r>
      <w:r w:rsidRPr="00F415B1">
        <w:rPr>
          <w:lang w:val="x-none" w:eastAsia="x-none"/>
        </w:rPr>
        <w:t xml:space="preserve">carrier </w:t>
      </w:r>
      <m:oMath>
        <m:sSub>
          <m:sSubPr>
            <m:ctrlPr>
              <w:rPr>
                <w:rFonts w:ascii="Cambria Math" w:eastAsia="Gulim" w:hAnsi="Cambria Math"/>
                <w:i/>
                <w:lang w:eastAsia="ko-KR"/>
              </w:rPr>
            </m:ctrlPr>
          </m:sSubPr>
          <m:e>
            <m:r>
              <w:rPr>
                <w:rFonts w:ascii="Cambria Math" w:eastAsia="Gulim" w:hAnsi="Cambria Math"/>
                <w:lang w:eastAsia="ko-KR"/>
              </w:rPr>
              <m:t>f</m:t>
            </m:r>
          </m:e>
          <m:sub>
            <m:r>
              <w:rPr>
                <w:rFonts w:ascii="Cambria Math" w:eastAsia="Gulim" w:hAnsi="Cambria Math"/>
                <w:lang w:eastAsia="ko-KR"/>
              </w:rPr>
              <m:t>2</m:t>
            </m:r>
          </m:sub>
        </m:sSub>
      </m:oMath>
      <w:r w:rsidRPr="00F415B1">
        <w:rPr>
          <w:lang w:val="en-US" w:eastAsia="x-none"/>
        </w:rPr>
        <w:t xml:space="preserve"> of </w:t>
      </w:r>
      <w:r w:rsidRPr="00F415B1">
        <w:rPr>
          <w:lang w:val="x-none" w:eastAsia="x-none"/>
        </w:rPr>
        <w:t xml:space="preserve">serving cell </w:t>
      </w:r>
      <m:oMath>
        <m:sSub>
          <m:sSubPr>
            <m:ctrlPr>
              <w:rPr>
                <w:rFonts w:ascii="Cambria Math" w:eastAsia="Gulim" w:hAnsi="Cambria Math"/>
                <w:i/>
                <w:lang w:eastAsia="ko-KR"/>
              </w:rPr>
            </m:ctrlPr>
          </m:sSubPr>
          <m:e>
            <m:r>
              <w:rPr>
                <w:rFonts w:ascii="Cambria Math" w:eastAsia="Gulim" w:hAnsi="Cambria Math"/>
                <w:lang w:eastAsia="ko-KR"/>
              </w:rPr>
              <m:t>c</m:t>
            </m:r>
          </m:e>
          <m:sub>
            <m:r>
              <w:rPr>
                <w:rFonts w:ascii="Cambria Math" w:eastAsia="Gulim" w:hAnsi="Cambria Math"/>
                <w:lang w:eastAsia="ko-KR"/>
              </w:rPr>
              <m:t>2</m:t>
            </m:r>
          </m:sub>
        </m:sSub>
      </m:oMath>
      <w:r w:rsidRPr="00F415B1">
        <w:rPr>
          <w:iCs/>
        </w:rPr>
        <w:t xml:space="preserve">, and if the UE provides a Type 1 power headroom report in a PUSCH transmission in a slot on active </w:t>
      </w:r>
      <w:r w:rsidRPr="00F415B1">
        <w:rPr>
          <w:lang w:val="en-US"/>
        </w:rPr>
        <w:t xml:space="preserve">UL BWP </w:t>
      </w:r>
      <m:oMath>
        <m:sSub>
          <m:sSubPr>
            <m:ctrlPr>
              <w:rPr>
                <w:rFonts w:ascii="Cambria Math" w:eastAsia="Gulim" w:hAnsi="Cambria Math"/>
                <w:i/>
                <w:lang w:eastAsia="ko-KR"/>
              </w:rPr>
            </m:ctrlPr>
          </m:sSubPr>
          <m:e>
            <m:r>
              <w:rPr>
                <w:rFonts w:ascii="Cambria Math" w:eastAsia="Gulim" w:hAnsi="Cambria Math"/>
                <w:lang w:eastAsia="ko-KR"/>
              </w:rPr>
              <m:t>b</m:t>
            </m:r>
          </m:e>
          <m:sub>
            <m:r>
              <w:rPr>
                <w:rFonts w:ascii="Cambria Math" w:eastAsia="Gulim" w:hAnsi="Cambria Math"/>
                <w:lang w:eastAsia="ko-KR"/>
              </w:rPr>
              <m:t>1</m:t>
            </m:r>
          </m:sub>
        </m:sSub>
      </m:oMath>
      <w:r w:rsidRPr="00F415B1">
        <w:rPr>
          <w:iCs/>
        </w:rPr>
        <w:t xml:space="preserve"> that overlaps with multiple slots on active </w:t>
      </w:r>
      <w:r w:rsidRPr="00F415B1">
        <w:rPr>
          <w:lang w:val="en-US"/>
        </w:rPr>
        <w:t xml:space="preserve">UL BWP </w:t>
      </w:r>
      <m:oMath>
        <m:sSub>
          <m:sSubPr>
            <m:ctrlPr>
              <w:rPr>
                <w:rFonts w:ascii="Cambria Math" w:eastAsia="Gulim" w:hAnsi="Cambria Math"/>
                <w:i/>
                <w:lang w:eastAsia="ko-KR"/>
              </w:rPr>
            </m:ctrlPr>
          </m:sSubPr>
          <m:e>
            <m:r>
              <w:rPr>
                <w:rFonts w:ascii="Cambria Math" w:eastAsia="Gulim" w:hAnsi="Cambria Math"/>
                <w:lang w:eastAsia="ko-KR"/>
              </w:rPr>
              <m:t>b</m:t>
            </m:r>
          </m:e>
          <m:sub>
            <m:r>
              <w:rPr>
                <w:rFonts w:ascii="Cambria Math" w:eastAsia="Gulim" w:hAnsi="Cambria Math"/>
                <w:lang w:eastAsia="ko-KR"/>
              </w:rPr>
              <m:t>2</m:t>
            </m:r>
          </m:sub>
        </m:sSub>
      </m:oMath>
      <w:r w:rsidRPr="00F415B1">
        <w:rPr>
          <w:iCs/>
        </w:rPr>
        <w:t xml:space="preserve">, the UE provides a Type 1 power headroom report for </w:t>
      </w:r>
      <w:r w:rsidRPr="00F415B1">
        <w:rPr>
          <w:rFonts w:hint="eastAsia"/>
          <w:iCs/>
          <w:lang w:eastAsia="ko-KR"/>
        </w:rPr>
        <w:t>the first PUSCH</w:t>
      </w:r>
      <w:r w:rsidRPr="00F415B1">
        <w:rPr>
          <w:iCs/>
          <w:lang w:eastAsia="ko-KR"/>
        </w:rPr>
        <w:t>,</w:t>
      </w:r>
      <w:r w:rsidRPr="00F415B1">
        <w:rPr>
          <w:rFonts w:hint="eastAsia"/>
          <w:iCs/>
          <w:lang w:eastAsia="ko-KR"/>
        </w:rPr>
        <w:t xml:space="preserve"> if any</w:t>
      </w:r>
      <w:r w:rsidRPr="00F415B1">
        <w:rPr>
          <w:iCs/>
          <w:lang w:eastAsia="ko-KR"/>
        </w:rPr>
        <w:t>,</w:t>
      </w:r>
      <w:r w:rsidRPr="00F415B1">
        <w:rPr>
          <w:rFonts w:hint="eastAsia"/>
          <w:iCs/>
          <w:lang w:eastAsia="ko-KR"/>
        </w:rPr>
        <w:t xml:space="preserve"> on</w:t>
      </w:r>
      <w:r w:rsidRPr="00F415B1">
        <w:rPr>
          <w:iCs/>
        </w:rPr>
        <w:t xml:space="preserve"> the first slot of the multiple slots on active </w:t>
      </w:r>
      <w:r w:rsidRPr="00F415B1">
        <w:rPr>
          <w:lang w:val="en-US"/>
        </w:rPr>
        <w:t xml:space="preserve">UL BWP </w:t>
      </w:r>
      <m:oMath>
        <m:sSub>
          <m:sSubPr>
            <m:ctrlPr>
              <w:rPr>
                <w:rFonts w:ascii="Cambria Math" w:eastAsia="Gulim" w:hAnsi="Cambria Math"/>
                <w:i/>
                <w:lang w:eastAsia="ko-KR"/>
              </w:rPr>
            </m:ctrlPr>
          </m:sSubPr>
          <m:e>
            <m:r>
              <w:rPr>
                <w:rFonts w:ascii="Cambria Math" w:eastAsia="Gulim" w:hAnsi="Cambria Math"/>
                <w:lang w:eastAsia="ko-KR"/>
              </w:rPr>
              <m:t>b</m:t>
            </m:r>
          </m:e>
          <m:sub>
            <m:r>
              <w:rPr>
                <w:rFonts w:ascii="Cambria Math" w:eastAsia="Gulim" w:hAnsi="Cambria Math"/>
                <w:lang w:eastAsia="ko-KR"/>
              </w:rPr>
              <m:t>2</m:t>
            </m:r>
          </m:sub>
        </m:sSub>
      </m:oMath>
      <w:r w:rsidRPr="00F415B1">
        <w:rPr>
          <w:iCs/>
        </w:rPr>
        <w:t xml:space="preserve"> </w:t>
      </w:r>
      <w:r w:rsidRPr="00F415B1">
        <w:t xml:space="preserve">that fully overlaps with the slot on active UL BWP </w:t>
      </w:r>
      <m:oMath>
        <m:sSub>
          <m:sSubPr>
            <m:ctrlPr>
              <w:rPr>
                <w:rFonts w:ascii="Cambria Math" w:eastAsia="Gulim" w:hAnsi="Cambria Math"/>
                <w:i/>
                <w:lang w:eastAsia="ko-KR"/>
              </w:rPr>
            </m:ctrlPr>
          </m:sSubPr>
          <m:e>
            <m:r>
              <w:rPr>
                <w:rFonts w:ascii="Cambria Math" w:eastAsia="Gulim" w:hAnsi="Cambria Math"/>
                <w:lang w:eastAsia="ko-KR"/>
              </w:rPr>
              <m:t>b</m:t>
            </m:r>
          </m:e>
          <m:sub>
            <m:r>
              <w:rPr>
                <w:rFonts w:ascii="Cambria Math" w:eastAsia="Gulim" w:hAnsi="Cambria Math"/>
                <w:lang w:eastAsia="ko-KR"/>
              </w:rPr>
              <m:t>1</m:t>
            </m:r>
          </m:sub>
        </m:sSub>
      </m:oMath>
      <w:r w:rsidRPr="00F415B1">
        <w:t>. If a UE is configured with multiple cells for PUSCH transmissions, where a same SCS configuration on</w:t>
      </w:r>
      <w:r w:rsidRPr="00F415B1">
        <w:rPr>
          <w:lang w:val="x-none" w:eastAsia="x-none"/>
        </w:rPr>
        <w:t xml:space="preserve"> </w:t>
      </w:r>
      <w:r w:rsidRPr="00F415B1">
        <w:rPr>
          <w:lang w:val="en-US" w:eastAsia="x-none"/>
        </w:rPr>
        <w:t xml:space="preserve">active </w:t>
      </w:r>
      <w:r w:rsidRPr="00F415B1">
        <w:rPr>
          <w:lang w:val="en-US"/>
        </w:rPr>
        <w:t xml:space="preserve">UL BWP </w:t>
      </w:r>
      <m:oMath>
        <m:sSub>
          <m:sSubPr>
            <m:ctrlPr>
              <w:rPr>
                <w:rFonts w:ascii="Cambria Math" w:eastAsia="Gulim" w:hAnsi="Cambria Math"/>
                <w:i/>
                <w:lang w:eastAsia="ko-KR"/>
              </w:rPr>
            </m:ctrlPr>
          </m:sSubPr>
          <m:e>
            <m:r>
              <w:rPr>
                <w:rFonts w:ascii="Cambria Math" w:eastAsia="Gulim" w:hAnsi="Cambria Math"/>
                <w:lang w:eastAsia="ko-KR"/>
              </w:rPr>
              <m:t>b</m:t>
            </m:r>
          </m:e>
          <m:sub>
            <m:r>
              <w:rPr>
                <w:rFonts w:ascii="Cambria Math" w:eastAsia="Gulim" w:hAnsi="Cambria Math"/>
                <w:lang w:eastAsia="ko-KR"/>
              </w:rPr>
              <m:t>1</m:t>
            </m:r>
          </m:sub>
        </m:sSub>
      </m:oMath>
      <w:r w:rsidRPr="00F415B1">
        <w:rPr>
          <w:iCs/>
        </w:rPr>
        <w:t xml:space="preserve"> of </w:t>
      </w:r>
      <w:r w:rsidRPr="00F415B1">
        <w:rPr>
          <w:lang w:val="x-none" w:eastAsia="x-none"/>
        </w:rPr>
        <w:t xml:space="preserve">carrier </w:t>
      </w:r>
      <m:oMath>
        <m:sSub>
          <m:sSubPr>
            <m:ctrlPr>
              <w:rPr>
                <w:rFonts w:ascii="Cambria Math" w:eastAsia="Gulim" w:hAnsi="Cambria Math"/>
                <w:i/>
                <w:lang w:eastAsia="ko-KR"/>
              </w:rPr>
            </m:ctrlPr>
          </m:sSubPr>
          <m:e>
            <m:r>
              <w:rPr>
                <w:rFonts w:ascii="Cambria Math" w:eastAsia="Gulim" w:hAnsi="Cambria Math"/>
                <w:lang w:eastAsia="ko-KR"/>
              </w:rPr>
              <m:t>f</m:t>
            </m:r>
          </m:e>
          <m:sub>
            <m:r>
              <w:rPr>
                <w:rFonts w:ascii="Cambria Math" w:eastAsia="Gulim" w:hAnsi="Cambria Math"/>
                <w:lang w:eastAsia="ko-KR"/>
              </w:rPr>
              <m:t>1</m:t>
            </m:r>
          </m:sub>
        </m:sSub>
      </m:oMath>
      <w:r w:rsidRPr="00F415B1">
        <w:rPr>
          <w:lang w:val="en-US" w:eastAsia="x-none"/>
        </w:rPr>
        <w:t xml:space="preserve"> of </w:t>
      </w:r>
      <w:r w:rsidRPr="00F415B1">
        <w:rPr>
          <w:lang w:val="x-none" w:eastAsia="x-none"/>
        </w:rPr>
        <w:t xml:space="preserve">serving cell </w:t>
      </w:r>
      <m:oMath>
        <m:sSub>
          <m:sSubPr>
            <m:ctrlPr>
              <w:rPr>
                <w:rFonts w:ascii="Cambria Math" w:eastAsia="Gulim" w:hAnsi="Cambria Math"/>
                <w:i/>
                <w:lang w:eastAsia="ko-KR"/>
              </w:rPr>
            </m:ctrlPr>
          </m:sSubPr>
          <m:e>
            <m:r>
              <w:rPr>
                <w:rFonts w:ascii="Cambria Math" w:eastAsia="Gulim" w:hAnsi="Cambria Math"/>
                <w:lang w:eastAsia="ko-KR"/>
              </w:rPr>
              <m:t>c</m:t>
            </m:r>
          </m:e>
          <m:sub>
            <m:r>
              <w:rPr>
                <w:rFonts w:ascii="Cambria Math" w:eastAsia="Gulim" w:hAnsi="Cambria Math"/>
                <w:lang w:eastAsia="ko-KR"/>
              </w:rPr>
              <m:t>1</m:t>
            </m:r>
          </m:sub>
        </m:sSub>
      </m:oMath>
      <w:r w:rsidRPr="00F415B1">
        <w:rPr>
          <w:iCs/>
        </w:rPr>
        <w:t xml:space="preserve"> and </w:t>
      </w:r>
      <w:r w:rsidRPr="00F415B1">
        <w:t xml:space="preserve">active </w:t>
      </w:r>
      <w:r w:rsidRPr="00F415B1">
        <w:rPr>
          <w:lang w:val="en-US"/>
        </w:rPr>
        <w:t xml:space="preserve">UL BWP </w:t>
      </w:r>
      <m:oMath>
        <m:sSub>
          <m:sSubPr>
            <m:ctrlPr>
              <w:rPr>
                <w:rFonts w:ascii="Cambria Math" w:eastAsia="Gulim" w:hAnsi="Cambria Math"/>
                <w:i/>
                <w:lang w:eastAsia="ko-KR"/>
              </w:rPr>
            </m:ctrlPr>
          </m:sSubPr>
          <m:e>
            <m:r>
              <w:rPr>
                <w:rFonts w:ascii="Cambria Math" w:eastAsia="Gulim" w:hAnsi="Cambria Math"/>
                <w:lang w:eastAsia="ko-KR"/>
              </w:rPr>
              <m:t>b</m:t>
            </m:r>
          </m:e>
          <m:sub>
            <m:r>
              <w:rPr>
                <w:rFonts w:ascii="Cambria Math" w:eastAsia="Gulim" w:hAnsi="Cambria Math"/>
                <w:lang w:eastAsia="ko-KR"/>
              </w:rPr>
              <m:t>2</m:t>
            </m:r>
          </m:sub>
        </m:sSub>
      </m:oMath>
      <w:r w:rsidRPr="00F415B1">
        <w:rPr>
          <w:iCs/>
        </w:rPr>
        <w:t xml:space="preserve"> of </w:t>
      </w:r>
      <w:r w:rsidRPr="00F415B1">
        <w:rPr>
          <w:lang w:val="x-none" w:eastAsia="x-none"/>
        </w:rPr>
        <w:t xml:space="preserve">carrier </w:t>
      </w:r>
      <m:oMath>
        <m:sSub>
          <m:sSubPr>
            <m:ctrlPr>
              <w:rPr>
                <w:rFonts w:ascii="Cambria Math" w:eastAsia="Gulim" w:hAnsi="Cambria Math"/>
                <w:i/>
                <w:lang w:eastAsia="ko-KR"/>
              </w:rPr>
            </m:ctrlPr>
          </m:sSubPr>
          <m:e>
            <m:r>
              <w:rPr>
                <w:rFonts w:ascii="Cambria Math" w:eastAsia="Gulim" w:hAnsi="Cambria Math"/>
                <w:lang w:eastAsia="ko-KR"/>
              </w:rPr>
              <m:t>f</m:t>
            </m:r>
          </m:e>
          <m:sub>
            <m:r>
              <w:rPr>
                <w:rFonts w:ascii="Cambria Math" w:eastAsia="Gulim" w:hAnsi="Cambria Math"/>
                <w:lang w:eastAsia="ko-KR"/>
              </w:rPr>
              <m:t>2</m:t>
            </m:r>
          </m:sub>
        </m:sSub>
      </m:oMath>
      <w:r w:rsidRPr="00F415B1">
        <w:rPr>
          <w:lang w:val="en-US" w:eastAsia="x-none"/>
        </w:rPr>
        <w:t xml:space="preserve"> of </w:t>
      </w:r>
      <w:r w:rsidRPr="00F415B1">
        <w:rPr>
          <w:lang w:val="x-none" w:eastAsia="x-none"/>
        </w:rPr>
        <w:t xml:space="preserve">serving cell </w:t>
      </w:r>
      <m:oMath>
        <m:sSub>
          <m:sSubPr>
            <m:ctrlPr>
              <w:rPr>
                <w:rFonts w:ascii="Cambria Math" w:eastAsia="Gulim" w:hAnsi="Cambria Math"/>
                <w:i/>
                <w:lang w:eastAsia="ko-KR"/>
              </w:rPr>
            </m:ctrlPr>
          </m:sSubPr>
          <m:e>
            <m:r>
              <w:rPr>
                <w:rFonts w:ascii="Cambria Math" w:eastAsia="Gulim" w:hAnsi="Cambria Math"/>
                <w:lang w:eastAsia="ko-KR"/>
              </w:rPr>
              <m:t>c</m:t>
            </m:r>
          </m:e>
          <m:sub>
            <m:r>
              <w:rPr>
                <w:rFonts w:ascii="Cambria Math" w:eastAsia="Gulim" w:hAnsi="Cambria Math"/>
                <w:lang w:eastAsia="ko-KR"/>
              </w:rPr>
              <m:t>2</m:t>
            </m:r>
          </m:sub>
        </m:sSub>
      </m:oMath>
      <w:r w:rsidRPr="00F415B1">
        <w:rPr>
          <w:iCs/>
        </w:rPr>
        <w:t xml:space="preserve">, and if the UE provides a Type 1 power headroom report in a PUSCH transmission in a slot on active </w:t>
      </w:r>
      <w:r w:rsidRPr="00F415B1">
        <w:rPr>
          <w:lang w:val="en-US"/>
        </w:rPr>
        <w:t xml:space="preserve">UL BWP </w:t>
      </w:r>
      <m:oMath>
        <m:sSub>
          <m:sSubPr>
            <m:ctrlPr>
              <w:rPr>
                <w:rFonts w:ascii="Cambria Math" w:eastAsia="Gulim" w:hAnsi="Cambria Math"/>
                <w:i/>
                <w:lang w:eastAsia="ko-KR"/>
              </w:rPr>
            </m:ctrlPr>
          </m:sSubPr>
          <m:e>
            <m:r>
              <w:rPr>
                <w:rFonts w:ascii="Cambria Math" w:eastAsia="Gulim" w:hAnsi="Cambria Math"/>
                <w:lang w:eastAsia="ko-KR"/>
              </w:rPr>
              <m:t>b</m:t>
            </m:r>
          </m:e>
          <m:sub>
            <m:r>
              <w:rPr>
                <w:rFonts w:ascii="Cambria Math" w:eastAsia="Gulim" w:hAnsi="Cambria Math"/>
                <w:lang w:eastAsia="ko-KR"/>
              </w:rPr>
              <m:t>1</m:t>
            </m:r>
          </m:sub>
        </m:sSub>
      </m:oMath>
      <w:r w:rsidRPr="00F415B1">
        <w:rPr>
          <w:iCs/>
        </w:rPr>
        <w:t xml:space="preserve">, the UE provides a Type 1 power headroom report for </w:t>
      </w:r>
      <w:r w:rsidRPr="00F415B1">
        <w:rPr>
          <w:rFonts w:hint="eastAsia"/>
          <w:iCs/>
          <w:lang w:eastAsia="ko-KR"/>
        </w:rPr>
        <w:t>the first PUSCH</w:t>
      </w:r>
      <w:r w:rsidRPr="00F415B1">
        <w:rPr>
          <w:iCs/>
          <w:lang w:eastAsia="ko-KR"/>
        </w:rPr>
        <w:t>,</w:t>
      </w:r>
      <w:r w:rsidRPr="00F415B1">
        <w:rPr>
          <w:rFonts w:hint="eastAsia"/>
          <w:iCs/>
          <w:lang w:eastAsia="ko-KR"/>
        </w:rPr>
        <w:t xml:space="preserve"> if any</w:t>
      </w:r>
      <w:r w:rsidRPr="00F415B1">
        <w:rPr>
          <w:iCs/>
          <w:lang w:eastAsia="ko-KR"/>
        </w:rPr>
        <w:t>,</w:t>
      </w:r>
      <w:r w:rsidRPr="00F415B1">
        <w:rPr>
          <w:rFonts w:hint="eastAsia"/>
          <w:iCs/>
          <w:lang w:eastAsia="ko-KR"/>
        </w:rPr>
        <w:t xml:space="preserve"> on</w:t>
      </w:r>
      <w:r w:rsidRPr="00F415B1">
        <w:rPr>
          <w:iCs/>
        </w:rPr>
        <w:t xml:space="preserve"> the slot on active </w:t>
      </w:r>
      <w:r w:rsidRPr="00F415B1">
        <w:rPr>
          <w:lang w:val="en-US"/>
        </w:rPr>
        <w:t xml:space="preserve">UL BWP </w:t>
      </w:r>
      <m:oMath>
        <m:sSub>
          <m:sSubPr>
            <m:ctrlPr>
              <w:rPr>
                <w:rFonts w:ascii="Cambria Math" w:eastAsia="Gulim" w:hAnsi="Cambria Math"/>
                <w:i/>
                <w:lang w:eastAsia="ko-KR"/>
              </w:rPr>
            </m:ctrlPr>
          </m:sSubPr>
          <m:e>
            <m:r>
              <w:rPr>
                <w:rFonts w:ascii="Cambria Math" w:eastAsia="Gulim" w:hAnsi="Cambria Math"/>
                <w:lang w:eastAsia="ko-KR"/>
              </w:rPr>
              <m:t>b</m:t>
            </m:r>
          </m:e>
          <m:sub>
            <m:r>
              <w:rPr>
                <w:rFonts w:ascii="Cambria Math" w:eastAsia="Gulim" w:hAnsi="Cambria Math"/>
                <w:lang w:eastAsia="ko-KR"/>
              </w:rPr>
              <m:t>2</m:t>
            </m:r>
          </m:sub>
        </m:sSub>
      </m:oMath>
      <w:r w:rsidRPr="00F415B1">
        <w:rPr>
          <w:iCs/>
        </w:rPr>
        <w:t xml:space="preserve"> </w:t>
      </w:r>
      <w:r w:rsidRPr="00F415B1">
        <w:t xml:space="preserve">that overlaps with the slot on active UL BWP </w:t>
      </w:r>
      <m:oMath>
        <m:sSub>
          <m:sSubPr>
            <m:ctrlPr>
              <w:rPr>
                <w:rFonts w:ascii="Cambria Math" w:eastAsia="Gulim" w:hAnsi="Cambria Math"/>
                <w:i/>
                <w:lang w:eastAsia="ko-KR"/>
              </w:rPr>
            </m:ctrlPr>
          </m:sSubPr>
          <m:e>
            <m:r>
              <w:rPr>
                <w:rFonts w:ascii="Cambria Math" w:eastAsia="Gulim" w:hAnsi="Cambria Math"/>
                <w:lang w:eastAsia="ko-KR"/>
              </w:rPr>
              <m:t>b</m:t>
            </m:r>
          </m:e>
          <m:sub>
            <m:r>
              <w:rPr>
                <w:rFonts w:ascii="Cambria Math" w:eastAsia="Gulim" w:hAnsi="Cambria Math"/>
                <w:lang w:eastAsia="ko-KR"/>
              </w:rPr>
              <m:t>1</m:t>
            </m:r>
          </m:sub>
        </m:sSub>
      </m:oMath>
      <w:r w:rsidRPr="00F415B1">
        <w:t>.</w:t>
      </w:r>
    </w:p>
    <w:p w14:paraId="7FA326B0" w14:textId="77777777" w:rsidR="00D81BAA" w:rsidRPr="00F415B1" w:rsidRDefault="00D81BAA" w:rsidP="00D81BAA">
      <w:r w:rsidRPr="00F415B1">
        <w:t xml:space="preserve">If a UE is configured with multiple cells for PUSCH transmissions </w:t>
      </w:r>
      <w:r w:rsidRPr="00F415B1">
        <w:rPr>
          <w:iCs/>
        </w:rPr>
        <w:t xml:space="preserve">and provides a Type 1 power headroom report in a PUSCH transmission with PUSCH repetition Type B having a nominal repetition that spans multiple slots on active </w:t>
      </w:r>
      <w:r w:rsidRPr="00F415B1">
        <w:t xml:space="preserve">UL BWP </w:t>
      </w:r>
      <m:oMath>
        <m:sSub>
          <m:sSubPr>
            <m:ctrlPr>
              <w:rPr>
                <w:rFonts w:ascii="Cambria Math" w:eastAsia="Gulim" w:hAnsi="Cambria Math"/>
                <w:i/>
                <w:lang w:eastAsia="ko-KR"/>
              </w:rPr>
            </m:ctrlPr>
          </m:sSubPr>
          <m:e>
            <m:r>
              <w:rPr>
                <w:rFonts w:ascii="Cambria Math" w:eastAsia="Gulim" w:hAnsi="Cambria Math"/>
                <w:lang w:eastAsia="ko-KR"/>
              </w:rPr>
              <m:t>b</m:t>
            </m:r>
          </m:e>
          <m:sub>
            <m:r>
              <w:rPr>
                <w:rFonts w:ascii="Cambria Math" w:eastAsia="Gulim" w:hAnsi="Cambria Math"/>
                <w:lang w:eastAsia="ko-KR"/>
              </w:rPr>
              <m:t>1</m:t>
            </m:r>
          </m:sub>
        </m:sSub>
      </m:oMath>
      <w:r w:rsidRPr="00F415B1">
        <w:rPr>
          <w:iCs/>
        </w:rPr>
        <w:t xml:space="preserve"> and overlaps with one or more slots on active </w:t>
      </w:r>
      <w:r w:rsidRPr="00F415B1">
        <w:t xml:space="preserve">UL BWP </w:t>
      </w:r>
      <m:oMath>
        <m:sSub>
          <m:sSubPr>
            <m:ctrlPr>
              <w:rPr>
                <w:rFonts w:ascii="Cambria Math" w:eastAsia="Gulim" w:hAnsi="Cambria Math"/>
                <w:i/>
                <w:lang w:eastAsia="ko-KR"/>
              </w:rPr>
            </m:ctrlPr>
          </m:sSubPr>
          <m:e>
            <m:r>
              <w:rPr>
                <w:rFonts w:ascii="Cambria Math" w:eastAsia="Gulim" w:hAnsi="Cambria Math"/>
                <w:lang w:eastAsia="ko-KR"/>
              </w:rPr>
              <m:t>b</m:t>
            </m:r>
          </m:e>
          <m:sub>
            <m:r>
              <w:rPr>
                <w:rFonts w:ascii="Cambria Math" w:eastAsia="Gulim" w:hAnsi="Cambria Math"/>
                <w:lang w:eastAsia="ko-KR"/>
              </w:rPr>
              <m:t>2</m:t>
            </m:r>
          </m:sub>
        </m:sSub>
      </m:oMath>
      <w:r w:rsidRPr="00F415B1">
        <w:rPr>
          <w:iCs/>
        </w:rPr>
        <w:t xml:space="preserve">, the UE provides a Type 1 power headroom report for </w:t>
      </w:r>
      <w:r w:rsidRPr="00F415B1">
        <w:rPr>
          <w:iCs/>
          <w:lang w:eastAsia="ko-KR"/>
        </w:rPr>
        <w:t>the first PUSCH, if any, on</w:t>
      </w:r>
      <w:r w:rsidRPr="00F415B1">
        <w:rPr>
          <w:iCs/>
        </w:rPr>
        <w:t xml:space="preserve"> the first slot of the one or more slots on active </w:t>
      </w:r>
      <w:r w:rsidRPr="00F415B1">
        <w:t xml:space="preserve">UL BWP </w:t>
      </w:r>
      <m:oMath>
        <m:sSub>
          <m:sSubPr>
            <m:ctrlPr>
              <w:rPr>
                <w:rFonts w:ascii="Cambria Math" w:eastAsia="Gulim" w:hAnsi="Cambria Math"/>
                <w:i/>
                <w:lang w:eastAsia="ko-KR"/>
              </w:rPr>
            </m:ctrlPr>
          </m:sSubPr>
          <m:e>
            <m:r>
              <w:rPr>
                <w:rFonts w:ascii="Cambria Math" w:eastAsia="Gulim" w:hAnsi="Cambria Math"/>
                <w:lang w:eastAsia="ko-KR"/>
              </w:rPr>
              <m:t>b</m:t>
            </m:r>
          </m:e>
          <m:sub>
            <m:r>
              <w:rPr>
                <w:rFonts w:ascii="Cambria Math" w:eastAsia="Gulim" w:hAnsi="Cambria Math"/>
                <w:lang w:eastAsia="ko-KR"/>
              </w:rPr>
              <m:t>2</m:t>
            </m:r>
          </m:sub>
        </m:sSub>
      </m:oMath>
      <w:r w:rsidRPr="00F415B1">
        <w:rPr>
          <w:iCs/>
        </w:rPr>
        <w:t xml:space="preserve"> </w:t>
      </w:r>
      <w:r w:rsidRPr="00F415B1">
        <w:t xml:space="preserve">that overlaps with the </w:t>
      </w:r>
      <w:r w:rsidRPr="00F415B1">
        <w:rPr>
          <w:lang w:val="en-US" w:eastAsia="zh-CN"/>
        </w:rPr>
        <w:t>multiple slots of the</w:t>
      </w:r>
      <w:r w:rsidRPr="00F415B1">
        <w:rPr>
          <w:rFonts w:hint="eastAsia"/>
          <w:lang w:val="en-US" w:eastAsia="zh-CN"/>
        </w:rPr>
        <w:t xml:space="preserve"> </w:t>
      </w:r>
      <w:r w:rsidRPr="00F415B1">
        <w:rPr>
          <w:rFonts w:hint="eastAsia"/>
          <w:lang w:eastAsia="zh-CN"/>
        </w:rPr>
        <w:t>n</w:t>
      </w:r>
      <w:r w:rsidRPr="00F415B1">
        <w:t xml:space="preserve">ominal repetition on active UL BWP </w:t>
      </w:r>
      <m:oMath>
        <m:sSub>
          <m:sSubPr>
            <m:ctrlPr>
              <w:rPr>
                <w:rFonts w:ascii="Cambria Math" w:eastAsia="Gulim" w:hAnsi="Cambria Math"/>
                <w:i/>
                <w:lang w:eastAsia="ko-KR"/>
              </w:rPr>
            </m:ctrlPr>
          </m:sSubPr>
          <m:e>
            <m:r>
              <w:rPr>
                <w:rFonts w:ascii="Cambria Math" w:eastAsia="Gulim" w:hAnsi="Cambria Math"/>
                <w:lang w:eastAsia="ko-KR"/>
              </w:rPr>
              <m:t>b</m:t>
            </m:r>
          </m:e>
          <m:sub>
            <m:r>
              <w:rPr>
                <w:rFonts w:ascii="Cambria Math" w:eastAsia="Gulim" w:hAnsi="Cambria Math"/>
                <w:lang w:eastAsia="ko-KR"/>
              </w:rPr>
              <m:t>1</m:t>
            </m:r>
          </m:sub>
        </m:sSub>
      </m:oMath>
      <w:r w:rsidRPr="00F415B1">
        <w:t>.</w:t>
      </w:r>
    </w:p>
    <w:p w14:paraId="31101DE2" w14:textId="77777777" w:rsidR="00D81BAA" w:rsidRPr="00F415B1" w:rsidRDefault="00D81BAA" w:rsidP="00D81BAA">
      <w:pPr>
        <w:rPr>
          <w:lang w:eastAsia="ja-JP"/>
        </w:rPr>
      </w:pPr>
      <w:r w:rsidRPr="00F415B1">
        <w:rPr>
          <w:lang w:eastAsia="ja-JP"/>
        </w:rPr>
        <w:t>For a UE configured with EN-DC/NE-DC and capable of dynamic power sharing,</w:t>
      </w:r>
      <w:r w:rsidRPr="00F415B1">
        <w:rPr>
          <w:lang w:val="en-US" w:eastAsia="ja-JP"/>
        </w:rPr>
        <w:t xml:space="preserve"> if</w:t>
      </w:r>
      <w:r w:rsidRPr="00F415B1">
        <w:t xml:space="preserve"> </w:t>
      </w:r>
      <w:r w:rsidRPr="00F415B1">
        <w:rPr>
          <w:lang w:val="en-US" w:eastAsia="ja-JP"/>
        </w:rPr>
        <w:t xml:space="preserve">E-UTRA Dual Connectivity PHR </w:t>
      </w:r>
      <w:r w:rsidRPr="00F415B1">
        <w:rPr>
          <w:lang w:eastAsia="zh-CN"/>
        </w:rPr>
        <w:t>[14, TS 36.321] is triggered</w:t>
      </w:r>
      <w:r w:rsidRPr="00F415B1">
        <w:rPr>
          <w:lang w:val="en-US" w:eastAsia="ja-JP"/>
        </w:rPr>
        <w:t>, the UE provides power headroom of the first PUSCH, if any, on the determined NR slot as described in clause 7.7.</w:t>
      </w:r>
    </w:p>
    <w:p w14:paraId="525728F6" w14:textId="77777777" w:rsidR="00D81BAA" w:rsidRPr="00F415B1" w:rsidRDefault="00D81BAA" w:rsidP="00D81BAA">
      <w:pPr>
        <w:rPr>
          <w:iCs/>
        </w:rPr>
      </w:pPr>
      <w:r w:rsidRPr="00F415B1">
        <w:t xml:space="preserve">If a UE is configured with multiple cells for PUSCH transmissions, the UE does not consider for computation of a Type 1 power headroom report in a first PUSCH transmission that includes an initial transmission of transport block on active </w:t>
      </w:r>
      <w:r w:rsidRPr="00F415B1">
        <w:rPr>
          <w:lang w:val="en-US"/>
        </w:rPr>
        <w:t xml:space="preserve">UL BWP </w:t>
      </w:r>
      <m:oMath>
        <m:sSub>
          <m:sSubPr>
            <m:ctrlPr>
              <w:rPr>
                <w:rFonts w:ascii="Cambria Math" w:eastAsia="Gulim" w:hAnsi="Cambria Math"/>
                <w:i/>
                <w:lang w:eastAsia="ko-KR"/>
              </w:rPr>
            </m:ctrlPr>
          </m:sSubPr>
          <m:e>
            <m:r>
              <w:rPr>
                <w:rFonts w:ascii="Cambria Math" w:eastAsia="Gulim" w:hAnsi="Cambria Math"/>
                <w:lang w:eastAsia="ko-KR"/>
              </w:rPr>
              <m:t>b</m:t>
            </m:r>
          </m:e>
          <m:sub>
            <m:r>
              <w:rPr>
                <w:rFonts w:ascii="Cambria Math" w:eastAsia="Gulim" w:hAnsi="Cambria Math"/>
                <w:lang w:eastAsia="ko-KR"/>
              </w:rPr>
              <m:t>1</m:t>
            </m:r>
          </m:sub>
        </m:sSub>
      </m:oMath>
      <w:r w:rsidRPr="00F415B1">
        <w:rPr>
          <w:iCs/>
        </w:rPr>
        <w:t xml:space="preserve"> of </w:t>
      </w:r>
      <w:r w:rsidRPr="00F415B1">
        <w:rPr>
          <w:lang w:val="x-none" w:eastAsia="x-none"/>
        </w:rPr>
        <w:t xml:space="preserve">carrier </w:t>
      </w:r>
      <m:oMath>
        <m:sSub>
          <m:sSubPr>
            <m:ctrlPr>
              <w:rPr>
                <w:rFonts w:ascii="Cambria Math" w:eastAsia="Gulim" w:hAnsi="Cambria Math"/>
                <w:i/>
                <w:lang w:eastAsia="ko-KR"/>
              </w:rPr>
            </m:ctrlPr>
          </m:sSubPr>
          <m:e>
            <m:r>
              <w:rPr>
                <w:rFonts w:ascii="Cambria Math" w:eastAsia="Gulim" w:hAnsi="Cambria Math"/>
                <w:lang w:eastAsia="ko-KR"/>
              </w:rPr>
              <m:t>f</m:t>
            </m:r>
          </m:e>
          <m:sub>
            <m:r>
              <w:rPr>
                <w:rFonts w:ascii="Cambria Math" w:eastAsia="Gulim" w:hAnsi="Cambria Math"/>
                <w:lang w:eastAsia="ko-KR"/>
              </w:rPr>
              <m:t>1</m:t>
            </m:r>
          </m:sub>
        </m:sSub>
      </m:oMath>
      <w:r w:rsidRPr="00F415B1">
        <w:rPr>
          <w:lang w:val="en-US" w:eastAsia="x-none"/>
        </w:rPr>
        <w:t xml:space="preserve"> of </w:t>
      </w:r>
      <w:r w:rsidRPr="00F415B1">
        <w:rPr>
          <w:lang w:val="x-none" w:eastAsia="x-none"/>
        </w:rPr>
        <w:t xml:space="preserve">serving cell </w:t>
      </w:r>
      <m:oMath>
        <m:sSub>
          <m:sSubPr>
            <m:ctrlPr>
              <w:rPr>
                <w:rFonts w:ascii="Cambria Math" w:eastAsia="Gulim" w:hAnsi="Cambria Math"/>
                <w:i/>
                <w:lang w:eastAsia="ko-KR"/>
              </w:rPr>
            </m:ctrlPr>
          </m:sSubPr>
          <m:e>
            <m:r>
              <w:rPr>
                <w:rFonts w:ascii="Cambria Math" w:eastAsia="Gulim" w:hAnsi="Cambria Math"/>
                <w:lang w:eastAsia="ko-KR"/>
              </w:rPr>
              <m:t>c</m:t>
            </m:r>
          </m:e>
          <m:sub>
            <m:r>
              <w:rPr>
                <w:rFonts w:ascii="Cambria Math" w:eastAsia="Gulim" w:hAnsi="Cambria Math"/>
                <w:lang w:eastAsia="ko-KR"/>
              </w:rPr>
              <m:t>1</m:t>
            </m:r>
          </m:sub>
        </m:sSub>
      </m:oMath>
      <w:r w:rsidRPr="00F415B1">
        <w:rPr>
          <w:iCs/>
        </w:rPr>
        <w:t xml:space="preserve">, a second </w:t>
      </w:r>
      <w:r w:rsidRPr="00F415B1">
        <w:t xml:space="preserve">PUSCH transmission on active </w:t>
      </w:r>
      <w:r w:rsidRPr="00F415B1">
        <w:rPr>
          <w:lang w:val="en-US"/>
        </w:rPr>
        <w:t xml:space="preserve">UL BWP </w:t>
      </w:r>
      <m:oMath>
        <m:sSub>
          <m:sSubPr>
            <m:ctrlPr>
              <w:rPr>
                <w:rFonts w:ascii="Cambria Math" w:eastAsia="Gulim" w:hAnsi="Cambria Math"/>
                <w:i/>
                <w:lang w:eastAsia="ko-KR"/>
              </w:rPr>
            </m:ctrlPr>
          </m:sSubPr>
          <m:e>
            <m:r>
              <w:rPr>
                <w:rFonts w:ascii="Cambria Math" w:eastAsia="Gulim" w:hAnsi="Cambria Math"/>
                <w:lang w:eastAsia="ko-KR"/>
              </w:rPr>
              <m:t>b</m:t>
            </m:r>
          </m:e>
          <m:sub>
            <m:r>
              <w:rPr>
                <w:rFonts w:ascii="Cambria Math" w:eastAsia="Gulim" w:hAnsi="Cambria Math"/>
                <w:lang w:eastAsia="ko-KR"/>
              </w:rPr>
              <m:t>2</m:t>
            </m:r>
          </m:sub>
        </m:sSub>
      </m:oMath>
      <w:r w:rsidRPr="00F415B1">
        <w:rPr>
          <w:iCs/>
        </w:rPr>
        <w:t xml:space="preserve"> of </w:t>
      </w:r>
      <w:r w:rsidRPr="00F415B1">
        <w:rPr>
          <w:lang w:val="x-none" w:eastAsia="x-none"/>
        </w:rPr>
        <w:t xml:space="preserve">carrier </w:t>
      </w:r>
      <m:oMath>
        <m:sSub>
          <m:sSubPr>
            <m:ctrlPr>
              <w:rPr>
                <w:rFonts w:ascii="Cambria Math" w:eastAsia="Gulim" w:hAnsi="Cambria Math"/>
                <w:i/>
                <w:lang w:eastAsia="ko-KR"/>
              </w:rPr>
            </m:ctrlPr>
          </m:sSubPr>
          <m:e>
            <m:r>
              <w:rPr>
                <w:rFonts w:ascii="Cambria Math" w:eastAsia="Gulim" w:hAnsi="Cambria Math"/>
                <w:lang w:eastAsia="ko-KR"/>
              </w:rPr>
              <m:t>f</m:t>
            </m:r>
          </m:e>
          <m:sub>
            <m:r>
              <w:rPr>
                <w:rFonts w:ascii="Cambria Math" w:eastAsia="Gulim" w:hAnsi="Cambria Math"/>
                <w:lang w:eastAsia="ko-KR"/>
              </w:rPr>
              <m:t>2</m:t>
            </m:r>
          </m:sub>
        </m:sSub>
      </m:oMath>
      <w:r w:rsidRPr="00F415B1">
        <w:rPr>
          <w:lang w:val="en-US" w:eastAsia="x-none"/>
        </w:rPr>
        <w:t xml:space="preserve"> of </w:t>
      </w:r>
      <w:r w:rsidRPr="00F415B1">
        <w:rPr>
          <w:lang w:val="x-none" w:eastAsia="x-none"/>
        </w:rPr>
        <w:t xml:space="preserve">serving cell </w:t>
      </w:r>
      <m:oMath>
        <m:sSub>
          <m:sSubPr>
            <m:ctrlPr>
              <w:rPr>
                <w:rFonts w:ascii="Cambria Math" w:eastAsia="Gulim" w:hAnsi="Cambria Math"/>
                <w:i/>
                <w:lang w:eastAsia="ko-KR"/>
              </w:rPr>
            </m:ctrlPr>
          </m:sSubPr>
          <m:e>
            <m:r>
              <w:rPr>
                <w:rFonts w:ascii="Cambria Math" w:eastAsia="Gulim" w:hAnsi="Cambria Math"/>
                <w:lang w:eastAsia="ko-KR"/>
              </w:rPr>
              <m:t>c</m:t>
            </m:r>
          </m:e>
          <m:sub>
            <m:r>
              <w:rPr>
                <w:rFonts w:ascii="Cambria Math" w:eastAsia="Gulim" w:hAnsi="Cambria Math"/>
                <w:lang w:eastAsia="ko-KR"/>
              </w:rPr>
              <m:t>2</m:t>
            </m:r>
          </m:sub>
        </m:sSub>
      </m:oMath>
      <w:r w:rsidRPr="00F415B1">
        <w:rPr>
          <w:iCs/>
        </w:rPr>
        <w:t xml:space="preserve"> that overlaps with the first PUSCH transmission if </w:t>
      </w:r>
    </w:p>
    <w:p w14:paraId="407C2968" w14:textId="4A8A8E82" w:rsidR="000600C3" w:rsidRPr="00B14B0A" w:rsidRDefault="000600C3" w:rsidP="000600C3">
      <w:pPr>
        <w:pStyle w:val="B1"/>
      </w:pPr>
      <w:r w:rsidRPr="008E3A86">
        <w:t>-</w:t>
      </w:r>
      <w:r w:rsidRPr="008E3A86">
        <w:tab/>
        <w:t xml:space="preserve">the second PUSCH </w:t>
      </w:r>
      <w:r w:rsidRPr="00655B5E">
        <w:t xml:space="preserve">transmission is </w:t>
      </w:r>
      <w:r>
        <w:rPr>
          <w:lang w:val="en-US"/>
        </w:rPr>
        <w:t>scheduled by</w:t>
      </w:r>
      <w:r w:rsidRPr="00655B5E">
        <w:t xml:space="preserve"> a DCI format in a </w:t>
      </w:r>
      <w:r w:rsidRPr="00C44E9C">
        <w:t>PDCCH received in a</w:t>
      </w:r>
      <w:r w:rsidRPr="00B14B0A">
        <w:t xml:space="preserve"> second PDCCH monitoring occasion, and</w:t>
      </w:r>
    </w:p>
    <w:p w14:paraId="764D5837" w14:textId="784C9FBC" w:rsidR="007146CD" w:rsidRDefault="000600C3" w:rsidP="007146CD">
      <w:pPr>
        <w:pStyle w:val="B1"/>
      </w:pPr>
      <w:r w:rsidRPr="00347C78">
        <w:t>-</w:t>
      </w:r>
      <w:r w:rsidRPr="00347C78">
        <w:tab/>
        <w:t xml:space="preserve">the second PDCCH monitoring occasion is after a first PDCCH monitoring occasion where the UE detects </w:t>
      </w:r>
      <w:r>
        <w:rPr>
          <w:lang w:val="en-US"/>
        </w:rPr>
        <w:t>the earliest</w:t>
      </w:r>
      <w:r w:rsidRPr="00347C78">
        <w:t xml:space="preserve"> DCI format scheduling </w:t>
      </w:r>
      <w:r w:rsidRPr="00347C78">
        <w:rPr>
          <w:lang w:val="en-US"/>
        </w:rPr>
        <w:t>an initial</w:t>
      </w:r>
      <w:r w:rsidRPr="00347C78">
        <w:t xml:space="preserve"> transmission</w:t>
      </w:r>
      <w:r w:rsidRPr="00347C78">
        <w:rPr>
          <w:lang w:val="en-US"/>
        </w:rPr>
        <w:t xml:space="preserve"> </w:t>
      </w:r>
      <w:r w:rsidRPr="00347C78">
        <w:t xml:space="preserve">of a transport block </w:t>
      </w:r>
      <w:r>
        <w:rPr>
          <w:lang w:val="en-US"/>
        </w:rPr>
        <w:t>after</w:t>
      </w:r>
      <w:r w:rsidRPr="00347C78">
        <w:t xml:space="preserve"> a power headroom report was triggered</w:t>
      </w:r>
      <w:r w:rsidR="007146CD" w:rsidRPr="007146CD">
        <w:t xml:space="preserve"> </w:t>
      </w:r>
    </w:p>
    <w:p w14:paraId="103E233B" w14:textId="77777777" w:rsidR="007146CD" w:rsidRDefault="007146CD" w:rsidP="00316343">
      <w:r>
        <w:t xml:space="preserve">or </w:t>
      </w:r>
    </w:p>
    <w:p w14:paraId="3ADA3B9E" w14:textId="7C9FE427" w:rsidR="000600C3" w:rsidRPr="00347C78" w:rsidRDefault="007146CD" w:rsidP="007146CD">
      <w:pPr>
        <w:pStyle w:val="B1"/>
      </w:pPr>
      <w:r w:rsidRPr="008E3A86">
        <w:t>-</w:t>
      </w:r>
      <w:r w:rsidRPr="008E3A86">
        <w:tab/>
      </w:r>
      <w:r>
        <w:t xml:space="preserve">the second PUSCH transmission is after </w:t>
      </w:r>
      <w:r w:rsidRPr="000A734C">
        <w:t>the first uplink symbol</w:t>
      </w:r>
      <w:r>
        <w:t xml:space="preserve"> of the first PUSCH transmission minus </w:t>
      </w:r>
      <m:oMath>
        <m:sSub>
          <m:sSubPr>
            <m:ctrlPr>
              <w:rPr>
                <w:rFonts w:ascii="Cambria Math" w:eastAsia="Gulim" w:hAnsi="Cambria Math"/>
                <w:i/>
                <w:lang w:eastAsia="ko-KR"/>
              </w:rPr>
            </m:ctrlPr>
          </m:sSubPr>
          <m:e>
            <m:r>
              <w:rPr>
                <w:rFonts w:ascii="Cambria Math" w:eastAsia="Gulim" w:hAnsi="Cambria Math"/>
                <w:lang w:eastAsia="ko-KR"/>
              </w:rPr>
              <m:t>T'</m:t>
            </m:r>
          </m:e>
          <m:sub>
            <m:r>
              <m:rPr>
                <m:sty m:val="p"/>
              </m:rPr>
              <w:rPr>
                <w:rFonts w:ascii="Cambria Math" w:eastAsia="Gulim" w:hAnsi="Cambria Math"/>
                <w:lang w:eastAsia="ko-KR"/>
              </w:rPr>
              <m:t>proc,2</m:t>
            </m:r>
          </m:sub>
        </m:sSub>
        <m:r>
          <w:rPr>
            <w:rFonts w:ascii="Cambria Math" w:hAnsi="Cambria Math"/>
          </w:rPr>
          <m:t>=</m:t>
        </m:r>
        <m:sSub>
          <m:sSubPr>
            <m:ctrlPr>
              <w:rPr>
                <w:rFonts w:ascii="Cambria Math" w:eastAsia="Gulim" w:hAnsi="Cambria Math"/>
                <w:i/>
                <w:lang w:eastAsia="ko-KR"/>
              </w:rPr>
            </m:ctrlPr>
          </m:sSubPr>
          <m:e>
            <m:r>
              <w:rPr>
                <w:rFonts w:ascii="Cambria Math" w:eastAsia="Gulim" w:hAnsi="Cambria Math"/>
                <w:lang w:eastAsia="ko-KR"/>
              </w:rPr>
              <m:t>T</m:t>
            </m:r>
          </m:e>
          <m:sub>
            <m:r>
              <m:rPr>
                <m:sty m:val="p"/>
              </m:rPr>
              <w:rPr>
                <w:rFonts w:ascii="Cambria Math" w:eastAsia="Gulim" w:hAnsi="Cambria Math"/>
                <w:lang w:eastAsia="ko-KR"/>
              </w:rPr>
              <m:t>proc,2</m:t>
            </m:r>
          </m:sub>
        </m:sSub>
      </m:oMath>
      <w:r w:rsidRPr="005E45BC">
        <w:rPr>
          <w:lang w:eastAsia="ko-KR"/>
        </w:rPr>
        <w:t xml:space="preserve"> where </w:t>
      </w:r>
      <m:oMath>
        <m:sSub>
          <m:sSubPr>
            <m:ctrlPr>
              <w:rPr>
                <w:rFonts w:ascii="Cambria Math" w:eastAsia="Gulim" w:hAnsi="Cambria Math"/>
                <w:i/>
                <w:lang w:eastAsia="ko-KR"/>
              </w:rPr>
            </m:ctrlPr>
          </m:sSubPr>
          <m:e>
            <m:r>
              <w:rPr>
                <w:rFonts w:ascii="Cambria Math" w:eastAsia="Gulim" w:hAnsi="Cambria Math"/>
                <w:lang w:eastAsia="ko-KR"/>
              </w:rPr>
              <m:t>T</m:t>
            </m:r>
          </m:e>
          <m:sub>
            <m:r>
              <m:rPr>
                <m:sty m:val="p"/>
              </m:rPr>
              <w:rPr>
                <w:rFonts w:ascii="Cambria Math" w:eastAsia="Gulim" w:hAnsi="Cambria Math"/>
                <w:lang w:eastAsia="ko-KR"/>
              </w:rPr>
              <m:t>proc,2</m:t>
            </m:r>
          </m:sub>
        </m:sSub>
      </m:oMath>
      <w:r w:rsidRPr="000A734C">
        <w:t xml:space="preserve"> </w:t>
      </w:r>
      <w:r>
        <w:t>is determined according to [6, TS 38.214]</w:t>
      </w:r>
      <w:r w:rsidRPr="008F6580">
        <w:rPr>
          <w:lang w:eastAsia="ko-KR"/>
        </w:rPr>
        <w:t xml:space="preserve"> </w:t>
      </w:r>
      <w:r>
        <w:rPr>
          <w:lang w:eastAsia="ko-KR"/>
        </w:rPr>
        <w:t xml:space="preserve">assuming </w:t>
      </w:r>
      <m:oMath>
        <m:sSub>
          <m:sSubPr>
            <m:ctrlPr>
              <w:rPr>
                <w:rFonts w:ascii="Cambria Math" w:eastAsia="Gulim" w:hAnsi="Cambria Math"/>
                <w:i/>
                <w:lang w:eastAsia="ko-KR"/>
              </w:rPr>
            </m:ctrlPr>
          </m:sSubPr>
          <m:e>
            <m:r>
              <w:rPr>
                <w:rFonts w:ascii="Cambria Math" w:eastAsia="Gulim" w:hAnsi="Cambria Math"/>
                <w:lang w:eastAsia="ko-KR"/>
              </w:rPr>
              <m:t>d</m:t>
            </m:r>
          </m:e>
          <m:sub>
            <m:r>
              <w:rPr>
                <w:rFonts w:ascii="Cambria Math" w:eastAsia="Gulim" w:hAnsi="Cambria Math"/>
                <w:lang w:eastAsia="ko-KR"/>
              </w:rPr>
              <m:t>2,1</m:t>
            </m:r>
          </m:sub>
        </m:sSub>
        <m:r>
          <w:rPr>
            <w:rFonts w:ascii="Cambria Math" w:eastAsia="Gulim" w:hAnsi="Cambria Math"/>
            <w:lang w:eastAsia="ko-KR"/>
          </w:rPr>
          <m:t>=1</m:t>
        </m:r>
      </m:oMath>
      <w:r>
        <w:rPr>
          <w:lang w:eastAsia="ko-KR"/>
        </w:rPr>
        <w:t xml:space="preserve">, </w:t>
      </w:r>
      <m:oMath>
        <m:sSub>
          <m:sSubPr>
            <m:ctrlPr>
              <w:rPr>
                <w:rFonts w:ascii="Cambria Math" w:eastAsia="Gulim" w:hAnsi="Cambria Math"/>
                <w:i/>
                <w:lang w:eastAsia="ko-KR"/>
              </w:rPr>
            </m:ctrlPr>
          </m:sSubPr>
          <m:e>
            <m:r>
              <w:rPr>
                <w:rFonts w:ascii="Cambria Math" w:eastAsia="Gulim" w:hAnsi="Cambria Math"/>
                <w:lang w:eastAsia="ko-KR"/>
              </w:rPr>
              <m:t>d</m:t>
            </m:r>
          </m:e>
          <m:sub>
            <m:r>
              <w:rPr>
                <w:rFonts w:ascii="Cambria Math" w:eastAsia="Gulim" w:hAnsi="Cambria Math"/>
                <w:lang w:eastAsia="ko-KR"/>
              </w:rPr>
              <m:t>2,2</m:t>
            </m:r>
          </m:sub>
        </m:sSub>
        <m:r>
          <w:rPr>
            <w:rFonts w:ascii="Cambria Math" w:eastAsia="Gulim" w:hAnsi="Cambria Math"/>
            <w:lang w:eastAsia="ko-KR"/>
          </w:rPr>
          <m:t>=0</m:t>
        </m:r>
      </m:oMath>
      <w:r>
        <w:rPr>
          <w:lang w:val="en-AU"/>
        </w:rPr>
        <w:t>, and</w:t>
      </w:r>
      <w:r>
        <w:rPr>
          <w:lang w:eastAsia="ko-KR"/>
        </w:rPr>
        <w:t xml:space="preserve"> with </w:t>
      </w:r>
      <m:oMath>
        <m:sSub>
          <m:sSubPr>
            <m:ctrlPr>
              <w:rPr>
                <w:rFonts w:ascii="Cambria Math" w:eastAsia="Gulim" w:hAnsi="Cambria Math"/>
                <w:i/>
                <w:lang w:eastAsia="ko-KR"/>
              </w:rPr>
            </m:ctrlPr>
          </m:sSubPr>
          <m:e>
            <m:r>
              <w:rPr>
                <w:rFonts w:ascii="Cambria Math" w:eastAsia="Gulim" w:hAnsi="Cambria Math"/>
                <w:lang w:eastAsia="ko-KR"/>
              </w:rPr>
              <m:t>μ</m:t>
            </m:r>
          </m:e>
          <m:sub>
            <m:r>
              <m:rPr>
                <m:sty m:val="p"/>
              </m:rPr>
              <w:rPr>
                <w:rFonts w:ascii="Cambria Math" w:eastAsia="Gulim" w:hAnsi="Cambria Math"/>
                <w:lang w:eastAsia="ko-KR"/>
              </w:rPr>
              <m:t>DL</m:t>
            </m:r>
          </m:sub>
        </m:sSub>
      </m:oMath>
      <w:r>
        <w:rPr>
          <w:lang w:eastAsia="ko-KR"/>
        </w:rPr>
        <w:t xml:space="preserve"> corresponding to the subcarrier spacing of the active downlink BWP of the scheduling cell for a configured grant</w:t>
      </w:r>
      <w:r>
        <w:t xml:space="preserve"> if the first PUSCH transmission is on a configured grant</w:t>
      </w:r>
      <w:r w:rsidRPr="000A734C">
        <w:t xml:space="preserve"> after</w:t>
      </w:r>
      <w:r w:rsidRPr="00347C78">
        <w:t xml:space="preserve"> a power headroom report was triggered</w:t>
      </w:r>
      <w:r>
        <w:t>.</w:t>
      </w:r>
    </w:p>
    <w:p w14:paraId="2D19AC38" w14:textId="77777777" w:rsidR="00CF71DF" w:rsidRPr="00F415B1" w:rsidRDefault="00CF71DF" w:rsidP="00CF71DF">
      <w:r w:rsidRPr="00F415B1">
        <w:lastRenderedPageBreak/>
        <w:t xml:space="preserve">If the UE determines that </w:t>
      </w:r>
      <w:r w:rsidRPr="00F415B1">
        <w:rPr>
          <w:lang w:eastAsia="ko-KR"/>
        </w:rPr>
        <w:t>a Type 1 power headroom report for an activated serving cell is based on a reference PUSCH transmission</w:t>
      </w:r>
      <w:r w:rsidRPr="00F415B1">
        <w:t xml:space="preserve"> then, for</w:t>
      </w:r>
      <w:r w:rsidRPr="00F415B1">
        <w:rPr>
          <w:lang w:val="x-none" w:eastAsia="x-none"/>
        </w:rPr>
        <w:t xml:space="preserve"> </w:t>
      </w:r>
      <w:r w:rsidRPr="00F415B1">
        <w:rPr>
          <w:lang w:val="en-US" w:eastAsia="x-none"/>
        </w:rPr>
        <w:t>PUSCH</w:t>
      </w:r>
      <w:r w:rsidRPr="00F415B1">
        <w:rPr>
          <w:lang w:val="x-none" w:eastAsia="x-none"/>
        </w:rPr>
        <w:t xml:space="preserve"> transmission </w:t>
      </w:r>
      <w:r w:rsidRPr="00F415B1">
        <w:rPr>
          <w:lang w:val="en-US" w:eastAsia="x-none"/>
        </w:rPr>
        <w:t>occasion</w:t>
      </w:r>
      <w:r w:rsidRPr="00F415B1">
        <w:rPr>
          <w:lang w:val="x-none" w:eastAsia="x-none"/>
        </w:rPr>
        <w:t xml:space="preserve"> </w:t>
      </w:r>
      <m:oMath>
        <m:r>
          <w:rPr>
            <w:rFonts w:ascii="Cambria Math" w:hAnsi="Cambria Math"/>
            <w:lang w:val="x-none" w:eastAsia="x-none"/>
          </w:rPr>
          <m:t>i</m:t>
        </m:r>
      </m:oMath>
      <w:r w:rsidRPr="00F415B1">
        <w:rPr>
          <w:lang w:val="x-none" w:eastAsia="x-none"/>
        </w:rPr>
        <w:t xml:space="preserve"> </w:t>
      </w:r>
      <w:r w:rsidRPr="00F415B1">
        <w:rPr>
          <w:lang w:val="en-US" w:eastAsia="x-none"/>
        </w:rPr>
        <w:t>on</w:t>
      </w:r>
      <w:r w:rsidRPr="00F415B1">
        <w:rPr>
          <w:lang w:val="x-none" w:eastAsia="x-none"/>
        </w:rPr>
        <w:t xml:space="preserve"> </w:t>
      </w:r>
      <w:r w:rsidRPr="00F415B1">
        <w:rPr>
          <w:lang w:val="en-US" w:eastAsia="x-none"/>
        </w:rPr>
        <w:t xml:space="preserve">active </w:t>
      </w:r>
      <w:r w:rsidRPr="00F415B1">
        <w:rPr>
          <w:lang w:val="en-US"/>
        </w:rPr>
        <w:t xml:space="preserve">UL BWP </w:t>
      </w:r>
      <m:oMath>
        <m:r>
          <w:rPr>
            <w:rFonts w:ascii="Cambria Math" w:hAnsi="Cambria Math"/>
            <w:lang w:val="en-US"/>
          </w:rPr>
          <m:t>b</m:t>
        </m:r>
      </m:oMath>
      <w:r w:rsidRPr="00F415B1">
        <w:rPr>
          <w:iCs/>
        </w:rPr>
        <w:t xml:space="preserve"> of </w:t>
      </w:r>
      <w:r w:rsidRPr="00F415B1">
        <w:rPr>
          <w:lang w:val="x-none" w:eastAsia="x-none"/>
        </w:rPr>
        <w:t xml:space="preserve">carrier </w:t>
      </w:r>
      <m:oMath>
        <m:r>
          <w:rPr>
            <w:rFonts w:ascii="Cambria Math" w:hAnsi="Cambria Math"/>
            <w:lang w:val="x-none" w:eastAsia="x-none"/>
          </w:rPr>
          <m:t>f</m:t>
        </m:r>
      </m:oMath>
      <w:r w:rsidRPr="00F415B1">
        <w:rPr>
          <w:lang w:val="en-US" w:eastAsia="x-none"/>
        </w:rPr>
        <w:t xml:space="preserve"> of </w:t>
      </w:r>
      <w:r w:rsidRPr="00F415B1">
        <w:rPr>
          <w:lang w:val="x-none" w:eastAsia="x-none"/>
        </w:rPr>
        <w:t xml:space="preserve">serving cell </w:t>
      </w:r>
      <m:oMath>
        <m:r>
          <w:rPr>
            <w:rFonts w:ascii="Cambria Math" w:hAnsi="Cambria Math"/>
            <w:lang w:val="x-none" w:eastAsia="x-none"/>
          </w:rPr>
          <m:t>c</m:t>
        </m:r>
      </m:oMath>
      <w:r w:rsidRPr="00F415B1">
        <w:t>, the UE computes the Type 1 power headroom report as</w:t>
      </w:r>
    </w:p>
    <w:p w14:paraId="46D22874" w14:textId="77777777" w:rsidR="00175144" w:rsidRPr="00E9040D" w:rsidRDefault="00175144" w:rsidP="00175144">
      <w:pPr>
        <w:pStyle w:val="EQ"/>
      </w:pPr>
      <w:r>
        <w:tab/>
      </w:r>
      <m:oMath>
        <m:sSub>
          <m:sSubPr>
            <m:ctrlPr>
              <w:rPr>
                <w:rFonts w:ascii="Cambria Math" w:hAnsi="Cambria Math"/>
                <w:iCs/>
              </w:rPr>
            </m:ctrlPr>
          </m:sSubPr>
          <m:e>
            <m:r>
              <w:rPr>
                <w:rFonts w:ascii="Cambria Math" w:hAnsi="Cambria Math"/>
              </w:rPr>
              <m:t>PH</m:t>
            </m:r>
          </m:e>
          <m:sub>
            <m:r>
              <m:rPr>
                <m:nor/>
              </m:rPr>
              <w:rPr>
                <w:rFonts w:ascii="Cambria Math"/>
                <w:iCs/>
              </w:rPr>
              <m:t>type1</m:t>
            </m:r>
            <m:r>
              <m:rPr>
                <m:sty m:val="p"/>
              </m:rPr>
              <w:rPr>
                <w:rFonts w:ascii="Cambria Math"/>
              </w:rPr>
              <m:t>,</m:t>
            </m:r>
            <m:r>
              <w:rPr>
                <w:rFonts w:ascii="Cambria Math"/>
              </w:rPr>
              <m:t>b,f</m:t>
            </m:r>
            <m:r>
              <m:rPr>
                <m:sty m:val="p"/>
              </m:rPr>
              <w:rPr>
                <w:rFonts w:ascii="Cambria Math"/>
              </w:rPr>
              <m:t>,</m:t>
            </m:r>
            <m:r>
              <w:rPr>
                <w:rFonts w:ascii="Cambria Math"/>
              </w:rPr>
              <m:t>c</m:t>
            </m:r>
          </m:sub>
        </m:sSub>
        <m:d>
          <m:dPr>
            <m:ctrlPr>
              <w:rPr>
                <w:rFonts w:ascii="Cambria Math" w:hAnsi="Cambria Math"/>
              </w:rPr>
            </m:ctrlPr>
          </m:dPr>
          <m:e>
            <m:r>
              <w:rPr>
                <w:rFonts w:ascii="Cambria Math"/>
              </w:rPr>
              <m:t>i,j,</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,l</m:t>
            </m:r>
            <m:ctrlPr>
              <w:rPr>
                <w:rFonts w:ascii="Cambria Math" w:hAnsi="Cambria Math"/>
                <w:i/>
              </w:rPr>
            </m:ctrlPr>
          </m:e>
        </m:d>
        <m:r>
          <w:rPr>
            <w:rFonts w:ascii="Cambria Math"/>
          </w:rPr>
          <m:t xml:space="preserve">= </m:t>
        </m:r>
        <m:sSub>
          <m:sSubPr>
            <m:ctrlPr>
              <w:rPr>
                <w:rFonts w:ascii="Cambria Math" w:hAnsi="Cambria Math"/>
                <w:iCs/>
              </w:rPr>
            </m:ctrlPr>
          </m:sSubPr>
          <m:e>
            <m:acc>
              <m:accPr>
                <m:chr m:val="̃"/>
                <m:ctrlPr>
                  <w:rPr>
                    <w:rFonts w:ascii="Cambria Math" w:hAnsi="Cambria Math"/>
                    <w:i/>
                  </w:rPr>
                </m:ctrlPr>
              </m:accPr>
              <m:e>
                <m:r>
                  <w:rPr>
                    <w:rFonts w:ascii="Cambria Math" w:hAnsi="Cambria Math"/>
                  </w:rPr>
                  <m:t>P</m:t>
                </m:r>
              </m:e>
            </m:acc>
          </m:e>
          <m:sub>
            <m:r>
              <m:rPr>
                <m:sty m:val="p"/>
              </m:rPr>
              <w:rPr>
                <w:rFonts w:ascii="Cambria Math"/>
              </w:rPr>
              <m:t>C</m:t>
            </m:r>
            <m:r>
              <m:rPr>
                <m:sty m:val="p"/>
              </m:rPr>
              <w:rPr>
                <w:rFonts w:ascii="Cambria Math"/>
                <w:lang w:val="en-US"/>
              </w:rPr>
              <m:t>MAX</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r>
          <w:rPr>
            <w:rFonts w:ascii="Cambria Math"/>
          </w:rPr>
          <m:t>i</m:t>
        </m:r>
        <m:r>
          <m:rPr>
            <m:sty m:val="p"/>
          </m:rPr>
          <w:rPr>
            <w:rFonts w:ascii="Cambria Math"/>
          </w:rPr>
          <m:t>)</m:t>
        </m:r>
        <m:r>
          <m:rPr>
            <m:sty m:val="p"/>
          </m:rPr>
          <w:rPr>
            <w:rFonts w:ascii="Cambria Math"/>
          </w:rPr>
          <m:t>-</m:t>
        </m:r>
        <m:d>
          <m:dPr>
            <m:begChr m:val="{"/>
            <m:endChr m:val="}"/>
            <m:ctrlPr>
              <w:rPr>
                <w:rFonts w:ascii="Cambria Math" w:hAnsi="Cambria Math"/>
                <w:noProof w:val="0"/>
              </w:rPr>
            </m:ctrlPr>
          </m:dPr>
          <m:e>
            <m:sSub>
              <m:sSubPr>
                <m:ctrlPr>
                  <w:rPr>
                    <w:rFonts w:ascii="Cambria Math" w:hAnsi="Cambria Math"/>
                    <w:iCs/>
                  </w:rPr>
                </m:ctrlPr>
              </m:sSubPr>
              <m:e>
                <m:r>
                  <w:rPr>
                    <w:rFonts w:ascii="Cambria Math" w:hAnsi="Cambria Math"/>
                  </w:rPr>
                  <m:t>P</m:t>
                </m:r>
              </m:e>
              <m:sub>
                <m:r>
                  <m:rPr>
                    <m:nor/>
                  </m:rPr>
                  <w:rPr>
                    <w:rFonts w:ascii="Cambria Math"/>
                    <w:iCs/>
                    <w:lang w:val="en-US"/>
                  </w:rPr>
                  <m:t>O_P</m:t>
                </m:r>
                <m:r>
                  <m:rPr>
                    <m:nor/>
                  </m:rPr>
                  <w:rPr>
                    <w:rFonts w:ascii="Cambria Math"/>
                    <w:iCs/>
                  </w:rPr>
                  <m:t>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r>
              <w:rPr>
                <w:rFonts w:ascii="Cambria Math"/>
              </w:rPr>
              <m:t>+</m:t>
            </m:r>
            <m:sSub>
              <m:sSubPr>
                <m:ctrlPr>
                  <w:rPr>
                    <w:rFonts w:ascii="Cambria Math" w:hAnsi="Cambria Math"/>
                    <w:iCs/>
                  </w:rPr>
                </m:ctrlPr>
              </m:sSubPr>
              <m:e>
                <m:r>
                  <w:rPr>
                    <w:rFonts w:ascii="Cambria Math" w:hAnsi="Cambria Math"/>
                  </w:rPr>
                  <m:t>α</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r>
              <w:rPr>
                <w:rFonts w:ascii="Cambria Math" w:hAnsi="Cambria Math" w:cs="Cambria Math"/>
              </w:rPr>
              <m:t>⋅</m:t>
            </m:r>
            <m:sSub>
              <m:sSubPr>
                <m:ctrlPr>
                  <w:rPr>
                    <w:rFonts w:ascii="Cambria Math" w:hAnsi="Cambria Math"/>
                    <w:i/>
                  </w:rPr>
                </m:ctrlPr>
              </m:sSubPr>
              <m:e>
                <m:r>
                  <w:rPr>
                    <w:rFonts w:ascii="Cambria Math" w:hAnsi="Cambria Math"/>
                  </w:rPr>
                  <m:t>PL</m:t>
                </m:r>
              </m:e>
              <m:sub>
                <m:r>
                  <w:rPr>
                    <w:rFonts w:ascii="Cambria Math" w:hAnsi="Cambria Math"/>
                  </w:rPr>
                  <m:t>b,f,c</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i,l</m:t>
                </m:r>
              </m:e>
            </m:d>
          </m:e>
        </m:d>
      </m:oMath>
      <w:r w:rsidRPr="00E9040D">
        <w:t xml:space="preserve"> [dB]</w:t>
      </w:r>
    </w:p>
    <w:p w14:paraId="2220EA59" w14:textId="0D5D4F37" w:rsidR="00CF71DF" w:rsidRPr="00B403FE" w:rsidRDefault="00CF71DF" w:rsidP="00CF71DF">
      <w:r w:rsidRPr="00F415B1">
        <w:t xml:space="preserve">where </w:t>
      </w:r>
      <m:oMath>
        <m:sSub>
          <m:sSubPr>
            <m:ctrlPr>
              <w:rPr>
                <w:rFonts w:ascii="Cambria Math" w:hAnsi="Cambria Math"/>
                <w:iCs/>
              </w:rPr>
            </m:ctrlPr>
          </m:sSubPr>
          <m:e>
            <m:acc>
              <m:accPr>
                <m:chr m:val="̃"/>
                <m:ctrlPr>
                  <w:rPr>
                    <w:rFonts w:ascii="Cambria Math" w:hAnsi="Cambria Math"/>
                    <w:i/>
                  </w:rPr>
                </m:ctrlPr>
              </m:accPr>
              <m:e>
                <m:r>
                  <w:rPr>
                    <w:rFonts w:ascii="Cambria Math" w:hAnsi="Cambria Math"/>
                  </w:rPr>
                  <m:t>P</m:t>
                </m:r>
              </m:e>
            </m:acc>
          </m:e>
          <m:sub>
            <m:r>
              <m:rPr>
                <m:nor/>
              </m:rPr>
              <w:rPr>
                <w:rFonts w:ascii="Cambria Math"/>
                <w:iCs/>
              </w:rPr>
              <m:t>C</m:t>
            </m:r>
            <m:r>
              <m:rPr>
                <m:nor/>
              </m:rPr>
              <w:rPr>
                <w:rFonts w:ascii="Cambria Math"/>
                <w:iCs/>
                <w:lang w:val="en-US"/>
              </w:rPr>
              <m:t>MAX</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r>
          <w:rPr>
            <w:rFonts w:ascii="Cambria Math"/>
          </w:rPr>
          <m:t>i</m:t>
        </m:r>
        <m:r>
          <m:rPr>
            <m:sty m:val="p"/>
          </m:rPr>
          <w:rPr>
            <w:rFonts w:ascii="Cambria Math"/>
          </w:rPr>
          <m:t>)</m:t>
        </m:r>
      </m:oMath>
      <w:r w:rsidRPr="00F415B1">
        <w:t xml:space="preserve"> is computed assuming MPR=0 dB, A-MPR=0 dB, P-MPR=0 dB. </w:t>
      </w:r>
      <w:r w:rsidRPr="00F415B1">
        <w:rPr>
          <w:rFonts w:ascii="Symbol" w:hAnsi="Symbol"/>
          <w:lang w:bidi="bn-IN"/>
        </w:rPr>
        <w:t></w:t>
      </w:r>
      <w:r w:rsidRPr="00F415B1">
        <w:rPr>
          <w:lang w:bidi="bn-IN"/>
        </w:rPr>
        <w:t>T</w:t>
      </w:r>
      <w:r w:rsidRPr="00F415B1">
        <w:rPr>
          <w:vertAlign w:val="subscript"/>
          <w:lang w:val="en-US" w:bidi="bn-IN"/>
        </w:rPr>
        <w:t>C</w:t>
      </w:r>
      <w:r w:rsidRPr="00F415B1">
        <w:t xml:space="preserve"> = 0 dB. MPR, A-MPR, P-MPR and </w:t>
      </w:r>
      <w:r w:rsidRPr="00F415B1">
        <w:rPr>
          <w:rFonts w:ascii="Symbol" w:hAnsi="Symbol"/>
          <w:lang w:bidi="bn-IN"/>
        </w:rPr>
        <w:t></w:t>
      </w:r>
      <w:r w:rsidRPr="00F415B1">
        <w:rPr>
          <w:lang w:bidi="bn-IN"/>
        </w:rPr>
        <w:t>T</w:t>
      </w:r>
      <w:r w:rsidRPr="00F415B1">
        <w:rPr>
          <w:vertAlign w:val="subscript"/>
          <w:lang w:val="en-US" w:bidi="bn-IN"/>
        </w:rPr>
        <w:t>C</w:t>
      </w:r>
      <w:r w:rsidRPr="00F415B1">
        <w:t xml:space="preserve"> are defined in [</w:t>
      </w:r>
      <w:r w:rsidRPr="00F415B1">
        <w:rPr>
          <w:lang w:val="en-US"/>
        </w:rPr>
        <w:t>8-1</w:t>
      </w:r>
      <w:r w:rsidRPr="00F415B1">
        <w:t>, TS 38.101-1]</w:t>
      </w:r>
      <w:r w:rsidRPr="00F415B1">
        <w:rPr>
          <w:lang w:val="en-US"/>
        </w:rPr>
        <w:t xml:space="preserve">, [8-2, </w:t>
      </w:r>
      <w:r w:rsidR="00295E42">
        <w:rPr>
          <w:lang w:val="en-US"/>
        </w:rPr>
        <w:t>TS 38.</w:t>
      </w:r>
      <w:r w:rsidRPr="00F415B1">
        <w:rPr>
          <w:lang w:val="en-US"/>
        </w:rPr>
        <w:t>101-2] and [8-3, TS 38.101-3]</w:t>
      </w:r>
      <w:r w:rsidRPr="00F415B1">
        <w:t xml:space="preserve">. The remaining parameters are defined in clause 7.1.1 </w:t>
      </w:r>
      <w:r w:rsidR="00872457">
        <w:t xml:space="preserve">and, if </w:t>
      </w:r>
      <w:r w:rsidR="00872457" w:rsidRPr="00652E2E">
        <w:rPr>
          <w:i/>
          <w:iCs/>
        </w:rPr>
        <w:t>ul-powerControl</w:t>
      </w:r>
      <w:r w:rsidR="00872457">
        <w:t xml:space="preserve"> is not provided,</w:t>
      </w:r>
      <w:r w:rsidRPr="00F415B1">
        <w:t xml:space="preserve"> </w:t>
      </w:r>
      <m:oMath>
        <m:sSub>
          <m:sSubPr>
            <m:ctrlPr>
              <w:rPr>
                <w:rFonts w:ascii="Cambria Math" w:hAnsi="Cambria Math"/>
                <w:iCs/>
              </w:rPr>
            </m:ctrlPr>
          </m:sSubPr>
          <m:e>
            <m:r>
              <w:rPr>
                <w:rFonts w:ascii="Cambria Math" w:hAnsi="Cambria Math"/>
              </w:rPr>
              <m:t>P</m:t>
            </m:r>
          </m:e>
          <m:sub>
            <m:r>
              <m:rPr>
                <m:nor/>
              </m:rPr>
              <w:rPr>
                <w:rFonts w:ascii="Cambria Math"/>
                <w:iCs/>
                <w:lang w:val="en-US"/>
              </w:rPr>
              <m:t>O_P</m:t>
            </m:r>
            <m:r>
              <m:rPr>
                <m:nor/>
              </m:rPr>
              <w:rPr>
                <w:rFonts w:ascii="Cambria Math"/>
                <w:iCs/>
              </w:rPr>
              <m:t>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r>
          <w:rPr>
            <w:rFonts w:ascii="Cambria Math"/>
          </w:rPr>
          <m:t>j)</m:t>
        </m:r>
      </m:oMath>
      <w:r w:rsidRPr="00F415B1">
        <w:t xml:space="preserve"> and </w:t>
      </w:r>
      <m:oMath>
        <m:sSub>
          <m:sSubPr>
            <m:ctrlPr>
              <w:rPr>
                <w:rFonts w:ascii="Cambria Math" w:hAnsi="Cambria Math"/>
                <w:iCs/>
              </w:rPr>
            </m:ctrlPr>
          </m:sSubPr>
          <m:e>
            <m:r>
              <w:rPr>
                <w:rFonts w:ascii="Cambria Math" w:hAnsi="Cambria Math"/>
              </w:rPr>
              <m:t>α</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oMath>
      <w:r w:rsidRPr="00F415B1">
        <w:t xml:space="preserve"> are obtained using </w:t>
      </w:r>
      <m:oMath>
        <m:sSub>
          <m:sSubPr>
            <m:ctrlPr>
              <w:rPr>
                <w:rFonts w:ascii="Cambria Math" w:hAnsi="Cambria Math"/>
                <w:iCs/>
              </w:rPr>
            </m:ctrlPr>
          </m:sSubPr>
          <m:e>
            <m:r>
              <w:rPr>
                <w:rFonts w:ascii="Cambria Math" w:hAnsi="Cambria Math"/>
              </w:rPr>
              <m:t>P</m:t>
            </m:r>
          </m:e>
          <m:sub>
            <m:r>
              <m:rPr>
                <m:nor/>
              </m:rPr>
              <w:rPr>
                <w:rFonts w:ascii="Cambria Math"/>
                <w:iCs/>
                <w:lang w:val="en-US"/>
              </w:rPr>
              <m:t>O_NOMINAL,P</m:t>
            </m:r>
            <m:r>
              <m:rPr>
                <m:nor/>
              </m:rPr>
              <w:rPr>
                <w:rFonts w:ascii="Cambria Math"/>
                <w:iCs/>
              </w:rPr>
              <m:t>USCH</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0</m:t>
            </m:r>
          </m:e>
        </m:d>
      </m:oMath>
      <w:r w:rsidRPr="00F415B1">
        <w:t xml:space="preserve"> and </w:t>
      </w:r>
      <w:r w:rsidRPr="00F415B1">
        <w:rPr>
          <w:i/>
        </w:rPr>
        <w:t>p0-PUSCH-AlphaSetId</w:t>
      </w:r>
      <w:r w:rsidRPr="00F415B1">
        <w:t xml:space="preserve"> </w:t>
      </w:r>
      <w:r w:rsidRPr="00F415B1">
        <w:rPr>
          <w:i/>
        </w:rPr>
        <w:t xml:space="preserve">= </w:t>
      </w:r>
      <w:r w:rsidRPr="00F415B1">
        <w:t>0</w:t>
      </w:r>
      <w:r w:rsidRPr="00F415B1">
        <w:rPr>
          <w:iCs/>
        </w:rPr>
        <w:t xml:space="preserve">, </w:t>
      </w:r>
      <m:oMath>
        <m:sSub>
          <m:sSubPr>
            <m:ctrlPr>
              <w:rPr>
                <w:rFonts w:ascii="Cambria Math" w:hAnsi="Cambria Math"/>
                <w:i/>
              </w:rPr>
            </m:ctrlPr>
          </m:sSubPr>
          <m:e>
            <m:r>
              <w:rPr>
                <w:rFonts w:ascii="Cambria Math" w:hAnsi="Cambria Math"/>
              </w:rPr>
              <m:t>PL</m:t>
            </m:r>
          </m:e>
          <m:sub>
            <m:r>
              <w:rPr>
                <w:rFonts w:ascii="Cambria Math" w:hAnsi="Cambria Math"/>
              </w:rPr>
              <m:t>b,f,c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oMath>
      <w:r w:rsidRPr="00F415B1">
        <w:t xml:space="preserve"> is obtained using </w:t>
      </w:r>
      <w:r w:rsidRPr="00F415B1">
        <w:rPr>
          <w:i/>
        </w:rPr>
        <w:t xml:space="preserve">pusch-PathlossReferenceRS-Id = </w:t>
      </w:r>
      <w:r w:rsidRPr="00F415B1">
        <w:t xml:space="preserve">0, and </w:t>
      </w:r>
      <m:oMath>
        <m:r>
          <w:rPr>
            <w:rFonts w:ascii="Cambria Math" w:hAnsi="Cambria Math"/>
          </w:rPr>
          <m:t>l=0</m:t>
        </m:r>
      </m:oMath>
      <w:r w:rsidRPr="00F415B1">
        <w:t>.</w:t>
      </w:r>
      <w:r w:rsidR="00B403FE" w:rsidRPr="00B403FE">
        <w:t xml:space="preserve"> </w:t>
      </w:r>
      <w:r w:rsidR="00B403FE" w:rsidRPr="00B403FE">
        <w:rPr>
          <w:rFonts w:hint="eastAsia"/>
        </w:rPr>
        <w:t>I</w:t>
      </w:r>
      <w:r w:rsidR="00B403FE" w:rsidRPr="00B403FE">
        <w:t xml:space="preserve">f </w:t>
      </w:r>
      <w:r w:rsidR="00B403FE" w:rsidRPr="00B403FE">
        <w:rPr>
          <w:i/>
          <w:iCs/>
        </w:rPr>
        <w:t>ul-powerControl</w:t>
      </w:r>
      <w:r w:rsidR="00B403FE" w:rsidRPr="00B403FE">
        <w:t xml:space="preserve"> is provided, </w:t>
      </w:r>
      <m:oMath>
        <m:sSub>
          <m:sSubPr>
            <m:ctrlPr>
              <w:rPr>
                <w:rFonts w:ascii="Cambria Math" w:hAnsi="Cambria Math"/>
                <w:iCs/>
              </w:rPr>
            </m:ctrlPr>
          </m:sSubPr>
          <m:e>
            <m:r>
              <w:rPr>
                <w:rFonts w:ascii="Cambria Math" w:hAnsi="Cambria Math"/>
              </w:rPr>
              <m:t>P</m:t>
            </m:r>
          </m:e>
          <m:sub>
            <m:r>
              <m:rPr>
                <m:nor/>
              </m:rPr>
              <w:rPr>
                <w:rFonts w:ascii="Cambria Math"/>
                <w:iCs/>
              </w:rPr>
              <m:t>O_PUSCH</m:t>
            </m:r>
            <m:r>
              <m:rPr>
                <m:sty m:val="p"/>
              </m:rPr>
              <w:rPr>
                <w:rFonts w:ascii="Cambria Math"/>
              </w:rPr>
              <m:t>,</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r>
          <m:rPr>
            <m:sty m:val="p"/>
          </m:rPr>
          <w:rPr>
            <w:rFonts w:ascii="Cambria Math"/>
          </w:rPr>
          <m:t>(</m:t>
        </m:r>
        <m:r>
          <w:rPr>
            <w:rFonts w:ascii="Cambria Math"/>
          </w:rPr>
          <m:t>j),</m:t>
        </m:r>
      </m:oMath>
      <w:r w:rsidR="00B403FE" w:rsidRPr="00B403FE">
        <w:t xml:space="preserve"> </w:t>
      </w:r>
      <m:oMath>
        <m:sSub>
          <m:sSubPr>
            <m:ctrlPr>
              <w:rPr>
                <w:rFonts w:ascii="Cambria Math" w:hAnsi="Cambria Math"/>
                <w:iCs/>
              </w:rPr>
            </m:ctrlPr>
          </m:sSubPr>
          <m:e>
            <m:r>
              <w:rPr>
                <w:rFonts w:ascii="Cambria Math" w:hAnsi="Cambria Math"/>
              </w:rPr>
              <m:t>α</m:t>
            </m:r>
          </m:e>
          <m:sub>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d>
          <m:dPr>
            <m:ctrlPr>
              <w:rPr>
                <w:rFonts w:ascii="Cambria Math" w:hAnsi="Cambria Math"/>
              </w:rPr>
            </m:ctrlPr>
          </m:dPr>
          <m:e>
            <m:r>
              <w:rPr>
                <w:rFonts w:ascii="Cambria Math"/>
              </w:rPr>
              <m:t>j</m:t>
            </m:r>
          </m:e>
        </m:d>
      </m:oMath>
      <w:r w:rsidR="00B403FE" w:rsidRPr="00B403FE">
        <w:t xml:space="preserve"> and </w:t>
      </w:r>
      <m:oMath>
        <m:r>
          <w:rPr>
            <w:rFonts w:ascii="Cambria Math" w:hAnsi="Cambria Math"/>
          </w:rPr>
          <m:t>l</m:t>
        </m:r>
      </m:oMath>
      <w:r w:rsidR="00B403FE" w:rsidRPr="00B403FE">
        <w:t xml:space="preserve"> are obtained by </w:t>
      </w:r>
      <w:r w:rsidR="00AB7025" w:rsidRPr="00CE7415">
        <w:rPr>
          <w:i/>
          <w:noProof/>
        </w:rPr>
        <w:t>p0AlphaSetforPUSCH</w:t>
      </w:r>
      <w:r w:rsidR="00B403FE" w:rsidRPr="00B403FE">
        <w:rPr>
          <w:i/>
          <w:iCs/>
        </w:rPr>
        <w:t xml:space="preserve"> </w:t>
      </w:r>
      <w:r w:rsidR="00B403FE" w:rsidRPr="00B403FE">
        <w:t xml:space="preserve">associated with the indicated </w:t>
      </w:r>
      <w:r w:rsidR="00B403FE" w:rsidRPr="00B403FE">
        <w:rPr>
          <w:i/>
        </w:rPr>
        <w:t>TCI-State</w:t>
      </w:r>
      <w:r w:rsidR="00B403FE" w:rsidRPr="00B403FE">
        <w:t xml:space="preserve"> or </w:t>
      </w:r>
      <w:r w:rsidR="00B403FE" w:rsidRPr="00B403FE">
        <w:rPr>
          <w:i/>
          <w:iCs/>
        </w:rPr>
        <w:t>TCI-UL-State</w:t>
      </w:r>
      <w:r w:rsidR="00B403FE" w:rsidRPr="00B403FE">
        <w:rPr>
          <w:iCs/>
        </w:rPr>
        <w:t xml:space="preserve">, </w:t>
      </w:r>
      <m:oMath>
        <m:sSub>
          <m:sSubPr>
            <m:ctrlPr>
              <w:rPr>
                <w:rFonts w:ascii="Cambria Math" w:hAnsi="Cambria Math"/>
                <w:i/>
              </w:rPr>
            </m:ctrlPr>
          </m:sSubPr>
          <m:e>
            <m:r>
              <w:rPr>
                <w:rFonts w:ascii="Cambria Math" w:hAnsi="Cambria Math"/>
              </w:rPr>
              <m:t>PL</m:t>
            </m:r>
          </m:e>
          <m:sub>
            <m:r>
              <w:rPr>
                <w:rFonts w:ascii="Cambria Math" w:hAnsi="Cambria Math"/>
              </w:rPr>
              <m:t>b,f,c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oMath>
      <w:r w:rsidR="00B403FE" w:rsidRPr="00B403FE">
        <w:t xml:space="preserve"> is obtained by PL-RS associated with the indicated </w:t>
      </w:r>
      <w:r w:rsidR="00B403FE" w:rsidRPr="00B403FE">
        <w:rPr>
          <w:i/>
        </w:rPr>
        <w:t>TCI-State</w:t>
      </w:r>
      <w:r w:rsidR="00B403FE" w:rsidRPr="00B403FE">
        <w:t xml:space="preserve"> or </w:t>
      </w:r>
      <w:r w:rsidR="00B403FE" w:rsidRPr="00B403FE">
        <w:rPr>
          <w:i/>
          <w:iCs/>
        </w:rPr>
        <w:t>TCI-UL-State</w:t>
      </w:r>
      <w:r w:rsidR="00B403FE" w:rsidRPr="00B403FE">
        <w:t>.</w:t>
      </w:r>
      <w:r w:rsidR="00790A98">
        <w:t xml:space="preserve"> </w:t>
      </w:r>
      <w:r w:rsidR="00790A98" w:rsidRPr="008E48B5">
        <w:t xml:space="preserve">If the activated serving cell is an SCell and parameter </w:t>
      </w:r>
      <w:r w:rsidR="00790A98" w:rsidRPr="008E48B5">
        <w:rPr>
          <w:i/>
        </w:rPr>
        <w:t>preambleReceivedTargetPower</w:t>
      </w:r>
      <w:r w:rsidR="00790A98" w:rsidRPr="008E48B5">
        <w:t xml:space="preserve"> </w:t>
      </w:r>
      <w:r w:rsidR="00790A98">
        <w:t>is</w:t>
      </w:r>
      <w:r w:rsidR="00790A98" w:rsidRPr="008E48B5">
        <w:t xml:space="preserve"> not configured </w:t>
      </w:r>
      <w:r w:rsidR="00790A98" w:rsidRPr="00673315">
        <w:t xml:space="preserve">for the cell, </w:t>
      </w:r>
      <w:r w:rsidR="00790A98" w:rsidRPr="005C2E7C">
        <w:rPr>
          <w:lang w:val="en-US"/>
        </w:rPr>
        <w:t xml:space="preserve">then the parameter </w:t>
      </w:r>
      <w:r w:rsidR="00790A98" w:rsidRPr="00673315">
        <w:rPr>
          <w:i/>
        </w:rPr>
        <w:t>preambleReceivedTargetPower</w:t>
      </w:r>
      <w:r w:rsidR="00790A98" w:rsidRPr="005C2E7C">
        <w:rPr>
          <w:lang w:val="en-US"/>
        </w:rPr>
        <w:t xml:space="preserve"> configured for the primary cell is applied, where the parameter refers to the one configured for the non-supplementary uplink carrier if the primary cell is configured with two uplink carriers.</w:t>
      </w:r>
    </w:p>
    <w:p w14:paraId="5A423A09" w14:textId="77777777" w:rsidR="00CF71DF" w:rsidRPr="00F415B1" w:rsidRDefault="003C4B3C" w:rsidP="00CF71DF">
      <w:r w:rsidRPr="00D155A0">
        <w:t xml:space="preserve">If a UE is configured with two UL carriers for a serving cell and the UE determines </w:t>
      </w:r>
      <w:r w:rsidRPr="00D155A0">
        <w:rPr>
          <w:lang w:eastAsia="ko-KR"/>
        </w:rPr>
        <w:t>a Type 1 power headroom report for the serving cell based on a reference PUSCH transmission</w:t>
      </w:r>
      <w:r w:rsidRPr="00D155A0">
        <w:t xml:space="preserve">, the UE computes a Type 1 power headroom report for the serving cell assuming </w:t>
      </w:r>
      <w:r w:rsidRPr="008E3A86">
        <w:t xml:space="preserve">a reference PUSCH transmission on the UL carrier provided by </w:t>
      </w:r>
      <w:r w:rsidRPr="008E3A86">
        <w:rPr>
          <w:i/>
        </w:rPr>
        <w:t>pusch-Config</w:t>
      </w:r>
      <w:r w:rsidRPr="00655B5E">
        <w:t xml:space="preserve">. If the UE is provided </w:t>
      </w:r>
      <w:r w:rsidRPr="00655B5E">
        <w:rPr>
          <w:i/>
        </w:rPr>
        <w:t>pusch-Config</w:t>
      </w:r>
      <w:r w:rsidRPr="00655B5E">
        <w:t xml:space="preserve"> for both </w:t>
      </w:r>
      <w:r w:rsidRPr="00C44E9C">
        <w:t>UL carrier</w:t>
      </w:r>
      <w:r w:rsidRPr="00B14B0A">
        <w:t>s, the UE computes a Type 1 power headroom</w:t>
      </w:r>
      <w:r w:rsidRPr="008807DF">
        <w:t xml:space="preserve"> report for the serving cell assuming a reference PUSCH transmission on the UL carrier provided by </w:t>
      </w:r>
      <w:r w:rsidRPr="00EA04AE">
        <w:rPr>
          <w:i/>
        </w:rPr>
        <w:t>pucch-Config</w:t>
      </w:r>
      <w:r w:rsidRPr="00EA04AE">
        <w:t>.</w:t>
      </w:r>
      <w:r w:rsidRPr="00FA7E83">
        <w:t xml:space="preserve"> </w:t>
      </w:r>
      <w:r w:rsidRPr="00484D6C">
        <w:t xml:space="preserve">If </w:t>
      </w:r>
      <w:r w:rsidRPr="00484D6C">
        <w:rPr>
          <w:i/>
        </w:rPr>
        <w:t>pucch-Config</w:t>
      </w:r>
      <w:r w:rsidRPr="00484D6C">
        <w:t xml:space="preserve"> is not </w:t>
      </w:r>
      <w:r w:rsidR="00685D97">
        <w:t>provided to the UE for any of the two UL carriers</w:t>
      </w:r>
      <w:r w:rsidRPr="00484D6C">
        <w:t>, the</w:t>
      </w:r>
      <w:r w:rsidRPr="008E2917">
        <w:t xml:space="preserve"> UE computes a </w:t>
      </w:r>
      <w:r w:rsidRPr="00D155A0">
        <w:t>Type 1 power headroom report for the serving cell assuming a reference PUSCH transmission on the non-supplementary UL carrier</w:t>
      </w:r>
      <w:r w:rsidR="00E9200F" w:rsidRPr="00E9040D">
        <w:t xml:space="preserve">. </w:t>
      </w:r>
    </w:p>
    <w:p w14:paraId="41C6DA11" w14:textId="77777777" w:rsidR="00954B49" w:rsidRPr="00954B49" w:rsidRDefault="00954B49" w:rsidP="00954B49">
      <w:pPr>
        <w:rPr>
          <w:rFonts w:eastAsia="Times New Roman"/>
          <w:lang w:val="en-US"/>
        </w:rPr>
      </w:pPr>
      <w:r w:rsidRPr="00954B49">
        <w:rPr>
          <w:rFonts w:eastAsia="Times New Roman"/>
        </w:rPr>
        <w:t xml:space="preserve">If a UE </w:t>
      </w:r>
      <w:r w:rsidRPr="00954B49">
        <w:rPr>
          <w:rFonts w:eastAsia="Times New Roman"/>
          <w:lang w:val="en-US"/>
        </w:rPr>
        <w:t xml:space="preserve">is not provided </w:t>
      </w:r>
      <w:r w:rsidRPr="00954B49">
        <w:rPr>
          <w:rFonts w:eastAsia="Times New Roman"/>
          <w:i/>
          <w:iCs/>
          <w:lang w:val="en-US"/>
        </w:rPr>
        <w:t>twoPHRMode,</w:t>
      </w:r>
      <w:r w:rsidRPr="00954B49">
        <w:rPr>
          <w:rFonts w:eastAsia="Times New Roman"/>
          <w:lang w:val="en-US"/>
        </w:rPr>
        <w:t xml:space="preserve"> and </w:t>
      </w:r>
      <w:r w:rsidRPr="00954B49">
        <w:rPr>
          <w:rFonts w:eastAsia="Times New Roman"/>
          <w:lang w:eastAsia="zh-CN"/>
        </w:rPr>
        <w:t xml:space="preserve">is provided </w:t>
      </w:r>
      <w:r w:rsidRPr="00954B49">
        <w:rPr>
          <w:rFonts w:eastAsia="Times New Roman"/>
          <w:iCs/>
        </w:rPr>
        <w:t xml:space="preserve">two SRS resource sets in </w:t>
      </w:r>
      <w:r w:rsidRPr="00954B49">
        <w:rPr>
          <w:rFonts w:eastAsia="Times New Roman"/>
          <w:i/>
        </w:rPr>
        <w:t>srs-ResourceSetToAddModList</w:t>
      </w:r>
      <w:r w:rsidRPr="00954B49">
        <w:rPr>
          <w:rFonts w:eastAsia="Times New Roman"/>
          <w:iCs/>
        </w:rPr>
        <w:t xml:space="preserve"> or </w:t>
      </w:r>
      <w:r w:rsidRPr="00954B49">
        <w:rPr>
          <w:rFonts w:eastAsia="Times New Roman"/>
          <w:i/>
        </w:rPr>
        <w:t>srs-ResourceSetToAddModListDCI-0-2</w:t>
      </w:r>
      <w:r w:rsidRPr="00954B49">
        <w:rPr>
          <w:rFonts w:eastAsia="Times New Roman"/>
          <w:iCs/>
        </w:rPr>
        <w:t xml:space="preserve"> with </w:t>
      </w:r>
      <w:r w:rsidRPr="00954B49">
        <w:rPr>
          <w:rFonts w:eastAsia="Times New Roman"/>
          <w:i/>
        </w:rPr>
        <w:t>usage</w:t>
      </w:r>
      <w:r w:rsidRPr="00954B49">
        <w:rPr>
          <w:rFonts w:eastAsia="Times New Roman"/>
          <w:iCs/>
        </w:rPr>
        <w:t xml:space="preserve"> set to 'codebook' or 'nonCodebook' </w:t>
      </w:r>
      <w:r w:rsidRPr="00954B49">
        <w:rPr>
          <w:rFonts w:eastAsia="Times New Roman"/>
          <w:lang w:val="en-US"/>
        </w:rPr>
        <w:t>on active UL BWP</w:t>
      </w:r>
      <w:r w:rsidRPr="00954B49">
        <w:rPr>
          <w:rFonts w:eastAsia="Times New Roman"/>
          <w:i/>
        </w:rPr>
        <w:t xml:space="preserve"> </w:t>
      </w:r>
      <m:oMath>
        <m:r>
          <w:rPr>
            <w:rFonts w:ascii="Cambria Math" w:eastAsia="Times New Roman" w:hAnsi="Cambria Math"/>
          </w:rPr>
          <m:t>b</m:t>
        </m:r>
      </m:oMath>
      <w:r w:rsidRPr="00954B49">
        <w:rPr>
          <w:rFonts w:eastAsia="Times New Roman"/>
          <w:iCs/>
          <w:color w:val="FF0000"/>
        </w:rPr>
        <w:t xml:space="preserve"> </w:t>
      </w:r>
      <w:r w:rsidRPr="00954B49">
        <w:rPr>
          <w:rFonts w:eastAsia="Times New Roman"/>
          <w:iCs/>
        </w:rPr>
        <w:t xml:space="preserve">of </w:t>
      </w:r>
      <w:r w:rsidRPr="00954B49">
        <w:rPr>
          <w:rFonts w:eastAsia="Times New Roman"/>
          <w:lang w:val="en-US" w:eastAsia="zh-CN"/>
        </w:rPr>
        <w:t xml:space="preserve">carrier </w:t>
      </w:r>
      <m:oMath>
        <m:r>
          <w:rPr>
            <w:rFonts w:ascii="Cambria Math" w:eastAsia="Times New Roman" w:hAnsi="Cambria Math"/>
          </w:rPr>
          <m:t>f</m:t>
        </m:r>
      </m:oMath>
      <w:r w:rsidRPr="00954B49">
        <w:rPr>
          <w:rFonts w:eastAsia="Times New Roman"/>
          <w:lang w:eastAsia="zh-CN"/>
        </w:rPr>
        <w:t xml:space="preserve"> of </w:t>
      </w:r>
      <w:r w:rsidRPr="00954B49">
        <w:rPr>
          <w:rFonts w:eastAsia="Times New Roman"/>
          <w:lang w:val="en-US" w:eastAsia="zh-CN"/>
        </w:rPr>
        <w:t xml:space="preserve">serving cell </w:t>
      </w:r>
      <m:oMath>
        <m:r>
          <w:rPr>
            <w:rFonts w:ascii="Cambria Math" w:eastAsia="Times New Roman" w:hAnsi="Cambria Math"/>
          </w:rPr>
          <m:t>c</m:t>
        </m:r>
      </m:oMath>
      <w:r w:rsidRPr="00954B49">
        <w:rPr>
          <w:rFonts w:eastAsia="Times New Roman"/>
          <w:lang w:val="en-US"/>
        </w:rPr>
        <w:t xml:space="preserve">, the UE provides one Type 1 power headroom report in a slot </w:t>
      </w:r>
      <m:oMath>
        <m:r>
          <w:rPr>
            <w:rFonts w:ascii="Cambria Math" w:eastAsia="Times New Roman" w:hAnsi="Cambria Math"/>
            <w:lang w:val="zh-CN"/>
          </w:rPr>
          <m:t>n</m:t>
        </m:r>
      </m:oMath>
      <w:r w:rsidRPr="00954B49">
        <w:rPr>
          <w:rFonts w:eastAsia="Times New Roman"/>
          <w:lang w:val="en-US"/>
        </w:rPr>
        <w:t>.</w:t>
      </w:r>
      <w:r w:rsidRPr="00954B49">
        <w:rPr>
          <w:rFonts w:eastAsia="Times New Roman"/>
        </w:rPr>
        <w:t xml:space="preserve"> If the</w:t>
      </w:r>
      <w:r w:rsidRPr="00954B49">
        <w:rPr>
          <w:rFonts w:eastAsia="Times New Roman"/>
          <w:lang w:val="en-US"/>
        </w:rPr>
        <w:t xml:space="preserve"> Type 1 power headroom report is for an </w:t>
      </w:r>
      <w:r w:rsidRPr="00954B49">
        <w:rPr>
          <w:rFonts w:eastAsia="Times New Roman"/>
          <w:lang w:eastAsia="ko-KR"/>
        </w:rPr>
        <w:t xml:space="preserve">actual PUSCH </w:t>
      </w:r>
      <w:r w:rsidRPr="00954B49">
        <w:rPr>
          <w:rFonts w:eastAsia="Times New Roman"/>
          <w:lang w:val="en-US" w:eastAsia="ko-KR"/>
        </w:rPr>
        <w:t>repetition</w:t>
      </w:r>
      <w:r w:rsidRPr="00954B49">
        <w:rPr>
          <w:rFonts w:eastAsia="Times New Roman"/>
          <w:lang w:val="en-US" w:eastAsia="zh-CN"/>
        </w:rPr>
        <w:t xml:space="preserve">, the </w:t>
      </w:r>
      <w:r w:rsidRPr="00954B49">
        <w:rPr>
          <w:rFonts w:eastAsia="Times New Roman"/>
          <w:lang w:val="en-US"/>
        </w:rPr>
        <w:t>Type 1 power headroom report is for the first</w:t>
      </w:r>
      <w:r w:rsidRPr="00954B49">
        <w:rPr>
          <w:rFonts w:eastAsia="Times New Roman"/>
          <w:lang w:eastAsia="ko-KR"/>
        </w:rPr>
        <w:t xml:space="preserve"> PUSCH </w:t>
      </w:r>
      <w:r w:rsidRPr="00954B49">
        <w:rPr>
          <w:rFonts w:eastAsia="Times New Roman"/>
          <w:lang w:val="en-US" w:eastAsia="ko-KR"/>
        </w:rPr>
        <w:t xml:space="preserve">repetition </w:t>
      </w:r>
      <w:r w:rsidRPr="00954B49">
        <w:rPr>
          <w:rFonts w:eastAsia="Times New Roman"/>
        </w:rPr>
        <w:t>associated with the first SRS resource set or the second SRS resource set</w:t>
      </w:r>
      <w:r w:rsidRPr="00954B49">
        <w:rPr>
          <w:rFonts w:eastAsia="Times New Roman"/>
          <w:lang w:val="en-US" w:eastAsia="zh-CN"/>
        </w:rPr>
        <w:t xml:space="preserve"> that overlaps with </w:t>
      </w:r>
      <w:r w:rsidRPr="00954B49">
        <w:rPr>
          <w:rFonts w:eastAsia="Times New Roman"/>
          <w:lang w:val="en-US"/>
        </w:rPr>
        <w:t xml:space="preserve">slot </w:t>
      </w:r>
      <m:oMath>
        <m:r>
          <w:rPr>
            <w:rFonts w:ascii="Cambria Math" w:eastAsia="Times New Roman" w:hAnsi="Cambria Math"/>
            <w:lang w:val="en-US"/>
          </w:rPr>
          <m:t>n</m:t>
        </m:r>
      </m:oMath>
      <w:r w:rsidRPr="00954B49">
        <w:rPr>
          <w:rFonts w:eastAsia="Times New Roman"/>
          <w:lang w:val="en-US"/>
        </w:rPr>
        <w:t xml:space="preserve">. </w:t>
      </w:r>
    </w:p>
    <w:p w14:paraId="08F1D1F8" w14:textId="407A2782" w:rsidR="00872457" w:rsidRPr="00F415B1" w:rsidRDefault="00872457" w:rsidP="00872457">
      <w:pPr>
        <w:rPr>
          <w:lang w:val="en-US"/>
        </w:rPr>
      </w:pPr>
      <w:r w:rsidRPr="00F415B1">
        <w:t xml:space="preserve">If a UE </w:t>
      </w:r>
      <w:r>
        <w:rPr>
          <w:lang w:val="en-US"/>
        </w:rPr>
        <w:t xml:space="preserve">is provided </w:t>
      </w:r>
      <w:r w:rsidRPr="00186342">
        <w:rPr>
          <w:i/>
          <w:iCs/>
          <w:lang w:val="en-US"/>
        </w:rPr>
        <w:t>twoPHRMode</w:t>
      </w:r>
      <w:r w:rsidR="00CB407C">
        <w:rPr>
          <w:lang w:val="en-US"/>
        </w:rPr>
        <w:t>,</w:t>
      </w:r>
      <w:r w:rsidRPr="00574AC2">
        <w:rPr>
          <w:lang w:eastAsia="zh-CN"/>
        </w:rPr>
        <w:t xml:space="preserve"> </w:t>
      </w:r>
      <w:r w:rsidRPr="00574AC2">
        <w:t xml:space="preserve">and </w:t>
      </w:r>
      <w:r w:rsidRPr="00574AC2">
        <w:rPr>
          <w:lang w:eastAsia="zh-CN"/>
        </w:rPr>
        <w:t xml:space="preserve">is provided </w:t>
      </w:r>
      <w:r w:rsidRPr="00574AC2">
        <w:rPr>
          <w:iCs/>
        </w:rPr>
        <w:t xml:space="preserve">two SRS resource sets in </w:t>
      </w:r>
      <w:r w:rsidRPr="00574AC2">
        <w:rPr>
          <w:i/>
        </w:rPr>
        <w:t>srs-ResourceSetToAddModList</w:t>
      </w:r>
      <w:r w:rsidRPr="00574AC2">
        <w:rPr>
          <w:iCs/>
        </w:rPr>
        <w:t xml:space="preserve"> or </w:t>
      </w:r>
      <w:r w:rsidRPr="00574AC2">
        <w:rPr>
          <w:i/>
        </w:rPr>
        <w:t>srs-ResourceSetToAddModListDCI-0-2</w:t>
      </w:r>
      <w:r w:rsidRPr="00574AC2">
        <w:rPr>
          <w:iCs/>
        </w:rPr>
        <w:t xml:space="preserve"> with </w:t>
      </w:r>
      <w:r w:rsidRPr="00574AC2">
        <w:rPr>
          <w:i/>
        </w:rPr>
        <w:t>usage</w:t>
      </w:r>
      <w:r w:rsidRPr="00574AC2">
        <w:rPr>
          <w:iCs/>
        </w:rPr>
        <w:t xml:space="preserve"> set to </w:t>
      </w:r>
      <w:r w:rsidR="008D77EB">
        <w:rPr>
          <w:iCs/>
        </w:rPr>
        <w:t>'</w:t>
      </w:r>
      <w:r w:rsidRPr="00574AC2">
        <w:rPr>
          <w:iCs/>
        </w:rPr>
        <w:t>codebook</w:t>
      </w:r>
      <w:r w:rsidR="008D77EB">
        <w:rPr>
          <w:iCs/>
        </w:rPr>
        <w:t>'</w:t>
      </w:r>
      <w:r w:rsidRPr="00574AC2">
        <w:rPr>
          <w:iCs/>
        </w:rPr>
        <w:t xml:space="preserve"> or </w:t>
      </w:r>
      <w:r w:rsidR="008D77EB">
        <w:rPr>
          <w:iCs/>
        </w:rPr>
        <w:t>'</w:t>
      </w:r>
      <w:r w:rsidRPr="00574AC2">
        <w:rPr>
          <w:iCs/>
        </w:rPr>
        <w:t>nonCodebook</w:t>
      </w:r>
      <w:r w:rsidR="008D77EB">
        <w:rPr>
          <w:iCs/>
        </w:rPr>
        <w:t>'</w:t>
      </w:r>
      <w:r w:rsidR="00CB407C">
        <w:rPr>
          <w:iCs/>
        </w:rPr>
        <w:t xml:space="preserve"> </w:t>
      </w:r>
      <w:r w:rsidR="00CB407C" w:rsidRPr="00574AC2">
        <w:rPr>
          <w:lang w:val="en-US"/>
        </w:rPr>
        <w:t>on active UL BWP</w:t>
      </w:r>
      <w:r w:rsidR="00CB407C" w:rsidRPr="00574AC2">
        <w:rPr>
          <w:i/>
        </w:rPr>
        <w:t xml:space="preserve"> </w:t>
      </w:r>
      <m:oMath>
        <m:r>
          <w:rPr>
            <w:rFonts w:ascii="Cambria Math" w:hAnsi="Cambria Math"/>
          </w:rPr>
          <m:t>b</m:t>
        </m:r>
      </m:oMath>
      <w:r w:rsidR="00CB407C" w:rsidRPr="00574AC2">
        <w:rPr>
          <w:iCs/>
          <w:color w:val="FF0000"/>
        </w:rPr>
        <w:t xml:space="preserve"> </w:t>
      </w:r>
      <w:r w:rsidR="00CB407C" w:rsidRPr="00574AC2">
        <w:rPr>
          <w:iCs/>
        </w:rPr>
        <w:t xml:space="preserve">of </w:t>
      </w:r>
      <w:r w:rsidR="00CB407C" w:rsidRPr="00574AC2">
        <w:rPr>
          <w:lang w:val="en-US" w:eastAsia="zh-CN"/>
        </w:rPr>
        <w:t xml:space="preserve">carrier </w:t>
      </w:r>
      <m:oMath>
        <m:r>
          <w:rPr>
            <w:rFonts w:ascii="Cambria Math" w:hAnsi="Cambria Math"/>
          </w:rPr>
          <m:t>f</m:t>
        </m:r>
      </m:oMath>
      <w:r w:rsidR="00CB407C" w:rsidRPr="00574AC2">
        <w:rPr>
          <w:lang w:eastAsia="zh-CN"/>
        </w:rPr>
        <w:t xml:space="preserve"> of </w:t>
      </w:r>
      <w:r w:rsidR="00CB407C" w:rsidRPr="00574AC2">
        <w:rPr>
          <w:lang w:val="en-US" w:eastAsia="zh-CN"/>
        </w:rPr>
        <w:t xml:space="preserve">serving cell </w:t>
      </w:r>
      <m:oMath>
        <m:r>
          <w:rPr>
            <w:rFonts w:ascii="Cambria Math" w:hAnsi="Cambria Math"/>
          </w:rPr>
          <m:t>c</m:t>
        </m:r>
      </m:oMath>
      <w:r>
        <w:rPr>
          <w:lang w:val="en-US"/>
        </w:rPr>
        <w:t>, the UE</w:t>
      </w:r>
      <w:r w:rsidRPr="00F415B1">
        <w:rPr>
          <w:lang w:val="en-US"/>
        </w:rPr>
        <w:t xml:space="preserve"> provide</w:t>
      </w:r>
      <w:r>
        <w:rPr>
          <w:lang w:val="en-US"/>
        </w:rPr>
        <w:t>s</w:t>
      </w:r>
      <w:r w:rsidRPr="00F415B1">
        <w:rPr>
          <w:lang w:val="en-US"/>
        </w:rPr>
        <w:t xml:space="preserve"> </w:t>
      </w:r>
      <w:r>
        <w:rPr>
          <w:lang w:val="en-US"/>
        </w:rPr>
        <w:t>two</w:t>
      </w:r>
      <w:r w:rsidRPr="00F415B1">
        <w:rPr>
          <w:lang w:val="en-US"/>
        </w:rPr>
        <w:t xml:space="preserve"> Type 1 power headroom report</w:t>
      </w:r>
      <w:r>
        <w:rPr>
          <w:lang w:val="en-US"/>
        </w:rPr>
        <w:t xml:space="preserve">s in a slot </w:t>
      </w:r>
      <m:oMath>
        <m:r>
          <w:rPr>
            <w:rFonts w:ascii="Cambria Math" w:hAnsi="Cambria Math"/>
            <w:lang w:val="zh-CN"/>
          </w:rPr>
          <m:t>n</m:t>
        </m:r>
      </m:oMath>
      <w:r w:rsidRPr="00F415B1">
        <w:t>,</w:t>
      </w:r>
      <w:r>
        <w:t xml:space="preserve"> where</w:t>
      </w:r>
    </w:p>
    <w:p w14:paraId="4010D0DD" w14:textId="77777777" w:rsidR="00872457" w:rsidRPr="00F415B1" w:rsidRDefault="00872457" w:rsidP="00872457">
      <w:pPr>
        <w:pStyle w:val="B1"/>
        <w:rPr>
          <w:lang w:val="en-US"/>
        </w:rPr>
      </w:pPr>
      <w:r w:rsidRPr="00F415B1">
        <w:t>-</w:t>
      </w:r>
      <w:r w:rsidRPr="00F415B1">
        <w:tab/>
      </w:r>
      <w:r w:rsidRPr="00F415B1">
        <w:rPr>
          <w:lang w:val="en-US"/>
        </w:rPr>
        <w:t xml:space="preserve">if the UE provides a </w:t>
      </w:r>
      <w:r>
        <w:rPr>
          <w:lang w:val="en-US"/>
        </w:rPr>
        <w:t xml:space="preserve">first </w:t>
      </w:r>
      <w:r w:rsidRPr="00F415B1">
        <w:rPr>
          <w:lang w:val="en-US"/>
        </w:rPr>
        <w:t xml:space="preserve">Type 1 power headroom report for an </w:t>
      </w:r>
      <w:r w:rsidRPr="00F415B1">
        <w:rPr>
          <w:lang w:eastAsia="ko-KR"/>
        </w:rPr>
        <w:t xml:space="preserve">actual PUSCH </w:t>
      </w:r>
      <w:r w:rsidRPr="00F415B1">
        <w:rPr>
          <w:lang w:val="en-US" w:eastAsia="ko-KR"/>
        </w:rPr>
        <w:t xml:space="preserve">repetition </w:t>
      </w:r>
      <w:r w:rsidRPr="00574AC2">
        <w:rPr>
          <w:lang w:val="en-US" w:eastAsia="ko-KR"/>
        </w:rPr>
        <w:t xml:space="preserve">of a PUSCH transmission starting earliest in slot </w:t>
      </w:r>
      <m:oMath>
        <m:r>
          <w:rPr>
            <w:rFonts w:ascii="Cambria Math" w:hAnsi="Cambria Math"/>
            <w:lang w:val="zh-CN"/>
          </w:rPr>
          <m:t>n</m:t>
        </m:r>
      </m:oMath>
      <w:r>
        <w:rPr>
          <w:lang w:val="en-US" w:eastAsia="ko-KR"/>
        </w:rPr>
        <w:t xml:space="preserve"> that</w:t>
      </w:r>
      <w:r w:rsidRPr="00574AC2">
        <w:rPr>
          <w:lang w:val="en-US" w:eastAsia="ko-KR"/>
        </w:rPr>
        <w:t xml:space="preserve"> is</w:t>
      </w:r>
      <w:r w:rsidRPr="00574AC2">
        <w:rPr>
          <w:lang w:val="en-US"/>
        </w:rPr>
        <w:t xml:space="preserve"> </w:t>
      </w:r>
      <w:r w:rsidRPr="00F415B1">
        <w:t xml:space="preserve">associated with </w:t>
      </w:r>
      <w:r>
        <w:rPr>
          <w:lang w:val="en-US"/>
        </w:rPr>
        <w:t>one</w:t>
      </w:r>
      <w:r w:rsidRPr="00F415B1">
        <w:rPr>
          <w:lang w:val="en-US"/>
        </w:rPr>
        <w:t xml:space="preserve"> </w:t>
      </w:r>
      <w:r>
        <w:rPr>
          <w:lang w:val="en-US"/>
        </w:rPr>
        <w:t>S</w:t>
      </w:r>
      <w:r w:rsidRPr="00F415B1">
        <w:t>RS resource</w:t>
      </w:r>
      <w:r w:rsidRPr="00F415B1">
        <w:rPr>
          <w:lang w:val="en-US"/>
        </w:rPr>
        <w:t xml:space="preserve"> </w:t>
      </w:r>
      <w:r>
        <w:rPr>
          <w:lang w:val="en-US"/>
        </w:rPr>
        <w:t>set</w:t>
      </w:r>
      <w:r w:rsidRPr="00F415B1">
        <w:rPr>
          <w:lang w:val="en-US" w:eastAsia="zh-CN"/>
        </w:rPr>
        <w:t xml:space="preserve">, </w:t>
      </w:r>
    </w:p>
    <w:p w14:paraId="602989D9" w14:textId="77777777" w:rsidR="00872457" w:rsidRPr="00F415B1" w:rsidRDefault="00872457" w:rsidP="00872457">
      <w:pPr>
        <w:pStyle w:val="B2"/>
      </w:pPr>
      <w:r w:rsidRPr="00F415B1">
        <w:t>-</w:t>
      </w:r>
      <w:r w:rsidRPr="00F415B1">
        <w:tab/>
        <w:t xml:space="preserve">if the UE transmits PUSCH repetitions associated with the </w:t>
      </w:r>
      <w:r w:rsidRPr="00574AC2">
        <w:rPr>
          <w:lang w:val="en-US"/>
        </w:rPr>
        <w:t>other SRS resource set</w:t>
      </w:r>
      <w:r w:rsidRPr="00F415B1">
        <w:t xml:space="preserve"> </w:t>
      </w:r>
      <w:r w:rsidRPr="00F415B1">
        <w:rPr>
          <w:lang w:eastAsia="zh-CN"/>
        </w:rPr>
        <w:t xml:space="preserve">in slot </w:t>
      </w:r>
      <m:oMath>
        <m:r>
          <w:rPr>
            <w:rFonts w:ascii="Cambria Math" w:hAnsi="Cambria Math"/>
          </w:rPr>
          <m:t>n</m:t>
        </m:r>
      </m:oMath>
      <w:r w:rsidRPr="00F415B1">
        <w:t>, the UE provides a</w:t>
      </w:r>
      <w:r>
        <w:rPr>
          <w:lang w:val="en-US"/>
        </w:rPr>
        <w:t xml:space="preserve"> second</w:t>
      </w:r>
      <w:r w:rsidRPr="00F415B1">
        <w:t xml:space="preserve"> Type 1 power headroom report for a first </w:t>
      </w:r>
      <w:r w:rsidRPr="00F415B1">
        <w:rPr>
          <w:lang w:eastAsia="ko-KR"/>
        </w:rPr>
        <w:t xml:space="preserve">actual PUSCH repetition </w:t>
      </w:r>
      <w:r w:rsidRPr="00F415B1">
        <w:t xml:space="preserve">associated with the </w:t>
      </w:r>
      <w:r w:rsidRPr="00574AC2">
        <w:rPr>
          <w:lang w:val="en-US" w:eastAsia="zh-CN"/>
        </w:rPr>
        <w:t>other SRS resource set</w:t>
      </w:r>
      <w:r w:rsidRPr="00F415B1">
        <w:rPr>
          <w:lang w:eastAsia="zh-CN"/>
        </w:rPr>
        <w:t xml:space="preserve"> that overlaps with </w:t>
      </w:r>
      <w:r w:rsidRPr="00F415B1">
        <w:t xml:space="preserve">slot </w:t>
      </w:r>
      <m:oMath>
        <m:r>
          <w:rPr>
            <w:rFonts w:ascii="Cambria Math" w:hAnsi="Cambria Math"/>
          </w:rPr>
          <m:t>n</m:t>
        </m:r>
      </m:oMath>
    </w:p>
    <w:p w14:paraId="349A2253" w14:textId="77777777" w:rsidR="00872457" w:rsidRDefault="00872457" w:rsidP="00872457">
      <w:pPr>
        <w:pStyle w:val="B2"/>
        <w:rPr>
          <w:lang w:eastAsia="zh-CN"/>
        </w:rPr>
      </w:pPr>
      <w:r w:rsidRPr="00F415B1">
        <w:t>-</w:t>
      </w:r>
      <w:r w:rsidRPr="00F415B1">
        <w:tab/>
      </w:r>
      <w:r>
        <w:rPr>
          <w:lang w:val="en-US"/>
        </w:rPr>
        <w:t>else</w:t>
      </w:r>
      <w:r w:rsidRPr="00F415B1">
        <w:t xml:space="preserve">, the UE provides a </w:t>
      </w:r>
      <w:r>
        <w:rPr>
          <w:lang w:val="en-US"/>
        </w:rPr>
        <w:t xml:space="preserve">second </w:t>
      </w:r>
      <w:r w:rsidRPr="00F415B1">
        <w:t xml:space="preserve">Type 1 power headroom report for a reference </w:t>
      </w:r>
      <w:r w:rsidRPr="00F415B1">
        <w:rPr>
          <w:lang w:eastAsia="ko-KR"/>
        </w:rPr>
        <w:t xml:space="preserve">PUSCH transmission </w:t>
      </w:r>
      <w:r w:rsidRPr="00F415B1">
        <w:t xml:space="preserve">associated with the </w:t>
      </w:r>
      <w:r w:rsidRPr="00574AC2">
        <w:rPr>
          <w:lang w:val="en-US" w:eastAsia="zh-CN"/>
        </w:rPr>
        <w:t>other SRS resource set</w:t>
      </w:r>
      <w:r>
        <w:rPr>
          <w:lang w:val="en-US" w:eastAsia="zh-CN"/>
        </w:rPr>
        <w:t>, where</w:t>
      </w:r>
    </w:p>
    <w:p w14:paraId="1823917D" w14:textId="747F2674" w:rsidR="00872457" w:rsidRPr="00574AC2" w:rsidRDefault="00872457" w:rsidP="00872457">
      <w:pPr>
        <w:pStyle w:val="B3"/>
      </w:pPr>
      <w:r w:rsidRPr="00F415B1">
        <w:t>-</w:t>
      </w:r>
      <w:r w:rsidRPr="00F415B1">
        <w:tab/>
      </w:r>
      <w:r w:rsidRPr="00574AC2">
        <w:t xml:space="preserve">if the other SRS resource set is the first SRS resource set, </w:t>
      </w:r>
      <m:oMath>
        <m:sSub>
          <m:sSubPr>
            <m:ctrlPr>
              <w:rPr>
                <w:rFonts w:ascii="Cambria Math" w:hAnsi="Cambria Math"/>
                <w:iCs/>
              </w:rPr>
            </m:ctrlPr>
          </m:sSubPr>
          <m:e>
            <m:r>
              <w:rPr>
                <w:rFonts w:ascii="Cambria Math" w:hAnsi="Cambria Math"/>
              </w:rPr>
              <m:t>P</m:t>
            </m:r>
          </m:e>
          <m:sub>
            <m:r>
              <m:rPr>
                <m:nor/>
              </m:rPr>
              <w:rPr>
                <w:iCs/>
              </w:rPr>
              <m:t>O_PUSCH</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m:t>
        </m:r>
        <m:r>
          <w:rPr>
            <w:rFonts w:ascii="Cambria Math" w:hAnsi="Cambria Math"/>
          </w:rPr>
          <m:t>j)</m:t>
        </m:r>
      </m:oMath>
      <w:r w:rsidRPr="00574AC2">
        <w:t xml:space="preserve"> and </w:t>
      </w:r>
      <m:oMath>
        <m:sSub>
          <m:sSubPr>
            <m:ctrlPr>
              <w:rPr>
                <w:rFonts w:ascii="Cambria Math" w:hAnsi="Cambria Math"/>
                <w:iCs/>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Pr="00574AC2">
        <w:t xml:space="preserve"> are obtained using </w:t>
      </w:r>
      <m:oMath>
        <m:sSub>
          <m:sSubPr>
            <m:ctrlPr>
              <w:rPr>
                <w:rFonts w:ascii="Cambria Math" w:hAnsi="Cambria Math"/>
                <w:iCs/>
              </w:rPr>
            </m:ctrlPr>
          </m:sSubPr>
          <m:e>
            <m:r>
              <w:rPr>
                <w:rFonts w:ascii="Cambria Math" w:hAnsi="Cambria Math"/>
              </w:rPr>
              <m:t>P</m:t>
            </m:r>
          </m:e>
          <m:sub>
            <m:r>
              <m:rPr>
                <m:nor/>
              </m:rPr>
              <w:rPr>
                <w:iCs/>
              </w:rPr>
              <m:t>O_NOMINAL,PUSCH</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0</m:t>
            </m:r>
          </m:e>
        </m:d>
      </m:oMath>
      <w:r w:rsidRPr="00574AC2">
        <w:t xml:space="preserve"> and </w:t>
      </w:r>
      <w:r w:rsidRPr="00574AC2">
        <w:rPr>
          <w:i/>
        </w:rPr>
        <w:t>p0-PUSCH-AlphaSetId</w:t>
      </w:r>
      <w:r w:rsidRPr="00574AC2">
        <w:t xml:space="preserve"> </w:t>
      </w:r>
      <w:r w:rsidRPr="00574AC2">
        <w:rPr>
          <w:i/>
        </w:rPr>
        <w:t xml:space="preserve">= </w:t>
      </w:r>
      <w:r w:rsidRPr="00574AC2">
        <w:t>0</w:t>
      </w:r>
      <w:r w:rsidRPr="00574AC2">
        <w:rPr>
          <w:iCs/>
        </w:rPr>
        <w:t xml:space="preserve">, </w:t>
      </w:r>
      <m:oMath>
        <m:sSub>
          <m:sSubPr>
            <m:ctrlPr>
              <w:rPr>
                <w:rFonts w:ascii="Cambria Math" w:hAnsi="Cambria Math"/>
                <w:i/>
              </w:rPr>
            </m:ctrlPr>
          </m:sSubPr>
          <m:e>
            <m:r>
              <w:rPr>
                <w:rFonts w:ascii="Cambria Math" w:hAnsi="Cambria Math"/>
              </w:rPr>
              <m:t>PL</m:t>
            </m:r>
          </m:e>
          <m:sub>
            <m:r>
              <w:rPr>
                <w:rFonts w:ascii="Cambria Math" w:hAnsi="Cambria Math"/>
              </w:rPr>
              <m:t>b,f,c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oMath>
      <w:r w:rsidRPr="00574AC2">
        <w:t xml:space="preserve"> is obtained using </w:t>
      </w:r>
      <w:r w:rsidRPr="00574AC2">
        <w:rPr>
          <w:i/>
        </w:rPr>
        <w:t xml:space="preserve">pusch-PathlossReferenceRS-Id = </w:t>
      </w:r>
      <w:r w:rsidRPr="00574AC2">
        <w:t xml:space="preserve">0 if </w:t>
      </w:r>
      <w:r w:rsidRPr="00574AC2">
        <w:rPr>
          <w:bCs/>
          <w:iCs/>
        </w:rPr>
        <w:t xml:space="preserve">the UE is </w:t>
      </w:r>
      <w:r w:rsidRPr="00574AC2">
        <w:rPr>
          <w:bCs/>
          <w:iCs/>
          <w:lang w:val="en-US"/>
        </w:rPr>
        <w:t xml:space="preserve">not </w:t>
      </w:r>
      <w:r w:rsidRPr="00574AC2">
        <w:rPr>
          <w:bCs/>
          <w:iCs/>
        </w:rPr>
        <w:t xml:space="preserve">provided </w:t>
      </w:r>
      <w:r w:rsidRPr="00574AC2">
        <w:rPr>
          <w:bCs/>
          <w:i/>
          <w:iCs/>
        </w:rPr>
        <w:t>enablePL</w:t>
      </w:r>
      <w:r w:rsidRPr="00574AC2">
        <w:rPr>
          <w:bCs/>
          <w:i/>
          <w:iCs/>
          <w:lang w:val="en-US"/>
        </w:rPr>
        <w:t>-</w:t>
      </w:r>
      <w:r w:rsidRPr="00574AC2">
        <w:rPr>
          <w:bCs/>
          <w:i/>
          <w:iCs/>
        </w:rPr>
        <w:t>RS</w:t>
      </w:r>
      <w:r w:rsidRPr="00574AC2">
        <w:rPr>
          <w:bCs/>
          <w:i/>
          <w:iCs/>
          <w:lang w:val="en-US"/>
        </w:rPr>
        <w:t>-U</w:t>
      </w:r>
      <w:r w:rsidRPr="00574AC2">
        <w:rPr>
          <w:bCs/>
          <w:i/>
          <w:iCs/>
        </w:rPr>
        <w:t>pdateForPUSCH</w:t>
      </w:r>
      <w:r w:rsidRPr="00574AC2">
        <w:rPr>
          <w:bCs/>
          <w:i/>
          <w:iCs/>
          <w:lang w:val="en-US"/>
        </w:rPr>
        <w:t>-</w:t>
      </w:r>
      <w:r w:rsidRPr="00574AC2">
        <w:rPr>
          <w:bCs/>
          <w:i/>
          <w:iCs/>
        </w:rPr>
        <w:t xml:space="preserve">SRS </w:t>
      </w:r>
      <w:r w:rsidRPr="00574AC2">
        <w:rPr>
          <w:bCs/>
        </w:rPr>
        <w:t xml:space="preserve">or is obtained </w:t>
      </w:r>
      <w:r w:rsidRPr="00574AC2">
        <w:t xml:space="preserve">from </w:t>
      </w:r>
      <w:r w:rsidRPr="00574AC2">
        <w:rPr>
          <w:i/>
        </w:rPr>
        <w:t>PUSCH-PathlossReferenceRS-Id</w:t>
      </w:r>
      <w:r w:rsidRPr="00574AC2">
        <w:t xml:space="preserve"> </w:t>
      </w:r>
      <w:r w:rsidRPr="00574AC2">
        <w:rPr>
          <w:rFonts w:eastAsia="MS Mincho"/>
        </w:rPr>
        <w:t xml:space="preserve">mapped to </w:t>
      </w:r>
      <w:r w:rsidRPr="00574AC2">
        <w:rPr>
          <w:i/>
        </w:rPr>
        <w:t>sri-PUSCH-PowerControlId</w:t>
      </w:r>
      <w:r w:rsidRPr="00574AC2">
        <w:t xml:space="preserve"> = 0 of </w:t>
      </w:r>
      <w:r w:rsidRPr="00574AC2">
        <w:rPr>
          <w:i/>
        </w:rPr>
        <w:t xml:space="preserve">sri-PUSCH-MappingToAddModList </w:t>
      </w:r>
      <w:r w:rsidRPr="00574AC2">
        <w:rPr>
          <w:iCs/>
        </w:rPr>
        <w:t xml:space="preserve">if </w:t>
      </w:r>
      <w:r w:rsidRPr="00574AC2">
        <w:rPr>
          <w:bCs/>
          <w:iCs/>
        </w:rPr>
        <w:t>the UE is</w:t>
      </w:r>
      <w:r w:rsidRPr="00574AC2">
        <w:rPr>
          <w:bCs/>
          <w:iCs/>
          <w:lang w:val="en-US"/>
        </w:rPr>
        <w:t xml:space="preserve"> </w:t>
      </w:r>
      <w:r w:rsidRPr="00574AC2">
        <w:rPr>
          <w:bCs/>
          <w:iCs/>
        </w:rPr>
        <w:t xml:space="preserve">provided </w:t>
      </w:r>
      <w:r w:rsidRPr="00574AC2">
        <w:rPr>
          <w:bCs/>
          <w:i/>
          <w:iCs/>
        </w:rPr>
        <w:t>enablePL</w:t>
      </w:r>
      <w:r w:rsidRPr="00574AC2">
        <w:rPr>
          <w:bCs/>
          <w:i/>
          <w:iCs/>
          <w:lang w:val="en-US"/>
        </w:rPr>
        <w:t>-</w:t>
      </w:r>
      <w:r w:rsidRPr="00574AC2">
        <w:rPr>
          <w:bCs/>
          <w:i/>
          <w:iCs/>
        </w:rPr>
        <w:t>RS</w:t>
      </w:r>
      <w:r w:rsidRPr="00574AC2">
        <w:rPr>
          <w:bCs/>
          <w:i/>
          <w:iCs/>
          <w:lang w:val="en-US"/>
        </w:rPr>
        <w:t>-U</w:t>
      </w:r>
      <w:r w:rsidRPr="00574AC2">
        <w:rPr>
          <w:bCs/>
          <w:i/>
          <w:iCs/>
        </w:rPr>
        <w:t>pdateForPUSCH</w:t>
      </w:r>
      <w:r w:rsidRPr="00574AC2">
        <w:rPr>
          <w:bCs/>
          <w:i/>
          <w:iCs/>
          <w:lang w:val="en-US"/>
        </w:rPr>
        <w:t>-</w:t>
      </w:r>
      <w:r w:rsidRPr="00574AC2">
        <w:rPr>
          <w:bCs/>
          <w:i/>
          <w:iCs/>
        </w:rPr>
        <w:t>SRS</w:t>
      </w:r>
      <w:r w:rsidRPr="00574AC2">
        <w:t xml:space="preserve">, and </w:t>
      </w:r>
      <m:oMath>
        <m:r>
          <w:rPr>
            <w:rFonts w:ascii="Cambria Math" w:hAnsi="Cambria Math"/>
          </w:rPr>
          <m:t>l=0</m:t>
        </m:r>
      </m:oMath>
      <w:r w:rsidR="003A4EE7" w:rsidRPr="00B643AF">
        <w:rPr>
          <w:szCs w:val="22"/>
        </w:rPr>
        <w:t xml:space="preserve">. </w:t>
      </w:r>
      <w:r w:rsidR="003A4EE7">
        <w:rPr>
          <w:rFonts w:eastAsia="PMingLiU"/>
          <w:szCs w:val="22"/>
        </w:rPr>
        <w:t>If</w:t>
      </w:r>
      <w:r w:rsidR="003A4EE7">
        <w:rPr>
          <w:iCs/>
          <w:szCs w:val="22"/>
          <w:lang w:val="en-US"/>
        </w:rPr>
        <w:t xml:space="preserve"> the</w:t>
      </w:r>
      <w:r w:rsidR="003A4EE7" w:rsidRPr="00B643AF">
        <w:rPr>
          <w:iCs/>
          <w:szCs w:val="22"/>
          <w:lang w:val="en-US"/>
        </w:rPr>
        <w:t xml:space="preserve"> UE is provided </w:t>
      </w:r>
      <w:r w:rsidR="003A4EE7" w:rsidRPr="00B643AF">
        <w:rPr>
          <w:i/>
          <w:szCs w:val="22"/>
          <w:lang w:val="en-US" w:eastAsia="zh-CN"/>
        </w:rPr>
        <w:t>dl-OrJointTCI-StateList</w:t>
      </w:r>
      <w:r w:rsidR="003A4EE7" w:rsidRPr="00B643AF">
        <w:rPr>
          <w:iCs/>
          <w:szCs w:val="22"/>
          <w:lang w:val="en-US" w:eastAsia="zh-CN"/>
        </w:rPr>
        <w:t xml:space="preserve"> or</w:t>
      </w:r>
      <w:r w:rsidR="003A4EE7" w:rsidRPr="00B643AF">
        <w:rPr>
          <w:szCs w:val="22"/>
          <w:lang w:val="en-US"/>
        </w:rPr>
        <w:t xml:space="preserve"> </w:t>
      </w:r>
      <w:r w:rsidR="003A4EE7" w:rsidRPr="00B643AF">
        <w:rPr>
          <w:i/>
          <w:iCs/>
          <w:szCs w:val="22"/>
          <w:lang w:val="en-US"/>
        </w:rPr>
        <w:t>TCI-UL-State</w:t>
      </w:r>
      <w:r w:rsidR="003A4EE7">
        <w:rPr>
          <w:iCs/>
          <w:szCs w:val="22"/>
          <w:lang w:val="en-US"/>
        </w:rPr>
        <w:t xml:space="preserve"> that indicate</w:t>
      </w:r>
      <w:r w:rsidR="003A4EE7" w:rsidRPr="00B643AF">
        <w:rPr>
          <w:iCs/>
          <w:szCs w:val="22"/>
          <w:lang w:val="en-US"/>
        </w:rPr>
        <w:t xml:space="preserve"> a first </w:t>
      </w:r>
      <w:r w:rsidR="003A4EE7" w:rsidRPr="00B643AF">
        <w:rPr>
          <w:i/>
          <w:iCs/>
          <w:szCs w:val="22"/>
          <w:lang w:val="en-US"/>
        </w:rPr>
        <w:t>TCI-State</w:t>
      </w:r>
      <w:r w:rsidR="003A4EE7" w:rsidRPr="00B643AF">
        <w:rPr>
          <w:iCs/>
          <w:szCs w:val="22"/>
          <w:lang w:val="en-US"/>
        </w:rPr>
        <w:t xml:space="preserve"> or </w:t>
      </w:r>
      <w:r w:rsidR="003A4EE7" w:rsidRPr="00B643AF">
        <w:rPr>
          <w:i/>
          <w:iCs/>
          <w:szCs w:val="22"/>
          <w:lang w:val="en-US"/>
        </w:rPr>
        <w:t>TCI-UL-State</w:t>
      </w:r>
      <w:r w:rsidR="003A4EE7" w:rsidRPr="00B643AF">
        <w:rPr>
          <w:iCs/>
          <w:szCs w:val="22"/>
          <w:lang w:val="en-US"/>
        </w:rPr>
        <w:t xml:space="preserve"> and a second </w:t>
      </w:r>
      <w:r w:rsidR="003A4EE7" w:rsidRPr="00B643AF">
        <w:rPr>
          <w:i/>
          <w:iCs/>
          <w:szCs w:val="22"/>
          <w:lang w:val="en-US"/>
        </w:rPr>
        <w:t>TCI-State</w:t>
      </w:r>
      <w:r w:rsidR="003A4EE7" w:rsidRPr="00B643AF">
        <w:rPr>
          <w:iCs/>
          <w:szCs w:val="22"/>
          <w:lang w:val="en-US"/>
        </w:rPr>
        <w:t xml:space="preserve"> or </w:t>
      </w:r>
      <w:r w:rsidR="003A4EE7" w:rsidRPr="00B643AF">
        <w:rPr>
          <w:i/>
          <w:iCs/>
          <w:szCs w:val="22"/>
          <w:lang w:val="en-US"/>
        </w:rPr>
        <w:t>TCI-UL-State</w:t>
      </w:r>
      <w:r w:rsidR="003A4EE7" w:rsidRPr="00B643AF">
        <w:rPr>
          <w:szCs w:val="22"/>
          <w:lang w:val="en-US"/>
        </w:rPr>
        <w:t xml:space="preserve">, the UE provides the second Type 1 power headroom report using the </w:t>
      </w:r>
      <w:r w:rsidR="003A4EE7" w:rsidRPr="00B643AF">
        <w:rPr>
          <w:i/>
          <w:szCs w:val="22"/>
          <w:lang w:val="en-US"/>
        </w:rPr>
        <w:t>p0AlphaSetforPUSCH</w:t>
      </w:r>
      <w:r w:rsidR="003A4EE7" w:rsidRPr="00B643AF">
        <w:rPr>
          <w:szCs w:val="22"/>
          <w:lang w:val="en-US"/>
        </w:rPr>
        <w:t xml:space="preserve"> and </w:t>
      </w:r>
      <w:r w:rsidR="003A4EE7" w:rsidRPr="00B643AF">
        <w:rPr>
          <w:i/>
          <w:iCs/>
          <w:szCs w:val="22"/>
          <w:lang w:val="en-US"/>
        </w:rPr>
        <w:t>pathlossReferenceRS-Id-r17</w:t>
      </w:r>
      <w:r w:rsidR="003A4EE7" w:rsidRPr="00B643AF">
        <w:rPr>
          <w:iCs/>
          <w:szCs w:val="22"/>
          <w:lang w:val="en-US"/>
        </w:rPr>
        <w:t xml:space="preserve"> values </w:t>
      </w:r>
      <w:r w:rsidR="003A4EE7" w:rsidRPr="00B643AF">
        <w:rPr>
          <w:szCs w:val="22"/>
          <w:lang w:val="en-US"/>
        </w:rPr>
        <w:t xml:space="preserve">associated with the first </w:t>
      </w:r>
      <w:r w:rsidR="003A4EE7" w:rsidRPr="00B643AF">
        <w:rPr>
          <w:i/>
          <w:iCs/>
          <w:szCs w:val="22"/>
          <w:lang w:val="en-US"/>
        </w:rPr>
        <w:t>TCI-State</w:t>
      </w:r>
      <w:r w:rsidR="003A4EE7" w:rsidRPr="00B643AF">
        <w:rPr>
          <w:iCs/>
          <w:szCs w:val="22"/>
          <w:lang w:val="en-US"/>
        </w:rPr>
        <w:t xml:space="preserve"> or </w:t>
      </w:r>
      <w:r w:rsidR="003A4EE7" w:rsidRPr="00B643AF">
        <w:rPr>
          <w:i/>
          <w:iCs/>
          <w:szCs w:val="22"/>
          <w:lang w:val="en-US"/>
        </w:rPr>
        <w:t>TCI-UL-State.</w:t>
      </w:r>
    </w:p>
    <w:p w14:paraId="279118E4" w14:textId="5BF61D44" w:rsidR="00872457" w:rsidRPr="00574AC2" w:rsidRDefault="00872457" w:rsidP="00872457">
      <w:pPr>
        <w:pStyle w:val="B3"/>
      </w:pPr>
      <w:r w:rsidRPr="00574AC2">
        <w:t>-</w:t>
      </w:r>
      <w:r w:rsidRPr="00574AC2">
        <w:tab/>
      </w:r>
      <w:r>
        <w:rPr>
          <w:lang w:val="en-US"/>
        </w:rPr>
        <w:t>else</w:t>
      </w:r>
      <w:r w:rsidRPr="00574AC2">
        <w:t xml:space="preserve">, </w:t>
      </w:r>
      <m:oMath>
        <m:sSub>
          <m:sSubPr>
            <m:ctrlPr>
              <w:rPr>
                <w:rFonts w:ascii="Cambria Math" w:hAnsi="Cambria Math"/>
                <w:iCs/>
              </w:rPr>
            </m:ctrlPr>
          </m:sSubPr>
          <m:e>
            <m:r>
              <w:rPr>
                <w:rFonts w:ascii="Cambria Math" w:hAnsi="Cambria Math"/>
              </w:rPr>
              <m:t>P</m:t>
            </m:r>
          </m:e>
          <m:sub>
            <m:r>
              <m:rPr>
                <m:nor/>
              </m:rPr>
              <w:rPr>
                <w:iCs/>
              </w:rPr>
              <m:t>O_PUSCH</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m:t>
        </m:r>
        <m:r>
          <w:rPr>
            <w:rFonts w:ascii="Cambria Math" w:hAnsi="Cambria Math"/>
          </w:rPr>
          <m:t>j)</m:t>
        </m:r>
      </m:oMath>
      <w:r w:rsidRPr="00574AC2">
        <w:t xml:space="preserve"> and </w:t>
      </w:r>
      <m:oMath>
        <m:sSub>
          <m:sSubPr>
            <m:ctrlPr>
              <w:rPr>
                <w:rFonts w:ascii="Cambria Math" w:hAnsi="Cambria Math"/>
                <w:iCs/>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Pr="00574AC2">
        <w:t xml:space="preserve"> are obtained using </w:t>
      </w:r>
      <m:oMath>
        <m:sSub>
          <m:sSubPr>
            <m:ctrlPr>
              <w:rPr>
                <w:rFonts w:ascii="Cambria Math" w:hAnsi="Cambria Math"/>
                <w:iCs/>
              </w:rPr>
            </m:ctrlPr>
          </m:sSubPr>
          <m:e>
            <m:r>
              <w:rPr>
                <w:rFonts w:ascii="Cambria Math" w:hAnsi="Cambria Math"/>
              </w:rPr>
              <m:t>P</m:t>
            </m:r>
          </m:e>
          <m:sub>
            <m:r>
              <m:rPr>
                <m:nor/>
              </m:rPr>
              <w:rPr>
                <w:iCs/>
              </w:rPr>
              <m:t>O_NOMINAL,PUSCH</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0</m:t>
            </m:r>
          </m:e>
        </m:d>
      </m:oMath>
      <w:r w:rsidRPr="00574AC2">
        <w:t xml:space="preserve"> and </w:t>
      </w:r>
      <w:r w:rsidRPr="00574AC2">
        <w:rPr>
          <w:i/>
        </w:rPr>
        <w:t>p0-PUSCH-AlphaSetId</w:t>
      </w:r>
      <w:r w:rsidRPr="00574AC2">
        <w:t xml:space="preserve"> </w:t>
      </w:r>
      <w:r w:rsidRPr="00574AC2">
        <w:rPr>
          <w:i/>
        </w:rPr>
        <w:t>= 1</w:t>
      </w:r>
      <w:r w:rsidRPr="00574AC2">
        <w:rPr>
          <w:iCs/>
        </w:rPr>
        <w:t xml:space="preserve">, </w:t>
      </w:r>
      <m:oMath>
        <m:sSub>
          <m:sSubPr>
            <m:ctrlPr>
              <w:rPr>
                <w:rFonts w:ascii="Cambria Math" w:hAnsi="Cambria Math"/>
                <w:i/>
              </w:rPr>
            </m:ctrlPr>
          </m:sSubPr>
          <m:e>
            <m:r>
              <w:rPr>
                <w:rFonts w:ascii="Cambria Math" w:hAnsi="Cambria Math"/>
              </w:rPr>
              <m:t>PL</m:t>
            </m:r>
          </m:e>
          <m:sub>
            <m:r>
              <w:rPr>
                <w:rFonts w:ascii="Cambria Math" w:hAnsi="Cambria Math"/>
              </w:rPr>
              <m:t>b,f,c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oMath>
      <w:r w:rsidRPr="00574AC2">
        <w:t xml:space="preserve"> is obtained using </w:t>
      </w:r>
      <w:r w:rsidRPr="00574AC2">
        <w:rPr>
          <w:i/>
        </w:rPr>
        <w:t xml:space="preserve">pusch-PathlossReferenceRS-Id </w:t>
      </w:r>
      <w:r w:rsidRPr="003204CE">
        <w:rPr>
          <w:iCs/>
        </w:rPr>
        <w:t>= 1</w:t>
      </w:r>
      <w:r w:rsidRPr="00574AC2">
        <w:t xml:space="preserve"> if </w:t>
      </w:r>
      <w:r w:rsidRPr="00574AC2">
        <w:rPr>
          <w:bCs/>
          <w:iCs/>
        </w:rPr>
        <w:t xml:space="preserve">the UE is </w:t>
      </w:r>
      <w:r w:rsidRPr="00574AC2">
        <w:rPr>
          <w:bCs/>
          <w:iCs/>
          <w:lang w:val="en-US"/>
        </w:rPr>
        <w:t xml:space="preserve">not </w:t>
      </w:r>
      <w:r w:rsidRPr="00574AC2">
        <w:rPr>
          <w:bCs/>
          <w:iCs/>
        </w:rPr>
        <w:t xml:space="preserve">provided </w:t>
      </w:r>
      <w:r w:rsidRPr="00574AC2">
        <w:rPr>
          <w:bCs/>
          <w:i/>
          <w:iCs/>
        </w:rPr>
        <w:t>enablePL</w:t>
      </w:r>
      <w:r w:rsidRPr="00574AC2">
        <w:rPr>
          <w:bCs/>
          <w:i/>
          <w:iCs/>
          <w:lang w:val="en-US"/>
        </w:rPr>
        <w:t>-</w:t>
      </w:r>
      <w:r w:rsidRPr="00574AC2">
        <w:rPr>
          <w:bCs/>
          <w:i/>
          <w:iCs/>
        </w:rPr>
        <w:t>RS</w:t>
      </w:r>
      <w:r w:rsidRPr="00574AC2">
        <w:rPr>
          <w:bCs/>
          <w:i/>
          <w:iCs/>
          <w:lang w:val="en-US"/>
        </w:rPr>
        <w:t>-U</w:t>
      </w:r>
      <w:r w:rsidRPr="00574AC2">
        <w:rPr>
          <w:bCs/>
          <w:i/>
          <w:iCs/>
        </w:rPr>
        <w:t>pdateForPUSCH</w:t>
      </w:r>
      <w:r w:rsidRPr="00574AC2">
        <w:rPr>
          <w:bCs/>
          <w:i/>
          <w:iCs/>
          <w:lang w:val="en-US"/>
        </w:rPr>
        <w:t>-</w:t>
      </w:r>
      <w:r w:rsidRPr="00574AC2">
        <w:rPr>
          <w:bCs/>
          <w:i/>
          <w:iCs/>
        </w:rPr>
        <w:t xml:space="preserve">SRS </w:t>
      </w:r>
      <w:r w:rsidRPr="00574AC2">
        <w:rPr>
          <w:bCs/>
        </w:rPr>
        <w:t xml:space="preserve">or is obtained </w:t>
      </w:r>
      <w:r w:rsidRPr="00574AC2">
        <w:t xml:space="preserve">from </w:t>
      </w:r>
      <w:r w:rsidRPr="00574AC2">
        <w:rPr>
          <w:i/>
        </w:rPr>
        <w:t>PUSCH-PathlossReferenceRS-Id</w:t>
      </w:r>
      <w:r w:rsidRPr="00574AC2">
        <w:t xml:space="preserve"> </w:t>
      </w:r>
      <w:r w:rsidRPr="00574AC2">
        <w:rPr>
          <w:rFonts w:eastAsia="MS Mincho"/>
        </w:rPr>
        <w:t xml:space="preserve">mapped to </w:t>
      </w:r>
      <w:r w:rsidRPr="00574AC2">
        <w:rPr>
          <w:i/>
        </w:rPr>
        <w:t>sri-PUSCH-PowerControlId</w:t>
      </w:r>
      <w:r w:rsidRPr="00574AC2">
        <w:t xml:space="preserve"> = 0 of </w:t>
      </w:r>
      <w:r w:rsidRPr="00574AC2">
        <w:rPr>
          <w:i/>
        </w:rPr>
        <w:t xml:space="preserve">sri-PUSCH-MappingToAddModList2 </w:t>
      </w:r>
      <w:r w:rsidRPr="00574AC2">
        <w:rPr>
          <w:iCs/>
        </w:rPr>
        <w:t xml:space="preserve">if </w:t>
      </w:r>
      <w:r w:rsidRPr="00574AC2">
        <w:rPr>
          <w:bCs/>
          <w:iCs/>
        </w:rPr>
        <w:t>the UE is</w:t>
      </w:r>
      <w:r w:rsidRPr="00574AC2">
        <w:rPr>
          <w:bCs/>
          <w:iCs/>
          <w:lang w:val="en-US"/>
        </w:rPr>
        <w:t xml:space="preserve"> </w:t>
      </w:r>
      <w:r w:rsidRPr="00574AC2">
        <w:rPr>
          <w:bCs/>
          <w:iCs/>
        </w:rPr>
        <w:t xml:space="preserve">provided </w:t>
      </w:r>
      <w:r w:rsidRPr="00574AC2">
        <w:rPr>
          <w:bCs/>
          <w:i/>
          <w:iCs/>
        </w:rPr>
        <w:t>enablePL</w:t>
      </w:r>
      <w:r w:rsidRPr="00574AC2">
        <w:rPr>
          <w:bCs/>
          <w:i/>
          <w:iCs/>
          <w:lang w:val="en-US"/>
        </w:rPr>
        <w:t>-</w:t>
      </w:r>
      <w:r w:rsidRPr="00574AC2">
        <w:rPr>
          <w:bCs/>
          <w:i/>
          <w:iCs/>
        </w:rPr>
        <w:t>RS</w:t>
      </w:r>
      <w:r w:rsidRPr="00574AC2">
        <w:rPr>
          <w:bCs/>
          <w:i/>
          <w:iCs/>
          <w:lang w:val="en-US"/>
        </w:rPr>
        <w:t>-U</w:t>
      </w:r>
      <w:r w:rsidRPr="00574AC2">
        <w:rPr>
          <w:bCs/>
          <w:i/>
          <w:iCs/>
        </w:rPr>
        <w:t>pdateForPUSCH</w:t>
      </w:r>
      <w:r w:rsidRPr="00574AC2">
        <w:rPr>
          <w:bCs/>
          <w:i/>
          <w:iCs/>
          <w:lang w:val="en-US"/>
        </w:rPr>
        <w:t>-</w:t>
      </w:r>
      <w:r w:rsidRPr="00574AC2">
        <w:rPr>
          <w:bCs/>
          <w:i/>
          <w:iCs/>
        </w:rPr>
        <w:t>SRS</w:t>
      </w:r>
      <w:r w:rsidRPr="00574AC2">
        <w:t xml:space="preserve">, and </w:t>
      </w:r>
      <m:oMath>
        <m:r>
          <w:rPr>
            <w:rFonts w:ascii="Cambria Math" w:hAnsi="Cambria Math"/>
          </w:rPr>
          <m:t>l</m:t>
        </m:r>
        <m:r>
          <m:rPr>
            <m:sty m:val="p"/>
          </m:rPr>
          <w:rPr>
            <w:rFonts w:ascii="Cambria Math" w:hAnsi="Cambria Math"/>
          </w:rPr>
          <m:t>=1</m:t>
        </m:r>
      </m:oMath>
      <w:r w:rsidRPr="00574AC2">
        <w:t xml:space="preserve"> if </w:t>
      </w:r>
      <w:r w:rsidRPr="00574AC2">
        <w:rPr>
          <w:rFonts w:eastAsia="DengXian"/>
        </w:rPr>
        <w:t xml:space="preserve">the UE is provided </w:t>
      </w:r>
      <w:r w:rsidRPr="003204CE">
        <w:rPr>
          <w:i/>
          <w:iCs/>
        </w:rPr>
        <w:t>twoPUSCH-PC-AdjustmentStates</w:t>
      </w:r>
      <w:r>
        <w:rPr>
          <w:lang w:val="en-US"/>
        </w:rPr>
        <w:t>,</w:t>
      </w:r>
      <w:r w:rsidRPr="00574AC2">
        <w:t xml:space="preserve"> or </w:t>
      </w:r>
      <m:oMath>
        <m:r>
          <w:rPr>
            <w:rFonts w:ascii="Cambria Math" w:hAnsi="Cambria Math"/>
          </w:rPr>
          <m:t>l</m:t>
        </m:r>
        <m:r>
          <m:rPr>
            <m:sty m:val="p"/>
          </m:rPr>
          <w:rPr>
            <w:rFonts w:ascii="Cambria Math" w:hAnsi="Cambria Math"/>
          </w:rPr>
          <m:t>=0</m:t>
        </m:r>
      </m:oMath>
      <w:r w:rsidRPr="00574AC2">
        <w:t xml:space="preserve"> if </w:t>
      </w:r>
      <w:r w:rsidRPr="00574AC2">
        <w:rPr>
          <w:rFonts w:eastAsia="DengXian"/>
        </w:rPr>
        <w:t xml:space="preserve">the UE is not provided </w:t>
      </w:r>
      <w:r w:rsidRPr="003204CE">
        <w:rPr>
          <w:i/>
          <w:iCs/>
        </w:rPr>
        <w:t>twoPUSCH-PC-AdjustmentStates</w:t>
      </w:r>
      <w:r w:rsidR="003A4EE7" w:rsidRPr="00C734B3">
        <w:rPr>
          <w:iCs/>
        </w:rPr>
        <w:t xml:space="preserve">. </w:t>
      </w:r>
      <w:r w:rsidR="003A4EE7" w:rsidRPr="00C734B3">
        <w:rPr>
          <w:rFonts w:eastAsia="PMingLiU"/>
        </w:rPr>
        <w:t>I</w:t>
      </w:r>
      <w:r w:rsidR="003A4EE7">
        <w:rPr>
          <w:iCs/>
          <w:lang w:val="en-US"/>
        </w:rPr>
        <w:t>f the</w:t>
      </w:r>
      <w:r w:rsidR="003A4EE7" w:rsidRPr="00C734B3">
        <w:rPr>
          <w:iCs/>
          <w:lang w:val="en-US"/>
        </w:rPr>
        <w:t xml:space="preserve"> UE is provided </w:t>
      </w:r>
      <w:r w:rsidR="003A4EE7" w:rsidRPr="00C734B3">
        <w:rPr>
          <w:i/>
          <w:lang w:val="en-US" w:eastAsia="zh-CN"/>
        </w:rPr>
        <w:t>dl-OrJointTCI-StateList</w:t>
      </w:r>
      <w:r w:rsidR="003A4EE7" w:rsidRPr="00C734B3">
        <w:rPr>
          <w:iCs/>
          <w:lang w:val="en-US" w:eastAsia="zh-CN"/>
        </w:rPr>
        <w:t xml:space="preserve"> or</w:t>
      </w:r>
      <w:r w:rsidR="003A4EE7" w:rsidRPr="00C734B3">
        <w:rPr>
          <w:lang w:val="en-US"/>
        </w:rPr>
        <w:t xml:space="preserve"> </w:t>
      </w:r>
      <w:r w:rsidR="003A4EE7" w:rsidRPr="00C734B3">
        <w:rPr>
          <w:i/>
          <w:iCs/>
          <w:lang w:val="en-US"/>
        </w:rPr>
        <w:t>TCI-UL-State</w:t>
      </w:r>
      <w:r w:rsidR="003A4EE7">
        <w:rPr>
          <w:iCs/>
          <w:lang w:val="en-US"/>
        </w:rPr>
        <w:t xml:space="preserve"> that indicate</w:t>
      </w:r>
      <w:r w:rsidR="003A4EE7" w:rsidRPr="00C734B3">
        <w:rPr>
          <w:iCs/>
          <w:lang w:val="en-US"/>
        </w:rPr>
        <w:t xml:space="preserve"> a first </w:t>
      </w:r>
      <w:r w:rsidR="003A4EE7" w:rsidRPr="00C734B3">
        <w:rPr>
          <w:i/>
          <w:iCs/>
          <w:lang w:val="en-US"/>
        </w:rPr>
        <w:t>TCI-State</w:t>
      </w:r>
      <w:r w:rsidR="003A4EE7" w:rsidRPr="00C734B3">
        <w:rPr>
          <w:iCs/>
          <w:lang w:val="en-US"/>
        </w:rPr>
        <w:t xml:space="preserve"> or </w:t>
      </w:r>
      <w:r w:rsidR="003A4EE7" w:rsidRPr="00C734B3">
        <w:rPr>
          <w:i/>
          <w:iCs/>
          <w:lang w:val="en-US"/>
        </w:rPr>
        <w:t>TCI-UL-State</w:t>
      </w:r>
      <w:r w:rsidR="003A4EE7" w:rsidRPr="00C734B3">
        <w:rPr>
          <w:iCs/>
          <w:lang w:val="en-US"/>
        </w:rPr>
        <w:t xml:space="preserve"> and a </w:t>
      </w:r>
      <w:r w:rsidR="003A4EE7" w:rsidRPr="00C734B3">
        <w:rPr>
          <w:iCs/>
          <w:lang w:val="en-US"/>
        </w:rPr>
        <w:lastRenderedPageBreak/>
        <w:t xml:space="preserve">second </w:t>
      </w:r>
      <w:r w:rsidR="003A4EE7" w:rsidRPr="00C734B3">
        <w:rPr>
          <w:i/>
          <w:iCs/>
          <w:lang w:val="en-US"/>
        </w:rPr>
        <w:t>TCI-State</w:t>
      </w:r>
      <w:r w:rsidR="003A4EE7" w:rsidRPr="00C734B3">
        <w:rPr>
          <w:iCs/>
          <w:lang w:val="en-US"/>
        </w:rPr>
        <w:t xml:space="preserve"> or </w:t>
      </w:r>
      <w:r w:rsidR="003A4EE7" w:rsidRPr="00C734B3">
        <w:rPr>
          <w:i/>
          <w:iCs/>
          <w:lang w:val="en-US"/>
        </w:rPr>
        <w:t>TCI-UL-State</w:t>
      </w:r>
      <w:r w:rsidR="003A4EE7" w:rsidRPr="00C734B3">
        <w:rPr>
          <w:lang w:val="en-US"/>
        </w:rPr>
        <w:t xml:space="preserve">, the UE provides the second Type 1 power headroom report using the </w:t>
      </w:r>
      <w:r w:rsidR="003A4EE7" w:rsidRPr="00C734B3">
        <w:rPr>
          <w:i/>
          <w:lang w:val="en-US"/>
        </w:rPr>
        <w:t>p0AlphaSetforPUSCH</w:t>
      </w:r>
      <w:r w:rsidR="003A4EE7" w:rsidRPr="00C734B3">
        <w:rPr>
          <w:lang w:val="en-US"/>
        </w:rPr>
        <w:t xml:space="preserve"> and </w:t>
      </w:r>
      <w:r w:rsidR="003A4EE7" w:rsidRPr="00C734B3">
        <w:rPr>
          <w:i/>
          <w:iCs/>
          <w:lang w:val="en-US"/>
        </w:rPr>
        <w:t>pathlossReferenceRS-Id-r17</w:t>
      </w:r>
      <w:r w:rsidR="003A4EE7" w:rsidRPr="00C734B3">
        <w:rPr>
          <w:iCs/>
          <w:lang w:val="en-US"/>
        </w:rPr>
        <w:t xml:space="preserve"> values </w:t>
      </w:r>
      <w:r w:rsidR="003A4EE7" w:rsidRPr="00C734B3">
        <w:rPr>
          <w:lang w:val="en-US"/>
        </w:rPr>
        <w:t xml:space="preserve">associated with the second </w:t>
      </w:r>
      <w:r w:rsidR="003A4EE7" w:rsidRPr="00C734B3">
        <w:rPr>
          <w:i/>
          <w:iCs/>
          <w:lang w:val="en-US"/>
        </w:rPr>
        <w:t>TCI-State</w:t>
      </w:r>
      <w:r w:rsidR="003A4EE7" w:rsidRPr="00C734B3">
        <w:rPr>
          <w:iCs/>
          <w:lang w:val="en-US"/>
        </w:rPr>
        <w:t xml:space="preserve"> or </w:t>
      </w:r>
      <w:r w:rsidR="003A4EE7" w:rsidRPr="00C734B3">
        <w:rPr>
          <w:i/>
          <w:iCs/>
          <w:lang w:val="en-US"/>
        </w:rPr>
        <w:t>TCI-UL-State.</w:t>
      </w:r>
    </w:p>
    <w:p w14:paraId="0474AA50" w14:textId="77777777" w:rsidR="00872457" w:rsidRDefault="00872457" w:rsidP="00872457">
      <w:pPr>
        <w:pStyle w:val="B1"/>
        <w:rPr>
          <w:lang w:eastAsia="zh-CN"/>
        </w:rPr>
      </w:pPr>
      <w:r w:rsidRPr="00F415B1">
        <w:t>-</w:t>
      </w:r>
      <w:r w:rsidRPr="00F415B1">
        <w:tab/>
      </w:r>
      <w:r>
        <w:rPr>
          <w:lang w:val="en-US"/>
        </w:rPr>
        <w:t>else</w:t>
      </w:r>
      <w:r w:rsidRPr="00F415B1">
        <w:t xml:space="preserve">, if the UE provides a Type 1 power headroom report for a </w:t>
      </w:r>
      <w:r w:rsidRPr="00F415B1">
        <w:rPr>
          <w:lang w:eastAsia="ko-KR"/>
        </w:rPr>
        <w:t xml:space="preserve">reference PUSCH transmission </w:t>
      </w:r>
      <w:r w:rsidRPr="00F415B1">
        <w:t xml:space="preserve">associated with the first </w:t>
      </w:r>
      <w:r w:rsidRPr="00574AC2">
        <w:rPr>
          <w:lang w:val="en-US"/>
        </w:rPr>
        <w:t>SRS resource set</w:t>
      </w:r>
      <w:r w:rsidRPr="00F415B1">
        <w:t xml:space="preserve">, the UE provides a Type 1 power headroom report for a reference </w:t>
      </w:r>
      <w:r w:rsidRPr="00F415B1">
        <w:rPr>
          <w:lang w:eastAsia="ko-KR"/>
        </w:rPr>
        <w:t xml:space="preserve">PUSCH transmission </w:t>
      </w:r>
      <w:r w:rsidRPr="00F415B1">
        <w:t xml:space="preserve">associated with the second </w:t>
      </w:r>
      <w:r w:rsidRPr="00574AC2">
        <w:rPr>
          <w:lang w:val="en-US"/>
        </w:rPr>
        <w:t>SRS resource set</w:t>
      </w:r>
      <w:r>
        <w:rPr>
          <w:lang w:val="en-US"/>
        </w:rPr>
        <w:t>, where</w:t>
      </w:r>
    </w:p>
    <w:p w14:paraId="0AB67D7B" w14:textId="77777777" w:rsidR="00872457" w:rsidRPr="00574AC2" w:rsidRDefault="00872457" w:rsidP="00872457">
      <w:pPr>
        <w:pStyle w:val="B2"/>
      </w:pPr>
      <w:r w:rsidRPr="00574AC2">
        <w:t>-</w:t>
      </w:r>
      <w:r w:rsidRPr="00574AC2">
        <w:tab/>
      </w:r>
      <w:r>
        <w:rPr>
          <w:lang w:val="en-US"/>
        </w:rPr>
        <w:t xml:space="preserve">for the first Type 1 power headroom report, </w:t>
      </w:r>
      <m:oMath>
        <m:sSub>
          <m:sSubPr>
            <m:ctrlPr>
              <w:rPr>
                <w:rFonts w:ascii="Cambria Math" w:hAnsi="Cambria Math"/>
                <w:iCs/>
              </w:rPr>
            </m:ctrlPr>
          </m:sSubPr>
          <m:e>
            <m:r>
              <w:rPr>
                <w:rFonts w:ascii="Cambria Math" w:hAnsi="Cambria Math"/>
              </w:rPr>
              <m:t>P</m:t>
            </m:r>
          </m:e>
          <m:sub>
            <m:r>
              <m:rPr>
                <m:nor/>
              </m:rPr>
              <w:rPr>
                <w:iCs/>
              </w:rPr>
              <m:t>O_PUSCH</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m:t>
        </m:r>
        <m:r>
          <w:rPr>
            <w:rFonts w:ascii="Cambria Math" w:hAnsi="Cambria Math"/>
          </w:rPr>
          <m:t>j)</m:t>
        </m:r>
      </m:oMath>
      <w:r w:rsidRPr="00574AC2">
        <w:t xml:space="preserve"> and </w:t>
      </w:r>
      <m:oMath>
        <m:sSub>
          <m:sSubPr>
            <m:ctrlPr>
              <w:rPr>
                <w:rFonts w:ascii="Cambria Math" w:hAnsi="Cambria Math"/>
                <w:iCs/>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Pr="00574AC2">
        <w:t xml:space="preserve"> are obtained using </w:t>
      </w:r>
      <m:oMath>
        <m:sSub>
          <m:sSubPr>
            <m:ctrlPr>
              <w:rPr>
                <w:rFonts w:ascii="Cambria Math" w:hAnsi="Cambria Math"/>
                <w:iCs/>
              </w:rPr>
            </m:ctrlPr>
          </m:sSubPr>
          <m:e>
            <m:r>
              <w:rPr>
                <w:rFonts w:ascii="Cambria Math" w:hAnsi="Cambria Math"/>
              </w:rPr>
              <m:t>P</m:t>
            </m:r>
          </m:e>
          <m:sub>
            <m:r>
              <m:rPr>
                <m:nor/>
              </m:rPr>
              <w:rPr>
                <w:iCs/>
              </w:rPr>
              <m:t>O_NOMINAL,PUSCH</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0</m:t>
            </m:r>
          </m:e>
        </m:d>
      </m:oMath>
      <w:r w:rsidRPr="00574AC2">
        <w:t xml:space="preserve"> and </w:t>
      </w:r>
      <w:r w:rsidRPr="00574AC2">
        <w:rPr>
          <w:i/>
        </w:rPr>
        <w:t>p0-PUSCH-AlphaSetId</w:t>
      </w:r>
      <w:r w:rsidRPr="00574AC2">
        <w:t xml:space="preserve"> </w:t>
      </w:r>
      <w:r w:rsidRPr="00574AC2">
        <w:rPr>
          <w:i/>
        </w:rPr>
        <w:t xml:space="preserve">= </w:t>
      </w:r>
      <w:r w:rsidRPr="00574AC2">
        <w:t>0</w:t>
      </w:r>
      <w:r w:rsidRPr="00574AC2">
        <w:rPr>
          <w:iCs/>
        </w:rPr>
        <w:t xml:space="preserve">, </w:t>
      </w:r>
      <m:oMath>
        <m:sSub>
          <m:sSubPr>
            <m:ctrlPr>
              <w:rPr>
                <w:rFonts w:ascii="Cambria Math" w:hAnsi="Cambria Math"/>
                <w:i/>
              </w:rPr>
            </m:ctrlPr>
          </m:sSubPr>
          <m:e>
            <m:r>
              <w:rPr>
                <w:rFonts w:ascii="Cambria Math" w:hAnsi="Cambria Math"/>
              </w:rPr>
              <m:t>PL</m:t>
            </m:r>
          </m:e>
          <m:sub>
            <m:r>
              <w:rPr>
                <w:rFonts w:ascii="Cambria Math" w:hAnsi="Cambria Math"/>
              </w:rPr>
              <m:t>b,f,c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oMath>
      <w:r w:rsidRPr="00574AC2">
        <w:t xml:space="preserve"> is obtained using </w:t>
      </w:r>
      <w:r w:rsidRPr="00574AC2">
        <w:rPr>
          <w:i/>
        </w:rPr>
        <w:t xml:space="preserve">pusch-PathlossReferenceRS-Id = </w:t>
      </w:r>
      <w:r w:rsidRPr="00574AC2">
        <w:t xml:space="preserve">0 if </w:t>
      </w:r>
      <w:r w:rsidRPr="00574AC2">
        <w:rPr>
          <w:bCs/>
          <w:iCs/>
        </w:rPr>
        <w:t xml:space="preserve">the UE is </w:t>
      </w:r>
      <w:r w:rsidRPr="00574AC2">
        <w:rPr>
          <w:bCs/>
          <w:iCs/>
          <w:lang w:val="en-US"/>
        </w:rPr>
        <w:t xml:space="preserve">not </w:t>
      </w:r>
      <w:r w:rsidRPr="00574AC2">
        <w:rPr>
          <w:bCs/>
          <w:iCs/>
        </w:rPr>
        <w:t xml:space="preserve">provided </w:t>
      </w:r>
      <w:r w:rsidRPr="00574AC2">
        <w:rPr>
          <w:bCs/>
          <w:i/>
          <w:iCs/>
        </w:rPr>
        <w:t>enablePL</w:t>
      </w:r>
      <w:r w:rsidRPr="00574AC2">
        <w:rPr>
          <w:bCs/>
          <w:i/>
          <w:iCs/>
          <w:lang w:val="en-US"/>
        </w:rPr>
        <w:t>-</w:t>
      </w:r>
      <w:r w:rsidRPr="00574AC2">
        <w:rPr>
          <w:bCs/>
          <w:i/>
          <w:iCs/>
        </w:rPr>
        <w:t>RS</w:t>
      </w:r>
      <w:r w:rsidRPr="00574AC2">
        <w:rPr>
          <w:bCs/>
          <w:i/>
          <w:iCs/>
          <w:lang w:val="en-US"/>
        </w:rPr>
        <w:t>-U</w:t>
      </w:r>
      <w:r w:rsidRPr="00574AC2">
        <w:rPr>
          <w:bCs/>
          <w:i/>
          <w:iCs/>
        </w:rPr>
        <w:t>pdateForPUSCH</w:t>
      </w:r>
      <w:r w:rsidRPr="00574AC2">
        <w:rPr>
          <w:bCs/>
          <w:i/>
          <w:iCs/>
          <w:lang w:val="en-US"/>
        </w:rPr>
        <w:t>-</w:t>
      </w:r>
      <w:r w:rsidRPr="00574AC2">
        <w:rPr>
          <w:bCs/>
          <w:i/>
          <w:iCs/>
        </w:rPr>
        <w:t>SRS</w:t>
      </w:r>
      <w:r>
        <w:rPr>
          <w:bCs/>
          <w:lang w:val="en-US"/>
        </w:rPr>
        <w:t xml:space="preserve">, </w:t>
      </w:r>
      <w:r w:rsidRPr="00574AC2">
        <w:rPr>
          <w:bCs/>
        </w:rPr>
        <w:t xml:space="preserve">or is obtained </w:t>
      </w:r>
      <w:r w:rsidRPr="00574AC2">
        <w:t xml:space="preserve">from the </w:t>
      </w:r>
      <w:r w:rsidRPr="00574AC2">
        <w:rPr>
          <w:i/>
        </w:rPr>
        <w:t>PUSCH-PathlossReferenceRS-Id</w:t>
      </w:r>
      <w:r w:rsidRPr="00574AC2">
        <w:t xml:space="preserve"> </w:t>
      </w:r>
      <w:r w:rsidRPr="00574AC2">
        <w:rPr>
          <w:rFonts w:eastAsia="MS Mincho"/>
        </w:rPr>
        <w:t xml:space="preserve">mapped to </w:t>
      </w:r>
      <w:r w:rsidRPr="00574AC2">
        <w:rPr>
          <w:i/>
        </w:rPr>
        <w:t>sri-PUSCH-PowerControlId</w:t>
      </w:r>
      <w:r w:rsidRPr="00574AC2">
        <w:t xml:space="preserve"> = 0 of </w:t>
      </w:r>
      <w:r w:rsidRPr="00574AC2">
        <w:rPr>
          <w:i/>
        </w:rPr>
        <w:t xml:space="preserve">sri-PUSCH-MappingToAddModList </w:t>
      </w:r>
      <w:r w:rsidRPr="00574AC2">
        <w:rPr>
          <w:iCs/>
        </w:rPr>
        <w:t xml:space="preserve">if </w:t>
      </w:r>
      <w:r w:rsidRPr="00574AC2">
        <w:rPr>
          <w:bCs/>
          <w:iCs/>
        </w:rPr>
        <w:t>the UE is</w:t>
      </w:r>
      <w:r w:rsidRPr="00574AC2">
        <w:rPr>
          <w:bCs/>
          <w:iCs/>
          <w:lang w:val="en-US"/>
        </w:rPr>
        <w:t xml:space="preserve"> </w:t>
      </w:r>
      <w:r w:rsidRPr="00574AC2">
        <w:rPr>
          <w:bCs/>
          <w:iCs/>
        </w:rPr>
        <w:t xml:space="preserve">provided </w:t>
      </w:r>
      <w:r w:rsidRPr="00574AC2">
        <w:rPr>
          <w:bCs/>
          <w:i/>
          <w:iCs/>
        </w:rPr>
        <w:t>enablePL</w:t>
      </w:r>
      <w:r w:rsidRPr="00574AC2">
        <w:rPr>
          <w:bCs/>
          <w:i/>
          <w:iCs/>
          <w:lang w:val="en-US"/>
        </w:rPr>
        <w:t>-</w:t>
      </w:r>
      <w:r w:rsidRPr="00574AC2">
        <w:rPr>
          <w:bCs/>
          <w:i/>
          <w:iCs/>
        </w:rPr>
        <w:t>RS</w:t>
      </w:r>
      <w:r w:rsidRPr="00574AC2">
        <w:rPr>
          <w:bCs/>
          <w:i/>
          <w:iCs/>
          <w:lang w:val="en-US"/>
        </w:rPr>
        <w:t>-U</w:t>
      </w:r>
      <w:r w:rsidRPr="00574AC2">
        <w:rPr>
          <w:bCs/>
          <w:i/>
          <w:iCs/>
        </w:rPr>
        <w:t>pdateForPUSCH</w:t>
      </w:r>
      <w:r w:rsidRPr="00574AC2">
        <w:rPr>
          <w:bCs/>
          <w:i/>
          <w:iCs/>
          <w:lang w:val="en-US"/>
        </w:rPr>
        <w:t>-</w:t>
      </w:r>
      <w:r w:rsidRPr="00574AC2">
        <w:rPr>
          <w:bCs/>
          <w:i/>
          <w:iCs/>
        </w:rPr>
        <w:t>SRS</w:t>
      </w:r>
      <w:r w:rsidRPr="00574AC2">
        <w:t xml:space="preserve">, and </w:t>
      </w:r>
      <m:oMath>
        <m:r>
          <w:rPr>
            <w:rFonts w:ascii="Cambria Math" w:hAnsi="Cambria Math"/>
          </w:rPr>
          <m:t>l=0</m:t>
        </m:r>
      </m:oMath>
      <w:r w:rsidRPr="00574AC2">
        <w:t>.</w:t>
      </w:r>
    </w:p>
    <w:p w14:paraId="15F896ED" w14:textId="77777777" w:rsidR="00872457" w:rsidRDefault="00872457" w:rsidP="00872457">
      <w:pPr>
        <w:pStyle w:val="B2"/>
        <w:rPr>
          <w:i/>
          <w:iCs/>
        </w:rPr>
      </w:pPr>
      <w:r w:rsidRPr="00574AC2">
        <w:t>-</w:t>
      </w:r>
      <w:r w:rsidRPr="00574AC2">
        <w:tab/>
      </w:r>
      <w:r>
        <w:rPr>
          <w:lang w:val="en-US"/>
        </w:rPr>
        <w:t xml:space="preserve">for </w:t>
      </w:r>
      <w:r w:rsidRPr="00574AC2">
        <w:t>the second Type 1 power headroom report</w:t>
      </w:r>
      <w:r>
        <w:rPr>
          <w:lang w:val="en-US"/>
        </w:rPr>
        <w:t>,</w:t>
      </w:r>
      <w:r w:rsidRPr="00574AC2">
        <w:t xml:space="preserve"> </w:t>
      </w:r>
      <m:oMath>
        <m:sSub>
          <m:sSubPr>
            <m:ctrlPr>
              <w:rPr>
                <w:rFonts w:ascii="Cambria Math" w:hAnsi="Cambria Math"/>
                <w:iCs/>
              </w:rPr>
            </m:ctrlPr>
          </m:sSubPr>
          <m:e>
            <m:r>
              <w:rPr>
                <w:rFonts w:ascii="Cambria Math" w:hAnsi="Cambria Math"/>
              </w:rPr>
              <m:t>P</m:t>
            </m:r>
          </m:e>
          <m:sub>
            <m:r>
              <m:rPr>
                <m:nor/>
              </m:rPr>
              <w:rPr>
                <w:iCs/>
              </w:rPr>
              <m:t>O_PUSCH</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m:t>
        </m:r>
        <m:r>
          <w:rPr>
            <w:rFonts w:ascii="Cambria Math" w:hAnsi="Cambria Math"/>
          </w:rPr>
          <m:t>j)</m:t>
        </m:r>
      </m:oMath>
      <w:r w:rsidRPr="00574AC2">
        <w:t xml:space="preserve"> and </w:t>
      </w:r>
      <m:oMath>
        <m:sSub>
          <m:sSubPr>
            <m:ctrlPr>
              <w:rPr>
                <w:rFonts w:ascii="Cambria Math" w:hAnsi="Cambria Math"/>
                <w:iCs/>
              </w:rPr>
            </m:ctrlPr>
          </m:sSubPr>
          <m:e>
            <m:r>
              <w:rPr>
                <w:rFonts w:ascii="Cambria Math" w:hAnsi="Cambria Math"/>
              </w:rPr>
              <m:t>α</m:t>
            </m:r>
          </m:e>
          <m:sub>
            <m:r>
              <w:rPr>
                <w:rFonts w:ascii="Cambria Math" w:hAnsi="Cambria Math"/>
              </w:rPr>
              <m:t>b</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j</m:t>
            </m:r>
          </m:e>
        </m:d>
      </m:oMath>
      <w:r w:rsidRPr="00574AC2">
        <w:t xml:space="preserve"> are obtained using </w:t>
      </w:r>
      <m:oMath>
        <m:sSub>
          <m:sSubPr>
            <m:ctrlPr>
              <w:rPr>
                <w:rFonts w:ascii="Cambria Math" w:hAnsi="Cambria Math"/>
                <w:iCs/>
              </w:rPr>
            </m:ctrlPr>
          </m:sSubPr>
          <m:e>
            <m:r>
              <w:rPr>
                <w:rFonts w:ascii="Cambria Math" w:hAnsi="Cambria Math"/>
              </w:rPr>
              <m:t>P</m:t>
            </m:r>
          </m:e>
          <m:sub>
            <m:r>
              <m:rPr>
                <m:nor/>
              </m:rPr>
              <w:rPr>
                <w:iCs/>
              </w:rPr>
              <m:t>O_NOMINAL,PUSCH</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d>
          <m:dPr>
            <m:ctrlPr>
              <w:rPr>
                <w:rFonts w:ascii="Cambria Math" w:hAnsi="Cambria Math"/>
              </w:rPr>
            </m:ctrlPr>
          </m:dPr>
          <m:e>
            <m:r>
              <w:rPr>
                <w:rFonts w:ascii="Cambria Math" w:hAnsi="Cambria Math"/>
              </w:rPr>
              <m:t>0</m:t>
            </m:r>
          </m:e>
        </m:d>
      </m:oMath>
      <w:r w:rsidRPr="00574AC2">
        <w:t xml:space="preserve"> and </w:t>
      </w:r>
      <w:r w:rsidRPr="00574AC2">
        <w:rPr>
          <w:i/>
        </w:rPr>
        <w:t>p0-PUSCH-AlphaSetId</w:t>
      </w:r>
      <w:r w:rsidRPr="00574AC2">
        <w:t xml:space="preserve"> </w:t>
      </w:r>
      <w:r w:rsidRPr="00574AC2">
        <w:rPr>
          <w:i/>
        </w:rPr>
        <w:t>= 1</w:t>
      </w:r>
      <w:r w:rsidRPr="00574AC2">
        <w:rPr>
          <w:iCs/>
        </w:rPr>
        <w:t xml:space="preserve">, </w:t>
      </w:r>
      <m:oMath>
        <m:sSub>
          <m:sSubPr>
            <m:ctrlPr>
              <w:rPr>
                <w:rFonts w:ascii="Cambria Math" w:hAnsi="Cambria Math"/>
                <w:i/>
              </w:rPr>
            </m:ctrlPr>
          </m:sSubPr>
          <m:e>
            <m:r>
              <w:rPr>
                <w:rFonts w:ascii="Cambria Math" w:hAnsi="Cambria Math"/>
              </w:rPr>
              <m:t>PL</m:t>
            </m:r>
          </m:e>
          <m:sub>
            <m:r>
              <w:rPr>
                <w:rFonts w:ascii="Cambria Math" w:hAnsi="Cambria Math"/>
              </w:rPr>
              <m:t>b,f,c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oMath>
      <w:r w:rsidRPr="00574AC2">
        <w:t xml:space="preserve"> is obtained using </w:t>
      </w:r>
      <w:r w:rsidRPr="00574AC2">
        <w:rPr>
          <w:i/>
        </w:rPr>
        <w:t>pusch-PathlossReferenceRS-Id = 1</w:t>
      </w:r>
      <w:r w:rsidRPr="00574AC2">
        <w:t xml:space="preserve"> if </w:t>
      </w:r>
      <w:r w:rsidRPr="00574AC2">
        <w:rPr>
          <w:bCs/>
          <w:iCs/>
        </w:rPr>
        <w:t xml:space="preserve">the UE is </w:t>
      </w:r>
      <w:r w:rsidRPr="00574AC2">
        <w:rPr>
          <w:bCs/>
          <w:iCs/>
          <w:lang w:val="en-US"/>
        </w:rPr>
        <w:t xml:space="preserve">not </w:t>
      </w:r>
      <w:r w:rsidRPr="00574AC2">
        <w:rPr>
          <w:bCs/>
          <w:iCs/>
        </w:rPr>
        <w:t xml:space="preserve">provided </w:t>
      </w:r>
      <w:r w:rsidRPr="00574AC2">
        <w:rPr>
          <w:bCs/>
          <w:i/>
          <w:iCs/>
        </w:rPr>
        <w:t>enablePL</w:t>
      </w:r>
      <w:r w:rsidRPr="00574AC2">
        <w:rPr>
          <w:bCs/>
          <w:i/>
          <w:iCs/>
          <w:lang w:val="en-US"/>
        </w:rPr>
        <w:t>-</w:t>
      </w:r>
      <w:r w:rsidRPr="00574AC2">
        <w:rPr>
          <w:bCs/>
          <w:i/>
          <w:iCs/>
        </w:rPr>
        <w:t>RS</w:t>
      </w:r>
      <w:r w:rsidRPr="00574AC2">
        <w:rPr>
          <w:bCs/>
          <w:i/>
          <w:iCs/>
          <w:lang w:val="en-US"/>
        </w:rPr>
        <w:t>-U</w:t>
      </w:r>
      <w:r w:rsidRPr="00574AC2">
        <w:rPr>
          <w:bCs/>
          <w:i/>
          <w:iCs/>
        </w:rPr>
        <w:t>pdateForPUSCH</w:t>
      </w:r>
      <w:r w:rsidRPr="00574AC2">
        <w:rPr>
          <w:bCs/>
          <w:i/>
          <w:iCs/>
          <w:lang w:val="en-US"/>
        </w:rPr>
        <w:t>-</w:t>
      </w:r>
      <w:r w:rsidRPr="00574AC2">
        <w:rPr>
          <w:bCs/>
          <w:i/>
          <w:iCs/>
        </w:rPr>
        <w:t>SRS</w:t>
      </w:r>
      <w:r>
        <w:rPr>
          <w:bCs/>
          <w:lang w:val="en-US"/>
        </w:rPr>
        <w:t>,</w:t>
      </w:r>
      <w:r w:rsidRPr="00574AC2">
        <w:rPr>
          <w:bCs/>
          <w:i/>
          <w:iCs/>
        </w:rPr>
        <w:t xml:space="preserve"> </w:t>
      </w:r>
      <w:r w:rsidRPr="00574AC2">
        <w:rPr>
          <w:bCs/>
        </w:rPr>
        <w:t xml:space="preserve">or is obtained </w:t>
      </w:r>
      <w:r w:rsidRPr="00574AC2">
        <w:t xml:space="preserve">from the </w:t>
      </w:r>
      <w:r w:rsidRPr="00574AC2">
        <w:rPr>
          <w:i/>
        </w:rPr>
        <w:t>PUSCH-PathlossReferenceRS-Id</w:t>
      </w:r>
      <w:r w:rsidRPr="00574AC2">
        <w:t xml:space="preserve"> </w:t>
      </w:r>
      <w:r w:rsidRPr="00574AC2">
        <w:rPr>
          <w:rFonts w:eastAsia="MS Mincho"/>
        </w:rPr>
        <w:t xml:space="preserve">mapped to </w:t>
      </w:r>
      <w:r w:rsidRPr="00574AC2">
        <w:rPr>
          <w:i/>
        </w:rPr>
        <w:t>sri-PUSCH-PowerControlId</w:t>
      </w:r>
      <w:r w:rsidRPr="00574AC2">
        <w:t xml:space="preserve"> = 0 of </w:t>
      </w:r>
      <w:r w:rsidRPr="00574AC2">
        <w:rPr>
          <w:i/>
        </w:rPr>
        <w:t xml:space="preserve">sri-PUSCH-MappingToAddModList2 </w:t>
      </w:r>
      <w:r w:rsidRPr="00574AC2">
        <w:rPr>
          <w:iCs/>
        </w:rPr>
        <w:t xml:space="preserve">if </w:t>
      </w:r>
      <w:r w:rsidRPr="00574AC2">
        <w:rPr>
          <w:bCs/>
          <w:iCs/>
        </w:rPr>
        <w:t>the UE is</w:t>
      </w:r>
      <w:r w:rsidRPr="00574AC2">
        <w:rPr>
          <w:bCs/>
          <w:iCs/>
          <w:lang w:val="en-US"/>
        </w:rPr>
        <w:t xml:space="preserve"> </w:t>
      </w:r>
      <w:r w:rsidRPr="00574AC2">
        <w:rPr>
          <w:bCs/>
          <w:iCs/>
        </w:rPr>
        <w:t xml:space="preserve">provided </w:t>
      </w:r>
      <w:r w:rsidRPr="00574AC2">
        <w:rPr>
          <w:bCs/>
          <w:i/>
          <w:iCs/>
        </w:rPr>
        <w:t>enablePL</w:t>
      </w:r>
      <w:r w:rsidRPr="00574AC2">
        <w:rPr>
          <w:bCs/>
          <w:i/>
          <w:iCs/>
          <w:lang w:val="en-US"/>
        </w:rPr>
        <w:t>-</w:t>
      </w:r>
      <w:r w:rsidRPr="00574AC2">
        <w:rPr>
          <w:bCs/>
          <w:i/>
          <w:iCs/>
        </w:rPr>
        <w:t>RS</w:t>
      </w:r>
      <w:r w:rsidRPr="00574AC2">
        <w:rPr>
          <w:bCs/>
          <w:i/>
          <w:iCs/>
          <w:lang w:val="en-US"/>
        </w:rPr>
        <w:t>-U</w:t>
      </w:r>
      <w:r w:rsidRPr="00574AC2">
        <w:rPr>
          <w:bCs/>
          <w:i/>
          <w:iCs/>
        </w:rPr>
        <w:t>pdateForPUSCH</w:t>
      </w:r>
      <w:r w:rsidRPr="00574AC2">
        <w:rPr>
          <w:bCs/>
          <w:i/>
          <w:iCs/>
          <w:lang w:val="en-US"/>
        </w:rPr>
        <w:t>-</w:t>
      </w:r>
      <w:r w:rsidRPr="00574AC2">
        <w:rPr>
          <w:bCs/>
          <w:i/>
          <w:iCs/>
        </w:rPr>
        <w:t>SRS</w:t>
      </w:r>
      <w:r w:rsidRPr="00574AC2">
        <w:t xml:space="preserve">, and </w:t>
      </w:r>
      <m:oMath>
        <m:r>
          <w:rPr>
            <w:rFonts w:ascii="Cambria Math" w:hAnsi="Cambria Math"/>
          </w:rPr>
          <m:t>l</m:t>
        </m:r>
        <m:r>
          <m:rPr>
            <m:sty m:val="p"/>
          </m:rPr>
          <w:rPr>
            <w:rFonts w:ascii="Cambria Math" w:hAnsi="Cambria Math"/>
          </w:rPr>
          <m:t>=1</m:t>
        </m:r>
      </m:oMath>
      <w:r w:rsidRPr="00574AC2">
        <w:t xml:space="preserve"> if </w:t>
      </w:r>
      <w:r w:rsidRPr="00574AC2">
        <w:rPr>
          <w:rFonts w:eastAsia="DengXian"/>
        </w:rPr>
        <w:t xml:space="preserve">the UE is provided </w:t>
      </w:r>
      <w:r w:rsidRPr="002E1E8B">
        <w:rPr>
          <w:i/>
          <w:iCs/>
        </w:rPr>
        <w:t>twoPUSCH-PC-AdjustmentStates</w:t>
      </w:r>
      <w:r w:rsidRPr="00574AC2">
        <w:t xml:space="preserve"> or </w:t>
      </w:r>
      <m:oMath>
        <m:r>
          <w:rPr>
            <w:rFonts w:ascii="Cambria Math" w:hAnsi="Cambria Math"/>
          </w:rPr>
          <m:t>l</m:t>
        </m:r>
        <m:r>
          <m:rPr>
            <m:sty m:val="p"/>
          </m:rPr>
          <w:rPr>
            <w:rFonts w:ascii="Cambria Math" w:hAnsi="Cambria Math"/>
          </w:rPr>
          <m:t>=0</m:t>
        </m:r>
      </m:oMath>
      <w:r w:rsidRPr="00574AC2">
        <w:t xml:space="preserve"> if </w:t>
      </w:r>
      <w:r w:rsidRPr="00574AC2">
        <w:rPr>
          <w:rFonts w:eastAsia="DengXian"/>
        </w:rPr>
        <w:t xml:space="preserve">the UE is not provided </w:t>
      </w:r>
      <w:r w:rsidRPr="002E1E8B">
        <w:rPr>
          <w:i/>
          <w:iCs/>
        </w:rPr>
        <w:t>twoPUSCH-PC-AdjustmentStates</w:t>
      </w:r>
    </w:p>
    <w:p w14:paraId="6E430A87" w14:textId="77777777" w:rsidR="00175144" w:rsidRPr="00175144" w:rsidRDefault="00175144" w:rsidP="00175144">
      <w:pPr>
        <w:pStyle w:val="B2"/>
        <w:rPr>
          <w:lang w:val="en-US"/>
        </w:rPr>
      </w:pPr>
      <w:r w:rsidRPr="00175144">
        <w:t>-</w:t>
      </w:r>
      <w:r w:rsidRPr="00175144">
        <w:tab/>
      </w:r>
      <w:r w:rsidRPr="00175144">
        <w:rPr>
          <w:iCs/>
        </w:rPr>
        <w:t xml:space="preserve">if a UE is provided </w:t>
      </w:r>
      <w:r w:rsidRPr="00175144">
        <w:rPr>
          <w:rFonts w:cs="Times"/>
          <w:i/>
          <w:szCs w:val="18"/>
          <w:lang w:eastAsia="zh-CN"/>
        </w:rPr>
        <w:t>dl-OrJointTCI-StateList</w:t>
      </w:r>
      <w:r w:rsidRPr="00175144">
        <w:rPr>
          <w:rFonts w:cs="Times"/>
          <w:iCs/>
          <w:szCs w:val="18"/>
          <w:lang w:eastAsia="zh-CN"/>
        </w:rPr>
        <w:t xml:space="preserve"> </w:t>
      </w:r>
      <w:r w:rsidRPr="00175144">
        <w:rPr>
          <w:rFonts w:cs="Times"/>
          <w:iCs/>
          <w:szCs w:val="18"/>
          <w:lang w:val="en-US" w:eastAsia="zh-CN"/>
        </w:rPr>
        <w:t>or</w:t>
      </w:r>
      <w:r w:rsidRPr="00175144">
        <w:rPr>
          <w:lang w:val="en-US"/>
        </w:rPr>
        <w:t xml:space="preserve"> </w:t>
      </w:r>
      <w:r w:rsidRPr="00175144">
        <w:rPr>
          <w:i/>
          <w:iCs/>
          <w:lang w:val="en-US"/>
        </w:rPr>
        <w:t>TCI-UL-State</w:t>
      </w:r>
      <w:r w:rsidRPr="00175144">
        <w:rPr>
          <w:iCs/>
        </w:rPr>
        <w:t xml:space="preserve"> and is indicated a first </w:t>
      </w:r>
      <w:r w:rsidRPr="00175144">
        <w:rPr>
          <w:i/>
          <w:iCs/>
          <w:lang w:val="en-US"/>
        </w:rPr>
        <w:t>TCI-State</w:t>
      </w:r>
      <w:r w:rsidRPr="00175144">
        <w:rPr>
          <w:iCs/>
        </w:rPr>
        <w:t xml:space="preserve"> or </w:t>
      </w:r>
      <w:r w:rsidRPr="00175144">
        <w:rPr>
          <w:i/>
          <w:iCs/>
          <w:lang w:val="en-US"/>
        </w:rPr>
        <w:t>TCI-UL-State</w:t>
      </w:r>
      <w:r w:rsidRPr="00175144">
        <w:rPr>
          <w:iCs/>
        </w:rPr>
        <w:t xml:space="preserve"> and a second </w:t>
      </w:r>
      <w:r w:rsidRPr="00175144">
        <w:rPr>
          <w:i/>
          <w:iCs/>
          <w:lang w:val="en-US"/>
        </w:rPr>
        <w:t>TCI-State</w:t>
      </w:r>
      <w:r w:rsidRPr="00175144">
        <w:rPr>
          <w:iCs/>
        </w:rPr>
        <w:t xml:space="preserve"> or </w:t>
      </w:r>
      <w:r w:rsidRPr="00175144">
        <w:rPr>
          <w:i/>
          <w:iCs/>
          <w:lang w:val="en-US"/>
        </w:rPr>
        <w:t>TCI-UL-State</w:t>
      </w:r>
      <w:r w:rsidRPr="00175144">
        <w:rPr>
          <w:lang w:val="en-US"/>
        </w:rPr>
        <w:t xml:space="preserve">, the UE provides the first or the second </w:t>
      </w:r>
      <w:r w:rsidRPr="00175144">
        <w:t xml:space="preserve">Type 1 power headroom reports using the </w:t>
      </w:r>
      <w:r w:rsidRPr="00175144">
        <w:rPr>
          <w:i/>
        </w:rPr>
        <w:t>p0AlphaSetforPUSCH</w:t>
      </w:r>
      <w:r w:rsidRPr="00175144">
        <w:rPr>
          <w:lang w:val="en-US"/>
        </w:rPr>
        <w:t xml:space="preserve"> and </w:t>
      </w:r>
      <w:r w:rsidRPr="00175144">
        <w:rPr>
          <w:rFonts w:ascii="Times" w:hAnsi="Times" w:cs="Times"/>
          <w:i/>
          <w:iCs/>
        </w:rPr>
        <w:t>pathlossReferenceRS-Id-r17</w:t>
      </w:r>
      <w:r w:rsidRPr="00175144">
        <w:rPr>
          <w:iCs/>
          <w:lang w:val="en-US"/>
        </w:rPr>
        <w:t xml:space="preserve"> values </w:t>
      </w:r>
      <w:r w:rsidRPr="00175144">
        <w:rPr>
          <w:lang w:val="en-US"/>
        </w:rPr>
        <w:t xml:space="preserve">associated with the first </w:t>
      </w:r>
      <w:r w:rsidRPr="00175144">
        <w:rPr>
          <w:i/>
          <w:iCs/>
          <w:lang w:val="en-US"/>
        </w:rPr>
        <w:t>TCI-State</w:t>
      </w:r>
      <w:r w:rsidRPr="00175144">
        <w:rPr>
          <w:iCs/>
        </w:rPr>
        <w:t xml:space="preserve"> or </w:t>
      </w:r>
      <w:r w:rsidRPr="00175144">
        <w:rPr>
          <w:i/>
          <w:iCs/>
          <w:lang w:val="en-US"/>
        </w:rPr>
        <w:t>TCI-UL-State</w:t>
      </w:r>
      <w:r w:rsidRPr="00175144">
        <w:rPr>
          <w:iCs/>
        </w:rPr>
        <w:t xml:space="preserve"> or with the second </w:t>
      </w:r>
      <w:r w:rsidRPr="00175144">
        <w:rPr>
          <w:i/>
          <w:iCs/>
          <w:lang w:val="en-US"/>
        </w:rPr>
        <w:t>TCI-State</w:t>
      </w:r>
      <w:r w:rsidRPr="00175144">
        <w:rPr>
          <w:iCs/>
        </w:rPr>
        <w:t xml:space="preserve"> or </w:t>
      </w:r>
      <w:r w:rsidRPr="00175144">
        <w:rPr>
          <w:i/>
          <w:iCs/>
          <w:lang w:val="en-US"/>
        </w:rPr>
        <w:t>TCI-UL-State</w:t>
      </w:r>
      <w:r w:rsidRPr="00175144">
        <w:rPr>
          <w:lang w:val="en-US"/>
        </w:rPr>
        <w:t xml:space="preserve">, respectively, if the reference </w:t>
      </w:r>
      <w:r w:rsidRPr="00175144">
        <w:rPr>
          <w:lang w:eastAsia="ko-KR"/>
        </w:rPr>
        <w:t xml:space="preserve">PUSCH transmission is </w:t>
      </w:r>
      <w:r w:rsidRPr="00175144">
        <w:t xml:space="preserve">associated with the </w:t>
      </w:r>
      <w:r w:rsidRPr="00175144">
        <w:rPr>
          <w:lang w:val="en-US"/>
        </w:rPr>
        <w:t xml:space="preserve">first </w:t>
      </w:r>
      <w:r w:rsidRPr="00175144">
        <w:rPr>
          <w:i/>
          <w:iCs/>
          <w:lang w:val="en-US"/>
        </w:rPr>
        <w:t>TCI-State</w:t>
      </w:r>
      <w:r w:rsidRPr="00175144">
        <w:rPr>
          <w:iCs/>
        </w:rPr>
        <w:t xml:space="preserve"> or </w:t>
      </w:r>
      <w:r w:rsidRPr="00175144">
        <w:rPr>
          <w:i/>
          <w:iCs/>
          <w:lang w:val="en-US"/>
        </w:rPr>
        <w:t>TCI-UL-State</w:t>
      </w:r>
      <w:r w:rsidRPr="00175144">
        <w:rPr>
          <w:iCs/>
        </w:rPr>
        <w:t xml:space="preserve"> or with the second </w:t>
      </w:r>
      <w:r w:rsidRPr="00175144">
        <w:rPr>
          <w:i/>
          <w:iCs/>
          <w:lang w:val="en-US"/>
        </w:rPr>
        <w:t>TCI-State</w:t>
      </w:r>
      <w:r w:rsidRPr="00175144">
        <w:rPr>
          <w:iCs/>
        </w:rPr>
        <w:t xml:space="preserve"> or </w:t>
      </w:r>
      <w:r w:rsidRPr="00175144">
        <w:rPr>
          <w:i/>
          <w:iCs/>
          <w:lang w:val="en-US"/>
        </w:rPr>
        <w:t>TCI-UL-State</w:t>
      </w:r>
      <w:r w:rsidRPr="00175144">
        <w:rPr>
          <w:lang w:val="en-US"/>
        </w:rPr>
        <w:t>, respectively</w:t>
      </w:r>
      <w:r w:rsidRPr="00175144">
        <w:t xml:space="preserve"> </w:t>
      </w:r>
      <w:r w:rsidRPr="00175144">
        <w:rPr>
          <w:lang w:val="en-US"/>
        </w:rPr>
        <w:t xml:space="preserve"> </w:t>
      </w:r>
    </w:p>
    <w:p w14:paraId="1CF7DA40" w14:textId="77777777" w:rsidR="00175144" w:rsidRPr="00175144" w:rsidRDefault="00175144" w:rsidP="00175144">
      <w:pPr>
        <w:rPr>
          <w:lang w:val="en-US"/>
        </w:rPr>
      </w:pPr>
      <w:r w:rsidRPr="00175144">
        <w:t xml:space="preserve">If a UE </w:t>
      </w:r>
      <w:r w:rsidRPr="00175144">
        <w:rPr>
          <w:lang w:val="en-US"/>
        </w:rPr>
        <w:t>is provided, for active UL BWP</w:t>
      </w:r>
      <w:r w:rsidRPr="00175144">
        <w:rPr>
          <w:i/>
        </w:rPr>
        <w:t xml:space="preserve"> </w:t>
      </w:r>
      <m:oMath>
        <m:r>
          <w:rPr>
            <w:rFonts w:ascii="Cambria Math" w:hAnsi="Cambria Math"/>
          </w:rPr>
          <m:t>b</m:t>
        </m:r>
      </m:oMath>
      <w:r w:rsidRPr="00175144">
        <w:rPr>
          <w:iCs/>
          <w:color w:val="FF0000"/>
        </w:rPr>
        <w:t xml:space="preserve"> </w:t>
      </w:r>
      <w:r w:rsidRPr="00175144">
        <w:rPr>
          <w:iCs/>
        </w:rPr>
        <w:t xml:space="preserve">of </w:t>
      </w:r>
      <w:r w:rsidRPr="00175144">
        <w:rPr>
          <w:lang w:val="en-US" w:eastAsia="zh-CN"/>
        </w:rPr>
        <w:t xml:space="preserve">carrier </w:t>
      </w:r>
      <m:oMath>
        <m:r>
          <w:rPr>
            <w:rFonts w:ascii="Cambria Math" w:hAnsi="Cambria Math"/>
          </w:rPr>
          <m:t>f</m:t>
        </m:r>
      </m:oMath>
      <w:r w:rsidRPr="00175144">
        <w:rPr>
          <w:lang w:eastAsia="zh-CN"/>
        </w:rPr>
        <w:t xml:space="preserve"> of </w:t>
      </w:r>
      <w:r w:rsidRPr="00175144">
        <w:rPr>
          <w:lang w:val="en-US" w:eastAsia="zh-CN"/>
        </w:rPr>
        <w:t xml:space="preserve">serving cell </w:t>
      </w:r>
      <m:oMath>
        <m:r>
          <w:rPr>
            <w:rFonts w:ascii="Cambria Math" w:hAnsi="Cambria Math"/>
          </w:rPr>
          <m:t>c</m:t>
        </m:r>
      </m:oMath>
      <w:r w:rsidRPr="00175144">
        <w:rPr>
          <w:lang w:val="en-US"/>
        </w:rPr>
        <w:t>,</w:t>
      </w:r>
    </w:p>
    <w:p w14:paraId="6B7C90CE" w14:textId="77777777" w:rsidR="00175144" w:rsidRPr="00175144" w:rsidRDefault="00175144" w:rsidP="00175144">
      <w:pPr>
        <w:pStyle w:val="B1"/>
        <w:rPr>
          <w:lang w:eastAsia="zh-CN"/>
        </w:rPr>
      </w:pPr>
      <w:r w:rsidRPr="00175144">
        <w:t>-</w:t>
      </w:r>
      <w:r w:rsidRPr="00175144">
        <w:tab/>
      </w:r>
      <w:r w:rsidRPr="003A4EE7">
        <w:rPr>
          <w:i/>
          <w:iCs/>
        </w:rPr>
        <w:t>twoPHRMode</w:t>
      </w:r>
      <w:r w:rsidRPr="00175144">
        <w:t>,</w:t>
      </w:r>
      <w:r w:rsidRPr="00175144">
        <w:rPr>
          <w:lang w:eastAsia="zh-CN"/>
        </w:rPr>
        <w:t xml:space="preserve"> </w:t>
      </w:r>
    </w:p>
    <w:p w14:paraId="24CC1A96" w14:textId="3066F55B" w:rsidR="00175144" w:rsidRPr="00175144" w:rsidRDefault="00175144" w:rsidP="00175144">
      <w:pPr>
        <w:pStyle w:val="B1"/>
      </w:pPr>
      <w:r w:rsidRPr="00175144">
        <w:t>-</w:t>
      </w:r>
      <w:r w:rsidRPr="00175144">
        <w:tab/>
        <w:t xml:space="preserve">two SRS resource sets in </w:t>
      </w:r>
      <w:r w:rsidRPr="003A4EE7">
        <w:rPr>
          <w:i/>
          <w:iCs/>
        </w:rPr>
        <w:t>srs-ResourceSetToAddModList</w:t>
      </w:r>
      <w:r w:rsidRPr="00175144">
        <w:t xml:space="preserve"> or </w:t>
      </w:r>
      <w:r w:rsidRPr="003A4EE7">
        <w:rPr>
          <w:i/>
          <w:iCs/>
        </w:rPr>
        <w:t>srs-ResourceSetToAddModListDCI-0-2</w:t>
      </w:r>
      <w:r w:rsidRPr="00175144">
        <w:t xml:space="preserve"> with usage set to 'codebook' or 'nonCodebook',</w:t>
      </w:r>
    </w:p>
    <w:p w14:paraId="4524A7C3" w14:textId="77777777" w:rsidR="00175144" w:rsidRPr="00175144" w:rsidRDefault="00175144" w:rsidP="00175144">
      <w:pPr>
        <w:pStyle w:val="B1"/>
      </w:pPr>
      <w:r w:rsidRPr="00175144">
        <w:t>-</w:t>
      </w:r>
      <w:r w:rsidRPr="00175144">
        <w:tab/>
      </w:r>
      <w:r w:rsidRPr="003A4EE7">
        <w:rPr>
          <w:rFonts w:cs="Times"/>
          <w:i/>
          <w:iCs/>
          <w:szCs w:val="18"/>
          <w:lang w:eastAsia="zh-CN"/>
        </w:rPr>
        <w:t>dl-OrJointTCI-StateList</w:t>
      </w:r>
      <w:r w:rsidRPr="00175144">
        <w:rPr>
          <w:rFonts w:cs="Times"/>
          <w:szCs w:val="18"/>
          <w:lang w:eastAsia="zh-CN"/>
        </w:rPr>
        <w:t xml:space="preserve"> or</w:t>
      </w:r>
      <w:r w:rsidRPr="00175144">
        <w:t xml:space="preserve"> </w:t>
      </w:r>
      <w:r w:rsidRPr="003A4EE7">
        <w:rPr>
          <w:i/>
          <w:iCs/>
        </w:rPr>
        <w:t>TCI-UL-State</w:t>
      </w:r>
      <w:r w:rsidRPr="00175144">
        <w:t xml:space="preserve"> and is indicated a first TCI-State or TCI-UL-State and a second TCI-State or TCI-UL-State, and</w:t>
      </w:r>
    </w:p>
    <w:p w14:paraId="2A44B151" w14:textId="77777777" w:rsidR="00175144" w:rsidRPr="00175144" w:rsidRDefault="00175144" w:rsidP="00175144">
      <w:pPr>
        <w:pStyle w:val="B1"/>
        <w:rPr>
          <w:lang w:eastAsia="zh-CN"/>
        </w:rPr>
      </w:pPr>
      <w:r w:rsidRPr="00175144">
        <w:t>-</w:t>
      </w:r>
      <w:r w:rsidRPr="00175144">
        <w:tab/>
      </w:r>
      <w:r w:rsidRPr="003A4EE7">
        <w:rPr>
          <w:rFonts w:eastAsia="PMingLiU"/>
          <w:i/>
          <w:iCs/>
          <w:lang w:eastAsia="zh-TW"/>
        </w:rPr>
        <w:t>multipanelScheme</w:t>
      </w:r>
    </w:p>
    <w:p w14:paraId="28534339" w14:textId="77777777" w:rsidR="00175144" w:rsidRPr="00175144" w:rsidRDefault="00175144" w:rsidP="00175144">
      <w:pPr>
        <w:rPr>
          <w:lang w:val="en-US" w:eastAsia="zh-CN"/>
        </w:rPr>
      </w:pPr>
      <w:r w:rsidRPr="00175144">
        <w:rPr>
          <w:lang w:val="en-US" w:eastAsia="zh-CN"/>
        </w:rPr>
        <w:t xml:space="preserve">the UE provides </w:t>
      </w:r>
    </w:p>
    <w:p w14:paraId="1D46B089" w14:textId="75479C7E" w:rsidR="00175144" w:rsidRPr="009203AD" w:rsidRDefault="00175144" w:rsidP="009203AD">
      <w:pPr>
        <w:pStyle w:val="B1"/>
        <w:ind w:left="502"/>
        <w:rPr>
          <w:iCs/>
        </w:rPr>
      </w:pPr>
      <w:r w:rsidRPr="00175144">
        <w:t>-</w:t>
      </w:r>
      <w:r w:rsidRPr="00175144">
        <w:tab/>
        <w:t xml:space="preserve">a </w:t>
      </w:r>
      <w:r w:rsidR="002A0CF2">
        <w:rPr>
          <w:lang w:val="en-GB"/>
        </w:rPr>
        <w:t xml:space="preserve">first </w:t>
      </w:r>
      <w:r w:rsidRPr="00175144">
        <w:t xml:space="preserve">Type 1 power headroom report and a </w:t>
      </w:r>
      <w:r w:rsidR="009203AD" w:rsidRPr="009203AD">
        <w:rPr>
          <w:lang w:val="en-GB"/>
        </w:rPr>
        <w:t xml:space="preserve">first </w:t>
      </w:r>
      <w:r w:rsidRPr="00175144">
        <w:t xml:space="preserve">configured maximum output power associated with the first </w:t>
      </w:r>
      <w:r w:rsidRPr="00175144">
        <w:rPr>
          <w:i/>
          <w:iCs/>
        </w:rPr>
        <w:t>TCI-State</w:t>
      </w:r>
      <w:r w:rsidRPr="00175144">
        <w:rPr>
          <w:iCs/>
        </w:rPr>
        <w:t xml:space="preserve"> or </w:t>
      </w:r>
      <w:r w:rsidRPr="00175144">
        <w:rPr>
          <w:i/>
          <w:iCs/>
        </w:rPr>
        <w:t>TCI-UL-State</w:t>
      </w:r>
      <w:r w:rsidRPr="00175144">
        <w:rPr>
          <w:iCs/>
        </w:rPr>
        <w:t xml:space="preserve"> for an actual PUSCH transmission </w:t>
      </w:r>
      <w:r w:rsidRPr="00175144">
        <w:t xml:space="preserve">using a spatial domain filter corresponding </w:t>
      </w:r>
      <w:r w:rsidRPr="00175144">
        <w:rPr>
          <w:iCs/>
        </w:rPr>
        <w:t xml:space="preserve">only to the first </w:t>
      </w:r>
      <w:r w:rsidRPr="00175144">
        <w:rPr>
          <w:i/>
          <w:iCs/>
        </w:rPr>
        <w:t>TCI-State</w:t>
      </w:r>
      <w:r w:rsidRPr="00175144">
        <w:rPr>
          <w:iCs/>
        </w:rPr>
        <w:t xml:space="preserve"> or </w:t>
      </w:r>
      <w:r w:rsidRPr="00175144">
        <w:rPr>
          <w:i/>
          <w:iCs/>
        </w:rPr>
        <w:t>TCI-UL-State</w:t>
      </w:r>
      <w:r>
        <w:rPr>
          <w:iCs/>
          <w:lang w:val="en-GB"/>
        </w:rPr>
        <w:t>,</w:t>
      </w:r>
      <w:r w:rsidR="009203AD">
        <w:rPr>
          <w:iCs/>
          <w:lang w:val="en-GB"/>
        </w:rPr>
        <w:t xml:space="preserve"> </w:t>
      </w:r>
      <w:r w:rsidR="009203AD" w:rsidRPr="009203AD">
        <w:rPr>
          <w:iCs/>
        </w:rPr>
        <w:t xml:space="preserve">and a second </w:t>
      </w:r>
      <w:r w:rsidR="009203AD" w:rsidRPr="009203AD">
        <w:t xml:space="preserve">Type 1 power headroom report and a </w:t>
      </w:r>
      <w:r w:rsidR="009203AD" w:rsidRPr="009203AD">
        <w:rPr>
          <w:iCs/>
        </w:rPr>
        <w:t xml:space="preserve">second </w:t>
      </w:r>
      <w:r w:rsidR="009203AD" w:rsidRPr="009203AD">
        <w:t xml:space="preserve">configured maximum output power associated with the second </w:t>
      </w:r>
      <w:r w:rsidR="009203AD" w:rsidRPr="009203AD">
        <w:rPr>
          <w:i/>
          <w:iCs/>
        </w:rPr>
        <w:t>TCI-State</w:t>
      </w:r>
      <w:r w:rsidR="009203AD" w:rsidRPr="009203AD">
        <w:rPr>
          <w:iCs/>
        </w:rPr>
        <w:t xml:space="preserve"> or </w:t>
      </w:r>
      <w:r w:rsidR="009203AD" w:rsidRPr="009203AD">
        <w:rPr>
          <w:i/>
          <w:iCs/>
        </w:rPr>
        <w:t>TCI-UL-State</w:t>
      </w:r>
      <w:r w:rsidR="009203AD" w:rsidRPr="009203AD">
        <w:rPr>
          <w:iCs/>
        </w:rPr>
        <w:t xml:space="preserve"> for a reference PUSCH transmission using the </w:t>
      </w:r>
      <w:r w:rsidR="009203AD" w:rsidRPr="009203AD">
        <w:rPr>
          <w:i/>
        </w:rPr>
        <w:t>p0AlphaSetforPUSCH</w:t>
      </w:r>
      <w:r w:rsidR="009203AD" w:rsidRPr="009203AD">
        <w:rPr>
          <w:iCs/>
        </w:rPr>
        <w:t xml:space="preserve"> and </w:t>
      </w:r>
      <w:r w:rsidR="009203AD" w:rsidRPr="009203AD">
        <w:rPr>
          <w:i/>
        </w:rPr>
        <w:t>pathlossReferenceRS-Id-r17</w:t>
      </w:r>
      <w:r w:rsidR="009203AD" w:rsidRPr="009203AD">
        <w:rPr>
          <w:iCs/>
        </w:rPr>
        <w:t xml:space="preserve"> values associated with the second </w:t>
      </w:r>
      <w:r w:rsidR="009203AD" w:rsidRPr="009203AD">
        <w:rPr>
          <w:i/>
        </w:rPr>
        <w:t>TCI-State</w:t>
      </w:r>
      <w:r w:rsidR="009203AD" w:rsidRPr="009203AD">
        <w:rPr>
          <w:iCs/>
        </w:rPr>
        <w:t xml:space="preserve"> or </w:t>
      </w:r>
      <w:r w:rsidR="009203AD" w:rsidRPr="009203AD">
        <w:rPr>
          <w:i/>
        </w:rPr>
        <w:t>TCI-UL-State</w:t>
      </w:r>
    </w:p>
    <w:p w14:paraId="3BEF2E8B" w14:textId="5AF71CEC" w:rsidR="00175144" w:rsidRPr="00175144" w:rsidRDefault="00175144" w:rsidP="00175144">
      <w:pPr>
        <w:pStyle w:val="B1"/>
        <w:rPr>
          <w:iCs/>
          <w:lang w:val="en-GB"/>
        </w:rPr>
      </w:pPr>
      <w:r w:rsidRPr="00175144">
        <w:t>-</w:t>
      </w:r>
      <w:r w:rsidRPr="00175144">
        <w:tab/>
        <w:t xml:space="preserve">a </w:t>
      </w:r>
      <w:r w:rsidR="009203AD" w:rsidRPr="009203AD">
        <w:rPr>
          <w:lang w:val="en-GB"/>
        </w:rPr>
        <w:t>seco</w:t>
      </w:r>
      <w:r w:rsidR="009203AD">
        <w:rPr>
          <w:lang w:val="en-GB"/>
        </w:rPr>
        <w:t xml:space="preserve">nd </w:t>
      </w:r>
      <w:r w:rsidRPr="00175144">
        <w:t xml:space="preserve">Type 1 power headroom report and a configured maximum output power associated with the second </w:t>
      </w:r>
      <w:r w:rsidRPr="00175144">
        <w:rPr>
          <w:i/>
          <w:iCs/>
        </w:rPr>
        <w:t>TCI-State</w:t>
      </w:r>
      <w:r w:rsidRPr="00175144">
        <w:rPr>
          <w:iCs/>
        </w:rPr>
        <w:t xml:space="preserve"> or </w:t>
      </w:r>
      <w:r w:rsidRPr="00175144">
        <w:rPr>
          <w:i/>
          <w:iCs/>
        </w:rPr>
        <w:t>TCI-UL-State</w:t>
      </w:r>
      <w:r w:rsidRPr="00175144">
        <w:rPr>
          <w:iCs/>
        </w:rPr>
        <w:t xml:space="preserve"> for an actual PUSCH transmission </w:t>
      </w:r>
      <w:r w:rsidRPr="00175144">
        <w:t xml:space="preserve">using a spatial domain filter corresponding </w:t>
      </w:r>
      <w:r w:rsidRPr="00175144">
        <w:rPr>
          <w:iCs/>
        </w:rPr>
        <w:t xml:space="preserve">only to the second </w:t>
      </w:r>
      <w:r w:rsidRPr="00175144">
        <w:rPr>
          <w:i/>
          <w:iCs/>
        </w:rPr>
        <w:t>TCI-State</w:t>
      </w:r>
      <w:r w:rsidRPr="00175144">
        <w:rPr>
          <w:iCs/>
        </w:rPr>
        <w:t xml:space="preserve"> or </w:t>
      </w:r>
      <w:r w:rsidRPr="00175144">
        <w:rPr>
          <w:i/>
          <w:iCs/>
        </w:rPr>
        <w:t>TCI-UL-State</w:t>
      </w:r>
      <w:r>
        <w:rPr>
          <w:iCs/>
          <w:lang w:val="en-GB"/>
        </w:rPr>
        <w:t>,</w:t>
      </w:r>
      <w:r w:rsidR="009203AD">
        <w:rPr>
          <w:iCs/>
          <w:lang w:val="en-GB"/>
        </w:rPr>
        <w:t xml:space="preserve"> </w:t>
      </w:r>
      <w:r w:rsidR="009203AD" w:rsidRPr="00A96732">
        <w:rPr>
          <w:iCs/>
        </w:rPr>
        <w:t xml:space="preserve">and a first </w:t>
      </w:r>
      <w:r w:rsidR="009203AD" w:rsidRPr="00A96732">
        <w:t xml:space="preserve">Type 1 power headroom report and a first configured maximum output power associated with the </w:t>
      </w:r>
      <w:r w:rsidR="009203AD" w:rsidRPr="00A96732">
        <w:rPr>
          <w:iCs/>
        </w:rPr>
        <w:t xml:space="preserve">first </w:t>
      </w:r>
      <w:r w:rsidR="009203AD" w:rsidRPr="00A96732">
        <w:rPr>
          <w:i/>
          <w:iCs/>
        </w:rPr>
        <w:t>TCI-State</w:t>
      </w:r>
      <w:r w:rsidR="009203AD" w:rsidRPr="00A96732">
        <w:rPr>
          <w:iCs/>
        </w:rPr>
        <w:t xml:space="preserve"> or </w:t>
      </w:r>
      <w:r w:rsidR="009203AD" w:rsidRPr="00A96732">
        <w:rPr>
          <w:i/>
          <w:iCs/>
        </w:rPr>
        <w:t>TCI-UL-State</w:t>
      </w:r>
      <w:r w:rsidR="009203AD" w:rsidRPr="00A96732">
        <w:rPr>
          <w:iCs/>
        </w:rPr>
        <w:t xml:space="preserve"> for a reference PUSCH transmission using the </w:t>
      </w:r>
      <w:r w:rsidR="009203AD" w:rsidRPr="00A96732">
        <w:rPr>
          <w:i/>
        </w:rPr>
        <w:t>p0AlphaSetforPUSCH</w:t>
      </w:r>
      <w:r w:rsidR="009203AD" w:rsidRPr="00A96732">
        <w:rPr>
          <w:iCs/>
        </w:rPr>
        <w:t xml:space="preserve"> and </w:t>
      </w:r>
      <w:r w:rsidR="009203AD" w:rsidRPr="00A96732">
        <w:rPr>
          <w:i/>
        </w:rPr>
        <w:t>pathlossReferenceRS-Id-r17</w:t>
      </w:r>
      <w:r w:rsidR="009203AD" w:rsidRPr="00A96732">
        <w:rPr>
          <w:iCs/>
        </w:rPr>
        <w:t xml:space="preserve"> values associated with the first </w:t>
      </w:r>
      <w:r w:rsidR="009203AD" w:rsidRPr="00A96732">
        <w:rPr>
          <w:i/>
        </w:rPr>
        <w:t>TCI-State</w:t>
      </w:r>
      <w:r w:rsidR="009203AD" w:rsidRPr="00A96732">
        <w:rPr>
          <w:iCs/>
        </w:rPr>
        <w:t xml:space="preserve"> or </w:t>
      </w:r>
      <w:r w:rsidR="009203AD" w:rsidRPr="00A96732">
        <w:rPr>
          <w:i/>
        </w:rPr>
        <w:t>TCI-UL-State</w:t>
      </w:r>
    </w:p>
    <w:p w14:paraId="15F89836" w14:textId="70440411" w:rsidR="00175144" w:rsidRDefault="00175144" w:rsidP="00175144">
      <w:pPr>
        <w:pStyle w:val="B1"/>
        <w:rPr>
          <w:iCs/>
          <w:lang w:val="en-GB"/>
        </w:rPr>
      </w:pPr>
      <w:r w:rsidRPr="00175144">
        <w:t>-</w:t>
      </w:r>
      <w:r w:rsidRPr="00175144">
        <w:tab/>
        <w:t xml:space="preserve">a first Type 1 power headroom report and a first configured maximum output power associated with the first </w:t>
      </w:r>
      <w:r w:rsidRPr="00175144">
        <w:rPr>
          <w:i/>
          <w:iCs/>
        </w:rPr>
        <w:t>TCI-State</w:t>
      </w:r>
      <w:r w:rsidRPr="00175144">
        <w:rPr>
          <w:iCs/>
        </w:rPr>
        <w:t xml:space="preserve"> or </w:t>
      </w:r>
      <w:r w:rsidRPr="00175144">
        <w:rPr>
          <w:i/>
          <w:iCs/>
        </w:rPr>
        <w:t>TCI-UL-State</w:t>
      </w:r>
      <w:r w:rsidRPr="00175144">
        <w:rPr>
          <w:iCs/>
        </w:rPr>
        <w:t xml:space="preserve">, and </w:t>
      </w:r>
      <w:r w:rsidRPr="00175144">
        <w:t xml:space="preserve">a second Type 1 power headroom report and a second configured maximum output power associated with the second </w:t>
      </w:r>
      <w:r w:rsidRPr="00175144">
        <w:rPr>
          <w:i/>
          <w:iCs/>
        </w:rPr>
        <w:t>TCI-State</w:t>
      </w:r>
      <w:r w:rsidRPr="00175144">
        <w:rPr>
          <w:iCs/>
        </w:rPr>
        <w:t xml:space="preserve"> or </w:t>
      </w:r>
      <w:r w:rsidRPr="00175144">
        <w:rPr>
          <w:i/>
          <w:iCs/>
        </w:rPr>
        <w:t>TCI-UL-State</w:t>
      </w:r>
      <w:r w:rsidRPr="00175144">
        <w:rPr>
          <w:iCs/>
        </w:rPr>
        <w:t xml:space="preserve">, for an actual PUSCH transmission </w:t>
      </w:r>
      <w:r w:rsidRPr="00175144">
        <w:t>using a spatial domain filter corresponding</w:t>
      </w:r>
      <w:r w:rsidRPr="00175144">
        <w:rPr>
          <w:iCs/>
        </w:rPr>
        <w:t xml:space="preserve"> to the first </w:t>
      </w:r>
      <w:r w:rsidRPr="00175144">
        <w:rPr>
          <w:i/>
          <w:iCs/>
        </w:rPr>
        <w:t>TCI-State</w:t>
      </w:r>
      <w:r w:rsidRPr="00175144">
        <w:rPr>
          <w:iCs/>
        </w:rPr>
        <w:t xml:space="preserve"> or </w:t>
      </w:r>
      <w:r w:rsidRPr="00175144">
        <w:rPr>
          <w:i/>
          <w:iCs/>
        </w:rPr>
        <w:t>TCI-UL-State</w:t>
      </w:r>
      <w:r w:rsidRPr="00175144">
        <w:rPr>
          <w:iCs/>
        </w:rPr>
        <w:t xml:space="preserve"> and </w:t>
      </w:r>
      <w:r w:rsidRPr="00175144">
        <w:t xml:space="preserve">using a spatial domain filter corresponding </w:t>
      </w:r>
      <w:r w:rsidRPr="00175144">
        <w:rPr>
          <w:iCs/>
        </w:rPr>
        <w:t xml:space="preserve">to the second </w:t>
      </w:r>
      <w:r w:rsidRPr="00175144">
        <w:rPr>
          <w:i/>
          <w:iCs/>
        </w:rPr>
        <w:t>TCI-State</w:t>
      </w:r>
      <w:r w:rsidRPr="00175144">
        <w:rPr>
          <w:iCs/>
        </w:rPr>
        <w:t xml:space="preserve"> or </w:t>
      </w:r>
      <w:r w:rsidRPr="00175144">
        <w:rPr>
          <w:i/>
          <w:iCs/>
        </w:rPr>
        <w:t>TCI-UL-State</w:t>
      </w:r>
      <w:r>
        <w:rPr>
          <w:iCs/>
          <w:lang w:val="en-GB"/>
        </w:rPr>
        <w:t>.</w:t>
      </w:r>
    </w:p>
    <w:p w14:paraId="34D91FD9" w14:textId="72BC3F75" w:rsidR="009203AD" w:rsidRDefault="009203AD" w:rsidP="00175144">
      <w:pPr>
        <w:pStyle w:val="B1"/>
        <w:rPr>
          <w:iCs/>
          <w:lang w:val="en-GB"/>
        </w:rPr>
      </w:pPr>
      <w:r w:rsidRPr="00A96732">
        <w:lastRenderedPageBreak/>
        <w:t>-</w:t>
      </w:r>
      <w:r w:rsidRPr="00A96732">
        <w:tab/>
      </w:r>
      <w:r w:rsidRPr="00A96732">
        <w:rPr>
          <w:iCs/>
        </w:rPr>
        <w:t xml:space="preserve">a first </w:t>
      </w:r>
      <w:r w:rsidRPr="00A96732">
        <w:t xml:space="preserve">Type 1 power headroom report and a first configured maximum output power associated with the </w:t>
      </w:r>
      <w:r w:rsidRPr="00A96732">
        <w:rPr>
          <w:iCs/>
        </w:rPr>
        <w:t xml:space="preserve">first </w:t>
      </w:r>
      <w:r w:rsidRPr="00A96732">
        <w:rPr>
          <w:i/>
          <w:iCs/>
        </w:rPr>
        <w:t>TCI-State</w:t>
      </w:r>
      <w:r w:rsidRPr="00A96732">
        <w:rPr>
          <w:iCs/>
        </w:rPr>
        <w:t xml:space="preserve"> or </w:t>
      </w:r>
      <w:r w:rsidRPr="00A96732">
        <w:rPr>
          <w:i/>
          <w:iCs/>
        </w:rPr>
        <w:t>TCI-UL-State</w:t>
      </w:r>
      <w:r w:rsidRPr="00A96732">
        <w:rPr>
          <w:iCs/>
        </w:rPr>
        <w:t xml:space="preserve"> for a reference PUSCH transmission using the </w:t>
      </w:r>
      <w:r w:rsidRPr="00A96732">
        <w:rPr>
          <w:i/>
        </w:rPr>
        <w:t>p0AlphaSetforPUSCH</w:t>
      </w:r>
      <w:r w:rsidRPr="00A96732">
        <w:rPr>
          <w:iCs/>
        </w:rPr>
        <w:t xml:space="preserve"> and </w:t>
      </w:r>
      <w:r w:rsidRPr="00A96732">
        <w:rPr>
          <w:i/>
        </w:rPr>
        <w:t>pathlossReferenceRS-Id-r17</w:t>
      </w:r>
      <w:r w:rsidRPr="00A96732">
        <w:rPr>
          <w:iCs/>
        </w:rPr>
        <w:t xml:space="preserve"> values associated with the first </w:t>
      </w:r>
      <w:r w:rsidRPr="00A96732">
        <w:rPr>
          <w:i/>
        </w:rPr>
        <w:t>TCI-State</w:t>
      </w:r>
      <w:r w:rsidRPr="00A96732">
        <w:rPr>
          <w:iCs/>
        </w:rPr>
        <w:t xml:space="preserve"> or </w:t>
      </w:r>
      <w:r w:rsidRPr="00A96732">
        <w:rPr>
          <w:i/>
        </w:rPr>
        <w:t>TCI-UL-State</w:t>
      </w:r>
      <w:r w:rsidRPr="00A96732">
        <w:rPr>
          <w:iCs/>
        </w:rPr>
        <w:t xml:space="preserve">, and </w:t>
      </w:r>
      <w:r w:rsidRPr="00A96732">
        <w:t xml:space="preserve">a second Type 1 power headroom report and a second configured maximum output power associated with the second </w:t>
      </w:r>
      <w:r w:rsidRPr="00A96732">
        <w:rPr>
          <w:i/>
          <w:iCs/>
        </w:rPr>
        <w:t>TCI-State</w:t>
      </w:r>
      <w:r w:rsidRPr="00A96732">
        <w:rPr>
          <w:iCs/>
        </w:rPr>
        <w:t xml:space="preserve"> or </w:t>
      </w:r>
      <w:r w:rsidRPr="00A96732">
        <w:rPr>
          <w:i/>
          <w:iCs/>
        </w:rPr>
        <w:t>TCI-UL-State</w:t>
      </w:r>
      <w:r w:rsidRPr="00A96732">
        <w:rPr>
          <w:iCs/>
        </w:rPr>
        <w:t xml:space="preserve"> for </w:t>
      </w:r>
      <w:r w:rsidRPr="00A96732">
        <w:t>another</w:t>
      </w:r>
      <w:r w:rsidRPr="00A96732">
        <w:rPr>
          <w:iCs/>
        </w:rPr>
        <w:t xml:space="preserve"> reference PUSCH transmission using the </w:t>
      </w:r>
      <w:r w:rsidRPr="00A96732">
        <w:rPr>
          <w:i/>
        </w:rPr>
        <w:t>p0AlphaSetforPUSCH</w:t>
      </w:r>
      <w:r w:rsidRPr="00A96732">
        <w:rPr>
          <w:iCs/>
        </w:rPr>
        <w:t xml:space="preserve"> and </w:t>
      </w:r>
      <w:r w:rsidRPr="00A96732">
        <w:rPr>
          <w:i/>
        </w:rPr>
        <w:t>pathlossReferenceRS-Id-r17</w:t>
      </w:r>
      <w:r w:rsidRPr="00A96732">
        <w:rPr>
          <w:iCs/>
        </w:rPr>
        <w:t xml:space="preserve"> values associated with the second </w:t>
      </w:r>
      <w:r w:rsidRPr="00A96732">
        <w:rPr>
          <w:i/>
        </w:rPr>
        <w:t>TCI-State</w:t>
      </w:r>
      <w:r w:rsidRPr="00A96732">
        <w:rPr>
          <w:iCs/>
        </w:rPr>
        <w:t xml:space="preserve"> or </w:t>
      </w:r>
      <w:r w:rsidRPr="00A96732">
        <w:rPr>
          <w:i/>
        </w:rPr>
        <w:t>TCI-UL-State</w:t>
      </w:r>
    </w:p>
    <w:p w14:paraId="585E49D6" w14:textId="77777777" w:rsidR="00653294" w:rsidRPr="00653294" w:rsidRDefault="00653294" w:rsidP="00653294">
      <w:pPr>
        <w:rPr>
          <w:lang w:eastAsia="zh-CN"/>
        </w:rPr>
      </w:pPr>
      <w:r w:rsidRPr="00653294">
        <w:rPr>
          <w:lang w:eastAsia="zh-CN"/>
        </w:rPr>
        <w:t xml:space="preserve">If a UE provides a Type 1 power headroom report for an activated serving cell based on an actual PUSCH transmission, is provided </w:t>
      </w:r>
      <w:r w:rsidRPr="00653294">
        <w:rPr>
          <w:i/>
          <w:iCs/>
          <w:lang w:eastAsia="zh-CN"/>
        </w:rPr>
        <w:t>assumedPUSCHInfo</w:t>
      </w:r>
      <w:r w:rsidRPr="00653294">
        <w:rPr>
          <w:lang w:eastAsia="zh-CN"/>
        </w:rPr>
        <w:t xml:space="preserve">, and </w:t>
      </w:r>
      <w:r w:rsidRPr="00653294">
        <w:rPr>
          <w:rFonts w:eastAsia="Microsoft YaHei UI"/>
          <w:i/>
          <w:iCs/>
        </w:rPr>
        <w:t xml:space="preserve">dynamicTransformPrecoderIndicationDCI-0-1 </w:t>
      </w:r>
      <w:r w:rsidRPr="00653294">
        <w:rPr>
          <w:rFonts w:eastAsia="Microsoft YaHei UI"/>
        </w:rPr>
        <w:t xml:space="preserve">or </w:t>
      </w:r>
      <w:r w:rsidRPr="00653294">
        <w:rPr>
          <w:rFonts w:eastAsia="Microsoft YaHei UI"/>
          <w:i/>
          <w:iCs/>
        </w:rPr>
        <w:t xml:space="preserve">dynamicTransformPrecoderIndicationDCI-0-2 </w:t>
      </w:r>
      <w:r w:rsidRPr="00653294">
        <w:rPr>
          <w:rFonts w:eastAsia="Microsoft YaHei UI"/>
        </w:rPr>
        <w:t>is set to enabled for the active UL BWP</w:t>
      </w:r>
      <w:r w:rsidRPr="00653294">
        <w:rPr>
          <w:lang w:eastAsia="zh-CN"/>
        </w:rPr>
        <w:t xml:space="preserve"> of the serving cell, the UE provides</w:t>
      </w:r>
    </w:p>
    <w:p w14:paraId="34438291" w14:textId="77777777" w:rsidR="00653294" w:rsidRPr="00653294" w:rsidRDefault="00653294" w:rsidP="00653294">
      <w:pPr>
        <w:pStyle w:val="B1"/>
        <w:rPr>
          <w:iCs/>
        </w:rPr>
      </w:pPr>
      <w:r w:rsidRPr="00653294">
        <w:t>-</w:t>
      </w:r>
      <w:r w:rsidRPr="00653294">
        <w:tab/>
      </w:r>
      <m:oMath>
        <m:sSub>
          <m:sSubPr>
            <m:ctrlPr>
              <w:rPr>
                <w:rFonts w:ascii="Cambria Math" w:hAnsi="Cambria Math"/>
              </w:rPr>
            </m:ctrlPr>
          </m:sSubPr>
          <m:e>
            <m:r>
              <w:rPr>
                <w:rFonts w:ascii="Cambria Math" w:hAnsi="Cambria Math"/>
              </w:rPr>
              <m:t>P</m:t>
            </m:r>
          </m:e>
          <m:sub>
            <m:r>
              <m:rPr>
                <m:nor/>
              </m:rPr>
              <m:t>CMAX</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m:t>
        </m:r>
        <m:r>
          <w:rPr>
            <w:rFonts w:ascii="Cambria Math" w:hAnsi="Cambria Math"/>
          </w:rPr>
          <m:t>i</m:t>
        </m:r>
        <m:r>
          <m:rPr>
            <m:sty m:val="p"/>
          </m:rPr>
          <w:rPr>
            <w:rFonts w:ascii="Cambria Math" w:hAnsi="Cambria Math"/>
          </w:rPr>
          <m:t>)</m:t>
        </m:r>
      </m:oMath>
      <w:r w:rsidRPr="00653294">
        <w:t xml:space="preserve"> based on any applicable maximum output power reduction for an assumed PUSCH transmission with transform precoder enabled, if supported, if transform precoder is disabled for the actual PUSCH transmission</w:t>
      </w:r>
      <w:r w:rsidRPr="00653294">
        <w:rPr>
          <w:iCs/>
        </w:rPr>
        <w:t>, or</w:t>
      </w:r>
    </w:p>
    <w:p w14:paraId="1CF4B6C4" w14:textId="6BB986DE" w:rsidR="00653294" w:rsidRPr="00653294" w:rsidRDefault="00653294" w:rsidP="00653294">
      <w:pPr>
        <w:pStyle w:val="B1"/>
      </w:pPr>
      <w:r w:rsidRPr="00653294">
        <w:t>-</w:t>
      </w:r>
      <w:r w:rsidRPr="00653294">
        <w:tab/>
      </w:r>
      <m:oMath>
        <m:sSub>
          <m:sSubPr>
            <m:ctrlPr>
              <w:rPr>
                <w:rFonts w:ascii="Cambria Math" w:hAnsi="Cambria Math"/>
              </w:rPr>
            </m:ctrlPr>
          </m:sSubPr>
          <m:e>
            <m:r>
              <w:rPr>
                <w:rFonts w:ascii="Cambria Math" w:hAnsi="Cambria Math"/>
              </w:rPr>
              <m:t>P</m:t>
            </m:r>
          </m:e>
          <m:sub>
            <m:r>
              <m:rPr>
                <m:nor/>
              </m:rPr>
              <m:t>CMAX</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m:t>
        </m:r>
        <m:r>
          <w:rPr>
            <w:rFonts w:ascii="Cambria Math" w:hAnsi="Cambria Math"/>
          </w:rPr>
          <m:t>i</m:t>
        </m:r>
        <m:r>
          <m:rPr>
            <m:sty m:val="p"/>
          </m:rPr>
          <w:rPr>
            <w:rFonts w:ascii="Cambria Math" w:hAnsi="Cambria Math"/>
          </w:rPr>
          <m:t>)</m:t>
        </m:r>
      </m:oMath>
      <w:r w:rsidRPr="00653294">
        <w:t xml:space="preserve"> based on any applicable maximum output power reduction for an assumed PUSCH transmission with transform precoder disabled, if supported, if the transform precoder is enabled for the actual PUSCH transmission,</w:t>
      </w:r>
    </w:p>
    <w:p w14:paraId="5141F824" w14:textId="5B67E389" w:rsidR="00653294" w:rsidRPr="00175144" w:rsidRDefault="00653294" w:rsidP="00653294">
      <w:pPr>
        <w:rPr>
          <w:lang w:eastAsia="zh-CN"/>
        </w:rPr>
      </w:pPr>
      <w:r w:rsidRPr="00653294">
        <w:t xml:space="preserve">where all other parameters </w:t>
      </w:r>
      <w:r w:rsidRPr="00653294">
        <w:rPr>
          <w:lang w:eastAsia="zh-CN"/>
        </w:rPr>
        <w:t xml:space="preserve">used for the calculation of </w:t>
      </w:r>
      <m:oMath>
        <m:sSub>
          <m:sSubPr>
            <m:ctrlPr>
              <w:rPr>
                <w:rFonts w:ascii="Cambria Math" w:hAnsi="Cambria Math"/>
              </w:rPr>
            </m:ctrlPr>
          </m:sSubPr>
          <m:e>
            <m:r>
              <w:rPr>
                <w:rFonts w:ascii="Cambria Math" w:hAnsi="Cambria Math"/>
              </w:rPr>
              <m:t>P</m:t>
            </m:r>
          </m:e>
          <m:sub>
            <m:r>
              <m:rPr>
                <m:nor/>
              </m:rPr>
              <m:t>CMAX</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m:t>
        </m:r>
        <m:r>
          <w:rPr>
            <w:rFonts w:ascii="Cambria Math" w:hAnsi="Cambria Math"/>
          </w:rPr>
          <m:t>i</m:t>
        </m:r>
        <m:r>
          <m:rPr>
            <m:sty m:val="p"/>
          </m:rPr>
          <w:rPr>
            <w:rFonts w:ascii="Cambria Math" w:hAnsi="Cambria Math"/>
          </w:rPr>
          <m:t>)</m:t>
        </m:r>
      </m:oMath>
      <w:r w:rsidRPr="00653294">
        <w:rPr>
          <w:lang w:eastAsia="zh-CN"/>
        </w:rPr>
        <w:t xml:space="preserve"> </w:t>
      </w:r>
      <w:r w:rsidRPr="00653294">
        <w:t>of the assumed PUSCH transmission are same as for the actual PUSCH transmission.</w:t>
      </w:r>
    </w:p>
    <w:p w14:paraId="55A22192" w14:textId="77777777" w:rsidR="00E9200F" w:rsidRPr="00B916EC" w:rsidRDefault="00E9200F" w:rsidP="00E9200F">
      <w:pPr>
        <w:pStyle w:val="Heading3"/>
      </w:pPr>
      <w:bookmarkStart w:id="301" w:name="_Toc12021459"/>
      <w:bookmarkStart w:id="302" w:name="_Toc20311571"/>
      <w:bookmarkStart w:id="303" w:name="_Toc26719396"/>
      <w:bookmarkStart w:id="304" w:name="_Toc29894827"/>
      <w:bookmarkStart w:id="305" w:name="_Toc29899126"/>
      <w:bookmarkStart w:id="306" w:name="_Toc29899544"/>
      <w:bookmarkStart w:id="307" w:name="_Toc29917281"/>
      <w:bookmarkStart w:id="308" w:name="_Toc36498155"/>
      <w:bookmarkStart w:id="309" w:name="_Toc45699181"/>
      <w:bookmarkStart w:id="310" w:name="_Toc161999106"/>
      <w:r w:rsidRPr="00B916EC">
        <w:t>7.7</w:t>
      </w:r>
      <w:r>
        <w:t>.2</w:t>
      </w:r>
      <w:r>
        <w:tab/>
        <w:t>Type 2 PH report</w:t>
      </w:r>
      <w:bookmarkEnd w:id="301"/>
      <w:bookmarkEnd w:id="302"/>
      <w:bookmarkEnd w:id="303"/>
      <w:bookmarkEnd w:id="304"/>
      <w:bookmarkEnd w:id="305"/>
      <w:bookmarkEnd w:id="306"/>
      <w:bookmarkEnd w:id="307"/>
      <w:bookmarkEnd w:id="308"/>
      <w:bookmarkEnd w:id="309"/>
      <w:bookmarkEnd w:id="310"/>
    </w:p>
    <w:p w14:paraId="47EEBB06" w14:textId="79C7B831" w:rsidR="00E9200F" w:rsidRPr="00B916EC" w:rsidRDefault="00E9200F" w:rsidP="00DE171D">
      <w:r>
        <w:t xml:space="preserve">This </w:t>
      </w:r>
      <w:r w:rsidR="00EE236C">
        <w:t>clause</w:t>
      </w:r>
      <w:r>
        <w:t xml:space="preserve"> is reserved.</w:t>
      </w:r>
    </w:p>
    <w:p w14:paraId="2C89BEFB" w14:textId="77777777" w:rsidR="00E072F9" w:rsidRPr="00B916EC" w:rsidRDefault="00E072F9" w:rsidP="00E072F9">
      <w:pPr>
        <w:pStyle w:val="Heading3"/>
      </w:pPr>
      <w:bookmarkStart w:id="311" w:name="_Toc12021460"/>
      <w:bookmarkStart w:id="312" w:name="_Toc20311572"/>
      <w:bookmarkStart w:id="313" w:name="_Toc26719397"/>
      <w:bookmarkStart w:id="314" w:name="_Toc29894828"/>
      <w:bookmarkStart w:id="315" w:name="_Toc29899127"/>
      <w:bookmarkStart w:id="316" w:name="_Toc29899545"/>
      <w:bookmarkStart w:id="317" w:name="_Toc29917282"/>
      <w:bookmarkStart w:id="318" w:name="_Toc36498156"/>
      <w:bookmarkStart w:id="319" w:name="_Toc45699182"/>
      <w:bookmarkStart w:id="320" w:name="_Toc161999107"/>
      <w:r w:rsidRPr="00B916EC">
        <w:t>7</w:t>
      </w:r>
      <w:r w:rsidR="00034A1C" w:rsidRPr="00B916EC">
        <w:t>.7.</w:t>
      </w:r>
      <w:r w:rsidR="00076E14">
        <w:t>3</w:t>
      </w:r>
      <w:r w:rsidRPr="00B916EC">
        <w:tab/>
      </w:r>
      <w:r w:rsidR="00076E14">
        <w:t xml:space="preserve">Type 3 PH </w:t>
      </w:r>
      <w:r w:rsidR="00685D97">
        <w:t>report</w:t>
      </w:r>
      <w:bookmarkEnd w:id="311"/>
      <w:bookmarkEnd w:id="312"/>
      <w:bookmarkEnd w:id="313"/>
      <w:bookmarkEnd w:id="314"/>
      <w:bookmarkEnd w:id="315"/>
      <w:bookmarkEnd w:id="316"/>
      <w:bookmarkEnd w:id="317"/>
      <w:bookmarkEnd w:id="318"/>
      <w:bookmarkEnd w:id="319"/>
      <w:bookmarkEnd w:id="320"/>
    </w:p>
    <w:p w14:paraId="3B7068F1" w14:textId="10395AD3" w:rsidR="00852E8D" w:rsidRPr="00B916EC" w:rsidRDefault="00852E8D" w:rsidP="00852E8D">
      <w:r>
        <w:rPr>
          <w:lang w:val="en-US"/>
        </w:rPr>
        <w:t xml:space="preserve">If a UE </w:t>
      </w:r>
      <w:r>
        <w:t xml:space="preserve">determines that </w:t>
      </w:r>
      <w:r>
        <w:rPr>
          <w:lang w:eastAsia="ko-KR"/>
        </w:rPr>
        <w:t>a Type 3 power headroom report</w:t>
      </w:r>
      <w:r w:rsidRPr="00475002">
        <w:rPr>
          <w:lang w:eastAsia="ko-KR"/>
        </w:rPr>
        <w:t xml:space="preserve"> </w:t>
      </w:r>
      <w:r>
        <w:rPr>
          <w:lang w:eastAsia="ko-KR"/>
        </w:rPr>
        <w:t>for an activated serving cell is based on an actual SRS</w:t>
      </w:r>
      <w:r w:rsidRPr="00475002">
        <w:rPr>
          <w:lang w:eastAsia="ko-KR"/>
        </w:rPr>
        <w:t xml:space="preserve"> transmission</w:t>
      </w:r>
      <w:r>
        <w:t xml:space="preserve"> then, for</w:t>
      </w:r>
      <w:r w:rsidRPr="00B916EC">
        <w:t xml:space="preserve"> SRS transmission </w:t>
      </w:r>
      <w:r>
        <w:t>occasion</w:t>
      </w:r>
      <w:r w:rsidRPr="00B916EC">
        <w:t xml:space="preserve"> </w:t>
      </w:r>
      <w:r w:rsidR="00ED3701">
        <w:rPr>
          <w:noProof/>
          <w:position w:val="-6"/>
        </w:rPr>
        <w:drawing>
          <wp:inline distT="0" distB="0" distL="0" distR="0" wp14:anchorId="768A34F1" wp14:editId="4EFB0D48">
            <wp:extent cx="95250" cy="180975"/>
            <wp:effectExtent l="0" t="0" r="0" b="0"/>
            <wp:docPr id="88"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5250" cy="180975"/>
                    </a:xfrm>
                    <a:prstGeom prst="rect">
                      <a:avLst/>
                    </a:prstGeom>
                    <a:noFill/>
                    <a:ln>
                      <a:noFill/>
                    </a:ln>
                  </pic:spPr>
                </pic:pic>
              </a:graphicData>
            </a:graphic>
          </wp:inline>
        </w:drawing>
      </w:r>
      <w:r w:rsidRPr="008B40E0">
        <w:t xml:space="preserve"> </w:t>
      </w:r>
      <w:r>
        <w:t xml:space="preserve">on active </w:t>
      </w:r>
      <w:r>
        <w:rPr>
          <w:lang w:val="en-US"/>
        </w:rPr>
        <w:t xml:space="preserve">UL BWP </w:t>
      </w:r>
      <w:r w:rsidR="00ED3701">
        <w:rPr>
          <w:iCs/>
          <w:noProof/>
          <w:position w:val="-6"/>
        </w:rPr>
        <w:drawing>
          <wp:inline distT="0" distB="0" distL="0" distR="0" wp14:anchorId="2F1DEEB9" wp14:editId="5C1DBE55">
            <wp:extent cx="180975" cy="180975"/>
            <wp:effectExtent l="0" t="0" r="0" b="0"/>
            <wp:docPr id="89"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iCs/>
        </w:rPr>
        <w:t xml:space="preserve"> of </w:t>
      </w:r>
      <w:r w:rsidRPr="00B916EC">
        <w:t xml:space="preserve">carrier </w:t>
      </w:r>
      <w:r w:rsidR="00ED3701">
        <w:rPr>
          <w:noProof/>
          <w:position w:val="-10"/>
        </w:rPr>
        <w:drawing>
          <wp:inline distT="0" distB="0" distL="0" distR="0" wp14:anchorId="2A5BFBB6" wp14:editId="25ED24F5">
            <wp:extent cx="180975" cy="180975"/>
            <wp:effectExtent l="0" t="0" r="0" b="0"/>
            <wp:docPr id="90"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B916EC">
        <w:rPr>
          <w:iCs/>
        </w:rPr>
        <w:t xml:space="preserve"> of</w:t>
      </w:r>
      <w:r w:rsidRPr="00B916EC">
        <w:t xml:space="preserve"> serving cell </w:t>
      </w:r>
      <m:oMath>
        <m:r>
          <w:rPr>
            <w:rFonts w:ascii="Cambria Math" w:hAnsi="Cambria Math"/>
          </w:rPr>
          <m:t>c</m:t>
        </m:r>
      </m:oMath>
      <w:r>
        <w:rPr>
          <w:lang w:val="en-US"/>
        </w:rPr>
        <w:t xml:space="preserve"> and if the UE is not configured for PUSCH transmissions </w:t>
      </w:r>
      <w:r>
        <w:t xml:space="preserve">on </w:t>
      </w:r>
      <w:r w:rsidRPr="00B916EC">
        <w:t xml:space="preserve">carrier </w:t>
      </w:r>
      <w:r w:rsidR="00ED3701">
        <w:rPr>
          <w:noProof/>
          <w:position w:val="-10"/>
        </w:rPr>
        <w:drawing>
          <wp:inline distT="0" distB="0" distL="0" distR="0" wp14:anchorId="59C3E2C2" wp14:editId="2360355F">
            <wp:extent cx="180975" cy="180975"/>
            <wp:effectExtent l="0" t="0" r="0" b="0"/>
            <wp:docPr id="91"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B916EC">
        <w:rPr>
          <w:iCs/>
        </w:rPr>
        <w:t xml:space="preserve"> of</w:t>
      </w:r>
      <w:r w:rsidRPr="00B916EC">
        <w:t xml:space="preserve"> serving cell </w:t>
      </w:r>
      <m:oMath>
        <m:r>
          <w:rPr>
            <w:rFonts w:ascii="Cambria Math" w:hAnsi="Cambria Math"/>
          </w:rPr>
          <m:t>c</m:t>
        </m:r>
      </m:oMath>
      <w:r w:rsidR="0097713F" w:rsidRPr="000E1904">
        <w:rPr>
          <w:rFonts w:hint="eastAsia"/>
        </w:rPr>
        <w:t xml:space="preserve"> and the </w:t>
      </w:r>
      <w:r w:rsidR="0097713F">
        <w:rPr>
          <w:rFonts w:eastAsia="DengXian"/>
        </w:rPr>
        <w:t>resource for the SRS transmission</w:t>
      </w:r>
      <w:r w:rsidR="0097713F" w:rsidRPr="000E1904">
        <w:rPr>
          <w:rFonts w:eastAsia="DengXian"/>
        </w:rPr>
        <w:t xml:space="preserve"> is </w:t>
      </w:r>
      <w:r w:rsidR="0097713F">
        <w:rPr>
          <w:rFonts w:eastAsia="DengXian"/>
        </w:rPr>
        <w:t>provid</w:t>
      </w:r>
      <w:r w:rsidR="0097713F" w:rsidRPr="000E1904">
        <w:rPr>
          <w:rFonts w:eastAsia="DengXian"/>
        </w:rPr>
        <w:t xml:space="preserve">ed by </w:t>
      </w:r>
      <w:r w:rsidR="0097713F" w:rsidRPr="000E1904">
        <w:rPr>
          <w:rFonts w:eastAsia="DengXian"/>
          <w:i/>
          <w:lang w:bidi="ar"/>
        </w:rPr>
        <w:t>SRS-Resource</w:t>
      </w:r>
      <w:r w:rsidRPr="00B916EC">
        <w:t xml:space="preserve">, </w:t>
      </w:r>
      <w:r>
        <w:rPr>
          <w:lang w:val="en-US"/>
        </w:rPr>
        <w:t>the</w:t>
      </w:r>
      <w:r w:rsidRPr="00B916EC">
        <w:t xml:space="preserve"> UE computes a</w:t>
      </w:r>
      <w:r w:rsidRPr="003C4B3C">
        <w:t xml:space="preserve"> </w:t>
      </w:r>
      <w:r>
        <w:t>Type 3</w:t>
      </w:r>
      <w:r w:rsidRPr="00B916EC">
        <w:t xml:space="preserve"> power headroom report as </w:t>
      </w:r>
    </w:p>
    <w:p w14:paraId="6276C382" w14:textId="7ED64DC8" w:rsidR="00852E8D" w:rsidRPr="00B916EC" w:rsidRDefault="00ED3701" w:rsidP="00852E8D">
      <w:pPr>
        <w:pStyle w:val="EQ"/>
        <w:jc w:val="center"/>
      </w:pPr>
      <w:r>
        <w:rPr>
          <w:position w:val="-16"/>
        </w:rPr>
        <w:drawing>
          <wp:inline distT="0" distB="0" distL="0" distR="0" wp14:anchorId="68C5C5D0" wp14:editId="7EA0EDF8">
            <wp:extent cx="5953125" cy="276225"/>
            <wp:effectExtent l="0" t="0" r="0" b="0"/>
            <wp:docPr id="92"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53125" cy="276225"/>
                    </a:xfrm>
                    <a:prstGeom prst="rect">
                      <a:avLst/>
                    </a:prstGeom>
                    <a:noFill/>
                    <a:ln>
                      <a:noFill/>
                    </a:ln>
                  </pic:spPr>
                </pic:pic>
              </a:graphicData>
            </a:graphic>
          </wp:inline>
        </w:drawing>
      </w:r>
      <w:r w:rsidR="00852E8D" w:rsidRPr="00B916EC">
        <w:t xml:space="preserve"> [dB]</w:t>
      </w:r>
    </w:p>
    <w:p w14:paraId="013749E4" w14:textId="2E063D70" w:rsidR="00852E8D" w:rsidRPr="00B916EC" w:rsidRDefault="00852E8D" w:rsidP="00852E8D">
      <w:r w:rsidRPr="00B916EC">
        <w:t>where</w:t>
      </w:r>
      <w:r w:rsidRPr="00B916EC">
        <w:rPr>
          <w:lang w:val="en-US"/>
        </w:rPr>
        <w:t xml:space="preserve"> </w:t>
      </w:r>
      <w:r w:rsidR="00ED3701">
        <w:rPr>
          <w:noProof/>
          <w:position w:val="-14"/>
        </w:rPr>
        <w:drawing>
          <wp:inline distT="0" distB="0" distL="0" distR="0" wp14:anchorId="06429FC5" wp14:editId="6F8A770E">
            <wp:extent cx="704850" cy="238125"/>
            <wp:effectExtent l="0" t="0" r="0" b="0"/>
            <wp:docPr id="93"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04850" cy="238125"/>
                    </a:xfrm>
                    <a:prstGeom prst="rect">
                      <a:avLst/>
                    </a:prstGeom>
                    <a:noFill/>
                    <a:ln>
                      <a:noFill/>
                    </a:ln>
                  </pic:spPr>
                </pic:pic>
              </a:graphicData>
            </a:graphic>
          </wp:inline>
        </w:drawing>
      </w:r>
      <w:r w:rsidRPr="00B916EC">
        <w:t xml:space="preserve">, </w:t>
      </w:r>
      <w:r w:rsidR="00ED3701">
        <w:rPr>
          <w:noProof/>
          <w:position w:val="-12"/>
        </w:rPr>
        <w:drawing>
          <wp:inline distT="0" distB="0" distL="0" distR="0" wp14:anchorId="44F80EED" wp14:editId="003DFFA7">
            <wp:extent cx="819150" cy="180975"/>
            <wp:effectExtent l="0" t="0" r="0" b="0"/>
            <wp:docPr id="94"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19150" cy="180975"/>
                    </a:xfrm>
                    <a:prstGeom prst="rect">
                      <a:avLst/>
                    </a:prstGeom>
                    <a:noFill/>
                    <a:ln>
                      <a:noFill/>
                    </a:ln>
                  </pic:spPr>
                </pic:pic>
              </a:graphicData>
            </a:graphic>
          </wp:inline>
        </w:drawing>
      </w:r>
      <w:r w:rsidRPr="00B916EC">
        <w:t xml:space="preserve">, </w:t>
      </w:r>
      <w:r w:rsidR="00ED3701">
        <w:rPr>
          <w:noProof/>
          <w:position w:val="-12"/>
        </w:rPr>
        <w:drawing>
          <wp:inline distT="0" distB="0" distL="0" distR="0" wp14:anchorId="7B616313" wp14:editId="514CEE64">
            <wp:extent cx="638175" cy="180975"/>
            <wp:effectExtent l="0" t="0" r="0" b="0"/>
            <wp:docPr id="95"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8175" cy="180975"/>
                    </a:xfrm>
                    <a:prstGeom prst="rect">
                      <a:avLst/>
                    </a:prstGeom>
                    <a:noFill/>
                    <a:ln>
                      <a:noFill/>
                    </a:ln>
                  </pic:spPr>
                </pic:pic>
              </a:graphicData>
            </a:graphic>
          </wp:inline>
        </w:drawing>
      </w:r>
      <w:r w:rsidRPr="00B916EC">
        <w:t xml:space="preserve">, </w:t>
      </w:r>
      <w:r w:rsidR="00ED3701">
        <w:rPr>
          <w:noProof/>
          <w:position w:val="-12"/>
        </w:rPr>
        <w:drawing>
          <wp:inline distT="0" distB="0" distL="0" distR="0" wp14:anchorId="6222CCF5" wp14:editId="2001C171">
            <wp:extent cx="733425" cy="238125"/>
            <wp:effectExtent l="0" t="0" r="0" b="0"/>
            <wp:docPr id="96"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33425" cy="238125"/>
                    </a:xfrm>
                    <a:prstGeom prst="rect">
                      <a:avLst/>
                    </a:prstGeom>
                    <a:noFill/>
                    <a:ln>
                      <a:noFill/>
                    </a:ln>
                  </pic:spPr>
                </pic:pic>
              </a:graphicData>
            </a:graphic>
          </wp:inline>
        </w:drawing>
      </w:r>
      <w:r w:rsidRPr="00B916EC">
        <w:t xml:space="preserve">, </w:t>
      </w:r>
      <w:r w:rsidR="00ED3701">
        <w:rPr>
          <w:noProof/>
          <w:position w:val="-12"/>
        </w:rPr>
        <w:drawing>
          <wp:inline distT="0" distB="0" distL="0" distR="0" wp14:anchorId="6C1DB2FC" wp14:editId="2E10854C">
            <wp:extent cx="638175" cy="180975"/>
            <wp:effectExtent l="0" t="0" r="0" b="0"/>
            <wp:docPr id="97"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8175" cy="180975"/>
                    </a:xfrm>
                    <a:prstGeom prst="rect">
                      <a:avLst/>
                    </a:prstGeom>
                    <a:noFill/>
                    <a:ln>
                      <a:noFill/>
                    </a:ln>
                  </pic:spPr>
                </pic:pic>
              </a:graphicData>
            </a:graphic>
          </wp:inline>
        </w:drawing>
      </w:r>
      <w:r w:rsidRPr="00B916EC">
        <w:rPr>
          <w:rFonts w:hint="eastAsia"/>
        </w:rPr>
        <w:t xml:space="preserve"> </w:t>
      </w:r>
      <w:r w:rsidRPr="00B916EC">
        <w:t xml:space="preserve">and </w:t>
      </w:r>
      <w:r w:rsidR="00ED3701">
        <w:rPr>
          <w:noProof/>
          <w:position w:val="-12"/>
        </w:rPr>
        <w:drawing>
          <wp:inline distT="0" distB="0" distL="0" distR="0" wp14:anchorId="4A686189" wp14:editId="59746A2A">
            <wp:extent cx="466725" cy="180975"/>
            <wp:effectExtent l="0" t="0" r="0" b="0"/>
            <wp:docPr id="98"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6725" cy="180975"/>
                    </a:xfrm>
                    <a:prstGeom prst="rect">
                      <a:avLst/>
                    </a:prstGeom>
                    <a:noFill/>
                    <a:ln>
                      <a:noFill/>
                    </a:ln>
                  </pic:spPr>
                </pic:pic>
              </a:graphicData>
            </a:graphic>
          </wp:inline>
        </w:drawing>
      </w:r>
      <w:r w:rsidRPr="00B916EC">
        <w:rPr>
          <w:lang w:val="en-US"/>
        </w:rPr>
        <w:t xml:space="preserve"> </w:t>
      </w:r>
      <w:r w:rsidRPr="00B916EC">
        <w:t xml:space="preserve">are defined </w:t>
      </w:r>
      <w:r w:rsidR="006F5F9E">
        <w:t>in clause</w:t>
      </w:r>
      <w:r w:rsidRPr="00B916EC">
        <w:rPr>
          <w:lang w:val="en-US"/>
        </w:rPr>
        <w:t xml:space="preserve"> </w:t>
      </w:r>
      <w:r>
        <w:rPr>
          <w:lang w:val="en-US"/>
        </w:rPr>
        <w:t>7.3.1</w:t>
      </w:r>
      <w:r w:rsidR="0097713F" w:rsidRPr="0073787C">
        <w:rPr>
          <w:lang w:val="en-US"/>
        </w:rPr>
        <w:t xml:space="preserve"> </w:t>
      </w:r>
      <w:r w:rsidR="0097713F" w:rsidRPr="0073787C">
        <w:t xml:space="preserve">with corresponding values provided by </w:t>
      </w:r>
      <w:r w:rsidR="0097713F" w:rsidRPr="0073787C">
        <w:rPr>
          <w:i/>
        </w:rPr>
        <w:t>SRS-ResourceSet</w:t>
      </w:r>
      <w:r w:rsidRPr="00B916EC">
        <w:t>.</w:t>
      </w:r>
    </w:p>
    <w:p w14:paraId="411A6660" w14:textId="475E807F" w:rsidR="00852E8D" w:rsidRPr="00B916EC" w:rsidRDefault="00852E8D" w:rsidP="00852E8D">
      <w:r>
        <w:rPr>
          <w:lang w:val="en-US"/>
        </w:rPr>
        <w:t>I</w:t>
      </w:r>
      <w:r w:rsidRPr="00B916EC">
        <w:t xml:space="preserve">f the UE </w:t>
      </w:r>
      <w:r>
        <w:t xml:space="preserve">determines that </w:t>
      </w:r>
      <w:r>
        <w:rPr>
          <w:lang w:eastAsia="ko-KR"/>
        </w:rPr>
        <w:t>a Type 3 power headroom report</w:t>
      </w:r>
      <w:r w:rsidRPr="00475002">
        <w:rPr>
          <w:lang w:eastAsia="ko-KR"/>
        </w:rPr>
        <w:t xml:space="preserve"> </w:t>
      </w:r>
      <w:r>
        <w:rPr>
          <w:lang w:eastAsia="ko-KR"/>
        </w:rPr>
        <w:t>for an activated serving cell is based on a reference SRS</w:t>
      </w:r>
      <w:r w:rsidRPr="00475002">
        <w:rPr>
          <w:lang w:eastAsia="ko-KR"/>
        </w:rPr>
        <w:t xml:space="preserve"> transmission</w:t>
      </w:r>
      <w:r>
        <w:rPr>
          <w:lang w:eastAsia="ko-KR"/>
        </w:rPr>
        <w:t xml:space="preserve"> </w:t>
      </w:r>
      <w:r>
        <w:t>then, for</w:t>
      </w:r>
      <w:r w:rsidRPr="00B916EC">
        <w:t xml:space="preserve"> SRS transmission </w:t>
      </w:r>
      <w:r>
        <w:t>occasion</w:t>
      </w:r>
      <w:r w:rsidRPr="00B916EC">
        <w:t xml:space="preserve"> </w:t>
      </w:r>
      <w:r w:rsidR="00ED3701">
        <w:rPr>
          <w:noProof/>
          <w:position w:val="-6"/>
        </w:rPr>
        <w:drawing>
          <wp:inline distT="0" distB="0" distL="0" distR="0" wp14:anchorId="2172A581" wp14:editId="543D1BC0">
            <wp:extent cx="95250" cy="180975"/>
            <wp:effectExtent l="0" t="0" r="0" b="0"/>
            <wp:docPr id="99"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5250" cy="180975"/>
                    </a:xfrm>
                    <a:prstGeom prst="rect">
                      <a:avLst/>
                    </a:prstGeom>
                    <a:noFill/>
                    <a:ln>
                      <a:noFill/>
                    </a:ln>
                  </pic:spPr>
                </pic:pic>
              </a:graphicData>
            </a:graphic>
          </wp:inline>
        </w:drawing>
      </w:r>
      <w:r w:rsidRPr="00B916EC">
        <w:t xml:space="preserve"> </w:t>
      </w:r>
      <w:r>
        <w:rPr>
          <w:lang w:val="en-US"/>
        </w:rPr>
        <w:t>on UL BWP</w:t>
      </w:r>
      <w:r w:rsidRPr="00B916EC">
        <w:t xml:space="preserve"> </w:t>
      </w:r>
      <w:r w:rsidR="00ED3701">
        <w:rPr>
          <w:iCs/>
          <w:noProof/>
          <w:position w:val="-6"/>
        </w:rPr>
        <w:drawing>
          <wp:inline distT="0" distB="0" distL="0" distR="0" wp14:anchorId="46440C72" wp14:editId="0714BB9D">
            <wp:extent cx="180975" cy="180975"/>
            <wp:effectExtent l="0" t="0" r="0" b="0"/>
            <wp:docPr id="100"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iCs/>
        </w:rPr>
        <w:t xml:space="preserve"> of</w:t>
      </w:r>
      <w:r w:rsidRPr="00B916EC">
        <w:t xml:space="preserve"> carrier </w:t>
      </w:r>
      <w:r w:rsidR="00ED3701">
        <w:rPr>
          <w:noProof/>
          <w:position w:val="-10"/>
        </w:rPr>
        <w:drawing>
          <wp:inline distT="0" distB="0" distL="0" distR="0" wp14:anchorId="3B9E4F4D" wp14:editId="2364D2D2">
            <wp:extent cx="180975" cy="180975"/>
            <wp:effectExtent l="0" t="0" r="0" b="0"/>
            <wp:docPr id="101"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B916EC">
        <w:rPr>
          <w:iCs/>
          <w:lang w:val="en-US"/>
        </w:rPr>
        <w:t xml:space="preserve"> of</w:t>
      </w:r>
      <w:r w:rsidRPr="00B916EC">
        <w:t xml:space="preserve"> serving cell </w:t>
      </w:r>
      <m:oMath>
        <m:r>
          <w:rPr>
            <w:rFonts w:ascii="Cambria Math" w:hAnsi="Cambria Math"/>
          </w:rPr>
          <m:t>c</m:t>
        </m:r>
      </m:oMath>
      <w:r w:rsidRPr="00B916EC">
        <w:t xml:space="preserve">, </w:t>
      </w:r>
      <w:r>
        <w:rPr>
          <w:lang w:val="en-US"/>
        </w:rPr>
        <w:t xml:space="preserve">and if the UE is not configured for PUSCH transmissions </w:t>
      </w:r>
      <w:r>
        <w:t xml:space="preserve">on </w:t>
      </w:r>
      <w:r>
        <w:rPr>
          <w:lang w:val="en-US"/>
        </w:rPr>
        <w:t>UL BWP</w:t>
      </w:r>
      <w:r w:rsidRPr="00B916EC">
        <w:t xml:space="preserve"> </w:t>
      </w:r>
      <w:r w:rsidR="00ED3701">
        <w:rPr>
          <w:iCs/>
          <w:noProof/>
          <w:position w:val="-6"/>
        </w:rPr>
        <w:drawing>
          <wp:inline distT="0" distB="0" distL="0" distR="0" wp14:anchorId="3005F602" wp14:editId="513DB61F">
            <wp:extent cx="180975" cy="180975"/>
            <wp:effectExtent l="0" t="0" r="0" b="0"/>
            <wp:docPr id="102"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iCs/>
        </w:rPr>
        <w:t xml:space="preserve"> of </w:t>
      </w:r>
      <w:r w:rsidRPr="00B916EC">
        <w:t xml:space="preserve">carrier </w:t>
      </w:r>
      <w:r w:rsidR="00ED3701">
        <w:rPr>
          <w:noProof/>
          <w:position w:val="-10"/>
        </w:rPr>
        <w:drawing>
          <wp:inline distT="0" distB="0" distL="0" distR="0" wp14:anchorId="6FBB66D1" wp14:editId="7A26CF1F">
            <wp:extent cx="180975" cy="180975"/>
            <wp:effectExtent l="0" t="0" r="0" b="0"/>
            <wp:docPr id="103"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B916EC">
        <w:rPr>
          <w:iCs/>
        </w:rPr>
        <w:t xml:space="preserve"> of</w:t>
      </w:r>
      <w:r w:rsidRPr="00B916EC">
        <w:t xml:space="preserve"> serving cell </w:t>
      </w:r>
      <m:oMath>
        <m:r>
          <w:rPr>
            <w:rFonts w:ascii="Cambria Math" w:hAnsi="Cambria Math"/>
          </w:rPr>
          <m:t>c</m:t>
        </m:r>
      </m:oMath>
      <w:r w:rsidR="0097713F" w:rsidRPr="005D61DC">
        <w:rPr>
          <w:rFonts w:hint="eastAsia"/>
        </w:rPr>
        <w:t xml:space="preserve"> and </w:t>
      </w:r>
      <w:r w:rsidR="0097713F">
        <w:t xml:space="preserve">a resource for </w:t>
      </w:r>
      <w:r w:rsidR="0097713F" w:rsidRPr="005D61DC">
        <w:rPr>
          <w:rFonts w:hint="eastAsia"/>
        </w:rPr>
        <w:t xml:space="preserve">the </w:t>
      </w:r>
      <w:r w:rsidR="0097713F" w:rsidRPr="005D61DC">
        <w:rPr>
          <w:lang w:eastAsia="ko-KR"/>
        </w:rPr>
        <w:t xml:space="preserve">reference </w:t>
      </w:r>
      <w:r w:rsidR="0097713F" w:rsidRPr="005D61DC">
        <w:rPr>
          <w:rFonts w:eastAsia="DengXian"/>
        </w:rPr>
        <w:t xml:space="preserve">SRS </w:t>
      </w:r>
      <w:r w:rsidR="0097713F">
        <w:rPr>
          <w:rFonts w:eastAsia="DengXian"/>
        </w:rPr>
        <w:t xml:space="preserve">transmission </w:t>
      </w:r>
      <w:r w:rsidR="0097713F" w:rsidRPr="005D61DC">
        <w:rPr>
          <w:rFonts w:eastAsia="DengXian"/>
        </w:rPr>
        <w:t xml:space="preserve">is </w:t>
      </w:r>
      <w:r w:rsidR="0097713F">
        <w:rPr>
          <w:rFonts w:eastAsia="DengXian"/>
        </w:rPr>
        <w:t>provid</w:t>
      </w:r>
      <w:r w:rsidR="0097713F" w:rsidRPr="005D61DC">
        <w:rPr>
          <w:rFonts w:eastAsia="DengXian"/>
        </w:rPr>
        <w:t xml:space="preserve">ed by </w:t>
      </w:r>
      <w:r w:rsidR="0097713F" w:rsidRPr="005D61DC">
        <w:rPr>
          <w:rFonts w:eastAsia="DengXian"/>
          <w:i/>
          <w:lang w:bidi="ar"/>
        </w:rPr>
        <w:t>SRS-Resource</w:t>
      </w:r>
      <w:r>
        <w:rPr>
          <w:lang w:val="en-US"/>
        </w:rPr>
        <w:t xml:space="preserve">, </w:t>
      </w:r>
      <w:r w:rsidRPr="00B916EC">
        <w:rPr>
          <w:lang w:val="en-US"/>
        </w:rPr>
        <w:t>the UE computes</w:t>
      </w:r>
      <w:r w:rsidRPr="003C4B3C">
        <w:rPr>
          <w:lang w:val="en-US"/>
        </w:rPr>
        <w:t xml:space="preserve"> </w:t>
      </w:r>
      <w:r>
        <w:rPr>
          <w:lang w:val="en-US"/>
        </w:rPr>
        <w:t>a Type 3</w:t>
      </w:r>
      <w:r w:rsidRPr="00B916EC">
        <w:rPr>
          <w:lang w:val="en-US"/>
        </w:rPr>
        <w:t xml:space="preserve"> </w:t>
      </w:r>
      <w:r w:rsidRPr="00B916EC">
        <w:t xml:space="preserve">power headroom report </w:t>
      </w:r>
      <w:r w:rsidRPr="00B916EC">
        <w:rPr>
          <w:lang w:val="en-US"/>
        </w:rPr>
        <w:t>as</w:t>
      </w:r>
      <w:r w:rsidRPr="00B916EC">
        <w:t xml:space="preserve"> </w:t>
      </w:r>
    </w:p>
    <w:p w14:paraId="2CD653B5" w14:textId="5CA78C04" w:rsidR="00852E8D" w:rsidRPr="00B916EC" w:rsidRDefault="00852E8D" w:rsidP="00852E8D">
      <w:pPr>
        <w:pStyle w:val="EQ"/>
      </w:pPr>
      <w:r>
        <w:tab/>
      </w:r>
      <w:r w:rsidR="00ED3701">
        <w:rPr>
          <w:position w:val="-12"/>
        </w:rPr>
        <w:drawing>
          <wp:inline distT="0" distB="0" distL="0" distR="0" wp14:anchorId="3AEB7934" wp14:editId="3639A624">
            <wp:extent cx="4467225" cy="238125"/>
            <wp:effectExtent l="0" t="0" r="0" b="0"/>
            <wp:docPr id="104"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67225" cy="238125"/>
                    </a:xfrm>
                    <a:prstGeom prst="rect">
                      <a:avLst/>
                    </a:prstGeom>
                    <a:noFill/>
                    <a:ln>
                      <a:noFill/>
                    </a:ln>
                  </pic:spPr>
                </pic:pic>
              </a:graphicData>
            </a:graphic>
          </wp:inline>
        </w:drawing>
      </w:r>
      <w:r w:rsidRPr="00B916EC">
        <w:t xml:space="preserve"> [dB]</w:t>
      </w:r>
    </w:p>
    <w:p w14:paraId="35561C19" w14:textId="0BBB1C91" w:rsidR="00852E8D" w:rsidRDefault="00852E8D" w:rsidP="00852E8D">
      <w:r w:rsidRPr="00B916EC">
        <w:t>where</w:t>
      </w:r>
      <w:r w:rsidRPr="00B916EC">
        <w:rPr>
          <w:lang w:val="en-US"/>
        </w:rPr>
        <w:t xml:space="preserve"> </w:t>
      </w:r>
      <w:r w:rsidR="00ED3701">
        <w:rPr>
          <w:noProof/>
          <w:position w:val="-10"/>
        </w:rPr>
        <w:drawing>
          <wp:inline distT="0" distB="0" distL="0" distR="0" wp14:anchorId="769599CD" wp14:editId="61B8DB1F">
            <wp:extent cx="180975" cy="238125"/>
            <wp:effectExtent l="0" t="0" r="0" b="0"/>
            <wp:docPr id="105"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rsidRPr="00B916EC">
        <w:rPr>
          <w:lang w:val="en-US"/>
        </w:rPr>
        <w:t xml:space="preserve"> is a</w:t>
      </w:r>
      <w:r w:rsidR="0097713F">
        <w:rPr>
          <w:lang w:val="en-US"/>
        </w:rPr>
        <w:t>n</w:t>
      </w:r>
      <w:r w:rsidRPr="00B916EC">
        <w:rPr>
          <w:lang w:val="en-US"/>
        </w:rPr>
        <w:t xml:space="preserve"> SRS resource set </w:t>
      </w:r>
      <w:r>
        <w:rPr>
          <w:lang w:val="en-US"/>
        </w:rPr>
        <w:t xml:space="preserve">corresponding to </w:t>
      </w:r>
      <w:r w:rsidRPr="00620D20">
        <w:rPr>
          <w:i/>
          <w:lang w:val="en-US"/>
        </w:rPr>
        <w:t>SRS-ResourceSetId</w:t>
      </w:r>
      <w:r>
        <w:rPr>
          <w:i/>
          <w:lang w:val="en-US"/>
        </w:rPr>
        <w:t xml:space="preserve"> = 0</w:t>
      </w:r>
      <w:r>
        <w:rPr>
          <w:lang w:val="en-US"/>
        </w:rPr>
        <w:t xml:space="preserve"> for UL BWP</w:t>
      </w:r>
      <w:r w:rsidRPr="00B916EC">
        <w:t xml:space="preserve"> </w:t>
      </w:r>
      <w:r w:rsidR="00ED3701">
        <w:rPr>
          <w:iCs/>
          <w:noProof/>
          <w:position w:val="-6"/>
        </w:rPr>
        <w:drawing>
          <wp:inline distT="0" distB="0" distL="0" distR="0" wp14:anchorId="643A4C79" wp14:editId="247E4883">
            <wp:extent cx="180975" cy="180975"/>
            <wp:effectExtent l="0" t="0" r="0" b="0"/>
            <wp:docPr id="106"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iCs/>
        </w:rPr>
        <w:t xml:space="preserve"> </w:t>
      </w:r>
      <w:r w:rsidRPr="00B916EC">
        <w:rPr>
          <w:lang w:val="en-US"/>
        </w:rPr>
        <w:t xml:space="preserve">and </w:t>
      </w:r>
      <w:r w:rsidR="00ED3701">
        <w:rPr>
          <w:noProof/>
          <w:position w:val="-12"/>
        </w:rPr>
        <w:drawing>
          <wp:inline distT="0" distB="0" distL="0" distR="0" wp14:anchorId="2B94B9AA" wp14:editId="31399B68">
            <wp:extent cx="819150" cy="238125"/>
            <wp:effectExtent l="0" t="0" r="0" b="0"/>
            <wp:docPr id="107"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19150" cy="238125"/>
                    </a:xfrm>
                    <a:prstGeom prst="rect">
                      <a:avLst/>
                    </a:prstGeom>
                    <a:noFill/>
                    <a:ln>
                      <a:noFill/>
                    </a:ln>
                  </pic:spPr>
                </pic:pic>
              </a:graphicData>
            </a:graphic>
          </wp:inline>
        </w:drawing>
      </w:r>
      <w:r w:rsidRPr="00B916EC">
        <w:t>,</w:t>
      </w:r>
      <w:r>
        <w:t xml:space="preserve"> </w:t>
      </w:r>
      <w:r w:rsidR="00ED3701">
        <w:rPr>
          <w:noProof/>
          <w:position w:val="-12"/>
        </w:rPr>
        <w:drawing>
          <wp:inline distT="0" distB="0" distL="0" distR="0" wp14:anchorId="03A38454" wp14:editId="13E5D3C4">
            <wp:extent cx="733425" cy="238125"/>
            <wp:effectExtent l="0" t="0" r="0" b="0"/>
            <wp:docPr id="108"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33425" cy="238125"/>
                    </a:xfrm>
                    <a:prstGeom prst="rect">
                      <a:avLst/>
                    </a:prstGeom>
                    <a:noFill/>
                    <a:ln>
                      <a:noFill/>
                    </a:ln>
                  </pic:spPr>
                </pic:pic>
              </a:graphicData>
            </a:graphic>
          </wp:inline>
        </w:drawing>
      </w:r>
      <w:r w:rsidRPr="00B916EC">
        <w:rPr>
          <w:lang w:val="en-US"/>
        </w:rPr>
        <w:t xml:space="preserve">, </w:t>
      </w:r>
      <w:r w:rsidR="00ED3701">
        <w:rPr>
          <w:noProof/>
          <w:position w:val="-12"/>
        </w:rPr>
        <w:drawing>
          <wp:inline distT="0" distB="0" distL="0" distR="0" wp14:anchorId="33184EA0" wp14:editId="6502A85F">
            <wp:extent cx="638175" cy="238125"/>
            <wp:effectExtent l="0" t="0" r="0" b="0"/>
            <wp:docPr id="109"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8175" cy="238125"/>
                    </a:xfrm>
                    <a:prstGeom prst="rect">
                      <a:avLst/>
                    </a:prstGeom>
                    <a:noFill/>
                    <a:ln>
                      <a:noFill/>
                    </a:ln>
                  </pic:spPr>
                </pic:pic>
              </a:graphicData>
            </a:graphic>
          </wp:inline>
        </w:drawing>
      </w:r>
      <w:r w:rsidRPr="00B916EC">
        <w:t xml:space="preserve"> </w:t>
      </w:r>
      <w:r w:rsidRPr="00B916EC">
        <w:rPr>
          <w:lang w:val="en-US"/>
        </w:rPr>
        <w:t xml:space="preserve">and </w:t>
      </w:r>
      <w:r w:rsidR="00ED3701">
        <w:rPr>
          <w:noProof/>
          <w:position w:val="-12"/>
        </w:rPr>
        <w:drawing>
          <wp:inline distT="0" distB="0" distL="0" distR="0" wp14:anchorId="468D2E3C" wp14:editId="01D7744D">
            <wp:extent cx="466725" cy="238125"/>
            <wp:effectExtent l="0" t="0" r="0" b="0"/>
            <wp:docPr id="110"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6725" cy="238125"/>
                    </a:xfrm>
                    <a:prstGeom prst="rect">
                      <a:avLst/>
                    </a:prstGeom>
                    <a:noFill/>
                    <a:ln>
                      <a:noFill/>
                    </a:ln>
                  </pic:spPr>
                </pic:pic>
              </a:graphicData>
            </a:graphic>
          </wp:inline>
        </w:drawing>
      </w:r>
      <w:r w:rsidRPr="00B916EC">
        <w:rPr>
          <w:lang w:val="en-US"/>
        </w:rPr>
        <w:t xml:space="preserve"> </w:t>
      </w:r>
      <w:r w:rsidRPr="00B916EC">
        <w:t xml:space="preserve">are defined </w:t>
      </w:r>
      <w:r w:rsidR="006F5F9E">
        <w:t>in clause</w:t>
      </w:r>
      <w:r>
        <w:t xml:space="preserve"> 7.3.1 with corresponding values obtained from </w:t>
      </w:r>
      <w:r w:rsidRPr="00620D20">
        <w:rPr>
          <w:i/>
          <w:lang w:val="en-US"/>
        </w:rPr>
        <w:t>SRS-ResourceSetId</w:t>
      </w:r>
      <w:r>
        <w:rPr>
          <w:i/>
          <w:lang w:val="en-US"/>
        </w:rPr>
        <w:t xml:space="preserve"> = 0</w:t>
      </w:r>
      <w:r>
        <w:rPr>
          <w:lang w:val="en-US"/>
        </w:rPr>
        <w:t xml:space="preserve"> for UL BWP</w:t>
      </w:r>
      <w:r w:rsidRPr="00B916EC">
        <w:t xml:space="preserve"> </w:t>
      </w:r>
      <w:r w:rsidR="00ED3701">
        <w:rPr>
          <w:iCs/>
          <w:noProof/>
          <w:position w:val="-6"/>
        </w:rPr>
        <w:drawing>
          <wp:inline distT="0" distB="0" distL="0" distR="0" wp14:anchorId="31339308" wp14:editId="19003A12">
            <wp:extent cx="180975" cy="180975"/>
            <wp:effectExtent l="0" t="0" r="0" b="0"/>
            <wp:docPr id="111"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B916EC">
        <w:t xml:space="preserve">. </w:t>
      </w:r>
      <w:r w:rsidR="00ED3701">
        <w:rPr>
          <w:noProof/>
          <w:position w:val="-12"/>
        </w:rPr>
        <w:drawing>
          <wp:inline distT="0" distB="0" distL="0" distR="0" wp14:anchorId="229C6E94" wp14:editId="6E4EF054">
            <wp:extent cx="733425" cy="238125"/>
            <wp:effectExtent l="0" t="0" r="0" b="0"/>
            <wp:docPr id="112"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33425" cy="238125"/>
                    </a:xfrm>
                    <a:prstGeom prst="rect">
                      <a:avLst/>
                    </a:prstGeom>
                    <a:noFill/>
                    <a:ln>
                      <a:noFill/>
                    </a:ln>
                  </pic:spPr>
                </pic:pic>
              </a:graphicData>
            </a:graphic>
          </wp:inline>
        </w:drawing>
      </w:r>
      <w:r>
        <w:t xml:space="preserve"> </w:t>
      </w:r>
      <w:r w:rsidRPr="00B916EC">
        <w:t>is computed assuming MPR=0</w:t>
      </w:r>
      <w:r>
        <w:t xml:space="preserve"> </w:t>
      </w:r>
      <w:r w:rsidRPr="00B916EC">
        <w:t>dB, A-MPR=0</w:t>
      </w:r>
      <w:r>
        <w:t xml:space="preserve"> </w:t>
      </w:r>
      <w:r w:rsidRPr="00B916EC">
        <w:t>dB, P-MPR=0</w:t>
      </w:r>
      <w:r>
        <w:t xml:space="preserve"> </w:t>
      </w:r>
      <w:r w:rsidRPr="00B916EC">
        <w:t xml:space="preserve">dB and </w:t>
      </w:r>
      <w:r w:rsidRPr="00B916EC">
        <w:rPr>
          <w:rFonts w:ascii="Symbol" w:hAnsi="Symbol"/>
          <w:lang w:bidi="bn-IN"/>
        </w:rPr>
        <w:t></w:t>
      </w:r>
      <w:r w:rsidRPr="00B916EC">
        <w:rPr>
          <w:lang w:bidi="bn-IN"/>
        </w:rPr>
        <w:t>T</w:t>
      </w:r>
      <w:r w:rsidRPr="00B916EC">
        <w:rPr>
          <w:vertAlign w:val="subscript"/>
          <w:lang w:val="en-US" w:bidi="bn-IN"/>
        </w:rPr>
        <w:t>C</w:t>
      </w:r>
      <w:r w:rsidRPr="00B916EC">
        <w:t xml:space="preserve"> =0</w:t>
      </w:r>
      <w:r>
        <w:t xml:space="preserve"> </w:t>
      </w:r>
      <w:r w:rsidRPr="00B916EC">
        <w:t xml:space="preserve">dB. MPR, A-MPR, P-MPR and </w:t>
      </w:r>
      <w:r w:rsidRPr="00B916EC">
        <w:rPr>
          <w:rFonts w:ascii="Symbol" w:hAnsi="Symbol"/>
          <w:lang w:bidi="bn-IN"/>
        </w:rPr>
        <w:t></w:t>
      </w:r>
      <w:r w:rsidRPr="00B916EC">
        <w:rPr>
          <w:lang w:bidi="bn-IN"/>
        </w:rPr>
        <w:t>T</w:t>
      </w:r>
      <w:r w:rsidRPr="00B916EC">
        <w:rPr>
          <w:vertAlign w:val="subscript"/>
          <w:lang w:val="en-US" w:bidi="bn-IN"/>
        </w:rPr>
        <w:t>C</w:t>
      </w:r>
      <w:r w:rsidRPr="00B916EC">
        <w:t xml:space="preserve"> are defined in [</w:t>
      </w:r>
      <w:r w:rsidRPr="00B916EC">
        <w:rPr>
          <w:lang w:val="en-US"/>
        </w:rPr>
        <w:t>8</w:t>
      </w:r>
      <w:r>
        <w:rPr>
          <w:lang w:val="en-US"/>
        </w:rPr>
        <w:t>-1</w:t>
      </w:r>
      <w:r w:rsidRPr="00B916EC">
        <w:t>, TS 38.101</w:t>
      </w:r>
      <w:r>
        <w:rPr>
          <w:lang w:val="en-US"/>
        </w:rPr>
        <w:t>-1</w:t>
      </w:r>
      <w:r w:rsidRPr="00B916EC">
        <w:t>]</w:t>
      </w:r>
      <w:r w:rsidR="00A2228C">
        <w:rPr>
          <w:lang w:val="en-US"/>
        </w:rPr>
        <w:t>,</w:t>
      </w:r>
      <w:r>
        <w:rPr>
          <w:lang w:val="en-US"/>
        </w:rPr>
        <w:t xml:space="preserve"> [8-2, </w:t>
      </w:r>
      <w:r w:rsidR="00295E42">
        <w:rPr>
          <w:lang w:val="en-US"/>
        </w:rPr>
        <w:t>TS 38.</w:t>
      </w:r>
      <w:r>
        <w:rPr>
          <w:lang w:val="en-US"/>
        </w:rPr>
        <w:t>101-2]</w:t>
      </w:r>
      <w:r w:rsidR="00A2228C">
        <w:rPr>
          <w:lang w:val="en-US"/>
        </w:rPr>
        <w:t xml:space="preserve"> and [8-3, TS 38.101-3]</w:t>
      </w:r>
      <w:r w:rsidRPr="00B916EC">
        <w:t>.</w:t>
      </w:r>
      <w:r w:rsidRPr="00B916EC" w:rsidDel="00A0699B">
        <w:t xml:space="preserve"> </w:t>
      </w:r>
    </w:p>
    <w:p w14:paraId="4380C0A6" w14:textId="79733FCF" w:rsidR="00076E14" w:rsidRPr="00B916EC" w:rsidRDefault="00685D97" w:rsidP="00685D97">
      <w:r w:rsidRPr="00D155A0">
        <w:t xml:space="preserve">If a UE is configured with two UL carriers for a serving cell and the UE determines </w:t>
      </w:r>
      <w:r>
        <w:rPr>
          <w:lang w:eastAsia="ko-KR"/>
        </w:rPr>
        <w:t>a Type 3</w:t>
      </w:r>
      <w:r w:rsidRPr="00D155A0">
        <w:rPr>
          <w:lang w:eastAsia="ko-KR"/>
        </w:rPr>
        <w:t xml:space="preserve"> power headroom report for the serving</w:t>
      </w:r>
      <w:r>
        <w:rPr>
          <w:lang w:eastAsia="ko-KR"/>
        </w:rPr>
        <w:t xml:space="preserve"> cell based on a reference SRS</w:t>
      </w:r>
      <w:r w:rsidRPr="00D155A0">
        <w:rPr>
          <w:lang w:eastAsia="ko-KR"/>
        </w:rPr>
        <w:t xml:space="preserve"> transmission</w:t>
      </w:r>
      <w:r w:rsidR="0097713F" w:rsidRPr="005D61DC">
        <w:rPr>
          <w:lang w:eastAsia="ko-KR"/>
        </w:rPr>
        <w:t xml:space="preserve"> </w:t>
      </w:r>
      <w:r w:rsidR="0097713F" w:rsidRPr="005D61DC">
        <w:rPr>
          <w:rFonts w:hint="eastAsia"/>
        </w:rPr>
        <w:t xml:space="preserve">and </w:t>
      </w:r>
      <w:r w:rsidR="0097713F">
        <w:t xml:space="preserve">a resource for </w:t>
      </w:r>
      <w:r w:rsidR="0097713F" w:rsidRPr="005D61DC">
        <w:rPr>
          <w:rFonts w:hint="eastAsia"/>
        </w:rPr>
        <w:t xml:space="preserve">the </w:t>
      </w:r>
      <w:r w:rsidR="0097713F" w:rsidRPr="005D61DC">
        <w:rPr>
          <w:lang w:eastAsia="ko-KR"/>
        </w:rPr>
        <w:t xml:space="preserve">reference </w:t>
      </w:r>
      <w:r w:rsidR="0097713F" w:rsidRPr="005D61DC">
        <w:rPr>
          <w:rFonts w:eastAsia="DengXian"/>
        </w:rPr>
        <w:t xml:space="preserve">SRS is </w:t>
      </w:r>
      <w:r w:rsidR="0097713F">
        <w:rPr>
          <w:rFonts w:eastAsia="DengXian"/>
        </w:rPr>
        <w:t>provid</w:t>
      </w:r>
      <w:r w:rsidR="0097713F" w:rsidRPr="005D61DC">
        <w:rPr>
          <w:rFonts w:eastAsia="DengXian"/>
        </w:rPr>
        <w:t xml:space="preserve">ed by </w:t>
      </w:r>
      <w:r w:rsidR="0097713F" w:rsidRPr="005D61DC">
        <w:rPr>
          <w:rFonts w:eastAsia="DengXian"/>
          <w:i/>
          <w:lang w:bidi="ar"/>
        </w:rPr>
        <w:t>SRS-Resource</w:t>
      </w:r>
      <w:r>
        <w:t>, the UE computes a Type 3</w:t>
      </w:r>
      <w:r w:rsidRPr="00D155A0">
        <w:t xml:space="preserve"> power headroom report for the serving cell assuming </w:t>
      </w:r>
      <w:r>
        <w:t>a reference SRS</w:t>
      </w:r>
      <w:r w:rsidRPr="008E3A86">
        <w:t xml:space="preserve"> transmission on the UL carrier provided by </w:t>
      </w:r>
      <w:r>
        <w:rPr>
          <w:i/>
        </w:rPr>
        <w:t>puc</w:t>
      </w:r>
      <w:r w:rsidRPr="008E3A86">
        <w:rPr>
          <w:i/>
        </w:rPr>
        <w:t>ch-Config</w:t>
      </w:r>
      <w:r w:rsidRPr="00655B5E">
        <w:t xml:space="preserve">. </w:t>
      </w:r>
      <w:r w:rsidRPr="00484D6C">
        <w:t xml:space="preserve">If </w:t>
      </w:r>
      <w:r w:rsidRPr="00484D6C">
        <w:rPr>
          <w:i/>
        </w:rPr>
        <w:t>pucch-Config</w:t>
      </w:r>
      <w:r w:rsidRPr="00484D6C">
        <w:t xml:space="preserve"> is not </w:t>
      </w:r>
      <w:r>
        <w:t xml:space="preserve">provided to the UE for any of the two </w:t>
      </w:r>
      <w:r>
        <w:lastRenderedPageBreak/>
        <w:t>UL carriers</w:t>
      </w:r>
      <w:r w:rsidRPr="00484D6C">
        <w:t>, the</w:t>
      </w:r>
      <w:r w:rsidRPr="008E2917">
        <w:t xml:space="preserve"> UE computes a </w:t>
      </w:r>
      <w:r>
        <w:t>Type 3</w:t>
      </w:r>
      <w:r w:rsidRPr="00D155A0">
        <w:t xml:space="preserve"> power headroom report for the serving</w:t>
      </w:r>
      <w:r>
        <w:t xml:space="preserve"> cell assuming a reference SRS</w:t>
      </w:r>
      <w:r w:rsidRPr="00D155A0">
        <w:t xml:space="preserve"> transmission on the non-supplementary UL carrier</w:t>
      </w:r>
      <w:r w:rsidRPr="00E9040D">
        <w:t>.</w:t>
      </w:r>
    </w:p>
    <w:p w14:paraId="3D6B8AC7" w14:textId="77777777" w:rsidR="003D415C" w:rsidRPr="00B916EC" w:rsidRDefault="00FC73F9" w:rsidP="003D415C">
      <w:pPr>
        <w:pStyle w:val="Heading1"/>
        <w:tabs>
          <w:tab w:val="left" w:pos="1134"/>
        </w:tabs>
      </w:pPr>
      <w:bookmarkStart w:id="321" w:name="_Toc12021461"/>
      <w:bookmarkStart w:id="322" w:name="_Toc20311573"/>
      <w:bookmarkStart w:id="323" w:name="_Toc26719398"/>
      <w:bookmarkStart w:id="324" w:name="_Toc29894829"/>
      <w:bookmarkStart w:id="325" w:name="_Toc29899128"/>
      <w:bookmarkStart w:id="326" w:name="_Toc29899546"/>
      <w:bookmarkStart w:id="327" w:name="_Toc29917283"/>
      <w:bookmarkStart w:id="328" w:name="_Toc36498157"/>
      <w:bookmarkStart w:id="329" w:name="_Toc45699183"/>
      <w:bookmarkStart w:id="330" w:name="_Toc161999108"/>
      <w:r w:rsidRPr="00B916EC">
        <w:t>8</w:t>
      </w:r>
      <w:r w:rsidR="003D415C" w:rsidRPr="00B916EC">
        <w:rPr>
          <w:rFonts w:hint="eastAsia"/>
        </w:rPr>
        <w:tab/>
      </w:r>
      <w:r w:rsidR="006F2814" w:rsidRPr="00B916EC">
        <w:t>Random access procedure</w:t>
      </w:r>
      <w:bookmarkEnd w:id="321"/>
      <w:bookmarkEnd w:id="322"/>
      <w:bookmarkEnd w:id="323"/>
      <w:bookmarkEnd w:id="324"/>
      <w:bookmarkEnd w:id="325"/>
      <w:bookmarkEnd w:id="326"/>
      <w:bookmarkEnd w:id="327"/>
      <w:bookmarkEnd w:id="328"/>
      <w:bookmarkEnd w:id="329"/>
      <w:bookmarkEnd w:id="330"/>
    </w:p>
    <w:p w14:paraId="61B7D267" w14:textId="77777777" w:rsidR="00A10623" w:rsidRPr="00B916EC" w:rsidRDefault="00A10623" w:rsidP="00A10623">
      <w:r w:rsidRPr="00B916EC">
        <w:t>Prior to initiation of the physical random access procedure, Layer 1 receive</w:t>
      </w:r>
      <w:r w:rsidR="005B74DE">
        <w:t>s</w:t>
      </w:r>
      <w:r w:rsidRPr="00B916EC">
        <w:t xml:space="preserve"> from higher layers a set of SS/PBCH block indexes and provide</w:t>
      </w:r>
      <w:r w:rsidR="005B74DE">
        <w:t>s</w:t>
      </w:r>
      <w:r w:rsidRPr="00B916EC">
        <w:t xml:space="preserve"> to higher layers a corresponding set of RSRP measurements.</w:t>
      </w:r>
    </w:p>
    <w:p w14:paraId="640F98A6" w14:textId="029C8CD0" w:rsidR="003D050B" w:rsidRPr="00B916EC" w:rsidRDefault="003D050B" w:rsidP="003D050B">
      <w:r w:rsidRPr="00B916EC">
        <w:t xml:space="preserve">Prior to initiation of the physical random access procedure, Layer 1 </w:t>
      </w:r>
      <w:r>
        <w:t xml:space="preserve">may </w:t>
      </w:r>
      <w:r w:rsidRPr="00B916EC">
        <w:t>receive from higher layers</w:t>
      </w:r>
      <w:r>
        <w:t xml:space="preserve"> an indication to perform a Type-1 random access procedure, as described </w:t>
      </w:r>
      <w:r w:rsidR="006F5F9E">
        <w:t>in clause</w:t>
      </w:r>
      <w:r>
        <w:t xml:space="preserve">s 8.1 through 8.4, or a Type-2 random access procedure as described </w:t>
      </w:r>
      <w:r w:rsidR="006F5F9E">
        <w:t>in clause</w:t>
      </w:r>
      <w:r w:rsidRPr="00043E5F">
        <w:t xml:space="preserve">s 8.1 </w:t>
      </w:r>
      <w:r>
        <w:t>through</w:t>
      </w:r>
      <w:r w:rsidRPr="00043E5F">
        <w:t xml:space="preserve"> 8.2A</w:t>
      </w:r>
      <w:r w:rsidRPr="00B916EC">
        <w:t>.</w:t>
      </w:r>
      <w:r>
        <w:t xml:space="preserve"> </w:t>
      </w:r>
    </w:p>
    <w:p w14:paraId="45601356" w14:textId="77777777" w:rsidR="00A10623" w:rsidRPr="00B916EC" w:rsidRDefault="00A10623" w:rsidP="00A10623">
      <w:r w:rsidRPr="00B916EC">
        <w:t>Prior to initiation of the physical random access procedure, Layer 1 receive</w:t>
      </w:r>
      <w:r w:rsidR="005B74DE">
        <w:t>s</w:t>
      </w:r>
      <w:r w:rsidRPr="00B916EC">
        <w:t xml:space="preserve"> the following information from the higher layers:</w:t>
      </w:r>
    </w:p>
    <w:p w14:paraId="11D2ADD3" w14:textId="77777777" w:rsidR="00A10623" w:rsidRPr="00B916EC" w:rsidRDefault="00B0145C" w:rsidP="00B0145C">
      <w:pPr>
        <w:pStyle w:val="B1"/>
      </w:pPr>
      <w:r>
        <w:t>-</w:t>
      </w:r>
      <w:r>
        <w:tab/>
      </w:r>
      <w:r w:rsidR="00A10623" w:rsidRPr="00B916EC">
        <w:t>Configuration of physical random access channel (PRACH) transmission parameters (PRACH preamble format, time resources, and frequency resources for PRACH transmission).</w:t>
      </w:r>
    </w:p>
    <w:p w14:paraId="5A633A7D" w14:textId="0EBFFA7C" w:rsidR="00A10623" w:rsidRPr="00B916EC" w:rsidRDefault="00B0145C" w:rsidP="00B0145C">
      <w:pPr>
        <w:pStyle w:val="B1"/>
      </w:pPr>
      <w:r>
        <w:t>-</w:t>
      </w:r>
      <w:r>
        <w:tab/>
      </w:r>
      <w:r w:rsidR="00A10623" w:rsidRPr="00B916EC">
        <w:t>Parameters for determining the root sequences and their cyclic shifts in the PRACH preamble sequence set (index to logical root sequence table, cyclic shift (</w:t>
      </w:r>
      <w:r w:rsidR="00ED3701">
        <w:rPr>
          <w:noProof/>
          <w:position w:val="-12"/>
        </w:rPr>
        <w:drawing>
          <wp:inline distT="0" distB="0" distL="0" distR="0" wp14:anchorId="664AE0FB" wp14:editId="667E1A33">
            <wp:extent cx="276225" cy="238125"/>
            <wp:effectExtent l="0" t="0" r="0" b="0"/>
            <wp:docPr id="113"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00A10623" w:rsidRPr="00B916EC">
        <w:t>), and set type (unrestricted</w:t>
      </w:r>
      <w:r w:rsidR="000E6D7D" w:rsidRPr="00B916EC">
        <w:t>,</w:t>
      </w:r>
      <w:r w:rsidR="00A10623" w:rsidRPr="00B916EC">
        <w:t xml:space="preserve"> restricted set</w:t>
      </w:r>
      <w:r w:rsidR="000E6D7D" w:rsidRPr="00B916EC">
        <w:t xml:space="preserve"> A, or restricted set B</w:t>
      </w:r>
      <w:r w:rsidR="00A10623" w:rsidRPr="00B916EC">
        <w:t>)).</w:t>
      </w:r>
    </w:p>
    <w:p w14:paraId="2BC7A826" w14:textId="77777777" w:rsidR="00A10623" w:rsidRPr="00B916EC" w:rsidRDefault="00A10623" w:rsidP="0009732E">
      <w:pPr>
        <w:rPr>
          <w:lang w:val="en-US"/>
        </w:rPr>
      </w:pPr>
      <w:r w:rsidRPr="00B916EC">
        <w:t xml:space="preserve">From the physical layer perspective, the </w:t>
      </w:r>
      <w:r w:rsidR="003D050B">
        <w:t xml:space="preserve">Type-1 </w:t>
      </w:r>
      <w:r w:rsidRPr="00B916EC">
        <w:t xml:space="preserve">L1 random access procedure </w:t>
      </w:r>
      <w:r w:rsidR="006F6E1D">
        <w:t>includes</w:t>
      </w:r>
      <w:r w:rsidRPr="00B916EC">
        <w:t xml:space="preserve"> the transmission of random access preamble (Msg1) in a PRACH, random access response (RAR) </w:t>
      </w:r>
      <w:r w:rsidR="005D3B74">
        <w:rPr>
          <w:lang w:val="en-US"/>
        </w:rPr>
        <w:t>message with</w:t>
      </w:r>
      <w:r w:rsidRPr="00B916EC">
        <w:t xml:space="preserve"> a </w:t>
      </w:r>
      <w:r w:rsidR="005D3B74">
        <w:rPr>
          <w:lang w:val="en-US"/>
        </w:rPr>
        <w:t>PDCCH/</w:t>
      </w:r>
      <w:r w:rsidRPr="00B916EC">
        <w:t xml:space="preserve">PDSCH (Msg2), </w:t>
      </w:r>
      <w:r w:rsidR="005D3B74">
        <w:rPr>
          <w:lang w:val="en-US"/>
        </w:rPr>
        <w:t xml:space="preserve">and when applicable, the transmission of </w:t>
      </w:r>
      <w:r w:rsidR="00754D56">
        <w:t>a</w:t>
      </w:r>
      <w:r w:rsidR="00754D56" w:rsidRPr="00B916EC">
        <w:t xml:space="preserve"> </w:t>
      </w:r>
      <w:r w:rsidRPr="00B916EC">
        <w:t>PUSCH</w:t>
      </w:r>
      <w:r w:rsidR="00754D56">
        <w:t xml:space="preserve"> scheduled by a RAR UL grant</w:t>
      </w:r>
      <w:r w:rsidRPr="00B916EC">
        <w:t>, and PDSCH</w:t>
      </w:r>
      <w:r w:rsidR="006F131B" w:rsidRPr="00B916EC">
        <w:rPr>
          <w:lang w:val="en-US"/>
        </w:rPr>
        <w:t xml:space="preserve"> for contention resolution</w:t>
      </w:r>
      <w:r w:rsidRPr="00B916EC">
        <w:t>.</w:t>
      </w:r>
    </w:p>
    <w:p w14:paraId="258A925F" w14:textId="6450A14F" w:rsidR="003D050B" w:rsidRDefault="003D050B" w:rsidP="0009732E">
      <w:r w:rsidRPr="00B916EC">
        <w:t xml:space="preserve">From the physical layer perspective, the </w:t>
      </w:r>
      <w:r>
        <w:t xml:space="preserve">Type-2 </w:t>
      </w:r>
      <w:r w:rsidRPr="00B916EC">
        <w:t xml:space="preserve">L1 random access procedure </w:t>
      </w:r>
      <w:r>
        <w:t>includes</w:t>
      </w:r>
      <w:r w:rsidRPr="00B916EC">
        <w:t xml:space="preserve"> the transmission</w:t>
      </w:r>
      <w:r>
        <w:t xml:space="preserve"> of random access preamble</w:t>
      </w:r>
      <w:r w:rsidRPr="00B916EC">
        <w:t xml:space="preserve"> in a PRACH</w:t>
      </w:r>
      <w:r>
        <w:t xml:space="preserve"> and of a PUSCH (MsgA) and the reception of a RAR</w:t>
      </w:r>
      <w:r w:rsidRPr="00B916EC">
        <w:t xml:space="preserve"> </w:t>
      </w:r>
      <w:r>
        <w:rPr>
          <w:lang w:val="en-US"/>
        </w:rPr>
        <w:t>message with</w:t>
      </w:r>
      <w:r w:rsidRPr="00B916EC">
        <w:t xml:space="preserve"> a </w:t>
      </w:r>
      <w:r>
        <w:rPr>
          <w:lang w:val="en-US"/>
        </w:rPr>
        <w:t>PDCCH/</w:t>
      </w:r>
      <w:r>
        <w:t xml:space="preserve">PDSCH (MsgB), </w:t>
      </w:r>
      <w:r>
        <w:rPr>
          <w:lang w:val="en-US"/>
        </w:rPr>
        <w:t xml:space="preserve">and when applicable, the transmission of </w:t>
      </w:r>
      <w:r>
        <w:t>a</w:t>
      </w:r>
      <w:r w:rsidRPr="00B916EC">
        <w:t xml:space="preserve"> PUSCH</w:t>
      </w:r>
      <w:r>
        <w:t xml:space="preserve"> scheduled by a </w:t>
      </w:r>
      <w:r w:rsidR="002A779A">
        <w:t xml:space="preserve">fallback </w:t>
      </w:r>
      <w:r>
        <w:t>RAR UL grant</w:t>
      </w:r>
      <w:r w:rsidRPr="00B916EC">
        <w:t>, and PDSCH</w:t>
      </w:r>
      <w:r w:rsidRPr="00B916EC">
        <w:rPr>
          <w:lang w:val="en-US"/>
        </w:rPr>
        <w:t xml:space="preserve"> for contention resolution</w:t>
      </w:r>
      <w:r w:rsidRPr="00B916EC">
        <w:t>.</w:t>
      </w:r>
    </w:p>
    <w:p w14:paraId="501E14D0" w14:textId="77777777" w:rsidR="001B0C7D" w:rsidRPr="00B916EC" w:rsidRDefault="001B0C7D" w:rsidP="0009732E">
      <w:pPr>
        <w:rPr>
          <w:lang w:val="en-US"/>
        </w:rPr>
      </w:pPr>
      <w:r w:rsidRPr="00B916EC">
        <w:rPr>
          <w:rFonts w:hint="eastAsia"/>
        </w:rPr>
        <w:t>I</w:t>
      </w:r>
      <w:r w:rsidRPr="00B916EC">
        <w:rPr>
          <w:rFonts w:eastAsia="MS Mincho"/>
          <w:lang w:val="en-US"/>
        </w:rPr>
        <w:t xml:space="preserve">f </w:t>
      </w:r>
      <w:r w:rsidRPr="00B916EC">
        <w:rPr>
          <w:rFonts w:eastAsia="MS Mincho"/>
        </w:rPr>
        <w:t>a</w:t>
      </w:r>
      <w:r w:rsidRPr="00B916EC">
        <w:rPr>
          <w:rFonts w:eastAsia="MS Mincho" w:hint="eastAsia"/>
        </w:rPr>
        <w:t xml:space="preserve"> </w:t>
      </w:r>
      <w:r w:rsidRPr="00B916EC">
        <w:t>random access procedure</w:t>
      </w:r>
      <w:r w:rsidRPr="00B916EC">
        <w:rPr>
          <w:rFonts w:eastAsia="MS Mincho" w:hint="eastAsia"/>
        </w:rPr>
        <w:t xml:space="preserve"> is </w:t>
      </w:r>
      <w:r w:rsidRPr="00B916EC">
        <w:rPr>
          <w:rFonts w:eastAsia="MS Mincho"/>
          <w:sz w:val="19"/>
          <w:szCs w:val="19"/>
        </w:rPr>
        <w:t>initiated by a</w:t>
      </w:r>
      <w:r w:rsidRPr="00B916EC">
        <w:rPr>
          <w:rFonts w:eastAsia="MS Mincho" w:hint="eastAsia"/>
          <w:sz w:val="19"/>
          <w:szCs w:val="19"/>
        </w:rPr>
        <w:t xml:space="preserve"> </w:t>
      </w:r>
      <w:r w:rsidRPr="00B916EC">
        <w:rPr>
          <w:rFonts w:hint="eastAsia"/>
        </w:rPr>
        <w:t xml:space="preserve">PDCCH </w:t>
      </w:r>
      <w:r w:rsidRPr="00B916EC">
        <w:t>order</w:t>
      </w:r>
      <w:r w:rsidR="000C122D" w:rsidRPr="00B916EC">
        <w:rPr>
          <w:lang w:val="en-US"/>
        </w:rPr>
        <w:t xml:space="preserve"> to </w:t>
      </w:r>
      <w:r w:rsidR="00A90692" w:rsidRPr="00B916EC">
        <w:rPr>
          <w:lang w:val="en-US"/>
        </w:rPr>
        <w:t>the</w:t>
      </w:r>
      <w:r w:rsidR="000C122D" w:rsidRPr="00B916EC">
        <w:rPr>
          <w:lang w:val="en-US"/>
        </w:rPr>
        <w:t xml:space="preserve"> UE</w:t>
      </w:r>
      <w:r w:rsidRPr="00B916EC">
        <w:rPr>
          <w:lang w:val="en-US"/>
        </w:rPr>
        <w:t xml:space="preserve">, </w:t>
      </w:r>
      <w:r w:rsidR="000C122D" w:rsidRPr="00B916EC">
        <w:rPr>
          <w:lang w:val="en-US"/>
        </w:rPr>
        <w:t xml:space="preserve">a </w:t>
      </w:r>
      <w:r w:rsidR="006F6E1D">
        <w:rPr>
          <w:lang w:val="en-US"/>
        </w:rPr>
        <w:t>PRACH</w:t>
      </w:r>
      <w:r w:rsidR="000C122D" w:rsidRPr="00B916EC">
        <w:rPr>
          <w:lang w:val="en-US"/>
        </w:rPr>
        <w:t xml:space="preserve"> transmission is with a same </w:t>
      </w:r>
      <w:r w:rsidR="00143099">
        <w:rPr>
          <w:lang w:val="en-US"/>
        </w:rPr>
        <w:t>SCS</w:t>
      </w:r>
      <w:r w:rsidR="000C122D" w:rsidRPr="00B916EC">
        <w:rPr>
          <w:lang w:val="en-US"/>
        </w:rPr>
        <w:t xml:space="preserve"> as a </w:t>
      </w:r>
      <w:r w:rsidR="006F6E1D">
        <w:rPr>
          <w:lang w:val="en-US"/>
        </w:rPr>
        <w:t>PRACH</w:t>
      </w:r>
      <w:r w:rsidR="000C122D" w:rsidRPr="00B916EC">
        <w:rPr>
          <w:lang w:val="en-US"/>
        </w:rPr>
        <w:t xml:space="preserve"> transmission initiated by higher layers.</w:t>
      </w:r>
    </w:p>
    <w:p w14:paraId="2D114249" w14:textId="77777777" w:rsidR="00CA2FEF" w:rsidRPr="00B916EC" w:rsidRDefault="00A90692" w:rsidP="00A90692">
      <w:pPr>
        <w:rPr>
          <w:rFonts w:eastAsia="MS Mincho"/>
        </w:rPr>
      </w:pPr>
      <w:r w:rsidRPr="00B916EC">
        <w:rPr>
          <w:rFonts w:eastAsia="MS Mincho"/>
        </w:rPr>
        <w:t xml:space="preserve">If a </w:t>
      </w:r>
      <w:r w:rsidRPr="00B916EC">
        <w:rPr>
          <w:lang w:val="en-US"/>
        </w:rPr>
        <w:t xml:space="preserve">UE is configured with two UL carriers for a serving cell and the UE detects a PDCCH order, the UE uses the UL/SUL indicator field value from the detected PDCCH order to determine the UL carrier for the corresponding </w:t>
      </w:r>
      <w:r w:rsidR="006F6E1D">
        <w:rPr>
          <w:lang w:val="en-US"/>
        </w:rPr>
        <w:t>PRACH</w:t>
      </w:r>
      <w:r w:rsidRPr="00B916EC">
        <w:rPr>
          <w:lang w:val="en-US"/>
        </w:rPr>
        <w:t xml:space="preserve"> transmission</w:t>
      </w:r>
      <w:r w:rsidRPr="00B916EC">
        <w:rPr>
          <w:rFonts w:eastAsia="MS Mincho"/>
        </w:rPr>
        <w:t>.</w:t>
      </w:r>
    </w:p>
    <w:p w14:paraId="0A28B261" w14:textId="77777777" w:rsidR="00A10623" w:rsidRPr="00B916EC" w:rsidRDefault="00A10623" w:rsidP="00A10623">
      <w:pPr>
        <w:pStyle w:val="Heading2"/>
        <w:ind w:left="850" w:hanging="850"/>
      </w:pPr>
      <w:bookmarkStart w:id="331" w:name="_Ref491452917"/>
      <w:bookmarkStart w:id="332" w:name="_Toc12021462"/>
      <w:bookmarkStart w:id="333" w:name="_Toc20311574"/>
      <w:bookmarkStart w:id="334" w:name="_Toc26719399"/>
      <w:bookmarkStart w:id="335" w:name="_Toc29894830"/>
      <w:bookmarkStart w:id="336" w:name="_Toc29899129"/>
      <w:bookmarkStart w:id="337" w:name="_Toc29899547"/>
      <w:bookmarkStart w:id="338" w:name="_Toc29917284"/>
      <w:bookmarkStart w:id="339" w:name="_Toc36498158"/>
      <w:bookmarkStart w:id="340" w:name="_Toc45699184"/>
      <w:bookmarkStart w:id="341" w:name="_Toc161999109"/>
      <w:r w:rsidRPr="00B916EC">
        <w:t>8</w:t>
      </w:r>
      <w:r w:rsidRPr="00B916EC">
        <w:rPr>
          <w:rFonts w:hint="eastAsia"/>
        </w:rPr>
        <w:t>.1</w:t>
      </w:r>
      <w:r w:rsidR="007D5A3F">
        <w:rPr>
          <w:rFonts w:hint="eastAsia"/>
        </w:rPr>
        <w:tab/>
      </w:r>
      <w:r w:rsidRPr="00B916EC">
        <w:t>Random access preamble</w:t>
      </w:r>
      <w:bookmarkEnd w:id="331"/>
      <w:bookmarkEnd w:id="332"/>
      <w:bookmarkEnd w:id="333"/>
      <w:bookmarkEnd w:id="334"/>
      <w:bookmarkEnd w:id="335"/>
      <w:bookmarkEnd w:id="336"/>
      <w:bookmarkEnd w:id="337"/>
      <w:bookmarkEnd w:id="338"/>
      <w:bookmarkEnd w:id="339"/>
      <w:bookmarkEnd w:id="340"/>
      <w:bookmarkEnd w:id="341"/>
    </w:p>
    <w:p w14:paraId="564FEE22" w14:textId="7119C79A" w:rsidR="00A10623" w:rsidRPr="00B916EC" w:rsidRDefault="005D3B74" w:rsidP="008E4A20">
      <w:pPr>
        <w:rPr>
          <w:lang w:val="en-US"/>
        </w:rPr>
      </w:pPr>
      <w:r>
        <w:t>Physical random access</w:t>
      </w:r>
      <w:r w:rsidR="00A10623" w:rsidRPr="00B916EC">
        <w:t xml:space="preserve"> procedure</w:t>
      </w:r>
      <w:r w:rsidR="00376B88">
        <w:t xml:space="preserve"> for a UE</w:t>
      </w:r>
      <w:r w:rsidR="00A10623" w:rsidRPr="00B916EC">
        <w:t xml:space="preserve"> is triggered upon request of a </w:t>
      </w:r>
      <w:r w:rsidR="00A10623" w:rsidRPr="00B916EC">
        <w:rPr>
          <w:lang w:val="en-US"/>
        </w:rPr>
        <w:t>PRACH</w:t>
      </w:r>
      <w:r w:rsidR="00A10623" w:rsidRPr="00B916EC">
        <w:t xml:space="preserve"> transmission by higher layers</w:t>
      </w:r>
      <w:r>
        <w:t xml:space="preserve"> or by a PDCCH order</w:t>
      </w:r>
      <w:r w:rsidR="00290476">
        <w:t xml:space="preserve"> for a cell</w:t>
      </w:r>
      <w:r w:rsidR="00A10623" w:rsidRPr="00B916EC">
        <w:t xml:space="preserve">. </w:t>
      </w:r>
      <w:r w:rsidR="00A10623" w:rsidRPr="00B916EC">
        <w:rPr>
          <w:lang w:val="en-US"/>
        </w:rPr>
        <w:t xml:space="preserve">A configuration by higher layers for a PRACH transmission </w:t>
      </w:r>
      <w:r w:rsidR="00A10623" w:rsidRPr="00B916EC">
        <w:t>includes the following:</w:t>
      </w:r>
      <w:r w:rsidR="00211D5C" w:rsidRPr="00B916EC">
        <w:t xml:space="preserve"> </w:t>
      </w:r>
    </w:p>
    <w:p w14:paraId="536F5F59" w14:textId="66262961" w:rsidR="00A10623" w:rsidRPr="00B916EC" w:rsidRDefault="00B0145C" w:rsidP="00B0145C">
      <w:pPr>
        <w:pStyle w:val="B1"/>
      </w:pPr>
      <w:r>
        <w:t>-</w:t>
      </w:r>
      <w:r>
        <w:tab/>
      </w:r>
      <w:r w:rsidR="00A10623" w:rsidRPr="00B916EC">
        <w:t>A configuration for PRACH transmission</w:t>
      </w:r>
      <w:r w:rsidR="005F4AE0">
        <w:t xml:space="preserve"> on the cell</w:t>
      </w:r>
      <w:r w:rsidR="00A10623" w:rsidRPr="00B916EC">
        <w:t xml:space="preserve"> [4, TS 38.211].</w:t>
      </w:r>
      <w:r w:rsidR="007D5A3F">
        <w:t xml:space="preserve"> </w:t>
      </w:r>
    </w:p>
    <w:p w14:paraId="72A9C0BB" w14:textId="20566519" w:rsidR="004107BC" w:rsidRDefault="00B0145C" w:rsidP="004107BC">
      <w:pPr>
        <w:pStyle w:val="B1"/>
      </w:pPr>
      <w:r>
        <w:t>-</w:t>
      </w:r>
      <w:r>
        <w:tab/>
      </w:r>
      <w:r w:rsidR="00A10623" w:rsidRPr="00B916EC">
        <w:t xml:space="preserve">A preamble index, a </w:t>
      </w:r>
      <w:r w:rsidR="00540ED7">
        <w:t xml:space="preserve">preamble </w:t>
      </w:r>
      <w:r w:rsidR="00143099">
        <w:t>SCS</w:t>
      </w:r>
      <w:r w:rsidR="00A10623" w:rsidRPr="00B916EC">
        <w:t xml:space="preserve">, </w:t>
      </w:r>
      <m:oMath>
        <m:sSub>
          <m:sSubPr>
            <m:ctrlPr>
              <w:rPr>
                <w:rFonts w:ascii="Cambria Math" w:hAnsi="Cambria Math"/>
                <w:i/>
              </w:rPr>
            </m:ctrlPr>
          </m:sSubPr>
          <m:e>
            <m:r>
              <w:rPr>
                <w:rFonts w:ascii="Cambria Math" w:hAnsi="Cambria Math"/>
              </w:rPr>
              <m:t>P</m:t>
            </m:r>
          </m:e>
          <m:sub>
            <m:r>
              <m:rPr>
                <m:sty m:val="p"/>
              </m:rPr>
              <w:rPr>
                <w:rFonts w:ascii="Cambria Math" w:hAnsi="Cambria Math"/>
              </w:rPr>
              <m:t>PRACH,target</m:t>
            </m:r>
          </m:sub>
        </m:sSub>
      </m:oMath>
      <w:r w:rsidR="004107BC" w:rsidRPr="00B916EC">
        <w:t>, a corresponding RA-RNTI</w:t>
      </w:r>
      <w:r w:rsidR="005F4AE0">
        <w:rPr>
          <w:lang w:val="en-GB"/>
        </w:rPr>
        <w:t xml:space="preserve"> </w:t>
      </w:r>
      <w:r w:rsidR="005F4AE0">
        <w:t>when applicable [11, TS 38.321]</w:t>
      </w:r>
      <w:r w:rsidR="004107BC" w:rsidRPr="00B916EC">
        <w:t>, and a PRACH resource</w:t>
      </w:r>
      <w:r w:rsidR="005F4AE0">
        <w:rPr>
          <w:lang w:val="en-GB"/>
        </w:rPr>
        <w:t xml:space="preserve"> for the cell</w:t>
      </w:r>
      <w:r w:rsidR="004107BC" w:rsidRPr="00B916EC">
        <w:t xml:space="preserve">. </w:t>
      </w:r>
    </w:p>
    <w:p w14:paraId="5A786384" w14:textId="6C6F4721" w:rsidR="00376B88" w:rsidRPr="00376B88" w:rsidRDefault="00376B88" w:rsidP="00376B88">
      <w:pPr>
        <w:pStyle w:val="B1"/>
        <w:rPr>
          <w:lang w:val="en-GB"/>
        </w:rPr>
      </w:pPr>
      <w:r w:rsidRPr="00376B88">
        <w:t>-</w:t>
      </w:r>
      <w:r w:rsidRPr="00376B88">
        <w:tab/>
        <w:t xml:space="preserve">A number of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preamble</m:t>
            </m:r>
          </m:sub>
          <m:sup>
            <m:r>
              <m:rPr>
                <m:sty m:val="p"/>
              </m:rPr>
              <w:rPr>
                <w:rFonts w:ascii="Cambria Math" w:hAnsi="Cambria Math"/>
              </w:rPr>
              <m:t>rep</m:t>
            </m:r>
          </m:sup>
        </m:sSubSup>
        <m:r>
          <w:rPr>
            <w:rFonts w:ascii="Cambria Math" w:hAnsi="Cambria Math"/>
          </w:rPr>
          <m:t>&gt;1</m:t>
        </m:r>
      </m:oMath>
      <w:r w:rsidRPr="00376B88">
        <w:t xml:space="preserve"> preamble repetitions for the PRACH transmission if the UE would transmit the PRACH with repetitions. </w:t>
      </w:r>
    </w:p>
    <w:p w14:paraId="7553B93F" w14:textId="6AD99391" w:rsidR="004107BC" w:rsidRDefault="004107BC" w:rsidP="00D1272A">
      <w:pPr>
        <w:rPr>
          <w:lang w:val="en-US"/>
        </w:rPr>
      </w:pPr>
      <w:r w:rsidRPr="00B916EC">
        <w:rPr>
          <w:lang w:val="en-US"/>
        </w:rPr>
        <w:t>A</w:t>
      </w:r>
      <w:r w:rsidRPr="00B916EC">
        <w:t xml:space="preserve"> </w:t>
      </w:r>
      <w:r w:rsidR="005F4AE0">
        <w:t xml:space="preserve">UE transmits a </w:t>
      </w:r>
      <w:r>
        <w:rPr>
          <w:lang w:val="en-US"/>
        </w:rPr>
        <w:t>PRACH</w:t>
      </w:r>
      <w:r w:rsidRPr="00B916EC">
        <w:t xml:space="preserve"> </w:t>
      </w:r>
      <w:r w:rsidR="005F4AE0">
        <w:t>on a cell</w:t>
      </w:r>
      <w:r w:rsidRPr="00B916EC">
        <w:t xml:space="preserve"> using the selected </w:t>
      </w:r>
      <w:r w:rsidRPr="00B916EC">
        <w:rPr>
          <w:lang w:val="en-US"/>
        </w:rPr>
        <w:t>PRACH format</w:t>
      </w:r>
      <w:r w:rsidRPr="00B916EC">
        <w:t xml:space="preserve"> with transmission power </w:t>
      </w:r>
      <m:oMath>
        <m:sSub>
          <m:sSubPr>
            <m:ctrlPr>
              <w:rPr>
                <w:rFonts w:ascii="Cambria Math" w:hAnsi="Cambria Math"/>
                <w:i/>
                <w:lang w:val="x-none"/>
              </w:rPr>
            </m:ctrlPr>
          </m:sSubPr>
          <m:e>
            <m:r>
              <w:rPr>
                <w:rFonts w:ascii="Cambria Math" w:hAnsi="Cambria Math"/>
              </w:rPr>
              <m:t>P</m:t>
            </m:r>
          </m:e>
          <m:sub>
            <m:r>
              <m:rPr>
                <m:sty m:val="p"/>
              </m:rPr>
              <w:rPr>
                <w:rFonts w:ascii="Cambria Math" w:hAnsi="Cambria Math"/>
              </w:rPr>
              <m:t>PRACH,</m:t>
            </m:r>
            <m:r>
              <w:rPr>
                <w:rFonts w:ascii="Cambria Math" w:hAnsi="Cambria Math"/>
              </w:rPr>
              <m:t>b,f,c</m:t>
            </m:r>
          </m:sub>
        </m:sSub>
        <m:r>
          <w:rPr>
            <w:rFonts w:ascii="Cambria Math" w:hAnsi="Cambria Math"/>
            <w:lang w:val="x-none"/>
          </w:rPr>
          <m:t>(i)</m:t>
        </m:r>
      </m:oMath>
      <w:r w:rsidRPr="00B916EC">
        <w:rPr>
          <w:lang w:val="en-US"/>
        </w:rPr>
        <w:t>,</w:t>
      </w:r>
      <w:r w:rsidRPr="00B916EC">
        <w:rPr>
          <w:vertAlign w:val="subscript"/>
        </w:rPr>
        <w:t xml:space="preserve"> </w:t>
      </w:r>
      <w:r w:rsidRPr="00B916EC">
        <w:t>as</w:t>
      </w:r>
      <w:r w:rsidRPr="00B916EC">
        <w:rPr>
          <w:lang w:val="en-US"/>
        </w:rPr>
        <w:t xml:space="preserve"> described </w:t>
      </w:r>
      <w:r w:rsidR="006F5F9E">
        <w:rPr>
          <w:lang w:val="en-US"/>
        </w:rPr>
        <w:t>in clause</w:t>
      </w:r>
      <w:r>
        <w:rPr>
          <w:lang w:val="en-US"/>
        </w:rPr>
        <w:t xml:space="preserve"> 7.4</w:t>
      </w:r>
      <w:r w:rsidRPr="00B916EC">
        <w:rPr>
          <w:lang w:val="en-US"/>
        </w:rPr>
        <w:t xml:space="preserve">, </w:t>
      </w:r>
      <w:r w:rsidRPr="00B916EC">
        <w:t>on the indicated PRACH resource</w:t>
      </w:r>
      <w:r w:rsidR="00376B88" w:rsidRPr="00F37CFF">
        <w:rPr>
          <w:kern w:val="2"/>
          <w:lang w:eastAsia="zh-CN"/>
        </w:rPr>
        <w:t xml:space="preserve"> </w:t>
      </w:r>
      <w:r w:rsidR="00376B88">
        <w:rPr>
          <w:kern w:val="2"/>
          <w:lang w:eastAsia="zh-CN"/>
        </w:rPr>
        <w:t xml:space="preserve">or on </w:t>
      </w:r>
      <w:r w:rsidR="00715C9F">
        <w:rPr>
          <w:kern w:val="2"/>
          <w:lang w:eastAsia="zh-CN"/>
        </w:rPr>
        <w:t xml:space="preserve">a </w:t>
      </w:r>
      <w:r w:rsidR="00376B88">
        <w:rPr>
          <w:kern w:val="2"/>
          <w:lang w:eastAsia="zh-CN"/>
        </w:rPr>
        <w:t>determined</w:t>
      </w:r>
      <w:r w:rsidR="00715C9F">
        <w:rPr>
          <w:kern w:val="2"/>
          <w:lang w:eastAsia="zh-CN"/>
        </w:rPr>
        <w:t xml:space="preserve"> </w:t>
      </w:r>
      <w:r w:rsidR="00715C9F" w:rsidRPr="0088381F">
        <w:rPr>
          <w:kern w:val="2"/>
          <w:lang w:eastAsia="zh-CN"/>
        </w:rPr>
        <w:t>set of</w:t>
      </w:r>
      <w:r w:rsidR="00376B88">
        <w:rPr>
          <w:kern w:val="2"/>
          <w:lang w:eastAsia="zh-CN"/>
        </w:rPr>
        <w:t xml:space="preserv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preamble</m:t>
            </m:r>
          </m:sub>
          <m:sup>
            <m:r>
              <m:rPr>
                <m:sty m:val="p"/>
              </m:rPr>
              <w:rPr>
                <w:rFonts w:ascii="Cambria Math" w:hAnsi="Cambria Math"/>
              </w:rPr>
              <m:t>rep</m:t>
            </m:r>
          </m:sup>
        </m:sSubSup>
      </m:oMath>
      <w:r w:rsidR="00376B88" w:rsidRPr="00FB0C34">
        <w:t xml:space="preserve"> </w:t>
      </w:r>
      <w:r w:rsidR="00376B88">
        <w:t>resources</w:t>
      </w:r>
      <w:r w:rsidR="00715C9F">
        <w:t xml:space="preserve"> </w:t>
      </w:r>
      <w:r w:rsidR="00715C9F" w:rsidRPr="0088381F">
        <w:t>using a same spatial filter</w:t>
      </w:r>
      <w:r w:rsidR="00376B88">
        <w:t xml:space="preserve"> in case of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preamble</m:t>
            </m:r>
          </m:sub>
          <m:sup>
            <m:r>
              <m:rPr>
                <m:sty m:val="p"/>
              </m:rPr>
              <w:rPr>
                <w:rFonts w:ascii="Cambria Math" w:hAnsi="Cambria Math"/>
              </w:rPr>
              <m:t>rep</m:t>
            </m:r>
          </m:sup>
        </m:sSubSup>
      </m:oMath>
      <w:r w:rsidR="00376B88">
        <w:t xml:space="preserve"> preamble </w:t>
      </w:r>
      <w:r w:rsidR="00376B88" w:rsidRPr="00FB0C34">
        <w:t>repetitions</w:t>
      </w:r>
      <w:r w:rsidRPr="00B916EC">
        <w:rPr>
          <w:lang w:val="en-US"/>
        </w:rPr>
        <w:t>.</w:t>
      </w:r>
    </w:p>
    <w:p w14:paraId="27F694B5" w14:textId="0DA69DDD" w:rsidR="003D050B" w:rsidRDefault="003D050B" w:rsidP="004107BC">
      <w:pPr>
        <w:spacing w:after="240"/>
      </w:pPr>
      <w:r>
        <w:rPr>
          <w:lang w:val="en-US"/>
        </w:rPr>
        <w:t>For Type-1 random access procedure, a</w:t>
      </w:r>
      <w:r w:rsidR="004107BC">
        <w:t xml:space="preserve"> UE is provided a number </w:t>
      </w:r>
      <m:oMath>
        <m:r>
          <w:rPr>
            <w:rFonts w:ascii="Cambria Math"/>
          </w:rPr>
          <m:t>N</m:t>
        </m:r>
      </m:oMath>
      <w:r w:rsidR="004107BC">
        <w:t xml:space="preserve"> of SS/PBCH block</w:t>
      </w:r>
      <w:r w:rsidR="00B052C4">
        <w:t xml:space="preserve"> indexe</w:t>
      </w:r>
      <w:r w:rsidR="004107BC">
        <w:t>s associated with</w:t>
      </w:r>
      <w:r w:rsidR="004107BC" w:rsidRPr="00A81FC3">
        <w:t xml:space="preserve"> one </w:t>
      </w:r>
      <w:r w:rsidR="004107BC">
        <w:t xml:space="preserve">PRACH occasion and a number </w:t>
      </w:r>
      <m:oMath>
        <m:r>
          <w:rPr>
            <w:rFonts w:ascii="Cambria Math"/>
          </w:rPr>
          <m:t>R</m:t>
        </m:r>
      </m:oMath>
      <w:r w:rsidR="004107BC">
        <w:t xml:space="preserve"> of contention based preambles per SS/PBCH </w:t>
      </w:r>
      <w:r w:rsidR="004107BC" w:rsidRPr="00162E2F">
        <w:t xml:space="preserve">block </w:t>
      </w:r>
      <w:r w:rsidR="00B052C4">
        <w:t xml:space="preserve">index </w:t>
      </w:r>
      <w:r w:rsidR="004107BC" w:rsidRPr="00162E2F">
        <w:t xml:space="preserve">per valid PRACH occasion by </w:t>
      </w:r>
      <w:r w:rsidR="004107BC" w:rsidRPr="00162E2F">
        <w:rPr>
          <w:i/>
        </w:rPr>
        <w:t>ssb-perRACH-OccasionAndCB-</w:t>
      </w:r>
      <w:r w:rsidR="004107BC" w:rsidRPr="00957952">
        <w:rPr>
          <w:i/>
        </w:rPr>
        <w:t>PreamblesPerSSB</w:t>
      </w:r>
      <w:r w:rsidR="004107BC" w:rsidRPr="00957952">
        <w:t xml:space="preserve">. </w:t>
      </w:r>
    </w:p>
    <w:p w14:paraId="39B3B01B" w14:textId="0E754209" w:rsidR="003D050B" w:rsidRDefault="003D050B" w:rsidP="003D050B">
      <w:r>
        <w:rPr>
          <w:lang w:val="en-US"/>
        </w:rPr>
        <w:t xml:space="preserve">For Type-2 random access procedure with common </w:t>
      </w:r>
      <w:r w:rsidR="00590F2D">
        <w:rPr>
          <w:lang w:val="en-US"/>
        </w:rPr>
        <w:t xml:space="preserve">configuration of </w:t>
      </w:r>
      <w:r>
        <w:rPr>
          <w:lang w:val="en-US"/>
        </w:rPr>
        <w:t>PRACH occasions with Type-1 random access procedure, a</w:t>
      </w:r>
      <w:r>
        <w:t xml:space="preserve"> UE is provided a number </w:t>
      </w:r>
      <m:oMath>
        <m:r>
          <w:rPr>
            <w:rFonts w:ascii="Cambria Math"/>
          </w:rPr>
          <m:t>N</m:t>
        </m:r>
      </m:oMath>
      <w:r>
        <w:t xml:space="preserve"> of SS/PBCH block </w:t>
      </w:r>
      <w:r w:rsidR="00B052C4">
        <w:t xml:space="preserve">indexes </w:t>
      </w:r>
      <w:r>
        <w:t>associated with</w:t>
      </w:r>
      <w:r w:rsidRPr="00A81FC3">
        <w:t xml:space="preserve"> one </w:t>
      </w:r>
      <w:r>
        <w:t xml:space="preserve">PRACH occasion by </w:t>
      </w:r>
      <w:r w:rsidRPr="00162E2F">
        <w:rPr>
          <w:i/>
        </w:rPr>
        <w:t>ssb-</w:t>
      </w:r>
      <w:r w:rsidRPr="00162E2F">
        <w:rPr>
          <w:i/>
        </w:rPr>
        <w:lastRenderedPageBreak/>
        <w:t>perRACH-OccasionAndCB-</w:t>
      </w:r>
      <w:r w:rsidRPr="00957952">
        <w:rPr>
          <w:i/>
        </w:rPr>
        <w:t>PreamblesPerSSB</w:t>
      </w:r>
      <w:r>
        <w:t xml:space="preserve"> and a number </w:t>
      </w:r>
      <m:oMath>
        <m:r>
          <w:rPr>
            <w:rFonts w:ascii="Cambria Math" w:hAnsi="Cambria Math"/>
          </w:rPr>
          <m:t>Q</m:t>
        </m:r>
      </m:oMath>
      <w:r>
        <w:t xml:space="preserve"> of contention based preambles per SS/PBCH </w:t>
      </w:r>
      <w:r w:rsidRPr="00162E2F">
        <w:t xml:space="preserve">block </w:t>
      </w:r>
      <w:r w:rsidR="00B052C4">
        <w:t xml:space="preserve">index </w:t>
      </w:r>
      <w:r w:rsidRPr="00162E2F">
        <w:t>per valid PRACH occasion by</w:t>
      </w:r>
      <w:r>
        <w:t xml:space="preserve"> </w:t>
      </w:r>
      <w:r w:rsidR="00F9791D" w:rsidRPr="00213624">
        <w:rPr>
          <w:i/>
        </w:rPr>
        <w:t>msgA-CB-PreamblesPerSSB-PerSharedRO</w:t>
      </w:r>
      <w:r>
        <w:rPr>
          <w:lang w:val="en-US"/>
        </w:rPr>
        <w:t xml:space="preserve">. </w:t>
      </w:r>
      <w:r w:rsidR="00590F2D" w:rsidRPr="009B2A9E">
        <w:rPr>
          <w:shd w:val="clear" w:color="auto" w:fill="FFFFFF"/>
        </w:rPr>
        <w:t>The PRACH transmission can be on a subset of PR</w:t>
      </w:r>
      <w:r w:rsidR="00590F2D">
        <w:rPr>
          <w:shd w:val="clear" w:color="auto" w:fill="FFFFFF"/>
        </w:rPr>
        <w:t xml:space="preserve">ACH occasions associated with a </w:t>
      </w:r>
      <w:r w:rsidR="00590F2D" w:rsidRPr="009B2A9E">
        <w:rPr>
          <w:shd w:val="clear" w:color="auto" w:fill="FFFFFF"/>
        </w:rPr>
        <w:t>same SS/PBCH block index</w:t>
      </w:r>
      <w:r w:rsidR="00590F2D">
        <w:rPr>
          <w:shd w:val="clear" w:color="auto" w:fill="FFFFFF"/>
        </w:rPr>
        <w:t xml:space="preserve"> </w:t>
      </w:r>
      <w:r w:rsidR="00F9791D" w:rsidRPr="00EE40A6">
        <w:rPr>
          <w:rFonts w:hint="eastAsia"/>
          <w:shd w:val="clear" w:color="auto" w:fill="FFFFFF"/>
          <w:lang w:eastAsia="zh-CN"/>
        </w:rPr>
        <w:t>within a</w:t>
      </w:r>
      <w:r w:rsidR="00F9791D">
        <w:rPr>
          <w:shd w:val="clear" w:color="auto" w:fill="FFFFFF"/>
          <w:lang w:eastAsia="zh-CN"/>
        </w:rPr>
        <w:t>n</w:t>
      </w:r>
      <w:r w:rsidR="00F9791D" w:rsidRPr="00EE40A6">
        <w:rPr>
          <w:rFonts w:hint="eastAsia"/>
          <w:shd w:val="clear" w:color="auto" w:fill="FFFFFF"/>
          <w:lang w:eastAsia="zh-CN"/>
        </w:rPr>
        <w:t xml:space="preserve"> SSB-RO mapping cycle</w:t>
      </w:r>
      <w:r w:rsidR="00F9791D" w:rsidRPr="00EE40A6">
        <w:rPr>
          <w:shd w:val="clear" w:color="auto" w:fill="FFFFFF"/>
        </w:rPr>
        <w:t xml:space="preserve"> </w:t>
      </w:r>
      <w:r w:rsidR="00590F2D" w:rsidRPr="009B2A9E">
        <w:rPr>
          <w:shd w:val="clear" w:color="auto" w:fill="FFFFFF"/>
        </w:rPr>
        <w:t>for a UE provided with a PRACH mask index by</w:t>
      </w:r>
      <w:r w:rsidR="00590F2D">
        <w:rPr>
          <w:shd w:val="clear" w:color="auto" w:fill="FFFFFF"/>
        </w:rPr>
        <w:t xml:space="preserve"> </w:t>
      </w:r>
      <w:r w:rsidR="00F9791D" w:rsidRPr="00213624">
        <w:rPr>
          <w:i/>
          <w:iCs/>
          <w:shd w:val="clear" w:color="auto" w:fill="FFFFFF"/>
        </w:rPr>
        <w:t>msgA-</w:t>
      </w:r>
      <w:r w:rsidR="00F9791D">
        <w:rPr>
          <w:i/>
          <w:iCs/>
          <w:shd w:val="clear" w:color="auto" w:fill="FFFFFF"/>
        </w:rPr>
        <w:t>SSB-S</w:t>
      </w:r>
      <w:r w:rsidR="00F9791D" w:rsidRPr="00213624">
        <w:rPr>
          <w:i/>
          <w:iCs/>
          <w:shd w:val="clear" w:color="auto" w:fill="FFFFFF"/>
        </w:rPr>
        <w:t>haredRO-MaskIndex</w:t>
      </w:r>
      <w:r w:rsidR="00590F2D">
        <w:rPr>
          <w:rStyle w:val="apple-converted-space"/>
          <w:shd w:val="clear" w:color="auto" w:fill="FFFFFF"/>
        </w:rPr>
        <w:t xml:space="preserve"> </w:t>
      </w:r>
      <w:r w:rsidR="00590F2D" w:rsidRPr="009B2A9E">
        <w:rPr>
          <w:shd w:val="clear" w:color="auto" w:fill="FFFFFF"/>
        </w:rPr>
        <w:t>according to [11, TS 38.321]</w:t>
      </w:r>
      <w:r>
        <w:t>.</w:t>
      </w:r>
    </w:p>
    <w:p w14:paraId="3D77D92B" w14:textId="43731762" w:rsidR="003D050B" w:rsidRPr="00651CCA" w:rsidRDefault="003D050B" w:rsidP="003D050B">
      <w:r>
        <w:rPr>
          <w:lang w:val="en-US"/>
        </w:rPr>
        <w:t xml:space="preserve">For Type-2 random access procedure with separate </w:t>
      </w:r>
      <w:r w:rsidR="00590F2D">
        <w:rPr>
          <w:lang w:val="en-US"/>
        </w:rPr>
        <w:t xml:space="preserve">configuration of </w:t>
      </w:r>
      <w:r>
        <w:rPr>
          <w:lang w:val="en-US"/>
        </w:rPr>
        <w:t>PRACH occasions with Type-1 random access procedure</w:t>
      </w:r>
      <w:r>
        <w:t xml:space="preserve">, </w:t>
      </w:r>
      <w:r>
        <w:rPr>
          <w:lang w:val="en-US"/>
        </w:rPr>
        <w:t>a</w:t>
      </w:r>
      <w:r>
        <w:t xml:space="preserve"> UE is provided a number </w:t>
      </w:r>
      <m:oMath>
        <m:r>
          <w:rPr>
            <w:rFonts w:ascii="Cambria Math"/>
          </w:rPr>
          <m:t>N</m:t>
        </m:r>
      </m:oMath>
      <w:r>
        <w:t xml:space="preserve"> of SS/PBCH block </w:t>
      </w:r>
      <w:r w:rsidR="00B052C4">
        <w:t xml:space="preserve">indexes </w:t>
      </w:r>
      <w:r>
        <w:t>associated with</w:t>
      </w:r>
      <w:r w:rsidRPr="00A81FC3">
        <w:t xml:space="preserve"> one </w:t>
      </w:r>
      <w:r>
        <w:t xml:space="preserve">PRACH occasion and a number </w:t>
      </w:r>
      <m:oMath>
        <m:r>
          <w:rPr>
            <w:rFonts w:ascii="Cambria Math"/>
          </w:rPr>
          <m:t>R</m:t>
        </m:r>
      </m:oMath>
      <w:r>
        <w:t xml:space="preserve"> of contention based preambles per SS/PBCH </w:t>
      </w:r>
      <w:r w:rsidRPr="00162E2F">
        <w:t xml:space="preserve">block </w:t>
      </w:r>
      <w:r w:rsidR="00B052C4">
        <w:t xml:space="preserve">index </w:t>
      </w:r>
      <w:r w:rsidRPr="00162E2F">
        <w:t>per valid PRACH occasion by</w:t>
      </w:r>
      <w:r>
        <w:t xml:space="preserve"> </w:t>
      </w:r>
      <w:r w:rsidR="00F9791D" w:rsidRPr="00A8094A">
        <w:rPr>
          <w:i/>
        </w:rPr>
        <w:t>msgA-SSB-PerRACH-OccasionAndCB-PreamblesPerSSB</w:t>
      </w:r>
      <w:r>
        <w:rPr>
          <w:iCs/>
        </w:rPr>
        <w:t xml:space="preserve"> when provided; otherwise, by </w:t>
      </w:r>
      <w:r w:rsidRPr="00B9288C">
        <w:rPr>
          <w:i/>
          <w:iCs/>
        </w:rPr>
        <w:t>ssb-perRACH-OccasionAndCB-PreamblesPerSSB</w:t>
      </w:r>
      <w:r>
        <w:t>.</w:t>
      </w:r>
    </w:p>
    <w:p w14:paraId="4A426946" w14:textId="77777777" w:rsidR="007B641C" w:rsidRPr="007B641C" w:rsidRDefault="007B641C" w:rsidP="007B641C">
      <w:pPr>
        <w:spacing w:line="259" w:lineRule="auto"/>
      </w:pPr>
      <w:r w:rsidRPr="007B641C">
        <w:t xml:space="preserve">For a random access procedure associated with a feature combination indicated by </w:t>
      </w:r>
      <w:r w:rsidRPr="007B641C">
        <w:rPr>
          <w:i/>
        </w:rPr>
        <w:t>FeatureCombinationPreambles</w:t>
      </w:r>
      <w:r w:rsidRPr="007B641C">
        <w:t xml:space="preserve">, </w:t>
      </w:r>
      <w:r w:rsidRPr="007B641C">
        <w:rPr>
          <w:lang w:val="en-US"/>
        </w:rPr>
        <w:t>a</w:t>
      </w:r>
      <w:r w:rsidRPr="007B641C">
        <w:t xml:space="preserve"> UE is provided a number </w:t>
      </w:r>
      <m:oMath>
        <m:r>
          <w:rPr>
            <w:rFonts w:ascii="Cambria Math"/>
          </w:rPr>
          <m:t>N</m:t>
        </m:r>
      </m:oMath>
      <w:r w:rsidRPr="007B641C">
        <w:t xml:space="preserve"> of SS/PBCH block indexes associated with one PRACH occasion by </w:t>
      </w:r>
      <w:r w:rsidRPr="007B641C">
        <w:rPr>
          <w:i/>
        </w:rPr>
        <w:t>ssb-perRACH-OccasionAndCB-PreamblesPerSSB</w:t>
      </w:r>
      <w:r w:rsidRPr="007B641C">
        <w:t xml:space="preserve"> or </w:t>
      </w:r>
      <w:r w:rsidRPr="007B641C">
        <w:rPr>
          <w:i/>
        </w:rPr>
        <w:t>msgA-SSB-PerRACH-OccasionAndCB-PreamblesPerSSB</w:t>
      </w:r>
      <w:r w:rsidRPr="007B641C">
        <w:rPr>
          <w:iCs/>
        </w:rPr>
        <w:t xml:space="preserve"> when provided </w:t>
      </w:r>
      <w:r w:rsidRPr="007B641C">
        <w:t xml:space="preserve">and a number </w:t>
      </w:r>
      <m:oMath>
        <m:r>
          <w:rPr>
            <w:rFonts w:ascii="Cambria Math"/>
          </w:rPr>
          <m:t>S</m:t>
        </m:r>
      </m:oMath>
      <w:r w:rsidRPr="007B641C">
        <w:t xml:space="preserve"> of contention based preambles per SS/PBCH block index per valid PRACH occasion by </w:t>
      </w:r>
      <w:r w:rsidRPr="007B641C">
        <w:rPr>
          <w:i/>
        </w:rPr>
        <w:t>startPreambleForThisPartition</w:t>
      </w:r>
      <w:r w:rsidRPr="007B641C">
        <w:t xml:space="preserve"> and </w:t>
      </w:r>
      <w:r w:rsidRPr="007B641C">
        <w:rPr>
          <w:rFonts w:hint="eastAsia"/>
          <w:i/>
          <w:lang w:eastAsia="zh-CN"/>
        </w:rPr>
        <w:t>n</w:t>
      </w:r>
      <w:r w:rsidRPr="007B641C">
        <w:rPr>
          <w:i/>
        </w:rPr>
        <w:t>umberOfPreamblesPerSSB-ForThisPartition</w:t>
      </w:r>
      <w:r w:rsidRPr="007B641C">
        <w:rPr>
          <w:lang w:val="en-US"/>
        </w:rPr>
        <w:t xml:space="preserve">. </w:t>
      </w:r>
      <w:r w:rsidRPr="007B641C">
        <w:rPr>
          <w:shd w:val="clear" w:color="auto" w:fill="FFFFFF"/>
        </w:rPr>
        <w:t xml:space="preserve">The PRACH transmission can be on a subset of PRACH occasions associated with a same SS/PBCH block index </w:t>
      </w:r>
      <w:r w:rsidRPr="007B641C">
        <w:rPr>
          <w:rFonts w:hint="eastAsia"/>
          <w:shd w:val="clear" w:color="auto" w:fill="FFFFFF"/>
          <w:lang w:eastAsia="zh-CN"/>
        </w:rPr>
        <w:t>within a</w:t>
      </w:r>
      <w:r w:rsidRPr="007B641C">
        <w:rPr>
          <w:shd w:val="clear" w:color="auto" w:fill="FFFFFF"/>
          <w:lang w:eastAsia="zh-CN"/>
        </w:rPr>
        <w:t>n</w:t>
      </w:r>
      <w:r w:rsidRPr="007B641C">
        <w:rPr>
          <w:rFonts w:hint="eastAsia"/>
          <w:shd w:val="clear" w:color="auto" w:fill="FFFFFF"/>
          <w:lang w:eastAsia="zh-CN"/>
        </w:rPr>
        <w:t xml:space="preserve"> SSB-RO mapping cycle</w:t>
      </w:r>
      <w:r w:rsidRPr="007B641C">
        <w:rPr>
          <w:shd w:val="clear" w:color="auto" w:fill="FFFFFF"/>
        </w:rPr>
        <w:t xml:space="preserve"> for a UE provided with a PRACH mask index by </w:t>
      </w:r>
      <w:r w:rsidRPr="007B641C">
        <w:rPr>
          <w:i/>
        </w:rPr>
        <w:t>ssb-SharedRO-MaskIndex</w:t>
      </w:r>
      <w:r w:rsidRPr="007B641C">
        <w:rPr>
          <w:shd w:val="clear" w:color="auto" w:fill="FFFFFF"/>
        </w:rPr>
        <w:t xml:space="preserve"> according to [11, TS 38.321]</w:t>
      </w:r>
      <w:r w:rsidRPr="007B641C">
        <w:t>.</w:t>
      </w:r>
    </w:p>
    <w:p w14:paraId="39D32CE6" w14:textId="3154D95A" w:rsidR="004107BC" w:rsidRDefault="00590F2D" w:rsidP="004107BC">
      <w:pPr>
        <w:spacing w:after="240"/>
      </w:pPr>
      <w:r>
        <w:rPr>
          <w:noProof/>
        </w:rPr>
        <w:t xml:space="preserve">For </w:t>
      </w:r>
      <w:r w:rsidRPr="00E80780">
        <w:rPr>
          <w:noProof/>
        </w:rPr>
        <w:t>Type-1 random access procedure, or for Type-2 random access procedure</w:t>
      </w:r>
      <w:r w:rsidRPr="00E80780">
        <w:t xml:space="preserve"> with separate </w:t>
      </w:r>
      <w:r>
        <w:t xml:space="preserve">configuration of </w:t>
      </w:r>
      <w:r w:rsidRPr="00E80780">
        <w:t xml:space="preserve">PRACH occasions </w:t>
      </w:r>
      <w:r>
        <w:t>from</w:t>
      </w:r>
      <w:r w:rsidRPr="00E80780">
        <w:t xml:space="preserve"> Type 1 random access procedure</w:t>
      </w:r>
      <w:r w:rsidRPr="00E80780">
        <w:rPr>
          <w:noProof/>
        </w:rPr>
        <w:t>,</w:t>
      </w:r>
      <w:r>
        <w:rPr>
          <w:noProof/>
        </w:rPr>
        <w:t xml:space="preserve"> </w:t>
      </w:r>
      <w:r>
        <w:t>i</w:t>
      </w:r>
      <w:r w:rsidRPr="00957952">
        <w:t xml:space="preserve">f </w:t>
      </w:r>
      <m:oMath>
        <m:r>
          <w:rPr>
            <w:rFonts w:ascii="Cambria Math"/>
          </w:rPr>
          <m:t>N&lt;1</m:t>
        </m:r>
      </m:oMath>
      <w:r w:rsidR="004107BC" w:rsidRPr="00957952">
        <w:t>, one SS/PBCH block</w:t>
      </w:r>
      <w:r w:rsidR="00B052C4" w:rsidRPr="00B052C4">
        <w:t xml:space="preserve"> </w:t>
      </w:r>
      <w:r w:rsidR="00B052C4">
        <w:t>index</w:t>
      </w:r>
      <w:r w:rsidR="004107BC" w:rsidRPr="00957952">
        <w:t xml:space="preserve"> is mapped to </w:t>
      </w:r>
      <m:oMath>
        <m:f>
          <m:fPr>
            <m:type m:val="lin"/>
            <m:ctrlPr>
              <w:rPr>
                <w:rFonts w:ascii="Cambria Math" w:hAnsi="Cambria Math"/>
                <w:i/>
              </w:rPr>
            </m:ctrlPr>
          </m:fPr>
          <m:num>
            <m:r>
              <w:rPr>
                <w:rFonts w:ascii="Cambria Math" w:hAnsi="Cambria Math"/>
              </w:rPr>
              <m:t>1</m:t>
            </m:r>
          </m:num>
          <m:den>
            <m:r>
              <w:rPr>
                <w:rFonts w:ascii="Cambria Math"/>
              </w:rPr>
              <m:t>N</m:t>
            </m:r>
          </m:den>
        </m:f>
      </m:oMath>
      <w:r w:rsidR="004107BC" w:rsidRPr="00957952">
        <w:t xml:space="preserve"> consecutive valid PRACH occasions </w:t>
      </w:r>
      <w:r w:rsidR="004107BC" w:rsidRPr="00957952">
        <w:rPr>
          <w:lang w:eastAsia="zh-CN"/>
        </w:rPr>
        <w:t xml:space="preserve">and </w:t>
      </w:r>
      <m:oMath>
        <m:r>
          <w:rPr>
            <w:rFonts w:ascii="Cambria Math" w:hAnsi="Cambria Math"/>
            <w:lang w:eastAsia="zh-CN"/>
          </w:rPr>
          <m:t>R</m:t>
        </m:r>
      </m:oMath>
      <w:r w:rsidR="004107BC">
        <w:rPr>
          <w:lang w:eastAsia="zh-CN"/>
        </w:rPr>
        <w:t xml:space="preserve"> </w:t>
      </w:r>
      <w:r w:rsidR="004107BC" w:rsidRPr="00957952">
        <w:rPr>
          <w:lang w:eastAsia="zh-CN"/>
        </w:rPr>
        <w:t>contention based preambles with consecutive indexes associated with</w:t>
      </w:r>
      <w:r w:rsidR="00ED1AD8">
        <w:rPr>
          <w:lang w:eastAsia="zh-CN"/>
        </w:rPr>
        <w:t xml:space="preserve"> the</w:t>
      </w:r>
      <w:r w:rsidR="004107BC" w:rsidRPr="00957952">
        <w:rPr>
          <w:lang w:eastAsia="zh-CN"/>
        </w:rPr>
        <w:t xml:space="preserve"> SS/PBCH block </w:t>
      </w:r>
      <w:r w:rsidR="00B052C4">
        <w:t xml:space="preserve">index </w:t>
      </w:r>
      <w:r w:rsidR="004107BC" w:rsidRPr="00957952">
        <w:rPr>
          <w:lang w:eastAsia="zh-CN"/>
        </w:rPr>
        <w:t>per valid PRACH occasion start from preamble index 0</w:t>
      </w:r>
      <w:r w:rsidR="004107BC" w:rsidRPr="00957952">
        <w:t xml:space="preserve">. If </w:t>
      </w:r>
      <m:oMath>
        <m:r>
          <w:rPr>
            <w:rFonts w:ascii="Cambria Math"/>
          </w:rPr>
          <m:t>N</m:t>
        </m:r>
        <m:r>
          <w:rPr>
            <w:rFonts w:ascii="Cambria Math" w:hAnsi="Cambria Math"/>
          </w:rPr>
          <m:t>≥</m:t>
        </m:r>
        <m:r>
          <w:rPr>
            <w:rFonts w:ascii="Cambria Math"/>
          </w:rPr>
          <m:t>1</m:t>
        </m:r>
      </m:oMath>
      <w:r w:rsidR="004107BC" w:rsidRPr="00957952">
        <w:t xml:space="preserve">, </w:t>
      </w:r>
      <m:oMath>
        <m:r>
          <w:rPr>
            <w:rFonts w:ascii="Cambria Math" w:hAnsi="Cambria Math"/>
            <w:lang w:eastAsia="zh-CN"/>
          </w:rPr>
          <m:t>R</m:t>
        </m:r>
      </m:oMath>
      <w:r w:rsidR="004107BC" w:rsidRPr="00957952">
        <w:t xml:space="preserve"> contention based preambles with consecutive indexes associated with SS/PBCH block</w:t>
      </w:r>
      <w:r w:rsidR="00B052C4" w:rsidRPr="00B052C4">
        <w:t xml:space="preserve"> </w:t>
      </w:r>
      <w:r w:rsidR="00B052C4">
        <w:t>index</w:t>
      </w:r>
      <w:r w:rsidR="004107BC" w:rsidRPr="00957952">
        <w:t xml:space="preserve"> </w:t>
      </w:r>
      <m:oMath>
        <m:r>
          <w:rPr>
            <w:rFonts w:ascii="Cambria Math" w:hAnsi="Cambria Math"/>
            <w:lang w:eastAsia="zh-CN"/>
          </w:rPr>
          <m:t>n</m:t>
        </m:r>
      </m:oMath>
      <w:r w:rsidRPr="00957952">
        <w:t xml:space="preserve">, </w:t>
      </w:r>
      <m:oMath>
        <m:r>
          <w:rPr>
            <w:rFonts w:ascii="Cambria Math" w:hAnsi="Cambria Math"/>
          </w:rPr>
          <m:t>0≤n≤N-1</m:t>
        </m:r>
      </m:oMath>
      <w:r w:rsidR="004107BC" w:rsidRPr="00957952">
        <w:t xml:space="preserve">, </w:t>
      </w:r>
      <w:r w:rsidR="004107BC" w:rsidRPr="00D61DB9">
        <w:t xml:space="preserve">per valid PRACH occasion start from preamble index </w:t>
      </w:r>
      <m:oMath>
        <m:r>
          <w:rPr>
            <w:rFonts w:ascii="Cambria Math" w:hAnsi="Cambria Math"/>
          </w:rPr>
          <m:t>n</m:t>
        </m:r>
        <m:f>
          <m:fPr>
            <m:type m:val="lin"/>
            <m:ctrlPr>
              <w:rPr>
                <w:rFonts w:ascii="Cambria Math" w:hAnsi="Cambria Math"/>
                <w:i/>
              </w:rPr>
            </m:ctrlPr>
          </m:fPr>
          <m:num>
            <m:sSubSup>
              <m:sSubSupPr>
                <m:ctrlPr>
                  <w:rPr>
                    <w:rFonts w:ascii="Cambria Math" w:hAnsi="Cambria Math"/>
                    <w:i/>
                  </w:rPr>
                </m:ctrlPr>
              </m:sSubSupPr>
              <m:e>
                <m:r>
                  <w:rPr>
                    <w:rFonts w:ascii="Cambria Math" w:hAnsi="Cambria Math"/>
                    <w:color w:val="000000" w:themeColor="text1"/>
                    <w:lang w:val="en-US"/>
                  </w:rPr>
                  <m:t>⋅</m:t>
                </m:r>
                <m:r>
                  <w:rPr>
                    <w:rFonts w:ascii="Cambria Math" w:hAnsi="Cambria Math"/>
                  </w:rPr>
                  <m:t>N</m:t>
                </m:r>
              </m:e>
              <m:sub>
                <m:r>
                  <m:rPr>
                    <m:sty m:val="p"/>
                  </m:rPr>
                  <w:rPr>
                    <w:rFonts w:ascii="Cambria Math" w:hAnsi="Cambria Math"/>
                  </w:rPr>
                  <m:t>preamble</m:t>
                </m:r>
              </m:sub>
              <m:sup>
                <m:r>
                  <m:rPr>
                    <m:sty m:val="p"/>
                  </m:rPr>
                  <w:rPr>
                    <w:rFonts w:ascii="Cambria Math" w:hAnsi="Cambria Math"/>
                  </w:rPr>
                  <m:t>total</m:t>
                </m:r>
              </m:sup>
            </m:sSubSup>
          </m:num>
          <m:den>
            <m:r>
              <w:rPr>
                <w:rFonts w:ascii="Cambria Math" w:hAnsi="Cambria Math"/>
              </w:rPr>
              <m:t>N</m:t>
            </m:r>
          </m:den>
        </m:f>
      </m:oMath>
      <w:r w:rsidR="004107BC" w:rsidRPr="00D61DB9">
        <w:t xml:space="preserve"> where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preamble</m:t>
            </m:r>
          </m:sub>
          <m:sup>
            <m:r>
              <m:rPr>
                <m:sty m:val="p"/>
              </m:rPr>
              <w:rPr>
                <w:rFonts w:ascii="Cambria Math" w:hAnsi="Cambria Math"/>
              </w:rPr>
              <m:t>total</m:t>
            </m:r>
          </m:sup>
        </m:sSubSup>
      </m:oMath>
      <w:r w:rsidR="004107BC" w:rsidRPr="00D61DB9">
        <w:t xml:space="preserve"> is provided by </w:t>
      </w:r>
      <w:r w:rsidR="004107BC" w:rsidRPr="00D61DB9">
        <w:rPr>
          <w:i/>
          <w:noProof/>
        </w:rPr>
        <w:t>totalNumberOfRA-Preambles</w:t>
      </w:r>
      <w:r w:rsidR="004107BC" w:rsidRPr="00D61DB9">
        <w:rPr>
          <w:noProof/>
        </w:rPr>
        <w:t xml:space="preserve"> </w:t>
      </w:r>
      <w:r w:rsidR="00C80D46" w:rsidRPr="00A75C17">
        <w:rPr>
          <w:noProof/>
        </w:rPr>
        <w:t xml:space="preserve">for Type-1 random access procedure, or by </w:t>
      </w:r>
      <w:r w:rsidR="00F9791D">
        <w:rPr>
          <w:i/>
          <w:noProof/>
        </w:rPr>
        <w:t>msgA-T</w:t>
      </w:r>
      <w:r w:rsidR="00F9791D" w:rsidRPr="00102730">
        <w:rPr>
          <w:i/>
          <w:noProof/>
        </w:rPr>
        <w:t>otalNumberOfRA-Preambles</w:t>
      </w:r>
      <w:r w:rsidR="00C80D46" w:rsidRPr="00A75C17">
        <w:rPr>
          <w:noProof/>
        </w:rPr>
        <w:t xml:space="preserve"> for Type-2 random access procedure</w:t>
      </w:r>
      <w:r w:rsidR="00C80D46" w:rsidRPr="00F55B60">
        <w:t xml:space="preserve"> </w:t>
      </w:r>
      <w:r w:rsidR="00C80D46" w:rsidRPr="00A75C17">
        <w:t xml:space="preserve">with separate </w:t>
      </w:r>
      <w:r>
        <w:t xml:space="preserve">configuration of </w:t>
      </w:r>
      <w:r w:rsidR="00C80D46" w:rsidRPr="00A75C17">
        <w:t>PRACH occasions from a Type 1 random access procedure</w:t>
      </w:r>
      <w:r w:rsidR="00C80D46" w:rsidRPr="00A75C17">
        <w:rPr>
          <w:noProof/>
        </w:rPr>
        <w:t xml:space="preserve">, </w:t>
      </w:r>
      <w:r w:rsidR="004107BC" w:rsidRPr="00D61DB9">
        <w:rPr>
          <w:noProof/>
        </w:rPr>
        <w:t xml:space="preserve">and is an integer multiple of </w:t>
      </w:r>
      <m:oMath>
        <m:r>
          <w:rPr>
            <w:rFonts w:ascii="Cambria Math"/>
          </w:rPr>
          <m:t>N</m:t>
        </m:r>
      </m:oMath>
      <w:r w:rsidR="004107BC" w:rsidRPr="00D61DB9">
        <w:t>.</w:t>
      </w:r>
      <w:r w:rsidR="004107BC" w:rsidRPr="004107BC">
        <w:t xml:space="preserve"> </w:t>
      </w:r>
    </w:p>
    <w:p w14:paraId="30D46D0B" w14:textId="72DF9608" w:rsidR="00590F2D" w:rsidRPr="0096235E" w:rsidRDefault="00590F2D" w:rsidP="00590F2D">
      <w:pPr>
        <w:spacing w:after="240"/>
      </w:pPr>
      <w:r w:rsidRPr="00E80780">
        <w:t xml:space="preserve">For Type-2 random access procedure with common </w:t>
      </w:r>
      <w:r>
        <w:t xml:space="preserve">configuration of </w:t>
      </w:r>
      <w:r w:rsidRPr="00E80780">
        <w:t xml:space="preserve">PRACH occasions with Type-1 random access procedure, if </w:t>
      </w:r>
      <m:oMath>
        <m:r>
          <w:rPr>
            <w:rFonts w:ascii="Cambria Math"/>
          </w:rPr>
          <m:t>N&lt;1</m:t>
        </m:r>
      </m:oMath>
      <w:r w:rsidRPr="00E80780">
        <w:t>, one SS/PBCH block</w:t>
      </w:r>
      <w:r w:rsidR="00B052C4" w:rsidRPr="00B052C4">
        <w:t xml:space="preserve"> </w:t>
      </w:r>
      <w:r w:rsidR="00B052C4">
        <w:t>index</w:t>
      </w:r>
      <w:r w:rsidRPr="00E80780">
        <w:t xml:space="preserve"> is mapped to </w:t>
      </w:r>
      <m:oMath>
        <m:f>
          <m:fPr>
            <m:type m:val="lin"/>
            <m:ctrlPr>
              <w:rPr>
                <w:rFonts w:ascii="Cambria Math" w:hAnsi="Cambria Math"/>
                <w:i/>
              </w:rPr>
            </m:ctrlPr>
          </m:fPr>
          <m:num>
            <m:r>
              <w:rPr>
                <w:rFonts w:ascii="Cambria Math" w:hAnsi="Cambria Math"/>
              </w:rPr>
              <m:t>1</m:t>
            </m:r>
          </m:num>
          <m:den>
            <m:r>
              <w:rPr>
                <w:rFonts w:ascii="Cambria Math"/>
              </w:rPr>
              <m:t>N</m:t>
            </m:r>
          </m:den>
        </m:f>
      </m:oMath>
      <w:r w:rsidRPr="00E80780">
        <w:t xml:space="preserve"> consecutive valid PRACH occasions and </w:t>
      </w:r>
      <m:oMath>
        <m:r>
          <w:rPr>
            <w:rFonts w:ascii="Cambria Math"/>
          </w:rPr>
          <m:t>Q</m:t>
        </m:r>
      </m:oMath>
      <w:r w:rsidRPr="00E80780">
        <w:t xml:space="preserve"> contention based preambles with consecutive indexes associated with the SS/PBCH block </w:t>
      </w:r>
      <w:r w:rsidR="00B052C4">
        <w:t xml:space="preserve">index </w:t>
      </w:r>
      <w:r w:rsidRPr="00E80780">
        <w:t xml:space="preserve">per valid PRACH occasion start from preamble index </w:t>
      </w:r>
      <m:oMath>
        <m:r>
          <w:rPr>
            <w:rFonts w:ascii="Cambria Math" w:hAnsi="Cambria Math"/>
            <w:lang w:eastAsia="zh-CN"/>
          </w:rPr>
          <m:t>R</m:t>
        </m:r>
      </m:oMath>
      <w:r w:rsidRPr="00E80780">
        <w:t xml:space="preserve">. If </w:t>
      </w:r>
      <m:oMath>
        <m:r>
          <w:rPr>
            <w:rFonts w:ascii="Cambria Math"/>
          </w:rPr>
          <m:t>N</m:t>
        </m:r>
        <m:r>
          <w:rPr>
            <w:rFonts w:ascii="Cambria Math" w:hAnsi="Cambria Math"/>
          </w:rPr>
          <m:t>≥</m:t>
        </m:r>
        <m:r>
          <w:rPr>
            <w:rFonts w:ascii="Cambria Math"/>
          </w:rPr>
          <m:t>1</m:t>
        </m:r>
      </m:oMath>
      <w:r w:rsidRPr="00E80780">
        <w:t xml:space="preserve">, </w:t>
      </w:r>
      <m:oMath>
        <m:r>
          <w:rPr>
            <w:rFonts w:ascii="Cambria Math"/>
          </w:rPr>
          <m:t>Q</m:t>
        </m:r>
      </m:oMath>
      <w:r w:rsidRPr="00E80780">
        <w:t xml:space="preserve"> contention based preambles with consecutive indexes associated with SS/PBCH block</w:t>
      </w:r>
      <w:r w:rsidR="00B052C4" w:rsidRPr="00B052C4">
        <w:t xml:space="preserve"> </w:t>
      </w:r>
      <w:r w:rsidR="00B052C4">
        <w:t>index</w:t>
      </w:r>
      <w:r w:rsidRPr="00957952">
        <w:t xml:space="preserve"> </w:t>
      </w:r>
      <m:oMath>
        <m:r>
          <w:rPr>
            <w:rFonts w:ascii="Cambria Math" w:hAnsi="Cambria Math"/>
            <w:lang w:eastAsia="zh-CN"/>
          </w:rPr>
          <m:t>n</m:t>
        </m:r>
      </m:oMath>
      <w:r w:rsidRPr="00957952">
        <w:t xml:space="preserve">, </w:t>
      </w:r>
      <m:oMath>
        <m:r>
          <w:rPr>
            <w:rFonts w:ascii="Cambria Math" w:hAnsi="Cambria Math"/>
          </w:rPr>
          <m:t>0≤n≤N-1</m:t>
        </m:r>
      </m:oMath>
      <w:r w:rsidRPr="00E80780">
        <w:t>, per valid PRACH occasion start from preamble index</w:t>
      </w:r>
      <w:r>
        <w:t xml:space="preserve"> </w:t>
      </w:r>
      <m:oMath>
        <m:r>
          <w:rPr>
            <w:rFonts w:ascii="Cambria Math" w:hAnsi="Cambria Math"/>
          </w:rPr>
          <m:t>n</m:t>
        </m:r>
        <m:f>
          <m:fPr>
            <m:type m:val="lin"/>
            <m:ctrlPr>
              <w:rPr>
                <w:rFonts w:ascii="Cambria Math" w:hAnsi="Cambria Math"/>
                <w:i/>
              </w:rPr>
            </m:ctrlPr>
          </m:fPr>
          <m:num>
            <m:sSubSup>
              <m:sSubSupPr>
                <m:ctrlPr>
                  <w:rPr>
                    <w:rFonts w:ascii="Cambria Math" w:hAnsi="Cambria Math"/>
                    <w:i/>
                  </w:rPr>
                </m:ctrlPr>
              </m:sSubSupPr>
              <m:e>
                <m:r>
                  <w:rPr>
                    <w:rFonts w:ascii="Cambria Math" w:hAnsi="Cambria Math"/>
                    <w:color w:val="000000" w:themeColor="text1"/>
                    <w:lang w:val="en-US"/>
                  </w:rPr>
                  <m:t>⋅</m:t>
                </m:r>
                <m:r>
                  <w:rPr>
                    <w:rFonts w:ascii="Cambria Math" w:hAnsi="Cambria Math"/>
                  </w:rPr>
                  <m:t>N</m:t>
                </m:r>
              </m:e>
              <m:sub>
                <m:r>
                  <m:rPr>
                    <m:sty m:val="p"/>
                  </m:rPr>
                  <w:rPr>
                    <w:rFonts w:ascii="Cambria Math" w:hAnsi="Cambria Math"/>
                  </w:rPr>
                  <m:t>preamble</m:t>
                </m:r>
              </m:sub>
              <m:sup>
                <m:r>
                  <m:rPr>
                    <m:sty m:val="p"/>
                  </m:rPr>
                  <w:rPr>
                    <w:rFonts w:ascii="Cambria Math" w:hAnsi="Cambria Math"/>
                  </w:rPr>
                  <m:t>total</m:t>
                </m:r>
              </m:sup>
            </m:sSubSup>
          </m:num>
          <m:den>
            <m:r>
              <w:rPr>
                <w:rFonts w:ascii="Cambria Math" w:hAnsi="Cambria Math"/>
              </w:rPr>
              <m:t>N</m:t>
            </m:r>
          </m:den>
        </m:f>
        <m:r>
          <w:rPr>
            <w:rFonts w:ascii="Cambria Math" w:hAnsi="Cambria Math"/>
          </w:rPr>
          <m:t>+R</m:t>
        </m:r>
      </m:oMath>
      <w:r>
        <w:t xml:space="preserve">, </w:t>
      </w:r>
      <w:r w:rsidRPr="00E80780">
        <w:t xml:space="preserve">where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preamble</m:t>
            </m:r>
          </m:sub>
          <m:sup>
            <m:r>
              <m:rPr>
                <m:sty m:val="p"/>
              </m:rPr>
              <w:rPr>
                <w:rFonts w:ascii="Cambria Math" w:hAnsi="Cambria Math"/>
              </w:rPr>
              <m:t>total</m:t>
            </m:r>
          </m:sup>
        </m:sSubSup>
      </m:oMath>
      <w:r w:rsidRPr="00E80780">
        <w:t xml:space="preserve"> is provided by </w:t>
      </w:r>
      <w:r w:rsidRPr="00E80780">
        <w:rPr>
          <w:i/>
          <w:noProof/>
        </w:rPr>
        <w:t>totalNumberOfRA-Preambles</w:t>
      </w:r>
      <w:r w:rsidRPr="00E80780">
        <w:rPr>
          <w:noProof/>
        </w:rPr>
        <w:t xml:space="preserve"> for Type-1 random access procedure</w:t>
      </w:r>
      <w:r w:rsidRPr="00E80780">
        <w:t>.</w:t>
      </w:r>
    </w:p>
    <w:p w14:paraId="756E4B11" w14:textId="3F487099" w:rsidR="004107BC" w:rsidRDefault="004107BC" w:rsidP="00FD51F2">
      <w:pPr>
        <w:spacing w:after="240"/>
      </w:pPr>
      <w:r w:rsidRPr="00395132">
        <w:rPr>
          <w:color w:val="000000"/>
        </w:rPr>
        <w:t xml:space="preserve">For </w:t>
      </w:r>
      <w:r>
        <w:rPr>
          <w:color w:val="000000"/>
        </w:rPr>
        <w:t xml:space="preserve">link recovery, a UE is provided </w:t>
      </w:r>
      <m:oMath>
        <m:r>
          <w:rPr>
            <w:rFonts w:ascii="Cambria Math"/>
          </w:rPr>
          <m:t>N</m:t>
        </m:r>
      </m:oMath>
      <w:r w:rsidRPr="00395132">
        <w:rPr>
          <w:color w:val="000000"/>
        </w:rPr>
        <w:t xml:space="preserve"> SS/PBCH block </w:t>
      </w:r>
      <w:r w:rsidR="00B052C4">
        <w:t xml:space="preserve">indexes </w:t>
      </w:r>
      <w:r w:rsidRPr="00395132">
        <w:rPr>
          <w:color w:val="000000"/>
        </w:rPr>
        <w:t xml:space="preserve">associated with one PRACH occasion by </w:t>
      </w:r>
      <w:r w:rsidRPr="00395132">
        <w:rPr>
          <w:i/>
          <w:iCs/>
          <w:color w:val="000000"/>
        </w:rPr>
        <w:t>ssb-perRACH-Occasion</w:t>
      </w:r>
      <w:r w:rsidRPr="00395132">
        <w:rPr>
          <w:color w:val="000000"/>
        </w:rPr>
        <w:t xml:space="preserve"> in </w:t>
      </w:r>
      <w:r w:rsidRPr="00395132">
        <w:rPr>
          <w:i/>
          <w:iCs/>
          <w:color w:val="000000"/>
        </w:rPr>
        <w:t>BeamFailureRecoveryConfig</w:t>
      </w:r>
      <w:r w:rsidRPr="00395132">
        <w:rPr>
          <w:color w:val="000000"/>
        </w:rPr>
        <w:t>.</w:t>
      </w:r>
      <w:r w:rsidR="001246F0">
        <w:rPr>
          <w:color w:val="000000"/>
        </w:rPr>
        <w:t xml:space="preserve"> </w:t>
      </w:r>
      <w:r w:rsidR="001246F0">
        <w:t xml:space="preserve">For a dedicated RACH configuration provided by </w:t>
      </w:r>
      <w:r w:rsidR="001246F0">
        <w:rPr>
          <w:i/>
        </w:rPr>
        <w:t>RACH-ConfigDedicated</w:t>
      </w:r>
      <w:r w:rsidR="001246F0">
        <w:t xml:space="preserve">, if </w:t>
      </w:r>
      <w:r w:rsidR="001246F0">
        <w:rPr>
          <w:i/>
        </w:rPr>
        <w:t>cfra</w:t>
      </w:r>
      <w:r w:rsidR="001246F0">
        <w:t xml:space="preserve"> is provided, </w:t>
      </w:r>
      <w:r w:rsidR="001246F0">
        <w:rPr>
          <w:color w:val="000000"/>
        </w:rPr>
        <w:t xml:space="preserve">a UE is provided </w:t>
      </w:r>
      <m:oMath>
        <m:r>
          <w:rPr>
            <w:rFonts w:ascii="Cambria Math"/>
          </w:rPr>
          <m:t>N</m:t>
        </m:r>
      </m:oMath>
      <w:r w:rsidR="001246F0">
        <w:rPr>
          <w:color w:val="000000"/>
        </w:rPr>
        <w:t xml:space="preserve"> SS/PBCH block </w:t>
      </w:r>
      <w:r w:rsidR="00B052C4">
        <w:t xml:space="preserve">indexes </w:t>
      </w:r>
      <w:r w:rsidR="001246F0">
        <w:rPr>
          <w:color w:val="000000"/>
        </w:rPr>
        <w:t xml:space="preserve">associated with one PRACH occasion by </w:t>
      </w:r>
      <w:r w:rsidR="001246F0">
        <w:rPr>
          <w:i/>
          <w:iCs/>
          <w:color w:val="000000"/>
        </w:rPr>
        <w:t>ssb-perRACH-Occasion</w:t>
      </w:r>
      <w:r w:rsidR="001246F0">
        <w:rPr>
          <w:color w:val="000000"/>
        </w:rPr>
        <w:t xml:space="preserve"> in </w:t>
      </w:r>
      <w:r w:rsidR="001246F0">
        <w:rPr>
          <w:i/>
          <w:iCs/>
          <w:color w:val="000000"/>
        </w:rPr>
        <w:t>occasions</w:t>
      </w:r>
      <w:r w:rsidR="001246F0">
        <w:rPr>
          <w:color w:val="000000"/>
        </w:rPr>
        <w:t>.</w:t>
      </w:r>
      <w:r w:rsidRPr="00395132">
        <w:rPr>
          <w:color w:val="000000"/>
        </w:rPr>
        <w:t xml:space="preserve"> If </w:t>
      </w:r>
      <m:oMath>
        <m:r>
          <w:rPr>
            <w:rFonts w:ascii="Cambria Math"/>
          </w:rPr>
          <m:t>N&lt;1</m:t>
        </m:r>
      </m:oMath>
      <w:r w:rsidRPr="00395132">
        <w:rPr>
          <w:color w:val="000000"/>
        </w:rPr>
        <w:t>, one SS/PBCH block</w:t>
      </w:r>
      <w:r w:rsidR="00B052C4" w:rsidRPr="00B052C4">
        <w:t xml:space="preserve"> </w:t>
      </w:r>
      <w:r w:rsidR="00B052C4">
        <w:t>index</w:t>
      </w:r>
      <w:r w:rsidRPr="00395132">
        <w:rPr>
          <w:color w:val="000000"/>
        </w:rPr>
        <w:t xml:space="preserve"> is mapped to </w:t>
      </w:r>
      <m:oMath>
        <m:f>
          <m:fPr>
            <m:type m:val="lin"/>
            <m:ctrlPr>
              <w:rPr>
                <w:rFonts w:ascii="Cambria Math" w:hAnsi="Cambria Math"/>
                <w:i/>
              </w:rPr>
            </m:ctrlPr>
          </m:fPr>
          <m:num>
            <m:r>
              <w:rPr>
                <w:rFonts w:ascii="Cambria Math" w:hAnsi="Cambria Math"/>
              </w:rPr>
              <m:t>1</m:t>
            </m:r>
          </m:num>
          <m:den>
            <m:r>
              <w:rPr>
                <w:rFonts w:ascii="Cambria Math"/>
              </w:rPr>
              <m:t>N</m:t>
            </m:r>
          </m:den>
        </m:f>
      </m:oMath>
      <w:r w:rsidR="003940AC">
        <w:rPr>
          <w:color w:val="000000"/>
        </w:rPr>
        <w:t xml:space="preserve"> </w:t>
      </w:r>
      <w:r w:rsidRPr="00395132">
        <w:rPr>
          <w:color w:val="000000"/>
        </w:rPr>
        <w:t>consecutive valid PRACH</w:t>
      </w:r>
      <w:r>
        <w:t xml:space="preserve"> occasions. If </w:t>
      </w:r>
      <m:oMath>
        <m:r>
          <w:rPr>
            <w:rFonts w:ascii="Cambria Math"/>
          </w:rPr>
          <m:t>N</m:t>
        </m:r>
        <m:r>
          <w:rPr>
            <w:rFonts w:ascii="Cambria Math" w:hAnsi="Cambria Math"/>
          </w:rPr>
          <m:t>≥</m:t>
        </m:r>
        <m:r>
          <w:rPr>
            <w:rFonts w:ascii="Cambria Math"/>
          </w:rPr>
          <m:t>1</m:t>
        </m:r>
      </m:oMath>
      <w:r>
        <w:t xml:space="preserve">, all consecutive </w:t>
      </w:r>
      <m:oMath>
        <m:r>
          <w:rPr>
            <w:rFonts w:ascii="Cambria Math"/>
          </w:rPr>
          <m:t>N</m:t>
        </m:r>
      </m:oMath>
      <w:r>
        <w:t xml:space="preserve"> SS/PBCH block </w:t>
      </w:r>
      <w:r w:rsidR="00B052C4">
        <w:t xml:space="preserve">indexes </w:t>
      </w:r>
      <w:r>
        <w:t xml:space="preserve">are associated with one PRACH occasion. </w:t>
      </w:r>
    </w:p>
    <w:p w14:paraId="2342D160" w14:textId="77777777" w:rsidR="005D3B74" w:rsidRDefault="005D3B74" w:rsidP="005D3B74">
      <w:pPr>
        <w:spacing w:after="240"/>
      </w:pPr>
      <w:r w:rsidRPr="00B916EC">
        <w:t>SS/PBCH block</w:t>
      </w:r>
      <w:r>
        <w:t xml:space="preserve"> indexes </w:t>
      </w:r>
      <w:r w:rsidR="00ED1AD8">
        <w:rPr>
          <w:rFonts w:hint="eastAsia"/>
          <w:lang w:eastAsia="zh-CN"/>
        </w:rPr>
        <w:t>provided by</w:t>
      </w:r>
      <w:r w:rsidR="00ED1AD8" w:rsidRPr="00900E28">
        <w:t xml:space="preserve"> </w:t>
      </w:r>
      <w:r w:rsidR="00ED1AD8" w:rsidRPr="00900E28">
        <w:rPr>
          <w:i/>
        </w:rPr>
        <w:t>ssb-PositionsInBurst</w:t>
      </w:r>
      <w:r w:rsidR="00ED1AD8" w:rsidRPr="00900E28">
        <w:t xml:space="preserve"> </w:t>
      </w:r>
      <w:r w:rsidR="00ED1AD8" w:rsidRPr="00900E28">
        <w:rPr>
          <w:lang w:val="en-US"/>
        </w:rPr>
        <w:t xml:space="preserve">in </w:t>
      </w:r>
      <w:r w:rsidR="00ED1AD8" w:rsidRPr="00900E28">
        <w:rPr>
          <w:i/>
        </w:rPr>
        <w:t>S</w:t>
      </w:r>
      <w:r w:rsidR="00ED1AD8">
        <w:rPr>
          <w:rFonts w:hint="eastAsia"/>
          <w:i/>
          <w:lang w:eastAsia="zh-CN"/>
        </w:rPr>
        <w:t>IB</w:t>
      </w:r>
      <w:r w:rsidR="00ED1AD8" w:rsidRPr="00900E28">
        <w:rPr>
          <w:i/>
        </w:rPr>
        <w:t>1</w:t>
      </w:r>
      <w:r w:rsidR="00ED1AD8" w:rsidRPr="00900E28">
        <w:t xml:space="preserve"> or in </w:t>
      </w:r>
      <w:r w:rsidR="00ED1AD8" w:rsidRPr="00900E28">
        <w:rPr>
          <w:i/>
        </w:rPr>
        <w:t>ServingCellConfigCommon</w:t>
      </w:r>
      <w:r w:rsidR="00ED1AD8" w:rsidRPr="00A81FC3">
        <w:t xml:space="preserve"> </w:t>
      </w:r>
      <w:r w:rsidRPr="00A81FC3">
        <w:t xml:space="preserve">are </w:t>
      </w:r>
      <w:r>
        <w:t>mapped</w:t>
      </w:r>
      <w:r w:rsidRPr="00A81FC3">
        <w:t xml:space="preserve"> to</w:t>
      </w:r>
      <w:r>
        <w:t xml:space="preserve"> </w:t>
      </w:r>
      <w:r w:rsidR="006F6E1D">
        <w:t xml:space="preserve">valid </w:t>
      </w:r>
      <w:r>
        <w:t>P</w:t>
      </w:r>
      <w:r w:rsidRPr="00A81FC3">
        <w:t xml:space="preserve">RACH </w:t>
      </w:r>
      <w:r>
        <w:t>occasions</w:t>
      </w:r>
      <w:r w:rsidRPr="00A81FC3">
        <w:t xml:space="preserve"> in the following order</w:t>
      </w:r>
      <w:r>
        <w:t xml:space="preserve"> where the parameters are </w:t>
      </w:r>
      <w:r>
        <w:rPr>
          <w:lang w:val="en-US"/>
        </w:rPr>
        <w:t xml:space="preserve">described in </w:t>
      </w:r>
      <w:r w:rsidRPr="00B916EC">
        <w:rPr>
          <w:lang w:val="en-US"/>
        </w:rPr>
        <w:t>[4, TS 38.211]</w:t>
      </w:r>
      <w:r>
        <w:t>.</w:t>
      </w:r>
    </w:p>
    <w:p w14:paraId="55670FA3" w14:textId="77777777" w:rsidR="005D3B74" w:rsidRPr="00A81FC3" w:rsidRDefault="005D3B74" w:rsidP="005D3B74">
      <w:pPr>
        <w:pStyle w:val="B1"/>
        <w:spacing w:after="240"/>
        <w:rPr>
          <w:lang w:val="en-US"/>
        </w:rPr>
      </w:pPr>
      <w:r w:rsidRPr="00A81FC3">
        <w:t>-</w:t>
      </w:r>
      <w:r w:rsidRPr="00A81FC3">
        <w:tab/>
        <w:t>First</w:t>
      </w:r>
      <w:r>
        <w:rPr>
          <w:lang w:val="en-US"/>
        </w:rPr>
        <w:t>,</w:t>
      </w:r>
      <w:r w:rsidRPr="00A81FC3">
        <w:t xml:space="preserve"> in increasing </w:t>
      </w:r>
      <w:r>
        <w:rPr>
          <w:lang w:val="en-US"/>
        </w:rPr>
        <w:t xml:space="preserve">order of </w:t>
      </w:r>
      <w:r>
        <w:t>preamble ind</w:t>
      </w:r>
      <w:r>
        <w:rPr>
          <w:lang w:val="en-US"/>
        </w:rPr>
        <w:t>exes</w:t>
      </w:r>
      <w:r w:rsidRPr="00A81FC3">
        <w:t xml:space="preserve"> within a single </w:t>
      </w:r>
      <w:r>
        <w:rPr>
          <w:lang w:val="en-US"/>
        </w:rPr>
        <w:t>P</w:t>
      </w:r>
      <w:r w:rsidRPr="00A81FC3">
        <w:t>RACH occasion</w:t>
      </w:r>
    </w:p>
    <w:p w14:paraId="6DCFD028" w14:textId="77777777" w:rsidR="005D3B74" w:rsidRPr="00A81FC3" w:rsidRDefault="005D3B74" w:rsidP="005D3B74">
      <w:pPr>
        <w:pStyle w:val="B1"/>
        <w:spacing w:after="240"/>
        <w:rPr>
          <w:lang w:val="en-US"/>
        </w:rPr>
      </w:pPr>
      <w:r w:rsidRPr="00A81FC3">
        <w:rPr>
          <w:lang w:val="en-US"/>
        </w:rPr>
        <w:t>-</w:t>
      </w:r>
      <w:r w:rsidRPr="00A81FC3">
        <w:tab/>
      </w:r>
      <w:r>
        <w:rPr>
          <w:lang w:val="en-US"/>
        </w:rPr>
        <w:t>Second,</w:t>
      </w:r>
      <w:r>
        <w:t xml:space="preserve"> in increasing </w:t>
      </w:r>
      <w:r>
        <w:rPr>
          <w:lang w:val="en-US"/>
        </w:rPr>
        <w:t>order</w:t>
      </w:r>
      <w:r w:rsidRPr="00A81FC3">
        <w:t xml:space="preserve"> of </w:t>
      </w:r>
      <w:r>
        <w:rPr>
          <w:lang w:val="en-US"/>
        </w:rPr>
        <w:t xml:space="preserve">frequency resource indexes for </w:t>
      </w:r>
      <w:r w:rsidRPr="00A81FC3">
        <w:t xml:space="preserve">frequency multiplexed </w:t>
      </w:r>
      <w:r>
        <w:rPr>
          <w:lang w:val="en-US"/>
        </w:rPr>
        <w:t>P</w:t>
      </w:r>
      <w:r w:rsidRPr="00A81FC3">
        <w:t>RACH occasion</w:t>
      </w:r>
      <w:r>
        <w:rPr>
          <w:lang w:val="en-US"/>
        </w:rPr>
        <w:t>s</w:t>
      </w:r>
    </w:p>
    <w:p w14:paraId="5871769B" w14:textId="77777777" w:rsidR="005D3B74" w:rsidRPr="00A81FC3" w:rsidRDefault="005D3B74" w:rsidP="005D3B74">
      <w:pPr>
        <w:pStyle w:val="B1"/>
        <w:spacing w:after="240"/>
        <w:rPr>
          <w:lang w:val="en-US"/>
        </w:rPr>
      </w:pPr>
      <w:r w:rsidRPr="00A81FC3">
        <w:rPr>
          <w:lang w:val="en-US"/>
        </w:rPr>
        <w:t>-</w:t>
      </w:r>
      <w:r w:rsidR="00F31749">
        <w:tab/>
      </w:r>
      <w:r>
        <w:rPr>
          <w:lang w:val="en-US"/>
        </w:rPr>
        <w:t>Third,</w:t>
      </w:r>
      <w:r w:rsidRPr="00A81FC3">
        <w:t xml:space="preserve"> in increasing </w:t>
      </w:r>
      <w:r>
        <w:rPr>
          <w:lang w:val="en-US"/>
        </w:rPr>
        <w:t>order of time resource indexes for</w:t>
      </w:r>
      <w:r>
        <w:t xml:space="preserve"> time</w:t>
      </w:r>
      <w:r>
        <w:rPr>
          <w:lang w:val="en-US"/>
        </w:rPr>
        <w:t xml:space="preserve"> multiplexed</w:t>
      </w:r>
      <w:r w:rsidRPr="00A81FC3">
        <w:t xml:space="preserve"> </w:t>
      </w:r>
      <w:r>
        <w:rPr>
          <w:lang w:val="en-US"/>
        </w:rPr>
        <w:t>P</w:t>
      </w:r>
      <w:r w:rsidRPr="00A81FC3">
        <w:t>RACH occasion</w:t>
      </w:r>
      <w:r>
        <w:rPr>
          <w:lang w:val="en-US"/>
        </w:rPr>
        <w:t>s</w:t>
      </w:r>
      <w:r w:rsidRPr="00A81FC3">
        <w:t xml:space="preserve"> within a </w:t>
      </w:r>
      <w:r>
        <w:rPr>
          <w:lang w:val="en-US"/>
        </w:rPr>
        <w:t>P</w:t>
      </w:r>
      <w:r w:rsidRPr="00A81FC3">
        <w:t>RACH slot</w:t>
      </w:r>
    </w:p>
    <w:p w14:paraId="13DFFDB1" w14:textId="77777777" w:rsidR="005D3B74" w:rsidRPr="00A81FC3" w:rsidRDefault="005D3B74" w:rsidP="005D3B74">
      <w:pPr>
        <w:pStyle w:val="B1"/>
        <w:spacing w:after="240"/>
        <w:rPr>
          <w:lang w:val="en-US"/>
        </w:rPr>
      </w:pPr>
      <w:r w:rsidRPr="00A81FC3">
        <w:t>-</w:t>
      </w:r>
      <w:r w:rsidRPr="00A81FC3">
        <w:tab/>
      </w:r>
      <w:r>
        <w:rPr>
          <w:lang w:val="en-US"/>
        </w:rPr>
        <w:t>Fourth,</w:t>
      </w:r>
      <w:r w:rsidRPr="00A81FC3">
        <w:t xml:space="preserve"> in increasing </w:t>
      </w:r>
      <w:r>
        <w:rPr>
          <w:lang w:val="en-US"/>
        </w:rPr>
        <w:t>order of indexes for P</w:t>
      </w:r>
      <w:r w:rsidRPr="00A81FC3">
        <w:t>RACH slots</w:t>
      </w:r>
    </w:p>
    <w:p w14:paraId="13141990" w14:textId="4F731C81" w:rsidR="00285627" w:rsidRDefault="00285627" w:rsidP="00285627">
      <w:r w:rsidRPr="00F462BD">
        <w:t xml:space="preserve">An association period, starting from frame 0, for mapping SS/PBCH block </w:t>
      </w:r>
      <w:r w:rsidR="00B052C4">
        <w:t xml:space="preserve">indexes </w:t>
      </w:r>
      <w:r w:rsidRPr="00F462BD">
        <w:t xml:space="preserve">to PRACH occasions is the smallest </w:t>
      </w:r>
      <w:r w:rsidR="00376B88">
        <w:t>integer number</w:t>
      </w:r>
      <w:r w:rsidRPr="00F462BD">
        <w:t xml:space="preserve"> in the set </w:t>
      </w:r>
      <w:r w:rsidRPr="00F462BD">
        <w:rPr>
          <w:lang w:eastAsia="zh-CN"/>
        </w:rPr>
        <w:t>determined by the PRACH configuration period according Table</w:t>
      </w:r>
      <w:r w:rsidRPr="00F462BD" w:rsidDel="00864605">
        <w:t xml:space="preserve"> </w:t>
      </w:r>
      <w:r w:rsidRPr="00F462BD">
        <w:t xml:space="preserve">8.1-1 such that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Tx</m:t>
            </m:r>
          </m:sub>
          <m:sup>
            <m:r>
              <m:rPr>
                <m:sty m:val="p"/>
              </m:rPr>
              <w:rPr>
                <w:rFonts w:ascii="Cambria Math" w:hAnsi="Cambria Math"/>
              </w:rPr>
              <m:t>SSB</m:t>
            </m:r>
          </m:sup>
        </m:sSubSup>
      </m:oMath>
      <w:r w:rsidRPr="00F462BD">
        <w:t xml:space="preserve"> SS/PBCH block </w:t>
      </w:r>
      <w:r w:rsidR="00B052C4">
        <w:t xml:space="preserve">indexes </w:t>
      </w:r>
      <w:r w:rsidRPr="00F462BD">
        <w:t xml:space="preserve">are mapped at least once to the PRACH occasions within the association period, where a UE obtains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Tx</m:t>
            </m:r>
          </m:sub>
          <m:sup>
            <m:r>
              <m:rPr>
                <m:sty m:val="p"/>
              </m:rPr>
              <w:rPr>
                <w:rFonts w:ascii="Cambria Math" w:hAnsi="Cambria Math"/>
              </w:rPr>
              <m:t>SSB</m:t>
            </m:r>
          </m:sup>
        </m:sSubSup>
      </m:oMath>
      <w:r w:rsidRPr="00F462BD">
        <w:t xml:space="preserve"> from the value of </w:t>
      </w:r>
      <w:r w:rsidRPr="00F462BD">
        <w:rPr>
          <w:i/>
        </w:rPr>
        <w:t>ssb-PositionsInBurst</w:t>
      </w:r>
      <w:r w:rsidRPr="008A0557">
        <w:t xml:space="preserve"> </w:t>
      </w:r>
      <w:r>
        <w:rPr>
          <w:lang w:val="en-US"/>
        </w:rPr>
        <w:t xml:space="preserve">in </w:t>
      </w:r>
      <w:r w:rsidR="00ED1AD8" w:rsidRPr="00F35584">
        <w:rPr>
          <w:i/>
        </w:rPr>
        <w:t>S</w:t>
      </w:r>
      <w:r w:rsidR="00ED1AD8">
        <w:rPr>
          <w:rFonts w:hint="eastAsia"/>
          <w:i/>
          <w:lang w:eastAsia="zh-CN"/>
        </w:rPr>
        <w:t>IB</w:t>
      </w:r>
      <w:r w:rsidR="00ED1AD8" w:rsidRPr="00F35584">
        <w:rPr>
          <w:i/>
        </w:rPr>
        <w:t>1</w:t>
      </w:r>
      <w:r w:rsidR="00ED1AD8">
        <w:t xml:space="preserve"> </w:t>
      </w:r>
      <w:r>
        <w:t xml:space="preserve">or in </w:t>
      </w:r>
      <w:r w:rsidRPr="00064CF8">
        <w:rPr>
          <w:i/>
        </w:rPr>
        <w:t>ServingCellConfigCommon</w:t>
      </w:r>
      <w:r w:rsidRPr="00F462BD">
        <w:t xml:space="preserve">. If after an integer number of SS/PBCH block </w:t>
      </w:r>
      <w:r w:rsidR="00957F67">
        <w:t xml:space="preserve">indexes </w:t>
      </w:r>
      <w:r w:rsidRPr="00F462BD">
        <w:t xml:space="preserve">to PRACH occasions mapping cycles within the association period there is a set of PRACH occasions </w:t>
      </w:r>
      <w:r w:rsidR="00776AF8" w:rsidRPr="00F360F1">
        <w:rPr>
          <w:color w:val="000000" w:themeColor="text1"/>
          <w:lang w:eastAsia="zh-CN"/>
        </w:rPr>
        <w:t>or PRACH preambles</w:t>
      </w:r>
      <w:r w:rsidR="00776AF8" w:rsidRPr="00DA32FA">
        <w:t xml:space="preserve"> </w:t>
      </w:r>
      <w:r w:rsidRPr="00F462BD">
        <w:t xml:space="preserve">that are not mapped to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Tx</m:t>
            </m:r>
          </m:sub>
          <m:sup>
            <m:r>
              <m:rPr>
                <m:sty m:val="p"/>
              </m:rPr>
              <w:rPr>
                <w:rFonts w:ascii="Cambria Math" w:hAnsi="Cambria Math"/>
              </w:rPr>
              <m:t>SSB</m:t>
            </m:r>
          </m:sup>
        </m:sSubSup>
      </m:oMath>
      <w:r>
        <w:t xml:space="preserve"> </w:t>
      </w:r>
      <w:r w:rsidRPr="00F462BD">
        <w:t>SS/PBCH block</w:t>
      </w:r>
      <w:r w:rsidR="00957F67">
        <w:t xml:space="preserve"> indexes</w:t>
      </w:r>
      <w:r w:rsidRPr="00F462BD">
        <w:t xml:space="preserve">, no SS/PBCH block </w:t>
      </w:r>
      <w:r w:rsidR="00957F67">
        <w:lastRenderedPageBreak/>
        <w:t xml:space="preserve">indexes </w:t>
      </w:r>
      <w:r w:rsidRPr="00F462BD">
        <w:t>are mapped to the set of PRACH occasions</w:t>
      </w:r>
      <w:r w:rsidR="00776AF8" w:rsidRPr="00F23453">
        <w:rPr>
          <w:color w:val="000000" w:themeColor="text1"/>
          <w:lang w:eastAsia="zh-CN"/>
        </w:rPr>
        <w:t xml:space="preserve"> </w:t>
      </w:r>
      <w:r w:rsidR="00776AF8" w:rsidRPr="00F360F1">
        <w:rPr>
          <w:color w:val="000000" w:themeColor="text1"/>
          <w:lang w:eastAsia="zh-CN"/>
        </w:rPr>
        <w:t>or PRACH preambles</w:t>
      </w:r>
      <w:r w:rsidRPr="00F462BD">
        <w:t xml:space="preserve">. An association pattern period </w:t>
      </w:r>
      <w:r>
        <w:t>includes</w:t>
      </w:r>
      <w:r w:rsidRPr="00F462BD">
        <w:t xml:space="preserve"> one or more association periods and is determined so that a pattern between PRACH occasions and SS/PBCH block </w:t>
      </w:r>
      <w:r w:rsidR="00957F67">
        <w:t xml:space="preserve">indexes </w:t>
      </w:r>
      <w:r w:rsidRPr="00F462BD">
        <w:t xml:space="preserve">repeats at most every 160 msec. PRACH occasions not associated with SS/PBCH block </w:t>
      </w:r>
      <w:r w:rsidR="00957F67">
        <w:t xml:space="preserve">indexes </w:t>
      </w:r>
      <w:r w:rsidRPr="00F462BD">
        <w:t>after an integer number of association periods, if any, are not used for PRACH transmissions</w:t>
      </w:r>
      <w:r w:rsidRPr="006A5445">
        <w:t>.</w:t>
      </w:r>
    </w:p>
    <w:p w14:paraId="05256DE0" w14:textId="0A31309B" w:rsidR="001246F0" w:rsidRDefault="005B74DE" w:rsidP="000600E8">
      <w:pPr>
        <w:rPr>
          <w:rFonts w:ascii="TimesNewRomanPSMT" w:hAnsi="TimesNewRomanPSMT" w:hint="eastAsia"/>
          <w:lang w:val="en-US" w:eastAsia="zh-CN"/>
        </w:rPr>
      </w:pPr>
      <w:r>
        <w:t>For a PRACH transmission</w:t>
      </w:r>
      <w:r w:rsidR="00AD225C" w:rsidRPr="00AD225C">
        <w:t xml:space="preserve"> </w:t>
      </w:r>
      <w:r w:rsidR="00AD225C">
        <w:t>by a UE</w:t>
      </w:r>
      <w:r>
        <w:t xml:space="preserve"> triggered by a PDCCH order, the PRACH mask index field, if the value of the </w:t>
      </w:r>
      <w:r w:rsidR="00C7484E">
        <w:t xml:space="preserve">random access preamble </w:t>
      </w:r>
      <w:r>
        <w:t xml:space="preserve">index field is not zero, indicates the PRACH occasion for the PRACH transmission where the PRACH occasions are associated with the SS/PBCH </w:t>
      </w:r>
      <w:r w:rsidR="006F6E1D">
        <w:t xml:space="preserve">block </w:t>
      </w:r>
      <w:r w:rsidR="006F6E1D" w:rsidRPr="00162E2F">
        <w:t xml:space="preserve">index </w:t>
      </w:r>
      <w:r w:rsidR="006F6E1D">
        <w:t>indicated</w:t>
      </w:r>
      <w:r w:rsidR="006F6E1D" w:rsidRPr="00162E2F">
        <w:t xml:space="preserve"> by the SS/PBCH block</w:t>
      </w:r>
      <w:r>
        <w:t xml:space="preserve"> index field of the PDCCH order</w:t>
      </w:r>
      <w:r w:rsidR="005F4AE0">
        <w:t xml:space="preserve"> and, if any, a cell indicator field indicates a cell for the PRACH transmission [5, TS 38.212]</w:t>
      </w:r>
      <w:r>
        <w:t xml:space="preserve">. </w:t>
      </w:r>
      <w:r w:rsidR="00AD225C">
        <w:t xml:space="preserve">If the UE is provided </w:t>
      </w:r>
      <m:oMath>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cell,offset</m:t>
            </m:r>
          </m:sub>
        </m:sSub>
      </m:oMath>
      <w:r w:rsidR="00AD225C">
        <w:rPr>
          <w:kern w:val="2"/>
        </w:rPr>
        <w:t xml:space="preserve"> </w:t>
      </w:r>
      <w:r w:rsidR="00AD225C">
        <w:t xml:space="preserve">by </w:t>
      </w:r>
      <w:r w:rsidR="00E761DC">
        <w:rPr>
          <w:i/>
          <w:lang w:val="en-US"/>
        </w:rPr>
        <w:t>c</w:t>
      </w:r>
      <w:r w:rsidR="00E761DC" w:rsidRPr="00FE56DB">
        <w:rPr>
          <w:i/>
          <w:lang w:val="en-US"/>
        </w:rPr>
        <w:t>ellSpecific</w:t>
      </w:r>
      <w:r w:rsidR="007E56E4" w:rsidRPr="00FE56DB">
        <w:rPr>
          <w:i/>
          <w:lang w:val="en-US"/>
        </w:rPr>
        <w:t>Koffset</w:t>
      </w:r>
      <w:r w:rsidR="00AD225C">
        <w:rPr>
          <w:iCs/>
        </w:rPr>
        <w:t xml:space="preserve">, the PRACH occasion is after slot </w:t>
      </w:r>
      <m:oMath>
        <m:r>
          <w:rPr>
            <w:rFonts w:ascii="Cambria Math" w:hAnsi="Cambria Math"/>
          </w:rPr>
          <m:t>n+</m:t>
        </m:r>
        <m:sSub>
          <m:sSubPr>
            <m:ctrlPr>
              <w:rPr>
                <w:rFonts w:ascii="Cambria Math" w:eastAsia="MS Mincho" w:hAnsi="Cambria Math"/>
                <w:i/>
                <w:kern w:val="2"/>
              </w:rPr>
            </m:ctrlPr>
          </m:sSubPr>
          <m:e>
            <m:sSup>
              <m:sSupPr>
                <m:ctrlPr>
                  <w:rPr>
                    <w:rFonts w:ascii="Cambria Math" w:eastAsia="MS Mincho" w:hAnsi="Cambria Math"/>
                    <w:i/>
                    <w:kern w:val="2"/>
                  </w:rPr>
                </m:ctrlPr>
              </m:sSupPr>
              <m:e>
                <m:r>
                  <w:rPr>
                    <w:rFonts w:ascii="Cambria Math" w:eastAsia="MS Mincho" w:hAnsi="Cambria Math"/>
                    <w:kern w:val="2"/>
                  </w:rPr>
                  <m:t>2</m:t>
                </m:r>
              </m:e>
              <m:sup>
                <m:r>
                  <w:rPr>
                    <w:rFonts w:ascii="Cambria Math" w:eastAsia="MS Mincho" w:hAnsi="Cambria Math"/>
                    <w:kern w:val="2"/>
                  </w:rPr>
                  <m:t>μ</m:t>
                </m:r>
              </m:sup>
            </m:sSup>
            <m:r>
              <w:rPr>
                <w:rFonts w:ascii="Cambria Math" w:eastAsia="MS Mincho" w:hAnsi="Cambria Math"/>
                <w:kern w:val="2"/>
              </w:rPr>
              <m:t>∙K</m:t>
            </m:r>
          </m:e>
          <m:sub>
            <m:r>
              <m:rPr>
                <m:sty m:val="p"/>
              </m:rPr>
              <w:rPr>
                <w:rFonts w:ascii="Cambria Math" w:eastAsia="MS Mincho" w:hAnsi="Cambria Math"/>
                <w:kern w:val="2"/>
              </w:rPr>
              <m:t>cell,offset</m:t>
            </m:r>
          </m:sub>
        </m:sSub>
      </m:oMath>
      <w:r w:rsidR="00AD225C">
        <w:rPr>
          <w:kern w:val="2"/>
        </w:rPr>
        <w:t xml:space="preserve"> where </w:t>
      </w:r>
      <m:oMath>
        <m:r>
          <w:rPr>
            <w:rFonts w:ascii="Cambria Math" w:hAnsi="Cambria Math"/>
          </w:rPr>
          <m:t>n</m:t>
        </m:r>
      </m:oMath>
      <w:r w:rsidR="00AD225C">
        <w:t xml:space="preserve"> is the slot of the UL BWP for the PRACH transmission that overlaps with the end of the PDCCH order reception assuming</w:t>
      </w:r>
      <w:r w:rsidR="00AD225C">
        <w:rPr>
          <w:rStyle w:val="CommentReference"/>
          <w:lang w:val="en-US"/>
        </w:rPr>
        <w:t xml:space="preserve"> </w:t>
      </w:r>
      <m:oMath>
        <m:sSub>
          <m:sSubPr>
            <m:ctrlPr>
              <w:rPr>
                <w:rFonts w:ascii="Cambria Math" w:eastAsia="MS Mincho" w:hAnsi="Cambria Math"/>
                <w:i/>
                <w:kern w:val="2"/>
              </w:rPr>
            </m:ctrlPr>
          </m:sSubPr>
          <m:e>
            <m:r>
              <w:rPr>
                <w:rFonts w:ascii="Cambria Math" w:eastAsia="MS Mincho" w:hAnsi="Cambria Math"/>
                <w:kern w:val="2"/>
              </w:rPr>
              <m:t>T</m:t>
            </m:r>
          </m:e>
          <m:sub>
            <m:r>
              <m:rPr>
                <m:sty m:val="p"/>
              </m:rPr>
              <w:rPr>
                <w:rFonts w:ascii="Cambria Math" w:eastAsia="MS Mincho" w:hAnsi="Cambria Math"/>
                <w:kern w:val="2"/>
              </w:rPr>
              <m:t>TA</m:t>
            </m:r>
          </m:sub>
        </m:sSub>
        <m:r>
          <w:rPr>
            <w:rFonts w:ascii="Cambria Math" w:eastAsia="MS Mincho" w:hAnsi="Cambria Math"/>
            <w:kern w:val="2"/>
          </w:rPr>
          <m:t>=0</m:t>
        </m:r>
      </m:oMath>
      <w:r w:rsidR="00AD225C">
        <w:rPr>
          <w:kern w:val="2"/>
        </w:rPr>
        <w:t xml:space="preserve">, and </w:t>
      </w:r>
      <m:oMath>
        <m:r>
          <w:rPr>
            <w:rFonts w:ascii="Cambria Math" w:hAnsi="Cambria Math"/>
            <w:lang w:val="en-US"/>
          </w:rPr>
          <m:t>μ</m:t>
        </m:r>
      </m:oMath>
      <w:r w:rsidR="00AD225C">
        <w:rPr>
          <w:lang w:val="en-US"/>
        </w:rPr>
        <w:t xml:space="preserve"> is the SCS configuration for the PRACH transmission</w:t>
      </w:r>
      <w:r w:rsidR="00AD225C">
        <w:t>.</w:t>
      </w:r>
      <w:r w:rsidR="00CF71DF">
        <w:t xml:space="preserve"> </w:t>
      </w:r>
      <w:r w:rsidR="00CF71DF">
        <w:rPr>
          <w:iCs/>
        </w:rPr>
        <w:t>If the</w:t>
      </w:r>
      <w:r w:rsidR="00CF71DF" w:rsidRPr="00F415B1">
        <w:rPr>
          <w:lang w:eastAsia="ko-KR"/>
        </w:rPr>
        <w:t xml:space="preserve"> PDCCH </w:t>
      </w:r>
      <w:r w:rsidR="00CF71DF">
        <w:rPr>
          <w:lang w:eastAsia="ko-KR"/>
        </w:rPr>
        <w:t>reception for the PDCCH order</w:t>
      </w:r>
      <w:r w:rsidR="00CF71DF" w:rsidRPr="00F415B1">
        <w:rPr>
          <w:lang w:eastAsia="ko-KR"/>
        </w:rPr>
        <w:t xml:space="preserve"> includes two PDCCH candidates from two linked search space sets based on </w:t>
      </w:r>
      <w:r w:rsidR="00CF71DF" w:rsidRPr="00F415B1">
        <w:rPr>
          <w:i/>
          <w:iCs/>
          <w:lang w:val="en-US"/>
        </w:rPr>
        <w:t>searchSpaceLinking</w:t>
      </w:r>
      <w:r w:rsidR="00334424">
        <w:rPr>
          <w:i/>
          <w:iCs/>
          <w:lang w:val="en-US"/>
        </w:rPr>
        <w:t>Id</w:t>
      </w:r>
      <w:r w:rsidR="00CF71DF" w:rsidRPr="00F415B1">
        <w:rPr>
          <w:lang w:eastAsia="ko-KR"/>
        </w:rPr>
        <w:t xml:space="preserve">, as described in clause 10.1, the last symbol of the PDCCH reception </w:t>
      </w:r>
      <w:r w:rsidR="00CF71DF" w:rsidRPr="00F415B1">
        <w:rPr>
          <w:lang w:val="en-US" w:eastAsia="ko-KR"/>
        </w:rPr>
        <w:t>is</w:t>
      </w:r>
      <w:r w:rsidR="00CF71DF" w:rsidRPr="00F415B1">
        <w:rPr>
          <w:lang w:eastAsia="ko-KR"/>
        </w:rPr>
        <w:t xml:space="preserve"> the last symbol of the PDCCH candidate</w:t>
      </w:r>
      <w:r w:rsidR="00CF71DF">
        <w:rPr>
          <w:lang w:eastAsia="ko-KR"/>
        </w:rPr>
        <w:t xml:space="preserve"> that ends later</w:t>
      </w:r>
      <w:r w:rsidR="00CF71DF" w:rsidRPr="00F415B1">
        <w:rPr>
          <w:lang w:eastAsia="ko-KR"/>
        </w:rPr>
        <w:t>.</w:t>
      </w:r>
      <w:r w:rsidR="00CF71DF" w:rsidRPr="00F415B1">
        <w:rPr>
          <w:rFonts w:cstheme="minorHAnsi"/>
          <w:lang w:val="en-US"/>
        </w:rPr>
        <w:t xml:space="preserve"> </w:t>
      </w:r>
      <w:r w:rsidR="00CF71DF" w:rsidRPr="00F415B1">
        <w:rPr>
          <w:lang w:eastAsia="ko-KR"/>
        </w:rPr>
        <w:t xml:space="preserve">The PDCCH reception includes the two PDCCH candidates also when </w:t>
      </w:r>
      <w:r w:rsidR="00CF71DF" w:rsidRPr="00F415B1">
        <w:rPr>
          <w:iCs/>
          <w:lang w:eastAsia="zh-CN"/>
        </w:rPr>
        <w:t>the UE is not required to monitor one of the two PDCCH candidates as described in clauses 10</w:t>
      </w:r>
      <w:r w:rsidR="00FF6F03">
        <w:rPr>
          <w:iCs/>
          <w:lang w:eastAsia="zh-CN"/>
        </w:rPr>
        <w:t xml:space="preserve"> </w:t>
      </w:r>
      <w:r w:rsidR="00FF6F03" w:rsidRPr="001948BB">
        <w:rPr>
          <w:iCs/>
          <w:lang w:eastAsia="zh-CN"/>
        </w:rPr>
        <w:t>(except clause 10.4)</w:t>
      </w:r>
      <w:r w:rsidR="00CF71DF" w:rsidRPr="00F415B1">
        <w:rPr>
          <w:iCs/>
          <w:lang w:eastAsia="zh-CN"/>
        </w:rPr>
        <w:t>, 11.1, 11.1.1</w:t>
      </w:r>
      <w:r w:rsidR="001A51E3">
        <w:rPr>
          <w:rFonts w:hint="eastAsia"/>
          <w:iCs/>
          <w:lang w:eastAsia="zh-CN"/>
        </w:rPr>
        <w:t xml:space="preserve"> and 17.2</w:t>
      </w:r>
      <w:r w:rsidR="00CF71DF" w:rsidRPr="00F415B1">
        <w:rPr>
          <w:iCs/>
          <w:lang w:eastAsia="zh-CN"/>
        </w:rPr>
        <w:t>.</w:t>
      </w:r>
    </w:p>
    <w:p w14:paraId="07F4E592" w14:textId="77777777" w:rsidR="001246F0" w:rsidRDefault="001246F0" w:rsidP="000600E8">
      <w:pPr>
        <w:rPr>
          <w:color w:val="000000"/>
          <w:lang w:val="en-US"/>
        </w:rPr>
      </w:pPr>
      <w:r>
        <w:rPr>
          <w:color w:val="000000"/>
        </w:rPr>
        <w:t xml:space="preserve">For a PRACH transmission triggered by higher layers, if </w:t>
      </w:r>
      <w:r>
        <w:rPr>
          <w:i/>
          <w:iCs/>
          <w:color w:val="000000"/>
        </w:rPr>
        <w:t>ssb-ResourceList</w:t>
      </w:r>
      <w:r>
        <w:rPr>
          <w:iCs/>
          <w:color w:val="000000"/>
        </w:rPr>
        <w:t xml:space="preserve"> </w:t>
      </w:r>
      <w:r>
        <w:rPr>
          <w:color w:val="000000"/>
        </w:rPr>
        <w:t xml:space="preserve">is provided, the PRACH mask index is indicated by </w:t>
      </w:r>
      <w:r>
        <w:rPr>
          <w:i/>
          <w:iCs/>
          <w:color w:val="000000"/>
        </w:rPr>
        <w:t>ra-ssb-OccasionMaskIndex</w:t>
      </w:r>
      <w:r>
        <w:rPr>
          <w:color w:val="000000"/>
        </w:rPr>
        <w:t xml:space="preserve"> which indicates the PRACH occasions for the PRACH transmission where the PRACH occasions are associated with the selected SS/PBCH block index.</w:t>
      </w:r>
    </w:p>
    <w:p w14:paraId="5917D88C" w14:textId="77777777" w:rsidR="00B80E18" w:rsidRPr="00162E2F" w:rsidRDefault="00B80E18" w:rsidP="00B80E18">
      <w:r>
        <w:t xml:space="preserve">The PRACH occasions are mapped consecutively per corresponding SS/PBCH block index. The indexing of the PRACH occasion indicated by the mask index value is reset per mapping cycle of consecutive PRACH occasions per SS/PBCH block index. The UE selects for a PRACH transmission the PRACH occasion indicated by PRACH mask index value for the indicated SS/PBCH block index in the first available mapping cycle. </w:t>
      </w:r>
    </w:p>
    <w:p w14:paraId="02DB49C8" w14:textId="77777777" w:rsidR="005B74DE" w:rsidRDefault="005B74DE" w:rsidP="005B74DE">
      <w:r>
        <w:t>For the indicated preamble index, the ordering of the PRACH occasions is</w:t>
      </w:r>
    </w:p>
    <w:p w14:paraId="31AA25BE" w14:textId="77777777" w:rsidR="005B74DE" w:rsidRPr="00A81FC3" w:rsidRDefault="005B74DE" w:rsidP="005B74DE">
      <w:pPr>
        <w:pStyle w:val="B1"/>
        <w:spacing w:after="240"/>
        <w:rPr>
          <w:lang w:val="en-US"/>
        </w:rPr>
      </w:pPr>
      <w:r w:rsidRPr="00A81FC3">
        <w:rPr>
          <w:lang w:val="en-US"/>
        </w:rPr>
        <w:t>-</w:t>
      </w:r>
      <w:r w:rsidRPr="00A81FC3">
        <w:tab/>
      </w:r>
      <w:r>
        <w:rPr>
          <w:lang w:val="en-US"/>
        </w:rPr>
        <w:t>First,</w:t>
      </w:r>
      <w:r>
        <w:t xml:space="preserve"> in increasing </w:t>
      </w:r>
      <w:r>
        <w:rPr>
          <w:lang w:val="en-US"/>
        </w:rPr>
        <w:t>order</w:t>
      </w:r>
      <w:r w:rsidRPr="00A81FC3">
        <w:t xml:space="preserve"> of </w:t>
      </w:r>
      <w:r>
        <w:rPr>
          <w:lang w:val="en-US"/>
        </w:rPr>
        <w:t xml:space="preserve">frequency resource indexes for </w:t>
      </w:r>
      <w:r w:rsidRPr="00A81FC3">
        <w:t xml:space="preserve">frequency multiplexed </w:t>
      </w:r>
      <w:r>
        <w:rPr>
          <w:lang w:val="en-US"/>
        </w:rPr>
        <w:t>P</w:t>
      </w:r>
      <w:r w:rsidRPr="00A81FC3">
        <w:t>RACH occasion</w:t>
      </w:r>
      <w:r>
        <w:rPr>
          <w:lang w:val="en-US"/>
        </w:rPr>
        <w:t>s</w:t>
      </w:r>
    </w:p>
    <w:p w14:paraId="6776CAAE" w14:textId="77777777" w:rsidR="005B74DE" w:rsidRPr="00A81FC3" w:rsidRDefault="005B74DE" w:rsidP="005B74DE">
      <w:pPr>
        <w:pStyle w:val="B1"/>
        <w:spacing w:after="240"/>
        <w:rPr>
          <w:lang w:val="en-US"/>
        </w:rPr>
      </w:pPr>
      <w:r w:rsidRPr="00A81FC3">
        <w:rPr>
          <w:lang w:val="en-US"/>
        </w:rPr>
        <w:t>-</w:t>
      </w:r>
      <w:r>
        <w:tab/>
      </w:r>
      <w:r>
        <w:rPr>
          <w:lang w:val="en-US"/>
        </w:rPr>
        <w:t>Second,</w:t>
      </w:r>
      <w:r w:rsidRPr="00A81FC3">
        <w:t xml:space="preserve"> in increasing </w:t>
      </w:r>
      <w:r>
        <w:rPr>
          <w:lang w:val="en-US"/>
        </w:rPr>
        <w:t>order of time resource indexes for</w:t>
      </w:r>
      <w:r>
        <w:t xml:space="preserve"> time</w:t>
      </w:r>
      <w:r>
        <w:rPr>
          <w:lang w:val="en-US"/>
        </w:rPr>
        <w:t xml:space="preserve"> multiplexed</w:t>
      </w:r>
      <w:r w:rsidRPr="00A81FC3">
        <w:t xml:space="preserve"> </w:t>
      </w:r>
      <w:r>
        <w:rPr>
          <w:lang w:val="en-US"/>
        </w:rPr>
        <w:t>P</w:t>
      </w:r>
      <w:r w:rsidRPr="00A81FC3">
        <w:t>RACH occasion</w:t>
      </w:r>
      <w:r>
        <w:rPr>
          <w:lang w:val="en-US"/>
        </w:rPr>
        <w:t>s</w:t>
      </w:r>
      <w:r w:rsidRPr="00A81FC3">
        <w:t xml:space="preserve"> within a </w:t>
      </w:r>
      <w:r>
        <w:rPr>
          <w:lang w:val="en-US"/>
        </w:rPr>
        <w:t>P</w:t>
      </w:r>
      <w:r>
        <w:t>RACH slot</w:t>
      </w:r>
    </w:p>
    <w:p w14:paraId="534A7231" w14:textId="77777777" w:rsidR="00C7484E" w:rsidRDefault="005B74DE" w:rsidP="00C7484E">
      <w:pPr>
        <w:pStyle w:val="B1"/>
        <w:spacing w:after="240"/>
      </w:pPr>
      <w:r w:rsidRPr="00A81FC3">
        <w:t>-</w:t>
      </w:r>
      <w:r w:rsidRPr="00A81FC3">
        <w:tab/>
      </w:r>
      <w:r>
        <w:rPr>
          <w:lang w:val="en-US"/>
        </w:rPr>
        <w:t>Third</w:t>
      </w:r>
      <w:r w:rsidRPr="00CC774E">
        <w:rPr>
          <w:lang w:val="en-US"/>
        </w:rPr>
        <w:t>,</w:t>
      </w:r>
      <w:r w:rsidRPr="00CC774E">
        <w:t xml:space="preserve"> in increasing </w:t>
      </w:r>
      <w:r w:rsidRPr="00CC774E">
        <w:rPr>
          <w:lang w:val="en-US"/>
        </w:rPr>
        <w:t>order of indexes for P</w:t>
      </w:r>
      <w:r w:rsidRPr="00CC774E">
        <w:t>RACH slots</w:t>
      </w:r>
      <w:r w:rsidR="00C7484E" w:rsidRPr="00C7484E">
        <w:t xml:space="preserve"> </w:t>
      </w:r>
    </w:p>
    <w:p w14:paraId="68E7D1BF" w14:textId="77777777" w:rsidR="00715C9F" w:rsidRPr="00715C9F" w:rsidRDefault="00715C9F" w:rsidP="00715C9F">
      <w:pPr>
        <w:rPr>
          <w:lang w:val="en-US"/>
        </w:rPr>
      </w:pPr>
      <w:r w:rsidRPr="00715C9F">
        <w:rPr>
          <w:rFonts w:eastAsia="DengXian"/>
          <w:lang w:eastAsia="zh-CN"/>
        </w:rPr>
        <w:t xml:space="preserve">For a PRACH transmission with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preamble</m:t>
            </m:r>
          </m:sub>
          <m:sup>
            <m:r>
              <m:rPr>
                <m:sty m:val="p"/>
              </m:rPr>
              <w:rPr>
                <w:rFonts w:ascii="Cambria Math" w:hAnsi="Cambria Math"/>
              </w:rPr>
              <m:t>rep</m:t>
            </m:r>
          </m:sup>
        </m:sSubSup>
      </m:oMath>
      <w:r w:rsidRPr="00715C9F">
        <w:t xml:space="preserve"> preamble repetitions, a set consists of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preamble</m:t>
            </m:r>
          </m:sub>
          <m:sup>
            <m:r>
              <m:rPr>
                <m:sty m:val="p"/>
              </m:rPr>
              <w:rPr>
                <w:rFonts w:ascii="Cambria Math" w:hAnsi="Cambria Math"/>
              </w:rPr>
              <m:t>rep</m:t>
            </m:r>
          </m:sup>
        </m:sSubSup>
      </m:oMath>
      <w:r w:rsidRPr="00715C9F">
        <w:t xml:space="preserve"> valid PRACH occasions that are consecutive in time, use same frequency resources, and are associated with same one or more SS/PBCH block index(es), and each SS/PBCH block index is associated with same preamble indexes in all valid PRACH occasions within the set</w:t>
      </w:r>
      <w:r w:rsidRPr="00715C9F">
        <w:rPr>
          <w:rFonts w:eastAsia="DengXian" w:hint="eastAsia"/>
          <w:lang w:eastAsia="zh-CN"/>
        </w:rPr>
        <w:t>.</w:t>
      </w:r>
    </w:p>
    <w:p w14:paraId="206682A0" w14:textId="77777777" w:rsidR="00715C9F" w:rsidRPr="00715C9F" w:rsidRDefault="00715C9F" w:rsidP="00715C9F">
      <w:pPr>
        <w:rPr>
          <w:kern w:val="2"/>
          <w:lang w:eastAsia="zh-CN"/>
        </w:rPr>
      </w:pPr>
      <w:r w:rsidRPr="00715C9F">
        <w:t xml:space="preserve">For a PRACH transmission with preamble repetitions, a time period, starting from frame 0, is the smallest integer number </w:t>
      </w:r>
      <w:r w:rsidRPr="00715C9F">
        <w:rPr>
          <w:lang w:eastAsia="zh-CN"/>
        </w:rPr>
        <w:t>of</w:t>
      </w:r>
      <w:r w:rsidRPr="00715C9F">
        <w:t xml:space="preserve"> association pattern periods such that at least </w:t>
      </w:r>
      <w:r w:rsidRPr="00715C9F">
        <w:rPr>
          <w:rFonts w:ascii="Times" w:hAnsi="Times" w:cs="Times"/>
          <w:szCs w:val="21"/>
        </w:rPr>
        <w:t xml:space="preserve">one </w:t>
      </w:r>
      <w:r w:rsidRPr="00715C9F">
        <w:rPr>
          <w:rFonts w:ascii="Times" w:hAnsi="Times" w:cs="Times" w:hint="eastAsia"/>
          <w:szCs w:val="21"/>
        </w:rPr>
        <w:t>se</w:t>
      </w:r>
      <w:r w:rsidRPr="00715C9F">
        <w:rPr>
          <w:rFonts w:ascii="Times" w:hAnsi="Times" w:cs="Times"/>
          <w:szCs w:val="21"/>
        </w:rPr>
        <w:t xml:space="preserve">t of valid PRACH occasions for each of the </w:t>
      </w:r>
      <m:oMath>
        <m:sSubSup>
          <m:sSubSupPr>
            <m:ctrlPr>
              <w:rPr>
                <w:rFonts w:ascii="Cambria Math" w:hAnsi="Cambria Math" w:cs="Times"/>
                <w:i/>
                <w:szCs w:val="21"/>
              </w:rPr>
            </m:ctrlPr>
          </m:sSubSupPr>
          <m:e>
            <m:r>
              <w:rPr>
                <w:rFonts w:ascii="Cambria Math" w:hAnsi="Cambria Math" w:cs="Times"/>
                <w:szCs w:val="21"/>
              </w:rPr>
              <m:t>N</m:t>
            </m:r>
          </m:e>
          <m:sub>
            <m:r>
              <m:rPr>
                <m:sty m:val="p"/>
              </m:rPr>
              <w:rPr>
                <w:rFonts w:ascii="Cambria Math" w:hAnsi="Cambria Math" w:cs="Times"/>
                <w:szCs w:val="21"/>
              </w:rPr>
              <m:t>Tx</m:t>
            </m:r>
          </m:sub>
          <m:sup>
            <m:r>
              <m:rPr>
                <m:sty m:val="p"/>
              </m:rPr>
              <w:rPr>
                <w:rFonts w:ascii="Cambria Math" w:hAnsi="Cambria Math" w:cs="Times"/>
                <w:szCs w:val="21"/>
              </w:rPr>
              <m:t>SSB</m:t>
            </m:r>
          </m:sup>
        </m:sSubSup>
      </m:oMath>
      <w:r w:rsidRPr="00715C9F">
        <w:rPr>
          <w:rFonts w:ascii="Times" w:hAnsi="Times" w:cs="Times"/>
          <w:szCs w:val="21"/>
        </w:rPr>
        <w:t xml:space="preserve"> SS/PBCH block indexes can be determined within the time period for all</w:t>
      </w:r>
      <w:r w:rsidRPr="00715C9F">
        <w:t xml:space="preserve"> configured number of preamble repetitions. The set(s) of valid PRACH occasions for each </w:t>
      </w:r>
      <w:r w:rsidRPr="00715C9F">
        <w:rPr>
          <w:rFonts w:ascii="Times" w:hAnsi="Times" w:cs="Times"/>
          <w:szCs w:val="21"/>
        </w:rPr>
        <w:t xml:space="preserve">configured number of preamble repetitions </w:t>
      </w:r>
      <w:r w:rsidRPr="00715C9F">
        <w:t>repeats every time period.</w:t>
      </w:r>
    </w:p>
    <w:p w14:paraId="17ADFFBB" w14:textId="45297100" w:rsidR="00715C9F" w:rsidRPr="00715C9F" w:rsidRDefault="00715C9F" w:rsidP="00715C9F">
      <w:r w:rsidRPr="00715C9F">
        <w:rPr>
          <w:rFonts w:eastAsia="DengXian"/>
          <w:lang w:eastAsia="zh-CN"/>
        </w:rPr>
        <w:t xml:space="preserve">Within a time period, for set(s) of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preamble</m:t>
            </m:r>
          </m:sub>
          <m:sup>
            <m:r>
              <m:rPr>
                <m:sty m:val="p"/>
              </m:rPr>
              <w:rPr>
                <w:rFonts w:ascii="Cambria Math" w:hAnsi="Cambria Math"/>
              </w:rPr>
              <m:t>rep</m:t>
            </m:r>
          </m:sup>
        </m:sSubSup>
      </m:oMath>
      <w:r w:rsidRPr="00715C9F">
        <w:rPr>
          <w:rFonts w:eastAsia="DengXian" w:cs="Times"/>
          <w:color w:val="000000"/>
        </w:rPr>
        <w:t xml:space="preserve"> valid PRACH occasions</w:t>
      </w:r>
      <w:r w:rsidRPr="00715C9F">
        <w:rPr>
          <w:rFonts w:eastAsia="DengXian"/>
          <w:color w:val="000000"/>
          <w:szCs w:val="21"/>
        </w:rPr>
        <w:t xml:space="preserve"> </w:t>
      </w:r>
      <w:r w:rsidRPr="00715C9F">
        <w:rPr>
          <w:rFonts w:eastAsia="DengXian" w:cs="Times"/>
          <w:color w:val="000000"/>
        </w:rPr>
        <w:t xml:space="preserve">for </w:t>
      </w:r>
      <w:r w:rsidRPr="00715C9F">
        <w:rPr>
          <w:rFonts w:eastAsia="DengXian"/>
          <w:lang w:eastAsia="zh-CN"/>
        </w:rPr>
        <w:t xml:space="preserve">a PRACH transmission with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preamble</m:t>
            </m:r>
          </m:sub>
          <m:sup>
            <m:r>
              <m:rPr>
                <m:sty m:val="p"/>
              </m:rPr>
              <w:rPr>
                <w:rFonts w:ascii="Cambria Math" w:hAnsi="Cambria Math"/>
              </w:rPr>
              <m:t>rep</m:t>
            </m:r>
          </m:sup>
        </m:sSubSup>
      </m:oMath>
      <w:r w:rsidRPr="00715C9F">
        <w:t xml:space="preserve"> preamble repetitions </w:t>
      </w:r>
    </w:p>
    <w:p w14:paraId="093866FA" w14:textId="77777777" w:rsidR="00715C9F" w:rsidRPr="00715C9F" w:rsidRDefault="00715C9F" w:rsidP="00715C9F">
      <w:pPr>
        <w:pStyle w:val="B1"/>
      </w:pPr>
      <w:r w:rsidRPr="00715C9F">
        <w:t>-</w:t>
      </w:r>
      <w:r w:rsidRPr="00715C9F">
        <w:tab/>
        <w:t xml:space="preserve">the first valid PRACH occasion of the first set is the first valid PRACH occasion </w:t>
      </w:r>
    </w:p>
    <w:p w14:paraId="53D34795" w14:textId="77777777" w:rsidR="00715C9F" w:rsidRPr="00715C9F" w:rsidRDefault="00715C9F" w:rsidP="00715C9F">
      <w:pPr>
        <w:pStyle w:val="B1"/>
      </w:pPr>
      <w:r w:rsidRPr="00715C9F">
        <w:t>-</w:t>
      </w:r>
      <w:r w:rsidRPr="00715C9F">
        <w:tab/>
        <w:t>the first valid PRACH occasion of subsequent sets, if any, is determined according to an ordering of valid PRACH occasions</w:t>
      </w:r>
      <w:r w:rsidRPr="00715C9F" w:rsidDel="00F7447F">
        <w:t xml:space="preserve"> </w:t>
      </w:r>
    </w:p>
    <w:p w14:paraId="6B6DF2E5" w14:textId="77777777" w:rsidR="00715C9F" w:rsidRPr="00715C9F" w:rsidRDefault="00715C9F" w:rsidP="00715C9F">
      <w:pPr>
        <w:pStyle w:val="B2"/>
        <w:rPr>
          <w:lang w:val="en-US"/>
        </w:rPr>
      </w:pPr>
      <w:r w:rsidRPr="00715C9F">
        <w:rPr>
          <w:lang w:val="en-US"/>
        </w:rPr>
        <w:t>-</w:t>
      </w:r>
      <w:r w:rsidRPr="00715C9F">
        <w:tab/>
        <w:t>first, in increasing order of frequency resource indexes for frequency multiplexed PRACH occasions</w:t>
      </w:r>
    </w:p>
    <w:p w14:paraId="740C3E3D" w14:textId="77777777" w:rsidR="00715C9F" w:rsidRPr="00715C9F" w:rsidRDefault="00715C9F" w:rsidP="00715C9F">
      <w:pPr>
        <w:pStyle w:val="B2"/>
      </w:pPr>
      <w:r w:rsidRPr="00715C9F">
        <w:rPr>
          <w:lang w:val="en-US"/>
        </w:rPr>
        <w:t>-</w:t>
      </w:r>
      <w:r w:rsidRPr="00715C9F">
        <w:tab/>
        <w:t xml:space="preserve">second, in increasing order of time resource indexes for time multiplexed PRACH occasions </w:t>
      </w:r>
    </w:p>
    <w:p w14:paraId="14BC9E87" w14:textId="77777777" w:rsidR="00715C9F" w:rsidRPr="00715C9F" w:rsidRDefault="00715C9F" w:rsidP="00715C9F">
      <w:r w:rsidRPr="00715C9F">
        <w:rPr>
          <w:lang w:val="en-US"/>
        </w:rPr>
        <w:t>where,</w:t>
      </w:r>
      <w:r w:rsidRPr="00715C9F">
        <w:t xml:space="preserve"> for each frequency resource index for frequency multiplexed PRACH occasions</w:t>
      </w:r>
    </w:p>
    <w:p w14:paraId="231A57F8" w14:textId="77777777" w:rsidR="00715C9F" w:rsidRPr="00715C9F" w:rsidRDefault="00715C9F" w:rsidP="00715C9F">
      <w:pPr>
        <w:pStyle w:val="B1"/>
      </w:pPr>
      <w:r w:rsidRPr="00715C9F">
        <w:t>-</w:t>
      </w:r>
      <w:r w:rsidRPr="00715C9F">
        <w:tab/>
        <w:t xml:space="preserve">the first valid PRACH occasion of the first set is the first valid PRACH occasion </w:t>
      </w:r>
    </w:p>
    <w:p w14:paraId="44AD7E0A" w14:textId="77777777" w:rsidR="00715C9F" w:rsidRPr="00715C9F" w:rsidRDefault="00715C9F" w:rsidP="00715C9F">
      <w:pPr>
        <w:pStyle w:val="B1"/>
      </w:pPr>
      <w:r w:rsidRPr="00715C9F">
        <w:t>-</w:t>
      </w:r>
      <w:r w:rsidRPr="00715C9F">
        <w:tab/>
        <w:t xml:space="preserve">the first valid PRACH occasion of subsequent sets, if any,  </w:t>
      </w:r>
    </w:p>
    <w:p w14:paraId="4EC92145" w14:textId="5C64D5D3" w:rsidR="00715C9F" w:rsidRPr="00715C9F" w:rsidRDefault="00715C9F" w:rsidP="00715C9F">
      <w:pPr>
        <w:pStyle w:val="B2"/>
      </w:pPr>
      <w:r w:rsidRPr="00715C9F">
        <w:rPr>
          <w:lang w:val="en-US"/>
        </w:rPr>
        <w:lastRenderedPageBreak/>
        <w:t>-</w:t>
      </w:r>
      <w:r w:rsidRPr="00715C9F">
        <w:tab/>
        <w:t xml:space="preserve">is after </w:t>
      </w:r>
      <w:r w:rsidR="00653294" w:rsidRPr="00170251">
        <w:rPr>
          <w:i/>
          <w:iCs/>
          <w:szCs w:val="21"/>
        </w:rPr>
        <w:t>msg1-RepetitionTimeOffsetROGroup</w:t>
      </w:r>
      <w:r w:rsidRPr="00715C9F">
        <w:t xml:space="preserve"> consecutive valid PRACH occasions in time from the first valid PRACH occasion of the previous set, where each PRACH occasion is associated with same SS/PBCH block index(es) and each SS/PBCH block index is associated with same preambles, if </w:t>
      </w:r>
      <w:r w:rsidR="00653294" w:rsidRPr="00170251">
        <w:rPr>
          <w:i/>
          <w:iCs/>
          <w:szCs w:val="21"/>
        </w:rPr>
        <w:t>msg1-RepetitionTimeOffsetROGroup</w:t>
      </w:r>
      <w:r w:rsidRPr="00715C9F">
        <w:t xml:space="preserve"> is provided </w:t>
      </w:r>
    </w:p>
    <w:p w14:paraId="150E3387" w14:textId="21B16A93" w:rsidR="00715C9F" w:rsidRPr="00715C9F" w:rsidRDefault="00715C9F" w:rsidP="00715C9F">
      <w:pPr>
        <w:pStyle w:val="B2"/>
        <w:rPr>
          <w:lang w:val="en-US"/>
        </w:rPr>
      </w:pPr>
      <w:r w:rsidRPr="00715C9F">
        <w:rPr>
          <w:lang w:val="en-US"/>
        </w:rPr>
        <w:t>-</w:t>
      </w:r>
      <w:r w:rsidRPr="00715C9F">
        <w:tab/>
        <w:t xml:space="preserve">is after </w:t>
      </w:r>
      <w:r w:rsidRPr="00715C9F">
        <w:rPr>
          <w:bCs/>
        </w:rPr>
        <w:t xml:space="preserve">the </w:t>
      </w:r>
      <w:r w:rsidRPr="00715C9F">
        <w:t>PRACH occasions</w:t>
      </w:r>
      <w:r w:rsidRPr="00715C9F">
        <w:rPr>
          <w:bCs/>
        </w:rPr>
        <w:t xml:space="preserve"> for the previous </w:t>
      </w:r>
      <w:r w:rsidRPr="00715C9F">
        <w:t xml:space="preserve">set, if </w:t>
      </w:r>
      <w:r w:rsidR="00653294" w:rsidRPr="00170251">
        <w:rPr>
          <w:i/>
          <w:iCs/>
          <w:szCs w:val="21"/>
        </w:rPr>
        <w:t>msg1-RepetitionTimeOffsetROGroup</w:t>
      </w:r>
      <w:r w:rsidRPr="00715C9F">
        <w:t xml:space="preserve"> is not provided</w:t>
      </w:r>
    </w:p>
    <w:p w14:paraId="6A0B9ABD" w14:textId="3D36BE37" w:rsidR="005B74DE" w:rsidRPr="00C617C6" w:rsidRDefault="00C7484E" w:rsidP="00376B88">
      <w:pPr>
        <w:rPr>
          <w:lang w:val="en-US"/>
        </w:rPr>
      </w:pPr>
      <w:r w:rsidRPr="005733B7">
        <w:rPr>
          <w:rFonts w:eastAsia="DengXian"/>
          <w:lang w:eastAsia="zh-CN"/>
        </w:rPr>
        <w:t>For a PRACH transmission triggered upon</w:t>
      </w:r>
      <w:r>
        <w:rPr>
          <w:rFonts w:eastAsia="DengXian"/>
          <w:lang w:eastAsia="zh-CN"/>
        </w:rPr>
        <w:t xml:space="preserve"> request</w:t>
      </w:r>
      <w:r w:rsidRPr="005733B7">
        <w:rPr>
          <w:rFonts w:eastAsia="DengXian"/>
          <w:lang w:eastAsia="zh-CN"/>
        </w:rPr>
        <w:t xml:space="preserve"> by higher layers</w:t>
      </w:r>
      <w:r>
        <w:rPr>
          <w:rFonts w:eastAsia="DengXian"/>
          <w:lang w:eastAsia="zh-CN"/>
        </w:rPr>
        <w:t>, a value of</w:t>
      </w:r>
      <w:r w:rsidRPr="001050E8">
        <w:rPr>
          <w:rFonts w:eastAsia="DengXian"/>
          <w:lang w:eastAsia="zh-CN"/>
        </w:rPr>
        <w:t xml:space="preserve"> </w:t>
      </w:r>
      <w:r w:rsidRPr="00883746">
        <w:rPr>
          <w:rFonts w:eastAsia="DengXian"/>
          <w:i/>
          <w:lang w:eastAsia="zh-CN"/>
        </w:rPr>
        <w:t>ra-OccasionList</w:t>
      </w:r>
      <w:r>
        <w:rPr>
          <w:rFonts w:eastAsia="DengXian"/>
          <w:lang w:eastAsia="zh-CN"/>
        </w:rPr>
        <w:t xml:space="preserve"> [12</w:t>
      </w:r>
      <w:r w:rsidRPr="001050E8">
        <w:rPr>
          <w:rFonts w:eastAsia="DengXian"/>
          <w:lang w:eastAsia="zh-CN"/>
        </w:rPr>
        <w:t>, T</w:t>
      </w:r>
      <w:r>
        <w:rPr>
          <w:rFonts w:eastAsia="DengXian"/>
          <w:lang w:eastAsia="zh-CN"/>
        </w:rPr>
        <w:t xml:space="preserve">S 38.331], if </w:t>
      </w:r>
      <w:r w:rsidR="001246F0">
        <w:rPr>
          <w:rFonts w:eastAsia="DengXian"/>
          <w:i/>
          <w:lang w:eastAsia="zh-CN"/>
        </w:rPr>
        <w:t>csirs-ResourceList</w:t>
      </w:r>
      <w:r w:rsidR="001246F0">
        <w:rPr>
          <w:rFonts w:eastAsia="DengXian"/>
          <w:lang w:eastAsia="zh-CN"/>
        </w:rPr>
        <w:t xml:space="preserve"> is provided</w:t>
      </w:r>
      <w:r>
        <w:rPr>
          <w:rFonts w:eastAsia="DengXian"/>
          <w:lang w:eastAsia="zh-CN"/>
        </w:rPr>
        <w:t>, indicates a</w:t>
      </w:r>
      <w:r w:rsidRPr="001050E8">
        <w:rPr>
          <w:rFonts w:eastAsia="DengXian"/>
          <w:lang w:eastAsia="zh-CN"/>
        </w:rPr>
        <w:t xml:space="preserve"> list of PRACH occasions for the PRACH transmission where the PRACH o</w:t>
      </w:r>
      <w:r>
        <w:rPr>
          <w:rFonts w:eastAsia="DengXian"/>
          <w:lang w:eastAsia="zh-CN"/>
        </w:rPr>
        <w:t xml:space="preserve">ccasions are associated with </w:t>
      </w:r>
      <w:r w:rsidR="001246F0">
        <w:rPr>
          <w:rFonts w:eastAsia="DengXian"/>
          <w:lang w:eastAsia="zh-CN"/>
        </w:rPr>
        <w:t>the selected</w:t>
      </w:r>
      <w:r w:rsidRPr="001050E8">
        <w:rPr>
          <w:rFonts w:eastAsia="DengXian"/>
          <w:lang w:eastAsia="zh-CN"/>
        </w:rPr>
        <w:t xml:space="preserve"> CSI-RS index indicated by</w:t>
      </w:r>
      <w:r w:rsidRPr="00883746">
        <w:rPr>
          <w:rFonts w:eastAsia="DengXian"/>
          <w:i/>
          <w:lang w:eastAsia="zh-CN"/>
        </w:rPr>
        <w:t xml:space="preserve"> csi-RS</w:t>
      </w:r>
      <w:r w:rsidRPr="001050E8">
        <w:rPr>
          <w:rFonts w:eastAsia="DengXian"/>
          <w:lang w:eastAsia="zh-CN"/>
        </w:rPr>
        <w:t xml:space="preserve">. The indexing of the </w:t>
      </w:r>
      <w:r>
        <w:rPr>
          <w:rFonts w:eastAsia="DengXian"/>
          <w:lang w:eastAsia="zh-CN"/>
        </w:rPr>
        <w:t>PRACH occasions indicated by</w:t>
      </w:r>
      <w:r w:rsidRPr="001050E8">
        <w:rPr>
          <w:rFonts w:eastAsia="DengXian"/>
          <w:lang w:eastAsia="zh-CN"/>
        </w:rPr>
        <w:t xml:space="preserve"> </w:t>
      </w:r>
      <w:r w:rsidRPr="00883746">
        <w:rPr>
          <w:rFonts w:eastAsia="DengXian"/>
          <w:i/>
          <w:lang w:eastAsia="zh-CN"/>
        </w:rPr>
        <w:t>ra-OccasionList</w:t>
      </w:r>
      <w:r w:rsidRPr="001050E8">
        <w:rPr>
          <w:rFonts w:eastAsia="DengXian"/>
          <w:lang w:eastAsia="zh-CN"/>
        </w:rPr>
        <w:t xml:space="preserve"> is reset per association</w:t>
      </w:r>
      <w:r>
        <w:rPr>
          <w:rFonts w:eastAsia="DengXian" w:hint="eastAsia"/>
          <w:lang w:eastAsia="zh-CN"/>
        </w:rPr>
        <w:t xml:space="preserve"> pattern</w:t>
      </w:r>
      <w:r w:rsidRPr="001050E8">
        <w:rPr>
          <w:rFonts w:eastAsia="DengXian"/>
          <w:lang w:eastAsia="zh-CN"/>
        </w:rPr>
        <w:t xml:space="preserve"> period</w:t>
      </w:r>
      <w:r>
        <w:rPr>
          <w:rFonts w:eastAsia="DengXian" w:hint="eastAsia"/>
          <w:lang w:eastAsia="zh-CN"/>
        </w:rPr>
        <w:t>.</w:t>
      </w:r>
    </w:p>
    <w:p w14:paraId="5A3C35CD" w14:textId="77777777" w:rsidR="005B74DE" w:rsidRPr="00E9040D" w:rsidRDefault="005B74DE" w:rsidP="005B74DE">
      <w:pPr>
        <w:pStyle w:val="TH"/>
      </w:pPr>
      <w:r>
        <w:t>Table 8.1-1</w:t>
      </w:r>
      <w:r w:rsidRPr="00E9040D">
        <w:t xml:space="preserve">: </w:t>
      </w:r>
      <w:r>
        <w:t>Mapping between PRACH configuration period and SS/PBCH block to PRACH occasion association period</w:t>
      </w:r>
    </w:p>
    <w:tbl>
      <w:tblPr>
        <w:tblW w:w="0" w:type="auto"/>
        <w:jc w:val="center"/>
        <w:tblLook w:val="01E0" w:firstRow="1" w:lastRow="1" w:firstColumn="1" w:lastColumn="1" w:noHBand="0" w:noVBand="0"/>
      </w:tblPr>
      <w:tblGrid>
        <w:gridCol w:w="3325"/>
        <w:gridCol w:w="3780"/>
      </w:tblGrid>
      <w:tr w:rsidR="005B74DE" w:rsidRPr="00E9040D" w14:paraId="36634329" w14:textId="77777777" w:rsidTr="00011FE0">
        <w:trPr>
          <w:jc w:val="center"/>
        </w:trPr>
        <w:tc>
          <w:tcPr>
            <w:tcW w:w="3325" w:type="dxa"/>
            <w:tcBorders>
              <w:top w:val="single" w:sz="4" w:space="0" w:color="auto"/>
              <w:left w:val="single" w:sz="4" w:space="0" w:color="auto"/>
              <w:bottom w:val="single" w:sz="4" w:space="0" w:color="auto"/>
              <w:right w:val="single" w:sz="4" w:space="0" w:color="auto"/>
            </w:tcBorders>
            <w:shd w:val="clear" w:color="auto" w:fill="E0E0E0"/>
            <w:vAlign w:val="center"/>
          </w:tcPr>
          <w:p w14:paraId="52E8DDF3" w14:textId="77777777" w:rsidR="005B74DE" w:rsidRPr="00E9040D" w:rsidRDefault="005B74DE" w:rsidP="00011FE0">
            <w:pPr>
              <w:pStyle w:val="TAH"/>
            </w:pPr>
            <w:r>
              <w:t>PRACH configuration period (msec)</w:t>
            </w:r>
          </w:p>
        </w:tc>
        <w:tc>
          <w:tcPr>
            <w:tcW w:w="3780" w:type="dxa"/>
            <w:tcBorders>
              <w:top w:val="single" w:sz="4" w:space="0" w:color="auto"/>
              <w:left w:val="single" w:sz="4" w:space="0" w:color="auto"/>
              <w:bottom w:val="single" w:sz="4" w:space="0" w:color="auto"/>
              <w:right w:val="single" w:sz="4" w:space="0" w:color="auto"/>
            </w:tcBorders>
            <w:shd w:val="clear" w:color="auto" w:fill="E0E0E0"/>
            <w:vAlign w:val="center"/>
          </w:tcPr>
          <w:p w14:paraId="4A97A35F" w14:textId="77777777" w:rsidR="005B74DE" w:rsidRPr="00E9040D" w:rsidRDefault="005B74DE" w:rsidP="00011FE0">
            <w:pPr>
              <w:pStyle w:val="TAH"/>
            </w:pPr>
            <w:r>
              <w:t>Association period (number of PRACH configuration periods)</w:t>
            </w:r>
          </w:p>
        </w:tc>
      </w:tr>
      <w:tr w:rsidR="005B74DE" w:rsidRPr="00E9040D" w14:paraId="332F72C8" w14:textId="77777777" w:rsidTr="00011FE0">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191458F5" w14:textId="77777777" w:rsidR="005B74DE" w:rsidRPr="00E9040D" w:rsidRDefault="005B74DE" w:rsidP="00011FE0">
            <w:pPr>
              <w:pStyle w:val="TAC"/>
            </w:pPr>
            <w:r>
              <w:t>10</w:t>
            </w:r>
          </w:p>
        </w:tc>
        <w:tc>
          <w:tcPr>
            <w:tcW w:w="3780" w:type="dxa"/>
            <w:tcBorders>
              <w:top w:val="single" w:sz="4" w:space="0" w:color="auto"/>
              <w:left w:val="single" w:sz="4" w:space="0" w:color="auto"/>
              <w:bottom w:val="single" w:sz="4" w:space="0" w:color="auto"/>
              <w:right w:val="single" w:sz="4" w:space="0" w:color="auto"/>
            </w:tcBorders>
            <w:vAlign w:val="center"/>
          </w:tcPr>
          <w:p w14:paraId="3CA57969" w14:textId="77777777" w:rsidR="005B74DE" w:rsidRPr="00E9040D" w:rsidRDefault="005B74DE" w:rsidP="00011FE0">
            <w:pPr>
              <w:pStyle w:val="TAC"/>
            </w:pPr>
            <w:r>
              <w:t>{1, 2, 4, 8, 16}</w:t>
            </w:r>
          </w:p>
        </w:tc>
      </w:tr>
      <w:tr w:rsidR="005B74DE" w:rsidRPr="00E9040D" w14:paraId="2F1AA108" w14:textId="77777777" w:rsidTr="00011FE0">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3E5340FE" w14:textId="77777777" w:rsidR="005B74DE" w:rsidRPr="00E9040D" w:rsidRDefault="005B74DE" w:rsidP="00011FE0">
            <w:pPr>
              <w:pStyle w:val="TAC"/>
            </w:pPr>
            <w:r>
              <w:t>20</w:t>
            </w:r>
          </w:p>
        </w:tc>
        <w:tc>
          <w:tcPr>
            <w:tcW w:w="3780" w:type="dxa"/>
            <w:tcBorders>
              <w:top w:val="single" w:sz="4" w:space="0" w:color="auto"/>
              <w:left w:val="single" w:sz="4" w:space="0" w:color="auto"/>
              <w:bottom w:val="single" w:sz="4" w:space="0" w:color="auto"/>
              <w:right w:val="single" w:sz="4" w:space="0" w:color="auto"/>
            </w:tcBorders>
            <w:vAlign w:val="center"/>
          </w:tcPr>
          <w:p w14:paraId="1AF11E0D" w14:textId="77777777" w:rsidR="005B74DE" w:rsidRPr="00E9040D" w:rsidRDefault="005B74DE" w:rsidP="00011FE0">
            <w:pPr>
              <w:pStyle w:val="TAC"/>
            </w:pPr>
            <w:r>
              <w:t>{1, 2, 4, 8}</w:t>
            </w:r>
          </w:p>
        </w:tc>
      </w:tr>
      <w:tr w:rsidR="005B74DE" w:rsidRPr="00E9040D" w14:paraId="0621E8F8" w14:textId="77777777" w:rsidTr="00011FE0">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2BA06E40" w14:textId="77777777" w:rsidR="005B74DE" w:rsidRDefault="005B74DE" w:rsidP="00011FE0">
            <w:pPr>
              <w:pStyle w:val="TAC"/>
            </w:pPr>
            <w:r>
              <w:t>40</w:t>
            </w:r>
          </w:p>
        </w:tc>
        <w:tc>
          <w:tcPr>
            <w:tcW w:w="3780" w:type="dxa"/>
            <w:tcBorders>
              <w:top w:val="single" w:sz="4" w:space="0" w:color="auto"/>
              <w:left w:val="single" w:sz="4" w:space="0" w:color="auto"/>
              <w:bottom w:val="single" w:sz="4" w:space="0" w:color="auto"/>
              <w:right w:val="single" w:sz="4" w:space="0" w:color="auto"/>
            </w:tcBorders>
            <w:vAlign w:val="center"/>
          </w:tcPr>
          <w:p w14:paraId="44B24585" w14:textId="77777777" w:rsidR="005B74DE" w:rsidRDefault="005B74DE" w:rsidP="00011FE0">
            <w:pPr>
              <w:pStyle w:val="TAC"/>
            </w:pPr>
            <w:r>
              <w:t>{1, 2, 4}</w:t>
            </w:r>
          </w:p>
        </w:tc>
      </w:tr>
      <w:tr w:rsidR="005B74DE" w:rsidRPr="00E9040D" w14:paraId="7A5BD429" w14:textId="77777777" w:rsidTr="00011FE0">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5DF329EA" w14:textId="77777777" w:rsidR="005B74DE" w:rsidRPr="00E9040D" w:rsidRDefault="005B74DE" w:rsidP="00011FE0">
            <w:pPr>
              <w:pStyle w:val="TAC"/>
            </w:pPr>
            <w:r>
              <w:t>80</w:t>
            </w:r>
          </w:p>
        </w:tc>
        <w:tc>
          <w:tcPr>
            <w:tcW w:w="3780" w:type="dxa"/>
            <w:tcBorders>
              <w:top w:val="single" w:sz="4" w:space="0" w:color="auto"/>
              <w:left w:val="single" w:sz="4" w:space="0" w:color="auto"/>
              <w:bottom w:val="single" w:sz="4" w:space="0" w:color="auto"/>
              <w:right w:val="single" w:sz="4" w:space="0" w:color="auto"/>
            </w:tcBorders>
            <w:vAlign w:val="center"/>
          </w:tcPr>
          <w:p w14:paraId="549BDC36" w14:textId="77777777" w:rsidR="005B74DE" w:rsidRPr="00E9040D" w:rsidRDefault="005B74DE" w:rsidP="00011FE0">
            <w:pPr>
              <w:pStyle w:val="TAC"/>
            </w:pPr>
            <w:r>
              <w:t>{1, 2}</w:t>
            </w:r>
          </w:p>
        </w:tc>
      </w:tr>
      <w:tr w:rsidR="005B74DE" w:rsidRPr="00E9040D" w14:paraId="6979DD7B" w14:textId="77777777" w:rsidTr="00011FE0">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2FE73337" w14:textId="77777777" w:rsidR="005B74DE" w:rsidRPr="00E9040D" w:rsidRDefault="005B74DE" w:rsidP="00011FE0">
            <w:pPr>
              <w:pStyle w:val="TAC"/>
            </w:pPr>
            <w:r>
              <w:t>160</w:t>
            </w:r>
          </w:p>
        </w:tc>
        <w:tc>
          <w:tcPr>
            <w:tcW w:w="3780" w:type="dxa"/>
            <w:tcBorders>
              <w:top w:val="single" w:sz="4" w:space="0" w:color="auto"/>
              <w:left w:val="single" w:sz="4" w:space="0" w:color="auto"/>
              <w:bottom w:val="single" w:sz="4" w:space="0" w:color="auto"/>
              <w:right w:val="single" w:sz="4" w:space="0" w:color="auto"/>
            </w:tcBorders>
            <w:vAlign w:val="center"/>
          </w:tcPr>
          <w:p w14:paraId="53A48472" w14:textId="77777777" w:rsidR="005B74DE" w:rsidRPr="00E9040D" w:rsidRDefault="005B74DE" w:rsidP="00011FE0">
            <w:pPr>
              <w:pStyle w:val="TAC"/>
            </w:pPr>
            <w:r>
              <w:t>{1}</w:t>
            </w:r>
          </w:p>
        </w:tc>
      </w:tr>
    </w:tbl>
    <w:p w14:paraId="0332B03F" w14:textId="77777777" w:rsidR="005B74DE" w:rsidRPr="00E650B0" w:rsidRDefault="005B74DE" w:rsidP="007600E4">
      <w:pPr>
        <w:pStyle w:val="FP"/>
      </w:pPr>
    </w:p>
    <w:p w14:paraId="4AA01E54" w14:textId="513046D3" w:rsidR="00CD3510" w:rsidRDefault="00B80E18" w:rsidP="00715C9F">
      <w:r w:rsidRPr="00162E2F">
        <w:t xml:space="preserve">For paired spectrum </w:t>
      </w:r>
      <w:r w:rsidR="00CB5408">
        <w:rPr>
          <w:rFonts w:eastAsia="Times New Roman"/>
        </w:rPr>
        <w:t>or supplementary uplink band</w:t>
      </w:r>
      <w:r w:rsidR="00CB5408" w:rsidRPr="00162E2F">
        <w:t xml:space="preserve"> </w:t>
      </w:r>
      <w:r w:rsidRPr="00162E2F">
        <w:t xml:space="preserve">all PRACH occasions are valid. </w:t>
      </w:r>
    </w:p>
    <w:p w14:paraId="7BB85441" w14:textId="77777777" w:rsidR="00CD3510" w:rsidRDefault="00B80E18" w:rsidP="00B80E18">
      <w:bookmarkStart w:id="342" w:name="_Hlk29801864"/>
      <w:r w:rsidRPr="00162E2F">
        <w:t xml:space="preserve">For unpaired spectrum, </w:t>
      </w:r>
    </w:p>
    <w:p w14:paraId="69854D5A" w14:textId="33CD359B" w:rsidR="00B80E18" w:rsidRPr="00162E2F" w:rsidRDefault="00CD3510" w:rsidP="00A312BF">
      <w:pPr>
        <w:pStyle w:val="B1"/>
      </w:pPr>
      <w:r>
        <w:t>-</w:t>
      </w:r>
      <w:r>
        <w:tab/>
      </w:r>
      <w:r w:rsidR="00B80E18" w:rsidRPr="00162E2F">
        <w:t xml:space="preserve">if a UE is not provided </w:t>
      </w:r>
      <w:r w:rsidR="003943AF">
        <w:rPr>
          <w:i/>
        </w:rPr>
        <w:t>tdd</w:t>
      </w:r>
      <w:r w:rsidR="00B80E18" w:rsidRPr="00162E2F">
        <w:rPr>
          <w:i/>
        </w:rPr>
        <w:t>-UL-DL-ConfigurationCommon</w:t>
      </w:r>
      <w:r w:rsidR="00B80E18" w:rsidRPr="00162E2F">
        <w:t xml:space="preserve">, a PRACH occasion </w:t>
      </w:r>
      <w:r w:rsidR="00B80E18" w:rsidRPr="00162E2F">
        <w:rPr>
          <w:rStyle w:val="colour"/>
        </w:rPr>
        <w:t>in a PRACH slot</w:t>
      </w:r>
      <w:r w:rsidR="00B80E18" w:rsidRPr="00162E2F">
        <w:t xml:space="preserve"> is valid if it does not precede a SS/PBCH block in the PRACH slot and starts at least </w:t>
      </w:r>
      <m:oMath>
        <m:sSub>
          <m:sSubPr>
            <m:ctrlPr>
              <w:rPr>
                <w:rFonts w:ascii="Cambria Math" w:hAnsi="Cambria Math"/>
                <w:i/>
              </w:rPr>
            </m:ctrlPr>
          </m:sSubPr>
          <m:e>
            <m:r>
              <w:rPr>
                <w:rFonts w:ascii="Cambria Math" w:hAnsi="Cambria Math"/>
              </w:rPr>
              <m:t>N</m:t>
            </m:r>
          </m:e>
          <m:sub>
            <m:r>
              <m:rPr>
                <m:sty m:val="p"/>
              </m:rPr>
              <w:rPr>
                <w:rFonts w:ascii="Cambria Math" w:hAnsi="Cambria Math"/>
              </w:rPr>
              <m:t>gap</m:t>
            </m:r>
          </m:sub>
        </m:sSub>
      </m:oMath>
      <w:r w:rsidR="00B80E18" w:rsidRPr="00162E2F">
        <w:t xml:space="preserve"> symbols after a last SS/PBCH block </w:t>
      </w:r>
      <w:r w:rsidR="000A4881">
        <w:rPr>
          <w:lang w:val="en-US"/>
        </w:rPr>
        <w:t xml:space="preserve">reception </w:t>
      </w:r>
      <w:r w:rsidR="00B80E18" w:rsidRPr="00162E2F">
        <w:t xml:space="preserve">symbol, where </w:t>
      </w:r>
      <m:oMath>
        <m:sSub>
          <m:sSubPr>
            <m:ctrlPr>
              <w:rPr>
                <w:rFonts w:ascii="Cambria Math" w:hAnsi="Cambria Math"/>
                <w:i/>
              </w:rPr>
            </m:ctrlPr>
          </m:sSubPr>
          <m:e>
            <m:r>
              <w:rPr>
                <w:rFonts w:ascii="Cambria Math" w:hAnsi="Cambria Math"/>
              </w:rPr>
              <m:t>N</m:t>
            </m:r>
          </m:e>
          <m:sub>
            <m:r>
              <m:rPr>
                <m:sty m:val="p"/>
              </m:rPr>
              <w:rPr>
                <w:rFonts w:ascii="Cambria Math" w:hAnsi="Cambria Math"/>
              </w:rPr>
              <m:t>gap</m:t>
            </m:r>
          </m:sub>
        </m:sSub>
      </m:oMath>
      <w:r w:rsidR="00B80E18">
        <w:t xml:space="preserve"> is provided in Table 8.1</w:t>
      </w:r>
      <w:r w:rsidR="00B80E18" w:rsidRPr="00162E2F">
        <w:t>-2</w:t>
      </w:r>
      <w:r w:rsidR="00443AAC">
        <w:rPr>
          <w:lang w:val="en-US"/>
        </w:rPr>
        <w:t xml:space="preserve"> and, </w:t>
      </w:r>
      <w:r w:rsidR="00443AAC" w:rsidRPr="000E198D">
        <w:rPr>
          <w:rFonts w:hint="eastAsia"/>
        </w:rPr>
        <w:t xml:space="preserve">if </w:t>
      </w:r>
      <w:r w:rsidR="006545FE">
        <w:rPr>
          <w:i/>
          <w:iCs/>
          <w:lang w:val="en-US"/>
        </w:rPr>
        <w:t>c</w:t>
      </w:r>
      <w:r w:rsidR="006545FE" w:rsidRPr="000E198D">
        <w:rPr>
          <w:rFonts w:hint="eastAsia"/>
          <w:i/>
          <w:iCs/>
        </w:rPr>
        <w:t>hannelAccess</w:t>
      </w:r>
      <w:r w:rsidR="006545FE" w:rsidRPr="000E198D">
        <w:rPr>
          <w:rFonts w:hint="eastAsia"/>
          <w:i/>
          <w:iCs/>
          <w:lang w:eastAsia="zh-CN"/>
        </w:rPr>
        <w:t>Mode</w:t>
      </w:r>
      <w:r w:rsidR="00443AAC" w:rsidRPr="000E198D">
        <w:rPr>
          <w:rFonts w:hint="eastAsia"/>
        </w:rPr>
        <w:t xml:space="preserve"> = </w:t>
      </w:r>
      <w:r w:rsidR="00533C00" w:rsidRPr="003817EF">
        <w:rPr>
          <w:lang w:val="en-GB"/>
        </w:rPr>
        <w:t>"</w:t>
      </w:r>
      <w:r w:rsidR="0077778F" w:rsidRPr="000E198D">
        <w:rPr>
          <w:rFonts w:hint="eastAsia"/>
          <w:i/>
          <w:iCs/>
        </w:rPr>
        <w:t>semi</w:t>
      </w:r>
      <w:r w:rsidR="0077778F">
        <w:rPr>
          <w:i/>
          <w:iCs/>
          <w:lang w:val="en-GB"/>
        </w:rPr>
        <w:t>S</w:t>
      </w:r>
      <w:r w:rsidR="0077778F" w:rsidRPr="000E198D">
        <w:rPr>
          <w:rFonts w:hint="eastAsia"/>
          <w:i/>
          <w:iCs/>
        </w:rPr>
        <w:t>tatic</w:t>
      </w:r>
      <w:r w:rsidR="00533C00" w:rsidRPr="003817EF">
        <w:rPr>
          <w:lang w:val="en-GB"/>
        </w:rPr>
        <w:t>"</w:t>
      </w:r>
      <w:r w:rsidR="0077778F" w:rsidRPr="003817EF">
        <w:rPr>
          <w:rFonts w:hint="eastAsia"/>
        </w:rPr>
        <w:t xml:space="preserve"> </w:t>
      </w:r>
      <w:r w:rsidR="00443AAC" w:rsidRPr="000E198D">
        <w:rPr>
          <w:rFonts w:hint="eastAsia"/>
        </w:rPr>
        <w:t xml:space="preserve">is provided, does not overlap with a set of consecutive symbols before the start of a next channel occupancy time where </w:t>
      </w:r>
      <w:r w:rsidR="00443AAC">
        <w:rPr>
          <w:lang w:val="en-US"/>
        </w:rPr>
        <w:t>the UE does not</w:t>
      </w:r>
      <w:r w:rsidR="00443AAC" w:rsidRPr="000E198D">
        <w:rPr>
          <w:rFonts w:hint="eastAsia"/>
        </w:rPr>
        <w:t xml:space="preserve"> transmi</w:t>
      </w:r>
      <w:r w:rsidR="00443AAC">
        <w:rPr>
          <w:lang w:val="en-US"/>
        </w:rPr>
        <w:t>t</w:t>
      </w:r>
      <w:r w:rsidR="00443AAC" w:rsidRPr="000E198D">
        <w:rPr>
          <w:rFonts w:hint="eastAsia"/>
        </w:rPr>
        <w:t xml:space="preserve"> [15, TS 37.213]</w:t>
      </w:r>
      <w:r w:rsidR="00B80E18" w:rsidRPr="00162E2F">
        <w:t>.</w:t>
      </w:r>
    </w:p>
    <w:p w14:paraId="39F56CC2" w14:textId="498D5773" w:rsidR="00CD3510" w:rsidRDefault="00CD3510" w:rsidP="00A312BF">
      <w:pPr>
        <w:pStyle w:val="B2"/>
        <w:rPr>
          <w:lang w:eastAsia="zh-CN"/>
        </w:rPr>
      </w:pPr>
      <w:r>
        <w:t>-</w:t>
      </w:r>
      <w:r>
        <w:tab/>
        <w:t>the</w:t>
      </w:r>
      <w:r w:rsidR="00443AAC" w:rsidRPr="00443AAC">
        <w:rPr>
          <w:rFonts w:eastAsia="MS Mincho"/>
        </w:rPr>
        <w:t xml:space="preserve"> </w:t>
      </w:r>
      <w:r w:rsidR="00443AAC">
        <w:rPr>
          <w:rFonts w:eastAsia="MS Mincho"/>
        </w:rPr>
        <w:t>candidate SS/PBCH block</w:t>
      </w:r>
      <w:r>
        <w:t xml:space="preserve"> index of the SS/PBCH block </w:t>
      </w:r>
      <w:r w:rsidR="00443AAC">
        <w:rPr>
          <w:rFonts w:eastAsia="MS Mincho"/>
        </w:rPr>
        <w:t>corresponds to the SS/PBCH block index</w:t>
      </w:r>
      <w:r>
        <w:t xml:space="preserve"> </w:t>
      </w:r>
      <w:r w:rsidRPr="00E505BC">
        <w:rPr>
          <w:rFonts w:hint="eastAsia"/>
          <w:lang w:eastAsia="zh-CN"/>
        </w:rPr>
        <w:t>provided by</w:t>
      </w:r>
      <w:r w:rsidRPr="00E505BC">
        <w:t xml:space="preserve"> </w:t>
      </w:r>
      <w:r w:rsidRPr="00E505BC">
        <w:rPr>
          <w:i/>
        </w:rPr>
        <w:t>ssb-PositionsInBurst</w:t>
      </w:r>
      <w:r w:rsidRPr="00E505BC">
        <w:t xml:space="preserve"> </w:t>
      </w:r>
      <w:r w:rsidRPr="00E505BC">
        <w:rPr>
          <w:lang w:val="en-US"/>
        </w:rPr>
        <w:t xml:space="preserve">in </w:t>
      </w:r>
      <w:r w:rsidRPr="00E505BC">
        <w:rPr>
          <w:i/>
        </w:rPr>
        <w:t>S</w:t>
      </w:r>
      <w:r w:rsidRPr="00E505BC">
        <w:rPr>
          <w:rFonts w:hint="eastAsia"/>
          <w:i/>
          <w:lang w:eastAsia="zh-CN"/>
        </w:rPr>
        <w:t>IB</w:t>
      </w:r>
      <w:r w:rsidRPr="00E505BC">
        <w:rPr>
          <w:i/>
        </w:rPr>
        <w:t>1</w:t>
      </w:r>
      <w:r w:rsidRPr="00E505BC">
        <w:t xml:space="preserve"> or in </w:t>
      </w:r>
      <w:r w:rsidRPr="00E505BC">
        <w:rPr>
          <w:i/>
        </w:rPr>
        <w:t>ServingCellConfigCommon</w:t>
      </w:r>
      <w:r w:rsidR="00443AAC">
        <w:rPr>
          <w:lang w:val="en-US" w:eastAsia="zh-CN"/>
        </w:rPr>
        <w:t xml:space="preserve">, </w:t>
      </w:r>
      <w:r w:rsidR="00443AAC">
        <w:rPr>
          <w:rFonts w:eastAsia="MS Mincho"/>
        </w:rPr>
        <w:t xml:space="preserve">as described </w:t>
      </w:r>
      <w:r w:rsidR="006F5F9E">
        <w:rPr>
          <w:rFonts w:eastAsia="MS Mincho"/>
        </w:rPr>
        <w:t>in clause</w:t>
      </w:r>
      <w:r w:rsidR="00443AAC">
        <w:rPr>
          <w:rFonts w:eastAsia="MS Mincho"/>
        </w:rPr>
        <w:t xml:space="preserve"> 4.1</w:t>
      </w:r>
    </w:p>
    <w:p w14:paraId="175A1A02" w14:textId="77777777" w:rsidR="005B74DE" w:rsidRDefault="000A4881" w:rsidP="00A312BF">
      <w:pPr>
        <w:pStyle w:val="B1"/>
      </w:pPr>
      <w:r>
        <w:rPr>
          <w:lang w:eastAsia="zh-CN"/>
        </w:rPr>
        <w:t>-</w:t>
      </w:r>
      <w:r>
        <w:rPr>
          <w:lang w:eastAsia="zh-CN"/>
        </w:rPr>
        <w:tab/>
      </w:r>
      <w:r w:rsidR="005B74DE" w:rsidRPr="00271331">
        <w:rPr>
          <w:lang w:eastAsia="zh-CN"/>
        </w:rPr>
        <w:t xml:space="preserve">If a UE is provided </w:t>
      </w:r>
      <w:r w:rsidR="003943AF">
        <w:rPr>
          <w:i/>
          <w:lang w:val="en-US"/>
        </w:rPr>
        <w:t>tdd</w:t>
      </w:r>
      <w:r w:rsidR="007D3FC2" w:rsidRPr="00162E2F">
        <w:rPr>
          <w:i/>
          <w:lang w:val="en-US"/>
        </w:rPr>
        <w:t>-</w:t>
      </w:r>
      <w:r w:rsidR="007D3FC2" w:rsidRPr="00162E2F">
        <w:rPr>
          <w:i/>
        </w:rPr>
        <w:t>UL-DL-</w:t>
      </w:r>
      <w:r w:rsidR="007D3FC2" w:rsidRPr="00162E2F">
        <w:rPr>
          <w:i/>
          <w:lang w:val="en-US"/>
        </w:rPr>
        <w:t>ConfigurationCommon</w:t>
      </w:r>
      <w:r w:rsidR="007D3FC2">
        <w:t>,</w:t>
      </w:r>
      <w:r w:rsidR="005B74DE" w:rsidRPr="0010268E">
        <w:t xml:space="preserve"> a PRACH occasion </w:t>
      </w:r>
      <w:r w:rsidR="005B74DE" w:rsidRPr="0010268E">
        <w:rPr>
          <w:rStyle w:val="colour"/>
        </w:rPr>
        <w:t>in a PRACH slot</w:t>
      </w:r>
      <w:r w:rsidR="005B74DE" w:rsidRPr="0010268E">
        <w:t xml:space="preserve"> is valid if </w:t>
      </w:r>
    </w:p>
    <w:p w14:paraId="76A475CC" w14:textId="77777777" w:rsidR="005B74DE" w:rsidRDefault="005B74DE" w:rsidP="00A312BF">
      <w:pPr>
        <w:pStyle w:val="B2"/>
      </w:pPr>
      <w:r>
        <w:t>-</w:t>
      </w:r>
      <w:r>
        <w:tab/>
      </w:r>
      <w:r w:rsidRPr="0010268E">
        <w:t>it is within UL symbols</w:t>
      </w:r>
      <w:r>
        <w:rPr>
          <w:lang w:val="en-US"/>
        </w:rPr>
        <w:t>,</w:t>
      </w:r>
      <w:r w:rsidRPr="0010268E">
        <w:rPr>
          <w:lang w:val="en-US"/>
        </w:rPr>
        <w:t xml:space="preserve"> </w:t>
      </w:r>
      <w:r w:rsidRPr="0010268E">
        <w:t xml:space="preserve">or </w:t>
      </w:r>
    </w:p>
    <w:p w14:paraId="1E48005B" w14:textId="14F377B3" w:rsidR="000A4881" w:rsidRPr="00F76F56" w:rsidRDefault="00B07019" w:rsidP="00A312BF">
      <w:pPr>
        <w:pStyle w:val="B2"/>
        <w:rPr>
          <w:i/>
        </w:rPr>
      </w:pPr>
      <w:r>
        <w:t>-</w:t>
      </w:r>
      <w:r>
        <w:tab/>
      </w:r>
      <w:r>
        <w:rPr>
          <w:lang w:val="en-US"/>
        </w:rPr>
        <w:t xml:space="preserve">it does not precede a SS/PBCH block in the PRACH slot and </w:t>
      </w:r>
      <w:r w:rsidRPr="0010268E">
        <w:t>starts at least</w:t>
      </w:r>
      <w:r>
        <w:rPr>
          <w:lang w:val="en-US"/>
        </w:rPr>
        <w:t xml:space="preserve"> </w:t>
      </w:r>
      <m:oMath>
        <m:sSub>
          <m:sSubPr>
            <m:ctrlPr>
              <w:rPr>
                <w:rFonts w:ascii="Cambria Math" w:hAnsi="Cambria Math"/>
                <w:i/>
              </w:rPr>
            </m:ctrlPr>
          </m:sSubPr>
          <m:e>
            <m:r>
              <w:rPr>
                <w:rFonts w:ascii="Cambria Math" w:hAnsi="Cambria Math"/>
              </w:rPr>
              <m:t>N</m:t>
            </m:r>
          </m:e>
          <m:sub>
            <m:r>
              <m:rPr>
                <m:sty m:val="p"/>
              </m:rPr>
              <w:rPr>
                <w:rFonts w:ascii="Cambria Math" w:hAnsi="Cambria Math"/>
              </w:rPr>
              <m:t>gap</m:t>
            </m:r>
          </m:sub>
        </m:sSub>
      </m:oMath>
      <w:r w:rsidRPr="00271331">
        <w:t xml:space="preserve"> symbols after a last downlink symbol and </w:t>
      </w:r>
      <w:r w:rsidRPr="0010268E">
        <w:t>at least</w:t>
      </w:r>
      <w:r>
        <w:rPr>
          <w:lang w:val="en-US"/>
        </w:rPr>
        <w:t xml:space="preserve"> </w:t>
      </w:r>
      <m:oMath>
        <m:sSub>
          <m:sSubPr>
            <m:ctrlPr>
              <w:rPr>
                <w:rFonts w:ascii="Cambria Math" w:hAnsi="Cambria Math"/>
                <w:i/>
              </w:rPr>
            </m:ctrlPr>
          </m:sSubPr>
          <m:e>
            <m:r>
              <w:rPr>
                <w:rFonts w:ascii="Cambria Math" w:hAnsi="Cambria Math"/>
              </w:rPr>
              <m:t>N</m:t>
            </m:r>
          </m:e>
          <m:sub>
            <m:r>
              <m:rPr>
                <m:sty m:val="p"/>
              </m:rPr>
              <w:rPr>
                <w:rFonts w:ascii="Cambria Math" w:hAnsi="Cambria Math"/>
              </w:rPr>
              <m:t>gap</m:t>
            </m:r>
          </m:sub>
        </m:sSub>
      </m:oMath>
      <w:r>
        <w:t xml:space="preserve"> symbols </w:t>
      </w:r>
      <w:r w:rsidRPr="00271331">
        <w:t>after a last SS/PBCH block symbol</w:t>
      </w:r>
      <w:r>
        <w:rPr>
          <w:lang w:val="en-US"/>
        </w:rPr>
        <w:t>,</w:t>
      </w:r>
      <w:r w:rsidRPr="00271331">
        <w:t xml:space="preserve"> </w:t>
      </w:r>
      <w:r w:rsidRPr="001955EA">
        <w:t xml:space="preserve">where </w:t>
      </w:r>
      <m:oMath>
        <m:sSub>
          <m:sSubPr>
            <m:ctrlPr>
              <w:rPr>
                <w:rFonts w:ascii="Cambria Math" w:hAnsi="Cambria Math"/>
                <w:i/>
              </w:rPr>
            </m:ctrlPr>
          </m:sSubPr>
          <m:e>
            <m:r>
              <w:rPr>
                <w:rFonts w:ascii="Cambria Math" w:hAnsi="Cambria Math"/>
              </w:rPr>
              <m:t>N</m:t>
            </m:r>
          </m:e>
          <m:sub>
            <m:r>
              <m:rPr>
                <m:sty m:val="p"/>
              </m:rPr>
              <w:rPr>
                <w:rFonts w:ascii="Cambria Math" w:hAnsi="Cambria Math"/>
              </w:rPr>
              <m:t>gap</m:t>
            </m:r>
          </m:sub>
        </m:sSub>
      </m:oMath>
      <w:r w:rsidRPr="00271331">
        <w:t xml:space="preserve"> is provided in Table 8.</w:t>
      </w:r>
      <w:r>
        <w:rPr>
          <w:lang w:val="en-US"/>
        </w:rPr>
        <w:t>1</w:t>
      </w:r>
      <w:r w:rsidRPr="00271331">
        <w:t>-2</w:t>
      </w:r>
      <w:r w:rsidR="000A4881">
        <w:rPr>
          <w:lang w:val="en-US"/>
        </w:rPr>
        <w:t xml:space="preserve">, </w:t>
      </w:r>
      <w:r w:rsidR="000A4881" w:rsidRPr="00F76F56">
        <w:t xml:space="preserve">and if </w:t>
      </w:r>
      <w:r w:rsidR="006545FE">
        <w:rPr>
          <w:i/>
          <w:lang w:val="en-US"/>
        </w:rPr>
        <w:t>c</w:t>
      </w:r>
      <w:r w:rsidR="006545FE" w:rsidRPr="001107BF">
        <w:rPr>
          <w:i/>
        </w:rPr>
        <w:t>hannelAccess</w:t>
      </w:r>
      <w:r w:rsidR="006545FE">
        <w:rPr>
          <w:i/>
          <w:lang w:val="en-US"/>
        </w:rPr>
        <w:t>Mode</w:t>
      </w:r>
      <w:r w:rsidR="000A4881" w:rsidRPr="001107BF">
        <w:t xml:space="preserve"> = </w:t>
      </w:r>
      <w:r w:rsidR="00533C00" w:rsidRPr="003817EF">
        <w:rPr>
          <w:lang w:val="en-GB"/>
        </w:rPr>
        <w:t>"</w:t>
      </w:r>
      <w:r w:rsidR="00533C00" w:rsidRPr="001107BF">
        <w:rPr>
          <w:i/>
        </w:rPr>
        <w:t>semi</w:t>
      </w:r>
      <w:r w:rsidR="00533C00">
        <w:rPr>
          <w:i/>
          <w:lang w:val="en-GB"/>
        </w:rPr>
        <w:t>S</w:t>
      </w:r>
      <w:r w:rsidR="00533C00" w:rsidRPr="001107BF">
        <w:rPr>
          <w:i/>
        </w:rPr>
        <w:t>tatic</w:t>
      </w:r>
      <w:r w:rsidR="00533C00" w:rsidRPr="003817EF">
        <w:rPr>
          <w:iCs/>
          <w:lang w:val="en-GB"/>
        </w:rPr>
        <w:t>"</w:t>
      </w:r>
      <w:r w:rsidR="00533C00" w:rsidRPr="003817EF">
        <w:rPr>
          <w:iCs/>
        </w:rPr>
        <w:t xml:space="preserve"> </w:t>
      </w:r>
      <w:r w:rsidR="000A4881" w:rsidRPr="001107BF">
        <w:t xml:space="preserve">is provided, does not overlap with </w:t>
      </w:r>
      <w:r w:rsidR="000A4881" w:rsidRPr="00F76F56">
        <w:t xml:space="preserve">a set of consecutive symbols before the start of </w:t>
      </w:r>
      <w:r w:rsidR="000A4881">
        <w:t>a</w:t>
      </w:r>
      <w:r w:rsidR="000A4881" w:rsidRPr="00F76F56">
        <w:t xml:space="preserve"> next channel occupancy time </w:t>
      </w:r>
      <w:r w:rsidR="000A4881">
        <w:t>where there</w:t>
      </w:r>
      <w:r w:rsidR="000A4881" w:rsidRPr="00F76F56">
        <w:t xml:space="preserve"> shall not </w:t>
      </w:r>
      <w:r w:rsidR="000A4881">
        <w:t>be</w:t>
      </w:r>
      <w:r w:rsidR="000A4881" w:rsidRPr="00F76F56">
        <w:t xml:space="preserve"> any transmissions, as described in [15, TS 37.213]</w:t>
      </w:r>
    </w:p>
    <w:p w14:paraId="4B42769A" w14:textId="6D1DF20B" w:rsidR="00B07019" w:rsidRPr="0010268E" w:rsidRDefault="000A4881" w:rsidP="00A312BF">
      <w:pPr>
        <w:pStyle w:val="B3"/>
      </w:pPr>
      <w:r w:rsidRPr="00F76F56">
        <w:t>-</w:t>
      </w:r>
      <w:r w:rsidRPr="00F76F56">
        <w:tab/>
        <w:t xml:space="preserve">the </w:t>
      </w:r>
      <w:r w:rsidR="00443AAC">
        <w:rPr>
          <w:rFonts w:eastAsia="MS Mincho"/>
        </w:rPr>
        <w:t xml:space="preserve">candidate SS/PBCH block </w:t>
      </w:r>
      <w:r w:rsidRPr="00F76F56">
        <w:t xml:space="preserve">index of the SS/PBCH block </w:t>
      </w:r>
      <w:r w:rsidR="00443AAC">
        <w:rPr>
          <w:rFonts w:eastAsia="MS Mincho"/>
        </w:rPr>
        <w:t>corresponds to the SS/PBCH block index</w:t>
      </w:r>
      <w:r w:rsidRPr="00F76F56">
        <w:t xml:space="preserve"> </w:t>
      </w:r>
      <w:r w:rsidRPr="00F76F56">
        <w:rPr>
          <w:rFonts w:hint="eastAsia"/>
          <w:lang w:eastAsia="zh-CN"/>
        </w:rPr>
        <w:t>provided by</w:t>
      </w:r>
      <w:r w:rsidRPr="00F76F56">
        <w:t xml:space="preserve"> </w:t>
      </w:r>
      <w:r w:rsidRPr="00F76F56">
        <w:rPr>
          <w:i/>
        </w:rPr>
        <w:t>ssb-PositionsInBurst</w:t>
      </w:r>
      <w:r w:rsidRPr="001107BF">
        <w:t xml:space="preserve"> </w:t>
      </w:r>
      <w:r w:rsidRPr="001107BF">
        <w:rPr>
          <w:lang w:val="en-US"/>
        </w:rPr>
        <w:t xml:space="preserve">in </w:t>
      </w:r>
      <w:r w:rsidRPr="001107BF">
        <w:rPr>
          <w:i/>
        </w:rPr>
        <w:t>S</w:t>
      </w:r>
      <w:r w:rsidRPr="001107BF">
        <w:rPr>
          <w:rFonts w:hint="eastAsia"/>
          <w:i/>
          <w:lang w:eastAsia="zh-CN"/>
        </w:rPr>
        <w:t>IB</w:t>
      </w:r>
      <w:r w:rsidRPr="001107BF">
        <w:rPr>
          <w:i/>
        </w:rPr>
        <w:t>1</w:t>
      </w:r>
      <w:r w:rsidRPr="001107BF">
        <w:t xml:space="preserve"> or in </w:t>
      </w:r>
      <w:r w:rsidRPr="00F76F56">
        <w:rPr>
          <w:i/>
        </w:rPr>
        <w:t>ServingCellConfigCommon</w:t>
      </w:r>
      <w:r w:rsidR="00443AAC">
        <w:t xml:space="preserve">, </w:t>
      </w:r>
      <w:r w:rsidR="00443AAC">
        <w:rPr>
          <w:rFonts w:eastAsia="MS Mincho"/>
        </w:rPr>
        <w:t xml:space="preserve">as described </w:t>
      </w:r>
      <w:r w:rsidR="006F5F9E">
        <w:rPr>
          <w:rFonts w:eastAsia="MS Mincho"/>
        </w:rPr>
        <w:t>in clause</w:t>
      </w:r>
      <w:r w:rsidR="00443AAC">
        <w:rPr>
          <w:rFonts w:eastAsia="MS Mincho"/>
        </w:rPr>
        <w:t xml:space="preserve"> 4.1</w:t>
      </w:r>
      <w:r w:rsidR="00B07019" w:rsidRPr="001955EA">
        <w:t xml:space="preserve">. </w:t>
      </w:r>
    </w:p>
    <w:bookmarkEnd w:id="342"/>
    <w:p w14:paraId="4FCCE017" w14:textId="3C69135C" w:rsidR="005B74DE" w:rsidRPr="00271331" w:rsidRDefault="005B74DE" w:rsidP="005B74DE">
      <w:r w:rsidRPr="001955EA">
        <w:t xml:space="preserve">For preamble format B4 [4, TS 38.211], </w:t>
      </w:r>
      <m:oMath>
        <m:sSub>
          <m:sSubPr>
            <m:ctrlPr>
              <w:rPr>
                <w:rFonts w:ascii="Cambria Math" w:hAnsi="Cambria Math"/>
                <w:i/>
                <w:lang w:val="x-none"/>
              </w:rPr>
            </m:ctrlPr>
          </m:sSubPr>
          <m:e>
            <m:r>
              <w:rPr>
                <w:rFonts w:ascii="Cambria Math" w:hAnsi="Cambria Math"/>
              </w:rPr>
              <m:t>N</m:t>
            </m:r>
          </m:e>
          <m:sub>
            <m:r>
              <m:rPr>
                <m:sty m:val="p"/>
              </m:rPr>
              <w:rPr>
                <w:rFonts w:ascii="Cambria Math" w:hAnsi="Cambria Math"/>
              </w:rPr>
              <m:t>gap</m:t>
            </m:r>
          </m:sub>
        </m:sSub>
        <m:r>
          <w:rPr>
            <w:rFonts w:ascii="Cambria Math" w:hAnsi="Cambria Math"/>
            <w:lang w:val="x-none"/>
          </w:rPr>
          <m:t>=0</m:t>
        </m:r>
      </m:oMath>
      <w:r w:rsidRPr="00271331">
        <w:t xml:space="preserve">. </w:t>
      </w:r>
    </w:p>
    <w:p w14:paraId="01BDACA6" w14:textId="77D43609" w:rsidR="005B74DE" w:rsidRPr="00E9040D" w:rsidRDefault="005B74DE" w:rsidP="005B74DE">
      <w:pPr>
        <w:pStyle w:val="TH"/>
      </w:pPr>
      <w:r>
        <w:t>Table 8.1-2</w:t>
      </w:r>
      <w:r w:rsidRPr="00E9040D">
        <w:t xml:space="preserve">: </w:t>
      </w:r>
      <m:oMath>
        <m:sSub>
          <m:sSubPr>
            <m:ctrlPr>
              <w:rPr>
                <w:rFonts w:ascii="Cambria Math" w:hAnsi="Cambria Math"/>
                <w:i/>
              </w:rPr>
            </m:ctrlPr>
          </m:sSubPr>
          <m:e>
            <m:r>
              <m:rPr>
                <m:sty m:val="bi"/>
              </m:rPr>
              <w:rPr>
                <w:rFonts w:ascii="Cambria Math" w:hAnsi="Cambria Math"/>
              </w:rPr>
              <m:t>N</m:t>
            </m:r>
          </m:e>
          <m:sub>
            <m:r>
              <m:rPr>
                <m:sty m:val="b"/>
              </m:rPr>
              <w:rPr>
                <w:rFonts w:ascii="Cambria Math" w:hAnsi="Cambria Math"/>
              </w:rPr>
              <m:t>gap</m:t>
            </m:r>
          </m:sub>
        </m:sSub>
      </m:oMath>
      <w:r>
        <w:t xml:space="preserve"> values for different preamble </w:t>
      </w:r>
      <w:r w:rsidR="00143099">
        <w:t>SCS</w:t>
      </w:r>
      <w:r>
        <w:t xml:space="preserve"> </w:t>
      </w:r>
      <m:oMath>
        <m:r>
          <m:rPr>
            <m:sty m:val="bi"/>
          </m:rPr>
          <w:rPr>
            <w:rFonts w:ascii="Cambria Math" w:hAnsi="Cambria Math"/>
            <w:lang w:val="x-none"/>
          </w:rPr>
          <m:t>μ</m:t>
        </m:r>
      </m:oMath>
    </w:p>
    <w:tbl>
      <w:tblPr>
        <w:tblW w:w="0" w:type="auto"/>
        <w:jc w:val="center"/>
        <w:tblLook w:val="01E0" w:firstRow="1" w:lastRow="1" w:firstColumn="1" w:lastColumn="1" w:noHBand="0" w:noVBand="0"/>
      </w:tblPr>
      <w:tblGrid>
        <w:gridCol w:w="3505"/>
        <w:gridCol w:w="3600"/>
      </w:tblGrid>
      <w:tr w:rsidR="005B74DE" w:rsidRPr="00E9040D" w14:paraId="6668A0CB" w14:textId="77777777" w:rsidTr="00011FE0">
        <w:trPr>
          <w:jc w:val="center"/>
        </w:trPr>
        <w:tc>
          <w:tcPr>
            <w:tcW w:w="3505" w:type="dxa"/>
            <w:tcBorders>
              <w:top w:val="single" w:sz="4" w:space="0" w:color="auto"/>
              <w:left w:val="single" w:sz="4" w:space="0" w:color="auto"/>
              <w:bottom w:val="single" w:sz="4" w:space="0" w:color="auto"/>
              <w:right w:val="single" w:sz="4" w:space="0" w:color="auto"/>
            </w:tcBorders>
            <w:shd w:val="clear" w:color="auto" w:fill="E0E0E0"/>
            <w:vAlign w:val="center"/>
          </w:tcPr>
          <w:p w14:paraId="64950B0F" w14:textId="77777777" w:rsidR="005B74DE" w:rsidRPr="00E9040D" w:rsidRDefault="005B74DE" w:rsidP="00011FE0">
            <w:pPr>
              <w:pStyle w:val="TAH"/>
            </w:pPr>
            <w:r>
              <w:t xml:space="preserve">Preamble </w:t>
            </w:r>
            <w:r w:rsidR="00143099">
              <w:t>SCS</w:t>
            </w:r>
          </w:p>
        </w:tc>
        <w:tc>
          <w:tcPr>
            <w:tcW w:w="3600" w:type="dxa"/>
            <w:tcBorders>
              <w:top w:val="single" w:sz="4" w:space="0" w:color="auto"/>
              <w:left w:val="single" w:sz="4" w:space="0" w:color="auto"/>
              <w:bottom w:val="single" w:sz="4" w:space="0" w:color="auto"/>
              <w:right w:val="single" w:sz="4" w:space="0" w:color="auto"/>
            </w:tcBorders>
            <w:shd w:val="clear" w:color="auto" w:fill="E0E0E0"/>
            <w:vAlign w:val="center"/>
          </w:tcPr>
          <w:p w14:paraId="44D6257A" w14:textId="2329E784" w:rsidR="005B74DE" w:rsidRPr="00E9040D" w:rsidRDefault="00000000" w:rsidP="00011FE0">
            <w:pPr>
              <w:pStyle w:val="TAH"/>
            </w:pPr>
            <m:oMathPara>
              <m:oMath>
                <m:sSub>
                  <m:sSubPr>
                    <m:ctrlPr>
                      <w:rPr>
                        <w:rFonts w:ascii="Cambria Math" w:hAnsi="Cambria Math"/>
                        <w:i/>
                      </w:rPr>
                    </m:ctrlPr>
                  </m:sSubPr>
                  <m:e>
                    <m:r>
                      <m:rPr>
                        <m:sty m:val="bi"/>
                      </m:rPr>
                      <w:rPr>
                        <w:rFonts w:ascii="Cambria Math" w:hAnsi="Cambria Math"/>
                      </w:rPr>
                      <m:t>N</m:t>
                    </m:r>
                  </m:e>
                  <m:sub>
                    <m:r>
                      <m:rPr>
                        <m:sty m:val="b"/>
                      </m:rPr>
                      <w:rPr>
                        <w:rFonts w:ascii="Cambria Math" w:hAnsi="Cambria Math"/>
                      </w:rPr>
                      <m:t>gap</m:t>
                    </m:r>
                  </m:sub>
                </m:sSub>
              </m:oMath>
            </m:oMathPara>
          </w:p>
        </w:tc>
      </w:tr>
      <w:tr w:rsidR="005B74DE" w:rsidRPr="00E9040D" w14:paraId="183C284F" w14:textId="77777777" w:rsidTr="00011FE0">
        <w:trPr>
          <w:jc w:val="center"/>
        </w:trPr>
        <w:tc>
          <w:tcPr>
            <w:tcW w:w="3505" w:type="dxa"/>
            <w:tcBorders>
              <w:top w:val="single" w:sz="4" w:space="0" w:color="auto"/>
              <w:left w:val="single" w:sz="4" w:space="0" w:color="auto"/>
              <w:bottom w:val="single" w:sz="4" w:space="0" w:color="auto"/>
              <w:right w:val="single" w:sz="4" w:space="0" w:color="auto"/>
            </w:tcBorders>
            <w:vAlign w:val="center"/>
          </w:tcPr>
          <w:p w14:paraId="56ED8607" w14:textId="77777777" w:rsidR="005B74DE" w:rsidRPr="00E9040D" w:rsidRDefault="005B74DE" w:rsidP="00011FE0">
            <w:pPr>
              <w:pStyle w:val="TAC"/>
            </w:pPr>
            <w:r>
              <w:t>1.25 kHz or 5 kHz</w:t>
            </w:r>
          </w:p>
        </w:tc>
        <w:tc>
          <w:tcPr>
            <w:tcW w:w="3600" w:type="dxa"/>
            <w:tcBorders>
              <w:top w:val="single" w:sz="4" w:space="0" w:color="auto"/>
              <w:left w:val="single" w:sz="4" w:space="0" w:color="auto"/>
              <w:bottom w:val="single" w:sz="4" w:space="0" w:color="auto"/>
              <w:right w:val="single" w:sz="4" w:space="0" w:color="auto"/>
            </w:tcBorders>
            <w:vAlign w:val="center"/>
          </w:tcPr>
          <w:p w14:paraId="713BA52A" w14:textId="77777777" w:rsidR="005B74DE" w:rsidRPr="00E9040D" w:rsidRDefault="005B74DE" w:rsidP="00011FE0">
            <w:pPr>
              <w:pStyle w:val="TAC"/>
            </w:pPr>
            <w:r>
              <w:t>0</w:t>
            </w:r>
          </w:p>
        </w:tc>
      </w:tr>
      <w:tr w:rsidR="005B74DE" w:rsidRPr="00E9040D" w14:paraId="21352725" w14:textId="77777777" w:rsidTr="00011FE0">
        <w:trPr>
          <w:jc w:val="center"/>
        </w:trPr>
        <w:tc>
          <w:tcPr>
            <w:tcW w:w="3505" w:type="dxa"/>
            <w:tcBorders>
              <w:top w:val="single" w:sz="4" w:space="0" w:color="auto"/>
              <w:left w:val="single" w:sz="4" w:space="0" w:color="auto"/>
              <w:bottom w:val="single" w:sz="4" w:space="0" w:color="auto"/>
              <w:right w:val="single" w:sz="4" w:space="0" w:color="auto"/>
            </w:tcBorders>
            <w:vAlign w:val="center"/>
          </w:tcPr>
          <w:p w14:paraId="56E30F7A" w14:textId="77777777" w:rsidR="005B74DE" w:rsidRPr="00E9040D" w:rsidRDefault="005B74DE" w:rsidP="00011FE0">
            <w:pPr>
              <w:pStyle w:val="TAC"/>
            </w:pPr>
            <w:r>
              <w:t>15 kHz or 30 kHz or 60 kHz or 120 kHz</w:t>
            </w:r>
          </w:p>
        </w:tc>
        <w:tc>
          <w:tcPr>
            <w:tcW w:w="3600" w:type="dxa"/>
            <w:tcBorders>
              <w:top w:val="single" w:sz="4" w:space="0" w:color="auto"/>
              <w:left w:val="single" w:sz="4" w:space="0" w:color="auto"/>
              <w:bottom w:val="single" w:sz="4" w:space="0" w:color="auto"/>
              <w:right w:val="single" w:sz="4" w:space="0" w:color="auto"/>
            </w:tcBorders>
            <w:vAlign w:val="center"/>
          </w:tcPr>
          <w:p w14:paraId="5FD59EAC" w14:textId="77777777" w:rsidR="005B74DE" w:rsidRPr="00E9040D" w:rsidRDefault="005B74DE" w:rsidP="00011FE0">
            <w:pPr>
              <w:pStyle w:val="TAC"/>
            </w:pPr>
            <w:r>
              <w:t>2</w:t>
            </w:r>
          </w:p>
        </w:tc>
      </w:tr>
      <w:tr w:rsidR="00CC29A0" w:rsidRPr="00B27E56" w14:paraId="1F70D4F5" w14:textId="77777777" w:rsidTr="00CC29A0">
        <w:trPr>
          <w:jc w:val="center"/>
        </w:trPr>
        <w:tc>
          <w:tcPr>
            <w:tcW w:w="3505" w:type="dxa"/>
            <w:tcBorders>
              <w:top w:val="single" w:sz="4" w:space="0" w:color="auto"/>
              <w:left w:val="single" w:sz="4" w:space="0" w:color="auto"/>
              <w:bottom w:val="single" w:sz="4" w:space="0" w:color="auto"/>
              <w:right w:val="single" w:sz="4" w:space="0" w:color="auto"/>
            </w:tcBorders>
            <w:vAlign w:val="center"/>
          </w:tcPr>
          <w:p w14:paraId="67BB6AAD" w14:textId="77777777" w:rsidR="00CC29A0" w:rsidRPr="00B27E56" w:rsidRDefault="00CC29A0" w:rsidP="00CC29A0">
            <w:pPr>
              <w:pStyle w:val="TAC"/>
            </w:pPr>
            <w:r w:rsidRPr="00B27E56">
              <w:t>480 kHz</w:t>
            </w:r>
          </w:p>
        </w:tc>
        <w:tc>
          <w:tcPr>
            <w:tcW w:w="3600" w:type="dxa"/>
            <w:tcBorders>
              <w:top w:val="single" w:sz="4" w:space="0" w:color="auto"/>
              <w:left w:val="single" w:sz="4" w:space="0" w:color="auto"/>
              <w:bottom w:val="single" w:sz="4" w:space="0" w:color="auto"/>
              <w:right w:val="single" w:sz="4" w:space="0" w:color="auto"/>
            </w:tcBorders>
            <w:vAlign w:val="center"/>
          </w:tcPr>
          <w:p w14:paraId="1BF84B63" w14:textId="77777777" w:rsidR="00CC29A0" w:rsidRPr="00B27E56" w:rsidRDefault="00CC29A0" w:rsidP="00CC29A0">
            <w:pPr>
              <w:pStyle w:val="TAC"/>
            </w:pPr>
            <w:r w:rsidRPr="00B27E56">
              <w:t>8</w:t>
            </w:r>
          </w:p>
        </w:tc>
      </w:tr>
      <w:tr w:rsidR="00CC29A0" w:rsidRPr="00B27E56" w14:paraId="37E4BFAC" w14:textId="77777777" w:rsidTr="00CC29A0">
        <w:trPr>
          <w:jc w:val="center"/>
        </w:trPr>
        <w:tc>
          <w:tcPr>
            <w:tcW w:w="3505" w:type="dxa"/>
            <w:tcBorders>
              <w:top w:val="single" w:sz="4" w:space="0" w:color="auto"/>
              <w:left w:val="single" w:sz="4" w:space="0" w:color="auto"/>
              <w:bottom w:val="single" w:sz="4" w:space="0" w:color="auto"/>
              <w:right w:val="single" w:sz="4" w:space="0" w:color="auto"/>
            </w:tcBorders>
            <w:vAlign w:val="center"/>
          </w:tcPr>
          <w:p w14:paraId="46A67320" w14:textId="77777777" w:rsidR="00CC29A0" w:rsidRPr="00B27E56" w:rsidRDefault="00CC29A0" w:rsidP="00CC29A0">
            <w:pPr>
              <w:pStyle w:val="TAC"/>
            </w:pPr>
            <w:r w:rsidRPr="00B27E56">
              <w:t>960 kHz</w:t>
            </w:r>
          </w:p>
        </w:tc>
        <w:tc>
          <w:tcPr>
            <w:tcW w:w="3600" w:type="dxa"/>
            <w:tcBorders>
              <w:top w:val="single" w:sz="4" w:space="0" w:color="auto"/>
              <w:left w:val="single" w:sz="4" w:space="0" w:color="auto"/>
              <w:bottom w:val="single" w:sz="4" w:space="0" w:color="auto"/>
              <w:right w:val="single" w:sz="4" w:space="0" w:color="auto"/>
            </w:tcBorders>
            <w:vAlign w:val="center"/>
          </w:tcPr>
          <w:p w14:paraId="7A9B6E55" w14:textId="77777777" w:rsidR="00CC29A0" w:rsidRPr="00B27E56" w:rsidRDefault="00CC29A0" w:rsidP="00CC29A0">
            <w:pPr>
              <w:pStyle w:val="TAC"/>
            </w:pPr>
            <w:r w:rsidRPr="00B27E56">
              <w:t>16</w:t>
            </w:r>
          </w:p>
        </w:tc>
      </w:tr>
    </w:tbl>
    <w:p w14:paraId="0F2B772F" w14:textId="77777777" w:rsidR="005B74DE" w:rsidRPr="008F1C3A" w:rsidRDefault="005B74DE" w:rsidP="007600E4">
      <w:pPr>
        <w:pStyle w:val="FP"/>
      </w:pPr>
    </w:p>
    <w:p w14:paraId="2FF13BDE" w14:textId="0670D297" w:rsidR="00AC1D73" w:rsidRDefault="00AC1D73" w:rsidP="00AD225C">
      <w:pPr>
        <w:rPr>
          <w:lang w:val="en-US"/>
        </w:rPr>
      </w:pPr>
      <w:r w:rsidRPr="00023AB3">
        <w:rPr>
          <w:rFonts w:hint="eastAsia"/>
        </w:rPr>
        <w:t>I</w:t>
      </w:r>
      <w:r w:rsidRPr="00023AB3">
        <w:rPr>
          <w:rFonts w:eastAsia="MS Mincho" w:hint="eastAsia"/>
        </w:rPr>
        <w:t>f</w:t>
      </w:r>
      <w:r w:rsidRPr="00023AB3">
        <w:rPr>
          <w:rFonts w:eastAsia="MS Mincho"/>
        </w:rPr>
        <w:t xml:space="preserve"> a</w:t>
      </w:r>
      <w:r w:rsidRPr="00023AB3">
        <w:rPr>
          <w:rFonts w:eastAsia="MS Mincho" w:hint="eastAsia"/>
        </w:rPr>
        <w:t xml:space="preserve"> </w:t>
      </w:r>
      <w:r w:rsidRPr="00023AB3">
        <w:t>random access procedure</w:t>
      </w:r>
      <w:r w:rsidRPr="00023AB3">
        <w:rPr>
          <w:rFonts w:eastAsia="MS Mincho" w:hint="eastAsia"/>
        </w:rPr>
        <w:t xml:space="preserve"> is </w:t>
      </w:r>
      <w:r w:rsidRPr="00023AB3">
        <w:rPr>
          <w:rFonts w:eastAsia="MS Mincho"/>
        </w:rPr>
        <w:t>initiated by a</w:t>
      </w:r>
      <w:r w:rsidRPr="00023AB3">
        <w:rPr>
          <w:rFonts w:eastAsia="MS Mincho" w:hint="eastAsia"/>
        </w:rPr>
        <w:t xml:space="preserve"> </w:t>
      </w:r>
      <w:r w:rsidRPr="00023AB3">
        <w:rPr>
          <w:rFonts w:hint="eastAsia"/>
        </w:rPr>
        <w:t xml:space="preserve">PDCCH </w:t>
      </w:r>
      <w:r w:rsidRPr="00023AB3">
        <w:t>order</w:t>
      </w:r>
      <w:r w:rsidRPr="00023AB3">
        <w:rPr>
          <w:rFonts w:hint="eastAsia"/>
        </w:rPr>
        <w:t xml:space="preserve">, </w:t>
      </w:r>
      <w:r w:rsidRPr="00023AB3">
        <w:t xml:space="preserve">the </w:t>
      </w:r>
      <w:r w:rsidRPr="00023AB3">
        <w:rPr>
          <w:rFonts w:eastAsia="MS Mincho" w:hint="eastAsia"/>
        </w:rPr>
        <w:t>UE</w:t>
      </w:r>
      <w:r w:rsidRPr="00023AB3">
        <w:rPr>
          <w:rFonts w:hint="eastAsia"/>
        </w:rPr>
        <w:t>,</w:t>
      </w:r>
      <w:r w:rsidRPr="00023AB3">
        <w:rPr>
          <w:rFonts w:eastAsia="MS Mincho" w:hint="eastAsia"/>
        </w:rPr>
        <w:t xml:space="preserve"> </w:t>
      </w:r>
      <w:r w:rsidRPr="00023AB3">
        <w:rPr>
          <w:rFonts w:hint="eastAsia"/>
        </w:rPr>
        <w:t>if requested by higher layers,</w:t>
      </w:r>
      <w:r w:rsidRPr="00023AB3">
        <w:rPr>
          <w:rFonts w:eastAsia="MS Mincho" w:hint="eastAsia"/>
        </w:rPr>
        <w:t xml:space="preserve"> </w:t>
      </w:r>
      <w:r w:rsidRPr="00023AB3">
        <w:rPr>
          <w:rFonts w:hint="eastAsia"/>
        </w:rPr>
        <w:t>transmit</w:t>
      </w:r>
      <w:r w:rsidRPr="00023AB3">
        <w:t>s</w:t>
      </w:r>
      <w:r w:rsidRPr="00023AB3">
        <w:rPr>
          <w:rFonts w:hint="eastAsia"/>
        </w:rPr>
        <w:t xml:space="preserve"> </w:t>
      </w:r>
      <w:r w:rsidRPr="00023AB3">
        <w:t xml:space="preserve">a PRACH in the selected PRACH </w:t>
      </w:r>
      <w:r>
        <w:t>occasion, as described in [11</w:t>
      </w:r>
      <w:r w:rsidRPr="00023AB3">
        <w:t xml:space="preserve">, TS 38.321], for which a time between the last symbol of the PDCCH order reception and the first symbol of the PRACH transmission is larger than or equal to </w:t>
      </w:r>
      <m:oMath>
        <m:sSub>
          <m:sSubPr>
            <m:ctrlPr>
              <w:rPr>
                <w:rFonts w:ascii="Cambria Math" w:hAnsi="Cambria Math"/>
                <w:i/>
              </w:rPr>
            </m:ctrlPr>
          </m:sSubPr>
          <m:e>
            <m:r>
              <w:rPr>
                <w:rFonts w:ascii="Cambria Math" w:hAnsi="Cambria Math"/>
              </w:rPr>
              <m:t>N</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BWPswitchDelay</m:t>
            </m:r>
          </m:sub>
        </m:sSub>
        <m:r>
          <w:rPr>
            <w:rFonts w:ascii="Cambria Math" w:hAnsi="Cambria Math"/>
          </w:rPr>
          <m:t>+</m:t>
        </m:r>
        <m:sSub>
          <m:sSubPr>
            <m:ctrlPr>
              <w:rPr>
                <w:rFonts w:ascii="Cambria Math" w:hAnsi="Cambria Math"/>
                <w:i/>
              </w:rPr>
            </m:ctrlPr>
          </m:sSubPr>
          <m:e>
            <m:r>
              <w:rPr>
                <w:rFonts w:ascii="Cambria Math" w:hAnsi="Cambria Math"/>
              </w:rPr>
              <m:t>∆</m:t>
            </m:r>
          </m:e>
          <m:sub>
            <m:r>
              <m:rPr>
                <m:sty m:val="p"/>
              </m:rPr>
              <w:rPr>
                <w:rFonts w:ascii="Cambria Math" w:hAnsi="Cambria Math"/>
              </w:rPr>
              <m:t>Delay</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switch</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SSB</m:t>
            </m:r>
          </m:sub>
        </m:sSub>
        <m:r>
          <w:rPr>
            <w:rFonts w:ascii="Cambria Math" w:hAnsi="Cambria Math"/>
          </w:rPr>
          <m:t>+</m:t>
        </m:r>
        <m:sSub>
          <m:sSubPr>
            <m:ctrlPr>
              <w:rPr>
                <w:rFonts w:ascii="Cambria Math" w:hAnsi="Cambria Math"/>
                <w:i/>
              </w:rPr>
            </m:ctrlPr>
          </m:sSubPr>
          <m:e>
            <m:r>
              <w:rPr>
                <w:rFonts w:ascii="Cambria Math" w:hAnsi="Cambria Math"/>
              </w:rPr>
              <m:t>∆</m:t>
            </m:r>
          </m:e>
          <m:sub>
            <m:r>
              <m:rPr>
                <m:sty m:val="p"/>
              </m:rPr>
              <w:rPr>
                <w:rFonts w:ascii="Cambria Math" w:hAnsi="Cambria Math"/>
              </w:rPr>
              <m:t>RF/BB preparation</m:t>
            </m:r>
          </m:sub>
        </m:sSub>
      </m:oMath>
      <w:r w:rsidRPr="00023AB3">
        <w:t xml:space="preserve"> </w:t>
      </w:r>
      <w:r w:rsidRPr="00023AB3">
        <w:rPr>
          <w:lang w:val="en-US"/>
        </w:rPr>
        <w:t>msec, where</w:t>
      </w:r>
      <w:r>
        <w:rPr>
          <w:lang w:val="en-US"/>
        </w:rPr>
        <w:t xml:space="preserve"> </w:t>
      </w:r>
    </w:p>
    <w:p w14:paraId="549279A1" w14:textId="77777777" w:rsidR="00AC1D73" w:rsidRDefault="00AC1D73" w:rsidP="00AC1D73">
      <w:pPr>
        <w:pStyle w:val="B1"/>
        <w:rPr>
          <w:lang w:val="en-US"/>
        </w:rPr>
      </w:pPr>
      <w:r w:rsidRPr="00FF3E67">
        <w:lastRenderedPageBreak/>
        <w:t>-</w:t>
      </w:r>
      <w:r w:rsidRPr="00FF3E67">
        <w:tab/>
      </w:r>
      <m:oMath>
        <m:sSub>
          <m:sSubPr>
            <m:ctrlPr>
              <w:rPr>
                <w:rFonts w:ascii="Cambria Math" w:hAnsi="Cambria Math"/>
                <w:i/>
              </w:rPr>
            </m:ctrlPr>
          </m:sSubPr>
          <m:e>
            <m:r>
              <w:rPr>
                <w:rFonts w:ascii="Cambria Math" w:hAnsi="Cambria Math"/>
              </w:rPr>
              <m:t>N</m:t>
            </m:r>
          </m:e>
          <m:sub>
            <m:r>
              <w:rPr>
                <w:rFonts w:ascii="Cambria Math" w:hAnsi="Cambria Math"/>
              </w:rPr>
              <m:t>T,2</m:t>
            </m:r>
          </m:sub>
        </m:sSub>
      </m:oMath>
      <w:r w:rsidRPr="00023AB3">
        <w:t xml:space="preserve"> is a time duration of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Pr="00023AB3">
        <w:t xml:space="preserve"> symbols corresponding to a PUSCH preparation time for UE processing capability 1 [6, TS 38.214]</w:t>
      </w:r>
      <w:r>
        <w:rPr>
          <w:rFonts w:hint="eastAsia"/>
          <w:lang w:eastAsia="zh-CN"/>
        </w:rPr>
        <w:t xml:space="preserve"> assuming </w:t>
      </w:r>
      <m:oMath>
        <m:r>
          <w:rPr>
            <w:rFonts w:ascii="Cambria Math" w:hAnsi="Cambria Math"/>
          </w:rPr>
          <m:t>μ</m:t>
        </m:r>
      </m:oMath>
      <w:r>
        <w:rPr>
          <w:rFonts w:eastAsia="DengXian" w:hint="eastAsia"/>
          <w:lang w:eastAsia="zh-CN"/>
        </w:rPr>
        <w:t xml:space="preserve"> corresponds to the </w:t>
      </w:r>
      <w:r>
        <w:rPr>
          <w:rFonts w:eastAsia="DengXian"/>
          <w:lang w:eastAsia="zh-CN"/>
        </w:rPr>
        <w:t xml:space="preserve">smallest </w:t>
      </w:r>
      <w:r>
        <w:rPr>
          <w:rFonts w:eastAsia="DengXian" w:hint="eastAsia"/>
          <w:lang w:eastAsia="zh-CN"/>
        </w:rPr>
        <w:t xml:space="preserve">SCS configuration </w:t>
      </w:r>
      <w:r>
        <w:rPr>
          <w:rFonts w:eastAsia="DengXian"/>
          <w:lang w:eastAsia="zh-CN"/>
        </w:rPr>
        <w:t xml:space="preserve">between </w:t>
      </w:r>
      <w:r w:rsidRPr="006C1D02">
        <w:rPr>
          <w:rFonts w:eastAsia="DengXian"/>
          <w:lang w:eastAsia="zh-CN"/>
        </w:rPr>
        <w:t>the SCS configuration of the PDCCH</w:t>
      </w:r>
      <w:r>
        <w:rPr>
          <w:rFonts w:eastAsia="DengXian"/>
          <w:lang w:eastAsia="zh-CN"/>
        </w:rPr>
        <w:t xml:space="preserve"> order</w:t>
      </w:r>
      <w:r w:rsidRPr="006C1D02">
        <w:rPr>
          <w:rFonts w:eastAsia="DengXian"/>
          <w:lang w:eastAsia="zh-CN"/>
        </w:rPr>
        <w:t xml:space="preserve"> and the SCS configuration of the corresponding </w:t>
      </w:r>
      <w:r>
        <w:rPr>
          <w:rFonts w:eastAsia="DengXian" w:hint="eastAsia"/>
          <w:lang w:eastAsia="zh-CN"/>
        </w:rPr>
        <w:t>PRACH transmission</w:t>
      </w:r>
      <w:r>
        <w:rPr>
          <w:lang w:val="en-US"/>
        </w:rPr>
        <w:t xml:space="preserve"> </w:t>
      </w:r>
    </w:p>
    <w:p w14:paraId="1251085B" w14:textId="3A8D9101" w:rsidR="00AC1D73" w:rsidRDefault="00AC1D73" w:rsidP="00AC1D73">
      <w:pPr>
        <w:pStyle w:val="B1"/>
      </w:pPr>
      <w:r w:rsidRPr="00FF3E67">
        <w:t>-</w:t>
      </w:r>
      <w:r w:rsidRPr="00FF3E67">
        <w:tab/>
      </w:r>
      <m:oMath>
        <m:sSub>
          <m:sSubPr>
            <m:ctrlPr>
              <w:rPr>
                <w:rFonts w:ascii="Cambria Math" w:hAnsi="Cambria Math"/>
                <w:i/>
              </w:rPr>
            </m:ctrlPr>
          </m:sSubPr>
          <m:e>
            <m:r>
              <w:rPr>
                <w:rFonts w:ascii="Cambria Math" w:hAnsi="Cambria Math"/>
              </w:rPr>
              <m:t>T</m:t>
            </m:r>
          </m:e>
          <m:sub>
            <m:r>
              <m:rPr>
                <m:sty m:val="p"/>
              </m:rPr>
              <w:rPr>
                <w:rFonts w:ascii="Cambria Math" w:hAnsi="Cambria Math"/>
              </w:rPr>
              <m:t>BWPswitchDelay</m:t>
            </m:r>
          </m:sub>
        </m:sSub>
        <m:r>
          <w:rPr>
            <w:rFonts w:ascii="Cambria Math" w:hAnsi="Cambria Math"/>
          </w:rPr>
          <m:t>=0</m:t>
        </m:r>
      </m:oMath>
      <w:r w:rsidRPr="00023AB3">
        <w:t xml:space="preserve"> if the active UL BWP does not change</w:t>
      </w:r>
      <w:r w:rsidR="00EA404C">
        <w:t>,</w:t>
      </w:r>
      <w:r w:rsidR="00EA404C" w:rsidRPr="00AC138B">
        <w:t xml:space="preserve"> or </w:t>
      </w:r>
      <w:r w:rsidR="00EA404C">
        <w:t xml:space="preserve">if a cell indicator field in </w:t>
      </w:r>
      <w:r w:rsidR="00EA404C" w:rsidRPr="00AC138B">
        <w:t>the PDCCH o</w:t>
      </w:r>
      <w:r w:rsidR="00EA404C">
        <w:t>rder</w:t>
      </w:r>
      <w:r w:rsidR="00EA404C" w:rsidRPr="00AC138B">
        <w:t xml:space="preserve"> indicate</w:t>
      </w:r>
      <w:r w:rsidR="00EA404C">
        <w:t>s</w:t>
      </w:r>
      <w:r w:rsidR="00EA404C" w:rsidRPr="00AC138B">
        <w:t xml:space="preserve"> </w:t>
      </w:r>
      <w:r w:rsidR="00EA404C">
        <w:rPr>
          <w:rFonts w:eastAsia="DengXian"/>
          <w:kern w:val="2"/>
        </w:rPr>
        <w:t>a</w:t>
      </w:r>
      <w:r w:rsidR="00EA404C" w:rsidRPr="00AC138B">
        <w:rPr>
          <w:rFonts w:eastAsia="DengXian"/>
          <w:kern w:val="2"/>
        </w:rPr>
        <w:t xml:space="preserve"> </w:t>
      </w:r>
      <w:r w:rsidR="00EA404C">
        <w:rPr>
          <w:rFonts w:eastAsia="DengXian"/>
          <w:kern w:val="2"/>
        </w:rPr>
        <w:t xml:space="preserve">non-serving </w:t>
      </w:r>
      <w:r w:rsidR="00EA404C" w:rsidRPr="00AC138B">
        <w:rPr>
          <w:rFonts w:eastAsia="DengXian"/>
          <w:kern w:val="2"/>
        </w:rPr>
        <w:t>cell</w:t>
      </w:r>
      <w:r w:rsidR="00EA404C">
        <w:rPr>
          <w:rFonts w:eastAsia="DengXian"/>
          <w:kern w:val="2"/>
          <w:lang w:val="en-US"/>
        </w:rPr>
        <w:t xml:space="preserve"> [5, TS 38.212]</w:t>
      </w:r>
      <w:r w:rsidR="00EA404C" w:rsidRPr="00AC138B">
        <w:t>,</w:t>
      </w:r>
      <w:r w:rsidRPr="00023AB3">
        <w:t xml:space="preserve"> and </w:t>
      </w:r>
      <m:oMath>
        <m:sSub>
          <m:sSubPr>
            <m:ctrlPr>
              <w:rPr>
                <w:rFonts w:ascii="Cambria Math" w:hAnsi="Cambria Math"/>
                <w:i/>
              </w:rPr>
            </m:ctrlPr>
          </m:sSubPr>
          <m:e>
            <m:r>
              <w:rPr>
                <w:rFonts w:ascii="Cambria Math" w:hAnsi="Cambria Math"/>
              </w:rPr>
              <m:t>T</m:t>
            </m:r>
          </m:e>
          <m:sub>
            <m:r>
              <m:rPr>
                <m:sty m:val="p"/>
              </m:rPr>
              <w:rPr>
                <w:rFonts w:ascii="Cambria Math" w:hAnsi="Cambria Math"/>
              </w:rPr>
              <m:t>BWPswitchDelay</m:t>
            </m:r>
          </m:sub>
        </m:sSub>
      </m:oMath>
      <w:r w:rsidRPr="00023AB3">
        <w:t xml:space="preserve"> is defined in [10, TS 38.133] otherwise </w:t>
      </w:r>
    </w:p>
    <w:p w14:paraId="49BA4FFE" w14:textId="77777777" w:rsidR="00AC1D73" w:rsidRDefault="00AC1D73" w:rsidP="00AC1D73">
      <w:pPr>
        <w:pStyle w:val="B1"/>
        <w:rPr>
          <w:lang w:val="en-US"/>
        </w:rPr>
      </w:pPr>
      <w:r w:rsidRPr="00FF3E67">
        <w:t>-</w:t>
      </w:r>
      <w:r w:rsidRPr="00FF3E67">
        <w:tab/>
      </w:r>
      <m:oMath>
        <m:sSub>
          <m:sSubPr>
            <m:ctrlPr>
              <w:rPr>
                <w:rFonts w:ascii="Cambria Math" w:hAnsi="Cambria Math"/>
                <w:i/>
              </w:rPr>
            </m:ctrlPr>
          </m:sSubPr>
          <m:e>
            <m:r>
              <w:rPr>
                <w:rFonts w:ascii="Cambria Math" w:hAnsi="Cambria Math"/>
              </w:rPr>
              <m:t>∆</m:t>
            </m:r>
          </m:e>
          <m:sub>
            <m:r>
              <m:rPr>
                <m:sty m:val="p"/>
              </m:rPr>
              <w:rPr>
                <w:rFonts w:ascii="Cambria Math" w:hAnsi="Cambria Math"/>
              </w:rPr>
              <m:t>Delay</m:t>
            </m:r>
          </m:sub>
        </m:sSub>
        <m:r>
          <w:rPr>
            <w:rFonts w:ascii="Cambria Math" w:hAnsi="Cambria Math"/>
          </w:rPr>
          <m:t>=0.5</m:t>
        </m:r>
      </m:oMath>
      <w:r w:rsidRPr="00023AB3">
        <w:t xml:space="preserve"> msec for FR1 and </w:t>
      </w:r>
      <m:oMath>
        <m:sSub>
          <m:sSubPr>
            <m:ctrlPr>
              <w:rPr>
                <w:rFonts w:ascii="Cambria Math" w:hAnsi="Cambria Math"/>
                <w:i/>
              </w:rPr>
            </m:ctrlPr>
          </m:sSubPr>
          <m:e>
            <m:r>
              <w:rPr>
                <w:rFonts w:ascii="Cambria Math" w:hAnsi="Cambria Math"/>
              </w:rPr>
              <m:t>∆</m:t>
            </m:r>
          </m:e>
          <m:sub>
            <m:r>
              <m:rPr>
                <m:sty m:val="p"/>
              </m:rPr>
              <w:rPr>
                <w:rFonts w:ascii="Cambria Math" w:hAnsi="Cambria Math"/>
              </w:rPr>
              <m:t>Delay</m:t>
            </m:r>
          </m:sub>
        </m:sSub>
        <m:r>
          <w:rPr>
            <w:rFonts w:ascii="Cambria Math" w:hAnsi="Cambria Math"/>
          </w:rPr>
          <m:t>=0.25</m:t>
        </m:r>
      </m:oMath>
      <w:r w:rsidRPr="00023AB3">
        <w:t xml:space="preserve"> msec </w:t>
      </w:r>
      <w:r>
        <w:t>for FR2</w:t>
      </w:r>
    </w:p>
    <w:p w14:paraId="0B9BA150" w14:textId="77777777" w:rsidR="00AC1D73" w:rsidRDefault="00AC1D73" w:rsidP="00AC1D73">
      <w:pPr>
        <w:pStyle w:val="B1"/>
        <w:rPr>
          <w:lang w:val="en-US"/>
        </w:rPr>
      </w:pPr>
      <w:r w:rsidRPr="00FF3E67">
        <w:t>-</w:t>
      </w:r>
      <w:r w:rsidRPr="00FF3E67">
        <w:tab/>
      </w:r>
      <m:oMath>
        <m:sSub>
          <m:sSubPr>
            <m:ctrlPr>
              <w:rPr>
                <w:rFonts w:ascii="Cambria Math" w:hAnsi="Cambria Math"/>
                <w:i/>
              </w:rPr>
            </m:ctrlPr>
          </m:sSubPr>
          <m:e>
            <m:r>
              <w:rPr>
                <w:rFonts w:ascii="Cambria Math" w:hAnsi="Cambria Math"/>
              </w:rPr>
              <m:t>T</m:t>
            </m:r>
          </m:e>
          <m:sub>
            <m:r>
              <m:rPr>
                <m:sty m:val="p"/>
              </m:rPr>
              <w:rPr>
                <w:rFonts w:ascii="Cambria Math" w:hAnsi="Cambria Math"/>
              </w:rPr>
              <m:t>switch</m:t>
            </m:r>
          </m:sub>
        </m:sSub>
      </m:oMath>
      <w:r>
        <w:t xml:space="preserve"> is </w:t>
      </w:r>
      <w:r>
        <w:rPr>
          <w:lang w:val="en-US"/>
        </w:rPr>
        <w:t xml:space="preserve">a switching gap duration as </w:t>
      </w:r>
      <w:r>
        <w:t>defined i</w:t>
      </w:r>
      <w:r>
        <w:rPr>
          <w:lang w:val="en-US"/>
        </w:rPr>
        <w:t>n</w:t>
      </w:r>
      <w:r>
        <w:t xml:space="preserve"> </w:t>
      </w:r>
      <w:r w:rsidRPr="00955C00">
        <w:t>[</w:t>
      </w:r>
      <w:r>
        <w:t>6</w:t>
      </w:r>
      <w:r w:rsidRPr="00955C00">
        <w:t>, TS 38.</w:t>
      </w:r>
      <w:r>
        <w:t>2</w:t>
      </w:r>
      <w:r w:rsidRPr="00955C00">
        <w:t>1</w:t>
      </w:r>
      <w:r>
        <w:t>4</w:t>
      </w:r>
      <w:r w:rsidRPr="00955C00">
        <w:t>]</w:t>
      </w:r>
      <w:r>
        <w:rPr>
          <w:lang w:val="en-US"/>
        </w:rPr>
        <w:t xml:space="preserve"> </w:t>
      </w:r>
    </w:p>
    <w:p w14:paraId="79C2A1E1" w14:textId="77777777" w:rsidR="00EA404C" w:rsidRPr="00EA404C" w:rsidRDefault="00EA404C" w:rsidP="00EA404C">
      <w:pPr>
        <w:pStyle w:val="B1"/>
      </w:pPr>
      <w:r w:rsidRPr="00EA404C">
        <w:t>-</w:t>
      </w:r>
      <w:r w:rsidRPr="00EA404C">
        <w:tab/>
      </w:r>
      <m:oMath>
        <m:sSub>
          <m:sSubPr>
            <m:ctrlPr>
              <w:rPr>
                <w:rFonts w:ascii="Cambria Math" w:hAnsi="Cambria Math"/>
                <w:i/>
              </w:rPr>
            </m:ctrlPr>
          </m:sSubPr>
          <m:e>
            <m:r>
              <w:rPr>
                <w:rFonts w:ascii="Cambria Math" w:hAnsi="Cambria Math"/>
              </w:rPr>
              <m:t>T</m:t>
            </m:r>
          </m:e>
          <m:sub>
            <m:r>
              <m:rPr>
                <m:sty m:val="p"/>
              </m:rPr>
              <w:rPr>
                <w:rFonts w:ascii="Cambria Math" w:hAnsi="Cambria Math"/>
              </w:rPr>
              <m:t>SSB</m:t>
            </m:r>
          </m:sub>
        </m:sSub>
        <m:r>
          <w:rPr>
            <w:rFonts w:ascii="Cambria Math" w:hAnsi="Cambria Math"/>
          </w:rPr>
          <m:t>=0</m:t>
        </m:r>
      </m:oMath>
      <w:r w:rsidRPr="00EA404C">
        <w:t xml:space="preserve"> if a cell indicator field in the PDCCH order indicates </w:t>
      </w:r>
      <w:r w:rsidRPr="00EA404C">
        <w:rPr>
          <w:rFonts w:eastAsia="DengXian"/>
          <w:kern w:val="2"/>
        </w:rPr>
        <w:t>a serving cell or if cell indicator field is not present</w:t>
      </w:r>
      <w:r w:rsidRPr="00EA404C">
        <w:rPr>
          <w:rFonts w:eastAsia="DengXian"/>
          <w:lang w:eastAsia="zh-CN"/>
        </w:rPr>
        <w:t>,</w:t>
      </w:r>
      <w:r w:rsidRPr="00EA404C">
        <w:rPr>
          <w:lang w:val="en-US"/>
        </w:rPr>
        <w:t xml:space="preserve"> and </w:t>
      </w:r>
      <m:oMath>
        <m:sSub>
          <m:sSubPr>
            <m:ctrlPr>
              <w:rPr>
                <w:rFonts w:ascii="Cambria Math" w:hAnsi="Cambria Math"/>
                <w:i/>
              </w:rPr>
            </m:ctrlPr>
          </m:sSubPr>
          <m:e>
            <m:r>
              <w:rPr>
                <w:rFonts w:ascii="Cambria Math" w:hAnsi="Cambria Math"/>
              </w:rPr>
              <m:t>T</m:t>
            </m:r>
          </m:e>
          <m:sub>
            <m:r>
              <m:rPr>
                <m:sty m:val="p"/>
              </m:rPr>
              <w:rPr>
                <w:rFonts w:ascii="Cambria Math" w:hAnsi="Cambria Math"/>
              </w:rPr>
              <m:t>SSB</m:t>
            </m:r>
          </m:sub>
        </m:sSub>
      </m:oMath>
      <w:r w:rsidRPr="00EA404C">
        <w:rPr>
          <w:lang w:val="en-US"/>
        </w:rPr>
        <w:t xml:space="preserve"> </w:t>
      </w:r>
      <w:r w:rsidRPr="00EA404C">
        <w:t>is defined in [10, TS 38.133] otherwise</w:t>
      </w:r>
    </w:p>
    <w:p w14:paraId="0C4A1E1C" w14:textId="0D321BA9" w:rsidR="00EA404C" w:rsidRPr="00E356BE" w:rsidRDefault="00EA404C" w:rsidP="00EA404C">
      <w:pPr>
        <w:pStyle w:val="B1"/>
        <w:rPr>
          <w:lang w:val="en-US"/>
        </w:rPr>
      </w:pPr>
      <w:r w:rsidRPr="00EA404C">
        <w:t>-</w:t>
      </w:r>
      <w:r w:rsidRPr="00EA404C">
        <w:tab/>
      </w:r>
      <m:oMath>
        <m:sSub>
          <m:sSubPr>
            <m:ctrlPr>
              <w:rPr>
                <w:rFonts w:ascii="Cambria Math" w:hAnsi="Cambria Math"/>
                <w:i/>
              </w:rPr>
            </m:ctrlPr>
          </m:sSubPr>
          <m:e>
            <m:r>
              <w:rPr>
                <w:rFonts w:ascii="Cambria Math" w:hAnsi="Cambria Math"/>
              </w:rPr>
              <m:t>∆</m:t>
            </m:r>
          </m:e>
          <m:sub>
            <m:r>
              <m:rPr>
                <m:sty m:val="p"/>
              </m:rPr>
              <w:rPr>
                <w:rFonts w:ascii="Cambria Math" w:hAnsi="Cambria Math"/>
              </w:rPr>
              <m:t>RF/BB preparation</m:t>
            </m:r>
          </m:sub>
        </m:sSub>
        <m:r>
          <w:rPr>
            <w:rFonts w:ascii="Cambria Math" w:hAnsi="Cambria Math"/>
          </w:rPr>
          <m:t>=0</m:t>
        </m:r>
      </m:oMath>
      <w:r w:rsidRPr="00EA404C">
        <w:t xml:space="preserve"> if a cell indicator field in the PDCCH order indicates </w:t>
      </w:r>
      <w:r w:rsidRPr="00EA404C">
        <w:rPr>
          <w:rFonts w:eastAsia="DengXian"/>
          <w:kern w:val="2"/>
        </w:rPr>
        <w:t>a serving cell or if cell indicator field is not present</w:t>
      </w:r>
      <w:r w:rsidRPr="00EA404C">
        <w:rPr>
          <w:rFonts w:eastAsia="DengXian"/>
          <w:lang w:eastAsia="zh-CN"/>
        </w:rPr>
        <w:t>,</w:t>
      </w:r>
      <w:r w:rsidRPr="00EA404C">
        <w:rPr>
          <w:lang w:val="en-US"/>
        </w:rPr>
        <w:t xml:space="preserve"> and </w:t>
      </w:r>
      <m:oMath>
        <m:sSub>
          <m:sSubPr>
            <m:ctrlPr>
              <w:rPr>
                <w:rFonts w:ascii="Cambria Math" w:hAnsi="Cambria Math"/>
                <w:i/>
              </w:rPr>
            </m:ctrlPr>
          </m:sSubPr>
          <m:e>
            <m:r>
              <w:rPr>
                <w:rFonts w:ascii="Cambria Math" w:hAnsi="Cambria Math"/>
              </w:rPr>
              <m:t>∆</m:t>
            </m:r>
          </m:e>
          <m:sub>
            <m:r>
              <m:rPr>
                <m:sty m:val="p"/>
              </m:rPr>
              <w:rPr>
                <w:rFonts w:ascii="Cambria Math" w:hAnsi="Cambria Math"/>
              </w:rPr>
              <m:t>RF/BB preparation</m:t>
            </m:r>
          </m:sub>
        </m:sSub>
      </m:oMath>
      <w:r w:rsidRPr="00EA404C">
        <w:rPr>
          <w:lang w:val="en-US"/>
        </w:rPr>
        <w:t xml:space="preserve"> </w:t>
      </w:r>
      <w:r w:rsidRPr="00EA404C">
        <w:t>is defined in [10, TS 38.133] otherwise</w:t>
      </w:r>
    </w:p>
    <w:p w14:paraId="6C882BF6" w14:textId="77777777" w:rsidR="00AC1D73" w:rsidRPr="00463A2F" w:rsidRDefault="00AC1D73" w:rsidP="00AC1D73">
      <w:pPr>
        <w:pStyle w:val="B1"/>
        <w:ind w:left="0" w:firstLine="0"/>
      </w:pPr>
      <w:r>
        <w:rPr>
          <w:lang w:val="en-US"/>
        </w:rPr>
        <w:t xml:space="preserve">For a PRACH transmission using 1.25 kHz or 5 kHz SCS, the UE determines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assuming SCS configuration </w:t>
      </w:r>
      <m:oMath>
        <m:r>
          <w:rPr>
            <w:rFonts w:ascii="Cambria Math" w:hAnsi="Cambria Math"/>
          </w:rPr>
          <m:t>μ=0</m:t>
        </m:r>
      </m:oMath>
      <w:r>
        <w:t>.</w:t>
      </w:r>
    </w:p>
    <w:p w14:paraId="1A9F0070" w14:textId="77777777" w:rsidR="007600E4" w:rsidRDefault="005B74DE" w:rsidP="005B74DE">
      <w:pPr>
        <w:rPr>
          <w:lang w:val="en-US"/>
        </w:rPr>
      </w:pPr>
      <w:r>
        <w:rPr>
          <w:lang w:val="en-US"/>
        </w:rPr>
        <w:t xml:space="preserve">For single cell operation or for operation with </w:t>
      </w:r>
      <w:r w:rsidR="00E44B2F" w:rsidRPr="001C231F">
        <w:t>contiguous</w:t>
      </w:r>
      <w:r w:rsidR="00E44B2F">
        <w:t xml:space="preserve"> </w:t>
      </w:r>
      <w:r>
        <w:rPr>
          <w:lang w:val="en-US"/>
        </w:rPr>
        <w:t>carrier aggregation in a same frequency band</w:t>
      </w:r>
      <w:r w:rsidR="00E44B2F">
        <w:rPr>
          <w:lang w:val="en-US"/>
        </w:rPr>
        <w:t xml:space="preserve"> </w:t>
      </w:r>
      <w:r w:rsidR="00E44B2F" w:rsidRPr="001C231F">
        <w:t xml:space="preserve">or for operation with non-contiguous carrier aggregation in a same frequency band if the UE is not </w:t>
      </w:r>
      <w:r w:rsidR="00E44B2F">
        <w:t>provid</w:t>
      </w:r>
      <w:r w:rsidR="00E44B2F" w:rsidRPr="001C231F">
        <w:t xml:space="preserve">ed with </w:t>
      </w:r>
      <w:r w:rsidR="00E44B2F" w:rsidRPr="00C0359B">
        <w:rPr>
          <w:i/>
        </w:rPr>
        <w:t>intraBandNC-PRACH-simulTx-r17</w:t>
      </w:r>
      <w:r>
        <w:rPr>
          <w:lang w:val="en-US"/>
        </w:rPr>
        <w:t xml:space="preserve">, a UE </w:t>
      </w:r>
    </w:p>
    <w:p w14:paraId="381CFCB1" w14:textId="5A1CE7BE" w:rsidR="007600E4" w:rsidRDefault="007600E4" w:rsidP="007600E4">
      <w:pPr>
        <w:pStyle w:val="B1"/>
      </w:pPr>
      <w:r>
        <w:rPr>
          <w:lang w:val="en-US"/>
        </w:rPr>
        <w:t>-</w:t>
      </w:r>
      <w:r>
        <w:rPr>
          <w:lang w:val="en-US"/>
        </w:rPr>
        <w:tab/>
      </w:r>
      <w:r w:rsidR="005B74DE">
        <w:rPr>
          <w:lang w:val="en-US"/>
        </w:rPr>
        <w:t xml:space="preserve">does not transmit PRACH and </w:t>
      </w:r>
      <w:r w:rsidR="005B74DE" w:rsidRPr="00F80F1C">
        <w:t>PUSCH/PUCCH/SRS</w:t>
      </w:r>
      <w:r w:rsidR="005B74DE">
        <w:t xml:space="preserve"> in a same slot </w:t>
      </w:r>
      <w:r w:rsidR="00F05AB1" w:rsidRPr="0017375D">
        <w:t>with respect to the smalle</w:t>
      </w:r>
      <w:r w:rsidR="00F05AB1">
        <w:t>st</w:t>
      </w:r>
      <w:r w:rsidR="00F05AB1" w:rsidRPr="0017375D">
        <w:t xml:space="preserve"> SCS configuration </w:t>
      </w:r>
      <w:r w:rsidR="00F05AB1">
        <w:t>between the SCS configuration for the</w:t>
      </w:r>
      <w:r w:rsidR="00F05AB1" w:rsidRPr="0017375D">
        <w:t xml:space="preserve"> UL BWP with </w:t>
      </w:r>
      <w:r w:rsidR="00F05AB1">
        <w:t xml:space="preserve">the </w:t>
      </w:r>
      <w:r w:rsidR="00F05AB1" w:rsidRPr="0017375D">
        <w:t xml:space="preserve">PRACH and </w:t>
      </w:r>
      <w:r w:rsidR="00F05AB1">
        <w:rPr>
          <w:rFonts w:hint="eastAsia"/>
          <w:lang w:eastAsia="zh-CN"/>
        </w:rPr>
        <w:t>the</w:t>
      </w:r>
      <w:r w:rsidR="00F05AB1">
        <w:t xml:space="preserve"> SCS configuration for the </w:t>
      </w:r>
      <w:r w:rsidR="00F05AB1">
        <w:rPr>
          <w:rFonts w:hint="eastAsia"/>
          <w:lang w:eastAsia="zh-CN"/>
        </w:rPr>
        <w:t>UL</w:t>
      </w:r>
      <w:r w:rsidR="00F05AB1">
        <w:t xml:space="preserve"> </w:t>
      </w:r>
      <w:r w:rsidR="00F05AB1">
        <w:rPr>
          <w:rFonts w:hint="eastAsia"/>
          <w:lang w:eastAsia="zh-CN"/>
        </w:rPr>
        <w:t>BWP</w:t>
      </w:r>
      <w:r w:rsidR="00F05AB1">
        <w:t xml:space="preserve"> with the </w:t>
      </w:r>
      <w:r w:rsidR="00F05AB1" w:rsidRPr="0017375D">
        <w:t>PUSCH/PUCCH/SRS transmissions</w:t>
      </w:r>
    </w:p>
    <w:p w14:paraId="74662078" w14:textId="21F3485B" w:rsidR="007600E4" w:rsidRDefault="007600E4" w:rsidP="007600E4">
      <w:pPr>
        <w:pStyle w:val="B1"/>
      </w:pPr>
      <w:r>
        <w:rPr>
          <w:lang w:val="en-US"/>
        </w:rPr>
        <w:t>-</w:t>
      </w:r>
      <w:r>
        <w:rPr>
          <w:lang w:val="en-US"/>
        </w:rPr>
        <w:tab/>
        <w:t xml:space="preserve">does not transmit PRACH and </w:t>
      </w:r>
      <w:r w:rsidRPr="00F80F1C">
        <w:t>PUSCH/PUCCH/SRS</w:t>
      </w:r>
      <w:r>
        <w:t xml:space="preserve"> </w:t>
      </w:r>
      <w:r w:rsidR="005B74DE">
        <w:t>when a first</w:t>
      </w:r>
      <w:r w:rsidR="007D3FC2">
        <w:t xml:space="preserve"> or </w:t>
      </w:r>
      <w:r w:rsidR="005B74DE">
        <w:t xml:space="preserve">last symbol of a PRACH transmission in a first slot is separated by less than </w:t>
      </w:r>
      <m:oMath>
        <m:r>
          <w:rPr>
            <w:rFonts w:ascii="Cambria Math" w:hAnsi="Cambria Math"/>
            <w:lang w:eastAsia="zh-CN"/>
          </w:rPr>
          <m:t>N</m:t>
        </m:r>
      </m:oMath>
      <w:r w:rsidR="005B74DE">
        <w:t xml:space="preserve"> symbols from the last</w:t>
      </w:r>
      <w:r w:rsidR="007D3FC2">
        <w:t xml:space="preserve"> or </w:t>
      </w:r>
      <w:r w:rsidR="005B74DE">
        <w:t>first symbol</w:t>
      </w:r>
      <w:r w:rsidR="007D3FC2">
        <w:t>, respectively,</w:t>
      </w:r>
      <w:r w:rsidR="005B74DE">
        <w:t xml:space="preserve"> of a </w:t>
      </w:r>
      <w:r w:rsidR="005B74DE" w:rsidRPr="00F80F1C">
        <w:t>PUSCH/PUCCH/SRS</w:t>
      </w:r>
      <w:r w:rsidR="005B74DE">
        <w:t xml:space="preserve"> transmission in a second slot</w:t>
      </w:r>
      <w:r w:rsidR="00653294" w:rsidRPr="00C377C9">
        <w:t xml:space="preserve">; </w:t>
      </w:r>
      <w:r w:rsidR="00653294" w:rsidRPr="00C377C9">
        <w:rPr>
          <w:lang w:val="en-US"/>
        </w:rPr>
        <w:t xml:space="preserve">for a PRACH transmission with </w:t>
      </w:r>
      <m:oMath>
        <m:sSubSup>
          <m:sSubSupPr>
            <m:ctrlPr>
              <w:rPr>
                <w:rFonts w:ascii="Cambria Math" w:hAnsi="Cambria Math"/>
                <w:i/>
              </w:rPr>
            </m:ctrlPr>
          </m:sSubSupPr>
          <m:e>
            <m:r>
              <w:rPr>
                <w:rFonts w:ascii="Cambria Math" w:hAnsi="Cambria Math"/>
              </w:rPr>
              <m:t>N</m:t>
            </m:r>
          </m:e>
          <m:sub>
            <m:r>
              <m:rPr>
                <m:sty m:val="p"/>
              </m:rPr>
              <w:rPr>
                <w:rFonts w:ascii="Cambria Math" w:hAnsi="Cambria Math"/>
                <w:lang w:val="en-US"/>
              </w:rPr>
              <m:t>preamble</m:t>
            </m:r>
          </m:sub>
          <m:sup>
            <m:r>
              <m:rPr>
                <m:sty m:val="p"/>
              </m:rPr>
              <w:rPr>
                <w:rFonts w:ascii="Cambria Math" w:hAnsi="Cambria Math"/>
                <w:lang w:val="en-US"/>
              </w:rPr>
              <m:t>rep</m:t>
            </m:r>
          </m:sup>
        </m:sSubSup>
        <m:r>
          <w:rPr>
            <w:rFonts w:ascii="Cambria Math" w:hAnsi="Cambria Math"/>
          </w:rPr>
          <m:t>&gt;1</m:t>
        </m:r>
      </m:oMath>
      <w:r w:rsidR="00653294" w:rsidRPr="00C377C9">
        <w:rPr>
          <w:lang w:val="en-US"/>
        </w:rPr>
        <w:t xml:space="preserve"> preamble repetitions, this applies to each preamble repetition</w:t>
      </w:r>
    </w:p>
    <w:p w14:paraId="15D0FBF7" w14:textId="578CBEAB" w:rsidR="007600E4" w:rsidRDefault="007600E4" w:rsidP="007600E4">
      <w:pPr>
        <w:pStyle w:val="B1"/>
      </w:pPr>
      <w:r>
        <w:t>-</w:t>
      </w:r>
      <w:r>
        <w:tab/>
      </w:r>
      <w:r w:rsidRPr="007600E4">
        <w:t xml:space="preserve">for a PRACH transmission with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preamble</m:t>
            </m:r>
          </m:sub>
          <m:sup>
            <m:r>
              <m:rPr>
                <m:sty m:val="p"/>
              </m:rPr>
              <w:rPr>
                <w:rFonts w:ascii="Cambria Math" w:hAnsi="Cambria Math"/>
              </w:rPr>
              <m:t>rep</m:t>
            </m:r>
          </m:sup>
        </m:sSubSup>
        <m:r>
          <w:rPr>
            <w:rFonts w:ascii="Cambria Math" w:hAnsi="Cambria Math"/>
          </w:rPr>
          <m:t>&gt;1</m:t>
        </m:r>
      </m:oMath>
      <w:r w:rsidRPr="007600E4">
        <w:t xml:space="preserve"> preamble repetitions, if the UE does not indicate </w:t>
      </w:r>
      <w:r w:rsidRPr="007600E4">
        <w:rPr>
          <w:i/>
          <w:iCs/>
        </w:rPr>
        <w:t>capability-XYZ</w:t>
      </w:r>
      <w:r w:rsidRPr="007600E4">
        <w:t xml:space="preserve">, </w:t>
      </w:r>
      <w:r w:rsidRPr="007600E4">
        <w:rPr>
          <w:lang w:eastAsia="zh-CN"/>
        </w:rPr>
        <w:t>the UE does</w:t>
      </w:r>
      <w:r w:rsidRPr="007600E4">
        <w:rPr>
          <w:rFonts w:hint="eastAsia"/>
          <w:lang w:eastAsia="zh-CN"/>
        </w:rPr>
        <w:t xml:space="preserve"> </w:t>
      </w:r>
      <w:r w:rsidRPr="007600E4">
        <w:t xml:space="preserve">not transmit a first repetition of the PRACH and a second repetition of the PRACH when a first or last symbol of the first repetition of the PRACH in a first slot is separated by less than </w:t>
      </w:r>
      <m:oMath>
        <m:r>
          <w:rPr>
            <w:rFonts w:ascii="Cambria Math" w:hAnsi="Cambria Math"/>
            <w:lang w:eastAsia="zh-CN"/>
          </w:rPr>
          <m:t>N</m:t>
        </m:r>
      </m:oMath>
      <w:r w:rsidRPr="007600E4">
        <w:t xml:space="preserve"> symbols from the last or first symbol, respectively, of the second  repetition of the PRACH in a second slot; otherwise, the UE transmits the first repetition of the PRACH and the second repetition of the PRACH</w:t>
      </w:r>
    </w:p>
    <w:p w14:paraId="28216C09" w14:textId="08DCB323" w:rsidR="00A10623" w:rsidRDefault="005B74DE" w:rsidP="005B74DE">
      <w:r>
        <w:t xml:space="preserve">where </w:t>
      </w:r>
      <m:oMath>
        <m:r>
          <w:rPr>
            <w:rFonts w:ascii="Cambria Math" w:hAnsi="Cambria Math"/>
            <w:lang w:eastAsia="zh-CN"/>
          </w:rPr>
          <m:t>N=2</m:t>
        </m:r>
      </m:oMath>
      <w:r w:rsidR="00B07019">
        <w:t xml:space="preserve"> for </w:t>
      </w:r>
      <m:oMath>
        <m:r>
          <w:rPr>
            <w:rFonts w:ascii="Cambria Math" w:hAnsi="Cambria Math"/>
            <w:lang w:eastAsia="zh-CN"/>
          </w:rPr>
          <m:t>μ=0</m:t>
        </m:r>
      </m:oMath>
      <w:r w:rsidR="00B07019">
        <w:t xml:space="preserve"> or </w:t>
      </w:r>
      <m:oMath>
        <m:r>
          <w:rPr>
            <w:rFonts w:ascii="Cambria Math" w:hAnsi="Cambria Math"/>
            <w:lang w:eastAsia="zh-CN"/>
          </w:rPr>
          <m:t>μ=</m:t>
        </m:r>
      </m:oMath>
      <w:r w:rsidR="002B3948" w:rsidRPr="00C06B59">
        <w:rPr>
          <w:lang w:eastAsia="zh-CN"/>
        </w:rPr>
        <w:t>1</w:t>
      </w:r>
      <w:r w:rsidR="00B07019">
        <w:t xml:space="preserve">, </w:t>
      </w:r>
      <m:oMath>
        <m:r>
          <w:rPr>
            <w:rFonts w:ascii="Cambria Math" w:hAnsi="Cambria Math"/>
            <w:lang w:eastAsia="zh-CN"/>
          </w:rPr>
          <m:t>N=4</m:t>
        </m:r>
      </m:oMath>
      <w:r w:rsidR="00B07019">
        <w:t xml:space="preserve"> for </w:t>
      </w:r>
      <m:oMath>
        <m:r>
          <w:rPr>
            <w:rFonts w:ascii="Cambria Math" w:hAnsi="Cambria Math"/>
            <w:lang w:eastAsia="zh-CN"/>
          </w:rPr>
          <m:t>μ=2</m:t>
        </m:r>
      </m:oMath>
      <w:r w:rsidR="00B07019">
        <w:t xml:space="preserve"> or </w:t>
      </w:r>
      <m:oMath>
        <m:r>
          <w:rPr>
            <w:rFonts w:ascii="Cambria Math" w:hAnsi="Cambria Math"/>
            <w:lang w:eastAsia="zh-CN"/>
          </w:rPr>
          <m:t>μ=3</m:t>
        </m:r>
      </m:oMath>
      <w:r w:rsidR="00B07019">
        <w:t xml:space="preserve">, </w:t>
      </w:r>
      <m:oMath>
        <m:r>
          <w:rPr>
            <w:rFonts w:ascii="Cambria Math" w:hAnsi="Cambria Math"/>
            <w:lang w:eastAsia="zh-CN"/>
          </w:rPr>
          <m:t>N=16</m:t>
        </m:r>
      </m:oMath>
      <w:r w:rsidR="00CC29A0" w:rsidRPr="00B27E56">
        <w:t xml:space="preserve"> for </w:t>
      </w:r>
      <m:oMath>
        <m:r>
          <w:rPr>
            <w:rFonts w:ascii="Cambria Math" w:hAnsi="Cambria Math"/>
            <w:lang w:eastAsia="zh-CN"/>
          </w:rPr>
          <m:t>μ=5</m:t>
        </m:r>
      </m:oMath>
      <w:r w:rsidR="00CC29A0" w:rsidRPr="00B27E56">
        <w:rPr>
          <w:lang w:eastAsia="zh-CN"/>
        </w:rPr>
        <w:t xml:space="preserve">, </w:t>
      </w:r>
      <m:oMath>
        <m:r>
          <w:rPr>
            <w:rFonts w:ascii="Cambria Math" w:hAnsi="Cambria Math"/>
            <w:lang w:eastAsia="zh-CN"/>
          </w:rPr>
          <m:t>N=32</m:t>
        </m:r>
      </m:oMath>
      <w:r w:rsidR="00CC29A0" w:rsidRPr="00B27E56">
        <w:t xml:space="preserve"> for </w:t>
      </w:r>
      <m:oMath>
        <m:r>
          <w:rPr>
            <w:rFonts w:ascii="Cambria Math" w:hAnsi="Cambria Math"/>
            <w:lang w:eastAsia="zh-CN"/>
          </w:rPr>
          <m:t>μ=6</m:t>
        </m:r>
      </m:oMath>
      <w:r w:rsidR="00CC29A0" w:rsidRPr="00B27E56">
        <w:rPr>
          <w:lang w:eastAsia="zh-CN"/>
        </w:rPr>
        <w:t xml:space="preserve">, </w:t>
      </w:r>
      <w:r w:rsidR="00B07019">
        <w:t xml:space="preserve">and </w:t>
      </w:r>
      <m:oMath>
        <m:r>
          <w:rPr>
            <w:rFonts w:ascii="Cambria Math" w:hAnsi="Cambria Math"/>
            <w:lang w:eastAsia="zh-CN"/>
          </w:rPr>
          <m:t>μ</m:t>
        </m:r>
      </m:oMath>
      <w:r w:rsidR="00B07019">
        <w:t xml:space="preserve"> </w:t>
      </w:r>
      <w:r>
        <w:t xml:space="preserve">is the </w:t>
      </w:r>
      <w:r w:rsidR="00F05AB1">
        <w:t xml:space="preserve">smallest </w:t>
      </w:r>
      <w:r w:rsidR="00143099">
        <w:t>SCS</w:t>
      </w:r>
      <w:r>
        <w:t xml:space="preserve"> configuration </w:t>
      </w:r>
      <w:r w:rsidR="00F05AB1">
        <w:t xml:space="preserve">between the SCS configuration for </w:t>
      </w:r>
      <w:r>
        <w:t>the UL BWP</w:t>
      </w:r>
      <w:r w:rsidR="00F05AB1">
        <w:t xml:space="preserve"> </w:t>
      </w:r>
      <w:r w:rsidR="00F05AB1" w:rsidRPr="0017375D">
        <w:t>with the PRACH and</w:t>
      </w:r>
      <w:r w:rsidR="00F05AB1">
        <w:t xml:space="preserve"> the SCS configuration for</w:t>
      </w:r>
      <w:r w:rsidR="00F05AB1" w:rsidRPr="0017375D">
        <w:t xml:space="preserve"> </w:t>
      </w:r>
      <w:r w:rsidR="00F05AB1">
        <w:t xml:space="preserve">the UL BWP with the </w:t>
      </w:r>
      <w:r w:rsidR="00F05AB1" w:rsidRPr="0017375D">
        <w:t>PUSCH/PUCCH/SRS transmissions</w:t>
      </w:r>
      <w:r>
        <w:t>.</w:t>
      </w:r>
      <w:r w:rsidR="002B3948">
        <w:t xml:space="preserve"> </w:t>
      </w:r>
      <w:r w:rsidR="002B3948" w:rsidRPr="00C06B59">
        <w:t>For a PUSCH transmission with repetition Type B, this</w:t>
      </w:r>
      <w:r w:rsidR="002B3948" w:rsidRPr="00C06B59">
        <w:rPr>
          <w:lang w:val="en-US" w:eastAsia="zh-CN"/>
        </w:rPr>
        <w:t xml:space="preserve"> applies to each actual repetition for PUSCH transmission [6, TS 38.214].</w:t>
      </w:r>
    </w:p>
    <w:p w14:paraId="253A5915" w14:textId="3CEF5911" w:rsidR="00C80D46" w:rsidRPr="00B916EC" w:rsidRDefault="00C80D46" w:rsidP="00E94CFA">
      <w:pPr>
        <w:pStyle w:val="Heading2"/>
      </w:pPr>
      <w:bookmarkStart w:id="343" w:name="_Toc29894831"/>
      <w:bookmarkStart w:id="344" w:name="_Toc29899130"/>
      <w:bookmarkStart w:id="345" w:name="_Toc29899548"/>
      <w:bookmarkStart w:id="346" w:name="_Toc29917285"/>
      <w:bookmarkStart w:id="347" w:name="_Toc36498159"/>
      <w:bookmarkStart w:id="348" w:name="_Toc45699185"/>
      <w:bookmarkStart w:id="349" w:name="_Toc161999110"/>
      <w:r w:rsidRPr="00B916EC">
        <w:t>8</w:t>
      </w:r>
      <w:r w:rsidRPr="00B916EC">
        <w:rPr>
          <w:rFonts w:hint="eastAsia"/>
        </w:rPr>
        <w:t>.1</w:t>
      </w:r>
      <w:r>
        <w:t>A</w:t>
      </w:r>
      <w:r>
        <w:rPr>
          <w:rFonts w:hint="eastAsia"/>
        </w:rPr>
        <w:tab/>
      </w:r>
      <w:r>
        <w:t>PUSCH for Type-2 random access procedure</w:t>
      </w:r>
      <w:bookmarkEnd w:id="343"/>
      <w:bookmarkEnd w:id="344"/>
      <w:bookmarkEnd w:id="345"/>
      <w:bookmarkEnd w:id="346"/>
      <w:bookmarkEnd w:id="347"/>
      <w:bookmarkEnd w:id="348"/>
      <w:bookmarkEnd w:id="349"/>
    </w:p>
    <w:p w14:paraId="4A783CDD" w14:textId="45E68F50" w:rsidR="00C80D46" w:rsidRPr="00347E0C" w:rsidRDefault="00C80D46" w:rsidP="00C80D46">
      <w:r>
        <w:rPr>
          <w:lang w:val="en-US"/>
        </w:rPr>
        <w:t xml:space="preserve">For a Type-2 random access procedure, a UE transmits a PUSCH, when applicable, after transmitting a PRACH. The UE encodes a transport block provided for the PUSCH transmission </w:t>
      </w:r>
      <w:r w:rsidRPr="000600E8">
        <w:t xml:space="preserve">using redundancy version number 0. </w:t>
      </w:r>
      <w:r w:rsidR="00173EDA">
        <w:rPr>
          <w:lang w:val="en-US"/>
        </w:rPr>
        <w:t xml:space="preserve">The </w:t>
      </w:r>
      <w:r>
        <w:rPr>
          <w:lang w:val="en-US"/>
        </w:rPr>
        <w:t xml:space="preserve">PUSCH transmission is after the PRACH transmission by at least </w:t>
      </w:r>
      <m:oMath>
        <m:r>
          <w:rPr>
            <w:rFonts w:ascii="Cambria Math" w:hAnsi="Cambria Math"/>
            <w:lang w:val="en-US"/>
          </w:rPr>
          <m:t>N</m:t>
        </m:r>
      </m:oMath>
      <w:r>
        <w:t xml:space="preserve"> symbols where </w:t>
      </w:r>
      <m:oMath>
        <m:r>
          <w:rPr>
            <w:rFonts w:ascii="Cambria Math"/>
          </w:rPr>
          <m:t>N=2</m:t>
        </m:r>
      </m:oMath>
      <w:r>
        <w:t xml:space="preserve"> for </w:t>
      </w:r>
      <m:oMath>
        <m:r>
          <w:rPr>
            <w:rFonts w:ascii="Cambria Math" w:hAnsi="Cambria Math"/>
          </w:rPr>
          <m:t>μ</m:t>
        </m:r>
        <m:r>
          <w:rPr>
            <w:rFonts w:ascii="Cambria Math"/>
          </w:rPr>
          <m:t>=0</m:t>
        </m:r>
      </m:oMath>
      <w:r>
        <w:t xml:space="preserve"> or </w:t>
      </w:r>
      <m:oMath>
        <m:r>
          <w:rPr>
            <w:rFonts w:ascii="Cambria Math" w:hAnsi="Cambria Math"/>
          </w:rPr>
          <m:t>μ</m:t>
        </m:r>
        <m:r>
          <w:rPr>
            <w:rFonts w:ascii="Cambria Math"/>
          </w:rPr>
          <m:t>=1</m:t>
        </m:r>
      </m:oMath>
      <w:r>
        <w:t xml:space="preserve">, </w:t>
      </w:r>
      <m:oMath>
        <m:r>
          <w:rPr>
            <w:rFonts w:ascii="Cambria Math"/>
          </w:rPr>
          <m:t>N=4</m:t>
        </m:r>
      </m:oMath>
      <w:r>
        <w:t xml:space="preserve"> for </w:t>
      </w:r>
      <m:oMath>
        <m:r>
          <w:rPr>
            <w:rFonts w:ascii="Cambria Math" w:hAnsi="Cambria Math"/>
          </w:rPr>
          <m:t>μ</m:t>
        </m:r>
        <m:r>
          <w:rPr>
            <w:rFonts w:ascii="Cambria Math"/>
          </w:rPr>
          <m:t>=2</m:t>
        </m:r>
      </m:oMath>
      <w:r>
        <w:t xml:space="preserve"> or </w:t>
      </w:r>
      <m:oMath>
        <m:r>
          <w:rPr>
            <w:rFonts w:ascii="Cambria Math" w:hAnsi="Cambria Math"/>
          </w:rPr>
          <m:t>μ</m:t>
        </m:r>
        <m:r>
          <w:rPr>
            <w:rFonts w:ascii="Cambria Math"/>
          </w:rPr>
          <m:t>=3</m:t>
        </m:r>
      </m:oMath>
      <w:r>
        <w:t xml:space="preserve">, </w:t>
      </w:r>
      <m:oMath>
        <m:r>
          <w:rPr>
            <w:rFonts w:ascii="Cambria Math" w:hAnsi="Cambria Math"/>
          </w:rPr>
          <m:t>N</m:t>
        </m:r>
        <m:r>
          <w:rPr>
            <w:rFonts w:ascii="Cambria Math" w:hAnsi="Cambria Math"/>
            <w:lang w:eastAsia="zh-CN"/>
          </w:rPr>
          <m:t>=16</m:t>
        </m:r>
      </m:oMath>
      <w:r w:rsidR="00CC29A0" w:rsidRPr="00B27E56">
        <w:t xml:space="preserve"> for </w:t>
      </w:r>
      <m:oMath>
        <m:r>
          <w:rPr>
            <w:rFonts w:ascii="Cambria Math" w:hAnsi="Cambria Math"/>
            <w:lang w:eastAsia="zh-CN"/>
          </w:rPr>
          <m:t>μ=5</m:t>
        </m:r>
      </m:oMath>
      <w:r w:rsidR="00CC29A0" w:rsidRPr="00B27E56">
        <w:rPr>
          <w:lang w:eastAsia="zh-CN"/>
        </w:rPr>
        <w:t xml:space="preserve">, </w:t>
      </w:r>
      <m:oMath>
        <m:r>
          <w:rPr>
            <w:rFonts w:ascii="Cambria Math" w:hAnsi="Cambria Math"/>
            <w:lang w:eastAsia="zh-CN"/>
          </w:rPr>
          <m:t>N=32</m:t>
        </m:r>
      </m:oMath>
      <w:r w:rsidR="00CC29A0" w:rsidRPr="00B27E56">
        <w:t xml:space="preserve"> for </w:t>
      </w:r>
      <m:oMath>
        <m:r>
          <w:rPr>
            <w:rFonts w:ascii="Cambria Math" w:hAnsi="Cambria Math"/>
            <w:lang w:eastAsia="zh-CN"/>
          </w:rPr>
          <m:t>μ=6</m:t>
        </m:r>
      </m:oMath>
      <w:r w:rsidR="00CC29A0" w:rsidRPr="00B27E56">
        <w:rPr>
          <w:lang w:eastAsia="zh-CN"/>
        </w:rPr>
        <w:t xml:space="preserve">, </w:t>
      </w:r>
      <w:r>
        <w:t xml:space="preserve">and </w:t>
      </w:r>
      <m:oMath>
        <m:r>
          <w:rPr>
            <w:rFonts w:ascii="Cambria Math" w:hAnsi="Cambria Math"/>
          </w:rPr>
          <m:t>μ</m:t>
        </m:r>
      </m:oMath>
      <w:r>
        <w:t xml:space="preserve"> is the SCS configuration for the active UL BWP.</w:t>
      </w:r>
    </w:p>
    <w:p w14:paraId="01C3DA02" w14:textId="3F2959FA" w:rsidR="00C80D46" w:rsidRDefault="00C80D46" w:rsidP="00C80D46">
      <w:r>
        <w:t xml:space="preserve">A UE does not transmit a PUSCH in a PUSCH occasion if the PUSCH occasion </w:t>
      </w:r>
      <w:r w:rsidR="000B7149">
        <w:t xml:space="preserve">associated with a DMRS resource </w:t>
      </w:r>
      <w:r>
        <w:t xml:space="preserve">is not mapped to a </w:t>
      </w:r>
      <w:r w:rsidR="000B7149">
        <w:t xml:space="preserve">preamble of </w:t>
      </w:r>
      <w:r>
        <w:t>valid PRACH occasions</w:t>
      </w:r>
      <w:r w:rsidR="002A779A" w:rsidRPr="007D45D5">
        <w:t xml:space="preserve"> </w:t>
      </w:r>
      <w:r w:rsidR="002A779A" w:rsidRPr="00F80264">
        <w:t xml:space="preserve">or if the associated PRACH </w:t>
      </w:r>
      <w:r w:rsidR="002A779A" w:rsidRPr="001465D9">
        <w:t xml:space="preserve">preamble is not transmitted as described </w:t>
      </w:r>
      <w:r w:rsidR="006F5F9E">
        <w:t>in clause</w:t>
      </w:r>
      <w:r w:rsidR="002A779A" w:rsidRPr="001465D9">
        <w:t xml:space="preserve"> </w:t>
      </w:r>
      <w:r w:rsidR="002A779A" w:rsidRPr="006976B4">
        <w:t xml:space="preserve">7.5 or </w:t>
      </w:r>
      <w:r w:rsidR="006F5F9E">
        <w:t>clause</w:t>
      </w:r>
      <w:r w:rsidR="002A779A" w:rsidRPr="006976B4">
        <w:t xml:space="preserve"> 11.1</w:t>
      </w:r>
      <w:r w:rsidR="001A51E3">
        <w:rPr>
          <w:rFonts w:hint="eastAsia"/>
          <w:lang w:eastAsia="zh-CN"/>
        </w:rPr>
        <w:t xml:space="preserve"> </w:t>
      </w:r>
      <w:r w:rsidR="003B0C82">
        <w:rPr>
          <w:rFonts w:hint="eastAsia"/>
          <w:lang w:eastAsia="zh-CN"/>
        </w:rPr>
        <w:t xml:space="preserve">or clause 15 </w:t>
      </w:r>
      <w:r w:rsidR="001A51E3">
        <w:rPr>
          <w:rFonts w:hint="eastAsia"/>
          <w:lang w:eastAsia="zh-CN"/>
        </w:rPr>
        <w:t>or clause 17.2</w:t>
      </w:r>
      <w:r>
        <w:t xml:space="preserve">. A UE can transmit a PRACH </w:t>
      </w:r>
      <w:r w:rsidR="000B7149">
        <w:t xml:space="preserve">preamble </w:t>
      </w:r>
      <w:r>
        <w:t xml:space="preserve">in a valid PRACH occasion if the PRACH </w:t>
      </w:r>
      <w:r w:rsidR="000B7149">
        <w:t>preamble</w:t>
      </w:r>
      <w:r>
        <w:t xml:space="preserve"> is not mapped to a valid PUSCH occasion.</w:t>
      </w:r>
    </w:p>
    <w:p w14:paraId="16D06F19" w14:textId="4DF780AA" w:rsidR="000B7149" w:rsidRPr="008039B2" w:rsidRDefault="000B7149" w:rsidP="000B7149">
      <w:r>
        <w:t>A</w:t>
      </w:r>
      <w:r>
        <w:rPr>
          <w:iCs/>
        </w:rPr>
        <w:t xml:space="preserve"> mapping between one or multiple PRACH preambles and a PUSCH occasion </w:t>
      </w:r>
      <w:r>
        <w:t xml:space="preserve">associated with a DMRS resource </w:t>
      </w:r>
      <w:r>
        <w:rPr>
          <w:iCs/>
        </w:rPr>
        <w:t xml:space="preserve">is per </w:t>
      </w:r>
      <w:r>
        <w:t>PUSCH configuration</w:t>
      </w:r>
      <w:r w:rsidR="009D05BB" w:rsidRPr="00225BB5">
        <w:rPr>
          <w:iCs/>
          <w:lang w:eastAsia="zh-CN"/>
        </w:rPr>
        <w:t xml:space="preserve"> provided by</w:t>
      </w:r>
      <w:r w:rsidR="009D05BB" w:rsidRPr="00225BB5">
        <w:rPr>
          <w:i/>
          <w:lang w:eastAsia="zh-CN"/>
        </w:rPr>
        <w:t xml:space="preserve"> </w:t>
      </w:r>
      <w:r w:rsidR="009D05BB" w:rsidRPr="00225BB5">
        <w:rPr>
          <w:i/>
          <w:iCs/>
          <w:lang w:eastAsia="zh-CN"/>
        </w:rPr>
        <w:t>MsgA-PUSCH-Resource</w:t>
      </w:r>
      <w:r>
        <w:t>.</w:t>
      </w:r>
    </w:p>
    <w:p w14:paraId="7C85F212" w14:textId="7417DFD5" w:rsidR="00C80D46" w:rsidRPr="007B641C" w:rsidRDefault="00C80D46" w:rsidP="00C80D46">
      <w:pPr>
        <w:rPr>
          <w:lang w:eastAsia="zh-CN"/>
        </w:rPr>
      </w:pPr>
      <w:r w:rsidRPr="007B641C">
        <w:rPr>
          <w:lang w:eastAsia="zh-CN"/>
        </w:rPr>
        <w:t xml:space="preserve">A UE determines time resources and frequency resources for PUSCH occasions in an active UL BWP from </w:t>
      </w:r>
      <w:r w:rsidRPr="007B641C">
        <w:rPr>
          <w:i/>
        </w:rPr>
        <w:t>msgA-PUSCH-</w:t>
      </w:r>
      <w:r w:rsidR="002A779A" w:rsidRPr="007B641C">
        <w:rPr>
          <w:i/>
        </w:rPr>
        <w:t>Config</w:t>
      </w:r>
      <w:r w:rsidR="002A779A" w:rsidRPr="007B641C">
        <w:t xml:space="preserve"> </w:t>
      </w:r>
      <w:r w:rsidR="007B641C" w:rsidRPr="007B641C">
        <w:t xml:space="preserve">or </w:t>
      </w:r>
      <w:r w:rsidR="007B641C" w:rsidRPr="007B641C">
        <w:rPr>
          <w:i/>
        </w:rPr>
        <w:t>separateMsgA-PUSCH-Config</w:t>
      </w:r>
      <w:r w:rsidR="007B641C" w:rsidRPr="007B641C">
        <w:t xml:space="preserve"> </w:t>
      </w:r>
      <w:r w:rsidRPr="007B641C">
        <w:t>for the active UL BWP</w:t>
      </w:r>
      <w:r w:rsidRPr="007B641C">
        <w:rPr>
          <w:lang w:eastAsia="zh-CN"/>
        </w:rPr>
        <w:t xml:space="preserve">. If the active UL BWP is not the initial UL BWP and </w:t>
      </w:r>
      <w:r w:rsidRPr="007B641C">
        <w:rPr>
          <w:i/>
        </w:rPr>
        <w:t>msgA-PUSCH-</w:t>
      </w:r>
      <w:r w:rsidR="002A779A" w:rsidRPr="007B641C">
        <w:rPr>
          <w:i/>
        </w:rPr>
        <w:t xml:space="preserve">Config </w:t>
      </w:r>
      <w:r w:rsidR="007B641C" w:rsidRPr="007B641C">
        <w:t xml:space="preserve">or </w:t>
      </w:r>
      <w:r w:rsidR="007B641C" w:rsidRPr="007B641C">
        <w:rPr>
          <w:i/>
        </w:rPr>
        <w:t>separateMsgA-PUSCH-Config</w:t>
      </w:r>
      <w:r w:rsidR="007B641C" w:rsidRPr="007B641C">
        <w:t xml:space="preserve"> </w:t>
      </w:r>
      <w:r w:rsidRPr="007B641C">
        <w:t xml:space="preserve">is not provided for the active UL BWP, the UE uses the </w:t>
      </w:r>
      <w:r w:rsidRPr="007B641C">
        <w:rPr>
          <w:i/>
        </w:rPr>
        <w:t>msgA-PUSCH-</w:t>
      </w:r>
      <w:r w:rsidR="002A779A" w:rsidRPr="007B641C">
        <w:rPr>
          <w:i/>
        </w:rPr>
        <w:t xml:space="preserve">Config </w:t>
      </w:r>
      <w:r w:rsidR="007B641C" w:rsidRPr="007B641C">
        <w:t xml:space="preserve">or </w:t>
      </w:r>
      <w:r w:rsidR="007B641C" w:rsidRPr="007B641C">
        <w:rPr>
          <w:i/>
        </w:rPr>
        <w:t>separateMsgA-PUSCH-Config</w:t>
      </w:r>
      <w:r w:rsidR="007B641C" w:rsidRPr="007B641C">
        <w:t xml:space="preserve"> </w:t>
      </w:r>
      <w:r w:rsidRPr="007B641C">
        <w:t>provided for the initial UL BWP.</w:t>
      </w:r>
    </w:p>
    <w:p w14:paraId="39A4A270" w14:textId="29A5174C" w:rsidR="00C80D46" w:rsidRPr="00EE0D3A" w:rsidRDefault="00C80D46" w:rsidP="00C80D46">
      <w:pPr>
        <w:rPr>
          <w:iCs/>
        </w:rPr>
      </w:pPr>
      <w:r w:rsidRPr="006F15B6">
        <w:rPr>
          <w:rFonts w:cs="Times"/>
        </w:rPr>
        <w:lastRenderedPageBreak/>
        <w:t xml:space="preserve">A UE determines a first interlace or first RB for a first PUSCH occasion in an active UL BWP respectively from </w:t>
      </w:r>
      <w:r w:rsidRPr="006F15B6">
        <w:rPr>
          <w:i/>
          <w:iCs/>
        </w:rPr>
        <w:t>interlaceIndexFirstPO</w:t>
      </w:r>
      <w:r w:rsidR="002A779A">
        <w:rPr>
          <w:i/>
          <w:iCs/>
        </w:rPr>
        <w:t>-</w:t>
      </w:r>
      <w:r w:rsidRPr="006F15B6">
        <w:rPr>
          <w:i/>
          <w:iCs/>
        </w:rPr>
        <w:t>MsgA</w:t>
      </w:r>
      <w:r w:rsidR="002A779A">
        <w:rPr>
          <w:i/>
          <w:iCs/>
        </w:rPr>
        <w:t>-</w:t>
      </w:r>
      <w:r w:rsidRPr="006F15B6">
        <w:rPr>
          <w:i/>
          <w:iCs/>
        </w:rPr>
        <w:t>PUSCH</w:t>
      </w:r>
      <w:r w:rsidRPr="006F15B6">
        <w:rPr>
          <w:rFonts w:cs="Times"/>
        </w:rPr>
        <w:t xml:space="preserve"> or from </w:t>
      </w:r>
      <w:r w:rsidRPr="006F15B6">
        <w:rPr>
          <w:i/>
          <w:iCs/>
        </w:rPr>
        <w:t>frequencyStartMsgA</w:t>
      </w:r>
      <w:r w:rsidR="002A779A">
        <w:rPr>
          <w:i/>
          <w:iCs/>
        </w:rPr>
        <w:t>-</w:t>
      </w:r>
      <w:r w:rsidRPr="006F15B6">
        <w:rPr>
          <w:i/>
          <w:iCs/>
        </w:rPr>
        <w:t>PUSCH</w:t>
      </w:r>
      <w:r w:rsidRPr="006F15B6">
        <w:rPr>
          <w:iCs/>
        </w:rPr>
        <w:t xml:space="preserve"> that provides an offset, in number of RBs in the active UL BWP, </w:t>
      </w:r>
      <w:r w:rsidRPr="006F15B6">
        <w:rPr>
          <w:rFonts w:cs="Times"/>
        </w:rPr>
        <w:t xml:space="preserve">from </w:t>
      </w:r>
      <w:r w:rsidRPr="006F15B6">
        <w:rPr>
          <w:rFonts w:cs="Times"/>
          <w:lang w:val="en-US"/>
        </w:rPr>
        <w:t>a first</w:t>
      </w:r>
      <w:r w:rsidRPr="006F15B6">
        <w:rPr>
          <w:rFonts w:cs="Times"/>
        </w:rPr>
        <w:t xml:space="preserve"> RB of the active UL BWP. A PUSCH occasion includes a number of interlaces or a number of RBs provided by </w:t>
      </w:r>
      <w:r w:rsidRPr="006F15B6">
        <w:rPr>
          <w:i/>
          <w:iCs/>
        </w:rPr>
        <w:t>nrofInterlacesPerMsgA</w:t>
      </w:r>
      <w:r w:rsidR="002A779A">
        <w:rPr>
          <w:i/>
          <w:iCs/>
        </w:rPr>
        <w:t>-</w:t>
      </w:r>
      <w:r w:rsidRPr="006F15B6">
        <w:rPr>
          <w:i/>
          <w:iCs/>
        </w:rPr>
        <w:t>PO</w:t>
      </w:r>
      <w:r w:rsidRPr="006F15B6">
        <w:rPr>
          <w:rFonts w:cs="Times"/>
        </w:rPr>
        <w:t xml:space="preserve"> or</w:t>
      </w:r>
      <w:r>
        <w:rPr>
          <w:rFonts w:cs="Times"/>
        </w:rPr>
        <w:t xml:space="preserve"> by</w:t>
      </w:r>
      <w:r w:rsidRPr="006F15B6">
        <w:rPr>
          <w:rFonts w:cs="Times"/>
        </w:rPr>
        <w:t xml:space="preserve"> </w:t>
      </w:r>
      <w:r w:rsidRPr="006F15B6">
        <w:rPr>
          <w:i/>
          <w:iCs/>
        </w:rPr>
        <w:t>nrofPRBs</w:t>
      </w:r>
      <w:r w:rsidR="002A779A">
        <w:rPr>
          <w:i/>
          <w:iCs/>
        </w:rPr>
        <w:t>-</w:t>
      </w:r>
      <w:r w:rsidRPr="006F15B6">
        <w:rPr>
          <w:rFonts w:hint="eastAsia"/>
          <w:i/>
          <w:iCs/>
        </w:rPr>
        <w:t>per</w:t>
      </w:r>
      <w:r w:rsidRPr="006F15B6">
        <w:rPr>
          <w:i/>
          <w:iCs/>
        </w:rPr>
        <w:t>MsgA</w:t>
      </w:r>
      <w:r w:rsidR="002A779A">
        <w:rPr>
          <w:i/>
          <w:iCs/>
        </w:rPr>
        <w:t>-</w:t>
      </w:r>
      <w:r w:rsidRPr="006F15B6">
        <w:rPr>
          <w:i/>
          <w:iCs/>
        </w:rPr>
        <w:t>PO</w:t>
      </w:r>
      <w:r>
        <w:rPr>
          <w:iCs/>
        </w:rPr>
        <w:t>, respectively</w:t>
      </w:r>
      <w:r w:rsidRPr="006F15B6">
        <w:rPr>
          <w:iCs/>
        </w:rPr>
        <w:t xml:space="preserve">. Consecutive PUSCH occasions in the frequency domain of an UL BWP are separated by a number of RBs provided by </w:t>
      </w:r>
      <w:r w:rsidRPr="006F15B6">
        <w:rPr>
          <w:i/>
          <w:iCs/>
        </w:rPr>
        <w:t>g</w:t>
      </w:r>
      <w:r w:rsidRPr="006F15B6">
        <w:rPr>
          <w:rFonts w:hint="eastAsia"/>
          <w:i/>
          <w:iCs/>
        </w:rPr>
        <w:t>uardBandM</w:t>
      </w:r>
      <w:r w:rsidRPr="006F15B6">
        <w:rPr>
          <w:i/>
          <w:iCs/>
        </w:rPr>
        <w:t>sgA</w:t>
      </w:r>
      <w:r w:rsidR="002A779A">
        <w:rPr>
          <w:i/>
          <w:iCs/>
        </w:rPr>
        <w:t>-</w:t>
      </w:r>
      <w:r w:rsidRPr="006F15B6">
        <w:rPr>
          <w:i/>
          <w:iCs/>
        </w:rPr>
        <w:t>PUSCH</w:t>
      </w:r>
      <w:r w:rsidRPr="006F15B6">
        <w:rPr>
          <w:iCs/>
        </w:rPr>
        <w:t xml:space="preserve">. A </w:t>
      </w:r>
      <w:r w:rsidRPr="001C582B">
        <w:rPr>
          <w:iCs/>
        </w:rPr>
        <w:t xml:space="preserve">number </w:t>
      </w:r>
      <m:oMath>
        <m:sSub>
          <m:sSubPr>
            <m:ctrlPr>
              <w:rPr>
                <w:rFonts w:ascii="Cambria Math" w:eastAsiaTheme="minorEastAsia" w:hAnsi="Cambria Math"/>
                <w:b/>
                <w:i/>
                <w:sz w:val="24"/>
                <w:szCs w:val="24"/>
              </w:rPr>
            </m:ctrlPr>
          </m:sSubPr>
          <m:e>
            <m:r>
              <w:rPr>
                <w:rFonts w:ascii="Cambria Math" w:eastAsiaTheme="minorEastAsia" w:hAnsi="Cambria Math"/>
              </w:rPr>
              <m:t>N</m:t>
            </m:r>
          </m:e>
          <m:sub>
            <m:r>
              <w:rPr>
                <w:rFonts w:ascii="Cambria Math" w:eastAsiaTheme="minorEastAsia" w:hAnsi="Cambria Math"/>
              </w:rPr>
              <m:t>f</m:t>
            </m:r>
          </m:sub>
        </m:sSub>
        <m:r>
          <m:rPr>
            <m:sty m:val="bi"/>
          </m:rPr>
          <w:rPr>
            <w:rFonts w:ascii="Cambria Math" w:eastAsiaTheme="minorEastAsia" w:hAnsi="Cambria Math"/>
          </w:rPr>
          <m:t xml:space="preserve"> </m:t>
        </m:r>
      </m:oMath>
      <w:r w:rsidRPr="006F15B6">
        <w:rPr>
          <w:iCs/>
        </w:rPr>
        <w:t xml:space="preserve">of PUSCH occasions in the frequency domain of an UL BWP is provided by </w:t>
      </w:r>
      <w:r w:rsidR="00F9791D" w:rsidRPr="00213624">
        <w:rPr>
          <w:i/>
          <w:iCs/>
          <w:lang w:eastAsia="zh-CN"/>
        </w:rPr>
        <w:t>nrofMsgA-PO-FDM</w:t>
      </w:r>
      <w:r w:rsidRPr="006F15B6">
        <w:rPr>
          <w:iCs/>
        </w:rPr>
        <w:t xml:space="preserve">. </w:t>
      </w:r>
    </w:p>
    <w:p w14:paraId="332E9820" w14:textId="77777777" w:rsidR="00646BD5" w:rsidRPr="00C453D7" w:rsidRDefault="00646BD5" w:rsidP="00646BD5">
      <w:pPr>
        <w:rPr>
          <w:iCs/>
        </w:rPr>
      </w:pPr>
      <w:r w:rsidRPr="00C453D7">
        <w:t>For operation with shared spectrum channel access,</w:t>
      </w:r>
      <w:r w:rsidRPr="00C453D7">
        <w:rPr>
          <w:rFonts w:eastAsia="MS Mincho"/>
        </w:rPr>
        <w:t xml:space="preserve"> if the PUSCH occasion is provided by higher layer parameters </w:t>
      </w:r>
      <w:r w:rsidRPr="00C453D7">
        <w:rPr>
          <w:i/>
          <w:iCs/>
        </w:rPr>
        <w:t>frequencyStartMsgA-PUSCH</w:t>
      </w:r>
      <w:r w:rsidRPr="00C453D7">
        <w:rPr>
          <w:iCs/>
        </w:rPr>
        <w:t xml:space="preserve"> </w:t>
      </w:r>
      <w:r w:rsidRPr="00C453D7">
        <w:rPr>
          <w:rFonts w:cs="Times"/>
        </w:rPr>
        <w:t xml:space="preserve">and </w:t>
      </w:r>
      <w:r w:rsidRPr="00C453D7">
        <w:rPr>
          <w:i/>
          <w:iCs/>
        </w:rPr>
        <w:t>nrofPRBs-</w:t>
      </w:r>
      <w:r w:rsidRPr="00C453D7">
        <w:rPr>
          <w:rFonts w:hint="eastAsia"/>
          <w:i/>
          <w:iCs/>
        </w:rPr>
        <w:t>per</w:t>
      </w:r>
      <w:r w:rsidRPr="00C453D7">
        <w:rPr>
          <w:i/>
          <w:iCs/>
        </w:rPr>
        <w:t>MsgA-PO</w:t>
      </w:r>
      <w:r w:rsidRPr="00C453D7">
        <w:rPr>
          <w:rFonts w:cs="Times"/>
        </w:rPr>
        <w:t>, the UE expects a PUSCH occasion to be confined within the same</w:t>
      </w:r>
      <w:r w:rsidRPr="00C453D7">
        <w:rPr>
          <w:rFonts w:eastAsia="MS Mincho"/>
        </w:rPr>
        <w:t xml:space="preserve"> RB set as the corresponding PRACH transmission.</w:t>
      </w:r>
    </w:p>
    <w:p w14:paraId="79470E20" w14:textId="18091484" w:rsidR="00646BD5" w:rsidRPr="00C453D7" w:rsidRDefault="00646BD5" w:rsidP="00646BD5">
      <w:r w:rsidRPr="00C453D7">
        <w:t>For operation with shared spectrum channel access,</w:t>
      </w:r>
      <w:r w:rsidRPr="00C453D7">
        <w:rPr>
          <w:rFonts w:eastAsia="MS Mincho"/>
        </w:rPr>
        <w:t xml:space="preserve"> if the PUSCH occasion is provided by higher layer parameters </w:t>
      </w:r>
      <w:r w:rsidRPr="00C453D7">
        <w:rPr>
          <w:i/>
          <w:iCs/>
        </w:rPr>
        <w:t>interlaceIndexFirstPO-MsgA-PUSCH</w:t>
      </w:r>
      <w:r w:rsidRPr="00C453D7">
        <w:rPr>
          <w:rFonts w:cs="Times"/>
        </w:rPr>
        <w:t xml:space="preserve"> and </w:t>
      </w:r>
      <w:r w:rsidRPr="00C453D7">
        <w:rPr>
          <w:i/>
          <w:iCs/>
        </w:rPr>
        <w:t>nrofInterlacesPerMsgA-PO</w:t>
      </w:r>
      <w:r w:rsidRPr="00C453D7">
        <w:rPr>
          <w:rFonts w:cs="Times"/>
        </w:rPr>
        <w:t xml:space="preserve">, </w:t>
      </w:r>
      <w:r w:rsidRPr="00C453D7">
        <w:rPr>
          <w:rFonts w:eastAsia="MS Mincho"/>
        </w:rPr>
        <w:t xml:space="preserve">the RB set for the PUSCH occasion in the active UL BWP is the same RB set as the corresponding PRACH transmission. </w:t>
      </w:r>
      <w:r w:rsidRPr="00C453D7">
        <w:t xml:space="preserve">The UE assumes that the RB set is defined as when the UE is not provided </w:t>
      </w:r>
      <w:r w:rsidRPr="00C453D7">
        <w:rPr>
          <w:i/>
          <w:iCs/>
        </w:rPr>
        <w:t>intraCellGuardBandsPerSCS</w:t>
      </w:r>
      <w:r w:rsidRPr="00C453D7">
        <w:t xml:space="preserve"> for an UL carrier as described </w:t>
      </w:r>
      <w:r w:rsidR="006F5F9E">
        <w:t>in clause</w:t>
      </w:r>
      <w:r w:rsidRPr="00C453D7">
        <w:t xml:space="preserve"> 7 of [6, TS 38.214].</w:t>
      </w:r>
    </w:p>
    <w:p w14:paraId="7BF86CF0" w14:textId="79317449" w:rsidR="00C80D46" w:rsidRDefault="00C80D46" w:rsidP="00646BD5">
      <w:pPr>
        <w:rPr>
          <w:iCs/>
        </w:rPr>
      </w:pPr>
      <w:r>
        <w:rPr>
          <w:iCs/>
        </w:rPr>
        <w:t xml:space="preserve">If a UE does not have dedicated RRC configuration, or has an initial UL BWP as an active UL BWP, or is not provided </w:t>
      </w:r>
      <w:r w:rsidRPr="005A3D34">
        <w:rPr>
          <w:i/>
          <w:iCs/>
        </w:rPr>
        <w:t>startSymbolAndLengthMsgA</w:t>
      </w:r>
      <w:r w:rsidR="002A779A">
        <w:rPr>
          <w:i/>
          <w:iCs/>
        </w:rPr>
        <w:t>-</w:t>
      </w:r>
      <w:r w:rsidRPr="005A3D34">
        <w:rPr>
          <w:i/>
          <w:iCs/>
        </w:rPr>
        <w:t>PO</w:t>
      </w:r>
      <w:r>
        <w:rPr>
          <w:iCs/>
        </w:rPr>
        <w:t xml:space="preserve">, </w:t>
      </w:r>
      <w:r w:rsidRPr="005A3D34">
        <w:rPr>
          <w:i/>
          <w:iCs/>
          <w:lang w:eastAsia="zh-CN"/>
        </w:rPr>
        <w:t>msgA-</w:t>
      </w:r>
      <w:r w:rsidR="002A779A">
        <w:rPr>
          <w:i/>
          <w:iCs/>
          <w:lang w:eastAsia="zh-CN"/>
        </w:rPr>
        <w:t>PUSCH-</w:t>
      </w:r>
      <w:r w:rsidRPr="005A3D34">
        <w:rPr>
          <w:i/>
          <w:iCs/>
          <w:lang w:eastAsia="zh-CN"/>
        </w:rPr>
        <w:t>timeDomainAllocation</w:t>
      </w:r>
      <w:r>
        <w:rPr>
          <w:iCs/>
        </w:rPr>
        <w:t xml:space="preserve"> provides a SLIV and a </w:t>
      </w:r>
      <w:r>
        <w:rPr>
          <w:color w:val="000000"/>
        </w:rPr>
        <w:t>PUSCH mapping type for a PUSCH transmission by indicating</w:t>
      </w:r>
      <w:r>
        <w:rPr>
          <w:iCs/>
        </w:rPr>
        <w:t xml:space="preserve"> </w:t>
      </w:r>
    </w:p>
    <w:p w14:paraId="0478339E" w14:textId="477C7652" w:rsidR="00C80D46" w:rsidRPr="00C04B54" w:rsidRDefault="00C80D46" w:rsidP="00C80D46">
      <w:pPr>
        <w:pStyle w:val="B1"/>
        <w:spacing w:after="240"/>
      </w:pPr>
      <w:r w:rsidRPr="00C04B54">
        <w:rPr>
          <w:lang w:val="en-US"/>
        </w:rPr>
        <w:t>-</w:t>
      </w:r>
      <w:r w:rsidRPr="00C04B54">
        <w:tab/>
      </w:r>
      <w:r w:rsidR="00F9791D">
        <w:rPr>
          <w:lang w:val="en-US"/>
        </w:rPr>
        <w:t xml:space="preserve">one of the </w:t>
      </w:r>
      <w:r w:rsidRPr="00C04B54">
        <w:rPr>
          <w:iCs/>
          <w:lang w:eastAsia="zh-CN"/>
        </w:rPr>
        <w:t xml:space="preserve">first </w:t>
      </w:r>
      <w:r w:rsidRPr="00C04B54">
        <w:rPr>
          <w:i/>
          <w:iCs/>
          <w:lang w:eastAsia="zh-CN"/>
        </w:rPr>
        <w:t>maxNrofUL-Allocations</w:t>
      </w:r>
      <w:r w:rsidRPr="00C04B54">
        <w:rPr>
          <w:iCs/>
          <w:lang w:eastAsia="zh-CN"/>
        </w:rPr>
        <w:t xml:space="preserve"> </w:t>
      </w:r>
      <w:r>
        <w:rPr>
          <w:iCs/>
          <w:lang w:eastAsia="zh-CN"/>
        </w:rPr>
        <w:t>values from</w:t>
      </w:r>
      <w:r w:rsidRPr="00C04B54">
        <w:rPr>
          <w:iCs/>
        </w:rPr>
        <w:t xml:space="preserve"> </w:t>
      </w:r>
      <w:r w:rsidRPr="00C04B54">
        <w:rPr>
          <w:i/>
          <w:kern w:val="2"/>
          <w:lang w:eastAsia="zh-CN"/>
        </w:rPr>
        <w:t>PUSCH-TimeDomainResourceAllocationList</w:t>
      </w:r>
      <w:r>
        <w:rPr>
          <w:kern w:val="2"/>
          <w:lang w:eastAsia="zh-CN"/>
        </w:rPr>
        <w:t xml:space="preserve">, if </w:t>
      </w:r>
      <w:r w:rsidRPr="00C04B54">
        <w:rPr>
          <w:i/>
          <w:kern w:val="2"/>
          <w:lang w:eastAsia="zh-CN"/>
        </w:rPr>
        <w:t>PUSCH-TimeDomainResourceAllocationList</w:t>
      </w:r>
      <w:r w:rsidRPr="00C04B54">
        <w:rPr>
          <w:kern w:val="2"/>
          <w:lang w:eastAsia="zh-CN"/>
        </w:rPr>
        <w:t xml:space="preserve"> is provided in </w:t>
      </w:r>
      <w:r w:rsidRPr="00C04B54">
        <w:rPr>
          <w:i/>
          <w:kern w:val="2"/>
          <w:lang w:eastAsia="zh-CN"/>
        </w:rPr>
        <w:t>PUSCH-ConfigCommon</w:t>
      </w:r>
    </w:p>
    <w:p w14:paraId="1260F4C4" w14:textId="5540AFCA" w:rsidR="00C80D46" w:rsidRDefault="00C80D46" w:rsidP="00C80D46">
      <w:pPr>
        <w:pStyle w:val="B1"/>
        <w:spacing w:after="240"/>
        <w:rPr>
          <w:color w:val="000000"/>
        </w:rPr>
      </w:pPr>
      <w:r w:rsidRPr="00A81FC3">
        <w:rPr>
          <w:lang w:val="en-US"/>
        </w:rPr>
        <w:t>-</w:t>
      </w:r>
      <w:r>
        <w:tab/>
      </w:r>
      <w:r w:rsidR="00F9791D">
        <w:rPr>
          <w:lang w:val="en-US"/>
        </w:rPr>
        <w:t xml:space="preserve">one of the </w:t>
      </w:r>
      <w:r>
        <w:rPr>
          <w:iCs/>
          <w:lang w:eastAsia="zh-CN"/>
        </w:rPr>
        <w:t xml:space="preserve">entries </w:t>
      </w:r>
      <w:r>
        <w:rPr>
          <w:color w:val="000000"/>
          <w:lang w:eastAsia="zh-CN"/>
        </w:rPr>
        <w:t>from</w:t>
      </w:r>
      <w:r w:rsidRPr="006F5644">
        <w:rPr>
          <w:color w:val="000000"/>
          <w:lang w:eastAsia="zh-CN"/>
        </w:rPr>
        <w:t xml:space="preserve"> table </w:t>
      </w:r>
      <w:r>
        <w:rPr>
          <w:color w:val="000000"/>
          <w:lang w:eastAsia="zh-CN"/>
        </w:rPr>
        <w:t>6.1.2.1.1-2</w:t>
      </w:r>
      <w:r w:rsidR="00F9791D">
        <w:rPr>
          <w:color w:val="000000"/>
          <w:lang w:val="en-US" w:eastAsia="zh-CN"/>
        </w:rPr>
        <w:t xml:space="preserve"> </w:t>
      </w:r>
      <w:r w:rsidR="00F9791D" w:rsidRPr="00184CD3">
        <w:t>or table 6.1.2.1.1-3</w:t>
      </w:r>
      <w:r>
        <w:rPr>
          <w:color w:val="000000"/>
          <w:lang w:eastAsia="zh-CN"/>
        </w:rPr>
        <w:t xml:space="preserve"> in</w:t>
      </w:r>
      <w:r w:rsidDel="00FC4327">
        <w:rPr>
          <w:color w:val="000000"/>
        </w:rPr>
        <w:t xml:space="preserve"> </w:t>
      </w:r>
      <w:r>
        <w:rPr>
          <w:color w:val="000000"/>
        </w:rPr>
        <w:t xml:space="preserve">[6, TS 38.214], </w:t>
      </w:r>
      <w:r>
        <w:rPr>
          <w:kern w:val="2"/>
          <w:lang w:eastAsia="zh-CN"/>
        </w:rPr>
        <w:t xml:space="preserve">if </w:t>
      </w:r>
      <w:r w:rsidRPr="00C04B54">
        <w:rPr>
          <w:i/>
          <w:kern w:val="2"/>
          <w:lang w:eastAsia="zh-CN"/>
        </w:rPr>
        <w:t>PUSCH-TimeDomainResourceAllocationList</w:t>
      </w:r>
      <w:r w:rsidRPr="00C04B54">
        <w:rPr>
          <w:kern w:val="2"/>
          <w:lang w:eastAsia="zh-CN"/>
        </w:rPr>
        <w:t xml:space="preserve"> is </w:t>
      </w:r>
      <w:r>
        <w:rPr>
          <w:kern w:val="2"/>
          <w:lang w:eastAsia="zh-CN"/>
        </w:rPr>
        <w:t xml:space="preserve">not </w:t>
      </w:r>
      <w:r w:rsidRPr="00C04B54">
        <w:rPr>
          <w:kern w:val="2"/>
          <w:lang w:eastAsia="zh-CN"/>
        </w:rPr>
        <w:t xml:space="preserve">provided in </w:t>
      </w:r>
      <w:r w:rsidRPr="00C04B54">
        <w:rPr>
          <w:i/>
          <w:kern w:val="2"/>
          <w:lang w:eastAsia="zh-CN"/>
        </w:rPr>
        <w:t>PUSCH-ConfigCommon</w:t>
      </w:r>
    </w:p>
    <w:p w14:paraId="2C9AB7CE" w14:textId="121EFBC3" w:rsidR="00C80D46" w:rsidRPr="000F6982" w:rsidRDefault="00C80D46" w:rsidP="00C80D46">
      <w:pPr>
        <w:rPr>
          <w:iCs/>
        </w:rPr>
      </w:pPr>
      <w:r w:rsidRPr="000F6982">
        <w:rPr>
          <w:iCs/>
        </w:rPr>
        <w:t xml:space="preserve">else, the </w:t>
      </w:r>
      <w:r w:rsidR="003D3538">
        <w:rPr>
          <w:iCs/>
        </w:rPr>
        <w:t xml:space="preserve">UE </w:t>
      </w:r>
      <w:r w:rsidRPr="000F6982">
        <w:rPr>
          <w:iCs/>
        </w:rPr>
        <w:t xml:space="preserve">is provided a SLIV by </w:t>
      </w:r>
      <w:r w:rsidRPr="000F6982">
        <w:rPr>
          <w:i/>
          <w:iCs/>
        </w:rPr>
        <w:t>startSymbolAndLengthMsgA</w:t>
      </w:r>
      <w:r w:rsidR="002A779A">
        <w:rPr>
          <w:i/>
          <w:iCs/>
        </w:rPr>
        <w:t>-</w:t>
      </w:r>
      <w:r w:rsidRPr="000F6982">
        <w:rPr>
          <w:i/>
          <w:iCs/>
        </w:rPr>
        <w:t>PO</w:t>
      </w:r>
      <w:r w:rsidRPr="000F6982">
        <w:rPr>
          <w:iCs/>
        </w:rPr>
        <w:t xml:space="preserve">, and a </w:t>
      </w:r>
      <w:r w:rsidRPr="000F6982">
        <w:t xml:space="preserve">PUSCH mapping type by </w:t>
      </w:r>
      <w:r w:rsidRPr="000F6982">
        <w:rPr>
          <w:i/>
          <w:iCs/>
        </w:rPr>
        <w:t>mappingTypeMsgA</w:t>
      </w:r>
      <w:r w:rsidR="002A779A">
        <w:rPr>
          <w:i/>
          <w:iCs/>
        </w:rPr>
        <w:t>-</w:t>
      </w:r>
      <w:r w:rsidRPr="000F6982">
        <w:rPr>
          <w:i/>
          <w:iCs/>
        </w:rPr>
        <w:t>PUSCH</w:t>
      </w:r>
      <w:r w:rsidRPr="000F6982">
        <w:t xml:space="preserve"> for a PUSCH transmission. </w:t>
      </w:r>
    </w:p>
    <w:p w14:paraId="468A20F1" w14:textId="699EDDEE" w:rsidR="00C80D46" w:rsidRPr="00883C5F" w:rsidRDefault="00C80D46" w:rsidP="00C80D46">
      <w:pPr>
        <w:rPr>
          <w:iCs/>
        </w:rPr>
      </w:pPr>
      <w:r w:rsidRPr="00883C5F">
        <w:t xml:space="preserve">For mapping one or multiple preambles of a PRACH slot to a PUSCH occasion </w:t>
      </w:r>
      <w:r w:rsidR="000B7149">
        <w:t xml:space="preserve">associated </w:t>
      </w:r>
      <w:r w:rsidRPr="00883C5F">
        <w:t xml:space="preserve">with a DMRS resource, a UE determines a first slot for a first PUSCH occasion in an active UL BWP from </w:t>
      </w:r>
      <w:r w:rsidRPr="00883C5F">
        <w:rPr>
          <w:i/>
          <w:iCs/>
        </w:rPr>
        <w:t>msgA</w:t>
      </w:r>
      <w:r w:rsidR="002A779A">
        <w:rPr>
          <w:i/>
          <w:iCs/>
        </w:rPr>
        <w:t>-</w:t>
      </w:r>
      <w:r w:rsidRPr="00883C5F">
        <w:rPr>
          <w:i/>
          <w:iCs/>
        </w:rPr>
        <w:t>PUSCH-</w:t>
      </w:r>
      <w:r w:rsidR="000B7149">
        <w:rPr>
          <w:i/>
          <w:iCs/>
        </w:rPr>
        <w:t>T</w:t>
      </w:r>
      <w:r w:rsidR="000B7149" w:rsidRPr="00883C5F">
        <w:rPr>
          <w:i/>
          <w:iCs/>
        </w:rPr>
        <w:t>imeDomainOffset</w:t>
      </w:r>
      <w:r w:rsidR="000B7149" w:rsidRPr="00883C5F">
        <w:rPr>
          <w:iCs/>
        </w:rPr>
        <w:t xml:space="preserve"> </w:t>
      </w:r>
      <w:r w:rsidRPr="00883C5F">
        <w:rPr>
          <w:iCs/>
        </w:rPr>
        <w:t xml:space="preserve">that provides </w:t>
      </w:r>
      <w:r w:rsidRPr="00883C5F">
        <w:t xml:space="preserve">an offset, in number of slots in the active UL BWP, </w:t>
      </w:r>
      <w:r w:rsidRPr="00883C5F">
        <w:rPr>
          <w:iCs/>
        </w:rPr>
        <w:t>relative to</w:t>
      </w:r>
      <w:r w:rsidR="002A779A">
        <w:rPr>
          <w:iCs/>
        </w:rPr>
        <w:t xml:space="preserve"> </w:t>
      </w:r>
      <w:r w:rsidR="002A779A" w:rsidRPr="002A4979">
        <w:rPr>
          <w:rFonts w:eastAsia="Yu Mincho"/>
          <w:iCs/>
        </w:rPr>
        <w:t>the start of a PUSCH slot including</w:t>
      </w:r>
      <w:r w:rsidRPr="00883C5F">
        <w:rPr>
          <w:iCs/>
        </w:rPr>
        <w:t xml:space="preserve"> the start of each PRACH slot. </w:t>
      </w:r>
      <w:r w:rsidR="000B7149">
        <w:rPr>
          <w:iCs/>
        </w:rPr>
        <w:t>The UE does not expect to have a</w:t>
      </w:r>
      <w:r w:rsidR="000B7149" w:rsidRPr="00493141">
        <w:rPr>
          <w:iCs/>
        </w:rPr>
        <w:t xml:space="preserve"> PRACH preamble </w:t>
      </w:r>
      <w:r w:rsidR="000B7149">
        <w:rPr>
          <w:iCs/>
        </w:rPr>
        <w:t>transmission and a</w:t>
      </w:r>
      <w:r w:rsidR="000B7149" w:rsidRPr="00493141">
        <w:rPr>
          <w:iCs/>
        </w:rPr>
        <w:t xml:space="preserve"> PUSCH </w:t>
      </w:r>
      <w:r w:rsidR="000B7149">
        <w:rPr>
          <w:iCs/>
        </w:rPr>
        <w:t>transmission with</w:t>
      </w:r>
      <w:r w:rsidR="000B7149" w:rsidRPr="00493141">
        <w:rPr>
          <w:iCs/>
        </w:rPr>
        <w:t xml:space="preserve"> a msgA in a PRACH slot or in a PUSCH slot</w:t>
      </w:r>
      <w:r w:rsidR="002A779A" w:rsidRPr="00516903">
        <w:rPr>
          <w:iCs/>
        </w:rPr>
        <w:t xml:space="preserve">, </w:t>
      </w:r>
      <w:r w:rsidR="002A779A">
        <w:rPr>
          <w:iCs/>
        </w:rPr>
        <w:t>or</w:t>
      </w:r>
      <w:r w:rsidR="002A779A" w:rsidRPr="00516903">
        <w:rPr>
          <w:iCs/>
        </w:rPr>
        <w:t xml:space="preserve"> to have overlapping msgA PUSCH occasions for a MsgA PUSCH configuration</w:t>
      </w:r>
      <w:r w:rsidR="000B7149">
        <w:rPr>
          <w:iCs/>
        </w:rPr>
        <w:t xml:space="preserve">. </w:t>
      </w:r>
      <w:r w:rsidRPr="00883C5F">
        <w:rPr>
          <w:iCs/>
        </w:rPr>
        <w:t xml:space="preserve">The UE expects that a first PUSCH occasion in each slot has a same SLIV for a PUSCH transmission that is provided by </w:t>
      </w:r>
      <w:r w:rsidRPr="00883C5F">
        <w:rPr>
          <w:i/>
          <w:iCs/>
        </w:rPr>
        <w:t>startSymbolAndLengthMsgA</w:t>
      </w:r>
      <w:r w:rsidR="002A779A">
        <w:rPr>
          <w:i/>
          <w:iCs/>
        </w:rPr>
        <w:t>-</w:t>
      </w:r>
      <w:r w:rsidRPr="00883C5F">
        <w:rPr>
          <w:i/>
          <w:iCs/>
        </w:rPr>
        <w:t>PO</w:t>
      </w:r>
      <w:r w:rsidR="003D3538">
        <w:rPr>
          <w:i/>
          <w:iCs/>
        </w:rPr>
        <w:t xml:space="preserve"> </w:t>
      </w:r>
      <w:r w:rsidR="003D3538" w:rsidRPr="009F28AC">
        <w:rPr>
          <w:iCs/>
        </w:rPr>
        <w:t xml:space="preserve">or </w:t>
      </w:r>
      <w:r w:rsidR="003D3538" w:rsidRPr="00C57519">
        <w:rPr>
          <w:i/>
          <w:iCs/>
          <w:lang w:eastAsia="zh-CN"/>
        </w:rPr>
        <w:t>msgA-PUSCH-timeDomainAllocation</w:t>
      </w:r>
      <w:r w:rsidR="003D3538">
        <w:rPr>
          <w:i/>
          <w:iCs/>
          <w:lang w:eastAsia="zh-CN"/>
        </w:rPr>
        <w:t xml:space="preserve"> </w:t>
      </w:r>
      <w:r w:rsidR="003D3538" w:rsidRPr="00C57519">
        <w:t>[6, TS 38.214</w:t>
      </w:r>
      <w:r w:rsidR="003D3538" w:rsidRPr="00C57519">
        <w:rPr>
          <w:iCs/>
        </w:rPr>
        <w:t>]</w:t>
      </w:r>
      <w:r w:rsidRPr="00883C5F">
        <w:rPr>
          <w:iCs/>
        </w:rPr>
        <w:t xml:space="preserve">. </w:t>
      </w:r>
    </w:p>
    <w:p w14:paraId="3C1EA5DA" w14:textId="040C531C" w:rsidR="00C80D46" w:rsidRPr="00C57890" w:rsidRDefault="00C80D46" w:rsidP="00C80D46">
      <w:pPr>
        <w:rPr>
          <w:iCs/>
        </w:rPr>
      </w:pPr>
      <w:r>
        <w:rPr>
          <w:color w:val="000000"/>
        </w:rPr>
        <w:t xml:space="preserve">Consecutive PUSCH occasions within each slot are separated by </w:t>
      </w:r>
      <w:r>
        <w:rPr>
          <w:i/>
          <w:iCs/>
        </w:rPr>
        <w:t>g</w:t>
      </w:r>
      <w:r>
        <w:rPr>
          <w:rFonts w:hint="eastAsia"/>
          <w:i/>
          <w:iCs/>
        </w:rPr>
        <w:t>uardPeriodM</w:t>
      </w:r>
      <w:r>
        <w:rPr>
          <w:i/>
          <w:iCs/>
        </w:rPr>
        <w:t>sgA</w:t>
      </w:r>
      <w:r w:rsidR="002A779A">
        <w:rPr>
          <w:i/>
          <w:iCs/>
        </w:rPr>
        <w:t>-</w:t>
      </w:r>
      <w:r>
        <w:rPr>
          <w:i/>
          <w:iCs/>
        </w:rPr>
        <w:t>PUSCH</w:t>
      </w:r>
      <w:r>
        <w:rPr>
          <w:iCs/>
        </w:rPr>
        <w:t xml:space="preserve"> symbols and have same duration. </w:t>
      </w:r>
      <w:r w:rsidRPr="001C582B">
        <w:rPr>
          <w:iCs/>
        </w:rPr>
        <w:t xml:space="preserve">A </w:t>
      </w:r>
      <w:r w:rsidRPr="001C582B">
        <w:rPr>
          <w:color w:val="000000"/>
        </w:rPr>
        <w:t xml:space="preserve">number </w:t>
      </w:r>
      <m:oMath>
        <m:sSub>
          <m:sSubPr>
            <m:ctrlPr>
              <w:rPr>
                <w:rFonts w:ascii="Cambria Math" w:eastAsiaTheme="minorEastAsia" w:hAnsi="Cambria Math"/>
                <w:i/>
                <w:sz w:val="24"/>
                <w:szCs w:val="24"/>
              </w:rPr>
            </m:ctrlPr>
          </m:sSubPr>
          <m:e>
            <m:r>
              <w:rPr>
                <w:rFonts w:ascii="Cambria Math" w:eastAsiaTheme="minorEastAsia" w:hAnsi="Cambria Math"/>
              </w:rPr>
              <m:t>N</m:t>
            </m:r>
          </m:e>
          <m:sub>
            <m:r>
              <w:rPr>
                <w:rFonts w:ascii="Cambria Math" w:eastAsiaTheme="minorEastAsia" w:hAnsi="Cambria Math"/>
              </w:rPr>
              <m:t>t</m:t>
            </m:r>
          </m:sub>
        </m:sSub>
      </m:oMath>
      <w:r w:rsidRPr="001C582B">
        <w:rPr>
          <w:sz w:val="24"/>
          <w:szCs w:val="24"/>
        </w:rPr>
        <w:t xml:space="preserve"> </w:t>
      </w:r>
      <w:r w:rsidRPr="001C582B">
        <w:rPr>
          <w:color w:val="000000"/>
        </w:rPr>
        <w:t xml:space="preserve">of time domain PUSCH occasions in each slot is provided by </w:t>
      </w:r>
      <w:r w:rsidRPr="001C582B">
        <w:rPr>
          <w:i/>
          <w:iCs/>
        </w:rPr>
        <w:t>nrofMsgA</w:t>
      </w:r>
      <w:r w:rsidR="002A779A">
        <w:rPr>
          <w:i/>
          <w:iCs/>
        </w:rPr>
        <w:t>-</w:t>
      </w:r>
      <w:r w:rsidRPr="001C582B">
        <w:rPr>
          <w:i/>
          <w:iCs/>
        </w:rPr>
        <w:t>PO</w:t>
      </w:r>
      <w:r w:rsidR="002A779A">
        <w:rPr>
          <w:i/>
          <w:iCs/>
        </w:rPr>
        <w:t>-</w:t>
      </w:r>
      <w:r w:rsidRPr="001C582B">
        <w:rPr>
          <w:i/>
          <w:iCs/>
        </w:rPr>
        <w:t>perSlot</w:t>
      </w:r>
      <w:r w:rsidRPr="001C582B">
        <w:rPr>
          <w:iCs/>
        </w:rPr>
        <w:t xml:space="preserve"> and a number </w:t>
      </w:r>
      <m:oMath>
        <m:sSub>
          <m:sSubPr>
            <m:ctrlPr>
              <w:rPr>
                <w:rFonts w:ascii="Cambria Math" w:eastAsiaTheme="minorEastAsia" w:hAnsi="Cambria Math"/>
                <w:i/>
                <w:sz w:val="24"/>
                <w:szCs w:val="24"/>
              </w:rPr>
            </m:ctrlPr>
          </m:sSubPr>
          <m:e>
            <m:r>
              <w:rPr>
                <w:rFonts w:ascii="Cambria Math" w:eastAsiaTheme="minorEastAsia" w:hAnsi="Cambria Math"/>
              </w:rPr>
              <m:t>N</m:t>
            </m:r>
          </m:e>
          <m:sub>
            <m:r>
              <w:rPr>
                <w:rFonts w:ascii="Cambria Math" w:eastAsiaTheme="minorEastAsia" w:hAnsi="Cambria Math"/>
              </w:rPr>
              <m:t>s</m:t>
            </m:r>
          </m:sub>
        </m:sSub>
      </m:oMath>
      <w:r w:rsidR="000B7149">
        <w:rPr>
          <w:sz w:val="24"/>
          <w:szCs w:val="24"/>
        </w:rPr>
        <w:t xml:space="preserve"> </w:t>
      </w:r>
      <w:r w:rsidRPr="001C582B">
        <w:rPr>
          <w:iCs/>
        </w:rPr>
        <w:t xml:space="preserve">of </w:t>
      </w:r>
      <w:r>
        <w:rPr>
          <w:iCs/>
        </w:rPr>
        <w:t xml:space="preserve">consecutive </w:t>
      </w:r>
      <w:r w:rsidRPr="001C582B">
        <w:rPr>
          <w:iCs/>
        </w:rPr>
        <w:t>slots that</w:t>
      </w:r>
      <w:r>
        <w:rPr>
          <w:iCs/>
        </w:rPr>
        <w:t xml:space="preserve"> include PUSCH occasions is provided by </w:t>
      </w:r>
      <w:r>
        <w:rPr>
          <w:i/>
          <w:iCs/>
        </w:rPr>
        <w:t>nrofSlotsMsgA</w:t>
      </w:r>
      <w:r w:rsidR="002A779A">
        <w:rPr>
          <w:i/>
          <w:iCs/>
        </w:rPr>
        <w:t>-</w:t>
      </w:r>
      <w:r>
        <w:rPr>
          <w:i/>
          <w:iCs/>
        </w:rPr>
        <w:t>PUSCH</w:t>
      </w:r>
      <w:r>
        <w:rPr>
          <w:iCs/>
        </w:rPr>
        <w:t xml:space="preserve">. </w:t>
      </w:r>
    </w:p>
    <w:p w14:paraId="7ECD7009" w14:textId="05737AC3" w:rsidR="00C80D46" w:rsidRPr="001B2365" w:rsidRDefault="00C80D46" w:rsidP="00C80D46">
      <w:pPr>
        <w:rPr>
          <w:color w:val="000000"/>
        </w:rPr>
      </w:pPr>
      <w:r>
        <w:rPr>
          <w:rFonts w:cs="Times"/>
        </w:rPr>
        <w:t>A UE is provided a DMRS configuration for a PUSCH transmission in a PUSCH occasion in an</w:t>
      </w:r>
      <w:r w:rsidRPr="00830C02">
        <w:rPr>
          <w:rFonts w:cs="Times"/>
        </w:rPr>
        <w:t xml:space="preserve"> active UL </w:t>
      </w:r>
      <w:r>
        <w:rPr>
          <w:rFonts w:cs="Times"/>
        </w:rPr>
        <w:t xml:space="preserve">BWP by </w:t>
      </w:r>
      <w:r w:rsidR="00F9791D" w:rsidRPr="00213624">
        <w:rPr>
          <w:i/>
        </w:rPr>
        <w:t>msgA-DMRS-Config</w:t>
      </w:r>
      <w:r>
        <w:rPr>
          <w:iCs/>
        </w:rPr>
        <w:t>.</w:t>
      </w:r>
    </w:p>
    <w:p w14:paraId="2A50134A" w14:textId="77777777" w:rsidR="00C80D46" w:rsidRDefault="00C80D46" w:rsidP="00C80D46">
      <w:r>
        <w:t xml:space="preserve">A UE is provided an MCS for data information in a PUSCH transmission for a PUSCH occasion by </w:t>
      </w:r>
      <w:r w:rsidRPr="002D7534">
        <w:rPr>
          <w:i/>
        </w:rPr>
        <w:t>msgA-MCS</w:t>
      </w:r>
      <w:r>
        <w:t>.</w:t>
      </w:r>
    </w:p>
    <w:p w14:paraId="5D00C7D6" w14:textId="4783AB76" w:rsidR="00C80D46" w:rsidRDefault="00C80D46" w:rsidP="00C80D46">
      <w:r>
        <w:t>For</w:t>
      </w:r>
      <w:r w:rsidRPr="001C327A">
        <w:t xml:space="preserve"> </w:t>
      </w:r>
      <w:r>
        <w:t xml:space="preserve">a </w:t>
      </w:r>
      <w:r w:rsidRPr="001C327A">
        <w:t>PUSCH transmission with frequency hopping</w:t>
      </w:r>
      <w:r>
        <w:t xml:space="preserve"> in a slot</w:t>
      </w:r>
      <w:r w:rsidRPr="001C327A">
        <w:t xml:space="preserve">, </w:t>
      </w:r>
      <w:r>
        <w:t xml:space="preserve">when indicated by </w:t>
      </w:r>
      <w:r>
        <w:rPr>
          <w:i/>
          <w:iCs/>
        </w:rPr>
        <w:t>msgA-intraSlotFrequencyHopping</w:t>
      </w:r>
      <w:r>
        <w:rPr>
          <w:iCs/>
        </w:rPr>
        <w:t xml:space="preserve"> for the active UL BWP</w:t>
      </w:r>
      <w:r>
        <w:t xml:space="preserve">, </w:t>
      </w:r>
      <w:r w:rsidRPr="001C327A">
        <w:t>the frequency offset for the second hop [6, TS</w:t>
      </w:r>
      <w:r>
        <w:t xml:space="preserve"> </w:t>
      </w:r>
      <w:r w:rsidRPr="001C327A">
        <w:t>38.214] is</w:t>
      </w:r>
      <w:r>
        <w:t xml:space="preserve"> determined as described </w:t>
      </w:r>
      <w:r w:rsidR="006F5F9E">
        <w:t>in clause</w:t>
      </w:r>
      <w:r>
        <w:t xml:space="preserve"> 8.3,</w:t>
      </w:r>
      <w:r w:rsidRPr="001C327A">
        <w:t xml:space="preserve"> Table 8.3-1</w:t>
      </w:r>
      <w:r>
        <w:t xml:space="preserve"> </w:t>
      </w:r>
      <w:r w:rsidRPr="00D14F36">
        <w:t xml:space="preserve">using </w:t>
      </w:r>
      <w:r>
        <w:rPr>
          <w:rStyle w:val="Emphasis"/>
        </w:rPr>
        <w:t xml:space="preserve">msgA-HoppingBits </w:t>
      </w:r>
      <w:r w:rsidRPr="00F44350">
        <w:rPr>
          <w:rStyle w:val="Emphasis"/>
          <w:i w:val="0"/>
          <w:iCs w:val="0"/>
        </w:rPr>
        <w:t>instead of</w:t>
      </w:r>
      <w:r w:rsidRPr="00F44350">
        <w:rPr>
          <w:rStyle w:val="Emphasis"/>
          <w:rFonts w:ascii="Arial" w:hAnsi="Arial" w:cs="Arial"/>
          <w:i w:val="0"/>
          <w:iCs w:val="0"/>
        </w:rPr>
        <w:t xml:space="preserve"> </w:t>
      </w:r>
      <m:oMath>
        <m:sSub>
          <m:sSubPr>
            <m:ctrlPr>
              <w:rPr>
                <w:rFonts w:ascii="Cambria Math" w:hAnsi="Cambria Math"/>
                <w:i/>
                <w:lang w:val="x-none"/>
              </w:rPr>
            </m:ctrlPr>
          </m:sSubPr>
          <m:e>
            <m:r>
              <w:rPr>
                <w:rFonts w:ascii="Cambria Math" w:hAnsi="Cambria Math"/>
              </w:rPr>
              <m:t>N</m:t>
            </m:r>
          </m:e>
          <m:sub>
            <m:r>
              <m:rPr>
                <m:sty m:val="p"/>
              </m:rPr>
              <w:rPr>
                <w:rFonts w:ascii="Cambria Math" w:hAnsi="Cambria Math"/>
              </w:rPr>
              <m:t>UL,hop</m:t>
            </m:r>
          </m:sub>
        </m:sSub>
      </m:oMath>
      <w:r w:rsidRPr="001C327A">
        <w:t>.</w:t>
      </w:r>
      <w:r>
        <w:t xml:space="preserve"> If </w:t>
      </w:r>
      <w:r>
        <w:rPr>
          <w:i/>
          <w:iCs/>
        </w:rPr>
        <w:t>g</w:t>
      </w:r>
      <w:r>
        <w:rPr>
          <w:rFonts w:hint="eastAsia"/>
          <w:i/>
          <w:iCs/>
        </w:rPr>
        <w:t>uardPeriodM</w:t>
      </w:r>
      <w:r>
        <w:rPr>
          <w:i/>
          <w:iCs/>
        </w:rPr>
        <w:t>sgA</w:t>
      </w:r>
      <w:r w:rsidR="002A779A">
        <w:rPr>
          <w:i/>
          <w:iCs/>
        </w:rPr>
        <w:t>-</w:t>
      </w:r>
      <w:r>
        <w:rPr>
          <w:i/>
          <w:iCs/>
        </w:rPr>
        <w:t>PUSCH</w:t>
      </w:r>
      <w:r>
        <w:rPr>
          <w:iCs/>
        </w:rPr>
        <w:t xml:space="preserve"> is provided, </w:t>
      </w:r>
      <w:r>
        <w:rPr>
          <w:color w:val="000000"/>
        </w:rPr>
        <w:t xml:space="preserve">a first symbol of the </w:t>
      </w:r>
      <w:r w:rsidR="00A46B92">
        <w:rPr>
          <w:color w:val="000000"/>
        </w:rPr>
        <w:t>second hop</w:t>
      </w:r>
      <w:r>
        <w:rPr>
          <w:color w:val="000000"/>
        </w:rPr>
        <w:t xml:space="preserve"> is separated by </w:t>
      </w:r>
      <w:r>
        <w:rPr>
          <w:i/>
          <w:iCs/>
        </w:rPr>
        <w:t>g</w:t>
      </w:r>
      <w:r>
        <w:rPr>
          <w:rFonts w:hint="eastAsia"/>
          <w:i/>
          <w:iCs/>
        </w:rPr>
        <w:t>uardPeriodM</w:t>
      </w:r>
      <w:r>
        <w:rPr>
          <w:i/>
          <w:iCs/>
        </w:rPr>
        <w:t>sgA</w:t>
      </w:r>
      <w:r w:rsidR="00A46B92">
        <w:rPr>
          <w:i/>
          <w:iCs/>
        </w:rPr>
        <w:t>-</w:t>
      </w:r>
      <w:r>
        <w:rPr>
          <w:i/>
          <w:iCs/>
        </w:rPr>
        <w:t>PUSCH</w:t>
      </w:r>
      <w:r>
        <w:rPr>
          <w:iCs/>
        </w:rPr>
        <w:t xml:space="preserve"> symbols from </w:t>
      </w:r>
      <w:r w:rsidR="00976364">
        <w:rPr>
          <w:iCs/>
        </w:rPr>
        <w:t xml:space="preserve">the end of </w:t>
      </w:r>
      <w:r>
        <w:rPr>
          <w:iCs/>
        </w:rPr>
        <w:t xml:space="preserve">a last symbol of the </w:t>
      </w:r>
      <w:r w:rsidR="00976364">
        <w:rPr>
          <w:iCs/>
        </w:rPr>
        <w:t>first hop</w:t>
      </w:r>
      <w:r>
        <w:rPr>
          <w:iCs/>
        </w:rPr>
        <w:t>; otherwise, there is no time separation of the PUSCH transmission before and after frequency hopping.</w:t>
      </w:r>
      <w:r>
        <w:t xml:space="preserve"> </w:t>
      </w:r>
      <w:r w:rsidR="000B7149" w:rsidRPr="00401DB6">
        <w:t xml:space="preserve">If </w:t>
      </w:r>
      <w:r w:rsidR="00173EDA">
        <w:t>a</w:t>
      </w:r>
      <w:r w:rsidR="00173EDA" w:rsidRPr="00401DB6">
        <w:t xml:space="preserve"> </w:t>
      </w:r>
      <w:r w:rsidR="000B7149" w:rsidRPr="00401DB6">
        <w:t>UE is provided with</w:t>
      </w:r>
      <w:r w:rsidR="00173EDA">
        <w:t xml:space="preserve"> </w:t>
      </w:r>
      <w:r w:rsidR="00173EDA" w:rsidRPr="00DA6348">
        <w:rPr>
          <w:i/>
        </w:rPr>
        <w:t>useInterlacePUCCH-PUSCH</w:t>
      </w:r>
      <w:r w:rsidR="00173EDA" w:rsidRPr="00DA6348">
        <w:rPr>
          <w:iCs/>
        </w:rPr>
        <w:t xml:space="preserve"> in </w:t>
      </w:r>
      <w:r w:rsidR="00173EDA" w:rsidRPr="00DA6348">
        <w:rPr>
          <w:i/>
        </w:rPr>
        <w:t>BWP-UplinkCommon</w:t>
      </w:r>
      <w:r w:rsidR="000B7149" w:rsidRPr="00401DB6">
        <w:t xml:space="preserve">, </w:t>
      </w:r>
      <w:r w:rsidR="00173EDA">
        <w:t>the UE</w:t>
      </w:r>
      <w:r w:rsidR="00173EDA" w:rsidRPr="00401DB6">
        <w:t xml:space="preserve"> </w:t>
      </w:r>
      <w:r w:rsidR="000B7149" w:rsidRPr="00401DB6">
        <w:t>shall transmit PUSCH without frequency hopping.</w:t>
      </w:r>
      <w:r w:rsidR="000B7149">
        <w:t xml:space="preserve"> </w:t>
      </w:r>
      <w:r>
        <w:t xml:space="preserve">A PUSCH transmission uses a same spatial filter as an associated PRACH transmission. </w:t>
      </w:r>
    </w:p>
    <w:p w14:paraId="01FF414D" w14:textId="77777777" w:rsidR="00C80D46" w:rsidRDefault="00C80D46" w:rsidP="00C80D46">
      <w:r>
        <w:t>A UE determines whether or not to apply transform precoding for a PUSCH transmission as</w:t>
      </w:r>
      <w:r w:rsidRPr="00B916EC">
        <w:t xml:space="preserve"> described in [</w:t>
      </w:r>
      <w:r>
        <w:t>6</w:t>
      </w:r>
      <w:r w:rsidRPr="00B916EC">
        <w:t>, TS 38.21</w:t>
      </w:r>
      <w:r>
        <w:t>4</w:t>
      </w:r>
      <w:r w:rsidRPr="00B916EC">
        <w:t>]</w:t>
      </w:r>
      <w:r>
        <w:t>.</w:t>
      </w:r>
    </w:p>
    <w:p w14:paraId="3878D14F" w14:textId="23F448E4" w:rsidR="00C80D46" w:rsidRPr="007549C6" w:rsidRDefault="00C80D46" w:rsidP="00C80D46">
      <w:pPr>
        <w:rPr>
          <w:lang w:val="en-US"/>
        </w:rPr>
      </w:pPr>
      <w:r w:rsidRPr="001C582B">
        <w:rPr>
          <w:lang w:val="en-US"/>
        </w:rPr>
        <w:t>A PUSCH occasion for PUSCH transmission is defined by a frequency resource</w:t>
      </w:r>
      <w:r w:rsidR="000B7149">
        <w:rPr>
          <w:lang w:val="en-US"/>
        </w:rPr>
        <w:t xml:space="preserve"> and a</w:t>
      </w:r>
      <w:r w:rsidRPr="001C582B">
        <w:rPr>
          <w:lang w:val="en-US"/>
        </w:rPr>
        <w:t xml:space="preserve"> time resource, and is associated with a DMRS </w:t>
      </w:r>
      <w:r w:rsidR="000B7149">
        <w:rPr>
          <w:lang w:val="en-US"/>
        </w:rPr>
        <w:t>resource.</w:t>
      </w:r>
      <w:r w:rsidRPr="001C582B">
        <w:rPr>
          <w:lang w:val="en-US"/>
        </w:rPr>
        <w:t xml:space="preserve"> </w:t>
      </w:r>
      <w:r w:rsidR="00216B48">
        <w:rPr>
          <w:lang w:val="en-US"/>
        </w:rPr>
        <w:t xml:space="preserve">The </w:t>
      </w:r>
      <w:r w:rsidRPr="001C582B">
        <w:rPr>
          <w:lang w:val="en-US"/>
        </w:rPr>
        <w:t>DMRS</w:t>
      </w:r>
      <w:r w:rsidR="00216B48">
        <w:rPr>
          <w:lang w:val="en-US"/>
        </w:rPr>
        <w:t xml:space="preserve"> resources are</w:t>
      </w:r>
      <w:r w:rsidRPr="001C582B">
        <w:rPr>
          <w:lang w:val="en-US"/>
        </w:rPr>
        <w:t xml:space="preserve"> provided by </w:t>
      </w:r>
      <w:r w:rsidR="00F9791D" w:rsidRPr="00213624">
        <w:rPr>
          <w:i/>
        </w:rPr>
        <w:t>msgA-DMRS-Config</w:t>
      </w:r>
      <w:r w:rsidRPr="001C582B">
        <w:rPr>
          <w:lang w:val="en-US"/>
        </w:rPr>
        <w:t>.</w:t>
      </w:r>
    </w:p>
    <w:p w14:paraId="0E028F3C" w14:textId="01008C92" w:rsidR="00C80D46" w:rsidRPr="007549C6" w:rsidRDefault="00216B48" w:rsidP="00C80D46">
      <w:r>
        <w:t>Each</w:t>
      </w:r>
      <w:r w:rsidR="00C80D46" w:rsidRPr="007549C6">
        <w:t xml:space="preserve"> consecutive number of </w:t>
      </w:r>
      <m:oMath>
        <m:sSub>
          <m:sSubPr>
            <m:ctrlPr>
              <w:rPr>
                <w:rFonts w:ascii="Cambria Math" w:hAnsi="Cambria Math"/>
                <w:i/>
              </w:rPr>
            </m:ctrlPr>
          </m:sSubPr>
          <m:e>
            <m:r>
              <w:rPr>
                <w:rFonts w:ascii="Cambria Math" w:hAnsi="Cambria Math"/>
              </w:rPr>
              <m:t>N</m:t>
            </m:r>
          </m:e>
          <m:sub>
            <m:r>
              <m:rPr>
                <m:nor/>
              </m:rPr>
              <m:t>preamble</m:t>
            </m:r>
            <m:ctrlPr>
              <w:rPr>
                <w:rFonts w:ascii="Cambria Math" w:hAnsi="Cambria Math"/>
              </w:rPr>
            </m:ctrlPr>
          </m:sub>
        </m:sSub>
      </m:oMath>
      <w:r w:rsidR="00C80D46" w:rsidRPr="007549C6">
        <w:t xml:space="preserve"> preamble indexes </w:t>
      </w:r>
      <w:r w:rsidR="00C80D46" w:rsidRPr="007549C6">
        <w:rPr>
          <w:bCs/>
        </w:rPr>
        <w:t xml:space="preserve">from valid PRACH occasions in a </w:t>
      </w:r>
      <w:r>
        <w:rPr>
          <w:bCs/>
        </w:rPr>
        <w:t xml:space="preserve">PRACH </w:t>
      </w:r>
      <w:r w:rsidR="00C80D46" w:rsidRPr="007549C6">
        <w:rPr>
          <w:bCs/>
        </w:rPr>
        <w:t>slot</w:t>
      </w:r>
    </w:p>
    <w:p w14:paraId="133D9883" w14:textId="77777777" w:rsidR="00C80D46" w:rsidRPr="007549C6" w:rsidRDefault="00C80D46" w:rsidP="00C80D46">
      <w:pPr>
        <w:pStyle w:val="B1"/>
        <w:spacing w:after="240"/>
        <w:rPr>
          <w:lang w:val="en-US"/>
        </w:rPr>
      </w:pPr>
      <w:r w:rsidRPr="007549C6">
        <w:rPr>
          <w:lang w:val="en-US"/>
        </w:rPr>
        <w:lastRenderedPageBreak/>
        <w:t>-</w:t>
      </w:r>
      <w:r w:rsidRPr="007549C6">
        <w:tab/>
      </w:r>
      <w:r w:rsidRPr="007549C6">
        <w:rPr>
          <w:lang w:val="en-US"/>
        </w:rPr>
        <w:t>f</w:t>
      </w:r>
      <w:r w:rsidRPr="007549C6">
        <w:t>irst, in increasing order of preamble indexes within a single PRACH occasion</w:t>
      </w:r>
    </w:p>
    <w:p w14:paraId="3D109768" w14:textId="77777777" w:rsidR="00C80D46" w:rsidRPr="007549C6" w:rsidRDefault="00C80D46" w:rsidP="00C80D46">
      <w:pPr>
        <w:pStyle w:val="B1"/>
        <w:spacing w:after="240"/>
        <w:rPr>
          <w:lang w:val="en-US"/>
        </w:rPr>
      </w:pPr>
      <w:r w:rsidRPr="007549C6">
        <w:rPr>
          <w:lang w:val="en-US"/>
        </w:rPr>
        <w:t>-</w:t>
      </w:r>
      <w:r w:rsidRPr="007549C6">
        <w:tab/>
      </w:r>
      <w:r w:rsidRPr="007549C6">
        <w:rPr>
          <w:lang w:val="en-US"/>
        </w:rPr>
        <w:t>s</w:t>
      </w:r>
      <w:r w:rsidRPr="007549C6">
        <w:t>econd, in increasing order of frequency resource indexes for frequency multiplexed PRACH occasions</w:t>
      </w:r>
    </w:p>
    <w:p w14:paraId="408D4500" w14:textId="77777777" w:rsidR="00C80D46" w:rsidRPr="007549C6" w:rsidRDefault="00C80D46" w:rsidP="00C80D46">
      <w:pPr>
        <w:pStyle w:val="B1"/>
        <w:spacing w:after="240"/>
        <w:rPr>
          <w:color w:val="FF0000"/>
        </w:rPr>
      </w:pPr>
      <w:r w:rsidRPr="007549C6">
        <w:rPr>
          <w:lang w:val="en-US"/>
        </w:rPr>
        <w:t>-</w:t>
      </w:r>
      <w:r w:rsidRPr="007549C6">
        <w:tab/>
      </w:r>
      <w:r w:rsidRPr="007549C6">
        <w:rPr>
          <w:lang w:val="en-US"/>
        </w:rPr>
        <w:t>t</w:t>
      </w:r>
      <w:r w:rsidRPr="007549C6">
        <w:t>hird, in increasing order of time resource indexes for time multiplexed PRACH occasions within a PRACH slot</w:t>
      </w:r>
    </w:p>
    <w:p w14:paraId="069CF123" w14:textId="11C8235D" w:rsidR="00C80D46" w:rsidRPr="007549C6" w:rsidRDefault="00C80D46" w:rsidP="00C80D46">
      <w:r w:rsidRPr="007549C6">
        <w:t>are mapped to a valid PUSCH occasion</w:t>
      </w:r>
      <w:r w:rsidR="00216B48" w:rsidRPr="00216B48">
        <w:t xml:space="preserve"> </w:t>
      </w:r>
      <w:r w:rsidR="00216B48" w:rsidRPr="005F407D">
        <w:t>and the associated DMRS resource</w:t>
      </w:r>
    </w:p>
    <w:p w14:paraId="4DDB80EA" w14:textId="77777777" w:rsidR="00C80D46" w:rsidRPr="007549C6" w:rsidRDefault="00C80D46" w:rsidP="00C80D46">
      <w:pPr>
        <w:pStyle w:val="B1"/>
        <w:spacing w:after="240"/>
        <w:rPr>
          <w:lang w:val="en-US"/>
        </w:rPr>
      </w:pPr>
      <w:r w:rsidRPr="007549C6">
        <w:rPr>
          <w:lang w:val="en-US"/>
        </w:rPr>
        <w:t>-</w:t>
      </w:r>
      <w:r w:rsidRPr="007549C6">
        <w:tab/>
      </w:r>
      <w:r w:rsidRPr="007549C6">
        <w:rPr>
          <w:lang w:val="en-US"/>
        </w:rPr>
        <w:t>first,</w:t>
      </w:r>
      <w:r w:rsidRPr="007549C6">
        <w:t xml:space="preserve"> in increasing </w:t>
      </w:r>
      <w:r w:rsidRPr="007549C6">
        <w:rPr>
          <w:lang w:val="en-US"/>
        </w:rPr>
        <w:t>order</w:t>
      </w:r>
      <w:r w:rsidRPr="007549C6">
        <w:t xml:space="preserve"> of </w:t>
      </w:r>
      <w:r w:rsidRPr="007549C6">
        <w:rPr>
          <w:lang w:val="en-US"/>
        </w:rPr>
        <w:t xml:space="preserve">frequency resource indexes </w:t>
      </w:r>
      <m:oMath>
        <m:sSub>
          <m:sSubPr>
            <m:ctrlPr>
              <w:rPr>
                <w:rFonts w:ascii="Cambria Math" w:hAnsi="Cambria Math"/>
                <w:bCs/>
                <w:i/>
                <w:iCs/>
              </w:rPr>
            </m:ctrlPr>
          </m:sSubPr>
          <m:e>
            <m:r>
              <w:rPr>
                <w:rFonts w:ascii="Cambria Math" w:hAnsi="Cambria Math"/>
              </w:rPr>
              <m:t>f</m:t>
            </m:r>
          </m:e>
          <m:sub>
            <m:r>
              <w:rPr>
                <w:rFonts w:ascii="Cambria Math" w:hAnsi="Cambria Math"/>
              </w:rPr>
              <m:t>id</m:t>
            </m:r>
          </m:sub>
        </m:sSub>
      </m:oMath>
      <w:r w:rsidRPr="007549C6">
        <w:rPr>
          <w:bCs/>
          <w:iCs/>
        </w:rPr>
        <w:t xml:space="preserve"> </w:t>
      </w:r>
      <w:r w:rsidRPr="007549C6">
        <w:rPr>
          <w:lang w:val="en-US"/>
        </w:rPr>
        <w:t xml:space="preserve">for </w:t>
      </w:r>
      <w:r w:rsidRPr="007549C6">
        <w:t xml:space="preserve">frequency multiplexed </w:t>
      </w:r>
      <w:r w:rsidRPr="007549C6">
        <w:rPr>
          <w:lang w:val="en-US"/>
        </w:rPr>
        <w:t>P</w:t>
      </w:r>
      <w:r w:rsidRPr="007549C6">
        <w:t>USCH occasion</w:t>
      </w:r>
      <w:r w:rsidRPr="007549C6">
        <w:rPr>
          <w:lang w:val="en-US"/>
        </w:rPr>
        <w:t>s</w:t>
      </w:r>
    </w:p>
    <w:p w14:paraId="78ED697F" w14:textId="0C8D64C5" w:rsidR="00C80D46" w:rsidRPr="007549C6" w:rsidRDefault="00C80D46" w:rsidP="00C80D46">
      <w:pPr>
        <w:pStyle w:val="B1"/>
        <w:spacing w:after="240"/>
        <w:ind w:left="560" w:hanging="276"/>
        <w:rPr>
          <w:lang w:val="en-US"/>
        </w:rPr>
      </w:pPr>
      <w:r w:rsidRPr="007549C6">
        <w:rPr>
          <w:lang w:val="en-US"/>
        </w:rPr>
        <w:t>-</w:t>
      </w:r>
      <w:r w:rsidRPr="007549C6">
        <w:tab/>
      </w:r>
      <w:r w:rsidRPr="007549C6">
        <w:rPr>
          <w:lang w:val="en-US"/>
        </w:rPr>
        <w:t>second,</w:t>
      </w:r>
      <w:r w:rsidRPr="007549C6">
        <w:t xml:space="preserve"> in increasing </w:t>
      </w:r>
      <w:r w:rsidRPr="007549C6">
        <w:rPr>
          <w:lang w:val="en-US"/>
        </w:rPr>
        <w:t xml:space="preserve">order of DMRS </w:t>
      </w:r>
      <w:r w:rsidR="00216B48">
        <w:rPr>
          <w:lang w:val="en-US"/>
        </w:rPr>
        <w:t xml:space="preserve">resource </w:t>
      </w:r>
      <w:r w:rsidRPr="007549C6">
        <w:rPr>
          <w:lang w:val="en-US"/>
        </w:rPr>
        <w:t xml:space="preserve">indexes </w:t>
      </w:r>
      <w:r w:rsidRPr="007549C6">
        <w:t xml:space="preserve">within a </w:t>
      </w:r>
      <w:r w:rsidRPr="007549C6">
        <w:rPr>
          <w:lang w:val="en-US"/>
        </w:rPr>
        <w:t>P</w:t>
      </w:r>
      <w:r w:rsidRPr="007549C6">
        <w:t xml:space="preserve">USCH occasion, where a DMRS </w:t>
      </w:r>
      <w:r w:rsidR="00216B48">
        <w:rPr>
          <w:lang w:val="en-US"/>
        </w:rPr>
        <w:t xml:space="preserve">resource </w:t>
      </w:r>
      <w:r w:rsidRPr="007549C6">
        <w:t xml:space="preserve">index </w:t>
      </w:r>
      <m:oMath>
        <m:r>
          <w:rPr>
            <w:rFonts w:ascii="Cambria Math" w:hAnsi="Cambria Math"/>
          </w:rPr>
          <m:t>DMR</m:t>
        </m:r>
        <m:sSub>
          <m:sSubPr>
            <m:ctrlPr>
              <w:rPr>
                <w:rFonts w:ascii="Cambria Math" w:hAnsi="Cambria Math"/>
                <w:bCs/>
                <w:i/>
                <w:iCs/>
              </w:rPr>
            </m:ctrlPr>
          </m:sSubPr>
          <m:e>
            <m:r>
              <w:rPr>
                <w:rFonts w:ascii="Cambria Math" w:hAnsi="Cambria Math"/>
              </w:rPr>
              <m:t>S</m:t>
            </m:r>
          </m:e>
          <m:sub>
            <m:r>
              <w:rPr>
                <w:rFonts w:ascii="Cambria Math" w:hAnsi="Cambria Math"/>
              </w:rPr>
              <m:t>id</m:t>
            </m:r>
          </m:sub>
        </m:sSub>
      </m:oMath>
      <w:r w:rsidRPr="007549C6">
        <w:rPr>
          <w:bCs/>
          <w:iCs/>
        </w:rPr>
        <w:t xml:space="preserve"> is </w:t>
      </w:r>
      <w:r w:rsidRPr="007549C6">
        <w:t>determined first in an ascending order of a DMRS port index and second in an ascending order of a DMRS sequence index [4, TS 38.211]</w:t>
      </w:r>
    </w:p>
    <w:p w14:paraId="46F51AD5" w14:textId="77777777" w:rsidR="00C80D46" w:rsidRPr="007549C6" w:rsidRDefault="00C80D46" w:rsidP="00C80D46">
      <w:pPr>
        <w:pStyle w:val="B1"/>
        <w:spacing w:after="240"/>
        <w:rPr>
          <w:lang w:val="en-US"/>
        </w:rPr>
      </w:pPr>
      <w:r w:rsidRPr="007549C6">
        <w:rPr>
          <w:lang w:val="en-US"/>
        </w:rPr>
        <w:t>-</w:t>
      </w:r>
      <w:r w:rsidRPr="007549C6">
        <w:tab/>
      </w:r>
      <w:r w:rsidRPr="007549C6">
        <w:rPr>
          <w:lang w:val="en-US"/>
        </w:rPr>
        <w:t>third,</w:t>
      </w:r>
      <w:r w:rsidRPr="007549C6">
        <w:t xml:space="preserve"> in increasing </w:t>
      </w:r>
      <w:r w:rsidRPr="007549C6">
        <w:rPr>
          <w:lang w:val="en-US"/>
        </w:rPr>
        <w:t xml:space="preserve">order of time resource indexes </w:t>
      </w:r>
      <m:oMath>
        <m:sSub>
          <m:sSubPr>
            <m:ctrlPr>
              <w:rPr>
                <w:rFonts w:ascii="Cambria Math" w:hAnsi="Cambria Math"/>
                <w:bCs/>
                <w:i/>
                <w:iCs/>
              </w:rPr>
            </m:ctrlPr>
          </m:sSubPr>
          <m:e>
            <m:r>
              <w:rPr>
                <w:rFonts w:ascii="Cambria Math" w:hAnsi="Cambria Math"/>
              </w:rPr>
              <m:t>t</m:t>
            </m:r>
          </m:e>
          <m:sub>
            <m:r>
              <w:rPr>
                <w:rFonts w:ascii="Cambria Math" w:hAnsi="Cambria Math"/>
              </w:rPr>
              <m:t>id</m:t>
            </m:r>
          </m:sub>
        </m:sSub>
      </m:oMath>
      <w:r w:rsidRPr="007549C6">
        <w:rPr>
          <w:bCs/>
          <w:iCs/>
        </w:rPr>
        <w:t xml:space="preserve"> </w:t>
      </w:r>
      <w:r w:rsidRPr="007549C6">
        <w:rPr>
          <w:lang w:val="en-US"/>
        </w:rPr>
        <w:t>for</w:t>
      </w:r>
      <w:r w:rsidRPr="007549C6">
        <w:t xml:space="preserve"> time</w:t>
      </w:r>
      <w:r w:rsidRPr="007549C6">
        <w:rPr>
          <w:lang w:val="en-US"/>
        </w:rPr>
        <w:t xml:space="preserve"> multiplexed</w:t>
      </w:r>
      <w:r w:rsidRPr="007549C6">
        <w:t xml:space="preserve"> </w:t>
      </w:r>
      <w:r w:rsidRPr="007549C6">
        <w:rPr>
          <w:lang w:val="en-US"/>
        </w:rPr>
        <w:t>P</w:t>
      </w:r>
      <w:r w:rsidRPr="007549C6">
        <w:t>USCH occasion</w:t>
      </w:r>
      <w:r w:rsidRPr="007549C6">
        <w:rPr>
          <w:lang w:val="en-US"/>
        </w:rPr>
        <w:t>s</w:t>
      </w:r>
      <w:r w:rsidRPr="007549C6">
        <w:t xml:space="preserve"> within a </w:t>
      </w:r>
      <w:r w:rsidRPr="007549C6">
        <w:rPr>
          <w:lang w:val="en-US"/>
        </w:rPr>
        <w:t>P</w:t>
      </w:r>
      <w:r w:rsidRPr="007549C6">
        <w:t>USCH slot</w:t>
      </w:r>
    </w:p>
    <w:p w14:paraId="44133439" w14:textId="5DE9E445" w:rsidR="00C80D46" w:rsidRPr="007549C6" w:rsidRDefault="00C80D46" w:rsidP="00C80D46">
      <w:pPr>
        <w:pStyle w:val="B1"/>
        <w:spacing w:after="240"/>
      </w:pPr>
      <w:r w:rsidRPr="007549C6">
        <w:rPr>
          <w:lang w:val="en-US"/>
        </w:rPr>
        <w:t>-</w:t>
      </w:r>
      <w:r w:rsidRPr="007549C6">
        <w:tab/>
      </w:r>
      <w:r w:rsidRPr="007549C6">
        <w:rPr>
          <w:lang w:val="en-US"/>
        </w:rPr>
        <w:t>fourth,</w:t>
      </w:r>
      <w:r w:rsidRPr="007549C6">
        <w:t xml:space="preserve"> in increasing </w:t>
      </w:r>
      <w:r w:rsidRPr="007549C6">
        <w:rPr>
          <w:lang w:val="en-US"/>
        </w:rPr>
        <w:t>order of indexes for</w:t>
      </w:r>
      <w:r w:rsidRPr="007549C6">
        <w:t xml:space="preserve"> </w:t>
      </w:r>
      <m:oMath>
        <m:sSub>
          <m:sSubPr>
            <m:ctrlPr>
              <w:rPr>
                <w:rFonts w:ascii="Cambria Math" w:eastAsiaTheme="minorEastAsia" w:hAnsi="Cambria Math"/>
                <w:i/>
                <w:sz w:val="24"/>
                <w:szCs w:val="24"/>
              </w:rPr>
            </m:ctrlPr>
          </m:sSubPr>
          <m:e>
            <m:r>
              <w:rPr>
                <w:rFonts w:ascii="Cambria Math" w:eastAsiaTheme="minorEastAsia" w:hAnsi="Cambria Math"/>
              </w:rPr>
              <m:t>N</m:t>
            </m:r>
          </m:e>
          <m:sub>
            <m:r>
              <w:rPr>
                <w:rFonts w:ascii="Cambria Math" w:eastAsiaTheme="minorEastAsia" w:hAnsi="Cambria Math"/>
              </w:rPr>
              <m:t>s</m:t>
            </m:r>
          </m:sub>
        </m:sSub>
      </m:oMath>
      <w:r w:rsidR="00216B48">
        <w:rPr>
          <w:sz w:val="24"/>
          <w:szCs w:val="24"/>
        </w:rPr>
        <w:t xml:space="preserve"> </w:t>
      </w:r>
      <w:r w:rsidRPr="007549C6">
        <w:rPr>
          <w:lang w:val="en-US"/>
        </w:rPr>
        <w:t>P</w:t>
      </w:r>
      <w:r w:rsidRPr="007549C6">
        <w:t>USCH slots</w:t>
      </w:r>
    </w:p>
    <w:p w14:paraId="2FC73631" w14:textId="3A88D14B" w:rsidR="00C80D46" w:rsidRPr="007549C6" w:rsidRDefault="00C80D46" w:rsidP="00A312BF">
      <w:pPr>
        <w:rPr>
          <w:bCs/>
          <w:lang w:eastAsia="zh-CN"/>
        </w:rPr>
      </w:pPr>
      <w:r w:rsidRPr="007549C6">
        <w:t xml:space="preserve">where </w:t>
      </w:r>
      <m:oMath>
        <m:sSub>
          <m:sSubPr>
            <m:ctrlPr>
              <w:rPr>
                <w:rFonts w:ascii="Cambria Math" w:hAnsi="Cambria Math"/>
                <w:i/>
              </w:rPr>
            </m:ctrlPr>
          </m:sSubPr>
          <m:e>
            <m:r>
              <w:rPr>
                <w:rFonts w:ascii="Cambria Math" w:hAnsi="Cambria Math"/>
              </w:rPr>
              <m:t>N</m:t>
            </m:r>
          </m:e>
          <m:sub>
            <m:r>
              <m:rPr>
                <m:nor/>
              </m:rPr>
              <m:t>preamble</m:t>
            </m:r>
            <m:ctrlPr>
              <w:rPr>
                <w:rFonts w:ascii="Cambria Math" w:hAnsi="Cambria Math"/>
              </w:rPr>
            </m:ctrlPr>
          </m:sub>
        </m:sSub>
        <m:r>
          <w:rPr>
            <w:rFonts w:ascii="Cambria Math" w:hAnsi="Cambria Math"/>
          </w:rPr>
          <m:t>=ceil</m:t>
        </m:r>
        <m:d>
          <m:dPr>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T</m:t>
                    </m:r>
                  </m:e>
                  <m:sub>
                    <m:r>
                      <m:rPr>
                        <m:nor/>
                      </m:rPr>
                      <m:t>preamble</m:t>
                    </m:r>
                    <m:ctrlPr>
                      <w:rPr>
                        <w:rFonts w:ascii="Cambria Math" w:hAnsi="Cambria Math"/>
                      </w:rPr>
                    </m:ctrlPr>
                  </m:sub>
                </m:sSub>
              </m:num>
              <m:den>
                <m:sSub>
                  <m:sSubPr>
                    <m:ctrlPr>
                      <w:rPr>
                        <w:rFonts w:ascii="Cambria Math" w:hAnsi="Cambria Math"/>
                        <w:i/>
                      </w:rPr>
                    </m:ctrlPr>
                  </m:sSubPr>
                  <m:e>
                    <m:r>
                      <w:rPr>
                        <w:rFonts w:ascii="Cambria Math" w:hAnsi="Cambria Math"/>
                      </w:rPr>
                      <m:t>T</m:t>
                    </m:r>
                  </m:e>
                  <m:sub>
                    <m:r>
                      <m:rPr>
                        <m:nor/>
                      </m:rPr>
                      <m:t>PUSCH</m:t>
                    </m:r>
                    <m:ctrlPr>
                      <w:rPr>
                        <w:rFonts w:ascii="Cambria Math" w:hAnsi="Cambria Math"/>
                      </w:rPr>
                    </m:ctrlPr>
                  </m:sub>
                </m:sSub>
              </m:den>
            </m:f>
          </m:e>
        </m:d>
      </m:oMath>
      <w:r w:rsidRPr="007549C6">
        <w:t xml:space="preserve">, </w:t>
      </w:r>
      <m:oMath>
        <m:sSub>
          <m:sSubPr>
            <m:ctrlPr>
              <w:rPr>
                <w:rFonts w:ascii="Cambria Math" w:hAnsi="Cambria Math"/>
                <w:i/>
              </w:rPr>
            </m:ctrlPr>
          </m:sSubPr>
          <m:e>
            <m:r>
              <w:rPr>
                <w:rFonts w:ascii="Cambria Math" w:hAnsi="Cambria Math"/>
              </w:rPr>
              <m:t>T</m:t>
            </m:r>
          </m:e>
          <m:sub>
            <m:r>
              <m:rPr>
                <m:nor/>
              </m:rPr>
              <m:t>preamble</m:t>
            </m:r>
            <m:ctrlPr>
              <w:rPr>
                <w:rFonts w:ascii="Cambria Math" w:hAnsi="Cambria Math"/>
              </w:rPr>
            </m:ctrlPr>
          </m:sub>
        </m:sSub>
      </m:oMath>
      <w:r w:rsidRPr="007549C6">
        <w:t xml:space="preserve"> is a total number of valid PRACH occasions per association pattern period</w:t>
      </w:r>
      <w:r w:rsidR="00216B48" w:rsidRPr="005E24FE">
        <w:t xml:space="preserve"> multiplied by the number of preambles per valid PRACH occasion provided by </w:t>
      </w:r>
      <w:r w:rsidR="00F9791D" w:rsidRPr="00213624">
        <w:rPr>
          <w:i/>
        </w:rPr>
        <w:t>rach-ConfigCommonTwoStepRA</w:t>
      </w:r>
      <w:r w:rsidRPr="007549C6">
        <w:t xml:space="preserve">, and </w:t>
      </w:r>
      <m:oMath>
        <m:sSub>
          <m:sSubPr>
            <m:ctrlPr>
              <w:rPr>
                <w:rFonts w:ascii="Cambria Math" w:hAnsi="Cambria Math"/>
                <w:i/>
              </w:rPr>
            </m:ctrlPr>
          </m:sSubPr>
          <m:e>
            <m:r>
              <w:rPr>
                <w:rFonts w:ascii="Cambria Math" w:hAnsi="Cambria Math"/>
              </w:rPr>
              <m:t>T</m:t>
            </m:r>
          </m:e>
          <m:sub>
            <m:r>
              <m:rPr>
                <m:nor/>
              </m:rPr>
              <m:t>PUSCH</m:t>
            </m:r>
            <m:ctrlPr>
              <w:rPr>
                <w:rFonts w:ascii="Cambria Math" w:hAnsi="Cambria Math"/>
              </w:rPr>
            </m:ctrlPr>
          </m:sub>
        </m:sSub>
      </m:oMath>
      <w:r w:rsidRPr="007549C6">
        <w:t xml:space="preserve"> is a total number of valid PUSCH occasions </w:t>
      </w:r>
      <w:r w:rsidR="00216B48" w:rsidRPr="005E24FE">
        <w:t xml:space="preserve">per PUSCH configuration </w:t>
      </w:r>
      <w:r w:rsidRPr="007549C6">
        <w:t>per association pattern period multiplied by</w:t>
      </w:r>
      <w:r w:rsidRPr="007549C6">
        <w:rPr>
          <w:bCs/>
        </w:rPr>
        <w:t xml:space="preserve"> the number of DMRS </w:t>
      </w:r>
      <w:r w:rsidR="00216B48" w:rsidRPr="005E24FE">
        <w:rPr>
          <w:bCs/>
        </w:rPr>
        <w:t xml:space="preserve">resource </w:t>
      </w:r>
      <w:r w:rsidRPr="007549C6">
        <w:rPr>
          <w:bCs/>
        </w:rPr>
        <w:t>indexes per valid PUSCH occasion</w:t>
      </w:r>
      <w:r w:rsidR="00216B48" w:rsidRPr="005E24FE">
        <w:t xml:space="preserve"> provided by</w:t>
      </w:r>
      <w:r w:rsidR="00216B48" w:rsidRPr="005E24FE">
        <w:rPr>
          <w:i/>
        </w:rPr>
        <w:t xml:space="preserve"> </w:t>
      </w:r>
      <w:r w:rsidR="00F9791D" w:rsidRPr="00213624">
        <w:rPr>
          <w:i/>
        </w:rPr>
        <w:t>msgA-DMRS-Config</w:t>
      </w:r>
      <w:r w:rsidRPr="007549C6">
        <w:t xml:space="preserve">. </w:t>
      </w:r>
    </w:p>
    <w:p w14:paraId="1847E9EC" w14:textId="6305DFC7" w:rsidR="00976364" w:rsidRDefault="00C80D46" w:rsidP="00976364">
      <w:pPr>
        <w:rPr>
          <w:lang w:eastAsia="zh-CN"/>
        </w:rPr>
      </w:pPr>
      <w:r w:rsidRPr="007549C6">
        <w:rPr>
          <w:lang w:eastAsia="zh-CN"/>
        </w:rPr>
        <w:t xml:space="preserve">A PUSCH occasion is valid if it does not overlap in time and frequency with any </w:t>
      </w:r>
      <w:r w:rsidR="00BA745E">
        <w:rPr>
          <w:lang w:eastAsia="zh-CN"/>
        </w:rPr>
        <w:t xml:space="preserve">valid </w:t>
      </w:r>
      <w:r w:rsidRPr="007549C6">
        <w:rPr>
          <w:lang w:eastAsia="zh-CN"/>
        </w:rPr>
        <w:t xml:space="preserve">PRACH occasion associated with either a Type-1 random access procedure or a Type-2 random access procedure. Additionally, </w:t>
      </w:r>
      <w:r w:rsidR="00976364">
        <w:rPr>
          <w:lang w:eastAsia="zh-CN"/>
        </w:rPr>
        <w:t xml:space="preserve">for unpaired spectrum and for SS/PBCH blocks with indexes </w:t>
      </w:r>
      <w:r w:rsidR="00976364" w:rsidRPr="00F76F56">
        <w:rPr>
          <w:rFonts w:hint="eastAsia"/>
          <w:lang w:eastAsia="zh-CN"/>
        </w:rPr>
        <w:t>provided by</w:t>
      </w:r>
      <w:r w:rsidR="00976364" w:rsidRPr="00F76F56">
        <w:t xml:space="preserve"> </w:t>
      </w:r>
      <w:r w:rsidR="00976364" w:rsidRPr="00F76F56">
        <w:rPr>
          <w:i/>
        </w:rPr>
        <w:t>ssb-PositionsInBurst</w:t>
      </w:r>
      <w:r w:rsidR="00976364" w:rsidRPr="001107BF">
        <w:t xml:space="preserve"> </w:t>
      </w:r>
      <w:r w:rsidR="00976364" w:rsidRPr="001107BF">
        <w:rPr>
          <w:lang w:val="en-US"/>
        </w:rPr>
        <w:t xml:space="preserve">in </w:t>
      </w:r>
      <w:r w:rsidR="00976364" w:rsidRPr="001107BF">
        <w:rPr>
          <w:i/>
        </w:rPr>
        <w:t>S</w:t>
      </w:r>
      <w:r w:rsidR="00976364" w:rsidRPr="001107BF">
        <w:rPr>
          <w:rFonts w:hint="eastAsia"/>
          <w:i/>
          <w:lang w:eastAsia="zh-CN"/>
        </w:rPr>
        <w:t>IB</w:t>
      </w:r>
      <w:r w:rsidR="00976364" w:rsidRPr="001107BF">
        <w:rPr>
          <w:i/>
        </w:rPr>
        <w:t>1</w:t>
      </w:r>
      <w:r w:rsidR="00976364" w:rsidRPr="001107BF">
        <w:t xml:space="preserve"> or </w:t>
      </w:r>
      <w:r w:rsidR="00976364">
        <w:t>by</w:t>
      </w:r>
      <w:r w:rsidR="00976364" w:rsidRPr="001107BF">
        <w:t xml:space="preserve"> </w:t>
      </w:r>
      <w:r w:rsidR="00976364" w:rsidRPr="00F76F56">
        <w:rPr>
          <w:i/>
        </w:rPr>
        <w:t>ServingCellConfigCommon</w:t>
      </w:r>
      <w:r w:rsidR="00976364">
        <w:rPr>
          <w:lang w:eastAsia="zh-CN"/>
        </w:rPr>
        <w:t xml:space="preserve"> </w:t>
      </w:r>
    </w:p>
    <w:p w14:paraId="19E5CCC4" w14:textId="77777777" w:rsidR="00976364" w:rsidRDefault="00976364" w:rsidP="00976364">
      <w:pPr>
        <w:pStyle w:val="B1"/>
        <w:spacing w:after="240"/>
      </w:pPr>
      <w:r w:rsidRPr="007549C6">
        <w:t>-</w:t>
      </w:r>
      <w:r w:rsidRPr="007549C6">
        <w:tab/>
      </w:r>
      <w:r w:rsidRPr="007549C6">
        <w:rPr>
          <w:lang w:eastAsia="zh-CN"/>
        </w:rPr>
        <w:t xml:space="preserve">if a UE is </w:t>
      </w:r>
      <w:r>
        <w:rPr>
          <w:lang w:eastAsia="zh-CN"/>
        </w:rPr>
        <w:t xml:space="preserve">not </w:t>
      </w:r>
      <w:r w:rsidRPr="007549C6">
        <w:rPr>
          <w:lang w:eastAsia="zh-CN"/>
        </w:rPr>
        <w:t xml:space="preserve">provided </w:t>
      </w:r>
      <w:r w:rsidRPr="007549C6">
        <w:rPr>
          <w:i/>
          <w:lang w:val="en-US"/>
        </w:rPr>
        <w:t>tdd-</w:t>
      </w:r>
      <w:r w:rsidRPr="007549C6">
        <w:rPr>
          <w:i/>
        </w:rPr>
        <w:t>UL-DL-</w:t>
      </w:r>
      <w:r w:rsidRPr="007549C6">
        <w:rPr>
          <w:i/>
          <w:lang w:val="en-US"/>
        </w:rPr>
        <w:t>ConfigurationCommon</w:t>
      </w:r>
      <w:r w:rsidRPr="007549C6">
        <w:t xml:space="preserve">, a PUSCH occasion is valid if </w:t>
      </w:r>
      <w:r>
        <w:t>the PUSCH occasion</w:t>
      </w:r>
    </w:p>
    <w:p w14:paraId="1FED405D" w14:textId="77777777" w:rsidR="00976364" w:rsidRDefault="00976364" w:rsidP="00F44350">
      <w:pPr>
        <w:pStyle w:val="B2"/>
      </w:pPr>
      <w:r w:rsidRPr="007549C6">
        <w:t>-</w:t>
      </w:r>
      <w:r w:rsidRPr="007549C6">
        <w:tab/>
      </w:r>
      <w:r w:rsidRPr="00E80780">
        <w:t>does not precede a SS/PBCH block in the PUSCH slot</w:t>
      </w:r>
      <w:r>
        <w:t>,</w:t>
      </w:r>
      <w:r w:rsidRPr="00E80780">
        <w:t xml:space="preserve"> </w:t>
      </w:r>
      <w:r w:rsidRPr="00284825">
        <w:t xml:space="preserve">and </w:t>
      </w:r>
    </w:p>
    <w:p w14:paraId="6BCAFC5C" w14:textId="2B3A3E08" w:rsidR="00976364" w:rsidRPr="00D057B9" w:rsidRDefault="00976364" w:rsidP="00F44350">
      <w:pPr>
        <w:pStyle w:val="B2"/>
        <w:rPr>
          <w:lang w:val="en-US"/>
        </w:rPr>
      </w:pPr>
      <w:r w:rsidRPr="00D057B9">
        <w:t>-</w:t>
      </w:r>
      <w:r w:rsidRPr="00D057B9">
        <w:tab/>
        <w:t xml:space="preserve">starts at least </w:t>
      </w:r>
      <m:oMath>
        <m:sSub>
          <m:sSubPr>
            <m:ctrlPr>
              <w:rPr>
                <w:rFonts w:ascii="Cambria Math" w:hAnsi="Cambria Math"/>
                <w:i/>
              </w:rPr>
            </m:ctrlPr>
          </m:sSubPr>
          <m:e>
            <m:r>
              <w:rPr>
                <w:rFonts w:ascii="Cambria Math" w:hAnsi="Cambria Math"/>
              </w:rPr>
              <m:t>N</m:t>
            </m:r>
          </m:e>
          <m:sub>
            <m:r>
              <m:rPr>
                <m:nor/>
              </m:rPr>
              <m:t>gap</m:t>
            </m:r>
            <m:ctrlPr>
              <w:rPr>
                <w:rFonts w:ascii="Cambria Math" w:hAnsi="Cambria Math"/>
              </w:rPr>
            </m:ctrlPr>
          </m:sub>
        </m:sSub>
      </m:oMath>
      <w:r w:rsidRPr="00D057B9">
        <w:t xml:space="preserve"> symbols after a last SS/PBCH block symbol, where </w:t>
      </w:r>
      <m:oMath>
        <m:sSub>
          <m:sSubPr>
            <m:ctrlPr>
              <w:rPr>
                <w:rFonts w:ascii="Cambria Math" w:hAnsi="Cambria Math"/>
                <w:i/>
              </w:rPr>
            </m:ctrlPr>
          </m:sSubPr>
          <m:e>
            <m:r>
              <w:rPr>
                <w:rFonts w:ascii="Cambria Math" w:hAnsi="Cambria Math"/>
              </w:rPr>
              <m:t>N</m:t>
            </m:r>
          </m:e>
          <m:sub>
            <m:r>
              <m:rPr>
                <m:nor/>
              </m:rPr>
              <m:t>gap</m:t>
            </m:r>
            <m:ctrlPr>
              <w:rPr>
                <w:rFonts w:ascii="Cambria Math" w:hAnsi="Cambria Math"/>
              </w:rPr>
            </m:ctrlPr>
          </m:sub>
        </m:sSub>
      </m:oMath>
      <w:r w:rsidRPr="00D057B9">
        <w:t xml:space="preserve"> is provided in Table 8.1-2</w:t>
      </w:r>
      <w:r w:rsidR="0031780B" w:rsidRPr="00D057B9">
        <w:rPr>
          <w:lang w:val="en-US"/>
        </w:rPr>
        <w:t xml:space="preserve"> and, </w:t>
      </w:r>
      <w:r w:rsidR="0031780B" w:rsidRPr="00D057B9">
        <w:rPr>
          <w:rFonts w:hint="eastAsia"/>
        </w:rPr>
        <w:t xml:space="preserve">if </w:t>
      </w:r>
      <w:r w:rsidR="0031780B" w:rsidRPr="00D057B9">
        <w:rPr>
          <w:i/>
          <w:iCs/>
          <w:lang w:val="en-US"/>
        </w:rPr>
        <w:t>c</w:t>
      </w:r>
      <w:r w:rsidR="0031780B" w:rsidRPr="00D057B9">
        <w:rPr>
          <w:rFonts w:hint="eastAsia"/>
          <w:i/>
          <w:iCs/>
        </w:rPr>
        <w:t>hannelAccess</w:t>
      </w:r>
      <w:r w:rsidR="0031780B" w:rsidRPr="00D057B9">
        <w:rPr>
          <w:rFonts w:hint="eastAsia"/>
          <w:i/>
          <w:iCs/>
          <w:lang w:eastAsia="zh-CN"/>
        </w:rPr>
        <w:t>Mode</w:t>
      </w:r>
      <w:r w:rsidR="0031780B" w:rsidRPr="00D057B9">
        <w:rPr>
          <w:rFonts w:hint="eastAsia"/>
        </w:rPr>
        <w:t xml:space="preserve"> = </w:t>
      </w:r>
      <w:r w:rsidR="00533C00" w:rsidRPr="003817EF">
        <w:rPr>
          <w:lang w:val="en-GB"/>
        </w:rPr>
        <w:t>"</w:t>
      </w:r>
      <w:r w:rsidR="00533C00" w:rsidRPr="00D057B9">
        <w:rPr>
          <w:rFonts w:hint="eastAsia"/>
          <w:i/>
          <w:iCs/>
        </w:rPr>
        <w:t>semi</w:t>
      </w:r>
      <w:r w:rsidR="00533C00">
        <w:rPr>
          <w:i/>
          <w:iCs/>
          <w:lang w:val="en-GB"/>
        </w:rPr>
        <w:t>S</w:t>
      </w:r>
      <w:r w:rsidR="00533C00" w:rsidRPr="00D057B9">
        <w:rPr>
          <w:rFonts w:hint="eastAsia"/>
          <w:i/>
          <w:iCs/>
        </w:rPr>
        <w:t>tatic</w:t>
      </w:r>
      <w:r w:rsidR="00533C00" w:rsidRPr="003817EF">
        <w:rPr>
          <w:lang w:val="en-GB"/>
        </w:rPr>
        <w:t>"</w:t>
      </w:r>
      <w:r w:rsidR="00533C00" w:rsidRPr="003817EF">
        <w:rPr>
          <w:rFonts w:hint="eastAsia"/>
        </w:rPr>
        <w:t xml:space="preserve"> </w:t>
      </w:r>
      <w:r w:rsidR="0031780B" w:rsidRPr="003817EF">
        <w:rPr>
          <w:rFonts w:hint="eastAsia"/>
        </w:rPr>
        <w:t>i</w:t>
      </w:r>
      <w:r w:rsidR="0031780B" w:rsidRPr="00D057B9">
        <w:rPr>
          <w:rFonts w:hint="eastAsia"/>
        </w:rPr>
        <w:t xml:space="preserve">s provided, does not overlap with a set of consecutive symbols before the start of a next channel occupancy time where </w:t>
      </w:r>
      <w:r w:rsidR="0031780B" w:rsidRPr="00D057B9">
        <w:rPr>
          <w:lang w:val="en-US"/>
        </w:rPr>
        <w:t>the UE does not</w:t>
      </w:r>
      <w:r w:rsidR="0031780B" w:rsidRPr="00D057B9">
        <w:rPr>
          <w:rFonts w:hint="eastAsia"/>
        </w:rPr>
        <w:t xml:space="preserve"> transmi</w:t>
      </w:r>
      <w:r w:rsidR="0031780B" w:rsidRPr="00D057B9">
        <w:rPr>
          <w:lang w:val="en-US"/>
        </w:rPr>
        <w:t>t</w:t>
      </w:r>
      <w:r w:rsidR="0031780B" w:rsidRPr="00D057B9">
        <w:rPr>
          <w:rFonts w:hint="eastAsia"/>
        </w:rPr>
        <w:t xml:space="preserve"> [15, TS 37.213]</w:t>
      </w:r>
      <w:r w:rsidR="0031780B" w:rsidRPr="00D057B9">
        <w:t>.</w:t>
      </w:r>
    </w:p>
    <w:p w14:paraId="0876B438" w14:textId="425EC95D" w:rsidR="00C80D46" w:rsidRPr="007549C6" w:rsidRDefault="00976364" w:rsidP="00F44350">
      <w:pPr>
        <w:pStyle w:val="B1"/>
      </w:pPr>
      <w:r w:rsidRPr="007549C6">
        <w:t>-</w:t>
      </w:r>
      <w:r w:rsidRPr="007549C6">
        <w:tab/>
      </w:r>
      <w:r w:rsidR="00C80D46" w:rsidRPr="007549C6">
        <w:rPr>
          <w:lang w:eastAsia="zh-CN"/>
        </w:rPr>
        <w:t xml:space="preserve">if a UE is provided </w:t>
      </w:r>
      <w:r w:rsidR="00C80D46" w:rsidRPr="007549C6">
        <w:rPr>
          <w:i/>
          <w:lang w:val="en-US"/>
        </w:rPr>
        <w:t>tdd-</w:t>
      </w:r>
      <w:r w:rsidR="00C80D46" w:rsidRPr="007549C6">
        <w:rPr>
          <w:i/>
        </w:rPr>
        <w:t>UL-DL-</w:t>
      </w:r>
      <w:r w:rsidR="00C80D46" w:rsidRPr="007549C6">
        <w:rPr>
          <w:i/>
          <w:lang w:val="en-US"/>
        </w:rPr>
        <w:t>ConfigurationCommon</w:t>
      </w:r>
      <w:r w:rsidR="00C80D46" w:rsidRPr="007549C6">
        <w:t xml:space="preserve">, a PUSCH occasion is valid if </w:t>
      </w:r>
      <w:r>
        <w:t>the PUSCH occasion</w:t>
      </w:r>
    </w:p>
    <w:p w14:paraId="4CEC8795" w14:textId="537FB23E" w:rsidR="00C80D46" w:rsidRPr="007549C6" w:rsidRDefault="00C80D46" w:rsidP="00F44350">
      <w:pPr>
        <w:pStyle w:val="B2"/>
      </w:pPr>
      <w:r w:rsidRPr="007549C6">
        <w:t>-</w:t>
      </w:r>
      <w:r w:rsidRPr="007549C6">
        <w:tab/>
        <w:t>is within UL symbols</w:t>
      </w:r>
      <w:r w:rsidRPr="007549C6">
        <w:rPr>
          <w:lang w:val="en-US"/>
        </w:rPr>
        <w:t xml:space="preserve">, </w:t>
      </w:r>
      <w:r w:rsidRPr="007549C6">
        <w:t xml:space="preserve">or </w:t>
      </w:r>
    </w:p>
    <w:p w14:paraId="3E6B877F" w14:textId="64E5E969" w:rsidR="00976364" w:rsidRDefault="00C80D46" w:rsidP="00976364">
      <w:pPr>
        <w:pStyle w:val="B2"/>
        <w:rPr>
          <w:lang w:val="en-US"/>
        </w:rPr>
      </w:pPr>
      <w:r w:rsidRPr="007549C6">
        <w:t>-</w:t>
      </w:r>
      <w:r w:rsidRPr="007549C6">
        <w:tab/>
      </w:r>
      <w:r w:rsidRPr="007549C6">
        <w:rPr>
          <w:lang w:val="en-US"/>
        </w:rPr>
        <w:t>does not precede a SS/PBCH block in the PUSCH slot</w:t>
      </w:r>
      <w:r w:rsidR="00976364">
        <w:rPr>
          <w:lang w:val="en-US"/>
        </w:rPr>
        <w:t>,</w:t>
      </w:r>
      <w:r w:rsidRPr="007549C6">
        <w:rPr>
          <w:lang w:val="en-US"/>
        </w:rPr>
        <w:t xml:space="preserve"> and </w:t>
      </w:r>
    </w:p>
    <w:p w14:paraId="291A44A9" w14:textId="1FBF1AA2" w:rsidR="00C80D46" w:rsidRPr="00A312BF" w:rsidRDefault="00976364" w:rsidP="00F44350">
      <w:pPr>
        <w:pStyle w:val="B2"/>
      </w:pPr>
      <w:r>
        <w:rPr>
          <w:lang w:val="en-US"/>
        </w:rPr>
        <w:t>-</w:t>
      </w:r>
      <w:r>
        <w:rPr>
          <w:lang w:val="en-US"/>
        </w:rPr>
        <w:tab/>
      </w:r>
      <w:r w:rsidR="00C80D46" w:rsidRPr="007549C6">
        <w:t>starts at least</w:t>
      </w:r>
      <w:r w:rsidR="00C80D46" w:rsidRPr="007549C6">
        <w:rPr>
          <w:lang w:val="en-US"/>
        </w:rPr>
        <w:t xml:space="preserve"> </w:t>
      </w:r>
      <m:oMath>
        <m:sSub>
          <m:sSubPr>
            <m:ctrlPr>
              <w:rPr>
                <w:rFonts w:ascii="Cambria Math" w:hAnsi="Cambria Math"/>
                <w:i/>
              </w:rPr>
            </m:ctrlPr>
          </m:sSubPr>
          <m:e>
            <m:r>
              <w:rPr>
                <w:rFonts w:ascii="Cambria Math" w:hAnsi="Cambria Math"/>
              </w:rPr>
              <m:t>N</m:t>
            </m:r>
          </m:e>
          <m:sub>
            <m:r>
              <m:rPr>
                <m:nor/>
              </m:rPr>
              <m:t>gap</m:t>
            </m:r>
            <m:ctrlPr>
              <w:rPr>
                <w:rFonts w:ascii="Cambria Math" w:hAnsi="Cambria Math"/>
              </w:rPr>
            </m:ctrlPr>
          </m:sub>
        </m:sSub>
      </m:oMath>
      <w:r w:rsidR="00C80D46" w:rsidRPr="007549C6">
        <w:t xml:space="preserve"> symbols after a last downlink symbol and at least</w:t>
      </w:r>
      <w:r w:rsidR="00C80D46" w:rsidRPr="007549C6">
        <w:rPr>
          <w:lang w:val="en-US"/>
        </w:rPr>
        <w:t xml:space="preserve"> </w:t>
      </w:r>
      <m:oMath>
        <m:sSub>
          <m:sSubPr>
            <m:ctrlPr>
              <w:rPr>
                <w:rFonts w:ascii="Cambria Math" w:hAnsi="Cambria Math"/>
                <w:i/>
              </w:rPr>
            </m:ctrlPr>
          </m:sSubPr>
          <m:e>
            <m:r>
              <w:rPr>
                <w:rFonts w:ascii="Cambria Math" w:hAnsi="Cambria Math"/>
              </w:rPr>
              <m:t>N</m:t>
            </m:r>
          </m:e>
          <m:sub>
            <m:r>
              <m:rPr>
                <m:nor/>
              </m:rPr>
              <m:t>gap</m:t>
            </m:r>
            <m:ctrlPr>
              <w:rPr>
                <w:rFonts w:ascii="Cambria Math" w:hAnsi="Cambria Math"/>
              </w:rPr>
            </m:ctrlPr>
          </m:sub>
        </m:sSub>
      </m:oMath>
      <w:r w:rsidR="00C80D46" w:rsidRPr="007549C6">
        <w:t xml:space="preserve"> symbols after a last SS/PBCH block symbol</w:t>
      </w:r>
      <w:r w:rsidR="00C80D46" w:rsidRPr="007549C6">
        <w:rPr>
          <w:lang w:val="en-US"/>
        </w:rPr>
        <w:t>,</w:t>
      </w:r>
      <w:r w:rsidR="00C80D46" w:rsidRPr="007549C6">
        <w:t xml:space="preserve"> where </w:t>
      </w:r>
      <m:oMath>
        <m:sSub>
          <m:sSubPr>
            <m:ctrlPr>
              <w:rPr>
                <w:rFonts w:ascii="Cambria Math" w:hAnsi="Cambria Math"/>
                <w:i/>
              </w:rPr>
            </m:ctrlPr>
          </m:sSubPr>
          <m:e>
            <m:r>
              <w:rPr>
                <w:rFonts w:ascii="Cambria Math" w:hAnsi="Cambria Math"/>
              </w:rPr>
              <m:t>N</m:t>
            </m:r>
          </m:e>
          <m:sub>
            <m:r>
              <m:rPr>
                <m:nor/>
              </m:rPr>
              <m:t>gap</m:t>
            </m:r>
            <m:ctrlPr>
              <w:rPr>
                <w:rFonts w:ascii="Cambria Math" w:hAnsi="Cambria Math"/>
              </w:rPr>
            </m:ctrlPr>
          </m:sub>
        </m:sSub>
      </m:oMath>
      <w:r w:rsidR="00C80D46" w:rsidRPr="007549C6">
        <w:t xml:space="preserve"> is provided in Table 8.</w:t>
      </w:r>
      <w:r w:rsidR="00C80D46" w:rsidRPr="007549C6">
        <w:rPr>
          <w:lang w:val="en-US"/>
        </w:rPr>
        <w:t>1</w:t>
      </w:r>
      <w:r w:rsidR="00C80D46" w:rsidRPr="007549C6">
        <w:t>-2</w:t>
      </w:r>
      <w:r w:rsidR="00173EDA" w:rsidRPr="00173EDA">
        <w:rPr>
          <w:lang w:val="en-US"/>
        </w:rPr>
        <w:t xml:space="preserve"> </w:t>
      </w:r>
      <w:r w:rsidR="00173EDA">
        <w:rPr>
          <w:lang w:val="en-US"/>
        </w:rPr>
        <w:t xml:space="preserve">and, </w:t>
      </w:r>
      <w:r w:rsidR="00173EDA" w:rsidRPr="000E198D">
        <w:rPr>
          <w:rFonts w:hint="eastAsia"/>
        </w:rPr>
        <w:t xml:space="preserve">if </w:t>
      </w:r>
      <w:r w:rsidR="006545FE">
        <w:rPr>
          <w:i/>
          <w:iCs/>
          <w:lang w:val="en-US"/>
        </w:rPr>
        <w:t>c</w:t>
      </w:r>
      <w:r w:rsidR="006545FE" w:rsidRPr="000E198D">
        <w:rPr>
          <w:rFonts w:hint="eastAsia"/>
          <w:i/>
          <w:iCs/>
        </w:rPr>
        <w:t>hannelAccess</w:t>
      </w:r>
      <w:r w:rsidR="006545FE" w:rsidRPr="000E198D">
        <w:rPr>
          <w:rFonts w:hint="eastAsia"/>
          <w:i/>
          <w:iCs/>
          <w:lang w:eastAsia="zh-CN"/>
        </w:rPr>
        <w:t>Mode</w:t>
      </w:r>
      <w:r w:rsidR="00173EDA" w:rsidRPr="000E198D">
        <w:rPr>
          <w:rFonts w:hint="eastAsia"/>
        </w:rPr>
        <w:t xml:space="preserve"> = </w:t>
      </w:r>
      <w:r w:rsidR="00533C00" w:rsidRPr="003817EF">
        <w:rPr>
          <w:lang w:val="en-GB"/>
        </w:rPr>
        <w:t>"</w:t>
      </w:r>
      <w:r w:rsidR="00533C00" w:rsidRPr="000E198D">
        <w:rPr>
          <w:rFonts w:hint="eastAsia"/>
          <w:i/>
          <w:iCs/>
        </w:rPr>
        <w:t>semi</w:t>
      </w:r>
      <w:r w:rsidR="00533C00">
        <w:rPr>
          <w:i/>
          <w:iCs/>
          <w:lang w:val="en-GB"/>
        </w:rPr>
        <w:t>S</w:t>
      </w:r>
      <w:r w:rsidR="00533C00" w:rsidRPr="000E198D">
        <w:rPr>
          <w:rFonts w:hint="eastAsia"/>
          <w:i/>
          <w:iCs/>
        </w:rPr>
        <w:t>tatic</w:t>
      </w:r>
      <w:r w:rsidR="00533C00" w:rsidRPr="003817EF">
        <w:rPr>
          <w:lang w:val="en-GB"/>
        </w:rPr>
        <w:t>"</w:t>
      </w:r>
      <w:r w:rsidR="00533C00" w:rsidRPr="003817EF">
        <w:rPr>
          <w:rFonts w:hint="eastAsia"/>
        </w:rPr>
        <w:t xml:space="preserve"> </w:t>
      </w:r>
      <w:r w:rsidR="00173EDA" w:rsidRPr="000E198D">
        <w:rPr>
          <w:rFonts w:hint="eastAsia"/>
        </w:rPr>
        <w:t xml:space="preserve">is provided, does not overlap with a set of consecutive symbols before the start of a next channel occupancy time where </w:t>
      </w:r>
      <w:r w:rsidR="00173EDA">
        <w:rPr>
          <w:lang w:val="en-US"/>
        </w:rPr>
        <w:t>the UE does not</w:t>
      </w:r>
      <w:r w:rsidR="00173EDA" w:rsidRPr="000E198D">
        <w:rPr>
          <w:rFonts w:hint="eastAsia"/>
        </w:rPr>
        <w:t xml:space="preserve"> transmi</w:t>
      </w:r>
      <w:r w:rsidR="00173EDA">
        <w:rPr>
          <w:lang w:val="en-US"/>
        </w:rPr>
        <w:t>t</w:t>
      </w:r>
      <w:r w:rsidR="00173EDA" w:rsidRPr="000E198D">
        <w:rPr>
          <w:rFonts w:hint="eastAsia"/>
        </w:rPr>
        <w:t xml:space="preserve"> [15, TS 37.213]</w:t>
      </w:r>
      <w:r w:rsidR="00C80D46" w:rsidRPr="007549C6">
        <w:t>.</w:t>
      </w:r>
    </w:p>
    <w:p w14:paraId="6FC8BF97" w14:textId="77777777" w:rsidR="00A10623" w:rsidRPr="00B916EC" w:rsidRDefault="00A10623" w:rsidP="00A10623">
      <w:pPr>
        <w:pStyle w:val="Heading2"/>
        <w:ind w:left="850" w:hanging="850"/>
      </w:pPr>
      <w:bookmarkStart w:id="350" w:name="_Ref491444649"/>
      <w:bookmarkStart w:id="351" w:name="_Ref491451289"/>
      <w:bookmarkStart w:id="352" w:name="_Ref491451291"/>
      <w:bookmarkStart w:id="353" w:name="_Ref491451292"/>
      <w:bookmarkStart w:id="354" w:name="_Ref491451293"/>
      <w:bookmarkStart w:id="355" w:name="_Ref491451294"/>
      <w:bookmarkStart w:id="356" w:name="_Ref491451297"/>
      <w:bookmarkStart w:id="357" w:name="_Ref491458133"/>
      <w:bookmarkStart w:id="358" w:name="_Toc12021463"/>
      <w:bookmarkStart w:id="359" w:name="_Toc20311575"/>
      <w:bookmarkStart w:id="360" w:name="_Toc26719400"/>
      <w:bookmarkStart w:id="361" w:name="_Toc29894832"/>
      <w:bookmarkStart w:id="362" w:name="_Toc29899131"/>
      <w:bookmarkStart w:id="363" w:name="_Toc29899549"/>
      <w:bookmarkStart w:id="364" w:name="_Toc29917286"/>
      <w:bookmarkStart w:id="365" w:name="_Toc36498160"/>
      <w:bookmarkStart w:id="366" w:name="_Toc45699186"/>
      <w:bookmarkStart w:id="367" w:name="_Toc161999111"/>
      <w:r w:rsidRPr="00B916EC">
        <w:t>8</w:t>
      </w:r>
      <w:r w:rsidRPr="00B916EC">
        <w:rPr>
          <w:rFonts w:hint="eastAsia"/>
        </w:rPr>
        <w:t>.</w:t>
      </w:r>
      <w:r w:rsidRPr="00B916EC">
        <w:t>2</w:t>
      </w:r>
      <w:r w:rsidR="007D5A3F">
        <w:rPr>
          <w:rFonts w:hint="eastAsia"/>
        </w:rPr>
        <w:tab/>
      </w:r>
      <w:r w:rsidRPr="00B916EC">
        <w:t>Random access response</w:t>
      </w:r>
      <w:bookmarkEnd w:id="350"/>
      <w:bookmarkEnd w:id="351"/>
      <w:bookmarkEnd w:id="352"/>
      <w:bookmarkEnd w:id="353"/>
      <w:bookmarkEnd w:id="354"/>
      <w:bookmarkEnd w:id="355"/>
      <w:bookmarkEnd w:id="356"/>
      <w:bookmarkEnd w:id="357"/>
      <w:bookmarkEnd w:id="358"/>
      <w:bookmarkEnd w:id="359"/>
      <w:bookmarkEnd w:id="360"/>
      <w:r w:rsidR="00AB5B8F">
        <w:t xml:space="preserve"> - Type-1 random access procedure</w:t>
      </w:r>
      <w:bookmarkEnd w:id="361"/>
      <w:bookmarkEnd w:id="362"/>
      <w:bookmarkEnd w:id="363"/>
      <w:bookmarkEnd w:id="364"/>
      <w:bookmarkEnd w:id="365"/>
      <w:bookmarkEnd w:id="366"/>
      <w:bookmarkEnd w:id="367"/>
    </w:p>
    <w:p w14:paraId="036AE68A" w14:textId="19D98CC7" w:rsidR="00A10623" w:rsidRPr="00B916EC" w:rsidRDefault="00584DAB" w:rsidP="00A10623">
      <w:pPr>
        <w:rPr>
          <w:lang w:val="en-US"/>
        </w:rPr>
      </w:pPr>
      <w:r>
        <w:rPr>
          <w:lang w:val="en-US"/>
        </w:rPr>
        <w:t>In response to a PRACH transmission, a</w:t>
      </w:r>
      <w:r w:rsidR="00A10623" w:rsidRPr="00B916EC">
        <w:rPr>
          <w:lang w:val="en-US"/>
        </w:rPr>
        <w:t xml:space="preserve"> UE attempts to detect</w:t>
      </w:r>
      <w:r w:rsidR="00A10623" w:rsidRPr="00B916EC">
        <w:t xml:space="preserve"> a </w:t>
      </w:r>
      <w:r w:rsidR="005B74DE">
        <w:t>DCI format 1_0</w:t>
      </w:r>
      <w:r w:rsidR="00A10623" w:rsidRPr="00B916EC">
        <w:t xml:space="preserve"> with </w:t>
      </w:r>
      <w:r w:rsidR="005B74DE">
        <w:t xml:space="preserve">CRC scrambled by a </w:t>
      </w:r>
      <w:r w:rsidR="00D65D46" w:rsidRPr="00B916EC">
        <w:t xml:space="preserve">corresponding </w:t>
      </w:r>
      <w:r w:rsidR="00A10623" w:rsidRPr="00B916EC">
        <w:t>RA-RNTI during a window controlled by higher layers [</w:t>
      </w:r>
      <w:r w:rsidR="00A10623" w:rsidRPr="00B916EC">
        <w:rPr>
          <w:lang w:val="en-US"/>
        </w:rPr>
        <w:t>11, TS 38.321</w:t>
      </w:r>
      <w:r w:rsidR="00A10623" w:rsidRPr="00B916EC">
        <w:t>]</w:t>
      </w:r>
      <w:r w:rsidR="00EA404C">
        <w:t xml:space="preserve"> if the PRACH transmission is not </w:t>
      </w:r>
      <w:r w:rsidR="00EA404C" w:rsidRPr="00BE6197">
        <w:rPr>
          <w:rFonts w:hint="eastAsia"/>
        </w:rPr>
        <w:t xml:space="preserve">triggered by </w:t>
      </w:r>
      <w:r w:rsidR="00EA404C">
        <w:t xml:space="preserve">a </w:t>
      </w:r>
      <w:r w:rsidR="00EA404C" w:rsidRPr="00BE6197">
        <w:rPr>
          <w:rFonts w:hint="eastAsia"/>
        </w:rPr>
        <w:t xml:space="preserve">PDCCH order </w:t>
      </w:r>
      <w:r w:rsidR="00EA404C">
        <w:t>that includes a</w:t>
      </w:r>
      <w:r w:rsidR="00EA404C" w:rsidRPr="00BE6197">
        <w:t xml:space="preserve"> Cell Indicator </w:t>
      </w:r>
      <w:r w:rsidR="00EA404C">
        <w:t>f</w:t>
      </w:r>
      <w:r w:rsidR="00EA404C" w:rsidRPr="00BE6197">
        <w:t>ield</w:t>
      </w:r>
      <w:r w:rsidR="00EA404C">
        <w:t xml:space="preserve"> with non-zero value; otherwise, the UE does not attempt to detect the DCI format 1_0</w:t>
      </w:r>
      <w:r w:rsidR="00A10623" w:rsidRPr="00B916EC">
        <w:t xml:space="preserve">. </w:t>
      </w:r>
      <w:r w:rsidR="00A10623" w:rsidRPr="00B916EC">
        <w:rPr>
          <w:lang w:val="en-US"/>
        </w:rPr>
        <w:t xml:space="preserve">The window starts at the </w:t>
      </w:r>
      <w:r w:rsidR="009E2AA2" w:rsidRPr="00B916EC">
        <w:rPr>
          <w:lang w:val="en-US"/>
        </w:rPr>
        <w:t xml:space="preserve">first </w:t>
      </w:r>
      <w:r w:rsidR="00A10623" w:rsidRPr="00B916EC">
        <w:rPr>
          <w:lang w:val="en-US"/>
        </w:rPr>
        <w:t xml:space="preserve">symbol of the earliest </w:t>
      </w:r>
      <w:r w:rsidR="00C76664">
        <w:rPr>
          <w:lang w:val="en-US"/>
        </w:rPr>
        <w:t>CORESET</w:t>
      </w:r>
      <w:r w:rsidR="00A10623" w:rsidRPr="00B916EC">
        <w:rPr>
          <w:lang w:val="en-US"/>
        </w:rPr>
        <w:t xml:space="preserve"> the UE is configured</w:t>
      </w:r>
      <w:r w:rsidR="007D3FC2">
        <w:rPr>
          <w:lang w:val="en-US"/>
        </w:rPr>
        <w:t xml:space="preserve"> to receive PDCCH</w:t>
      </w:r>
      <w:r w:rsidR="00A10623" w:rsidRPr="00B916EC">
        <w:rPr>
          <w:lang w:val="en-US"/>
        </w:rPr>
        <w:t xml:space="preserve"> for Type1-PDCCH </w:t>
      </w:r>
      <w:r w:rsidR="004B4835">
        <w:rPr>
          <w:lang w:val="en-US"/>
        </w:rPr>
        <w:t>CSS set</w:t>
      </w:r>
      <w:r w:rsidR="00A10623" w:rsidRPr="00B916EC">
        <w:rPr>
          <w:lang w:val="en-US"/>
        </w:rPr>
        <w:t xml:space="preserve">, as defined </w:t>
      </w:r>
      <w:r w:rsidR="006F5F9E">
        <w:rPr>
          <w:lang w:val="en-US"/>
        </w:rPr>
        <w:t>in clause</w:t>
      </w:r>
      <w:r w:rsidR="00B503CC">
        <w:rPr>
          <w:lang w:val="en-US"/>
        </w:rPr>
        <w:t xml:space="preserve"> 10.1</w:t>
      </w:r>
      <w:r w:rsidR="00A10623" w:rsidRPr="00B916EC">
        <w:rPr>
          <w:lang w:val="en-US"/>
        </w:rPr>
        <w:t>, that is</w:t>
      </w:r>
      <w:r w:rsidR="00D45594" w:rsidRPr="00B916EC">
        <w:rPr>
          <w:lang w:val="en-US"/>
        </w:rPr>
        <w:t xml:space="preserve"> </w:t>
      </w:r>
      <w:r w:rsidR="00E1218F">
        <w:rPr>
          <w:lang w:val="en-US"/>
        </w:rPr>
        <w:t>at least</w:t>
      </w:r>
      <w:r w:rsidR="007D3FC2">
        <w:rPr>
          <w:lang w:val="en-US"/>
        </w:rPr>
        <w:t xml:space="preserve"> one</w:t>
      </w:r>
      <w:r w:rsidR="00E1218F">
        <w:rPr>
          <w:lang w:val="en-US"/>
        </w:rPr>
        <w:t xml:space="preserve"> </w:t>
      </w:r>
      <w:r w:rsidR="00A10623" w:rsidRPr="00B916EC">
        <w:rPr>
          <w:lang w:val="en-US"/>
        </w:rPr>
        <w:t>symbol</w:t>
      </w:r>
      <w:r w:rsidR="007D3FC2">
        <w:rPr>
          <w:lang w:val="en-US"/>
        </w:rPr>
        <w:t>,</w:t>
      </w:r>
      <w:r w:rsidR="00A10623" w:rsidRPr="00B916EC">
        <w:rPr>
          <w:lang w:val="en-US"/>
        </w:rPr>
        <w:t xml:space="preserve"> after the last symbol of the </w:t>
      </w:r>
      <w:r w:rsidR="00697EFD">
        <w:rPr>
          <w:lang w:val="en-US"/>
        </w:rPr>
        <w:t xml:space="preserve">last </w:t>
      </w:r>
      <w:r w:rsidR="007D3FC2" w:rsidRPr="007F4984">
        <w:rPr>
          <w:lang w:val="en-US"/>
        </w:rPr>
        <w:t>P</w:t>
      </w:r>
      <w:r w:rsidR="007D3FC2" w:rsidRPr="007F4984">
        <w:t>RACH occasion corresponding to the</w:t>
      </w:r>
      <w:r w:rsidR="007D3FC2" w:rsidRPr="007F4984">
        <w:rPr>
          <w:lang w:val="en-US"/>
        </w:rPr>
        <w:t xml:space="preserve"> PRACH transmission, </w:t>
      </w:r>
      <w:r w:rsidR="007D3FC2" w:rsidRPr="007F4984">
        <w:t xml:space="preserve">where the symbol duration corresponds to the </w:t>
      </w:r>
      <w:r w:rsidR="00143099">
        <w:t>SCS</w:t>
      </w:r>
      <w:r w:rsidR="007D3FC2" w:rsidRPr="007F4984">
        <w:t xml:space="preserve"> for Type1-PDCCH </w:t>
      </w:r>
      <w:r w:rsidR="004B4835">
        <w:rPr>
          <w:lang w:val="en-US"/>
        </w:rPr>
        <w:t>CSS set</w:t>
      </w:r>
      <w:r w:rsidR="007D3FC2">
        <w:t xml:space="preserve"> as defined </w:t>
      </w:r>
      <w:r w:rsidR="006F5F9E">
        <w:t>in clause</w:t>
      </w:r>
      <w:r w:rsidR="007D3FC2">
        <w:t xml:space="preserve"> 10.1</w:t>
      </w:r>
      <w:r w:rsidR="00A10623" w:rsidRPr="00B916EC">
        <w:rPr>
          <w:lang w:val="en-US"/>
        </w:rPr>
        <w:t xml:space="preserve">. </w:t>
      </w:r>
      <w:r w:rsidR="007E56E4" w:rsidRPr="00FE56DB">
        <w:t>If</w:t>
      </w:r>
      <w:r w:rsidR="007E56E4" w:rsidRPr="00FE56DB">
        <w:rPr>
          <w:b/>
          <w:bCs/>
          <w:i/>
          <w:iCs/>
        </w:rPr>
        <w:t xml:space="preserve"> </w:t>
      </w:r>
      <m:oMath>
        <m:sSubSup>
          <m:sSubSupPr>
            <m:ctrlPr>
              <w:rPr>
                <w:rFonts w:ascii="Cambria Math" w:hAnsi="Cambria Math"/>
                <w:i/>
                <w:iCs/>
              </w:rPr>
            </m:ctrlPr>
          </m:sSubSupPr>
          <m:e>
            <m:r>
              <w:rPr>
                <w:rFonts w:ascii="Cambria Math" w:hAnsi="Cambria Math"/>
              </w:rPr>
              <m:t>N</m:t>
            </m:r>
          </m:e>
          <m:sub>
            <m:r>
              <m:rPr>
                <m:nor/>
              </m:rPr>
              <w:rPr>
                <w:lang w:val="en-US"/>
              </w:rPr>
              <m:t>TA,adj</m:t>
            </m:r>
          </m:sub>
          <m:sup>
            <m:r>
              <m:rPr>
                <m:nor/>
              </m:rPr>
              <w:rPr>
                <w:lang w:val="en-US"/>
              </w:rPr>
              <m:t>UE</m:t>
            </m:r>
          </m:sup>
        </m:sSubSup>
      </m:oMath>
      <w:r w:rsidR="007E56E4" w:rsidRPr="00FE56DB">
        <w:rPr>
          <w:b/>
          <w:bCs/>
          <w:i/>
          <w:iCs/>
        </w:rPr>
        <w:t xml:space="preserve"> </w:t>
      </w:r>
      <w:r w:rsidR="007E56E4" w:rsidRPr="00FE56DB">
        <w:t>or</w:t>
      </w:r>
      <w:r w:rsidR="007E56E4" w:rsidRPr="00FE56DB">
        <w:rPr>
          <w:b/>
          <w:bCs/>
          <w:i/>
          <w:iCs/>
        </w:rPr>
        <w:t xml:space="preserve"> </w:t>
      </w:r>
      <m:oMath>
        <m:sSubSup>
          <m:sSubSupPr>
            <m:ctrlPr>
              <w:rPr>
                <w:rFonts w:ascii="Cambria Math" w:hAnsi="Cambria Math"/>
                <w:i/>
                <w:iCs/>
              </w:rPr>
            </m:ctrlPr>
          </m:sSubSupPr>
          <m:e>
            <m:r>
              <w:rPr>
                <w:rFonts w:ascii="Cambria Math" w:hAnsi="Cambria Math"/>
              </w:rPr>
              <m:t>N</m:t>
            </m:r>
          </m:e>
          <m:sub>
            <m:r>
              <m:rPr>
                <m:nor/>
              </m:rPr>
              <w:rPr>
                <w:lang w:val="en-US"/>
              </w:rPr>
              <m:t>TA,adj</m:t>
            </m:r>
          </m:sub>
          <m:sup>
            <m:r>
              <m:rPr>
                <m:nor/>
              </m:rPr>
              <w:rPr>
                <w:lang w:val="en-US"/>
              </w:rPr>
              <m:t>common</m:t>
            </m:r>
          </m:sup>
        </m:sSubSup>
      </m:oMath>
      <w:r w:rsidR="007E56E4" w:rsidRPr="00FE56DB">
        <w:t>, as defined in [4, TS 38.211], is not zero,</w:t>
      </w:r>
      <w:r w:rsidR="007E56E4" w:rsidRPr="00FE56DB">
        <w:rPr>
          <w:iCs/>
        </w:rPr>
        <w:t xml:space="preserve"> the</w:t>
      </w:r>
      <w:r w:rsidR="00AD225C">
        <w:rPr>
          <w:iCs/>
        </w:rPr>
        <w:t xml:space="preserve"> </w:t>
      </w:r>
      <w:r w:rsidR="00AD225C" w:rsidRPr="00B916EC">
        <w:rPr>
          <w:lang w:val="en-US"/>
        </w:rPr>
        <w:t>window starts</w:t>
      </w:r>
      <w:r w:rsidR="00AD225C">
        <w:rPr>
          <w:lang w:val="en-US"/>
        </w:rPr>
        <w:t xml:space="preserve"> after an additional </w:t>
      </w:r>
      <m:oMath>
        <m:sSub>
          <m:sSubPr>
            <m:ctrlPr>
              <w:rPr>
                <w:rFonts w:ascii="Cambria Math" w:hAnsi="Cambria Math"/>
              </w:rPr>
            </m:ctrlPr>
          </m:sSubPr>
          <m:e>
            <m:r>
              <w:rPr>
                <w:rFonts w:ascii="Cambria Math" w:hAnsi="Cambria Math"/>
              </w:rPr>
              <m:t>T</m:t>
            </m:r>
          </m:e>
          <m:sub>
            <m:r>
              <m:rPr>
                <m:sty m:val="p"/>
              </m:rPr>
              <w:rPr>
                <w:rFonts w:ascii="Cambria Math" w:hAnsi="Cambria Math"/>
              </w:rPr>
              <m:t>TA</m:t>
            </m:r>
          </m:sub>
        </m:sSub>
        <m:r>
          <w:rPr>
            <w:rFonts w:ascii="Cambria Math" w:hAnsi="Cambria Math"/>
          </w:rPr>
          <m:t>+</m:t>
        </m:r>
        <m:sSub>
          <m:sSubPr>
            <m:ctrlPr>
              <w:rPr>
                <w:rFonts w:ascii="Cambria Math" w:hAnsi="Cambria Math"/>
                <w:i/>
              </w:rPr>
            </m:ctrlPr>
          </m:sSubPr>
          <m:e>
            <m:r>
              <w:rPr>
                <w:rFonts w:ascii="Cambria Math" w:hAnsi="Cambria Math"/>
              </w:rPr>
              <m:t>k</m:t>
            </m:r>
          </m:e>
          <m:sub>
            <m:r>
              <m:rPr>
                <m:sty m:val="p"/>
              </m:rPr>
              <w:rPr>
                <w:rFonts w:ascii="Cambria Math" w:hAnsi="Cambria Math"/>
              </w:rPr>
              <m:t>mac</m:t>
            </m:r>
          </m:sub>
        </m:sSub>
      </m:oMath>
      <w:r w:rsidR="00AD225C">
        <w:t xml:space="preserve"> msec where </w:t>
      </w:r>
      <m:oMath>
        <m:sSub>
          <m:sSubPr>
            <m:ctrlPr>
              <w:rPr>
                <w:rFonts w:ascii="Cambria Math" w:hAnsi="Cambria Math"/>
              </w:rPr>
            </m:ctrlPr>
          </m:sSubPr>
          <m:e>
            <m:r>
              <w:rPr>
                <w:rFonts w:ascii="Cambria Math" w:hAnsi="Cambria Math"/>
              </w:rPr>
              <m:t>T</m:t>
            </m:r>
          </m:e>
          <m:sub>
            <m:r>
              <m:rPr>
                <m:sty m:val="p"/>
              </m:rPr>
              <w:rPr>
                <w:rFonts w:ascii="Cambria Math" w:hAnsi="Cambria Math"/>
              </w:rPr>
              <m:t>TA</m:t>
            </m:r>
          </m:sub>
        </m:sSub>
      </m:oMath>
      <w:r w:rsidR="00AD225C">
        <w:rPr>
          <w:iCs/>
        </w:rPr>
        <w:t xml:space="preserve"> is defined in [4, TS 38.211] and</w:t>
      </w:r>
      <w:r w:rsidR="00AD225C">
        <w:rPr>
          <w:lang w:val="en-US"/>
        </w:rPr>
        <w:t xml:space="preserve"> </w:t>
      </w:r>
      <m:oMath>
        <m:sSub>
          <m:sSubPr>
            <m:ctrlPr>
              <w:rPr>
                <w:rFonts w:ascii="Cambria Math" w:hAnsi="Cambria Math"/>
                <w:i/>
              </w:rPr>
            </m:ctrlPr>
          </m:sSubPr>
          <m:e>
            <m:r>
              <w:rPr>
                <w:rFonts w:ascii="Cambria Math" w:hAnsi="Cambria Math"/>
              </w:rPr>
              <m:t>k</m:t>
            </m:r>
          </m:e>
          <m:sub>
            <m:r>
              <m:rPr>
                <m:sty m:val="p"/>
              </m:rPr>
              <w:rPr>
                <w:rFonts w:ascii="Cambria Math" w:hAnsi="Cambria Math"/>
              </w:rPr>
              <m:t>mac</m:t>
            </m:r>
          </m:sub>
        </m:sSub>
      </m:oMath>
      <w:r w:rsidR="00AD225C">
        <w:t xml:space="preserve"> is provided by </w:t>
      </w:r>
      <w:r w:rsidR="00E761DC">
        <w:rPr>
          <w:i/>
          <w:iCs/>
        </w:rPr>
        <w:t>kmac</w:t>
      </w:r>
      <w:r w:rsidR="00AD225C">
        <w:t xml:space="preserve"> </w:t>
      </w:r>
      <w:r w:rsidR="00AD225C">
        <w:rPr>
          <w:lang w:val="en-US"/>
        </w:rPr>
        <w:t xml:space="preserve">or </w:t>
      </w:r>
      <m:oMath>
        <m:sSub>
          <m:sSubPr>
            <m:ctrlPr>
              <w:rPr>
                <w:rFonts w:ascii="Cambria Math" w:hAnsi="Cambria Math"/>
                <w:i/>
              </w:rPr>
            </m:ctrlPr>
          </m:sSubPr>
          <m:e>
            <m:r>
              <w:rPr>
                <w:rFonts w:ascii="Cambria Math" w:hAnsi="Cambria Math"/>
              </w:rPr>
              <m:t>k</m:t>
            </m:r>
          </m:e>
          <m:sub>
            <m:r>
              <m:rPr>
                <m:sty m:val="p"/>
              </m:rPr>
              <w:rPr>
                <w:rFonts w:ascii="Cambria Math" w:hAnsi="Cambria Math"/>
              </w:rPr>
              <m:t>mac</m:t>
            </m:r>
          </m:sub>
        </m:sSub>
        <m:r>
          <w:rPr>
            <w:rFonts w:ascii="Cambria Math" w:hAnsi="Cambria Math"/>
          </w:rPr>
          <m:t>=0</m:t>
        </m:r>
      </m:oMath>
      <w:r w:rsidR="00AD225C">
        <w:t xml:space="preserve"> if </w:t>
      </w:r>
      <w:r w:rsidR="00E761DC">
        <w:rPr>
          <w:i/>
          <w:iCs/>
        </w:rPr>
        <w:t>kmac</w:t>
      </w:r>
      <w:r w:rsidR="00AD225C">
        <w:t xml:space="preserve"> is not provided.</w:t>
      </w:r>
      <w:r w:rsidR="009630C1">
        <w:t xml:space="preserve"> </w:t>
      </w:r>
      <w:r w:rsidR="00A10623" w:rsidRPr="00B916EC">
        <w:rPr>
          <w:lang w:val="en-US"/>
        </w:rPr>
        <w:t xml:space="preserve">The length of the window </w:t>
      </w:r>
      <w:r w:rsidR="00485EBE" w:rsidRPr="00B916EC">
        <w:rPr>
          <w:lang w:val="en-US"/>
        </w:rPr>
        <w:t>in number of slots</w:t>
      </w:r>
      <w:r w:rsidR="000E390B" w:rsidRPr="00B916EC">
        <w:rPr>
          <w:lang w:val="en-US"/>
        </w:rPr>
        <w:t xml:space="preserve">, based on the </w:t>
      </w:r>
      <w:r w:rsidR="00143099">
        <w:rPr>
          <w:lang w:val="en-US"/>
        </w:rPr>
        <w:t>SCS</w:t>
      </w:r>
      <w:r w:rsidR="000E390B" w:rsidRPr="00B916EC">
        <w:rPr>
          <w:lang w:val="en-US"/>
        </w:rPr>
        <w:t xml:space="preserve"> for </w:t>
      </w:r>
      <w:r w:rsidR="005B74DE" w:rsidRPr="00B916EC">
        <w:rPr>
          <w:lang w:val="en-US"/>
        </w:rPr>
        <w:t>Type</w:t>
      </w:r>
      <w:r w:rsidR="005B74DE">
        <w:rPr>
          <w:lang w:val="en-US"/>
        </w:rPr>
        <w:t>1</w:t>
      </w:r>
      <w:r w:rsidR="000E390B" w:rsidRPr="00B916EC">
        <w:rPr>
          <w:lang w:val="en-US"/>
        </w:rPr>
        <w:t xml:space="preserve">-PDCCH </w:t>
      </w:r>
      <w:r w:rsidR="004B4835">
        <w:rPr>
          <w:lang w:val="en-US"/>
        </w:rPr>
        <w:t>CSS set</w:t>
      </w:r>
      <w:r w:rsidR="000E390B" w:rsidRPr="00B916EC">
        <w:rPr>
          <w:lang w:val="en-US"/>
        </w:rPr>
        <w:t>,</w:t>
      </w:r>
      <w:r w:rsidR="00485EBE" w:rsidRPr="00B916EC">
        <w:rPr>
          <w:lang w:val="en-US"/>
        </w:rPr>
        <w:t xml:space="preserve"> </w:t>
      </w:r>
      <w:r w:rsidR="00A10623" w:rsidRPr="00B916EC">
        <w:rPr>
          <w:lang w:val="en-US"/>
        </w:rPr>
        <w:t xml:space="preserve">is provided by </w:t>
      </w:r>
      <w:bookmarkStart w:id="368" w:name="_Hlk505324461"/>
      <w:r w:rsidR="005B74DE" w:rsidRPr="0027104D">
        <w:rPr>
          <w:i/>
        </w:rPr>
        <w:t>ra-ResponseWindow</w:t>
      </w:r>
      <w:bookmarkEnd w:id="368"/>
      <w:r w:rsidR="00A10623" w:rsidRPr="00B916EC">
        <w:rPr>
          <w:lang w:val="en-US"/>
        </w:rPr>
        <w:t xml:space="preserve">. </w:t>
      </w:r>
    </w:p>
    <w:p w14:paraId="371AF827" w14:textId="6F842BC3" w:rsidR="005B74DE" w:rsidRDefault="00E1218F" w:rsidP="00E1218F">
      <w:r w:rsidRPr="00B916EC">
        <w:lastRenderedPageBreak/>
        <w:t xml:space="preserve">If </w:t>
      </w:r>
      <w:r w:rsidR="007D3FC2">
        <w:t>the</w:t>
      </w:r>
      <w:r w:rsidR="007D3FC2" w:rsidRPr="00B916EC">
        <w:t xml:space="preserve"> </w:t>
      </w:r>
      <w:r w:rsidRPr="00B916EC">
        <w:t xml:space="preserve">UE detects the </w:t>
      </w:r>
      <w:r w:rsidR="005B74DE">
        <w:t>DCI format 1_0</w:t>
      </w:r>
      <w:r w:rsidRPr="00B916EC">
        <w:t xml:space="preserve"> with </w:t>
      </w:r>
      <w:r w:rsidR="005B74DE">
        <w:t xml:space="preserve">CRC scrambled by </w:t>
      </w:r>
      <w:r w:rsidRPr="00B916EC">
        <w:t>the corresponding RA-RNTI</w:t>
      </w:r>
      <w:r w:rsidR="00173EDA">
        <w:t xml:space="preserve"> and LSBs of a SFN field in the DCI format 1_0, if included and applicable, are same as corresponding LSBs of the SFN where the UE transmitted PRACH,</w:t>
      </w:r>
      <w:r w:rsidRPr="00B916EC">
        <w:t xml:space="preserve"> and </w:t>
      </w:r>
      <w:r w:rsidR="00173EDA">
        <w:t xml:space="preserve">the UE receives </w:t>
      </w:r>
      <w:r w:rsidRPr="00B916EC">
        <w:t>a transport block</w:t>
      </w:r>
      <w:r w:rsidR="006B3C59">
        <w:t xml:space="preserve"> </w:t>
      </w:r>
      <w:r w:rsidR="006B3C59" w:rsidRPr="007F4984">
        <w:t>in a corresponding PDSCH</w:t>
      </w:r>
      <w:r w:rsidRPr="00B916EC">
        <w:t xml:space="preserve"> within the window, the UE passes the transport block to higher layers. The higher layers parse the transport block </w:t>
      </w:r>
      <w:r>
        <w:t>for a random access preamble identity (RAPID) associated with the PRACH transmission. If the higher layers identify the RAPID in RAR message(s) of the transport block,</w:t>
      </w:r>
      <w:r w:rsidRPr="00B916EC">
        <w:t xml:space="preserve"> </w:t>
      </w:r>
      <w:r>
        <w:t xml:space="preserve">the higher layers </w:t>
      </w:r>
      <w:r w:rsidRPr="00B916EC">
        <w:t xml:space="preserve">indicate </w:t>
      </w:r>
      <w:r>
        <w:t>an</w:t>
      </w:r>
      <w:r w:rsidRPr="00B916EC">
        <w:t xml:space="preserve"> </w:t>
      </w:r>
      <w:r w:rsidRPr="00B916EC">
        <w:rPr>
          <w:sz w:val="19"/>
          <w:szCs w:val="19"/>
        </w:rPr>
        <w:t>uplink</w:t>
      </w:r>
      <w:r w:rsidRPr="00B916EC">
        <w:t xml:space="preserve"> grant to the physical layer. </w:t>
      </w:r>
      <w:r w:rsidRPr="00B916EC">
        <w:rPr>
          <w:rFonts w:hint="eastAsia"/>
        </w:rPr>
        <w:t xml:space="preserve">This is referred to </w:t>
      </w:r>
      <w:r w:rsidRPr="00B916EC">
        <w:t>as</w:t>
      </w:r>
      <w:r w:rsidRPr="00B916EC">
        <w:rPr>
          <w:rFonts w:hint="eastAsia"/>
        </w:rPr>
        <w:t xml:space="preserve"> </w:t>
      </w:r>
      <w:r w:rsidRPr="00B916EC">
        <w:t>r</w:t>
      </w:r>
      <w:r w:rsidRPr="00B916EC">
        <w:rPr>
          <w:rFonts w:hint="eastAsia"/>
        </w:rPr>
        <w:t xml:space="preserve">andom </w:t>
      </w:r>
      <w:r w:rsidRPr="00B916EC">
        <w:t>a</w:t>
      </w:r>
      <w:r w:rsidRPr="00B916EC">
        <w:rPr>
          <w:rFonts w:hint="eastAsia"/>
        </w:rPr>
        <w:t xml:space="preserve">ccess </w:t>
      </w:r>
      <w:r w:rsidRPr="00B916EC">
        <w:t>r</w:t>
      </w:r>
      <w:r w:rsidRPr="00B916EC">
        <w:rPr>
          <w:rFonts w:hint="eastAsia"/>
        </w:rPr>
        <w:t xml:space="preserve">esponse </w:t>
      </w:r>
      <w:r w:rsidRPr="00B916EC">
        <w:t xml:space="preserve">(RAR) </w:t>
      </w:r>
      <w:r>
        <w:t xml:space="preserve">UL </w:t>
      </w:r>
      <w:r w:rsidRPr="00B916EC">
        <w:t>g</w:t>
      </w:r>
      <w:r w:rsidRPr="00B916EC">
        <w:rPr>
          <w:rFonts w:hint="eastAsia"/>
        </w:rPr>
        <w:t>rant in the physical layer.</w:t>
      </w:r>
      <w:r w:rsidRPr="00B916EC">
        <w:t xml:space="preserve"> </w:t>
      </w:r>
    </w:p>
    <w:p w14:paraId="20AEB69A" w14:textId="575420FC" w:rsidR="005B74DE" w:rsidRPr="000E5DEF" w:rsidRDefault="005B74DE" w:rsidP="005B74DE">
      <w:pPr>
        <w:rPr>
          <w:lang w:val="en-US"/>
        </w:rPr>
      </w:pPr>
      <w:r>
        <w:t xml:space="preserve">If the UE does not detect the DCI format 1_0 </w:t>
      </w:r>
      <w:r w:rsidRPr="00B916EC">
        <w:t xml:space="preserve">with </w:t>
      </w:r>
      <w:r>
        <w:t xml:space="preserve">CRC scrambled by </w:t>
      </w:r>
      <w:r w:rsidRPr="00B916EC">
        <w:t xml:space="preserve">the corresponding RA-RNTI </w:t>
      </w:r>
      <w:r>
        <w:t xml:space="preserve">within the window, </w:t>
      </w:r>
      <w:r w:rsidR="00173EDA">
        <w:t xml:space="preserve">or if the UE detects the DCI format 1_0 with CRC scrambled by the corresponding RA-RNTI within the window and LSBs of a SFN field in the DCI format 1_0, if included and applicable, are not same as corresponding LSBs of the SFN where the UE transmitted PRACH, </w:t>
      </w:r>
      <w:r>
        <w:t>or if the UE does not correctly receive the transport block in the</w:t>
      </w:r>
      <w:r w:rsidR="006B3C59">
        <w:t xml:space="preserve"> </w:t>
      </w:r>
      <w:r w:rsidR="006B3C59" w:rsidRPr="007F4984">
        <w:t>corresponding</w:t>
      </w:r>
      <w:r>
        <w:t xml:space="preserve"> PDSCH within the window, or if the higher layers do not identify the RAPID associated with the PRACH transmission</w:t>
      </w:r>
      <w:r w:rsidR="006B3C59">
        <w:t xml:space="preserve"> from the UE</w:t>
      </w:r>
      <w:r>
        <w:t xml:space="preserve">, the higher layers can indicate to the physical layer to transmit a PRACH. </w:t>
      </w:r>
      <w:r>
        <w:rPr>
          <w:lang w:val="en-US"/>
        </w:rPr>
        <w:t xml:space="preserve">If requested by higher layers, </w:t>
      </w:r>
      <w:r>
        <w:t xml:space="preserve">the </w:t>
      </w:r>
      <w:r w:rsidRPr="00C1639F">
        <w:t xml:space="preserve">UE </w:t>
      </w:r>
      <w:r w:rsidR="005D78E0" w:rsidRPr="00C1639F">
        <w:rPr>
          <w:rFonts w:eastAsia="DengXian"/>
        </w:rPr>
        <w:t>shall be ready</w:t>
      </w:r>
      <w:r w:rsidRPr="00C1639F">
        <w:t xml:space="preserve"> to transmit a PRACH no later than </w:t>
      </w:r>
      <m:oMath>
        <m:sSub>
          <m:sSubPr>
            <m:ctrlPr>
              <w:rPr>
                <w:rFonts w:ascii="Cambria Math" w:hAnsi="Cambria Math"/>
                <w:i/>
              </w:rPr>
            </m:ctrlPr>
          </m:sSubPr>
          <m:e>
            <m:r>
              <w:rPr>
                <w:rFonts w:ascii="Cambria Math"/>
              </w:rPr>
              <m:t>N</m:t>
            </m:r>
          </m:e>
          <m:sub>
            <m:r>
              <w:rPr>
                <w:rFonts w:ascii="Cambria Math" w:hAnsi="Cambria Math"/>
              </w:rPr>
              <m:t>T,1</m:t>
            </m:r>
          </m:sub>
        </m:sSub>
        <m:r>
          <w:rPr>
            <w:rFonts w:ascii="Cambria Math" w:hAnsi="Cambria Math"/>
          </w:rPr>
          <m:t>+0.75</m:t>
        </m:r>
      </m:oMath>
      <w:r w:rsidRPr="00C1639F">
        <w:t xml:space="preserve"> </w:t>
      </w:r>
      <w:r w:rsidRPr="00C1639F">
        <w:rPr>
          <w:lang w:val="en-US"/>
        </w:rPr>
        <w:t xml:space="preserve">msec </w:t>
      </w:r>
      <w:r w:rsidRPr="00C1639F">
        <w:t xml:space="preserve">after the last symbol of the window, or the last </w:t>
      </w:r>
      <w:r>
        <w:t>symbol of the PDSCH reception,</w:t>
      </w:r>
      <w:r>
        <w:rPr>
          <w:lang w:val="en-US"/>
        </w:rPr>
        <w:t xml:space="preserve"> where </w:t>
      </w:r>
      <m:oMath>
        <m:sSub>
          <m:sSubPr>
            <m:ctrlPr>
              <w:rPr>
                <w:rFonts w:ascii="Cambria Math" w:hAnsi="Cambria Math"/>
                <w:i/>
              </w:rPr>
            </m:ctrlPr>
          </m:sSubPr>
          <m:e>
            <m:r>
              <w:rPr>
                <w:rFonts w:ascii="Cambria Math"/>
              </w:rPr>
              <m:t>N</m:t>
            </m:r>
          </m:e>
          <m:sub>
            <m:r>
              <w:rPr>
                <w:rFonts w:ascii="Cambria Math" w:hAnsi="Cambria Math"/>
              </w:rPr>
              <m:t>T,1</m:t>
            </m:r>
          </m:sub>
        </m:sSub>
      </m:oMath>
      <w:r w:rsidR="003A3F31" w:rsidRPr="007F4984">
        <w:t xml:space="preserve"> is a time duration of </w:t>
      </w:r>
      <m:oMath>
        <m:sSub>
          <m:sSubPr>
            <m:ctrlPr>
              <w:rPr>
                <w:rFonts w:ascii="Cambria Math" w:hAnsi="Cambria Math"/>
                <w:i/>
              </w:rPr>
            </m:ctrlPr>
          </m:sSubPr>
          <m:e>
            <m:r>
              <w:rPr>
                <w:rFonts w:ascii="Cambria Math"/>
              </w:rPr>
              <m:t>N</m:t>
            </m:r>
          </m:e>
          <m:sub>
            <m:r>
              <w:rPr>
                <w:rFonts w:ascii="Cambria Math" w:hAnsi="Cambria Math"/>
              </w:rPr>
              <m:t>1</m:t>
            </m:r>
          </m:sub>
        </m:sSub>
      </m:oMath>
      <w:r w:rsidR="003A3F31" w:rsidRPr="007F4984">
        <w:t xml:space="preserve"> </w:t>
      </w:r>
      <w:r>
        <w:t xml:space="preserve">symbols corresponding to a PDSCH </w:t>
      </w:r>
      <w:r w:rsidR="003943AF">
        <w:t>processing</w:t>
      </w:r>
      <w:r>
        <w:t xml:space="preserve"> time</w:t>
      </w:r>
      <w:r w:rsidRPr="0088442C">
        <w:t xml:space="preserve"> </w:t>
      </w:r>
      <w:r>
        <w:t xml:space="preserve">for </w:t>
      </w:r>
      <w:r w:rsidR="006B3C59">
        <w:t>UE</w:t>
      </w:r>
      <w:r>
        <w:t xml:space="preserve"> processing capability 1 </w:t>
      </w:r>
      <w:r w:rsidR="00A47E6B">
        <w:rPr>
          <w:rFonts w:hint="eastAsia"/>
          <w:lang w:eastAsia="zh-CN"/>
        </w:rPr>
        <w:t xml:space="preserve">assuming </w:t>
      </w:r>
      <w:bookmarkStart w:id="369" w:name="OLE_LINK6"/>
      <w:bookmarkStart w:id="370" w:name="OLE_LINK7"/>
      <m:oMath>
        <m:r>
          <w:rPr>
            <w:rFonts w:ascii="Cambria Math" w:hAnsi="Cambria Math"/>
            <w:lang w:eastAsia="zh-CN"/>
          </w:rPr>
          <m:t>μ</m:t>
        </m:r>
      </m:oMath>
      <w:r w:rsidR="00A47E6B">
        <w:rPr>
          <w:rFonts w:eastAsia="DengXian" w:hint="eastAsia"/>
          <w:lang w:eastAsia="zh-CN"/>
        </w:rPr>
        <w:t xml:space="preserve"> corresponds to the smallest SCS configuration</w:t>
      </w:r>
      <w:bookmarkEnd w:id="369"/>
      <w:bookmarkEnd w:id="370"/>
      <w:r w:rsidR="00A47E6B">
        <w:rPr>
          <w:rFonts w:eastAsia="DengXian" w:hint="eastAsia"/>
          <w:lang w:eastAsia="zh-CN"/>
        </w:rPr>
        <w:t xml:space="preserve"> </w:t>
      </w:r>
      <w:r w:rsidR="00A47E6B">
        <w:rPr>
          <w:lang w:eastAsia="zh-CN"/>
        </w:rPr>
        <w:t>among</w:t>
      </w:r>
      <w:r w:rsidR="00A47E6B">
        <w:rPr>
          <w:rFonts w:eastAsia="DengXian" w:hint="eastAsia"/>
          <w:lang w:eastAsia="zh-CN"/>
        </w:rPr>
        <w:t xml:space="preserve"> the SCS configuration</w:t>
      </w:r>
      <w:r w:rsidR="00A47E6B">
        <w:rPr>
          <w:rFonts w:eastAsia="DengXian"/>
          <w:lang w:eastAsia="zh-CN"/>
        </w:rPr>
        <w:t xml:space="preserve">s for </w:t>
      </w:r>
      <w:r w:rsidR="00A47E6B">
        <w:rPr>
          <w:rFonts w:eastAsia="DengXian" w:hint="eastAsia"/>
          <w:lang w:eastAsia="zh-CN"/>
        </w:rPr>
        <w:t>the PDCCH carrying the DCI format 1_0</w:t>
      </w:r>
      <w:r w:rsidR="00A47E6B">
        <w:rPr>
          <w:rFonts w:eastAsia="DengXian"/>
          <w:lang w:eastAsia="zh-CN"/>
        </w:rPr>
        <w:t>,</w:t>
      </w:r>
      <w:r w:rsidR="00A47E6B">
        <w:rPr>
          <w:rFonts w:eastAsia="DengXian" w:hint="eastAsia"/>
          <w:lang w:eastAsia="zh-CN"/>
        </w:rPr>
        <w:t xml:space="preserve"> the </w:t>
      </w:r>
      <w:r w:rsidR="00A47E6B" w:rsidRPr="007F4984">
        <w:t>corresponding</w:t>
      </w:r>
      <w:r w:rsidR="00A47E6B">
        <w:t xml:space="preserve"> PDSCH </w:t>
      </w:r>
      <w:r>
        <w:t>when additional PDSCH DM-RS is configured</w:t>
      </w:r>
      <w:r w:rsidR="00A47E6B">
        <w:t>, and the corresponding PRACH</w:t>
      </w:r>
      <w:r>
        <w:rPr>
          <w:lang w:val="en-US"/>
        </w:rPr>
        <w:t>.</w:t>
      </w:r>
      <w:r w:rsidR="008F0A54">
        <w:rPr>
          <w:lang w:val="en-US"/>
        </w:rPr>
        <w:t xml:space="preserve"> </w:t>
      </w:r>
      <w:r w:rsidR="008F0A54">
        <w:t xml:space="preserve">For </w:t>
      </w:r>
      <m:oMath>
        <m:r>
          <w:rPr>
            <w:rFonts w:ascii="Cambria Math" w:hAnsi="Cambria Math"/>
            <w:lang w:eastAsia="zh-CN"/>
          </w:rPr>
          <m:t>μ=0</m:t>
        </m:r>
      </m:oMath>
      <w:r w:rsidR="008F0A54">
        <w:t xml:space="preserve">, the UE assumes </w:t>
      </w:r>
      <m:oMath>
        <m:sSub>
          <m:sSubPr>
            <m:ctrlPr>
              <w:rPr>
                <w:rFonts w:ascii="Cambria Math" w:hAnsi="Cambria Math"/>
                <w:i/>
              </w:rPr>
            </m:ctrlPr>
          </m:sSubPr>
          <m:e>
            <m:r>
              <w:rPr>
                <w:rFonts w:ascii="Cambria Math"/>
              </w:rPr>
              <m:t>N</m:t>
            </m:r>
          </m:e>
          <m:sub>
            <m:r>
              <w:rPr>
                <w:rFonts w:ascii="Cambria Math" w:hAnsi="Cambria Math"/>
              </w:rPr>
              <m:t>1,0</m:t>
            </m:r>
          </m:sub>
        </m:sSub>
        <m:r>
          <w:rPr>
            <w:rFonts w:ascii="Cambria Math" w:hAnsi="Cambria Math"/>
          </w:rPr>
          <m:t>=14</m:t>
        </m:r>
      </m:oMath>
      <w:r w:rsidR="008F0A54">
        <w:t xml:space="preserve"> [6, TS 38.214]</w:t>
      </w:r>
      <w:r w:rsidR="008F0A54">
        <w:rPr>
          <w:lang w:val="en-US"/>
        </w:rPr>
        <w:t>.</w:t>
      </w:r>
      <w:r w:rsidR="00A47E6B">
        <w:rPr>
          <w:lang w:val="en-US"/>
        </w:rPr>
        <w:t xml:space="preserve"> For a PRACH transmission using 1.25 kHz or 5 kHz SCS, the UE determines </w:t>
      </w:r>
      <m:oMath>
        <m:sSub>
          <m:sSubPr>
            <m:ctrlPr>
              <w:rPr>
                <w:rFonts w:ascii="Cambria Math" w:hAnsi="Cambria Math"/>
                <w:i/>
              </w:rPr>
            </m:ctrlPr>
          </m:sSubPr>
          <m:e>
            <m:r>
              <w:rPr>
                <w:rFonts w:ascii="Cambria Math"/>
              </w:rPr>
              <m:t>N</m:t>
            </m:r>
          </m:e>
          <m:sub>
            <m:r>
              <w:rPr>
                <w:rFonts w:ascii="Cambria Math" w:hAnsi="Cambria Math"/>
              </w:rPr>
              <m:t>1</m:t>
            </m:r>
          </m:sub>
        </m:sSub>
      </m:oMath>
      <w:r w:rsidR="00A47E6B">
        <w:t xml:space="preserve"> assuming SCS configuration </w:t>
      </w:r>
      <m:oMath>
        <m:r>
          <w:rPr>
            <w:rFonts w:ascii="Cambria Math" w:hAnsi="Cambria Math"/>
            <w:lang w:eastAsia="zh-CN"/>
          </w:rPr>
          <m:t>μ=0</m:t>
        </m:r>
      </m:oMath>
      <w:r w:rsidR="00A47E6B">
        <w:t>.</w:t>
      </w:r>
    </w:p>
    <w:p w14:paraId="69A001E4" w14:textId="5200423E" w:rsidR="00AB5B8F" w:rsidRDefault="005B74DE" w:rsidP="005B74DE">
      <w:r>
        <w:t xml:space="preserve">If </w:t>
      </w:r>
      <w:r w:rsidR="006B3C59">
        <w:t>the</w:t>
      </w:r>
      <w:r w:rsidR="006B3C59" w:rsidRPr="00B916EC">
        <w:t xml:space="preserve"> </w:t>
      </w:r>
      <w:r w:rsidRPr="00B916EC">
        <w:t xml:space="preserve">UE </w:t>
      </w:r>
      <w:r>
        <w:t>detects a DCI format 1_0</w:t>
      </w:r>
      <w:r w:rsidRPr="00B916EC">
        <w:t xml:space="preserve"> with </w:t>
      </w:r>
      <w:r>
        <w:t xml:space="preserve">CRC scrambled by </w:t>
      </w:r>
      <w:r w:rsidRPr="00B916EC">
        <w:t xml:space="preserve">the corresponding RA-RNTI </w:t>
      </w:r>
      <w:r w:rsidR="00173EDA">
        <w:t xml:space="preserve">and LSBs of a SFN field in the DCI format 1_0, if included and applicable, are same as corresponding LSBs of the SFN where the UE transmitted the PRACH, </w:t>
      </w:r>
      <w:r w:rsidRPr="00B916EC">
        <w:t>and</w:t>
      </w:r>
      <w:r w:rsidR="00173EDA">
        <w:t xml:space="preserve"> the UE</w:t>
      </w:r>
      <w:r w:rsidRPr="00B916EC">
        <w:t xml:space="preserve"> </w:t>
      </w:r>
      <w:r>
        <w:t xml:space="preserve">receives </w:t>
      </w:r>
      <w:r w:rsidR="006B3C59">
        <w:t xml:space="preserve">a </w:t>
      </w:r>
      <w:r w:rsidR="006B3C59" w:rsidRPr="00297EDF">
        <w:t>transport block in a</w:t>
      </w:r>
      <w:r w:rsidR="006B3C59" w:rsidRPr="00B916EC">
        <w:t xml:space="preserve"> </w:t>
      </w:r>
      <w:r>
        <w:t xml:space="preserve">corresponding </w:t>
      </w:r>
      <w:r w:rsidRPr="00B916EC">
        <w:t>PDSCH</w:t>
      </w:r>
      <w:r>
        <w:t>, the UE may assume</w:t>
      </w:r>
      <w:r w:rsidRPr="00B916EC">
        <w:t xml:space="preserve"> </w:t>
      </w:r>
      <w:r>
        <w:t xml:space="preserve">same </w:t>
      </w:r>
      <w:r w:rsidRPr="00B916EC">
        <w:t>DM</w:t>
      </w:r>
      <w:r>
        <w:t>-</w:t>
      </w:r>
      <w:r w:rsidRPr="00B916EC">
        <w:t>RS antenna port quasi</w:t>
      </w:r>
      <w:r>
        <w:t xml:space="preserve"> </w:t>
      </w:r>
      <w:r w:rsidRPr="00B916EC">
        <w:t>co</w:t>
      </w:r>
      <w:r>
        <w:t>-</w:t>
      </w:r>
      <w:r w:rsidRPr="00B916EC">
        <w:t>location properties</w:t>
      </w:r>
      <w:r>
        <w:t>,</w:t>
      </w:r>
      <w:r w:rsidRPr="00B916EC">
        <w:t xml:space="preserve"> as described in [6,</w:t>
      </w:r>
      <w:r w:rsidR="00B8348F">
        <w:t xml:space="preserve"> TS</w:t>
      </w:r>
      <w:r w:rsidRPr="00B916EC">
        <w:t xml:space="preserve"> 38.214]</w:t>
      </w:r>
      <w:r>
        <w:t>, as for a SS/</w:t>
      </w:r>
      <w:r w:rsidRPr="00B916EC">
        <w:t>PBCH</w:t>
      </w:r>
      <w:r>
        <w:t xml:space="preserve"> block or a CSI-RS resource the UE used for PRACH association</w:t>
      </w:r>
      <w:r w:rsidR="006B3C59">
        <w:t>,</w:t>
      </w:r>
      <w:r>
        <w:t xml:space="preserve"> as described </w:t>
      </w:r>
      <w:r w:rsidR="006F5F9E">
        <w:t>in clause</w:t>
      </w:r>
      <w:r>
        <w:t xml:space="preserve"> 8.1</w:t>
      </w:r>
      <w:r w:rsidR="006B3C59" w:rsidRPr="007F4984">
        <w:rPr>
          <w:rFonts w:hint="eastAsia"/>
          <w:lang w:eastAsia="zh-CN"/>
        </w:rPr>
        <w:t>, regardless of whether or not th</w:t>
      </w:r>
      <w:r w:rsidR="006B3C59" w:rsidRPr="007F4984">
        <w:rPr>
          <w:lang w:eastAsia="zh-CN"/>
        </w:rPr>
        <w:t>e UE is provided</w:t>
      </w:r>
      <w:r w:rsidR="006B3C59" w:rsidRPr="007F4984">
        <w:rPr>
          <w:rFonts w:hint="eastAsia"/>
          <w:lang w:eastAsia="zh-CN"/>
        </w:rPr>
        <w:t xml:space="preserve"> </w:t>
      </w:r>
      <w:r w:rsidR="006B3C59" w:rsidRPr="007F4984">
        <w:rPr>
          <w:i/>
        </w:rPr>
        <w:t>TCI-State</w:t>
      </w:r>
      <w:r w:rsidR="006B3C59" w:rsidRPr="007F4984">
        <w:rPr>
          <w:lang w:eastAsia="zh-CN"/>
        </w:rPr>
        <w:t xml:space="preserve"> </w:t>
      </w:r>
      <w:r w:rsidR="006B3C59" w:rsidRPr="007F4984">
        <w:rPr>
          <w:rFonts w:hint="eastAsia"/>
          <w:lang w:eastAsia="zh-CN"/>
        </w:rPr>
        <w:t>f</w:t>
      </w:r>
      <w:r w:rsidR="006B3C59" w:rsidRPr="007F4984">
        <w:rPr>
          <w:lang w:eastAsia="zh-CN"/>
        </w:rPr>
        <w:t xml:space="preserve">or the </w:t>
      </w:r>
      <w:r w:rsidR="00C76664">
        <w:rPr>
          <w:lang w:eastAsia="zh-CN"/>
        </w:rPr>
        <w:t>CORESET</w:t>
      </w:r>
      <w:r w:rsidR="006B3C59" w:rsidRPr="007F4984">
        <w:rPr>
          <w:lang w:eastAsia="zh-CN"/>
        </w:rPr>
        <w:t xml:space="preserve"> where the UE receives the PDCCH with the DCI format 1_0</w:t>
      </w:r>
      <w:r w:rsidRPr="00B916EC">
        <w:t>.</w:t>
      </w:r>
      <w:r>
        <w:t xml:space="preserve"> </w:t>
      </w:r>
    </w:p>
    <w:p w14:paraId="3A7580C3" w14:textId="048C339B" w:rsidR="005B74DE" w:rsidRDefault="005B74DE" w:rsidP="005B74DE">
      <w:r>
        <w:t xml:space="preserve">If the </w:t>
      </w:r>
      <w:r w:rsidRPr="00B916EC">
        <w:rPr>
          <w:lang w:val="en-US"/>
        </w:rPr>
        <w:t>UE attempts to detect</w:t>
      </w:r>
      <w:r>
        <w:t xml:space="preserve"> the</w:t>
      </w:r>
      <w:r w:rsidRPr="00B916EC">
        <w:t xml:space="preserve"> </w:t>
      </w:r>
      <w:r>
        <w:t>DCI format 1_0</w:t>
      </w:r>
      <w:r w:rsidRPr="00B916EC">
        <w:t xml:space="preserve"> with </w:t>
      </w:r>
      <w:r>
        <w:t>CRC scrambled by the</w:t>
      </w:r>
      <w:r w:rsidRPr="00B916EC">
        <w:t xml:space="preserve"> corresponding RA-RNTI</w:t>
      </w:r>
      <w:r>
        <w:t xml:space="preserve"> in response to a PRACH transmission initiated by a PDCCH order that triggers </w:t>
      </w:r>
      <w:r w:rsidR="006B3C59">
        <w:t xml:space="preserve">a </w:t>
      </w:r>
      <w:r>
        <w:t>contention</w:t>
      </w:r>
      <w:r w:rsidR="003943AF">
        <w:t>-free</w:t>
      </w:r>
      <w:r>
        <w:t xml:space="preserve"> random access procedure</w:t>
      </w:r>
      <w:r w:rsidR="003C0B8D" w:rsidRPr="008C605A">
        <w:rPr>
          <w:rFonts w:eastAsia="MS Mincho" w:hint="eastAsia"/>
          <w:lang w:eastAsia="ja-JP"/>
        </w:rPr>
        <w:t xml:space="preserve"> </w:t>
      </w:r>
      <w:r w:rsidR="003C0B8D">
        <w:rPr>
          <w:rFonts w:eastAsia="MS Mincho" w:hint="eastAsia"/>
          <w:lang w:eastAsia="ja-JP"/>
        </w:rPr>
        <w:t>for the SpCell [11, TS 38.321]</w:t>
      </w:r>
      <w:r>
        <w:t xml:space="preserve">, the UE may assume that the PDCCH </w:t>
      </w:r>
      <w:r w:rsidR="006B3C59" w:rsidRPr="007F4984">
        <w:t xml:space="preserve">that includes the DCI format 1_0 </w:t>
      </w:r>
      <w:r>
        <w:t xml:space="preserve">and the PDCCH order have same </w:t>
      </w:r>
      <w:r w:rsidRPr="00B916EC">
        <w:t>DM</w:t>
      </w:r>
      <w:r>
        <w:t>-</w:t>
      </w:r>
      <w:r w:rsidRPr="00B916EC">
        <w:t>RS antenna port quasi</w:t>
      </w:r>
      <w:r>
        <w:t xml:space="preserve"> </w:t>
      </w:r>
      <w:r w:rsidRPr="00B916EC">
        <w:t>co</w:t>
      </w:r>
      <w:r>
        <w:t>-</w:t>
      </w:r>
      <w:r w:rsidRPr="00B916EC">
        <w:t>location properties</w:t>
      </w:r>
      <w:r>
        <w:t>.</w:t>
      </w:r>
      <w:r w:rsidR="003C0B8D">
        <w:t xml:space="preserve"> If the </w:t>
      </w:r>
      <w:r w:rsidR="003C0B8D" w:rsidRPr="00B916EC">
        <w:rPr>
          <w:lang w:val="en-US"/>
        </w:rPr>
        <w:t>UE attempts to detect</w:t>
      </w:r>
      <w:r w:rsidR="003C0B8D">
        <w:t xml:space="preserve"> the</w:t>
      </w:r>
      <w:r w:rsidR="003C0B8D" w:rsidRPr="00B916EC">
        <w:t xml:space="preserve"> </w:t>
      </w:r>
      <w:r w:rsidR="003C0B8D">
        <w:t>DCI format 1_0</w:t>
      </w:r>
      <w:r w:rsidR="003C0B8D" w:rsidRPr="00B916EC">
        <w:t xml:space="preserve"> with </w:t>
      </w:r>
      <w:r w:rsidR="003C0B8D">
        <w:t>CRC scrambled by the</w:t>
      </w:r>
      <w:r w:rsidR="003C0B8D" w:rsidRPr="00B916EC">
        <w:t xml:space="preserve"> corresponding RA-RNTI</w:t>
      </w:r>
      <w:r w:rsidR="003C0B8D">
        <w:t xml:space="preserve"> in response to a PRACH transmission initiated by a PDCCH order that triggers a contention</w:t>
      </w:r>
      <w:r w:rsidR="003943AF">
        <w:t>-free</w:t>
      </w:r>
      <w:r w:rsidR="003C0B8D">
        <w:t xml:space="preserve"> random access procedure</w:t>
      </w:r>
      <w:r w:rsidR="003C0B8D">
        <w:rPr>
          <w:rFonts w:eastAsia="MS Mincho" w:hint="eastAsia"/>
          <w:lang w:eastAsia="ja-JP"/>
        </w:rPr>
        <w:t xml:space="preserve"> for a secondary cell</w:t>
      </w:r>
      <w:r w:rsidR="009203AD">
        <w:rPr>
          <w:rFonts w:eastAsia="MS Mincho"/>
          <w:lang w:eastAsia="ja-JP"/>
        </w:rPr>
        <w:t>,</w:t>
      </w:r>
      <w:r w:rsidR="00CF2922">
        <w:rPr>
          <w:rFonts w:eastAsia="MS Mincho"/>
          <w:lang w:eastAsia="ja-JP"/>
        </w:rPr>
        <w:t xml:space="preserve"> or </w:t>
      </w:r>
      <w:r w:rsidR="00CF2922">
        <w:t xml:space="preserve">if </w:t>
      </w:r>
      <w:r w:rsidR="009203AD" w:rsidRPr="00CC3D28">
        <w:rPr>
          <w:kern w:val="2"/>
        </w:rPr>
        <w:t xml:space="preserve">the UE is configured with </w:t>
      </w:r>
      <w:r w:rsidR="009203AD" w:rsidRPr="00CC3D28">
        <w:rPr>
          <w:i/>
          <w:iCs/>
          <w:kern w:val="2"/>
        </w:rPr>
        <w:t xml:space="preserve">twoTAGs </w:t>
      </w:r>
      <w:r w:rsidR="009203AD" w:rsidRPr="00CC3D28">
        <w:rPr>
          <w:kern w:val="2"/>
        </w:rPr>
        <w:t xml:space="preserve">for the SpCell and </w:t>
      </w:r>
      <w:r w:rsidR="009203AD" w:rsidRPr="00CC3D28">
        <w:t>the CORESET where the UE receives the PDCCH order that triggers a contention-free random access procedure for the SpCell is not associated with the physical cell ID</w:t>
      </w:r>
      <w:r w:rsidR="009203AD">
        <w:t xml:space="preserve"> for</w:t>
      </w:r>
      <w:r w:rsidR="00CF2922">
        <w:t xml:space="preserve"> the serving cell</w:t>
      </w:r>
      <w:r w:rsidR="003C0B8D">
        <w:t>, the UE may assume the DM-RS antenna port quasi co-location properties of the CORESET associated with the Type1-PDCCH CSS set for receiving the PDCCH that includes the DCI format 1_0</w:t>
      </w:r>
      <w:r w:rsidR="00CF2922">
        <w:t xml:space="preserve"> and the PDSCH scheduled by the DCI format 1_0</w:t>
      </w:r>
      <w:r w:rsidR="003C0B8D">
        <w:t>.</w:t>
      </w:r>
    </w:p>
    <w:p w14:paraId="48D9991F" w14:textId="77777777" w:rsidR="00E1218F" w:rsidRDefault="00E1218F" w:rsidP="00E1218F">
      <w:r>
        <w:t>A RAR UL grant schedules a PUSCH transmission from the UE. The contents of the RAR UL grant,</w:t>
      </w:r>
      <w:r w:rsidRPr="00E9040D">
        <w:t xml:space="preserve"> starting with the MSB and ending with the LSB</w:t>
      </w:r>
      <w:r>
        <w:t xml:space="preserve">, are given in Table 8.2-1. </w:t>
      </w:r>
    </w:p>
    <w:p w14:paraId="5ED423C2" w14:textId="77777777" w:rsidR="005B74DE" w:rsidRPr="00A01FDD" w:rsidRDefault="005B74DE" w:rsidP="005B74DE">
      <w:pPr>
        <w:spacing w:after="240"/>
      </w:pPr>
      <w:r w:rsidRPr="00A01FDD">
        <w:t xml:space="preserve">If the value of the frequency hopping flag is 0, the UE transmits </w:t>
      </w:r>
      <w:r w:rsidR="00B8348F">
        <w:t>the</w:t>
      </w:r>
      <w:r w:rsidRPr="00A01FDD">
        <w:t xml:space="preserve"> PUSCH without frequency hopping; otherwise, the UE transmits </w:t>
      </w:r>
      <w:r w:rsidR="00B8348F">
        <w:t>the</w:t>
      </w:r>
      <w:r w:rsidRPr="00A01FDD">
        <w:t xml:space="preserve"> PUSCH with frequency hopping.</w:t>
      </w:r>
    </w:p>
    <w:p w14:paraId="0B6CC017" w14:textId="77777777" w:rsidR="00E1218F" w:rsidRDefault="00E1218F" w:rsidP="00E1218F">
      <w:r w:rsidRPr="005B6F15">
        <w:rPr>
          <w:lang w:val="en-US"/>
        </w:rPr>
        <w:t xml:space="preserve">The </w:t>
      </w:r>
      <w:r w:rsidR="003807DD" w:rsidRPr="00F9689B">
        <w:rPr>
          <w:lang w:val="en-US"/>
        </w:rPr>
        <w:t>UE determines the</w:t>
      </w:r>
      <w:r w:rsidR="003807DD" w:rsidRPr="00F9689B">
        <w:t xml:space="preserve"> MCS of the PUSCH </w:t>
      </w:r>
      <w:r w:rsidR="003807DD" w:rsidRPr="00F9689B">
        <w:rPr>
          <w:lang w:val="en-US"/>
        </w:rPr>
        <w:t>transmission</w:t>
      </w:r>
      <w:r w:rsidRPr="005B6F15">
        <w:rPr>
          <w:lang w:val="en-US"/>
        </w:rPr>
        <w:t xml:space="preserve"> from </w:t>
      </w:r>
      <w:r>
        <w:rPr>
          <w:lang w:val="en-US"/>
        </w:rPr>
        <w:t xml:space="preserve">the first sixteen </w:t>
      </w:r>
      <w:r w:rsidR="006B3C59" w:rsidRPr="00857581">
        <w:rPr>
          <w:lang w:val="en-US"/>
        </w:rPr>
        <w:t>indexes</w:t>
      </w:r>
      <w:r>
        <w:rPr>
          <w:lang w:val="en-US"/>
        </w:rPr>
        <w:t xml:space="preserve"> of the applicable </w:t>
      </w:r>
      <w:r w:rsidRPr="0048482F">
        <w:t>MCS index table for PUSCH</w:t>
      </w:r>
      <w:r>
        <w:rPr>
          <w:lang w:val="en-US"/>
        </w:rPr>
        <w:t xml:space="preserve"> as described in </w:t>
      </w:r>
      <w:r>
        <w:t xml:space="preserve">[6, </w:t>
      </w:r>
      <w:r w:rsidR="003807DD">
        <w:t xml:space="preserve">TS </w:t>
      </w:r>
      <w:r>
        <w:t xml:space="preserve">38.214]. </w:t>
      </w:r>
    </w:p>
    <w:p w14:paraId="6611FA6F" w14:textId="01BF5F5B" w:rsidR="00E1218F" w:rsidRDefault="00E1218F" w:rsidP="00E1218F">
      <w:r w:rsidRPr="00E9040D">
        <w:t>The TPC command</w:t>
      </w:r>
      <w:r w:rsidR="006B3C59">
        <w:t xml:space="preserve"> </w:t>
      </w:r>
      <w:r w:rsidR="006B3C59" w:rsidRPr="00E674D8">
        <w:t>value</w:t>
      </w:r>
      <w:r w:rsidRPr="00E9040D">
        <w:t xml:space="preserve"> </w:t>
      </w:r>
      <m:oMath>
        <m:sSub>
          <m:sSubPr>
            <m:ctrlPr>
              <w:rPr>
                <w:rFonts w:ascii="Cambria Math" w:hAnsi="Cambria Math"/>
                <w:i/>
              </w:rPr>
            </m:ctrlPr>
          </m:sSubPr>
          <m:e>
            <m:r>
              <w:rPr>
                <w:rFonts w:ascii="Cambria Math" w:hAnsi="Cambria Math"/>
              </w:rPr>
              <m:t>δ</m:t>
            </m:r>
          </m:e>
          <m:sub>
            <m:r>
              <m:rPr>
                <m:sty m:val="p"/>
              </m:rPr>
              <w:rPr>
                <w:rFonts w:ascii="Cambria Math" w:hAnsi="Cambria Math"/>
              </w:rPr>
              <m:t>msg2</m:t>
            </m:r>
            <m:r>
              <w:rPr>
                <w:rFonts w:ascii="Cambria Math" w:hAnsi="Cambria Math"/>
              </w:rPr>
              <m:t>,b,f,c</m:t>
            </m:r>
          </m:sub>
        </m:sSub>
      </m:oMath>
      <w:r w:rsidRPr="00E9040D">
        <w:t xml:space="preserve"> </w:t>
      </w:r>
      <w:r>
        <w:t>is</w:t>
      </w:r>
      <w:r w:rsidRPr="00E9040D">
        <w:t xml:space="preserve"> used for setting the power of the PUSCH</w:t>
      </w:r>
      <w:r w:rsidR="003807DD">
        <w:t xml:space="preserve"> transmission</w:t>
      </w:r>
      <w:r w:rsidRPr="00E9040D">
        <w:t xml:space="preserve">, </w:t>
      </w:r>
      <w:r>
        <w:t xml:space="preserve">as described </w:t>
      </w:r>
      <w:r w:rsidR="006F5F9E">
        <w:t>in clause</w:t>
      </w:r>
      <w:r>
        <w:t xml:space="preserve"> 7.1.1, </w:t>
      </w:r>
      <w:r w:rsidRPr="00E9040D">
        <w:t>and is interpreted</w:t>
      </w:r>
      <w:r>
        <w:t xml:space="preserve"> according to Table 8.2-2. </w:t>
      </w:r>
    </w:p>
    <w:p w14:paraId="5AC16A7C" w14:textId="77777777" w:rsidR="008C3F0C" w:rsidRDefault="001420C6" w:rsidP="008C3F0C">
      <w:r>
        <w:t>T</w:t>
      </w:r>
      <w:r w:rsidR="00E1218F" w:rsidRPr="00E9040D">
        <w:rPr>
          <w:rFonts w:hint="eastAsia"/>
        </w:rPr>
        <w:t>he C</w:t>
      </w:r>
      <w:r w:rsidR="00E1218F" w:rsidRPr="00E9040D">
        <w:t>S</w:t>
      </w:r>
      <w:r w:rsidR="00E1218F" w:rsidRPr="00E9040D">
        <w:rPr>
          <w:rFonts w:hint="eastAsia"/>
        </w:rPr>
        <w:t>I request field is reserved</w:t>
      </w:r>
      <w:r w:rsidR="00E1218F" w:rsidRPr="00E9040D">
        <w:t>.</w:t>
      </w:r>
      <w:r w:rsidR="008C3F0C" w:rsidRPr="008C3F0C">
        <w:t xml:space="preserve"> </w:t>
      </w:r>
    </w:p>
    <w:p w14:paraId="491F020B" w14:textId="01513193" w:rsidR="00E1218F" w:rsidRDefault="008C3F0C" w:rsidP="00E1218F">
      <w:r>
        <w:rPr>
          <w:rFonts w:eastAsiaTheme="minorEastAsia"/>
          <w:lang w:eastAsia="zh-CN"/>
        </w:rPr>
        <w:t xml:space="preserve">The </w:t>
      </w:r>
      <w:r w:rsidRPr="00971FAE">
        <w:rPr>
          <w:rFonts w:eastAsiaTheme="minorEastAsia"/>
          <w:lang w:eastAsia="zh-CN"/>
        </w:rPr>
        <w:t>ChannelAccess-CPext</w:t>
      </w:r>
      <w:r>
        <w:rPr>
          <w:rFonts w:eastAsiaTheme="minorEastAsia"/>
          <w:lang w:eastAsia="zh-CN"/>
        </w:rPr>
        <w:t xml:space="preserve"> field indicates a channel access</w:t>
      </w:r>
      <w:r w:rsidRPr="00665104">
        <w:rPr>
          <w:rFonts w:eastAsiaTheme="minorEastAsia"/>
          <w:lang w:eastAsia="zh-CN"/>
        </w:rPr>
        <w:t xml:space="preserve"> type</w:t>
      </w:r>
      <w:r>
        <w:rPr>
          <w:rFonts w:eastAsiaTheme="minorEastAsia"/>
          <w:lang w:eastAsia="zh-CN"/>
        </w:rPr>
        <w:t xml:space="preserve"> and </w:t>
      </w:r>
      <w:r w:rsidRPr="00665104">
        <w:rPr>
          <w:rFonts w:eastAsiaTheme="minorEastAsia"/>
          <w:lang w:eastAsia="zh-CN"/>
        </w:rPr>
        <w:t>CP extension</w:t>
      </w:r>
      <w:r>
        <w:rPr>
          <w:rFonts w:eastAsiaTheme="minorEastAsia"/>
          <w:lang w:eastAsia="zh-CN"/>
        </w:rPr>
        <w:t xml:space="preserve"> for operation with shared spectrum channel access [15, TS 37.213]</w:t>
      </w:r>
      <w:r w:rsidR="00AB331D" w:rsidRPr="00C453D7">
        <w:rPr>
          <w:rFonts w:eastAsiaTheme="minorEastAsia"/>
          <w:lang w:eastAsia="zh-CN"/>
        </w:rPr>
        <w:t xml:space="preserve"> </w:t>
      </w:r>
      <w:r w:rsidR="00FA4CFB">
        <w:rPr>
          <w:lang w:eastAsia="zh-CN"/>
        </w:rPr>
        <w:t xml:space="preserve">in FR1 </w:t>
      </w:r>
      <w:r w:rsidR="008A4761" w:rsidRPr="002F06D1">
        <w:rPr>
          <w:lang w:eastAsia="zh-CN"/>
        </w:rPr>
        <w:t xml:space="preserve">as defined in </w:t>
      </w:r>
      <w:r w:rsidR="008A4761" w:rsidRPr="002F06D1">
        <w:t xml:space="preserve">Table </w:t>
      </w:r>
      <w:r w:rsidR="008A4761" w:rsidRPr="002F06D1">
        <w:rPr>
          <w:lang w:eastAsia="zh-CN"/>
        </w:rPr>
        <w:t>7.3.1.1.1</w:t>
      </w:r>
      <w:r w:rsidR="008A4761" w:rsidRPr="002F06D1">
        <w:t xml:space="preserve">-4 in </w:t>
      </w:r>
      <w:r w:rsidR="009630C1">
        <w:t xml:space="preserve">[5, </w:t>
      </w:r>
      <w:r w:rsidR="008A4761" w:rsidRPr="002F06D1">
        <w:t>TS 38.212</w:t>
      </w:r>
      <w:r w:rsidR="009630C1">
        <w:t>]</w:t>
      </w:r>
      <w:r w:rsidR="008A4761" w:rsidRPr="002F06D1">
        <w:t xml:space="preserve"> or Table 7.3.1.1.1-4A in </w:t>
      </w:r>
      <w:r w:rsidR="009630C1">
        <w:t xml:space="preserve">[5, </w:t>
      </w:r>
      <w:r w:rsidR="008A4761" w:rsidRPr="002F06D1">
        <w:t>TS 38.212</w:t>
      </w:r>
      <w:r w:rsidR="009630C1">
        <w:t>]</w:t>
      </w:r>
      <w:r w:rsidR="008A4761" w:rsidRPr="002F06D1">
        <w:t xml:space="preserve"> if </w:t>
      </w:r>
      <w:r w:rsidR="009630C1">
        <w:rPr>
          <w:i/>
          <w:lang w:eastAsia="zh-CN"/>
        </w:rPr>
        <w:t>c</w:t>
      </w:r>
      <w:r w:rsidR="009630C1" w:rsidRPr="002F06D1">
        <w:rPr>
          <w:i/>
          <w:lang w:eastAsia="zh-CN"/>
        </w:rPr>
        <w:t>hannelAccessMode</w:t>
      </w:r>
      <w:r w:rsidR="008A4761" w:rsidRPr="002F06D1">
        <w:rPr>
          <w:lang w:eastAsia="zh-CN"/>
        </w:rPr>
        <w:t xml:space="preserve"> = "</w:t>
      </w:r>
      <w:r w:rsidR="003817EF" w:rsidRPr="002F06D1">
        <w:rPr>
          <w:i/>
          <w:iCs/>
        </w:rPr>
        <w:t>semi</w:t>
      </w:r>
      <w:r w:rsidR="003817EF">
        <w:rPr>
          <w:i/>
          <w:iCs/>
        </w:rPr>
        <w:t>S</w:t>
      </w:r>
      <w:r w:rsidR="003817EF" w:rsidRPr="002F06D1">
        <w:rPr>
          <w:i/>
          <w:iCs/>
        </w:rPr>
        <w:t>tatic</w:t>
      </w:r>
      <w:r w:rsidR="008A4761" w:rsidRPr="002F06D1">
        <w:rPr>
          <w:lang w:eastAsia="zh-CN"/>
        </w:rPr>
        <w:t>"</w:t>
      </w:r>
      <w:r w:rsidR="008A4761" w:rsidRPr="002F06D1">
        <w:t xml:space="preserve"> is provided</w:t>
      </w:r>
      <w:r>
        <w:rPr>
          <w:rFonts w:eastAsiaTheme="minorEastAsia"/>
          <w:lang w:eastAsia="zh-CN"/>
        </w:rPr>
        <w:t>.</w:t>
      </w:r>
      <w:r w:rsidR="00FA4CFB">
        <w:rPr>
          <w:rFonts w:eastAsiaTheme="minorEastAsia"/>
          <w:lang w:eastAsia="zh-CN"/>
        </w:rPr>
        <w:t xml:space="preserve"> </w:t>
      </w:r>
      <w:r w:rsidR="00FA4CFB">
        <w:rPr>
          <w:lang w:eastAsia="zh-CN"/>
        </w:rPr>
        <w:t xml:space="preserve">The ChannelAccess-CPext field indicates a channel access type for operation with shared spectrum channel access [15, TS 37.213] in FR2-2 as defined in Table 7.3.1.1.1-4B in [5, TS 38.212] if </w:t>
      </w:r>
      <w:r w:rsidR="00FA4CFB">
        <w:rPr>
          <w:i/>
          <w:lang w:eastAsia="zh-CN"/>
        </w:rPr>
        <w:t>ChannelAccessMode2-r17</w:t>
      </w:r>
      <w:r w:rsidR="00FA4CFB">
        <w:rPr>
          <w:lang w:eastAsia="zh-CN"/>
        </w:rPr>
        <w:t xml:space="preserve"> is provided.</w:t>
      </w:r>
    </w:p>
    <w:p w14:paraId="459E4885" w14:textId="77777777" w:rsidR="00E1218F" w:rsidRPr="00E9040D" w:rsidRDefault="00E1218F" w:rsidP="00E1218F">
      <w:pPr>
        <w:pStyle w:val="TH"/>
      </w:pPr>
      <w:r>
        <w:lastRenderedPageBreak/>
        <w:t>Table 8.2-1</w:t>
      </w:r>
      <w:r w:rsidRPr="00E9040D">
        <w:t xml:space="preserve">: </w:t>
      </w:r>
      <w:r>
        <w:t>Random Access Response Grant Content field size</w:t>
      </w:r>
    </w:p>
    <w:tbl>
      <w:tblPr>
        <w:tblW w:w="0" w:type="auto"/>
        <w:jc w:val="center"/>
        <w:tblLook w:val="01E0" w:firstRow="1" w:lastRow="1" w:firstColumn="1" w:lastColumn="1" w:noHBand="0" w:noVBand="0"/>
      </w:tblPr>
      <w:tblGrid>
        <w:gridCol w:w="3358"/>
        <w:gridCol w:w="5060"/>
      </w:tblGrid>
      <w:tr w:rsidR="00E1218F" w:rsidRPr="00E9040D" w14:paraId="0942F487" w14:textId="77777777" w:rsidTr="00A312BF">
        <w:trPr>
          <w:jc w:val="center"/>
        </w:trPr>
        <w:tc>
          <w:tcPr>
            <w:tcW w:w="3358" w:type="dxa"/>
            <w:tcBorders>
              <w:top w:val="single" w:sz="4" w:space="0" w:color="auto"/>
              <w:left w:val="single" w:sz="4" w:space="0" w:color="auto"/>
              <w:bottom w:val="single" w:sz="4" w:space="0" w:color="auto"/>
              <w:right w:val="single" w:sz="4" w:space="0" w:color="auto"/>
            </w:tcBorders>
            <w:shd w:val="clear" w:color="auto" w:fill="E0E0E0"/>
          </w:tcPr>
          <w:p w14:paraId="6450FF10" w14:textId="77777777" w:rsidR="00E1218F" w:rsidRPr="00E9040D" w:rsidRDefault="00E1218F" w:rsidP="00E66858">
            <w:pPr>
              <w:pStyle w:val="TAH"/>
            </w:pPr>
            <w:r>
              <w:t>RAR grant field</w:t>
            </w:r>
          </w:p>
        </w:tc>
        <w:tc>
          <w:tcPr>
            <w:tcW w:w="5060" w:type="dxa"/>
            <w:tcBorders>
              <w:top w:val="single" w:sz="4" w:space="0" w:color="auto"/>
              <w:left w:val="single" w:sz="4" w:space="0" w:color="auto"/>
              <w:bottom w:val="single" w:sz="4" w:space="0" w:color="auto"/>
              <w:right w:val="single" w:sz="4" w:space="0" w:color="auto"/>
            </w:tcBorders>
            <w:shd w:val="clear" w:color="auto" w:fill="E0E0E0"/>
          </w:tcPr>
          <w:p w14:paraId="12560678" w14:textId="77777777" w:rsidR="00E1218F" w:rsidRPr="00E9040D" w:rsidRDefault="00E1218F" w:rsidP="00E66858">
            <w:pPr>
              <w:pStyle w:val="TAH"/>
            </w:pPr>
            <w:r>
              <w:t>Number of bits</w:t>
            </w:r>
          </w:p>
        </w:tc>
      </w:tr>
      <w:tr w:rsidR="00E1218F" w:rsidRPr="00E9040D" w14:paraId="5755AC6B" w14:textId="77777777" w:rsidTr="00A312BF">
        <w:trPr>
          <w:jc w:val="center"/>
        </w:trPr>
        <w:tc>
          <w:tcPr>
            <w:tcW w:w="3358" w:type="dxa"/>
            <w:tcBorders>
              <w:top w:val="single" w:sz="4" w:space="0" w:color="auto"/>
              <w:left w:val="single" w:sz="4" w:space="0" w:color="auto"/>
              <w:bottom w:val="single" w:sz="4" w:space="0" w:color="auto"/>
              <w:right w:val="single" w:sz="4" w:space="0" w:color="auto"/>
            </w:tcBorders>
            <w:vAlign w:val="center"/>
          </w:tcPr>
          <w:p w14:paraId="68AB84BB" w14:textId="77777777" w:rsidR="00E1218F" w:rsidRPr="00E9040D" w:rsidRDefault="00E1218F" w:rsidP="00E66858">
            <w:pPr>
              <w:pStyle w:val="TAC"/>
              <w:jc w:val="left"/>
            </w:pPr>
            <w:r>
              <w:t>Frequency h</w:t>
            </w:r>
            <w:r w:rsidRPr="00E9040D">
              <w:t>opping flag</w:t>
            </w:r>
          </w:p>
        </w:tc>
        <w:tc>
          <w:tcPr>
            <w:tcW w:w="5060" w:type="dxa"/>
            <w:tcBorders>
              <w:top w:val="single" w:sz="4" w:space="0" w:color="auto"/>
              <w:left w:val="single" w:sz="4" w:space="0" w:color="auto"/>
              <w:bottom w:val="single" w:sz="4" w:space="0" w:color="auto"/>
              <w:right w:val="single" w:sz="4" w:space="0" w:color="auto"/>
            </w:tcBorders>
            <w:vAlign w:val="center"/>
          </w:tcPr>
          <w:p w14:paraId="170FE1C9" w14:textId="77777777" w:rsidR="00E1218F" w:rsidRPr="00E9040D" w:rsidRDefault="00E1218F" w:rsidP="00E66858">
            <w:pPr>
              <w:pStyle w:val="TAC"/>
            </w:pPr>
            <w:r>
              <w:t>1</w:t>
            </w:r>
          </w:p>
        </w:tc>
      </w:tr>
      <w:tr w:rsidR="00E1218F" w:rsidRPr="00E9040D" w14:paraId="6FCF4AD0" w14:textId="77777777" w:rsidTr="00A312BF">
        <w:trPr>
          <w:jc w:val="center"/>
        </w:trPr>
        <w:tc>
          <w:tcPr>
            <w:tcW w:w="3358" w:type="dxa"/>
            <w:tcBorders>
              <w:top w:val="single" w:sz="4" w:space="0" w:color="auto"/>
              <w:left w:val="single" w:sz="4" w:space="0" w:color="auto"/>
              <w:bottom w:val="single" w:sz="4" w:space="0" w:color="auto"/>
              <w:right w:val="single" w:sz="4" w:space="0" w:color="auto"/>
            </w:tcBorders>
            <w:vAlign w:val="center"/>
          </w:tcPr>
          <w:p w14:paraId="0CC45AE4" w14:textId="77777777" w:rsidR="00E1218F" w:rsidRPr="00E9040D" w:rsidRDefault="00E1218F" w:rsidP="00E66858">
            <w:pPr>
              <w:pStyle w:val="TAC"/>
              <w:jc w:val="left"/>
            </w:pPr>
            <w:r>
              <w:t>PUSCH frequency resource allocation</w:t>
            </w:r>
          </w:p>
        </w:tc>
        <w:tc>
          <w:tcPr>
            <w:tcW w:w="5060" w:type="dxa"/>
            <w:tcBorders>
              <w:top w:val="single" w:sz="4" w:space="0" w:color="auto"/>
              <w:left w:val="single" w:sz="4" w:space="0" w:color="auto"/>
              <w:bottom w:val="single" w:sz="4" w:space="0" w:color="auto"/>
              <w:right w:val="single" w:sz="4" w:space="0" w:color="auto"/>
            </w:tcBorders>
            <w:vAlign w:val="center"/>
          </w:tcPr>
          <w:p w14:paraId="0952F7CD" w14:textId="77777777" w:rsidR="00FA4CFB" w:rsidRPr="00FA4CFB" w:rsidRDefault="008C3F0C" w:rsidP="00FA4CFB">
            <w:pPr>
              <w:pStyle w:val="TAC"/>
              <w:rPr>
                <w:rFonts w:cs="Arial"/>
                <w:szCs w:val="18"/>
              </w:rPr>
            </w:pPr>
            <w:r w:rsidRPr="00FA4CFB">
              <w:rPr>
                <w:rFonts w:cs="Arial"/>
                <w:szCs w:val="18"/>
                <w:lang w:eastAsia="zh-CN"/>
              </w:rPr>
              <w:t xml:space="preserve">12, </w:t>
            </w:r>
            <w:r w:rsidRPr="00FA4CFB">
              <w:rPr>
                <w:rFonts w:cs="Arial"/>
                <w:szCs w:val="18"/>
              </w:rPr>
              <w:t>for operation with shared spectrum channel access</w:t>
            </w:r>
            <w:r w:rsidR="00FA4CFB" w:rsidRPr="00FA4CFB">
              <w:rPr>
                <w:rFonts w:cs="Arial"/>
                <w:szCs w:val="18"/>
              </w:rPr>
              <w:t xml:space="preserve"> in FR1 or for FR2-2 when </w:t>
            </w:r>
            <w:r w:rsidR="00FA4CFB" w:rsidRPr="00FA4CFB">
              <w:rPr>
                <w:rFonts w:cs="Arial"/>
                <w:i/>
                <w:szCs w:val="18"/>
              </w:rPr>
              <w:t>ChannelAccessMode2-r17</w:t>
            </w:r>
            <w:r w:rsidR="00FA4CFB" w:rsidRPr="00FA4CFB">
              <w:rPr>
                <w:rFonts w:cs="Arial"/>
                <w:szCs w:val="18"/>
              </w:rPr>
              <w:t xml:space="preserve"> is provided</w:t>
            </w:r>
          </w:p>
          <w:p w14:paraId="15B22F5A" w14:textId="4EF91AA9" w:rsidR="00E1218F" w:rsidRPr="00FA4CFB" w:rsidRDefault="00FA4CFB" w:rsidP="00FA4CFB">
            <w:pPr>
              <w:pStyle w:val="TAC"/>
              <w:rPr>
                <w:rFonts w:cs="Arial"/>
                <w:szCs w:val="18"/>
              </w:rPr>
            </w:pPr>
            <w:r w:rsidRPr="00FA4CFB">
              <w:rPr>
                <w:rFonts w:cs="Arial"/>
                <w:szCs w:val="18"/>
              </w:rPr>
              <w:t>14, otherwise</w:t>
            </w:r>
          </w:p>
        </w:tc>
      </w:tr>
      <w:tr w:rsidR="00E1218F" w:rsidRPr="00E9040D" w14:paraId="2F5FE038" w14:textId="77777777" w:rsidTr="00A312BF">
        <w:trPr>
          <w:jc w:val="center"/>
        </w:trPr>
        <w:tc>
          <w:tcPr>
            <w:tcW w:w="3358" w:type="dxa"/>
            <w:tcBorders>
              <w:top w:val="single" w:sz="4" w:space="0" w:color="auto"/>
              <w:left w:val="single" w:sz="4" w:space="0" w:color="auto"/>
              <w:bottom w:val="single" w:sz="4" w:space="0" w:color="auto"/>
              <w:right w:val="single" w:sz="4" w:space="0" w:color="auto"/>
            </w:tcBorders>
            <w:vAlign w:val="center"/>
          </w:tcPr>
          <w:p w14:paraId="7E75F376" w14:textId="77777777" w:rsidR="00E1218F" w:rsidRDefault="00E1218F" w:rsidP="00E66858">
            <w:pPr>
              <w:pStyle w:val="TAC"/>
              <w:jc w:val="left"/>
            </w:pPr>
            <w:r>
              <w:t>PUSCH time resource allocation</w:t>
            </w:r>
          </w:p>
        </w:tc>
        <w:tc>
          <w:tcPr>
            <w:tcW w:w="5060" w:type="dxa"/>
            <w:tcBorders>
              <w:top w:val="single" w:sz="4" w:space="0" w:color="auto"/>
              <w:left w:val="single" w:sz="4" w:space="0" w:color="auto"/>
              <w:bottom w:val="single" w:sz="4" w:space="0" w:color="auto"/>
              <w:right w:val="single" w:sz="4" w:space="0" w:color="auto"/>
            </w:tcBorders>
            <w:vAlign w:val="center"/>
          </w:tcPr>
          <w:p w14:paraId="0E09F746" w14:textId="77777777" w:rsidR="00E1218F" w:rsidRDefault="00E1218F" w:rsidP="00E66858">
            <w:pPr>
              <w:pStyle w:val="TAC"/>
            </w:pPr>
            <w:r>
              <w:t>4</w:t>
            </w:r>
          </w:p>
        </w:tc>
      </w:tr>
      <w:tr w:rsidR="00E1218F" w:rsidRPr="00E9040D" w14:paraId="01113781" w14:textId="77777777" w:rsidTr="00A312BF">
        <w:trPr>
          <w:jc w:val="center"/>
        </w:trPr>
        <w:tc>
          <w:tcPr>
            <w:tcW w:w="3358" w:type="dxa"/>
            <w:tcBorders>
              <w:top w:val="single" w:sz="4" w:space="0" w:color="auto"/>
              <w:left w:val="single" w:sz="4" w:space="0" w:color="auto"/>
              <w:bottom w:val="single" w:sz="4" w:space="0" w:color="auto"/>
              <w:right w:val="single" w:sz="4" w:space="0" w:color="auto"/>
            </w:tcBorders>
            <w:vAlign w:val="center"/>
          </w:tcPr>
          <w:p w14:paraId="0C298922" w14:textId="77777777" w:rsidR="00E1218F" w:rsidRPr="00E9040D" w:rsidRDefault="00E1218F" w:rsidP="00E66858">
            <w:pPr>
              <w:pStyle w:val="TAC"/>
              <w:jc w:val="left"/>
            </w:pPr>
            <w:r>
              <w:t>MCS</w:t>
            </w:r>
          </w:p>
        </w:tc>
        <w:tc>
          <w:tcPr>
            <w:tcW w:w="5060" w:type="dxa"/>
            <w:tcBorders>
              <w:top w:val="single" w:sz="4" w:space="0" w:color="auto"/>
              <w:left w:val="single" w:sz="4" w:space="0" w:color="auto"/>
              <w:bottom w:val="single" w:sz="4" w:space="0" w:color="auto"/>
              <w:right w:val="single" w:sz="4" w:space="0" w:color="auto"/>
            </w:tcBorders>
            <w:vAlign w:val="center"/>
          </w:tcPr>
          <w:p w14:paraId="307E8717" w14:textId="77777777" w:rsidR="00E1218F" w:rsidRPr="00E9040D" w:rsidRDefault="00E1218F" w:rsidP="00E66858">
            <w:pPr>
              <w:pStyle w:val="TAC"/>
            </w:pPr>
            <w:r>
              <w:t>4</w:t>
            </w:r>
          </w:p>
        </w:tc>
      </w:tr>
      <w:tr w:rsidR="00E1218F" w:rsidRPr="00E9040D" w14:paraId="2AC0854F" w14:textId="77777777" w:rsidTr="00A312BF">
        <w:trPr>
          <w:jc w:val="center"/>
        </w:trPr>
        <w:tc>
          <w:tcPr>
            <w:tcW w:w="3358" w:type="dxa"/>
            <w:tcBorders>
              <w:top w:val="single" w:sz="4" w:space="0" w:color="auto"/>
              <w:left w:val="single" w:sz="4" w:space="0" w:color="auto"/>
              <w:bottom w:val="single" w:sz="4" w:space="0" w:color="auto"/>
              <w:right w:val="single" w:sz="4" w:space="0" w:color="auto"/>
            </w:tcBorders>
            <w:vAlign w:val="center"/>
          </w:tcPr>
          <w:p w14:paraId="0C8B018B" w14:textId="77777777" w:rsidR="00E1218F" w:rsidRPr="00E9040D" w:rsidRDefault="00E1218F" w:rsidP="00E66858">
            <w:pPr>
              <w:pStyle w:val="TAC"/>
              <w:jc w:val="left"/>
            </w:pPr>
            <w:r w:rsidRPr="00E9040D">
              <w:t>TPC command for PUSCH</w:t>
            </w:r>
          </w:p>
        </w:tc>
        <w:tc>
          <w:tcPr>
            <w:tcW w:w="5060" w:type="dxa"/>
            <w:tcBorders>
              <w:top w:val="single" w:sz="4" w:space="0" w:color="auto"/>
              <w:left w:val="single" w:sz="4" w:space="0" w:color="auto"/>
              <w:bottom w:val="single" w:sz="4" w:space="0" w:color="auto"/>
              <w:right w:val="single" w:sz="4" w:space="0" w:color="auto"/>
            </w:tcBorders>
            <w:vAlign w:val="center"/>
          </w:tcPr>
          <w:p w14:paraId="4BC6F562" w14:textId="77777777" w:rsidR="00E1218F" w:rsidRPr="00E9040D" w:rsidRDefault="00E1218F" w:rsidP="00E66858">
            <w:pPr>
              <w:pStyle w:val="TAC"/>
            </w:pPr>
            <w:r>
              <w:t>3</w:t>
            </w:r>
          </w:p>
        </w:tc>
      </w:tr>
      <w:tr w:rsidR="00E1218F" w:rsidRPr="00E9040D" w14:paraId="1472F6DE" w14:textId="77777777" w:rsidTr="00A312BF">
        <w:trPr>
          <w:jc w:val="center"/>
        </w:trPr>
        <w:tc>
          <w:tcPr>
            <w:tcW w:w="3358" w:type="dxa"/>
            <w:tcBorders>
              <w:top w:val="single" w:sz="4" w:space="0" w:color="auto"/>
              <w:left w:val="single" w:sz="4" w:space="0" w:color="auto"/>
              <w:bottom w:val="single" w:sz="4" w:space="0" w:color="auto"/>
              <w:right w:val="single" w:sz="4" w:space="0" w:color="auto"/>
            </w:tcBorders>
            <w:vAlign w:val="center"/>
          </w:tcPr>
          <w:p w14:paraId="36C6FB9F" w14:textId="77777777" w:rsidR="00E1218F" w:rsidRDefault="00E1218F" w:rsidP="00E66858">
            <w:pPr>
              <w:pStyle w:val="TAC"/>
              <w:jc w:val="left"/>
            </w:pPr>
            <w:r w:rsidRPr="00E9040D">
              <w:t>CSI request</w:t>
            </w:r>
          </w:p>
        </w:tc>
        <w:tc>
          <w:tcPr>
            <w:tcW w:w="5060" w:type="dxa"/>
            <w:tcBorders>
              <w:top w:val="single" w:sz="4" w:space="0" w:color="auto"/>
              <w:left w:val="single" w:sz="4" w:space="0" w:color="auto"/>
              <w:bottom w:val="single" w:sz="4" w:space="0" w:color="auto"/>
              <w:right w:val="single" w:sz="4" w:space="0" w:color="auto"/>
            </w:tcBorders>
            <w:vAlign w:val="center"/>
          </w:tcPr>
          <w:p w14:paraId="0AAFC706" w14:textId="77777777" w:rsidR="00E1218F" w:rsidRDefault="00E1218F" w:rsidP="00E66858">
            <w:pPr>
              <w:pStyle w:val="TAC"/>
            </w:pPr>
            <w:r>
              <w:t>1</w:t>
            </w:r>
          </w:p>
        </w:tc>
      </w:tr>
      <w:tr w:rsidR="008C3F0C" w:rsidRPr="00E9040D" w14:paraId="7FCD0284" w14:textId="77777777" w:rsidTr="008C3F0C">
        <w:trPr>
          <w:jc w:val="center"/>
        </w:trPr>
        <w:tc>
          <w:tcPr>
            <w:tcW w:w="3358" w:type="dxa"/>
            <w:tcBorders>
              <w:top w:val="single" w:sz="4" w:space="0" w:color="auto"/>
              <w:left w:val="single" w:sz="4" w:space="0" w:color="auto"/>
              <w:bottom w:val="single" w:sz="4" w:space="0" w:color="auto"/>
              <w:right w:val="single" w:sz="4" w:space="0" w:color="auto"/>
            </w:tcBorders>
            <w:vAlign w:val="center"/>
          </w:tcPr>
          <w:p w14:paraId="19755348" w14:textId="77777777" w:rsidR="008C3F0C" w:rsidRPr="00E9040D" w:rsidRDefault="008C3F0C" w:rsidP="008C3F0C">
            <w:pPr>
              <w:pStyle w:val="TAC"/>
              <w:jc w:val="left"/>
            </w:pPr>
            <w:r w:rsidRPr="00971FAE">
              <w:rPr>
                <w:rFonts w:eastAsiaTheme="minorEastAsia"/>
                <w:lang w:eastAsia="zh-CN"/>
              </w:rPr>
              <w:t>ChannelAccess-CPext</w:t>
            </w:r>
          </w:p>
        </w:tc>
        <w:tc>
          <w:tcPr>
            <w:tcW w:w="5060" w:type="dxa"/>
            <w:tcBorders>
              <w:top w:val="single" w:sz="4" w:space="0" w:color="auto"/>
              <w:left w:val="single" w:sz="4" w:space="0" w:color="auto"/>
              <w:bottom w:val="single" w:sz="4" w:space="0" w:color="auto"/>
              <w:right w:val="single" w:sz="4" w:space="0" w:color="auto"/>
            </w:tcBorders>
            <w:vAlign w:val="center"/>
          </w:tcPr>
          <w:p w14:paraId="189420F9" w14:textId="77777777" w:rsidR="00FA4CFB" w:rsidRPr="00FA4CFB" w:rsidRDefault="008C3F0C" w:rsidP="00FA4CFB">
            <w:pPr>
              <w:spacing w:after="120"/>
              <w:rPr>
                <w:rFonts w:ascii="Arial" w:hAnsi="Arial" w:cs="Arial"/>
                <w:sz w:val="18"/>
                <w:szCs w:val="18"/>
              </w:rPr>
            </w:pPr>
            <w:r w:rsidRPr="00FA4CFB">
              <w:rPr>
                <w:rFonts w:ascii="Arial" w:hAnsi="Arial" w:cs="Arial"/>
                <w:sz w:val="18"/>
                <w:szCs w:val="18"/>
                <w:lang w:eastAsia="zh-CN"/>
              </w:rPr>
              <w:t xml:space="preserve">2, </w:t>
            </w:r>
            <w:r w:rsidRPr="00FA4CFB">
              <w:rPr>
                <w:rFonts w:ascii="Arial" w:hAnsi="Arial" w:cs="Arial"/>
                <w:sz w:val="18"/>
                <w:szCs w:val="18"/>
              </w:rPr>
              <w:t>for operation with shared spectrum channel access</w:t>
            </w:r>
            <w:r w:rsidR="00FA4CFB" w:rsidRPr="00FA4CFB">
              <w:rPr>
                <w:rFonts w:ascii="Arial" w:hAnsi="Arial" w:cs="Arial"/>
                <w:sz w:val="18"/>
                <w:szCs w:val="18"/>
              </w:rPr>
              <w:t xml:space="preserve"> in FR1 or for FR2-2 when </w:t>
            </w:r>
            <w:r w:rsidR="00FA4CFB" w:rsidRPr="00FA4CFB">
              <w:rPr>
                <w:rFonts w:ascii="Arial" w:hAnsi="Arial" w:cs="Arial"/>
                <w:i/>
                <w:sz w:val="18"/>
                <w:szCs w:val="18"/>
              </w:rPr>
              <w:t>ChannelAccessMode2-r17</w:t>
            </w:r>
            <w:r w:rsidR="00FA4CFB" w:rsidRPr="00FA4CFB">
              <w:rPr>
                <w:rFonts w:ascii="Arial" w:hAnsi="Arial" w:cs="Arial"/>
                <w:sz w:val="18"/>
                <w:szCs w:val="18"/>
              </w:rPr>
              <w:t xml:space="preserve"> is provided</w:t>
            </w:r>
          </w:p>
          <w:p w14:paraId="76F71427" w14:textId="05C1AB94" w:rsidR="008C3F0C" w:rsidRPr="00FA4CFB" w:rsidRDefault="00FA4CFB" w:rsidP="00FA4CFB">
            <w:pPr>
              <w:pStyle w:val="TAC"/>
              <w:rPr>
                <w:rFonts w:cs="Arial"/>
                <w:szCs w:val="18"/>
              </w:rPr>
            </w:pPr>
            <w:r w:rsidRPr="00FA4CFB">
              <w:rPr>
                <w:rFonts w:cs="Arial"/>
                <w:szCs w:val="18"/>
              </w:rPr>
              <w:t>0, otherwise</w:t>
            </w:r>
          </w:p>
        </w:tc>
      </w:tr>
    </w:tbl>
    <w:p w14:paraId="76E686F3" w14:textId="77777777" w:rsidR="00E1218F" w:rsidRDefault="00E1218F" w:rsidP="00E1218F"/>
    <w:p w14:paraId="04D40201" w14:textId="7C0AC7E9" w:rsidR="00E1218F" w:rsidRPr="00E9040D" w:rsidRDefault="00E1218F" w:rsidP="00E1218F">
      <w:pPr>
        <w:pStyle w:val="TH"/>
      </w:pPr>
      <w:r>
        <w:t>Table 8.2-2</w:t>
      </w:r>
      <w:r w:rsidRPr="00E9040D">
        <w:t xml:space="preserve">: TPC Command </w:t>
      </w:r>
      <m:oMath>
        <m:sSub>
          <m:sSubPr>
            <m:ctrlPr>
              <w:rPr>
                <w:rFonts w:ascii="Cambria Math" w:hAnsi="Cambria Math"/>
                <w:b w:val="0"/>
                <w:i/>
              </w:rPr>
            </m:ctrlPr>
          </m:sSubPr>
          <m:e>
            <m:r>
              <m:rPr>
                <m:sty m:val="bi"/>
              </m:rPr>
              <w:rPr>
                <w:rFonts w:ascii="Cambria Math" w:hAnsi="Cambria Math"/>
              </w:rPr>
              <m:t>δ</m:t>
            </m:r>
          </m:e>
          <m:sub>
            <m:r>
              <m:rPr>
                <m:sty m:val="b"/>
              </m:rPr>
              <w:rPr>
                <w:rFonts w:ascii="Cambria Math" w:hAnsi="Cambria Math"/>
              </w:rPr>
              <m:t>msg2</m:t>
            </m:r>
            <m:r>
              <m:rPr>
                <m:sty m:val="bi"/>
              </m:rPr>
              <w:rPr>
                <w:rFonts w:ascii="Cambria Math" w:hAnsi="Cambria Math"/>
              </w:rPr>
              <m:t>,b,f,c</m:t>
            </m:r>
          </m:sub>
        </m:sSub>
      </m:oMath>
      <w:r>
        <w:t xml:space="preserve"> for </w:t>
      </w:r>
      <w:r w:rsidRPr="00E9040D">
        <w:t>PUSCH</w:t>
      </w:r>
    </w:p>
    <w:tbl>
      <w:tblPr>
        <w:tblW w:w="0" w:type="auto"/>
        <w:jc w:val="center"/>
        <w:tblLook w:val="01E0" w:firstRow="1" w:lastRow="1" w:firstColumn="1" w:lastColumn="1" w:noHBand="0" w:noVBand="0"/>
      </w:tblPr>
      <w:tblGrid>
        <w:gridCol w:w="1507"/>
        <w:gridCol w:w="1317"/>
      </w:tblGrid>
      <w:tr w:rsidR="00E1218F" w:rsidRPr="00E9040D" w14:paraId="23AB3B11" w14:textId="77777777" w:rsidTr="00E66858">
        <w:trPr>
          <w:jc w:val="center"/>
        </w:trPr>
        <w:tc>
          <w:tcPr>
            <w:tcW w:w="0" w:type="auto"/>
            <w:tcBorders>
              <w:top w:val="single" w:sz="4" w:space="0" w:color="auto"/>
              <w:left w:val="single" w:sz="4" w:space="0" w:color="auto"/>
              <w:bottom w:val="single" w:sz="4" w:space="0" w:color="auto"/>
              <w:right w:val="single" w:sz="4" w:space="0" w:color="auto"/>
            </w:tcBorders>
            <w:shd w:val="clear" w:color="auto" w:fill="E0E0E0"/>
          </w:tcPr>
          <w:p w14:paraId="545D9F3A" w14:textId="77777777" w:rsidR="00E1218F" w:rsidRPr="00E9040D" w:rsidRDefault="00E1218F" w:rsidP="00E66858">
            <w:pPr>
              <w:pStyle w:val="TAH"/>
            </w:pPr>
            <w:r w:rsidRPr="00E9040D">
              <w:t>TPC Command</w:t>
            </w:r>
          </w:p>
        </w:tc>
        <w:tc>
          <w:tcPr>
            <w:tcW w:w="0" w:type="auto"/>
            <w:tcBorders>
              <w:top w:val="single" w:sz="4" w:space="0" w:color="auto"/>
              <w:left w:val="single" w:sz="4" w:space="0" w:color="auto"/>
              <w:bottom w:val="single" w:sz="4" w:space="0" w:color="auto"/>
              <w:right w:val="single" w:sz="4" w:space="0" w:color="auto"/>
            </w:tcBorders>
            <w:shd w:val="clear" w:color="auto" w:fill="E0E0E0"/>
          </w:tcPr>
          <w:p w14:paraId="26B25D1F" w14:textId="77777777" w:rsidR="00E1218F" w:rsidRPr="00E9040D" w:rsidRDefault="00E1218F" w:rsidP="00E66858">
            <w:pPr>
              <w:pStyle w:val="TAH"/>
            </w:pPr>
            <w:r w:rsidRPr="00E9040D">
              <w:t>Value (in dB)</w:t>
            </w:r>
          </w:p>
        </w:tc>
      </w:tr>
      <w:tr w:rsidR="00E1218F" w:rsidRPr="00E9040D" w14:paraId="406970E7" w14:textId="77777777" w:rsidTr="00E66858">
        <w:trPr>
          <w:jc w:val="center"/>
        </w:trPr>
        <w:tc>
          <w:tcPr>
            <w:tcW w:w="0" w:type="auto"/>
            <w:tcBorders>
              <w:top w:val="single" w:sz="4" w:space="0" w:color="auto"/>
              <w:left w:val="single" w:sz="4" w:space="0" w:color="auto"/>
              <w:bottom w:val="single" w:sz="4" w:space="0" w:color="auto"/>
              <w:right w:val="single" w:sz="4" w:space="0" w:color="auto"/>
            </w:tcBorders>
          </w:tcPr>
          <w:p w14:paraId="7B05B59E" w14:textId="77777777" w:rsidR="00E1218F" w:rsidRPr="00E9040D" w:rsidRDefault="00E1218F" w:rsidP="00E66858">
            <w:pPr>
              <w:pStyle w:val="TAC"/>
            </w:pPr>
            <w:r w:rsidRPr="00E9040D">
              <w:t>0</w:t>
            </w:r>
          </w:p>
        </w:tc>
        <w:tc>
          <w:tcPr>
            <w:tcW w:w="0" w:type="auto"/>
            <w:tcBorders>
              <w:top w:val="single" w:sz="4" w:space="0" w:color="auto"/>
              <w:left w:val="single" w:sz="4" w:space="0" w:color="auto"/>
              <w:bottom w:val="single" w:sz="4" w:space="0" w:color="auto"/>
              <w:right w:val="single" w:sz="4" w:space="0" w:color="auto"/>
            </w:tcBorders>
          </w:tcPr>
          <w:p w14:paraId="25156251" w14:textId="77777777" w:rsidR="00E1218F" w:rsidRPr="00E9040D" w:rsidRDefault="00E1218F" w:rsidP="00E66858">
            <w:pPr>
              <w:pStyle w:val="TAC"/>
            </w:pPr>
            <w:r w:rsidRPr="00E9040D">
              <w:t>-6</w:t>
            </w:r>
          </w:p>
        </w:tc>
      </w:tr>
      <w:tr w:rsidR="00E1218F" w:rsidRPr="00E9040D" w14:paraId="5AD5E81C" w14:textId="77777777" w:rsidTr="00E66858">
        <w:trPr>
          <w:jc w:val="center"/>
        </w:trPr>
        <w:tc>
          <w:tcPr>
            <w:tcW w:w="0" w:type="auto"/>
            <w:tcBorders>
              <w:top w:val="single" w:sz="4" w:space="0" w:color="auto"/>
              <w:left w:val="single" w:sz="4" w:space="0" w:color="auto"/>
              <w:bottom w:val="single" w:sz="4" w:space="0" w:color="auto"/>
              <w:right w:val="single" w:sz="4" w:space="0" w:color="auto"/>
            </w:tcBorders>
          </w:tcPr>
          <w:p w14:paraId="281D1F97" w14:textId="77777777" w:rsidR="00E1218F" w:rsidRPr="00E9040D" w:rsidRDefault="00E1218F" w:rsidP="00E66858">
            <w:pPr>
              <w:pStyle w:val="TAC"/>
            </w:pPr>
            <w:r w:rsidRPr="00E9040D">
              <w:t>1</w:t>
            </w:r>
          </w:p>
        </w:tc>
        <w:tc>
          <w:tcPr>
            <w:tcW w:w="0" w:type="auto"/>
            <w:tcBorders>
              <w:top w:val="single" w:sz="4" w:space="0" w:color="auto"/>
              <w:left w:val="single" w:sz="4" w:space="0" w:color="auto"/>
              <w:bottom w:val="single" w:sz="4" w:space="0" w:color="auto"/>
              <w:right w:val="single" w:sz="4" w:space="0" w:color="auto"/>
            </w:tcBorders>
          </w:tcPr>
          <w:p w14:paraId="0051BD40" w14:textId="77777777" w:rsidR="00E1218F" w:rsidRPr="00E9040D" w:rsidRDefault="00E1218F" w:rsidP="00E66858">
            <w:pPr>
              <w:pStyle w:val="TAC"/>
            </w:pPr>
            <w:r w:rsidRPr="00E9040D">
              <w:t>-4</w:t>
            </w:r>
          </w:p>
        </w:tc>
      </w:tr>
      <w:tr w:rsidR="00E1218F" w:rsidRPr="00E9040D" w14:paraId="6005A5F9" w14:textId="77777777" w:rsidTr="00E66858">
        <w:trPr>
          <w:jc w:val="center"/>
        </w:trPr>
        <w:tc>
          <w:tcPr>
            <w:tcW w:w="0" w:type="auto"/>
            <w:tcBorders>
              <w:top w:val="single" w:sz="4" w:space="0" w:color="auto"/>
              <w:left w:val="single" w:sz="4" w:space="0" w:color="auto"/>
              <w:bottom w:val="single" w:sz="4" w:space="0" w:color="auto"/>
              <w:right w:val="single" w:sz="4" w:space="0" w:color="auto"/>
            </w:tcBorders>
          </w:tcPr>
          <w:p w14:paraId="5B366C4A" w14:textId="77777777" w:rsidR="00E1218F" w:rsidRPr="00E9040D" w:rsidRDefault="00E1218F" w:rsidP="00E66858">
            <w:pPr>
              <w:pStyle w:val="TAC"/>
            </w:pPr>
            <w:r w:rsidRPr="00E9040D">
              <w:t>2</w:t>
            </w:r>
          </w:p>
        </w:tc>
        <w:tc>
          <w:tcPr>
            <w:tcW w:w="0" w:type="auto"/>
            <w:tcBorders>
              <w:top w:val="single" w:sz="4" w:space="0" w:color="auto"/>
              <w:left w:val="single" w:sz="4" w:space="0" w:color="auto"/>
              <w:bottom w:val="single" w:sz="4" w:space="0" w:color="auto"/>
              <w:right w:val="single" w:sz="4" w:space="0" w:color="auto"/>
            </w:tcBorders>
          </w:tcPr>
          <w:p w14:paraId="51E52D3F" w14:textId="77777777" w:rsidR="00E1218F" w:rsidRPr="00E9040D" w:rsidRDefault="00E1218F" w:rsidP="00E66858">
            <w:pPr>
              <w:pStyle w:val="TAC"/>
            </w:pPr>
            <w:r w:rsidRPr="00E9040D">
              <w:t>-2</w:t>
            </w:r>
          </w:p>
        </w:tc>
      </w:tr>
      <w:tr w:rsidR="00E1218F" w:rsidRPr="00E9040D" w14:paraId="2B722451" w14:textId="77777777" w:rsidTr="00E66858">
        <w:trPr>
          <w:jc w:val="center"/>
        </w:trPr>
        <w:tc>
          <w:tcPr>
            <w:tcW w:w="0" w:type="auto"/>
            <w:tcBorders>
              <w:top w:val="single" w:sz="4" w:space="0" w:color="auto"/>
              <w:left w:val="single" w:sz="4" w:space="0" w:color="auto"/>
              <w:bottom w:val="single" w:sz="4" w:space="0" w:color="auto"/>
              <w:right w:val="single" w:sz="4" w:space="0" w:color="auto"/>
            </w:tcBorders>
          </w:tcPr>
          <w:p w14:paraId="53BD245D" w14:textId="77777777" w:rsidR="00E1218F" w:rsidRPr="00E9040D" w:rsidRDefault="00E1218F" w:rsidP="00E66858">
            <w:pPr>
              <w:pStyle w:val="TAC"/>
            </w:pPr>
            <w:r w:rsidRPr="00E9040D">
              <w:t>3</w:t>
            </w:r>
          </w:p>
        </w:tc>
        <w:tc>
          <w:tcPr>
            <w:tcW w:w="0" w:type="auto"/>
            <w:tcBorders>
              <w:top w:val="single" w:sz="4" w:space="0" w:color="auto"/>
              <w:left w:val="single" w:sz="4" w:space="0" w:color="auto"/>
              <w:bottom w:val="single" w:sz="4" w:space="0" w:color="auto"/>
              <w:right w:val="single" w:sz="4" w:space="0" w:color="auto"/>
            </w:tcBorders>
          </w:tcPr>
          <w:p w14:paraId="1A28D4A3" w14:textId="77777777" w:rsidR="00E1218F" w:rsidRPr="00E9040D" w:rsidRDefault="00E1218F" w:rsidP="00E66858">
            <w:pPr>
              <w:pStyle w:val="TAC"/>
            </w:pPr>
            <w:r w:rsidRPr="00E9040D">
              <w:t>0</w:t>
            </w:r>
          </w:p>
        </w:tc>
      </w:tr>
      <w:tr w:rsidR="00E1218F" w:rsidRPr="00E9040D" w14:paraId="5577AA0B" w14:textId="77777777" w:rsidTr="00E66858">
        <w:trPr>
          <w:jc w:val="center"/>
        </w:trPr>
        <w:tc>
          <w:tcPr>
            <w:tcW w:w="0" w:type="auto"/>
            <w:tcBorders>
              <w:top w:val="single" w:sz="4" w:space="0" w:color="auto"/>
              <w:left w:val="single" w:sz="4" w:space="0" w:color="auto"/>
              <w:bottom w:val="single" w:sz="4" w:space="0" w:color="auto"/>
              <w:right w:val="single" w:sz="4" w:space="0" w:color="auto"/>
            </w:tcBorders>
          </w:tcPr>
          <w:p w14:paraId="54E80C9E" w14:textId="77777777" w:rsidR="00E1218F" w:rsidRPr="00E9040D" w:rsidRDefault="00E1218F" w:rsidP="00E66858">
            <w:pPr>
              <w:pStyle w:val="TAC"/>
            </w:pPr>
            <w:r w:rsidRPr="00E9040D">
              <w:t>4</w:t>
            </w:r>
          </w:p>
        </w:tc>
        <w:tc>
          <w:tcPr>
            <w:tcW w:w="0" w:type="auto"/>
            <w:tcBorders>
              <w:top w:val="single" w:sz="4" w:space="0" w:color="auto"/>
              <w:left w:val="single" w:sz="4" w:space="0" w:color="auto"/>
              <w:bottom w:val="single" w:sz="4" w:space="0" w:color="auto"/>
              <w:right w:val="single" w:sz="4" w:space="0" w:color="auto"/>
            </w:tcBorders>
          </w:tcPr>
          <w:p w14:paraId="6538F764" w14:textId="77777777" w:rsidR="00E1218F" w:rsidRPr="00E9040D" w:rsidRDefault="00E1218F" w:rsidP="00E66858">
            <w:pPr>
              <w:pStyle w:val="TAC"/>
            </w:pPr>
            <w:r w:rsidRPr="00E9040D">
              <w:t>2</w:t>
            </w:r>
          </w:p>
        </w:tc>
      </w:tr>
      <w:tr w:rsidR="00E1218F" w:rsidRPr="00E9040D" w14:paraId="5C55ACC2" w14:textId="77777777" w:rsidTr="00E66858">
        <w:trPr>
          <w:jc w:val="center"/>
        </w:trPr>
        <w:tc>
          <w:tcPr>
            <w:tcW w:w="0" w:type="auto"/>
            <w:tcBorders>
              <w:top w:val="single" w:sz="4" w:space="0" w:color="auto"/>
              <w:left w:val="single" w:sz="4" w:space="0" w:color="auto"/>
              <w:bottom w:val="single" w:sz="4" w:space="0" w:color="auto"/>
              <w:right w:val="single" w:sz="4" w:space="0" w:color="auto"/>
            </w:tcBorders>
          </w:tcPr>
          <w:p w14:paraId="6AC3455B" w14:textId="77777777" w:rsidR="00E1218F" w:rsidRPr="00E9040D" w:rsidRDefault="00E1218F" w:rsidP="00E66858">
            <w:pPr>
              <w:pStyle w:val="TAC"/>
            </w:pPr>
            <w:r w:rsidRPr="00E9040D">
              <w:t>5</w:t>
            </w:r>
          </w:p>
        </w:tc>
        <w:tc>
          <w:tcPr>
            <w:tcW w:w="0" w:type="auto"/>
            <w:tcBorders>
              <w:top w:val="single" w:sz="4" w:space="0" w:color="auto"/>
              <w:left w:val="single" w:sz="4" w:space="0" w:color="auto"/>
              <w:bottom w:val="single" w:sz="4" w:space="0" w:color="auto"/>
              <w:right w:val="single" w:sz="4" w:space="0" w:color="auto"/>
            </w:tcBorders>
          </w:tcPr>
          <w:p w14:paraId="60489A56" w14:textId="77777777" w:rsidR="00E1218F" w:rsidRPr="00E9040D" w:rsidRDefault="00E1218F" w:rsidP="00E66858">
            <w:pPr>
              <w:pStyle w:val="TAC"/>
            </w:pPr>
            <w:r w:rsidRPr="00E9040D">
              <w:t>4</w:t>
            </w:r>
          </w:p>
        </w:tc>
      </w:tr>
      <w:tr w:rsidR="00E1218F" w:rsidRPr="00E9040D" w14:paraId="78B358B9" w14:textId="77777777" w:rsidTr="00E66858">
        <w:trPr>
          <w:jc w:val="center"/>
        </w:trPr>
        <w:tc>
          <w:tcPr>
            <w:tcW w:w="0" w:type="auto"/>
            <w:tcBorders>
              <w:top w:val="single" w:sz="4" w:space="0" w:color="auto"/>
              <w:left w:val="single" w:sz="4" w:space="0" w:color="auto"/>
              <w:bottom w:val="single" w:sz="4" w:space="0" w:color="auto"/>
              <w:right w:val="single" w:sz="4" w:space="0" w:color="auto"/>
            </w:tcBorders>
          </w:tcPr>
          <w:p w14:paraId="5DD16E4F" w14:textId="77777777" w:rsidR="00E1218F" w:rsidRPr="00E9040D" w:rsidRDefault="00E1218F" w:rsidP="00E66858">
            <w:pPr>
              <w:pStyle w:val="TAC"/>
            </w:pPr>
            <w:r w:rsidRPr="00E9040D">
              <w:t>6</w:t>
            </w:r>
          </w:p>
        </w:tc>
        <w:tc>
          <w:tcPr>
            <w:tcW w:w="0" w:type="auto"/>
            <w:tcBorders>
              <w:top w:val="single" w:sz="4" w:space="0" w:color="auto"/>
              <w:left w:val="single" w:sz="4" w:space="0" w:color="auto"/>
              <w:bottom w:val="single" w:sz="4" w:space="0" w:color="auto"/>
              <w:right w:val="single" w:sz="4" w:space="0" w:color="auto"/>
            </w:tcBorders>
          </w:tcPr>
          <w:p w14:paraId="4681B2C0" w14:textId="77777777" w:rsidR="00E1218F" w:rsidRPr="00E9040D" w:rsidRDefault="00E1218F" w:rsidP="00E66858">
            <w:pPr>
              <w:pStyle w:val="TAC"/>
            </w:pPr>
            <w:r w:rsidRPr="00E9040D">
              <w:t>6</w:t>
            </w:r>
          </w:p>
        </w:tc>
      </w:tr>
      <w:tr w:rsidR="00E1218F" w:rsidRPr="00E9040D" w14:paraId="18D7EC83" w14:textId="77777777" w:rsidTr="00E66858">
        <w:trPr>
          <w:jc w:val="center"/>
        </w:trPr>
        <w:tc>
          <w:tcPr>
            <w:tcW w:w="0" w:type="auto"/>
            <w:tcBorders>
              <w:top w:val="single" w:sz="4" w:space="0" w:color="auto"/>
              <w:left w:val="single" w:sz="4" w:space="0" w:color="auto"/>
              <w:bottom w:val="single" w:sz="4" w:space="0" w:color="auto"/>
              <w:right w:val="single" w:sz="4" w:space="0" w:color="auto"/>
            </w:tcBorders>
          </w:tcPr>
          <w:p w14:paraId="135F9D68" w14:textId="77777777" w:rsidR="00E1218F" w:rsidRPr="00E9040D" w:rsidRDefault="00E1218F" w:rsidP="00E66858">
            <w:pPr>
              <w:pStyle w:val="TAC"/>
            </w:pPr>
            <w:r w:rsidRPr="00E9040D">
              <w:t>7</w:t>
            </w:r>
          </w:p>
        </w:tc>
        <w:tc>
          <w:tcPr>
            <w:tcW w:w="0" w:type="auto"/>
            <w:tcBorders>
              <w:top w:val="single" w:sz="4" w:space="0" w:color="auto"/>
              <w:left w:val="single" w:sz="4" w:space="0" w:color="auto"/>
              <w:bottom w:val="single" w:sz="4" w:space="0" w:color="auto"/>
              <w:right w:val="single" w:sz="4" w:space="0" w:color="auto"/>
            </w:tcBorders>
          </w:tcPr>
          <w:p w14:paraId="56265D58" w14:textId="77777777" w:rsidR="00E1218F" w:rsidRPr="00E9040D" w:rsidRDefault="00E1218F" w:rsidP="00E66858">
            <w:pPr>
              <w:pStyle w:val="TAC"/>
            </w:pPr>
            <w:r w:rsidRPr="00E9040D">
              <w:t>8</w:t>
            </w:r>
          </w:p>
        </w:tc>
      </w:tr>
    </w:tbl>
    <w:p w14:paraId="2E991484" w14:textId="77777777" w:rsidR="00E1218F" w:rsidRDefault="00E1218F" w:rsidP="00E1218F"/>
    <w:p w14:paraId="41B4C4E6" w14:textId="77777777" w:rsidR="00CE5573" w:rsidRDefault="00CE5573" w:rsidP="00A10623">
      <w:r w:rsidRPr="00B916EC">
        <w:t xml:space="preserve">Unless </w:t>
      </w:r>
      <w:r w:rsidR="006B3C59">
        <w:t>the</w:t>
      </w:r>
      <w:r w:rsidR="006B3C59" w:rsidRPr="00B916EC">
        <w:t xml:space="preserve"> </w:t>
      </w:r>
      <w:r w:rsidRPr="00B916EC">
        <w:t xml:space="preserve">UE is configured a </w:t>
      </w:r>
      <w:r w:rsidR="00143099">
        <w:t>SCS</w:t>
      </w:r>
      <w:r w:rsidRPr="00B916EC">
        <w:t xml:space="preserve">, the UE receives subsequent PDSCH using same </w:t>
      </w:r>
      <w:r w:rsidR="00143099">
        <w:t>SCS</w:t>
      </w:r>
      <w:r w:rsidRPr="00B916EC">
        <w:t xml:space="preserve"> as for the PDSCH reception providing the </w:t>
      </w:r>
      <w:r w:rsidR="00E1218F">
        <w:t>RAR message</w:t>
      </w:r>
      <w:r w:rsidRPr="00B916EC">
        <w:t>.</w:t>
      </w:r>
    </w:p>
    <w:p w14:paraId="4EF28731" w14:textId="07CDC812" w:rsidR="00D45594" w:rsidRDefault="00A10623" w:rsidP="00A10623">
      <w:r w:rsidRPr="00B916EC">
        <w:t xml:space="preserve">If </w:t>
      </w:r>
      <w:r w:rsidR="00F81CF3">
        <w:t>the</w:t>
      </w:r>
      <w:r w:rsidR="00F81CF3" w:rsidRPr="00B916EC">
        <w:t xml:space="preserve"> </w:t>
      </w:r>
      <w:r w:rsidRPr="00B916EC">
        <w:t xml:space="preserve">UE does not detect the </w:t>
      </w:r>
      <w:r w:rsidR="00230BB8">
        <w:t>DCI format</w:t>
      </w:r>
      <w:r w:rsidR="00E1218F" w:rsidRPr="00B916EC">
        <w:t xml:space="preserve"> </w:t>
      </w:r>
      <w:r w:rsidR="00173EDA">
        <w:t xml:space="preserve">1_0 </w:t>
      </w:r>
      <w:r w:rsidR="00E1218F">
        <w:t>with</w:t>
      </w:r>
      <w:r w:rsidR="00230BB8" w:rsidRPr="00230BB8">
        <w:t xml:space="preserve"> </w:t>
      </w:r>
      <w:r w:rsidR="00230BB8">
        <w:t>CRC scrambled by</w:t>
      </w:r>
      <w:r w:rsidR="00E1218F">
        <w:t xml:space="preserve"> </w:t>
      </w:r>
      <w:r w:rsidR="00F81CF3">
        <w:t xml:space="preserve">the </w:t>
      </w:r>
      <w:r w:rsidR="00E1218F">
        <w:t xml:space="preserve">corresponding RA-RNTI </w:t>
      </w:r>
      <w:r w:rsidR="00173EDA">
        <w:t xml:space="preserve">within the window, or if the UE detects the DCI format 1_0 with CRC scrambled by the corresponding RA-RNTI within the window and the LSBs of a SFN field in the DCI format 1_0, if included and applicable, are not same as corresponding LSBs of the SFN where the UE transmitted the PRACH, </w:t>
      </w:r>
      <w:r w:rsidR="00230BB8">
        <w:t xml:space="preserve">or </w:t>
      </w:r>
      <w:r w:rsidR="00F81CF3">
        <w:t xml:space="preserve">the UE </w:t>
      </w:r>
      <w:r w:rsidR="00230BB8">
        <w:t>does not correctly receive</w:t>
      </w:r>
      <w:r w:rsidRPr="00B916EC">
        <w:t xml:space="preserve"> a corresponding transport block within the window, the UE procedure is as described in [</w:t>
      </w:r>
      <w:r w:rsidRPr="00B916EC">
        <w:rPr>
          <w:lang w:val="en-US"/>
        </w:rPr>
        <w:t>11, TS 38.321</w:t>
      </w:r>
      <w:r w:rsidRPr="00B916EC">
        <w:t>].</w:t>
      </w:r>
      <w:r w:rsidR="007D5A3F">
        <w:t xml:space="preserve"> </w:t>
      </w:r>
    </w:p>
    <w:p w14:paraId="49394242" w14:textId="60A80111" w:rsidR="00AB5B8F" w:rsidRPr="00B916EC" w:rsidRDefault="00AB5B8F" w:rsidP="00AB5B8F">
      <w:pPr>
        <w:pStyle w:val="Heading2"/>
        <w:ind w:left="850" w:hanging="850"/>
      </w:pPr>
      <w:bookmarkStart w:id="371" w:name="_Toc29894833"/>
      <w:bookmarkStart w:id="372" w:name="_Toc29899132"/>
      <w:bookmarkStart w:id="373" w:name="_Toc29899550"/>
      <w:bookmarkStart w:id="374" w:name="_Toc29917287"/>
      <w:bookmarkStart w:id="375" w:name="_Toc36498161"/>
      <w:bookmarkStart w:id="376" w:name="_Toc45699187"/>
      <w:bookmarkStart w:id="377" w:name="_Toc161999112"/>
      <w:r w:rsidRPr="00B916EC">
        <w:t>8</w:t>
      </w:r>
      <w:r w:rsidRPr="00B916EC">
        <w:rPr>
          <w:rFonts w:hint="eastAsia"/>
        </w:rPr>
        <w:t>.</w:t>
      </w:r>
      <w:r w:rsidRPr="00B916EC">
        <w:t>2</w:t>
      </w:r>
      <w:r>
        <w:t>A</w:t>
      </w:r>
      <w:r>
        <w:rPr>
          <w:rFonts w:hint="eastAsia"/>
        </w:rPr>
        <w:tab/>
      </w:r>
      <w:r w:rsidRPr="00B916EC">
        <w:t>Random access response</w:t>
      </w:r>
      <w:r>
        <w:t xml:space="preserve"> - Type-2 random access procedure</w:t>
      </w:r>
      <w:bookmarkEnd w:id="371"/>
      <w:bookmarkEnd w:id="372"/>
      <w:bookmarkEnd w:id="373"/>
      <w:bookmarkEnd w:id="374"/>
      <w:bookmarkEnd w:id="375"/>
      <w:bookmarkEnd w:id="376"/>
      <w:bookmarkEnd w:id="377"/>
    </w:p>
    <w:p w14:paraId="34AFC78D" w14:textId="784FDD15" w:rsidR="00AB5B8F" w:rsidRPr="009A6DAA" w:rsidRDefault="00AB5B8F" w:rsidP="00AB5B8F">
      <w:pPr>
        <w:rPr>
          <w:lang w:val="en-US"/>
        </w:rPr>
      </w:pPr>
      <w:r w:rsidRPr="00A67C34">
        <w:rPr>
          <w:lang w:val="en-US"/>
        </w:rPr>
        <w:t xml:space="preserve">In response to </w:t>
      </w:r>
      <w:r>
        <w:rPr>
          <w:lang w:val="en-US"/>
        </w:rPr>
        <w:t xml:space="preserve">a transmission of a </w:t>
      </w:r>
      <w:r w:rsidRPr="00A67C34">
        <w:rPr>
          <w:lang w:val="en-US"/>
        </w:rPr>
        <w:t xml:space="preserve">PRACH </w:t>
      </w:r>
      <w:r w:rsidRPr="001E280E">
        <w:rPr>
          <w:lang w:val="en-US"/>
        </w:rPr>
        <w:t xml:space="preserve">and </w:t>
      </w:r>
      <w:r>
        <w:rPr>
          <w:lang w:val="en-US"/>
        </w:rPr>
        <w:t xml:space="preserve">a </w:t>
      </w:r>
      <w:r w:rsidRPr="001E280E">
        <w:rPr>
          <w:lang w:val="en-US"/>
        </w:rPr>
        <w:t>PUSCH</w:t>
      </w:r>
      <w:r w:rsidRPr="009A6DAA">
        <w:rPr>
          <w:lang w:val="en-US"/>
        </w:rPr>
        <w:t xml:space="preserve">, </w:t>
      </w:r>
      <w:r w:rsidR="00976364" w:rsidRPr="00984818">
        <w:rPr>
          <w:rFonts w:eastAsia="DengXian"/>
          <w:lang w:val="en-US"/>
        </w:rPr>
        <w:t xml:space="preserve">or to a transmission of only a PRACH if the PRACH preamble is mapped to a valid PUSCH occasion, </w:t>
      </w:r>
      <w:r w:rsidRPr="009A6DAA">
        <w:rPr>
          <w:lang w:val="en-US"/>
        </w:rPr>
        <w:t>a UE attempts to detect</w:t>
      </w:r>
      <w:r w:rsidRPr="009A6DAA">
        <w:t xml:space="preserve"> a DCI format 1_0 with CRC scrambled by a corresponding </w:t>
      </w:r>
      <w:r w:rsidR="00216B48">
        <w:t>MsgB</w:t>
      </w:r>
      <w:r w:rsidRPr="009A6DAA">
        <w:t xml:space="preserve">-RNTI </w:t>
      </w:r>
      <w:r w:rsidRPr="00A67C34">
        <w:t>during a window controlled by higher layers [</w:t>
      </w:r>
      <w:r w:rsidRPr="001E280E">
        <w:rPr>
          <w:lang w:val="en-US"/>
        </w:rPr>
        <w:t>11, TS 38.321</w:t>
      </w:r>
      <w:r w:rsidRPr="001E280E">
        <w:t xml:space="preserve">]. </w:t>
      </w:r>
      <w:r w:rsidRPr="009A6DAA">
        <w:rPr>
          <w:lang w:val="en-US"/>
        </w:rPr>
        <w:t xml:space="preserve">The window starts at the first symbol of the earliest CORESET the UE is configured to receive PDCCH for Type1-PDCCH CSS set, as defined </w:t>
      </w:r>
      <w:r w:rsidR="006F5F9E">
        <w:rPr>
          <w:lang w:val="en-US"/>
        </w:rPr>
        <w:t>in clause</w:t>
      </w:r>
      <w:r w:rsidRPr="009A6DAA">
        <w:rPr>
          <w:lang w:val="en-US"/>
        </w:rPr>
        <w:t xml:space="preserve"> 10.1, that is at least one symbol</w:t>
      </w:r>
      <w:r>
        <w:rPr>
          <w:lang w:val="en-US"/>
        </w:rPr>
        <w:t>,</w:t>
      </w:r>
      <w:r w:rsidRPr="009A6DAA">
        <w:rPr>
          <w:lang w:val="en-US"/>
        </w:rPr>
        <w:t xml:space="preserve"> after the last symbol of the P</w:t>
      </w:r>
      <w:r w:rsidRPr="00A67C34">
        <w:t>USCH occasion corresponding to the</w:t>
      </w:r>
      <w:r w:rsidRPr="001E280E">
        <w:rPr>
          <w:lang w:val="en-US"/>
        </w:rPr>
        <w:t xml:space="preserve"> </w:t>
      </w:r>
      <w:r w:rsidR="00976364">
        <w:rPr>
          <w:lang w:val="en-US"/>
        </w:rPr>
        <w:t>PRACH</w:t>
      </w:r>
      <w:r w:rsidRPr="009A6DAA">
        <w:rPr>
          <w:lang w:val="en-US"/>
        </w:rPr>
        <w:t xml:space="preserve"> transmission, </w:t>
      </w:r>
      <w:r w:rsidRPr="009A6DAA">
        <w:t xml:space="preserve">where the symbol duration corresponds to the SCS for Type1-PDCCH </w:t>
      </w:r>
      <w:r w:rsidRPr="00FE55CB">
        <w:rPr>
          <w:lang w:val="en-US"/>
        </w:rPr>
        <w:t>CSS set</w:t>
      </w:r>
      <w:r>
        <w:rPr>
          <w:lang w:val="en-US"/>
        </w:rPr>
        <w:t xml:space="preserve">. </w:t>
      </w:r>
      <w:r w:rsidR="007E56E4" w:rsidRPr="00FE56DB">
        <w:t>If</w:t>
      </w:r>
      <w:r w:rsidR="007E56E4" w:rsidRPr="00FE56DB">
        <w:rPr>
          <w:b/>
          <w:bCs/>
          <w:i/>
          <w:iCs/>
        </w:rPr>
        <w:t xml:space="preserve"> </w:t>
      </w:r>
      <m:oMath>
        <m:sSubSup>
          <m:sSubSupPr>
            <m:ctrlPr>
              <w:rPr>
                <w:rFonts w:ascii="Cambria Math" w:hAnsi="Cambria Math"/>
                <w:i/>
                <w:iCs/>
              </w:rPr>
            </m:ctrlPr>
          </m:sSubSupPr>
          <m:e>
            <m:r>
              <w:rPr>
                <w:rFonts w:ascii="Cambria Math" w:hAnsi="Cambria Math"/>
              </w:rPr>
              <m:t>N</m:t>
            </m:r>
          </m:e>
          <m:sub>
            <m:r>
              <m:rPr>
                <m:nor/>
              </m:rPr>
              <w:rPr>
                <w:lang w:val="en-US"/>
              </w:rPr>
              <m:t>TA,adj</m:t>
            </m:r>
          </m:sub>
          <m:sup>
            <m:r>
              <m:rPr>
                <m:nor/>
              </m:rPr>
              <w:rPr>
                <w:lang w:val="en-US"/>
              </w:rPr>
              <m:t>UE</m:t>
            </m:r>
          </m:sup>
        </m:sSubSup>
      </m:oMath>
      <w:r w:rsidR="007E56E4" w:rsidRPr="00FE56DB">
        <w:rPr>
          <w:b/>
          <w:bCs/>
          <w:i/>
          <w:iCs/>
        </w:rPr>
        <w:t xml:space="preserve"> </w:t>
      </w:r>
      <w:r w:rsidR="007E56E4" w:rsidRPr="00FE56DB">
        <w:t>or</w:t>
      </w:r>
      <w:r w:rsidR="007E56E4" w:rsidRPr="00FE56DB">
        <w:rPr>
          <w:b/>
          <w:bCs/>
          <w:i/>
          <w:iCs/>
        </w:rPr>
        <w:t xml:space="preserve"> </w:t>
      </w:r>
      <m:oMath>
        <m:sSubSup>
          <m:sSubSupPr>
            <m:ctrlPr>
              <w:rPr>
                <w:rFonts w:ascii="Cambria Math" w:hAnsi="Cambria Math"/>
                <w:i/>
                <w:iCs/>
              </w:rPr>
            </m:ctrlPr>
          </m:sSubSupPr>
          <m:e>
            <m:r>
              <w:rPr>
                <w:rFonts w:ascii="Cambria Math" w:hAnsi="Cambria Math"/>
              </w:rPr>
              <m:t>N</m:t>
            </m:r>
          </m:e>
          <m:sub>
            <m:r>
              <m:rPr>
                <m:nor/>
              </m:rPr>
              <w:rPr>
                <w:lang w:val="en-US"/>
              </w:rPr>
              <m:t>TA,adj</m:t>
            </m:r>
          </m:sub>
          <m:sup>
            <m:r>
              <m:rPr>
                <m:nor/>
              </m:rPr>
              <w:rPr>
                <w:lang w:val="en-US"/>
              </w:rPr>
              <m:t>common</m:t>
            </m:r>
          </m:sup>
        </m:sSubSup>
      </m:oMath>
      <w:r w:rsidR="007E56E4" w:rsidRPr="00FE56DB">
        <w:t>, as defined in [4, TS 38.211], is not zero,</w:t>
      </w:r>
      <w:r w:rsidR="007E56E4" w:rsidRPr="00FE56DB">
        <w:rPr>
          <w:iCs/>
        </w:rPr>
        <w:t xml:space="preserve"> </w:t>
      </w:r>
      <w:r w:rsidR="007E56E4">
        <w:rPr>
          <w:iCs/>
        </w:rPr>
        <w:t>the</w:t>
      </w:r>
      <w:r w:rsidR="0023353D">
        <w:rPr>
          <w:iCs/>
        </w:rPr>
        <w:t xml:space="preserve"> </w:t>
      </w:r>
      <w:r w:rsidR="0023353D" w:rsidRPr="00B916EC">
        <w:rPr>
          <w:lang w:val="en-US"/>
        </w:rPr>
        <w:t>window starts</w:t>
      </w:r>
      <w:r w:rsidR="0023353D">
        <w:rPr>
          <w:lang w:val="en-US"/>
        </w:rPr>
        <w:t xml:space="preserve"> after an additional </w:t>
      </w:r>
      <m:oMath>
        <m:sSub>
          <m:sSubPr>
            <m:ctrlPr>
              <w:rPr>
                <w:rFonts w:ascii="Cambria Math" w:hAnsi="Cambria Math"/>
              </w:rPr>
            </m:ctrlPr>
          </m:sSubPr>
          <m:e>
            <m:r>
              <w:rPr>
                <w:rFonts w:ascii="Cambria Math" w:hAnsi="Cambria Math"/>
              </w:rPr>
              <m:t>T</m:t>
            </m:r>
          </m:e>
          <m:sub>
            <m:r>
              <m:rPr>
                <m:sty m:val="p"/>
              </m:rPr>
              <w:rPr>
                <w:rFonts w:ascii="Cambria Math" w:hAnsi="Cambria Math"/>
              </w:rPr>
              <m:t>TA</m:t>
            </m:r>
          </m:sub>
        </m:sSub>
        <m:r>
          <w:rPr>
            <w:rFonts w:ascii="Cambria Math" w:hAnsi="Cambria Math"/>
          </w:rPr>
          <m:t>+</m:t>
        </m:r>
        <m:sSub>
          <m:sSubPr>
            <m:ctrlPr>
              <w:rPr>
                <w:rFonts w:ascii="Cambria Math" w:hAnsi="Cambria Math"/>
                <w:i/>
              </w:rPr>
            </m:ctrlPr>
          </m:sSubPr>
          <m:e>
            <m:r>
              <w:rPr>
                <w:rFonts w:ascii="Cambria Math" w:hAnsi="Cambria Math"/>
              </w:rPr>
              <m:t>k</m:t>
            </m:r>
          </m:e>
          <m:sub>
            <m:r>
              <m:rPr>
                <m:sty m:val="p"/>
              </m:rPr>
              <w:rPr>
                <w:rFonts w:ascii="Cambria Math" w:hAnsi="Cambria Math"/>
              </w:rPr>
              <m:t>mac</m:t>
            </m:r>
          </m:sub>
        </m:sSub>
      </m:oMath>
      <w:r w:rsidR="0023353D">
        <w:t xml:space="preserve"> msec where </w:t>
      </w:r>
      <m:oMath>
        <m:sSub>
          <m:sSubPr>
            <m:ctrlPr>
              <w:rPr>
                <w:rFonts w:ascii="Cambria Math" w:hAnsi="Cambria Math"/>
              </w:rPr>
            </m:ctrlPr>
          </m:sSubPr>
          <m:e>
            <m:r>
              <w:rPr>
                <w:rFonts w:ascii="Cambria Math" w:hAnsi="Cambria Math"/>
              </w:rPr>
              <m:t>T</m:t>
            </m:r>
          </m:e>
          <m:sub>
            <m:r>
              <m:rPr>
                <m:sty m:val="p"/>
              </m:rPr>
              <w:rPr>
                <w:rFonts w:ascii="Cambria Math" w:hAnsi="Cambria Math"/>
              </w:rPr>
              <m:t>TA</m:t>
            </m:r>
          </m:sub>
        </m:sSub>
      </m:oMath>
      <w:r w:rsidR="0023353D">
        <w:rPr>
          <w:iCs/>
        </w:rPr>
        <w:t xml:space="preserve"> is defined in [4, TS 38.211] and</w:t>
      </w:r>
      <w:r w:rsidR="0023353D">
        <w:rPr>
          <w:lang w:val="en-US"/>
        </w:rPr>
        <w:t xml:space="preserve"> </w:t>
      </w:r>
      <m:oMath>
        <m:sSub>
          <m:sSubPr>
            <m:ctrlPr>
              <w:rPr>
                <w:rFonts w:ascii="Cambria Math" w:hAnsi="Cambria Math"/>
                <w:i/>
              </w:rPr>
            </m:ctrlPr>
          </m:sSubPr>
          <m:e>
            <m:r>
              <w:rPr>
                <w:rFonts w:ascii="Cambria Math" w:hAnsi="Cambria Math"/>
              </w:rPr>
              <m:t>k</m:t>
            </m:r>
          </m:e>
          <m:sub>
            <m:r>
              <m:rPr>
                <m:sty m:val="p"/>
              </m:rPr>
              <w:rPr>
                <w:rFonts w:ascii="Cambria Math" w:hAnsi="Cambria Math"/>
              </w:rPr>
              <m:t>mac</m:t>
            </m:r>
          </m:sub>
        </m:sSub>
      </m:oMath>
      <w:r w:rsidR="0023353D">
        <w:t xml:space="preserve"> is provided by </w:t>
      </w:r>
      <w:r w:rsidR="00E761DC">
        <w:rPr>
          <w:i/>
          <w:iCs/>
        </w:rPr>
        <w:t>kmac</w:t>
      </w:r>
      <w:r w:rsidR="0023353D">
        <w:t xml:space="preserve"> </w:t>
      </w:r>
      <w:r w:rsidR="0023353D">
        <w:rPr>
          <w:lang w:val="en-US"/>
        </w:rPr>
        <w:t xml:space="preserve">or </w:t>
      </w:r>
      <m:oMath>
        <m:sSub>
          <m:sSubPr>
            <m:ctrlPr>
              <w:rPr>
                <w:rFonts w:ascii="Cambria Math" w:hAnsi="Cambria Math"/>
                <w:i/>
              </w:rPr>
            </m:ctrlPr>
          </m:sSubPr>
          <m:e>
            <m:r>
              <w:rPr>
                <w:rFonts w:ascii="Cambria Math" w:hAnsi="Cambria Math"/>
              </w:rPr>
              <m:t>k</m:t>
            </m:r>
          </m:e>
          <m:sub>
            <m:r>
              <m:rPr>
                <m:sty m:val="p"/>
              </m:rPr>
              <w:rPr>
                <w:rFonts w:ascii="Cambria Math" w:hAnsi="Cambria Math"/>
              </w:rPr>
              <m:t>mac</m:t>
            </m:r>
          </m:sub>
        </m:sSub>
        <m:r>
          <w:rPr>
            <w:rFonts w:ascii="Cambria Math" w:hAnsi="Cambria Math"/>
          </w:rPr>
          <m:t>=0</m:t>
        </m:r>
      </m:oMath>
      <w:r w:rsidR="0023353D">
        <w:t xml:space="preserve"> if </w:t>
      </w:r>
      <w:r w:rsidR="00E761DC">
        <w:rPr>
          <w:i/>
          <w:iCs/>
        </w:rPr>
        <w:t>kmac</w:t>
      </w:r>
      <w:r w:rsidR="0023353D">
        <w:t xml:space="preserve"> is not provided. </w:t>
      </w:r>
      <w:r w:rsidRPr="001444F0">
        <w:rPr>
          <w:lang w:val="en-US"/>
        </w:rPr>
        <w:t xml:space="preserve">The length of the window in number of slots, based on the SCS for Type1-PDCCH CSS set, is provided by </w:t>
      </w:r>
      <w:r w:rsidR="00216B48">
        <w:rPr>
          <w:i/>
        </w:rPr>
        <w:t>msgB</w:t>
      </w:r>
      <w:r w:rsidRPr="002C69AE">
        <w:rPr>
          <w:i/>
        </w:rPr>
        <w:t>-ResponseWindow</w:t>
      </w:r>
      <w:r w:rsidRPr="00A67C34">
        <w:rPr>
          <w:lang w:val="en-US"/>
        </w:rPr>
        <w:t>.</w:t>
      </w:r>
    </w:p>
    <w:p w14:paraId="30C13B03" w14:textId="1BB0A82A" w:rsidR="00976364" w:rsidRDefault="00976364" w:rsidP="00976364">
      <w:pPr>
        <w:jc w:val="both"/>
      </w:pPr>
      <w:r w:rsidRPr="00984818">
        <w:t>In response to a transmission of a PRACH</w:t>
      </w:r>
      <w:r>
        <w:t>,</w:t>
      </w:r>
      <w:r w:rsidRPr="00984818">
        <w:rPr>
          <w:rFonts w:eastAsia="DengXian"/>
        </w:rPr>
        <w:t xml:space="preserve"> if the PRACH </w:t>
      </w:r>
      <w:r w:rsidRPr="00984818">
        <w:rPr>
          <w:rFonts w:eastAsia="DengXian"/>
          <w:lang w:eastAsia="zh-CN"/>
        </w:rPr>
        <w:t xml:space="preserve">preamble is not mapped </w:t>
      </w:r>
      <w:r w:rsidRPr="00984818">
        <w:rPr>
          <w:rFonts w:eastAsia="DengXian"/>
        </w:rPr>
        <w:t>to a valid PUSCH occasion</w:t>
      </w:r>
      <w:r w:rsidRPr="00984818">
        <w:t xml:space="preserve">, a UE attempts to detect a DCI format 1_0 with CRC scrambled by a corresponding MsgB-RNTI during a window controlled by higher layers [11, TS 38.321]. The window starts at the first symbol of the earliest CORESET the UE is configured to receive PDCCH for Type1-PDCCH CSS set, as defined </w:t>
      </w:r>
      <w:r w:rsidR="006F5F9E">
        <w:t>in clause</w:t>
      </w:r>
      <w:r w:rsidRPr="00984818">
        <w:t xml:space="preserve"> 10.1, that is at least one symbol, after the last symbol of the PRACH occasion corresponding to the PRACH</w:t>
      </w:r>
      <w:r w:rsidRPr="00AE4E95">
        <w:t xml:space="preserve"> </w:t>
      </w:r>
      <w:r>
        <w:t>transmission</w:t>
      </w:r>
      <w:r w:rsidRPr="00984818">
        <w:t xml:space="preserve">, where the symbol duration corresponds to the SCS for Type1-PDCCH CSS set. The length of the window in number of slots, based on the SCS for Type1-PDCCH CSS set, is provided by </w:t>
      </w:r>
      <w:r w:rsidRPr="00984818">
        <w:rPr>
          <w:i/>
        </w:rPr>
        <w:t>msgB-ResponseWindow</w:t>
      </w:r>
      <w:r w:rsidRPr="00984818">
        <w:t>.</w:t>
      </w:r>
    </w:p>
    <w:p w14:paraId="56874370" w14:textId="03FD87A8" w:rsidR="00AB5B8F" w:rsidRDefault="00AB5B8F" w:rsidP="00AB5B8F">
      <w:r w:rsidRPr="001E280E">
        <w:t>If the UE detects the DCI format 1_0</w:t>
      </w:r>
      <w:r>
        <w:t>,</w:t>
      </w:r>
      <w:r w:rsidRPr="001E280E">
        <w:t xml:space="preserve"> with CRC scrambled by the corresponding </w:t>
      </w:r>
      <w:r w:rsidR="00216B48">
        <w:t>MsgB</w:t>
      </w:r>
      <w:r w:rsidRPr="001E280E">
        <w:t>-RNTI</w:t>
      </w:r>
      <w:r w:rsidR="00173EDA" w:rsidRPr="00173EDA">
        <w:t xml:space="preserve"> </w:t>
      </w:r>
      <w:r w:rsidR="00173EDA">
        <w:t>and LSBs of a SFN field in the DCI format 1_0, if applicable, are same as corresponding LSBs of the SFN where the UE transmitted PRACH</w:t>
      </w:r>
      <w:r>
        <w:t>,</w:t>
      </w:r>
      <w:r w:rsidRPr="001E280E">
        <w:t xml:space="preserve"> and</w:t>
      </w:r>
      <w:r w:rsidR="00173EDA">
        <w:t xml:space="preserve"> the UE receives</w:t>
      </w:r>
      <w:r w:rsidRPr="001E280E">
        <w:t xml:space="preserve"> a transport block in a corresponding PDSCH within the window, the UE passes the transport block to higher layers. </w:t>
      </w:r>
      <w:r>
        <w:t>T</w:t>
      </w:r>
      <w:r w:rsidRPr="00FE55CB">
        <w:t>he higher layers</w:t>
      </w:r>
      <w:r>
        <w:t xml:space="preserve"> indicate to the physical layer</w:t>
      </w:r>
    </w:p>
    <w:p w14:paraId="1E330A03" w14:textId="46ACD2E1" w:rsidR="00AB5B8F" w:rsidRDefault="00AB5B8F" w:rsidP="00AB5B8F">
      <w:pPr>
        <w:pStyle w:val="B1"/>
        <w:spacing w:after="240"/>
        <w:rPr>
          <w:rFonts w:eastAsia="Calibri"/>
        </w:rPr>
      </w:pPr>
      <w:r>
        <w:lastRenderedPageBreak/>
        <w:t>-</w:t>
      </w:r>
      <w:r>
        <w:tab/>
      </w:r>
      <w:r w:rsidRPr="00FE55CB">
        <w:t xml:space="preserve">an </w:t>
      </w:r>
      <w:r w:rsidRPr="00FE55CB">
        <w:rPr>
          <w:sz w:val="19"/>
          <w:szCs w:val="19"/>
        </w:rPr>
        <w:t>uplink</w:t>
      </w:r>
      <w:r w:rsidRPr="00FE55CB">
        <w:t xml:space="preserve"> grant</w:t>
      </w:r>
      <w:r>
        <w:t xml:space="preserve"> if the RAR message(s) is for </w:t>
      </w:r>
      <w:r w:rsidRPr="00F40212">
        <w:rPr>
          <w:rFonts w:eastAsia="Calibri"/>
        </w:rPr>
        <w:t>fallbackRAR</w:t>
      </w:r>
      <w:r>
        <w:rPr>
          <w:rFonts w:eastAsia="Calibri"/>
        </w:rPr>
        <w:t xml:space="preserve"> and </w:t>
      </w:r>
      <w:r w:rsidRPr="001E280E">
        <w:t>a random access preamble identity (RAPID) associated with the PRACH transmission</w:t>
      </w:r>
      <w:r>
        <w:rPr>
          <w:rFonts w:eastAsia="Calibri"/>
        </w:rPr>
        <w:t xml:space="preserve"> is identified, and the UE procedure continues as described </w:t>
      </w:r>
      <w:r w:rsidR="006F5F9E">
        <w:rPr>
          <w:rFonts w:eastAsia="Calibri"/>
        </w:rPr>
        <w:t>in clause</w:t>
      </w:r>
      <w:r w:rsidR="00976364">
        <w:rPr>
          <w:rFonts w:eastAsia="Calibri"/>
          <w:lang w:val="en-US"/>
        </w:rPr>
        <w:t>s</w:t>
      </w:r>
      <w:r>
        <w:rPr>
          <w:rFonts w:eastAsia="Calibri"/>
        </w:rPr>
        <w:t xml:space="preserve"> 8.2</w:t>
      </w:r>
      <w:r w:rsidR="00976364">
        <w:rPr>
          <w:rFonts w:eastAsia="Calibri"/>
        </w:rPr>
        <w:t>, 8.3, and 8.4</w:t>
      </w:r>
      <w:r>
        <w:rPr>
          <w:rFonts w:eastAsia="Calibri"/>
        </w:rPr>
        <w:t xml:space="preserve"> when the UE detects a RAR UL grant, or</w:t>
      </w:r>
    </w:p>
    <w:p w14:paraId="2713E544" w14:textId="77777777" w:rsidR="00AB5B8F" w:rsidRDefault="00AB5B8F" w:rsidP="00AB5B8F">
      <w:pPr>
        <w:pStyle w:val="B1"/>
        <w:spacing w:after="240"/>
        <w:rPr>
          <w:rFonts w:eastAsia="Calibri"/>
        </w:rPr>
      </w:pPr>
      <w:r>
        <w:t>-</w:t>
      </w:r>
      <w:r>
        <w:tab/>
        <w:t>transmission of a PUCCH with HARQ-ACK information having ACK</w:t>
      </w:r>
      <w:r w:rsidRPr="00FE55CB">
        <w:t xml:space="preserve"> </w:t>
      </w:r>
      <w:r>
        <w:t xml:space="preserve">value if the RAR message(s) is for </w:t>
      </w:r>
      <w:r>
        <w:rPr>
          <w:rFonts w:eastAsia="Calibri"/>
        </w:rPr>
        <w:t>success</w:t>
      </w:r>
      <w:r w:rsidRPr="00F40212">
        <w:rPr>
          <w:rFonts w:eastAsia="Calibri"/>
        </w:rPr>
        <w:t>RAR</w:t>
      </w:r>
      <w:r>
        <w:rPr>
          <w:rFonts w:eastAsia="Calibri"/>
        </w:rPr>
        <w:t xml:space="preserve">, where </w:t>
      </w:r>
    </w:p>
    <w:p w14:paraId="414F22D1" w14:textId="77777777" w:rsidR="00AB5B8F" w:rsidRPr="0020305F" w:rsidRDefault="00AB5B8F" w:rsidP="00A312BF">
      <w:pPr>
        <w:pStyle w:val="B2"/>
        <w:rPr>
          <w:rFonts w:eastAsia="Calibri"/>
        </w:rPr>
      </w:pPr>
      <w:r w:rsidRPr="0020305F">
        <w:t>-</w:t>
      </w:r>
      <w:r w:rsidRPr="0020305F">
        <w:tab/>
        <w:t xml:space="preserve">a PUCCH resource for the transmission of the PUCCH </w:t>
      </w:r>
      <w:r w:rsidRPr="0020305F">
        <w:rPr>
          <w:lang w:val="en-US"/>
        </w:rPr>
        <w:t xml:space="preserve">is indicated by </w:t>
      </w:r>
      <w:r w:rsidRPr="0020305F">
        <w:rPr>
          <w:lang w:eastAsia="zh-CN"/>
        </w:rPr>
        <w:t>PUCCH resource indicator</w:t>
      </w:r>
      <w:r w:rsidRPr="0020305F">
        <w:t xml:space="preserve"> field of </w:t>
      </w:r>
      <w:r w:rsidRPr="0020305F">
        <w:rPr>
          <w:lang w:val="en-US"/>
        </w:rPr>
        <w:t>4 bits in the successRAR</w:t>
      </w:r>
      <w:r w:rsidRPr="0020305F">
        <w:t xml:space="preserve"> from a PUCCH resource set that is provided by </w:t>
      </w:r>
      <w:r w:rsidRPr="0020305F">
        <w:rPr>
          <w:i/>
        </w:rPr>
        <w:t>pucch-</w:t>
      </w:r>
      <w:r w:rsidRPr="0020305F">
        <w:rPr>
          <w:i/>
          <w:lang w:val="en-US"/>
        </w:rPr>
        <w:t>ResourceCommon</w:t>
      </w:r>
      <w:r w:rsidRPr="0020305F">
        <w:rPr>
          <w:lang w:val="en-US"/>
        </w:rPr>
        <w:t xml:space="preserve"> </w:t>
      </w:r>
    </w:p>
    <w:p w14:paraId="13F77FD9" w14:textId="4BD40735" w:rsidR="00AB5B8F" w:rsidRPr="0020305F" w:rsidRDefault="00AB5B8F" w:rsidP="00A312BF">
      <w:pPr>
        <w:pStyle w:val="B2"/>
      </w:pPr>
      <w:r w:rsidRPr="0020305F">
        <w:t>-</w:t>
      </w:r>
      <w:r w:rsidRPr="0020305F">
        <w:tab/>
        <w:t xml:space="preserve">a slot for the PUCCH transmission is indicated by a </w:t>
      </w:r>
      <w:r w:rsidR="00BA745E" w:rsidRPr="00425E51">
        <w:t>HARQ Feedback Timing Indicator</w:t>
      </w:r>
      <w:r w:rsidRPr="0020305F">
        <w:t xml:space="preserve"> field of 3 bits in the successRAR</w:t>
      </w:r>
      <w:r w:rsidRPr="0020305F">
        <w:rPr>
          <w:rFonts w:eastAsia="Calibri"/>
        </w:rPr>
        <w:t xml:space="preserve"> having a value </w:t>
      </w:r>
      <m:oMath>
        <m:r>
          <w:rPr>
            <w:rFonts w:ascii="Cambria Math" w:hAnsi="Cambria Math"/>
          </w:rPr>
          <m:t>k</m:t>
        </m:r>
      </m:oMath>
      <w:r w:rsidRPr="0020305F">
        <w:rPr>
          <w:rFonts w:eastAsia="Calibri"/>
        </w:rPr>
        <w:t xml:space="preserve"> from</w:t>
      </w:r>
      <w:r w:rsidRPr="0020305F">
        <w:rPr>
          <w:lang w:eastAsia="zh-CN"/>
        </w:rPr>
        <w:t xml:space="preserve"> {1, 2, 3, 4, 5, 6, 7, 8} </w:t>
      </w:r>
      <w:r w:rsidR="00B956F2" w:rsidRPr="005C5356">
        <w:rPr>
          <w:lang w:eastAsia="zh-CN"/>
        </w:rPr>
        <w:t xml:space="preserve">for </w:t>
      </w:r>
      <m:oMath>
        <m:r>
          <w:rPr>
            <w:rFonts w:ascii="Cambria Math" w:hAnsi="Cambria Math"/>
            <w:lang w:eastAsia="zh-CN"/>
          </w:rPr>
          <m:t>μ≤3</m:t>
        </m:r>
      </m:oMath>
      <w:r w:rsidR="00B956F2" w:rsidRPr="005C5356">
        <w:rPr>
          <w:lang w:eastAsia="zh-CN"/>
        </w:rPr>
        <w:t xml:space="preserve">, </w:t>
      </w:r>
      <w:r w:rsidR="00B956F2" w:rsidRPr="005C5356">
        <w:rPr>
          <w:lang w:val="en-US" w:eastAsia="zh-CN"/>
        </w:rPr>
        <w:t xml:space="preserve">from </w:t>
      </w:r>
      <w:r w:rsidR="00B956F2" w:rsidRPr="005C5356">
        <w:rPr>
          <w:lang w:eastAsia="zh-CN"/>
        </w:rPr>
        <w:t>{</w:t>
      </w:r>
      <w:r w:rsidR="00B956F2" w:rsidRPr="005C5356">
        <w:rPr>
          <w:iCs/>
          <w:lang w:eastAsia="zh-CN"/>
        </w:rPr>
        <w:t xml:space="preserve">7, 8, 12, 16, 20, 24, 28, 32} for </w:t>
      </w:r>
      <m:oMath>
        <m:r>
          <w:rPr>
            <w:rFonts w:ascii="Cambria Math" w:hAnsi="Cambria Math"/>
            <w:lang w:eastAsia="zh-CN"/>
          </w:rPr>
          <m:t>μ=5</m:t>
        </m:r>
      </m:oMath>
      <w:r w:rsidR="00B956F2" w:rsidRPr="005C5356">
        <w:rPr>
          <w:lang w:eastAsia="zh-CN"/>
        </w:rPr>
        <w:t xml:space="preserve">, </w:t>
      </w:r>
      <w:r w:rsidR="00B956F2" w:rsidRPr="005C5356">
        <w:rPr>
          <w:lang w:val="en-US" w:eastAsia="zh-CN"/>
        </w:rPr>
        <w:t>and</w:t>
      </w:r>
      <w:r w:rsidR="00B956F2" w:rsidRPr="005C5356">
        <w:rPr>
          <w:lang w:eastAsia="zh-CN"/>
        </w:rPr>
        <w:t xml:space="preserve"> </w:t>
      </w:r>
      <w:r w:rsidR="00B956F2" w:rsidRPr="005C5356">
        <w:rPr>
          <w:lang w:val="en-US" w:eastAsia="zh-CN"/>
        </w:rPr>
        <w:t xml:space="preserve">from </w:t>
      </w:r>
      <w:r w:rsidR="00B956F2" w:rsidRPr="005C5356">
        <w:rPr>
          <w:iCs/>
          <w:lang w:eastAsia="zh-CN"/>
        </w:rPr>
        <w:t xml:space="preserve">{13, 16, 24, 32, 40, 48, 56, 64} for </w:t>
      </w:r>
      <m:oMath>
        <m:r>
          <w:rPr>
            <w:rFonts w:ascii="Cambria Math" w:hAnsi="Cambria Math"/>
            <w:lang w:eastAsia="zh-CN"/>
          </w:rPr>
          <m:t>μ=6</m:t>
        </m:r>
      </m:oMath>
      <w:r w:rsidR="00B956F2" w:rsidRPr="005C5356">
        <w:rPr>
          <w:lang w:val="en-US" w:eastAsia="zh-CN"/>
        </w:rPr>
        <w:t xml:space="preserve"> </w:t>
      </w:r>
      <w:r w:rsidRPr="0020305F">
        <w:rPr>
          <w:lang w:eastAsia="zh-CN"/>
        </w:rPr>
        <w:t xml:space="preserve">and, with reference to slots for PUCCH transmission having duration </w:t>
      </w:r>
      <m:oMath>
        <m:sSub>
          <m:sSubPr>
            <m:ctrlPr>
              <w:rPr>
                <w:rFonts w:ascii="Cambria Math" w:hAnsi="Cambria Math"/>
                <w:i/>
              </w:rPr>
            </m:ctrlPr>
          </m:sSubPr>
          <m:e>
            <m:r>
              <w:rPr>
                <w:rFonts w:ascii="Cambria Math"/>
              </w:rPr>
              <m:t>T</m:t>
            </m:r>
          </m:e>
          <m:sub>
            <m:r>
              <w:rPr>
                <w:rFonts w:ascii="Cambria Math" w:hAnsi="Cambria Math"/>
              </w:rPr>
              <m:t>slot</m:t>
            </m:r>
          </m:sub>
        </m:sSub>
      </m:oMath>
      <w:r w:rsidRPr="0020305F">
        <w:t xml:space="preserve">, </w:t>
      </w:r>
      <w:r w:rsidRPr="0020305F">
        <w:rPr>
          <w:lang w:eastAsia="zh-CN"/>
        </w:rPr>
        <w:t xml:space="preserve">the slot is determined as </w:t>
      </w:r>
      <m:oMath>
        <m:r>
          <w:rPr>
            <w:rFonts w:ascii="Cambria Math"/>
          </w:rPr>
          <m:t>n+k+</m:t>
        </m:r>
        <m:r>
          <w:rPr>
            <w:rFonts w:ascii="Cambria Math" w:hAnsi="Cambria Math"/>
          </w:rPr>
          <m:t>∆</m:t>
        </m:r>
        <m:sSup>
          <m:sSupPr>
            <m:ctrlPr>
              <w:rPr>
                <w:rFonts w:ascii="Cambria Math" w:eastAsia="MS Mincho" w:hAnsi="Cambria Math"/>
                <w:i/>
                <w:kern w:val="2"/>
              </w:rPr>
            </m:ctrlPr>
          </m:sSupPr>
          <m:e>
            <m:r>
              <w:rPr>
                <w:rFonts w:ascii="Cambria Math" w:eastAsia="MS Mincho" w:hAnsi="Cambria Math"/>
                <w:kern w:val="2"/>
              </w:rPr>
              <m:t>+2</m:t>
            </m:r>
          </m:e>
          <m:sup>
            <m:r>
              <w:rPr>
                <w:rFonts w:ascii="Cambria Math" w:eastAsia="MS Mincho" w:hAnsi="Cambria Math"/>
                <w:kern w:val="2"/>
              </w:rPr>
              <m:t>μ</m:t>
            </m:r>
          </m:sup>
        </m:sSup>
        <m:r>
          <w:rPr>
            <w:rFonts w:ascii="Cambria Math" w:eastAsia="MS Mincho" w:hAnsi="Cambria Math"/>
            <w:kern w:val="2"/>
          </w:rPr>
          <m:t>∙</m:t>
        </m:r>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cell,offset</m:t>
            </m:r>
          </m:sub>
        </m:sSub>
      </m:oMath>
      <w:r w:rsidR="00216B48">
        <w:t xml:space="preserve">, </w:t>
      </w:r>
      <w:r w:rsidRPr="0020305F">
        <w:t xml:space="preserve">where </w:t>
      </w:r>
      <m:oMath>
        <m:r>
          <w:rPr>
            <w:rFonts w:ascii="Cambria Math"/>
          </w:rPr>
          <m:t>n</m:t>
        </m:r>
      </m:oMath>
      <w:r w:rsidRPr="0020305F">
        <w:t xml:space="preserve"> is </w:t>
      </w:r>
      <w:r w:rsidR="002A0AA2">
        <w:rPr>
          <w:lang w:val="en-GB"/>
        </w:rPr>
        <w:t>the last</w:t>
      </w:r>
      <w:r w:rsidR="002A0AA2" w:rsidRPr="0020305F">
        <w:t xml:space="preserve"> </w:t>
      </w:r>
      <w:r w:rsidRPr="0020305F">
        <w:t xml:space="preserve">slot </w:t>
      </w:r>
      <w:r w:rsidR="002A0AA2">
        <w:rPr>
          <w:rFonts w:hint="eastAsia"/>
          <w:lang w:eastAsia="zh-CN"/>
        </w:rPr>
        <w:t>that overlaps with the DL slot for</w:t>
      </w:r>
      <w:r w:rsidRPr="0020305F">
        <w:t xml:space="preserve"> the PDSCH reception</w:t>
      </w:r>
      <w:r w:rsidR="00B551A9">
        <w:rPr>
          <w:lang w:val="en-US"/>
        </w:rPr>
        <w:t>,</w:t>
      </w:r>
      <w:r w:rsidRPr="0020305F">
        <w:t xml:space="preserve"> </w:t>
      </w:r>
      <m:oMath>
        <m:r>
          <w:rPr>
            <w:rFonts w:ascii="Cambria Math" w:hAnsi="Cambria Math"/>
          </w:rPr>
          <m:t>∆</m:t>
        </m:r>
      </m:oMath>
      <w:r w:rsidRPr="0020305F">
        <w:t xml:space="preserve"> is as defined for PUSCH transmission in Table 6.1.2.1.1-5 of [6, TS 38.214]</w:t>
      </w:r>
      <w:r w:rsidR="00B551A9">
        <w:rPr>
          <w:lang w:val="en-US"/>
        </w:rPr>
        <w:t xml:space="preserve">, </w:t>
      </w:r>
      <m:oMath>
        <m:r>
          <w:rPr>
            <w:rFonts w:ascii="Cambria Math" w:eastAsia="MS Mincho" w:hAnsi="Cambria Math"/>
            <w:kern w:val="2"/>
          </w:rPr>
          <m:t>μ</m:t>
        </m:r>
      </m:oMath>
      <w:r w:rsidR="00B551A9">
        <w:rPr>
          <w:kern w:val="2"/>
          <w:lang w:val="en-US"/>
        </w:rPr>
        <w:t xml:space="preserve"> is the SCS configuration of the active UL BWP, and </w:t>
      </w:r>
      <m:oMath>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cell,offset</m:t>
            </m:r>
          </m:sub>
        </m:sSub>
      </m:oMath>
      <w:r w:rsidR="00B551A9">
        <w:rPr>
          <w:kern w:val="2"/>
        </w:rPr>
        <w:t xml:space="preserve"> </w:t>
      </w:r>
      <w:r w:rsidR="00B551A9">
        <w:t>is</w:t>
      </w:r>
      <w:r w:rsidR="00B551A9">
        <w:rPr>
          <w:kern w:val="2"/>
        </w:rPr>
        <w:t xml:space="preserve"> </w:t>
      </w:r>
      <w:r w:rsidR="00B551A9">
        <w:t xml:space="preserve">provided by </w:t>
      </w:r>
      <w:r w:rsidR="00E761DC">
        <w:rPr>
          <w:i/>
          <w:lang w:val="en-US"/>
        </w:rPr>
        <w:t>c</w:t>
      </w:r>
      <w:r w:rsidR="00E761DC" w:rsidRPr="00FE56DB">
        <w:rPr>
          <w:i/>
          <w:lang w:val="en-US"/>
        </w:rPr>
        <w:t>ellSpecific</w:t>
      </w:r>
      <w:r w:rsidR="007E56E4" w:rsidRPr="00FE56DB">
        <w:rPr>
          <w:i/>
          <w:lang w:val="en-US"/>
        </w:rPr>
        <w:t>Koffset</w:t>
      </w:r>
      <w:r w:rsidR="00B551A9">
        <w:rPr>
          <w:lang w:val="en-US"/>
        </w:rPr>
        <w:t>; otherwise,</w:t>
      </w:r>
      <w:r w:rsidR="00B551A9">
        <w:rPr>
          <w:iCs/>
        </w:rPr>
        <w:t xml:space="preserve"> if not provided, </w:t>
      </w:r>
      <m:oMath>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cell,offset</m:t>
            </m:r>
          </m:sub>
        </m:sSub>
        <m:r>
          <w:rPr>
            <w:rFonts w:ascii="Cambria Math" w:eastAsia="MS Mincho" w:hAnsi="Cambria Math"/>
            <w:kern w:val="2"/>
          </w:rPr>
          <m:t>=0</m:t>
        </m:r>
      </m:oMath>
    </w:p>
    <w:p w14:paraId="18F06C18" w14:textId="2DEA2F8A" w:rsidR="00AB5B8F" w:rsidRDefault="00AB5B8F" w:rsidP="00A312BF">
      <w:pPr>
        <w:pStyle w:val="B3"/>
      </w:pPr>
      <w:r w:rsidRPr="0020305F">
        <w:t>-</w:t>
      </w:r>
      <w:r w:rsidRPr="0020305F">
        <w:tab/>
      </w:r>
      <w:r w:rsidRPr="0020305F">
        <w:rPr>
          <w:rFonts w:eastAsia="Calibri"/>
        </w:rPr>
        <w:t xml:space="preserve">the UE does not expect the first symbol of the PUCCH transmission to be after the last symbol of the PDSCH reception by a time smaller than </w:t>
      </w:r>
      <m:oMath>
        <m:sSub>
          <m:sSubPr>
            <m:ctrlPr>
              <w:rPr>
                <w:rFonts w:ascii="Cambria Math" w:hAnsi="Cambria Math"/>
                <w:i/>
              </w:rPr>
            </m:ctrlPr>
          </m:sSubPr>
          <m:e>
            <m:r>
              <w:rPr>
                <w:rFonts w:ascii="Cambria Math"/>
              </w:rPr>
              <m:t>N</m:t>
            </m:r>
          </m:e>
          <m:sub>
            <m:r>
              <w:rPr>
                <w:rFonts w:ascii="Cambria Math" w:hAnsi="Cambria Math"/>
              </w:rPr>
              <m:t>T,1</m:t>
            </m:r>
          </m:sub>
        </m:sSub>
        <m:r>
          <w:rPr>
            <w:rFonts w:ascii="Cambria Math"/>
          </w:rPr>
          <m:t>+0.5</m:t>
        </m:r>
      </m:oMath>
      <w:r w:rsidRPr="0020305F">
        <w:rPr>
          <w:rFonts w:eastAsia="Calibri"/>
        </w:rPr>
        <w:t xml:space="preserve"> msec where </w:t>
      </w:r>
      <m:oMath>
        <m:sSub>
          <m:sSubPr>
            <m:ctrlPr>
              <w:rPr>
                <w:rFonts w:ascii="Cambria Math" w:hAnsi="Cambria Math"/>
                <w:i/>
              </w:rPr>
            </m:ctrlPr>
          </m:sSubPr>
          <m:e>
            <m:r>
              <w:rPr>
                <w:rFonts w:ascii="Cambria Math"/>
              </w:rPr>
              <m:t>N</m:t>
            </m:r>
          </m:e>
          <m:sub>
            <m:r>
              <w:rPr>
                <w:rFonts w:ascii="Cambria Math" w:hAnsi="Cambria Math"/>
              </w:rPr>
              <m:t>T,1</m:t>
            </m:r>
          </m:sub>
        </m:sSub>
      </m:oMath>
      <w:r w:rsidRPr="0020305F">
        <w:rPr>
          <w:rFonts w:eastAsia="Calibri"/>
        </w:rPr>
        <w:t xml:space="preserve"> </w:t>
      </w:r>
      <w:r w:rsidRPr="0020305F">
        <w:t>is the PDSCH processing time for UE processing capability 1 [6, TS 38.214]</w:t>
      </w:r>
    </w:p>
    <w:p w14:paraId="34A1C030" w14:textId="77777777" w:rsidR="00FA4CFB" w:rsidRPr="00FA4CFB" w:rsidRDefault="006B633C" w:rsidP="00FA4CFB">
      <w:pPr>
        <w:pStyle w:val="B2"/>
        <w:rPr>
          <w:lang w:val="en-US"/>
        </w:rPr>
      </w:pPr>
      <w:r>
        <w:rPr>
          <w:lang w:val="en-US"/>
        </w:rPr>
        <w:t>-</w:t>
      </w:r>
      <w:r>
        <w:rPr>
          <w:lang w:val="en-US"/>
        </w:rPr>
        <w:tab/>
      </w:r>
      <w:r w:rsidRPr="0026039B">
        <w:t>for operation with shared spectrum channel access</w:t>
      </w:r>
      <w:r w:rsidR="00FA4CFB">
        <w:rPr>
          <w:lang w:val="en-US"/>
        </w:rPr>
        <w:t xml:space="preserve"> in FR1</w:t>
      </w:r>
      <w:r>
        <w:rPr>
          <w:lang w:val="en-US"/>
        </w:rPr>
        <w:t>,</w:t>
      </w:r>
      <w:r w:rsidRPr="0026039B">
        <w:t xml:space="preserve"> a channel access type and CP extension [15, TS 37.213]</w:t>
      </w:r>
      <w:r>
        <w:rPr>
          <w:lang w:val="en-US"/>
        </w:rPr>
        <w:t xml:space="preserve"> </w:t>
      </w:r>
      <w:r w:rsidRPr="0026039B">
        <w:t xml:space="preserve">for </w:t>
      </w:r>
      <w:r>
        <w:rPr>
          <w:lang w:val="en-US"/>
        </w:rPr>
        <w:t xml:space="preserve">a </w:t>
      </w:r>
      <w:r w:rsidRPr="0026039B">
        <w:t>PUCCH transmission is indicated by</w:t>
      </w:r>
      <w:r>
        <w:rPr>
          <w:lang w:val="en-US"/>
        </w:rPr>
        <w:t xml:space="preserve"> a</w:t>
      </w:r>
      <w:r w:rsidRPr="0026039B">
        <w:t xml:space="preserve"> Cha</w:t>
      </w:r>
      <w:r>
        <w:t>nnelAccess-CPext field</w:t>
      </w:r>
      <w:r w:rsidRPr="0026039B">
        <w:t xml:space="preserve"> in the successRAR </w:t>
      </w:r>
      <w:r w:rsidR="00AB331D" w:rsidRPr="00C453D7">
        <w:t xml:space="preserve">as defined in Table 7.3.1.1.1-4 in </w:t>
      </w:r>
      <w:r w:rsidR="009630C1">
        <w:t xml:space="preserve">[5, </w:t>
      </w:r>
      <w:r w:rsidR="00AB331D" w:rsidRPr="00C453D7">
        <w:t>TS 38.212</w:t>
      </w:r>
      <w:r w:rsidR="009630C1">
        <w:rPr>
          <w:lang w:val="en-GB"/>
        </w:rPr>
        <w:t>]</w:t>
      </w:r>
      <w:r w:rsidR="008A4761" w:rsidRPr="002F06D1">
        <w:t xml:space="preserve"> or Table 7.3.1.1.1-4A in </w:t>
      </w:r>
      <w:r w:rsidR="009630C1">
        <w:t xml:space="preserve">[5, </w:t>
      </w:r>
      <w:r w:rsidR="008A4761" w:rsidRPr="002F06D1">
        <w:t>TS 38.212</w:t>
      </w:r>
      <w:r w:rsidR="009630C1">
        <w:rPr>
          <w:lang w:val="en-GB"/>
        </w:rPr>
        <w:t>]</w:t>
      </w:r>
      <w:r w:rsidR="008A4761" w:rsidRPr="002F06D1">
        <w:t xml:space="preserve"> if </w:t>
      </w:r>
      <w:r w:rsidR="009630C1">
        <w:rPr>
          <w:i/>
          <w:lang w:val="en-GB" w:eastAsia="zh-CN"/>
        </w:rPr>
        <w:t>c</w:t>
      </w:r>
      <w:r w:rsidR="009630C1" w:rsidRPr="002F06D1">
        <w:rPr>
          <w:i/>
          <w:lang w:eastAsia="zh-CN"/>
        </w:rPr>
        <w:t>hannelAccessMode</w:t>
      </w:r>
      <w:r w:rsidR="008A4761" w:rsidRPr="002F06D1">
        <w:rPr>
          <w:lang w:eastAsia="zh-CN"/>
        </w:rPr>
        <w:t xml:space="preserve"> = "</w:t>
      </w:r>
      <w:r w:rsidR="003817EF" w:rsidRPr="002F06D1">
        <w:rPr>
          <w:i/>
          <w:iCs/>
        </w:rPr>
        <w:t>semi</w:t>
      </w:r>
      <w:r w:rsidR="003817EF">
        <w:rPr>
          <w:i/>
          <w:iCs/>
          <w:lang w:val="en-GB"/>
        </w:rPr>
        <w:t>S</w:t>
      </w:r>
      <w:r w:rsidR="003817EF" w:rsidRPr="002F06D1">
        <w:rPr>
          <w:i/>
          <w:iCs/>
        </w:rPr>
        <w:t>tatic</w:t>
      </w:r>
      <w:r w:rsidR="008A4761" w:rsidRPr="002F06D1">
        <w:rPr>
          <w:lang w:eastAsia="zh-CN"/>
        </w:rPr>
        <w:t>"</w:t>
      </w:r>
      <w:r w:rsidR="008A4761" w:rsidRPr="002F06D1">
        <w:t xml:space="preserve"> is provided</w:t>
      </w:r>
    </w:p>
    <w:p w14:paraId="457F0361" w14:textId="3C56CD9A" w:rsidR="006B633C" w:rsidRPr="00CC5DCD" w:rsidRDefault="00FA4CFB" w:rsidP="00FA4CFB">
      <w:pPr>
        <w:pStyle w:val="B2"/>
        <w:rPr>
          <w:lang w:val="en-US"/>
        </w:rPr>
      </w:pPr>
      <w:r w:rsidRPr="00FA4CFB">
        <w:rPr>
          <w:lang w:val="en-US"/>
        </w:rPr>
        <w:t>-</w:t>
      </w:r>
      <w:r w:rsidRPr="00FA4CFB">
        <w:rPr>
          <w:lang w:val="en-US"/>
        </w:rPr>
        <w:tab/>
        <w:t>for operation with shared spectrum channel access in FR2-2, a channel access type [15, TS 37.213] for a PUCCH transmission is indicated by a ChannelAccess-CPext field in the successRAR as defined in Table 7.3.1.1.1-4B in [5, TS 38.212</w:t>
      </w:r>
      <w:r w:rsidRPr="00FA4CFB">
        <w:rPr>
          <w:lang w:val="en-GB"/>
        </w:rPr>
        <w:t>]</w:t>
      </w:r>
      <w:r w:rsidRPr="00FA4CFB">
        <w:rPr>
          <w:lang w:val="en-US"/>
        </w:rPr>
        <w:t xml:space="preserve"> </w:t>
      </w:r>
      <w:r w:rsidRPr="00FA4CFB">
        <w:rPr>
          <w:lang w:val="en-GB" w:eastAsia="zh-CN"/>
        </w:rPr>
        <w:t xml:space="preserve">if </w:t>
      </w:r>
      <w:r w:rsidRPr="00FA4CFB">
        <w:rPr>
          <w:i/>
          <w:lang w:val="en-GB" w:eastAsia="zh-CN"/>
        </w:rPr>
        <w:t>ChannelAccessMode2-r17</w:t>
      </w:r>
      <w:r w:rsidRPr="00FA4CFB">
        <w:rPr>
          <w:lang w:val="en-GB" w:eastAsia="zh-CN"/>
        </w:rPr>
        <w:t xml:space="preserve"> is provided</w:t>
      </w:r>
    </w:p>
    <w:p w14:paraId="5A6F9A67" w14:textId="77777777" w:rsidR="00AB5B8F" w:rsidRPr="0020305F" w:rsidRDefault="00AB5B8F" w:rsidP="00A312BF">
      <w:pPr>
        <w:pStyle w:val="B2"/>
        <w:rPr>
          <w:rFonts w:eastAsia="Calibri"/>
        </w:rPr>
      </w:pPr>
      <w:r w:rsidRPr="0020305F">
        <w:t>-</w:t>
      </w:r>
      <w:r w:rsidRPr="0020305F">
        <w:tab/>
      </w:r>
      <w:r w:rsidRPr="0020305F">
        <w:rPr>
          <w:rFonts w:eastAsia="Calibri"/>
        </w:rPr>
        <w:t>the PUCCH transmission is with a</w:t>
      </w:r>
      <w:r w:rsidRPr="0020305F">
        <w:t xml:space="preserve"> same spatial domain transmission filter and in a same active UL BWP </w:t>
      </w:r>
      <w:r w:rsidRPr="0020305F">
        <w:rPr>
          <w:bCs/>
        </w:rPr>
        <w:t>as a last PUSCH transmission</w:t>
      </w:r>
    </w:p>
    <w:p w14:paraId="0683386A" w14:textId="77777777" w:rsidR="00AB5B8F" w:rsidRDefault="00AB5B8F" w:rsidP="00AB5B8F">
      <w:r w:rsidRPr="001E280E">
        <w:t xml:space="preserve">If the UE detects the DCI format 1_0 with CRC scrambled by </w:t>
      </w:r>
      <w:r>
        <w:t>a</w:t>
      </w:r>
      <w:r w:rsidRPr="001E280E">
        <w:t xml:space="preserve"> </w:t>
      </w:r>
      <w:r>
        <w:t>C</w:t>
      </w:r>
      <w:r w:rsidRPr="001E280E">
        <w:t xml:space="preserve">-RNTI and a transport block in a corresponding PDSCH within the window, the UE </w:t>
      </w:r>
      <w:r>
        <w:t xml:space="preserve">transmits a PUCCH with HARQ-ACK information having ACK value if the UE correctly detects the transport block or NACK value if the UE incorrectly detects the transport block and the </w:t>
      </w:r>
      <w:r w:rsidRPr="0072614D">
        <w:t>time alignment timer is running</w:t>
      </w:r>
      <w:r>
        <w:t xml:space="preserve"> </w:t>
      </w:r>
      <w:r w:rsidRPr="00A67C34">
        <w:t>[</w:t>
      </w:r>
      <w:r w:rsidRPr="001E280E">
        <w:rPr>
          <w:lang w:val="en-US"/>
        </w:rPr>
        <w:t>11, TS 38.321</w:t>
      </w:r>
      <w:r w:rsidRPr="001E280E">
        <w:t>]</w:t>
      </w:r>
      <w:r w:rsidRPr="00657C8A">
        <w:t>.</w:t>
      </w:r>
      <w:r>
        <w:t xml:space="preserve"> </w:t>
      </w:r>
    </w:p>
    <w:p w14:paraId="02FBDB51" w14:textId="2829049C" w:rsidR="00976364" w:rsidRPr="00280520" w:rsidRDefault="00976364" w:rsidP="008D7B0A">
      <w:r w:rsidRPr="00280520">
        <w:t xml:space="preserve">If the UE detects a DCI format 1_0 with CRC scrambled by the corresponding MsgB-RNTI and receives a transport block </w:t>
      </w:r>
      <w:r>
        <w:t xml:space="preserve">within the window </w:t>
      </w:r>
      <w:r w:rsidRPr="00280520">
        <w:t xml:space="preserve">in a corresponding PDSCH, the UE may assume same DM-RS antenna port quasi co-location properties, as described in [6, TS 38.214], as for a SS/PBCH block the UE used for PRACH association, as described </w:t>
      </w:r>
      <w:r w:rsidR="006F5F9E">
        <w:t>in clause</w:t>
      </w:r>
      <w:r w:rsidRPr="00280520">
        <w:t xml:space="preserve"> 8.1</w:t>
      </w:r>
      <w:r w:rsidRPr="00280520">
        <w:rPr>
          <w:lang w:eastAsia="zh-CN"/>
        </w:rPr>
        <w:t xml:space="preserve">, regardless of whether or not the UE is provided </w:t>
      </w:r>
      <w:r w:rsidRPr="00280520">
        <w:rPr>
          <w:i/>
        </w:rPr>
        <w:t>TCI-State</w:t>
      </w:r>
      <w:r w:rsidRPr="00280520">
        <w:rPr>
          <w:lang w:eastAsia="zh-CN"/>
        </w:rPr>
        <w:t xml:space="preserve"> for the CORESET where the UE receives the PDCCH with the DCI format 1_0</w:t>
      </w:r>
      <w:r w:rsidRPr="00280520">
        <w:t>.</w:t>
      </w:r>
    </w:p>
    <w:p w14:paraId="776815D9" w14:textId="6904E46E" w:rsidR="00AB5B8F" w:rsidRPr="00081CAC" w:rsidRDefault="00AB5B8F" w:rsidP="00AB5B8F">
      <w:pPr>
        <w:rPr>
          <w:lang w:val="en-US"/>
        </w:rPr>
      </w:pPr>
      <w:r>
        <w:t>The UE does not expect to be indicated to transmit the PUCCH with the HARQ-ACK information at a time that is prior to a time when the UE applies a TA command that is provided by the transport block.</w:t>
      </w:r>
      <w:r w:rsidR="00216B48">
        <w:t xml:space="preserve"> </w:t>
      </w:r>
      <w:r w:rsidRPr="00FE55CB">
        <w:t xml:space="preserve">If the UE does not detect the DCI format 1_0 with CRC scrambled by the corresponding </w:t>
      </w:r>
      <w:r w:rsidR="00216B48">
        <w:t>MsgB</w:t>
      </w:r>
      <w:r w:rsidRPr="00FE55CB">
        <w:t xml:space="preserve">-RNTI within the window, </w:t>
      </w:r>
      <w:r w:rsidR="00173EDA">
        <w:t xml:space="preserve">or if the UE detects the DCI format </w:t>
      </w:r>
      <w:r w:rsidR="00173EDA" w:rsidRPr="00FE55CB">
        <w:t xml:space="preserve">1_0 with CRC scrambled by the corresponding </w:t>
      </w:r>
      <w:r w:rsidR="00173EDA">
        <w:t>MsgB</w:t>
      </w:r>
      <w:r w:rsidR="00173EDA" w:rsidRPr="00FE55CB">
        <w:t xml:space="preserve">-RNTI within the window </w:t>
      </w:r>
      <w:r w:rsidR="00173EDA">
        <w:t xml:space="preserve">and LSBs of a SFN field in the DCI format 1_0, if applicable, are not same as corresponding LSBs of the SFN where the UE transmitted the PRACH, </w:t>
      </w:r>
      <w:r w:rsidRPr="00FE55CB">
        <w:t>or if the UE does not correctly receive the transport block in the corresponding PDSCH within the window, or if the higher layers do not identif</w:t>
      </w:r>
      <w:r w:rsidRPr="001444F0">
        <w:t>y the RAPID associated with the PRACH transmission from the UE, the higher layers can indicate to the physical layer to transmit</w:t>
      </w:r>
      <w:r w:rsidRPr="002C69AE">
        <w:t xml:space="preserve"> </w:t>
      </w:r>
      <w:r>
        <w:t xml:space="preserve">only </w:t>
      </w:r>
      <w:r w:rsidRPr="00657C8A">
        <w:t xml:space="preserve">PRACH </w:t>
      </w:r>
      <w:r>
        <w:t xml:space="preserve">according to Type-1 random access procedure or to transmit both PRACH </w:t>
      </w:r>
      <w:r w:rsidRPr="00657C8A">
        <w:t>and PUSCH</w:t>
      </w:r>
      <w:r>
        <w:t xml:space="preserve"> according to Type-2 random access procedure </w:t>
      </w:r>
      <w:r w:rsidRPr="00A67C34">
        <w:t>[</w:t>
      </w:r>
      <w:r w:rsidRPr="001E280E">
        <w:rPr>
          <w:lang w:val="en-US"/>
        </w:rPr>
        <w:t>11, TS 38.321</w:t>
      </w:r>
      <w:r w:rsidRPr="001E280E">
        <w:t>]</w:t>
      </w:r>
      <w:r w:rsidRPr="00657C8A">
        <w:t xml:space="preserve">. </w:t>
      </w:r>
      <w:r w:rsidRPr="00657C8A">
        <w:rPr>
          <w:lang w:val="en-US"/>
        </w:rPr>
        <w:t xml:space="preserve">If requested by higher layers, </w:t>
      </w:r>
      <w:r w:rsidRPr="00C1639F">
        <w:t xml:space="preserve">the UE </w:t>
      </w:r>
      <w:r w:rsidR="005D78E0" w:rsidRPr="00C1639F">
        <w:rPr>
          <w:rFonts w:eastAsia="DengXian"/>
        </w:rPr>
        <w:t>shall be ready</w:t>
      </w:r>
      <w:r w:rsidRPr="00C1639F">
        <w:t xml:space="preserve"> to transmit a PRACH no later than </w:t>
      </w:r>
      <m:oMath>
        <m:sSub>
          <m:sSubPr>
            <m:ctrlPr>
              <w:rPr>
                <w:rFonts w:ascii="Cambria Math" w:hAnsi="Cambria Math"/>
                <w:i/>
              </w:rPr>
            </m:ctrlPr>
          </m:sSubPr>
          <m:e>
            <m:r>
              <w:rPr>
                <w:rFonts w:ascii="Cambria Math"/>
              </w:rPr>
              <m:t>N</m:t>
            </m:r>
          </m:e>
          <m:sub>
            <m:r>
              <m:rPr>
                <m:nor/>
              </m:rPr>
              <w:rPr>
                <w:rFonts w:ascii="Cambria Math"/>
              </w:rPr>
              <m:t>T,1</m:t>
            </m:r>
            <m:ctrlPr>
              <w:rPr>
                <w:rFonts w:ascii="Cambria Math" w:hAnsi="Cambria Math"/>
              </w:rPr>
            </m:ctrlPr>
          </m:sub>
        </m:sSub>
        <m:r>
          <w:rPr>
            <w:rFonts w:ascii="Cambria Math"/>
          </w:rPr>
          <m:t>+0.75</m:t>
        </m:r>
      </m:oMath>
      <w:r w:rsidRPr="00C1639F">
        <w:t xml:space="preserve"> </w:t>
      </w:r>
      <w:r w:rsidRPr="00C1639F">
        <w:rPr>
          <w:lang w:val="en-US"/>
        </w:rPr>
        <w:t xml:space="preserve">msec </w:t>
      </w:r>
      <w:r w:rsidRPr="00C1639F">
        <w:t xml:space="preserve">after the last symbol of the window, or the </w:t>
      </w:r>
      <w:r w:rsidRPr="001E280E">
        <w:t>last symbol of the PDSCH reception,</w:t>
      </w:r>
      <w:r w:rsidRPr="001E280E">
        <w:rPr>
          <w:lang w:val="en-US"/>
        </w:rPr>
        <w:t xml:space="preserve"> where </w:t>
      </w:r>
      <m:oMath>
        <m:sSub>
          <m:sSubPr>
            <m:ctrlPr>
              <w:rPr>
                <w:rFonts w:ascii="Cambria Math" w:hAnsi="Cambria Math"/>
                <w:i/>
              </w:rPr>
            </m:ctrlPr>
          </m:sSubPr>
          <m:e>
            <m:r>
              <w:rPr>
                <w:rFonts w:ascii="Cambria Math"/>
              </w:rPr>
              <m:t>N</m:t>
            </m:r>
          </m:e>
          <m:sub>
            <m:r>
              <m:rPr>
                <m:nor/>
              </m:rPr>
              <w:rPr>
                <w:rFonts w:ascii="Cambria Math"/>
              </w:rPr>
              <m:t>T,1</m:t>
            </m:r>
            <m:ctrlPr>
              <w:rPr>
                <w:rFonts w:ascii="Cambria Math" w:hAnsi="Cambria Math"/>
              </w:rPr>
            </m:ctrlPr>
          </m:sub>
        </m:sSub>
      </m:oMath>
      <w:r w:rsidRPr="001E280E">
        <w:t xml:space="preserve"> is a time duration of </w:t>
      </w:r>
      <m:oMath>
        <m:sSub>
          <m:sSubPr>
            <m:ctrlPr>
              <w:rPr>
                <w:rFonts w:ascii="Cambria Math" w:hAnsi="Cambria Math"/>
                <w:i/>
              </w:rPr>
            </m:ctrlPr>
          </m:sSubPr>
          <m:e>
            <m:r>
              <w:rPr>
                <w:rFonts w:ascii="Cambria Math"/>
              </w:rPr>
              <m:t>N</m:t>
            </m:r>
          </m:e>
          <m:sub>
            <m:r>
              <w:rPr>
                <w:rFonts w:ascii="Cambria Math"/>
              </w:rPr>
              <m:t>1</m:t>
            </m:r>
          </m:sub>
        </m:sSub>
      </m:oMath>
      <w:r w:rsidRPr="001E280E">
        <w:t xml:space="preserve"> symbols corresponding to a PDSCH processing time for UE processing capability 1 when additional PDSCH DM-RS is configured</w:t>
      </w:r>
      <w:r w:rsidRPr="001E280E">
        <w:rPr>
          <w:lang w:val="en-US"/>
        </w:rPr>
        <w:t xml:space="preserve">. </w:t>
      </w:r>
      <w:r w:rsidRPr="001E280E">
        <w:t xml:space="preserve">For </w:t>
      </w:r>
      <m:oMath>
        <m:r>
          <w:rPr>
            <w:rFonts w:ascii="Cambria Math"/>
          </w:rPr>
          <m:t>μ=0</m:t>
        </m:r>
      </m:oMath>
      <w:r w:rsidRPr="001E280E">
        <w:t xml:space="preserve">, the UE assumes </w:t>
      </w:r>
      <m:oMath>
        <m:sSub>
          <m:sSubPr>
            <m:ctrlPr>
              <w:rPr>
                <w:rFonts w:ascii="Cambria Math" w:hAnsi="Cambria Math"/>
                <w:i/>
              </w:rPr>
            </m:ctrlPr>
          </m:sSubPr>
          <m:e>
            <m:r>
              <w:rPr>
                <w:rFonts w:ascii="Cambria Math"/>
              </w:rPr>
              <m:t>N</m:t>
            </m:r>
          </m:e>
          <m:sub>
            <m:r>
              <m:rPr>
                <m:nor/>
              </m:rPr>
              <w:rPr>
                <w:rFonts w:ascii="Cambria Math"/>
              </w:rPr>
              <m:t>1,0</m:t>
            </m:r>
            <m:ctrlPr>
              <w:rPr>
                <w:rFonts w:ascii="Cambria Math" w:hAnsi="Cambria Math"/>
              </w:rPr>
            </m:ctrlPr>
          </m:sub>
        </m:sSub>
        <m:r>
          <w:rPr>
            <w:rFonts w:ascii="Cambria Math"/>
          </w:rPr>
          <m:t>=14</m:t>
        </m:r>
      </m:oMath>
      <w:r w:rsidRPr="001E280E">
        <w:t xml:space="preserve"> [6, TS 38.214]</w:t>
      </w:r>
      <w:r w:rsidRPr="001E280E">
        <w:rPr>
          <w:lang w:val="en-US"/>
        </w:rPr>
        <w:t>.</w:t>
      </w:r>
    </w:p>
    <w:p w14:paraId="6F1B0C42" w14:textId="77777777" w:rsidR="00AB5B8F" w:rsidRPr="001E280E" w:rsidRDefault="00AB5B8F" w:rsidP="00AB5B8F">
      <w:r w:rsidRPr="001E280E">
        <w:t>Unless the UE is configured a SCS, the UE receives subsequent PDSCH using same SCS as for the PDSCH reception providing the RAR message.</w:t>
      </w:r>
    </w:p>
    <w:p w14:paraId="7BB22580" w14:textId="5D8D750D" w:rsidR="00AB5B8F" w:rsidRPr="00B916EC" w:rsidRDefault="00AB5B8F" w:rsidP="00A10623">
      <w:r w:rsidRPr="001E280E">
        <w:lastRenderedPageBreak/>
        <w:t xml:space="preserve">If the UE does not detect the DCI format </w:t>
      </w:r>
      <w:r w:rsidR="00173EDA">
        <w:t xml:space="preserve">1_0 </w:t>
      </w:r>
      <w:r w:rsidRPr="001E280E">
        <w:t xml:space="preserve">with CRC scrambled by the corresponding </w:t>
      </w:r>
      <w:r w:rsidR="00216B48">
        <w:t>MsgB</w:t>
      </w:r>
      <w:r w:rsidRPr="001E280E">
        <w:t xml:space="preserve">-RNTI </w:t>
      </w:r>
      <w:r w:rsidR="00173EDA">
        <w:t xml:space="preserve">within the window, or if the UE detects the 1_0 </w:t>
      </w:r>
      <w:r w:rsidR="00173EDA" w:rsidRPr="001E280E">
        <w:t xml:space="preserve">with CRC scrambled by the corresponding </w:t>
      </w:r>
      <w:r w:rsidR="00173EDA">
        <w:t>MsgB</w:t>
      </w:r>
      <w:r w:rsidR="00173EDA" w:rsidRPr="001E280E">
        <w:t>-RNTI</w:t>
      </w:r>
      <w:r w:rsidR="00173EDA">
        <w:t xml:space="preserve"> within the window and LSBs of a SFN field in the DCI format 1_0, if applicable, are not same as corresponding LSBs of the SFN where the UE transmitted the PRACH, </w:t>
      </w:r>
      <w:r w:rsidRPr="001E280E">
        <w:t>or the UE does not correctly receive a corresponding transport block within the window, the UE procedure is as described in [</w:t>
      </w:r>
      <w:r w:rsidRPr="001E280E">
        <w:rPr>
          <w:lang w:val="en-US"/>
        </w:rPr>
        <w:t>11, TS 38.321</w:t>
      </w:r>
      <w:r w:rsidRPr="001E280E">
        <w:t>].</w:t>
      </w:r>
    </w:p>
    <w:p w14:paraId="7C55A47F" w14:textId="77777777" w:rsidR="00A10623" w:rsidRPr="00B916EC" w:rsidRDefault="00A10623" w:rsidP="00A10623">
      <w:pPr>
        <w:pStyle w:val="Heading2"/>
        <w:ind w:left="850" w:hanging="850"/>
      </w:pPr>
      <w:bookmarkStart w:id="378" w:name="_Toc12021464"/>
      <w:bookmarkStart w:id="379" w:name="_Toc20311576"/>
      <w:bookmarkStart w:id="380" w:name="_Toc26719401"/>
      <w:bookmarkStart w:id="381" w:name="_Toc29894834"/>
      <w:bookmarkStart w:id="382" w:name="_Toc29899133"/>
      <w:bookmarkStart w:id="383" w:name="_Toc29899551"/>
      <w:bookmarkStart w:id="384" w:name="_Toc29917288"/>
      <w:bookmarkStart w:id="385" w:name="_Toc36498162"/>
      <w:bookmarkStart w:id="386" w:name="_Toc45699188"/>
      <w:bookmarkStart w:id="387" w:name="_Toc161999113"/>
      <w:r w:rsidRPr="00B916EC">
        <w:t>8</w:t>
      </w:r>
      <w:r w:rsidRPr="00B916EC">
        <w:rPr>
          <w:rFonts w:hint="eastAsia"/>
        </w:rPr>
        <w:t>.</w:t>
      </w:r>
      <w:r w:rsidRPr="00B916EC">
        <w:t>3</w:t>
      </w:r>
      <w:r w:rsidR="007D5A3F">
        <w:rPr>
          <w:rFonts w:hint="eastAsia"/>
        </w:rPr>
        <w:tab/>
      </w:r>
      <w:r w:rsidRPr="00B916EC">
        <w:t>PUSCH</w:t>
      </w:r>
      <w:r w:rsidR="0006659E">
        <w:t xml:space="preserve"> scheduled by RAR UL grant</w:t>
      </w:r>
      <w:bookmarkEnd w:id="378"/>
      <w:bookmarkEnd w:id="379"/>
      <w:bookmarkEnd w:id="380"/>
      <w:bookmarkEnd w:id="381"/>
      <w:bookmarkEnd w:id="382"/>
      <w:bookmarkEnd w:id="383"/>
      <w:bookmarkEnd w:id="384"/>
      <w:bookmarkEnd w:id="385"/>
      <w:bookmarkEnd w:id="386"/>
      <w:bookmarkEnd w:id="387"/>
    </w:p>
    <w:p w14:paraId="3B133016" w14:textId="71676393" w:rsidR="00173EDA" w:rsidRDefault="0006659E" w:rsidP="0006659E">
      <w:r w:rsidRPr="00B916EC">
        <w:t xml:space="preserve">An </w:t>
      </w:r>
      <w:r>
        <w:t xml:space="preserve">active </w:t>
      </w:r>
      <w:r w:rsidRPr="00830C02">
        <w:t>UL BWP</w:t>
      </w:r>
      <w:r w:rsidR="00B551A9">
        <w:t xml:space="preserve"> with SCS configuration </w:t>
      </w:r>
      <m:oMath>
        <m:r>
          <w:rPr>
            <w:rFonts w:ascii="Cambria Math" w:eastAsia="MS Mincho" w:hAnsi="Cambria Math"/>
            <w:kern w:val="2"/>
          </w:rPr>
          <m:t>μ</m:t>
        </m:r>
      </m:oMath>
      <w:r w:rsidRPr="00830C02">
        <w:t xml:space="preserve">, as described </w:t>
      </w:r>
      <w:r w:rsidR="006F5F9E">
        <w:t>in clause</w:t>
      </w:r>
      <w:r w:rsidRPr="00830C02">
        <w:t xml:space="preserve"> 12 and in [4, TS 38.211], for </w:t>
      </w:r>
      <w:r>
        <w:t>a</w:t>
      </w:r>
      <w:r w:rsidRPr="00830C02">
        <w:t xml:space="preserve"> PUSCH transmission </w:t>
      </w:r>
      <w:r>
        <w:t xml:space="preserve">scheduled by a RAR UL grant </w:t>
      </w:r>
      <w:r w:rsidRPr="00830C02">
        <w:t xml:space="preserve">is indicated by higher layers. </w:t>
      </w:r>
    </w:p>
    <w:p w14:paraId="7C9485DB" w14:textId="4CF8BCA0" w:rsidR="0006659E" w:rsidRDefault="00173EDA" w:rsidP="0006659E">
      <w:pPr>
        <w:rPr>
          <w:rFonts w:cs="Times"/>
        </w:rPr>
      </w:pPr>
      <w:r w:rsidRPr="00425B1F">
        <w:rPr>
          <w:rFonts w:eastAsia="MS Mincho"/>
          <w:kern w:val="2"/>
          <w:lang w:val="en-US"/>
        </w:rPr>
        <w:t xml:space="preserve">If </w:t>
      </w:r>
      <w:r w:rsidRPr="00425B1F">
        <w:rPr>
          <w:rFonts w:eastAsia="MS Mincho"/>
          <w:i/>
          <w:iCs/>
          <w:kern w:val="2"/>
          <w:lang w:val="en-US"/>
        </w:rPr>
        <w:t>useInterlacePUCCH-PUSCH</w:t>
      </w:r>
      <w:r w:rsidRPr="00425B1F">
        <w:rPr>
          <w:rFonts w:eastAsia="MS Mincho"/>
          <w:kern w:val="2"/>
          <w:lang w:val="en-US"/>
        </w:rPr>
        <w:t xml:space="preserve"> is </w:t>
      </w:r>
      <w:r>
        <w:rPr>
          <w:rFonts w:eastAsia="MS Mincho"/>
          <w:kern w:val="2"/>
          <w:lang w:val="en-US"/>
        </w:rPr>
        <w:t>not</w:t>
      </w:r>
      <w:r w:rsidRPr="00425B1F">
        <w:rPr>
          <w:rFonts w:eastAsia="MS Mincho"/>
          <w:kern w:val="2"/>
          <w:lang w:val="en-US"/>
        </w:rPr>
        <w:t xml:space="preserve"> provided </w:t>
      </w:r>
      <w:r>
        <w:rPr>
          <w:rFonts w:eastAsia="MS Mincho"/>
          <w:kern w:val="2"/>
          <w:lang w:val="en-US"/>
        </w:rPr>
        <w:t>by</w:t>
      </w:r>
      <w:r w:rsidRPr="00425B1F">
        <w:rPr>
          <w:rFonts w:eastAsia="MS Mincho"/>
          <w:kern w:val="2"/>
          <w:lang w:val="en-US"/>
        </w:rPr>
        <w:t xml:space="preserve"> </w:t>
      </w:r>
      <w:r w:rsidRPr="00425B1F">
        <w:rPr>
          <w:rFonts w:eastAsia="MS Mincho"/>
          <w:i/>
          <w:iCs/>
          <w:kern w:val="2"/>
          <w:lang w:val="en-US"/>
        </w:rPr>
        <w:t>BWP-UplinkCommon</w:t>
      </w:r>
      <w:r w:rsidRPr="00425B1F">
        <w:rPr>
          <w:rFonts w:eastAsia="MS Mincho"/>
          <w:kern w:val="2"/>
          <w:lang w:val="en-US"/>
        </w:rPr>
        <w:t xml:space="preserve"> </w:t>
      </w:r>
      <w:r>
        <w:rPr>
          <w:rFonts w:eastAsia="MS Mincho"/>
          <w:kern w:val="2"/>
          <w:lang w:val="en-US"/>
        </w:rPr>
        <w:t>and</w:t>
      </w:r>
      <w:r w:rsidRPr="00425B1F">
        <w:rPr>
          <w:rFonts w:eastAsia="MS Mincho"/>
          <w:kern w:val="2"/>
          <w:lang w:val="en-US"/>
        </w:rPr>
        <w:t xml:space="preserve"> </w:t>
      </w:r>
      <w:r w:rsidRPr="00425B1F">
        <w:rPr>
          <w:rFonts w:eastAsia="MS Mincho"/>
          <w:i/>
          <w:iCs/>
          <w:kern w:val="2"/>
          <w:lang w:val="en-US"/>
        </w:rPr>
        <w:t>BWP-UplinkDedicated</w:t>
      </w:r>
      <w:r>
        <w:rPr>
          <w:rFonts w:cs="Times"/>
        </w:rPr>
        <w:t>, for</w:t>
      </w:r>
      <w:r w:rsidRPr="00830C02">
        <w:rPr>
          <w:rFonts w:cs="Times"/>
        </w:rPr>
        <w:t xml:space="preserve"> </w:t>
      </w:r>
      <w:r w:rsidR="0006659E" w:rsidRPr="00830C02">
        <w:rPr>
          <w:rFonts w:cs="Times"/>
        </w:rPr>
        <w:t xml:space="preserve">determining the frequency domain resource allocation for </w:t>
      </w:r>
      <w:r w:rsidR="0006659E">
        <w:rPr>
          <w:rFonts w:cs="Times"/>
        </w:rPr>
        <w:t xml:space="preserve">the </w:t>
      </w:r>
      <w:r w:rsidR="0006659E" w:rsidRPr="00830C02">
        <w:rPr>
          <w:rFonts w:cs="Times"/>
        </w:rPr>
        <w:t xml:space="preserve">PUSCH transmission within the active UL </w:t>
      </w:r>
      <w:r w:rsidR="0006659E">
        <w:rPr>
          <w:rFonts w:cs="Times"/>
        </w:rPr>
        <w:t>BWP</w:t>
      </w:r>
    </w:p>
    <w:p w14:paraId="68E02E26" w14:textId="77777777" w:rsidR="0006659E" w:rsidRPr="00830C02" w:rsidRDefault="0006659E" w:rsidP="0006659E">
      <w:pPr>
        <w:pStyle w:val="B1"/>
        <w:rPr>
          <w:rFonts w:eastAsia="MS Mincho"/>
          <w:kern w:val="2"/>
        </w:rPr>
      </w:pPr>
      <w:r w:rsidRPr="00503CEB">
        <w:t>-</w:t>
      </w:r>
      <w:r w:rsidRPr="00503CEB">
        <w:tab/>
      </w:r>
      <w:r w:rsidRPr="00503CEB">
        <w:rPr>
          <w:rFonts w:eastAsia="MS Mincho"/>
          <w:kern w:val="2"/>
        </w:rPr>
        <w:t>if</w:t>
      </w:r>
      <w:r>
        <w:rPr>
          <w:rFonts w:eastAsia="MS Mincho"/>
          <w:kern w:val="2"/>
        </w:rPr>
        <w:t xml:space="preserve"> </w:t>
      </w:r>
      <w:r w:rsidRPr="00830C02">
        <w:rPr>
          <w:rFonts w:cs="Times"/>
        </w:rPr>
        <w:t xml:space="preserve">the active UL BWP </w:t>
      </w:r>
      <w:r>
        <w:rPr>
          <w:rFonts w:cs="Times"/>
        </w:rPr>
        <w:t>and the initial UL BWP have same SCS and</w:t>
      </w:r>
      <w:r w:rsidRPr="00830C02">
        <w:rPr>
          <w:rFonts w:cs="Times"/>
        </w:rPr>
        <w:t xml:space="preserve"> same CP length and th</w:t>
      </w:r>
      <w:r>
        <w:rPr>
          <w:rFonts w:cs="Times"/>
        </w:rPr>
        <w:t>e active UL BWP includes all RBs of the initial UL BWP</w:t>
      </w:r>
      <w:r>
        <w:rPr>
          <w:rFonts w:cs="Times"/>
          <w:lang w:val="en-US"/>
        </w:rPr>
        <w:t>,</w:t>
      </w:r>
      <w:r>
        <w:rPr>
          <w:rFonts w:cs="Times"/>
        </w:rPr>
        <w:t xml:space="preserve"> or </w:t>
      </w:r>
      <w:r w:rsidRPr="00830C02">
        <w:rPr>
          <w:rFonts w:cs="Times"/>
        </w:rPr>
        <w:t>the active</w:t>
      </w:r>
      <w:r>
        <w:rPr>
          <w:rFonts w:cs="Times"/>
        </w:rPr>
        <w:t xml:space="preserve"> UL BWP is the initial UL BWP, the initial UL BWP is used</w:t>
      </w:r>
      <w:r w:rsidRPr="00830C02">
        <w:rPr>
          <w:rFonts w:cs="Times"/>
        </w:rPr>
        <w:t xml:space="preserve"> </w:t>
      </w:r>
    </w:p>
    <w:p w14:paraId="7B5750ED" w14:textId="77777777" w:rsidR="0006659E" w:rsidRPr="00830C02" w:rsidRDefault="0006659E" w:rsidP="0006659E">
      <w:pPr>
        <w:pStyle w:val="B1"/>
        <w:rPr>
          <w:rFonts w:eastAsia="MS Mincho"/>
          <w:kern w:val="2"/>
          <w:lang w:val="en-US"/>
        </w:rPr>
      </w:pPr>
      <w:r w:rsidRPr="00503CEB">
        <w:t>-</w:t>
      </w:r>
      <w:r w:rsidRPr="00503CEB">
        <w:tab/>
      </w:r>
      <w:r>
        <w:rPr>
          <w:rFonts w:cs="Times"/>
          <w:lang w:val="en-US"/>
        </w:rPr>
        <w:t xml:space="preserve">else, </w:t>
      </w:r>
      <w:r w:rsidRPr="00830C02">
        <w:rPr>
          <w:rFonts w:cs="Times"/>
        </w:rPr>
        <w:t xml:space="preserve">the RB numbering starts from </w:t>
      </w:r>
      <w:r>
        <w:rPr>
          <w:rFonts w:cs="Times"/>
          <w:lang w:val="en-US"/>
        </w:rPr>
        <w:t>the first</w:t>
      </w:r>
      <w:r w:rsidRPr="00830C02">
        <w:rPr>
          <w:rFonts w:cs="Times"/>
        </w:rPr>
        <w:t xml:space="preserve"> RB of the active UL BWP and the</w:t>
      </w:r>
      <w:r>
        <w:rPr>
          <w:rFonts w:cs="Times"/>
        </w:rPr>
        <w:t xml:space="preserve"> maximum number of RBs </w:t>
      </w:r>
      <w:r w:rsidRPr="00830C02">
        <w:rPr>
          <w:rFonts w:cs="Times"/>
        </w:rPr>
        <w:t xml:space="preserve">for </w:t>
      </w:r>
      <w:r>
        <w:rPr>
          <w:rFonts w:cs="Times"/>
          <w:lang w:val="en-US"/>
        </w:rPr>
        <w:t xml:space="preserve">frequency domain </w:t>
      </w:r>
      <w:r w:rsidRPr="00830C02">
        <w:rPr>
          <w:rFonts w:cs="Times"/>
        </w:rPr>
        <w:t>res</w:t>
      </w:r>
      <w:r>
        <w:rPr>
          <w:rFonts w:cs="Times"/>
        </w:rPr>
        <w:t>ource allocation equals</w:t>
      </w:r>
      <w:r w:rsidRPr="00830C02">
        <w:rPr>
          <w:rFonts w:cs="Times"/>
        </w:rPr>
        <w:t xml:space="preserve"> </w:t>
      </w:r>
      <w:r>
        <w:rPr>
          <w:rFonts w:cs="Times"/>
          <w:lang w:val="en-US"/>
        </w:rPr>
        <w:t>the number of RBs in</w:t>
      </w:r>
      <w:r w:rsidRPr="00830C02">
        <w:rPr>
          <w:rFonts w:cs="Times"/>
        </w:rPr>
        <w:t xml:space="preserve"> the initial UL BWP</w:t>
      </w:r>
    </w:p>
    <w:p w14:paraId="5FC88E3B" w14:textId="017CEC98" w:rsidR="0006659E" w:rsidRPr="00F9689B" w:rsidRDefault="0006659E" w:rsidP="0006659E">
      <w:r>
        <w:t>The</w:t>
      </w:r>
      <w:r w:rsidRPr="0002290E">
        <w:rPr>
          <w:rFonts w:eastAsia="DengXian"/>
        </w:rPr>
        <w:t xml:space="preserve"> </w:t>
      </w:r>
      <w:r w:rsidRPr="0002290E">
        <w:t>frequency domain</w:t>
      </w:r>
      <w:r w:rsidRPr="00F9689B">
        <w:t xml:space="preserve"> resource allocation is by uplink resource allocation type 1 [6, TS 38.214]. </w:t>
      </w:r>
      <w:r>
        <w:t xml:space="preserve">For an </w:t>
      </w:r>
      <w:r>
        <w:rPr>
          <w:rFonts w:eastAsia="MS Mincho"/>
          <w:kern w:val="2"/>
        </w:rPr>
        <w:t>initial</w:t>
      </w:r>
      <w:r w:rsidRPr="00F9689B">
        <w:rPr>
          <w:rFonts w:eastAsia="MS Mincho"/>
          <w:kern w:val="2"/>
        </w:rPr>
        <w:t xml:space="preserve"> UL BWP </w:t>
      </w:r>
      <w:r>
        <w:rPr>
          <w:rFonts w:eastAsia="MS Mincho"/>
          <w:kern w:val="2"/>
        </w:rPr>
        <w:t xml:space="preserve">size </w:t>
      </w:r>
      <w:r w:rsidRPr="00F9689B">
        <w:rPr>
          <w:rFonts w:eastAsia="MS Mincho"/>
          <w:kern w:val="2"/>
        </w:rPr>
        <w:t>of</w:t>
      </w:r>
      <w:r>
        <w:rPr>
          <w:rFonts w:eastAsia="MS Mincho"/>
          <w:kern w:val="2"/>
        </w:rPr>
        <w:t xml:space="preserve"> </w:t>
      </w:r>
      <m:oMath>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oMath>
      <w:r>
        <w:t xml:space="preserve"> RBs, a</w:t>
      </w:r>
      <w:r w:rsidRPr="00F9689B">
        <w:t xml:space="preserve"> UE processes</w:t>
      </w:r>
      <w:r w:rsidRPr="00F9689B">
        <w:rPr>
          <w:rFonts w:eastAsia="MS Mincho"/>
          <w:kern w:val="2"/>
        </w:rPr>
        <w:t xml:space="preserve"> the frequency domain resource </w:t>
      </w:r>
      <w:r>
        <w:rPr>
          <w:rFonts w:eastAsia="MS Mincho"/>
          <w:kern w:val="2"/>
        </w:rPr>
        <w:t>assignment</w:t>
      </w:r>
      <w:r w:rsidRPr="00F9689B">
        <w:rPr>
          <w:rFonts w:eastAsia="MS Mincho"/>
          <w:kern w:val="2"/>
        </w:rPr>
        <w:t xml:space="preserve"> field</w:t>
      </w:r>
      <w:r>
        <w:rPr>
          <w:rFonts w:eastAsia="MS Mincho"/>
          <w:kern w:val="2"/>
        </w:rPr>
        <w:t xml:space="preserve"> </w:t>
      </w:r>
      <w:r w:rsidRPr="00F9689B">
        <w:t>as follows</w:t>
      </w:r>
    </w:p>
    <w:p w14:paraId="2C054A45" w14:textId="63A88F2D" w:rsidR="0006659E" w:rsidRPr="00F9689B" w:rsidRDefault="0006659E" w:rsidP="0006659E">
      <w:pPr>
        <w:pStyle w:val="B1"/>
        <w:rPr>
          <w:rFonts w:eastAsia="MS Mincho"/>
          <w:kern w:val="2"/>
        </w:rPr>
      </w:pPr>
      <w:r w:rsidRPr="00F9689B">
        <w:t>-</w:t>
      </w:r>
      <w:r w:rsidRPr="00F9689B">
        <w:tab/>
      </w:r>
      <w:r w:rsidRPr="00F9689B">
        <w:rPr>
          <w:rFonts w:eastAsia="MS Mincho"/>
          <w:kern w:val="2"/>
        </w:rPr>
        <w:t xml:space="preserve">if </w:t>
      </w:r>
      <m:oMath>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r>
          <w:rPr>
            <w:rFonts w:ascii="Cambria Math" w:eastAsia="MS Mincho" w:hAnsi="Cambria Math"/>
            <w:kern w:val="2"/>
          </w:rPr>
          <m:t>≤180</m:t>
        </m:r>
      </m:oMath>
      <w:r w:rsidR="0060391B">
        <w:rPr>
          <w:rFonts w:eastAsia="MS Mincho"/>
          <w:kern w:val="2"/>
          <w:lang w:val="en-US"/>
        </w:rPr>
        <w:t>,</w:t>
      </w:r>
      <w:r w:rsidR="0060391B" w:rsidRPr="00993E0C">
        <w:rPr>
          <w:rFonts w:eastAsia="MS Mincho"/>
          <w:kern w:val="2"/>
          <w:lang w:val="en-US"/>
        </w:rPr>
        <w:t xml:space="preserve"> </w:t>
      </w:r>
      <w:r w:rsidR="0060391B" w:rsidRPr="00993E0C">
        <w:rPr>
          <w:rFonts w:eastAsia="MS Mincho"/>
          <w:kern w:val="2"/>
        </w:rPr>
        <w:t>or for operation with shared spectrum channel access</w:t>
      </w:r>
      <w:r w:rsidR="00FA4CFB">
        <w:rPr>
          <w:rFonts w:eastAsia="MS Mincho"/>
          <w:kern w:val="2"/>
          <w:lang w:val="en-GB"/>
        </w:rPr>
        <w:t xml:space="preserve"> </w:t>
      </w:r>
      <w:r w:rsidR="00FA4CFB">
        <w:rPr>
          <w:rFonts w:eastAsia="MS Mincho"/>
          <w:kern w:val="2"/>
        </w:rPr>
        <w:t xml:space="preserve">in FR1 or for FR2-2 when </w:t>
      </w:r>
      <w:r w:rsidR="00FA4CFB">
        <w:rPr>
          <w:rFonts w:eastAsia="MS Mincho"/>
          <w:i/>
          <w:kern w:val="2"/>
        </w:rPr>
        <w:t>ChannelAccessMode2-r17</w:t>
      </w:r>
      <w:r w:rsidR="00FA4CFB">
        <w:rPr>
          <w:rFonts w:eastAsia="MS Mincho"/>
          <w:kern w:val="2"/>
        </w:rPr>
        <w:t xml:space="preserve"> is provided</w:t>
      </w:r>
      <w:r w:rsidR="0060391B" w:rsidRPr="00993E0C">
        <w:rPr>
          <w:rFonts w:eastAsia="MS Mincho"/>
          <w:kern w:val="2"/>
        </w:rPr>
        <w:t xml:space="preserve"> if </w:t>
      </w:r>
      <m:oMath>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r>
          <w:rPr>
            <w:rFonts w:ascii="Cambria Math" w:eastAsia="MS Mincho" w:hAnsi="Cambria Math"/>
            <w:kern w:val="2"/>
          </w:rPr>
          <m:t>≤90</m:t>
        </m:r>
      </m:oMath>
    </w:p>
    <w:p w14:paraId="61FF14ED" w14:textId="1CEC0B09" w:rsidR="0006659E" w:rsidRPr="00F9689B" w:rsidRDefault="0006659E" w:rsidP="0006659E">
      <w:pPr>
        <w:pStyle w:val="B2"/>
        <w:rPr>
          <w:lang w:val="en-US"/>
        </w:rPr>
      </w:pPr>
      <w:r w:rsidRPr="00F9689B">
        <w:rPr>
          <w:lang w:val="en-US"/>
        </w:rPr>
        <w:t>-</w:t>
      </w:r>
      <w:r w:rsidRPr="00F9689B">
        <w:rPr>
          <w:lang w:val="en-US"/>
        </w:rPr>
        <w:tab/>
      </w:r>
      <w:r w:rsidRPr="00F9689B">
        <w:rPr>
          <w:rFonts w:eastAsia="MS Mincho"/>
          <w:kern w:val="2"/>
        </w:rPr>
        <w:t xml:space="preserve">truncate the frequency </w:t>
      </w:r>
      <w:r>
        <w:rPr>
          <w:rFonts w:eastAsia="MS Mincho"/>
          <w:kern w:val="2"/>
          <w:lang w:val="en-US"/>
        </w:rPr>
        <w:t xml:space="preserve">domain </w:t>
      </w:r>
      <w:r w:rsidRPr="00F9689B">
        <w:rPr>
          <w:rFonts w:eastAsia="MS Mincho"/>
          <w:kern w:val="2"/>
        </w:rPr>
        <w:t>resource a</w:t>
      </w:r>
      <w:r>
        <w:rPr>
          <w:rFonts w:eastAsia="MS Mincho"/>
          <w:kern w:val="2"/>
        </w:rPr>
        <w:t>ssignment</w:t>
      </w:r>
      <w:r w:rsidRPr="00F9689B">
        <w:rPr>
          <w:rFonts w:eastAsia="MS Mincho"/>
          <w:kern w:val="2"/>
        </w:rPr>
        <w:t xml:space="preserve"> </w:t>
      </w:r>
      <w:r w:rsidRPr="00F9689B">
        <w:rPr>
          <w:rFonts w:eastAsia="MS Mincho"/>
          <w:kern w:val="2"/>
          <w:lang w:val="en-US"/>
        </w:rPr>
        <w:t xml:space="preserve">field </w:t>
      </w:r>
      <w:r w:rsidRPr="00F9689B">
        <w:rPr>
          <w:rFonts w:eastAsia="MS Mincho"/>
          <w:kern w:val="2"/>
        </w:rPr>
        <w:t xml:space="preserve">to its </w:t>
      </w:r>
      <m:oMath>
        <m:d>
          <m:dPr>
            <m:begChr m:val="⌈"/>
            <m:endChr m:val="⌉"/>
            <m:ctrlPr>
              <w:rPr>
                <w:rFonts w:ascii="Cambria Math" w:eastAsia="MS Mincho" w:hAnsi="Cambria Math"/>
                <w:i/>
                <w:kern w:val="2"/>
              </w:rPr>
            </m:ctrlPr>
          </m:dPr>
          <m:e>
            <m:sSub>
              <m:sSubPr>
                <m:ctrlPr>
                  <w:rPr>
                    <w:rFonts w:ascii="Cambria Math" w:eastAsia="MS Mincho" w:hAnsi="Cambria Math"/>
                    <w:i/>
                    <w:kern w:val="2"/>
                  </w:rPr>
                </m:ctrlPr>
              </m:sSubPr>
              <m:e>
                <m:r>
                  <m:rPr>
                    <m:nor/>
                  </m:rPr>
                  <w:rPr>
                    <w:rFonts w:ascii="Cambria Math" w:eastAsia="MS Mincho" w:hAnsi="Cambria Math"/>
                    <w:kern w:val="2"/>
                  </w:rPr>
                  <m:t>log</m:t>
                </m:r>
              </m:e>
              <m:sub>
                <m:r>
                  <w:rPr>
                    <w:rFonts w:ascii="Cambria Math" w:eastAsia="MS Mincho" w:hAnsi="Cambria Math"/>
                    <w:kern w:val="2"/>
                  </w:rPr>
                  <m:t>2</m:t>
                </m:r>
              </m:sub>
            </m:sSub>
            <m:d>
              <m:dPr>
                <m:ctrlPr>
                  <w:rPr>
                    <w:rFonts w:ascii="Cambria Math" w:eastAsia="MS Mincho" w:hAnsi="Cambria Math"/>
                    <w:i/>
                    <w:kern w:val="2"/>
                  </w:rPr>
                </m:ctrlPr>
              </m:dPr>
              <m:e>
                <m:f>
                  <m:fPr>
                    <m:type m:val="lin"/>
                    <m:ctrlPr>
                      <w:rPr>
                        <w:rFonts w:ascii="Cambria Math" w:eastAsia="MS Mincho" w:hAnsi="Cambria Math"/>
                        <w:i/>
                        <w:kern w:val="2"/>
                      </w:rPr>
                    </m:ctrlPr>
                  </m:fPr>
                  <m:num>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r>
                      <w:rPr>
                        <w:rFonts w:ascii="Cambria Math" w:eastAsia="MS Mincho" w:hAnsi="Cambria Math"/>
                        <w:kern w:val="2"/>
                      </w:rPr>
                      <m:t>∙</m:t>
                    </m:r>
                    <m:d>
                      <m:dPr>
                        <m:ctrlPr>
                          <w:rPr>
                            <w:rFonts w:ascii="Cambria Math" w:eastAsia="MS Mincho" w:hAnsi="Cambria Math"/>
                            <w:i/>
                            <w:kern w:val="2"/>
                          </w:rPr>
                        </m:ctrlPr>
                      </m:dPr>
                      <m:e>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r>
                          <w:rPr>
                            <w:rFonts w:ascii="Cambria Math" w:eastAsia="MS Mincho" w:hAnsi="Cambria Math"/>
                            <w:kern w:val="2"/>
                          </w:rPr>
                          <m:t>+1</m:t>
                        </m:r>
                      </m:e>
                    </m:d>
                  </m:num>
                  <m:den>
                    <m:r>
                      <w:rPr>
                        <w:rFonts w:ascii="Cambria Math" w:eastAsia="MS Mincho" w:hAnsi="Cambria Math"/>
                        <w:kern w:val="2"/>
                      </w:rPr>
                      <m:t>2</m:t>
                    </m:r>
                  </m:den>
                </m:f>
              </m:e>
            </m:d>
          </m:e>
        </m:d>
      </m:oMath>
      <w:r w:rsidRPr="00F9689B">
        <w:rPr>
          <w:rFonts w:eastAsia="MS Mincho"/>
          <w:kern w:val="2"/>
        </w:rPr>
        <w:t xml:space="preserve"> least significant bits and interpret the truncated frequency resource a</w:t>
      </w:r>
      <w:r>
        <w:rPr>
          <w:rFonts w:eastAsia="MS Mincho"/>
          <w:kern w:val="2"/>
        </w:rPr>
        <w:t>ssignment</w:t>
      </w:r>
      <w:r w:rsidRPr="00F9689B">
        <w:rPr>
          <w:rFonts w:eastAsia="MS Mincho"/>
          <w:kern w:val="2"/>
        </w:rPr>
        <w:t xml:space="preserve"> </w:t>
      </w:r>
      <w:r w:rsidRPr="00F9689B">
        <w:rPr>
          <w:rFonts w:eastAsia="MS Mincho"/>
          <w:kern w:val="2"/>
          <w:lang w:val="en-US"/>
        </w:rPr>
        <w:t xml:space="preserve">field </w:t>
      </w:r>
      <w:r w:rsidRPr="00F9689B">
        <w:rPr>
          <w:rFonts w:eastAsia="MS Mincho"/>
          <w:kern w:val="2"/>
        </w:rPr>
        <w:t xml:space="preserve">as for </w:t>
      </w:r>
      <w:r w:rsidRPr="00F9689B">
        <w:rPr>
          <w:rFonts w:eastAsia="MS Mincho"/>
          <w:kern w:val="2"/>
          <w:lang w:val="en-US"/>
        </w:rPr>
        <w:t xml:space="preserve">the frequency resource </w:t>
      </w:r>
      <w:r w:rsidRPr="00F9689B">
        <w:rPr>
          <w:rFonts w:eastAsia="MS Mincho"/>
          <w:kern w:val="2"/>
        </w:rPr>
        <w:t>a</w:t>
      </w:r>
      <w:r>
        <w:rPr>
          <w:rFonts w:eastAsia="MS Mincho"/>
          <w:kern w:val="2"/>
        </w:rPr>
        <w:t>ssignment</w:t>
      </w:r>
      <w:r w:rsidRPr="00F9689B">
        <w:rPr>
          <w:rFonts w:eastAsia="MS Mincho"/>
          <w:kern w:val="2"/>
          <w:lang w:val="en-US"/>
        </w:rPr>
        <w:t xml:space="preserve"> field in </w:t>
      </w:r>
      <w:r w:rsidRPr="00F9689B">
        <w:rPr>
          <w:rFonts w:eastAsia="MS Mincho"/>
          <w:kern w:val="2"/>
        </w:rPr>
        <w:t>DCI format 0_0</w:t>
      </w:r>
      <w:r w:rsidRPr="00F9689B">
        <w:rPr>
          <w:rFonts w:eastAsia="MS Mincho"/>
          <w:kern w:val="2"/>
          <w:lang w:val="en-US"/>
        </w:rPr>
        <w:t xml:space="preserve"> as described in </w:t>
      </w:r>
      <w:r>
        <w:t>[5</w:t>
      </w:r>
      <w:r w:rsidRPr="00F9689B">
        <w:t xml:space="preserve">, </w:t>
      </w:r>
      <w:r w:rsidRPr="00F9689B">
        <w:rPr>
          <w:lang w:val="en-US"/>
        </w:rPr>
        <w:t xml:space="preserve">TS </w:t>
      </w:r>
      <w:r>
        <w:t>38.212</w:t>
      </w:r>
      <w:r w:rsidRPr="00F9689B">
        <w:t>]</w:t>
      </w:r>
      <w:r w:rsidRPr="00F9689B">
        <w:rPr>
          <w:lang w:val="en-US"/>
        </w:rPr>
        <w:t xml:space="preserve"> </w:t>
      </w:r>
    </w:p>
    <w:p w14:paraId="11D2BC77" w14:textId="77777777" w:rsidR="0006659E" w:rsidRPr="00F9689B" w:rsidRDefault="0006659E" w:rsidP="0006659E">
      <w:pPr>
        <w:pStyle w:val="B1"/>
        <w:rPr>
          <w:rFonts w:eastAsia="MS Mincho"/>
          <w:kern w:val="2"/>
        </w:rPr>
      </w:pPr>
      <w:r w:rsidRPr="00F9689B">
        <w:t>-</w:t>
      </w:r>
      <w:r w:rsidRPr="00F9689B">
        <w:tab/>
      </w:r>
      <w:r w:rsidRPr="00F9689B">
        <w:rPr>
          <w:rFonts w:eastAsia="MS Mincho"/>
          <w:kern w:val="2"/>
        </w:rPr>
        <w:t>else</w:t>
      </w:r>
    </w:p>
    <w:p w14:paraId="26E7A55A" w14:textId="77777777" w:rsidR="00CD13AF" w:rsidRDefault="0006659E" w:rsidP="0006659E">
      <w:pPr>
        <w:pStyle w:val="B2"/>
        <w:rPr>
          <w:rFonts w:eastAsia="MS Mincho"/>
          <w:kern w:val="2"/>
        </w:rPr>
      </w:pPr>
      <w:r w:rsidRPr="00F9689B">
        <w:rPr>
          <w:lang w:val="en-US"/>
        </w:rPr>
        <w:t>-</w:t>
      </w:r>
      <w:r w:rsidRPr="00F9689B">
        <w:rPr>
          <w:lang w:val="en-US"/>
        </w:rPr>
        <w:tab/>
      </w:r>
      <w:r w:rsidRPr="00F9689B">
        <w:rPr>
          <w:rFonts w:eastAsia="MS Mincho"/>
          <w:kern w:val="2"/>
        </w:rPr>
        <w:t xml:space="preserve">insert </w:t>
      </w:r>
    </w:p>
    <w:p w14:paraId="34F3109C" w14:textId="4708F14A" w:rsidR="00CD13AF" w:rsidRPr="00CD13AF" w:rsidRDefault="00CD13AF" w:rsidP="00CD13AF">
      <w:pPr>
        <w:pStyle w:val="B3"/>
      </w:pPr>
      <w:r>
        <w:t>-</w:t>
      </w:r>
      <w:r>
        <w:tab/>
      </w:r>
      <m:oMath>
        <m:d>
          <m:dPr>
            <m:begChr m:val="⌈"/>
            <m:endChr m:val="⌉"/>
            <m:ctrlPr>
              <w:rPr>
                <w:rFonts w:ascii="Cambria Math" w:hAnsi="Cambria Math"/>
                <w:i/>
              </w:rPr>
            </m:ctrlPr>
          </m:dPr>
          <m:e>
            <m:sSub>
              <m:sSubPr>
                <m:ctrlPr>
                  <w:rPr>
                    <w:rFonts w:ascii="Cambria Math" w:hAnsi="Cambria Math"/>
                    <w:i/>
                  </w:rPr>
                </m:ctrlPr>
              </m:sSubPr>
              <m:e>
                <m:r>
                  <m:rPr>
                    <m:nor/>
                  </m:rPr>
                  <w:rPr>
                    <w:rFonts w:ascii="Cambria Math" w:hAnsi="Cambria Math"/>
                  </w:rPr>
                  <m:t>log</m:t>
                </m:r>
              </m:e>
              <m:sub>
                <m:r>
                  <w:rPr>
                    <w:rFonts w:ascii="Cambria Math" w:hAnsi="Cambria Math"/>
                  </w:rPr>
                  <m:t>2</m:t>
                </m:r>
              </m:sub>
            </m:sSub>
            <m:d>
              <m:dPr>
                <m:ctrlPr>
                  <w:rPr>
                    <w:rFonts w:ascii="Cambria Math" w:hAnsi="Cambria Math"/>
                    <w:i/>
                  </w:rPr>
                </m:ctrlPr>
              </m:dPr>
              <m:e>
                <m:f>
                  <m:fPr>
                    <m:type m:val="lin"/>
                    <m:ctrlPr>
                      <w:rPr>
                        <w:rFonts w:ascii="Cambria Math" w:hAnsi="Cambria Math"/>
                        <w:i/>
                      </w:rPr>
                    </m:ctrlPr>
                  </m:fPr>
                  <m:num>
                    <m:sSubSup>
                      <m:sSubSupPr>
                        <m:ctrlPr>
                          <w:rPr>
                            <w:rFonts w:ascii="Cambria Math" w:hAnsi="Cambria Math"/>
                            <w:i/>
                          </w:rPr>
                        </m:ctrlPr>
                      </m:sSubSupPr>
                      <m:e>
                        <m:r>
                          <w:rPr>
                            <w:rFonts w:ascii="Cambria Math" w:hAnsi="Cambria Math"/>
                          </w:rPr>
                          <m:t>N</m:t>
                        </m:r>
                      </m:e>
                      <m:sub>
                        <m:r>
                          <m:rPr>
                            <m:nor/>
                          </m:rPr>
                          <w:rPr>
                            <w:rFonts w:ascii="Cambria Math" w:hAnsi="Cambria Math"/>
                          </w:rPr>
                          <m:t>BWP</m:t>
                        </m:r>
                      </m:sub>
                      <m:sup>
                        <m:r>
                          <m:rPr>
                            <m:nor/>
                          </m:rPr>
                          <w:rPr>
                            <w:rFonts w:ascii="Cambria Math" w:hAnsi="Cambria Math"/>
                          </w:rPr>
                          <m:t>size</m:t>
                        </m:r>
                      </m:sup>
                    </m:sSub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nor/>
                              </m:rPr>
                              <w:rPr>
                                <w:rFonts w:ascii="Cambria Math" w:hAnsi="Cambria Math"/>
                              </w:rPr>
                              <m:t>BWP</m:t>
                            </m:r>
                          </m:sub>
                          <m:sup>
                            <m:r>
                              <m:rPr>
                                <m:nor/>
                              </m:rPr>
                              <w:rPr>
                                <w:rFonts w:ascii="Cambria Math" w:hAnsi="Cambria Math"/>
                              </w:rPr>
                              <m:t>size</m:t>
                            </m:r>
                          </m:sup>
                        </m:sSubSup>
                        <m:r>
                          <w:rPr>
                            <w:rFonts w:ascii="Cambria Math" w:hAnsi="Cambria Math"/>
                          </w:rPr>
                          <m:t>+1</m:t>
                        </m:r>
                      </m:e>
                    </m:d>
                  </m:num>
                  <m:den>
                    <m:r>
                      <w:rPr>
                        <w:rFonts w:ascii="Cambria Math" w:hAnsi="Cambria Math"/>
                      </w:rPr>
                      <m:t>2</m:t>
                    </m:r>
                  </m:den>
                </m:f>
              </m:e>
            </m:d>
          </m:e>
        </m:d>
        <m:r>
          <w:rPr>
            <w:rFonts w:ascii="Cambria Math" w:hAnsi="Cambria Math"/>
          </w:rPr>
          <m:t>-12</m:t>
        </m:r>
      </m:oMath>
      <w:r w:rsidR="0060391B" w:rsidRPr="00993E0C">
        <w:t xml:space="preserve"> most significant bits,</w:t>
      </w:r>
      <w:r w:rsidR="0006659E" w:rsidRPr="00F9689B">
        <w:t xml:space="preserve"> </w:t>
      </w:r>
      <w:r w:rsidRPr="00CD13AF">
        <w:t xml:space="preserve">for operation with shared spectrum channel access in FR1 or for FR2-2 when </w:t>
      </w:r>
      <w:r w:rsidRPr="00CD13AF">
        <w:rPr>
          <w:i/>
        </w:rPr>
        <w:t>ChannelAccessMode2-r17</w:t>
      </w:r>
      <w:r w:rsidRPr="00CD13AF">
        <w:t xml:space="preserve"> is provided;</w:t>
      </w:r>
    </w:p>
    <w:p w14:paraId="6BD0EE30" w14:textId="77777777" w:rsidR="00CD13AF" w:rsidRPr="00CD13AF" w:rsidRDefault="00CD13AF" w:rsidP="00CD13AF">
      <w:pPr>
        <w:pStyle w:val="B3"/>
      </w:pPr>
      <w:r w:rsidRPr="00CD13AF">
        <w:t>-</w:t>
      </w:r>
      <w:r w:rsidRPr="00CD13AF">
        <w:tab/>
      </w:r>
      <m:oMath>
        <m:d>
          <m:dPr>
            <m:begChr m:val="⌈"/>
            <m:endChr m:val="⌉"/>
            <m:ctrlPr>
              <w:rPr>
                <w:rFonts w:ascii="Cambria Math" w:hAnsi="Cambria Math"/>
                <w:i/>
              </w:rPr>
            </m:ctrlPr>
          </m:dPr>
          <m:e>
            <m:sSub>
              <m:sSubPr>
                <m:ctrlPr>
                  <w:rPr>
                    <w:rFonts w:ascii="Cambria Math" w:hAnsi="Cambria Math"/>
                    <w:i/>
                  </w:rPr>
                </m:ctrlPr>
              </m:sSubPr>
              <m:e>
                <m:r>
                  <m:rPr>
                    <m:nor/>
                  </m:rPr>
                  <w:rPr>
                    <w:rFonts w:ascii="Cambria Math" w:hAnsi="Cambria Math"/>
                  </w:rPr>
                  <m:t>log</m:t>
                </m:r>
              </m:e>
              <m:sub>
                <m:r>
                  <w:rPr>
                    <w:rFonts w:ascii="Cambria Math" w:hAnsi="Cambria Math"/>
                  </w:rPr>
                  <m:t>2</m:t>
                </m:r>
              </m:sub>
            </m:sSub>
            <m:d>
              <m:dPr>
                <m:ctrlPr>
                  <w:rPr>
                    <w:rFonts w:ascii="Cambria Math" w:hAnsi="Cambria Math"/>
                    <w:i/>
                  </w:rPr>
                </m:ctrlPr>
              </m:dPr>
              <m:e>
                <m:f>
                  <m:fPr>
                    <m:type m:val="lin"/>
                    <m:ctrlPr>
                      <w:rPr>
                        <w:rFonts w:ascii="Cambria Math" w:hAnsi="Cambria Math"/>
                        <w:i/>
                      </w:rPr>
                    </m:ctrlPr>
                  </m:fPr>
                  <m:num>
                    <m:sSubSup>
                      <m:sSubSupPr>
                        <m:ctrlPr>
                          <w:rPr>
                            <w:rFonts w:ascii="Cambria Math" w:hAnsi="Cambria Math"/>
                            <w:i/>
                          </w:rPr>
                        </m:ctrlPr>
                      </m:sSubSupPr>
                      <m:e>
                        <m:r>
                          <w:rPr>
                            <w:rFonts w:ascii="Cambria Math" w:hAnsi="Cambria Math"/>
                          </w:rPr>
                          <m:t>N</m:t>
                        </m:r>
                      </m:e>
                      <m:sub>
                        <m:r>
                          <m:rPr>
                            <m:nor/>
                          </m:rPr>
                          <w:rPr>
                            <w:rFonts w:ascii="Cambria Math" w:hAnsi="Cambria Math"/>
                          </w:rPr>
                          <m:t>BWP</m:t>
                        </m:r>
                      </m:sub>
                      <m:sup>
                        <m:r>
                          <m:rPr>
                            <m:nor/>
                          </m:rPr>
                          <w:rPr>
                            <w:rFonts w:ascii="Cambria Math" w:hAnsi="Cambria Math"/>
                          </w:rPr>
                          <m:t>size</m:t>
                        </m:r>
                      </m:sup>
                    </m:sSub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nor/>
                              </m:rPr>
                              <w:rPr>
                                <w:rFonts w:ascii="Cambria Math" w:hAnsi="Cambria Math"/>
                              </w:rPr>
                              <m:t>BWP</m:t>
                            </m:r>
                          </m:sub>
                          <m:sup>
                            <m:r>
                              <m:rPr>
                                <m:nor/>
                              </m:rPr>
                              <w:rPr>
                                <w:rFonts w:ascii="Cambria Math" w:hAnsi="Cambria Math"/>
                              </w:rPr>
                              <m:t>size</m:t>
                            </m:r>
                          </m:sup>
                        </m:sSubSup>
                        <m:r>
                          <w:rPr>
                            <w:rFonts w:ascii="Cambria Math" w:hAnsi="Cambria Math"/>
                          </w:rPr>
                          <m:t>+1</m:t>
                        </m:r>
                      </m:e>
                    </m:d>
                  </m:num>
                  <m:den>
                    <m:r>
                      <w:rPr>
                        <w:rFonts w:ascii="Cambria Math" w:hAnsi="Cambria Math"/>
                      </w:rPr>
                      <m:t>2</m:t>
                    </m:r>
                  </m:den>
                </m:f>
              </m:e>
            </m:d>
          </m:e>
        </m:d>
        <m:r>
          <w:rPr>
            <w:rFonts w:ascii="Cambria Math" w:hAnsi="Cambria Math"/>
          </w:rPr>
          <m:t>-14</m:t>
        </m:r>
      </m:oMath>
      <w:r w:rsidRPr="00CD13AF">
        <w:rPr>
          <w:lang w:val="en-US"/>
        </w:rPr>
        <w:t xml:space="preserve"> </w:t>
      </w:r>
      <w:r w:rsidRPr="00CD13AF">
        <w:t>most significant bits, otherwise;</w:t>
      </w:r>
    </w:p>
    <w:p w14:paraId="5C94D814" w14:textId="494E8626" w:rsidR="0006659E" w:rsidRPr="00F9689B" w:rsidRDefault="0006659E" w:rsidP="00CD13AF">
      <w:pPr>
        <w:pStyle w:val="B3"/>
        <w:ind w:hanging="1"/>
      </w:pPr>
      <w:r w:rsidRPr="00F9689B">
        <w:t xml:space="preserve">with value set to </w:t>
      </w:r>
      <w:r w:rsidR="00E7283E">
        <w:t>'</w:t>
      </w:r>
      <w:r w:rsidRPr="00F9689B">
        <w:t>0</w:t>
      </w:r>
      <w:r w:rsidR="00E7283E">
        <w:t>'</w:t>
      </w:r>
      <w:r w:rsidRPr="00F9689B">
        <w:t xml:space="preserve"> after the </w:t>
      </w:r>
      <m:oMath>
        <m:sSub>
          <m:sSubPr>
            <m:ctrlPr>
              <w:rPr>
                <w:rFonts w:ascii="Cambria Math" w:hAnsi="Cambria Math"/>
                <w:i/>
              </w:rPr>
            </m:ctrlPr>
          </m:sSubPr>
          <m:e>
            <m:r>
              <w:rPr>
                <w:rFonts w:ascii="Cambria Math" w:hAnsi="Cambria Math"/>
              </w:rPr>
              <m:t>N</m:t>
            </m:r>
          </m:e>
          <m:sub>
            <m:r>
              <m:rPr>
                <m:sty m:val="p"/>
              </m:rPr>
              <w:rPr>
                <w:rFonts w:ascii="Cambria Math" w:hAnsi="Cambria Math"/>
              </w:rPr>
              <m:t>UL,hop</m:t>
            </m:r>
          </m:sub>
        </m:sSub>
      </m:oMath>
      <w:r w:rsidRPr="00F9689B">
        <w:t xml:space="preserve"> bits</w:t>
      </w:r>
      <w:r>
        <w:rPr>
          <w:lang w:val="en-US"/>
        </w:rPr>
        <w:t xml:space="preserve"> to </w:t>
      </w:r>
      <w:r w:rsidRPr="00F9689B">
        <w:t xml:space="preserve">the frequency </w:t>
      </w:r>
      <w:r>
        <w:rPr>
          <w:lang w:val="en-US"/>
        </w:rPr>
        <w:t xml:space="preserve">domain </w:t>
      </w:r>
      <w:r w:rsidRPr="00F9689B">
        <w:t xml:space="preserve">resource </w:t>
      </w:r>
      <w:r>
        <w:rPr>
          <w:lang w:val="en-US"/>
        </w:rPr>
        <w:t>assignment</w:t>
      </w:r>
      <w:r w:rsidRPr="00F9689B">
        <w:t xml:space="preserve"> </w:t>
      </w:r>
      <w:r w:rsidRPr="00F9689B">
        <w:rPr>
          <w:lang w:val="en-US"/>
        </w:rPr>
        <w:t>field</w:t>
      </w:r>
      <w:r w:rsidRPr="00F9689B">
        <w:t xml:space="preserve">, where </w:t>
      </w:r>
      <m:oMath>
        <m:sSub>
          <m:sSubPr>
            <m:ctrlPr>
              <w:rPr>
                <w:rFonts w:ascii="Cambria Math" w:hAnsi="Cambria Math"/>
                <w:i/>
              </w:rPr>
            </m:ctrlPr>
          </m:sSubPr>
          <m:e>
            <m:r>
              <w:rPr>
                <w:rFonts w:ascii="Cambria Math" w:hAnsi="Cambria Math"/>
              </w:rPr>
              <m:t>N</m:t>
            </m:r>
          </m:e>
          <m:sub>
            <m:r>
              <m:rPr>
                <m:sty m:val="p"/>
              </m:rPr>
              <w:rPr>
                <w:rFonts w:ascii="Cambria Math" w:hAnsi="Cambria Math"/>
              </w:rPr>
              <m:t>UL,hop</m:t>
            </m:r>
          </m:sub>
        </m:sSub>
        <m:r>
          <w:rPr>
            <w:rFonts w:ascii="Cambria Math" w:hAnsi="Cambria Math"/>
          </w:rPr>
          <m:t>=0</m:t>
        </m:r>
      </m:oMath>
      <w:r w:rsidR="0060391B">
        <w:rPr>
          <w:lang w:val="en-US"/>
        </w:rPr>
        <w:t xml:space="preserve"> </w:t>
      </w:r>
      <w:r w:rsidRPr="00F9689B">
        <w:t xml:space="preserve"> if the frequency hopping flag is set to </w:t>
      </w:r>
      <w:r w:rsidR="00E7283E">
        <w:t>'</w:t>
      </w:r>
      <w:r w:rsidRPr="00F9689B">
        <w:rPr>
          <w:lang w:val="en-US"/>
        </w:rPr>
        <w:t>0</w:t>
      </w:r>
      <w:r w:rsidR="00E7283E">
        <w:rPr>
          <w:lang w:val="en-US"/>
        </w:rPr>
        <w:t>'</w:t>
      </w:r>
      <w:r w:rsidRPr="00F9689B">
        <w:t xml:space="preserve"> and </w:t>
      </w:r>
      <m:oMath>
        <m:sSub>
          <m:sSubPr>
            <m:ctrlPr>
              <w:rPr>
                <w:rFonts w:ascii="Cambria Math" w:hAnsi="Cambria Math"/>
                <w:i/>
              </w:rPr>
            </m:ctrlPr>
          </m:sSubPr>
          <m:e>
            <m:r>
              <w:rPr>
                <w:rFonts w:ascii="Cambria Math" w:hAnsi="Cambria Math"/>
              </w:rPr>
              <m:t>N</m:t>
            </m:r>
          </m:e>
          <m:sub>
            <m:r>
              <m:rPr>
                <m:sty m:val="p"/>
              </m:rPr>
              <w:rPr>
                <w:rFonts w:ascii="Cambria Math" w:hAnsi="Cambria Math"/>
              </w:rPr>
              <m:t>UL,hop</m:t>
            </m:r>
          </m:sub>
        </m:sSub>
      </m:oMath>
      <w:r w:rsidRPr="00F9689B">
        <w:rPr>
          <w:lang w:val="en-US"/>
        </w:rPr>
        <w:t xml:space="preserve"> </w:t>
      </w:r>
      <w:r w:rsidRPr="00F9689B">
        <w:t>is provided in Table 8.3-1 if the hopping flag bit is set to</w:t>
      </w:r>
      <w:r w:rsidRPr="00F9689B">
        <w:rPr>
          <w:lang w:val="en-US"/>
        </w:rPr>
        <w:t xml:space="preserve"> </w:t>
      </w:r>
      <w:r w:rsidR="00E7283E">
        <w:rPr>
          <w:lang w:val="en-US"/>
        </w:rPr>
        <w:t>'</w:t>
      </w:r>
      <w:r w:rsidRPr="00F9689B">
        <w:t>1</w:t>
      </w:r>
      <w:r w:rsidR="00E7283E">
        <w:rPr>
          <w:lang w:val="en-US"/>
        </w:rPr>
        <w:t>'</w:t>
      </w:r>
      <w:r w:rsidRPr="00F9689B">
        <w:t>, and interpret the expanded frequency resource a</w:t>
      </w:r>
      <w:r>
        <w:t>ssignment</w:t>
      </w:r>
      <w:r w:rsidRPr="00F9689B">
        <w:t xml:space="preserve"> </w:t>
      </w:r>
      <w:r w:rsidRPr="00F9689B">
        <w:rPr>
          <w:lang w:val="en-US"/>
        </w:rPr>
        <w:t xml:space="preserve">field </w:t>
      </w:r>
      <w:r w:rsidRPr="00F9689B">
        <w:t xml:space="preserve">as for </w:t>
      </w:r>
      <w:r w:rsidRPr="00F9689B">
        <w:rPr>
          <w:lang w:val="en-US"/>
        </w:rPr>
        <w:t xml:space="preserve">the frequency resource </w:t>
      </w:r>
      <w:r>
        <w:rPr>
          <w:lang w:val="en-US"/>
        </w:rPr>
        <w:t>assignment</w:t>
      </w:r>
      <w:r w:rsidRPr="00F9689B">
        <w:rPr>
          <w:lang w:val="en-US"/>
        </w:rPr>
        <w:t xml:space="preserve"> field in </w:t>
      </w:r>
      <w:r w:rsidRPr="00F9689B">
        <w:t>DCI format 0_0</w:t>
      </w:r>
      <w:r w:rsidRPr="00F9689B">
        <w:rPr>
          <w:lang w:val="en-US"/>
        </w:rPr>
        <w:t xml:space="preserve"> as described in </w:t>
      </w:r>
      <w:r>
        <w:t>[5</w:t>
      </w:r>
      <w:r w:rsidRPr="00F9689B">
        <w:t xml:space="preserve">, </w:t>
      </w:r>
      <w:r w:rsidRPr="00F9689B">
        <w:rPr>
          <w:lang w:val="en-US"/>
        </w:rPr>
        <w:t xml:space="preserve">TS </w:t>
      </w:r>
      <w:r>
        <w:t>38.212</w:t>
      </w:r>
      <w:r w:rsidRPr="00F9689B">
        <w:t>]</w:t>
      </w:r>
    </w:p>
    <w:p w14:paraId="55324F9B" w14:textId="77777777" w:rsidR="0006659E" w:rsidRPr="00F9689B" w:rsidRDefault="0006659E" w:rsidP="0006659E">
      <w:pPr>
        <w:pStyle w:val="B1"/>
        <w:rPr>
          <w:rFonts w:eastAsia="MS Mincho"/>
          <w:kern w:val="2"/>
        </w:rPr>
      </w:pPr>
      <w:r w:rsidRPr="00F9689B">
        <w:t>-</w:t>
      </w:r>
      <w:r w:rsidRPr="00F9689B">
        <w:tab/>
      </w:r>
      <w:r w:rsidRPr="00F9689B">
        <w:rPr>
          <w:rFonts w:eastAsia="MS Mincho"/>
          <w:kern w:val="2"/>
        </w:rPr>
        <w:t>end if</w:t>
      </w:r>
    </w:p>
    <w:p w14:paraId="7FB4C569" w14:textId="0BAD4888" w:rsidR="0060391B" w:rsidRPr="00FB74D5" w:rsidRDefault="0060391B" w:rsidP="0060391B">
      <w:r w:rsidRPr="00FB74D5">
        <w:rPr>
          <w:rFonts w:eastAsia="MS Mincho"/>
          <w:kern w:val="2"/>
          <w:lang w:val="en-US"/>
        </w:rPr>
        <w:t xml:space="preserve">If </w:t>
      </w:r>
      <w:r w:rsidRPr="00FB74D5">
        <w:rPr>
          <w:rFonts w:eastAsia="MS Mincho"/>
          <w:i/>
          <w:iCs/>
          <w:kern w:val="2"/>
          <w:lang w:val="en-US"/>
        </w:rPr>
        <w:t>useInterlacePUCCH-PUSCH</w:t>
      </w:r>
      <w:r w:rsidRPr="00FB74D5">
        <w:rPr>
          <w:rFonts w:eastAsia="MS Mincho"/>
          <w:kern w:val="2"/>
          <w:lang w:val="en-US"/>
        </w:rPr>
        <w:t xml:space="preserve"> is provided by </w:t>
      </w:r>
      <w:r w:rsidRPr="00FB74D5">
        <w:rPr>
          <w:rFonts w:eastAsia="MS Mincho"/>
          <w:i/>
          <w:iCs/>
          <w:kern w:val="2"/>
          <w:lang w:val="en-US"/>
        </w:rPr>
        <w:t>BWP-UplinkCommon</w:t>
      </w:r>
      <w:r w:rsidRPr="00FB74D5">
        <w:rPr>
          <w:rFonts w:eastAsia="MS Mincho"/>
          <w:kern w:val="2"/>
          <w:lang w:val="en-US"/>
        </w:rPr>
        <w:t xml:space="preserve"> or </w:t>
      </w:r>
      <w:r w:rsidRPr="00FB74D5">
        <w:rPr>
          <w:rFonts w:eastAsia="MS Mincho"/>
          <w:i/>
          <w:iCs/>
          <w:kern w:val="2"/>
          <w:lang w:val="en-US"/>
        </w:rPr>
        <w:t>BWP-UplinkDedicated</w:t>
      </w:r>
      <w:r w:rsidRPr="00FB74D5">
        <w:rPr>
          <w:rFonts w:eastAsia="MS Mincho"/>
          <w:kern w:val="2"/>
          <w:lang w:val="en-US"/>
        </w:rPr>
        <w:t>,</w:t>
      </w:r>
      <w:r w:rsidRPr="00FB74D5">
        <w:t xml:space="preserve"> the</w:t>
      </w:r>
      <w:r w:rsidRPr="00FB74D5">
        <w:rPr>
          <w:rFonts w:eastAsia="DengXian"/>
        </w:rPr>
        <w:t xml:space="preserve"> </w:t>
      </w:r>
      <w:r w:rsidRPr="00FB74D5">
        <w:t>frequency domain resource allocation is by uplink resource allocation type 2 [6, TS 38.214]. A UE processes</w:t>
      </w:r>
      <w:r w:rsidRPr="00FB74D5">
        <w:rPr>
          <w:rFonts w:eastAsia="MS Mincho"/>
          <w:kern w:val="2"/>
        </w:rPr>
        <w:t xml:space="preserve"> the frequency domain resource assignment field </w:t>
      </w:r>
      <w:r w:rsidRPr="00FB74D5">
        <w:t>as follows</w:t>
      </w:r>
    </w:p>
    <w:p w14:paraId="55063A2A" w14:textId="6861E0C1" w:rsidR="0060391B" w:rsidRPr="00FB74D5" w:rsidRDefault="0060391B" w:rsidP="00F44350">
      <w:pPr>
        <w:pStyle w:val="B1"/>
        <w:rPr>
          <w:rFonts w:eastAsia="MS Mincho"/>
        </w:rPr>
      </w:pPr>
      <w:r>
        <w:rPr>
          <w:rFonts w:eastAsia="MS Mincho"/>
        </w:rPr>
        <w:t>-</w:t>
      </w:r>
      <w:r>
        <w:rPr>
          <w:rFonts w:eastAsia="MS Mincho"/>
        </w:rPr>
        <w:tab/>
      </w:r>
      <w:r w:rsidRPr="00FB74D5">
        <w:rPr>
          <w:rFonts w:eastAsia="MS Mincho"/>
        </w:rPr>
        <w:t xml:space="preserve">truncate the frequency domain resource assignment field to the </w:t>
      </w:r>
      <m:oMath>
        <m:r>
          <w:rPr>
            <w:rFonts w:ascii="Cambria Math" w:eastAsia="MS Mincho" w:hAnsi="Cambria Math"/>
          </w:rPr>
          <m:t>X=6</m:t>
        </m:r>
      </m:oMath>
      <w:r w:rsidRPr="00FB74D5">
        <w:rPr>
          <w:rFonts w:eastAsia="MS Mincho"/>
        </w:rPr>
        <w:t xml:space="preserve"> LSBs if </w:t>
      </w:r>
      <m:oMath>
        <m:r>
          <w:rPr>
            <w:rFonts w:ascii="Cambria Math" w:eastAsia="MS Mincho" w:hAnsi="Cambria Math"/>
          </w:rPr>
          <m:t>μ=0</m:t>
        </m:r>
      </m:oMath>
      <w:r w:rsidRPr="00FB74D5">
        <w:rPr>
          <w:rFonts w:eastAsia="MS Mincho"/>
        </w:rPr>
        <w:t xml:space="preserve">, or to the </w:t>
      </w:r>
      <m:oMath>
        <m:r>
          <w:rPr>
            <w:rFonts w:ascii="Cambria Math" w:eastAsia="MS Mincho" w:hAnsi="Cambria Math"/>
          </w:rPr>
          <m:t>X=5</m:t>
        </m:r>
      </m:oMath>
      <w:r w:rsidRPr="00FB74D5">
        <w:rPr>
          <w:rFonts w:eastAsia="MS Mincho"/>
        </w:rPr>
        <w:t xml:space="preserve"> LSBs if </w:t>
      </w:r>
      <m:oMath>
        <m:r>
          <w:rPr>
            <w:rFonts w:ascii="Cambria Math" w:eastAsia="MS Mincho" w:hAnsi="Cambria Math"/>
          </w:rPr>
          <m:t>μ=1</m:t>
        </m:r>
      </m:oMath>
      <w:r w:rsidRPr="00FB74D5">
        <w:rPr>
          <w:rFonts w:eastAsia="MS Mincho"/>
        </w:rPr>
        <w:t xml:space="preserve">  </w:t>
      </w:r>
    </w:p>
    <w:p w14:paraId="6AF2422F" w14:textId="083BA09F" w:rsidR="0060391B" w:rsidRPr="00FB74D5" w:rsidRDefault="0060391B" w:rsidP="00F44350">
      <w:pPr>
        <w:pStyle w:val="B1"/>
        <w:rPr>
          <w:rFonts w:eastAsia="MS Mincho"/>
        </w:rPr>
      </w:pPr>
      <w:r>
        <w:rPr>
          <w:rFonts w:eastAsia="MS Mincho"/>
        </w:rPr>
        <w:t>-</w:t>
      </w:r>
      <w:r>
        <w:rPr>
          <w:rFonts w:eastAsia="MS Mincho"/>
        </w:rPr>
        <w:tab/>
      </w:r>
      <w:r w:rsidRPr="00FB74D5">
        <w:rPr>
          <w:rFonts w:eastAsia="MS Mincho"/>
        </w:rPr>
        <w:t xml:space="preserve">for interlace allocation of a PUSCH transmission, interpret the </w:t>
      </w:r>
      <m:oMath>
        <m:r>
          <w:rPr>
            <w:rFonts w:ascii="Cambria Math" w:eastAsia="MS Mincho" w:hAnsi="Cambria Math"/>
          </w:rPr>
          <m:t>X</m:t>
        </m:r>
      </m:oMath>
      <w:r w:rsidRPr="00FB74D5">
        <w:rPr>
          <w:rFonts w:eastAsia="MS Mincho"/>
        </w:rPr>
        <w:t xml:space="preserve"> MSBs of the truncated frequency domain resource assignment field for the active UL BWP as for the </w:t>
      </w:r>
      <m:oMath>
        <m:r>
          <w:rPr>
            <w:rFonts w:ascii="Cambria Math" w:eastAsia="MS Mincho" w:hAnsi="Cambria Math"/>
          </w:rPr>
          <m:t>X</m:t>
        </m:r>
      </m:oMath>
      <w:r w:rsidRPr="00FB74D5">
        <w:rPr>
          <w:rFonts w:eastAsia="MS Mincho"/>
        </w:rPr>
        <w:t xml:space="preserve"> MSBs of the frequency domain resource assignment field in DCI format 0_0 [6, TS 38.214]</w:t>
      </w:r>
    </w:p>
    <w:p w14:paraId="6AE1F89D" w14:textId="7D6C0331" w:rsidR="0060391B" w:rsidRPr="00FB74D5" w:rsidRDefault="0060391B" w:rsidP="00F44350">
      <w:pPr>
        <w:pStyle w:val="B1"/>
        <w:rPr>
          <w:rFonts w:eastAsia="MS Mincho"/>
        </w:rPr>
      </w:pPr>
      <w:r>
        <w:rPr>
          <w:rFonts w:eastAsia="MS Mincho"/>
        </w:rPr>
        <w:t>-</w:t>
      </w:r>
      <w:r>
        <w:rPr>
          <w:rFonts w:eastAsia="MS Mincho"/>
        </w:rPr>
        <w:tab/>
      </w:r>
      <w:r w:rsidRPr="00FB74D5">
        <w:rPr>
          <w:rFonts w:eastAsia="MS Mincho"/>
        </w:rPr>
        <w:t>for RB set allocation of a PUSCH transmission, the RB set of the active UL BWP is the RB set of the PRACH transmission associated with the RAR UL grant</w:t>
      </w:r>
      <w:r w:rsidR="00B351D4">
        <w:rPr>
          <w:rFonts w:eastAsia="MS Mincho"/>
          <w:lang w:val="en-US"/>
        </w:rPr>
        <w:t xml:space="preserve">. </w:t>
      </w:r>
      <w:r w:rsidR="00B351D4" w:rsidRPr="004147BA">
        <w:t xml:space="preserve">The UE assumes that the RB set is </w:t>
      </w:r>
      <w:r w:rsidR="00B351D4">
        <w:t xml:space="preserve">defined as </w:t>
      </w:r>
      <w:r w:rsidR="00B351D4" w:rsidRPr="004147BA">
        <w:t xml:space="preserve">when </w:t>
      </w:r>
      <w:r w:rsidR="00B351D4" w:rsidRPr="004147BA">
        <w:rPr>
          <w:rFonts w:eastAsia="Malgun Gothic"/>
          <w:lang w:val="en-US"/>
        </w:rPr>
        <w:t xml:space="preserve">the UE is not </w:t>
      </w:r>
      <w:r w:rsidR="00B351D4">
        <w:rPr>
          <w:rFonts w:eastAsia="Malgun Gothic"/>
          <w:lang w:val="en-US"/>
        </w:rPr>
        <w:t>provided</w:t>
      </w:r>
      <w:r w:rsidR="00B351D4" w:rsidRPr="004147BA">
        <w:rPr>
          <w:rFonts w:eastAsia="Malgun Gothic"/>
          <w:lang w:val="en-US"/>
        </w:rPr>
        <w:t xml:space="preserve"> </w:t>
      </w:r>
      <w:r w:rsidR="00B351D4" w:rsidRPr="004147BA">
        <w:rPr>
          <w:rFonts w:eastAsia="Malgun Gothic"/>
          <w:i/>
          <w:lang w:val="en-US"/>
        </w:rPr>
        <w:t>intraCellGuardBand</w:t>
      </w:r>
      <w:r w:rsidR="006545FE">
        <w:rPr>
          <w:rFonts w:eastAsia="Malgun Gothic"/>
          <w:i/>
          <w:lang w:val="en-US"/>
        </w:rPr>
        <w:t>s</w:t>
      </w:r>
      <w:r w:rsidR="00B351D4" w:rsidRPr="004147BA">
        <w:rPr>
          <w:rFonts w:eastAsia="Malgun Gothic"/>
          <w:i/>
          <w:lang w:val="en-US"/>
        </w:rPr>
        <w:t>UL-</w:t>
      </w:r>
      <w:r w:rsidR="006545FE">
        <w:rPr>
          <w:rFonts w:eastAsia="Malgun Gothic"/>
          <w:i/>
          <w:lang w:val="en-US"/>
        </w:rPr>
        <w:t>List</w:t>
      </w:r>
      <w:r w:rsidR="006545FE">
        <w:rPr>
          <w:rFonts w:eastAsia="Malgun Gothic"/>
          <w:iCs/>
          <w:lang w:val="en-US"/>
        </w:rPr>
        <w:t xml:space="preserve"> </w:t>
      </w:r>
      <w:r w:rsidR="00B351D4" w:rsidRPr="00B916EC">
        <w:t>[</w:t>
      </w:r>
      <w:r w:rsidR="00B351D4">
        <w:t>6</w:t>
      </w:r>
      <w:r w:rsidR="00B351D4" w:rsidRPr="00B916EC">
        <w:t>, TS 38.21</w:t>
      </w:r>
      <w:r w:rsidR="00B351D4">
        <w:t>4</w:t>
      </w:r>
      <w:r w:rsidR="00B351D4" w:rsidRPr="00B916EC">
        <w:t>]</w:t>
      </w:r>
      <w:r w:rsidR="00B351D4" w:rsidRPr="004147BA">
        <w:rPr>
          <w:rFonts w:eastAsia="Malgun Gothic"/>
          <w:iCs/>
          <w:lang w:val="en-US"/>
        </w:rPr>
        <w:t>.</w:t>
      </w:r>
    </w:p>
    <w:p w14:paraId="0624CD12" w14:textId="77777777" w:rsidR="00E87744" w:rsidRDefault="00E87744" w:rsidP="005B4FF8">
      <w:r>
        <w:t>A UE determines whether or not to apply transform precoding as</w:t>
      </w:r>
      <w:r w:rsidRPr="00B916EC">
        <w:t xml:space="preserve"> described in [</w:t>
      </w:r>
      <w:r>
        <w:t>6</w:t>
      </w:r>
      <w:r w:rsidRPr="00B916EC">
        <w:t>, TS 38.21</w:t>
      </w:r>
      <w:r>
        <w:t>4</w:t>
      </w:r>
      <w:r w:rsidRPr="00B916EC">
        <w:t>]</w:t>
      </w:r>
      <w:r>
        <w:t>.</w:t>
      </w:r>
      <w:r w:rsidRPr="00B916EC">
        <w:t xml:space="preserve"> </w:t>
      </w:r>
    </w:p>
    <w:p w14:paraId="500CE381" w14:textId="65C0C86A" w:rsidR="006B6C8E" w:rsidRPr="001C327A" w:rsidRDefault="005B62A8" w:rsidP="005B4FF8">
      <w:r>
        <w:lastRenderedPageBreak/>
        <w:t>For</w:t>
      </w:r>
      <w:r w:rsidR="00AD1F86" w:rsidRPr="001C327A">
        <w:t xml:space="preserve"> </w:t>
      </w:r>
      <w:r w:rsidR="00E87744">
        <w:t xml:space="preserve">a </w:t>
      </w:r>
      <w:r w:rsidR="00AD1F86" w:rsidRPr="001C327A">
        <w:t>PUSCH transmission with frequency hopping</w:t>
      </w:r>
      <w:r>
        <w:t xml:space="preserve"> scheduled by RAR UL grant</w:t>
      </w:r>
      <w:r w:rsidR="00373064">
        <w:t xml:space="preserve"> or for a Msg3 PUSCH retransmission</w:t>
      </w:r>
      <w:r w:rsidR="00AD1F86" w:rsidRPr="001C327A">
        <w:t>, the frequency offset for the second hop [6, TS</w:t>
      </w:r>
      <w:r>
        <w:t xml:space="preserve"> </w:t>
      </w:r>
      <w:r w:rsidR="00AD1F86" w:rsidRPr="001C327A">
        <w:t>38.214] is given in Table 8.3-1.</w:t>
      </w:r>
    </w:p>
    <w:p w14:paraId="2AD0A513" w14:textId="77777777" w:rsidR="00AD1F86" w:rsidRPr="000D6543" w:rsidRDefault="00AD1F86" w:rsidP="00AD1F86">
      <w:pPr>
        <w:pStyle w:val="TH"/>
      </w:pPr>
      <w:r w:rsidRPr="00B916EC">
        <w:t xml:space="preserve">Table </w:t>
      </w:r>
      <w:r>
        <w:t>8.3</w:t>
      </w:r>
      <w:r w:rsidRPr="00B916EC">
        <w:t xml:space="preserve">-1: </w:t>
      </w:r>
      <w:r>
        <w:t xml:space="preserve">Frequency </w:t>
      </w:r>
      <w:r w:rsidRPr="000D6543">
        <w:t xml:space="preserve">offset for second hop </w:t>
      </w:r>
      <w:r w:rsidR="005B62A8">
        <w:t>of</w:t>
      </w:r>
      <w:r w:rsidRPr="000D6543">
        <w:t xml:space="preserve"> PUSCH transmission with frequency hopping</w:t>
      </w:r>
      <w:r w:rsidR="005B62A8">
        <w:t xml:space="preserve"> scheduled by RAR UL grant</w:t>
      </w:r>
      <w:r w:rsidR="00373064">
        <w:t xml:space="preserve"> or of Msg3 PUSCH retransmission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7"/>
        <w:gridCol w:w="2787"/>
        <w:gridCol w:w="2633"/>
      </w:tblGrid>
      <w:tr w:rsidR="0060391B" w:rsidRPr="0080392F" w14:paraId="0F1057BC" w14:textId="77777777" w:rsidTr="005736C2">
        <w:trPr>
          <w:jc w:val="center"/>
        </w:trPr>
        <w:tc>
          <w:tcPr>
            <w:tcW w:w="0" w:type="auto"/>
            <w:shd w:val="clear" w:color="auto" w:fill="E0E0E0"/>
            <w:vAlign w:val="center"/>
          </w:tcPr>
          <w:p w14:paraId="0D2FAF52" w14:textId="77777777" w:rsidR="0060391B" w:rsidRPr="000D6543" w:rsidRDefault="0060391B" w:rsidP="005736C2">
            <w:pPr>
              <w:pStyle w:val="TAH"/>
            </w:pPr>
            <w:r w:rsidRPr="000D6543">
              <w:rPr>
                <w:bCs/>
              </w:rPr>
              <w:t xml:space="preserve">Number of PRBs in </w:t>
            </w:r>
            <w:r>
              <w:rPr>
                <w:bCs/>
              </w:rPr>
              <w:t>initial</w:t>
            </w:r>
            <w:r w:rsidRPr="000D6543">
              <w:rPr>
                <w:bCs/>
              </w:rPr>
              <w:t xml:space="preserve"> UL BWP</w:t>
            </w:r>
          </w:p>
        </w:tc>
        <w:tc>
          <w:tcPr>
            <w:tcW w:w="0" w:type="auto"/>
            <w:shd w:val="clear" w:color="auto" w:fill="E0E0E0"/>
            <w:vAlign w:val="center"/>
          </w:tcPr>
          <w:p w14:paraId="79658C84" w14:textId="77777777" w:rsidR="0060391B" w:rsidRPr="000D6543" w:rsidRDefault="0060391B" w:rsidP="005736C2">
            <w:pPr>
              <w:pStyle w:val="TAH"/>
              <w:rPr>
                <w:szCs w:val="18"/>
              </w:rPr>
            </w:pPr>
            <w:r w:rsidRPr="000D6543">
              <w:t xml:space="preserve">Value of </w:t>
            </w:r>
            <m:oMath>
              <m:sSub>
                <m:sSubPr>
                  <m:ctrlPr>
                    <w:rPr>
                      <w:rFonts w:ascii="Cambria Math" w:eastAsia="MS Mincho" w:hAnsi="Cambria Math"/>
                      <w:b w:val="0"/>
                      <w:i/>
                      <w:kern w:val="2"/>
                      <w:sz w:val="20"/>
                      <w:lang w:val="x-none"/>
                    </w:rPr>
                  </m:ctrlPr>
                </m:sSubPr>
                <m:e>
                  <m:r>
                    <m:rPr>
                      <m:sty m:val="bi"/>
                    </m:rPr>
                    <w:rPr>
                      <w:rFonts w:ascii="Cambria Math" w:eastAsia="MS Mincho" w:hAnsi="Cambria Math"/>
                      <w:kern w:val="2"/>
                    </w:rPr>
                    <m:t>N</m:t>
                  </m:r>
                </m:e>
                <m:sub>
                  <m:r>
                    <m:rPr>
                      <m:sty m:val="b"/>
                    </m:rPr>
                    <w:rPr>
                      <w:rFonts w:ascii="Cambria Math" w:eastAsia="MS Mincho" w:hAnsi="Cambria Math"/>
                      <w:kern w:val="2"/>
                    </w:rPr>
                    <m:t>UL,hop</m:t>
                  </m:r>
                </m:sub>
              </m:sSub>
            </m:oMath>
            <w:r>
              <w:t xml:space="preserve"> </w:t>
            </w:r>
            <w:r w:rsidRPr="000D6543">
              <w:t>Hopping Bits</w:t>
            </w:r>
          </w:p>
        </w:tc>
        <w:tc>
          <w:tcPr>
            <w:tcW w:w="0" w:type="auto"/>
            <w:shd w:val="clear" w:color="auto" w:fill="E0E0E0"/>
            <w:vAlign w:val="center"/>
          </w:tcPr>
          <w:p w14:paraId="47CC98D7" w14:textId="77777777" w:rsidR="0060391B" w:rsidRPr="000D6543" w:rsidRDefault="0060391B" w:rsidP="005736C2">
            <w:pPr>
              <w:pStyle w:val="TAH"/>
              <w:rPr>
                <w:szCs w:val="18"/>
              </w:rPr>
            </w:pPr>
            <w:r w:rsidRPr="00526AFE">
              <w:t>Frequency offset for 2</w:t>
            </w:r>
            <w:r w:rsidRPr="00526AFE">
              <w:rPr>
                <w:vertAlign w:val="superscript"/>
              </w:rPr>
              <w:t>n</w:t>
            </w:r>
            <w:r w:rsidRPr="00300A30">
              <w:rPr>
                <w:vertAlign w:val="superscript"/>
              </w:rPr>
              <w:t>d</w:t>
            </w:r>
            <w:r w:rsidRPr="000D6543">
              <w:t xml:space="preserve"> hop</w:t>
            </w:r>
          </w:p>
        </w:tc>
      </w:tr>
      <w:tr w:rsidR="0060391B" w:rsidRPr="00B916EC" w14:paraId="253BE2A1" w14:textId="77777777" w:rsidTr="005736C2">
        <w:trPr>
          <w:trHeight w:hRule="exact" w:val="367"/>
          <w:jc w:val="center"/>
        </w:trPr>
        <w:tc>
          <w:tcPr>
            <w:tcW w:w="0" w:type="auto"/>
            <w:vMerge w:val="restart"/>
            <w:vAlign w:val="center"/>
          </w:tcPr>
          <w:p w14:paraId="010282CB" w14:textId="77777777" w:rsidR="0060391B" w:rsidRPr="00B916EC" w:rsidRDefault="00000000" w:rsidP="005736C2">
            <w:pPr>
              <w:pStyle w:val="TAC"/>
            </w:pPr>
            <m:oMathPara>
              <m:oMath>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r>
                  <w:rPr>
                    <w:rFonts w:ascii="Cambria Math" w:eastAsia="MS Mincho" w:hAnsi="Cambria Math"/>
                    <w:kern w:val="2"/>
                  </w:rPr>
                  <m:t>&lt;50</m:t>
                </m:r>
              </m:oMath>
            </m:oMathPara>
          </w:p>
        </w:tc>
        <w:tc>
          <w:tcPr>
            <w:tcW w:w="0" w:type="auto"/>
            <w:vAlign w:val="center"/>
          </w:tcPr>
          <w:p w14:paraId="586061C3" w14:textId="77777777" w:rsidR="0060391B" w:rsidRPr="00B916EC" w:rsidRDefault="0060391B" w:rsidP="005736C2">
            <w:pPr>
              <w:pStyle w:val="TAC"/>
            </w:pPr>
            <w:r>
              <w:t>0</w:t>
            </w:r>
          </w:p>
        </w:tc>
        <w:tc>
          <w:tcPr>
            <w:tcW w:w="0" w:type="auto"/>
            <w:vAlign w:val="center"/>
          </w:tcPr>
          <w:p w14:paraId="049362A4" w14:textId="77777777" w:rsidR="0060391B" w:rsidRPr="001322F1" w:rsidRDefault="00000000" w:rsidP="005736C2">
            <w:pPr>
              <w:pStyle w:val="TAC"/>
              <w:rPr>
                <w:rFonts w:ascii="Times New Roman" w:hAnsi="Times New Roman"/>
              </w:rPr>
            </w:pPr>
            <m:oMathPara>
              <m:oMath>
                <m:d>
                  <m:dPr>
                    <m:begChr m:val="⌊"/>
                    <m:endChr m:val="⌋"/>
                    <m:ctrlPr>
                      <w:rPr>
                        <w:rFonts w:ascii="Cambria Math" w:eastAsia="MS Mincho" w:hAnsi="Cambria Math"/>
                        <w:i/>
                        <w:kern w:val="2"/>
                        <w:sz w:val="20"/>
                      </w:rPr>
                    </m:ctrlPr>
                  </m:dPr>
                  <m:e>
                    <m:f>
                      <m:fPr>
                        <m:type m:val="lin"/>
                        <m:ctrlPr>
                          <w:rPr>
                            <w:rFonts w:ascii="Cambria Math" w:eastAsia="MS Mincho" w:hAnsi="Cambria Math"/>
                            <w:i/>
                            <w:kern w:val="2"/>
                            <w:sz w:val="20"/>
                          </w:rPr>
                        </m:ctrlPr>
                      </m:fPr>
                      <m:num>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num>
                      <m:den>
                        <m:r>
                          <w:rPr>
                            <w:rFonts w:ascii="Cambria Math" w:eastAsia="MS Mincho" w:hAnsi="Cambria Math"/>
                            <w:kern w:val="2"/>
                          </w:rPr>
                          <m:t>2</m:t>
                        </m:r>
                      </m:den>
                    </m:f>
                  </m:e>
                </m:d>
              </m:oMath>
            </m:oMathPara>
          </w:p>
        </w:tc>
      </w:tr>
      <w:tr w:rsidR="0060391B" w:rsidRPr="00B916EC" w14:paraId="21B557E2" w14:textId="77777777" w:rsidTr="005736C2">
        <w:trPr>
          <w:trHeight w:hRule="exact" w:val="358"/>
          <w:jc w:val="center"/>
        </w:trPr>
        <w:tc>
          <w:tcPr>
            <w:tcW w:w="0" w:type="auto"/>
            <w:vMerge/>
            <w:vAlign w:val="center"/>
          </w:tcPr>
          <w:p w14:paraId="0572050C" w14:textId="77777777" w:rsidR="0060391B" w:rsidRPr="00B916EC" w:rsidRDefault="0060391B" w:rsidP="005736C2">
            <w:pPr>
              <w:pStyle w:val="TAC"/>
            </w:pPr>
          </w:p>
        </w:tc>
        <w:tc>
          <w:tcPr>
            <w:tcW w:w="0" w:type="auto"/>
            <w:vAlign w:val="center"/>
          </w:tcPr>
          <w:p w14:paraId="02384693" w14:textId="77777777" w:rsidR="0060391B" w:rsidRPr="00B916EC" w:rsidRDefault="0060391B" w:rsidP="005736C2">
            <w:pPr>
              <w:pStyle w:val="TAC"/>
            </w:pPr>
            <w:r>
              <w:t>1</w:t>
            </w:r>
          </w:p>
        </w:tc>
        <w:tc>
          <w:tcPr>
            <w:tcW w:w="0" w:type="auto"/>
            <w:vAlign w:val="center"/>
          </w:tcPr>
          <w:p w14:paraId="43F82522" w14:textId="77777777" w:rsidR="0060391B" w:rsidRPr="001322F1" w:rsidRDefault="00000000" w:rsidP="005736C2">
            <w:pPr>
              <w:pStyle w:val="TAC"/>
              <w:rPr>
                <w:rFonts w:ascii="Times New Roman" w:hAnsi="Times New Roman"/>
                <w:lang w:val="x-none"/>
              </w:rPr>
            </w:pPr>
            <m:oMathPara>
              <m:oMath>
                <m:d>
                  <m:dPr>
                    <m:begChr m:val="⌊"/>
                    <m:endChr m:val="⌋"/>
                    <m:ctrlPr>
                      <w:rPr>
                        <w:rFonts w:ascii="Cambria Math" w:eastAsia="MS Mincho" w:hAnsi="Cambria Math"/>
                        <w:i/>
                        <w:kern w:val="2"/>
                        <w:sz w:val="20"/>
                      </w:rPr>
                    </m:ctrlPr>
                  </m:dPr>
                  <m:e>
                    <m:f>
                      <m:fPr>
                        <m:type m:val="lin"/>
                        <m:ctrlPr>
                          <w:rPr>
                            <w:rFonts w:ascii="Cambria Math" w:eastAsia="MS Mincho" w:hAnsi="Cambria Math"/>
                            <w:i/>
                            <w:kern w:val="2"/>
                            <w:sz w:val="20"/>
                          </w:rPr>
                        </m:ctrlPr>
                      </m:fPr>
                      <m:num>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num>
                      <m:den>
                        <m:r>
                          <w:rPr>
                            <w:rFonts w:ascii="Cambria Math" w:eastAsia="MS Mincho" w:hAnsi="Cambria Math"/>
                            <w:kern w:val="2"/>
                          </w:rPr>
                          <m:t>4</m:t>
                        </m:r>
                      </m:den>
                    </m:f>
                  </m:e>
                </m:d>
              </m:oMath>
            </m:oMathPara>
          </w:p>
        </w:tc>
      </w:tr>
      <w:tr w:rsidR="0060391B" w:rsidRPr="00B916EC" w14:paraId="4298263C" w14:textId="77777777" w:rsidTr="005736C2">
        <w:trPr>
          <w:trHeight w:hRule="exact" w:val="358"/>
          <w:jc w:val="center"/>
        </w:trPr>
        <w:tc>
          <w:tcPr>
            <w:tcW w:w="0" w:type="auto"/>
            <w:vMerge w:val="restart"/>
            <w:vAlign w:val="center"/>
          </w:tcPr>
          <w:p w14:paraId="44F92B01" w14:textId="77777777" w:rsidR="0060391B" w:rsidRPr="00B916EC" w:rsidRDefault="00000000" w:rsidP="005736C2">
            <w:pPr>
              <w:pStyle w:val="TAC"/>
            </w:pPr>
            <m:oMathPara>
              <m:oMath>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r>
                  <w:rPr>
                    <w:rFonts w:ascii="Cambria Math" w:eastAsia="MS Mincho" w:hAnsi="Cambria Math"/>
                    <w:kern w:val="2"/>
                  </w:rPr>
                  <m:t>≥50</m:t>
                </m:r>
              </m:oMath>
            </m:oMathPara>
          </w:p>
        </w:tc>
        <w:tc>
          <w:tcPr>
            <w:tcW w:w="0" w:type="auto"/>
            <w:vAlign w:val="center"/>
          </w:tcPr>
          <w:p w14:paraId="25F39E28" w14:textId="77777777" w:rsidR="0060391B" w:rsidRPr="00B916EC" w:rsidRDefault="0060391B" w:rsidP="005736C2">
            <w:pPr>
              <w:pStyle w:val="TAC"/>
            </w:pPr>
            <w:r>
              <w:t>00</w:t>
            </w:r>
          </w:p>
        </w:tc>
        <w:tc>
          <w:tcPr>
            <w:tcW w:w="0" w:type="auto"/>
            <w:vAlign w:val="center"/>
          </w:tcPr>
          <w:p w14:paraId="0E072160" w14:textId="77777777" w:rsidR="0060391B" w:rsidRPr="001322F1" w:rsidRDefault="00000000" w:rsidP="005736C2">
            <w:pPr>
              <w:pStyle w:val="TAC"/>
              <w:rPr>
                <w:rFonts w:ascii="Times New Roman" w:hAnsi="Times New Roman"/>
                <w:lang w:val="en-US"/>
              </w:rPr>
            </w:pPr>
            <m:oMathPara>
              <m:oMath>
                <m:d>
                  <m:dPr>
                    <m:begChr m:val="⌊"/>
                    <m:endChr m:val="⌋"/>
                    <m:ctrlPr>
                      <w:rPr>
                        <w:rFonts w:ascii="Cambria Math" w:eastAsia="MS Mincho" w:hAnsi="Cambria Math"/>
                        <w:i/>
                        <w:kern w:val="2"/>
                        <w:sz w:val="20"/>
                      </w:rPr>
                    </m:ctrlPr>
                  </m:dPr>
                  <m:e>
                    <m:f>
                      <m:fPr>
                        <m:type m:val="lin"/>
                        <m:ctrlPr>
                          <w:rPr>
                            <w:rFonts w:ascii="Cambria Math" w:eastAsia="MS Mincho" w:hAnsi="Cambria Math"/>
                            <w:i/>
                            <w:kern w:val="2"/>
                            <w:sz w:val="20"/>
                          </w:rPr>
                        </m:ctrlPr>
                      </m:fPr>
                      <m:num>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num>
                      <m:den>
                        <m:r>
                          <w:rPr>
                            <w:rFonts w:ascii="Cambria Math" w:eastAsia="MS Mincho" w:hAnsi="Cambria Math"/>
                            <w:kern w:val="2"/>
                          </w:rPr>
                          <m:t>2</m:t>
                        </m:r>
                      </m:den>
                    </m:f>
                  </m:e>
                </m:d>
              </m:oMath>
            </m:oMathPara>
          </w:p>
        </w:tc>
      </w:tr>
      <w:tr w:rsidR="0060391B" w:rsidRPr="00B916EC" w14:paraId="3CD95229" w14:textId="77777777" w:rsidTr="005736C2">
        <w:trPr>
          <w:trHeight w:hRule="exact" w:val="367"/>
          <w:jc w:val="center"/>
        </w:trPr>
        <w:tc>
          <w:tcPr>
            <w:tcW w:w="0" w:type="auto"/>
            <w:vMerge/>
            <w:vAlign w:val="center"/>
          </w:tcPr>
          <w:p w14:paraId="61FF94C6" w14:textId="77777777" w:rsidR="0060391B" w:rsidRPr="00B916EC" w:rsidRDefault="0060391B" w:rsidP="005736C2">
            <w:pPr>
              <w:pStyle w:val="TAC"/>
            </w:pPr>
          </w:p>
        </w:tc>
        <w:tc>
          <w:tcPr>
            <w:tcW w:w="0" w:type="auto"/>
            <w:vAlign w:val="center"/>
          </w:tcPr>
          <w:p w14:paraId="24FB6CFD" w14:textId="77777777" w:rsidR="0060391B" w:rsidRPr="00B916EC" w:rsidRDefault="0060391B" w:rsidP="005736C2">
            <w:pPr>
              <w:pStyle w:val="TAC"/>
            </w:pPr>
            <w:r>
              <w:t>01</w:t>
            </w:r>
          </w:p>
        </w:tc>
        <w:tc>
          <w:tcPr>
            <w:tcW w:w="0" w:type="auto"/>
            <w:vAlign w:val="center"/>
          </w:tcPr>
          <w:p w14:paraId="5C90DF74" w14:textId="77777777" w:rsidR="0060391B" w:rsidRPr="001322F1" w:rsidRDefault="00000000" w:rsidP="005736C2">
            <w:pPr>
              <w:pStyle w:val="TAC"/>
              <w:rPr>
                <w:rFonts w:ascii="Times New Roman" w:hAnsi="Times New Roman"/>
                <w:lang w:val="x-none"/>
              </w:rPr>
            </w:pPr>
            <m:oMathPara>
              <m:oMath>
                <m:d>
                  <m:dPr>
                    <m:begChr m:val="⌊"/>
                    <m:endChr m:val="⌋"/>
                    <m:ctrlPr>
                      <w:rPr>
                        <w:rFonts w:ascii="Cambria Math" w:eastAsia="MS Mincho" w:hAnsi="Cambria Math"/>
                        <w:i/>
                        <w:kern w:val="2"/>
                        <w:sz w:val="20"/>
                      </w:rPr>
                    </m:ctrlPr>
                  </m:dPr>
                  <m:e>
                    <m:f>
                      <m:fPr>
                        <m:type m:val="lin"/>
                        <m:ctrlPr>
                          <w:rPr>
                            <w:rFonts w:ascii="Cambria Math" w:eastAsia="MS Mincho" w:hAnsi="Cambria Math"/>
                            <w:i/>
                            <w:kern w:val="2"/>
                            <w:sz w:val="20"/>
                          </w:rPr>
                        </m:ctrlPr>
                      </m:fPr>
                      <m:num>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num>
                      <m:den>
                        <m:r>
                          <w:rPr>
                            <w:rFonts w:ascii="Cambria Math" w:eastAsia="MS Mincho" w:hAnsi="Cambria Math"/>
                            <w:kern w:val="2"/>
                          </w:rPr>
                          <m:t>4</m:t>
                        </m:r>
                      </m:den>
                    </m:f>
                  </m:e>
                </m:d>
              </m:oMath>
            </m:oMathPara>
          </w:p>
        </w:tc>
      </w:tr>
      <w:tr w:rsidR="0060391B" w:rsidRPr="00B916EC" w14:paraId="3BC1F4F3" w14:textId="77777777" w:rsidTr="005736C2">
        <w:trPr>
          <w:trHeight w:hRule="exact" w:val="358"/>
          <w:jc w:val="center"/>
        </w:trPr>
        <w:tc>
          <w:tcPr>
            <w:tcW w:w="0" w:type="auto"/>
            <w:vMerge/>
            <w:vAlign w:val="center"/>
          </w:tcPr>
          <w:p w14:paraId="7831D3BF" w14:textId="77777777" w:rsidR="0060391B" w:rsidRPr="00B916EC" w:rsidRDefault="0060391B" w:rsidP="005736C2">
            <w:pPr>
              <w:pStyle w:val="TAC"/>
            </w:pPr>
          </w:p>
        </w:tc>
        <w:tc>
          <w:tcPr>
            <w:tcW w:w="0" w:type="auto"/>
            <w:vAlign w:val="center"/>
          </w:tcPr>
          <w:p w14:paraId="2A9532F6" w14:textId="77777777" w:rsidR="0060391B" w:rsidRDefault="0060391B" w:rsidP="005736C2">
            <w:pPr>
              <w:pStyle w:val="TAC"/>
            </w:pPr>
            <w:r>
              <w:t>10</w:t>
            </w:r>
          </w:p>
        </w:tc>
        <w:tc>
          <w:tcPr>
            <w:tcW w:w="0" w:type="auto"/>
            <w:vAlign w:val="center"/>
          </w:tcPr>
          <w:p w14:paraId="38D0C27D" w14:textId="77777777" w:rsidR="0060391B" w:rsidRPr="001322F1" w:rsidRDefault="0060391B" w:rsidP="005736C2">
            <w:pPr>
              <w:pStyle w:val="TAC"/>
              <w:rPr>
                <w:rFonts w:ascii="Times New Roman" w:hAnsi="Times New Roman"/>
                <w:lang w:val="en-US"/>
              </w:rPr>
            </w:pPr>
            <m:oMathPara>
              <m:oMath>
                <m:r>
                  <w:rPr>
                    <w:rFonts w:ascii="Cambria Math" w:eastAsia="MS Mincho" w:hAnsi="Cambria Math"/>
                    <w:kern w:val="2"/>
                    <w:sz w:val="20"/>
                  </w:rPr>
                  <m:t>-</m:t>
                </m:r>
                <m:d>
                  <m:dPr>
                    <m:begChr m:val="⌊"/>
                    <m:endChr m:val="⌋"/>
                    <m:ctrlPr>
                      <w:rPr>
                        <w:rFonts w:ascii="Cambria Math" w:eastAsia="MS Mincho" w:hAnsi="Cambria Math"/>
                        <w:i/>
                        <w:kern w:val="2"/>
                        <w:sz w:val="20"/>
                      </w:rPr>
                    </m:ctrlPr>
                  </m:dPr>
                  <m:e>
                    <m:f>
                      <m:fPr>
                        <m:type m:val="lin"/>
                        <m:ctrlPr>
                          <w:rPr>
                            <w:rFonts w:ascii="Cambria Math" w:eastAsia="MS Mincho" w:hAnsi="Cambria Math"/>
                            <w:i/>
                            <w:kern w:val="2"/>
                            <w:sz w:val="20"/>
                          </w:rPr>
                        </m:ctrlPr>
                      </m:fPr>
                      <m:num>
                        <m:sSubSup>
                          <m:sSubSupPr>
                            <m:ctrlPr>
                              <w:rPr>
                                <w:rFonts w:ascii="Cambria Math" w:eastAsia="MS Mincho" w:hAnsi="Cambria Math"/>
                                <w:i/>
                                <w:kern w:val="2"/>
                              </w:rPr>
                            </m:ctrlPr>
                          </m:sSubSupPr>
                          <m:e>
                            <m:r>
                              <w:rPr>
                                <w:rFonts w:ascii="Cambria Math" w:eastAsia="MS Mincho" w:hAnsi="Cambria Math"/>
                                <w:kern w:val="2"/>
                              </w:rPr>
                              <m:t>N</m:t>
                            </m:r>
                          </m:e>
                          <m:sub>
                            <m:r>
                              <m:rPr>
                                <m:nor/>
                              </m:rPr>
                              <w:rPr>
                                <w:rFonts w:ascii="Cambria Math" w:eastAsia="MS Mincho" w:hAnsi="Cambria Math"/>
                                <w:kern w:val="2"/>
                              </w:rPr>
                              <m:t>BWP</m:t>
                            </m:r>
                          </m:sub>
                          <m:sup>
                            <m:r>
                              <m:rPr>
                                <m:nor/>
                              </m:rPr>
                              <w:rPr>
                                <w:rFonts w:ascii="Cambria Math" w:eastAsia="MS Mincho" w:hAnsi="Cambria Math"/>
                                <w:kern w:val="2"/>
                              </w:rPr>
                              <m:t>size</m:t>
                            </m:r>
                          </m:sup>
                        </m:sSubSup>
                      </m:num>
                      <m:den>
                        <m:r>
                          <w:rPr>
                            <w:rFonts w:ascii="Cambria Math" w:eastAsia="MS Mincho" w:hAnsi="Cambria Math"/>
                            <w:kern w:val="2"/>
                          </w:rPr>
                          <m:t>4</m:t>
                        </m:r>
                      </m:den>
                    </m:f>
                  </m:e>
                </m:d>
              </m:oMath>
            </m:oMathPara>
          </w:p>
        </w:tc>
      </w:tr>
      <w:tr w:rsidR="0060391B" w:rsidRPr="00B916EC" w14:paraId="6F5E3781" w14:textId="77777777" w:rsidTr="005736C2">
        <w:trPr>
          <w:trHeight w:hRule="exact" w:val="358"/>
          <w:jc w:val="center"/>
        </w:trPr>
        <w:tc>
          <w:tcPr>
            <w:tcW w:w="0" w:type="auto"/>
            <w:vMerge/>
            <w:vAlign w:val="center"/>
          </w:tcPr>
          <w:p w14:paraId="1ADEE951" w14:textId="77777777" w:rsidR="0060391B" w:rsidRPr="00B916EC" w:rsidRDefault="0060391B" w:rsidP="005736C2">
            <w:pPr>
              <w:pStyle w:val="TAC"/>
            </w:pPr>
          </w:p>
        </w:tc>
        <w:tc>
          <w:tcPr>
            <w:tcW w:w="0" w:type="auto"/>
            <w:vAlign w:val="center"/>
          </w:tcPr>
          <w:p w14:paraId="74A99680" w14:textId="77777777" w:rsidR="0060391B" w:rsidRDefault="0060391B" w:rsidP="005736C2">
            <w:pPr>
              <w:pStyle w:val="TAC"/>
            </w:pPr>
            <w:r>
              <w:t>11</w:t>
            </w:r>
          </w:p>
        </w:tc>
        <w:tc>
          <w:tcPr>
            <w:tcW w:w="0" w:type="auto"/>
            <w:vAlign w:val="center"/>
          </w:tcPr>
          <w:p w14:paraId="28FF90AE" w14:textId="77777777" w:rsidR="0060391B" w:rsidRPr="00D12DB7" w:rsidRDefault="0060391B" w:rsidP="005736C2">
            <w:pPr>
              <w:pStyle w:val="TAC"/>
              <w:rPr>
                <w:rFonts w:cs="Arial"/>
                <w:lang w:val="x-none"/>
              </w:rPr>
            </w:pPr>
            <w:r w:rsidRPr="00D12DB7">
              <w:rPr>
                <w:rFonts w:cs="Arial"/>
              </w:rPr>
              <w:t>Reserved</w:t>
            </w:r>
          </w:p>
        </w:tc>
      </w:tr>
    </w:tbl>
    <w:p w14:paraId="61E59A6D" w14:textId="77777777" w:rsidR="0060391B" w:rsidRPr="00B916EC" w:rsidRDefault="0060391B" w:rsidP="00A10623"/>
    <w:p w14:paraId="3522501A" w14:textId="77777777" w:rsidR="00A10623" w:rsidRPr="00B916EC" w:rsidRDefault="00F81CF3" w:rsidP="00A10623">
      <w:r>
        <w:t>A</w:t>
      </w:r>
      <w:r w:rsidRPr="00B916EC">
        <w:t xml:space="preserve"> </w:t>
      </w:r>
      <w:r w:rsidR="00143099">
        <w:t>SCS</w:t>
      </w:r>
      <w:r w:rsidR="00A10623" w:rsidRPr="00B916EC">
        <w:t xml:space="preserve"> for</w:t>
      </w:r>
      <w:r>
        <w:t xml:space="preserve"> </w:t>
      </w:r>
      <w:r w:rsidR="00FB1809">
        <w:t>the</w:t>
      </w:r>
      <w:r w:rsidR="00A10623" w:rsidRPr="00B916EC">
        <w:t xml:space="preserve"> PUSCH transmission is provided by </w:t>
      </w:r>
      <w:r w:rsidR="00373064">
        <w:rPr>
          <w:i/>
        </w:rPr>
        <w:t xml:space="preserve">subcarrierSpacing </w:t>
      </w:r>
      <w:r w:rsidR="00230BB8">
        <w:t>in</w:t>
      </w:r>
      <w:r w:rsidR="00230BB8" w:rsidRPr="00827AA9">
        <w:t xml:space="preserve"> </w:t>
      </w:r>
      <w:r w:rsidR="00230BB8" w:rsidRPr="00827AA9">
        <w:rPr>
          <w:i/>
          <w:iCs/>
        </w:rPr>
        <w:t>BWP-UplinkCommon</w:t>
      </w:r>
      <w:r w:rsidR="006831C0" w:rsidRPr="00B916EC">
        <w:t>.</w:t>
      </w:r>
      <w:r w:rsidR="00D44F89" w:rsidRPr="00B916EC">
        <w:t xml:space="preserve"> </w:t>
      </w:r>
      <w:r w:rsidR="00A10623" w:rsidRPr="00B916EC">
        <w:t>A UE transmit</w:t>
      </w:r>
      <w:r w:rsidR="00230BB8">
        <w:t>s</w:t>
      </w:r>
      <w:r w:rsidR="00A10623" w:rsidRPr="00B916EC">
        <w:t xml:space="preserve"> PRACH and </w:t>
      </w:r>
      <w:r w:rsidR="00FB1809">
        <w:t>the</w:t>
      </w:r>
      <w:r w:rsidR="00FB1809" w:rsidRPr="00B916EC">
        <w:t xml:space="preserve"> </w:t>
      </w:r>
      <w:r w:rsidR="00A10623" w:rsidRPr="00B916EC">
        <w:t xml:space="preserve">PUSCH on a same </w:t>
      </w:r>
      <w:r w:rsidR="00AD1F86">
        <w:t xml:space="preserve">uplink carrier of </w:t>
      </w:r>
      <w:r>
        <w:t xml:space="preserve">a </w:t>
      </w:r>
      <w:r w:rsidR="00AD1F86">
        <w:t xml:space="preserve">same </w:t>
      </w:r>
      <w:r w:rsidR="00A10623" w:rsidRPr="00B916EC">
        <w:t xml:space="preserve">serving cell. </w:t>
      </w:r>
    </w:p>
    <w:p w14:paraId="7730C2E7" w14:textId="77777777" w:rsidR="00AA5B67" w:rsidRDefault="00230BB8" w:rsidP="00F81CF3">
      <w:r w:rsidRPr="000600E8">
        <w:t xml:space="preserve">A UE transmits </w:t>
      </w:r>
      <w:r w:rsidR="00F81CF3" w:rsidRPr="000600E8">
        <w:t>a transport block</w:t>
      </w:r>
      <w:r w:rsidRPr="000600E8">
        <w:t xml:space="preserve"> in a PUSCH scheduled by a RAR </w:t>
      </w:r>
      <w:r w:rsidR="00F81CF3" w:rsidRPr="000600E8">
        <w:t xml:space="preserve">UL </w:t>
      </w:r>
      <w:r w:rsidRPr="000600E8">
        <w:t>grant in a corresponding RAR message using redundancy version number 0</w:t>
      </w:r>
      <w:r w:rsidR="00AA5B67">
        <w:t>, if the PUSCH transmission is without repetitions</w:t>
      </w:r>
      <w:r w:rsidRPr="000600E8">
        <w:t xml:space="preserve">. </w:t>
      </w:r>
      <w:r w:rsidR="00DB6700" w:rsidRPr="000600E8">
        <w:t xml:space="preserve">If a TC-RNTI is provided by higher layers, the scrambling initialization of the PUSCH corresponding to the RAR UL grant in clause 8.2 is by TC-RNTI. Otherwise, the scrambling initialization of the PUSCH corresponding to the RAR UL grant in clause 8.2 is by C-RNTI. </w:t>
      </w:r>
    </w:p>
    <w:p w14:paraId="0F2712BF" w14:textId="77777777" w:rsidR="009203AD" w:rsidRPr="00CF705D" w:rsidRDefault="009203AD" w:rsidP="009203AD">
      <w:r w:rsidRPr="00CF705D">
        <w:t xml:space="preserve">If a UE is provided </w:t>
      </w:r>
      <w:r w:rsidRPr="00CF705D">
        <w:rPr>
          <w:rFonts w:eastAsia="DengXian"/>
          <w:i/>
        </w:rPr>
        <w:t>tag2-Id</w:t>
      </w:r>
      <w:r w:rsidRPr="00CF705D">
        <w:t xml:space="preserve">, the UE transmits a transport block in a PUSCH scheduled by a RAR UL grant in a corresponding RAR message with timing advance corresponding to a TAG indicated by the RAR message. </w:t>
      </w:r>
    </w:p>
    <w:p w14:paraId="0067C1E0" w14:textId="75B1F8FD" w:rsidR="00230BB8" w:rsidRPr="000600E8" w:rsidRDefault="00AF5825" w:rsidP="00F81CF3">
      <w:r w:rsidRPr="000600E8">
        <w:t>Msg3 PUSCH retransmissions</w:t>
      </w:r>
      <w:r w:rsidR="00230BB8" w:rsidRPr="000600E8">
        <w:t xml:space="preserve">, if any, of the </w:t>
      </w:r>
      <w:r w:rsidR="00F81CF3" w:rsidRPr="000600E8">
        <w:t>transport block</w:t>
      </w:r>
      <w:r w:rsidR="00373064" w:rsidRPr="000600E8">
        <w:t>,</w:t>
      </w:r>
      <w:r w:rsidR="00230BB8" w:rsidRPr="000600E8">
        <w:t xml:space="preserve"> are scheduled by a DCI format 0_0 with CRC scrambled by a TC-RNTI provided in the corresponding RAR message [11, TS 38.321].</w:t>
      </w:r>
      <w:r w:rsidR="00F81CF3" w:rsidRPr="000600E8">
        <w:t xml:space="preserve"> </w:t>
      </w:r>
    </w:p>
    <w:p w14:paraId="4D49880A" w14:textId="76AA557D" w:rsidR="00016F0B" w:rsidRDefault="00016F0B" w:rsidP="00016F0B">
      <w:r w:rsidRPr="00B916EC">
        <w:t xml:space="preserve">With reference to slots for </w:t>
      </w:r>
      <w:r>
        <w:t>a PUS</w:t>
      </w:r>
      <w:r w:rsidRPr="00B916EC">
        <w:t>CH transmission</w:t>
      </w:r>
      <w:r>
        <w:t xml:space="preserve"> scheduled by a RAR UL grant, i</w:t>
      </w:r>
      <w:r w:rsidRPr="00CA2FBB">
        <w:t xml:space="preserve">f a UE receives a PDSCH with a RAR message </w:t>
      </w:r>
      <w:r>
        <w:t xml:space="preserve">ending in slot </w:t>
      </w:r>
      <m:oMath>
        <m:r>
          <w:rPr>
            <w:rFonts w:ascii="Cambria Math" w:eastAsia="MS Mincho" w:hAnsi="Cambria Math"/>
            <w:kern w:val="2"/>
          </w:rPr>
          <m:t>n</m:t>
        </m:r>
      </m:oMath>
      <w:r>
        <w:t xml:space="preserve"> </w:t>
      </w:r>
      <w:r w:rsidRPr="00CA2FBB">
        <w:t xml:space="preserve">for a corresponding </w:t>
      </w:r>
      <w:r>
        <w:t>PRACH</w:t>
      </w:r>
      <w:r w:rsidRPr="00CA2FBB">
        <w:t xml:space="preserve"> transmission from the UE, the UE transmits </w:t>
      </w:r>
      <w:r>
        <w:t>the</w:t>
      </w:r>
      <w:r w:rsidRPr="00CA2FBB">
        <w:t xml:space="preserve"> PUSCH in slot</w:t>
      </w:r>
      <w:r>
        <w:t xml:space="preserve"> </w:t>
      </w:r>
      <m:oMath>
        <m:r>
          <w:rPr>
            <w:rFonts w:ascii="Cambria Math" w:eastAsia="MS Mincho" w:hAnsi="Cambria Math"/>
            <w:kern w:val="2"/>
          </w:rPr>
          <m:t>n+</m:t>
        </m:r>
        <m:sSub>
          <m:sSubPr>
            <m:ctrlPr>
              <w:rPr>
                <w:rFonts w:ascii="Cambria Math" w:eastAsia="MS Mincho" w:hAnsi="Cambria Math"/>
                <w:i/>
                <w:kern w:val="2"/>
              </w:rPr>
            </m:ctrlPr>
          </m:sSubPr>
          <m:e>
            <m:r>
              <w:rPr>
                <w:rFonts w:ascii="Cambria Math" w:eastAsia="MS Mincho" w:hAnsi="Cambria Math"/>
                <w:kern w:val="2"/>
              </w:rPr>
              <m:t>k</m:t>
            </m:r>
          </m:e>
          <m:sub>
            <m:r>
              <w:rPr>
                <w:rFonts w:ascii="Cambria Math" w:eastAsia="MS Mincho" w:hAnsi="Cambria Math"/>
                <w:kern w:val="2"/>
              </w:rPr>
              <m:t>2</m:t>
            </m:r>
          </m:sub>
        </m:sSub>
        <m:r>
          <w:rPr>
            <w:rFonts w:ascii="Cambria Math" w:eastAsia="MS Mincho" w:hAnsi="Cambria Math"/>
            <w:kern w:val="2"/>
          </w:rPr>
          <m:t>+∆+</m:t>
        </m:r>
        <m:sSup>
          <m:sSupPr>
            <m:ctrlPr>
              <w:rPr>
                <w:rFonts w:ascii="Cambria Math" w:eastAsia="MS Mincho" w:hAnsi="Cambria Math"/>
                <w:i/>
                <w:kern w:val="2"/>
              </w:rPr>
            </m:ctrlPr>
          </m:sSupPr>
          <m:e>
            <m:r>
              <w:rPr>
                <w:rFonts w:ascii="Cambria Math" w:eastAsia="MS Mincho" w:hAnsi="Cambria Math"/>
                <w:kern w:val="2"/>
              </w:rPr>
              <m:t>2</m:t>
            </m:r>
          </m:e>
          <m:sup>
            <m:r>
              <w:rPr>
                <w:rFonts w:ascii="Cambria Math" w:eastAsia="MS Mincho" w:hAnsi="Cambria Math"/>
                <w:kern w:val="2"/>
              </w:rPr>
              <m:t>μ</m:t>
            </m:r>
          </m:sup>
        </m:sSup>
        <m:r>
          <w:rPr>
            <w:rFonts w:ascii="Cambria Math" w:eastAsia="MS Mincho" w:hAnsi="Cambria Math"/>
            <w:kern w:val="2"/>
          </w:rPr>
          <m:t>∙</m:t>
        </m:r>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cell,offset</m:t>
            </m:r>
          </m:sub>
        </m:sSub>
      </m:oMath>
      <w:r w:rsidRPr="00CA2FBB">
        <w:t xml:space="preserve">, where </w:t>
      </w:r>
      <m:oMath>
        <m:sSub>
          <m:sSubPr>
            <m:ctrlPr>
              <w:rPr>
                <w:rFonts w:ascii="Cambria Math" w:eastAsia="MS Mincho" w:hAnsi="Cambria Math"/>
                <w:i/>
                <w:kern w:val="2"/>
              </w:rPr>
            </m:ctrlPr>
          </m:sSubPr>
          <m:e>
            <m:r>
              <w:rPr>
                <w:rFonts w:ascii="Cambria Math" w:eastAsia="MS Mincho" w:hAnsi="Cambria Math"/>
                <w:kern w:val="2"/>
              </w:rPr>
              <m:t>k</m:t>
            </m:r>
          </m:e>
          <m:sub>
            <m:r>
              <w:rPr>
                <w:rFonts w:ascii="Cambria Math" w:eastAsia="MS Mincho" w:hAnsi="Cambria Math"/>
                <w:kern w:val="2"/>
              </w:rPr>
              <m:t>2</m:t>
            </m:r>
          </m:sub>
        </m:sSub>
      </m:oMath>
      <w:r w:rsidRPr="00CA2FBB">
        <w:t xml:space="preserve"> </w:t>
      </w:r>
      <w:r>
        <w:t xml:space="preserve">and </w:t>
      </w:r>
      <m:oMath>
        <m:r>
          <w:rPr>
            <w:rFonts w:ascii="Cambria Math" w:eastAsia="MS Mincho" w:hAnsi="Cambria Math"/>
            <w:kern w:val="2"/>
          </w:rPr>
          <m:t>∆</m:t>
        </m:r>
      </m:oMath>
      <w:r>
        <w:t xml:space="preserve"> are</w:t>
      </w:r>
      <w:r w:rsidRPr="00CA2FBB">
        <w:t xml:space="preserve"> provided in [6, TS 38.214]</w:t>
      </w:r>
      <w:r w:rsidR="00B551A9">
        <w:t xml:space="preserve"> and </w:t>
      </w:r>
      <m:oMath>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cell,offset</m:t>
            </m:r>
          </m:sub>
        </m:sSub>
      </m:oMath>
      <w:r w:rsidR="00B551A9">
        <w:rPr>
          <w:kern w:val="2"/>
        </w:rPr>
        <w:t xml:space="preserve"> </w:t>
      </w:r>
      <w:r w:rsidR="00B551A9">
        <w:t>is</w:t>
      </w:r>
      <w:r w:rsidR="00B551A9">
        <w:rPr>
          <w:kern w:val="2"/>
        </w:rPr>
        <w:t xml:space="preserve"> </w:t>
      </w:r>
      <w:r w:rsidR="00B551A9">
        <w:t xml:space="preserve">provided by </w:t>
      </w:r>
      <w:r w:rsidR="00E761DC">
        <w:rPr>
          <w:i/>
          <w:lang w:val="en-US"/>
        </w:rPr>
        <w:t>c</w:t>
      </w:r>
      <w:r w:rsidR="00E761DC" w:rsidRPr="00FE56DB">
        <w:rPr>
          <w:i/>
          <w:lang w:val="en-US"/>
        </w:rPr>
        <w:t>ellSpecific</w:t>
      </w:r>
      <w:r w:rsidR="007E56E4" w:rsidRPr="00FE56DB">
        <w:rPr>
          <w:i/>
          <w:lang w:val="en-US"/>
        </w:rPr>
        <w:t>Koffset</w:t>
      </w:r>
      <w:r w:rsidR="00B551A9">
        <w:rPr>
          <w:lang w:val="en-US"/>
        </w:rPr>
        <w:t>; otherwise,</w:t>
      </w:r>
      <w:r w:rsidR="00B551A9">
        <w:rPr>
          <w:iCs/>
        </w:rPr>
        <w:t xml:space="preserve"> if not provided, </w:t>
      </w:r>
      <m:oMath>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cell,offset</m:t>
            </m:r>
          </m:sub>
        </m:sSub>
        <m:r>
          <w:rPr>
            <w:rFonts w:ascii="Cambria Math" w:eastAsia="MS Mincho" w:hAnsi="Cambria Math"/>
            <w:kern w:val="2"/>
          </w:rPr>
          <m:t>=0</m:t>
        </m:r>
      </m:oMath>
      <w:r w:rsidRPr="00CA2FBB">
        <w:t xml:space="preserve">. </w:t>
      </w:r>
    </w:p>
    <w:p w14:paraId="69C5C6D3" w14:textId="7FF60866" w:rsidR="00AA5B67" w:rsidRPr="005F7DE3" w:rsidRDefault="00AA5B67" w:rsidP="00AA5B67">
      <w:r w:rsidRPr="005F7DE3">
        <w:t xml:space="preserve">A UE can be provided in </w:t>
      </w:r>
      <w:r w:rsidR="00334424" w:rsidRPr="00C75A42">
        <w:rPr>
          <w:i/>
        </w:rPr>
        <w:t>BWP-</w:t>
      </w:r>
      <w:r w:rsidR="00334424" w:rsidRPr="00C75A42">
        <w:rPr>
          <w:i/>
          <w:lang w:eastAsia="zh-CN"/>
        </w:rPr>
        <w:t>U</w:t>
      </w:r>
      <w:r w:rsidR="00334424" w:rsidRPr="00C75A42">
        <w:rPr>
          <w:i/>
        </w:rPr>
        <w:t>plinkCommon</w:t>
      </w:r>
      <w:r w:rsidRPr="005F7DE3">
        <w:t xml:space="preserve"> a set of numbers of repetitions for a PUSCH transmission </w:t>
      </w:r>
      <w:r>
        <w:t xml:space="preserve">with PUSCH repetition Type A that is scheduled by a RAR UL grant or by a DCI format 0_0 with CRC scrambled by a TC-RNTI. </w:t>
      </w:r>
      <w:r w:rsidR="006F3D00" w:rsidRPr="007558B5">
        <w:t>If the UE requests repetitions for the PUSCH transmission [11, TS 38.321], the</w:t>
      </w:r>
      <w:r w:rsidRPr="005F7DE3">
        <w:t xml:space="preserve"> UE </w:t>
      </w:r>
      <w:r w:rsidR="006F3D00" w:rsidRPr="007558B5">
        <w:t>transmits</w:t>
      </w:r>
      <w:r w:rsidRPr="005F7DE3">
        <w:t xml:space="preserve"> </w:t>
      </w:r>
      <w:r>
        <w:t>the</w:t>
      </w:r>
      <w:r w:rsidRPr="005F7DE3">
        <w:t xml:space="preserve"> PUSCH over </w:t>
      </w:r>
      <m:oMath>
        <m:sSubSup>
          <m:sSubSupPr>
            <m:ctrlPr>
              <w:rPr>
                <w:rFonts w:ascii="Cambria Math" w:hAnsi="Cambria Math"/>
              </w:rPr>
            </m:ctrlPr>
          </m:sSubSupPr>
          <m:e>
            <m:r>
              <w:rPr>
                <w:rFonts w:ascii="Cambria Math" w:hAnsi="Cambria Math"/>
              </w:rPr>
              <m:t>N</m:t>
            </m:r>
          </m:e>
          <m:sub>
            <m:r>
              <m:rPr>
                <m:nor/>
              </m:rPr>
              <w:rPr>
                <w:rFonts w:ascii="Cambria Math"/>
              </w:rPr>
              <m:t>PUSCH</m:t>
            </m:r>
          </m:sub>
          <m:sup>
            <m:r>
              <m:rPr>
                <m:nor/>
              </m:rPr>
              <m:t>repeat</m:t>
            </m:r>
          </m:sup>
        </m:sSubSup>
      </m:oMath>
      <w:r w:rsidRPr="005F7DE3">
        <w:t xml:space="preserve"> slots</w:t>
      </w:r>
      <w:r>
        <w:t xml:space="preserve">, where </w:t>
      </w:r>
      <m:oMath>
        <m:sSubSup>
          <m:sSubSupPr>
            <m:ctrlPr>
              <w:rPr>
                <w:rFonts w:ascii="Cambria Math" w:hAnsi="Cambria Math"/>
              </w:rPr>
            </m:ctrlPr>
          </m:sSubSupPr>
          <m:e>
            <m:r>
              <w:rPr>
                <w:rFonts w:ascii="Cambria Math" w:hAnsi="Cambria Math"/>
              </w:rPr>
              <m:t>N</m:t>
            </m:r>
          </m:e>
          <m:sub>
            <m:r>
              <m:rPr>
                <m:nor/>
              </m:rPr>
              <w:rPr>
                <w:rFonts w:ascii="Cambria Math"/>
              </w:rPr>
              <m:t>PUSCH</m:t>
            </m:r>
          </m:sub>
          <m:sup>
            <m:r>
              <m:rPr>
                <m:nor/>
              </m:rPr>
              <m:t>repeat</m:t>
            </m:r>
          </m:sup>
        </m:sSubSup>
      </m:oMath>
      <w:r w:rsidRPr="005F7DE3">
        <w:t xml:space="preserve"> </w:t>
      </w:r>
      <w:r>
        <w:t xml:space="preserve">is indicated by the 2 MSBs of the MCS field in the RAR UL grant or in the DCI format 0_0 </w:t>
      </w:r>
      <w:r w:rsidR="006F3D00" w:rsidRPr="007558B5">
        <w:t xml:space="preserve">from a set of four values provided by </w:t>
      </w:r>
      <w:r w:rsidR="006F3D00" w:rsidRPr="007558B5">
        <w:rPr>
          <w:i/>
          <w:iCs/>
        </w:rPr>
        <w:t>numberOfMsg3</w:t>
      </w:r>
      <w:r w:rsidR="00334424">
        <w:rPr>
          <w:i/>
          <w:iCs/>
        </w:rPr>
        <w:t>-</w:t>
      </w:r>
      <w:r w:rsidR="006F3D00" w:rsidRPr="007558B5">
        <w:rPr>
          <w:i/>
          <w:iCs/>
        </w:rPr>
        <w:t>Repetitions</w:t>
      </w:r>
      <w:r w:rsidR="00334424" w:rsidRPr="00C75A42">
        <w:rPr>
          <w:i/>
          <w:iCs/>
        </w:rPr>
        <w:t>List</w:t>
      </w:r>
      <w:r w:rsidR="006F3D00">
        <w:t xml:space="preserve"> or from {1, 2, 3, 4} if </w:t>
      </w:r>
      <w:r w:rsidR="006F3D00" w:rsidRPr="007558B5">
        <w:rPr>
          <w:i/>
          <w:iCs/>
        </w:rPr>
        <w:t>numberOfMsg3</w:t>
      </w:r>
      <w:r w:rsidR="00334424">
        <w:rPr>
          <w:i/>
          <w:iCs/>
        </w:rPr>
        <w:t>-</w:t>
      </w:r>
      <w:r w:rsidR="006F3D00" w:rsidRPr="007558B5">
        <w:rPr>
          <w:i/>
          <w:iCs/>
        </w:rPr>
        <w:t>Repetitions</w:t>
      </w:r>
      <w:r w:rsidR="00334424" w:rsidRPr="00C75A42">
        <w:rPr>
          <w:i/>
          <w:iCs/>
        </w:rPr>
        <w:t>List</w:t>
      </w:r>
      <w:r w:rsidR="006F3D00">
        <w:t xml:space="preserve"> is not provided</w:t>
      </w:r>
      <w:r w:rsidR="006F3D00" w:rsidRPr="007558B5">
        <w:t>. The UE determines an MCS for the PUSCH transmission by the 2 LSBs of the MCS field in the RAR UL grant or by the 3 LSBs of the MCS field in the DCI format 0_0</w:t>
      </w:r>
      <w:r>
        <w:t xml:space="preserve">, </w:t>
      </w:r>
      <w:r w:rsidRPr="005F7DE3">
        <w:t xml:space="preserve">and determines a redundancy version and RBs for each repetition as described in [6, TS 38.214]. </w:t>
      </w:r>
      <w:r w:rsidRPr="005F7DE3">
        <w:rPr>
          <w:lang w:val="en-US"/>
        </w:rPr>
        <w:t xml:space="preserve">For unpaired spectrum operation, the UE determines the </w:t>
      </w:r>
      <m:oMath>
        <m:sSubSup>
          <m:sSubSupPr>
            <m:ctrlPr>
              <w:rPr>
                <w:rFonts w:ascii="Cambria Math" w:hAnsi="Cambria Math"/>
              </w:rPr>
            </m:ctrlPr>
          </m:sSubSupPr>
          <m:e>
            <m:r>
              <w:rPr>
                <w:rFonts w:ascii="Cambria Math" w:hAnsi="Cambria Math"/>
              </w:rPr>
              <m:t>N</m:t>
            </m:r>
          </m:e>
          <m:sub>
            <m:r>
              <m:rPr>
                <m:nor/>
              </m:rPr>
              <w:rPr>
                <w:rFonts w:ascii="Cambria Math"/>
              </w:rPr>
              <m:t>PUSCH</m:t>
            </m:r>
          </m:sub>
          <m:sup>
            <m:r>
              <m:rPr>
                <m:nor/>
              </m:rPr>
              <m:t>repeat</m:t>
            </m:r>
          </m:sup>
        </m:sSubSup>
      </m:oMath>
      <w:r w:rsidRPr="005F7DE3">
        <w:rPr>
          <w:lang w:val="en-US"/>
        </w:rPr>
        <w:t xml:space="preserve"> slots as the first </w:t>
      </w:r>
      <m:oMath>
        <m:sSubSup>
          <m:sSubSupPr>
            <m:ctrlPr>
              <w:rPr>
                <w:rFonts w:ascii="Cambria Math" w:hAnsi="Cambria Math"/>
              </w:rPr>
            </m:ctrlPr>
          </m:sSubSupPr>
          <m:e>
            <m:r>
              <w:rPr>
                <w:rFonts w:ascii="Cambria Math" w:hAnsi="Cambria Math"/>
              </w:rPr>
              <m:t>N</m:t>
            </m:r>
          </m:e>
          <m:sub>
            <m:r>
              <m:rPr>
                <m:nor/>
              </m:rPr>
              <w:rPr>
                <w:rFonts w:ascii="Cambria Math"/>
              </w:rPr>
              <m:t>PUSCH</m:t>
            </m:r>
          </m:sub>
          <m:sup>
            <m:r>
              <m:rPr>
                <m:nor/>
              </m:rPr>
              <m:t>repeat</m:t>
            </m:r>
          </m:sup>
        </m:sSubSup>
      </m:oMath>
      <w:r w:rsidRPr="005F7DE3">
        <w:t xml:space="preserve"> slots </w:t>
      </w:r>
      <w:r w:rsidRPr="005F7DE3">
        <w:rPr>
          <w:lang w:val="en-US"/>
        </w:rPr>
        <w:t xml:space="preserve">starting from slot </w:t>
      </w:r>
      <m:oMath>
        <m:r>
          <w:rPr>
            <w:rFonts w:ascii="Cambria Math" w:eastAsia="MS Mincho" w:hAnsi="Cambria Math"/>
            <w:kern w:val="2"/>
          </w:rPr>
          <m:t>n+</m:t>
        </m:r>
        <m:sSub>
          <m:sSubPr>
            <m:ctrlPr>
              <w:rPr>
                <w:rFonts w:ascii="Cambria Math" w:eastAsia="MS Mincho" w:hAnsi="Cambria Math"/>
                <w:i/>
                <w:kern w:val="2"/>
              </w:rPr>
            </m:ctrlPr>
          </m:sSubPr>
          <m:e>
            <m:r>
              <w:rPr>
                <w:rFonts w:ascii="Cambria Math" w:eastAsia="MS Mincho" w:hAnsi="Cambria Math"/>
                <w:kern w:val="2"/>
              </w:rPr>
              <m:t>k</m:t>
            </m:r>
          </m:e>
          <m:sub>
            <m:r>
              <w:rPr>
                <w:rFonts w:ascii="Cambria Math" w:eastAsia="MS Mincho" w:hAnsi="Cambria Math"/>
                <w:kern w:val="2"/>
              </w:rPr>
              <m:t>2</m:t>
            </m:r>
          </m:sub>
        </m:sSub>
        <m:r>
          <w:rPr>
            <w:rFonts w:ascii="Cambria Math" w:eastAsia="MS Mincho" w:hAnsi="Cambria Math"/>
            <w:kern w:val="2"/>
          </w:rPr>
          <m:t>+∆</m:t>
        </m:r>
      </m:oMath>
      <w:r w:rsidRPr="005F7DE3">
        <w:t xml:space="preserve"> where a repetition of the PUSCH transmission does not include a symbol </w:t>
      </w:r>
      <w:r w:rsidRPr="005F7DE3">
        <w:rPr>
          <w:lang w:val="en-US"/>
        </w:rPr>
        <w:t xml:space="preserve">indicated as downlink by </w:t>
      </w:r>
      <w:r w:rsidRPr="005F7DE3">
        <w:rPr>
          <w:i/>
          <w:iCs/>
        </w:rPr>
        <w:t>tdd-</w:t>
      </w:r>
      <w:r w:rsidRPr="005F7DE3">
        <w:rPr>
          <w:i/>
          <w:iCs/>
          <w:lang w:val="x-none"/>
        </w:rPr>
        <w:t>UL-DL-</w:t>
      </w:r>
      <w:r w:rsidRPr="005F7DE3">
        <w:rPr>
          <w:i/>
          <w:iCs/>
        </w:rPr>
        <w:t>C</w:t>
      </w:r>
      <w:r w:rsidRPr="005F7DE3">
        <w:rPr>
          <w:i/>
          <w:iCs/>
          <w:lang w:val="x-none"/>
        </w:rPr>
        <w:t>onfiguration</w:t>
      </w:r>
      <w:r w:rsidRPr="005F7DE3">
        <w:rPr>
          <w:i/>
          <w:iCs/>
        </w:rPr>
        <w:t>C</w:t>
      </w:r>
      <w:r w:rsidRPr="005F7DE3">
        <w:rPr>
          <w:i/>
          <w:iCs/>
          <w:lang w:val="x-none"/>
        </w:rPr>
        <w:t>ommon</w:t>
      </w:r>
      <w:r w:rsidRPr="005F7DE3">
        <w:rPr>
          <w:lang w:val="en-US"/>
        </w:rPr>
        <w:t xml:space="preserve"> or indicated as a symbol of an SS/PBCH block with index provided by </w:t>
      </w:r>
      <w:r w:rsidRPr="005F7DE3">
        <w:rPr>
          <w:i/>
          <w:lang w:val="en-US"/>
        </w:rPr>
        <w:t>ssb-PositionsInBurst</w:t>
      </w:r>
      <w:r w:rsidRPr="005F7DE3">
        <w:rPr>
          <w:iCs/>
          <w:lang w:val="en-US"/>
        </w:rPr>
        <w:t>.</w:t>
      </w:r>
    </w:p>
    <w:p w14:paraId="18F4B3D6" w14:textId="77777777" w:rsidR="00016F0B" w:rsidRDefault="00016F0B" w:rsidP="00016F0B">
      <w:r w:rsidRPr="00CA2FBB">
        <w:t>The UE may assume a</w:t>
      </w:r>
      <w:r>
        <w:t xml:space="preserve"> minimum time between the last symbol of a PDSCH reception conveying a RAR message with a RAR UL grant and the first symbol of a corresponding PUSCH transmission scheduled by the RAR UL grant is equal to </w:t>
      </w:r>
      <m:oMath>
        <m:sSub>
          <m:sSubPr>
            <m:ctrlPr>
              <w:rPr>
                <w:rFonts w:ascii="Cambria Math" w:eastAsia="MS Mincho" w:hAnsi="Cambria Math"/>
                <w:i/>
                <w:kern w:val="2"/>
              </w:rPr>
            </m:ctrlPr>
          </m:sSubPr>
          <m:e>
            <m:r>
              <w:rPr>
                <w:rFonts w:ascii="Cambria Math" w:eastAsia="MS Mincho" w:hAnsi="Cambria Math"/>
                <w:kern w:val="2"/>
              </w:rPr>
              <m:t>N</m:t>
            </m:r>
          </m:e>
          <m:sub>
            <m:r>
              <w:rPr>
                <w:rFonts w:ascii="Cambria Math" w:eastAsia="MS Mincho" w:hAnsi="Cambria Math"/>
                <w:kern w:val="2"/>
              </w:rPr>
              <m:t>T,1</m:t>
            </m:r>
          </m:sub>
        </m:sSub>
        <m:r>
          <w:rPr>
            <w:rFonts w:ascii="Cambria Math" w:eastAsia="MS Mincho" w:hAnsi="Cambria Math"/>
            <w:kern w:val="2"/>
          </w:rPr>
          <m:t>+</m:t>
        </m:r>
        <m:sSub>
          <m:sSubPr>
            <m:ctrlPr>
              <w:rPr>
                <w:rFonts w:ascii="Cambria Math" w:eastAsia="MS Mincho" w:hAnsi="Cambria Math"/>
                <w:i/>
                <w:kern w:val="2"/>
              </w:rPr>
            </m:ctrlPr>
          </m:sSubPr>
          <m:e>
            <m:r>
              <w:rPr>
                <w:rFonts w:ascii="Cambria Math" w:eastAsia="MS Mincho" w:hAnsi="Cambria Math"/>
                <w:kern w:val="2"/>
              </w:rPr>
              <m:t>N</m:t>
            </m:r>
          </m:e>
          <m:sub>
            <m:r>
              <w:rPr>
                <w:rFonts w:ascii="Cambria Math" w:eastAsia="MS Mincho" w:hAnsi="Cambria Math"/>
                <w:kern w:val="2"/>
              </w:rPr>
              <m:t>T,2</m:t>
            </m:r>
          </m:sub>
        </m:sSub>
        <m:r>
          <w:rPr>
            <w:rFonts w:ascii="Cambria Math" w:eastAsia="MS Mincho" w:hAnsi="Cambria Math"/>
            <w:kern w:val="2"/>
          </w:rPr>
          <m:t>+0.5</m:t>
        </m:r>
      </m:oMath>
      <w:r w:rsidRPr="00130F80">
        <w:t xml:space="preserve"> </w:t>
      </w:r>
      <w:r w:rsidRPr="00130F80">
        <w:rPr>
          <w:lang w:val="en-US"/>
        </w:rPr>
        <w:t>msec</w:t>
      </w:r>
      <w:r>
        <w:rPr>
          <w:lang w:val="en-US"/>
        </w:rPr>
        <w:t xml:space="preserve">, where </w:t>
      </w:r>
      <m:oMath>
        <m:sSub>
          <m:sSubPr>
            <m:ctrlPr>
              <w:rPr>
                <w:rFonts w:ascii="Cambria Math" w:eastAsia="MS Mincho" w:hAnsi="Cambria Math"/>
                <w:i/>
                <w:kern w:val="2"/>
              </w:rPr>
            </m:ctrlPr>
          </m:sSubPr>
          <m:e>
            <m:r>
              <w:rPr>
                <w:rFonts w:ascii="Cambria Math" w:eastAsia="MS Mincho" w:hAnsi="Cambria Math"/>
                <w:kern w:val="2"/>
              </w:rPr>
              <m:t>N</m:t>
            </m:r>
          </m:e>
          <m:sub>
            <m:r>
              <w:rPr>
                <w:rFonts w:ascii="Cambria Math" w:eastAsia="MS Mincho" w:hAnsi="Cambria Math"/>
                <w:kern w:val="2"/>
              </w:rPr>
              <m:t>T,1</m:t>
            </m:r>
          </m:sub>
        </m:sSub>
      </m:oMath>
      <w:r w:rsidRPr="0088442C">
        <w:t xml:space="preserve"> </w:t>
      </w:r>
      <w:r>
        <w:t xml:space="preserve">is a time duration of </w:t>
      </w:r>
      <m:oMath>
        <m:sSub>
          <m:sSubPr>
            <m:ctrlPr>
              <w:rPr>
                <w:rFonts w:ascii="Cambria Math" w:eastAsia="MS Mincho" w:hAnsi="Cambria Math"/>
                <w:i/>
                <w:kern w:val="2"/>
              </w:rPr>
            </m:ctrlPr>
          </m:sSubPr>
          <m:e>
            <m:r>
              <w:rPr>
                <w:rFonts w:ascii="Cambria Math" w:eastAsia="MS Mincho" w:hAnsi="Cambria Math"/>
                <w:kern w:val="2"/>
              </w:rPr>
              <m:t>N</m:t>
            </m:r>
          </m:e>
          <m:sub>
            <m:r>
              <w:rPr>
                <w:rFonts w:ascii="Cambria Math" w:eastAsia="MS Mincho" w:hAnsi="Cambria Math"/>
                <w:kern w:val="2"/>
              </w:rPr>
              <m:t>1</m:t>
            </m:r>
          </m:sub>
        </m:sSub>
      </m:oMath>
      <w:r>
        <w:t xml:space="preserve"> symbols corresponding to a PDSCH processing time</w:t>
      </w:r>
      <w:r w:rsidRPr="0088442C">
        <w:t xml:space="preserve"> </w:t>
      </w:r>
      <w:r>
        <w:t>for UE processing capability 1 when additional PDSCH DM-RS is configured</w:t>
      </w:r>
      <w:r>
        <w:rPr>
          <w:lang w:val="en-US"/>
        </w:rPr>
        <w:t xml:space="preserve">, </w:t>
      </w:r>
      <m:oMath>
        <m:sSub>
          <m:sSubPr>
            <m:ctrlPr>
              <w:rPr>
                <w:rFonts w:ascii="Cambria Math" w:eastAsia="MS Mincho" w:hAnsi="Cambria Math"/>
                <w:i/>
                <w:kern w:val="2"/>
              </w:rPr>
            </m:ctrlPr>
          </m:sSubPr>
          <m:e>
            <m:r>
              <w:rPr>
                <w:rFonts w:ascii="Cambria Math" w:eastAsia="MS Mincho" w:hAnsi="Cambria Math"/>
                <w:kern w:val="2"/>
              </w:rPr>
              <m:t>N</m:t>
            </m:r>
          </m:e>
          <m:sub>
            <m:r>
              <w:rPr>
                <w:rFonts w:ascii="Cambria Math" w:eastAsia="MS Mincho" w:hAnsi="Cambria Math"/>
                <w:kern w:val="2"/>
              </w:rPr>
              <m:t>T,2</m:t>
            </m:r>
          </m:sub>
        </m:sSub>
      </m:oMath>
      <w:r w:rsidRPr="0088442C">
        <w:t xml:space="preserve"> </w:t>
      </w:r>
      <w:r>
        <w:t xml:space="preserve">is a time duration of </w:t>
      </w:r>
      <m:oMath>
        <m:sSub>
          <m:sSubPr>
            <m:ctrlPr>
              <w:rPr>
                <w:rFonts w:ascii="Cambria Math" w:eastAsia="MS Mincho" w:hAnsi="Cambria Math"/>
                <w:i/>
                <w:kern w:val="2"/>
              </w:rPr>
            </m:ctrlPr>
          </m:sSubPr>
          <m:e>
            <m:r>
              <w:rPr>
                <w:rFonts w:ascii="Cambria Math" w:eastAsia="MS Mincho" w:hAnsi="Cambria Math"/>
                <w:kern w:val="2"/>
              </w:rPr>
              <m:t>N</m:t>
            </m:r>
          </m:e>
          <m:sub>
            <m:r>
              <w:rPr>
                <w:rFonts w:ascii="Cambria Math" w:eastAsia="MS Mincho" w:hAnsi="Cambria Math"/>
                <w:kern w:val="2"/>
              </w:rPr>
              <m:t>2</m:t>
            </m:r>
          </m:sub>
        </m:sSub>
      </m:oMath>
      <w:r>
        <w:t xml:space="preserve"> symbols corresponding to a PUSCH preparation time</w:t>
      </w:r>
      <w:r w:rsidRPr="0088442C">
        <w:t xml:space="preserve"> </w:t>
      </w:r>
      <w:r>
        <w:t>for UE processing capability 1 [6, TS 38.214</w:t>
      </w:r>
      <w:r w:rsidRPr="00B916EC">
        <w:t>]</w:t>
      </w:r>
      <w:r w:rsidRPr="00284348">
        <w:t xml:space="preserve"> </w:t>
      </w:r>
      <w:r>
        <w:t xml:space="preserve">and, for determining the minimum time, the UE considers that </w:t>
      </w:r>
      <m:oMath>
        <m:sSub>
          <m:sSubPr>
            <m:ctrlPr>
              <w:rPr>
                <w:rFonts w:ascii="Cambria Math" w:eastAsia="MS Mincho" w:hAnsi="Cambria Math"/>
                <w:i/>
                <w:kern w:val="2"/>
              </w:rPr>
            </m:ctrlPr>
          </m:sSubPr>
          <m:e>
            <m:r>
              <w:rPr>
                <w:rFonts w:ascii="Cambria Math" w:eastAsia="MS Mincho" w:hAnsi="Cambria Math"/>
                <w:kern w:val="2"/>
              </w:rPr>
              <m:t>N</m:t>
            </m:r>
          </m:e>
          <m:sub>
            <m:r>
              <w:rPr>
                <w:rFonts w:ascii="Cambria Math" w:eastAsia="MS Mincho" w:hAnsi="Cambria Math"/>
                <w:kern w:val="2"/>
              </w:rPr>
              <m:t>1</m:t>
            </m:r>
          </m:sub>
        </m:sSub>
      </m:oMath>
      <w:r>
        <w:t xml:space="preserve"> and </w:t>
      </w:r>
      <m:oMath>
        <m:sSub>
          <m:sSubPr>
            <m:ctrlPr>
              <w:rPr>
                <w:rFonts w:ascii="Cambria Math" w:eastAsia="MS Mincho" w:hAnsi="Cambria Math"/>
                <w:i/>
                <w:kern w:val="2"/>
              </w:rPr>
            </m:ctrlPr>
          </m:sSubPr>
          <m:e>
            <m:r>
              <w:rPr>
                <w:rFonts w:ascii="Cambria Math" w:eastAsia="MS Mincho" w:hAnsi="Cambria Math"/>
                <w:kern w:val="2"/>
              </w:rPr>
              <m:t>N</m:t>
            </m:r>
          </m:e>
          <m:sub>
            <m:r>
              <w:rPr>
                <w:rFonts w:ascii="Cambria Math" w:eastAsia="MS Mincho" w:hAnsi="Cambria Math"/>
                <w:kern w:val="2"/>
              </w:rPr>
              <m:t>2</m:t>
            </m:r>
          </m:sub>
        </m:sSub>
      </m:oMath>
      <w:r>
        <w:t xml:space="preserve"> correspond to the smaller of the SCS configurations for the PDSCH and the PUSCH</w:t>
      </w:r>
      <w:r>
        <w:rPr>
          <w:lang w:val="en-US"/>
        </w:rPr>
        <w:t xml:space="preserve">. </w:t>
      </w:r>
      <w:r>
        <w:t xml:space="preserve">For </w:t>
      </w:r>
      <m:oMath>
        <m:r>
          <w:rPr>
            <w:rFonts w:ascii="Cambria Math" w:eastAsia="MS Mincho" w:hAnsi="Cambria Math"/>
            <w:kern w:val="2"/>
          </w:rPr>
          <m:t>μ=0</m:t>
        </m:r>
      </m:oMath>
      <w:r>
        <w:t xml:space="preserve">, the UE assumes </w:t>
      </w:r>
      <m:oMath>
        <m:sSub>
          <m:sSubPr>
            <m:ctrlPr>
              <w:rPr>
                <w:rFonts w:ascii="Cambria Math" w:eastAsia="MS Mincho" w:hAnsi="Cambria Math"/>
                <w:i/>
                <w:kern w:val="2"/>
              </w:rPr>
            </m:ctrlPr>
          </m:sSubPr>
          <m:e>
            <m:r>
              <w:rPr>
                <w:rFonts w:ascii="Cambria Math" w:eastAsia="MS Mincho" w:hAnsi="Cambria Math"/>
                <w:kern w:val="2"/>
              </w:rPr>
              <m:t>N</m:t>
            </m:r>
          </m:e>
          <m:sub>
            <m:r>
              <w:rPr>
                <w:rFonts w:ascii="Cambria Math" w:eastAsia="MS Mincho" w:hAnsi="Cambria Math"/>
                <w:kern w:val="2"/>
              </w:rPr>
              <m:t>1,0</m:t>
            </m:r>
          </m:sub>
        </m:sSub>
        <m:r>
          <w:rPr>
            <w:rFonts w:ascii="Cambria Math" w:eastAsia="MS Mincho" w:hAnsi="Cambria Math"/>
            <w:kern w:val="2"/>
          </w:rPr>
          <m:t>=14</m:t>
        </m:r>
      </m:oMath>
      <w:r>
        <w:t xml:space="preserve"> [6, TS 38.214].</w:t>
      </w:r>
    </w:p>
    <w:p w14:paraId="68F44A1D" w14:textId="77777777" w:rsidR="00AD1F86" w:rsidRPr="00B916EC" w:rsidRDefault="00AD1F86" w:rsidP="0009732E">
      <w:pPr>
        <w:pStyle w:val="Heading2"/>
      </w:pPr>
      <w:bookmarkStart w:id="388" w:name="_Toc12021465"/>
      <w:bookmarkStart w:id="389" w:name="_Toc20311577"/>
      <w:bookmarkStart w:id="390" w:name="_Toc26719402"/>
      <w:bookmarkStart w:id="391" w:name="_Toc29894835"/>
      <w:bookmarkStart w:id="392" w:name="_Toc29899134"/>
      <w:bookmarkStart w:id="393" w:name="_Toc29899552"/>
      <w:bookmarkStart w:id="394" w:name="_Toc29917289"/>
      <w:bookmarkStart w:id="395" w:name="_Toc36498163"/>
      <w:bookmarkStart w:id="396" w:name="_Toc45699189"/>
      <w:bookmarkStart w:id="397" w:name="_Toc161999114"/>
      <w:r w:rsidRPr="00B916EC">
        <w:t>8</w:t>
      </w:r>
      <w:r w:rsidRPr="00B916EC">
        <w:rPr>
          <w:rFonts w:hint="eastAsia"/>
        </w:rPr>
        <w:t>.</w:t>
      </w:r>
      <w:r>
        <w:t>4</w:t>
      </w:r>
      <w:r w:rsidRPr="00B916EC">
        <w:rPr>
          <w:rFonts w:hint="eastAsia"/>
        </w:rPr>
        <w:tab/>
      </w:r>
      <w:r>
        <w:t>PD</w:t>
      </w:r>
      <w:r w:rsidRPr="00B916EC">
        <w:t>SCH</w:t>
      </w:r>
      <w:r>
        <w:t xml:space="preserve"> with UE contention resolution identity</w:t>
      </w:r>
      <w:bookmarkEnd w:id="388"/>
      <w:bookmarkEnd w:id="389"/>
      <w:bookmarkEnd w:id="390"/>
      <w:bookmarkEnd w:id="391"/>
      <w:bookmarkEnd w:id="392"/>
      <w:bookmarkEnd w:id="393"/>
      <w:bookmarkEnd w:id="394"/>
      <w:bookmarkEnd w:id="395"/>
      <w:bookmarkEnd w:id="396"/>
      <w:bookmarkEnd w:id="397"/>
    </w:p>
    <w:p w14:paraId="7ECC3869" w14:textId="42A11277" w:rsidR="00683CD6" w:rsidRDefault="00AD1F86" w:rsidP="00AD1F86">
      <w:pPr>
        <w:rPr>
          <w:lang w:val="en-US"/>
        </w:rPr>
      </w:pPr>
      <w:r>
        <w:rPr>
          <w:lang w:val="en-US"/>
        </w:rPr>
        <w:t xml:space="preserve">In response to a PUSCH transmission </w:t>
      </w:r>
      <w:r w:rsidR="00284348">
        <w:rPr>
          <w:lang w:val="en-US"/>
        </w:rPr>
        <w:t xml:space="preserve">scheduled by a RAR UL grant </w:t>
      </w:r>
      <w:r>
        <w:rPr>
          <w:lang w:val="en-US"/>
        </w:rPr>
        <w:t>when a UE has not been provided a C-RNTI, the</w:t>
      </w:r>
      <w:r w:rsidRPr="00B916EC">
        <w:rPr>
          <w:lang w:val="en-US"/>
        </w:rPr>
        <w:t xml:space="preserve"> UE attempts to detect</w:t>
      </w:r>
      <w:r w:rsidRPr="00B916EC">
        <w:t xml:space="preserve"> a </w:t>
      </w:r>
      <w:r w:rsidR="007C4048">
        <w:t>DCI format 1_0</w:t>
      </w:r>
      <w:r w:rsidR="007C4048" w:rsidRPr="00B916EC">
        <w:t xml:space="preserve"> </w:t>
      </w:r>
      <w:r w:rsidRPr="00B916EC">
        <w:t>with</w:t>
      </w:r>
      <w:r w:rsidR="007C4048" w:rsidRPr="007C4048">
        <w:t xml:space="preserve"> </w:t>
      </w:r>
      <w:r w:rsidR="007C4048">
        <w:t>CRC scrambled by</w:t>
      </w:r>
      <w:r w:rsidRPr="00B916EC">
        <w:t xml:space="preserve"> a corresponding </w:t>
      </w:r>
      <w:r>
        <w:t>TC</w:t>
      </w:r>
      <w:r w:rsidRPr="00B916EC">
        <w:t xml:space="preserve">-RNTI </w:t>
      </w:r>
      <w:r>
        <w:t xml:space="preserve">scheduling a PDSCH that </w:t>
      </w:r>
      <w:r>
        <w:lastRenderedPageBreak/>
        <w:t>includes a UE contention resolution identity</w:t>
      </w:r>
      <w:r w:rsidRPr="00B916EC">
        <w:t xml:space="preserve"> [</w:t>
      </w:r>
      <w:r w:rsidRPr="00B916EC">
        <w:rPr>
          <w:lang w:val="en-US"/>
        </w:rPr>
        <w:t>11, TS 38.321</w:t>
      </w:r>
      <w:r w:rsidRPr="00B916EC">
        <w:t>].</w:t>
      </w:r>
      <w:r>
        <w:t xml:space="preserve"> In response to the PDSCH reception with the UE contention resolution identity, the UE transmits HARQ-ACK information in a PUCCH</w:t>
      </w:r>
      <w:r w:rsidR="007C4048">
        <w:t>. The PUCCH transmission is within a same active UL BWP as the PUSCH transmission</w:t>
      </w:r>
      <w:r>
        <w:t>. A minimum time between the last symbol of the PDSCH reception and the first symbol of the corresponding</w:t>
      </w:r>
      <w:r w:rsidR="00597350">
        <w:t xml:space="preserve"> PUCCH transmission with the</w:t>
      </w:r>
      <w:r>
        <w:t xml:space="preserve"> HARQ-ACK</w:t>
      </w:r>
      <w:r w:rsidR="007C4048" w:rsidRPr="007C4048">
        <w:t xml:space="preserve"> </w:t>
      </w:r>
      <w:r w:rsidR="007C4048">
        <w:t>information</w:t>
      </w:r>
      <w:r>
        <w:t xml:space="preserve"> is equal to </w:t>
      </w:r>
      <m:oMath>
        <m:sSub>
          <m:sSubPr>
            <m:ctrlPr>
              <w:rPr>
                <w:rFonts w:ascii="Cambria Math" w:hAnsi="Cambria Math"/>
                <w:i/>
              </w:rPr>
            </m:ctrlPr>
          </m:sSubPr>
          <m:e>
            <m:r>
              <w:rPr>
                <w:rFonts w:ascii="Cambria Math" w:hAnsi="Cambria Math"/>
              </w:rPr>
              <m:t>N</m:t>
            </m:r>
          </m:e>
          <m:sub>
            <m:r>
              <w:rPr>
                <w:rFonts w:ascii="Cambria Math" w:hAnsi="Cambria Math"/>
              </w:rPr>
              <m:t>T</m:t>
            </m:r>
            <m:r>
              <m:rPr>
                <m:sty m:val="p"/>
              </m:rPr>
              <w:rPr>
                <w:rFonts w:ascii="Cambria Math" w:hAnsi="Cambria Math"/>
              </w:rPr>
              <m:t>,1</m:t>
            </m:r>
          </m:sub>
        </m:sSub>
        <m:r>
          <w:rPr>
            <w:rFonts w:ascii="Cambria Math" w:hAnsi="Cambria Math"/>
          </w:rPr>
          <m:t>+0.5</m:t>
        </m:r>
      </m:oMath>
      <w:r>
        <w:t xml:space="preserve"> </w:t>
      </w:r>
      <w:r>
        <w:rPr>
          <w:lang w:val="en-US"/>
        </w:rPr>
        <w:t xml:space="preserve">msec. </w:t>
      </w:r>
      <m:oMath>
        <m:sSub>
          <m:sSubPr>
            <m:ctrlPr>
              <w:rPr>
                <w:rFonts w:ascii="Cambria Math" w:hAnsi="Cambria Math"/>
                <w:i/>
              </w:rPr>
            </m:ctrlPr>
          </m:sSubPr>
          <m:e>
            <m:r>
              <w:rPr>
                <w:rFonts w:ascii="Cambria Math" w:hAnsi="Cambria Math"/>
              </w:rPr>
              <m:t>N</m:t>
            </m:r>
          </m:e>
          <m:sub>
            <m:r>
              <w:rPr>
                <w:rFonts w:ascii="Cambria Math" w:hAnsi="Cambria Math"/>
              </w:rPr>
              <m:t>T</m:t>
            </m:r>
            <m:r>
              <m:rPr>
                <m:sty m:val="p"/>
              </m:rPr>
              <w:rPr>
                <w:rFonts w:ascii="Cambria Math" w:hAnsi="Cambria Math"/>
              </w:rPr>
              <m:t>,1</m:t>
            </m:r>
          </m:sub>
        </m:sSub>
      </m:oMath>
      <w:r w:rsidRPr="0088442C">
        <w:t xml:space="preserve"> </w:t>
      </w:r>
      <w:r>
        <w:t xml:space="preserve">is a time duration of </w:t>
      </w:r>
      <m:oMath>
        <m:sSub>
          <m:sSubPr>
            <m:ctrlPr>
              <w:rPr>
                <w:rFonts w:ascii="Cambria Math" w:hAnsi="Cambria Math"/>
                <w:i/>
              </w:rPr>
            </m:ctrlPr>
          </m:sSubPr>
          <m:e>
            <m:r>
              <w:rPr>
                <w:rFonts w:ascii="Cambria Math" w:hAnsi="Cambria Math"/>
              </w:rPr>
              <m:t>N</m:t>
            </m:r>
          </m:e>
          <m:sub>
            <m:r>
              <m:rPr>
                <m:sty m:val="p"/>
              </m:rPr>
              <w:rPr>
                <w:rFonts w:ascii="Cambria Math" w:hAnsi="Cambria Math"/>
              </w:rPr>
              <m:t>1</m:t>
            </m:r>
          </m:sub>
        </m:sSub>
      </m:oMath>
      <w:r>
        <w:t xml:space="preserve"> symbols corresponding to a PDSCH </w:t>
      </w:r>
      <w:r w:rsidR="003943AF">
        <w:t xml:space="preserve">processing </w:t>
      </w:r>
      <w:r>
        <w:t>time</w:t>
      </w:r>
      <w:r w:rsidRPr="0088442C">
        <w:t xml:space="preserve"> </w:t>
      </w:r>
      <w:r>
        <w:t xml:space="preserve">for </w:t>
      </w:r>
      <w:r w:rsidR="00597350">
        <w:t xml:space="preserve">UE </w:t>
      </w:r>
      <w:r>
        <w:t>processing capability 1 when additional PDSCH DM-RS is configured</w:t>
      </w:r>
      <w:r>
        <w:rPr>
          <w:lang w:val="en-US"/>
        </w:rPr>
        <w:t>.</w:t>
      </w:r>
      <w:r w:rsidR="008F0A54">
        <w:rPr>
          <w:lang w:val="en-US"/>
        </w:rPr>
        <w:t xml:space="preserve"> </w:t>
      </w:r>
      <w:r w:rsidR="008F0A54">
        <w:t xml:space="preserve">For </w:t>
      </w:r>
      <m:oMath>
        <m:r>
          <w:rPr>
            <w:rFonts w:ascii="Cambria Math" w:eastAsia="MS Mincho" w:hAnsi="Cambria Math"/>
            <w:kern w:val="2"/>
          </w:rPr>
          <m:t>μ=0</m:t>
        </m:r>
      </m:oMath>
      <w:r w:rsidR="008F0A54">
        <w:t xml:space="preserve">, the UE assumes </w:t>
      </w:r>
      <m:oMath>
        <m:sSub>
          <m:sSubPr>
            <m:ctrlPr>
              <w:rPr>
                <w:rFonts w:ascii="Cambria Math" w:hAnsi="Cambria Math"/>
                <w:i/>
              </w:rPr>
            </m:ctrlPr>
          </m:sSubPr>
          <m:e>
            <m:r>
              <w:rPr>
                <w:rFonts w:ascii="Cambria Math" w:hAnsi="Cambria Math"/>
              </w:rPr>
              <m:t>N</m:t>
            </m:r>
          </m:e>
          <m:sub>
            <m:r>
              <m:rPr>
                <m:sty m:val="p"/>
              </m:rPr>
              <w:rPr>
                <w:rFonts w:ascii="Cambria Math" w:hAnsi="Cambria Math"/>
              </w:rPr>
              <m:t>1,0</m:t>
            </m:r>
          </m:sub>
        </m:sSub>
        <m:r>
          <w:rPr>
            <w:rFonts w:ascii="Cambria Math" w:hAnsi="Cambria Math"/>
          </w:rPr>
          <m:t>=14</m:t>
        </m:r>
      </m:oMath>
      <w:r w:rsidR="008F0A54">
        <w:t xml:space="preserve"> [6, TS 38.214].</w:t>
      </w:r>
    </w:p>
    <w:p w14:paraId="7B9D1A56" w14:textId="316E6A51" w:rsidR="006A673C" w:rsidRPr="0009732E" w:rsidRDefault="006A673C" w:rsidP="00AD1F86">
      <w:pPr>
        <w:rPr>
          <w:lang w:val="en-US"/>
        </w:rPr>
      </w:pPr>
      <w:r w:rsidRPr="008A7CAB">
        <w:rPr>
          <w:lang w:val="en-US"/>
        </w:rPr>
        <w:t xml:space="preserve">When detecting a DCI format in response to a PUSCH transmission scheduled by a RAR UL grant, as described in [11, TS 38.321], or corresponding PUSCH retransmission scheduled by a DCI format 0_0 with CRC scrambled by a TC-RNTI provided in the corresponding RAR message [11, TS 38.321], the UE may assume the PDCCH carrying the DCI format has the same DM-RS antenna port quasi co-location properties, as described in [6, TS 38.214], as for a SS/PBCH block the UE used for PRACH association, as described </w:t>
      </w:r>
      <w:r w:rsidR="006F5F9E">
        <w:rPr>
          <w:lang w:val="en-US"/>
        </w:rPr>
        <w:t>in clause</w:t>
      </w:r>
      <w:r w:rsidRPr="008A7CAB">
        <w:rPr>
          <w:lang w:val="en-US"/>
        </w:rPr>
        <w:t xml:space="preserve"> 8.1, regardless of whether or not the UE is provided TCI-State for the CORESET where the UE receives the PDCCH with the DCI format.</w:t>
      </w:r>
    </w:p>
    <w:p w14:paraId="550861BB" w14:textId="77777777" w:rsidR="005B7A31" w:rsidRPr="00B916EC" w:rsidRDefault="005B7A31" w:rsidP="005B7A31">
      <w:pPr>
        <w:pStyle w:val="Heading1"/>
        <w:tabs>
          <w:tab w:val="left" w:pos="1134"/>
        </w:tabs>
      </w:pPr>
      <w:bookmarkStart w:id="398" w:name="_Toc12021466"/>
      <w:bookmarkStart w:id="399" w:name="_Toc20311578"/>
      <w:bookmarkStart w:id="400" w:name="_Toc26719403"/>
      <w:bookmarkStart w:id="401" w:name="_Toc29894836"/>
      <w:bookmarkStart w:id="402" w:name="_Toc29899135"/>
      <w:bookmarkStart w:id="403" w:name="_Toc29899553"/>
      <w:bookmarkStart w:id="404" w:name="_Toc29917290"/>
      <w:bookmarkStart w:id="405" w:name="_Toc36498164"/>
      <w:bookmarkStart w:id="406" w:name="_Toc45699190"/>
      <w:bookmarkStart w:id="407" w:name="_Toc161999115"/>
      <w:r w:rsidRPr="00B916EC">
        <w:t>9</w:t>
      </w:r>
      <w:r w:rsidRPr="00B916EC">
        <w:rPr>
          <w:rFonts w:hint="eastAsia"/>
        </w:rPr>
        <w:tab/>
      </w:r>
      <w:r w:rsidR="00E36011" w:rsidRPr="00B916EC">
        <w:rPr>
          <w:rFonts w:cs="Arial"/>
          <w:szCs w:val="36"/>
        </w:rPr>
        <w:t>UE procedure for reporting control information</w:t>
      </w:r>
      <w:bookmarkEnd w:id="398"/>
      <w:bookmarkEnd w:id="399"/>
      <w:bookmarkEnd w:id="400"/>
      <w:bookmarkEnd w:id="401"/>
      <w:bookmarkEnd w:id="402"/>
      <w:bookmarkEnd w:id="403"/>
      <w:bookmarkEnd w:id="404"/>
      <w:bookmarkEnd w:id="405"/>
      <w:bookmarkEnd w:id="406"/>
      <w:bookmarkEnd w:id="407"/>
    </w:p>
    <w:p w14:paraId="3D9A32F4" w14:textId="4EF19608" w:rsidR="00621303" w:rsidRPr="00B916EC" w:rsidRDefault="00621303" w:rsidP="00621303">
      <w:r w:rsidRPr="00B916EC">
        <w:t xml:space="preserve">If a UE is configured with a SCG, the UE shall apply the procedures described in this </w:t>
      </w:r>
      <w:r w:rsidR="00EE236C">
        <w:t>clause</w:t>
      </w:r>
      <w:r w:rsidRPr="00B916EC">
        <w:t xml:space="preserve"> for both MCG and SCG.</w:t>
      </w:r>
    </w:p>
    <w:p w14:paraId="5FA18352" w14:textId="393ED87A" w:rsidR="00621303" w:rsidRPr="00B916EC" w:rsidRDefault="00B503CC" w:rsidP="00B503CC">
      <w:pPr>
        <w:pStyle w:val="B1"/>
      </w:pPr>
      <w:r>
        <w:t>-</w:t>
      </w:r>
      <w:r>
        <w:tab/>
      </w:r>
      <w:r w:rsidR="00621303" w:rsidRPr="00B916EC">
        <w:t xml:space="preserve">When the procedures are applied for MCG, the terms </w:t>
      </w:r>
      <w:r w:rsidR="002A01CD">
        <w:rPr>
          <w:lang w:val="en-US"/>
        </w:rPr>
        <w:t>'</w:t>
      </w:r>
      <w:r w:rsidR="00621303" w:rsidRPr="00B916EC">
        <w:rPr>
          <w:lang w:val="en-US"/>
        </w:rPr>
        <w:t>secondary cell</w:t>
      </w:r>
      <w:r w:rsidR="002A01CD">
        <w:rPr>
          <w:lang w:val="en-US"/>
        </w:rPr>
        <w:t>'</w:t>
      </w:r>
      <w:r w:rsidR="00621303" w:rsidRPr="00B916EC">
        <w:rPr>
          <w:lang w:val="en-US"/>
        </w:rPr>
        <w:t xml:space="preserve">, </w:t>
      </w:r>
      <w:r w:rsidR="002A01CD">
        <w:rPr>
          <w:lang w:val="en-US"/>
        </w:rPr>
        <w:t>'</w:t>
      </w:r>
      <w:r w:rsidR="00621303" w:rsidRPr="00B916EC">
        <w:rPr>
          <w:lang w:val="en-US"/>
        </w:rPr>
        <w:t>secondary cells</w:t>
      </w:r>
      <w:r w:rsidR="002A01CD">
        <w:rPr>
          <w:lang w:val="en-US"/>
        </w:rPr>
        <w:t>'</w:t>
      </w:r>
      <w:r w:rsidR="00621303" w:rsidRPr="00B916EC">
        <w:rPr>
          <w:lang w:val="en-US"/>
        </w:rPr>
        <w:t xml:space="preserve">, </w:t>
      </w:r>
      <w:r w:rsidR="002A01CD">
        <w:t>'</w:t>
      </w:r>
      <w:r w:rsidR="00621303" w:rsidRPr="00B916EC">
        <w:t>serving cell</w:t>
      </w:r>
      <w:r w:rsidR="002A01CD">
        <w:t>'</w:t>
      </w:r>
      <w:r w:rsidR="00621303" w:rsidRPr="00B916EC">
        <w:rPr>
          <w:lang w:val="en-US"/>
        </w:rPr>
        <w:t xml:space="preserve">, </w:t>
      </w:r>
      <w:r w:rsidR="002A01CD">
        <w:t>'</w:t>
      </w:r>
      <w:r w:rsidR="00621303" w:rsidRPr="00B916EC">
        <w:t>serving cells</w:t>
      </w:r>
      <w:r w:rsidR="002A01CD">
        <w:t>'</w:t>
      </w:r>
      <w:r w:rsidR="00621303" w:rsidRPr="00B916EC">
        <w:t xml:space="preserve"> in this clause refer to </w:t>
      </w:r>
      <w:r w:rsidR="00621303" w:rsidRPr="00B916EC">
        <w:rPr>
          <w:lang w:val="en-US"/>
        </w:rPr>
        <w:t xml:space="preserve">secondary cell, secondary cells, </w:t>
      </w:r>
      <w:r w:rsidR="00621303" w:rsidRPr="00B916EC">
        <w:t>serving cell</w:t>
      </w:r>
      <w:r w:rsidR="00621303" w:rsidRPr="00B916EC">
        <w:rPr>
          <w:lang w:val="en-US"/>
        </w:rPr>
        <w:t xml:space="preserve">, </w:t>
      </w:r>
      <w:r w:rsidR="00621303" w:rsidRPr="00B916EC">
        <w:t>serving cells belonging to the MCG</w:t>
      </w:r>
      <w:r w:rsidR="00621303" w:rsidRPr="00B916EC">
        <w:rPr>
          <w:lang w:val="en-US"/>
        </w:rPr>
        <w:t xml:space="preserve"> respectively</w:t>
      </w:r>
      <w:r w:rsidR="00621303" w:rsidRPr="00B916EC">
        <w:t>.</w:t>
      </w:r>
    </w:p>
    <w:p w14:paraId="5237C1F8" w14:textId="77777777" w:rsidR="00621303" w:rsidRPr="00B916EC" w:rsidRDefault="00B503CC" w:rsidP="00B503CC">
      <w:pPr>
        <w:pStyle w:val="B1"/>
      </w:pPr>
      <w:r>
        <w:t>-</w:t>
      </w:r>
      <w:r>
        <w:tab/>
      </w:r>
      <w:r w:rsidR="00621303" w:rsidRPr="00B916EC">
        <w:t xml:space="preserve">When the procedures are applied for SCG, the terms </w:t>
      </w:r>
      <w:r w:rsidR="002A01CD">
        <w:rPr>
          <w:lang w:val="en-US"/>
        </w:rPr>
        <w:t>'</w:t>
      </w:r>
      <w:r w:rsidR="00621303" w:rsidRPr="00B916EC">
        <w:rPr>
          <w:lang w:val="en-US"/>
        </w:rPr>
        <w:t>secondary cell</w:t>
      </w:r>
      <w:r w:rsidR="002A01CD">
        <w:rPr>
          <w:lang w:val="en-US"/>
        </w:rPr>
        <w:t>'</w:t>
      </w:r>
      <w:r w:rsidR="00621303" w:rsidRPr="00B916EC">
        <w:rPr>
          <w:lang w:val="en-US"/>
        </w:rPr>
        <w:t xml:space="preserve">, </w:t>
      </w:r>
      <w:r w:rsidR="002A01CD">
        <w:rPr>
          <w:lang w:val="en-US"/>
        </w:rPr>
        <w:t>'</w:t>
      </w:r>
      <w:r w:rsidR="00621303" w:rsidRPr="00B916EC">
        <w:rPr>
          <w:lang w:val="en-US"/>
        </w:rPr>
        <w:t>secondary cells</w:t>
      </w:r>
      <w:r w:rsidR="002A01CD">
        <w:rPr>
          <w:lang w:val="en-US"/>
        </w:rPr>
        <w:t>'</w:t>
      </w:r>
      <w:r w:rsidR="00621303" w:rsidRPr="00B916EC">
        <w:rPr>
          <w:lang w:val="en-US"/>
        </w:rPr>
        <w:t>,</w:t>
      </w:r>
      <w:r w:rsidR="00621303" w:rsidRPr="00B916EC">
        <w:t xml:space="preserve"> </w:t>
      </w:r>
      <w:r w:rsidR="002A01CD">
        <w:t>'</w:t>
      </w:r>
      <w:r w:rsidR="00621303" w:rsidRPr="00B916EC">
        <w:t>serving cell</w:t>
      </w:r>
      <w:r w:rsidR="002A01CD">
        <w:t>'</w:t>
      </w:r>
      <w:r w:rsidR="00621303" w:rsidRPr="00B916EC">
        <w:rPr>
          <w:lang w:val="en-US"/>
        </w:rPr>
        <w:t xml:space="preserve">, </w:t>
      </w:r>
      <w:r w:rsidR="002A01CD">
        <w:t>'</w:t>
      </w:r>
      <w:r w:rsidR="00621303" w:rsidRPr="00B916EC">
        <w:t>serving cells</w:t>
      </w:r>
      <w:r w:rsidR="002A01CD">
        <w:t>'</w:t>
      </w:r>
      <w:r w:rsidR="00621303" w:rsidRPr="00B916EC">
        <w:t xml:space="preserve"> in this clause refer to </w:t>
      </w:r>
      <w:r w:rsidR="00621303" w:rsidRPr="00B916EC">
        <w:rPr>
          <w:lang w:val="en-US"/>
        </w:rPr>
        <w:t xml:space="preserve">secondary cell, secondary cells (not including PSCell), </w:t>
      </w:r>
      <w:r w:rsidR="00621303" w:rsidRPr="00B916EC">
        <w:t>serving cell</w:t>
      </w:r>
      <w:r w:rsidR="00621303" w:rsidRPr="00B916EC">
        <w:rPr>
          <w:lang w:val="en-US"/>
        </w:rPr>
        <w:t xml:space="preserve">, </w:t>
      </w:r>
      <w:r w:rsidR="00621303" w:rsidRPr="00B916EC">
        <w:t>serving cells belonging to the SCG</w:t>
      </w:r>
      <w:r w:rsidR="00621303" w:rsidRPr="00B916EC">
        <w:rPr>
          <w:lang w:val="en-US"/>
        </w:rPr>
        <w:t xml:space="preserve"> respectively</w:t>
      </w:r>
      <w:r w:rsidR="00621303" w:rsidRPr="00B916EC">
        <w:t xml:space="preserve">. The term </w:t>
      </w:r>
      <w:r w:rsidR="002A01CD">
        <w:t>'</w:t>
      </w:r>
      <w:r w:rsidR="00621303" w:rsidRPr="00B916EC">
        <w:t>primary cell</w:t>
      </w:r>
      <w:r w:rsidR="002A01CD">
        <w:t>'</w:t>
      </w:r>
      <w:r w:rsidR="00621303" w:rsidRPr="00B916EC">
        <w:t xml:space="preserve"> in this clause refers to the PSCell of the SCG.</w:t>
      </w:r>
    </w:p>
    <w:p w14:paraId="4019377D" w14:textId="01F8A5F9" w:rsidR="00621303" w:rsidRPr="00B916EC" w:rsidRDefault="00621303" w:rsidP="00B503CC">
      <w:pPr>
        <w:rPr>
          <w:lang w:eastAsia="zh-CN"/>
        </w:rPr>
      </w:pPr>
      <w:r w:rsidRPr="00B916EC">
        <w:t xml:space="preserve">If </w:t>
      </w:r>
      <w:r w:rsidR="00DE5B06">
        <w:t>a</w:t>
      </w:r>
      <w:r w:rsidR="00DE5B06" w:rsidRPr="00B916EC">
        <w:t xml:space="preserve"> </w:t>
      </w:r>
      <w:r w:rsidRPr="00B916EC">
        <w:t xml:space="preserve">UE is configured with a </w:t>
      </w:r>
      <w:r w:rsidRPr="00B916EC">
        <w:rPr>
          <w:rFonts w:hint="eastAsia"/>
          <w:lang w:eastAsia="zh-CN"/>
        </w:rPr>
        <w:t>PUCCH</w:t>
      </w:r>
      <w:r w:rsidRPr="00B916EC">
        <w:rPr>
          <w:lang w:eastAsia="zh-CN"/>
        </w:rPr>
        <w:t>-</w:t>
      </w:r>
      <w:r w:rsidRPr="00B916EC">
        <w:rPr>
          <w:rFonts w:hint="eastAsia"/>
          <w:lang w:eastAsia="zh-CN"/>
        </w:rPr>
        <w:t>SCell</w:t>
      </w:r>
      <w:r w:rsidRPr="00B916EC">
        <w:t xml:space="preserve">, the UE shall apply the procedures described in this clause for both </w:t>
      </w:r>
      <w:r w:rsidRPr="00B916EC">
        <w:rPr>
          <w:rFonts w:hint="eastAsia"/>
          <w:lang w:eastAsia="zh-CN"/>
        </w:rPr>
        <w:t>primary PUCCH group</w:t>
      </w:r>
      <w:r w:rsidRPr="00B916EC">
        <w:t xml:space="preserve"> and </w:t>
      </w:r>
      <w:r w:rsidRPr="00B916EC">
        <w:rPr>
          <w:rFonts w:hint="eastAsia"/>
          <w:lang w:eastAsia="zh-CN"/>
        </w:rPr>
        <w:t>secondary PUCCH group</w:t>
      </w:r>
    </w:p>
    <w:p w14:paraId="22727B92" w14:textId="75E91C38" w:rsidR="00621303" w:rsidRPr="00B916EC" w:rsidRDefault="00B503CC" w:rsidP="00B503CC">
      <w:pPr>
        <w:pStyle w:val="B1"/>
      </w:pPr>
      <w:r>
        <w:t>-</w:t>
      </w:r>
      <w:r>
        <w:tab/>
      </w:r>
      <w:r w:rsidR="00621303" w:rsidRPr="00B916EC">
        <w:t xml:space="preserve">When the procedures are applied for </w:t>
      </w:r>
      <w:r w:rsidR="00621303" w:rsidRPr="00B916EC">
        <w:rPr>
          <w:rFonts w:hint="eastAsia"/>
          <w:lang w:eastAsia="zh-CN"/>
        </w:rPr>
        <w:t>the primary PUCCH group</w:t>
      </w:r>
      <w:r w:rsidR="00621303" w:rsidRPr="00B916EC">
        <w:t xml:space="preserve">, the terms </w:t>
      </w:r>
      <w:r w:rsidR="002A01CD">
        <w:rPr>
          <w:lang w:val="en-US"/>
        </w:rPr>
        <w:t>'</w:t>
      </w:r>
      <w:r w:rsidR="00621303" w:rsidRPr="00B916EC">
        <w:rPr>
          <w:lang w:val="en-US"/>
        </w:rPr>
        <w:t>secondary cell</w:t>
      </w:r>
      <w:r w:rsidR="002A01CD">
        <w:rPr>
          <w:lang w:val="en-US"/>
        </w:rPr>
        <w:t>'</w:t>
      </w:r>
      <w:r w:rsidR="00621303" w:rsidRPr="00B916EC">
        <w:rPr>
          <w:lang w:val="en-US"/>
        </w:rPr>
        <w:t xml:space="preserve">, </w:t>
      </w:r>
      <w:r w:rsidR="002A01CD">
        <w:rPr>
          <w:lang w:val="en-US"/>
        </w:rPr>
        <w:t>'</w:t>
      </w:r>
      <w:r w:rsidR="00621303" w:rsidRPr="00B916EC">
        <w:rPr>
          <w:lang w:val="en-US"/>
        </w:rPr>
        <w:t>secondary cells</w:t>
      </w:r>
      <w:r w:rsidR="002A01CD">
        <w:rPr>
          <w:lang w:val="en-US"/>
        </w:rPr>
        <w:t>'</w:t>
      </w:r>
      <w:r w:rsidR="00621303" w:rsidRPr="00B916EC">
        <w:rPr>
          <w:lang w:val="en-US"/>
        </w:rPr>
        <w:t xml:space="preserve">, </w:t>
      </w:r>
      <w:r w:rsidR="002A01CD">
        <w:t>'</w:t>
      </w:r>
      <w:r w:rsidR="00621303" w:rsidRPr="00B916EC">
        <w:t>serving cell</w:t>
      </w:r>
      <w:r w:rsidR="002A01CD">
        <w:t>'</w:t>
      </w:r>
      <w:r w:rsidR="00621303" w:rsidRPr="00B916EC">
        <w:rPr>
          <w:lang w:val="en-US"/>
        </w:rPr>
        <w:t xml:space="preserve">, </w:t>
      </w:r>
      <w:r w:rsidR="002A01CD">
        <w:t>'</w:t>
      </w:r>
      <w:r w:rsidR="00621303" w:rsidRPr="00B916EC">
        <w:t>serving cells</w:t>
      </w:r>
      <w:r w:rsidR="002A01CD">
        <w:t>'</w:t>
      </w:r>
      <w:r w:rsidR="00621303" w:rsidRPr="00B916EC">
        <w:t xml:space="preserve"> in this clause refer to </w:t>
      </w:r>
      <w:r w:rsidR="00621303" w:rsidRPr="00B916EC">
        <w:rPr>
          <w:lang w:val="en-US"/>
        </w:rPr>
        <w:t xml:space="preserve">secondary cell, secondary cells, </w:t>
      </w:r>
      <w:r w:rsidR="00621303" w:rsidRPr="00B916EC">
        <w:t>serving cell</w:t>
      </w:r>
      <w:r w:rsidR="00621303" w:rsidRPr="00B916EC">
        <w:rPr>
          <w:lang w:val="en-US"/>
        </w:rPr>
        <w:t xml:space="preserve">, </w:t>
      </w:r>
      <w:r w:rsidR="00621303" w:rsidRPr="00B916EC">
        <w:t xml:space="preserve">serving cells belonging to the </w:t>
      </w:r>
      <w:r w:rsidR="00621303" w:rsidRPr="00B916EC">
        <w:rPr>
          <w:rFonts w:hint="eastAsia"/>
          <w:lang w:eastAsia="zh-CN"/>
        </w:rPr>
        <w:t>primary PUCCH group</w:t>
      </w:r>
      <w:r w:rsidR="00621303" w:rsidRPr="00B916EC">
        <w:rPr>
          <w:lang w:val="en-US"/>
        </w:rPr>
        <w:t xml:space="preserve"> respectively</w:t>
      </w:r>
      <w:r w:rsidR="00621303" w:rsidRPr="00B916EC">
        <w:t>.</w:t>
      </w:r>
    </w:p>
    <w:p w14:paraId="67FD7615" w14:textId="541986D4" w:rsidR="00747007" w:rsidRPr="00F25051" w:rsidRDefault="00B503CC" w:rsidP="00747007">
      <w:pPr>
        <w:pStyle w:val="B1"/>
        <w:rPr>
          <w:lang w:val="en-GB"/>
        </w:rPr>
      </w:pPr>
      <w:r>
        <w:t>-</w:t>
      </w:r>
      <w:r>
        <w:tab/>
      </w:r>
      <w:r w:rsidR="00621303" w:rsidRPr="00B916EC">
        <w:t xml:space="preserve">When the procedures are applied for </w:t>
      </w:r>
      <w:r w:rsidR="00621303" w:rsidRPr="00B916EC">
        <w:rPr>
          <w:rFonts w:hint="eastAsia"/>
          <w:lang w:eastAsia="zh-CN"/>
        </w:rPr>
        <w:t>secondary PUCCH group</w:t>
      </w:r>
      <w:r w:rsidR="00621303" w:rsidRPr="00B916EC">
        <w:t xml:space="preserve">, the terms </w:t>
      </w:r>
      <w:r w:rsidR="002A01CD">
        <w:rPr>
          <w:lang w:val="en-US"/>
        </w:rPr>
        <w:t>'</w:t>
      </w:r>
      <w:r w:rsidR="00621303" w:rsidRPr="00B916EC">
        <w:rPr>
          <w:lang w:val="en-US"/>
        </w:rPr>
        <w:t>secondary cell</w:t>
      </w:r>
      <w:r w:rsidR="002A01CD">
        <w:rPr>
          <w:lang w:val="en-US"/>
        </w:rPr>
        <w:t>'</w:t>
      </w:r>
      <w:r w:rsidR="00621303" w:rsidRPr="00B916EC">
        <w:rPr>
          <w:lang w:val="en-US"/>
        </w:rPr>
        <w:t xml:space="preserve">, </w:t>
      </w:r>
      <w:r w:rsidR="002A01CD">
        <w:rPr>
          <w:lang w:val="en-US"/>
        </w:rPr>
        <w:t>'</w:t>
      </w:r>
      <w:r w:rsidR="00621303" w:rsidRPr="00B916EC">
        <w:rPr>
          <w:lang w:val="en-US"/>
        </w:rPr>
        <w:t>secondary cells</w:t>
      </w:r>
      <w:r w:rsidR="002A01CD">
        <w:rPr>
          <w:lang w:val="en-US"/>
        </w:rPr>
        <w:t>'</w:t>
      </w:r>
      <w:r w:rsidR="00621303" w:rsidRPr="00B916EC">
        <w:rPr>
          <w:lang w:val="en-US"/>
        </w:rPr>
        <w:t>,</w:t>
      </w:r>
      <w:r w:rsidR="00621303" w:rsidRPr="00B916EC">
        <w:t xml:space="preserve"> </w:t>
      </w:r>
      <w:r w:rsidR="002A01CD">
        <w:t>'</w:t>
      </w:r>
      <w:r w:rsidR="00621303" w:rsidRPr="00B916EC">
        <w:t>serving cell</w:t>
      </w:r>
      <w:r w:rsidR="002A01CD">
        <w:t>'</w:t>
      </w:r>
      <w:r w:rsidR="00621303" w:rsidRPr="00B916EC">
        <w:rPr>
          <w:lang w:val="en-US"/>
        </w:rPr>
        <w:t xml:space="preserve">, </w:t>
      </w:r>
      <w:r w:rsidR="002A01CD">
        <w:t>'</w:t>
      </w:r>
      <w:r w:rsidR="00621303" w:rsidRPr="00B916EC">
        <w:t>serving cells</w:t>
      </w:r>
      <w:r w:rsidR="002A01CD">
        <w:t>'</w:t>
      </w:r>
      <w:r w:rsidR="00621303" w:rsidRPr="00B916EC">
        <w:t xml:space="preserve"> in this clause refer to </w:t>
      </w:r>
      <w:r w:rsidR="00621303" w:rsidRPr="00B916EC">
        <w:rPr>
          <w:lang w:val="en-US"/>
        </w:rPr>
        <w:t xml:space="preserve">secondary cell, secondary cells (not including </w:t>
      </w:r>
      <w:r w:rsidR="00621303" w:rsidRPr="00B916EC">
        <w:rPr>
          <w:rFonts w:hint="eastAsia"/>
          <w:lang w:val="en-US" w:eastAsia="zh-CN"/>
        </w:rPr>
        <w:t>the PUCCH</w:t>
      </w:r>
      <w:r w:rsidR="00621303" w:rsidRPr="00B916EC">
        <w:rPr>
          <w:lang w:val="en-US" w:eastAsia="zh-CN"/>
        </w:rPr>
        <w:t>-</w:t>
      </w:r>
      <w:r w:rsidR="00621303" w:rsidRPr="00B916EC">
        <w:rPr>
          <w:rFonts w:hint="eastAsia"/>
          <w:lang w:val="en-US" w:eastAsia="zh-CN"/>
        </w:rPr>
        <w:t>SCell</w:t>
      </w:r>
      <w:r w:rsidR="00621303" w:rsidRPr="00B916EC">
        <w:rPr>
          <w:lang w:val="en-US"/>
        </w:rPr>
        <w:t xml:space="preserve">), </w:t>
      </w:r>
      <w:r w:rsidR="00621303" w:rsidRPr="00B916EC">
        <w:t>serving cell</w:t>
      </w:r>
      <w:r w:rsidR="00621303" w:rsidRPr="00B916EC">
        <w:rPr>
          <w:lang w:val="en-US"/>
        </w:rPr>
        <w:t xml:space="preserve">, </w:t>
      </w:r>
      <w:r w:rsidR="00621303" w:rsidRPr="00B916EC">
        <w:t xml:space="preserve">serving cells belonging to the </w:t>
      </w:r>
      <w:r w:rsidR="00621303" w:rsidRPr="00B916EC">
        <w:rPr>
          <w:rFonts w:hint="eastAsia"/>
          <w:lang w:eastAsia="zh-CN"/>
        </w:rPr>
        <w:t>secondary PUCCH group</w:t>
      </w:r>
      <w:r w:rsidR="00621303" w:rsidRPr="00B916EC">
        <w:rPr>
          <w:lang w:val="en-US"/>
        </w:rPr>
        <w:t xml:space="preserve"> respectively</w:t>
      </w:r>
      <w:r w:rsidR="00621303" w:rsidRPr="00B916EC">
        <w:t xml:space="preserve">. The term </w:t>
      </w:r>
      <w:r w:rsidR="002A01CD">
        <w:t>'</w:t>
      </w:r>
      <w:r w:rsidR="00621303" w:rsidRPr="00B916EC">
        <w:t>primary cell</w:t>
      </w:r>
      <w:r w:rsidR="002A01CD">
        <w:t>'</w:t>
      </w:r>
      <w:r w:rsidR="00621303" w:rsidRPr="00B916EC">
        <w:t xml:space="preserve"> in this clause refers to the </w:t>
      </w:r>
      <w:r w:rsidR="00621303" w:rsidRPr="00B916EC">
        <w:rPr>
          <w:rFonts w:hint="eastAsia"/>
          <w:lang w:eastAsia="zh-CN"/>
        </w:rPr>
        <w:t>PUCCH</w:t>
      </w:r>
      <w:r w:rsidR="00621303" w:rsidRPr="00B916EC">
        <w:rPr>
          <w:lang w:eastAsia="zh-CN"/>
        </w:rPr>
        <w:t>-</w:t>
      </w:r>
      <w:r w:rsidR="00621303" w:rsidRPr="00B916EC">
        <w:rPr>
          <w:rFonts w:hint="eastAsia"/>
          <w:lang w:eastAsia="zh-CN"/>
        </w:rPr>
        <w:t>SCell</w:t>
      </w:r>
      <w:r w:rsidR="00621303" w:rsidRPr="00B916EC">
        <w:t xml:space="preserve"> of the </w:t>
      </w:r>
      <w:r w:rsidR="00621303" w:rsidRPr="00B916EC">
        <w:rPr>
          <w:rFonts w:hint="eastAsia"/>
          <w:lang w:eastAsia="zh-CN"/>
        </w:rPr>
        <w:t>secondary PUCCH group</w:t>
      </w:r>
      <w:r w:rsidR="00621303" w:rsidRPr="00B916EC">
        <w:t>.</w:t>
      </w:r>
      <w:r w:rsidR="00F75A4A">
        <w:rPr>
          <w:lang w:val="en-US"/>
        </w:rPr>
        <w:t xml:space="preserve"> </w:t>
      </w:r>
      <w:r w:rsidR="00F75A4A" w:rsidRPr="00DE1FCE">
        <w:rPr>
          <w:lang w:eastAsia="zh-CN"/>
        </w:rPr>
        <w:t xml:space="preserve">If </w:t>
      </w:r>
      <w:r w:rsidR="00F75A4A" w:rsidRPr="00DE1FCE">
        <w:rPr>
          <w:i/>
        </w:rPr>
        <w:t>pdsch-HARQ-ACK-Codebook-secondaryPUCCHgroup-r16</w:t>
      </w:r>
      <w:r w:rsidR="00F75A4A" w:rsidRPr="00DE1FCE">
        <w:rPr>
          <w:lang w:eastAsia="zh-CN"/>
        </w:rPr>
        <w:t xml:space="preserve"> is provided, </w:t>
      </w:r>
      <w:r w:rsidR="00F75A4A" w:rsidRPr="00DE1FCE">
        <w:rPr>
          <w:i/>
          <w:lang w:val="en-US" w:eastAsia="zh-CN"/>
        </w:rPr>
        <w:t>pdsch-</w:t>
      </w:r>
      <w:r w:rsidR="00F75A4A" w:rsidRPr="00DE1FCE">
        <w:rPr>
          <w:rFonts w:cs="Arial"/>
          <w:i/>
          <w:lang w:eastAsia="zh-CN"/>
        </w:rPr>
        <w:t>HARQ-ACK-Codebook</w:t>
      </w:r>
      <w:r w:rsidR="00F75A4A" w:rsidRPr="00DE1FCE">
        <w:rPr>
          <w:rFonts w:cs="Arial"/>
          <w:lang w:eastAsia="zh-CN"/>
        </w:rPr>
        <w:t xml:space="preserve"> is replaced by </w:t>
      </w:r>
      <w:r w:rsidR="00F75A4A" w:rsidRPr="00DE1FCE">
        <w:rPr>
          <w:i/>
        </w:rPr>
        <w:t>pdsch-HARQ-ACK-Codebook-secondaryPUCCHgroup-r16</w:t>
      </w:r>
      <w:r w:rsidR="00F75A4A" w:rsidRPr="00DE1FCE">
        <w:rPr>
          <w:lang w:eastAsia="zh-CN"/>
        </w:rPr>
        <w:t xml:space="preserve">. </w:t>
      </w:r>
      <w:r w:rsidR="00747007" w:rsidRPr="00DE1FCE">
        <w:rPr>
          <w:lang w:eastAsia="zh-CN"/>
        </w:rPr>
        <w:t xml:space="preserve">If </w:t>
      </w:r>
      <w:r w:rsidR="00747007" w:rsidRPr="00DE1FCE">
        <w:rPr>
          <w:i/>
        </w:rPr>
        <w:t>harq-ACK-SpatialBundlingPUCCH</w:t>
      </w:r>
      <w:r w:rsidR="00747007" w:rsidRPr="00DE1FCE">
        <w:rPr>
          <w:i/>
          <w:szCs w:val="22"/>
          <w:lang w:eastAsia="sv-SE"/>
        </w:rPr>
        <w:t>-secondaryPUCCHgroup</w:t>
      </w:r>
      <w:r w:rsidR="00747007" w:rsidRPr="00DE1FCE">
        <w:rPr>
          <w:lang w:eastAsia="zh-CN"/>
        </w:rPr>
        <w:t xml:space="preserve"> is provided, </w:t>
      </w:r>
      <w:r w:rsidR="00747007" w:rsidRPr="00DE1FCE">
        <w:rPr>
          <w:i/>
        </w:rPr>
        <w:t>harq-ACK-SpatialBundlingPUCCH</w:t>
      </w:r>
      <w:r w:rsidR="00747007" w:rsidRPr="00DE1FCE">
        <w:rPr>
          <w:rFonts w:cs="Arial"/>
          <w:lang w:eastAsia="zh-CN"/>
        </w:rPr>
        <w:t xml:space="preserve"> is replaced by </w:t>
      </w:r>
      <w:r w:rsidR="00747007" w:rsidRPr="00DE1FCE">
        <w:rPr>
          <w:i/>
        </w:rPr>
        <w:t>harq-ACK-SpatialBundlingPUCCH</w:t>
      </w:r>
      <w:r w:rsidR="00747007" w:rsidRPr="00DE1FCE">
        <w:rPr>
          <w:i/>
          <w:szCs w:val="22"/>
          <w:lang w:eastAsia="sv-SE"/>
        </w:rPr>
        <w:t>-secondaryPUCCHgroup</w:t>
      </w:r>
      <w:r w:rsidR="00747007" w:rsidRPr="00DE1FCE">
        <w:rPr>
          <w:lang w:eastAsia="zh-CN"/>
        </w:rPr>
        <w:t xml:space="preserve">. If </w:t>
      </w:r>
      <w:r w:rsidR="00747007" w:rsidRPr="00DE1FCE">
        <w:rPr>
          <w:i/>
        </w:rPr>
        <w:t>harq-ACK-SpatialBundlingPU</w:t>
      </w:r>
      <w:r w:rsidR="00747007" w:rsidRPr="00DE1FCE">
        <w:rPr>
          <w:i/>
          <w:lang w:eastAsia="zh-CN"/>
        </w:rPr>
        <w:t>S</w:t>
      </w:r>
      <w:r w:rsidR="00747007" w:rsidRPr="00DE1FCE">
        <w:rPr>
          <w:i/>
        </w:rPr>
        <w:t>CH</w:t>
      </w:r>
      <w:r w:rsidR="00747007" w:rsidRPr="00DE1FCE">
        <w:rPr>
          <w:i/>
          <w:szCs w:val="22"/>
          <w:lang w:eastAsia="sv-SE"/>
        </w:rPr>
        <w:t>-secondaryPUCCHgroup</w:t>
      </w:r>
      <w:r w:rsidR="00747007" w:rsidRPr="00DE1FCE">
        <w:rPr>
          <w:lang w:eastAsia="zh-CN"/>
        </w:rPr>
        <w:t xml:space="preserve"> is provided, </w:t>
      </w:r>
      <w:r w:rsidR="00747007" w:rsidRPr="00DE1FCE">
        <w:rPr>
          <w:i/>
        </w:rPr>
        <w:t>harq-ACK-SpatialBundlingPU</w:t>
      </w:r>
      <w:r w:rsidR="00747007" w:rsidRPr="00DE1FCE">
        <w:rPr>
          <w:i/>
          <w:lang w:eastAsia="zh-CN"/>
        </w:rPr>
        <w:t>S</w:t>
      </w:r>
      <w:r w:rsidR="00747007" w:rsidRPr="00DE1FCE">
        <w:rPr>
          <w:i/>
        </w:rPr>
        <w:t>CH</w:t>
      </w:r>
      <w:r w:rsidR="00747007" w:rsidRPr="00DE1FCE">
        <w:rPr>
          <w:rFonts w:cs="Arial"/>
          <w:lang w:eastAsia="zh-CN"/>
        </w:rPr>
        <w:t xml:space="preserve"> is replaced by </w:t>
      </w:r>
      <w:r w:rsidR="00747007" w:rsidRPr="00DE1FCE">
        <w:rPr>
          <w:i/>
        </w:rPr>
        <w:t>harq-ACK-SpatialBundlingPU</w:t>
      </w:r>
      <w:r w:rsidR="00747007" w:rsidRPr="00DE1FCE">
        <w:rPr>
          <w:i/>
          <w:lang w:eastAsia="zh-CN"/>
        </w:rPr>
        <w:t>S</w:t>
      </w:r>
      <w:r w:rsidR="00747007" w:rsidRPr="00DE1FCE">
        <w:rPr>
          <w:i/>
        </w:rPr>
        <w:t>CH</w:t>
      </w:r>
      <w:r w:rsidR="00747007" w:rsidRPr="00DE1FCE">
        <w:rPr>
          <w:i/>
          <w:szCs w:val="22"/>
          <w:lang w:eastAsia="sv-SE"/>
        </w:rPr>
        <w:t>-secondaryPUCCHgroup</w:t>
      </w:r>
      <w:r w:rsidR="00747007" w:rsidRPr="00DE1FCE">
        <w:rPr>
          <w:lang w:eastAsia="zh-CN"/>
        </w:rPr>
        <w:t>.</w:t>
      </w:r>
      <w:r w:rsidR="00747007">
        <w:rPr>
          <w:lang w:val="en-GB" w:eastAsia="zh-CN"/>
        </w:rPr>
        <w:t xml:space="preserve"> </w:t>
      </w:r>
      <w:r w:rsidR="00747007" w:rsidRPr="00647C89">
        <w:rPr>
          <w:lang w:val="en-US" w:eastAsia="zh-CN"/>
        </w:rPr>
        <w:t xml:space="preserve">If </w:t>
      </w:r>
      <w:r w:rsidR="00747007">
        <w:rPr>
          <w:i/>
          <w:iCs/>
          <w:lang w:val="en-US"/>
        </w:rPr>
        <w:t>uci</w:t>
      </w:r>
      <w:r w:rsidR="00747007" w:rsidRPr="00647C89">
        <w:rPr>
          <w:i/>
          <w:iCs/>
        </w:rPr>
        <w:t>-MuxWithDiffPrio</w:t>
      </w:r>
      <w:r w:rsidR="00747007">
        <w:rPr>
          <w:i/>
          <w:lang w:val="en-US"/>
        </w:rPr>
        <w:t>S</w:t>
      </w:r>
      <w:r w:rsidR="00747007" w:rsidRPr="00647C89">
        <w:rPr>
          <w:i/>
          <w:lang w:val="en-US"/>
        </w:rPr>
        <w:t>econdaryPUCCHgroup</w:t>
      </w:r>
      <w:r w:rsidR="00747007" w:rsidRPr="00647C89">
        <w:rPr>
          <w:iCs/>
          <w:lang w:val="en-US"/>
        </w:rPr>
        <w:t xml:space="preserve"> </w:t>
      </w:r>
      <w:r w:rsidR="00747007" w:rsidRPr="00647C89">
        <w:rPr>
          <w:lang w:eastAsia="zh-CN"/>
        </w:rPr>
        <w:t xml:space="preserve">is provided, </w:t>
      </w:r>
      <w:r w:rsidR="00747007">
        <w:rPr>
          <w:i/>
          <w:iCs/>
          <w:lang w:val="en-US"/>
        </w:rPr>
        <w:t>uci</w:t>
      </w:r>
      <w:r w:rsidR="00747007" w:rsidRPr="00647C89">
        <w:rPr>
          <w:i/>
          <w:iCs/>
        </w:rPr>
        <w:t>-MuxWithDiffPrio</w:t>
      </w:r>
      <w:r w:rsidR="00747007" w:rsidRPr="00647C89">
        <w:rPr>
          <w:rFonts w:cs="Arial"/>
          <w:lang w:eastAsia="zh-CN"/>
        </w:rPr>
        <w:t xml:space="preserve"> is replaced by</w:t>
      </w:r>
      <w:r w:rsidR="00747007" w:rsidRPr="00647C89">
        <w:rPr>
          <w:rFonts w:cs="Arial"/>
          <w:lang w:val="en-US" w:eastAsia="zh-CN"/>
        </w:rPr>
        <w:t xml:space="preserve"> </w:t>
      </w:r>
      <w:r w:rsidR="00747007">
        <w:rPr>
          <w:i/>
          <w:iCs/>
          <w:lang w:val="en-US"/>
        </w:rPr>
        <w:t>uci</w:t>
      </w:r>
      <w:r w:rsidR="00747007" w:rsidRPr="00647C89">
        <w:rPr>
          <w:i/>
          <w:iCs/>
        </w:rPr>
        <w:t>-MuxWithDiffPrio</w:t>
      </w:r>
      <w:r w:rsidR="00747007">
        <w:rPr>
          <w:i/>
          <w:lang w:val="en-US"/>
        </w:rPr>
        <w:t>S</w:t>
      </w:r>
      <w:r w:rsidR="00747007" w:rsidRPr="00647C89">
        <w:rPr>
          <w:i/>
          <w:lang w:val="en-US"/>
        </w:rPr>
        <w:t>econdaryPUCCHgroup</w:t>
      </w:r>
      <w:r w:rsidR="00747007" w:rsidRPr="00647C89">
        <w:rPr>
          <w:lang w:val="en-US" w:eastAsia="zh-CN"/>
        </w:rPr>
        <w:t xml:space="preserve">. If </w:t>
      </w:r>
      <w:r w:rsidR="00747007" w:rsidRPr="00647C89">
        <w:rPr>
          <w:i/>
          <w:lang w:val="en-US"/>
        </w:rPr>
        <w:t>simultaneousPUCCH-PUSCH-secondaryPUCCHgroup</w:t>
      </w:r>
      <w:r w:rsidR="00747007" w:rsidRPr="00647C89">
        <w:rPr>
          <w:iCs/>
          <w:lang w:val="en-US"/>
        </w:rPr>
        <w:t xml:space="preserve"> </w:t>
      </w:r>
      <w:r w:rsidR="00747007" w:rsidRPr="00647C89">
        <w:rPr>
          <w:lang w:eastAsia="zh-CN"/>
        </w:rPr>
        <w:t xml:space="preserve">is provided, </w:t>
      </w:r>
      <w:r w:rsidR="00747007" w:rsidRPr="00647C89">
        <w:rPr>
          <w:i/>
          <w:lang w:val="en-US"/>
        </w:rPr>
        <w:t>simultaneousPUCCH-PUSCH</w:t>
      </w:r>
      <w:r w:rsidR="00747007" w:rsidRPr="00647C89">
        <w:rPr>
          <w:lang w:val="en-US"/>
        </w:rPr>
        <w:t xml:space="preserve"> </w:t>
      </w:r>
      <w:r w:rsidR="00747007" w:rsidRPr="00647C89">
        <w:rPr>
          <w:rFonts w:cs="Arial"/>
          <w:lang w:eastAsia="zh-CN"/>
        </w:rPr>
        <w:t>is replaced by</w:t>
      </w:r>
      <w:r w:rsidR="00747007" w:rsidRPr="00647C89">
        <w:rPr>
          <w:rFonts w:cs="Arial"/>
          <w:lang w:val="en-US" w:eastAsia="zh-CN"/>
        </w:rPr>
        <w:t xml:space="preserve"> </w:t>
      </w:r>
      <w:r w:rsidR="00747007" w:rsidRPr="00647C89">
        <w:rPr>
          <w:i/>
          <w:lang w:val="en-US"/>
        </w:rPr>
        <w:t>simultaneousPUCCH-PUSCH-</w:t>
      </w:r>
      <w:r w:rsidR="00747007">
        <w:rPr>
          <w:i/>
          <w:lang w:val="en-US"/>
        </w:rPr>
        <w:t>S</w:t>
      </w:r>
      <w:r w:rsidR="00747007" w:rsidRPr="00647C89">
        <w:rPr>
          <w:i/>
          <w:lang w:val="en-US"/>
        </w:rPr>
        <w:t>econdaryPUCCHgroup</w:t>
      </w:r>
      <w:r w:rsidR="00747007" w:rsidRPr="00647C89">
        <w:rPr>
          <w:lang w:val="en-US" w:eastAsia="zh-CN"/>
        </w:rPr>
        <w:t>.</w:t>
      </w:r>
      <w:r w:rsidR="00747007" w:rsidRPr="008D7CA0">
        <w:rPr>
          <w:i/>
          <w:iCs/>
        </w:rPr>
        <w:t xml:space="preserve"> </w:t>
      </w:r>
      <w:r w:rsidR="00D631FA" w:rsidRPr="008C7AF5">
        <w:rPr>
          <w:lang w:eastAsia="zh-CN"/>
        </w:rPr>
        <w:t xml:space="preserve">If </w:t>
      </w:r>
      <w:r w:rsidR="00D631FA" w:rsidRPr="008C7AF5">
        <w:rPr>
          <w:i/>
        </w:rPr>
        <w:t>simultaneousPUCCH-PUSCH-SamePriority-secondaryPUCCHgroup</w:t>
      </w:r>
      <w:r w:rsidR="00D631FA" w:rsidRPr="008C7AF5">
        <w:rPr>
          <w:iCs/>
        </w:rPr>
        <w:t xml:space="preserve"> </w:t>
      </w:r>
      <w:r w:rsidR="00D631FA" w:rsidRPr="008C7AF5">
        <w:rPr>
          <w:lang w:eastAsia="zh-CN"/>
        </w:rPr>
        <w:t xml:space="preserve">is provided, </w:t>
      </w:r>
      <w:r w:rsidR="00D631FA" w:rsidRPr="008C7AF5">
        <w:rPr>
          <w:i/>
        </w:rPr>
        <w:t>simultaneousPUCCH-PUSCH-SamePriority</w:t>
      </w:r>
      <w:r w:rsidR="00D631FA" w:rsidRPr="008C7AF5">
        <w:t xml:space="preserve"> </w:t>
      </w:r>
      <w:r w:rsidR="00D631FA" w:rsidRPr="008C7AF5">
        <w:rPr>
          <w:rFonts w:cs="Arial"/>
          <w:lang w:eastAsia="zh-CN"/>
        </w:rPr>
        <w:t xml:space="preserve">is replaced by </w:t>
      </w:r>
      <w:r w:rsidR="00D631FA" w:rsidRPr="008C7AF5">
        <w:rPr>
          <w:i/>
        </w:rPr>
        <w:t>simultaneousPUCCH-PUSCH- SamePriority-SecondaryPUCCHgroup</w:t>
      </w:r>
      <w:r w:rsidR="00D631FA" w:rsidRPr="008C7AF5">
        <w:rPr>
          <w:lang w:eastAsia="zh-CN"/>
        </w:rPr>
        <w:t>.</w:t>
      </w:r>
      <w:r w:rsidR="00D631FA" w:rsidRPr="008C7AF5">
        <w:rPr>
          <w:u w:val="single"/>
          <w:lang w:eastAsia="zh-CN"/>
        </w:rPr>
        <w:t xml:space="preserve"> </w:t>
      </w:r>
      <w:r w:rsidR="00747007" w:rsidRPr="008D7CA0">
        <w:rPr>
          <w:lang w:val="en-US" w:eastAsia="zh-CN"/>
        </w:rPr>
        <w:t xml:space="preserve">If </w:t>
      </w:r>
      <w:r w:rsidR="00747007" w:rsidRPr="008D7CA0">
        <w:rPr>
          <w:i/>
          <w:lang w:val="en-US" w:eastAsia="zh-CN"/>
        </w:rPr>
        <w:t>pucch-sSCellSecondaryPUCCHgroup</w:t>
      </w:r>
      <w:r w:rsidR="00747007" w:rsidRPr="008D7CA0">
        <w:rPr>
          <w:lang w:val="en-US" w:eastAsia="zh-CN"/>
        </w:rPr>
        <w:t xml:space="preserve"> is provided, </w:t>
      </w:r>
      <w:r w:rsidR="00747007" w:rsidRPr="008D7CA0">
        <w:rPr>
          <w:i/>
          <w:lang w:val="en-US" w:eastAsia="zh-CN"/>
        </w:rPr>
        <w:t>pucch-sSCell</w:t>
      </w:r>
      <w:r w:rsidR="00747007" w:rsidRPr="008D7CA0">
        <w:rPr>
          <w:lang w:val="en-US" w:eastAsia="zh-CN"/>
        </w:rPr>
        <w:t xml:space="preserve"> is replaced by </w:t>
      </w:r>
      <w:r w:rsidR="00747007" w:rsidRPr="008D7CA0">
        <w:rPr>
          <w:i/>
          <w:lang w:val="en-US" w:eastAsia="zh-CN"/>
        </w:rPr>
        <w:t>pucch-sSCellSecondaryPUCCHgroup</w:t>
      </w:r>
      <w:r w:rsidR="00747007" w:rsidRPr="008D7CA0">
        <w:rPr>
          <w:lang w:val="en-US" w:eastAsia="zh-CN"/>
        </w:rPr>
        <w:t xml:space="preserve">. If </w:t>
      </w:r>
      <w:r w:rsidR="00747007" w:rsidRPr="008D7CA0">
        <w:rPr>
          <w:i/>
          <w:lang w:val="en-US" w:eastAsia="zh-CN"/>
        </w:rPr>
        <w:t>pucch-sSCellPatternSecondaryPUCCHgroup</w:t>
      </w:r>
      <w:r w:rsidR="00747007" w:rsidRPr="008D7CA0">
        <w:rPr>
          <w:lang w:val="en-US" w:eastAsia="zh-CN"/>
        </w:rPr>
        <w:t xml:space="preserve"> is provided, </w:t>
      </w:r>
      <w:r w:rsidR="00747007" w:rsidRPr="008D7CA0">
        <w:rPr>
          <w:i/>
          <w:lang w:val="en-US" w:eastAsia="zh-CN"/>
        </w:rPr>
        <w:t>pucch-sSCellPattern</w:t>
      </w:r>
      <w:r w:rsidR="00747007" w:rsidRPr="008D7CA0">
        <w:rPr>
          <w:lang w:val="en-US" w:eastAsia="zh-CN"/>
        </w:rPr>
        <w:t xml:space="preserve"> is replaced by </w:t>
      </w:r>
      <w:r w:rsidR="00747007" w:rsidRPr="008D7CA0">
        <w:rPr>
          <w:i/>
          <w:lang w:val="en-US" w:eastAsia="zh-CN"/>
        </w:rPr>
        <w:t>pucch-sSCellPatternSecondaryPUCCHgroup</w:t>
      </w:r>
      <w:r w:rsidR="00747007" w:rsidRPr="008D7CA0">
        <w:rPr>
          <w:lang w:val="en-US" w:eastAsia="zh-CN"/>
        </w:rPr>
        <w:t xml:space="preserve">. If </w:t>
      </w:r>
      <w:r w:rsidR="00747007" w:rsidRPr="008D7CA0">
        <w:rPr>
          <w:i/>
          <w:lang w:val="en-US" w:eastAsia="zh-CN"/>
        </w:rPr>
        <w:t>pucch-sSCellDynSecondaryPUCCHgroup</w:t>
      </w:r>
      <w:r w:rsidR="00747007" w:rsidRPr="008D7CA0">
        <w:rPr>
          <w:lang w:val="en-US" w:eastAsia="zh-CN"/>
        </w:rPr>
        <w:t xml:space="preserve"> is provided, </w:t>
      </w:r>
      <w:r w:rsidR="00747007" w:rsidRPr="008D7CA0">
        <w:rPr>
          <w:i/>
          <w:lang w:val="en-US" w:eastAsia="zh-CN"/>
        </w:rPr>
        <w:t>pucch-sSCellDyn</w:t>
      </w:r>
      <w:r w:rsidR="00747007" w:rsidRPr="008D7CA0">
        <w:rPr>
          <w:lang w:val="en-US" w:eastAsia="zh-CN"/>
        </w:rPr>
        <w:t xml:space="preserve"> is replaced by </w:t>
      </w:r>
      <w:r w:rsidR="00747007" w:rsidRPr="008D7CA0">
        <w:rPr>
          <w:i/>
          <w:lang w:val="en-US" w:eastAsia="zh-CN"/>
        </w:rPr>
        <w:t>pucch-sSCellDynSecondaryPUCCHgroup</w:t>
      </w:r>
      <w:r w:rsidR="00747007" w:rsidRPr="008D7CA0">
        <w:rPr>
          <w:lang w:val="en-US" w:eastAsia="zh-CN"/>
        </w:rPr>
        <w:t xml:space="preserve">. If </w:t>
      </w:r>
      <w:r w:rsidR="00747007" w:rsidRPr="008D7CA0">
        <w:rPr>
          <w:i/>
          <w:lang w:val="en-US" w:eastAsia="zh-CN"/>
        </w:rPr>
        <w:t>pdsch-HARQ-ACK-EnhType3SecondaryToAddModList</w:t>
      </w:r>
      <w:r w:rsidR="00747007" w:rsidRPr="008D7CA0">
        <w:rPr>
          <w:lang w:val="en-US" w:eastAsia="zh-CN"/>
        </w:rPr>
        <w:t xml:space="preserve"> is provided, </w:t>
      </w:r>
      <w:r w:rsidR="00747007" w:rsidRPr="008D7CA0">
        <w:rPr>
          <w:i/>
          <w:lang w:val="en-US" w:eastAsia="zh-CN"/>
        </w:rPr>
        <w:t>pdsch-HARQ-ACK-EnhType3ToAddModList</w:t>
      </w:r>
      <w:r w:rsidR="00747007" w:rsidRPr="008D7CA0">
        <w:rPr>
          <w:lang w:val="en-US" w:eastAsia="zh-CN"/>
        </w:rPr>
        <w:t xml:space="preserve"> is replaced by </w:t>
      </w:r>
      <w:r w:rsidR="00747007" w:rsidRPr="008D7CA0">
        <w:rPr>
          <w:i/>
          <w:lang w:val="en-US" w:eastAsia="zh-CN"/>
        </w:rPr>
        <w:t>pdsch-HARQ-ACK-EnhType3SecondaryToAddModList</w:t>
      </w:r>
      <w:r w:rsidR="00747007" w:rsidRPr="008D7CA0">
        <w:rPr>
          <w:lang w:val="en-US" w:eastAsia="zh-CN"/>
        </w:rPr>
        <w:t xml:space="preserve">. If </w:t>
      </w:r>
      <w:r w:rsidR="00747007" w:rsidRPr="008D7CA0">
        <w:rPr>
          <w:i/>
          <w:lang w:val="en-US" w:eastAsia="zh-CN"/>
        </w:rPr>
        <w:t>pdsch-HARQ-ACK-RetxSecondaryPUCCHgroup</w:t>
      </w:r>
      <w:r w:rsidR="00747007" w:rsidRPr="008D7CA0">
        <w:rPr>
          <w:lang w:val="en-US" w:eastAsia="zh-CN"/>
        </w:rPr>
        <w:t xml:space="preserve"> is provided, </w:t>
      </w:r>
      <w:r w:rsidR="00747007" w:rsidRPr="008D7CA0">
        <w:rPr>
          <w:i/>
          <w:lang w:val="en-US" w:eastAsia="zh-CN"/>
        </w:rPr>
        <w:t>pdsch-HARQ-ACK-Retx</w:t>
      </w:r>
      <w:r w:rsidR="00747007" w:rsidRPr="008D7CA0">
        <w:rPr>
          <w:lang w:val="en-US" w:eastAsia="zh-CN"/>
        </w:rPr>
        <w:t xml:space="preserve"> is replaced by </w:t>
      </w:r>
      <w:r w:rsidR="00747007" w:rsidRPr="008D7CA0">
        <w:rPr>
          <w:i/>
          <w:lang w:val="en-US" w:eastAsia="zh-CN"/>
        </w:rPr>
        <w:t>pdsch-HARQ-ACK-RetxSecondaryPUCCHgroup</w:t>
      </w:r>
      <w:r w:rsidR="00747007" w:rsidRPr="008D7CA0">
        <w:rPr>
          <w:lang w:val="en-US" w:eastAsia="zh-CN"/>
        </w:rPr>
        <w:t>.</w:t>
      </w:r>
    </w:p>
    <w:p w14:paraId="4E9B37F1" w14:textId="310861E7" w:rsidR="003468A9" w:rsidRPr="003468A9" w:rsidRDefault="003468A9" w:rsidP="003468A9">
      <w:pPr>
        <w:rPr>
          <w:rFonts w:eastAsia="Times New Roman"/>
        </w:rPr>
      </w:pPr>
      <w:r w:rsidRPr="003468A9">
        <w:rPr>
          <w:rFonts w:eastAsia="Times New Roman"/>
        </w:rPr>
        <w:t xml:space="preserve">If a UE is provided </w:t>
      </w:r>
      <w:bookmarkStart w:id="408" w:name="_Hlk136453282"/>
      <w:r w:rsidRPr="003468A9">
        <w:rPr>
          <w:rFonts w:eastAsia="Times New Roman"/>
          <w:i/>
          <w:iCs/>
        </w:rPr>
        <w:t>MC-DCI-SetofCells</w:t>
      </w:r>
      <w:bookmarkEnd w:id="408"/>
      <w:r w:rsidRPr="003468A9">
        <w:rPr>
          <w:rFonts w:eastAsia="Times New Roman"/>
        </w:rPr>
        <w:t xml:space="preserve"> for scheduling by a DCI format PDSCH receptions or PUSCH transmissions on serving cells from a set of more than one serving cells, the UE expects the more than one serving cells to be in a same PUCCH group. The UE provides HARQ-ACK information in a same HARQ-ACK codebook for sets of</w:t>
      </w:r>
      <w:r w:rsidR="00AA7C57">
        <w:rPr>
          <w:rFonts w:eastAsia="Times New Roman"/>
        </w:rPr>
        <w:t xml:space="preserve"> </w:t>
      </w:r>
      <w:r w:rsidR="00AA7C57">
        <w:t>serving</w:t>
      </w:r>
      <w:r w:rsidRPr="003468A9">
        <w:rPr>
          <w:rFonts w:eastAsia="Times New Roman"/>
        </w:rPr>
        <w:t xml:space="preserve"> cells that are associated with a same PUCCH group.</w:t>
      </w:r>
      <w:r w:rsidR="00AA7C57">
        <w:rPr>
          <w:rFonts w:eastAsia="Times New Roman"/>
        </w:rPr>
        <w:t xml:space="preserve"> </w:t>
      </w:r>
      <w:r w:rsidR="00AA7C57">
        <w:t>The UE does not expect to be configured to receive multicast PDSCH on serving cells of the same PUCCH group as serving cells from the sets of serving cells.</w:t>
      </w:r>
    </w:p>
    <w:p w14:paraId="040A29C1" w14:textId="6868CF86" w:rsidR="009B5A01" w:rsidRPr="00111FF6" w:rsidRDefault="009B5A01" w:rsidP="009B5A01">
      <w:r w:rsidRPr="00111FF6">
        <w:lastRenderedPageBreak/>
        <w:t xml:space="preserve">For unpaired spectrum operation, if a UE is provided a </w:t>
      </w:r>
      <w:r w:rsidRPr="00111FF6">
        <w:rPr>
          <w:rFonts w:hint="eastAsia"/>
          <w:lang w:eastAsia="zh-CN"/>
        </w:rPr>
        <w:t>PUCCH</w:t>
      </w:r>
      <w:r w:rsidRPr="00111FF6">
        <w:rPr>
          <w:lang w:eastAsia="zh-CN"/>
        </w:rPr>
        <w:t xml:space="preserve">-sSCell </w:t>
      </w:r>
      <w:r w:rsidRPr="00111FF6">
        <w:t xml:space="preserve">as described in clause 9.A, the UE shall apply the procedures described in this clause for both the </w:t>
      </w:r>
      <w:r w:rsidRPr="00111FF6">
        <w:rPr>
          <w:rFonts w:hint="eastAsia"/>
          <w:lang w:eastAsia="zh-CN"/>
        </w:rPr>
        <w:t xml:space="preserve">primary </w:t>
      </w:r>
      <w:r w:rsidRPr="00111FF6">
        <w:rPr>
          <w:lang w:eastAsia="zh-CN"/>
        </w:rPr>
        <w:t>cell</w:t>
      </w:r>
      <w:r w:rsidRPr="00111FF6">
        <w:t xml:space="preserve"> and </w:t>
      </w:r>
      <w:r w:rsidRPr="00111FF6">
        <w:rPr>
          <w:lang w:eastAsia="zh-CN"/>
        </w:rPr>
        <w:t>the PUCCH-sSCell</w:t>
      </w:r>
      <w:r w:rsidRPr="00111FF6">
        <w:t>.</w:t>
      </w:r>
    </w:p>
    <w:p w14:paraId="15DB0A51" w14:textId="5306CC9E" w:rsidR="006545FE" w:rsidRPr="008A3278" w:rsidRDefault="006545FE" w:rsidP="006545FE">
      <w:pPr>
        <w:spacing w:after="120"/>
        <w:rPr>
          <w:rFonts w:eastAsiaTheme="minorEastAsia"/>
          <w:lang w:eastAsia="zh-CN"/>
        </w:rPr>
      </w:pPr>
      <w:r>
        <w:rPr>
          <w:rFonts w:eastAsiaTheme="minorEastAsia" w:hint="eastAsia"/>
          <w:lang w:eastAsia="zh-CN"/>
        </w:rPr>
        <w:t>If a UE is provided</w:t>
      </w:r>
      <w:r w:rsidRPr="00164333">
        <w:rPr>
          <w:rFonts w:eastAsiaTheme="minorEastAsia" w:hint="eastAsia"/>
          <w:lang w:eastAsia="zh-CN"/>
        </w:rPr>
        <w:t xml:space="preserve"> </w:t>
      </w:r>
      <w:r w:rsidRPr="00164333">
        <w:rPr>
          <w:i/>
          <w:iCs/>
        </w:rPr>
        <w:t>pdsch-HARQ-ACK-CodebookList</w:t>
      </w:r>
      <w:r w:rsidRPr="00164333">
        <w:rPr>
          <w:rFonts w:eastAsiaTheme="minorEastAsia" w:hint="eastAsia"/>
          <w:i/>
          <w:iCs/>
          <w:lang w:eastAsia="zh-CN"/>
        </w:rPr>
        <w:t>-r16</w:t>
      </w:r>
      <w:r w:rsidRPr="00164333">
        <w:rPr>
          <w:rFonts w:eastAsiaTheme="minorEastAsia" w:hint="eastAsia"/>
          <w:iCs/>
          <w:lang w:eastAsia="zh-CN"/>
        </w:rPr>
        <w:t xml:space="preserve">, </w:t>
      </w:r>
      <w:r w:rsidRPr="00164333">
        <w:rPr>
          <w:i/>
          <w:iCs/>
        </w:rPr>
        <w:t>pdsch-HARQ-ACK-Codebook</w:t>
      </w:r>
      <w:r w:rsidRPr="00164333">
        <w:rPr>
          <w:rFonts w:eastAsiaTheme="minorEastAsia" w:hint="eastAsia"/>
          <w:i/>
          <w:iCs/>
          <w:lang w:eastAsia="zh-CN"/>
        </w:rPr>
        <w:t xml:space="preserve"> </w:t>
      </w:r>
      <w:r w:rsidRPr="00164333">
        <w:rPr>
          <w:rFonts w:eastAsiaTheme="minorEastAsia" w:hint="eastAsia"/>
          <w:iCs/>
          <w:lang w:eastAsia="zh-CN"/>
        </w:rPr>
        <w:t>is replaced by</w:t>
      </w:r>
      <w:r w:rsidR="00ED54C1">
        <w:rPr>
          <w:rFonts w:eastAsiaTheme="minorEastAsia"/>
          <w:iCs/>
          <w:lang w:eastAsia="zh-CN"/>
        </w:rPr>
        <w:t xml:space="preserve"> </w:t>
      </w:r>
      <w:r w:rsidR="00ED54C1" w:rsidRPr="00665A3A">
        <w:rPr>
          <w:rFonts w:eastAsiaTheme="minorEastAsia"/>
          <w:iCs/>
          <w:lang w:eastAsia="zh-CN"/>
        </w:rPr>
        <w:t>the relevant entry in</w:t>
      </w:r>
      <w:r w:rsidRPr="00164333">
        <w:rPr>
          <w:rFonts w:eastAsiaTheme="minorEastAsia" w:hint="eastAsia"/>
          <w:iCs/>
          <w:lang w:eastAsia="zh-CN"/>
        </w:rPr>
        <w:t xml:space="preserve"> </w:t>
      </w:r>
      <w:r w:rsidRPr="00164333">
        <w:rPr>
          <w:i/>
          <w:iCs/>
        </w:rPr>
        <w:t>pdsch-HARQ-ACK-CodebookList</w:t>
      </w:r>
      <w:r w:rsidRPr="00164333">
        <w:rPr>
          <w:rFonts w:eastAsiaTheme="minorEastAsia" w:hint="eastAsia"/>
          <w:i/>
          <w:iCs/>
          <w:lang w:eastAsia="zh-CN"/>
        </w:rPr>
        <w:t>-r16</w:t>
      </w:r>
      <w:r w:rsidRPr="00164333">
        <w:rPr>
          <w:rFonts w:eastAsiaTheme="minorEastAsia" w:hint="eastAsia"/>
          <w:lang w:eastAsia="zh-CN"/>
        </w:rPr>
        <w:t>.</w:t>
      </w:r>
    </w:p>
    <w:p w14:paraId="47F55084" w14:textId="77777777" w:rsidR="00173E9F" w:rsidRPr="00F415B1" w:rsidRDefault="00173E9F" w:rsidP="00173E9F">
      <w:pPr>
        <w:rPr>
          <w:lang w:eastAsia="ko-KR"/>
        </w:rPr>
      </w:pPr>
      <w:r w:rsidRPr="00F415B1">
        <w:rPr>
          <w:lang w:eastAsia="ko-KR"/>
        </w:rPr>
        <w:t>In the remaining of this clause, when a PDCCH reception by a UE includes two PDCCH candidates from corresponding search space sets, as described in clause 10.1</w:t>
      </w:r>
    </w:p>
    <w:p w14:paraId="291EA13C" w14:textId="77777777" w:rsidR="00173E9F" w:rsidRPr="00F415B1" w:rsidRDefault="00173E9F" w:rsidP="00173E9F">
      <w:pPr>
        <w:pStyle w:val="B1"/>
        <w:rPr>
          <w:rFonts w:cstheme="minorHAnsi"/>
        </w:rPr>
      </w:pPr>
      <w:r w:rsidRPr="00F415B1">
        <w:t>-</w:t>
      </w:r>
      <w:r w:rsidRPr="00F415B1">
        <w:tab/>
      </w:r>
      <w:r w:rsidRPr="00F415B1">
        <w:rPr>
          <w:lang w:val="en-US" w:eastAsia="ko-KR"/>
        </w:rPr>
        <w:t>a</w:t>
      </w:r>
      <w:r w:rsidRPr="00F415B1">
        <w:rPr>
          <w:lang w:eastAsia="ko-KR"/>
        </w:rPr>
        <w:t xml:space="preserve"> PDCCH </w:t>
      </w:r>
      <w:r w:rsidRPr="00F415B1">
        <w:rPr>
          <w:lang w:val="en-US" w:eastAsia="ko-KR"/>
        </w:rPr>
        <w:t>monitoring occasion is the union of the PDCCH monitoring occasions for the two PDCCH candidates</w:t>
      </w:r>
    </w:p>
    <w:p w14:paraId="171C4700" w14:textId="77777777" w:rsidR="00173E9F" w:rsidRPr="00F415B1" w:rsidRDefault="00173E9F" w:rsidP="00173E9F">
      <w:pPr>
        <w:pStyle w:val="B1"/>
        <w:rPr>
          <w:rFonts w:cstheme="minorHAnsi"/>
        </w:rPr>
      </w:pPr>
      <w:r w:rsidRPr="00F415B1">
        <w:t>-</w:t>
      </w:r>
      <w:r w:rsidRPr="00F415B1">
        <w:tab/>
      </w:r>
      <w:r w:rsidRPr="00F415B1">
        <w:rPr>
          <w:lang w:eastAsia="ko-KR"/>
        </w:rPr>
        <w:t>the start of the PDCCH reception is the start of the earlier PDCCH candidate</w:t>
      </w:r>
    </w:p>
    <w:p w14:paraId="32DC9A6D" w14:textId="77777777" w:rsidR="00173E9F" w:rsidRPr="005A07B6" w:rsidRDefault="00173E9F" w:rsidP="00173E9F">
      <w:pPr>
        <w:pStyle w:val="B1"/>
        <w:rPr>
          <w:rFonts w:cstheme="minorHAnsi"/>
          <w:lang w:val="en-US"/>
        </w:rPr>
      </w:pPr>
      <w:r w:rsidRPr="00F415B1">
        <w:t>-</w:t>
      </w:r>
      <w:r w:rsidRPr="00F415B1">
        <w:tab/>
      </w:r>
      <w:r w:rsidRPr="00F415B1">
        <w:rPr>
          <w:lang w:eastAsia="ko-KR"/>
        </w:rPr>
        <w:t xml:space="preserve">the end of the PDCCH reception </w:t>
      </w:r>
      <w:r w:rsidRPr="00F415B1">
        <w:rPr>
          <w:lang w:val="en-US" w:eastAsia="ko-KR"/>
        </w:rPr>
        <w:t>is</w:t>
      </w:r>
      <w:r w:rsidRPr="00F415B1">
        <w:rPr>
          <w:lang w:eastAsia="ko-KR"/>
        </w:rPr>
        <w:t xml:space="preserve"> the end of the PDCCH candidate</w:t>
      </w:r>
      <w:r>
        <w:rPr>
          <w:lang w:val="en-US" w:eastAsia="ko-KR"/>
        </w:rPr>
        <w:t xml:space="preserve"> that ends later</w:t>
      </w:r>
    </w:p>
    <w:p w14:paraId="541D0FC1" w14:textId="4B008A00" w:rsidR="00173E9F" w:rsidRPr="00F415B1" w:rsidRDefault="00173E9F" w:rsidP="00173E9F">
      <w:pPr>
        <w:rPr>
          <w:lang w:eastAsia="ko-KR"/>
        </w:rPr>
      </w:pPr>
      <w:r w:rsidRPr="00F415B1">
        <w:rPr>
          <w:lang w:eastAsia="ko-KR"/>
        </w:rPr>
        <w:t xml:space="preserve">The PDCCH reception includes the two PDCCH candidates also when </w:t>
      </w:r>
      <w:r w:rsidRPr="00F415B1">
        <w:rPr>
          <w:iCs/>
          <w:lang w:eastAsia="zh-CN"/>
        </w:rPr>
        <w:t>the UE is not required to monitor one of the two PDCCH candidates as described in clauses 10</w:t>
      </w:r>
      <w:r w:rsidR="00FF6F03">
        <w:rPr>
          <w:iCs/>
          <w:lang w:eastAsia="zh-CN"/>
        </w:rPr>
        <w:t xml:space="preserve"> </w:t>
      </w:r>
      <w:r w:rsidR="00FF6F03" w:rsidRPr="001948BB">
        <w:rPr>
          <w:iCs/>
          <w:lang w:eastAsia="zh-CN"/>
        </w:rPr>
        <w:t>(except clause 10.4)</w:t>
      </w:r>
      <w:r w:rsidRPr="00F415B1">
        <w:rPr>
          <w:iCs/>
          <w:lang w:eastAsia="zh-CN"/>
        </w:rPr>
        <w:t>, 11.1, 11.1.1</w:t>
      </w:r>
      <w:r w:rsidR="001A51E3">
        <w:rPr>
          <w:rFonts w:hint="eastAsia"/>
          <w:iCs/>
          <w:lang w:eastAsia="zh-CN"/>
        </w:rPr>
        <w:t xml:space="preserve"> and 17.2</w:t>
      </w:r>
      <w:r w:rsidRPr="00F415B1">
        <w:rPr>
          <w:iCs/>
          <w:lang w:eastAsia="zh-CN"/>
        </w:rPr>
        <w:t>.</w:t>
      </w:r>
    </w:p>
    <w:p w14:paraId="7416E1BB" w14:textId="77777777" w:rsidR="003468A9" w:rsidRPr="003468A9" w:rsidRDefault="003468A9" w:rsidP="003468A9">
      <w:pPr>
        <w:rPr>
          <w:rFonts w:eastAsia="Times New Roman"/>
          <w:lang w:eastAsia="ko-KR"/>
        </w:rPr>
      </w:pPr>
      <w:r w:rsidRPr="003468A9">
        <w:rPr>
          <w:rFonts w:eastAsia="Times New Roman"/>
          <w:lang w:eastAsia="ko-KR"/>
        </w:rPr>
        <w:t>In the remaining of this clause, a last DCI format is from a set of detected DCI formats for which the UE would provide HARQ-ACK information in a PUCCH in a same slot. D</w:t>
      </w:r>
      <w:r w:rsidRPr="003468A9">
        <w:rPr>
          <w:rFonts w:eastAsia="Times New Roman"/>
          <w:lang w:eastAsia="zh-CN"/>
        </w:rPr>
        <w:t>etected DCI format</w:t>
      </w:r>
      <w:r w:rsidRPr="003468A9">
        <w:rPr>
          <w:rFonts w:eastAsia="Times New Roman" w:hint="eastAsia"/>
          <w:lang w:eastAsia="zh-CN"/>
        </w:rPr>
        <w:t xml:space="preserve">s </w:t>
      </w:r>
      <w:r w:rsidRPr="003468A9">
        <w:rPr>
          <w:rFonts w:eastAsia="Times New Roman"/>
          <w:lang w:eastAsia="zh-CN"/>
        </w:rPr>
        <w:t xml:space="preserve">are first indexed in ascending order across indexes of respective scheduled cells for a same PDCCH monitoring occasion, and are then indexed in ascending order across indexes of PDCCH monitoring occasions. For indexing a detected DCI format associated with two or more scheduled cells, a respective scheduled cell is the one with the smallest index among the two or more scheduled cells. For </w:t>
      </w:r>
      <w:r w:rsidRPr="003468A9">
        <w:rPr>
          <w:rFonts w:eastAsia="Times New Roman"/>
          <w:iCs/>
          <w:lang w:eastAsia="zh-CN"/>
        </w:rPr>
        <w:t>a PDCCH monitoring occasion and a scheduled cell,</w:t>
      </w:r>
      <w:r w:rsidRPr="003468A9">
        <w:rPr>
          <w:rFonts w:eastAsia="Times New Roman"/>
          <w:lang w:eastAsia="zh-CN"/>
        </w:rPr>
        <w:t xml:space="preserve"> if a UE is not provided </w:t>
      </w:r>
      <w:r w:rsidRPr="003468A9">
        <w:rPr>
          <w:rFonts w:eastAsia="Times New Roman"/>
          <w:i/>
          <w:iCs/>
          <w:lang w:eastAsia="zh-CN"/>
        </w:rPr>
        <w:t>coresetPoolIndex</w:t>
      </w:r>
      <w:r w:rsidRPr="003468A9">
        <w:rPr>
          <w:rFonts w:eastAsia="Times New Roman"/>
          <w:lang w:eastAsia="zh-CN"/>
        </w:rPr>
        <w:t xml:space="preserve"> or is provided </w:t>
      </w:r>
      <w:r w:rsidRPr="003468A9">
        <w:rPr>
          <w:rFonts w:eastAsia="Times New Roman"/>
          <w:i/>
          <w:iCs/>
          <w:lang w:eastAsia="zh-CN"/>
        </w:rPr>
        <w:t>coresetPoolIndex</w:t>
      </w:r>
      <w:r w:rsidRPr="003468A9">
        <w:rPr>
          <w:rFonts w:eastAsia="Times New Roman"/>
          <w:lang w:eastAsia="zh-CN"/>
        </w:rPr>
        <w:t xml:space="preserve"> with value 0 for one or more first CORESETs and is provided</w:t>
      </w:r>
      <w:r w:rsidRPr="003468A9">
        <w:rPr>
          <w:rFonts w:eastAsia="Times New Roman"/>
          <w:i/>
          <w:iCs/>
          <w:lang w:eastAsia="zh-CN"/>
        </w:rPr>
        <w:t xml:space="preserve"> coresetPoolIndex</w:t>
      </w:r>
      <w:r w:rsidRPr="003468A9">
        <w:rPr>
          <w:rFonts w:eastAsia="Times New Roman"/>
          <w:lang w:eastAsia="zh-CN"/>
        </w:rPr>
        <w:t xml:space="preserve"> with value 1 for one or more second CORESETs on an active DL BWP of a serving cell, and is provided </w:t>
      </w:r>
      <w:r w:rsidRPr="003468A9">
        <w:rPr>
          <w:rFonts w:eastAsia="Times New Roman"/>
          <w:i/>
          <w:lang w:eastAsia="zh-CN"/>
        </w:rPr>
        <w:t>ackNackFeedbackMode</w:t>
      </w:r>
      <w:r w:rsidRPr="003468A9">
        <w:rPr>
          <w:rFonts w:eastAsia="Times New Roman"/>
          <w:i/>
          <w:iCs/>
          <w:lang w:eastAsia="zh-CN"/>
        </w:rPr>
        <w:t xml:space="preserve"> </w:t>
      </w:r>
      <w:r w:rsidRPr="003468A9">
        <w:rPr>
          <w:rFonts w:eastAsia="Times New Roman"/>
          <w:lang w:eastAsia="zh-CN"/>
        </w:rPr>
        <w:t>=</w:t>
      </w:r>
      <w:r w:rsidRPr="003468A9">
        <w:rPr>
          <w:rFonts w:eastAsia="Times New Roman"/>
          <w:i/>
          <w:iCs/>
          <w:lang w:eastAsia="zh-CN"/>
        </w:rPr>
        <w:t xml:space="preserve"> joint</w:t>
      </w:r>
      <w:r w:rsidRPr="003468A9">
        <w:rPr>
          <w:rFonts w:eastAsia="Times New Roman"/>
          <w:iCs/>
          <w:lang w:eastAsia="zh-CN"/>
        </w:rPr>
        <w:t xml:space="preserve"> for the active UL BWP, detected DCI formats from PDCCH receptions in the first CORESETs are indexed prior to detected DCI formats from PDCCH receptions in the second CORESETs</w:t>
      </w:r>
      <w:r w:rsidRPr="003468A9">
        <w:rPr>
          <w:rFonts w:eastAsia="Times New Roman"/>
          <w:lang w:eastAsia="ko-KR"/>
        </w:rPr>
        <w:t>.</w:t>
      </w:r>
    </w:p>
    <w:p w14:paraId="2D042092" w14:textId="77777777" w:rsidR="00B56C83" w:rsidRPr="00B56C83" w:rsidRDefault="00B56C83" w:rsidP="00B56C83">
      <w:pPr>
        <w:rPr>
          <w:lang w:eastAsia="ko-KR"/>
        </w:rPr>
      </w:pPr>
      <w:r w:rsidRPr="00B56C83">
        <w:rPr>
          <w:lang w:eastAsia="ko-KR"/>
        </w:rPr>
        <w:t>For the purpose of determining timeline conditions in this clause,</w:t>
      </w:r>
    </w:p>
    <w:p w14:paraId="12625244" w14:textId="2587BD8D" w:rsidR="00B56C83" w:rsidRPr="006002B1" w:rsidRDefault="00B56C83" w:rsidP="006002B1">
      <w:pPr>
        <w:pStyle w:val="B1"/>
        <w:rPr>
          <w:lang w:eastAsia="ko-KR"/>
        </w:rPr>
      </w:pPr>
      <w:r>
        <w:rPr>
          <w:lang w:eastAsia="ko-KR"/>
        </w:rPr>
        <w:t>-</w:t>
      </w:r>
      <w:r>
        <w:rPr>
          <w:lang w:eastAsia="ko-KR"/>
        </w:rPr>
        <w:tab/>
      </w:r>
      <w:r>
        <w:rPr>
          <w:lang w:val="en-GB" w:eastAsia="ko-KR"/>
        </w:rPr>
        <w:t>i</w:t>
      </w:r>
      <w:r w:rsidRPr="006002B1">
        <w:rPr>
          <w:lang w:eastAsia="ko-KR"/>
        </w:rPr>
        <w:t>f a UE would transmit a PUCCH with HARQ-ACK information in response to a first SPS PDSCH reception after an activation of SPS PDSCH receptions, the PUCCH is considered as a PUCCH transmission in response to a DCI format detection</w:t>
      </w:r>
      <w:r>
        <w:rPr>
          <w:lang w:val="en-GB" w:eastAsia="ko-KR"/>
        </w:rPr>
        <w:t>;</w:t>
      </w:r>
    </w:p>
    <w:p w14:paraId="78931A6A" w14:textId="31F1340D" w:rsidR="00B56C83" w:rsidRPr="00B56C83" w:rsidRDefault="00B56C83" w:rsidP="00B56C83">
      <w:pPr>
        <w:pStyle w:val="B1"/>
        <w:rPr>
          <w:lang w:val="en-GB" w:eastAsia="ko-KR"/>
        </w:rPr>
      </w:pPr>
      <w:r>
        <w:rPr>
          <w:lang w:eastAsia="ko-KR"/>
        </w:rPr>
        <w:t>-</w:t>
      </w:r>
      <w:r>
        <w:rPr>
          <w:lang w:eastAsia="ko-KR"/>
        </w:rPr>
        <w:tab/>
      </w:r>
      <w:r>
        <w:rPr>
          <w:lang w:val="en-GB" w:eastAsia="ko-KR"/>
        </w:rPr>
        <w:t>i</w:t>
      </w:r>
      <w:r w:rsidRPr="006002B1">
        <w:rPr>
          <w:lang w:eastAsia="ko-KR"/>
        </w:rPr>
        <w:t>f a UE would transmit a configured grant Type 2 PUSCH in the first transmission occasion after an activation of configured grant Type 2 PUSCH transmissions, the PUSCH is considered as a PUSCH transmission in response to a DCI format detection</w:t>
      </w:r>
      <w:r>
        <w:rPr>
          <w:lang w:val="en-GB" w:eastAsia="ko-KR"/>
        </w:rPr>
        <w:t>.</w:t>
      </w:r>
    </w:p>
    <w:p w14:paraId="0D2EA757" w14:textId="00F95734" w:rsidR="00DE5B06" w:rsidRDefault="00DE5B06" w:rsidP="00B56C83">
      <w:pPr>
        <w:rPr>
          <w:lang w:eastAsia="ko-KR"/>
        </w:rPr>
      </w:pPr>
      <w:r>
        <w:rPr>
          <w:lang w:eastAsia="ko-KR"/>
        </w:rPr>
        <w:t>If a UE</w:t>
      </w:r>
    </w:p>
    <w:p w14:paraId="51D6665C" w14:textId="7B1F0F4D" w:rsidR="00DE5B06" w:rsidRPr="00832E06" w:rsidRDefault="00DE5B06" w:rsidP="00DE5B06">
      <w:pPr>
        <w:pStyle w:val="B1"/>
        <w:rPr>
          <w:rFonts w:cstheme="minorHAnsi"/>
        </w:rPr>
      </w:pPr>
      <w:r>
        <w:t>-</w:t>
      </w:r>
      <w:r>
        <w:tab/>
      </w:r>
      <w:r>
        <w:rPr>
          <w:lang w:eastAsia="ko-KR"/>
        </w:rPr>
        <w:t xml:space="preserve">is </w:t>
      </w:r>
      <w:r w:rsidRPr="00832E06">
        <w:rPr>
          <w:lang w:eastAsia="ko-KR"/>
        </w:rPr>
        <w:t xml:space="preserve">not provided </w:t>
      </w:r>
      <w:r w:rsidR="006545FE">
        <w:rPr>
          <w:rFonts w:cstheme="minorHAnsi"/>
          <w:i/>
          <w:lang w:val="en-US"/>
        </w:rPr>
        <w:t>coreset</w:t>
      </w:r>
      <w:r w:rsidRPr="00832E06">
        <w:rPr>
          <w:rFonts w:cstheme="minorHAnsi"/>
          <w:i/>
        </w:rPr>
        <w:t>PoolIndex</w:t>
      </w:r>
      <w:r w:rsidRPr="00832E06">
        <w:rPr>
          <w:rFonts w:cstheme="minorHAnsi"/>
        </w:rPr>
        <w:t xml:space="preserve"> or is provided </w:t>
      </w:r>
      <w:r w:rsidR="006545FE">
        <w:rPr>
          <w:rFonts w:cstheme="minorHAnsi"/>
          <w:i/>
          <w:lang w:val="en-US"/>
        </w:rPr>
        <w:t>coreset</w:t>
      </w:r>
      <w:r w:rsidRPr="00832E06">
        <w:rPr>
          <w:rFonts w:cstheme="minorHAnsi"/>
          <w:i/>
        </w:rPr>
        <w:t>PoolIndex</w:t>
      </w:r>
      <w:r w:rsidRPr="00832E06">
        <w:rPr>
          <w:rFonts w:cstheme="minorHAnsi"/>
        </w:rPr>
        <w:t xml:space="preserve"> with a value of 0 for first CORESETs on active DL BWPs of serving cells, and</w:t>
      </w:r>
    </w:p>
    <w:p w14:paraId="2921B945" w14:textId="5CC3596A" w:rsidR="00DE5B06" w:rsidRPr="00832E06" w:rsidRDefault="00DE5B06" w:rsidP="00DE5B06">
      <w:pPr>
        <w:pStyle w:val="B1"/>
        <w:rPr>
          <w:rFonts w:cstheme="minorHAnsi"/>
        </w:rPr>
      </w:pPr>
      <w:r w:rsidRPr="00832E06">
        <w:t>-</w:t>
      </w:r>
      <w:r w:rsidRPr="00832E06">
        <w:tab/>
      </w:r>
      <w:r w:rsidRPr="00832E06">
        <w:rPr>
          <w:lang w:eastAsia="ko-KR"/>
        </w:rPr>
        <w:t xml:space="preserve">is provided </w:t>
      </w:r>
      <w:r w:rsidR="006545FE">
        <w:rPr>
          <w:rFonts w:cstheme="minorHAnsi"/>
          <w:i/>
          <w:lang w:val="en-US"/>
        </w:rPr>
        <w:t>coreset</w:t>
      </w:r>
      <w:r w:rsidRPr="00832E06">
        <w:rPr>
          <w:rFonts w:cstheme="minorHAnsi"/>
          <w:i/>
        </w:rPr>
        <w:t>PoolIndex</w:t>
      </w:r>
      <w:r w:rsidRPr="00832E06">
        <w:rPr>
          <w:rFonts w:cstheme="minorHAnsi"/>
        </w:rPr>
        <w:t xml:space="preserve"> with a value of 1 for second CORESETs on active DL BWPs of the serving cells, and</w:t>
      </w:r>
    </w:p>
    <w:p w14:paraId="0DCD5F2A" w14:textId="6C3B8BCC" w:rsidR="00DE5B06" w:rsidRPr="00425D04" w:rsidRDefault="00DE5B06" w:rsidP="00DE5B06">
      <w:pPr>
        <w:pStyle w:val="B1"/>
        <w:rPr>
          <w:rFonts w:cstheme="minorHAnsi"/>
        </w:rPr>
      </w:pPr>
      <w:r w:rsidRPr="0062743C">
        <w:t>-</w:t>
      </w:r>
      <w:r w:rsidRPr="0062743C">
        <w:tab/>
      </w:r>
      <w:r w:rsidRPr="0062743C">
        <w:rPr>
          <w:lang w:eastAsia="ko-KR"/>
        </w:rPr>
        <w:t xml:space="preserve">is provided </w:t>
      </w:r>
      <w:r w:rsidR="006545FE">
        <w:rPr>
          <w:i/>
          <w:iCs/>
          <w:lang w:val="en-US"/>
        </w:rPr>
        <w:t>ackNack</w:t>
      </w:r>
      <w:r w:rsidR="006545FE" w:rsidRPr="0062743C">
        <w:rPr>
          <w:i/>
          <w:iCs/>
        </w:rPr>
        <w:t>FeedbackMode</w:t>
      </w:r>
      <w:r w:rsidR="000733CD">
        <w:t xml:space="preserve"> = </w:t>
      </w:r>
      <w:r w:rsidR="000733CD">
        <w:rPr>
          <w:i/>
          <w:iCs/>
          <w:lang w:val="en-US"/>
        </w:rPr>
        <w:t>separate</w:t>
      </w:r>
    </w:p>
    <w:p w14:paraId="1AC89298" w14:textId="1102B885" w:rsidR="00DE5B06" w:rsidRPr="00F25051" w:rsidRDefault="00DE5B06" w:rsidP="00F25051">
      <w:pPr>
        <w:rPr>
          <w:lang w:eastAsia="ko-KR"/>
        </w:rPr>
      </w:pPr>
      <w:r w:rsidRPr="00F25051">
        <w:t xml:space="preserve">the UE shall separately apply the procedures described </w:t>
      </w:r>
      <w:r w:rsidR="006F5F9E" w:rsidRPr="00F25051">
        <w:t>in clause</w:t>
      </w:r>
      <w:r w:rsidRPr="00F25051">
        <w:t>s 9.1 and 9.2.3 for reporting HARQ-ACK information associated with the first CORESETs</w:t>
      </w:r>
      <w:r w:rsidRPr="00F25051">
        <w:rPr>
          <w:rFonts w:cstheme="minorHAnsi"/>
        </w:rPr>
        <w:t xml:space="preserve"> on active DL BWP of the serving cells and for reporting HARQ-ACK information</w:t>
      </w:r>
      <w:r w:rsidRPr="00F25051">
        <w:t xml:space="preserve"> associated with </w:t>
      </w:r>
      <w:r w:rsidRPr="00F25051">
        <w:rPr>
          <w:rFonts w:cstheme="minorHAnsi"/>
        </w:rPr>
        <w:t>the second CORESETs on active DL BWP of the serving cells</w:t>
      </w:r>
      <w:r w:rsidR="00745353" w:rsidRPr="00F25051">
        <w:rPr>
          <w:rFonts w:cstheme="minorHAnsi"/>
        </w:rPr>
        <w:t xml:space="preserve">, and the UE does not expect to be provided with </w:t>
      </w:r>
      <w:r w:rsidR="00745353" w:rsidRPr="00F25051">
        <w:rPr>
          <w:i/>
          <w:iCs/>
        </w:rPr>
        <w:t xml:space="preserve">subslotLengthForPUCCH </w:t>
      </w:r>
      <w:r w:rsidR="00745353" w:rsidRPr="00F25051">
        <w:t xml:space="preserve">or to be indicated by </w:t>
      </w:r>
      <w:r w:rsidR="00745353" w:rsidRPr="00F25051">
        <w:rPr>
          <w:i/>
          <w:iCs/>
        </w:rPr>
        <w:t>pdsch-HARQ-ACK-CodebookList</w:t>
      </w:r>
      <w:r w:rsidR="00745353" w:rsidRPr="00F25051">
        <w:t xml:space="preserve"> to generate two HARQ-ACK codebooks </w:t>
      </w:r>
      <w:r w:rsidR="00745353" w:rsidRPr="00F25051">
        <w:rPr>
          <w:rFonts w:cstheme="minorHAnsi"/>
        </w:rPr>
        <w:t>on active DL BWP of the serving cells</w:t>
      </w:r>
      <w:r w:rsidRPr="00F25051">
        <w:rPr>
          <w:rFonts w:cstheme="minorHAnsi"/>
        </w:rPr>
        <w:t>. HARQ-ACK information reporting is associated with a CORESET through a reception of a PDCCH with a DCI format triggering the reporting of the HARQ-ACK information by the UE.</w:t>
      </w:r>
    </w:p>
    <w:p w14:paraId="5EC33ADC" w14:textId="77777777" w:rsidR="00B11C03" w:rsidRDefault="00B11C03" w:rsidP="00723FED">
      <w:r>
        <w:t>For NR-DC when both the MCG and the SCG operate either</w:t>
      </w:r>
      <w:r w:rsidRPr="00B916EC">
        <w:t xml:space="preserve"> </w:t>
      </w:r>
      <w:r>
        <w:rPr>
          <w:lang w:val="en-US"/>
        </w:rPr>
        <w:t>in FR1 or in FR2</w:t>
      </w:r>
      <w:r>
        <w:t xml:space="preserve"> and</w:t>
      </w:r>
      <w:r w:rsidRPr="00FA0CBB">
        <w:t xml:space="preserve"> for </w:t>
      </w:r>
      <w:r>
        <w:t xml:space="preserve">a </w:t>
      </w:r>
      <w:r w:rsidRPr="00FA0CBB">
        <w:t xml:space="preserve">power headroom report transmitted on </w:t>
      </w:r>
      <w:r>
        <w:t>the M</w:t>
      </w:r>
      <w:r w:rsidRPr="00FA0CBB">
        <w:t>CG</w:t>
      </w:r>
      <w:r>
        <w:t xml:space="preserve"> or the SCG</w:t>
      </w:r>
      <w:r w:rsidRPr="00FA0CBB">
        <w:t xml:space="preserve">, the UE computes </w:t>
      </w:r>
      <w:r w:rsidRPr="00FA0CBB">
        <w:rPr>
          <w:i/>
        </w:rPr>
        <w:t>PH</w:t>
      </w:r>
      <w:r>
        <w:t xml:space="preserve"> </w:t>
      </w:r>
      <w:r w:rsidRPr="00FA0CBB">
        <w:t xml:space="preserve">assuming that the UE does not transmit PUSCH/PUCCH on any serving cell of the </w:t>
      </w:r>
      <w:r>
        <w:t>SCG or the MCG, respectively.</w:t>
      </w:r>
    </w:p>
    <w:p w14:paraId="721CE54C" w14:textId="687B56F1" w:rsidR="00723FED" w:rsidRPr="000600E8" w:rsidRDefault="00723FED" w:rsidP="00723FED">
      <w:pPr>
        <w:rPr>
          <w:lang w:eastAsia="zh-CN"/>
        </w:rPr>
      </w:pPr>
      <w:r w:rsidRPr="000600E8">
        <w:rPr>
          <w:lang w:eastAsia="ko-KR"/>
        </w:rPr>
        <w:t>If a UE is configured for NR-DC operation, the UE does not expect to be configured with a PUCCH-SCell.</w:t>
      </w:r>
    </w:p>
    <w:p w14:paraId="2E1C857B" w14:textId="724539A8" w:rsidR="002B3948" w:rsidRDefault="002734EA" w:rsidP="002734EA">
      <w:pPr>
        <w:rPr>
          <w:lang w:eastAsia="zh-CN"/>
        </w:rPr>
      </w:pPr>
      <w:r>
        <w:rPr>
          <w:lang w:eastAsia="zh-CN"/>
        </w:rPr>
        <w:t>A PUSCH or a PUCCH</w:t>
      </w:r>
      <w:r w:rsidR="002B3948">
        <w:rPr>
          <w:lang w:eastAsia="zh-CN"/>
        </w:rPr>
        <w:t xml:space="preserve"> </w:t>
      </w:r>
      <w:r w:rsidR="002B3948" w:rsidRPr="00C06B59">
        <w:rPr>
          <w:lang w:eastAsia="zh-CN"/>
        </w:rPr>
        <w:t>transmission</w:t>
      </w:r>
      <w:r w:rsidR="00DE110F">
        <w:rPr>
          <w:lang w:eastAsia="zh-CN"/>
        </w:rPr>
        <w:t xml:space="preserve"> </w:t>
      </w:r>
      <w:r w:rsidR="00DE110F" w:rsidRPr="004D527B">
        <w:rPr>
          <w:lang w:eastAsia="zh-CN"/>
        </w:rPr>
        <w:t>other than PUCCH transmissions with SL HARQ-ACK reports</w:t>
      </w:r>
      <w:r>
        <w:rPr>
          <w:lang w:eastAsia="zh-CN"/>
        </w:rPr>
        <w:t>, including repetitions if any,</w:t>
      </w:r>
      <w:r w:rsidRPr="00EE027F">
        <w:rPr>
          <w:lang w:eastAsia="zh-CN"/>
        </w:rPr>
        <w:t xml:space="preserve"> can be of priority</w:t>
      </w:r>
      <w:r>
        <w:rPr>
          <w:lang w:eastAsia="zh-CN"/>
        </w:rPr>
        <w:t xml:space="preserve"> index</w:t>
      </w:r>
      <w:r w:rsidRPr="00EE027F">
        <w:rPr>
          <w:lang w:eastAsia="zh-CN"/>
        </w:rPr>
        <w:t xml:space="preserve"> 0 or of priority</w:t>
      </w:r>
      <w:r>
        <w:rPr>
          <w:lang w:eastAsia="zh-CN"/>
        </w:rPr>
        <w:t xml:space="preserve"> index</w:t>
      </w:r>
      <w:r w:rsidRPr="00EE027F">
        <w:rPr>
          <w:lang w:eastAsia="zh-CN"/>
        </w:rPr>
        <w:t xml:space="preserve"> 1. </w:t>
      </w:r>
      <w:r w:rsidR="002B3948" w:rsidRPr="00C06B59">
        <w:rPr>
          <w:lang w:eastAsia="zh-CN"/>
        </w:rPr>
        <w:t xml:space="preserve">For a configured grant PUSCH transmission, a UE determines a priority index from </w:t>
      </w:r>
      <w:r w:rsidR="006545FE" w:rsidRPr="001602BC">
        <w:rPr>
          <w:i/>
          <w:iCs/>
          <w:lang w:eastAsia="zh-CN"/>
        </w:rPr>
        <w:t>phy-PriorityIndex</w:t>
      </w:r>
      <w:r w:rsidR="002B3948" w:rsidRPr="00C06B59">
        <w:rPr>
          <w:lang w:eastAsia="zh-CN"/>
        </w:rPr>
        <w:t xml:space="preserve">, if provided. </w:t>
      </w:r>
      <w:r w:rsidR="002B3948" w:rsidRPr="00C06B59">
        <w:t xml:space="preserve">For a PUCCH transmission with HARQ-ACK </w:t>
      </w:r>
      <w:r w:rsidR="002B3948" w:rsidRPr="00C06B59">
        <w:lastRenderedPageBreak/>
        <w:t xml:space="preserve">information corresponding to a </w:t>
      </w:r>
      <w:r w:rsidR="002B3948" w:rsidRPr="00C06B59">
        <w:rPr>
          <w:lang w:val="en-US"/>
        </w:rPr>
        <w:t xml:space="preserve">SPS PDSCH reception or a SPS PDSCH release, a UE determines a priority index from </w:t>
      </w:r>
      <w:r w:rsidR="002B3948" w:rsidRPr="00C06B59">
        <w:rPr>
          <w:i/>
          <w:iCs/>
          <w:lang w:eastAsia="zh-CN"/>
        </w:rPr>
        <w:t>harq-CodebookID</w:t>
      </w:r>
      <w:r w:rsidR="002B3948" w:rsidRPr="00C06B59">
        <w:rPr>
          <w:lang w:eastAsia="zh-CN"/>
        </w:rPr>
        <w:t xml:space="preserve">, if provided. </w:t>
      </w:r>
      <w:r w:rsidR="00BD3939" w:rsidRPr="00597B66">
        <w:rPr>
          <w:lang w:eastAsia="zh-CN"/>
        </w:rPr>
        <w:t xml:space="preserve">For a PUCCH transmission with SR, a UE determines the corresponding priority as described </w:t>
      </w:r>
      <w:r w:rsidR="006F5F9E">
        <w:rPr>
          <w:lang w:eastAsia="zh-CN"/>
        </w:rPr>
        <w:t>in clause</w:t>
      </w:r>
      <w:r w:rsidR="00BD3939" w:rsidRPr="00597B66">
        <w:rPr>
          <w:lang w:eastAsia="zh-CN"/>
        </w:rPr>
        <w:t xml:space="preserve"> 9.2.4.</w:t>
      </w:r>
      <w:r w:rsidR="00BD3939">
        <w:rPr>
          <w:lang w:eastAsia="zh-CN"/>
        </w:rPr>
        <w:t xml:space="preserve"> </w:t>
      </w:r>
      <w:r w:rsidR="00BD3939" w:rsidRPr="00327F1F">
        <w:rPr>
          <w:rFonts w:eastAsia="Gulim"/>
        </w:rPr>
        <w:t>For a PUSCH transmission with semi-persistent CSI report, a UE determines a priority index from a priority indicator field, if provided, in </w:t>
      </w:r>
      <w:r w:rsidR="00BD3939" w:rsidRPr="00327F1F">
        <w:rPr>
          <w:rFonts w:eastAsia="Gulim"/>
          <w:lang w:val="en-AU"/>
        </w:rPr>
        <w:t xml:space="preserve">a DCI format </w:t>
      </w:r>
      <w:r w:rsidR="00BD3939">
        <w:rPr>
          <w:rFonts w:eastAsia="Gulim"/>
          <w:lang w:val="en-AU"/>
        </w:rPr>
        <w:t>that</w:t>
      </w:r>
      <w:r w:rsidR="00BD3939" w:rsidRPr="00327F1F">
        <w:rPr>
          <w:rFonts w:eastAsia="Gulim"/>
          <w:lang w:val="en-AU"/>
        </w:rPr>
        <w:t xml:space="preserve"> activates the semi-persistent CSI </w:t>
      </w:r>
      <w:r w:rsidR="00BD3939" w:rsidRPr="00327F1F">
        <w:rPr>
          <w:rFonts w:eastAsia="Gulim"/>
        </w:rPr>
        <w:t xml:space="preserve">report. </w:t>
      </w:r>
      <w:r>
        <w:rPr>
          <w:lang w:eastAsia="zh-CN"/>
        </w:rPr>
        <w:t xml:space="preserve">If a priority index is not provided </w:t>
      </w:r>
      <w:r w:rsidR="002B3948" w:rsidRPr="00C06B59">
        <w:rPr>
          <w:lang w:eastAsia="zh-CN"/>
        </w:rPr>
        <w:t xml:space="preserve">to a UE </w:t>
      </w:r>
      <w:r>
        <w:rPr>
          <w:lang w:eastAsia="zh-CN"/>
        </w:rPr>
        <w:t>for a PUSCH or a PUCCH</w:t>
      </w:r>
      <w:r w:rsidR="002B3948">
        <w:rPr>
          <w:lang w:eastAsia="zh-CN"/>
        </w:rPr>
        <w:t xml:space="preserve"> transmission</w:t>
      </w:r>
      <w:r w:rsidR="00DE110F">
        <w:rPr>
          <w:lang w:eastAsia="zh-CN"/>
        </w:rPr>
        <w:t xml:space="preserve"> </w:t>
      </w:r>
      <w:r w:rsidR="00DE110F" w:rsidRPr="004D527B">
        <w:rPr>
          <w:lang w:eastAsia="zh-CN"/>
        </w:rPr>
        <w:t>other than PUCCH transmissions with SL HARQ-ACK reports</w:t>
      </w:r>
      <w:r>
        <w:rPr>
          <w:lang w:eastAsia="zh-CN"/>
        </w:rPr>
        <w:t xml:space="preserve">, the priority index is 0. </w:t>
      </w:r>
    </w:p>
    <w:p w14:paraId="2834A845" w14:textId="77777777" w:rsidR="00020E6A" w:rsidRPr="005258CF" w:rsidRDefault="00020E6A" w:rsidP="00020E6A">
      <w:pPr>
        <w:shd w:val="clear" w:color="auto" w:fill="FFFFFF"/>
        <w:spacing w:after="120"/>
        <w:rPr>
          <w:noProof/>
          <w:lang w:eastAsia="zh-CN"/>
        </w:rPr>
      </w:pPr>
      <w:r w:rsidRPr="005258CF">
        <w:rPr>
          <w:noProof/>
          <w:lang w:eastAsia="zh-CN"/>
        </w:rPr>
        <w:t xml:space="preserve">If a UE is provided </w:t>
      </w:r>
      <w:r w:rsidRPr="005258CF">
        <w:rPr>
          <w:rFonts w:eastAsiaTheme="minorEastAsia" w:hint="eastAsia"/>
          <w:noProof/>
          <w:lang w:eastAsia="zh-CN"/>
        </w:rPr>
        <w:t>one</w:t>
      </w:r>
      <w:r w:rsidRPr="005258CF">
        <w:rPr>
          <w:noProof/>
          <w:lang w:eastAsia="zh-CN"/>
        </w:rPr>
        <w:t xml:space="preserve"> </w:t>
      </w:r>
      <w:r w:rsidRPr="005258CF">
        <w:rPr>
          <w:i/>
          <w:iCs/>
          <w:noProof/>
          <w:lang w:eastAsia="zh-CN"/>
        </w:rPr>
        <w:t>PUCCH-Config</w:t>
      </w:r>
    </w:p>
    <w:p w14:paraId="072837B6" w14:textId="77777777" w:rsidR="00020E6A" w:rsidRPr="005258CF" w:rsidRDefault="00020E6A" w:rsidP="00020E6A">
      <w:pPr>
        <w:pStyle w:val="B1"/>
        <w:spacing w:after="120"/>
        <w:rPr>
          <w:lang w:val="en-US"/>
        </w:rPr>
      </w:pPr>
      <w:r w:rsidRPr="005258CF">
        <w:t>-</w:t>
      </w:r>
      <w:r w:rsidRPr="005258CF">
        <w:tab/>
      </w:r>
      <w:r w:rsidRPr="005258CF">
        <w:rPr>
          <w:lang w:val="en-US"/>
        </w:rPr>
        <w:t xml:space="preserve">if the UE is provided </w:t>
      </w:r>
      <w:r w:rsidRPr="005258CF">
        <w:rPr>
          <w:i/>
          <w:iCs/>
        </w:rPr>
        <w:t>subslotLengthForPUCCH</w:t>
      </w:r>
      <w:r w:rsidRPr="005258CF">
        <w:rPr>
          <w:noProof/>
          <w:lang w:eastAsia="zh-CN"/>
        </w:rPr>
        <w:t xml:space="preserve"> in </w:t>
      </w:r>
      <w:r w:rsidRPr="005258CF">
        <w:rPr>
          <w:noProof/>
          <w:lang w:val="en-US" w:eastAsia="zh-CN"/>
        </w:rPr>
        <w:t xml:space="preserve">the </w:t>
      </w:r>
      <w:r w:rsidRPr="005258CF">
        <w:rPr>
          <w:i/>
          <w:iCs/>
          <w:noProof/>
          <w:lang w:eastAsia="zh-CN"/>
        </w:rPr>
        <w:t>PUCCH-Config</w:t>
      </w:r>
      <w:r w:rsidRPr="005258CF">
        <w:rPr>
          <w:noProof/>
          <w:lang w:eastAsia="zh-CN"/>
        </w:rPr>
        <w:t>,</w:t>
      </w:r>
      <w:r w:rsidRPr="005258CF">
        <w:rPr>
          <w:lang w:eastAsia="zh-CN"/>
        </w:rPr>
        <w:t xml:space="preserve"> the PUCCH resource </w:t>
      </w:r>
      <w:r w:rsidRPr="005258CF">
        <w:rPr>
          <w:lang w:val="en-US" w:eastAsia="zh-CN"/>
        </w:rPr>
        <w:t>for</w:t>
      </w:r>
      <w:r w:rsidRPr="005258CF">
        <w:rPr>
          <w:lang w:eastAsia="zh-CN"/>
        </w:rPr>
        <w:t xml:space="preserve"> a</w:t>
      </w:r>
      <w:r w:rsidRPr="005258CF">
        <w:rPr>
          <w:lang w:val="en-US" w:eastAsia="zh-CN"/>
        </w:rPr>
        <w:t>ny</w:t>
      </w:r>
      <w:r w:rsidRPr="005258CF">
        <w:rPr>
          <w:lang w:eastAsia="zh-CN"/>
        </w:rPr>
        <w:t xml:space="preserve"> SR configuration </w:t>
      </w:r>
      <w:r w:rsidRPr="005258CF">
        <w:rPr>
          <w:lang w:val="en-US" w:eastAsia="zh-CN"/>
        </w:rPr>
        <w:t xml:space="preserve">with priority index 0 or any CSI report configuration </w:t>
      </w:r>
      <w:r w:rsidRPr="005258CF">
        <w:rPr>
          <w:lang w:eastAsia="zh-CN"/>
        </w:rPr>
        <w:t xml:space="preserve">in </w:t>
      </w:r>
      <w:r w:rsidRPr="005258CF">
        <w:rPr>
          <w:rFonts w:hint="eastAsia"/>
          <w:lang w:val="en-US" w:eastAsia="zh-CN"/>
        </w:rPr>
        <w:t>the</w:t>
      </w:r>
      <w:r w:rsidRPr="005258CF">
        <w:rPr>
          <w:lang w:eastAsia="zh-CN"/>
        </w:rPr>
        <w:t xml:space="preserve"> </w:t>
      </w:r>
      <w:r w:rsidRPr="005258CF">
        <w:rPr>
          <w:i/>
          <w:iCs/>
          <w:lang w:eastAsia="zh-CN"/>
        </w:rPr>
        <w:t>PUCCH-Config</w:t>
      </w:r>
      <w:r w:rsidRPr="005258CF">
        <w:rPr>
          <w:lang w:eastAsia="zh-CN"/>
        </w:rPr>
        <w:t xml:space="preserve"> is within the </w:t>
      </w:r>
      <w:r w:rsidRPr="005258CF">
        <w:rPr>
          <w:i/>
          <w:iCs/>
        </w:rPr>
        <w:t>subslotLengthForPUCCH</w:t>
      </w:r>
      <w:r w:rsidRPr="005258CF">
        <w:rPr>
          <w:noProof/>
          <w:lang w:eastAsia="zh-CN"/>
        </w:rPr>
        <w:t xml:space="preserve"> symbols </w:t>
      </w:r>
      <w:r w:rsidRPr="005258CF">
        <w:rPr>
          <w:lang w:eastAsia="zh-CN"/>
        </w:rPr>
        <w:t>in the</w:t>
      </w:r>
      <w:r w:rsidRPr="005258CF">
        <w:rPr>
          <w:lang w:val="en-US" w:eastAsia="zh-CN"/>
        </w:rPr>
        <w:t xml:space="preserve"> </w:t>
      </w:r>
      <w:r w:rsidRPr="005258CF">
        <w:rPr>
          <w:i/>
          <w:iCs/>
          <w:lang w:eastAsia="zh-CN"/>
        </w:rPr>
        <w:t>PUCCH-Config</w:t>
      </w:r>
    </w:p>
    <w:p w14:paraId="36B20BEE" w14:textId="77777777" w:rsidR="00BD3939" w:rsidRPr="00032A9D" w:rsidRDefault="00BD3939" w:rsidP="00BD3939">
      <w:pPr>
        <w:shd w:val="clear" w:color="auto" w:fill="FFFFFF"/>
        <w:rPr>
          <w:noProof/>
          <w:lang w:eastAsia="zh-CN"/>
        </w:rPr>
      </w:pPr>
      <w:r w:rsidRPr="00A5237B">
        <w:rPr>
          <w:noProof/>
          <w:lang w:eastAsia="zh-CN"/>
        </w:rPr>
        <w:t>If a UE is provided</w:t>
      </w:r>
      <w:r>
        <w:rPr>
          <w:noProof/>
          <w:lang w:eastAsia="zh-CN"/>
        </w:rPr>
        <w:t xml:space="preserve"> two </w:t>
      </w:r>
      <w:r w:rsidRPr="00A5237B">
        <w:rPr>
          <w:i/>
          <w:iCs/>
          <w:noProof/>
          <w:lang w:eastAsia="zh-CN"/>
        </w:rPr>
        <w:t>PUCCH-Config</w:t>
      </w:r>
    </w:p>
    <w:p w14:paraId="678080E6" w14:textId="3A22F015" w:rsidR="00BD3939" w:rsidRDefault="00BD3939" w:rsidP="00BD3939">
      <w:pPr>
        <w:pStyle w:val="B1"/>
        <w:rPr>
          <w:lang w:val="en-US"/>
        </w:rPr>
      </w:pPr>
      <w:r w:rsidRPr="00C06B59">
        <w:t>-</w:t>
      </w:r>
      <w:r w:rsidRPr="00C06B59">
        <w:tab/>
      </w:r>
      <w:r>
        <w:rPr>
          <w:lang w:val="en-US"/>
        </w:rPr>
        <w:t xml:space="preserve">if the UE is provided </w:t>
      </w:r>
      <w:r w:rsidRPr="00A5237B">
        <w:rPr>
          <w:i/>
          <w:iCs/>
        </w:rPr>
        <w:t>subslotLengthForPUCCH</w:t>
      </w:r>
      <w:r w:rsidRPr="00A5237B">
        <w:rPr>
          <w:noProof/>
          <w:lang w:eastAsia="zh-CN"/>
        </w:rPr>
        <w:t xml:space="preserve"> in </w:t>
      </w:r>
      <w:r>
        <w:rPr>
          <w:noProof/>
          <w:lang w:val="en-US" w:eastAsia="zh-CN"/>
        </w:rPr>
        <w:t>the first</w:t>
      </w:r>
      <w:r w:rsidRPr="00A5237B">
        <w:rPr>
          <w:noProof/>
          <w:lang w:eastAsia="zh-CN"/>
        </w:rPr>
        <w:t xml:space="preserve"> </w:t>
      </w:r>
      <w:r w:rsidRPr="00A5237B">
        <w:rPr>
          <w:i/>
          <w:iCs/>
          <w:noProof/>
          <w:lang w:eastAsia="zh-CN"/>
        </w:rPr>
        <w:t>PUCCH-Config</w:t>
      </w:r>
      <w:r w:rsidRPr="00A5237B">
        <w:rPr>
          <w:noProof/>
          <w:lang w:eastAsia="zh-CN"/>
        </w:rPr>
        <w:t>,</w:t>
      </w:r>
      <w:r>
        <w:rPr>
          <w:lang w:eastAsia="zh-CN"/>
        </w:rPr>
        <w:t xml:space="preserve"> </w:t>
      </w:r>
      <w:r w:rsidRPr="00DB349E">
        <w:rPr>
          <w:lang w:eastAsia="zh-CN"/>
        </w:rPr>
        <w:t xml:space="preserve">the PUCCH resource </w:t>
      </w:r>
      <w:r>
        <w:rPr>
          <w:lang w:val="en-US" w:eastAsia="zh-CN"/>
        </w:rPr>
        <w:t>for</w:t>
      </w:r>
      <w:r w:rsidRPr="00DB349E">
        <w:rPr>
          <w:lang w:eastAsia="zh-CN"/>
        </w:rPr>
        <w:t xml:space="preserve"> a</w:t>
      </w:r>
      <w:r>
        <w:rPr>
          <w:lang w:val="en-US" w:eastAsia="zh-CN"/>
        </w:rPr>
        <w:t>ny</w:t>
      </w:r>
      <w:r w:rsidRPr="00DB349E">
        <w:rPr>
          <w:lang w:eastAsia="zh-CN"/>
        </w:rPr>
        <w:t xml:space="preserve"> SR configuration </w:t>
      </w:r>
      <w:r>
        <w:rPr>
          <w:lang w:val="en-US" w:eastAsia="zh-CN"/>
        </w:rPr>
        <w:t xml:space="preserve">with priority index 0 or any CSI report configuration </w:t>
      </w:r>
      <w:r>
        <w:rPr>
          <w:lang w:eastAsia="zh-CN"/>
        </w:rPr>
        <w:t>in</w:t>
      </w:r>
      <w:r w:rsidRPr="00DB349E">
        <w:rPr>
          <w:lang w:eastAsia="zh-CN"/>
        </w:rPr>
        <w:t xml:space="preserve"> </w:t>
      </w:r>
      <w:r>
        <w:rPr>
          <w:lang w:val="en-US" w:eastAsia="zh-CN"/>
        </w:rPr>
        <w:t>any</w:t>
      </w:r>
      <w:r w:rsidRPr="00DB349E">
        <w:rPr>
          <w:lang w:eastAsia="zh-CN"/>
        </w:rPr>
        <w:t xml:space="preserve"> </w:t>
      </w:r>
      <w:r w:rsidRPr="00085EC7">
        <w:rPr>
          <w:i/>
          <w:iCs/>
          <w:lang w:eastAsia="zh-CN"/>
        </w:rPr>
        <w:t>PUCCH-Config</w:t>
      </w:r>
      <w:r w:rsidRPr="00DB349E">
        <w:rPr>
          <w:lang w:eastAsia="zh-CN"/>
        </w:rPr>
        <w:t xml:space="preserve"> </w:t>
      </w:r>
      <w:r>
        <w:rPr>
          <w:lang w:eastAsia="zh-CN"/>
        </w:rPr>
        <w:t>is</w:t>
      </w:r>
      <w:r w:rsidRPr="00DB349E">
        <w:rPr>
          <w:lang w:eastAsia="zh-CN"/>
        </w:rPr>
        <w:t xml:space="preserve"> </w:t>
      </w:r>
      <w:r>
        <w:rPr>
          <w:lang w:eastAsia="zh-CN"/>
        </w:rPr>
        <w:t>within</w:t>
      </w:r>
      <w:r w:rsidRPr="00DB349E">
        <w:rPr>
          <w:lang w:eastAsia="zh-CN"/>
        </w:rPr>
        <w:t xml:space="preserve"> the </w:t>
      </w:r>
      <w:r w:rsidRPr="00A5237B">
        <w:rPr>
          <w:i/>
          <w:iCs/>
        </w:rPr>
        <w:t>subslotLengthForPUCCH</w:t>
      </w:r>
      <w:r w:rsidRPr="00A5237B">
        <w:rPr>
          <w:noProof/>
          <w:lang w:eastAsia="zh-CN"/>
        </w:rPr>
        <w:t xml:space="preserve"> </w:t>
      </w:r>
      <w:r>
        <w:rPr>
          <w:noProof/>
          <w:lang w:eastAsia="zh-CN"/>
        </w:rPr>
        <w:t>symbols</w:t>
      </w:r>
      <w:r w:rsidRPr="00A5237B">
        <w:rPr>
          <w:noProof/>
          <w:lang w:eastAsia="zh-CN"/>
        </w:rPr>
        <w:t xml:space="preserve"> </w:t>
      </w:r>
      <w:r>
        <w:rPr>
          <w:lang w:eastAsia="zh-CN"/>
        </w:rPr>
        <w:t>in</w:t>
      </w:r>
      <w:r w:rsidRPr="00DB349E">
        <w:rPr>
          <w:lang w:eastAsia="zh-CN"/>
        </w:rPr>
        <w:t xml:space="preserve"> the</w:t>
      </w:r>
      <w:r>
        <w:rPr>
          <w:lang w:val="en-US" w:eastAsia="zh-CN"/>
        </w:rPr>
        <w:t xml:space="preserve"> first</w:t>
      </w:r>
      <w:r w:rsidRPr="00DB349E">
        <w:rPr>
          <w:lang w:eastAsia="zh-CN"/>
        </w:rPr>
        <w:t xml:space="preserve"> </w:t>
      </w:r>
      <w:r w:rsidRPr="00085EC7">
        <w:rPr>
          <w:i/>
          <w:iCs/>
          <w:lang w:eastAsia="zh-CN"/>
        </w:rPr>
        <w:t>PUCCH-Config</w:t>
      </w:r>
    </w:p>
    <w:p w14:paraId="47DDF6C8" w14:textId="33E55367" w:rsidR="00BD3939" w:rsidRDefault="00BD3939" w:rsidP="00BD3939">
      <w:pPr>
        <w:pStyle w:val="B1"/>
        <w:rPr>
          <w:lang w:val="en-US"/>
        </w:rPr>
      </w:pPr>
      <w:r w:rsidRPr="00C06B59">
        <w:t>-</w:t>
      </w:r>
      <w:r w:rsidRPr="00C06B59">
        <w:tab/>
      </w:r>
      <w:r>
        <w:rPr>
          <w:lang w:val="en-US"/>
        </w:rPr>
        <w:t xml:space="preserve">if the UE is provided </w:t>
      </w:r>
      <w:r w:rsidRPr="00A5237B">
        <w:rPr>
          <w:i/>
          <w:iCs/>
        </w:rPr>
        <w:t>subslotLengthForPUCCH</w:t>
      </w:r>
      <w:r w:rsidRPr="00A5237B">
        <w:rPr>
          <w:noProof/>
          <w:lang w:eastAsia="zh-CN"/>
        </w:rPr>
        <w:t xml:space="preserve"> in </w:t>
      </w:r>
      <w:r>
        <w:rPr>
          <w:noProof/>
          <w:lang w:val="en-US" w:eastAsia="zh-CN"/>
        </w:rPr>
        <w:t>the second</w:t>
      </w:r>
      <w:r w:rsidRPr="00A5237B">
        <w:rPr>
          <w:noProof/>
          <w:lang w:eastAsia="zh-CN"/>
        </w:rPr>
        <w:t xml:space="preserve"> </w:t>
      </w:r>
      <w:r w:rsidRPr="00A5237B">
        <w:rPr>
          <w:i/>
          <w:iCs/>
          <w:noProof/>
          <w:lang w:eastAsia="zh-CN"/>
        </w:rPr>
        <w:t>PUCCH-Config</w:t>
      </w:r>
      <w:r w:rsidRPr="00A5237B">
        <w:rPr>
          <w:noProof/>
          <w:lang w:eastAsia="zh-CN"/>
        </w:rPr>
        <w:t>,</w:t>
      </w:r>
      <w:r>
        <w:rPr>
          <w:lang w:eastAsia="zh-CN"/>
        </w:rPr>
        <w:t xml:space="preserve"> </w:t>
      </w:r>
      <w:r w:rsidRPr="00DB349E">
        <w:rPr>
          <w:lang w:eastAsia="zh-CN"/>
        </w:rPr>
        <w:t xml:space="preserve">the PUCCH resource </w:t>
      </w:r>
      <w:r>
        <w:rPr>
          <w:lang w:val="en-US" w:eastAsia="zh-CN"/>
        </w:rPr>
        <w:t>for</w:t>
      </w:r>
      <w:r w:rsidRPr="00DB349E">
        <w:rPr>
          <w:lang w:eastAsia="zh-CN"/>
        </w:rPr>
        <w:t xml:space="preserve"> a</w:t>
      </w:r>
      <w:r>
        <w:rPr>
          <w:lang w:val="en-US" w:eastAsia="zh-CN"/>
        </w:rPr>
        <w:t>ny</w:t>
      </w:r>
      <w:r w:rsidRPr="00DB349E">
        <w:rPr>
          <w:lang w:eastAsia="zh-CN"/>
        </w:rPr>
        <w:t xml:space="preserve"> SR configuration </w:t>
      </w:r>
      <w:r>
        <w:rPr>
          <w:lang w:val="en-US" w:eastAsia="zh-CN"/>
        </w:rPr>
        <w:t xml:space="preserve">with priority index 1 </w:t>
      </w:r>
      <w:r>
        <w:rPr>
          <w:lang w:eastAsia="zh-CN"/>
        </w:rPr>
        <w:t>in</w:t>
      </w:r>
      <w:r w:rsidRPr="00DB349E">
        <w:rPr>
          <w:lang w:eastAsia="zh-CN"/>
        </w:rPr>
        <w:t xml:space="preserve"> </w:t>
      </w:r>
      <w:r>
        <w:rPr>
          <w:lang w:val="en-US" w:eastAsia="zh-CN"/>
        </w:rPr>
        <w:t>any</w:t>
      </w:r>
      <w:r w:rsidRPr="00DB349E">
        <w:rPr>
          <w:lang w:eastAsia="zh-CN"/>
        </w:rPr>
        <w:t xml:space="preserve"> </w:t>
      </w:r>
      <w:r w:rsidRPr="00085EC7">
        <w:rPr>
          <w:i/>
          <w:iCs/>
          <w:lang w:eastAsia="zh-CN"/>
        </w:rPr>
        <w:t>PUCCH-Config</w:t>
      </w:r>
      <w:r w:rsidRPr="00DB349E">
        <w:rPr>
          <w:lang w:eastAsia="zh-CN"/>
        </w:rPr>
        <w:t xml:space="preserve"> </w:t>
      </w:r>
      <w:r>
        <w:rPr>
          <w:lang w:eastAsia="zh-CN"/>
        </w:rPr>
        <w:t>is</w:t>
      </w:r>
      <w:r w:rsidRPr="00DB349E">
        <w:rPr>
          <w:lang w:eastAsia="zh-CN"/>
        </w:rPr>
        <w:t xml:space="preserve"> </w:t>
      </w:r>
      <w:r>
        <w:rPr>
          <w:lang w:eastAsia="zh-CN"/>
        </w:rPr>
        <w:t>within</w:t>
      </w:r>
      <w:r w:rsidRPr="00DB349E">
        <w:rPr>
          <w:lang w:eastAsia="zh-CN"/>
        </w:rPr>
        <w:t xml:space="preserve"> the </w:t>
      </w:r>
      <w:r w:rsidRPr="00A5237B">
        <w:rPr>
          <w:i/>
          <w:iCs/>
        </w:rPr>
        <w:t>subslotLengthForPUCCH</w:t>
      </w:r>
      <w:r w:rsidRPr="00A5237B">
        <w:rPr>
          <w:noProof/>
          <w:lang w:eastAsia="zh-CN"/>
        </w:rPr>
        <w:t xml:space="preserve"> </w:t>
      </w:r>
      <w:r>
        <w:rPr>
          <w:noProof/>
          <w:lang w:eastAsia="zh-CN"/>
        </w:rPr>
        <w:t>symbols</w:t>
      </w:r>
      <w:r w:rsidRPr="00A5237B">
        <w:rPr>
          <w:noProof/>
          <w:lang w:eastAsia="zh-CN"/>
        </w:rPr>
        <w:t xml:space="preserve"> </w:t>
      </w:r>
      <w:r>
        <w:rPr>
          <w:lang w:eastAsia="zh-CN"/>
        </w:rPr>
        <w:t>in</w:t>
      </w:r>
      <w:r w:rsidRPr="00DB349E">
        <w:rPr>
          <w:lang w:eastAsia="zh-CN"/>
        </w:rPr>
        <w:t xml:space="preserve"> the</w:t>
      </w:r>
      <w:r>
        <w:rPr>
          <w:lang w:val="en-US" w:eastAsia="zh-CN"/>
        </w:rPr>
        <w:t xml:space="preserve"> second</w:t>
      </w:r>
      <w:r w:rsidRPr="00DB349E">
        <w:rPr>
          <w:lang w:eastAsia="zh-CN"/>
        </w:rPr>
        <w:t xml:space="preserve"> </w:t>
      </w:r>
      <w:r w:rsidRPr="00085EC7">
        <w:rPr>
          <w:i/>
          <w:iCs/>
          <w:lang w:eastAsia="zh-CN"/>
        </w:rPr>
        <w:t>PUCCH-Config</w:t>
      </w:r>
    </w:p>
    <w:p w14:paraId="4B09D637" w14:textId="639F3B2F" w:rsidR="005F77BA" w:rsidRDefault="005F77BA" w:rsidP="002734EA">
      <w:pPr>
        <w:rPr>
          <w:lang w:eastAsia="ko-KR"/>
        </w:rPr>
      </w:pPr>
      <w:r>
        <w:t xml:space="preserve">If a UE is provided </w:t>
      </w:r>
      <w:r>
        <w:rPr>
          <w:i/>
          <w:iCs/>
        </w:rPr>
        <w:t>subslotLengthForPUCCH</w:t>
      </w:r>
      <w:r>
        <w:rPr>
          <w:lang w:eastAsia="zh-CN"/>
        </w:rPr>
        <w:t xml:space="preserve"> in a </w:t>
      </w:r>
      <w:r>
        <w:rPr>
          <w:i/>
          <w:iCs/>
          <w:lang w:eastAsia="zh-CN"/>
        </w:rPr>
        <w:t>PUCCH-Config</w:t>
      </w:r>
      <w:r>
        <w:rPr>
          <w:lang w:eastAsia="zh-CN"/>
        </w:rPr>
        <w:t xml:space="preserve"> of a given priority index</w:t>
      </w:r>
      <w:r w:rsidRPr="007419EB">
        <w:rPr>
          <w:lang w:eastAsia="zh-CN"/>
        </w:rPr>
        <w:t xml:space="preserve">, </w:t>
      </w:r>
      <w:r w:rsidRPr="007419EB">
        <w:t xml:space="preserve">in a slot of </w:t>
      </w:r>
      <m:oMath>
        <m:sSubSup>
          <m:sSubSupPr>
            <m:ctrlPr>
              <w:rPr>
                <w:rFonts w:ascii="Cambria Math" w:hAnsi="Cambria Math"/>
                <w:sz w:val="24"/>
                <w:szCs w:val="24"/>
              </w:rPr>
            </m:ctrlPr>
          </m:sSubSupPr>
          <m:e>
            <m:r>
              <w:rPr>
                <w:rFonts w:ascii="Cambria Math" w:hAnsi="Cambria Math"/>
              </w:rPr>
              <m:t>N</m:t>
            </m:r>
          </m:e>
          <m:sub>
            <m:r>
              <m:rPr>
                <m:nor/>
              </m:rPr>
              <w:rPr>
                <w:rFonts w:ascii="Cambria Math" w:hAnsi="Cambria Math"/>
              </w:rPr>
              <m:t>sym</m:t>
            </m:r>
          </m:sub>
          <m:sup>
            <m:r>
              <m:rPr>
                <m:nor/>
              </m:rPr>
              <w:rPr>
                <w:rFonts w:ascii="Cambria Math" w:hAnsi="Cambria Math"/>
              </w:rPr>
              <m:t>slot</m:t>
            </m:r>
          </m:sup>
        </m:sSubSup>
      </m:oMath>
      <w:r>
        <w:rPr>
          <w:lang w:val="de-AT"/>
        </w:rPr>
        <w:t xml:space="preserve"> </w:t>
      </w:r>
      <w:r w:rsidRPr="007419EB">
        <w:t>symbols [4, TS 38.211] with HARQ-ACK</w:t>
      </w:r>
      <w:r w:rsidRPr="007419EB">
        <w:rPr>
          <w:lang w:eastAsia="zh-CN"/>
        </w:rPr>
        <w:t>, the UE does not expect t</w:t>
      </w:r>
      <w:r>
        <w:rPr>
          <w:lang w:eastAsia="zh-CN"/>
        </w:rPr>
        <w:t xml:space="preserve">hat </w:t>
      </w:r>
      <w:r>
        <w:t xml:space="preserve">HARQ-ACK information in response to SPS PDSCH reception(s) only (if any) or SR (if any) of the given priority index </w:t>
      </w:r>
      <w:r>
        <w:rPr>
          <w:lang w:eastAsia="ko-KR"/>
        </w:rPr>
        <w:t xml:space="preserve">in a slot </w:t>
      </w:r>
      <w:r>
        <w:t xml:space="preserve">of </w:t>
      </w:r>
      <w:r>
        <w:rPr>
          <w:i/>
          <w:iCs/>
          <w:lang w:eastAsia="ko-KR"/>
        </w:rPr>
        <w:t>subslotLengthForPUCCH</w:t>
      </w:r>
      <w:r>
        <w:rPr>
          <w:lang w:eastAsia="ko-KR"/>
        </w:rPr>
        <w:t xml:space="preserve"> symbols is moved to a different slot of </w:t>
      </w:r>
      <w:r>
        <w:rPr>
          <w:i/>
          <w:iCs/>
          <w:lang w:eastAsia="ko-KR"/>
        </w:rPr>
        <w:t xml:space="preserve">subslotLengthForPUCCH </w:t>
      </w:r>
      <w:r>
        <w:rPr>
          <w:lang w:eastAsia="ko-KR"/>
        </w:rPr>
        <w:t>symbols after multiplexing overlapping PUCCHs.</w:t>
      </w:r>
    </w:p>
    <w:p w14:paraId="1700DF66" w14:textId="46995448" w:rsidR="00DF0F4D" w:rsidRDefault="002734EA" w:rsidP="002734EA">
      <w:pPr>
        <w:rPr>
          <w:lang w:eastAsia="zh-CN"/>
        </w:rPr>
      </w:pPr>
      <w:r>
        <w:rPr>
          <w:lang w:eastAsia="zh-CN"/>
        </w:rPr>
        <w:t xml:space="preserve">If in an active DL BWP a UE monitors PDCCH for detection of DCI format </w:t>
      </w:r>
      <w:r w:rsidR="009B5A01" w:rsidRPr="00111FF6">
        <w:rPr>
          <w:lang w:eastAsia="zh-CN"/>
        </w:rPr>
        <w:t>that includes a priority indicator field</w:t>
      </w:r>
      <w:r>
        <w:rPr>
          <w:lang w:eastAsia="zh-CN"/>
        </w:rPr>
        <w:t xml:space="preserve">, a priority index can be provided by </w:t>
      </w:r>
      <w:r w:rsidR="009B5A01" w:rsidRPr="00111FF6">
        <w:rPr>
          <w:lang w:eastAsia="zh-CN"/>
        </w:rPr>
        <w:t>the</w:t>
      </w:r>
      <w:r>
        <w:rPr>
          <w:lang w:eastAsia="zh-CN"/>
        </w:rPr>
        <w:t xml:space="preserve"> priority indicator field. If a UE indicates a capability to monitor, in an active DL BWP, PDCCH for detection of DCI format </w:t>
      </w:r>
      <w:r w:rsidR="009B5A01" w:rsidRPr="00111FF6">
        <w:rPr>
          <w:lang w:eastAsia="zh-CN"/>
        </w:rPr>
        <w:t xml:space="preserve">that includes a priority indicator field, the DCI format </w:t>
      </w:r>
      <w:r>
        <w:rPr>
          <w:lang w:eastAsia="zh-CN"/>
        </w:rPr>
        <w:t>can schedule PUSCH transmission</w:t>
      </w:r>
      <w:r w:rsidR="00BF4A38">
        <w:rPr>
          <w:lang w:eastAsia="zh-CN"/>
        </w:rPr>
        <w:t>s</w:t>
      </w:r>
      <w:r>
        <w:rPr>
          <w:lang w:eastAsia="zh-CN"/>
        </w:rPr>
        <w:t xml:space="preserve"> of any priority</w:t>
      </w:r>
      <w:r w:rsidR="006C5786">
        <w:rPr>
          <w:lang w:eastAsia="zh-CN"/>
        </w:rPr>
        <w:t>,</w:t>
      </w:r>
      <w:r>
        <w:rPr>
          <w:lang w:eastAsia="zh-CN"/>
        </w:rPr>
        <w:t xml:space="preserve"> </w:t>
      </w:r>
      <w:r w:rsidR="009B5A01" w:rsidRPr="00111FF6">
        <w:rPr>
          <w:lang w:eastAsia="zh-CN"/>
        </w:rPr>
        <w:t xml:space="preserve">or </w:t>
      </w:r>
      <w:r>
        <w:rPr>
          <w:lang w:eastAsia="zh-CN"/>
        </w:rPr>
        <w:t>PDSCH reception</w:t>
      </w:r>
      <w:r w:rsidR="00BF4A38">
        <w:rPr>
          <w:lang w:eastAsia="zh-CN"/>
        </w:rPr>
        <w:t>s</w:t>
      </w:r>
      <w:r>
        <w:rPr>
          <w:lang w:eastAsia="zh-CN"/>
        </w:rPr>
        <w:t xml:space="preserve"> and</w:t>
      </w:r>
      <w:r w:rsidR="009B5A01" w:rsidRPr="00111FF6">
        <w:rPr>
          <w:lang w:eastAsia="zh-CN"/>
        </w:rPr>
        <w:t>/or</w:t>
      </w:r>
      <w:r>
        <w:rPr>
          <w:lang w:eastAsia="zh-CN"/>
        </w:rPr>
        <w:t xml:space="preserve"> trigger a PUCCH transmission with corresponding HARQ-ACK information of any priority</w:t>
      </w:r>
      <w:r w:rsidR="00FB3F23" w:rsidRPr="00F415B1">
        <w:rPr>
          <w:lang w:eastAsia="zh-CN"/>
        </w:rPr>
        <w:t xml:space="preserve">, and DCI format 1_1 or DCI format 1_2 </w:t>
      </w:r>
      <w:r w:rsidR="003468A9">
        <w:rPr>
          <w:lang w:eastAsia="zh-CN"/>
        </w:rPr>
        <w:t>with a Transmission Configuration Indication field</w:t>
      </w:r>
      <w:r w:rsidR="003468A9" w:rsidRPr="00F415B1">
        <w:rPr>
          <w:lang w:eastAsia="zh-CN"/>
        </w:rPr>
        <w:t xml:space="preserve"> </w:t>
      </w:r>
      <w:r w:rsidR="00FB3F23" w:rsidRPr="00F415B1">
        <w:rPr>
          <w:lang w:eastAsia="zh-CN"/>
        </w:rPr>
        <w:t>can indicate a TCI state update and trigger a PUCCH transmission with corresponding HARQ-ACK information of any priority</w:t>
      </w:r>
      <w:r>
        <w:rPr>
          <w:lang w:eastAsia="zh-CN"/>
        </w:rPr>
        <w:t xml:space="preserve">. </w:t>
      </w:r>
    </w:p>
    <w:p w14:paraId="32322193" w14:textId="77777777" w:rsidR="00FB3F23" w:rsidRPr="00A404A8" w:rsidRDefault="00FB3F23" w:rsidP="00FB3F23">
      <w:pPr>
        <w:rPr>
          <w:lang w:val="en-US" w:eastAsia="zh-CN"/>
        </w:rPr>
      </w:pPr>
      <w:r>
        <w:rPr>
          <w:lang w:val="en-US" w:eastAsia="zh-CN"/>
        </w:rPr>
        <w:t xml:space="preserve">A </w:t>
      </w:r>
      <w:r w:rsidRPr="00F415B1">
        <w:rPr>
          <w:lang w:val="en-US" w:eastAsia="zh-CN"/>
        </w:rPr>
        <w:t>DCI format</w:t>
      </w:r>
      <w:r>
        <w:rPr>
          <w:lang w:val="en-US" w:eastAsia="zh-CN"/>
        </w:rPr>
        <w:t xml:space="preserve"> indicating a SPS PDSCH release, or </w:t>
      </w:r>
      <w:r w:rsidRPr="00F415B1">
        <w:rPr>
          <w:lang w:eastAsia="zh-CN"/>
        </w:rPr>
        <w:t>SCell dormancy</w:t>
      </w:r>
      <w:r>
        <w:rPr>
          <w:lang w:eastAsia="zh-CN"/>
        </w:rPr>
        <w:t xml:space="preserve"> without scheduling a PDSCH reception, or indicating a TCI state update</w:t>
      </w:r>
      <w:r w:rsidRPr="00E74778">
        <w:rPr>
          <w:lang w:eastAsia="zh-CN"/>
        </w:rPr>
        <w:t xml:space="preserve"> </w:t>
      </w:r>
      <w:r>
        <w:rPr>
          <w:lang w:eastAsia="zh-CN"/>
        </w:rPr>
        <w:t>without scheduling PDSCH reception, is referred to as a DCI format</w:t>
      </w:r>
      <w:r w:rsidRPr="00F415B1">
        <w:rPr>
          <w:lang w:val="en-US" w:eastAsia="zh-CN"/>
        </w:rPr>
        <w:t xml:space="preserve"> having associated HARQ-ACK information without scheduling </w:t>
      </w:r>
      <w:r>
        <w:rPr>
          <w:lang w:val="en-US" w:eastAsia="zh-CN"/>
        </w:rPr>
        <w:t xml:space="preserve">a </w:t>
      </w:r>
      <w:r w:rsidRPr="00F415B1">
        <w:rPr>
          <w:lang w:val="en-US" w:eastAsia="zh-CN"/>
        </w:rPr>
        <w:t>PDSCH reception</w:t>
      </w:r>
      <w:r>
        <w:rPr>
          <w:lang w:val="en-US" w:eastAsia="zh-CN"/>
        </w:rPr>
        <w:t>.</w:t>
      </w:r>
      <w:r w:rsidRPr="00F415B1">
        <w:rPr>
          <w:rFonts w:ascii="Times" w:hAnsi="Times" w:cs="Gulim"/>
          <w:lang w:eastAsia="zh-CN"/>
        </w:rPr>
        <w:t xml:space="preserve"> </w:t>
      </w:r>
    </w:p>
    <w:p w14:paraId="270633A4" w14:textId="77777777" w:rsidR="00CF2922" w:rsidRPr="00CF2922" w:rsidRDefault="00CF2922" w:rsidP="00CF2922">
      <w:pPr>
        <w:rPr>
          <w:rFonts w:ascii="Times" w:eastAsia="Malgun Gothic" w:hAnsi="Times" w:cs="Times"/>
          <w:lang w:eastAsia="zh-CN"/>
        </w:rPr>
      </w:pPr>
      <w:r w:rsidRPr="00CF2922">
        <w:rPr>
          <w:rFonts w:ascii="Times" w:eastAsia="Malgun Gothic" w:hAnsi="Times" w:cs="Times"/>
          <w:lang w:eastAsia="zh-CN"/>
        </w:rPr>
        <w:t xml:space="preserve">For the remaining of this clause, when a UE </w:t>
      </w:r>
    </w:p>
    <w:p w14:paraId="33F7F372" w14:textId="77777777" w:rsidR="00CF2922" w:rsidRPr="00CF2922" w:rsidRDefault="00CF2922" w:rsidP="00CF2922">
      <w:pPr>
        <w:pStyle w:val="B1"/>
      </w:pPr>
      <w:r w:rsidRPr="00CF2922">
        <w:t>-</w:t>
      </w:r>
      <w:r w:rsidRPr="00CF2922">
        <w:tab/>
      </w:r>
      <w:r w:rsidRPr="00CF2922">
        <w:rPr>
          <w:lang w:eastAsia="ko-KR"/>
        </w:rPr>
        <w:t xml:space="preserve">is not provided </w:t>
      </w:r>
      <w:r w:rsidRPr="00CF2922">
        <w:rPr>
          <w:i/>
          <w:szCs w:val="16"/>
          <w:lang w:val="en-US"/>
        </w:rPr>
        <w:t>coreset</w:t>
      </w:r>
      <w:r w:rsidRPr="00CF2922">
        <w:rPr>
          <w:i/>
          <w:szCs w:val="16"/>
        </w:rPr>
        <w:t>PoolIndex</w:t>
      </w:r>
      <w:r w:rsidRPr="00CF2922">
        <w:t xml:space="preserve"> or is provided </w:t>
      </w:r>
      <w:r w:rsidRPr="00CF2922">
        <w:rPr>
          <w:i/>
          <w:szCs w:val="16"/>
          <w:lang w:val="en-US"/>
        </w:rPr>
        <w:t>coreset</w:t>
      </w:r>
      <w:r w:rsidRPr="00CF2922">
        <w:rPr>
          <w:i/>
          <w:szCs w:val="16"/>
        </w:rPr>
        <w:t>PoolIndex</w:t>
      </w:r>
      <w:r w:rsidRPr="00CF2922">
        <w:t xml:space="preserve"> with a value of 0 for first CORESETs, and is provided</w:t>
      </w:r>
      <w:r w:rsidRPr="00CF2922">
        <w:rPr>
          <w:i/>
          <w:szCs w:val="16"/>
          <w:lang w:val="en-US"/>
        </w:rPr>
        <w:t xml:space="preserve"> coreset</w:t>
      </w:r>
      <w:r w:rsidRPr="00CF2922">
        <w:rPr>
          <w:i/>
          <w:szCs w:val="16"/>
        </w:rPr>
        <w:t>PoolIndex</w:t>
      </w:r>
      <w:r w:rsidRPr="00CF2922">
        <w:t xml:space="preserve"> with a value of 1 for second CORESETs, on active DL BWPs of serving cells, and</w:t>
      </w:r>
    </w:p>
    <w:p w14:paraId="4A432039" w14:textId="77777777" w:rsidR="00CF2922" w:rsidRPr="00CF2922" w:rsidRDefault="00CF2922" w:rsidP="00CF2922">
      <w:pPr>
        <w:pStyle w:val="B1"/>
      </w:pPr>
      <w:r w:rsidRPr="00CF2922">
        <w:t>-</w:t>
      </w:r>
      <w:r w:rsidRPr="00CF2922">
        <w:tab/>
      </w:r>
      <w:r w:rsidRPr="00CF2922">
        <w:rPr>
          <w:lang w:eastAsia="ko-KR"/>
        </w:rPr>
        <w:t xml:space="preserve">is provided </w:t>
      </w:r>
      <w:r w:rsidRPr="00CF2922">
        <w:rPr>
          <w:i/>
          <w:iCs/>
          <w:lang w:val="en-US"/>
        </w:rPr>
        <w:t>enableSTx2PofmDCI</w:t>
      </w:r>
    </w:p>
    <w:p w14:paraId="0C38134F" w14:textId="0B88A8AE" w:rsidR="00CF2922" w:rsidRPr="00CF2922" w:rsidRDefault="00CF2922" w:rsidP="00CF2922">
      <w:pPr>
        <w:rPr>
          <w:rFonts w:ascii="Times" w:eastAsia="Malgun Gothic" w:hAnsi="Times" w:cs="Times"/>
          <w:lang w:eastAsia="zh-CN"/>
        </w:rPr>
      </w:pPr>
      <w:r w:rsidRPr="00CF2922">
        <w:rPr>
          <w:rFonts w:ascii="Times" w:eastAsia="Malgun Gothic" w:hAnsi="Times" w:cs="Times"/>
          <w:lang w:eastAsia="zh-CN"/>
        </w:rPr>
        <w:t xml:space="preserve">the UE separately determines and resolves time overlapping among first PUSCH transmissions that </w:t>
      </w:r>
      <w:r w:rsidRPr="00CF2922">
        <w:t xml:space="preserve">use respective first spatial domain filters corresponding to first </w:t>
      </w:r>
      <w:r w:rsidRPr="00CF2922">
        <w:rPr>
          <w:i/>
          <w:iCs/>
          <w:lang w:val="en-US"/>
        </w:rPr>
        <w:t>TCI-State</w:t>
      </w:r>
      <w:r w:rsidRPr="00CF2922">
        <w:rPr>
          <w:lang w:val="en-US"/>
        </w:rPr>
        <w:t xml:space="preserve"> or</w:t>
      </w:r>
      <w:r w:rsidRPr="00CF2922">
        <w:rPr>
          <w:i/>
          <w:iCs/>
          <w:lang w:val="en-US"/>
        </w:rPr>
        <w:t xml:space="preserve"> TCI-UL-State</w:t>
      </w:r>
      <w:r w:rsidRPr="00CF2922">
        <w:t xml:space="preserve"> associated with the first CORESETs, and among second </w:t>
      </w:r>
      <w:r w:rsidRPr="00CF2922">
        <w:rPr>
          <w:rFonts w:ascii="Times" w:eastAsia="Malgun Gothic" w:hAnsi="Times" w:cs="Times"/>
          <w:lang w:eastAsia="zh-CN"/>
        </w:rPr>
        <w:t xml:space="preserve">PUSCH transmissions that </w:t>
      </w:r>
      <w:r w:rsidRPr="00CF2922">
        <w:t xml:space="preserve">use respective second spatial domain filters corresponding to second </w:t>
      </w:r>
      <w:r w:rsidRPr="00CF2922">
        <w:rPr>
          <w:i/>
          <w:iCs/>
          <w:lang w:val="en-US"/>
        </w:rPr>
        <w:t>TCI-State</w:t>
      </w:r>
      <w:r w:rsidRPr="00CF2922">
        <w:rPr>
          <w:lang w:val="en-US"/>
        </w:rPr>
        <w:t xml:space="preserve"> or</w:t>
      </w:r>
      <w:r w:rsidRPr="00CF2922">
        <w:rPr>
          <w:i/>
          <w:iCs/>
          <w:lang w:val="en-US"/>
        </w:rPr>
        <w:t xml:space="preserve"> TCI-UL-State</w:t>
      </w:r>
      <w:r w:rsidRPr="00CF2922">
        <w:t xml:space="preserve"> associated with the second CORESETs.</w:t>
      </w:r>
    </w:p>
    <w:p w14:paraId="6247E1A2" w14:textId="7D16A948" w:rsidR="00BD6CD4" w:rsidRDefault="00BD6CD4" w:rsidP="00BD6CD4">
      <w:pPr>
        <w:rPr>
          <w:rFonts w:ascii="Times" w:hAnsi="Times" w:cs="Times"/>
          <w:lang w:eastAsia="zh-CN"/>
        </w:rPr>
      </w:pPr>
      <w:r>
        <w:rPr>
          <w:rFonts w:ascii="Times" w:hAnsi="Times" w:cs="Gulim"/>
          <w:lang w:eastAsia="zh-CN"/>
        </w:rPr>
        <w:t xml:space="preserve">When a UE determines overlapping for PUCCH transmissions with SL HARQ-ACK reports and PUCCH of larger and/or smaller priority index, the UE resolves the overlapping for PUCCH transmissions with SL HARQ-ACK reports and PUCCH of each priority index as described </w:t>
      </w:r>
      <w:r w:rsidR="006F5F9E">
        <w:rPr>
          <w:rFonts w:ascii="Times" w:hAnsi="Times" w:cs="Gulim"/>
          <w:lang w:eastAsia="zh-CN"/>
        </w:rPr>
        <w:t>in clause</w:t>
      </w:r>
      <w:r>
        <w:rPr>
          <w:rFonts w:ascii="Times" w:hAnsi="Times" w:cs="Gulim"/>
          <w:lang w:eastAsia="zh-CN"/>
        </w:rPr>
        <w:t xml:space="preserve"> 9.2.5 and 9.2.6</w:t>
      </w:r>
      <w:r w:rsidR="00DE110F">
        <w:rPr>
          <w:rFonts w:ascii="Times" w:hAnsi="Times" w:cs="Gulim"/>
          <w:lang w:eastAsia="zh-CN"/>
        </w:rPr>
        <w:t xml:space="preserve"> </w:t>
      </w:r>
      <w:r w:rsidR="00DE110F" w:rsidRPr="008136B8">
        <w:rPr>
          <w:rFonts w:ascii="Times" w:hAnsi="Times" w:cs="Gulim"/>
          <w:lang w:eastAsia="zh-CN"/>
        </w:rPr>
        <w:t>before resolving the overlapping for PUCCH transmissions without SL HARQ-ACK or the overlapping for PUCCH transmissions and PUSCH transmissions</w:t>
      </w:r>
      <w:r>
        <w:rPr>
          <w:rFonts w:ascii="Times" w:hAnsi="Times" w:cs="Gulim"/>
          <w:lang w:eastAsia="zh-CN"/>
        </w:rPr>
        <w:t>.</w:t>
      </w:r>
    </w:p>
    <w:p w14:paraId="0EBA0737" w14:textId="695BB18D" w:rsidR="007E5D7D" w:rsidRPr="007E5D7D" w:rsidRDefault="007E5D7D" w:rsidP="007E5D7D">
      <w:pPr>
        <w:rPr>
          <w:rFonts w:ascii="Times" w:eastAsia="Malgun Gothic" w:hAnsi="Times" w:cs="Times"/>
          <w:lang w:eastAsia="zh-CN"/>
        </w:rPr>
      </w:pPr>
      <w:r w:rsidRPr="007E5D7D">
        <w:rPr>
          <w:rFonts w:ascii="Times" w:eastAsia="Malgun Gothic" w:hAnsi="Times" w:cs="Times"/>
          <w:lang w:eastAsia="zh-CN"/>
        </w:rPr>
        <w:t xml:space="preserve">When a UE determines overlapping for PUCCH and/or PUSCH transmissions of the same priority index </w:t>
      </w:r>
      <w:r w:rsidRPr="007E5D7D">
        <w:rPr>
          <w:rFonts w:ascii="Times" w:eastAsia="Malgun Gothic" w:hAnsi="Times"/>
        </w:rPr>
        <w:t>other than PUCCH transmissions with SL HARQ-ACK reports</w:t>
      </w:r>
      <w:r w:rsidRPr="007E5D7D">
        <w:rPr>
          <w:rFonts w:ascii="Times" w:eastAsia="Malgun Gothic" w:hAnsi="Times" w:cs="Times"/>
        </w:rPr>
        <w:t xml:space="preserve"> </w:t>
      </w:r>
      <w:r w:rsidRPr="007E5D7D">
        <w:rPr>
          <w:rFonts w:eastAsia="Malgun Gothic"/>
        </w:rPr>
        <w:t xml:space="preserve">before considering limitations for UE transmission </w:t>
      </w:r>
      <w:r w:rsidR="00504B9B" w:rsidRPr="00273100">
        <w:t xml:space="preserve">due to cell DRX operation </w:t>
      </w:r>
      <w:r w:rsidR="00504B9B">
        <w:t xml:space="preserve">[11, TS 38.321] </w:t>
      </w:r>
      <w:r w:rsidR="00504B9B" w:rsidRPr="00273100">
        <w:t>or</w:t>
      </w:r>
      <w:r w:rsidR="00504B9B" w:rsidRPr="00273100">
        <w:rPr>
          <w:rFonts w:eastAsia="Malgun Gothic"/>
        </w:rPr>
        <w:t xml:space="preserve"> </w:t>
      </w:r>
      <w:r w:rsidRPr="007E5D7D">
        <w:rPr>
          <w:rFonts w:eastAsia="Malgun Gothic"/>
        </w:rPr>
        <w:t>as described in clause</w:t>
      </w:r>
      <w:r w:rsidR="004B3D37">
        <w:rPr>
          <w:rFonts w:eastAsia="Malgun Gothic"/>
        </w:rPr>
        <w:t>s</w:t>
      </w:r>
      <w:r w:rsidRPr="007E5D7D">
        <w:rPr>
          <w:rFonts w:eastAsia="Malgun Gothic"/>
        </w:rPr>
        <w:t xml:space="preserve"> 11.1</w:t>
      </w:r>
      <w:r w:rsidR="004B3D37">
        <w:rPr>
          <w:rFonts w:eastAsia="Malgun Gothic"/>
        </w:rPr>
        <w:t>,</w:t>
      </w:r>
      <w:r w:rsidRPr="007E5D7D">
        <w:rPr>
          <w:rFonts w:eastAsia="Malgun Gothic" w:hint="eastAsia"/>
          <w:lang w:eastAsia="zh-CN"/>
        </w:rPr>
        <w:t xml:space="preserve"> 11.1.1</w:t>
      </w:r>
      <w:r w:rsidRPr="007E5D7D">
        <w:rPr>
          <w:rFonts w:ascii="Times" w:eastAsia="Malgun Gothic" w:hAnsi="Times" w:cs="Times"/>
          <w:lang w:eastAsia="zh-CN"/>
        </w:rPr>
        <w:t xml:space="preserve">, </w:t>
      </w:r>
      <w:r w:rsidR="004B3D37">
        <w:rPr>
          <w:rFonts w:ascii="Times" w:eastAsia="Malgun Gothic" w:hAnsi="Times" w:cs="Times"/>
          <w:lang w:eastAsia="zh-CN"/>
        </w:rPr>
        <w:t>11.2A</w:t>
      </w:r>
      <w:r w:rsidR="003B0C82">
        <w:rPr>
          <w:rFonts w:asciiTheme="minorEastAsia" w:hAnsiTheme="minorEastAsia" w:cs="Times" w:hint="eastAsia"/>
          <w:lang w:eastAsia="zh-CN"/>
        </w:rPr>
        <w:t>,</w:t>
      </w:r>
      <w:r w:rsidR="003B0C82">
        <w:rPr>
          <w:rFonts w:asciiTheme="minorEastAsia" w:hAnsiTheme="minorEastAsia" w:cs="Times"/>
          <w:lang w:eastAsia="zh-CN"/>
        </w:rPr>
        <w:t xml:space="preserve"> </w:t>
      </w:r>
      <w:r w:rsidR="003B0C82">
        <w:rPr>
          <w:rFonts w:ascii="Times" w:hAnsi="Times" w:cs="Times" w:hint="eastAsia"/>
          <w:lang w:eastAsia="zh-CN"/>
        </w:rPr>
        <w:t>15</w:t>
      </w:r>
      <w:r w:rsidR="004B3D37">
        <w:rPr>
          <w:rFonts w:ascii="Times" w:eastAsia="Malgun Gothic" w:hAnsi="Times" w:cs="Times"/>
          <w:lang w:eastAsia="zh-CN"/>
        </w:rPr>
        <w:t xml:space="preserve"> </w:t>
      </w:r>
      <w:r w:rsidR="001A51E3">
        <w:rPr>
          <w:rFonts w:ascii="Times" w:hAnsi="Times" w:cs="Times" w:hint="eastAsia"/>
          <w:lang w:eastAsia="zh-CN"/>
        </w:rPr>
        <w:t xml:space="preserve">and 17.2 </w:t>
      </w:r>
      <w:r w:rsidRPr="007E5D7D">
        <w:rPr>
          <w:rFonts w:ascii="Times" w:eastAsia="Malgun Gothic" w:hAnsi="Times" w:cs="Times"/>
          <w:lang w:eastAsia="zh-CN"/>
        </w:rPr>
        <w:t xml:space="preserve">including repetitions if any, </w:t>
      </w:r>
    </w:p>
    <w:p w14:paraId="11B382AE" w14:textId="17A4695B" w:rsidR="007E5D7D" w:rsidRPr="007E5D7D" w:rsidRDefault="007E5D7D" w:rsidP="007E5D7D">
      <w:pPr>
        <w:pStyle w:val="B1"/>
        <w:rPr>
          <w:lang w:eastAsia="zh-CN"/>
        </w:rPr>
      </w:pPr>
      <w:r w:rsidRPr="007E5D7D">
        <w:t>-</w:t>
      </w:r>
      <w:r w:rsidRPr="007E5D7D">
        <w:tab/>
      </w:r>
      <w:r w:rsidRPr="007E5D7D">
        <w:rPr>
          <w:lang w:val="en-US"/>
        </w:rPr>
        <w:t xml:space="preserve">first, </w:t>
      </w:r>
      <w:r w:rsidRPr="007E5D7D">
        <w:rPr>
          <w:lang w:eastAsia="zh-CN"/>
        </w:rPr>
        <w:t>the UE resolves the overlapping for PUCCHs with repetitions as described in clause 9.2.6, if any</w:t>
      </w:r>
    </w:p>
    <w:p w14:paraId="2EA8FB71" w14:textId="77777777" w:rsidR="007E5D7D" w:rsidRPr="007E5D7D" w:rsidRDefault="007E5D7D" w:rsidP="007E5D7D">
      <w:pPr>
        <w:pStyle w:val="B1"/>
        <w:rPr>
          <w:lang w:eastAsia="zh-CN"/>
        </w:rPr>
      </w:pPr>
      <w:r w:rsidRPr="007E5D7D">
        <w:rPr>
          <w:rFonts w:hint="eastAsia"/>
        </w:rPr>
        <w:t>-</w:t>
      </w:r>
      <w:r w:rsidRPr="007E5D7D">
        <w:tab/>
      </w:r>
      <w:r w:rsidRPr="007E5D7D">
        <w:rPr>
          <w:lang w:val="en-US"/>
        </w:rPr>
        <w:t xml:space="preserve">second, </w:t>
      </w:r>
      <w:r w:rsidRPr="007E5D7D">
        <w:rPr>
          <w:lang w:eastAsia="zh-CN"/>
        </w:rPr>
        <w:t>the UE resolves the overlapping for PUCCHs without repetitions as described in clauses 9.2.5</w:t>
      </w:r>
    </w:p>
    <w:p w14:paraId="23C2FAAA" w14:textId="0F8FE78A" w:rsidR="007E5D7D" w:rsidRPr="007E5D7D" w:rsidRDefault="007E5D7D" w:rsidP="007E5D7D">
      <w:pPr>
        <w:pStyle w:val="B1"/>
        <w:rPr>
          <w:lang w:eastAsia="zh-CN"/>
        </w:rPr>
      </w:pPr>
      <w:r w:rsidRPr="007E5D7D">
        <w:rPr>
          <w:rFonts w:hint="eastAsia"/>
        </w:rPr>
        <w:t>-</w:t>
      </w:r>
      <w:r w:rsidRPr="007E5D7D">
        <w:tab/>
      </w:r>
      <w:r w:rsidRPr="007E5D7D">
        <w:rPr>
          <w:lang w:val="en-US"/>
        </w:rPr>
        <w:t xml:space="preserve">third, </w:t>
      </w:r>
      <w:r w:rsidRPr="007E5D7D">
        <w:rPr>
          <w:lang w:eastAsia="zh-CN"/>
        </w:rPr>
        <w:t>the UE resolves the overlapping for PUSCHs and PUCCHs with repetitions as described in clause 9.2.6</w:t>
      </w:r>
    </w:p>
    <w:p w14:paraId="0A1712B8" w14:textId="3953145E" w:rsidR="007E5D7D" w:rsidRPr="007E5D7D" w:rsidRDefault="007E5D7D" w:rsidP="007E5D7D">
      <w:pPr>
        <w:pStyle w:val="B1"/>
        <w:rPr>
          <w:szCs w:val="32"/>
          <w:lang w:val="en-GB"/>
        </w:rPr>
      </w:pPr>
      <w:r w:rsidRPr="007E5D7D">
        <w:rPr>
          <w:rFonts w:hint="eastAsia"/>
          <w:lang w:eastAsia="zh-CN"/>
        </w:rPr>
        <w:lastRenderedPageBreak/>
        <w:t>-</w:t>
      </w:r>
      <w:r w:rsidRPr="007E5D7D">
        <w:rPr>
          <w:lang w:eastAsia="zh-CN"/>
        </w:rPr>
        <w:tab/>
        <w:t>fourth, the UE resolves the overlapping for PUSCHs and PUCCHs without repetitions as is subsequently described in this clause</w:t>
      </w:r>
      <w:r>
        <w:rPr>
          <w:lang w:val="en-GB" w:eastAsia="zh-CN"/>
        </w:rPr>
        <w:t>.</w:t>
      </w:r>
    </w:p>
    <w:p w14:paraId="624DF5B0" w14:textId="77777777" w:rsidR="00C94BE1" w:rsidRPr="00D24C02" w:rsidRDefault="00C94BE1" w:rsidP="00C94BE1">
      <w:r w:rsidRPr="00D24C02">
        <w:t xml:space="preserve">After resolving the overlapping for </w:t>
      </w:r>
      <w:r w:rsidRPr="00D24C02">
        <w:rPr>
          <w:lang w:eastAsia="zh-CN"/>
        </w:rPr>
        <w:t xml:space="preserve">PUCCH and/or PUSCH transmissions, and if cell DRX is activated for a serving cell and a PUCCH or PUSCH transmission would overlap with the non-active period of cell DRX of the serving cell, the UE </w:t>
      </w:r>
      <w:r w:rsidRPr="00D24C02">
        <w:t>does not transmit the PUCCH if HARQ-ACK information is not multiplexed in the PUCCH, or does not transmit the PUSCH if HARQ-ACK information is not multiplexed in the PUSCH and the PUSCH is not associated with a corresponding PDCCH, respectively.</w:t>
      </w:r>
    </w:p>
    <w:p w14:paraId="2B43B854" w14:textId="77777777" w:rsidR="00F25051" w:rsidRPr="00647C89" w:rsidRDefault="00F25051" w:rsidP="00F25051">
      <w:pPr>
        <w:rPr>
          <w:lang w:val="en-US"/>
        </w:rPr>
      </w:pPr>
      <w:r w:rsidRPr="00647C89">
        <w:rPr>
          <w:lang w:val="en-US"/>
        </w:rPr>
        <w:t>If a UE</w:t>
      </w:r>
    </w:p>
    <w:p w14:paraId="600340DC" w14:textId="386CDFDE" w:rsidR="00F25051" w:rsidRPr="00647C89" w:rsidRDefault="00F25051" w:rsidP="00F25051">
      <w:pPr>
        <w:pStyle w:val="B1"/>
        <w:rPr>
          <w:lang w:val="en-US"/>
        </w:rPr>
      </w:pPr>
      <w:r w:rsidRPr="00647C89">
        <w:t>-</w:t>
      </w:r>
      <w:r w:rsidRPr="00647C89">
        <w:tab/>
      </w:r>
      <w:r w:rsidRPr="00647C89">
        <w:rPr>
          <w:lang w:val="en-US"/>
        </w:rPr>
        <w:t xml:space="preserve">is provided </w:t>
      </w:r>
      <w:r w:rsidRPr="00647C89">
        <w:rPr>
          <w:i/>
          <w:lang w:val="en-US"/>
        </w:rPr>
        <w:t>simultaneousPUCCH-PUSCH</w:t>
      </w:r>
      <w:r w:rsidRPr="00647C89">
        <w:rPr>
          <w:lang w:val="en-US"/>
        </w:rPr>
        <w:t xml:space="preserve"> and would transmit a PUCCH with a first priority index and PUSCHs with a second priority index that is different than the first priority index, where the PUCCH and the PUSCHs overlap in time</w:t>
      </w:r>
      <w:r w:rsidR="00D631FA">
        <w:rPr>
          <w:lang w:val="en-US"/>
        </w:rPr>
        <w:t xml:space="preserve"> </w:t>
      </w:r>
      <w:r w:rsidR="00D631FA" w:rsidRPr="00EE38D8">
        <w:t>on different respective cells</w:t>
      </w:r>
    </w:p>
    <w:p w14:paraId="77DC29A9" w14:textId="62FE06C9" w:rsidR="00F25051" w:rsidRPr="00647C89" w:rsidRDefault="00F25051" w:rsidP="00F25051">
      <w:pPr>
        <w:pStyle w:val="B1"/>
        <w:rPr>
          <w:lang w:val="en-US"/>
        </w:rPr>
      </w:pPr>
      <w:r w:rsidRPr="00647C89">
        <w:t>-</w:t>
      </w:r>
      <w:r w:rsidRPr="00647C89">
        <w:tab/>
      </w:r>
      <w:r w:rsidRPr="00647C89">
        <w:rPr>
          <w:lang w:val="en-US"/>
        </w:rPr>
        <w:t>can simultaneously transmit the PUCCH and the PUSCHs</w:t>
      </w:r>
      <w:r>
        <w:rPr>
          <w:lang w:val="en-US"/>
        </w:rPr>
        <w:t xml:space="preserve"> </w:t>
      </w:r>
      <w:r w:rsidR="00D631FA" w:rsidRPr="00EE38D8">
        <w:rPr>
          <w:lang w:val="en-US"/>
        </w:rPr>
        <w:t>with different priority indexes</w:t>
      </w:r>
      <w:r w:rsidR="00D631FA">
        <w:rPr>
          <w:lang w:val="en-US"/>
        </w:rPr>
        <w:t xml:space="preserve"> </w:t>
      </w:r>
      <w:r>
        <w:rPr>
          <w:lang w:val="en-US"/>
        </w:rPr>
        <w:t>[</w:t>
      </w:r>
      <w:r w:rsidR="00E63D37" w:rsidRPr="00F325E8">
        <w:t>1</w:t>
      </w:r>
      <w:r w:rsidR="00E63D37">
        <w:rPr>
          <w:lang w:val="en-GB"/>
        </w:rPr>
        <w:t>8</w:t>
      </w:r>
      <w:r w:rsidRPr="00F325E8">
        <w:t>, TS 38.306]</w:t>
      </w:r>
      <w:r w:rsidRPr="00647C89">
        <w:rPr>
          <w:lang w:val="en-US"/>
        </w:rPr>
        <w:t>,</w:t>
      </w:r>
    </w:p>
    <w:p w14:paraId="54372E41" w14:textId="02E4C949" w:rsidR="00F25051" w:rsidRDefault="00F25051" w:rsidP="00F25051">
      <w:pPr>
        <w:rPr>
          <w:lang w:val="en-US"/>
        </w:rPr>
      </w:pPr>
      <w:r w:rsidRPr="00647C89">
        <w:rPr>
          <w:lang w:val="en-US"/>
        </w:rPr>
        <w:t>the UE excludes the PUSCHs for resolving the time overlapping between the PUCCH and PUSCHs</w:t>
      </w:r>
      <w:r w:rsidR="00D631FA">
        <w:rPr>
          <w:lang w:val="en-US"/>
        </w:rPr>
        <w:t xml:space="preserve"> </w:t>
      </w:r>
      <w:r w:rsidR="00D631FA" w:rsidRPr="00EE38D8">
        <w:rPr>
          <w:lang w:val="en-US"/>
        </w:rPr>
        <w:t>with different priority indexes</w:t>
      </w:r>
      <w:r>
        <w:rPr>
          <w:lang w:val="en-US"/>
        </w:rPr>
        <w:t xml:space="preserve">, where the timeline conditions </w:t>
      </w:r>
      <w:r w:rsidR="00D631FA" w:rsidRPr="00EE38D8">
        <w:rPr>
          <w:lang w:val="en-US"/>
        </w:rPr>
        <w:t xml:space="preserve">for resolving the overlapping PUCCH and PUSCHs </w:t>
      </w:r>
      <w:r>
        <w:rPr>
          <w:lang w:val="en-US"/>
        </w:rPr>
        <w:t>are not required for the excluded PUSCHs</w:t>
      </w:r>
      <w:r w:rsidRPr="00647C89">
        <w:rPr>
          <w:lang w:val="en-US"/>
        </w:rPr>
        <w:t xml:space="preserve">. </w:t>
      </w:r>
    </w:p>
    <w:p w14:paraId="619E3251" w14:textId="77777777" w:rsidR="00D631FA" w:rsidRPr="00D631FA" w:rsidRDefault="00D631FA" w:rsidP="00D631FA">
      <w:pPr>
        <w:rPr>
          <w:lang w:val="en-US"/>
        </w:rPr>
      </w:pPr>
      <w:r w:rsidRPr="00D631FA">
        <w:rPr>
          <w:lang w:val="en-US"/>
        </w:rPr>
        <w:t>If a UE</w:t>
      </w:r>
    </w:p>
    <w:p w14:paraId="0CFD4756" w14:textId="77C1BB9D" w:rsidR="00D631FA" w:rsidRPr="00D631FA" w:rsidRDefault="00D631FA" w:rsidP="00D631FA">
      <w:pPr>
        <w:pStyle w:val="B1"/>
        <w:rPr>
          <w:lang w:val="en-GB"/>
        </w:rPr>
      </w:pPr>
      <w:r w:rsidRPr="00D631FA">
        <w:t>-</w:t>
      </w:r>
      <w:r w:rsidRPr="00D631FA">
        <w:tab/>
        <w:t xml:space="preserve">is provided </w:t>
      </w:r>
      <w:r w:rsidRPr="00D631FA">
        <w:rPr>
          <w:i/>
        </w:rPr>
        <w:t>simultaneousPUCCH-PUSCH-SamePriority</w:t>
      </w:r>
      <w:r w:rsidRPr="00D631FA">
        <w:t xml:space="preserve"> and would transmit a PUCCH and PUSCHs with same priority index, </w:t>
      </w:r>
      <w:r w:rsidRPr="00D631FA">
        <w:rPr>
          <w:lang w:val="en-US"/>
        </w:rPr>
        <w:t xml:space="preserve">where the PUCCH and the PUSCHs overlap in time </w:t>
      </w:r>
      <w:r w:rsidRPr="00D631FA">
        <w:t>on different respective cells</w:t>
      </w:r>
      <w:r>
        <w:rPr>
          <w:lang w:val="en-GB"/>
        </w:rPr>
        <w:t>,</w:t>
      </w:r>
    </w:p>
    <w:p w14:paraId="6BA67605" w14:textId="77777777" w:rsidR="00D631FA" w:rsidRPr="00D631FA" w:rsidRDefault="00D631FA" w:rsidP="00D631FA">
      <w:pPr>
        <w:pStyle w:val="B1"/>
        <w:rPr>
          <w:lang w:val="en-US"/>
        </w:rPr>
      </w:pPr>
      <w:r w:rsidRPr="00D631FA">
        <w:t>-</w:t>
      </w:r>
      <w:r w:rsidRPr="00D631FA">
        <w:tab/>
      </w:r>
      <w:r w:rsidRPr="00D631FA">
        <w:rPr>
          <w:lang w:val="en-US"/>
        </w:rPr>
        <w:t>can simultaneously transmit the PUCCH and the PUSCHs with same priority index [</w:t>
      </w:r>
      <w:r w:rsidRPr="00D631FA">
        <w:t>18, TS 38.306]</w:t>
      </w:r>
      <w:r w:rsidRPr="00D631FA">
        <w:rPr>
          <w:lang w:val="en-US"/>
        </w:rPr>
        <w:t>,</w:t>
      </w:r>
    </w:p>
    <w:p w14:paraId="17FB0056" w14:textId="6DA490E6" w:rsidR="00D631FA" w:rsidRDefault="00D631FA" w:rsidP="00D631FA">
      <w:pPr>
        <w:rPr>
          <w:lang w:val="en-US"/>
        </w:rPr>
      </w:pPr>
      <w:r w:rsidRPr="00D631FA">
        <w:rPr>
          <w:lang w:val="en-US"/>
        </w:rPr>
        <w:t>the UE excludes the PUSCHs for resolving the time overlapping between the PUCCH and PUSCHs with same priority index, where the timeline conditions for resolving the overlapping PUCCH and PUSCHs are not required for the excluded PUSCHs.</w:t>
      </w:r>
    </w:p>
    <w:p w14:paraId="6CBDA5DE" w14:textId="1D4563A9" w:rsidR="00441824" w:rsidRPr="00111FF6" w:rsidRDefault="002B3948" w:rsidP="00504B9B">
      <w:pPr>
        <w:rPr>
          <w:lang w:eastAsia="zh-CN"/>
        </w:rPr>
      </w:pPr>
      <w:r w:rsidRPr="00CC5DCD">
        <w:rPr>
          <w:rFonts w:cs="Times"/>
          <w:lang w:eastAsia="zh-CN"/>
        </w:rPr>
        <w:t>When a UE determines overlapping for PUCCH and/or PUSCH transmissions of different priority indexes</w:t>
      </w:r>
      <w:r w:rsidR="00E63D37">
        <w:rPr>
          <w:rFonts w:cs="Times"/>
          <w:lang w:eastAsia="zh-CN"/>
        </w:rPr>
        <w:t>,</w:t>
      </w:r>
      <w:r w:rsidR="00BD6CD4" w:rsidRPr="00CC5DCD">
        <w:rPr>
          <w:rFonts w:cs="Times"/>
          <w:lang w:eastAsia="zh-CN"/>
        </w:rPr>
        <w:t xml:space="preserve"> </w:t>
      </w:r>
      <w:r w:rsidR="00BD6CD4" w:rsidRPr="00CC5DCD">
        <w:t>other than PUCCH transmissions with SL HARQ-ACK reports</w:t>
      </w:r>
      <w:r w:rsidR="00E63D37">
        <w:t>,</w:t>
      </w:r>
      <w:r w:rsidR="006C526C">
        <w:rPr>
          <w:rFonts w:cs="Times"/>
        </w:rPr>
        <w:t xml:space="preserve"> </w:t>
      </w:r>
      <w:r w:rsidR="006C526C" w:rsidRPr="00650775">
        <w:t xml:space="preserve">before considering limitations for transmission </w:t>
      </w:r>
      <w:r w:rsidR="00504B9B" w:rsidRPr="00273100">
        <w:t>due to cell DRX operation or</w:t>
      </w:r>
      <w:r w:rsidR="00504B9B" w:rsidRPr="00273100">
        <w:rPr>
          <w:rFonts w:eastAsia="Malgun Gothic"/>
        </w:rPr>
        <w:t xml:space="preserve"> </w:t>
      </w:r>
      <w:r w:rsidR="006C526C" w:rsidRPr="00650775">
        <w:t>as described in clause</w:t>
      </w:r>
      <w:r w:rsidR="004B3D37">
        <w:t>s</w:t>
      </w:r>
      <w:r w:rsidR="006C526C" w:rsidRPr="00650775">
        <w:t xml:space="preserve"> 11.1</w:t>
      </w:r>
      <w:r w:rsidR="004B3D37">
        <w:t>,</w:t>
      </w:r>
      <w:r w:rsidR="00423600">
        <w:rPr>
          <w:rFonts w:hint="eastAsia"/>
          <w:lang w:eastAsia="zh-CN"/>
        </w:rPr>
        <w:t xml:space="preserve"> 11.1.1</w:t>
      </w:r>
      <w:r w:rsidRPr="00CC5DCD">
        <w:rPr>
          <w:rFonts w:cs="Times"/>
          <w:lang w:eastAsia="zh-CN"/>
        </w:rPr>
        <w:t xml:space="preserve">, </w:t>
      </w:r>
      <w:r w:rsidR="004B3D37">
        <w:rPr>
          <w:rFonts w:eastAsia="Malgun Gothic" w:cs="Times"/>
          <w:lang w:eastAsia="zh-CN"/>
        </w:rPr>
        <w:t>11.2A</w:t>
      </w:r>
      <w:r w:rsidR="003B0C82">
        <w:rPr>
          <w:rFonts w:asciiTheme="minorEastAsia" w:hAnsiTheme="minorEastAsia" w:cs="Times" w:hint="eastAsia"/>
          <w:lang w:eastAsia="zh-CN"/>
        </w:rPr>
        <w:t>,</w:t>
      </w:r>
      <w:r w:rsidR="003B0C82">
        <w:rPr>
          <w:rFonts w:asciiTheme="minorEastAsia" w:hAnsiTheme="minorEastAsia" w:cs="Times"/>
          <w:lang w:eastAsia="zh-CN"/>
        </w:rPr>
        <w:t xml:space="preserve"> </w:t>
      </w:r>
      <w:r w:rsidR="003B0C82">
        <w:rPr>
          <w:rFonts w:cs="Times" w:hint="eastAsia"/>
          <w:lang w:eastAsia="zh-CN"/>
        </w:rPr>
        <w:t>15</w:t>
      </w:r>
      <w:r w:rsidR="004B3D37">
        <w:rPr>
          <w:rFonts w:eastAsia="Malgun Gothic" w:cs="Times"/>
          <w:lang w:eastAsia="zh-CN"/>
        </w:rPr>
        <w:t xml:space="preserve"> </w:t>
      </w:r>
      <w:r w:rsidR="001A51E3">
        <w:rPr>
          <w:rFonts w:cs="Times" w:hint="eastAsia"/>
          <w:lang w:eastAsia="zh-CN"/>
        </w:rPr>
        <w:t xml:space="preserve">and 17.2 </w:t>
      </w:r>
      <w:r w:rsidR="00557048" w:rsidRPr="00CC5DCD">
        <w:rPr>
          <w:rFonts w:cs="Times"/>
          <w:lang w:eastAsia="zh-CN"/>
        </w:rPr>
        <w:t xml:space="preserve">including repetitions if any, </w:t>
      </w:r>
      <w:r w:rsidR="00F25051" w:rsidRPr="00647C89">
        <w:t xml:space="preserve">if the UE is provided </w:t>
      </w:r>
      <w:r w:rsidR="00747007">
        <w:rPr>
          <w:i/>
          <w:iCs/>
        </w:rPr>
        <w:t>uci</w:t>
      </w:r>
      <w:r w:rsidR="00747007" w:rsidRPr="00AC41DF">
        <w:rPr>
          <w:i/>
          <w:iCs/>
        </w:rPr>
        <w:t>-MuxWithDiffPrio</w:t>
      </w:r>
      <w:r w:rsidR="00F25051" w:rsidRPr="00647C89">
        <w:rPr>
          <w:lang w:eastAsia="zh-CN"/>
        </w:rPr>
        <w:t xml:space="preserve"> and </w:t>
      </w:r>
      <w:r w:rsidR="00F25051" w:rsidRPr="00647C89">
        <w:rPr>
          <w:lang w:val="en-US"/>
        </w:rPr>
        <w:t xml:space="preserve">the </w:t>
      </w:r>
      <w:r w:rsidR="00F25051" w:rsidRPr="00647C89">
        <w:t xml:space="preserve">timeline </w:t>
      </w:r>
      <w:r w:rsidR="00F25051" w:rsidRPr="00647C89">
        <w:rPr>
          <w:lang w:val="en-US"/>
        </w:rPr>
        <w:t>conditions in clause 9.2.5 for multiplexing UCI in a PUCCH or a PUSCH are satisfied</w:t>
      </w:r>
      <w:r w:rsidR="002F7AB8" w:rsidRPr="00CC5DCD">
        <w:rPr>
          <w:lang w:eastAsia="zh-CN"/>
        </w:rPr>
        <w:t xml:space="preserve"> </w:t>
      </w:r>
    </w:p>
    <w:p w14:paraId="545385FA" w14:textId="0C4386B6" w:rsidR="00441824" w:rsidRPr="00111FF6" w:rsidRDefault="00441824" w:rsidP="00F25051">
      <w:pPr>
        <w:pStyle w:val="B1"/>
      </w:pPr>
      <w:r w:rsidRPr="00111FF6">
        <w:t>-</w:t>
      </w:r>
      <w:r w:rsidRPr="00111FF6">
        <w:tab/>
      </w:r>
      <w:r w:rsidRPr="00111FF6">
        <w:rPr>
          <w:lang w:val="en-US"/>
        </w:rPr>
        <w:t xml:space="preserve">first, </w:t>
      </w:r>
      <w:r w:rsidRPr="00111FF6">
        <w:t xml:space="preserve">the UE resolves overlapping for PUCCH and/or PUSCH transmissions of </w:t>
      </w:r>
      <w:r w:rsidR="00F25051">
        <w:rPr>
          <w:lang w:val="en-US"/>
        </w:rPr>
        <w:t>a same</w:t>
      </w:r>
      <w:r w:rsidRPr="00111FF6">
        <w:t xml:space="preserve"> priority index as described in clauses 9.2.5 and 9.2.6</w:t>
      </w:r>
    </w:p>
    <w:p w14:paraId="2347B691" w14:textId="508A05CE" w:rsidR="00441824" w:rsidRDefault="00441824" w:rsidP="00F25051">
      <w:pPr>
        <w:pStyle w:val="B1"/>
      </w:pPr>
      <w:r w:rsidRPr="00111FF6">
        <w:rPr>
          <w:rFonts w:hint="eastAsia"/>
        </w:rPr>
        <w:t>-</w:t>
      </w:r>
      <w:r w:rsidRPr="00111FF6">
        <w:tab/>
      </w:r>
      <w:r w:rsidRPr="00111FF6">
        <w:rPr>
          <w:lang w:val="en-US"/>
        </w:rPr>
        <w:t xml:space="preserve">second, </w:t>
      </w:r>
      <w:r w:rsidRPr="00111FF6">
        <w:t>the UE resolves the overlapping for PUCCH transmissions of different priority indexes</w:t>
      </w:r>
      <w:r w:rsidRPr="00111FF6">
        <w:rPr>
          <w:lang w:val="en-US"/>
        </w:rPr>
        <w:t>,</w:t>
      </w:r>
      <w:r w:rsidRPr="00111FF6">
        <w:t xml:space="preserve"> and </w:t>
      </w:r>
    </w:p>
    <w:p w14:paraId="571F2439" w14:textId="77777777" w:rsidR="00F25051" w:rsidRPr="00647C89" w:rsidRDefault="00F25051" w:rsidP="00F25051">
      <w:pPr>
        <w:pStyle w:val="B2"/>
      </w:pPr>
      <w:r w:rsidRPr="00647C89">
        <w:t>-</w:t>
      </w:r>
      <w:r w:rsidRPr="00647C89">
        <w:tab/>
      </w:r>
      <w:r w:rsidRPr="00647C89">
        <w:rPr>
          <w:lang w:val="en-US"/>
        </w:rPr>
        <w:t xml:space="preserve">if the UE is provided </w:t>
      </w:r>
      <w:r w:rsidRPr="00647C89">
        <w:rPr>
          <w:i/>
          <w:iCs/>
        </w:rPr>
        <w:t>subslotLengthForPUCCH</w:t>
      </w:r>
      <w:r w:rsidRPr="00647C89">
        <w:rPr>
          <w:noProof/>
          <w:lang w:eastAsia="zh-CN"/>
        </w:rPr>
        <w:t xml:space="preserve"> in </w:t>
      </w:r>
      <w:r w:rsidRPr="00647C89">
        <w:rPr>
          <w:noProof/>
          <w:lang w:val="en-US" w:eastAsia="zh-CN"/>
        </w:rPr>
        <w:t>the second</w:t>
      </w:r>
      <w:r w:rsidRPr="00647C89">
        <w:rPr>
          <w:noProof/>
          <w:lang w:eastAsia="zh-CN"/>
        </w:rPr>
        <w:t xml:space="preserve"> </w:t>
      </w:r>
      <w:r w:rsidRPr="00647C89">
        <w:rPr>
          <w:i/>
          <w:iCs/>
          <w:noProof/>
          <w:lang w:eastAsia="zh-CN"/>
        </w:rPr>
        <w:t>PUCCH-Config</w:t>
      </w:r>
      <w:r w:rsidRPr="00647C89">
        <w:rPr>
          <w:noProof/>
          <w:lang w:eastAsia="zh-CN"/>
        </w:rPr>
        <w:t>,</w:t>
      </w:r>
      <w:r w:rsidRPr="00647C89">
        <w:rPr>
          <w:lang w:eastAsia="zh-CN"/>
        </w:rPr>
        <w:t xml:space="preserve"> a PUCCH transmission of smaller priority index is associated with</w:t>
      </w:r>
      <w:r w:rsidRPr="00647C89">
        <w:rPr>
          <w:lang w:eastAsia="ko-KR"/>
        </w:rPr>
        <w:t xml:space="preserve"> the first overlapping slot </w:t>
      </w:r>
      <w:r w:rsidRPr="00647C89">
        <w:t xml:space="preserve">with </w:t>
      </w:r>
      <w:r w:rsidRPr="00647C89">
        <w:rPr>
          <w:i/>
          <w:iCs/>
          <w:lang w:eastAsia="ko-KR"/>
        </w:rPr>
        <w:t>subslotLengthForPUCCH</w:t>
      </w:r>
      <w:r w:rsidRPr="00647C89">
        <w:rPr>
          <w:lang w:eastAsia="ko-KR"/>
        </w:rPr>
        <w:t xml:space="preserve"> symbols of larger priority index</w:t>
      </w:r>
      <w:r w:rsidRPr="00647C89">
        <w:rPr>
          <w:lang w:val="en-US" w:eastAsia="ko-KR"/>
        </w:rPr>
        <w:t>;</w:t>
      </w:r>
      <w:r w:rsidRPr="00647C89">
        <w:rPr>
          <w:lang w:eastAsia="ko-KR"/>
        </w:rPr>
        <w:t xml:space="preserve"> otherwise, </w:t>
      </w:r>
      <w:r w:rsidRPr="00647C89">
        <w:rPr>
          <w:lang w:eastAsia="zh-CN"/>
        </w:rPr>
        <w:t>the PUCCH transmission of smaller priority index is associated with</w:t>
      </w:r>
      <w:r w:rsidRPr="00647C89">
        <w:rPr>
          <w:lang w:eastAsia="ko-KR"/>
        </w:rPr>
        <w:t xml:space="preserve"> the overlapping </w:t>
      </w:r>
      <w:r w:rsidRPr="00647C89">
        <w:t xml:space="preserve">slot with </w:t>
      </w:r>
      <m:oMath>
        <m:sSubSup>
          <m:sSubSupPr>
            <m:ctrlPr>
              <w:rPr>
                <w:rFonts w:ascii="Cambria Math" w:hAnsi="Cambria Math"/>
              </w:rPr>
            </m:ctrlPr>
          </m:sSubSupPr>
          <m:e>
            <m:r>
              <w:rPr>
                <w:rFonts w:ascii="Cambria Math" w:hAnsi="Cambria Math"/>
              </w:rPr>
              <m:t>N</m:t>
            </m:r>
          </m:e>
          <m:sub>
            <m:r>
              <m:rPr>
                <m:nor/>
              </m:rPr>
              <m:t>sym</m:t>
            </m:r>
          </m:sub>
          <m:sup>
            <m:r>
              <m:rPr>
                <m:nor/>
              </m:rPr>
              <m:t>slot</m:t>
            </m:r>
          </m:sup>
        </m:sSubSup>
      </m:oMath>
      <w:r w:rsidRPr="00647C89">
        <w:rPr>
          <w:lang w:val="de-AT"/>
        </w:rPr>
        <w:t xml:space="preserve"> </w:t>
      </w:r>
      <w:r w:rsidRPr="00647C89">
        <w:t>symbols [4, TS 38.211]</w:t>
      </w:r>
      <w:r w:rsidRPr="00647C89">
        <w:rPr>
          <w:lang w:eastAsia="ko-KR"/>
        </w:rPr>
        <w:t xml:space="preserve"> of larger priority index.</w:t>
      </w:r>
    </w:p>
    <w:p w14:paraId="60BD783F" w14:textId="77777777" w:rsidR="00F25051" w:rsidRPr="00647C89" w:rsidRDefault="00F25051" w:rsidP="00F25051">
      <w:pPr>
        <w:pStyle w:val="B2"/>
        <w:rPr>
          <w:lang w:eastAsia="zh-CN"/>
        </w:rPr>
      </w:pPr>
      <w:r w:rsidRPr="00647C89">
        <w:t>-</w:t>
      </w:r>
      <w:r w:rsidRPr="00647C89">
        <w:tab/>
      </w:r>
      <w:r w:rsidRPr="00647C89">
        <w:rPr>
          <w:lang w:eastAsia="zh-CN"/>
        </w:rPr>
        <w:t xml:space="preserve">the UE first resolves the overlapping for PUCCH transmissions, where at least one of the PUCCH transmissions is with </w:t>
      </w:r>
      <m:oMath>
        <m:sSubSup>
          <m:sSubSupPr>
            <m:ctrlPr>
              <w:rPr>
                <w:rFonts w:ascii="Cambria Math" w:hAnsi="Cambria Math"/>
              </w:rPr>
            </m:ctrlPr>
          </m:sSubSupPr>
          <m:e>
            <m:r>
              <w:rPr>
                <w:rFonts w:ascii="Cambria Math" w:hAnsi="Cambria Math"/>
              </w:rPr>
              <m:t>N</m:t>
            </m:r>
          </m:e>
          <m:sub>
            <m:r>
              <m:rPr>
                <m:nor/>
              </m:rPr>
              <m:t>PUCCH</m:t>
            </m:r>
          </m:sub>
          <m:sup>
            <m:r>
              <m:rPr>
                <m:nor/>
              </m:rPr>
              <m:t>repeat</m:t>
            </m:r>
          </m:sup>
        </m:sSubSup>
        <m:r>
          <w:rPr>
            <w:rFonts w:ascii="Cambria Math" w:hAnsi="Cambria Math"/>
          </w:rPr>
          <m:t>&gt;1</m:t>
        </m:r>
      </m:oMath>
      <w:r w:rsidRPr="00647C89">
        <w:rPr>
          <w:lang w:val="en-US"/>
        </w:rPr>
        <w:t xml:space="preserve"> </w:t>
      </w:r>
      <w:r w:rsidRPr="00647C89">
        <w:rPr>
          <w:lang w:eastAsia="zh-CN"/>
        </w:rPr>
        <w:t xml:space="preserve">repetitions, within a slot </w:t>
      </w:r>
      <w:r w:rsidRPr="00647C89">
        <w:rPr>
          <w:lang w:eastAsia="ko-KR"/>
        </w:rPr>
        <w:t>of larger priority index</w:t>
      </w:r>
      <w:r w:rsidRPr="00647C89">
        <w:t xml:space="preserve"> as </w:t>
      </w:r>
      <w:r w:rsidRPr="00647C89">
        <w:rPr>
          <w:lang w:val="en-US"/>
        </w:rPr>
        <w:t xml:space="preserve">is subsequently </w:t>
      </w:r>
      <w:r w:rsidRPr="00647C89">
        <w:t>de</w:t>
      </w:r>
      <w:r w:rsidRPr="00647C89">
        <w:rPr>
          <w:lang w:val="en-US"/>
        </w:rPr>
        <w:t>scribed</w:t>
      </w:r>
      <w:r w:rsidRPr="00647C89">
        <w:t xml:space="preserve"> in this clause</w:t>
      </w:r>
      <w:r w:rsidRPr="00647C89">
        <w:rPr>
          <w:lang w:eastAsia="zh-CN"/>
        </w:rPr>
        <w:t>, if any, and then the UE resolves the overlapping for PUCCH transmissions without repetitions within the slot using the pseudo-code in clause 9.2.5</w:t>
      </w:r>
    </w:p>
    <w:p w14:paraId="5FBAE50C" w14:textId="77777777" w:rsidR="00F25051" w:rsidRPr="00647C89" w:rsidRDefault="00F25051" w:rsidP="00F25051">
      <w:pPr>
        <w:pStyle w:val="B2"/>
        <w:rPr>
          <w:lang w:eastAsia="ko-KR"/>
        </w:rPr>
      </w:pPr>
      <w:r w:rsidRPr="00647C89">
        <w:rPr>
          <w:lang w:eastAsia="zh-CN"/>
        </w:rPr>
        <w:t>-</w:t>
      </w:r>
      <w:r w:rsidRPr="00647C89">
        <w:rPr>
          <w:lang w:eastAsia="zh-CN"/>
        </w:rPr>
        <w:tab/>
        <w:t xml:space="preserve">if </w:t>
      </w:r>
      <w:r w:rsidRPr="00647C89">
        <w:rPr>
          <w:lang w:val="en-US" w:eastAsia="zh-CN"/>
        </w:rPr>
        <w:t xml:space="preserve">the UE determines that </w:t>
      </w:r>
      <w:r w:rsidRPr="00647C89">
        <w:rPr>
          <w:lang w:eastAsia="zh-CN"/>
        </w:rPr>
        <w:t xml:space="preserve">a first PUCCH transmission of the smaller priority index is not dropped </w:t>
      </w:r>
      <w:r>
        <w:rPr>
          <w:lang w:val="en-US" w:eastAsia="zh-CN"/>
        </w:rPr>
        <w:t>and</w:t>
      </w:r>
      <w:r w:rsidRPr="00647C89">
        <w:rPr>
          <w:lang w:eastAsia="zh-CN"/>
        </w:rPr>
        <w:t xml:space="preserve"> </w:t>
      </w:r>
      <w:r w:rsidRPr="00647C89">
        <w:rPr>
          <w:lang w:val="en-US" w:eastAsia="zh-CN"/>
        </w:rPr>
        <w:t xml:space="preserve">the UCI of the first PUCCH transmission is not </w:t>
      </w:r>
      <w:r w:rsidRPr="00647C89">
        <w:rPr>
          <w:lang w:eastAsia="zh-CN"/>
        </w:rPr>
        <w:t xml:space="preserve">multiplexed </w:t>
      </w:r>
      <w:r w:rsidRPr="00647C89">
        <w:rPr>
          <w:lang w:val="en-US" w:eastAsia="zh-CN"/>
        </w:rPr>
        <w:t>in</w:t>
      </w:r>
      <w:r w:rsidRPr="00647C89">
        <w:rPr>
          <w:lang w:eastAsia="zh-CN"/>
        </w:rPr>
        <w:t xml:space="preserve"> a second PUCCH transmission </w:t>
      </w:r>
      <w:r w:rsidRPr="00647C89">
        <w:rPr>
          <w:lang w:eastAsia="ko-KR"/>
        </w:rPr>
        <w:t>of larger priority index</w:t>
      </w:r>
      <w:r w:rsidRPr="00647C89">
        <w:rPr>
          <w:lang w:eastAsia="zh-CN"/>
        </w:rPr>
        <w:t xml:space="preserve"> in an overlapping slot</w:t>
      </w:r>
      <w:r w:rsidRPr="00A52051">
        <w:t xml:space="preserve"> </w:t>
      </w:r>
      <w:r w:rsidRPr="00647C89">
        <w:t xml:space="preserve">with </w:t>
      </w:r>
      <w:r w:rsidRPr="00647C89">
        <w:rPr>
          <w:i/>
          <w:iCs/>
          <w:lang w:eastAsia="ko-KR"/>
        </w:rPr>
        <w:t>subslotLengthForPUCCH</w:t>
      </w:r>
      <w:r w:rsidRPr="00647C89">
        <w:rPr>
          <w:lang w:eastAsia="ko-KR"/>
        </w:rPr>
        <w:t xml:space="preserve"> symbols, the </w:t>
      </w:r>
      <w:r w:rsidRPr="00647C89">
        <w:rPr>
          <w:lang w:eastAsia="zh-CN"/>
        </w:rPr>
        <w:t xml:space="preserve">first </w:t>
      </w:r>
      <w:r w:rsidRPr="00647C89">
        <w:rPr>
          <w:lang w:eastAsia="ko-KR"/>
        </w:rPr>
        <w:t>PUCCH</w:t>
      </w:r>
      <w:r w:rsidRPr="00647C89">
        <w:rPr>
          <w:lang w:eastAsia="zh-CN"/>
        </w:rPr>
        <w:t xml:space="preserve"> transmission</w:t>
      </w:r>
      <w:r w:rsidRPr="00647C89">
        <w:rPr>
          <w:lang w:eastAsia="ko-KR"/>
        </w:rPr>
        <w:t xml:space="preserve"> </w:t>
      </w:r>
      <w:r w:rsidRPr="00647C89">
        <w:rPr>
          <w:lang w:eastAsia="zh-CN"/>
        </w:rPr>
        <w:t>is associated with</w:t>
      </w:r>
      <w:r w:rsidRPr="00647C89">
        <w:rPr>
          <w:lang w:eastAsia="ko-KR"/>
        </w:rPr>
        <w:t xml:space="preserve"> the next overlapping slot </w:t>
      </w:r>
      <w:r w:rsidRPr="00647C89">
        <w:t xml:space="preserve">with </w:t>
      </w:r>
      <w:r w:rsidRPr="00647C89">
        <w:rPr>
          <w:i/>
          <w:iCs/>
          <w:lang w:eastAsia="ko-KR"/>
        </w:rPr>
        <w:t>subslotLengthForPUCCH</w:t>
      </w:r>
      <w:r w:rsidRPr="00647C89">
        <w:rPr>
          <w:lang w:eastAsia="ko-KR"/>
        </w:rPr>
        <w:t xml:space="preserve"> symbols </w:t>
      </w:r>
      <w:r w:rsidRPr="00647C89">
        <w:rPr>
          <w:lang w:val="en-US" w:eastAsia="ko-KR"/>
        </w:rPr>
        <w:t>for PUCCH transmissions with the</w:t>
      </w:r>
      <w:r w:rsidRPr="00647C89">
        <w:rPr>
          <w:lang w:eastAsia="ko-KR"/>
        </w:rPr>
        <w:t xml:space="preserve"> larger priority index</w:t>
      </w:r>
    </w:p>
    <w:p w14:paraId="1FF1E73C" w14:textId="77777777" w:rsidR="00F25051" w:rsidRPr="00647C89" w:rsidRDefault="00F25051" w:rsidP="00F25051">
      <w:pPr>
        <w:pStyle w:val="B2"/>
      </w:pPr>
      <w:r w:rsidRPr="00647C89">
        <w:t>-</w:t>
      </w:r>
      <w:r w:rsidRPr="00647C89">
        <w:tab/>
      </w:r>
      <w:r w:rsidRPr="00647C89">
        <w:rPr>
          <w:lang w:val="en-US"/>
        </w:rPr>
        <w:t xml:space="preserve">the UE does not expect </w:t>
      </w:r>
      <w:r w:rsidRPr="00647C89">
        <w:rPr>
          <w:lang w:eastAsia="zh-CN"/>
        </w:rPr>
        <w:t xml:space="preserve">a PUCCH transmission </w:t>
      </w:r>
      <w:r w:rsidRPr="00647C89">
        <w:rPr>
          <w:lang w:val="en-US" w:eastAsia="zh-CN"/>
        </w:rPr>
        <w:t>that includes</w:t>
      </w:r>
      <w:r w:rsidRPr="00647C89">
        <w:rPr>
          <w:lang w:eastAsia="zh-CN"/>
        </w:rPr>
        <w:t xml:space="preserve"> UCI of </w:t>
      </w:r>
      <w:r w:rsidRPr="00647C89">
        <w:rPr>
          <w:lang w:val="en-US" w:eastAsia="zh-CN"/>
        </w:rPr>
        <w:t xml:space="preserve">different </w:t>
      </w:r>
      <w:r w:rsidRPr="00647C89">
        <w:rPr>
          <w:lang w:eastAsia="zh-CN"/>
        </w:rPr>
        <w:t xml:space="preserve">priority indexes to overlap with a </w:t>
      </w:r>
      <w:r w:rsidRPr="00647C89">
        <w:rPr>
          <w:rFonts w:eastAsia="Malgun Gothic"/>
          <w:lang w:eastAsia="zh-CN"/>
        </w:rPr>
        <w:t xml:space="preserve">PUCCH </w:t>
      </w:r>
      <w:r w:rsidRPr="00647C89">
        <w:rPr>
          <w:lang w:eastAsia="zh-CN"/>
        </w:rPr>
        <w:t xml:space="preserve">transmission </w:t>
      </w:r>
      <w:r w:rsidRPr="00647C89">
        <w:rPr>
          <w:rFonts w:eastAsia="Malgun Gothic"/>
          <w:lang w:eastAsia="zh-CN"/>
        </w:rPr>
        <w:t xml:space="preserve">with </w:t>
      </w:r>
      <m:oMath>
        <m:sSubSup>
          <m:sSubSupPr>
            <m:ctrlPr>
              <w:rPr>
                <w:rFonts w:ascii="Cambria Math" w:hAnsi="Cambria Math"/>
              </w:rPr>
            </m:ctrlPr>
          </m:sSubSupPr>
          <m:e>
            <m:r>
              <w:rPr>
                <w:rFonts w:ascii="Cambria Math" w:hAnsi="Cambria Math"/>
              </w:rPr>
              <m:t>N</m:t>
            </m:r>
          </m:e>
          <m:sub>
            <m:r>
              <m:rPr>
                <m:nor/>
              </m:rPr>
              <m:t>PUCCH</m:t>
            </m:r>
          </m:sub>
          <m:sup>
            <m:r>
              <m:rPr>
                <m:nor/>
              </m:rPr>
              <m:t>repeat</m:t>
            </m:r>
          </m:sup>
        </m:sSubSup>
        <m:r>
          <w:rPr>
            <w:rFonts w:ascii="Cambria Math" w:hAnsi="Cambria Math"/>
          </w:rPr>
          <m:t>&gt;1</m:t>
        </m:r>
      </m:oMath>
      <w:r w:rsidRPr="00647C89">
        <w:rPr>
          <w:lang w:val="en-US"/>
        </w:rPr>
        <w:t xml:space="preserve"> </w:t>
      </w:r>
      <w:r w:rsidRPr="00647C89">
        <w:rPr>
          <w:rFonts w:eastAsia="Malgun Gothic"/>
          <w:lang w:eastAsia="zh-CN"/>
        </w:rPr>
        <w:t xml:space="preserve">repetitions after </w:t>
      </w:r>
      <w:r w:rsidRPr="00647C89">
        <w:rPr>
          <w:lang w:eastAsia="zh-CN"/>
        </w:rPr>
        <w:t xml:space="preserve">resolving the overlapping for PUCCH transmissions without repetitions within a slot </w:t>
      </w:r>
    </w:p>
    <w:p w14:paraId="1E40B587" w14:textId="77777777" w:rsidR="00F25051" w:rsidRPr="00647C89" w:rsidRDefault="00F25051" w:rsidP="00F25051">
      <w:pPr>
        <w:pStyle w:val="B2"/>
        <w:rPr>
          <w:rFonts w:eastAsia="Malgun Gothic"/>
          <w:lang w:val="en-US" w:eastAsia="zh-CN"/>
        </w:rPr>
      </w:pPr>
      <w:r w:rsidRPr="00647C89">
        <w:t>-</w:t>
      </w:r>
      <w:r w:rsidRPr="00647C89">
        <w:tab/>
      </w:r>
      <w:r w:rsidRPr="00647C89">
        <w:rPr>
          <w:lang w:val="en-US"/>
        </w:rPr>
        <w:t xml:space="preserve">the UE does not expect </w:t>
      </w:r>
      <w:r w:rsidRPr="00647C89">
        <w:rPr>
          <w:lang w:eastAsia="zh-CN"/>
        </w:rPr>
        <w:t xml:space="preserve">a PUCCH </w:t>
      </w:r>
      <w:r w:rsidRPr="00647C89">
        <w:rPr>
          <w:lang w:val="en-US" w:eastAsia="zh-CN"/>
        </w:rPr>
        <w:t xml:space="preserve">transmission </w:t>
      </w:r>
      <w:r w:rsidRPr="00647C89">
        <w:rPr>
          <w:lang w:eastAsia="zh-CN"/>
        </w:rPr>
        <w:t xml:space="preserve">with UCI of </w:t>
      </w:r>
      <w:r w:rsidRPr="00647C89">
        <w:rPr>
          <w:lang w:val="en-US" w:eastAsia="zh-CN"/>
        </w:rPr>
        <w:t xml:space="preserve">first and second </w:t>
      </w:r>
      <w:r w:rsidRPr="00647C89">
        <w:rPr>
          <w:lang w:eastAsia="zh-CN"/>
        </w:rPr>
        <w:t xml:space="preserve">priority indexes to overlap </w:t>
      </w:r>
      <w:r>
        <w:rPr>
          <w:lang w:val="en-US" w:eastAsia="zh-CN"/>
        </w:rPr>
        <w:t xml:space="preserve">with a PUCCH transmission with HARQ-ACK information of the first priority index, or </w:t>
      </w:r>
      <w:r w:rsidRPr="00647C89">
        <w:rPr>
          <w:lang w:eastAsia="zh-CN"/>
        </w:rPr>
        <w:t xml:space="preserve">with a </w:t>
      </w:r>
      <w:r w:rsidRPr="00647C89">
        <w:rPr>
          <w:rFonts w:eastAsia="Malgun Gothic"/>
          <w:lang w:eastAsia="zh-CN"/>
        </w:rPr>
        <w:t>PUCCH</w:t>
      </w:r>
      <w:r w:rsidRPr="00647C89">
        <w:rPr>
          <w:rFonts w:eastAsia="Malgun Gothic"/>
          <w:lang w:val="en-US" w:eastAsia="zh-CN"/>
        </w:rPr>
        <w:t xml:space="preserve"> </w:t>
      </w:r>
      <w:r w:rsidRPr="00647C89">
        <w:rPr>
          <w:rFonts w:eastAsia="Malgun Gothic"/>
          <w:lang w:val="en-US" w:eastAsia="zh-CN"/>
        </w:rPr>
        <w:lastRenderedPageBreak/>
        <w:t>transmission or with a PUSCH</w:t>
      </w:r>
      <w:r w:rsidRPr="00647C89">
        <w:rPr>
          <w:rFonts w:eastAsia="Malgun Gothic"/>
          <w:lang w:eastAsia="zh-CN"/>
        </w:rPr>
        <w:t xml:space="preserve"> </w:t>
      </w:r>
      <w:r w:rsidRPr="00647C89">
        <w:rPr>
          <w:rFonts w:eastAsia="Malgun Gothic"/>
          <w:lang w:val="en-US" w:eastAsia="zh-CN"/>
        </w:rPr>
        <w:t xml:space="preserve">transmission </w:t>
      </w:r>
      <w:r w:rsidRPr="00647C89">
        <w:rPr>
          <w:rFonts w:eastAsia="Malgun Gothic"/>
          <w:lang w:eastAsia="zh-CN"/>
        </w:rPr>
        <w:t xml:space="preserve">of </w:t>
      </w:r>
      <w:r w:rsidRPr="00647C89">
        <w:rPr>
          <w:lang w:val="en-US" w:eastAsia="zh-CN"/>
        </w:rPr>
        <w:t xml:space="preserve">the second </w:t>
      </w:r>
      <w:r w:rsidRPr="00647C89">
        <w:rPr>
          <w:lang w:eastAsia="zh-CN"/>
        </w:rPr>
        <w:t>priority index</w:t>
      </w:r>
      <w:r w:rsidRPr="00647C89">
        <w:rPr>
          <w:rFonts w:eastAsia="Malgun Gothic"/>
          <w:lang w:eastAsia="zh-CN"/>
        </w:rPr>
        <w:t xml:space="preserve"> </w:t>
      </w:r>
      <w:r w:rsidRPr="00647C89">
        <w:rPr>
          <w:rFonts w:eastAsia="Malgun Gothic"/>
          <w:lang w:val="en-US" w:eastAsia="zh-CN"/>
        </w:rPr>
        <w:t>when the second priority index is larger than the first priority index</w:t>
      </w:r>
    </w:p>
    <w:p w14:paraId="5A0D9BCE" w14:textId="50BF57FB" w:rsidR="00F25051" w:rsidRPr="00F25051" w:rsidRDefault="00F25051" w:rsidP="00F25051">
      <w:pPr>
        <w:pStyle w:val="B2"/>
        <w:rPr>
          <w:lang w:val="en-US"/>
        </w:rPr>
      </w:pPr>
      <w:r w:rsidRPr="00647C89">
        <w:rPr>
          <w:lang w:val="en-US"/>
        </w:rPr>
        <w:t>-</w:t>
      </w:r>
      <w:r w:rsidRPr="00647C89">
        <w:rPr>
          <w:lang w:val="en-US"/>
        </w:rPr>
        <w:tab/>
        <w:t xml:space="preserve">the UE does not expect </w:t>
      </w:r>
      <w:r w:rsidRPr="00647C89">
        <w:rPr>
          <w:lang w:eastAsia="zh-CN"/>
        </w:rPr>
        <w:t xml:space="preserve">a PUCCH transmission </w:t>
      </w:r>
      <w:r>
        <w:rPr>
          <w:lang w:val="en-US" w:eastAsia="zh-CN"/>
        </w:rPr>
        <w:t xml:space="preserve">with </w:t>
      </w:r>
      <w:r w:rsidRPr="00647C89">
        <w:t xml:space="preserve">HARQ-ACK </w:t>
      </w:r>
      <w:r w:rsidRPr="00647C89">
        <w:rPr>
          <w:lang w:val="en-US"/>
        </w:rPr>
        <w:t xml:space="preserve">information </w:t>
      </w:r>
      <w:r w:rsidRPr="00647C89">
        <w:rPr>
          <w:lang w:eastAsia="zh-CN"/>
        </w:rPr>
        <w:t xml:space="preserve">of larger priority index </w:t>
      </w:r>
      <w:r w:rsidRPr="00647C89">
        <w:rPr>
          <w:lang w:val="en-US" w:eastAsia="zh-CN"/>
        </w:rPr>
        <w:t xml:space="preserve">to </w:t>
      </w:r>
      <w:r w:rsidRPr="00647C89">
        <w:rPr>
          <w:lang w:eastAsia="zh-CN"/>
        </w:rPr>
        <w:t>overlap with more than one PUCCH transmission</w:t>
      </w:r>
      <w:r w:rsidRPr="00647C89">
        <w:rPr>
          <w:lang w:val="en-US" w:eastAsia="zh-CN"/>
        </w:rPr>
        <w:t>s</w:t>
      </w:r>
      <w:r w:rsidRPr="00647C89">
        <w:rPr>
          <w:lang w:eastAsia="zh-CN"/>
        </w:rPr>
        <w:t xml:space="preserve"> </w:t>
      </w:r>
      <w:r>
        <w:rPr>
          <w:lang w:val="en-US" w:eastAsia="zh-CN"/>
        </w:rPr>
        <w:t xml:space="preserve">with </w:t>
      </w:r>
      <w:r w:rsidRPr="00647C89">
        <w:t xml:space="preserve">HARQ-ACK </w:t>
      </w:r>
      <w:r w:rsidRPr="00647C89">
        <w:rPr>
          <w:lang w:val="en-US"/>
        </w:rPr>
        <w:t xml:space="preserve">information </w:t>
      </w:r>
      <w:r w:rsidRPr="00647C89">
        <w:rPr>
          <w:lang w:eastAsia="zh-CN"/>
        </w:rPr>
        <w:t>of smaller priority index</w:t>
      </w:r>
    </w:p>
    <w:p w14:paraId="11339DFD" w14:textId="66460575" w:rsidR="00441824" w:rsidRDefault="00441824" w:rsidP="00F25051">
      <w:pPr>
        <w:pStyle w:val="B1"/>
      </w:pPr>
      <w:r w:rsidRPr="00111FF6">
        <w:rPr>
          <w:rFonts w:hint="eastAsia"/>
        </w:rPr>
        <w:t>-</w:t>
      </w:r>
      <w:r w:rsidRPr="00111FF6">
        <w:tab/>
      </w:r>
      <w:r w:rsidRPr="00111FF6">
        <w:rPr>
          <w:lang w:val="en-US"/>
        </w:rPr>
        <w:t xml:space="preserve">third, </w:t>
      </w:r>
      <w:r w:rsidRPr="00111FF6">
        <w:t>the UE resolves the overlapping for PUCCH and PUSCH transmissions of different priority indexes</w:t>
      </w:r>
    </w:p>
    <w:p w14:paraId="6CCC121A" w14:textId="77777777" w:rsidR="00F25051" w:rsidRPr="00647C89" w:rsidRDefault="00F25051" w:rsidP="00F25051">
      <w:pPr>
        <w:pStyle w:val="B2"/>
        <w:ind w:left="811"/>
        <w:rPr>
          <w:lang w:val="en-US"/>
        </w:rPr>
      </w:pPr>
      <w:r w:rsidRPr="00647C89">
        <w:t>-</w:t>
      </w:r>
      <w:r w:rsidRPr="00647C89">
        <w:tab/>
      </w:r>
      <w:r w:rsidRPr="00647C89">
        <w:rPr>
          <w:lang w:val="en-US"/>
        </w:rPr>
        <w:t>t</w:t>
      </w:r>
      <w:r w:rsidRPr="00647C89">
        <w:t>he UE drops PUSCH</w:t>
      </w:r>
      <w:r w:rsidRPr="00647C89">
        <w:rPr>
          <w:lang w:val="en-US"/>
        </w:rPr>
        <w:t xml:space="preserve"> transmission</w:t>
      </w:r>
      <w:r w:rsidRPr="00647C89">
        <w:t xml:space="preserve">s of </w:t>
      </w:r>
      <w:r w:rsidRPr="00647C89">
        <w:rPr>
          <w:lang w:val="en-US"/>
        </w:rPr>
        <w:t>smaller</w:t>
      </w:r>
      <w:r w:rsidRPr="00647C89">
        <w:t xml:space="preserve"> priority index </w:t>
      </w:r>
      <w:r w:rsidRPr="00647C89">
        <w:rPr>
          <w:lang w:val="en-US"/>
        </w:rPr>
        <w:t xml:space="preserve">that </w:t>
      </w:r>
      <w:r w:rsidRPr="00647C89">
        <w:t xml:space="preserve">overlap with a PUCCH </w:t>
      </w:r>
      <w:r w:rsidRPr="00647C89">
        <w:rPr>
          <w:lang w:val="en-US"/>
        </w:rPr>
        <w:t xml:space="preserve">transmission </w:t>
      </w:r>
      <w:r w:rsidRPr="00647C89">
        <w:t xml:space="preserve">with positive SR of </w:t>
      </w:r>
      <w:r w:rsidRPr="00647C89">
        <w:rPr>
          <w:lang w:val="en-US"/>
        </w:rPr>
        <w:t>larger</w:t>
      </w:r>
      <w:r w:rsidRPr="00647C89">
        <w:t xml:space="preserve"> priority index </w:t>
      </w:r>
      <w:r w:rsidRPr="00647C89">
        <w:rPr>
          <w:lang w:val="en-US"/>
        </w:rPr>
        <w:t>prior to</w:t>
      </w:r>
      <w:r w:rsidRPr="00647C89">
        <w:t xml:space="preserve"> </w:t>
      </w:r>
      <w:r w:rsidRPr="00647C89">
        <w:rPr>
          <w:rFonts w:eastAsia="Malgun Gothic"/>
          <w:lang w:eastAsia="zh-CN"/>
        </w:rPr>
        <w:t>multiplexing UCI in a PUSCH</w:t>
      </w:r>
      <w:r w:rsidRPr="00647C89">
        <w:rPr>
          <w:rFonts w:eastAsia="Malgun Gothic"/>
          <w:lang w:val="en-US" w:eastAsia="zh-CN"/>
        </w:rPr>
        <w:t xml:space="preserve"> </w:t>
      </w:r>
      <w:r w:rsidRPr="00647C89">
        <w:rPr>
          <w:lang w:eastAsia="zh-CN"/>
        </w:rPr>
        <w:t>transmission</w:t>
      </w:r>
      <w:r w:rsidRPr="00647C89">
        <w:t xml:space="preserve"> of </w:t>
      </w:r>
      <w:r w:rsidRPr="00647C89">
        <w:rPr>
          <w:lang w:val="en-US"/>
        </w:rPr>
        <w:t>smaller</w:t>
      </w:r>
      <w:r w:rsidRPr="00647C89">
        <w:t xml:space="preserve"> priority index</w:t>
      </w:r>
      <w:r w:rsidRPr="00647C89">
        <w:rPr>
          <w:lang w:eastAsia="zh-CN"/>
        </w:rPr>
        <w:t>, if any</w:t>
      </w:r>
    </w:p>
    <w:p w14:paraId="6BDF569F" w14:textId="77777777" w:rsidR="00F25051" w:rsidRPr="00647C89" w:rsidRDefault="00F25051" w:rsidP="00F25051">
      <w:pPr>
        <w:pStyle w:val="B2"/>
        <w:ind w:left="811"/>
      </w:pPr>
      <w:r w:rsidRPr="00647C89">
        <w:t>-</w:t>
      </w:r>
      <w:r w:rsidRPr="00647C89">
        <w:tab/>
      </w:r>
      <w:r w:rsidRPr="00647C89">
        <w:rPr>
          <w:lang w:val="en-US"/>
        </w:rPr>
        <w:t>t</w:t>
      </w:r>
      <w:r w:rsidRPr="00647C89">
        <w:t>he UE drops PUSCH</w:t>
      </w:r>
      <w:r w:rsidRPr="00647C89">
        <w:rPr>
          <w:lang w:eastAsia="zh-CN"/>
        </w:rPr>
        <w:t xml:space="preserve"> transmission</w:t>
      </w:r>
      <w:r w:rsidRPr="00647C89">
        <w:t xml:space="preserve">s of </w:t>
      </w:r>
      <w:r w:rsidRPr="00647C89">
        <w:rPr>
          <w:lang w:val="en-US"/>
        </w:rPr>
        <w:t>smaller</w:t>
      </w:r>
      <w:r w:rsidRPr="00647C89">
        <w:t xml:space="preserve"> priority index </w:t>
      </w:r>
      <w:r w:rsidRPr="00647C89">
        <w:rPr>
          <w:lang w:val="en-US"/>
        </w:rPr>
        <w:t xml:space="preserve">that </w:t>
      </w:r>
      <w:r w:rsidRPr="00647C89">
        <w:t>overlap with a PUCCH</w:t>
      </w:r>
      <w:r w:rsidRPr="00647C89">
        <w:rPr>
          <w:lang w:eastAsia="zh-CN"/>
        </w:rPr>
        <w:t xml:space="preserve"> transmission</w:t>
      </w:r>
      <w:r w:rsidRPr="00647C89">
        <w:t xml:space="preserve"> with </w:t>
      </w:r>
      <m:oMath>
        <m:sSubSup>
          <m:sSubSupPr>
            <m:ctrlPr>
              <w:rPr>
                <w:rFonts w:ascii="Cambria Math" w:hAnsi="Cambria Math"/>
              </w:rPr>
            </m:ctrlPr>
          </m:sSubSupPr>
          <m:e>
            <m:r>
              <w:rPr>
                <w:rFonts w:ascii="Cambria Math" w:hAnsi="Cambria Math"/>
              </w:rPr>
              <m:t>N</m:t>
            </m:r>
          </m:e>
          <m:sub>
            <m:r>
              <m:rPr>
                <m:nor/>
              </m:rPr>
              <m:t>PUCCH</m:t>
            </m:r>
          </m:sub>
          <m:sup>
            <m:r>
              <m:rPr>
                <m:nor/>
              </m:rPr>
              <m:t>repeat</m:t>
            </m:r>
          </m:sup>
        </m:sSubSup>
        <m:r>
          <w:rPr>
            <w:rFonts w:ascii="Cambria Math" w:hAnsi="Cambria Math"/>
          </w:rPr>
          <m:t>&gt;1</m:t>
        </m:r>
      </m:oMath>
      <w:r w:rsidRPr="00647C89">
        <w:rPr>
          <w:lang w:val="en-US"/>
        </w:rPr>
        <w:t xml:space="preserve"> </w:t>
      </w:r>
      <w:r w:rsidRPr="00647C89">
        <w:t xml:space="preserve">repetitions of </w:t>
      </w:r>
      <w:r w:rsidRPr="00647C89">
        <w:rPr>
          <w:lang w:val="en-US"/>
        </w:rPr>
        <w:t>larger</w:t>
      </w:r>
      <w:r w:rsidRPr="00647C89">
        <w:t xml:space="preserve"> priority index </w:t>
      </w:r>
      <w:r w:rsidRPr="00647C89">
        <w:rPr>
          <w:lang w:val="en-US"/>
        </w:rPr>
        <w:t>prior to</w:t>
      </w:r>
      <w:r w:rsidRPr="00647C89">
        <w:t xml:space="preserve"> </w:t>
      </w:r>
      <w:r w:rsidRPr="00647C89">
        <w:rPr>
          <w:rFonts w:eastAsia="Malgun Gothic"/>
          <w:lang w:eastAsia="zh-CN"/>
        </w:rPr>
        <w:t>multiplexing UCI in a PUSCH</w:t>
      </w:r>
      <w:r w:rsidRPr="00647C89">
        <w:rPr>
          <w:lang w:eastAsia="zh-CN"/>
        </w:rPr>
        <w:t xml:space="preserve"> transmission</w:t>
      </w:r>
      <w:r w:rsidRPr="00647C89">
        <w:t xml:space="preserve"> of </w:t>
      </w:r>
      <w:r w:rsidRPr="00647C89">
        <w:rPr>
          <w:lang w:val="en-US"/>
        </w:rPr>
        <w:t>smaller</w:t>
      </w:r>
      <w:r w:rsidRPr="00647C89">
        <w:t xml:space="preserve"> priority index</w:t>
      </w:r>
      <w:r w:rsidRPr="00647C89">
        <w:rPr>
          <w:lang w:eastAsia="zh-CN"/>
        </w:rPr>
        <w:t>, if any</w:t>
      </w:r>
    </w:p>
    <w:p w14:paraId="274C4960" w14:textId="4CAB7F4E" w:rsidR="00F25051" w:rsidRPr="00F25051" w:rsidRDefault="00F25051" w:rsidP="00F25051">
      <w:pPr>
        <w:pStyle w:val="B2"/>
        <w:ind w:left="811"/>
        <w:rPr>
          <w:lang w:val="en-US"/>
        </w:rPr>
      </w:pPr>
      <w:r w:rsidRPr="00647C89">
        <w:t>-</w:t>
      </w:r>
      <w:r w:rsidRPr="00647C89">
        <w:tab/>
      </w:r>
      <w:r w:rsidRPr="00647C89">
        <w:rPr>
          <w:lang w:val="en-US"/>
        </w:rPr>
        <w:t>t</w:t>
      </w:r>
      <w:r w:rsidRPr="00647C89">
        <w:t xml:space="preserve">he UE multiplexes HARQ-ACK </w:t>
      </w:r>
      <w:r w:rsidRPr="00647C89">
        <w:rPr>
          <w:lang w:val="en-US"/>
        </w:rPr>
        <w:t xml:space="preserve">information </w:t>
      </w:r>
      <w:r w:rsidRPr="00647C89">
        <w:t>in a PUSCH</w:t>
      </w:r>
      <w:r w:rsidRPr="00647C89">
        <w:rPr>
          <w:lang w:eastAsia="zh-CN"/>
        </w:rPr>
        <w:t xml:space="preserve"> transmission</w:t>
      </w:r>
      <w:r w:rsidRPr="00647C89">
        <w:rPr>
          <w:lang w:val="en-US"/>
        </w:rPr>
        <w:t>,</w:t>
      </w:r>
      <w:r w:rsidRPr="00647C89">
        <w:t xml:space="preserve"> as </w:t>
      </w:r>
      <w:r w:rsidRPr="00647C89">
        <w:rPr>
          <w:lang w:val="en-US"/>
        </w:rPr>
        <w:t xml:space="preserve">is </w:t>
      </w:r>
      <w:r w:rsidRPr="00647C89">
        <w:t>subsequently de</w:t>
      </w:r>
      <w:r w:rsidRPr="00647C89">
        <w:rPr>
          <w:lang w:val="en-US"/>
        </w:rPr>
        <w:t>scribed</w:t>
      </w:r>
      <w:r w:rsidRPr="00647C89">
        <w:t xml:space="preserve"> in this clause for multiplexing </w:t>
      </w:r>
      <w:r w:rsidRPr="00647C89">
        <w:rPr>
          <w:lang w:val="en-US"/>
        </w:rPr>
        <w:t xml:space="preserve">HARQ-ACK information from a </w:t>
      </w:r>
      <w:r w:rsidRPr="00647C89">
        <w:t xml:space="preserve">PUCCH </w:t>
      </w:r>
      <w:r w:rsidRPr="00647C89">
        <w:rPr>
          <w:lang w:val="en-US"/>
        </w:rPr>
        <w:t>transmission in a</w:t>
      </w:r>
      <w:r w:rsidRPr="00647C89">
        <w:t xml:space="preserve"> PUSCH </w:t>
      </w:r>
      <w:r w:rsidRPr="00647C89">
        <w:rPr>
          <w:lang w:val="en-US"/>
        </w:rPr>
        <w:t xml:space="preserve">transmission </w:t>
      </w:r>
      <w:r w:rsidRPr="00647C89">
        <w:t xml:space="preserve">of </w:t>
      </w:r>
      <w:r w:rsidRPr="00647C89">
        <w:rPr>
          <w:lang w:val="en-US"/>
        </w:rPr>
        <w:t>a</w:t>
      </w:r>
      <w:r w:rsidRPr="00647C89">
        <w:t xml:space="preserve"> same priority index</w:t>
      </w:r>
      <w:r w:rsidRPr="00647C89">
        <w:rPr>
          <w:lang w:val="en-US"/>
        </w:rPr>
        <w:t>,</w:t>
      </w:r>
      <w:r w:rsidRPr="00647C89">
        <w:t xml:space="preserve"> if a PUCCH </w:t>
      </w:r>
      <w:r w:rsidRPr="00647C89">
        <w:rPr>
          <w:lang w:val="en-US"/>
        </w:rPr>
        <w:t xml:space="preserve">transmission </w:t>
      </w:r>
      <w:r w:rsidRPr="00647C89">
        <w:t xml:space="preserve">with HARQ-ACK </w:t>
      </w:r>
      <w:r w:rsidRPr="00647C89">
        <w:rPr>
          <w:lang w:val="en-US"/>
        </w:rPr>
        <w:t xml:space="preserve">information </w:t>
      </w:r>
      <w:r w:rsidRPr="00647C89">
        <w:t xml:space="preserve">of a </w:t>
      </w:r>
      <w:r w:rsidRPr="00647C89">
        <w:rPr>
          <w:lang w:val="en-US"/>
        </w:rPr>
        <w:t>first</w:t>
      </w:r>
      <w:r w:rsidRPr="00647C89">
        <w:t xml:space="preserve"> priority index overlaps with one or more PUSCH</w:t>
      </w:r>
      <w:r w:rsidRPr="00647C89">
        <w:rPr>
          <w:lang w:val="en-US"/>
        </w:rPr>
        <w:t xml:space="preserve"> transmission</w:t>
      </w:r>
      <w:r w:rsidRPr="00647C89">
        <w:t xml:space="preserve">s of a </w:t>
      </w:r>
      <w:r w:rsidRPr="00647C89">
        <w:rPr>
          <w:lang w:val="en-US"/>
        </w:rPr>
        <w:t>second</w:t>
      </w:r>
      <w:r w:rsidRPr="00647C89">
        <w:t xml:space="preserve"> priority</w:t>
      </w:r>
      <w:r w:rsidRPr="00647C89">
        <w:rPr>
          <w:lang w:val="en-US"/>
        </w:rPr>
        <w:t xml:space="preserve"> index that is different than the first priority index</w:t>
      </w:r>
    </w:p>
    <w:p w14:paraId="3F55D479" w14:textId="1DC0EC7F" w:rsidR="00441824" w:rsidRPr="006A1317" w:rsidRDefault="00441824" w:rsidP="00F25051">
      <w:pPr>
        <w:pStyle w:val="B1"/>
      </w:pPr>
      <w:r w:rsidRPr="00111FF6">
        <w:t>-</w:t>
      </w:r>
      <w:r w:rsidRPr="00111FF6">
        <w:tab/>
        <w:t xml:space="preserve">if </w:t>
      </w:r>
      <w:r>
        <w:t xml:space="preserve">// this is for cases the UE supports multiplexing information of different priorities in a PUCCH/PUSCH </w:t>
      </w:r>
      <w:r w:rsidR="00F25051" w:rsidRPr="00647C89">
        <w:rPr>
          <w:lang w:val="en-US"/>
        </w:rPr>
        <w:t>transmission</w:t>
      </w:r>
    </w:p>
    <w:p w14:paraId="5AC5009E" w14:textId="551C805B" w:rsidR="00441824" w:rsidRDefault="00441824" w:rsidP="00266B47">
      <w:pPr>
        <w:pStyle w:val="B2"/>
        <w:rPr>
          <w:rFonts w:ascii="Times" w:hAnsi="Times" w:cs="Times"/>
          <w:lang w:eastAsia="zh-CN"/>
        </w:rPr>
      </w:pPr>
      <w:r w:rsidRPr="00111FF6">
        <w:t>-</w:t>
      </w:r>
      <w:r w:rsidRPr="00111FF6">
        <w:tab/>
        <w:t>a PUCCH transmission with HARQ-ACK</w:t>
      </w:r>
      <w:r w:rsidRPr="00111FF6">
        <w:rPr>
          <w:lang w:val="en-US"/>
        </w:rPr>
        <w:t xml:space="preserve"> information,</w:t>
      </w:r>
      <w:r w:rsidRPr="00111FF6">
        <w:t xml:space="preserve"> without repetition</w:t>
      </w:r>
      <w:r w:rsidRPr="00111FF6">
        <w:rPr>
          <w:lang w:val="en-US"/>
        </w:rPr>
        <w:t>s,</w:t>
      </w:r>
      <w:r w:rsidRPr="00111FF6">
        <w:rPr>
          <w:rFonts w:ascii="Times" w:hAnsi="Times" w:cs="Times"/>
          <w:lang w:val="en-US" w:eastAsia="zh-CN"/>
        </w:rPr>
        <w:t xml:space="preserve"> with</w:t>
      </w:r>
      <w:r w:rsidRPr="00111FF6">
        <w:rPr>
          <w:rFonts w:ascii="Times" w:hAnsi="Times" w:cs="Times"/>
          <w:lang w:eastAsia="zh-CN"/>
        </w:rPr>
        <w:t xml:space="preserve"> smaller priority index overlaps with a </w:t>
      </w:r>
      <w:r w:rsidRPr="00111FF6">
        <w:t xml:space="preserve">PUCCH transmission </w:t>
      </w:r>
      <w:r w:rsidR="00F25051">
        <w:t xml:space="preserve">only </w:t>
      </w:r>
      <w:r w:rsidRPr="00111FF6">
        <w:t>with HARQ-ACK</w:t>
      </w:r>
      <w:r w:rsidRPr="00111FF6">
        <w:rPr>
          <w:lang w:val="en-US"/>
        </w:rPr>
        <w:t xml:space="preserve"> information,</w:t>
      </w:r>
      <w:r w:rsidRPr="00111FF6">
        <w:t xml:space="preserve"> without repetition</w:t>
      </w:r>
      <w:r w:rsidRPr="00111FF6">
        <w:rPr>
          <w:lang w:val="en-US"/>
        </w:rPr>
        <w:t>s,</w:t>
      </w:r>
      <w:r w:rsidRPr="00111FF6">
        <w:t xml:space="preserve"> </w:t>
      </w:r>
      <w:r w:rsidRPr="00111FF6">
        <w:rPr>
          <w:rFonts w:ascii="Times" w:hAnsi="Times" w:cs="Times"/>
          <w:lang w:val="en-US" w:eastAsia="zh-CN"/>
        </w:rPr>
        <w:t>with</w:t>
      </w:r>
      <w:r w:rsidRPr="00111FF6">
        <w:rPr>
          <w:rFonts w:ascii="Times" w:hAnsi="Times" w:cs="Times"/>
          <w:lang w:eastAsia="zh-CN"/>
        </w:rPr>
        <w:t xml:space="preserve"> larger priority index</w:t>
      </w:r>
      <w:r w:rsidRPr="00111FF6">
        <w:rPr>
          <w:rFonts w:ascii="Times" w:hAnsi="Times" w:cs="Times"/>
          <w:lang w:val="en-US" w:eastAsia="zh-CN"/>
        </w:rPr>
        <w:t>,</w:t>
      </w:r>
      <w:r w:rsidRPr="00111FF6">
        <w:rPr>
          <w:rFonts w:ascii="Times" w:hAnsi="Times" w:cs="Times"/>
          <w:lang w:eastAsia="zh-CN"/>
        </w:rPr>
        <w:t xml:space="preserve"> or </w:t>
      </w:r>
    </w:p>
    <w:p w14:paraId="4174F448" w14:textId="0FF35872" w:rsidR="00F25051" w:rsidRPr="00F25051" w:rsidRDefault="00F25051" w:rsidP="00266B47">
      <w:pPr>
        <w:pStyle w:val="B2"/>
        <w:rPr>
          <w:lang w:eastAsia="zh-CN"/>
        </w:rPr>
      </w:pPr>
      <w:r w:rsidRPr="00647C89">
        <w:t>-</w:t>
      </w:r>
      <w:r w:rsidRPr="00647C89">
        <w:tab/>
        <w:t>a PUCCH transmission without repetition</w:t>
      </w:r>
      <w:r w:rsidRPr="00647C89">
        <w:rPr>
          <w:lang w:val="en-US"/>
        </w:rPr>
        <w:t>s</w:t>
      </w:r>
      <w:r w:rsidRPr="00647C89">
        <w:t xml:space="preserve"> that includes HARQ-ACK</w:t>
      </w:r>
      <w:r w:rsidRPr="00647C89">
        <w:rPr>
          <w:lang w:val="en-US"/>
        </w:rPr>
        <w:t xml:space="preserve"> information </w:t>
      </w:r>
      <w:r w:rsidRPr="00647C89">
        <w:rPr>
          <w:lang w:val="en-US" w:eastAsia="zh-CN"/>
        </w:rPr>
        <w:t>of</w:t>
      </w:r>
      <w:r w:rsidRPr="00647C89">
        <w:rPr>
          <w:lang w:eastAsia="zh-CN"/>
        </w:rPr>
        <w:t xml:space="preserve"> smaller priority index overlaps with a </w:t>
      </w:r>
      <w:r w:rsidRPr="00647C89">
        <w:t>PUCCH transmission without repetitions using a PUCCH resource with PUCCH format 2/3/4 with HARQ-ACK</w:t>
      </w:r>
      <w:r w:rsidRPr="00647C89">
        <w:rPr>
          <w:lang w:val="en-US"/>
        </w:rPr>
        <w:t xml:space="preserve"> information and SR</w:t>
      </w:r>
      <w:r w:rsidRPr="00647C89">
        <w:t xml:space="preserve"> </w:t>
      </w:r>
      <w:r w:rsidRPr="00647C89">
        <w:rPr>
          <w:lang w:val="en-US" w:eastAsia="zh-CN"/>
        </w:rPr>
        <w:t>of</w:t>
      </w:r>
      <w:r w:rsidRPr="00647C89">
        <w:rPr>
          <w:lang w:eastAsia="zh-CN"/>
        </w:rPr>
        <w:t xml:space="preserve"> larger priority index</w:t>
      </w:r>
      <w:r w:rsidRPr="00647C89">
        <w:rPr>
          <w:lang w:val="en-US" w:eastAsia="zh-CN"/>
        </w:rPr>
        <w:t>,</w:t>
      </w:r>
      <w:r w:rsidRPr="00647C89">
        <w:rPr>
          <w:lang w:eastAsia="zh-CN"/>
        </w:rPr>
        <w:t xml:space="preserve"> or</w:t>
      </w:r>
    </w:p>
    <w:p w14:paraId="52B5A55C" w14:textId="77777777" w:rsidR="00441824" w:rsidRPr="00111FF6" w:rsidRDefault="00441824" w:rsidP="00266B47">
      <w:pPr>
        <w:pStyle w:val="B2"/>
        <w:rPr>
          <w:rFonts w:ascii="Times" w:hAnsi="Times" w:cs="Times"/>
          <w:lang w:eastAsia="zh-CN"/>
        </w:rPr>
      </w:pPr>
      <w:r w:rsidRPr="00111FF6">
        <w:t>-</w:t>
      </w:r>
      <w:r w:rsidRPr="00111FF6">
        <w:tab/>
        <w:t>a PUCCH transmission with HARQ-ACK</w:t>
      </w:r>
      <w:r w:rsidRPr="00111FF6">
        <w:rPr>
          <w:lang w:val="en-US"/>
        </w:rPr>
        <w:t xml:space="preserve"> information,</w:t>
      </w:r>
      <w:r w:rsidRPr="00111FF6">
        <w:t xml:space="preserve"> without repetition</w:t>
      </w:r>
      <w:r w:rsidRPr="00111FF6">
        <w:rPr>
          <w:lang w:val="en-US"/>
        </w:rPr>
        <w:t>s,</w:t>
      </w:r>
      <w:r w:rsidRPr="00111FF6">
        <w:rPr>
          <w:rFonts w:ascii="Times" w:hAnsi="Times" w:cs="Times"/>
          <w:lang w:val="en-US" w:eastAsia="zh-CN"/>
        </w:rPr>
        <w:t xml:space="preserve"> with</w:t>
      </w:r>
      <w:r w:rsidRPr="00111FF6">
        <w:rPr>
          <w:rFonts w:ascii="Times" w:hAnsi="Times" w:cs="Times"/>
          <w:lang w:eastAsia="zh-CN"/>
        </w:rPr>
        <w:t xml:space="preserve"> smaller </w:t>
      </w:r>
      <w:r>
        <w:rPr>
          <w:rFonts w:ascii="Times" w:hAnsi="Times" w:cs="Times"/>
          <w:lang w:val="en-US" w:eastAsia="zh-CN"/>
        </w:rPr>
        <w:t xml:space="preserve">or larger </w:t>
      </w:r>
      <w:r w:rsidRPr="00111FF6">
        <w:rPr>
          <w:rFonts w:ascii="Times" w:hAnsi="Times" w:cs="Times"/>
          <w:lang w:eastAsia="zh-CN"/>
        </w:rPr>
        <w:t>priority index overlaps</w:t>
      </w:r>
      <w:r>
        <w:rPr>
          <w:rFonts w:ascii="Times" w:hAnsi="Times" w:cs="Times"/>
          <w:lang w:val="en-US" w:eastAsia="zh-CN"/>
        </w:rPr>
        <w:t>, respectively,</w:t>
      </w:r>
      <w:r w:rsidRPr="00111FF6">
        <w:rPr>
          <w:rFonts w:ascii="Times" w:hAnsi="Times" w:cs="Times"/>
          <w:lang w:eastAsia="zh-CN"/>
        </w:rPr>
        <w:t xml:space="preserve"> with a </w:t>
      </w:r>
      <w:r w:rsidRPr="00111FF6">
        <w:t>PU</w:t>
      </w:r>
      <w:r>
        <w:rPr>
          <w:lang w:val="en-US"/>
        </w:rPr>
        <w:t>S</w:t>
      </w:r>
      <w:r w:rsidRPr="00111FF6">
        <w:t xml:space="preserve">CH transmission </w:t>
      </w:r>
      <w:r w:rsidRPr="00111FF6">
        <w:rPr>
          <w:rFonts w:ascii="Times" w:hAnsi="Times" w:cs="Times"/>
          <w:lang w:val="en-US" w:eastAsia="zh-CN"/>
        </w:rPr>
        <w:t>with</w:t>
      </w:r>
      <w:r w:rsidRPr="00111FF6">
        <w:rPr>
          <w:rFonts w:ascii="Times" w:hAnsi="Times" w:cs="Times"/>
          <w:lang w:eastAsia="zh-CN"/>
        </w:rPr>
        <w:t xml:space="preserve"> larger </w:t>
      </w:r>
      <w:r>
        <w:rPr>
          <w:rFonts w:ascii="Times" w:hAnsi="Times" w:cs="Times"/>
          <w:lang w:val="en-US" w:eastAsia="zh-CN"/>
        </w:rPr>
        <w:t xml:space="preserve">or smaller </w:t>
      </w:r>
      <w:r w:rsidRPr="00111FF6">
        <w:rPr>
          <w:rFonts w:ascii="Times" w:hAnsi="Times" w:cs="Times"/>
          <w:lang w:eastAsia="zh-CN"/>
        </w:rPr>
        <w:t>priority index</w:t>
      </w:r>
    </w:p>
    <w:p w14:paraId="3CDA80B6" w14:textId="77777777" w:rsidR="00266B47" w:rsidRDefault="00441824" w:rsidP="00F25051">
      <w:pPr>
        <w:pStyle w:val="B2"/>
      </w:pPr>
      <w:r w:rsidRPr="00111FF6">
        <w:t xml:space="preserve">the UE </w:t>
      </w:r>
    </w:p>
    <w:p w14:paraId="550B83F1" w14:textId="77777777" w:rsidR="00266B47" w:rsidRPr="00647C89" w:rsidRDefault="00266B47" w:rsidP="00266B47">
      <w:pPr>
        <w:pStyle w:val="B2"/>
      </w:pPr>
      <w:r w:rsidRPr="00647C89">
        <w:t>-</w:t>
      </w:r>
      <w:r w:rsidRPr="00647C89">
        <w:tab/>
        <w:t xml:space="preserve">multiplexes </w:t>
      </w:r>
      <w:r w:rsidRPr="00647C89">
        <w:rPr>
          <w:lang w:val="en-US"/>
        </w:rPr>
        <w:t>HARQ-ACK information</w:t>
      </w:r>
      <w:r w:rsidRPr="00647C89">
        <w:t xml:space="preserve"> of different priority indexes and SR</w:t>
      </w:r>
      <w:r w:rsidRPr="00647C89">
        <w:rPr>
          <w:lang w:val="en-US"/>
        </w:rPr>
        <w:t xml:space="preserve"> information</w:t>
      </w:r>
      <w:r w:rsidRPr="00647C89">
        <w:t xml:space="preserve"> of </w:t>
      </w:r>
      <w:r w:rsidRPr="00647C89">
        <w:rPr>
          <w:lang w:val="en-US" w:eastAsia="zh-CN"/>
        </w:rPr>
        <w:t xml:space="preserve">larger </w:t>
      </w:r>
      <w:r w:rsidRPr="00647C89">
        <w:rPr>
          <w:lang w:eastAsia="zh-CN"/>
        </w:rPr>
        <w:t xml:space="preserve">priority index, if any, </w:t>
      </w:r>
      <w:r w:rsidRPr="00647C89">
        <w:t>in a same</w:t>
      </w:r>
      <w:r w:rsidRPr="00647C89">
        <w:rPr>
          <w:lang w:val="en-US"/>
        </w:rPr>
        <w:t xml:space="preserve"> </w:t>
      </w:r>
      <w:r w:rsidRPr="00647C89">
        <w:t xml:space="preserve">PUCCH </w:t>
      </w:r>
      <w:r w:rsidRPr="00647C89">
        <w:rPr>
          <w:lang w:val="en-US"/>
        </w:rPr>
        <w:t xml:space="preserve">transmission </w:t>
      </w:r>
      <w:r w:rsidRPr="00647C89">
        <w:t xml:space="preserve">of </w:t>
      </w:r>
      <w:r w:rsidRPr="00647C89">
        <w:rPr>
          <w:lang w:val="en-US" w:eastAsia="zh-CN"/>
        </w:rPr>
        <w:t xml:space="preserve">larger </w:t>
      </w:r>
      <w:r w:rsidRPr="00647C89">
        <w:rPr>
          <w:lang w:eastAsia="zh-CN"/>
        </w:rPr>
        <w:t>priority index</w:t>
      </w:r>
      <w:r>
        <w:rPr>
          <w:lang w:eastAsia="zh-CN"/>
        </w:rPr>
        <w:t>,</w:t>
      </w:r>
      <w:r w:rsidRPr="00647C89">
        <w:t xml:space="preserve"> or multiplexes </w:t>
      </w:r>
      <w:r w:rsidRPr="00647C89">
        <w:rPr>
          <w:lang w:val="en-US"/>
        </w:rPr>
        <w:t>HARQ-ACK information</w:t>
      </w:r>
      <w:r w:rsidRPr="00647C89">
        <w:t xml:space="preserve"> </w:t>
      </w:r>
      <w:r>
        <w:t xml:space="preserve">the UE would provide in a PUCCH transmission </w:t>
      </w:r>
      <w:r w:rsidRPr="00647C89">
        <w:t xml:space="preserve">of </w:t>
      </w:r>
      <w:r w:rsidRPr="00647C89">
        <w:rPr>
          <w:lang w:eastAsia="zh-CN"/>
        </w:rPr>
        <w:t xml:space="preserve">smaller </w:t>
      </w:r>
      <w:r w:rsidRPr="00647C89">
        <w:rPr>
          <w:lang w:val="en-US" w:eastAsia="zh-CN"/>
        </w:rPr>
        <w:t xml:space="preserve">or larger </w:t>
      </w:r>
      <w:r w:rsidRPr="00647C89">
        <w:t>priority index in a PUSCH</w:t>
      </w:r>
      <w:r w:rsidRPr="00647C89">
        <w:rPr>
          <w:lang w:val="en-US"/>
        </w:rPr>
        <w:t xml:space="preserve"> transmission of </w:t>
      </w:r>
      <w:r w:rsidRPr="00647C89">
        <w:rPr>
          <w:lang w:eastAsia="zh-CN"/>
        </w:rPr>
        <w:t xml:space="preserve">larger </w:t>
      </w:r>
      <w:r w:rsidRPr="00647C89">
        <w:rPr>
          <w:lang w:val="en-US" w:eastAsia="zh-CN"/>
        </w:rPr>
        <w:t xml:space="preserve">or smaller </w:t>
      </w:r>
      <w:r w:rsidRPr="00647C89">
        <w:rPr>
          <w:lang w:eastAsia="zh-CN"/>
        </w:rPr>
        <w:t xml:space="preserve">priority </w:t>
      </w:r>
      <w:r w:rsidRPr="00647C89">
        <w:t>index</w:t>
      </w:r>
      <w:r w:rsidRPr="00647C89">
        <w:rPr>
          <w:lang w:val="en-US" w:eastAsia="zh-CN"/>
        </w:rPr>
        <w:t>, respectively,</w:t>
      </w:r>
      <w:r w:rsidRPr="00647C89">
        <w:rPr>
          <w:lang w:eastAsia="zh-CN"/>
        </w:rPr>
        <w:t xml:space="preserve"> </w:t>
      </w:r>
      <w:r w:rsidRPr="00647C89">
        <w:rPr>
          <w:lang w:val="en-US"/>
        </w:rPr>
        <w:t>and</w:t>
      </w:r>
      <w:r w:rsidRPr="00647C89">
        <w:t xml:space="preserve"> applies the procedures in clause 9.2.5.3 or 9.3, respectively, and</w:t>
      </w:r>
    </w:p>
    <w:p w14:paraId="64583137" w14:textId="77777777" w:rsidR="00E63D37" w:rsidRDefault="00266B47" w:rsidP="00E63D37">
      <w:pPr>
        <w:pStyle w:val="B2"/>
      </w:pPr>
      <w:r w:rsidRPr="00647C89">
        <w:t>-</w:t>
      </w:r>
      <w:r w:rsidRPr="00647C89">
        <w:tab/>
        <w:t xml:space="preserve">drops CSI and/or SR carried in the PUCCH </w:t>
      </w:r>
      <w:r w:rsidR="00E63D37">
        <w:rPr>
          <w:lang w:val="en-US"/>
        </w:rPr>
        <w:t xml:space="preserve">transmission </w:t>
      </w:r>
      <w:r w:rsidRPr="00647C89">
        <w:rPr>
          <w:lang w:val="en-US" w:eastAsia="zh-CN"/>
        </w:rPr>
        <w:t>of</w:t>
      </w:r>
      <w:r w:rsidRPr="00647C89">
        <w:rPr>
          <w:lang w:eastAsia="zh-CN"/>
        </w:rPr>
        <w:t xml:space="preserve"> smaller priority index</w:t>
      </w:r>
      <w:r w:rsidRPr="00647C89">
        <w:t>, if any</w:t>
      </w:r>
    </w:p>
    <w:p w14:paraId="35D1992E" w14:textId="2664F9A7" w:rsidR="00266B47" w:rsidRDefault="00E63D37" w:rsidP="00E63D37">
      <w:pPr>
        <w:pStyle w:val="B2"/>
      </w:pPr>
      <w:r w:rsidRPr="00647C89">
        <w:t>-</w:t>
      </w:r>
      <w:r w:rsidRPr="00647C89">
        <w:tab/>
        <w:t xml:space="preserve">drops </w:t>
      </w:r>
      <w:r>
        <w:rPr>
          <w:lang w:val="en-US"/>
        </w:rPr>
        <w:t>negative</w:t>
      </w:r>
      <w:r w:rsidRPr="00647C89">
        <w:t xml:space="preserve"> SR carried in the PUCCH </w:t>
      </w:r>
      <w:r>
        <w:rPr>
          <w:lang w:val="en-US"/>
        </w:rPr>
        <w:t xml:space="preserve">transmission </w:t>
      </w:r>
      <w:r w:rsidRPr="00647C89">
        <w:rPr>
          <w:lang w:val="en-US" w:eastAsia="zh-CN"/>
        </w:rPr>
        <w:t>of</w:t>
      </w:r>
      <w:r w:rsidRPr="00647C89">
        <w:rPr>
          <w:lang w:eastAsia="zh-CN"/>
        </w:rPr>
        <w:t xml:space="preserve"> </w:t>
      </w:r>
      <w:r>
        <w:rPr>
          <w:lang w:val="en-US" w:eastAsia="zh-CN"/>
        </w:rPr>
        <w:t>larger</w:t>
      </w:r>
      <w:r w:rsidRPr="00647C89">
        <w:rPr>
          <w:lang w:eastAsia="zh-CN"/>
        </w:rPr>
        <w:t xml:space="preserve"> priority index</w:t>
      </w:r>
      <w:r w:rsidRPr="00647C89">
        <w:t>, if any</w:t>
      </w:r>
      <w:r>
        <w:rPr>
          <w:lang w:val="en-US"/>
        </w:rPr>
        <w:t>, if the UE would multiplex the HARQ-ACK information of larger priority index in a PUSCH transmission of smaller priority index</w:t>
      </w:r>
    </w:p>
    <w:p w14:paraId="44EE5161" w14:textId="520F163B" w:rsidR="00266B47" w:rsidRPr="00647C89" w:rsidRDefault="00266B47" w:rsidP="00266B47">
      <w:pPr>
        <w:pStyle w:val="B2"/>
      </w:pPr>
      <w:r w:rsidRPr="00647C89">
        <w:t>-</w:t>
      </w:r>
      <w:r w:rsidRPr="00647C89">
        <w:tab/>
        <w:t xml:space="preserve">drops </w:t>
      </w:r>
      <w:r w:rsidRPr="00647C89">
        <w:rPr>
          <w:lang w:val="en-US"/>
        </w:rPr>
        <w:t>HARQ-ACK information</w:t>
      </w:r>
      <w:r>
        <w:t xml:space="preserve"> of smaller priority index</w:t>
      </w:r>
      <w:r w:rsidRPr="00647C89">
        <w:t xml:space="preserve"> if </w:t>
      </w:r>
      <w:r>
        <w:t xml:space="preserve">the UE would multiplex the </w:t>
      </w:r>
      <w:r w:rsidRPr="00647C89">
        <w:rPr>
          <w:lang w:val="en-US"/>
        </w:rPr>
        <w:t>HARQ-ACK information</w:t>
      </w:r>
      <w:r>
        <w:t xml:space="preserve"> of smaller priority index in a PUSCH </w:t>
      </w:r>
      <w:r w:rsidR="00E63D37">
        <w:rPr>
          <w:lang w:val="en-US"/>
        </w:rPr>
        <w:t xml:space="preserve">transmission </w:t>
      </w:r>
      <w:r>
        <w:t xml:space="preserve">where the UE multiplexes Part 1 </w:t>
      </w:r>
      <w:r w:rsidRPr="00B916EC">
        <w:t xml:space="preserve">CSI </w:t>
      </w:r>
      <w:r>
        <w:t xml:space="preserve">reports </w:t>
      </w:r>
      <w:r w:rsidRPr="00B916EC">
        <w:t xml:space="preserve">and </w:t>
      </w:r>
      <w:r>
        <w:t xml:space="preserve">Part 2 </w:t>
      </w:r>
      <w:r w:rsidRPr="00B916EC">
        <w:t xml:space="preserve">CSI </w:t>
      </w:r>
      <w:r>
        <w:t>reports of larger priority index</w:t>
      </w:r>
    </w:p>
    <w:p w14:paraId="2BA6DF92" w14:textId="77777777" w:rsidR="005D109A" w:rsidRPr="005D109A" w:rsidRDefault="00266B47" w:rsidP="005D109A">
      <w:pPr>
        <w:pStyle w:val="B2"/>
        <w:rPr>
          <w:lang w:val="en-GB"/>
        </w:rPr>
      </w:pPr>
      <w:r w:rsidRPr="00647C89">
        <w:t>-</w:t>
      </w:r>
      <w:r w:rsidRPr="00647C89">
        <w:tab/>
        <w:t xml:space="preserve">drops </w:t>
      </w:r>
      <w:r>
        <w:rPr>
          <w:lang w:val="en-US"/>
        </w:rPr>
        <w:t>Part 2 CSI reports</w:t>
      </w:r>
      <w:r>
        <w:t xml:space="preserve"> of smaller priority index</w:t>
      </w:r>
      <w:r w:rsidRPr="00647C89">
        <w:t xml:space="preserve"> if </w:t>
      </w:r>
      <w:r>
        <w:t xml:space="preserve">the UE would multiplex the </w:t>
      </w:r>
      <w:r w:rsidRPr="00647C89">
        <w:rPr>
          <w:lang w:val="en-US"/>
        </w:rPr>
        <w:t>HARQ-ACK information</w:t>
      </w:r>
      <w:r>
        <w:t xml:space="preserve"> of smaller and larger priority indexes in a PUSCH </w:t>
      </w:r>
      <w:r w:rsidR="00E63D37">
        <w:rPr>
          <w:lang w:val="en-US"/>
        </w:rPr>
        <w:t xml:space="preserve">transmission </w:t>
      </w:r>
      <w:r>
        <w:t xml:space="preserve">where the UE multiplexes Part 1 </w:t>
      </w:r>
      <w:r w:rsidRPr="00B916EC">
        <w:t xml:space="preserve">CSI </w:t>
      </w:r>
      <w:r>
        <w:t xml:space="preserve">reports </w:t>
      </w:r>
      <w:r w:rsidRPr="00B916EC">
        <w:t xml:space="preserve">and </w:t>
      </w:r>
      <w:r>
        <w:t xml:space="preserve">Part 2 </w:t>
      </w:r>
      <w:r w:rsidRPr="00B916EC">
        <w:t xml:space="preserve">CSI </w:t>
      </w:r>
      <w:r>
        <w:t>reports of smaller priority index</w:t>
      </w:r>
    </w:p>
    <w:p w14:paraId="3BE75E89" w14:textId="77777777" w:rsidR="009648BD" w:rsidRPr="009648BD" w:rsidRDefault="005D109A" w:rsidP="009648BD">
      <w:pPr>
        <w:pStyle w:val="B2"/>
        <w:rPr>
          <w:sz w:val="22"/>
          <w:szCs w:val="22"/>
          <w:lang w:val="en-GB"/>
        </w:rPr>
      </w:pPr>
      <w:r w:rsidRPr="005D109A">
        <w:t>-</w:t>
      </w:r>
      <w:r w:rsidRPr="005D109A">
        <w:tab/>
        <w:t xml:space="preserve">drops HARQ-ACK information of smaller priority index if the UE would multiplex the HARQ-ACK information of smaller priority index in </w:t>
      </w:r>
      <w:r w:rsidRPr="005D109A">
        <w:rPr>
          <w:rFonts w:hint="eastAsia"/>
        </w:rPr>
        <w:t>a PUCCH transmission of larger priority index using</w:t>
      </w:r>
      <w:r w:rsidRPr="005D109A">
        <w:t xml:space="preserve"> a PUCCH resource provided by </w:t>
      </w:r>
      <w:r w:rsidRPr="005D109A">
        <w:rPr>
          <w:i/>
          <w:iCs/>
        </w:rPr>
        <w:t>n1PUCCH-AN</w:t>
      </w:r>
    </w:p>
    <w:p w14:paraId="05B4BDA6" w14:textId="2FD46B81" w:rsidR="00266B47" w:rsidRPr="009648BD" w:rsidRDefault="009648BD" w:rsidP="009648BD">
      <w:pPr>
        <w:pStyle w:val="B2"/>
      </w:pPr>
      <w:r>
        <w:t>-</w:t>
      </w:r>
      <w:r>
        <w:tab/>
      </w:r>
      <w:r w:rsidRPr="009648BD">
        <w:t xml:space="preserve">drops </w:t>
      </w:r>
      <w:r w:rsidRPr="009648BD">
        <w:rPr>
          <w:lang w:val="en-US"/>
        </w:rPr>
        <w:t>Part 2 CSI reports</w:t>
      </w:r>
      <w:r w:rsidRPr="009648BD">
        <w:t xml:space="preserve"> of smaller priority index if the UE would multiplex the HARQ-ACK information of larger priority index in a PUSCH transmission where the UE multiplexes CG-UCI</w:t>
      </w:r>
      <w:r w:rsidR="002435FA">
        <w:t>, or UTO-UCI</w:t>
      </w:r>
      <w:r w:rsidRPr="009648BD">
        <w:t>, Part 1 CSI reports and Part 2 CSI reports of smaller priority index</w:t>
      </w:r>
    </w:p>
    <w:p w14:paraId="0D490CD2" w14:textId="77777777" w:rsidR="00441824" w:rsidRPr="00111FF6" w:rsidRDefault="00441824" w:rsidP="00266B47">
      <w:pPr>
        <w:pStyle w:val="B1"/>
      </w:pPr>
      <w:r w:rsidRPr="00111FF6">
        <w:lastRenderedPageBreak/>
        <w:t>-</w:t>
      </w:r>
      <w:r w:rsidRPr="00111FF6">
        <w:tab/>
        <w:t>else</w:t>
      </w:r>
    </w:p>
    <w:p w14:paraId="467D794E" w14:textId="77777777" w:rsidR="00441824" w:rsidRPr="003C7911" w:rsidRDefault="00441824" w:rsidP="00266B47">
      <w:pPr>
        <w:pStyle w:val="B2"/>
      </w:pPr>
      <w:r w:rsidRPr="00111FF6">
        <w:t>-</w:t>
      </w:r>
      <w:r w:rsidRPr="00111FF6">
        <w:tab/>
        <w:t>if</w:t>
      </w:r>
      <w:r w:rsidRPr="00111FF6">
        <w:rPr>
          <w:rFonts w:hint="eastAsia"/>
          <w:lang w:eastAsia="zh-CN"/>
        </w:rPr>
        <w:t xml:space="preserve"> </w:t>
      </w:r>
      <w:r w:rsidRPr="00111FF6">
        <w:t>the UE would transmit the following channels that would overlap in time</w:t>
      </w:r>
      <w:r>
        <w:t xml:space="preserve"> where, if a channel transmission is with repetitions, the following are applicable per repetition </w:t>
      </w:r>
    </w:p>
    <w:p w14:paraId="56A374D5" w14:textId="28228289" w:rsidR="00441824" w:rsidRPr="00111FF6" w:rsidRDefault="00441824" w:rsidP="00266B47">
      <w:pPr>
        <w:pStyle w:val="B3"/>
        <w:rPr>
          <w:lang w:eastAsia="zh-CN"/>
        </w:rPr>
      </w:pPr>
      <w:r w:rsidRPr="00111FF6">
        <w:t>-</w:t>
      </w:r>
      <w:r w:rsidRPr="00111FF6">
        <w:tab/>
        <w:t xml:space="preserve">a first PUCCH </w:t>
      </w:r>
      <w:r w:rsidR="00266B47" w:rsidRPr="00647C89">
        <w:rPr>
          <w:lang w:eastAsia="zh-CN"/>
        </w:rPr>
        <w:t xml:space="preserve">transmission </w:t>
      </w:r>
      <w:r w:rsidRPr="00111FF6">
        <w:rPr>
          <w:lang w:eastAsia="zh-CN"/>
        </w:rPr>
        <w:t xml:space="preserve">of larger priority index and a second PUCCH </w:t>
      </w:r>
      <w:r w:rsidR="00266B47" w:rsidRPr="00647C89">
        <w:rPr>
          <w:lang w:eastAsia="zh-CN"/>
        </w:rPr>
        <w:t xml:space="preserve">transmission </w:t>
      </w:r>
      <w:r w:rsidRPr="00111FF6">
        <w:rPr>
          <w:lang w:eastAsia="zh-CN"/>
        </w:rPr>
        <w:t>of smaller priority index</w:t>
      </w:r>
    </w:p>
    <w:p w14:paraId="57C604DE" w14:textId="66B693B7" w:rsidR="00441824" w:rsidRPr="00111FF6" w:rsidRDefault="00441824" w:rsidP="00266B47">
      <w:pPr>
        <w:pStyle w:val="B3"/>
        <w:rPr>
          <w:lang w:val="en-US"/>
        </w:rPr>
      </w:pPr>
      <w:r w:rsidRPr="00111FF6">
        <w:rPr>
          <w:lang w:val="en-US"/>
        </w:rPr>
        <w:t>-</w:t>
      </w:r>
      <w:r w:rsidRPr="00111FF6">
        <w:rPr>
          <w:lang w:val="en-US"/>
        </w:rPr>
        <w:tab/>
        <w:t xml:space="preserve">a first PUCCH </w:t>
      </w:r>
      <w:r w:rsidR="00266B47" w:rsidRPr="00647C89">
        <w:rPr>
          <w:lang w:eastAsia="zh-CN"/>
        </w:rPr>
        <w:t xml:space="preserve">transmission </w:t>
      </w:r>
      <w:r w:rsidRPr="00111FF6">
        <w:rPr>
          <w:lang w:val="en-US"/>
        </w:rPr>
        <w:t xml:space="preserve">of larger priority index and a second PUSCH </w:t>
      </w:r>
      <w:r w:rsidR="00266B47" w:rsidRPr="00647C89">
        <w:rPr>
          <w:lang w:eastAsia="zh-CN"/>
        </w:rPr>
        <w:t xml:space="preserve">transmission </w:t>
      </w:r>
      <w:r w:rsidRPr="00111FF6">
        <w:rPr>
          <w:lang w:val="en-US"/>
        </w:rPr>
        <w:t xml:space="preserve">of smaller priority index when the UE cannot simultaneously transmit the first PUCCH and second PUSCH </w:t>
      </w:r>
    </w:p>
    <w:p w14:paraId="62B58B4B" w14:textId="2C153A52" w:rsidR="00441824" w:rsidRPr="00111FF6" w:rsidRDefault="00441824" w:rsidP="00266B47">
      <w:pPr>
        <w:pStyle w:val="B3"/>
        <w:rPr>
          <w:lang w:val="en-US"/>
        </w:rPr>
      </w:pPr>
      <w:r w:rsidRPr="00111FF6">
        <w:rPr>
          <w:lang w:val="en-US"/>
        </w:rPr>
        <w:t>-</w:t>
      </w:r>
      <w:r w:rsidRPr="00111FF6">
        <w:rPr>
          <w:lang w:val="en-US"/>
        </w:rPr>
        <w:tab/>
        <w:t xml:space="preserve">a first PUCCH </w:t>
      </w:r>
      <w:r w:rsidR="00266B47" w:rsidRPr="00647C89">
        <w:rPr>
          <w:lang w:eastAsia="zh-CN"/>
        </w:rPr>
        <w:t xml:space="preserve">transmission </w:t>
      </w:r>
      <w:r w:rsidRPr="00111FF6">
        <w:rPr>
          <w:lang w:val="en-US"/>
        </w:rPr>
        <w:t xml:space="preserve">of smaller priority index and a second PUSCH </w:t>
      </w:r>
      <w:r w:rsidR="00266B47" w:rsidRPr="00647C89">
        <w:rPr>
          <w:lang w:eastAsia="zh-CN"/>
        </w:rPr>
        <w:t xml:space="preserve">transmission </w:t>
      </w:r>
      <w:r w:rsidRPr="00111FF6">
        <w:rPr>
          <w:lang w:val="en-US"/>
        </w:rPr>
        <w:t>of larger priority index when the UE cannot simultaneously transmit the first PUCCH and second PUSCH</w:t>
      </w:r>
    </w:p>
    <w:p w14:paraId="45662484" w14:textId="77777777" w:rsidR="00441824" w:rsidRPr="00111FF6" w:rsidRDefault="00441824" w:rsidP="00266B47">
      <w:pPr>
        <w:pStyle w:val="B3"/>
      </w:pPr>
      <w:r w:rsidRPr="00111FF6">
        <w:rPr>
          <w:lang w:val="en-US"/>
        </w:rPr>
        <w:t>the UE</w:t>
      </w:r>
    </w:p>
    <w:p w14:paraId="7A93AC93" w14:textId="7A1BAFE0" w:rsidR="00441824" w:rsidRPr="00111FF6" w:rsidRDefault="00441824" w:rsidP="00266B47">
      <w:pPr>
        <w:pStyle w:val="B3"/>
        <w:rPr>
          <w:lang w:eastAsia="zh-CN"/>
        </w:rPr>
      </w:pPr>
      <w:r w:rsidRPr="00111FF6">
        <w:rPr>
          <w:lang w:val="en-US"/>
        </w:rPr>
        <w:t>-</w:t>
      </w:r>
      <w:r w:rsidRPr="00111FF6">
        <w:rPr>
          <w:lang w:val="en-US"/>
        </w:rPr>
        <w:tab/>
        <w:t xml:space="preserve">transmits the PUCCH or the PUSCH </w:t>
      </w:r>
      <w:r w:rsidRPr="00111FF6">
        <w:rPr>
          <w:lang w:eastAsia="zh-CN"/>
        </w:rPr>
        <w:t xml:space="preserve">of </w:t>
      </w:r>
      <w:r w:rsidRPr="00111FF6">
        <w:rPr>
          <w:lang w:val="en-US" w:eastAsia="zh-CN"/>
        </w:rPr>
        <w:t xml:space="preserve">the </w:t>
      </w:r>
      <w:r w:rsidRPr="00111FF6">
        <w:rPr>
          <w:lang w:eastAsia="zh-CN"/>
        </w:rPr>
        <w:t>larger priority index</w:t>
      </w:r>
      <w:r w:rsidR="00C82371">
        <w:rPr>
          <w:lang w:eastAsia="zh-CN"/>
        </w:rPr>
        <w:t xml:space="preserve"> </w:t>
      </w:r>
      <w:r w:rsidR="00C82371" w:rsidRPr="00164128">
        <w:rPr>
          <w:lang w:eastAsia="zh-CN"/>
        </w:rPr>
        <w:t>subject to the limitations for UE transmissions</w:t>
      </w:r>
      <w:r w:rsidR="00C82371" w:rsidRPr="00237096">
        <w:rPr>
          <w:lang w:eastAsia="zh-CN"/>
        </w:rPr>
        <w:t xml:space="preserve"> </w:t>
      </w:r>
      <w:r w:rsidR="00B35D84" w:rsidRPr="00237096">
        <w:t xml:space="preserve">due to cell DRX operation or as </w:t>
      </w:r>
      <w:r w:rsidR="00C82371" w:rsidRPr="00164128">
        <w:rPr>
          <w:lang w:eastAsia="zh-CN"/>
        </w:rPr>
        <w:t>described in clauses 11.1, 11.1.1</w:t>
      </w:r>
      <w:r w:rsidR="003B0C82">
        <w:rPr>
          <w:lang w:eastAsia="zh-CN"/>
        </w:rPr>
        <w:t>,</w:t>
      </w:r>
      <w:r w:rsidR="00C82371" w:rsidRPr="00164128">
        <w:rPr>
          <w:lang w:eastAsia="zh-CN"/>
        </w:rPr>
        <w:t xml:space="preserve"> 11.2A</w:t>
      </w:r>
      <w:r w:rsidRPr="00111FF6">
        <w:rPr>
          <w:lang w:val="en-US" w:eastAsia="zh-CN"/>
        </w:rPr>
        <w:t>,</w:t>
      </w:r>
      <w:r w:rsidRPr="00111FF6">
        <w:rPr>
          <w:lang w:eastAsia="zh-CN"/>
        </w:rPr>
        <w:t xml:space="preserve"> </w:t>
      </w:r>
      <w:r w:rsidR="003B0C82">
        <w:rPr>
          <w:rFonts w:hint="eastAsia"/>
          <w:lang w:eastAsia="zh-CN"/>
        </w:rPr>
        <w:t xml:space="preserve">and 15 </w:t>
      </w:r>
      <w:r w:rsidRPr="00111FF6">
        <w:rPr>
          <w:lang w:eastAsia="zh-CN"/>
        </w:rPr>
        <w:t xml:space="preserve">and </w:t>
      </w:r>
    </w:p>
    <w:p w14:paraId="3C254116" w14:textId="77777777" w:rsidR="00266B47" w:rsidRDefault="00441824" w:rsidP="00266B47">
      <w:pPr>
        <w:pStyle w:val="B3"/>
        <w:rPr>
          <w:lang w:eastAsia="zh-CN"/>
        </w:rPr>
      </w:pPr>
      <w:r w:rsidRPr="00111FF6">
        <w:rPr>
          <w:lang w:val="en-US"/>
        </w:rPr>
        <w:t>-</w:t>
      </w:r>
      <w:r w:rsidRPr="00111FF6">
        <w:rPr>
          <w:lang w:val="en-US"/>
        </w:rPr>
        <w:tab/>
        <w:t xml:space="preserve">does not transmit a </w:t>
      </w:r>
      <w:bookmarkStart w:id="409" w:name="_Hlk89423117"/>
      <w:r w:rsidRPr="00111FF6">
        <w:rPr>
          <w:lang w:val="en-US"/>
        </w:rPr>
        <w:t xml:space="preserve">PUCCH or a PUSCH </w:t>
      </w:r>
      <w:r w:rsidRPr="00111FF6">
        <w:rPr>
          <w:lang w:eastAsia="zh-CN"/>
        </w:rPr>
        <w:t>of smaller priority index</w:t>
      </w:r>
    </w:p>
    <w:p w14:paraId="6F92F0F8" w14:textId="121B38C4" w:rsidR="00266B47" w:rsidRPr="00CC5DCD" w:rsidRDefault="00266B47" w:rsidP="00504B9B">
      <w:pPr>
        <w:rPr>
          <w:lang w:eastAsia="zh-CN"/>
        </w:rPr>
      </w:pPr>
      <w:r w:rsidRPr="00647C89">
        <w:rPr>
          <w:lang w:eastAsia="zh-CN"/>
        </w:rPr>
        <w:t>When a UE determines overlapping for PUCCH and/or PUSCH transmissions of different priority indexes</w:t>
      </w:r>
      <w:r>
        <w:rPr>
          <w:lang w:eastAsia="zh-CN"/>
        </w:rPr>
        <w:t>,</w:t>
      </w:r>
      <w:r w:rsidRPr="00647C89">
        <w:rPr>
          <w:lang w:eastAsia="zh-CN"/>
        </w:rPr>
        <w:t xml:space="preserve"> </w:t>
      </w:r>
      <w:r w:rsidRPr="00647C89">
        <w:t>other than PUCCH transmissions with SL HARQ-ACK reports</w:t>
      </w:r>
      <w:r>
        <w:t>,</w:t>
      </w:r>
      <w:r w:rsidRPr="00647C89">
        <w:t xml:space="preserve"> before considering limitations for</w:t>
      </w:r>
      <w:r>
        <w:t xml:space="preserve"> </w:t>
      </w:r>
      <w:r w:rsidRPr="00647C89">
        <w:t>transmission</w:t>
      </w:r>
      <w:r>
        <w:t>s including with repetitions, if any,</w:t>
      </w:r>
      <w:r w:rsidRPr="00647C89">
        <w:t xml:space="preserve"> </w:t>
      </w:r>
      <w:r w:rsidR="00504B9B" w:rsidRPr="00515578">
        <w:t>due to cell DRX operation or</w:t>
      </w:r>
      <w:r w:rsidR="00504B9B" w:rsidRPr="00515578">
        <w:rPr>
          <w:rFonts w:eastAsia="Malgun Gothic"/>
        </w:rPr>
        <w:t xml:space="preserve"> </w:t>
      </w:r>
      <w:r w:rsidRPr="00647C89">
        <w:t>as described in clause</w:t>
      </w:r>
      <w:r>
        <w:t>s</w:t>
      </w:r>
      <w:r w:rsidRPr="00647C89">
        <w:t xml:space="preserve"> </w:t>
      </w:r>
      <w:r w:rsidRPr="00504B9B">
        <w:t>11.1</w:t>
      </w:r>
      <w:r w:rsidR="004B3D37" w:rsidRPr="00504B9B">
        <w:t>,</w:t>
      </w:r>
      <w:r w:rsidRPr="00504B9B">
        <w:rPr>
          <w:lang w:eastAsia="zh-CN"/>
        </w:rPr>
        <w:t xml:space="preserve"> 11.1.1</w:t>
      </w:r>
      <w:r w:rsidR="00944556" w:rsidRPr="00504B9B">
        <w:rPr>
          <w:lang w:eastAsia="zh-CN"/>
        </w:rPr>
        <w:t>,</w:t>
      </w:r>
      <w:r w:rsidR="004B3D37" w:rsidRPr="00504B9B">
        <w:rPr>
          <w:rFonts w:eastAsia="Malgun Gothic"/>
          <w:lang w:eastAsia="zh-CN"/>
        </w:rPr>
        <w:t xml:space="preserve"> 11.2A</w:t>
      </w:r>
      <w:r w:rsidR="003B0C82" w:rsidRPr="00504B9B">
        <w:rPr>
          <w:rFonts w:eastAsia="Malgun Gothic"/>
          <w:lang w:eastAsia="zh-CN"/>
        </w:rPr>
        <w:t>, 15</w:t>
      </w:r>
      <w:r w:rsidR="00944556" w:rsidRPr="00504B9B">
        <w:rPr>
          <w:rFonts w:eastAsia="Malgun Gothic"/>
          <w:lang w:eastAsia="zh-CN"/>
        </w:rPr>
        <w:t xml:space="preserve"> </w:t>
      </w:r>
      <w:r w:rsidR="00944556" w:rsidRPr="00504B9B">
        <w:rPr>
          <w:lang w:eastAsia="zh-CN"/>
        </w:rPr>
        <w:t>and 17.2</w:t>
      </w:r>
      <w:r w:rsidRPr="00504B9B">
        <w:rPr>
          <w:lang w:eastAsia="zh-CN"/>
        </w:rPr>
        <w:t xml:space="preserve">, </w:t>
      </w:r>
      <w:r w:rsidRPr="00504B9B">
        <w:t>if</w:t>
      </w:r>
      <w:r w:rsidRPr="00647C89">
        <w:t xml:space="preserve"> the UE is </w:t>
      </w:r>
      <w:r>
        <w:t xml:space="preserve">not </w:t>
      </w:r>
      <w:r w:rsidRPr="00647C89">
        <w:t xml:space="preserve">provided </w:t>
      </w:r>
      <w:r w:rsidR="00747007">
        <w:rPr>
          <w:i/>
          <w:iCs/>
        </w:rPr>
        <w:t>uci</w:t>
      </w:r>
      <w:r w:rsidR="00747007" w:rsidRPr="00AC41DF">
        <w:rPr>
          <w:i/>
          <w:iCs/>
        </w:rPr>
        <w:t>-MuxWithDiffPrio</w:t>
      </w:r>
      <w:r w:rsidRPr="00647C89">
        <w:rPr>
          <w:lang w:val="en-US"/>
        </w:rPr>
        <w:t xml:space="preserve">, </w:t>
      </w:r>
      <w:r w:rsidRPr="00647C89">
        <w:rPr>
          <w:lang w:eastAsia="zh-CN"/>
        </w:rPr>
        <w:t xml:space="preserve">the UE first resolves overlapping for PUCCH and/or PUSCH transmissions of smaller priority index as described in clauses 9.2.5 and 9.2.6. Then, </w:t>
      </w:r>
    </w:p>
    <w:bookmarkEnd w:id="409"/>
    <w:p w14:paraId="74B5297A" w14:textId="4720F667" w:rsidR="00DF0F4D" w:rsidRPr="00504B9B" w:rsidRDefault="00DF0F4D" w:rsidP="002E7239">
      <w:pPr>
        <w:pStyle w:val="B1"/>
        <w:rPr>
          <w:lang w:val="en-US"/>
        </w:rPr>
      </w:pPr>
      <w:r w:rsidRPr="00504B9B">
        <w:t>-</w:t>
      </w:r>
      <w:r w:rsidRPr="00504B9B">
        <w:tab/>
      </w:r>
      <w:r w:rsidRPr="00504B9B">
        <w:rPr>
          <w:lang w:val="en-US"/>
        </w:rPr>
        <w:t xml:space="preserve">if a transmission of </w:t>
      </w:r>
      <w:r w:rsidRPr="00504B9B">
        <w:rPr>
          <w:lang w:eastAsia="zh-CN"/>
        </w:rPr>
        <w:t xml:space="preserve">a first PUCCH of </w:t>
      </w:r>
      <w:r w:rsidRPr="00504B9B">
        <w:rPr>
          <w:lang w:val="en-US" w:eastAsia="zh-CN"/>
        </w:rPr>
        <w:t>larger</w:t>
      </w:r>
      <w:r w:rsidRPr="00504B9B">
        <w:rPr>
          <w:lang w:eastAsia="zh-CN"/>
        </w:rPr>
        <w:t xml:space="preserve"> priority index</w:t>
      </w:r>
      <w:r w:rsidRPr="00504B9B">
        <w:rPr>
          <w:lang w:val="en-US" w:eastAsia="zh-CN"/>
        </w:rPr>
        <w:t xml:space="preserve"> scheduled by a DCI format in a PDCCH reception</w:t>
      </w:r>
      <w:r w:rsidRPr="00504B9B">
        <w:rPr>
          <w:lang w:eastAsia="zh-CN"/>
        </w:rPr>
        <w:t xml:space="preserve"> would overlap in time with a </w:t>
      </w:r>
      <w:r w:rsidR="00557048" w:rsidRPr="00504B9B">
        <w:rPr>
          <w:rFonts w:eastAsia="Microsoft YaHei"/>
          <w:lang w:eastAsia="zh-CN"/>
        </w:rPr>
        <w:t>repetition of</w:t>
      </w:r>
      <w:r w:rsidR="00557048" w:rsidRPr="00504B9B">
        <w:rPr>
          <w:rFonts w:eastAsia="Microsoft YaHei"/>
          <w:lang w:val="en-US" w:eastAsia="zh-CN"/>
        </w:rPr>
        <w:t xml:space="preserve"> a </w:t>
      </w:r>
      <w:r w:rsidRPr="00504B9B">
        <w:rPr>
          <w:lang w:eastAsia="zh-CN"/>
        </w:rPr>
        <w:t xml:space="preserve">transmission </w:t>
      </w:r>
      <w:r w:rsidRPr="00504B9B">
        <w:rPr>
          <w:lang w:val="en-US" w:eastAsia="zh-CN"/>
        </w:rPr>
        <w:t xml:space="preserve">of </w:t>
      </w:r>
      <w:r w:rsidRPr="00504B9B">
        <w:rPr>
          <w:lang w:eastAsia="zh-CN"/>
        </w:rPr>
        <w:t xml:space="preserve">a </w:t>
      </w:r>
      <w:r w:rsidRPr="00504B9B">
        <w:rPr>
          <w:lang w:val="en-US" w:eastAsia="zh-CN"/>
        </w:rPr>
        <w:t xml:space="preserve">second </w:t>
      </w:r>
      <w:r w:rsidRPr="00504B9B">
        <w:rPr>
          <w:lang w:eastAsia="zh-CN"/>
        </w:rPr>
        <w:t xml:space="preserve">PUSCH or </w:t>
      </w:r>
      <w:r w:rsidRPr="00504B9B">
        <w:rPr>
          <w:lang w:val="en-US" w:eastAsia="zh-CN"/>
        </w:rPr>
        <w:t xml:space="preserve">a second </w:t>
      </w:r>
      <w:r w:rsidRPr="00504B9B">
        <w:rPr>
          <w:lang w:eastAsia="zh-CN"/>
        </w:rPr>
        <w:t xml:space="preserve">PUCCH of </w:t>
      </w:r>
      <w:r w:rsidRPr="00504B9B">
        <w:rPr>
          <w:lang w:val="en-US" w:eastAsia="zh-CN"/>
        </w:rPr>
        <w:t>smaller</w:t>
      </w:r>
      <w:r w:rsidRPr="00504B9B">
        <w:rPr>
          <w:lang w:eastAsia="zh-CN"/>
        </w:rPr>
        <w:t xml:space="preserve"> priority index, the UE c</w:t>
      </w:r>
      <w:r w:rsidRPr="00504B9B">
        <w:rPr>
          <w:lang w:val="en-US" w:eastAsia="zh-CN"/>
        </w:rPr>
        <w:t xml:space="preserve">ancels the </w:t>
      </w:r>
      <w:r w:rsidR="00557048" w:rsidRPr="00504B9B">
        <w:rPr>
          <w:lang w:val="en-US" w:eastAsia="zh-CN"/>
        </w:rPr>
        <w:t xml:space="preserve">repetition of a </w:t>
      </w:r>
      <w:r w:rsidRPr="00504B9B">
        <w:rPr>
          <w:lang w:val="en-US" w:eastAsia="zh-CN"/>
        </w:rPr>
        <w:t>transmission of the second PUSCH or the second PUCCH before the first symbol that would overlap with the first PUCCH transmission</w:t>
      </w:r>
    </w:p>
    <w:p w14:paraId="65052940" w14:textId="0EE8044E" w:rsidR="00DF0F4D" w:rsidRPr="00504B9B" w:rsidRDefault="00DF0F4D" w:rsidP="002E7239">
      <w:pPr>
        <w:pStyle w:val="B1"/>
      </w:pPr>
      <w:r w:rsidRPr="00504B9B">
        <w:t>-</w:t>
      </w:r>
      <w:r w:rsidRPr="00504B9B">
        <w:tab/>
      </w:r>
      <w:r w:rsidRPr="00504B9B">
        <w:rPr>
          <w:lang w:val="en-US"/>
        </w:rPr>
        <w:t xml:space="preserve">if a transmission of </w:t>
      </w:r>
      <w:r w:rsidRPr="00504B9B">
        <w:rPr>
          <w:lang w:eastAsia="zh-CN"/>
        </w:rPr>
        <w:t xml:space="preserve">a </w:t>
      </w:r>
      <w:r w:rsidRPr="00504B9B">
        <w:rPr>
          <w:lang w:val="en-US" w:eastAsia="zh-CN"/>
        </w:rPr>
        <w:t xml:space="preserve">first </w:t>
      </w:r>
      <w:r w:rsidRPr="00504B9B">
        <w:rPr>
          <w:lang w:eastAsia="zh-CN"/>
        </w:rPr>
        <w:t>PU</w:t>
      </w:r>
      <w:r w:rsidRPr="00504B9B">
        <w:rPr>
          <w:lang w:val="en-US" w:eastAsia="zh-CN"/>
        </w:rPr>
        <w:t>S</w:t>
      </w:r>
      <w:r w:rsidRPr="00504B9B">
        <w:rPr>
          <w:lang w:eastAsia="zh-CN"/>
        </w:rPr>
        <w:t xml:space="preserve">CH of </w:t>
      </w:r>
      <w:r w:rsidRPr="00504B9B">
        <w:rPr>
          <w:lang w:val="en-US" w:eastAsia="zh-CN"/>
        </w:rPr>
        <w:t>larger</w:t>
      </w:r>
      <w:r w:rsidRPr="00504B9B">
        <w:rPr>
          <w:lang w:eastAsia="zh-CN"/>
        </w:rPr>
        <w:t xml:space="preserve"> priority index</w:t>
      </w:r>
      <w:r w:rsidRPr="00504B9B">
        <w:rPr>
          <w:lang w:val="en-US" w:eastAsia="zh-CN"/>
        </w:rPr>
        <w:t xml:space="preserve"> scheduled by a DCI format in a PDCCH reception</w:t>
      </w:r>
      <w:r w:rsidRPr="00504B9B">
        <w:rPr>
          <w:lang w:eastAsia="zh-CN"/>
        </w:rPr>
        <w:t xml:space="preserve"> would overlap in time with a </w:t>
      </w:r>
      <w:r w:rsidR="00557048" w:rsidRPr="00504B9B">
        <w:rPr>
          <w:lang w:val="en-US" w:eastAsia="zh-CN"/>
        </w:rPr>
        <w:t xml:space="preserve">repetition of the </w:t>
      </w:r>
      <w:r w:rsidRPr="00504B9B">
        <w:rPr>
          <w:lang w:eastAsia="zh-CN"/>
        </w:rPr>
        <w:t xml:space="preserve">transmission </w:t>
      </w:r>
      <w:r w:rsidRPr="00504B9B">
        <w:rPr>
          <w:lang w:val="en-US" w:eastAsia="zh-CN"/>
        </w:rPr>
        <w:t xml:space="preserve">of </w:t>
      </w:r>
      <w:r w:rsidRPr="00504B9B">
        <w:rPr>
          <w:lang w:eastAsia="zh-CN"/>
        </w:rPr>
        <w:t xml:space="preserve">a </w:t>
      </w:r>
      <w:r w:rsidRPr="00504B9B">
        <w:rPr>
          <w:lang w:val="en-US" w:eastAsia="zh-CN"/>
        </w:rPr>
        <w:t xml:space="preserve">second </w:t>
      </w:r>
      <w:r w:rsidRPr="00504B9B">
        <w:rPr>
          <w:lang w:eastAsia="zh-CN"/>
        </w:rPr>
        <w:t xml:space="preserve">PUCCH of </w:t>
      </w:r>
      <w:r w:rsidRPr="00504B9B">
        <w:rPr>
          <w:lang w:val="en-US" w:eastAsia="zh-CN"/>
        </w:rPr>
        <w:t>smaller</w:t>
      </w:r>
      <w:r w:rsidRPr="00504B9B">
        <w:rPr>
          <w:lang w:eastAsia="zh-CN"/>
        </w:rPr>
        <w:t xml:space="preserve"> priority index, the UE c</w:t>
      </w:r>
      <w:r w:rsidRPr="00504B9B">
        <w:rPr>
          <w:lang w:val="en-US" w:eastAsia="zh-CN"/>
        </w:rPr>
        <w:t>ancels the</w:t>
      </w:r>
      <w:r w:rsidR="00557048" w:rsidRPr="00504B9B">
        <w:rPr>
          <w:lang w:val="en-US" w:eastAsia="zh-CN"/>
        </w:rPr>
        <w:t xml:space="preserve"> repetition of the</w:t>
      </w:r>
      <w:r w:rsidRPr="00504B9B">
        <w:rPr>
          <w:lang w:val="en-US" w:eastAsia="zh-CN"/>
        </w:rPr>
        <w:t xml:space="preserve"> transmission of the second PUCCH before the first symbol that would overlap with the first PUSCH transmission</w:t>
      </w:r>
    </w:p>
    <w:p w14:paraId="6BA2CBFC" w14:textId="62DF8C76" w:rsidR="00DF0F4D" w:rsidRPr="00504B9B" w:rsidRDefault="002F7AB8" w:rsidP="002E7239">
      <w:pPr>
        <w:pStyle w:val="B1"/>
      </w:pPr>
      <w:r w:rsidRPr="00504B9B">
        <w:t xml:space="preserve">where </w:t>
      </w:r>
    </w:p>
    <w:p w14:paraId="64972EA6" w14:textId="1F33D3BD" w:rsidR="00391714" w:rsidRPr="00504B9B" w:rsidRDefault="00DF0F4D" w:rsidP="002E7239">
      <w:pPr>
        <w:pStyle w:val="B1"/>
        <w:rPr>
          <w:lang w:eastAsia="zh-CN"/>
        </w:rPr>
      </w:pPr>
      <w:r w:rsidRPr="00504B9B">
        <w:t>-</w:t>
      </w:r>
      <w:r w:rsidRPr="00504B9B">
        <w:tab/>
      </w:r>
      <w:r w:rsidRPr="00504B9B">
        <w:rPr>
          <w:lang w:eastAsia="zh-CN"/>
        </w:rPr>
        <w:t xml:space="preserve">the overlapping is applicable before or after resolving overlapping among channels of larger priority index, if any, as described </w:t>
      </w:r>
      <w:r w:rsidR="006F5F9E" w:rsidRPr="00504B9B">
        <w:rPr>
          <w:lang w:eastAsia="zh-CN"/>
        </w:rPr>
        <w:t>in clause</w:t>
      </w:r>
      <w:r w:rsidR="00557048" w:rsidRPr="00504B9B">
        <w:rPr>
          <w:lang w:eastAsia="zh-CN"/>
        </w:rPr>
        <w:t>s</w:t>
      </w:r>
      <w:r w:rsidRPr="00504B9B">
        <w:rPr>
          <w:lang w:eastAsia="zh-CN"/>
        </w:rPr>
        <w:t xml:space="preserve"> 9.2.5</w:t>
      </w:r>
      <w:r w:rsidR="00557048" w:rsidRPr="00504B9B">
        <w:rPr>
          <w:lang w:eastAsia="zh-CN"/>
        </w:rPr>
        <w:t xml:space="preserve"> and 9.2.6</w:t>
      </w:r>
    </w:p>
    <w:p w14:paraId="46A1BAA8" w14:textId="6F60312E" w:rsidR="00DF0F4D" w:rsidRPr="00504B9B" w:rsidRDefault="00391714" w:rsidP="002E7239">
      <w:pPr>
        <w:pStyle w:val="B1"/>
      </w:pPr>
      <w:r w:rsidRPr="00504B9B">
        <w:rPr>
          <w:lang w:eastAsia="zh-CN"/>
        </w:rPr>
        <w:t>-</w:t>
      </w:r>
      <w:r w:rsidRPr="00504B9B">
        <w:rPr>
          <w:lang w:eastAsia="zh-CN"/>
        </w:rPr>
        <w:tab/>
        <w:t xml:space="preserve">any remaining PUCCH and/or PUSCH transmission after overlapping resolution is subjected to the limitations for UE transmission </w:t>
      </w:r>
      <w:r w:rsidR="00504B9B" w:rsidRPr="00515578">
        <w:t>due to cell DRX operation or</w:t>
      </w:r>
      <w:r w:rsidR="00504B9B" w:rsidRPr="00515578">
        <w:rPr>
          <w:rFonts w:eastAsia="Malgun Gothic"/>
        </w:rPr>
        <w:t xml:space="preserve"> </w:t>
      </w:r>
      <w:r w:rsidRPr="00504B9B">
        <w:rPr>
          <w:lang w:eastAsia="zh-CN"/>
        </w:rPr>
        <w:t xml:space="preserve">as described </w:t>
      </w:r>
      <w:r w:rsidR="006F5F9E" w:rsidRPr="00504B9B">
        <w:rPr>
          <w:lang w:eastAsia="zh-CN"/>
        </w:rPr>
        <w:t>in clause</w:t>
      </w:r>
      <w:r w:rsidR="004B3D37" w:rsidRPr="00504B9B">
        <w:rPr>
          <w:lang w:val="en-GB" w:eastAsia="zh-CN"/>
        </w:rPr>
        <w:t>s</w:t>
      </w:r>
      <w:r w:rsidRPr="00504B9B">
        <w:rPr>
          <w:lang w:eastAsia="zh-CN"/>
        </w:rPr>
        <w:t xml:space="preserve"> 11.1</w:t>
      </w:r>
      <w:r w:rsidR="004B3D37" w:rsidRPr="00504B9B">
        <w:rPr>
          <w:lang w:val="en-GB" w:eastAsia="zh-CN"/>
        </w:rPr>
        <w:t>,</w:t>
      </w:r>
      <w:r w:rsidR="00423600" w:rsidRPr="00504B9B">
        <w:rPr>
          <w:lang w:eastAsia="zh-CN"/>
        </w:rPr>
        <w:t xml:space="preserve"> 11.1.1</w:t>
      </w:r>
      <w:r w:rsidR="00944556" w:rsidRPr="00504B9B">
        <w:rPr>
          <w:lang w:val="en-GB" w:eastAsia="zh-CN"/>
        </w:rPr>
        <w:t>,</w:t>
      </w:r>
      <w:r w:rsidR="004B3D37" w:rsidRPr="00504B9B">
        <w:rPr>
          <w:rFonts w:eastAsia="Malgun Gothic"/>
          <w:lang w:eastAsia="zh-CN"/>
        </w:rPr>
        <w:t xml:space="preserve"> 11.2A</w:t>
      </w:r>
      <w:r w:rsidR="003B0C82" w:rsidRPr="00504B9B">
        <w:rPr>
          <w:rFonts w:eastAsia="Malgun Gothic"/>
          <w:lang w:val="en-GB" w:eastAsia="zh-CN"/>
        </w:rPr>
        <w:t>, 15</w:t>
      </w:r>
      <w:r w:rsidR="00944556" w:rsidRPr="00504B9B">
        <w:rPr>
          <w:lang w:eastAsia="zh-CN"/>
        </w:rPr>
        <w:t xml:space="preserve"> and 17.2</w:t>
      </w:r>
    </w:p>
    <w:p w14:paraId="351C786A" w14:textId="493824FF" w:rsidR="00DF0F4D" w:rsidRPr="00504B9B" w:rsidRDefault="00DF0F4D" w:rsidP="002E7239">
      <w:pPr>
        <w:pStyle w:val="B1"/>
      </w:pPr>
      <w:r w:rsidRPr="00504B9B">
        <w:t>-</w:t>
      </w:r>
      <w:r w:rsidRPr="00504B9B">
        <w:tab/>
      </w:r>
      <w:r w:rsidRPr="00504B9B">
        <w:rPr>
          <w:lang w:eastAsia="zh-CN"/>
        </w:rPr>
        <w:t xml:space="preserve">the UE expects that the transmission of the first PUCCH or the first PUSCH, respectively, would not start before </w:t>
      </w:r>
      <m:oMath>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proc,2</m:t>
            </m:r>
          </m:sub>
        </m:sSub>
      </m:oMath>
      <w:r w:rsidRPr="00504B9B">
        <w:rPr>
          <w:lang w:eastAsia="zh-CN"/>
        </w:rPr>
        <w:t xml:space="preserve"> </w:t>
      </w:r>
      <w:r w:rsidRPr="00504B9B">
        <w:t>after a last symbol of the corresponding PDCCH reception</w:t>
      </w:r>
    </w:p>
    <w:p w14:paraId="6F4E0F6E" w14:textId="53B9EF5F" w:rsidR="002F7AB8" w:rsidRPr="00504B9B" w:rsidRDefault="00DF0F4D" w:rsidP="002E7239">
      <w:pPr>
        <w:pStyle w:val="B1"/>
        <w:rPr>
          <w:lang w:eastAsia="zh-CN"/>
        </w:rPr>
      </w:pPr>
      <w:r w:rsidRPr="00504B9B">
        <w:t>-</w:t>
      </w:r>
      <w:r w:rsidRPr="00504B9B">
        <w:tab/>
      </w:r>
      <m:oMath>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proc,2</m:t>
            </m:r>
          </m:sub>
        </m:sSub>
        <m:r>
          <w:rPr>
            <w:rFonts w:ascii="Cambria Math" w:hAnsi="Cambria Math"/>
            <w:lang w:eastAsia="zh-CN"/>
          </w:rPr>
          <m:t xml:space="preserve"> </m:t>
        </m:r>
      </m:oMath>
      <w:r w:rsidR="002F7AB8" w:rsidRPr="00504B9B">
        <w:t xml:space="preserve">is the PUSCH preparation time for a corresponding UE processing capability assuming </w:t>
      </w:r>
      <m:oMath>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2,1</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1</m:t>
            </m:r>
          </m:sub>
        </m:sSub>
      </m:oMath>
      <w:r w:rsidR="002F7AB8" w:rsidRPr="00504B9B">
        <w:rPr>
          <w:lang w:eastAsia="zh-CN"/>
        </w:rPr>
        <w:t xml:space="preserve"> [6, TS 38.214], based on</w:t>
      </w:r>
      <w:r w:rsidR="002F7AB8" w:rsidRPr="00504B9B">
        <w:t xml:space="preserve"> </w:t>
      </w:r>
      <m:oMath>
        <m:r>
          <w:rPr>
            <w:rFonts w:ascii="Cambria Math" w:hAnsi="Cambria Math"/>
          </w:rPr>
          <m:t>μ</m:t>
        </m:r>
      </m:oMath>
      <w:r w:rsidR="002F7AB8" w:rsidRPr="00504B9B">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002F7AB8" w:rsidRPr="00504B9B">
        <w:t xml:space="preserve"> as subsequently defined in this </w:t>
      </w:r>
      <w:r w:rsidR="006F5F9E" w:rsidRPr="00504B9B">
        <w:t>clause</w:t>
      </w:r>
      <w:r w:rsidR="002F7AB8" w:rsidRPr="00504B9B">
        <w:t xml:space="preserve">, and </w:t>
      </w:r>
      <m:oMath>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1</m:t>
            </m:r>
          </m:sub>
        </m:sSub>
      </m:oMath>
      <w:r w:rsidR="002F7AB8" w:rsidRPr="00504B9B">
        <w:t xml:space="preserve"> is determined by a reported UE capability</w:t>
      </w:r>
    </w:p>
    <w:p w14:paraId="1BC73285" w14:textId="77777777" w:rsidR="002F7AB8" w:rsidRPr="00C06B59" w:rsidRDefault="002F7AB8" w:rsidP="002E7239">
      <w:pPr>
        <w:pStyle w:val="B1"/>
        <w:ind w:left="284" w:firstLine="0"/>
      </w:pPr>
      <w:r w:rsidRPr="00C06B59">
        <w:t>If a UE is scheduled by a DCI format in a first PDCCH reception to transmit a first PUCCH or a first PUSCH of larger priority index that overlaps with a second PUCCH or a second PUSCH transmission of smaller priority index that, if any, is scheduled by a DCI format in a second PDCCH</w:t>
      </w:r>
    </w:p>
    <w:p w14:paraId="43E9D768" w14:textId="473C13C4" w:rsidR="002F7AB8" w:rsidRPr="00C06B59" w:rsidRDefault="002F7AB8" w:rsidP="002E7239">
      <w:pPr>
        <w:pStyle w:val="B2"/>
      </w:pPr>
      <w:r>
        <w:rPr>
          <w:lang w:val="en-US"/>
        </w:rPr>
        <w:t>-</w:t>
      </w:r>
      <w:r>
        <w:rPr>
          <w:lang w:val="en-US"/>
        </w:rPr>
        <w:tab/>
      </w:r>
      <m:oMath>
        <m:sSub>
          <m:sSubPr>
            <m:ctrlPr>
              <w:rPr>
                <w:rFonts w:ascii="Cambria Math" w:hAnsi="Cambria Math"/>
                <w:i/>
              </w:rPr>
            </m:ctrlPr>
          </m:sSubPr>
          <m:e>
            <m:r>
              <w:rPr>
                <w:rFonts w:ascii="Cambria Math" w:hAnsi="Cambria Math"/>
              </w:rPr>
              <m:t>T</m:t>
            </m:r>
          </m:e>
          <m:sub>
            <m:r>
              <w:rPr>
                <w:rFonts w:ascii="Cambria Math" w:hAnsi="Cambria Math"/>
              </w:rPr>
              <m:t>proc,2</m:t>
            </m:r>
          </m:sub>
        </m:sSub>
      </m:oMath>
      <w:r w:rsidRPr="00C06B59">
        <w:t xml:space="preserve"> is based on a value of </w:t>
      </w:r>
      <m:oMath>
        <m:r>
          <w:rPr>
            <w:rFonts w:ascii="Cambria Math" w:hAnsi="Cambria Math"/>
          </w:rPr>
          <m:t>μ</m:t>
        </m:r>
      </m:oMath>
      <w:r w:rsidRPr="00C06B59">
        <w:t xml:space="preserve"> corresponding to the smallest SCS configuration of the first PDCCH, the second PDCCHs, the first PUCCH or the first PUSCH, and the second PUCCHs or the second PUSCHs </w:t>
      </w:r>
    </w:p>
    <w:p w14:paraId="7CF9885E" w14:textId="77777777" w:rsidR="002F7AB8" w:rsidRPr="00C06B59" w:rsidRDefault="002F7AB8" w:rsidP="002E7239">
      <w:pPr>
        <w:pStyle w:val="B3"/>
      </w:pPr>
      <w:r w:rsidRPr="00C06B59">
        <w:t>-</w:t>
      </w:r>
      <w:r w:rsidRPr="00C06B59">
        <w:tab/>
        <w:t>if the overlapping group includes the first PUCCH</w:t>
      </w:r>
    </w:p>
    <w:p w14:paraId="0BF18B51" w14:textId="1EB2A939" w:rsidR="002F7AB8" w:rsidRPr="00C06B59" w:rsidRDefault="002F7AB8" w:rsidP="002E7239">
      <w:pPr>
        <w:pStyle w:val="B4"/>
        <w:rPr>
          <w:lang w:eastAsia="ko-KR"/>
        </w:rPr>
      </w:pPr>
      <w:r w:rsidRPr="00C06B59">
        <w:t>-</w:t>
      </w:r>
      <w:r w:rsidRPr="00C06B59">
        <w:tab/>
        <w:t xml:space="preserve">if </w:t>
      </w:r>
      <w:r w:rsidRPr="00C06B59">
        <w:rPr>
          <w:i/>
          <w:lang w:eastAsia="ko-KR"/>
        </w:rPr>
        <w:t>processingType2Enabled</w:t>
      </w:r>
      <w:r w:rsidRPr="00C06B59">
        <w:rPr>
          <w:lang w:eastAsia="ko-KR"/>
        </w:rPr>
        <w:t xml:space="preserve"> of </w:t>
      </w:r>
      <w:r w:rsidRPr="00C06B59">
        <w:rPr>
          <w:i/>
          <w:lang w:eastAsia="ko-KR"/>
        </w:rPr>
        <w:t>PDSCH-ServingCellConfig</w:t>
      </w:r>
      <w:r w:rsidRPr="00C06B59">
        <w:rPr>
          <w:lang w:eastAsia="ko-KR"/>
        </w:rPr>
        <w:t xml:space="preserve"> is set to </w:t>
      </w:r>
      <w:r w:rsidRPr="00C06B59">
        <w:rPr>
          <w:i/>
          <w:lang w:eastAsia="ko-KR"/>
        </w:rPr>
        <w:t xml:space="preserve">enable </w:t>
      </w:r>
      <w:r w:rsidRPr="00C06B59">
        <w:rPr>
          <w:lang w:eastAsia="ko-KR"/>
        </w:rPr>
        <w:t xml:space="preserve">for the serving cell where the UE receives the first PDCCH and for all serving cells where the UE receives the PDSCHs corresponding to the second PUCCHs, and if </w:t>
      </w:r>
      <w:r w:rsidRPr="00C06B59">
        <w:rPr>
          <w:i/>
          <w:lang w:eastAsia="ko-KR"/>
        </w:rPr>
        <w:t>processingType2Enabled</w:t>
      </w:r>
      <w:r w:rsidRPr="00C06B59">
        <w:rPr>
          <w:lang w:eastAsia="ko-KR"/>
        </w:rPr>
        <w:t xml:space="preserve"> of </w:t>
      </w:r>
      <w:r w:rsidRPr="00C06B59">
        <w:rPr>
          <w:i/>
          <w:lang w:eastAsia="ko-KR"/>
        </w:rPr>
        <w:t>PUSCH-ServingCellConfig</w:t>
      </w:r>
      <w:r w:rsidRPr="00C06B59">
        <w:rPr>
          <w:lang w:eastAsia="ko-KR"/>
        </w:rPr>
        <w:t xml:space="preserve"> </w:t>
      </w:r>
      <w:r w:rsidRPr="00C06B59">
        <w:rPr>
          <w:lang w:eastAsia="ko-KR"/>
        </w:rPr>
        <w:lastRenderedPageBreak/>
        <w:t xml:space="preserve">is set to </w:t>
      </w:r>
      <w:r w:rsidRPr="00C06B59">
        <w:rPr>
          <w:i/>
          <w:lang w:eastAsia="ko-KR"/>
        </w:rPr>
        <w:t xml:space="preserve">enable </w:t>
      </w:r>
      <w:r w:rsidRPr="00C06B59">
        <w:rPr>
          <w:lang w:eastAsia="ko-KR"/>
        </w:rPr>
        <w:t xml:space="preserve">for the serving cells with the second PUSCHs,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 xml:space="preserve"> </m:t>
        </m:r>
      </m:oMath>
      <w:r w:rsidRPr="00C06B59">
        <w:rPr>
          <w:lang w:eastAsia="ko-KR"/>
        </w:rPr>
        <w:t xml:space="preserve">is 5 for </w:t>
      </w:r>
      <m:oMath>
        <m:r>
          <w:rPr>
            <w:rFonts w:ascii="Cambria Math" w:hAnsi="Cambria Math"/>
            <w:lang w:eastAsia="ko-KR"/>
          </w:rPr>
          <m:t>μ=0</m:t>
        </m:r>
      </m:oMath>
      <w:r w:rsidRPr="00C06B59">
        <w:rPr>
          <w:lang w:eastAsia="ko-KR"/>
        </w:rPr>
        <w:t xml:space="preserve">, 5.5 for </w:t>
      </w:r>
      <m:oMath>
        <m:r>
          <w:rPr>
            <w:rFonts w:ascii="Cambria Math" w:hAnsi="Cambria Math"/>
            <w:lang w:eastAsia="ko-KR"/>
          </w:rPr>
          <m:t>μ=1</m:t>
        </m:r>
      </m:oMath>
      <w:r w:rsidRPr="00C06B59">
        <w:rPr>
          <w:lang w:eastAsia="ko-KR"/>
        </w:rPr>
        <w:t xml:space="preserve"> and 11 for </w:t>
      </w:r>
      <m:oMath>
        <m:r>
          <w:rPr>
            <w:rFonts w:ascii="Cambria Math" w:hAnsi="Cambria Math"/>
            <w:lang w:eastAsia="ko-KR"/>
          </w:rPr>
          <m:t>μ=2</m:t>
        </m:r>
      </m:oMath>
      <w:r w:rsidRPr="00C06B59">
        <w:rPr>
          <w:lang w:eastAsia="ko-KR"/>
        </w:rPr>
        <w:t xml:space="preserve"> </w:t>
      </w:r>
    </w:p>
    <w:p w14:paraId="4C7A5DFE" w14:textId="37FC4128" w:rsidR="002F7AB8" w:rsidRPr="00C06B59" w:rsidRDefault="002F7AB8" w:rsidP="002E7239">
      <w:pPr>
        <w:pStyle w:val="B4"/>
        <w:rPr>
          <w:i/>
          <w:lang w:eastAsia="ko-KR"/>
        </w:rPr>
      </w:pPr>
      <w:r w:rsidRPr="00C06B59">
        <w:t>-</w:t>
      </w:r>
      <w:r w:rsidRPr="00C06B59">
        <w:tab/>
      </w:r>
      <w:r w:rsidRPr="00C06B59">
        <w:rPr>
          <w:lang w:eastAsia="ko-KR"/>
        </w:rPr>
        <w:t xml:space="preserve">else,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 xml:space="preserve"> </m:t>
        </m:r>
      </m:oMath>
      <w:r w:rsidRPr="00C06B59">
        <w:rPr>
          <w:lang w:eastAsia="ko-KR"/>
        </w:rPr>
        <w:t xml:space="preserve">is 10 for </w:t>
      </w:r>
      <m:oMath>
        <m:r>
          <w:rPr>
            <w:rFonts w:ascii="Cambria Math" w:hAnsi="Cambria Math"/>
            <w:lang w:eastAsia="ko-KR"/>
          </w:rPr>
          <m:t>μ=0</m:t>
        </m:r>
      </m:oMath>
      <w:r w:rsidRPr="00C06B59">
        <w:rPr>
          <w:i/>
          <w:lang w:eastAsia="ko-KR"/>
        </w:rPr>
        <w:t>,</w:t>
      </w:r>
      <w:r w:rsidRPr="00C06B59">
        <w:rPr>
          <w:lang w:eastAsia="ko-KR"/>
        </w:rPr>
        <w:t xml:space="preserve"> 12 for </w:t>
      </w:r>
      <m:oMath>
        <m:r>
          <w:rPr>
            <w:rFonts w:ascii="Cambria Math" w:hAnsi="Cambria Math"/>
            <w:lang w:eastAsia="ko-KR"/>
          </w:rPr>
          <m:t>μ=1</m:t>
        </m:r>
      </m:oMath>
      <w:r w:rsidRPr="00C06B59">
        <w:rPr>
          <w:lang w:eastAsia="ko-KR"/>
        </w:rPr>
        <w:t xml:space="preserve">, 23 for </w:t>
      </w:r>
      <m:oMath>
        <m:r>
          <w:rPr>
            <w:rFonts w:ascii="Cambria Math" w:hAnsi="Cambria Math"/>
            <w:lang w:eastAsia="ko-KR"/>
          </w:rPr>
          <m:t>μ=2</m:t>
        </m:r>
      </m:oMath>
      <w:r w:rsidRPr="00C06B59">
        <w:rPr>
          <w:lang w:eastAsia="ko-KR"/>
        </w:rPr>
        <w:t xml:space="preserve">, 36 for </w:t>
      </w:r>
      <m:oMath>
        <m:r>
          <w:rPr>
            <w:rFonts w:ascii="Cambria Math" w:hAnsi="Cambria Math"/>
            <w:lang w:eastAsia="ko-KR"/>
          </w:rPr>
          <m:t>μ=3</m:t>
        </m:r>
      </m:oMath>
      <w:r w:rsidR="00CC29A0" w:rsidRPr="00B27E56">
        <w:rPr>
          <w:lang w:eastAsia="ko-KR"/>
        </w:rPr>
        <w:t xml:space="preserve">, 144 for </w:t>
      </w:r>
      <m:oMath>
        <m:r>
          <w:rPr>
            <w:rFonts w:ascii="Cambria Math" w:hAnsi="Cambria Math"/>
            <w:lang w:eastAsia="ko-KR"/>
          </w:rPr>
          <m:t>μ=5</m:t>
        </m:r>
      </m:oMath>
      <w:r w:rsidR="00CC29A0" w:rsidRPr="00B27E56">
        <w:rPr>
          <w:lang w:eastAsia="ko-KR"/>
        </w:rPr>
        <w:t xml:space="preserve">, and 288 for </w:t>
      </w:r>
      <m:oMath>
        <m:r>
          <w:rPr>
            <w:rFonts w:ascii="Cambria Math" w:hAnsi="Cambria Math"/>
            <w:lang w:eastAsia="ko-KR"/>
          </w:rPr>
          <m:t>μ=6</m:t>
        </m:r>
      </m:oMath>
      <w:r w:rsidRPr="00C06B59">
        <w:rPr>
          <w:lang w:eastAsia="ko-KR"/>
        </w:rPr>
        <w:t>;</w:t>
      </w:r>
    </w:p>
    <w:p w14:paraId="0D74C2A0" w14:textId="77777777" w:rsidR="002F7AB8" w:rsidRPr="00C06B59" w:rsidRDefault="002F7AB8" w:rsidP="002E7239">
      <w:pPr>
        <w:pStyle w:val="B3"/>
      </w:pPr>
      <w:r w:rsidRPr="00C06B59">
        <w:t>-</w:t>
      </w:r>
      <w:r w:rsidRPr="00C06B59">
        <w:tab/>
        <w:t xml:space="preserve">if the overlapping group includes the first PUSCH </w:t>
      </w:r>
    </w:p>
    <w:p w14:paraId="535B3670" w14:textId="20B0C52F" w:rsidR="002F7AB8" w:rsidRPr="00C06B59" w:rsidRDefault="002F7AB8" w:rsidP="002E7239">
      <w:pPr>
        <w:pStyle w:val="B4"/>
        <w:rPr>
          <w:lang w:eastAsia="ko-KR"/>
        </w:rPr>
      </w:pPr>
      <w:r w:rsidRPr="00C06B59">
        <w:t>-</w:t>
      </w:r>
      <w:r w:rsidRPr="00C06B59">
        <w:tab/>
        <w:t xml:space="preserve">if </w:t>
      </w:r>
      <w:r w:rsidRPr="00C06B59">
        <w:rPr>
          <w:i/>
          <w:lang w:eastAsia="ko-KR"/>
        </w:rPr>
        <w:t>processingType2Enabled</w:t>
      </w:r>
      <w:r w:rsidRPr="00C06B59">
        <w:rPr>
          <w:lang w:eastAsia="ko-KR"/>
        </w:rPr>
        <w:t xml:space="preserve"> of </w:t>
      </w:r>
      <w:r w:rsidRPr="00C06B59">
        <w:rPr>
          <w:i/>
          <w:lang w:eastAsia="ko-KR"/>
        </w:rPr>
        <w:t>PUSCH-ServingCellConfig</w:t>
      </w:r>
      <w:r w:rsidRPr="00C06B59">
        <w:rPr>
          <w:lang w:eastAsia="ko-KR"/>
        </w:rPr>
        <w:t xml:space="preserve"> is set to </w:t>
      </w:r>
      <w:r w:rsidRPr="00C06B59">
        <w:rPr>
          <w:i/>
          <w:lang w:eastAsia="ko-KR"/>
        </w:rPr>
        <w:t xml:space="preserve">enable </w:t>
      </w:r>
      <w:r w:rsidRPr="00C06B59">
        <w:rPr>
          <w:lang w:eastAsia="ko-KR"/>
        </w:rPr>
        <w:t xml:space="preserve">for the serving cells with the first PUSCH and the second PUSCHs and if </w:t>
      </w:r>
      <w:r w:rsidRPr="00C06B59">
        <w:rPr>
          <w:i/>
          <w:lang w:eastAsia="ko-KR"/>
        </w:rPr>
        <w:t>processingType2Enabled</w:t>
      </w:r>
      <w:r w:rsidRPr="00C06B59">
        <w:rPr>
          <w:lang w:eastAsia="ko-KR"/>
        </w:rPr>
        <w:t xml:space="preserve"> of </w:t>
      </w:r>
      <w:r w:rsidRPr="00C06B59">
        <w:rPr>
          <w:i/>
          <w:lang w:eastAsia="ko-KR"/>
        </w:rPr>
        <w:t>PDSCH-ServingCellConfig</w:t>
      </w:r>
      <w:r w:rsidRPr="00C06B59">
        <w:rPr>
          <w:lang w:eastAsia="ko-KR"/>
        </w:rPr>
        <w:t xml:space="preserve"> is set to </w:t>
      </w:r>
      <w:r w:rsidRPr="00C06B59">
        <w:rPr>
          <w:i/>
          <w:lang w:eastAsia="ko-KR"/>
        </w:rPr>
        <w:t xml:space="preserve">enable </w:t>
      </w:r>
      <w:r w:rsidRPr="00C06B59">
        <w:rPr>
          <w:lang w:eastAsia="ko-KR"/>
        </w:rPr>
        <w:t xml:space="preserve">for all serving cells where the UE receives the PDSCHs corresponding to the second PUCCHs,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 xml:space="preserve"> </m:t>
        </m:r>
      </m:oMath>
      <w:r w:rsidRPr="00C06B59">
        <w:rPr>
          <w:lang w:eastAsia="ko-KR"/>
        </w:rPr>
        <w:t xml:space="preserve">is 5 for </w:t>
      </w:r>
      <m:oMath>
        <m:r>
          <w:rPr>
            <w:rFonts w:ascii="Cambria Math" w:hAnsi="Cambria Math"/>
            <w:lang w:eastAsia="ko-KR"/>
          </w:rPr>
          <m:t>μ=0</m:t>
        </m:r>
      </m:oMath>
      <w:r w:rsidRPr="00C06B59">
        <w:rPr>
          <w:lang w:eastAsia="ko-KR"/>
        </w:rPr>
        <w:t xml:space="preserve">, 5.5 for </w:t>
      </w:r>
      <m:oMath>
        <m:r>
          <w:rPr>
            <w:rFonts w:ascii="Cambria Math" w:hAnsi="Cambria Math"/>
            <w:lang w:eastAsia="ko-KR"/>
          </w:rPr>
          <m:t>μ=1</m:t>
        </m:r>
      </m:oMath>
      <w:r w:rsidRPr="00C06B59">
        <w:rPr>
          <w:lang w:eastAsia="ko-KR"/>
        </w:rPr>
        <w:t xml:space="preserve"> and 11 for </w:t>
      </w:r>
      <m:oMath>
        <m:r>
          <w:rPr>
            <w:rFonts w:ascii="Cambria Math" w:hAnsi="Cambria Math"/>
            <w:lang w:eastAsia="ko-KR"/>
          </w:rPr>
          <m:t>μ=2</m:t>
        </m:r>
      </m:oMath>
    </w:p>
    <w:p w14:paraId="6D443702" w14:textId="6E79BEE3" w:rsidR="002F7AB8" w:rsidRPr="00C06B59" w:rsidRDefault="002F7AB8" w:rsidP="002E7239">
      <w:pPr>
        <w:pStyle w:val="B4"/>
      </w:pPr>
      <w:r w:rsidRPr="00C06B59">
        <w:t>-</w:t>
      </w:r>
      <w:r w:rsidRPr="00C06B59">
        <w:tab/>
      </w:r>
      <w:r w:rsidRPr="00C06B59">
        <w:rPr>
          <w:lang w:eastAsia="ko-KR"/>
        </w:rPr>
        <w:t xml:space="preserve">else,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 xml:space="preserve"> </m:t>
        </m:r>
      </m:oMath>
      <w:r w:rsidRPr="00C06B59">
        <w:rPr>
          <w:lang w:eastAsia="ko-KR"/>
        </w:rPr>
        <w:t xml:space="preserve">is 10 for </w:t>
      </w:r>
      <m:oMath>
        <m:r>
          <w:rPr>
            <w:rFonts w:ascii="Cambria Math" w:hAnsi="Cambria Math"/>
            <w:lang w:eastAsia="ko-KR"/>
          </w:rPr>
          <m:t>μ=0</m:t>
        </m:r>
      </m:oMath>
      <w:r w:rsidRPr="00C06B59">
        <w:rPr>
          <w:i/>
          <w:lang w:eastAsia="ko-KR"/>
        </w:rPr>
        <w:t>,</w:t>
      </w:r>
      <w:r w:rsidRPr="00C06B59">
        <w:rPr>
          <w:lang w:eastAsia="ko-KR"/>
        </w:rPr>
        <w:t xml:space="preserve"> 12 for </w:t>
      </w:r>
      <m:oMath>
        <m:r>
          <w:rPr>
            <w:rFonts w:ascii="Cambria Math" w:hAnsi="Cambria Math"/>
            <w:lang w:eastAsia="ko-KR"/>
          </w:rPr>
          <m:t>μ=1</m:t>
        </m:r>
      </m:oMath>
      <w:r w:rsidRPr="00C06B59">
        <w:rPr>
          <w:lang w:eastAsia="ko-KR"/>
        </w:rPr>
        <w:t xml:space="preserve">, 23 for </w:t>
      </w:r>
      <m:oMath>
        <m:r>
          <w:rPr>
            <w:rFonts w:ascii="Cambria Math" w:hAnsi="Cambria Math"/>
            <w:lang w:eastAsia="ko-KR"/>
          </w:rPr>
          <m:t>μ=2</m:t>
        </m:r>
      </m:oMath>
      <w:r w:rsidRPr="00C06B59">
        <w:rPr>
          <w:lang w:eastAsia="ko-KR"/>
        </w:rPr>
        <w:t xml:space="preserve">, 36 for </w:t>
      </w:r>
      <m:oMath>
        <m:r>
          <w:rPr>
            <w:rFonts w:ascii="Cambria Math" w:hAnsi="Cambria Math"/>
            <w:lang w:eastAsia="ko-KR"/>
          </w:rPr>
          <m:t>μ=3</m:t>
        </m:r>
      </m:oMath>
      <w:r w:rsidR="00CC29A0" w:rsidRPr="00B27E56">
        <w:rPr>
          <w:lang w:eastAsia="ko-KR"/>
        </w:rPr>
        <w:t xml:space="preserve">, 144 for </w:t>
      </w:r>
      <m:oMath>
        <m:r>
          <w:rPr>
            <w:rFonts w:ascii="Cambria Math" w:hAnsi="Cambria Math"/>
            <w:lang w:eastAsia="ko-KR"/>
          </w:rPr>
          <m:t>μ=5</m:t>
        </m:r>
      </m:oMath>
      <w:r w:rsidR="00CC29A0" w:rsidRPr="00B27E56">
        <w:rPr>
          <w:lang w:eastAsia="ko-KR"/>
        </w:rPr>
        <w:t xml:space="preserve">, and 288 for </w:t>
      </w:r>
      <m:oMath>
        <m:r>
          <w:rPr>
            <w:rFonts w:ascii="Cambria Math" w:hAnsi="Cambria Math"/>
            <w:lang w:eastAsia="ko-KR"/>
          </w:rPr>
          <m:t>μ=6</m:t>
        </m:r>
      </m:oMath>
      <w:r w:rsidRPr="00C06B59">
        <w:rPr>
          <w:lang w:eastAsia="ko-KR"/>
        </w:rPr>
        <w:t>;</w:t>
      </w:r>
    </w:p>
    <w:p w14:paraId="30811DE1" w14:textId="77777777" w:rsidR="008C27C0" w:rsidRPr="008C27C0" w:rsidRDefault="008C27C0" w:rsidP="008C27C0">
      <w:pPr>
        <w:pStyle w:val="B1"/>
        <w:ind w:left="284" w:firstLine="0"/>
      </w:pPr>
      <w:r w:rsidRPr="008C27C0">
        <w:t>If a PUSCH of larger priority index scheduled by a DCI format overlaps in time with a PUSCH of smaller priority index with SP</w:t>
      </w:r>
      <w:r w:rsidRPr="008C27C0">
        <w:rPr>
          <w:rFonts w:hint="eastAsia"/>
          <w:lang w:eastAsia="zh-CN"/>
        </w:rPr>
        <w:t>-</w:t>
      </w:r>
      <w:r w:rsidRPr="008C27C0">
        <w:t>CSI report(s) without a corresponding PDCCH in one or more symbols</w:t>
      </w:r>
      <w:r w:rsidRPr="008C27C0">
        <w:rPr>
          <w:rFonts w:eastAsia="DengXian" w:hint="eastAsia"/>
          <w:lang w:eastAsia="zh-CN"/>
        </w:rPr>
        <w:t xml:space="preserve"> </w:t>
      </w:r>
      <w:r w:rsidRPr="008C27C0">
        <w:rPr>
          <w:rFonts w:hint="eastAsia"/>
          <w:lang w:eastAsia="zh-CN"/>
        </w:rPr>
        <w:t>on the same carrier</w:t>
      </w:r>
      <w:r w:rsidRPr="008C27C0">
        <w:t>, and if the earliest symbol of these PUSCH channels starts no earlier than N</w:t>
      </w:r>
      <w:r w:rsidRPr="008C27C0">
        <w:rPr>
          <w:vertAlign w:val="subscript"/>
        </w:rPr>
        <w:t>2</w:t>
      </w:r>
      <w:r w:rsidRPr="008C27C0">
        <w:t>+d</w:t>
      </w:r>
      <w:r w:rsidRPr="008C27C0">
        <w:rPr>
          <w:vertAlign w:val="subscript"/>
        </w:rPr>
        <w:t>2,1</w:t>
      </w:r>
      <w:r w:rsidRPr="008C27C0">
        <w:t xml:space="preserve"> symbols after the last symbol of the DCI scheduling the PUSCH</w:t>
      </w:r>
      <w:r w:rsidRPr="008C27C0">
        <w:rPr>
          <w:rFonts w:eastAsia="DengXian" w:hint="eastAsia"/>
          <w:lang w:eastAsia="zh-CN"/>
        </w:rPr>
        <w:t xml:space="preserve"> </w:t>
      </w:r>
      <w:r w:rsidRPr="008C27C0">
        <w:rPr>
          <w:rFonts w:eastAsia="DengXian"/>
          <w:lang w:eastAsia="zh-CN"/>
        </w:rPr>
        <w:t xml:space="preserve">of larger priority index </w:t>
      </w:r>
      <w:r w:rsidRPr="008C27C0">
        <w:rPr>
          <w:rFonts w:eastAsia="DengXian" w:hint="eastAsia"/>
          <w:lang w:eastAsia="zh-CN"/>
        </w:rPr>
        <w:t xml:space="preserve">where </w:t>
      </w:r>
      <w:r w:rsidRPr="008C27C0">
        <w:rPr>
          <w:rFonts w:eastAsia="DengXian"/>
        </w:rPr>
        <w:t>d</w:t>
      </w:r>
      <w:r w:rsidRPr="008C27C0">
        <w:rPr>
          <w:rFonts w:eastAsia="DengXian"/>
          <w:vertAlign w:val="subscript"/>
        </w:rPr>
        <w:t>2,1</w:t>
      </w:r>
      <w:r w:rsidRPr="008C27C0">
        <w:rPr>
          <w:rFonts w:eastAsia="DengXian" w:hint="eastAsia"/>
          <w:vertAlign w:val="subscript"/>
          <w:lang w:eastAsia="zh-CN"/>
        </w:rPr>
        <w:t xml:space="preserve"> </w:t>
      </w:r>
      <w:r w:rsidRPr="008C27C0">
        <w:rPr>
          <w:rFonts w:eastAsia="DengXian" w:hint="eastAsia"/>
          <w:lang w:eastAsia="zh-CN"/>
        </w:rPr>
        <w:t>is the maximum of the d</w:t>
      </w:r>
      <w:r w:rsidRPr="008C27C0">
        <w:rPr>
          <w:rFonts w:eastAsia="DengXian" w:hint="eastAsia"/>
          <w:vertAlign w:val="subscript"/>
          <w:lang w:eastAsia="zh-CN"/>
        </w:rPr>
        <w:t>2,1</w:t>
      </w:r>
      <w:r w:rsidRPr="008C27C0">
        <w:rPr>
          <w:rFonts w:eastAsia="DengXian" w:hint="eastAsia"/>
          <w:lang w:eastAsia="zh-CN"/>
        </w:rPr>
        <w:t xml:space="preserve"> associated with </w:t>
      </w:r>
      <w:r w:rsidRPr="008C27C0">
        <w:t>PUSCH of larger priority index scheduled by a DCI format</w:t>
      </w:r>
      <w:r w:rsidRPr="008C27C0">
        <w:rPr>
          <w:rFonts w:eastAsia="DengXian" w:hint="eastAsia"/>
          <w:lang w:eastAsia="zh-CN"/>
        </w:rPr>
        <w:t xml:space="preserve"> and the </w:t>
      </w:r>
      <w:r w:rsidRPr="008C27C0">
        <w:t>PUSCH of smaller priority index with SP</w:t>
      </w:r>
      <w:r w:rsidRPr="008C27C0">
        <w:rPr>
          <w:rFonts w:hint="eastAsia"/>
          <w:lang w:eastAsia="zh-CN"/>
        </w:rPr>
        <w:t>-</w:t>
      </w:r>
      <w:r w:rsidRPr="008C27C0">
        <w:t>CSI report(s) without a corresponding PDCCH, the PUSCH of smaller priority index with SP</w:t>
      </w:r>
      <w:r w:rsidRPr="008C27C0">
        <w:rPr>
          <w:rFonts w:hint="eastAsia"/>
          <w:lang w:eastAsia="zh-CN"/>
        </w:rPr>
        <w:t>-</w:t>
      </w:r>
      <w:r w:rsidRPr="008C27C0">
        <w:t>CSI report(s) shall not be transmitted by the UE. Otherwise, if the timeline requirement is not satisfied this is an error case.</w:t>
      </w:r>
    </w:p>
    <w:p w14:paraId="6CFF3D23" w14:textId="1B7106E3" w:rsidR="002F7AB8" w:rsidRPr="00DE1FCE" w:rsidRDefault="002F7AB8" w:rsidP="002E7239">
      <w:pPr>
        <w:pStyle w:val="B1"/>
      </w:pPr>
      <w:r w:rsidRPr="00DE1FCE">
        <w:t>If a UE would transmit the following channels</w:t>
      </w:r>
      <w:r w:rsidR="00557048" w:rsidRPr="00DE1FCE">
        <w:t xml:space="preserve">, </w:t>
      </w:r>
      <w:r w:rsidR="00557048" w:rsidRPr="00DE1FCE">
        <w:rPr>
          <w:lang w:eastAsia="zh-CN"/>
        </w:rPr>
        <w:t>including repetitions if any,</w:t>
      </w:r>
      <w:r w:rsidRPr="00DE1FCE">
        <w:t xml:space="preserve"> that would overlap in time</w:t>
      </w:r>
    </w:p>
    <w:p w14:paraId="16D959D5" w14:textId="77777777" w:rsidR="002F7AB8" w:rsidRPr="00C06B59" w:rsidRDefault="002F7AB8" w:rsidP="002E7239">
      <w:pPr>
        <w:pStyle w:val="B2"/>
      </w:pPr>
      <w:r w:rsidRPr="00C06B59">
        <w:t>-</w:t>
      </w:r>
      <w:r w:rsidRPr="00C06B59">
        <w:tab/>
        <w:t xml:space="preserve">a first PUCCH of larger priority index with SR and a second PUCCH or PUSCH of smaller priority index, or </w:t>
      </w:r>
    </w:p>
    <w:p w14:paraId="2B580C6F" w14:textId="77777777" w:rsidR="002F7AB8" w:rsidRPr="00C06B59" w:rsidRDefault="002F7AB8" w:rsidP="002E7239">
      <w:pPr>
        <w:pStyle w:val="B2"/>
      </w:pPr>
      <w:r w:rsidRPr="00C06B59">
        <w:t>-</w:t>
      </w:r>
      <w:r w:rsidRPr="00C06B59">
        <w:tab/>
        <w:t>a configured grant PUSCH of larger priority index and a PUCCH of smaller priority index, or</w:t>
      </w:r>
    </w:p>
    <w:p w14:paraId="6BE1BFCF" w14:textId="13465226" w:rsidR="002F7AB8" w:rsidRPr="00C06B59" w:rsidRDefault="002F7AB8" w:rsidP="002E7239">
      <w:pPr>
        <w:pStyle w:val="B2"/>
      </w:pPr>
      <w:r w:rsidRPr="00C06B59">
        <w:t>-</w:t>
      </w:r>
      <w:r w:rsidRPr="00C06B59">
        <w:tab/>
        <w:t>a first PUCCH of larger priority index with HARQ-ACK information only in response to PDSCH</w:t>
      </w:r>
      <w:r w:rsidR="00994FD2">
        <w:t>(s)</w:t>
      </w:r>
      <w:r w:rsidRPr="00C06B59">
        <w:t xml:space="preserve"> reception without corresponding PDCCH</w:t>
      </w:r>
      <w:r w:rsidR="00994FD2">
        <w:t>(s)</w:t>
      </w:r>
      <w:r w:rsidRPr="00C06B59">
        <w:t xml:space="preserve"> and </w:t>
      </w:r>
      <w:r w:rsidR="00994FD2">
        <w:t xml:space="preserve">a second PUCCH of smaller priority index with HARQ-ACK information only in response to PDSCH(s) reception without corresponding PDCCH(s), or </w:t>
      </w:r>
      <w:r w:rsidRPr="00C06B59">
        <w:t>a second PUCCH of smaller priority index with SR and/or CSI, or a configured grant PUSCH with smaller priority index, or a PUSCH of smaller priority index with SP-CSI report(s) without a corresponding PDCCH, or</w:t>
      </w:r>
    </w:p>
    <w:p w14:paraId="4E885EF6" w14:textId="75D4BBD2" w:rsidR="002F7AB8" w:rsidRPr="00C06B59" w:rsidRDefault="0007585C" w:rsidP="0007585C">
      <w:pPr>
        <w:pStyle w:val="B2"/>
      </w:pPr>
      <w:r>
        <w:t>-</w:t>
      </w:r>
      <w:r>
        <w:tab/>
      </w:r>
      <w:r w:rsidR="002F7AB8" w:rsidRPr="00C06B59">
        <w:t>a PUSCH of larger priority index with SP-CSI report(s) without a corresponding PDCCH and a PUCCH of smaller priority index with SR, or CSI, or HARQ-ACK information only in response to PDSCH</w:t>
      </w:r>
      <w:r w:rsidR="00994FD2">
        <w:t>(s)</w:t>
      </w:r>
      <w:r w:rsidR="002F7AB8" w:rsidRPr="00C06B59">
        <w:t xml:space="preserve"> reception without corresponding PDCCH</w:t>
      </w:r>
      <w:r w:rsidR="00994FD2">
        <w:t>(s)</w:t>
      </w:r>
      <w:r w:rsidR="002F7AB8" w:rsidRPr="00C06B59">
        <w:t>, or</w:t>
      </w:r>
    </w:p>
    <w:p w14:paraId="53DC4FB6" w14:textId="109AD1C9" w:rsidR="0007585C" w:rsidRPr="0007585C" w:rsidRDefault="0007585C" w:rsidP="0007585C">
      <w:pPr>
        <w:pStyle w:val="B2"/>
      </w:pPr>
      <w:r>
        <w:t>-</w:t>
      </w:r>
      <w:r>
        <w:tab/>
      </w:r>
      <w:r w:rsidR="002F7AB8" w:rsidRPr="00C06B59">
        <w:t xml:space="preserve">a configured grant PUSCH of larger priority index and a </w:t>
      </w:r>
      <w:r w:rsidR="002E7239">
        <w:t xml:space="preserve">configured grant </w:t>
      </w:r>
      <w:r w:rsidR="002F7AB8" w:rsidRPr="00C06B59">
        <w:t xml:space="preserve">PUSCH of </w:t>
      </w:r>
      <w:r w:rsidR="00994FD2">
        <w:t>smaller</w:t>
      </w:r>
      <w:r w:rsidR="002F7AB8" w:rsidRPr="00C06B59">
        <w:t xml:space="preserve"> priority index </w:t>
      </w:r>
      <w:r w:rsidRPr="00C56BC8">
        <w:t>or a PUSCH of smaller priority index with SP-CSI report(s) without a corresponding PDCCH</w:t>
      </w:r>
      <w:r>
        <w:t xml:space="preserve"> </w:t>
      </w:r>
      <w:r w:rsidR="002F7AB8" w:rsidRPr="00C06B59">
        <w:t>on a same serving cell</w:t>
      </w:r>
    </w:p>
    <w:p w14:paraId="60AFD975" w14:textId="39E204F3" w:rsidR="002F7AB8" w:rsidRPr="00C06B59" w:rsidRDefault="0007585C" w:rsidP="0007585C">
      <w:pPr>
        <w:pStyle w:val="B2"/>
      </w:pPr>
      <w:r>
        <w:rPr>
          <w:color w:val="000000"/>
        </w:rPr>
        <w:t>-</w:t>
      </w:r>
      <w:r>
        <w:rPr>
          <w:color w:val="000000"/>
        </w:rPr>
        <w:tab/>
      </w:r>
      <w:r w:rsidRPr="0007585C">
        <w:rPr>
          <w:color w:val="000000"/>
        </w:rPr>
        <w:t xml:space="preserve">a PUSCH of larger priority index with SP-CSI report(s) without a corresponding PDCCH and a configured grant PUSCH of </w:t>
      </w:r>
      <w:r w:rsidRPr="0007585C">
        <w:rPr>
          <w:color w:val="000000"/>
          <w:lang w:val="en-GB"/>
        </w:rPr>
        <w:t xml:space="preserve">smaller priority index or a PUSCH of </w:t>
      </w:r>
      <w:r w:rsidRPr="0007585C">
        <w:rPr>
          <w:color w:val="000000"/>
        </w:rPr>
        <w:t>smaller priority index with SP-CSI report(s) without a corresponding PDCCH</w:t>
      </w:r>
      <w:r w:rsidRPr="0007585C">
        <w:rPr>
          <w:color w:val="000000"/>
          <w:lang w:val="en-GB"/>
        </w:rPr>
        <w:t xml:space="preserve"> on a same serving cell</w:t>
      </w:r>
    </w:p>
    <w:p w14:paraId="3373E8D1" w14:textId="44DD737D" w:rsidR="007E5D7D" w:rsidRPr="007E5D7D" w:rsidRDefault="002E7239" w:rsidP="007E5D7D">
      <w:pPr>
        <w:pStyle w:val="B2"/>
        <w:rPr>
          <w:rFonts w:eastAsia="Times New Roman"/>
        </w:rPr>
      </w:pPr>
      <w:r w:rsidRPr="00647C89">
        <w:t>-</w:t>
      </w:r>
      <w:r w:rsidRPr="00647C89">
        <w:tab/>
        <w:t xml:space="preserve">a PUSCH of smaller priority index </w:t>
      </w:r>
      <w:r w:rsidRPr="00647C89">
        <w:rPr>
          <w:lang w:val="en-US" w:eastAsia="zh-CN"/>
        </w:rPr>
        <w:t xml:space="preserve">scheduled by a DCI format </w:t>
      </w:r>
      <w:r w:rsidRPr="00647C89">
        <w:t xml:space="preserve">and a configured grant PUSCH of larger priority index on a same serving cell if the UE is provided </w:t>
      </w:r>
      <w:r w:rsidR="002043C6" w:rsidRPr="001F4432">
        <w:rPr>
          <w:i/>
          <w:iCs/>
        </w:rPr>
        <w:t>prioLowDG-HighCG</w:t>
      </w:r>
    </w:p>
    <w:p w14:paraId="029318DE" w14:textId="49D62856" w:rsidR="002E7239" w:rsidRPr="00647C89" w:rsidRDefault="007E5D7D" w:rsidP="007E5D7D">
      <w:pPr>
        <w:pStyle w:val="B2"/>
      </w:pPr>
      <w:r w:rsidRPr="007E5D7D">
        <w:rPr>
          <w:lang w:val="en-GB"/>
        </w:rPr>
        <w:t>-</w:t>
      </w:r>
      <w:r w:rsidRPr="007E5D7D">
        <w:rPr>
          <w:lang w:val="en-GB"/>
        </w:rPr>
        <w:tab/>
        <w:t xml:space="preserve">a PUSCH of </w:t>
      </w:r>
      <w:r w:rsidRPr="007E5D7D">
        <w:rPr>
          <w:rFonts w:hint="eastAsia"/>
          <w:lang w:val="en-GB"/>
        </w:rPr>
        <w:t>larger</w:t>
      </w:r>
      <w:r w:rsidRPr="007E5D7D">
        <w:rPr>
          <w:lang w:val="en-GB"/>
        </w:rPr>
        <w:t xml:space="preserve"> priority index </w:t>
      </w:r>
      <w:r w:rsidRPr="007E5D7D">
        <w:rPr>
          <w:lang w:val="en-US" w:eastAsia="zh-CN"/>
        </w:rPr>
        <w:t xml:space="preserve">scheduled by a DCI format </w:t>
      </w:r>
      <w:r w:rsidRPr="007E5D7D">
        <w:rPr>
          <w:lang w:val="en-GB"/>
        </w:rPr>
        <w:t xml:space="preserve">and a configured grant PUSCH of smaller priority index on a same serving cell if the UE is provided </w:t>
      </w:r>
      <w:r w:rsidR="00142CD3" w:rsidRPr="00910224">
        <w:rPr>
          <w:i/>
          <w:iCs/>
        </w:rPr>
        <w:t>prioHighDG-LowCG</w:t>
      </w:r>
    </w:p>
    <w:p w14:paraId="7B6A6390" w14:textId="0C80E1CC" w:rsidR="00426952" w:rsidRPr="006B25FE" w:rsidRDefault="002F7AB8" w:rsidP="002E7239">
      <w:pPr>
        <w:pStyle w:val="B1"/>
        <w:ind w:left="284" w:firstLine="0"/>
        <w:rPr>
          <w:lang w:val="en-GB"/>
        </w:rPr>
      </w:pPr>
      <w:r w:rsidRPr="00DE1FCE">
        <w:t xml:space="preserve">the UE is expected to cancel </w:t>
      </w:r>
      <w:r w:rsidR="00557048" w:rsidRPr="00DE1FCE">
        <w:rPr>
          <w:lang w:eastAsia="zh-CN"/>
        </w:rPr>
        <w:t xml:space="preserve">a repetition of </w:t>
      </w:r>
      <w:r w:rsidRPr="00DE1FCE">
        <w:t>the PUCCH/PUSCH transmissions of smaller priority index before the first symbol overlapping with the PUCCH/PUSCH transmission of larger priority index</w:t>
      </w:r>
      <w:r w:rsidR="00557048" w:rsidRPr="00DE1FCE">
        <w:t xml:space="preserve"> </w:t>
      </w:r>
      <w:r w:rsidR="00557048" w:rsidRPr="00DE1FCE">
        <w:rPr>
          <w:lang w:eastAsia="zh-CN"/>
        </w:rPr>
        <w:t>if the repetition of the PUCCH/PUSCH transmissions of smaller priority index overlaps in time with the PUCCH/PUSCH transmissions of</w:t>
      </w:r>
      <w:r w:rsidR="00DE110F">
        <w:rPr>
          <w:lang w:eastAsia="zh-CN"/>
        </w:rPr>
        <w:t xml:space="preserve"> </w:t>
      </w:r>
      <w:r w:rsidR="00557048" w:rsidRPr="00DE1FCE">
        <w:rPr>
          <w:lang w:eastAsia="zh-CN"/>
        </w:rPr>
        <w:t>larger priority index</w:t>
      </w:r>
      <w:r w:rsidRPr="00DE1FCE">
        <w:t>.</w:t>
      </w:r>
      <w:r w:rsidR="00426952">
        <w:rPr>
          <w:lang w:val="en-GB"/>
        </w:rPr>
        <w:t xml:space="preserve"> </w:t>
      </w:r>
      <w:r w:rsidR="00426952" w:rsidRPr="00111FF6">
        <w:t xml:space="preserve">In case of a PUSCH of larger priority index </w:t>
      </w:r>
      <w:r w:rsidR="00426952" w:rsidRPr="00111FF6">
        <w:rPr>
          <w:lang w:val="en-US" w:eastAsia="zh-CN"/>
        </w:rPr>
        <w:t>scheduled by a DCI format in a PDCCH reception</w:t>
      </w:r>
      <w:r w:rsidR="00426952" w:rsidRPr="00111FF6">
        <w:t xml:space="preserve"> and a configured grant PUSCH of smaller priority index on a same serving cell</w:t>
      </w:r>
      <w:r w:rsidR="006B25FE">
        <w:rPr>
          <w:lang w:val="en-GB"/>
        </w:rPr>
        <w:t xml:space="preserve"> </w:t>
      </w:r>
      <w:r w:rsidR="006B25FE" w:rsidRPr="00647C89">
        <w:t xml:space="preserve">and the UE is provided </w:t>
      </w:r>
      <w:r w:rsidR="002043C6" w:rsidRPr="00116177">
        <w:rPr>
          <w:i/>
          <w:iCs/>
        </w:rPr>
        <w:t>prioHighDG-LowCG</w:t>
      </w:r>
    </w:p>
    <w:p w14:paraId="3B7A7543" w14:textId="77777777" w:rsidR="00426952" w:rsidRPr="00111FF6" w:rsidRDefault="00426952" w:rsidP="006B25FE">
      <w:pPr>
        <w:pStyle w:val="B2"/>
      </w:pPr>
      <w:r w:rsidRPr="00111FF6">
        <w:t>-</w:t>
      </w:r>
      <w:r w:rsidRPr="00111FF6">
        <w:tab/>
      </w:r>
      <w:r w:rsidRPr="00111FF6">
        <w:rPr>
          <w:lang w:eastAsia="zh-CN"/>
        </w:rPr>
        <w:t>the UE expects that the transmission of the PUSCH</w:t>
      </w:r>
      <w:r>
        <w:rPr>
          <w:lang w:eastAsia="zh-CN"/>
        </w:rPr>
        <w:t xml:space="preserve"> of larger priority index</w:t>
      </w:r>
      <w:r w:rsidRPr="00111FF6">
        <w:rPr>
          <w:lang w:eastAsia="zh-CN"/>
        </w:rPr>
        <w:t xml:space="preserve"> would not start before </w:t>
      </w:r>
      <m:oMath>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proc,2</m:t>
            </m:r>
          </m:sub>
        </m:sSub>
      </m:oMath>
      <w:r w:rsidRPr="00111FF6">
        <w:rPr>
          <w:lang w:eastAsia="zh-CN"/>
        </w:rPr>
        <w:t xml:space="preserve"> </w:t>
      </w:r>
      <w:r w:rsidRPr="00111FF6">
        <w:t>after a last symbol of the corresponding PDCCH reception</w:t>
      </w:r>
    </w:p>
    <w:p w14:paraId="55365264" w14:textId="43021CA8" w:rsidR="002F7AB8" w:rsidRPr="00426952" w:rsidRDefault="00426952" w:rsidP="006B25FE">
      <w:pPr>
        <w:pStyle w:val="B2"/>
        <w:rPr>
          <w:lang w:eastAsia="zh-CN"/>
        </w:rPr>
      </w:pPr>
      <w:r w:rsidRPr="00111FF6">
        <w:lastRenderedPageBreak/>
        <w:t>-</w:t>
      </w:r>
      <w:r w:rsidRPr="00111FF6">
        <w:tab/>
      </w:r>
      <m:oMath>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proc,2</m:t>
            </m:r>
          </m:sub>
        </m:sSub>
        <m:r>
          <w:rPr>
            <w:rFonts w:ascii="Cambria Math" w:hAnsi="Cambria Math"/>
            <w:lang w:eastAsia="zh-CN"/>
          </w:rPr>
          <m:t xml:space="preserve"> </m:t>
        </m:r>
      </m:oMath>
      <w:r w:rsidRPr="00111FF6">
        <w:t xml:space="preserve">is the PUSCH preparation time for a corresponding UE processing capability assuming </w:t>
      </w:r>
      <m:oMath>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2,1</m:t>
            </m:r>
          </m:sub>
        </m:sSub>
        <m:r>
          <w:rPr>
            <w:rFonts w:ascii="Cambria Math" w:hAnsi="Cambria Math"/>
            <w:lang w:eastAsia="zh-CN"/>
          </w:rPr>
          <m:t xml:space="preserve">= </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3</m:t>
            </m:r>
          </m:sub>
        </m:sSub>
      </m:oMath>
      <w:r w:rsidRPr="00111FF6">
        <w:rPr>
          <w:lang w:eastAsia="zh-CN"/>
        </w:rPr>
        <w:t xml:space="preserve"> [6, TS 38.214], based on</w:t>
      </w:r>
      <w:r w:rsidRPr="00111FF6">
        <w:t xml:space="preserve"> </w:t>
      </w:r>
      <m:oMath>
        <m:r>
          <w:rPr>
            <w:rFonts w:ascii="Cambria Math" w:hAnsi="Cambria Math"/>
          </w:rPr>
          <m:t>μ</m:t>
        </m:r>
      </m:oMath>
      <w:r w:rsidRPr="00111FF6">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Pr="00111FF6">
        <w:t xml:space="preserve"> as subsequently defined in this clause, and </w:t>
      </w:r>
      <m:oMath>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1</m:t>
            </m:r>
          </m:sub>
        </m:sSub>
      </m:oMath>
      <w:r w:rsidRPr="00111FF6">
        <w:t xml:space="preserve"> </w:t>
      </w:r>
      <w:r>
        <w:t xml:space="preserve">and </w:t>
      </w:r>
      <m:oMath>
        <m:sSub>
          <m:sSubPr>
            <m:ctrlPr>
              <w:rPr>
                <w:rFonts w:ascii="Cambria Math" w:hAnsi="Cambria Math"/>
              </w:rPr>
            </m:ctrlPr>
          </m:sSubPr>
          <m:e>
            <m:r>
              <w:rPr>
                <w:rFonts w:ascii="Cambria Math" w:hAnsi="Cambria Math"/>
              </w:rPr>
              <m:t>d</m:t>
            </m:r>
          </m:e>
          <m:sub>
            <m:r>
              <m:rPr>
                <m:sty m:val="p"/>
              </m:rPr>
              <w:rPr>
                <w:rFonts w:ascii="Cambria Math" w:hAnsi="Cambria Math"/>
              </w:rPr>
              <m:t>3</m:t>
            </m:r>
          </m:sub>
        </m:sSub>
      </m:oMath>
      <w:r>
        <w:t xml:space="preserve"> are</w:t>
      </w:r>
      <w:r w:rsidRPr="00111FF6">
        <w:t xml:space="preserve"> determined by a reported UE capability</w:t>
      </w:r>
    </w:p>
    <w:p w14:paraId="661079D8" w14:textId="4EEDB13D" w:rsidR="00DE110F" w:rsidRPr="008136B8" w:rsidRDefault="00DE110F" w:rsidP="00DE110F">
      <w:pPr>
        <w:rPr>
          <w:rFonts w:ascii="Times" w:eastAsia="Malgun Gothic" w:hAnsi="Times" w:cs="Gulim"/>
          <w:lang w:eastAsia="zh-CN"/>
        </w:rPr>
      </w:pPr>
      <w:r w:rsidRPr="008136B8">
        <w:rPr>
          <w:rFonts w:ascii="Times" w:eastAsia="Malgun Gothic" w:hAnsi="Times" w:cs="Gulim"/>
          <w:lang w:eastAsia="zh-CN"/>
        </w:rPr>
        <w:t xml:space="preserve">When a UE determines overlapping for PUCCH transmissions with SL HARQ-ACK reports and PUSCH of smaller priority index, </w:t>
      </w:r>
      <w:r w:rsidRPr="005258CF">
        <w:t>including repetitions if any,</w:t>
      </w:r>
      <w:r w:rsidRPr="008136B8">
        <w:t xml:space="preserve"> </w:t>
      </w:r>
      <w:r w:rsidRPr="008136B8">
        <w:rPr>
          <w:rFonts w:ascii="Times" w:eastAsia="Malgun Gothic" w:hAnsi="Times" w:cs="Gulim"/>
          <w:lang w:eastAsia="zh-CN"/>
        </w:rPr>
        <w:t xml:space="preserve">after resolving the overlapping PUCCH other than PUCCH transmissions with SL HARQ-ACK reports and/or PUSCH transmissions, if the PUSCH includes no UCI, the UE resolves the overlapping for PUCCH transmissions with SL HARQ-ACK reports and PUSCH of smaller priority index as described in </w:t>
      </w:r>
      <w:r>
        <w:rPr>
          <w:rFonts w:ascii="Times" w:eastAsia="Malgun Gothic" w:hAnsi="Times" w:cs="Gulim"/>
          <w:lang w:eastAsia="zh-CN"/>
        </w:rPr>
        <w:t>c</w:t>
      </w:r>
      <w:r w:rsidRPr="008136B8">
        <w:rPr>
          <w:rFonts w:ascii="Times" w:eastAsia="Malgun Gothic" w:hAnsi="Times" w:cs="Gulim"/>
          <w:lang w:eastAsia="zh-CN"/>
        </w:rPr>
        <w:t>lause</w:t>
      </w:r>
      <w:r>
        <w:rPr>
          <w:rFonts w:ascii="Times" w:eastAsia="Malgun Gothic" w:hAnsi="Times" w:cs="Gulim"/>
          <w:lang w:eastAsia="zh-CN"/>
        </w:rPr>
        <w:t>s</w:t>
      </w:r>
      <w:r w:rsidRPr="008136B8">
        <w:rPr>
          <w:rFonts w:ascii="Times" w:eastAsia="Malgun Gothic" w:hAnsi="Times" w:cs="Gulim"/>
          <w:lang w:eastAsia="zh-CN"/>
        </w:rPr>
        <w:t xml:space="preserve"> 9.2.5 and 9.2.6.</w:t>
      </w:r>
    </w:p>
    <w:p w14:paraId="211F4A88" w14:textId="77777777" w:rsidR="00DE110F" w:rsidRPr="008136B8" w:rsidRDefault="00DE110F" w:rsidP="00DE110F">
      <w:pPr>
        <w:rPr>
          <w:rFonts w:eastAsia="Malgun Gothic"/>
          <w:lang w:val="en-US" w:eastAsia="zh-CN"/>
        </w:rPr>
      </w:pPr>
      <w:r w:rsidRPr="008136B8">
        <w:rPr>
          <w:rFonts w:ascii="Times" w:eastAsia="Malgun Gothic" w:hAnsi="Times" w:cs="Gulim"/>
          <w:lang w:eastAsia="zh-CN"/>
        </w:rPr>
        <w:t xml:space="preserve">When a UE determines overlapping for PUCCH transmissions with SL HARQ-ACK reports and PUSCH of larger priority index only, </w:t>
      </w:r>
      <w:r w:rsidRPr="005258CF">
        <w:t>including repetitions if any,</w:t>
      </w:r>
      <w:r w:rsidRPr="008136B8">
        <w:rPr>
          <w:rFonts w:ascii="Times" w:eastAsia="Malgun Gothic" w:hAnsi="Times" w:cs="Gulim"/>
          <w:lang w:eastAsia="zh-CN"/>
        </w:rPr>
        <w:t xml:space="preserve"> after resolving the overlapping PUCCH other than PUCCH transmissions with SL HARQ-ACK reports and/or PUSCH transmissions, the UE </w:t>
      </w:r>
      <w:r w:rsidRPr="005258CF">
        <w:rPr>
          <w:rFonts w:ascii="Times" w:eastAsia="Malgun Gothic" w:hAnsi="Times" w:cs="Gulim"/>
          <w:lang w:eastAsia="zh-CN"/>
        </w:rPr>
        <w:t>does not transmit the PUCCH with SL HARQ-ACK</w:t>
      </w:r>
      <w:r>
        <w:rPr>
          <w:rFonts w:ascii="Times" w:eastAsia="Malgun Gothic" w:hAnsi="Times" w:cs="Gulim"/>
          <w:lang w:eastAsia="zh-CN"/>
        </w:rPr>
        <w:t xml:space="preserve"> reports</w:t>
      </w:r>
    </w:p>
    <w:p w14:paraId="487B0EEF" w14:textId="77777777" w:rsidR="00DE110F" w:rsidRPr="008136B8" w:rsidRDefault="00DE110F" w:rsidP="00DE110F">
      <w:pPr>
        <w:rPr>
          <w:rFonts w:eastAsia="Malgun Gothic"/>
          <w:lang w:val="en-US" w:eastAsia="ko-KR"/>
        </w:rPr>
      </w:pPr>
      <w:r w:rsidRPr="008136B8">
        <w:rPr>
          <w:rFonts w:eastAsia="Malgun Gothic"/>
          <w:lang w:val="en-US" w:eastAsia="ko-KR"/>
        </w:rPr>
        <w:t>where</w:t>
      </w:r>
    </w:p>
    <w:p w14:paraId="33F8C443" w14:textId="79012B30" w:rsidR="00DE110F" w:rsidRPr="006D2D5E" w:rsidRDefault="00DE110F" w:rsidP="00DE110F">
      <w:pPr>
        <w:ind w:left="568" w:hanging="284"/>
      </w:pPr>
      <w:r>
        <w:t>-</w:t>
      </w:r>
      <w:r>
        <w:tab/>
      </w:r>
      <w:r w:rsidRPr="008136B8">
        <w:t xml:space="preserve">the UE expects that the transmission of the PUSCH would not start before </w:t>
      </w:r>
      <m:oMath>
        <m:sSub>
          <m:sSubPr>
            <m:ctrlPr>
              <w:rPr>
                <w:rFonts w:ascii="Cambria Math" w:hAnsi="Cambria Math"/>
              </w:rPr>
            </m:ctrlPr>
          </m:sSubPr>
          <m:e>
            <m:r>
              <w:rPr>
                <w:rFonts w:ascii="Cambria Math" w:hAnsi="Cambria Math"/>
              </w:rPr>
              <m:t>T</m:t>
            </m:r>
          </m:e>
          <m:sub>
            <m:r>
              <w:rPr>
                <w:rFonts w:ascii="Cambria Math" w:hAnsi="Cambria Math"/>
              </w:rPr>
              <m:t>proc</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oMath>
      <w:r w:rsidRPr="008136B8">
        <w:t xml:space="preserve"> after a last symbol of the corresponding PDCCH reception;</w:t>
      </w:r>
    </w:p>
    <w:p w14:paraId="698E0538" w14:textId="5550004C" w:rsidR="00DE110F" w:rsidRPr="006D2D5E" w:rsidRDefault="00DE110F" w:rsidP="00DE110F">
      <w:pPr>
        <w:ind w:left="568" w:hanging="284"/>
      </w:pPr>
      <w:r>
        <w:t>-</w:t>
      </w:r>
      <w:r>
        <w:tab/>
      </w:r>
      <m:oMath>
        <m:sSub>
          <m:sSubPr>
            <m:ctrlPr>
              <w:rPr>
                <w:rFonts w:ascii="Cambria Math" w:hAnsi="Cambria Math"/>
              </w:rPr>
            </m:ctrlPr>
          </m:sSubPr>
          <m:e>
            <m:r>
              <w:rPr>
                <w:rFonts w:ascii="Cambria Math" w:hAnsi="Cambria Math"/>
              </w:rPr>
              <m:t>T</m:t>
            </m:r>
          </m:e>
          <m:sub>
            <m:r>
              <w:rPr>
                <w:rFonts w:ascii="Cambria Math" w:hAnsi="Cambria Math"/>
              </w:rPr>
              <m:t>proc</m:t>
            </m:r>
            <m:r>
              <m:rPr>
                <m:sty m:val="p"/>
              </m:rPr>
              <w:rPr>
                <w:rFonts w:ascii="Cambria Math" w:hAnsi="Cambria Math"/>
              </w:rPr>
              <m:t>,2</m:t>
            </m:r>
          </m:sub>
        </m:sSub>
        <m:r>
          <m:rPr>
            <m:sty m:val="p"/>
          </m:rPr>
          <w:rPr>
            <w:rFonts w:ascii="Cambria Math" w:hAnsi="Cambria Math"/>
          </w:rPr>
          <m:t xml:space="preserve"> </m:t>
        </m:r>
      </m:oMath>
      <w:r w:rsidRPr="006D2D5E">
        <w:t xml:space="preserve">is the PUSCH preparation time for a corresponding UE processing capability assuming </w:t>
      </w:r>
      <m:oMath>
        <m:sSub>
          <m:sSubPr>
            <m:ctrlPr>
              <w:rPr>
                <w:rFonts w:ascii="Cambria Math" w:hAnsi="Cambria Math"/>
              </w:rPr>
            </m:ctrlPr>
          </m:sSubPr>
          <m:e>
            <m:r>
              <w:rPr>
                <w:rFonts w:ascii="Cambria Math" w:hAnsi="Cambria Math"/>
              </w:rPr>
              <m:t>d</m:t>
            </m:r>
          </m:e>
          <m:sub>
            <m:r>
              <m:rPr>
                <m:sty m:val="p"/>
              </m:rPr>
              <w:rPr>
                <w:rFonts w:ascii="Cambria Math" w:hAnsi="Cambria Math"/>
              </w:rPr>
              <m:t>2,1</m:t>
            </m:r>
          </m:sub>
        </m:sSub>
        <m:r>
          <m:rPr>
            <m:sty m:val="p"/>
          </m:rPr>
          <w:rPr>
            <w:rFonts w:ascii="Cambria Math" w:hAnsi="Cambria Math"/>
          </w:rPr>
          <m:t>=0</m:t>
        </m:r>
      </m:oMath>
      <w:r w:rsidRPr="006D2D5E">
        <w:t xml:space="preserve"> [6, TS 38.214], based on </w:t>
      </w:r>
      <m:oMath>
        <m:r>
          <w:rPr>
            <w:rFonts w:ascii="Cambria Math" w:hAnsi="Cambria Math"/>
          </w:rPr>
          <m:t>μ</m:t>
        </m:r>
      </m:oMath>
      <w:r w:rsidRPr="006D2D5E">
        <w:t xml:space="preserve"> and </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sidRPr="006D2D5E">
        <w:t xml:space="preserve"> as subsequently defined in this </w:t>
      </w:r>
      <w:r>
        <w:t>c</w:t>
      </w:r>
      <w:r w:rsidRPr="006D2D5E">
        <w:t xml:space="preserve">lause, and </w:t>
      </w:r>
      <m:oMath>
        <m:sSub>
          <m:sSubPr>
            <m:ctrlPr>
              <w:rPr>
                <w:rFonts w:ascii="Cambria Math" w:hAnsi="Cambria Math"/>
              </w:rPr>
            </m:ctrlPr>
          </m:sSubPr>
          <m:e>
            <m:r>
              <w:rPr>
                <w:rFonts w:ascii="Cambria Math" w:hAnsi="Cambria Math"/>
              </w:rPr>
              <m:t>d</m:t>
            </m:r>
          </m:e>
          <m:sub>
            <m:r>
              <m:rPr>
                <m:sty m:val="p"/>
              </m:rPr>
              <w:rPr>
                <w:rFonts w:ascii="Cambria Math" w:hAnsi="Cambria Math"/>
              </w:rPr>
              <m:t>1</m:t>
            </m:r>
          </m:sub>
        </m:sSub>
      </m:oMath>
      <w:r w:rsidRPr="006D2D5E">
        <w:t xml:space="preserve"> is determi</w:t>
      </w:r>
      <w:r>
        <w:t>ned by a reported UE capability.</w:t>
      </w:r>
    </w:p>
    <w:p w14:paraId="086B2F1B" w14:textId="1E897AF2" w:rsidR="00DE110F" w:rsidRDefault="00DE110F" w:rsidP="00DE110F">
      <w:pPr>
        <w:rPr>
          <w:rFonts w:eastAsia="Malgun Gothic"/>
        </w:rPr>
      </w:pPr>
      <w:r w:rsidRPr="00490166">
        <w:rPr>
          <w:rFonts w:ascii="Times" w:hAnsi="Times" w:cs="Gulim"/>
          <w:lang w:eastAsia="zh-CN"/>
        </w:rPr>
        <w:t xml:space="preserve">The UE expects the PUCCH and PUSCH transmissions </w:t>
      </w:r>
      <w:r w:rsidR="006B25FE">
        <w:rPr>
          <w:rFonts w:ascii="Times" w:hAnsi="Times" w:cs="Gulim"/>
          <w:lang w:eastAsia="zh-CN"/>
        </w:rPr>
        <w:t xml:space="preserve">to </w:t>
      </w:r>
      <w:r w:rsidRPr="00490166">
        <w:t xml:space="preserve">fulfill the conditions in </w:t>
      </w:r>
      <w:r>
        <w:t>c</w:t>
      </w:r>
      <w:r w:rsidRPr="00490166">
        <w:t xml:space="preserve">lause 9 and </w:t>
      </w:r>
      <w:r>
        <w:t>c</w:t>
      </w:r>
      <w:r w:rsidRPr="00490166">
        <w:t>lause 9.2.5 for UCI multiplexing</w:t>
      </w:r>
      <w:r w:rsidRPr="00490166">
        <w:rPr>
          <w:rFonts w:ascii="Times" w:hAnsi="Times" w:cs="Gulim"/>
          <w:lang w:eastAsia="zh-CN"/>
        </w:rPr>
        <w:t xml:space="preserve"> replacing the reference time of </w:t>
      </w:r>
      <w:r w:rsidR="006C34E7">
        <w:rPr>
          <w:rFonts w:ascii="Times" w:hAnsi="Times" w:cs="Gulim"/>
          <w:lang w:eastAsia="zh-CN"/>
        </w:rPr>
        <w:t>"</w:t>
      </w:r>
      <w:r w:rsidRPr="00490166">
        <w:rPr>
          <w:rFonts w:ascii="Times" w:hAnsi="Times" w:cs="Gulim"/>
          <w:lang w:eastAsia="zh-CN"/>
        </w:rPr>
        <w:t>end of PDSCH</w:t>
      </w:r>
      <w:r w:rsidR="006C34E7">
        <w:rPr>
          <w:rFonts w:ascii="Times" w:hAnsi="Times" w:cs="Gulim"/>
          <w:lang w:eastAsia="zh-CN"/>
        </w:rPr>
        <w:t>"</w:t>
      </w:r>
      <w:r w:rsidRPr="00490166">
        <w:rPr>
          <w:rFonts w:ascii="Times" w:hAnsi="Times" w:cs="Gulim"/>
          <w:lang w:eastAsia="zh-CN"/>
        </w:rPr>
        <w:t xml:space="preserve"> with </w:t>
      </w:r>
      <w:r w:rsidR="006C34E7">
        <w:rPr>
          <w:rFonts w:ascii="Times" w:hAnsi="Times" w:cs="Gulim"/>
          <w:lang w:eastAsia="zh-CN"/>
        </w:rPr>
        <w:t>"</w:t>
      </w:r>
      <w:r w:rsidRPr="00490166">
        <w:rPr>
          <w:rFonts w:ascii="Times" w:hAnsi="Times" w:cs="Gulim"/>
          <w:lang w:eastAsia="zh-CN"/>
        </w:rPr>
        <w:t>end of the last symbol of a last PSFCH reception occasion</w:t>
      </w:r>
      <w:r w:rsidR="006C34E7">
        <w:rPr>
          <w:rFonts w:ascii="Times" w:hAnsi="Times" w:cs="Gulim"/>
          <w:lang w:eastAsia="zh-CN"/>
        </w:rPr>
        <w:t>"</w:t>
      </w:r>
      <w:r w:rsidRPr="00490166">
        <w:rPr>
          <w:rFonts w:ascii="Times" w:hAnsi="Times" w:cs="Gulim"/>
          <w:lang w:eastAsia="zh-CN"/>
        </w:rPr>
        <w:t xml:space="preserve"> as described in 16.5 and </w:t>
      </w:r>
      <w:r w:rsidRPr="00490166">
        <w:rPr>
          <w:rFonts w:ascii="Times" w:hAnsi="Times" w:cs="Gulim"/>
          <w:i/>
          <w:lang w:eastAsia="zh-CN"/>
        </w:rPr>
        <w:t>T</w:t>
      </w:r>
      <w:r w:rsidRPr="00490166">
        <w:rPr>
          <w:rFonts w:ascii="Times" w:hAnsi="Times" w:cs="Gulim"/>
          <w:i/>
          <w:vertAlign w:val="subscript"/>
          <w:lang w:eastAsia="zh-CN"/>
        </w:rPr>
        <w:t>proc,</w:t>
      </w:r>
      <w:r w:rsidRPr="00490166">
        <w:rPr>
          <w:rFonts w:ascii="Times" w:hAnsi="Times" w:cs="Gulim"/>
          <w:vertAlign w:val="subscript"/>
          <w:lang w:eastAsia="zh-CN"/>
        </w:rPr>
        <w:t>1</w:t>
      </w:r>
      <w:r w:rsidRPr="00490166">
        <w:rPr>
          <w:rFonts w:ascii="Times" w:hAnsi="Times" w:cs="Gulim"/>
          <w:lang w:eastAsia="zh-CN"/>
        </w:rPr>
        <w:t xml:space="preserve"> with </w:t>
      </w:r>
      <w:r w:rsidRPr="00490166">
        <w:rPr>
          <w:rFonts w:ascii="Times" w:hAnsi="Times" w:cs="Gulim"/>
          <w:i/>
          <w:lang w:eastAsia="zh-CN"/>
        </w:rPr>
        <w:t>T</w:t>
      </w:r>
      <w:r w:rsidRPr="00490166">
        <w:rPr>
          <w:rFonts w:ascii="Times" w:hAnsi="Times" w:cs="Gulim"/>
          <w:i/>
          <w:vertAlign w:val="subscript"/>
          <w:lang w:eastAsia="zh-CN"/>
        </w:rPr>
        <w:t>prep</w:t>
      </w:r>
      <w:r w:rsidRPr="00490166">
        <w:t>.</w:t>
      </w:r>
    </w:p>
    <w:p w14:paraId="6DE4BDDE" w14:textId="77777777" w:rsidR="00DE110F" w:rsidRDefault="00DE110F" w:rsidP="00DE110F">
      <w:pPr>
        <w:rPr>
          <w:rFonts w:eastAsia="Malgun Gothic"/>
        </w:rPr>
      </w:pPr>
      <w:r w:rsidRPr="004D527B">
        <w:rPr>
          <w:rFonts w:eastAsia="Malgun Gothic"/>
        </w:rPr>
        <w:t>A UE does not expect that a PUCCH carrying SL HARQ-ACK reports overlaps with PUSCH with aperiodic or semi-persistent CSI reports.</w:t>
      </w:r>
    </w:p>
    <w:p w14:paraId="2003ADF5" w14:textId="4613DB86" w:rsidR="002F7AB8" w:rsidRPr="00DE1FCE" w:rsidRDefault="002F7AB8" w:rsidP="00DE110F">
      <w:pPr>
        <w:rPr>
          <w:b/>
          <w:noProof/>
          <w:lang w:eastAsia="zh-CN"/>
        </w:rPr>
      </w:pPr>
      <w:r w:rsidRPr="00DE1FCE">
        <w:t>A UE does not expect to be scheduled to transmit a PUCCH or a PUSCH with smaller priority index that would overlap in time with a PUCCH of larger priority index with HARQ-ACK information only in response to a PDSCH reception without a corresponding PDCCH</w:t>
      </w:r>
      <w:r w:rsidR="006B25FE">
        <w:t xml:space="preserve"> </w:t>
      </w:r>
      <w:r w:rsidR="006B25FE" w:rsidRPr="00647C89">
        <w:rPr>
          <w:rFonts w:ascii="Times" w:hAnsi="Times" w:cs="Times"/>
        </w:rPr>
        <w:t xml:space="preserve">unless the UE is provided </w:t>
      </w:r>
      <w:r w:rsidR="002043C6">
        <w:rPr>
          <w:rFonts w:ascii="Times" w:hAnsi="Times" w:cs="Times"/>
          <w:i/>
          <w:iCs/>
        </w:rPr>
        <w:t>uci</w:t>
      </w:r>
      <w:r w:rsidR="002043C6" w:rsidRPr="00647C89">
        <w:rPr>
          <w:rFonts w:ascii="Times" w:hAnsi="Times" w:cs="Times"/>
          <w:i/>
          <w:iCs/>
        </w:rPr>
        <w:t>-MuxWithDiffPrio</w:t>
      </w:r>
      <w:r w:rsidRPr="00DE1FCE">
        <w:t>. A UE does not expect to be scheduled to transmit a PUCCH of smaller priority index that would overlap in time with a PUSCH of larger priority index with SP-CSI report(s) without a corresponding PDCCH</w:t>
      </w:r>
      <w:r w:rsidR="006B25FE">
        <w:t xml:space="preserve"> </w:t>
      </w:r>
      <w:r w:rsidR="006B25FE" w:rsidRPr="00647C89">
        <w:rPr>
          <w:rFonts w:ascii="Times" w:hAnsi="Times" w:cs="Times"/>
        </w:rPr>
        <w:t xml:space="preserve">unless the UE is provided </w:t>
      </w:r>
      <w:r w:rsidR="002043C6">
        <w:rPr>
          <w:rFonts w:ascii="Times" w:hAnsi="Times" w:cs="Times"/>
          <w:i/>
          <w:iCs/>
        </w:rPr>
        <w:t>uci</w:t>
      </w:r>
      <w:r w:rsidR="002043C6" w:rsidRPr="00647C89">
        <w:rPr>
          <w:rFonts w:ascii="Times" w:hAnsi="Times" w:cs="Times"/>
          <w:i/>
          <w:iCs/>
        </w:rPr>
        <w:t>-MuxWithDiffPrio</w:t>
      </w:r>
      <w:r w:rsidRPr="00DE1FCE">
        <w:t>.</w:t>
      </w:r>
    </w:p>
    <w:p w14:paraId="10FCB7F1" w14:textId="01FE89AB" w:rsidR="002734EA" w:rsidRPr="00DE1FCE" w:rsidRDefault="002734EA" w:rsidP="002734EA">
      <w:pPr>
        <w:rPr>
          <w:lang w:eastAsia="zh-CN"/>
        </w:rPr>
      </w:pPr>
      <w:r w:rsidRPr="00DE1FCE">
        <w:rPr>
          <w:lang w:eastAsia="zh-CN"/>
        </w:rPr>
        <w:t xml:space="preserve">In the remaining of this </w:t>
      </w:r>
      <w:r w:rsidR="006F5F9E">
        <w:rPr>
          <w:lang w:eastAsia="zh-CN"/>
        </w:rPr>
        <w:t>clause</w:t>
      </w:r>
      <w:r w:rsidRPr="00DE1FCE">
        <w:rPr>
          <w:lang w:eastAsia="zh-CN"/>
        </w:rPr>
        <w:t xml:space="preserve">, </w:t>
      </w:r>
      <w:r w:rsidRPr="00DE1FCE">
        <w:t>a UE multiplexes UCIs with same priority index in a PUCCH or a PUSCH</w:t>
      </w:r>
      <w:r w:rsidR="006C526C">
        <w:t xml:space="preserve"> </w:t>
      </w:r>
      <w:r w:rsidR="006C526C" w:rsidRPr="00650775">
        <w:t xml:space="preserve">before considering limitations for UE transmission </w:t>
      </w:r>
      <w:r w:rsidR="00504B9B" w:rsidRPr="00515578">
        <w:t>due to cell DRX operation or</w:t>
      </w:r>
      <w:r w:rsidR="00504B9B" w:rsidRPr="00515578">
        <w:rPr>
          <w:rFonts w:eastAsia="Malgun Gothic"/>
        </w:rPr>
        <w:t xml:space="preserve"> </w:t>
      </w:r>
      <w:r w:rsidR="006C526C" w:rsidRPr="00650775">
        <w:t>as described in clause</w:t>
      </w:r>
      <w:r w:rsidR="004B3D37">
        <w:t>s</w:t>
      </w:r>
      <w:r w:rsidR="006C526C" w:rsidRPr="00650775">
        <w:t xml:space="preserve"> 11.1</w:t>
      </w:r>
      <w:r w:rsidR="00DF3985">
        <w:t>,</w:t>
      </w:r>
      <w:r w:rsidR="00423600">
        <w:rPr>
          <w:rFonts w:hint="eastAsia"/>
          <w:lang w:eastAsia="zh-CN"/>
        </w:rPr>
        <w:t xml:space="preserve"> 11.1.1</w:t>
      </w:r>
      <w:r w:rsidR="00DF3985" w:rsidRPr="00543165">
        <w:rPr>
          <w:lang w:eastAsia="zh-CN"/>
        </w:rPr>
        <w:t xml:space="preserve">, </w:t>
      </w:r>
      <w:r w:rsidR="004B3D37">
        <w:rPr>
          <w:lang w:eastAsia="zh-CN"/>
        </w:rPr>
        <w:t xml:space="preserve">11.2A, </w:t>
      </w:r>
      <w:r w:rsidR="003B0C82">
        <w:rPr>
          <w:lang w:eastAsia="zh-CN"/>
        </w:rPr>
        <w:t xml:space="preserve">15 </w:t>
      </w:r>
      <w:r w:rsidR="00DF3985" w:rsidRPr="00543165">
        <w:rPr>
          <w:lang w:eastAsia="zh-CN"/>
        </w:rPr>
        <w:t>and 17.2</w:t>
      </w:r>
      <w:r w:rsidRPr="00DE1FCE">
        <w:t>. A PUCCH or a PUSCH is assumed to have a same priority index as a priority index of UCIs a UE multiplexes in the PUCCH or the PUSCH</w:t>
      </w:r>
      <w:r w:rsidRPr="00DE1FCE">
        <w:rPr>
          <w:lang w:eastAsia="zh-CN"/>
        </w:rPr>
        <w:t>.</w:t>
      </w:r>
    </w:p>
    <w:p w14:paraId="5B656C01" w14:textId="341971D0" w:rsidR="00557048" w:rsidRPr="00CC29A0" w:rsidRDefault="00557048" w:rsidP="00557048">
      <w:pPr>
        <w:rPr>
          <w:lang w:eastAsia="zh-CN"/>
        </w:rPr>
      </w:pPr>
      <w:r w:rsidRPr="00DE1FCE">
        <w:rPr>
          <w:lang w:eastAsia="zh-CN"/>
        </w:rPr>
        <w:t xml:space="preserve">In the remaining of this </w:t>
      </w:r>
      <w:r w:rsidR="006F5F9E">
        <w:rPr>
          <w:lang w:eastAsia="zh-CN"/>
        </w:rPr>
        <w:t>clause</w:t>
      </w:r>
      <w:r w:rsidRPr="00DE1FCE">
        <w:rPr>
          <w:lang w:eastAsia="zh-CN"/>
        </w:rPr>
        <w:t>, the multiplexing or prioritization for overlapping channels are for overlapping channels with same priority index</w:t>
      </w:r>
      <w:r w:rsidR="00BD6CD4">
        <w:rPr>
          <w:lang w:eastAsia="zh-CN"/>
        </w:rPr>
        <w:t xml:space="preserve"> </w:t>
      </w:r>
      <w:r w:rsidR="00BD6CD4" w:rsidRPr="00556B58">
        <w:rPr>
          <w:lang w:eastAsia="zh-CN"/>
        </w:rPr>
        <w:t>or for overlapping channels with a PUCCH carrying SL HARQ-ACK information</w:t>
      </w:r>
      <w:r w:rsidR="00C82371">
        <w:rPr>
          <w:lang w:eastAsia="zh-CN"/>
        </w:rPr>
        <w:t xml:space="preserve"> </w:t>
      </w:r>
      <w:r w:rsidR="00C82371" w:rsidRPr="006006A5">
        <w:rPr>
          <w:lang w:eastAsia="zh-CN"/>
        </w:rPr>
        <w:t>unless stated otherwise</w:t>
      </w:r>
      <w:r w:rsidR="00BD6CD4" w:rsidRPr="00556B58">
        <w:rPr>
          <w:lang w:eastAsia="zh-CN"/>
        </w:rPr>
        <w:t>.</w:t>
      </w:r>
    </w:p>
    <w:p w14:paraId="70E9EFFA" w14:textId="372AA4DE" w:rsidR="002734EA" w:rsidRPr="00DE1FCE" w:rsidRDefault="002734EA" w:rsidP="002734EA">
      <w:pPr>
        <w:rPr>
          <w:lang w:eastAsia="zh-CN"/>
        </w:rPr>
      </w:pPr>
      <w:r w:rsidRPr="00DE1FCE">
        <w:rPr>
          <w:lang w:eastAsia="zh-CN"/>
        </w:rPr>
        <w:t xml:space="preserve">In the remaining of this </w:t>
      </w:r>
      <w:r w:rsidR="006F5F9E">
        <w:rPr>
          <w:lang w:eastAsia="zh-CN"/>
        </w:rPr>
        <w:t>clause</w:t>
      </w:r>
      <w:r w:rsidRPr="00DE1FCE">
        <w:rPr>
          <w:lang w:eastAsia="zh-CN"/>
        </w:rPr>
        <w:t xml:space="preserve">, </w:t>
      </w:r>
      <w:r w:rsidRPr="00DE1FCE">
        <w:rPr>
          <w:rFonts w:cs="Arial"/>
          <w:lang w:eastAsia="zh-CN"/>
        </w:rPr>
        <w:t xml:space="preserve">if a UE is provided </w:t>
      </w:r>
      <w:r w:rsidRPr="00DE1FCE">
        <w:rPr>
          <w:rFonts w:cs="Arial"/>
          <w:i/>
          <w:iCs/>
          <w:lang w:eastAsia="zh-CN"/>
        </w:rPr>
        <w:t>subslotLengthForPUCCH</w:t>
      </w:r>
      <w:r w:rsidR="00D860F6">
        <w:rPr>
          <w:rFonts w:cs="Arial"/>
          <w:iCs/>
          <w:lang w:eastAsia="zh-CN"/>
        </w:rPr>
        <w:t xml:space="preserve"> for a cell for PUCCH transmission</w:t>
      </w:r>
      <w:r w:rsidRPr="00DE1FCE">
        <w:rPr>
          <w:rFonts w:cs="Arial"/>
          <w:lang w:eastAsia="zh-CN"/>
        </w:rPr>
        <w:t xml:space="preserve">, a slot for an associated PUCCH </w:t>
      </w:r>
      <w:r w:rsidR="004F29D0" w:rsidRPr="000769CD">
        <w:rPr>
          <w:rFonts w:cs="Arial" w:hint="eastAsia"/>
          <w:lang w:eastAsia="zh-CN"/>
        </w:rPr>
        <w:t xml:space="preserve">resource of a PUCCH </w:t>
      </w:r>
      <w:r w:rsidRPr="00DE1FCE">
        <w:rPr>
          <w:rFonts w:cs="Arial"/>
          <w:lang w:eastAsia="zh-CN"/>
        </w:rPr>
        <w:t xml:space="preserve">transmission </w:t>
      </w:r>
      <w:r w:rsidR="004F29D0" w:rsidRPr="004726B0">
        <w:rPr>
          <w:rFonts w:cs="Arial"/>
        </w:rPr>
        <w:t>with HARQ-ACK information</w:t>
      </w:r>
      <w:r w:rsidR="00D860F6">
        <w:rPr>
          <w:rFonts w:cs="Arial"/>
        </w:rPr>
        <w:t xml:space="preserve"> on the cell</w:t>
      </w:r>
      <w:r w:rsidR="004F29D0" w:rsidRPr="004726B0">
        <w:rPr>
          <w:rFonts w:cs="Arial"/>
        </w:rPr>
        <w:t xml:space="preserve"> </w:t>
      </w:r>
      <w:r w:rsidRPr="00DE1FCE">
        <w:rPr>
          <w:rFonts w:cs="Arial"/>
          <w:lang w:eastAsia="zh-CN"/>
        </w:rPr>
        <w:t xml:space="preserve">includes a number of symbols indicated by </w:t>
      </w:r>
      <w:r w:rsidRPr="00DE1FCE">
        <w:rPr>
          <w:rFonts w:cs="Arial"/>
          <w:i/>
          <w:iCs/>
          <w:lang w:eastAsia="zh-CN"/>
        </w:rPr>
        <w:t>subslotLengthForPUCCH</w:t>
      </w:r>
      <w:r w:rsidR="00D91988" w:rsidRPr="00B55376">
        <w:rPr>
          <w:iCs/>
        </w:rPr>
        <w:t>, unless stated otherwise</w:t>
      </w:r>
      <w:r w:rsidRPr="00DE1FCE">
        <w:rPr>
          <w:rFonts w:cs="Arial"/>
          <w:lang w:eastAsia="zh-CN"/>
        </w:rPr>
        <w:t>.</w:t>
      </w:r>
    </w:p>
    <w:p w14:paraId="599594E3" w14:textId="77777777" w:rsidR="00284348" w:rsidRPr="00DE1FCE" w:rsidRDefault="00284348" w:rsidP="00284348">
      <w:r w:rsidRPr="00DE1FCE">
        <w:rPr>
          <w:lang w:eastAsia="zh-CN"/>
        </w:rPr>
        <w:t xml:space="preserve">If a UE would transmit on a serving cell a PUSCH without UL-SCH that overlaps with a PUCCH transmission on </w:t>
      </w:r>
      <w:r w:rsidR="00F27BF1" w:rsidRPr="00DE1FCE">
        <w:rPr>
          <w:lang w:eastAsia="zh-CN"/>
        </w:rPr>
        <w:t xml:space="preserve">a </w:t>
      </w:r>
      <w:r w:rsidRPr="00DE1FCE">
        <w:rPr>
          <w:lang w:eastAsia="zh-CN"/>
        </w:rPr>
        <w:t>serving cell that includes positive SR information, the UE does not transmit the PUSCH</w:t>
      </w:r>
      <w:r w:rsidRPr="00DE1FCE">
        <w:t xml:space="preserve">. </w:t>
      </w:r>
    </w:p>
    <w:p w14:paraId="5A7DA11B" w14:textId="77777777" w:rsidR="00284348" w:rsidRPr="00DE1FCE" w:rsidRDefault="00284348" w:rsidP="00284348">
      <w:r w:rsidRPr="00DE1FCE">
        <w:t xml:space="preserve">If a UE would transmit CSI reports on overlapping physical channels, the UE applies the priority rules described in </w:t>
      </w:r>
      <w:r w:rsidR="00B23B5A" w:rsidRPr="00DE1FCE">
        <w:t xml:space="preserve">[6, </w:t>
      </w:r>
      <w:r w:rsidRPr="00DE1FCE">
        <w:t>TS 38.214</w:t>
      </w:r>
      <w:r w:rsidR="00B23B5A" w:rsidRPr="00DE1FCE">
        <w:t>]</w:t>
      </w:r>
      <w:r w:rsidRPr="00DE1FCE">
        <w:t xml:space="preserve"> for the multiplexing of CSI reports.</w:t>
      </w:r>
    </w:p>
    <w:p w14:paraId="5D17F3DD" w14:textId="77777777" w:rsidR="00284348" w:rsidRDefault="00000C56" w:rsidP="003565D5">
      <w:pPr>
        <w:rPr>
          <w:lang w:val="en-US"/>
        </w:rPr>
      </w:pPr>
      <w:r w:rsidRPr="00B916EC">
        <w:rPr>
          <w:lang w:val="en-US"/>
        </w:rPr>
        <w:t xml:space="preserve">If a UE </w:t>
      </w:r>
    </w:p>
    <w:p w14:paraId="7AF353E0" w14:textId="77777777" w:rsidR="00284348" w:rsidRDefault="00284348" w:rsidP="003565D5">
      <w:pPr>
        <w:pStyle w:val="B1"/>
      </w:pPr>
      <w:r>
        <w:t>-</w:t>
      </w:r>
      <w:r>
        <w:tab/>
      </w:r>
      <w:r w:rsidR="00000C56" w:rsidRPr="00B916EC">
        <w:t xml:space="preserve">would </w:t>
      </w:r>
      <w:r w:rsidR="00D508B4">
        <w:t>multiplex UCI in</w:t>
      </w:r>
      <w:r w:rsidR="00000C56" w:rsidRPr="00B916EC">
        <w:t xml:space="preserve"> a PUCCH </w:t>
      </w:r>
      <w:r w:rsidR="00D508B4">
        <w:t xml:space="preserve">transmission </w:t>
      </w:r>
      <w:r w:rsidR="00000C56" w:rsidRPr="00B916EC">
        <w:t xml:space="preserve">that </w:t>
      </w:r>
      <w:r w:rsidR="007C4048" w:rsidRPr="0054007C">
        <w:t>overlaps</w:t>
      </w:r>
      <w:r w:rsidR="00E70FF7" w:rsidRPr="00B916EC">
        <w:t xml:space="preserve"> </w:t>
      </w:r>
      <w:r w:rsidR="00000C56" w:rsidRPr="00B916EC">
        <w:t xml:space="preserve">with a PUSCH transmission, </w:t>
      </w:r>
      <w:r w:rsidR="007C4048" w:rsidRPr="0088187E">
        <w:t xml:space="preserve">and </w:t>
      </w:r>
    </w:p>
    <w:p w14:paraId="63E5BC79" w14:textId="40EB6EC8" w:rsidR="00284348" w:rsidRDefault="00284348" w:rsidP="003565D5">
      <w:pPr>
        <w:pStyle w:val="B1"/>
      </w:pPr>
      <w:r>
        <w:t>-</w:t>
      </w:r>
      <w:r>
        <w:tab/>
      </w:r>
      <w:r w:rsidR="007C4048" w:rsidRPr="0088187E">
        <w:t xml:space="preserve">the PUSCH and PUCCH transmissions </w:t>
      </w:r>
      <w:r w:rsidR="00623C77" w:rsidRPr="0088187E">
        <w:t>fulfil</w:t>
      </w:r>
      <w:r w:rsidR="007C4048" w:rsidRPr="0088187E">
        <w:t xml:space="preserve"> the conditions </w:t>
      </w:r>
      <w:r w:rsidR="006F5F9E">
        <w:t>in clause</w:t>
      </w:r>
      <w:r w:rsidR="007C4048" w:rsidRPr="0088187E">
        <w:t xml:space="preserve"> 9.2.5 for UCI multiplexing, </w:t>
      </w:r>
    </w:p>
    <w:p w14:paraId="7F7C50C9" w14:textId="77777777" w:rsidR="00284348" w:rsidRDefault="00000C56" w:rsidP="003565D5">
      <w:pPr>
        <w:rPr>
          <w:lang w:val="en-US"/>
        </w:rPr>
      </w:pPr>
      <w:r w:rsidRPr="00B916EC">
        <w:rPr>
          <w:lang w:val="en-US"/>
        </w:rPr>
        <w:t xml:space="preserve">the UE </w:t>
      </w:r>
    </w:p>
    <w:p w14:paraId="5F341F43" w14:textId="77777777" w:rsidR="00284348" w:rsidRDefault="00284348" w:rsidP="00D30258">
      <w:pPr>
        <w:pStyle w:val="B1"/>
      </w:pPr>
      <w:r>
        <w:lastRenderedPageBreak/>
        <w:t>-</w:t>
      </w:r>
      <w:r>
        <w:tab/>
      </w:r>
      <w:r w:rsidR="00000C56" w:rsidRPr="00B916EC">
        <w:t xml:space="preserve">multiplexes </w:t>
      </w:r>
      <w:r>
        <w:t xml:space="preserve">only HARQ-ACK information, if any, from </w:t>
      </w:r>
      <w:r w:rsidR="00000C56" w:rsidRPr="00B916EC">
        <w:t>the UCI in the PUSCH transmission and does not transmit the PUCCH</w:t>
      </w:r>
      <w:r>
        <w:t xml:space="preserve"> if the UE multiplexes </w:t>
      </w:r>
      <w:r w:rsidRPr="00D1265E">
        <w:t>a</w:t>
      </w:r>
      <w:r>
        <w:t xml:space="preserve">periodic </w:t>
      </w:r>
      <w:r w:rsidRPr="00D1265E">
        <w:t>or semi-persistent CSI</w:t>
      </w:r>
      <w:r w:rsidRPr="0088187E">
        <w:t xml:space="preserve"> </w:t>
      </w:r>
      <w:r>
        <w:t>reports in</w:t>
      </w:r>
      <w:r w:rsidRPr="0088187E">
        <w:t xml:space="preserve"> the PUSCH</w:t>
      </w:r>
      <w:r>
        <w:t>;</w:t>
      </w:r>
    </w:p>
    <w:p w14:paraId="6DA02B13" w14:textId="77777777" w:rsidR="00D508B4" w:rsidRDefault="00284348" w:rsidP="003565D5">
      <w:pPr>
        <w:pStyle w:val="B1"/>
      </w:pPr>
      <w:r>
        <w:t>-</w:t>
      </w:r>
      <w:r>
        <w:tab/>
      </w:r>
      <w:r w:rsidRPr="00B916EC">
        <w:t xml:space="preserve">multiplexes </w:t>
      </w:r>
      <w:r>
        <w:t xml:space="preserve">only HARQ-ACK information and CSI reports, if any, from </w:t>
      </w:r>
      <w:r w:rsidRPr="00B916EC">
        <w:t>the UCI in the PUSCH transmission and does not transmit the PUCCH</w:t>
      </w:r>
      <w:r>
        <w:t xml:space="preserve"> if the UE does not multiplex </w:t>
      </w:r>
      <w:r w:rsidRPr="00D1265E">
        <w:t>a</w:t>
      </w:r>
      <w:r>
        <w:t>periodic</w:t>
      </w:r>
      <w:r w:rsidRPr="00D1265E">
        <w:t xml:space="preserve"> or semi-persistent CSI</w:t>
      </w:r>
      <w:r w:rsidRPr="0088187E">
        <w:t xml:space="preserve"> </w:t>
      </w:r>
      <w:r>
        <w:t>reports in</w:t>
      </w:r>
      <w:r w:rsidRPr="0088187E">
        <w:t xml:space="preserve"> the PUSCH</w:t>
      </w:r>
      <w:r w:rsidR="00000C56" w:rsidRPr="00B916EC">
        <w:t>.</w:t>
      </w:r>
    </w:p>
    <w:p w14:paraId="34A15AA9" w14:textId="5D82DCC0" w:rsidR="00284348" w:rsidRDefault="00284348" w:rsidP="00284348">
      <w:r>
        <w:t xml:space="preserve">A UE </w:t>
      </w:r>
      <w:r w:rsidRPr="00CE6ACE">
        <w:rPr>
          <w:lang w:eastAsia="x-none"/>
        </w:rPr>
        <w:t xml:space="preserve">does not expect to multiplex in a PUSCH transmission in one slot </w:t>
      </w:r>
      <w:r>
        <w:rPr>
          <w:lang w:eastAsia="x-none"/>
        </w:rPr>
        <w:t xml:space="preserve">with SCS configuration </w:t>
      </w:r>
      <m:oMath>
        <m:sSub>
          <m:sSubPr>
            <m:ctrlPr>
              <w:rPr>
                <w:rFonts w:ascii="Cambria Math" w:hAnsi="Cambria Math"/>
                <w:i/>
                <w:lang w:eastAsia="x-none"/>
              </w:rPr>
            </m:ctrlPr>
          </m:sSubPr>
          <m:e>
            <m:r>
              <w:rPr>
                <w:rFonts w:ascii="Cambria Math" w:hAnsi="Cambria Math"/>
                <w:lang w:eastAsia="x-none"/>
              </w:rPr>
              <m:t>μ</m:t>
            </m:r>
          </m:e>
          <m:sub>
            <m:r>
              <w:rPr>
                <w:rFonts w:ascii="Cambria Math" w:hAnsi="Cambria Math"/>
                <w:lang w:eastAsia="x-none"/>
              </w:rPr>
              <m:t>1</m:t>
            </m:r>
          </m:sub>
        </m:sSub>
      </m:oMath>
      <w:r>
        <w:rPr>
          <w:lang w:eastAsia="x-none"/>
        </w:rPr>
        <w:t xml:space="preserve"> </w:t>
      </w:r>
      <w:r w:rsidRPr="00CE6ACE">
        <w:rPr>
          <w:lang w:eastAsia="x-none"/>
        </w:rPr>
        <w:t>UCI of same type that the UE would transmit in PUCCHs in different slots</w:t>
      </w:r>
      <w:r>
        <w:rPr>
          <w:lang w:eastAsia="x-none"/>
        </w:rPr>
        <w:t xml:space="preserve"> with SCS configuration </w:t>
      </w:r>
      <m:oMath>
        <m:sSub>
          <m:sSubPr>
            <m:ctrlPr>
              <w:rPr>
                <w:rFonts w:ascii="Cambria Math" w:hAnsi="Cambria Math"/>
                <w:i/>
                <w:lang w:eastAsia="x-none"/>
              </w:rPr>
            </m:ctrlPr>
          </m:sSubPr>
          <m:e>
            <m:r>
              <w:rPr>
                <w:rFonts w:ascii="Cambria Math" w:hAnsi="Cambria Math"/>
                <w:lang w:eastAsia="x-none"/>
              </w:rPr>
              <m:t>μ</m:t>
            </m:r>
          </m:e>
          <m:sub>
            <m:r>
              <w:rPr>
                <w:rFonts w:ascii="Cambria Math" w:hAnsi="Cambria Math"/>
                <w:lang w:eastAsia="x-none"/>
              </w:rPr>
              <m:t>2</m:t>
            </m:r>
          </m:sub>
        </m:sSub>
      </m:oMath>
      <w:r>
        <w:t xml:space="preserve"> if </w:t>
      </w:r>
      <m:oMath>
        <m:sSub>
          <m:sSubPr>
            <m:ctrlPr>
              <w:rPr>
                <w:rFonts w:ascii="Cambria Math" w:hAnsi="Cambria Math"/>
                <w:i/>
                <w:lang w:eastAsia="x-none"/>
              </w:rPr>
            </m:ctrlPr>
          </m:sSubPr>
          <m:e>
            <m:r>
              <w:rPr>
                <w:rFonts w:ascii="Cambria Math" w:hAnsi="Cambria Math"/>
                <w:lang w:eastAsia="x-none"/>
              </w:rPr>
              <m:t>μ</m:t>
            </m:r>
          </m:e>
          <m:sub>
            <m:r>
              <w:rPr>
                <w:rFonts w:ascii="Cambria Math" w:hAnsi="Cambria Math"/>
                <w:lang w:eastAsia="x-none"/>
              </w:rPr>
              <m:t>1</m:t>
            </m:r>
          </m:sub>
        </m:sSub>
        <m:r>
          <w:rPr>
            <w:rFonts w:ascii="Cambria Math" w:hAnsi="Cambria Math"/>
            <w:lang w:eastAsia="x-none"/>
          </w:rPr>
          <m:t>&lt;</m:t>
        </m:r>
        <m:sSub>
          <m:sSubPr>
            <m:ctrlPr>
              <w:rPr>
                <w:rFonts w:ascii="Cambria Math" w:hAnsi="Cambria Math"/>
                <w:i/>
                <w:lang w:eastAsia="x-none"/>
              </w:rPr>
            </m:ctrlPr>
          </m:sSubPr>
          <m:e>
            <m:r>
              <w:rPr>
                <w:rFonts w:ascii="Cambria Math" w:hAnsi="Cambria Math"/>
                <w:lang w:eastAsia="x-none"/>
              </w:rPr>
              <m:t>μ</m:t>
            </m:r>
          </m:e>
          <m:sub>
            <m:r>
              <w:rPr>
                <w:rFonts w:ascii="Cambria Math" w:hAnsi="Cambria Math"/>
                <w:lang w:eastAsia="x-none"/>
              </w:rPr>
              <m:t>2</m:t>
            </m:r>
          </m:sub>
        </m:sSub>
      </m:oMath>
      <w:r>
        <w:t xml:space="preserve">. </w:t>
      </w:r>
    </w:p>
    <w:p w14:paraId="097AD010" w14:textId="4326C1E2" w:rsidR="002F7AB8" w:rsidRPr="00C06B59" w:rsidRDefault="002F7AB8" w:rsidP="002F7AB8">
      <w:r w:rsidRPr="00C06B59">
        <w:t xml:space="preserve">A UE </w:t>
      </w:r>
      <w:r w:rsidRPr="00C06B59">
        <w:rPr>
          <w:lang w:eastAsia="x-none"/>
        </w:rPr>
        <w:t>does not expect to multiplex in a PUSCH transmission or in a PUCCH transmission HARQ-ACK information that the UE would transmit in different PUCCHs</w:t>
      </w:r>
      <w:r w:rsidR="006B25FE">
        <w:rPr>
          <w:lang w:eastAsia="x-none"/>
        </w:rPr>
        <w:t xml:space="preserve"> </w:t>
      </w:r>
      <w:r w:rsidR="006B25FE" w:rsidRPr="00647C89">
        <w:rPr>
          <w:lang w:eastAsia="x-none"/>
        </w:rPr>
        <w:t>of a same priority index</w:t>
      </w:r>
      <w:r w:rsidRPr="00C06B59">
        <w:t xml:space="preserve">. </w:t>
      </w:r>
    </w:p>
    <w:p w14:paraId="2D1FC875" w14:textId="77777777" w:rsidR="00B23B5A" w:rsidRDefault="00B23B5A" w:rsidP="00B23B5A">
      <w:pPr>
        <w:rPr>
          <w:lang w:val="en-US" w:eastAsia="x-none"/>
        </w:rPr>
      </w:pPr>
      <w:r w:rsidRPr="002133D2">
        <w:rPr>
          <w:bCs/>
        </w:rPr>
        <w:t xml:space="preserve">A UE does not expect </w:t>
      </w:r>
      <w:r>
        <w:rPr>
          <w:bCs/>
        </w:rPr>
        <w:t>a PUCCH resource that results from multiplexing</w:t>
      </w:r>
      <w:r w:rsidRPr="002133D2">
        <w:rPr>
          <w:bCs/>
        </w:rPr>
        <w:t xml:space="preserve"> overlapped PUCCH resources</w:t>
      </w:r>
      <w:r>
        <w:rPr>
          <w:bCs/>
        </w:rPr>
        <w:t>,</w:t>
      </w:r>
      <w:r w:rsidRPr="002133D2">
        <w:rPr>
          <w:bCs/>
        </w:rPr>
        <w:t xml:space="preserve"> if applicable, </w:t>
      </w:r>
      <w:r>
        <w:rPr>
          <w:bCs/>
        </w:rPr>
        <w:t>to overlap</w:t>
      </w:r>
      <w:r w:rsidRPr="002133D2">
        <w:rPr>
          <w:bCs/>
        </w:rPr>
        <w:t xml:space="preserve"> with more than one PUSCHs </w:t>
      </w:r>
      <w:r>
        <w:rPr>
          <w:bCs/>
        </w:rPr>
        <w:t xml:space="preserve">if </w:t>
      </w:r>
      <w:r w:rsidRPr="002133D2">
        <w:rPr>
          <w:bCs/>
        </w:rPr>
        <w:t xml:space="preserve">each </w:t>
      </w:r>
      <w:r>
        <w:rPr>
          <w:bCs/>
        </w:rPr>
        <w:t>of the more than one PUSCHs includes</w:t>
      </w:r>
      <w:r w:rsidRPr="002133D2">
        <w:rPr>
          <w:bCs/>
        </w:rPr>
        <w:t xml:space="preserve"> </w:t>
      </w:r>
      <w:r>
        <w:t>aperiodic CSI reports</w:t>
      </w:r>
      <w:r>
        <w:rPr>
          <w:lang w:val="en-US" w:eastAsia="x-none"/>
        </w:rPr>
        <w:t>.</w:t>
      </w:r>
    </w:p>
    <w:p w14:paraId="394E5C05" w14:textId="77777777" w:rsidR="00D0690E" w:rsidRPr="00D0690E" w:rsidRDefault="00D0690E" w:rsidP="00D0690E">
      <w:pPr>
        <w:rPr>
          <w:lang w:val="en-US"/>
        </w:rPr>
      </w:pPr>
      <w:r w:rsidRPr="00D0690E">
        <w:rPr>
          <w:lang w:val="en-US"/>
        </w:rPr>
        <w:t>A UE does not expect to detect a first DCI format having associated HARQ-ACK information without scheduling a PDSCH reception, and indicating a resource for a PUCCH transmission with a HARQ-ACK codebook that would include the HARQ-ACK information in a slot if the UE</w:t>
      </w:r>
    </w:p>
    <w:p w14:paraId="0E2CFF5D" w14:textId="77777777" w:rsidR="00D0690E" w:rsidRPr="00D0690E" w:rsidRDefault="00D0690E" w:rsidP="00D0690E">
      <w:pPr>
        <w:pStyle w:val="B1"/>
      </w:pPr>
      <w:r w:rsidRPr="00D0690E">
        <w:t>-</w:t>
      </w:r>
      <w:r w:rsidRPr="00D0690E">
        <w:tab/>
        <w:t xml:space="preserve">detects a second DCI format in a PDCCH </w:t>
      </w:r>
      <w:r w:rsidRPr="00D0690E">
        <w:rPr>
          <w:lang w:eastAsia="zh-CN"/>
        </w:rPr>
        <w:t>monitoring occasion</w:t>
      </w:r>
      <w:r w:rsidRPr="00D0690E">
        <w:t xml:space="preserve">, that starts before a PDCCH </w:t>
      </w:r>
      <w:r w:rsidRPr="00D0690E">
        <w:rPr>
          <w:lang w:eastAsia="zh-CN"/>
        </w:rPr>
        <w:t>monitoring occasion</w:t>
      </w:r>
      <w:r w:rsidRPr="00D0690E">
        <w:t xml:space="preserve"> for the first DCI format, that schedules a PUSCH transmission in the slot, and </w:t>
      </w:r>
    </w:p>
    <w:p w14:paraId="6F4D5A90" w14:textId="77777777" w:rsidR="00D0690E" w:rsidRPr="00D0690E" w:rsidRDefault="00D0690E" w:rsidP="00D0690E">
      <w:pPr>
        <w:pStyle w:val="B1"/>
      </w:pPr>
      <w:r w:rsidRPr="00D0690E">
        <w:t>-</w:t>
      </w:r>
      <w:r w:rsidRPr="00D0690E">
        <w:tab/>
        <w:t>multiplexes the HARQ-ACK codebook in the PUSCH transmission in the slot.</w:t>
      </w:r>
    </w:p>
    <w:p w14:paraId="059846F8" w14:textId="77777777" w:rsidR="00D0690E" w:rsidRPr="00D0690E" w:rsidRDefault="00D0690E" w:rsidP="00D0690E">
      <w:r w:rsidRPr="00D0690E">
        <w:t xml:space="preserve">If a UE </w:t>
      </w:r>
    </w:p>
    <w:p w14:paraId="3DE746ED" w14:textId="77777777" w:rsidR="00D0690E" w:rsidRPr="00D0690E" w:rsidRDefault="00D0690E" w:rsidP="00D0690E">
      <w:pPr>
        <w:pStyle w:val="B1"/>
        <w:rPr>
          <w:lang w:eastAsia="zh-CN"/>
        </w:rPr>
      </w:pPr>
      <w:r w:rsidRPr="00D0690E">
        <w:t>-</w:t>
      </w:r>
      <w:r w:rsidRPr="00D0690E">
        <w:tab/>
      </w:r>
      <w:r w:rsidRPr="00D0690E">
        <w:rPr>
          <w:lang w:eastAsia="zh-CN"/>
        </w:rPr>
        <w:t>is not provided any of enable-Type1-HARQ-ACK-mux-forDLassignmentafterULgrant, or</w:t>
      </w:r>
      <w:r w:rsidRPr="00D0690E">
        <w:rPr>
          <w:iCs/>
          <w:lang w:eastAsia="zh-CN"/>
        </w:rPr>
        <w:t xml:space="preserve"> </w:t>
      </w:r>
      <w:r w:rsidRPr="00D0690E">
        <w:rPr>
          <w:lang w:eastAsia="zh-CN"/>
        </w:rPr>
        <w:t>enable-Type2-HARQ-ACK-mux-forDLassignmentafterULgrant</w:t>
      </w:r>
      <w:r w:rsidRPr="00D0690E">
        <w:rPr>
          <w:iCs/>
          <w:lang w:eastAsia="zh-CN"/>
        </w:rPr>
        <w:t xml:space="preserve">, or </w:t>
      </w:r>
      <w:r w:rsidRPr="00D0690E">
        <w:rPr>
          <w:lang w:eastAsia="zh-CN"/>
        </w:rPr>
        <w:t>enable-Type3-HARQ-ACK-mux-forDLassignmentafterULgrant</w:t>
      </w:r>
      <w:r w:rsidRPr="00D0690E">
        <w:rPr>
          <w:iCs/>
          <w:lang w:eastAsia="zh-CN"/>
        </w:rPr>
        <w:t>, or</w:t>
      </w:r>
      <w:r w:rsidRPr="00D0690E">
        <w:rPr>
          <w:lang w:eastAsia="zh-CN"/>
        </w:rPr>
        <w:t xml:space="preserve"> </w:t>
      </w:r>
    </w:p>
    <w:p w14:paraId="6C98B9BA" w14:textId="77777777" w:rsidR="00D0690E" w:rsidRPr="00D0690E" w:rsidRDefault="00D0690E" w:rsidP="00D0690E">
      <w:pPr>
        <w:pStyle w:val="B1"/>
      </w:pPr>
      <w:r w:rsidRPr="00D0690E">
        <w:t>-</w:t>
      </w:r>
      <w:r w:rsidRPr="00D0690E">
        <w:tab/>
        <w:t xml:space="preserve">is provided </w:t>
      </w:r>
      <w:r w:rsidRPr="00D0690E">
        <w:rPr>
          <w:iCs/>
        </w:rPr>
        <w:t>uci-MuxWithDiffPrio</w:t>
      </w:r>
      <w:r w:rsidRPr="00D0690E">
        <w:t>, or</w:t>
      </w:r>
    </w:p>
    <w:p w14:paraId="57EFAC6B" w14:textId="2D52FBB3" w:rsidR="00AD0DD7" w:rsidRPr="00D0690E" w:rsidRDefault="00D0690E" w:rsidP="00D0690E">
      <w:pPr>
        <w:pStyle w:val="B1"/>
        <w:rPr>
          <w:iCs/>
          <w:lang w:val="en-GB"/>
        </w:rPr>
      </w:pPr>
      <w:r w:rsidRPr="00D0690E">
        <w:t>-</w:t>
      </w:r>
      <w:r w:rsidRPr="00D0690E">
        <w:tab/>
        <w:t>transmits a PUSCH without repetitions or transmits a first repetition of a PUSCH transmission</w:t>
      </w:r>
      <w:r>
        <w:rPr>
          <w:lang w:val="en-GB"/>
        </w:rPr>
        <w:t>,</w:t>
      </w:r>
    </w:p>
    <w:p w14:paraId="6E93CC3E" w14:textId="0B01C34B" w:rsidR="00D0690E" w:rsidRDefault="00D0690E" w:rsidP="00284348">
      <w:pPr>
        <w:rPr>
          <w:lang w:val="en-US" w:eastAsia="x-none"/>
        </w:rPr>
      </w:pPr>
      <w:r>
        <w:rPr>
          <w:lang w:val="en-US" w:eastAsia="x-none"/>
        </w:rPr>
        <w:t>the</w:t>
      </w:r>
      <w:r w:rsidRPr="004520A7">
        <w:rPr>
          <w:lang w:val="en-US" w:eastAsia="x-none"/>
        </w:rPr>
        <w:t xml:space="preserve"> </w:t>
      </w:r>
      <w:r w:rsidR="00284348" w:rsidRPr="004520A7">
        <w:rPr>
          <w:lang w:val="en-US" w:eastAsia="x-none"/>
        </w:rPr>
        <w:t xml:space="preserve">UE does not expect to detect a </w:t>
      </w:r>
      <w:r>
        <w:rPr>
          <w:lang w:val="en-US" w:eastAsia="x-none"/>
        </w:rPr>
        <w:t xml:space="preserve">first </w:t>
      </w:r>
      <w:r w:rsidR="00284348" w:rsidRPr="004520A7">
        <w:rPr>
          <w:lang w:val="en-US" w:eastAsia="x-none"/>
        </w:rPr>
        <w:t xml:space="preserve">DCI format scheduling a PDSCH </w:t>
      </w:r>
      <w:r w:rsidR="00284348">
        <w:rPr>
          <w:lang w:val="en-US" w:eastAsia="x-none"/>
        </w:rPr>
        <w:t xml:space="preserve">reception and indicating a </w:t>
      </w:r>
      <w:r w:rsidR="00284348" w:rsidRPr="004520A7">
        <w:rPr>
          <w:lang w:val="en-US" w:eastAsia="x-none"/>
        </w:rPr>
        <w:t xml:space="preserve">resource for </w:t>
      </w:r>
      <w:r w:rsidR="00284348">
        <w:rPr>
          <w:lang w:val="en-US" w:eastAsia="x-none"/>
        </w:rPr>
        <w:t>a PUCCH transmission with</w:t>
      </w:r>
      <w:r w:rsidR="00284348" w:rsidRPr="004520A7">
        <w:rPr>
          <w:lang w:val="en-US" w:eastAsia="x-none"/>
        </w:rPr>
        <w:t xml:space="preserve"> </w:t>
      </w:r>
      <w:r w:rsidR="00284348">
        <w:rPr>
          <w:lang w:val="en-US" w:eastAsia="x-none"/>
        </w:rPr>
        <w:t>corresponding HARQ-ACK information</w:t>
      </w:r>
      <w:r>
        <w:rPr>
          <w:lang w:val="en-US" w:eastAsia="x-none"/>
        </w:rPr>
        <w:t xml:space="preserve"> that would be included in a HARQ-ACK codebook</w:t>
      </w:r>
      <w:r w:rsidR="00284348" w:rsidRPr="004520A7">
        <w:rPr>
          <w:lang w:val="en-US" w:eastAsia="x-none"/>
        </w:rPr>
        <w:t xml:space="preserve"> in a slot if the </w:t>
      </w:r>
      <w:r w:rsidR="00284348">
        <w:rPr>
          <w:lang w:val="en-US" w:eastAsia="x-none"/>
        </w:rPr>
        <w:t xml:space="preserve">UE </w:t>
      </w:r>
    </w:p>
    <w:p w14:paraId="423A36E6" w14:textId="77777777" w:rsidR="00D0690E" w:rsidRPr="00D0690E" w:rsidRDefault="00D0690E" w:rsidP="00D0690E">
      <w:pPr>
        <w:pStyle w:val="B1"/>
      </w:pPr>
      <w:r w:rsidRPr="00D0690E">
        <w:t>-</w:t>
      </w:r>
      <w:r w:rsidRPr="00D0690E">
        <w:tab/>
        <w:t xml:space="preserve">previously detects a second DCI format scheduling the PUSCH transmission in the slot, and </w:t>
      </w:r>
    </w:p>
    <w:p w14:paraId="4E58E3DB" w14:textId="77777777" w:rsidR="00D0690E" w:rsidRPr="00D0690E" w:rsidRDefault="00D0690E" w:rsidP="00D0690E">
      <w:pPr>
        <w:pStyle w:val="B1"/>
        <w:rPr>
          <w:lang w:eastAsia="zh-CN"/>
        </w:rPr>
      </w:pPr>
      <w:r w:rsidRPr="00D0690E">
        <w:t>-</w:t>
      </w:r>
      <w:r w:rsidRPr="00D0690E">
        <w:tab/>
        <w:t xml:space="preserve">multiplexes the HARQ-ACK codebook in the PUSCH transmission in the slot. </w:t>
      </w:r>
    </w:p>
    <w:p w14:paraId="7F769E3F" w14:textId="77777777" w:rsidR="00D0690E" w:rsidRPr="00D0690E" w:rsidRDefault="00D0690E" w:rsidP="00D0690E">
      <w:r w:rsidRPr="00D0690E">
        <w:t xml:space="preserve">If a UE </w:t>
      </w:r>
    </w:p>
    <w:p w14:paraId="04A1C124" w14:textId="77777777" w:rsidR="00D0690E" w:rsidRPr="00D0690E" w:rsidRDefault="00D0690E" w:rsidP="00D0690E">
      <w:pPr>
        <w:pStyle w:val="B1"/>
        <w:rPr>
          <w:lang w:eastAsia="zh-CN"/>
        </w:rPr>
      </w:pPr>
      <w:r w:rsidRPr="00D0690E">
        <w:t>-</w:t>
      </w:r>
      <w:r w:rsidRPr="00D0690E">
        <w:tab/>
      </w:r>
      <w:r w:rsidRPr="00D0690E">
        <w:rPr>
          <w:lang w:eastAsia="zh-CN"/>
        </w:rPr>
        <w:t>is provided enable-Type1-HARQ-ACK-mux-forDLassignmentafterULgrant, or</w:t>
      </w:r>
      <w:r w:rsidRPr="00D0690E">
        <w:rPr>
          <w:iCs/>
          <w:lang w:eastAsia="zh-CN"/>
        </w:rPr>
        <w:t xml:space="preserve"> </w:t>
      </w:r>
      <w:r w:rsidRPr="00D0690E">
        <w:rPr>
          <w:lang w:eastAsia="zh-CN"/>
        </w:rPr>
        <w:t>enable-Type2-HARQ-ACK-mux-forDLassignmentafterULgrant</w:t>
      </w:r>
      <w:r w:rsidRPr="00D0690E">
        <w:rPr>
          <w:iCs/>
          <w:lang w:eastAsia="zh-CN"/>
        </w:rPr>
        <w:t xml:space="preserve">, or </w:t>
      </w:r>
      <w:r w:rsidRPr="00D0690E">
        <w:rPr>
          <w:lang w:eastAsia="zh-CN"/>
        </w:rPr>
        <w:t>enable-Type3-HARQ-ACK-mux-forDLassignmentafterULgrant</w:t>
      </w:r>
      <w:r w:rsidRPr="00D0690E">
        <w:rPr>
          <w:iCs/>
          <w:lang w:eastAsia="zh-CN"/>
        </w:rPr>
        <w:t>, and</w:t>
      </w:r>
      <w:r w:rsidRPr="00D0690E">
        <w:rPr>
          <w:lang w:eastAsia="zh-CN"/>
        </w:rPr>
        <w:t xml:space="preserve"> </w:t>
      </w:r>
    </w:p>
    <w:p w14:paraId="4C7B2512" w14:textId="77777777" w:rsidR="00D0690E" w:rsidRPr="00D0690E" w:rsidRDefault="00D0690E" w:rsidP="00D0690E">
      <w:pPr>
        <w:pStyle w:val="B1"/>
      </w:pPr>
      <w:r w:rsidRPr="00D0690E">
        <w:t>-</w:t>
      </w:r>
      <w:r w:rsidRPr="00D0690E">
        <w:tab/>
        <w:t xml:space="preserve">is not provided </w:t>
      </w:r>
      <w:r w:rsidRPr="00D0690E">
        <w:rPr>
          <w:iCs/>
        </w:rPr>
        <w:t>uci-MuxWithDiffPrio</w:t>
      </w:r>
      <w:r w:rsidRPr="00D0690E">
        <w:t>,</w:t>
      </w:r>
      <w:r w:rsidRPr="00D0690E">
        <w:rPr>
          <w:iCs/>
        </w:rPr>
        <w:t xml:space="preserve"> </w:t>
      </w:r>
      <w:r w:rsidRPr="00D0690E">
        <w:t>and</w:t>
      </w:r>
    </w:p>
    <w:p w14:paraId="2B49F6B6" w14:textId="77777777" w:rsidR="00D0690E" w:rsidRPr="00D0690E" w:rsidRDefault="00D0690E" w:rsidP="00D0690E">
      <w:pPr>
        <w:pStyle w:val="B1"/>
        <w:rPr>
          <w:iCs/>
        </w:rPr>
      </w:pPr>
      <w:r w:rsidRPr="00D0690E">
        <w:t>-</w:t>
      </w:r>
      <w:r w:rsidRPr="00D0690E">
        <w:tab/>
        <w:t>transmits a repetition of a PUSCH transmission other than a first repetition,</w:t>
      </w:r>
      <w:r w:rsidRPr="00D0690E">
        <w:rPr>
          <w:iCs/>
        </w:rPr>
        <w:t xml:space="preserve"> </w:t>
      </w:r>
    </w:p>
    <w:p w14:paraId="4F8A6F6B" w14:textId="77777777" w:rsidR="00D0690E" w:rsidRPr="00D0690E" w:rsidRDefault="00D0690E" w:rsidP="00D0690E">
      <w:pPr>
        <w:rPr>
          <w:lang w:val="en-US" w:eastAsia="x-none"/>
        </w:rPr>
      </w:pPr>
      <w:r w:rsidRPr="00D0690E">
        <w:rPr>
          <w:lang w:val="en-US" w:eastAsia="x-none"/>
        </w:rPr>
        <w:t>the UE includes, in a HARQ-ACK codebook, HARQ-ACK information associated with a PDSCH reception scheduled by a first DCI format indicating a resource for a PUCCH transmission in a slot, when</w:t>
      </w:r>
    </w:p>
    <w:p w14:paraId="0CE14AC5" w14:textId="77777777" w:rsidR="00D0690E" w:rsidRPr="00D0690E" w:rsidRDefault="00D0690E" w:rsidP="00D0690E">
      <w:pPr>
        <w:pStyle w:val="B1"/>
      </w:pPr>
      <w:r w:rsidRPr="00D0690E">
        <w:t>-</w:t>
      </w:r>
      <w:r w:rsidRPr="00D0690E">
        <w:tab/>
        <w:t xml:space="preserve">the UE detects a second DCI format, in a PDCCH </w:t>
      </w:r>
      <w:r w:rsidRPr="00D0690E">
        <w:rPr>
          <w:lang w:eastAsia="zh-CN"/>
        </w:rPr>
        <w:t>monitoring occasion</w:t>
      </w:r>
      <w:r w:rsidRPr="00D0690E">
        <w:t xml:space="preserve"> that starts before the PDCCH </w:t>
      </w:r>
      <w:r w:rsidRPr="00D0690E">
        <w:rPr>
          <w:lang w:eastAsia="zh-CN"/>
        </w:rPr>
        <w:t>monitoring occasion</w:t>
      </w:r>
      <w:r w:rsidRPr="00D0690E">
        <w:t xml:space="preserve"> for the first DCI format, scheduling a PUSCH transmission in the slot, and</w:t>
      </w:r>
    </w:p>
    <w:p w14:paraId="39FE1473" w14:textId="77777777" w:rsidR="00D0690E" w:rsidRPr="00D0690E" w:rsidRDefault="00D0690E" w:rsidP="00D0690E">
      <w:pPr>
        <w:pStyle w:val="B1"/>
      </w:pPr>
      <w:r w:rsidRPr="00D0690E">
        <w:t>-</w:t>
      </w:r>
      <w:r w:rsidRPr="00D0690E">
        <w:tab/>
        <w:t>the UE multiplexes the HARQ-ACK codebook in the PUSCH transmission in the slot, and</w:t>
      </w:r>
    </w:p>
    <w:p w14:paraId="6363520C" w14:textId="77777777" w:rsidR="00D0690E" w:rsidRPr="00D0690E" w:rsidRDefault="00D0690E" w:rsidP="00D0690E">
      <w:pPr>
        <w:pStyle w:val="B1"/>
        <w:rPr>
          <w:lang w:eastAsia="zh-CN"/>
        </w:rPr>
      </w:pPr>
      <w:r w:rsidRPr="00D0690E">
        <w:t>-</w:t>
      </w:r>
      <w:r w:rsidRPr="00D0690E">
        <w:tab/>
      </w:r>
      <w:r w:rsidRPr="00D0690E">
        <w:rPr>
          <w:lang w:eastAsia="zh-CN"/>
        </w:rPr>
        <w:t xml:space="preserve">the timeline conditions in clause 9.2.3 for PUCCH resource determination and the timeline conditions of </w:t>
      </w:r>
      <m:oMath>
        <m:sSubSup>
          <m:sSubSupPr>
            <m:ctrlPr>
              <w:rPr>
                <w:rFonts w:ascii="Cambria Math" w:eastAsia="MS PGothic" w:hAnsi="Cambria Math" w:cs="MS PGothic"/>
                <w:i/>
                <w:iCs/>
                <w:lang w:eastAsia="zh-TW"/>
              </w:rPr>
            </m:ctrlPr>
          </m:sSubSupPr>
          <m:e>
            <m:r>
              <w:rPr>
                <w:rFonts w:ascii="Cambria Math" w:hAnsi="Cambria Math"/>
                <w:lang w:val="en-AU"/>
              </w:rPr>
              <m:t>T</m:t>
            </m:r>
          </m:e>
          <m:sub>
            <m:r>
              <w:rPr>
                <w:rFonts w:ascii="Cambria Math" w:hAnsi="Cambria Math"/>
                <w:lang w:val="en-AU"/>
              </w:rPr>
              <m:t>proc,1</m:t>
            </m:r>
          </m:sub>
          <m:sup>
            <m:r>
              <w:rPr>
                <w:rFonts w:ascii="Cambria Math" w:hAnsi="Cambria Math"/>
                <w:lang w:val="en-AU"/>
              </w:rPr>
              <m:t>mux</m:t>
            </m:r>
          </m:sup>
        </m:sSubSup>
      </m:oMath>
      <w:r w:rsidRPr="00D0690E">
        <w:rPr>
          <w:iCs/>
          <w:lang w:eastAsia="zh-TW"/>
        </w:rPr>
        <w:t xml:space="preserve"> and </w:t>
      </w:r>
      <m:oMath>
        <m:sSubSup>
          <m:sSubSupPr>
            <m:ctrlPr>
              <w:rPr>
                <w:rFonts w:ascii="Cambria Math" w:eastAsia="MS PGothic" w:hAnsi="Cambria Math" w:cs="MS PGothic"/>
                <w:i/>
                <w:iCs/>
                <w:lang w:eastAsia="zh-TW"/>
              </w:rPr>
            </m:ctrlPr>
          </m:sSubSupPr>
          <m:e>
            <m:r>
              <w:rPr>
                <w:rFonts w:ascii="Cambria Math" w:hAnsi="Cambria Math"/>
                <w:lang w:val="en-AU"/>
              </w:rPr>
              <m:t>T</m:t>
            </m:r>
          </m:e>
          <m:sub>
            <m:r>
              <w:rPr>
                <w:rFonts w:ascii="Cambria Math" w:hAnsi="Cambria Math"/>
                <w:lang w:val="en-AU"/>
              </w:rPr>
              <m:t>proc,2</m:t>
            </m:r>
          </m:sub>
          <m:sup>
            <m:r>
              <w:rPr>
                <w:rFonts w:ascii="Cambria Math" w:hAnsi="Cambria Math"/>
                <w:lang w:val="en-AU"/>
              </w:rPr>
              <m:t>mux</m:t>
            </m:r>
          </m:sup>
        </m:sSubSup>
      </m:oMath>
      <w:r w:rsidRPr="00D0690E">
        <w:rPr>
          <w:iCs/>
          <w:lang w:eastAsia="zh-TW"/>
        </w:rPr>
        <w:t xml:space="preserve"> for multiplexing the HARQ-ACK information in the PUSCH, as described in clause 9.2.5, are satisfied, and</w:t>
      </w:r>
    </w:p>
    <w:p w14:paraId="744F8121" w14:textId="77777777" w:rsidR="00D0690E" w:rsidRPr="00D0690E" w:rsidRDefault="00D0690E" w:rsidP="00D0690E">
      <w:pPr>
        <w:pStyle w:val="B1"/>
      </w:pPr>
      <w:r w:rsidRPr="00D0690E">
        <w:t>-</w:t>
      </w:r>
      <w:r w:rsidRPr="00D0690E">
        <w:tab/>
        <w:t xml:space="preserve">the UE does not determine a different PUCCH resource in time domain for the PUCCH transmission with the HARQ-ACK information in the slot if the UE is not provided </w:t>
      </w:r>
      <w:r w:rsidRPr="00D0690E">
        <w:rPr>
          <w:i/>
          <w:iCs/>
        </w:rPr>
        <w:t>enable-different-PUCCHresource</w:t>
      </w:r>
      <w:r w:rsidRPr="00D0690E">
        <w:t xml:space="preserve">, and </w:t>
      </w:r>
    </w:p>
    <w:p w14:paraId="2919C8F9" w14:textId="77777777" w:rsidR="00D0690E" w:rsidRPr="00D0690E" w:rsidRDefault="00D0690E" w:rsidP="00D0690E">
      <w:pPr>
        <w:pStyle w:val="B1"/>
      </w:pPr>
      <w:r w:rsidRPr="00D0690E">
        <w:lastRenderedPageBreak/>
        <w:t>-</w:t>
      </w:r>
      <w:r w:rsidRPr="00D0690E">
        <w:tab/>
        <w:t xml:space="preserve">the UE does not determine a different size for the HARQ-ACK codebook after including the HARQ-ACK information if the UE is not provided </w:t>
      </w:r>
      <w:r w:rsidRPr="00D0690E">
        <w:rPr>
          <w:i/>
          <w:iCs/>
        </w:rPr>
        <w:t>enable-different-CBsize</w:t>
      </w:r>
      <w:r w:rsidRPr="00D0690E">
        <w:t xml:space="preserve">. </w:t>
      </w:r>
    </w:p>
    <w:p w14:paraId="52259B67" w14:textId="77777777" w:rsidR="002E1664" w:rsidRPr="002E1664" w:rsidRDefault="00284348" w:rsidP="002E1664">
      <w:pPr>
        <w:rPr>
          <w:lang w:val="en-US"/>
        </w:rPr>
      </w:pPr>
      <w:r w:rsidRPr="00D1265E">
        <w:t xml:space="preserve">If a UE multiplexes aperiodic CSI in a PUSCH and the UE would multiplex UCI that includes HARQ-ACK information in a PUCCH that overlaps with the PUSCH and the timing conditions for overlapping PUCCHs and PUSCHs </w:t>
      </w:r>
      <w:r w:rsidR="006F5F9E">
        <w:t>in clause</w:t>
      </w:r>
      <w:r w:rsidRPr="00D1265E">
        <w:t xml:space="preserve"> 9.</w:t>
      </w:r>
      <w:r w:rsidRPr="00101EFE">
        <w:t>2.5 are fulfilled, the UE multiplexes only the HARQ-ACK information in the PUSCH a</w:t>
      </w:r>
      <w:r>
        <w:t>nd does not transmit the PUCCH</w:t>
      </w:r>
      <w:r>
        <w:rPr>
          <w:lang w:val="en-US"/>
        </w:rPr>
        <w:t xml:space="preserve">. </w:t>
      </w:r>
    </w:p>
    <w:p w14:paraId="07C7A273" w14:textId="3FC39AC6" w:rsidR="002E1664" w:rsidRPr="002E1664" w:rsidRDefault="002E1664" w:rsidP="002E1664">
      <w:pPr>
        <w:rPr>
          <w:lang w:val="en-US"/>
        </w:rPr>
      </w:pPr>
      <w:r w:rsidRPr="002E1664">
        <w:rPr>
          <w:lang w:val="en-AU"/>
        </w:rPr>
        <w:t>When a</w:t>
      </w:r>
      <w:r>
        <w:rPr>
          <w:lang w:val="en-AU"/>
        </w:rPr>
        <w:t xml:space="preserve"> </w:t>
      </w:r>
      <w:r w:rsidRPr="002E1664">
        <w:rPr>
          <w:lang w:val="en-US"/>
        </w:rPr>
        <w:t>UE transmits multiple PUSCHs on respective serving cells in a slot with reference to slots for PUCCH transmissions</w:t>
      </w:r>
      <w:r>
        <w:rPr>
          <w:lang w:val="en-US"/>
        </w:rPr>
        <w:t xml:space="preserve"> </w:t>
      </w:r>
      <w:r w:rsidRPr="002E1664">
        <w:rPr>
          <w:lang w:val="en-US"/>
        </w:rPr>
        <w:t>and the multiple PUSCHs overlap with a PUCCH carrying UCI</w:t>
      </w:r>
      <w:r>
        <w:rPr>
          <w:lang w:val="en-US"/>
        </w:rPr>
        <w:t xml:space="preserve"> </w:t>
      </w:r>
      <w:r w:rsidRPr="002E1664">
        <w:rPr>
          <w:lang w:val="en-US"/>
        </w:rPr>
        <w:t>in the slot,</w:t>
      </w:r>
      <w:r>
        <w:rPr>
          <w:lang w:val="en-US"/>
        </w:rPr>
        <w:t xml:space="preserve"> </w:t>
      </w:r>
      <w:r w:rsidRPr="002E1664">
        <w:rPr>
          <w:lang w:val="en-US"/>
        </w:rPr>
        <w:t>the UE selects all the PUSCHs overlapping with the PUCCH</w:t>
      </w:r>
      <w:r>
        <w:rPr>
          <w:lang w:val="en-US"/>
        </w:rPr>
        <w:t xml:space="preserve"> </w:t>
      </w:r>
      <w:r w:rsidRPr="002E1664">
        <w:rPr>
          <w:lang w:val="en-US"/>
        </w:rPr>
        <w:t>as</w:t>
      </w:r>
      <w:r>
        <w:rPr>
          <w:lang w:val="en-US"/>
        </w:rPr>
        <w:t xml:space="preserve"> </w:t>
      </w:r>
      <w:r w:rsidRPr="002E1664">
        <w:rPr>
          <w:lang w:val="en-US"/>
        </w:rPr>
        <w:t>the candidate PUSCHs</w:t>
      </w:r>
      <w:r>
        <w:rPr>
          <w:lang w:val="en-US"/>
        </w:rPr>
        <w:t xml:space="preserve"> </w:t>
      </w:r>
      <w:r w:rsidRPr="002E1664">
        <w:rPr>
          <w:lang w:val="en-US"/>
        </w:rPr>
        <w:t>for</w:t>
      </w:r>
      <w:r>
        <w:rPr>
          <w:lang w:val="en-US"/>
        </w:rPr>
        <w:t xml:space="preserve"> </w:t>
      </w:r>
      <w:r w:rsidRPr="002E1664">
        <w:rPr>
          <w:lang w:val="en-US"/>
        </w:rPr>
        <w:t>UCI</w:t>
      </w:r>
      <w:r>
        <w:rPr>
          <w:lang w:val="en-US"/>
        </w:rPr>
        <w:t xml:space="preserve"> </w:t>
      </w:r>
      <w:r w:rsidRPr="002E1664">
        <w:rPr>
          <w:lang w:val="en-US"/>
        </w:rPr>
        <w:t>multiplexing</w:t>
      </w:r>
      <w:r>
        <w:rPr>
          <w:lang w:val="en-US"/>
        </w:rPr>
        <w:t xml:space="preserve"> </w:t>
      </w:r>
      <w:r w:rsidRPr="002E1664">
        <w:rPr>
          <w:lang w:val="en-US"/>
        </w:rPr>
        <w:t>within the slot.</w:t>
      </w:r>
    </w:p>
    <w:p w14:paraId="10AFDC10" w14:textId="39BDCE00" w:rsidR="002E1664" w:rsidRPr="002E1664" w:rsidRDefault="002E1664" w:rsidP="002E1664">
      <w:pPr>
        <w:rPr>
          <w:lang w:val="en-US" w:eastAsia="ja-JP"/>
        </w:rPr>
      </w:pPr>
      <w:r w:rsidRPr="002E1664">
        <w:rPr>
          <w:rFonts w:eastAsia="MS Mincho"/>
          <w:lang w:val="en-US" w:eastAsia="zh-CN"/>
        </w:rPr>
        <w:t>If a UE would transmit a single PUSCH scheduled by a DCI format that includes a DAI field on a serving cell in a slot with reference to slots for PUCCH transmissions without any other PUSCH that would be transmitted on any serving cell in the slot and the UE does not determine any PUCCH carrying HARQ-ACK information in the slot, or</w:t>
      </w:r>
      <w:r w:rsidRPr="002E1664">
        <w:rPr>
          <w:lang w:val="en-US" w:eastAsia="ja-JP"/>
        </w:rPr>
        <w:t xml:space="preserve"> if the UE indicates the corresponding capability </w:t>
      </w:r>
      <w:r w:rsidR="004B3D37">
        <w:rPr>
          <w:i/>
          <w:iCs/>
          <w:lang w:val="en-US" w:eastAsia="ja-JP"/>
        </w:rPr>
        <w:t>mux</w:t>
      </w:r>
      <w:r w:rsidRPr="002E1664">
        <w:rPr>
          <w:i/>
          <w:iCs/>
          <w:lang w:val="en-US" w:eastAsia="ja-JP"/>
        </w:rPr>
        <w:t>-HARQ-ACK-withoutPUCCH-onPUSCH</w:t>
      </w:r>
      <w:r w:rsidRPr="002E1664">
        <w:rPr>
          <w:lang w:val="en-US" w:eastAsia="ja-JP"/>
        </w:rPr>
        <w:t xml:space="preserve"> and the</w:t>
      </w:r>
      <w:r w:rsidRPr="002E1664">
        <w:rPr>
          <w:lang w:val="en-AU" w:eastAsia="ja-JP"/>
        </w:rPr>
        <w:t> </w:t>
      </w:r>
      <w:r w:rsidRPr="002E1664">
        <w:rPr>
          <w:lang w:val="en-US" w:eastAsia="ja-JP"/>
        </w:rPr>
        <w:t>UE transmits multiple PUSCHs on respective serving cells in a slot with reference to slots for PUCCH transmissions and the UE does not determine any PUCCH carrying HARQ-ACK information</w:t>
      </w:r>
      <w:r w:rsidRPr="002E1664">
        <w:rPr>
          <w:lang w:val="en-US" w:eastAsia="zh-CN"/>
        </w:rPr>
        <w:t> </w:t>
      </w:r>
      <w:r w:rsidRPr="002E1664">
        <w:rPr>
          <w:lang w:val="en-US" w:eastAsia="ja-JP"/>
        </w:rPr>
        <w:t xml:space="preserve">in the slot and at least one of the multiple PUSCHs is scheduled by a DCI format that includes a DAI field, the UE selects the single PUSCH or all the multiple PUSCHs in the slot as the candidate PUSCHs for HARQ-ACK multiplexing within the slot except for any PUSCH among the multiple PUSCHs that is scheduled by a DCI format that includes a DAI field </w:t>
      </w:r>
      <w:r w:rsidRPr="002E1664">
        <w:rPr>
          <w:rFonts w:eastAsia="MS Mincho"/>
          <w:lang w:val="en-US" w:eastAsia="zh-CN"/>
        </w:rPr>
        <w:t xml:space="preserve">that is equal to 4 in case the UE is configured with </w:t>
      </w:r>
      <w:r w:rsidRPr="002E1664">
        <w:rPr>
          <w:rFonts w:eastAsia="MS Mincho"/>
          <w:i/>
          <w:iCs/>
          <w:lang w:val="en-US" w:eastAsia="zh-CN"/>
        </w:rPr>
        <w:t>pdsch-HARQ-ACK-Codebook = dynamic</w:t>
      </w:r>
      <w:r w:rsidRPr="002E1664">
        <w:rPr>
          <w:rFonts w:eastAsia="MS Mincho"/>
          <w:lang w:val="en-US" w:eastAsia="zh-CN"/>
        </w:rPr>
        <w:t xml:space="preserve"> or with </w:t>
      </w:r>
      <w:r w:rsidRPr="002E1664">
        <w:rPr>
          <w:rFonts w:eastAsia="MS Mincho"/>
          <w:i/>
          <w:iCs/>
          <w:lang w:val="en-US" w:eastAsia="zh-CN"/>
        </w:rPr>
        <w:t>pdsch-HARQ-ACK-Codebook-r16</w:t>
      </w:r>
      <w:r w:rsidRPr="002E1664">
        <w:rPr>
          <w:rFonts w:eastAsia="MS Mincho"/>
          <w:lang w:val="en-US" w:eastAsia="zh-CN"/>
        </w:rPr>
        <w:t xml:space="preserve">, or is equal to 0 in case the UE is configured with </w:t>
      </w:r>
      <w:r w:rsidRPr="002E1664">
        <w:rPr>
          <w:rFonts w:eastAsia="MS Mincho"/>
          <w:i/>
          <w:iCs/>
          <w:lang w:val="en-US" w:eastAsia="zh-CN"/>
        </w:rPr>
        <w:t>pdsch-HARQ-ACK-Codebook = semi-static</w:t>
      </w:r>
      <w:r w:rsidRPr="002E1664">
        <w:rPr>
          <w:lang w:val="en-US" w:eastAsia="ja-JP"/>
        </w:rPr>
        <w:t>.</w:t>
      </w:r>
    </w:p>
    <w:p w14:paraId="11D0603A" w14:textId="5383308D" w:rsidR="00284348" w:rsidRPr="002E1664" w:rsidRDefault="002E1664" w:rsidP="00284348">
      <w:pPr>
        <w:rPr>
          <w:rFonts w:eastAsia="Times New Roman"/>
          <w:lang w:val="en-US" w:eastAsia="ja-JP"/>
        </w:rPr>
      </w:pPr>
      <w:r w:rsidRPr="002E1664">
        <w:rPr>
          <w:lang w:val="en-US" w:eastAsia="ja-JP"/>
        </w:rPr>
        <w:t>The UE determines the PUSCH for UCI multiplexing by applying the following procedure on the candidate PUSCHs as described in</w:t>
      </w:r>
      <w:r>
        <w:rPr>
          <w:lang w:val="en-US" w:eastAsia="ja-JP"/>
        </w:rPr>
        <w:t xml:space="preserve"> </w:t>
      </w:r>
      <w:r w:rsidRPr="002E1664">
        <w:rPr>
          <w:lang w:val="en-US" w:eastAsia="ja-JP"/>
        </w:rPr>
        <w:t>this clause:</w:t>
      </w:r>
    </w:p>
    <w:p w14:paraId="788FA18F" w14:textId="2582CC86" w:rsidR="00E60028" w:rsidRPr="00E60028" w:rsidRDefault="00E60028" w:rsidP="00E60028">
      <w:pPr>
        <w:pStyle w:val="B1"/>
      </w:pPr>
      <w:r w:rsidRPr="00E60028">
        <w:t>-</w:t>
      </w:r>
      <w:r w:rsidRPr="00E60028">
        <w:tab/>
        <w:t xml:space="preserve">If the UE is provided </w:t>
      </w:r>
      <w:r w:rsidRPr="00E60028">
        <w:rPr>
          <w:i/>
          <w:iCs/>
        </w:rPr>
        <w:t>enableSTx2PofmDCI</w:t>
      </w:r>
      <w:r w:rsidRPr="00E60028">
        <w:t xml:space="preserve">, is provided </w:t>
      </w:r>
      <w:r w:rsidRPr="00E60028">
        <w:rPr>
          <w:i/>
          <w:iCs/>
        </w:rPr>
        <w:t>ackNackFeedbackMode</w:t>
      </w:r>
      <w:r w:rsidRPr="00E60028">
        <w:t xml:space="preserve"> = </w:t>
      </w:r>
      <w:r w:rsidRPr="00E60028">
        <w:rPr>
          <w:i/>
          <w:iCs/>
        </w:rPr>
        <w:t>separate</w:t>
      </w:r>
      <w:r w:rsidRPr="00E60028">
        <w:t xml:space="preserve">, and would multiplex UCI that includes HARQ-ACK information in a PUSCH, candidate PUSCHs for the UCI multiplexing are the ones associated with same </w:t>
      </w:r>
      <w:r w:rsidR="003A4EE7" w:rsidRPr="00BD387A">
        <w:rPr>
          <w:rFonts w:hint="eastAsia"/>
          <w:i/>
          <w:lang w:val="en-US" w:eastAsia="zh-CN"/>
        </w:rPr>
        <w:t>coresetPoolIndex</w:t>
      </w:r>
      <w:r w:rsidR="003A4EE7" w:rsidRPr="00BD387A">
        <w:rPr>
          <w:rFonts w:hint="eastAsia"/>
          <w:lang w:val="en-US" w:eastAsia="zh-CN"/>
        </w:rPr>
        <w:t xml:space="preserve"> value</w:t>
      </w:r>
      <w:r w:rsidRPr="00E60028">
        <w:rPr>
          <w:rFonts w:cs="Calibri"/>
        </w:rPr>
        <w:t xml:space="preserve"> as </w:t>
      </w:r>
      <w:r w:rsidRPr="00E60028">
        <w:t xml:space="preserve">for a PUCCH transmission with the HARQ-ACK information. </w:t>
      </w:r>
    </w:p>
    <w:p w14:paraId="02083A23" w14:textId="1E351BF8" w:rsidR="007C4048" w:rsidRDefault="002E1664" w:rsidP="002E1664">
      <w:pPr>
        <w:pStyle w:val="B1"/>
      </w:pPr>
      <w:r>
        <w:t>-</w:t>
      </w:r>
      <w:r>
        <w:tab/>
      </w:r>
      <w:r w:rsidR="007C4048" w:rsidRPr="00E9040D">
        <w:t xml:space="preserve">If </w:t>
      </w:r>
      <w:r>
        <w:rPr>
          <w:lang w:val="en-GB"/>
        </w:rPr>
        <w:t>the candidate</w:t>
      </w:r>
      <w:r w:rsidR="007C4048">
        <w:t xml:space="preserve"> PUSCHs that include first PUSCHs that are </w:t>
      </w:r>
      <w:r w:rsidR="00597350">
        <w:t>scheduled by</w:t>
      </w:r>
      <w:r w:rsidR="007C4048">
        <w:t xml:space="preserve"> DCI format</w:t>
      </w:r>
      <w:r w:rsidR="00FC04CB">
        <w:t>s</w:t>
      </w:r>
      <w:r w:rsidR="007C4048">
        <w:t xml:space="preserve"> and second PUSCHs </w:t>
      </w:r>
      <w:r w:rsidR="007C4048" w:rsidRPr="009D5B6D">
        <w:t xml:space="preserve">configured by </w:t>
      </w:r>
      <w:r w:rsidR="007C4048">
        <w:t xml:space="preserve">respective </w:t>
      </w:r>
      <w:r w:rsidR="007C4048" w:rsidRPr="009D5B6D">
        <w:rPr>
          <w:i/>
          <w:iCs/>
        </w:rPr>
        <w:t>ConfiguredGrantConfig</w:t>
      </w:r>
      <w:r w:rsidR="00832C7D" w:rsidRPr="00162CCB">
        <w:rPr>
          <w:iCs/>
        </w:rPr>
        <w:t xml:space="preserve"> </w:t>
      </w:r>
      <w:r w:rsidR="00832C7D" w:rsidRPr="00162CCB">
        <w:t>or</w:t>
      </w:r>
      <w:r w:rsidR="00832C7D" w:rsidRPr="00162CCB">
        <w:rPr>
          <w:i/>
          <w:iCs/>
        </w:rPr>
        <w:t xml:space="preserve"> semiPersistentOnPUSCH</w:t>
      </w:r>
      <w:r w:rsidR="007C4048">
        <w:t>, and the UE would multiplex UCI</w:t>
      </w:r>
      <w:r w:rsidR="007C4048" w:rsidRPr="00E9040D">
        <w:rPr>
          <w:rFonts w:hint="eastAsia"/>
        </w:rPr>
        <w:t xml:space="preserve"> </w:t>
      </w:r>
      <w:r w:rsidR="007C4048">
        <w:t xml:space="preserve">in one of the </w:t>
      </w:r>
      <w:r w:rsidR="00AC22FB">
        <w:rPr>
          <w:lang w:val="en-GB"/>
        </w:rPr>
        <w:t>candidate</w:t>
      </w:r>
      <w:r w:rsidR="007C4048">
        <w:t xml:space="preserve"> </w:t>
      </w:r>
      <w:r w:rsidR="007C4048" w:rsidRPr="00E9040D">
        <w:rPr>
          <w:rFonts w:hint="eastAsia"/>
        </w:rPr>
        <w:t>PUSCH</w:t>
      </w:r>
      <w:r w:rsidR="007C4048">
        <w:t xml:space="preserve">s, and the </w:t>
      </w:r>
      <w:r w:rsidR="00AC22FB">
        <w:rPr>
          <w:lang w:val="en-GB"/>
        </w:rPr>
        <w:t>candidate</w:t>
      </w:r>
      <w:r w:rsidR="007C4048">
        <w:t xml:space="preserve"> PUSCHs fulfil the conditions </w:t>
      </w:r>
      <w:r w:rsidR="006F5F9E">
        <w:t>in clause</w:t>
      </w:r>
      <w:r w:rsidR="007C4048">
        <w:t xml:space="preserve"> 9.2.5 for UCI multiplexing, the UE multiplexes the UCI</w:t>
      </w:r>
      <w:r w:rsidR="007C4048" w:rsidRPr="00E9040D">
        <w:t xml:space="preserve"> </w:t>
      </w:r>
      <w:r w:rsidR="007C4048">
        <w:t xml:space="preserve">in a PUSCH from the first PUSCHs. </w:t>
      </w:r>
    </w:p>
    <w:p w14:paraId="10AAF283" w14:textId="7605B506" w:rsidR="00597350" w:rsidRDefault="002E1664" w:rsidP="002E1664">
      <w:pPr>
        <w:pStyle w:val="B1"/>
        <w:rPr>
          <w:lang w:val="en-AU"/>
        </w:rPr>
      </w:pPr>
      <w:r>
        <w:t>-</w:t>
      </w:r>
      <w:r>
        <w:tab/>
      </w:r>
      <w:r w:rsidR="00D508B4" w:rsidRPr="00E9040D">
        <w:t xml:space="preserve">If </w:t>
      </w:r>
      <w:r w:rsidR="00D508B4">
        <w:t>the UE would multiplex UCI</w:t>
      </w:r>
      <w:r w:rsidR="00D508B4" w:rsidRPr="00E9040D">
        <w:rPr>
          <w:rFonts w:hint="eastAsia"/>
        </w:rPr>
        <w:t xml:space="preserve"> </w:t>
      </w:r>
      <w:r w:rsidR="00D508B4">
        <w:t xml:space="preserve">in one of the </w:t>
      </w:r>
      <w:r w:rsidR="00AC22FB">
        <w:rPr>
          <w:lang w:val="en-GB"/>
        </w:rPr>
        <w:t>candidate</w:t>
      </w:r>
      <w:r w:rsidR="00D508B4">
        <w:t xml:space="preserve"> </w:t>
      </w:r>
      <w:r w:rsidR="00D508B4" w:rsidRPr="00E9040D">
        <w:rPr>
          <w:rFonts w:hint="eastAsia"/>
        </w:rPr>
        <w:t>PUSCH</w:t>
      </w:r>
      <w:r w:rsidR="00D508B4">
        <w:t>s</w:t>
      </w:r>
      <w:r w:rsidR="00D508B4" w:rsidRPr="00E9040D">
        <w:t xml:space="preserve"> </w:t>
      </w:r>
      <w:r w:rsidR="00D508B4">
        <w:t xml:space="preserve">and the UE does not multiplex aperiodic CSI in any of the </w:t>
      </w:r>
      <w:r w:rsidR="00AC22FB">
        <w:rPr>
          <w:lang w:val="en-GB"/>
        </w:rPr>
        <w:t>candidate</w:t>
      </w:r>
      <w:r w:rsidR="00D508B4">
        <w:t xml:space="preserve"> PUSCHs, the UE multiplexes the UCI</w:t>
      </w:r>
      <w:r w:rsidR="00D508B4" w:rsidRPr="00E9040D">
        <w:t xml:space="preserve"> </w:t>
      </w:r>
      <w:r w:rsidR="00D508B4">
        <w:t xml:space="preserve">in </w:t>
      </w:r>
      <w:r w:rsidR="007C4048">
        <w:t xml:space="preserve">a </w:t>
      </w:r>
      <w:r w:rsidR="00D508B4">
        <w:t xml:space="preserve">PUSCH </w:t>
      </w:r>
      <w:r w:rsidR="00D508B4" w:rsidRPr="00E9040D">
        <w:t xml:space="preserve">of the serving cell with </w:t>
      </w:r>
      <w:r w:rsidR="00D508B4">
        <w:t xml:space="preserve">the </w:t>
      </w:r>
      <w:r w:rsidR="00D508B4" w:rsidRPr="00E9040D">
        <w:t xml:space="preserve">smallest </w:t>
      </w:r>
      <w:r w:rsidR="00D508B4" w:rsidRPr="00E9040D">
        <w:rPr>
          <w:i/>
        </w:rPr>
        <w:t>ServCellIndex</w:t>
      </w:r>
      <w:r w:rsidR="007C4048">
        <w:rPr>
          <w:i/>
        </w:rPr>
        <w:t xml:space="preserve"> </w:t>
      </w:r>
      <w:r w:rsidR="007C4048">
        <w:t xml:space="preserve">subject to the conditions </w:t>
      </w:r>
      <w:r w:rsidR="006F5F9E">
        <w:t>in clause</w:t>
      </w:r>
      <w:r w:rsidR="007C4048">
        <w:t xml:space="preserve"> 9.2.5 for UCI multiplexing being fulfilled</w:t>
      </w:r>
      <w:r w:rsidR="007C4048" w:rsidRPr="00E9040D">
        <w:rPr>
          <w:rFonts w:hint="eastAsia"/>
          <w:lang w:val="en-AU"/>
        </w:rPr>
        <w:t>.</w:t>
      </w:r>
      <w:r w:rsidR="007C4048">
        <w:rPr>
          <w:lang w:val="en-AU"/>
        </w:rPr>
        <w:t xml:space="preserve"> If the UE transmits more than one PUSCHs in the slot on the </w:t>
      </w:r>
      <w:r w:rsidR="007C4048">
        <w:t xml:space="preserve">serving cell </w:t>
      </w:r>
      <w:r w:rsidR="007C4048" w:rsidRPr="00E9040D">
        <w:t xml:space="preserve">with </w:t>
      </w:r>
      <w:r w:rsidR="007C4048">
        <w:t xml:space="preserve">the </w:t>
      </w:r>
      <w:r w:rsidR="007C4048" w:rsidRPr="00E9040D">
        <w:t xml:space="preserve">smallest </w:t>
      </w:r>
      <w:r w:rsidR="007C4048" w:rsidRPr="00E9040D">
        <w:rPr>
          <w:i/>
        </w:rPr>
        <w:t>ServCellIndex</w:t>
      </w:r>
      <w:r w:rsidR="007C4048">
        <w:t xml:space="preserve"> that fulfil the conditions </w:t>
      </w:r>
      <w:r w:rsidR="006F5F9E">
        <w:t>in clause</w:t>
      </w:r>
      <w:r w:rsidR="007C4048">
        <w:t xml:space="preserve"> 9.2.5 for UCI multiplexing, the UE multiplexes the UCI in the</w:t>
      </w:r>
      <w:r w:rsidR="00597350">
        <w:t xml:space="preserve"> earliest</w:t>
      </w:r>
      <w:r w:rsidR="007C4048">
        <w:t xml:space="preserve"> PUSCH that the UE transmits in the slot</w:t>
      </w:r>
      <w:r w:rsidR="00D508B4" w:rsidRPr="00E9040D">
        <w:rPr>
          <w:rFonts w:hint="eastAsia"/>
          <w:lang w:val="en-AU"/>
        </w:rPr>
        <w:t>.</w:t>
      </w:r>
      <w:r w:rsidR="00597350" w:rsidRPr="00597350">
        <w:rPr>
          <w:lang w:val="en-AU"/>
        </w:rPr>
        <w:t xml:space="preserve"> </w:t>
      </w:r>
      <w:r w:rsidR="00E60028" w:rsidRPr="00E9040D">
        <w:t xml:space="preserve">If </w:t>
      </w:r>
      <w:r w:rsidR="00E60028">
        <w:t xml:space="preserve">the </w:t>
      </w:r>
      <w:r w:rsidR="00E60028">
        <w:rPr>
          <w:lang w:val="en-US"/>
        </w:rPr>
        <w:t xml:space="preserve">UE is provided </w:t>
      </w:r>
      <w:r w:rsidR="00E60028" w:rsidRPr="00BF599C">
        <w:rPr>
          <w:i/>
          <w:iCs/>
          <w:lang w:val="en-US"/>
        </w:rPr>
        <w:t>enableSTx2P</w:t>
      </w:r>
      <w:r w:rsidR="00E60028">
        <w:rPr>
          <w:i/>
          <w:iCs/>
          <w:lang w:val="en-US"/>
        </w:rPr>
        <w:t>ofmDCI</w:t>
      </w:r>
      <w:r w:rsidR="00E60028">
        <w:rPr>
          <w:lang w:val="en-US"/>
        </w:rPr>
        <w:t xml:space="preserve">, is provided </w:t>
      </w:r>
      <w:r w:rsidR="00E60028">
        <w:rPr>
          <w:i/>
          <w:iCs/>
          <w:lang w:val="en-US"/>
        </w:rPr>
        <w:t>ackNack</w:t>
      </w:r>
      <w:r w:rsidR="00E60028" w:rsidRPr="0062743C">
        <w:rPr>
          <w:i/>
          <w:iCs/>
        </w:rPr>
        <w:t>FeedbackMode</w:t>
      </w:r>
      <w:r w:rsidR="00E60028">
        <w:t xml:space="preserve"> = </w:t>
      </w:r>
      <w:r w:rsidR="00E60028">
        <w:rPr>
          <w:i/>
          <w:iCs/>
          <w:lang w:val="en-US"/>
        </w:rPr>
        <w:t>joint</w:t>
      </w:r>
      <w:r w:rsidR="00E60028">
        <w:rPr>
          <w:lang w:val="en-US"/>
        </w:rPr>
        <w:t xml:space="preserve"> or the UCI does not include HARQ-ACK information, and the UE would transmit two PUSCHs in the slot that start at a same symbol on the serving cell with </w:t>
      </w:r>
      <w:r w:rsidR="00E60028" w:rsidRPr="00E9040D">
        <w:t xml:space="preserve">smallest </w:t>
      </w:r>
      <w:r w:rsidR="00E60028" w:rsidRPr="00E9040D">
        <w:rPr>
          <w:i/>
        </w:rPr>
        <w:t>ServCellIndex</w:t>
      </w:r>
      <w:r w:rsidR="00E60028">
        <w:t xml:space="preserve"> and fulfil the conditions in clause 9.2.5 for UCI multiplexing, the UE multiplexes the UCI in the PUSCH from the two PUSCHs associated with </w:t>
      </w:r>
      <w:r w:rsidR="00E60028">
        <w:rPr>
          <w:lang w:val="en-US"/>
        </w:rPr>
        <w:t xml:space="preserve">CORESETs that the UE </w:t>
      </w:r>
      <w:r w:rsidR="00E60028">
        <w:rPr>
          <w:lang w:eastAsia="ko-KR"/>
        </w:rPr>
        <w:t xml:space="preserve">is </w:t>
      </w:r>
      <w:r w:rsidR="00E60028" w:rsidRPr="00832E06">
        <w:rPr>
          <w:lang w:eastAsia="ko-KR"/>
        </w:rPr>
        <w:t xml:space="preserve">not provided </w:t>
      </w:r>
      <w:r w:rsidR="00E60028">
        <w:rPr>
          <w:rFonts w:cstheme="minorHAnsi"/>
          <w:i/>
          <w:lang w:val="en-US"/>
        </w:rPr>
        <w:t>coreset</w:t>
      </w:r>
      <w:r w:rsidR="00E60028" w:rsidRPr="00832E06">
        <w:rPr>
          <w:rFonts w:cstheme="minorHAnsi"/>
          <w:i/>
        </w:rPr>
        <w:t>PoolIndex</w:t>
      </w:r>
      <w:r w:rsidR="00E60028" w:rsidRPr="00832E06">
        <w:rPr>
          <w:rFonts w:cstheme="minorHAnsi"/>
        </w:rPr>
        <w:t xml:space="preserve"> or is provided </w:t>
      </w:r>
      <w:r w:rsidR="00E60028">
        <w:rPr>
          <w:rFonts w:cstheme="minorHAnsi"/>
          <w:i/>
          <w:lang w:val="en-US"/>
        </w:rPr>
        <w:t>coreset</w:t>
      </w:r>
      <w:r w:rsidR="00E60028" w:rsidRPr="00832E06">
        <w:rPr>
          <w:rFonts w:cstheme="minorHAnsi"/>
          <w:i/>
        </w:rPr>
        <w:t>PoolIndex</w:t>
      </w:r>
      <w:r w:rsidR="00E60028" w:rsidRPr="00832E06">
        <w:rPr>
          <w:rFonts w:cstheme="minorHAnsi"/>
        </w:rPr>
        <w:t xml:space="preserve"> with a value of 0</w:t>
      </w:r>
      <w:r w:rsidR="00E60028" w:rsidRPr="00E9040D">
        <w:rPr>
          <w:rFonts w:hint="eastAsia"/>
          <w:lang w:val="en-AU"/>
        </w:rPr>
        <w:t>.</w:t>
      </w:r>
    </w:p>
    <w:p w14:paraId="09263C00" w14:textId="37F94210" w:rsidR="00597350" w:rsidRPr="00FB172B" w:rsidRDefault="00597350" w:rsidP="00597350">
      <w:pPr>
        <w:rPr>
          <w:lang w:val="en-AU"/>
        </w:rPr>
      </w:pPr>
      <w:r>
        <w:rPr>
          <w:lang w:val="en-AU"/>
        </w:rPr>
        <w:t xml:space="preserve">If a UE transmits a PUSCH over </w:t>
      </w:r>
      <w:r w:rsidR="003A3BBF">
        <w:rPr>
          <w:lang w:val="en-AU"/>
        </w:rPr>
        <w:t>one or more</w:t>
      </w:r>
      <w:r>
        <w:rPr>
          <w:lang w:val="en-AU"/>
        </w:rPr>
        <w:t xml:space="preserve"> slots </w:t>
      </w:r>
      <w:r w:rsidR="007F3A24" w:rsidRPr="00D80605">
        <w:rPr>
          <w:szCs w:val="24"/>
          <w:lang w:val="en-US" w:eastAsia="zh-CN"/>
        </w:rPr>
        <w:t xml:space="preserve">or </w:t>
      </w:r>
      <w:r w:rsidR="007F3A24" w:rsidRPr="00D80605">
        <w:rPr>
          <w:rFonts w:hAnsi="Cambria Math"/>
          <w:lang w:val="en-US"/>
        </w:rPr>
        <w:t xml:space="preserve">multiple PUSCHs </w:t>
      </w:r>
      <w:r w:rsidR="007F3A24" w:rsidRPr="00D80605">
        <w:rPr>
          <w:szCs w:val="24"/>
          <w:lang w:val="en-US" w:eastAsia="zh-CN"/>
        </w:rPr>
        <w:t xml:space="preserve">over </w:t>
      </w:r>
      <w:r w:rsidR="003A3BBF">
        <w:rPr>
          <w:lang w:val="en-AU"/>
        </w:rPr>
        <w:t>one or more</w:t>
      </w:r>
      <w:r w:rsidR="007F3A24" w:rsidRPr="00D80605">
        <w:rPr>
          <w:szCs w:val="24"/>
          <w:lang w:val="en-US" w:eastAsia="zh-CN"/>
        </w:rPr>
        <w:t xml:space="preserve"> slots</w:t>
      </w:r>
      <w:r w:rsidR="007F3A24" w:rsidRPr="00D80605">
        <w:rPr>
          <w:rFonts w:hAnsi="Cambria Math"/>
          <w:lang w:val="en-US"/>
        </w:rPr>
        <w:t xml:space="preserve"> that are scheduled by a </w:t>
      </w:r>
      <w:r w:rsidR="007F3A24" w:rsidRPr="00D80605">
        <w:rPr>
          <w:rFonts w:ascii="Times" w:hAnsi="Times"/>
        </w:rPr>
        <w:t>DCI format,</w:t>
      </w:r>
      <w:r w:rsidR="007F3A24">
        <w:rPr>
          <w:rFonts w:ascii="Times" w:hAnsi="Times"/>
        </w:rPr>
        <w:t xml:space="preserve"> </w:t>
      </w:r>
      <w:r>
        <w:rPr>
          <w:lang w:val="en-AU"/>
        </w:rPr>
        <w:t xml:space="preserve">and the UE would transmit a PUCCH with HARQ-ACK </w:t>
      </w:r>
      <w:r w:rsidR="00617287">
        <w:rPr>
          <w:lang w:val="en-AU"/>
        </w:rPr>
        <w:t xml:space="preserve">and/or CSI </w:t>
      </w:r>
      <w:r>
        <w:rPr>
          <w:lang w:val="en-AU"/>
        </w:rPr>
        <w:t>information over a single slot that overlaps with the PUSCH transmission in</w:t>
      </w:r>
      <w:r w:rsidR="003A3BBF">
        <w:rPr>
          <w:lang w:val="en-AU"/>
        </w:rPr>
        <w:t xml:space="preserve"> the</w:t>
      </w:r>
      <w:r>
        <w:rPr>
          <w:lang w:val="en-AU"/>
        </w:rPr>
        <w:t xml:space="preserve"> one or more slots, </w:t>
      </w:r>
      <w:r w:rsidRPr="0088187E">
        <w:rPr>
          <w:lang w:val="en-US"/>
        </w:rPr>
        <w:t>and the P</w:t>
      </w:r>
      <w:r>
        <w:rPr>
          <w:lang w:val="en-US"/>
        </w:rPr>
        <w:t xml:space="preserve">USCH </w:t>
      </w:r>
      <w:r w:rsidRPr="00FB172B">
        <w:rPr>
          <w:lang w:val="en-US"/>
        </w:rPr>
        <w:t>transmission</w:t>
      </w:r>
      <w:r w:rsidRPr="00D74329">
        <w:rPr>
          <w:lang w:val="en-US"/>
        </w:rPr>
        <w:t xml:space="preserve"> </w:t>
      </w:r>
      <w:r w:rsidRPr="00B71432">
        <w:rPr>
          <w:lang w:val="en-US"/>
        </w:rPr>
        <w:t>in the one or more slot</w:t>
      </w:r>
      <w:r w:rsidRPr="00B045BE">
        <w:rPr>
          <w:lang w:val="en-US"/>
        </w:rPr>
        <w:t>s</w:t>
      </w:r>
      <w:r w:rsidRPr="00741EB0">
        <w:rPr>
          <w:lang w:val="en-US"/>
        </w:rPr>
        <w:t xml:space="preserve"> fulfill</w:t>
      </w:r>
      <w:r w:rsidRPr="0057207C">
        <w:rPr>
          <w:lang w:val="en-US"/>
        </w:rPr>
        <w:t>s the condi</w:t>
      </w:r>
      <w:r w:rsidRPr="004639E6">
        <w:rPr>
          <w:lang w:val="en-US"/>
        </w:rPr>
        <w:t xml:space="preserve">tions </w:t>
      </w:r>
      <w:r w:rsidR="006F5F9E">
        <w:rPr>
          <w:lang w:val="en-US"/>
        </w:rPr>
        <w:t>in clause</w:t>
      </w:r>
      <w:r w:rsidRPr="004639E6">
        <w:rPr>
          <w:lang w:val="en-US"/>
        </w:rPr>
        <w:t xml:space="preserve"> 9.2.5 for </w:t>
      </w:r>
      <w:r w:rsidRPr="00C66BB2">
        <w:rPr>
          <w:lang w:val="en-US"/>
        </w:rPr>
        <w:t>mu</w:t>
      </w:r>
      <w:r w:rsidRPr="00687C05">
        <w:rPr>
          <w:lang w:val="en-US"/>
        </w:rPr>
        <w:t xml:space="preserve">ltiplexing the </w:t>
      </w:r>
      <w:r w:rsidRPr="00A809F4">
        <w:rPr>
          <w:lang w:val="en-US"/>
        </w:rPr>
        <w:t>HARQ-ACK</w:t>
      </w:r>
      <w:r w:rsidRPr="002D5E0E">
        <w:rPr>
          <w:lang w:val="en-US"/>
        </w:rPr>
        <w:t xml:space="preserve"> </w:t>
      </w:r>
      <w:r w:rsidR="00617287">
        <w:rPr>
          <w:lang w:val="en-AU"/>
        </w:rPr>
        <w:t xml:space="preserve">and/or CSI </w:t>
      </w:r>
      <w:r w:rsidRPr="002D5E0E">
        <w:rPr>
          <w:lang w:val="en-US"/>
        </w:rPr>
        <w:t>information</w:t>
      </w:r>
      <w:r w:rsidRPr="00B55A94">
        <w:rPr>
          <w:lang w:val="en-US"/>
        </w:rPr>
        <w:t xml:space="preserve">, </w:t>
      </w:r>
      <w:r w:rsidRPr="00FD5A6F">
        <w:rPr>
          <w:lang w:val="en-AU"/>
        </w:rPr>
        <w:t xml:space="preserve">the UE multiplexes </w:t>
      </w:r>
      <w:r w:rsidRPr="008A50EB">
        <w:rPr>
          <w:lang w:val="en-AU"/>
        </w:rPr>
        <w:t xml:space="preserve">the HARQ-ACK </w:t>
      </w:r>
      <w:r w:rsidR="00617287">
        <w:rPr>
          <w:lang w:val="en-AU"/>
        </w:rPr>
        <w:t xml:space="preserve">and/or CSI </w:t>
      </w:r>
      <w:r w:rsidRPr="008A50EB">
        <w:rPr>
          <w:lang w:val="en-AU"/>
        </w:rPr>
        <w:t xml:space="preserve">information in the PUSCH </w:t>
      </w:r>
      <w:r w:rsidRPr="00E70AC6">
        <w:rPr>
          <w:lang w:val="en-AU"/>
        </w:rPr>
        <w:t xml:space="preserve">transmission in the </w:t>
      </w:r>
      <w:r w:rsidRPr="005C3AAA">
        <w:rPr>
          <w:lang w:val="en-AU"/>
        </w:rPr>
        <w:t>one or more slots</w:t>
      </w:r>
      <w:r w:rsidRPr="00FB172B">
        <w:rPr>
          <w:lang w:val="en-AU"/>
        </w:rPr>
        <w:t xml:space="preserve">. The UE does not multiplex HARQ-ACK </w:t>
      </w:r>
      <w:r w:rsidR="00617287">
        <w:rPr>
          <w:lang w:val="en-AU"/>
        </w:rPr>
        <w:t xml:space="preserve">and/or CSI </w:t>
      </w:r>
      <w:r w:rsidRPr="00FB172B">
        <w:rPr>
          <w:lang w:val="en-AU"/>
        </w:rPr>
        <w:t xml:space="preserve">information in the PUSCH transmission in a slot from the </w:t>
      </w:r>
      <w:r w:rsidR="003A3BBF">
        <w:rPr>
          <w:lang w:val="en-AU"/>
        </w:rPr>
        <w:t>one or more</w:t>
      </w:r>
      <w:r w:rsidRPr="00FB172B">
        <w:rPr>
          <w:lang w:val="en-AU"/>
        </w:rPr>
        <w:t xml:space="preserve"> slots if the UE would not transmit a single-slot PUCCH with HARQ-ACK </w:t>
      </w:r>
      <w:r w:rsidR="00617287">
        <w:rPr>
          <w:lang w:val="en-AU"/>
        </w:rPr>
        <w:t xml:space="preserve">and/or CSI </w:t>
      </w:r>
      <w:r w:rsidRPr="00FB172B">
        <w:rPr>
          <w:lang w:val="en-AU"/>
        </w:rPr>
        <w:t>information in the slot</w:t>
      </w:r>
      <w:r w:rsidR="00001D96">
        <w:rPr>
          <w:lang w:val="en-AU"/>
        </w:rPr>
        <w:t xml:space="preserve"> </w:t>
      </w:r>
      <w:r w:rsidR="00001D96" w:rsidRPr="00FB172B">
        <w:rPr>
          <w:lang w:val="en-AU"/>
        </w:rPr>
        <w:t>in case the PUSCH transmission was absent</w:t>
      </w:r>
      <w:r w:rsidRPr="00FB172B">
        <w:rPr>
          <w:lang w:val="en-AU"/>
        </w:rPr>
        <w:t>.</w:t>
      </w:r>
    </w:p>
    <w:p w14:paraId="003360B1" w14:textId="5783D586" w:rsidR="002F7AB8" w:rsidRPr="00C06B59" w:rsidRDefault="002F7AB8" w:rsidP="002F7AB8">
      <w:pPr>
        <w:rPr>
          <w:lang w:val="en-AU"/>
        </w:rPr>
      </w:pPr>
      <w:r w:rsidRPr="00C06B59">
        <w:rPr>
          <w:lang w:val="en-AU"/>
        </w:rPr>
        <w:t xml:space="preserve">If a UE transmits a PUSCH with repetition Type B and the UE would transmit a PUCCH with HARQ-ACK and/or CSI information over a single slot that overlaps with the PUSCH transmission in one or more slots, the UE expects all actual repetitions of the PUSCH transmission [6, TS 38.214] that would overlap with the PUCCH transmission to </w:t>
      </w:r>
      <w:r w:rsidRPr="00C06B59">
        <w:rPr>
          <w:lang w:val="en-US"/>
        </w:rPr>
        <w:t xml:space="preserve">fulfill the conditions </w:t>
      </w:r>
      <w:r w:rsidR="006F5F9E">
        <w:rPr>
          <w:lang w:val="en-US"/>
        </w:rPr>
        <w:t>in clause</w:t>
      </w:r>
      <w:r w:rsidRPr="00C06B59">
        <w:rPr>
          <w:lang w:val="en-US"/>
        </w:rPr>
        <w:t xml:space="preserve"> 9.2.5 for multiplexing the HARQ-ACK </w:t>
      </w:r>
      <w:r w:rsidRPr="00C06B59">
        <w:rPr>
          <w:lang w:val="en-AU"/>
        </w:rPr>
        <w:t>and/or CSI information</w:t>
      </w:r>
      <w:r w:rsidRPr="00C06B59">
        <w:rPr>
          <w:lang w:val="en-US"/>
        </w:rPr>
        <w:t xml:space="preserve">, and the UE multiplexes </w:t>
      </w:r>
      <w:r w:rsidRPr="00C06B59">
        <w:rPr>
          <w:lang w:val="en-AU"/>
        </w:rPr>
        <w:t>the HARQ-ACK and/or CSI information in the earliest actual PUSCH repetition of the PUSCH transmission that would overlap with the PUCCH transmission and includes more than one symbol.</w:t>
      </w:r>
      <w:r w:rsidRPr="00C06B59">
        <w:rPr>
          <w:lang w:val="en-US"/>
        </w:rPr>
        <w:t xml:space="preserve"> </w:t>
      </w:r>
      <w:r w:rsidRPr="00C06B59">
        <w:rPr>
          <w:lang w:val="en-AU"/>
        </w:rPr>
        <w:t>The UE does not expect that all actual repetitions that would overlap with the PUCCH transmission do not include more than one symbol.</w:t>
      </w:r>
    </w:p>
    <w:p w14:paraId="1AD87D28" w14:textId="77C81C02" w:rsidR="00D508B4" w:rsidRDefault="00597350" w:rsidP="00597350">
      <w:pPr>
        <w:rPr>
          <w:lang w:val="en-AU"/>
        </w:rPr>
      </w:pPr>
      <w:r>
        <w:rPr>
          <w:lang w:val="en-AU"/>
        </w:rPr>
        <w:lastRenderedPageBreak/>
        <w:t xml:space="preserve">If the PUSCH transmission over the </w:t>
      </w:r>
      <w:r w:rsidR="003A3BBF">
        <w:rPr>
          <w:lang w:val="en-AU"/>
        </w:rPr>
        <w:t>one or more</w:t>
      </w:r>
      <w:r>
        <w:rPr>
          <w:lang w:val="en-AU"/>
        </w:rPr>
        <w:t xml:space="preserve"> slots is scheduled by a DCI format </w:t>
      </w:r>
      <w:r w:rsidR="00FC04CB" w:rsidRPr="00EE027F">
        <w:rPr>
          <w:lang w:val="en-AU"/>
        </w:rPr>
        <w:t>that includes a DAI field</w:t>
      </w:r>
      <w:r>
        <w:rPr>
          <w:lang w:val="en-AU"/>
        </w:rPr>
        <w:t xml:space="preserve">, </w:t>
      </w:r>
      <w:r w:rsidR="003A3BBF" w:rsidRPr="0028096A">
        <w:rPr>
          <w:lang w:val="en-AU"/>
        </w:rPr>
        <w:t xml:space="preserve">or if the </w:t>
      </w:r>
      <w:r w:rsidR="003A3BBF" w:rsidRPr="0028096A">
        <w:rPr>
          <w:rFonts w:hAnsi="Cambria Math"/>
          <w:lang w:val="en-US"/>
        </w:rPr>
        <w:t>multiple PUSCH</w:t>
      </w:r>
      <w:r w:rsidR="003A3BBF">
        <w:rPr>
          <w:rFonts w:hAnsi="Cambria Math"/>
          <w:lang w:val="en-US"/>
        </w:rPr>
        <w:t xml:space="preserve"> transmission</w:t>
      </w:r>
      <w:r w:rsidR="003A3BBF" w:rsidRPr="0028096A">
        <w:rPr>
          <w:rFonts w:hAnsi="Cambria Math"/>
          <w:lang w:val="en-US"/>
        </w:rPr>
        <w:t xml:space="preserve">s </w:t>
      </w:r>
      <w:r w:rsidR="003A3BBF" w:rsidRPr="0028096A">
        <w:rPr>
          <w:szCs w:val="24"/>
          <w:lang w:val="en-US" w:eastAsia="zh-CN"/>
        </w:rPr>
        <w:t xml:space="preserve">over </w:t>
      </w:r>
      <w:r w:rsidR="003A3BBF">
        <w:rPr>
          <w:szCs w:val="24"/>
          <w:lang w:val="en-US" w:eastAsia="zh-CN"/>
        </w:rPr>
        <w:t>the one or more</w:t>
      </w:r>
      <w:r w:rsidR="003A3BBF" w:rsidRPr="0028096A">
        <w:rPr>
          <w:szCs w:val="24"/>
          <w:lang w:val="en-US" w:eastAsia="zh-CN"/>
        </w:rPr>
        <w:t xml:space="preserve"> slots</w:t>
      </w:r>
      <w:r w:rsidR="003A3BBF" w:rsidRPr="0028096A">
        <w:rPr>
          <w:rFonts w:hAnsi="Cambria Math"/>
          <w:lang w:val="en-US"/>
        </w:rPr>
        <w:t xml:space="preserve"> </w:t>
      </w:r>
      <w:r w:rsidR="003A3BBF" w:rsidRPr="0028096A">
        <w:rPr>
          <w:lang w:val="en-US"/>
        </w:rPr>
        <w:t>are</w:t>
      </w:r>
      <w:r w:rsidR="003A3BBF" w:rsidRPr="0028096A">
        <w:rPr>
          <w:lang w:val="en-AU"/>
        </w:rPr>
        <w:t xml:space="preserve"> scheduled by a DCI format that includes a DAI field</w:t>
      </w:r>
      <w:r w:rsidR="003A3BBF">
        <w:rPr>
          <w:lang w:val="en-AU"/>
        </w:rPr>
        <w:t xml:space="preserve">, </w:t>
      </w:r>
      <w:r>
        <w:rPr>
          <w:lang w:val="en-AU"/>
        </w:rPr>
        <w:t xml:space="preserve">the value of </w:t>
      </w:r>
      <w:r w:rsidR="00FC04CB">
        <w:rPr>
          <w:lang w:val="en-AU"/>
        </w:rPr>
        <w:t xml:space="preserve">the </w:t>
      </w:r>
      <w:r>
        <w:rPr>
          <w:lang w:val="en-AU"/>
        </w:rPr>
        <w:t xml:space="preserve">DAI field is applicable for multiplexing HARQ-ACK information in </w:t>
      </w:r>
      <w:r w:rsidR="003A3BBF">
        <w:rPr>
          <w:lang w:val="en-AU"/>
        </w:rPr>
        <w:t>any</w:t>
      </w:r>
      <w:r w:rsidR="003A3BBF" w:rsidRPr="0028096A">
        <w:rPr>
          <w:lang w:val="en-AU"/>
        </w:rPr>
        <w:t xml:space="preserve"> </w:t>
      </w:r>
      <w:r>
        <w:rPr>
          <w:lang w:val="en-AU"/>
        </w:rPr>
        <w:t xml:space="preserve">PUSCH transmission in any slot from the </w:t>
      </w:r>
      <w:r w:rsidR="003A3BBF">
        <w:rPr>
          <w:lang w:val="en-AU"/>
        </w:rPr>
        <w:t>one or more</w:t>
      </w:r>
      <w:r>
        <w:rPr>
          <w:lang w:val="en-AU"/>
        </w:rPr>
        <w:t xml:space="preserve"> slots where the UE multiplexes HARQ-ACK information.</w:t>
      </w:r>
    </w:p>
    <w:p w14:paraId="6E24C36F" w14:textId="77777777" w:rsidR="00EB4343" w:rsidRPr="00B06CC2" w:rsidRDefault="00511D2E" w:rsidP="00EB4343">
      <w:r>
        <w:t xml:space="preserve">When </w:t>
      </w:r>
      <w:r w:rsidR="008C3F0C">
        <w:t xml:space="preserve">a UE </w:t>
      </w:r>
      <w:r w:rsidR="008C3F0C" w:rsidRPr="00844103">
        <w:rPr>
          <w:lang w:eastAsia="zh-CN"/>
        </w:rPr>
        <w:t xml:space="preserve">would </w:t>
      </w:r>
      <w:r w:rsidR="008C3F0C">
        <w:rPr>
          <w:lang w:eastAsia="zh-CN"/>
        </w:rPr>
        <w:t xml:space="preserve">multiplex HARQ-ACK information in a PUSCH </w:t>
      </w:r>
      <w:r w:rsidR="008C3F0C">
        <w:t xml:space="preserve">transmission that is </w:t>
      </w:r>
      <w:r w:rsidR="008C3F0C" w:rsidRPr="009D5B6D">
        <w:t xml:space="preserve">configured by </w:t>
      </w:r>
      <w:r w:rsidR="008C3F0C">
        <w:t xml:space="preserve">a </w:t>
      </w:r>
      <w:r w:rsidR="008C3F0C" w:rsidRPr="009D5B6D">
        <w:rPr>
          <w:i/>
          <w:iCs/>
        </w:rPr>
        <w:t>ConfiguredGrantConfig</w:t>
      </w:r>
      <w:r w:rsidR="008C3F0C">
        <w:rPr>
          <w:iCs/>
        </w:rPr>
        <w:t xml:space="preserve">, </w:t>
      </w:r>
      <w:r w:rsidR="008C3F0C">
        <w:t xml:space="preserve">and includes CG-UCI [5, TS 38.212], the UE multiplexes the HARQ-ACK information in the PUSCH transmission if the UE is provided </w:t>
      </w:r>
      <w:r w:rsidR="008C3F0C" w:rsidRPr="006F328C">
        <w:rPr>
          <w:i/>
        </w:rPr>
        <w:t>cg-UCI-Multiplexing</w:t>
      </w:r>
      <w:r w:rsidR="008C3F0C">
        <w:t xml:space="preserve">; otherwise, </w:t>
      </w:r>
      <w:r w:rsidR="005A5E23" w:rsidRPr="00111FF6">
        <w:t xml:space="preserve">if the HARQ-ACK information and the PUSCH have same priority index, </w:t>
      </w:r>
      <w:r w:rsidR="008C3F0C">
        <w:t>the UE does not transmit the PUSCH and multiplexes the HARQ-ACK information in a PUCCH transmission or in another PUSCH transmission</w:t>
      </w:r>
      <w:r w:rsidR="005A5E23" w:rsidRPr="00111FF6">
        <w:t>; if the HARQ-ACK information and the PUSCH have different priority indexes, the UE does not transmit the channel with the smaller priority index</w:t>
      </w:r>
      <w:r w:rsidR="008C3F0C">
        <w:t xml:space="preserve">. </w:t>
      </w:r>
    </w:p>
    <w:p w14:paraId="676F8083" w14:textId="533CCEC0" w:rsidR="0086752E" w:rsidRDefault="00EB4343" w:rsidP="0086752E">
      <w:r w:rsidRPr="00B06CC2">
        <w:t xml:space="preserve">In the following, DCI formats with CRC scrambled by C-RNTI or CS-RNTI or MCS-C-RNTI are also referred to as unicast DCI formats and DCI formats with CRC scrambled by </w:t>
      </w:r>
      <w:r w:rsidR="004F1F38">
        <w:t xml:space="preserve">multicast-MCCH-RNTI, </w:t>
      </w:r>
      <w:r w:rsidRPr="00B06CC2">
        <w:t xml:space="preserve">G-RNTI </w:t>
      </w:r>
      <w:r w:rsidR="00142CD3">
        <w:t xml:space="preserve">for multicast </w:t>
      </w:r>
      <w:r w:rsidRPr="00B06CC2">
        <w:t xml:space="preserve">or G-CS-RNTI are also referred to as multicast DCI formats. </w:t>
      </w:r>
      <w:r>
        <w:t>Corresponding unicast DCI formats are DCI formats 0_0/0_1/0_2/</w:t>
      </w:r>
      <w:r w:rsidR="001D6F08">
        <w:t>0_3/</w:t>
      </w:r>
      <w:r>
        <w:t>1_0/1_1/1_2</w:t>
      </w:r>
      <w:r w:rsidR="001D6F08">
        <w:t>/1_3</w:t>
      </w:r>
      <w:r>
        <w:t xml:space="preserve"> and multicast DCI formats are DCI formats </w:t>
      </w:r>
      <w:r w:rsidR="004F1F38">
        <w:t>4_0/</w:t>
      </w:r>
      <w:r>
        <w:t xml:space="preserve">4_1/4_2 [4, TS 38.212]. PDSCH receptions scheduled by unicast or multicast DCI formats </w:t>
      </w:r>
      <w:r w:rsidR="004F1F38" w:rsidRPr="00A31681">
        <w:t>are referred as unicast or multicast PDSCH receptions</w:t>
      </w:r>
      <w:r w:rsidR="004F1F38">
        <w:t>.</w:t>
      </w:r>
      <w:r>
        <w:t xml:space="preserve"> HARQ-ACK information associated with unicast or multicast DCI formats </w:t>
      </w:r>
      <w:r w:rsidR="004F1F38">
        <w:t xml:space="preserve">for PDCCH receptions in RRC_CONNECTED state </w:t>
      </w:r>
      <w:r>
        <w:t>are also respectively referred as unicast or multicast HARQ-ACK information.</w:t>
      </w:r>
    </w:p>
    <w:p w14:paraId="69653AD2" w14:textId="76C05A7D" w:rsidR="007E56E4" w:rsidRPr="00FE56DB" w:rsidRDefault="007E56E4" w:rsidP="007E56E4">
      <w:pPr>
        <w:rPr>
          <w:lang w:val="en-US"/>
        </w:rPr>
      </w:pPr>
      <w:r w:rsidRPr="00FE56DB">
        <w:t xml:space="preserve">For the remaining of this clause, if a UE is provided </w:t>
      </w:r>
      <m:oMath>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cell,offset</m:t>
            </m:r>
          </m:sub>
        </m:sSub>
      </m:oMath>
      <w:r w:rsidRPr="00FE56DB">
        <w:rPr>
          <w:kern w:val="2"/>
        </w:rPr>
        <w:t xml:space="preserve"> </w:t>
      </w:r>
      <w:r w:rsidRPr="00FE56DB">
        <w:t xml:space="preserve">by </w:t>
      </w:r>
      <w:r w:rsidR="00142CD3">
        <w:rPr>
          <w:i/>
          <w:lang w:val="en-US"/>
        </w:rPr>
        <w:t>c</w:t>
      </w:r>
      <w:r w:rsidR="00142CD3" w:rsidRPr="00FE56DB">
        <w:rPr>
          <w:i/>
          <w:lang w:val="en-US"/>
        </w:rPr>
        <w:t>ellSpecific</w:t>
      </w:r>
      <w:r w:rsidRPr="00FE56DB">
        <w:rPr>
          <w:i/>
          <w:lang w:val="en-US"/>
        </w:rPr>
        <w:t>Koffset</w:t>
      </w:r>
      <w:r w:rsidRPr="00FE56DB" w:rsidDel="009229BA">
        <w:rPr>
          <w:i/>
          <w:iCs/>
        </w:rPr>
        <w:t xml:space="preserve"> </w:t>
      </w:r>
      <w:r w:rsidRPr="00FE56DB">
        <w:rPr>
          <w:iCs/>
        </w:rPr>
        <w:t xml:space="preserve">or </w:t>
      </w:r>
      <m:oMath>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UE,offset</m:t>
            </m:r>
          </m:sub>
        </m:sSub>
      </m:oMath>
      <w:r w:rsidRPr="00FE56DB">
        <w:rPr>
          <w:kern w:val="2"/>
        </w:rPr>
        <w:t xml:space="preserve"> </w:t>
      </w:r>
      <w:r w:rsidRPr="00FE56DB">
        <w:rPr>
          <w:lang w:val="en-US"/>
        </w:rPr>
        <w:t xml:space="preserve">by a MAC CE command, reference to a slot </w:t>
      </w:r>
      <m:oMath>
        <m:r>
          <w:rPr>
            <w:rFonts w:ascii="Cambria Math" w:hAnsi="Cambria Math"/>
          </w:rPr>
          <m:t>n+k</m:t>
        </m:r>
      </m:oMath>
      <w:r w:rsidRPr="00FE56DB">
        <w:t xml:space="preserve"> for a</w:t>
      </w:r>
      <w:r w:rsidRPr="00FE56DB">
        <w:rPr>
          <w:lang w:val="en-US"/>
        </w:rPr>
        <w:t xml:space="preserve"> PUCCH transmission or PUSCH transmission corresponds to a slot </w:t>
      </w:r>
      <m:oMath>
        <m:r>
          <w:rPr>
            <w:rFonts w:ascii="Cambria Math" w:hAnsi="Cambria Math"/>
            <w:lang w:val="en-US"/>
          </w:rPr>
          <m:t>n</m:t>
        </m:r>
        <m:r>
          <w:rPr>
            <w:rFonts w:ascii="Cambria Math" w:hAnsi="Cambria Math"/>
          </w:rPr>
          <m:t>+k+</m:t>
        </m:r>
        <m:sSup>
          <m:sSupPr>
            <m:ctrlPr>
              <w:rPr>
                <w:rFonts w:ascii="Cambria Math" w:eastAsia="MS Mincho" w:hAnsi="Cambria Math"/>
                <w:i/>
                <w:kern w:val="2"/>
              </w:rPr>
            </m:ctrlPr>
          </m:sSupPr>
          <m:e>
            <m:r>
              <w:rPr>
                <w:rFonts w:ascii="Cambria Math" w:eastAsia="MS Mincho" w:hAnsi="Cambria Math"/>
                <w:kern w:val="2"/>
              </w:rPr>
              <m:t>2</m:t>
            </m:r>
          </m:e>
          <m:sup>
            <m:r>
              <w:rPr>
                <w:rFonts w:ascii="Cambria Math" w:eastAsia="MS Mincho" w:hAnsi="Cambria Math"/>
                <w:kern w:val="2"/>
              </w:rPr>
              <m:t>μ-</m:t>
            </m:r>
            <m:sSub>
              <m:sSubPr>
                <m:ctrlPr>
                  <w:rPr>
                    <w:rFonts w:ascii="Cambria Math" w:eastAsia="Malgun Gothic" w:hAnsi="Cambria Math"/>
                    <w:i/>
                    <w:iCs/>
                    <w:lang w:eastAsia="ko-KR"/>
                  </w:rPr>
                </m:ctrlPr>
              </m:sSubPr>
              <m:e>
                <m:r>
                  <w:rPr>
                    <w:rFonts w:ascii="Cambria Math" w:eastAsia="Malgun Gothic" w:hAnsi="Cambria Math"/>
                    <w:lang w:val="en-US" w:eastAsia="ko-KR"/>
                  </w:rPr>
                  <m:t>μ</m:t>
                </m:r>
              </m:e>
              <m:sub>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offset</m:t>
                    </m:r>
                  </m:sub>
                </m:sSub>
              </m:sub>
            </m:sSub>
          </m:sup>
        </m:sSup>
        <m:r>
          <w:rPr>
            <w:rFonts w:ascii="Cambria Math" w:eastAsia="MS Mincho" w:hAnsi="Cambria Math"/>
            <w:kern w:val="2"/>
          </w:rPr>
          <m:t>∙</m:t>
        </m:r>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offset</m:t>
            </m:r>
          </m:sub>
        </m:sSub>
      </m:oMath>
      <w:r w:rsidRPr="00FE56DB">
        <w:rPr>
          <w:kern w:val="2"/>
        </w:rPr>
        <w:t xml:space="preserve"> for the PUSCH or the PUCCH transmission, </w:t>
      </w:r>
      <w:r w:rsidR="00EA76E2" w:rsidRPr="00EE7805">
        <w:rPr>
          <w:kern w:val="2"/>
        </w:rPr>
        <w:t xml:space="preserve">and reference to a slot </w:t>
      </w:r>
      <m:oMath>
        <m:sSub>
          <m:sSubPr>
            <m:ctrlPr>
              <w:rPr>
                <w:rFonts w:ascii="Cambria Math" w:eastAsia="DengXian" w:hAnsi="Cambria Math"/>
                <w:sz w:val="24"/>
                <w:szCs w:val="24"/>
              </w:rPr>
            </m:ctrlPr>
          </m:sSubPr>
          <m:e>
            <m:r>
              <w:rPr>
                <w:rFonts w:ascii="Cambria Math" w:eastAsia="DengXian" w:hAnsi="Cambria Math"/>
              </w:rPr>
              <m:t>n</m:t>
            </m:r>
          </m:e>
          <m:sub>
            <m:r>
              <w:rPr>
                <w:rFonts w:ascii="Cambria Math" w:eastAsia="DengXian" w:hAnsi="Cambria Math"/>
              </w:rPr>
              <m:t>U</m:t>
            </m:r>
          </m:sub>
        </m:sSub>
        <m:r>
          <m:rPr>
            <m:sty m:val="p"/>
          </m:rPr>
          <w:rPr>
            <w:rFonts w:ascii="Cambria Math" w:eastAsia="DengXian" w:hAnsi="Cambria Math"/>
          </w:rPr>
          <m:t>-</m:t>
        </m:r>
        <m:sSub>
          <m:sSubPr>
            <m:ctrlPr>
              <w:rPr>
                <w:rFonts w:ascii="Cambria Math" w:eastAsia="DengXian" w:hAnsi="Cambria Math"/>
                <w:sz w:val="24"/>
                <w:szCs w:val="24"/>
              </w:rPr>
            </m:ctrlPr>
          </m:sSubPr>
          <m:e>
            <m:r>
              <w:rPr>
                <w:rFonts w:ascii="Cambria Math" w:eastAsia="DengXian" w:hAnsi="Cambria Math"/>
              </w:rPr>
              <m:t>K</m:t>
            </m:r>
          </m:e>
          <m:sub>
            <m:r>
              <m:rPr>
                <m:sty m:val="p"/>
              </m:rPr>
              <w:rPr>
                <w:rFonts w:ascii="Cambria Math" w:eastAsia="DengXian" w:hAnsi="Cambria Math"/>
              </w:rPr>
              <m:t>1,</m:t>
            </m:r>
            <m:r>
              <w:rPr>
                <w:rFonts w:ascii="Cambria Math" w:eastAsia="DengXian" w:hAnsi="Cambria Math"/>
              </w:rPr>
              <m:t>k</m:t>
            </m:r>
          </m:sub>
        </m:sSub>
      </m:oMath>
      <w:r w:rsidR="00EA76E2" w:rsidRPr="00EE7805">
        <w:rPr>
          <w:sz w:val="24"/>
          <w:szCs w:val="24"/>
        </w:rPr>
        <w:t xml:space="preserve"> </w:t>
      </w:r>
      <w:r w:rsidR="00EA76E2" w:rsidRPr="00EE7805">
        <w:t xml:space="preserve">corresponds to slot </w:t>
      </w:r>
      <m:oMath>
        <m:sSub>
          <m:sSubPr>
            <m:ctrlPr>
              <w:rPr>
                <w:rFonts w:ascii="Cambria Math" w:eastAsia="DengXian" w:hAnsi="Cambria Math"/>
                <w:sz w:val="24"/>
                <w:szCs w:val="24"/>
              </w:rPr>
            </m:ctrlPr>
          </m:sSubPr>
          <m:e>
            <m:r>
              <w:rPr>
                <w:rFonts w:ascii="Cambria Math" w:eastAsia="DengXian" w:hAnsi="Cambria Math"/>
              </w:rPr>
              <m:t>n</m:t>
            </m:r>
          </m:e>
          <m:sub>
            <m:r>
              <w:rPr>
                <w:rFonts w:ascii="Cambria Math" w:eastAsia="DengXian" w:hAnsi="Cambria Math"/>
              </w:rPr>
              <m:t>U</m:t>
            </m:r>
          </m:sub>
        </m:sSub>
        <m:r>
          <m:rPr>
            <m:sty m:val="p"/>
          </m:rPr>
          <w:rPr>
            <w:rFonts w:ascii="Cambria Math" w:eastAsia="DengXian" w:hAnsi="Cambria Math"/>
          </w:rPr>
          <m:t>-</m:t>
        </m:r>
        <m:sSub>
          <m:sSubPr>
            <m:ctrlPr>
              <w:rPr>
                <w:rFonts w:ascii="Cambria Math" w:eastAsia="DengXian" w:hAnsi="Cambria Math"/>
                <w:sz w:val="24"/>
                <w:szCs w:val="24"/>
              </w:rPr>
            </m:ctrlPr>
          </m:sSubPr>
          <m:e>
            <m:r>
              <w:rPr>
                <w:rFonts w:ascii="Cambria Math" w:eastAsia="DengXian" w:hAnsi="Cambria Math"/>
              </w:rPr>
              <m:t>K</m:t>
            </m:r>
          </m:e>
          <m:sub>
            <m:r>
              <m:rPr>
                <m:sty m:val="p"/>
              </m:rPr>
              <w:rPr>
                <w:rFonts w:ascii="Cambria Math" w:eastAsia="DengXian" w:hAnsi="Cambria Math"/>
              </w:rPr>
              <m:t>1,</m:t>
            </m:r>
            <m:r>
              <w:rPr>
                <w:rFonts w:ascii="Cambria Math" w:eastAsia="DengXian" w:hAnsi="Cambria Math"/>
              </w:rPr>
              <m:t>k</m:t>
            </m:r>
          </m:sub>
        </m:sSub>
        <m:r>
          <w:rPr>
            <w:rFonts w:ascii="Cambria Math" w:eastAsia="DengXian" w:hAnsi="Cambria Math"/>
            <w:sz w:val="24"/>
            <w:szCs w:val="24"/>
          </w:rPr>
          <m:t>-</m:t>
        </m:r>
        <m:sSup>
          <m:sSupPr>
            <m:ctrlPr>
              <w:rPr>
                <w:rFonts w:ascii="Cambria Math" w:eastAsia="MS Mincho" w:hAnsi="Cambria Math"/>
                <w:i/>
                <w:kern w:val="2"/>
              </w:rPr>
            </m:ctrlPr>
          </m:sSupPr>
          <m:e>
            <m:r>
              <w:rPr>
                <w:rFonts w:ascii="Cambria Math" w:eastAsia="MS Mincho" w:hAnsi="Cambria Math"/>
                <w:kern w:val="2"/>
              </w:rPr>
              <m:t>2</m:t>
            </m:r>
          </m:e>
          <m:sup>
            <m:r>
              <w:rPr>
                <w:rFonts w:ascii="Cambria Math" w:eastAsia="MS Mincho" w:hAnsi="Cambria Math"/>
                <w:kern w:val="2"/>
              </w:rPr>
              <m:t>μ-</m:t>
            </m:r>
            <m:sSub>
              <m:sSubPr>
                <m:ctrlPr>
                  <w:rPr>
                    <w:rFonts w:ascii="Cambria Math" w:eastAsia="Malgun Gothic" w:hAnsi="Cambria Math"/>
                    <w:i/>
                    <w:iCs/>
                    <w:lang w:eastAsia="ko-KR"/>
                  </w:rPr>
                </m:ctrlPr>
              </m:sSubPr>
              <m:e>
                <m:r>
                  <w:rPr>
                    <w:rFonts w:ascii="Cambria Math" w:eastAsia="Malgun Gothic" w:hAnsi="Cambria Math"/>
                    <w:lang w:val="en-US" w:eastAsia="ko-KR"/>
                  </w:rPr>
                  <m:t>μ</m:t>
                </m:r>
              </m:e>
              <m:sub>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offset</m:t>
                    </m:r>
                  </m:sub>
                </m:sSub>
              </m:sub>
            </m:sSub>
          </m:sup>
        </m:sSup>
        <m:r>
          <w:rPr>
            <w:rFonts w:ascii="Cambria Math" w:eastAsia="MS Mincho" w:hAnsi="Cambria Math"/>
            <w:kern w:val="2"/>
          </w:rPr>
          <m:t>∙</m:t>
        </m:r>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offset</m:t>
            </m:r>
          </m:sub>
        </m:sSub>
      </m:oMath>
      <w:r w:rsidR="00EA76E2" w:rsidRPr="00EE7805">
        <w:rPr>
          <w:kern w:val="2"/>
        </w:rPr>
        <w:t xml:space="preserve">, </w:t>
      </w:r>
      <w:r w:rsidRPr="00FE56DB">
        <w:rPr>
          <w:kern w:val="2"/>
        </w:rPr>
        <w:t xml:space="preserve">where </w:t>
      </w:r>
      <m:oMath>
        <m:r>
          <w:rPr>
            <w:rFonts w:ascii="Cambria Math" w:eastAsia="MS Mincho" w:hAnsi="Cambria Math"/>
            <w:kern w:val="2"/>
          </w:rPr>
          <m:t>μ</m:t>
        </m:r>
      </m:oMath>
      <w:r w:rsidRPr="00FE56DB">
        <w:rPr>
          <w:kern w:val="2"/>
        </w:rPr>
        <w:t xml:space="preserve"> is the SCS configuration for the PUCCH transmission or PUSCH transmission, </w:t>
      </w:r>
      <m:oMath>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offset</m:t>
            </m:r>
          </m:sub>
        </m:sSub>
      </m:oMath>
      <w:r w:rsidRPr="00FE56DB">
        <w:rPr>
          <w:kern w:val="2"/>
        </w:rPr>
        <w:t xml:space="preserve"> is defined in clause 4.2, and </w:t>
      </w:r>
      <m:oMath>
        <m:sSub>
          <m:sSubPr>
            <m:ctrlPr>
              <w:rPr>
                <w:rFonts w:ascii="Cambria Math" w:eastAsia="Malgun Gothic" w:hAnsi="Cambria Math"/>
                <w:i/>
                <w:iCs/>
                <w:lang w:eastAsia="ko-KR"/>
              </w:rPr>
            </m:ctrlPr>
          </m:sSubPr>
          <m:e>
            <m:r>
              <w:rPr>
                <w:rFonts w:ascii="Cambria Math" w:eastAsia="Malgun Gothic" w:hAnsi="Cambria Math"/>
                <w:lang w:val="en-US" w:eastAsia="ko-KR"/>
              </w:rPr>
              <m:t>μ</m:t>
            </m:r>
          </m:e>
          <m:sub>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offset</m:t>
                </m:r>
              </m:sub>
            </m:sSub>
          </m:sub>
        </m:sSub>
        <m:r>
          <w:rPr>
            <w:rFonts w:ascii="Cambria Math" w:eastAsia="Malgun Gothic" w:hAnsi="Cambria Math"/>
            <w:lang w:eastAsia="ko-KR"/>
          </w:rPr>
          <m:t>=0</m:t>
        </m:r>
      </m:oMath>
      <w:r w:rsidRPr="00FE56DB">
        <w:rPr>
          <w:iCs/>
          <w:lang w:eastAsia="ko-KR"/>
        </w:rPr>
        <w:t xml:space="preserve"> in FR1</w:t>
      </w:r>
      <w:r w:rsidRPr="00FE56DB">
        <w:rPr>
          <w:kern w:val="2"/>
        </w:rPr>
        <w:t xml:space="preserve">. If </w:t>
      </w:r>
      <w:r w:rsidR="00142CD3">
        <w:rPr>
          <w:i/>
          <w:lang w:val="en-US"/>
        </w:rPr>
        <w:t>c</w:t>
      </w:r>
      <w:r w:rsidR="00142CD3" w:rsidRPr="00FE56DB">
        <w:rPr>
          <w:i/>
          <w:lang w:val="en-US"/>
        </w:rPr>
        <w:t>ellSpecific</w:t>
      </w:r>
      <w:r w:rsidRPr="00FE56DB">
        <w:rPr>
          <w:i/>
          <w:iCs/>
        </w:rPr>
        <w:t>Koffset</w:t>
      </w:r>
      <w:r w:rsidRPr="00FE56DB">
        <w:t xml:space="preserve"> or if the MAC CE command is not provided,</w:t>
      </w:r>
      <w:r w:rsidRPr="00FE56DB">
        <w:rPr>
          <w:kern w:val="2"/>
        </w:rPr>
        <w:t xml:space="preserve"> </w:t>
      </w:r>
      <m:oMath>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cell,offset</m:t>
            </m:r>
          </m:sub>
        </m:sSub>
        <m:r>
          <w:rPr>
            <w:rFonts w:ascii="Cambria Math" w:eastAsia="MS Mincho" w:hAnsi="Cambria Math"/>
            <w:kern w:val="2"/>
          </w:rPr>
          <m:t>=0</m:t>
        </m:r>
      </m:oMath>
      <w:r w:rsidRPr="00FE56DB">
        <w:rPr>
          <w:kern w:val="2"/>
        </w:rPr>
        <w:t xml:space="preserve"> or </w:t>
      </w:r>
      <m:oMath>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UE,offset</m:t>
            </m:r>
          </m:sub>
        </m:sSub>
        <m:r>
          <w:rPr>
            <w:rFonts w:ascii="Cambria Math" w:eastAsia="MS Mincho" w:hAnsi="Cambria Math"/>
            <w:kern w:val="2"/>
          </w:rPr>
          <m:t>=0</m:t>
        </m:r>
      </m:oMath>
      <w:r w:rsidRPr="00FE56DB">
        <w:t xml:space="preserve">, respectively. </w:t>
      </w:r>
      <w:r w:rsidR="00EA76E2">
        <w:t>If the PUCCH or PUSCH transmission is scheduled by a DCI format</w:t>
      </w:r>
      <w:r w:rsidR="003A3BBF" w:rsidRPr="00FC07A8">
        <w:t xml:space="preserve">, or if SRS </w:t>
      </w:r>
      <w:r w:rsidR="003A3BBF">
        <w:t>transmission is triggered</w:t>
      </w:r>
      <w:r w:rsidR="003A3BBF" w:rsidRPr="00FC07A8">
        <w:t xml:space="preserve"> by </w:t>
      </w:r>
      <w:r w:rsidR="003A3BBF">
        <w:t xml:space="preserve">a </w:t>
      </w:r>
      <w:r w:rsidR="003A3BBF" w:rsidRPr="00FC07A8">
        <w:t>DCI format</w:t>
      </w:r>
      <w:r w:rsidR="00EA76E2">
        <w:t xml:space="preserve">, the value of </w:t>
      </w:r>
      <m:oMath>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UE,offset</m:t>
            </m:r>
          </m:sub>
        </m:sSub>
      </m:oMath>
      <w:r w:rsidR="00EA76E2">
        <w:rPr>
          <w:kern w:val="2"/>
        </w:rPr>
        <w:t xml:space="preserve"> is the one that is applicable at the slot overlapping with the last symbol of the PDCCH reception providing the DCI format.</w:t>
      </w:r>
      <w:r w:rsidR="00EA76E2" w:rsidRPr="00FE56DB">
        <w:t xml:space="preserve"> </w:t>
      </w:r>
      <w:r w:rsidRPr="00FE56DB">
        <w:t xml:space="preserve">If the PUCCH transmission or the PUSCH transmission is scheduled by a DCI format with CRC scrambled by TC-RNTI, </w:t>
      </w:r>
      <m:oMath>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UE,offset</m:t>
            </m:r>
          </m:sub>
        </m:sSub>
        <m:r>
          <w:rPr>
            <w:rFonts w:ascii="Cambria Math" w:eastAsia="MS Mincho" w:hAnsi="Cambria Math"/>
            <w:kern w:val="2"/>
          </w:rPr>
          <m:t>=0</m:t>
        </m:r>
      </m:oMath>
      <w:r w:rsidRPr="00FE56DB">
        <w:rPr>
          <w:kern w:val="2"/>
        </w:rPr>
        <w:t xml:space="preserve">. </w:t>
      </w:r>
      <w:r w:rsidRPr="00FE56DB">
        <w:t>If the UE is provided</w:t>
      </w:r>
      <w:r w:rsidRPr="00FE56DB">
        <w:rPr>
          <w:kern w:val="2"/>
        </w:rPr>
        <w:t xml:space="preserve"> a</w:t>
      </w:r>
      <w:r w:rsidRPr="00FE56DB">
        <w:t xml:space="preserve"> </w:t>
      </w:r>
      <m:oMath>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UE,offset</m:t>
            </m:r>
          </m:sub>
        </m:sSub>
      </m:oMath>
      <w:r w:rsidRPr="00FE56DB">
        <w:rPr>
          <w:kern w:val="2"/>
        </w:rPr>
        <w:t xml:space="preserve"> value </w:t>
      </w:r>
      <w:r w:rsidRPr="00FE56DB">
        <w:rPr>
          <w:lang w:val="en-US"/>
        </w:rPr>
        <w:t xml:space="preserve">by a MAC CE command, the UE applies the MAC </w:t>
      </w:r>
      <w:r w:rsidR="00142CD3">
        <w:rPr>
          <w:lang w:val="en-US"/>
        </w:rPr>
        <w:t xml:space="preserve">CE </w:t>
      </w:r>
      <w:r w:rsidRPr="00FE56DB">
        <w:rPr>
          <w:lang w:val="en-US"/>
        </w:rPr>
        <w:t>command in</w:t>
      </w:r>
      <w:r w:rsidRPr="00FE56DB">
        <w:t xml:space="preserve"> the first slot that is after slot </w:t>
      </w:r>
      <m:oMath>
        <m:r>
          <w:rPr>
            <w:rFonts w:ascii="Cambria Math" w:hAnsi="Cambria Math"/>
          </w:rPr>
          <m:t>k+3</m:t>
        </m:r>
        <m:sSubSup>
          <m:sSubSupPr>
            <m:ctrlPr>
              <w:rPr>
                <w:rFonts w:ascii="Cambria Math" w:hAnsi="Cambria Math"/>
                <w:i/>
              </w:rPr>
            </m:ctrlPr>
          </m:sSubSupPr>
          <m:e>
            <m:r>
              <w:rPr>
                <w:rFonts w:ascii="Cambria Math" w:hAnsi="Cambria Math"/>
              </w:rPr>
              <m:t>N</m:t>
            </m:r>
          </m:e>
          <m:sub>
            <m:r>
              <m:rPr>
                <m:sty m:val="p"/>
              </m:rPr>
              <w:rPr>
                <w:rFonts w:ascii="Cambria Math" w:hAnsi="Cambria Math"/>
              </w:rPr>
              <m:t>slot</m:t>
            </m:r>
          </m:sub>
          <m:sup>
            <m:r>
              <m:rPr>
                <m:sty m:val="p"/>
              </m:rPr>
              <w:rPr>
                <w:rFonts w:ascii="Cambria Math" w:hAnsi="Cambria Math"/>
              </w:rPr>
              <m:t>subframe</m:t>
            </m:r>
            <m:r>
              <w:rPr>
                <w:rFonts w:ascii="Cambria Math" w:hAnsi="Cambria Math"/>
              </w:rPr>
              <m:t>,μ</m:t>
            </m:r>
          </m:sup>
        </m:sSubSup>
      </m:oMath>
      <w:r w:rsidRPr="00FE56DB">
        <w:t xml:space="preserve"> where </w:t>
      </w:r>
      <m:oMath>
        <m:r>
          <w:rPr>
            <w:rFonts w:ascii="Cambria Math" w:hAnsi="Cambria Math"/>
          </w:rPr>
          <m:t>k</m:t>
        </m:r>
      </m:oMath>
      <w:r w:rsidRPr="00FE56DB">
        <w:rPr>
          <w:lang w:val="en-US"/>
        </w:rPr>
        <w:t xml:space="preserve"> is the slot where the UE would transmit a PUCCH with HARQ-ACK information for the PDSCH providing the MAC CE command, </w:t>
      </w:r>
      <m:oMath>
        <m:r>
          <w:rPr>
            <w:rFonts w:ascii="Cambria Math" w:hAnsi="Cambria Math"/>
          </w:rPr>
          <m:t>μ</m:t>
        </m:r>
      </m:oMath>
      <w:r w:rsidRPr="00FE56DB">
        <w:t xml:space="preserve"> is the SCS configuration for </w:t>
      </w:r>
      <w:r w:rsidRPr="00FE56DB">
        <w:rPr>
          <w:lang w:val="en-US"/>
        </w:rPr>
        <w:t xml:space="preserve">the </w:t>
      </w:r>
      <w:r w:rsidRPr="00FE56DB">
        <w:t>PUCCH transmission</w:t>
      </w:r>
      <w:r w:rsidRPr="00FE56DB">
        <w:rPr>
          <w:lang w:val="en-US"/>
        </w:rPr>
        <w:t xml:space="preserve"> that is determined in the slot when the MAC CE command is applied</w:t>
      </w:r>
      <w:r w:rsidRPr="00FE56DB">
        <w:t>.</w:t>
      </w:r>
      <w:r w:rsidRPr="00FE56DB">
        <w:rPr>
          <w:lang w:val="en-US"/>
        </w:rPr>
        <w:t xml:space="preserve"> </w:t>
      </w:r>
    </w:p>
    <w:p w14:paraId="342DD1E1" w14:textId="68C3978F" w:rsidR="005A5E23" w:rsidRPr="00111FF6" w:rsidRDefault="005A5E23" w:rsidP="005A5E23">
      <w:pPr>
        <w:pStyle w:val="Heading2"/>
      </w:pPr>
      <w:bookmarkStart w:id="410" w:name="_Toc161999116"/>
      <w:r w:rsidRPr="00111FF6">
        <w:t>9.A</w:t>
      </w:r>
      <w:r w:rsidRPr="00111FF6">
        <w:tab/>
        <w:t xml:space="preserve">PUCCH </w:t>
      </w:r>
      <w:r>
        <w:t>c</w:t>
      </w:r>
      <w:r w:rsidRPr="00111FF6">
        <w:t xml:space="preserve">ell </w:t>
      </w:r>
      <w:r>
        <w:t>s</w:t>
      </w:r>
      <w:r w:rsidRPr="00111FF6">
        <w:t>witching</w:t>
      </w:r>
      <w:bookmarkEnd w:id="410"/>
    </w:p>
    <w:p w14:paraId="5CD96566" w14:textId="3CCF5BF9" w:rsidR="005A5E23" w:rsidRPr="00111FF6" w:rsidRDefault="005A5E23" w:rsidP="005A5E23">
      <w:r w:rsidRPr="00111FF6">
        <w:t xml:space="preserve">This clause is applicable when a UE is provided a </w:t>
      </w:r>
      <w:r w:rsidRPr="00111FF6">
        <w:rPr>
          <w:rFonts w:hint="eastAsia"/>
          <w:lang w:eastAsia="zh-CN"/>
        </w:rPr>
        <w:t>PUCCH</w:t>
      </w:r>
      <w:r w:rsidRPr="00111FF6">
        <w:rPr>
          <w:lang w:eastAsia="zh-CN"/>
        </w:rPr>
        <w:t>-sSCell by</w:t>
      </w:r>
      <w:r w:rsidRPr="00111FF6">
        <w:t xml:space="preserve"> </w:t>
      </w:r>
      <w:r w:rsidRPr="00111FF6">
        <w:rPr>
          <w:i/>
          <w:iCs/>
        </w:rPr>
        <w:t>pucch-</w:t>
      </w:r>
      <w:r>
        <w:rPr>
          <w:i/>
          <w:iCs/>
        </w:rPr>
        <w:t>s</w:t>
      </w:r>
      <w:r w:rsidRPr="00111FF6">
        <w:rPr>
          <w:i/>
          <w:iCs/>
        </w:rPr>
        <w:t>SCell</w:t>
      </w:r>
      <w:r w:rsidRPr="00111FF6">
        <w:t xml:space="preserve"> and the </w:t>
      </w:r>
      <w:r w:rsidRPr="00111FF6">
        <w:rPr>
          <w:rFonts w:hint="eastAsia"/>
          <w:lang w:eastAsia="zh-CN"/>
        </w:rPr>
        <w:t>PUCCH</w:t>
      </w:r>
      <w:r w:rsidRPr="00111FF6">
        <w:rPr>
          <w:lang w:eastAsia="zh-CN"/>
        </w:rPr>
        <w:t>-sSCell is activated and does not have a dormant UL/DL active BWP</w:t>
      </w:r>
      <w:r w:rsidRPr="00111FF6">
        <w:t xml:space="preserve">. </w:t>
      </w:r>
      <w:r w:rsidR="00594FF5" w:rsidRPr="00822DBF">
        <w:rPr>
          <w:lang w:eastAsia="zh-CN"/>
        </w:rPr>
        <w:t>This clause is not applicable for slots</w:t>
      </w:r>
      <w:r w:rsidR="0008079E" w:rsidRPr="0008079E">
        <w:t xml:space="preserve"> </w:t>
      </w:r>
      <w:r w:rsidR="0008079E">
        <w:t xml:space="preserve">with </w:t>
      </w:r>
      <m:oMath>
        <m:sSubSup>
          <m:sSubSupPr>
            <m:ctrlPr>
              <w:rPr>
                <w:rFonts w:ascii="Cambria Math" w:hAnsi="Cambria Math"/>
                <w:sz w:val="24"/>
                <w:szCs w:val="24"/>
              </w:rPr>
            </m:ctrlPr>
          </m:sSubSupPr>
          <m:e>
            <m:r>
              <w:rPr>
                <w:rFonts w:ascii="Cambria Math" w:hAnsi="Cambria Math"/>
              </w:rPr>
              <m:t>N</m:t>
            </m:r>
          </m:e>
          <m:sub>
            <m:r>
              <m:rPr>
                <m:sty m:val="p"/>
              </m:rPr>
              <w:rPr>
                <w:rFonts w:ascii="Cambria Math" w:hAnsi="Cambria Math"/>
              </w:rPr>
              <m:t>sym</m:t>
            </m:r>
          </m:sub>
          <m:sup>
            <m:r>
              <m:rPr>
                <m:sty m:val="p"/>
              </m:rPr>
              <w:rPr>
                <w:rFonts w:ascii="Cambria Math" w:hAnsi="Cambria Math"/>
              </w:rPr>
              <m:t>slot</m:t>
            </m:r>
          </m:sup>
        </m:sSubSup>
      </m:oMath>
      <w:r w:rsidR="0008079E">
        <w:rPr>
          <w:lang w:val="en-US"/>
        </w:rPr>
        <w:t xml:space="preserve"> </w:t>
      </w:r>
      <w:r w:rsidR="0008079E">
        <w:t>symbols [4, TS 38.211]</w:t>
      </w:r>
      <w:r w:rsidR="00594FF5" w:rsidRPr="00822DBF">
        <w:rPr>
          <w:lang w:eastAsia="zh-CN"/>
        </w:rPr>
        <w:t xml:space="preserve"> of </w:t>
      </w:r>
      <w:r w:rsidR="0008079E">
        <w:rPr>
          <w:lang w:eastAsia="zh-CN"/>
        </w:rPr>
        <w:t>a</w:t>
      </w:r>
      <w:r w:rsidR="00594FF5" w:rsidRPr="00822DBF">
        <w:rPr>
          <w:lang w:eastAsia="zh-CN"/>
        </w:rPr>
        <w:t xml:space="preserve"> reference SCS configuration </w:t>
      </w:r>
      <w:r w:rsidR="0008079E">
        <w:t xml:space="preserve">provided </w:t>
      </w:r>
      <w:r w:rsidR="0008079E">
        <w:rPr>
          <w:rFonts w:eastAsia="Times New Roman"/>
        </w:rPr>
        <w:t xml:space="preserve">by </w:t>
      </w:r>
      <w:r w:rsidR="0008079E">
        <w:rPr>
          <w:rFonts w:eastAsia="Times New Roman"/>
          <w:i/>
          <w:iCs/>
        </w:rPr>
        <w:t>tdd-UL-DL-ConfigurationCommon</w:t>
      </w:r>
      <w:r w:rsidR="0008079E">
        <w:rPr>
          <w:rFonts w:eastAsia="Times New Roman"/>
        </w:rPr>
        <w:t xml:space="preserve"> for the PCell</w:t>
      </w:r>
      <w:r w:rsidR="0008079E">
        <w:rPr>
          <w:lang w:eastAsia="zh-CN"/>
        </w:rPr>
        <w:t xml:space="preserve"> </w:t>
      </w:r>
      <w:r w:rsidR="00594FF5" w:rsidRPr="00822DBF">
        <w:rPr>
          <w:lang w:eastAsia="zh-CN"/>
        </w:rPr>
        <w:t xml:space="preserve">where the UE would transmit a PUCCH with </w:t>
      </w:r>
      <w:r w:rsidR="00594FF5" w:rsidRPr="00B916EC">
        <w:rPr>
          <w:position w:val="-10"/>
        </w:rPr>
        <w:object w:dxaOrig="920" w:dyaOrig="340" w14:anchorId="23E89846">
          <v:shape id="_x0000_i1138" type="#_x0000_t75" style="width:42pt;height:17.25pt" o:ole="">
            <v:imagedata r:id="rId72" o:title=""/>
          </v:shape>
          <o:OLEObject Type="Embed" ProgID="Equation.3" ShapeID="_x0000_i1138" DrawAspect="Content" ObjectID="_1781409695" r:id="rId73"/>
        </w:object>
      </w:r>
      <w:r w:rsidR="00594FF5">
        <w:t xml:space="preserve"> </w:t>
      </w:r>
      <w:r w:rsidR="00594FF5" w:rsidRPr="00822DBF">
        <w:rPr>
          <w:lang w:eastAsia="zh-CN"/>
        </w:rPr>
        <w:t xml:space="preserve">repetitions of any priority, starting from the </w:t>
      </w:r>
      <w:r w:rsidR="00594FF5" w:rsidRPr="00C23497">
        <w:rPr>
          <w:lang w:eastAsia="fr-FR"/>
        </w:rPr>
        <w:t xml:space="preserve">slot following the slot indicated to the UE as described in clause 9.2.3 </w:t>
      </w:r>
      <w:r w:rsidR="00594FF5" w:rsidRPr="00C23497">
        <w:rPr>
          <w:lang w:eastAsia="zh-CN"/>
        </w:rPr>
        <w:t>for HARQ-ACK reporting, or following the slot determined as described in clause 9.2.4 for SR reporting, or in clause 5.2.1.4 of</w:t>
      </w:r>
      <w:r w:rsidR="00594FF5" w:rsidRPr="00C23497">
        <w:rPr>
          <w:lang w:eastAsia="fr-FR"/>
        </w:rPr>
        <w:t xml:space="preserve"> </w:t>
      </w:r>
      <w:r w:rsidR="00594FF5" w:rsidRPr="00C23497">
        <w:rPr>
          <w:lang w:eastAsia="zh-CN"/>
        </w:rPr>
        <w:t xml:space="preserve">[6, </w:t>
      </w:r>
      <w:r w:rsidR="00594FF5" w:rsidRPr="00C23497">
        <w:rPr>
          <w:lang w:eastAsia="fr-FR"/>
        </w:rPr>
        <w:t>TS 38.214]</w:t>
      </w:r>
      <w:r w:rsidR="00594FF5" w:rsidRPr="00C23497">
        <w:rPr>
          <w:lang w:eastAsia="zh-CN"/>
        </w:rPr>
        <w:t xml:space="preserve"> for CSI reporting,</w:t>
      </w:r>
      <w:r w:rsidR="00594FF5" w:rsidRPr="00822DBF">
        <w:rPr>
          <w:lang w:eastAsia="zh-CN"/>
        </w:rPr>
        <w:t xml:space="preserve"> until the slot of the last repetition of the PUCCH transmission, as described in clause 9.2.6 if the UE </w:t>
      </w:r>
      <w:r w:rsidR="00594FF5" w:rsidRPr="00822DBF">
        <w:rPr>
          <w:lang w:eastAsia="fr-FR"/>
        </w:rPr>
        <w:t xml:space="preserve">is provided </w:t>
      </w:r>
      <w:r w:rsidR="00594FF5" w:rsidRPr="00822DBF">
        <w:rPr>
          <w:i/>
          <w:iCs/>
          <w:lang w:eastAsia="fr-FR"/>
        </w:rPr>
        <w:t>PUCCH-sSCellPattern</w:t>
      </w:r>
      <w:r w:rsidR="00594FF5" w:rsidRPr="00822DBF">
        <w:rPr>
          <w:lang w:eastAsia="fr-FR"/>
        </w:rPr>
        <w:t>.</w:t>
      </w:r>
    </w:p>
    <w:p w14:paraId="1B13F0E5" w14:textId="66F951FA" w:rsidR="005A5E23" w:rsidRPr="00111FF6" w:rsidRDefault="005A5E23" w:rsidP="005A5E23">
      <w:r w:rsidRPr="00111FF6">
        <w:t xml:space="preserve">A UE can be provided a periodic cell switching pattern for PUCCH transmissions by </w:t>
      </w:r>
      <w:r w:rsidRPr="00111FF6">
        <w:rPr>
          <w:i/>
          <w:iCs/>
        </w:rPr>
        <w:t>pucch-sSCellPattern.</w:t>
      </w:r>
      <w:r w:rsidRPr="00111FF6">
        <w:t xml:space="preserve"> Each bit of the pattern corresponds to a slot </w:t>
      </w:r>
      <w:r w:rsidR="00C82371">
        <w:t xml:space="preserve">with </w:t>
      </w:r>
      <m:oMath>
        <m:sSubSup>
          <m:sSubSupPr>
            <m:ctrlPr>
              <w:rPr>
                <w:rFonts w:ascii="Cambria Math" w:hAnsi="Cambria Math"/>
                <w:sz w:val="24"/>
                <w:szCs w:val="24"/>
              </w:rPr>
            </m:ctrlPr>
          </m:sSubSupPr>
          <m:e>
            <m:r>
              <w:rPr>
                <w:rFonts w:ascii="Cambria Math" w:hAnsi="Cambria Math"/>
              </w:rPr>
              <m:t>N</m:t>
            </m:r>
          </m:e>
          <m:sub>
            <m:r>
              <m:rPr>
                <m:sty m:val="p"/>
              </m:rPr>
              <w:rPr>
                <w:rFonts w:ascii="Cambria Math" w:hAnsi="Cambria Math"/>
              </w:rPr>
              <m:t>sym</m:t>
            </m:r>
          </m:sub>
          <m:sup>
            <m:r>
              <m:rPr>
                <m:sty m:val="p"/>
              </m:rPr>
              <w:rPr>
                <w:rFonts w:ascii="Cambria Math" w:hAnsi="Cambria Math"/>
              </w:rPr>
              <m:t>slot</m:t>
            </m:r>
          </m:sup>
        </m:sSubSup>
      </m:oMath>
      <w:r w:rsidR="00C82371" w:rsidRPr="00777787">
        <w:rPr>
          <w:lang w:val="en-US"/>
        </w:rPr>
        <w:t xml:space="preserve"> </w:t>
      </w:r>
      <w:r w:rsidR="00C82371">
        <w:t xml:space="preserve">symbols [4, TS 38.211] </w:t>
      </w:r>
      <w:r w:rsidRPr="00111FF6">
        <w:t xml:space="preserve">for a reference SCS configuration </w:t>
      </w:r>
      <w:r>
        <w:t xml:space="preserve">provided </w:t>
      </w:r>
      <w:r w:rsidRPr="00C41FD7">
        <w:rPr>
          <w:rFonts w:eastAsia="Times New Roman"/>
        </w:rPr>
        <w:t>by </w:t>
      </w:r>
      <w:r w:rsidRPr="00C41FD7">
        <w:rPr>
          <w:rFonts w:eastAsia="Times New Roman"/>
          <w:i/>
          <w:iCs/>
        </w:rPr>
        <w:t>tdd-UL-DL-ConfigurationCommon</w:t>
      </w:r>
      <w:r w:rsidRPr="00C41FD7">
        <w:rPr>
          <w:rFonts w:eastAsia="Times New Roman"/>
        </w:rPr>
        <w:t> </w:t>
      </w:r>
      <w:r>
        <w:rPr>
          <w:rFonts w:eastAsia="Times New Roman"/>
        </w:rPr>
        <w:t xml:space="preserve">for the PCell </w:t>
      </w:r>
      <w:r w:rsidRPr="00111FF6">
        <w:t xml:space="preserve">with a value of </w:t>
      </w:r>
      <w:r w:rsidR="005E3B15">
        <w:t>'</w:t>
      </w:r>
      <w:r w:rsidRPr="00111FF6">
        <w:t>0</w:t>
      </w:r>
      <w:r w:rsidR="005E3B15">
        <w:t>'</w:t>
      </w:r>
      <w:r w:rsidRPr="00111FF6">
        <w:t xml:space="preserve"> or a value of </w:t>
      </w:r>
      <w:r w:rsidR="005E3B15">
        <w:t>'</w:t>
      </w:r>
      <w:r w:rsidRPr="00111FF6">
        <w:t>1</w:t>
      </w:r>
      <w:r w:rsidR="005E3B15">
        <w:t>'</w:t>
      </w:r>
      <w:r w:rsidRPr="00111FF6">
        <w:t xml:space="preserve"> indicating, respectively, the PCell or the PUCCH-sSCell as the cell for PUCCH transmissions during the slot </w:t>
      </w:r>
      <w:r w:rsidR="00C82371">
        <w:t xml:space="preserve">with </w:t>
      </w:r>
      <m:oMath>
        <m:sSubSup>
          <m:sSubSupPr>
            <m:ctrlPr>
              <w:rPr>
                <w:rFonts w:ascii="Cambria Math" w:hAnsi="Cambria Math"/>
                <w:sz w:val="24"/>
                <w:szCs w:val="24"/>
              </w:rPr>
            </m:ctrlPr>
          </m:sSubSupPr>
          <m:e>
            <m:r>
              <w:rPr>
                <w:rFonts w:ascii="Cambria Math" w:hAnsi="Cambria Math"/>
              </w:rPr>
              <m:t>N</m:t>
            </m:r>
          </m:e>
          <m:sub>
            <m:r>
              <m:rPr>
                <m:sty m:val="p"/>
              </m:rPr>
              <w:rPr>
                <w:rFonts w:ascii="Cambria Math" w:hAnsi="Cambria Math"/>
              </w:rPr>
              <m:t>sym</m:t>
            </m:r>
          </m:sub>
          <m:sup>
            <m:r>
              <m:rPr>
                <m:sty m:val="p"/>
              </m:rPr>
              <w:rPr>
                <w:rFonts w:ascii="Cambria Math" w:hAnsi="Cambria Math"/>
              </w:rPr>
              <m:t>slot</m:t>
            </m:r>
          </m:sup>
        </m:sSubSup>
      </m:oMath>
      <w:r w:rsidR="00C82371" w:rsidRPr="00777787">
        <w:rPr>
          <w:lang w:val="en-US"/>
        </w:rPr>
        <w:t xml:space="preserve"> </w:t>
      </w:r>
      <w:r w:rsidR="00C82371">
        <w:t xml:space="preserve">symbols </w:t>
      </w:r>
      <w:r w:rsidRPr="00111FF6">
        <w:t xml:space="preserve">of the reference SCS configuration. </w:t>
      </w:r>
      <w:r w:rsidR="00782BE5" w:rsidRPr="001D161F">
        <w:t>The UE does not transmit a PUCCH in a slot on a cell if the pattern indicates a different cell for PUCCH transmission during the slot.</w:t>
      </w:r>
      <w:r w:rsidR="00782BE5" w:rsidRPr="001D161F">
        <w:rPr>
          <w:u w:val="single"/>
        </w:rPr>
        <w:t xml:space="preserve"> </w:t>
      </w:r>
      <w:r w:rsidRPr="00111FF6">
        <w:t xml:space="preserve">A slot on the active UL BWP of the PUCCH-sSCell does not overlap with more than one slot on the active UL BWP of the </w:t>
      </w:r>
      <w:r w:rsidR="00782BE5" w:rsidRPr="00111FF6">
        <w:t>P</w:t>
      </w:r>
      <w:r w:rsidR="00782BE5">
        <w:t>C</w:t>
      </w:r>
      <w:r w:rsidR="00782BE5" w:rsidRPr="00111FF6">
        <w:t>ell</w:t>
      </w:r>
      <w:r w:rsidRPr="00111FF6">
        <w:t xml:space="preserve">. If a slot for the </w:t>
      </w:r>
      <w:r>
        <w:t xml:space="preserve">active UL BWP of the </w:t>
      </w:r>
      <w:r w:rsidR="006B25FE">
        <w:t xml:space="preserve">PCell </w:t>
      </w:r>
      <w:r w:rsidRPr="00111FF6">
        <w:t>overlaps with more than one slot on the active BWP of the PUCCH-sSCell and the UE would transmit a PUCCH on the PUCCH-sSCell, the UE considers the first of the overlapping slots for the PUCCH transmission on the PUCCH-sSCell.</w:t>
      </w:r>
    </w:p>
    <w:p w14:paraId="670D37D0" w14:textId="29B07C9C" w:rsidR="005A5E23" w:rsidRPr="003468A9" w:rsidRDefault="005A5E23" w:rsidP="005A5E23">
      <w:r w:rsidRPr="00111FF6">
        <w:t xml:space="preserve">If a UE is provided </w:t>
      </w:r>
      <w:r w:rsidRPr="00111FF6">
        <w:rPr>
          <w:i/>
          <w:iCs/>
        </w:rPr>
        <w:t>pucch-sSCell</w:t>
      </w:r>
      <w:r>
        <w:rPr>
          <w:i/>
          <w:iCs/>
        </w:rPr>
        <w:t>Dyn</w:t>
      </w:r>
      <w:r>
        <w:t xml:space="preserve"> or </w:t>
      </w:r>
      <w:r w:rsidRPr="00111FF6">
        <w:rPr>
          <w:i/>
          <w:iCs/>
        </w:rPr>
        <w:t>pucch-sSCell</w:t>
      </w:r>
      <w:r>
        <w:rPr>
          <w:i/>
          <w:iCs/>
        </w:rPr>
        <w:t>DynDCI-1-2</w:t>
      </w:r>
      <w:r w:rsidR="003468A9" w:rsidRPr="001A7B96">
        <w:t xml:space="preserve"> </w:t>
      </w:r>
      <w:r w:rsidR="003468A9">
        <w:t xml:space="preserve">or </w:t>
      </w:r>
      <w:r w:rsidR="003468A9" w:rsidRPr="00111FF6">
        <w:rPr>
          <w:i/>
          <w:iCs/>
        </w:rPr>
        <w:t>pucch-sSCell</w:t>
      </w:r>
      <w:r w:rsidR="003468A9">
        <w:rPr>
          <w:i/>
          <w:iCs/>
        </w:rPr>
        <w:t>DynDCI-1-3</w:t>
      </w:r>
      <w:r w:rsidRPr="00111FF6">
        <w:t xml:space="preserve">, a </w:t>
      </w:r>
      <w:r>
        <w:t xml:space="preserve">corresponding </w:t>
      </w:r>
      <w:r w:rsidRPr="00111FF6">
        <w:t>DCI format associated with generation of HARQ-ACK information by the UE can include a PUCCH cell indicator field [5, TS 38.212]</w:t>
      </w:r>
      <w:r w:rsidR="006B25FE">
        <w:t xml:space="preserve"> </w:t>
      </w:r>
      <w:r w:rsidR="006B25FE" w:rsidRPr="00111FF6">
        <w:t xml:space="preserve">with a value of </w:t>
      </w:r>
      <w:r w:rsidR="006B25FE">
        <w:t>'</w:t>
      </w:r>
      <w:r w:rsidR="006B25FE" w:rsidRPr="00111FF6">
        <w:t>0</w:t>
      </w:r>
      <w:r w:rsidR="006B25FE">
        <w:t>'</w:t>
      </w:r>
      <w:r w:rsidR="006B25FE" w:rsidRPr="00111FF6">
        <w:t xml:space="preserve"> or a value of </w:t>
      </w:r>
      <w:r w:rsidR="006B25FE">
        <w:t>'</w:t>
      </w:r>
      <w:r w:rsidR="006B25FE" w:rsidRPr="00111FF6">
        <w:t>1</w:t>
      </w:r>
      <w:r w:rsidR="006B25FE">
        <w:t>'</w:t>
      </w:r>
      <w:r w:rsidR="006B25FE" w:rsidRPr="00111FF6">
        <w:t xml:space="preserve"> indicating</w:t>
      </w:r>
      <w:r w:rsidR="006B25FE">
        <w:t>, respectively</w:t>
      </w:r>
      <w:r w:rsidRPr="00111FF6">
        <w:t xml:space="preserve">, whether </w:t>
      </w:r>
      <w:r w:rsidR="006B25FE">
        <w:t>a</w:t>
      </w:r>
      <w:r w:rsidR="006B25FE" w:rsidRPr="00111FF6">
        <w:t xml:space="preserve"> </w:t>
      </w:r>
      <w:r w:rsidRPr="00111FF6">
        <w:t xml:space="preserve">PUCCH transmission with the HARQ-ACK information by the UE is on the </w:t>
      </w:r>
      <w:r w:rsidR="00782BE5" w:rsidRPr="00111FF6">
        <w:t>P</w:t>
      </w:r>
      <w:r w:rsidR="00782BE5">
        <w:t>C</w:t>
      </w:r>
      <w:r w:rsidR="00782BE5" w:rsidRPr="00111FF6">
        <w:t xml:space="preserve">ell </w:t>
      </w:r>
      <w:r w:rsidRPr="00111FF6">
        <w:t>or on the PUCCH-sSCell.</w:t>
      </w:r>
      <w:r w:rsidR="00782BE5">
        <w:t xml:space="preserve"> When the UE transmits a PUCCH with HARQ-ACK information that is associated only with SPS PDSCH </w:t>
      </w:r>
      <w:r w:rsidR="00782BE5" w:rsidRPr="00C754DA">
        <w:t>reception</w:t>
      </w:r>
      <w:r w:rsidR="00782BE5">
        <w:t>s, the UE transmits the PUCCH on the PCell</w:t>
      </w:r>
      <w:r w:rsidR="00782BE5" w:rsidRPr="00C754DA">
        <w:t xml:space="preserve">. The </w:t>
      </w:r>
      <w:r w:rsidR="00782BE5" w:rsidRPr="00C754DA">
        <w:lastRenderedPageBreak/>
        <w:t xml:space="preserve">UE does not expect the PUCCH cell indicator field to indicate the PUCCH-sSCell for </w:t>
      </w:r>
      <w:r w:rsidR="00782BE5">
        <w:t>a</w:t>
      </w:r>
      <w:r w:rsidR="00782BE5" w:rsidRPr="00C754DA">
        <w:t xml:space="preserve"> PUCCH transmission in a slot that</w:t>
      </w:r>
      <w:r w:rsidR="00782BE5">
        <w:t xml:space="preserve"> </w:t>
      </w:r>
      <w:r w:rsidR="00782BE5" w:rsidRPr="00C754DA">
        <w:t>overlap</w:t>
      </w:r>
      <w:r w:rsidR="00782BE5">
        <w:t>s</w:t>
      </w:r>
      <w:r w:rsidR="00782BE5" w:rsidRPr="00C754DA">
        <w:t xml:space="preserve"> with a slot on the PCell where the UE would transmit another PUCCH </w:t>
      </w:r>
      <w:r w:rsidR="00782BE5" w:rsidRPr="003468A9">
        <w:t>of same or different priority index.</w:t>
      </w:r>
    </w:p>
    <w:p w14:paraId="0123105E" w14:textId="77777777" w:rsidR="005A5E23" w:rsidRPr="00111FF6" w:rsidRDefault="005A5E23" w:rsidP="005A5E23">
      <w:pPr>
        <w:rPr>
          <w:lang w:eastAsia="zh-CN"/>
        </w:rPr>
      </w:pPr>
      <w:r w:rsidRPr="00111FF6">
        <w:t xml:space="preserve">A UE transmits a PUCCH on a </w:t>
      </w:r>
      <w:r w:rsidRPr="00111FF6">
        <w:rPr>
          <w:rFonts w:hint="eastAsia"/>
          <w:lang w:eastAsia="zh-CN"/>
        </w:rPr>
        <w:t>PUCCH</w:t>
      </w:r>
      <w:r w:rsidRPr="00111FF6">
        <w:rPr>
          <w:lang w:eastAsia="zh-CN"/>
        </w:rPr>
        <w:t xml:space="preserve">-sSCell with a power that the UE determines as described in clause 7.2.1, where the UE applies </w:t>
      </w:r>
    </w:p>
    <w:p w14:paraId="3937858B" w14:textId="77777777" w:rsidR="005A5E23" w:rsidRPr="00111FF6" w:rsidRDefault="005A5E23" w:rsidP="005A5E23">
      <w:pPr>
        <w:pStyle w:val="B1"/>
      </w:pPr>
      <w:r w:rsidRPr="00111FF6">
        <w:t>-</w:t>
      </w:r>
      <w:r w:rsidRPr="00111FF6">
        <w:tab/>
      </w:r>
      <w:r w:rsidRPr="00111FF6">
        <w:rPr>
          <w:lang w:val="en-US"/>
        </w:rPr>
        <w:t xml:space="preserve">a </w:t>
      </w:r>
      <w:r w:rsidRPr="00111FF6">
        <w:rPr>
          <w:i/>
        </w:rPr>
        <w:t>p0-PUCCH-Value</w:t>
      </w:r>
      <w:r w:rsidRPr="00111FF6">
        <w:rPr>
          <w:lang w:val="en-US"/>
        </w:rPr>
        <w:t xml:space="preserve"> from </w:t>
      </w:r>
      <w:r w:rsidRPr="00111FF6">
        <w:rPr>
          <w:i/>
          <w:iCs/>
        </w:rPr>
        <w:t>pucch-PowerControl</w:t>
      </w:r>
      <w:r w:rsidRPr="00111FF6">
        <w:rPr>
          <w:lang w:val="en-US"/>
        </w:rPr>
        <w:t xml:space="preserve"> in </w:t>
      </w:r>
      <w:r w:rsidRPr="00111FF6">
        <w:rPr>
          <w:i/>
          <w:iCs/>
          <w:lang w:val="en-US"/>
        </w:rPr>
        <w:t>PUCCH-Config</w:t>
      </w:r>
      <w:r w:rsidRPr="00111FF6">
        <w:rPr>
          <w:lang w:val="en-US"/>
        </w:rPr>
        <w:t xml:space="preserve"> for the PUCCH-sSCell for the determination of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O,PUCCH,b,f,c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u</m:t>
            </m:r>
          </m:sub>
        </m:sSub>
        <m:r>
          <w:rPr>
            <w:rFonts w:ascii="Cambria Math" w:hAnsi="Cambria Math"/>
            <w:lang w:val="en-US"/>
          </w:rPr>
          <m:t>)</m:t>
        </m:r>
      </m:oMath>
    </w:p>
    <w:p w14:paraId="220B0376" w14:textId="77777777" w:rsidR="005A5E23" w:rsidRPr="00111FF6" w:rsidRDefault="005A5E23" w:rsidP="005A5E23">
      <w:pPr>
        <w:pStyle w:val="B1"/>
        <w:rPr>
          <w:lang w:val="en-US"/>
        </w:rPr>
      </w:pPr>
      <w:r w:rsidRPr="00111FF6">
        <w:t>-</w:t>
      </w:r>
      <w:r w:rsidRPr="00111FF6">
        <w:tab/>
      </w:r>
      <w:r w:rsidRPr="00111FF6">
        <w:rPr>
          <w:lang w:val="en-US"/>
        </w:rPr>
        <w:t xml:space="preserve">a </w:t>
      </w:r>
      <w:r w:rsidRPr="00111FF6">
        <w:rPr>
          <w:i/>
        </w:rPr>
        <w:t>pucch-PathlossReferenceRS-Id</w:t>
      </w:r>
      <w:r w:rsidRPr="00111FF6">
        <w:rPr>
          <w:rFonts w:eastAsia="MS Mincho"/>
          <w:i/>
        </w:rPr>
        <w:t xml:space="preserve"> </w:t>
      </w:r>
      <w:r w:rsidRPr="00111FF6">
        <w:rPr>
          <w:lang w:val="en-US"/>
        </w:rPr>
        <w:t xml:space="preserve">from </w:t>
      </w:r>
      <w:r w:rsidRPr="00111FF6">
        <w:rPr>
          <w:i/>
          <w:iCs/>
        </w:rPr>
        <w:t>pucch-PowerControl</w:t>
      </w:r>
      <w:r w:rsidRPr="00111FF6">
        <w:rPr>
          <w:lang w:val="en-US"/>
        </w:rPr>
        <w:t xml:space="preserve"> in </w:t>
      </w:r>
      <w:r w:rsidRPr="00111FF6">
        <w:rPr>
          <w:i/>
          <w:iCs/>
          <w:lang w:val="en-US"/>
        </w:rPr>
        <w:t>PUCCH-Config</w:t>
      </w:r>
      <w:r w:rsidRPr="00111FF6">
        <w:rPr>
          <w:lang w:val="en-US"/>
        </w:rPr>
        <w:t xml:space="preserve"> for the PUCCH-sSCell for the determination of </w:t>
      </w:r>
      <m:oMath>
        <m:sSub>
          <m:sSubPr>
            <m:ctrlPr>
              <w:rPr>
                <w:rFonts w:ascii="Cambria Math" w:hAnsi="Cambria Math"/>
                <w:i/>
                <w:lang w:val="en-US"/>
              </w:rPr>
            </m:ctrlPr>
          </m:sSubPr>
          <m:e>
            <m:r>
              <w:rPr>
                <w:rFonts w:ascii="Cambria Math" w:hAnsi="Cambria Math"/>
                <w:lang w:val="en-US"/>
              </w:rPr>
              <m:t>PL</m:t>
            </m:r>
          </m:e>
          <m:sub>
            <m:r>
              <w:rPr>
                <w:rFonts w:ascii="Cambria Math" w:hAnsi="Cambria Math"/>
                <w:lang w:val="en-US"/>
              </w:rPr>
              <m:t>b,f,c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d</m:t>
            </m:r>
          </m:sub>
        </m:sSub>
        <m:r>
          <w:rPr>
            <w:rFonts w:ascii="Cambria Math" w:hAnsi="Cambria Math"/>
            <w:lang w:val="en-US"/>
          </w:rPr>
          <m:t>)</m:t>
        </m:r>
      </m:oMath>
    </w:p>
    <w:p w14:paraId="4E501B21" w14:textId="645C5E36" w:rsidR="005A5E23" w:rsidRPr="005A5E23" w:rsidRDefault="005A5E23" w:rsidP="005A5E23">
      <w:pPr>
        <w:pStyle w:val="B1"/>
        <w:rPr>
          <w:lang w:val="en-US"/>
        </w:rPr>
      </w:pPr>
      <w:r w:rsidRPr="00111FF6">
        <w:t>-</w:t>
      </w:r>
      <w:r w:rsidRPr="00111FF6">
        <w:tab/>
      </w:r>
      <w:r w:rsidRPr="00111FF6">
        <w:rPr>
          <w:lang w:val="en-US"/>
        </w:rPr>
        <w:t xml:space="preserve">a </w:t>
      </w:r>
      <w:r w:rsidRPr="00111FF6">
        <w:t>PUCCH power control adjustment state</w:t>
      </w:r>
      <w:r w:rsidRPr="00111FF6">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b,0,c</m:t>
            </m:r>
          </m:sub>
        </m:sSub>
        <m:r>
          <w:rPr>
            <w:rFonts w:ascii="Cambria Math" w:hAnsi="Cambria Math"/>
            <w:lang w:val="en-US"/>
          </w:rPr>
          <m:t>(i,0)</m:t>
        </m:r>
      </m:oMath>
      <w:r w:rsidRPr="00111FF6">
        <w:t xml:space="preserve"> for </w:t>
      </w:r>
      <w:r w:rsidRPr="00111FF6">
        <w:rPr>
          <w:lang w:val="en-US"/>
        </w:rPr>
        <w:t xml:space="preserve">active UL BWP </w:t>
      </w:r>
      <m:oMath>
        <m:r>
          <w:rPr>
            <w:rFonts w:ascii="Cambria Math" w:hAnsi="Cambria Math"/>
            <w:lang w:val="en-US"/>
          </w:rPr>
          <m:t>b</m:t>
        </m:r>
      </m:oMath>
      <w:r w:rsidRPr="00111FF6">
        <w:rPr>
          <w:iCs/>
          <w:lang w:val="en-US"/>
        </w:rPr>
        <w:t xml:space="preserve"> </w:t>
      </w:r>
      <w:r w:rsidRPr="00111FF6">
        <w:rPr>
          <w:lang w:val="en-US"/>
        </w:rPr>
        <w:t>of the UL carrier</w:t>
      </w:r>
      <w:r w:rsidRPr="00111FF6">
        <w:rPr>
          <w:iCs/>
          <w:lang w:val="en-US"/>
        </w:rPr>
        <w:t xml:space="preserve"> </w:t>
      </w:r>
      <w:r w:rsidRPr="00111FF6">
        <w:rPr>
          <w:lang w:val="en-US"/>
        </w:rPr>
        <w:t xml:space="preserve">of </w:t>
      </w:r>
      <w:r w:rsidRPr="00111FF6">
        <w:rPr>
          <w:rFonts w:eastAsia="MS Mincho"/>
          <w:lang w:val="en-US"/>
        </w:rPr>
        <w:t xml:space="preserve">PUCCH-sSCell </w:t>
      </w:r>
      <m:oMath>
        <m:r>
          <w:rPr>
            <w:rFonts w:ascii="Cambria Math" w:eastAsia="MS Mincho" w:hAnsi="Cambria Math"/>
            <w:lang w:val="en-US"/>
          </w:rPr>
          <m:t>c</m:t>
        </m:r>
      </m:oMath>
      <w:r w:rsidRPr="00111FF6">
        <w:rPr>
          <w:lang w:val="en-US"/>
        </w:rPr>
        <w:t xml:space="preserve"> and PUCCH transmission occasion </w:t>
      </w:r>
      <m:oMath>
        <m:r>
          <w:rPr>
            <w:rFonts w:ascii="Cambria Math" w:hAnsi="Cambria Math"/>
            <w:lang w:val="en-US"/>
          </w:rPr>
          <m:t>i</m:t>
        </m:r>
      </m:oMath>
      <w:r w:rsidRPr="00111FF6">
        <w:rPr>
          <w:lang w:val="en-US"/>
        </w:rPr>
        <w:t xml:space="preserve"> where </w:t>
      </w:r>
      <m:oMath>
        <m:sSub>
          <m:sSubPr>
            <m:ctrlPr>
              <w:rPr>
                <w:rFonts w:ascii="Cambria Math" w:hAnsi="Cambria Math"/>
                <w:i/>
                <w:lang w:val="en-US"/>
              </w:rPr>
            </m:ctrlPr>
          </m:sSubPr>
          <m:e>
            <m:r>
              <w:rPr>
                <w:rFonts w:ascii="Cambria Math" w:hAnsi="Cambria Math"/>
                <w:lang w:val="en-US"/>
              </w:rPr>
              <m:t>δ</m:t>
            </m:r>
          </m:e>
          <m:sub>
            <m:r>
              <m:rPr>
                <m:sty m:val="p"/>
              </m:rPr>
              <w:rPr>
                <w:rFonts w:ascii="Cambria Math" w:hAnsi="Cambria Math"/>
                <w:lang w:val="en-US"/>
              </w:rPr>
              <m:t>PUCCH</m:t>
            </m:r>
            <m:r>
              <w:rPr>
                <w:rFonts w:ascii="Cambria Math" w:hAnsi="Cambria Math"/>
                <w:lang w:val="en-US"/>
              </w:rPr>
              <m:t>,b,0,c</m:t>
            </m:r>
          </m:sub>
        </m:sSub>
        <m:r>
          <w:rPr>
            <w:rFonts w:ascii="Cambria Math" w:hAnsi="Cambria Math"/>
            <w:lang w:val="en-US"/>
          </w:rPr>
          <m:t>(i,0)</m:t>
        </m:r>
      </m:oMath>
      <w:r w:rsidRPr="00111FF6">
        <w:rPr>
          <w:lang w:val="en-US"/>
        </w:rPr>
        <w:t xml:space="preserve"> </w:t>
      </w:r>
      <w:r w:rsidRPr="00111FF6">
        <w:t>is a TPC command</w:t>
      </w:r>
      <w:r w:rsidRPr="00111FF6">
        <w:rPr>
          <w:lang w:val="en-US"/>
        </w:rPr>
        <w:t xml:space="preserve"> value</w:t>
      </w:r>
      <w:r w:rsidRPr="00111FF6">
        <w:t xml:space="preserve"> included in </w:t>
      </w:r>
      <w:r w:rsidRPr="00111FF6">
        <w:rPr>
          <w:lang w:val="en-US"/>
        </w:rPr>
        <w:t xml:space="preserve">a </w:t>
      </w:r>
      <w:r w:rsidRPr="00111FF6">
        <w:t>DCI format associated with generation of HARQ-ACK informatio</w:t>
      </w:r>
      <w:r w:rsidRPr="00111FF6">
        <w:rPr>
          <w:lang w:val="en-US"/>
        </w:rPr>
        <w:t xml:space="preserve">n for multiplexing in a PUCCH transmission on the PUCCH-sSCell as indicated either by a </w:t>
      </w:r>
      <w:r w:rsidRPr="00111FF6">
        <w:rPr>
          <w:i/>
          <w:iCs/>
        </w:rPr>
        <w:t>pucch-sSCellPattern</w:t>
      </w:r>
      <w:r w:rsidRPr="00111FF6">
        <w:rPr>
          <w:lang w:val="en-US"/>
        </w:rPr>
        <w:t xml:space="preserve"> or by </w:t>
      </w:r>
      <w:r w:rsidRPr="00111FF6">
        <w:t>a PUCCH cell indicator field</w:t>
      </w:r>
      <w:r w:rsidRPr="00111FF6">
        <w:rPr>
          <w:lang w:val="en-US"/>
        </w:rPr>
        <w:t xml:space="preserve"> in the DCI format, or provided by DCI format 2_2 with </w:t>
      </w:r>
      <w:r w:rsidRPr="00111FF6">
        <w:rPr>
          <w:rFonts w:hint="eastAsia"/>
        </w:rPr>
        <w:t xml:space="preserve">CRC scrambled </w:t>
      </w:r>
      <w:r w:rsidRPr="00111FF6">
        <w:rPr>
          <w:lang w:val="en-US"/>
        </w:rPr>
        <w:t>by</w:t>
      </w:r>
      <w:r w:rsidRPr="00111FF6">
        <w:rPr>
          <w:rFonts w:hint="eastAsia"/>
        </w:rPr>
        <w:t xml:space="preserve"> TPC-PUCCH-RNTI</w:t>
      </w:r>
      <w:r w:rsidRPr="00111FF6">
        <w:rPr>
          <w:lang w:val="en-US"/>
        </w:rPr>
        <w:t xml:space="preserve"> for the PUCCH-sSCell as described in clause 11.3</w:t>
      </w:r>
    </w:p>
    <w:p w14:paraId="634F52D8" w14:textId="77777777" w:rsidR="005D1608" w:rsidRDefault="005D1608" w:rsidP="005D1608">
      <w:pPr>
        <w:pStyle w:val="Heading2"/>
        <w:ind w:left="1136" w:hanging="1136"/>
      </w:pPr>
      <w:bookmarkStart w:id="411" w:name="_Toc12021467"/>
      <w:bookmarkStart w:id="412" w:name="_Toc20311579"/>
      <w:bookmarkStart w:id="413" w:name="_Toc26719404"/>
      <w:bookmarkStart w:id="414" w:name="_Toc29894837"/>
      <w:bookmarkStart w:id="415" w:name="_Toc29899136"/>
      <w:bookmarkStart w:id="416" w:name="_Toc29899554"/>
      <w:bookmarkStart w:id="417" w:name="_Toc29917291"/>
      <w:bookmarkStart w:id="418" w:name="_Toc36498165"/>
      <w:bookmarkStart w:id="419" w:name="_Toc45699191"/>
      <w:bookmarkStart w:id="420" w:name="_Toc161999117"/>
      <w:bookmarkStart w:id="421" w:name="_Ref494282908"/>
      <w:r w:rsidRPr="00B916EC">
        <w:t>9.1</w:t>
      </w:r>
      <w:r w:rsidRPr="00B916EC">
        <w:rPr>
          <w:rFonts w:hint="eastAsia"/>
        </w:rPr>
        <w:tab/>
      </w:r>
      <w:r w:rsidR="00F37E87" w:rsidRPr="00B916EC">
        <w:t>HARQ-ACK codebook determination</w:t>
      </w:r>
      <w:bookmarkEnd w:id="411"/>
      <w:bookmarkEnd w:id="412"/>
      <w:bookmarkEnd w:id="413"/>
      <w:bookmarkEnd w:id="414"/>
      <w:bookmarkEnd w:id="415"/>
      <w:bookmarkEnd w:id="416"/>
      <w:bookmarkEnd w:id="417"/>
      <w:bookmarkEnd w:id="418"/>
      <w:bookmarkEnd w:id="419"/>
      <w:bookmarkEnd w:id="420"/>
    </w:p>
    <w:p w14:paraId="19F1B6E0" w14:textId="684B6771" w:rsidR="00FC04CB" w:rsidRPr="002F7AB8" w:rsidRDefault="00FC04CB" w:rsidP="00FC04CB">
      <w:r w:rsidRPr="00B5532F">
        <w:t xml:space="preserve">If a UE is provided </w:t>
      </w:r>
      <w:r w:rsidRPr="00B5532F">
        <w:rPr>
          <w:i/>
          <w:iCs/>
        </w:rPr>
        <w:t>pdsch-HARQ-ACK-Codebook</w:t>
      </w:r>
      <w:r w:rsidRPr="00DE1FCE">
        <w:rPr>
          <w:i/>
        </w:rPr>
        <w:t>List</w:t>
      </w:r>
      <w:r w:rsidRPr="00B5532F">
        <w:rPr>
          <w:iCs/>
        </w:rPr>
        <w:t xml:space="preserve">, </w:t>
      </w:r>
      <w:r w:rsidRPr="00B5532F">
        <w:t xml:space="preserve">the UE can be indicated by </w:t>
      </w:r>
      <w:r w:rsidRPr="00B5532F">
        <w:rPr>
          <w:i/>
          <w:iCs/>
        </w:rPr>
        <w:t>pdsch-HARQ-ACK-CodebookList</w:t>
      </w:r>
      <w:r w:rsidRPr="00B5532F">
        <w:t xml:space="preserve"> to generate one or two HARQ-ACK codebooks</w:t>
      </w:r>
      <w:r w:rsidR="001A696E" w:rsidRPr="00DD627C">
        <w:t>.</w:t>
      </w:r>
      <w:r w:rsidR="001A696E" w:rsidRPr="002F7AB8">
        <w:t xml:space="preserve"> </w:t>
      </w:r>
      <w:r w:rsidR="002F7AB8" w:rsidRPr="00C06B59">
        <w:rPr>
          <w:lang w:eastAsia="zh-CN"/>
        </w:rPr>
        <w:t xml:space="preserve">If the UE is indicated to generate one HARQ-ACK codebook, the HARQ-ACK codebook is associated with a PUCCH of priority index 0. </w:t>
      </w:r>
      <w:r w:rsidR="002F7AB8" w:rsidRPr="00C06B59">
        <w:t xml:space="preserve">If a UE is provided </w:t>
      </w:r>
      <w:r w:rsidR="002F7AB8" w:rsidRPr="00C06B59">
        <w:rPr>
          <w:i/>
          <w:iCs/>
        </w:rPr>
        <w:t>pdsch-HARQ-ACK-CodebookList</w:t>
      </w:r>
      <w:r w:rsidR="002F7AB8" w:rsidRPr="00C06B59">
        <w:t>, the UE multiplexes in a same HARQ-ACK codebook only HARQ-ACK information associated with a same priority index.</w:t>
      </w:r>
      <w:r w:rsidR="002F7AB8">
        <w:t xml:space="preserve"> </w:t>
      </w:r>
      <w:r w:rsidR="001A696E" w:rsidRPr="00F44350">
        <w:rPr>
          <w:lang w:eastAsia="zh-CN"/>
        </w:rPr>
        <w:t>If the UE is indicated to generate two HARQ-ACK codebooks</w:t>
      </w:r>
    </w:p>
    <w:p w14:paraId="69016C5D" w14:textId="777930B4" w:rsidR="00FC04CB" w:rsidRPr="00B5532F" w:rsidRDefault="00FC04CB" w:rsidP="00FC04CB">
      <w:pPr>
        <w:ind w:left="568" w:hanging="284"/>
      </w:pPr>
      <w:r w:rsidRPr="00B5532F">
        <w:rPr>
          <w:lang w:val="x-none"/>
        </w:rPr>
        <w:t>-</w:t>
      </w:r>
      <w:r w:rsidRPr="00B5532F">
        <w:rPr>
          <w:lang w:val="x-none"/>
        </w:rPr>
        <w:tab/>
      </w:r>
      <w:r w:rsidRPr="00B5532F">
        <w:t>a first HARQ-ACK codebook is associated with a PUCCH of priority index 0 and a second HARQ-ACK codebook is associated with a PUCCH of priority index 1</w:t>
      </w:r>
    </w:p>
    <w:p w14:paraId="76A72671" w14:textId="7C9ED347" w:rsidR="00FC04CB" w:rsidRPr="001858BC" w:rsidRDefault="00FC04CB" w:rsidP="00FC04CB">
      <w:pPr>
        <w:ind w:left="568" w:hanging="284"/>
      </w:pPr>
      <w:r w:rsidRPr="001858BC">
        <w:rPr>
          <w:lang w:val="x-none"/>
        </w:rPr>
        <w:t>-</w:t>
      </w:r>
      <w:r w:rsidRPr="001858BC">
        <w:rPr>
          <w:lang w:val="x-none"/>
        </w:rPr>
        <w:tab/>
      </w:r>
      <w:r w:rsidRPr="001858BC">
        <w:t>the UE is provided first and second for each of</w:t>
      </w:r>
      <w:r w:rsidRPr="002A7A49">
        <w:t xml:space="preserve"> {</w:t>
      </w:r>
      <w:r w:rsidRPr="002A7A49">
        <w:rPr>
          <w:i/>
          <w:iCs/>
        </w:rPr>
        <w:t>PUCCH-Config</w:t>
      </w:r>
      <w:r w:rsidRPr="002A7A49">
        <w:t xml:space="preserve">, </w:t>
      </w:r>
      <w:r w:rsidRPr="002A7A49">
        <w:rPr>
          <w:i/>
          <w:iCs/>
        </w:rPr>
        <w:t>UCI-OnPUSCH</w:t>
      </w:r>
      <w:r w:rsidRPr="002A7A49">
        <w:t xml:space="preserve">, </w:t>
      </w:r>
      <w:r w:rsidRPr="002A7A49">
        <w:rPr>
          <w:i/>
          <w:iCs/>
        </w:rPr>
        <w:t>PDSCH</w:t>
      </w:r>
      <w:r w:rsidRPr="002A7A49">
        <w:t>-</w:t>
      </w:r>
      <w:r w:rsidRPr="00A02439">
        <w:rPr>
          <w:i/>
          <w:iCs/>
        </w:rPr>
        <w:t>codeBlockGroupTransmission</w:t>
      </w:r>
      <w:r w:rsidRPr="00A02439">
        <w:t xml:space="preserve">} </w:t>
      </w:r>
      <w:r w:rsidRPr="009F7758">
        <w:t>by {</w:t>
      </w:r>
      <w:r w:rsidRPr="001F0486">
        <w:rPr>
          <w:i/>
          <w:iCs/>
        </w:rPr>
        <w:t>PUCCH</w:t>
      </w:r>
      <w:r w:rsidR="00D45515">
        <w:rPr>
          <w:i/>
          <w:iCs/>
        </w:rPr>
        <w:t>-</w:t>
      </w:r>
      <w:r w:rsidRPr="001F0486">
        <w:rPr>
          <w:i/>
          <w:iCs/>
        </w:rPr>
        <w:t>ConfigurationList</w:t>
      </w:r>
      <w:r w:rsidRPr="00344485">
        <w:t xml:space="preserve">, </w:t>
      </w:r>
      <w:r w:rsidRPr="00344485">
        <w:rPr>
          <w:i/>
          <w:iCs/>
        </w:rPr>
        <w:t>UCI-OnPUSCH-List</w:t>
      </w:r>
      <w:r w:rsidR="00D45515">
        <w:rPr>
          <w:i/>
          <w:iCs/>
        </w:rPr>
        <w:t>DCI-0-1</w:t>
      </w:r>
      <w:r w:rsidRPr="00344485">
        <w:t xml:space="preserve">, </w:t>
      </w:r>
      <w:r w:rsidRPr="00344485">
        <w:rPr>
          <w:i/>
          <w:iCs/>
        </w:rPr>
        <w:t>PDSCH-CodeBlockGroupTransmissionList</w:t>
      </w:r>
      <w:r w:rsidRPr="00F400CB">
        <w:t>}</w:t>
      </w:r>
      <w:r w:rsidR="00D45515">
        <w:t xml:space="preserve"> or </w:t>
      </w:r>
      <w:r w:rsidR="00D45515" w:rsidRPr="009F7758">
        <w:t>{</w:t>
      </w:r>
      <w:r w:rsidR="00D45515" w:rsidRPr="001F0486">
        <w:rPr>
          <w:i/>
          <w:iCs/>
        </w:rPr>
        <w:t>PUCCH</w:t>
      </w:r>
      <w:r w:rsidR="00D45515">
        <w:rPr>
          <w:i/>
          <w:iCs/>
        </w:rPr>
        <w:t>-</w:t>
      </w:r>
      <w:r w:rsidR="00D45515" w:rsidRPr="001F0486">
        <w:rPr>
          <w:i/>
          <w:iCs/>
        </w:rPr>
        <w:t>ConfigurationList</w:t>
      </w:r>
      <w:r w:rsidR="00D45515" w:rsidRPr="00344485">
        <w:t xml:space="preserve">, </w:t>
      </w:r>
      <w:r w:rsidR="00D45515" w:rsidRPr="00344485">
        <w:rPr>
          <w:i/>
          <w:iCs/>
        </w:rPr>
        <w:t>UCI-OnPUSCH-List</w:t>
      </w:r>
      <w:r w:rsidR="00D45515">
        <w:rPr>
          <w:i/>
          <w:iCs/>
        </w:rPr>
        <w:t>DCI-0-2</w:t>
      </w:r>
      <w:r w:rsidR="00D45515" w:rsidRPr="00344485">
        <w:t xml:space="preserve">, </w:t>
      </w:r>
      <w:r w:rsidR="00D45515">
        <w:rPr>
          <w:i/>
          <w:iCs/>
        </w:rPr>
        <w:t>PDSCH</w:t>
      </w:r>
      <w:r w:rsidR="00D45515" w:rsidRPr="00344485">
        <w:rPr>
          <w:i/>
          <w:iCs/>
        </w:rPr>
        <w:t>-CodeBlockGroupTransmissionList</w:t>
      </w:r>
      <w:r w:rsidR="00D45515" w:rsidRPr="00F400CB">
        <w:t>}</w:t>
      </w:r>
      <w:r w:rsidRPr="00F400CB">
        <w:t>, respectively, for use with the fi</w:t>
      </w:r>
      <w:r w:rsidRPr="00D626A0">
        <w:t>rst and second HARQ-ACK codebooks, respectivel</w:t>
      </w:r>
      <w:r w:rsidRPr="001858BC">
        <w:t>y</w:t>
      </w:r>
    </w:p>
    <w:p w14:paraId="4F54EB63" w14:textId="66752D91" w:rsidR="005736C2" w:rsidRDefault="00D508B4" w:rsidP="005736C2">
      <w:r>
        <w:t xml:space="preserve">If a UE receives a PDSCH without receiving a corresponding PDCCH, or if the UE receives a PDCCH indicating a SPS PDSCH release, the UE </w:t>
      </w:r>
      <w:r w:rsidRPr="00B916EC">
        <w:t xml:space="preserve">generates one </w:t>
      </w:r>
      <w:r>
        <w:t xml:space="preserve">corresponding </w:t>
      </w:r>
      <w:r w:rsidRPr="00B916EC">
        <w:t>HARQ-ACK information bit</w:t>
      </w:r>
      <w:r>
        <w:t>.</w:t>
      </w:r>
      <w:r w:rsidR="00D24A96">
        <w:t xml:space="preserve"> If the UE generates two HARQ-ACK codebooks, the UE is indicated by </w:t>
      </w:r>
      <w:r w:rsidR="00D24A96" w:rsidRPr="002A7A49">
        <w:rPr>
          <w:i/>
          <w:iCs/>
          <w:szCs w:val="22"/>
        </w:rPr>
        <w:t>harq-CodebookID</w:t>
      </w:r>
      <w:r w:rsidR="00D24A96">
        <w:t xml:space="preserve">, per SPS PDSCH configuration, a HARQ-ACK codebook index for multiplexing the corresponding </w:t>
      </w:r>
      <w:r w:rsidR="00D24A96" w:rsidRPr="00B916EC">
        <w:t>HARQ-ACK information bit</w:t>
      </w:r>
      <w:r w:rsidR="00D24A96">
        <w:t>.</w:t>
      </w:r>
      <w:r w:rsidR="005736C2" w:rsidRPr="005736C2">
        <w:t xml:space="preserve"> </w:t>
      </w:r>
    </w:p>
    <w:p w14:paraId="07D71D92" w14:textId="505764DD" w:rsidR="005736C2" w:rsidRPr="000309D3" w:rsidRDefault="005736C2" w:rsidP="005736C2">
      <w:pPr>
        <w:rPr>
          <w:lang w:eastAsia="zh-CN"/>
        </w:rPr>
      </w:pPr>
      <w:r w:rsidRPr="000309D3">
        <w:rPr>
          <w:lang w:eastAsia="zh-CN"/>
        </w:rPr>
        <w:t xml:space="preserve">If a UE is provided </w:t>
      </w:r>
      <w:r w:rsidRPr="000309D3">
        <w:rPr>
          <w:i/>
          <w:lang w:eastAsia="zh-CN"/>
        </w:rPr>
        <w:t>pdsch-HARQ-ACK-OneShotFeedback</w:t>
      </w:r>
      <w:r w:rsidRPr="000309D3">
        <w:rPr>
          <w:iCs/>
        </w:rPr>
        <w:t xml:space="preserve"> and the UE detects a</w:t>
      </w:r>
      <w:r w:rsidRPr="000309D3">
        <w:rPr>
          <w:lang w:eastAsia="zh-CN"/>
        </w:rPr>
        <w:t xml:space="preserve"> DCI format in any PDCCH monitoring occasion that includes a One-shot HARQ-ACK request field with value 1</w:t>
      </w:r>
    </w:p>
    <w:p w14:paraId="62960D07" w14:textId="52C369BC" w:rsidR="005736C2" w:rsidRPr="000309D3" w:rsidRDefault="005736C2" w:rsidP="00F44350">
      <w:pPr>
        <w:pStyle w:val="B1"/>
      </w:pPr>
      <w:r w:rsidRPr="000309D3">
        <w:t>-</w:t>
      </w:r>
      <w:r w:rsidRPr="000309D3">
        <w:tab/>
        <w:t xml:space="preserve">the UE includes the HARQ-ACK information in a Type-3 HARQ-ACK codebook, as described </w:t>
      </w:r>
      <w:r w:rsidR="006F5F9E">
        <w:t>in clause</w:t>
      </w:r>
      <w:r w:rsidRPr="000309D3">
        <w:t xml:space="preserve"> 9.1.4</w:t>
      </w:r>
    </w:p>
    <w:p w14:paraId="25FC8721" w14:textId="5F7F1E59" w:rsidR="00D24A96" w:rsidRPr="005736C2" w:rsidRDefault="005736C2" w:rsidP="00F44350">
      <w:pPr>
        <w:pStyle w:val="B1"/>
      </w:pPr>
      <w:r w:rsidRPr="000309D3">
        <w:t>-</w:t>
      </w:r>
      <w:r w:rsidRPr="000309D3">
        <w:tab/>
        <w:t xml:space="preserve">the UE </w:t>
      </w:r>
      <w:r w:rsidRPr="000309D3">
        <w:rPr>
          <w:rFonts w:hint="eastAsia"/>
          <w:lang w:eastAsia="zh-CN"/>
        </w:rPr>
        <w:t>does</w:t>
      </w:r>
      <w:r w:rsidRPr="000309D3">
        <w:rPr>
          <w:lang w:eastAsia="zh-CN"/>
        </w:rPr>
        <w:t xml:space="preserve"> </w:t>
      </w:r>
      <w:r w:rsidRPr="000309D3">
        <w:rPr>
          <w:rFonts w:hint="eastAsia"/>
          <w:lang w:eastAsia="zh-CN"/>
        </w:rPr>
        <w:t>not</w:t>
      </w:r>
      <w:r w:rsidRPr="000309D3">
        <w:t xml:space="preserve"> expect that the PDSCH-to-HARQ_feedback timing indicator field of the DCI </w:t>
      </w:r>
      <w:r>
        <w:rPr>
          <w:lang w:val="en-US"/>
        </w:rPr>
        <w:t xml:space="preserve">format </w:t>
      </w:r>
      <w:r w:rsidRPr="000309D3">
        <w:t xml:space="preserve">provides an inapplicable value from </w:t>
      </w:r>
      <w:r w:rsidRPr="000309D3">
        <w:rPr>
          <w:i/>
          <w:iCs/>
        </w:rPr>
        <w:t>dl-DataToUL-ACK</w:t>
      </w:r>
      <w:r w:rsidR="00D45515">
        <w:rPr>
          <w:i/>
          <w:iCs/>
          <w:lang w:val="en-US"/>
        </w:rPr>
        <w:t>-r16</w:t>
      </w:r>
      <w:r w:rsidR="00336069" w:rsidRPr="00336069">
        <w:rPr>
          <w:lang w:val="en-US"/>
        </w:rPr>
        <w:t xml:space="preserve"> </w:t>
      </w:r>
      <w:r w:rsidR="00336069" w:rsidRPr="003423E2">
        <w:rPr>
          <w:lang w:val="en-US"/>
        </w:rPr>
        <w:t>or</w:t>
      </w:r>
      <w:r w:rsidR="00336069" w:rsidRPr="002B0594">
        <w:rPr>
          <w:i/>
          <w:iCs/>
        </w:rPr>
        <w:t xml:space="preserve"> dl-DataToUL-ACK-r17</w:t>
      </w:r>
    </w:p>
    <w:p w14:paraId="752A2299" w14:textId="50C743B9" w:rsidR="00D508B4" w:rsidRDefault="00D24A96" w:rsidP="00D508B4">
      <w:r w:rsidRPr="00EE027F">
        <w:rPr>
          <w:lang w:eastAsia="zh-CN"/>
        </w:rPr>
        <w:t xml:space="preserve">In the remaining of this </w:t>
      </w:r>
      <w:r w:rsidR="006F5F9E">
        <w:rPr>
          <w:lang w:eastAsia="zh-CN"/>
        </w:rPr>
        <w:t>clause</w:t>
      </w:r>
      <w:r>
        <w:t>, reference is to one HARQ-ACK codebook</w:t>
      </w:r>
      <w:r w:rsidR="002F7AB8">
        <w:t xml:space="preserve"> and to DCI formats that schedule PDSCH reception, or </w:t>
      </w:r>
      <w:r w:rsidR="00C821B1" w:rsidRPr="00F415B1">
        <w:rPr>
          <w:lang w:val="en-US" w:eastAsia="x-none"/>
        </w:rPr>
        <w:t>have associated HARQ-ACK information</w:t>
      </w:r>
      <w:r w:rsidR="002F7AB8">
        <w:t xml:space="preserve"> without scheduling a PDSCH reception and are associated with the HARQ-ACK codebook</w:t>
      </w:r>
      <w:r>
        <w:t>.</w:t>
      </w:r>
    </w:p>
    <w:p w14:paraId="6EAB14B0" w14:textId="77777777" w:rsidR="007B5C33" w:rsidRDefault="007B5C33" w:rsidP="00291D70">
      <w:r w:rsidRPr="00F656E9">
        <w:t xml:space="preserve">If a UE is </w:t>
      </w:r>
      <w:r w:rsidRPr="002B0CD1">
        <w:t>required</w:t>
      </w:r>
      <w:r w:rsidRPr="00F656E9">
        <w:t xml:space="preserve"> to receive SPS PDSCHs in a slot according to Clause 5.1 of [6] and Clause 11.1 for SPS configurations that are indicated to be released by a DCI format, the UE is not expected to receive the DCI format in the slot if the end of the last symbol of the PDCCH reception is after the end of a last symbol of any of the SPS PDSCH receptions. For </w:t>
      </w:r>
      <w:r>
        <w:t>a SPS configuration</w:t>
      </w:r>
      <w:r w:rsidRPr="00F656E9">
        <w:t xml:space="preserve"> subject to </w:t>
      </w:r>
      <w:r w:rsidRPr="00585EC6">
        <w:rPr>
          <w:i/>
        </w:rPr>
        <w:t xml:space="preserve">pdsch-AggregationFactor </w:t>
      </w:r>
      <w:r w:rsidRPr="00340EAF">
        <w:t>or</w:t>
      </w:r>
      <w:r w:rsidRPr="00585EC6">
        <w:rPr>
          <w:i/>
        </w:rPr>
        <w:t xml:space="preserve"> pdsch-AggregationFactor-r16</w:t>
      </w:r>
      <w:r w:rsidRPr="00F656E9">
        <w:t xml:space="preserve">, the UE is not expected to receive the DCI format in a slot containing </w:t>
      </w:r>
      <w:r>
        <w:t xml:space="preserve">a </w:t>
      </w:r>
      <w:r w:rsidRPr="00F656E9">
        <w:t>SPS</w:t>
      </w:r>
      <w:r w:rsidRPr="002B0CD1">
        <w:t xml:space="preserve"> </w:t>
      </w:r>
      <w:r w:rsidRPr="00F656E9">
        <w:t>PDSCH transmission occasion other than the first transmission occasion required to be received by the UE</w:t>
      </w:r>
      <w:r w:rsidRPr="00B33398">
        <w:t xml:space="preserve"> for a TB</w:t>
      </w:r>
      <w:r>
        <w:t>.</w:t>
      </w:r>
    </w:p>
    <w:p w14:paraId="4348D82D" w14:textId="704A5504" w:rsidR="004C54EC" w:rsidRPr="002716D6" w:rsidRDefault="004C54EC" w:rsidP="00291D70">
      <w:r w:rsidRPr="002716D6">
        <w:t xml:space="preserve">If </w:t>
      </w:r>
      <w:r>
        <w:t xml:space="preserve">a </w:t>
      </w:r>
      <w:r w:rsidRPr="002716D6">
        <w:t>UE is configured to receive SPS PDSCH</w:t>
      </w:r>
      <w:r w:rsidR="002B50AF">
        <w:t>s</w:t>
      </w:r>
      <w:r w:rsidRPr="002716D6">
        <w:t xml:space="preserve"> in a slot for SPS configuration</w:t>
      </w:r>
      <w:r w:rsidR="002B50AF">
        <w:rPr>
          <w:rFonts w:cs="Times"/>
        </w:rPr>
        <w:t>s that are indicated to be released by a DCI format</w:t>
      </w:r>
      <w:r w:rsidRPr="002716D6">
        <w:t xml:space="preserve">, and if the UE receives </w:t>
      </w:r>
      <w:r w:rsidR="002B50AF">
        <w:t>the</w:t>
      </w:r>
      <w:r w:rsidR="002B50AF" w:rsidRPr="002716D6">
        <w:t xml:space="preserve"> </w:t>
      </w:r>
      <w:r w:rsidRPr="002716D6">
        <w:t xml:space="preserve">PDCCH </w:t>
      </w:r>
      <w:r w:rsidR="002B50AF">
        <w:rPr>
          <w:rFonts w:cs="Times"/>
        </w:rPr>
        <w:t>providing the DCI format</w:t>
      </w:r>
      <w:r w:rsidRPr="002716D6">
        <w:t xml:space="preserve"> in the slot, and if HARQ-ACK information for the SPS PDSCH release and the SPS PDSCH </w:t>
      </w:r>
      <w:r>
        <w:t>reception</w:t>
      </w:r>
      <w:r w:rsidR="002B50AF">
        <w:t>s</w:t>
      </w:r>
      <w:r>
        <w:t xml:space="preserve"> </w:t>
      </w:r>
      <w:r w:rsidRPr="002716D6">
        <w:t xml:space="preserve">would </w:t>
      </w:r>
      <w:r>
        <w:t>be multiplexed in a</w:t>
      </w:r>
      <w:r w:rsidRPr="002716D6">
        <w:t xml:space="preserve"> same PUCCH, the UE does not expect </w:t>
      </w:r>
      <w:r w:rsidRPr="002716D6">
        <w:lastRenderedPageBreak/>
        <w:t>to receive the SPS PDSCH</w:t>
      </w:r>
      <w:r w:rsidR="002B50AF">
        <w:t>s</w:t>
      </w:r>
      <w:r>
        <w:t>, does not generate HARQ-ACK information for the SPS PDSCH reception</w:t>
      </w:r>
      <w:r w:rsidR="002B50AF">
        <w:t>s</w:t>
      </w:r>
      <w:r w:rsidRPr="002716D6">
        <w:t xml:space="preserve">, and generates a HARQ-ACK information bit for </w:t>
      </w:r>
      <w:r>
        <w:t xml:space="preserve">the </w:t>
      </w:r>
      <w:r w:rsidRPr="002716D6">
        <w:t>SPS PDSCH release.</w:t>
      </w:r>
    </w:p>
    <w:p w14:paraId="0AF370D4" w14:textId="77777777" w:rsidR="007B5C33" w:rsidRPr="00650691" w:rsidRDefault="007B5C33" w:rsidP="007B5C33">
      <w:pPr>
        <w:rPr>
          <w:lang w:val="en-US" w:eastAsia="ko-KR"/>
        </w:rPr>
      </w:pPr>
      <w:r w:rsidRPr="00650691">
        <w:rPr>
          <w:rFonts w:hint="eastAsia"/>
        </w:rPr>
        <w:t xml:space="preserve">If a UE is configured to receive SPS PDSCH(s) in a slot for SPS configuration(s), the UE does not expect to receive a PDCCH </w:t>
      </w:r>
      <w:r w:rsidRPr="002B0CD1">
        <w:rPr>
          <w:rFonts w:hint="eastAsia"/>
        </w:rPr>
        <w:t>providing</w:t>
      </w:r>
      <w:r w:rsidRPr="00650691">
        <w:rPr>
          <w:rFonts w:hint="eastAsia"/>
        </w:rPr>
        <w:t xml:space="preserve"> a DCI format in the slot to indicate SPS PDSCH release of these SPS configuration(s), if HARQ-ACK information for the SPS PDSCH release and the SPS PDSCH reception(s) would map to different PUCCHs.</w:t>
      </w:r>
    </w:p>
    <w:p w14:paraId="1E3EE489" w14:textId="3ABC22E4" w:rsidR="00B25F5D" w:rsidRPr="00A312BF" w:rsidRDefault="00B25F5D" w:rsidP="00B25F5D">
      <w:r w:rsidRPr="00A312BF">
        <w:t xml:space="preserve">If a UE detects a DCI format 1_1 </w:t>
      </w:r>
      <w:r w:rsidR="00AA7C57" w:rsidRPr="006224D8">
        <w:rPr>
          <w:kern w:val="2"/>
          <w:lang w:eastAsia="zh-CN"/>
        </w:rPr>
        <w:t xml:space="preserve">or a DCI format 1_3 </w:t>
      </w:r>
      <w:r w:rsidRPr="00A312BF">
        <w:t xml:space="preserve">indicating </w:t>
      </w:r>
    </w:p>
    <w:p w14:paraId="78B6957A" w14:textId="253781C1" w:rsidR="00E07547" w:rsidRPr="00A312BF" w:rsidRDefault="00E07547" w:rsidP="00E07547">
      <w:pPr>
        <w:pStyle w:val="B1"/>
      </w:pPr>
      <w:r w:rsidRPr="00A312BF">
        <w:t>-</w:t>
      </w:r>
      <w:r w:rsidRPr="00A312BF">
        <w:tab/>
        <w:t>S</w:t>
      </w:r>
      <w:r>
        <w:rPr>
          <w:lang w:val="en-US"/>
        </w:rPr>
        <w:t>C</w:t>
      </w:r>
      <w:r w:rsidRPr="00A312BF">
        <w:t>ell</w:t>
      </w:r>
      <w:r>
        <w:rPr>
          <w:lang w:val="en-US"/>
        </w:rPr>
        <w:t xml:space="preserve"> dormancy</w:t>
      </w:r>
      <w:r w:rsidR="00026DA2">
        <w:rPr>
          <w:lang w:val="en-US"/>
        </w:rPr>
        <w:t xml:space="preserve"> without scheduling a PDSCH reception</w:t>
      </w:r>
      <w:r w:rsidRPr="00A312BF">
        <w:t xml:space="preserve">, as described </w:t>
      </w:r>
      <w:r w:rsidR="006F5F9E">
        <w:t>in clause</w:t>
      </w:r>
      <w:r w:rsidRPr="00A312BF">
        <w:t xml:space="preserve"> </w:t>
      </w:r>
      <w:r>
        <w:rPr>
          <w:lang w:val="en-US"/>
        </w:rPr>
        <w:t>10.3</w:t>
      </w:r>
      <w:r w:rsidRPr="00A312BF">
        <w:t>, and</w:t>
      </w:r>
    </w:p>
    <w:p w14:paraId="32F263C5" w14:textId="22024C8A" w:rsidR="00B25F5D" w:rsidRPr="00A312BF" w:rsidRDefault="00B25F5D" w:rsidP="00A312BF">
      <w:pPr>
        <w:pStyle w:val="B1"/>
        <w:rPr>
          <w:rFonts w:cs="Arial"/>
          <w:lang w:eastAsia="zh-CN"/>
        </w:rPr>
      </w:pPr>
      <w:r w:rsidRPr="00A312BF">
        <w:t>-</w:t>
      </w:r>
      <w:r w:rsidRPr="00A312BF">
        <w:tab/>
        <w:t xml:space="preserve">is provided </w:t>
      </w:r>
      <w:r w:rsidRPr="00A312BF">
        <w:rPr>
          <w:i/>
          <w:lang w:val="en-US" w:eastAsia="zh-CN"/>
        </w:rPr>
        <w:t>pdsch-</w:t>
      </w:r>
      <w:r w:rsidRPr="00A312BF">
        <w:rPr>
          <w:rFonts w:cs="Arial"/>
          <w:i/>
          <w:lang w:eastAsia="zh-CN"/>
        </w:rPr>
        <w:t>HARQ-ACK-Codebook = dynamic</w:t>
      </w:r>
      <w:r w:rsidRPr="00A312BF">
        <w:rPr>
          <w:rFonts w:cs="Arial"/>
          <w:lang w:eastAsia="zh-CN"/>
        </w:rPr>
        <w:t xml:space="preserve"> </w:t>
      </w:r>
      <w:r w:rsidR="005736C2" w:rsidRPr="005445DF">
        <w:rPr>
          <w:rFonts w:cs="Arial"/>
          <w:iCs/>
          <w:lang w:eastAsia="zh-CN"/>
        </w:rPr>
        <w:t xml:space="preserve">or </w:t>
      </w:r>
      <w:r w:rsidR="00D45515" w:rsidRPr="00221BBC">
        <w:rPr>
          <w:i/>
          <w:lang w:val="en-US" w:eastAsia="zh-CN"/>
        </w:rPr>
        <w:t>pdsch-</w:t>
      </w:r>
      <w:r w:rsidR="00D45515">
        <w:rPr>
          <w:rFonts w:cs="Arial"/>
          <w:i/>
          <w:lang w:eastAsia="zh-CN"/>
        </w:rPr>
        <w:t>HARQ-ACK-Codebook-r16</w:t>
      </w:r>
    </w:p>
    <w:p w14:paraId="17EA4852" w14:textId="7EDE185A" w:rsidR="00B25F5D" w:rsidRDefault="00B25F5D" w:rsidP="00B25F5D">
      <w:pPr>
        <w:rPr>
          <w:lang w:eastAsia="zh-CN"/>
        </w:rPr>
      </w:pPr>
      <w:r>
        <w:t xml:space="preserve">the UE generates a </w:t>
      </w:r>
      <w:r w:rsidRPr="00B916EC">
        <w:t>HARQ-ACK information bit</w:t>
      </w:r>
      <w:r>
        <w:t xml:space="preserve"> as described </w:t>
      </w:r>
      <w:r w:rsidR="006F5F9E">
        <w:t>in clause</w:t>
      </w:r>
      <w:r>
        <w:t xml:space="preserve"> 9.1.3 for a DCI format 1_1 </w:t>
      </w:r>
      <w:r w:rsidR="00AA7C57" w:rsidRPr="006224D8">
        <w:rPr>
          <w:kern w:val="2"/>
          <w:lang w:eastAsia="zh-CN"/>
        </w:rPr>
        <w:t xml:space="preserve">or a DCI format 1_3 </w:t>
      </w:r>
      <w:r w:rsidR="00E07547">
        <w:t xml:space="preserve">indicating </w:t>
      </w:r>
      <w:r w:rsidR="00E07547">
        <w:rPr>
          <w:lang w:val="en-US"/>
        </w:rPr>
        <w:t>SCell dormancy</w:t>
      </w:r>
      <w:r>
        <w:t xml:space="preserve"> </w:t>
      </w:r>
      <w:r w:rsidR="00AA7C57" w:rsidRPr="006224D8">
        <w:rPr>
          <w:lang w:val="en-US"/>
        </w:rPr>
        <w:t>without scheduling a PDSCH reception</w:t>
      </w:r>
      <w:r w:rsidR="00AA7C57" w:rsidRPr="006224D8">
        <w:t xml:space="preserve"> </w:t>
      </w:r>
      <w:r>
        <w:t>and the HARQ-ACK information bit value is ACK.</w:t>
      </w:r>
    </w:p>
    <w:p w14:paraId="6C7E4AA1" w14:textId="77777777" w:rsidR="00D508B4" w:rsidRDefault="00D508B4" w:rsidP="00D508B4">
      <w:r w:rsidRPr="00B916EC">
        <w:t xml:space="preserve">If a UE is not </w:t>
      </w:r>
      <w:r w:rsidR="00011FE0">
        <w:t>provided</w:t>
      </w:r>
      <w:r w:rsidRPr="00B916EC">
        <w:t xml:space="preserve"> </w:t>
      </w:r>
      <w:r w:rsidR="00011FE0" w:rsidRPr="00221BBC">
        <w:rPr>
          <w:i/>
        </w:rPr>
        <w:t>PDSCH-CodeBlockGroupTransmission</w:t>
      </w:r>
      <w:r w:rsidRPr="00B916EC">
        <w:t xml:space="preserve">, the UE generates one HARQ-ACK information bit per transport block. </w:t>
      </w:r>
    </w:p>
    <w:p w14:paraId="4401F6DA" w14:textId="2682C101" w:rsidR="00B23B5A" w:rsidRDefault="00B23B5A" w:rsidP="00B23B5A">
      <w:r>
        <w:t>For a HARQ-ACK information bit, a</w:t>
      </w:r>
      <w:r w:rsidRPr="00D47130">
        <w:t xml:space="preserve"> UE generates </w:t>
      </w:r>
      <w:r w:rsidR="00514F9A" w:rsidRPr="00EE027F">
        <w:t>a positive acknowledgement (ACK)</w:t>
      </w:r>
      <w:r w:rsidRPr="00D47130">
        <w:t xml:space="preserve"> </w:t>
      </w:r>
      <w:r>
        <w:t xml:space="preserve">if the UE detects a DCI format that provides a SPS PDSCH release </w:t>
      </w:r>
      <w:r w:rsidR="00B52E7C" w:rsidRPr="00532DA3">
        <w:rPr>
          <w:rFonts w:cs="Times"/>
        </w:rPr>
        <w:t xml:space="preserve">or detects a DCI format that does not schedule PDSCH reception and indicates a TCI state update </w:t>
      </w:r>
      <w:r>
        <w:t xml:space="preserve">or correctly decodes </w:t>
      </w:r>
      <w:r w:rsidRPr="00D47130">
        <w:t xml:space="preserve">a </w:t>
      </w:r>
      <w:r>
        <w:t>transport block,</w:t>
      </w:r>
      <w:r w:rsidRPr="00D47130">
        <w:t xml:space="preserve"> and generates a </w:t>
      </w:r>
      <w:r w:rsidR="00514F9A" w:rsidRPr="00EE027F">
        <w:t>negative acknowledgement (</w:t>
      </w:r>
      <w:r w:rsidRPr="00D47130">
        <w:t>NACK</w:t>
      </w:r>
      <w:r w:rsidR="00514F9A">
        <w:t>)</w:t>
      </w:r>
      <w:r w:rsidRPr="00D47130">
        <w:t xml:space="preserve"> if the UE does not </w:t>
      </w:r>
      <w:r>
        <w:t xml:space="preserve">correctly </w:t>
      </w:r>
      <w:r w:rsidRPr="00D47130">
        <w:t xml:space="preserve">decode the </w:t>
      </w:r>
      <w:r>
        <w:t>transport block</w:t>
      </w:r>
      <w:r w:rsidRPr="00D47130">
        <w:t>.</w:t>
      </w:r>
      <w:r w:rsidR="00514F9A">
        <w:t xml:space="preserve"> </w:t>
      </w:r>
      <w:r w:rsidR="00514F9A" w:rsidRPr="00EE027F">
        <w:t>A HARQ-ACK information bit value of 0 represents a NACK while a HARQ-ACK information bit value of 1 represents an ACK.</w:t>
      </w:r>
    </w:p>
    <w:p w14:paraId="69213580" w14:textId="23326EBD" w:rsidR="00030139" w:rsidRPr="00030139" w:rsidRDefault="00D508B4" w:rsidP="00030139">
      <w:pPr>
        <w:rPr>
          <w:lang w:eastAsia="x-none"/>
        </w:rPr>
      </w:pPr>
      <w:r>
        <w:rPr>
          <w:lang w:eastAsia="x-none"/>
        </w:rPr>
        <w:t xml:space="preserve">In the following, the CRC for </w:t>
      </w:r>
      <w:r w:rsidR="00514F9A">
        <w:rPr>
          <w:lang w:eastAsia="x-none"/>
        </w:rPr>
        <w:t xml:space="preserve">a </w:t>
      </w:r>
      <w:r>
        <w:rPr>
          <w:lang w:eastAsia="x-none"/>
        </w:rPr>
        <w:t>DCI format</w:t>
      </w:r>
      <w:r w:rsidR="001D2251">
        <w:rPr>
          <w:lang w:eastAsia="x-none"/>
        </w:rPr>
        <w:t xml:space="preserve"> </w:t>
      </w:r>
      <w:r>
        <w:rPr>
          <w:lang w:eastAsia="x-none"/>
        </w:rPr>
        <w:t>is scrambled with a C-RNTI</w:t>
      </w:r>
      <w:r w:rsidR="001723CA">
        <w:rPr>
          <w:lang w:eastAsia="x-none"/>
        </w:rPr>
        <w:t>, an MCS-C-RNTI,</w:t>
      </w:r>
      <w:r>
        <w:rPr>
          <w:lang w:eastAsia="x-none"/>
        </w:rPr>
        <w:t xml:space="preserve"> or a CS-RNTI</w:t>
      </w:r>
      <w:r w:rsidR="00EB4343" w:rsidRPr="00B06CC2">
        <w:rPr>
          <w:lang w:eastAsia="x-none"/>
        </w:rPr>
        <w:t>, or a G-RNTI</w:t>
      </w:r>
      <w:r w:rsidR="003A3BBF">
        <w:rPr>
          <w:lang w:eastAsia="x-none"/>
        </w:rPr>
        <w:t xml:space="preserve"> </w:t>
      </w:r>
      <w:r w:rsidR="003A3BBF" w:rsidRPr="001607F2">
        <w:t>for multicast</w:t>
      </w:r>
      <w:r w:rsidR="00EB4343" w:rsidRPr="00B06CC2">
        <w:rPr>
          <w:lang w:eastAsia="x-none"/>
        </w:rPr>
        <w:t>, or a G-CS-RNTI</w:t>
      </w:r>
      <w:r>
        <w:rPr>
          <w:lang w:eastAsia="x-none"/>
        </w:rPr>
        <w:t>.</w:t>
      </w:r>
    </w:p>
    <w:p w14:paraId="1F01DBFF" w14:textId="066F35A0" w:rsidR="00D508B4" w:rsidRPr="00D508B4" w:rsidRDefault="00030139" w:rsidP="0009732E">
      <w:pPr>
        <w:rPr>
          <w:lang w:eastAsia="x-none"/>
        </w:rPr>
      </w:pPr>
      <w:r w:rsidRPr="00030139">
        <w:rPr>
          <w:lang w:eastAsia="x-none"/>
        </w:rPr>
        <w:t xml:space="preserve">In the following, if the value of </w:t>
      </w:r>
      <w:r w:rsidRPr="00030139">
        <w:rPr>
          <w:i/>
        </w:rPr>
        <w:t xml:space="preserve">maxNrofCodeWordsScheduledByDCI </w:t>
      </w:r>
      <w:r w:rsidRPr="00030139">
        <w:t xml:space="preserve">is not provided, the value of </w:t>
      </w:r>
      <w:r w:rsidRPr="00030139">
        <w:rPr>
          <w:i/>
        </w:rPr>
        <w:t xml:space="preserve">maxNrofCodeWordsScheduledByDCI </w:t>
      </w:r>
      <w:r w:rsidRPr="00030139">
        <w:t>equals one.</w:t>
      </w:r>
    </w:p>
    <w:p w14:paraId="25617AEA" w14:textId="77777777" w:rsidR="00F37E87" w:rsidRPr="00B916EC" w:rsidRDefault="00F37E87" w:rsidP="00F37E87">
      <w:pPr>
        <w:pStyle w:val="Heading3"/>
      </w:pPr>
      <w:bookmarkStart w:id="422" w:name="_Ref500167871"/>
      <w:bookmarkStart w:id="423" w:name="_Toc12021468"/>
      <w:bookmarkStart w:id="424" w:name="_Toc20311580"/>
      <w:bookmarkStart w:id="425" w:name="_Toc26719405"/>
      <w:bookmarkStart w:id="426" w:name="_Toc29894838"/>
      <w:bookmarkStart w:id="427" w:name="_Toc29899137"/>
      <w:bookmarkStart w:id="428" w:name="_Toc29899555"/>
      <w:bookmarkStart w:id="429" w:name="_Toc29917292"/>
      <w:bookmarkStart w:id="430" w:name="_Toc36498166"/>
      <w:bookmarkStart w:id="431" w:name="_Toc45699192"/>
      <w:bookmarkStart w:id="432" w:name="_Toc161999118"/>
      <w:r w:rsidRPr="00B916EC">
        <w:t>9.1.1</w:t>
      </w:r>
      <w:r w:rsidRPr="00B916EC">
        <w:tab/>
        <w:t>CBG-based HARQ-ACK codebook determination</w:t>
      </w:r>
      <w:bookmarkEnd w:id="422"/>
      <w:bookmarkEnd w:id="423"/>
      <w:bookmarkEnd w:id="424"/>
      <w:bookmarkEnd w:id="425"/>
      <w:bookmarkEnd w:id="426"/>
      <w:bookmarkEnd w:id="427"/>
      <w:bookmarkEnd w:id="428"/>
      <w:bookmarkEnd w:id="429"/>
      <w:bookmarkEnd w:id="430"/>
      <w:bookmarkEnd w:id="431"/>
      <w:bookmarkEnd w:id="432"/>
    </w:p>
    <w:p w14:paraId="27B51C1B" w14:textId="33EF4808" w:rsidR="00011FE0" w:rsidRPr="00B916EC" w:rsidRDefault="00011FE0" w:rsidP="00011FE0">
      <w:r w:rsidRPr="00B916EC">
        <w:t xml:space="preserve">If a UE is </w:t>
      </w:r>
      <w:r>
        <w:t>provided</w:t>
      </w:r>
      <w:r w:rsidRPr="00B916EC">
        <w:t xml:space="preserve"> </w:t>
      </w:r>
      <w:r w:rsidRPr="00221BBC">
        <w:rPr>
          <w:i/>
        </w:rPr>
        <w:t>PDSCH-CodeBlockGroupTransmission</w:t>
      </w:r>
      <w:r w:rsidR="00007F57">
        <w:t xml:space="preserve"> </w:t>
      </w:r>
      <w:r>
        <w:t>for a serving cell</w:t>
      </w:r>
      <w:r w:rsidRPr="00B916EC">
        <w:t xml:space="preserve">, the UE receives </w:t>
      </w:r>
      <w:r w:rsidR="00807CBA">
        <w:t xml:space="preserve">a </w:t>
      </w:r>
      <w:r w:rsidRPr="00B916EC">
        <w:t>PDSCH</w:t>
      </w:r>
      <w:r w:rsidR="00807CBA" w:rsidRPr="00807CBA">
        <w:t xml:space="preserve"> </w:t>
      </w:r>
      <w:r w:rsidR="00807CBA">
        <w:t>scheduled by DCI format 1_1,</w:t>
      </w:r>
      <w:r w:rsidRPr="00B916EC">
        <w:t xml:space="preserve"> that include</w:t>
      </w:r>
      <w:r w:rsidR="00807CBA">
        <w:t>s</w:t>
      </w:r>
      <w:r w:rsidRPr="00B916EC">
        <w:t xml:space="preserve"> code block groups (CBGs) of a transport block</w:t>
      </w:r>
      <w:r w:rsidR="00807CBA">
        <w:t>. T</w:t>
      </w:r>
      <w:r w:rsidRPr="00B916EC">
        <w:t xml:space="preserve">he UE is </w:t>
      </w:r>
      <w:r w:rsidR="00807CBA">
        <w:t xml:space="preserve">also </w:t>
      </w:r>
      <w:r>
        <w:t>provided</w:t>
      </w:r>
      <w:r w:rsidRPr="00B916EC">
        <w:t xml:space="preserve"> </w:t>
      </w:r>
      <w:r w:rsidRPr="00437368">
        <w:rPr>
          <w:i/>
          <w:color w:val="000000"/>
          <w:lang w:val="en-US" w:eastAsia="ja-JP"/>
        </w:rPr>
        <w:t>maxCodeBlockGroupsPerTransportBlock</w:t>
      </w:r>
      <w:r w:rsidRPr="00B916EC">
        <w:t xml:space="preserve"> </w:t>
      </w:r>
      <w:r>
        <w:t xml:space="preserve">indicating </w:t>
      </w:r>
      <w:r w:rsidRPr="00B916EC">
        <w:t xml:space="preserve">a maximum number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HARQ-ACK</m:t>
            </m:r>
          </m:sub>
          <m:sup>
            <m:r>
              <m:rPr>
                <m:sty m:val="p"/>
              </m:rPr>
              <w:rPr>
                <w:rFonts w:ascii="Cambria Math" w:hAnsi="Cambria Math"/>
              </w:rPr>
              <m:t>CBG/TB</m:t>
            </m:r>
            <m:r>
              <w:rPr>
                <w:rFonts w:ascii="Cambria Math" w:hAnsi="Cambria Math"/>
              </w:rPr>
              <m:t>,</m:t>
            </m:r>
            <m:r>
              <m:rPr>
                <m:sty m:val="p"/>
              </m:rPr>
              <w:rPr>
                <w:rFonts w:ascii="Cambria Math" w:hAnsi="Cambria Math"/>
              </w:rPr>
              <m:t>max</m:t>
            </m:r>
          </m:sup>
        </m:sSubSup>
      </m:oMath>
      <w:r w:rsidRPr="00B916EC">
        <w:t xml:space="preserve"> of CBGs for generating respective HARQ-ACK information bits for a transport block reception</w:t>
      </w:r>
      <w:r>
        <w:t xml:space="preserve"> for the</w:t>
      </w:r>
      <w:r w:rsidRPr="00B916EC">
        <w:t xml:space="preserve"> serving cell. </w:t>
      </w:r>
    </w:p>
    <w:p w14:paraId="6A03FB04" w14:textId="60B5C949" w:rsidR="00B23B5A" w:rsidRDefault="00B23B5A" w:rsidP="00B23B5A">
      <w:r w:rsidRPr="00B916EC">
        <w:t xml:space="preserve">For a number of </w:t>
      </w:r>
      <m:oMath>
        <m:r>
          <w:rPr>
            <w:rFonts w:ascii="Cambria Math" w:hAnsi="Cambria Math"/>
          </w:rPr>
          <m:t>C</m:t>
        </m:r>
      </m:oMath>
      <w:r w:rsidR="003A3BBF">
        <w:rPr>
          <w:position w:val="-6"/>
        </w:rPr>
        <w:t xml:space="preserve"> </w:t>
      </w:r>
      <w:r w:rsidRPr="00B916EC">
        <w:t xml:space="preserve">code blocks (CBs) in a transport block, the UE determines a number of CBGs </w:t>
      </w:r>
      <m:oMath>
        <m:r>
          <w:rPr>
            <w:rFonts w:ascii="Cambria Math" w:hAnsi="Cambria Math"/>
          </w:rPr>
          <m:t>M</m:t>
        </m:r>
      </m:oMath>
      <w:r w:rsidR="003A3BBF">
        <w:rPr>
          <w:position w:val="-4"/>
        </w:rPr>
        <w:t xml:space="preserve"> </w:t>
      </w:r>
      <w:r>
        <w:t xml:space="preserve">according to </w:t>
      </w:r>
      <w:r w:rsidR="006F5F9E">
        <w:t>clause</w:t>
      </w:r>
      <w:r>
        <w:t xml:space="preserve"> 5.1.7.1 of [6, TS 38.214] and determines a number of HARQ-ACK bits for the transport block </w:t>
      </w:r>
      <w:r w:rsidRPr="00B916EC">
        <w:t xml:space="preserve">as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HARQ-ACK</m:t>
            </m:r>
          </m:sub>
          <m:sup>
            <m:r>
              <m:rPr>
                <m:sty m:val="p"/>
              </m:rPr>
              <w:rPr>
                <w:rFonts w:ascii="Cambria Math" w:hAnsi="Cambria Math"/>
              </w:rPr>
              <m:t>CBG/TB</m:t>
            </m:r>
          </m:sup>
        </m:sSubSup>
        <m:r>
          <w:rPr>
            <w:rFonts w:ascii="Cambria Math" w:hAnsi="Cambria Math"/>
          </w:rPr>
          <m:t>=M</m:t>
        </m:r>
      </m:oMath>
      <w:r w:rsidRPr="00B916EC">
        <w:t xml:space="preserve">. </w:t>
      </w:r>
    </w:p>
    <w:p w14:paraId="35C1C609" w14:textId="77777777" w:rsidR="00B23B5A" w:rsidRPr="00B916EC" w:rsidRDefault="00B23B5A" w:rsidP="00B23B5A">
      <w:r>
        <w:t xml:space="preserve">The UE generates an ACK for the HARQ-ACK information bit of a CBG if the UE correctly received all code blocks of the CBG and generates a NACK for the HARQ-ACK information bit of a CBG if the UE incorrectly received at least one code block of the CBG. </w:t>
      </w:r>
      <w:r w:rsidRPr="00B916EC">
        <w:t xml:space="preserve">If the UE receives two transport blocks, the UE concatenates the HARQ-ACK information bits for </w:t>
      </w:r>
      <w:r>
        <w:t xml:space="preserve">CBGs of </w:t>
      </w:r>
      <w:r w:rsidRPr="00B916EC">
        <w:t xml:space="preserve">the second transport block after the HARQ-ACK information bits for </w:t>
      </w:r>
      <w:r>
        <w:t xml:space="preserve">CBGs of </w:t>
      </w:r>
      <w:r w:rsidRPr="00B916EC">
        <w:t>the first transport block</w:t>
      </w:r>
      <w:r>
        <w:t>.</w:t>
      </w:r>
    </w:p>
    <w:p w14:paraId="7AEEDF83" w14:textId="77777777" w:rsidR="009974F6" w:rsidRPr="00B916EC" w:rsidRDefault="009974F6" w:rsidP="009974F6">
      <w:r>
        <w:rPr>
          <w:rFonts w:cs="Arial"/>
          <w:lang w:eastAsia="zh-CN"/>
        </w:rPr>
        <w:t>T</w:t>
      </w:r>
      <w:r w:rsidRPr="00B916EC">
        <w:rPr>
          <w:lang w:eastAsia="zh-CN"/>
        </w:rPr>
        <w:t>he HARQ-ACK</w:t>
      </w:r>
      <w:r w:rsidRPr="00B916EC">
        <w:t xml:space="preserve"> codebook includes the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HARQ-ACK</m:t>
            </m:r>
          </m:sub>
          <m:sup>
            <m:r>
              <m:rPr>
                <m:sty m:val="p"/>
              </m:rPr>
              <w:rPr>
                <w:rFonts w:ascii="Cambria Math" w:hAnsi="Cambria Math"/>
              </w:rPr>
              <m:t>CBG/TB</m:t>
            </m:r>
            <m:r>
              <w:rPr>
                <w:rFonts w:ascii="Cambria Math" w:hAnsi="Cambria Math"/>
              </w:rPr>
              <m:t>,</m:t>
            </m:r>
            <m:r>
              <m:rPr>
                <m:sty m:val="p"/>
              </m:rPr>
              <w:rPr>
                <w:rFonts w:ascii="Cambria Math" w:hAnsi="Cambria Math"/>
              </w:rPr>
              <m:t>max</m:t>
            </m:r>
          </m:sup>
        </m:sSubSup>
      </m:oMath>
      <w:r w:rsidRPr="00B916EC">
        <w:rPr>
          <w:rFonts w:eastAsia="Malgun Gothic"/>
        </w:rPr>
        <w:t xml:space="preserve"> HARQ-ACK </w:t>
      </w:r>
      <w:r w:rsidRPr="00317429">
        <w:rPr>
          <w:rFonts w:eastAsia="Malgun Gothic"/>
        </w:rPr>
        <w:t xml:space="preserve">information bits </w:t>
      </w:r>
      <w:r w:rsidRPr="00317429">
        <w:t>in ascending order of CBG index</w:t>
      </w:r>
      <w:r w:rsidRPr="00317429">
        <w:rPr>
          <w:rFonts w:eastAsia="Malgun Gothic"/>
        </w:rPr>
        <w:t xml:space="preserve"> and, if </w:t>
      </w:r>
      <m:oMath>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N</m:t>
                </m:r>
              </m:e>
              <m:sub>
                <m:r>
                  <m:rPr>
                    <m:sty m:val="p"/>
                  </m:rPr>
                  <w:rPr>
                    <w:rFonts w:ascii="Cambria Math" w:hAnsi="Cambria Math"/>
                  </w:rPr>
                  <m:t>HARQ-ACK</m:t>
                </m:r>
              </m:sub>
              <m:sup>
                <m:r>
                  <m:rPr>
                    <m:sty m:val="p"/>
                  </m:rPr>
                  <w:rPr>
                    <w:rFonts w:ascii="Cambria Math" w:hAnsi="Cambria Math"/>
                  </w:rPr>
                  <m:t>CBG/TB</m:t>
                </m:r>
              </m:sup>
            </m:sSubSup>
            <m:r>
              <w:rPr>
                <w:rFonts w:ascii="Cambria Math" w:hAnsi="Cambria Math"/>
              </w:rPr>
              <m:t>&lt;N</m:t>
            </m:r>
          </m:e>
          <m:sub>
            <m:r>
              <m:rPr>
                <m:sty m:val="p"/>
              </m:rPr>
              <w:rPr>
                <w:rFonts w:ascii="Cambria Math" w:hAnsi="Cambria Math"/>
              </w:rPr>
              <m:t>HARQ-ACK</m:t>
            </m:r>
          </m:sub>
          <m:sup>
            <m:r>
              <m:rPr>
                <m:sty m:val="p"/>
              </m:rPr>
              <w:rPr>
                <w:rFonts w:ascii="Cambria Math" w:hAnsi="Cambria Math"/>
              </w:rPr>
              <m:t>CBG/TB</m:t>
            </m:r>
            <m:r>
              <w:rPr>
                <w:rFonts w:ascii="Cambria Math" w:hAnsi="Cambria Math"/>
              </w:rPr>
              <m:t>,</m:t>
            </m:r>
            <m:r>
              <m:rPr>
                <m:sty m:val="p"/>
              </m:rPr>
              <w:rPr>
                <w:rFonts w:ascii="Cambria Math" w:hAnsi="Cambria Math"/>
              </w:rPr>
              <m:t>max</m:t>
            </m:r>
          </m:sup>
        </m:sSubSup>
      </m:oMath>
      <w:r w:rsidRPr="00317429">
        <w:t xml:space="preserve"> for a transport block, the UE generates a NA</w:t>
      </w:r>
      <w:r w:rsidRPr="00B916EC">
        <w:t xml:space="preserve">CK value for the last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HARQ-ACK</m:t>
            </m:r>
          </m:sub>
          <m:sup>
            <m:r>
              <m:rPr>
                <m:sty m:val="p"/>
              </m:rPr>
              <w:rPr>
                <w:rFonts w:ascii="Cambria Math" w:hAnsi="Cambria Math"/>
              </w:rPr>
              <m:t>CBG/TB</m:t>
            </m:r>
            <m:r>
              <w:rPr>
                <w:rFonts w:ascii="Cambria Math" w:hAnsi="Cambria Math"/>
              </w:rPr>
              <m:t>,</m:t>
            </m:r>
            <m:r>
              <m:rPr>
                <m:sty m:val="p"/>
              </m:rPr>
              <w:rPr>
                <w:rFonts w:ascii="Cambria Math" w:hAnsi="Cambria Math"/>
              </w:rPr>
              <m:t>max</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HARQ-ACK</m:t>
            </m:r>
          </m:sub>
          <m:sup>
            <m:r>
              <m:rPr>
                <m:sty m:val="p"/>
              </m:rPr>
              <w:rPr>
                <w:rFonts w:ascii="Cambria Math" w:hAnsi="Cambria Math"/>
              </w:rPr>
              <m:t>CBG/TB</m:t>
            </m:r>
          </m:sup>
        </m:sSubSup>
      </m:oMath>
      <w:r w:rsidRPr="00B916EC">
        <w:t xml:space="preserve"> HARQ-ACK information bits for </w:t>
      </w:r>
      <w:r>
        <w:t>the</w:t>
      </w:r>
      <w:r w:rsidRPr="00B916EC">
        <w:t xml:space="preserve"> transport block in the HARQ-ACK codebook</w:t>
      </w:r>
      <w:r w:rsidRPr="00B916EC">
        <w:rPr>
          <w:rFonts w:eastAsia="Malgun Gothic"/>
        </w:rPr>
        <w:t>.</w:t>
      </w:r>
      <w:r w:rsidRPr="00B916EC">
        <w:t xml:space="preserve"> </w:t>
      </w:r>
    </w:p>
    <w:p w14:paraId="05D6A69C" w14:textId="77777777" w:rsidR="00F37E87" w:rsidRPr="00B916EC" w:rsidRDefault="00F37E87" w:rsidP="0009732E">
      <w:pPr>
        <w:rPr>
          <w:lang w:eastAsia="zh-CN"/>
        </w:rPr>
      </w:pPr>
      <w:r w:rsidRPr="00B916EC">
        <w:t>If the UE generates a HARQ-ACK codebook in response to a retransmission of a transport block, corresponding to a same HARQ process as a previous transmission of the transport block, the UE generates an ACK for each CBG that the UE correctly decoded in a previous transmission of the transport block.</w:t>
      </w:r>
      <w:r w:rsidR="007D5A3F">
        <w:t xml:space="preserve"> </w:t>
      </w:r>
    </w:p>
    <w:p w14:paraId="5D58B2D6" w14:textId="77777777" w:rsidR="009974F6" w:rsidRDefault="009974F6" w:rsidP="009974F6">
      <w:r w:rsidRPr="00B916EC">
        <w:t xml:space="preserve">If a UE correctly detects each of the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HARQ-ACK</m:t>
            </m:r>
          </m:sub>
          <m:sup>
            <m:r>
              <m:rPr>
                <m:sty m:val="p"/>
              </m:rPr>
              <w:rPr>
                <w:rFonts w:ascii="Cambria Math" w:hAnsi="Cambria Math"/>
              </w:rPr>
              <m:t>CBG/TB</m:t>
            </m:r>
          </m:sup>
        </m:sSubSup>
      </m:oMath>
      <w:r w:rsidRPr="00B916EC">
        <w:t xml:space="preserve"> CBGs and does not correctly detect the transport block for the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HARQ-ACK</m:t>
            </m:r>
          </m:sub>
          <m:sup>
            <m:r>
              <m:rPr>
                <m:sty m:val="p"/>
              </m:rPr>
              <w:rPr>
                <w:rFonts w:ascii="Cambria Math" w:hAnsi="Cambria Math"/>
              </w:rPr>
              <m:t>CBG/TB</m:t>
            </m:r>
          </m:sup>
        </m:sSubSup>
      </m:oMath>
      <w:r w:rsidRPr="00B916EC">
        <w:t xml:space="preserve"> CBGs, the UE generates a NACK value for each of the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HARQ-ACK</m:t>
            </m:r>
          </m:sub>
          <m:sup>
            <m:r>
              <m:rPr>
                <m:sty m:val="p"/>
              </m:rPr>
              <w:rPr>
                <w:rFonts w:ascii="Cambria Math" w:hAnsi="Cambria Math"/>
              </w:rPr>
              <m:t>CBG/TB</m:t>
            </m:r>
          </m:sup>
        </m:sSubSup>
      </m:oMath>
      <w:r w:rsidRPr="00B916EC">
        <w:t xml:space="preserve"> CBGs. </w:t>
      </w:r>
    </w:p>
    <w:p w14:paraId="3C4745F1" w14:textId="77777777" w:rsidR="00F37E87" w:rsidRPr="00B916EC" w:rsidRDefault="00F37E87" w:rsidP="007F36B9">
      <w:pPr>
        <w:pStyle w:val="Heading3"/>
      </w:pPr>
      <w:bookmarkStart w:id="433" w:name="_Ref497329097"/>
      <w:bookmarkStart w:id="434" w:name="_Toc12021469"/>
      <w:bookmarkStart w:id="435" w:name="_Toc20311581"/>
      <w:bookmarkStart w:id="436" w:name="_Toc26719406"/>
      <w:bookmarkStart w:id="437" w:name="_Toc29894839"/>
      <w:bookmarkStart w:id="438" w:name="_Toc29899138"/>
      <w:bookmarkStart w:id="439" w:name="_Toc29899556"/>
      <w:bookmarkStart w:id="440" w:name="_Toc29917293"/>
      <w:bookmarkStart w:id="441" w:name="_Toc36498167"/>
      <w:bookmarkStart w:id="442" w:name="_Toc45699193"/>
      <w:bookmarkStart w:id="443" w:name="_Toc161999119"/>
      <w:r w:rsidRPr="00B916EC">
        <w:lastRenderedPageBreak/>
        <w:t>9.1.2</w:t>
      </w:r>
      <w:r w:rsidRPr="00B916EC">
        <w:tab/>
        <w:t>Type-1 HARQ-ACK codebook determination</w:t>
      </w:r>
      <w:bookmarkEnd w:id="433"/>
      <w:bookmarkEnd w:id="434"/>
      <w:bookmarkEnd w:id="435"/>
      <w:bookmarkEnd w:id="436"/>
      <w:bookmarkEnd w:id="437"/>
      <w:bookmarkEnd w:id="438"/>
      <w:bookmarkEnd w:id="439"/>
      <w:bookmarkEnd w:id="440"/>
      <w:bookmarkEnd w:id="441"/>
      <w:bookmarkEnd w:id="442"/>
      <w:bookmarkEnd w:id="443"/>
    </w:p>
    <w:p w14:paraId="1552F2D0" w14:textId="4170B3B9" w:rsidR="00D508B4" w:rsidRDefault="00D508B4" w:rsidP="00D508B4">
      <w:pPr>
        <w:rPr>
          <w:lang w:val="en-US" w:eastAsia="zh-CN"/>
        </w:rPr>
      </w:pPr>
      <w:r>
        <w:rPr>
          <w:lang w:val="en-US" w:eastAsia="zh-CN"/>
        </w:rPr>
        <w:t xml:space="preserve">This </w:t>
      </w:r>
      <w:r w:rsidR="00020E6A">
        <w:rPr>
          <w:lang w:val="en-US" w:eastAsia="zh-CN"/>
        </w:rPr>
        <w:t xml:space="preserve">clause </w:t>
      </w:r>
      <w:r>
        <w:rPr>
          <w:lang w:val="en-US" w:eastAsia="zh-CN"/>
        </w:rPr>
        <w:t xml:space="preserve">applies if the UE is configured with </w:t>
      </w:r>
      <w:r w:rsidR="00011FE0" w:rsidRPr="00AF2C90">
        <w:rPr>
          <w:i/>
          <w:lang w:val="en-US" w:eastAsia="zh-CN"/>
        </w:rPr>
        <w:t>pdsch-</w:t>
      </w:r>
      <w:r w:rsidR="00011FE0" w:rsidRPr="00B916EC">
        <w:rPr>
          <w:rFonts w:cs="Arial"/>
          <w:i/>
          <w:lang w:eastAsia="zh-CN"/>
        </w:rPr>
        <w:t>HARQ-ACK-</w:t>
      </w:r>
      <w:r w:rsidR="00011FE0">
        <w:rPr>
          <w:rFonts w:cs="Arial"/>
          <w:i/>
          <w:lang w:eastAsia="zh-CN"/>
        </w:rPr>
        <w:t>C</w:t>
      </w:r>
      <w:r w:rsidR="00011FE0" w:rsidRPr="00B916EC">
        <w:rPr>
          <w:rFonts w:cs="Arial"/>
          <w:i/>
          <w:lang w:eastAsia="zh-CN"/>
        </w:rPr>
        <w:t>odebook</w:t>
      </w:r>
      <w:r w:rsidR="00011FE0" w:rsidRPr="00B916EC" w:rsidDel="00011FE0">
        <w:rPr>
          <w:rFonts w:cs="Arial"/>
          <w:i/>
          <w:lang w:eastAsia="zh-CN"/>
        </w:rPr>
        <w:t xml:space="preserve"> </w:t>
      </w:r>
      <w:r w:rsidRPr="00B916EC">
        <w:rPr>
          <w:rFonts w:cs="Arial"/>
          <w:i/>
          <w:lang w:eastAsia="zh-CN"/>
        </w:rPr>
        <w:t>=</w:t>
      </w:r>
      <w:r w:rsidR="00011FE0">
        <w:rPr>
          <w:rFonts w:cs="Arial"/>
          <w:i/>
          <w:lang w:eastAsia="zh-CN"/>
        </w:rPr>
        <w:t xml:space="preserve"> </w:t>
      </w:r>
      <w:r w:rsidRPr="00B916EC">
        <w:rPr>
          <w:rFonts w:cs="Arial"/>
          <w:i/>
          <w:lang w:eastAsia="zh-CN"/>
        </w:rPr>
        <w:t>semi-static</w:t>
      </w:r>
      <w:r w:rsidRPr="002001B9">
        <w:rPr>
          <w:rFonts w:cs="Arial"/>
          <w:lang w:eastAsia="zh-CN"/>
        </w:rPr>
        <w:t>.</w:t>
      </w:r>
      <w:r w:rsidR="00735D0B">
        <w:rPr>
          <w:rFonts w:cs="Arial"/>
          <w:lang w:eastAsia="zh-CN"/>
        </w:rPr>
        <w:t xml:space="preserve"> </w:t>
      </w:r>
      <w:r w:rsidR="00735D0B" w:rsidRPr="0088027F">
        <w:rPr>
          <w:rFonts w:cs="Arial"/>
          <w:lang w:eastAsia="zh-CN"/>
        </w:rPr>
        <w:t xml:space="preserve">In clauses 9.1.2, 9.1.2.1, and 9.1.2.2, if the UE is configured </w:t>
      </w:r>
      <w:r w:rsidR="00735D0B" w:rsidRPr="0088027F">
        <w:rPr>
          <w:lang w:val="en-US" w:eastAsia="zh-CN"/>
        </w:rPr>
        <w:t xml:space="preserve">with </w:t>
      </w:r>
      <w:r w:rsidR="00735D0B" w:rsidRPr="0088027F">
        <w:rPr>
          <w:i/>
          <w:lang w:val="en-US" w:eastAsia="zh-CN"/>
        </w:rPr>
        <w:t>pdsch-</w:t>
      </w:r>
      <w:r w:rsidR="00735D0B" w:rsidRPr="0088027F">
        <w:rPr>
          <w:rFonts w:cs="Arial"/>
          <w:i/>
          <w:lang w:eastAsia="zh-CN"/>
        </w:rPr>
        <w:t>HARQ-ACK-Codebook</w:t>
      </w:r>
      <w:r w:rsidR="00735D0B" w:rsidRPr="0088027F" w:rsidDel="00011FE0">
        <w:rPr>
          <w:rFonts w:cs="Arial"/>
          <w:i/>
          <w:lang w:eastAsia="zh-CN"/>
        </w:rPr>
        <w:t xml:space="preserve"> </w:t>
      </w:r>
      <w:r w:rsidR="00735D0B" w:rsidRPr="0088027F">
        <w:rPr>
          <w:rFonts w:cs="Arial"/>
          <w:i/>
          <w:lang w:eastAsia="zh-CN"/>
        </w:rPr>
        <w:t>= semi-static</w:t>
      </w:r>
      <w:r w:rsidR="00735D0B" w:rsidRPr="0088027F">
        <w:rPr>
          <w:rFonts w:cs="Arial"/>
          <w:lang w:eastAsia="zh-CN"/>
        </w:rPr>
        <w:t xml:space="preserve"> for only one of unicast or multicast HARQ-ACK codebook, the Type-1 HARQ-ACK codebook is generated considering only one of respective unicast or multicast configurations for PDSCH receptions or for PDCCH monitoring for detection of DCI formats.</w:t>
      </w:r>
    </w:p>
    <w:p w14:paraId="4FAD3254" w14:textId="77777777" w:rsidR="00A1182D" w:rsidRDefault="00893FE0" w:rsidP="004421AB">
      <w:r w:rsidRPr="00D8176E">
        <w:t>A UE does not provide a Type-1 HARQ-ACK codebook if the Type-1 HARQ-ACK codebook would include only HARQ-ACK information for transport blocks associated with HARQ processes with disabled HARQ-ACK information.</w:t>
      </w:r>
    </w:p>
    <w:p w14:paraId="7E18C561" w14:textId="1103890B" w:rsidR="004421AB" w:rsidRDefault="00CE762A" w:rsidP="004421AB">
      <w:r>
        <w:t xml:space="preserve">If a UE is provided </w:t>
      </w:r>
      <w:r w:rsidR="00B816A6" w:rsidRPr="006D3267">
        <w:rPr>
          <w:i/>
          <w:iCs/>
        </w:rPr>
        <w:t>downlinkHARQ-FeedbackDisabled</w:t>
      </w:r>
      <w:r>
        <w:t xml:space="preserve"> indicating disabled HARQ-ACK information for a HARQ process associated with a transport block in </w:t>
      </w:r>
      <w:r>
        <w:rPr>
          <w:lang w:val="en-US"/>
        </w:rPr>
        <w:t xml:space="preserve">PDSCH </w:t>
      </w:r>
      <w:r>
        <w:rPr>
          <w:rFonts w:hint="eastAsia"/>
          <w:lang w:val="en-US" w:eastAsia="zh-CN"/>
        </w:rPr>
        <w:t>reception</w:t>
      </w:r>
      <w:r w:rsidRPr="00B916EC">
        <w:rPr>
          <w:lang w:eastAsia="zh-CN"/>
        </w:rPr>
        <w:t xml:space="preserve"> occasion</w:t>
      </w:r>
      <w:r w:rsidRPr="00B916EC">
        <w:rPr>
          <w:rFonts w:hint="eastAsia"/>
          <w:lang w:val="en-US" w:eastAsia="zh-CN"/>
        </w:rPr>
        <w:t xml:space="preserve"> </w:t>
      </w:r>
      <m:oMath>
        <m:r>
          <w:rPr>
            <w:rFonts w:ascii="Cambria Math" w:hAnsi="Cambria Math"/>
            <w:lang w:val="en-US" w:eastAsia="zh-CN"/>
          </w:rPr>
          <m:t>m</m:t>
        </m:r>
      </m:oMath>
      <w:r>
        <w:rPr>
          <w:lang w:val="en-US"/>
        </w:rPr>
        <w:t xml:space="preserve"> </w:t>
      </w:r>
      <w:r>
        <w:rPr>
          <w:lang w:val="en-US" w:eastAsia="zh-CN"/>
        </w:rPr>
        <w:t>on</w:t>
      </w:r>
      <w:r w:rsidRPr="00B916EC">
        <w:rPr>
          <w:rFonts w:hint="eastAsia"/>
          <w:lang w:val="en-US" w:eastAsia="zh-CN"/>
        </w:rPr>
        <w:t xml:space="preserve"> </w:t>
      </w:r>
      <w:r w:rsidRPr="00B916EC">
        <w:rPr>
          <w:lang w:val="en-US" w:eastAsia="zh-CN"/>
        </w:rPr>
        <w:t xml:space="preserve">serving </w:t>
      </w:r>
      <w:r w:rsidRPr="00B916EC">
        <w:rPr>
          <w:rFonts w:hint="eastAsia"/>
          <w:lang w:val="en-US" w:eastAsia="zh-CN"/>
        </w:rPr>
        <w:t xml:space="preserve">cell </w:t>
      </w:r>
      <m:oMath>
        <m:r>
          <w:rPr>
            <w:rFonts w:ascii="Cambria Math" w:hAnsi="Cambria Math"/>
            <w:lang w:val="en-US" w:eastAsia="zh-CN"/>
          </w:rPr>
          <m:t>c</m:t>
        </m:r>
      </m:oMath>
      <w:r>
        <w:t xml:space="preserve">, the UE reports a NACK value for a HARQ-ACK information bit corresponding to the transport block in a </w:t>
      </w:r>
      <w:r w:rsidRPr="00C06B59">
        <w:rPr>
          <w:lang w:eastAsia="zh-CN"/>
        </w:rPr>
        <w:t>Type-</w:t>
      </w:r>
      <w:r>
        <w:rPr>
          <w:lang w:eastAsia="zh-CN"/>
        </w:rPr>
        <w:t>1</w:t>
      </w:r>
      <w:r w:rsidRPr="00C06B59">
        <w:rPr>
          <w:lang w:eastAsia="zh-CN"/>
        </w:rPr>
        <w:t xml:space="preserve"> HARQ-ACK codebook </w:t>
      </w:r>
      <w:r>
        <w:t xml:space="preserve">and does not consider the transport block as received in the determination of </w:t>
      </w:r>
      <m:oMath>
        <m:sSubSup>
          <m:sSubSupPr>
            <m:ctrlPr>
              <w:rPr>
                <w:rFonts w:ascii="Cambria Math" w:hAnsi="Cambria Math"/>
                <w:i/>
              </w:rPr>
            </m:ctrlPr>
          </m:sSubSupPr>
          <m:e>
            <m:r>
              <w:rPr>
                <w:rFonts w:ascii="Cambria Math" w:hAnsi="Cambria Math"/>
              </w:rPr>
              <m:t>N</m:t>
            </m:r>
          </m:e>
          <m:sub>
            <m:r>
              <w:rPr>
                <w:rFonts w:ascii="Cambria Math" w:hAnsi="Cambria Math"/>
              </w:rPr>
              <m:t>m,c</m:t>
            </m:r>
          </m:sub>
          <m:sup>
            <m:r>
              <m:rPr>
                <m:sty m:val="p"/>
              </m:rPr>
              <w:rPr>
                <w:rFonts w:ascii="Cambria Math" w:hAnsi="Cambria Math"/>
              </w:rPr>
              <m:t>received</m:t>
            </m:r>
          </m:sup>
        </m:sSubSup>
      </m:oMath>
      <w:r>
        <w:t xml:space="preserve"> in clause 9.1.2.1. If the UE is also provided </w:t>
      </w:r>
      <w:r w:rsidRPr="00221BBC">
        <w:rPr>
          <w:i/>
        </w:rPr>
        <w:t>PDSCH-CodeBlockGroupTransmission</w:t>
      </w:r>
      <w:r>
        <w:rPr>
          <w:iCs/>
        </w:rPr>
        <w:t xml:space="preserve">, the UE reports </w:t>
      </w:r>
      <w:r>
        <w:t xml:space="preserve">NACK values for HARQ-ACK information bits corresponding to CBGs of the transport block in the </w:t>
      </w:r>
      <w:r w:rsidRPr="00C06B59">
        <w:rPr>
          <w:lang w:eastAsia="zh-CN"/>
        </w:rPr>
        <w:t>Type-</w:t>
      </w:r>
      <w:r>
        <w:rPr>
          <w:lang w:eastAsia="zh-CN"/>
        </w:rPr>
        <w:t>1</w:t>
      </w:r>
      <w:r w:rsidRPr="00C06B59">
        <w:rPr>
          <w:lang w:eastAsia="zh-CN"/>
        </w:rPr>
        <w:t xml:space="preserve"> HARQ-ACK codebook </w:t>
      </w:r>
      <w:r>
        <w:t xml:space="preserve">and does not consider the CBGs as received in the determination of </w:t>
      </w:r>
      <m:oMath>
        <m:sSubSup>
          <m:sSubSupPr>
            <m:ctrlPr>
              <w:rPr>
                <w:rFonts w:ascii="Cambria Math" w:hAnsi="Cambria Math"/>
                <w:i/>
              </w:rPr>
            </m:ctrlPr>
          </m:sSubSupPr>
          <m:e>
            <m:r>
              <w:rPr>
                <w:rFonts w:ascii="Cambria Math" w:hAnsi="Cambria Math"/>
              </w:rPr>
              <m:t>N</m:t>
            </m:r>
          </m:e>
          <m:sub>
            <m:r>
              <w:rPr>
                <w:rFonts w:ascii="Cambria Math" w:hAnsi="Cambria Math"/>
              </w:rPr>
              <m:t>m,c</m:t>
            </m:r>
          </m:sub>
          <m:sup>
            <m:r>
              <m:rPr>
                <m:sty m:val="p"/>
              </m:rPr>
              <w:rPr>
                <w:rFonts w:ascii="Cambria Math" w:hAnsi="Cambria Math"/>
              </w:rPr>
              <m:t>received,CBG</m:t>
            </m:r>
          </m:sup>
        </m:sSubSup>
      </m:oMath>
      <w:r>
        <w:t xml:space="preserve"> in clause 9.1.2.1. If the UE is also provided </w:t>
      </w:r>
      <w:r w:rsidR="00B52E7C">
        <w:rPr>
          <w:i/>
          <w:iCs/>
        </w:rPr>
        <w:t>harq</w:t>
      </w:r>
      <w:r w:rsidRPr="0000760B">
        <w:rPr>
          <w:i/>
          <w:iCs/>
        </w:rPr>
        <w:t>-</w:t>
      </w:r>
      <w:r w:rsidRPr="00623C77">
        <w:rPr>
          <w:i/>
          <w:iCs/>
        </w:rPr>
        <w:t>feedbackEnablingforSPSactive</w:t>
      </w:r>
      <w:r w:rsidR="007242CB" w:rsidRPr="00623C77">
        <w:rPr>
          <w:i/>
          <w:iCs/>
        </w:rPr>
        <w:t xml:space="preserve"> </w:t>
      </w:r>
      <w:r w:rsidR="007242CB" w:rsidRPr="00623C77">
        <w:rPr>
          <w:rFonts w:asciiTheme="minorEastAsia" w:eastAsiaTheme="minorEastAsia" w:hAnsiTheme="minorEastAsia" w:hint="eastAsia"/>
          <w:lang w:eastAsia="zh-CN"/>
        </w:rPr>
        <w:t>=</w:t>
      </w:r>
      <w:r w:rsidR="007242CB" w:rsidRPr="00623C77">
        <w:t xml:space="preserve"> '</w:t>
      </w:r>
      <w:r w:rsidR="007242CB" w:rsidRPr="00623C77">
        <w:rPr>
          <w:i/>
          <w:iCs/>
        </w:rPr>
        <w:t>enabled'</w:t>
      </w:r>
      <w:r w:rsidRPr="00623C77">
        <w:t xml:space="preserve">, the UE considers a HARQ process associated with a transport block in a </w:t>
      </w:r>
      <w:r>
        <w:t xml:space="preserve">first SPS </w:t>
      </w:r>
      <w:r>
        <w:rPr>
          <w:lang w:val="en-US"/>
        </w:rPr>
        <w:t xml:space="preserve">PDSCH </w:t>
      </w:r>
      <w:r>
        <w:rPr>
          <w:rFonts w:hint="eastAsia"/>
          <w:lang w:val="en-US" w:eastAsia="zh-CN"/>
        </w:rPr>
        <w:t>reception</w:t>
      </w:r>
      <w:r>
        <w:rPr>
          <w:lang w:val="en-US" w:eastAsia="zh-CN"/>
        </w:rPr>
        <w:t>, after an activation of SPS PDSCH receptions,</w:t>
      </w:r>
      <w:r>
        <w:t xml:space="preserve"> to have enabled HARQ-ACK information and the UE provides a HARQ-ACK information bit according to a decoding outcome for the transport block in the first SPS </w:t>
      </w:r>
      <w:r>
        <w:rPr>
          <w:lang w:val="en-US"/>
        </w:rPr>
        <w:t xml:space="preserve">PDSCH </w:t>
      </w:r>
      <w:r>
        <w:rPr>
          <w:rFonts w:hint="eastAsia"/>
          <w:lang w:val="en-US" w:eastAsia="zh-CN"/>
        </w:rPr>
        <w:t>reception</w:t>
      </w:r>
      <w:r>
        <w:t>.</w:t>
      </w:r>
    </w:p>
    <w:p w14:paraId="77FB84BE" w14:textId="6CEFF712" w:rsidR="00CE762A" w:rsidRPr="004421AB" w:rsidRDefault="004421AB" w:rsidP="00CE762A">
      <w:pPr>
        <w:rPr>
          <w:lang w:val="en-US"/>
        </w:rPr>
      </w:pPr>
      <w:r>
        <w:t xml:space="preserve">If a UE reports HARQ-ACK information </w:t>
      </w:r>
      <w:r>
        <w:rPr>
          <w:lang w:val="en-US"/>
        </w:rPr>
        <w:t xml:space="preserve">associated with a G-RNTI </w:t>
      </w:r>
      <w:r w:rsidR="00B52E7C">
        <w:rPr>
          <w:lang w:val="en-US"/>
        </w:rPr>
        <w:t xml:space="preserve">for multicast </w:t>
      </w:r>
      <w:r>
        <w:rPr>
          <w:lang w:val="en-US"/>
        </w:rPr>
        <w:t>or a G-CS-RNTI with disabled HARQ-ACK information, as described in clause 18, a value of the HARQ-ACK information is a UE implementation choice.</w:t>
      </w:r>
    </w:p>
    <w:p w14:paraId="2A39DB3F" w14:textId="6B64E47E" w:rsidR="00807CBA" w:rsidRDefault="00011FE0" w:rsidP="00011FE0">
      <w:r>
        <w:t>A UE reports HARQ-ACK information for a corresponding PDSCH reception or SPS PDSCH release</w:t>
      </w:r>
      <w:r w:rsidR="006C7330">
        <w:t xml:space="preserve"> </w:t>
      </w:r>
      <w:r w:rsidR="006C7330" w:rsidRPr="00F415B1">
        <w:t>or TCI state update</w:t>
      </w:r>
      <w:r>
        <w:t xml:space="preserve"> only in a HARQ-ACK codebook that the UE transmits in a slot indicated by a value of a PDSCH-to-HARQ_feedback timing indicator field in a corresponding DCI format</w:t>
      </w:r>
      <w:r w:rsidR="00810683" w:rsidRPr="00111FF6">
        <w:rPr>
          <w:lang w:eastAsia="x-none"/>
        </w:rPr>
        <w:t xml:space="preserve"> or provided by </w:t>
      </w:r>
      <w:r w:rsidR="00810683" w:rsidRPr="00111FF6">
        <w:rPr>
          <w:i/>
          <w:iCs/>
          <w:lang w:eastAsia="x-none"/>
        </w:rPr>
        <w:t>dl-DataToUL-ACK</w:t>
      </w:r>
      <w:r w:rsidR="00810683" w:rsidRPr="00111FF6">
        <w:rPr>
          <w:lang w:eastAsia="x-none"/>
        </w:rPr>
        <w:t xml:space="preserve"> or</w:t>
      </w:r>
      <w:r w:rsidR="00810683" w:rsidRPr="00111FF6">
        <w:rPr>
          <w:i/>
          <w:iCs/>
          <w:lang w:eastAsia="x-none"/>
        </w:rPr>
        <w:t xml:space="preserve"> dl-DataToUL-ACK</w:t>
      </w:r>
      <w:r w:rsidR="00810683" w:rsidRPr="00111FF6">
        <w:rPr>
          <w:i/>
          <w:iCs/>
          <w:lang w:val="en-US" w:eastAsia="x-none"/>
        </w:rPr>
        <w:t>-r16</w:t>
      </w:r>
      <w:r w:rsidR="00810683" w:rsidRPr="00111FF6">
        <w:rPr>
          <w:lang w:val="en-US" w:eastAsia="x-none"/>
        </w:rPr>
        <w:t xml:space="preserve"> or </w:t>
      </w:r>
      <w:r w:rsidR="009630C1" w:rsidRPr="00111FF6">
        <w:rPr>
          <w:i/>
        </w:rPr>
        <w:t>dl-DataToUL-ACK</w:t>
      </w:r>
      <w:r w:rsidR="009630C1" w:rsidRPr="00111FF6">
        <w:rPr>
          <w:i/>
          <w:lang w:val="en-US"/>
        </w:rPr>
        <w:t>-DCI-1-2</w:t>
      </w:r>
      <w:r w:rsidR="00810683" w:rsidRPr="00111FF6">
        <w:rPr>
          <w:rFonts w:hint="eastAsia"/>
          <w:lang w:val="en-US" w:eastAsia="zh-CN"/>
        </w:rPr>
        <w:t xml:space="preserve"> </w:t>
      </w:r>
      <w:r w:rsidR="00B816A6" w:rsidRPr="00990E06">
        <w:rPr>
          <w:rFonts w:eastAsia="Malgun Gothic"/>
          <w:lang w:val="en-US" w:eastAsia="zh-CN"/>
        </w:rPr>
        <w:t xml:space="preserve">or </w:t>
      </w:r>
      <w:r w:rsidR="00B816A6" w:rsidRPr="00990E06">
        <w:rPr>
          <w:i/>
          <w:lang w:val="en-US"/>
        </w:rPr>
        <w:t>dl-DataToUL-ACK-r17</w:t>
      </w:r>
      <w:r w:rsidR="00B816A6" w:rsidRPr="00004767">
        <w:rPr>
          <w:iCs/>
          <w:lang w:val="en-US"/>
        </w:rPr>
        <w:t xml:space="preserve"> </w:t>
      </w:r>
      <w:r w:rsidR="00004767" w:rsidRPr="00BA7086">
        <w:rPr>
          <w:lang w:val="en-US"/>
        </w:rPr>
        <w:t xml:space="preserve">or </w:t>
      </w:r>
      <w:r w:rsidR="00004767" w:rsidRPr="006A74E7">
        <w:rPr>
          <w:i/>
          <w:lang w:val="en-US"/>
        </w:rPr>
        <w:t>dl-DataToUL-ACK-v1700</w:t>
      </w:r>
      <w:r w:rsidR="00004767" w:rsidRPr="00004767">
        <w:rPr>
          <w:lang w:val="en-US"/>
        </w:rPr>
        <w:t xml:space="preserve"> </w:t>
      </w:r>
      <w:r w:rsidR="00B816A6" w:rsidRPr="00004767">
        <w:rPr>
          <w:rFonts w:eastAsia="Malgun Gothic"/>
          <w:lang w:val="en-US"/>
        </w:rPr>
        <w:t xml:space="preserve">or </w:t>
      </w:r>
      <w:r w:rsidR="00B816A6" w:rsidRPr="00990E06">
        <w:rPr>
          <w:rFonts w:eastAsia="Malgun Gothic" w:cs="Arial"/>
          <w:bCs/>
          <w:i/>
        </w:rPr>
        <w:t>dl-DataToUL-ACK-DCI-1-2</w:t>
      </w:r>
      <w:r w:rsidR="00B816A6" w:rsidRPr="00990E06">
        <w:rPr>
          <w:rFonts w:eastAsia="Malgun Gothic" w:cs="Arial"/>
          <w:i/>
        </w:rPr>
        <w:t>-r17</w:t>
      </w:r>
      <w:r w:rsidR="00B816A6" w:rsidRPr="00990E06">
        <w:rPr>
          <w:rFonts w:eastAsia="Malgun Gothic" w:hint="eastAsia"/>
          <w:lang w:val="en-US" w:eastAsia="zh-CN"/>
        </w:rPr>
        <w:t xml:space="preserve"> </w:t>
      </w:r>
      <w:r w:rsidR="00810683" w:rsidRPr="00111FF6">
        <w:rPr>
          <w:lang w:eastAsia="x-none"/>
        </w:rPr>
        <w:t>if the PDSCH-to-HARQ_feedback timing indicator field is not present in the DCI format as described in clause 9.2.3</w:t>
      </w:r>
      <w:r>
        <w:t xml:space="preserve">. The UE reports NACK value(s) for HARQ-ACK information bit(s) in a HARQ-ACK codebook that the UE transmits in a slot not indicated by a value of a PDSCH-to-HARQ_feedback timing indicator field in a corresponding DCI format. </w:t>
      </w:r>
    </w:p>
    <w:p w14:paraId="47983D84" w14:textId="56646DF7" w:rsidR="005736C2" w:rsidRDefault="005736C2" w:rsidP="00D1272A">
      <w:r w:rsidRPr="00D839F3">
        <w:t xml:space="preserve">If </w:t>
      </w:r>
      <w:r>
        <w:t>a</w:t>
      </w:r>
      <w:r w:rsidRPr="00D839F3">
        <w:t xml:space="preserve"> UE is not provided </w:t>
      </w:r>
      <w:r w:rsidRPr="00D21C11">
        <w:rPr>
          <w:i/>
          <w:iCs/>
        </w:rPr>
        <w:t>pdsch-HARQ-ACK-OneShotFeedback</w:t>
      </w:r>
      <w:r w:rsidRPr="00D839F3">
        <w:t xml:space="preserve">, the UE does not expect to receive a PDSCH scheduled by a DCI format that the UE detects in any PDCCH monitoring occasion and includes a PDSCH-to-HARQ_feedback timing indicator field providing an inapplicable value from </w:t>
      </w:r>
      <w:r w:rsidRPr="00D21C11">
        <w:rPr>
          <w:i/>
          <w:iCs/>
        </w:rPr>
        <w:t>dl-DataToUL-ACK</w:t>
      </w:r>
      <w:r w:rsidR="002F629C">
        <w:rPr>
          <w:i/>
          <w:iCs/>
        </w:rPr>
        <w:t>-r16</w:t>
      </w:r>
      <w:r w:rsidR="00B816A6" w:rsidRPr="00990E06">
        <w:rPr>
          <w:rFonts w:eastAsia="Malgun Gothic"/>
          <w:iCs/>
        </w:rPr>
        <w:t xml:space="preserve"> </w:t>
      </w:r>
      <w:r w:rsidR="00336069">
        <w:rPr>
          <w:rFonts w:eastAsia="Malgun Gothic"/>
          <w:iCs/>
        </w:rPr>
        <w:t>or</w:t>
      </w:r>
      <w:r w:rsidR="00336069" w:rsidRPr="00990E06">
        <w:rPr>
          <w:rFonts w:eastAsia="Malgun Gothic"/>
          <w:i/>
          <w:iCs/>
        </w:rPr>
        <w:t xml:space="preserve"> </w:t>
      </w:r>
      <w:r w:rsidR="00B816A6" w:rsidRPr="00990E06">
        <w:rPr>
          <w:i/>
          <w:lang w:val="en-US"/>
        </w:rPr>
        <w:t>dl-DataToUL-ACK-r17</w:t>
      </w:r>
      <w:r w:rsidRPr="00D839F3">
        <w:t>.</w:t>
      </w:r>
    </w:p>
    <w:p w14:paraId="218CAEFE" w14:textId="60475474" w:rsidR="0096154A" w:rsidRDefault="00011FE0" w:rsidP="00D1272A">
      <w:r>
        <w:rPr>
          <w:lang w:eastAsia="zh-CN"/>
        </w:rPr>
        <w:t xml:space="preserve">If the UE is provided </w:t>
      </w:r>
      <w:r w:rsidRPr="00D1272A">
        <w:rPr>
          <w:i/>
          <w:iCs/>
        </w:rPr>
        <w:t>pdsch-AggregationFactor</w:t>
      </w:r>
      <w:r w:rsidR="002F629C">
        <w:rPr>
          <w:i/>
          <w:iCs/>
        </w:rPr>
        <w:t>-r16</w:t>
      </w:r>
      <w:r w:rsidR="0096154A">
        <w:t xml:space="preserve"> </w:t>
      </w:r>
      <w:r w:rsidR="004C54EC" w:rsidRPr="00FE19A5">
        <w:t xml:space="preserve">in </w:t>
      </w:r>
      <w:r w:rsidR="004C54EC" w:rsidRPr="00FE19A5">
        <w:rPr>
          <w:i/>
          <w:iCs/>
        </w:rPr>
        <w:t>SPS-Config</w:t>
      </w:r>
      <w:r w:rsidR="004421AB">
        <w:t xml:space="preserve">, </w:t>
      </w:r>
      <w:r w:rsidR="004C54EC" w:rsidRPr="00FE19A5">
        <w:t>or</w:t>
      </w:r>
      <w:r w:rsidR="002F629C">
        <w:t xml:space="preserve"> </w:t>
      </w:r>
      <w:r w:rsidR="002F629C" w:rsidRPr="00D1272A">
        <w:rPr>
          <w:i/>
          <w:iCs/>
        </w:rPr>
        <w:t>pdsch-AggregationFactor</w:t>
      </w:r>
      <w:r w:rsidR="002F629C">
        <w:t xml:space="preserve"> </w:t>
      </w:r>
      <w:r w:rsidR="002F629C" w:rsidRPr="00FE19A5">
        <w:t>in</w:t>
      </w:r>
      <w:r w:rsidR="004C54EC" w:rsidRPr="00FE19A5">
        <w:t xml:space="preserve"> </w:t>
      </w:r>
      <w:r w:rsidR="004C54EC" w:rsidRPr="00FE19A5">
        <w:rPr>
          <w:i/>
          <w:iCs/>
        </w:rPr>
        <w:t>PDSCH-Config</w:t>
      </w:r>
      <w:r w:rsidR="004C54EC" w:rsidRPr="00FE19A5">
        <w:t xml:space="preserve"> </w:t>
      </w:r>
      <w:r w:rsidR="0096154A" w:rsidRPr="00DD087B">
        <w:rPr>
          <w:rFonts w:hint="eastAsia"/>
          <w:lang w:eastAsia="zh-CN"/>
        </w:rPr>
        <w:t>and no</w:t>
      </w:r>
      <w:r w:rsidR="0096154A" w:rsidRPr="00DD087B">
        <w:t xml:space="preserve"> entry in </w:t>
      </w:r>
      <w:r w:rsidR="0096154A" w:rsidRPr="00D1272A">
        <w:rPr>
          <w:i/>
        </w:rPr>
        <w:t>pdsch-TimeDomainAllocationList</w:t>
      </w:r>
      <w:r w:rsidR="0096154A" w:rsidRPr="00DD087B">
        <w:rPr>
          <w:iCs/>
        </w:rPr>
        <w:t xml:space="preserve"> </w:t>
      </w:r>
      <w:r w:rsidR="0076055D" w:rsidRPr="009056EF">
        <w:rPr>
          <w:iCs/>
        </w:rPr>
        <w:t xml:space="preserve">and </w:t>
      </w:r>
      <w:r w:rsidR="0076055D" w:rsidRPr="009056EF">
        <w:rPr>
          <w:i/>
          <w:iCs/>
        </w:rPr>
        <w:t>pdsch-TimeDomainAllocationListDCI-1-2</w:t>
      </w:r>
      <w:r w:rsidR="0076055D" w:rsidRPr="009056EF">
        <w:rPr>
          <w:iCs/>
        </w:rPr>
        <w:t xml:space="preserve"> </w:t>
      </w:r>
      <w:r w:rsidR="0096154A" w:rsidRPr="00DD087B">
        <w:rPr>
          <w:iCs/>
        </w:rPr>
        <w:t xml:space="preserve">includes </w:t>
      </w:r>
      <w:r w:rsidR="0076055D" w:rsidRPr="009056EF">
        <w:rPr>
          <w:i/>
          <w:iCs/>
          <w:lang w:eastAsia="zh-CN"/>
        </w:rPr>
        <w:t>repetitionNumber</w:t>
      </w:r>
      <w:r w:rsidR="0096154A" w:rsidRPr="00DD087B">
        <w:t xml:space="preserve"> in </w:t>
      </w:r>
      <w:r w:rsidR="0096154A" w:rsidRPr="00D1272A">
        <w:rPr>
          <w:i/>
        </w:rPr>
        <w:t>PDSCH-TimeDomainResourceAllocation</w:t>
      </w:r>
      <w:r w:rsidR="0076055D" w:rsidRPr="009056EF">
        <w:rPr>
          <w:i/>
        </w:rPr>
        <w:t>-r16</w:t>
      </w:r>
      <w:r w:rsidR="0096154A" w:rsidRPr="00DD087B">
        <w:t xml:space="preserve">, </w:t>
      </w:r>
      <m:oMath>
        <m:sSubSup>
          <m:sSubSupPr>
            <m:ctrlPr>
              <w:rPr>
                <w:rFonts w:ascii="Cambria Math" w:hAnsi="Cambria Math"/>
              </w:rPr>
            </m:ctrlPr>
          </m:sSubSupPr>
          <m:e>
            <m:r>
              <w:rPr>
                <w:rFonts w:ascii="Cambria Math" w:hAnsi="Cambria Math"/>
              </w:rPr>
              <m:t>N</m:t>
            </m:r>
          </m:e>
          <m:sub>
            <m:r>
              <m:rPr>
                <m:sty m:val="p"/>
              </m:rPr>
              <w:rPr>
                <w:rFonts w:ascii="Cambria Math" w:hAnsi="Cambria Math"/>
              </w:rPr>
              <m:t>PDSCH</m:t>
            </m:r>
          </m:sub>
          <m:sup>
            <m:r>
              <m:rPr>
                <m:sty m:val="p"/>
              </m:rPr>
              <w:rPr>
                <w:rFonts w:ascii="Cambria Math" w:hAnsi="Cambria Math"/>
              </w:rPr>
              <m:t>repeat,max</m:t>
            </m:r>
          </m:sup>
        </m:sSubSup>
      </m:oMath>
      <w:r w:rsidR="0096154A" w:rsidRPr="00DD087B">
        <w:t xml:space="preserve"> is a </w:t>
      </w:r>
      <w:r w:rsidR="00DB25DF" w:rsidRPr="00FE19A5">
        <w:t xml:space="preserve">maximum </w:t>
      </w:r>
      <w:r w:rsidR="0096154A" w:rsidRPr="00DD087B">
        <w:t xml:space="preserve">value of </w:t>
      </w:r>
      <w:r w:rsidR="0096154A" w:rsidRPr="00D1272A">
        <w:rPr>
          <w:i/>
          <w:iCs/>
        </w:rPr>
        <w:t>pdsch-AggregationFactor</w:t>
      </w:r>
      <w:r w:rsidR="002F629C">
        <w:rPr>
          <w:i/>
          <w:iCs/>
        </w:rPr>
        <w:t>-r16</w:t>
      </w:r>
      <w:r w:rsidR="00DB25DF" w:rsidRPr="00FE19A5">
        <w:t xml:space="preserve"> in </w:t>
      </w:r>
      <w:r w:rsidR="00DB25DF" w:rsidRPr="00FE19A5">
        <w:rPr>
          <w:i/>
          <w:iCs/>
        </w:rPr>
        <w:t>SPS-Config</w:t>
      </w:r>
      <w:r w:rsidR="004421AB">
        <w:t xml:space="preserve">, </w:t>
      </w:r>
      <w:r w:rsidR="00DB25DF" w:rsidRPr="00FE19A5">
        <w:t xml:space="preserve">or </w:t>
      </w:r>
      <w:r w:rsidR="002F629C" w:rsidRPr="00D1272A">
        <w:rPr>
          <w:i/>
          <w:iCs/>
        </w:rPr>
        <w:t>pdsch-AggregationFactor</w:t>
      </w:r>
      <w:r w:rsidR="002F629C" w:rsidRPr="00DE1FCE">
        <w:t xml:space="preserve"> in </w:t>
      </w:r>
      <w:r w:rsidR="00DB25DF" w:rsidRPr="00FE19A5">
        <w:rPr>
          <w:i/>
          <w:iCs/>
        </w:rPr>
        <w:t>PDSCH-Config</w:t>
      </w:r>
      <w:r w:rsidR="0096154A" w:rsidRPr="00DD087B">
        <w:t>; otherwise</w:t>
      </w:r>
      <w:r w:rsidR="004F7EFB">
        <w:t xml:space="preserve"> </w:t>
      </w:r>
      <m:oMath>
        <m:sSubSup>
          <m:sSubSupPr>
            <m:ctrlPr>
              <w:rPr>
                <w:rFonts w:ascii="Cambria Math" w:hAnsi="Cambria Math"/>
              </w:rPr>
            </m:ctrlPr>
          </m:sSubSupPr>
          <m:e>
            <m:r>
              <w:rPr>
                <w:rFonts w:ascii="Cambria Math" w:hAnsi="Cambria Math"/>
              </w:rPr>
              <m:t>N</m:t>
            </m:r>
          </m:e>
          <m:sub>
            <m:r>
              <m:rPr>
                <m:sty m:val="p"/>
              </m:rPr>
              <w:rPr>
                <w:rFonts w:ascii="Cambria Math" w:hAnsi="Cambria Math"/>
              </w:rPr>
              <m:t>PDSCH</m:t>
            </m:r>
          </m:sub>
          <m:sup>
            <m:r>
              <m:rPr>
                <m:sty m:val="p"/>
              </m:rPr>
              <w:rPr>
                <w:rFonts w:ascii="Cambria Math" w:hAnsi="Cambria Math"/>
              </w:rPr>
              <m:t>repeat,max</m:t>
            </m:r>
          </m:sup>
        </m:sSubSup>
        <m:r>
          <w:rPr>
            <w:rFonts w:ascii="Cambria Math" w:hAnsi="Cambria Math"/>
          </w:rPr>
          <m:t>=1</m:t>
        </m:r>
      </m:oMath>
      <w:r w:rsidR="0096154A" w:rsidRPr="00130E1E">
        <w:t>. The UE reports HARQ-</w:t>
      </w:r>
      <w:r w:rsidR="0096154A" w:rsidRPr="00DD087B">
        <w:t>ACK information for a PDSCH reception</w:t>
      </w:r>
    </w:p>
    <w:p w14:paraId="2D221519" w14:textId="10DD1C34" w:rsidR="0096154A" w:rsidRDefault="0096154A" w:rsidP="0096154A">
      <w:pPr>
        <w:pStyle w:val="B1"/>
      </w:pPr>
      <w:r w:rsidRPr="0084769C">
        <w:t>-</w:t>
      </w:r>
      <w:r w:rsidRPr="0084769C">
        <w:tab/>
      </w:r>
      <w:r w:rsidRPr="00DD087B">
        <w:t xml:space="preserve">from </w:t>
      </w:r>
      <w:r w:rsidR="00D02624">
        <w:rPr>
          <w:lang w:val="en-US"/>
        </w:rPr>
        <w:t xml:space="preserve">DL </w:t>
      </w:r>
      <w:r w:rsidRPr="00DD087B">
        <w:t xml:space="preserve">slot </w:t>
      </w:r>
      <m:oMath>
        <m:sSubSup>
          <m:sSubSupPr>
            <m:ctrlPr>
              <w:rPr>
                <w:rFonts w:ascii="Cambria Math" w:hAnsi="Cambria Math"/>
                <w:i/>
              </w:rPr>
            </m:ctrlPr>
          </m:sSubSupPr>
          <m:e>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-N</m:t>
            </m:r>
          </m:e>
          <m:sub>
            <m:r>
              <m:rPr>
                <m:sty m:val="p"/>
              </m:rPr>
              <w:rPr>
                <w:rFonts w:ascii="Cambria Math" w:hAnsi="Cambria Math"/>
              </w:rPr>
              <m:t>PDSCH</m:t>
            </m:r>
          </m:sub>
          <m:sup>
            <m:r>
              <m:rPr>
                <m:sty m:val="p"/>
              </m:rPr>
              <w:rPr>
                <w:rFonts w:ascii="Cambria Math" w:hAnsi="Cambria Math"/>
              </w:rPr>
              <m:t>repeat</m:t>
            </m:r>
          </m:sup>
        </m:sSubSup>
        <m:r>
          <w:rPr>
            <w:rFonts w:ascii="Cambria Math" w:hAnsi="Cambria Math"/>
          </w:rPr>
          <m:t>+1</m:t>
        </m:r>
      </m:oMath>
      <w:r w:rsidRPr="00DD087B">
        <w:t xml:space="preserve"> to </w:t>
      </w:r>
      <w:r w:rsidR="00D02624">
        <w:rPr>
          <w:lang w:val="en-US"/>
        </w:rPr>
        <w:t xml:space="preserve">DL </w:t>
      </w:r>
      <w:r w:rsidRPr="00DD087B">
        <w:t xml:space="preserve">slot </w:t>
      </w:r>
      <m:oMath>
        <m:sSub>
          <m:sSubPr>
            <m:ctrlPr>
              <w:rPr>
                <w:rFonts w:ascii="Cambria Math" w:hAnsi="Cambria Math"/>
                <w:i/>
              </w:rPr>
            </m:ctrlPr>
          </m:sSubPr>
          <m:e>
            <m:r>
              <w:rPr>
                <w:rFonts w:ascii="Cambria Math" w:hAnsi="Cambria Math"/>
              </w:rPr>
              <m:t>n</m:t>
            </m:r>
          </m:e>
          <m:sub>
            <m:r>
              <w:rPr>
                <w:rFonts w:ascii="Cambria Math" w:hAnsi="Cambria Math"/>
              </w:rPr>
              <m:t>D</m:t>
            </m:r>
          </m:sub>
        </m:sSub>
      </m:oMath>
      <w:r w:rsidRPr="00DD087B">
        <w:rPr>
          <w:lang w:eastAsia="ko-KR"/>
        </w:rPr>
        <w:t>,</w:t>
      </w:r>
      <w:r w:rsidRPr="00DD087B">
        <w:t xml:space="preserve"> </w:t>
      </w:r>
      <w:r w:rsidR="00DB25DF" w:rsidRPr="00FE19A5">
        <w:rPr>
          <w:lang w:val="en-US"/>
        </w:rPr>
        <w:t>if</w:t>
      </w:r>
      <w:r w:rsidR="00DB25DF" w:rsidRPr="00FE19A5">
        <w:rPr>
          <w:rFonts w:cs="Times"/>
          <w:lang w:val="en-US"/>
        </w:rPr>
        <w:t xml:space="preserve"> </w:t>
      </w:r>
      <m:oMath>
        <m:sSubSup>
          <m:sSubSupPr>
            <m:ctrlPr>
              <w:rPr>
                <w:rFonts w:ascii="Cambria Math" w:hAnsi="Cambria Math"/>
                <w:i/>
                <w:lang w:val="en-GB"/>
              </w:rPr>
            </m:ctrlPr>
          </m:sSubSupPr>
          <m:e>
            <m:r>
              <w:rPr>
                <w:rFonts w:ascii="Cambria Math" w:hAnsi="Cambria Math"/>
              </w:rPr>
              <m:t>N</m:t>
            </m:r>
          </m:e>
          <m:sub>
            <m:r>
              <m:rPr>
                <m:sty m:val="p"/>
              </m:rPr>
              <w:rPr>
                <w:rFonts w:ascii="Cambria Math" w:hAnsi="Cambria Math"/>
              </w:rPr>
              <m:t>PDSCH</m:t>
            </m:r>
          </m:sub>
          <m:sup>
            <m:r>
              <m:rPr>
                <m:sty m:val="p"/>
              </m:rPr>
              <w:rPr>
                <w:rFonts w:ascii="Cambria Math" w:hAnsi="Cambria Math"/>
              </w:rPr>
              <m:t>repeat</m:t>
            </m:r>
          </m:sup>
        </m:sSubSup>
      </m:oMath>
      <w:r w:rsidR="00DB25DF" w:rsidRPr="00FE19A5">
        <w:rPr>
          <w:rFonts w:cs="Times"/>
        </w:rPr>
        <w:t xml:space="preserve"> is </w:t>
      </w:r>
      <w:r w:rsidR="00DB25DF" w:rsidRPr="00FE19A5">
        <w:rPr>
          <w:rFonts w:cs="Times"/>
          <w:lang w:val="en-US"/>
        </w:rPr>
        <w:t>provided by</w:t>
      </w:r>
      <w:r w:rsidR="00DB25DF" w:rsidRPr="00FE19A5">
        <w:rPr>
          <w:rFonts w:cs="Times"/>
        </w:rPr>
        <w:t xml:space="preserve"> </w:t>
      </w:r>
      <w:r w:rsidR="00DB25DF" w:rsidRPr="00FE19A5">
        <w:rPr>
          <w:rFonts w:cs="Times"/>
          <w:i/>
          <w:iCs/>
        </w:rPr>
        <w:t>pdsch-AggregationFactor</w:t>
      </w:r>
      <w:r w:rsidR="00DB25DF" w:rsidRPr="00FE19A5">
        <w:rPr>
          <w:rFonts w:cs="Times"/>
          <w:lang w:val="en-US"/>
        </w:rPr>
        <w:t xml:space="preserve"> </w:t>
      </w:r>
      <w:r w:rsidR="002F629C">
        <w:rPr>
          <w:rFonts w:cs="Times"/>
          <w:lang w:val="en-US"/>
        </w:rPr>
        <w:t xml:space="preserve">or </w:t>
      </w:r>
      <w:r w:rsidR="002F629C" w:rsidRPr="00D1272A">
        <w:rPr>
          <w:i/>
          <w:iCs/>
        </w:rPr>
        <w:t>pdsch-AggregationFactor</w:t>
      </w:r>
      <w:r w:rsidR="002F629C">
        <w:rPr>
          <w:i/>
          <w:iCs/>
        </w:rPr>
        <w:t>-r16</w:t>
      </w:r>
      <w:r w:rsidR="002F629C" w:rsidRPr="00FE19A5">
        <w:rPr>
          <w:rFonts w:cs="Times"/>
          <w:lang w:val="en-US"/>
        </w:rPr>
        <w:t xml:space="preserve"> </w:t>
      </w:r>
      <w:r w:rsidR="00DB25DF" w:rsidRPr="00FE19A5">
        <w:rPr>
          <w:rFonts w:cs="Times"/>
          <w:lang w:val="en-US"/>
        </w:rPr>
        <w:t>[6, TS 38.214]</w:t>
      </w:r>
      <w:r>
        <w:t>, or</w:t>
      </w:r>
      <w:r w:rsidRPr="00DD087B">
        <w:t xml:space="preserve"> </w:t>
      </w:r>
    </w:p>
    <w:p w14:paraId="73BEB5CC" w14:textId="754277EA" w:rsidR="00BB6A95" w:rsidRDefault="00BB6A95" w:rsidP="00BB6A95">
      <w:pPr>
        <w:pStyle w:val="B1"/>
        <w:rPr>
          <w:lang w:eastAsia="ko-KR"/>
        </w:rPr>
      </w:pPr>
      <w:r w:rsidRPr="0084769C">
        <w:t>-</w:t>
      </w:r>
      <w:r w:rsidRPr="0084769C">
        <w:tab/>
      </w:r>
      <w:r w:rsidRPr="00DD087B">
        <w:t xml:space="preserve">from </w:t>
      </w:r>
      <w:r w:rsidR="00D02624">
        <w:rPr>
          <w:lang w:val="en-US"/>
        </w:rPr>
        <w:t xml:space="preserve">DL </w:t>
      </w:r>
      <w:r w:rsidRPr="00DD087B">
        <w:t xml:space="preserve">slot </w:t>
      </w:r>
      <m:oMath>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-repetitionNumber+1</m:t>
        </m:r>
      </m:oMath>
      <w:r w:rsidRPr="00DD087B">
        <w:t xml:space="preserve"> to </w:t>
      </w:r>
      <w:r w:rsidR="00D02624">
        <w:rPr>
          <w:lang w:val="en-US"/>
        </w:rPr>
        <w:t xml:space="preserve">DL </w:t>
      </w:r>
      <w:r w:rsidRPr="00DD087B">
        <w:t xml:space="preserve">slot </w:t>
      </w:r>
      <m:oMath>
        <m:sSub>
          <m:sSubPr>
            <m:ctrlPr>
              <w:rPr>
                <w:rFonts w:ascii="Cambria Math" w:hAnsi="Cambria Math"/>
                <w:i/>
              </w:rPr>
            </m:ctrlPr>
          </m:sSubPr>
          <m:e>
            <m:r>
              <w:rPr>
                <w:rFonts w:ascii="Cambria Math" w:hAnsi="Cambria Math"/>
              </w:rPr>
              <m:t>n</m:t>
            </m:r>
          </m:e>
          <m:sub>
            <m:r>
              <w:rPr>
                <w:rFonts w:ascii="Cambria Math" w:hAnsi="Cambria Math"/>
              </w:rPr>
              <m:t>D</m:t>
            </m:r>
          </m:sub>
        </m:sSub>
      </m:oMath>
      <w:r>
        <w:rPr>
          <w:lang w:val="en-US"/>
        </w:rPr>
        <w:t>,</w:t>
      </w:r>
      <w:r w:rsidRPr="00DD087B">
        <w:t xml:space="preserve"> </w:t>
      </w:r>
      <w:r>
        <w:rPr>
          <w:lang w:eastAsia="ko-KR"/>
        </w:rPr>
        <w:t xml:space="preserve">if the </w:t>
      </w:r>
      <w:r w:rsidR="002F629C">
        <w:rPr>
          <w:iCs/>
          <w:lang w:val="en-US" w:eastAsia="ko-KR"/>
        </w:rPr>
        <w:t>t</w:t>
      </w:r>
      <w:r w:rsidR="002F629C" w:rsidRPr="00D86CB3">
        <w:rPr>
          <w:iCs/>
          <w:lang w:eastAsia="ko-KR"/>
        </w:rPr>
        <w:t xml:space="preserve">ime </w:t>
      </w:r>
      <w:r w:rsidRPr="00D86CB3">
        <w:rPr>
          <w:iCs/>
          <w:lang w:eastAsia="ko-KR"/>
        </w:rPr>
        <w:t>domain resource assignment</w:t>
      </w:r>
      <w:r w:rsidRPr="00DD087B">
        <w:rPr>
          <w:lang w:eastAsia="ko-KR"/>
        </w:rPr>
        <w:t xml:space="preserve"> </w:t>
      </w:r>
      <w:r>
        <w:rPr>
          <w:lang w:val="en-US" w:eastAsia="ko-KR"/>
        </w:rPr>
        <w:t xml:space="preserve">field </w:t>
      </w:r>
      <w:r>
        <w:rPr>
          <w:lang w:eastAsia="ko-KR"/>
        </w:rPr>
        <w:t xml:space="preserve">in the DCI format scheduling the PDSCH reception </w:t>
      </w:r>
      <w:r w:rsidRPr="00DD087B">
        <w:rPr>
          <w:lang w:eastAsia="ko-KR"/>
        </w:rPr>
        <w:t xml:space="preserve">indicates an entry containing </w:t>
      </w:r>
      <w:r w:rsidRPr="00B03A96">
        <w:rPr>
          <w:i/>
          <w:iCs/>
          <w:lang w:val="en-US" w:eastAsia="zh-CN"/>
        </w:rPr>
        <w:t>repetitionNumber</w:t>
      </w:r>
      <w:r w:rsidRPr="00DD087B">
        <w:rPr>
          <w:i/>
          <w:iCs/>
          <w:lang w:eastAsia="ko-KR"/>
        </w:rPr>
        <w:t>,</w:t>
      </w:r>
      <w:r w:rsidRPr="00DD087B">
        <w:rPr>
          <w:lang w:eastAsia="ko-KR"/>
        </w:rPr>
        <w:t xml:space="preserve"> or </w:t>
      </w:r>
    </w:p>
    <w:p w14:paraId="2BAF19B2" w14:textId="739EEA79" w:rsidR="0096154A" w:rsidRDefault="0096154A" w:rsidP="00D1272A">
      <w:pPr>
        <w:pStyle w:val="B1"/>
      </w:pPr>
      <w:r w:rsidRPr="0084769C">
        <w:t>-</w:t>
      </w:r>
      <w:r w:rsidRPr="0084769C">
        <w:tab/>
      </w:r>
      <w:r w:rsidRPr="00DD087B">
        <w:rPr>
          <w:lang w:eastAsia="ko-KR"/>
        </w:rPr>
        <w:t xml:space="preserve">in </w:t>
      </w:r>
      <w:r w:rsidR="00D02624">
        <w:rPr>
          <w:lang w:val="en-US" w:eastAsia="ko-KR"/>
        </w:rPr>
        <w:t xml:space="preserve">DL </w:t>
      </w:r>
      <w:r w:rsidRPr="00DD087B">
        <w:rPr>
          <w:lang w:eastAsia="ko-KR"/>
        </w:rPr>
        <w:t xml:space="preserve">slot </w:t>
      </w:r>
      <m:oMath>
        <m:sSub>
          <m:sSubPr>
            <m:ctrlPr>
              <w:rPr>
                <w:rFonts w:ascii="Cambria Math" w:hAnsi="Cambria Math"/>
                <w:i/>
              </w:rPr>
            </m:ctrlPr>
          </m:sSubPr>
          <m:e>
            <m:r>
              <w:rPr>
                <w:rFonts w:ascii="Cambria Math" w:hAnsi="Cambria Math"/>
              </w:rPr>
              <m:t>n</m:t>
            </m:r>
          </m:e>
          <m:sub>
            <m:r>
              <w:rPr>
                <w:rFonts w:ascii="Cambria Math" w:hAnsi="Cambria Math"/>
              </w:rPr>
              <m:t>D</m:t>
            </m:r>
          </m:sub>
        </m:sSub>
      </m:oMath>
      <w:r>
        <w:rPr>
          <w:lang w:val="en-US"/>
        </w:rPr>
        <w:t>,</w:t>
      </w:r>
      <w:r w:rsidRPr="00DD087B">
        <w:rPr>
          <w:lang w:eastAsia="ko-KR"/>
        </w:rPr>
        <w:t xml:space="preserve"> otherwise</w:t>
      </w:r>
      <w:r w:rsidR="001723CA" w:rsidRPr="007F4984">
        <w:t xml:space="preserve"> </w:t>
      </w:r>
    </w:p>
    <w:p w14:paraId="2846168F" w14:textId="77777777" w:rsidR="00810683" w:rsidRPr="00111FF6" w:rsidRDefault="001723CA" w:rsidP="00810683">
      <w:r w:rsidRPr="007F4984">
        <w:t xml:space="preserve">only in a HARQ-ACK codebook that the UE includes in a PUCCH or PUSCH transmission in slot </w:t>
      </w:r>
      <m:oMath>
        <m:r>
          <w:rPr>
            <w:rFonts w:ascii="Cambria Math" w:hAnsi="Cambria Math"/>
          </w:rPr>
          <m:t>n+k</m:t>
        </m:r>
      </m:oMath>
      <w:r w:rsidRPr="007F4984">
        <w:t>, where</w:t>
      </w:r>
      <w:r w:rsidR="00D02624">
        <w:t xml:space="preserve"> </w:t>
      </w:r>
      <m:oMath>
        <m:r>
          <w:rPr>
            <w:rFonts w:ascii="Cambria Math" w:hAnsi="Cambria Math"/>
          </w:rPr>
          <m:t>n</m:t>
        </m:r>
      </m:oMath>
      <w:r w:rsidR="00D02624">
        <w:t xml:space="preserve"> is</w:t>
      </w:r>
    </w:p>
    <w:p w14:paraId="130470D6" w14:textId="77777777" w:rsidR="00D860F6" w:rsidRPr="00D860F6" w:rsidRDefault="00810683" w:rsidP="00D860F6">
      <w:pPr>
        <w:pStyle w:val="B1"/>
        <w:rPr>
          <w:rFonts w:cs="Arial"/>
          <w:lang w:eastAsia="zh-CN"/>
        </w:rPr>
      </w:pPr>
      <w:r w:rsidRPr="00111FF6">
        <w:t>-</w:t>
      </w:r>
      <w:r w:rsidRPr="00111FF6">
        <w:tab/>
      </w:r>
      <w:r w:rsidRPr="00111FF6">
        <w:rPr>
          <w:lang w:eastAsia="ko-KR"/>
        </w:rPr>
        <w:t xml:space="preserve">an UL slot overlapping with the end of the PDSCH reception in DL slot </w:t>
      </w:r>
      <m:oMath>
        <m:sSub>
          <m:sSubPr>
            <m:ctrlPr>
              <w:rPr>
                <w:rFonts w:ascii="Cambria Math" w:hAnsi="Cambria Math"/>
                <w:i/>
              </w:rPr>
            </m:ctrlPr>
          </m:sSubPr>
          <m:e>
            <m:r>
              <w:rPr>
                <w:rFonts w:ascii="Cambria Math" w:hAnsi="Cambria Math"/>
              </w:rPr>
              <m:t>n</m:t>
            </m:r>
          </m:e>
          <m:sub>
            <m:r>
              <w:rPr>
                <w:rFonts w:ascii="Cambria Math" w:hAnsi="Cambria Math"/>
              </w:rPr>
              <m:t>D</m:t>
            </m:r>
          </m:sub>
        </m:sSub>
      </m:oMath>
      <w:r w:rsidRPr="00111FF6">
        <w:t xml:space="preserve"> if the UE is provided </w:t>
      </w:r>
      <w:r w:rsidRPr="00111FF6">
        <w:rPr>
          <w:rFonts w:cs="Arial"/>
          <w:i/>
          <w:iCs/>
          <w:lang w:eastAsia="zh-CN"/>
        </w:rPr>
        <w:t>subslotLengthForPUCCH</w:t>
      </w:r>
      <w:r w:rsidRPr="00111FF6">
        <w:rPr>
          <w:rFonts w:cs="Arial"/>
          <w:lang w:eastAsia="zh-CN"/>
        </w:rPr>
        <w:t xml:space="preserve"> for the HARQ-ACK codebook</w:t>
      </w:r>
    </w:p>
    <w:p w14:paraId="23DC360E" w14:textId="2C698148" w:rsidR="00810683" w:rsidRPr="00111FF6" w:rsidRDefault="00D860F6" w:rsidP="00D860F6">
      <w:pPr>
        <w:pStyle w:val="B2"/>
      </w:pPr>
      <w:r w:rsidRPr="00D860F6">
        <w:rPr>
          <w:lang w:eastAsia="zh-CN"/>
        </w:rPr>
        <w:t>-</w:t>
      </w:r>
      <w:r w:rsidRPr="00D860F6">
        <w:rPr>
          <w:lang w:eastAsia="zh-CN"/>
        </w:rPr>
        <w:tab/>
      </w:r>
      <w:r w:rsidRPr="00D860F6">
        <w:rPr>
          <w:lang w:val="de-AT" w:eastAsia="zh-CN"/>
        </w:rPr>
        <w:t xml:space="preserve">the UL slot is on </w:t>
      </w:r>
      <w:r w:rsidRPr="00D860F6">
        <w:t xml:space="preserve">the primary cell if the UE is provided </w:t>
      </w:r>
      <w:r w:rsidRPr="00D860F6">
        <w:rPr>
          <w:i/>
          <w:iCs/>
        </w:rPr>
        <w:t>pucch-sSCellPattern</w:t>
      </w:r>
      <w:r w:rsidRPr="00D860F6">
        <w:t>; otherwise, the UL slot is on the serving cell of the PUCCH transmission</w:t>
      </w:r>
    </w:p>
    <w:p w14:paraId="229E8304" w14:textId="77777777" w:rsidR="00D860F6" w:rsidRPr="00D860F6" w:rsidRDefault="00810683" w:rsidP="00D860F6">
      <w:pPr>
        <w:pStyle w:val="B1"/>
        <w:rPr>
          <w:rFonts w:cs="Arial"/>
          <w:lang w:eastAsia="zh-CN"/>
        </w:rPr>
      </w:pPr>
      <w:r w:rsidRPr="00111FF6">
        <w:lastRenderedPageBreak/>
        <w:t>-</w:t>
      </w:r>
      <w:r w:rsidRPr="00111FF6">
        <w:tab/>
      </w:r>
      <w:r w:rsidR="008A24DD" w:rsidRPr="00763141">
        <w:t>the last</w:t>
      </w:r>
      <w:r w:rsidR="00D02624">
        <w:t xml:space="preserve"> UL slot </w:t>
      </w:r>
      <w:r w:rsidRPr="00111FF6">
        <w:t xml:space="preserve">for PUCCH transmission </w:t>
      </w:r>
      <w:r w:rsidR="00D02624">
        <w:t xml:space="preserve">overlapping with DL slot </w:t>
      </w:r>
      <m:oMath>
        <m:sSub>
          <m:sSubPr>
            <m:ctrlPr>
              <w:rPr>
                <w:rFonts w:ascii="Cambria Math" w:hAnsi="Cambria Math"/>
                <w:i/>
              </w:rPr>
            </m:ctrlPr>
          </m:sSubPr>
          <m:e>
            <m:r>
              <w:rPr>
                <w:rFonts w:ascii="Cambria Math" w:hAnsi="Cambria Math"/>
              </w:rPr>
              <m:t>n</m:t>
            </m:r>
          </m:e>
          <m:sub>
            <m:r>
              <w:rPr>
                <w:rFonts w:ascii="Cambria Math" w:hAnsi="Cambria Math"/>
              </w:rPr>
              <m:t>D</m:t>
            </m:r>
          </m:sub>
        </m:sSub>
      </m:oMath>
      <w:r w:rsidR="00D02624">
        <w:t xml:space="preserve"> </w:t>
      </w:r>
      <w:r w:rsidRPr="00111FF6">
        <w:t xml:space="preserve">if the UE is not provided </w:t>
      </w:r>
      <w:r w:rsidRPr="00111FF6">
        <w:rPr>
          <w:rFonts w:cs="Arial"/>
          <w:i/>
          <w:iCs/>
          <w:lang w:eastAsia="zh-CN"/>
        </w:rPr>
        <w:t>subslotLengthForPUCCH</w:t>
      </w:r>
      <w:r w:rsidRPr="00111FF6">
        <w:rPr>
          <w:rFonts w:cs="Arial"/>
          <w:lang w:eastAsia="zh-CN"/>
        </w:rPr>
        <w:t xml:space="preserve"> for the HARQ-ACK codebook</w:t>
      </w:r>
    </w:p>
    <w:p w14:paraId="348288C9" w14:textId="3614EC3F" w:rsidR="00810683" w:rsidRDefault="00D860F6" w:rsidP="00D860F6">
      <w:pPr>
        <w:pStyle w:val="B2"/>
      </w:pPr>
      <w:r w:rsidRPr="00D860F6">
        <w:rPr>
          <w:lang w:eastAsia="zh-CN"/>
        </w:rPr>
        <w:t>-</w:t>
      </w:r>
      <w:r w:rsidRPr="00D860F6">
        <w:rPr>
          <w:lang w:eastAsia="zh-CN"/>
        </w:rPr>
        <w:tab/>
      </w:r>
      <w:r w:rsidRPr="00D860F6">
        <w:rPr>
          <w:lang w:val="de-AT" w:eastAsia="zh-CN"/>
        </w:rPr>
        <w:t xml:space="preserve">the last UL slot is on </w:t>
      </w:r>
      <w:r w:rsidRPr="00D860F6">
        <w:t xml:space="preserve">the primary cell if the UE is provided </w:t>
      </w:r>
      <w:r w:rsidRPr="00D860F6">
        <w:rPr>
          <w:i/>
          <w:iCs/>
        </w:rPr>
        <w:t>pucch-sSCellPattern</w:t>
      </w:r>
      <w:r w:rsidRPr="00D860F6">
        <w:t>; otherwise, the last UL slot is on the serving cell of the PUCCH transmission</w:t>
      </w:r>
    </w:p>
    <w:p w14:paraId="089CD6E2" w14:textId="48A2B675" w:rsidR="00011FE0" w:rsidRDefault="00D02624" w:rsidP="00810683">
      <w:r>
        <w:t>and</w:t>
      </w:r>
      <w:r w:rsidR="001723CA" w:rsidRPr="007F4984">
        <w:t xml:space="preserve"> </w:t>
      </w:r>
      <m:oMath>
        <m:r>
          <w:rPr>
            <w:rFonts w:ascii="Cambria Math" w:hAnsi="Cambria Math"/>
          </w:rPr>
          <m:t>k</m:t>
        </m:r>
      </m:oMath>
      <w:r w:rsidR="001723CA" w:rsidRPr="007F4984">
        <w:t xml:space="preserve"> is a number of slots indicated by the PDSCH-to-HARQ_feedback timing indicator field in a corresponding DCI format</w:t>
      </w:r>
      <w:r w:rsidR="00F91579">
        <w:t>,</w:t>
      </w:r>
      <w:r w:rsidR="001723CA" w:rsidRPr="007F4984">
        <w:t xml:space="preserve"> or provided by </w:t>
      </w:r>
      <w:r w:rsidR="001723CA" w:rsidRPr="007F4984">
        <w:rPr>
          <w:i/>
        </w:rPr>
        <w:t>dl-DataToUL-ACK</w:t>
      </w:r>
      <w:r w:rsidR="001723CA" w:rsidRPr="007F4984">
        <w:rPr>
          <w:rFonts w:hint="eastAsia"/>
          <w:lang w:val="en-US" w:eastAsia="zh-CN"/>
        </w:rPr>
        <w:t xml:space="preserve"> </w:t>
      </w:r>
      <w:r w:rsidR="00F91579" w:rsidRPr="00111FF6">
        <w:rPr>
          <w:lang w:val="en-US" w:eastAsia="zh-CN"/>
        </w:rPr>
        <w:t xml:space="preserve">or </w:t>
      </w:r>
      <w:r w:rsidR="00F91579" w:rsidRPr="00111FF6">
        <w:rPr>
          <w:i/>
          <w:iCs/>
          <w:lang w:eastAsia="x-none"/>
        </w:rPr>
        <w:t>dl-DataToUL-ACK</w:t>
      </w:r>
      <w:r w:rsidR="00F91579" w:rsidRPr="00111FF6">
        <w:rPr>
          <w:i/>
          <w:iCs/>
          <w:lang w:val="en-US" w:eastAsia="x-none"/>
        </w:rPr>
        <w:t>-r16</w:t>
      </w:r>
      <w:r w:rsidR="00F91579" w:rsidRPr="00111FF6">
        <w:rPr>
          <w:lang w:val="en-US" w:eastAsia="x-none"/>
        </w:rPr>
        <w:t xml:space="preserve"> or </w:t>
      </w:r>
      <w:r w:rsidR="009630C1" w:rsidRPr="00111FF6">
        <w:rPr>
          <w:i/>
        </w:rPr>
        <w:t>dl-DataToUL-ACK</w:t>
      </w:r>
      <w:r w:rsidR="009630C1" w:rsidRPr="00111FF6">
        <w:rPr>
          <w:i/>
          <w:lang w:val="en-US"/>
        </w:rPr>
        <w:t>-DCI-1-2</w:t>
      </w:r>
      <w:r w:rsidR="00F91579" w:rsidRPr="00111FF6">
        <w:rPr>
          <w:rFonts w:hint="eastAsia"/>
          <w:lang w:val="en-US" w:eastAsia="zh-CN"/>
        </w:rPr>
        <w:t xml:space="preserve"> </w:t>
      </w:r>
      <w:r w:rsidR="00B816A6" w:rsidRPr="00990E06">
        <w:rPr>
          <w:rFonts w:eastAsia="Malgun Gothic"/>
          <w:lang w:val="en-US" w:eastAsia="zh-CN"/>
        </w:rPr>
        <w:t xml:space="preserve">or </w:t>
      </w:r>
      <w:r w:rsidR="00B816A6" w:rsidRPr="00990E06">
        <w:rPr>
          <w:i/>
          <w:lang w:val="en-US"/>
        </w:rPr>
        <w:t>dl-DataToUL-ACK-r17</w:t>
      </w:r>
      <w:r w:rsidR="00B816A6" w:rsidRPr="00990E06">
        <w:rPr>
          <w:rFonts w:eastAsia="Malgun Gothic"/>
          <w:lang w:val="en-US" w:eastAsia="zh-CN"/>
        </w:rPr>
        <w:t xml:space="preserve"> </w:t>
      </w:r>
      <w:r w:rsidR="00004767" w:rsidRPr="00BA7086">
        <w:rPr>
          <w:lang w:val="en-US"/>
        </w:rPr>
        <w:t xml:space="preserve">or </w:t>
      </w:r>
      <w:r w:rsidR="00004767" w:rsidRPr="006A74E7">
        <w:rPr>
          <w:i/>
          <w:lang w:val="en-US"/>
        </w:rPr>
        <w:t>dl-DataToUL-ACK-v1700</w:t>
      </w:r>
      <w:r w:rsidR="00004767" w:rsidRPr="00004767">
        <w:rPr>
          <w:iCs/>
          <w:lang w:val="en-US"/>
        </w:rPr>
        <w:t xml:space="preserve"> </w:t>
      </w:r>
      <w:r w:rsidR="00B816A6" w:rsidRPr="00990E06">
        <w:rPr>
          <w:rFonts w:eastAsia="Malgun Gothic"/>
          <w:lang w:val="en-US" w:eastAsia="zh-CN"/>
        </w:rPr>
        <w:t xml:space="preserve">or </w:t>
      </w:r>
      <w:r w:rsidR="00B816A6" w:rsidRPr="00990E06">
        <w:rPr>
          <w:rFonts w:eastAsia="Malgun Gothic"/>
          <w:i/>
        </w:rPr>
        <w:t>dl-DataToUL-ACK</w:t>
      </w:r>
      <w:r w:rsidR="00B816A6" w:rsidRPr="00990E06">
        <w:rPr>
          <w:rFonts w:eastAsia="Malgun Gothic"/>
          <w:i/>
          <w:lang w:val="en-US"/>
        </w:rPr>
        <w:t>-DCI-1-2-r17</w:t>
      </w:r>
      <w:r w:rsidR="00B816A6" w:rsidRPr="00990E06">
        <w:rPr>
          <w:rFonts w:eastAsia="Malgun Gothic"/>
          <w:iCs/>
          <w:lang w:val="en-US"/>
        </w:rPr>
        <w:t xml:space="preserve"> </w:t>
      </w:r>
      <w:r w:rsidR="001723CA" w:rsidRPr="007F4984">
        <w:rPr>
          <w:lang w:val="en-US" w:eastAsia="zh-CN"/>
        </w:rPr>
        <w:t>if the PDSCH-to-</w:t>
      </w:r>
      <w:r w:rsidR="005133D3" w:rsidRPr="007F4984">
        <w:rPr>
          <w:lang w:val="en-US" w:eastAsia="zh-CN"/>
        </w:rPr>
        <w:t>HARQ</w:t>
      </w:r>
      <w:r w:rsidR="005133D3">
        <w:rPr>
          <w:lang w:val="en-US" w:eastAsia="zh-CN"/>
        </w:rPr>
        <w:t>_</w:t>
      </w:r>
      <w:r w:rsidR="001723CA" w:rsidRPr="007F4984">
        <w:rPr>
          <w:lang w:val="en-US" w:eastAsia="zh-CN"/>
        </w:rPr>
        <w:t>feedback timing</w:t>
      </w:r>
      <w:r w:rsidR="005133D3">
        <w:rPr>
          <w:lang w:val="en-US" w:eastAsia="zh-CN"/>
        </w:rPr>
        <w:t xml:space="preserve"> indicator</w:t>
      </w:r>
      <w:r w:rsidR="001723CA" w:rsidRPr="007F4984">
        <w:rPr>
          <w:lang w:val="en-US" w:eastAsia="zh-CN"/>
        </w:rPr>
        <w:t xml:space="preserve"> field is not present in the DCI format</w:t>
      </w:r>
      <w:r w:rsidR="001723CA" w:rsidRPr="007F4984">
        <w:t>. If the UE reports HARQ-ACK inform</w:t>
      </w:r>
      <w:r w:rsidR="001723CA">
        <w:t>ation for the PDSCH reception in</w:t>
      </w:r>
      <w:r w:rsidR="001723CA" w:rsidRPr="007F4984">
        <w:t xml:space="preserve"> a slot other than slot </w:t>
      </w:r>
      <m:oMath>
        <m:r>
          <w:rPr>
            <w:rFonts w:ascii="Cambria Math" w:hAnsi="Cambria Math"/>
          </w:rPr>
          <m:t>n+k</m:t>
        </m:r>
      </m:oMath>
      <w:r w:rsidR="001723CA" w:rsidRPr="007F4984">
        <w:t>, the UE sets a value for each corresponding HARQ-ACK information bit to NACK</w:t>
      </w:r>
      <w:r w:rsidR="00011FE0">
        <w:t xml:space="preserve">. </w:t>
      </w:r>
    </w:p>
    <w:p w14:paraId="03EC4B29" w14:textId="386CF860" w:rsidR="00807CBA" w:rsidRDefault="00D508B4" w:rsidP="00011FE0">
      <w:pPr>
        <w:rPr>
          <w:lang w:eastAsia="zh-CN"/>
        </w:rPr>
      </w:pPr>
      <w:r>
        <w:rPr>
          <w:lang w:val="en-US" w:eastAsia="zh-CN"/>
        </w:rPr>
        <w:t xml:space="preserve">If a UE </w:t>
      </w:r>
      <w:r w:rsidR="00004767" w:rsidRPr="00602B87">
        <w:rPr>
          <w:lang w:eastAsia="ko-KR"/>
        </w:rPr>
        <w:t xml:space="preserve">is provided </w:t>
      </w:r>
      <w:r w:rsidR="00004767" w:rsidRPr="00602B87">
        <w:rPr>
          <w:i/>
          <w:lang w:eastAsia="ko-KR"/>
        </w:rPr>
        <w:t>pdsch-HARQ-ACK-Codebook = 'semi-static'</w:t>
      </w:r>
      <w:r w:rsidR="00004767" w:rsidRPr="00602B87">
        <w:rPr>
          <w:lang w:eastAsia="ko-KR"/>
        </w:rPr>
        <w:t xml:space="preserve"> for unicast or multicast HARQ-ACK information</w:t>
      </w:r>
      <w:r w:rsidR="00004767">
        <w:rPr>
          <w:lang w:eastAsia="ko-KR"/>
        </w:rPr>
        <w:t>, the UE</w:t>
      </w:r>
      <w:r w:rsidR="00004767">
        <w:rPr>
          <w:lang w:val="en-US" w:eastAsia="zh-CN"/>
        </w:rPr>
        <w:t xml:space="preserve"> </w:t>
      </w:r>
      <w:r>
        <w:rPr>
          <w:lang w:val="en-US" w:eastAsia="zh-CN"/>
        </w:rPr>
        <w:t xml:space="preserve">reports HARQ-ACK information in a PUCCH </w:t>
      </w:r>
      <w:r>
        <w:rPr>
          <w:lang w:eastAsia="zh-CN"/>
        </w:rPr>
        <w:t xml:space="preserve">only for </w:t>
      </w:r>
      <w:r w:rsidR="00004767">
        <w:rPr>
          <w:lang w:eastAsia="zh-CN"/>
        </w:rPr>
        <w:t>one of</w:t>
      </w:r>
    </w:p>
    <w:p w14:paraId="1B0C1A12" w14:textId="1A75676E" w:rsidR="00807CBA" w:rsidRDefault="00807CBA" w:rsidP="00807CBA">
      <w:pPr>
        <w:pStyle w:val="B1"/>
        <w:rPr>
          <w:lang w:eastAsia="zh-CN"/>
        </w:rPr>
      </w:pPr>
      <w:r>
        <w:rPr>
          <w:lang w:eastAsia="zh-CN"/>
        </w:rPr>
        <w:t>-</w:t>
      </w:r>
      <w:r>
        <w:rPr>
          <w:lang w:eastAsia="zh-CN"/>
        </w:rPr>
        <w:tab/>
      </w:r>
      <w:r w:rsidR="00D508B4">
        <w:rPr>
          <w:rFonts w:hint="eastAsia"/>
          <w:lang w:eastAsia="zh-CN"/>
        </w:rPr>
        <w:t>a SPS PDSCH release</w:t>
      </w:r>
      <w:r w:rsidR="00D508B4">
        <w:rPr>
          <w:lang w:eastAsia="zh-CN"/>
        </w:rPr>
        <w:t xml:space="preserve"> </w:t>
      </w:r>
      <w:r>
        <w:rPr>
          <w:lang w:eastAsia="zh-CN"/>
        </w:rPr>
        <w:t xml:space="preserve">indicated </w:t>
      </w:r>
      <w:r>
        <w:rPr>
          <w:rFonts w:hint="eastAsia"/>
          <w:lang w:eastAsia="zh-CN"/>
        </w:rPr>
        <w:t xml:space="preserve">by DCI format 1_0 </w:t>
      </w:r>
      <w:r w:rsidR="00735D0B" w:rsidRPr="0088027F">
        <w:rPr>
          <w:lang w:val="en-US" w:eastAsia="zh-CN"/>
        </w:rPr>
        <w:t xml:space="preserve">or by DCI format 4_1, </w:t>
      </w:r>
      <w:r>
        <w:rPr>
          <w:rFonts w:hint="eastAsia"/>
          <w:lang w:eastAsia="zh-CN"/>
        </w:rPr>
        <w:t xml:space="preserve">with </w:t>
      </w:r>
      <w:r w:rsidRPr="00AE44D6">
        <w:rPr>
          <w:rFonts w:hint="eastAsia"/>
          <w:lang w:val="en-US" w:eastAsia="zh-CN"/>
        </w:rPr>
        <w:t xml:space="preserve">counter </w:t>
      </w:r>
      <w:r>
        <w:rPr>
          <w:rFonts w:hint="eastAsia"/>
          <w:lang w:eastAsia="zh-CN"/>
        </w:rPr>
        <w:t>DAI</w:t>
      </w:r>
      <w:r w:rsidRPr="00AE44D6">
        <w:rPr>
          <w:lang w:val="en-US"/>
        </w:rPr>
        <w:t xml:space="preserve"> field </w:t>
      </w:r>
      <w:r>
        <w:rPr>
          <w:rFonts w:hint="eastAsia"/>
          <w:lang w:val="en-US" w:eastAsia="zh-CN"/>
        </w:rPr>
        <w:t>value of 1</w:t>
      </w:r>
      <w:r>
        <w:rPr>
          <w:lang w:val="en-US" w:eastAsia="zh-CN"/>
        </w:rPr>
        <w:t>,</w:t>
      </w:r>
      <w:r>
        <w:rPr>
          <w:lang w:eastAsia="zh-CN"/>
        </w:rPr>
        <w:t xml:space="preserve"> or</w:t>
      </w:r>
    </w:p>
    <w:p w14:paraId="0DFB40FA" w14:textId="77777777" w:rsidR="00004767" w:rsidRDefault="00004767" w:rsidP="00004767">
      <w:pPr>
        <w:pStyle w:val="B1"/>
        <w:rPr>
          <w:lang w:val="en-US" w:eastAsia="zh-CN"/>
        </w:rPr>
      </w:pPr>
      <w:r>
        <w:rPr>
          <w:lang w:val="en-US" w:eastAsia="zh-CN"/>
        </w:rPr>
        <w:t>-</w:t>
      </w:r>
      <w:r>
        <w:rPr>
          <w:lang w:val="en-US" w:eastAsia="zh-CN"/>
        </w:rPr>
        <w:tab/>
        <w:t xml:space="preserve">a PDSCH reception </w:t>
      </w:r>
      <w:r>
        <w:t>providing a transport block having enabled HARQ-ACK information</w:t>
      </w:r>
      <w:r w:rsidRPr="000622BB">
        <w:rPr>
          <w:lang w:eastAsia="zh-CN"/>
        </w:rPr>
        <w:t xml:space="preserve"> </w:t>
      </w:r>
      <w:r>
        <w:rPr>
          <w:lang w:eastAsia="zh-CN"/>
        </w:rPr>
        <w:t xml:space="preserve">report and scheduled </w:t>
      </w:r>
      <w:r>
        <w:rPr>
          <w:rFonts w:hint="eastAsia"/>
          <w:lang w:eastAsia="zh-CN"/>
        </w:rPr>
        <w:t xml:space="preserve">by DCI format 1_0 </w:t>
      </w:r>
      <w:r w:rsidRPr="0088027F">
        <w:rPr>
          <w:lang w:val="en-US" w:eastAsia="zh-CN"/>
        </w:rPr>
        <w:t xml:space="preserve">or by DCI format 4_1, </w:t>
      </w:r>
      <w:r>
        <w:rPr>
          <w:rFonts w:hint="eastAsia"/>
          <w:lang w:eastAsia="zh-CN"/>
        </w:rPr>
        <w:t xml:space="preserve">with </w:t>
      </w:r>
      <w:r w:rsidRPr="00AE44D6">
        <w:rPr>
          <w:rFonts w:hint="eastAsia"/>
          <w:lang w:val="en-US" w:eastAsia="zh-CN"/>
        </w:rPr>
        <w:t xml:space="preserve">counter </w:t>
      </w:r>
      <w:r>
        <w:rPr>
          <w:rFonts w:hint="eastAsia"/>
          <w:lang w:eastAsia="zh-CN"/>
        </w:rPr>
        <w:t>DAI</w:t>
      </w:r>
      <w:r w:rsidRPr="00AE44D6">
        <w:rPr>
          <w:lang w:val="en-US"/>
        </w:rPr>
        <w:t xml:space="preserve"> field </w:t>
      </w:r>
      <w:r>
        <w:rPr>
          <w:rFonts w:hint="eastAsia"/>
          <w:lang w:val="en-US" w:eastAsia="zh-CN"/>
        </w:rPr>
        <w:t>value of 1</w:t>
      </w:r>
      <w:r>
        <w:rPr>
          <w:lang w:val="en-US" w:eastAsia="zh-CN"/>
        </w:rPr>
        <w:t xml:space="preserve"> on the PCell, or </w:t>
      </w:r>
    </w:p>
    <w:p w14:paraId="7AF85E3B" w14:textId="77777777" w:rsidR="00004767" w:rsidRDefault="00004767" w:rsidP="00004767">
      <w:pPr>
        <w:pStyle w:val="B1"/>
        <w:rPr>
          <w:lang w:val="en-US" w:eastAsia="zh-CN"/>
        </w:rPr>
      </w:pPr>
      <w:r>
        <w:rPr>
          <w:lang w:val="en-US" w:eastAsia="zh-CN"/>
        </w:rPr>
        <w:t>-</w:t>
      </w:r>
      <w:r>
        <w:rPr>
          <w:lang w:val="en-US" w:eastAsia="zh-CN"/>
        </w:rPr>
        <w:tab/>
        <w:t>SPS PDSCH receptions</w:t>
      </w:r>
      <w:r w:rsidRPr="0088027F">
        <w:rPr>
          <w:lang w:val="en-US" w:eastAsia="zh-CN"/>
        </w:rPr>
        <w:t xml:space="preserve"> </w:t>
      </w:r>
      <w:r>
        <w:rPr>
          <w:lang w:val="en-US" w:eastAsia="zh-CN"/>
        </w:rPr>
        <w:t xml:space="preserve">with transport blocks </w:t>
      </w:r>
      <w:r w:rsidRPr="0088027F">
        <w:rPr>
          <w:lang w:val="en-US" w:eastAsia="zh-CN"/>
        </w:rPr>
        <w:t>having enabled HARQ-ACK information reports</w:t>
      </w:r>
      <w:r>
        <w:rPr>
          <w:lang w:val="en-US" w:eastAsia="zh-CN"/>
        </w:rPr>
        <w:t>,</w:t>
      </w:r>
    </w:p>
    <w:p w14:paraId="7DB42FC0" w14:textId="183FE34E" w:rsidR="00D508B4" w:rsidRDefault="00D508B4" w:rsidP="00011FE0">
      <w:pPr>
        <w:rPr>
          <w:lang w:eastAsia="x-none"/>
        </w:rPr>
      </w:pPr>
      <w:r w:rsidRPr="00AE44D6">
        <w:rPr>
          <w:lang w:val="en-US" w:eastAsia="zh-CN"/>
        </w:rPr>
        <w:t>in the</w:t>
      </w:r>
      <w:r w:rsidR="0043149C">
        <w:rPr>
          <w:lang w:val="en-US" w:eastAsia="zh-CN"/>
        </w:rPr>
        <w:t xml:space="preserve"> </w:t>
      </w:r>
      <m:oMath>
        <m:sSub>
          <m:sSubPr>
            <m:ctrlPr>
              <w:rPr>
                <w:rFonts w:ascii="Cambria Math" w:hAnsi="Cambria Math"/>
                <w:i/>
              </w:rPr>
            </m:ctrlPr>
          </m:sSubPr>
          <m:e>
            <m:r>
              <w:rPr>
                <w:rFonts w:ascii="Cambria Math" w:hAnsi="Cambria Math"/>
              </w:rPr>
              <m:t>M</m:t>
            </m:r>
          </m:e>
          <m:sub>
            <m:r>
              <m:rPr>
                <m:nor/>
              </m:rPr>
              <w:rPr>
                <w:rFonts w:ascii="Cambria Math"/>
                <w:i/>
                <w:iCs/>
              </w:rPr>
              <m:t>A,c</m:t>
            </m:r>
            <m:ctrlPr>
              <w:rPr>
                <w:rFonts w:ascii="Cambria Math" w:hAnsi="Cambria Math"/>
              </w:rPr>
            </m:ctrlPr>
          </m:sub>
        </m:sSub>
      </m:oMath>
      <w:r w:rsidRPr="00AE44D6">
        <w:t xml:space="preserve"> occasions for candidate PDSCH receptions</w:t>
      </w:r>
      <w:r>
        <w:t xml:space="preserve"> </w:t>
      </w:r>
      <w:r w:rsidRPr="00AE44D6">
        <w:t xml:space="preserve">as determined </w:t>
      </w:r>
      <w:r w:rsidR="006F5F9E">
        <w:t>in clause</w:t>
      </w:r>
      <w:r w:rsidR="00E66858">
        <w:t xml:space="preserve"> 9.1.2.1</w:t>
      </w:r>
      <w:r w:rsidRPr="00AE44D6">
        <w:rPr>
          <w:lang w:val="en-US" w:eastAsia="zh-CN"/>
        </w:rPr>
        <w:t>,</w:t>
      </w:r>
      <w:r>
        <w:t xml:space="preserve"> </w:t>
      </w:r>
      <w:r w:rsidR="00004767">
        <w:t xml:space="preserve">in which case </w:t>
      </w:r>
      <w:r w:rsidRPr="00303EA7">
        <w:rPr>
          <w:lang w:eastAsia="x-none"/>
        </w:rPr>
        <w:t>th</w:t>
      </w:r>
      <w:r>
        <w:rPr>
          <w:lang w:eastAsia="x-none"/>
        </w:rPr>
        <w:t xml:space="preserve">e UE </w:t>
      </w:r>
      <w:r w:rsidR="00004767">
        <w:rPr>
          <w:lang w:eastAsia="x-none"/>
        </w:rPr>
        <w:t>generates</w:t>
      </w:r>
      <w:r>
        <w:rPr>
          <w:lang w:eastAsia="x-none"/>
        </w:rPr>
        <w:t xml:space="preserve"> a</w:t>
      </w:r>
      <w:r w:rsidRPr="00303EA7">
        <w:rPr>
          <w:lang w:eastAsia="x-none"/>
        </w:rPr>
        <w:t xml:space="preserve"> HARQ-ACK </w:t>
      </w:r>
      <w:r w:rsidR="00004767">
        <w:rPr>
          <w:lang w:eastAsia="x-none"/>
        </w:rPr>
        <w:t>information</w:t>
      </w:r>
      <w:r>
        <w:rPr>
          <w:lang w:eastAsia="x-none"/>
        </w:rPr>
        <w:t xml:space="preserve"> only for the</w:t>
      </w:r>
      <w:r w:rsidRPr="00303EA7">
        <w:rPr>
          <w:lang w:eastAsia="x-none"/>
        </w:rPr>
        <w:t xml:space="preserve"> </w:t>
      </w:r>
      <w:r>
        <w:rPr>
          <w:lang w:eastAsia="x-none"/>
        </w:rPr>
        <w:t>SPS PDSCH release</w:t>
      </w:r>
      <w:r w:rsidR="00735D0B">
        <w:rPr>
          <w:lang w:eastAsia="x-none"/>
        </w:rPr>
        <w:t>,</w:t>
      </w:r>
      <w:r>
        <w:rPr>
          <w:lang w:eastAsia="x-none"/>
        </w:rPr>
        <w:t xml:space="preserve"> or only </w:t>
      </w:r>
      <w:r w:rsidR="001723CA">
        <w:rPr>
          <w:lang w:eastAsia="x-none"/>
        </w:rPr>
        <w:t xml:space="preserve">for </w:t>
      </w:r>
      <w:r>
        <w:rPr>
          <w:lang w:eastAsia="x-none"/>
        </w:rPr>
        <w:t xml:space="preserve">the </w:t>
      </w:r>
      <w:r w:rsidRPr="00303EA7">
        <w:rPr>
          <w:lang w:eastAsia="x-none"/>
        </w:rPr>
        <w:t>PDSCH</w:t>
      </w:r>
      <w:r>
        <w:rPr>
          <w:lang w:eastAsia="x-none"/>
        </w:rPr>
        <w:t xml:space="preserve"> reception</w:t>
      </w:r>
      <w:r w:rsidR="00735D0B">
        <w:rPr>
          <w:lang w:eastAsia="x-none"/>
        </w:rPr>
        <w:t>,</w:t>
      </w:r>
      <w:r w:rsidR="00AB47D9" w:rsidRPr="00AB47D9">
        <w:rPr>
          <w:lang w:eastAsia="x-none"/>
        </w:rPr>
        <w:t xml:space="preserve"> </w:t>
      </w:r>
      <w:r w:rsidR="00AB47D9">
        <w:rPr>
          <w:lang w:eastAsia="x-none"/>
        </w:rPr>
        <w:t>or only for SPS PDSCH reception</w:t>
      </w:r>
      <w:r w:rsidR="00735D0B">
        <w:rPr>
          <w:lang w:eastAsia="x-none"/>
        </w:rPr>
        <w:t>s</w:t>
      </w:r>
      <w:r w:rsidR="00AB47D9">
        <w:rPr>
          <w:lang w:val="en-US" w:eastAsia="x-none"/>
        </w:rPr>
        <w:t xml:space="preserve"> according to corresponding </w:t>
      </w:r>
      <m:oMath>
        <m:sSub>
          <m:sSubPr>
            <m:ctrlPr>
              <w:rPr>
                <w:rFonts w:ascii="Cambria Math" w:hAnsi="Cambria Math"/>
                <w:i/>
              </w:rPr>
            </m:ctrlPr>
          </m:sSubPr>
          <m:e>
            <m:r>
              <w:rPr>
                <w:rFonts w:ascii="Cambria Math" w:hAnsi="Cambria Math"/>
              </w:rPr>
              <m:t>M</m:t>
            </m:r>
          </m:e>
          <m:sub>
            <m:r>
              <m:rPr>
                <m:nor/>
              </m:rPr>
              <w:rPr>
                <w:rFonts w:ascii="Cambria Math"/>
                <w:i/>
                <w:iCs/>
              </w:rPr>
              <m:t>A,c</m:t>
            </m:r>
            <m:ctrlPr>
              <w:rPr>
                <w:rFonts w:ascii="Cambria Math" w:hAnsi="Cambria Math"/>
              </w:rPr>
            </m:ctrlPr>
          </m:sub>
        </m:sSub>
      </m:oMath>
      <w:r w:rsidR="00AB47D9">
        <w:rPr>
          <w:rFonts w:cs="Arial"/>
          <w:lang w:eastAsia="zh-CN"/>
        </w:rPr>
        <w:t xml:space="preserve"> occasions</w:t>
      </w:r>
      <w:r w:rsidR="00AB47D9">
        <w:rPr>
          <w:rFonts w:cs="Arial"/>
          <w:lang w:val="en-US" w:eastAsia="zh-CN"/>
        </w:rPr>
        <w:t xml:space="preserve"> on respective serving cells</w:t>
      </w:r>
      <w:r w:rsidR="005133D3">
        <w:rPr>
          <w:lang w:eastAsia="zh-CN"/>
        </w:rPr>
        <w:t xml:space="preserve">, where the value of counter DAI in DCI format 1_0 </w:t>
      </w:r>
      <w:r w:rsidR="00735D0B" w:rsidRPr="0088027F">
        <w:rPr>
          <w:lang w:eastAsia="zh-CN"/>
        </w:rPr>
        <w:t xml:space="preserve">or in DCI format 4_1 </w:t>
      </w:r>
      <w:r w:rsidR="005133D3">
        <w:rPr>
          <w:lang w:eastAsia="zh-CN"/>
        </w:rPr>
        <w:t>is according to Table 9.1.3-1</w:t>
      </w:r>
      <w:r w:rsidR="001F27D3" w:rsidRPr="00BA136B">
        <w:rPr>
          <w:lang w:eastAsia="zh-CN"/>
        </w:rPr>
        <w:t xml:space="preserve"> </w:t>
      </w:r>
      <w:r w:rsidR="001F27D3">
        <w:rPr>
          <w:lang w:eastAsia="zh-CN"/>
        </w:rPr>
        <w:t xml:space="preserve">and HARQ-ACK information bits in response to </w:t>
      </w:r>
      <w:r w:rsidR="00345740">
        <w:rPr>
          <w:lang w:eastAsia="zh-CN"/>
        </w:rPr>
        <w:t xml:space="preserve">more than one </w:t>
      </w:r>
      <w:r w:rsidR="001F27D3">
        <w:rPr>
          <w:lang w:eastAsia="zh-CN"/>
        </w:rPr>
        <w:t xml:space="preserve">SPS PDSCH receptions </w:t>
      </w:r>
      <w:r w:rsidR="00345740">
        <w:rPr>
          <w:lang w:eastAsia="zh-CN"/>
        </w:rPr>
        <w:t xml:space="preserve">that the UE is configured to receive </w:t>
      </w:r>
      <w:r w:rsidR="001F27D3">
        <w:rPr>
          <w:lang w:eastAsia="zh-CN"/>
        </w:rPr>
        <w:t>are ordered according to the following pseudo-code</w:t>
      </w:r>
      <w:r>
        <w:rPr>
          <w:lang w:eastAsia="x-none"/>
        </w:rPr>
        <w:t xml:space="preserve">; otherwise, the procedures </w:t>
      </w:r>
      <w:r w:rsidR="006F5F9E">
        <w:rPr>
          <w:lang w:eastAsia="x-none"/>
        </w:rPr>
        <w:t>in clause</w:t>
      </w:r>
      <w:r w:rsidR="001723CA">
        <w:rPr>
          <w:lang w:eastAsia="x-none"/>
        </w:rPr>
        <w:t xml:space="preserve"> 9.1.2.1 and </w:t>
      </w:r>
      <w:r w:rsidR="006F5F9E">
        <w:rPr>
          <w:lang w:eastAsia="x-none"/>
        </w:rPr>
        <w:t>clause</w:t>
      </w:r>
      <w:r w:rsidR="001723CA">
        <w:rPr>
          <w:lang w:eastAsia="x-none"/>
        </w:rPr>
        <w:t xml:space="preserve"> 9.1.2.2 </w:t>
      </w:r>
      <w:r>
        <w:rPr>
          <w:lang w:eastAsia="x-none"/>
        </w:rPr>
        <w:t>for a HARQ-ACK codebook determination apply.</w:t>
      </w:r>
    </w:p>
    <w:p w14:paraId="300CBD32" w14:textId="77777777" w:rsidR="00735D0B" w:rsidRPr="0088027F" w:rsidRDefault="00735D0B" w:rsidP="00735D0B">
      <w:pPr>
        <w:jc w:val="both"/>
        <w:rPr>
          <w:lang w:eastAsia="zh-CN"/>
        </w:rPr>
      </w:pPr>
      <w:r w:rsidRPr="0088027F">
        <w:rPr>
          <w:lang w:eastAsia="zh-CN"/>
        </w:rPr>
        <w:t>In the following pseudo-code, SPS PDSCH receptions associated with a SPS PDSCH configuration are activated by a DCI format with CRC scrambled by a CS-RNTI or by a DCI format with CRC scrambled by a G-CS-RNTI.</w:t>
      </w:r>
    </w:p>
    <w:p w14:paraId="5F834D9F" w14:textId="77777777" w:rsidR="001F27D3" w:rsidRDefault="001F27D3" w:rsidP="001F27D3">
      <w:pPr>
        <w:jc w:val="both"/>
      </w:pPr>
      <w:r w:rsidRPr="00B916EC">
        <w:rPr>
          <w:rFonts w:hint="eastAsia"/>
          <w:lang w:eastAsia="zh-CN"/>
        </w:rPr>
        <w:t xml:space="preserve">Set </w:t>
      </w:r>
      <m:oMath>
        <m:sSubSup>
          <m:sSubSupPr>
            <m:ctrlPr>
              <w:rPr>
                <w:rFonts w:ascii="Cambria Math" w:hAnsi="Cambria Math" w:cs="Arial"/>
                <w:i/>
                <w:lang w:eastAsia="zh-CN"/>
              </w:rPr>
            </m:ctrlPr>
          </m:sSubSupPr>
          <m:e>
            <m:r>
              <w:rPr>
                <w:rFonts w:ascii="Cambria Math" w:hAnsi="Cambria Math" w:cs="Arial"/>
                <w:lang w:eastAsia="zh-CN"/>
              </w:rPr>
              <m:t>N</m:t>
            </m:r>
          </m:e>
          <m:sub>
            <m:r>
              <m:rPr>
                <m:sty m:val="p"/>
              </m:rPr>
              <w:rPr>
                <w:rFonts w:ascii="Cambria Math" w:hAnsi="Cambria Math" w:cs="Arial"/>
                <w:lang w:eastAsia="zh-CN"/>
              </w:rPr>
              <m:t>cells</m:t>
            </m:r>
          </m:sub>
          <m:sup>
            <m:r>
              <m:rPr>
                <m:sty m:val="p"/>
              </m:rPr>
              <w:rPr>
                <w:rFonts w:ascii="Cambria Math" w:hAnsi="Cambria Math" w:cs="Arial"/>
                <w:lang w:eastAsia="zh-CN"/>
              </w:rPr>
              <m:t>DL</m:t>
            </m:r>
          </m:sup>
        </m:sSubSup>
      </m:oMath>
      <w:r w:rsidRPr="00B916EC">
        <w:t xml:space="preserve"> to the number of </w:t>
      </w:r>
      <w:r>
        <w:t xml:space="preserve">serving </w:t>
      </w:r>
      <w:r w:rsidRPr="00B916EC">
        <w:t xml:space="preserve">cells configured </w:t>
      </w:r>
      <w:r>
        <w:t>to</w:t>
      </w:r>
      <w:r w:rsidRPr="00B916EC">
        <w:t xml:space="preserve"> the UE</w:t>
      </w:r>
    </w:p>
    <w:p w14:paraId="4B45B117" w14:textId="5776EF3C" w:rsidR="001F27D3" w:rsidRPr="00B916EC" w:rsidRDefault="001F27D3" w:rsidP="001F27D3">
      <w:pPr>
        <w:jc w:val="both"/>
        <w:rPr>
          <w:lang w:eastAsia="zh-CN"/>
        </w:rPr>
      </w:pPr>
      <w:r w:rsidRPr="00B916EC">
        <w:rPr>
          <w:rFonts w:hint="eastAsia"/>
          <w:lang w:eastAsia="zh-CN"/>
        </w:rPr>
        <w:t xml:space="preserve">Set </w:t>
      </w:r>
      <m:oMath>
        <m:sSubSup>
          <m:sSubSupPr>
            <m:ctrlPr>
              <w:rPr>
                <w:rFonts w:ascii="Cambria Math" w:hAnsi="Cambria Math" w:cs="Arial"/>
                <w:i/>
                <w:lang w:eastAsia="zh-CN"/>
              </w:rPr>
            </m:ctrlPr>
          </m:sSubSupPr>
          <m:e>
            <m:r>
              <w:rPr>
                <w:rFonts w:ascii="Cambria Math" w:hAnsi="Cambria Math" w:cs="Arial"/>
                <w:lang w:eastAsia="zh-CN"/>
              </w:rPr>
              <m:t>N</m:t>
            </m:r>
          </m:e>
          <m:sub>
            <m:r>
              <m:rPr>
                <m:sty m:val="p"/>
              </m:rPr>
              <w:rPr>
                <w:rFonts w:ascii="Cambria Math" w:hAnsi="Cambria Math" w:cs="Arial"/>
                <w:lang w:eastAsia="zh-CN"/>
              </w:rPr>
              <m:t>c</m:t>
            </m:r>
          </m:sub>
          <m:sup>
            <m:r>
              <m:rPr>
                <m:sty m:val="p"/>
              </m:rPr>
              <w:rPr>
                <w:rFonts w:ascii="Cambria Math" w:hAnsi="Cambria Math" w:cs="Arial"/>
                <w:lang w:eastAsia="zh-CN"/>
              </w:rPr>
              <m:t>SPS</m:t>
            </m:r>
          </m:sup>
        </m:sSubSup>
      </m:oMath>
      <w:r w:rsidRPr="00B916EC">
        <w:t xml:space="preserve"> to the number of </w:t>
      </w:r>
      <w:r>
        <w:t>SPS PDSCH configuration</w:t>
      </w:r>
      <w:r w:rsidR="00735D0B">
        <w:t>s</w:t>
      </w:r>
      <w:r>
        <w:t xml:space="preserve"> configured to the UE for serving cell</w:t>
      </w:r>
      <w:r w:rsidRPr="00B916EC">
        <w:t xml:space="preserve"> </w:t>
      </w:r>
      <m:oMath>
        <m:r>
          <w:rPr>
            <w:rFonts w:ascii="Cambria Math" w:hAnsi="Cambria Math" w:cs="Arial"/>
            <w:lang w:eastAsia="zh-CN"/>
          </w:rPr>
          <m:t>c</m:t>
        </m:r>
      </m:oMath>
    </w:p>
    <w:p w14:paraId="4BA7A183" w14:textId="449F4CF5" w:rsidR="001F27D3" w:rsidRDefault="001F27D3" w:rsidP="001F27D3">
      <w:pPr>
        <w:jc w:val="both"/>
        <w:rPr>
          <w:lang w:eastAsia="zh-CN"/>
        </w:rPr>
      </w:pPr>
      <w:r w:rsidRPr="00B916EC">
        <w:rPr>
          <w:rFonts w:hint="eastAsia"/>
          <w:lang w:eastAsia="zh-CN"/>
        </w:rPr>
        <w:t xml:space="preserve">Set </w:t>
      </w:r>
      <m:oMath>
        <m:sSubSup>
          <m:sSubSupPr>
            <m:ctrlPr>
              <w:rPr>
                <w:rFonts w:ascii="Cambria Math" w:hAnsi="Cambria Math" w:cs="Arial"/>
                <w:i/>
                <w:lang w:eastAsia="zh-CN"/>
              </w:rPr>
            </m:ctrlPr>
          </m:sSubSupPr>
          <m:e>
            <m:r>
              <w:rPr>
                <w:rFonts w:ascii="Cambria Math" w:hAnsi="Cambria Math" w:cs="Arial"/>
                <w:lang w:eastAsia="zh-CN"/>
              </w:rPr>
              <m:t>N</m:t>
            </m:r>
          </m:e>
          <m:sub>
            <m:r>
              <m:rPr>
                <m:sty m:val="p"/>
              </m:rPr>
              <w:rPr>
                <w:rFonts w:ascii="Cambria Math" w:hAnsi="Cambria Math" w:cs="Arial"/>
                <w:lang w:eastAsia="zh-CN"/>
              </w:rPr>
              <m:t>c</m:t>
            </m:r>
          </m:sub>
          <m:sup>
            <m:r>
              <m:rPr>
                <m:sty m:val="p"/>
              </m:rPr>
              <w:rPr>
                <w:rFonts w:ascii="Cambria Math" w:hAnsi="Cambria Math" w:cs="Arial"/>
                <w:lang w:eastAsia="zh-CN"/>
              </w:rPr>
              <m:t>DL</m:t>
            </m:r>
          </m:sup>
        </m:sSubSup>
      </m:oMath>
      <w:r w:rsidRPr="00B916EC">
        <w:t xml:space="preserve"> to the number of </w:t>
      </w:r>
      <w:r>
        <w:t>DL slots for SPS PDSCH reception</w:t>
      </w:r>
      <w:r w:rsidR="00735D0B">
        <w:t>s</w:t>
      </w:r>
      <w:r>
        <w:t xml:space="preserve"> on serving cell</w:t>
      </w:r>
      <w:r w:rsidRPr="00B916EC">
        <w:t xml:space="preserve"> </w:t>
      </w:r>
      <m:oMath>
        <m:r>
          <w:rPr>
            <w:rFonts w:ascii="Cambria Math" w:hAnsi="Cambria Math" w:cs="Arial"/>
            <w:lang w:eastAsia="zh-CN"/>
          </w:rPr>
          <m:t>c</m:t>
        </m:r>
      </m:oMath>
      <w:r>
        <w:t xml:space="preserve"> with HARQ-ACK information multiplexed on the PUCCH</w:t>
      </w:r>
    </w:p>
    <w:p w14:paraId="78EBF67A" w14:textId="77777777" w:rsidR="001F27D3" w:rsidRPr="00B916EC" w:rsidRDefault="001F27D3" w:rsidP="001F27D3">
      <w:pPr>
        <w:jc w:val="both"/>
        <w:rPr>
          <w:lang w:eastAsia="zh-CN"/>
        </w:rPr>
      </w:pPr>
      <w:r w:rsidRPr="00B916EC">
        <w:rPr>
          <w:rFonts w:hint="eastAsia"/>
          <w:lang w:eastAsia="zh-CN"/>
        </w:rPr>
        <w:t xml:space="preserve">Set </w:t>
      </w:r>
      <m:oMath>
        <m:r>
          <w:rPr>
            <w:rFonts w:ascii="Cambria Math" w:hAnsi="Cambria Math" w:cs="Arial"/>
            <w:lang w:eastAsia="zh-CN"/>
          </w:rPr>
          <m:t>j</m:t>
        </m:r>
        <m:r>
          <w:rPr>
            <w:rFonts w:ascii="Cambria Math" w:cs="Arial"/>
            <w:lang w:eastAsia="zh-CN"/>
          </w:rPr>
          <m:t>=0</m:t>
        </m:r>
      </m:oMath>
      <w:r>
        <w:rPr>
          <w:lang w:eastAsia="zh-CN"/>
        </w:rPr>
        <w:t xml:space="preserve"> </w:t>
      </w:r>
      <w:r w:rsidRPr="00B916EC">
        <w:rPr>
          <w:lang w:eastAsia="zh-CN"/>
        </w:rPr>
        <w:t>–</w:t>
      </w:r>
      <w:r w:rsidRPr="00B916EC">
        <w:t xml:space="preserve"> HARQ-ACK</w:t>
      </w:r>
      <w:r w:rsidRPr="00610503">
        <w:rPr>
          <w:lang w:val="en-US"/>
        </w:rPr>
        <w:t xml:space="preserve"> </w:t>
      </w:r>
      <w:r>
        <w:rPr>
          <w:lang w:val="en-US"/>
        </w:rPr>
        <w:t>information</w:t>
      </w:r>
      <w:r>
        <w:t xml:space="preserve"> bit index</w:t>
      </w:r>
    </w:p>
    <w:p w14:paraId="0F5BA900" w14:textId="77777777" w:rsidR="001F27D3" w:rsidRPr="00B916EC" w:rsidRDefault="001F27D3" w:rsidP="001F27D3">
      <w:pPr>
        <w:jc w:val="both"/>
        <w:rPr>
          <w:lang w:eastAsia="zh-CN"/>
        </w:rPr>
      </w:pPr>
      <w:r w:rsidRPr="00B916EC">
        <w:rPr>
          <w:lang w:eastAsia="zh-CN"/>
        </w:rPr>
        <w:t>S</w:t>
      </w:r>
      <w:r w:rsidRPr="00B916EC">
        <w:rPr>
          <w:rFonts w:hint="eastAsia"/>
          <w:lang w:eastAsia="zh-CN"/>
        </w:rPr>
        <w:t xml:space="preserve">et </w:t>
      </w:r>
      <m:oMath>
        <m:r>
          <w:rPr>
            <w:rFonts w:ascii="Cambria Math" w:hAnsi="Cambria Math" w:cs="Arial"/>
            <w:lang w:eastAsia="zh-CN"/>
          </w:rPr>
          <m:t>c</m:t>
        </m:r>
        <m:r>
          <w:rPr>
            <w:rFonts w:ascii="Cambria Math" w:cs="Arial"/>
            <w:lang w:eastAsia="zh-CN"/>
          </w:rPr>
          <m:t>=0</m:t>
        </m:r>
      </m:oMath>
      <w:r w:rsidRPr="00B916EC">
        <w:rPr>
          <w:rFonts w:hint="eastAsia"/>
          <w:lang w:eastAsia="zh-CN"/>
        </w:rPr>
        <w:t xml:space="preserve"> </w:t>
      </w:r>
      <w:r w:rsidRPr="00B916EC">
        <w:rPr>
          <w:lang w:eastAsia="zh-CN"/>
        </w:rPr>
        <w:t>–</w:t>
      </w:r>
      <w:r w:rsidRPr="00B916EC">
        <w:rPr>
          <w:rFonts w:hint="eastAsia"/>
          <w:lang w:eastAsia="zh-CN"/>
        </w:rPr>
        <w:t xml:space="preserve"> </w:t>
      </w:r>
      <w:r w:rsidRPr="00B916EC">
        <w:rPr>
          <w:lang w:eastAsia="zh-CN"/>
        </w:rPr>
        <w:t xml:space="preserve">serving </w:t>
      </w:r>
      <w:r w:rsidRPr="00B916EC">
        <w:rPr>
          <w:rFonts w:hint="eastAsia"/>
          <w:lang w:eastAsia="zh-CN"/>
        </w:rPr>
        <w:t xml:space="preserve">cell index: lower </w:t>
      </w:r>
      <w:r>
        <w:rPr>
          <w:rFonts w:hint="eastAsia"/>
          <w:lang w:eastAsia="zh-CN"/>
        </w:rPr>
        <w:t>indexes</w:t>
      </w:r>
      <w:r w:rsidRPr="00B916EC">
        <w:rPr>
          <w:rFonts w:hint="eastAsia"/>
          <w:lang w:eastAsia="zh-CN"/>
        </w:rPr>
        <w:t xml:space="preserve"> </w:t>
      </w:r>
      <w:r w:rsidRPr="00B916EC">
        <w:rPr>
          <w:lang w:eastAsia="zh-CN"/>
        </w:rPr>
        <w:t>correspond</w:t>
      </w:r>
      <w:r w:rsidRPr="00B916EC">
        <w:rPr>
          <w:rFonts w:hint="eastAsia"/>
          <w:lang w:eastAsia="zh-CN"/>
        </w:rPr>
        <w:t xml:space="preserve"> to lower RRC </w:t>
      </w:r>
      <w:r>
        <w:rPr>
          <w:rFonts w:hint="eastAsia"/>
          <w:lang w:eastAsia="zh-CN"/>
        </w:rPr>
        <w:t>indexes</w:t>
      </w:r>
      <w:r w:rsidRPr="00B916EC">
        <w:rPr>
          <w:rFonts w:hint="eastAsia"/>
          <w:lang w:eastAsia="zh-CN"/>
        </w:rPr>
        <w:t xml:space="preserve"> of corresponding cell</w:t>
      </w:r>
    </w:p>
    <w:p w14:paraId="4A6F1015" w14:textId="77777777" w:rsidR="001F27D3" w:rsidRDefault="001F27D3" w:rsidP="00A312BF">
      <w:pPr>
        <w:pStyle w:val="B1"/>
      </w:pPr>
      <w:r w:rsidRPr="00B916EC">
        <w:t xml:space="preserve">while </w:t>
      </w:r>
      <m:oMath>
        <m:r>
          <w:rPr>
            <w:rFonts w:ascii="Cambria Math" w:hAnsi="Cambria Math"/>
            <w:lang w:eastAsia="zh-CN"/>
          </w:rPr>
          <m:t>c&lt;</m:t>
        </m:r>
        <m:sSubSup>
          <m:sSubSupPr>
            <m:ctrlPr>
              <w:rPr>
                <w:rFonts w:ascii="Cambria Math" w:hAnsi="Cambria Math"/>
                <w:i/>
                <w:lang w:val="en-GB" w:eastAsia="zh-CN"/>
              </w:rPr>
            </m:ctrlPr>
          </m:sSubSupPr>
          <m:e>
            <m:r>
              <w:rPr>
                <w:rFonts w:ascii="Cambria Math" w:hAnsi="Cambria Math"/>
                <w:lang w:eastAsia="zh-CN"/>
              </w:rPr>
              <m:t>N</m:t>
            </m:r>
          </m:e>
          <m:sub>
            <m:r>
              <m:rPr>
                <m:sty m:val="p"/>
              </m:rPr>
              <w:rPr>
                <w:rFonts w:ascii="Cambria Math" w:hAnsi="Cambria Math"/>
                <w:lang w:eastAsia="zh-CN"/>
              </w:rPr>
              <m:t>cells</m:t>
            </m:r>
          </m:sub>
          <m:sup>
            <m:r>
              <m:rPr>
                <m:sty m:val="p"/>
              </m:rPr>
              <w:rPr>
                <w:rFonts w:ascii="Cambria Math" w:hAnsi="Cambria Math"/>
                <w:lang w:eastAsia="zh-CN"/>
              </w:rPr>
              <m:t>DL</m:t>
            </m:r>
          </m:sup>
        </m:sSubSup>
      </m:oMath>
      <w:r w:rsidRPr="00B916EC">
        <w:t xml:space="preserve"> </w:t>
      </w:r>
    </w:p>
    <w:p w14:paraId="21C8E07B" w14:textId="77777777" w:rsidR="001F27D3" w:rsidRDefault="001F27D3" w:rsidP="00A312BF">
      <w:pPr>
        <w:pStyle w:val="B1"/>
        <w:rPr>
          <w:lang w:eastAsia="zh-CN"/>
        </w:rPr>
      </w:pPr>
      <w:r w:rsidRPr="00B916EC">
        <w:rPr>
          <w:lang w:eastAsia="zh-CN"/>
        </w:rPr>
        <w:t>S</w:t>
      </w:r>
      <w:r w:rsidRPr="00B916EC">
        <w:rPr>
          <w:rFonts w:hint="eastAsia"/>
          <w:lang w:eastAsia="zh-CN"/>
        </w:rPr>
        <w:t xml:space="preserve">et </w:t>
      </w:r>
      <m:oMath>
        <m:r>
          <w:rPr>
            <w:rFonts w:ascii="Cambria Math" w:hAnsi="Cambria Math"/>
            <w:lang w:eastAsia="zh-CN"/>
          </w:rPr>
          <m:t>s=0</m:t>
        </m:r>
      </m:oMath>
      <w:r w:rsidRPr="00B916EC">
        <w:rPr>
          <w:rFonts w:hint="eastAsia"/>
          <w:lang w:eastAsia="zh-CN"/>
        </w:rPr>
        <w:t xml:space="preserve"> </w:t>
      </w:r>
      <w:r w:rsidRPr="00B916EC">
        <w:rPr>
          <w:lang w:eastAsia="zh-CN"/>
        </w:rPr>
        <w:t>–</w:t>
      </w:r>
      <w:r w:rsidRPr="00B916EC">
        <w:rPr>
          <w:rFonts w:hint="eastAsia"/>
          <w:lang w:eastAsia="zh-CN"/>
        </w:rPr>
        <w:t xml:space="preserve"> </w:t>
      </w:r>
      <w:r>
        <w:rPr>
          <w:lang w:eastAsia="zh-CN"/>
        </w:rPr>
        <w:t>SPS PDSCH configuration index:</w:t>
      </w:r>
      <w:r w:rsidRPr="008A1E6F">
        <w:rPr>
          <w:rFonts w:hint="eastAsia"/>
          <w:lang w:eastAsia="zh-CN"/>
        </w:rPr>
        <w:t xml:space="preserve"> </w:t>
      </w:r>
      <w:r w:rsidRPr="00B916EC">
        <w:rPr>
          <w:rFonts w:hint="eastAsia"/>
          <w:lang w:eastAsia="zh-CN"/>
        </w:rPr>
        <w:t xml:space="preserve">lower </w:t>
      </w:r>
      <w:r>
        <w:rPr>
          <w:rFonts w:hint="eastAsia"/>
          <w:lang w:eastAsia="zh-CN"/>
        </w:rPr>
        <w:t>indexes</w:t>
      </w:r>
      <w:r w:rsidRPr="00B916EC">
        <w:rPr>
          <w:rFonts w:hint="eastAsia"/>
          <w:lang w:eastAsia="zh-CN"/>
        </w:rPr>
        <w:t xml:space="preserve"> </w:t>
      </w:r>
      <w:r w:rsidRPr="00B916EC">
        <w:rPr>
          <w:lang w:eastAsia="zh-CN"/>
        </w:rPr>
        <w:t>correspond</w:t>
      </w:r>
      <w:r w:rsidRPr="00B916EC">
        <w:rPr>
          <w:rFonts w:hint="eastAsia"/>
          <w:lang w:eastAsia="zh-CN"/>
        </w:rPr>
        <w:t xml:space="preserve"> to lower RRC </w:t>
      </w:r>
      <w:r>
        <w:rPr>
          <w:rFonts w:hint="eastAsia"/>
          <w:lang w:eastAsia="zh-CN"/>
        </w:rPr>
        <w:t>indexes of corresponding SPS configurations</w:t>
      </w:r>
      <w:r>
        <w:rPr>
          <w:lang w:eastAsia="zh-CN"/>
        </w:rPr>
        <w:t xml:space="preserve"> </w:t>
      </w:r>
    </w:p>
    <w:p w14:paraId="325882E9" w14:textId="77777777" w:rsidR="001F27D3" w:rsidRDefault="001F27D3" w:rsidP="00A312BF">
      <w:pPr>
        <w:pStyle w:val="B2"/>
      </w:pPr>
      <w:r w:rsidRPr="00B916EC">
        <w:t xml:space="preserve">while </w:t>
      </w:r>
      <m:oMath>
        <m:r>
          <w:rPr>
            <w:rFonts w:ascii="Cambria Math" w:hAnsi="Cambria Math"/>
            <w:lang w:eastAsia="zh-CN"/>
          </w:rPr>
          <m:t>s&lt;</m:t>
        </m:r>
        <m:sSubSup>
          <m:sSubSupPr>
            <m:ctrlPr>
              <w:rPr>
                <w:rFonts w:ascii="Cambria Math" w:hAnsi="Cambria Math"/>
                <w:i/>
                <w:lang w:val="en-GB" w:eastAsia="zh-CN"/>
              </w:rPr>
            </m:ctrlPr>
          </m:sSubSupPr>
          <m:e>
            <m:r>
              <w:rPr>
                <w:rFonts w:ascii="Cambria Math" w:hAnsi="Cambria Math"/>
                <w:lang w:eastAsia="zh-CN"/>
              </w:rPr>
              <m:t>N</m:t>
            </m:r>
          </m:e>
          <m:sub>
            <m:r>
              <m:rPr>
                <m:sty m:val="p"/>
              </m:rPr>
              <w:rPr>
                <w:rFonts w:ascii="Cambria Math" w:hAnsi="Cambria Math"/>
                <w:lang w:eastAsia="zh-CN"/>
              </w:rPr>
              <m:t>c</m:t>
            </m:r>
          </m:sub>
          <m:sup>
            <m:r>
              <m:rPr>
                <m:sty m:val="p"/>
              </m:rPr>
              <w:rPr>
                <w:rFonts w:ascii="Cambria Math" w:hAnsi="Cambria Math"/>
                <w:lang w:eastAsia="zh-CN"/>
              </w:rPr>
              <m:t>SPS</m:t>
            </m:r>
          </m:sup>
        </m:sSubSup>
      </m:oMath>
    </w:p>
    <w:p w14:paraId="08A2EF47" w14:textId="2CFE39CC" w:rsidR="001F27D3" w:rsidRDefault="001F27D3" w:rsidP="00A312BF">
      <w:pPr>
        <w:pStyle w:val="B3"/>
        <w:rPr>
          <w:lang w:eastAsia="zh-CN"/>
        </w:rPr>
      </w:pPr>
      <w:r w:rsidRPr="00B916EC">
        <w:rPr>
          <w:lang w:eastAsia="zh-CN"/>
        </w:rPr>
        <w:t>S</w:t>
      </w:r>
      <w:r w:rsidRPr="00B916EC">
        <w:rPr>
          <w:rFonts w:hint="eastAsia"/>
          <w:lang w:eastAsia="zh-CN"/>
        </w:rPr>
        <w:t xml:space="preserve">et </w:t>
      </w:r>
      <m:oMath>
        <m:sSub>
          <m:sSubPr>
            <m:ctrlPr>
              <w:rPr>
                <w:rFonts w:ascii="Cambria Math" w:hAnsi="Cambria Math" w:cs="Arial"/>
                <w:i/>
                <w:lang w:eastAsia="zh-CN"/>
              </w:rPr>
            </m:ctrlPr>
          </m:sSubPr>
          <m:e>
            <m:r>
              <w:rPr>
                <w:rFonts w:ascii="Cambria Math" w:hAnsi="Cambria Math" w:cs="Arial"/>
                <w:lang w:eastAsia="zh-CN"/>
              </w:rPr>
              <m:t>n</m:t>
            </m:r>
          </m:e>
          <m:sub>
            <m:r>
              <w:rPr>
                <w:rFonts w:ascii="Cambria Math" w:hAnsi="Cambria Math" w:cs="Arial"/>
                <w:lang w:eastAsia="zh-CN"/>
              </w:rPr>
              <m:t>D</m:t>
            </m:r>
          </m:sub>
        </m:sSub>
        <m:r>
          <w:rPr>
            <w:rFonts w:ascii="Cambria Math" w:cs="Arial"/>
            <w:lang w:eastAsia="zh-CN"/>
          </w:rPr>
          <m:t>=0</m:t>
        </m:r>
      </m:oMath>
      <w:r w:rsidRPr="00B916EC">
        <w:rPr>
          <w:rFonts w:hint="eastAsia"/>
          <w:lang w:eastAsia="zh-CN"/>
        </w:rPr>
        <w:t xml:space="preserve"> </w:t>
      </w:r>
      <w:r w:rsidRPr="00B916EC">
        <w:rPr>
          <w:lang w:eastAsia="zh-CN"/>
        </w:rPr>
        <w:t>–</w:t>
      </w:r>
      <w:r w:rsidRPr="00B916EC">
        <w:rPr>
          <w:rFonts w:hint="eastAsia"/>
          <w:lang w:eastAsia="zh-CN"/>
        </w:rPr>
        <w:t xml:space="preserve"> </w:t>
      </w:r>
      <w:r>
        <w:rPr>
          <w:lang w:eastAsia="zh-CN"/>
        </w:rPr>
        <w:t xml:space="preserve">slot index </w:t>
      </w:r>
    </w:p>
    <w:p w14:paraId="6DC226F8" w14:textId="77777777" w:rsidR="001F27D3" w:rsidRDefault="001F27D3" w:rsidP="00A312BF">
      <w:pPr>
        <w:pStyle w:val="B4"/>
      </w:pPr>
      <w:r w:rsidRPr="00B916EC">
        <w:t xml:space="preserve">while </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D</m:t>
            </m:r>
          </m:sub>
        </m:sSub>
        <m:r>
          <m:rPr>
            <m:sty m:val="p"/>
          </m:rPr>
          <w:rPr>
            <w:rFonts w:ascii="Cambria Math" w:hAnsi="Cambria Math"/>
            <w:lang w:eastAsia="zh-CN"/>
          </w:rPr>
          <m:t>&lt;</m:t>
        </m:r>
        <m:sSubSup>
          <m:sSubSupPr>
            <m:ctrlPr>
              <w:rPr>
                <w:rFonts w:ascii="Cambria Math" w:hAnsi="Cambria Math"/>
                <w:lang w:eastAsia="zh-CN"/>
              </w:rPr>
            </m:ctrlPr>
          </m:sSubSupPr>
          <m:e>
            <m:r>
              <w:rPr>
                <w:rFonts w:ascii="Cambria Math" w:hAnsi="Cambria Math"/>
                <w:lang w:eastAsia="zh-CN"/>
              </w:rPr>
              <m:t>N</m:t>
            </m:r>
          </m:e>
          <m:sub>
            <m:r>
              <m:rPr>
                <m:sty m:val="p"/>
              </m:rPr>
              <w:rPr>
                <w:rFonts w:ascii="Cambria Math" w:hAnsi="Cambria Math"/>
                <w:lang w:eastAsia="zh-CN"/>
              </w:rPr>
              <m:t>c</m:t>
            </m:r>
          </m:sub>
          <m:sup>
            <m:r>
              <m:rPr>
                <m:sty m:val="p"/>
              </m:rPr>
              <w:rPr>
                <w:rFonts w:ascii="Cambria Math" w:hAnsi="Cambria Math"/>
                <w:lang w:eastAsia="zh-CN"/>
              </w:rPr>
              <m:t>DL</m:t>
            </m:r>
          </m:sup>
        </m:sSubSup>
      </m:oMath>
    </w:p>
    <w:p w14:paraId="10FE1662" w14:textId="77777777" w:rsidR="00345740" w:rsidRDefault="001F27D3" w:rsidP="00345740">
      <w:pPr>
        <w:pStyle w:val="B5"/>
      </w:pPr>
      <w:r>
        <w:t xml:space="preserve">if </w:t>
      </w:r>
      <w:r w:rsidR="00345740">
        <w:t>{</w:t>
      </w:r>
    </w:p>
    <w:p w14:paraId="32287B6D" w14:textId="77777777" w:rsidR="00504B9B" w:rsidRDefault="00345740" w:rsidP="00F44350">
      <w:pPr>
        <w:pStyle w:val="B5"/>
        <w:ind w:left="1701" w:firstLine="0"/>
        <w:rPr>
          <w:lang w:eastAsia="zh-CN"/>
        </w:rPr>
      </w:pPr>
      <w:r>
        <w:t xml:space="preserve">a </w:t>
      </w:r>
      <w:r w:rsidR="001F27D3">
        <w:t xml:space="preserve">UE </w:t>
      </w:r>
      <w:r w:rsidR="004B577B">
        <w:t xml:space="preserve">is configured to </w:t>
      </w:r>
      <w:r w:rsidR="001F27D3">
        <w:t>receive</w:t>
      </w:r>
      <w:r w:rsidR="004B577B">
        <w:t xml:space="preserve"> </w:t>
      </w:r>
      <w:r w:rsidR="001F27D3">
        <w:t>SPS PDSCH</w:t>
      </w:r>
      <w:r w:rsidR="004F7EFB">
        <w:t>s</w:t>
      </w:r>
      <w:r w:rsidR="001F27D3">
        <w:t xml:space="preserve"> </w:t>
      </w:r>
      <w:r w:rsidR="004F7EFB">
        <w:t xml:space="preserve">from slot </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D</m:t>
            </m:r>
          </m:sub>
        </m:sSub>
        <m: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N</m:t>
            </m:r>
          </m:e>
          <m:sub>
            <m:r>
              <w:rPr>
                <w:rFonts w:ascii="Cambria Math" w:hAnsi="Cambria Math"/>
                <w:lang w:eastAsia="zh-CN"/>
              </w:rPr>
              <m:t>PDSCH</m:t>
            </m:r>
          </m:sub>
          <m:sup>
            <m:r>
              <w:rPr>
                <w:rFonts w:ascii="Cambria Math" w:hAnsi="Cambria Math"/>
                <w:lang w:eastAsia="zh-CN"/>
              </w:rPr>
              <m:t>repeat</m:t>
            </m:r>
          </m:sup>
        </m:sSubSup>
        <m:r>
          <m:rPr>
            <m:sty m:val="p"/>
          </m:rPr>
          <w:rPr>
            <w:rFonts w:ascii="Cambria Math" w:hAnsi="Cambria Math"/>
            <w:lang w:eastAsia="zh-CN"/>
          </w:rPr>
          <m:t>+1</m:t>
        </m:r>
      </m:oMath>
      <w:r w:rsidR="004F7EFB">
        <w:rPr>
          <w:rFonts w:eastAsiaTheme="minorEastAsia" w:hint="eastAsia"/>
          <w:lang w:eastAsia="ko-KR"/>
        </w:rPr>
        <w:t xml:space="preserve"> to</w:t>
      </w:r>
      <w:r w:rsidR="001F27D3">
        <w:t xml:space="preserve"> slot </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D</m:t>
            </m:r>
          </m:sub>
        </m:sSub>
      </m:oMath>
      <w:r w:rsidR="001F27D3">
        <w:t xml:space="preserve"> for SPS PDSCH configuration </w:t>
      </w:r>
      <m:oMath>
        <m:r>
          <w:rPr>
            <w:rFonts w:ascii="Cambria Math" w:hAnsi="Cambria Math"/>
            <w:lang w:eastAsia="zh-CN"/>
          </w:rPr>
          <m:t>s</m:t>
        </m:r>
      </m:oMath>
      <w:r w:rsidR="001F27D3">
        <w:rPr>
          <w:lang w:val="en-US" w:eastAsia="zh-CN"/>
        </w:rPr>
        <w:t xml:space="preserve"> </w:t>
      </w:r>
      <w:r w:rsidR="001F27D3">
        <w:t xml:space="preserve">on serving cell </w:t>
      </w:r>
      <m:oMath>
        <m:r>
          <w:rPr>
            <w:rFonts w:ascii="Cambria Math" w:hAnsi="Cambria Math"/>
            <w:lang w:eastAsia="zh-CN"/>
          </w:rPr>
          <m:t>c</m:t>
        </m:r>
      </m:oMath>
      <w:r w:rsidR="004B577B">
        <w:rPr>
          <w:lang w:eastAsia="zh-CN"/>
        </w:rPr>
        <w:t xml:space="preserve">, </w:t>
      </w:r>
      <w:r>
        <w:rPr>
          <w:lang w:eastAsia="zh-CN"/>
        </w:rPr>
        <w:t>excluding</w:t>
      </w:r>
      <w:r w:rsidR="004B577B">
        <w:rPr>
          <w:lang w:eastAsia="zh-CN"/>
        </w:rPr>
        <w:t xml:space="preserve"> SPS PDSCH</w:t>
      </w:r>
      <w:r w:rsidR="004F7EFB">
        <w:rPr>
          <w:lang w:eastAsia="zh-CN"/>
        </w:rPr>
        <w:t>s</w:t>
      </w:r>
      <w:r w:rsidR="004B577B">
        <w:rPr>
          <w:lang w:eastAsia="zh-CN"/>
        </w:rPr>
        <w:t xml:space="preserve"> </w:t>
      </w:r>
      <w:r>
        <w:rPr>
          <w:lang w:eastAsia="zh-CN"/>
        </w:rPr>
        <w:t xml:space="preserve">that </w:t>
      </w:r>
      <w:r w:rsidR="004F7EFB">
        <w:rPr>
          <w:lang w:eastAsia="zh-CN"/>
        </w:rPr>
        <w:t xml:space="preserve">are </w:t>
      </w:r>
      <w:r>
        <w:rPr>
          <w:lang w:eastAsia="zh-CN"/>
        </w:rPr>
        <w:t xml:space="preserve">not </w:t>
      </w:r>
      <w:r w:rsidR="004B577B">
        <w:rPr>
          <w:lang w:eastAsia="zh-CN"/>
        </w:rPr>
        <w:t xml:space="preserve">required to be received </w:t>
      </w:r>
      <w:r w:rsidR="004F7EFB">
        <w:rPr>
          <w:lang w:eastAsia="zh-CN"/>
        </w:rPr>
        <w:t xml:space="preserve">in any slot </w:t>
      </w:r>
      <w:r w:rsidR="004B577B">
        <w:rPr>
          <w:lang w:eastAsia="zh-CN"/>
        </w:rPr>
        <w:t>among overlapping SPS PDSCHs, if any according to [6, TS 38.214], or based on a UE capability for a number of PDSCH receptions in a slot according to [6, TS 38.214]</w:t>
      </w:r>
      <w:r>
        <w:rPr>
          <w:lang w:eastAsia="zh-CN"/>
        </w:rPr>
        <w:t xml:space="preserve">, </w:t>
      </w:r>
      <w:r w:rsidRPr="00D24BF5">
        <w:rPr>
          <w:lang w:eastAsia="zh-CN"/>
        </w:rPr>
        <w:t xml:space="preserve">or due to overlapping with a set of symbols </w:t>
      </w:r>
    </w:p>
    <w:p w14:paraId="1D452093" w14:textId="02A4EEF7" w:rsidR="00504B9B" w:rsidRPr="00504B9B" w:rsidRDefault="0029354F" w:rsidP="0029354F">
      <w:pPr>
        <w:pStyle w:val="B5"/>
        <w:ind w:left="2268"/>
        <w:rPr>
          <w:lang w:eastAsia="zh-CN"/>
        </w:rPr>
      </w:pPr>
      <w:r>
        <w:rPr>
          <w:lang w:eastAsia="zh-CN"/>
        </w:rPr>
        <w:t>-</w:t>
      </w:r>
      <w:r>
        <w:rPr>
          <w:lang w:eastAsia="zh-CN"/>
        </w:rPr>
        <w:tab/>
      </w:r>
      <w:r w:rsidR="00345740" w:rsidRPr="00D24BF5">
        <w:rPr>
          <w:lang w:eastAsia="zh-CN"/>
        </w:rPr>
        <w:t>indicated as uplink by tdd-UL-DL-ConfigurationCommon or by tdd-UL-DL-ConfigurationDedicated</w:t>
      </w:r>
      <w:r w:rsidR="00504B9B" w:rsidRPr="00504B9B">
        <w:rPr>
          <w:iCs/>
          <w:lang w:eastAsia="zh-CN"/>
        </w:rPr>
        <w:t>, and/</w:t>
      </w:r>
      <w:r w:rsidR="00504B9B" w:rsidRPr="00504B9B">
        <w:rPr>
          <w:lang w:eastAsia="zh-CN"/>
        </w:rPr>
        <w:t xml:space="preserve">or </w:t>
      </w:r>
    </w:p>
    <w:p w14:paraId="6A8FF57A" w14:textId="4591A6CB" w:rsidR="00504B9B" w:rsidRDefault="0029354F" w:rsidP="0029354F">
      <w:pPr>
        <w:pStyle w:val="B5"/>
        <w:ind w:left="2268"/>
        <w:rPr>
          <w:iCs/>
          <w:lang w:eastAsia="zh-CN"/>
        </w:rPr>
      </w:pPr>
      <w:r>
        <w:rPr>
          <w:lang w:eastAsia="zh-CN"/>
        </w:rPr>
        <w:lastRenderedPageBreak/>
        <w:t>-</w:t>
      </w:r>
      <w:r>
        <w:rPr>
          <w:lang w:eastAsia="zh-CN"/>
        </w:rPr>
        <w:tab/>
      </w:r>
      <w:r w:rsidR="00504B9B" w:rsidRPr="00504B9B">
        <w:rPr>
          <w:lang w:eastAsia="zh-CN"/>
        </w:rPr>
        <w:t>determined as non-active period of cell DTX [11, TS 38.321]</w:t>
      </w:r>
      <w:r w:rsidR="004F7EFB">
        <w:rPr>
          <w:iCs/>
          <w:lang w:eastAsia="zh-CN"/>
        </w:rPr>
        <w:t xml:space="preserve"> </w:t>
      </w:r>
    </w:p>
    <w:p w14:paraId="5DE0425F" w14:textId="73FDCC35" w:rsidR="00345740" w:rsidRPr="00D24BF5" w:rsidRDefault="004F7EFB" w:rsidP="00F44350">
      <w:pPr>
        <w:pStyle w:val="B5"/>
        <w:ind w:left="1701" w:firstLine="0"/>
        <w:rPr>
          <w:lang w:eastAsia="zh-CN"/>
        </w:rPr>
      </w:pPr>
      <w:r>
        <w:rPr>
          <w:lang w:eastAsia="zh-CN"/>
        </w:rPr>
        <w:t>where</w:t>
      </w:r>
      <w:r w:rsidR="009D05BB">
        <w:rPr>
          <w:lang w:eastAsia="zh-CN"/>
        </w:rPr>
        <w:t>,</w:t>
      </w:r>
      <w:r w:rsidR="009D05BB" w:rsidRPr="00265200">
        <w:rPr>
          <w:lang w:eastAsia="zh-CN"/>
        </w:rPr>
        <w:t xml:space="preserve"> </w:t>
      </w:r>
      <w:r w:rsidR="009D05BB">
        <w:rPr>
          <w:lang w:eastAsia="zh-CN"/>
        </w:rPr>
        <w:t>for unicast SPS PDSCHs,</w:t>
      </w:r>
      <w:r>
        <w:rPr>
          <w:lang w:eastAsia="zh-CN"/>
        </w:rPr>
        <w:t xml:space="preserve"> </w:t>
      </w:r>
      <m:oMath>
        <m:sSubSup>
          <m:sSubSupPr>
            <m:ctrlPr>
              <w:rPr>
                <w:rFonts w:ascii="Cambria Math" w:hAnsi="Cambria Math"/>
                <w:i/>
                <w:lang w:eastAsia="zh-CN"/>
              </w:rPr>
            </m:ctrlPr>
          </m:sSubSupPr>
          <m:e>
            <m:r>
              <w:rPr>
                <w:rFonts w:ascii="Cambria Math" w:hAnsi="Cambria Math"/>
                <w:lang w:eastAsia="zh-CN"/>
              </w:rPr>
              <m:t>N</m:t>
            </m:r>
          </m:e>
          <m:sub>
            <m:r>
              <w:rPr>
                <w:rFonts w:ascii="Cambria Math" w:hAnsi="Cambria Math"/>
                <w:lang w:eastAsia="zh-CN"/>
              </w:rPr>
              <m:t>PDSCH</m:t>
            </m:r>
          </m:sub>
          <m:sup>
            <m:r>
              <w:rPr>
                <w:rFonts w:ascii="Cambria Math" w:hAnsi="Cambria Math"/>
                <w:lang w:eastAsia="zh-CN"/>
              </w:rPr>
              <m:t>repeat</m:t>
            </m:r>
          </m:sup>
        </m:sSubSup>
      </m:oMath>
      <w:r>
        <w:rPr>
          <w:rFonts w:eastAsiaTheme="minorEastAsia" w:hint="eastAsia"/>
          <w:lang w:eastAsia="ko-KR"/>
        </w:rPr>
        <w:t xml:space="preserve"> </w:t>
      </w:r>
      <w:r>
        <w:rPr>
          <w:rFonts w:eastAsiaTheme="minorEastAsia"/>
          <w:lang w:eastAsia="ko-KR"/>
        </w:rPr>
        <w:t xml:space="preserve">is provided by </w:t>
      </w:r>
      <w:r>
        <w:rPr>
          <w:rFonts w:eastAsiaTheme="minorEastAsia"/>
          <w:i/>
          <w:lang w:eastAsia="ko-KR"/>
        </w:rPr>
        <w:t>pdsch-AggregationFactor</w:t>
      </w:r>
      <w:r w:rsidR="002F629C">
        <w:rPr>
          <w:rFonts w:eastAsiaTheme="minorEastAsia"/>
          <w:i/>
          <w:lang w:eastAsia="ko-KR"/>
        </w:rPr>
        <w:t>-r16</w:t>
      </w:r>
      <w:r>
        <w:rPr>
          <w:rFonts w:eastAsiaTheme="minorEastAsia"/>
          <w:lang w:eastAsia="ko-KR"/>
        </w:rPr>
        <w:t xml:space="preserve"> in </w:t>
      </w:r>
      <w:r w:rsidR="009D05BB">
        <w:rPr>
          <w:rFonts w:eastAsiaTheme="minorEastAsia"/>
          <w:i/>
          <w:lang w:eastAsia="ko-KR"/>
        </w:rPr>
        <w:t>SPS</w:t>
      </w:r>
      <w:r>
        <w:rPr>
          <w:rFonts w:eastAsiaTheme="minorEastAsia"/>
          <w:i/>
          <w:lang w:eastAsia="ko-KR"/>
        </w:rPr>
        <w:t>-</w:t>
      </w:r>
      <w:r>
        <w:rPr>
          <w:rFonts w:eastAsiaTheme="minorEastAsia" w:hint="eastAsia"/>
          <w:i/>
          <w:lang w:eastAsia="ko-KR"/>
        </w:rPr>
        <w:t>Config</w:t>
      </w:r>
      <w:r>
        <w:rPr>
          <w:rFonts w:eastAsiaTheme="minorEastAsia"/>
          <w:iCs/>
          <w:lang w:eastAsia="ko-KR"/>
        </w:rPr>
        <w:t xml:space="preserve"> or</w:t>
      </w:r>
      <w:r>
        <w:rPr>
          <w:rFonts w:eastAsiaTheme="minorEastAsia"/>
          <w:lang w:eastAsia="ko-KR"/>
        </w:rPr>
        <w:t xml:space="preserve">, if </w:t>
      </w:r>
      <w:r>
        <w:rPr>
          <w:rFonts w:eastAsiaTheme="minorEastAsia"/>
          <w:i/>
          <w:lang w:eastAsia="ko-KR"/>
        </w:rPr>
        <w:t>pdsch-AggregationFactor</w:t>
      </w:r>
      <w:r w:rsidR="002F629C">
        <w:rPr>
          <w:rFonts w:eastAsiaTheme="minorEastAsia"/>
          <w:i/>
          <w:lang w:eastAsia="ko-KR"/>
        </w:rPr>
        <w:t>-r16</w:t>
      </w:r>
      <w:r>
        <w:rPr>
          <w:rFonts w:eastAsiaTheme="minorEastAsia"/>
          <w:lang w:eastAsia="ko-KR"/>
        </w:rPr>
        <w:t xml:space="preserve"> is not included in </w:t>
      </w:r>
      <w:r w:rsidR="009D05BB">
        <w:rPr>
          <w:rFonts w:eastAsiaTheme="minorEastAsia"/>
          <w:i/>
          <w:lang w:eastAsia="ko-KR"/>
        </w:rPr>
        <w:t>SPS</w:t>
      </w:r>
      <w:r>
        <w:rPr>
          <w:rFonts w:eastAsiaTheme="minorEastAsia"/>
          <w:i/>
          <w:lang w:eastAsia="ko-KR"/>
        </w:rPr>
        <w:t>-</w:t>
      </w:r>
      <w:r>
        <w:rPr>
          <w:rFonts w:eastAsiaTheme="minorEastAsia" w:hint="eastAsia"/>
          <w:i/>
          <w:lang w:eastAsia="ko-KR"/>
        </w:rPr>
        <w:t>Config</w:t>
      </w:r>
      <w:r>
        <w:rPr>
          <w:rFonts w:eastAsiaTheme="minorEastAsia"/>
          <w:lang w:eastAsia="ko-KR"/>
        </w:rPr>
        <w:t xml:space="preserve">, </w:t>
      </w:r>
      <w:r w:rsidR="002F629C">
        <w:rPr>
          <w:rFonts w:eastAsiaTheme="minorEastAsia"/>
          <w:lang w:eastAsia="ko-KR"/>
        </w:rPr>
        <w:t xml:space="preserve">by </w:t>
      </w:r>
      <w:r w:rsidR="002F629C">
        <w:rPr>
          <w:rFonts w:eastAsiaTheme="minorEastAsia"/>
          <w:i/>
          <w:lang w:eastAsia="ko-KR"/>
        </w:rPr>
        <w:t>pdsch-AggregationFactor</w:t>
      </w:r>
      <w:r w:rsidR="002F629C">
        <w:rPr>
          <w:rFonts w:eastAsiaTheme="minorEastAsia"/>
          <w:lang w:eastAsia="ko-KR"/>
        </w:rPr>
        <w:t xml:space="preserve"> </w:t>
      </w:r>
      <w:r>
        <w:rPr>
          <w:rFonts w:eastAsiaTheme="minorEastAsia"/>
          <w:lang w:eastAsia="ko-KR"/>
        </w:rPr>
        <w:t xml:space="preserve">in </w:t>
      </w:r>
      <w:r w:rsidR="009D05BB">
        <w:rPr>
          <w:rFonts w:eastAsiaTheme="minorEastAsia"/>
          <w:i/>
          <w:lang w:eastAsia="ko-KR"/>
        </w:rPr>
        <w:t>PDSCH</w:t>
      </w:r>
      <w:r>
        <w:rPr>
          <w:rFonts w:eastAsiaTheme="minorEastAsia"/>
          <w:i/>
          <w:lang w:eastAsia="ko-KR"/>
        </w:rPr>
        <w:t>-config</w:t>
      </w:r>
      <w:r w:rsidR="009D05BB" w:rsidRPr="00265200">
        <w:rPr>
          <w:iCs/>
          <w:lang w:eastAsia="zh-CN"/>
        </w:rPr>
        <w:t xml:space="preserve"> </w:t>
      </w:r>
      <w:r w:rsidR="009D05BB">
        <w:rPr>
          <w:iCs/>
          <w:lang w:eastAsia="zh-CN"/>
        </w:rPr>
        <w:t xml:space="preserve">and, </w:t>
      </w:r>
      <w:r w:rsidR="009D05BB" w:rsidRPr="00B22B95">
        <w:rPr>
          <w:lang w:eastAsia="zh-CN"/>
        </w:rPr>
        <w:t xml:space="preserve">for multicast SPS PDSCHs, </w:t>
      </w:r>
      <m:oMath>
        <m:sSubSup>
          <m:sSubSupPr>
            <m:ctrlPr>
              <w:rPr>
                <w:rFonts w:ascii="Cambria Math" w:hAnsi="Cambria Math"/>
                <w:i/>
                <w:lang w:eastAsia="zh-CN"/>
              </w:rPr>
            </m:ctrlPr>
          </m:sSubSupPr>
          <m:e>
            <m:r>
              <w:rPr>
                <w:rFonts w:ascii="Cambria Math" w:hAnsi="Cambria Math"/>
                <w:lang w:eastAsia="zh-CN"/>
              </w:rPr>
              <m:t>N</m:t>
            </m:r>
          </m:e>
          <m:sub>
            <m:r>
              <w:rPr>
                <w:rFonts w:ascii="Cambria Math" w:hAnsi="Cambria Math"/>
                <w:lang w:eastAsia="zh-CN"/>
              </w:rPr>
              <m:t>PDSCH</m:t>
            </m:r>
          </m:sub>
          <m:sup>
            <m:r>
              <w:rPr>
                <w:rFonts w:ascii="Cambria Math" w:hAnsi="Cambria Math"/>
                <w:lang w:eastAsia="zh-CN"/>
              </w:rPr>
              <m:t>repeat</m:t>
            </m:r>
          </m:sup>
        </m:sSubSup>
      </m:oMath>
      <w:r w:rsidR="009D05BB" w:rsidRPr="00B22B95">
        <w:rPr>
          <w:rFonts w:hint="eastAsia"/>
          <w:lang w:eastAsia="zh-CN"/>
        </w:rPr>
        <w:t xml:space="preserve"> </w:t>
      </w:r>
      <w:r w:rsidR="009D05BB" w:rsidRPr="00B22B95">
        <w:rPr>
          <w:lang w:eastAsia="zh-CN"/>
        </w:rPr>
        <w:t>is provided by</w:t>
      </w:r>
      <w:r w:rsidR="00160293">
        <w:rPr>
          <w:lang w:eastAsia="zh-CN"/>
        </w:rPr>
        <w:t xml:space="preserve"> </w:t>
      </w:r>
      <m:oMath>
        <m:r>
          <w:rPr>
            <w:rFonts w:ascii="Cambria Math" w:hAnsi="Cambria Math"/>
            <w:lang w:eastAsia="zh-CN"/>
          </w:rPr>
          <m:t>repetitionNumber</m:t>
        </m:r>
      </m:oMath>
      <w:r w:rsidR="00160293" w:rsidRPr="00817E5B">
        <w:rPr>
          <w:lang w:eastAsia="zh-CN"/>
        </w:rPr>
        <w:t xml:space="preserve"> </w:t>
      </w:r>
      <w:r w:rsidR="00160293">
        <w:rPr>
          <w:lang w:eastAsia="zh-CN"/>
        </w:rPr>
        <w:t>if contained in an entry indicated by the time domain resource assignment field in the DCI format scheduling the PDSCH repetition, or provided by</w:t>
      </w:r>
      <w:r w:rsidR="009D05BB" w:rsidRPr="00B22B95">
        <w:rPr>
          <w:lang w:eastAsia="zh-CN"/>
        </w:rPr>
        <w:t xml:space="preserve"> </w:t>
      </w:r>
      <w:r w:rsidR="009D05BB" w:rsidRPr="00B22B95">
        <w:rPr>
          <w:i/>
          <w:lang w:eastAsia="zh-CN"/>
        </w:rPr>
        <w:t>pdsch-AggregationFactor-r16</w:t>
      </w:r>
      <w:r w:rsidR="009D05BB" w:rsidRPr="00B22B95">
        <w:rPr>
          <w:lang w:eastAsia="zh-CN"/>
        </w:rPr>
        <w:t xml:space="preserve"> </w:t>
      </w:r>
      <w:r w:rsidR="00160293">
        <w:rPr>
          <w:lang w:eastAsia="zh-CN"/>
        </w:rPr>
        <w:t xml:space="preserve">if included </w:t>
      </w:r>
      <w:r w:rsidR="009D05BB" w:rsidRPr="00B22B95">
        <w:rPr>
          <w:lang w:eastAsia="zh-CN"/>
        </w:rPr>
        <w:t xml:space="preserve">in </w:t>
      </w:r>
      <w:r w:rsidR="009D05BB" w:rsidRPr="00B22B95">
        <w:rPr>
          <w:i/>
          <w:lang w:eastAsia="zh-CN"/>
        </w:rPr>
        <w:t>SPS-</w:t>
      </w:r>
      <w:r w:rsidR="009D05BB" w:rsidRPr="00B22B95">
        <w:rPr>
          <w:rFonts w:hint="eastAsia"/>
          <w:i/>
          <w:lang w:eastAsia="zh-CN"/>
        </w:rPr>
        <w:t>Config</w:t>
      </w:r>
      <w:r w:rsidR="009D05BB" w:rsidRPr="00B22B95">
        <w:rPr>
          <w:i/>
          <w:lang w:eastAsia="zh-CN"/>
        </w:rPr>
        <w:t xml:space="preserve"> </w:t>
      </w:r>
      <w:r w:rsidR="009D05BB" w:rsidRPr="00D479EF">
        <w:rPr>
          <w:lang w:eastAsia="zh-CN"/>
        </w:rPr>
        <w:t xml:space="preserve">or, </w:t>
      </w:r>
      <w:r w:rsidR="00333291" w:rsidRPr="00333291">
        <w:rPr>
          <w:iCs/>
          <w:lang w:eastAsia="zh-CN"/>
        </w:rPr>
        <w:t>otherwise</w:t>
      </w:r>
      <w:r w:rsidR="009D05BB" w:rsidRPr="00333291">
        <w:rPr>
          <w:iCs/>
          <w:lang w:eastAsia="zh-CN"/>
        </w:rPr>
        <w:t>,</w:t>
      </w:r>
      <w:r w:rsidR="009D05BB" w:rsidRPr="00B22B95">
        <w:rPr>
          <w:i/>
          <w:lang w:eastAsia="zh-CN"/>
        </w:rPr>
        <w:t xml:space="preserve"> </w:t>
      </w:r>
      <m:oMath>
        <m:sSubSup>
          <m:sSubSupPr>
            <m:ctrlPr>
              <w:rPr>
                <w:rFonts w:ascii="Cambria Math" w:hAnsi="Cambria Math"/>
                <w:i/>
                <w:lang w:eastAsia="zh-CN"/>
              </w:rPr>
            </m:ctrlPr>
          </m:sSubSupPr>
          <m:e>
            <m:r>
              <w:rPr>
                <w:rFonts w:ascii="Cambria Math" w:hAnsi="Cambria Math"/>
                <w:lang w:eastAsia="zh-CN"/>
              </w:rPr>
              <m:t>N</m:t>
            </m:r>
          </m:e>
          <m:sub>
            <m:r>
              <w:rPr>
                <w:rFonts w:ascii="Cambria Math" w:hAnsi="Cambria Math"/>
                <w:lang w:eastAsia="zh-CN"/>
              </w:rPr>
              <m:t>PDSCH</m:t>
            </m:r>
          </m:sub>
          <m:sup>
            <m:r>
              <w:rPr>
                <w:rFonts w:ascii="Cambria Math" w:hAnsi="Cambria Math"/>
                <w:lang w:eastAsia="zh-CN"/>
              </w:rPr>
              <m:t>repeat</m:t>
            </m:r>
          </m:sup>
        </m:sSubSup>
        <m:r>
          <w:rPr>
            <w:rFonts w:ascii="Cambria Math" w:hAnsi="Cambria Math"/>
            <w:lang w:eastAsia="zh-CN"/>
          </w:rPr>
          <m:t>=1</m:t>
        </m:r>
      </m:oMath>
      <w:r w:rsidR="00345740" w:rsidRPr="00D24BF5">
        <w:rPr>
          <w:iCs/>
          <w:lang w:eastAsia="zh-CN"/>
        </w:rPr>
        <w:t>,</w:t>
      </w:r>
      <w:r w:rsidR="00345740" w:rsidRPr="00D24BF5">
        <w:rPr>
          <w:lang w:eastAsia="zh-CN"/>
        </w:rPr>
        <w:t xml:space="preserve"> and</w:t>
      </w:r>
    </w:p>
    <w:p w14:paraId="7F5F2327" w14:textId="77777777" w:rsidR="00345740" w:rsidRPr="00D24BF5" w:rsidRDefault="00345740" w:rsidP="00345740">
      <w:pPr>
        <w:pStyle w:val="B5"/>
        <w:ind w:left="1701" w:hanging="1"/>
        <w:rPr>
          <w:rFonts w:eastAsia="Batang"/>
        </w:rPr>
      </w:pPr>
      <w:r w:rsidRPr="00D24BF5">
        <w:rPr>
          <w:rFonts w:eastAsia="Batang"/>
        </w:rPr>
        <w:t>HARQ-ACK information for the SPS PDSCH is associated with the PUCCH</w:t>
      </w:r>
    </w:p>
    <w:p w14:paraId="4C5DF06E" w14:textId="562902B5" w:rsidR="001F27D3" w:rsidRDefault="00345740" w:rsidP="00F44350">
      <w:pPr>
        <w:pStyle w:val="B5"/>
        <w:ind w:left="1701" w:hanging="1"/>
      </w:pPr>
      <w:r w:rsidRPr="00D24BF5">
        <w:rPr>
          <w:rFonts w:eastAsia="Batang"/>
        </w:rPr>
        <w:t>}</w:t>
      </w:r>
    </w:p>
    <w:p w14:paraId="4ADD7B03" w14:textId="77777777" w:rsidR="001F27D3" w:rsidRDefault="00000000" w:rsidP="00345740">
      <w:pPr>
        <w:pStyle w:val="B5"/>
        <w:ind w:left="1701" w:firstLine="0"/>
      </w:pPr>
      <m:oMath>
        <m:sSubSup>
          <m:sSubSupPr>
            <m:ctrlPr>
              <w:rPr>
                <w:rFonts w:ascii="Cambria Math" w:hAnsi="Cambria Math"/>
                <w:lang w:eastAsia="zh-CN"/>
              </w:rPr>
            </m:ctrlPr>
          </m:sSubSupPr>
          <m:e>
            <m:acc>
              <m:accPr>
                <m:chr m:val="̃"/>
                <m:ctrlPr>
                  <w:rPr>
                    <w:rFonts w:ascii="Cambria Math" w:hAnsi="Cambria Math"/>
                    <w:lang w:eastAsia="zh-CN"/>
                  </w:rPr>
                </m:ctrlPr>
              </m:accPr>
              <m:e>
                <m:r>
                  <w:rPr>
                    <w:rFonts w:ascii="Cambria Math" w:hAnsi="Cambria Math"/>
                    <w:lang w:eastAsia="zh-CN"/>
                  </w:rPr>
                  <m:t>o</m:t>
                </m:r>
              </m:e>
            </m:acc>
          </m:e>
          <m:sub>
            <m:r>
              <w:rPr>
                <w:rFonts w:ascii="Cambria Math" w:hAnsi="Cambria Math"/>
                <w:lang w:eastAsia="zh-CN"/>
              </w:rPr>
              <m:t>j</m:t>
            </m:r>
          </m:sub>
          <m:sup>
            <m:r>
              <w:rPr>
                <w:rFonts w:ascii="Cambria Math" w:hAnsi="Cambria Math"/>
                <w:lang w:eastAsia="zh-CN"/>
              </w:rPr>
              <m:t>ACK</m:t>
            </m:r>
          </m:sup>
        </m:sSubSup>
      </m:oMath>
      <w:r w:rsidR="001F27D3" w:rsidRPr="00B916EC">
        <w:t xml:space="preserve"> </w:t>
      </w:r>
      <w:r w:rsidR="001F27D3" w:rsidRPr="00B916EC">
        <w:rPr>
          <w:rFonts w:hint="eastAsia"/>
          <w:lang w:eastAsia="zh-CN"/>
        </w:rPr>
        <w:t>=</w:t>
      </w:r>
      <w:r w:rsidR="001F27D3" w:rsidRPr="00B916EC">
        <w:t xml:space="preserve"> HARQ-ACK</w:t>
      </w:r>
      <w:r w:rsidR="001F27D3" w:rsidRPr="00960881">
        <w:t xml:space="preserve"> </w:t>
      </w:r>
      <w:r w:rsidR="001F27D3">
        <w:t xml:space="preserve">information bit for this SPS PDSCH reception </w:t>
      </w:r>
    </w:p>
    <w:p w14:paraId="2DC4EDC5" w14:textId="77777777" w:rsidR="001F27D3" w:rsidRDefault="001F27D3" w:rsidP="00345740">
      <w:pPr>
        <w:pStyle w:val="B5"/>
        <w:ind w:left="1701" w:firstLine="0"/>
      </w:pPr>
      <m:oMath>
        <m:r>
          <w:rPr>
            <w:rFonts w:ascii="Cambria Math" w:hAnsi="Cambria Math"/>
            <w:lang w:eastAsia="zh-CN"/>
          </w:rPr>
          <m:t>j</m:t>
        </m:r>
        <m:r>
          <m:rPr>
            <m:sty m:val="p"/>
          </m:rPr>
          <w:rPr>
            <w:rFonts w:ascii="Cambria Math" w:hAnsi="Cambria Math"/>
            <w:lang w:eastAsia="zh-CN"/>
          </w:rPr>
          <m:t>=</m:t>
        </m:r>
        <m:r>
          <w:rPr>
            <w:rFonts w:ascii="Cambria Math" w:hAnsi="Cambria Math"/>
            <w:lang w:eastAsia="zh-CN"/>
          </w:rPr>
          <m:t>j</m:t>
        </m:r>
        <m:r>
          <m:rPr>
            <m:sty m:val="p"/>
          </m:rPr>
          <w:rPr>
            <w:rFonts w:ascii="Cambria Math" w:hAnsi="Cambria Math"/>
            <w:lang w:eastAsia="zh-CN"/>
          </w:rPr>
          <m:t>+1</m:t>
        </m:r>
      </m:oMath>
      <w:r>
        <w:t>;</w:t>
      </w:r>
    </w:p>
    <w:p w14:paraId="76E26393" w14:textId="4E56DDBF" w:rsidR="001F27D3" w:rsidRDefault="001F27D3" w:rsidP="00A312BF">
      <w:pPr>
        <w:pStyle w:val="B5"/>
      </w:pPr>
      <w:r>
        <w:t>end if</w:t>
      </w:r>
    </w:p>
    <w:p w14:paraId="6612E367" w14:textId="12F21686" w:rsidR="001F27D3" w:rsidRDefault="00000000" w:rsidP="00A312BF">
      <w:pPr>
        <w:pStyle w:val="B5"/>
      </w:pP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D</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D</m:t>
            </m:r>
          </m:sub>
        </m:sSub>
        <m:r>
          <m:rPr>
            <m:sty m:val="p"/>
          </m:rPr>
          <w:rPr>
            <w:rFonts w:ascii="Cambria Math" w:hAnsi="Cambria Math"/>
            <w:lang w:eastAsia="zh-CN"/>
          </w:rPr>
          <m:t>+1</m:t>
        </m:r>
      </m:oMath>
      <w:r w:rsidR="001F27D3">
        <w:t>;</w:t>
      </w:r>
    </w:p>
    <w:p w14:paraId="7DAAE0EC" w14:textId="40841A58" w:rsidR="001F27D3" w:rsidRDefault="001F27D3" w:rsidP="00A312BF">
      <w:pPr>
        <w:pStyle w:val="B4"/>
      </w:pPr>
      <w:r>
        <w:t>end while</w:t>
      </w:r>
    </w:p>
    <w:p w14:paraId="1F83BD44" w14:textId="094506D8" w:rsidR="001F27D3" w:rsidRDefault="001F27D3" w:rsidP="00A312BF">
      <w:pPr>
        <w:pStyle w:val="B4"/>
      </w:pPr>
      <m:oMath>
        <m:r>
          <w:rPr>
            <w:rFonts w:ascii="Cambria Math" w:hAnsi="Cambria Math"/>
            <w:lang w:eastAsia="zh-CN"/>
          </w:rPr>
          <m:t>s</m:t>
        </m:r>
        <m:r>
          <m:rPr>
            <m:sty m:val="p"/>
          </m:rPr>
          <w:rPr>
            <w:rFonts w:ascii="Cambria Math" w:hAnsi="Cambria Math"/>
            <w:lang w:eastAsia="zh-CN"/>
          </w:rPr>
          <m:t>=</m:t>
        </m:r>
        <m:r>
          <w:rPr>
            <w:rFonts w:ascii="Cambria Math" w:hAnsi="Cambria Math"/>
            <w:lang w:eastAsia="zh-CN"/>
          </w:rPr>
          <m:t>s</m:t>
        </m:r>
        <m:r>
          <m:rPr>
            <m:sty m:val="p"/>
          </m:rPr>
          <w:rPr>
            <w:rFonts w:ascii="Cambria Math" w:hAnsi="Cambria Math"/>
            <w:lang w:eastAsia="zh-CN"/>
          </w:rPr>
          <m:t>+1</m:t>
        </m:r>
      </m:oMath>
      <w:r>
        <w:t>;</w:t>
      </w:r>
    </w:p>
    <w:p w14:paraId="1C00932D" w14:textId="0FF8F608" w:rsidR="001F27D3" w:rsidRDefault="001F27D3" w:rsidP="00A312BF">
      <w:pPr>
        <w:pStyle w:val="B2"/>
      </w:pPr>
      <w:r>
        <w:t>end while</w:t>
      </w:r>
    </w:p>
    <w:p w14:paraId="5D1AE509" w14:textId="793A7765" w:rsidR="001F27D3" w:rsidRDefault="001F27D3" w:rsidP="00A312BF">
      <w:pPr>
        <w:pStyle w:val="B2"/>
      </w:pPr>
      <m:oMath>
        <m:r>
          <w:rPr>
            <w:rFonts w:ascii="Cambria Math" w:hAnsi="Cambria Math"/>
            <w:lang w:eastAsia="zh-CN"/>
          </w:rPr>
          <m:t>c</m:t>
        </m:r>
        <m:r>
          <m:rPr>
            <m:sty m:val="p"/>
          </m:rPr>
          <w:rPr>
            <w:rFonts w:ascii="Cambria Math" w:hAnsi="Cambria Math"/>
            <w:lang w:eastAsia="zh-CN"/>
          </w:rPr>
          <m:t>=</m:t>
        </m:r>
        <m:r>
          <w:rPr>
            <w:rFonts w:ascii="Cambria Math" w:hAnsi="Cambria Math"/>
            <w:lang w:eastAsia="zh-CN"/>
          </w:rPr>
          <m:t>c</m:t>
        </m:r>
        <m:r>
          <m:rPr>
            <m:sty m:val="p"/>
          </m:rPr>
          <w:rPr>
            <w:rFonts w:ascii="Cambria Math" w:hAnsi="Cambria Math"/>
            <w:lang w:eastAsia="zh-CN"/>
          </w:rPr>
          <m:t>+1</m:t>
        </m:r>
      </m:oMath>
      <w:r>
        <w:t>;</w:t>
      </w:r>
    </w:p>
    <w:p w14:paraId="300135D0" w14:textId="5DC0D46C" w:rsidR="001F27D3" w:rsidRPr="0009732E" w:rsidRDefault="001F27D3" w:rsidP="004F5290">
      <w:pPr>
        <w:pStyle w:val="B1"/>
        <w:rPr>
          <w:lang w:eastAsia="x-none"/>
        </w:rPr>
      </w:pPr>
      <w:r>
        <w:t>end while</w:t>
      </w:r>
    </w:p>
    <w:p w14:paraId="0498E58B" w14:textId="77777777" w:rsidR="00D508B4" w:rsidRPr="00B916EC" w:rsidRDefault="00D508B4" w:rsidP="007F36B9">
      <w:pPr>
        <w:pStyle w:val="Heading4"/>
      </w:pPr>
      <w:bookmarkStart w:id="444" w:name="_Ref505248562"/>
      <w:bookmarkStart w:id="445" w:name="_Toc12021470"/>
      <w:bookmarkStart w:id="446" w:name="_Toc20311582"/>
      <w:bookmarkStart w:id="447" w:name="_Toc26719407"/>
      <w:bookmarkStart w:id="448" w:name="_Toc29894840"/>
      <w:bookmarkStart w:id="449" w:name="_Toc29899139"/>
      <w:bookmarkStart w:id="450" w:name="_Toc29899557"/>
      <w:bookmarkStart w:id="451" w:name="_Toc29917294"/>
      <w:bookmarkStart w:id="452" w:name="_Toc36498168"/>
      <w:bookmarkStart w:id="453" w:name="_Toc45699194"/>
      <w:bookmarkStart w:id="454" w:name="_Toc161999120"/>
      <w:r w:rsidRPr="00B916EC">
        <w:t>9</w:t>
      </w:r>
      <w:r w:rsidRPr="00B916EC">
        <w:rPr>
          <w:rFonts w:hint="eastAsia"/>
        </w:rPr>
        <w:t>.</w:t>
      </w:r>
      <w:r>
        <w:t>1.2</w:t>
      </w:r>
      <w:r w:rsidRPr="00B916EC">
        <w:t>.1</w:t>
      </w:r>
      <w:r w:rsidRPr="00B916EC">
        <w:rPr>
          <w:rFonts w:hint="eastAsia"/>
        </w:rPr>
        <w:tab/>
      </w:r>
      <w:r>
        <w:t>Type-1</w:t>
      </w:r>
      <w:r w:rsidRPr="00B916EC">
        <w:t xml:space="preserve"> HARQ-ACK codebook in physical uplink control channel</w:t>
      </w:r>
      <w:bookmarkEnd w:id="444"/>
      <w:bookmarkEnd w:id="445"/>
      <w:bookmarkEnd w:id="446"/>
      <w:bookmarkEnd w:id="447"/>
      <w:bookmarkEnd w:id="448"/>
      <w:bookmarkEnd w:id="449"/>
      <w:bookmarkEnd w:id="450"/>
      <w:bookmarkEnd w:id="451"/>
      <w:bookmarkEnd w:id="452"/>
      <w:bookmarkEnd w:id="453"/>
      <w:bookmarkEnd w:id="454"/>
    </w:p>
    <w:p w14:paraId="6683D8E3" w14:textId="46B82B26" w:rsidR="00C709FE" w:rsidRPr="00C06B59" w:rsidRDefault="00C709FE" w:rsidP="00C709FE">
      <w:pPr>
        <w:rPr>
          <w:rFonts w:cs="Arial"/>
          <w:lang w:eastAsia="zh-CN"/>
        </w:rPr>
      </w:pPr>
      <w:r w:rsidRPr="00C06B59">
        <w:rPr>
          <w:lang w:val="en-US" w:eastAsia="zh-CN"/>
        </w:rPr>
        <w:t xml:space="preserve">For a serving cell </w:t>
      </w:r>
      <m:oMath>
        <m:r>
          <w:rPr>
            <w:rFonts w:ascii="Cambria Math" w:hAnsi="Cambria Math"/>
          </w:rPr>
          <m:t>c</m:t>
        </m:r>
      </m:oMath>
      <w:r w:rsidRPr="00C06B59">
        <w:rPr>
          <w:lang w:val="en-US" w:eastAsia="zh-CN"/>
        </w:rPr>
        <w:t xml:space="preserve">, an active DL BWP, and an active UL BWP, as described </w:t>
      </w:r>
      <w:r w:rsidR="006F5F9E">
        <w:rPr>
          <w:lang w:val="en-US" w:eastAsia="zh-CN"/>
        </w:rPr>
        <w:t>in clause</w:t>
      </w:r>
      <w:r w:rsidRPr="00C06B59">
        <w:rPr>
          <w:lang w:val="en-US" w:eastAsia="zh-CN"/>
        </w:rPr>
        <w:t xml:space="preserve"> 12, the UE determines a set of </w:t>
      </w:r>
      <m:oMath>
        <m:sSub>
          <m:sSubPr>
            <m:ctrlPr>
              <w:rPr>
                <w:rFonts w:ascii="Cambria Math" w:hAnsi="Cambria Math"/>
                <w:i/>
              </w:rPr>
            </m:ctrlPr>
          </m:sSubPr>
          <m:e>
            <m:r>
              <w:rPr>
                <w:rFonts w:ascii="Cambria Math" w:hAnsi="Cambria Math"/>
              </w:rPr>
              <m:t>M</m:t>
            </m:r>
          </m:e>
          <m:sub>
            <m:r>
              <w:rPr>
                <w:rFonts w:ascii="Cambria Math" w:hAnsi="Cambria Math"/>
              </w:rPr>
              <m:t>A,c</m:t>
            </m:r>
          </m:sub>
        </m:sSub>
      </m:oMath>
      <w:r w:rsidRPr="00C06B59">
        <w:rPr>
          <w:rFonts w:cs="Arial"/>
          <w:lang w:eastAsia="zh-CN"/>
        </w:rPr>
        <w:t xml:space="preserve"> occasions for candidate PDSCH receptions for which the UE can transmit corresponding HARQ-ACK information in a PUCCH in slot </w:t>
      </w:r>
      <m:oMath>
        <m:sSub>
          <m:sSubPr>
            <m:ctrlPr>
              <w:rPr>
                <w:rFonts w:ascii="Cambria Math" w:hAnsi="Cambria Math"/>
                <w:i/>
              </w:rPr>
            </m:ctrlPr>
          </m:sSubPr>
          <m:e>
            <m:r>
              <w:rPr>
                <w:rFonts w:ascii="Cambria Math" w:hAnsi="Cambria Math"/>
              </w:rPr>
              <m:t>n</m:t>
            </m:r>
          </m:e>
          <m:sub>
            <m:r>
              <w:rPr>
                <w:rFonts w:ascii="Cambria Math" w:hAnsi="Cambria Math"/>
              </w:rPr>
              <m:t>U</m:t>
            </m:r>
          </m:sub>
        </m:sSub>
      </m:oMath>
      <w:r w:rsidRPr="00C06B59">
        <w:rPr>
          <w:rFonts w:cs="Arial"/>
          <w:lang w:eastAsia="zh-CN"/>
        </w:rPr>
        <w:t xml:space="preserve">. If </w:t>
      </w:r>
      <w:r w:rsidRPr="00C06B59">
        <w:rPr>
          <w:lang w:val="en-US" w:eastAsia="zh-CN"/>
        </w:rPr>
        <w:t xml:space="preserve">serving cell </w:t>
      </w:r>
      <m:oMath>
        <m:r>
          <w:rPr>
            <w:rFonts w:ascii="Cambria Math" w:hAnsi="Cambria Math"/>
          </w:rPr>
          <m:t>c</m:t>
        </m:r>
      </m:oMath>
      <w:r w:rsidRPr="00C06B59">
        <w:rPr>
          <w:lang w:val="en-US" w:eastAsia="zh-CN"/>
        </w:rPr>
        <w:t xml:space="preserve"> is deactivated, the UE uses as the active DL BWP </w:t>
      </w:r>
      <w:r w:rsidRPr="00C06B59">
        <w:t xml:space="preserve">for determining the </w:t>
      </w:r>
      <w:r w:rsidRPr="00C06B59">
        <w:rPr>
          <w:lang w:val="en-US" w:eastAsia="zh-CN"/>
        </w:rPr>
        <w:t xml:space="preserve">set of </w:t>
      </w:r>
      <m:oMath>
        <m:sSub>
          <m:sSubPr>
            <m:ctrlPr>
              <w:rPr>
                <w:rFonts w:ascii="Cambria Math" w:hAnsi="Cambria Math"/>
                <w:i/>
              </w:rPr>
            </m:ctrlPr>
          </m:sSubPr>
          <m:e>
            <m:r>
              <w:rPr>
                <w:rFonts w:ascii="Cambria Math" w:hAnsi="Cambria Math"/>
              </w:rPr>
              <m:t>M</m:t>
            </m:r>
          </m:e>
          <m:sub>
            <m:r>
              <w:rPr>
                <w:rFonts w:ascii="Cambria Math" w:hAnsi="Cambria Math"/>
              </w:rPr>
              <m:t>A,c</m:t>
            </m:r>
          </m:sub>
        </m:sSub>
      </m:oMath>
      <w:r w:rsidRPr="00C06B59">
        <w:rPr>
          <w:rFonts w:cs="Arial"/>
          <w:lang w:eastAsia="zh-CN"/>
        </w:rPr>
        <w:t xml:space="preserve"> occasions for candidate PDSCH receptions</w:t>
      </w:r>
      <w:r w:rsidRPr="00C06B59">
        <w:rPr>
          <w:lang w:val="en-US" w:eastAsia="zh-CN"/>
        </w:rPr>
        <w:t xml:space="preserve"> a DL BWP provided by </w:t>
      </w:r>
      <w:r w:rsidRPr="00C06B59">
        <w:rPr>
          <w:i/>
          <w:iCs/>
        </w:rPr>
        <w:t>firstActiveDownlinkBWP</w:t>
      </w:r>
      <w:r w:rsidRPr="00C06B59">
        <w:rPr>
          <w:i/>
        </w:rPr>
        <w:t>-Id</w:t>
      </w:r>
      <w:r w:rsidRPr="00C06B59">
        <w:rPr>
          <w:rFonts w:cs="Arial"/>
          <w:lang w:eastAsia="zh-CN"/>
        </w:rPr>
        <w:t>. The determination is based:</w:t>
      </w:r>
    </w:p>
    <w:p w14:paraId="6B245F98" w14:textId="66F80020" w:rsidR="00C709FE" w:rsidRPr="006B25FE" w:rsidRDefault="00C709FE" w:rsidP="00C709FE">
      <w:pPr>
        <w:pStyle w:val="B1"/>
        <w:rPr>
          <w:lang w:val="en-GB"/>
        </w:rPr>
      </w:pPr>
      <w:r w:rsidRPr="00C06B59">
        <w:rPr>
          <w:lang w:eastAsia="zh-CN"/>
        </w:rPr>
        <w:t>a)</w:t>
      </w:r>
      <w:r w:rsidRPr="00C06B59">
        <w:rPr>
          <w:lang w:eastAsia="zh-CN"/>
        </w:rPr>
        <w:tab/>
        <w:t xml:space="preserve">on a set of slot timing values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Pr="00C06B59">
        <w:rPr>
          <w:lang w:eastAsia="zh-CN"/>
        </w:rPr>
        <w:t xml:space="preserve"> associated</w:t>
      </w:r>
      <w:r w:rsidRPr="00C06B59">
        <w:rPr>
          <w:rFonts w:hint="eastAsia"/>
          <w:lang w:eastAsia="zh-CN"/>
        </w:rPr>
        <w:t xml:space="preserve"> with the active </w:t>
      </w:r>
      <w:r w:rsidRPr="00C06B59">
        <w:rPr>
          <w:lang w:val="en-US" w:eastAsia="zh-CN"/>
        </w:rPr>
        <w:t>U</w:t>
      </w:r>
      <w:r w:rsidRPr="00C06B59">
        <w:rPr>
          <w:rFonts w:hint="eastAsia"/>
          <w:lang w:eastAsia="zh-CN"/>
        </w:rPr>
        <w:t>L BWP</w:t>
      </w:r>
      <w:r w:rsidR="006B25FE">
        <w:rPr>
          <w:lang w:val="en-GB" w:eastAsia="zh-CN"/>
        </w:rPr>
        <w:t xml:space="preserve"> </w:t>
      </w:r>
      <w:r w:rsidR="006B25FE" w:rsidRPr="00647C89">
        <w:rPr>
          <w:lang w:val="en-US" w:eastAsia="zh-CN"/>
        </w:rPr>
        <w:t xml:space="preserve">on the primary cell or, if the PUCCH transmission is indicated by a DCI format to be on the </w:t>
      </w:r>
      <w:r w:rsidR="006B25FE" w:rsidRPr="00647C89">
        <w:t>PUCCH-sSCell</w:t>
      </w:r>
      <w:r w:rsidR="006B25FE" w:rsidRPr="00647C89">
        <w:rPr>
          <w:lang w:val="en-US"/>
        </w:rPr>
        <w:t xml:space="preserve"> as described in clause 9A, </w:t>
      </w:r>
      <w:r w:rsidR="006B25FE" w:rsidRPr="00647C89">
        <w:rPr>
          <w:lang w:eastAsia="zh-CN"/>
        </w:rPr>
        <w:t xml:space="preserve">on a set of slot timing values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006B25FE" w:rsidRPr="00647C89">
        <w:rPr>
          <w:lang w:eastAsia="zh-CN"/>
        </w:rPr>
        <w:t xml:space="preserve"> associated</w:t>
      </w:r>
      <w:r w:rsidR="006B25FE" w:rsidRPr="00647C89">
        <w:rPr>
          <w:rFonts w:hint="eastAsia"/>
          <w:lang w:eastAsia="zh-CN"/>
        </w:rPr>
        <w:t xml:space="preserve"> with the active </w:t>
      </w:r>
      <w:r w:rsidR="006B25FE" w:rsidRPr="00647C89">
        <w:rPr>
          <w:lang w:val="en-US" w:eastAsia="zh-CN"/>
        </w:rPr>
        <w:t>U</w:t>
      </w:r>
      <w:r w:rsidR="006B25FE" w:rsidRPr="00647C89">
        <w:rPr>
          <w:rFonts w:hint="eastAsia"/>
          <w:lang w:eastAsia="zh-CN"/>
        </w:rPr>
        <w:t>L BWP</w:t>
      </w:r>
      <w:r w:rsidR="006B25FE" w:rsidRPr="00647C89">
        <w:rPr>
          <w:lang w:val="en-US" w:eastAsia="zh-CN"/>
        </w:rPr>
        <w:t xml:space="preserve"> on the </w:t>
      </w:r>
      <w:r w:rsidR="006B25FE" w:rsidRPr="00647C89">
        <w:t>PUCCH-sSCell</w:t>
      </w:r>
    </w:p>
    <w:p w14:paraId="301F2479" w14:textId="213BCF89" w:rsidR="00D508B4" w:rsidRPr="00AE44D6" w:rsidRDefault="00EB100D" w:rsidP="00EB100D">
      <w:pPr>
        <w:pStyle w:val="B2"/>
      </w:pPr>
      <w:r>
        <w:rPr>
          <w:lang w:eastAsia="zh-CN"/>
        </w:rPr>
        <w:t>-</w:t>
      </w:r>
      <w:r>
        <w:rPr>
          <w:lang w:eastAsia="zh-CN"/>
        </w:rPr>
        <w:tab/>
      </w:r>
      <w:r w:rsidR="00D508B4" w:rsidRPr="00AE44D6">
        <w:rPr>
          <w:lang w:eastAsia="zh-CN"/>
        </w:rPr>
        <w:t>If the UE is configured to monitor PDCCH for DCI format 1_0 and is not configured to monit</w:t>
      </w:r>
      <w:r w:rsidR="00D508B4">
        <w:rPr>
          <w:lang w:eastAsia="zh-CN"/>
        </w:rPr>
        <w:t>or PDCCH for DCI format 1_1</w:t>
      </w:r>
      <w:r w:rsidR="001D6F08">
        <w:rPr>
          <w:lang w:eastAsia="zh-CN"/>
        </w:rPr>
        <w:t>/1_2/1_3</w:t>
      </w:r>
      <w:r w:rsidR="00C709FE" w:rsidRPr="00C06B59">
        <w:rPr>
          <w:lang w:val="en-US" w:eastAsia="zh-CN"/>
        </w:rPr>
        <w:t xml:space="preserve"> </w:t>
      </w:r>
      <w:r w:rsidR="00EB4343" w:rsidRPr="00B06CC2">
        <w:rPr>
          <w:lang w:val="en-US" w:eastAsia="zh-CN"/>
        </w:rPr>
        <w:t>for</w:t>
      </w:r>
      <w:r w:rsidR="00D508B4" w:rsidRPr="00AE44D6">
        <w:rPr>
          <w:lang w:eastAsia="zh-CN"/>
        </w:rPr>
        <w:t xml:space="preserve"> serving cell </w:t>
      </w:r>
      <m:oMath>
        <m:r>
          <w:rPr>
            <w:rFonts w:ascii="Cambria Math" w:hAnsi="Cambria Math"/>
          </w:rPr>
          <m:t>c</m:t>
        </m:r>
      </m:oMath>
      <w:r w:rsidR="00D508B4" w:rsidRPr="00AE44D6">
        <w:rPr>
          <w:lang w:eastAsia="zh-CN"/>
        </w:rPr>
        <w:t>,</w:t>
      </w:r>
      <w:r w:rsidR="003510BA">
        <w:rPr>
          <w:lang w:val="en-GB" w:eastAsia="zh-CN"/>
        </w:rPr>
        <w:t xml:space="preserve"> </w:t>
      </w:r>
      <w:r w:rsidR="003510BA" w:rsidRPr="0088003C">
        <w:rPr>
          <w:lang w:eastAsia="zh-CN"/>
        </w:rPr>
        <w:t xml:space="preserve">or the active DL BWP for serving cell </w:t>
      </w:r>
      <m:oMath>
        <m:r>
          <w:rPr>
            <w:rFonts w:ascii="Cambria Math" w:hAnsi="Cambria Math"/>
          </w:rPr>
          <m:t>c</m:t>
        </m:r>
      </m:oMath>
      <w:r w:rsidR="003510BA" w:rsidRPr="0088003C">
        <w:rPr>
          <w:lang w:eastAsia="zh-CN"/>
        </w:rPr>
        <w:t xml:space="preserve"> is dormant BWP,</w:t>
      </w:r>
      <w:r w:rsidR="00D508B4" w:rsidRPr="00AE44D6">
        <w:rPr>
          <w:lang w:eastAsia="zh-CN"/>
        </w:rPr>
        <w:t xml:space="preserve">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00D508B4" w:rsidRPr="00AE44D6">
        <w:rPr>
          <w:lang w:eastAsia="zh-CN"/>
        </w:rPr>
        <w:t xml:space="preserve"> is</w:t>
      </w:r>
      <w:r w:rsidR="0009732E">
        <w:rPr>
          <w:lang w:eastAsia="zh-CN"/>
        </w:rPr>
        <w:t xml:space="preserve"> </w:t>
      </w:r>
      <w:r w:rsidR="00D508B4" w:rsidRPr="00AE44D6">
        <w:rPr>
          <w:lang w:eastAsia="zh-CN"/>
        </w:rPr>
        <w:t>provided by the slot timing values {1, 2, 3, 4, 5, 6, 7, 8}</w:t>
      </w:r>
      <w:r w:rsidR="00D508B4">
        <w:rPr>
          <w:lang w:eastAsia="zh-CN"/>
        </w:rPr>
        <w:t xml:space="preserve"> </w:t>
      </w:r>
      <w:r w:rsidR="00CC29A0" w:rsidRPr="00B27E56">
        <w:rPr>
          <w:lang w:val="en-US" w:eastAsia="zh-CN"/>
        </w:rPr>
        <w:t>for SCS configuration</w:t>
      </w:r>
      <w:r w:rsidR="00CC29A0">
        <w:rPr>
          <w:lang w:val="en-US" w:eastAsia="zh-CN"/>
        </w:rPr>
        <w:t xml:space="preserve"> of PUCCH transmission</w:t>
      </w:r>
      <w:r w:rsidR="00CC29A0" w:rsidRPr="00B27E56">
        <w:rPr>
          <w:lang w:val="en-US" w:eastAsia="zh-CN"/>
        </w:rPr>
        <w:t xml:space="preserve"> </w:t>
      </w:r>
      <m:oMath>
        <m:r>
          <w:rPr>
            <w:rFonts w:ascii="Cambria Math" w:hAnsi="Cambria Math"/>
            <w:lang w:val="en-US" w:eastAsia="zh-CN"/>
          </w:rPr>
          <m:t>μ≤3</m:t>
        </m:r>
      </m:oMath>
      <w:r w:rsidR="00CC29A0" w:rsidRPr="00B27E56">
        <w:rPr>
          <w:lang w:val="en-US" w:eastAsia="zh-CN"/>
        </w:rPr>
        <w:t>, {</w:t>
      </w:r>
      <w:r w:rsidR="00CC29A0" w:rsidRPr="00B27E56">
        <w:rPr>
          <w:iCs/>
        </w:rPr>
        <w:t xml:space="preserve">7, 8, 12, 16, 20, 24, 28, 32} for </w:t>
      </w:r>
      <m:oMath>
        <m:r>
          <w:rPr>
            <w:rFonts w:ascii="Cambria Math" w:hAnsi="Cambria Math"/>
            <w:lang w:val="en-US" w:eastAsia="zh-CN"/>
          </w:rPr>
          <m:t>μ=5</m:t>
        </m:r>
      </m:oMath>
      <w:r w:rsidR="00CC29A0" w:rsidRPr="00B27E56">
        <w:rPr>
          <w:lang w:val="en-US" w:eastAsia="zh-CN"/>
        </w:rPr>
        <w:t xml:space="preserve">, and </w:t>
      </w:r>
      <w:r w:rsidR="00CC29A0" w:rsidRPr="00B27E56">
        <w:rPr>
          <w:iCs/>
        </w:rPr>
        <w:t>{13, 16, 24, 32, 40, 48, 56, 64}</w:t>
      </w:r>
      <w:r w:rsidR="00CC29A0" w:rsidRPr="00B27E56">
        <w:rPr>
          <w:iCs/>
          <w:lang w:val="en-US"/>
        </w:rPr>
        <w:t xml:space="preserve"> for </w:t>
      </w:r>
      <m:oMath>
        <m:r>
          <w:rPr>
            <w:rFonts w:ascii="Cambria Math" w:hAnsi="Cambria Math"/>
            <w:lang w:val="en-US" w:eastAsia="zh-CN"/>
          </w:rPr>
          <m:t>μ=6</m:t>
        </m:r>
      </m:oMath>
    </w:p>
    <w:p w14:paraId="2DE1305A" w14:textId="5E8BC5CC" w:rsidR="00C709FE" w:rsidRPr="00C06B59" w:rsidRDefault="00EB100D" w:rsidP="00EB100D">
      <w:pPr>
        <w:pStyle w:val="B2"/>
        <w:rPr>
          <w:lang w:eastAsia="zh-CN"/>
        </w:rPr>
      </w:pPr>
      <w:r>
        <w:rPr>
          <w:lang w:eastAsia="zh-CN"/>
        </w:rPr>
        <w:t>-</w:t>
      </w:r>
      <w:r>
        <w:rPr>
          <w:lang w:eastAsia="zh-CN"/>
        </w:rPr>
        <w:tab/>
      </w:r>
      <w:r w:rsidR="00C709FE" w:rsidRPr="00C06B59">
        <w:rPr>
          <w:lang w:eastAsia="zh-CN"/>
        </w:rPr>
        <w:t>If the UE is configured to monitor PDCCH for DCI format 1_1</w:t>
      </w:r>
      <w:r w:rsidR="001D6F08">
        <w:rPr>
          <w:lang w:eastAsia="zh-CN"/>
        </w:rPr>
        <w:t>/1_3</w:t>
      </w:r>
      <w:r w:rsidR="00C709FE" w:rsidRPr="00C06B59">
        <w:rPr>
          <w:lang w:eastAsia="zh-CN"/>
        </w:rPr>
        <w:t xml:space="preserve"> </w:t>
      </w:r>
      <w:r w:rsidR="00C709FE" w:rsidRPr="00C06B59">
        <w:rPr>
          <w:rFonts w:eastAsia="Gulim"/>
          <w:lang w:val="en-GB"/>
        </w:rPr>
        <w:t xml:space="preserve">and is not configured to monitor PDCCH for DCI format 1_2 </w:t>
      </w:r>
      <w:r w:rsidR="00C709FE" w:rsidRPr="00C06B59">
        <w:rPr>
          <w:lang w:val="en-US" w:eastAsia="zh-CN"/>
        </w:rPr>
        <w:t>for</w:t>
      </w:r>
      <w:r w:rsidR="00C709FE" w:rsidRPr="00C06B59">
        <w:rPr>
          <w:lang w:eastAsia="zh-CN"/>
        </w:rPr>
        <w:t xml:space="preserve"> serving cell </w:t>
      </w:r>
      <m:oMath>
        <m:r>
          <w:rPr>
            <w:rFonts w:ascii="Cambria Math" w:hAnsi="Cambria Math"/>
          </w:rPr>
          <m:t>c</m:t>
        </m:r>
      </m:oMath>
      <w:r w:rsidR="00C709FE" w:rsidRPr="00C06B59">
        <w:rPr>
          <w:lang w:eastAsia="zh-CN"/>
        </w:rPr>
        <w:t xml:space="preserve">,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00C709FE" w:rsidRPr="00C06B59">
        <w:rPr>
          <w:lang w:eastAsia="zh-CN"/>
        </w:rPr>
        <w:t xml:space="preserve"> is provided by </w:t>
      </w:r>
      <w:r w:rsidR="00C709FE" w:rsidRPr="00C06B59">
        <w:rPr>
          <w:i/>
        </w:rPr>
        <w:t>dl-DataToUL-ACK</w:t>
      </w:r>
      <w:r w:rsidR="00C709FE" w:rsidRPr="00C06B59">
        <w:rPr>
          <w:i/>
          <w:lang w:eastAsia="zh-CN"/>
        </w:rPr>
        <w:t xml:space="preserve"> </w:t>
      </w:r>
      <w:r w:rsidR="007051AC" w:rsidRPr="00A04CDF">
        <w:rPr>
          <w:rFonts w:eastAsia="Batang"/>
          <w:lang w:val="en-US"/>
        </w:rPr>
        <w:t xml:space="preserve">or </w:t>
      </w:r>
      <w:r w:rsidR="007051AC" w:rsidRPr="00A04CDF">
        <w:rPr>
          <w:rFonts w:eastAsia="Batang"/>
          <w:i/>
          <w:lang w:val="en-US"/>
        </w:rPr>
        <w:t>dl-DataToUL-ACK-r16</w:t>
      </w:r>
      <w:r w:rsidR="00B816A6" w:rsidRPr="0073699A">
        <w:rPr>
          <w:rFonts w:eastAsia="Malgun Gothic"/>
          <w:lang w:val="en-US" w:eastAsia="zh-CN"/>
        </w:rPr>
        <w:t xml:space="preserve"> </w:t>
      </w:r>
      <w:r w:rsidR="00B816A6">
        <w:rPr>
          <w:rFonts w:eastAsia="Malgun Gothic"/>
          <w:lang w:val="en-US" w:eastAsia="zh-CN"/>
        </w:rPr>
        <w:t xml:space="preserve">or </w:t>
      </w:r>
      <w:r w:rsidR="00B816A6">
        <w:rPr>
          <w:i/>
          <w:lang w:val="en-US"/>
        </w:rPr>
        <w:t>dl-DataToUL-ACK-r17</w:t>
      </w:r>
      <w:r w:rsidR="00004767">
        <w:rPr>
          <w:i/>
          <w:lang w:val="en-US"/>
        </w:rPr>
        <w:t xml:space="preserve"> </w:t>
      </w:r>
      <w:r w:rsidR="00004767" w:rsidRPr="00F31F88">
        <w:rPr>
          <w:lang w:val="en-US"/>
        </w:rPr>
        <w:t xml:space="preserve">or </w:t>
      </w:r>
      <w:r w:rsidR="00004767" w:rsidRPr="006A74E7">
        <w:rPr>
          <w:i/>
          <w:lang w:val="en-US"/>
        </w:rPr>
        <w:t>dl-DataToUL-ACK-v1700</w:t>
      </w:r>
    </w:p>
    <w:p w14:paraId="3308AB1D" w14:textId="18ED1E79" w:rsidR="00C709FE" w:rsidRPr="00C06B59" w:rsidRDefault="00EB100D" w:rsidP="00EB100D">
      <w:pPr>
        <w:pStyle w:val="B2"/>
        <w:rPr>
          <w:rFonts w:eastAsia="Gulim"/>
        </w:rPr>
      </w:pPr>
      <w:r>
        <w:rPr>
          <w:rFonts w:eastAsia="Gulim"/>
          <w:lang w:val="en-GB"/>
        </w:rPr>
        <w:t>-</w:t>
      </w:r>
      <w:r>
        <w:rPr>
          <w:rFonts w:eastAsia="Gulim"/>
          <w:lang w:val="en-GB"/>
        </w:rPr>
        <w:tab/>
      </w:r>
      <w:r w:rsidR="00C709FE" w:rsidRPr="00C06B59">
        <w:rPr>
          <w:rFonts w:eastAsia="Gulim"/>
          <w:lang w:val="en-GB"/>
        </w:rPr>
        <w:t>If the UE is configured to monitor PDCCH for DCI format 1_2 and is not configured to monitor PDCCH for DCI format 1_1</w:t>
      </w:r>
      <w:r w:rsidR="001D6F08">
        <w:rPr>
          <w:lang w:eastAsia="zh-CN"/>
        </w:rPr>
        <w:t>/1_3</w:t>
      </w:r>
      <w:r w:rsidR="00C709FE" w:rsidRPr="00C06B59">
        <w:rPr>
          <w:rFonts w:eastAsia="Gulim"/>
          <w:lang w:val="en-GB"/>
        </w:rPr>
        <w:t xml:space="preserve"> </w:t>
      </w:r>
      <w:r w:rsidR="00C709FE" w:rsidRPr="00C06B59">
        <w:rPr>
          <w:rFonts w:eastAsia="Gulim"/>
        </w:rPr>
        <w:t>for</w:t>
      </w:r>
      <w:r w:rsidR="00C709FE" w:rsidRPr="00C06B59">
        <w:rPr>
          <w:rFonts w:eastAsia="Gulim"/>
          <w:lang w:val="en-GB"/>
        </w:rPr>
        <w:t xml:space="preserve"> serving cell </w:t>
      </w:r>
      <m:oMath>
        <m:r>
          <w:rPr>
            <w:rFonts w:ascii="Cambria Math" w:hAnsi="Cambria Math"/>
          </w:rPr>
          <m:t>c</m:t>
        </m:r>
      </m:oMath>
      <w:r w:rsidR="00C709FE" w:rsidRPr="00C06B59">
        <w:rPr>
          <w:rFonts w:eastAsia="Gulim"/>
          <w:lang w:val="en-GB"/>
        </w:rPr>
        <w:t xml:space="preserve">,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00256F8F">
        <w:rPr>
          <w:rFonts w:eastAsia="Gulim"/>
          <w:lang w:val="en-GB"/>
        </w:rPr>
        <w:t xml:space="preserve"> </w:t>
      </w:r>
      <w:r w:rsidR="00C709FE" w:rsidRPr="00C06B59">
        <w:rPr>
          <w:rFonts w:eastAsia="Gulim"/>
          <w:lang w:val="en-GB"/>
        </w:rPr>
        <w:t xml:space="preserve">is provided by </w:t>
      </w:r>
      <w:r w:rsidR="00256F8F" w:rsidRPr="00C06B59">
        <w:rPr>
          <w:rFonts w:eastAsia="Gulim"/>
          <w:i/>
          <w:iCs/>
          <w:lang w:val="en-GB"/>
        </w:rPr>
        <w:t>dl-DataToUL-ACK-DCI</w:t>
      </w:r>
      <w:r w:rsidR="00256F8F">
        <w:rPr>
          <w:rFonts w:eastAsia="Gulim"/>
          <w:i/>
          <w:iCs/>
          <w:lang w:val="en-GB"/>
        </w:rPr>
        <w:t>-</w:t>
      </w:r>
      <w:r w:rsidR="00256F8F" w:rsidRPr="00C06B59">
        <w:rPr>
          <w:rFonts w:eastAsia="Gulim"/>
          <w:i/>
          <w:iCs/>
          <w:lang w:val="en-GB"/>
        </w:rPr>
        <w:t>1</w:t>
      </w:r>
      <w:r w:rsidR="00256F8F">
        <w:rPr>
          <w:rFonts w:eastAsia="Gulim"/>
          <w:i/>
          <w:iCs/>
          <w:lang w:val="en-GB"/>
        </w:rPr>
        <w:t>-</w:t>
      </w:r>
      <w:r w:rsidR="00256F8F" w:rsidRPr="00C06B59">
        <w:rPr>
          <w:rFonts w:eastAsia="Gulim"/>
          <w:i/>
          <w:iCs/>
          <w:lang w:val="en-GB"/>
        </w:rPr>
        <w:t>2</w:t>
      </w:r>
      <w:r w:rsidR="00C709FE" w:rsidRPr="00C06B59">
        <w:rPr>
          <w:rFonts w:eastAsia="Gulim"/>
          <w:i/>
          <w:iCs/>
          <w:lang w:val="en-GB"/>
        </w:rPr>
        <w:t xml:space="preserve"> </w:t>
      </w:r>
      <w:r w:rsidR="00B816A6">
        <w:rPr>
          <w:rFonts w:eastAsia="Malgun Gothic"/>
          <w:lang w:val="en-US" w:eastAsia="zh-CN"/>
        </w:rPr>
        <w:t xml:space="preserve">or </w:t>
      </w:r>
      <w:r w:rsidR="00B816A6">
        <w:rPr>
          <w:rFonts w:eastAsia="Malgun Gothic"/>
          <w:i/>
        </w:rPr>
        <w:t>dl-DataToUL-ACK</w:t>
      </w:r>
      <w:r w:rsidR="00B816A6">
        <w:rPr>
          <w:rFonts w:eastAsia="Malgun Gothic"/>
          <w:i/>
          <w:lang w:val="en-US"/>
        </w:rPr>
        <w:t>-DCI-1-2</w:t>
      </w:r>
      <w:r w:rsidR="00B816A6">
        <w:rPr>
          <w:rFonts w:eastAsia="Malgun Gothic"/>
          <w:i/>
          <w:lang w:val="en-US" w:eastAsia="zh-CN"/>
        </w:rPr>
        <w:t>-r17</w:t>
      </w:r>
    </w:p>
    <w:p w14:paraId="01243375" w14:textId="1623B365" w:rsidR="007051AC" w:rsidRDefault="00EB100D" w:rsidP="007051AC">
      <w:pPr>
        <w:pStyle w:val="B2"/>
        <w:rPr>
          <w:rFonts w:eastAsia="Gulim"/>
          <w:i/>
          <w:iCs/>
        </w:rPr>
      </w:pPr>
      <w:r>
        <w:rPr>
          <w:rFonts w:eastAsia="Gulim"/>
          <w:lang w:val="en-GB"/>
        </w:rPr>
        <w:t>-</w:t>
      </w:r>
      <w:r>
        <w:rPr>
          <w:rFonts w:eastAsia="Gulim"/>
          <w:lang w:val="en-GB"/>
        </w:rPr>
        <w:tab/>
      </w:r>
      <w:r w:rsidR="00C709FE" w:rsidRPr="00C06B59">
        <w:rPr>
          <w:rFonts w:eastAsia="Gulim"/>
          <w:lang w:val="en-GB"/>
        </w:rPr>
        <w:t>If the UE is configured to monitor PDCCH for DCI format 1_1</w:t>
      </w:r>
      <w:r w:rsidR="001D6F08">
        <w:rPr>
          <w:lang w:eastAsia="zh-CN"/>
        </w:rPr>
        <w:t>/1_3</w:t>
      </w:r>
      <w:r w:rsidR="00C709FE" w:rsidRPr="00C06B59">
        <w:rPr>
          <w:rFonts w:eastAsia="Gulim"/>
          <w:lang w:val="en-GB"/>
        </w:rPr>
        <w:t xml:space="preserve"> and DCI format 1_2 </w:t>
      </w:r>
      <w:r w:rsidR="00C709FE" w:rsidRPr="00C06B59">
        <w:rPr>
          <w:rFonts w:eastAsia="Gulim"/>
        </w:rPr>
        <w:t xml:space="preserve">for </w:t>
      </w:r>
      <w:r w:rsidR="00C709FE" w:rsidRPr="00C06B59">
        <w:rPr>
          <w:rFonts w:eastAsia="Gulim"/>
          <w:lang w:val="en-GB"/>
        </w:rPr>
        <w:t xml:space="preserve">serving cell </w:t>
      </w:r>
      <m:oMath>
        <m:r>
          <w:rPr>
            <w:rFonts w:ascii="Cambria Math" w:hAnsi="Cambria Math"/>
          </w:rPr>
          <m:t>c</m:t>
        </m:r>
      </m:oMath>
      <w:r w:rsidR="00C709FE" w:rsidRPr="00C06B59">
        <w:rPr>
          <w:rFonts w:eastAsia="Gulim"/>
          <w:lang w:val="en-GB"/>
        </w:rPr>
        <w:t xml:space="preserve">,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00256F8F">
        <w:rPr>
          <w:rFonts w:eastAsia="Gulim"/>
          <w:lang w:val="en-GB"/>
        </w:rPr>
        <w:t xml:space="preserve"> </w:t>
      </w:r>
      <w:r w:rsidR="00C709FE" w:rsidRPr="00C06B59">
        <w:rPr>
          <w:rFonts w:eastAsia="Gulim"/>
          <w:lang w:val="en-GB"/>
        </w:rPr>
        <w:t xml:space="preserve">is provided by the union of </w:t>
      </w:r>
      <w:r w:rsidR="00C709FE" w:rsidRPr="00C06B59">
        <w:rPr>
          <w:rFonts w:eastAsia="Gulim"/>
          <w:i/>
          <w:iCs/>
          <w:lang w:val="en-GB"/>
        </w:rPr>
        <w:t xml:space="preserve">dl-DataToUL-ACK </w:t>
      </w:r>
      <w:r w:rsidR="007051AC" w:rsidRPr="00A04CDF">
        <w:rPr>
          <w:rFonts w:eastAsia="Batang"/>
          <w:lang w:val="en-US"/>
        </w:rPr>
        <w:t xml:space="preserve">or </w:t>
      </w:r>
      <w:r w:rsidR="007051AC" w:rsidRPr="00A04CDF">
        <w:rPr>
          <w:rFonts w:eastAsia="Batang"/>
          <w:i/>
          <w:lang w:val="en-US"/>
        </w:rPr>
        <w:t>dl-DataToUL-ACK-r16</w:t>
      </w:r>
      <w:r w:rsidR="007051AC">
        <w:rPr>
          <w:rFonts w:eastAsia="Batang"/>
          <w:i/>
          <w:lang w:val="en-US"/>
        </w:rPr>
        <w:t xml:space="preserve"> </w:t>
      </w:r>
      <w:r w:rsidR="00B816A6">
        <w:rPr>
          <w:rFonts w:eastAsia="Malgun Gothic"/>
          <w:lang w:val="en-US" w:eastAsia="zh-CN"/>
        </w:rPr>
        <w:t xml:space="preserve">or </w:t>
      </w:r>
      <w:r w:rsidR="00B816A6">
        <w:rPr>
          <w:i/>
          <w:lang w:val="en-US"/>
        </w:rPr>
        <w:t>dl-DataToUL-ACK-r17</w:t>
      </w:r>
      <w:r w:rsidR="00B816A6" w:rsidRPr="0073699A">
        <w:rPr>
          <w:iCs/>
          <w:lang w:val="en-US"/>
        </w:rPr>
        <w:t xml:space="preserve"> </w:t>
      </w:r>
      <w:r w:rsidR="00004767" w:rsidRPr="00F31F88">
        <w:rPr>
          <w:lang w:val="en-US"/>
        </w:rPr>
        <w:t xml:space="preserve">or </w:t>
      </w:r>
      <w:r w:rsidR="00004767" w:rsidRPr="006A74E7">
        <w:rPr>
          <w:i/>
          <w:lang w:val="en-US"/>
        </w:rPr>
        <w:t>dl-DataToUL-ACK-v1700</w:t>
      </w:r>
      <w:r w:rsidR="00004767" w:rsidRPr="00004767">
        <w:rPr>
          <w:iCs/>
          <w:lang w:val="en-US"/>
        </w:rPr>
        <w:t xml:space="preserve"> </w:t>
      </w:r>
      <w:r w:rsidR="00C709FE" w:rsidRPr="00C06B59">
        <w:rPr>
          <w:rFonts w:eastAsia="Gulim"/>
          <w:lang w:val="en-GB"/>
        </w:rPr>
        <w:t>and</w:t>
      </w:r>
      <w:r w:rsidR="00C709FE" w:rsidRPr="00C06B59">
        <w:rPr>
          <w:rFonts w:eastAsia="Gulim"/>
          <w:i/>
          <w:iCs/>
          <w:lang w:val="en-GB"/>
        </w:rPr>
        <w:t xml:space="preserve"> </w:t>
      </w:r>
      <w:r w:rsidR="00256F8F" w:rsidRPr="00C06B59">
        <w:rPr>
          <w:rFonts w:eastAsia="Gulim"/>
          <w:i/>
          <w:iCs/>
          <w:lang w:val="en-GB"/>
        </w:rPr>
        <w:t>dl-DataToUL-ACK-DCI</w:t>
      </w:r>
      <w:r w:rsidR="00256F8F">
        <w:rPr>
          <w:rFonts w:eastAsia="Gulim"/>
          <w:i/>
          <w:iCs/>
          <w:lang w:val="en-GB"/>
        </w:rPr>
        <w:t>-</w:t>
      </w:r>
      <w:r w:rsidR="00256F8F" w:rsidRPr="00C06B59">
        <w:rPr>
          <w:rFonts w:eastAsia="Gulim"/>
          <w:i/>
          <w:iCs/>
          <w:lang w:val="en-GB"/>
        </w:rPr>
        <w:t>1</w:t>
      </w:r>
      <w:r w:rsidR="00256F8F">
        <w:rPr>
          <w:rFonts w:eastAsia="Gulim"/>
          <w:i/>
          <w:iCs/>
          <w:lang w:val="en-GB"/>
        </w:rPr>
        <w:t>-</w:t>
      </w:r>
      <w:r w:rsidR="00256F8F" w:rsidRPr="00C06B59">
        <w:rPr>
          <w:rFonts w:eastAsia="Gulim"/>
          <w:i/>
          <w:iCs/>
          <w:lang w:val="en-GB"/>
        </w:rPr>
        <w:t>2</w:t>
      </w:r>
      <w:r w:rsidR="00C709FE" w:rsidRPr="00C06B59">
        <w:rPr>
          <w:rFonts w:eastAsia="Gulim"/>
          <w:i/>
          <w:iCs/>
          <w:lang w:val="en-GB"/>
        </w:rPr>
        <w:t xml:space="preserve"> </w:t>
      </w:r>
      <w:r w:rsidR="00B816A6">
        <w:rPr>
          <w:rFonts w:eastAsia="Gulim"/>
          <w:iCs/>
        </w:rPr>
        <w:t>o</w:t>
      </w:r>
      <w:r w:rsidR="00B816A6">
        <w:rPr>
          <w:rFonts w:eastAsia="Malgun Gothic"/>
          <w:lang w:val="en-US" w:eastAsia="zh-CN"/>
        </w:rPr>
        <w:t xml:space="preserve">r </w:t>
      </w:r>
      <w:r w:rsidR="00B816A6">
        <w:rPr>
          <w:rFonts w:eastAsia="Malgun Gothic"/>
          <w:i/>
        </w:rPr>
        <w:t>dl-DataToUL-ACK</w:t>
      </w:r>
      <w:r w:rsidR="00B816A6">
        <w:rPr>
          <w:rFonts w:eastAsia="Malgun Gothic"/>
          <w:i/>
          <w:lang w:val="en-US"/>
        </w:rPr>
        <w:t>-DCI-1-2</w:t>
      </w:r>
      <w:r w:rsidR="00B816A6">
        <w:rPr>
          <w:rFonts w:eastAsia="Malgun Gothic"/>
          <w:i/>
          <w:lang w:val="en-US" w:eastAsia="zh-CN"/>
        </w:rPr>
        <w:t>-r17</w:t>
      </w:r>
    </w:p>
    <w:p w14:paraId="6E9936C6" w14:textId="67BA2611" w:rsidR="00C709FE" w:rsidRDefault="007051AC" w:rsidP="007051AC">
      <w:pPr>
        <w:pStyle w:val="B2"/>
        <w:rPr>
          <w:rFonts w:eastAsia="Gulim"/>
          <w:i/>
          <w:iCs/>
          <w:lang w:val="en-GB"/>
        </w:rPr>
      </w:pPr>
      <w:r>
        <w:rPr>
          <w:rFonts w:eastAsia="Gulim"/>
        </w:rPr>
        <w:t>-</w:t>
      </w:r>
      <w:r>
        <w:rPr>
          <w:rFonts w:eastAsia="Gulim"/>
        </w:rPr>
        <w:tab/>
      </w:r>
      <w:r>
        <w:rPr>
          <w:rFonts w:eastAsia="Gulim"/>
          <w:iCs/>
        </w:rPr>
        <w:t xml:space="preserve">If </w:t>
      </w:r>
      <w:r w:rsidRPr="00A04CDF">
        <w:rPr>
          <w:rFonts w:eastAsia="Batang"/>
          <w:lang w:val="en-US"/>
        </w:rPr>
        <w:t>an inapplicable value in</w:t>
      </w:r>
      <w:r>
        <w:rPr>
          <w:rFonts w:eastAsia="Gulim"/>
          <w:iCs/>
        </w:rPr>
        <w:t xml:space="preserve"> </w:t>
      </w:r>
      <w:r>
        <w:rPr>
          <w:rFonts w:eastAsia="Gulim"/>
          <w:i/>
          <w:iCs/>
        </w:rPr>
        <w:t>dl-DataToUL-ACK-r16</w:t>
      </w:r>
      <w:r>
        <w:rPr>
          <w:rFonts w:eastAsia="Gulim"/>
          <w:iCs/>
        </w:rPr>
        <w:t xml:space="preserve"> </w:t>
      </w:r>
      <w:r w:rsidR="00B816A6">
        <w:rPr>
          <w:rFonts w:eastAsia="Malgun Gothic"/>
          <w:lang w:val="en-US" w:eastAsia="zh-CN"/>
        </w:rPr>
        <w:t xml:space="preserve">or </w:t>
      </w:r>
      <w:r w:rsidR="00B816A6">
        <w:rPr>
          <w:i/>
          <w:lang w:val="en-US"/>
        </w:rPr>
        <w:t>dl-DataToUL-ACK-r17</w:t>
      </w:r>
      <w:r w:rsidR="00B816A6" w:rsidRPr="0073699A">
        <w:rPr>
          <w:iCs/>
          <w:lang w:val="en-US"/>
        </w:rPr>
        <w:t xml:space="preserve"> </w:t>
      </w:r>
      <w:r>
        <w:rPr>
          <w:rFonts w:eastAsia="Gulim"/>
          <w:iCs/>
        </w:rPr>
        <w:t xml:space="preserve">is provided, the value is excluded from </w:t>
      </w:r>
      <m:oMath>
        <m:sSub>
          <m:sSubPr>
            <m:ctrlPr>
              <w:rPr>
                <w:rFonts w:ascii="Cambria Math" w:eastAsia="Batang" w:hAnsi="Cambria Math"/>
                <w:i/>
                <w:lang w:val="zh-CN"/>
              </w:rPr>
            </m:ctrlPr>
          </m:sSubPr>
          <m:e>
            <m:r>
              <w:rPr>
                <w:rFonts w:ascii="Cambria Math" w:eastAsia="Batang" w:hAnsi="Cambria Math"/>
                <w:lang w:val="zh-CN"/>
              </w:rPr>
              <m:t>K</m:t>
            </m:r>
          </m:e>
          <m:sub>
            <m:r>
              <w:rPr>
                <w:rFonts w:ascii="Cambria Math" w:eastAsia="Batang" w:hAnsi="Cambria Math"/>
                <w:lang w:val="en-US"/>
              </w:rPr>
              <m:t>1</m:t>
            </m:r>
          </m:sub>
        </m:sSub>
      </m:oMath>
    </w:p>
    <w:p w14:paraId="78B02487" w14:textId="348CB761" w:rsidR="00EB4343" w:rsidRDefault="00EB100D" w:rsidP="00EB100D">
      <w:pPr>
        <w:pStyle w:val="B2"/>
      </w:pPr>
      <w:r>
        <w:rPr>
          <w:rFonts w:eastAsia="Gulim"/>
          <w:lang w:val="en-GB"/>
        </w:rPr>
        <w:t>-</w:t>
      </w:r>
      <w:r>
        <w:rPr>
          <w:rFonts w:eastAsia="Gulim"/>
          <w:lang w:val="en-GB"/>
        </w:rPr>
        <w:tab/>
      </w:r>
      <w:r w:rsidR="00EB4343" w:rsidRPr="00B06CC2">
        <w:rPr>
          <w:rFonts w:eastAsia="Gulim"/>
          <w:lang w:val="en-GB"/>
        </w:rPr>
        <w:t xml:space="preserve">If the UE is configured to monitor PDCCH for multicast DCI formats </w:t>
      </w:r>
      <w:r w:rsidR="00EB4343" w:rsidRPr="00B06CC2">
        <w:rPr>
          <w:lang w:val="en-US" w:eastAsia="zh-CN"/>
        </w:rPr>
        <w:t>for</w:t>
      </w:r>
      <w:r w:rsidR="00EB4343" w:rsidRPr="00B06CC2">
        <w:rPr>
          <w:lang w:eastAsia="zh-CN"/>
        </w:rPr>
        <w:t xml:space="preserve"> serving cell </w:t>
      </w:r>
      <m:oMath>
        <m:r>
          <w:rPr>
            <w:rFonts w:ascii="Cambria Math" w:hAnsi="Cambria Math"/>
          </w:rPr>
          <m:t>c</m:t>
        </m:r>
      </m:oMath>
    </w:p>
    <w:p w14:paraId="72BAB565" w14:textId="77777777" w:rsidR="007A1423" w:rsidRPr="007A1423" w:rsidRDefault="007A1423" w:rsidP="007A1423">
      <w:pPr>
        <w:pStyle w:val="B3"/>
      </w:pPr>
      <w:r w:rsidRPr="007A1423">
        <w:rPr>
          <w:lang w:eastAsia="ko-KR"/>
        </w:rPr>
        <w:lastRenderedPageBreak/>
        <w:t>-</w:t>
      </w:r>
      <w:r w:rsidRPr="007A1423">
        <w:rPr>
          <w:lang w:eastAsia="ko-KR"/>
        </w:rPr>
        <w:tab/>
        <w:t>if the UE</w:t>
      </w:r>
      <w:r w:rsidRPr="007A1423">
        <w:t xml:space="preserve"> is provided </w:t>
      </w:r>
      <w:r w:rsidRPr="007A1423">
        <w:rPr>
          <w:i/>
          <w:iCs/>
        </w:rPr>
        <w:t>fdmed-ReceptionMulticast</w:t>
      </w:r>
      <w:r w:rsidRPr="007A1423">
        <w:rPr>
          <w:rFonts w:hint="eastAsia"/>
        </w:rPr>
        <w:t xml:space="preserve"> </w:t>
      </w:r>
      <w:r w:rsidRPr="007A1423">
        <w:t xml:space="preserve">or if the UE is not provided </w:t>
      </w:r>
      <w:r w:rsidRPr="007A1423">
        <w:rPr>
          <w:i/>
          <w:iCs/>
        </w:rPr>
        <w:t xml:space="preserve">type1CodebookGenerationMode = </w:t>
      </w:r>
      <w:r w:rsidRPr="007A1423">
        <w:t>'mode1'</w:t>
      </w:r>
    </w:p>
    <w:p w14:paraId="7FCDE610" w14:textId="058F7485" w:rsidR="007A1423" w:rsidRPr="007A1423" w:rsidRDefault="007A1423" w:rsidP="007A1423">
      <w:pPr>
        <w:pStyle w:val="B4"/>
      </w:pPr>
      <w:r w:rsidRPr="007A1423">
        <w:rPr>
          <w:lang w:eastAsia="ko-KR"/>
        </w:rPr>
        <w:t>-</w:t>
      </w:r>
      <w:r w:rsidRPr="007A1423">
        <w:rPr>
          <w:lang w:eastAsia="ko-KR"/>
        </w:rPr>
        <w:tab/>
        <w:t>if the UE</w:t>
      </w:r>
      <w:r w:rsidRPr="007A1423">
        <w:t xml:space="preserve"> is configured to monitor PDCCH for DCI format 4_2, </w:t>
      </w:r>
      <w:r w:rsidRPr="007A1423">
        <w:rPr>
          <w:i/>
        </w:rPr>
        <w:t>dl-DataToUL-ACK</w:t>
      </w:r>
      <w:r w:rsidRPr="007A1423">
        <w:t xml:space="preserve"> </w:t>
      </w:r>
      <w:r w:rsidR="000C0FF4" w:rsidRPr="00EB77CE">
        <w:t xml:space="preserve">or </w:t>
      </w:r>
      <w:r w:rsidR="000C0FF4" w:rsidRPr="00EB77CE">
        <w:rPr>
          <w:i/>
        </w:rPr>
        <w:t>DL-DataToUL-ACK-v1700</w:t>
      </w:r>
      <w:r w:rsidR="000C0FF4" w:rsidRPr="00B87175">
        <w:t xml:space="preserve"> </w:t>
      </w:r>
      <w:r w:rsidRPr="007A1423">
        <w:t xml:space="preserve">is provided by </w:t>
      </w:r>
      <w:r w:rsidRPr="007A1423">
        <w:rPr>
          <w:i/>
        </w:rPr>
        <w:t>pucch-ConfigMulticast1/pucch-ConfigurationListMulticast1</w:t>
      </w:r>
      <w:r w:rsidRPr="007A1423">
        <w:t xml:space="preserve"> if provided; otherwise, by </w:t>
      </w:r>
      <w:r w:rsidRPr="007A1423">
        <w:rPr>
          <w:i/>
        </w:rPr>
        <w:t>pucch-Config/pucch-ConfigurationList</w:t>
      </w:r>
    </w:p>
    <w:p w14:paraId="18FFF61E" w14:textId="48A5803C" w:rsidR="007A1423" w:rsidRPr="007A1423" w:rsidRDefault="007A1423" w:rsidP="007A1423">
      <w:pPr>
        <w:pStyle w:val="B5"/>
      </w:pPr>
      <w:r w:rsidRPr="007A1423">
        <w:rPr>
          <w:lang w:eastAsia="ko-KR"/>
        </w:rPr>
        <w:t>-</w:t>
      </w:r>
      <w:r w:rsidRPr="007A1423">
        <w:rPr>
          <w:lang w:eastAsia="ko-KR"/>
        </w:rPr>
        <w:tab/>
      </w:r>
      <w:r w:rsidRPr="007A1423">
        <w:t xml:space="preserve">if UE is configured to monitor PDCCH for DCI format 4_1, </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Pr="007A1423">
        <w:t xml:space="preserve"> </w:t>
      </w:r>
      <w:r w:rsidRPr="007A1423">
        <w:rPr>
          <w:rFonts w:hint="eastAsia"/>
        </w:rPr>
        <w:t xml:space="preserve">for </w:t>
      </w:r>
      <w:r w:rsidRPr="007A1423">
        <w:t xml:space="preserve">multicast, </w:t>
      </w:r>
      <m:oMath>
        <m:sSub>
          <m:sSubPr>
            <m:ctrlPr>
              <w:rPr>
                <w:rFonts w:ascii="Cambria Math" w:hAnsi="Cambria Math"/>
              </w:rPr>
            </m:ctrlPr>
          </m:sSubPr>
          <m:e>
            <m:r>
              <w:rPr>
                <w:rFonts w:ascii="Cambria Math" w:hAnsi="Cambria Math"/>
              </w:rPr>
              <m:t>K</m:t>
            </m:r>
          </m:e>
          <m:sub>
            <m:r>
              <m:rPr>
                <m:sty m:val="p"/>
              </m:rPr>
              <w:rPr>
                <w:rFonts w:ascii="Cambria Math" w:hAnsi="Cambria Math"/>
              </w:rPr>
              <m:t>1,M</m:t>
            </m:r>
          </m:sub>
        </m:sSub>
      </m:oMath>
      <w:r w:rsidRPr="007A1423">
        <w:t>,</w:t>
      </w:r>
      <w:r w:rsidRPr="007A1423">
        <w:rPr>
          <w:rFonts w:hint="eastAsia"/>
        </w:rPr>
        <w:t xml:space="preserve"> </w:t>
      </w:r>
      <w:r w:rsidRPr="007A1423">
        <w:t xml:space="preserve">is provided by the union of </w:t>
      </w:r>
      <w:r w:rsidRPr="007A1423">
        <w:rPr>
          <w:i/>
          <w:iCs/>
        </w:rPr>
        <w:t>dl-DataToUL-ACK</w:t>
      </w:r>
      <w:r w:rsidRPr="007A1423">
        <w:t xml:space="preserve"> </w:t>
      </w:r>
      <w:r w:rsidR="000C0FF4" w:rsidRPr="00EB77CE">
        <w:t xml:space="preserve">or </w:t>
      </w:r>
      <w:r w:rsidR="000C0FF4" w:rsidRPr="00EB77CE">
        <w:rPr>
          <w:i/>
        </w:rPr>
        <w:t>DL-DataToUL-ACK-v1700</w:t>
      </w:r>
      <w:r w:rsidR="000C0FF4" w:rsidRPr="00B87175">
        <w:t xml:space="preserve"> </w:t>
      </w:r>
      <w:r w:rsidRPr="007A1423">
        <w:t xml:space="preserve">and </w:t>
      </w:r>
      <w:r w:rsidRPr="007A1423">
        <w:rPr>
          <w:i/>
          <w:iCs/>
        </w:rPr>
        <w:t>dl-DataToUL-ACK-MulticastDCI-Format4-1</w:t>
      </w:r>
      <w:r w:rsidRPr="007A1423">
        <w:rPr>
          <w:iCs/>
        </w:rPr>
        <w:t xml:space="preserve">, if provided; otherwise, </w:t>
      </w:r>
      <w:r w:rsidRPr="007A1423">
        <w:t xml:space="preserve">by the union of </w:t>
      </w:r>
      <w:r w:rsidRPr="007A1423">
        <w:rPr>
          <w:i/>
          <w:iCs/>
        </w:rPr>
        <w:t>dl-DataToUL-ACK</w:t>
      </w:r>
      <w:r w:rsidRPr="007A1423">
        <w:t xml:space="preserve"> </w:t>
      </w:r>
      <w:r w:rsidR="000C0FF4" w:rsidRPr="00EB77CE">
        <w:t xml:space="preserve">or </w:t>
      </w:r>
      <w:r w:rsidR="000C0FF4" w:rsidRPr="00EB77CE">
        <w:rPr>
          <w:i/>
        </w:rPr>
        <w:t>DL-DataToUL-ACK-v1700</w:t>
      </w:r>
      <w:r w:rsidR="000C0FF4" w:rsidRPr="000C0FF4">
        <w:rPr>
          <w:iCs/>
        </w:rPr>
        <w:t xml:space="preserve"> </w:t>
      </w:r>
      <w:r w:rsidRPr="007A1423">
        <w:t>and the slot timing values {1, 2, 3, 4, 5, 6, 7, 8}</w:t>
      </w:r>
      <w:r w:rsidR="000C0FF4">
        <w:t xml:space="preserve"> </w:t>
      </w:r>
      <w:r w:rsidR="000C0FF4" w:rsidRPr="00CA7168">
        <w:rPr>
          <w:lang w:val="en-US"/>
        </w:rPr>
        <w:t xml:space="preserve">for SCS configuration of PUCCH transmission </w:t>
      </w:r>
      <m:oMath>
        <m:r>
          <w:rPr>
            <w:rFonts w:ascii="Cambria Math" w:hAnsi="Cambria Math"/>
            <w:lang w:val="en-US"/>
          </w:rPr>
          <m:t>μ≤3</m:t>
        </m:r>
      </m:oMath>
    </w:p>
    <w:p w14:paraId="2E918B95" w14:textId="692B717A" w:rsidR="007A1423" w:rsidRPr="007A1423" w:rsidRDefault="007A1423" w:rsidP="007A1423">
      <w:pPr>
        <w:pStyle w:val="B5"/>
      </w:pPr>
      <w:r w:rsidRPr="007A1423">
        <w:rPr>
          <w:lang w:eastAsia="ko-KR"/>
        </w:rPr>
        <w:t>-</w:t>
      </w:r>
      <w:r w:rsidRPr="007A1423">
        <w:rPr>
          <w:lang w:eastAsia="ko-KR"/>
        </w:rPr>
        <w:tab/>
      </w:r>
      <w:r w:rsidRPr="007A1423">
        <w:t xml:space="preserve">otherwise, </w:t>
      </w:r>
      <m:oMath>
        <m:sSub>
          <m:sSubPr>
            <m:ctrlPr>
              <w:rPr>
                <w:rFonts w:ascii="Cambria Math" w:hAnsi="Cambria Math"/>
              </w:rPr>
            </m:ctrlPr>
          </m:sSubPr>
          <m:e>
            <m:r>
              <w:rPr>
                <w:rFonts w:ascii="Cambria Math" w:hAnsi="Cambria Math"/>
              </w:rPr>
              <m:t>K</m:t>
            </m:r>
          </m:e>
          <m:sub>
            <m:r>
              <m:rPr>
                <m:sty m:val="p"/>
              </m:rPr>
              <w:rPr>
                <w:rFonts w:ascii="Cambria Math" w:hAnsi="Cambria Math"/>
              </w:rPr>
              <m:t>1,M</m:t>
            </m:r>
          </m:sub>
        </m:sSub>
      </m:oMath>
      <w:r w:rsidRPr="007A1423">
        <w:t xml:space="preserve"> is provided by  </w:t>
      </w:r>
      <w:r w:rsidRPr="007A1423">
        <w:rPr>
          <w:i/>
          <w:iCs/>
        </w:rPr>
        <w:t>dl-DataToUL-ACK</w:t>
      </w:r>
      <w:r w:rsidRPr="007A1423">
        <w:t xml:space="preserve"> </w:t>
      </w:r>
      <w:r w:rsidR="000C0FF4" w:rsidRPr="00EB77CE">
        <w:t xml:space="preserve">or </w:t>
      </w:r>
      <w:r w:rsidR="000C0FF4" w:rsidRPr="00EB77CE">
        <w:rPr>
          <w:i/>
        </w:rPr>
        <w:t>DL-DataToUL-ACK-v1700</w:t>
      </w:r>
    </w:p>
    <w:p w14:paraId="20A48CD3" w14:textId="4EE728B2" w:rsidR="007A1423" w:rsidRPr="007A1423" w:rsidRDefault="007A1423" w:rsidP="007A1423">
      <w:pPr>
        <w:pStyle w:val="B4"/>
      </w:pPr>
      <w:r w:rsidRPr="007A1423">
        <w:rPr>
          <w:lang w:eastAsia="ko-KR"/>
        </w:rPr>
        <w:t>-</w:t>
      </w:r>
      <w:r w:rsidRPr="007A1423">
        <w:rPr>
          <w:lang w:eastAsia="ko-KR"/>
        </w:rPr>
        <w:tab/>
        <w:t>otherwise</w:t>
      </w:r>
      <w:r w:rsidRPr="007A1423">
        <w:t xml:space="preserve">, </w:t>
      </w:r>
      <m:oMath>
        <m:sSub>
          <m:sSubPr>
            <m:ctrlPr>
              <w:rPr>
                <w:rFonts w:ascii="Cambria Math" w:hAnsi="Cambria Math"/>
              </w:rPr>
            </m:ctrlPr>
          </m:sSubPr>
          <m:e>
            <m:r>
              <w:rPr>
                <w:rFonts w:ascii="Cambria Math" w:hAnsi="Cambria Math"/>
              </w:rPr>
              <m:t>K</m:t>
            </m:r>
          </m:e>
          <m:sub>
            <m:r>
              <m:rPr>
                <m:sty m:val="p"/>
              </m:rPr>
              <w:rPr>
                <w:rFonts w:ascii="Cambria Math" w:hAnsi="Cambria Math"/>
              </w:rPr>
              <m:t>1,M</m:t>
            </m:r>
          </m:sub>
        </m:sSub>
      </m:oMath>
      <w:r w:rsidRPr="007A1423">
        <w:t xml:space="preserve"> is provided by </w:t>
      </w:r>
      <w:r w:rsidRPr="007A1423">
        <w:rPr>
          <w:i/>
          <w:iCs/>
        </w:rPr>
        <w:t xml:space="preserve">dl-DataToUL-ACK-ForDCI Format4-1 </w:t>
      </w:r>
      <w:r w:rsidRPr="007A1423">
        <w:rPr>
          <w:iCs/>
        </w:rPr>
        <w:t xml:space="preserve">if provided; otherwise, </w:t>
      </w:r>
      <w:r w:rsidRPr="007A1423">
        <w:t>by the slot timing values {1, 2, 3, 4, 5, 6, 7, 8}</w:t>
      </w:r>
      <w:r w:rsidR="000C0FF4">
        <w:t xml:space="preserve"> </w:t>
      </w:r>
      <w:r w:rsidR="000C0FF4" w:rsidRPr="00CA7168">
        <w:rPr>
          <w:lang w:val="en-US"/>
        </w:rPr>
        <w:t xml:space="preserve">for SCS configuration of PUCCH transmission </w:t>
      </w:r>
      <m:oMath>
        <m:r>
          <w:rPr>
            <w:rFonts w:ascii="Cambria Math" w:hAnsi="Cambria Math"/>
            <w:lang w:val="en-US"/>
          </w:rPr>
          <m:t>μ≤3</m:t>
        </m:r>
      </m:oMath>
    </w:p>
    <w:p w14:paraId="63BB4F3F" w14:textId="77777777" w:rsidR="007A1423" w:rsidRPr="007A1423" w:rsidRDefault="007A1423" w:rsidP="007A1423">
      <w:pPr>
        <w:pStyle w:val="B3"/>
      </w:pPr>
      <w:r w:rsidRPr="007A1423">
        <w:rPr>
          <w:lang w:eastAsia="ko-KR"/>
        </w:rPr>
        <w:t>-</w:t>
      </w:r>
      <w:r w:rsidRPr="007A1423">
        <w:rPr>
          <w:lang w:eastAsia="ko-KR"/>
        </w:rPr>
        <w:tab/>
        <w:t xml:space="preserve">else, if </w:t>
      </w:r>
      <w:r w:rsidRPr="007A1423">
        <w:rPr>
          <w:lang w:val="en-US" w:eastAsia="ko-KR"/>
        </w:rPr>
        <w:t>the UE</w:t>
      </w:r>
      <w:r w:rsidRPr="007A1423">
        <w:t xml:space="preserve"> is provided </w:t>
      </w:r>
      <w:r w:rsidRPr="007A1423">
        <w:rPr>
          <w:i/>
          <w:iCs/>
        </w:rPr>
        <w:t xml:space="preserve">type1CodebookGenerationMode = </w:t>
      </w:r>
      <w:r w:rsidRPr="007A1423">
        <w:t>'mode1', the UE</w:t>
      </w:r>
    </w:p>
    <w:p w14:paraId="23DC0080" w14:textId="77777777" w:rsidR="007A1423" w:rsidRPr="007A1423" w:rsidRDefault="007A1423" w:rsidP="007A1423">
      <w:pPr>
        <w:pStyle w:val="B4"/>
      </w:pPr>
      <w:r w:rsidRPr="007A1423">
        <w:rPr>
          <w:lang w:val="en-US" w:eastAsia="ko-KR"/>
        </w:rPr>
        <w:t>-</w:t>
      </w:r>
      <w:r w:rsidRPr="007A1423">
        <w:rPr>
          <w:lang w:val="en-US" w:eastAsia="ko-KR"/>
        </w:rPr>
        <w:tab/>
        <w:t xml:space="preserve">determines a first </w:t>
      </w:r>
      <m:oMath>
        <m:sSub>
          <m:sSubPr>
            <m:ctrlPr>
              <w:rPr>
                <w:rFonts w:ascii="Cambria Math" w:hAnsi="Cambria Math"/>
                <w:i/>
              </w:rPr>
            </m:ctrlPr>
          </m:sSubPr>
          <m:e>
            <m:r>
              <w:rPr>
                <w:rFonts w:ascii="Cambria Math" w:hAnsi="Cambria Math"/>
              </w:rPr>
              <m:t>K</m:t>
            </m:r>
          </m:e>
          <m:sub>
            <m:r>
              <w:rPr>
                <w:rFonts w:ascii="Cambria Math" w:hAnsi="Cambria Math"/>
              </w:rPr>
              <m:t>1,</m:t>
            </m:r>
            <m:r>
              <m:rPr>
                <m:sty m:val="p"/>
              </m:rPr>
              <w:rPr>
                <w:rFonts w:ascii="Cambria Math" w:hAnsi="Cambria Math"/>
              </w:rPr>
              <m:t>UM</m:t>
            </m:r>
          </m:sub>
        </m:sSub>
      </m:oMath>
      <w:r w:rsidRPr="007A1423">
        <w:rPr>
          <w:lang w:val="en-US"/>
        </w:rPr>
        <w:t xml:space="preserve"> set as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r>
              <m:rPr>
                <m:sty m:val="p"/>
              </m:rPr>
              <w:rPr>
                <w:rFonts w:ascii="Cambria Math" w:hAnsi="Cambria Math"/>
              </w:rPr>
              <m:t>M</m:t>
            </m:r>
          </m:sub>
        </m:sSub>
      </m:oMath>
      <w:r w:rsidRPr="007A1423">
        <w:rPr>
          <w:lang w:val="en-US"/>
        </w:rPr>
        <w:t xml:space="preserve">, a second </w:t>
      </w:r>
      <m:oMath>
        <m:sSub>
          <m:sSubPr>
            <m:ctrlPr>
              <w:rPr>
                <w:rFonts w:ascii="Cambria Math" w:hAnsi="Cambria Math"/>
                <w:i/>
              </w:rPr>
            </m:ctrlPr>
          </m:sSubPr>
          <m:e>
            <m:r>
              <w:rPr>
                <w:rFonts w:ascii="Cambria Math" w:hAnsi="Cambria Math"/>
              </w:rPr>
              <m:t>K</m:t>
            </m:r>
          </m:e>
          <m:sub>
            <m:r>
              <w:rPr>
                <w:rFonts w:ascii="Cambria Math" w:hAnsi="Cambria Math"/>
              </w:rPr>
              <m:t>1,</m:t>
            </m:r>
            <m:r>
              <m:rPr>
                <m:sty m:val="p"/>
              </m:rPr>
              <w:rPr>
                <w:rFonts w:ascii="Cambria Math" w:hAnsi="Cambria Math"/>
              </w:rPr>
              <m:t>U\M</m:t>
            </m:r>
          </m:sub>
        </m:sSub>
      </m:oMath>
      <w:r w:rsidRPr="007A1423">
        <w:rPr>
          <w:lang w:val="en-US"/>
        </w:rPr>
        <w:t xml:space="preserve"> set as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r>
              <m:rPr>
                <m:sty m:val="p"/>
              </m:rPr>
              <w:rPr>
                <w:rFonts w:ascii="Cambria Math" w:hAnsi="Cambria Math"/>
              </w:rPr>
              <m:t>UM</m:t>
            </m:r>
          </m:sub>
        </m:sSub>
      </m:oMath>
      <w:r w:rsidRPr="007A1423">
        <w:rPr>
          <w:lang w:val="en-US"/>
        </w:rPr>
        <w:t xml:space="preserve">, and a third </w:t>
      </w:r>
      <m:oMath>
        <m:sSub>
          <m:sSubPr>
            <m:ctrlPr>
              <w:rPr>
                <w:rFonts w:ascii="Cambria Math" w:hAnsi="Cambria Math"/>
                <w:i/>
              </w:rPr>
            </m:ctrlPr>
          </m:sSubPr>
          <m:e>
            <m:r>
              <w:rPr>
                <w:rFonts w:ascii="Cambria Math" w:hAnsi="Cambria Math"/>
              </w:rPr>
              <m:t>K</m:t>
            </m:r>
          </m:e>
          <m:sub>
            <m:r>
              <w:rPr>
                <w:rFonts w:ascii="Cambria Math" w:hAnsi="Cambria Math"/>
              </w:rPr>
              <m:t>1,</m:t>
            </m:r>
            <m:r>
              <m:rPr>
                <m:sty m:val="p"/>
              </m:rPr>
              <w:rPr>
                <w:rFonts w:ascii="Cambria Math" w:hAnsi="Cambria Math"/>
              </w:rPr>
              <m:t>M\U</m:t>
            </m:r>
          </m:sub>
        </m:sSub>
      </m:oMath>
      <w:r w:rsidRPr="007A1423">
        <w:rPr>
          <w:lang w:val="en-US"/>
        </w:rPr>
        <w:t xml:space="preserve"> set as </w:t>
      </w:r>
      <m:oMath>
        <m:sSub>
          <m:sSubPr>
            <m:ctrlPr>
              <w:rPr>
                <w:rFonts w:ascii="Cambria Math" w:hAnsi="Cambria Math"/>
                <w:i/>
              </w:rPr>
            </m:ctrlPr>
          </m:sSubPr>
          <m:e>
            <m:r>
              <w:rPr>
                <w:rFonts w:ascii="Cambria Math" w:hAnsi="Cambria Math"/>
              </w:rPr>
              <m:t>K</m:t>
            </m:r>
          </m:e>
          <m:sub>
            <m:r>
              <w:rPr>
                <w:rFonts w:ascii="Cambria Math" w:hAnsi="Cambria Math"/>
              </w:rPr>
              <m:t>1,</m:t>
            </m:r>
            <m:r>
              <m:rPr>
                <m:sty m:val="p"/>
              </m:rP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r>
              <m:rPr>
                <m:sty m:val="p"/>
              </m:rPr>
              <w:rPr>
                <w:rFonts w:ascii="Cambria Math" w:hAnsi="Cambria Math"/>
              </w:rPr>
              <m:t>UM</m:t>
            </m:r>
          </m:sub>
        </m:sSub>
      </m:oMath>
    </w:p>
    <w:p w14:paraId="4A0BF575" w14:textId="14A2EFB2" w:rsidR="007A1423" w:rsidRPr="007A1423" w:rsidRDefault="007A1423" w:rsidP="007A1423">
      <w:pPr>
        <w:pStyle w:val="B4"/>
      </w:pPr>
      <w:r w:rsidRPr="007A1423">
        <w:rPr>
          <w:lang w:eastAsia="ko-KR"/>
        </w:rPr>
        <w:t>-</w:t>
      </w:r>
      <w:r w:rsidRPr="007A1423">
        <w:rPr>
          <w:lang w:eastAsia="ko-KR"/>
        </w:rPr>
        <w:tab/>
        <w:t>if the UE</w:t>
      </w:r>
      <w:r w:rsidRPr="007A1423">
        <w:t xml:space="preserve"> is configured to monitor PDCCH for DCI format 4_2, </w:t>
      </w:r>
      <w:r w:rsidRPr="007A1423">
        <w:rPr>
          <w:i/>
          <w:iCs/>
        </w:rPr>
        <w:t>dl-DataToUL-ACK</w:t>
      </w:r>
      <w:r w:rsidRPr="007A1423">
        <w:rPr>
          <w:iCs/>
        </w:rPr>
        <w:t xml:space="preserve"> </w:t>
      </w:r>
      <w:r w:rsidR="000C0FF4" w:rsidRPr="00EB77CE">
        <w:t xml:space="preserve">or </w:t>
      </w:r>
      <w:r w:rsidR="000C0FF4" w:rsidRPr="00EB77CE">
        <w:rPr>
          <w:i/>
        </w:rPr>
        <w:t>DL-DataToUL-ACK-v1700</w:t>
      </w:r>
      <w:r w:rsidR="000C0FF4" w:rsidRPr="00B87175">
        <w:t xml:space="preserve"> </w:t>
      </w:r>
      <w:r w:rsidRPr="007A1423">
        <w:rPr>
          <w:iCs/>
        </w:rPr>
        <w:t xml:space="preserve">is provided by </w:t>
      </w:r>
      <w:r w:rsidRPr="007A1423">
        <w:rPr>
          <w:i/>
          <w:iCs/>
        </w:rPr>
        <w:t>pucch-ConfigMulticast1/pucch-ConfigurationListMulticast1</w:t>
      </w:r>
      <w:r w:rsidRPr="007A1423">
        <w:t xml:space="preserve"> if provided; otherwise, by </w:t>
      </w:r>
      <w:r w:rsidRPr="007A1423">
        <w:rPr>
          <w:i/>
          <w:iCs/>
        </w:rPr>
        <w:t>pucch-Config/pucch-ConfigurationList</w:t>
      </w:r>
    </w:p>
    <w:p w14:paraId="47D463DE" w14:textId="6FC265CF" w:rsidR="007A1423" w:rsidRPr="007A1423" w:rsidRDefault="007A1423" w:rsidP="007A1423">
      <w:pPr>
        <w:pStyle w:val="B5"/>
      </w:pPr>
      <w:r>
        <w:t>-</w:t>
      </w:r>
      <w:r>
        <w:tab/>
      </w:r>
      <w:r w:rsidRPr="007A1423">
        <w:t xml:space="preserve">if UE is configured to monitor PDCCH for DCI format 4_1, </w:t>
      </w:r>
      <m:oMath>
        <m:sSub>
          <m:sSubPr>
            <m:ctrlPr>
              <w:rPr>
                <w:rFonts w:ascii="Cambria Math" w:hAnsi="Cambria Math"/>
              </w:rPr>
            </m:ctrlPr>
          </m:sSubPr>
          <m:e>
            <m:r>
              <w:rPr>
                <w:rFonts w:ascii="Cambria Math" w:hAnsi="Cambria Math"/>
              </w:rPr>
              <m:t>K</m:t>
            </m:r>
          </m:e>
          <m:sub>
            <m:r>
              <m:rPr>
                <m:sty m:val="p"/>
              </m:rPr>
              <w:rPr>
                <w:rFonts w:ascii="Cambria Math" w:hAnsi="Cambria Math"/>
              </w:rPr>
              <m:t>1,M</m:t>
            </m:r>
          </m:sub>
        </m:sSub>
      </m:oMath>
      <w:r w:rsidRPr="007A1423">
        <w:t xml:space="preserve"> is provided by the union of </w:t>
      </w:r>
      <w:r w:rsidRPr="007A1423">
        <w:rPr>
          <w:i/>
          <w:iCs/>
        </w:rPr>
        <w:t>dl-DataToUL-ACK</w:t>
      </w:r>
      <w:r w:rsidRPr="007A1423">
        <w:t xml:space="preserve"> </w:t>
      </w:r>
      <w:r w:rsidR="000C0FF4" w:rsidRPr="00EB77CE">
        <w:t xml:space="preserve">or </w:t>
      </w:r>
      <w:r w:rsidR="000C0FF4" w:rsidRPr="00EB77CE">
        <w:rPr>
          <w:i/>
        </w:rPr>
        <w:t>DL-DataToUL-ACK-v1700</w:t>
      </w:r>
      <w:r w:rsidR="000C0FF4" w:rsidRPr="000C0FF4">
        <w:rPr>
          <w:iCs/>
        </w:rPr>
        <w:t xml:space="preserve"> </w:t>
      </w:r>
      <w:r w:rsidRPr="007A1423">
        <w:rPr>
          <w:iCs/>
        </w:rPr>
        <w:t>and</w:t>
      </w:r>
      <w:r w:rsidRPr="007A1423">
        <w:t xml:space="preserve"> </w:t>
      </w:r>
      <w:r w:rsidRPr="007A1423">
        <w:rPr>
          <w:i/>
          <w:iCs/>
        </w:rPr>
        <w:t>dl-DataToUL-ACK-MulticastDCI-Format4-1</w:t>
      </w:r>
      <w:r w:rsidRPr="007A1423">
        <w:rPr>
          <w:iCs/>
        </w:rPr>
        <w:t xml:space="preserve">, if provided; otherwise, </w:t>
      </w:r>
      <w:r w:rsidRPr="007A1423">
        <w:t xml:space="preserve">by the union of </w:t>
      </w:r>
      <w:r w:rsidRPr="007A1423">
        <w:rPr>
          <w:i/>
          <w:iCs/>
        </w:rPr>
        <w:t>dl-DataToUL-ACK</w:t>
      </w:r>
      <w:r w:rsidRPr="007A1423">
        <w:t xml:space="preserve"> </w:t>
      </w:r>
      <w:r w:rsidR="000C0FF4" w:rsidRPr="00EB77CE">
        <w:t xml:space="preserve">or </w:t>
      </w:r>
      <w:r w:rsidR="000C0FF4" w:rsidRPr="00EB77CE">
        <w:rPr>
          <w:i/>
        </w:rPr>
        <w:t>DL-DataToUL-ACK-v1700</w:t>
      </w:r>
      <w:r w:rsidR="000C0FF4" w:rsidRPr="000C0FF4">
        <w:rPr>
          <w:iCs/>
        </w:rPr>
        <w:t xml:space="preserve"> </w:t>
      </w:r>
      <w:r w:rsidRPr="007A1423">
        <w:t>and the slot timing values {1, 2, 3, 4, 5, 6, 7, 8}</w:t>
      </w:r>
      <w:r w:rsidR="000C0FF4">
        <w:t xml:space="preserve"> </w:t>
      </w:r>
      <w:r w:rsidR="000C0FF4" w:rsidRPr="00CA7168">
        <w:rPr>
          <w:lang w:val="en-US"/>
        </w:rPr>
        <w:t xml:space="preserve">for SCS configuration of PUCCH transmission </w:t>
      </w:r>
      <m:oMath>
        <m:r>
          <w:rPr>
            <w:rFonts w:ascii="Cambria Math" w:hAnsi="Cambria Math"/>
            <w:lang w:val="en-US"/>
          </w:rPr>
          <m:t>μ≤3</m:t>
        </m:r>
      </m:oMath>
    </w:p>
    <w:p w14:paraId="3A0817BC" w14:textId="57DDBA0F" w:rsidR="007A1423" w:rsidRPr="007A1423" w:rsidRDefault="007A1423" w:rsidP="007A1423">
      <w:pPr>
        <w:pStyle w:val="B5"/>
      </w:pPr>
      <w:r>
        <w:t>-</w:t>
      </w:r>
      <w:r>
        <w:tab/>
      </w:r>
      <w:r w:rsidRPr="007A1423">
        <w:t xml:space="preserve">otherwise, </w:t>
      </w:r>
      <m:oMath>
        <m:sSub>
          <m:sSubPr>
            <m:ctrlPr>
              <w:rPr>
                <w:rFonts w:ascii="Cambria Math" w:hAnsi="Cambria Math"/>
              </w:rPr>
            </m:ctrlPr>
          </m:sSubPr>
          <m:e>
            <m:r>
              <w:rPr>
                <w:rFonts w:ascii="Cambria Math" w:hAnsi="Cambria Math"/>
              </w:rPr>
              <m:t>K</m:t>
            </m:r>
          </m:e>
          <m:sub>
            <m:r>
              <m:rPr>
                <m:sty m:val="p"/>
              </m:rPr>
              <w:rPr>
                <w:rFonts w:ascii="Cambria Math" w:hAnsi="Cambria Math"/>
              </w:rPr>
              <m:t>1,M</m:t>
            </m:r>
          </m:sub>
        </m:sSub>
      </m:oMath>
      <w:r w:rsidRPr="007A1423">
        <w:t xml:space="preserve"> is provided by </w:t>
      </w:r>
      <w:r w:rsidRPr="007A1423">
        <w:rPr>
          <w:i/>
          <w:iCs/>
        </w:rPr>
        <w:t>dl-DataToUL-ACK</w:t>
      </w:r>
      <w:r w:rsidRPr="007A1423">
        <w:t xml:space="preserve"> </w:t>
      </w:r>
      <w:r w:rsidR="000C0FF4" w:rsidRPr="00EB77CE">
        <w:t xml:space="preserve">or </w:t>
      </w:r>
      <w:r w:rsidR="000C0FF4" w:rsidRPr="00EB77CE">
        <w:rPr>
          <w:i/>
        </w:rPr>
        <w:t>DL-DataToUL-ACK-v1700</w:t>
      </w:r>
    </w:p>
    <w:p w14:paraId="63836A33" w14:textId="7A21717D" w:rsidR="007A1423" w:rsidRPr="007A1423" w:rsidRDefault="007A1423" w:rsidP="007A1423">
      <w:pPr>
        <w:pStyle w:val="B4"/>
      </w:pPr>
      <w:r w:rsidRPr="007A1423">
        <w:rPr>
          <w:lang w:eastAsia="ko-KR"/>
        </w:rPr>
        <w:t>-</w:t>
      </w:r>
      <w:r w:rsidRPr="007A1423">
        <w:rPr>
          <w:lang w:eastAsia="ko-KR"/>
        </w:rPr>
        <w:tab/>
        <w:t>otherwise</w:t>
      </w:r>
      <w:r w:rsidRPr="007A1423">
        <w:t xml:space="preserve">, </w:t>
      </w:r>
      <m:oMath>
        <m:sSub>
          <m:sSubPr>
            <m:ctrlPr>
              <w:rPr>
                <w:rFonts w:ascii="Cambria Math" w:hAnsi="Cambria Math"/>
              </w:rPr>
            </m:ctrlPr>
          </m:sSubPr>
          <m:e>
            <m:r>
              <w:rPr>
                <w:rFonts w:ascii="Cambria Math" w:hAnsi="Cambria Math"/>
              </w:rPr>
              <m:t>K</m:t>
            </m:r>
          </m:e>
          <m:sub>
            <m:r>
              <m:rPr>
                <m:sty m:val="p"/>
              </m:rPr>
              <w:rPr>
                <w:rFonts w:ascii="Cambria Math" w:hAnsi="Cambria Math"/>
              </w:rPr>
              <m:t>1,M</m:t>
            </m:r>
          </m:sub>
        </m:sSub>
      </m:oMath>
      <w:r w:rsidRPr="007A1423">
        <w:t xml:space="preserve"> is provided by </w:t>
      </w:r>
      <w:r w:rsidRPr="007A1423">
        <w:rPr>
          <w:i/>
          <w:iCs/>
        </w:rPr>
        <w:t xml:space="preserve">dl-DataToUL-ACK-ForDCI Format4-1 </w:t>
      </w:r>
      <w:r w:rsidRPr="007A1423">
        <w:rPr>
          <w:iCs/>
        </w:rPr>
        <w:t xml:space="preserve">if provided; otherwise, </w:t>
      </w:r>
      <w:r w:rsidRPr="007A1423">
        <w:t>by the slot timing values {1, 2, 3, 4, 5, 6, 7, 8}</w:t>
      </w:r>
      <w:r w:rsidR="000C0FF4">
        <w:t xml:space="preserve"> </w:t>
      </w:r>
      <w:r w:rsidR="000C0FF4" w:rsidRPr="00CA7168">
        <w:rPr>
          <w:lang w:val="en-US"/>
        </w:rPr>
        <w:t xml:space="preserve">for SCS configuration of PUCCH transmission </w:t>
      </w:r>
      <m:oMath>
        <m:r>
          <w:rPr>
            <w:rFonts w:ascii="Cambria Math" w:hAnsi="Cambria Math"/>
            <w:lang w:val="en-US"/>
          </w:rPr>
          <m:t>μ≤3</m:t>
        </m:r>
      </m:oMath>
    </w:p>
    <w:p w14:paraId="5F430ED7" w14:textId="77777777" w:rsidR="00EB4343" w:rsidRDefault="00C709FE" w:rsidP="00C709FE">
      <w:pPr>
        <w:pStyle w:val="B1"/>
      </w:pPr>
      <w:r w:rsidRPr="00C06B59">
        <w:rPr>
          <w:lang w:eastAsia="zh-CN"/>
        </w:rPr>
        <w:t>b)</w:t>
      </w:r>
      <w:r w:rsidRPr="00C06B59">
        <w:rPr>
          <w:lang w:eastAsia="zh-CN"/>
        </w:rPr>
        <w:tab/>
        <w:t xml:space="preserve">on a set of row indexes </w:t>
      </w:r>
      <m:oMath>
        <m:r>
          <w:rPr>
            <w:rFonts w:ascii="Cambria Math" w:hAnsi="Cambria Math"/>
          </w:rPr>
          <m:t>R</m:t>
        </m:r>
      </m:oMath>
      <w:r w:rsidRPr="00C06B59">
        <w:rPr>
          <w:lang w:val="en-US" w:eastAsia="zh-CN"/>
        </w:rPr>
        <w:t xml:space="preserve"> </w:t>
      </w:r>
      <w:r w:rsidRPr="00C06B59">
        <w:rPr>
          <w:lang w:eastAsia="zh-CN"/>
        </w:rPr>
        <w:t>of a table</w:t>
      </w:r>
      <w:r w:rsidRPr="00C06B59">
        <w:rPr>
          <w:lang w:val="en-US" w:eastAsia="zh-CN"/>
        </w:rPr>
        <w:t xml:space="preserve"> that is </w:t>
      </w:r>
      <w:r w:rsidRPr="00C06B59">
        <w:rPr>
          <w:rFonts w:hint="eastAsia"/>
          <w:lang w:eastAsia="zh-CN"/>
        </w:rPr>
        <w:t xml:space="preserve">associated with the </w:t>
      </w:r>
      <w:r w:rsidRPr="00C06B59">
        <w:rPr>
          <w:lang w:eastAsia="zh-CN"/>
        </w:rPr>
        <w:t>active</w:t>
      </w:r>
      <w:r w:rsidRPr="00C06B59">
        <w:rPr>
          <w:rFonts w:hint="eastAsia"/>
          <w:lang w:eastAsia="zh-CN"/>
        </w:rPr>
        <w:t xml:space="preserve"> DL BWP </w:t>
      </w:r>
      <w:r w:rsidRPr="00C06B59">
        <w:rPr>
          <w:lang w:eastAsia="zh-CN"/>
        </w:rPr>
        <w:t xml:space="preserve">and defining respective sets of slot </w:t>
      </w:r>
      <w:r w:rsidRPr="00C06B59">
        <w:t xml:space="preserve">offsets </w:t>
      </w:r>
      <m:oMath>
        <m:sSub>
          <m:sSubPr>
            <m:ctrlPr>
              <w:rPr>
                <w:rFonts w:ascii="Cambria Math" w:hAnsi="Cambria Math"/>
                <w:i/>
              </w:rPr>
            </m:ctrlPr>
          </m:sSubPr>
          <m:e>
            <m:r>
              <w:rPr>
                <w:rFonts w:ascii="Cambria Math" w:hAnsi="Cambria Math"/>
              </w:rPr>
              <m:t>K</m:t>
            </m:r>
          </m:e>
          <m:sub>
            <m:r>
              <w:rPr>
                <w:rFonts w:ascii="Cambria Math" w:hAnsi="Cambria Math"/>
              </w:rPr>
              <m:t>0</m:t>
            </m:r>
          </m:sub>
        </m:sSub>
      </m:oMath>
      <w:r w:rsidRPr="00C06B59">
        <w:t xml:space="preserve">, start and length indicators </w:t>
      </w:r>
      <w:r w:rsidRPr="00C06B59">
        <w:rPr>
          <w:i/>
        </w:rPr>
        <w:t>SLIV</w:t>
      </w:r>
      <w:r w:rsidRPr="00C06B59">
        <w:t>, and PDSCH mapping types for PDSCH reception</w:t>
      </w:r>
      <w:r w:rsidRPr="00C06B59">
        <w:rPr>
          <w:lang w:eastAsia="zh-CN"/>
        </w:rPr>
        <w:t xml:space="preserve"> as described in [6, TS 38.214]</w:t>
      </w:r>
      <w:r w:rsidRPr="00C06B59">
        <w:rPr>
          <w:lang w:val="en-US" w:eastAsia="zh-CN"/>
        </w:rPr>
        <w:t xml:space="preserve">, </w:t>
      </w:r>
      <w:r w:rsidRPr="00C06B59">
        <w:t xml:space="preserve">where the row indexes </w:t>
      </w:r>
      <m:oMath>
        <m:r>
          <w:rPr>
            <w:rFonts w:ascii="Cambria Math" w:hAnsi="Cambria Math"/>
          </w:rPr>
          <m:t>R</m:t>
        </m:r>
      </m:oMath>
      <w:r w:rsidRPr="00C06B59">
        <w:t xml:space="preserve"> of the table are provided by </w:t>
      </w:r>
    </w:p>
    <w:p w14:paraId="7B680BA3" w14:textId="29ACA478" w:rsidR="0082041F" w:rsidRPr="00B06CC2" w:rsidRDefault="0082041F" w:rsidP="0082041F">
      <w:pPr>
        <w:pStyle w:val="B3"/>
        <w:rPr>
          <w:lang w:val="en-US" w:eastAsia="zh-CN"/>
        </w:rPr>
      </w:pPr>
      <w:r>
        <w:t>-</w:t>
      </w:r>
      <w:r>
        <w:tab/>
      </w:r>
      <w:r w:rsidR="00C709FE" w:rsidRPr="00C06B59">
        <w:t xml:space="preserve">the union of row indexes of time domain resource allocation tables for DCI formats the UE is configured to monitor PDCCH for serving cell </w:t>
      </w:r>
      <m:oMath>
        <m:r>
          <w:rPr>
            <w:rFonts w:ascii="Cambria Math" w:hAnsi="Cambria Math"/>
          </w:rPr>
          <m:t>c</m:t>
        </m:r>
      </m:oMath>
      <w:r>
        <w:t xml:space="preserve"> </w:t>
      </w:r>
      <w:r w:rsidRPr="00B06CC2">
        <w:rPr>
          <w:lang w:val="en-US"/>
        </w:rPr>
        <w:t>if</w:t>
      </w:r>
      <w:r w:rsidRPr="00B06CC2">
        <w:rPr>
          <w:rFonts w:eastAsia="Gulim"/>
        </w:rPr>
        <w:t xml:space="preserve"> the UE is not configured to monitor PDCCH for multicast DCI formats </w:t>
      </w:r>
      <w:r w:rsidRPr="00B06CC2">
        <w:rPr>
          <w:lang w:val="en-US" w:eastAsia="zh-CN"/>
        </w:rPr>
        <w:t>for</w:t>
      </w:r>
      <w:r w:rsidRPr="00B06CC2">
        <w:rPr>
          <w:lang w:eastAsia="zh-CN"/>
        </w:rPr>
        <w:t xml:space="preserve"> serving cell </w:t>
      </w:r>
      <m:oMath>
        <m:r>
          <w:rPr>
            <w:rFonts w:ascii="Cambria Math" w:hAnsi="Cambria Math"/>
          </w:rPr>
          <m:t>c</m:t>
        </m:r>
      </m:oMath>
      <w:r w:rsidRPr="00B06CC2">
        <w:rPr>
          <w:rFonts w:eastAsia="Gulim"/>
        </w:rPr>
        <w:t xml:space="preserve">, or is not provided </w:t>
      </w:r>
      <w:r w:rsidRPr="00CD248E">
        <w:rPr>
          <w:rFonts w:eastAsia="Gulim"/>
          <w:i/>
          <w:iCs/>
        </w:rPr>
        <w:t>type1CodebookGenerationMode</w:t>
      </w:r>
      <w:r>
        <w:rPr>
          <w:rFonts w:eastAsia="Gulim"/>
          <w:i/>
          <w:iCs/>
        </w:rPr>
        <w:t xml:space="preserve"> = </w:t>
      </w:r>
      <w:r w:rsidR="005E3B15">
        <w:rPr>
          <w:rFonts w:eastAsia="Gulim"/>
        </w:rPr>
        <w:t>'</w:t>
      </w:r>
      <w:r w:rsidRPr="00CD248E">
        <w:rPr>
          <w:rFonts w:eastAsia="Gulim"/>
        </w:rPr>
        <w:t>mode1</w:t>
      </w:r>
      <w:r w:rsidR="005E3B15">
        <w:rPr>
          <w:rFonts w:eastAsia="Gulim"/>
        </w:rPr>
        <w:t>'</w:t>
      </w:r>
      <w:r w:rsidR="00893FE0">
        <w:rPr>
          <w:rFonts w:eastAsia="Gulim"/>
        </w:rPr>
        <w:t xml:space="preserve"> and is not provided </w:t>
      </w:r>
      <w:r w:rsidR="00893FE0" w:rsidRPr="00AA0413">
        <w:rPr>
          <w:i/>
          <w:iCs/>
        </w:rPr>
        <w:t>fdmed-ReceptionMulticast</w:t>
      </w:r>
      <w:r w:rsidRPr="00B06CC2">
        <w:rPr>
          <w:rFonts w:eastAsia="Gulim"/>
        </w:rPr>
        <w:t xml:space="preserve">, or, if any, for the first </w:t>
      </w:r>
      <m:oMath>
        <m:sSub>
          <m:sSubPr>
            <m:ctrlPr>
              <w:rPr>
                <w:rFonts w:ascii="Cambria Math" w:hAnsi="Cambria Math"/>
                <w:i/>
              </w:rPr>
            </m:ctrlPr>
          </m:sSubPr>
          <m:e>
            <m:r>
              <w:rPr>
                <w:rFonts w:ascii="Cambria Math" w:hAnsi="Cambria Math"/>
              </w:rPr>
              <m:t>K</m:t>
            </m:r>
          </m:e>
          <m:sub>
            <m:r>
              <w:rPr>
                <w:rFonts w:ascii="Cambria Math" w:hAnsi="Cambria Math"/>
              </w:rPr>
              <m:t>1,</m:t>
            </m:r>
            <m:r>
              <m:rPr>
                <m:sty m:val="p"/>
              </m:rPr>
              <w:rPr>
                <w:rFonts w:ascii="Cambria Math" w:hAnsi="Cambria Math"/>
              </w:rPr>
              <m:t>UM</m:t>
            </m:r>
          </m:sub>
        </m:sSub>
      </m:oMath>
      <w:r w:rsidRPr="00B06CC2">
        <w:rPr>
          <w:lang w:eastAsia="zh-CN"/>
        </w:rPr>
        <w:t xml:space="preserve"> </w:t>
      </w:r>
      <w:r w:rsidRPr="00B06CC2">
        <w:rPr>
          <w:lang w:val="en-US" w:eastAsia="zh-CN"/>
        </w:rPr>
        <w:t>set</w:t>
      </w:r>
    </w:p>
    <w:p w14:paraId="61936C9A" w14:textId="11C50955" w:rsidR="0082041F" w:rsidRDefault="0082041F" w:rsidP="0082041F">
      <w:pPr>
        <w:pStyle w:val="B3"/>
        <w:rPr>
          <w:lang w:val="en-US" w:eastAsia="zh-CN"/>
        </w:rPr>
      </w:pPr>
      <w:r>
        <w:t>-</w:t>
      </w:r>
      <w:r>
        <w:tab/>
      </w:r>
      <w:r w:rsidRPr="00B06CC2">
        <w:t xml:space="preserve">the union of row indexes of time domain resource allocation tables for DCI format </w:t>
      </w:r>
      <w:r w:rsidRPr="00B06CC2">
        <w:rPr>
          <w:lang w:val="en-US"/>
        </w:rPr>
        <w:t xml:space="preserve">1_0 and/or DCI format 1_1 and/or DCI format 1_2 </w:t>
      </w:r>
      <w:r w:rsidRPr="00B06CC2">
        <w:t xml:space="preserve">for serving cell </w:t>
      </w:r>
      <m:oMath>
        <m:r>
          <w:rPr>
            <w:rFonts w:ascii="Cambria Math" w:hAnsi="Cambria Math"/>
          </w:rPr>
          <m:t>c</m:t>
        </m:r>
      </m:oMath>
      <w:r w:rsidRPr="00B06CC2">
        <w:rPr>
          <w:lang w:val="en-US"/>
        </w:rPr>
        <w:t xml:space="preserve"> </w:t>
      </w:r>
      <w:r w:rsidR="00893FE0">
        <w:rPr>
          <w:lang w:val="en-US"/>
        </w:rPr>
        <w:t xml:space="preserve">if UE </w:t>
      </w:r>
      <w:r w:rsidR="00893FE0" w:rsidRPr="00AA0413">
        <w:t xml:space="preserve">is provided </w:t>
      </w:r>
      <w:r w:rsidR="00893FE0" w:rsidRPr="00AA0413">
        <w:rPr>
          <w:i/>
          <w:iCs/>
        </w:rPr>
        <w:t>fdmed-ReceptionMulticast,</w:t>
      </w:r>
      <w:r w:rsidR="00893FE0" w:rsidRPr="00AA0413">
        <w:t xml:space="preserve"> </w:t>
      </w:r>
      <w:r w:rsidR="00893FE0">
        <w:t xml:space="preserve">or </w:t>
      </w:r>
      <w:r w:rsidRPr="00B06CC2">
        <w:rPr>
          <w:lang w:val="en-US"/>
        </w:rPr>
        <w:t xml:space="preserve">for the second </w:t>
      </w:r>
      <m:oMath>
        <m:sSub>
          <m:sSubPr>
            <m:ctrlPr>
              <w:rPr>
                <w:rFonts w:ascii="Cambria Math" w:hAnsi="Cambria Math"/>
                <w:i/>
              </w:rPr>
            </m:ctrlPr>
          </m:sSubPr>
          <m:e>
            <m:r>
              <w:rPr>
                <w:rFonts w:ascii="Cambria Math" w:hAnsi="Cambria Math"/>
              </w:rPr>
              <m:t>K</m:t>
            </m:r>
          </m:e>
          <m:sub>
            <m:r>
              <w:rPr>
                <w:rFonts w:ascii="Cambria Math" w:hAnsi="Cambria Math"/>
              </w:rPr>
              <m:t>1,</m:t>
            </m:r>
            <m:r>
              <m:rPr>
                <m:sty m:val="p"/>
              </m:rPr>
              <w:rPr>
                <w:rFonts w:ascii="Cambria Math" w:hAnsi="Cambria Math"/>
              </w:rPr>
              <m:t>U\M</m:t>
            </m:r>
          </m:sub>
        </m:sSub>
      </m:oMath>
      <w:r w:rsidRPr="00B06CC2">
        <w:rPr>
          <w:lang w:eastAsia="zh-CN"/>
        </w:rPr>
        <w:t xml:space="preserve"> </w:t>
      </w:r>
      <w:r w:rsidRPr="00B06CC2">
        <w:rPr>
          <w:lang w:val="en-US" w:eastAsia="zh-CN"/>
        </w:rPr>
        <w:t>set, if any</w:t>
      </w:r>
    </w:p>
    <w:p w14:paraId="0D94C0FE" w14:textId="212B0244" w:rsidR="0082041F" w:rsidRPr="0082041F" w:rsidRDefault="0082041F" w:rsidP="0082041F">
      <w:pPr>
        <w:pStyle w:val="B3"/>
        <w:rPr>
          <w:lang w:val="en-US" w:eastAsia="zh-CN"/>
        </w:rPr>
      </w:pPr>
      <w:r>
        <w:t>-</w:t>
      </w:r>
      <w:r>
        <w:tab/>
      </w:r>
      <w:r w:rsidRPr="00B06CC2">
        <w:t xml:space="preserve">the union of row indexes of time domain resource allocation tables for </w:t>
      </w:r>
      <w:r w:rsidRPr="00B06CC2">
        <w:rPr>
          <w:lang w:val="en-US"/>
        </w:rPr>
        <w:t xml:space="preserve">multicast </w:t>
      </w:r>
      <w:r w:rsidRPr="00B06CC2">
        <w:t xml:space="preserve">DCI formats the UE is configured to monitor PDCCH for serving cell </w:t>
      </w:r>
      <m:oMath>
        <m:r>
          <w:rPr>
            <w:rFonts w:ascii="Cambria Math" w:hAnsi="Cambria Math"/>
          </w:rPr>
          <m:t>c</m:t>
        </m:r>
      </m:oMath>
      <w:r w:rsidRPr="00B06CC2">
        <w:rPr>
          <w:lang w:val="en-US"/>
        </w:rPr>
        <w:t xml:space="preserve"> </w:t>
      </w:r>
      <w:r w:rsidR="00893FE0" w:rsidRPr="0095411E">
        <w:rPr>
          <w:lang w:val="en-US"/>
        </w:rPr>
        <w:t xml:space="preserve">if UE </w:t>
      </w:r>
      <w:r w:rsidR="00893FE0" w:rsidRPr="0095411E">
        <w:t xml:space="preserve">is provided </w:t>
      </w:r>
      <w:r w:rsidR="00893FE0" w:rsidRPr="0095411E">
        <w:rPr>
          <w:i/>
          <w:iCs/>
        </w:rPr>
        <w:t>fdmed-ReceptionMulticast</w:t>
      </w:r>
      <w:r w:rsidR="00893FE0">
        <w:rPr>
          <w:i/>
          <w:iCs/>
        </w:rPr>
        <w:t xml:space="preserve">, </w:t>
      </w:r>
      <w:r w:rsidR="00893FE0" w:rsidRPr="0070625F">
        <w:rPr>
          <w:iCs/>
        </w:rPr>
        <w:t>or</w:t>
      </w:r>
      <w:r w:rsidR="00893FE0" w:rsidRPr="0095411E">
        <w:rPr>
          <w:lang w:val="en-US"/>
        </w:rPr>
        <w:t xml:space="preserve"> </w:t>
      </w:r>
      <w:r w:rsidRPr="00B06CC2">
        <w:rPr>
          <w:lang w:val="en-US"/>
        </w:rPr>
        <w:t xml:space="preserve">for the third </w:t>
      </w:r>
      <m:oMath>
        <m:sSub>
          <m:sSubPr>
            <m:ctrlPr>
              <w:rPr>
                <w:rFonts w:ascii="Cambria Math" w:hAnsi="Cambria Math"/>
                <w:i/>
              </w:rPr>
            </m:ctrlPr>
          </m:sSubPr>
          <m:e>
            <m:r>
              <w:rPr>
                <w:rFonts w:ascii="Cambria Math" w:hAnsi="Cambria Math"/>
              </w:rPr>
              <m:t>K</m:t>
            </m:r>
          </m:e>
          <m:sub>
            <m:r>
              <w:rPr>
                <w:rFonts w:ascii="Cambria Math" w:hAnsi="Cambria Math"/>
              </w:rPr>
              <m:t>1,</m:t>
            </m:r>
            <m:r>
              <m:rPr>
                <m:sty m:val="p"/>
              </m:rPr>
              <w:rPr>
                <w:rFonts w:ascii="Cambria Math" w:hAnsi="Cambria Math"/>
              </w:rPr>
              <m:t>M\U</m:t>
            </m:r>
          </m:sub>
        </m:sSub>
      </m:oMath>
      <w:r w:rsidRPr="00B06CC2">
        <w:rPr>
          <w:lang w:eastAsia="zh-CN"/>
        </w:rPr>
        <w:t xml:space="preserve"> </w:t>
      </w:r>
      <w:r w:rsidRPr="00B06CC2">
        <w:rPr>
          <w:lang w:val="en-US" w:eastAsia="zh-CN"/>
        </w:rPr>
        <w:t>set, if any</w:t>
      </w:r>
    </w:p>
    <w:p w14:paraId="5F2721B4" w14:textId="52C2DF29" w:rsidR="00C709FE" w:rsidRPr="00C06B59" w:rsidRDefault="00EB100D" w:rsidP="00C709FE">
      <w:pPr>
        <w:pStyle w:val="B2"/>
        <w:rPr>
          <w:lang w:eastAsia="zh-CN"/>
        </w:rPr>
      </w:pPr>
      <w:r>
        <w:rPr>
          <w:lang w:val="en-GB" w:eastAsia="zh-CN"/>
        </w:rPr>
        <w:t>-</w:t>
      </w:r>
      <w:r w:rsidR="00C709FE" w:rsidRPr="00C06B59">
        <w:rPr>
          <w:lang w:eastAsia="zh-CN"/>
        </w:rPr>
        <w:tab/>
      </w:r>
      <w:r w:rsidR="00C709FE" w:rsidRPr="00C06B59">
        <w:rPr>
          <w:lang w:val="de-AT"/>
        </w:rPr>
        <w:t xml:space="preserve">if </w:t>
      </w:r>
      <w:r w:rsidR="00C709FE" w:rsidRPr="00C06B59">
        <w:t xml:space="preserve">the UE is </w:t>
      </w:r>
      <w:r w:rsidR="00C709FE" w:rsidRPr="00C06B59">
        <w:rPr>
          <w:lang w:val="de-AT"/>
        </w:rPr>
        <w:t xml:space="preserve">provided </w:t>
      </w:r>
      <w:r w:rsidR="002F629C" w:rsidRPr="00877667">
        <w:rPr>
          <w:i/>
          <w:iCs/>
        </w:rPr>
        <w:t>referenceOfSLIVDCI-1-2</w:t>
      </w:r>
      <w:r w:rsidR="00C709FE" w:rsidRPr="00C06B59">
        <w:rPr>
          <w:lang w:val="de-AT"/>
        </w:rPr>
        <w:t xml:space="preserve">, for </w:t>
      </w:r>
      <w:r w:rsidR="00C709FE" w:rsidRPr="00C06B59">
        <w:t xml:space="preserve">each row index </w:t>
      </w:r>
      <w:r w:rsidR="00C709FE" w:rsidRPr="00C06B59">
        <w:rPr>
          <w:lang w:val="de-AT"/>
        </w:rPr>
        <w:t xml:space="preserve">with </w:t>
      </w:r>
      <w:r w:rsidR="00C709FE" w:rsidRPr="00C06B59">
        <w:t>slot offset</w:t>
      </w:r>
      <w:r w:rsidR="00C709FE" w:rsidRPr="00C06B59">
        <w:rPr>
          <w:i/>
        </w:rPr>
        <w:t xml:space="preserve"> </w:t>
      </w:r>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=0</m:t>
        </m:r>
      </m:oMath>
      <w:r w:rsidR="00C709FE" w:rsidRPr="00C06B59">
        <w:t xml:space="preserve"> and PDSCH mapping Type B in a set of row indexes of a table </w:t>
      </w:r>
      <w:r w:rsidR="00C709FE" w:rsidRPr="00C06B59">
        <w:rPr>
          <w:lang w:val="en-US"/>
        </w:rPr>
        <w:t xml:space="preserve">for DCI format 1_2 </w:t>
      </w:r>
      <w:r w:rsidR="00C709FE" w:rsidRPr="00C06B59">
        <w:t>[6, TS 38.214],</w:t>
      </w:r>
      <w:r w:rsidR="00C709FE" w:rsidRPr="00C06B59">
        <w:rPr>
          <w:lang w:val="de-AT"/>
        </w:rPr>
        <w:t xml:space="preserve"> for </w:t>
      </w:r>
      <w:r w:rsidR="00273DEF">
        <w:rPr>
          <w:lang w:val="de-AT"/>
        </w:rPr>
        <w:t>any</w:t>
      </w:r>
      <w:r w:rsidR="00C709FE" w:rsidRPr="00C06B59">
        <w:rPr>
          <w:lang w:val="de-AT"/>
        </w:rPr>
        <w:t xml:space="preserve"> PDCCH monitoring occasion </w:t>
      </w:r>
      <w:r w:rsidR="00273DEF">
        <w:rPr>
          <w:lang w:val="de-AT"/>
        </w:rPr>
        <w:t>in any slot</w:t>
      </w:r>
      <w:r w:rsidR="00C709FE" w:rsidRPr="00C06B59">
        <w:rPr>
          <w:lang w:val="de-AT"/>
        </w:rPr>
        <w:t xml:space="preserve"> where the UE monitors PDCCH for DCI format 1_2 and with starting symbol </w:t>
      </w: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&gt;0</m:t>
        </m:r>
      </m:oMath>
      <w:r w:rsidR="00C709FE" w:rsidRPr="00C06B59">
        <w:rPr>
          <w:lang w:val="de-AT"/>
        </w:rPr>
        <w:t xml:space="preserve">, if </w:t>
      </w:r>
      <m:oMath>
        <m:sSub>
          <m:sSubPr>
            <m:ctrlPr>
              <w:rPr>
                <w:rFonts w:ascii="Cambria Math" w:hAnsi="Cambria Math"/>
                <w:i/>
              </w:rPr>
            </m:ctrlPr>
          </m:sSubPr>
          <m:e>
            <m:r>
              <w:rPr>
                <w:rFonts w:ascii="Cambria Math" w:hAnsi="Cambria Math"/>
              </w:rPr>
              <m:t>S+S</m:t>
            </m:r>
          </m:e>
          <m:sub>
            <m:r>
              <w:rPr>
                <w:rFonts w:ascii="Cambria Math" w:hAnsi="Cambria Math"/>
              </w:rPr>
              <m:t>0</m:t>
            </m:r>
          </m:sub>
        </m:sSub>
        <m:r>
          <w:rPr>
            <w:rFonts w:ascii="Cambria Math" w:hAnsi="Cambria Math"/>
          </w:rPr>
          <m:t>+L≤14</m:t>
        </m:r>
      </m:oMath>
      <w:r w:rsidR="00C709FE" w:rsidRPr="00C06B59">
        <w:rPr>
          <w:lang w:eastAsia="ja-JP"/>
        </w:rPr>
        <w:t xml:space="preserve"> for normal cyclic prefix and </w:t>
      </w:r>
      <m:oMath>
        <m:sSub>
          <m:sSubPr>
            <m:ctrlPr>
              <w:rPr>
                <w:rFonts w:ascii="Cambria Math" w:hAnsi="Cambria Math"/>
                <w:i/>
              </w:rPr>
            </m:ctrlPr>
          </m:sSubPr>
          <m:e>
            <m:r>
              <w:rPr>
                <w:rFonts w:ascii="Cambria Math" w:hAnsi="Cambria Math"/>
              </w:rPr>
              <m:t>S+S</m:t>
            </m:r>
          </m:e>
          <m:sub>
            <m:r>
              <w:rPr>
                <w:rFonts w:ascii="Cambria Math" w:hAnsi="Cambria Math"/>
              </w:rPr>
              <m:t>0</m:t>
            </m:r>
          </m:sub>
        </m:sSub>
        <m:r>
          <w:rPr>
            <w:rFonts w:ascii="Cambria Math" w:hAnsi="Cambria Math"/>
          </w:rPr>
          <m:t>+L≤12</m:t>
        </m:r>
      </m:oMath>
      <w:r w:rsidR="00C709FE" w:rsidRPr="00C06B59">
        <w:rPr>
          <w:lang w:eastAsia="ja-JP"/>
        </w:rPr>
        <w:t xml:space="preserve">  for extended cyclic prefix</w:t>
      </w:r>
      <w:r w:rsidR="00C709FE" w:rsidRPr="00C06B59">
        <w:t xml:space="preserve">, </w:t>
      </w:r>
      <w:r w:rsidR="00C709FE" w:rsidRPr="00C06B59">
        <w:rPr>
          <w:lang w:val="de-AT"/>
        </w:rPr>
        <w:t xml:space="preserve">add a new row index in </w:t>
      </w:r>
      <w:r w:rsidR="00C709FE" w:rsidRPr="00C06B59">
        <w:t xml:space="preserve">the set of row indexes of </w:t>
      </w:r>
      <w:r w:rsidR="00C709FE" w:rsidRPr="00C06B59">
        <w:rPr>
          <w:lang w:val="en-US"/>
        </w:rPr>
        <w:t>the</w:t>
      </w:r>
      <w:r w:rsidR="00C709FE" w:rsidRPr="00C06B59">
        <w:t xml:space="preserve"> table by replacing the starting symbol </w:t>
      </w:r>
      <m:oMath>
        <m:r>
          <w:rPr>
            <w:rFonts w:ascii="Cambria Math" w:hAnsi="Cambria Math"/>
          </w:rPr>
          <m:t>S</m:t>
        </m:r>
      </m:oMath>
      <w:r w:rsidR="00C709FE" w:rsidRPr="00C06B59">
        <w:t xml:space="preserve"> of the row index by </w:t>
      </w:r>
      <m:oMath>
        <m:sSub>
          <m:sSubPr>
            <m:ctrlPr>
              <w:rPr>
                <w:rFonts w:ascii="Cambria Math" w:hAnsi="Cambria Math"/>
                <w:i/>
              </w:rPr>
            </m:ctrlPr>
          </m:sSubPr>
          <m:e>
            <m:r>
              <w:rPr>
                <w:rFonts w:ascii="Cambria Math" w:hAnsi="Cambria Math"/>
              </w:rPr>
              <m:t>S+S</m:t>
            </m:r>
          </m:e>
          <m:sub>
            <m:r>
              <w:rPr>
                <w:rFonts w:ascii="Cambria Math" w:hAnsi="Cambria Math"/>
              </w:rPr>
              <m:t>0</m:t>
            </m:r>
          </m:sub>
        </m:sSub>
      </m:oMath>
    </w:p>
    <w:p w14:paraId="0A677557" w14:textId="7BF130A7" w:rsidR="00AB47D9" w:rsidRPr="003565D5" w:rsidRDefault="00AB47D9" w:rsidP="00D30258">
      <w:pPr>
        <w:pStyle w:val="B1"/>
        <w:rPr>
          <w:lang w:val="en-US"/>
        </w:rPr>
      </w:pPr>
      <w:r>
        <w:rPr>
          <w:lang w:val="en-US"/>
        </w:rPr>
        <w:t>c)</w:t>
      </w:r>
      <w:r>
        <w:rPr>
          <w:lang w:val="en-US"/>
        </w:rPr>
        <w:tab/>
        <w:t xml:space="preserve">on the ratio </w:t>
      </w:r>
      <m:oMath>
        <m:sSup>
          <m:sSupPr>
            <m:ctrlPr>
              <w:rPr>
                <w:rFonts w:ascii="Cambria Math" w:hAnsi="Cambria Math"/>
                <w:i/>
                <w:lang w:val="en-US"/>
              </w:rPr>
            </m:ctrlPr>
          </m:sSupPr>
          <m:e>
            <m:r>
              <w:rPr>
                <w:rFonts w:ascii="Cambria Math" w:hAnsi="Cambria Math"/>
                <w:lang w:val="en-US"/>
              </w:rPr>
              <m:t>2</m:t>
            </m:r>
          </m:e>
          <m:sup>
            <m:sSub>
              <m:sSubPr>
                <m:ctrlPr>
                  <w:rPr>
                    <w:rFonts w:ascii="Cambria Math" w:hAnsi="Cambria Math"/>
                    <w:i/>
                  </w:rPr>
                </m:ctrlPr>
              </m:sSubPr>
              <m:e>
                <m:r>
                  <w:rPr>
                    <w:rFonts w:ascii="Cambria Math"/>
                  </w:rPr>
                  <m:t>μ</m:t>
                </m:r>
              </m:e>
              <m:sub>
                <m:r>
                  <m:rPr>
                    <m:nor/>
                  </m:rPr>
                  <w:rPr>
                    <w:rFonts w:ascii="Cambria Math"/>
                    <w:lang w:val="en-US"/>
                  </w:rPr>
                  <m:t>D</m:t>
                </m:r>
                <m:r>
                  <m:rPr>
                    <m:nor/>
                  </m:rPr>
                  <w:rPr>
                    <w:rFonts w:ascii="Cambria Math" w:hAnsi="SimSun" w:cs="SimSun"/>
                  </w:rPr>
                  <m:t>L</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rPr>
                  <m:t>μ</m:t>
                </m:r>
              </m:e>
              <m:sub>
                <m:r>
                  <m:rPr>
                    <m:nor/>
                  </m:rPr>
                  <w:rPr>
                    <w:rFonts w:ascii="Cambria Math"/>
                    <w:lang w:val="en-US"/>
                  </w:rPr>
                  <m:t>U</m:t>
                </m:r>
                <m:r>
                  <m:rPr>
                    <m:nor/>
                  </m:rPr>
                  <w:rPr>
                    <w:rFonts w:ascii="Cambria Math" w:hAnsi="SimSun" w:cs="SimSun"/>
                  </w:rPr>
                  <m:t>L</m:t>
                </m:r>
                <m:ctrlPr>
                  <w:rPr>
                    <w:rFonts w:ascii="Cambria Math" w:hAnsi="Cambria Math"/>
                  </w:rPr>
                </m:ctrlPr>
              </m:sub>
            </m:sSub>
          </m:sup>
        </m:sSup>
      </m:oMath>
      <w:r>
        <w:rPr>
          <w:lang w:val="en-US"/>
        </w:rPr>
        <w:t xml:space="preserve"> between the downlink SCS configuration </w:t>
      </w:r>
      <m:oMath>
        <m:sSub>
          <m:sSubPr>
            <m:ctrlPr>
              <w:rPr>
                <w:rFonts w:ascii="Cambria Math" w:hAnsi="Cambria Math"/>
                <w:i/>
              </w:rPr>
            </m:ctrlPr>
          </m:sSubPr>
          <m:e>
            <m:r>
              <w:rPr>
                <w:rFonts w:ascii="Cambria Math"/>
              </w:rPr>
              <m:t>μ</m:t>
            </m:r>
          </m:e>
          <m:sub>
            <m:r>
              <m:rPr>
                <m:nor/>
              </m:rPr>
              <w:rPr>
                <w:rFonts w:ascii="Cambria Math"/>
                <w:lang w:val="en-US"/>
              </w:rPr>
              <m:t>D</m:t>
            </m:r>
            <m:r>
              <m:rPr>
                <m:nor/>
              </m:rPr>
              <w:rPr>
                <w:rFonts w:ascii="Cambria Math" w:hAnsi="SimSun" w:cs="SimSun"/>
              </w:rPr>
              <m:t>L</m:t>
            </m:r>
            <m:ctrlPr>
              <w:rPr>
                <w:rFonts w:ascii="Cambria Math" w:hAnsi="Cambria Math"/>
              </w:rPr>
            </m:ctrlPr>
          </m:sub>
        </m:sSub>
      </m:oMath>
      <w:r>
        <w:rPr>
          <w:lang w:val="en-US"/>
        </w:rPr>
        <w:t xml:space="preserve"> and the uplink SCS configuration </w:t>
      </w:r>
      <m:oMath>
        <m:sSub>
          <m:sSubPr>
            <m:ctrlPr>
              <w:rPr>
                <w:rFonts w:ascii="Cambria Math" w:hAnsi="Cambria Math"/>
                <w:i/>
              </w:rPr>
            </m:ctrlPr>
          </m:sSubPr>
          <m:e>
            <m:r>
              <w:rPr>
                <w:rFonts w:ascii="Cambria Math"/>
              </w:rPr>
              <m:t>μ</m:t>
            </m:r>
          </m:e>
          <m:sub>
            <m:r>
              <m:rPr>
                <m:nor/>
              </m:rPr>
              <w:rPr>
                <w:rFonts w:ascii="Cambria Math"/>
                <w:lang w:val="en-US"/>
              </w:rPr>
              <m:t>U</m:t>
            </m:r>
            <m:r>
              <m:rPr>
                <m:nor/>
              </m:rPr>
              <w:rPr>
                <w:rFonts w:ascii="Cambria Math" w:hAnsi="SimSun" w:cs="SimSun"/>
              </w:rPr>
              <m:t>L</m:t>
            </m:r>
            <m:ctrlPr>
              <w:rPr>
                <w:rFonts w:ascii="Cambria Math" w:hAnsi="Cambria Math"/>
              </w:rPr>
            </m:ctrlPr>
          </m:sub>
        </m:sSub>
      </m:oMath>
      <w:r>
        <w:rPr>
          <w:lang w:val="en-US"/>
        </w:rPr>
        <w:t xml:space="preserve"> provided by </w:t>
      </w:r>
      <w:r w:rsidRPr="0055551A">
        <w:rPr>
          <w:i/>
          <w:lang w:val="en-US"/>
        </w:rPr>
        <w:t>subcarrierSpacing</w:t>
      </w:r>
      <w:r>
        <w:rPr>
          <w:lang w:val="en-US"/>
        </w:rPr>
        <w:t xml:space="preserve"> in </w:t>
      </w:r>
      <w:r w:rsidRPr="0055551A">
        <w:rPr>
          <w:i/>
          <w:lang w:val="en-US"/>
        </w:rPr>
        <w:t>BWP-Downlink</w:t>
      </w:r>
      <w:r>
        <w:rPr>
          <w:lang w:val="en-US"/>
        </w:rPr>
        <w:t xml:space="preserve"> and </w:t>
      </w:r>
      <w:r w:rsidRPr="0055551A">
        <w:rPr>
          <w:i/>
          <w:lang w:val="en-US"/>
        </w:rPr>
        <w:t>BWP-Uplink</w:t>
      </w:r>
      <w:r>
        <w:rPr>
          <w:i/>
          <w:lang w:val="en-US"/>
        </w:rPr>
        <w:t xml:space="preserve"> </w:t>
      </w:r>
      <w:r>
        <w:rPr>
          <w:lang w:val="en-US"/>
        </w:rPr>
        <w:t>for</w:t>
      </w:r>
      <w:r w:rsidRPr="0055551A">
        <w:rPr>
          <w:lang w:val="en-US"/>
        </w:rPr>
        <w:t xml:space="preserve"> the active DL </w:t>
      </w:r>
      <w:r>
        <w:rPr>
          <w:lang w:val="en-US"/>
        </w:rPr>
        <w:t xml:space="preserve">BWP </w:t>
      </w:r>
      <w:r w:rsidRPr="0055551A">
        <w:rPr>
          <w:lang w:val="en-US"/>
        </w:rPr>
        <w:t xml:space="preserve">and </w:t>
      </w:r>
      <w:r>
        <w:rPr>
          <w:lang w:val="en-US"/>
        </w:rPr>
        <w:t xml:space="preserve">the active </w:t>
      </w:r>
      <w:r w:rsidRPr="0055551A">
        <w:rPr>
          <w:lang w:val="en-US"/>
        </w:rPr>
        <w:t>UL BWP</w:t>
      </w:r>
      <w:r w:rsidRPr="00E341B5">
        <w:rPr>
          <w:lang w:val="en-US"/>
        </w:rPr>
        <w:t>,</w:t>
      </w:r>
      <w:r>
        <w:rPr>
          <w:lang w:val="en-US"/>
        </w:rPr>
        <w:t xml:space="preserve"> respectively</w:t>
      </w:r>
    </w:p>
    <w:p w14:paraId="5CDB73B2" w14:textId="443EB4BA" w:rsidR="00A90F55" w:rsidRPr="003901B7" w:rsidRDefault="00AB47D9" w:rsidP="00A90F55">
      <w:pPr>
        <w:pStyle w:val="B1"/>
        <w:rPr>
          <w:lang w:val="en-US"/>
        </w:rPr>
      </w:pPr>
      <w:r>
        <w:rPr>
          <w:lang w:eastAsia="zh-CN"/>
        </w:rPr>
        <w:lastRenderedPageBreak/>
        <w:t>d)</w:t>
      </w:r>
      <w:r>
        <w:rPr>
          <w:lang w:eastAsia="zh-CN"/>
        </w:rPr>
        <w:tab/>
      </w:r>
      <w:r w:rsidR="00732F63">
        <w:rPr>
          <w:lang w:val="en-US" w:eastAsia="zh-CN"/>
        </w:rPr>
        <w:t>if</w:t>
      </w:r>
      <w:r w:rsidR="00732F63" w:rsidRPr="000E57D6">
        <w:rPr>
          <w:lang w:eastAsia="zh-CN"/>
        </w:rPr>
        <w:t xml:space="preserve"> provided, on </w:t>
      </w:r>
      <w:r w:rsidR="000D7E14">
        <w:rPr>
          <w:i/>
          <w:lang w:val="en-US"/>
        </w:rPr>
        <w:t>tdd</w:t>
      </w:r>
      <w:r w:rsidR="00732F63" w:rsidRPr="00D6515C">
        <w:rPr>
          <w:i/>
          <w:lang w:val="en-US"/>
        </w:rPr>
        <w:t>-</w:t>
      </w:r>
      <w:r w:rsidR="00732F63" w:rsidRPr="00D6515C">
        <w:rPr>
          <w:i/>
        </w:rPr>
        <w:t>UL-DL-</w:t>
      </w:r>
      <w:r w:rsidR="00732F63" w:rsidRPr="00D6515C">
        <w:rPr>
          <w:i/>
          <w:lang w:val="en-US"/>
        </w:rPr>
        <w:t>ConfigurationCommon</w:t>
      </w:r>
      <w:r w:rsidR="00732F63" w:rsidRPr="00AE44D6">
        <w:t xml:space="preserve"> </w:t>
      </w:r>
      <w:r w:rsidR="00732F63">
        <w:t>and</w:t>
      </w:r>
      <w:r w:rsidR="00732F63" w:rsidRPr="00B916EC">
        <w:t xml:space="preserve"> </w:t>
      </w:r>
      <w:r w:rsidR="00445F81">
        <w:rPr>
          <w:i/>
          <w:lang w:val="en-US"/>
        </w:rPr>
        <w:t>tdd</w:t>
      </w:r>
      <w:r w:rsidR="00732F63" w:rsidRPr="00D6515C">
        <w:rPr>
          <w:i/>
          <w:lang w:val="en-US"/>
        </w:rPr>
        <w:t>-</w:t>
      </w:r>
      <w:r w:rsidR="00732F63" w:rsidRPr="00D6515C">
        <w:rPr>
          <w:i/>
        </w:rPr>
        <w:t>UL-DL-</w:t>
      </w:r>
      <w:r w:rsidR="00732F63" w:rsidRPr="00D6515C">
        <w:rPr>
          <w:i/>
          <w:lang w:val="en-US"/>
        </w:rPr>
        <w:t>C</w:t>
      </w:r>
      <w:r w:rsidR="00732F63" w:rsidRPr="00D6515C">
        <w:rPr>
          <w:i/>
        </w:rPr>
        <w:t>onfig</w:t>
      </w:r>
      <w:r w:rsidR="00445F81">
        <w:rPr>
          <w:i/>
          <w:lang w:val="en-US"/>
        </w:rPr>
        <w:t>uration</w:t>
      </w:r>
      <w:r w:rsidR="00732F63" w:rsidRPr="00D6515C">
        <w:rPr>
          <w:i/>
          <w:lang w:val="en-US"/>
        </w:rPr>
        <w:t>D</w:t>
      </w:r>
      <w:r w:rsidR="00732F63" w:rsidRPr="00D6515C">
        <w:rPr>
          <w:i/>
        </w:rPr>
        <w:t>edicated</w:t>
      </w:r>
      <w:r w:rsidR="00D508B4">
        <w:t xml:space="preserve"> as described </w:t>
      </w:r>
      <w:r w:rsidR="006F5F9E">
        <w:t>in clause</w:t>
      </w:r>
      <w:r w:rsidR="00D508B4">
        <w:t xml:space="preserve"> 11.1</w:t>
      </w:r>
      <w:r w:rsidR="00A90F55" w:rsidRPr="00A90F55">
        <w:rPr>
          <w:lang w:val="en-US"/>
        </w:rPr>
        <w:t xml:space="preserve"> </w:t>
      </w:r>
    </w:p>
    <w:p w14:paraId="019B3482" w14:textId="77777777" w:rsidR="00321D6E" w:rsidRPr="00C95508" w:rsidRDefault="00321D6E" w:rsidP="00321D6E">
      <w:pPr>
        <w:pStyle w:val="B1"/>
      </w:pPr>
      <w:r w:rsidRPr="003901B7">
        <w:rPr>
          <w:lang w:eastAsia="zh-CN"/>
        </w:rPr>
        <w:t>e)</w:t>
      </w:r>
      <w:r w:rsidRPr="003901B7">
        <w:rPr>
          <w:lang w:eastAsia="zh-CN"/>
        </w:rPr>
        <w:tab/>
      </w:r>
      <w:r w:rsidRPr="003901B7">
        <w:rPr>
          <w:lang w:val="en-US"/>
        </w:rPr>
        <w:t xml:space="preserve">if </w:t>
      </w:r>
      <w:r>
        <w:rPr>
          <w:rFonts w:eastAsia="DengXian"/>
          <w:i/>
          <w:noProof/>
          <w:lang w:val="en-US"/>
        </w:rPr>
        <w:t>ca</w:t>
      </w:r>
      <w:r w:rsidRPr="003901B7">
        <w:rPr>
          <w:rFonts w:eastAsia="DengXian"/>
          <w:i/>
          <w:noProof/>
        </w:rPr>
        <w:t>-</w:t>
      </w:r>
      <w:r>
        <w:rPr>
          <w:rFonts w:eastAsia="DengXian"/>
          <w:i/>
          <w:noProof/>
          <w:lang w:val="en-US"/>
        </w:rPr>
        <w:t>S</w:t>
      </w:r>
      <w:r w:rsidRPr="003901B7">
        <w:rPr>
          <w:rFonts w:eastAsia="DengXian"/>
          <w:i/>
          <w:noProof/>
        </w:rPr>
        <w:t>lot</w:t>
      </w:r>
      <w:r>
        <w:rPr>
          <w:rFonts w:eastAsia="DengXian"/>
          <w:i/>
          <w:noProof/>
          <w:lang w:val="en-US"/>
        </w:rPr>
        <w:t>O</w:t>
      </w:r>
      <w:r w:rsidRPr="003901B7">
        <w:rPr>
          <w:rFonts w:eastAsia="DengXian"/>
          <w:i/>
          <w:noProof/>
        </w:rPr>
        <w:t>ffset</w:t>
      </w:r>
      <w:r w:rsidRPr="003901B7">
        <w:rPr>
          <w:iCs/>
          <w:lang w:val="en-US"/>
        </w:rPr>
        <w:t xml:space="preserve"> is </w:t>
      </w:r>
      <w:r w:rsidRPr="003901B7">
        <w:rPr>
          <w:lang w:val="en-US"/>
        </w:rPr>
        <w:t xml:space="preserve">provided, on </w:t>
      </w:r>
      <m:oMath>
        <m:sSubSup>
          <m:sSubSupPr>
            <m:ctrlPr>
              <w:rPr>
                <w:rFonts w:ascii="Cambria Math" w:hAnsi="Cambria Math"/>
                <w:i/>
                <w:noProof/>
              </w:rPr>
            </m:ctrlPr>
          </m:sSubSupPr>
          <m:e>
            <m:r>
              <w:rPr>
                <w:rFonts w:ascii="Cambria Math" w:hAnsi="Cambria Math"/>
                <w:noProof/>
              </w:rPr>
              <m:t>N</m:t>
            </m:r>
          </m:e>
          <m:sub>
            <m:r>
              <m:rPr>
                <m:nor/>
              </m:rPr>
              <w:rPr>
                <w:rFonts w:ascii="Cambria Math" w:hAnsi="Cambria Math"/>
                <w:noProof/>
              </w:rPr>
              <m:t>slot,offset,</m:t>
            </m:r>
            <m:r>
              <m:rPr>
                <m:nor/>
              </m:rPr>
              <w:rPr>
                <w:rFonts w:ascii="Cambria Math" w:hAnsiTheme="minorEastAsia"/>
                <w:noProof/>
              </w:rPr>
              <m:t>c</m:t>
            </m:r>
          </m:sub>
          <m:sup>
            <m:r>
              <m:rPr>
                <m:nor/>
              </m:rPr>
              <w:rPr>
                <w:rFonts w:ascii="Cambria Math" w:hAnsi="Cambria Math"/>
                <w:noProof/>
              </w:rPr>
              <m:t>DL</m:t>
            </m:r>
          </m:sup>
        </m:sSubSup>
        <m:r>
          <w:rPr>
            <w:rFonts w:ascii="Cambria Math" w:hAnsi="Cambria Math"/>
            <w:noProof/>
          </w:rPr>
          <m:t xml:space="preserve"> </m:t>
        </m:r>
      </m:oMath>
      <w:r w:rsidRPr="003901B7">
        <w:rPr>
          <w:iCs/>
          <w:lang w:val="en-US"/>
        </w:rPr>
        <w:t xml:space="preserve">and </w:t>
      </w:r>
      <m:oMath>
        <m:sSub>
          <m:sSubPr>
            <m:ctrlPr>
              <w:rPr>
                <w:rFonts w:ascii="Cambria Math" w:hAnsi="Cambria Math"/>
                <w:i/>
              </w:rPr>
            </m:ctrlPr>
          </m:sSubPr>
          <m:e>
            <m:r>
              <w:rPr>
                <w:rFonts w:ascii="Cambria Math"/>
              </w:rPr>
              <m:t>μ</m:t>
            </m:r>
          </m:e>
          <m:sub>
            <m:r>
              <m:rPr>
                <m:nor/>
              </m:rPr>
              <w:rPr>
                <w:rFonts w:ascii="Cambria Math"/>
              </w:rPr>
              <m:t>offset</m:t>
            </m:r>
            <m:r>
              <m:rPr>
                <m:nor/>
              </m:rPr>
              <w:rPr>
                <w:rFonts w:ascii="Cambria Math"/>
                <w:lang w:val="en-US"/>
              </w:rPr>
              <m:t>,</m:t>
            </m:r>
            <m:r>
              <m:rPr>
                <m:nor/>
              </m:rPr>
              <w:rPr>
                <w:rFonts w:ascii="Cambria Math" w:hAnsi="SimSun" w:cs="SimSun"/>
              </w:rPr>
              <m:t>DL</m:t>
            </m:r>
            <m:r>
              <m:rPr>
                <m:nor/>
              </m:rPr>
              <w:rPr>
                <w:rFonts w:ascii="Cambria Math" w:hAnsi="SimSun" w:cs="SimSun"/>
                <w:lang w:val="en-US"/>
              </w:rPr>
              <m:t>,c</m:t>
            </m:r>
            <m:ctrlPr>
              <w:rPr>
                <w:rFonts w:ascii="Cambria Math" w:hAnsi="Cambria Math"/>
              </w:rPr>
            </m:ctrlPr>
          </m:sub>
        </m:sSub>
      </m:oMath>
      <w:r w:rsidRPr="003901B7">
        <w:rPr>
          <w:lang w:val="en-US"/>
        </w:rPr>
        <w:t xml:space="preserve"> </w:t>
      </w:r>
      <w:r>
        <w:rPr>
          <w:color w:val="000000" w:themeColor="text1"/>
          <w:lang w:val="en-US"/>
        </w:rPr>
        <w:t>provided by</w:t>
      </w:r>
      <w:r w:rsidRPr="00C9130A">
        <w:rPr>
          <w:color w:val="000000" w:themeColor="text1"/>
        </w:rPr>
        <w:t xml:space="preserve"> </w:t>
      </w:r>
      <w:r>
        <w:rPr>
          <w:rStyle w:val="Emphasis"/>
          <w:rFonts w:ascii="Times" w:hAnsi="Times"/>
        </w:rPr>
        <w:t>ca-SlotOffset</w:t>
      </w:r>
      <w:r w:rsidRPr="00C9130A">
        <w:rPr>
          <w:i/>
          <w:iCs/>
          <w:color w:val="000000" w:themeColor="text1"/>
          <w:sz w:val="16"/>
          <w:szCs w:val="16"/>
        </w:rPr>
        <w:t xml:space="preserve"> </w:t>
      </w:r>
      <w:r w:rsidRPr="003901B7">
        <w:rPr>
          <w:lang w:val="en-US"/>
        </w:rPr>
        <w:t xml:space="preserve">for serving cell </w:t>
      </w:r>
      <m:oMath>
        <m:r>
          <w:rPr>
            <w:rFonts w:ascii="Cambria Math" w:hAnsi="Cambria Math"/>
            <w:noProof/>
          </w:rPr>
          <m:t>c</m:t>
        </m:r>
      </m:oMath>
      <w:r w:rsidRPr="003901B7">
        <w:rPr>
          <w:lang w:val="en-US"/>
        </w:rPr>
        <w:t>,</w:t>
      </w:r>
      <w:r w:rsidRPr="003901B7">
        <w:rPr>
          <w:iCs/>
          <w:lang w:val="en-US"/>
        </w:rPr>
        <w:t xml:space="preserve"> or on</w:t>
      </w:r>
      <w:r w:rsidRPr="003901B7">
        <w:rPr>
          <w:i/>
          <w:lang w:val="en-US"/>
        </w:rPr>
        <w:t xml:space="preserve"> </w:t>
      </w:r>
      <m:oMath>
        <m:sSubSup>
          <m:sSubSupPr>
            <m:ctrlPr>
              <w:rPr>
                <w:rFonts w:ascii="Cambria Math" w:hAnsi="Cambria Math"/>
                <w:i/>
                <w:noProof/>
              </w:rPr>
            </m:ctrlPr>
          </m:sSubSupPr>
          <m:e>
            <m:r>
              <w:rPr>
                <w:rFonts w:ascii="Cambria Math" w:hAnsi="Cambria Math"/>
                <w:noProof/>
              </w:rPr>
              <m:t>N</m:t>
            </m:r>
          </m:e>
          <m:sub>
            <m:r>
              <m:rPr>
                <m:nor/>
              </m:rPr>
              <w:rPr>
                <w:rFonts w:ascii="Cambria Math" w:hAnsi="Cambria Math"/>
                <w:noProof/>
              </w:rPr>
              <m:t>slot,offset</m:t>
            </m:r>
          </m:sub>
          <m:sup>
            <m:r>
              <m:rPr>
                <m:nor/>
              </m:rPr>
              <w:rPr>
                <w:rFonts w:ascii="Cambria Math" w:hAnsi="Cambria Math"/>
                <w:noProof/>
              </w:rPr>
              <m:t>UL</m:t>
            </m:r>
          </m:sup>
        </m:sSubSup>
        <m:r>
          <w:rPr>
            <w:rFonts w:ascii="Cambria Math" w:hAnsi="Cambria Math"/>
            <w:noProof/>
          </w:rPr>
          <m:t xml:space="preserve"> </m:t>
        </m:r>
      </m:oMath>
      <w:r w:rsidRPr="003901B7">
        <w:rPr>
          <w:lang w:val="en-US"/>
        </w:rPr>
        <w:t xml:space="preserve"> and </w:t>
      </w:r>
      <m:oMath>
        <m:sSub>
          <m:sSubPr>
            <m:ctrlPr>
              <w:rPr>
                <w:rFonts w:ascii="Cambria Math" w:hAnsi="Cambria Math"/>
                <w:i/>
              </w:rPr>
            </m:ctrlPr>
          </m:sSubPr>
          <m:e>
            <m:r>
              <w:rPr>
                <w:rFonts w:ascii="Cambria Math"/>
              </w:rPr>
              <m:t>μ</m:t>
            </m:r>
          </m:e>
          <m:sub>
            <m:r>
              <m:rPr>
                <m:nor/>
              </m:rPr>
              <w:rPr>
                <w:rFonts w:ascii="Cambria Math"/>
              </w:rPr>
              <m:t>offset</m:t>
            </m:r>
            <m:r>
              <m:rPr>
                <m:nor/>
              </m:rPr>
              <w:rPr>
                <w:rFonts w:ascii="Cambria Math"/>
                <w:lang w:val="en-US"/>
              </w:rPr>
              <m:t>,</m:t>
            </m:r>
            <m:r>
              <m:rPr>
                <m:nor/>
              </m:rPr>
              <w:rPr>
                <w:rFonts w:ascii="SimSun" w:hAnsi="SimSun" w:cs="SimSun"/>
              </w:rPr>
              <m:t>U</m:t>
            </m:r>
            <m:r>
              <m:rPr>
                <m:nor/>
              </m:rPr>
              <w:rPr>
                <w:rFonts w:ascii="Cambria Math" w:hAnsi="SimSun" w:cs="SimSun"/>
              </w:rPr>
              <m:t>L</m:t>
            </m:r>
            <m:ctrlPr>
              <w:rPr>
                <w:rFonts w:ascii="Cambria Math" w:hAnsi="Cambria Math"/>
              </w:rPr>
            </m:ctrlPr>
          </m:sub>
        </m:sSub>
      </m:oMath>
      <w:r w:rsidRPr="003901B7">
        <w:rPr>
          <w:i/>
          <w:lang w:val="en-US"/>
        </w:rPr>
        <w:t xml:space="preserve"> </w:t>
      </w:r>
      <w:r>
        <w:rPr>
          <w:color w:val="000000" w:themeColor="text1"/>
          <w:lang w:val="en-US"/>
        </w:rPr>
        <w:t>provided by</w:t>
      </w:r>
      <w:r w:rsidRPr="00C9130A">
        <w:rPr>
          <w:color w:val="000000" w:themeColor="text1"/>
        </w:rPr>
        <w:t xml:space="preserve"> </w:t>
      </w:r>
      <w:r>
        <w:rPr>
          <w:rStyle w:val="Emphasis"/>
          <w:rFonts w:ascii="Times" w:hAnsi="Times"/>
        </w:rPr>
        <w:t>ca-SlotOffset</w:t>
      </w:r>
      <w:r w:rsidRPr="00C9130A">
        <w:rPr>
          <w:i/>
          <w:iCs/>
          <w:color w:val="000000" w:themeColor="text1"/>
          <w:sz w:val="16"/>
          <w:szCs w:val="16"/>
        </w:rPr>
        <w:t xml:space="preserve"> </w:t>
      </w:r>
      <w:r w:rsidRPr="003901B7">
        <w:rPr>
          <w:lang w:val="en-US"/>
        </w:rPr>
        <w:t xml:space="preserve">for the </w:t>
      </w:r>
      <w:r>
        <w:rPr>
          <w:lang w:val="en-US"/>
        </w:rPr>
        <w:t xml:space="preserve">primary </w:t>
      </w:r>
      <w:r w:rsidRPr="003901B7">
        <w:rPr>
          <w:lang w:val="en-US"/>
        </w:rPr>
        <w:t xml:space="preserve">cell, </w:t>
      </w:r>
      <w:r w:rsidRPr="003901B7">
        <w:t>as described in [4, TS 38.211]</w:t>
      </w:r>
      <w:r>
        <w:rPr>
          <w:lang w:val="en-US"/>
        </w:rPr>
        <w:t>.</w:t>
      </w:r>
    </w:p>
    <w:p w14:paraId="55E18516" w14:textId="77777777" w:rsidR="00E27E35" w:rsidRDefault="00E27E35" w:rsidP="00E27E35">
      <w:pPr>
        <w:rPr>
          <w:lang w:eastAsia="ko-KR"/>
        </w:rPr>
      </w:pPr>
      <w:r>
        <w:rPr>
          <w:lang w:eastAsia="ko-KR"/>
        </w:rPr>
        <w:t>If a UE</w:t>
      </w:r>
    </w:p>
    <w:p w14:paraId="47BB85BE" w14:textId="44C631ED" w:rsidR="00E27E35" w:rsidRDefault="00E27E35" w:rsidP="00E27E35">
      <w:pPr>
        <w:pStyle w:val="B1"/>
        <w:rPr>
          <w:rFonts w:cstheme="minorHAnsi"/>
        </w:rPr>
      </w:pPr>
      <w:r>
        <w:t>-</w:t>
      </w:r>
      <w:r>
        <w:tab/>
      </w:r>
      <w:r>
        <w:rPr>
          <w:lang w:eastAsia="ko-KR"/>
        </w:rPr>
        <w:t xml:space="preserve">is not provided </w:t>
      </w:r>
      <w:r w:rsidR="002F629C">
        <w:rPr>
          <w:rFonts w:cstheme="minorHAnsi"/>
          <w:i/>
          <w:szCs w:val="16"/>
          <w:lang w:val="en-US"/>
        </w:rPr>
        <w:t>coreset</w:t>
      </w:r>
      <w:r w:rsidRPr="00832E06">
        <w:rPr>
          <w:rFonts w:cstheme="minorHAnsi"/>
          <w:i/>
          <w:szCs w:val="16"/>
        </w:rPr>
        <w:t>PoolIndex</w:t>
      </w:r>
      <w:r>
        <w:rPr>
          <w:rFonts w:cstheme="minorHAnsi"/>
        </w:rPr>
        <w:t xml:space="preserve"> or is provided </w:t>
      </w:r>
      <w:r w:rsidR="002F629C">
        <w:rPr>
          <w:rFonts w:cstheme="minorHAnsi"/>
          <w:i/>
          <w:szCs w:val="16"/>
          <w:lang w:val="en-US"/>
        </w:rPr>
        <w:t>coreset</w:t>
      </w:r>
      <w:r w:rsidRPr="00832E06">
        <w:rPr>
          <w:rFonts w:cstheme="minorHAnsi"/>
          <w:i/>
          <w:szCs w:val="16"/>
        </w:rPr>
        <w:t>PoolIndex</w:t>
      </w:r>
      <w:r>
        <w:rPr>
          <w:rFonts w:cstheme="minorHAnsi"/>
        </w:rPr>
        <w:t xml:space="preserve"> with a value of 0 for first CORESETs on active DL BWPs of</w:t>
      </w:r>
      <w:r>
        <w:t xml:space="preserve"> </w:t>
      </w:r>
      <w:r>
        <w:rPr>
          <w:rFonts w:cstheme="minorHAnsi"/>
        </w:rPr>
        <w:t>serving cells, and</w:t>
      </w:r>
    </w:p>
    <w:p w14:paraId="0006A152" w14:textId="31664C15" w:rsidR="00E27E35" w:rsidRDefault="00E27E35" w:rsidP="00E27E35">
      <w:pPr>
        <w:pStyle w:val="B1"/>
        <w:rPr>
          <w:rFonts w:cstheme="minorHAnsi"/>
        </w:rPr>
      </w:pPr>
      <w:r>
        <w:t>-</w:t>
      </w:r>
      <w:r>
        <w:tab/>
      </w:r>
      <w:r>
        <w:rPr>
          <w:lang w:eastAsia="ko-KR"/>
        </w:rPr>
        <w:t xml:space="preserve">is provided </w:t>
      </w:r>
      <w:r w:rsidR="002F629C">
        <w:rPr>
          <w:rFonts w:cstheme="minorHAnsi"/>
          <w:i/>
          <w:szCs w:val="16"/>
          <w:lang w:val="en-US"/>
        </w:rPr>
        <w:t>coreset</w:t>
      </w:r>
      <w:r w:rsidRPr="00832E06">
        <w:rPr>
          <w:rFonts w:cstheme="minorHAnsi"/>
          <w:i/>
          <w:szCs w:val="16"/>
        </w:rPr>
        <w:t>PoolIndex</w:t>
      </w:r>
      <w:r>
        <w:rPr>
          <w:rFonts w:cstheme="minorHAnsi"/>
        </w:rPr>
        <w:t xml:space="preserve"> with a value of 1 for second CORESETs on active DL BWPs of the</w:t>
      </w:r>
      <w:r>
        <w:t xml:space="preserve"> </w:t>
      </w:r>
      <w:r>
        <w:rPr>
          <w:rFonts w:cstheme="minorHAnsi"/>
        </w:rPr>
        <w:t>serving cells, and</w:t>
      </w:r>
    </w:p>
    <w:p w14:paraId="19676B5B" w14:textId="52D58AF9" w:rsidR="00E27E35" w:rsidRPr="00425D04" w:rsidRDefault="00E27E35" w:rsidP="00E27E35">
      <w:pPr>
        <w:pStyle w:val="B1"/>
        <w:rPr>
          <w:rFonts w:cstheme="minorHAnsi"/>
        </w:rPr>
      </w:pPr>
      <w:r>
        <w:t>-</w:t>
      </w:r>
      <w:r>
        <w:tab/>
      </w:r>
      <w:r>
        <w:rPr>
          <w:lang w:eastAsia="ko-KR"/>
        </w:rPr>
        <w:t xml:space="preserve">is provided </w:t>
      </w:r>
      <w:r w:rsidR="002F629C">
        <w:rPr>
          <w:i/>
          <w:iCs/>
          <w:lang w:val="en-US"/>
        </w:rPr>
        <w:t>ackNack</w:t>
      </w:r>
      <w:r w:rsidR="002F629C" w:rsidRPr="0062743C">
        <w:rPr>
          <w:i/>
          <w:iCs/>
        </w:rPr>
        <w:t>FeedbackMode</w:t>
      </w:r>
      <w:r w:rsidR="00BB6A95">
        <w:t xml:space="preserve"> = </w:t>
      </w:r>
      <w:r w:rsidR="00BB6A95">
        <w:rPr>
          <w:i/>
          <w:iCs/>
          <w:lang w:val="en-US"/>
        </w:rPr>
        <w:t>joint</w:t>
      </w:r>
    </w:p>
    <w:p w14:paraId="2F8E4E1D" w14:textId="77777777" w:rsidR="00E27E35" w:rsidRDefault="00E27E35" w:rsidP="00A312BF">
      <w:r>
        <w:t xml:space="preserve">where </w:t>
      </w:r>
    </w:p>
    <w:p w14:paraId="01577DAF" w14:textId="77777777" w:rsidR="00E27E35" w:rsidRDefault="00E27E35" w:rsidP="00E27E35">
      <w:pPr>
        <w:pStyle w:val="B1"/>
      </w:pPr>
      <w:r>
        <w:t>-</w:t>
      </w:r>
      <w:r>
        <w:tab/>
        <w:t xml:space="preserve">a serving cell is placed in a first set </w:t>
      </w:r>
      <m:oMath>
        <m:sSub>
          <m:sSubPr>
            <m:ctrlPr>
              <w:rPr>
                <w:rFonts w:ascii="Cambria Math" w:hAnsi="Cambria Math"/>
                <w:i/>
              </w:rPr>
            </m:ctrlPr>
          </m:sSubPr>
          <m:e>
            <m:r>
              <w:rPr>
                <w:rFonts w:ascii="Cambria Math" w:hAnsi="Cambria Math"/>
              </w:rPr>
              <m:t>S</m:t>
            </m:r>
          </m:e>
          <m:sub>
            <m:r>
              <m:rPr>
                <m:nor/>
              </m:rPr>
              <m:t>0</m:t>
            </m:r>
            <m:ctrlPr>
              <w:rPr>
                <w:rFonts w:ascii="Cambria Math" w:hAnsi="Cambria Math"/>
              </w:rPr>
            </m:ctrlPr>
          </m:sub>
        </m:sSub>
      </m:oMath>
      <w:r>
        <w:t xml:space="preserve"> of </w:t>
      </w:r>
      <m:oMath>
        <m:sSubSup>
          <m:sSubSupPr>
            <m:ctrlPr>
              <w:rPr>
                <w:rFonts w:ascii="Cambria Math" w:hAnsi="Cambria Math"/>
                <w:i/>
              </w:rPr>
            </m:ctrlPr>
          </m:sSubSupPr>
          <m:e>
            <m:r>
              <w:rPr>
                <w:rFonts w:ascii="Cambria Math"/>
              </w:rPr>
              <m:t>N</m:t>
            </m:r>
          </m:e>
          <m:sub>
            <m:r>
              <m:rPr>
                <m:nor/>
              </m:rPr>
              <w:rPr>
                <w:rFonts w:ascii="Cambria Math"/>
              </w:rPr>
              <m:t>cells</m:t>
            </m:r>
            <m:ctrlPr>
              <w:rPr>
                <w:rFonts w:ascii="Cambria Math" w:hAnsi="Cambria Math"/>
              </w:rPr>
            </m:ctrlPr>
          </m:sub>
          <m:sup>
            <m:r>
              <m:rPr>
                <m:nor/>
              </m:rPr>
              <w:rPr>
                <w:rFonts w:ascii="Cambria Math"/>
              </w:rPr>
              <m:t>DL,0</m:t>
            </m:r>
            <m:ctrlPr>
              <w:rPr>
                <w:rFonts w:ascii="Cambria Math" w:hAnsi="Cambria Math"/>
              </w:rPr>
            </m:ctrlPr>
          </m:sup>
        </m:sSubSup>
      </m:oMath>
      <w:r>
        <w:t xml:space="preserve"> serving cells if the serving cell includes a first CORESET, and</w:t>
      </w:r>
    </w:p>
    <w:p w14:paraId="147D46FE" w14:textId="77777777" w:rsidR="00E27E35" w:rsidRDefault="00E27E35" w:rsidP="00E27E35">
      <w:pPr>
        <w:pStyle w:val="B1"/>
      </w:pPr>
      <w:r>
        <w:t>-</w:t>
      </w:r>
      <w:r>
        <w:tab/>
        <w:t xml:space="preserve">a serving cell is placed in a second set </w:t>
      </w:r>
      <m:oMath>
        <m:sSub>
          <m:sSubPr>
            <m:ctrlPr>
              <w:rPr>
                <w:rFonts w:ascii="Cambria Math" w:hAnsi="Cambria Math"/>
                <w:i/>
              </w:rPr>
            </m:ctrlPr>
          </m:sSubPr>
          <m:e>
            <m:r>
              <w:rPr>
                <w:rFonts w:ascii="Cambria Math" w:hAnsi="Cambria Math"/>
              </w:rPr>
              <m:t>S</m:t>
            </m:r>
          </m:e>
          <m:sub>
            <m:r>
              <m:rPr>
                <m:nor/>
              </m:rPr>
              <m:t>1</m:t>
            </m:r>
            <m:ctrlPr>
              <w:rPr>
                <w:rFonts w:ascii="Cambria Math" w:hAnsi="Cambria Math"/>
              </w:rPr>
            </m:ctrlPr>
          </m:sub>
        </m:sSub>
      </m:oMath>
      <w:r>
        <w:t xml:space="preserve"> of </w:t>
      </w:r>
      <m:oMath>
        <m:sSubSup>
          <m:sSubSupPr>
            <m:ctrlPr>
              <w:rPr>
                <w:rFonts w:ascii="Cambria Math" w:hAnsi="Cambria Math"/>
                <w:i/>
              </w:rPr>
            </m:ctrlPr>
          </m:sSubSupPr>
          <m:e>
            <m:r>
              <w:rPr>
                <w:rFonts w:ascii="Cambria Math"/>
              </w:rPr>
              <m:t>N</m:t>
            </m:r>
          </m:e>
          <m:sub>
            <m:r>
              <m:rPr>
                <m:nor/>
              </m:rPr>
              <w:rPr>
                <w:rFonts w:ascii="Cambria Math"/>
              </w:rPr>
              <m:t>cells</m:t>
            </m:r>
            <m:ctrlPr>
              <w:rPr>
                <w:rFonts w:ascii="Cambria Math" w:hAnsi="Cambria Math"/>
              </w:rPr>
            </m:ctrlPr>
          </m:sub>
          <m:sup>
            <m:r>
              <m:rPr>
                <m:nor/>
              </m:rPr>
              <w:rPr>
                <w:rFonts w:ascii="Cambria Math"/>
              </w:rPr>
              <m:t>DL,1</m:t>
            </m:r>
            <m:ctrlPr>
              <w:rPr>
                <w:rFonts w:ascii="Cambria Math" w:hAnsi="Cambria Math"/>
              </w:rPr>
            </m:ctrlPr>
          </m:sup>
        </m:sSubSup>
      </m:oMath>
      <w:r>
        <w:t xml:space="preserve"> serving cells if the serving cell includes a second CORESET, and</w:t>
      </w:r>
    </w:p>
    <w:p w14:paraId="25193C64" w14:textId="77777777" w:rsidR="00E27E35" w:rsidRDefault="00E27E35" w:rsidP="00E27E35">
      <w:pPr>
        <w:pStyle w:val="B1"/>
      </w:pPr>
      <w:r>
        <w:t>-</w:t>
      </w:r>
      <w:r>
        <w:tab/>
        <w:t>serving cells are placed in a set according to an ascending order of a serving cell index</w:t>
      </w:r>
    </w:p>
    <w:p w14:paraId="542E9D8F" w14:textId="36FE6691" w:rsidR="00E27E35" w:rsidRDefault="00E27E35" w:rsidP="00A312BF">
      <w:pPr>
        <w:rPr>
          <w:rFonts w:eastAsia="DengXian"/>
        </w:rPr>
      </w:pPr>
      <w:r>
        <w:t xml:space="preserve">the UE generates a Type-1 HARQ-ACK codebook for </w:t>
      </w:r>
      <w:r w:rsidR="001B2B3A">
        <w:t xml:space="preserve">the </w:t>
      </w:r>
      <w:r>
        <w:t xml:space="preserve">set </w:t>
      </w:r>
      <m:oMath>
        <m:sSub>
          <m:sSubPr>
            <m:ctrlPr>
              <w:rPr>
                <w:rFonts w:ascii="Cambria Math" w:hAnsi="Cambria Math"/>
                <w:i/>
              </w:rPr>
            </m:ctrlPr>
          </m:sSubPr>
          <m:e>
            <m:r>
              <w:rPr>
                <w:rFonts w:ascii="Cambria Math" w:hAnsi="Cambria Math"/>
              </w:rPr>
              <m:t>S</m:t>
            </m:r>
          </m:e>
          <m:sub>
            <m:r>
              <m:rPr>
                <m:nor/>
              </m:rPr>
              <m:t>0</m:t>
            </m:r>
            <m:ctrlPr>
              <w:rPr>
                <w:rFonts w:ascii="Cambria Math" w:hAnsi="Cambria Math"/>
              </w:rPr>
            </m:ctrlPr>
          </m:sub>
        </m:sSub>
      </m:oMath>
      <w:r w:rsidR="001B2B3A">
        <w:t xml:space="preserve"> and the set </w:t>
      </w:r>
      <m:oMath>
        <m:sSub>
          <m:sSubPr>
            <m:ctrlPr>
              <w:rPr>
                <w:rFonts w:ascii="Cambria Math" w:hAnsi="Cambria Math"/>
                <w:i/>
              </w:rPr>
            </m:ctrlPr>
          </m:sSubPr>
          <m:e>
            <m:r>
              <w:rPr>
                <w:rFonts w:ascii="Cambria Math" w:hAnsi="Cambria Math"/>
              </w:rPr>
              <m:t>S</m:t>
            </m:r>
          </m:e>
          <m:sub>
            <m:r>
              <w:rPr>
                <w:rFonts w:ascii="Cambria Math" w:hAnsi="Cambria Math"/>
              </w:rPr>
              <m:t>1</m:t>
            </m:r>
            <m:ctrlPr>
              <w:rPr>
                <w:rFonts w:ascii="Cambria Math" w:hAnsi="Cambria Math"/>
              </w:rPr>
            </m:ctrlPr>
          </m:sub>
        </m:sSub>
      </m:oMath>
      <w:r w:rsidR="001B2B3A">
        <w:t xml:space="preserve"> of serving cells separately by setting </w:t>
      </w:r>
      <m:oMath>
        <m:sSubSup>
          <m:sSubSupPr>
            <m:ctrlPr>
              <w:rPr>
                <w:rFonts w:ascii="Cambria Math" w:hAnsi="Cambria Math"/>
                <w:i/>
              </w:rPr>
            </m:ctrlPr>
          </m:sSubSupPr>
          <m:e>
            <m:sSubSup>
              <m:sSubSupPr>
                <m:ctrlPr>
                  <w:rPr>
                    <w:rFonts w:ascii="Cambria Math" w:hAnsi="Cambria Math"/>
                    <w:i/>
                  </w:rPr>
                </m:ctrlPr>
              </m:sSubSupPr>
              <m:e>
                <m:r>
                  <w:rPr>
                    <w:rFonts w:ascii="Cambria Math"/>
                  </w:rPr>
                  <m:t>N</m:t>
                </m:r>
              </m:e>
              <m:sub>
                <m:r>
                  <m:rPr>
                    <m:nor/>
                  </m:rPr>
                  <w:rPr>
                    <w:rFonts w:ascii="Cambria Math"/>
                  </w:rPr>
                  <m:t>cells</m:t>
                </m:r>
                <m:ctrlPr>
                  <w:rPr>
                    <w:rFonts w:ascii="Cambria Math" w:hAnsi="Cambria Math"/>
                  </w:rPr>
                </m:ctrlPr>
              </m:sub>
              <m:sup>
                <m:r>
                  <m:rPr>
                    <m:nor/>
                  </m:rPr>
                  <w:rPr>
                    <w:rFonts w:ascii="Cambria Math"/>
                  </w:rPr>
                  <m:t>DL</m:t>
                </m:r>
                <m:ctrlPr>
                  <w:rPr>
                    <w:rFonts w:ascii="Cambria Math" w:hAnsi="Cambria Math"/>
                  </w:rPr>
                </m:ctrlPr>
              </m:sup>
            </m:sSubSup>
            <m:r>
              <w:rPr>
                <w:rFonts w:ascii="Cambria Math"/>
              </w:rPr>
              <m:t>=N</m:t>
            </m:r>
          </m:e>
          <m:sub>
            <m:r>
              <m:rPr>
                <m:nor/>
              </m:rPr>
              <w:rPr>
                <w:rFonts w:ascii="Cambria Math"/>
              </w:rPr>
              <m:t>cells</m:t>
            </m:r>
            <m:ctrlPr>
              <w:rPr>
                <w:rFonts w:ascii="Cambria Math" w:hAnsi="Cambria Math"/>
              </w:rPr>
            </m:ctrlPr>
          </m:sub>
          <m:sup>
            <m:r>
              <m:rPr>
                <m:nor/>
              </m:rPr>
              <w:rPr>
                <w:rFonts w:ascii="Cambria Math"/>
              </w:rPr>
              <m:t>DL,0</m:t>
            </m:r>
            <m:ctrlPr>
              <w:rPr>
                <w:rFonts w:ascii="Cambria Math" w:hAnsi="Cambria Math"/>
              </w:rPr>
            </m:ctrlPr>
          </m:sup>
        </m:sSubSup>
      </m:oMath>
      <w:r w:rsidR="001B2B3A" w:rsidRPr="001174DC">
        <w:rPr>
          <w:rFonts w:eastAsia="DengXian"/>
        </w:rPr>
        <w:t xml:space="preserve"> and </w:t>
      </w:r>
      <m:oMath>
        <m:sSubSup>
          <m:sSubSupPr>
            <m:ctrlPr>
              <w:rPr>
                <w:rFonts w:ascii="Cambria Math" w:hAnsi="Cambria Math"/>
                <w:i/>
              </w:rPr>
            </m:ctrlPr>
          </m:sSubSupPr>
          <m:e>
            <m:sSubSup>
              <m:sSubSupPr>
                <m:ctrlPr>
                  <w:rPr>
                    <w:rFonts w:ascii="Cambria Math" w:hAnsi="Cambria Math"/>
                    <w:i/>
                  </w:rPr>
                </m:ctrlPr>
              </m:sSubSupPr>
              <m:e>
                <m:r>
                  <w:rPr>
                    <w:rFonts w:ascii="Cambria Math"/>
                  </w:rPr>
                  <m:t>N</m:t>
                </m:r>
              </m:e>
              <m:sub>
                <m:r>
                  <m:rPr>
                    <m:nor/>
                  </m:rPr>
                  <w:rPr>
                    <w:rFonts w:ascii="Cambria Math"/>
                  </w:rPr>
                  <m:t>cells</m:t>
                </m:r>
                <m:ctrlPr>
                  <w:rPr>
                    <w:rFonts w:ascii="Cambria Math" w:hAnsi="Cambria Math"/>
                  </w:rPr>
                </m:ctrlPr>
              </m:sub>
              <m:sup>
                <m:r>
                  <m:rPr>
                    <m:nor/>
                  </m:rPr>
                  <w:rPr>
                    <w:rFonts w:ascii="Cambria Math"/>
                  </w:rPr>
                  <m:t>DL</m:t>
                </m:r>
                <m:ctrlPr>
                  <w:rPr>
                    <w:rFonts w:ascii="Cambria Math" w:hAnsi="Cambria Math"/>
                  </w:rPr>
                </m:ctrlPr>
              </m:sup>
            </m:sSubSup>
            <m:r>
              <w:rPr>
                <w:rFonts w:ascii="Cambria Math"/>
              </w:rPr>
              <m:t>=N</m:t>
            </m:r>
          </m:e>
          <m:sub>
            <m:r>
              <m:rPr>
                <m:nor/>
              </m:rPr>
              <w:rPr>
                <w:rFonts w:ascii="Cambria Math"/>
              </w:rPr>
              <m:t>cells</m:t>
            </m:r>
            <m:ctrlPr>
              <w:rPr>
                <w:rFonts w:ascii="Cambria Math" w:hAnsi="Cambria Math"/>
              </w:rPr>
            </m:ctrlPr>
          </m:sub>
          <m:sup>
            <m:r>
              <m:rPr>
                <m:nor/>
              </m:rPr>
              <w:rPr>
                <w:rFonts w:ascii="Cambria Math"/>
              </w:rPr>
              <m:t>DL,1</m:t>
            </m:r>
            <m:ctrlPr>
              <w:rPr>
                <w:rFonts w:ascii="Cambria Math" w:hAnsi="Cambria Math"/>
              </w:rPr>
            </m:ctrlPr>
          </m:sup>
        </m:sSubSup>
      </m:oMath>
      <w:r w:rsidR="001B2B3A">
        <w:rPr>
          <w:rFonts w:eastAsia="DengXian"/>
        </w:rPr>
        <w:t xml:space="preserve"> in the following pseudo-code. The UE concatenates the HARQ-ACK codebook generated for the set </w:t>
      </w:r>
      <m:oMath>
        <m:sSub>
          <m:sSubPr>
            <m:ctrlPr>
              <w:rPr>
                <w:rFonts w:ascii="Cambria Math" w:hAnsi="Cambria Math"/>
                <w:i/>
              </w:rPr>
            </m:ctrlPr>
          </m:sSubPr>
          <m:e>
            <m:r>
              <w:rPr>
                <w:rFonts w:ascii="Cambria Math" w:hAnsi="Cambria Math"/>
              </w:rPr>
              <m:t>S</m:t>
            </m:r>
          </m:e>
          <m:sub>
            <m:r>
              <m:rPr>
                <m:nor/>
              </m:rPr>
              <m:t>0</m:t>
            </m:r>
            <m:ctrlPr>
              <w:rPr>
                <w:rFonts w:ascii="Cambria Math" w:hAnsi="Cambria Math"/>
              </w:rPr>
            </m:ctrlPr>
          </m:sub>
        </m:sSub>
      </m:oMath>
      <w:r w:rsidR="001B2B3A">
        <w:rPr>
          <w:rFonts w:eastAsia="DengXian"/>
        </w:rPr>
        <w:t xml:space="preserve"> followed by the HARQ-ACK codebook generated for the set </w:t>
      </w:r>
      <m:oMath>
        <m:sSub>
          <m:sSubPr>
            <m:ctrlPr>
              <w:rPr>
                <w:rFonts w:ascii="Cambria Math" w:hAnsi="Cambria Math"/>
                <w:i/>
              </w:rPr>
            </m:ctrlPr>
          </m:sSubPr>
          <m:e>
            <m:r>
              <w:rPr>
                <w:rFonts w:ascii="Cambria Math" w:hAnsi="Cambria Math"/>
              </w:rPr>
              <m:t>S</m:t>
            </m:r>
          </m:e>
          <m:sub>
            <m:r>
              <w:rPr>
                <w:rFonts w:ascii="Cambria Math" w:hAnsi="Cambria Math"/>
              </w:rPr>
              <m:t>1</m:t>
            </m:r>
            <m:ctrlPr>
              <w:rPr>
                <w:rFonts w:ascii="Cambria Math" w:hAnsi="Cambria Math"/>
              </w:rPr>
            </m:ctrlPr>
          </m:sub>
        </m:sSub>
      </m:oMath>
      <w:r w:rsidR="001B2B3A">
        <w:rPr>
          <w:rFonts w:eastAsia="DengXian"/>
        </w:rPr>
        <w:t xml:space="preserve"> to obtain a total number of </w:t>
      </w:r>
      <m:oMath>
        <m:sSub>
          <m:sSubPr>
            <m:ctrlPr>
              <w:rPr>
                <w:rFonts w:ascii="Cambria Math" w:hAnsi="Cambria Math"/>
                <w:i/>
              </w:rPr>
            </m:ctrlPr>
          </m:sSubPr>
          <m:e>
            <m:r>
              <w:rPr>
                <w:rFonts w:ascii="Cambria Math"/>
              </w:rPr>
              <m:t>O</m:t>
            </m:r>
          </m:e>
          <m:sub>
            <m:r>
              <m:rPr>
                <m:nor/>
              </m:rPr>
              <w:rPr>
                <w:rFonts w:ascii="Cambria Math" w:hAnsi="SimSun" w:cs="SimSun"/>
              </w:rPr>
              <m:t>ACK</m:t>
            </m:r>
            <m:ctrlPr>
              <w:rPr>
                <w:rFonts w:ascii="Cambria Math" w:hAnsi="Cambria Math"/>
              </w:rPr>
            </m:ctrlPr>
          </m:sub>
        </m:sSub>
      </m:oMath>
      <w:r w:rsidR="001B2B3A">
        <w:rPr>
          <w:rFonts w:eastAsia="DengXian"/>
        </w:rPr>
        <w:t xml:space="preserve"> HARQ-ACK information bits.</w:t>
      </w:r>
    </w:p>
    <w:p w14:paraId="3455907C" w14:textId="606DE1E7" w:rsidR="0082041F" w:rsidRPr="00B06CC2" w:rsidRDefault="0082041F" w:rsidP="0082041F">
      <w:pPr>
        <w:rPr>
          <w:lang w:eastAsia="ko-KR"/>
        </w:rPr>
      </w:pPr>
      <w:r w:rsidRPr="00B06CC2">
        <w:rPr>
          <w:lang w:eastAsia="ko-KR"/>
        </w:rPr>
        <w:t xml:space="preserve">If a UE is provided </w:t>
      </w:r>
      <w:r w:rsidRPr="00B06CC2">
        <w:rPr>
          <w:i/>
          <w:iCs/>
          <w:lang w:eastAsia="ko-KR"/>
        </w:rPr>
        <w:t>fdmed-ReceptionMulticast</w:t>
      </w:r>
      <w:r w:rsidRPr="00B06CC2">
        <w:rPr>
          <w:lang w:eastAsia="ko-KR"/>
        </w:rPr>
        <w:t xml:space="preserve"> and the UE is configured to monitor PDCCH for detection of unicast DCI formats and to monitor PDCCH for detection of multicast DCI format</w:t>
      </w:r>
      <w:r>
        <w:rPr>
          <w:lang w:eastAsia="ko-KR"/>
        </w:rPr>
        <w:t>s</w:t>
      </w:r>
      <w:r w:rsidRPr="00B06CC2">
        <w:rPr>
          <w:lang w:eastAsia="ko-KR"/>
        </w:rPr>
        <w:t xml:space="preserve"> </w:t>
      </w:r>
    </w:p>
    <w:p w14:paraId="5194A26A" w14:textId="77777777" w:rsidR="0082041F" w:rsidRPr="00B06CC2" w:rsidRDefault="0082041F" w:rsidP="0082041F">
      <w:pPr>
        <w:pStyle w:val="B1"/>
      </w:pPr>
      <w:r w:rsidRPr="00B06CC2">
        <w:t>-</w:t>
      </w:r>
      <w:r w:rsidRPr="00B06CC2">
        <w:tab/>
        <w:t xml:space="preserve">a serving cell is placed in a first set </w:t>
      </w:r>
      <m:oMath>
        <m:sSub>
          <m:sSubPr>
            <m:ctrlPr>
              <w:rPr>
                <w:rFonts w:ascii="Cambria Math" w:hAnsi="Cambria Math"/>
                <w:i/>
              </w:rPr>
            </m:ctrlPr>
          </m:sSubPr>
          <m:e>
            <m:r>
              <w:rPr>
                <w:rFonts w:ascii="Cambria Math" w:hAnsi="Cambria Math"/>
              </w:rPr>
              <m:t>S</m:t>
            </m:r>
          </m:e>
          <m:sub>
            <m:r>
              <m:rPr>
                <m:nor/>
              </m:rPr>
              <m:t>U</m:t>
            </m:r>
            <m:ctrlPr>
              <w:rPr>
                <w:rFonts w:ascii="Cambria Math" w:hAnsi="Cambria Math"/>
              </w:rPr>
            </m:ctrlPr>
          </m:sub>
        </m:sSub>
      </m:oMath>
      <w:r w:rsidRPr="00B06CC2">
        <w:t xml:space="preserve"> of </w:t>
      </w:r>
      <m:oMath>
        <m:sSubSup>
          <m:sSubSupPr>
            <m:ctrlPr>
              <w:rPr>
                <w:rFonts w:ascii="Cambria Math" w:hAnsi="Cambria Math"/>
                <w:i/>
              </w:rPr>
            </m:ctrlPr>
          </m:sSubSupPr>
          <m:e>
            <m:r>
              <w:rPr>
                <w:rFonts w:ascii="Cambria Math"/>
              </w:rPr>
              <m:t>N</m:t>
            </m:r>
          </m:e>
          <m:sub>
            <m:r>
              <m:rPr>
                <m:nor/>
              </m:rPr>
              <w:rPr>
                <w:rFonts w:ascii="Cambria Math"/>
              </w:rPr>
              <m:t>cells</m:t>
            </m:r>
            <m:ctrlPr>
              <w:rPr>
                <w:rFonts w:ascii="Cambria Math" w:hAnsi="Cambria Math"/>
              </w:rPr>
            </m:ctrlPr>
          </m:sub>
          <m:sup>
            <m:r>
              <m:rPr>
                <m:nor/>
              </m:rPr>
              <w:rPr>
                <w:rFonts w:ascii="Cambria Math"/>
              </w:rPr>
              <m:t>DL,U</m:t>
            </m:r>
            <m:ctrlPr>
              <w:rPr>
                <w:rFonts w:ascii="Cambria Math" w:hAnsi="Cambria Math"/>
              </w:rPr>
            </m:ctrlPr>
          </m:sup>
        </m:sSubSup>
      </m:oMath>
      <w:r w:rsidRPr="00B06CC2">
        <w:t xml:space="preserve"> serving cells if the UE is configured to monitor PDCCH </w:t>
      </w:r>
      <w:r w:rsidRPr="00B06CC2">
        <w:rPr>
          <w:lang w:val="en-US"/>
        </w:rPr>
        <w:t>for</w:t>
      </w:r>
      <w:r w:rsidRPr="00B06CC2">
        <w:t xml:space="preserve"> DCI formats 1_0/1_1/1_2 </w:t>
      </w:r>
      <w:r w:rsidRPr="00B06CC2">
        <w:rPr>
          <w:lang w:val="en-US" w:eastAsia="zh-CN"/>
        </w:rPr>
        <w:t>for</w:t>
      </w:r>
      <w:r w:rsidRPr="00B06CC2">
        <w:rPr>
          <w:lang w:eastAsia="zh-CN"/>
        </w:rPr>
        <w:t xml:space="preserve"> scheduling on serving cell </w:t>
      </w:r>
      <m:oMath>
        <m:r>
          <w:rPr>
            <w:rFonts w:ascii="Cambria Math" w:hAnsi="Cambria Math"/>
          </w:rPr>
          <m:t>c</m:t>
        </m:r>
      </m:oMath>
      <w:r w:rsidRPr="00B06CC2">
        <w:t>, and</w:t>
      </w:r>
    </w:p>
    <w:p w14:paraId="4E278D48" w14:textId="77777777" w:rsidR="0082041F" w:rsidRPr="00B06CC2" w:rsidRDefault="0082041F" w:rsidP="0082041F">
      <w:pPr>
        <w:pStyle w:val="B1"/>
      </w:pPr>
      <w:r w:rsidRPr="00B06CC2">
        <w:t>-</w:t>
      </w:r>
      <w:r w:rsidRPr="00B06CC2">
        <w:tab/>
        <w:t xml:space="preserve">a serving cell is placed in a </w:t>
      </w:r>
      <w:r w:rsidRPr="00B06CC2">
        <w:rPr>
          <w:lang w:val="en-US"/>
        </w:rPr>
        <w:t>second</w:t>
      </w:r>
      <w:r w:rsidRPr="00B06CC2">
        <w:t xml:space="preserve"> set </w:t>
      </w:r>
      <m:oMath>
        <m:sSub>
          <m:sSubPr>
            <m:ctrlPr>
              <w:rPr>
                <w:rFonts w:ascii="Cambria Math" w:hAnsi="Cambria Math"/>
                <w:i/>
              </w:rPr>
            </m:ctrlPr>
          </m:sSubPr>
          <m:e>
            <m:r>
              <w:rPr>
                <w:rFonts w:ascii="Cambria Math" w:hAnsi="Cambria Math"/>
              </w:rPr>
              <m:t>S</m:t>
            </m:r>
          </m:e>
          <m:sub>
            <m:r>
              <m:rPr>
                <m:nor/>
              </m:rPr>
              <w:rPr>
                <w:lang w:val="en-US"/>
              </w:rPr>
              <m:t>M</m:t>
            </m:r>
            <m:ctrlPr>
              <w:rPr>
                <w:rFonts w:ascii="Cambria Math" w:hAnsi="Cambria Math"/>
              </w:rPr>
            </m:ctrlPr>
          </m:sub>
        </m:sSub>
      </m:oMath>
      <w:r w:rsidRPr="00B06CC2">
        <w:t xml:space="preserve"> of </w:t>
      </w:r>
      <m:oMath>
        <m:sSubSup>
          <m:sSubSupPr>
            <m:ctrlPr>
              <w:rPr>
                <w:rFonts w:ascii="Cambria Math" w:hAnsi="Cambria Math"/>
                <w:i/>
              </w:rPr>
            </m:ctrlPr>
          </m:sSubSupPr>
          <m:e>
            <m:r>
              <w:rPr>
                <w:rFonts w:ascii="Cambria Math"/>
              </w:rPr>
              <m:t>N</m:t>
            </m:r>
          </m:e>
          <m:sub>
            <m:r>
              <m:rPr>
                <m:nor/>
              </m:rPr>
              <w:rPr>
                <w:rFonts w:ascii="Cambria Math"/>
              </w:rPr>
              <m:t>cells</m:t>
            </m:r>
            <m:ctrlPr>
              <w:rPr>
                <w:rFonts w:ascii="Cambria Math" w:hAnsi="Cambria Math"/>
              </w:rPr>
            </m:ctrlPr>
          </m:sub>
          <m:sup>
            <m:r>
              <m:rPr>
                <m:nor/>
              </m:rPr>
              <w:rPr>
                <w:rFonts w:ascii="Cambria Math"/>
              </w:rPr>
              <m:t>DL,</m:t>
            </m:r>
            <m:r>
              <m:rPr>
                <m:nor/>
              </m:rPr>
              <w:rPr>
                <w:rFonts w:ascii="Cambria Math"/>
                <w:lang w:val="en-US"/>
              </w:rPr>
              <m:t>M</m:t>
            </m:r>
            <m:ctrlPr>
              <w:rPr>
                <w:rFonts w:ascii="Cambria Math" w:hAnsi="Cambria Math"/>
              </w:rPr>
            </m:ctrlPr>
          </m:sup>
        </m:sSubSup>
      </m:oMath>
      <w:r w:rsidRPr="00B06CC2">
        <w:t xml:space="preserve"> serving cells if the UE is configured to monitor PDCCH </w:t>
      </w:r>
      <w:r w:rsidRPr="00B06CC2">
        <w:rPr>
          <w:lang w:val="en-US"/>
        </w:rPr>
        <w:t>for</w:t>
      </w:r>
      <w:r w:rsidRPr="00B06CC2">
        <w:t xml:space="preserve"> </w:t>
      </w:r>
      <w:r>
        <w:rPr>
          <w:lang w:val="en-US"/>
        </w:rPr>
        <w:t>detection of</w:t>
      </w:r>
      <w:r w:rsidRPr="00B06CC2">
        <w:rPr>
          <w:lang w:val="en-US"/>
        </w:rPr>
        <w:t xml:space="preserve"> </w:t>
      </w:r>
      <w:r w:rsidRPr="00B06CC2">
        <w:t xml:space="preserve">DCI format </w:t>
      </w:r>
      <w:r>
        <w:rPr>
          <w:lang w:val="en-US"/>
        </w:rPr>
        <w:t xml:space="preserve">4_1/4_2 </w:t>
      </w:r>
      <w:r w:rsidRPr="00B06CC2">
        <w:rPr>
          <w:lang w:val="en-US" w:eastAsia="zh-CN"/>
        </w:rPr>
        <w:t>for</w:t>
      </w:r>
      <w:r w:rsidRPr="00B06CC2">
        <w:rPr>
          <w:lang w:eastAsia="zh-CN"/>
        </w:rPr>
        <w:t xml:space="preserve"> scheduling on serving cell </w:t>
      </w:r>
      <m:oMath>
        <m:r>
          <w:rPr>
            <w:rFonts w:ascii="Cambria Math" w:hAnsi="Cambria Math"/>
          </w:rPr>
          <m:t>c</m:t>
        </m:r>
      </m:oMath>
      <w:r w:rsidRPr="00B06CC2">
        <w:t>, and</w:t>
      </w:r>
    </w:p>
    <w:p w14:paraId="5E63D5A7" w14:textId="77777777" w:rsidR="0082041F" w:rsidRPr="00B06CC2" w:rsidRDefault="0082041F" w:rsidP="0082041F">
      <w:pPr>
        <w:pStyle w:val="B1"/>
      </w:pPr>
      <w:r w:rsidRPr="00B06CC2">
        <w:t>-</w:t>
      </w:r>
      <w:r w:rsidRPr="00B06CC2">
        <w:tab/>
        <w:t>serving cells are placed in a set according to an ascending order of a serving cell index</w:t>
      </w:r>
    </w:p>
    <w:p w14:paraId="370840FC" w14:textId="3F5EE289" w:rsidR="0082041F" w:rsidRPr="00B06CC2" w:rsidRDefault="0082041F" w:rsidP="0082041F">
      <w:r w:rsidRPr="00B06CC2">
        <w:t xml:space="preserve">the UE generates a Type-1 HARQ-ACK codebook for the set </w:t>
      </w:r>
      <m:oMath>
        <m:sSub>
          <m:sSubPr>
            <m:ctrlPr>
              <w:rPr>
                <w:rFonts w:ascii="Cambria Math" w:hAnsi="Cambria Math"/>
                <w:i/>
              </w:rPr>
            </m:ctrlPr>
          </m:sSubPr>
          <m:e>
            <m:r>
              <w:rPr>
                <w:rFonts w:ascii="Cambria Math" w:hAnsi="Cambria Math"/>
              </w:rPr>
              <m:t>S</m:t>
            </m:r>
          </m:e>
          <m:sub>
            <m:r>
              <m:rPr>
                <m:nor/>
              </m:rPr>
              <m:t>U</m:t>
            </m:r>
            <m:ctrlPr>
              <w:rPr>
                <w:rFonts w:ascii="Cambria Math" w:hAnsi="Cambria Math"/>
              </w:rPr>
            </m:ctrlPr>
          </m:sub>
        </m:sSub>
      </m:oMath>
      <w:r w:rsidRPr="00B06CC2">
        <w:t xml:space="preserve"> and the set </w:t>
      </w:r>
      <m:oMath>
        <m:sSub>
          <m:sSubPr>
            <m:ctrlPr>
              <w:rPr>
                <w:rFonts w:ascii="Cambria Math" w:hAnsi="Cambria Math"/>
                <w:i/>
              </w:rPr>
            </m:ctrlPr>
          </m:sSubPr>
          <m:e>
            <m:r>
              <w:rPr>
                <w:rFonts w:ascii="Cambria Math" w:hAnsi="Cambria Math"/>
              </w:rPr>
              <m:t>S</m:t>
            </m:r>
          </m:e>
          <m:sub>
            <m:r>
              <m:rPr>
                <m:sty m:val="p"/>
              </m:rPr>
              <w:rPr>
                <w:rFonts w:ascii="Cambria Math" w:hAnsi="Cambria Math"/>
              </w:rPr>
              <m:t>M</m:t>
            </m:r>
            <m:ctrlPr>
              <w:rPr>
                <w:rFonts w:ascii="Cambria Math" w:hAnsi="Cambria Math"/>
              </w:rPr>
            </m:ctrlPr>
          </m:sub>
        </m:sSub>
      </m:oMath>
      <w:r w:rsidRPr="00B06CC2">
        <w:t xml:space="preserve"> of serving cells separately by setting </w:t>
      </w:r>
      <m:oMath>
        <m:sSubSup>
          <m:sSubSupPr>
            <m:ctrlPr>
              <w:rPr>
                <w:rFonts w:ascii="Cambria Math" w:hAnsi="Cambria Math"/>
                <w:i/>
              </w:rPr>
            </m:ctrlPr>
          </m:sSubSupPr>
          <m:e>
            <m:sSubSup>
              <m:sSubSupPr>
                <m:ctrlPr>
                  <w:rPr>
                    <w:rFonts w:ascii="Cambria Math" w:hAnsi="Cambria Math"/>
                    <w:i/>
                  </w:rPr>
                </m:ctrlPr>
              </m:sSubSupPr>
              <m:e>
                <m:r>
                  <w:rPr>
                    <w:rFonts w:ascii="Cambria Math"/>
                  </w:rPr>
                  <m:t>N</m:t>
                </m:r>
              </m:e>
              <m:sub>
                <m:r>
                  <m:rPr>
                    <m:nor/>
                  </m:rPr>
                  <w:rPr>
                    <w:rFonts w:ascii="Cambria Math"/>
                  </w:rPr>
                  <m:t>cells</m:t>
                </m:r>
                <m:ctrlPr>
                  <w:rPr>
                    <w:rFonts w:ascii="Cambria Math" w:hAnsi="Cambria Math"/>
                  </w:rPr>
                </m:ctrlPr>
              </m:sub>
              <m:sup>
                <m:r>
                  <m:rPr>
                    <m:nor/>
                  </m:rPr>
                  <w:rPr>
                    <w:rFonts w:ascii="Cambria Math"/>
                  </w:rPr>
                  <m:t>DL</m:t>
                </m:r>
                <m:ctrlPr>
                  <w:rPr>
                    <w:rFonts w:ascii="Cambria Math" w:hAnsi="Cambria Math"/>
                  </w:rPr>
                </m:ctrlPr>
              </m:sup>
            </m:sSubSup>
            <m:r>
              <w:rPr>
                <w:rFonts w:ascii="Cambria Math"/>
              </w:rPr>
              <m:t>=N</m:t>
            </m:r>
          </m:e>
          <m:sub>
            <m:r>
              <m:rPr>
                <m:nor/>
              </m:rPr>
              <w:rPr>
                <w:rFonts w:ascii="Cambria Math"/>
              </w:rPr>
              <m:t>cells</m:t>
            </m:r>
            <m:ctrlPr>
              <w:rPr>
                <w:rFonts w:ascii="Cambria Math" w:hAnsi="Cambria Math"/>
              </w:rPr>
            </m:ctrlPr>
          </m:sub>
          <m:sup>
            <m:r>
              <m:rPr>
                <m:nor/>
              </m:rPr>
              <w:rPr>
                <w:rFonts w:ascii="Cambria Math"/>
              </w:rPr>
              <m:t>DL,U</m:t>
            </m:r>
            <m:ctrlPr>
              <w:rPr>
                <w:rFonts w:ascii="Cambria Math" w:hAnsi="Cambria Math"/>
              </w:rPr>
            </m:ctrlPr>
          </m:sup>
        </m:sSubSup>
      </m:oMath>
      <w:r w:rsidRPr="00B06CC2">
        <w:rPr>
          <w:rFonts w:eastAsia="DengXian"/>
        </w:rPr>
        <w:t xml:space="preserve"> </w:t>
      </w:r>
      <w:r w:rsidR="00030139">
        <w:rPr>
          <w:rFonts w:eastAsia="DengXian"/>
        </w:rPr>
        <w:t>and using</w:t>
      </w:r>
      <w:r w:rsidR="00030139">
        <w:rPr>
          <w:rFonts w:eastAsia="DengXian" w:hint="eastAsia"/>
        </w:rPr>
        <w:t xml:space="preserve"> the </w:t>
      </w:r>
      <w:r w:rsidR="00030139" w:rsidRPr="005C41D4">
        <w:rPr>
          <w:i/>
        </w:rPr>
        <w:t>maxNrofCodeWordsScheduledByDCI</w:t>
      </w:r>
      <w:r w:rsidR="00030139">
        <w:rPr>
          <w:rFonts w:hint="eastAsia"/>
        </w:rPr>
        <w:t xml:space="preserve"> </w:t>
      </w:r>
      <w:r w:rsidR="00030139">
        <w:t>provided</w:t>
      </w:r>
      <w:r w:rsidR="00030139">
        <w:rPr>
          <w:rFonts w:hint="eastAsia"/>
        </w:rPr>
        <w:t xml:space="preserve"> in </w:t>
      </w:r>
      <w:bookmarkStart w:id="455" w:name="_Hlk143778804"/>
      <w:r w:rsidR="00030139" w:rsidRPr="005C41D4">
        <w:rPr>
          <w:rFonts w:hint="eastAsia"/>
          <w:i/>
        </w:rPr>
        <w:t>PDSCH-config</w:t>
      </w:r>
      <w:bookmarkEnd w:id="455"/>
      <w:r w:rsidR="00030139" w:rsidRPr="00B06CC2">
        <w:rPr>
          <w:rFonts w:eastAsia="DengXian"/>
        </w:rPr>
        <w:t xml:space="preserve"> </w:t>
      </w:r>
      <w:r w:rsidR="000C0FF4" w:rsidRPr="000D1945">
        <w:t xml:space="preserve">for the set </w:t>
      </w:r>
      <m:oMath>
        <m:sSub>
          <m:sSubPr>
            <m:ctrlPr>
              <w:rPr>
                <w:rFonts w:ascii="Cambria Math" w:hAnsi="Cambria Math"/>
                <w:i/>
              </w:rPr>
            </m:ctrlPr>
          </m:sSubPr>
          <m:e>
            <m:r>
              <w:rPr>
                <w:rFonts w:ascii="Cambria Math" w:hAnsi="Cambria Math"/>
              </w:rPr>
              <m:t>S</m:t>
            </m:r>
          </m:e>
          <m:sub>
            <m:r>
              <m:rPr>
                <m:nor/>
              </m:rPr>
              <m:t>U</m:t>
            </m:r>
            <m:ctrlPr>
              <w:rPr>
                <w:rFonts w:ascii="Cambria Math" w:hAnsi="Cambria Math"/>
              </w:rPr>
            </m:ctrlPr>
          </m:sub>
        </m:sSub>
      </m:oMath>
      <w:r w:rsidR="000C0FF4" w:rsidRPr="000D1945">
        <w:t xml:space="preserve"> </w:t>
      </w:r>
      <w:r w:rsidRPr="00B06CC2">
        <w:rPr>
          <w:rFonts w:eastAsia="DengXian"/>
        </w:rPr>
        <w:t xml:space="preserve">and </w:t>
      </w:r>
      <w:r w:rsidR="000C0FF4" w:rsidRPr="000D1945">
        <w:rPr>
          <w:rFonts w:eastAsia="DengXian"/>
        </w:rPr>
        <w:t xml:space="preserve">setting </w:t>
      </w:r>
      <m:oMath>
        <m:sSubSup>
          <m:sSubSupPr>
            <m:ctrlPr>
              <w:rPr>
                <w:rFonts w:ascii="Cambria Math" w:hAnsi="Cambria Math"/>
                <w:i/>
              </w:rPr>
            </m:ctrlPr>
          </m:sSubSupPr>
          <m:e>
            <m:sSubSup>
              <m:sSubSupPr>
                <m:ctrlPr>
                  <w:rPr>
                    <w:rFonts w:ascii="Cambria Math" w:hAnsi="Cambria Math"/>
                    <w:i/>
                  </w:rPr>
                </m:ctrlPr>
              </m:sSubSupPr>
              <m:e>
                <m:r>
                  <w:rPr>
                    <w:rFonts w:ascii="Cambria Math"/>
                  </w:rPr>
                  <m:t>N</m:t>
                </m:r>
              </m:e>
              <m:sub>
                <m:r>
                  <m:rPr>
                    <m:nor/>
                  </m:rPr>
                  <w:rPr>
                    <w:rFonts w:ascii="Cambria Math"/>
                  </w:rPr>
                  <m:t>cells</m:t>
                </m:r>
                <m:ctrlPr>
                  <w:rPr>
                    <w:rFonts w:ascii="Cambria Math" w:hAnsi="Cambria Math"/>
                  </w:rPr>
                </m:ctrlPr>
              </m:sub>
              <m:sup>
                <m:r>
                  <m:rPr>
                    <m:nor/>
                  </m:rPr>
                  <w:rPr>
                    <w:rFonts w:ascii="Cambria Math"/>
                  </w:rPr>
                  <m:t>DL</m:t>
                </m:r>
                <m:ctrlPr>
                  <w:rPr>
                    <w:rFonts w:ascii="Cambria Math" w:hAnsi="Cambria Math"/>
                  </w:rPr>
                </m:ctrlPr>
              </m:sup>
            </m:sSubSup>
            <m:r>
              <w:rPr>
                <w:rFonts w:ascii="Cambria Math"/>
              </w:rPr>
              <m:t>=N</m:t>
            </m:r>
          </m:e>
          <m:sub>
            <m:r>
              <m:rPr>
                <m:nor/>
              </m:rPr>
              <w:rPr>
                <w:rFonts w:ascii="Cambria Math"/>
              </w:rPr>
              <m:t>cells</m:t>
            </m:r>
            <m:ctrlPr>
              <w:rPr>
                <w:rFonts w:ascii="Cambria Math" w:hAnsi="Cambria Math"/>
              </w:rPr>
            </m:ctrlPr>
          </m:sub>
          <m:sup>
            <m:r>
              <m:rPr>
                <m:nor/>
              </m:rPr>
              <w:rPr>
                <w:rFonts w:ascii="Cambria Math"/>
              </w:rPr>
              <m:t>DL,M</m:t>
            </m:r>
            <m:ctrlPr>
              <w:rPr>
                <w:rFonts w:ascii="Cambria Math" w:hAnsi="Cambria Math"/>
              </w:rPr>
            </m:ctrlPr>
          </m:sup>
        </m:sSubSup>
      </m:oMath>
      <w:r w:rsidR="000C0FF4" w:rsidRPr="000D1945">
        <w:rPr>
          <w:rFonts w:eastAsia="DengXian"/>
        </w:rPr>
        <w:t xml:space="preserve">, </w:t>
      </w:r>
      <w:r w:rsidR="000C0FF4" w:rsidRPr="000D1945">
        <w:rPr>
          <w:i/>
        </w:rPr>
        <w:t>maxCodeBlockGroupsPerTransportBlock</w:t>
      </w:r>
      <w:r w:rsidR="000C0FF4" w:rsidRPr="000D1945">
        <w:rPr>
          <w:rFonts w:eastAsia="Gulim"/>
        </w:rPr>
        <w:t xml:space="preserve"> to 1,</w:t>
      </w:r>
      <w:r w:rsidRPr="00B06CC2">
        <w:rPr>
          <w:rFonts w:eastAsia="DengXian"/>
        </w:rPr>
        <w:t xml:space="preserve"> </w:t>
      </w:r>
      <w:r w:rsidR="00030139">
        <w:rPr>
          <w:rFonts w:eastAsia="DengXian"/>
        </w:rPr>
        <w:t>and using</w:t>
      </w:r>
      <w:r w:rsidR="00030139">
        <w:rPr>
          <w:rFonts w:eastAsia="DengXian" w:hint="eastAsia"/>
        </w:rPr>
        <w:t xml:space="preserve"> the </w:t>
      </w:r>
      <w:r w:rsidR="00030139" w:rsidRPr="005C41D4">
        <w:rPr>
          <w:i/>
        </w:rPr>
        <w:t>maxNrofCodeWordsScheduledByDCI</w:t>
      </w:r>
      <w:r w:rsidR="00030139">
        <w:rPr>
          <w:rFonts w:hint="eastAsia"/>
        </w:rPr>
        <w:t xml:space="preserve"> </w:t>
      </w:r>
      <w:r w:rsidR="00030139">
        <w:t>provided</w:t>
      </w:r>
      <w:r w:rsidR="00030139">
        <w:rPr>
          <w:rFonts w:hint="eastAsia"/>
        </w:rPr>
        <w:t xml:space="preserve"> in </w:t>
      </w:r>
      <w:r w:rsidR="00030139" w:rsidRPr="005C41D4">
        <w:rPr>
          <w:rFonts w:hint="eastAsia"/>
          <w:i/>
        </w:rPr>
        <w:t>PDSCH-configMulticast</w:t>
      </w:r>
      <w:r w:rsidR="00030139" w:rsidRPr="006E6164">
        <w:rPr>
          <w:rFonts w:eastAsia="DengXian"/>
        </w:rPr>
        <w:t xml:space="preserve"> </w:t>
      </w:r>
      <w:r w:rsidR="000C0FF4" w:rsidRPr="000D1945">
        <w:t xml:space="preserve">for the set </w:t>
      </w:r>
      <m:oMath>
        <m:sSub>
          <m:sSubPr>
            <m:ctrlPr>
              <w:rPr>
                <w:rFonts w:ascii="Cambria Math" w:hAnsi="Cambria Math"/>
                <w:i/>
              </w:rPr>
            </m:ctrlPr>
          </m:sSubPr>
          <m:e>
            <m:r>
              <w:rPr>
                <w:rFonts w:ascii="Cambria Math" w:hAnsi="Cambria Math"/>
              </w:rPr>
              <m:t>S</m:t>
            </m:r>
          </m:e>
          <m:sub>
            <m:r>
              <m:rPr>
                <m:nor/>
              </m:rPr>
              <w:rPr>
                <w:rFonts w:ascii="Cambria Math"/>
              </w:rPr>
              <m:t>M</m:t>
            </m:r>
            <m:ctrlPr>
              <w:rPr>
                <w:rFonts w:ascii="Cambria Math" w:hAnsi="Cambria Math"/>
              </w:rPr>
            </m:ctrlPr>
          </m:sub>
        </m:sSub>
      </m:oMath>
      <w:r w:rsidR="000C0FF4" w:rsidRPr="000D1945">
        <w:t xml:space="preserve"> </w:t>
      </w:r>
      <w:r w:rsidRPr="00B06CC2">
        <w:rPr>
          <w:rFonts w:eastAsia="DengXian"/>
        </w:rPr>
        <w:t xml:space="preserve">in the following pseudo-code. The UE concatenates the HARQ-ACK codebook generated for the set </w:t>
      </w:r>
      <m:oMath>
        <m:sSub>
          <m:sSubPr>
            <m:ctrlPr>
              <w:rPr>
                <w:rFonts w:ascii="Cambria Math" w:hAnsi="Cambria Math"/>
                <w:i/>
              </w:rPr>
            </m:ctrlPr>
          </m:sSubPr>
          <m:e>
            <m:r>
              <w:rPr>
                <w:rFonts w:ascii="Cambria Math" w:hAnsi="Cambria Math"/>
              </w:rPr>
              <m:t>S</m:t>
            </m:r>
          </m:e>
          <m:sub>
            <m:r>
              <m:rPr>
                <m:nor/>
              </m:rPr>
              <m:t>U</m:t>
            </m:r>
            <m:ctrlPr>
              <w:rPr>
                <w:rFonts w:ascii="Cambria Math" w:hAnsi="Cambria Math"/>
              </w:rPr>
            </m:ctrlPr>
          </m:sub>
        </m:sSub>
      </m:oMath>
      <w:r w:rsidRPr="00B06CC2">
        <w:rPr>
          <w:rFonts w:eastAsia="DengXian"/>
        </w:rPr>
        <w:t xml:space="preserve"> followed by the HARQ-ACK codebook generated for the set </w:t>
      </w:r>
      <m:oMath>
        <m:sSub>
          <m:sSubPr>
            <m:ctrlPr>
              <w:rPr>
                <w:rFonts w:ascii="Cambria Math" w:hAnsi="Cambria Math"/>
                <w:i/>
              </w:rPr>
            </m:ctrlPr>
          </m:sSubPr>
          <m:e>
            <m:r>
              <w:rPr>
                <w:rFonts w:ascii="Cambria Math" w:hAnsi="Cambria Math"/>
              </w:rPr>
              <m:t>S</m:t>
            </m:r>
          </m:e>
          <m:sub>
            <m:r>
              <m:rPr>
                <m:sty m:val="p"/>
              </m:rPr>
              <w:rPr>
                <w:rFonts w:ascii="Cambria Math" w:hAnsi="Cambria Math"/>
              </w:rPr>
              <m:t>M</m:t>
            </m:r>
            <m:ctrlPr>
              <w:rPr>
                <w:rFonts w:ascii="Cambria Math" w:hAnsi="Cambria Math"/>
              </w:rPr>
            </m:ctrlPr>
          </m:sub>
        </m:sSub>
      </m:oMath>
      <w:r w:rsidRPr="00B06CC2">
        <w:rPr>
          <w:rFonts w:eastAsia="DengXian"/>
        </w:rPr>
        <w:t xml:space="preserve"> to obtain a total number of </w:t>
      </w:r>
      <m:oMath>
        <m:sSub>
          <m:sSubPr>
            <m:ctrlPr>
              <w:rPr>
                <w:rFonts w:ascii="Cambria Math" w:hAnsi="Cambria Math"/>
                <w:i/>
              </w:rPr>
            </m:ctrlPr>
          </m:sSubPr>
          <m:e>
            <m:r>
              <w:rPr>
                <w:rFonts w:ascii="Cambria Math" w:hAnsi="Cambria Math"/>
              </w:rPr>
              <m:t>O</m:t>
            </m:r>
          </m:e>
          <m:sub>
            <m:r>
              <m:rPr>
                <m:nor/>
              </m:rPr>
              <w:rPr>
                <w:rFonts w:ascii="Cambria Math"/>
              </w:rPr>
              <m:t>ACK</m:t>
            </m:r>
            <m:ctrlPr>
              <w:rPr>
                <w:rFonts w:ascii="Cambria Math" w:hAnsi="Cambria Math"/>
              </w:rPr>
            </m:ctrlPr>
          </m:sub>
        </m:sSub>
      </m:oMath>
      <w:r w:rsidRPr="00B06CC2">
        <w:rPr>
          <w:rFonts w:eastAsia="DengXian"/>
        </w:rPr>
        <w:t xml:space="preserve"> HARQ-ACK information bits.</w:t>
      </w:r>
    </w:p>
    <w:p w14:paraId="03A02CF8" w14:textId="4D40A644" w:rsidR="00030139" w:rsidRPr="00030139" w:rsidRDefault="0082041F" w:rsidP="00030139">
      <w:pPr>
        <w:rPr>
          <w:lang w:val="en-US"/>
        </w:rPr>
      </w:pPr>
      <w:r w:rsidRPr="00B06CC2">
        <w:rPr>
          <w:lang w:val="en-US" w:eastAsia="zh-CN"/>
        </w:rPr>
        <w:t xml:space="preserve">If the UE </w:t>
      </w:r>
      <w:r w:rsidRPr="00B06CC2">
        <w:rPr>
          <w:rFonts w:eastAsia="Gulim"/>
        </w:rPr>
        <w:t xml:space="preserve">is configured to monitor PDCCH for DCI formats with CRC scrambled by G-RNTI </w:t>
      </w:r>
      <w:r w:rsidR="00CE6077">
        <w:rPr>
          <w:rFonts w:eastAsia="Gulim"/>
        </w:rPr>
        <w:t xml:space="preserve">for multicast </w:t>
      </w:r>
      <w:r w:rsidRPr="00B06CC2">
        <w:rPr>
          <w:rFonts w:eastAsia="Gulim"/>
        </w:rPr>
        <w:t xml:space="preserve">or G-CS-RNTI and is provided </w:t>
      </w:r>
      <w:r w:rsidRPr="00036705">
        <w:rPr>
          <w:rFonts w:eastAsia="Gulim"/>
          <w:i/>
          <w:iCs/>
        </w:rPr>
        <w:t>type1-Codebook-Generation-Mode</w:t>
      </w:r>
      <w:r w:rsidRPr="00036705">
        <w:rPr>
          <w:rFonts w:eastAsia="Gulim"/>
        </w:rPr>
        <w:t xml:space="preserve"> =</w:t>
      </w:r>
      <w:r>
        <w:rPr>
          <w:rFonts w:eastAsia="Gulim"/>
          <w:i/>
          <w:iCs/>
        </w:rPr>
        <w:t xml:space="preserve"> </w:t>
      </w:r>
      <w:r w:rsidR="005E3B15">
        <w:rPr>
          <w:rFonts w:eastAsia="Gulim"/>
        </w:rPr>
        <w:t>'</w:t>
      </w:r>
      <w:r>
        <w:rPr>
          <w:rFonts w:eastAsia="Gulim"/>
        </w:rPr>
        <w:t>mode1</w:t>
      </w:r>
      <w:r w:rsidR="005E3B15">
        <w:rPr>
          <w:rFonts w:eastAsia="Gulim"/>
        </w:rPr>
        <w:t>'</w:t>
      </w:r>
      <w:r w:rsidRPr="00B06CC2">
        <w:rPr>
          <w:rFonts w:eastAsia="Gulim"/>
        </w:rPr>
        <w:t xml:space="preserve">, the UE </w:t>
      </w:r>
      <w:r w:rsidRPr="00B06CC2">
        <w:rPr>
          <w:lang w:val="en-US"/>
        </w:rPr>
        <w:t xml:space="preserve">separately </w:t>
      </w:r>
      <w:r w:rsidRPr="00B06CC2">
        <w:rPr>
          <w:lang w:val="en-US" w:eastAsia="ko-KR"/>
        </w:rPr>
        <w:t xml:space="preserve">applies the following pseudo-code for each of the first </w:t>
      </w:r>
      <m:oMath>
        <m:sSub>
          <m:sSubPr>
            <m:ctrlPr>
              <w:rPr>
                <w:rFonts w:ascii="Cambria Math" w:hAnsi="Cambria Math"/>
                <w:i/>
              </w:rPr>
            </m:ctrlPr>
          </m:sSubPr>
          <m:e>
            <m:r>
              <w:rPr>
                <w:rFonts w:ascii="Cambria Math" w:hAnsi="Cambria Math"/>
              </w:rPr>
              <m:t>K</m:t>
            </m:r>
          </m:e>
          <m:sub>
            <m:r>
              <w:rPr>
                <w:rFonts w:ascii="Cambria Math" w:hAnsi="Cambria Math"/>
              </w:rPr>
              <m:t>1,</m:t>
            </m:r>
            <m:r>
              <m:rPr>
                <m:sty m:val="p"/>
              </m:rPr>
              <w:rPr>
                <w:rFonts w:ascii="Cambria Math" w:hAnsi="Cambria Math"/>
              </w:rPr>
              <m:t>UM</m:t>
            </m:r>
          </m:sub>
        </m:sSub>
      </m:oMath>
      <w:r w:rsidRPr="00B06CC2">
        <w:rPr>
          <w:lang w:val="en-US"/>
        </w:rPr>
        <w:t xml:space="preserve"> set</w:t>
      </w:r>
      <w:r w:rsidRPr="00B06CC2">
        <w:rPr>
          <w:lang w:val="en-US" w:eastAsia="ko-KR"/>
        </w:rPr>
        <w:t xml:space="preserve">, the second </w:t>
      </w:r>
      <m:oMath>
        <m:sSub>
          <m:sSubPr>
            <m:ctrlPr>
              <w:rPr>
                <w:rFonts w:ascii="Cambria Math" w:hAnsi="Cambria Math"/>
                <w:i/>
              </w:rPr>
            </m:ctrlPr>
          </m:sSubPr>
          <m:e>
            <m:r>
              <w:rPr>
                <w:rFonts w:ascii="Cambria Math" w:hAnsi="Cambria Math"/>
              </w:rPr>
              <m:t>K</m:t>
            </m:r>
          </m:e>
          <m:sub>
            <m:r>
              <w:rPr>
                <w:rFonts w:ascii="Cambria Math" w:hAnsi="Cambria Math"/>
              </w:rPr>
              <m:t>1,</m:t>
            </m:r>
            <m:r>
              <m:rPr>
                <m:sty m:val="p"/>
              </m:rPr>
              <w:rPr>
                <w:rFonts w:ascii="Cambria Math" w:hAnsi="Cambria Math"/>
              </w:rPr>
              <m:t>U\M</m:t>
            </m:r>
          </m:sub>
        </m:sSub>
      </m:oMath>
      <w:r w:rsidRPr="00B06CC2">
        <w:t xml:space="preserve"> set</w:t>
      </w:r>
      <w:r w:rsidRPr="00B06CC2">
        <w:rPr>
          <w:lang w:val="en-US" w:eastAsia="ko-KR"/>
        </w:rPr>
        <w:t xml:space="preserve">, and third </w:t>
      </w:r>
      <m:oMath>
        <m:sSub>
          <m:sSubPr>
            <m:ctrlPr>
              <w:rPr>
                <w:rFonts w:ascii="Cambria Math" w:hAnsi="Cambria Math"/>
                <w:i/>
              </w:rPr>
            </m:ctrlPr>
          </m:sSubPr>
          <m:e>
            <m:r>
              <w:rPr>
                <w:rFonts w:ascii="Cambria Math" w:hAnsi="Cambria Math"/>
              </w:rPr>
              <m:t>K</m:t>
            </m:r>
          </m:e>
          <m:sub>
            <m:r>
              <w:rPr>
                <w:rFonts w:ascii="Cambria Math" w:hAnsi="Cambria Math"/>
              </w:rPr>
              <m:t>1,</m:t>
            </m:r>
            <m:r>
              <m:rPr>
                <m:sty m:val="p"/>
              </m:rPr>
              <w:rPr>
                <w:rFonts w:ascii="Cambria Math" w:hAnsi="Cambria Math"/>
              </w:rPr>
              <m:t>M\U</m:t>
            </m:r>
          </m:sub>
        </m:sSub>
      </m:oMath>
      <w:r w:rsidRPr="00B06CC2">
        <w:rPr>
          <w:lang w:val="en-US"/>
        </w:rPr>
        <w:t xml:space="preserve"> set as the </w:t>
      </w:r>
      <w:r w:rsidRPr="00B06CC2">
        <w:rPr>
          <w:lang w:val="en-US" w:eastAsia="zh-CN"/>
        </w:rPr>
        <w:t xml:space="preserve">set of slot timing values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Pr="00B06CC2">
        <w:t xml:space="preserve">, </w:t>
      </w:r>
      <w:r w:rsidRPr="00B06CC2">
        <w:rPr>
          <w:lang w:val="en-US"/>
        </w:rPr>
        <w:t xml:space="preserve">and for the corresponding sets of row indexes as </w:t>
      </w:r>
      <m:oMath>
        <m:r>
          <w:rPr>
            <w:rFonts w:ascii="Cambria Math" w:hAnsi="Cambria Math"/>
          </w:rPr>
          <m:t>R</m:t>
        </m:r>
      </m:oMath>
      <w:r w:rsidRPr="00B06CC2">
        <w:rPr>
          <w:lang w:val="en-US"/>
        </w:rPr>
        <w:t xml:space="preserve"> to obtain first, second, and third Type-1 HARQ-ACK sub-codebooks, and concatenates the first, second, and third, Type-1 HARQ-ACK sub-codebooks to obtain the Type-1 HARQ-ACK codebook.</w:t>
      </w:r>
      <w:r w:rsidR="00E83236">
        <w:rPr>
          <w:lang w:val="en-US"/>
        </w:rPr>
        <w:t xml:space="preserve"> </w:t>
      </w:r>
      <w:r w:rsidR="00E83236" w:rsidRPr="00DB5EFD">
        <w:t xml:space="preserve">The UE sets </w:t>
      </w:r>
      <w:r w:rsidR="00E83236" w:rsidRPr="00DB5EFD">
        <w:rPr>
          <w:i/>
        </w:rPr>
        <w:t>maxCodeBlockGroupsPerTransportBlock</w:t>
      </w:r>
      <w:r w:rsidR="00E83236" w:rsidRPr="00DB5EFD">
        <w:rPr>
          <w:rFonts w:eastAsia="Gulim"/>
        </w:rPr>
        <w:t xml:space="preserve"> to 1 for determining the </w:t>
      </w:r>
      <w:r w:rsidR="00E83236" w:rsidRPr="00DB5EFD">
        <w:t>third Type-1 HARQ-ACK sub-codebook.</w:t>
      </w:r>
    </w:p>
    <w:p w14:paraId="16151D88" w14:textId="7547EB80" w:rsidR="0082041F" w:rsidRPr="00030139" w:rsidRDefault="00030139" w:rsidP="00A312BF">
      <w:r w:rsidRPr="00030139">
        <w:t xml:space="preserve">If the UE </w:t>
      </w:r>
      <w:r w:rsidRPr="00030139">
        <w:rPr>
          <w:rFonts w:eastAsia="Gulim"/>
        </w:rPr>
        <w:t xml:space="preserve">is configured to monitor PDCCH for DCI formats with CRC scrambled by G-RNTI for multicast or G-CS-RNTI and is </w:t>
      </w:r>
      <w:r w:rsidRPr="00030139">
        <w:rPr>
          <w:rFonts w:hint="eastAsia"/>
        </w:rPr>
        <w:t xml:space="preserve">not </w:t>
      </w:r>
      <w:r w:rsidRPr="00030139">
        <w:rPr>
          <w:rFonts w:eastAsia="Gulim"/>
        </w:rPr>
        <w:t xml:space="preserve">provided </w:t>
      </w:r>
      <w:r w:rsidRPr="00030139">
        <w:rPr>
          <w:i/>
          <w:iCs/>
          <w:lang w:eastAsia="ko-KR"/>
        </w:rPr>
        <w:t>fdmed-ReceptionMulticast</w:t>
      </w:r>
      <w:r w:rsidRPr="00030139">
        <w:rPr>
          <w:rFonts w:eastAsia="Gulim"/>
        </w:rPr>
        <w:t xml:space="preserve">, the UE </w:t>
      </w:r>
      <w:r w:rsidRPr="00030139">
        <w:t>generates a Type-1 HARQ-ACK codebook using</w:t>
      </w:r>
      <w:r w:rsidRPr="00030139">
        <w:rPr>
          <w:rFonts w:eastAsia="DengXian" w:hint="eastAsia"/>
        </w:rPr>
        <w:t xml:space="preserve"> </w:t>
      </w:r>
      <w:r w:rsidRPr="00030139">
        <w:rPr>
          <w:rFonts w:hint="eastAsia"/>
        </w:rPr>
        <w:t xml:space="preserve">the </w:t>
      </w:r>
      <w:r w:rsidRPr="00030139">
        <w:t>maximum value of</w:t>
      </w:r>
      <w:r w:rsidRPr="00030139">
        <w:rPr>
          <w:i/>
        </w:rPr>
        <w:t xml:space="preserve"> maxNrofCodeWordsScheduledByDCI </w:t>
      </w:r>
      <w:r w:rsidRPr="00030139">
        <w:t>in</w:t>
      </w:r>
      <w:r w:rsidRPr="00030139">
        <w:rPr>
          <w:i/>
        </w:rPr>
        <w:t xml:space="preserve"> PDSCH-config</w:t>
      </w:r>
      <w:r w:rsidRPr="00030139">
        <w:t xml:space="preserve"> and </w:t>
      </w:r>
      <w:r w:rsidRPr="00030139">
        <w:rPr>
          <w:i/>
        </w:rPr>
        <w:t>PDSCH-configMulticast</w:t>
      </w:r>
      <w:r w:rsidRPr="00030139">
        <w:rPr>
          <w:rFonts w:eastAsia="DengXian" w:hint="eastAsia"/>
        </w:rPr>
        <w:t xml:space="preserve"> </w:t>
      </w:r>
      <w:r w:rsidRPr="00030139">
        <w:rPr>
          <w:rFonts w:eastAsia="DengXian"/>
        </w:rPr>
        <w:t>in the following pseudo-code.</w:t>
      </w:r>
    </w:p>
    <w:p w14:paraId="7C79777B" w14:textId="4684BC58" w:rsidR="00CC29A0" w:rsidRDefault="00CC29A0" w:rsidP="00CC29A0">
      <w:pPr>
        <w:rPr>
          <w:lang w:eastAsia="zh-CN"/>
        </w:rPr>
      </w:pPr>
      <w:r w:rsidRPr="00B27E56">
        <w:rPr>
          <w:lang w:val="en-US" w:eastAsia="zh-CN"/>
        </w:rPr>
        <w:t>If</w:t>
      </w:r>
      <w:r w:rsidRPr="00B27E56">
        <w:rPr>
          <w:rFonts w:hint="eastAsia"/>
          <w:lang w:eastAsia="zh-CN"/>
        </w:rPr>
        <w:t xml:space="preserve"> </w:t>
      </w:r>
      <w:r w:rsidR="00CE6077">
        <w:rPr>
          <w:i/>
          <w:iCs/>
          <w:lang w:eastAsia="zh-CN"/>
        </w:rPr>
        <w:t>t</w:t>
      </w:r>
      <w:r w:rsidR="00CE6077" w:rsidRPr="00B27E56">
        <w:rPr>
          <w:i/>
          <w:iCs/>
          <w:lang w:eastAsia="zh-CN"/>
        </w:rPr>
        <w:t>imeDomainHARQ</w:t>
      </w:r>
      <w:r w:rsidRPr="00B27E56">
        <w:rPr>
          <w:i/>
          <w:iCs/>
          <w:lang w:eastAsia="zh-CN"/>
        </w:rPr>
        <w:t>-Bundling</w:t>
      </w:r>
      <w:r w:rsidR="00CE6077">
        <w:rPr>
          <w:i/>
          <w:iCs/>
          <w:lang w:eastAsia="zh-CN"/>
        </w:rPr>
        <w:t>Type1</w:t>
      </w:r>
      <w:r w:rsidRPr="00B27E56">
        <w:rPr>
          <w:lang w:eastAsia="zh-CN"/>
        </w:rPr>
        <w:t xml:space="preserve"> is provided</w:t>
      </w:r>
    </w:p>
    <w:p w14:paraId="5AE99641" w14:textId="77777777" w:rsidR="00CC29A0" w:rsidRPr="00B27E56" w:rsidRDefault="00CC29A0" w:rsidP="00CC29A0">
      <w:pPr>
        <w:pStyle w:val="B1"/>
      </w:pPr>
      <w:r w:rsidRPr="00B27E56">
        <w:t>-</w:t>
      </w:r>
      <w:r w:rsidRPr="00B27E56">
        <w:tab/>
      </w:r>
      <w:r w:rsidRPr="00B27E56">
        <w:rPr>
          <w:lang w:eastAsia="zh-CN"/>
        </w:rPr>
        <w:t xml:space="preserve">set </w:t>
      </w:r>
      <m:oMath>
        <m:sSubSup>
          <m:sSubSupPr>
            <m:ctrlPr>
              <w:rPr>
                <w:rFonts w:ascii="Cambria Math" w:eastAsia="DengXian" w:hAnsi="Cambria Math"/>
                <w:i/>
              </w:rPr>
            </m:ctrlPr>
          </m:sSubSupPr>
          <m:e>
            <m:r>
              <w:rPr>
                <w:rFonts w:ascii="Cambria Math" w:eastAsia="DengXian" w:hAnsi="Cambria Math"/>
              </w:rPr>
              <m:t>R</m:t>
            </m:r>
          </m:e>
          <m:sub>
            <m:r>
              <w:rPr>
                <w:rFonts w:ascii="Cambria Math" w:eastAsia="DengXian" w:hAnsi="Cambria Math"/>
              </w:rPr>
              <m:t>T</m:t>
            </m:r>
          </m:sub>
          <m:sup>
            <m:r>
              <w:rPr>
                <w:rFonts w:ascii="Cambria Math" w:eastAsia="DengXian" w:hAnsi="Cambria Math"/>
              </w:rPr>
              <m:t>'</m:t>
            </m:r>
          </m:sup>
        </m:sSubSup>
        <m:r>
          <w:rPr>
            <w:rFonts w:ascii="Cambria Math" w:hAnsi="Cambria Math"/>
          </w:rPr>
          <m:t>=R</m:t>
        </m:r>
      </m:oMath>
    </w:p>
    <w:p w14:paraId="4E361D18" w14:textId="77777777" w:rsidR="00CC29A0" w:rsidRPr="00D51886" w:rsidRDefault="00CC29A0" w:rsidP="00CC29A0">
      <w:pPr>
        <w:pStyle w:val="B1"/>
      </w:pPr>
      <w:r w:rsidRPr="00B27E56">
        <w:lastRenderedPageBreak/>
        <w:t>-</w:t>
      </w:r>
      <w:r w:rsidRPr="00B27E56">
        <w:tab/>
      </w:r>
      <w:r w:rsidRPr="00B27E56">
        <w:rPr>
          <w:lang w:eastAsia="zh-CN"/>
        </w:rPr>
        <w:t xml:space="preserve">set </w:t>
      </w:r>
      <m:oMath>
        <m:sSub>
          <m:sSubPr>
            <m:ctrlPr>
              <w:rPr>
                <w:rFonts w:ascii="Cambria Math" w:eastAsia="DengXian" w:hAnsi="Cambria Math"/>
                <w:i/>
              </w:rPr>
            </m:ctrlPr>
          </m:sSubPr>
          <m:e>
            <m:r>
              <w:rPr>
                <w:rFonts w:ascii="Cambria Math" w:eastAsia="DengXian" w:hAnsi="Cambria Math"/>
              </w:rPr>
              <m:t>R</m:t>
            </m:r>
          </m:e>
          <m:sub>
            <m:r>
              <w:rPr>
                <w:rFonts w:ascii="Cambria Math" w:eastAsia="DengXian" w:hAnsi="Cambria Math"/>
              </w:rPr>
              <m:t>T</m:t>
            </m:r>
          </m:sub>
        </m:sSub>
      </m:oMath>
      <w:r>
        <w:t xml:space="preserve"> </w:t>
      </w:r>
      <w:r w:rsidRPr="00B27E56">
        <w:rPr>
          <w:rFonts w:cs="Arial"/>
          <w:lang w:eastAsia="zh-CN"/>
        </w:rPr>
        <w:t xml:space="preserve">to the set of row indexes that include the last SLIV </w:t>
      </w:r>
      <w:r>
        <w:rPr>
          <w:rFonts w:cs="Arial"/>
          <w:lang w:val="en-US" w:eastAsia="zh-CN"/>
        </w:rPr>
        <w:t>of each</w:t>
      </w:r>
      <w:r w:rsidRPr="00B27E56">
        <w:rPr>
          <w:rFonts w:cs="Arial"/>
          <w:lang w:eastAsia="zh-CN"/>
        </w:rPr>
        <w:t xml:space="preserve"> row </w:t>
      </w:r>
      <w:r>
        <w:rPr>
          <w:rFonts w:cs="Arial"/>
          <w:lang w:val="en-US" w:eastAsia="zh-CN"/>
        </w:rPr>
        <w:t>of</w:t>
      </w:r>
      <w:r w:rsidRPr="00B27E56">
        <w:rPr>
          <w:rFonts w:cs="Arial"/>
          <w:lang w:eastAsia="zh-CN"/>
        </w:rPr>
        <w:t xml:space="preserve"> set </w:t>
      </w:r>
      <m:oMath>
        <m:sSubSup>
          <m:sSubSupPr>
            <m:ctrlPr>
              <w:rPr>
                <w:rFonts w:ascii="Cambria Math" w:eastAsia="DengXian" w:hAnsi="Cambria Math"/>
                <w:i/>
              </w:rPr>
            </m:ctrlPr>
          </m:sSubSupPr>
          <m:e>
            <m:r>
              <w:rPr>
                <w:rFonts w:ascii="Cambria Math" w:eastAsia="DengXian" w:hAnsi="Cambria Math"/>
              </w:rPr>
              <m:t>R</m:t>
            </m:r>
          </m:e>
          <m:sub>
            <m:r>
              <w:rPr>
                <w:rFonts w:ascii="Cambria Math" w:eastAsia="DengXian" w:hAnsi="Cambria Math"/>
              </w:rPr>
              <m:t>T</m:t>
            </m:r>
          </m:sub>
          <m:sup>
            <m:r>
              <w:rPr>
                <w:rFonts w:ascii="Cambria Math" w:eastAsia="DengXian" w:hAnsi="Cambria Math"/>
              </w:rPr>
              <m:t>'</m:t>
            </m:r>
          </m:sup>
        </m:sSubSup>
      </m:oMath>
    </w:p>
    <w:p w14:paraId="0D0707A0" w14:textId="37498553" w:rsidR="00CC29A0" w:rsidRPr="00B27E56" w:rsidRDefault="00CC29A0" w:rsidP="00CC29A0">
      <w:r w:rsidRPr="00B27E56">
        <w:rPr>
          <w:lang w:eastAsia="zh-CN"/>
        </w:rPr>
        <w:t xml:space="preserve">If the set of rows </w:t>
      </w:r>
      <m:oMath>
        <m:r>
          <w:rPr>
            <w:rFonts w:ascii="Cambria Math" w:hAnsi="Cambria Math"/>
          </w:rPr>
          <m:t>R</m:t>
        </m:r>
      </m:oMath>
      <w:r w:rsidRPr="00B27E56">
        <w:rPr>
          <w:lang w:val="en-US" w:eastAsia="zh-CN"/>
        </w:rPr>
        <w:t xml:space="preserve"> </w:t>
      </w:r>
      <w:r w:rsidRPr="00B27E56">
        <w:rPr>
          <w:lang w:eastAsia="zh-CN"/>
        </w:rPr>
        <w:t xml:space="preserve">includes a row with more than one </w:t>
      </w:r>
      <w:r w:rsidR="00183590">
        <w:rPr>
          <w:lang w:eastAsia="zh-CN"/>
        </w:rPr>
        <w:t xml:space="preserve">SLIV </w:t>
      </w:r>
      <w:r w:rsidRPr="00B27E56">
        <w:rPr>
          <w:lang w:eastAsia="zh-CN"/>
        </w:rPr>
        <w:t>entry as described in [6, TS 38.214]</w:t>
      </w:r>
      <w:r>
        <w:rPr>
          <w:lang w:eastAsia="zh-CN"/>
        </w:rPr>
        <w:t xml:space="preserve"> and </w:t>
      </w:r>
      <w:r w:rsidR="00CE6077">
        <w:rPr>
          <w:i/>
          <w:iCs/>
          <w:lang w:eastAsia="zh-CN"/>
        </w:rPr>
        <w:t>t</w:t>
      </w:r>
      <w:r w:rsidR="00CE6077" w:rsidRPr="00B27E56">
        <w:rPr>
          <w:i/>
          <w:iCs/>
          <w:lang w:eastAsia="zh-CN"/>
        </w:rPr>
        <w:t>imeDomainHARQ</w:t>
      </w:r>
      <w:r w:rsidRPr="00B27E56">
        <w:rPr>
          <w:i/>
          <w:iCs/>
          <w:lang w:eastAsia="zh-CN"/>
        </w:rPr>
        <w:t>-Bundling</w:t>
      </w:r>
      <w:r w:rsidR="00CE6077">
        <w:rPr>
          <w:i/>
          <w:iCs/>
          <w:lang w:eastAsia="zh-CN"/>
        </w:rPr>
        <w:t>Type1</w:t>
      </w:r>
      <w:r w:rsidRPr="00B27E56">
        <w:rPr>
          <w:lang w:eastAsia="zh-CN"/>
        </w:rPr>
        <w:t xml:space="preserve"> is </w:t>
      </w:r>
      <w:r>
        <w:rPr>
          <w:lang w:eastAsia="zh-CN"/>
        </w:rPr>
        <w:t xml:space="preserve">not </w:t>
      </w:r>
      <w:r w:rsidRPr="00B27E56">
        <w:rPr>
          <w:lang w:eastAsia="zh-CN"/>
        </w:rPr>
        <w:t>provided</w:t>
      </w:r>
      <w:r w:rsidRPr="00B27E56">
        <w:t>, the set of row</w:t>
      </w:r>
      <w:r>
        <w:t>s</w:t>
      </w:r>
      <w:r w:rsidRPr="00B27E56">
        <w:t xml:space="preserve"> </w:t>
      </w:r>
      <m:oMath>
        <m:r>
          <w:rPr>
            <w:rFonts w:ascii="Cambria Math" w:hAnsi="Cambria Math"/>
          </w:rPr>
          <m:t>R</m:t>
        </m:r>
      </m:oMath>
      <w:r w:rsidRPr="00B27E56">
        <w:t xml:space="preserve"> </w:t>
      </w:r>
      <w:r w:rsidRPr="00B27E56">
        <w:rPr>
          <w:lang w:val="en-US" w:eastAsia="zh-CN"/>
        </w:rPr>
        <w:t xml:space="preserve">and the set of </w:t>
      </w:r>
      <w:r w:rsidRPr="00B27E56">
        <w:rPr>
          <w:lang w:eastAsia="zh-CN"/>
        </w:rPr>
        <w:t xml:space="preserve">slot timing values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Pr="00B27E56">
        <w:t xml:space="preserve"> are updated in this clause according to the following pseudo-code. </w:t>
      </w:r>
    </w:p>
    <w:p w14:paraId="61BC39CC" w14:textId="77777777" w:rsidR="00CC29A0" w:rsidRPr="00B27E56" w:rsidRDefault="00CC29A0" w:rsidP="00152171">
      <w:pPr>
        <w:rPr>
          <w:lang w:eastAsia="zh-CN"/>
        </w:rPr>
      </w:pPr>
      <w:r w:rsidRPr="00B27E56">
        <w:rPr>
          <w:lang w:eastAsia="zh-CN"/>
        </w:rPr>
        <w:t xml:space="preserve">set </w:t>
      </w:r>
      <m:oMath>
        <m:r>
          <w:rPr>
            <w:rFonts w:ascii="Cambria Math" w:hAnsi="Cambria Math"/>
          </w:rPr>
          <m:t>R</m:t>
        </m:r>
      </m:oMath>
      <w:r w:rsidRPr="00B27E56">
        <w:rPr>
          <w:lang w:eastAsia="zh-CN"/>
        </w:rPr>
        <w:t xml:space="preserve"> to the set of </w:t>
      </w:r>
      <w:r w:rsidRPr="00B27E56">
        <w:rPr>
          <w:rFonts w:hint="eastAsia"/>
          <w:lang w:eastAsia="zh-CN"/>
        </w:rPr>
        <w:t>rows</w:t>
      </w:r>
      <w:r w:rsidRPr="00B27E56">
        <w:rPr>
          <w:lang w:eastAsia="zh-CN"/>
        </w:rPr>
        <w:t xml:space="preserve"> </w:t>
      </w:r>
    </w:p>
    <w:p w14:paraId="0D023B8D" w14:textId="77777777" w:rsidR="00CC29A0" w:rsidRPr="00B27E56" w:rsidRDefault="00CC29A0" w:rsidP="00152171">
      <w:pPr>
        <w:rPr>
          <w:lang w:eastAsia="zh-CN"/>
        </w:rPr>
      </w:pPr>
      <w:r w:rsidRPr="00B27E56">
        <w:rPr>
          <w:lang w:eastAsia="zh-CN"/>
        </w:rPr>
        <w:t xml:space="preserve">set </w:t>
      </w:r>
      <m:oMath>
        <m:r>
          <m:rPr>
            <m:nor/>
          </m:rPr>
          <w:rPr>
            <w:rFonts w:ascii="Freestyle Script" w:hAnsi="Freestyle Script"/>
          </w:rPr>
          <m:t>C</m:t>
        </m:r>
        <m:d>
          <m:dPr>
            <m:ctrlPr>
              <w:rPr>
                <w:rFonts w:ascii="Cambria Math" w:hAnsi="Cambria Math" w:cs="Helvetica"/>
                <w:i/>
              </w:rPr>
            </m:ctrlPr>
          </m:dPr>
          <m:e>
            <m:r>
              <w:rPr>
                <w:rFonts w:ascii="Cambria Math" w:hAnsi="Cambria Math"/>
              </w:rPr>
              <m:t>R</m:t>
            </m:r>
          </m:e>
        </m:d>
      </m:oMath>
      <w:r w:rsidRPr="00B27E56">
        <w:t xml:space="preserve"> to the cardinality of </w:t>
      </w:r>
      <m:oMath>
        <m:r>
          <w:rPr>
            <w:rFonts w:ascii="Cambria Math" w:hAnsi="Cambria Math"/>
          </w:rPr>
          <m:t>R</m:t>
        </m:r>
      </m:oMath>
    </w:p>
    <w:p w14:paraId="29B34E0A" w14:textId="77777777" w:rsidR="00CC29A0" w:rsidRPr="00B27E56" w:rsidRDefault="00CC29A0" w:rsidP="00152171">
      <w:pPr>
        <w:rPr>
          <w:lang w:eastAsia="zh-CN"/>
        </w:rPr>
      </w:pPr>
      <w:r w:rsidRPr="00B27E56">
        <w:rPr>
          <w:lang w:eastAsia="zh-CN"/>
        </w:rPr>
        <w:t>s</w:t>
      </w:r>
      <w:r w:rsidRPr="00B27E56">
        <w:rPr>
          <w:rFonts w:hint="eastAsia"/>
          <w:lang w:eastAsia="zh-CN"/>
        </w:rPr>
        <w:t xml:space="preserve">et </w:t>
      </w:r>
      <m:oMath>
        <m:r>
          <w:rPr>
            <w:rFonts w:ascii="Cambria Math" w:hAnsi="Cambria Math"/>
          </w:rPr>
          <m:t>r=0</m:t>
        </m:r>
      </m:oMath>
      <w:r w:rsidRPr="00B27E56">
        <w:rPr>
          <w:rFonts w:hint="eastAsia"/>
          <w:lang w:eastAsia="zh-CN"/>
        </w:rPr>
        <w:t xml:space="preserve"> </w:t>
      </w:r>
      <w:r w:rsidRPr="00B27E56">
        <w:rPr>
          <w:lang w:eastAsia="zh-CN"/>
        </w:rPr>
        <w:t>–</w:t>
      </w:r>
      <w:r w:rsidRPr="00B27E56">
        <w:rPr>
          <w:rFonts w:hint="eastAsia"/>
          <w:lang w:eastAsia="zh-CN"/>
        </w:rPr>
        <w:t xml:space="preserve"> index of row </w:t>
      </w:r>
      <w:r w:rsidRPr="00B27E56">
        <w:rPr>
          <w:lang w:val="en-US" w:eastAsia="zh-CN"/>
        </w:rPr>
        <w:t xml:space="preserve">in set </w:t>
      </w:r>
      <m:oMath>
        <m:r>
          <w:rPr>
            <w:rFonts w:ascii="Cambria Math" w:hAnsi="Cambria Math"/>
          </w:rPr>
          <m:t>R</m:t>
        </m:r>
      </m:oMath>
    </w:p>
    <w:p w14:paraId="5EC5A9DA" w14:textId="77777777" w:rsidR="00CC29A0" w:rsidRPr="00B27E56" w:rsidRDefault="00CC29A0" w:rsidP="00152171">
      <w:r w:rsidRPr="00B27E56">
        <w:t xml:space="preserve">set </w:t>
      </w:r>
      <m:oMath>
        <m:sSub>
          <m:sSubPr>
            <m:ctrlPr>
              <w:rPr>
                <w:rFonts w:ascii="Cambria Math" w:hAnsi="Cambria Math"/>
                <w:i/>
              </w:rPr>
            </m:ctrlPr>
          </m:sSubPr>
          <m:e>
            <m:r>
              <w:rPr>
                <w:rFonts w:ascii="Cambria Math" w:hAnsi="Cambria Math"/>
              </w:rPr>
              <m:t>R</m:t>
            </m:r>
          </m:e>
          <m:sub>
            <m:r>
              <m:rPr>
                <m:nor/>
              </m:rPr>
              <w:rPr>
                <w:rFonts w:ascii="Cambria Math"/>
                <w:i/>
                <w:iCs/>
              </w:rPr>
              <m:t>T</m:t>
            </m:r>
            <m:ctrlPr>
              <w:rPr>
                <w:rFonts w:ascii="Cambria Math" w:hAnsi="Cambria Math"/>
              </w:rPr>
            </m:ctrlPr>
          </m:sub>
        </m:sSub>
        <m:r>
          <w:rPr>
            <w:rFonts w:ascii="Cambria Math" w:hAnsi="Cambria Math"/>
          </w:rPr>
          <m:t>=∅</m:t>
        </m:r>
      </m:oMath>
    </w:p>
    <w:p w14:paraId="6011F054" w14:textId="77777777" w:rsidR="00CC29A0" w:rsidRPr="00B27E56" w:rsidRDefault="00CC29A0" w:rsidP="00152171">
      <w:r w:rsidRPr="00B27E56">
        <w:t xml:space="preserve">set </w:t>
      </w:r>
      <m:oMath>
        <m:sSub>
          <m:sSubPr>
            <m:ctrlPr>
              <w:rPr>
                <w:rFonts w:ascii="Cambria Math" w:hAnsi="Cambria Math"/>
                <w:i/>
              </w:rPr>
            </m:ctrlPr>
          </m:sSubPr>
          <m:e>
            <m:r>
              <w:rPr>
                <w:rFonts w:ascii="Cambria Math" w:hAnsi="Cambria Math"/>
              </w:rPr>
              <m:t>K</m:t>
            </m:r>
          </m:e>
          <m:sub>
            <m:r>
              <w:rPr>
                <w:rFonts w:ascii="Cambria Math" w:hAnsi="Cambria Math"/>
              </w:rPr>
              <m:t>1,T</m:t>
            </m:r>
          </m:sub>
        </m:sSub>
        <m:r>
          <w:rPr>
            <w:rFonts w:ascii="Cambria Math" w:hAnsi="Cambria Math"/>
          </w:rPr>
          <m:t>=∅</m:t>
        </m:r>
      </m:oMath>
    </w:p>
    <w:p w14:paraId="2B3DA214" w14:textId="77777777" w:rsidR="00CC29A0" w:rsidRPr="00B27E56" w:rsidRDefault="00CC29A0" w:rsidP="00152171">
      <w:pPr>
        <w:rPr>
          <w:lang w:eastAsia="zh-CN"/>
        </w:rPr>
      </w:pPr>
      <w:r w:rsidRPr="00B27E56">
        <w:t xml:space="preserve">while </w:t>
      </w:r>
      <m:oMath>
        <m:r>
          <w:rPr>
            <w:rFonts w:ascii="Cambria Math" w:hAnsi="Cambria Math"/>
          </w:rPr>
          <m:t>r&lt;</m:t>
        </m:r>
        <m:r>
          <m:rPr>
            <m:nor/>
          </m:rPr>
          <w:rPr>
            <w:rFonts w:ascii="Freestyle Script" w:hAnsi="Freestyle Script"/>
          </w:rPr>
          <m:t>C</m:t>
        </m:r>
        <m:d>
          <m:dPr>
            <m:ctrlPr>
              <w:rPr>
                <w:rFonts w:ascii="Cambria Math" w:hAnsi="Cambria Math" w:cs="Helvetica"/>
                <w:i/>
              </w:rPr>
            </m:ctrlPr>
          </m:dPr>
          <m:e>
            <m:r>
              <w:rPr>
                <w:rFonts w:ascii="Cambria Math" w:hAnsi="Cambria Math"/>
              </w:rPr>
              <m:t>R</m:t>
            </m:r>
          </m:e>
        </m:d>
      </m:oMath>
    </w:p>
    <w:p w14:paraId="767FB1C1" w14:textId="77777777" w:rsidR="00CC29A0" w:rsidRPr="00B27E56" w:rsidRDefault="00CC29A0" w:rsidP="00152171">
      <w:pPr>
        <w:pStyle w:val="B1"/>
      </w:pPr>
      <w:r w:rsidRPr="00B27E56">
        <w:rPr>
          <w:lang w:val="en-US"/>
        </w:rPr>
        <w:t xml:space="preserve">set </w:t>
      </w:r>
      <m:oMath>
        <m:sSub>
          <m:sSubPr>
            <m:ctrlPr>
              <w:rPr>
                <w:rFonts w:ascii="Cambria Math" w:hAnsi="Cambria Math"/>
                <w:i/>
              </w:rPr>
            </m:ctrlPr>
          </m:sSubPr>
          <m:e>
            <m:r>
              <w:rPr>
                <w:rFonts w:ascii="Cambria Math" w:hAnsi="Cambria Math"/>
              </w:rPr>
              <m:t>P</m:t>
            </m:r>
          </m:e>
          <m:sub>
            <m:r>
              <m:rPr>
                <m:nor/>
              </m:rPr>
              <w:rPr>
                <w:rFonts w:ascii="Cambria Math"/>
                <w:i/>
                <w:iCs/>
              </w:rPr>
              <m:t>r</m:t>
            </m:r>
            <m:ctrlPr>
              <w:rPr>
                <w:rFonts w:ascii="Cambria Math" w:hAnsi="Cambria Math"/>
              </w:rPr>
            </m:ctrlPr>
          </m:sub>
        </m:sSub>
      </m:oMath>
      <w:r w:rsidRPr="00B27E56">
        <w:t xml:space="preserve"> to the set of entries for row </w:t>
      </w:r>
      <m:oMath>
        <m:r>
          <w:rPr>
            <w:rFonts w:ascii="Cambria Math" w:hAnsi="Cambria Math"/>
          </w:rPr>
          <m:t>r</m:t>
        </m:r>
      </m:oMath>
    </w:p>
    <w:p w14:paraId="1BD326D0" w14:textId="77777777" w:rsidR="00CC29A0" w:rsidRPr="00B27E56" w:rsidRDefault="00CC29A0" w:rsidP="00152171">
      <w:pPr>
        <w:pStyle w:val="B1"/>
      </w:pPr>
      <w:r w:rsidRPr="00B27E56">
        <w:t xml:space="preserve">set </w:t>
      </w:r>
      <m:oMath>
        <m:sSub>
          <m:sSubPr>
            <m:ctrlPr>
              <w:rPr>
                <w:rFonts w:ascii="Cambria Math" w:hAnsi="Cambria Math"/>
                <w:i/>
              </w:rPr>
            </m:ctrlPr>
          </m:sSubPr>
          <m:e>
            <m:r>
              <w:rPr>
                <w:rFonts w:ascii="Cambria Math" w:hAnsi="Cambria Math"/>
              </w:rPr>
              <m:t>K</m:t>
            </m:r>
          </m:e>
          <m:sub>
            <m:r>
              <m:rPr>
                <m:nor/>
              </m:rPr>
              <w:rPr>
                <w:rFonts w:ascii="Cambria Math"/>
              </w:rPr>
              <m:t>0,</m:t>
            </m:r>
            <m:r>
              <m:rPr>
                <m:nor/>
              </m:rPr>
              <w:rPr>
                <w:rFonts w:ascii="Cambria Math"/>
                <w:i/>
                <w:iCs/>
              </w:rPr>
              <m:t>r</m:t>
            </m:r>
            <m:ctrlPr>
              <w:rPr>
                <w:rFonts w:ascii="Cambria Math" w:hAnsi="Cambria Math"/>
              </w:rPr>
            </m:ctrlPr>
          </m:sub>
        </m:sSub>
      </m:oMath>
      <w:r w:rsidRPr="00B27E56">
        <w:t xml:space="preserve"> to the set of </w:t>
      </w:r>
      <m:oMath>
        <m:sSub>
          <m:sSubPr>
            <m:ctrlPr>
              <w:rPr>
                <w:rFonts w:ascii="Cambria Math" w:hAnsi="Cambria Math"/>
                <w:i/>
              </w:rPr>
            </m:ctrlPr>
          </m:sSubPr>
          <m:e>
            <m:r>
              <w:rPr>
                <w:rFonts w:ascii="Cambria Math" w:hAnsi="Cambria Math"/>
              </w:rPr>
              <m:t>K</m:t>
            </m:r>
          </m:e>
          <m:sub>
            <m:r>
              <m:rPr>
                <m:nor/>
              </m:rPr>
              <w:rPr>
                <w:rFonts w:ascii="Cambria Math"/>
              </w:rPr>
              <m:t>0</m:t>
            </m:r>
            <m:ctrlPr>
              <w:rPr>
                <w:rFonts w:ascii="Cambria Math" w:hAnsi="Cambria Math"/>
              </w:rPr>
            </m:ctrlPr>
          </m:sub>
        </m:sSub>
      </m:oMath>
      <w:r w:rsidRPr="00B27E56">
        <w:t xml:space="preserve"> values of entries for row </w:t>
      </w:r>
      <m:oMath>
        <m:r>
          <w:rPr>
            <w:rFonts w:ascii="Cambria Math" w:hAnsi="Cambria Math"/>
          </w:rPr>
          <m:t>r</m:t>
        </m:r>
      </m:oMath>
    </w:p>
    <w:p w14:paraId="0E84AA0B" w14:textId="77777777" w:rsidR="00CC29A0" w:rsidRPr="00B27E56" w:rsidRDefault="00CC29A0" w:rsidP="00152171">
      <w:pPr>
        <w:pStyle w:val="B1"/>
        <w:rPr>
          <w:lang w:val="en-US"/>
        </w:rPr>
      </w:pPr>
      <w:r w:rsidRPr="00B27E56">
        <w:rPr>
          <w:lang w:val="en-US"/>
        </w:rPr>
        <w:t xml:space="preserve">set </w:t>
      </w:r>
      <m:oMath>
        <m:r>
          <w:rPr>
            <w:rFonts w:ascii="Cambria Math" w:hAnsi="Cambria Math"/>
          </w:rPr>
          <m:t>∆</m:t>
        </m:r>
        <m:sSub>
          <m:sSubPr>
            <m:ctrlPr>
              <w:rPr>
                <w:rFonts w:ascii="Cambria Math" w:hAnsi="Cambria Math"/>
                <w:i/>
              </w:rPr>
            </m:ctrlPr>
          </m:sSubPr>
          <m:e>
            <m:r>
              <w:rPr>
                <w:rFonts w:ascii="Cambria Math" w:hAnsi="Cambria Math"/>
              </w:rPr>
              <m:t>K</m:t>
            </m:r>
          </m:e>
          <m:sub>
            <m:r>
              <m:rPr>
                <m:nor/>
              </m:rPr>
              <w:rPr>
                <w:rFonts w:ascii="Cambria Math"/>
              </w:rPr>
              <m:t>0,</m:t>
            </m:r>
            <m:r>
              <m:rPr>
                <m:nor/>
              </m:rPr>
              <w:rPr>
                <w:rFonts w:ascii="Cambria Math"/>
                <w:i/>
                <w:iCs/>
              </w:rPr>
              <m:t>r</m:t>
            </m:r>
            <m:ctrlPr>
              <w:rPr>
                <w:rFonts w:ascii="Cambria Math" w:hAnsi="Cambria Math"/>
              </w:rPr>
            </m:ctrlP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b>
                  <m:sSubPr>
                    <m:ctrlPr>
                      <w:rPr>
                        <w:rFonts w:ascii="Cambria Math" w:hAnsi="Cambria Math"/>
                        <w:i/>
                      </w:rPr>
                    </m:ctrlPr>
                  </m:sSubPr>
                  <m:e>
                    <m:r>
                      <w:rPr>
                        <w:rFonts w:ascii="Cambria Math" w:hAnsi="Cambria Math"/>
                      </w:rPr>
                      <m:t>K</m:t>
                    </m:r>
                  </m:e>
                  <m:sub>
                    <m:r>
                      <m:rPr>
                        <m:nor/>
                      </m:rPr>
                      <w:rPr>
                        <w:rFonts w:ascii="Cambria Math"/>
                      </w:rPr>
                      <m:t>0</m:t>
                    </m:r>
                    <m:ctrlPr>
                      <w:rPr>
                        <w:rFonts w:ascii="Cambria Math" w:hAnsi="Cambria Math"/>
                      </w:rPr>
                    </m:ctrlPr>
                  </m:sub>
                </m:sSub>
              </m:lim>
            </m:limLow>
          </m:fName>
          <m:e>
            <m:d>
              <m:dPr>
                <m:ctrlPr>
                  <w:rPr>
                    <w:rFonts w:ascii="Cambria Math" w:hAnsi="Cambria Math"/>
                    <w:i/>
                  </w:rPr>
                </m:ctrlPr>
              </m:dPr>
              <m:e>
                <m:sSub>
                  <m:sSubPr>
                    <m:ctrlPr>
                      <w:rPr>
                        <w:rFonts w:ascii="Cambria Math" w:hAnsi="Cambria Math"/>
                        <w:i/>
                      </w:rPr>
                    </m:ctrlPr>
                  </m:sSubPr>
                  <m:e>
                    <m:r>
                      <w:rPr>
                        <w:rFonts w:ascii="Cambria Math" w:hAnsi="Cambria Math"/>
                      </w:rPr>
                      <m:t>K</m:t>
                    </m:r>
                  </m:e>
                  <m:sub>
                    <m:r>
                      <m:rPr>
                        <m:nor/>
                      </m:rPr>
                      <w:rPr>
                        <w:rFonts w:ascii="Cambria Math"/>
                      </w:rPr>
                      <m:t>0,</m:t>
                    </m:r>
                    <m:r>
                      <m:rPr>
                        <m:nor/>
                      </m:rPr>
                      <w:rPr>
                        <w:rFonts w:ascii="Cambria Math"/>
                        <w:i/>
                        <w:iCs/>
                      </w:rPr>
                      <m:t>r</m:t>
                    </m:r>
                    <m:ctrlPr>
                      <w:rPr>
                        <w:rFonts w:ascii="Cambria Math" w:hAnsi="Cambria Math"/>
                      </w:rPr>
                    </m:ctrlPr>
                  </m:sub>
                </m:sSub>
              </m:e>
            </m:d>
          </m:e>
        </m:func>
        <m:r>
          <w:rPr>
            <w:rFonts w:ascii="Cambria Math" w:hAnsi="Cambria Math"/>
          </w:rPr>
          <m:t>-</m:t>
        </m:r>
        <m:sSub>
          <m:sSubPr>
            <m:ctrlPr>
              <w:rPr>
                <w:rFonts w:ascii="Cambria Math" w:hAnsi="Cambria Math"/>
                <w:i/>
              </w:rPr>
            </m:ctrlPr>
          </m:sSubPr>
          <m:e>
            <m:r>
              <w:rPr>
                <w:rFonts w:ascii="Cambria Math" w:hAnsi="Cambria Math"/>
              </w:rPr>
              <m:t>K</m:t>
            </m:r>
          </m:e>
          <m:sub>
            <m:r>
              <m:rPr>
                <m:nor/>
              </m:rPr>
              <w:rPr>
                <w:rFonts w:ascii="Cambria Math"/>
              </w:rPr>
              <m:t>0,</m:t>
            </m:r>
            <m:r>
              <m:rPr>
                <m:nor/>
              </m:rPr>
              <w:rPr>
                <w:rFonts w:ascii="Cambria Math"/>
                <w:i/>
                <w:iCs/>
              </w:rPr>
              <m:t>r</m:t>
            </m:r>
            <m:ctrlPr>
              <w:rPr>
                <w:rFonts w:ascii="Cambria Math" w:hAnsi="Cambria Math"/>
              </w:rPr>
            </m:ctrlPr>
          </m:sub>
        </m:sSub>
      </m:oMath>
    </w:p>
    <w:p w14:paraId="127C2F7B" w14:textId="77777777" w:rsidR="00CC29A0" w:rsidRPr="00B27E56" w:rsidRDefault="00CC29A0" w:rsidP="00152171">
      <w:pPr>
        <w:pStyle w:val="B1"/>
      </w:pPr>
      <w:r w:rsidRPr="00B27E56">
        <w:rPr>
          <w:lang w:eastAsia="zh-CN"/>
        </w:rPr>
        <w:t xml:space="preserve">set </w:t>
      </w:r>
      <m:oMath>
        <m:r>
          <m:rPr>
            <m:nor/>
          </m:rPr>
          <w:rPr>
            <w:rFonts w:ascii="Freestyle Script" w:hAnsi="Freestyle Script"/>
          </w:rPr>
          <m:t>C</m:t>
        </m:r>
        <m:d>
          <m:dPr>
            <m:ctrlPr>
              <w:rPr>
                <w:rFonts w:ascii="Cambria Math" w:hAnsi="Cambria Math" w:cs="Helvetica"/>
                <w:i/>
              </w:rPr>
            </m:ctrlPr>
          </m:dPr>
          <m:e>
            <m:sSub>
              <m:sSubPr>
                <m:ctrlPr>
                  <w:rPr>
                    <w:rFonts w:ascii="Cambria Math" w:hAnsi="Cambria Math"/>
                    <w:i/>
                  </w:rPr>
                </m:ctrlPr>
              </m:sSubPr>
              <m:e>
                <m:r>
                  <w:rPr>
                    <w:rFonts w:ascii="Cambria Math" w:hAnsi="Cambria Math"/>
                  </w:rPr>
                  <m:t>P</m:t>
                </m:r>
              </m:e>
              <m:sub>
                <m:r>
                  <m:rPr>
                    <m:nor/>
                  </m:rPr>
                  <w:rPr>
                    <w:rFonts w:ascii="Cambria Math"/>
                    <w:i/>
                    <w:iCs/>
                  </w:rPr>
                  <m:t>r</m:t>
                </m:r>
                <m:ctrlPr>
                  <w:rPr>
                    <w:rFonts w:ascii="Cambria Math" w:hAnsi="Cambria Math"/>
                  </w:rPr>
                </m:ctrlPr>
              </m:sub>
            </m:sSub>
          </m:e>
        </m:d>
      </m:oMath>
      <w:r w:rsidRPr="00B27E56">
        <w:t xml:space="preserve"> to the cardinality of </w:t>
      </w:r>
      <m:oMath>
        <m:sSub>
          <m:sSubPr>
            <m:ctrlPr>
              <w:rPr>
                <w:rFonts w:ascii="Cambria Math" w:hAnsi="Cambria Math"/>
                <w:i/>
              </w:rPr>
            </m:ctrlPr>
          </m:sSubPr>
          <m:e>
            <m:r>
              <w:rPr>
                <w:rFonts w:ascii="Cambria Math" w:hAnsi="Cambria Math"/>
              </w:rPr>
              <m:t>P</m:t>
            </m:r>
          </m:e>
          <m:sub>
            <m:r>
              <m:rPr>
                <m:nor/>
              </m:rPr>
              <w:rPr>
                <w:rFonts w:ascii="Cambria Math"/>
                <w:i/>
                <w:iCs/>
              </w:rPr>
              <m:t>r</m:t>
            </m:r>
            <m:ctrlPr>
              <w:rPr>
                <w:rFonts w:ascii="Cambria Math" w:hAnsi="Cambria Math"/>
              </w:rPr>
            </m:ctrlPr>
          </m:sub>
        </m:sSub>
      </m:oMath>
    </w:p>
    <w:p w14:paraId="41364019" w14:textId="77777777" w:rsidR="00CC29A0" w:rsidRPr="00B27E56" w:rsidRDefault="00CC29A0" w:rsidP="00152171">
      <w:pPr>
        <w:pStyle w:val="B1"/>
      </w:pPr>
      <w:r w:rsidRPr="00B27E56">
        <w:rPr>
          <w:lang w:eastAsia="zh-CN"/>
        </w:rPr>
        <w:t xml:space="preserve">set </w:t>
      </w:r>
      <m:oMath>
        <m:r>
          <m:rPr>
            <m:nor/>
          </m:rPr>
          <w:rPr>
            <w:rFonts w:ascii="Freestyle Script" w:hAnsi="Freestyle Script"/>
          </w:rPr>
          <m:t>C</m:t>
        </m:r>
        <m:d>
          <m:dPr>
            <m:ctrlPr>
              <w:rPr>
                <w:rFonts w:ascii="Cambria Math" w:hAnsi="Cambria Math" w:cs="Helvetica"/>
                <w:i/>
              </w:rPr>
            </m:ctrlPr>
          </m:dPr>
          <m:e>
            <m:r>
              <w:rPr>
                <w:rFonts w:ascii="Cambria Math" w:hAnsi="Cambria Math"/>
              </w:rPr>
              <m:t>∆</m:t>
            </m:r>
            <m:sSub>
              <m:sSubPr>
                <m:ctrlPr>
                  <w:rPr>
                    <w:rFonts w:ascii="Cambria Math" w:hAnsi="Cambria Math"/>
                    <w:i/>
                  </w:rPr>
                </m:ctrlPr>
              </m:sSubPr>
              <m:e>
                <m:r>
                  <w:rPr>
                    <w:rFonts w:ascii="Cambria Math" w:hAnsi="Cambria Math"/>
                  </w:rPr>
                  <m:t>K</m:t>
                </m:r>
              </m:e>
              <m:sub>
                <m:r>
                  <m:rPr>
                    <m:nor/>
                  </m:rPr>
                  <w:rPr>
                    <w:rFonts w:ascii="Cambria Math"/>
                  </w:rPr>
                  <m:t>0,</m:t>
                </m:r>
                <m:r>
                  <m:rPr>
                    <m:nor/>
                  </m:rPr>
                  <w:rPr>
                    <w:rFonts w:ascii="Cambria Math"/>
                    <w:i/>
                    <w:iCs/>
                  </w:rPr>
                  <m:t>r</m:t>
                </m:r>
                <m:ctrlPr>
                  <w:rPr>
                    <w:rFonts w:ascii="Cambria Math" w:hAnsi="Cambria Math"/>
                  </w:rPr>
                </m:ctrlPr>
              </m:sub>
            </m:sSub>
          </m:e>
        </m:d>
      </m:oMath>
      <w:r w:rsidRPr="00B27E56">
        <w:t xml:space="preserve"> to the cardinality of </w:t>
      </w:r>
      <m:oMath>
        <m:r>
          <w:rPr>
            <w:rFonts w:ascii="Cambria Math" w:hAnsi="Cambria Math"/>
          </w:rPr>
          <m:t>∆</m:t>
        </m:r>
        <m:sSub>
          <m:sSubPr>
            <m:ctrlPr>
              <w:rPr>
                <w:rFonts w:ascii="Cambria Math" w:hAnsi="Cambria Math"/>
                <w:i/>
              </w:rPr>
            </m:ctrlPr>
          </m:sSubPr>
          <m:e>
            <m:r>
              <w:rPr>
                <w:rFonts w:ascii="Cambria Math" w:hAnsi="Cambria Math"/>
              </w:rPr>
              <m:t>K</m:t>
            </m:r>
          </m:e>
          <m:sub>
            <m:r>
              <m:rPr>
                <m:nor/>
              </m:rPr>
              <w:rPr>
                <w:rFonts w:ascii="Cambria Math"/>
              </w:rPr>
              <m:t>0,</m:t>
            </m:r>
            <m:r>
              <m:rPr>
                <m:nor/>
              </m:rPr>
              <w:rPr>
                <w:rFonts w:ascii="Cambria Math"/>
                <w:i/>
                <w:iCs/>
              </w:rPr>
              <m:t>r</m:t>
            </m:r>
            <m:ctrlPr>
              <w:rPr>
                <w:rFonts w:ascii="Cambria Math" w:hAnsi="Cambria Math"/>
              </w:rPr>
            </m:ctrlPr>
          </m:sub>
        </m:sSub>
      </m:oMath>
    </w:p>
    <w:p w14:paraId="6962F31A" w14:textId="41DD6D0C" w:rsidR="00CC29A0" w:rsidRPr="00B27E56" w:rsidRDefault="00CC29A0" w:rsidP="00152171">
      <w:pPr>
        <w:pStyle w:val="B1"/>
      </w:pPr>
      <w:r w:rsidRPr="00B27E56">
        <w:rPr>
          <w:lang w:eastAsia="zh-CN"/>
        </w:rPr>
        <w:t>s</w:t>
      </w:r>
      <w:r w:rsidRPr="00B27E56">
        <w:rPr>
          <w:rFonts w:hint="eastAsia"/>
          <w:lang w:eastAsia="zh-CN"/>
        </w:rPr>
        <w:t xml:space="preserve">et </w:t>
      </w:r>
      <m:oMath>
        <m:r>
          <w:rPr>
            <w:rFonts w:ascii="Cambria Math" w:hAnsi="Cambria Math"/>
          </w:rPr>
          <m:t>p=0</m:t>
        </m:r>
      </m:oMath>
      <w:r w:rsidRPr="00B27E56">
        <w:rPr>
          <w:rFonts w:hint="eastAsia"/>
          <w:lang w:eastAsia="zh-CN"/>
        </w:rPr>
        <w:t xml:space="preserve"> </w:t>
      </w:r>
      <w:r w:rsidRPr="00B27E56">
        <w:rPr>
          <w:lang w:eastAsia="zh-CN"/>
        </w:rPr>
        <w:t>–</w:t>
      </w:r>
      <w:r w:rsidRPr="00B27E56">
        <w:rPr>
          <w:rFonts w:hint="eastAsia"/>
          <w:lang w:eastAsia="zh-CN"/>
        </w:rPr>
        <w:t xml:space="preserve"> index of </w:t>
      </w:r>
      <w:r w:rsidRPr="00B27E56">
        <w:rPr>
          <w:lang w:eastAsia="zh-CN"/>
        </w:rPr>
        <w:t xml:space="preserve">element in </w:t>
      </w:r>
      <m:oMath>
        <m:sSub>
          <m:sSubPr>
            <m:ctrlPr>
              <w:rPr>
                <w:rFonts w:ascii="Cambria Math" w:hAnsi="Cambria Math"/>
                <w:i/>
              </w:rPr>
            </m:ctrlPr>
          </m:sSubPr>
          <m:e>
            <m:r>
              <w:rPr>
                <w:rFonts w:ascii="Cambria Math" w:hAnsi="Cambria Math"/>
              </w:rPr>
              <m:t>P</m:t>
            </m:r>
          </m:e>
          <m:sub>
            <m:r>
              <m:rPr>
                <m:nor/>
              </m:rPr>
              <w:rPr>
                <w:rFonts w:ascii="Cambria Math"/>
                <w:i/>
                <w:iCs/>
              </w:rPr>
              <m:t>r</m:t>
            </m:r>
            <m:ctrlPr>
              <w:rPr>
                <w:rFonts w:ascii="Cambria Math" w:hAnsi="Cambria Math"/>
              </w:rPr>
            </m:ctrlPr>
          </m:sub>
        </m:sSub>
      </m:oMath>
      <w:r w:rsidRPr="00B27E56">
        <w:rPr>
          <w:lang w:eastAsia="zh-CN"/>
        </w:rPr>
        <w:t>s</w:t>
      </w:r>
      <w:r w:rsidRPr="00B27E56">
        <w:rPr>
          <w:rFonts w:hint="eastAsia"/>
          <w:lang w:eastAsia="zh-CN"/>
        </w:rPr>
        <w:t xml:space="preserve">et </w:t>
      </w:r>
      <m:oMath>
        <m:r>
          <w:rPr>
            <w:rFonts w:ascii="Cambria Math" w:hAnsi="Cambria Math"/>
          </w:rPr>
          <m:t>d=0</m:t>
        </m:r>
      </m:oMath>
      <w:r w:rsidRPr="00B27E56">
        <w:rPr>
          <w:rFonts w:hint="eastAsia"/>
          <w:lang w:eastAsia="zh-CN"/>
        </w:rPr>
        <w:t xml:space="preserve"> </w:t>
      </w:r>
      <w:r w:rsidRPr="00B27E56">
        <w:rPr>
          <w:lang w:eastAsia="zh-CN"/>
        </w:rPr>
        <w:t>–</w:t>
      </w:r>
      <w:r w:rsidRPr="00B27E56">
        <w:rPr>
          <w:rFonts w:hint="eastAsia"/>
          <w:lang w:eastAsia="zh-CN"/>
        </w:rPr>
        <w:t xml:space="preserve"> index of </w:t>
      </w:r>
      <w:r w:rsidRPr="00B27E56">
        <w:rPr>
          <w:lang w:eastAsia="zh-CN"/>
        </w:rPr>
        <w:t xml:space="preserve">element in </w:t>
      </w:r>
      <m:oMath>
        <m:r>
          <w:rPr>
            <w:rFonts w:ascii="Cambria Math" w:hAnsi="Cambria Math"/>
          </w:rPr>
          <m:t>∆</m:t>
        </m:r>
        <m:sSub>
          <m:sSubPr>
            <m:ctrlPr>
              <w:rPr>
                <w:rFonts w:ascii="Cambria Math" w:hAnsi="Cambria Math"/>
                <w:i/>
              </w:rPr>
            </m:ctrlPr>
          </m:sSubPr>
          <m:e>
            <m:r>
              <w:rPr>
                <w:rFonts w:ascii="Cambria Math" w:hAnsi="Cambria Math"/>
              </w:rPr>
              <m:t>K</m:t>
            </m:r>
          </m:e>
          <m:sub>
            <m:r>
              <m:rPr>
                <m:nor/>
              </m:rPr>
              <w:rPr>
                <w:rFonts w:ascii="Cambria Math"/>
              </w:rPr>
              <m:t>0,</m:t>
            </m:r>
            <m:r>
              <m:rPr>
                <m:nor/>
              </m:rPr>
              <w:rPr>
                <w:rFonts w:ascii="Cambria Math"/>
                <w:i/>
                <w:iCs/>
              </w:rPr>
              <m:t>r</m:t>
            </m:r>
            <m:ctrlPr>
              <w:rPr>
                <w:rFonts w:ascii="Cambria Math" w:hAnsi="Cambria Math"/>
              </w:rPr>
            </m:ctrlPr>
          </m:sub>
        </m:sSub>
      </m:oMath>
    </w:p>
    <w:p w14:paraId="14150B02" w14:textId="77777777" w:rsidR="00CC29A0" w:rsidRPr="00F63200" w:rsidRDefault="00CC29A0" w:rsidP="00152171">
      <w:pPr>
        <w:pStyle w:val="B1"/>
        <w:rPr>
          <w:lang w:val="fr-FR"/>
        </w:rPr>
      </w:pPr>
      <w:r w:rsidRPr="00F63200">
        <w:rPr>
          <w:lang w:val="fr-FR"/>
        </w:rPr>
        <w:t xml:space="preserve">while </w:t>
      </w:r>
      <m:oMath>
        <m:r>
          <w:rPr>
            <w:rFonts w:ascii="Cambria Math" w:hAnsi="Cambria Math"/>
          </w:rPr>
          <m:t>p</m:t>
        </m:r>
        <m:r>
          <w:rPr>
            <w:rFonts w:ascii="Cambria Math" w:hAnsi="Cambria Math"/>
            <w:lang w:val="fr-FR"/>
          </w:rPr>
          <m:t>&lt;</m:t>
        </m:r>
        <m:r>
          <m:rPr>
            <m:nor/>
          </m:rPr>
          <w:rPr>
            <w:rFonts w:ascii="Freestyle Script" w:hAnsi="Freestyle Script"/>
            <w:lang w:val="fr-FR"/>
          </w:rPr>
          <m:t>C</m:t>
        </m:r>
        <m:d>
          <m:dPr>
            <m:ctrlPr>
              <w:rPr>
                <w:rFonts w:ascii="Cambria Math" w:hAnsi="Cambria Math" w:cs="Helvetica"/>
                <w:i/>
              </w:rPr>
            </m:ctrlPr>
          </m:dPr>
          <m:e>
            <m:sSub>
              <m:sSubPr>
                <m:ctrlPr>
                  <w:rPr>
                    <w:rFonts w:ascii="Cambria Math" w:hAnsi="Cambria Math"/>
                    <w:i/>
                  </w:rPr>
                </m:ctrlPr>
              </m:sSubPr>
              <m:e>
                <m:r>
                  <w:rPr>
                    <w:rFonts w:ascii="Cambria Math" w:hAnsi="Cambria Math"/>
                  </w:rPr>
                  <m:t>P</m:t>
                </m:r>
              </m:e>
              <m:sub>
                <m:r>
                  <m:rPr>
                    <m:nor/>
                  </m:rPr>
                  <w:rPr>
                    <w:rFonts w:ascii="Cambria Math"/>
                    <w:i/>
                    <w:iCs/>
                    <w:lang w:val="fr-FR"/>
                  </w:rPr>
                  <m:t>r</m:t>
                </m:r>
                <m:ctrlPr>
                  <w:rPr>
                    <w:rFonts w:ascii="Cambria Math" w:hAnsi="Cambria Math"/>
                  </w:rPr>
                </m:ctrlPr>
              </m:sub>
            </m:sSub>
          </m:e>
        </m:d>
      </m:oMath>
    </w:p>
    <w:p w14:paraId="0654080C" w14:textId="70784656" w:rsidR="00CC29A0" w:rsidRPr="00152171" w:rsidRDefault="00000000" w:rsidP="00152171">
      <w:pPr>
        <w:pStyle w:val="B2"/>
        <w:rPr>
          <w:i/>
          <w:lang w:val="fr-FR"/>
        </w:rPr>
      </w:pPr>
      <m:oMath>
        <m:sSub>
          <m:sSubPr>
            <m:ctrlPr>
              <w:rPr>
                <w:rFonts w:ascii="Cambria Math" w:hAnsi="Cambria Math"/>
                <w:i/>
              </w:rPr>
            </m:ctrlPr>
          </m:sSubPr>
          <m:e>
            <m:r>
              <w:rPr>
                <w:rFonts w:ascii="Cambria Math" w:hAnsi="Cambria Math"/>
              </w:rPr>
              <m:t>R</m:t>
            </m:r>
          </m:e>
          <m:sub>
            <m:r>
              <m:rPr>
                <m:nor/>
              </m:rPr>
              <w:rPr>
                <w:i/>
                <w:lang w:val="fr-FR"/>
              </w:rPr>
              <m:t>T</m:t>
            </m:r>
          </m:sub>
        </m:sSub>
        <m:r>
          <w:rPr>
            <w:rFonts w:ascii="Cambria Math" w:hAnsi="Cambria Math"/>
            <w:lang w:val="fr-FR"/>
          </w:rPr>
          <m:t>=</m:t>
        </m:r>
        <m:sSub>
          <m:sSubPr>
            <m:ctrlPr>
              <w:rPr>
                <w:rFonts w:ascii="Cambria Math" w:hAnsi="Cambria Math"/>
                <w:i/>
              </w:rPr>
            </m:ctrlPr>
          </m:sSubPr>
          <m:e>
            <m:r>
              <w:rPr>
                <w:rFonts w:ascii="Cambria Math" w:hAnsi="Cambria Math"/>
              </w:rPr>
              <m:t>R</m:t>
            </m:r>
          </m:e>
          <m:sub>
            <m:r>
              <m:rPr>
                <m:nor/>
              </m:rPr>
              <w:rPr>
                <w:i/>
                <w:lang w:val="fr-FR"/>
              </w:rPr>
              <m:t>T</m:t>
            </m:r>
          </m:sub>
        </m:sSub>
        <m:r>
          <w:rPr>
            <w:rFonts w:ascii="Cambria Math" w:hAnsi="Cambria Math" w:hint="eastAsia"/>
            <w:lang w:val="fr-FR"/>
          </w:rPr>
          <m:t>∪</m:t>
        </m:r>
        <m:sSub>
          <m:sSubPr>
            <m:ctrlPr>
              <w:rPr>
                <w:rFonts w:ascii="Cambria Math" w:hAnsi="Cambria Math"/>
                <w:i/>
              </w:rPr>
            </m:ctrlPr>
          </m:sSubPr>
          <m:e>
            <m:r>
              <w:rPr>
                <w:rFonts w:ascii="Cambria Math" w:hAnsi="Cambria Math"/>
              </w:rPr>
              <m:t>P</m:t>
            </m:r>
          </m:e>
          <m:sub>
            <m:r>
              <m:rPr>
                <m:nor/>
              </m:rPr>
              <w:rPr>
                <w:i/>
                <w:lang w:val="fr-FR"/>
              </w:rPr>
              <m:t>r</m:t>
            </m:r>
          </m:sub>
        </m:sSub>
        <m:d>
          <m:dPr>
            <m:ctrlPr>
              <w:rPr>
                <w:rFonts w:ascii="Cambria Math" w:hAnsi="Cambria Math"/>
                <w:i/>
              </w:rPr>
            </m:ctrlPr>
          </m:dPr>
          <m:e>
            <m:r>
              <w:rPr>
                <w:rFonts w:ascii="Cambria Math" w:hAnsi="Cambria Math"/>
              </w:rPr>
              <m:t>p</m:t>
            </m:r>
          </m:e>
        </m:d>
      </m:oMath>
      <w:r w:rsidR="00CC29A0" w:rsidRPr="00152171">
        <w:rPr>
          <w:i/>
          <w:lang w:val="fr-FR"/>
        </w:rPr>
        <w:t>;</w:t>
      </w:r>
    </w:p>
    <w:p w14:paraId="60C5704D" w14:textId="5981869B" w:rsidR="00CC29A0" w:rsidRPr="00B27E56" w:rsidRDefault="00CC29A0" w:rsidP="00152171">
      <w:pPr>
        <w:pStyle w:val="B2"/>
        <w:rPr>
          <w:lang w:val="en-US"/>
        </w:rPr>
      </w:pPr>
      <m:oMath>
        <m:r>
          <w:rPr>
            <w:rFonts w:ascii="Cambria Math" w:hAnsi="Cambria Math"/>
          </w:rPr>
          <m:t>p</m:t>
        </m:r>
        <m:r>
          <m:rPr>
            <m:sty m:val="p"/>
          </m:rPr>
          <w:rPr>
            <w:rFonts w:ascii="Cambria Math" w:hAnsi="Cambria Math"/>
          </w:rPr>
          <m:t>=</m:t>
        </m:r>
        <m:r>
          <w:rPr>
            <w:rFonts w:ascii="Cambria Math" w:hAnsi="Cambria Math"/>
          </w:rPr>
          <m:t>p</m:t>
        </m:r>
        <m:r>
          <m:rPr>
            <m:sty m:val="p"/>
          </m:rPr>
          <w:rPr>
            <w:rFonts w:ascii="Cambria Math" w:hAnsi="Cambria Math"/>
          </w:rPr>
          <m:t>+1</m:t>
        </m:r>
      </m:oMath>
      <w:r w:rsidRPr="00B27E56">
        <w:t>;</w:t>
      </w:r>
    </w:p>
    <w:p w14:paraId="11721FCE" w14:textId="5DC74FFC" w:rsidR="00CC29A0" w:rsidRPr="00B27E56" w:rsidRDefault="00CC29A0" w:rsidP="00152171">
      <w:pPr>
        <w:pStyle w:val="B1"/>
        <w:rPr>
          <w:lang w:eastAsia="zh-CN"/>
        </w:rPr>
      </w:pPr>
      <w:r w:rsidRPr="00B27E56">
        <w:rPr>
          <w:lang w:eastAsia="zh-CN"/>
        </w:rPr>
        <w:t>end while</w:t>
      </w:r>
    </w:p>
    <w:p w14:paraId="623ACF8A" w14:textId="77777777" w:rsidR="00CC29A0" w:rsidRPr="00B27E56" w:rsidRDefault="00CC29A0" w:rsidP="00152171">
      <w:pPr>
        <w:pStyle w:val="B1"/>
      </w:pPr>
      <w:r w:rsidRPr="00B27E56">
        <w:t xml:space="preserve">while </w:t>
      </w:r>
      <m:oMath>
        <m:r>
          <w:rPr>
            <w:rFonts w:ascii="Cambria Math" w:hAnsi="Cambria Math"/>
          </w:rPr>
          <m:t>d</m:t>
        </m:r>
        <m:r>
          <m:rPr>
            <m:sty m:val="p"/>
          </m:rPr>
          <w:rPr>
            <w:rFonts w:ascii="Cambria Math" w:hAnsi="Cambria Math"/>
          </w:rPr>
          <m:t>&lt;</m:t>
        </m:r>
        <m:r>
          <m:rPr>
            <m:nor/>
          </m:rPr>
          <w:rPr>
            <w:rFonts w:ascii="Freestyle Script" w:hAnsi="Freestyle Script"/>
          </w:rPr>
          <m:t>C</m:t>
        </m:r>
        <m:d>
          <m:dPr>
            <m:ctrlPr>
              <w:rPr>
                <w:rFonts w:ascii="Cambria Math" w:hAnsi="Cambria Math" w:cs="Helvetica"/>
              </w:rPr>
            </m:ctrlPr>
          </m:dPr>
          <m:e>
            <m:r>
              <m:rPr>
                <m:sty m:val="p"/>
              </m:rPr>
              <w:rPr>
                <w:rFonts w:ascii="Cambria Math" w:hAnsi="Cambria Math"/>
              </w:rPr>
              <m:t>∆</m:t>
            </m:r>
            <m:sSub>
              <m:sSubPr>
                <m:ctrlPr>
                  <w:rPr>
                    <w:rFonts w:ascii="Cambria Math" w:hAnsi="Cambria Math"/>
                  </w:rPr>
                </m:ctrlPr>
              </m:sSubPr>
              <m:e>
                <m:r>
                  <w:rPr>
                    <w:rFonts w:ascii="Cambria Math" w:hAnsi="Cambria Math"/>
                  </w:rPr>
                  <m:t>K</m:t>
                </m:r>
              </m:e>
              <m:sub>
                <m:r>
                  <m:rPr>
                    <m:nor/>
                  </m:rPr>
                  <m:t>0,</m:t>
                </m:r>
                <m:r>
                  <m:rPr>
                    <m:nor/>
                  </m:rPr>
                  <w:rPr>
                    <w:iCs/>
                  </w:rPr>
                  <m:t>r</m:t>
                </m:r>
              </m:sub>
            </m:sSub>
          </m:e>
        </m:d>
      </m:oMath>
    </w:p>
    <w:p w14:paraId="0538D9B2" w14:textId="77777777" w:rsidR="00CC29A0" w:rsidRPr="00B27E56" w:rsidRDefault="00000000" w:rsidP="00152171">
      <w:pPr>
        <w:pStyle w:val="B2"/>
      </w:pPr>
      <m:oMath>
        <m:sSub>
          <m:sSubPr>
            <m:ctrlPr>
              <w:rPr>
                <w:rFonts w:ascii="Cambria Math" w:hAnsi="Cambria Math"/>
              </w:rPr>
            </m:ctrlPr>
          </m:sSubPr>
          <m:e>
            <m:r>
              <w:rPr>
                <w:rFonts w:ascii="Cambria Math" w:hAnsi="Cambria Math"/>
              </w:rPr>
              <m:t>K</m:t>
            </m:r>
          </m:e>
          <m:sub>
            <m:r>
              <m:rPr>
                <m:sty m:val="p"/>
              </m:rPr>
              <w:rPr>
                <w:rFonts w:ascii="Cambria Math" w:hAnsi="Cambria Math"/>
              </w:rPr>
              <m:t>1,</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r>
              <w:rPr>
                <w:rFonts w:ascii="Cambria Math" w:hAnsi="Cambria Math"/>
              </w:rPr>
              <m:t>T</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K</m:t>
                    </m:r>
                  </m:e>
                  <m:sub>
                    <m:r>
                      <m:rPr>
                        <m:nor/>
                      </m:rPr>
                      <m:t>0,</m:t>
                    </m:r>
                    <m:r>
                      <m:rPr>
                        <m:nor/>
                      </m:rPr>
                      <w:rPr>
                        <w:iCs/>
                      </w:rPr>
                      <m:t>r</m:t>
                    </m:r>
                  </m:sub>
                </m:sSub>
                <m:r>
                  <m:rPr>
                    <m:sty m:val="p"/>
                  </m:rPr>
                  <w:rPr>
                    <w:rFonts w:ascii="Cambria Math" w:hAnsi="Cambria Math" w:cs="Cambria Math"/>
                    <w:lang w:eastAsia="zh-CN"/>
                  </w:rPr>
                  <m:t>(</m:t>
                </m:r>
                <m:r>
                  <w:rPr>
                    <w:rFonts w:ascii="Cambria Math" w:hAnsi="Cambria Math" w:cs="Cambria Math"/>
                    <w:lang w:val="fr-FR" w:eastAsia="zh-CN"/>
                  </w:rPr>
                  <m:t>d</m:t>
                </m:r>
                <m:r>
                  <m:rPr>
                    <m:sty m:val="p"/>
                  </m:rPr>
                  <w:rPr>
                    <w:rFonts w:ascii="Cambria Math" w:hAnsi="Cambria Math" w:cs="Cambria Math"/>
                    <w:lang w:eastAsia="zh-CN"/>
                  </w:rPr>
                  <m:t>)⋅</m:t>
                </m:r>
                <m:sSup>
                  <m:sSupPr>
                    <m:ctrlPr>
                      <w:rPr>
                        <w:rFonts w:ascii="Cambria Math" w:hAnsi="Cambria Math"/>
                      </w:rPr>
                    </m:ctrlPr>
                  </m:sSupPr>
                  <m:e>
                    <m:r>
                      <m:rPr>
                        <m:sty m:val="p"/>
                      </m:rPr>
                      <w:rPr>
                        <w:rFonts w:ascii="Cambria Math" w:hAnsi="Cambria Math"/>
                      </w:rPr>
                      <m:t>2</m:t>
                    </m:r>
                  </m:e>
                  <m:sup>
                    <m:sSub>
                      <m:sSubPr>
                        <m:ctrlPr>
                          <w:rPr>
                            <w:rFonts w:ascii="Cambria Math" w:hAnsi="Cambria Math"/>
                          </w:rPr>
                        </m:ctrlPr>
                      </m:sSubPr>
                      <m:e>
                        <m:r>
                          <w:rPr>
                            <w:rFonts w:ascii="Cambria Math" w:hAnsi="Cambria Math"/>
                          </w:rPr>
                          <m:t>μ</m:t>
                        </m:r>
                      </m:e>
                      <m:sub>
                        <m:r>
                          <m:rPr>
                            <m:sty m:val="p"/>
                          </m:rPr>
                          <w:rPr>
                            <w:rFonts w:ascii="Cambria Math" w:hAnsi="Cambria Math"/>
                          </w:rPr>
                          <m:t>UL</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DL</m:t>
                        </m:r>
                      </m:sub>
                    </m:sSub>
                  </m:sup>
                </m:sSup>
              </m:e>
            </m:d>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K</m:t>
                    </m:r>
                  </m:e>
                  <m:sub>
                    <m:r>
                      <m:rPr>
                        <m:nor/>
                      </m:rPr>
                      <m:t>0,</m:t>
                    </m:r>
                    <m:r>
                      <m:rPr>
                        <m:nor/>
                      </m:rPr>
                      <w:rPr>
                        <w:iCs/>
                      </w:rPr>
                      <m:t>r</m:t>
                    </m:r>
                  </m:sub>
                </m:sSub>
                <m:r>
                  <m:rPr>
                    <m:sty m:val="p"/>
                  </m:rPr>
                  <w:rPr>
                    <w:rFonts w:ascii="Cambria Math" w:hAnsi="Cambria Math" w:cs="Cambria Math"/>
                    <w:lang w:eastAsia="zh-CN"/>
                  </w:rPr>
                  <m:t>(</m:t>
                </m:r>
                <m:r>
                  <w:rPr>
                    <w:rFonts w:ascii="Cambria Math" w:hAnsi="Cambria Math" w:cs="Cambria Math"/>
                    <w:lang w:val="fr-FR" w:eastAsia="zh-CN"/>
                  </w:rPr>
                  <m:t>d</m:t>
                </m:r>
                <m:r>
                  <m:rPr>
                    <m:sty m:val="p"/>
                  </m:rPr>
                  <w:rPr>
                    <w:rFonts w:ascii="Cambria Math" w:hAnsi="Cambria Math" w:cs="Cambria Math"/>
                    <w:lang w:eastAsia="zh-CN"/>
                  </w:rPr>
                  <m:t>)⋅</m:t>
                </m:r>
                <m:sSup>
                  <m:sSupPr>
                    <m:ctrlPr>
                      <w:rPr>
                        <w:rFonts w:ascii="Cambria Math" w:hAnsi="Cambria Math"/>
                      </w:rPr>
                    </m:ctrlPr>
                  </m:sSupPr>
                  <m:e>
                    <m:r>
                      <m:rPr>
                        <m:sty m:val="p"/>
                      </m:rPr>
                      <w:rPr>
                        <w:rFonts w:ascii="Cambria Math" w:hAnsi="Cambria Math"/>
                      </w:rPr>
                      <m:t>2</m:t>
                    </m:r>
                  </m:e>
                  <m:sup>
                    <m:sSub>
                      <m:sSubPr>
                        <m:ctrlPr>
                          <w:rPr>
                            <w:rFonts w:ascii="Cambria Math" w:hAnsi="Cambria Math"/>
                          </w:rPr>
                        </m:ctrlPr>
                      </m:sSubPr>
                      <m:e>
                        <m:r>
                          <w:rPr>
                            <w:rFonts w:ascii="Cambria Math" w:hAnsi="Cambria Math"/>
                          </w:rPr>
                          <m:t>μ</m:t>
                        </m:r>
                      </m:e>
                      <m:sub>
                        <m:r>
                          <m:rPr>
                            <m:sty m:val="p"/>
                          </m:rPr>
                          <w:rPr>
                            <w:rFonts w:ascii="Cambria Math" w:hAnsi="Cambria Math"/>
                          </w:rPr>
                          <m:t>UL</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DL</m:t>
                        </m:r>
                      </m:sub>
                    </m:sSub>
                  </m:sup>
                </m:sSup>
              </m:e>
            </m:d>
          </m:e>
        </m:d>
      </m:oMath>
      <w:r w:rsidR="00CC29A0" w:rsidRPr="00B27E56">
        <w:t>;</w:t>
      </w:r>
    </w:p>
    <w:p w14:paraId="71043F1A" w14:textId="09FF5B15" w:rsidR="00CC29A0" w:rsidRPr="00B27E56" w:rsidRDefault="00CC29A0" w:rsidP="00152171">
      <w:pPr>
        <w:pStyle w:val="B2"/>
        <w:rPr>
          <w:lang w:val="en-US"/>
        </w:rPr>
      </w:pPr>
      <m:oMath>
        <m:r>
          <w:rPr>
            <w:rFonts w:ascii="Cambria Math" w:hAnsi="Cambria Math"/>
          </w:rPr>
          <m:t>d</m:t>
        </m:r>
        <m:r>
          <m:rPr>
            <m:sty m:val="p"/>
          </m:rPr>
          <w:rPr>
            <w:rFonts w:ascii="Cambria Math" w:hAnsi="Cambria Math"/>
          </w:rPr>
          <m:t>=</m:t>
        </m:r>
        <m:r>
          <w:rPr>
            <w:rFonts w:ascii="Cambria Math" w:hAnsi="Cambria Math"/>
          </w:rPr>
          <m:t>d</m:t>
        </m:r>
        <m:r>
          <m:rPr>
            <m:sty m:val="p"/>
          </m:rPr>
          <w:rPr>
            <w:rFonts w:ascii="Cambria Math" w:hAnsi="Cambria Math"/>
          </w:rPr>
          <m:t>+1</m:t>
        </m:r>
      </m:oMath>
      <w:r w:rsidRPr="00B27E56">
        <w:t>;</w:t>
      </w:r>
    </w:p>
    <w:p w14:paraId="4AF5C68D" w14:textId="2BB5153E" w:rsidR="00CC29A0" w:rsidRPr="00B27E56" w:rsidRDefault="00CC29A0" w:rsidP="00152171">
      <w:pPr>
        <w:pStyle w:val="B1"/>
        <w:rPr>
          <w:lang w:eastAsia="zh-CN"/>
        </w:rPr>
      </w:pPr>
      <w:r w:rsidRPr="00B27E56">
        <w:rPr>
          <w:lang w:eastAsia="zh-CN"/>
        </w:rPr>
        <w:t>end while</w:t>
      </w:r>
    </w:p>
    <w:p w14:paraId="51CEDDAC" w14:textId="77777777" w:rsidR="00CC29A0" w:rsidRPr="00B27E56" w:rsidRDefault="00CC29A0" w:rsidP="00152171">
      <w:pPr>
        <w:pStyle w:val="B1"/>
        <w:rPr>
          <w:lang w:val="en-US"/>
        </w:rPr>
      </w:pPr>
      <m:oMath>
        <m:r>
          <w:rPr>
            <w:rFonts w:ascii="Cambria Math" w:hAnsi="Cambria Math"/>
          </w:rPr>
          <m:t>r</m:t>
        </m:r>
        <m:r>
          <m:rPr>
            <m:sty m:val="p"/>
          </m:rPr>
          <w:rPr>
            <w:rFonts w:ascii="Cambria Math" w:hAnsi="Cambria Math"/>
          </w:rPr>
          <m:t>=</m:t>
        </m:r>
        <m:r>
          <w:rPr>
            <w:rFonts w:ascii="Cambria Math" w:hAnsi="Cambria Math"/>
          </w:rPr>
          <m:t>r</m:t>
        </m:r>
        <m:r>
          <m:rPr>
            <m:sty m:val="p"/>
          </m:rPr>
          <w:rPr>
            <w:rFonts w:ascii="Cambria Math" w:hAnsi="Cambria Math"/>
          </w:rPr>
          <m:t>+1</m:t>
        </m:r>
      </m:oMath>
      <w:r w:rsidRPr="00B27E56">
        <w:t>;</w:t>
      </w:r>
    </w:p>
    <w:p w14:paraId="081AF025" w14:textId="77777777" w:rsidR="00CC29A0" w:rsidRPr="00B27E56" w:rsidRDefault="00CC29A0" w:rsidP="00CC29A0">
      <w:pPr>
        <w:rPr>
          <w:lang w:val="en-US" w:eastAsia="zh-CN"/>
        </w:rPr>
      </w:pPr>
      <w:r w:rsidRPr="00B27E56">
        <w:rPr>
          <w:lang w:val="en-US" w:eastAsia="zh-CN"/>
        </w:rPr>
        <w:t>end while</w:t>
      </w:r>
    </w:p>
    <w:p w14:paraId="782CAA17" w14:textId="77777777" w:rsidR="00CC29A0" w:rsidRPr="00B27E56" w:rsidRDefault="00000000" w:rsidP="00152171">
      <w:pPr>
        <w:rPr>
          <w:lang w:val="en-US"/>
        </w:rPr>
      </w:pPr>
      <m:oMath>
        <m:sSub>
          <m:sSubPr>
            <m:ctrlPr>
              <w:rPr>
                <w:rFonts w:ascii="Cambria Math" w:hAnsi="Cambria Math"/>
              </w:rPr>
            </m:ctrlPr>
          </m:sSubPr>
          <m:e>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r>
              <w:rPr>
                <w:rFonts w:ascii="Cambria Math" w:hAnsi="Cambria Math"/>
              </w:rPr>
              <m:t>K</m:t>
            </m:r>
          </m:e>
          <m:sub>
            <m:r>
              <m:rPr>
                <m:sty m:val="p"/>
              </m:rPr>
              <w:rPr>
                <w:rFonts w:ascii="Cambria Math" w:hAnsi="Cambria Math"/>
              </w:rPr>
              <m:t>1,</m:t>
            </m:r>
            <m:r>
              <w:rPr>
                <w:rFonts w:ascii="Cambria Math" w:hAnsi="Cambria Math"/>
              </w:rPr>
              <m:t>T</m:t>
            </m:r>
          </m:sub>
        </m:sSub>
      </m:oMath>
      <w:r w:rsidR="00CC29A0" w:rsidRPr="00B27E56">
        <w:t>;</w:t>
      </w:r>
    </w:p>
    <w:p w14:paraId="1AE016A7" w14:textId="15B023AD" w:rsidR="00D508B4" w:rsidRDefault="00D508B4" w:rsidP="00D508B4">
      <w:pPr>
        <w:rPr>
          <w:lang w:val="en-US" w:eastAsia="x-none"/>
        </w:rPr>
      </w:pPr>
      <w:r>
        <w:rPr>
          <w:lang w:val="en-US" w:eastAsia="zh-CN"/>
        </w:rPr>
        <w:t>For</w:t>
      </w:r>
      <w:r>
        <w:rPr>
          <w:rFonts w:hint="eastAsia"/>
          <w:lang w:val="en-US" w:eastAsia="zh-CN"/>
        </w:rPr>
        <w:t xml:space="preserve"> </w:t>
      </w:r>
      <w:r>
        <w:rPr>
          <w:lang w:val="en-US" w:eastAsia="zh-CN"/>
        </w:rPr>
        <w:t xml:space="preserve">the set </w:t>
      </w:r>
      <w:r w:rsidRPr="00827700">
        <w:rPr>
          <w:lang w:val="en-US" w:eastAsia="zh-CN"/>
        </w:rPr>
        <w:t>of slot timing values</w:t>
      </w:r>
      <w:r>
        <w:rPr>
          <w:rFonts w:hint="eastAsia"/>
          <w:vertAlign w:val="subscript"/>
          <w:lang w:val="en-US" w:eastAsia="zh-CN"/>
        </w:rPr>
        <w:t xml:space="preserve"> </w:t>
      </w:r>
      <m:oMath>
        <m:sSub>
          <m:sSubPr>
            <m:ctrlPr>
              <w:rPr>
                <w:rFonts w:ascii="Cambria Math" w:hAnsi="Cambria Math"/>
                <w:i/>
              </w:rPr>
            </m:ctrlPr>
          </m:sSubPr>
          <m:e>
            <m:r>
              <w:rPr>
                <w:rFonts w:ascii="Cambria Math" w:hAnsi="Cambria Math"/>
              </w:rPr>
              <m:t>K</m:t>
            </m:r>
          </m:e>
          <m:sub>
            <m:r>
              <m:rPr>
                <m:nor/>
              </m:rPr>
              <w:rPr>
                <w:rFonts w:ascii="Cambria Math"/>
              </w:rPr>
              <m:t>1</m:t>
            </m:r>
            <m:ctrlPr>
              <w:rPr>
                <w:rFonts w:ascii="Cambria Math" w:hAnsi="Cambria Math"/>
              </w:rPr>
            </m:ctrlPr>
          </m:sub>
        </m:sSub>
      </m:oMath>
      <w:r w:rsidRPr="00827700">
        <w:rPr>
          <w:rFonts w:hint="eastAsia"/>
          <w:lang w:val="en-US" w:eastAsia="zh-CN"/>
        </w:rPr>
        <w:t>,</w:t>
      </w:r>
      <w:r w:rsidRPr="00827700">
        <w:rPr>
          <w:lang w:val="en-US" w:eastAsia="zh-CN"/>
        </w:rPr>
        <w:t xml:space="preserve"> the UE determines</w:t>
      </w:r>
      <w:r w:rsidR="00732F63">
        <w:rPr>
          <w:lang w:val="en-US" w:eastAsia="zh-CN"/>
        </w:rPr>
        <w:t xml:space="preserve"> a set of</w:t>
      </w:r>
      <w:r w:rsidRPr="00827700">
        <w:rPr>
          <w:rFonts w:hint="eastAsia"/>
          <w:lang w:val="en-US" w:eastAsia="zh-CN"/>
        </w:rPr>
        <w:t xml:space="preserve"> </w:t>
      </w:r>
      <m:oMath>
        <m:sSub>
          <m:sSubPr>
            <m:ctrlPr>
              <w:rPr>
                <w:rFonts w:ascii="Cambria Math" w:hAnsi="Cambria Math"/>
                <w:i/>
              </w:rPr>
            </m:ctrlPr>
          </m:sSubPr>
          <m:e>
            <m:r>
              <w:rPr>
                <w:rFonts w:ascii="Cambria Math" w:hAnsi="Cambria Math"/>
              </w:rPr>
              <m:t>M</m:t>
            </m:r>
          </m:e>
          <m:sub>
            <m:r>
              <w:rPr>
                <w:rFonts w:ascii="Cambria Math" w:hAnsi="Cambria Math"/>
              </w:rPr>
              <m:t>A,c</m:t>
            </m:r>
          </m:sub>
        </m:sSub>
      </m:oMath>
      <w:r w:rsidRPr="00827700">
        <w:t xml:space="preserve"> </w:t>
      </w:r>
      <w:r>
        <w:t xml:space="preserve">occasions for </w:t>
      </w:r>
      <w:r w:rsidRPr="00827700">
        <w:t>candidate PDSCH</w:t>
      </w:r>
      <w:r>
        <w:t xml:space="preserve"> receptions</w:t>
      </w:r>
      <w:r w:rsidRPr="00827700">
        <w:rPr>
          <w:rFonts w:hint="eastAsia"/>
          <w:lang w:eastAsia="zh-CN"/>
        </w:rPr>
        <w:t xml:space="preserve"> </w:t>
      </w:r>
      <w:r>
        <w:rPr>
          <w:lang w:eastAsia="zh-CN"/>
        </w:rPr>
        <w:t xml:space="preserve">or SPS PDSCH releases </w:t>
      </w:r>
      <w:r w:rsidR="006C7330" w:rsidRPr="00F415B1">
        <w:t xml:space="preserve">or TCI state </w:t>
      </w:r>
      <w:r w:rsidR="006C7330" w:rsidRPr="00F415B1">
        <w:rPr>
          <w:lang w:eastAsia="zh-CN"/>
        </w:rPr>
        <w:t xml:space="preserve">update </w:t>
      </w:r>
      <w:r>
        <w:rPr>
          <w:rFonts w:hint="eastAsia"/>
          <w:lang w:eastAsia="zh-CN"/>
        </w:rPr>
        <w:t>according to the following pseudo</w:t>
      </w:r>
      <w:r>
        <w:rPr>
          <w:lang w:eastAsia="zh-CN"/>
        </w:rPr>
        <w:t>-</w:t>
      </w:r>
      <w:r>
        <w:rPr>
          <w:rFonts w:hint="eastAsia"/>
          <w:lang w:eastAsia="zh-CN"/>
        </w:rPr>
        <w:t xml:space="preserve">code. </w:t>
      </w:r>
      <w:r w:rsidR="00AB47D9">
        <w:rPr>
          <w:lang w:eastAsia="zh-CN"/>
        </w:rPr>
        <w:t xml:space="preserve">A </w:t>
      </w:r>
      <w:r w:rsidR="00AB47D9">
        <w:rPr>
          <w:lang w:val="en-US" w:eastAsia="x-none"/>
        </w:rPr>
        <w:t>location in the Type-1 HARQ-ACK codebook for</w:t>
      </w:r>
      <w:r w:rsidR="00AB47D9" w:rsidRPr="000605DE">
        <w:rPr>
          <w:lang w:val="en-US" w:eastAsia="x-none"/>
        </w:rPr>
        <w:t xml:space="preserve"> HARQ-ACK </w:t>
      </w:r>
      <w:r w:rsidR="00AB47D9">
        <w:rPr>
          <w:lang w:val="en-US" w:eastAsia="x-none"/>
        </w:rPr>
        <w:t>information corresponding to a</w:t>
      </w:r>
      <w:r w:rsidR="005242AF">
        <w:rPr>
          <w:lang w:val="en-US" w:eastAsia="x-none"/>
        </w:rPr>
        <w:t xml:space="preserve"> single</w:t>
      </w:r>
      <w:r w:rsidR="00AB47D9" w:rsidRPr="000605DE">
        <w:rPr>
          <w:lang w:val="en-US" w:eastAsia="x-none"/>
        </w:rPr>
        <w:t xml:space="preserve"> SPS PDSCH release is same </w:t>
      </w:r>
      <w:r w:rsidR="00AB47D9">
        <w:rPr>
          <w:lang w:val="en-US" w:eastAsia="x-none"/>
        </w:rPr>
        <w:t>as for a corresponding</w:t>
      </w:r>
      <w:r w:rsidR="00AB47D9" w:rsidRPr="000605DE">
        <w:rPr>
          <w:lang w:val="en-US" w:eastAsia="x-none"/>
        </w:rPr>
        <w:t xml:space="preserve"> SPS PDSCH</w:t>
      </w:r>
      <w:r w:rsidR="00AB47D9">
        <w:rPr>
          <w:lang w:val="en-US" w:eastAsia="x-none"/>
        </w:rPr>
        <w:t xml:space="preserve"> reception.</w:t>
      </w:r>
      <w:r w:rsidR="00E7681A">
        <w:rPr>
          <w:lang w:val="en-US" w:eastAsia="x-none"/>
        </w:rPr>
        <w:t xml:space="preserve"> A location in the Type-1 HARQ-ACK codebook for</w:t>
      </w:r>
      <w:r w:rsidR="00E7681A" w:rsidRPr="000605DE">
        <w:rPr>
          <w:lang w:val="en-US" w:eastAsia="x-none"/>
        </w:rPr>
        <w:t xml:space="preserve"> HARQ-ACK </w:t>
      </w:r>
      <w:r w:rsidR="00E7681A">
        <w:rPr>
          <w:lang w:val="en-US" w:eastAsia="x-none"/>
        </w:rPr>
        <w:t>information corresponding to multiple</w:t>
      </w:r>
      <w:r w:rsidR="00E7681A" w:rsidRPr="000605DE">
        <w:rPr>
          <w:lang w:val="en-US" w:eastAsia="x-none"/>
        </w:rPr>
        <w:t xml:space="preserve"> SPS PDSCH release</w:t>
      </w:r>
      <w:r w:rsidR="00E7681A">
        <w:rPr>
          <w:lang w:val="en-US" w:eastAsia="x-none"/>
        </w:rPr>
        <w:t>s</w:t>
      </w:r>
      <w:r w:rsidR="00E7681A" w:rsidRPr="000605DE">
        <w:rPr>
          <w:lang w:val="en-US" w:eastAsia="x-none"/>
        </w:rPr>
        <w:t xml:space="preserve"> </w:t>
      </w:r>
      <w:r w:rsidR="00E7681A">
        <w:rPr>
          <w:lang w:val="en-US" w:eastAsia="x-none"/>
        </w:rPr>
        <w:t xml:space="preserve">by a single DCI format </w:t>
      </w:r>
      <w:r w:rsidR="00E7681A" w:rsidRPr="000605DE">
        <w:rPr>
          <w:lang w:val="en-US" w:eastAsia="x-none"/>
        </w:rPr>
        <w:t xml:space="preserve">is same </w:t>
      </w:r>
      <w:r w:rsidR="00E7681A">
        <w:rPr>
          <w:lang w:val="en-US" w:eastAsia="x-none"/>
        </w:rPr>
        <w:t>as for a corresponding</w:t>
      </w:r>
      <w:r w:rsidR="00E7681A" w:rsidRPr="000605DE">
        <w:rPr>
          <w:lang w:val="en-US" w:eastAsia="x-none"/>
        </w:rPr>
        <w:t xml:space="preserve"> SPS PDSCH</w:t>
      </w:r>
      <w:r w:rsidR="00E7681A">
        <w:rPr>
          <w:lang w:val="en-US" w:eastAsia="x-none"/>
        </w:rPr>
        <w:t xml:space="preserve"> reception with the lowest SPS configuration index among the multiple SPS PDSCH releases.</w:t>
      </w:r>
      <w:r w:rsidR="006C7330">
        <w:rPr>
          <w:lang w:val="en-US" w:eastAsia="x-none"/>
        </w:rPr>
        <w:t xml:space="preserve"> </w:t>
      </w:r>
      <w:r w:rsidR="006C7330" w:rsidRPr="00F415B1">
        <w:rPr>
          <w:lang w:val="en-US" w:eastAsia="x-none"/>
        </w:rPr>
        <w:t>If a UE provides HARQ-ACK information corresponding to detection of a DCI format that provides TCI state update without</w:t>
      </w:r>
      <w:r w:rsidR="006C7330" w:rsidRPr="00F415B1">
        <w:rPr>
          <w:lang w:eastAsia="zh-CN"/>
        </w:rPr>
        <w:t xml:space="preserve"> scheduling PDSCH reception, as described in [6, TS 38.214], a </w:t>
      </w:r>
      <w:r w:rsidR="006C7330" w:rsidRPr="00F415B1">
        <w:rPr>
          <w:lang w:val="en-US" w:eastAsia="x-none"/>
        </w:rPr>
        <w:t>location in the Type-1 HARQ-ACK codebook for the HARQ-ACK information is same as when the DCI format schedules a PDSCH reception with CBGs or with transport blocks that are correctly decoded.</w:t>
      </w:r>
    </w:p>
    <w:p w14:paraId="2155670F" w14:textId="217EBE29" w:rsidR="00C338D1" w:rsidRPr="00C338D1" w:rsidRDefault="00C338D1" w:rsidP="00D508B4">
      <w:pPr>
        <w:rPr>
          <w:rFonts w:eastAsia="DengXian"/>
          <w:lang w:val="x-none"/>
        </w:rPr>
      </w:pPr>
      <w:r w:rsidRPr="00AD2B69">
        <w:rPr>
          <w:rFonts w:eastAsia="DengXian"/>
          <w:lang w:val="x-none"/>
        </w:rPr>
        <w:t xml:space="preserve">In the following pseudo-code, the </w:t>
      </w:r>
      <w:r w:rsidRPr="00AD2B69">
        <w:rPr>
          <w:rFonts w:eastAsia="DengXian"/>
          <w:i/>
          <w:lang w:val="x-none"/>
        </w:rPr>
        <w:t>subslotLengthForPUCCH</w:t>
      </w:r>
      <w:r w:rsidRPr="00AD2B69">
        <w:rPr>
          <w:rFonts w:eastAsia="DengXian"/>
          <w:lang w:val="x-none"/>
        </w:rPr>
        <w:t xml:space="preserve"> is </w:t>
      </w:r>
      <w:r>
        <w:rPr>
          <w:rFonts w:eastAsia="DengXian"/>
          <w:lang w:val="de-AT"/>
        </w:rPr>
        <w:t xml:space="preserve">for </w:t>
      </w:r>
      <w:r w:rsidRPr="00AD2B69">
        <w:t xml:space="preserve">the primary cell if the UE is provided </w:t>
      </w:r>
      <w:r w:rsidRPr="00AD2B69">
        <w:rPr>
          <w:i/>
          <w:iCs/>
        </w:rPr>
        <w:t>pucch-sSCellPattern</w:t>
      </w:r>
      <w:r>
        <w:rPr>
          <w:rFonts w:eastAsia="DengXian"/>
          <w:lang w:val="de-AT"/>
        </w:rPr>
        <w:t xml:space="preserve">; otherwise, </w:t>
      </w:r>
      <w:r w:rsidRPr="00AD2B69">
        <w:rPr>
          <w:rFonts w:eastAsia="DengXian"/>
          <w:i/>
          <w:lang w:val="x-none"/>
        </w:rPr>
        <w:t>subslotLengthForPUCCH</w:t>
      </w:r>
      <w:r w:rsidRPr="00AD2B69">
        <w:rPr>
          <w:rFonts w:eastAsia="DengXian"/>
          <w:lang w:val="x-none"/>
        </w:rPr>
        <w:t xml:space="preserve"> is </w:t>
      </w:r>
      <w:r>
        <w:rPr>
          <w:rFonts w:eastAsia="DengXian"/>
          <w:lang w:val="de-AT"/>
        </w:rPr>
        <w:t xml:space="preserve">for </w:t>
      </w:r>
      <w:r w:rsidRPr="00AD2B69">
        <w:t>the</w:t>
      </w:r>
      <w:r w:rsidRPr="00AD2B69">
        <w:rPr>
          <w:rFonts w:eastAsia="DengXian"/>
          <w:lang w:val="x-none"/>
        </w:rPr>
        <w:t xml:space="preserve"> serving cell </w:t>
      </w:r>
      <w:r>
        <w:rPr>
          <w:rFonts w:eastAsia="DengXian"/>
          <w:lang w:val="de-AT"/>
        </w:rPr>
        <w:t xml:space="preserve">of </w:t>
      </w:r>
      <w:r w:rsidRPr="00AD2B69">
        <w:rPr>
          <w:rFonts w:eastAsia="DengXian"/>
          <w:lang w:val="x-none"/>
        </w:rPr>
        <w:t>the PUCCH transmission</w:t>
      </w:r>
      <w:r w:rsidRPr="00AD2B69">
        <w:rPr>
          <w:rFonts w:eastAsia="DengXian"/>
          <w:lang w:val="de-AT"/>
        </w:rPr>
        <w:t>.</w:t>
      </w:r>
    </w:p>
    <w:p w14:paraId="4794E8C7" w14:textId="5510F01A" w:rsidR="005B0BF0" w:rsidRPr="00B27E56" w:rsidRDefault="005B0BF0" w:rsidP="005B0BF0">
      <w:pPr>
        <w:rPr>
          <w:lang w:eastAsia="zh-CN"/>
        </w:rPr>
      </w:pPr>
      <w:r w:rsidRPr="00B27E56">
        <w:rPr>
          <w:rFonts w:hint="eastAsia"/>
          <w:lang w:eastAsia="zh-CN"/>
        </w:rPr>
        <w:t xml:space="preserve">Set </w:t>
      </w:r>
      <m:oMath>
        <m:r>
          <w:rPr>
            <w:rFonts w:ascii="Cambria Math" w:hAnsi="Cambria Math"/>
          </w:rPr>
          <m:t>j=0</m:t>
        </m:r>
      </m:oMath>
      <w:r w:rsidRPr="00B27E56">
        <w:rPr>
          <w:rFonts w:cs="Arial"/>
          <w:lang w:eastAsia="zh-CN"/>
        </w:rPr>
        <w:t xml:space="preserve"> </w:t>
      </w:r>
      <w:r w:rsidRPr="00B27E56">
        <w:t xml:space="preserve">- </w:t>
      </w:r>
      <w:r w:rsidRPr="00B27E56">
        <w:rPr>
          <w:rFonts w:hint="eastAsia"/>
          <w:lang w:eastAsia="zh-CN"/>
        </w:rPr>
        <w:t xml:space="preserve">index of </w:t>
      </w:r>
      <w:r w:rsidRPr="00B27E56">
        <w:t>occasion for candidate PDSCH reception or SPS PDSCH release</w:t>
      </w:r>
      <w:r w:rsidR="006C7330">
        <w:t xml:space="preserve"> </w:t>
      </w:r>
      <w:r w:rsidR="006C7330" w:rsidRPr="00F415B1">
        <w:t>or TCI state update</w:t>
      </w:r>
    </w:p>
    <w:p w14:paraId="36B2F1BC" w14:textId="77777777" w:rsidR="005B0BF0" w:rsidRPr="00B27E56" w:rsidRDefault="005B0BF0" w:rsidP="005B0BF0">
      <w:pPr>
        <w:rPr>
          <w:rFonts w:cs="Arial"/>
          <w:lang w:eastAsia="zh-CN"/>
        </w:rPr>
      </w:pPr>
      <w:r w:rsidRPr="00B27E56">
        <w:rPr>
          <w:lang w:eastAsia="zh-CN"/>
        </w:rPr>
        <w:lastRenderedPageBreak/>
        <w:t>S</w:t>
      </w:r>
      <w:r w:rsidRPr="00B27E56">
        <w:rPr>
          <w:rFonts w:hint="eastAsia"/>
          <w:lang w:eastAsia="zh-CN"/>
        </w:rPr>
        <w:t xml:space="preserve">et </w:t>
      </w:r>
      <m:oMath>
        <m:r>
          <w:rPr>
            <w:rFonts w:ascii="Cambria Math" w:hAnsi="Cambria Math"/>
          </w:rPr>
          <m:t>B=∅</m:t>
        </m:r>
      </m:oMath>
    </w:p>
    <w:p w14:paraId="09F0922A" w14:textId="77777777" w:rsidR="005B0BF0" w:rsidRPr="00B27E56" w:rsidRDefault="005B0BF0" w:rsidP="005B0BF0">
      <w:pPr>
        <w:rPr>
          <w:rFonts w:cs="Arial"/>
          <w:lang w:eastAsia="zh-CN"/>
        </w:rPr>
      </w:pPr>
      <w:r w:rsidRPr="00B27E56">
        <w:rPr>
          <w:lang w:eastAsia="zh-CN"/>
        </w:rPr>
        <w:t xml:space="preserve">Set </w:t>
      </w:r>
      <m:oMath>
        <m:sSub>
          <m:sSubPr>
            <m:ctrlPr>
              <w:rPr>
                <w:rFonts w:ascii="Cambria Math" w:hAnsi="Cambria Math"/>
                <w:i/>
              </w:rPr>
            </m:ctrlPr>
          </m:sSubPr>
          <m:e>
            <m:r>
              <w:rPr>
                <w:rFonts w:ascii="Cambria Math" w:hAnsi="Cambria Math"/>
              </w:rPr>
              <m:t>M</m:t>
            </m:r>
          </m:e>
          <m:sub>
            <m:r>
              <m:rPr>
                <m:nor/>
              </m:rPr>
              <w:rPr>
                <w:rFonts w:ascii="Cambria Math"/>
                <w:i/>
                <w:iCs/>
              </w:rPr>
              <m:t>A,c</m:t>
            </m:r>
            <m:ctrlPr>
              <w:rPr>
                <w:rFonts w:ascii="Cambria Math" w:hAnsi="Cambria Math"/>
              </w:rPr>
            </m:ctrlPr>
          </m:sub>
        </m:sSub>
        <m:r>
          <w:rPr>
            <w:rFonts w:ascii="Cambria Math" w:hAnsi="Cambria Math"/>
          </w:rPr>
          <m:t>=∅</m:t>
        </m:r>
      </m:oMath>
    </w:p>
    <w:p w14:paraId="6D241911" w14:textId="77777777" w:rsidR="005B0BF0" w:rsidRPr="00B27E56" w:rsidRDefault="005B0BF0" w:rsidP="005B0BF0">
      <w:pPr>
        <w:rPr>
          <w:lang w:eastAsia="zh-CN"/>
        </w:rPr>
      </w:pPr>
      <w:r w:rsidRPr="00B27E56">
        <w:rPr>
          <w:rFonts w:cs="Arial"/>
          <w:lang w:eastAsia="zh-CN"/>
        </w:rPr>
        <w:t xml:space="preserve">Set </w:t>
      </w:r>
      <m:oMath>
        <m:r>
          <m:rPr>
            <m:nor/>
          </m:rPr>
          <w:rPr>
            <w:rFonts w:ascii="Freestyle Script" w:hAnsi="Freestyle Script"/>
          </w:rPr>
          <m:t>C</m:t>
        </m:r>
        <m:d>
          <m:dPr>
            <m:ctrlPr>
              <w:rPr>
                <w:rFonts w:ascii="Cambria Math" w:hAnsi="Cambria Math" w:cs="Helvetica"/>
                <w:i/>
              </w:rPr>
            </m:ctrlPr>
          </m:dPr>
          <m:e>
            <m:sSub>
              <m:sSubPr>
                <m:ctrlPr>
                  <w:rPr>
                    <w:rFonts w:ascii="Cambria Math" w:hAnsi="Cambria Math"/>
                    <w:i/>
                  </w:rPr>
                </m:ctrlPr>
              </m:sSubPr>
              <m:e>
                <m:r>
                  <w:rPr>
                    <w:rFonts w:ascii="Cambria Math" w:hAnsi="Cambria Math"/>
                  </w:rPr>
                  <m:t>K</m:t>
                </m:r>
              </m:e>
              <m:sub>
                <m:r>
                  <m:rPr>
                    <m:nor/>
                  </m:rPr>
                  <w:rPr>
                    <w:rFonts w:ascii="Cambria Math"/>
                  </w:rPr>
                  <m:t>1</m:t>
                </m:r>
                <m:ctrlPr>
                  <w:rPr>
                    <w:rFonts w:ascii="Cambria Math" w:hAnsi="Cambria Math"/>
                  </w:rPr>
                </m:ctrlPr>
              </m:sub>
            </m:sSub>
          </m:e>
        </m:d>
      </m:oMath>
      <w:r w:rsidRPr="00B27E56">
        <w:t xml:space="preserve"> to the cardinality of set </w:t>
      </w:r>
      <m:oMath>
        <m:sSub>
          <m:sSubPr>
            <m:ctrlPr>
              <w:rPr>
                <w:rFonts w:ascii="Cambria Math" w:hAnsi="Cambria Math"/>
                <w:i/>
              </w:rPr>
            </m:ctrlPr>
          </m:sSubPr>
          <m:e>
            <m:r>
              <w:rPr>
                <w:rFonts w:ascii="Cambria Math" w:hAnsi="Cambria Math"/>
              </w:rPr>
              <m:t>K</m:t>
            </m:r>
          </m:e>
          <m:sub>
            <m:r>
              <m:rPr>
                <m:nor/>
              </m:rPr>
              <w:rPr>
                <w:rFonts w:ascii="Cambria Math"/>
              </w:rPr>
              <m:t>1</m:t>
            </m:r>
            <m:ctrlPr>
              <w:rPr>
                <w:rFonts w:ascii="Cambria Math" w:hAnsi="Cambria Math"/>
              </w:rPr>
            </m:ctrlPr>
          </m:sub>
        </m:sSub>
      </m:oMath>
    </w:p>
    <w:p w14:paraId="1CE289C7" w14:textId="77777777" w:rsidR="005B0BF0" w:rsidRPr="00B27E56" w:rsidRDefault="005B0BF0" w:rsidP="005B0BF0">
      <w:pPr>
        <w:rPr>
          <w:rFonts w:cs="Arial"/>
          <w:position w:val="-6"/>
          <w:lang w:eastAsia="zh-CN"/>
        </w:rPr>
      </w:pPr>
      <w:r w:rsidRPr="00B27E56">
        <w:rPr>
          <w:rFonts w:hint="eastAsia"/>
          <w:lang w:eastAsia="zh-CN"/>
        </w:rPr>
        <w:t xml:space="preserve">Set </w:t>
      </w:r>
      <m:oMath>
        <m:r>
          <w:rPr>
            <w:rFonts w:ascii="Cambria Math" w:hAnsi="Cambria Math"/>
          </w:rPr>
          <m:t>k=0</m:t>
        </m:r>
      </m:oMath>
      <w:r w:rsidRPr="00B27E56">
        <w:rPr>
          <w:rFonts w:hint="eastAsia"/>
          <w:lang w:eastAsia="zh-CN"/>
        </w:rPr>
        <w:t xml:space="preserve"> </w:t>
      </w:r>
      <w:r w:rsidRPr="00B27E56">
        <w:rPr>
          <w:lang w:eastAsia="zh-CN"/>
        </w:rPr>
        <w:t>–</w:t>
      </w:r>
      <w:r w:rsidRPr="00B27E56">
        <w:rPr>
          <w:rFonts w:hint="eastAsia"/>
          <w:lang w:eastAsia="zh-CN"/>
        </w:rPr>
        <w:t xml:space="preserve"> index of slot timing</w:t>
      </w:r>
      <w:r w:rsidRPr="00B27E56">
        <w:rPr>
          <w:lang w:eastAsia="zh-CN"/>
        </w:rPr>
        <w:t xml:space="preserve"> values</w:t>
      </w:r>
      <w:r w:rsidRPr="00B27E56">
        <w:rPr>
          <w:rFonts w:hint="eastAsia"/>
          <w:lang w:eastAsia="zh-CN"/>
        </w:rPr>
        <w:t xml:space="preserve"> </w:t>
      </w:r>
      <m:oMath>
        <m:sSub>
          <m:sSubPr>
            <m:ctrlPr>
              <w:rPr>
                <w:rFonts w:ascii="Cambria Math" w:hAnsi="Cambria Math"/>
                <w:i/>
              </w:rPr>
            </m:ctrlPr>
          </m:sSubPr>
          <m:e>
            <m:r>
              <w:rPr>
                <w:rFonts w:ascii="Cambria Math" w:hAnsi="Cambria Math"/>
              </w:rPr>
              <m:t>K</m:t>
            </m:r>
          </m:e>
          <m:sub>
            <m:r>
              <m:rPr>
                <m:nor/>
              </m:rPr>
              <w:rPr>
                <w:rFonts w:ascii="Cambria Math"/>
              </w:rPr>
              <m:t>1,</m:t>
            </m:r>
            <m:r>
              <m:rPr>
                <m:nor/>
              </m:rPr>
              <w:rPr>
                <w:rFonts w:ascii="Cambria Math"/>
                <w:i/>
                <w:iCs/>
              </w:rPr>
              <m:t>k</m:t>
            </m:r>
            <m:ctrlPr>
              <w:rPr>
                <w:rFonts w:ascii="Cambria Math" w:hAnsi="Cambria Math"/>
              </w:rPr>
            </m:ctrlPr>
          </m:sub>
        </m:sSub>
      </m:oMath>
      <w:r w:rsidRPr="00B27E56">
        <w:rPr>
          <w:rFonts w:cs="Arial"/>
          <w:lang w:eastAsia="zh-CN"/>
        </w:rPr>
        <w:t>, in descending order of the slot timing values,</w:t>
      </w:r>
      <w:r w:rsidRPr="00B27E56">
        <w:t xml:space="preserve"> </w:t>
      </w:r>
      <w:r w:rsidRPr="00B27E56">
        <w:rPr>
          <w:rFonts w:hint="eastAsia"/>
          <w:lang w:eastAsia="zh-CN"/>
        </w:rPr>
        <w:t xml:space="preserve">in set </w:t>
      </w:r>
      <m:oMath>
        <m:sSub>
          <m:sSubPr>
            <m:ctrlPr>
              <w:rPr>
                <w:rFonts w:ascii="Cambria Math" w:hAnsi="Cambria Math"/>
                <w:i/>
              </w:rPr>
            </m:ctrlPr>
          </m:sSubPr>
          <m:e>
            <m:r>
              <w:rPr>
                <w:rFonts w:ascii="Cambria Math" w:hAnsi="Cambria Math"/>
              </w:rPr>
              <m:t>K</m:t>
            </m:r>
          </m:e>
          <m:sub>
            <m:r>
              <m:rPr>
                <m:nor/>
              </m:rPr>
              <w:rPr>
                <w:rFonts w:ascii="Cambria Math"/>
              </w:rPr>
              <m:t>1</m:t>
            </m:r>
            <m:ctrlPr>
              <w:rPr>
                <w:rFonts w:ascii="Cambria Math" w:hAnsi="Cambria Math"/>
              </w:rPr>
            </m:ctrlPr>
          </m:sub>
        </m:sSub>
      </m:oMath>
      <w:r w:rsidRPr="00B27E56">
        <w:t xml:space="preserve"> for serving cell </w:t>
      </w:r>
      <m:oMath>
        <m:r>
          <w:rPr>
            <w:rFonts w:ascii="Cambria Math" w:hAnsi="Cambria Math"/>
          </w:rPr>
          <m:t>c</m:t>
        </m:r>
      </m:oMath>
    </w:p>
    <w:p w14:paraId="39CC60A6" w14:textId="77777777" w:rsidR="005B0BF0" w:rsidRPr="00B27E56" w:rsidRDefault="005B0BF0" w:rsidP="005B0BF0">
      <w:pPr>
        <w:rPr>
          <w:rFonts w:eastAsia="DengXian"/>
          <w:lang w:val="x-none"/>
        </w:rPr>
      </w:pPr>
      <w:r w:rsidRPr="00B27E56">
        <w:rPr>
          <w:rFonts w:eastAsia="DengXian"/>
          <w:lang w:val="x-none"/>
        </w:rPr>
        <w:t xml:space="preserve">If </w:t>
      </w:r>
      <w:r w:rsidRPr="00B27E56">
        <w:rPr>
          <w:rFonts w:eastAsia="DengXian"/>
          <w:lang w:val="en-US"/>
        </w:rPr>
        <w:t xml:space="preserve">a </w:t>
      </w:r>
      <w:r w:rsidRPr="00B27E56">
        <w:rPr>
          <w:rFonts w:eastAsia="DengXian"/>
          <w:lang w:val="x-none"/>
        </w:rPr>
        <w:t xml:space="preserve">UE is not </w:t>
      </w:r>
      <w:r w:rsidRPr="00B27E56">
        <w:rPr>
          <w:rFonts w:eastAsia="DengXian"/>
          <w:lang w:val="en-US"/>
        </w:rPr>
        <w:t>provided</w:t>
      </w:r>
      <w:r w:rsidRPr="00B27E56">
        <w:rPr>
          <w:rFonts w:eastAsia="DengXian"/>
          <w:lang w:val="x-none"/>
        </w:rPr>
        <w:t xml:space="preserve"> </w:t>
      </w:r>
      <w:r w:rsidRPr="00B27E56">
        <w:rPr>
          <w:i/>
        </w:rPr>
        <w:t>ca-SlotOffset</w:t>
      </w:r>
      <w:r w:rsidRPr="00B27E56">
        <w:t xml:space="preserve"> for any serving cell of PDSCH receptions and for the serving cell of corresponding PUCCH transmission with HARQ-ACK information</w:t>
      </w:r>
    </w:p>
    <w:p w14:paraId="70A49379" w14:textId="77777777" w:rsidR="005B0BF0" w:rsidRPr="00B27E56" w:rsidRDefault="005B0BF0" w:rsidP="005B0BF0">
      <w:r w:rsidRPr="00B27E56">
        <w:rPr>
          <w:rFonts w:hint="eastAsia"/>
          <w:lang w:eastAsia="zh-CN"/>
        </w:rPr>
        <w:t xml:space="preserve">while </w:t>
      </w:r>
      <m:oMath>
        <m:r>
          <w:rPr>
            <w:rFonts w:ascii="Cambria Math" w:hAnsi="Cambria Math"/>
            <w:lang w:eastAsia="zh-CN"/>
          </w:rPr>
          <m:t>k&lt;</m:t>
        </m:r>
        <m:r>
          <m:rPr>
            <m:nor/>
          </m:rPr>
          <w:rPr>
            <w:rFonts w:ascii="Freestyle Script" w:hAnsi="Freestyle Script"/>
          </w:rPr>
          <m:t>C</m:t>
        </m:r>
        <m:d>
          <m:dPr>
            <m:ctrlPr>
              <w:rPr>
                <w:rFonts w:ascii="Cambria Math" w:hAnsi="Cambria Math" w:cs="Helvetica"/>
                <w:i/>
              </w:rPr>
            </m:ctrlPr>
          </m:dPr>
          <m:e>
            <m:sSub>
              <m:sSubPr>
                <m:ctrlPr>
                  <w:rPr>
                    <w:rFonts w:ascii="Cambria Math" w:hAnsi="Cambria Math"/>
                    <w:i/>
                  </w:rPr>
                </m:ctrlPr>
              </m:sSubPr>
              <m:e>
                <m:r>
                  <w:rPr>
                    <w:rFonts w:ascii="Cambria Math" w:hAnsi="Cambria Math"/>
                  </w:rPr>
                  <m:t>K</m:t>
                </m:r>
              </m:e>
              <m:sub>
                <m:r>
                  <m:rPr>
                    <m:nor/>
                  </m:rPr>
                  <w:rPr>
                    <w:rFonts w:ascii="Cambria Math"/>
                  </w:rPr>
                  <m:t>1</m:t>
                </m:r>
                <m:ctrlPr>
                  <w:rPr>
                    <w:rFonts w:ascii="Cambria Math" w:hAnsi="Cambria Math"/>
                  </w:rPr>
                </m:ctrlPr>
              </m:sub>
            </m:sSub>
          </m:e>
        </m:d>
      </m:oMath>
      <w:r w:rsidRPr="00B27E56">
        <w:rPr>
          <w:rFonts w:hint="eastAsia"/>
          <w:lang w:eastAsia="zh-CN"/>
        </w:rPr>
        <w:t xml:space="preserve"> </w:t>
      </w:r>
    </w:p>
    <w:p w14:paraId="2E86CD18" w14:textId="48744308" w:rsidR="00222CD9" w:rsidRPr="00B27E56" w:rsidRDefault="00222CD9" w:rsidP="00222CD9">
      <w:pPr>
        <w:pStyle w:val="B1"/>
        <w:rPr>
          <w:lang w:eastAsia="zh-CN"/>
        </w:rPr>
      </w:pPr>
      <w:bookmarkStart w:id="456" w:name="_Hlk91058292"/>
      <w:r w:rsidRPr="00B27E56">
        <w:t xml:space="preserve">if </w:t>
      </w:r>
      <m:oMath>
        <m:r>
          <m:rPr>
            <m:sty m:val="p"/>
          </m:rPr>
          <w:rPr>
            <w:rFonts w:ascii="Cambria Math" w:hAnsi="Cambria Math"/>
          </w:rPr>
          <m:t>mod</m:t>
        </m:r>
        <m:d>
          <m:dPr>
            <m:ctrlPr>
              <w:rPr>
                <w:rFonts w:ascii="Cambria Math" w:hAnsi="Cambria Math"/>
                <w:i/>
              </w:rPr>
            </m:ctrlPr>
          </m:dPr>
          <m:e>
            <m:sSub>
              <m:sSubPr>
                <m:ctrlPr>
                  <w:rPr>
                    <w:rFonts w:ascii="Cambria Math" w:hAnsi="Cambria Math"/>
                    <w:i/>
                  </w:rPr>
                </m:ctrlPr>
              </m:sSubPr>
              <m:e>
                <m:r>
                  <w:rPr>
                    <w:rFonts w:ascii="Cambria Math" w:hAnsi="Cambria Math"/>
                  </w:rPr>
                  <m:t>n</m:t>
                </m:r>
              </m:e>
              <m:sub>
                <m:r>
                  <m:rPr>
                    <m:nor/>
                  </m:rPr>
                  <w:rPr>
                    <w:rFonts w:ascii="Cambria Math"/>
                    <w:lang w:val="en-US"/>
                  </w:rPr>
                  <m:t>U</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K</m:t>
                </m:r>
              </m:e>
              <m:sub>
                <m:r>
                  <m:rPr>
                    <m:nor/>
                  </m:rPr>
                  <w:rPr>
                    <w:rFonts w:ascii="Cambria Math"/>
                  </w:rPr>
                  <m:t>1,</m:t>
                </m:r>
                <m:r>
                  <m:rPr>
                    <m:nor/>
                  </m:rPr>
                  <w:rPr>
                    <w:rFonts w:ascii="Cambria Math"/>
                    <w:i/>
                    <w:iCs/>
                  </w:rPr>
                  <m:t>k</m:t>
                </m:r>
                <m:ctrlPr>
                  <w:rPr>
                    <w:rFonts w:ascii="Cambria Math" w:hAnsi="Cambria Math"/>
                  </w:rPr>
                </m:ctrlPr>
              </m:sub>
            </m:sSub>
            <m:r>
              <w:rPr>
                <w:rFonts w:ascii="Cambria Math" w:hAnsi="Cambria Math"/>
              </w:rPr>
              <m:t>+1,</m:t>
            </m:r>
            <m:r>
              <m:rPr>
                <m:sty m:val="p"/>
              </m:rPr>
              <w:rPr>
                <w:rFonts w:ascii="Cambria Math" w:hAnsi="Cambria Math"/>
              </w:rPr>
              <m:t>max</m:t>
            </m:r>
            <m:d>
              <m:dPr>
                <m:ctrlPr>
                  <w:rPr>
                    <w:rFonts w:ascii="Cambria Math" w:hAnsi="Cambria Math"/>
                    <w:i/>
                  </w:rPr>
                </m:ctrlPr>
              </m:dPr>
              <m:e>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μ</m:t>
                        </m:r>
                      </m:e>
                      <m:sub>
                        <m:r>
                          <m:rPr>
                            <m:sty m:val="p"/>
                          </m:rPr>
                          <w:rPr>
                            <w:rFonts w:ascii="Cambria Math" w:hAnsi="Cambria Math"/>
                          </w:rPr>
                          <m:t>UL</m:t>
                        </m:r>
                      </m:sub>
                    </m:sSub>
                    <m:r>
                      <w:rPr>
                        <w:rFonts w:ascii="Cambria Math" w:hAnsi="Cambria Math"/>
                      </w:rPr>
                      <m:t>-</m:t>
                    </m:r>
                    <m:sSub>
                      <m:sSubPr>
                        <m:ctrlPr>
                          <w:rPr>
                            <w:rFonts w:ascii="Cambria Math" w:hAnsi="Cambria Math"/>
                            <w:i/>
                          </w:rPr>
                        </m:ctrlPr>
                      </m:sSubPr>
                      <m:e>
                        <m:r>
                          <w:rPr>
                            <w:rFonts w:ascii="Cambria Math" w:hAnsi="Cambria Math"/>
                          </w:rPr>
                          <m:t>μ</m:t>
                        </m:r>
                      </m:e>
                      <m:sub>
                        <m:r>
                          <m:rPr>
                            <m:sty m:val="p"/>
                          </m:rPr>
                          <w:rPr>
                            <w:rFonts w:ascii="Cambria Math" w:hAnsi="Cambria Math"/>
                          </w:rPr>
                          <m:t>DL</m:t>
                        </m:r>
                      </m:sub>
                    </m:sSub>
                  </m:sup>
                </m:sSup>
                <m:r>
                  <w:rPr>
                    <w:rFonts w:ascii="Cambria Math" w:hAnsi="Cambria Math"/>
                  </w:rPr>
                  <m:t>,1</m:t>
                </m:r>
              </m:e>
            </m:d>
          </m:e>
        </m:d>
        <m:r>
          <w:rPr>
            <w:rFonts w:ascii="Cambria Math" w:hAnsi="Cambria Math"/>
          </w:rPr>
          <m:t>=0</m:t>
        </m:r>
      </m:oMath>
      <w:r w:rsidRPr="00B27E56">
        <w:t xml:space="preserve"> </w:t>
      </w:r>
      <w:r w:rsidR="00F91579" w:rsidRPr="00111FF6">
        <w:rPr>
          <w:lang w:val="en-US"/>
        </w:rPr>
        <w:t xml:space="preserve">or </w:t>
      </w:r>
      <w:r w:rsidR="00F91579" w:rsidRPr="00111FF6">
        <w:rPr>
          <w:rFonts w:cs="Arial"/>
          <w:i/>
          <w:iCs/>
          <w:lang w:eastAsia="zh-CN"/>
        </w:rPr>
        <w:t>subslotLengthForPUCCH</w:t>
      </w:r>
      <w:r w:rsidR="00F91579" w:rsidRPr="00111FF6">
        <w:rPr>
          <w:rFonts w:cs="Arial"/>
          <w:lang w:val="en-US" w:eastAsia="zh-CN"/>
        </w:rPr>
        <w:t xml:space="preserve"> is provided for the HARQ-ACK codebook</w:t>
      </w:r>
    </w:p>
    <w:p w14:paraId="1C3A44C7" w14:textId="3DAE26D3" w:rsidR="00F91579" w:rsidRPr="00111FF6" w:rsidRDefault="00222CD9" w:rsidP="00F91579">
      <w:pPr>
        <w:pStyle w:val="B2"/>
        <w:ind w:hanging="311"/>
        <w:rPr>
          <w:lang w:eastAsia="zh-CN"/>
        </w:rPr>
      </w:pPr>
      <w:r w:rsidRPr="00B27E56">
        <w:rPr>
          <w:rFonts w:hint="eastAsia"/>
          <w:lang w:eastAsia="zh-CN"/>
        </w:rPr>
        <w:t xml:space="preserve">Set </w:t>
      </w:r>
      <m:oMath>
        <m:sSub>
          <m:sSubPr>
            <m:ctrlPr>
              <w:rPr>
                <w:rFonts w:ascii="Cambria Math" w:hAnsi="Cambria Math"/>
                <w:i/>
              </w:rPr>
            </m:ctrlPr>
          </m:sSubPr>
          <m:e>
            <m:r>
              <w:rPr>
                <w:rFonts w:ascii="Cambria Math" w:hAnsi="Cambria Math"/>
              </w:rPr>
              <m:t>n</m:t>
            </m:r>
          </m:e>
          <m:sub>
            <m:r>
              <m:rPr>
                <m:nor/>
              </m:rPr>
              <w:rPr>
                <w:rFonts w:ascii="Cambria Math"/>
                <w:lang w:val="en-US"/>
              </w:rPr>
              <m:t>D</m:t>
            </m:r>
            <m:ctrlPr>
              <w:rPr>
                <w:rFonts w:ascii="Cambria Math" w:hAnsi="Cambria Math"/>
              </w:rPr>
            </m:ctrlPr>
          </m:sub>
        </m:sSub>
        <m:r>
          <w:rPr>
            <w:rFonts w:ascii="Cambria Math" w:hAnsi="Cambria Math"/>
          </w:rPr>
          <m:t>=0</m:t>
        </m:r>
      </m:oMath>
      <w:r w:rsidRPr="00B27E56">
        <w:t xml:space="preserve"> </w:t>
      </w:r>
      <w:r w:rsidRPr="00B27E56">
        <w:rPr>
          <w:lang w:eastAsia="zh-CN"/>
        </w:rPr>
        <w:t>–</w:t>
      </w:r>
      <w:r w:rsidRPr="00B27E56">
        <w:rPr>
          <w:rFonts w:hint="eastAsia"/>
          <w:lang w:eastAsia="zh-CN"/>
        </w:rPr>
        <w:t xml:space="preserve"> index of </w:t>
      </w:r>
      <w:r w:rsidRPr="00B27E56">
        <w:rPr>
          <w:lang w:eastAsia="zh-CN"/>
        </w:rPr>
        <w:t xml:space="preserve">a DL </w:t>
      </w:r>
      <w:r w:rsidRPr="00B27E56">
        <w:rPr>
          <w:rFonts w:hint="eastAsia"/>
          <w:lang w:eastAsia="zh-CN"/>
        </w:rPr>
        <w:t xml:space="preserve">slot </w:t>
      </w:r>
      <w:r w:rsidR="00F91579" w:rsidRPr="00111FF6">
        <w:rPr>
          <w:lang w:val="en-US" w:eastAsia="zh-CN"/>
        </w:rPr>
        <w:t>overlapping with</w:t>
      </w:r>
      <w:r w:rsidRPr="00B27E56">
        <w:rPr>
          <w:lang w:eastAsia="zh-CN"/>
        </w:rPr>
        <w:t xml:space="preserve"> an UL slot</w:t>
      </w:r>
    </w:p>
    <w:p w14:paraId="0476DF33" w14:textId="026D4C35" w:rsidR="00222CD9" w:rsidRPr="00B27E56" w:rsidRDefault="00F91579" w:rsidP="00F91579">
      <w:pPr>
        <w:pStyle w:val="B2"/>
        <w:rPr>
          <w:lang w:val="en-US" w:eastAsia="zh-CN"/>
        </w:rPr>
      </w:pPr>
      <w:r w:rsidRPr="00111FF6">
        <w:rPr>
          <w:lang w:val="en-US" w:eastAsia="zh-CN"/>
        </w:rPr>
        <w:t xml:space="preserve">Set </w:t>
      </w:r>
      <m:oMath>
        <m:sSub>
          <m:sSubPr>
            <m:ctrlPr>
              <w:rPr>
                <w:rFonts w:ascii="Cambria Math" w:hAnsi="Cambria Math"/>
                <w:i/>
              </w:rPr>
            </m:ctrlPr>
          </m:sSubPr>
          <m:e>
            <m:r>
              <w:rPr>
                <w:rFonts w:ascii="Cambria Math" w:hAnsi="Cambria Math"/>
              </w:rPr>
              <m:t>N</m:t>
            </m:r>
          </m:e>
          <m:sub>
            <m:r>
              <m:rPr>
                <m:nor/>
              </m:rPr>
              <w:rPr>
                <w:i/>
                <w:iCs/>
                <w:lang w:val="en-US"/>
              </w:rPr>
              <m:t>k</m:t>
            </m:r>
            <m:ctrlPr>
              <w:rPr>
                <w:rFonts w:ascii="Cambria Math" w:hAnsi="Cambria Math"/>
              </w:rPr>
            </m:ctrlPr>
          </m:sub>
        </m:sSub>
      </m:oMath>
      <w:r w:rsidRPr="00111FF6">
        <w:rPr>
          <w:lang w:val="en-US"/>
        </w:rPr>
        <w:t xml:space="preserve"> to a number of DL slots overlapping with UL slot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U</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1,k</m:t>
            </m:r>
          </m:sub>
        </m:sSub>
      </m:oMath>
      <w:r w:rsidRPr="00111FF6">
        <w:rPr>
          <w:lang w:val="en-US" w:eastAsia="zh-CN"/>
        </w:rPr>
        <w:t xml:space="preserve"> if </w:t>
      </w:r>
      <w:r w:rsidRPr="00111FF6">
        <w:rPr>
          <w:rFonts w:cs="Arial"/>
          <w:i/>
          <w:iCs/>
          <w:lang w:eastAsia="zh-CN"/>
        </w:rPr>
        <w:t>subslotLengthForPUCCH</w:t>
      </w:r>
      <w:r w:rsidRPr="00111FF6">
        <w:rPr>
          <w:rFonts w:cs="Arial"/>
          <w:lang w:val="en-US" w:eastAsia="zh-CN"/>
        </w:rPr>
        <w:t xml:space="preserve"> is provided for the HARQ-ACK codebook; otherwise, </w:t>
      </w:r>
      <m:oMath>
        <m:sSub>
          <m:sSubPr>
            <m:ctrlPr>
              <w:rPr>
                <w:rFonts w:ascii="Cambria Math" w:hAnsi="Cambria Math"/>
                <w:i/>
              </w:rPr>
            </m:ctrlPr>
          </m:sSubPr>
          <m:e>
            <m:r>
              <w:rPr>
                <w:rFonts w:ascii="Cambria Math" w:hAnsi="Cambria Math"/>
              </w:rPr>
              <m:t>N</m:t>
            </m:r>
          </m:e>
          <m:sub>
            <m:r>
              <m:rPr>
                <m:nor/>
              </m:rPr>
              <w:rPr>
                <w:i/>
                <w:iCs/>
                <w:lang w:val="en-US"/>
              </w:rPr>
              <m:t>k</m:t>
            </m:r>
            <m:ctrlPr>
              <w:rPr>
                <w:rFonts w:ascii="Cambria Math" w:hAnsi="Cambria Math"/>
              </w:rPr>
            </m:ctrlPr>
          </m:sub>
        </m:sSub>
        <m:r>
          <w:rPr>
            <w:rFonts w:ascii="Cambria Math" w:hAnsi="Cambria Math" w:cs="Arial"/>
          </w:rPr>
          <m:t>=</m:t>
        </m:r>
        <m:r>
          <m:rPr>
            <m:sty m:val="p"/>
          </m:rPr>
          <w:rPr>
            <w:rFonts w:ascii="Cambria Math" w:hAnsi="Cambria Math" w:cs="Arial"/>
          </w:rPr>
          <m:t>max</m:t>
        </m:r>
        <m:d>
          <m:dPr>
            <m:ctrlPr>
              <w:rPr>
                <w:rFonts w:ascii="Cambria Math" w:hAnsi="Cambria Math" w:cs="Arial"/>
                <w:i/>
              </w:rPr>
            </m:ctrlPr>
          </m:dPr>
          <m:e>
            <m:sSup>
              <m:sSupPr>
                <m:ctrlPr>
                  <w:rPr>
                    <w:rFonts w:ascii="Cambria Math" w:hAnsi="Cambria Math"/>
                    <w:i/>
                    <w:lang w:val="en-US" w:eastAsia="zh-CN"/>
                  </w:rPr>
                </m:ctrlPr>
              </m:sSupPr>
              <m:e>
                <m:r>
                  <w:rPr>
                    <w:rFonts w:ascii="Cambria Math" w:hAnsi="Cambria Math"/>
                    <w:lang w:val="en-US" w:eastAsia="zh-CN"/>
                  </w:rPr>
                  <m:t>2</m:t>
                </m:r>
              </m:e>
              <m:sup>
                <m:sSub>
                  <m:sSubPr>
                    <m:ctrlPr>
                      <w:rPr>
                        <w:rFonts w:ascii="Cambria Math" w:hAnsi="Cambria Math"/>
                        <w:i/>
                        <w:lang w:val="en-US" w:eastAsia="zh-CN"/>
                      </w:rPr>
                    </m:ctrlPr>
                  </m:sSubPr>
                  <m:e>
                    <m:r>
                      <w:rPr>
                        <w:rFonts w:ascii="Cambria Math" w:hAnsi="Cambria Math"/>
                        <w:lang w:val="en-US" w:eastAsia="zh-CN"/>
                      </w:rPr>
                      <m:t>μ</m:t>
                    </m:r>
                  </m:e>
                  <m:sub>
                    <m:r>
                      <w:rPr>
                        <w:rFonts w:ascii="Cambria Math" w:hAnsi="Cambria Math"/>
                        <w:lang w:val="en-US" w:eastAsia="zh-CN"/>
                      </w:rPr>
                      <m:t>DL</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μ</m:t>
                    </m:r>
                  </m:e>
                  <m:sub>
                    <m:r>
                      <w:rPr>
                        <w:rFonts w:ascii="Cambria Math" w:hAnsi="Cambria Math"/>
                        <w:lang w:val="en-US" w:eastAsia="zh-CN"/>
                      </w:rPr>
                      <m:t>UL</m:t>
                    </m:r>
                  </m:sub>
                </m:sSub>
              </m:sup>
            </m:sSup>
            <m:r>
              <w:rPr>
                <w:rFonts w:ascii="Cambria Math" w:hAnsi="Cambria Math"/>
                <w:lang w:val="en-US" w:eastAsia="zh-CN"/>
              </w:rPr>
              <m:t>,1</m:t>
            </m:r>
          </m:e>
        </m:d>
      </m:oMath>
    </w:p>
    <w:p w14:paraId="0E4CA32C" w14:textId="5D142EBD" w:rsidR="00230BE0" w:rsidRPr="00111FF6" w:rsidRDefault="00230BE0" w:rsidP="00230BE0">
      <w:pPr>
        <w:pStyle w:val="B2"/>
        <w:ind w:hanging="311"/>
        <w:rPr>
          <w:lang w:val="en-US" w:eastAsia="zh-CN"/>
        </w:rPr>
      </w:pPr>
      <w:r w:rsidRPr="00111FF6">
        <w:rPr>
          <w:lang w:val="en-US" w:eastAsia="zh-CN"/>
        </w:rPr>
        <w:t xml:space="preserve">while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D</m:t>
            </m:r>
          </m:sub>
        </m:sSub>
        <m:r>
          <w:rPr>
            <w:rFonts w:ascii="Cambria Math" w:hAnsi="Cambria Math"/>
            <w:lang w:val="en-US" w:eastAsia="zh-CN"/>
          </w:rPr>
          <m:t>&lt;</m:t>
        </m:r>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k</m:t>
            </m:r>
          </m:sub>
        </m:sSub>
      </m:oMath>
      <w:r w:rsidRPr="00111FF6">
        <w:rPr>
          <w:rFonts w:hint="eastAsia"/>
          <w:lang w:eastAsia="zh-CN"/>
        </w:rPr>
        <w:t xml:space="preserve"> </w:t>
      </w:r>
    </w:p>
    <w:p w14:paraId="1A6AD332" w14:textId="21B83B13" w:rsidR="00222CD9" w:rsidRPr="00DD0058" w:rsidRDefault="00222CD9" w:rsidP="00CD71B9">
      <w:pPr>
        <w:pStyle w:val="B3"/>
        <w:ind w:left="851" w:firstLine="0"/>
        <w:rPr>
          <w:rFonts w:cs="Arial"/>
          <w:lang w:eastAsia="zh-CN"/>
        </w:rPr>
      </w:pPr>
      <w:r w:rsidRPr="00B27E56">
        <w:rPr>
          <w:lang w:eastAsia="zh-CN"/>
        </w:rPr>
        <w:t>if</w:t>
      </w:r>
      <w:r w:rsidRPr="00B27E56">
        <w:rPr>
          <w:rFonts w:hint="eastAsia"/>
          <w:lang w:eastAsia="zh-CN"/>
        </w:rPr>
        <w:t xml:space="preserve"> </w:t>
      </w:r>
      <w:r w:rsidR="007F28D8">
        <w:rPr>
          <w:i/>
          <w:iCs/>
          <w:lang w:val="en-US" w:eastAsia="zh-CN"/>
        </w:rPr>
        <w:t>pdsch</w:t>
      </w:r>
      <w:r w:rsidRPr="00012B06">
        <w:rPr>
          <w:i/>
          <w:iCs/>
          <w:lang w:val="en-US" w:eastAsia="zh-CN"/>
        </w:rPr>
        <w:t>-TimeDomainAllocationListForMultiPDSCH</w:t>
      </w:r>
      <w:r>
        <w:rPr>
          <w:lang w:val="en-US" w:eastAsia="zh-CN"/>
        </w:rPr>
        <w:t xml:space="preserve"> and </w:t>
      </w:r>
      <w:r w:rsidR="007F28D8">
        <w:rPr>
          <w:i/>
          <w:iCs/>
          <w:lang w:eastAsia="zh-CN"/>
        </w:rPr>
        <w:t>t</w:t>
      </w:r>
      <w:r w:rsidR="007F28D8" w:rsidRPr="00012B06">
        <w:rPr>
          <w:i/>
          <w:iCs/>
          <w:lang w:eastAsia="zh-CN"/>
        </w:rPr>
        <w:t>imeDomainHARQ</w:t>
      </w:r>
      <w:r w:rsidRPr="00012B06">
        <w:rPr>
          <w:i/>
          <w:iCs/>
          <w:lang w:eastAsia="zh-CN"/>
        </w:rPr>
        <w:t>-Bundling</w:t>
      </w:r>
      <w:r w:rsidR="00AD5C19">
        <w:rPr>
          <w:i/>
          <w:iCs/>
          <w:lang w:eastAsia="zh-CN"/>
        </w:rPr>
        <w:t>Type1</w:t>
      </w:r>
      <w:r>
        <w:rPr>
          <w:lang w:eastAsia="zh-CN"/>
        </w:rPr>
        <w:t xml:space="preserve"> are</w:t>
      </w:r>
      <w:r w:rsidRPr="00B27E56">
        <w:rPr>
          <w:lang w:eastAsia="zh-CN"/>
        </w:rPr>
        <w:t xml:space="preserve"> provided</w:t>
      </w:r>
      <w:r>
        <w:rPr>
          <w:lang w:eastAsia="zh-CN"/>
        </w:rPr>
        <w:t xml:space="preserve"> for </w:t>
      </w:r>
      <w:r w:rsidRPr="00B27E56">
        <w:rPr>
          <w:lang w:val="en-US"/>
        </w:rPr>
        <w:t xml:space="preserve">serving cell </w:t>
      </w:r>
      <m:oMath>
        <m:r>
          <w:rPr>
            <w:rFonts w:ascii="Cambria Math" w:hAnsi="Cambria Math"/>
            <w:lang w:val="en-US"/>
          </w:rPr>
          <m:t>c</m:t>
        </m:r>
      </m:oMath>
    </w:p>
    <w:p w14:paraId="0F34DBF1" w14:textId="56EB6DFD" w:rsidR="00222CD9" w:rsidRDefault="00222CD9" w:rsidP="00CD71B9">
      <w:pPr>
        <w:pStyle w:val="B4"/>
      </w:pPr>
      <m:oMath>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R</m:t>
            </m:r>
          </m:e>
          <m:sub>
            <m:r>
              <m:rPr>
                <m:nor/>
              </m:rPr>
              <w:rPr>
                <w:iCs/>
              </w:rPr>
              <m:t>T</m:t>
            </m:r>
          </m:sub>
        </m:sSub>
      </m:oMath>
      <w:r w:rsidRPr="00B27E56">
        <w:t>;</w:t>
      </w:r>
    </w:p>
    <w:p w14:paraId="79E6578E" w14:textId="716A2FCA" w:rsidR="00222CD9" w:rsidRPr="00B27E56" w:rsidRDefault="00222CD9" w:rsidP="00CD71B9">
      <w:pPr>
        <w:pStyle w:val="B4"/>
      </w:pPr>
      <m:oMath>
        <m:r>
          <w:rPr>
            <w:rFonts w:ascii="Cambria Math" w:hAnsi="Cambria Math"/>
          </w:rPr>
          <m:t>R</m:t>
        </m:r>
        <m:r>
          <m:rPr>
            <m:sty m:val="p"/>
          </m:rPr>
          <w:rPr>
            <w:rFonts w:ascii="Cambria Math" w:hAnsi="Cambria Math"/>
          </w:rPr>
          <m:t>'=</m:t>
        </m:r>
        <m:sSubSup>
          <m:sSubSupPr>
            <m:ctrlPr>
              <w:rPr>
                <w:rFonts w:ascii="Cambria Math" w:eastAsia="DengXian" w:hAnsi="Cambria Math"/>
              </w:rPr>
            </m:ctrlPr>
          </m:sSubSupPr>
          <m:e>
            <m:r>
              <w:rPr>
                <w:rFonts w:ascii="Cambria Math" w:eastAsia="DengXian" w:hAnsi="Cambria Math"/>
              </w:rPr>
              <m:t>R</m:t>
            </m:r>
          </m:e>
          <m:sub>
            <m:r>
              <w:rPr>
                <w:rFonts w:ascii="Cambria Math" w:eastAsia="DengXian" w:hAnsi="Cambria Math"/>
              </w:rPr>
              <m:t>T</m:t>
            </m:r>
          </m:sub>
          <m:sup>
            <m:r>
              <m:rPr>
                <m:sty m:val="p"/>
              </m:rPr>
              <w:rPr>
                <w:rFonts w:ascii="Cambria Math" w:eastAsia="DengXian" w:hAnsi="Cambria Math"/>
              </w:rPr>
              <m:t>'</m:t>
            </m:r>
          </m:sup>
        </m:sSubSup>
      </m:oMath>
      <w:r w:rsidRPr="00B27E56">
        <w:t>;</w:t>
      </w:r>
    </w:p>
    <w:p w14:paraId="14B9ECD5" w14:textId="58F08D18" w:rsidR="00222CD9" w:rsidRPr="00CD71B9" w:rsidRDefault="00222CD9" w:rsidP="00CD71B9">
      <w:pPr>
        <w:pStyle w:val="B3"/>
        <w:ind w:left="851" w:firstLine="0"/>
      </w:pPr>
      <w:r w:rsidRPr="00CD71B9">
        <w:t xml:space="preserve">elseif </w:t>
      </w:r>
      <w:r w:rsidR="00FB6499">
        <w:rPr>
          <w:i/>
          <w:iCs/>
          <w:lang w:val="en-US" w:eastAsia="zh-CN"/>
        </w:rPr>
        <w:t>pdsch</w:t>
      </w:r>
      <w:r w:rsidRPr="00012B06">
        <w:rPr>
          <w:i/>
          <w:iCs/>
          <w:lang w:val="en-US"/>
        </w:rPr>
        <w:t>-TimeDomainAllocationListForMultiPDSCH</w:t>
      </w:r>
      <w:r w:rsidRPr="00CD71B9">
        <w:rPr>
          <w:lang w:val="en-US"/>
        </w:rPr>
        <w:t xml:space="preserve"> is provided and</w:t>
      </w:r>
      <w:r>
        <w:rPr>
          <w:lang w:val="en-US" w:eastAsia="zh-CN"/>
        </w:rPr>
        <w:t xml:space="preserve"> </w:t>
      </w:r>
      <w:r w:rsidR="00FB6499">
        <w:rPr>
          <w:i/>
          <w:iCs/>
        </w:rPr>
        <w:t>t</w:t>
      </w:r>
      <w:r w:rsidR="00FB6499" w:rsidRPr="00012B06">
        <w:rPr>
          <w:i/>
          <w:iCs/>
        </w:rPr>
        <w:t>imeDomainHARQ</w:t>
      </w:r>
      <w:r w:rsidRPr="00012B06">
        <w:rPr>
          <w:i/>
          <w:iCs/>
        </w:rPr>
        <w:t>-Bundling</w:t>
      </w:r>
      <w:r w:rsidR="00AD5C19">
        <w:rPr>
          <w:i/>
          <w:iCs/>
          <w:lang w:eastAsia="zh-CN"/>
        </w:rPr>
        <w:t>Type1</w:t>
      </w:r>
      <w:r w:rsidRPr="00CD71B9">
        <w:t xml:space="preserve"> is not provided for </w:t>
      </w:r>
      <w:r w:rsidRPr="00CD71B9">
        <w:rPr>
          <w:lang w:val="en-US"/>
        </w:rPr>
        <w:t xml:space="preserve">serving cell </w:t>
      </w:r>
      <m:oMath>
        <m:r>
          <w:rPr>
            <w:rFonts w:ascii="Cambria Math" w:hAnsi="Cambria Math"/>
            <w:lang w:val="en-US"/>
          </w:rPr>
          <m:t>c</m:t>
        </m:r>
      </m:oMath>
    </w:p>
    <w:p w14:paraId="3BBF5FCD" w14:textId="19B7B3A6" w:rsidR="00222CD9" w:rsidRDefault="00222CD9" w:rsidP="00CD71B9">
      <w:pPr>
        <w:pStyle w:val="B4"/>
      </w:pPr>
      <m:oMath>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R</m:t>
            </m:r>
          </m:e>
          <m:sub>
            <m:r>
              <m:rPr>
                <m:nor/>
              </m:rPr>
              <w:rPr>
                <w:iCs/>
              </w:rPr>
              <m:t>T</m:t>
            </m:r>
          </m:sub>
        </m:sSub>
      </m:oMath>
      <w:r w:rsidRPr="00B27E56">
        <w:t>;</w:t>
      </w:r>
    </w:p>
    <w:p w14:paraId="37CB0CB2" w14:textId="77777777" w:rsidR="00222CD9" w:rsidRDefault="00222CD9" w:rsidP="00222CD9">
      <w:pPr>
        <w:pStyle w:val="B3"/>
        <w:rPr>
          <w:lang w:eastAsia="zh-CN"/>
        </w:rPr>
      </w:pPr>
      <w:r>
        <w:rPr>
          <w:lang w:eastAsia="zh-CN"/>
        </w:rPr>
        <w:t xml:space="preserve">else </w:t>
      </w:r>
    </w:p>
    <w:p w14:paraId="03B2DE9C" w14:textId="5B33BC58" w:rsidR="00222CD9" w:rsidRPr="00B27E56" w:rsidRDefault="00222CD9" w:rsidP="00CD71B9">
      <w:pPr>
        <w:pStyle w:val="B4"/>
        <w:rPr>
          <w:lang w:eastAsia="zh-CN"/>
        </w:rPr>
      </w:pPr>
      <w:r w:rsidRPr="00B27E56">
        <w:rPr>
          <w:lang w:eastAsia="zh-CN"/>
        </w:rPr>
        <w:t xml:space="preserve">Set </w:t>
      </w:r>
      <m:oMath>
        <m:r>
          <w:rPr>
            <w:rFonts w:ascii="Cambria Math" w:hAnsi="Cambria Math"/>
          </w:rPr>
          <m:t>R</m:t>
        </m:r>
      </m:oMath>
      <w:r w:rsidRPr="00B27E56">
        <w:rPr>
          <w:lang w:eastAsia="zh-CN"/>
        </w:rPr>
        <w:t xml:space="preserve"> to the set of </w:t>
      </w:r>
      <w:r w:rsidRPr="00B27E56">
        <w:rPr>
          <w:rFonts w:hint="eastAsia"/>
          <w:lang w:eastAsia="zh-CN"/>
        </w:rPr>
        <w:t>rows</w:t>
      </w:r>
    </w:p>
    <w:p w14:paraId="0012C744" w14:textId="77777777" w:rsidR="00222CD9" w:rsidRDefault="00222CD9" w:rsidP="00222CD9">
      <w:pPr>
        <w:pStyle w:val="B3"/>
        <w:tabs>
          <w:tab w:val="left" w:pos="851"/>
        </w:tabs>
        <w:rPr>
          <w:lang w:eastAsia="zh-CN"/>
        </w:rPr>
      </w:pPr>
      <w:r>
        <w:rPr>
          <w:lang w:eastAsia="zh-CN"/>
        </w:rPr>
        <w:t>end if</w:t>
      </w:r>
    </w:p>
    <w:p w14:paraId="6B731ED8" w14:textId="55A10308" w:rsidR="00222CD9" w:rsidRPr="00B27E56" w:rsidRDefault="00222CD9" w:rsidP="00222CD9">
      <w:pPr>
        <w:pStyle w:val="B3"/>
        <w:tabs>
          <w:tab w:val="left" w:pos="851"/>
        </w:tabs>
        <w:rPr>
          <w:lang w:eastAsia="zh-CN"/>
        </w:rPr>
      </w:pPr>
      <w:r w:rsidRPr="00B27E56">
        <w:rPr>
          <w:lang w:eastAsia="zh-CN"/>
        </w:rPr>
        <w:t xml:space="preserve">Set </w:t>
      </w:r>
      <m:oMath>
        <m:r>
          <m:rPr>
            <m:nor/>
          </m:rPr>
          <w:rPr>
            <w:rFonts w:ascii="Freestyle Script" w:hAnsi="Freestyle Script"/>
          </w:rPr>
          <m:t>C</m:t>
        </m:r>
        <m:d>
          <m:dPr>
            <m:ctrlPr>
              <w:rPr>
                <w:rFonts w:ascii="Cambria Math" w:hAnsi="Cambria Math" w:cs="Helvetica"/>
                <w:i/>
              </w:rPr>
            </m:ctrlPr>
          </m:dPr>
          <m:e>
            <m:r>
              <w:rPr>
                <w:rFonts w:ascii="Cambria Math" w:hAnsi="Cambria Math"/>
              </w:rPr>
              <m:t>R</m:t>
            </m:r>
          </m:e>
        </m:d>
      </m:oMath>
      <w:r w:rsidRPr="00B27E56">
        <w:t xml:space="preserve"> to the cardinality of </w:t>
      </w:r>
      <m:oMath>
        <m:r>
          <w:rPr>
            <w:rFonts w:ascii="Cambria Math" w:hAnsi="Cambria Math"/>
          </w:rPr>
          <m:t>R</m:t>
        </m:r>
      </m:oMath>
    </w:p>
    <w:p w14:paraId="3A732594" w14:textId="1E2142DF" w:rsidR="00222CD9" w:rsidRPr="00B27E56" w:rsidRDefault="00222CD9" w:rsidP="00222CD9">
      <w:pPr>
        <w:pStyle w:val="B3"/>
        <w:rPr>
          <w:lang w:eastAsia="zh-CN"/>
        </w:rPr>
      </w:pPr>
      <w:r w:rsidRPr="00B27E56">
        <w:rPr>
          <w:lang w:eastAsia="zh-CN"/>
        </w:rPr>
        <w:t>S</w:t>
      </w:r>
      <w:r w:rsidRPr="00B27E56">
        <w:rPr>
          <w:rFonts w:hint="eastAsia"/>
          <w:lang w:eastAsia="zh-CN"/>
        </w:rPr>
        <w:t xml:space="preserve">et </w:t>
      </w:r>
      <m:oMath>
        <m:r>
          <w:rPr>
            <w:rFonts w:ascii="Cambria Math" w:hAnsi="Cambria Math"/>
          </w:rPr>
          <m:t>r=0</m:t>
        </m:r>
      </m:oMath>
      <w:r w:rsidRPr="00B27E56">
        <w:rPr>
          <w:rFonts w:hint="eastAsia"/>
          <w:lang w:eastAsia="zh-CN"/>
        </w:rPr>
        <w:t xml:space="preserve"> </w:t>
      </w:r>
      <w:r w:rsidRPr="00B27E56">
        <w:rPr>
          <w:lang w:eastAsia="zh-CN"/>
        </w:rPr>
        <w:t>–</w:t>
      </w:r>
      <w:r w:rsidRPr="00B27E56">
        <w:rPr>
          <w:rFonts w:hint="eastAsia"/>
          <w:lang w:eastAsia="zh-CN"/>
        </w:rPr>
        <w:t xml:space="preserve"> index of row </w:t>
      </w:r>
      <w:r w:rsidRPr="00B27E56">
        <w:rPr>
          <w:lang w:val="en-US" w:eastAsia="zh-CN"/>
        </w:rPr>
        <w:t xml:space="preserve">in set </w:t>
      </w:r>
      <m:oMath>
        <m:r>
          <w:rPr>
            <w:rFonts w:ascii="Cambria Math" w:hAnsi="Cambria Math"/>
          </w:rPr>
          <m:t>R</m:t>
        </m:r>
      </m:oMath>
    </w:p>
    <w:p w14:paraId="6E756F9C" w14:textId="6BDC4BAB" w:rsidR="00222CD9" w:rsidRPr="00B27E56" w:rsidRDefault="00222CD9" w:rsidP="00222CD9">
      <w:pPr>
        <w:pStyle w:val="B3"/>
        <w:ind w:left="852" w:firstLine="0"/>
        <w:rPr>
          <w:lang w:val="en-US"/>
        </w:rPr>
      </w:pPr>
      <w:r w:rsidRPr="00B27E56">
        <w:rPr>
          <w:lang w:val="en-US"/>
        </w:rPr>
        <w:t xml:space="preserve">if slot </w:t>
      </w:r>
      <m:oMath>
        <m:sSub>
          <m:sSubPr>
            <m:ctrlPr>
              <w:rPr>
                <w:rFonts w:ascii="Cambria Math" w:hAnsi="Cambria Math"/>
                <w:i/>
              </w:rPr>
            </m:ctrlPr>
          </m:sSubPr>
          <m:e>
            <m:r>
              <w:rPr>
                <w:rFonts w:ascii="Cambria Math" w:hAnsi="Cambria Math"/>
              </w:rPr>
              <m:t>n</m:t>
            </m:r>
          </m:e>
          <m:sub>
            <m:r>
              <m:rPr>
                <m:nor/>
              </m:rPr>
              <w:rPr>
                <w:rFonts w:ascii="Cambria Math"/>
                <w:lang w:val="en-US"/>
              </w:rPr>
              <m:t>U</m:t>
            </m:r>
            <m:ctrlPr>
              <w:rPr>
                <w:rFonts w:ascii="Cambria Math" w:hAnsi="Cambria Math"/>
              </w:rPr>
            </m:ctrlPr>
          </m:sub>
        </m:sSub>
      </m:oMath>
      <w:r w:rsidRPr="00B27E56">
        <w:rPr>
          <w:lang w:val="en-US"/>
        </w:rPr>
        <w:t xml:space="preserve"> starts at a same time as or after a slot for an active DL BWP change on serving cell </w:t>
      </w:r>
      <m:oMath>
        <m:r>
          <w:rPr>
            <w:rFonts w:ascii="Cambria Math" w:hAnsi="Cambria Math"/>
            <w:lang w:val="en-US"/>
          </w:rPr>
          <m:t>c</m:t>
        </m:r>
      </m:oMath>
      <w:r w:rsidRPr="00B27E56">
        <w:rPr>
          <w:rFonts w:cs="Arial"/>
          <w:lang w:val="en-US" w:eastAsia="zh-CN"/>
        </w:rPr>
        <w:t xml:space="preserve"> </w:t>
      </w:r>
      <w:r w:rsidRPr="00B27E56">
        <w:rPr>
          <w:lang w:val="en-US"/>
        </w:rPr>
        <w:t xml:space="preserve">or an active UL BWP change on the </w:t>
      </w:r>
      <w:r w:rsidR="00064775" w:rsidRPr="00B024E1">
        <w:t>serving cell of PUCCH transmission</w:t>
      </w:r>
      <w:r w:rsidRPr="00B27E56">
        <w:rPr>
          <w:lang w:val="en-US"/>
        </w:rPr>
        <w:t xml:space="preserve"> </w:t>
      </w:r>
      <w:r w:rsidR="004A535A" w:rsidRPr="0040734B">
        <w:t xml:space="preserve">if the UE is provided </w:t>
      </w:r>
      <w:r w:rsidR="004A535A" w:rsidRPr="0040734B">
        <w:rPr>
          <w:i/>
        </w:rPr>
        <w:t xml:space="preserve">pucch-sSCellDyn </w:t>
      </w:r>
      <w:r w:rsidR="004A535A" w:rsidRPr="0040734B">
        <w:t xml:space="preserve">or </w:t>
      </w:r>
      <w:r w:rsidR="004A535A" w:rsidRPr="0040734B">
        <w:rPr>
          <w:i/>
        </w:rPr>
        <w:t>pucch-sSCellDynDCI-1-2</w:t>
      </w:r>
      <w:r w:rsidR="00B50C4D" w:rsidRPr="00C4241E">
        <w:t xml:space="preserve"> </w:t>
      </w:r>
      <w:r w:rsidR="00B50C4D" w:rsidRPr="0040734B">
        <w:t xml:space="preserve">or </w:t>
      </w:r>
      <w:r w:rsidR="00B50C4D" w:rsidRPr="0040734B">
        <w:rPr>
          <w:i/>
        </w:rPr>
        <w:t>pucch-sSCellDynDCI-1-</w:t>
      </w:r>
      <w:r w:rsidR="00B50C4D">
        <w:rPr>
          <w:i/>
        </w:rPr>
        <w:t>3</w:t>
      </w:r>
      <w:r w:rsidR="004A535A">
        <w:t xml:space="preserve">, or an active UL BWP change </w:t>
      </w:r>
      <w:r w:rsidR="004A535A" w:rsidRPr="00853BC9">
        <w:t xml:space="preserve">on the PCell if the UE is not provided </w:t>
      </w:r>
      <w:r w:rsidR="004A535A" w:rsidRPr="00853BC9">
        <w:rPr>
          <w:i/>
        </w:rPr>
        <w:t xml:space="preserve">pucch-sSCellDyn </w:t>
      </w:r>
      <w:r w:rsidR="004A535A" w:rsidRPr="00853BC9">
        <w:t xml:space="preserve">and </w:t>
      </w:r>
      <w:r w:rsidR="004A535A" w:rsidRPr="00853BC9">
        <w:rPr>
          <w:i/>
        </w:rPr>
        <w:t>pucch-sSCellDynDCI-1-2</w:t>
      </w:r>
      <w:r w:rsidR="00B50C4D" w:rsidRPr="00400941">
        <w:t xml:space="preserve"> </w:t>
      </w:r>
      <w:r w:rsidR="00B50C4D">
        <w:t>and</w:t>
      </w:r>
      <w:r w:rsidR="00B50C4D" w:rsidRPr="0040734B">
        <w:t xml:space="preserve"> </w:t>
      </w:r>
      <w:r w:rsidR="00B50C4D" w:rsidRPr="0040734B">
        <w:rPr>
          <w:i/>
        </w:rPr>
        <w:t>pucch-sSCellDynDCI-1-</w:t>
      </w:r>
      <w:r w:rsidR="00B50C4D">
        <w:rPr>
          <w:i/>
        </w:rPr>
        <w:t>3</w:t>
      </w:r>
      <w:r w:rsidR="004A535A">
        <w:rPr>
          <w:i/>
        </w:rPr>
        <w:t xml:space="preserve">, </w:t>
      </w:r>
      <w:r w:rsidRPr="00B27E56">
        <w:rPr>
          <w:lang w:val="en-US"/>
        </w:rPr>
        <w:t xml:space="preserve">and slot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0,k</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D</m:t>
            </m:r>
          </m:sub>
        </m:sSub>
      </m:oMath>
      <w:r w:rsidRPr="00B27E56">
        <w:rPr>
          <w:lang w:val="en-US"/>
        </w:rPr>
        <w:t xml:space="preserve"> is before the slot for the active DL BWP change on serving cell </w:t>
      </w:r>
      <m:oMath>
        <m:r>
          <w:rPr>
            <w:rFonts w:ascii="Cambria Math" w:hAnsi="Cambria Math"/>
            <w:lang w:val="en-US"/>
          </w:rPr>
          <m:t>c</m:t>
        </m:r>
      </m:oMath>
      <w:r w:rsidRPr="00B27E56">
        <w:rPr>
          <w:rFonts w:cs="Arial"/>
          <w:lang w:val="en-US" w:eastAsia="zh-CN"/>
        </w:rPr>
        <w:t xml:space="preserve"> </w:t>
      </w:r>
      <w:r w:rsidRPr="00B27E56">
        <w:rPr>
          <w:lang w:val="en-US"/>
        </w:rPr>
        <w:t xml:space="preserve">or the active UL BWP change on the </w:t>
      </w:r>
      <w:r w:rsidR="00064775" w:rsidRPr="00B024E1">
        <w:t>serving cell of PUCCH transmission</w:t>
      </w:r>
      <w:r w:rsidR="00230BE0" w:rsidRPr="00111FF6">
        <w:rPr>
          <w:lang w:val="en-US"/>
        </w:rPr>
        <w:t xml:space="preserve">, </w:t>
      </w:r>
      <w:r w:rsidR="00230BE0" w:rsidRPr="00111FF6">
        <w:rPr>
          <w:lang w:val="en-US" w:eastAsia="zh-CN"/>
        </w:rPr>
        <w:t xml:space="preserve">or </w:t>
      </w:r>
      <w:r w:rsidR="00230BE0" w:rsidRPr="00111FF6">
        <w:rPr>
          <w:rFonts w:cs="Arial"/>
          <w:i/>
          <w:iCs/>
          <w:lang w:eastAsia="zh-CN"/>
        </w:rPr>
        <w:t>subslotLengthForPUCCH</w:t>
      </w:r>
      <w:r w:rsidR="00230BE0" w:rsidRPr="00111FF6">
        <w:rPr>
          <w:rFonts w:cs="Arial"/>
          <w:lang w:val="en-US" w:eastAsia="zh-CN"/>
        </w:rPr>
        <w:t xml:space="preserve"> is provided for the HARQ-ACK codebook and </w:t>
      </w:r>
      <w:r w:rsidR="00230BE0" w:rsidRPr="00111FF6">
        <w:rPr>
          <w:lang w:val="en-US"/>
        </w:rPr>
        <w:t xml:space="preserve">slot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0,k</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D</m:t>
            </m:r>
          </m:sub>
        </m:sSub>
      </m:oMath>
      <w:r w:rsidR="00230BE0" w:rsidRPr="00111FF6">
        <w:rPr>
          <w:lang w:val="en-US" w:eastAsia="zh-CN"/>
        </w:rPr>
        <w:t xml:space="preserve"> overlaps with UL slot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U</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1,k-1</m:t>
            </m:r>
          </m:sub>
        </m:sSub>
      </m:oMath>
      <w:r w:rsidR="00230BE0" w:rsidRPr="00111FF6">
        <w:rPr>
          <w:lang w:val="en-US" w:eastAsia="zh-CN"/>
        </w:rPr>
        <w:t xml:space="preserve">, </w:t>
      </w:r>
      <m:oMath>
        <m:r>
          <w:rPr>
            <w:rFonts w:ascii="Cambria Math" w:hAnsi="Cambria Math"/>
            <w:lang w:val="en-US" w:eastAsia="zh-CN"/>
          </w:rPr>
          <m:t>k&gt;0</m:t>
        </m:r>
      </m:oMath>
      <w:r w:rsidR="00230BE0" w:rsidRPr="00111FF6">
        <w:rPr>
          <w:rFonts w:cs="Arial"/>
          <w:lang w:val="en-US" w:eastAsia="zh-CN"/>
        </w:rPr>
        <w:t xml:space="preserve">, </w:t>
      </w:r>
      <w:r w:rsidR="00230BE0" w:rsidRPr="00111FF6">
        <w:rPr>
          <w:lang w:val="en-US"/>
        </w:rPr>
        <w:t xml:space="preserve">where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0,k</m:t>
            </m:r>
          </m:sub>
        </m:sSub>
      </m:oMath>
      <w:r w:rsidR="00230BE0" w:rsidRPr="00111FF6">
        <w:rPr>
          <w:lang w:val="en-US" w:eastAsia="zh-CN"/>
        </w:rPr>
        <w:t xml:space="preserve"> is a DL slot with a smallest index among DL slots overlapping with UL slot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U</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1,k</m:t>
            </m:r>
          </m:sub>
        </m:sSub>
      </m:oMath>
      <w:r w:rsidR="00230BE0" w:rsidRPr="00111FF6">
        <w:rPr>
          <w:lang w:val="en-US" w:eastAsia="zh-CN"/>
        </w:rPr>
        <w:t>,</w:t>
      </w:r>
      <w:r w:rsidRPr="00B27E56">
        <w:rPr>
          <w:lang w:val="en-US"/>
        </w:rPr>
        <w:t xml:space="preserve"> </w:t>
      </w:r>
    </w:p>
    <w:p w14:paraId="2A47B380" w14:textId="77777777" w:rsidR="00222CD9" w:rsidRPr="00B27E56" w:rsidRDefault="00000000" w:rsidP="00222CD9">
      <w:pPr>
        <w:pStyle w:val="B4"/>
        <w:ind w:left="1135" w:firstLine="2"/>
      </w:pPr>
      <m:oMath>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+1</m:t>
        </m:r>
      </m:oMath>
      <w:r w:rsidR="00222CD9" w:rsidRPr="00B27E56">
        <w:t xml:space="preserve">; </w:t>
      </w:r>
    </w:p>
    <w:p w14:paraId="1BBE0AD9" w14:textId="77777777" w:rsidR="00222CD9" w:rsidRPr="00B27E56" w:rsidRDefault="00222CD9" w:rsidP="00222CD9">
      <w:pPr>
        <w:pStyle w:val="B3"/>
        <w:ind w:left="852" w:hanging="1"/>
        <w:rPr>
          <w:lang w:val="en-US"/>
        </w:rPr>
      </w:pPr>
      <w:r w:rsidRPr="00B27E56">
        <w:rPr>
          <w:lang w:val="en-US"/>
        </w:rPr>
        <w:t xml:space="preserve">else </w:t>
      </w:r>
    </w:p>
    <w:p w14:paraId="64B2D609" w14:textId="2EBD7D82" w:rsidR="00222CD9" w:rsidRPr="00B27E56" w:rsidRDefault="00222CD9" w:rsidP="00222CD9">
      <w:pPr>
        <w:pStyle w:val="B4"/>
        <w:ind w:left="1135" w:firstLine="0"/>
        <w:rPr>
          <w:lang w:eastAsia="zh-CN"/>
        </w:rPr>
      </w:pPr>
      <w:r w:rsidRPr="00B27E56">
        <w:t xml:space="preserve">while </w:t>
      </w:r>
      <m:oMath>
        <m:r>
          <w:rPr>
            <w:rFonts w:ascii="Cambria Math" w:hAnsi="Cambria Math"/>
          </w:rPr>
          <m:t>r&lt;</m:t>
        </m:r>
        <m:r>
          <m:rPr>
            <m:nor/>
          </m:rPr>
          <w:rPr>
            <w:rFonts w:ascii="Freestyle Script" w:hAnsi="Freestyle Script"/>
          </w:rPr>
          <m:t>C</m:t>
        </m:r>
        <m:d>
          <m:dPr>
            <m:ctrlPr>
              <w:rPr>
                <w:rFonts w:ascii="Cambria Math" w:hAnsi="Cambria Math" w:cs="Helvetica"/>
                <w:i/>
              </w:rPr>
            </m:ctrlPr>
          </m:dPr>
          <m:e>
            <m:r>
              <w:rPr>
                <w:rFonts w:ascii="Cambria Math" w:hAnsi="Cambria Math"/>
              </w:rPr>
              <m:t>R</m:t>
            </m:r>
          </m:e>
        </m:d>
      </m:oMath>
    </w:p>
    <w:p w14:paraId="3BCA01BE" w14:textId="224AD615" w:rsidR="00222CD9" w:rsidRPr="00B27E56" w:rsidRDefault="00222CD9" w:rsidP="00222CD9">
      <w:pPr>
        <w:pStyle w:val="B5"/>
        <w:ind w:left="1421" w:firstLine="0"/>
        <w:rPr>
          <w:lang w:eastAsia="zh-CN"/>
        </w:rPr>
      </w:pPr>
      <w:r w:rsidRPr="00B27E56">
        <w:rPr>
          <w:rFonts w:hint="eastAsia"/>
          <w:lang w:eastAsia="zh-CN"/>
        </w:rPr>
        <w:t xml:space="preserve">if </w:t>
      </w:r>
      <w:r w:rsidRPr="00B27E56">
        <w:rPr>
          <w:lang w:eastAsia="zh-CN"/>
        </w:rPr>
        <w:t xml:space="preserve">the UE </w:t>
      </w:r>
      <w:r>
        <w:rPr>
          <w:lang w:eastAsia="zh-CN"/>
        </w:rPr>
        <w:t xml:space="preserve">is not provided </w:t>
      </w:r>
      <w:r w:rsidR="004346AA">
        <w:rPr>
          <w:i/>
          <w:iCs/>
          <w:lang w:eastAsia="zh-CN"/>
        </w:rPr>
        <w:t>t</w:t>
      </w:r>
      <w:r w:rsidR="004346AA" w:rsidRPr="00B27E56">
        <w:rPr>
          <w:i/>
          <w:iCs/>
          <w:lang w:eastAsia="zh-CN"/>
        </w:rPr>
        <w:t>imeDomainHARQ</w:t>
      </w:r>
      <w:r w:rsidRPr="00B27E56">
        <w:rPr>
          <w:i/>
          <w:iCs/>
          <w:lang w:eastAsia="zh-CN"/>
        </w:rPr>
        <w:t>-Bundling</w:t>
      </w:r>
      <w:r w:rsidR="004346AA">
        <w:rPr>
          <w:i/>
          <w:iCs/>
          <w:lang w:eastAsia="zh-CN"/>
        </w:rPr>
        <w:t>Type1</w:t>
      </w:r>
      <w:r w:rsidRPr="00B27E56">
        <w:rPr>
          <w:lang w:eastAsia="zh-CN"/>
        </w:rPr>
        <w:t xml:space="preserve"> </w:t>
      </w:r>
      <w:r>
        <w:rPr>
          <w:lang w:eastAsia="zh-CN"/>
        </w:rPr>
        <w:t xml:space="preserve">and </w:t>
      </w:r>
      <w:r w:rsidRPr="00B27E56">
        <w:rPr>
          <w:lang w:eastAsia="zh-CN"/>
        </w:rPr>
        <w:t xml:space="preserve">is provided </w:t>
      </w:r>
      <w:r w:rsidRPr="00B27E56">
        <w:rPr>
          <w:i/>
          <w:lang w:val="en-US"/>
        </w:rPr>
        <w:t>tdd-</w:t>
      </w:r>
      <w:r w:rsidRPr="00B27E56">
        <w:rPr>
          <w:i/>
        </w:rPr>
        <w:t>UL-DL-</w:t>
      </w:r>
      <w:r w:rsidRPr="00B27E56">
        <w:rPr>
          <w:i/>
          <w:lang w:val="en-US"/>
        </w:rPr>
        <w:t>ConfigurationCommon</w:t>
      </w:r>
      <w:r w:rsidRPr="00B27E56">
        <w:t xml:space="preserve">, </w:t>
      </w:r>
      <w:r w:rsidRPr="00B27E56">
        <w:rPr>
          <w:lang w:eastAsia="zh-CN"/>
        </w:rPr>
        <w:t>or</w:t>
      </w:r>
      <w:r w:rsidRPr="00B27E56">
        <w:t xml:space="preserve"> </w:t>
      </w:r>
      <w:r w:rsidRPr="00B27E56">
        <w:rPr>
          <w:i/>
          <w:lang w:val="en-US"/>
        </w:rPr>
        <w:t>tdd-</w:t>
      </w:r>
      <w:r w:rsidRPr="00B27E56">
        <w:rPr>
          <w:i/>
        </w:rPr>
        <w:t>UL-DL-</w:t>
      </w:r>
      <w:r w:rsidRPr="00B27E56">
        <w:rPr>
          <w:i/>
          <w:lang w:val="en-US"/>
        </w:rPr>
        <w:t>C</w:t>
      </w:r>
      <w:r w:rsidRPr="00B27E56">
        <w:rPr>
          <w:i/>
        </w:rPr>
        <w:t>onfiguration</w:t>
      </w:r>
      <w:r w:rsidRPr="00B27E56">
        <w:rPr>
          <w:i/>
          <w:lang w:val="en-US"/>
        </w:rPr>
        <w:t>D</w:t>
      </w:r>
      <w:r w:rsidRPr="00B27E56">
        <w:rPr>
          <w:i/>
        </w:rPr>
        <w:t>edicated</w:t>
      </w:r>
      <w:r w:rsidRPr="00B27E56">
        <w:rPr>
          <w:lang w:eastAsia="zh-CN"/>
        </w:rPr>
        <w:t xml:space="preserve"> and</w:t>
      </w:r>
      <w:r w:rsidRPr="00B27E56">
        <w:rPr>
          <w:lang w:val="en-US" w:eastAsia="zh-CN"/>
        </w:rPr>
        <w:t>,</w:t>
      </w:r>
      <w:r w:rsidRPr="00B27E56">
        <w:rPr>
          <w:lang w:eastAsia="zh-CN"/>
        </w:rPr>
        <w:t xml:space="preserve"> </w:t>
      </w:r>
      <w:r w:rsidRPr="00B27E56">
        <w:rPr>
          <w:rFonts w:hint="eastAsia"/>
          <w:lang w:eastAsia="zh-CN"/>
        </w:rPr>
        <w:t xml:space="preserve">for each slot </w:t>
      </w:r>
      <w:r w:rsidRPr="00B27E56">
        <w:rPr>
          <w:lang w:val="en-US" w:eastAsia="zh-CN"/>
        </w:rPr>
        <w:t xml:space="preserve">from slot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0,k</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D</m:t>
            </m:r>
          </m:sub>
        </m:sSub>
        <m:r>
          <w:rPr>
            <w:rFonts w:ascii="Cambria Math" w:hAnsi="Cambria Math"/>
            <w:lang w:val="en-US" w:eastAsia="zh-CN"/>
          </w:rPr>
          <m:t>-</m:t>
        </m:r>
        <m:sSubSup>
          <m:sSubSupPr>
            <m:ctrlPr>
              <w:rPr>
                <w:rFonts w:ascii="Cambria Math" w:hAnsi="Cambria Math"/>
              </w:rPr>
            </m:ctrlPr>
          </m:sSubSupPr>
          <m:e>
            <m:r>
              <w:rPr>
                <w:rFonts w:ascii="Cambria Math" w:hAnsi="Cambria Math"/>
              </w:rPr>
              <m:t>N</m:t>
            </m:r>
          </m:e>
          <m:sub>
            <m:r>
              <m:rPr>
                <m:sty m:val="p"/>
              </m:rPr>
              <w:rPr>
                <w:rFonts w:ascii="Cambria Math" w:hAnsi="Cambria Math"/>
              </w:rPr>
              <m:t>PDSCH</m:t>
            </m:r>
          </m:sub>
          <m:sup>
            <m:r>
              <m:rPr>
                <m:sty m:val="p"/>
              </m:rPr>
              <w:rPr>
                <w:rFonts w:ascii="Cambria Math" w:hAnsi="Cambria Math"/>
              </w:rPr>
              <m:t>repeat,max</m:t>
            </m:r>
          </m:sup>
        </m:sSubSup>
        <m:r>
          <w:rPr>
            <w:rFonts w:ascii="Cambria Math" w:hAnsi="Cambria Math"/>
            <w:lang w:val="en-US" w:eastAsia="zh-CN"/>
          </w:rPr>
          <m:t>+1</m:t>
        </m:r>
      </m:oMath>
      <w:r w:rsidRPr="00B27E56">
        <w:rPr>
          <w:rFonts w:hint="eastAsia"/>
          <w:lang w:eastAsia="zh-CN"/>
        </w:rPr>
        <w:t xml:space="preserve"> to slot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0,k</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D</m:t>
            </m:r>
          </m:sub>
        </m:sSub>
      </m:oMath>
      <w:r w:rsidRPr="00B27E56">
        <w:rPr>
          <w:rFonts w:hint="eastAsia"/>
          <w:lang w:eastAsia="zh-CN"/>
        </w:rPr>
        <w:t>,</w:t>
      </w:r>
      <w:r w:rsidRPr="00B27E56">
        <w:rPr>
          <w:lang w:eastAsia="zh-CN"/>
        </w:rPr>
        <w:t xml:space="preserve"> </w:t>
      </w:r>
      <w:r w:rsidRPr="00B27E56">
        <w:rPr>
          <w:rFonts w:hint="eastAsia"/>
          <w:lang w:eastAsia="zh-CN"/>
        </w:rPr>
        <w:t xml:space="preserve">at least one symbol of the PDSCH time resource derived by row </w:t>
      </w:r>
      <m:oMath>
        <m:r>
          <w:rPr>
            <w:rFonts w:ascii="Cambria Math" w:hAnsi="Cambria Math"/>
          </w:rPr>
          <m:t>r</m:t>
        </m:r>
      </m:oMath>
      <w:r w:rsidRPr="00B27E56">
        <w:t xml:space="preserve"> </w:t>
      </w:r>
      <w:r w:rsidRPr="00B27E56">
        <w:rPr>
          <w:rFonts w:hint="eastAsia"/>
          <w:lang w:eastAsia="zh-CN"/>
        </w:rPr>
        <w:t>is configured as UL</w:t>
      </w:r>
      <w:r w:rsidR="00012B06">
        <w:rPr>
          <w:lang w:eastAsia="zh-CN"/>
        </w:rPr>
        <w:t xml:space="preserve"> </w:t>
      </w:r>
      <w:r w:rsidR="00012B06" w:rsidRPr="00F210EC">
        <w:t xml:space="preserve">by </w:t>
      </w:r>
      <w:r w:rsidR="00012B06">
        <w:rPr>
          <w:i/>
          <w:lang w:val="en-US"/>
        </w:rPr>
        <w:t>tdd</w:t>
      </w:r>
      <w:r w:rsidR="00012B06" w:rsidRPr="00293E39">
        <w:rPr>
          <w:i/>
          <w:lang w:val="en-US"/>
        </w:rPr>
        <w:t>-</w:t>
      </w:r>
      <w:r w:rsidR="00012B06" w:rsidRPr="00494A77">
        <w:rPr>
          <w:i/>
        </w:rPr>
        <w:t>UL-DL-</w:t>
      </w:r>
      <w:r w:rsidR="00012B06">
        <w:rPr>
          <w:i/>
          <w:lang w:val="en-US"/>
        </w:rPr>
        <w:t>C</w:t>
      </w:r>
      <w:r w:rsidR="00012B06" w:rsidRPr="00494A77">
        <w:rPr>
          <w:i/>
        </w:rPr>
        <w:t>onfiguration</w:t>
      </w:r>
      <w:r w:rsidR="00012B06">
        <w:rPr>
          <w:i/>
          <w:lang w:val="en-US"/>
        </w:rPr>
        <w:t>C</w:t>
      </w:r>
      <w:r w:rsidR="00012B06" w:rsidRPr="00494A77">
        <w:rPr>
          <w:i/>
        </w:rPr>
        <w:t>ommon</w:t>
      </w:r>
      <w:r w:rsidR="00012B06" w:rsidRPr="00494A77">
        <w:t xml:space="preserve"> </w:t>
      </w:r>
      <w:r w:rsidR="00012B06" w:rsidRPr="0080392F">
        <w:t xml:space="preserve">or </w:t>
      </w:r>
      <w:r w:rsidR="00012B06">
        <w:rPr>
          <w:i/>
          <w:lang w:val="en-US"/>
        </w:rPr>
        <w:t>tdd</w:t>
      </w:r>
      <w:r w:rsidR="00012B06" w:rsidRPr="0023005A">
        <w:rPr>
          <w:i/>
          <w:lang w:val="en-US"/>
        </w:rPr>
        <w:t>-</w:t>
      </w:r>
      <w:r w:rsidR="00012B06" w:rsidRPr="0080392F">
        <w:rPr>
          <w:i/>
        </w:rPr>
        <w:t>UL-DL-</w:t>
      </w:r>
      <w:r w:rsidR="00012B06">
        <w:rPr>
          <w:i/>
          <w:lang w:val="en-US"/>
        </w:rPr>
        <w:lastRenderedPageBreak/>
        <w:t>C</w:t>
      </w:r>
      <w:r w:rsidR="00012B06" w:rsidRPr="0080392F">
        <w:rPr>
          <w:i/>
        </w:rPr>
        <w:t>onfig</w:t>
      </w:r>
      <w:r w:rsidR="00012B06">
        <w:rPr>
          <w:i/>
        </w:rPr>
        <w:t>uration</w:t>
      </w:r>
      <w:r w:rsidR="00012B06">
        <w:rPr>
          <w:i/>
          <w:lang w:val="en-US"/>
        </w:rPr>
        <w:t>D</w:t>
      </w:r>
      <w:r w:rsidR="00012B06" w:rsidRPr="0080392F">
        <w:rPr>
          <w:i/>
        </w:rPr>
        <w:t>edicated</w:t>
      </w:r>
      <w:r w:rsidRPr="00B27E56">
        <w:rPr>
          <w:rFonts w:hint="eastAsia"/>
          <w:i/>
          <w:lang w:eastAsia="zh-CN"/>
        </w:rPr>
        <w:t xml:space="preserve"> </w:t>
      </w:r>
      <w:r w:rsidRPr="00B27E56">
        <w:rPr>
          <w:rFonts w:hint="eastAsia"/>
          <w:lang w:eastAsia="zh-CN"/>
        </w:rPr>
        <w:t>where</w:t>
      </w:r>
      <w:r w:rsidRPr="00B27E56">
        <w:rPr>
          <w:lang w:eastAsia="zh-CN"/>
        </w:rPr>
        <w:t xml:space="preserve"> </w:t>
      </w:r>
      <m:oMath>
        <m:sSub>
          <m:sSubPr>
            <m:ctrlPr>
              <w:rPr>
                <w:rFonts w:ascii="Cambria Math" w:hAnsi="Cambria Math"/>
                <w:i/>
              </w:rPr>
            </m:ctrlPr>
          </m:sSubPr>
          <m:e>
            <m:r>
              <w:rPr>
                <w:rFonts w:ascii="Cambria Math" w:hAnsi="Cambria Math"/>
              </w:rPr>
              <m:t>K</m:t>
            </m:r>
          </m:e>
          <m:sub>
            <m:r>
              <m:rPr>
                <m:nor/>
              </m:rPr>
              <w:rPr>
                <w:rFonts w:ascii="Cambria Math"/>
              </w:rPr>
              <m:t>1,</m:t>
            </m:r>
            <m:r>
              <m:rPr>
                <m:nor/>
              </m:rPr>
              <w:rPr>
                <w:rFonts w:ascii="Cambria Math"/>
                <w:i/>
                <w:iCs/>
              </w:rPr>
              <m:t>k</m:t>
            </m:r>
            <m:ctrlPr>
              <w:rPr>
                <w:rFonts w:ascii="Cambria Math" w:hAnsi="Cambria Math"/>
              </w:rPr>
            </m:ctrlPr>
          </m:sub>
        </m:sSub>
      </m:oMath>
      <w:r w:rsidRPr="00B27E56">
        <w:rPr>
          <w:rFonts w:hint="eastAsia"/>
          <w:lang w:eastAsia="zh-CN"/>
        </w:rPr>
        <w:t xml:space="preserve"> is the</w:t>
      </w:r>
      <w:r w:rsidRPr="00B27E56">
        <w:rPr>
          <w:rFonts w:hint="eastAsia"/>
          <w:i/>
          <w:lang w:eastAsia="zh-CN"/>
        </w:rPr>
        <w:t xml:space="preserve"> k</w:t>
      </w:r>
      <w:r w:rsidRPr="00B27E56">
        <w:rPr>
          <w:rFonts w:hint="eastAsia"/>
          <w:lang w:eastAsia="zh-CN"/>
        </w:rPr>
        <w:t xml:space="preserve">-th slot timing value in set </w:t>
      </w:r>
      <m:oMath>
        <m:sSub>
          <m:sSubPr>
            <m:ctrlPr>
              <w:rPr>
                <w:rFonts w:ascii="Cambria Math" w:hAnsi="Cambria Math"/>
                <w:i/>
              </w:rPr>
            </m:ctrlPr>
          </m:sSubPr>
          <m:e>
            <m:r>
              <w:rPr>
                <w:rFonts w:ascii="Cambria Math" w:hAnsi="Cambria Math"/>
              </w:rPr>
              <m:t>K</m:t>
            </m:r>
          </m:e>
          <m:sub>
            <m:r>
              <m:rPr>
                <m:nor/>
              </m:rPr>
              <w:rPr>
                <w:rFonts w:ascii="Cambria Math"/>
              </w:rPr>
              <m:t>1</m:t>
            </m:r>
            <m:ctrlPr>
              <w:rPr>
                <w:rFonts w:ascii="Cambria Math" w:hAnsi="Cambria Math"/>
              </w:rPr>
            </m:ctrlPr>
          </m:sub>
        </m:sSub>
      </m:oMath>
      <w:r w:rsidRPr="00B27E56">
        <w:rPr>
          <w:rFonts w:hint="eastAsia"/>
          <w:lang w:eastAsia="zh-CN"/>
        </w:rPr>
        <w:t xml:space="preserve">, </w:t>
      </w:r>
      <w:r w:rsidR="00230BE0" w:rsidRPr="00111FF6">
        <w:rPr>
          <w:lang w:eastAsia="zh-CN"/>
        </w:rPr>
        <w:t xml:space="preserve">where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0,k</m:t>
            </m:r>
          </m:sub>
        </m:sSub>
      </m:oMath>
      <w:r w:rsidR="00230BE0" w:rsidRPr="00111FF6">
        <w:rPr>
          <w:lang w:val="en-US" w:eastAsia="zh-CN"/>
        </w:rPr>
        <w:t xml:space="preserve"> is a DL slot with a smallest index among DL slots overlapping with UL slot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U</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1,k</m:t>
            </m:r>
          </m:sub>
        </m:sSub>
      </m:oMath>
      <w:r w:rsidR="00230BE0" w:rsidRPr="00111FF6">
        <w:rPr>
          <w:lang w:val="en-US" w:eastAsia="zh-CN"/>
        </w:rPr>
        <w:t xml:space="preserve">, or </w:t>
      </w:r>
      <w:r w:rsidR="00230BE0" w:rsidRPr="00111FF6">
        <w:rPr>
          <w:rFonts w:cs="Arial"/>
          <w:i/>
          <w:iCs/>
          <w:lang w:eastAsia="zh-CN"/>
        </w:rPr>
        <w:t>subslotLengthForPUCCH</w:t>
      </w:r>
      <w:r w:rsidR="00230BE0" w:rsidRPr="00111FF6">
        <w:rPr>
          <w:rFonts w:cs="Arial"/>
          <w:lang w:val="en-US" w:eastAsia="zh-CN"/>
        </w:rPr>
        <w:t xml:space="preserve"> is provided for the HARQ-ACK codebook and the end of the PDSCH time resource for row</w:t>
      </w:r>
      <w:r w:rsidR="00230BE0" w:rsidRPr="00111FF6">
        <w:rPr>
          <w:rFonts w:ascii="Cambria Math" w:hAnsi="Cambria Math"/>
          <w:i/>
          <w:lang w:val="en-US" w:eastAsia="zh-CN"/>
        </w:rPr>
        <w:t xml:space="preserve"> </w:t>
      </w:r>
      <m:oMath>
        <m:r>
          <w:rPr>
            <w:rFonts w:ascii="Cambria Math" w:hAnsi="Cambria Math"/>
            <w:lang w:val="en-US" w:eastAsia="zh-CN"/>
          </w:rPr>
          <m:t>r</m:t>
        </m:r>
      </m:oMath>
      <w:r w:rsidR="00230BE0" w:rsidRPr="00111FF6">
        <w:rPr>
          <w:rFonts w:cs="Arial"/>
          <w:lang w:val="en-US" w:eastAsia="zh-CN"/>
        </w:rPr>
        <w:t xml:space="preserve"> is not within any UL slot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U</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1,l</m:t>
            </m:r>
          </m:sub>
        </m:sSub>
      </m:oMath>
      <w:r w:rsidR="00230BE0" w:rsidRPr="00111FF6">
        <w:rPr>
          <w:rFonts w:cs="Arial"/>
          <w:lang w:val="en-US" w:eastAsia="zh-CN"/>
        </w:rPr>
        <w:t xml:space="preserve">, </w:t>
      </w:r>
      <m:oMath>
        <m:r>
          <w:rPr>
            <w:rFonts w:ascii="Cambria Math" w:hAnsi="Cambria Math"/>
            <w:lang w:val="en-US" w:eastAsia="zh-CN"/>
          </w:rPr>
          <m:t>0≤l&lt;</m:t>
        </m:r>
        <m:r>
          <m:rPr>
            <m:nor/>
          </m:rPr>
          <w:rPr>
            <w:rFonts w:ascii="Freestyle Script" w:hAnsi="Freestyle Script"/>
          </w:rPr>
          <m:t>C</m:t>
        </m:r>
        <m:d>
          <m:dPr>
            <m:ctrlPr>
              <w:rPr>
                <w:rFonts w:ascii="Cambria Math" w:hAnsi="Cambria Math" w:cs="Helvetica"/>
                <w:i/>
              </w:rPr>
            </m:ctrlPr>
          </m:dPr>
          <m:e>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1</m:t>
                </m:r>
              </m:sub>
            </m:sSub>
          </m:e>
        </m:d>
        <m:r>
          <w:rPr>
            <w:rFonts w:ascii="Cambria Math" w:hAnsi="Cambria Math" w:cs="Helvetica"/>
          </w:rPr>
          <m:t xml:space="preserve">, </m:t>
        </m:r>
      </m:oMath>
      <w:r w:rsidRPr="00B27E56">
        <w:rPr>
          <w:lang w:eastAsia="zh-CN"/>
        </w:rPr>
        <w:t xml:space="preserve">or if </w:t>
      </w:r>
      <w:r w:rsidR="0036281C">
        <w:rPr>
          <w:i/>
          <w:iCs/>
          <w:lang w:val="en-US"/>
        </w:rPr>
        <w:t>pdsch</w:t>
      </w:r>
      <w:r w:rsidR="001E6D09" w:rsidRPr="001113E3">
        <w:rPr>
          <w:i/>
          <w:iCs/>
          <w:lang w:val="en-US"/>
        </w:rPr>
        <w:t>-TimeDomainAllocationListForMultiPDSCH</w:t>
      </w:r>
      <w:r w:rsidR="001E6D09" w:rsidRPr="00CD71B9">
        <w:rPr>
          <w:lang w:val="en-US"/>
        </w:rPr>
        <w:t xml:space="preserve"> is provided </w:t>
      </w:r>
      <w:r w:rsidR="001E6D09">
        <w:rPr>
          <w:lang w:val="en-US"/>
        </w:rPr>
        <w:t>and</w:t>
      </w:r>
      <w:r w:rsidR="001E6D09" w:rsidRPr="00B27E56">
        <w:rPr>
          <w:lang w:eastAsia="zh-CN"/>
        </w:rPr>
        <w:t xml:space="preserve"> </w:t>
      </w:r>
      <w:r w:rsidRPr="00B27E56">
        <w:rPr>
          <w:lang w:eastAsia="zh-CN"/>
        </w:rPr>
        <w:t xml:space="preserve">HARQ-ACK information for PDSCH </w:t>
      </w:r>
      <w:r w:rsidRPr="00B27E56">
        <w:rPr>
          <w:rFonts w:hint="eastAsia"/>
          <w:lang w:eastAsia="zh-CN"/>
        </w:rPr>
        <w:t xml:space="preserve">time resource derived by row </w:t>
      </w:r>
      <m:oMath>
        <m:r>
          <w:rPr>
            <w:rFonts w:ascii="Cambria Math" w:hAnsi="Cambria Math"/>
          </w:rPr>
          <m:t>r</m:t>
        </m:r>
      </m:oMath>
      <w:r w:rsidRPr="00B27E56">
        <w:t xml:space="preserve"> in slot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0,k</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D</m:t>
            </m:r>
          </m:sub>
        </m:sSub>
      </m:oMath>
      <w:r w:rsidRPr="00B27E56">
        <w:rPr>
          <w:lang w:eastAsia="zh-CN"/>
        </w:rPr>
        <w:t xml:space="preserve"> cannot be provided in slot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U</m:t>
            </m:r>
          </m:sub>
        </m:sSub>
      </m:oMath>
    </w:p>
    <w:bookmarkEnd w:id="456"/>
    <w:p w14:paraId="2CC34BB7" w14:textId="16C40AE2" w:rsidR="00803C43" w:rsidRPr="00B27E56" w:rsidRDefault="00803C43" w:rsidP="00803C43">
      <w:pPr>
        <w:pStyle w:val="B5"/>
        <w:ind w:firstLine="3"/>
        <w:rPr>
          <w:lang w:eastAsia="zh-CN"/>
        </w:rPr>
      </w:pPr>
      <m:oMath>
        <m:r>
          <w:rPr>
            <w:rFonts w:ascii="Cambria Math" w:hAnsi="Cambria Math"/>
          </w:rPr>
          <m:t>R</m:t>
        </m:r>
        <m:r>
          <w:rPr>
            <w:rFonts w:ascii="Cambria Math" w:hAnsi="Cambria Math"/>
            <w:noProof/>
          </w:rPr>
          <m:t>=R\r</m:t>
        </m:r>
      </m:oMath>
      <w:r w:rsidRPr="00B27E56">
        <w:t>;</w:t>
      </w:r>
    </w:p>
    <w:p w14:paraId="5B3C84A5" w14:textId="33E4B6DE" w:rsidR="00803C43" w:rsidRPr="00B27E56" w:rsidRDefault="00803C43" w:rsidP="00803C43">
      <w:pPr>
        <w:pStyle w:val="B5"/>
        <w:ind w:left="1421" w:firstLine="0"/>
        <w:rPr>
          <w:lang w:eastAsia="zh-CN"/>
        </w:rPr>
      </w:pPr>
      <w:r>
        <w:rPr>
          <w:lang w:val="en-US" w:eastAsia="zh-CN"/>
        </w:rPr>
        <w:t xml:space="preserve">elseif </w:t>
      </w:r>
      <w:r>
        <w:rPr>
          <w:lang w:eastAsia="zh-CN"/>
        </w:rPr>
        <w:t xml:space="preserve">the UE is provided </w:t>
      </w:r>
      <w:r w:rsidR="004346AA">
        <w:rPr>
          <w:i/>
          <w:iCs/>
          <w:lang w:eastAsia="zh-CN"/>
        </w:rPr>
        <w:t>t</w:t>
      </w:r>
      <w:r w:rsidR="004346AA" w:rsidRPr="00B27E56">
        <w:rPr>
          <w:i/>
          <w:iCs/>
          <w:lang w:eastAsia="zh-CN"/>
        </w:rPr>
        <w:t>imeDomainHARQ</w:t>
      </w:r>
      <w:r w:rsidRPr="00B27E56">
        <w:rPr>
          <w:i/>
          <w:iCs/>
          <w:lang w:eastAsia="zh-CN"/>
        </w:rPr>
        <w:t>-Bundling</w:t>
      </w:r>
      <w:r w:rsidR="004346AA">
        <w:rPr>
          <w:i/>
          <w:iCs/>
          <w:lang w:eastAsia="zh-CN"/>
        </w:rPr>
        <w:t>Type1</w:t>
      </w:r>
      <w:r w:rsidRPr="00CF6D78">
        <w:rPr>
          <w:lang w:eastAsia="zh-CN"/>
        </w:rPr>
        <w:t xml:space="preserve"> </w:t>
      </w:r>
      <w:r>
        <w:rPr>
          <w:lang w:eastAsia="zh-CN"/>
        </w:rPr>
        <w:t xml:space="preserve">and </w:t>
      </w:r>
      <w:r w:rsidRPr="00B27E56">
        <w:rPr>
          <w:i/>
          <w:lang w:val="en-US"/>
        </w:rPr>
        <w:t>tdd-</w:t>
      </w:r>
      <w:r w:rsidRPr="00B27E56">
        <w:rPr>
          <w:i/>
        </w:rPr>
        <w:t>UL-DL-</w:t>
      </w:r>
      <w:r w:rsidRPr="00B27E56">
        <w:rPr>
          <w:i/>
          <w:lang w:val="en-US"/>
        </w:rPr>
        <w:t>ConfigurationCommon</w:t>
      </w:r>
      <w:r w:rsidRPr="00B27E56">
        <w:t xml:space="preserve">, </w:t>
      </w:r>
      <w:r w:rsidRPr="00B27E56">
        <w:rPr>
          <w:lang w:eastAsia="zh-CN"/>
        </w:rPr>
        <w:t>or</w:t>
      </w:r>
      <w:r w:rsidRPr="00B27E56">
        <w:t xml:space="preserve"> </w:t>
      </w:r>
      <w:r w:rsidRPr="00B27E56">
        <w:rPr>
          <w:i/>
          <w:lang w:val="en-US"/>
        </w:rPr>
        <w:t>tdd-</w:t>
      </w:r>
      <w:r w:rsidRPr="00B27E56">
        <w:rPr>
          <w:i/>
        </w:rPr>
        <w:t>UL-DL-</w:t>
      </w:r>
      <w:r w:rsidRPr="00B27E56">
        <w:rPr>
          <w:i/>
          <w:lang w:val="en-US"/>
        </w:rPr>
        <w:t>C</w:t>
      </w:r>
      <w:r w:rsidRPr="00B27E56">
        <w:rPr>
          <w:i/>
        </w:rPr>
        <w:t>onfiguration</w:t>
      </w:r>
      <w:r w:rsidRPr="00B27E56">
        <w:rPr>
          <w:i/>
          <w:lang w:val="en-US"/>
        </w:rPr>
        <w:t>D</w:t>
      </w:r>
      <w:r w:rsidRPr="00B27E56">
        <w:rPr>
          <w:i/>
        </w:rPr>
        <w:t>edicated</w:t>
      </w:r>
      <w:r w:rsidRPr="00B27E56">
        <w:rPr>
          <w:lang w:eastAsia="zh-CN"/>
        </w:rPr>
        <w:t xml:space="preserve"> and</w:t>
      </w:r>
      <w:r w:rsidRPr="00B27E56">
        <w:rPr>
          <w:lang w:val="en-US" w:eastAsia="zh-CN"/>
        </w:rPr>
        <w:t>,</w:t>
      </w:r>
      <w:r>
        <w:rPr>
          <w:lang w:val="en-US" w:eastAsia="zh-CN"/>
        </w:rPr>
        <w:t xml:space="preserve"> </w:t>
      </w:r>
      <w:r>
        <w:rPr>
          <w:lang w:eastAsia="zh-CN"/>
        </w:rPr>
        <w:t xml:space="preserve">for each slot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0,k</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D</m:t>
            </m:r>
          </m:sub>
        </m:sSub>
        <m:r>
          <w:rPr>
            <w:rFonts w:ascii="Cambria Math" w:hAnsi="Cambria Math"/>
            <w:lang w:val="en-US" w:eastAsia="zh-CN"/>
          </w:rPr>
          <m:t xml:space="preserve">- </m:t>
        </m:r>
        <m:r>
          <w:rPr>
            <w:rFonts w:ascii="Cambria Math" w:hAnsi="Cambria Math"/>
          </w:rPr>
          <m:t>∆</m:t>
        </m:r>
        <m:sSub>
          <m:sSubPr>
            <m:ctrlPr>
              <w:rPr>
                <w:rFonts w:ascii="Cambria Math" w:hAnsi="Cambria Math"/>
                <w:i/>
              </w:rPr>
            </m:ctrlPr>
          </m:sSubPr>
          <m:e>
            <m:r>
              <w:rPr>
                <w:rFonts w:ascii="Cambria Math" w:hAnsi="Cambria Math"/>
              </w:rPr>
              <m:t>K</m:t>
            </m:r>
          </m:e>
          <m:sub>
            <m:r>
              <m:rPr>
                <m:nor/>
              </m:rPr>
              <w:rPr>
                <w:rFonts w:ascii="Cambria Math"/>
              </w:rPr>
              <m:t>0,</m:t>
            </m:r>
            <m:r>
              <m:rPr>
                <m:nor/>
              </m:rPr>
              <w:rPr>
                <w:rFonts w:ascii="Cambria Math"/>
                <w:i/>
                <w:iCs/>
              </w:rPr>
              <m:t>r</m:t>
            </m:r>
            <m:ctrlPr>
              <w:rPr>
                <w:rFonts w:ascii="Cambria Math" w:hAnsi="Cambria Math"/>
              </w:rPr>
            </m:ctrlPr>
          </m:sub>
        </m:sSub>
        <m:r>
          <m:rPr>
            <m:sty m:val="p"/>
          </m:rPr>
          <w:rPr>
            <w:rFonts w:ascii="Cambria Math" w:hAnsi="Cambria Math" w:cs="Cambria Math"/>
            <w:lang w:eastAsia="zh-CN"/>
          </w:rPr>
          <m:t>(</m:t>
        </m:r>
        <m:r>
          <w:rPr>
            <w:rFonts w:ascii="Cambria Math" w:hAnsi="Cambria Math" w:cs="Cambria Math"/>
            <w:lang w:val="fr-FR" w:eastAsia="zh-CN"/>
          </w:rPr>
          <m:t>d</m:t>
        </m:r>
        <m:r>
          <m:rPr>
            <m:sty m:val="p"/>
          </m:rPr>
          <w:rPr>
            <w:rFonts w:ascii="Cambria Math" w:hAnsi="Cambria Math" w:cs="Cambria Math"/>
            <w:lang w:eastAsia="zh-CN"/>
          </w:rPr>
          <m:t>)</m:t>
        </m:r>
      </m:oMath>
      <w:r w:rsidRPr="00F63200">
        <w:rPr>
          <w:rFonts w:hint="eastAsia"/>
          <w:lang w:eastAsia="zh-CN"/>
        </w:rPr>
        <w:t>,</w:t>
      </w:r>
      <w:r w:rsidRPr="00F63200">
        <w:rPr>
          <w:lang w:eastAsia="zh-CN"/>
        </w:rPr>
        <w:t xml:space="preserve"> </w:t>
      </w:r>
      <w:r w:rsidRPr="00B27E56">
        <w:rPr>
          <w:rFonts w:hint="eastAsia"/>
          <w:lang w:eastAsia="zh-CN"/>
        </w:rPr>
        <w:t xml:space="preserve">at least one symbol of </w:t>
      </w:r>
      <w:r w:rsidR="001B298A">
        <w:rPr>
          <w:lang w:eastAsia="zh-CN"/>
        </w:rPr>
        <w:t>each</w:t>
      </w:r>
      <w:r w:rsidR="001B298A" w:rsidRPr="00B27E56">
        <w:rPr>
          <w:rFonts w:hint="eastAsia"/>
          <w:lang w:eastAsia="zh-CN"/>
        </w:rPr>
        <w:t xml:space="preserve"> </w:t>
      </w:r>
      <w:r w:rsidRPr="00B27E56">
        <w:rPr>
          <w:rFonts w:hint="eastAsia"/>
          <w:lang w:eastAsia="zh-CN"/>
        </w:rPr>
        <w:t xml:space="preserve">PDSCH time resource derived by </w:t>
      </w:r>
      <w:r w:rsidRPr="00EC3CDE">
        <w:rPr>
          <w:rFonts w:hint="eastAsia"/>
          <w:lang w:eastAsia="zh-CN"/>
        </w:rPr>
        <w:t xml:space="preserve">row </w:t>
      </w:r>
      <m:oMath>
        <m:r>
          <w:rPr>
            <w:rFonts w:ascii="Cambria Math" w:hAnsi="Cambria Math"/>
          </w:rPr>
          <m:t>r</m:t>
        </m:r>
      </m:oMath>
      <w:r w:rsidRPr="00EC3CDE">
        <w:t xml:space="preserve"> </w:t>
      </w:r>
      <w:r w:rsidRPr="00EC3CDE">
        <w:rPr>
          <w:lang w:val="en-US" w:eastAsia="zh-CN"/>
        </w:rPr>
        <w:t>of set</w:t>
      </w:r>
      <w:r>
        <w:rPr>
          <w:lang w:val="en-US" w:eastAsia="zh-CN"/>
        </w:rPr>
        <w:t xml:space="preserve"> </w:t>
      </w:r>
      <m:oMath>
        <m:r>
          <w:rPr>
            <w:rFonts w:ascii="Cambria Math" w:hAnsi="Cambria Math"/>
          </w:rPr>
          <m:t>R'</m:t>
        </m:r>
      </m:oMath>
      <w:r w:rsidRPr="00EC3CDE">
        <w:rPr>
          <w:lang w:val="en-US" w:eastAsia="zh-CN"/>
        </w:rPr>
        <w:t xml:space="preserve"> </w:t>
      </w:r>
      <w:r w:rsidRPr="00EC3CDE">
        <w:rPr>
          <w:rFonts w:hint="eastAsia"/>
          <w:lang w:eastAsia="zh-CN"/>
        </w:rPr>
        <w:t>is configured</w:t>
      </w:r>
      <w:r w:rsidRPr="00B27E56">
        <w:rPr>
          <w:rFonts w:hint="eastAsia"/>
          <w:lang w:eastAsia="zh-CN"/>
        </w:rPr>
        <w:t xml:space="preserve"> as UL</w:t>
      </w:r>
      <w:r w:rsidR="00012B06">
        <w:rPr>
          <w:lang w:eastAsia="zh-CN"/>
        </w:rPr>
        <w:t xml:space="preserve"> </w:t>
      </w:r>
      <w:r w:rsidR="00012B06" w:rsidRPr="00F210EC">
        <w:t xml:space="preserve">by </w:t>
      </w:r>
      <w:r w:rsidR="00012B06">
        <w:rPr>
          <w:i/>
          <w:lang w:val="en-US"/>
        </w:rPr>
        <w:t>tdd</w:t>
      </w:r>
      <w:r w:rsidR="00012B06" w:rsidRPr="00293E39">
        <w:rPr>
          <w:i/>
          <w:lang w:val="en-US"/>
        </w:rPr>
        <w:t>-</w:t>
      </w:r>
      <w:r w:rsidR="00012B06" w:rsidRPr="00494A77">
        <w:rPr>
          <w:i/>
        </w:rPr>
        <w:t>UL-DL-</w:t>
      </w:r>
      <w:r w:rsidR="00012B06">
        <w:rPr>
          <w:i/>
          <w:lang w:val="en-US"/>
        </w:rPr>
        <w:t>C</w:t>
      </w:r>
      <w:r w:rsidR="00012B06" w:rsidRPr="00494A77">
        <w:rPr>
          <w:i/>
        </w:rPr>
        <w:t>onfiguration</w:t>
      </w:r>
      <w:r w:rsidR="00012B06">
        <w:rPr>
          <w:i/>
          <w:lang w:val="en-US"/>
        </w:rPr>
        <w:t>C</w:t>
      </w:r>
      <w:r w:rsidR="00012B06" w:rsidRPr="00494A77">
        <w:rPr>
          <w:i/>
        </w:rPr>
        <w:t>ommon</w:t>
      </w:r>
      <w:r w:rsidR="00012B06" w:rsidRPr="00494A77">
        <w:t xml:space="preserve"> </w:t>
      </w:r>
      <w:r w:rsidR="00012B06" w:rsidRPr="0080392F">
        <w:t xml:space="preserve">or </w:t>
      </w:r>
      <w:r w:rsidR="00012B06">
        <w:rPr>
          <w:i/>
          <w:lang w:val="en-US"/>
        </w:rPr>
        <w:t>tdd</w:t>
      </w:r>
      <w:r w:rsidR="00012B06" w:rsidRPr="0023005A">
        <w:rPr>
          <w:i/>
          <w:lang w:val="en-US"/>
        </w:rPr>
        <w:t>-</w:t>
      </w:r>
      <w:r w:rsidR="00012B06" w:rsidRPr="0080392F">
        <w:rPr>
          <w:i/>
        </w:rPr>
        <w:t>UL-DL-</w:t>
      </w:r>
      <w:r w:rsidR="00012B06">
        <w:rPr>
          <w:i/>
          <w:lang w:val="en-US"/>
        </w:rPr>
        <w:t>C</w:t>
      </w:r>
      <w:r w:rsidR="00012B06" w:rsidRPr="0080392F">
        <w:rPr>
          <w:i/>
        </w:rPr>
        <w:t>onfig</w:t>
      </w:r>
      <w:r w:rsidR="00012B06">
        <w:rPr>
          <w:i/>
        </w:rPr>
        <w:t>uration</w:t>
      </w:r>
      <w:r w:rsidR="00012B06">
        <w:rPr>
          <w:i/>
          <w:lang w:val="en-US"/>
        </w:rPr>
        <w:t>D</w:t>
      </w:r>
      <w:r w:rsidR="00012B06" w:rsidRPr="0080392F">
        <w:rPr>
          <w:i/>
        </w:rPr>
        <w:t>edicated</w:t>
      </w:r>
      <w:r w:rsidR="00012B06">
        <w:rPr>
          <w:lang w:eastAsia="zh-CN"/>
        </w:rPr>
        <w:t>,</w:t>
      </w:r>
      <w:r w:rsidR="00012B06" w:rsidRPr="00287C78">
        <w:rPr>
          <w:lang w:eastAsia="zh-CN"/>
        </w:rPr>
        <w:t xml:space="preserve"> </w:t>
      </w:r>
      <w:r w:rsidR="00012B06">
        <w:rPr>
          <w:lang w:eastAsia="zh-CN"/>
        </w:rPr>
        <w:t xml:space="preserve">and for each slot from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0,k</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D</m:t>
            </m:r>
          </m:sub>
        </m:sSub>
        <m:r>
          <w:rPr>
            <w:rFonts w:ascii="Cambria Math" w:hAnsi="Cambria Math"/>
            <w:lang w:val="en-US" w:eastAsia="zh-CN"/>
          </w:rPr>
          <m:t>-</m:t>
        </m:r>
        <m:sSubSup>
          <m:sSubSupPr>
            <m:ctrlPr>
              <w:rPr>
                <w:rFonts w:ascii="Cambria Math" w:eastAsiaTheme="minorEastAsia" w:hAnsi="Cambria Math"/>
                <w:i/>
                <w:lang w:eastAsia="ko-KR"/>
              </w:rPr>
            </m:ctrlPr>
          </m:sSubSupPr>
          <m:e>
            <m:r>
              <w:rPr>
                <w:rFonts w:ascii="Cambria Math" w:eastAsiaTheme="minorEastAsia" w:hAnsi="Cambria Math"/>
                <w:lang w:eastAsia="ko-KR"/>
              </w:rPr>
              <m:t>N</m:t>
            </m:r>
            <m:ctrlPr>
              <w:rPr>
                <w:rFonts w:ascii="Cambria Math" w:eastAsiaTheme="minorEastAsia" w:hAnsi="Cambria Math"/>
                <w:lang w:eastAsia="ko-KR"/>
              </w:rPr>
            </m:ctrlPr>
          </m:e>
          <m:sub>
            <m:r>
              <m:rPr>
                <m:sty m:val="p"/>
              </m:rPr>
              <w:rPr>
                <w:rFonts w:ascii="Cambria Math" w:eastAsiaTheme="minorEastAsia" w:hAnsi="Cambria Math"/>
                <w:lang w:eastAsia="ko-KR"/>
              </w:rPr>
              <m:t>PDSCH</m:t>
            </m:r>
            <m:ctrlPr>
              <w:rPr>
                <w:rFonts w:ascii="Cambria Math" w:eastAsiaTheme="minorEastAsia" w:hAnsi="Cambria Math"/>
                <w:lang w:eastAsia="ko-KR"/>
              </w:rPr>
            </m:ctrlPr>
          </m:sub>
          <m:sup>
            <m:r>
              <m:rPr>
                <m:sty m:val="p"/>
              </m:rPr>
              <w:rPr>
                <w:rFonts w:ascii="Cambria Math" w:eastAsiaTheme="minorEastAsia" w:hAnsi="Cambria Math"/>
                <w:lang w:eastAsia="ko-KR"/>
              </w:rPr>
              <m:t>repeat,max</m:t>
            </m:r>
          </m:sup>
        </m:sSubSup>
        <m:r>
          <w:rPr>
            <w:rFonts w:ascii="Cambria Math" w:hAnsi="Cambria Math"/>
            <w:lang w:val="en-US" w:eastAsia="zh-CN"/>
          </w:rPr>
          <m:t>+1</m:t>
        </m:r>
      </m:oMath>
      <w:r w:rsidR="00012B06">
        <w:rPr>
          <w:rFonts w:eastAsiaTheme="minorEastAsia" w:hint="eastAsia"/>
          <w:lang w:val="en-US" w:eastAsia="ko-KR"/>
        </w:rPr>
        <w:t xml:space="preserve"> to slot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0,k</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D</m:t>
            </m:r>
          </m:sub>
        </m:sSub>
      </m:oMath>
      <w:r w:rsidR="00012B06">
        <w:rPr>
          <w:lang w:eastAsia="zh-CN"/>
        </w:rPr>
        <w:t xml:space="preserve"> </w:t>
      </w:r>
      <w:r w:rsidR="00012B06">
        <w:rPr>
          <w:rFonts w:hint="eastAsia"/>
          <w:lang w:eastAsia="zh-CN"/>
        </w:rPr>
        <w:t xml:space="preserve">at least one symbol of the PDSCH time resource derived by row </w:t>
      </w:r>
      <m:oMath>
        <m:r>
          <w:rPr>
            <w:rFonts w:ascii="Cambria Math" w:hAnsi="Cambria Math"/>
          </w:rPr>
          <m:t>r</m:t>
        </m:r>
      </m:oMath>
      <w:r w:rsidR="00012B06">
        <w:rPr>
          <w:rFonts w:eastAsiaTheme="minorEastAsia" w:hint="eastAsia"/>
          <w:lang w:eastAsia="ko-KR"/>
        </w:rPr>
        <w:t xml:space="preserve"> of set </w:t>
      </w:r>
      <w:r w:rsidR="00012B06">
        <w:rPr>
          <w:rFonts w:eastAsiaTheme="minorEastAsia"/>
          <w:i/>
          <w:lang w:eastAsia="ko-KR"/>
        </w:rPr>
        <w:t>R</w:t>
      </w:r>
      <w:r w:rsidR="00012B06">
        <w:rPr>
          <w:rFonts w:eastAsiaTheme="minorEastAsia"/>
          <w:lang w:eastAsia="ko-KR"/>
        </w:rPr>
        <w:t xml:space="preserve"> </w:t>
      </w:r>
      <w:r w:rsidR="00012B06">
        <w:rPr>
          <w:rFonts w:hint="eastAsia"/>
          <w:lang w:eastAsia="zh-CN"/>
        </w:rPr>
        <w:t xml:space="preserve">is </w:t>
      </w:r>
      <w:r w:rsidR="00012B06">
        <w:rPr>
          <w:lang w:eastAsia="zh-CN"/>
        </w:rPr>
        <w:t>configured</w:t>
      </w:r>
      <w:r w:rsidR="00012B06">
        <w:rPr>
          <w:rFonts w:hint="eastAsia"/>
          <w:lang w:eastAsia="zh-CN"/>
        </w:rPr>
        <w:t xml:space="preserve"> as </w:t>
      </w:r>
      <w:r w:rsidR="00012B06">
        <w:rPr>
          <w:lang w:eastAsia="zh-CN"/>
        </w:rPr>
        <w:t xml:space="preserve">UL </w:t>
      </w:r>
      <w:r w:rsidR="00012B06" w:rsidRPr="00F210EC">
        <w:t xml:space="preserve">by </w:t>
      </w:r>
      <w:r w:rsidR="00012B06">
        <w:rPr>
          <w:i/>
          <w:lang w:val="en-US"/>
        </w:rPr>
        <w:t>tdd</w:t>
      </w:r>
      <w:r w:rsidR="00012B06" w:rsidRPr="00293E39">
        <w:rPr>
          <w:i/>
          <w:lang w:val="en-US"/>
        </w:rPr>
        <w:t>-</w:t>
      </w:r>
      <w:r w:rsidR="00012B06" w:rsidRPr="00494A77">
        <w:rPr>
          <w:i/>
        </w:rPr>
        <w:t>UL-DL-</w:t>
      </w:r>
      <w:r w:rsidR="00012B06">
        <w:rPr>
          <w:i/>
          <w:lang w:val="en-US"/>
        </w:rPr>
        <w:t>C</w:t>
      </w:r>
      <w:r w:rsidR="00012B06" w:rsidRPr="00494A77">
        <w:rPr>
          <w:i/>
        </w:rPr>
        <w:t>onfiguration</w:t>
      </w:r>
      <w:r w:rsidR="00012B06">
        <w:rPr>
          <w:i/>
          <w:lang w:val="en-US"/>
        </w:rPr>
        <w:t>C</w:t>
      </w:r>
      <w:r w:rsidR="00012B06" w:rsidRPr="00494A77">
        <w:rPr>
          <w:i/>
        </w:rPr>
        <w:t>ommon</w:t>
      </w:r>
      <w:r w:rsidR="00012B06" w:rsidRPr="00494A77">
        <w:t xml:space="preserve"> </w:t>
      </w:r>
      <w:r w:rsidR="00012B06" w:rsidRPr="0080392F">
        <w:t xml:space="preserve">or </w:t>
      </w:r>
      <w:r w:rsidR="00012B06">
        <w:rPr>
          <w:i/>
          <w:lang w:val="en-US"/>
        </w:rPr>
        <w:t>tdd</w:t>
      </w:r>
      <w:r w:rsidR="00012B06" w:rsidRPr="0023005A">
        <w:rPr>
          <w:i/>
          <w:lang w:val="en-US"/>
        </w:rPr>
        <w:t>-</w:t>
      </w:r>
      <w:r w:rsidR="00012B06" w:rsidRPr="0080392F">
        <w:rPr>
          <w:i/>
        </w:rPr>
        <w:t>UL-DL-</w:t>
      </w:r>
      <w:r w:rsidR="00012B06">
        <w:rPr>
          <w:i/>
          <w:lang w:val="en-US"/>
        </w:rPr>
        <w:t>C</w:t>
      </w:r>
      <w:r w:rsidR="00012B06" w:rsidRPr="0080392F">
        <w:rPr>
          <w:i/>
        </w:rPr>
        <w:t>onfig</w:t>
      </w:r>
      <w:r w:rsidR="00012B06">
        <w:rPr>
          <w:i/>
        </w:rPr>
        <w:t>uration</w:t>
      </w:r>
      <w:r w:rsidR="00012B06">
        <w:rPr>
          <w:i/>
          <w:lang w:val="en-US"/>
        </w:rPr>
        <w:t>D</w:t>
      </w:r>
      <w:r w:rsidR="00012B06" w:rsidRPr="0080392F">
        <w:rPr>
          <w:i/>
        </w:rPr>
        <w:t>edicated</w:t>
      </w:r>
      <w:r w:rsidR="00012B06">
        <w:rPr>
          <w:lang w:eastAsia="zh-CN"/>
        </w:rPr>
        <w:t xml:space="preserve"> if the row </w:t>
      </w:r>
      <m:oMath>
        <m:r>
          <w:rPr>
            <w:rFonts w:ascii="Cambria Math" w:hAnsi="Cambria Math"/>
          </w:rPr>
          <m:t>r</m:t>
        </m:r>
      </m:oMath>
      <w:r w:rsidR="00012B06">
        <w:rPr>
          <w:lang w:eastAsia="zh-CN"/>
        </w:rPr>
        <w:t xml:space="preserve"> of set </w:t>
      </w:r>
      <w:r w:rsidR="00012B06">
        <w:rPr>
          <w:i/>
          <w:lang w:eastAsia="zh-CN"/>
        </w:rPr>
        <w:t>R</w:t>
      </w:r>
      <w:r w:rsidR="00012B06">
        <w:rPr>
          <w:lang w:eastAsia="zh-CN"/>
        </w:rPr>
        <w:t xml:space="preserve"> belongs to time domain resource allocation table configured for DCI format 1_2</w:t>
      </w:r>
      <w:r>
        <w:rPr>
          <w:lang w:eastAsia="zh-CN"/>
        </w:rPr>
        <w:t xml:space="preserve">, where </w:t>
      </w:r>
      <m:oMath>
        <m:r>
          <w:rPr>
            <w:rFonts w:ascii="Cambria Math" w:hAnsi="Cambria Math" w:cs="Cambria Math"/>
            <w:lang w:val="fr-FR" w:eastAsia="zh-CN"/>
          </w:rPr>
          <m:t>d</m:t>
        </m:r>
      </m:oMath>
      <w:r>
        <w:rPr>
          <w:lang w:eastAsia="zh-CN"/>
        </w:rPr>
        <w:t xml:space="preserve"> = 0,1,…,</w:t>
      </w:r>
      <m:oMath>
        <m:r>
          <m:rPr>
            <m:nor/>
          </m:rPr>
          <w:rPr>
            <w:rFonts w:ascii="Freestyle Script" w:hAnsi="Freestyle Script"/>
          </w:rPr>
          <m:t>C</m:t>
        </m:r>
        <m:d>
          <m:dPr>
            <m:ctrlPr>
              <w:rPr>
                <w:rFonts w:ascii="Cambria Math" w:hAnsi="Cambria Math" w:cs="Helvetica"/>
                <w:i/>
              </w:rPr>
            </m:ctrlPr>
          </m:dPr>
          <m:e>
            <m:r>
              <w:rPr>
                <w:rFonts w:ascii="Cambria Math" w:hAnsi="Cambria Math"/>
              </w:rPr>
              <m:t>∆</m:t>
            </m:r>
            <m:sSub>
              <m:sSubPr>
                <m:ctrlPr>
                  <w:rPr>
                    <w:rFonts w:ascii="Cambria Math" w:hAnsi="Cambria Math"/>
                    <w:i/>
                  </w:rPr>
                </m:ctrlPr>
              </m:sSubPr>
              <m:e>
                <m:r>
                  <w:rPr>
                    <w:rFonts w:ascii="Cambria Math" w:hAnsi="Cambria Math"/>
                  </w:rPr>
                  <m:t>K</m:t>
                </m:r>
              </m:e>
              <m:sub>
                <m:r>
                  <m:rPr>
                    <m:nor/>
                  </m:rPr>
                  <w:rPr>
                    <w:rFonts w:ascii="Cambria Math"/>
                  </w:rPr>
                  <m:t>0,</m:t>
                </m:r>
                <m:r>
                  <m:rPr>
                    <m:nor/>
                  </m:rPr>
                  <w:rPr>
                    <w:rFonts w:ascii="Cambria Math"/>
                    <w:i/>
                    <w:iCs/>
                  </w:rPr>
                  <m:t>r</m:t>
                </m:r>
                <m:ctrlPr>
                  <w:rPr>
                    <w:rFonts w:ascii="Cambria Math" w:hAnsi="Cambria Math"/>
                  </w:rPr>
                </m:ctrlPr>
              </m:sub>
            </m:sSub>
          </m:e>
        </m:d>
        <m:r>
          <w:rPr>
            <w:rFonts w:ascii="Cambria Math" w:hAnsi="Cambria Math" w:cs="Helvetica"/>
          </w:rPr>
          <m:t>-1</m:t>
        </m:r>
      </m:oMath>
      <w:r>
        <w:t xml:space="preserve">, </w:t>
      </w:r>
      <m:oMath>
        <m:r>
          <w:rPr>
            <w:rFonts w:ascii="Cambria Math" w:hAnsi="Cambria Math"/>
          </w:rPr>
          <m:t>∆</m:t>
        </m:r>
        <m:sSub>
          <m:sSubPr>
            <m:ctrlPr>
              <w:rPr>
                <w:rFonts w:ascii="Cambria Math" w:hAnsi="Cambria Math"/>
                <w:i/>
              </w:rPr>
            </m:ctrlPr>
          </m:sSubPr>
          <m:e>
            <m:r>
              <w:rPr>
                <w:rFonts w:ascii="Cambria Math" w:hAnsi="Cambria Math"/>
              </w:rPr>
              <m:t>K</m:t>
            </m:r>
          </m:e>
          <m:sub>
            <m:r>
              <m:rPr>
                <m:nor/>
              </m:rPr>
              <w:rPr>
                <w:rFonts w:ascii="Cambria Math"/>
              </w:rPr>
              <m:t>0,</m:t>
            </m:r>
            <m:r>
              <m:rPr>
                <m:nor/>
              </m:rPr>
              <w:rPr>
                <w:rFonts w:ascii="Cambria Math"/>
                <w:i/>
                <w:iCs/>
              </w:rPr>
              <m:t>r</m:t>
            </m:r>
            <m:ctrlPr>
              <w:rPr>
                <w:rFonts w:ascii="Cambria Math" w:hAnsi="Cambria Math"/>
              </w:rPr>
            </m:ctrlP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b>
                  <m:sSubPr>
                    <m:ctrlPr>
                      <w:rPr>
                        <w:rFonts w:ascii="Cambria Math" w:hAnsi="Cambria Math"/>
                        <w:i/>
                      </w:rPr>
                    </m:ctrlPr>
                  </m:sSubPr>
                  <m:e>
                    <m:r>
                      <w:rPr>
                        <w:rFonts w:ascii="Cambria Math" w:hAnsi="Cambria Math"/>
                      </w:rPr>
                      <m:t>K</m:t>
                    </m:r>
                  </m:e>
                  <m:sub>
                    <m:r>
                      <m:rPr>
                        <m:nor/>
                      </m:rPr>
                      <w:rPr>
                        <w:rFonts w:ascii="Cambria Math"/>
                      </w:rPr>
                      <m:t>0</m:t>
                    </m:r>
                    <m:ctrlPr>
                      <w:rPr>
                        <w:rFonts w:ascii="Cambria Math" w:hAnsi="Cambria Math"/>
                      </w:rPr>
                    </m:ctrlPr>
                  </m:sub>
                </m:sSub>
              </m:lim>
            </m:limLow>
          </m:fName>
          <m:e>
            <m:d>
              <m:dPr>
                <m:ctrlPr>
                  <w:rPr>
                    <w:rFonts w:ascii="Cambria Math" w:hAnsi="Cambria Math"/>
                    <w:i/>
                  </w:rPr>
                </m:ctrlPr>
              </m:dPr>
              <m:e>
                <m:sSub>
                  <m:sSubPr>
                    <m:ctrlPr>
                      <w:rPr>
                        <w:rFonts w:ascii="Cambria Math" w:hAnsi="Cambria Math"/>
                        <w:i/>
                      </w:rPr>
                    </m:ctrlPr>
                  </m:sSubPr>
                  <m:e>
                    <m:r>
                      <w:rPr>
                        <w:rFonts w:ascii="Cambria Math" w:hAnsi="Cambria Math"/>
                      </w:rPr>
                      <m:t>K</m:t>
                    </m:r>
                  </m:e>
                  <m:sub>
                    <m:r>
                      <m:rPr>
                        <m:nor/>
                      </m:rPr>
                      <w:rPr>
                        <w:rFonts w:ascii="Cambria Math"/>
                      </w:rPr>
                      <m:t>0,</m:t>
                    </m:r>
                    <m:r>
                      <m:rPr>
                        <m:nor/>
                      </m:rPr>
                      <w:rPr>
                        <w:rFonts w:ascii="Cambria Math"/>
                        <w:i/>
                        <w:iCs/>
                      </w:rPr>
                      <m:t>r</m:t>
                    </m:r>
                    <m:ctrlPr>
                      <w:rPr>
                        <w:rFonts w:ascii="Cambria Math" w:hAnsi="Cambria Math"/>
                      </w:rPr>
                    </m:ctrlPr>
                  </m:sub>
                </m:sSub>
              </m:e>
            </m:d>
          </m:e>
        </m:func>
        <m:r>
          <w:rPr>
            <w:rFonts w:ascii="Cambria Math" w:hAnsi="Cambria Math"/>
          </w:rPr>
          <m:t>-</m:t>
        </m:r>
        <m:sSub>
          <m:sSubPr>
            <m:ctrlPr>
              <w:rPr>
                <w:rFonts w:ascii="Cambria Math" w:hAnsi="Cambria Math"/>
                <w:i/>
              </w:rPr>
            </m:ctrlPr>
          </m:sSubPr>
          <m:e>
            <m:r>
              <w:rPr>
                <w:rFonts w:ascii="Cambria Math" w:hAnsi="Cambria Math"/>
              </w:rPr>
              <m:t>K</m:t>
            </m:r>
          </m:e>
          <m:sub>
            <m:r>
              <m:rPr>
                <m:nor/>
              </m:rPr>
              <w:rPr>
                <w:rFonts w:ascii="Cambria Math"/>
              </w:rPr>
              <m:t>0,</m:t>
            </m:r>
            <m:r>
              <m:rPr>
                <m:nor/>
              </m:rPr>
              <w:rPr>
                <w:rFonts w:ascii="Cambria Math"/>
                <w:i/>
                <w:iCs/>
              </w:rPr>
              <m:t>r</m:t>
            </m:r>
            <m:ctrlPr>
              <w:rPr>
                <w:rFonts w:ascii="Cambria Math" w:hAnsi="Cambria Math"/>
              </w:rPr>
            </m:ctrlPr>
          </m:sub>
        </m:sSub>
      </m:oMath>
      <w:r>
        <w:t xml:space="preserve">, and </w:t>
      </w:r>
      <m:oMath>
        <m:r>
          <m:rPr>
            <m:nor/>
          </m:rPr>
          <w:rPr>
            <w:rFonts w:ascii="Freestyle Script" w:hAnsi="Freestyle Script"/>
          </w:rPr>
          <m:t>C</m:t>
        </m:r>
        <m:d>
          <m:dPr>
            <m:ctrlPr>
              <w:rPr>
                <w:rFonts w:ascii="Cambria Math" w:hAnsi="Cambria Math" w:cs="Helvetica"/>
                <w:i/>
              </w:rPr>
            </m:ctrlPr>
          </m:dPr>
          <m:e>
            <m:r>
              <w:rPr>
                <w:rFonts w:ascii="Cambria Math" w:hAnsi="Cambria Math"/>
              </w:rPr>
              <m:t>∆</m:t>
            </m:r>
            <m:sSub>
              <m:sSubPr>
                <m:ctrlPr>
                  <w:rPr>
                    <w:rFonts w:ascii="Cambria Math" w:hAnsi="Cambria Math"/>
                    <w:i/>
                  </w:rPr>
                </m:ctrlPr>
              </m:sSubPr>
              <m:e>
                <m:r>
                  <w:rPr>
                    <w:rFonts w:ascii="Cambria Math" w:hAnsi="Cambria Math"/>
                  </w:rPr>
                  <m:t>K</m:t>
                </m:r>
              </m:e>
              <m:sub>
                <m:r>
                  <m:rPr>
                    <m:nor/>
                  </m:rPr>
                  <w:rPr>
                    <w:rFonts w:ascii="Cambria Math"/>
                  </w:rPr>
                  <m:t>0,</m:t>
                </m:r>
                <m:r>
                  <m:rPr>
                    <m:nor/>
                  </m:rPr>
                  <w:rPr>
                    <w:rFonts w:ascii="Cambria Math"/>
                    <w:i/>
                    <w:iCs/>
                  </w:rPr>
                  <m:t>r</m:t>
                </m:r>
                <m:ctrlPr>
                  <w:rPr>
                    <w:rFonts w:ascii="Cambria Math" w:hAnsi="Cambria Math"/>
                  </w:rPr>
                </m:ctrlPr>
              </m:sub>
            </m:sSub>
          </m:e>
        </m:d>
      </m:oMath>
      <w:r>
        <w:t xml:space="preserve"> is the cardinality of </w:t>
      </w:r>
      <m:oMath>
        <m:r>
          <w:rPr>
            <w:rFonts w:ascii="Cambria Math" w:hAnsi="Cambria Math"/>
          </w:rPr>
          <m:t>∆</m:t>
        </m:r>
        <m:sSub>
          <m:sSubPr>
            <m:ctrlPr>
              <w:rPr>
                <w:rFonts w:ascii="Cambria Math" w:hAnsi="Cambria Math"/>
                <w:i/>
              </w:rPr>
            </m:ctrlPr>
          </m:sSubPr>
          <m:e>
            <m:r>
              <w:rPr>
                <w:rFonts w:ascii="Cambria Math" w:hAnsi="Cambria Math"/>
              </w:rPr>
              <m:t>K</m:t>
            </m:r>
          </m:e>
          <m:sub>
            <m:r>
              <m:rPr>
                <m:nor/>
              </m:rPr>
              <w:rPr>
                <w:rFonts w:ascii="Cambria Math"/>
              </w:rPr>
              <m:t>0,</m:t>
            </m:r>
            <m:r>
              <m:rPr>
                <m:nor/>
              </m:rPr>
              <w:rPr>
                <w:rFonts w:ascii="Cambria Math"/>
                <w:i/>
                <w:iCs/>
              </w:rPr>
              <m:t>r</m:t>
            </m:r>
            <m:ctrlPr>
              <w:rPr>
                <w:rFonts w:ascii="Cambria Math" w:hAnsi="Cambria Math"/>
              </w:rPr>
            </m:ctrlPr>
          </m:sub>
        </m:sSub>
      </m:oMath>
      <w:r>
        <w:rPr>
          <w:rFonts w:hint="eastAsia"/>
          <w:lang w:eastAsia="zh-CN"/>
        </w:rPr>
        <w:t>.</w:t>
      </w:r>
    </w:p>
    <w:p w14:paraId="3BB98DA0" w14:textId="77777777" w:rsidR="00803C43" w:rsidRDefault="00803C43" w:rsidP="00803C43">
      <w:pPr>
        <w:pStyle w:val="B5"/>
        <w:ind w:firstLine="3"/>
      </w:pPr>
      <m:oMath>
        <m:r>
          <w:rPr>
            <w:rFonts w:ascii="Cambria Math" w:hAnsi="Cambria Math"/>
          </w:rPr>
          <m:t>R</m:t>
        </m:r>
        <m:r>
          <w:rPr>
            <w:rFonts w:ascii="Cambria Math" w:hAnsi="Cambria Math"/>
            <w:noProof/>
          </w:rPr>
          <m:t>=R\r</m:t>
        </m:r>
      </m:oMath>
      <w:r w:rsidRPr="00B27E56">
        <w:t>;</w:t>
      </w:r>
    </w:p>
    <w:p w14:paraId="587B0B3D" w14:textId="77777777" w:rsidR="00803C43" w:rsidRPr="003B79DC" w:rsidRDefault="00803C43" w:rsidP="00803C43">
      <w:pPr>
        <w:pStyle w:val="B5"/>
        <w:ind w:firstLine="3"/>
        <w:rPr>
          <w:lang w:eastAsia="zh-CN"/>
        </w:rPr>
      </w:pPr>
      <m:oMath>
        <m:r>
          <w:rPr>
            <w:rFonts w:ascii="Cambria Math" w:hAnsi="Cambria Math"/>
          </w:rPr>
          <m:t>R'</m:t>
        </m:r>
        <m:r>
          <w:rPr>
            <w:rFonts w:ascii="Cambria Math" w:hAnsi="Cambria Math"/>
            <w:noProof/>
          </w:rPr>
          <m:t>=R'\r</m:t>
        </m:r>
      </m:oMath>
      <w:r w:rsidRPr="00B27E56">
        <w:t>;</w:t>
      </w:r>
    </w:p>
    <w:p w14:paraId="036B1461" w14:textId="77777777" w:rsidR="00803C43" w:rsidRPr="00B27E56" w:rsidRDefault="00803C43" w:rsidP="00803C43">
      <w:pPr>
        <w:pStyle w:val="B5"/>
        <w:ind w:left="1419" w:hanging="1"/>
        <w:rPr>
          <w:lang w:eastAsia="zh-CN"/>
        </w:rPr>
      </w:pPr>
      <w:r w:rsidRPr="00B27E56">
        <w:rPr>
          <w:lang w:eastAsia="zh-CN"/>
        </w:rPr>
        <w:t>else</w:t>
      </w:r>
    </w:p>
    <w:p w14:paraId="3DF99253" w14:textId="0C093113" w:rsidR="00803C43" w:rsidRPr="00B27E56" w:rsidRDefault="00803C43" w:rsidP="00803C43">
      <w:pPr>
        <w:pStyle w:val="B5"/>
        <w:ind w:firstLine="3"/>
        <w:rPr>
          <w:lang w:eastAsia="zh-CN"/>
        </w:rPr>
      </w:pPr>
      <m:oMath>
        <m:r>
          <w:rPr>
            <w:rFonts w:ascii="Cambria Math" w:hAnsi="Cambria Math"/>
          </w:rPr>
          <m:t>r=r+1</m:t>
        </m:r>
      </m:oMath>
      <w:r w:rsidRPr="00B27E56">
        <w:rPr>
          <w:lang w:eastAsia="zh-CN"/>
        </w:rPr>
        <w:t xml:space="preserve">; </w:t>
      </w:r>
    </w:p>
    <w:p w14:paraId="2A6F3FC3" w14:textId="77777777" w:rsidR="00803C43" w:rsidRPr="00B27E56" w:rsidRDefault="00803C43" w:rsidP="00803C43">
      <w:pPr>
        <w:pStyle w:val="B5"/>
        <w:ind w:left="1138" w:firstLine="281"/>
        <w:rPr>
          <w:lang w:eastAsia="zh-CN"/>
        </w:rPr>
      </w:pPr>
      <w:r w:rsidRPr="00B27E56">
        <w:rPr>
          <w:lang w:eastAsia="zh-CN"/>
        </w:rPr>
        <w:t>end if</w:t>
      </w:r>
    </w:p>
    <w:p w14:paraId="08EDEBDE" w14:textId="77777777" w:rsidR="00803C43" w:rsidRPr="00B27E56" w:rsidRDefault="00803C43" w:rsidP="00803C43">
      <w:pPr>
        <w:pStyle w:val="B4"/>
        <w:ind w:left="1135" w:firstLine="0"/>
        <w:rPr>
          <w:lang w:eastAsia="zh-CN"/>
        </w:rPr>
      </w:pPr>
      <w:r w:rsidRPr="00B27E56">
        <w:rPr>
          <w:rFonts w:hint="eastAsia"/>
          <w:lang w:eastAsia="zh-CN"/>
        </w:rPr>
        <w:t>end while</w:t>
      </w:r>
    </w:p>
    <w:p w14:paraId="2A7E56D3" w14:textId="55946885" w:rsidR="00803C43" w:rsidRPr="00A1182D" w:rsidRDefault="00803C43" w:rsidP="00803C43">
      <w:pPr>
        <w:pStyle w:val="B4"/>
        <w:ind w:left="1135" w:firstLine="0"/>
        <w:rPr>
          <w:rFonts w:cs="Arial"/>
          <w:lang w:eastAsia="zh-CN"/>
        </w:rPr>
      </w:pPr>
      <w:r w:rsidRPr="00A1182D">
        <w:rPr>
          <w:lang w:eastAsia="zh-CN"/>
        </w:rPr>
        <w:t>if</w:t>
      </w:r>
      <w:r w:rsidRPr="00A1182D">
        <w:rPr>
          <w:rFonts w:hint="eastAsia"/>
          <w:lang w:eastAsia="zh-CN"/>
        </w:rPr>
        <w:t xml:space="preserve"> </w:t>
      </w:r>
      <w:r w:rsidR="007A21FF" w:rsidRPr="00A1182D">
        <w:rPr>
          <w:lang w:eastAsia="zh-CN"/>
        </w:rPr>
        <w:t xml:space="preserve">the UE is not provided with </w:t>
      </w:r>
      <w:r w:rsidR="007A21FF" w:rsidRPr="00A1182D">
        <w:rPr>
          <w:i/>
          <w:iCs/>
          <w:lang w:eastAsia="zh-CN"/>
        </w:rPr>
        <w:t>multiPDSCH</w:t>
      </w:r>
      <w:r w:rsidR="006F4839">
        <w:rPr>
          <w:i/>
          <w:iCs/>
          <w:lang w:eastAsia="zh-CN"/>
        </w:rPr>
        <w:t>-</w:t>
      </w:r>
      <w:r w:rsidR="007A21FF" w:rsidRPr="00A1182D">
        <w:rPr>
          <w:i/>
          <w:iCs/>
          <w:lang w:eastAsia="zh-CN"/>
        </w:rPr>
        <w:t>perSlotType1</w:t>
      </w:r>
      <w:r w:rsidR="006F4839">
        <w:rPr>
          <w:i/>
          <w:iCs/>
          <w:lang w:eastAsia="zh-CN"/>
        </w:rPr>
        <w:t>-</w:t>
      </w:r>
      <w:r w:rsidR="007A21FF" w:rsidRPr="00A1182D">
        <w:rPr>
          <w:i/>
          <w:iCs/>
          <w:lang w:eastAsia="zh-CN"/>
        </w:rPr>
        <w:t>CB</w:t>
      </w:r>
      <w:r w:rsidR="007A21FF" w:rsidRPr="00A1182D">
        <w:rPr>
          <w:lang w:eastAsia="zh-CN"/>
        </w:rPr>
        <w:t xml:space="preserve"> and</w:t>
      </w:r>
      <w:r w:rsidR="007A21FF" w:rsidRPr="00A1182D">
        <w:t xml:space="preserve"> </w:t>
      </w:r>
      <w:r w:rsidRPr="00A1182D">
        <w:t xml:space="preserve">the </w:t>
      </w:r>
      <w:r w:rsidRPr="00A1182D">
        <w:rPr>
          <w:lang w:val="en-US"/>
        </w:rPr>
        <w:t xml:space="preserve">UE </w:t>
      </w:r>
      <w:r w:rsidRPr="00A1182D">
        <w:t xml:space="preserve">does not indicate </w:t>
      </w:r>
      <w:r w:rsidRPr="00A1182D">
        <w:rPr>
          <w:lang w:val="en-US"/>
        </w:rPr>
        <w:t xml:space="preserve">a </w:t>
      </w:r>
      <w:r w:rsidRPr="00A1182D">
        <w:t>capability to receive</w:t>
      </w:r>
      <w:r w:rsidRPr="00A1182D">
        <w:rPr>
          <w:rFonts w:hint="eastAsia"/>
          <w:lang w:eastAsia="zh-CN"/>
        </w:rPr>
        <w:t xml:space="preserve"> </w:t>
      </w:r>
      <w:r w:rsidRPr="00A1182D">
        <w:rPr>
          <w:lang w:eastAsia="zh-CN"/>
        </w:rPr>
        <w:t>more than</w:t>
      </w:r>
      <w:r w:rsidRPr="00A1182D">
        <w:rPr>
          <w:rFonts w:hint="eastAsia"/>
          <w:lang w:eastAsia="zh-CN"/>
        </w:rPr>
        <w:t xml:space="preserve"> </w:t>
      </w:r>
      <w:r w:rsidRPr="00A1182D">
        <w:t xml:space="preserve">one unicast PDSCH </w:t>
      </w:r>
      <w:r w:rsidR="009C60F0" w:rsidRPr="00A1182D">
        <w:t xml:space="preserve">or multicast PDSCH </w:t>
      </w:r>
      <w:r w:rsidRPr="00A1182D">
        <w:t>per slot</w:t>
      </w:r>
      <w:r w:rsidRPr="00A1182D">
        <w:rPr>
          <w:rFonts w:hint="eastAsia"/>
          <w:lang w:eastAsia="zh-CN"/>
        </w:rPr>
        <w:t xml:space="preserve"> </w:t>
      </w:r>
      <w:r w:rsidRPr="00A1182D">
        <w:rPr>
          <w:lang w:eastAsia="zh-CN"/>
        </w:rPr>
        <w:t xml:space="preserve">and </w:t>
      </w:r>
      <m:oMath>
        <m:r>
          <w:rPr>
            <w:rFonts w:ascii="Cambria Math" w:hAnsi="Cambria Math"/>
          </w:rPr>
          <m:t>R≠∅</m:t>
        </m:r>
      </m:oMath>
      <w:r w:rsidRPr="00A1182D">
        <w:rPr>
          <w:rFonts w:cs="Arial" w:hint="eastAsia"/>
          <w:lang w:eastAsia="zh-CN"/>
        </w:rPr>
        <w:t xml:space="preserve">, </w:t>
      </w:r>
      <w:r w:rsidR="007A21FF" w:rsidRPr="00A1182D">
        <w:rPr>
          <w:lang w:eastAsia="zh-CN"/>
        </w:rPr>
        <w:t xml:space="preserve">or if the UE is provided with </w:t>
      </w:r>
      <w:r w:rsidR="007A21FF" w:rsidRPr="00A1182D">
        <w:rPr>
          <w:i/>
          <w:iCs/>
          <w:lang w:eastAsia="zh-CN"/>
        </w:rPr>
        <w:t>multiPDSCH</w:t>
      </w:r>
      <w:r w:rsidR="006F4839">
        <w:rPr>
          <w:i/>
          <w:iCs/>
          <w:lang w:eastAsia="zh-CN"/>
        </w:rPr>
        <w:t>-</w:t>
      </w:r>
      <w:r w:rsidR="007A21FF" w:rsidRPr="00A1182D">
        <w:rPr>
          <w:i/>
          <w:iCs/>
          <w:lang w:eastAsia="zh-CN"/>
        </w:rPr>
        <w:t>perSlotType1</w:t>
      </w:r>
      <w:r w:rsidR="006F4839">
        <w:rPr>
          <w:i/>
          <w:iCs/>
          <w:lang w:eastAsia="zh-CN"/>
        </w:rPr>
        <w:t>-</w:t>
      </w:r>
      <w:r w:rsidR="007A21FF" w:rsidRPr="00A1182D">
        <w:rPr>
          <w:i/>
          <w:iCs/>
          <w:lang w:eastAsia="zh-CN"/>
        </w:rPr>
        <w:t xml:space="preserve">CB </w:t>
      </w:r>
      <w:r w:rsidR="007A21FF" w:rsidRPr="00A1182D">
        <w:rPr>
          <w:lang w:eastAsia="zh-CN"/>
        </w:rPr>
        <w:t xml:space="preserve">= </w:t>
      </w:r>
      <w:r w:rsidR="002D5F43">
        <w:rPr>
          <w:lang w:eastAsia="zh-CN"/>
        </w:rPr>
        <w:t>'</w:t>
      </w:r>
      <w:r w:rsidR="007A21FF" w:rsidRPr="00A1182D">
        <w:rPr>
          <w:lang w:eastAsia="zh-CN"/>
        </w:rPr>
        <w:t>disabled</w:t>
      </w:r>
      <w:r w:rsidR="002D5F43">
        <w:rPr>
          <w:lang w:eastAsia="zh-CN"/>
        </w:rPr>
        <w:t>'</w:t>
      </w:r>
      <w:r w:rsidR="007A21FF" w:rsidRPr="00A1182D">
        <w:rPr>
          <w:lang w:eastAsia="zh-CN"/>
        </w:rPr>
        <w:t xml:space="preserve"> and </w:t>
      </w:r>
      <m:oMath>
        <m:r>
          <w:rPr>
            <w:rFonts w:ascii="Cambria Math" w:hAnsi="Cambria Math"/>
          </w:rPr>
          <m:t>R≠∅</m:t>
        </m:r>
      </m:oMath>
      <w:r w:rsidR="007A21FF" w:rsidRPr="00A1182D">
        <w:rPr>
          <w:lang w:eastAsia="zh-CN"/>
        </w:rPr>
        <w:t>,</w:t>
      </w:r>
    </w:p>
    <w:p w14:paraId="4BD5B8D0" w14:textId="798D3492" w:rsidR="00803C43" w:rsidRPr="00B27E56" w:rsidRDefault="00000000" w:rsidP="00803C43">
      <w:pPr>
        <w:pStyle w:val="B5"/>
        <w:ind w:left="1419" w:firstLine="0"/>
        <w:rPr>
          <w:lang w:eastAsia="zh-CN"/>
        </w:rPr>
      </w:pPr>
      <m:oMath>
        <m:sSub>
          <m:sSubPr>
            <m:ctrlPr>
              <w:rPr>
                <w:rFonts w:ascii="Cambria Math" w:hAnsi="Cambria Math"/>
                <w:i/>
              </w:rPr>
            </m:ctrlPr>
          </m:sSubPr>
          <m:e>
            <m:r>
              <w:rPr>
                <w:rFonts w:ascii="Cambria Math" w:hAnsi="Cambria Math"/>
              </w:rPr>
              <m:t>M</m:t>
            </m:r>
          </m:e>
          <m:sub>
            <m:r>
              <m:rPr>
                <m:nor/>
              </m:rPr>
              <w:rPr>
                <w:rFonts w:ascii="Cambria Math"/>
                <w:i/>
                <w:iCs/>
              </w:rPr>
              <m:t>A,c</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M</m:t>
            </m:r>
          </m:e>
          <m:sub>
            <m:r>
              <m:rPr>
                <m:nor/>
              </m:rPr>
              <w:rPr>
                <w:rFonts w:ascii="Cambria Math"/>
                <w:i/>
                <w:iCs/>
              </w:rPr>
              <m:t>A,c</m:t>
            </m:r>
            <m:ctrlPr>
              <w:rPr>
                <w:rFonts w:ascii="Cambria Math" w:hAnsi="Cambria Math"/>
              </w:rPr>
            </m:ctrlPr>
          </m:sub>
        </m:sSub>
        <m:r>
          <w:rPr>
            <w:rFonts w:ascii="Cambria Math" w:hAnsi="Cambria Math"/>
          </w:rPr>
          <m:t>∪j</m:t>
        </m:r>
      </m:oMath>
      <w:r w:rsidR="00803C43" w:rsidRPr="00B27E56">
        <w:rPr>
          <w:lang w:val="en-US" w:eastAsia="zh-CN"/>
        </w:rPr>
        <w:t>;</w:t>
      </w:r>
      <w:r w:rsidR="00803C43" w:rsidRPr="00B27E56">
        <w:rPr>
          <w:lang w:eastAsia="zh-CN"/>
        </w:rPr>
        <w:t xml:space="preserve"> </w:t>
      </w:r>
    </w:p>
    <w:p w14:paraId="611FED6F" w14:textId="5C054CA9" w:rsidR="00803C43" w:rsidRPr="00B27E56" w:rsidRDefault="00803C43" w:rsidP="00803C43">
      <w:pPr>
        <w:pStyle w:val="B5"/>
        <w:ind w:left="1419" w:firstLine="0"/>
        <w:rPr>
          <w:lang w:val="en-US" w:eastAsia="zh-CN"/>
        </w:rPr>
      </w:pPr>
      <m:oMath>
        <m:r>
          <w:rPr>
            <w:rFonts w:ascii="Cambria Math" w:hAnsi="Cambria Math"/>
          </w:rPr>
          <m:t>j=j+1</m:t>
        </m:r>
      </m:oMath>
      <w:r w:rsidRPr="00B27E56">
        <w:rPr>
          <w:lang w:val="en-US"/>
        </w:rPr>
        <w:t>;</w:t>
      </w:r>
    </w:p>
    <w:p w14:paraId="20E4AE6B" w14:textId="77777777" w:rsidR="00803C43" w:rsidRPr="00B27E56" w:rsidRDefault="00803C43" w:rsidP="00803C43">
      <w:pPr>
        <w:pStyle w:val="B4"/>
        <w:ind w:left="1135" w:firstLine="0"/>
        <w:rPr>
          <w:lang w:eastAsia="zh-CN"/>
        </w:rPr>
      </w:pPr>
      <w:r w:rsidRPr="00B27E56">
        <w:rPr>
          <w:lang w:eastAsia="zh-CN"/>
        </w:rPr>
        <w:t xml:space="preserve">else </w:t>
      </w:r>
    </w:p>
    <w:p w14:paraId="618B2EC8" w14:textId="77777777" w:rsidR="00012B06" w:rsidRDefault="00803C43" w:rsidP="00803C43">
      <w:pPr>
        <w:pStyle w:val="B5"/>
        <w:ind w:left="1419" w:firstLine="0"/>
      </w:pPr>
      <w:r w:rsidRPr="00893A3B">
        <w:rPr>
          <w:lang w:eastAsia="zh-CN"/>
        </w:rPr>
        <w:t xml:space="preserve">Set </w:t>
      </w:r>
      <m:oMath>
        <m:r>
          <m:rPr>
            <m:nor/>
          </m:rPr>
          <w:rPr>
            <w:rFonts w:ascii="Freestyle Script" w:hAnsi="Freestyle Script"/>
          </w:rPr>
          <m:t>C</m:t>
        </m:r>
        <m:d>
          <m:dPr>
            <m:ctrlPr>
              <w:rPr>
                <w:rFonts w:ascii="Cambria Math" w:hAnsi="Cambria Math" w:cs="Helvetica"/>
                <w:i/>
              </w:rPr>
            </m:ctrlPr>
          </m:dPr>
          <m:e>
            <m:r>
              <w:rPr>
                <w:rFonts w:ascii="Cambria Math" w:hAnsi="Cambria Math"/>
              </w:rPr>
              <m:t>R</m:t>
            </m:r>
          </m:e>
        </m:d>
      </m:oMath>
      <w:r w:rsidRPr="00893A3B">
        <w:t xml:space="preserve"> to the cardinality of </w:t>
      </w:r>
      <m:oMath>
        <m:r>
          <w:rPr>
            <w:rFonts w:ascii="Cambria Math" w:hAnsi="Cambria Math"/>
          </w:rPr>
          <m:t>R</m:t>
        </m:r>
      </m:oMath>
    </w:p>
    <w:p w14:paraId="32751201" w14:textId="6B597284" w:rsidR="00803C43" w:rsidRPr="00B27E56" w:rsidRDefault="00803C43" w:rsidP="00803C43">
      <w:pPr>
        <w:pStyle w:val="B5"/>
        <w:ind w:left="1419" w:firstLine="0"/>
        <w:rPr>
          <w:lang w:eastAsia="zh-CN"/>
        </w:rPr>
      </w:pPr>
      <w:r w:rsidRPr="00B27E56">
        <w:rPr>
          <w:rFonts w:hint="eastAsia"/>
          <w:lang w:eastAsia="zh-CN"/>
        </w:rPr>
        <w:t xml:space="preserve">Set </w:t>
      </w:r>
      <m:oMath>
        <m:r>
          <w:rPr>
            <w:rFonts w:ascii="Cambria Math" w:hAnsi="Cambria Math"/>
          </w:rPr>
          <m:t>m</m:t>
        </m:r>
      </m:oMath>
      <w:r w:rsidRPr="00B27E56">
        <w:rPr>
          <w:rFonts w:hint="eastAsia"/>
          <w:lang w:eastAsia="zh-CN"/>
        </w:rPr>
        <w:t xml:space="preserve"> to </w:t>
      </w:r>
      <w:r w:rsidRPr="00B27E56">
        <w:rPr>
          <w:lang w:eastAsia="zh-CN"/>
        </w:rPr>
        <w:t xml:space="preserve">the </w:t>
      </w:r>
      <w:r w:rsidRPr="00B27E56">
        <w:rPr>
          <w:rFonts w:hint="eastAsia"/>
          <w:lang w:eastAsia="zh-CN"/>
        </w:rPr>
        <w:t xml:space="preserve">smallest </w:t>
      </w:r>
      <w:r w:rsidRPr="00B27E56">
        <w:rPr>
          <w:lang w:eastAsia="zh-CN"/>
        </w:rPr>
        <w:t>last</w:t>
      </w:r>
      <w:r w:rsidRPr="00B27E56">
        <w:rPr>
          <w:rFonts w:hint="eastAsia"/>
          <w:lang w:eastAsia="zh-CN"/>
        </w:rPr>
        <w:t xml:space="preserve"> OFDM symbol index</w:t>
      </w:r>
      <w:r w:rsidRPr="00B27E56">
        <w:rPr>
          <w:lang w:eastAsia="zh-CN"/>
        </w:rPr>
        <w:t>, as</w:t>
      </w:r>
      <w:r w:rsidRPr="00B27E56">
        <w:rPr>
          <w:rFonts w:hint="eastAsia"/>
          <w:lang w:eastAsia="zh-CN"/>
        </w:rPr>
        <w:t xml:space="preserve"> determined by</w:t>
      </w:r>
      <w:r w:rsidRPr="00B27E56">
        <w:rPr>
          <w:lang w:eastAsia="zh-CN"/>
        </w:rPr>
        <w:t xml:space="preserve"> the</w:t>
      </w:r>
      <w:r w:rsidRPr="00B27E56">
        <w:t xml:space="preserve"> </w:t>
      </w:r>
      <w:r w:rsidRPr="00B27E56">
        <w:rPr>
          <w:i/>
        </w:rPr>
        <w:t>SLIV</w:t>
      </w:r>
      <w:r w:rsidRPr="00B27E56">
        <w:rPr>
          <w:lang w:eastAsia="zh-CN"/>
        </w:rPr>
        <w:t xml:space="preserve">, among all rows of </w:t>
      </w:r>
      <m:oMath>
        <m:r>
          <w:rPr>
            <w:rFonts w:ascii="Cambria Math" w:hAnsi="Cambria Math"/>
          </w:rPr>
          <m:t>R</m:t>
        </m:r>
      </m:oMath>
    </w:p>
    <w:p w14:paraId="504089C1" w14:textId="5E0BEDBC" w:rsidR="00803C43" w:rsidRPr="00B27E56" w:rsidRDefault="00803C43" w:rsidP="00803C43">
      <w:pPr>
        <w:pStyle w:val="B5"/>
        <w:ind w:left="1419" w:hanging="1"/>
        <w:rPr>
          <w:lang w:eastAsia="zh-CN"/>
        </w:rPr>
      </w:pPr>
      <w:r w:rsidRPr="00B27E56">
        <w:rPr>
          <w:lang w:eastAsia="zh-CN"/>
        </w:rPr>
        <w:t xml:space="preserve">while </w:t>
      </w:r>
      <m:oMath>
        <m:r>
          <w:rPr>
            <w:rFonts w:ascii="Cambria Math" w:hAnsi="Cambria Math"/>
          </w:rPr>
          <m:t>R≠∅</m:t>
        </m:r>
      </m:oMath>
    </w:p>
    <w:p w14:paraId="56F18D29" w14:textId="2E5D59DD" w:rsidR="00803C43" w:rsidRPr="00B27E56" w:rsidRDefault="00803C43" w:rsidP="00803C43">
      <w:pPr>
        <w:pStyle w:val="B5"/>
        <w:ind w:left="1985"/>
        <w:rPr>
          <w:lang w:eastAsia="zh-CN"/>
        </w:rPr>
      </w:pPr>
      <w:r w:rsidRPr="00B27E56">
        <w:rPr>
          <w:lang w:eastAsia="zh-CN"/>
        </w:rPr>
        <w:t>S</w:t>
      </w:r>
      <w:r w:rsidRPr="00B27E56">
        <w:rPr>
          <w:rFonts w:hint="eastAsia"/>
          <w:lang w:eastAsia="zh-CN"/>
        </w:rPr>
        <w:t xml:space="preserve">et </w:t>
      </w:r>
      <m:oMath>
        <m:r>
          <w:rPr>
            <w:rFonts w:ascii="Cambria Math" w:hAnsi="Cambria Math"/>
          </w:rPr>
          <m:t>r=0</m:t>
        </m:r>
      </m:oMath>
      <w:r w:rsidRPr="00B27E56">
        <w:rPr>
          <w:rFonts w:hint="eastAsia"/>
          <w:lang w:eastAsia="zh-CN"/>
        </w:rPr>
        <w:t xml:space="preserve"> </w:t>
      </w:r>
    </w:p>
    <w:p w14:paraId="43398B6C" w14:textId="7AD92D0F" w:rsidR="00803C43" w:rsidRPr="00B27E56" w:rsidRDefault="00803C43" w:rsidP="00803C43">
      <w:pPr>
        <w:pStyle w:val="B5"/>
        <w:ind w:hanging="1"/>
        <w:rPr>
          <w:lang w:eastAsia="zh-CN"/>
        </w:rPr>
      </w:pPr>
      <w:r w:rsidRPr="00B27E56">
        <w:t xml:space="preserve">while </w:t>
      </w:r>
      <m:oMath>
        <m:r>
          <w:rPr>
            <w:rFonts w:ascii="Cambria Math" w:hAnsi="Cambria Math"/>
          </w:rPr>
          <m:t>r&lt;</m:t>
        </m:r>
        <m:r>
          <m:rPr>
            <m:nor/>
          </m:rPr>
          <w:rPr>
            <w:rFonts w:ascii="Freestyle Script" w:hAnsi="Freestyle Script"/>
          </w:rPr>
          <m:t>C</m:t>
        </m:r>
        <m:d>
          <m:dPr>
            <m:ctrlPr>
              <w:rPr>
                <w:rFonts w:ascii="Cambria Math" w:hAnsi="Cambria Math" w:cs="Helvetica"/>
                <w:i/>
              </w:rPr>
            </m:ctrlPr>
          </m:dPr>
          <m:e>
            <m:r>
              <w:rPr>
                <w:rFonts w:ascii="Cambria Math" w:hAnsi="Cambria Math"/>
              </w:rPr>
              <m:t>R</m:t>
            </m:r>
          </m:e>
        </m:d>
      </m:oMath>
    </w:p>
    <w:p w14:paraId="11A69484" w14:textId="725A15D7" w:rsidR="00803C43" w:rsidRPr="00B27E56" w:rsidRDefault="00803C43" w:rsidP="00803C43">
      <w:pPr>
        <w:pStyle w:val="B5"/>
        <w:ind w:left="1985" w:firstLine="4"/>
        <w:rPr>
          <w:lang w:eastAsia="zh-CN"/>
        </w:rPr>
      </w:pPr>
      <w:r w:rsidRPr="00B27E56">
        <w:rPr>
          <w:rFonts w:hint="eastAsia"/>
          <w:lang w:eastAsia="zh-CN"/>
        </w:rPr>
        <w:t xml:space="preserve">if </w:t>
      </w:r>
      <m:oMath>
        <m:r>
          <w:rPr>
            <w:rFonts w:ascii="Cambria Math" w:hAnsi="Cambria Math" w:cs="Arial"/>
          </w:rPr>
          <m:t>S≤m</m:t>
        </m:r>
      </m:oMath>
      <w:r w:rsidRPr="00B27E56">
        <w:rPr>
          <w:rFonts w:hint="eastAsia"/>
          <w:lang w:eastAsia="zh-CN"/>
        </w:rPr>
        <w:t xml:space="preserve"> </w:t>
      </w:r>
      <w:r w:rsidRPr="00B27E56">
        <w:rPr>
          <w:lang w:eastAsia="zh-CN"/>
        </w:rPr>
        <w:t xml:space="preserve">for </w:t>
      </w:r>
      <w:r w:rsidRPr="00B27E56">
        <w:rPr>
          <w:rFonts w:cs="Arial" w:hint="eastAsia"/>
          <w:lang w:eastAsia="zh-CN"/>
        </w:rPr>
        <w:t xml:space="preserve">start OFDM symbol index </w:t>
      </w:r>
      <m:oMath>
        <m:r>
          <w:rPr>
            <w:rFonts w:ascii="Cambria Math" w:hAnsi="Cambria Math" w:cs="Arial"/>
          </w:rPr>
          <m:t>S</m:t>
        </m:r>
      </m:oMath>
      <w:r w:rsidRPr="00B27E56">
        <w:rPr>
          <w:rFonts w:cs="Arial" w:hint="eastAsia"/>
          <w:lang w:eastAsia="zh-CN"/>
        </w:rPr>
        <w:t xml:space="preserve"> for </w:t>
      </w:r>
      <w:r w:rsidRPr="00B27E56">
        <w:t>row</w:t>
      </w:r>
      <w:r w:rsidRPr="00B27E56">
        <w:rPr>
          <w:rFonts w:cs="Arial" w:hint="eastAsia"/>
          <w:lang w:eastAsia="zh-CN"/>
        </w:rPr>
        <w:t xml:space="preserve"> </w:t>
      </w:r>
      <m:oMath>
        <m:r>
          <w:rPr>
            <w:rFonts w:ascii="Cambria Math" w:hAnsi="Cambria Math"/>
          </w:rPr>
          <m:t>r</m:t>
        </m:r>
      </m:oMath>
      <w:r w:rsidRPr="00B27E56">
        <w:t xml:space="preserve"> </w:t>
      </w:r>
    </w:p>
    <w:p w14:paraId="3E9C3D1B" w14:textId="7323C0AB" w:rsidR="00803C43" w:rsidRPr="00B27E56" w:rsidRDefault="00000000" w:rsidP="00803C43">
      <w:pPr>
        <w:pStyle w:val="B5"/>
        <w:ind w:left="2269" w:firstLine="0"/>
        <w:rPr>
          <w:lang w:eastAsia="zh-CN"/>
        </w:rPr>
      </w:pPr>
      <m:oMath>
        <m:sSub>
          <m:sSubPr>
            <m:ctrlPr>
              <w:rPr>
                <w:rFonts w:ascii="Cambria Math" w:hAnsi="Cambria Math"/>
                <w:i/>
              </w:rPr>
            </m:ctrlPr>
          </m:sSubPr>
          <m:e>
            <m:r>
              <w:rPr>
                <w:rFonts w:ascii="Cambria Math" w:hAnsi="Cambria Math"/>
              </w:rPr>
              <m:t>b</m:t>
            </m:r>
          </m:e>
          <m:sub>
            <m:r>
              <m:rPr>
                <m:nor/>
              </m:rPr>
              <w:rPr>
                <w:rFonts w:ascii="Cambria Math"/>
                <w:i/>
                <w:iCs/>
              </w:rPr>
              <m:t>r,k,</m:t>
            </m:r>
            <m:sSub>
              <m:sSubPr>
                <m:ctrlPr>
                  <w:rPr>
                    <w:rFonts w:ascii="Cambria Math" w:hAnsi="Cambria Math"/>
                    <w:i/>
                  </w:rPr>
                </m:ctrlPr>
              </m:sSubPr>
              <m:e>
                <m:r>
                  <w:rPr>
                    <w:rFonts w:ascii="Cambria Math" w:hAnsi="Cambria Math"/>
                  </w:rPr>
                  <m:t>n</m:t>
                </m:r>
              </m:e>
              <m:sub>
                <m:r>
                  <w:rPr>
                    <w:rFonts w:ascii="Cambria Math" w:hAnsi="Cambria Math"/>
                  </w:rPr>
                  <m:t>D</m:t>
                </m:r>
              </m:sub>
            </m:sSub>
            <m:ctrlPr>
              <w:rPr>
                <w:rFonts w:ascii="Cambria Math" w:hAnsi="Cambria Math"/>
              </w:rPr>
            </m:ctrlPr>
          </m:sub>
        </m:sSub>
        <m:r>
          <w:rPr>
            <w:rFonts w:ascii="Cambria Math" w:hAnsi="Cambria Math"/>
          </w:rPr>
          <m:t>=j</m:t>
        </m:r>
      </m:oMath>
      <w:r w:rsidR="00803C43" w:rsidRPr="00B27E56">
        <w:t>;</w:t>
      </w:r>
      <w:r w:rsidR="00803C43" w:rsidRPr="00B27E56">
        <w:rPr>
          <w:rFonts w:hint="eastAsia"/>
          <w:lang w:eastAsia="zh-CN"/>
        </w:rPr>
        <w:t xml:space="preserve"> - index of </w:t>
      </w:r>
      <w:r w:rsidR="00803C43" w:rsidRPr="00B27E56">
        <w:rPr>
          <w:lang w:eastAsia="zh-CN"/>
        </w:rPr>
        <w:t xml:space="preserve">occasion for </w:t>
      </w:r>
      <w:r w:rsidR="00803C43" w:rsidRPr="00B27E56">
        <w:t>candidate PDSCH reception</w:t>
      </w:r>
      <w:r w:rsidR="00C926CF">
        <w:t>,</w:t>
      </w:r>
      <w:r w:rsidR="00803C43" w:rsidRPr="00B27E56">
        <w:rPr>
          <w:rFonts w:hint="eastAsia"/>
          <w:lang w:eastAsia="zh-CN"/>
        </w:rPr>
        <w:t xml:space="preserve"> </w:t>
      </w:r>
      <w:r w:rsidR="00803C43" w:rsidRPr="00B27E56">
        <w:rPr>
          <w:lang w:eastAsia="zh-CN"/>
        </w:rPr>
        <w:t>or SPS PDSCH release</w:t>
      </w:r>
      <w:r w:rsidR="00C926CF" w:rsidRPr="00F415B1">
        <w:rPr>
          <w:lang w:eastAsia="zh-CN"/>
        </w:rPr>
        <w:t xml:space="preserve">, </w:t>
      </w:r>
      <w:r w:rsidR="00C926CF" w:rsidRPr="00F415B1">
        <w:t>or TCI state update</w:t>
      </w:r>
      <w:r w:rsidR="00803C43" w:rsidRPr="00B27E56">
        <w:rPr>
          <w:lang w:eastAsia="zh-CN"/>
        </w:rPr>
        <w:t xml:space="preserve"> </w:t>
      </w:r>
      <w:r w:rsidR="00803C43" w:rsidRPr="00B27E56">
        <w:rPr>
          <w:rFonts w:hint="eastAsia"/>
          <w:lang w:eastAsia="zh-CN"/>
        </w:rPr>
        <w:t xml:space="preserve">associated with row </w:t>
      </w:r>
      <m:oMath>
        <m:r>
          <w:rPr>
            <w:rFonts w:ascii="Cambria Math" w:hAnsi="Cambria Math"/>
          </w:rPr>
          <m:t>r</m:t>
        </m:r>
      </m:oMath>
    </w:p>
    <w:p w14:paraId="0AE114A5" w14:textId="1FF12D9A" w:rsidR="00803C43" w:rsidRPr="007B5011" w:rsidRDefault="00803C43" w:rsidP="00803C43">
      <w:pPr>
        <w:pStyle w:val="B5"/>
        <w:ind w:left="2269" w:firstLine="0"/>
        <w:rPr>
          <w:lang w:val="sv-SE" w:eastAsia="zh-CN"/>
        </w:rPr>
      </w:pPr>
      <m:oMath>
        <m:r>
          <w:rPr>
            <w:rFonts w:ascii="Cambria Math" w:hAnsi="Cambria Math"/>
          </w:rPr>
          <m:t>R</m:t>
        </m:r>
        <m:r>
          <w:rPr>
            <w:rFonts w:ascii="Cambria Math" w:hAnsi="Cambria Math"/>
            <w:noProof/>
            <w:lang w:val="sv-SE"/>
          </w:rPr>
          <m:t>=</m:t>
        </m:r>
        <m:r>
          <w:rPr>
            <w:rFonts w:ascii="Cambria Math" w:hAnsi="Cambria Math"/>
            <w:noProof/>
          </w:rPr>
          <m:t>R</m:t>
        </m:r>
        <m:r>
          <w:rPr>
            <w:rFonts w:ascii="Cambria Math" w:hAnsi="Cambria Math"/>
            <w:noProof/>
            <w:lang w:val="sv-SE"/>
          </w:rPr>
          <m:t>\</m:t>
        </m:r>
        <m:r>
          <w:rPr>
            <w:rFonts w:ascii="Cambria Math" w:hAnsi="Cambria Math"/>
            <w:noProof/>
          </w:rPr>
          <m:t>r</m:t>
        </m:r>
      </m:oMath>
      <w:r w:rsidRPr="007B5011">
        <w:rPr>
          <w:rFonts w:hint="eastAsia"/>
          <w:lang w:val="sv-SE" w:eastAsia="zh-CN"/>
        </w:rPr>
        <w:t>;</w:t>
      </w:r>
    </w:p>
    <w:p w14:paraId="77E1BDA1" w14:textId="219B398D" w:rsidR="00803C43" w:rsidRPr="007B5011" w:rsidRDefault="00000000" w:rsidP="00803C43">
      <w:pPr>
        <w:pStyle w:val="B5"/>
        <w:ind w:left="2269" w:firstLine="0"/>
        <w:rPr>
          <w:lang w:val="sv-SE" w:eastAsia="zh-CN"/>
        </w:rPr>
      </w:pPr>
      <m:oMath>
        <m:sSub>
          <m:sSubPr>
            <m:ctrlPr>
              <w:rPr>
                <w:rFonts w:ascii="Cambria Math" w:hAnsi="Cambria Math"/>
                <w:i/>
              </w:rPr>
            </m:ctrlPr>
          </m:sSubPr>
          <m:e>
            <m:r>
              <w:rPr>
                <w:rFonts w:ascii="Cambria Math" w:hAnsi="Cambria Math"/>
              </w:rPr>
              <m:t>B</m:t>
            </m:r>
            <m:r>
              <w:rPr>
                <w:rFonts w:ascii="Cambria Math" w:hAnsi="Cambria Math"/>
                <w:lang w:val="sv-SE"/>
              </w:rPr>
              <m:t>=</m:t>
            </m:r>
            <m:r>
              <w:rPr>
                <w:rFonts w:ascii="Cambria Math" w:hAnsi="Cambria Math"/>
              </w:rPr>
              <m:t>B</m:t>
            </m:r>
            <m:r>
              <w:rPr>
                <w:rFonts w:ascii="Cambria Math" w:hAnsi="Cambria Math"/>
                <w:lang w:val="sv-SE"/>
              </w:rPr>
              <m:t>∪</m:t>
            </m:r>
            <m:r>
              <w:rPr>
                <w:rFonts w:ascii="Cambria Math" w:hAnsi="Cambria Math"/>
              </w:rPr>
              <m:t>b</m:t>
            </m:r>
          </m:e>
          <m:sub>
            <m:r>
              <m:rPr>
                <m:nor/>
              </m:rPr>
              <w:rPr>
                <w:rFonts w:ascii="Cambria Math"/>
                <w:i/>
                <w:iCs/>
                <w:lang w:val="sv-SE"/>
              </w:rPr>
              <m:t>r,k,</m:t>
            </m:r>
            <m:sSub>
              <m:sSubPr>
                <m:ctrlPr>
                  <w:rPr>
                    <w:rFonts w:ascii="Cambria Math" w:hAnsi="Cambria Math"/>
                    <w:i/>
                  </w:rPr>
                </m:ctrlPr>
              </m:sSubPr>
              <m:e>
                <m:r>
                  <w:rPr>
                    <w:rFonts w:ascii="Cambria Math" w:hAnsi="Cambria Math"/>
                  </w:rPr>
                  <m:t>n</m:t>
                </m:r>
              </m:e>
              <m:sub>
                <m:r>
                  <w:rPr>
                    <w:rFonts w:ascii="Cambria Math" w:hAnsi="Cambria Math"/>
                  </w:rPr>
                  <m:t>D</m:t>
                </m:r>
              </m:sub>
            </m:sSub>
            <m:ctrlPr>
              <w:rPr>
                <w:rFonts w:ascii="Cambria Math" w:hAnsi="Cambria Math"/>
              </w:rPr>
            </m:ctrlPr>
          </m:sub>
        </m:sSub>
      </m:oMath>
      <w:r w:rsidR="00803C43" w:rsidRPr="007B5011">
        <w:rPr>
          <w:rFonts w:cs="Arial"/>
          <w:lang w:val="sv-SE" w:eastAsia="zh-CN"/>
        </w:rPr>
        <w:t>;</w:t>
      </w:r>
    </w:p>
    <w:p w14:paraId="2A34B277" w14:textId="77777777" w:rsidR="00803C43" w:rsidRPr="00B27E56" w:rsidRDefault="00803C43" w:rsidP="00803C43">
      <w:pPr>
        <w:pStyle w:val="B5"/>
        <w:ind w:left="1985" w:firstLine="0"/>
        <w:rPr>
          <w:lang w:eastAsia="zh-CN"/>
        </w:rPr>
      </w:pPr>
      <w:r w:rsidRPr="00B27E56">
        <w:rPr>
          <w:lang w:eastAsia="zh-CN"/>
        </w:rPr>
        <w:t>else</w:t>
      </w:r>
    </w:p>
    <w:p w14:paraId="42AF4524" w14:textId="777D1A0C" w:rsidR="00803C43" w:rsidRPr="00B27E56" w:rsidRDefault="00803C43" w:rsidP="00803C43">
      <w:pPr>
        <w:pStyle w:val="B5"/>
        <w:ind w:left="2269" w:firstLine="0"/>
        <w:rPr>
          <w:lang w:eastAsia="zh-CN"/>
        </w:rPr>
      </w:pPr>
      <m:oMath>
        <m:r>
          <w:rPr>
            <w:rFonts w:ascii="Cambria Math" w:hAnsi="Cambria Math"/>
          </w:rPr>
          <m:t>r=r+1</m:t>
        </m:r>
      </m:oMath>
      <w:r w:rsidRPr="00B27E56">
        <w:rPr>
          <w:lang w:eastAsia="zh-CN"/>
        </w:rPr>
        <w:t xml:space="preserve">; </w:t>
      </w:r>
    </w:p>
    <w:p w14:paraId="58FC3B9C" w14:textId="77777777" w:rsidR="00803C43" w:rsidRPr="00B27E56" w:rsidRDefault="00803C43" w:rsidP="00803C43">
      <w:pPr>
        <w:pStyle w:val="B5"/>
        <w:ind w:left="1985" w:firstLine="4"/>
        <w:rPr>
          <w:rFonts w:cs="Arial"/>
          <w:lang w:eastAsia="zh-CN"/>
        </w:rPr>
      </w:pPr>
      <w:r w:rsidRPr="00B27E56">
        <w:rPr>
          <w:rFonts w:cs="Arial"/>
          <w:lang w:eastAsia="zh-CN"/>
        </w:rPr>
        <w:t>end if</w:t>
      </w:r>
    </w:p>
    <w:p w14:paraId="5F87BF17" w14:textId="77777777" w:rsidR="00803C43" w:rsidRPr="00B27E56" w:rsidRDefault="00803C43" w:rsidP="00803C43">
      <w:pPr>
        <w:pStyle w:val="B5"/>
        <w:ind w:firstLine="0"/>
        <w:rPr>
          <w:lang w:eastAsia="zh-CN"/>
        </w:rPr>
      </w:pPr>
      <w:r w:rsidRPr="00B27E56">
        <w:rPr>
          <w:rFonts w:hint="eastAsia"/>
          <w:lang w:eastAsia="zh-CN"/>
        </w:rPr>
        <w:lastRenderedPageBreak/>
        <w:t>end while</w:t>
      </w:r>
    </w:p>
    <w:p w14:paraId="75BAB303" w14:textId="2869ACAE" w:rsidR="00803C43" w:rsidRPr="00B27E56" w:rsidRDefault="00000000" w:rsidP="00803C43">
      <w:pPr>
        <w:pStyle w:val="B5"/>
        <w:ind w:firstLine="0"/>
        <w:rPr>
          <w:rFonts w:cs="Arial"/>
          <w:lang w:eastAsia="zh-CN"/>
        </w:rPr>
      </w:pPr>
      <m:oMath>
        <m:sSub>
          <m:sSubPr>
            <m:ctrlPr>
              <w:rPr>
                <w:rFonts w:ascii="Cambria Math" w:hAnsi="Cambria Math"/>
                <w:i/>
              </w:rPr>
            </m:ctrlPr>
          </m:sSubPr>
          <m:e>
            <m:r>
              <w:rPr>
                <w:rFonts w:ascii="Cambria Math" w:hAnsi="Cambria Math"/>
              </w:rPr>
              <m:t>M</m:t>
            </m:r>
          </m:e>
          <m:sub>
            <m:r>
              <m:rPr>
                <m:nor/>
              </m:rPr>
              <w:rPr>
                <w:rFonts w:ascii="Cambria Math"/>
                <w:i/>
                <w:iCs/>
              </w:rPr>
              <m:t>A,c</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M</m:t>
            </m:r>
          </m:e>
          <m:sub>
            <m:r>
              <m:rPr>
                <m:nor/>
              </m:rPr>
              <w:rPr>
                <w:rFonts w:ascii="Cambria Math"/>
                <w:i/>
                <w:iCs/>
              </w:rPr>
              <m:t>A,c</m:t>
            </m:r>
            <m:ctrlPr>
              <w:rPr>
                <w:rFonts w:ascii="Cambria Math" w:hAnsi="Cambria Math"/>
              </w:rPr>
            </m:ctrlPr>
          </m:sub>
        </m:sSub>
        <m:r>
          <w:rPr>
            <w:rFonts w:ascii="Cambria Math" w:hAnsi="Cambria Math"/>
          </w:rPr>
          <m:t>∪j</m:t>
        </m:r>
      </m:oMath>
      <w:r w:rsidR="0084548F">
        <w:rPr>
          <w:rFonts w:cs="Arial"/>
        </w:rPr>
        <w:t xml:space="preserve"> </w:t>
      </w:r>
    </w:p>
    <w:p w14:paraId="16727C3E" w14:textId="109A1D0D" w:rsidR="00803C43" w:rsidRPr="00B27E56" w:rsidRDefault="00803C43" w:rsidP="00803C43">
      <w:pPr>
        <w:pStyle w:val="B5"/>
        <w:ind w:firstLine="0"/>
        <w:rPr>
          <w:lang w:eastAsia="zh-CN"/>
        </w:rPr>
      </w:pPr>
      <m:oMath>
        <m:r>
          <w:rPr>
            <w:rFonts w:ascii="Cambria Math" w:hAnsi="Cambria Math"/>
          </w:rPr>
          <m:t>j=j+1</m:t>
        </m:r>
      </m:oMath>
      <w:r w:rsidRPr="00B27E56">
        <w:t>;</w:t>
      </w:r>
    </w:p>
    <w:p w14:paraId="41151DA1" w14:textId="28117AB4" w:rsidR="00803C43" w:rsidRPr="00B27E56" w:rsidRDefault="00803C43" w:rsidP="00803C43">
      <w:pPr>
        <w:pStyle w:val="B5"/>
        <w:ind w:firstLine="0"/>
        <w:rPr>
          <w:i/>
          <w:lang w:eastAsia="zh-CN"/>
        </w:rPr>
      </w:pPr>
      <w:r w:rsidRPr="00B27E56">
        <w:rPr>
          <w:rFonts w:hint="eastAsia"/>
          <w:lang w:eastAsia="zh-CN"/>
        </w:rPr>
        <w:t xml:space="preserve">Set </w:t>
      </w:r>
      <m:oMath>
        <m:r>
          <w:rPr>
            <w:rFonts w:ascii="Cambria Math" w:hAnsi="Cambria Math"/>
          </w:rPr>
          <m:t>m</m:t>
        </m:r>
      </m:oMath>
      <w:r w:rsidRPr="00B27E56">
        <w:rPr>
          <w:rFonts w:hint="eastAsia"/>
          <w:lang w:eastAsia="zh-CN"/>
        </w:rPr>
        <w:t xml:space="preserve"> to </w:t>
      </w:r>
      <w:r w:rsidRPr="00B27E56">
        <w:rPr>
          <w:lang w:eastAsia="zh-CN"/>
        </w:rPr>
        <w:t xml:space="preserve">the smallest last </w:t>
      </w:r>
      <w:r w:rsidRPr="00B27E56">
        <w:rPr>
          <w:rFonts w:hint="eastAsia"/>
          <w:lang w:eastAsia="zh-CN"/>
        </w:rPr>
        <w:t>OFDM symbol index among all</w:t>
      </w:r>
      <w:r w:rsidRPr="00B27E56">
        <w:rPr>
          <w:lang w:eastAsia="zh-CN"/>
        </w:rPr>
        <w:t xml:space="preserve"> rows of </w:t>
      </w:r>
      <m:oMath>
        <m:r>
          <w:rPr>
            <w:rFonts w:ascii="Cambria Math" w:hAnsi="Cambria Math"/>
          </w:rPr>
          <m:t>R</m:t>
        </m:r>
      </m:oMath>
      <w:r w:rsidRPr="00B27E56">
        <w:rPr>
          <w:rFonts w:hint="eastAsia"/>
          <w:lang w:eastAsia="zh-CN"/>
        </w:rPr>
        <w:t>;</w:t>
      </w:r>
    </w:p>
    <w:p w14:paraId="621E91C9" w14:textId="77777777" w:rsidR="00803C43" w:rsidRPr="00B27E56" w:rsidRDefault="00803C43" w:rsidP="00803C43">
      <w:pPr>
        <w:pStyle w:val="B5"/>
        <w:ind w:left="1419" w:firstLine="0"/>
        <w:rPr>
          <w:lang w:eastAsia="zh-CN"/>
        </w:rPr>
      </w:pPr>
      <w:r w:rsidRPr="00B27E56">
        <w:rPr>
          <w:rFonts w:hint="eastAsia"/>
          <w:lang w:eastAsia="zh-CN"/>
        </w:rPr>
        <w:t>end while</w:t>
      </w:r>
    </w:p>
    <w:p w14:paraId="49CBC63A" w14:textId="77777777" w:rsidR="00803C43" w:rsidRPr="00B27E56" w:rsidRDefault="00803C43" w:rsidP="00803C43">
      <w:pPr>
        <w:pStyle w:val="B4"/>
        <w:ind w:left="1135" w:firstLine="0"/>
        <w:rPr>
          <w:lang w:eastAsia="zh-CN"/>
        </w:rPr>
      </w:pPr>
      <w:r w:rsidRPr="00B27E56">
        <w:rPr>
          <w:lang w:eastAsia="zh-CN"/>
        </w:rPr>
        <w:t>end if</w:t>
      </w:r>
    </w:p>
    <w:p w14:paraId="298082BA" w14:textId="77777777" w:rsidR="00803C43" w:rsidRPr="00B27E56" w:rsidRDefault="00000000" w:rsidP="00803C43">
      <w:pPr>
        <w:pStyle w:val="B4"/>
        <w:ind w:left="1135" w:firstLine="2"/>
        <w:rPr>
          <w:lang w:eastAsia="zh-CN"/>
        </w:rPr>
      </w:pPr>
      <m:oMath>
        <m:sSub>
          <m:sSubPr>
            <m:ctrlPr>
              <w:rPr>
                <w:rFonts w:ascii="Cambria Math" w:hAnsi="Cambria Math"/>
                <w:i/>
                <w:sz w:val="24"/>
                <w:szCs w:val="24"/>
              </w:rPr>
            </m:ctrlPr>
          </m:sSubPr>
          <m:e>
            <m:r>
              <w:rPr>
                <w:rFonts w:ascii="Cambria Math" w:hAnsi="Cambria Math"/>
              </w:rPr>
              <m:t>n</m:t>
            </m:r>
          </m:e>
          <m:sub>
            <m:r>
              <w:rPr>
                <w:rFonts w:ascii="Cambria Math" w:hAnsi="Cambria Math"/>
              </w:rPr>
              <m:t>D</m:t>
            </m:r>
          </m:sub>
        </m:sSub>
        <m:r>
          <w:rPr>
            <w:rFonts w:ascii="Cambria Math" w:hAnsi="Cambria Math"/>
          </w:rPr>
          <m:t>=</m:t>
        </m:r>
        <m:sSub>
          <m:sSubPr>
            <m:ctrlPr>
              <w:rPr>
                <w:rFonts w:ascii="Cambria Math" w:hAnsi="Cambria Math"/>
                <w:i/>
                <w:sz w:val="24"/>
                <w:szCs w:val="24"/>
              </w:rPr>
            </m:ctrlPr>
          </m:sSubPr>
          <m:e>
            <m:r>
              <w:rPr>
                <w:rFonts w:ascii="Cambria Math" w:hAnsi="Cambria Math"/>
              </w:rPr>
              <m:t>n</m:t>
            </m:r>
          </m:e>
          <m:sub>
            <m:r>
              <w:rPr>
                <w:rFonts w:ascii="Cambria Math" w:hAnsi="Cambria Math"/>
              </w:rPr>
              <m:t>D</m:t>
            </m:r>
          </m:sub>
        </m:sSub>
        <m:r>
          <w:rPr>
            <w:rFonts w:ascii="Cambria Math" w:hAnsi="Cambria Math"/>
          </w:rPr>
          <m:t>+1</m:t>
        </m:r>
      </m:oMath>
      <w:r w:rsidR="00803C43" w:rsidRPr="00B27E56">
        <w:t>;</w:t>
      </w:r>
    </w:p>
    <w:p w14:paraId="4223E360" w14:textId="77777777" w:rsidR="00803C43" w:rsidRPr="00B27E56" w:rsidRDefault="00803C43" w:rsidP="00803C43">
      <w:pPr>
        <w:pStyle w:val="B3"/>
        <w:ind w:left="852" w:firstLine="0"/>
        <w:rPr>
          <w:lang w:eastAsia="zh-CN"/>
        </w:rPr>
      </w:pPr>
      <w:r w:rsidRPr="00B27E56">
        <w:rPr>
          <w:lang w:eastAsia="zh-CN"/>
        </w:rPr>
        <w:t>end if</w:t>
      </w:r>
    </w:p>
    <w:p w14:paraId="75D6B07D" w14:textId="77777777" w:rsidR="00803C43" w:rsidRPr="00B27E56" w:rsidRDefault="00803C43" w:rsidP="00803C43">
      <w:pPr>
        <w:pStyle w:val="B2"/>
        <w:ind w:left="568" w:firstLine="0"/>
        <w:rPr>
          <w:lang w:eastAsia="zh-CN"/>
        </w:rPr>
      </w:pPr>
      <w:r w:rsidRPr="00B27E56">
        <w:rPr>
          <w:lang w:eastAsia="zh-CN"/>
        </w:rPr>
        <w:t>end while</w:t>
      </w:r>
    </w:p>
    <w:p w14:paraId="483DAAB7" w14:textId="77777777" w:rsidR="00803C43" w:rsidRPr="00B27E56" w:rsidRDefault="00803C43" w:rsidP="00803C43">
      <w:pPr>
        <w:pStyle w:val="B1"/>
        <w:rPr>
          <w:lang w:eastAsia="zh-CN"/>
        </w:rPr>
      </w:pPr>
      <w:r w:rsidRPr="00B27E56">
        <w:rPr>
          <w:lang w:eastAsia="zh-CN"/>
        </w:rPr>
        <w:t>end if</w:t>
      </w:r>
    </w:p>
    <w:p w14:paraId="00CAF957" w14:textId="76320753" w:rsidR="00803C43" w:rsidRPr="00B27E56" w:rsidRDefault="00803C43" w:rsidP="00803C43">
      <w:pPr>
        <w:pStyle w:val="B1"/>
        <w:rPr>
          <w:lang w:val="en-US" w:eastAsia="zh-CN"/>
        </w:rPr>
      </w:pPr>
      <m:oMath>
        <m:r>
          <w:rPr>
            <w:rFonts w:ascii="Cambria Math" w:hAnsi="Cambria Math"/>
          </w:rPr>
          <m:t>k=k+1</m:t>
        </m:r>
      </m:oMath>
      <w:r w:rsidRPr="00B27E56">
        <w:rPr>
          <w:lang w:val="en-US"/>
        </w:rPr>
        <w:t>;</w:t>
      </w:r>
    </w:p>
    <w:p w14:paraId="05CC1D54" w14:textId="77777777" w:rsidR="00803C43" w:rsidRPr="00B27E56" w:rsidRDefault="00803C43" w:rsidP="00803C43">
      <w:pPr>
        <w:rPr>
          <w:lang w:eastAsia="zh-CN"/>
        </w:rPr>
      </w:pPr>
      <w:r w:rsidRPr="00B27E56">
        <w:rPr>
          <w:rFonts w:hint="eastAsia"/>
          <w:lang w:eastAsia="zh-CN"/>
        </w:rPr>
        <w:t>end while</w:t>
      </w:r>
    </w:p>
    <w:p w14:paraId="028DE521" w14:textId="77777777" w:rsidR="00803C43" w:rsidRPr="00B27E56" w:rsidRDefault="00803C43" w:rsidP="00803C43">
      <w:r w:rsidRPr="00B27E56">
        <w:rPr>
          <w:lang w:eastAsia="zh-CN"/>
        </w:rPr>
        <w:t xml:space="preserve">else </w:t>
      </w:r>
    </w:p>
    <w:p w14:paraId="189BD826" w14:textId="4DD31DD7" w:rsidR="00803C43" w:rsidRPr="00B27E56" w:rsidRDefault="00803C43" w:rsidP="00803C43">
      <w:pPr>
        <w:rPr>
          <w:lang w:eastAsia="zh-CN"/>
        </w:rPr>
      </w:pPr>
      <w:r w:rsidRPr="00B27E56">
        <w:rPr>
          <w:lang w:eastAsia="zh-CN"/>
        </w:rPr>
        <w:t xml:space="preserve">while </w:t>
      </w:r>
      <m:oMath>
        <m:r>
          <w:rPr>
            <w:rFonts w:ascii="Cambria Math" w:hAnsi="Cambria Math"/>
            <w:lang w:eastAsia="zh-CN"/>
          </w:rPr>
          <m:t>k&lt;</m:t>
        </m:r>
        <m:r>
          <m:rPr>
            <m:nor/>
          </m:rPr>
          <w:rPr>
            <w:rFonts w:ascii="Freestyle Script" w:hAnsi="Freestyle Script"/>
          </w:rPr>
          <m:t>C</m:t>
        </m:r>
        <m:d>
          <m:dPr>
            <m:ctrlPr>
              <w:rPr>
                <w:rFonts w:ascii="Cambria Math" w:hAnsi="Cambria Math" w:cs="Helvetica"/>
                <w:i/>
              </w:rPr>
            </m:ctrlPr>
          </m:dPr>
          <m:e>
            <m:sSub>
              <m:sSubPr>
                <m:ctrlPr>
                  <w:rPr>
                    <w:rFonts w:ascii="Cambria Math" w:hAnsi="Cambria Math"/>
                    <w:i/>
                  </w:rPr>
                </m:ctrlPr>
              </m:sSubPr>
              <m:e>
                <m:r>
                  <w:rPr>
                    <w:rFonts w:ascii="Cambria Math" w:hAnsi="Cambria Math"/>
                  </w:rPr>
                  <m:t>K</m:t>
                </m:r>
              </m:e>
              <m:sub>
                <m:r>
                  <m:rPr>
                    <m:nor/>
                  </m:rPr>
                  <w:rPr>
                    <w:rFonts w:ascii="Cambria Math"/>
                  </w:rPr>
                  <m:t>1</m:t>
                </m:r>
                <m:ctrlPr>
                  <w:rPr>
                    <w:rFonts w:ascii="Cambria Math" w:hAnsi="Cambria Math"/>
                  </w:rPr>
                </m:ctrlPr>
              </m:sub>
            </m:sSub>
          </m:e>
        </m:d>
      </m:oMath>
      <w:r w:rsidRPr="00B27E56">
        <w:rPr>
          <w:rFonts w:hint="eastAsia"/>
          <w:lang w:eastAsia="zh-CN"/>
        </w:rPr>
        <w:t xml:space="preserve"> </w:t>
      </w:r>
    </w:p>
    <w:p w14:paraId="48F1CB90" w14:textId="32A20495" w:rsidR="00A90F55" w:rsidRPr="003901B7" w:rsidRDefault="00A90F55" w:rsidP="00252631">
      <w:pPr>
        <w:pStyle w:val="B1"/>
        <w:rPr>
          <w:rFonts w:eastAsia="DengXian"/>
        </w:rPr>
      </w:pPr>
      <w:r w:rsidRPr="003901B7">
        <w:t xml:space="preserve">if </w:t>
      </w:r>
      <m:oMath>
        <m:r>
          <m:rPr>
            <m:sty m:val="p"/>
          </m:rPr>
          <w:rPr>
            <w:rFonts w:ascii="Cambria Math" w:eastAsia="DengXian" w:hAnsi="Cambria Math"/>
          </w:rPr>
          <m:t>mod</m:t>
        </m:r>
        <m:d>
          <m:dPr>
            <m:ctrlPr>
              <w:rPr>
                <w:rFonts w:ascii="Cambria Math" w:eastAsia="DengXian" w:hAnsi="Cambria Math"/>
              </w:rPr>
            </m:ctrlPr>
          </m:dPr>
          <m:e>
            <m:sSub>
              <m:sSubPr>
                <m:ctrlPr>
                  <w:rPr>
                    <w:rFonts w:ascii="Cambria Math" w:eastAsia="DengXian" w:hAnsi="Cambria Math"/>
                  </w:rPr>
                </m:ctrlPr>
              </m:sSubPr>
              <m:e>
                <m:r>
                  <w:rPr>
                    <w:rFonts w:ascii="Cambria Math" w:eastAsia="DengXian" w:hAnsi="Cambria Math"/>
                  </w:rPr>
                  <m:t>n</m:t>
                </m:r>
              </m:e>
              <m:sub>
                <m:r>
                  <w:rPr>
                    <w:rFonts w:ascii="Cambria Math" w:eastAsia="DengXian" w:hAnsi="Cambria Math"/>
                  </w:rPr>
                  <m:t>U</m:t>
                </m:r>
              </m:sub>
            </m:sSub>
            <m:r>
              <m:rPr>
                <m:sty m:val="p"/>
              </m:rPr>
              <w:rPr>
                <w:rFonts w:ascii="Cambria Math" w:eastAsia="DengXian" w:hAnsi="Cambria Math"/>
              </w:rPr>
              <m:t>-</m:t>
            </m:r>
            <m:sSub>
              <m:sSubPr>
                <m:ctrlPr>
                  <w:rPr>
                    <w:rFonts w:ascii="Cambria Math" w:eastAsia="DengXian" w:hAnsi="Cambria Math"/>
                  </w:rPr>
                </m:ctrlPr>
              </m:sSubPr>
              <m:e>
                <m:r>
                  <w:rPr>
                    <w:rFonts w:ascii="Cambria Math" w:eastAsia="DengXian" w:hAnsi="Cambria Math"/>
                  </w:rPr>
                  <m:t>K</m:t>
                </m:r>
              </m:e>
              <m:sub>
                <m:r>
                  <m:rPr>
                    <m:sty m:val="p"/>
                  </m:rPr>
                  <w:rPr>
                    <w:rFonts w:ascii="Cambria Math" w:eastAsia="DengXian" w:hAnsi="Cambria Math"/>
                  </w:rPr>
                  <m:t>1,</m:t>
                </m:r>
                <m:r>
                  <w:rPr>
                    <w:rFonts w:ascii="Cambria Math" w:eastAsia="DengXian" w:hAnsi="Cambria Math"/>
                  </w:rPr>
                  <m:t>k</m:t>
                </m:r>
              </m:sub>
            </m:sSub>
            <m:r>
              <m:rPr>
                <m:sty m:val="p"/>
              </m:rPr>
              <w:rPr>
                <w:rFonts w:ascii="Cambria Math" w:eastAsia="DengXian" w:hAnsi="Cambria Math"/>
              </w:rPr>
              <m:t>+</m:t>
            </m:r>
            <m:d>
              <m:dPr>
                <m:begChr m:val="⌊"/>
                <m:endChr m:val="⌋"/>
                <m:ctrlPr>
                  <w:rPr>
                    <w:rFonts w:ascii="Cambria Math" w:eastAsia="DengXian" w:hAnsi="Cambria Math"/>
                  </w:rPr>
                </m:ctrlPr>
              </m:dPr>
              <m:e>
                <m:r>
                  <m:rPr>
                    <m:sty m:val="p"/>
                  </m:rPr>
                  <w:rPr>
                    <w:rFonts w:ascii="Cambria Math" w:eastAsia="DengXian" w:hAnsi="Cambria Math"/>
                  </w:rPr>
                  <m:t>(</m:t>
                </m:r>
                <m:f>
                  <m:fPr>
                    <m:ctrlPr>
                      <w:rPr>
                        <w:rFonts w:ascii="Cambria Math" w:eastAsia="DengXian" w:hAnsi="Cambria Math"/>
                      </w:rPr>
                    </m:ctrlPr>
                  </m:fPr>
                  <m:num>
                    <m:sSubSup>
                      <m:sSubSupPr>
                        <m:ctrlPr>
                          <w:rPr>
                            <w:rFonts w:ascii="Cambria Math" w:eastAsia="DengXian" w:hAnsi="Cambria Math"/>
                          </w:rPr>
                        </m:ctrlPr>
                      </m:sSubSupPr>
                      <m:e>
                        <m:r>
                          <w:rPr>
                            <w:rFonts w:ascii="Cambria Math" w:eastAsia="DengXian" w:hAnsi="Cambria Math"/>
                          </w:rPr>
                          <m:t>N</m:t>
                        </m:r>
                      </m:e>
                      <m:sub>
                        <m:r>
                          <w:rPr>
                            <w:rFonts w:ascii="Cambria Math" w:eastAsia="DengXian" w:hAnsi="Cambria Math"/>
                          </w:rPr>
                          <m:t>slot</m:t>
                        </m:r>
                        <m:r>
                          <m:rPr>
                            <m:sty m:val="p"/>
                          </m:rPr>
                          <w:rPr>
                            <w:rFonts w:ascii="Cambria Math" w:eastAsia="DengXian" w:hAnsi="Cambria Math"/>
                          </w:rPr>
                          <m:t>,</m:t>
                        </m:r>
                        <m:r>
                          <w:rPr>
                            <w:rFonts w:ascii="Cambria Math" w:eastAsia="DengXian" w:hAnsi="Cambria Math"/>
                          </w:rPr>
                          <m:t>offset</m:t>
                        </m:r>
                      </m:sub>
                      <m:sup>
                        <m:r>
                          <w:rPr>
                            <w:rFonts w:ascii="Cambria Math" w:eastAsia="DengXian" w:hAnsi="Cambria Math"/>
                          </w:rPr>
                          <m:t>UL</m:t>
                        </m:r>
                      </m:sup>
                    </m:sSubSup>
                  </m:num>
                  <m:den>
                    <m:sSup>
                      <m:sSupPr>
                        <m:ctrlPr>
                          <w:rPr>
                            <w:rFonts w:ascii="Cambria Math" w:eastAsia="DengXian" w:hAnsi="Cambria Math"/>
                          </w:rPr>
                        </m:ctrlPr>
                      </m:sSupPr>
                      <m:e>
                        <m:r>
                          <m:rPr>
                            <m:sty m:val="p"/>
                          </m:rPr>
                          <w:rPr>
                            <w:rFonts w:ascii="Cambria Math" w:eastAsia="DengXian" w:hAnsi="Cambria Math"/>
                          </w:rPr>
                          <m:t>2</m:t>
                        </m:r>
                      </m:e>
                      <m:sup>
                        <m:sSub>
                          <m:sSubPr>
                            <m:ctrlPr>
                              <w:rPr>
                                <w:rFonts w:ascii="Cambria Math" w:eastAsia="DengXian" w:hAnsi="Cambria Math"/>
                              </w:rPr>
                            </m:ctrlPr>
                          </m:sSubPr>
                          <m:e>
                            <m:r>
                              <w:rPr>
                                <w:rFonts w:ascii="Cambria Math" w:eastAsia="DengXian" w:hAnsi="Cambria Math"/>
                              </w:rPr>
                              <m:t>μ</m:t>
                            </m:r>
                          </m:e>
                          <m:sub>
                            <m:r>
                              <w:rPr>
                                <w:rFonts w:ascii="Cambria Math" w:eastAsia="DengXian" w:hAnsi="Cambria Math"/>
                              </w:rPr>
                              <m:t>offset</m:t>
                            </m:r>
                            <m:r>
                              <m:rPr>
                                <m:sty m:val="p"/>
                              </m:rPr>
                              <w:rPr>
                                <w:rFonts w:ascii="Cambria Math" w:eastAsia="DengXian" w:hAnsi="Cambria Math"/>
                              </w:rPr>
                              <m:t>,</m:t>
                            </m:r>
                            <m:r>
                              <w:rPr>
                                <w:rFonts w:ascii="Cambria Math" w:eastAsia="DengXian" w:hAnsi="Cambria Math"/>
                              </w:rPr>
                              <m:t>UL</m:t>
                            </m:r>
                          </m:sub>
                        </m:sSub>
                      </m:sup>
                    </m:sSup>
                  </m:den>
                </m:f>
                <m:r>
                  <m:rPr>
                    <m:sty m:val="p"/>
                  </m:rPr>
                  <w:rPr>
                    <w:rFonts w:ascii="Cambria Math" w:eastAsia="DengXian" w:hAnsi="Cambria Math"/>
                  </w:rPr>
                  <m:t>-</m:t>
                </m:r>
                <m:f>
                  <m:fPr>
                    <m:ctrlPr>
                      <w:rPr>
                        <w:rFonts w:ascii="Cambria Math" w:eastAsia="DengXian" w:hAnsi="Cambria Math"/>
                      </w:rPr>
                    </m:ctrlPr>
                  </m:fPr>
                  <m:num>
                    <m:sSubSup>
                      <m:sSubSupPr>
                        <m:ctrlPr>
                          <w:rPr>
                            <w:rFonts w:ascii="Cambria Math" w:eastAsia="DengXian" w:hAnsi="Cambria Math"/>
                          </w:rPr>
                        </m:ctrlPr>
                      </m:sSubSupPr>
                      <m:e>
                        <m:r>
                          <w:rPr>
                            <w:rFonts w:ascii="Cambria Math" w:eastAsia="DengXian" w:hAnsi="Cambria Math"/>
                          </w:rPr>
                          <m:t>N</m:t>
                        </m:r>
                      </m:e>
                      <m:sub>
                        <m:r>
                          <w:rPr>
                            <w:rFonts w:ascii="Cambria Math" w:eastAsia="DengXian" w:hAnsi="Cambria Math"/>
                          </w:rPr>
                          <m:t>slot</m:t>
                        </m:r>
                        <m:r>
                          <m:rPr>
                            <m:sty m:val="p"/>
                          </m:rPr>
                          <w:rPr>
                            <w:rFonts w:ascii="Cambria Math" w:eastAsia="DengXian" w:hAnsi="Cambria Math"/>
                          </w:rPr>
                          <m:t>,</m:t>
                        </m:r>
                        <m:r>
                          <w:rPr>
                            <w:rFonts w:ascii="Cambria Math" w:eastAsia="DengXian" w:hAnsi="Cambria Math"/>
                          </w:rPr>
                          <m:t>offset</m:t>
                        </m:r>
                        <m:r>
                          <m:rPr>
                            <m:sty m:val="p"/>
                          </m:rPr>
                          <w:rPr>
                            <w:rFonts w:ascii="Cambria Math" w:eastAsia="DengXian" w:hAnsi="Cambria Math"/>
                          </w:rPr>
                          <m:t>,</m:t>
                        </m:r>
                        <m:r>
                          <w:rPr>
                            <w:rFonts w:ascii="Cambria Math" w:eastAsia="DengXian" w:hAnsi="Cambria Math"/>
                          </w:rPr>
                          <m:t>c</m:t>
                        </m:r>
                      </m:sub>
                      <m:sup>
                        <m:r>
                          <w:rPr>
                            <w:rFonts w:ascii="Cambria Math" w:eastAsia="DengXian" w:hAnsi="Cambria Math"/>
                          </w:rPr>
                          <m:t>DL</m:t>
                        </m:r>
                      </m:sup>
                    </m:sSubSup>
                  </m:num>
                  <m:den>
                    <m:sSup>
                      <m:sSupPr>
                        <m:ctrlPr>
                          <w:rPr>
                            <w:rFonts w:ascii="Cambria Math" w:eastAsia="DengXian" w:hAnsi="Cambria Math"/>
                          </w:rPr>
                        </m:ctrlPr>
                      </m:sSupPr>
                      <m:e>
                        <m:r>
                          <m:rPr>
                            <m:sty m:val="p"/>
                          </m:rPr>
                          <w:rPr>
                            <w:rFonts w:ascii="Cambria Math" w:eastAsia="DengXian" w:hAnsi="Cambria Math"/>
                          </w:rPr>
                          <m:t>2</m:t>
                        </m:r>
                      </m:e>
                      <m:sup>
                        <m:sSub>
                          <m:sSubPr>
                            <m:ctrlPr>
                              <w:rPr>
                                <w:rFonts w:ascii="Cambria Math" w:eastAsia="DengXian" w:hAnsi="Cambria Math"/>
                              </w:rPr>
                            </m:ctrlPr>
                          </m:sSubPr>
                          <m:e>
                            <m:r>
                              <w:rPr>
                                <w:rFonts w:ascii="Cambria Math" w:eastAsia="DengXian" w:hAnsi="Cambria Math"/>
                              </w:rPr>
                              <m:t>μ</m:t>
                            </m:r>
                          </m:e>
                          <m:sub>
                            <m:r>
                              <w:rPr>
                                <w:rFonts w:ascii="Cambria Math" w:eastAsia="DengXian" w:hAnsi="Cambria Math"/>
                              </w:rPr>
                              <m:t>offset</m:t>
                            </m:r>
                            <m:r>
                              <m:rPr>
                                <m:sty m:val="p"/>
                              </m:rPr>
                              <w:rPr>
                                <w:rFonts w:ascii="Cambria Math" w:eastAsia="DengXian" w:hAnsi="Cambria Math"/>
                              </w:rPr>
                              <m:t>,</m:t>
                            </m:r>
                            <m:r>
                              <w:rPr>
                                <w:rFonts w:ascii="Cambria Math" w:eastAsia="DengXian" w:hAnsi="Cambria Math"/>
                                <w:lang w:eastAsia="zh-CN"/>
                              </w:rPr>
                              <m:t>DL</m:t>
                            </m:r>
                            <m:r>
                              <m:rPr>
                                <m:sty m:val="p"/>
                              </m:rPr>
                              <w:rPr>
                                <w:rFonts w:ascii="Cambria Math" w:eastAsia="DengXian" w:hAnsi="Cambria Math"/>
                                <w:lang w:eastAsia="zh-CN"/>
                              </w:rPr>
                              <m:t>,</m:t>
                            </m:r>
                            <m:r>
                              <w:rPr>
                                <w:rFonts w:ascii="Cambria Math" w:eastAsia="DengXian" w:hAnsi="Cambria Math"/>
                                <w:lang w:eastAsia="zh-CN"/>
                              </w:rPr>
                              <m:t>c</m:t>
                            </m:r>
                          </m:sub>
                        </m:sSub>
                      </m:sup>
                    </m:sSup>
                  </m:den>
                </m:f>
                <m:r>
                  <m:rPr>
                    <m:sty m:val="p"/>
                  </m:rPr>
                  <w:rPr>
                    <w:rFonts w:ascii="Cambria Math" w:eastAsia="DengXian" w:hAnsi="Cambria Math"/>
                  </w:rPr>
                  <m:t>)∙</m:t>
                </m:r>
                <m:sSup>
                  <m:sSupPr>
                    <m:ctrlPr>
                      <w:rPr>
                        <w:rFonts w:ascii="Cambria Math" w:eastAsia="DengXian" w:hAnsi="Cambria Math"/>
                      </w:rPr>
                    </m:ctrlPr>
                  </m:sSupPr>
                  <m:e>
                    <m:r>
                      <m:rPr>
                        <m:sty m:val="p"/>
                      </m:rPr>
                      <w:rPr>
                        <w:rFonts w:ascii="Cambria Math" w:eastAsia="DengXian" w:hAnsi="Cambria Math"/>
                      </w:rPr>
                      <m:t>2</m:t>
                    </m:r>
                  </m:e>
                  <m:sup>
                    <m:sSub>
                      <m:sSubPr>
                        <m:ctrlPr>
                          <w:rPr>
                            <w:rFonts w:ascii="Cambria Math" w:eastAsia="DengXian" w:hAnsi="Cambria Math"/>
                          </w:rPr>
                        </m:ctrlPr>
                      </m:sSubPr>
                      <m:e>
                        <m:r>
                          <w:rPr>
                            <w:rFonts w:ascii="Cambria Math" w:eastAsia="DengXian" w:hAnsi="Cambria Math"/>
                          </w:rPr>
                          <m:t>μ</m:t>
                        </m:r>
                      </m:e>
                      <m:sub>
                        <m:r>
                          <w:rPr>
                            <w:rFonts w:ascii="Cambria Math" w:eastAsia="DengXian" w:hAnsi="Cambria Math"/>
                          </w:rPr>
                          <m:t>UL</m:t>
                        </m:r>
                      </m:sub>
                    </m:sSub>
                  </m:sup>
                </m:sSup>
              </m:e>
            </m:d>
            <m:r>
              <m:rPr>
                <m:sty m:val="p"/>
              </m:rPr>
              <w:rPr>
                <w:rFonts w:ascii="Cambria Math" w:eastAsia="DengXian" w:hAnsi="Cambria Math"/>
              </w:rPr>
              <m:t>+1,max⁡(</m:t>
            </m:r>
            <m:sSup>
              <m:sSupPr>
                <m:ctrlPr>
                  <w:rPr>
                    <w:rFonts w:ascii="Cambria Math" w:eastAsia="DengXian" w:hAnsi="Cambria Math"/>
                  </w:rPr>
                </m:ctrlPr>
              </m:sSupPr>
              <m:e>
                <m:r>
                  <m:rPr>
                    <m:sty m:val="p"/>
                  </m:rPr>
                  <w:rPr>
                    <w:rFonts w:ascii="Cambria Math" w:eastAsia="DengXian" w:hAnsi="Cambria Math"/>
                  </w:rPr>
                  <m:t>2</m:t>
                </m:r>
              </m:e>
              <m:sup>
                <m:sSub>
                  <m:sSubPr>
                    <m:ctrlPr>
                      <w:rPr>
                        <w:rFonts w:ascii="Cambria Math" w:eastAsia="DengXian" w:hAnsi="Cambria Math"/>
                      </w:rPr>
                    </m:ctrlPr>
                  </m:sSubPr>
                  <m:e>
                    <m:r>
                      <w:rPr>
                        <w:rFonts w:ascii="Cambria Math" w:eastAsia="DengXian" w:hAnsi="Cambria Math"/>
                      </w:rPr>
                      <m:t>μ</m:t>
                    </m:r>
                  </m:e>
                  <m:sub>
                    <m:r>
                      <w:rPr>
                        <w:rFonts w:ascii="Cambria Math" w:eastAsia="DengXian" w:hAnsi="Cambria Math"/>
                      </w:rPr>
                      <m:t>UL</m:t>
                    </m:r>
                  </m:sub>
                </m:sSub>
                <m:r>
                  <m:rPr>
                    <m:sty m:val="p"/>
                  </m:rPr>
                  <w:rPr>
                    <w:rFonts w:ascii="Cambria Math" w:eastAsia="DengXian" w:hAnsi="Cambria Math"/>
                  </w:rPr>
                  <m:t>-</m:t>
                </m:r>
                <m:sSub>
                  <m:sSubPr>
                    <m:ctrlPr>
                      <w:rPr>
                        <w:rFonts w:ascii="Cambria Math" w:eastAsia="DengXian" w:hAnsi="Cambria Math"/>
                      </w:rPr>
                    </m:ctrlPr>
                  </m:sSubPr>
                  <m:e>
                    <m:r>
                      <w:rPr>
                        <w:rFonts w:ascii="Cambria Math" w:eastAsia="DengXian" w:hAnsi="Cambria Math"/>
                      </w:rPr>
                      <m:t>μ</m:t>
                    </m:r>
                  </m:e>
                  <m:sub>
                    <m:r>
                      <w:rPr>
                        <w:rFonts w:ascii="Cambria Math" w:eastAsia="DengXian" w:hAnsi="Cambria Math"/>
                      </w:rPr>
                      <m:t>DL</m:t>
                    </m:r>
                  </m:sub>
                </m:sSub>
              </m:sup>
            </m:sSup>
            <m:r>
              <m:rPr>
                <m:sty m:val="p"/>
              </m:rPr>
              <w:rPr>
                <w:rFonts w:ascii="Cambria Math" w:eastAsia="DengXian" w:hAnsi="Cambria Math"/>
              </w:rPr>
              <m:t>,1)</m:t>
            </m:r>
          </m:e>
        </m:d>
        <m:r>
          <m:rPr>
            <m:sty m:val="p"/>
          </m:rPr>
          <w:rPr>
            <w:rFonts w:ascii="Cambria Math" w:eastAsia="DengXian" w:hAnsi="Cambria Math"/>
          </w:rPr>
          <m:t>=0</m:t>
        </m:r>
      </m:oMath>
      <w:r w:rsidR="00AE7A16" w:rsidRPr="00111FF6">
        <w:rPr>
          <w:lang w:val="en-US"/>
        </w:rPr>
        <w:t xml:space="preserve"> or </w:t>
      </w:r>
      <w:r w:rsidR="00AE7A16" w:rsidRPr="00111FF6">
        <w:rPr>
          <w:rFonts w:cs="Arial"/>
          <w:i/>
          <w:iCs/>
          <w:lang w:eastAsia="zh-CN"/>
        </w:rPr>
        <w:t>subslotLengthForPUCCH</w:t>
      </w:r>
      <w:r w:rsidR="00AE7A16" w:rsidRPr="00111FF6">
        <w:rPr>
          <w:rFonts w:cs="Arial"/>
          <w:lang w:val="en-US" w:eastAsia="zh-CN"/>
        </w:rPr>
        <w:t xml:space="preserve"> is provided for the HARQ-ACK codebook</w:t>
      </w:r>
    </w:p>
    <w:p w14:paraId="1B444152" w14:textId="622C7697" w:rsidR="00035D7E" w:rsidRPr="00111FF6" w:rsidRDefault="00095BC2" w:rsidP="00035D7E">
      <w:pPr>
        <w:pStyle w:val="B2"/>
        <w:rPr>
          <w:lang w:eastAsia="zh-CN"/>
        </w:rPr>
      </w:pPr>
      <w:r w:rsidRPr="00B27E56">
        <w:rPr>
          <w:rFonts w:hint="eastAsia"/>
          <w:lang w:eastAsia="zh-CN"/>
        </w:rPr>
        <w:t xml:space="preserve">Set </w:t>
      </w:r>
      <m:oMath>
        <m:sSub>
          <m:sSubPr>
            <m:ctrlPr>
              <w:rPr>
                <w:rFonts w:ascii="Cambria Math" w:hAnsi="Cambria Math"/>
                <w:i/>
              </w:rPr>
            </m:ctrlPr>
          </m:sSubPr>
          <m:e>
            <m:r>
              <w:rPr>
                <w:rFonts w:ascii="Cambria Math" w:hAnsi="Cambria Math"/>
              </w:rPr>
              <m:t>n</m:t>
            </m:r>
          </m:e>
          <m:sub>
            <m:r>
              <m:rPr>
                <m:nor/>
              </m:rPr>
              <w:rPr>
                <w:rFonts w:ascii="Cambria Math"/>
                <w:lang w:val="en-US"/>
              </w:rPr>
              <m:t>D</m:t>
            </m:r>
            <m:ctrlPr>
              <w:rPr>
                <w:rFonts w:ascii="Cambria Math" w:hAnsi="Cambria Math"/>
              </w:rPr>
            </m:ctrlPr>
          </m:sub>
        </m:sSub>
        <m:r>
          <w:rPr>
            <w:rFonts w:ascii="Cambria Math" w:hAnsi="Cambria Math"/>
          </w:rPr>
          <m:t>=0</m:t>
        </m:r>
      </m:oMath>
      <w:r w:rsidRPr="00B27E56">
        <w:t xml:space="preserve"> </w:t>
      </w:r>
      <w:r w:rsidRPr="00B27E56">
        <w:rPr>
          <w:lang w:eastAsia="zh-CN"/>
        </w:rPr>
        <w:t>–</w:t>
      </w:r>
      <w:r w:rsidRPr="00B27E56">
        <w:rPr>
          <w:rFonts w:hint="eastAsia"/>
          <w:lang w:eastAsia="zh-CN"/>
        </w:rPr>
        <w:t xml:space="preserve"> index of </w:t>
      </w:r>
      <w:r w:rsidRPr="00B27E56">
        <w:rPr>
          <w:lang w:eastAsia="zh-CN"/>
        </w:rPr>
        <w:t xml:space="preserve">a DL slot </w:t>
      </w:r>
      <w:r w:rsidR="00035D7E" w:rsidRPr="00111FF6">
        <w:rPr>
          <w:lang w:val="en-US" w:eastAsia="zh-CN"/>
        </w:rPr>
        <w:t>overlapping with</w:t>
      </w:r>
      <w:r w:rsidRPr="00B27E56">
        <w:rPr>
          <w:lang w:eastAsia="zh-CN"/>
        </w:rPr>
        <w:t xml:space="preserve"> an UL slot</w:t>
      </w:r>
    </w:p>
    <w:p w14:paraId="620809A1" w14:textId="4FEABFF8" w:rsidR="00095BC2" w:rsidRPr="00035D7E" w:rsidRDefault="00035D7E" w:rsidP="00035D7E">
      <w:pPr>
        <w:pStyle w:val="B2"/>
        <w:ind w:left="540" w:firstLine="0"/>
        <w:rPr>
          <w:lang w:val="en-US" w:eastAsia="zh-CN"/>
        </w:rPr>
      </w:pPr>
      <w:r w:rsidRPr="00111FF6">
        <w:rPr>
          <w:lang w:val="en-US" w:eastAsia="zh-CN"/>
        </w:rPr>
        <w:t xml:space="preserve">Set </w:t>
      </w:r>
      <m:oMath>
        <m:sSub>
          <m:sSubPr>
            <m:ctrlPr>
              <w:rPr>
                <w:rFonts w:ascii="Cambria Math" w:hAnsi="Cambria Math"/>
                <w:i/>
              </w:rPr>
            </m:ctrlPr>
          </m:sSubPr>
          <m:e>
            <m:r>
              <w:rPr>
                <w:rFonts w:ascii="Cambria Math" w:hAnsi="Cambria Math"/>
              </w:rPr>
              <m:t>N</m:t>
            </m:r>
          </m:e>
          <m:sub>
            <m:r>
              <m:rPr>
                <m:nor/>
              </m:rPr>
              <w:rPr>
                <w:i/>
                <w:iCs/>
                <w:lang w:val="en-US"/>
              </w:rPr>
              <m:t>k</m:t>
            </m:r>
            <m:ctrlPr>
              <w:rPr>
                <w:rFonts w:ascii="Cambria Math" w:hAnsi="Cambria Math"/>
              </w:rPr>
            </m:ctrlPr>
          </m:sub>
        </m:sSub>
      </m:oMath>
      <w:r w:rsidRPr="00111FF6">
        <w:rPr>
          <w:lang w:val="en-US"/>
        </w:rPr>
        <w:t xml:space="preserve"> to a number of DL slots overlapping with UL slot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U</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1,k</m:t>
            </m:r>
          </m:sub>
        </m:sSub>
      </m:oMath>
      <w:r w:rsidRPr="00111FF6">
        <w:rPr>
          <w:lang w:val="en-US" w:eastAsia="zh-CN"/>
        </w:rPr>
        <w:t xml:space="preserve"> if </w:t>
      </w:r>
      <w:r w:rsidRPr="00111FF6">
        <w:rPr>
          <w:rFonts w:cs="Arial"/>
          <w:i/>
          <w:iCs/>
          <w:lang w:eastAsia="zh-CN"/>
        </w:rPr>
        <w:t>subslotLengthForPUCCH</w:t>
      </w:r>
      <w:r w:rsidRPr="00111FF6">
        <w:rPr>
          <w:rFonts w:cs="Arial"/>
          <w:lang w:val="en-US" w:eastAsia="zh-CN"/>
        </w:rPr>
        <w:t xml:space="preserve"> is provided for the HARQ-ACK codebook; otherwise, </w:t>
      </w:r>
      <m:oMath>
        <m:sSub>
          <m:sSubPr>
            <m:ctrlPr>
              <w:rPr>
                <w:rFonts w:ascii="Cambria Math" w:hAnsi="Cambria Math"/>
                <w:i/>
              </w:rPr>
            </m:ctrlPr>
          </m:sSubPr>
          <m:e>
            <m:r>
              <w:rPr>
                <w:rFonts w:ascii="Cambria Math" w:hAnsi="Cambria Math"/>
              </w:rPr>
              <m:t>N</m:t>
            </m:r>
          </m:e>
          <m:sub>
            <m:r>
              <m:rPr>
                <m:nor/>
              </m:rPr>
              <w:rPr>
                <w:i/>
                <w:iCs/>
                <w:lang w:val="en-US"/>
              </w:rPr>
              <m:t>k</m:t>
            </m:r>
            <m:ctrlPr>
              <w:rPr>
                <w:rFonts w:ascii="Cambria Math" w:hAnsi="Cambria Math"/>
              </w:rPr>
            </m:ctrlPr>
          </m:sub>
        </m:sSub>
        <m:r>
          <w:rPr>
            <w:rFonts w:ascii="Cambria Math" w:hAnsi="Cambria Math" w:cs="Arial"/>
          </w:rPr>
          <m:t>=</m:t>
        </m:r>
        <m:r>
          <m:rPr>
            <m:sty m:val="p"/>
          </m:rPr>
          <w:rPr>
            <w:rFonts w:ascii="Cambria Math" w:hAnsi="Cambria Math" w:cs="Arial"/>
          </w:rPr>
          <m:t>max</m:t>
        </m:r>
        <m:d>
          <m:dPr>
            <m:ctrlPr>
              <w:rPr>
                <w:rFonts w:ascii="Cambria Math" w:hAnsi="Cambria Math" w:cs="Arial"/>
                <w:i/>
              </w:rPr>
            </m:ctrlPr>
          </m:dPr>
          <m:e>
            <m:sSup>
              <m:sSupPr>
                <m:ctrlPr>
                  <w:rPr>
                    <w:rFonts w:ascii="Cambria Math" w:hAnsi="Cambria Math"/>
                    <w:i/>
                    <w:lang w:val="en-US" w:eastAsia="zh-CN"/>
                  </w:rPr>
                </m:ctrlPr>
              </m:sSupPr>
              <m:e>
                <m:r>
                  <w:rPr>
                    <w:rFonts w:ascii="Cambria Math" w:hAnsi="Cambria Math"/>
                    <w:lang w:val="en-US" w:eastAsia="zh-CN"/>
                  </w:rPr>
                  <m:t>2</m:t>
                </m:r>
              </m:e>
              <m:sup>
                <m:sSub>
                  <m:sSubPr>
                    <m:ctrlPr>
                      <w:rPr>
                        <w:rFonts w:ascii="Cambria Math" w:hAnsi="Cambria Math"/>
                        <w:i/>
                        <w:lang w:val="en-US" w:eastAsia="zh-CN"/>
                      </w:rPr>
                    </m:ctrlPr>
                  </m:sSubPr>
                  <m:e>
                    <m:r>
                      <w:rPr>
                        <w:rFonts w:ascii="Cambria Math" w:hAnsi="Cambria Math"/>
                        <w:lang w:val="en-US" w:eastAsia="zh-CN"/>
                      </w:rPr>
                      <m:t>μ</m:t>
                    </m:r>
                  </m:e>
                  <m:sub>
                    <m:r>
                      <w:rPr>
                        <w:rFonts w:ascii="Cambria Math" w:hAnsi="Cambria Math"/>
                        <w:lang w:val="en-US" w:eastAsia="zh-CN"/>
                      </w:rPr>
                      <m:t>DL</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μ</m:t>
                    </m:r>
                  </m:e>
                  <m:sub>
                    <m:r>
                      <w:rPr>
                        <w:rFonts w:ascii="Cambria Math" w:hAnsi="Cambria Math"/>
                        <w:lang w:val="en-US" w:eastAsia="zh-CN"/>
                      </w:rPr>
                      <m:t>UL</m:t>
                    </m:r>
                  </m:sub>
                </m:sSub>
              </m:sup>
            </m:sSup>
            <m:r>
              <w:rPr>
                <w:rFonts w:ascii="Cambria Math" w:hAnsi="Cambria Math"/>
                <w:lang w:val="en-US" w:eastAsia="zh-CN"/>
              </w:rPr>
              <m:t>,1</m:t>
            </m:r>
          </m:e>
        </m:d>
      </m:oMath>
    </w:p>
    <w:p w14:paraId="7A343C3A" w14:textId="065E0313" w:rsidR="00035D7E" w:rsidRDefault="00035D7E" w:rsidP="00035D7E">
      <w:pPr>
        <w:pStyle w:val="B2"/>
        <w:rPr>
          <w:lang w:eastAsia="zh-CN"/>
        </w:rPr>
      </w:pPr>
      <w:r w:rsidRPr="00111FF6">
        <w:rPr>
          <w:lang w:val="en-US" w:eastAsia="zh-CN"/>
        </w:rPr>
        <w:t xml:space="preserve">while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D</m:t>
            </m:r>
          </m:sub>
        </m:sSub>
        <m:r>
          <w:rPr>
            <w:rFonts w:ascii="Cambria Math" w:hAnsi="Cambria Math"/>
            <w:lang w:val="en-US" w:eastAsia="zh-CN"/>
          </w:rPr>
          <m:t>&lt;</m:t>
        </m:r>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k</m:t>
            </m:r>
          </m:sub>
        </m:sSub>
      </m:oMath>
      <w:r w:rsidRPr="00111FF6">
        <w:rPr>
          <w:rFonts w:hint="eastAsia"/>
          <w:lang w:eastAsia="zh-CN"/>
        </w:rPr>
        <w:t xml:space="preserve"> </w:t>
      </w:r>
    </w:p>
    <w:p w14:paraId="0FC01EA5" w14:textId="450E40B4" w:rsidR="004F7CB8" w:rsidRPr="00DD0058" w:rsidRDefault="004F7CB8" w:rsidP="004F7CB8">
      <w:pPr>
        <w:pStyle w:val="B3"/>
        <w:ind w:left="851" w:firstLine="0"/>
        <w:rPr>
          <w:rFonts w:cs="Arial"/>
          <w:lang w:eastAsia="zh-CN"/>
        </w:rPr>
      </w:pPr>
      <w:r w:rsidRPr="00B27E56">
        <w:rPr>
          <w:lang w:eastAsia="zh-CN"/>
        </w:rPr>
        <w:t>if</w:t>
      </w:r>
      <w:r w:rsidRPr="00B27E56">
        <w:rPr>
          <w:rFonts w:hint="eastAsia"/>
          <w:lang w:eastAsia="zh-CN"/>
        </w:rPr>
        <w:t xml:space="preserve"> </w:t>
      </w:r>
      <w:r w:rsidR="00DE2D65">
        <w:rPr>
          <w:i/>
          <w:iCs/>
          <w:lang w:val="en-US"/>
        </w:rPr>
        <w:t>pdsch</w:t>
      </w:r>
      <w:r w:rsidRPr="0000577C">
        <w:rPr>
          <w:i/>
          <w:iCs/>
          <w:lang w:val="en-US" w:eastAsia="zh-CN"/>
        </w:rPr>
        <w:t>-TimeDomainAllocationListForMultiPDSCH</w:t>
      </w:r>
      <w:r>
        <w:rPr>
          <w:lang w:val="en-US" w:eastAsia="zh-CN"/>
        </w:rPr>
        <w:t xml:space="preserve"> and </w:t>
      </w:r>
      <w:r w:rsidR="00DE2D65">
        <w:rPr>
          <w:i/>
          <w:iCs/>
          <w:lang w:eastAsia="zh-CN"/>
        </w:rPr>
        <w:t>t</w:t>
      </w:r>
      <w:r w:rsidR="00DE2D65" w:rsidRPr="0000577C">
        <w:rPr>
          <w:i/>
          <w:iCs/>
          <w:lang w:eastAsia="zh-CN"/>
        </w:rPr>
        <w:t>imeDomainHARQ</w:t>
      </w:r>
      <w:r w:rsidRPr="0000577C">
        <w:rPr>
          <w:i/>
          <w:iCs/>
          <w:lang w:eastAsia="zh-CN"/>
        </w:rPr>
        <w:t>-Bundling</w:t>
      </w:r>
      <w:r w:rsidR="00DE2D65">
        <w:rPr>
          <w:i/>
          <w:iCs/>
          <w:lang w:eastAsia="zh-CN"/>
        </w:rPr>
        <w:t>Type1</w:t>
      </w:r>
      <w:r>
        <w:rPr>
          <w:lang w:eastAsia="zh-CN"/>
        </w:rPr>
        <w:t xml:space="preserve"> are</w:t>
      </w:r>
      <w:r w:rsidRPr="00B27E56">
        <w:rPr>
          <w:lang w:eastAsia="zh-CN"/>
        </w:rPr>
        <w:t xml:space="preserve"> provided</w:t>
      </w:r>
      <w:r>
        <w:rPr>
          <w:lang w:eastAsia="zh-CN"/>
        </w:rPr>
        <w:t xml:space="preserve"> for </w:t>
      </w:r>
      <w:r w:rsidRPr="00B27E56">
        <w:rPr>
          <w:lang w:val="en-US"/>
        </w:rPr>
        <w:t xml:space="preserve">serving cell </w:t>
      </w:r>
      <m:oMath>
        <m:r>
          <w:rPr>
            <w:rFonts w:ascii="Cambria Math" w:hAnsi="Cambria Math"/>
            <w:lang w:val="en-US"/>
          </w:rPr>
          <m:t>c</m:t>
        </m:r>
      </m:oMath>
    </w:p>
    <w:p w14:paraId="57096846" w14:textId="77777777" w:rsidR="004F7CB8" w:rsidRDefault="004F7CB8" w:rsidP="004F7CB8">
      <w:pPr>
        <w:pStyle w:val="B4"/>
      </w:pPr>
      <m:oMath>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R</m:t>
            </m:r>
          </m:e>
          <m:sub>
            <m:r>
              <m:rPr>
                <m:nor/>
              </m:rPr>
              <w:rPr>
                <w:iCs/>
              </w:rPr>
              <m:t>T</m:t>
            </m:r>
          </m:sub>
        </m:sSub>
      </m:oMath>
      <w:r w:rsidRPr="00B27E56">
        <w:t>;</w:t>
      </w:r>
    </w:p>
    <w:p w14:paraId="1EF235AD" w14:textId="77777777" w:rsidR="004F7CB8" w:rsidRPr="00B27E56" w:rsidRDefault="004F7CB8" w:rsidP="004F7CB8">
      <w:pPr>
        <w:pStyle w:val="B4"/>
      </w:pPr>
      <m:oMath>
        <m:r>
          <w:rPr>
            <w:rFonts w:ascii="Cambria Math" w:hAnsi="Cambria Math"/>
          </w:rPr>
          <m:t>R</m:t>
        </m:r>
        <m:r>
          <m:rPr>
            <m:sty m:val="p"/>
          </m:rPr>
          <w:rPr>
            <w:rFonts w:ascii="Cambria Math" w:hAnsi="Cambria Math"/>
          </w:rPr>
          <m:t>'=</m:t>
        </m:r>
        <m:sSubSup>
          <m:sSubSupPr>
            <m:ctrlPr>
              <w:rPr>
                <w:rFonts w:ascii="Cambria Math" w:eastAsia="DengXian" w:hAnsi="Cambria Math"/>
              </w:rPr>
            </m:ctrlPr>
          </m:sSubSupPr>
          <m:e>
            <m:r>
              <w:rPr>
                <w:rFonts w:ascii="Cambria Math" w:eastAsia="DengXian" w:hAnsi="Cambria Math"/>
              </w:rPr>
              <m:t>R</m:t>
            </m:r>
          </m:e>
          <m:sub>
            <m:r>
              <w:rPr>
                <w:rFonts w:ascii="Cambria Math" w:eastAsia="DengXian" w:hAnsi="Cambria Math"/>
              </w:rPr>
              <m:t>T</m:t>
            </m:r>
          </m:sub>
          <m:sup>
            <m:r>
              <m:rPr>
                <m:sty m:val="p"/>
              </m:rPr>
              <w:rPr>
                <w:rFonts w:ascii="Cambria Math" w:eastAsia="DengXian" w:hAnsi="Cambria Math"/>
              </w:rPr>
              <m:t>'</m:t>
            </m:r>
          </m:sup>
        </m:sSubSup>
      </m:oMath>
      <w:r w:rsidRPr="00B27E56">
        <w:t>;</w:t>
      </w:r>
    </w:p>
    <w:p w14:paraId="354046F0" w14:textId="5B071BD4" w:rsidR="00574BF8" w:rsidRPr="00CD71B9" w:rsidRDefault="00574BF8" w:rsidP="00574BF8">
      <w:pPr>
        <w:pStyle w:val="B3"/>
        <w:ind w:left="851" w:firstLine="0"/>
      </w:pPr>
      <w:r w:rsidRPr="00CD71B9">
        <w:t xml:space="preserve">elseif </w:t>
      </w:r>
      <w:r w:rsidR="00DE2D65">
        <w:rPr>
          <w:i/>
          <w:iCs/>
          <w:lang w:val="en-US"/>
        </w:rPr>
        <w:t>pdsch</w:t>
      </w:r>
      <w:r w:rsidRPr="0000577C">
        <w:rPr>
          <w:i/>
          <w:iCs/>
          <w:lang w:val="en-US"/>
        </w:rPr>
        <w:t>-TimeDomainAllocationListForMultiPDSCH</w:t>
      </w:r>
      <w:r w:rsidRPr="00CD71B9">
        <w:rPr>
          <w:lang w:val="en-US"/>
        </w:rPr>
        <w:t xml:space="preserve"> is provided and</w:t>
      </w:r>
      <w:r>
        <w:rPr>
          <w:lang w:val="en-US" w:eastAsia="zh-CN"/>
        </w:rPr>
        <w:t xml:space="preserve"> </w:t>
      </w:r>
      <w:r w:rsidR="00DE2D65">
        <w:rPr>
          <w:i/>
          <w:iCs/>
        </w:rPr>
        <w:t>t</w:t>
      </w:r>
      <w:r w:rsidR="00DE2D65" w:rsidRPr="0000577C">
        <w:rPr>
          <w:i/>
          <w:iCs/>
        </w:rPr>
        <w:t>imeDomainHARQ</w:t>
      </w:r>
      <w:r w:rsidRPr="0000577C">
        <w:rPr>
          <w:i/>
          <w:iCs/>
        </w:rPr>
        <w:t>-Bundling</w:t>
      </w:r>
      <w:r w:rsidR="00DE2D65">
        <w:rPr>
          <w:i/>
          <w:iCs/>
        </w:rPr>
        <w:t>Type1</w:t>
      </w:r>
      <w:r w:rsidRPr="00CD71B9">
        <w:t xml:space="preserve"> is not provided for </w:t>
      </w:r>
      <w:r w:rsidRPr="00CD71B9">
        <w:rPr>
          <w:lang w:val="en-US"/>
        </w:rPr>
        <w:t xml:space="preserve">serving cell </w:t>
      </w:r>
      <m:oMath>
        <m:r>
          <w:rPr>
            <w:rFonts w:ascii="Cambria Math" w:hAnsi="Cambria Math"/>
            <w:lang w:val="en-US"/>
          </w:rPr>
          <m:t>c</m:t>
        </m:r>
      </m:oMath>
    </w:p>
    <w:p w14:paraId="7DEE45C4" w14:textId="77777777" w:rsidR="00574BF8" w:rsidRDefault="00574BF8" w:rsidP="00574BF8">
      <w:pPr>
        <w:pStyle w:val="B4"/>
      </w:pPr>
      <m:oMath>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R</m:t>
            </m:r>
          </m:e>
          <m:sub>
            <m:r>
              <m:rPr>
                <m:nor/>
              </m:rPr>
              <w:rPr>
                <w:iCs/>
              </w:rPr>
              <m:t>T</m:t>
            </m:r>
          </m:sub>
        </m:sSub>
      </m:oMath>
      <w:r w:rsidRPr="00B27E56">
        <w:t>;</w:t>
      </w:r>
    </w:p>
    <w:p w14:paraId="5FA8ABEB" w14:textId="2A64025E" w:rsidR="004F7CB8" w:rsidRPr="004F7CB8" w:rsidRDefault="007D6765" w:rsidP="007D6765">
      <w:pPr>
        <w:pStyle w:val="B3"/>
        <w:rPr>
          <w:lang w:eastAsia="zh-CN"/>
        </w:rPr>
      </w:pPr>
      <w:r>
        <w:rPr>
          <w:lang w:eastAsia="zh-CN"/>
        </w:rPr>
        <w:t>else</w:t>
      </w:r>
    </w:p>
    <w:p w14:paraId="1289EBD6" w14:textId="32D7068A" w:rsidR="00095BC2" w:rsidRPr="00B27E56" w:rsidRDefault="00095BC2" w:rsidP="007D6765">
      <w:pPr>
        <w:pStyle w:val="B4"/>
        <w:rPr>
          <w:lang w:eastAsia="zh-CN"/>
        </w:rPr>
      </w:pPr>
      <w:r w:rsidRPr="00B27E56">
        <w:rPr>
          <w:lang w:eastAsia="zh-CN"/>
        </w:rPr>
        <w:t xml:space="preserve">Set </w:t>
      </w:r>
      <m:oMath>
        <m:r>
          <w:rPr>
            <w:rFonts w:ascii="Cambria Math" w:hAnsi="Cambria Math"/>
          </w:rPr>
          <m:t>R</m:t>
        </m:r>
      </m:oMath>
      <w:r w:rsidRPr="00B27E56">
        <w:rPr>
          <w:lang w:eastAsia="zh-CN"/>
        </w:rPr>
        <w:t xml:space="preserve"> to the set of </w:t>
      </w:r>
      <w:r w:rsidRPr="00B27E56">
        <w:rPr>
          <w:rFonts w:hint="eastAsia"/>
          <w:lang w:eastAsia="zh-CN"/>
        </w:rPr>
        <w:t>rows</w:t>
      </w:r>
    </w:p>
    <w:p w14:paraId="576DB4BC" w14:textId="00002596" w:rsidR="007D6765" w:rsidRDefault="007D6765" w:rsidP="00095BC2">
      <w:pPr>
        <w:pStyle w:val="B3"/>
        <w:rPr>
          <w:lang w:eastAsia="zh-CN"/>
        </w:rPr>
      </w:pPr>
      <w:r>
        <w:rPr>
          <w:lang w:eastAsia="zh-CN"/>
        </w:rPr>
        <w:t>end if</w:t>
      </w:r>
    </w:p>
    <w:p w14:paraId="5029385F" w14:textId="1A01F055" w:rsidR="00095BC2" w:rsidRPr="00B27E56" w:rsidRDefault="00095BC2" w:rsidP="00095BC2">
      <w:pPr>
        <w:pStyle w:val="B3"/>
        <w:rPr>
          <w:lang w:eastAsia="zh-CN"/>
        </w:rPr>
      </w:pPr>
      <w:r w:rsidRPr="00B27E56">
        <w:rPr>
          <w:lang w:eastAsia="zh-CN"/>
        </w:rPr>
        <w:t xml:space="preserve">Set </w:t>
      </w:r>
      <m:oMath>
        <m:r>
          <m:rPr>
            <m:nor/>
          </m:rPr>
          <w:rPr>
            <w:rFonts w:ascii="Freestyle Script" w:hAnsi="Freestyle Script"/>
          </w:rPr>
          <m:t>C</m:t>
        </m:r>
        <m:d>
          <m:dPr>
            <m:ctrlPr>
              <w:rPr>
                <w:rFonts w:ascii="Cambria Math" w:hAnsi="Cambria Math" w:cs="Helvetica"/>
                <w:i/>
              </w:rPr>
            </m:ctrlPr>
          </m:dPr>
          <m:e>
            <m:r>
              <w:rPr>
                <w:rFonts w:ascii="Cambria Math" w:hAnsi="Cambria Math"/>
              </w:rPr>
              <m:t>R</m:t>
            </m:r>
          </m:e>
        </m:d>
      </m:oMath>
      <w:r w:rsidRPr="00B27E56">
        <w:t xml:space="preserve"> to the cardinality of </w:t>
      </w:r>
      <m:oMath>
        <m:r>
          <w:rPr>
            <w:rFonts w:ascii="Cambria Math" w:hAnsi="Cambria Math"/>
          </w:rPr>
          <m:t>R</m:t>
        </m:r>
      </m:oMath>
    </w:p>
    <w:p w14:paraId="5864873A" w14:textId="09ECD799" w:rsidR="00095BC2" w:rsidRPr="00B27E56" w:rsidRDefault="00095BC2" w:rsidP="00095BC2">
      <w:pPr>
        <w:pStyle w:val="B3"/>
        <w:rPr>
          <w:lang w:eastAsia="zh-CN"/>
        </w:rPr>
      </w:pPr>
      <w:r w:rsidRPr="00B27E56">
        <w:rPr>
          <w:lang w:eastAsia="zh-CN"/>
        </w:rPr>
        <w:t>S</w:t>
      </w:r>
      <w:r w:rsidRPr="00B27E56">
        <w:rPr>
          <w:rFonts w:hint="eastAsia"/>
          <w:lang w:eastAsia="zh-CN"/>
        </w:rPr>
        <w:t xml:space="preserve">et </w:t>
      </w:r>
      <m:oMath>
        <m:r>
          <w:rPr>
            <w:rFonts w:ascii="Cambria Math" w:hAnsi="Cambria Math"/>
          </w:rPr>
          <m:t>r=0</m:t>
        </m:r>
      </m:oMath>
      <w:r w:rsidRPr="00B27E56">
        <w:rPr>
          <w:rFonts w:hint="eastAsia"/>
          <w:lang w:eastAsia="zh-CN"/>
        </w:rPr>
        <w:t xml:space="preserve"> </w:t>
      </w:r>
      <w:r w:rsidRPr="00B27E56">
        <w:rPr>
          <w:lang w:eastAsia="zh-CN"/>
        </w:rPr>
        <w:t>–</w:t>
      </w:r>
      <w:r w:rsidRPr="00B27E56">
        <w:rPr>
          <w:rFonts w:hint="eastAsia"/>
          <w:lang w:eastAsia="zh-CN"/>
        </w:rPr>
        <w:t xml:space="preserve"> index of row </w:t>
      </w:r>
      <w:r w:rsidRPr="00B27E56">
        <w:rPr>
          <w:lang w:val="en-US" w:eastAsia="zh-CN"/>
        </w:rPr>
        <w:t xml:space="preserve">in set </w:t>
      </w:r>
      <m:oMath>
        <m:r>
          <w:rPr>
            <w:rFonts w:ascii="Cambria Math" w:hAnsi="Cambria Math"/>
          </w:rPr>
          <m:t>R</m:t>
        </m:r>
      </m:oMath>
    </w:p>
    <w:p w14:paraId="7C9EF73C" w14:textId="48EA8594" w:rsidR="00095BC2" w:rsidRPr="00B27E56" w:rsidRDefault="00095BC2" w:rsidP="00095BC2">
      <w:pPr>
        <w:pStyle w:val="B3"/>
        <w:ind w:left="851" w:firstLine="0"/>
        <w:rPr>
          <w:lang w:val="en-US"/>
        </w:rPr>
      </w:pPr>
      <w:r w:rsidRPr="00B27E56">
        <w:t xml:space="preserve">if slot </w:t>
      </w:r>
      <m:oMath>
        <m:sSub>
          <m:sSubPr>
            <m:ctrlPr>
              <w:rPr>
                <w:rFonts w:ascii="Cambria Math" w:eastAsia="DengXian" w:hAnsi="Cambria Math"/>
                <w:i/>
              </w:rPr>
            </m:ctrlPr>
          </m:sSubPr>
          <m:e>
            <m:r>
              <w:rPr>
                <w:rFonts w:ascii="Cambria Math" w:eastAsia="DengXian" w:hAnsi="Cambria Math"/>
              </w:rPr>
              <m:t>n</m:t>
            </m:r>
          </m:e>
          <m:sub>
            <m:r>
              <m:rPr>
                <m:sty m:val="p"/>
              </m:rPr>
              <w:rPr>
                <w:rFonts w:ascii="Cambria Math" w:eastAsia="DengXian" w:hAnsi="Cambria Math"/>
              </w:rPr>
              <m:t>U</m:t>
            </m:r>
          </m:sub>
        </m:sSub>
      </m:oMath>
      <w:r w:rsidRPr="00B27E56">
        <w:t xml:space="preserve"> starts at a same time as or after a slot for an active DL BWP change on serving cell </w:t>
      </w:r>
      <m:oMath>
        <m:r>
          <w:rPr>
            <w:rFonts w:ascii="Cambria Math" w:eastAsia="DengXian" w:hAnsi="Cambria Math"/>
          </w:rPr>
          <m:t>c</m:t>
        </m:r>
      </m:oMath>
      <w:r w:rsidRPr="00B27E56">
        <w:rPr>
          <w:rFonts w:cs="Arial"/>
          <w:lang w:eastAsia="zh-CN"/>
        </w:rPr>
        <w:t xml:space="preserve"> </w:t>
      </w:r>
      <w:r w:rsidRPr="00B27E56">
        <w:t xml:space="preserve">or an active UL BWP change on the </w:t>
      </w:r>
      <w:r w:rsidR="00064775" w:rsidRPr="00B024E1">
        <w:t>serving cell of PUCCH transmission</w:t>
      </w:r>
      <w:r w:rsidR="004A535A">
        <w:t xml:space="preserve"> </w:t>
      </w:r>
      <w:r w:rsidR="004A535A" w:rsidRPr="0040734B">
        <w:t xml:space="preserve">if the UE is provided </w:t>
      </w:r>
      <w:r w:rsidR="004A535A" w:rsidRPr="0040734B">
        <w:rPr>
          <w:i/>
        </w:rPr>
        <w:t xml:space="preserve">pucch-sSCellDyn </w:t>
      </w:r>
      <w:r w:rsidR="004A535A" w:rsidRPr="0040734B">
        <w:t xml:space="preserve">or </w:t>
      </w:r>
      <w:r w:rsidR="004A535A" w:rsidRPr="0040734B">
        <w:rPr>
          <w:i/>
        </w:rPr>
        <w:t>pucch-sSCellDynDCI-1-2</w:t>
      </w:r>
      <w:r w:rsidR="00B50C4D" w:rsidRPr="00400941">
        <w:t xml:space="preserve"> </w:t>
      </w:r>
      <w:r w:rsidR="00B50C4D" w:rsidRPr="0040734B">
        <w:t xml:space="preserve">or </w:t>
      </w:r>
      <w:r w:rsidR="00B50C4D" w:rsidRPr="0040734B">
        <w:rPr>
          <w:i/>
        </w:rPr>
        <w:t>pucch-sSCellDynDCI-1-</w:t>
      </w:r>
      <w:r w:rsidR="00B50C4D">
        <w:rPr>
          <w:i/>
        </w:rPr>
        <w:t>3</w:t>
      </w:r>
      <w:r w:rsidR="004A535A">
        <w:t xml:space="preserve">, or an active UL BWP change </w:t>
      </w:r>
      <w:r w:rsidR="004A535A" w:rsidRPr="00853BC9">
        <w:t xml:space="preserve">on the PCell if the UE is not provided </w:t>
      </w:r>
      <w:r w:rsidR="004A535A" w:rsidRPr="00853BC9">
        <w:rPr>
          <w:i/>
        </w:rPr>
        <w:t xml:space="preserve">pucch-sSCellDyn </w:t>
      </w:r>
      <w:r w:rsidR="004A535A" w:rsidRPr="00853BC9">
        <w:t xml:space="preserve">and </w:t>
      </w:r>
      <w:r w:rsidR="004A535A" w:rsidRPr="00853BC9">
        <w:rPr>
          <w:i/>
        </w:rPr>
        <w:t>pucch-sSCellDynDCI-1-2</w:t>
      </w:r>
      <w:r w:rsidR="00B50C4D" w:rsidRPr="00400941">
        <w:t xml:space="preserve"> </w:t>
      </w:r>
      <w:r w:rsidR="00B50C4D" w:rsidRPr="0040734B">
        <w:t xml:space="preserve">or </w:t>
      </w:r>
      <w:r w:rsidR="00B50C4D" w:rsidRPr="0040734B">
        <w:rPr>
          <w:i/>
        </w:rPr>
        <w:t>pucch-sSCellDynDCI-1-</w:t>
      </w:r>
      <w:r w:rsidR="00B50C4D">
        <w:rPr>
          <w:i/>
        </w:rPr>
        <w:t>3</w:t>
      </w:r>
      <w:r w:rsidR="004A535A">
        <w:rPr>
          <w:i/>
        </w:rPr>
        <w:t>,</w:t>
      </w:r>
      <w:r w:rsidRPr="00B27E56">
        <w:t xml:space="preserve"> and slot </w:t>
      </w:r>
      <m:oMath>
        <m:r>
          <m:rPr>
            <m:sty m:val="p"/>
          </m:rPr>
          <w:rPr>
            <w:rFonts w:ascii="Cambria Math" w:eastAsia="DengXian" w:hAnsi="Cambria Math"/>
          </w:rPr>
          <m:t xml:space="preserve"> </m:t>
        </m:r>
        <m:sSub>
          <m:sSubPr>
            <m:ctrlPr>
              <w:rPr>
                <w:rFonts w:ascii="Cambria Math" w:eastAsia="DengXian" w:hAnsi="Cambria Math"/>
                <w:i/>
              </w:rPr>
            </m:ctrlPr>
          </m:sSubPr>
          <m:e>
            <m:r>
              <w:rPr>
                <w:rFonts w:ascii="Cambria Math" w:eastAsia="DengXian" w:hAnsi="Cambria Math"/>
              </w:rPr>
              <m:t>n</m:t>
            </m:r>
          </m:e>
          <m:sub>
            <m:r>
              <w:rPr>
                <w:rFonts w:ascii="Cambria Math" w:eastAsia="DengXian" w:hAnsi="Cambria Math"/>
              </w:rPr>
              <m:t>0,k</m:t>
            </m:r>
          </m:sub>
        </m:sSub>
        <m:r>
          <w:rPr>
            <w:rFonts w:ascii="Cambria Math" w:eastAsia="DengXian" w:hAnsi="Cambria Math"/>
          </w:rPr>
          <m:t>+</m:t>
        </m:r>
        <m:sSub>
          <m:sSubPr>
            <m:ctrlPr>
              <w:rPr>
                <w:rFonts w:ascii="Cambria Math" w:eastAsia="DengXian" w:hAnsi="Cambria Math"/>
                <w:i/>
              </w:rPr>
            </m:ctrlPr>
          </m:sSubPr>
          <m:e>
            <m:r>
              <w:rPr>
                <w:rFonts w:ascii="Cambria Math" w:eastAsia="DengXian" w:hAnsi="Cambria Math"/>
              </w:rPr>
              <m:t>n</m:t>
            </m:r>
          </m:e>
          <m:sub>
            <m:r>
              <w:rPr>
                <w:rFonts w:ascii="Cambria Math" w:eastAsia="DengXian" w:hAnsi="Cambria Math"/>
              </w:rPr>
              <m:t>D</m:t>
            </m:r>
          </m:sub>
        </m:sSub>
      </m:oMath>
      <w:r w:rsidRPr="00B27E56">
        <w:rPr>
          <w:lang w:val="en-US"/>
        </w:rPr>
        <w:t xml:space="preserve"> is before the slot for the active DL BWP change on serving cell </w:t>
      </w:r>
      <m:oMath>
        <m:r>
          <w:rPr>
            <w:rFonts w:ascii="Cambria Math" w:eastAsia="DengXian" w:hAnsi="Cambria Math"/>
          </w:rPr>
          <m:t>c</m:t>
        </m:r>
      </m:oMath>
      <w:r w:rsidRPr="00B27E56">
        <w:rPr>
          <w:rFonts w:cs="Arial"/>
          <w:lang w:val="en-US" w:eastAsia="zh-CN"/>
        </w:rPr>
        <w:t xml:space="preserve"> </w:t>
      </w:r>
      <w:r w:rsidRPr="00B27E56">
        <w:rPr>
          <w:lang w:val="en-US"/>
        </w:rPr>
        <w:t xml:space="preserve">or the active UL BWP change on the </w:t>
      </w:r>
      <w:r w:rsidR="00064775" w:rsidRPr="00B024E1">
        <w:t>serving cell of PUCCH transmission</w:t>
      </w:r>
      <w:r w:rsidRPr="00B27E56">
        <w:rPr>
          <w:lang w:val="en-US"/>
        </w:rPr>
        <w:t xml:space="preserve"> </w:t>
      </w:r>
      <w:r w:rsidR="00035D7E" w:rsidRPr="00111FF6">
        <w:rPr>
          <w:lang w:val="en-US"/>
        </w:rPr>
        <w:t xml:space="preserve">where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0,k</m:t>
            </m:r>
          </m:sub>
        </m:sSub>
      </m:oMath>
      <w:r w:rsidR="00035D7E" w:rsidRPr="00111FF6">
        <w:rPr>
          <w:lang w:val="en-US" w:eastAsia="zh-CN"/>
        </w:rPr>
        <w:t xml:space="preserve"> is a DL slot with a smallest index among DL slots </w:t>
      </w:r>
      <w:r w:rsidR="00035D7E" w:rsidRPr="00111FF6">
        <w:rPr>
          <w:lang w:val="en-US" w:eastAsia="zh-CN"/>
        </w:rPr>
        <w:lastRenderedPageBreak/>
        <w:t xml:space="preserve">overlapping with UL slot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U</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1,k</m:t>
            </m:r>
          </m:sub>
        </m:sSub>
      </m:oMath>
      <w:r w:rsidR="00035D7E" w:rsidRPr="00111FF6">
        <w:rPr>
          <w:lang w:val="en-US" w:eastAsia="zh-CN"/>
        </w:rPr>
        <w:t xml:space="preserve">, or </w:t>
      </w:r>
      <w:r w:rsidR="00035D7E" w:rsidRPr="00111FF6">
        <w:rPr>
          <w:rFonts w:cs="Arial"/>
          <w:i/>
          <w:iCs/>
          <w:lang w:eastAsia="zh-CN"/>
        </w:rPr>
        <w:t>subslotLengthForPUCCH</w:t>
      </w:r>
      <w:r w:rsidR="00035D7E" w:rsidRPr="00111FF6">
        <w:rPr>
          <w:rFonts w:cs="Arial"/>
          <w:lang w:val="en-US" w:eastAsia="zh-CN"/>
        </w:rPr>
        <w:t xml:space="preserve"> is provided for the HARQ-ACK codebook and </w:t>
      </w:r>
      <w:r w:rsidR="00035D7E" w:rsidRPr="00111FF6">
        <w:rPr>
          <w:lang w:val="en-US"/>
        </w:rPr>
        <w:t xml:space="preserve">slot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0,k</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D</m:t>
            </m:r>
          </m:sub>
        </m:sSub>
      </m:oMath>
      <w:r w:rsidR="00035D7E" w:rsidRPr="00111FF6">
        <w:rPr>
          <w:lang w:val="en-US" w:eastAsia="zh-CN"/>
        </w:rPr>
        <w:t xml:space="preserve"> overlaps with UL slot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U</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1,k-1</m:t>
            </m:r>
          </m:sub>
        </m:sSub>
      </m:oMath>
      <w:r w:rsidR="00035D7E" w:rsidRPr="00111FF6">
        <w:rPr>
          <w:lang w:val="en-US" w:eastAsia="zh-CN"/>
        </w:rPr>
        <w:t xml:space="preserve">, </w:t>
      </w:r>
      <m:oMath>
        <m:r>
          <w:rPr>
            <w:rFonts w:ascii="Cambria Math" w:hAnsi="Cambria Math"/>
            <w:lang w:val="en-US" w:eastAsia="zh-CN"/>
          </w:rPr>
          <m:t>k&gt;0</m:t>
        </m:r>
      </m:oMath>
      <w:r w:rsidR="00035D7E" w:rsidRPr="00111FF6">
        <w:rPr>
          <w:rFonts w:cs="Arial"/>
          <w:lang w:val="en-US" w:eastAsia="zh-CN"/>
        </w:rPr>
        <w:t>,</w:t>
      </w:r>
    </w:p>
    <w:p w14:paraId="797FB6AC" w14:textId="77777777" w:rsidR="00095BC2" w:rsidRPr="00B27E56" w:rsidRDefault="00000000" w:rsidP="00095BC2">
      <w:pPr>
        <w:pStyle w:val="B4"/>
      </w:pPr>
      <m:oMath>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+1</m:t>
        </m:r>
      </m:oMath>
      <w:r w:rsidR="00095BC2" w:rsidRPr="00B27E56">
        <w:t xml:space="preserve">; </w:t>
      </w:r>
    </w:p>
    <w:p w14:paraId="338FEAAF" w14:textId="77777777" w:rsidR="00095BC2" w:rsidRPr="00B27E56" w:rsidRDefault="00095BC2" w:rsidP="00095BC2">
      <w:pPr>
        <w:pStyle w:val="B3"/>
        <w:rPr>
          <w:lang w:val="en-US"/>
        </w:rPr>
      </w:pPr>
      <w:r w:rsidRPr="00B27E56">
        <w:rPr>
          <w:lang w:val="en-US"/>
        </w:rPr>
        <w:t xml:space="preserve">else </w:t>
      </w:r>
    </w:p>
    <w:p w14:paraId="332AFB57" w14:textId="6A2B0FE9" w:rsidR="00095BC2" w:rsidRPr="00B27E56" w:rsidRDefault="00095BC2" w:rsidP="00095BC2">
      <w:pPr>
        <w:pStyle w:val="B4"/>
        <w:rPr>
          <w:lang w:eastAsia="zh-CN"/>
        </w:rPr>
      </w:pPr>
      <w:r w:rsidRPr="00B27E56">
        <w:t xml:space="preserve">while </w:t>
      </w:r>
      <m:oMath>
        <m:r>
          <w:rPr>
            <w:rFonts w:ascii="Cambria Math" w:hAnsi="Cambria Math"/>
          </w:rPr>
          <m:t>r&lt;</m:t>
        </m:r>
        <m:r>
          <m:rPr>
            <m:nor/>
          </m:rPr>
          <w:rPr>
            <w:rFonts w:ascii="Freestyle Script" w:hAnsi="Freestyle Script"/>
          </w:rPr>
          <m:t>C</m:t>
        </m:r>
        <m:d>
          <m:dPr>
            <m:ctrlPr>
              <w:rPr>
                <w:rFonts w:ascii="Cambria Math" w:hAnsi="Cambria Math" w:cs="Helvetica"/>
                <w:i/>
              </w:rPr>
            </m:ctrlPr>
          </m:dPr>
          <m:e>
            <m:r>
              <w:rPr>
                <w:rFonts w:ascii="Cambria Math" w:hAnsi="Cambria Math"/>
              </w:rPr>
              <m:t>R</m:t>
            </m:r>
          </m:e>
        </m:d>
      </m:oMath>
    </w:p>
    <w:p w14:paraId="12F90230" w14:textId="256ADFA3" w:rsidR="00095BC2" w:rsidRPr="00B27E56" w:rsidRDefault="00095BC2" w:rsidP="00095BC2">
      <w:pPr>
        <w:pStyle w:val="B5"/>
        <w:ind w:left="1418" w:hanging="1"/>
        <w:rPr>
          <w:lang w:eastAsia="zh-CN"/>
        </w:rPr>
      </w:pPr>
      <w:r w:rsidRPr="00B27E56">
        <w:rPr>
          <w:lang w:eastAsia="zh-CN"/>
        </w:rPr>
        <w:t xml:space="preserve">if the UE </w:t>
      </w:r>
      <w:r>
        <w:rPr>
          <w:lang w:eastAsia="zh-CN"/>
        </w:rPr>
        <w:t xml:space="preserve">is not provided </w:t>
      </w:r>
      <w:r w:rsidR="008602F3">
        <w:rPr>
          <w:i/>
          <w:iCs/>
          <w:lang w:eastAsia="zh-CN"/>
        </w:rPr>
        <w:t>t</w:t>
      </w:r>
      <w:r w:rsidR="008602F3" w:rsidRPr="00B27E56">
        <w:rPr>
          <w:i/>
          <w:iCs/>
          <w:lang w:eastAsia="zh-CN"/>
        </w:rPr>
        <w:t>imeDomainHARQ</w:t>
      </w:r>
      <w:r w:rsidRPr="00B27E56">
        <w:rPr>
          <w:i/>
          <w:iCs/>
          <w:lang w:eastAsia="zh-CN"/>
        </w:rPr>
        <w:t>-Bundling</w:t>
      </w:r>
      <w:r w:rsidR="008602F3">
        <w:rPr>
          <w:i/>
          <w:iCs/>
          <w:lang w:eastAsia="zh-CN"/>
        </w:rPr>
        <w:t>Type1</w:t>
      </w:r>
      <w:r w:rsidRPr="00B27E56">
        <w:rPr>
          <w:lang w:eastAsia="zh-CN"/>
        </w:rPr>
        <w:t xml:space="preserve"> </w:t>
      </w:r>
      <w:r>
        <w:rPr>
          <w:lang w:eastAsia="zh-CN"/>
        </w:rPr>
        <w:t xml:space="preserve">and </w:t>
      </w:r>
      <w:r w:rsidRPr="00B27E56">
        <w:rPr>
          <w:lang w:eastAsia="zh-CN"/>
        </w:rPr>
        <w:t xml:space="preserve">is provided </w:t>
      </w:r>
      <w:r w:rsidRPr="00B27E56">
        <w:rPr>
          <w:i/>
          <w:lang w:val="en-US"/>
        </w:rPr>
        <w:t>tdd-</w:t>
      </w:r>
      <w:r w:rsidRPr="00B27E56">
        <w:rPr>
          <w:i/>
        </w:rPr>
        <w:t>UL-DL-</w:t>
      </w:r>
      <w:r w:rsidRPr="00B27E56">
        <w:rPr>
          <w:i/>
          <w:lang w:val="en-US"/>
        </w:rPr>
        <w:t>ConfigurationCommon</w:t>
      </w:r>
      <w:r w:rsidRPr="00B27E56">
        <w:t xml:space="preserve">, </w:t>
      </w:r>
      <w:r w:rsidRPr="00B27E56">
        <w:rPr>
          <w:lang w:eastAsia="zh-CN"/>
        </w:rPr>
        <w:t>or</w:t>
      </w:r>
      <w:r w:rsidRPr="00B27E56">
        <w:t xml:space="preserve"> </w:t>
      </w:r>
      <w:r w:rsidRPr="00B27E56">
        <w:rPr>
          <w:i/>
          <w:lang w:val="en-US"/>
        </w:rPr>
        <w:t>tdd-</w:t>
      </w:r>
      <w:r w:rsidRPr="00B27E56">
        <w:rPr>
          <w:i/>
        </w:rPr>
        <w:t>UL-DL-</w:t>
      </w:r>
      <w:r w:rsidRPr="00B27E56">
        <w:rPr>
          <w:i/>
          <w:lang w:val="en-US"/>
        </w:rPr>
        <w:t>C</w:t>
      </w:r>
      <w:r w:rsidRPr="00B27E56">
        <w:rPr>
          <w:i/>
        </w:rPr>
        <w:t>onfiguration</w:t>
      </w:r>
      <w:r w:rsidRPr="00B27E56">
        <w:rPr>
          <w:i/>
          <w:lang w:val="en-US"/>
        </w:rPr>
        <w:t>D</w:t>
      </w:r>
      <w:r w:rsidRPr="00B27E56">
        <w:rPr>
          <w:i/>
        </w:rPr>
        <w:t>edicated</w:t>
      </w:r>
      <w:r w:rsidRPr="00B27E56">
        <w:rPr>
          <w:lang w:eastAsia="zh-CN"/>
        </w:rPr>
        <w:t xml:space="preserve"> and</w:t>
      </w:r>
      <w:r w:rsidRPr="00B27E56">
        <w:rPr>
          <w:lang w:val="en-US" w:eastAsia="zh-CN"/>
        </w:rPr>
        <w:t>,</w:t>
      </w:r>
      <w:r w:rsidRPr="00B27E56">
        <w:rPr>
          <w:lang w:eastAsia="zh-CN"/>
        </w:rPr>
        <w:t xml:space="preserve"> for each slot </w:t>
      </w:r>
      <w:r w:rsidRPr="00B27E56">
        <w:rPr>
          <w:lang w:val="en-US" w:eastAsia="zh-CN"/>
        </w:rPr>
        <w:t xml:space="preserve">from slot </w:t>
      </w:r>
      <m:oMath>
        <m:sSub>
          <m:sSubPr>
            <m:ctrlPr>
              <w:rPr>
                <w:rFonts w:ascii="Cambria Math" w:eastAsia="DengXian" w:hAnsi="Cambria Math"/>
                <w:i/>
              </w:rPr>
            </m:ctrlPr>
          </m:sSubPr>
          <m:e>
            <m:r>
              <w:rPr>
                <w:rFonts w:ascii="Cambria Math" w:eastAsia="DengXian" w:hAnsi="Cambria Math"/>
              </w:rPr>
              <m:t>n</m:t>
            </m:r>
          </m:e>
          <m:sub>
            <m:r>
              <w:rPr>
                <w:rFonts w:ascii="Cambria Math" w:eastAsia="DengXian" w:hAnsi="Cambria Math"/>
              </w:rPr>
              <m:t>0,k</m:t>
            </m:r>
          </m:sub>
        </m:sSub>
        <m:r>
          <w:rPr>
            <w:rFonts w:ascii="Cambria Math" w:eastAsia="DengXian" w:hAnsi="Cambria Math"/>
          </w:rPr>
          <m:t>+</m:t>
        </m:r>
        <m:sSub>
          <m:sSubPr>
            <m:ctrlPr>
              <w:rPr>
                <w:rFonts w:ascii="Cambria Math" w:eastAsia="DengXian" w:hAnsi="Cambria Math"/>
                <w:i/>
              </w:rPr>
            </m:ctrlPr>
          </m:sSubPr>
          <m:e>
            <m:r>
              <w:rPr>
                <w:rFonts w:ascii="Cambria Math" w:eastAsia="DengXian" w:hAnsi="Cambria Math"/>
              </w:rPr>
              <m:t>n</m:t>
            </m:r>
          </m:e>
          <m:sub>
            <m:r>
              <w:rPr>
                <w:rFonts w:ascii="Cambria Math" w:eastAsia="DengXian" w:hAnsi="Cambria Math"/>
              </w:rPr>
              <m:t>D</m:t>
            </m:r>
          </m:sub>
        </m:sSub>
        <m:r>
          <w:rPr>
            <w:rFonts w:ascii="Cambria Math" w:eastAsia="DengXian" w:hAnsi="Cambria Math"/>
          </w:rPr>
          <m:t>-</m:t>
        </m:r>
        <m:sSubSup>
          <m:sSubSupPr>
            <m:ctrlPr>
              <w:rPr>
                <w:rFonts w:ascii="Cambria Math" w:eastAsia="DengXian" w:hAnsi="Cambria Math"/>
                <w:i/>
              </w:rPr>
            </m:ctrlPr>
          </m:sSubSupPr>
          <m:e>
            <m:r>
              <w:rPr>
                <w:rFonts w:ascii="Cambria Math" w:eastAsia="DengXian" w:hAnsi="Cambria Math"/>
              </w:rPr>
              <m:t>N</m:t>
            </m:r>
          </m:e>
          <m:sub>
            <m:r>
              <w:rPr>
                <w:rFonts w:ascii="Cambria Math" w:eastAsia="DengXian" w:hAnsi="Cambria Math"/>
              </w:rPr>
              <m:t>PDSCH</m:t>
            </m:r>
          </m:sub>
          <m:sup>
            <m:r>
              <w:rPr>
                <w:rFonts w:ascii="Cambria Math" w:eastAsia="DengXian" w:hAnsi="Cambria Math"/>
              </w:rPr>
              <m:t>repeat,max</m:t>
            </m:r>
          </m:sup>
        </m:sSubSup>
        <m:r>
          <w:rPr>
            <w:rFonts w:ascii="Cambria Math" w:eastAsia="DengXian" w:hAnsi="Cambria Math"/>
          </w:rPr>
          <m:t>+1</m:t>
        </m:r>
      </m:oMath>
      <w:r w:rsidRPr="00B27E56">
        <w:rPr>
          <w:rFonts w:eastAsia="DengXian" w:hint="eastAsia"/>
        </w:rPr>
        <w:t xml:space="preserve"> </w:t>
      </w:r>
      <w:r w:rsidRPr="00B27E56">
        <w:rPr>
          <w:rFonts w:hint="eastAsia"/>
          <w:lang w:eastAsia="zh-CN"/>
        </w:rPr>
        <w:t xml:space="preserve">to slot </w:t>
      </w:r>
      <m:oMath>
        <m:sSub>
          <m:sSubPr>
            <m:ctrlPr>
              <w:rPr>
                <w:rFonts w:ascii="Cambria Math" w:eastAsia="DengXian" w:hAnsi="Cambria Math"/>
                <w:i/>
              </w:rPr>
            </m:ctrlPr>
          </m:sSubPr>
          <m:e>
            <m:r>
              <w:rPr>
                <w:rFonts w:ascii="Cambria Math" w:eastAsia="DengXian" w:hAnsi="Cambria Math"/>
              </w:rPr>
              <m:t>n</m:t>
            </m:r>
          </m:e>
          <m:sub>
            <m:r>
              <w:rPr>
                <w:rFonts w:ascii="Cambria Math" w:eastAsia="DengXian" w:hAnsi="Cambria Math"/>
              </w:rPr>
              <m:t>0,k</m:t>
            </m:r>
          </m:sub>
        </m:sSub>
        <m:r>
          <w:rPr>
            <w:rFonts w:ascii="Cambria Math" w:eastAsia="DengXian" w:hAnsi="Cambria Math"/>
          </w:rPr>
          <m:t>+</m:t>
        </m:r>
        <m:sSub>
          <m:sSubPr>
            <m:ctrlPr>
              <w:rPr>
                <w:rFonts w:ascii="Cambria Math" w:eastAsia="DengXian" w:hAnsi="Cambria Math"/>
                <w:i/>
              </w:rPr>
            </m:ctrlPr>
          </m:sSubPr>
          <m:e>
            <m:r>
              <w:rPr>
                <w:rFonts w:ascii="Cambria Math" w:eastAsia="DengXian" w:hAnsi="Cambria Math"/>
              </w:rPr>
              <m:t>n</m:t>
            </m:r>
          </m:e>
          <m:sub>
            <m:r>
              <w:rPr>
                <w:rFonts w:ascii="Cambria Math" w:eastAsia="DengXian" w:hAnsi="Cambria Math"/>
              </w:rPr>
              <m:t>D</m:t>
            </m:r>
          </m:sub>
        </m:sSub>
      </m:oMath>
      <w:r w:rsidRPr="00B27E56">
        <w:rPr>
          <w:rFonts w:hint="eastAsia"/>
          <w:lang w:eastAsia="zh-CN"/>
        </w:rPr>
        <w:t>,</w:t>
      </w:r>
      <w:r w:rsidRPr="00B27E56">
        <w:rPr>
          <w:lang w:eastAsia="zh-CN"/>
        </w:rPr>
        <w:t xml:space="preserve"> </w:t>
      </w:r>
      <w:r w:rsidRPr="00B27E56">
        <w:rPr>
          <w:rFonts w:hint="eastAsia"/>
          <w:lang w:eastAsia="zh-CN"/>
        </w:rPr>
        <w:t xml:space="preserve">at least one symbol of the PDSCH time resource derived by row </w:t>
      </w:r>
      <m:oMath>
        <m:r>
          <w:rPr>
            <w:rFonts w:ascii="Cambria Math" w:hAnsi="Cambria Math"/>
            <w:lang w:eastAsia="zh-CN"/>
          </w:rPr>
          <m:t>r</m:t>
        </m:r>
      </m:oMath>
      <w:r w:rsidRPr="00B27E56">
        <w:t xml:space="preserve"> </w:t>
      </w:r>
      <w:r w:rsidRPr="00B27E56">
        <w:rPr>
          <w:rFonts w:hint="eastAsia"/>
          <w:lang w:eastAsia="zh-CN"/>
        </w:rPr>
        <w:t>is configured as UL</w:t>
      </w:r>
      <w:r w:rsidR="00012B06">
        <w:rPr>
          <w:lang w:eastAsia="zh-CN"/>
        </w:rPr>
        <w:t xml:space="preserve"> </w:t>
      </w:r>
      <w:r w:rsidR="00012B06" w:rsidRPr="00F210EC">
        <w:t xml:space="preserve">by </w:t>
      </w:r>
      <w:r w:rsidR="00012B06">
        <w:rPr>
          <w:i/>
          <w:lang w:val="en-US"/>
        </w:rPr>
        <w:t>tdd</w:t>
      </w:r>
      <w:r w:rsidR="00012B06" w:rsidRPr="00293E39">
        <w:rPr>
          <w:i/>
          <w:lang w:val="en-US"/>
        </w:rPr>
        <w:t>-</w:t>
      </w:r>
      <w:r w:rsidR="00012B06" w:rsidRPr="00494A77">
        <w:rPr>
          <w:i/>
        </w:rPr>
        <w:t>UL-DL-</w:t>
      </w:r>
      <w:r w:rsidR="00012B06">
        <w:rPr>
          <w:i/>
          <w:lang w:val="en-US"/>
        </w:rPr>
        <w:t>C</w:t>
      </w:r>
      <w:r w:rsidR="00012B06" w:rsidRPr="00494A77">
        <w:rPr>
          <w:i/>
        </w:rPr>
        <w:t>onfiguration</w:t>
      </w:r>
      <w:r w:rsidR="00012B06">
        <w:rPr>
          <w:i/>
          <w:lang w:val="en-US"/>
        </w:rPr>
        <w:t>C</w:t>
      </w:r>
      <w:r w:rsidR="00012B06" w:rsidRPr="00494A77">
        <w:rPr>
          <w:i/>
        </w:rPr>
        <w:t>ommon</w:t>
      </w:r>
      <w:r w:rsidR="00012B06" w:rsidRPr="00494A77">
        <w:t xml:space="preserve"> </w:t>
      </w:r>
      <w:r w:rsidR="00012B06" w:rsidRPr="0080392F">
        <w:t xml:space="preserve">or </w:t>
      </w:r>
      <w:r w:rsidR="00012B06">
        <w:rPr>
          <w:i/>
          <w:lang w:val="en-US"/>
        </w:rPr>
        <w:t>tdd</w:t>
      </w:r>
      <w:r w:rsidR="00012B06" w:rsidRPr="0023005A">
        <w:rPr>
          <w:i/>
          <w:lang w:val="en-US"/>
        </w:rPr>
        <w:t>-</w:t>
      </w:r>
      <w:r w:rsidR="00012B06" w:rsidRPr="0080392F">
        <w:rPr>
          <w:i/>
        </w:rPr>
        <w:t>UL-DL-</w:t>
      </w:r>
      <w:r w:rsidR="00012B06">
        <w:rPr>
          <w:i/>
          <w:lang w:val="en-US"/>
        </w:rPr>
        <w:t>C</w:t>
      </w:r>
      <w:r w:rsidR="00012B06" w:rsidRPr="0080392F">
        <w:rPr>
          <w:i/>
        </w:rPr>
        <w:t>onfig</w:t>
      </w:r>
      <w:r w:rsidR="00012B06">
        <w:rPr>
          <w:i/>
        </w:rPr>
        <w:t>uration</w:t>
      </w:r>
      <w:r w:rsidR="00012B06">
        <w:rPr>
          <w:i/>
          <w:lang w:val="en-US"/>
        </w:rPr>
        <w:t>D</w:t>
      </w:r>
      <w:r w:rsidR="00012B06" w:rsidRPr="0080392F">
        <w:rPr>
          <w:i/>
        </w:rPr>
        <w:t>edicated</w:t>
      </w:r>
      <w:r w:rsidRPr="00B27E56">
        <w:rPr>
          <w:rFonts w:hint="eastAsia"/>
          <w:i/>
          <w:lang w:eastAsia="zh-CN"/>
        </w:rPr>
        <w:t xml:space="preserve"> </w:t>
      </w:r>
      <w:r w:rsidRPr="00B27E56">
        <w:rPr>
          <w:rFonts w:hint="eastAsia"/>
          <w:lang w:eastAsia="zh-CN"/>
        </w:rPr>
        <w:t>where</w:t>
      </w:r>
      <w:r w:rsidRPr="00B27E56">
        <w:rPr>
          <w:lang w:eastAsia="zh-CN"/>
        </w:rPr>
        <w:t xml:space="preserve"> </w:t>
      </w:r>
      <m:oMath>
        <m:sSub>
          <m:sSubPr>
            <m:ctrlPr>
              <w:rPr>
                <w:rFonts w:ascii="Cambria Math" w:eastAsia="DengXian" w:hAnsi="Cambria Math"/>
                <w:i/>
              </w:rPr>
            </m:ctrlPr>
          </m:sSubPr>
          <m:e>
            <m:r>
              <w:rPr>
                <w:rFonts w:ascii="Cambria Math" w:eastAsia="DengXian" w:hAnsi="Cambria Math"/>
              </w:rPr>
              <m:t>K</m:t>
            </m:r>
          </m:e>
          <m:sub>
            <m:r>
              <w:rPr>
                <w:rFonts w:ascii="Cambria Math" w:eastAsia="DengXian" w:hAnsi="Cambria Math"/>
              </w:rPr>
              <m:t>1,k</m:t>
            </m:r>
          </m:sub>
        </m:sSub>
      </m:oMath>
      <w:r w:rsidRPr="00B27E56">
        <w:rPr>
          <w:rFonts w:hint="eastAsia"/>
          <w:lang w:eastAsia="zh-CN"/>
        </w:rPr>
        <w:t xml:space="preserve"> is the</w:t>
      </w:r>
      <w:r w:rsidRPr="00B27E56">
        <w:rPr>
          <w:rFonts w:hint="eastAsia"/>
          <w:i/>
          <w:lang w:eastAsia="zh-CN"/>
        </w:rPr>
        <w:t xml:space="preserve"> k</w:t>
      </w:r>
      <w:r w:rsidRPr="00B27E56">
        <w:rPr>
          <w:rFonts w:hint="eastAsia"/>
          <w:lang w:eastAsia="zh-CN"/>
        </w:rPr>
        <w:t xml:space="preserve">-th slot timing value in set </w:t>
      </w:r>
      <m:oMath>
        <m:sSub>
          <m:sSubPr>
            <m:ctrlPr>
              <w:rPr>
                <w:rFonts w:ascii="Cambria Math" w:eastAsia="DengXian" w:hAnsi="Cambria Math"/>
                <w:i/>
              </w:rPr>
            </m:ctrlPr>
          </m:sSubPr>
          <m:e>
            <m:r>
              <w:rPr>
                <w:rFonts w:ascii="Cambria Math" w:eastAsia="DengXian" w:hAnsi="Cambria Math"/>
              </w:rPr>
              <m:t>K</m:t>
            </m:r>
          </m:e>
          <m:sub>
            <m:r>
              <w:rPr>
                <w:rFonts w:ascii="Cambria Math" w:eastAsia="DengXian" w:hAnsi="Cambria Math"/>
              </w:rPr>
              <m:t>1</m:t>
            </m:r>
          </m:sub>
        </m:sSub>
      </m:oMath>
      <w:r w:rsidRPr="00B27E56">
        <w:rPr>
          <w:rFonts w:hint="eastAsia"/>
          <w:lang w:eastAsia="zh-CN"/>
        </w:rPr>
        <w:t>,</w:t>
      </w:r>
      <w:r w:rsidRPr="00B27E56">
        <w:rPr>
          <w:lang w:eastAsia="zh-CN"/>
        </w:rPr>
        <w:t xml:space="preserve"> </w:t>
      </w:r>
      <w:r w:rsidR="00DC4816" w:rsidRPr="00111FF6">
        <w:rPr>
          <w:lang w:eastAsia="zh-CN"/>
        </w:rPr>
        <w:t xml:space="preserve">where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0,k</m:t>
            </m:r>
          </m:sub>
        </m:sSub>
      </m:oMath>
      <w:r w:rsidR="00DC4816" w:rsidRPr="00111FF6">
        <w:rPr>
          <w:lang w:val="en-US" w:eastAsia="zh-CN"/>
        </w:rPr>
        <w:t xml:space="preserve"> is a DL slot with a smallest index among DL slots overlapping with UL slot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U</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1,k</m:t>
            </m:r>
          </m:sub>
        </m:sSub>
      </m:oMath>
      <w:r w:rsidR="00DC4816" w:rsidRPr="00111FF6">
        <w:rPr>
          <w:lang w:val="en-US" w:eastAsia="zh-CN"/>
        </w:rPr>
        <w:t xml:space="preserve">, or </w:t>
      </w:r>
      <w:r w:rsidR="00DC4816" w:rsidRPr="00111FF6">
        <w:rPr>
          <w:rFonts w:cs="Arial"/>
          <w:i/>
          <w:iCs/>
          <w:lang w:eastAsia="zh-CN"/>
        </w:rPr>
        <w:t>subslotLengthForPUCCH</w:t>
      </w:r>
      <w:r w:rsidR="00DC4816" w:rsidRPr="00111FF6">
        <w:rPr>
          <w:rFonts w:cs="Arial"/>
          <w:lang w:val="en-US" w:eastAsia="zh-CN"/>
        </w:rPr>
        <w:t xml:space="preserve"> is provided for the HARQ-ACK codebook and the end of the PDSCH time resource for row</w:t>
      </w:r>
      <w:r w:rsidR="00DC4816" w:rsidRPr="00111FF6">
        <w:rPr>
          <w:rFonts w:ascii="Cambria Math" w:hAnsi="Cambria Math"/>
          <w:i/>
          <w:lang w:val="en-US" w:eastAsia="zh-CN"/>
        </w:rPr>
        <w:t xml:space="preserve"> </w:t>
      </w:r>
      <m:oMath>
        <m:r>
          <w:rPr>
            <w:rFonts w:ascii="Cambria Math" w:hAnsi="Cambria Math"/>
            <w:lang w:val="en-US" w:eastAsia="zh-CN"/>
          </w:rPr>
          <m:t>r</m:t>
        </m:r>
      </m:oMath>
      <w:r w:rsidR="00DC4816" w:rsidRPr="00111FF6">
        <w:rPr>
          <w:rFonts w:cs="Arial"/>
          <w:lang w:val="en-US" w:eastAsia="zh-CN"/>
        </w:rPr>
        <w:t xml:space="preserve"> is not within any UL slot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U</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1,l</m:t>
            </m:r>
          </m:sub>
        </m:sSub>
      </m:oMath>
      <w:r w:rsidR="00DC4816" w:rsidRPr="00111FF6">
        <w:rPr>
          <w:rFonts w:cs="Arial"/>
          <w:lang w:val="en-US" w:eastAsia="zh-CN"/>
        </w:rPr>
        <w:t xml:space="preserve">, </w:t>
      </w:r>
      <m:oMath>
        <m:r>
          <w:rPr>
            <w:rFonts w:ascii="Cambria Math" w:hAnsi="Cambria Math"/>
            <w:lang w:val="en-US" w:eastAsia="zh-CN"/>
          </w:rPr>
          <m:t>0≤l&lt;</m:t>
        </m:r>
        <m:r>
          <m:rPr>
            <m:nor/>
          </m:rPr>
          <w:rPr>
            <w:rFonts w:ascii="Freestyle Script" w:hAnsi="Freestyle Script"/>
          </w:rPr>
          <m:t>C</m:t>
        </m:r>
        <m:d>
          <m:dPr>
            <m:ctrlPr>
              <w:rPr>
                <w:rFonts w:ascii="Cambria Math" w:hAnsi="Cambria Math" w:cs="Helvetica"/>
                <w:i/>
              </w:rPr>
            </m:ctrlPr>
          </m:dPr>
          <m:e>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1</m:t>
                </m:r>
              </m:sub>
            </m:sSub>
          </m:e>
        </m:d>
        <m:r>
          <w:rPr>
            <w:rFonts w:ascii="Cambria Math" w:hAnsi="Cambria Math" w:cs="Helvetica"/>
          </w:rPr>
          <m:t xml:space="preserve"> </m:t>
        </m:r>
      </m:oMath>
      <w:r w:rsidRPr="00B27E56">
        <w:rPr>
          <w:lang w:eastAsia="zh-CN"/>
        </w:rPr>
        <w:t xml:space="preserve">or if </w:t>
      </w:r>
      <w:r w:rsidR="008602F3">
        <w:rPr>
          <w:i/>
          <w:iCs/>
          <w:lang w:val="en-US"/>
        </w:rPr>
        <w:t>pdsch</w:t>
      </w:r>
      <w:r w:rsidR="003D4D76" w:rsidRPr="001113E3">
        <w:rPr>
          <w:i/>
          <w:iCs/>
          <w:lang w:val="en-US"/>
        </w:rPr>
        <w:t>-TimeDomainAllocationListForMultiPDSCH</w:t>
      </w:r>
      <w:r w:rsidR="003D4D76" w:rsidRPr="00CD71B9">
        <w:rPr>
          <w:lang w:val="en-US"/>
        </w:rPr>
        <w:t xml:space="preserve"> is provided </w:t>
      </w:r>
      <w:r w:rsidR="003D4D76">
        <w:rPr>
          <w:lang w:val="en-US"/>
        </w:rPr>
        <w:t>and</w:t>
      </w:r>
      <w:r w:rsidR="003D4D76" w:rsidRPr="00B27E56">
        <w:rPr>
          <w:lang w:eastAsia="zh-CN"/>
        </w:rPr>
        <w:t xml:space="preserve"> </w:t>
      </w:r>
      <w:r w:rsidRPr="00B27E56">
        <w:rPr>
          <w:lang w:eastAsia="zh-CN"/>
        </w:rPr>
        <w:t xml:space="preserve">HARQ-ACK information for PDSCH </w:t>
      </w:r>
      <w:r w:rsidRPr="00B27E56">
        <w:rPr>
          <w:rFonts w:hint="eastAsia"/>
          <w:lang w:eastAsia="zh-CN"/>
        </w:rPr>
        <w:t xml:space="preserve">time resource derived by row </w:t>
      </w:r>
      <m:oMath>
        <m:r>
          <w:rPr>
            <w:rFonts w:ascii="Cambria Math" w:hAnsi="Cambria Math"/>
          </w:rPr>
          <m:t>r</m:t>
        </m:r>
      </m:oMath>
      <w:r w:rsidRPr="00B27E56">
        <w:t xml:space="preserve"> in slot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0,k</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D</m:t>
            </m:r>
          </m:sub>
        </m:sSub>
      </m:oMath>
      <w:r w:rsidRPr="00B27E56">
        <w:rPr>
          <w:lang w:eastAsia="zh-CN"/>
        </w:rPr>
        <w:t xml:space="preserve"> cannot be provided in slot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U</m:t>
            </m:r>
          </m:sub>
        </m:sSub>
      </m:oMath>
      <w:r w:rsidRPr="00B27E56">
        <w:rPr>
          <w:rFonts w:hint="eastAsia"/>
          <w:lang w:eastAsia="zh-CN"/>
        </w:rPr>
        <w:t xml:space="preserve"> </w:t>
      </w:r>
    </w:p>
    <w:p w14:paraId="75D5AD26" w14:textId="66AC16A6" w:rsidR="00095BC2" w:rsidRPr="00B27E56" w:rsidRDefault="00095BC2" w:rsidP="00095BC2">
      <w:pPr>
        <w:pStyle w:val="B5"/>
        <w:ind w:firstLine="3"/>
        <w:rPr>
          <w:lang w:eastAsia="zh-CN"/>
        </w:rPr>
      </w:pPr>
      <m:oMath>
        <m:r>
          <w:rPr>
            <w:rFonts w:ascii="Cambria Math" w:hAnsi="Cambria Math"/>
          </w:rPr>
          <m:t>R</m:t>
        </m:r>
        <m:r>
          <w:rPr>
            <w:rFonts w:ascii="Cambria Math" w:hAnsi="Cambria Math"/>
            <w:noProof/>
          </w:rPr>
          <m:t>=R\r</m:t>
        </m:r>
      </m:oMath>
      <w:r w:rsidRPr="00B27E56">
        <w:t>;</w:t>
      </w:r>
    </w:p>
    <w:p w14:paraId="2160701C" w14:textId="7373E130" w:rsidR="00095BC2" w:rsidRPr="00B27E56" w:rsidRDefault="00095BC2" w:rsidP="00095BC2">
      <w:pPr>
        <w:pStyle w:val="B5"/>
        <w:ind w:left="1421" w:firstLine="0"/>
        <w:rPr>
          <w:lang w:eastAsia="zh-CN"/>
        </w:rPr>
      </w:pPr>
      <w:r>
        <w:rPr>
          <w:lang w:val="en-US" w:eastAsia="zh-CN"/>
        </w:rPr>
        <w:t xml:space="preserve">elseif </w:t>
      </w:r>
      <w:r>
        <w:rPr>
          <w:lang w:eastAsia="zh-CN"/>
        </w:rPr>
        <w:t xml:space="preserve">the UE is provided </w:t>
      </w:r>
      <w:r w:rsidR="008602F3">
        <w:rPr>
          <w:i/>
          <w:iCs/>
          <w:lang w:eastAsia="zh-CN"/>
        </w:rPr>
        <w:t>t</w:t>
      </w:r>
      <w:r w:rsidR="008602F3" w:rsidRPr="00B27E56">
        <w:rPr>
          <w:i/>
          <w:iCs/>
          <w:lang w:eastAsia="zh-CN"/>
        </w:rPr>
        <w:t>imeDomainHARQ</w:t>
      </w:r>
      <w:r w:rsidRPr="00B27E56">
        <w:rPr>
          <w:i/>
          <w:iCs/>
          <w:lang w:eastAsia="zh-CN"/>
        </w:rPr>
        <w:t>-Bundling</w:t>
      </w:r>
      <w:r w:rsidR="008602F3">
        <w:rPr>
          <w:i/>
          <w:iCs/>
          <w:lang w:eastAsia="zh-CN"/>
        </w:rPr>
        <w:t>Type1</w:t>
      </w:r>
      <w:r w:rsidRPr="00CF6D78">
        <w:rPr>
          <w:lang w:eastAsia="zh-CN"/>
        </w:rPr>
        <w:t xml:space="preserve"> </w:t>
      </w:r>
      <w:r>
        <w:rPr>
          <w:lang w:eastAsia="zh-CN"/>
        </w:rPr>
        <w:t xml:space="preserve">and </w:t>
      </w:r>
      <w:r w:rsidRPr="00B27E56">
        <w:rPr>
          <w:i/>
          <w:lang w:val="en-US"/>
        </w:rPr>
        <w:t>tdd-</w:t>
      </w:r>
      <w:r w:rsidRPr="00B27E56">
        <w:rPr>
          <w:i/>
        </w:rPr>
        <w:t>UL-DL-</w:t>
      </w:r>
      <w:r w:rsidRPr="00B27E56">
        <w:rPr>
          <w:i/>
          <w:lang w:val="en-US"/>
        </w:rPr>
        <w:t>ConfigurationCommon</w:t>
      </w:r>
      <w:r w:rsidRPr="00B27E56">
        <w:t xml:space="preserve">, </w:t>
      </w:r>
      <w:r w:rsidRPr="00B27E56">
        <w:rPr>
          <w:lang w:eastAsia="zh-CN"/>
        </w:rPr>
        <w:t>or</w:t>
      </w:r>
      <w:r w:rsidRPr="00B27E56">
        <w:t xml:space="preserve"> </w:t>
      </w:r>
      <w:r w:rsidRPr="00B27E56">
        <w:rPr>
          <w:i/>
          <w:lang w:val="en-US"/>
        </w:rPr>
        <w:t>tdd-</w:t>
      </w:r>
      <w:r w:rsidRPr="00B27E56">
        <w:rPr>
          <w:i/>
        </w:rPr>
        <w:t>UL-DL-</w:t>
      </w:r>
      <w:r w:rsidRPr="00B27E56">
        <w:rPr>
          <w:i/>
          <w:lang w:val="en-US"/>
        </w:rPr>
        <w:t>C</w:t>
      </w:r>
      <w:r w:rsidRPr="00B27E56">
        <w:rPr>
          <w:i/>
        </w:rPr>
        <w:t>onfiguration</w:t>
      </w:r>
      <w:r w:rsidRPr="00B27E56">
        <w:rPr>
          <w:i/>
          <w:lang w:val="en-US"/>
        </w:rPr>
        <w:t>D</w:t>
      </w:r>
      <w:r w:rsidRPr="00B27E56">
        <w:rPr>
          <w:i/>
        </w:rPr>
        <w:t>edicated</w:t>
      </w:r>
      <w:r w:rsidRPr="00B27E56">
        <w:rPr>
          <w:lang w:eastAsia="zh-CN"/>
        </w:rPr>
        <w:t xml:space="preserve"> and</w:t>
      </w:r>
      <w:r w:rsidRPr="00B27E56">
        <w:rPr>
          <w:lang w:val="en-US" w:eastAsia="zh-CN"/>
        </w:rPr>
        <w:t>,</w:t>
      </w:r>
      <w:r>
        <w:rPr>
          <w:lang w:val="en-US" w:eastAsia="zh-CN"/>
        </w:rPr>
        <w:t xml:space="preserve"> </w:t>
      </w:r>
      <w:r>
        <w:rPr>
          <w:lang w:eastAsia="zh-CN"/>
        </w:rPr>
        <w:t xml:space="preserve">for each slot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0,k</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D</m:t>
            </m:r>
          </m:sub>
        </m:sSub>
        <m:r>
          <w:rPr>
            <w:rFonts w:ascii="Cambria Math" w:hAnsi="Cambria Math"/>
            <w:lang w:val="en-US" w:eastAsia="zh-CN"/>
          </w:rPr>
          <m:t xml:space="preserve">- </m:t>
        </m:r>
        <m:r>
          <w:rPr>
            <w:rFonts w:ascii="Cambria Math" w:hAnsi="Cambria Math"/>
          </w:rPr>
          <m:t>∆</m:t>
        </m:r>
        <m:sSub>
          <m:sSubPr>
            <m:ctrlPr>
              <w:rPr>
                <w:rFonts w:ascii="Cambria Math" w:hAnsi="Cambria Math"/>
                <w:i/>
              </w:rPr>
            </m:ctrlPr>
          </m:sSubPr>
          <m:e>
            <m:r>
              <w:rPr>
                <w:rFonts w:ascii="Cambria Math" w:hAnsi="Cambria Math"/>
              </w:rPr>
              <m:t>K</m:t>
            </m:r>
          </m:e>
          <m:sub>
            <m:r>
              <m:rPr>
                <m:nor/>
              </m:rPr>
              <w:rPr>
                <w:rFonts w:ascii="Cambria Math"/>
              </w:rPr>
              <m:t>0,</m:t>
            </m:r>
            <m:r>
              <m:rPr>
                <m:nor/>
              </m:rPr>
              <w:rPr>
                <w:rFonts w:ascii="Cambria Math"/>
                <w:i/>
                <w:iCs/>
              </w:rPr>
              <m:t>r</m:t>
            </m:r>
            <m:ctrlPr>
              <w:rPr>
                <w:rFonts w:ascii="Cambria Math" w:hAnsi="Cambria Math"/>
              </w:rPr>
            </m:ctrlPr>
          </m:sub>
        </m:sSub>
        <m:r>
          <m:rPr>
            <m:sty m:val="p"/>
          </m:rPr>
          <w:rPr>
            <w:rFonts w:ascii="Cambria Math" w:hAnsi="Cambria Math" w:cs="Cambria Math"/>
            <w:lang w:eastAsia="zh-CN"/>
          </w:rPr>
          <m:t>(</m:t>
        </m:r>
        <m:r>
          <w:rPr>
            <w:rFonts w:ascii="Cambria Math" w:hAnsi="Cambria Math" w:cs="Cambria Math"/>
            <w:lang w:val="fr-FR" w:eastAsia="zh-CN"/>
          </w:rPr>
          <m:t>d</m:t>
        </m:r>
        <m:r>
          <m:rPr>
            <m:sty m:val="p"/>
          </m:rPr>
          <w:rPr>
            <w:rFonts w:ascii="Cambria Math" w:hAnsi="Cambria Math" w:cs="Cambria Math"/>
            <w:lang w:eastAsia="zh-CN"/>
          </w:rPr>
          <m:t>)</m:t>
        </m:r>
      </m:oMath>
      <w:r w:rsidRPr="00F63200">
        <w:rPr>
          <w:rFonts w:hint="eastAsia"/>
          <w:lang w:eastAsia="zh-CN"/>
        </w:rPr>
        <w:t>,</w:t>
      </w:r>
      <w:r w:rsidRPr="00F63200">
        <w:rPr>
          <w:lang w:eastAsia="zh-CN"/>
        </w:rPr>
        <w:t xml:space="preserve"> </w:t>
      </w:r>
      <w:r w:rsidRPr="00B27E56">
        <w:rPr>
          <w:rFonts w:hint="eastAsia"/>
          <w:lang w:eastAsia="zh-CN"/>
        </w:rPr>
        <w:t xml:space="preserve">at least one symbol of </w:t>
      </w:r>
      <w:r w:rsidR="001562AE">
        <w:rPr>
          <w:lang w:eastAsia="zh-CN"/>
        </w:rPr>
        <w:t>each</w:t>
      </w:r>
      <w:r w:rsidR="001562AE" w:rsidRPr="00B27E56">
        <w:rPr>
          <w:rFonts w:hint="eastAsia"/>
          <w:lang w:eastAsia="zh-CN"/>
        </w:rPr>
        <w:t xml:space="preserve"> </w:t>
      </w:r>
      <w:r w:rsidRPr="00B27E56">
        <w:rPr>
          <w:rFonts w:hint="eastAsia"/>
          <w:lang w:eastAsia="zh-CN"/>
        </w:rPr>
        <w:t xml:space="preserve">PDSCH time resource derived by row </w:t>
      </w:r>
      <m:oMath>
        <m:r>
          <w:rPr>
            <w:rFonts w:ascii="Cambria Math" w:hAnsi="Cambria Math"/>
          </w:rPr>
          <m:t>r</m:t>
        </m:r>
      </m:oMath>
      <w:r w:rsidRPr="00B27E56">
        <w:t xml:space="preserve"> </w:t>
      </w:r>
      <w:r w:rsidRPr="00EC3CDE">
        <w:rPr>
          <w:lang w:val="en-US" w:eastAsia="zh-CN"/>
        </w:rPr>
        <w:t>of set</w:t>
      </w:r>
      <w:r>
        <w:rPr>
          <w:lang w:val="en-US" w:eastAsia="zh-CN"/>
        </w:rPr>
        <w:t xml:space="preserve"> </w:t>
      </w:r>
      <m:oMath>
        <m:r>
          <w:rPr>
            <w:rFonts w:ascii="Cambria Math" w:hAnsi="Cambria Math"/>
          </w:rPr>
          <m:t>R'</m:t>
        </m:r>
      </m:oMath>
      <w:r w:rsidRPr="00EC3CDE">
        <w:rPr>
          <w:lang w:val="en-US" w:eastAsia="zh-CN"/>
        </w:rPr>
        <w:t xml:space="preserve"> </w:t>
      </w:r>
      <w:r w:rsidRPr="00EC3CDE">
        <w:rPr>
          <w:rFonts w:hint="eastAsia"/>
          <w:lang w:eastAsia="zh-CN"/>
        </w:rPr>
        <w:t>is</w:t>
      </w:r>
      <w:r w:rsidRPr="00B27E56">
        <w:rPr>
          <w:rFonts w:hint="eastAsia"/>
          <w:lang w:eastAsia="zh-CN"/>
        </w:rPr>
        <w:t xml:space="preserve"> configured as UL</w:t>
      </w:r>
      <w:r w:rsidR="00012B06">
        <w:rPr>
          <w:lang w:eastAsia="zh-CN"/>
        </w:rPr>
        <w:t xml:space="preserve"> </w:t>
      </w:r>
      <w:r w:rsidR="00012B06" w:rsidRPr="00F210EC">
        <w:t xml:space="preserve">by </w:t>
      </w:r>
      <w:r w:rsidR="00012B06">
        <w:rPr>
          <w:i/>
          <w:lang w:val="en-US"/>
        </w:rPr>
        <w:t>tdd</w:t>
      </w:r>
      <w:r w:rsidR="00012B06" w:rsidRPr="00293E39">
        <w:rPr>
          <w:i/>
          <w:lang w:val="en-US"/>
        </w:rPr>
        <w:t>-</w:t>
      </w:r>
      <w:r w:rsidR="00012B06" w:rsidRPr="00494A77">
        <w:rPr>
          <w:i/>
        </w:rPr>
        <w:t>UL-DL-</w:t>
      </w:r>
      <w:r w:rsidR="00012B06">
        <w:rPr>
          <w:i/>
          <w:lang w:val="en-US"/>
        </w:rPr>
        <w:t>C</w:t>
      </w:r>
      <w:r w:rsidR="00012B06" w:rsidRPr="00494A77">
        <w:rPr>
          <w:i/>
        </w:rPr>
        <w:t>onfiguration</w:t>
      </w:r>
      <w:r w:rsidR="00012B06">
        <w:rPr>
          <w:i/>
          <w:lang w:val="en-US"/>
        </w:rPr>
        <w:t>C</w:t>
      </w:r>
      <w:r w:rsidR="00012B06" w:rsidRPr="00494A77">
        <w:rPr>
          <w:i/>
        </w:rPr>
        <w:t>ommon</w:t>
      </w:r>
      <w:r w:rsidR="00012B06" w:rsidRPr="00494A77">
        <w:t xml:space="preserve"> </w:t>
      </w:r>
      <w:r w:rsidR="00012B06" w:rsidRPr="0080392F">
        <w:t xml:space="preserve">or </w:t>
      </w:r>
      <w:r w:rsidR="00012B06">
        <w:rPr>
          <w:i/>
          <w:lang w:val="en-US"/>
        </w:rPr>
        <w:t>tdd</w:t>
      </w:r>
      <w:r w:rsidR="00012B06" w:rsidRPr="0023005A">
        <w:rPr>
          <w:i/>
          <w:lang w:val="en-US"/>
        </w:rPr>
        <w:t>-</w:t>
      </w:r>
      <w:r w:rsidR="00012B06" w:rsidRPr="0080392F">
        <w:rPr>
          <w:i/>
        </w:rPr>
        <w:t>UL-DL-</w:t>
      </w:r>
      <w:r w:rsidR="00012B06">
        <w:rPr>
          <w:i/>
          <w:lang w:val="en-US"/>
        </w:rPr>
        <w:t>C</w:t>
      </w:r>
      <w:r w:rsidR="00012B06" w:rsidRPr="0080392F">
        <w:rPr>
          <w:i/>
        </w:rPr>
        <w:t>onfig</w:t>
      </w:r>
      <w:r w:rsidR="00012B06">
        <w:rPr>
          <w:i/>
        </w:rPr>
        <w:t>uration</w:t>
      </w:r>
      <w:r w:rsidR="00012B06">
        <w:rPr>
          <w:i/>
          <w:lang w:val="en-US"/>
        </w:rPr>
        <w:t>D</w:t>
      </w:r>
      <w:r w:rsidR="00012B06" w:rsidRPr="0080392F">
        <w:rPr>
          <w:i/>
        </w:rPr>
        <w:t>edicated</w:t>
      </w:r>
      <w:r w:rsidR="00012B06">
        <w:rPr>
          <w:lang w:eastAsia="zh-CN"/>
        </w:rPr>
        <w:t>,</w:t>
      </w:r>
      <w:r w:rsidR="00012B06" w:rsidRPr="008A2010">
        <w:rPr>
          <w:lang w:eastAsia="zh-CN"/>
        </w:rPr>
        <w:t xml:space="preserve"> </w:t>
      </w:r>
      <w:r w:rsidR="00012B06">
        <w:rPr>
          <w:lang w:eastAsia="zh-CN"/>
        </w:rPr>
        <w:t xml:space="preserve">and for each slot from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0,k</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D</m:t>
            </m:r>
          </m:sub>
        </m:sSub>
        <m:r>
          <w:rPr>
            <w:rFonts w:ascii="Cambria Math" w:hAnsi="Cambria Math"/>
            <w:lang w:val="en-US" w:eastAsia="zh-CN"/>
          </w:rPr>
          <m:t>-</m:t>
        </m:r>
        <m:sSubSup>
          <m:sSubSupPr>
            <m:ctrlPr>
              <w:rPr>
                <w:rFonts w:ascii="Cambria Math" w:eastAsiaTheme="minorEastAsia" w:hAnsi="Cambria Math"/>
                <w:i/>
                <w:lang w:eastAsia="ko-KR"/>
              </w:rPr>
            </m:ctrlPr>
          </m:sSubSupPr>
          <m:e>
            <m:r>
              <w:rPr>
                <w:rFonts w:ascii="Cambria Math" w:eastAsiaTheme="minorEastAsia" w:hAnsi="Cambria Math"/>
                <w:lang w:eastAsia="ko-KR"/>
              </w:rPr>
              <m:t>N</m:t>
            </m:r>
            <m:ctrlPr>
              <w:rPr>
                <w:rFonts w:ascii="Cambria Math" w:eastAsiaTheme="minorEastAsia" w:hAnsi="Cambria Math"/>
                <w:lang w:eastAsia="ko-KR"/>
              </w:rPr>
            </m:ctrlPr>
          </m:e>
          <m:sub>
            <m:r>
              <m:rPr>
                <m:sty m:val="p"/>
              </m:rPr>
              <w:rPr>
                <w:rFonts w:ascii="Cambria Math" w:eastAsiaTheme="minorEastAsia" w:hAnsi="Cambria Math"/>
                <w:lang w:eastAsia="ko-KR"/>
              </w:rPr>
              <m:t>PDSCH</m:t>
            </m:r>
            <m:ctrlPr>
              <w:rPr>
                <w:rFonts w:ascii="Cambria Math" w:eastAsiaTheme="minorEastAsia" w:hAnsi="Cambria Math"/>
                <w:lang w:eastAsia="ko-KR"/>
              </w:rPr>
            </m:ctrlPr>
          </m:sub>
          <m:sup>
            <m:r>
              <m:rPr>
                <m:sty m:val="p"/>
              </m:rPr>
              <w:rPr>
                <w:rFonts w:ascii="Cambria Math" w:eastAsiaTheme="minorEastAsia" w:hAnsi="Cambria Math"/>
                <w:lang w:eastAsia="ko-KR"/>
              </w:rPr>
              <m:t>repeat,max</m:t>
            </m:r>
          </m:sup>
        </m:sSubSup>
        <m:r>
          <w:rPr>
            <w:rFonts w:ascii="Cambria Math" w:hAnsi="Cambria Math"/>
            <w:lang w:val="en-US" w:eastAsia="zh-CN"/>
          </w:rPr>
          <m:t>+1</m:t>
        </m:r>
      </m:oMath>
      <w:r w:rsidR="00012B06">
        <w:rPr>
          <w:rFonts w:eastAsiaTheme="minorEastAsia" w:hint="eastAsia"/>
          <w:lang w:val="en-US" w:eastAsia="ko-KR"/>
        </w:rPr>
        <w:t xml:space="preserve"> to slot </w:t>
      </w:r>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0,k</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D</m:t>
            </m:r>
          </m:sub>
        </m:sSub>
      </m:oMath>
      <w:r w:rsidR="00012B06">
        <w:rPr>
          <w:lang w:eastAsia="zh-CN"/>
        </w:rPr>
        <w:t xml:space="preserve"> </w:t>
      </w:r>
      <w:r w:rsidR="00012B06">
        <w:rPr>
          <w:rFonts w:hint="eastAsia"/>
          <w:lang w:eastAsia="zh-CN"/>
        </w:rPr>
        <w:t xml:space="preserve">at least one symbol of the PDSCH time resource derived by row </w:t>
      </w:r>
      <m:oMath>
        <m:r>
          <w:rPr>
            <w:rFonts w:ascii="Cambria Math" w:hAnsi="Cambria Math"/>
          </w:rPr>
          <m:t>r</m:t>
        </m:r>
      </m:oMath>
      <w:r w:rsidR="00012B06">
        <w:rPr>
          <w:rFonts w:eastAsiaTheme="minorEastAsia" w:hint="eastAsia"/>
          <w:lang w:eastAsia="ko-KR"/>
        </w:rPr>
        <w:t xml:space="preserve"> of set </w:t>
      </w:r>
      <w:r w:rsidR="00012B06">
        <w:rPr>
          <w:rFonts w:eastAsiaTheme="minorEastAsia"/>
          <w:i/>
          <w:lang w:eastAsia="ko-KR"/>
        </w:rPr>
        <w:t>R</w:t>
      </w:r>
      <w:r w:rsidR="00012B06">
        <w:rPr>
          <w:rFonts w:eastAsiaTheme="minorEastAsia"/>
          <w:lang w:eastAsia="ko-KR"/>
        </w:rPr>
        <w:t xml:space="preserve"> </w:t>
      </w:r>
      <w:r w:rsidR="00012B06">
        <w:rPr>
          <w:rFonts w:hint="eastAsia"/>
          <w:lang w:eastAsia="zh-CN"/>
        </w:rPr>
        <w:t>is configured as UL</w:t>
      </w:r>
      <w:r w:rsidR="00012B06">
        <w:rPr>
          <w:lang w:eastAsia="zh-CN"/>
        </w:rPr>
        <w:t xml:space="preserve"> </w:t>
      </w:r>
      <w:r w:rsidR="00012B06" w:rsidRPr="00F210EC">
        <w:t xml:space="preserve">by </w:t>
      </w:r>
      <w:r w:rsidR="00012B06">
        <w:rPr>
          <w:i/>
          <w:lang w:val="en-US"/>
        </w:rPr>
        <w:t>tdd</w:t>
      </w:r>
      <w:r w:rsidR="00012B06" w:rsidRPr="00293E39">
        <w:rPr>
          <w:i/>
          <w:lang w:val="en-US"/>
        </w:rPr>
        <w:t>-</w:t>
      </w:r>
      <w:r w:rsidR="00012B06" w:rsidRPr="00494A77">
        <w:rPr>
          <w:i/>
        </w:rPr>
        <w:t>UL-DL-</w:t>
      </w:r>
      <w:r w:rsidR="00012B06">
        <w:rPr>
          <w:i/>
          <w:lang w:val="en-US"/>
        </w:rPr>
        <w:t>C</w:t>
      </w:r>
      <w:r w:rsidR="00012B06" w:rsidRPr="00494A77">
        <w:rPr>
          <w:i/>
        </w:rPr>
        <w:t>onfiguration</w:t>
      </w:r>
      <w:r w:rsidR="00012B06">
        <w:rPr>
          <w:i/>
          <w:lang w:val="en-US"/>
        </w:rPr>
        <w:t>C</w:t>
      </w:r>
      <w:r w:rsidR="00012B06" w:rsidRPr="00494A77">
        <w:rPr>
          <w:i/>
        </w:rPr>
        <w:t>ommon</w:t>
      </w:r>
      <w:r w:rsidR="00012B06" w:rsidRPr="00494A77">
        <w:t xml:space="preserve"> </w:t>
      </w:r>
      <w:r w:rsidR="00012B06" w:rsidRPr="0080392F">
        <w:t xml:space="preserve">or </w:t>
      </w:r>
      <w:r w:rsidR="00012B06">
        <w:rPr>
          <w:i/>
          <w:lang w:val="en-US"/>
        </w:rPr>
        <w:t>tdd</w:t>
      </w:r>
      <w:r w:rsidR="00012B06" w:rsidRPr="0023005A">
        <w:rPr>
          <w:i/>
          <w:lang w:val="en-US"/>
        </w:rPr>
        <w:t>-</w:t>
      </w:r>
      <w:r w:rsidR="00012B06" w:rsidRPr="0080392F">
        <w:rPr>
          <w:i/>
        </w:rPr>
        <w:t>UL-DL-</w:t>
      </w:r>
      <w:r w:rsidR="00012B06">
        <w:rPr>
          <w:i/>
          <w:lang w:val="en-US"/>
        </w:rPr>
        <w:t>C</w:t>
      </w:r>
      <w:r w:rsidR="00012B06" w:rsidRPr="0080392F">
        <w:rPr>
          <w:i/>
        </w:rPr>
        <w:t>onfig</w:t>
      </w:r>
      <w:r w:rsidR="00012B06">
        <w:rPr>
          <w:i/>
        </w:rPr>
        <w:t>uration</w:t>
      </w:r>
      <w:r w:rsidR="00012B06">
        <w:rPr>
          <w:i/>
          <w:lang w:val="en-US"/>
        </w:rPr>
        <w:t>D</w:t>
      </w:r>
      <w:r w:rsidR="00012B06" w:rsidRPr="0080392F">
        <w:rPr>
          <w:i/>
        </w:rPr>
        <w:t>edicated</w:t>
      </w:r>
      <w:r w:rsidR="00012B06" w:rsidRPr="00B27E56">
        <w:rPr>
          <w:rFonts w:hint="eastAsia"/>
          <w:lang w:eastAsia="zh-CN"/>
        </w:rPr>
        <w:t xml:space="preserve"> </w:t>
      </w:r>
      <w:r w:rsidR="00012B06">
        <w:rPr>
          <w:lang w:eastAsia="zh-CN"/>
        </w:rPr>
        <w:t xml:space="preserve">if the row </w:t>
      </w:r>
      <m:oMath>
        <m:r>
          <w:rPr>
            <w:rFonts w:ascii="Cambria Math" w:hAnsi="Cambria Math"/>
          </w:rPr>
          <m:t>r</m:t>
        </m:r>
      </m:oMath>
      <w:r w:rsidR="00012B06">
        <w:rPr>
          <w:lang w:eastAsia="zh-CN"/>
        </w:rPr>
        <w:t xml:space="preserve"> of set </w:t>
      </w:r>
      <w:r w:rsidR="00012B06">
        <w:rPr>
          <w:i/>
          <w:lang w:eastAsia="zh-CN"/>
        </w:rPr>
        <w:t>R</w:t>
      </w:r>
      <w:r w:rsidR="00012B06">
        <w:rPr>
          <w:lang w:eastAsia="zh-CN"/>
        </w:rPr>
        <w:t xml:space="preserve"> belongs to time domain resource allocation table configured for DCI format 1_2</w:t>
      </w:r>
      <w:r>
        <w:rPr>
          <w:lang w:eastAsia="zh-CN"/>
        </w:rPr>
        <w:t xml:space="preserve">, where </w:t>
      </w:r>
      <m:oMath>
        <m:r>
          <w:rPr>
            <w:rFonts w:ascii="Cambria Math" w:hAnsi="Cambria Math" w:cs="Cambria Math"/>
            <w:lang w:val="fr-FR" w:eastAsia="zh-CN"/>
          </w:rPr>
          <m:t>d</m:t>
        </m:r>
      </m:oMath>
      <w:r>
        <w:rPr>
          <w:lang w:eastAsia="zh-CN"/>
        </w:rPr>
        <w:t xml:space="preserve"> = 0,1,…,</w:t>
      </w:r>
      <m:oMath>
        <m:r>
          <m:rPr>
            <m:nor/>
          </m:rPr>
          <w:rPr>
            <w:rFonts w:ascii="Freestyle Script" w:hAnsi="Freestyle Script"/>
          </w:rPr>
          <m:t>C</m:t>
        </m:r>
        <m:d>
          <m:dPr>
            <m:ctrlPr>
              <w:rPr>
                <w:rFonts w:ascii="Cambria Math" w:hAnsi="Cambria Math" w:cs="Helvetica"/>
                <w:i/>
              </w:rPr>
            </m:ctrlPr>
          </m:dPr>
          <m:e>
            <m:r>
              <w:rPr>
                <w:rFonts w:ascii="Cambria Math" w:hAnsi="Cambria Math"/>
              </w:rPr>
              <m:t>∆</m:t>
            </m:r>
            <m:sSub>
              <m:sSubPr>
                <m:ctrlPr>
                  <w:rPr>
                    <w:rFonts w:ascii="Cambria Math" w:hAnsi="Cambria Math"/>
                    <w:i/>
                  </w:rPr>
                </m:ctrlPr>
              </m:sSubPr>
              <m:e>
                <m:r>
                  <w:rPr>
                    <w:rFonts w:ascii="Cambria Math" w:hAnsi="Cambria Math"/>
                  </w:rPr>
                  <m:t>K</m:t>
                </m:r>
              </m:e>
              <m:sub>
                <m:r>
                  <m:rPr>
                    <m:nor/>
                  </m:rPr>
                  <w:rPr>
                    <w:rFonts w:ascii="Cambria Math"/>
                  </w:rPr>
                  <m:t>0,</m:t>
                </m:r>
                <m:r>
                  <m:rPr>
                    <m:nor/>
                  </m:rPr>
                  <w:rPr>
                    <w:rFonts w:ascii="Cambria Math"/>
                    <w:i/>
                    <w:iCs/>
                  </w:rPr>
                  <m:t>r</m:t>
                </m:r>
                <m:ctrlPr>
                  <w:rPr>
                    <w:rFonts w:ascii="Cambria Math" w:hAnsi="Cambria Math"/>
                  </w:rPr>
                </m:ctrlPr>
              </m:sub>
            </m:sSub>
          </m:e>
        </m:d>
        <m:r>
          <w:rPr>
            <w:rFonts w:ascii="Cambria Math" w:hAnsi="Cambria Math" w:cs="Helvetica"/>
          </w:rPr>
          <m:t>-1</m:t>
        </m:r>
      </m:oMath>
      <w:r>
        <w:rPr>
          <w:rFonts w:hint="eastAsia"/>
          <w:lang w:eastAsia="zh-CN"/>
        </w:rPr>
        <w:t>.</w:t>
      </w:r>
    </w:p>
    <w:p w14:paraId="0BB9ABD4" w14:textId="77777777" w:rsidR="00095BC2" w:rsidRDefault="00095BC2" w:rsidP="00095BC2">
      <w:pPr>
        <w:pStyle w:val="B5"/>
        <w:ind w:firstLine="3"/>
      </w:pPr>
      <m:oMath>
        <m:r>
          <w:rPr>
            <w:rFonts w:ascii="Cambria Math" w:hAnsi="Cambria Math"/>
          </w:rPr>
          <m:t>R</m:t>
        </m:r>
        <m:r>
          <w:rPr>
            <w:rFonts w:ascii="Cambria Math" w:hAnsi="Cambria Math"/>
            <w:noProof/>
          </w:rPr>
          <m:t>=R\r</m:t>
        </m:r>
      </m:oMath>
      <w:r w:rsidRPr="00B27E56">
        <w:t>;</w:t>
      </w:r>
    </w:p>
    <w:p w14:paraId="6D01ACB2" w14:textId="77777777" w:rsidR="00095BC2" w:rsidRPr="003B79DC" w:rsidRDefault="00095BC2" w:rsidP="00095BC2">
      <w:pPr>
        <w:pStyle w:val="B5"/>
        <w:ind w:firstLine="3"/>
        <w:rPr>
          <w:lang w:eastAsia="zh-CN"/>
        </w:rPr>
      </w:pPr>
      <m:oMath>
        <m:r>
          <w:rPr>
            <w:rFonts w:ascii="Cambria Math" w:hAnsi="Cambria Math"/>
          </w:rPr>
          <m:t>R'</m:t>
        </m:r>
        <m:r>
          <w:rPr>
            <w:rFonts w:ascii="Cambria Math" w:hAnsi="Cambria Math"/>
            <w:noProof/>
          </w:rPr>
          <m:t>=R'\r</m:t>
        </m:r>
      </m:oMath>
      <w:r w:rsidRPr="00B27E56">
        <w:t>;</w:t>
      </w:r>
    </w:p>
    <w:p w14:paraId="744B09D8" w14:textId="77777777" w:rsidR="00095BC2" w:rsidRPr="00B27E56" w:rsidRDefault="00095BC2" w:rsidP="00095BC2">
      <w:pPr>
        <w:pStyle w:val="B5"/>
        <w:rPr>
          <w:lang w:eastAsia="zh-CN"/>
        </w:rPr>
      </w:pPr>
      <w:r w:rsidRPr="00B27E56">
        <w:rPr>
          <w:lang w:eastAsia="zh-CN"/>
        </w:rPr>
        <w:t>else</w:t>
      </w:r>
    </w:p>
    <w:p w14:paraId="7DC593EF" w14:textId="10F1C6DC" w:rsidR="00095BC2" w:rsidRPr="00B27E56" w:rsidRDefault="00095BC2" w:rsidP="00095BC2">
      <w:pPr>
        <w:pStyle w:val="B5"/>
        <w:ind w:firstLine="3"/>
        <w:rPr>
          <w:lang w:eastAsia="zh-CN"/>
        </w:rPr>
      </w:pPr>
      <m:oMath>
        <m:r>
          <w:rPr>
            <w:rFonts w:ascii="Cambria Math" w:hAnsi="Cambria Math"/>
          </w:rPr>
          <m:t>r=r+1</m:t>
        </m:r>
      </m:oMath>
      <w:r w:rsidRPr="00B27E56">
        <w:rPr>
          <w:lang w:eastAsia="zh-CN"/>
        </w:rPr>
        <w:t xml:space="preserve">; </w:t>
      </w:r>
    </w:p>
    <w:p w14:paraId="1FC92A64" w14:textId="77777777" w:rsidR="00095BC2" w:rsidRPr="00B27E56" w:rsidRDefault="00095BC2" w:rsidP="00095BC2">
      <w:pPr>
        <w:pStyle w:val="B5"/>
        <w:rPr>
          <w:lang w:eastAsia="zh-CN"/>
        </w:rPr>
      </w:pPr>
      <w:r w:rsidRPr="00B27E56">
        <w:rPr>
          <w:lang w:eastAsia="zh-CN"/>
        </w:rPr>
        <w:t>end if</w:t>
      </w:r>
    </w:p>
    <w:p w14:paraId="036C0DD5" w14:textId="77777777" w:rsidR="00095BC2" w:rsidRPr="00A1182D" w:rsidRDefault="00095BC2" w:rsidP="00095BC2">
      <w:pPr>
        <w:pStyle w:val="B4"/>
        <w:rPr>
          <w:lang w:eastAsia="zh-CN"/>
        </w:rPr>
      </w:pPr>
      <w:r w:rsidRPr="00A1182D">
        <w:rPr>
          <w:lang w:eastAsia="zh-CN"/>
        </w:rPr>
        <w:t>end while</w:t>
      </w:r>
    </w:p>
    <w:p w14:paraId="372E52B1" w14:textId="32BC7E98" w:rsidR="00095BC2" w:rsidRPr="00A1182D" w:rsidRDefault="00095BC2" w:rsidP="007A21FF">
      <w:pPr>
        <w:pStyle w:val="B4"/>
        <w:ind w:left="1134" w:firstLine="0"/>
        <w:rPr>
          <w:rFonts w:cs="Arial"/>
          <w:lang w:eastAsia="zh-CN"/>
        </w:rPr>
      </w:pPr>
      <w:r w:rsidRPr="00A1182D">
        <w:rPr>
          <w:lang w:val="en-US" w:eastAsia="zh-CN"/>
        </w:rPr>
        <w:t>if</w:t>
      </w:r>
      <w:r w:rsidRPr="00A1182D">
        <w:rPr>
          <w:lang w:eastAsia="zh-CN"/>
        </w:rPr>
        <w:t xml:space="preserve"> </w:t>
      </w:r>
      <w:r w:rsidR="007A21FF" w:rsidRPr="00A1182D">
        <w:rPr>
          <w:lang w:eastAsia="zh-CN"/>
        </w:rPr>
        <w:t xml:space="preserve">the UE is not provided with </w:t>
      </w:r>
      <w:r w:rsidR="007A21FF" w:rsidRPr="00A1182D">
        <w:rPr>
          <w:i/>
          <w:iCs/>
          <w:lang w:eastAsia="zh-CN"/>
        </w:rPr>
        <w:t>multiPDSCH</w:t>
      </w:r>
      <w:r w:rsidR="006F4839">
        <w:rPr>
          <w:i/>
          <w:iCs/>
          <w:lang w:eastAsia="zh-CN"/>
        </w:rPr>
        <w:t>-</w:t>
      </w:r>
      <w:r w:rsidR="007A21FF" w:rsidRPr="00A1182D">
        <w:rPr>
          <w:i/>
          <w:iCs/>
          <w:lang w:eastAsia="zh-CN"/>
        </w:rPr>
        <w:t>perSlotType1</w:t>
      </w:r>
      <w:r w:rsidR="006F4839">
        <w:rPr>
          <w:i/>
          <w:iCs/>
          <w:lang w:eastAsia="zh-CN"/>
        </w:rPr>
        <w:t>-</w:t>
      </w:r>
      <w:r w:rsidR="007A21FF" w:rsidRPr="00A1182D">
        <w:rPr>
          <w:i/>
          <w:iCs/>
          <w:lang w:eastAsia="zh-CN"/>
        </w:rPr>
        <w:t>CB</w:t>
      </w:r>
      <w:r w:rsidR="007A21FF" w:rsidRPr="00A1182D">
        <w:rPr>
          <w:lang w:eastAsia="zh-CN"/>
        </w:rPr>
        <w:t xml:space="preserve"> and</w:t>
      </w:r>
      <w:r w:rsidR="007A21FF" w:rsidRPr="00A1182D">
        <w:t xml:space="preserve"> </w:t>
      </w:r>
      <w:r w:rsidRPr="00A1182D">
        <w:t xml:space="preserve">the </w:t>
      </w:r>
      <w:r w:rsidRPr="00A1182D">
        <w:rPr>
          <w:lang w:val="en-US"/>
        </w:rPr>
        <w:t xml:space="preserve">UE </w:t>
      </w:r>
      <w:r w:rsidRPr="00A1182D">
        <w:t xml:space="preserve">does not indicate </w:t>
      </w:r>
      <w:r w:rsidRPr="00A1182D">
        <w:rPr>
          <w:lang w:val="en-US"/>
        </w:rPr>
        <w:t xml:space="preserve">a </w:t>
      </w:r>
      <w:r w:rsidRPr="00A1182D">
        <w:t>capability to receive</w:t>
      </w:r>
      <w:r w:rsidRPr="00A1182D">
        <w:rPr>
          <w:lang w:eastAsia="zh-CN"/>
        </w:rPr>
        <w:t xml:space="preserve"> more than </w:t>
      </w:r>
      <w:r w:rsidRPr="00A1182D">
        <w:t xml:space="preserve">one unicast PDSCH </w:t>
      </w:r>
      <w:r w:rsidR="009C60F0" w:rsidRPr="00A1182D">
        <w:t xml:space="preserve">or multicast PDSCH </w:t>
      </w:r>
      <w:r w:rsidRPr="00A1182D">
        <w:t>per slot</w:t>
      </w:r>
      <w:r w:rsidRPr="00A1182D">
        <w:rPr>
          <w:lang w:eastAsia="zh-CN"/>
        </w:rPr>
        <w:t xml:space="preserve"> and </w:t>
      </w:r>
      <m:oMath>
        <m:r>
          <w:rPr>
            <w:rFonts w:ascii="Cambria Math" w:hAnsi="Cambria Math"/>
          </w:rPr>
          <m:t>R≠∅</m:t>
        </m:r>
      </m:oMath>
      <w:r w:rsidRPr="00A1182D">
        <w:rPr>
          <w:rFonts w:cs="Arial" w:hint="eastAsia"/>
          <w:lang w:eastAsia="zh-CN"/>
        </w:rPr>
        <w:t xml:space="preserve">, </w:t>
      </w:r>
      <w:r w:rsidR="007A21FF" w:rsidRPr="00A1182D">
        <w:rPr>
          <w:lang w:eastAsia="zh-CN"/>
        </w:rPr>
        <w:t xml:space="preserve">or if the UE is provided with </w:t>
      </w:r>
      <w:r w:rsidR="007A21FF" w:rsidRPr="00A1182D">
        <w:rPr>
          <w:i/>
          <w:iCs/>
          <w:lang w:eastAsia="zh-CN"/>
        </w:rPr>
        <w:t>multiPDSCH</w:t>
      </w:r>
      <w:r w:rsidR="006F4839">
        <w:rPr>
          <w:i/>
          <w:iCs/>
          <w:lang w:eastAsia="zh-CN"/>
        </w:rPr>
        <w:t>-</w:t>
      </w:r>
      <w:r w:rsidR="007A21FF" w:rsidRPr="00A1182D">
        <w:rPr>
          <w:i/>
          <w:iCs/>
          <w:lang w:eastAsia="zh-CN"/>
        </w:rPr>
        <w:t>perSlotType1</w:t>
      </w:r>
      <w:r w:rsidR="006F4839">
        <w:rPr>
          <w:i/>
          <w:iCs/>
          <w:lang w:eastAsia="zh-CN"/>
        </w:rPr>
        <w:t>-</w:t>
      </w:r>
      <w:r w:rsidR="007A21FF" w:rsidRPr="00A1182D">
        <w:rPr>
          <w:i/>
          <w:iCs/>
          <w:lang w:eastAsia="zh-CN"/>
        </w:rPr>
        <w:t xml:space="preserve">CB </w:t>
      </w:r>
      <w:r w:rsidR="007A21FF" w:rsidRPr="00A1182D">
        <w:rPr>
          <w:lang w:eastAsia="zh-CN"/>
        </w:rPr>
        <w:t xml:space="preserve">= </w:t>
      </w:r>
      <w:r w:rsidR="002D5F43">
        <w:rPr>
          <w:lang w:eastAsia="zh-CN"/>
        </w:rPr>
        <w:t>'</w:t>
      </w:r>
      <w:r w:rsidR="007A21FF" w:rsidRPr="00A1182D">
        <w:rPr>
          <w:lang w:eastAsia="zh-CN"/>
        </w:rPr>
        <w:t>disabled</w:t>
      </w:r>
      <w:r w:rsidR="002D5F43">
        <w:rPr>
          <w:lang w:eastAsia="zh-CN"/>
        </w:rPr>
        <w:t>'</w:t>
      </w:r>
      <w:r w:rsidR="007A21FF" w:rsidRPr="00A1182D">
        <w:rPr>
          <w:lang w:eastAsia="zh-CN"/>
        </w:rPr>
        <w:t xml:space="preserve"> and </w:t>
      </w:r>
      <m:oMath>
        <m:r>
          <w:rPr>
            <w:rFonts w:ascii="Cambria Math" w:hAnsi="Cambria Math"/>
          </w:rPr>
          <m:t>R≠∅</m:t>
        </m:r>
      </m:oMath>
      <w:r w:rsidR="007A21FF" w:rsidRPr="00A1182D">
        <w:rPr>
          <w:lang w:eastAsia="zh-CN"/>
        </w:rPr>
        <w:t>,</w:t>
      </w:r>
    </w:p>
    <w:p w14:paraId="07271384" w14:textId="1CC5499E" w:rsidR="00095BC2" w:rsidRPr="00B27E56" w:rsidRDefault="00000000" w:rsidP="00095BC2">
      <w:pPr>
        <w:pStyle w:val="B5"/>
        <w:rPr>
          <w:lang w:eastAsia="zh-CN"/>
        </w:rPr>
      </w:pPr>
      <m:oMath>
        <m:sSub>
          <m:sSubPr>
            <m:ctrlPr>
              <w:rPr>
                <w:rFonts w:ascii="Cambria Math" w:hAnsi="Cambria Math"/>
                <w:i/>
              </w:rPr>
            </m:ctrlPr>
          </m:sSubPr>
          <m:e>
            <m:r>
              <w:rPr>
                <w:rFonts w:ascii="Cambria Math" w:hAnsi="Cambria Math"/>
              </w:rPr>
              <m:t>M</m:t>
            </m:r>
          </m:e>
          <m:sub>
            <m:r>
              <m:rPr>
                <m:nor/>
              </m:rPr>
              <w:rPr>
                <w:rFonts w:ascii="Cambria Math"/>
                <w:i/>
                <w:iCs/>
              </w:rPr>
              <m:t>A,c</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M</m:t>
            </m:r>
          </m:e>
          <m:sub>
            <m:r>
              <m:rPr>
                <m:nor/>
              </m:rPr>
              <w:rPr>
                <w:rFonts w:ascii="Cambria Math"/>
                <w:i/>
                <w:iCs/>
              </w:rPr>
              <m:t>A,c</m:t>
            </m:r>
            <m:ctrlPr>
              <w:rPr>
                <w:rFonts w:ascii="Cambria Math" w:hAnsi="Cambria Math"/>
              </w:rPr>
            </m:ctrlPr>
          </m:sub>
        </m:sSub>
        <m:r>
          <w:rPr>
            <w:rFonts w:ascii="Cambria Math" w:hAnsi="Cambria Math"/>
          </w:rPr>
          <m:t>∪j</m:t>
        </m:r>
      </m:oMath>
      <w:r w:rsidR="00095BC2" w:rsidRPr="00B27E56">
        <w:rPr>
          <w:lang w:val="en-US" w:eastAsia="zh-CN"/>
        </w:rPr>
        <w:t>;</w:t>
      </w:r>
      <w:r w:rsidR="00095BC2" w:rsidRPr="00B27E56">
        <w:rPr>
          <w:lang w:eastAsia="zh-CN"/>
        </w:rPr>
        <w:t xml:space="preserve"> </w:t>
      </w:r>
    </w:p>
    <w:p w14:paraId="01245FCF" w14:textId="14A6CF08" w:rsidR="00095BC2" w:rsidRPr="00B27E56" w:rsidRDefault="00095BC2" w:rsidP="00095BC2">
      <w:pPr>
        <w:pStyle w:val="B5"/>
        <w:rPr>
          <w:lang w:val="en-US" w:eastAsia="zh-CN"/>
        </w:rPr>
      </w:pPr>
      <m:oMath>
        <m:r>
          <w:rPr>
            <w:rFonts w:ascii="Cambria Math" w:hAnsi="Cambria Math"/>
          </w:rPr>
          <m:t>j=j+1</m:t>
        </m:r>
      </m:oMath>
      <w:r w:rsidRPr="00B27E56">
        <w:rPr>
          <w:lang w:val="en-US"/>
        </w:rPr>
        <w:t>;</w:t>
      </w:r>
    </w:p>
    <w:p w14:paraId="6B7C4C28" w14:textId="77777777" w:rsidR="00095BC2" w:rsidRPr="00B27E56" w:rsidRDefault="00095BC2" w:rsidP="00095BC2">
      <w:pPr>
        <w:pStyle w:val="B4"/>
        <w:rPr>
          <w:lang w:eastAsia="zh-CN"/>
        </w:rPr>
      </w:pPr>
      <w:r w:rsidRPr="00B27E56">
        <w:rPr>
          <w:lang w:eastAsia="zh-CN"/>
        </w:rPr>
        <w:t xml:space="preserve">else </w:t>
      </w:r>
    </w:p>
    <w:p w14:paraId="1A829112" w14:textId="0D7F8083" w:rsidR="00095BC2" w:rsidRPr="00B27E56" w:rsidRDefault="00095BC2" w:rsidP="00095BC2">
      <w:pPr>
        <w:pStyle w:val="B5"/>
        <w:rPr>
          <w:lang w:eastAsia="zh-CN"/>
        </w:rPr>
      </w:pPr>
      <w:r w:rsidRPr="00B27E56">
        <w:rPr>
          <w:lang w:eastAsia="zh-CN"/>
        </w:rPr>
        <w:t xml:space="preserve">Set </w:t>
      </w:r>
      <m:oMath>
        <m:r>
          <m:rPr>
            <m:nor/>
          </m:rPr>
          <w:rPr>
            <w:rFonts w:ascii="Freestyle Script" w:hAnsi="Freestyle Script"/>
          </w:rPr>
          <m:t>C</m:t>
        </m:r>
        <m:d>
          <m:dPr>
            <m:ctrlPr>
              <w:rPr>
                <w:rFonts w:ascii="Cambria Math" w:hAnsi="Cambria Math" w:cs="Helvetica"/>
                <w:i/>
              </w:rPr>
            </m:ctrlPr>
          </m:dPr>
          <m:e>
            <m:r>
              <w:rPr>
                <w:rFonts w:ascii="Cambria Math" w:hAnsi="Cambria Math"/>
              </w:rPr>
              <m:t>R</m:t>
            </m:r>
          </m:e>
        </m:d>
      </m:oMath>
      <w:r w:rsidRPr="00B27E56">
        <w:t xml:space="preserve"> to the cardinality of </w:t>
      </w:r>
      <m:oMath>
        <m:r>
          <w:rPr>
            <w:rFonts w:ascii="Cambria Math" w:hAnsi="Cambria Math"/>
          </w:rPr>
          <m:t>R</m:t>
        </m:r>
      </m:oMath>
    </w:p>
    <w:p w14:paraId="1E042C31" w14:textId="0D3C751B" w:rsidR="00095BC2" w:rsidRPr="00B27E56" w:rsidRDefault="00095BC2" w:rsidP="00095BC2">
      <w:pPr>
        <w:pStyle w:val="B5"/>
        <w:rPr>
          <w:lang w:eastAsia="zh-CN"/>
        </w:rPr>
      </w:pPr>
      <w:r w:rsidRPr="00B27E56">
        <w:rPr>
          <w:rFonts w:hint="eastAsia"/>
          <w:lang w:eastAsia="zh-CN"/>
        </w:rPr>
        <w:t xml:space="preserve">Set </w:t>
      </w:r>
      <m:oMath>
        <m:r>
          <w:rPr>
            <w:rFonts w:ascii="Cambria Math" w:hAnsi="Cambria Math"/>
          </w:rPr>
          <m:t>m</m:t>
        </m:r>
      </m:oMath>
      <w:r w:rsidRPr="00B27E56">
        <w:rPr>
          <w:rFonts w:hint="eastAsia"/>
          <w:lang w:eastAsia="zh-CN"/>
        </w:rPr>
        <w:t xml:space="preserve"> to </w:t>
      </w:r>
      <w:r w:rsidRPr="00B27E56">
        <w:rPr>
          <w:lang w:eastAsia="zh-CN"/>
        </w:rPr>
        <w:t xml:space="preserve">the </w:t>
      </w:r>
      <w:r w:rsidRPr="00B27E56">
        <w:rPr>
          <w:rFonts w:hint="eastAsia"/>
          <w:lang w:eastAsia="zh-CN"/>
        </w:rPr>
        <w:t xml:space="preserve">smallest </w:t>
      </w:r>
      <w:r w:rsidRPr="00B27E56">
        <w:rPr>
          <w:lang w:eastAsia="zh-CN"/>
        </w:rPr>
        <w:t>last</w:t>
      </w:r>
      <w:r w:rsidRPr="00B27E56">
        <w:rPr>
          <w:rFonts w:hint="eastAsia"/>
          <w:lang w:eastAsia="zh-CN"/>
        </w:rPr>
        <w:t xml:space="preserve"> OFDM symbol index</w:t>
      </w:r>
      <w:r w:rsidRPr="00B27E56">
        <w:rPr>
          <w:lang w:eastAsia="zh-CN"/>
        </w:rPr>
        <w:t>, as determined by the</w:t>
      </w:r>
      <w:r w:rsidRPr="00B27E56">
        <w:t xml:space="preserve"> </w:t>
      </w:r>
      <w:r w:rsidRPr="00B27E56">
        <w:rPr>
          <w:i/>
        </w:rPr>
        <w:t>SLIV</w:t>
      </w:r>
      <w:r w:rsidRPr="00B27E56">
        <w:rPr>
          <w:lang w:eastAsia="zh-CN"/>
        </w:rPr>
        <w:t xml:space="preserve">, among all rows of </w:t>
      </w:r>
      <m:oMath>
        <m:r>
          <w:rPr>
            <w:rFonts w:ascii="Cambria Math" w:hAnsi="Cambria Math"/>
          </w:rPr>
          <m:t>R</m:t>
        </m:r>
      </m:oMath>
    </w:p>
    <w:p w14:paraId="212026AC" w14:textId="606946B3" w:rsidR="00095BC2" w:rsidRPr="00B27E56" w:rsidRDefault="00095BC2" w:rsidP="00095BC2">
      <w:pPr>
        <w:pStyle w:val="B5"/>
        <w:rPr>
          <w:lang w:eastAsia="zh-CN"/>
        </w:rPr>
      </w:pPr>
      <w:r w:rsidRPr="00B27E56">
        <w:rPr>
          <w:lang w:eastAsia="zh-CN"/>
        </w:rPr>
        <w:t xml:space="preserve">while </w:t>
      </w:r>
      <m:oMath>
        <m:r>
          <w:rPr>
            <w:rFonts w:ascii="Cambria Math" w:hAnsi="Cambria Math"/>
          </w:rPr>
          <m:t>R≠∅</m:t>
        </m:r>
      </m:oMath>
    </w:p>
    <w:p w14:paraId="69786A46" w14:textId="60F7D7DF" w:rsidR="00095BC2" w:rsidRPr="00B27E56" w:rsidRDefault="00095BC2" w:rsidP="00095BC2">
      <w:pPr>
        <w:pStyle w:val="B5"/>
        <w:ind w:left="1985"/>
        <w:rPr>
          <w:lang w:eastAsia="zh-CN"/>
        </w:rPr>
      </w:pPr>
      <w:r w:rsidRPr="00B27E56">
        <w:rPr>
          <w:lang w:eastAsia="zh-CN"/>
        </w:rPr>
        <w:t>S</w:t>
      </w:r>
      <w:r w:rsidRPr="00B27E56">
        <w:rPr>
          <w:rFonts w:hint="eastAsia"/>
          <w:lang w:eastAsia="zh-CN"/>
        </w:rPr>
        <w:t xml:space="preserve">et </w:t>
      </w:r>
      <m:oMath>
        <m:r>
          <w:rPr>
            <w:rFonts w:ascii="Cambria Math" w:hAnsi="Cambria Math"/>
            <w:lang w:eastAsia="zh-CN"/>
          </w:rPr>
          <m:t>r=0</m:t>
        </m:r>
      </m:oMath>
      <w:r w:rsidRPr="00B27E56">
        <w:rPr>
          <w:rFonts w:hint="eastAsia"/>
          <w:lang w:eastAsia="zh-CN"/>
        </w:rPr>
        <w:t xml:space="preserve"> </w:t>
      </w:r>
    </w:p>
    <w:p w14:paraId="4B91FECF" w14:textId="016EEDAC" w:rsidR="00095BC2" w:rsidRPr="00B27E56" w:rsidRDefault="00095BC2" w:rsidP="00095BC2">
      <w:pPr>
        <w:pStyle w:val="B5"/>
        <w:ind w:left="1985"/>
        <w:rPr>
          <w:lang w:eastAsia="zh-CN"/>
        </w:rPr>
      </w:pPr>
      <w:r w:rsidRPr="00B27E56">
        <w:t xml:space="preserve">while </w:t>
      </w:r>
      <m:oMath>
        <m:r>
          <w:rPr>
            <w:rFonts w:ascii="Cambria Math" w:hAnsi="Cambria Math"/>
          </w:rPr>
          <m:t>r&lt;</m:t>
        </m:r>
        <m:r>
          <m:rPr>
            <m:nor/>
          </m:rPr>
          <w:rPr>
            <w:rFonts w:ascii="Freestyle Script" w:hAnsi="Freestyle Script"/>
          </w:rPr>
          <m:t>C</m:t>
        </m:r>
        <m:d>
          <m:dPr>
            <m:ctrlPr>
              <w:rPr>
                <w:rFonts w:ascii="Cambria Math" w:hAnsi="Cambria Math" w:cs="Helvetica"/>
                <w:i/>
              </w:rPr>
            </m:ctrlPr>
          </m:dPr>
          <m:e>
            <m:r>
              <w:rPr>
                <w:rFonts w:ascii="Cambria Math" w:hAnsi="Cambria Math"/>
              </w:rPr>
              <m:t>R</m:t>
            </m:r>
          </m:e>
        </m:d>
      </m:oMath>
    </w:p>
    <w:p w14:paraId="3AE91CF2" w14:textId="1B363AF2" w:rsidR="00095BC2" w:rsidRPr="00B27E56" w:rsidRDefault="00095BC2" w:rsidP="00095BC2">
      <w:pPr>
        <w:pStyle w:val="B5"/>
        <w:ind w:left="2268"/>
        <w:rPr>
          <w:lang w:eastAsia="zh-CN"/>
        </w:rPr>
      </w:pPr>
      <w:r w:rsidRPr="00B27E56">
        <w:rPr>
          <w:rFonts w:hint="eastAsia"/>
          <w:lang w:eastAsia="zh-CN"/>
        </w:rPr>
        <w:t xml:space="preserve">if </w:t>
      </w:r>
      <m:oMath>
        <m:r>
          <w:rPr>
            <w:rFonts w:ascii="Cambria Math" w:hAnsi="Cambria Math" w:cs="Arial"/>
          </w:rPr>
          <m:t>S≤m</m:t>
        </m:r>
      </m:oMath>
      <w:r w:rsidRPr="00B27E56">
        <w:rPr>
          <w:rFonts w:hint="eastAsia"/>
          <w:lang w:eastAsia="zh-CN"/>
        </w:rPr>
        <w:t xml:space="preserve"> </w:t>
      </w:r>
      <w:r w:rsidRPr="00B27E56">
        <w:rPr>
          <w:lang w:eastAsia="zh-CN"/>
        </w:rPr>
        <w:t xml:space="preserve">for </w:t>
      </w:r>
      <w:r w:rsidRPr="00B27E56">
        <w:rPr>
          <w:rFonts w:cs="Arial" w:hint="eastAsia"/>
          <w:lang w:eastAsia="zh-CN"/>
        </w:rPr>
        <w:t xml:space="preserve">start OFDM symbol index </w:t>
      </w:r>
      <m:oMath>
        <m:r>
          <w:rPr>
            <w:rFonts w:ascii="Cambria Math" w:hAnsi="Cambria Math" w:cs="Arial"/>
          </w:rPr>
          <m:t>S</m:t>
        </m:r>
      </m:oMath>
      <w:r w:rsidRPr="00B27E56">
        <w:rPr>
          <w:rFonts w:cs="Arial" w:hint="eastAsia"/>
          <w:lang w:eastAsia="zh-CN"/>
        </w:rPr>
        <w:t xml:space="preserve"> for </w:t>
      </w:r>
      <w:r w:rsidRPr="00B27E56">
        <w:t>row</w:t>
      </w:r>
      <w:r w:rsidRPr="00B27E56">
        <w:rPr>
          <w:rFonts w:cs="Arial" w:hint="eastAsia"/>
          <w:lang w:eastAsia="zh-CN"/>
        </w:rPr>
        <w:t xml:space="preserve"> </w:t>
      </w:r>
      <m:oMath>
        <m:r>
          <w:rPr>
            <w:rFonts w:ascii="Cambria Math" w:hAnsi="Cambria Math"/>
          </w:rPr>
          <m:t>r</m:t>
        </m:r>
      </m:oMath>
      <w:r w:rsidRPr="00B27E56">
        <w:t xml:space="preserve"> </w:t>
      </w:r>
    </w:p>
    <w:p w14:paraId="1C085046" w14:textId="4157EAFA" w:rsidR="00095BC2" w:rsidRPr="00B27E56" w:rsidRDefault="00000000" w:rsidP="00095BC2">
      <w:pPr>
        <w:pStyle w:val="B5"/>
        <w:ind w:left="2552"/>
        <w:rPr>
          <w:lang w:eastAsia="zh-CN"/>
        </w:rPr>
      </w:pPr>
      <m:oMath>
        <m:sSub>
          <m:sSubPr>
            <m:ctrlPr>
              <w:rPr>
                <w:rFonts w:ascii="Cambria Math" w:hAnsi="Cambria Math"/>
                <w:i/>
              </w:rPr>
            </m:ctrlPr>
          </m:sSubPr>
          <m:e>
            <m:r>
              <w:rPr>
                <w:rFonts w:ascii="Cambria Math" w:hAnsi="Cambria Math"/>
              </w:rPr>
              <m:t>b</m:t>
            </m:r>
          </m:e>
          <m:sub>
            <m:r>
              <m:rPr>
                <m:nor/>
              </m:rPr>
              <w:rPr>
                <w:rFonts w:ascii="Cambria Math"/>
                <w:i/>
                <w:iCs/>
              </w:rPr>
              <m:t>r,k,</m:t>
            </m:r>
            <m:sSub>
              <m:sSubPr>
                <m:ctrlPr>
                  <w:rPr>
                    <w:rFonts w:ascii="Cambria Math" w:hAnsi="Cambria Math"/>
                    <w:i/>
                  </w:rPr>
                </m:ctrlPr>
              </m:sSubPr>
              <m:e>
                <m:r>
                  <w:rPr>
                    <w:rFonts w:ascii="Cambria Math" w:hAnsi="Cambria Math"/>
                  </w:rPr>
                  <m:t>n</m:t>
                </m:r>
              </m:e>
              <m:sub>
                <m:r>
                  <w:rPr>
                    <w:rFonts w:ascii="Cambria Math" w:hAnsi="Cambria Math"/>
                  </w:rPr>
                  <m:t>D</m:t>
                </m:r>
              </m:sub>
            </m:sSub>
            <m:ctrlPr>
              <w:rPr>
                <w:rFonts w:ascii="Cambria Math" w:hAnsi="Cambria Math"/>
              </w:rPr>
            </m:ctrlPr>
          </m:sub>
        </m:sSub>
        <m:r>
          <w:rPr>
            <w:rFonts w:ascii="Cambria Math" w:hAnsi="Cambria Math"/>
          </w:rPr>
          <m:t>=j</m:t>
        </m:r>
      </m:oMath>
      <w:r w:rsidR="00095BC2" w:rsidRPr="00B27E56">
        <w:t>;</w:t>
      </w:r>
      <w:r w:rsidR="00095BC2" w:rsidRPr="00B27E56">
        <w:rPr>
          <w:rFonts w:hint="eastAsia"/>
          <w:lang w:eastAsia="zh-CN"/>
        </w:rPr>
        <w:t xml:space="preserve"> - index of </w:t>
      </w:r>
      <w:r w:rsidR="00095BC2" w:rsidRPr="00B27E56">
        <w:rPr>
          <w:lang w:eastAsia="zh-CN"/>
        </w:rPr>
        <w:t xml:space="preserve">occasion for </w:t>
      </w:r>
      <w:r w:rsidR="00095BC2" w:rsidRPr="00B27E56">
        <w:t>candidate PDSCH reception</w:t>
      </w:r>
      <w:r w:rsidR="00C926CF">
        <w:t>,</w:t>
      </w:r>
      <w:r w:rsidR="00095BC2" w:rsidRPr="00B27E56">
        <w:rPr>
          <w:rFonts w:hint="eastAsia"/>
          <w:lang w:eastAsia="zh-CN"/>
        </w:rPr>
        <w:t xml:space="preserve"> </w:t>
      </w:r>
      <w:r w:rsidR="00095BC2" w:rsidRPr="00B27E56">
        <w:rPr>
          <w:lang w:eastAsia="zh-CN"/>
        </w:rPr>
        <w:t>or SPS PDSCH release</w:t>
      </w:r>
      <w:r w:rsidR="00C926CF">
        <w:rPr>
          <w:lang w:eastAsia="zh-CN"/>
        </w:rPr>
        <w:t xml:space="preserve">, </w:t>
      </w:r>
      <w:r w:rsidR="00C926CF" w:rsidRPr="00F415B1">
        <w:t xml:space="preserve">or TCI state </w:t>
      </w:r>
      <w:r w:rsidR="00C926CF" w:rsidRPr="00F415B1">
        <w:rPr>
          <w:lang w:eastAsia="zh-CN"/>
        </w:rPr>
        <w:t>update</w:t>
      </w:r>
      <w:r w:rsidR="00095BC2" w:rsidRPr="00B27E56">
        <w:rPr>
          <w:lang w:eastAsia="zh-CN"/>
        </w:rPr>
        <w:t xml:space="preserve"> associated with row </w:t>
      </w:r>
      <m:oMath>
        <m:r>
          <w:rPr>
            <w:rFonts w:ascii="Cambria Math" w:hAnsi="Cambria Math"/>
          </w:rPr>
          <m:t>r</m:t>
        </m:r>
      </m:oMath>
    </w:p>
    <w:p w14:paraId="05FC578A" w14:textId="452F8FD9" w:rsidR="00095BC2" w:rsidRPr="007B5011" w:rsidRDefault="00095BC2" w:rsidP="00095BC2">
      <w:pPr>
        <w:pStyle w:val="B5"/>
        <w:ind w:left="2552"/>
        <w:rPr>
          <w:lang w:val="sv-SE" w:eastAsia="zh-CN"/>
        </w:rPr>
      </w:pPr>
      <m:oMath>
        <m:r>
          <w:rPr>
            <w:rFonts w:ascii="Cambria Math" w:hAnsi="Cambria Math"/>
          </w:rPr>
          <m:t>R</m:t>
        </m:r>
        <m:r>
          <w:rPr>
            <w:rFonts w:ascii="Cambria Math" w:hAnsi="Cambria Math"/>
            <w:noProof/>
            <w:lang w:val="sv-SE"/>
          </w:rPr>
          <m:t>=</m:t>
        </m:r>
        <m:r>
          <w:rPr>
            <w:rFonts w:ascii="Cambria Math" w:hAnsi="Cambria Math"/>
            <w:noProof/>
          </w:rPr>
          <m:t>R</m:t>
        </m:r>
        <m:r>
          <w:rPr>
            <w:rFonts w:ascii="Cambria Math" w:hAnsi="Cambria Math"/>
            <w:noProof/>
            <w:lang w:val="sv-SE"/>
          </w:rPr>
          <m:t>\</m:t>
        </m:r>
        <m:r>
          <w:rPr>
            <w:rFonts w:ascii="Cambria Math" w:hAnsi="Cambria Math"/>
            <w:noProof/>
          </w:rPr>
          <m:t>r</m:t>
        </m:r>
      </m:oMath>
      <w:r w:rsidRPr="007B5011">
        <w:rPr>
          <w:rFonts w:hint="eastAsia"/>
          <w:lang w:val="sv-SE" w:eastAsia="zh-CN"/>
        </w:rPr>
        <w:t>;</w:t>
      </w:r>
    </w:p>
    <w:p w14:paraId="3CB6EEE6" w14:textId="4D0CC76B" w:rsidR="00095BC2" w:rsidRPr="007B5011" w:rsidRDefault="00000000" w:rsidP="00095BC2">
      <w:pPr>
        <w:pStyle w:val="B5"/>
        <w:ind w:left="2552"/>
        <w:rPr>
          <w:lang w:val="sv-SE" w:eastAsia="zh-CN"/>
        </w:rPr>
      </w:pPr>
      <m:oMath>
        <m:sSub>
          <m:sSubPr>
            <m:ctrlPr>
              <w:rPr>
                <w:rFonts w:ascii="Cambria Math" w:hAnsi="Cambria Math"/>
                <w:i/>
              </w:rPr>
            </m:ctrlPr>
          </m:sSubPr>
          <m:e>
            <m:r>
              <w:rPr>
                <w:rFonts w:ascii="Cambria Math" w:hAnsi="Cambria Math"/>
              </w:rPr>
              <m:t>B</m:t>
            </m:r>
            <m:r>
              <w:rPr>
                <w:rFonts w:ascii="Cambria Math" w:hAnsi="Cambria Math"/>
                <w:lang w:val="sv-SE"/>
              </w:rPr>
              <m:t>=</m:t>
            </m:r>
            <m:r>
              <w:rPr>
                <w:rFonts w:ascii="Cambria Math" w:hAnsi="Cambria Math"/>
              </w:rPr>
              <m:t>B</m:t>
            </m:r>
            <m:r>
              <w:rPr>
                <w:rFonts w:ascii="Cambria Math" w:hAnsi="Cambria Math"/>
                <w:lang w:val="sv-SE"/>
              </w:rPr>
              <m:t>∪</m:t>
            </m:r>
            <m:r>
              <w:rPr>
                <w:rFonts w:ascii="Cambria Math" w:hAnsi="Cambria Math"/>
              </w:rPr>
              <m:t>b</m:t>
            </m:r>
          </m:e>
          <m:sub>
            <m:r>
              <m:rPr>
                <m:nor/>
              </m:rPr>
              <w:rPr>
                <w:rFonts w:ascii="Cambria Math"/>
                <w:i/>
                <w:iCs/>
                <w:lang w:val="sv-SE"/>
              </w:rPr>
              <m:t>r,k,</m:t>
            </m:r>
            <m:sSub>
              <m:sSubPr>
                <m:ctrlPr>
                  <w:rPr>
                    <w:rFonts w:ascii="Cambria Math" w:hAnsi="Cambria Math"/>
                    <w:i/>
                  </w:rPr>
                </m:ctrlPr>
              </m:sSubPr>
              <m:e>
                <m:r>
                  <w:rPr>
                    <w:rFonts w:ascii="Cambria Math" w:hAnsi="Cambria Math"/>
                  </w:rPr>
                  <m:t>n</m:t>
                </m:r>
              </m:e>
              <m:sub>
                <m:r>
                  <w:rPr>
                    <w:rFonts w:ascii="Cambria Math" w:hAnsi="Cambria Math"/>
                  </w:rPr>
                  <m:t>D</m:t>
                </m:r>
              </m:sub>
            </m:sSub>
            <m:ctrlPr>
              <w:rPr>
                <w:rFonts w:ascii="Cambria Math" w:hAnsi="Cambria Math"/>
              </w:rPr>
            </m:ctrlPr>
          </m:sub>
        </m:sSub>
      </m:oMath>
      <w:r w:rsidR="00095BC2" w:rsidRPr="007B5011">
        <w:rPr>
          <w:rFonts w:cs="Arial"/>
          <w:lang w:val="sv-SE" w:eastAsia="zh-CN"/>
        </w:rPr>
        <w:t>;</w:t>
      </w:r>
    </w:p>
    <w:p w14:paraId="50F7B602" w14:textId="77777777" w:rsidR="00095BC2" w:rsidRPr="00B27E56" w:rsidRDefault="00095BC2" w:rsidP="00095BC2">
      <w:pPr>
        <w:pStyle w:val="B5"/>
        <w:ind w:left="2268"/>
        <w:rPr>
          <w:lang w:eastAsia="zh-CN"/>
        </w:rPr>
      </w:pPr>
      <w:r w:rsidRPr="00B27E56">
        <w:rPr>
          <w:lang w:eastAsia="zh-CN"/>
        </w:rPr>
        <w:t>else</w:t>
      </w:r>
    </w:p>
    <w:p w14:paraId="4A0E5D5E" w14:textId="546730C2" w:rsidR="00095BC2" w:rsidRPr="00B27E56" w:rsidRDefault="00095BC2" w:rsidP="00095BC2">
      <w:pPr>
        <w:pStyle w:val="B5"/>
        <w:ind w:left="2552"/>
        <w:rPr>
          <w:lang w:eastAsia="zh-CN"/>
        </w:rPr>
      </w:pPr>
      <m:oMath>
        <m:r>
          <w:rPr>
            <w:rFonts w:ascii="Cambria Math" w:hAnsi="Cambria Math"/>
            <w:lang w:eastAsia="zh-CN"/>
          </w:rPr>
          <m:t>r=r+1</m:t>
        </m:r>
      </m:oMath>
      <w:r w:rsidRPr="00B27E56">
        <w:rPr>
          <w:lang w:eastAsia="zh-CN"/>
        </w:rPr>
        <w:t xml:space="preserve">; </w:t>
      </w:r>
    </w:p>
    <w:p w14:paraId="2420B58B" w14:textId="77777777" w:rsidR="00095BC2" w:rsidRPr="00B27E56" w:rsidRDefault="00095BC2" w:rsidP="00095BC2">
      <w:pPr>
        <w:pStyle w:val="B5"/>
        <w:ind w:left="2268"/>
        <w:rPr>
          <w:rFonts w:cs="Arial"/>
          <w:lang w:eastAsia="zh-CN"/>
        </w:rPr>
      </w:pPr>
      <w:r w:rsidRPr="00B27E56">
        <w:rPr>
          <w:rFonts w:cs="Arial"/>
          <w:lang w:eastAsia="zh-CN"/>
        </w:rPr>
        <w:t>end if</w:t>
      </w:r>
    </w:p>
    <w:p w14:paraId="15E15989" w14:textId="77777777" w:rsidR="00095BC2" w:rsidRPr="00B27E56" w:rsidRDefault="00095BC2" w:rsidP="00095BC2">
      <w:pPr>
        <w:pStyle w:val="B5"/>
        <w:ind w:left="1985"/>
        <w:rPr>
          <w:lang w:eastAsia="zh-CN"/>
        </w:rPr>
      </w:pPr>
      <w:r w:rsidRPr="00B27E56">
        <w:rPr>
          <w:lang w:eastAsia="zh-CN"/>
        </w:rPr>
        <w:t>end while</w:t>
      </w:r>
    </w:p>
    <w:p w14:paraId="01348D8D" w14:textId="2811AE42" w:rsidR="00095BC2" w:rsidRPr="00B27E56" w:rsidRDefault="00000000" w:rsidP="00095BC2">
      <w:pPr>
        <w:pStyle w:val="B5"/>
        <w:ind w:left="1985"/>
        <w:rPr>
          <w:rFonts w:cs="Arial"/>
          <w:lang w:eastAsia="zh-CN"/>
        </w:rPr>
      </w:pPr>
      <m:oMath>
        <m:sSub>
          <m:sSubPr>
            <m:ctrlPr>
              <w:rPr>
                <w:rFonts w:ascii="Cambria Math" w:hAnsi="Cambria Math"/>
                <w:i/>
              </w:rPr>
            </m:ctrlPr>
          </m:sSubPr>
          <m:e>
            <m:r>
              <w:rPr>
                <w:rFonts w:ascii="Cambria Math" w:hAnsi="Cambria Math"/>
              </w:rPr>
              <m:t>M</m:t>
            </m:r>
          </m:e>
          <m:sub>
            <m:r>
              <m:rPr>
                <m:nor/>
              </m:rPr>
              <w:rPr>
                <w:rFonts w:ascii="Cambria Math"/>
                <w:i/>
                <w:iCs/>
              </w:rPr>
              <m:t>A,c</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M</m:t>
            </m:r>
          </m:e>
          <m:sub>
            <m:r>
              <m:rPr>
                <m:nor/>
              </m:rPr>
              <w:rPr>
                <w:rFonts w:ascii="Cambria Math"/>
                <w:i/>
                <w:iCs/>
              </w:rPr>
              <m:t>A,c</m:t>
            </m:r>
            <m:ctrlPr>
              <w:rPr>
                <w:rFonts w:ascii="Cambria Math" w:hAnsi="Cambria Math"/>
              </w:rPr>
            </m:ctrlPr>
          </m:sub>
        </m:sSub>
        <m:r>
          <w:rPr>
            <w:rFonts w:ascii="Cambria Math" w:hAnsi="Cambria Math"/>
          </w:rPr>
          <m:t>∪j</m:t>
        </m:r>
      </m:oMath>
      <w:r w:rsidR="00095BC2" w:rsidRPr="00B27E56">
        <w:rPr>
          <w:rFonts w:cs="Arial"/>
          <w:noProof/>
        </w:rPr>
        <w:t>;</w:t>
      </w:r>
    </w:p>
    <w:p w14:paraId="58271737" w14:textId="33E072D6" w:rsidR="00095BC2" w:rsidRPr="00B27E56" w:rsidRDefault="00095BC2" w:rsidP="00095BC2">
      <w:pPr>
        <w:pStyle w:val="B5"/>
        <w:ind w:left="1985"/>
        <w:rPr>
          <w:lang w:eastAsia="zh-CN"/>
        </w:rPr>
      </w:pPr>
      <m:oMath>
        <m:r>
          <w:rPr>
            <w:rFonts w:ascii="Cambria Math" w:hAnsi="Cambria Math"/>
          </w:rPr>
          <m:t>j=j+1</m:t>
        </m:r>
      </m:oMath>
      <w:r w:rsidRPr="00B27E56">
        <w:t>;</w:t>
      </w:r>
    </w:p>
    <w:p w14:paraId="6EB26D46" w14:textId="6D38627D" w:rsidR="00095BC2" w:rsidRPr="00B27E56" w:rsidRDefault="00095BC2" w:rsidP="00095BC2">
      <w:pPr>
        <w:pStyle w:val="B5"/>
        <w:ind w:left="1985"/>
        <w:rPr>
          <w:i/>
          <w:lang w:eastAsia="zh-CN"/>
        </w:rPr>
      </w:pPr>
      <w:r w:rsidRPr="00B27E56">
        <w:rPr>
          <w:rFonts w:hint="eastAsia"/>
          <w:lang w:eastAsia="zh-CN"/>
        </w:rPr>
        <w:t xml:space="preserve">Set </w:t>
      </w:r>
      <m:oMath>
        <m:r>
          <w:rPr>
            <w:rFonts w:ascii="Cambria Math" w:hAnsi="Cambria Math"/>
          </w:rPr>
          <m:t>m</m:t>
        </m:r>
      </m:oMath>
      <w:r w:rsidRPr="00B27E56">
        <w:rPr>
          <w:rFonts w:hint="eastAsia"/>
          <w:lang w:eastAsia="zh-CN"/>
        </w:rPr>
        <w:t xml:space="preserve"> to </w:t>
      </w:r>
      <w:r w:rsidRPr="00B27E56">
        <w:rPr>
          <w:lang w:eastAsia="zh-CN"/>
        </w:rPr>
        <w:t xml:space="preserve">the smallest last </w:t>
      </w:r>
      <w:r w:rsidRPr="00B27E56">
        <w:rPr>
          <w:rFonts w:hint="eastAsia"/>
          <w:lang w:eastAsia="zh-CN"/>
        </w:rPr>
        <w:t>OFDM symbol index among all</w:t>
      </w:r>
      <w:r w:rsidRPr="00B27E56">
        <w:rPr>
          <w:lang w:eastAsia="zh-CN"/>
        </w:rPr>
        <w:t xml:space="preserve"> rows of </w:t>
      </w:r>
      <m:oMath>
        <m:r>
          <w:rPr>
            <w:rFonts w:ascii="Cambria Math" w:hAnsi="Cambria Math"/>
          </w:rPr>
          <m:t>R</m:t>
        </m:r>
      </m:oMath>
      <w:r w:rsidRPr="00B27E56">
        <w:rPr>
          <w:rFonts w:hint="eastAsia"/>
          <w:lang w:eastAsia="zh-CN"/>
        </w:rPr>
        <w:t>;</w:t>
      </w:r>
    </w:p>
    <w:p w14:paraId="5B32462F" w14:textId="77777777" w:rsidR="00A90F55" w:rsidRPr="003901B7" w:rsidRDefault="00A90F55" w:rsidP="00A90F55">
      <w:pPr>
        <w:pStyle w:val="B5"/>
        <w:rPr>
          <w:lang w:eastAsia="zh-CN"/>
        </w:rPr>
      </w:pPr>
      <w:r w:rsidRPr="003901B7">
        <w:rPr>
          <w:lang w:eastAsia="zh-CN"/>
        </w:rPr>
        <w:t>end while</w:t>
      </w:r>
    </w:p>
    <w:p w14:paraId="32BB63B3" w14:textId="77777777" w:rsidR="00A90F55" w:rsidRPr="003901B7" w:rsidRDefault="00A90F55" w:rsidP="00A90F55">
      <w:pPr>
        <w:pStyle w:val="B4"/>
        <w:rPr>
          <w:lang w:eastAsia="zh-CN"/>
        </w:rPr>
      </w:pPr>
      <w:r w:rsidRPr="003901B7">
        <w:rPr>
          <w:lang w:eastAsia="zh-CN"/>
        </w:rPr>
        <w:t>end if</w:t>
      </w:r>
    </w:p>
    <w:p w14:paraId="59EC8FB6" w14:textId="77777777" w:rsidR="00A90F55" w:rsidRPr="003901B7" w:rsidRDefault="00000000" w:rsidP="00A90F55">
      <w:pPr>
        <w:pStyle w:val="B4"/>
        <w:rPr>
          <w:lang w:eastAsia="zh-CN"/>
        </w:rPr>
      </w:pPr>
      <m:oMath>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+1</m:t>
        </m:r>
      </m:oMath>
      <w:r w:rsidR="00A90F55" w:rsidRPr="003901B7">
        <w:t>;</w:t>
      </w:r>
    </w:p>
    <w:p w14:paraId="6352101B" w14:textId="77777777" w:rsidR="00A90F55" w:rsidRPr="003901B7" w:rsidRDefault="00A90F55" w:rsidP="00A90F55">
      <w:pPr>
        <w:pStyle w:val="B3"/>
        <w:rPr>
          <w:i/>
          <w:lang w:eastAsia="zh-CN"/>
        </w:rPr>
      </w:pPr>
      <w:r w:rsidRPr="003901B7">
        <w:rPr>
          <w:lang w:eastAsia="zh-CN"/>
        </w:rPr>
        <w:t>end if</w:t>
      </w:r>
    </w:p>
    <w:p w14:paraId="5E40D797" w14:textId="77777777" w:rsidR="00A90F55" w:rsidRPr="003901B7" w:rsidRDefault="00A90F55" w:rsidP="00A90F55">
      <w:pPr>
        <w:pStyle w:val="B2"/>
        <w:rPr>
          <w:lang w:eastAsia="zh-CN"/>
        </w:rPr>
      </w:pPr>
      <w:r w:rsidRPr="003901B7">
        <w:rPr>
          <w:lang w:eastAsia="zh-CN"/>
        </w:rPr>
        <w:t>end while</w:t>
      </w:r>
    </w:p>
    <w:p w14:paraId="1A728403" w14:textId="77777777" w:rsidR="00095BC2" w:rsidRPr="00B27E56" w:rsidRDefault="00095BC2" w:rsidP="00095BC2">
      <w:pPr>
        <w:pStyle w:val="B1"/>
        <w:rPr>
          <w:lang w:eastAsia="zh-CN"/>
        </w:rPr>
      </w:pPr>
      <w:r w:rsidRPr="00B27E56">
        <w:rPr>
          <w:lang w:eastAsia="zh-CN"/>
        </w:rPr>
        <w:t>end if</w:t>
      </w:r>
    </w:p>
    <w:p w14:paraId="363F189E" w14:textId="4C4F68B9" w:rsidR="00095BC2" w:rsidRPr="00B27E56" w:rsidRDefault="00095BC2" w:rsidP="00095BC2">
      <w:pPr>
        <w:pStyle w:val="B1"/>
        <w:rPr>
          <w:lang w:val="en-US" w:eastAsia="zh-CN"/>
        </w:rPr>
      </w:pPr>
      <m:oMath>
        <m:r>
          <w:rPr>
            <w:rFonts w:ascii="Cambria Math" w:hAnsi="Cambria Math"/>
          </w:rPr>
          <m:t>k=k+1</m:t>
        </m:r>
      </m:oMath>
      <w:r w:rsidRPr="00B27E56">
        <w:rPr>
          <w:lang w:val="en-US"/>
        </w:rPr>
        <w:t>;</w:t>
      </w:r>
    </w:p>
    <w:p w14:paraId="2DA041B6" w14:textId="77777777" w:rsidR="00095BC2" w:rsidRPr="00B27E56" w:rsidRDefault="00095BC2" w:rsidP="00095BC2">
      <w:pPr>
        <w:rPr>
          <w:lang w:eastAsia="zh-CN"/>
        </w:rPr>
      </w:pPr>
      <w:r w:rsidRPr="00B27E56">
        <w:rPr>
          <w:lang w:eastAsia="zh-CN"/>
        </w:rPr>
        <w:t>end while</w:t>
      </w:r>
    </w:p>
    <w:p w14:paraId="7805B490" w14:textId="77777777" w:rsidR="00095BC2" w:rsidRPr="00B27E56" w:rsidRDefault="00095BC2" w:rsidP="00095BC2">
      <w:pPr>
        <w:rPr>
          <w:lang w:eastAsia="zh-CN"/>
        </w:rPr>
      </w:pPr>
      <w:r w:rsidRPr="00B27E56">
        <w:rPr>
          <w:lang w:eastAsia="zh-CN"/>
        </w:rPr>
        <w:t>end if</w:t>
      </w:r>
    </w:p>
    <w:p w14:paraId="0DECE32A" w14:textId="0EF9606A" w:rsidR="00095BC2" w:rsidRPr="00B27E56" w:rsidRDefault="00095BC2" w:rsidP="00095BC2">
      <w:pPr>
        <w:rPr>
          <w:lang w:eastAsia="zh-CN"/>
        </w:rPr>
      </w:pPr>
      <w:r w:rsidRPr="00B27E56">
        <w:rPr>
          <w:rFonts w:hint="eastAsia"/>
          <w:lang w:eastAsia="zh-CN"/>
        </w:rPr>
        <w:t>I</w:t>
      </w:r>
      <w:r w:rsidRPr="00B27E56">
        <w:rPr>
          <w:lang w:eastAsia="zh-CN"/>
        </w:rPr>
        <w:t>f</w:t>
      </w:r>
      <w:r w:rsidRPr="00B27E56">
        <w:rPr>
          <w:rFonts w:hint="eastAsia"/>
          <w:lang w:eastAsia="zh-CN"/>
        </w:rPr>
        <w:t xml:space="preserve"> </w:t>
      </w:r>
      <w:r w:rsidRPr="00B27E56">
        <w:t>the UE indicate</w:t>
      </w:r>
      <w:r w:rsidRPr="00B27E56">
        <w:rPr>
          <w:rFonts w:hint="eastAsia"/>
          <w:lang w:eastAsia="zh-CN"/>
        </w:rPr>
        <w:t>s</w:t>
      </w:r>
      <w:r w:rsidRPr="00B27E56">
        <w:t xml:space="preserve"> a capability to receive</w:t>
      </w:r>
      <w:r w:rsidRPr="00B27E56">
        <w:rPr>
          <w:rFonts w:hint="eastAsia"/>
          <w:lang w:eastAsia="zh-CN"/>
        </w:rPr>
        <w:t xml:space="preserve"> </w:t>
      </w:r>
      <w:r w:rsidRPr="00B27E56">
        <w:rPr>
          <w:lang w:eastAsia="zh-CN"/>
        </w:rPr>
        <w:t>more than</w:t>
      </w:r>
      <w:r w:rsidRPr="00B27E56">
        <w:rPr>
          <w:rFonts w:hint="eastAsia"/>
          <w:lang w:eastAsia="zh-CN"/>
        </w:rPr>
        <w:t xml:space="preserve"> </w:t>
      </w:r>
      <w:r w:rsidRPr="00B27E56">
        <w:t>one PDSCH per slo</w:t>
      </w:r>
      <w:r w:rsidRPr="00B27E56">
        <w:rPr>
          <w:rFonts w:hint="eastAsia"/>
          <w:lang w:eastAsia="zh-CN"/>
        </w:rPr>
        <w:t>t,</w:t>
      </w:r>
      <w:r w:rsidRPr="00B27E56">
        <w:rPr>
          <w:lang w:eastAsia="zh-CN"/>
        </w:rPr>
        <w:t xml:space="preserve"> f</w:t>
      </w:r>
      <w:r w:rsidRPr="00B27E56">
        <w:rPr>
          <w:rFonts w:hint="eastAsia"/>
          <w:lang w:eastAsia="zh-CN"/>
        </w:rPr>
        <w:t xml:space="preserve">or </w:t>
      </w:r>
      <w:r w:rsidRPr="00B27E56">
        <w:rPr>
          <w:lang w:eastAsia="zh-CN"/>
        </w:rPr>
        <w:t xml:space="preserve">occasions of candidate PDSCH receptions corresponding to </w:t>
      </w:r>
      <w:r w:rsidRPr="00B27E56">
        <w:rPr>
          <w:rFonts w:hint="eastAsia"/>
          <w:lang w:eastAsia="zh-CN"/>
        </w:rPr>
        <w:t xml:space="preserve">rows of </w:t>
      </w:r>
      <m:oMath>
        <m:r>
          <w:rPr>
            <w:rFonts w:ascii="Cambria Math" w:hAnsi="Cambria Math"/>
            <w:lang w:eastAsia="zh-CN"/>
          </w:rPr>
          <m:t>R</m:t>
        </m:r>
      </m:oMath>
      <w:r w:rsidRPr="00B27E56" w:rsidDel="004F5290">
        <w:rPr>
          <w:position w:val="-4"/>
          <w:lang w:eastAsia="zh-CN"/>
        </w:rPr>
        <w:t xml:space="preserve"> </w:t>
      </w:r>
      <w:r w:rsidRPr="00B27E56">
        <w:rPr>
          <w:lang w:eastAsia="zh-CN"/>
        </w:rPr>
        <w:t>associated</w:t>
      </w:r>
      <w:r w:rsidRPr="00B27E56">
        <w:rPr>
          <w:rFonts w:hint="eastAsia"/>
          <w:lang w:eastAsia="zh-CN"/>
        </w:rPr>
        <w:t xml:space="preserve"> with a same value of </w:t>
      </w:r>
      <m:oMath>
        <m:sSub>
          <m:sSubPr>
            <m:ctrlPr>
              <w:rPr>
                <w:rFonts w:ascii="Cambria Math" w:hAnsi="Cambria Math"/>
                <w:i/>
              </w:rPr>
            </m:ctrlPr>
          </m:sSubPr>
          <m:e>
            <m:r>
              <w:rPr>
                <w:rFonts w:ascii="Cambria Math" w:hAnsi="Cambria Math"/>
              </w:rPr>
              <m:t>b</m:t>
            </m:r>
          </m:e>
          <m:sub>
            <m:r>
              <m:rPr>
                <m:nor/>
              </m:rPr>
              <w:rPr>
                <w:rFonts w:ascii="Cambria Math"/>
                <w:i/>
                <w:iCs/>
              </w:rPr>
              <m:t>r,k,</m:t>
            </m:r>
            <m:sSub>
              <m:sSubPr>
                <m:ctrlPr>
                  <w:rPr>
                    <w:rFonts w:ascii="Cambria Math" w:hAnsi="Cambria Math"/>
                    <w:i/>
                  </w:rPr>
                </m:ctrlPr>
              </m:sSubPr>
              <m:e>
                <m:r>
                  <w:rPr>
                    <w:rFonts w:ascii="Cambria Math" w:hAnsi="Cambria Math"/>
                  </w:rPr>
                  <m:t>n</m:t>
                </m:r>
              </m:e>
              <m:sub>
                <m:r>
                  <w:rPr>
                    <w:rFonts w:ascii="Cambria Math" w:hAnsi="Cambria Math"/>
                  </w:rPr>
                  <m:t>D</m:t>
                </m:r>
              </m:sub>
            </m:sSub>
            <m:ctrlPr>
              <w:rPr>
                <w:rFonts w:ascii="Cambria Math" w:hAnsi="Cambria Math"/>
              </w:rPr>
            </m:ctrlPr>
          </m:sub>
        </m:sSub>
      </m:oMath>
      <w:r w:rsidRPr="00B27E56">
        <w:rPr>
          <w:rFonts w:hint="eastAsia"/>
          <w:lang w:eastAsia="zh-CN"/>
        </w:rPr>
        <w:t>,</w:t>
      </w:r>
      <w:r w:rsidRPr="00B27E56">
        <w:rPr>
          <w:lang w:eastAsia="zh-CN"/>
        </w:rPr>
        <w:t xml:space="preserve"> </w:t>
      </w:r>
      <w:r w:rsidRPr="00B27E56">
        <w:rPr>
          <w:rFonts w:hint="eastAsia"/>
          <w:lang w:eastAsia="zh-CN"/>
        </w:rPr>
        <w:t xml:space="preserve">where </w:t>
      </w:r>
      <m:oMath>
        <m:sSub>
          <m:sSubPr>
            <m:ctrlPr>
              <w:rPr>
                <w:rFonts w:ascii="Cambria Math" w:hAnsi="Cambria Math"/>
                <w:i/>
              </w:rPr>
            </m:ctrlPr>
          </m:sSubPr>
          <m:e>
            <m:r>
              <w:rPr>
                <w:rFonts w:ascii="Cambria Math" w:hAnsi="Cambria Math"/>
              </w:rPr>
              <m:t>b</m:t>
            </m:r>
          </m:e>
          <m:sub>
            <m:r>
              <m:rPr>
                <m:nor/>
              </m:rPr>
              <w:rPr>
                <w:rFonts w:ascii="Cambria Math"/>
                <w:i/>
                <w:iCs/>
              </w:rPr>
              <m:t>r,k,</m:t>
            </m:r>
            <m:sSub>
              <m:sSubPr>
                <m:ctrlPr>
                  <w:rPr>
                    <w:rFonts w:ascii="Cambria Math" w:hAnsi="Cambria Math"/>
                    <w:i/>
                  </w:rPr>
                </m:ctrlPr>
              </m:sSubPr>
              <m:e>
                <m:r>
                  <w:rPr>
                    <w:rFonts w:ascii="Cambria Math" w:hAnsi="Cambria Math"/>
                  </w:rPr>
                  <m:t>n</m:t>
                </m:r>
              </m:e>
              <m:sub>
                <m:r>
                  <w:rPr>
                    <w:rFonts w:ascii="Cambria Math" w:hAnsi="Cambria Math"/>
                  </w:rPr>
                  <m:t>D</m:t>
                </m:r>
              </m:sub>
            </m:sSub>
            <m:ctrlPr>
              <w:rPr>
                <w:rFonts w:ascii="Cambria Math" w:hAnsi="Cambria Math"/>
              </w:rPr>
            </m:ctrlPr>
          </m:sub>
        </m:sSub>
        <m:r>
          <w:rPr>
            <w:rFonts w:ascii="Cambria Math" w:hAnsi="Cambria Math"/>
          </w:rPr>
          <m:t>∈B</m:t>
        </m:r>
      </m:oMath>
      <w:r w:rsidRPr="00B27E56">
        <w:rPr>
          <w:rFonts w:hint="eastAsia"/>
          <w:lang w:eastAsia="zh-CN"/>
        </w:rPr>
        <w:t xml:space="preserve">, </w:t>
      </w:r>
      <w:r w:rsidRPr="00B27E56">
        <w:rPr>
          <w:lang w:eastAsia="zh-CN"/>
        </w:rPr>
        <w:t xml:space="preserve">the </w:t>
      </w:r>
      <w:r w:rsidRPr="00B27E56">
        <w:rPr>
          <w:rFonts w:hint="eastAsia"/>
          <w:lang w:eastAsia="zh-CN"/>
        </w:rPr>
        <w:t xml:space="preserve">UE </w:t>
      </w:r>
      <w:r w:rsidRPr="00B27E56">
        <w:rPr>
          <w:lang w:eastAsia="zh-CN"/>
        </w:rPr>
        <w:t>does</w:t>
      </w:r>
      <w:r w:rsidRPr="00B27E56">
        <w:rPr>
          <w:rFonts w:hint="eastAsia"/>
          <w:lang w:eastAsia="zh-CN"/>
        </w:rPr>
        <w:t xml:space="preserve"> not expect to receive more than one PDSCH </w:t>
      </w:r>
      <w:r w:rsidRPr="00B27E56">
        <w:rPr>
          <w:lang w:eastAsia="zh-CN"/>
        </w:rPr>
        <w:t>i</w:t>
      </w:r>
      <w:r w:rsidRPr="00B27E56">
        <w:rPr>
          <w:rFonts w:hint="eastAsia"/>
          <w:lang w:eastAsia="zh-CN"/>
        </w:rPr>
        <w:t xml:space="preserve">n a same </w:t>
      </w:r>
      <w:r w:rsidRPr="00B27E56">
        <w:rPr>
          <w:lang w:eastAsia="zh-CN"/>
        </w:rPr>
        <w:t xml:space="preserve">DL </w:t>
      </w:r>
      <w:r w:rsidRPr="00B27E56">
        <w:rPr>
          <w:rFonts w:hint="eastAsia"/>
          <w:lang w:eastAsia="zh-CN"/>
        </w:rPr>
        <w:t>slot</w:t>
      </w:r>
      <w:r w:rsidRPr="00B27E56">
        <w:rPr>
          <w:lang w:eastAsia="zh-CN"/>
        </w:rPr>
        <w:t xml:space="preserve"> </w:t>
      </w:r>
      <w:r w:rsidRPr="00B27E56">
        <w:t>assoc</w:t>
      </w:r>
      <w:r w:rsidRPr="00B27E56">
        <w:rPr>
          <w:rFonts w:hint="eastAsia"/>
        </w:rPr>
        <w:t>i</w:t>
      </w:r>
      <w:r w:rsidRPr="00B27E56">
        <w:t>ated</w:t>
      </w:r>
      <w:r w:rsidRPr="00B27E56">
        <w:rPr>
          <w:rFonts w:hint="eastAsia"/>
        </w:rPr>
        <w:t xml:space="preserve"> with </w:t>
      </w:r>
      <w:r w:rsidRPr="00B27E56">
        <w:t xml:space="preserve">a </w:t>
      </w:r>
      <w:r w:rsidRPr="00B27E56">
        <w:rPr>
          <w:rFonts w:hint="eastAsia"/>
        </w:rPr>
        <w:t xml:space="preserve">same </w:t>
      </w:r>
      <w:r w:rsidRPr="00B27E56">
        <w:rPr>
          <w:i/>
        </w:rPr>
        <w:t>coresetPoolIndex</w:t>
      </w:r>
      <w:r w:rsidRPr="00B27E56">
        <w:rPr>
          <w:rFonts w:hint="eastAsia"/>
        </w:rPr>
        <w:t xml:space="preserve"> </w:t>
      </w:r>
      <w:r w:rsidRPr="00B27E56">
        <w:t xml:space="preserve">value if provided, or if </w:t>
      </w:r>
      <w:r w:rsidRPr="00B27E56">
        <w:rPr>
          <w:i/>
        </w:rPr>
        <w:t>coresetPoolIndex</w:t>
      </w:r>
      <w:r w:rsidRPr="00B27E56">
        <w:t xml:space="preserve"> is not provided</w:t>
      </w:r>
      <w:r w:rsidRPr="00B27E56">
        <w:rPr>
          <w:rFonts w:hint="eastAsia"/>
          <w:lang w:eastAsia="zh-CN"/>
        </w:rPr>
        <w:t xml:space="preserve">. </w:t>
      </w:r>
    </w:p>
    <w:p w14:paraId="53D376A2" w14:textId="1E7CE43B" w:rsidR="00095BC2" w:rsidRPr="00B27E56" w:rsidRDefault="00095BC2" w:rsidP="00095BC2">
      <w:r w:rsidRPr="00B27E56">
        <w:rPr>
          <w:rFonts w:hint="eastAsia"/>
          <w:lang w:eastAsia="zh-CN"/>
        </w:rPr>
        <w:t xml:space="preserve">If </w:t>
      </w:r>
      <w:r w:rsidRPr="00B27E56">
        <w:rPr>
          <w:lang w:eastAsia="zh-CN"/>
        </w:rPr>
        <w:t xml:space="preserve">a </w:t>
      </w:r>
      <w:r w:rsidRPr="00B27E56">
        <w:t xml:space="preserve">UE receives a SPS PDSCH, or a SPS PDSCH release, </w:t>
      </w:r>
      <w:r w:rsidR="00C926CF" w:rsidRPr="00F415B1">
        <w:t xml:space="preserve">or TCI state update, </w:t>
      </w:r>
      <w:r w:rsidRPr="00B27E56">
        <w:t>or a PDSCH that is scheduled by a DCI format that does not support CBG-based PDSCH receptions and if</w:t>
      </w:r>
    </w:p>
    <w:p w14:paraId="727AFD6A" w14:textId="77777777" w:rsidR="00095BC2" w:rsidRPr="00B27E56" w:rsidRDefault="00095BC2" w:rsidP="00095BC2">
      <w:pPr>
        <w:pStyle w:val="B1"/>
      </w:pPr>
      <w:r w:rsidRPr="00B27E56">
        <w:t>-</w:t>
      </w:r>
      <w:r w:rsidRPr="00B27E56">
        <w:tab/>
      </w:r>
      <w:r w:rsidRPr="00B27E56">
        <w:rPr>
          <w:lang w:val="en-US"/>
        </w:rPr>
        <w:t>the UE is configured with one serving cell, and</w:t>
      </w:r>
    </w:p>
    <w:p w14:paraId="7358C02B" w14:textId="5CEF6AA4" w:rsidR="00095BC2" w:rsidRPr="00B27E56" w:rsidRDefault="00095BC2" w:rsidP="00095BC2">
      <w:pPr>
        <w:pStyle w:val="B1"/>
        <w:rPr>
          <w:lang w:val="en-US"/>
        </w:rPr>
      </w:pPr>
      <w:r w:rsidRPr="00B27E56">
        <w:t>-</w:t>
      </w:r>
      <w:r w:rsidRPr="00B27E56">
        <w:tab/>
      </w:r>
      <m:oMath>
        <m:r>
          <m:rPr>
            <m:nor/>
          </m:rPr>
          <w:rPr>
            <w:rFonts w:ascii="Freestyle Script" w:hAnsi="Freestyle Script"/>
          </w:rPr>
          <m:t>C</m:t>
        </m:r>
        <m:d>
          <m:dPr>
            <m:ctrlPr>
              <w:rPr>
                <w:rFonts w:ascii="Cambria Math" w:hAnsi="Cambria Math" w:cs="Helvetica"/>
                <w:i/>
              </w:rPr>
            </m:ctrlPr>
          </m:dPr>
          <m:e>
            <m:sSub>
              <m:sSubPr>
                <m:ctrlPr>
                  <w:rPr>
                    <w:rFonts w:ascii="Cambria Math" w:hAnsi="Cambria Math"/>
                    <w:i/>
                  </w:rPr>
                </m:ctrlPr>
              </m:sSubPr>
              <m:e>
                <m:r>
                  <w:rPr>
                    <w:rFonts w:ascii="Cambria Math" w:hAnsi="Cambria Math"/>
                  </w:rPr>
                  <m:t>M</m:t>
                </m:r>
              </m:e>
              <m:sub>
                <m:r>
                  <m:rPr>
                    <m:nor/>
                  </m:rPr>
                  <w:rPr>
                    <w:rFonts w:ascii="Cambria Math"/>
                    <w:i/>
                    <w:iCs/>
                  </w:rPr>
                  <m:t>A,c</m:t>
                </m:r>
                <m:ctrlPr>
                  <w:rPr>
                    <w:rFonts w:ascii="Cambria Math" w:hAnsi="Cambria Math"/>
                  </w:rPr>
                </m:ctrlPr>
              </m:sub>
            </m:sSub>
          </m:e>
        </m:d>
        <m:r>
          <w:rPr>
            <w:rFonts w:ascii="Cambria Math" w:hAnsi="Cambria Math" w:cs="Helvetica"/>
          </w:rPr>
          <m:t>=1</m:t>
        </m:r>
      </m:oMath>
      <w:r w:rsidRPr="00B27E56">
        <w:rPr>
          <w:rFonts w:cs="Arial"/>
          <w:lang w:val="en-US" w:eastAsia="zh-CN"/>
        </w:rPr>
        <w:t>, and</w:t>
      </w:r>
    </w:p>
    <w:p w14:paraId="2ED12AC8" w14:textId="77777777" w:rsidR="00095BC2" w:rsidRPr="00B27E56" w:rsidRDefault="00095BC2" w:rsidP="00095BC2">
      <w:pPr>
        <w:pStyle w:val="B1"/>
      </w:pPr>
      <w:r w:rsidRPr="00B27E56">
        <w:t>-</w:t>
      </w:r>
      <w:r w:rsidRPr="00B27E56">
        <w:tab/>
      </w:r>
      <w:r w:rsidRPr="00B27E56">
        <w:rPr>
          <w:i/>
        </w:rPr>
        <w:t>PDSCH-CodeBlockGroupTransmission</w:t>
      </w:r>
      <w:r w:rsidRPr="00B27E56">
        <w:t xml:space="preserve"> is provided</w:t>
      </w:r>
      <w:r w:rsidRPr="00B27E56">
        <w:rPr>
          <w:rFonts w:hint="eastAsia"/>
          <w:lang w:eastAsia="zh-CN"/>
        </w:rPr>
        <w:t xml:space="preserve"> </w:t>
      </w:r>
      <w:r w:rsidRPr="00B27E56">
        <w:rPr>
          <w:lang w:eastAsia="zh-CN"/>
        </w:rPr>
        <w:t>to the UE</w:t>
      </w:r>
    </w:p>
    <w:p w14:paraId="2963098F" w14:textId="64498175" w:rsidR="00095BC2" w:rsidRPr="00B27E56" w:rsidRDefault="00095BC2" w:rsidP="00095BC2">
      <w:pPr>
        <w:rPr>
          <w:lang w:val="en-US"/>
        </w:rPr>
      </w:pPr>
      <w:r w:rsidRPr="00B27E56">
        <w:t>the UE generates HARQ-ACK information only for the transport block in the PDSCH</w:t>
      </w:r>
      <w:r w:rsidR="00C926CF">
        <w:t>,</w:t>
      </w:r>
      <w:r w:rsidRPr="00B27E56">
        <w:t xml:space="preserve"> or only for the SPS PDSCH release</w:t>
      </w:r>
      <w:r w:rsidR="00C926CF" w:rsidRPr="00F415B1">
        <w:t>, or only for the TCI state update</w:t>
      </w:r>
      <w:r w:rsidRPr="00B27E56">
        <w:rPr>
          <w:lang w:val="en-US"/>
        </w:rPr>
        <w:t>.</w:t>
      </w:r>
    </w:p>
    <w:p w14:paraId="0834ACFF" w14:textId="0C94184D" w:rsidR="00C52D5B" w:rsidRDefault="00C52D5B" w:rsidP="00C52D5B">
      <w:r>
        <w:rPr>
          <w:rFonts w:hint="eastAsia"/>
          <w:lang w:eastAsia="zh-CN"/>
        </w:rPr>
        <w:t xml:space="preserve">If </w:t>
      </w:r>
      <w:r>
        <w:rPr>
          <w:lang w:eastAsia="zh-CN"/>
        </w:rPr>
        <w:t xml:space="preserve">a </w:t>
      </w:r>
      <w:r w:rsidRPr="00B916EC">
        <w:t xml:space="preserve">UE receives a </w:t>
      </w:r>
      <w:r>
        <w:t xml:space="preserve">SPS PDSCH, or a SPS PDSCH release, </w:t>
      </w:r>
      <w:r w:rsidR="00C926CF" w:rsidRPr="00F415B1">
        <w:t xml:space="preserve">or TCI state update, </w:t>
      </w:r>
      <w:r>
        <w:t xml:space="preserve">or a </w:t>
      </w:r>
      <w:r w:rsidRPr="00B916EC">
        <w:t>PDSCH t</w:t>
      </w:r>
      <w:r>
        <w:t>hat is scheduled by a</w:t>
      </w:r>
      <w:r w:rsidRPr="00B916EC">
        <w:t xml:space="preserve"> DCI format </w:t>
      </w:r>
      <w:r w:rsidR="00ED54C1">
        <w:t>that does not support CBG-based PDSCH receptions</w:t>
      </w:r>
      <w:r>
        <w:t xml:space="preserve"> and if</w:t>
      </w:r>
    </w:p>
    <w:p w14:paraId="67DD6031" w14:textId="77777777" w:rsidR="00C52D5B" w:rsidRDefault="00C52D5B" w:rsidP="00C52D5B">
      <w:pPr>
        <w:pStyle w:val="B1"/>
      </w:pPr>
      <w:r>
        <w:t>-</w:t>
      </w:r>
      <w:r>
        <w:tab/>
      </w:r>
      <w:r>
        <w:rPr>
          <w:lang w:val="en-US"/>
        </w:rPr>
        <w:t>the UE is configured with more than one serving cells, or</w:t>
      </w:r>
    </w:p>
    <w:p w14:paraId="0E2F2042" w14:textId="73055830" w:rsidR="00D82C61" w:rsidRPr="00B27E56" w:rsidRDefault="00D82C61" w:rsidP="00D82C61">
      <w:pPr>
        <w:pStyle w:val="B1"/>
        <w:rPr>
          <w:lang w:val="en-US"/>
        </w:rPr>
      </w:pPr>
      <w:r w:rsidRPr="00B27E56">
        <w:t>-</w:t>
      </w:r>
      <w:r w:rsidRPr="00B27E56">
        <w:tab/>
      </w:r>
      <m:oMath>
        <m:r>
          <m:rPr>
            <m:nor/>
          </m:rPr>
          <w:rPr>
            <w:rFonts w:ascii="Freestyle Script" w:hAnsi="Freestyle Script"/>
          </w:rPr>
          <m:t>C</m:t>
        </m:r>
        <m:d>
          <m:dPr>
            <m:ctrlPr>
              <w:rPr>
                <w:rFonts w:ascii="Cambria Math" w:hAnsi="Cambria Math" w:cs="Helvetica"/>
                <w:i/>
              </w:rPr>
            </m:ctrlPr>
          </m:dPr>
          <m:e>
            <m:sSub>
              <m:sSubPr>
                <m:ctrlPr>
                  <w:rPr>
                    <w:rFonts w:ascii="Cambria Math" w:hAnsi="Cambria Math"/>
                    <w:i/>
                  </w:rPr>
                </m:ctrlPr>
              </m:sSubPr>
              <m:e>
                <m:r>
                  <w:rPr>
                    <w:rFonts w:ascii="Cambria Math" w:hAnsi="Cambria Math"/>
                  </w:rPr>
                  <m:t>M</m:t>
                </m:r>
              </m:e>
              <m:sub>
                <m:r>
                  <m:rPr>
                    <m:nor/>
                  </m:rPr>
                  <w:rPr>
                    <w:rFonts w:ascii="Cambria Math"/>
                    <w:i/>
                    <w:iCs/>
                  </w:rPr>
                  <m:t>A,c</m:t>
                </m:r>
                <m:ctrlPr>
                  <w:rPr>
                    <w:rFonts w:ascii="Cambria Math" w:hAnsi="Cambria Math"/>
                  </w:rPr>
                </m:ctrlPr>
              </m:sub>
            </m:sSub>
          </m:e>
        </m:d>
        <m:r>
          <w:rPr>
            <w:rFonts w:ascii="Cambria Math" w:hAnsi="Cambria Math" w:cs="Helvetica"/>
          </w:rPr>
          <m:t>&gt;1</m:t>
        </m:r>
      </m:oMath>
      <w:r w:rsidRPr="00B27E56">
        <w:rPr>
          <w:rFonts w:cs="Arial"/>
          <w:lang w:val="en-US" w:eastAsia="zh-CN"/>
        </w:rPr>
        <w:t>, and</w:t>
      </w:r>
    </w:p>
    <w:p w14:paraId="0FF57549" w14:textId="77777777" w:rsidR="00C52D5B" w:rsidRDefault="00C52D5B" w:rsidP="00C52D5B">
      <w:pPr>
        <w:pStyle w:val="B1"/>
      </w:pPr>
      <w:r>
        <w:t>-</w:t>
      </w:r>
      <w:r>
        <w:tab/>
      </w:r>
      <w:r w:rsidRPr="00221BBC">
        <w:rPr>
          <w:i/>
        </w:rPr>
        <w:t>PDSCH-CodeBlockGroupTransmission</w:t>
      </w:r>
      <w:r w:rsidRPr="00F35584">
        <w:t xml:space="preserve"> </w:t>
      </w:r>
      <w:r>
        <w:t>is provided</w:t>
      </w:r>
      <w:r>
        <w:rPr>
          <w:rFonts w:hint="eastAsia"/>
          <w:lang w:eastAsia="zh-CN"/>
        </w:rPr>
        <w:t xml:space="preserve"> </w:t>
      </w:r>
      <w:r>
        <w:rPr>
          <w:lang w:eastAsia="zh-CN"/>
        </w:rPr>
        <w:t>to the UE</w:t>
      </w:r>
    </w:p>
    <w:p w14:paraId="5C37E985" w14:textId="13398D16" w:rsidR="00D82C61" w:rsidRPr="00B27E56" w:rsidRDefault="00D82C61" w:rsidP="00D82C61">
      <w:pPr>
        <w:rPr>
          <w:lang w:val="en-US"/>
        </w:rPr>
      </w:pPr>
      <w:r w:rsidRPr="00B27E56">
        <w:t xml:space="preserve">the UE </w:t>
      </w:r>
      <w:r w:rsidRPr="00B27E56">
        <w:rPr>
          <w:rFonts w:eastAsia="Malgun Gothic"/>
        </w:rPr>
        <w:t xml:space="preserve">repeats </w:t>
      </w:r>
      <m:oMath>
        <m:sSubSup>
          <m:sSubSupPr>
            <m:ctrlPr>
              <w:rPr>
                <w:rFonts w:ascii="Cambria Math" w:hAnsi="Cambria Math"/>
                <w:i/>
                <w:lang w:eastAsia="zh-CN"/>
              </w:rPr>
            </m:ctrlPr>
          </m:sSubSupPr>
          <m:e>
            <m:r>
              <w:rPr>
                <w:rFonts w:ascii="Cambria Math" w:hAnsi="Cambria Math"/>
                <w:lang w:eastAsia="zh-CN"/>
              </w:rPr>
              <m:t>N</m:t>
            </m:r>
          </m:e>
          <m:sub>
            <m:r>
              <m:rPr>
                <m:sty m:val="p"/>
              </m:rPr>
              <w:rPr>
                <w:rFonts w:ascii="Cambria Math" w:hAnsi="Cambria Math"/>
                <w:lang w:eastAsia="zh-CN"/>
              </w:rPr>
              <m:t>HARQ-ACK</m:t>
            </m:r>
          </m:sub>
          <m:sup>
            <m:r>
              <m:rPr>
                <m:sty m:val="p"/>
              </m:rPr>
              <w:rPr>
                <w:rFonts w:ascii="Cambria Math" w:hAnsi="Cambria Math"/>
                <w:lang w:eastAsia="zh-CN"/>
              </w:rPr>
              <m:t>CBG/TB,max</m:t>
            </m:r>
          </m:sup>
        </m:sSubSup>
      </m:oMath>
      <w:r w:rsidRPr="00B27E56">
        <w:t xml:space="preserve"> times </w:t>
      </w:r>
      <w:r w:rsidRPr="00B27E56">
        <w:rPr>
          <w:rFonts w:eastAsia="Malgun Gothic"/>
        </w:rPr>
        <w:t xml:space="preserve">the </w:t>
      </w:r>
      <w:r w:rsidRPr="00B27E56">
        <w:rPr>
          <w:lang w:eastAsia="zh-CN"/>
        </w:rPr>
        <w:t>HARQ-ACK information</w:t>
      </w:r>
      <w:r w:rsidRPr="00B27E56">
        <w:t xml:space="preserve"> for the transport block in the PDSCH</w:t>
      </w:r>
      <w:r w:rsidR="00C926CF">
        <w:t>,</w:t>
      </w:r>
      <w:r w:rsidRPr="00B27E56">
        <w:t xml:space="preserve"> or for the SPS PDSCH release</w:t>
      </w:r>
      <w:r w:rsidR="00C926CF">
        <w:t xml:space="preserve">, </w:t>
      </w:r>
      <w:r w:rsidR="00C926CF" w:rsidRPr="00F415B1">
        <w:t>or for the TCI state update</w:t>
      </w:r>
      <w:r w:rsidRPr="00B27E56">
        <w:rPr>
          <w:lang w:val="en-US"/>
        </w:rPr>
        <w:t>.</w:t>
      </w:r>
    </w:p>
    <w:p w14:paraId="6F368597" w14:textId="629A1B08" w:rsidR="00D82C61" w:rsidRPr="00B27E56" w:rsidRDefault="00D82C61" w:rsidP="00D82C61">
      <w:pPr>
        <w:rPr>
          <w:lang w:val="en-US" w:eastAsia="x-none"/>
        </w:rPr>
      </w:pPr>
      <w:r w:rsidRPr="00B27E56">
        <w:rPr>
          <w:lang w:val="en-US" w:eastAsia="x-none"/>
        </w:rPr>
        <w:lastRenderedPageBreak/>
        <w:t xml:space="preserve">A UE does not expect to detect a DCI format switching a DL BWP within </w:t>
      </w:r>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3</m:t>
            </m:r>
          </m:sub>
        </m:sSub>
      </m:oMath>
      <w:r w:rsidRPr="00B27E56">
        <w:t xml:space="preserve"> symbols prior to a first symbol of a PUCCH transmission where the UE multiplexes HARQ-ACK information</w:t>
      </w:r>
      <w:r w:rsidRPr="00B27E56">
        <w:rPr>
          <w:lang w:val="en-US" w:eastAsia="x-none"/>
        </w:rPr>
        <w:t xml:space="preserve">, </w:t>
      </w:r>
      <w:r w:rsidRPr="00B27E56">
        <w:t xml:space="preserve">where </w:t>
      </w:r>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3</m:t>
            </m:r>
          </m:sub>
        </m:sSub>
      </m:oMath>
      <w:r w:rsidRPr="00B27E56">
        <w:t xml:space="preserve"> is defined in clause 9.2.3. </w:t>
      </w:r>
    </w:p>
    <w:p w14:paraId="0978243F" w14:textId="591F3AFB" w:rsidR="00D508B4" w:rsidRPr="0009732E" w:rsidRDefault="00D508B4" w:rsidP="00AC407E">
      <w:pPr>
        <w:rPr>
          <w:lang w:val="x-none"/>
        </w:rPr>
      </w:pPr>
      <w:r>
        <w:rPr>
          <w:lang w:eastAsia="zh-CN"/>
        </w:rPr>
        <w:t xml:space="preserve">If a UE is provided </w:t>
      </w:r>
      <w:r w:rsidR="000F584E" w:rsidRPr="00316476">
        <w:rPr>
          <w:i/>
        </w:rPr>
        <w:t>dl-DataToUL-ACK</w:t>
      </w:r>
      <w:r w:rsidR="00B93BCA" w:rsidRPr="00C06B59">
        <w:rPr>
          <w:iCs/>
        </w:rPr>
        <w:t xml:space="preserve"> </w:t>
      </w:r>
      <w:r w:rsidR="007051AC" w:rsidRPr="00A04CDF">
        <w:rPr>
          <w:rFonts w:eastAsia="Batang"/>
          <w:lang w:val="en-US"/>
        </w:rPr>
        <w:t>or</w:t>
      </w:r>
      <w:r w:rsidR="007051AC" w:rsidRPr="00A04CDF">
        <w:rPr>
          <w:rFonts w:eastAsia="Batang"/>
          <w:i/>
          <w:lang w:val="en-US"/>
        </w:rPr>
        <w:t xml:space="preserve"> dl-DataToUL-ACK-r16</w:t>
      </w:r>
      <w:r w:rsidR="007051AC">
        <w:rPr>
          <w:rFonts w:eastAsia="Batang"/>
          <w:i/>
          <w:lang w:val="en-US"/>
        </w:rPr>
        <w:t xml:space="preserve"> </w:t>
      </w:r>
      <w:r w:rsidR="00B93BCA" w:rsidRPr="00C06B59">
        <w:rPr>
          <w:iCs/>
        </w:rPr>
        <w:t xml:space="preserve">or </w:t>
      </w:r>
      <w:r w:rsidR="00256F8F" w:rsidRPr="00C06B59">
        <w:rPr>
          <w:rFonts w:eastAsia="Gulim"/>
          <w:i/>
          <w:iCs/>
        </w:rPr>
        <w:t>dl-DataToUL-ACK-DCI</w:t>
      </w:r>
      <w:r w:rsidR="00256F8F">
        <w:rPr>
          <w:rFonts w:eastAsia="Gulim"/>
          <w:i/>
          <w:iCs/>
        </w:rPr>
        <w:t>-</w:t>
      </w:r>
      <w:r w:rsidR="00256F8F" w:rsidRPr="00C06B59">
        <w:rPr>
          <w:rFonts w:eastAsia="Gulim"/>
          <w:i/>
          <w:iCs/>
        </w:rPr>
        <w:t>1</w:t>
      </w:r>
      <w:r w:rsidR="00256F8F">
        <w:rPr>
          <w:rFonts w:eastAsia="Gulim"/>
          <w:i/>
          <w:iCs/>
        </w:rPr>
        <w:t>-</w:t>
      </w:r>
      <w:r w:rsidR="00256F8F" w:rsidRPr="00C06B59">
        <w:rPr>
          <w:rFonts w:eastAsia="Gulim"/>
          <w:i/>
          <w:iCs/>
        </w:rPr>
        <w:t>2</w:t>
      </w:r>
      <w:r w:rsidR="00B816A6" w:rsidRPr="0029147F">
        <w:rPr>
          <w:rFonts w:eastAsia="Malgun Gothic"/>
          <w:lang w:val="en-US" w:eastAsia="zh-CN"/>
        </w:rPr>
        <w:t xml:space="preserve"> </w:t>
      </w:r>
      <w:r w:rsidR="00B816A6">
        <w:rPr>
          <w:rFonts w:eastAsia="Malgun Gothic"/>
          <w:lang w:val="en-US" w:eastAsia="zh-CN"/>
        </w:rPr>
        <w:t xml:space="preserve">or </w:t>
      </w:r>
      <w:r w:rsidR="00B816A6">
        <w:rPr>
          <w:i/>
          <w:lang w:val="en-US"/>
        </w:rPr>
        <w:t>dl-DataToUL-ACK-r17</w:t>
      </w:r>
      <w:r w:rsidR="00B816A6" w:rsidRPr="00004767">
        <w:rPr>
          <w:iCs/>
          <w:lang w:val="en-US"/>
        </w:rPr>
        <w:t xml:space="preserve"> </w:t>
      </w:r>
      <w:r w:rsidR="00004767" w:rsidRPr="00F31F88">
        <w:rPr>
          <w:lang w:val="en-US"/>
        </w:rPr>
        <w:t xml:space="preserve">or </w:t>
      </w:r>
      <w:r w:rsidR="00004767" w:rsidRPr="006A74E7">
        <w:rPr>
          <w:i/>
          <w:lang w:val="en-US"/>
        </w:rPr>
        <w:t>dl-DataToUL-ACK-v1700</w:t>
      </w:r>
      <w:r w:rsidR="00004767" w:rsidRPr="00004767">
        <w:rPr>
          <w:rFonts w:eastAsia="Malgun Gothic"/>
          <w:lang w:val="en-US" w:eastAsia="zh-CN"/>
        </w:rPr>
        <w:t xml:space="preserve"> </w:t>
      </w:r>
      <w:r w:rsidR="00B816A6">
        <w:rPr>
          <w:rFonts w:eastAsia="Malgun Gothic"/>
          <w:lang w:val="en-US" w:eastAsia="zh-CN"/>
        </w:rPr>
        <w:t xml:space="preserve">or </w:t>
      </w:r>
      <w:r w:rsidR="00B816A6">
        <w:rPr>
          <w:rFonts w:eastAsia="Malgun Gothic"/>
          <w:i/>
        </w:rPr>
        <w:t>dl-DataToUL-ACK</w:t>
      </w:r>
      <w:r w:rsidR="00B816A6">
        <w:rPr>
          <w:rFonts w:eastAsia="Malgun Gothic"/>
          <w:i/>
          <w:lang w:val="en-US"/>
        </w:rPr>
        <w:t>-DCI-1-2-r17</w:t>
      </w:r>
      <w:r>
        <w:rPr>
          <w:lang w:val="en-US" w:eastAsia="zh-CN"/>
        </w:rPr>
        <w:t xml:space="preserve">, </w:t>
      </w:r>
      <w:r>
        <w:rPr>
          <w:lang w:eastAsia="zh-CN"/>
        </w:rPr>
        <w:t>the</w:t>
      </w:r>
      <w:r>
        <w:rPr>
          <w:rFonts w:hint="eastAsia"/>
          <w:lang w:eastAsia="zh-CN"/>
        </w:rPr>
        <w:t xml:space="preserve"> </w:t>
      </w:r>
      <w:r w:rsidRPr="00882CBE">
        <w:rPr>
          <w:lang w:eastAsia="zh-CN"/>
        </w:rPr>
        <w:t xml:space="preserve">UE </w:t>
      </w:r>
      <w:r>
        <w:rPr>
          <w:lang w:eastAsia="zh-CN"/>
        </w:rPr>
        <w:t>does</w:t>
      </w:r>
      <w:r w:rsidRPr="00882CBE">
        <w:rPr>
          <w:lang w:eastAsia="zh-CN"/>
        </w:rPr>
        <w:t xml:space="preserve"> not</w:t>
      </w:r>
      <w:r>
        <w:rPr>
          <w:lang w:eastAsia="zh-CN"/>
        </w:rPr>
        <w:t xml:space="preserve"> expect</w:t>
      </w:r>
      <w:r w:rsidRPr="00882CBE">
        <w:rPr>
          <w:lang w:eastAsia="zh-CN"/>
        </w:rPr>
        <w:t xml:space="preserve"> to be indicated by DCI format 1_0</w:t>
      </w:r>
      <w:r>
        <w:rPr>
          <w:lang w:eastAsia="zh-CN"/>
        </w:rPr>
        <w:t xml:space="preserve"> a slot timing value for transmission of HARQ-ACK information that does not belong to the </w:t>
      </w:r>
      <w:r w:rsidRPr="00DE18ED">
        <w:rPr>
          <w:lang w:val="en-US" w:eastAsia="zh-CN"/>
        </w:rPr>
        <w:t xml:space="preserve">intersection of the set of slot timing values {1, 2, 3, 4, 5, 6, 7, 8} </w:t>
      </w:r>
      <w:r w:rsidR="00D82C61" w:rsidRPr="00B27E56">
        <w:rPr>
          <w:lang w:val="en-US" w:eastAsia="zh-CN"/>
        </w:rPr>
        <w:t>for SCS configuration</w:t>
      </w:r>
      <w:r w:rsidR="00D82C61">
        <w:rPr>
          <w:lang w:val="en-US" w:eastAsia="zh-CN"/>
        </w:rPr>
        <w:t xml:space="preserve"> of PUCCH transmission</w:t>
      </w:r>
      <w:r w:rsidR="00D82C61" w:rsidRPr="00B27E56">
        <w:rPr>
          <w:lang w:val="en-US" w:eastAsia="zh-CN"/>
        </w:rPr>
        <w:t xml:space="preserve"> </w:t>
      </w:r>
      <m:oMath>
        <m:r>
          <w:rPr>
            <w:rFonts w:ascii="Cambria Math" w:hAnsi="Cambria Math"/>
            <w:lang w:val="en-US" w:eastAsia="zh-CN"/>
          </w:rPr>
          <m:t>μ≤3</m:t>
        </m:r>
      </m:oMath>
      <w:r w:rsidR="00D82C61" w:rsidRPr="00B27E56">
        <w:rPr>
          <w:lang w:val="en-US" w:eastAsia="zh-CN"/>
        </w:rPr>
        <w:t>, {</w:t>
      </w:r>
      <w:r w:rsidR="00D82C61" w:rsidRPr="00B27E56">
        <w:rPr>
          <w:iCs/>
          <w:lang w:eastAsia="x-none"/>
        </w:rPr>
        <w:t xml:space="preserve">7, 8, 12, 16, 20, 24, 28, 32} for </w:t>
      </w:r>
      <m:oMath>
        <m:r>
          <w:rPr>
            <w:rFonts w:ascii="Cambria Math" w:hAnsi="Cambria Math"/>
            <w:lang w:val="en-US" w:eastAsia="zh-CN"/>
          </w:rPr>
          <m:t>μ=5</m:t>
        </m:r>
      </m:oMath>
      <w:r w:rsidR="00D82C61" w:rsidRPr="00B27E56">
        <w:rPr>
          <w:lang w:val="en-US" w:eastAsia="zh-CN"/>
        </w:rPr>
        <w:t xml:space="preserve">, and </w:t>
      </w:r>
      <w:r w:rsidR="00D82C61" w:rsidRPr="00B27E56">
        <w:rPr>
          <w:iCs/>
          <w:lang w:eastAsia="x-none"/>
        </w:rPr>
        <w:t>{13, 16, 24, 32, 40, 48, 56, 64}</w:t>
      </w:r>
      <w:r w:rsidR="00D82C61" w:rsidRPr="00B27E56">
        <w:rPr>
          <w:iCs/>
          <w:lang w:val="en-US" w:eastAsia="x-none"/>
        </w:rPr>
        <w:t xml:space="preserve"> for </w:t>
      </w:r>
      <m:oMath>
        <m:r>
          <w:rPr>
            <w:rFonts w:ascii="Cambria Math" w:hAnsi="Cambria Math"/>
            <w:lang w:val="en-US" w:eastAsia="zh-CN"/>
          </w:rPr>
          <m:t>μ=6</m:t>
        </m:r>
      </m:oMath>
      <w:r w:rsidR="00D82C61">
        <w:rPr>
          <w:lang w:val="en-US" w:eastAsia="zh-CN"/>
        </w:rPr>
        <w:t xml:space="preserve">, </w:t>
      </w:r>
      <w:r w:rsidRPr="00DE18ED">
        <w:rPr>
          <w:lang w:val="en-US" w:eastAsia="zh-CN"/>
        </w:rPr>
        <w:t xml:space="preserve">and the set of slot timing values provided by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Pr>
          <w:lang w:val="en-US" w:eastAsia="zh-CN"/>
        </w:rPr>
        <w:t xml:space="preserve"> for the active DL BWP of a corresponding serving cell</w:t>
      </w:r>
      <w:r w:rsidR="007A1423">
        <w:rPr>
          <w:lang w:val="en-US" w:eastAsia="zh-CN"/>
        </w:rPr>
        <w:t xml:space="preserve"> for unicast</w:t>
      </w:r>
      <w:r w:rsidRPr="00DE18ED">
        <w:rPr>
          <w:lang w:val="en-US" w:eastAsia="zh-CN"/>
        </w:rPr>
        <w:t>.</w:t>
      </w:r>
    </w:p>
    <w:p w14:paraId="611344F3" w14:textId="63583A58" w:rsidR="00D87514" w:rsidRPr="00B916EC" w:rsidRDefault="00E66858" w:rsidP="00AC407E">
      <w:pPr>
        <w:rPr>
          <w:lang w:val="en-US" w:eastAsia="zh-CN"/>
        </w:rPr>
      </w:pPr>
      <w:r>
        <w:rPr>
          <w:lang w:val="en-US"/>
        </w:rPr>
        <w:t xml:space="preserve">If </w:t>
      </w:r>
      <w:r w:rsidR="000F584E" w:rsidRPr="00435CFD">
        <w:rPr>
          <w:i/>
        </w:rPr>
        <w:t>maxNrofCodeWordsScheduledByDCI</w:t>
      </w:r>
      <w:r w:rsidR="009D513D" w:rsidRPr="00B916EC">
        <w:rPr>
          <w:rFonts w:cs="Arial"/>
          <w:lang w:eastAsia="zh-CN"/>
        </w:rPr>
        <w:t xml:space="preserve"> </w:t>
      </w:r>
      <w:r w:rsidR="009D513D">
        <w:rPr>
          <w:rFonts w:cs="Arial"/>
          <w:lang w:eastAsia="zh-CN"/>
        </w:rPr>
        <w:t>indicates</w:t>
      </w:r>
      <w:r w:rsidR="009D513D" w:rsidRPr="00B916EC">
        <w:rPr>
          <w:rFonts w:cs="Arial" w:hint="eastAsia"/>
          <w:lang w:eastAsia="zh-CN"/>
        </w:rPr>
        <w:t xml:space="preserve"> </w:t>
      </w:r>
      <w:r w:rsidR="009D513D" w:rsidRPr="00B916EC">
        <w:rPr>
          <w:rFonts w:cs="Arial"/>
          <w:lang w:eastAsia="zh-CN"/>
        </w:rPr>
        <w:t>reception of</w:t>
      </w:r>
      <w:r w:rsidR="009D513D" w:rsidRPr="00B916EC">
        <w:rPr>
          <w:rFonts w:cs="Arial" w:hint="eastAsia"/>
          <w:lang w:eastAsia="zh-CN"/>
        </w:rPr>
        <w:t xml:space="preserve"> two transport blocks</w:t>
      </w:r>
      <w:r w:rsidR="00AC407E" w:rsidRPr="00B916EC">
        <w:rPr>
          <w:rFonts w:hint="eastAsia"/>
          <w:lang w:val="en-US" w:eastAsia="zh-CN"/>
        </w:rPr>
        <w:t>, when</w:t>
      </w:r>
      <w:r w:rsidR="00AC407E" w:rsidRPr="00B916EC">
        <w:rPr>
          <w:lang w:val="en-US" w:eastAsia="zh-CN"/>
        </w:rPr>
        <w:t xml:space="preserve"> the UE receives </w:t>
      </w:r>
      <w:r w:rsidR="0004038E" w:rsidRPr="00B916EC">
        <w:rPr>
          <w:lang w:val="en-US" w:eastAsia="zh-CN"/>
        </w:rPr>
        <w:t xml:space="preserve">a PDSCH with </w:t>
      </w:r>
      <w:r w:rsidR="00AC407E" w:rsidRPr="00B916EC">
        <w:rPr>
          <w:rFonts w:hint="eastAsia"/>
          <w:lang w:val="en-US" w:eastAsia="zh-CN"/>
        </w:rPr>
        <w:t>one transport block</w:t>
      </w:r>
      <w:r w:rsidR="00511D2E">
        <w:rPr>
          <w:lang w:val="en-US" w:eastAsia="zh-CN"/>
        </w:rPr>
        <w:t xml:space="preserve"> </w:t>
      </w:r>
      <w:r w:rsidR="00511D2E">
        <w:rPr>
          <w:rFonts w:hint="eastAsia"/>
          <w:lang w:val="en-US" w:eastAsia="zh-CN"/>
        </w:rPr>
        <w:t>or a SPS PDSCH release</w:t>
      </w:r>
      <w:r w:rsidR="00C926CF" w:rsidRPr="00F415B1">
        <w:rPr>
          <w:lang w:val="en-US" w:eastAsia="zh-CN"/>
        </w:rPr>
        <w:t xml:space="preserve"> </w:t>
      </w:r>
      <w:r w:rsidR="00C926CF" w:rsidRPr="00F415B1">
        <w:t>or a TCI state update</w:t>
      </w:r>
      <w:r w:rsidR="00AC407E" w:rsidRPr="00B916EC">
        <w:rPr>
          <w:lang w:val="en-US" w:eastAsia="zh-CN"/>
        </w:rPr>
        <w:t>,</w:t>
      </w:r>
      <w:r w:rsidR="00AC407E" w:rsidRPr="00B916EC">
        <w:rPr>
          <w:rFonts w:hint="eastAsia"/>
          <w:lang w:val="en-US" w:eastAsia="zh-CN"/>
        </w:rPr>
        <w:t xml:space="preserve"> the </w:t>
      </w:r>
      <w:r w:rsidR="00783ECC" w:rsidRPr="00B916EC">
        <w:rPr>
          <w:rFonts w:hint="eastAsia"/>
          <w:lang w:val="en-US" w:eastAsia="zh-CN"/>
        </w:rPr>
        <w:t xml:space="preserve">HARQ-ACK </w:t>
      </w:r>
      <w:r w:rsidR="000F584E">
        <w:rPr>
          <w:lang w:val="en-US" w:eastAsia="zh-CN"/>
        </w:rPr>
        <w:t>information</w:t>
      </w:r>
      <w:r w:rsidR="00783ECC" w:rsidRPr="00B916EC">
        <w:rPr>
          <w:rFonts w:hint="eastAsia"/>
          <w:lang w:val="en-US" w:eastAsia="zh-CN"/>
        </w:rPr>
        <w:t xml:space="preserve"> </w:t>
      </w:r>
      <w:r w:rsidR="00783ECC" w:rsidRPr="00B916EC">
        <w:rPr>
          <w:lang w:val="en-US" w:eastAsia="zh-CN"/>
        </w:rPr>
        <w:t xml:space="preserve">is </w:t>
      </w:r>
      <w:r w:rsidR="00783ECC" w:rsidRPr="00B916EC">
        <w:rPr>
          <w:rFonts w:hint="eastAsia"/>
          <w:lang w:val="en-US" w:eastAsia="zh-CN"/>
        </w:rPr>
        <w:t xml:space="preserve">associated with the first transport block </w:t>
      </w:r>
      <w:r w:rsidR="00783ECC" w:rsidRPr="00B916EC">
        <w:rPr>
          <w:lang w:val="en-US" w:eastAsia="zh-CN"/>
        </w:rPr>
        <w:t xml:space="preserve">and the </w:t>
      </w:r>
      <w:r w:rsidR="00AC407E" w:rsidRPr="00B916EC">
        <w:rPr>
          <w:rFonts w:hint="eastAsia"/>
          <w:lang w:val="en-US" w:eastAsia="zh-CN"/>
        </w:rPr>
        <w:t>UE generate</w:t>
      </w:r>
      <w:r w:rsidR="00AC407E" w:rsidRPr="00B916EC">
        <w:rPr>
          <w:lang w:val="en-US" w:eastAsia="zh-CN"/>
        </w:rPr>
        <w:t>s</w:t>
      </w:r>
      <w:r w:rsidR="00AC407E" w:rsidRPr="00B916EC">
        <w:rPr>
          <w:rFonts w:hint="eastAsia"/>
          <w:lang w:val="en-US" w:eastAsia="zh-CN"/>
        </w:rPr>
        <w:t xml:space="preserve"> a NACK for the second transport block if </w:t>
      </w:r>
      <w:r w:rsidR="000F584E" w:rsidRPr="00435CFD">
        <w:rPr>
          <w:i/>
        </w:rPr>
        <w:t>harq-ACK-SpatialBundlingPUCCH</w:t>
      </w:r>
      <w:r w:rsidR="000F584E" w:rsidRPr="00B916EC">
        <w:rPr>
          <w:rFonts w:hint="eastAsia"/>
          <w:lang w:val="en-US" w:eastAsia="zh-CN"/>
        </w:rPr>
        <w:t xml:space="preserve"> is not </w:t>
      </w:r>
      <w:r w:rsidR="000F584E">
        <w:rPr>
          <w:lang w:val="en-US" w:eastAsia="zh-CN"/>
        </w:rPr>
        <w:t>provided</w:t>
      </w:r>
      <w:r w:rsidR="000F584E" w:rsidRPr="00B916EC">
        <w:rPr>
          <w:rFonts w:hint="eastAsia"/>
          <w:lang w:val="en-US" w:eastAsia="zh-CN"/>
        </w:rPr>
        <w:t xml:space="preserve"> and generate</w:t>
      </w:r>
      <w:r w:rsidR="000F584E" w:rsidRPr="00B916EC">
        <w:rPr>
          <w:lang w:val="en-US" w:eastAsia="zh-CN"/>
        </w:rPr>
        <w:t>s</w:t>
      </w:r>
      <w:r w:rsidR="000F584E" w:rsidRPr="00B916EC">
        <w:rPr>
          <w:rFonts w:hint="eastAsia"/>
          <w:lang w:val="en-US" w:eastAsia="zh-CN"/>
        </w:rPr>
        <w:t xml:space="preserve"> HARQ-ACK </w:t>
      </w:r>
      <w:r w:rsidR="000F584E">
        <w:rPr>
          <w:lang w:val="en-US" w:eastAsia="zh-CN"/>
        </w:rPr>
        <w:t xml:space="preserve">information with </w:t>
      </w:r>
      <w:r w:rsidR="000F584E" w:rsidRPr="00B916EC">
        <w:rPr>
          <w:rFonts w:hint="eastAsia"/>
          <w:lang w:val="en-US" w:eastAsia="zh-CN"/>
        </w:rPr>
        <w:t xml:space="preserve">value </w:t>
      </w:r>
      <w:r w:rsidR="000F584E">
        <w:rPr>
          <w:lang w:val="en-US" w:eastAsia="zh-CN"/>
        </w:rPr>
        <w:t xml:space="preserve">of ACK </w:t>
      </w:r>
      <w:r w:rsidR="000F584E" w:rsidRPr="00B916EC">
        <w:rPr>
          <w:rFonts w:hint="eastAsia"/>
          <w:lang w:val="en-US" w:eastAsia="zh-CN"/>
        </w:rPr>
        <w:t xml:space="preserve">for the second </w:t>
      </w:r>
      <w:r w:rsidR="000F584E" w:rsidRPr="00B916EC">
        <w:rPr>
          <w:lang w:val="en-US" w:eastAsia="zh-CN"/>
        </w:rPr>
        <w:t>transport block</w:t>
      </w:r>
      <w:r w:rsidR="000F584E" w:rsidRPr="00B916EC">
        <w:rPr>
          <w:rFonts w:hint="eastAsia"/>
          <w:lang w:val="en-US" w:eastAsia="zh-CN"/>
        </w:rPr>
        <w:t xml:space="preserve"> if </w:t>
      </w:r>
      <w:r w:rsidR="000F584E" w:rsidRPr="00435CFD">
        <w:rPr>
          <w:i/>
        </w:rPr>
        <w:t>harq-ACK-SpatialBundlingPUCCH</w:t>
      </w:r>
      <w:r w:rsidR="000F584E" w:rsidRPr="00B916EC">
        <w:rPr>
          <w:rFonts w:hint="eastAsia"/>
          <w:lang w:val="en-US" w:eastAsia="zh-CN"/>
        </w:rPr>
        <w:t xml:space="preserve"> </w:t>
      </w:r>
      <w:r w:rsidR="000F584E">
        <w:rPr>
          <w:rFonts w:hint="eastAsia"/>
          <w:lang w:val="en-US" w:eastAsia="zh-CN"/>
        </w:rPr>
        <w:t>is</w:t>
      </w:r>
      <w:r w:rsidR="000F584E" w:rsidRPr="00B916EC">
        <w:rPr>
          <w:rFonts w:hint="eastAsia"/>
          <w:lang w:val="en-US" w:eastAsia="zh-CN"/>
        </w:rPr>
        <w:t xml:space="preserve"> </w:t>
      </w:r>
      <w:r w:rsidR="000F584E">
        <w:rPr>
          <w:lang w:val="en-US" w:eastAsia="zh-CN"/>
        </w:rPr>
        <w:t>provided</w:t>
      </w:r>
      <w:r w:rsidR="00AC407E" w:rsidRPr="00B916EC">
        <w:rPr>
          <w:rFonts w:hint="eastAsia"/>
          <w:lang w:val="en-US" w:eastAsia="zh-CN"/>
        </w:rPr>
        <w:t>.</w:t>
      </w:r>
      <w:r w:rsidR="0004038E" w:rsidRPr="00B916EC">
        <w:rPr>
          <w:lang w:val="en-US" w:eastAsia="zh-CN"/>
        </w:rPr>
        <w:t xml:space="preserve"> </w:t>
      </w:r>
    </w:p>
    <w:p w14:paraId="27AF28F5" w14:textId="5FF1D281" w:rsidR="00A3459D" w:rsidRPr="00B27E56" w:rsidRDefault="00A3459D" w:rsidP="00A3459D">
      <w:pPr>
        <w:rPr>
          <w:lang w:val="en-US" w:eastAsia="zh-CN"/>
        </w:rPr>
      </w:pPr>
      <w:r w:rsidRPr="00B27E56">
        <w:rPr>
          <w:lang w:val="en-US" w:eastAsia="zh-CN"/>
        </w:rPr>
        <w:t>A</w:t>
      </w:r>
      <w:r w:rsidRPr="00B27E56">
        <w:rPr>
          <w:rFonts w:cs="Arial" w:hint="eastAsia"/>
          <w:lang w:eastAsia="zh-CN"/>
        </w:rPr>
        <w:t xml:space="preserve"> UE determine</w:t>
      </w:r>
      <w:r w:rsidRPr="00B27E56">
        <w:rPr>
          <w:rFonts w:cs="Arial"/>
          <w:lang w:eastAsia="zh-CN"/>
        </w:rPr>
        <w:t>s</w:t>
      </w:r>
      <w:r w:rsidRPr="00B27E56">
        <w:rPr>
          <w:rFonts w:cs="Arial" w:hint="eastAsia"/>
          <w:lang w:eastAsia="zh-CN"/>
        </w:rPr>
        <w:t xml:space="preserve"> </w:t>
      </w:r>
      <m:oMath>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r>
              <w:rPr>
                <w:rFonts w:ascii="Cambria Math"/>
              </w:rPr>
              <m:t>0</m:t>
            </m:r>
          </m:sub>
          <m:sup>
            <m:r>
              <w:rPr>
                <w:rFonts w:ascii="Cambria Math"/>
              </w:rPr>
              <m:t>ACK</m:t>
            </m:r>
          </m:sup>
        </m:sSubSup>
        <m:r>
          <m:rPr>
            <m:nor/>
          </m:rPr>
          <w:rPr>
            <w:rFonts w:ascii="Cambria Math"/>
          </w:rPr>
          <m:t xml:space="preserve">, </m:t>
        </m:r>
        <m:sSubSup>
          <m:sSubSupPr>
            <m:ctrlPr>
              <w:rPr>
                <w:rFonts w:ascii="Cambria Math" w:hAnsi="Cambria Math"/>
                <w:i/>
              </w:rPr>
            </m:ctrlPr>
          </m:sSubSupPr>
          <m:e>
            <m:acc>
              <m:accPr>
                <m:chr m:val="̃"/>
                <m:ctrlPr>
                  <w:rPr>
                    <w:rFonts w:ascii="Cambria Math" w:hAnsi="Cambria Math"/>
                  </w:rPr>
                </m:ctrlPr>
              </m:accPr>
              <m:e>
                <m:r>
                  <w:rPr>
                    <w:rFonts w:ascii="Cambria Math"/>
                  </w:rPr>
                  <m:t>o</m:t>
                </m:r>
              </m:e>
            </m:acc>
          </m:e>
          <m:sub>
            <m:r>
              <w:rPr>
                <w:rFonts w:ascii="Cambria Math"/>
              </w:rPr>
              <m:t>1</m:t>
            </m:r>
          </m:sub>
          <m:sup>
            <m:r>
              <w:rPr>
                <w:rFonts w:ascii="Cambria Math"/>
              </w:rPr>
              <m:t>ACK</m:t>
            </m:r>
          </m:sup>
        </m:sSubSup>
        <m:r>
          <m:rPr>
            <m:nor/>
          </m:rPr>
          <w:rPr>
            <w:rFonts w:ascii="Cambria Math"/>
          </w:rPr>
          <m:t>,...,</m:t>
        </m:r>
        <m:sSubSup>
          <m:sSubSupPr>
            <m:ctrlPr>
              <w:rPr>
                <w:rFonts w:ascii="Cambria Math" w:hAnsi="Cambria Math"/>
                <w:i/>
              </w:rPr>
            </m:ctrlPr>
          </m:sSubSupPr>
          <m:e>
            <m:acc>
              <m:accPr>
                <m:chr m:val="̃"/>
                <m:ctrlPr>
                  <w:rPr>
                    <w:rFonts w:ascii="Cambria Math" w:hAnsi="Cambria Math"/>
                  </w:rPr>
                </m:ctrlPr>
              </m:accPr>
              <m:e>
                <m:r>
                  <w:rPr>
                    <w:rFonts w:ascii="Cambria Math"/>
                  </w:rPr>
                  <m:t>o</m:t>
                </m:r>
              </m:e>
            </m:acc>
          </m:e>
          <m:sub>
            <m:sSub>
              <m:sSubPr>
                <m:ctrlPr>
                  <w:rPr>
                    <w:rFonts w:ascii="Cambria Math" w:hAnsi="Cambria Math"/>
                    <w:i/>
                  </w:rPr>
                </m:ctrlPr>
              </m:sSubPr>
              <m:e>
                <m:r>
                  <w:rPr>
                    <w:rFonts w:ascii="Cambria Math"/>
                  </w:rPr>
                  <m:t>O</m:t>
                </m:r>
              </m:e>
              <m:sub>
                <m:r>
                  <w:rPr>
                    <w:rFonts w:ascii="Cambria Math"/>
                  </w:rPr>
                  <m:t>ACK</m:t>
                </m:r>
              </m:sub>
            </m:sSub>
            <m:r>
              <w:rPr>
                <w:rFonts w:ascii="Cambria Math"/>
              </w:rPr>
              <m:t>-</m:t>
            </m:r>
            <m:r>
              <w:rPr>
                <w:rFonts w:ascii="Cambria Math"/>
              </w:rPr>
              <m:t>1</m:t>
            </m:r>
          </m:sub>
          <m:sup>
            <m:r>
              <w:rPr>
                <w:rFonts w:ascii="Cambria Math"/>
              </w:rPr>
              <m:t>ACK</m:t>
            </m:r>
          </m:sup>
        </m:sSubSup>
      </m:oMath>
      <w:r w:rsidRPr="00B27E56">
        <w:rPr>
          <w:rFonts w:hint="eastAsia"/>
          <w:lang w:eastAsia="zh-CN"/>
        </w:rPr>
        <w:t xml:space="preserve"> </w:t>
      </w:r>
      <w:r w:rsidRPr="00B27E56">
        <w:rPr>
          <w:lang w:eastAsia="zh-CN"/>
        </w:rPr>
        <w:t xml:space="preserve">HARQ-ACK information bits, for a total number of </w:t>
      </w:r>
      <m:oMath>
        <m:sSub>
          <m:sSubPr>
            <m:ctrlPr>
              <w:rPr>
                <w:rFonts w:ascii="Cambria Math" w:hAnsi="Cambria Math"/>
                <w:i/>
                <w:lang w:eastAsia="zh-CN"/>
              </w:rPr>
            </m:ctrlPr>
          </m:sSubPr>
          <m:e>
            <m:r>
              <w:rPr>
                <w:rFonts w:ascii="Cambria Math" w:hAnsi="Cambria Math"/>
                <w:lang w:eastAsia="zh-CN"/>
              </w:rPr>
              <m:t>O</m:t>
            </m:r>
          </m:e>
          <m:sub>
            <m:r>
              <m:rPr>
                <m:sty m:val="p"/>
              </m:rPr>
              <w:rPr>
                <w:rFonts w:ascii="Cambria Math" w:hAnsi="Cambria Math"/>
                <w:lang w:eastAsia="zh-CN"/>
              </w:rPr>
              <m:t>ACK</m:t>
            </m:r>
          </m:sub>
        </m:sSub>
      </m:oMath>
      <w:r w:rsidRPr="00B27E56">
        <w:t xml:space="preserve"> </w:t>
      </w:r>
      <w:r w:rsidRPr="00B27E56">
        <w:rPr>
          <w:lang w:eastAsia="zh-CN"/>
        </w:rPr>
        <w:t>HARQ-ACK information bits, of a HARQ-ACK codebook for transmission in a PUCCH according</w:t>
      </w:r>
      <w:r w:rsidRPr="00B27E56">
        <w:rPr>
          <w:rFonts w:hint="eastAsia"/>
          <w:lang w:eastAsia="zh-CN"/>
        </w:rPr>
        <w:t xml:space="preserve"> to the following pseudo-code. </w:t>
      </w:r>
      <w:r w:rsidRPr="00B27E56">
        <w:t xml:space="preserve">In the following pseudo-code, if the UE does not receive a transport block or a CBG, due to the UE not detecting a corresponding </w:t>
      </w:r>
      <w:r w:rsidRPr="00B27E56">
        <w:rPr>
          <w:lang w:eastAsia="zh-CN"/>
        </w:rPr>
        <w:t>DCI format</w:t>
      </w:r>
      <w:r w:rsidRPr="00B27E56">
        <w:t xml:space="preserve">, the UE generates a NACK value for the transport block or the CBG. </w:t>
      </w:r>
      <w:r w:rsidRPr="00B27E56">
        <w:rPr>
          <w:lang w:eastAsia="zh-CN"/>
        </w:rPr>
        <w:t xml:space="preserve">The cardinality of the set </w:t>
      </w:r>
      <m:oMath>
        <m:sSub>
          <m:sSubPr>
            <m:ctrlPr>
              <w:rPr>
                <w:rFonts w:ascii="Cambria Math" w:hAnsi="Cambria Math"/>
                <w:i/>
                <w:lang w:eastAsia="zh-CN"/>
              </w:rPr>
            </m:ctrlPr>
          </m:sSubPr>
          <m:e>
            <m:r>
              <w:rPr>
                <w:rFonts w:ascii="Cambria Math" w:hAnsi="Cambria Math"/>
                <w:lang w:eastAsia="zh-CN"/>
              </w:rPr>
              <m:t>M</m:t>
            </m:r>
          </m:e>
          <m:sub>
            <m:r>
              <w:rPr>
                <w:rFonts w:ascii="Cambria Math" w:hAnsi="Cambria Math"/>
                <w:lang w:eastAsia="zh-CN"/>
              </w:rPr>
              <m:t>A,c</m:t>
            </m:r>
          </m:sub>
        </m:sSub>
      </m:oMath>
      <w:r w:rsidRPr="00B27E56">
        <w:rPr>
          <w:lang w:eastAsia="zh-CN"/>
        </w:rPr>
        <w:t xml:space="preserve"> defines a total number </w:t>
      </w:r>
      <m:oMath>
        <m:sSub>
          <m:sSubPr>
            <m:ctrlPr>
              <w:rPr>
                <w:rFonts w:ascii="Cambria Math" w:hAnsi="Cambria Math"/>
                <w:i/>
                <w:lang w:eastAsia="zh-CN"/>
              </w:rPr>
            </m:ctrlPr>
          </m:sSubPr>
          <m:e>
            <m:r>
              <w:rPr>
                <w:rFonts w:ascii="Cambria Math" w:hAnsi="Cambria Math"/>
                <w:lang w:eastAsia="zh-CN"/>
              </w:rPr>
              <m:t>M</m:t>
            </m:r>
          </m:e>
          <m:sub>
            <m:r>
              <w:rPr>
                <w:rFonts w:ascii="Cambria Math" w:hAnsi="Cambria Math"/>
                <w:lang w:eastAsia="zh-CN"/>
              </w:rPr>
              <m:t>c</m:t>
            </m:r>
          </m:sub>
        </m:sSub>
      </m:oMath>
      <w:r w:rsidRPr="00B27E56">
        <w:rPr>
          <w:lang w:eastAsia="zh-CN"/>
        </w:rPr>
        <w:t xml:space="preserve"> of occasions for PDSCH reception or SPS PDSCH release</w:t>
      </w:r>
      <w:r w:rsidR="00C926CF">
        <w:rPr>
          <w:lang w:eastAsia="zh-CN"/>
        </w:rPr>
        <w:t xml:space="preserve"> </w:t>
      </w:r>
      <w:r w:rsidR="00C926CF" w:rsidRPr="00F415B1">
        <w:t>or TCI state update</w:t>
      </w:r>
      <w:r w:rsidRPr="00B27E56">
        <w:rPr>
          <w:lang w:eastAsia="zh-CN"/>
        </w:rPr>
        <w:t xml:space="preserve"> for serving cell </w:t>
      </w:r>
      <m:oMath>
        <m:r>
          <w:rPr>
            <w:rFonts w:ascii="Cambria Math" w:hAnsi="Cambria Math"/>
          </w:rPr>
          <m:t>c</m:t>
        </m:r>
      </m:oMath>
      <w:r w:rsidRPr="00B27E56">
        <w:t xml:space="preserve"> corresponding to the HARQ-ACK information bits</w:t>
      </w:r>
      <w:r w:rsidRPr="00B27E56">
        <w:rPr>
          <w:lang w:eastAsia="zh-CN"/>
        </w:rPr>
        <w:t>.</w:t>
      </w:r>
    </w:p>
    <w:p w14:paraId="05C302E5" w14:textId="5B2584FD" w:rsidR="00A3459D" w:rsidRPr="00B27E56" w:rsidRDefault="00A3459D" w:rsidP="00A3459D">
      <w:pPr>
        <w:rPr>
          <w:lang w:eastAsia="zh-CN"/>
        </w:rPr>
      </w:pPr>
      <w:r w:rsidRPr="00B27E56">
        <w:rPr>
          <w:lang w:eastAsia="zh-CN"/>
        </w:rPr>
        <w:t>S</w:t>
      </w:r>
      <w:r w:rsidRPr="00B27E56">
        <w:rPr>
          <w:rFonts w:hint="eastAsia"/>
          <w:lang w:eastAsia="zh-CN"/>
        </w:rPr>
        <w:t xml:space="preserve">et </w:t>
      </w:r>
      <m:oMath>
        <m:r>
          <w:rPr>
            <w:rFonts w:ascii="Cambria Math" w:hAnsi="Cambria Math"/>
          </w:rPr>
          <m:t>c=0</m:t>
        </m:r>
      </m:oMath>
      <w:r w:rsidRPr="00B27E56">
        <w:rPr>
          <w:rFonts w:hint="eastAsia"/>
          <w:lang w:eastAsia="zh-CN"/>
        </w:rPr>
        <w:t xml:space="preserve"> </w:t>
      </w:r>
      <w:r w:rsidRPr="00B27E56">
        <w:rPr>
          <w:lang w:eastAsia="zh-CN"/>
        </w:rPr>
        <w:t>–</w:t>
      </w:r>
      <w:r w:rsidRPr="00B27E56">
        <w:rPr>
          <w:rFonts w:hint="eastAsia"/>
          <w:lang w:eastAsia="zh-CN"/>
        </w:rPr>
        <w:t xml:space="preserve"> </w:t>
      </w:r>
      <w:r w:rsidRPr="00B27E56">
        <w:rPr>
          <w:lang w:eastAsia="zh-CN"/>
        </w:rPr>
        <w:t xml:space="preserve">serving </w:t>
      </w:r>
      <w:r w:rsidRPr="00B27E56">
        <w:rPr>
          <w:rFonts w:hint="eastAsia"/>
          <w:lang w:eastAsia="zh-CN"/>
        </w:rPr>
        <w:t xml:space="preserve">cell index: lower indexes </w:t>
      </w:r>
      <w:r w:rsidRPr="00B27E56">
        <w:rPr>
          <w:lang w:eastAsia="zh-CN"/>
        </w:rPr>
        <w:t>correspond</w:t>
      </w:r>
      <w:r w:rsidRPr="00B27E56">
        <w:rPr>
          <w:rFonts w:hint="eastAsia"/>
          <w:lang w:eastAsia="zh-CN"/>
        </w:rPr>
        <w:t xml:space="preserve"> to lower RRC indexes of corresponding cell</w:t>
      </w:r>
      <w:r w:rsidRPr="00B27E56">
        <w:rPr>
          <w:lang w:eastAsia="zh-CN"/>
        </w:rPr>
        <w:t xml:space="preserve">s including, when applicable, cells in </w:t>
      </w:r>
      <w:r w:rsidRPr="00B27E56">
        <w:t xml:space="preserve">the set </w:t>
      </w:r>
      <m:oMath>
        <m:sSub>
          <m:sSubPr>
            <m:ctrlPr>
              <w:rPr>
                <w:rFonts w:ascii="Cambria Math" w:hAnsi="Cambria Math"/>
                <w:i/>
              </w:rPr>
            </m:ctrlPr>
          </m:sSubPr>
          <m:e>
            <m:r>
              <w:rPr>
                <w:rFonts w:ascii="Cambria Math" w:hAnsi="Cambria Math"/>
              </w:rPr>
              <m:t>S</m:t>
            </m:r>
          </m:e>
          <m:sub>
            <m:r>
              <m:rPr>
                <m:nor/>
              </m:rPr>
              <m:t>0</m:t>
            </m:r>
            <m:ctrlPr>
              <w:rPr>
                <w:rFonts w:ascii="Cambria Math" w:hAnsi="Cambria Math"/>
              </w:rPr>
            </m:ctrlPr>
          </m:sub>
        </m:sSub>
      </m:oMath>
      <w:r w:rsidRPr="00B27E56">
        <w:t xml:space="preserve"> and the set </w:t>
      </w:r>
      <m:oMath>
        <m:sSub>
          <m:sSubPr>
            <m:ctrlPr>
              <w:rPr>
                <w:rFonts w:ascii="Cambria Math" w:hAnsi="Cambria Math"/>
                <w:i/>
              </w:rPr>
            </m:ctrlPr>
          </m:sSubPr>
          <m:e>
            <m:r>
              <w:rPr>
                <w:rFonts w:ascii="Cambria Math" w:hAnsi="Cambria Math"/>
              </w:rPr>
              <m:t>S</m:t>
            </m:r>
          </m:e>
          <m:sub>
            <m:r>
              <w:rPr>
                <w:rFonts w:ascii="Cambria Math" w:hAnsi="Cambria Math"/>
              </w:rPr>
              <m:t>1</m:t>
            </m:r>
            <m:ctrlPr>
              <w:rPr>
                <w:rFonts w:ascii="Cambria Math" w:hAnsi="Cambria Math"/>
              </w:rPr>
            </m:ctrlPr>
          </m:sub>
        </m:sSub>
      </m:oMath>
    </w:p>
    <w:p w14:paraId="2552AE09" w14:textId="496BCDDA" w:rsidR="00A3459D" w:rsidRPr="00B27E56" w:rsidRDefault="00A3459D" w:rsidP="00A3459D">
      <w:pPr>
        <w:rPr>
          <w:lang w:eastAsia="zh-CN"/>
        </w:rPr>
      </w:pPr>
      <w:r w:rsidRPr="00B27E56">
        <w:rPr>
          <w:rFonts w:hint="eastAsia"/>
          <w:lang w:eastAsia="zh-CN"/>
        </w:rPr>
        <w:t xml:space="preserve">Set </w:t>
      </w:r>
      <m:oMath>
        <m:r>
          <w:rPr>
            <w:rFonts w:ascii="Cambria Math" w:hAnsi="Cambria Math"/>
          </w:rPr>
          <m:t>j=0</m:t>
        </m:r>
      </m:oMath>
      <w:r w:rsidRPr="00B27E56">
        <w:t>- HARQ-ACK</w:t>
      </w:r>
      <w:r w:rsidRPr="00B27E56">
        <w:rPr>
          <w:lang w:val="en-US"/>
        </w:rPr>
        <w:t xml:space="preserve"> information</w:t>
      </w:r>
      <w:r w:rsidRPr="00B27E56">
        <w:t xml:space="preserve"> bit index</w:t>
      </w:r>
    </w:p>
    <w:p w14:paraId="6FEB5480" w14:textId="47C50C45" w:rsidR="00A3459D" w:rsidRPr="00B27E56" w:rsidRDefault="00A3459D" w:rsidP="00A3459D">
      <w:pPr>
        <w:rPr>
          <w:lang w:eastAsia="zh-CN"/>
        </w:rPr>
      </w:pPr>
      <w:r w:rsidRPr="00B27E56">
        <w:rPr>
          <w:rFonts w:hint="eastAsia"/>
          <w:lang w:eastAsia="zh-CN"/>
        </w:rPr>
        <w:t xml:space="preserve">Set </w:t>
      </w:r>
      <m:oMath>
        <m:sSubSup>
          <m:sSubSupPr>
            <m:ctrlPr>
              <w:rPr>
                <w:rFonts w:ascii="Cambria Math" w:hAnsi="Cambria Math"/>
                <w:i/>
                <w:lang w:eastAsia="zh-CN"/>
              </w:rPr>
            </m:ctrlPr>
          </m:sSubSupPr>
          <m:e>
            <m:r>
              <w:rPr>
                <w:rFonts w:ascii="Cambria Math" w:hAnsi="Cambria Math"/>
                <w:lang w:eastAsia="zh-CN"/>
              </w:rPr>
              <m:t>N</m:t>
            </m:r>
          </m:e>
          <m:sub>
            <m:r>
              <m:rPr>
                <m:sty m:val="p"/>
              </m:rPr>
              <w:rPr>
                <w:rFonts w:ascii="Cambria Math" w:hAnsi="Cambria Math"/>
                <w:lang w:eastAsia="zh-CN"/>
              </w:rPr>
              <m:t>cells</m:t>
            </m:r>
          </m:sub>
          <m:sup>
            <m:r>
              <m:rPr>
                <m:sty m:val="p"/>
              </m:rPr>
              <w:rPr>
                <w:rFonts w:ascii="Cambria Math" w:hAnsi="Cambria Math"/>
                <w:lang w:eastAsia="zh-CN"/>
              </w:rPr>
              <m:t>DL</m:t>
            </m:r>
          </m:sup>
        </m:sSubSup>
      </m:oMath>
      <w:r w:rsidRPr="00B27E56">
        <w:t xml:space="preserve"> to the number of serving cells configured by higher layers for the UE</w:t>
      </w:r>
    </w:p>
    <w:p w14:paraId="3215AC69" w14:textId="6D74985E" w:rsidR="00A3459D" w:rsidRPr="00B27E56" w:rsidRDefault="00A3459D" w:rsidP="00A3459D">
      <w:pPr>
        <w:pStyle w:val="B1"/>
      </w:pPr>
      <w:r w:rsidRPr="00B27E56">
        <w:t xml:space="preserve">while </w:t>
      </w:r>
      <m:oMath>
        <m:r>
          <w:rPr>
            <w:rFonts w:ascii="Cambria Math" w:hAnsi="Cambria Math"/>
          </w:rPr>
          <m:t>c&lt;</m:t>
        </m:r>
        <m:sSubSup>
          <m:sSubSupPr>
            <m:ctrlPr>
              <w:rPr>
                <w:rFonts w:ascii="Cambria Math" w:hAnsi="Cambria Math"/>
                <w:i/>
                <w:lang w:eastAsia="zh-CN"/>
              </w:rPr>
            </m:ctrlPr>
          </m:sSubSupPr>
          <m:e>
            <m:r>
              <w:rPr>
                <w:rFonts w:ascii="Cambria Math" w:hAnsi="Cambria Math"/>
                <w:lang w:eastAsia="zh-CN"/>
              </w:rPr>
              <m:t>N</m:t>
            </m:r>
          </m:e>
          <m:sub>
            <m:r>
              <m:rPr>
                <m:sty m:val="p"/>
              </m:rPr>
              <w:rPr>
                <w:rFonts w:ascii="Cambria Math" w:hAnsi="Cambria Math"/>
                <w:lang w:eastAsia="zh-CN"/>
              </w:rPr>
              <m:t>cells</m:t>
            </m:r>
          </m:sub>
          <m:sup>
            <m:r>
              <m:rPr>
                <m:sty m:val="p"/>
              </m:rPr>
              <w:rPr>
                <w:rFonts w:ascii="Cambria Math" w:hAnsi="Cambria Math"/>
                <w:lang w:eastAsia="zh-CN"/>
              </w:rPr>
              <m:t>DL</m:t>
            </m:r>
          </m:sup>
        </m:sSubSup>
      </m:oMath>
    </w:p>
    <w:p w14:paraId="1A2AB7A5" w14:textId="2D063E2B" w:rsidR="001A2F10" w:rsidRPr="00B27E56" w:rsidRDefault="001A2F10" w:rsidP="001A2F10">
      <w:pPr>
        <w:pStyle w:val="B2"/>
        <w:rPr>
          <w:lang w:eastAsia="zh-CN"/>
        </w:rPr>
      </w:pPr>
      <w:r w:rsidRPr="00B27E56">
        <w:rPr>
          <w:rFonts w:hint="eastAsia"/>
          <w:lang w:eastAsia="zh-CN"/>
        </w:rPr>
        <w:t xml:space="preserve">Set </w:t>
      </w:r>
      <m:oMath>
        <m:r>
          <w:rPr>
            <w:rFonts w:ascii="Cambria Math" w:hAnsi="Cambria Math"/>
          </w:rPr>
          <m:t>m=0</m:t>
        </m:r>
      </m:oMath>
      <w:r w:rsidRPr="00B27E56">
        <w:rPr>
          <w:rFonts w:hint="eastAsia"/>
          <w:lang w:eastAsia="zh-CN"/>
        </w:rPr>
        <w:t xml:space="preserve"> </w:t>
      </w:r>
      <w:r w:rsidRPr="00B27E56">
        <w:rPr>
          <w:lang w:eastAsia="zh-CN"/>
        </w:rPr>
        <w:t>–</w:t>
      </w:r>
      <w:r w:rsidRPr="00B27E56">
        <w:rPr>
          <w:rFonts w:hint="eastAsia"/>
          <w:lang w:eastAsia="zh-CN"/>
        </w:rPr>
        <w:t xml:space="preserve"> </w:t>
      </w:r>
      <w:r w:rsidRPr="00B27E56">
        <w:rPr>
          <w:lang w:eastAsia="zh-CN"/>
        </w:rPr>
        <w:t>index of occasion for candidate PDSCH reception</w:t>
      </w:r>
      <w:r w:rsidR="00C926CF">
        <w:rPr>
          <w:lang w:val="en-GB" w:eastAsia="zh-CN"/>
        </w:rPr>
        <w:t>,</w:t>
      </w:r>
      <w:r w:rsidRPr="00B27E56">
        <w:rPr>
          <w:lang w:eastAsia="zh-CN"/>
        </w:rPr>
        <w:t xml:space="preserve"> or SPS PDSCH release</w:t>
      </w:r>
      <w:r w:rsidR="00C926CF">
        <w:rPr>
          <w:lang w:val="en-GB" w:eastAsia="zh-CN"/>
        </w:rPr>
        <w:t>,</w:t>
      </w:r>
      <w:r w:rsidR="00C926CF" w:rsidRPr="00F415B1">
        <w:rPr>
          <w:lang w:val="en-US" w:eastAsia="zh-CN"/>
        </w:rPr>
        <w:t xml:space="preserve"> </w:t>
      </w:r>
      <w:r w:rsidR="00C926CF" w:rsidRPr="00F415B1">
        <w:t>or TCI state update</w:t>
      </w:r>
    </w:p>
    <w:p w14:paraId="73D3EC9D" w14:textId="638BC060" w:rsidR="001A2F10" w:rsidRPr="00B27E56" w:rsidRDefault="001A2F10" w:rsidP="001A2F10">
      <w:pPr>
        <w:pStyle w:val="B2"/>
        <w:rPr>
          <w:lang w:eastAsia="zh-CN"/>
        </w:rPr>
      </w:pPr>
      <w:r w:rsidRPr="00B27E56">
        <w:rPr>
          <w:rFonts w:hint="eastAsia"/>
          <w:lang w:eastAsia="zh-CN"/>
        </w:rPr>
        <w:t xml:space="preserve">while </w:t>
      </w:r>
      <m:oMath>
        <m:r>
          <w:rPr>
            <w:rFonts w:ascii="Cambria Math" w:hAnsi="Cambria Math"/>
            <w:lang w:val="en-GB" w:eastAsia="zh-CN"/>
          </w:rPr>
          <m:t>m&lt;</m:t>
        </m:r>
        <m:sSub>
          <m:sSubPr>
            <m:ctrlPr>
              <w:rPr>
                <w:rFonts w:ascii="Cambria Math" w:hAnsi="Cambria Math"/>
                <w:i/>
                <w:lang w:val="en-GB" w:eastAsia="zh-CN"/>
              </w:rPr>
            </m:ctrlPr>
          </m:sSubPr>
          <m:e>
            <m:r>
              <w:rPr>
                <w:rFonts w:ascii="Cambria Math" w:hAnsi="Cambria Math"/>
                <w:lang w:val="en-GB" w:eastAsia="zh-CN"/>
              </w:rPr>
              <m:t>M</m:t>
            </m:r>
          </m:e>
          <m:sub>
            <m:r>
              <w:rPr>
                <w:rFonts w:ascii="Cambria Math" w:hAnsi="Cambria Math"/>
                <w:lang w:val="en-GB" w:eastAsia="zh-CN"/>
              </w:rPr>
              <m:t>c</m:t>
            </m:r>
          </m:sub>
        </m:sSub>
      </m:oMath>
    </w:p>
    <w:p w14:paraId="2429324E" w14:textId="6F15CCD0" w:rsidR="001A2F10" w:rsidRDefault="001A2F10" w:rsidP="00BC7A04">
      <w:pPr>
        <w:pStyle w:val="B3"/>
        <w:ind w:left="851" w:firstLine="0"/>
        <w:rPr>
          <w:lang w:eastAsia="zh-CN"/>
        </w:rPr>
      </w:pPr>
      <w:r>
        <w:rPr>
          <w:lang w:eastAsia="zh-CN"/>
        </w:rPr>
        <w:t xml:space="preserve">if </w:t>
      </w:r>
      <w:r w:rsidR="0029486B">
        <w:rPr>
          <w:i/>
          <w:iCs/>
          <w:lang w:eastAsia="zh-CN"/>
        </w:rPr>
        <w:t>t</w:t>
      </w:r>
      <w:r w:rsidR="0029486B" w:rsidRPr="00B27E56">
        <w:rPr>
          <w:i/>
          <w:iCs/>
          <w:lang w:eastAsia="zh-CN"/>
        </w:rPr>
        <w:t>imeDomainHARQ</w:t>
      </w:r>
      <w:r w:rsidRPr="00B27E56">
        <w:rPr>
          <w:i/>
          <w:iCs/>
          <w:lang w:eastAsia="zh-CN"/>
        </w:rPr>
        <w:t>-Bundling</w:t>
      </w:r>
      <w:r w:rsidR="0029486B">
        <w:rPr>
          <w:i/>
          <w:iCs/>
          <w:lang w:eastAsia="zh-CN"/>
        </w:rPr>
        <w:t>Type1</w:t>
      </w:r>
      <w:r w:rsidRPr="00B27E56">
        <w:rPr>
          <w:lang w:eastAsia="zh-CN"/>
        </w:rPr>
        <w:t xml:space="preserve"> is</w:t>
      </w:r>
      <w:r>
        <w:rPr>
          <w:lang w:eastAsia="zh-CN"/>
        </w:rPr>
        <w:t xml:space="preserve"> </w:t>
      </w:r>
      <w:r w:rsidRPr="00B27E56">
        <w:rPr>
          <w:lang w:eastAsia="zh-CN"/>
        </w:rPr>
        <w:t>provided</w:t>
      </w:r>
      <w:r>
        <w:rPr>
          <w:lang w:eastAsia="zh-CN"/>
        </w:rPr>
        <w:t xml:space="preserve"> for serving cell </w:t>
      </w:r>
      <m:oMath>
        <m:r>
          <w:rPr>
            <w:rFonts w:ascii="Cambria Math" w:hAnsi="Cambria Math"/>
          </w:rPr>
          <m:t xml:space="preserve">c </m:t>
        </m:r>
      </m:oMath>
      <w:r>
        <w:rPr>
          <w:rFonts w:hint="eastAsia"/>
          <w:lang w:eastAsia="zh-CN"/>
        </w:rPr>
        <w:t>an</w:t>
      </w:r>
      <w:r>
        <w:rPr>
          <w:lang w:eastAsia="zh-CN"/>
        </w:rPr>
        <w:t xml:space="preserve">d </w:t>
      </w:r>
      <w:r>
        <w:rPr>
          <w:lang w:val="en-US" w:eastAsia="zh-CN"/>
        </w:rPr>
        <w:t>a</w:t>
      </w:r>
      <w:r>
        <w:rPr>
          <w:lang w:eastAsia="zh-CN"/>
        </w:rPr>
        <w:t xml:space="preserve"> PDSCH </w:t>
      </w:r>
      <w:r>
        <w:rPr>
          <w:lang w:val="en-US" w:eastAsia="zh-CN"/>
        </w:rPr>
        <w:t xml:space="preserve">associated with occasion </w:t>
      </w:r>
      <m:oMath>
        <m:r>
          <w:rPr>
            <w:rFonts w:ascii="Cambria Math" w:hAnsi="Cambria Math"/>
          </w:rPr>
          <m:t>m</m:t>
        </m:r>
      </m:oMath>
      <w:r>
        <w:rPr>
          <w:lang w:eastAsia="zh-CN"/>
        </w:rPr>
        <w:t xml:space="preserve"> is scheduled by a DCI format indicati</w:t>
      </w:r>
      <w:r>
        <w:rPr>
          <w:lang w:val="en-US" w:eastAsia="zh-CN"/>
        </w:rPr>
        <w:t>ng</w:t>
      </w:r>
      <w:r>
        <w:rPr>
          <w:lang w:eastAsia="zh-CN"/>
        </w:rPr>
        <w:t xml:space="preserve"> </w:t>
      </w:r>
      <w:r>
        <w:rPr>
          <w:lang w:val="en-US" w:eastAsia="zh-CN"/>
        </w:rPr>
        <w:t xml:space="preserve">a TDRA </w:t>
      </w:r>
      <w:r>
        <w:rPr>
          <w:lang w:eastAsia="zh-CN"/>
        </w:rPr>
        <w:t xml:space="preserve">row </w:t>
      </w:r>
      <w:r>
        <w:rPr>
          <w:lang w:val="en-US" w:eastAsia="zh-CN"/>
        </w:rPr>
        <w:t xml:space="preserve">that </w:t>
      </w:r>
      <w:r>
        <w:rPr>
          <w:lang w:eastAsia="zh-CN"/>
        </w:rPr>
        <w:t>includ</w:t>
      </w:r>
      <w:r>
        <w:rPr>
          <w:lang w:val="en-US" w:eastAsia="zh-CN"/>
        </w:rPr>
        <w:t>es</w:t>
      </w:r>
      <w:r>
        <w:rPr>
          <w:lang w:eastAsia="zh-CN"/>
        </w:rPr>
        <w:t xml:space="preserve"> more than one SLIV entry</w:t>
      </w:r>
    </w:p>
    <w:p w14:paraId="5B7BAA22" w14:textId="77777777" w:rsidR="001A2F10" w:rsidRPr="0072434F" w:rsidRDefault="001A2F10" w:rsidP="00BC7A04">
      <w:pPr>
        <w:pStyle w:val="B4"/>
        <w:ind w:left="1134" w:firstLine="0"/>
        <w:rPr>
          <w:lang w:eastAsia="zh-CN"/>
        </w:rPr>
      </w:pPr>
      <w:r w:rsidRPr="0072434F">
        <w:rPr>
          <w:lang w:eastAsia="zh-CN"/>
        </w:rPr>
        <w:t xml:space="preserve">if </w:t>
      </w:r>
      <w:r w:rsidRPr="0072434F">
        <w:rPr>
          <w:i/>
        </w:rPr>
        <w:t>harq-ACK-SpatialBundlingPUCCH</w:t>
      </w:r>
      <w:r w:rsidRPr="0072434F">
        <w:rPr>
          <w:lang w:val="en-US" w:eastAsia="zh-CN"/>
        </w:rPr>
        <w:t xml:space="preserve"> is not provided</w:t>
      </w:r>
      <w:r w:rsidRPr="0072434F">
        <w:rPr>
          <w:lang w:eastAsia="zh-CN"/>
        </w:rPr>
        <w:t xml:space="preserve"> and the UE is configured by </w:t>
      </w:r>
      <w:r w:rsidRPr="0072434F">
        <w:rPr>
          <w:i/>
        </w:rPr>
        <w:t>maxNrofCodeWordsScheduledByDCI</w:t>
      </w:r>
      <w:r w:rsidRPr="0072434F">
        <w:rPr>
          <w:lang w:eastAsia="zh-CN"/>
        </w:rPr>
        <w:t xml:space="preserve"> with reception of two transport blocks for the active DL BWP of serving cell </w:t>
      </w:r>
      <m:oMath>
        <m:r>
          <w:rPr>
            <w:rFonts w:ascii="Cambria Math" w:hAnsi="Cambria Math"/>
          </w:rPr>
          <m:t>c</m:t>
        </m:r>
      </m:oMath>
    </w:p>
    <w:p w14:paraId="323AC55A" w14:textId="77777777" w:rsidR="001A2F10" w:rsidRPr="0072434F" w:rsidRDefault="001A2F10" w:rsidP="00BC7A04">
      <w:pPr>
        <w:pStyle w:val="B5"/>
        <w:rPr>
          <w:lang w:eastAsia="zh-CN"/>
        </w:rPr>
      </w:pPr>
      <w:r w:rsidRPr="0072434F">
        <w:rPr>
          <w:lang w:eastAsia="ko-KR"/>
        </w:rPr>
        <w:t xml:space="preserve">if the PDSCH </w:t>
      </w:r>
      <w:r>
        <w:rPr>
          <w:lang w:eastAsia="ko-KR"/>
        </w:rPr>
        <w:t>is associated with</w:t>
      </w:r>
      <w:r w:rsidRPr="0072434F">
        <w:rPr>
          <w:lang w:eastAsia="ko-KR"/>
        </w:rPr>
        <w:t xml:space="preserve"> the last SLIV in the TDRA row</w:t>
      </w:r>
    </w:p>
    <w:p w14:paraId="13B1CFDC" w14:textId="77777777" w:rsidR="001A2F10" w:rsidRPr="00B27E56" w:rsidRDefault="00000000" w:rsidP="00BC7A04">
      <w:pPr>
        <w:pStyle w:val="B5"/>
        <w:ind w:left="1701" w:firstLine="0"/>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j</m:t>
            </m:r>
          </m:sub>
          <m:sup>
            <m:r>
              <w:rPr>
                <w:rFonts w:ascii="Cambria Math" w:hAnsi="Cambria Math"/>
              </w:rPr>
              <m:t>ACK</m:t>
            </m:r>
          </m:sup>
        </m:sSubSup>
      </m:oMath>
      <w:r w:rsidR="001A2F10" w:rsidRPr="00B27E56">
        <w:t xml:space="preserve"> </w:t>
      </w:r>
      <w:r w:rsidR="001A2F10" w:rsidRPr="00B27E56">
        <w:rPr>
          <w:rFonts w:hint="eastAsia"/>
          <w:lang w:eastAsia="zh-CN"/>
        </w:rPr>
        <w:t>=</w:t>
      </w:r>
      <w:r w:rsidR="001A2F10" w:rsidRPr="00B27E56">
        <w:t xml:space="preserve"> binary AND operation of </w:t>
      </w:r>
      <w:r w:rsidR="001A2F10">
        <w:t xml:space="preserve">the </w:t>
      </w:r>
      <w:r w:rsidR="001A2F10" w:rsidRPr="00B27E56">
        <w:t xml:space="preserve">HARQ-ACK information bits corresponding to </w:t>
      </w:r>
      <w:r w:rsidR="001A2F10">
        <w:t xml:space="preserve">first </w:t>
      </w:r>
      <w:r w:rsidR="001A2F10" w:rsidRPr="00B27E56">
        <w:t>transport block</w:t>
      </w:r>
      <w:r w:rsidR="001A2F10">
        <w:t xml:space="preserve">s in </w:t>
      </w:r>
      <w:r w:rsidR="001A2F10" w:rsidRPr="007C0D7B">
        <w:t>PDSCH</w:t>
      </w:r>
      <w:r w:rsidR="001A2F10">
        <w:t xml:space="preserve"> receptions,</w:t>
      </w:r>
      <w:r w:rsidR="001A2F10" w:rsidRPr="007C0D7B">
        <w:t xml:space="preserve"> </w:t>
      </w:r>
      <w:r w:rsidR="001A2F10">
        <w:t xml:space="preserve">that do </w:t>
      </w:r>
      <w:r w:rsidR="001A2F10" w:rsidRPr="007C0D7B">
        <w:t>not overlap with a</w:t>
      </w:r>
      <w:r w:rsidR="001A2F10">
        <w:t>n</w:t>
      </w:r>
      <w:r w:rsidR="001A2F10" w:rsidRPr="007C0D7B">
        <w:t xml:space="preserve"> uplink symbol indicated</w:t>
      </w:r>
      <w:r w:rsidR="001A2F10" w:rsidRPr="007C0D7B">
        <w:rPr>
          <w:lang w:val="en-US"/>
        </w:rPr>
        <w:t xml:space="preserve"> </w:t>
      </w:r>
      <w:r w:rsidR="001A2F10" w:rsidRPr="007C0D7B">
        <w:t xml:space="preserve">by </w:t>
      </w:r>
      <w:r w:rsidR="001A2F10" w:rsidRPr="007C0D7B">
        <w:rPr>
          <w:i/>
          <w:lang w:val="en-US"/>
        </w:rPr>
        <w:t>tdd-</w:t>
      </w:r>
      <w:r w:rsidR="001A2F10" w:rsidRPr="007C0D7B">
        <w:rPr>
          <w:i/>
        </w:rPr>
        <w:t>UL-DL-</w:t>
      </w:r>
      <w:r w:rsidR="001A2F10" w:rsidRPr="007C0D7B">
        <w:rPr>
          <w:i/>
          <w:lang w:val="en-US"/>
        </w:rPr>
        <w:t>C</w:t>
      </w:r>
      <w:r w:rsidR="001A2F10" w:rsidRPr="007C0D7B">
        <w:rPr>
          <w:i/>
        </w:rPr>
        <w:t>onfiguration</w:t>
      </w:r>
      <w:r w:rsidR="001A2F10" w:rsidRPr="007C0D7B">
        <w:rPr>
          <w:i/>
          <w:lang w:val="en-US"/>
        </w:rPr>
        <w:t>C</w:t>
      </w:r>
      <w:r w:rsidR="001A2F10" w:rsidRPr="007C0D7B">
        <w:rPr>
          <w:i/>
        </w:rPr>
        <w:t>ommon</w:t>
      </w:r>
      <w:r w:rsidR="001A2F10" w:rsidRPr="007C0D7B">
        <w:t xml:space="preserve"> or </w:t>
      </w:r>
      <w:r w:rsidR="001A2F10" w:rsidRPr="007C0D7B">
        <w:rPr>
          <w:i/>
          <w:lang w:val="en-US"/>
        </w:rPr>
        <w:t>tdd-</w:t>
      </w:r>
      <w:r w:rsidR="001A2F10" w:rsidRPr="007C0D7B">
        <w:rPr>
          <w:i/>
        </w:rPr>
        <w:t>UL-DL-</w:t>
      </w:r>
      <w:r w:rsidR="001A2F10" w:rsidRPr="007C0D7B">
        <w:rPr>
          <w:i/>
          <w:lang w:val="en-US"/>
        </w:rPr>
        <w:t>C</w:t>
      </w:r>
      <w:r w:rsidR="001A2F10" w:rsidRPr="007C0D7B">
        <w:rPr>
          <w:i/>
        </w:rPr>
        <w:t>onfiguration</w:t>
      </w:r>
      <w:r w:rsidR="001A2F10" w:rsidRPr="007C0D7B">
        <w:rPr>
          <w:i/>
          <w:lang w:val="en-US"/>
        </w:rPr>
        <w:t>D</w:t>
      </w:r>
      <w:r w:rsidR="001A2F10" w:rsidRPr="007C0D7B">
        <w:rPr>
          <w:i/>
        </w:rPr>
        <w:t>edicated</w:t>
      </w:r>
      <w:r w:rsidR="001A2F10" w:rsidRPr="007C0D7B">
        <w:t xml:space="preserve">, </w:t>
      </w:r>
      <w:r w:rsidR="001A2F10" w:rsidRPr="007C0D7B">
        <w:rPr>
          <w:lang w:eastAsia="zh-CN"/>
        </w:rPr>
        <w:t>scheduled</w:t>
      </w:r>
      <w:r w:rsidR="001A2F10">
        <w:rPr>
          <w:lang w:eastAsia="zh-CN"/>
        </w:rPr>
        <w:t xml:space="preserve"> by the DCI format</w:t>
      </w:r>
      <w:r w:rsidR="001A2F10" w:rsidRPr="00B27E56">
        <w:t xml:space="preserve"> </w:t>
      </w:r>
      <w:r w:rsidR="001A2F10">
        <w:t>on</w:t>
      </w:r>
      <w:r w:rsidR="001A2F10" w:rsidRPr="00B27E56">
        <w:t xml:space="preserve"> serving cell </w:t>
      </w:r>
      <m:oMath>
        <m:r>
          <w:rPr>
            <w:rFonts w:ascii="Cambria Math" w:hAnsi="Cambria Math"/>
            <w:lang w:eastAsia="zh-CN"/>
          </w:rPr>
          <m:t>c</m:t>
        </m:r>
      </m:oMath>
      <w:r w:rsidR="001A2F10" w:rsidRPr="00B27E56">
        <w:t>;</w:t>
      </w:r>
    </w:p>
    <w:p w14:paraId="277FED4F" w14:textId="77777777" w:rsidR="001A2F10" w:rsidRDefault="001A2F10" w:rsidP="00BC7A04">
      <w:pPr>
        <w:pStyle w:val="B5"/>
        <w:ind w:left="1701" w:firstLine="0"/>
      </w:pPr>
      <m:oMath>
        <m:r>
          <w:rPr>
            <w:rFonts w:ascii="Cambria Math" w:hAnsi="Cambria Math"/>
            <w:lang w:eastAsia="zh-CN"/>
          </w:rPr>
          <m:t>j=j+1</m:t>
        </m:r>
      </m:oMath>
      <w:r w:rsidRPr="00B27E56">
        <w:t>;</w:t>
      </w:r>
    </w:p>
    <w:p w14:paraId="71BFC6FD" w14:textId="77777777" w:rsidR="001A2F10" w:rsidRDefault="00000000" w:rsidP="00BC7A04">
      <w:pPr>
        <w:pStyle w:val="B5"/>
        <w:ind w:left="1701" w:firstLine="0"/>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j</m:t>
            </m:r>
          </m:sub>
          <m:sup>
            <m:r>
              <w:rPr>
                <w:rFonts w:ascii="Cambria Math" w:hAnsi="Cambria Math"/>
              </w:rPr>
              <m:t>ACK</m:t>
            </m:r>
          </m:sup>
        </m:sSubSup>
      </m:oMath>
      <w:r w:rsidR="001A2F10" w:rsidRPr="00B27E56">
        <w:t xml:space="preserve"> </w:t>
      </w:r>
      <w:r w:rsidR="001A2F10" w:rsidRPr="00B27E56">
        <w:rPr>
          <w:rFonts w:hint="eastAsia"/>
          <w:lang w:eastAsia="zh-CN"/>
        </w:rPr>
        <w:t>=</w:t>
      </w:r>
      <w:r w:rsidR="001A2F10" w:rsidRPr="00B27E56">
        <w:t xml:space="preserve"> binary AND operation of </w:t>
      </w:r>
      <w:r w:rsidR="001A2F10">
        <w:t xml:space="preserve">the </w:t>
      </w:r>
      <w:r w:rsidR="001A2F10" w:rsidRPr="00B27E56">
        <w:t xml:space="preserve">HARQ-ACK information bits corresponding to </w:t>
      </w:r>
      <w:r w:rsidR="001A2F10">
        <w:t xml:space="preserve">second </w:t>
      </w:r>
      <w:r w:rsidR="001A2F10" w:rsidRPr="00B27E56">
        <w:t>transport block</w:t>
      </w:r>
      <w:r w:rsidR="001A2F10">
        <w:t xml:space="preserve">s in </w:t>
      </w:r>
      <w:r w:rsidR="001A2F10" w:rsidRPr="007C0D7B">
        <w:t>PDSCH</w:t>
      </w:r>
      <w:r w:rsidR="001A2F10">
        <w:t xml:space="preserve"> receptions,</w:t>
      </w:r>
      <w:r w:rsidR="001A2F10" w:rsidRPr="007C0D7B">
        <w:t xml:space="preserve"> </w:t>
      </w:r>
      <w:r w:rsidR="001A2F10">
        <w:t xml:space="preserve">that do </w:t>
      </w:r>
      <w:r w:rsidR="001A2F10" w:rsidRPr="007C0D7B">
        <w:t>not overlap with a</w:t>
      </w:r>
      <w:r w:rsidR="001A2F10">
        <w:t>n</w:t>
      </w:r>
      <w:r w:rsidR="001A2F10" w:rsidRPr="007C0D7B">
        <w:t xml:space="preserve"> uplink symbol indicated</w:t>
      </w:r>
      <w:r w:rsidR="001A2F10" w:rsidRPr="007C0D7B">
        <w:rPr>
          <w:lang w:val="en-US"/>
        </w:rPr>
        <w:t xml:space="preserve"> </w:t>
      </w:r>
      <w:r w:rsidR="001A2F10" w:rsidRPr="007C0D7B">
        <w:t xml:space="preserve">by </w:t>
      </w:r>
      <w:r w:rsidR="001A2F10" w:rsidRPr="007C0D7B">
        <w:rPr>
          <w:i/>
          <w:lang w:val="en-US"/>
        </w:rPr>
        <w:t>tdd-</w:t>
      </w:r>
      <w:r w:rsidR="001A2F10" w:rsidRPr="007C0D7B">
        <w:rPr>
          <w:i/>
        </w:rPr>
        <w:t>UL-DL-</w:t>
      </w:r>
      <w:r w:rsidR="001A2F10" w:rsidRPr="007C0D7B">
        <w:rPr>
          <w:i/>
          <w:lang w:val="en-US"/>
        </w:rPr>
        <w:t>C</w:t>
      </w:r>
      <w:r w:rsidR="001A2F10" w:rsidRPr="007C0D7B">
        <w:rPr>
          <w:i/>
        </w:rPr>
        <w:t>onfiguration</w:t>
      </w:r>
      <w:r w:rsidR="001A2F10" w:rsidRPr="007C0D7B">
        <w:rPr>
          <w:i/>
          <w:lang w:val="en-US"/>
        </w:rPr>
        <w:t>C</w:t>
      </w:r>
      <w:r w:rsidR="001A2F10" w:rsidRPr="007C0D7B">
        <w:rPr>
          <w:i/>
        </w:rPr>
        <w:t>ommon</w:t>
      </w:r>
      <w:r w:rsidR="001A2F10" w:rsidRPr="007C0D7B">
        <w:t xml:space="preserve"> or </w:t>
      </w:r>
      <w:r w:rsidR="001A2F10" w:rsidRPr="007C0D7B">
        <w:rPr>
          <w:i/>
          <w:lang w:val="en-US"/>
        </w:rPr>
        <w:t>tdd-</w:t>
      </w:r>
      <w:r w:rsidR="001A2F10" w:rsidRPr="007C0D7B">
        <w:rPr>
          <w:i/>
        </w:rPr>
        <w:t>UL-DL-</w:t>
      </w:r>
      <w:r w:rsidR="001A2F10" w:rsidRPr="007C0D7B">
        <w:rPr>
          <w:i/>
          <w:lang w:val="en-US"/>
        </w:rPr>
        <w:t>C</w:t>
      </w:r>
      <w:r w:rsidR="001A2F10" w:rsidRPr="007C0D7B">
        <w:rPr>
          <w:i/>
        </w:rPr>
        <w:t>onfiguration</w:t>
      </w:r>
      <w:r w:rsidR="001A2F10" w:rsidRPr="007C0D7B">
        <w:rPr>
          <w:i/>
          <w:lang w:val="en-US"/>
        </w:rPr>
        <w:t>D</w:t>
      </w:r>
      <w:r w:rsidR="001A2F10" w:rsidRPr="007C0D7B">
        <w:rPr>
          <w:i/>
        </w:rPr>
        <w:t>edicated</w:t>
      </w:r>
      <w:r w:rsidR="001A2F10" w:rsidRPr="007C0D7B">
        <w:t xml:space="preserve">, </w:t>
      </w:r>
      <w:r w:rsidR="001A2F10" w:rsidRPr="007C0D7B">
        <w:rPr>
          <w:lang w:eastAsia="zh-CN"/>
        </w:rPr>
        <w:t>scheduled</w:t>
      </w:r>
      <w:r w:rsidR="001A2F10">
        <w:rPr>
          <w:lang w:eastAsia="zh-CN"/>
        </w:rPr>
        <w:t xml:space="preserve"> by the DCI format</w:t>
      </w:r>
      <w:r w:rsidR="001A2F10" w:rsidRPr="00B27E56">
        <w:t xml:space="preserve"> </w:t>
      </w:r>
      <w:r w:rsidR="001A2F10">
        <w:t>on</w:t>
      </w:r>
      <w:r w:rsidR="001A2F10" w:rsidRPr="00B27E56">
        <w:t xml:space="preserve"> serving cell </w:t>
      </w:r>
      <m:oMath>
        <m:r>
          <w:rPr>
            <w:rFonts w:ascii="Cambria Math" w:hAnsi="Cambria Math"/>
            <w:lang w:eastAsia="zh-CN"/>
          </w:rPr>
          <m:t>c</m:t>
        </m:r>
      </m:oMath>
      <w:r w:rsidR="001A2F10" w:rsidRPr="00B27E56">
        <w:t>;</w:t>
      </w:r>
    </w:p>
    <w:p w14:paraId="6541C933" w14:textId="77777777" w:rsidR="001A2F10" w:rsidRPr="007B5011" w:rsidRDefault="001A2F10" w:rsidP="00BC7A04">
      <w:pPr>
        <w:pStyle w:val="B5"/>
        <w:rPr>
          <w:lang w:val="sv-SE"/>
        </w:rPr>
      </w:pPr>
      <w:r w:rsidRPr="007B5011">
        <w:rPr>
          <w:lang w:val="sv-SE" w:eastAsia="zh-CN"/>
        </w:rPr>
        <w:t>else</w:t>
      </w:r>
    </w:p>
    <w:p w14:paraId="27D09BF2" w14:textId="77777777" w:rsidR="001A2F10" w:rsidRPr="007B5011" w:rsidRDefault="00000000" w:rsidP="00111B1D">
      <w:pPr>
        <w:pStyle w:val="B5"/>
        <w:ind w:left="1701" w:firstLine="0"/>
        <w:rPr>
          <w:lang w:val="sv-SE" w:eastAsia="zh-CN"/>
        </w:rPr>
      </w:pP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o</m:t>
                </m:r>
              </m:e>
            </m:acc>
          </m:e>
          <m:sub>
            <m:r>
              <w:rPr>
                <w:rFonts w:ascii="Cambria Math" w:hAnsi="Cambria Math"/>
              </w:rPr>
              <m:t>j</m:t>
            </m:r>
          </m:sub>
          <m:sup>
            <m:r>
              <w:rPr>
                <w:rFonts w:ascii="Cambria Math" w:hAnsi="Cambria Math"/>
              </w:rPr>
              <m:t>ACK</m:t>
            </m:r>
          </m:sup>
        </m:sSubSup>
        <m:r>
          <m:rPr>
            <m:sty m:val="p"/>
          </m:rPr>
          <w:rPr>
            <w:rFonts w:ascii="Cambria Math" w:hAnsi="Cambria Math"/>
            <w:lang w:val="sv-SE"/>
          </w:rPr>
          <m:t>=</m:t>
        </m:r>
      </m:oMath>
      <w:r w:rsidR="001A2F10" w:rsidRPr="007B5011">
        <w:rPr>
          <w:rFonts w:hint="eastAsia"/>
          <w:lang w:val="sv-SE" w:eastAsia="zh-CN"/>
        </w:rPr>
        <w:t xml:space="preserve"> N</w:t>
      </w:r>
      <w:r w:rsidR="001A2F10" w:rsidRPr="007B5011">
        <w:rPr>
          <w:lang w:val="sv-SE" w:eastAsia="zh-CN"/>
        </w:rPr>
        <w:t>ACK;</w:t>
      </w:r>
    </w:p>
    <w:p w14:paraId="08FB5468" w14:textId="77777777" w:rsidR="001A2F10" w:rsidRPr="007B5011" w:rsidRDefault="001A2F10" w:rsidP="00111B1D">
      <w:pPr>
        <w:pStyle w:val="B5"/>
        <w:ind w:left="1701" w:firstLine="0"/>
        <w:rPr>
          <w:lang w:val="sv-SE"/>
        </w:rPr>
      </w:pPr>
      <m:oMath>
        <m:r>
          <w:rPr>
            <w:rFonts w:ascii="Cambria Math" w:hAnsi="Cambria Math"/>
            <w:lang w:eastAsia="zh-CN"/>
          </w:rPr>
          <m:t>j</m:t>
        </m:r>
        <m:r>
          <m:rPr>
            <m:sty m:val="p"/>
          </m:rPr>
          <w:rPr>
            <w:rFonts w:ascii="Cambria Math" w:hAnsi="Cambria Math"/>
            <w:lang w:val="sv-SE" w:eastAsia="zh-CN"/>
          </w:rPr>
          <m:t>=</m:t>
        </m:r>
        <m:r>
          <w:rPr>
            <w:rFonts w:ascii="Cambria Math" w:hAnsi="Cambria Math"/>
            <w:lang w:eastAsia="zh-CN"/>
          </w:rPr>
          <m:t>j</m:t>
        </m:r>
        <m:r>
          <m:rPr>
            <m:sty m:val="p"/>
          </m:rPr>
          <w:rPr>
            <w:rFonts w:ascii="Cambria Math" w:hAnsi="Cambria Math"/>
            <w:lang w:val="sv-SE" w:eastAsia="zh-CN"/>
          </w:rPr>
          <m:t>+1</m:t>
        </m:r>
      </m:oMath>
      <w:r w:rsidRPr="007B5011">
        <w:rPr>
          <w:lang w:val="sv-SE"/>
        </w:rPr>
        <w:t>;</w:t>
      </w:r>
    </w:p>
    <w:p w14:paraId="2CE1C3D1" w14:textId="77777777" w:rsidR="001A2F10" w:rsidRPr="007B5011" w:rsidRDefault="00000000" w:rsidP="00111B1D">
      <w:pPr>
        <w:pStyle w:val="B5"/>
        <w:ind w:left="1701" w:firstLine="0"/>
        <w:rPr>
          <w:lang w:val="sv-SE" w:eastAsia="zh-CN"/>
        </w:rPr>
      </w:pP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o</m:t>
                </m:r>
              </m:e>
            </m:acc>
          </m:e>
          <m:sub>
            <m:r>
              <w:rPr>
                <w:rFonts w:ascii="Cambria Math" w:hAnsi="Cambria Math"/>
              </w:rPr>
              <m:t>j</m:t>
            </m:r>
          </m:sub>
          <m:sup>
            <m:r>
              <w:rPr>
                <w:rFonts w:ascii="Cambria Math" w:hAnsi="Cambria Math"/>
              </w:rPr>
              <m:t>ACK</m:t>
            </m:r>
          </m:sup>
        </m:sSubSup>
        <m:r>
          <m:rPr>
            <m:sty m:val="p"/>
          </m:rPr>
          <w:rPr>
            <w:rFonts w:ascii="Cambria Math" w:hAnsi="Cambria Math"/>
            <w:lang w:val="sv-SE"/>
          </w:rPr>
          <m:t>=</m:t>
        </m:r>
      </m:oMath>
      <w:r w:rsidR="001A2F10" w:rsidRPr="007B5011">
        <w:rPr>
          <w:rFonts w:hint="eastAsia"/>
          <w:lang w:val="sv-SE" w:eastAsia="zh-CN"/>
        </w:rPr>
        <w:t xml:space="preserve"> N</w:t>
      </w:r>
      <w:r w:rsidR="001A2F10" w:rsidRPr="007B5011">
        <w:rPr>
          <w:lang w:val="sv-SE" w:eastAsia="zh-CN"/>
        </w:rPr>
        <w:t>ACK;</w:t>
      </w:r>
    </w:p>
    <w:p w14:paraId="6C21FEF1" w14:textId="77777777" w:rsidR="001A2F10" w:rsidRDefault="001A2F10" w:rsidP="00111B1D">
      <w:pPr>
        <w:pStyle w:val="B5"/>
      </w:pPr>
      <w:r>
        <w:lastRenderedPageBreak/>
        <w:t>end if</w:t>
      </w:r>
    </w:p>
    <w:p w14:paraId="6F3E5178" w14:textId="77777777" w:rsidR="001A2F10" w:rsidRDefault="001A2F10" w:rsidP="00111B1D">
      <w:pPr>
        <w:pStyle w:val="B5"/>
      </w:pPr>
      <m:oMath>
        <m:r>
          <w:rPr>
            <w:rFonts w:ascii="Cambria Math" w:hAnsi="Cambria Math"/>
            <w:lang w:eastAsia="zh-CN"/>
          </w:rPr>
          <m:t>j</m:t>
        </m:r>
        <m:r>
          <m:rPr>
            <m:sty m:val="p"/>
          </m:rPr>
          <w:rPr>
            <w:rFonts w:ascii="Cambria Math" w:hAnsi="Cambria Math"/>
            <w:lang w:eastAsia="zh-CN"/>
          </w:rPr>
          <m:t>=</m:t>
        </m:r>
        <m:r>
          <w:rPr>
            <w:rFonts w:ascii="Cambria Math" w:hAnsi="Cambria Math"/>
            <w:lang w:eastAsia="zh-CN"/>
          </w:rPr>
          <m:t>j</m:t>
        </m:r>
        <m:r>
          <m:rPr>
            <m:sty m:val="p"/>
          </m:rPr>
          <w:rPr>
            <w:rFonts w:ascii="Cambria Math" w:hAnsi="Cambria Math"/>
            <w:lang w:eastAsia="zh-CN"/>
          </w:rPr>
          <m:t>+1</m:t>
        </m:r>
      </m:oMath>
      <w:r w:rsidRPr="00B27E56">
        <w:t>;</w:t>
      </w:r>
    </w:p>
    <w:p w14:paraId="44C8546A" w14:textId="77777777" w:rsidR="001A2F10" w:rsidRPr="000E1D57" w:rsidRDefault="001A2F10" w:rsidP="00111B1D">
      <w:pPr>
        <w:pStyle w:val="B4"/>
        <w:ind w:left="1134" w:firstLine="0"/>
        <w:rPr>
          <w:lang w:eastAsia="zh-CN"/>
        </w:rPr>
      </w:pPr>
      <w:r w:rsidRPr="00A24141">
        <w:rPr>
          <w:lang w:eastAsia="zh-CN"/>
        </w:rPr>
        <w:t xml:space="preserve">elseif </w:t>
      </w:r>
      <w:r w:rsidRPr="00A24141">
        <w:rPr>
          <w:i/>
        </w:rPr>
        <w:t>harq-ACK-SpatialBundlingPUCCH</w:t>
      </w:r>
      <w:r w:rsidRPr="00A24141">
        <w:rPr>
          <w:lang w:val="en-US" w:eastAsia="zh-CN"/>
        </w:rPr>
        <w:t xml:space="preserve"> is provided</w:t>
      </w:r>
      <w:r w:rsidRPr="00A24141">
        <w:rPr>
          <w:lang w:eastAsia="zh-CN"/>
        </w:rPr>
        <w:t xml:space="preserve"> and the UE is configured by </w:t>
      </w:r>
      <w:r w:rsidRPr="00A24141">
        <w:rPr>
          <w:i/>
        </w:rPr>
        <w:t>maxNrofCodeWordsScheduledByDCI</w:t>
      </w:r>
      <w:r w:rsidRPr="00A24141">
        <w:rPr>
          <w:lang w:eastAsia="zh-CN"/>
        </w:rPr>
        <w:t xml:space="preserve"> with reception of two transport blocks for the active DL BWP of </w:t>
      </w:r>
      <w:r w:rsidRPr="000E1D57">
        <w:rPr>
          <w:lang w:eastAsia="zh-CN"/>
        </w:rPr>
        <w:t xml:space="preserve">serving cell </w:t>
      </w:r>
      <m:oMath>
        <m:r>
          <w:rPr>
            <w:rFonts w:ascii="Cambria Math" w:hAnsi="Cambria Math"/>
          </w:rPr>
          <m:t>c</m:t>
        </m:r>
      </m:oMath>
    </w:p>
    <w:p w14:paraId="545B4F08" w14:textId="77777777" w:rsidR="001A2F10" w:rsidRPr="000E1D57" w:rsidRDefault="001A2F10" w:rsidP="00111B1D">
      <w:pPr>
        <w:pStyle w:val="B5"/>
        <w:ind w:left="1418" w:firstLine="0"/>
        <w:rPr>
          <w:lang w:eastAsia="zh-CN"/>
        </w:rPr>
      </w:pPr>
      <w:r w:rsidRPr="000E1D57">
        <w:rPr>
          <w:lang w:eastAsia="ko-KR"/>
        </w:rPr>
        <w:t xml:space="preserve">if the PDSCH is </w:t>
      </w:r>
      <w:r>
        <w:rPr>
          <w:lang w:eastAsia="ko-KR"/>
        </w:rPr>
        <w:t xml:space="preserve">associated with </w:t>
      </w:r>
      <w:r w:rsidRPr="000E1D57">
        <w:rPr>
          <w:lang w:eastAsia="ko-KR"/>
        </w:rPr>
        <w:t>the last SLIV in the TDRA row</w:t>
      </w:r>
      <w:r w:rsidRPr="000E1D57">
        <w:t>;</w:t>
      </w:r>
    </w:p>
    <w:p w14:paraId="4DF3CEA8" w14:textId="77777777" w:rsidR="001A2F10" w:rsidRDefault="00000000" w:rsidP="00111B1D">
      <w:pPr>
        <w:pStyle w:val="B5"/>
        <w:ind w:left="1701" w:firstLine="0"/>
        <w:rPr>
          <w:rFonts w:eastAsia="Malgun Gothic"/>
          <w:lang w:eastAsia="ko-KR"/>
        </w:rPr>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j</m:t>
            </m:r>
          </m:sub>
          <m:sup>
            <m:r>
              <w:rPr>
                <w:rFonts w:ascii="Cambria Math" w:hAnsi="Cambria Math"/>
              </w:rPr>
              <m:t>ACK</m:t>
            </m:r>
          </m:sup>
        </m:sSubSup>
      </m:oMath>
      <w:r w:rsidR="001A2F10" w:rsidRPr="000E1D57">
        <w:t xml:space="preserve"> </w:t>
      </w:r>
      <w:r w:rsidR="001A2F10" w:rsidRPr="000E1D57">
        <w:rPr>
          <w:lang w:eastAsia="zh-CN"/>
        </w:rPr>
        <w:t>=</w:t>
      </w:r>
      <w:r w:rsidR="001A2F10" w:rsidRPr="000E1D57">
        <w:t xml:space="preserve"> binary AND operation of the HARQ-ACK information bits corresponding to all transport blocks in PDSCHs, </w:t>
      </w:r>
      <w:r w:rsidR="001A2F10">
        <w:t xml:space="preserve">that do </w:t>
      </w:r>
      <w:r w:rsidR="001A2F10" w:rsidRPr="000E1D57">
        <w:t xml:space="preserve">not overlap with </w:t>
      </w:r>
      <w:r w:rsidR="001A2F10">
        <w:t>an</w:t>
      </w:r>
      <w:r w:rsidR="001A2F10" w:rsidRPr="000E1D57">
        <w:t xml:space="preserve"> uplink symbol indicated</w:t>
      </w:r>
      <w:r w:rsidR="001A2F10" w:rsidRPr="000E1D57">
        <w:rPr>
          <w:lang w:val="en-US"/>
        </w:rPr>
        <w:t xml:space="preserve"> </w:t>
      </w:r>
      <w:r w:rsidR="001A2F10" w:rsidRPr="000E1D57">
        <w:t xml:space="preserve">by </w:t>
      </w:r>
      <w:r w:rsidR="001A2F10" w:rsidRPr="000E1D57">
        <w:rPr>
          <w:i/>
          <w:lang w:val="en-US"/>
        </w:rPr>
        <w:t>tdd-</w:t>
      </w:r>
      <w:r w:rsidR="001A2F10" w:rsidRPr="000E1D57">
        <w:rPr>
          <w:i/>
        </w:rPr>
        <w:t>UL-DL-</w:t>
      </w:r>
      <w:r w:rsidR="001A2F10" w:rsidRPr="000E1D57">
        <w:rPr>
          <w:i/>
          <w:lang w:val="en-US"/>
        </w:rPr>
        <w:t>C</w:t>
      </w:r>
      <w:r w:rsidR="001A2F10" w:rsidRPr="000E1D57">
        <w:rPr>
          <w:i/>
        </w:rPr>
        <w:t>onfiguration</w:t>
      </w:r>
      <w:r w:rsidR="001A2F10" w:rsidRPr="000E1D57">
        <w:rPr>
          <w:i/>
          <w:lang w:val="en-US"/>
        </w:rPr>
        <w:t>C</w:t>
      </w:r>
      <w:r w:rsidR="001A2F10" w:rsidRPr="000E1D57">
        <w:rPr>
          <w:i/>
        </w:rPr>
        <w:t>ommon</w:t>
      </w:r>
      <w:r w:rsidR="001A2F10" w:rsidRPr="000E1D57">
        <w:t xml:space="preserve"> or </w:t>
      </w:r>
      <w:r w:rsidR="001A2F10" w:rsidRPr="000E1D57">
        <w:rPr>
          <w:i/>
          <w:lang w:val="en-US"/>
        </w:rPr>
        <w:t>tdd-</w:t>
      </w:r>
      <w:r w:rsidR="001A2F10" w:rsidRPr="000E1D57">
        <w:rPr>
          <w:i/>
        </w:rPr>
        <w:t>UL-DL-</w:t>
      </w:r>
      <w:r w:rsidR="001A2F10" w:rsidRPr="000E1D57">
        <w:rPr>
          <w:i/>
          <w:lang w:val="en-US"/>
        </w:rPr>
        <w:t>C</w:t>
      </w:r>
      <w:r w:rsidR="001A2F10" w:rsidRPr="000E1D57">
        <w:rPr>
          <w:i/>
        </w:rPr>
        <w:t>onfiguration</w:t>
      </w:r>
      <w:r w:rsidR="001A2F10" w:rsidRPr="000E1D57">
        <w:rPr>
          <w:i/>
          <w:lang w:val="en-US"/>
        </w:rPr>
        <w:t>D</w:t>
      </w:r>
      <w:r w:rsidR="001A2F10" w:rsidRPr="000E1D57">
        <w:rPr>
          <w:i/>
        </w:rPr>
        <w:t>edicated</w:t>
      </w:r>
      <w:r w:rsidR="001A2F10" w:rsidRPr="000E1D57">
        <w:t xml:space="preserve">, </w:t>
      </w:r>
      <w:r w:rsidR="001A2F10" w:rsidRPr="000E1D57">
        <w:rPr>
          <w:lang w:eastAsia="zh-CN"/>
        </w:rPr>
        <w:t>scheduled by the DCI format</w:t>
      </w:r>
      <w:r w:rsidR="001A2F10" w:rsidRPr="000E1D57">
        <w:t xml:space="preserve"> of serving cell </w:t>
      </w:r>
      <m:oMath>
        <m:r>
          <w:rPr>
            <w:rFonts w:ascii="Cambria Math" w:hAnsi="Cambria Math"/>
            <w:lang w:eastAsia="zh-CN"/>
          </w:rPr>
          <m:t>c</m:t>
        </m:r>
      </m:oMath>
      <w:r w:rsidR="001A2F10" w:rsidRPr="000E1D57">
        <w:rPr>
          <w:rFonts w:eastAsia="Malgun Gothic" w:hint="eastAsia"/>
          <w:lang w:eastAsia="ko-KR"/>
        </w:rPr>
        <w:t xml:space="preserve"> </w:t>
      </w:r>
    </w:p>
    <w:p w14:paraId="1D4BDA53" w14:textId="77777777" w:rsidR="001A2F10" w:rsidRPr="000E1D57" w:rsidRDefault="001A2F10" w:rsidP="00111B1D">
      <w:pPr>
        <w:pStyle w:val="B5"/>
        <w:ind w:left="1985" w:firstLine="0"/>
      </w:pPr>
      <w:r w:rsidRPr="000E1D57">
        <w:t>if the UE receives one transport block, the UE assumes ACK for the second transport block;</w:t>
      </w:r>
    </w:p>
    <w:p w14:paraId="02036D16" w14:textId="77777777" w:rsidR="001A2F10" w:rsidRPr="007B5011" w:rsidRDefault="001A2F10" w:rsidP="00111B1D">
      <w:pPr>
        <w:pStyle w:val="B5"/>
        <w:ind w:left="1418" w:firstLine="0"/>
        <w:rPr>
          <w:lang w:val="sv-SE"/>
        </w:rPr>
      </w:pPr>
      <w:r w:rsidRPr="007B5011">
        <w:rPr>
          <w:rFonts w:eastAsia="Malgun Gothic"/>
          <w:lang w:val="sv-SE" w:eastAsia="ko-KR"/>
        </w:rPr>
        <w:t>else</w:t>
      </w:r>
    </w:p>
    <w:p w14:paraId="587C8AAE" w14:textId="77777777" w:rsidR="001A2F10" w:rsidRPr="007B5011" w:rsidRDefault="00000000" w:rsidP="00111B1D">
      <w:pPr>
        <w:pStyle w:val="B5"/>
        <w:ind w:left="1701" w:firstLine="0"/>
        <w:rPr>
          <w:lang w:val="sv-SE" w:eastAsia="zh-CN"/>
        </w:rPr>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j</m:t>
            </m:r>
          </m:sub>
          <m:sup>
            <m:r>
              <w:rPr>
                <w:rFonts w:ascii="Cambria Math" w:hAnsi="Cambria Math"/>
              </w:rPr>
              <m:t>ACK</m:t>
            </m:r>
          </m:sup>
        </m:sSubSup>
      </m:oMath>
      <w:r w:rsidR="001A2F10" w:rsidRPr="007B5011">
        <w:rPr>
          <w:lang w:val="sv-SE"/>
        </w:rPr>
        <w:t xml:space="preserve"> </w:t>
      </w:r>
      <w:r w:rsidR="001A2F10" w:rsidRPr="007B5011">
        <w:rPr>
          <w:lang w:val="sv-SE" w:eastAsia="zh-CN"/>
        </w:rPr>
        <w:t>= NACK;</w:t>
      </w:r>
    </w:p>
    <w:p w14:paraId="3CE11D10" w14:textId="77777777" w:rsidR="001A2F10" w:rsidRPr="000E1D57" w:rsidRDefault="001A2F10" w:rsidP="00111B1D">
      <w:pPr>
        <w:pStyle w:val="B5"/>
        <w:ind w:left="1418" w:firstLine="0"/>
        <w:rPr>
          <w:lang w:eastAsia="zh-CN"/>
        </w:rPr>
      </w:pPr>
      <w:r w:rsidRPr="000E1D57">
        <w:rPr>
          <w:rFonts w:hint="eastAsia"/>
          <w:lang w:eastAsia="zh-CN"/>
        </w:rPr>
        <w:t>e</w:t>
      </w:r>
      <w:r w:rsidRPr="000E1D57">
        <w:rPr>
          <w:lang w:eastAsia="zh-CN"/>
        </w:rPr>
        <w:t>nd if</w:t>
      </w:r>
    </w:p>
    <w:p w14:paraId="2324D637" w14:textId="77777777" w:rsidR="001A2F10" w:rsidRPr="000E1D57" w:rsidRDefault="001A2F10" w:rsidP="00111B1D">
      <w:pPr>
        <w:pStyle w:val="B5"/>
        <w:ind w:left="1418" w:firstLine="0"/>
      </w:pPr>
      <m:oMath>
        <m:r>
          <w:rPr>
            <w:rFonts w:ascii="Cambria Math" w:hAnsi="Cambria Math"/>
            <w:lang w:eastAsia="zh-CN"/>
          </w:rPr>
          <m:t>j=j+1</m:t>
        </m:r>
      </m:oMath>
      <w:r w:rsidRPr="000E1D57">
        <w:t>;</w:t>
      </w:r>
    </w:p>
    <w:p w14:paraId="573AC8EE" w14:textId="77777777" w:rsidR="001A2F10" w:rsidRPr="00B37B7E" w:rsidRDefault="001A2F10" w:rsidP="00EE4224">
      <w:pPr>
        <w:pStyle w:val="B4"/>
        <w:rPr>
          <w:lang w:eastAsia="zh-CN"/>
        </w:rPr>
      </w:pPr>
      <w:r w:rsidRPr="00B37B7E">
        <w:rPr>
          <w:lang w:eastAsia="zh-CN"/>
        </w:rPr>
        <w:t>else</w:t>
      </w:r>
    </w:p>
    <w:p w14:paraId="053B4135" w14:textId="77777777" w:rsidR="001A2F10" w:rsidRPr="00B37B7E" w:rsidRDefault="001A2F10" w:rsidP="00111B1D">
      <w:pPr>
        <w:pStyle w:val="B5"/>
        <w:ind w:left="1418" w:firstLine="0"/>
        <w:rPr>
          <w:lang w:eastAsia="zh-CN"/>
        </w:rPr>
      </w:pPr>
      <w:r w:rsidRPr="00B37B7E">
        <w:rPr>
          <w:lang w:eastAsia="ko-KR"/>
        </w:rPr>
        <w:t xml:space="preserve">if the PDSCH is </w:t>
      </w:r>
      <w:r>
        <w:rPr>
          <w:lang w:eastAsia="ko-KR"/>
        </w:rPr>
        <w:t xml:space="preserve">associated with </w:t>
      </w:r>
      <w:r w:rsidRPr="00B37B7E">
        <w:rPr>
          <w:lang w:eastAsia="ko-KR"/>
        </w:rPr>
        <w:t>the last SLIV in the TDRA row</w:t>
      </w:r>
      <w:r w:rsidRPr="00B37B7E">
        <w:t>;</w:t>
      </w:r>
    </w:p>
    <w:bookmarkStart w:id="457" w:name="_Hlk88925303"/>
    <w:p w14:paraId="4D415390" w14:textId="77777777" w:rsidR="001A2F10" w:rsidRPr="00B37B7E" w:rsidRDefault="00000000" w:rsidP="00111B1D">
      <w:pPr>
        <w:pStyle w:val="B5"/>
        <w:ind w:left="1701" w:firstLine="0"/>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j</m:t>
            </m:r>
          </m:sub>
          <m:sup>
            <m:r>
              <w:rPr>
                <w:rFonts w:ascii="Cambria Math" w:hAnsi="Cambria Math"/>
              </w:rPr>
              <m:t>ACK</m:t>
            </m:r>
          </m:sup>
        </m:sSubSup>
      </m:oMath>
      <w:r w:rsidR="001A2F10" w:rsidRPr="00B37B7E">
        <w:t xml:space="preserve"> </w:t>
      </w:r>
      <w:r w:rsidR="001A2F10" w:rsidRPr="00B37B7E">
        <w:rPr>
          <w:lang w:eastAsia="zh-CN"/>
        </w:rPr>
        <w:t>=</w:t>
      </w:r>
      <w:r w:rsidR="001A2F10" w:rsidRPr="00B37B7E">
        <w:t xml:space="preserve">binary AND operation of the HARQ-ACK information bits corresponding to all transport blocks in PDSCHs, </w:t>
      </w:r>
      <w:r w:rsidR="001A2F10">
        <w:t xml:space="preserve">that do </w:t>
      </w:r>
      <w:r w:rsidR="001A2F10" w:rsidRPr="00B37B7E">
        <w:t xml:space="preserve">not overlap with </w:t>
      </w:r>
      <w:r w:rsidR="001A2F10">
        <w:t>an</w:t>
      </w:r>
      <w:r w:rsidR="001A2F10" w:rsidRPr="00B37B7E">
        <w:t xml:space="preserve"> uplink symbol indicated</w:t>
      </w:r>
      <w:r w:rsidR="001A2F10" w:rsidRPr="00B37B7E">
        <w:rPr>
          <w:lang w:val="en-US"/>
        </w:rPr>
        <w:t xml:space="preserve"> </w:t>
      </w:r>
      <w:r w:rsidR="001A2F10" w:rsidRPr="00B37B7E">
        <w:t xml:space="preserve">by </w:t>
      </w:r>
      <w:r w:rsidR="001A2F10" w:rsidRPr="00B37B7E">
        <w:rPr>
          <w:i/>
          <w:lang w:val="en-US"/>
        </w:rPr>
        <w:t>tdd-</w:t>
      </w:r>
      <w:r w:rsidR="001A2F10" w:rsidRPr="00B37B7E">
        <w:rPr>
          <w:i/>
        </w:rPr>
        <w:t>UL-DL-</w:t>
      </w:r>
      <w:r w:rsidR="001A2F10" w:rsidRPr="00B37B7E">
        <w:rPr>
          <w:i/>
          <w:lang w:val="en-US"/>
        </w:rPr>
        <w:t>C</w:t>
      </w:r>
      <w:r w:rsidR="001A2F10" w:rsidRPr="00B37B7E">
        <w:rPr>
          <w:i/>
        </w:rPr>
        <w:t>onfiguration</w:t>
      </w:r>
      <w:r w:rsidR="001A2F10" w:rsidRPr="00B37B7E">
        <w:rPr>
          <w:i/>
          <w:lang w:val="en-US"/>
        </w:rPr>
        <w:t>C</w:t>
      </w:r>
      <w:r w:rsidR="001A2F10" w:rsidRPr="00B37B7E">
        <w:rPr>
          <w:i/>
        </w:rPr>
        <w:t>ommon</w:t>
      </w:r>
      <w:r w:rsidR="001A2F10" w:rsidRPr="00B37B7E">
        <w:t xml:space="preserve"> or </w:t>
      </w:r>
      <w:r w:rsidR="001A2F10" w:rsidRPr="00B37B7E">
        <w:rPr>
          <w:i/>
          <w:lang w:val="en-US"/>
        </w:rPr>
        <w:t>tdd-</w:t>
      </w:r>
      <w:r w:rsidR="001A2F10" w:rsidRPr="00B37B7E">
        <w:rPr>
          <w:i/>
        </w:rPr>
        <w:t>UL-DL-</w:t>
      </w:r>
      <w:r w:rsidR="001A2F10" w:rsidRPr="00B37B7E">
        <w:rPr>
          <w:i/>
          <w:lang w:val="en-US"/>
        </w:rPr>
        <w:t>C</w:t>
      </w:r>
      <w:r w:rsidR="001A2F10" w:rsidRPr="00B37B7E">
        <w:rPr>
          <w:i/>
        </w:rPr>
        <w:t>onfiguration</w:t>
      </w:r>
      <w:r w:rsidR="001A2F10" w:rsidRPr="00B37B7E">
        <w:rPr>
          <w:i/>
          <w:lang w:val="en-US"/>
        </w:rPr>
        <w:t>D</w:t>
      </w:r>
      <w:r w:rsidR="001A2F10" w:rsidRPr="00B37B7E">
        <w:rPr>
          <w:i/>
        </w:rPr>
        <w:t>edicated</w:t>
      </w:r>
      <w:r w:rsidR="001A2F10" w:rsidRPr="00B37B7E">
        <w:t xml:space="preserve">, </w:t>
      </w:r>
      <w:r w:rsidR="001A2F10" w:rsidRPr="00B37B7E">
        <w:rPr>
          <w:lang w:eastAsia="zh-CN"/>
        </w:rPr>
        <w:t>scheduled by the DCI format</w:t>
      </w:r>
      <w:r w:rsidR="001A2F10" w:rsidRPr="00B37B7E">
        <w:t xml:space="preserve"> of serving cell </w:t>
      </w:r>
      <m:oMath>
        <m:r>
          <w:rPr>
            <w:rFonts w:ascii="Cambria Math" w:hAnsi="Cambria Math"/>
            <w:lang w:eastAsia="zh-CN"/>
          </w:rPr>
          <m:t>c</m:t>
        </m:r>
      </m:oMath>
    </w:p>
    <w:bookmarkEnd w:id="457"/>
    <w:p w14:paraId="5E2F95D3" w14:textId="77777777" w:rsidR="001A2F10" w:rsidRPr="007B5011" w:rsidRDefault="001A2F10" w:rsidP="00111B1D">
      <w:pPr>
        <w:pStyle w:val="B5"/>
        <w:ind w:left="1418" w:firstLine="0"/>
        <w:rPr>
          <w:lang w:val="sv-SE"/>
        </w:rPr>
      </w:pPr>
      <w:r w:rsidRPr="007B5011">
        <w:rPr>
          <w:lang w:val="sv-SE" w:eastAsia="ko-KR"/>
        </w:rPr>
        <w:t>else</w:t>
      </w:r>
    </w:p>
    <w:p w14:paraId="6293A9AD" w14:textId="77777777" w:rsidR="001A2F10" w:rsidRPr="007B5011" w:rsidRDefault="00000000" w:rsidP="00111B1D">
      <w:pPr>
        <w:pStyle w:val="B5"/>
        <w:ind w:left="1701" w:firstLine="0"/>
        <w:rPr>
          <w:lang w:val="sv-SE" w:eastAsia="zh-CN"/>
        </w:rPr>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j</m:t>
            </m:r>
          </m:sub>
          <m:sup>
            <m:r>
              <w:rPr>
                <w:rFonts w:ascii="Cambria Math" w:hAnsi="Cambria Math"/>
              </w:rPr>
              <m:t>ACK</m:t>
            </m:r>
          </m:sup>
        </m:sSubSup>
      </m:oMath>
      <w:r w:rsidR="001A2F10" w:rsidRPr="007B5011">
        <w:rPr>
          <w:lang w:val="sv-SE"/>
        </w:rPr>
        <w:t xml:space="preserve"> </w:t>
      </w:r>
      <w:r w:rsidR="001A2F10" w:rsidRPr="007B5011">
        <w:rPr>
          <w:lang w:val="sv-SE" w:eastAsia="zh-CN"/>
        </w:rPr>
        <w:t>= NACK;</w:t>
      </w:r>
    </w:p>
    <w:p w14:paraId="55E12C83" w14:textId="77777777" w:rsidR="001A2F10" w:rsidRPr="00B37B7E" w:rsidRDefault="001A2F10" w:rsidP="00111B1D">
      <w:pPr>
        <w:pStyle w:val="B5"/>
        <w:ind w:left="1418" w:firstLine="0"/>
        <w:rPr>
          <w:lang w:eastAsia="zh-CN"/>
        </w:rPr>
      </w:pPr>
      <w:r w:rsidRPr="00B37B7E">
        <w:rPr>
          <w:rFonts w:hint="eastAsia"/>
          <w:lang w:eastAsia="zh-CN"/>
        </w:rPr>
        <w:t>e</w:t>
      </w:r>
      <w:r w:rsidRPr="00B37B7E">
        <w:rPr>
          <w:lang w:eastAsia="zh-CN"/>
        </w:rPr>
        <w:t>nd if</w:t>
      </w:r>
    </w:p>
    <w:p w14:paraId="3A756F30" w14:textId="77777777" w:rsidR="001A2F10" w:rsidRDefault="001A2F10" w:rsidP="00111B1D">
      <w:pPr>
        <w:pStyle w:val="B5"/>
        <w:ind w:left="1418" w:firstLine="0"/>
        <w:rPr>
          <w:lang w:eastAsia="zh-CN"/>
        </w:rPr>
      </w:pPr>
      <m:oMath>
        <m:r>
          <w:rPr>
            <w:rFonts w:ascii="Cambria Math" w:hAnsi="Cambria Math"/>
            <w:lang w:eastAsia="zh-CN"/>
          </w:rPr>
          <m:t>j=j+1</m:t>
        </m:r>
      </m:oMath>
      <w:r w:rsidRPr="00B37B7E">
        <w:t>;</w:t>
      </w:r>
      <w:r>
        <w:rPr>
          <w:lang w:eastAsia="zh-CN"/>
        </w:rPr>
        <w:tab/>
      </w:r>
    </w:p>
    <w:p w14:paraId="463756DC" w14:textId="2EC97249" w:rsidR="001A2F10" w:rsidRDefault="001A2F10" w:rsidP="00111B1D">
      <w:pPr>
        <w:pStyle w:val="B4"/>
      </w:pPr>
      <w:r>
        <w:rPr>
          <w:lang w:eastAsia="zh-CN"/>
        </w:rPr>
        <w:t>end if</w:t>
      </w:r>
    </w:p>
    <w:p w14:paraId="540C0844" w14:textId="77777777" w:rsidR="001A2F10" w:rsidRPr="00B27E56" w:rsidRDefault="001A2F10" w:rsidP="00EE4224">
      <w:pPr>
        <w:pStyle w:val="B3"/>
        <w:rPr>
          <w:lang w:eastAsia="zh-CN"/>
        </w:rPr>
      </w:pPr>
      <w:r w:rsidRPr="000E1D57">
        <w:rPr>
          <w:lang w:eastAsia="zh-CN"/>
        </w:rPr>
        <w:t>else</w:t>
      </w:r>
    </w:p>
    <w:p w14:paraId="0AFB7CF4" w14:textId="72B2C517" w:rsidR="00CA1203" w:rsidRPr="00B916EC" w:rsidRDefault="00CA1203" w:rsidP="00686822">
      <w:pPr>
        <w:pStyle w:val="B4"/>
        <w:ind w:left="1134" w:firstLine="0"/>
        <w:rPr>
          <w:lang w:eastAsia="zh-CN"/>
        </w:rPr>
      </w:pPr>
      <w:r w:rsidRPr="00B916EC">
        <w:rPr>
          <w:rFonts w:hint="eastAsia"/>
          <w:lang w:eastAsia="zh-CN"/>
        </w:rPr>
        <w:t xml:space="preserve">if </w:t>
      </w:r>
      <w:r w:rsidR="00610503" w:rsidRPr="00435CFD">
        <w:rPr>
          <w:i/>
        </w:rPr>
        <w:t>harq-ACK-SpatialBundlingPUCCH</w:t>
      </w:r>
      <w:r w:rsidR="00610503" w:rsidRPr="00B916EC">
        <w:rPr>
          <w:rFonts w:hint="eastAsia"/>
          <w:lang w:val="en-US" w:eastAsia="zh-CN"/>
        </w:rPr>
        <w:t xml:space="preserve"> is not </w:t>
      </w:r>
      <w:r w:rsidR="00610503">
        <w:rPr>
          <w:lang w:val="en-US" w:eastAsia="zh-CN"/>
        </w:rPr>
        <w:t>provided</w:t>
      </w:r>
      <w:r w:rsidR="00610503" w:rsidRPr="00B916EC">
        <w:rPr>
          <w:lang w:eastAsia="zh-CN"/>
        </w:rPr>
        <w:t xml:space="preserve">, </w:t>
      </w:r>
      <w:r w:rsidR="00610503" w:rsidRPr="00221BBC">
        <w:rPr>
          <w:i/>
        </w:rPr>
        <w:t>PDSCH-CodeBlockGroupTransmission</w:t>
      </w:r>
      <w:r w:rsidR="00610503" w:rsidRPr="00F35584">
        <w:t xml:space="preserve"> </w:t>
      </w:r>
      <w:r w:rsidR="00610503">
        <w:t>is not provided</w:t>
      </w:r>
      <w:r w:rsidR="00610503" w:rsidRPr="00B916EC">
        <w:rPr>
          <w:lang w:eastAsia="zh-CN"/>
        </w:rPr>
        <w:t xml:space="preserve">, </w:t>
      </w:r>
      <w:r w:rsidR="00610503" w:rsidRPr="00B916EC">
        <w:rPr>
          <w:rFonts w:hint="eastAsia"/>
          <w:lang w:eastAsia="zh-CN"/>
        </w:rPr>
        <w:t>and the UE is configured</w:t>
      </w:r>
      <w:r w:rsidR="00610503" w:rsidRPr="00B916EC">
        <w:rPr>
          <w:lang w:eastAsia="zh-CN"/>
        </w:rPr>
        <w:t xml:space="preserve"> by </w:t>
      </w:r>
      <w:r w:rsidR="00610503" w:rsidRPr="00435CFD">
        <w:rPr>
          <w:i/>
        </w:rPr>
        <w:t>maxNrofCodeWordsScheduledByDCI</w:t>
      </w:r>
      <w:r w:rsidR="006D5AFD" w:rsidRPr="00B916EC">
        <w:rPr>
          <w:lang w:eastAsia="zh-CN"/>
        </w:rPr>
        <w:t xml:space="preserve"> </w:t>
      </w:r>
      <w:r w:rsidRPr="00B916EC">
        <w:rPr>
          <w:rFonts w:hint="eastAsia"/>
          <w:lang w:eastAsia="zh-CN"/>
        </w:rPr>
        <w:t xml:space="preserve">with </w:t>
      </w:r>
      <w:r w:rsidR="006D5AFD" w:rsidRPr="00B916EC">
        <w:rPr>
          <w:lang w:eastAsia="zh-CN"/>
        </w:rPr>
        <w:t>reception of</w:t>
      </w:r>
      <w:r w:rsidRPr="00B916EC">
        <w:rPr>
          <w:rFonts w:hint="eastAsia"/>
          <w:lang w:eastAsia="zh-CN"/>
        </w:rPr>
        <w:t xml:space="preserve"> two transport blocks</w:t>
      </w:r>
      <w:r w:rsidR="00A34D72" w:rsidRPr="00B916EC">
        <w:rPr>
          <w:lang w:eastAsia="zh-CN"/>
        </w:rPr>
        <w:t xml:space="preserve"> </w:t>
      </w:r>
      <w:r w:rsidR="00C95F11">
        <w:rPr>
          <w:lang w:eastAsia="zh-CN"/>
        </w:rPr>
        <w:t>for the active DL BWP of</w:t>
      </w:r>
      <w:r w:rsidR="00A34D72" w:rsidRPr="00B916EC">
        <w:rPr>
          <w:rFonts w:hint="eastAsia"/>
          <w:lang w:eastAsia="zh-CN"/>
        </w:rPr>
        <w:t xml:space="preserve"> serving cell </w:t>
      </w:r>
      <m:oMath>
        <m:r>
          <w:rPr>
            <w:rFonts w:ascii="Cambria Math" w:hAnsi="Cambria Math"/>
          </w:rPr>
          <m:t>c</m:t>
        </m:r>
      </m:oMath>
      <w:r w:rsidRPr="00B916EC">
        <w:rPr>
          <w:rFonts w:hint="eastAsia"/>
          <w:lang w:eastAsia="zh-CN"/>
        </w:rPr>
        <w:t>,</w:t>
      </w:r>
    </w:p>
    <w:p w14:paraId="5251ADA9" w14:textId="353AB499" w:rsidR="00686822" w:rsidRPr="00B27E56" w:rsidRDefault="00000000" w:rsidP="00951F8C">
      <w:pPr>
        <w:pStyle w:val="B5"/>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j</m:t>
            </m:r>
          </m:sub>
          <m:sup>
            <m:r>
              <w:rPr>
                <w:rFonts w:ascii="Cambria Math" w:hAnsi="Cambria Math"/>
              </w:rPr>
              <m:t>ACK</m:t>
            </m:r>
          </m:sup>
        </m:sSubSup>
      </m:oMath>
      <w:r w:rsidR="00686822" w:rsidRPr="00B27E56">
        <w:rPr>
          <w:rFonts w:hint="eastAsia"/>
          <w:lang w:eastAsia="zh-CN"/>
        </w:rPr>
        <w:t xml:space="preserve">= </w:t>
      </w:r>
      <w:r w:rsidR="00686822" w:rsidRPr="00B27E56">
        <w:t>HARQ-ACK information bit corresponding to a first transport block of this cell;</w:t>
      </w:r>
    </w:p>
    <w:p w14:paraId="228017EB" w14:textId="282F2A86" w:rsidR="00686822" w:rsidRPr="00B27E56" w:rsidRDefault="00686822" w:rsidP="00951F8C">
      <w:pPr>
        <w:pStyle w:val="B5"/>
        <w:rPr>
          <w:lang w:eastAsia="zh-CN"/>
        </w:rPr>
      </w:pPr>
      <m:oMath>
        <m:r>
          <w:rPr>
            <w:rFonts w:ascii="Cambria Math" w:hAnsi="Cambria Math"/>
          </w:rPr>
          <m:t>j=j+1</m:t>
        </m:r>
      </m:oMath>
      <w:r w:rsidRPr="00B27E56">
        <w:t>;</w:t>
      </w:r>
    </w:p>
    <w:p w14:paraId="27225EF3" w14:textId="3F87551D" w:rsidR="00686822" w:rsidRPr="00B27E56" w:rsidRDefault="00000000" w:rsidP="00951F8C">
      <w:pPr>
        <w:pStyle w:val="B5"/>
        <w:rPr>
          <w:lang w:eastAsia="zh-CN"/>
        </w:rPr>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j</m:t>
            </m:r>
          </m:sub>
          <m:sup>
            <m:r>
              <w:rPr>
                <w:rFonts w:ascii="Cambria Math" w:hAnsi="Cambria Math"/>
              </w:rPr>
              <m:t>ACK</m:t>
            </m:r>
          </m:sup>
        </m:sSubSup>
      </m:oMath>
      <w:r w:rsidR="00686822" w:rsidRPr="00B27E56">
        <w:t xml:space="preserve"> </w:t>
      </w:r>
      <w:r w:rsidR="00686822" w:rsidRPr="00B27E56">
        <w:rPr>
          <w:rFonts w:hint="eastAsia"/>
          <w:lang w:eastAsia="zh-CN"/>
        </w:rPr>
        <w:t>=</w:t>
      </w:r>
      <w:r w:rsidR="00686822" w:rsidRPr="00B27E56">
        <w:t xml:space="preserve"> HARQ-ACK information bit corresponding to a </w:t>
      </w:r>
      <w:r w:rsidR="00686822" w:rsidRPr="00B27E56">
        <w:rPr>
          <w:rFonts w:hint="eastAsia"/>
          <w:lang w:eastAsia="zh-CN"/>
        </w:rPr>
        <w:t>second</w:t>
      </w:r>
      <w:r w:rsidR="00686822" w:rsidRPr="00B27E56">
        <w:t xml:space="preserve"> transport block of this cell;</w:t>
      </w:r>
    </w:p>
    <w:p w14:paraId="6CA15C2D" w14:textId="43EB720F" w:rsidR="00686822" w:rsidRPr="00B27E56" w:rsidRDefault="00686822" w:rsidP="00951F8C">
      <w:pPr>
        <w:pStyle w:val="B5"/>
        <w:rPr>
          <w:lang w:eastAsia="zh-CN"/>
        </w:rPr>
      </w:pPr>
      <m:oMath>
        <m:r>
          <w:rPr>
            <w:rFonts w:ascii="Cambria Math" w:hAnsi="Cambria Math"/>
          </w:rPr>
          <m:t>j=j+1</m:t>
        </m:r>
      </m:oMath>
      <w:r w:rsidRPr="00B27E56">
        <w:t>;</w:t>
      </w:r>
    </w:p>
    <w:p w14:paraId="341E3257" w14:textId="0EDF409F" w:rsidR="00DE60EA" w:rsidRPr="00B916EC" w:rsidRDefault="00DE60EA" w:rsidP="00686822">
      <w:pPr>
        <w:pStyle w:val="B4"/>
        <w:ind w:left="1134" w:firstLine="0"/>
        <w:rPr>
          <w:lang w:eastAsia="zh-CN"/>
        </w:rPr>
      </w:pPr>
      <w:r w:rsidRPr="00B916EC">
        <w:rPr>
          <w:rFonts w:hint="eastAsia"/>
          <w:lang w:eastAsia="zh-CN"/>
        </w:rPr>
        <w:t xml:space="preserve">elseif </w:t>
      </w:r>
      <w:r w:rsidR="00610503" w:rsidRPr="00435CFD">
        <w:rPr>
          <w:i/>
        </w:rPr>
        <w:t>harq-ACK-SpatialBundlingPUCCH</w:t>
      </w:r>
      <w:r w:rsidR="00610503" w:rsidRPr="00B916EC">
        <w:rPr>
          <w:rFonts w:hint="eastAsia"/>
          <w:lang w:val="en-US" w:eastAsia="zh-CN"/>
        </w:rPr>
        <w:t xml:space="preserve"> </w:t>
      </w:r>
      <w:r w:rsidR="00610503">
        <w:rPr>
          <w:rFonts w:hint="eastAsia"/>
          <w:lang w:val="en-US" w:eastAsia="zh-CN"/>
        </w:rPr>
        <w:t>is</w:t>
      </w:r>
      <w:r w:rsidR="00610503" w:rsidRPr="00B916EC">
        <w:rPr>
          <w:rFonts w:hint="eastAsia"/>
          <w:lang w:val="en-US" w:eastAsia="zh-CN"/>
        </w:rPr>
        <w:t xml:space="preserve"> </w:t>
      </w:r>
      <w:r w:rsidR="00610503">
        <w:rPr>
          <w:lang w:val="en-US" w:eastAsia="zh-CN"/>
        </w:rPr>
        <w:t>provided</w:t>
      </w:r>
      <w:r w:rsidR="00610503" w:rsidRPr="00B916EC">
        <w:rPr>
          <w:lang w:eastAsia="zh-CN"/>
        </w:rPr>
        <w:t xml:space="preserve">, </w:t>
      </w:r>
      <w:r w:rsidR="00610503" w:rsidRPr="00B916EC">
        <w:rPr>
          <w:rFonts w:hint="eastAsia"/>
          <w:lang w:eastAsia="zh-CN"/>
        </w:rPr>
        <w:t xml:space="preserve">and the UE is configured </w:t>
      </w:r>
      <w:r w:rsidR="00610503" w:rsidRPr="00B916EC">
        <w:rPr>
          <w:lang w:eastAsia="zh-CN"/>
        </w:rPr>
        <w:t xml:space="preserve">by </w:t>
      </w:r>
      <w:r w:rsidR="00610503" w:rsidRPr="00435CFD">
        <w:rPr>
          <w:i/>
        </w:rPr>
        <w:t>maxNrofCodeWordsScheduledByDCI</w:t>
      </w:r>
      <w:r w:rsidR="006D5AFD" w:rsidRPr="00B916EC">
        <w:rPr>
          <w:lang w:eastAsia="zh-CN"/>
        </w:rPr>
        <w:t xml:space="preserve"> </w:t>
      </w:r>
      <w:r w:rsidRPr="00B916EC">
        <w:rPr>
          <w:rFonts w:hint="eastAsia"/>
          <w:lang w:eastAsia="zh-CN"/>
        </w:rPr>
        <w:t xml:space="preserve">with </w:t>
      </w:r>
      <w:r w:rsidR="006D5AFD" w:rsidRPr="00B916EC">
        <w:rPr>
          <w:lang w:eastAsia="zh-CN"/>
        </w:rPr>
        <w:t>reception of</w:t>
      </w:r>
      <w:r w:rsidRPr="00B916EC">
        <w:rPr>
          <w:rFonts w:hint="eastAsia"/>
          <w:lang w:eastAsia="zh-CN"/>
        </w:rPr>
        <w:t xml:space="preserve"> two transport blocks</w:t>
      </w:r>
      <w:r w:rsidRPr="00B916EC">
        <w:rPr>
          <w:lang w:eastAsia="zh-CN"/>
        </w:rPr>
        <w:t xml:space="preserve"> </w:t>
      </w:r>
      <w:r w:rsidR="00C95F11">
        <w:rPr>
          <w:lang w:eastAsia="zh-CN"/>
        </w:rPr>
        <w:t>for the active DL BWP of</w:t>
      </w:r>
      <w:r w:rsidRPr="00B916EC">
        <w:rPr>
          <w:rFonts w:hint="eastAsia"/>
          <w:lang w:eastAsia="zh-CN"/>
        </w:rPr>
        <w:t xml:space="preserve"> serving cell</w:t>
      </w:r>
      <w:r w:rsidRPr="00B916EC">
        <w:rPr>
          <w:lang w:eastAsia="zh-CN"/>
        </w:rPr>
        <w:t xml:space="preserve"> </w:t>
      </w:r>
      <m:oMath>
        <m:r>
          <w:rPr>
            <w:rFonts w:ascii="Cambria Math" w:hAnsi="Cambria Math"/>
          </w:rPr>
          <m:t>c</m:t>
        </m:r>
      </m:oMath>
      <w:r w:rsidRPr="00B916EC">
        <w:rPr>
          <w:rFonts w:hint="eastAsia"/>
          <w:lang w:eastAsia="zh-CN"/>
        </w:rPr>
        <w:t>,</w:t>
      </w:r>
    </w:p>
    <w:p w14:paraId="237CBA95" w14:textId="3B7630BE" w:rsidR="00686822" w:rsidRDefault="00000000" w:rsidP="00686822">
      <w:pPr>
        <w:pStyle w:val="B5"/>
        <w:ind w:left="1418" w:firstLine="0"/>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j</m:t>
            </m:r>
          </m:sub>
          <m:sup>
            <m:r>
              <w:rPr>
                <w:rFonts w:ascii="Cambria Math" w:hAnsi="Cambria Math"/>
              </w:rPr>
              <m:t>ACK</m:t>
            </m:r>
          </m:sup>
        </m:sSubSup>
      </m:oMath>
      <w:r w:rsidR="00686822" w:rsidRPr="00B27E56">
        <w:t xml:space="preserve"> </w:t>
      </w:r>
      <w:r w:rsidR="00686822" w:rsidRPr="00B27E56">
        <w:rPr>
          <w:rFonts w:hint="eastAsia"/>
          <w:lang w:eastAsia="zh-CN"/>
        </w:rPr>
        <w:t xml:space="preserve">= </w:t>
      </w:r>
      <w:r w:rsidR="00686822" w:rsidRPr="00B27E56">
        <w:t xml:space="preserve">binary AND operation of the HARQ-ACK information bits corresponding to first and second transport blocks of this cell </w:t>
      </w:r>
    </w:p>
    <w:p w14:paraId="030EA932" w14:textId="1E987AB7" w:rsidR="00686822" w:rsidRPr="00B27E56" w:rsidRDefault="00686822" w:rsidP="00951F8C">
      <w:pPr>
        <w:pStyle w:val="B5"/>
        <w:ind w:left="1701" w:firstLine="0"/>
        <w:rPr>
          <w:lang w:eastAsia="zh-CN"/>
        </w:rPr>
      </w:pPr>
      <w:r w:rsidRPr="00B27E56">
        <w:t>if the UE receives one transport block, the UE assumes ACK for the second transport block;</w:t>
      </w:r>
    </w:p>
    <w:p w14:paraId="647D9477" w14:textId="1679CA83" w:rsidR="00686822" w:rsidRPr="00B27E56" w:rsidRDefault="00686822" w:rsidP="00951F8C">
      <w:pPr>
        <w:pStyle w:val="B5"/>
        <w:ind w:left="1418" w:firstLine="0"/>
        <w:rPr>
          <w:lang w:eastAsia="zh-CN"/>
        </w:rPr>
      </w:pPr>
      <m:oMath>
        <m:r>
          <w:rPr>
            <w:rFonts w:ascii="Cambria Math" w:hAnsi="Cambria Math"/>
          </w:rPr>
          <w:lastRenderedPageBreak/>
          <m:t>j=j+1</m:t>
        </m:r>
      </m:oMath>
      <w:r w:rsidRPr="00B27E56">
        <w:t>;</w:t>
      </w:r>
    </w:p>
    <w:p w14:paraId="389C9A4F" w14:textId="1C5C1412" w:rsidR="00CA1203" w:rsidRPr="00B916EC" w:rsidRDefault="00E033B5" w:rsidP="00686822">
      <w:pPr>
        <w:pStyle w:val="B4"/>
        <w:ind w:left="1134" w:firstLine="0"/>
        <w:rPr>
          <w:lang w:eastAsia="zh-CN"/>
        </w:rPr>
      </w:pPr>
      <w:r w:rsidRPr="00B916EC">
        <w:rPr>
          <w:rFonts w:hint="eastAsia"/>
          <w:lang w:eastAsia="zh-CN"/>
        </w:rPr>
        <w:t>elseif</w:t>
      </w:r>
      <w:r w:rsidRPr="00B916EC">
        <w:rPr>
          <w:lang w:eastAsia="zh-CN"/>
        </w:rPr>
        <w:t xml:space="preserve"> </w:t>
      </w:r>
      <w:r w:rsidR="00610503" w:rsidRPr="00221BBC">
        <w:rPr>
          <w:i/>
        </w:rPr>
        <w:t>PDSCH-CodeBlockGroupTransmission</w:t>
      </w:r>
      <w:r w:rsidR="00610503" w:rsidRPr="00F35584">
        <w:t xml:space="preserve"> </w:t>
      </w:r>
      <w:r w:rsidR="00610503">
        <w:t>is provided</w:t>
      </w:r>
      <w:r w:rsidRPr="00B916EC">
        <w:rPr>
          <w:lang w:eastAsia="zh-CN"/>
        </w:rPr>
        <w:t xml:space="preserve">, </w:t>
      </w:r>
      <w:r w:rsidR="00102B8B" w:rsidRPr="00B916EC">
        <w:rPr>
          <w:lang w:eastAsia="zh-CN"/>
        </w:rPr>
        <w:t xml:space="preserve">and </w:t>
      </w:r>
      <m:oMath>
        <m:sSubSup>
          <m:sSubSupPr>
            <m:ctrlPr>
              <w:rPr>
                <w:rFonts w:ascii="Cambria Math" w:hAnsi="Cambria Math"/>
                <w:i/>
                <w:lang w:eastAsia="zh-CN"/>
              </w:rPr>
            </m:ctrlPr>
          </m:sSubSupPr>
          <m:e>
            <m:r>
              <w:rPr>
                <w:rFonts w:ascii="Cambria Math" w:hAnsi="Cambria Math"/>
                <w:lang w:eastAsia="zh-CN"/>
              </w:rPr>
              <m:t>N</m:t>
            </m:r>
          </m:e>
          <m:sub>
            <m:r>
              <m:rPr>
                <m:sty m:val="p"/>
              </m:rPr>
              <w:rPr>
                <w:rFonts w:ascii="Cambria Math" w:hAnsi="Cambria Math"/>
                <w:lang w:eastAsia="zh-CN"/>
              </w:rPr>
              <m:t>HARQ-ACK,</m:t>
            </m:r>
            <m:r>
              <w:rPr>
                <w:rFonts w:ascii="Cambria Math" w:hAnsi="Cambria Math"/>
                <w:lang w:eastAsia="zh-CN"/>
              </w:rPr>
              <m:t>c</m:t>
            </m:r>
          </m:sub>
          <m:sup>
            <m:r>
              <m:rPr>
                <m:sty m:val="p"/>
              </m:rPr>
              <w:rPr>
                <w:rFonts w:ascii="Cambria Math" w:hAnsi="Cambria Math"/>
                <w:lang w:eastAsia="zh-CN"/>
              </w:rPr>
              <m:t>CBG/TB,max</m:t>
            </m:r>
          </m:sup>
        </m:sSubSup>
      </m:oMath>
      <w:r w:rsidR="00686822" w:rsidRPr="00B27E56">
        <w:t xml:space="preserve"> CBGs are indicated by </w:t>
      </w:r>
      <w:r w:rsidR="00686822" w:rsidRPr="00B27E56">
        <w:rPr>
          <w:i/>
          <w:lang w:val="en-US" w:eastAsia="ja-JP"/>
        </w:rPr>
        <w:t>maxCodeBlockGroupsPerTransportBlock</w:t>
      </w:r>
      <w:r w:rsidR="00686822" w:rsidRPr="00B27E56">
        <w:t xml:space="preserve"> for serving cell </w:t>
      </w:r>
      <m:oMath>
        <m:r>
          <w:rPr>
            <w:rFonts w:ascii="Cambria Math" w:hAnsi="Cambria Math"/>
          </w:rPr>
          <m:t>c</m:t>
        </m:r>
      </m:oMath>
      <w:r w:rsidR="00CA1203" w:rsidRPr="00B916EC">
        <w:rPr>
          <w:rFonts w:cs="Arial" w:hint="eastAsia"/>
          <w:lang w:eastAsia="zh-CN"/>
        </w:rPr>
        <w:t>,</w:t>
      </w:r>
    </w:p>
    <w:p w14:paraId="1D33D81F" w14:textId="4509E911" w:rsidR="00B42425" w:rsidRPr="00B27E56" w:rsidRDefault="00B42425" w:rsidP="00951F8C">
      <w:pPr>
        <w:pStyle w:val="B5"/>
      </w:pPr>
      <w:r w:rsidRPr="00B27E56">
        <w:rPr>
          <w:rFonts w:hint="eastAsia"/>
          <w:lang w:eastAsia="zh-CN"/>
        </w:rPr>
        <w:t xml:space="preserve">Set </w:t>
      </w:r>
      <m:oMath>
        <m:sSub>
          <m:sSubPr>
            <m:ctrlPr>
              <w:rPr>
                <w:rFonts w:ascii="Cambria Math" w:hAnsi="Cambria Math"/>
                <w:i/>
              </w:rPr>
            </m:ctrlPr>
          </m:sSubPr>
          <m:e>
            <m:r>
              <w:rPr>
                <w:rFonts w:ascii="Cambria Math" w:hAnsi="Cambria Math"/>
              </w:rPr>
              <m:t>n</m:t>
            </m:r>
          </m:e>
          <m:sub>
            <m:r>
              <m:rPr>
                <m:sty m:val="p"/>
              </m:rPr>
              <w:rPr>
                <w:rFonts w:ascii="Cambria Math" w:hAnsi="Cambria Math"/>
              </w:rPr>
              <m:t>CBG</m:t>
            </m:r>
          </m:sub>
        </m:sSub>
        <m:r>
          <w:rPr>
            <w:rFonts w:ascii="Cambria Math" w:hAnsi="Cambria Math"/>
          </w:rPr>
          <m:t>=0</m:t>
        </m:r>
      </m:oMath>
      <w:r w:rsidRPr="00B27E56">
        <w:t>- CBG index</w:t>
      </w:r>
    </w:p>
    <w:p w14:paraId="68F6EC4F" w14:textId="283F07B8" w:rsidR="00B42425" w:rsidRPr="00B27E56" w:rsidRDefault="00B42425" w:rsidP="00951F8C">
      <w:pPr>
        <w:pStyle w:val="B5"/>
      </w:pPr>
      <w:r w:rsidRPr="00B27E56">
        <w:t xml:space="preserve">while </w:t>
      </w:r>
      <m:oMath>
        <m:sSub>
          <m:sSubPr>
            <m:ctrlPr>
              <w:rPr>
                <w:rFonts w:ascii="Cambria Math" w:hAnsi="Cambria Math"/>
                <w:i/>
              </w:rPr>
            </m:ctrlPr>
          </m:sSubPr>
          <m:e>
            <m:r>
              <w:rPr>
                <w:rFonts w:ascii="Cambria Math" w:hAnsi="Cambria Math"/>
              </w:rPr>
              <m:t>n</m:t>
            </m:r>
          </m:e>
          <m:sub>
            <m:r>
              <m:rPr>
                <m:sty m:val="p"/>
              </m:rPr>
              <w:rPr>
                <w:rFonts w:ascii="Cambria Math" w:hAnsi="Cambria Math"/>
              </w:rPr>
              <m:t>CBG</m:t>
            </m:r>
          </m:sub>
        </m:sSub>
        <m:r>
          <w:rPr>
            <w:rFonts w:ascii="Cambria Math" w:hAnsi="Cambria Math"/>
          </w:rPr>
          <m:t>&lt;</m:t>
        </m:r>
        <m:sSubSup>
          <m:sSubSupPr>
            <m:ctrlPr>
              <w:rPr>
                <w:rFonts w:ascii="Cambria Math" w:hAnsi="Cambria Math"/>
                <w:i/>
                <w:lang w:eastAsia="zh-CN"/>
              </w:rPr>
            </m:ctrlPr>
          </m:sSubSupPr>
          <m:e>
            <m:r>
              <w:rPr>
                <w:rFonts w:ascii="Cambria Math" w:hAnsi="Cambria Math"/>
                <w:lang w:eastAsia="zh-CN"/>
              </w:rPr>
              <m:t>N</m:t>
            </m:r>
          </m:e>
          <m:sub>
            <m:r>
              <m:rPr>
                <m:sty m:val="p"/>
              </m:rPr>
              <w:rPr>
                <w:rFonts w:ascii="Cambria Math" w:hAnsi="Cambria Math"/>
                <w:lang w:eastAsia="zh-CN"/>
              </w:rPr>
              <m:t>HARQ-ACK,</m:t>
            </m:r>
            <m:r>
              <w:rPr>
                <w:rFonts w:ascii="Cambria Math" w:hAnsi="Cambria Math"/>
                <w:lang w:eastAsia="zh-CN"/>
              </w:rPr>
              <m:t>c</m:t>
            </m:r>
          </m:sub>
          <m:sup>
            <m:r>
              <m:rPr>
                <m:sty m:val="p"/>
              </m:rPr>
              <w:rPr>
                <w:rFonts w:ascii="Cambria Math" w:hAnsi="Cambria Math"/>
                <w:lang w:eastAsia="zh-CN"/>
              </w:rPr>
              <m:t>CBG/TB,max</m:t>
            </m:r>
          </m:sup>
        </m:sSubSup>
      </m:oMath>
    </w:p>
    <w:p w14:paraId="0B963ADF" w14:textId="147154FE" w:rsidR="00B42425" w:rsidRPr="00B27E56" w:rsidRDefault="00000000" w:rsidP="00951F8C">
      <w:pPr>
        <w:pStyle w:val="B5"/>
        <w:ind w:left="1701" w:hanging="1"/>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j+</m:t>
            </m:r>
            <m:sSub>
              <m:sSubPr>
                <m:ctrlPr>
                  <w:rPr>
                    <w:rFonts w:ascii="Cambria Math" w:hAnsi="Cambria Math"/>
                    <w:i/>
                  </w:rPr>
                </m:ctrlPr>
              </m:sSubPr>
              <m:e>
                <m:r>
                  <w:rPr>
                    <w:rFonts w:ascii="Cambria Math" w:hAnsi="Cambria Math"/>
                  </w:rPr>
                  <m:t>n</m:t>
                </m:r>
              </m:e>
              <m:sub>
                <m:r>
                  <m:rPr>
                    <m:sty m:val="p"/>
                  </m:rPr>
                  <w:rPr>
                    <w:rFonts w:ascii="Cambria Math" w:hAnsi="Cambria Math"/>
                  </w:rPr>
                  <m:t>CBG</m:t>
                </m:r>
              </m:sub>
            </m:sSub>
          </m:sub>
          <m:sup>
            <m:r>
              <w:rPr>
                <w:rFonts w:ascii="Cambria Math" w:hAnsi="Cambria Math"/>
              </w:rPr>
              <m:t>ACK</m:t>
            </m:r>
          </m:sup>
        </m:sSubSup>
      </m:oMath>
      <w:r w:rsidR="00B42425" w:rsidRPr="00B27E56">
        <w:t xml:space="preserve"> </w:t>
      </w:r>
      <w:r w:rsidR="00B42425" w:rsidRPr="00B27E56">
        <w:rPr>
          <w:rFonts w:hint="eastAsia"/>
          <w:lang w:eastAsia="zh-CN"/>
        </w:rPr>
        <w:t xml:space="preserve">= </w:t>
      </w:r>
      <w:r w:rsidR="00B42425" w:rsidRPr="00B27E56">
        <w:t xml:space="preserve">HARQ-ACK information bit corresponding to CBG </w:t>
      </w:r>
      <m:oMath>
        <m:sSub>
          <m:sSubPr>
            <m:ctrlPr>
              <w:rPr>
                <w:rFonts w:ascii="Cambria Math" w:hAnsi="Cambria Math"/>
                <w:i/>
              </w:rPr>
            </m:ctrlPr>
          </m:sSubPr>
          <m:e>
            <m:r>
              <w:rPr>
                <w:rFonts w:ascii="Cambria Math" w:hAnsi="Cambria Math"/>
              </w:rPr>
              <m:t>n</m:t>
            </m:r>
          </m:e>
          <m:sub>
            <m:r>
              <m:rPr>
                <m:sty m:val="p"/>
              </m:rPr>
              <w:rPr>
                <w:rFonts w:ascii="Cambria Math" w:hAnsi="Cambria Math"/>
              </w:rPr>
              <m:t>CBG</m:t>
            </m:r>
          </m:sub>
        </m:sSub>
      </m:oMath>
      <w:r w:rsidR="00B42425" w:rsidRPr="00B27E56">
        <w:t xml:space="preserve"> of the first transport block;</w:t>
      </w:r>
    </w:p>
    <w:p w14:paraId="1D5D3EA7" w14:textId="5AD657EF" w:rsidR="00B42425" w:rsidRPr="00B27E56" w:rsidRDefault="00B42425" w:rsidP="00951F8C">
      <w:pPr>
        <w:pStyle w:val="B5"/>
        <w:ind w:left="1701" w:hanging="1"/>
        <w:rPr>
          <w:rFonts w:cs="Arial"/>
          <w:lang w:eastAsia="zh-CN"/>
        </w:rPr>
      </w:pPr>
      <w:r w:rsidRPr="00B27E56">
        <w:t xml:space="preserve">if </w:t>
      </w:r>
      <w:r w:rsidRPr="00B27E56">
        <w:rPr>
          <w:rFonts w:hint="eastAsia"/>
          <w:lang w:eastAsia="zh-CN"/>
        </w:rPr>
        <w:t>the</w:t>
      </w:r>
      <w:r w:rsidRPr="00B27E56">
        <w:rPr>
          <w:rFonts w:cs="Arial" w:hint="eastAsia"/>
          <w:lang w:eastAsia="zh-CN"/>
        </w:rPr>
        <w:t xml:space="preserve"> UE is configured</w:t>
      </w:r>
      <w:r w:rsidRPr="00B27E56">
        <w:rPr>
          <w:rFonts w:cs="Arial"/>
          <w:lang w:eastAsia="zh-CN"/>
        </w:rPr>
        <w:t xml:space="preserve"> by </w:t>
      </w:r>
      <w:r w:rsidRPr="00B27E56">
        <w:rPr>
          <w:i/>
        </w:rPr>
        <w:t>maxNrofCodeWordsScheduledByDCI</w:t>
      </w:r>
      <w:r w:rsidRPr="00B27E56">
        <w:rPr>
          <w:rFonts w:cs="Arial"/>
          <w:lang w:eastAsia="zh-CN"/>
        </w:rPr>
        <w:t xml:space="preserve"> </w:t>
      </w:r>
      <w:r w:rsidRPr="00B27E56">
        <w:rPr>
          <w:rFonts w:cs="Arial" w:hint="eastAsia"/>
          <w:lang w:eastAsia="zh-CN"/>
        </w:rPr>
        <w:t xml:space="preserve">with </w:t>
      </w:r>
      <w:r w:rsidRPr="00B27E56">
        <w:rPr>
          <w:rFonts w:cs="Arial"/>
          <w:lang w:eastAsia="zh-CN"/>
        </w:rPr>
        <w:t>reception of</w:t>
      </w:r>
      <w:r w:rsidRPr="00B27E56">
        <w:rPr>
          <w:rFonts w:cs="Arial" w:hint="eastAsia"/>
          <w:lang w:eastAsia="zh-CN"/>
        </w:rPr>
        <w:t xml:space="preserve"> two transport blocks</w:t>
      </w:r>
      <w:r w:rsidRPr="00B27E56">
        <w:rPr>
          <w:rFonts w:cs="Arial"/>
          <w:lang w:eastAsia="zh-CN"/>
        </w:rPr>
        <w:t xml:space="preserve"> for the active DL BWP of</w:t>
      </w:r>
      <w:r w:rsidRPr="00B27E56">
        <w:rPr>
          <w:rFonts w:hint="eastAsia"/>
          <w:lang w:eastAsia="zh-CN"/>
        </w:rPr>
        <w:t xml:space="preserve"> serving cell </w:t>
      </w:r>
      <m:oMath>
        <m:r>
          <w:rPr>
            <w:rFonts w:ascii="Cambria Math" w:hAnsi="Cambria Math"/>
          </w:rPr>
          <m:t>c</m:t>
        </m:r>
      </m:oMath>
    </w:p>
    <w:p w14:paraId="1D3944A4" w14:textId="489A7BA3" w:rsidR="00B42425" w:rsidRPr="00B27E56" w:rsidRDefault="00000000" w:rsidP="00951F8C">
      <w:pPr>
        <w:pStyle w:val="B5"/>
        <w:ind w:left="1985" w:hanging="1"/>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j+</m:t>
            </m:r>
            <m:sSub>
              <m:sSubPr>
                <m:ctrlPr>
                  <w:rPr>
                    <w:rFonts w:ascii="Cambria Math" w:hAnsi="Cambria Math"/>
                    <w:i/>
                    <w:lang w:eastAsia="zh-CN"/>
                  </w:rPr>
                </m:ctrlPr>
              </m:sSubPr>
              <m:e>
                <m:r>
                  <w:rPr>
                    <w:rFonts w:ascii="Cambria Math" w:hAnsi="Cambria Math"/>
                    <w:lang w:eastAsia="zh-CN"/>
                  </w:rPr>
                  <m:t>n</m:t>
                </m:r>
              </m:e>
              <m:sub>
                <m:r>
                  <m:rPr>
                    <m:sty m:val="p"/>
                  </m:rPr>
                  <w:rPr>
                    <w:rFonts w:ascii="Cambria Math" w:hAnsi="Cambria Math"/>
                    <w:lang w:eastAsia="zh-CN"/>
                  </w:rPr>
                  <m:t>CBG</m:t>
                </m:r>
              </m:sub>
            </m:sSub>
            <m: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N</m:t>
                </m:r>
              </m:e>
              <m:sub>
                <m:r>
                  <m:rPr>
                    <m:sty m:val="p"/>
                  </m:rPr>
                  <w:rPr>
                    <w:rFonts w:ascii="Cambria Math" w:hAnsi="Cambria Math"/>
                    <w:lang w:eastAsia="zh-CN"/>
                  </w:rPr>
                  <m:t>HARQ-ACK,</m:t>
                </m:r>
                <m:r>
                  <w:rPr>
                    <w:rFonts w:ascii="Cambria Math" w:hAnsi="Cambria Math"/>
                    <w:lang w:eastAsia="zh-CN"/>
                  </w:rPr>
                  <m:t>c</m:t>
                </m:r>
              </m:sub>
              <m:sup>
                <m:r>
                  <m:rPr>
                    <m:sty m:val="p"/>
                  </m:rPr>
                  <w:rPr>
                    <w:rFonts w:ascii="Cambria Math" w:hAnsi="Cambria Math"/>
                    <w:lang w:eastAsia="zh-CN"/>
                  </w:rPr>
                  <m:t>CBG/TB,max</m:t>
                </m:r>
              </m:sup>
            </m:sSubSup>
          </m:sub>
          <m:sup>
            <m:r>
              <w:rPr>
                <w:rFonts w:ascii="Cambria Math" w:hAnsi="Cambria Math"/>
              </w:rPr>
              <m:t>ACK</m:t>
            </m:r>
          </m:sup>
        </m:sSubSup>
      </m:oMath>
      <w:r w:rsidR="00B42425" w:rsidRPr="00B27E56">
        <w:t xml:space="preserve"> </w:t>
      </w:r>
      <w:r w:rsidR="00B42425" w:rsidRPr="00B27E56">
        <w:rPr>
          <w:rFonts w:hint="eastAsia"/>
          <w:lang w:eastAsia="zh-CN"/>
        </w:rPr>
        <w:t xml:space="preserve">= </w:t>
      </w:r>
      <w:r w:rsidR="00B42425" w:rsidRPr="00B27E56">
        <w:t xml:space="preserve">HARQ-ACK information bit corresponding to CBG </w:t>
      </w:r>
      <m:oMath>
        <m:sSub>
          <m:sSubPr>
            <m:ctrlPr>
              <w:rPr>
                <w:rFonts w:ascii="Cambria Math" w:hAnsi="Cambria Math"/>
                <w:i/>
              </w:rPr>
            </m:ctrlPr>
          </m:sSubPr>
          <m:e>
            <m:r>
              <w:rPr>
                <w:rFonts w:ascii="Cambria Math" w:hAnsi="Cambria Math"/>
              </w:rPr>
              <m:t>n</m:t>
            </m:r>
          </m:e>
          <m:sub>
            <m:r>
              <m:rPr>
                <m:sty m:val="p"/>
              </m:rPr>
              <w:rPr>
                <w:rFonts w:ascii="Cambria Math" w:hAnsi="Cambria Math"/>
              </w:rPr>
              <m:t>CBG</m:t>
            </m:r>
          </m:sub>
        </m:sSub>
      </m:oMath>
      <w:r w:rsidR="00B42425" w:rsidRPr="00B27E56">
        <w:t xml:space="preserve"> of the second transport block;</w:t>
      </w:r>
    </w:p>
    <w:p w14:paraId="25028ABF" w14:textId="77777777" w:rsidR="00C95F11" w:rsidRPr="00B916EC" w:rsidRDefault="00C95F11" w:rsidP="00B42425">
      <w:pPr>
        <w:pStyle w:val="B5"/>
        <w:ind w:left="1701" w:hanging="1"/>
      </w:pPr>
      <w:r>
        <w:t>end if</w:t>
      </w:r>
    </w:p>
    <w:p w14:paraId="32688836" w14:textId="37DE7FE9" w:rsidR="00B42425" w:rsidRPr="00B27E56" w:rsidRDefault="00000000" w:rsidP="00951F8C">
      <w:pPr>
        <w:pStyle w:val="B5"/>
        <w:ind w:left="1701" w:hanging="1"/>
      </w:pPr>
      <m:oMath>
        <m:sSub>
          <m:sSubPr>
            <m:ctrlPr>
              <w:rPr>
                <w:rFonts w:ascii="Cambria Math" w:hAnsi="Cambria Math"/>
              </w:rPr>
            </m:ctrlPr>
          </m:sSubPr>
          <m:e>
            <m:r>
              <w:rPr>
                <w:rFonts w:ascii="Cambria Math" w:hAnsi="Cambria Math"/>
              </w:rPr>
              <m:t>n</m:t>
            </m:r>
          </m:e>
          <m:sub>
            <m:r>
              <m:rPr>
                <m:sty m:val="p"/>
              </m:rPr>
              <w:rPr>
                <w:rFonts w:ascii="Cambria Math" w:hAnsi="Cambria Math"/>
              </w:rPr>
              <m:t>CBG</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CBG</m:t>
            </m:r>
          </m:sub>
        </m:sSub>
        <m:r>
          <m:rPr>
            <m:sty m:val="p"/>
          </m:rPr>
          <w:rPr>
            <w:rFonts w:ascii="Cambria Math" w:hAnsi="Cambria Math"/>
          </w:rPr>
          <m:t>+1</m:t>
        </m:r>
      </m:oMath>
      <w:r w:rsidR="00B42425" w:rsidRPr="00B27E56">
        <w:rPr>
          <w:rFonts w:eastAsia="Malgun Gothic"/>
        </w:rPr>
        <w:t>;</w:t>
      </w:r>
    </w:p>
    <w:p w14:paraId="043C65EC" w14:textId="77777777" w:rsidR="00693321" w:rsidRDefault="00035CB8" w:rsidP="00B42425">
      <w:pPr>
        <w:pStyle w:val="B5"/>
        <w:ind w:left="1418" w:hanging="1"/>
        <w:rPr>
          <w:lang w:val="en-US" w:eastAsia="zh-CN"/>
        </w:rPr>
      </w:pPr>
      <w:r w:rsidRPr="00B916EC">
        <w:rPr>
          <w:rFonts w:hint="eastAsia"/>
          <w:lang w:val="en-US" w:eastAsia="zh-CN"/>
        </w:rPr>
        <w:t>end while</w:t>
      </w:r>
    </w:p>
    <w:p w14:paraId="52474D3A" w14:textId="7400D0CE" w:rsidR="00B42425" w:rsidRPr="00B27E56" w:rsidRDefault="00B42425" w:rsidP="00951F8C">
      <w:pPr>
        <w:pStyle w:val="B5"/>
        <w:ind w:left="1418" w:firstLine="0"/>
        <w:rPr>
          <w:lang w:val="en-US" w:eastAsia="zh-CN"/>
        </w:rPr>
      </w:pPr>
      <m:oMath>
        <m:r>
          <w:rPr>
            <w:rFonts w:ascii="Cambria Math" w:hAnsi="Cambria Math"/>
            <w:lang w:eastAsia="zh-CN"/>
          </w:rPr>
          <m:t>j=j+</m:t>
        </m:r>
        <m:sSubSup>
          <m:sSubSupPr>
            <m:ctrlPr>
              <w:rPr>
                <w:rFonts w:ascii="Cambria Math" w:hAnsi="Cambria Math"/>
                <w:i/>
                <w:lang w:eastAsia="zh-CN"/>
              </w:rPr>
            </m:ctrlPr>
          </m:sSubSupPr>
          <m:e>
            <m:r>
              <w:rPr>
                <w:rFonts w:ascii="Cambria Math" w:hAnsi="Cambria Math"/>
                <w:lang w:eastAsia="zh-CN"/>
              </w:rPr>
              <m:t>N</m:t>
            </m:r>
          </m:e>
          <m:sub>
            <m:r>
              <m:rPr>
                <m:sty m:val="p"/>
              </m:rPr>
              <w:rPr>
                <w:rFonts w:ascii="Cambria Math" w:hAnsi="Cambria Math"/>
                <w:lang w:eastAsia="zh-CN"/>
              </w:rPr>
              <m:t>TB,</m:t>
            </m:r>
            <m:r>
              <w:rPr>
                <w:rFonts w:ascii="Cambria Math" w:hAnsi="Cambria Math"/>
                <w:lang w:eastAsia="zh-CN"/>
              </w:rPr>
              <m:t>c</m:t>
            </m:r>
          </m:sub>
          <m:sup>
            <m:r>
              <m:rPr>
                <m:sty m:val="p"/>
              </m:rPr>
              <w:rPr>
                <w:rFonts w:ascii="Cambria Math" w:hAnsi="Cambria Math"/>
                <w:lang w:eastAsia="zh-CN"/>
              </w:rPr>
              <m:t>DL</m:t>
            </m:r>
          </m:sup>
        </m:sSubSup>
        <m:r>
          <w:rPr>
            <w:rFonts w:ascii="Cambria Math" w:eastAsia="DengXian" w:hAnsi="Cambria Math"/>
          </w:rPr>
          <m:t>∙</m:t>
        </m:r>
        <m:sSubSup>
          <m:sSubSupPr>
            <m:ctrlPr>
              <w:rPr>
                <w:rFonts w:ascii="Cambria Math" w:hAnsi="Cambria Math"/>
                <w:i/>
                <w:lang w:eastAsia="zh-CN"/>
              </w:rPr>
            </m:ctrlPr>
          </m:sSubSupPr>
          <m:e>
            <m:r>
              <w:rPr>
                <w:rFonts w:ascii="Cambria Math" w:hAnsi="Cambria Math"/>
                <w:lang w:eastAsia="zh-CN"/>
              </w:rPr>
              <m:t>N</m:t>
            </m:r>
          </m:e>
          <m:sub>
            <m:r>
              <m:rPr>
                <m:sty m:val="p"/>
              </m:rPr>
              <w:rPr>
                <w:rFonts w:ascii="Cambria Math" w:hAnsi="Cambria Math"/>
                <w:lang w:eastAsia="zh-CN"/>
              </w:rPr>
              <m:t>HARQ-ACK,</m:t>
            </m:r>
            <m:r>
              <w:rPr>
                <w:rFonts w:ascii="Cambria Math" w:hAnsi="Cambria Math"/>
                <w:lang w:eastAsia="zh-CN"/>
              </w:rPr>
              <m:t>c</m:t>
            </m:r>
          </m:sub>
          <m:sup>
            <m:r>
              <m:rPr>
                <m:sty m:val="p"/>
              </m:rPr>
              <w:rPr>
                <w:rFonts w:ascii="Cambria Math" w:hAnsi="Cambria Math"/>
                <w:lang w:eastAsia="zh-CN"/>
              </w:rPr>
              <m:t>CBG/TB,max</m:t>
            </m:r>
          </m:sup>
        </m:sSubSup>
      </m:oMath>
      <w:r w:rsidRPr="00B27E56">
        <w:t xml:space="preserve">, </w:t>
      </w:r>
      <w:r w:rsidRPr="00B27E56">
        <w:rPr>
          <w:lang w:val="en-US"/>
        </w:rPr>
        <w:t xml:space="preserve">where </w:t>
      </w:r>
      <m:oMath>
        <m:sSubSup>
          <m:sSubSupPr>
            <m:ctrlPr>
              <w:rPr>
                <w:rFonts w:ascii="Cambria Math" w:hAnsi="Cambria Math"/>
                <w:i/>
                <w:lang w:eastAsia="zh-CN"/>
              </w:rPr>
            </m:ctrlPr>
          </m:sSubSupPr>
          <m:e>
            <m:r>
              <w:rPr>
                <w:rFonts w:ascii="Cambria Math" w:hAnsi="Cambria Math"/>
                <w:lang w:eastAsia="zh-CN"/>
              </w:rPr>
              <m:t>N</m:t>
            </m:r>
          </m:e>
          <m:sub>
            <m:r>
              <m:rPr>
                <m:sty m:val="p"/>
              </m:rPr>
              <w:rPr>
                <w:rFonts w:ascii="Cambria Math" w:hAnsi="Cambria Math"/>
                <w:lang w:eastAsia="zh-CN"/>
              </w:rPr>
              <m:t>TB,</m:t>
            </m:r>
            <m:r>
              <w:rPr>
                <w:rFonts w:ascii="Cambria Math" w:hAnsi="Cambria Math"/>
                <w:lang w:eastAsia="zh-CN"/>
              </w:rPr>
              <m:t>c</m:t>
            </m:r>
          </m:sub>
          <m:sup>
            <m:r>
              <m:rPr>
                <m:sty m:val="p"/>
              </m:rPr>
              <w:rPr>
                <w:rFonts w:ascii="Cambria Math" w:hAnsi="Cambria Math"/>
                <w:lang w:eastAsia="zh-CN"/>
              </w:rPr>
              <m:t>DL</m:t>
            </m:r>
          </m:sup>
        </m:sSubSup>
      </m:oMath>
      <w:r w:rsidRPr="00B27E56">
        <w:rPr>
          <w:lang w:val="en-US"/>
        </w:rPr>
        <w:t xml:space="preserve"> is the value of </w:t>
      </w:r>
      <w:r w:rsidRPr="00B27E56">
        <w:rPr>
          <w:i/>
        </w:rPr>
        <w:t>maxNrofCodeWordsScheduledByDCI</w:t>
      </w:r>
      <w:r w:rsidRPr="00B27E56">
        <w:rPr>
          <w:lang w:val="en-US"/>
        </w:rPr>
        <w:t xml:space="preserve"> for </w:t>
      </w:r>
      <w:r w:rsidRPr="00B27E56">
        <w:rPr>
          <w:rFonts w:hint="eastAsia"/>
          <w:lang w:eastAsia="zh-CN"/>
        </w:rPr>
        <w:t xml:space="preserve">the </w:t>
      </w:r>
      <w:r w:rsidRPr="00B27E56">
        <w:rPr>
          <w:lang w:eastAsia="zh-CN"/>
        </w:rPr>
        <w:t>active</w:t>
      </w:r>
      <w:r w:rsidRPr="00B27E56">
        <w:rPr>
          <w:rFonts w:hint="eastAsia"/>
          <w:lang w:eastAsia="zh-CN"/>
        </w:rPr>
        <w:t xml:space="preserve"> DL BWP of</w:t>
      </w:r>
      <w:r w:rsidRPr="00B27E56">
        <w:rPr>
          <w:lang w:val="en-US"/>
        </w:rPr>
        <w:t xml:space="preserve"> serving cell </w:t>
      </w:r>
      <m:oMath>
        <m:r>
          <w:rPr>
            <w:rFonts w:ascii="Cambria Math" w:hAnsi="Cambria Math"/>
            <w:lang w:eastAsia="zh-CN"/>
          </w:rPr>
          <m:t>c</m:t>
        </m:r>
      </m:oMath>
      <w:r w:rsidRPr="00B27E56">
        <w:rPr>
          <w:rFonts w:hint="eastAsia"/>
          <w:lang w:eastAsia="zh-CN"/>
        </w:rPr>
        <w:t>;</w:t>
      </w:r>
    </w:p>
    <w:p w14:paraId="619D73D7" w14:textId="77777777" w:rsidR="00CA1203" w:rsidRPr="00B916EC" w:rsidRDefault="00CA1203" w:rsidP="00B42425">
      <w:pPr>
        <w:pStyle w:val="B4"/>
        <w:rPr>
          <w:lang w:eastAsia="zh-CN"/>
        </w:rPr>
      </w:pPr>
      <w:r w:rsidRPr="00B916EC">
        <w:rPr>
          <w:rFonts w:hint="eastAsia"/>
          <w:lang w:eastAsia="zh-CN"/>
        </w:rPr>
        <w:t>else</w:t>
      </w:r>
    </w:p>
    <w:p w14:paraId="66438A88" w14:textId="14DEFC43" w:rsidR="00B42425" w:rsidRPr="00B27E56" w:rsidRDefault="00000000" w:rsidP="00951F8C">
      <w:pPr>
        <w:pStyle w:val="B5"/>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j</m:t>
            </m:r>
          </m:sub>
          <m:sup>
            <m:r>
              <w:rPr>
                <w:rFonts w:ascii="Cambria Math" w:hAnsi="Cambria Math"/>
              </w:rPr>
              <m:t>ACK</m:t>
            </m:r>
          </m:sup>
        </m:sSubSup>
      </m:oMath>
      <w:r w:rsidR="00B42425" w:rsidRPr="00B27E56">
        <w:t xml:space="preserve"> </w:t>
      </w:r>
      <w:r w:rsidR="00B42425" w:rsidRPr="00B27E56">
        <w:rPr>
          <w:rFonts w:hint="eastAsia"/>
          <w:lang w:eastAsia="zh-CN"/>
        </w:rPr>
        <w:t>=</w:t>
      </w:r>
      <w:r w:rsidR="00B42425" w:rsidRPr="00B27E56">
        <w:t xml:space="preserve"> HARQ-ACK information bit of serving cell </w:t>
      </w:r>
      <m:oMath>
        <m:r>
          <w:rPr>
            <w:rFonts w:ascii="Cambria Math" w:hAnsi="Cambria Math"/>
            <w:lang w:eastAsia="zh-CN"/>
          </w:rPr>
          <m:t>c</m:t>
        </m:r>
      </m:oMath>
      <w:r w:rsidR="00B42425" w:rsidRPr="00B27E56">
        <w:t>;</w:t>
      </w:r>
    </w:p>
    <w:p w14:paraId="482667E3" w14:textId="498043BF" w:rsidR="00B42425" w:rsidRDefault="00B42425" w:rsidP="00B42425">
      <w:pPr>
        <w:pStyle w:val="B5"/>
      </w:pPr>
      <m:oMath>
        <m:r>
          <w:rPr>
            <w:rFonts w:ascii="Cambria Math" w:hAnsi="Cambria Math"/>
            <w:lang w:eastAsia="zh-CN"/>
          </w:rPr>
          <m:t>j=j+1</m:t>
        </m:r>
      </m:oMath>
      <w:r w:rsidRPr="00B27E56">
        <w:t>;</w:t>
      </w:r>
    </w:p>
    <w:p w14:paraId="16E8E78E" w14:textId="77777777" w:rsidR="00CA1203" w:rsidRPr="00B916EC" w:rsidRDefault="00CA1203" w:rsidP="00B42425">
      <w:pPr>
        <w:pStyle w:val="B4"/>
        <w:rPr>
          <w:lang w:eastAsia="zh-CN"/>
        </w:rPr>
      </w:pPr>
      <w:r w:rsidRPr="00B916EC">
        <w:rPr>
          <w:rFonts w:hint="eastAsia"/>
          <w:lang w:eastAsia="zh-CN"/>
        </w:rPr>
        <w:t>end if</w:t>
      </w:r>
    </w:p>
    <w:p w14:paraId="1F626ADC" w14:textId="77777777" w:rsidR="00B42425" w:rsidRPr="00B27E56" w:rsidRDefault="00B42425" w:rsidP="00B42425">
      <w:pPr>
        <w:pStyle w:val="B3"/>
        <w:rPr>
          <w:lang w:eastAsia="zh-CN"/>
        </w:rPr>
      </w:pPr>
      <w:r>
        <w:rPr>
          <w:lang w:eastAsia="zh-CN"/>
        </w:rPr>
        <w:t>end if</w:t>
      </w:r>
    </w:p>
    <w:p w14:paraId="1DAA3963" w14:textId="74089C12" w:rsidR="00B42425" w:rsidRPr="00B27E56" w:rsidRDefault="00B42425" w:rsidP="00B42425">
      <w:pPr>
        <w:pStyle w:val="B3"/>
      </w:pPr>
      <m:oMath>
        <m:r>
          <w:rPr>
            <w:rFonts w:ascii="Cambria Math" w:hAnsi="Cambria Math"/>
            <w:lang w:eastAsia="zh-CN"/>
          </w:rPr>
          <m:t>m=m+1</m:t>
        </m:r>
      </m:oMath>
      <w:r w:rsidRPr="00B27E56">
        <w:t>;</w:t>
      </w:r>
    </w:p>
    <w:p w14:paraId="4C4DCBC0" w14:textId="77777777" w:rsidR="00CA1203" w:rsidRPr="00B916EC" w:rsidRDefault="00CA1203" w:rsidP="0009732E">
      <w:pPr>
        <w:pStyle w:val="B2"/>
        <w:rPr>
          <w:lang w:eastAsia="zh-CN"/>
        </w:rPr>
      </w:pPr>
      <w:r w:rsidRPr="00B916EC">
        <w:rPr>
          <w:rFonts w:hint="eastAsia"/>
          <w:lang w:eastAsia="zh-CN"/>
        </w:rPr>
        <w:t>end while</w:t>
      </w:r>
    </w:p>
    <w:p w14:paraId="0756DE28" w14:textId="1C2BCB10" w:rsidR="00B42425" w:rsidRPr="00B27E56" w:rsidRDefault="00B42425" w:rsidP="00B42425">
      <w:pPr>
        <w:pStyle w:val="B2"/>
      </w:pPr>
      <m:oMath>
        <m:r>
          <w:rPr>
            <w:rFonts w:ascii="Cambria Math" w:hAnsi="Cambria Math"/>
            <w:lang w:eastAsia="zh-CN"/>
          </w:rPr>
          <m:t>c=c+1</m:t>
        </m:r>
      </m:oMath>
      <w:r w:rsidRPr="00B27E56">
        <w:t>;</w:t>
      </w:r>
    </w:p>
    <w:p w14:paraId="71939FE6" w14:textId="77777777" w:rsidR="00CA1203" w:rsidRDefault="00CA1203" w:rsidP="0009732E">
      <w:pPr>
        <w:pStyle w:val="B1"/>
        <w:rPr>
          <w:lang w:eastAsia="zh-CN"/>
        </w:rPr>
      </w:pPr>
      <w:r w:rsidRPr="00B916EC">
        <w:rPr>
          <w:rFonts w:hint="eastAsia"/>
          <w:lang w:eastAsia="zh-CN"/>
        </w:rPr>
        <w:t>end while</w:t>
      </w:r>
    </w:p>
    <w:p w14:paraId="5D1BCBC0" w14:textId="592225F0" w:rsidR="00E560EA" w:rsidRDefault="00E560EA" w:rsidP="00E560EA">
      <w:pPr>
        <w:rPr>
          <w:lang w:val="en-US" w:eastAsia="zh-CN"/>
        </w:rPr>
      </w:pPr>
      <w:r w:rsidRPr="00B27E56">
        <w:rPr>
          <w:lang w:val="en-US" w:eastAsia="zh-CN"/>
        </w:rPr>
        <w:t xml:space="preserve">If </w:t>
      </w:r>
      <m:oMath>
        <m:sSub>
          <m:sSubPr>
            <m:ctrlPr>
              <w:rPr>
                <w:rFonts w:ascii="Cambria Math" w:hAnsi="Cambria Math"/>
                <w:i/>
                <w:lang w:val="en-US" w:eastAsia="zh-CN"/>
              </w:rPr>
            </m:ctrlPr>
          </m:sSubPr>
          <m:e>
            <m:r>
              <w:rPr>
                <w:rFonts w:ascii="Cambria Math" w:hAnsi="Cambria Math"/>
                <w:lang w:val="en-US" w:eastAsia="zh-CN"/>
              </w:rPr>
              <m:t>O</m:t>
            </m:r>
          </m:e>
          <m:sub>
            <m:r>
              <m:rPr>
                <m:sty m:val="p"/>
              </m:rPr>
              <w:rPr>
                <w:rFonts w:ascii="Cambria Math" w:hAnsi="Cambria Math"/>
                <w:lang w:val="en-US" w:eastAsia="zh-CN"/>
              </w:rPr>
              <m:t>ACK</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O</m:t>
            </m:r>
          </m:e>
          <m:sub>
            <m:r>
              <m:rPr>
                <m:sty m:val="p"/>
              </m:rPr>
              <w:rPr>
                <w:rFonts w:ascii="Cambria Math" w:hAnsi="Cambria Math"/>
                <w:lang w:val="en-US" w:eastAsia="zh-CN"/>
              </w:rPr>
              <m:t>SR</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O</m:t>
            </m:r>
          </m:e>
          <m:sub>
            <m:r>
              <m:rPr>
                <m:sty m:val="p"/>
              </m:rPr>
              <w:rPr>
                <w:rFonts w:ascii="Cambria Math" w:hAnsi="Cambria Math"/>
                <w:lang w:val="en-US" w:eastAsia="zh-CN"/>
              </w:rPr>
              <m:t>CSI</m:t>
            </m:r>
          </m:sub>
        </m:sSub>
        <m:r>
          <w:rPr>
            <w:rFonts w:ascii="Cambria Math" w:hAnsi="Cambria Math"/>
            <w:lang w:val="en-US" w:eastAsia="zh-CN"/>
          </w:rPr>
          <m:t>≤11</m:t>
        </m:r>
      </m:oMath>
      <w:r w:rsidRPr="00B27E56">
        <w:t xml:space="preserve">, </w:t>
      </w:r>
      <w:r w:rsidRPr="00B27E56">
        <w:rPr>
          <w:lang w:val="en-US" w:eastAsia="zh-CN"/>
        </w:rPr>
        <w:t xml:space="preserve">the UE determines a number of HARQ-ACK information bits </w:t>
      </w:r>
      <m:oMath>
        <m:sSub>
          <m:sSubPr>
            <m:ctrlPr>
              <w:rPr>
                <w:rFonts w:ascii="Cambria Math" w:hAnsi="Cambria Math"/>
                <w:i/>
                <w:lang w:eastAsia="zh-CN"/>
              </w:rPr>
            </m:ctrlPr>
          </m:sSubPr>
          <m:e>
            <m:r>
              <w:rPr>
                <w:rFonts w:ascii="Cambria Math" w:hAnsi="Cambria Math"/>
                <w:lang w:eastAsia="zh-CN"/>
              </w:rPr>
              <m:t>n</m:t>
            </m:r>
          </m:e>
          <m:sub>
            <m:r>
              <m:rPr>
                <m:sty m:val="p"/>
              </m:rPr>
              <w:rPr>
                <w:rFonts w:ascii="Cambria Math" w:hAnsi="Cambria Math"/>
                <w:lang w:eastAsia="zh-CN"/>
              </w:rPr>
              <m:t>HARQ-ACK</m:t>
            </m:r>
          </m:sub>
        </m:sSub>
      </m:oMath>
      <w:r w:rsidRPr="00B27E56">
        <w:rPr>
          <w:lang w:eastAsia="zh-CN"/>
        </w:rPr>
        <w:t xml:space="preserve"> for obtaining a transmission power for a PUCCH, as described in clause 7.2.1, </w:t>
      </w:r>
      <w:r w:rsidRPr="00B27E56">
        <w:rPr>
          <w:lang w:val="en-US" w:eastAsia="zh-CN"/>
        </w:rPr>
        <w:t xml:space="preserve">as </w:t>
      </w:r>
      <m:oMath>
        <m:sSub>
          <m:sSubPr>
            <m:ctrlPr>
              <w:rPr>
                <w:rFonts w:ascii="Cambria Math" w:hAnsi="Cambria Math"/>
                <w:i/>
                <w:lang w:eastAsia="zh-CN"/>
              </w:rPr>
            </m:ctrlPr>
          </m:sSubPr>
          <m:e>
            <m:r>
              <w:rPr>
                <w:rFonts w:ascii="Cambria Math" w:hAnsi="Cambria Math"/>
                <w:lang w:eastAsia="zh-CN"/>
              </w:rPr>
              <m:t>n</m:t>
            </m:r>
          </m:e>
          <m:sub>
            <m:r>
              <m:rPr>
                <m:sty m:val="p"/>
              </m:rPr>
              <w:rPr>
                <w:rFonts w:ascii="Cambria Math" w:hAnsi="Cambria Math"/>
                <w:lang w:eastAsia="zh-CN"/>
              </w:rPr>
              <m:t>HARQ-ACK</m:t>
            </m:r>
          </m:sub>
        </m:sSub>
        <m:r>
          <w:rPr>
            <w:rFonts w:ascii="Cambria Math" w:hAnsi="Cambria Math"/>
            <w:lang w:eastAsia="zh-CN"/>
          </w:rPr>
          <m:t>=</m:t>
        </m:r>
        <m:nary>
          <m:naryPr>
            <m:chr m:val="∑"/>
            <m:limLoc m:val="undOvr"/>
            <m:ctrlPr>
              <w:rPr>
                <w:rFonts w:ascii="Cambria Math" w:hAnsi="Cambria Math"/>
                <w:i/>
                <w:lang w:eastAsia="zh-CN"/>
              </w:rPr>
            </m:ctrlPr>
          </m:naryPr>
          <m:sub>
            <m:r>
              <w:rPr>
                <w:rFonts w:ascii="Cambria Math" w:hAnsi="Cambria Math"/>
                <w:lang w:eastAsia="zh-CN"/>
              </w:rPr>
              <m:t>c=0</m:t>
            </m:r>
          </m:sub>
          <m:sup>
            <m:sSubSup>
              <m:sSubSupPr>
                <m:ctrlPr>
                  <w:rPr>
                    <w:rFonts w:ascii="Cambria Math" w:hAnsi="Cambria Math"/>
                    <w:i/>
                    <w:lang w:eastAsia="zh-CN"/>
                  </w:rPr>
                </m:ctrlPr>
              </m:sSubSupPr>
              <m:e>
                <m:r>
                  <w:rPr>
                    <w:rFonts w:ascii="Cambria Math" w:hAnsi="Cambria Math"/>
                    <w:lang w:eastAsia="zh-CN"/>
                  </w:rPr>
                  <m:t>N</m:t>
                </m:r>
              </m:e>
              <m:sub>
                <m:r>
                  <m:rPr>
                    <m:sty m:val="p"/>
                  </m:rPr>
                  <w:rPr>
                    <w:rFonts w:ascii="Cambria Math" w:hAnsi="Cambria Math"/>
                    <w:lang w:eastAsia="zh-CN"/>
                  </w:rPr>
                  <m:t>cells</m:t>
                </m:r>
              </m:sub>
              <m:sup>
                <m:r>
                  <m:rPr>
                    <m:sty m:val="p"/>
                  </m:rPr>
                  <w:rPr>
                    <w:rFonts w:ascii="Cambria Math" w:hAnsi="Cambria Math"/>
                    <w:lang w:eastAsia="zh-CN"/>
                  </w:rPr>
                  <m:t>DL</m:t>
                </m:r>
              </m:sup>
            </m:sSubSup>
            <m:r>
              <w:rPr>
                <w:rFonts w:ascii="Cambria Math" w:hAnsi="Cambria Math"/>
                <w:lang w:eastAsia="zh-CN"/>
              </w:rPr>
              <m:t>-1</m:t>
            </m:r>
          </m:sup>
          <m:e>
            <m:nary>
              <m:naryPr>
                <m:chr m:val="∑"/>
                <m:limLoc m:val="undOvr"/>
                <m:ctrlPr>
                  <w:rPr>
                    <w:rFonts w:ascii="Cambria Math" w:hAnsi="Cambria Math"/>
                    <w:i/>
                    <w:lang w:eastAsia="zh-CN"/>
                  </w:rPr>
                </m:ctrlPr>
              </m:naryPr>
              <m:sub>
                <m:r>
                  <w:rPr>
                    <w:rFonts w:ascii="Cambria Math" w:hAnsi="Cambria Math"/>
                    <w:lang w:eastAsia="zh-CN"/>
                  </w:rPr>
                  <m:t>m=0</m:t>
                </m:r>
              </m:sub>
              <m:sup>
                <m:sSub>
                  <m:sSubPr>
                    <m:ctrlPr>
                      <w:rPr>
                        <w:rFonts w:ascii="Cambria Math" w:hAnsi="Cambria Math"/>
                        <w:i/>
                        <w:lang w:eastAsia="zh-CN"/>
                      </w:rPr>
                    </m:ctrlPr>
                  </m:sSubPr>
                  <m:e>
                    <m:r>
                      <w:rPr>
                        <w:rFonts w:ascii="Cambria Math" w:hAnsi="Cambria Math"/>
                        <w:lang w:eastAsia="zh-CN"/>
                      </w:rPr>
                      <m:t>M</m:t>
                    </m:r>
                  </m:e>
                  <m:sub>
                    <m:r>
                      <w:rPr>
                        <w:rFonts w:ascii="Cambria Math" w:hAnsi="Cambria Math"/>
                        <w:lang w:eastAsia="zh-CN"/>
                      </w:rPr>
                      <m:t>c</m:t>
                    </m:r>
                  </m:sub>
                </m:sSub>
                <m:r>
                  <w:rPr>
                    <w:rFonts w:ascii="Cambria Math" w:hAnsi="Cambria Math"/>
                    <w:lang w:eastAsia="zh-CN"/>
                  </w:rPr>
                  <m:t>-1</m:t>
                </m:r>
              </m:sup>
              <m:e>
                <m:sSubSup>
                  <m:sSubSupPr>
                    <m:ctrlPr>
                      <w:rPr>
                        <w:rFonts w:ascii="Cambria Math" w:hAnsi="Cambria Math" w:cs="Arial"/>
                        <w:i/>
                        <w:lang w:val="x-none" w:eastAsia="zh-CN"/>
                      </w:rPr>
                    </m:ctrlPr>
                  </m:sSubSupPr>
                  <m:e>
                    <m:r>
                      <w:rPr>
                        <w:rFonts w:ascii="Cambria Math" w:hAnsi="Cambria Math" w:cs="Arial"/>
                        <w:lang w:eastAsia="zh-CN"/>
                      </w:rPr>
                      <m:t>N</m:t>
                    </m:r>
                  </m:e>
                  <m:sub>
                    <m:r>
                      <w:rPr>
                        <w:rFonts w:ascii="Cambria Math" w:hAnsi="Cambria Math" w:cs="Arial"/>
                        <w:lang w:eastAsia="zh-CN"/>
                      </w:rPr>
                      <m:t>m,c</m:t>
                    </m:r>
                  </m:sub>
                  <m:sup>
                    <m:r>
                      <m:rPr>
                        <m:sty m:val="p"/>
                      </m:rPr>
                      <w:rPr>
                        <w:rFonts w:ascii="Cambria Math" w:hAnsi="Cambria Math" w:cs="Arial"/>
                        <w:lang w:eastAsia="zh-CN"/>
                      </w:rPr>
                      <m:t>received</m:t>
                    </m:r>
                  </m:sup>
                </m:sSubSup>
                <m:r>
                  <w:rPr>
                    <w:rFonts w:ascii="Cambria Math" w:hAnsi="Cambria Math" w:cs="Arial"/>
                    <w:lang w:val="x-none" w:eastAsia="zh-CN"/>
                  </w:rPr>
                  <m:t>+</m:t>
                </m:r>
                <m:nary>
                  <m:naryPr>
                    <m:chr m:val="∑"/>
                    <m:limLoc m:val="undOvr"/>
                    <m:ctrlPr>
                      <w:rPr>
                        <w:rFonts w:ascii="Cambria Math" w:hAnsi="Cambria Math"/>
                        <w:i/>
                        <w:lang w:eastAsia="zh-CN"/>
                      </w:rPr>
                    </m:ctrlPr>
                  </m:naryPr>
                  <m:sub>
                    <m:r>
                      <w:rPr>
                        <w:rFonts w:ascii="Cambria Math" w:hAnsi="Cambria Math"/>
                        <w:lang w:eastAsia="zh-CN"/>
                      </w:rPr>
                      <m:t>c=0</m:t>
                    </m:r>
                  </m:sub>
                  <m:sup>
                    <m:sSubSup>
                      <m:sSubSupPr>
                        <m:ctrlPr>
                          <w:rPr>
                            <w:rFonts w:ascii="Cambria Math" w:hAnsi="Cambria Math"/>
                            <w:i/>
                            <w:lang w:eastAsia="zh-CN"/>
                          </w:rPr>
                        </m:ctrlPr>
                      </m:sSubSupPr>
                      <m:e>
                        <m:r>
                          <w:rPr>
                            <w:rFonts w:ascii="Cambria Math" w:hAnsi="Cambria Math"/>
                            <w:lang w:eastAsia="zh-CN"/>
                          </w:rPr>
                          <m:t>N</m:t>
                        </m:r>
                      </m:e>
                      <m:sub>
                        <m:r>
                          <m:rPr>
                            <m:sty m:val="p"/>
                          </m:rPr>
                          <w:rPr>
                            <w:rFonts w:ascii="Cambria Math" w:hAnsi="Cambria Math"/>
                            <w:lang w:eastAsia="zh-CN"/>
                          </w:rPr>
                          <m:t>cells</m:t>
                        </m:r>
                      </m:sub>
                      <m:sup>
                        <m:r>
                          <m:rPr>
                            <m:sty m:val="p"/>
                          </m:rPr>
                          <w:rPr>
                            <w:rFonts w:ascii="Cambria Math" w:hAnsi="Cambria Math"/>
                            <w:lang w:eastAsia="zh-CN"/>
                          </w:rPr>
                          <m:t>DL</m:t>
                        </m:r>
                      </m:sup>
                    </m:sSubSup>
                    <m:r>
                      <w:rPr>
                        <w:rFonts w:ascii="Cambria Math" w:hAnsi="Cambria Math"/>
                        <w:lang w:eastAsia="zh-CN"/>
                      </w:rPr>
                      <m:t>-1</m:t>
                    </m:r>
                  </m:sup>
                  <m:e>
                    <m:nary>
                      <m:naryPr>
                        <m:chr m:val="∑"/>
                        <m:limLoc m:val="undOvr"/>
                        <m:ctrlPr>
                          <w:rPr>
                            <w:rFonts w:ascii="Cambria Math" w:hAnsi="Cambria Math"/>
                            <w:i/>
                            <w:lang w:eastAsia="zh-CN"/>
                          </w:rPr>
                        </m:ctrlPr>
                      </m:naryPr>
                      <m:sub>
                        <m:r>
                          <w:rPr>
                            <w:rFonts w:ascii="Cambria Math" w:hAnsi="Cambria Math"/>
                            <w:lang w:eastAsia="zh-CN"/>
                          </w:rPr>
                          <m:t>m=0</m:t>
                        </m:r>
                      </m:sub>
                      <m:sup>
                        <m:sSub>
                          <m:sSubPr>
                            <m:ctrlPr>
                              <w:rPr>
                                <w:rFonts w:ascii="Cambria Math" w:hAnsi="Cambria Math"/>
                                <w:i/>
                                <w:lang w:eastAsia="zh-CN"/>
                              </w:rPr>
                            </m:ctrlPr>
                          </m:sSubPr>
                          <m:e>
                            <m:r>
                              <w:rPr>
                                <w:rFonts w:ascii="Cambria Math" w:hAnsi="Cambria Math"/>
                                <w:lang w:eastAsia="zh-CN"/>
                              </w:rPr>
                              <m:t>M</m:t>
                            </m:r>
                          </m:e>
                          <m:sub>
                            <m:r>
                              <w:rPr>
                                <w:rFonts w:ascii="Cambria Math" w:hAnsi="Cambria Math"/>
                                <w:lang w:eastAsia="zh-CN"/>
                              </w:rPr>
                              <m:t>c</m:t>
                            </m:r>
                          </m:sub>
                        </m:sSub>
                        <m:r>
                          <w:rPr>
                            <w:rFonts w:ascii="Cambria Math" w:hAnsi="Cambria Math"/>
                            <w:lang w:eastAsia="zh-CN"/>
                          </w:rPr>
                          <m:t>-1</m:t>
                        </m:r>
                      </m:sup>
                      <m:e>
                        <m:sSubSup>
                          <m:sSubSupPr>
                            <m:ctrlPr>
                              <w:rPr>
                                <w:rFonts w:ascii="Cambria Math" w:hAnsi="Cambria Math" w:cs="Arial"/>
                                <w:i/>
                                <w:lang w:val="x-none" w:eastAsia="zh-CN"/>
                              </w:rPr>
                            </m:ctrlPr>
                          </m:sSubSupPr>
                          <m:e>
                            <m:r>
                              <w:rPr>
                                <w:rFonts w:ascii="Cambria Math" w:hAnsi="Cambria Math" w:cs="Arial"/>
                                <w:lang w:eastAsia="zh-CN"/>
                              </w:rPr>
                              <m:t>N</m:t>
                            </m:r>
                          </m:e>
                          <m:sub>
                            <m:r>
                              <w:rPr>
                                <w:rFonts w:ascii="Cambria Math" w:hAnsi="Cambria Math" w:cs="Arial"/>
                                <w:lang w:eastAsia="zh-CN"/>
                              </w:rPr>
                              <m:t>m,c</m:t>
                            </m:r>
                          </m:sub>
                          <m:sup>
                            <m:r>
                              <m:rPr>
                                <m:sty m:val="p"/>
                              </m:rPr>
                              <w:rPr>
                                <w:rFonts w:ascii="Cambria Math" w:hAnsi="Cambria Math" w:cs="Arial"/>
                                <w:lang w:eastAsia="zh-CN"/>
                              </w:rPr>
                              <m:t>received,CBG</m:t>
                            </m:r>
                          </m:sup>
                        </m:sSubSup>
                      </m:e>
                    </m:nary>
                  </m:e>
                </m:nary>
              </m:e>
            </m:nary>
          </m:e>
        </m:nary>
      </m:oMath>
      <w:r w:rsidRPr="00B27E56">
        <w:rPr>
          <w:lang w:val="en-US" w:eastAsia="zh-CN"/>
        </w:rPr>
        <w:t xml:space="preserve"> where </w:t>
      </w:r>
    </w:p>
    <w:p w14:paraId="3ADA6FBA" w14:textId="62F67BE2" w:rsidR="009C60F0" w:rsidRPr="00B06CC2" w:rsidRDefault="009C60F0" w:rsidP="009C60F0">
      <w:pPr>
        <w:pStyle w:val="B1"/>
        <w:rPr>
          <w:lang w:eastAsia="zh-CN"/>
        </w:rPr>
      </w:pPr>
      <w:r>
        <w:rPr>
          <w:lang w:val="en-GB" w:eastAsia="zh-CN"/>
        </w:rPr>
        <w:t>-</w:t>
      </w:r>
      <w:r>
        <w:rPr>
          <w:lang w:val="en-GB" w:eastAsia="zh-CN"/>
        </w:rPr>
        <w:tab/>
      </w:r>
      <m:oMath>
        <m:sSubSup>
          <m:sSubSupPr>
            <m:ctrlPr>
              <w:rPr>
                <w:rFonts w:ascii="Cambria Math" w:hAnsi="Cambria Math"/>
                <w:i/>
                <w:lang w:eastAsia="zh-CN"/>
              </w:rPr>
            </m:ctrlPr>
          </m:sSubSupPr>
          <m:e>
            <m:r>
              <w:rPr>
                <w:rFonts w:ascii="Cambria Math"/>
                <w:lang w:eastAsia="zh-CN"/>
              </w:rPr>
              <m:t>N</m:t>
            </m:r>
          </m:e>
          <m:sub>
            <m:r>
              <m:rPr>
                <m:nor/>
              </m:rPr>
              <w:rPr>
                <w:rFonts w:ascii="Cambria Math"/>
                <w:lang w:eastAsia="zh-CN"/>
              </w:rPr>
              <m:t>cells</m:t>
            </m:r>
            <m:ctrlPr>
              <w:rPr>
                <w:rFonts w:ascii="Cambria Math" w:hAnsi="Cambria Math"/>
                <w:lang w:eastAsia="zh-CN"/>
              </w:rPr>
            </m:ctrlPr>
          </m:sub>
          <m:sup>
            <m:r>
              <m:rPr>
                <m:nor/>
              </m:rPr>
              <w:rPr>
                <w:rFonts w:ascii="Cambria Math"/>
                <w:lang w:eastAsia="zh-CN"/>
              </w:rPr>
              <m:t>DL</m:t>
            </m:r>
            <m:ctrlPr>
              <w:rPr>
                <w:rFonts w:ascii="Cambria Math" w:hAnsi="Cambria Math"/>
                <w:lang w:eastAsia="zh-CN"/>
              </w:rPr>
            </m:ctrlPr>
          </m:sup>
        </m:sSubSup>
      </m:oMath>
      <w:r w:rsidRPr="00B06CC2">
        <w:rPr>
          <w:lang w:eastAsia="zh-CN"/>
        </w:rPr>
        <w:t xml:space="preserve"> are all DL cells where the UE is configured to receive unicast or multicast PDSCHs</w:t>
      </w:r>
    </w:p>
    <w:p w14:paraId="1F9AC28C" w14:textId="09131C19" w:rsidR="009C60F0" w:rsidRPr="00B27E56" w:rsidRDefault="009C60F0" w:rsidP="009C60F0">
      <w:pPr>
        <w:pStyle w:val="B1"/>
        <w:rPr>
          <w:lang w:eastAsia="zh-CN"/>
        </w:rPr>
      </w:pPr>
      <w:r w:rsidRPr="00B06CC2">
        <w:rPr>
          <w:lang w:eastAsia="zh-CN"/>
        </w:rPr>
        <w:t>-</w:t>
      </w:r>
      <w:r w:rsidRPr="00B06CC2">
        <w:rPr>
          <w:lang w:eastAsia="zh-CN"/>
        </w:rPr>
        <w:tab/>
      </w:r>
      <m:oMath>
        <m:sSub>
          <m:sSubPr>
            <m:ctrlPr>
              <w:rPr>
                <w:rFonts w:ascii="Cambria Math" w:hAnsi="Cambria Math"/>
                <w:i/>
                <w:lang w:eastAsia="zh-CN"/>
              </w:rPr>
            </m:ctrlPr>
          </m:sSubPr>
          <m:e>
            <m:r>
              <w:rPr>
                <w:rFonts w:ascii="Cambria Math"/>
                <w:lang w:eastAsia="zh-CN"/>
              </w:rPr>
              <m:t>M</m:t>
            </m:r>
          </m:e>
          <m:sub>
            <m:r>
              <w:rPr>
                <w:rFonts w:ascii="Cambria Math"/>
                <w:lang w:eastAsia="zh-CN"/>
              </w:rPr>
              <m:t>c</m:t>
            </m:r>
          </m:sub>
        </m:sSub>
      </m:oMath>
      <w:r w:rsidRPr="00B06CC2">
        <w:rPr>
          <w:lang w:eastAsia="zh-CN"/>
        </w:rPr>
        <w:t xml:space="preserve"> is the cardinality for the union of all sets </w:t>
      </w:r>
      <m:oMath>
        <m:sSub>
          <m:sSubPr>
            <m:ctrlPr>
              <w:rPr>
                <w:rFonts w:ascii="Cambria Math" w:hAnsi="Cambria Math"/>
                <w:i/>
                <w:lang w:eastAsia="zh-CN"/>
              </w:rPr>
            </m:ctrlPr>
          </m:sSubPr>
          <m:e>
            <m:r>
              <w:rPr>
                <w:rFonts w:ascii="Cambria Math"/>
                <w:lang w:eastAsia="zh-CN"/>
              </w:rPr>
              <m:t>M</m:t>
            </m:r>
          </m:e>
          <m:sub>
            <m:r>
              <w:rPr>
                <w:rFonts w:ascii="Cambria Math"/>
                <w:lang w:eastAsia="zh-CN"/>
              </w:rPr>
              <m:t>A,c</m:t>
            </m:r>
          </m:sub>
        </m:sSub>
      </m:oMath>
      <w:r w:rsidRPr="00B06CC2">
        <w:rPr>
          <w:lang w:eastAsia="zh-CN"/>
        </w:rPr>
        <w:t xml:space="preserve"> of occasions for unicast or multicast PDSCH receptions or SPS PDSCH releases for serving cell </w:t>
      </w:r>
      <m:oMath>
        <m:r>
          <w:rPr>
            <w:rFonts w:ascii="Cambria Math" w:hAnsi="Cambria Math"/>
            <w:lang w:eastAsia="zh-CN"/>
          </w:rPr>
          <m:t>c</m:t>
        </m:r>
      </m:oMath>
    </w:p>
    <w:p w14:paraId="67041F48" w14:textId="7F395D4C" w:rsidR="00E560EA" w:rsidRDefault="00E560EA" w:rsidP="00E560EA">
      <w:pPr>
        <w:pStyle w:val="B1"/>
      </w:pPr>
      <w:bookmarkStart w:id="458" w:name="_Toc12021471"/>
      <w:bookmarkStart w:id="459" w:name="_Toc20311583"/>
      <w:bookmarkStart w:id="460" w:name="_Toc26719408"/>
      <w:bookmarkStart w:id="461" w:name="_Toc29894841"/>
      <w:bookmarkStart w:id="462" w:name="_Toc29899140"/>
      <w:bookmarkStart w:id="463" w:name="_Toc29899558"/>
      <w:bookmarkStart w:id="464" w:name="_Toc29917295"/>
      <w:bookmarkStart w:id="465" w:name="_Toc36498169"/>
      <w:bookmarkStart w:id="466" w:name="_Toc45699195"/>
      <w:r w:rsidRPr="00B27E56">
        <w:rPr>
          <w:rFonts w:cs="Arial"/>
          <w:lang w:eastAsia="zh-CN"/>
        </w:rPr>
        <w:t>-</w:t>
      </w:r>
      <w:r w:rsidRPr="00B27E56">
        <w:rPr>
          <w:rFonts w:cs="Arial"/>
          <w:lang w:eastAsia="zh-CN"/>
        </w:rPr>
        <w:tab/>
      </w:r>
      <m:oMath>
        <m:sSubSup>
          <m:sSubSupPr>
            <m:ctrlPr>
              <w:rPr>
                <w:rFonts w:ascii="Cambria Math" w:hAnsi="Cambria Math" w:cs="Arial"/>
                <w:i/>
                <w:lang w:eastAsia="zh-CN"/>
              </w:rPr>
            </m:ctrlPr>
          </m:sSubSupPr>
          <m:e>
            <m:r>
              <w:rPr>
                <w:rFonts w:ascii="Cambria Math" w:hAnsi="Cambria Math" w:cs="Arial"/>
                <w:lang w:eastAsia="zh-CN"/>
              </w:rPr>
              <m:t>N</m:t>
            </m:r>
          </m:e>
          <m:sub>
            <m:r>
              <w:rPr>
                <w:rFonts w:ascii="Cambria Math" w:hAnsi="Cambria Math" w:cs="Arial"/>
                <w:lang w:eastAsia="zh-CN"/>
              </w:rPr>
              <m:t>m,c</m:t>
            </m:r>
          </m:sub>
          <m:sup>
            <m:r>
              <m:rPr>
                <m:sty m:val="p"/>
              </m:rPr>
              <w:rPr>
                <w:rFonts w:ascii="Cambria Math" w:hAnsi="Cambria Math" w:cs="Arial"/>
                <w:lang w:eastAsia="zh-CN"/>
              </w:rPr>
              <m:t>received</m:t>
            </m:r>
          </m:sup>
        </m:sSubSup>
      </m:oMath>
      <w:r w:rsidRPr="00B27E56">
        <w:rPr>
          <w:rFonts w:cs="Arial"/>
          <w:lang w:eastAsia="zh-CN"/>
        </w:rPr>
        <w:t xml:space="preserve"> is </w:t>
      </w:r>
      <w:r w:rsidRPr="00B27E56">
        <w:rPr>
          <w:rFonts w:hint="eastAsia"/>
          <w:lang w:eastAsia="zh-CN"/>
        </w:rPr>
        <w:t xml:space="preserve">the number of </w:t>
      </w:r>
      <w:r w:rsidRPr="00B27E56">
        <w:t xml:space="preserve">transport blocks the UE receives in PDSCH </w:t>
      </w:r>
      <w:r w:rsidRPr="00B27E56">
        <w:rPr>
          <w:rFonts w:hint="eastAsia"/>
          <w:lang w:eastAsia="zh-CN"/>
        </w:rPr>
        <w:t>reception</w:t>
      </w:r>
      <w:r w:rsidRPr="00B27E56">
        <w:rPr>
          <w:lang w:eastAsia="zh-CN"/>
        </w:rPr>
        <w:t xml:space="preserve"> occasion</w:t>
      </w:r>
      <w:r w:rsidRPr="00B27E56">
        <w:rPr>
          <w:rFonts w:hint="eastAsia"/>
          <w:lang w:eastAsia="zh-CN"/>
        </w:rPr>
        <w:t xml:space="preserve"> </w:t>
      </w:r>
      <m:oMath>
        <m:r>
          <w:rPr>
            <w:rFonts w:ascii="Cambria Math" w:hAnsi="Cambria Math" w:cs="Arial"/>
            <w:lang w:eastAsia="zh-CN"/>
          </w:rPr>
          <m:t>m</m:t>
        </m:r>
      </m:oMath>
      <w:r w:rsidRPr="00B27E56">
        <w:t xml:space="preserve"> </w:t>
      </w:r>
      <w:r w:rsidRPr="00B27E56">
        <w:rPr>
          <w:rFonts w:hint="eastAsia"/>
          <w:lang w:eastAsia="zh-CN"/>
        </w:rPr>
        <w:t xml:space="preserve">for </w:t>
      </w:r>
      <w:r w:rsidRPr="00B27E56">
        <w:rPr>
          <w:lang w:eastAsia="zh-CN"/>
        </w:rPr>
        <w:t xml:space="preserve">serving </w:t>
      </w:r>
      <w:r w:rsidRPr="00B27E56">
        <w:rPr>
          <w:rFonts w:hint="eastAsia"/>
          <w:lang w:eastAsia="zh-CN"/>
        </w:rPr>
        <w:t xml:space="preserve">cell </w:t>
      </w:r>
      <m:oMath>
        <m:r>
          <w:rPr>
            <w:rFonts w:ascii="Cambria Math" w:hAnsi="Cambria Math" w:cs="Arial"/>
            <w:lang w:eastAsia="zh-CN"/>
          </w:rPr>
          <m:t>c</m:t>
        </m:r>
      </m:oMath>
      <w:r w:rsidRPr="00B27E56">
        <w:t xml:space="preserve"> if </w:t>
      </w:r>
      <w:r w:rsidRPr="00B27E56">
        <w:rPr>
          <w:i/>
        </w:rPr>
        <w:t>harq-ACK-SpatialBundlingPUCCH</w:t>
      </w:r>
      <w:r w:rsidRPr="00B27E56">
        <w:rPr>
          <w:rFonts w:hint="eastAsia"/>
          <w:lang w:eastAsia="zh-CN"/>
        </w:rPr>
        <w:t xml:space="preserve"> </w:t>
      </w:r>
      <w:r w:rsidRPr="00B27E56">
        <w:rPr>
          <w:lang w:eastAsia="zh-CN"/>
        </w:rPr>
        <w:t xml:space="preserve">and </w:t>
      </w:r>
      <w:r w:rsidRPr="00B27E56">
        <w:rPr>
          <w:i/>
          <w:lang w:eastAsia="zh-CN"/>
        </w:rPr>
        <w:t>PDSCH-CodeBlockGroupTransmission</w:t>
      </w:r>
      <w:r w:rsidRPr="00B27E56">
        <w:rPr>
          <w:lang w:eastAsia="zh-CN"/>
        </w:rPr>
        <w:t xml:space="preserve"> are</w:t>
      </w:r>
      <w:r w:rsidRPr="00B27E56">
        <w:rPr>
          <w:rFonts w:hint="eastAsia"/>
          <w:lang w:eastAsia="zh-CN"/>
        </w:rPr>
        <w:t xml:space="preserve"> </w:t>
      </w:r>
      <w:r w:rsidRPr="00B27E56">
        <w:rPr>
          <w:lang w:eastAsia="zh-CN"/>
        </w:rPr>
        <w:t xml:space="preserve">not provided, or the number of transport blocks the UE receives in </w:t>
      </w:r>
      <w:r w:rsidRPr="00B27E56">
        <w:t xml:space="preserve">PDSCH </w:t>
      </w:r>
      <w:r w:rsidRPr="00B27E56">
        <w:rPr>
          <w:rFonts w:hint="eastAsia"/>
          <w:lang w:eastAsia="zh-CN"/>
        </w:rPr>
        <w:t>reception</w:t>
      </w:r>
      <w:r w:rsidRPr="00B27E56">
        <w:rPr>
          <w:lang w:eastAsia="zh-CN"/>
        </w:rPr>
        <w:t xml:space="preserve"> occasion</w:t>
      </w:r>
      <w:r w:rsidRPr="00B27E56">
        <w:rPr>
          <w:rFonts w:hint="eastAsia"/>
          <w:lang w:eastAsia="zh-CN"/>
        </w:rPr>
        <w:t xml:space="preserve"> </w:t>
      </w:r>
      <m:oMath>
        <m:r>
          <w:rPr>
            <w:rFonts w:ascii="Cambria Math" w:hAnsi="Cambria Math" w:cs="Arial"/>
            <w:lang w:eastAsia="zh-CN"/>
          </w:rPr>
          <m:t>m</m:t>
        </m:r>
      </m:oMath>
      <w:r w:rsidRPr="00B27E56">
        <w:t xml:space="preserve"> </w:t>
      </w:r>
      <w:r w:rsidRPr="00B27E56">
        <w:rPr>
          <w:rFonts w:hint="eastAsia"/>
          <w:lang w:eastAsia="zh-CN"/>
        </w:rPr>
        <w:t xml:space="preserve">for </w:t>
      </w:r>
      <w:r w:rsidRPr="00B27E56">
        <w:rPr>
          <w:lang w:eastAsia="zh-CN"/>
        </w:rPr>
        <w:t xml:space="preserve">serving </w:t>
      </w:r>
      <w:r w:rsidRPr="00B27E56">
        <w:rPr>
          <w:rFonts w:hint="eastAsia"/>
          <w:lang w:eastAsia="zh-CN"/>
        </w:rPr>
        <w:t xml:space="preserve">cell </w:t>
      </w:r>
      <m:oMath>
        <m:r>
          <w:rPr>
            <w:rFonts w:ascii="Cambria Math" w:hAnsi="Cambria Math" w:cs="Arial"/>
            <w:lang w:eastAsia="zh-CN"/>
          </w:rPr>
          <m:t>c</m:t>
        </m:r>
      </m:oMath>
      <w:r w:rsidRPr="00B27E56">
        <w:t xml:space="preserve"> if </w:t>
      </w:r>
      <w:r w:rsidRPr="00B27E56">
        <w:rPr>
          <w:i/>
          <w:lang w:eastAsia="zh-CN"/>
        </w:rPr>
        <w:t>PDSCH-CodeBlockGroupTransmission</w:t>
      </w:r>
      <w:r w:rsidRPr="00B27E56">
        <w:rPr>
          <w:lang w:eastAsia="zh-CN"/>
        </w:rPr>
        <w:t xml:space="preserve"> is provided and the PDSCH reception is scheduled by a DCI format </w:t>
      </w:r>
      <w:r w:rsidRPr="00B27E56">
        <w:t>that does not support CBG-based PDSCH receptions</w:t>
      </w:r>
      <w:r w:rsidRPr="00B27E56">
        <w:rPr>
          <w:lang w:eastAsia="zh-CN"/>
        </w:rPr>
        <w:t xml:space="preserve">, or </w:t>
      </w:r>
      <w:r w:rsidRPr="00B27E56">
        <w:rPr>
          <w:rFonts w:cs="Arial"/>
          <w:lang w:eastAsia="zh-CN"/>
        </w:rPr>
        <w:t xml:space="preserve">the number of </w:t>
      </w:r>
      <w:r w:rsidRPr="00B27E56">
        <w:t xml:space="preserve">PDSCH </w:t>
      </w:r>
      <w:r w:rsidRPr="00B27E56">
        <w:rPr>
          <w:rFonts w:hint="eastAsia"/>
          <w:lang w:eastAsia="zh-CN"/>
        </w:rPr>
        <w:t>reception</w:t>
      </w:r>
      <w:r w:rsidRPr="00B27E56">
        <w:rPr>
          <w:lang w:eastAsia="zh-CN"/>
        </w:rPr>
        <w:t xml:space="preserve">s </w:t>
      </w:r>
      <w:r w:rsidRPr="00B27E56">
        <w:t xml:space="preserve">if </w:t>
      </w:r>
      <w:r w:rsidRPr="00B27E56">
        <w:rPr>
          <w:i/>
        </w:rPr>
        <w:t>harq-ACK-SpatialBundlingPUCCH</w:t>
      </w:r>
      <w:r w:rsidRPr="00B27E56">
        <w:rPr>
          <w:rFonts w:hint="eastAsia"/>
          <w:lang w:eastAsia="zh-CN"/>
        </w:rPr>
        <w:t xml:space="preserve"> is </w:t>
      </w:r>
      <w:r w:rsidRPr="00B27E56">
        <w:rPr>
          <w:lang w:eastAsia="zh-CN"/>
        </w:rPr>
        <w:t>provided or SPS PDSCH release</w:t>
      </w:r>
      <w:r w:rsidR="00C926CF">
        <w:rPr>
          <w:lang w:val="en-GB" w:eastAsia="zh-CN"/>
        </w:rPr>
        <w:t xml:space="preserve"> </w:t>
      </w:r>
      <w:r w:rsidR="00C926CF" w:rsidRPr="00F415B1">
        <w:t>or TCI state update</w:t>
      </w:r>
      <w:r w:rsidRPr="00B27E56">
        <w:rPr>
          <w:rFonts w:cs="Arial"/>
          <w:lang w:eastAsia="zh-CN"/>
        </w:rPr>
        <w:t xml:space="preserve"> </w:t>
      </w:r>
      <w:r w:rsidRPr="00B27E56">
        <w:rPr>
          <w:rFonts w:hint="eastAsia"/>
          <w:lang w:eastAsia="zh-CN"/>
        </w:rPr>
        <w:t xml:space="preserve">in </w:t>
      </w:r>
      <w:r w:rsidRPr="00B27E56">
        <w:rPr>
          <w:lang w:eastAsia="zh-CN"/>
        </w:rPr>
        <w:t>PDSCH reception occasion</w:t>
      </w:r>
      <w:r w:rsidRPr="00B27E56">
        <w:rPr>
          <w:rFonts w:hint="eastAsia"/>
          <w:lang w:eastAsia="zh-CN"/>
        </w:rPr>
        <w:t xml:space="preserve"> </w:t>
      </w:r>
      <m:oMath>
        <m:r>
          <w:rPr>
            <w:rFonts w:ascii="Cambria Math" w:hAnsi="Cambria Math" w:cs="Arial"/>
            <w:lang w:eastAsia="zh-CN"/>
          </w:rPr>
          <m:t>m</m:t>
        </m:r>
      </m:oMath>
      <w:r w:rsidRPr="00B27E56">
        <w:t xml:space="preserve"> </w:t>
      </w:r>
      <w:r w:rsidRPr="00B27E56">
        <w:rPr>
          <w:rFonts w:hint="eastAsia"/>
          <w:lang w:eastAsia="zh-CN"/>
        </w:rPr>
        <w:t xml:space="preserve">for </w:t>
      </w:r>
      <w:r w:rsidRPr="00B27E56">
        <w:rPr>
          <w:lang w:eastAsia="zh-CN"/>
        </w:rPr>
        <w:t xml:space="preserve">serving </w:t>
      </w:r>
      <w:r w:rsidRPr="00B27E56">
        <w:rPr>
          <w:rFonts w:hint="eastAsia"/>
          <w:lang w:eastAsia="zh-CN"/>
        </w:rPr>
        <w:t xml:space="preserve">cell </w:t>
      </w:r>
      <m:oMath>
        <m:r>
          <w:rPr>
            <w:rFonts w:ascii="Cambria Math" w:hAnsi="Cambria Math" w:cs="Arial"/>
            <w:lang w:eastAsia="zh-CN"/>
          </w:rPr>
          <m:t>c</m:t>
        </m:r>
      </m:oMath>
      <w:r w:rsidRPr="00B27E56">
        <w:t xml:space="preserve"> </w:t>
      </w:r>
      <w:r w:rsidRPr="00B27E56">
        <w:rPr>
          <w:lang w:eastAsia="zh-CN"/>
        </w:rPr>
        <w:t>and the UE reports corresponding HARQ-ACK information in the PUCCH</w:t>
      </w:r>
      <w:r w:rsidRPr="00B27E56">
        <w:t>.</w:t>
      </w:r>
    </w:p>
    <w:p w14:paraId="56BD197B" w14:textId="5DF9F9D4" w:rsidR="00EB65DA" w:rsidRPr="00B27E56" w:rsidRDefault="00EB65DA" w:rsidP="00EB65DA">
      <w:pPr>
        <w:pStyle w:val="B2"/>
      </w:pPr>
      <w:r>
        <w:rPr>
          <w:lang w:val="en-GB" w:eastAsia="zh-CN"/>
        </w:rPr>
        <w:lastRenderedPageBreak/>
        <w:t>-</w:t>
      </w:r>
      <w:r>
        <w:rPr>
          <w:lang w:val="en-GB" w:eastAsia="zh-CN"/>
        </w:rPr>
        <w:tab/>
      </w:r>
      <w:r w:rsidR="0066310A">
        <w:rPr>
          <w:lang w:val="en-GB" w:eastAsia="zh-CN"/>
        </w:rPr>
        <w:t>I</w:t>
      </w:r>
      <w:r>
        <w:rPr>
          <w:lang w:eastAsia="zh-CN"/>
        </w:rPr>
        <w:t xml:space="preserve">f </w:t>
      </w:r>
      <w:r w:rsidR="0029486B">
        <w:rPr>
          <w:i/>
          <w:iCs/>
          <w:lang w:val="en-GB" w:eastAsia="zh-CN"/>
        </w:rPr>
        <w:t>t</w:t>
      </w:r>
      <w:r w:rsidR="0029486B" w:rsidRPr="00B27E56">
        <w:rPr>
          <w:i/>
          <w:iCs/>
          <w:lang w:eastAsia="zh-CN"/>
        </w:rPr>
        <w:t>imeDomainHARQ</w:t>
      </w:r>
      <w:r w:rsidRPr="00B27E56">
        <w:rPr>
          <w:i/>
          <w:iCs/>
          <w:lang w:eastAsia="zh-CN"/>
        </w:rPr>
        <w:t>-Bundling</w:t>
      </w:r>
      <w:r w:rsidR="0029486B">
        <w:rPr>
          <w:i/>
          <w:iCs/>
          <w:lang w:val="en-GB" w:eastAsia="zh-CN"/>
        </w:rPr>
        <w:t>Type1</w:t>
      </w:r>
      <w:r w:rsidRPr="00B27E56">
        <w:rPr>
          <w:lang w:eastAsia="zh-CN"/>
        </w:rPr>
        <w:t xml:space="preserve"> is</w:t>
      </w:r>
      <w:r>
        <w:rPr>
          <w:lang w:eastAsia="zh-CN"/>
        </w:rPr>
        <w:t xml:space="preserve"> </w:t>
      </w:r>
      <w:r w:rsidRPr="00B27E56">
        <w:rPr>
          <w:lang w:eastAsia="zh-CN"/>
        </w:rPr>
        <w:t>provided</w:t>
      </w:r>
      <w:r>
        <w:rPr>
          <w:lang w:eastAsia="zh-CN"/>
        </w:rPr>
        <w:t xml:space="preserve"> for serving cell </w:t>
      </w:r>
      <m:oMath>
        <m:r>
          <w:rPr>
            <w:rFonts w:ascii="Cambria Math" w:hAnsi="Cambria Math"/>
          </w:rPr>
          <m:t>c</m:t>
        </m:r>
      </m:oMath>
      <w:r>
        <w:rPr>
          <w:lang w:val="en-US"/>
        </w:rPr>
        <w:t xml:space="preserve"> and </w:t>
      </w:r>
      <w:r>
        <w:rPr>
          <w:lang w:val="en-US" w:eastAsia="zh-CN"/>
        </w:rPr>
        <w:t>for</w:t>
      </w:r>
      <w:r>
        <w:rPr>
          <w:lang w:eastAsia="zh-CN"/>
        </w:rPr>
        <w:t xml:space="preserve"> a DCI format indicati</w:t>
      </w:r>
      <w:r>
        <w:rPr>
          <w:lang w:val="en-US" w:eastAsia="zh-CN"/>
        </w:rPr>
        <w:t>ng</w:t>
      </w:r>
      <w:r>
        <w:rPr>
          <w:lang w:eastAsia="zh-CN"/>
        </w:rPr>
        <w:t xml:space="preserve"> </w:t>
      </w:r>
      <w:r>
        <w:rPr>
          <w:lang w:val="en-US" w:eastAsia="zh-CN"/>
        </w:rPr>
        <w:t xml:space="preserve">a TDRA </w:t>
      </w:r>
      <w:r>
        <w:rPr>
          <w:lang w:eastAsia="zh-CN"/>
        </w:rPr>
        <w:t xml:space="preserve">row </w:t>
      </w:r>
      <w:r>
        <w:rPr>
          <w:lang w:val="en-US" w:eastAsia="zh-CN"/>
        </w:rPr>
        <w:t xml:space="preserve">that </w:t>
      </w:r>
      <w:r>
        <w:rPr>
          <w:lang w:eastAsia="zh-CN"/>
        </w:rPr>
        <w:t>includ</w:t>
      </w:r>
      <w:r>
        <w:rPr>
          <w:lang w:val="en-US" w:eastAsia="zh-CN"/>
        </w:rPr>
        <w:t>es</w:t>
      </w:r>
      <w:r>
        <w:rPr>
          <w:lang w:eastAsia="zh-CN"/>
        </w:rPr>
        <w:t xml:space="preserve"> more than one SLIV entry</w:t>
      </w:r>
      <w:r>
        <w:rPr>
          <w:lang w:val="en-US" w:eastAsia="zh-CN"/>
        </w:rPr>
        <w:t xml:space="preserve"> on the </w:t>
      </w:r>
      <w:r>
        <w:rPr>
          <w:lang w:eastAsia="zh-CN"/>
        </w:rPr>
        <w:t xml:space="preserve">serving cell </w:t>
      </w:r>
      <m:oMath>
        <m:r>
          <w:rPr>
            <w:rFonts w:ascii="Cambria Math" w:hAnsi="Cambria Math"/>
          </w:rPr>
          <m:t>c</m:t>
        </m:r>
      </m:oMath>
      <w:r>
        <w:rPr>
          <w:lang w:val="en-US"/>
        </w:rPr>
        <w:t xml:space="preserve">, </w:t>
      </w:r>
      <w:r>
        <w:rPr>
          <w:lang w:val="en-US" w:eastAsia="zh-CN"/>
        </w:rPr>
        <w:t>the UE considers as received only a PDSCH associated with the last SLIV.</w:t>
      </w:r>
    </w:p>
    <w:p w14:paraId="2430F10A" w14:textId="1301FFF9" w:rsidR="00E560EA" w:rsidRPr="00B27E56" w:rsidRDefault="00E560EA" w:rsidP="00E560EA">
      <w:pPr>
        <w:pStyle w:val="B1"/>
      </w:pPr>
      <w:r w:rsidRPr="00B27E56">
        <w:rPr>
          <w:rFonts w:cs="Arial"/>
          <w:lang w:eastAsia="zh-CN"/>
        </w:rPr>
        <w:t>-</w:t>
      </w:r>
      <w:r w:rsidRPr="00B27E56">
        <w:rPr>
          <w:rFonts w:cs="Arial"/>
          <w:lang w:eastAsia="zh-CN"/>
        </w:rPr>
        <w:tab/>
      </w:r>
      <m:oMath>
        <m:sSubSup>
          <m:sSubSupPr>
            <m:ctrlPr>
              <w:rPr>
                <w:rFonts w:ascii="Cambria Math" w:hAnsi="Cambria Math" w:cs="Arial"/>
                <w:i/>
                <w:lang w:eastAsia="zh-CN"/>
              </w:rPr>
            </m:ctrlPr>
          </m:sSubSupPr>
          <m:e>
            <m:r>
              <w:rPr>
                <w:rFonts w:ascii="Cambria Math" w:hAnsi="Cambria Math" w:cs="Arial"/>
                <w:lang w:eastAsia="zh-CN"/>
              </w:rPr>
              <m:t>N</m:t>
            </m:r>
          </m:e>
          <m:sub>
            <m:r>
              <w:rPr>
                <w:rFonts w:ascii="Cambria Math" w:hAnsi="Cambria Math" w:cs="Arial"/>
                <w:lang w:eastAsia="zh-CN"/>
              </w:rPr>
              <m:t>m,c</m:t>
            </m:r>
          </m:sub>
          <m:sup>
            <m:r>
              <m:rPr>
                <m:sty m:val="p"/>
              </m:rPr>
              <w:rPr>
                <w:rFonts w:ascii="Cambria Math" w:hAnsi="Cambria Math" w:cs="Arial"/>
                <w:lang w:eastAsia="zh-CN"/>
              </w:rPr>
              <m:t>received,CBG</m:t>
            </m:r>
          </m:sup>
        </m:sSubSup>
      </m:oMath>
      <w:r w:rsidRPr="00B27E56">
        <w:rPr>
          <w:rFonts w:cs="Arial"/>
          <w:lang w:eastAsia="zh-CN"/>
        </w:rPr>
        <w:t xml:space="preserve"> is </w:t>
      </w:r>
      <w:r w:rsidRPr="00B27E56">
        <w:rPr>
          <w:rFonts w:hint="eastAsia"/>
          <w:lang w:eastAsia="zh-CN"/>
        </w:rPr>
        <w:t xml:space="preserve">the number of </w:t>
      </w:r>
      <w:r w:rsidRPr="00B27E56">
        <w:t xml:space="preserve">CBGs the UE receives in a PDSCH </w:t>
      </w:r>
      <w:r w:rsidRPr="00B27E56">
        <w:rPr>
          <w:rFonts w:hint="eastAsia"/>
          <w:lang w:eastAsia="zh-CN"/>
        </w:rPr>
        <w:t>reception</w:t>
      </w:r>
      <w:r w:rsidRPr="00B27E56">
        <w:rPr>
          <w:lang w:eastAsia="zh-CN"/>
        </w:rPr>
        <w:t xml:space="preserve"> occasion</w:t>
      </w:r>
      <w:r w:rsidRPr="00B27E56">
        <w:rPr>
          <w:rFonts w:hint="eastAsia"/>
          <w:lang w:eastAsia="zh-CN"/>
        </w:rPr>
        <w:t xml:space="preserve"> </w:t>
      </w:r>
      <m:oMath>
        <m:r>
          <w:rPr>
            <w:rFonts w:ascii="Cambria Math" w:hAnsi="Cambria Math" w:cs="Arial"/>
            <w:lang w:eastAsia="zh-CN"/>
          </w:rPr>
          <m:t>m</m:t>
        </m:r>
      </m:oMath>
      <w:r w:rsidRPr="00B27E56">
        <w:t xml:space="preserve"> </w:t>
      </w:r>
      <w:r w:rsidRPr="00B27E56">
        <w:rPr>
          <w:rFonts w:hint="eastAsia"/>
          <w:lang w:eastAsia="zh-CN"/>
        </w:rPr>
        <w:t xml:space="preserve">for </w:t>
      </w:r>
      <w:r w:rsidRPr="00B27E56">
        <w:rPr>
          <w:lang w:eastAsia="zh-CN"/>
        </w:rPr>
        <w:t xml:space="preserve">serving </w:t>
      </w:r>
      <w:r w:rsidRPr="00B27E56">
        <w:rPr>
          <w:rFonts w:hint="eastAsia"/>
          <w:lang w:eastAsia="zh-CN"/>
        </w:rPr>
        <w:t xml:space="preserve">cell </w:t>
      </w:r>
      <m:oMath>
        <m:r>
          <w:rPr>
            <w:rFonts w:ascii="Cambria Math" w:hAnsi="Cambria Math" w:cs="Arial"/>
            <w:lang w:eastAsia="zh-CN"/>
          </w:rPr>
          <m:t>c</m:t>
        </m:r>
      </m:oMath>
      <w:r w:rsidRPr="00B27E56">
        <w:t xml:space="preserve"> if </w:t>
      </w:r>
      <w:r w:rsidRPr="00B27E56">
        <w:rPr>
          <w:i/>
          <w:lang w:eastAsia="zh-CN"/>
        </w:rPr>
        <w:t>PDSCH-CodeBlockGroupTransmission</w:t>
      </w:r>
      <w:r w:rsidRPr="00B27E56">
        <w:rPr>
          <w:lang w:eastAsia="zh-CN"/>
        </w:rPr>
        <w:t xml:space="preserve"> is provided and the PDSCH reception is scheduled by a DCI format </w:t>
      </w:r>
      <w:r w:rsidRPr="00B27E56">
        <w:t>that supports CBG-based PDSCH receptions</w:t>
      </w:r>
      <w:r w:rsidRPr="00B27E56">
        <w:rPr>
          <w:lang w:eastAsia="zh-CN"/>
        </w:rPr>
        <w:t xml:space="preserve"> and the UE reports corresponding HARQ-ACK information in the PUCCH</w:t>
      </w:r>
      <w:r w:rsidRPr="00B27E56">
        <w:t>.</w:t>
      </w:r>
    </w:p>
    <w:p w14:paraId="721D8592" w14:textId="77777777" w:rsidR="000B36B8" w:rsidRPr="00B916EC" w:rsidRDefault="000B36B8" w:rsidP="00B42C92">
      <w:pPr>
        <w:pStyle w:val="Heading4"/>
      </w:pPr>
      <w:bookmarkStart w:id="467" w:name="_Toc161999121"/>
      <w:r w:rsidRPr="00B916EC">
        <w:t>9</w:t>
      </w:r>
      <w:r w:rsidRPr="00B916EC">
        <w:rPr>
          <w:rFonts w:hint="eastAsia"/>
        </w:rPr>
        <w:t>.</w:t>
      </w:r>
      <w:r>
        <w:t>1.2.2</w:t>
      </w:r>
      <w:r w:rsidRPr="00B916EC">
        <w:rPr>
          <w:rFonts w:hint="eastAsia"/>
        </w:rPr>
        <w:tab/>
      </w:r>
      <w:r>
        <w:t>Type-1</w:t>
      </w:r>
      <w:r w:rsidRPr="00B916EC">
        <w:t xml:space="preserve"> HARQ-ACK codebook in </w:t>
      </w:r>
      <w:r>
        <w:t>physical uplink shared</w:t>
      </w:r>
      <w:r w:rsidRPr="00B916EC">
        <w:t xml:space="preserve"> channel</w:t>
      </w:r>
      <w:bookmarkEnd w:id="458"/>
      <w:bookmarkEnd w:id="459"/>
      <w:bookmarkEnd w:id="460"/>
      <w:bookmarkEnd w:id="461"/>
      <w:bookmarkEnd w:id="462"/>
      <w:bookmarkEnd w:id="463"/>
      <w:bookmarkEnd w:id="464"/>
      <w:bookmarkEnd w:id="465"/>
      <w:bookmarkEnd w:id="466"/>
      <w:bookmarkEnd w:id="467"/>
    </w:p>
    <w:p w14:paraId="0CDB233C" w14:textId="45A39756" w:rsidR="00DC2017" w:rsidRPr="0088027F" w:rsidRDefault="00DC2017" w:rsidP="00DC2017">
      <w:pPr>
        <w:rPr>
          <w:rFonts w:cs="Arial"/>
          <w:lang w:eastAsia="zh-CN"/>
        </w:rPr>
      </w:pPr>
      <w:r w:rsidRPr="0088027F">
        <w:rPr>
          <w:rFonts w:cs="Arial"/>
          <w:lang w:eastAsia="zh-CN"/>
        </w:rPr>
        <w:t xml:space="preserve">If a UE is not provided </w:t>
      </w:r>
      <w:r w:rsidRPr="0088027F">
        <w:rPr>
          <w:i/>
          <w:lang w:val="en-US" w:eastAsia="zh-CN"/>
        </w:rPr>
        <w:t>pdsch-</w:t>
      </w:r>
      <w:r w:rsidRPr="0088027F">
        <w:rPr>
          <w:rFonts w:cs="Arial"/>
          <w:i/>
          <w:lang w:eastAsia="zh-CN"/>
        </w:rPr>
        <w:t>HARQ-ACK-Codebook</w:t>
      </w:r>
      <w:r w:rsidRPr="0088027F" w:rsidDel="00011FE0">
        <w:rPr>
          <w:rFonts w:cs="Arial"/>
          <w:i/>
          <w:lang w:eastAsia="zh-CN"/>
        </w:rPr>
        <w:t xml:space="preserve"> </w:t>
      </w:r>
      <w:r w:rsidRPr="0088027F">
        <w:rPr>
          <w:rFonts w:cs="Arial"/>
          <w:i/>
          <w:lang w:eastAsia="zh-CN"/>
        </w:rPr>
        <w:t xml:space="preserve">= </w:t>
      </w:r>
      <w:r w:rsidR="00F22988">
        <w:rPr>
          <w:rFonts w:cs="Arial"/>
          <w:i/>
          <w:lang w:val="en-US" w:eastAsia="zh-CN"/>
        </w:rPr>
        <w:t>'</w:t>
      </w:r>
      <w:r w:rsidRPr="0088027F">
        <w:rPr>
          <w:rFonts w:cs="Arial"/>
          <w:i/>
          <w:lang w:eastAsia="zh-CN"/>
        </w:rPr>
        <w:t>semi-static</w:t>
      </w:r>
      <w:r w:rsidR="00F22988">
        <w:rPr>
          <w:rFonts w:cs="Arial"/>
          <w:i/>
          <w:lang w:val="en-US" w:eastAsia="zh-CN"/>
        </w:rPr>
        <w:t>'</w:t>
      </w:r>
      <w:r w:rsidRPr="0088027F">
        <w:rPr>
          <w:rFonts w:cs="Arial"/>
          <w:lang w:eastAsia="zh-CN"/>
        </w:rPr>
        <w:t xml:space="preserve"> </w:t>
      </w:r>
      <w:r w:rsidRPr="0088027F">
        <w:rPr>
          <w:rFonts w:cs="Arial"/>
          <w:lang w:val="en-US" w:eastAsia="zh-CN"/>
        </w:rPr>
        <w:t xml:space="preserve">for unicast or multicast HARQ-ACK information, the </w:t>
      </w:r>
      <w:r w:rsidRPr="0088027F">
        <w:rPr>
          <w:rFonts w:cs="Arial"/>
          <w:lang w:eastAsia="zh-CN"/>
        </w:rPr>
        <w:t xml:space="preserve">UE does not multiplex </w:t>
      </w:r>
      <w:r w:rsidRPr="0088027F">
        <w:rPr>
          <w:rFonts w:cs="Arial"/>
          <w:lang w:val="en-US" w:eastAsia="zh-CN"/>
        </w:rPr>
        <w:t xml:space="preserve">the unicast or multicast </w:t>
      </w:r>
      <w:r w:rsidRPr="0088027F">
        <w:rPr>
          <w:rFonts w:hint="eastAsia"/>
          <w:lang w:eastAsia="zh-CN"/>
        </w:rPr>
        <w:t>HARQ-ACK</w:t>
      </w:r>
      <w:r w:rsidRPr="0088027F">
        <w:rPr>
          <w:lang w:val="en-US" w:eastAsia="zh-CN"/>
        </w:rPr>
        <w:t xml:space="preserve"> information</w:t>
      </w:r>
      <w:r w:rsidRPr="0088027F">
        <w:rPr>
          <w:lang w:eastAsia="zh-CN"/>
        </w:rPr>
        <w:t xml:space="preserve"> in the PUSCH transmission, respectively.</w:t>
      </w:r>
    </w:p>
    <w:p w14:paraId="719A2739" w14:textId="62D16A62" w:rsidR="000B36B8" w:rsidRDefault="000B36B8" w:rsidP="000B36B8">
      <w:pPr>
        <w:rPr>
          <w:rFonts w:cs="Arial"/>
          <w:lang w:eastAsia="zh-CN"/>
        </w:rPr>
      </w:pPr>
      <w:r w:rsidRPr="00B916EC">
        <w:rPr>
          <w:rFonts w:cs="Arial"/>
          <w:lang w:eastAsia="zh-CN"/>
        </w:rPr>
        <w:t>I</w:t>
      </w:r>
      <w:r w:rsidRPr="00B916EC">
        <w:rPr>
          <w:rFonts w:hint="eastAsia"/>
          <w:lang w:eastAsia="zh-CN"/>
        </w:rPr>
        <w:t xml:space="preserve">f a UE </w:t>
      </w:r>
      <w:r w:rsidR="00DC2017" w:rsidRPr="0088027F">
        <w:rPr>
          <w:rFonts w:cs="Arial"/>
          <w:lang w:val="en-US" w:eastAsia="zh-CN"/>
        </w:rPr>
        <w:t>is provided</w:t>
      </w:r>
      <w:r w:rsidR="00DC2017" w:rsidRPr="0088027F">
        <w:rPr>
          <w:rFonts w:cs="Arial"/>
          <w:lang w:eastAsia="zh-CN"/>
        </w:rPr>
        <w:t xml:space="preserve"> </w:t>
      </w:r>
      <w:r w:rsidR="00DC2017" w:rsidRPr="0088027F">
        <w:rPr>
          <w:i/>
          <w:lang w:val="en-US" w:eastAsia="zh-CN"/>
        </w:rPr>
        <w:t>pdsch-</w:t>
      </w:r>
      <w:r w:rsidR="00DC2017" w:rsidRPr="0088027F">
        <w:rPr>
          <w:rFonts w:cs="Arial"/>
          <w:i/>
          <w:lang w:eastAsia="zh-CN"/>
        </w:rPr>
        <w:t>HARQ-ACK-Codebook</w:t>
      </w:r>
      <w:r w:rsidR="00DC2017" w:rsidRPr="0088027F" w:rsidDel="00011FE0">
        <w:rPr>
          <w:rFonts w:cs="Arial"/>
          <w:i/>
          <w:lang w:eastAsia="zh-CN"/>
        </w:rPr>
        <w:t xml:space="preserve"> </w:t>
      </w:r>
      <w:r w:rsidR="00DC2017" w:rsidRPr="0088027F">
        <w:rPr>
          <w:rFonts w:cs="Arial"/>
          <w:i/>
          <w:lang w:eastAsia="zh-CN"/>
        </w:rPr>
        <w:t xml:space="preserve">= </w:t>
      </w:r>
      <w:r w:rsidR="00F22988">
        <w:rPr>
          <w:rFonts w:cs="Arial"/>
          <w:i/>
          <w:lang w:val="en-US" w:eastAsia="zh-CN"/>
        </w:rPr>
        <w:t>'</w:t>
      </w:r>
      <w:r w:rsidR="00DC2017" w:rsidRPr="0088027F">
        <w:rPr>
          <w:rFonts w:cs="Arial"/>
          <w:i/>
          <w:lang w:eastAsia="zh-CN"/>
        </w:rPr>
        <w:t>semi-static</w:t>
      </w:r>
      <w:r w:rsidR="00F22988">
        <w:rPr>
          <w:rFonts w:cs="Arial"/>
          <w:i/>
          <w:lang w:val="en-US" w:eastAsia="zh-CN"/>
        </w:rPr>
        <w:t>'</w:t>
      </w:r>
      <w:r w:rsidR="00DC2017" w:rsidRPr="0088027F">
        <w:rPr>
          <w:rFonts w:cs="Arial"/>
          <w:lang w:eastAsia="zh-CN"/>
        </w:rPr>
        <w:t xml:space="preserve"> </w:t>
      </w:r>
      <w:r w:rsidR="00DC2017" w:rsidRPr="0088027F">
        <w:rPr>
          <w:rFonts w:cs="Arial"/>
          <w:lang w:val="en-US" w:eastAsia="zh-CN"/>
        </w:rPr>
        <w:t>for unicast and/or multicast HARQ-ACK information</w:t>
      </w:r>
      <w:r w:rsidR="00DC2017" w:rsidRPr="0088027F">
        <w:rPr>
          <w:lang w:eastAsia="ko-KR"/>
        </w:rPr>
        <w:t xml:space="preserve">, </w:t>
      </w:r>
      <w:r w:rsidR="00DC2017" w:rsidRPr="0088027F">
        <w:rPr>
          <w:rFonts w:cs="Arial"/>
          <w:lang w:val="en-US" w:eastAsia="zh-CN"/>
        </w:rPr>
        <w:t xml:space="preserve">and </w:t>
      </w:r>
      <w:r w:rsidR="00C52D5B">
        <w:rPr>
          <w:lang w:eastAsia="zh-CN"/>
        </w:rPr>
        <w:t xml:space="preserve">would </w:t>
      </w:r>
      <w:r w:rsidRPr="00B916EC">
        <w:rPr>
          <w:lang w:eastAsia="zh-CN"/>
        </w:rPr>
        <w:t>multiplex</w:t>
      </w:r>
      <w:r w:rsidRPr="00B916EC">
        <w:rPr>
          <w:rFonts w:hint="eastAsia"/>
          <w:lang w:eastAsia="zh-CN"/>
        </w:rPr>
        <w:t xml:space="preserve"> HARQ-ACK</w:t>
      </w:r>
      <w:r w:rsidR="00CD5BA3" w:rsidRPr="00CD5BA3">
        <w:rPr>
          <w:lang w:eastAsia="zh-CN"/>
        </w:rPr>
        <w:t xml:space="preserve"> </w:t>
      </w:r>
      <w:r w:rsidR="00CD5BA3">
        <w:rPr>
          <w:lang w:eastAsia="zh-CN"/>
        </w:rPr>
        <w:t>information</w:t>
      </w:r>
      <w:r w:rsidRPr="00B916EC">
        <w:rPr>
          <w:rFonts w:hint="eastAsia"/>
          <w:lang w:eastAsia="zh-CN"/>
        </w:rPr>
        <w:t xml:space="preserve"> in a </w:t>
      </w:r>
      <w:r w:rsidRPr="00B916EC">
        <w:rPr>
          <w:lang w:eastAsia="zh-CN"/>
        </w:rPr>
        <w:t xml:space="preserve">PUSCH transmission that is not scheduled by a DCI format or is scheduled by </w:t>
      </w:r>
      <w:r w:rsidR="004F5290">
        <w:rPr>
          <w:lang w:eastAsia="zh-CN"/>
        </w:rPr>
        <w:t xml:space="preserve">a </w:t>
      </w:r>
      <w:r w:rsidRPr="00B916EC">
        <w:rPr>
          <w:lang w:eastAsia="zh-CN"/>
        </w:rPr>
        <w:t xml:space="preserve">DCI format </w:t>
      </w:r>
      <w:r w:rsidR="004F5290">
        <w:rPr>
          <w:lang w:eastAsia="zh-CN"/>
        </w:rPr>
        <w:t>that does not include a DAI field</w:t>
      </w:r>
      <w:r w:rsidRPr="00B916EC">
        <w:rPr>
          <w:rFonts w:hint="eastAsia"/>
          <w:lang w:eastAsia="zh-CN"/>
        </w:rPr>
        <w:t xml:space="preserve">, </w:t>
      </w:r>
      <w:r>
        <w:rPr>
          <w:lang w:eastAsia="zh-CN"/>
        </w:rPr>
        <w:t>then</w:t>
      </w:r>
      <w:r w:rsidRPr="00B916EC">
        <w:rPr>
          <w:rFonts w:cs="Arial" w:hint="eastAsia"/>
          <w:lang w:eastAsia="zh-CN"/>
        </w:rPr>
        <w:t xml:space="preserve"> </w:t>
      </w:r>
    </w:p>
    <w:p w14:paraId="41DFB935" w14:textId="1991D4EC" w:rsidR="000B36B8" w:rsidRPr="00E1648B" w:rsidRDefault="000B36B8" w:rsidP="0009732E">
      <w:pPr>
        <w:pStyle w:val="B1"/>
      </w:pPr>
      <w:r w:rsidRPr="001322F1">
        <w:rPr>
          <w:iCs/>
          <w:lang w:eastAsia="zh-CN"/>
        </w:rPr>
        <w:t>-</w:t>
      </w:r>
      <w:r w:rsidRPr="001322F1">
        <w:rPr>
          <w:iCs/>
          <w:lang w:eastAsia="zh-CN"/>
        </w:rPr>
        <w:tab/>
        <w:t>i</w:t>
      </w:r>
      <w:r w:rsidRPr="001322F1">
        <w:rPr>
          <w:iCs/>
          <w:lang w:val="en-GB" w:eastAsia="zh-CN"/>
        </w:rPr>
        <w:t>f the</w:t>
      </w:r>
      <w:r w:rsidRPr="00B44469">
        <w:rPr>
          <w:iCs/>
          <w:lang w:val="en-GB" w:eastAsia="zh-CN"/>
        </w:rPr>
        <w:t xml:space="preserve"> </w:t>
      </w:r>
      <w:r w:rsidRPr="00AE44D6">
        <w:rPr>
          <w:rFonts w:cs="Arial"/>
          <w:lang w:eastAsia="zh-CN"/>
        </w:rPr>
        <w:t>UE has not received any PD</w:t>
      </w:r>
      <w:r>
        <w:rPr>
          <w:rFonts w:cs="Arial"/>
          <w:lang w:val="en-US" w:eastAsia="zh-CN"/>
        </w:rPr>
        <w:t xml:space="preserve">SCH </w:t>
      </w:r>
      <w:r w:rsidR="00A3517C">
        <w:rPr>
          <w:rFonts w:cs="Arial"/>
          <w:lang w:val="en-US" w:eastAsia="zh-CN"/>
        </w:rPr>
        <w:t>providing a</w:t>
      </w:r>
      <w:r w:rsidR="00A3517C" w:rsidRPr="00650A16">
        <w:rPr>
          <w:rFonts w:cs="Arial"/>
          <w:lang w:val="en-US" w:eastAsia="zh-CN"/>
        </w:rPr>
        <w:t xml:space="preserve"> transport block having enabled HARQ-ACK information report</w:t>
      </w:r>
      <w:r w:rsidR="00A3517C">
        <w:rPr>
          <w:rFonts w:cs="Arial"/>
          <w:lang w:val="en-US" w:eastAsia="zh-CN"/>
        </w:rPr>
        <w:t xml:space="preserve"> </w:t>
      </w:r>
      <w:r>
        <w:rPr>
          <w:rFonts w:cs="Arial"/>
          <w:lang w:val="en-US" w:eastAsia="zh-CN"/>
        </w:rPr>
        <w:t>or SPS PDSCH release</w:t>
      </w:r>
      <w:r w:rsidR="00CD5BA3" w:rsidRPr="00CD5BA3">
        <w:rPr>
          <w:rFonts w:cs="Arial"/>
          <w:lang w:val="en-US" w:eastAsia="zh-CN"/>
        </w:rPr>
        <w:t xml:space="preserve"> </w:t>
      </w:r>
      <w:r w:rsidR="00C926CF" w:rsidRPr="00F415B1">
        <w:t>or TCI state update</w:t>
      </w:r>
      <w:r w:rsidR="00C926CF" w:rsidRPr="00F415B1">
        <w:rPr>
          <w:rFonts w:cs="Arial"/>
          <w:lang w:val="en-US" w:eastAsia="zh-CN"/>
        </w:rPr>
        <w:t xml:space="preserve"> </w:t>
      </w:r>
      <w:r w:rsidR="00CD5BA3" w:rsidRPr="00B642F5">
        <w:rPr>
          <w:rFonts w:cs="Arial"/>
          <w:lang w:val="en-US" w:eastAsia="zh-CN"/>
        </w:rPr>
        <w:t xml:space="preserve">that the </w:t>
      </w:r>
      <w:r w:rsidR="00CD5BA3" w:rsidRPr="00B642F5">
        <w:rPr>
          <w:lang w:val="en-US" w:eastAsia="zh-CN"/>
        </w:rPr>
        <w:t xml:space="preserve">UE </w:t>
      </w:r>
      <w:r w:rsidR="00C926CF" w:rsidRPr="00F415B1">
        <w:rPr>
          <w:lang w:val="en-US" w:eastAsia="zh-CN"/>
        </w:rPr>
        <w:t>multiplexes</w:t>
      </w:r>
      <w:r w:rsidR="00CD5BA3" w:rsidRPr="00B642F5">
        <w:rPr>
          <w:lang w:val="en-US" w:eastAsia="zh-CN"/>
        </w:rPr>
        <w:t xml:space="preserve"> corresponding HARQ-ACK </w:t>
      </w:r>
      <w:r w:rsidR="00CD5BA3">
        <w:rPr>
          <w:lang w:val="en-US" w:eastAsia="zh-CN"/>
        </w:rPr>
        <w:t xml:space="preserve">information </w:t>
      </w:r>
      <w:r w:rsidR="00CD5BA3" w:rsidRPr="00B642F5">
        <w:rPr>
          <w:lang w:val="en-US" w:eastAsia="zh-CN"/>
        </w:rPr>
        <w:t xml:space="preserve">in </w:t>
      </w:r>
      <w:r w:rsidR="00CD5BA3" w:rsidRPr="00B642F5">
        <w:rPr>
          <w:rFonts w:hint="eastAsia"/>
          <w:lang w:val="en-US" w:eastAsia="zh-CN"/>
        </w:rPr>
        <w:t xml:space="preserve">the </w:t>
      </w:r>
      <w:r w:rsidR="00CD5BA3" w:rsidRPr="00B642F5">
        <w:rPr>
          <w:lang w:val="en-US" w:eastAsia="zh-CN"/>
        </w:rPr>
        <w:t>PU</w:t>
      </w:r>
      <w:r w:rsidR="00CD5BA3" w:rsidRPr="00B642F5">
        <w:rPr>
          <w:rFonts w:hint="eastAsia"/>
          <w:lang w:val="en-US" w:eastAsia="zh-CN"/>
        </w:rPr>
        <w:t>S</w:t>
      </w:r>
      <w:r w:rsidR="00CD5BA3" w:rsidRPr="00B642F5">
        <w:rPr>
          <w:lang w:val="en-US" w:eastAsia="zh-CN"/>
        </w:rPr>
        <w:t>CH</w:t>
      </w:r>
      <w:r w:rsidR="00CD5BA3">
        <w:rPr>
          <w:lang w:val="en-US" w:eastAsia="zh-CN"/>
        </w:rPr>
        <w:t>,</w:t>
      </w:r>
      <w:r w:rsidR="00CD5BA3" w:rsidRPr="00B642F5">
        <w:rPr>
          <w:rFonts w:hint="eastAsia"/>
          <w:lang w:val="en-US" w:eastAsia="zh-CN"/>
        </w:rPr>
        <w:t xml:space="preserve"> </w:t>
      </w:r>
      <w:r w:rsidR="00CD5BA3" w:rsidRPr="00B642F5">
        <w:rPr>
          <w:lang w:val="en-US" w:eastAsia="zh-CN"/>
        </w:rPr>
        <w:t xml:space="preserve">based on </w:t>
      </w:r>
      <w:r w:rsidR="00CD5BA3">
        <w:rPr>
          <w:lang w:val="en-US" w:eastAsia="zh-CN"/>
        </w:rPr>
        <w:t>a</w:t>
      </w:r>
      <w:r w:rsidR="00CD5BA3" w:rsidRPr="00B642F5">
        <w:rPr>
          <w:lang w:val="en-US" w:eastAsia="zh-CN"/>
        </w:rPr>
        <w:t xml:space="preserve"> </w:t>
      </w:r>
      <w:r w:rsidR="00CD5BA3">
        <w:rPr>
          <w:lang w:val="en-US" w:eastAsia="zh-CN"/>
        </w:rPr>
        <w:t xml:space="preserve">value of a respective </w:t>
      </w:r>
      <w:r w:rsidR="00CD5BA3" w:rsidRPr="00B642F5">
        <w:rPr>
          <w:lang w:val="en-US" w:eastAsia="zh-CN"/>
        </w:rPr>
        <w:t>PDSCH-to-</w:t>
      </w:r>
      <w:r w:rsidR="00C44547" w:rsidRPr="00B642F5">
        <w:rPr>
          <w:lang w:val="en-US" w:eastAsia="zh-CN"/>
        </w:rPr>
        <w:t>HARQ</w:t>
      </w:r>
      <w:r w:rsidR="00C44547">
        <w:rPr>
          <w:lang w:val="en-US" w:eastAsia="zh-CN"/>
        </w:rPr>
        <w:t>_</w:t>
      </w:r>
      <w:r w:rsidR="00CD5BA3">
        <w:rPr>
          <w:lang w:val="en-US" w:eastAsia="zh-CN"/>
        </w:rPr>
        <w:t xml:space="preserve">feedback timing </w:t>
      </w:r>
      <w:r w:rsidR="00C44547">
        <w:rPr>
          <w:lang w:val="en-US" w:eastAsia="zh-CN"/>
        </w:rPr>
        <w:t xml:space="preserve">indicator </w:t>
      </w:r>
      <w:r w:rsidR="00CD5BA3">
        <w:rPr>
          <w:lang w:val="en-US" w:eastAsia="zh-CN"/>
        </w:rPr>
        <w:t>field in a DCI format scheduling the PDSCH reception or the SPS PDSCH release</w:t>
      </w:r>
      <w:r w:rsidR="00C926CF">
        <w:rPr>
          <w:lang w:val="en-US" w:eastAsia="zh-CN"/>
        </w:rPr>
        <w:t xml:space="preserve"> </w:t>
      </w:r>
      <w:r w:rsidR="00C926CF" w:rsidRPr="00F415B1">
        <w:t xml:space="preserve">or </w:t>
      </w:r>
      <w:r w:rsidR="00C926CF" w:rsidRPr="00F415B1">
        <w:rPr>
          <w:lang w:val="en-US"/>
        </w:rPr>
        <w:t xml:space="preserve">the </w:t>
      </w:r>
      <w:r w:rsidR="00C926CF" w:rsidRPr="00F415B1">
        <w:t>TCI state update</w:t>
      </w:r>
      <w:r w:rsidR="00DC2017">
        <w:rPr>
          <w:lang w:val="en-GB"/>
        </w:rPr>
        <w:t>,</w:t>
      </w:r>
      <w:r w:rsidR="007C057E">
        <w:rPr>
          <w:lang w:val="en-US" w:eastAsia="zh-CN"/>
        </w:rPr>
        <w:t xml:space="preserve"> </w:t>
      </w:r>
      <w:r w:rsidR="007C057E">
        <w:rPr>
          <w:rFonts w:cs="Arial"/>
          <w:lang w:val="en-US" w:eastAsia="zh-CN"/>
        </w:rPr>
        <w:t xml:space="preserve">or on the value of </w:t>
      </w:r>
      <w:r w:rsidR="007C057E" w:rsidRPr="000D579D">
        <w:rPr>
          <w:i/>
        </w:rPr>
        <w:t>dl-DataToUL-ACK</w:t>
      </w:r>
      <w:r w:rsidR="007C057E">
        <w:rPr>
          <w:rFonts w:hint="eastAsia"/>
          <w:lang w:val="en-US" w:eastAsia="zh-CN"/>
        </w:rPr>
        <w:t xml:space="preserve"> </w:t>
      </w:r>
      <w:r w:rsidR="005E3892" w:rsidRPr="00B27E56">
        <w:rPr>
          <w:lang w:val="en-US" w:eastAsia="zh-CN"/>
        </w:rPr>
        <w:t xml:space="preserve">or </w:t>
      </w:r>
      <w:r w:rsidR="005E3892" w:rsidRPr="00B27E56">
        <w:rPr>
          <w:i/>
          <w:iCs/>
          <w:lang w:eastAsia="x-none"/>
        </w:rPr>
        <w:t>dl-DataToUL-ACK</w:t>
      </w:r>
      <w:r w:rsidR="005E3892" w:rsidRPr="00B27E56">
        <w:rPr>
          <w:i/>
          <w:iCs/>
          <w:lang w:val="en-US" w:eastAsia="x-none"/>
        </w:rPr>
        <w:t>-r16</w:t>
      </w:r>
      <w:r w:rsidR="005E3892" w:rsidRPr="00B27E56">
        <w:rPr>
          <w:lang w:val="en-US" w:eastAsia="x-none"/>
        </w:rPr>
        <w:t xml:space="preserve"> </w:t>
      </w:r>
      <w:r w:rsidR="00B816A6">
        <w:rPr>
          <w:rFonts w:eastAsia="Malgun Gothic"/>
          <w:iCs/>
          <w:lang w:val="en-US" w:eastAsia="zh-CN"/>
        </w:rPr>
        <w:t xml:space="preserve">or </w:t>
      </w:r>
      <w:r w:rsidR="00B816A6">
        <w:rPr>
          <w:i/>
          <w:lang w:val="en-US"/>
        </w:rPr>
        <w:t>dl-DataToUL-ACK-r17</w:t>
      </w:r>
      <w:r w:rsidR="00B816A6">
        <w:rPr>
          <w:rFonts w:eastAsia="Malgun Gothic"/>
          <w:lang w:val="en-US" w:eastAsia="zh-CN"/>
        </w:rPr>
        <w:t xml:space="preserve"> </w:t>
      </w:r>
      <w:r w:rsidR="00004767" w:rsidRPr="00F31F88">
        <w:rPr>
          <w:lang w:val="en-US"/>
        </w:rPr>
        <w:t xml:space="preserve">or </w:t>
      </w:r>
      <w:r w:rsidR="00004767" w:rsidRPr="006A74E7">
        <w:rPr>
          <w:i/>
          <w:lang w:val="en-US"/>
        </w:rPr>
        <w:t>dl-DataToUL-ACK-v1700</w:t>
      </w:r>
      <w:r w:rsidR="00004767" w:rsidRPr="00004767">
        <w:rPr>
          <w:iCs/>
          <w:lang w:val="en-US"/>
        </w:rPr>
        <w:t xml:space="preserve"> </w:t>
      </w:r>
      <w:r w:rsidR="007C057E">
        <w:rPr>
          <w:lang w:val="en-US" w:eastAsia="zh-CN"/>
        </w:rPr>
        <w:t>if the</w:t>
      </w:r>
      <w:r w:rsidR="007C057E" w:rsidRPr="00123FCB">
        <w:rPr>
          <w:lang w:val="en-US" w:eastAsia="zh-CN"/>
        </w:rPr>
        <w:t xml:space="preserve"> </w:t>
      </w:r>
      <w:r w:rsidR="007C057E" w:rsidRPr="00B642F5">
        <w:rPr>
          <w:lang w:val="en-US" w:eastAsia="zh-CN"/>
        </w:rPr>
        <w:t>PDSCH-to-</w:t>
      </w:r>
      <w:r w:rsidR="00C44547" w:rsidRPr="00B642F5">
        <w:rPr>
          <w:lang w:val="en-US" w:eastAsia="zh-CN"/>
        </w:rPr>
        <w:t>HARQ</w:t>
      </w:r>
      <w:r w:rsidR="00C44547">
        <w:rPr>
          <w:lang w:val="en-US" w:eastAsia="zh-CN"/>
        </w:rPr>
        <w:t>_</w:t>
      </w:r>
      <w:r w:rsidR="007C057E">
        <w:rPr>
          <w:lang w:val="en-US" w:eastAsia="zh-CN"/>
        </w:rPr>
        <w:t xml:space="preserve">feedback timing </w:t>
      </w:r>
      <w:r w:rsidR="00C44547">
        <w:rPr>
          <w:lang w:val="en-US" w:eastAsia="zh-CN"/>
        </w:rPr>
        <w:t xml:space="preserve">indicator </w:t>
      </w:r>
      <w:r w:rsidR="007C057E">
        <w:rPr>
          <w:lang w:val="en-US" w:eastAsia="zh-CN"/>
        </w:rPr>
        <w:t>field is not present in DCI format</w:t>
      </w:r>
      <w:r w:rsidR="004F5290">
        <w:rPr>
          <w:lang w:val="en-US" w:eastAsia="zh-CN"/>
        </w:rPr>
        <w:t xml:space="preserve"> 1_1 </w:t>
      </w:r>
      <w:r w:rsidR="00B50C4D">
        <w:rPr>
          <w:lang w:val="en-US" w:eastAsia="zh-CN"/>
        </w:rPr>
        <w:t xml:space="preserve">or DCI format 1_3, </w:t>
      </w:r>
      <w:r w:rsidR="004F5290">
        <w:rPr>
          <w:lang w:val="en-US" w:eastAsia="zh-CN"/>
        </w:rPr>
        <w:t xml:space="preserve">or </w:t>
      </w:r>
      <w:r w:rsidR="004F5290">
        <w:rPr>
          <w:rFonts w:cs="Arial"/>
          <w:lang w:val="en-US" w:eastAsia="zh-CN"/>
        </w:rPr>
        <w:t xml:space="preserve">on the value of </w:t>
      </w:r>
      <w:r w:rsidR="00106490" w:rsidRPr="000D579D">
        <w:rPr>
          <w:i/>
        </w:rPr>
        <w:t>dl-DataToUL-ACK</w:t>
      </w:r>
      <w:r w:rsidR="00106490">
        <w:rPr>
          <w:i/>
          <w:lang w:val="en-US"/>
        </w:rPr>
        <w:t>-DCI-1-2</w:t>
      </w:r>
      <w:r w:rsidR="004F5290">
        <w:rPr>
          <w:rFonts w:hint="eastAsia"/>
          <w:lang w:val="en-US" w:eastAsia="zh-CN"/>
        </w:rPr>
        <w:t xml:space="preserve"> </w:t>
      </w:r>
      <w:r w:rsidR="00B816A6">
        <w:rPr>
          <w:rFonts w:eastAsia="Malgun Gothic"/>
          <w:lang w:val="en-US" w:eastAsia="zh-CN"/>
        </w:rPr>
        <w:t xml:space="preserve">or </w:t>
      </w:r>
      <w:r w:rsidR="00B816A6">
        <w:rPr>
          <w:rFonts w:eastAsia="Malgun Gothic"/>
          <w:i/>
        </w:rPr>
        <w:t>dl-DataToUL-ACK</w:t>
      </w:r>
      <w:r w:rsidR="00B816A6">
        <w:rPr>
          <w:rFonts w:eastAsia="Malgun Gothic"/>
          <w:i/>
          <w:lang w:val="en-US"/>
        </w:rPr>
        <w:t>-DCI-1-2-r17</w:t>
      </w:r>
      <w:r w:rsidR="00B816A6">
        <w:rPr>
          <w:rFonts w:eastAsia="Malgun Gothic" w:hint="eastAsia"/>
          <w:lang w:val="en-US" w:eastAsia="zh-CN"/>
        </w:rPr>
        <w:t xml:space="preserve"> </w:t>
      </w:r>
      <w:r w:rsidR="004F5290">
        <w:rPr>
          <w:lang w:val="en-US" w:eastAsia="zh-CN"/>
        </w:rPr>
        <w:t>if the</w:t>
      </w:r>
      <w:r w:rsidR="004F5290" w:rsidRPr="00123FCB">
        <w:rPr>
          <w:lang w:val="en-US" w:eastAsia="zh-CN"/>
        </w:rPr>
        <w:t xml:space="preserve"> </w:t>
      </w:r>
      <w:r w:rsidR="004F5290" w:rsidRPr="00B642F5">
        <w:rPr>
          <w:lang w:val="en-US" w:eastAsia="zh-CN"/>
        </w:rPr>
        <w:t>PDSCH-to-HARQ</w:t>
      </w:r>
      <w:r w:rsidR="004F5290">
        <w:rPr>
          <w:lang w:val="en-US" w:eastAsia="zh-CN"/>
        </w:rPr>
        <w:t>_feedback timing indicator field is not present in DCI format 1_2</w:t>
      </w:r>
      <w:r w:rsidR="00DC2017" w:rsidRPr="0088027F">
        <w:rPr>
          <w:lang w:val="en-US" w:eastAsia="zh-CN"/>
        </w:rPr>
        <w:t>,</w:t>
      </w:r>
      <w:r w:rsidR="00DC2017" w:rsidRPr="0088027F">
        <w:rPr>
          <w:rFonts w:cs="Arial"/>
          <w:lang w:eastAsia="zh-CN"/>
        </w:rPr>
        <w:t xml:space="preserve"> </w:t>
      </w:r>
      <w:r w:rsidR="00DC2017" w:rsidRPr="0088027F">
        <w:rPr>
          <w:rFonts w:cs="Arial"/>
          <w:lang w:val="en-US" w:eastAsia="zh-CN"/>
        </w:rPr>
        <w:t xml:space="preserve">or on the value of </w:t>
      </w:r>
      <w:r w:rsidR="00DC2017" w:rsidRPr="0088027F">
        <w:rPr>
          <w:i/>
        </w:rPr>
        <w:t>dl-DataToUL-ACK</w:t>
      </w:r>
      <w:r w:rsidR="00DC2017" w:rsidRPr="0088027F">
        <w:rPr>
          <w:rFonts w:hint="eastAsia"/>
          <w:lang w:val="en-US" w:eastAsia="zh-CN"/>
        </w:rPr>
        <w:t xml:space="preserve"> </w:t>
      </w:r>
      <w:r w:rsidR="00DC2017" w:rsidRPr="0088027F">
        <w:rPr>
          <w:lang w:val="en-US" w:eastAsia="zh-CN"/>
        </w:rPr>
        <w:t>if the PDSCH-to-HARQ_feedback timing indicator field is not present in DCI format 4_2</w:t>
      </w:r>
      <w:r w:rsidR="00CD5BA3">
        <w:rPr>
          <w:lang w:val="en-US" w:eastAsia="zh-CN"/>
        </w:rPr>
        <w:t>,</w:t>
      </w:r>
      <w:r>
        <w:rPr>
          <w:rFonts w:cs="Arial"/>
          <w:lang w:eastAsia="zh-CN"/>
        </w:rPr>
        <w:t xml:space="preserve"> in any of the </w:t>
      </w:r>
      <m:oMath>
        <m:sSub>
          <m:sSubPr>
            <m:ctrlPr>
              <w:rPr>
                <w:rFonts w:ascii="Cambria Math" w:hAnsi="Cambria Math" w:cs="Arial"/>
                <w:i/>
                <w:lang w:eastAsia="zh-CN"/>
              </w:rPr>
            </m:ctrlPr>
          </m:sSubPr>
          <m:e>
            <m:r>
              <w:rPr>
                <w:rFonts w:ascii="Cambria Math" w:hAnsi="Cambria Math" w:cs="Arial"/>
                <w:lang w:eastAsia="zh-CN"/>
              </w:rPr>
              <m:t>M</m:t>
            </m:r>
          </m:e>
          <m:sub>
            <m:r>
              <w:rPr>
                <w:rFonts w:ascii="Cambria Math" w:hAnsi="Cambria Math" w:cs="Arial"/>
                <w:lang w:eastAsia="zh-CN"/>
              </w:rPr>
              <m:t>c</m:t>
            </m:r>
          </m:sub>
        </m:sSub>
      </m:oMath>
      <w:r>
        <w:rPr>
          <w:lang w:eastAsia="zh-CN"/>
        </w:rPr>
        <w:t xml:space="preserve"> </w:t>
      </w:r>
      <w:r w:rsidRPr="004F730A">
        <w:rPr>
          <w:lang w:eastAsia="zh-CN"/>
        </w:rPr>
        <w:t>occasions</w:t>
      </w:r>
      <w:r>
        <w:rPr>
          <w:lang w:eastAsia="zh-CN"/>
        </w:rPr>
        <w:t xml:space="preserve"> for </w:t>
      </w:r>
      <w:r w:rsidR="007C057E">
        <w:rPr>
          <w:lang w:val="en-US" w:eastAsia="zh-CN"/>
        </w:rPr>
        <w:t xml:space="preserve">candidate </w:t>
      </w:r>
      <w:r>
        <w:rPr>
          <w:lang w:eastAsia="zh-CN"/>
        </w:rPr>
        <w:t>PDSCH reception</w:t>
      </w:r>
      <w:r w:rsidR="007C057E">
        <w:rPr>
          <w:lang w:val="en-US" w:eastAsia="zh-CN"/>
        </w:rPr>
        <w:t>s</w:t>
      </w:r>
      <w:r w:rsidR="00CD5BA3" w:rsidRPr="00CD5BA3">
        <w:rPr>
          <w:lang w:val="en-US" w:eastAsia="zh-CN"/>
        </w:rPr>
        <w:t xml:space="preserve"> </w:t>
      </w:r>
      <w:r w:rsidR="00CD5BA3">
        <w:rPr>
          <w:lang w:val="en-US" w:eastAsia="zh-CN"/>
        </w:rPr>
        <w:t xml:space="preserve">by </w:t>
      </w:r>
      <w:r w:rsidR="00A22847">
        <w:rPr>
          <w:lang w:val="en-US" w:eastAsia="zh-CN"/>
        </w:rPr>
        <w:t xml:space="preserve">a </w:t>
      </w:r>
      <w:r w:rsidR="00CD5BA3">
        <w:rPr>
          <w:lang w:val="en-US" w:eastAsia="zh-CN"/>
        </w:rPr>
        <w:t xml:space="preserve">DCI format </w:t>
      </w:r>
      <w:r>
        <w:rPr>
          <w:lang w:eastAsia="zh-CN"/>
        </w:rPr>
        <w:t xml:space="preserve">or SPS PDSCH </w:t>
      </w:r>
      <w:r w:rsidRPr="00AE44D6">
        <w:rPr>
          <w:lang w:eastAsia="zh-CN"/>
        </w:rPr>
        <w:t xml:space="preserve">on any serving cell </w:t>
      </w:r>
      <m:oMath>
        <m:r>
          <w:rPr>
            <w:rFonts w:ascii="Cambria Math" w:hAnsi="Cambria Math" w:cs="Arial"/>
            <w:lang w:eastAsia="zh-CN"/>
          </w:rPr>
          <m:t>c</m:t>
        </m:r>
      </m:oMath>
      <w:r w:rsidRPr="00AE44D6">
        <w:t xml:space="preserve">, as described </w:t>
      </w:r>
      <w:r w:rsidR="006F5F9E">
        <w:t>in clause</w:t>
      </w:r>
      <w:r>
        <w:rPr>
          <w:rFonts w:cs="Arial"/>
          <w:lang w:val="en-US" w:eastAsia="zh-CN"/>
        </w:rPr>
        <w:t xml:space="preserve"> 9.1.2.1</w:t>
      </w:r>
      <w:r w:rsidRPr="00B44469">
        <w:rPr>
          <w:iCs/>
          <w:lang w:val="en-GB" w:eastAsia="zh-CN"/>
        </w:rPr>
        <w:t xml:space="preserve">, </w:t>
      </w:r>
      <w:r w:rsidRPr="00AE44D6">
        <w:rPr>
          <w:rFonts w:cs="Arial"/>
          <w:lang w:eastAsia="zh-CN"/>
        </w:rPr>
        <w:t xml:space="preserve">the UE does not multiplex </w:t>
      </w:r>
      <w:r w:rsidRPr="00AE44D6">
        <w:rPr>
          <w:rFonts w:hint="eastAsia"/>
          <w:lang w:eastAsia="zh-CN"/>
        </w:rPr>
        <w:t>HARQ-ACK</w:t>
      </w:r>
      <w:r w:rsidR="00CD5BA3" w:rsidRPr="00CD5BA3">
        <w:rPr>
          <w:lang w:val="en-US" w:eastAsia="zh-CN"/>
        </w:rPr>
        <w:t xml:space="preserve"> </w:t>
      </w:r>
      <w:r w:rsidR="00CD5BA3">
        <w:rPr>
          <w:lang w:val="en-US" w:eastAsia="zh-CN"/>
        </w:rPr>
        <w:t>information</w:t>
      </w:r>
      <w:r w:rsidRPr="00AE44D6">
        <w:rPr>
          <w:lang w:eastAsia="zh-CN"/>
        </w:rPr>
        <w:t xml:space="preserve"> in the PUSCH transmission</w:t>
      </w:r>
    </w:p>
    <w:p w14:paraId="0DBA0757" w14:textId="77777777" w:rsidR="00B71B3B" w:rsidRDefault="000B36B8" w:rsidP="0009732E">
      <w:pPr>
        <w:pStyle w:val="B1"/>
        <w:rPr>
          <w:lang w:val="en-GB" w:eastAsia="zh-CN"/>
        </w:rPr>
      </w:pPr>
      <w:r>
        <w:rPr>
          <w:rFonts w:cs="Arial"/>
          <w:lang w:val="en-US" w:eastAsia="zh-CN"/>
        </w:rPr>
        <w:t>-</w:t>
      </w:r>
      <w:r>
        <w:rPr>
          <w:rFonts w:cs="Arial"/>
          <w:lang w:val="en-US" w:eastAsia="zh-CN"/>
        </w:rPr>
        <w:tab/>
      </w:r>
      <w:r w:rsidRPr="00E1648B">
        <w:rPr>
          <w:rFonts w:cs="Arial"/>
          <w:lang w:val="en-US" w:eastAsia="zh-CN"/>
        </w:rPr>
        <w:t xml:space="preserve">else </w:t>
      </w:r>
      <w:r w:rsidRPr="00E1648B">
        <w:rPr>
          <w:rFonts w:cs="Arial" w:hint="eastAsia"/>
          <w:lang w:eastAsia="zh-CN"/>
        </w:rPr>
        <w:t xml:space="preserve">the UE </w:t>
      </w:r>
      <w:r w:rsidRPr="00E1648B">
        <w:rPr>
          <w:rFonts w:cs="Arial"/>
          <w:lang w:eastAsia="zh-CN"/>
        </w:rPr>
        <w:t xml:space="preserve">generates the HARQ-ACK codebook as described </w:t>
      </w:r>
      <w:r w:rsidR="006F5F9E">
        <w:rPr>
          <w:rFonts w:cs="Arial"/>
          <w:lang w:eastAsia="zh-CN"/>
        </w:rPr>
        <w:t>in clause</w:t>
      </w:r>
      <w:r>
        <w:rPr>
          <w:rFonts w:cs="Arial"/>
          <w:lang w:val="en-US" w:eastAsia="zh-CN"/>
        </w:rPr>
        <w:t xml:space="preserve"> 9.1.2.1</w:t>
      </w:r>
      <w:r w:rsidR="007C057E">
        <w:rPr>
          <w:rFonts w:cs="Arial"/>
          <w:lang w:val="en-US" w:eastAsia="zh-CN"/>
        </w:rPr>
        <w:t>,</w:t>
      </w:r>
      <w:r w:rsidRPr="00E1648B">
        <w:rPr>
          <w:rFonts w:cs="Arial"/>
          <w:lang w:eastAsia="zh-CN"/>
        </w:rPr>
        <w:t xml:space="preserve"> except that </w:t>
      </w:r>
      <w:r w:rsidR="00CD5BA3" w:rsidRPr="00435CFD">
        <w:rPr>
          <w:i/>
        </w:rPr>
        <w:t>harq-ACK-SpatialBundlingPUCCH</w:t>
      </w:r>
      <w:r w:rsidR="00CD5BA3" w:rsidRPr="00E1648B">
        <w:rPr>
          <w:rFonts w:cs="Arial"/>
          <w:lang w:eastAsia="zh-CN"/>
        </w:rPr>
        <w:t xml:space="preserve"> is replaced by </w:t>
      </w:r>
      <w:r w:rsidR="00CD5BA3">
        <w:rPr>
          <w:i/>
        </w:rPr>
        <w:t>harq-ACK-SpatialBundlingPUS</w:t>
      </w:r>
      <w:r w:rsidR="00CD5BA3" w:rsidRPr="00435CFD">
        <w:rPr>
          <w:i/>
        </w:rPr>
        <w:t>CH</w:t>
      </w:r>
      <w:r w:rsidR="007C057E">
        <w:rPr>
          <w:lang w:val="en-US"/>
        </w:rPr>
        <w:t>,</w:t>
      </w:r>
      <w:r w:rsidR="007C057E" w:rsidRPr="00E93E80">
        <w:rPr>
          <w:lang w:val="en-US"/>
        </w:rPr>
        <w:t xml:space="preserve"> </w:t>
      </w:r>
      <w:r w:rsidR="007C057E">
        <w:rPr>
          <w:lang w:val="en-US"/>
        </w:rPr>
        <w:t xml:space="preserve">unless the UE receives </w:t>
      </w:r>
      <w:r w:rsidR="007C057E">
        <w:rPr>
          <w:lang w:eastAsia="zh-CN"/>
        </w:rPr>
        <w:t xml:space="preserve">only </w:t>
      </w:r>
      <w:r w:rsidR="00B71B3B">
        <w:rPr>
          <w:lang w:val="en-GB" w:eastAsia="zh-CN"/>
        </w:rPr>
        <w:t>one of</w:t>
      </w:r>
    </w:p>
    <w:p w14:paraId="18EFA6F1" w14:textId="77777777" w:rsidR="00B71B3B" w:rsidRDefault="00B71B3B" w:rsidP="00B71B3B">
      <w:pPr>
        <w:pStyle w:val="B2"/>
        <w:rPr>
          <w:lang w:val="en-GB"/>
        </w:rPr>
      </w:pPr>
      <w:r>
        <w:rPr>
          <w:lang w:val="en-GB" w:eastAsia="zh-CN"/>
        </w:rPr>
        <w:t>-</w:t>
      </w:r>
      <w:r>
        <w:rPr>
          <w:lang w:val="en-GB" w:eastAsia="zh-CN"/>
        </w:rPr>
        <w:tab/>
      </w:r>
      <w:r w:rsidR="007C057E">
        <w:rPr>
          <w:rFonts w:hint="eastAsia"/>
          <w:lang w:eastAsia="zh-CN"/>
        </w:rPr>
        <w:t>a SPS PDSCH release</w:t>
      </w:r>
      <w:r>
        <w:rPr>
          <w:lang w:val="en-GB" w:eastAsia="zh-CN"/>
        </w:rPr>
        <w:t xml:space="preserve"> </w:t>
      </w:r>
      <w:r w:rsidRPr="00AC6702">
        <w:rPr>
          <w:lang w:eastAsia="zh-CN"/>
        </w:rPr>
        <w:t xml:space="preserve">indicated by DCI format 1_0 </w:t>
      </w:r>
      <w:r w:rsidRPr="00AC6702">
        <w:rPr>
          <w:lang w:val="en-US" w:eastAsia="zh-CN"/>
        </w:rPr>
        <w:t>or by DCI format 4_1</w:t>
      </w:r>
      <w:r w:rsidRPr="00AC6702">
        <w:rPr>
          <w:lang w:eastAsia="zh-CN"/>
        </w:rPr>
        <w:t xml:space="preserve">, with </w:t>
      </w:r>
      <w:r w:rsidRPr="00AC6702">
        <w:rPr>
          <w:lang w:val="en-US" w:eastAsia="zh-CN"/>
        </w:rPr>
        <w:t xml:space="preserve">counter </w:t>
      </w:r>
      <w:r w:rsidRPr="00AC6702">
        <w:rPr>
          <w:lang w:eastAsia="zh-CN"/>
        </w:rPr>
        <w:t>DAI</w:t>
      </w:r>
      <w:r w:rsidRPr="00AC6702">
        <w:rPr>
          <w:lang w:val="en-US" w:eastAsia="zh-CN"/>
        </w:rPr>
        <w:t xml:space="preserve"> field value of 1</w:t>
      </w:r>
      <w:r w:rsidR="002F7E2C">
        <w:rPr>
          <w:lang w:val="en-US" w:eastAsia="zh-CN"/>
        </w:rPr>
        <w:t xml:space="preserve">, </w:t>
      </w:r>
      <w:r w:rsidR="002F7E2C" w:rsidRPr="00072F61">
        <w:rPr>
          <w:lang w:val="en-GB"/>
        </w:rPr>
        <w:t xml:space="preserve">or </w:t>
      </w:r>
    </w:p>
    <w:p w14:paraId="01522FEE" w14:textId="42B20EDE" w:rsidR="00B71B3B" w:rsidRDefault="00B71B3B" w:rsidP="00B71B3B">
      <w:pPr>
        <w:pStyle w:val="B2"/>
        <w:rPr>
          <w:lang w:val="en-US" w:eastAsia="zh-CN"/>
        </w:rPr>
      </w:pPr>
      <w:r>
        <w:rPr>
          <w:lang w:val="en-GB" w:eastAsia="zh-CN"/>
        </w:rPr>
        <w:t>-</w:t>
      </w:r>
      <w:r>
        <w:rPr>
          <w:lang w:val="en-GB"/>
        </w:rPr>
        <w:tab/>
      </w:r>
      <w:r w:rsidR="002F7E2C" w:rsidRPr="00072F61">
        <w:rPr>
          <w:lang w:val="en-GB"/>
        </w:rPr>
        <w:t>SPS PDSCH</w:t>
      </w:r>
      <w:r>
        <w:rPr>
          <w:lang w:val="en-GB"/>
        </w:rPr>
        <w:t xml:space="preserve">(s) </w:t>
      </w:r>
      <w:r w:rsidRPr="000C17C5">
        <w:rPr>
          <w:lang w:val="en-US"/>
        </w:rPr>
        <w:t>with transport blocks having enabled HARQ-ACK information report</w:t>
      </w:r>
      <w:r w:rsidR="002F7E2C" w:rsidRPr="00072F61">
        <w:rPr>
          <w:lang w:val="en-GB"/>
        </w:rPr>
        <w:t>,</w:t>
      </w:r>
      <w:r w:rsidR="007C057E">
        <w:rPr>
          <w:lang w:eastAsia="zh-CN"/>
        </w:rPr>
        <w:t xml:space="preserve"> or</w:t>
      </w:r>
      <w:r w:rsidR="007C057E">
        <w:rPr>
          <w:lang w:val="en-US" w:eastAsia="zh-CN"/>
        </w:rPr>
        <w:t xml:space="preserve"> </w:t>
      </w:r>
    </w:p>
    <w:p w14:paraId="171345D0" w14:textId="13650CAE" w:rsidR="00B71B3B" w:rsidRDefault="00B71B3B" w:rsidP="00B71B3B">
      <w:pPr>
        <w:pStyle w:val="B2"/>
        <w:rPr>
          <w:lang w:val="en-US" w:eastAsia="zh-CN"/>
        </w:rPr>
      </w:pPr>
      <w:r>
        <w:rPr>
          <w:lang w:val="en-US" w:eastAsia="zh-CN"/>
        </w:rPr>
        <w:t>-</w:t>
      </w:r>
      <w:r>
        <w:rPr>
          <w:lang w:val="en-US" w:eastAsia="zh-CN"/>
        </w:rPr>
        <w:tab/>
      </w:r>
      <w:r w:rsidR="007C057E">
        <w:rPr>
          <w:lang w:val="en-US" w:eastAsia="zh-CN"/>
        </w:rPr>
        <w:t>a PDSCH</w:t>
      </w:r>
      <w:r>
        <w:rPr>
          <w:lang w:val="en-US" w:eastAsia="zh-CN"/>
        </w:rPr>
        <w:t xml:space="preserve"> </w:t>
      </w:r>
      <w:r w:rsidRPr="000C17C5">
        <w:rPr>
          <w:lang w:val="en-US" w:eastAsia="zh-CN"/>
        </w:rPr>
        <w:t>providing a transport block having enabled HARQ-ACK information report</w:t>
      </w:r>
      <w:r w:rsidRPr="000C17C5">
        <w:rPr>
          <w:lang w:eastAsia="zh-CN"/>
        </w:rPr>
        <w:t xml:space="preserve"> </w:t>
      </w:r>
      <w:r w:rsidRPr="00B84078">
        <w:rPr>
          <w:lang w:eastAsia="zh-CN"/>
        </w:rPr>
        <w:t xml:space="preserve">and scheduled </w:t>
      </w:r>
      <w:r w:rsidRPr="00B84078">
        <w:rPr>
          <w:rFonts w:hint="eastAsia"/>
          <w:lang w:eastAsia="zh-CN"/>
        </w:rPr>
        <w:t xml:space="preserve">by </w:t>
      </w:r>
      <w:r w:rsidRPr="00B84078">
        <w:rPr>
          <w:lang w:eastAsia="zh-CN"/>
        </w:rPr>
        <w:t xml:space="preserve">a </w:t>
      </w:r>
      <w:r w:rsidRPr="00B84078">
        <w:rPr>
          <w:rFonts w:hint="eastAsia"/>
          <w:lang w:eastAsia="zh-CN"/>
        </w:rPr>
        <w:t>DCI format 1_0</w:t>
      </w:r>
      <w:r w:rsidRPr="00B84078">
        <w:rPr>
          <w:lang w:eastAsia="zh-CN"/>
        </w:rPr>
        <w:t xml:space="preserve"> </w:t>
      </w:r>
      <w:r w:rsidRPr="00B84078">
        <w:rPr>
          <w:lang w:val="en-US" w:eastAsia="zh-CN"/>
        </w:rPr>
        <w:t>or by DCI format 4_1</w:t>
      </w:r>
      <w:r w:rsidR="007C057E">
        <w:rPr>
          <w:lang w:val="en-US" w:eastAsia="zh-CN"/>
        </w:rPr>
        <w:t xml:space="preserve"> </w:t>
      </w:r>
      <w:r w:rsidR="007C057E">
        <w:rPr>
          <w:rFonts w:hint="eastAsia"/>
          <w:lang w:eastAsia="zh-CN"/>
        </w:rPr>
        <w:t xml:space="preserve">with a </w:t>
      </w:r>
      <w:r w:rsidR="007C057E" w:rsidRPr="00AE44D6">
        <w:rPr>
          <w:rFonts w:hint="eastAsia"/>
          <w:lang w:val="en-US" w:eastAsia="zh-CN"/>
        </w:rPr>
        <w:t xml:space="preserve">counter </w:t>
      </w:r>
      <w:r w:rsidR="007C057E">
        <w:rPr>
          <w:rFonts w:hint="eastAsia"/>
          <w:lang w:eastAsia="zh-CN"/>
        </w:rPr>
        <w:t>DAI</w:t>
      </w:r>
      <w:r w:rsidR="007C057E" w:rsidRPr="00AE44D6">
        <w:rPr>
          <w:lang w:val="en-US"/>
        </w:rPr>
        <w:t xml:space="preserve"> field </w:t>
      </w:r>
      <w:r w:rsidR="007C057E">
        <w:rPr>
          <w:rFonts w:hint="eastAsia"/>
          <w:lang w:val="en-US" w:eastAsia="zh-CN"/>
        </w:rPr>
        <w:t>value of 1</w:t>
      </w:r>
      <w:r w:rsidR="00DC2017" w:rsidRPr="0088027F">
        <w:rPr>
          <w:lang w:val="en-US" w:eastAsia="zh-CN"/>
        </w:rPr>
        <w:t>,</w:t>
      </w:r>
      <w:r w:rsidR="00DC2017">
        <w:rPr>
          <w:lang w:val="en-US" w:eastAsia="zh-CN"/>
        </w:rPr>
        <w:t xml:space="preserve"> </w:t>
      </w:r>
      <w:r w:rsidR="007C057E">
        <w:rPr>
          <w:lang w:val="en-US" w:eastAsia="zh-CN"/>
        </w:rPr>
        <w:t xml:space="preserve">on the PCell </w:t>
      </w:r>
    </w:p>
    <w:p w14:paraId="3ED0F7B4" w14:textId="66CB0F35" w:rsidR="000B36B8" w:rsidRPr="00E1648B" w:rsidRDefault="007C057E" w:rsidP="00B71B3B">
      <w:r>
        <w:rPr>
          <w:lang w:val="en-US" w:eastAsia="zh-CN"/>
        </w:rPr>
        <w:t>in</w:t>
      </w:r>
      <w:r w:rsidRPr="00AE44D6">
        <w:rPr>
          <w:lang w:val="en-US" w:eastAsia="zh-CN"/>
        </w:rPr>
        <w:t xml:space="preserve"> the</w:t>
      </w:r>
      <w:r>
        <w:rPr>
          <w:lang w:val="en-US" w:eastAsia="zh-CN"/>
        </w:rPr>
        <w:t xml:space="preserve"> </w:t>
      </w:r>
      <m:oMath>
        <m:sSub>
          <m:sSubPr>
            <m:ctrlPr>
              <w:rPr>
                <w:rFonts w:ascii="Cambria Math" w:hAnsi="Cambria Math" w:cs="Arial"/>
                <w:i/>
                <w:lang w:eastAsia="zh-CN"/>
              </w:rPr>
            </m:ctrlPr>
          </m:sSubPr>
          <m:e>
            <m:r>
              <w:rPr>
                <w:rFonts w:ascii="Cambria Math" w:hAnsi="Cambria Math" w:cs="Arial"/>
                <w:lang w:eastAsia="zh-CN"/>
              </w:rPr>
              <m:t>M</m:t>
            </m:r>
          </m:e>
          <m:sub>
            <m:r>
              <w:rPr>
                <w:rFonts w:ascii="Cambria Math" w:hAnsi="Cambria Math" w:cs="Arial"/>
                <w:lang w:eastAsia="zh-CN"/>
              </w:rPr>
              <m:t>c</m:t>
            </m:r>
          </m:sub>
        </m:sSub>
      </m:oMath>
      <w:r w:rsidRPr="00AE44D6">
        <w:t xml:space="preserve"> occasions for candidate PDSCH receptions</w:t>
      </w:r>
      <w:r>
        <w:t xml:space="preserve"> </w:t>
      </w:r>
      <w:r>
        <w:rPr>
          <w:lang w:val="en-US" w:eastAsia="zh-CN"/>
        </w:rPr>
        <w:t xml:space="preserve">in which case </w:t>
      </w:r>
      <w:r w:rsidRPr="00303EA7">
        <w:t>th</w:t>
      </w:r>
      <w:r>
        <w:t xml:space="preserve">e UE generates </w:t>
      </w:r>
      <w:r w:rsidRPr="00303EA7">
        <w:t xml:space="preserve">HARQ-ACK </w:t>
      </w:r>
      <w:r>
        <w:t>information only for the</w:t>
      </w:r>
      <w:r w:rsidRPr="00303EA7">
        <w:t xml:space="preserve"> </w:t>
      </w:r>
      <w:r>
        <w:t xml:space="preserve">SPS PDSCH release or only for the </w:t>
      </w:r>
      <w:r w:rsidRPr="00303EA7">
        <w:t>PDSCH</w:t>
      </w:r>
      <w:r>
        <w:t xml:space="preserve"> reception</w:t>
      </w:r>
      <w:r>
        <w:rPr>
          <w:lang w:val="en-US"/>
        </w:rPr>
        <w:t xml:space="preserve"> as described </w:t>
      </w:r>
      <w:r w:rsidR="006F5F9E">
        <w:rPr>
          <w:lang w:val="en-US"/>
        </w:rPr>
        <w:t>in clause</w:t>
      </w:r>
      <w:r>
        <w:rPr>
          <w:lang w:val="en-US"/>
        </w:rPr>
        <w:t xml:space="preserve"> 9.1.2</w:t>
      </w:r>
      <w:r w:rsidR="000B36B8" w:rsidRPr="00E1648B">
        <w:rPr>
          <w:rFonts w:cs="Arial"/>
          <w:lang w:eastAsia="zh-CN"/>
        </w:rPr>
        <w:t>.</w:t>
      </w:r>
    </w:p>
    <w:p w14:paraId="3D8C1C75" w14:textId="77777777" w:rsidR="00D0690E" w:rsidRDefault="00CD5BA3" w:rsidP="00CD5BA3">
      <w:pPr>
        <w:rPr>
          <w:lang w:eastAsia="zh-CN"/>
        </w:rPr>
      </w:pPr>
      <w:r>
        <w:rPr>
          <w:lang w:eastAsia="zh-CN"/>
        </w:rPr>
        <w:t xml:space="preserve">A UE sets to NACK value in the HARQ-ACK codebook any HARQ-ACK information corresponding to </w:t>
      </w:r>
    </w:p>
    <w:p w14:paraId="137131E8" w14:textId="431D5F4E" w:rsidR="00D0690E" w:rsidRPr="00D0690E" w:rsidRDefault="00D0690E" w:rsidP="00D0690E">
      <w:pPr>
        <w:pStyle w:val="B1"/>
        <w:rPr>
          <w:lang w:eastAsia="zh-CN"/>
        </w:rPr>
      </w:pPr>
      <w:r>
        <w:rPr>
          <w:lang w:eastAsia="zh-CN"/>
        </w:rPr>
        <w:t>-</w:t>
      </w:r>
      <w:r>
        <w:rPr>
          <w:lang w:eastAsia="zh-CN"/>
        </w:rPr>
        <w:tab/>
      </w:r>
      <w:r w:rsidR="00CD5BA3">
        <w:rPr>
          <w:lang w:eastAsia="zh-CN"/>
        </w:rPr>
        <w:t xml:space="preserve">PDSCH reception </w:t>
      </w:r>
      <w:r>
        <w:rPr>
          <w:lang w:eastAsia="zh-CN"/>
        </w:rPr>
        <w:t>scheduled or activated by a DCI format</w:t>
      </w:r>
      <w:r w:rsidR="008A03F8" w:rsidRPr="00F415B1">
        <w:rPr>
          <w:lang w:eastAsia="zh-CN"/>
        </w:rPr>
        <w:t xml:space="preserve"> </w:t>
      </w:r>
      <w:r w:rsidR="00CD5BA3">
        <w:rPr>
          <w:lang w:eastAsia="zh-CN"/>
        </w:rPr>
        <w:t xml:space="preserve">that the UE detects in a PDCCH monitoring occasion that </w:t>
      </w:r>
      <w:r w:rsidR="007C057E">
        <w:rPr>
          <w:lang w:eastAsia="zh-CN"/>
        </w:rPr>
        <w:t>starts</w:t>
      </w:r>
      <w:r w:rsidR="00CD5BA3">
        <w:rPr>
          <w:lang w:eastAsia="zh-CN"/>
        </w:rPr>
        <w:t xml:space="preserve"> after a PDCCH monitoring occasion where the UE detects a DCI format scheduling the PUSCH transmission</w:t>
      </w:r>
      <w:r w:rsidRPr="00D0690E">
        <w:rPr>
          <w:lang w:eastAsia="zh-CN"/>
        </w:rPr>
        <w:t>, if the corresponding conditions in Clause 9 for multiplexing associated HARQ-ACK information in a HARQ-ACK codebook in the PUSCH are not valid</w:t>
      </w:r>
    </w:p>
    <w:p w14:paraId="71BB78DF" w14:textId="1B2D25BC" w:rsidR="00CD5BA3" w:rsidRDefault="00D0690E" w:rsidP="00D0690E">
      <w:pPr>
        <w:pStyle w:val="B1"/>
        <w:rPr>
          <w:lang w:eastAsia="zh-CN"/>
        </w:rPr>
      </w:pPr>
      <w:r w:rsidRPr="00D0690E">
        <w:rPr>
          <w:i/>
          <w:lang w:eastAsia="zh-CN"/>
        </w:rPr>
        <w:t>-</w:t>
      </w:r>
      <w:r w:rsidRPr="00D0690E">
        <w:rPr>
          <w:i/>
          <w:lang w:eastAsia="zh-CN"/>
        </w:rPr>
        <w:tab/>
      </w:r>
      <w:r w:rsidRPr="00D0690E">
        <w:rPr>
          <w:lang w:eastAsia="zh-CN"/>
        </w:rPr>
        <w:t xml:space="preserve">SPS PDSCH release </w:t>
      </w:r>
      <w:r w:rsidRPr="00D0690E">
        <w:t>or TCI state update</w:t>
      </w:r>
      <w:r w:rsidRPr="00D0690E">
        <w:rPr>
          <w:lang w:eastAsia="zh-CN"/>
        </w:rPr>
        <w:t xml:space="preserve"> that the UE detects in a PDCCH monitoring occasion that starts after a PDCCH monitoring occasion where the UE detects a DCI format scheduling the PUSCH transmission</w:t>
      </w:r>
      <w:r w:rsidR="00CD5BA3">
        <w:rPr>
          <w:lang w:eastAsia="zh-CN"/>
        </w:rPr>
        <w:t>.</w:t>
      </w:r>
    </w:p>
    <w:p w14:paraId="401903F7" w14:textId="1907E9C6" w:rsidR="002F7E2C" w:rsidRDefault="002F7E2C" w:rsidP="002F7E2C">
      <w:pPr>
        <w:rPr>
          <w:lang w:val="en-US" w:eastAsia="x-none"/>
        </w:rPr>
      </w:pPr>
      <w:r>
        <w:rPr>
          <w:lang w:val="en-US" w:eastAsia="x-none"/>
        </w:rPr>
        <w:t xml:space="preserve">A </w:t>
      </w:r>
      <w:r w:rsidRPr="00A145AB">
        <w:rPr>
          <w:lang w:val="en-US" w:eastAsia="x-none"/>
        </w:rPr>
        <w:t xml:space="preserve">UE does not expect to detect a DCI format switching </w:t>
      </w:r>
      <w:r>
        <w:rPr>
          <w:lang w:val="en-US" w:eastAsia="x-none"/>
        </w:rPr>
        <w:t xml:space="preserve">a </w:t>
      </w:r>
      <w:r w:rsidRPr="00A145AB">
        <w:rPr>
          <w:lang w:val="en-US" w:eastAsia="x-none"/>
        </w:rPr>
        <w:t xml:space="preserve">DL BWP within </w:t>
      </w:r>
      <m:oMath>
        <m:sSub>
          <m:sSubPr>
            <m:ctrlPr>
              <w:rPr>
                <w:rFonts w:ascii="Cambria Math" w:hAnsi="Cambria Math" w:cs="Arial"/>
                <w:i/>
                <w:lang w:val="x-none" w:eastAsia="zh-CN"/>
              </w:rPr>
            </m:ctrlPr>
          </m:sSubPr>
          <m:e>
            <m:r>
              <w:rPr>
                <w:rFonts w:ascii="Cambria Math" w:hAnsi="Cambria Math" w:cs="Arial"/>
                <w:lang w:eastAsia="zh-CN"/>
              </w:rPr>
              <m:t>N</m:t>
            </m:r>
          </m:e>
          <m:sub>
            <m:r>
              <w:rPr>
                <w:rFonts w:ascii="Cambria Math" w:hAnsi="Cambria Math" w:cs="Arial"/>
                <w:lang w:eastAsia="zh-CN"/>
              </w:rPr>
              <m:t>2</m:t>
            </m:r>
          </m:sub>
        </m:sSub>
      </m:oMath>
      <w:r w:rsidRPr="00496E62">
        <w:t xml:space="preserve"> sy</w:t>
      </w:r>
      <w:r>
        <w:t>mbols prior to a first symbol of a</w:t>
      </w:r>
      <w:r w:rsidRPr="00496E62">
        <w:t xml:space="preserve"> </w:t>
      </w:r>
      <w:r>
        <w:t>PUS</w:t>
      </w:r>
      <w:r w:rsidRPr="00496E62">
        <w:t>CH transmission</w:t>
      </w:r>
      <w:r>
        <w:t xml:space="preserve"> where the UE multiplexes HARQ-ACK information, where </w:t>
      </w:r>
      <m:oMath>
        <m:sSub>
          <m:sSubPr>
            <m:ctrlPr>
              <w:rPr>
                <w:rFonts w:ascii="Cambria Math" w:hAnsi="Cambria Math" w:cs="Arial"/>
                <w:i/>
                <w:lang w:val="x-none" w:eastAsia="zh-CN"/>
              </w:rPr>
            </m:ctrlPr>
          </m:sSubPr>
          <m:e>
            <m:r>
              <w:rPr>
                <w:rFonts w:ascii="Cambria Math" w:hAnsi="Cambria Math" w:cs="Arial"/>
                <w:lang w:eastAsia="zh-CN"/>
              </w:rPr>
              <m:t>N</m:t>
            </m:r>
          </m:e>
          <m:sub>
            <m:r>
              <w:rPr>
                <w:rFonts w:ascii="Cambria Math" w:hAnsi="Cambria Math" w:cs="Arial"/>
                <w:lang w:eastAsia="zh-CN"/>
              </w:rPr>
              <m:t>2</m:t>
            </m:r>
          </m:sub>
        </m:sSub>
      </m:oMath>
      <w:r>
        <w:t xml:space="preserve"> is defined in [6, TS 38.214]. </w:t>
      </w:r>
    </w:p>
    <w:p w14:paraId="2CFBCEF6" w14:textId="77777777" w:rsidR="008A67F3" w:rsidRPr="0088027F" w:rsidRDefault="000B36B8" w:rsidP="008A67F3">
      <w:pPr>
        <w:rPr>
          <w:lang w:eastAsia="zh-CN"/>
        </w:rPr>
      </w:pPr>
      <w:r w:rsidRPr="00B916EC">
        <w:rPr>
          <w:rFonts w:cs="Arial"/>
          <w:lang w:eastAsia="zh-CN"/>
        </w:rPr>
        <w:t>I</w:t>
      </w:r>
      <w:r w:rsidRPr="00B916EC">
        <w:rPr>
          <w:rFonts w:hint="eastAsia"/>
          <w:lang w:eastAsia="zh-CN"/>
        </w:rPr>
        <w:t xml:space="preserve">f a UE </w:t>
      </w:r>
      <w:r w:rsidRPr="00B916EC">
        <w:rPr>
          <w:lang w:eastAsia="zh-CN"/>
        </w:rPr>
        <w:t>multiplexes</w:t>
      </w:r>
      <w:r w:rsidRPr="00B916EC">
        <w:rPr>
          <w:rFonts w:hint="eastAsia"/>
          <w:lang w:eastAsia="zh-CN"/>
        </w:rPr>
        <w:t xml:space="preserve"> HARQ-ACK</w:t>
      </w:r>
      <w:r w:rsidR="00CD5BA3" w:rsidRPr="00CD5BA3">
        <w:rPr>
          <w:lang w:eastAsia="zh-CN"/>
        </w:rPr>
        <w:t xml:space="preserve"> </w:t>
      </w:r>
      <w:r w:rsidR="00CD5BA3">
        <w:rPr>
          <w:lang w:eastAsia="zh-CN"/>
        </w:rPr>
        <w:t>information</w:t>
      </w:r>
      <w:r w:rsidRPr="00B916EC">
        <w:rPr>
          <w:rFonts w:hint="eastAsia"/>
          <w:lang w:eastAsia="zh-CN"/>
        </w:rPr>
        <w:t xml:space="preserve"> in a </w:t>
      </w:r>
      <w:r w:rsidRPr="00B916EC">
        <w:rPr>
          <w:lang w:eastAsia="zh-CN"/>
        </w:rPr>
        <w:t xml:space="preserve">PUSCH transmission that is scheduled by DCI format </w:t>
      </w:r>
      <w:r w:rsidR="00A22847">
        <w:rPr>
          <w:lang w:eastAsia="zh-CN"/>
        </w:rPr>
        <w:t>that includes a DAI field</w:t>
      </w:r>
      <w:r w:rsidRPr="00B916EC">
        <w:rPr>
          <w:rFonts w:hint="eastAsia"/>
          <w:lang w:eastAsia="zh-CN"/>
        </w:rPr>
        <w:t xml:space="preserve">, </w:t>
      </w:r>
      <w:r w:rsidR="008A67F3" w:rsidRPr="0088027F">
        <w:rPr>
          <w:lang w:eastAsia="zh-CN"/>
        </w:rPr>
        <w:t>and</w:t>
      </w:r>
    </w:p>
    <w:p w14:paraId="533F9034" w14:textId="736653D9" w:rsidR="008A67F3" w:rsidRPr="0088027F" w:rsidRDefault="008A67F3" w:rsidP="008A67F3">
      <w:pPr>
        <w:pStyle w:val="B1"/>
        <w:rPr>
          <w:rFonts w:cs="Arial"/>
          <w:lang w:val="en-US" w:eastAsia="zh-CN"/>
        </w:rPr>
      </w:pPr>
      <w:r w:rsidRPr="0088027F">
        <w:t>-</w:t>
      </w:r>
      <w:r w:rsidRPr="0088027F">
        <w:tab/>
      </w:r>
      <w:r w:rsidRPr="0088027F">
        <w:rPr>
          <w:lang w:eastAsia="ko-KR"/>
        </w:rPr>
        <w:t xml:space="preserve">is not provided </w:t>
      </w:r>
      <w:r w:rsidRPr="0088027F">
        <w:rPr>
          <w:i/>
          <w:iCs/>
          <w:lang w:eastAsia="ko-KR"/>
        </w:rPr>
        <w:t>fdmed-ReceptionMulticast</w:t>
      </w:r>
      <w:r w:rsidRPr="0088027F">
        <w:rPr>
          <w:lang w:eastAsia="ko-KR"/>
        </w:rPr>
        <w:t xml:space="preserve"> and</w:t>
      </w:r>
      <w:r w:rsidRPr="0088027F">
        <w:rPr>
          <w:lang w:val="en-US" w:eastAsia="ko-KR"/>
        </w:rPr>
        <w:t xml:space="preserve"> is provided </w:t>
      </w:r>
      <w:r w:rsidRPr="0088027F">
        <w:rPr>
          <w:i/>
          <w:lang w:val="en-US" w:eastAsia="zh-CN"/>
        </w:rPr>
        <w:t>pdsch-</w:t>
      </w:r>
      <w:r w:rsidRPr="0088027F">
        <w:rPr>
          <w:rFonts w:cs="Arial"/>
          <w:i/>
          <w:lang w:eastAsia="zh-CN"/>
        </w:rPr>
        <w:t>HARQ-ACK-Codebook</w:t>
      </w:r>
      <w:r w:rsidRPr="0088027F" w:rsidDel="00011FE0">
        <w:rPr>
          <w:rFonts w:cs="Arial"/>
          <w:i/>
          <w:lang w:eastAsia="zh-CN"/>
        </w:rPr>
        <w:t xml:space="preserve"> </w:t>
      </w:r>
      <w:r w:rsidRPr="0088027F">
        <w:rPr>
          <w:rFonts w:cs="Arial"/>
          <w:i/>
          <w:lang w:eastAsia="zh-CN"/>
        </w:rPr>
        <w:t xml:space="preserve">= </w:t>
      </w:r>
      <w:r w:rsidR="00F22988">
        <w:rPr>
          <w:rFonts w:cs="Arial"/>
          <w:i/>
          <w:lang w:val="en-US" w:eastAsia="zh-CN"/>
        </w:rPr>
        <w:t>'</w:t>
      </w:r>
      <w:r w:rsidRPr="0088027F">
        <w:rPr>
          <w:rFonts w:cs="Arial"/>
          <w:i/>
          <w:lang w:eastAsia="zh-CN"/>
        </w:rPr>
        <w:t>semi-static</w:t>
      </w:r>
      <w:r w:rsidR="00F22988">
        <w:rPr>
          <w:rFonts w:cs="Arial"/>
          <w:i/>
          <w:lang w:val="en-US" w:eastAsia="zh-CN"/>
        </w:rPr>
        <w:t>'</w:t>
      </w:r>
      <w:r w:rsidRPr="0088027F">
        <w:rPr>
          <w:rFonts w:cs="Arial"/>
          <w:lang w:eastAsia="zh-CN"/>
        </w:rPr>
        <w:t xml:space="preserve"> </w:t>
      </w:r>
      <w:r w:rsidRPr="0088027F">
        <w:rPr>
          <w:rFonts w:cs="Arial"/>
          <w:lang w:val="en-US" w:eastAsia="zh-CN"/>
        </w:rPr>
        <w:t>for both unicast and multicast HARQ-ACK information, or</w:t>
      </w:r>
    </w:p>
    <w:p w14:paraId="488BF6C1" w14:textId="5CC4F0A3" w:rsidR="008A67F3" w:rsidRPr="0088027F" w:rsidRDefault="008A67F3" w:rsidP="008A67F3">
      <w:pPr>
        <w:pStyle w:val="B1"/>
        <w:rPr>
          <w:rFonts w:cs="Arial"/>
          <w:lang w:val="en-US" w:eastAsia="zh-CN"/>
        </w:rPr>
      </w:pPr>
      <w:r w:rsidRPr="0088027F">
        <w:t>-</w:t>
      </w:r>
      <w:r w:rsidRPr="0088027F">
        <w:tab/>
      </w:r>
      <w:r w:rsidRPr="0088027F">
        <w:rPr>
          <w:lang w:eastAsia="ko-KR"/>
        </w:rPr>
        <w:t>is</w:t>
      </w:r>
      <w:r w:rsidRPr="0088027F">
        <w:rPr>
          <w:lang w:val="en-US" w:eastAsia="ko-KR"/>
        </w:rPr>
        <w:t xml:space="preserve"> provided</w:t>
      </w:r>
      <w:r w:rsidRPr="0088027F">
        <w:rPr>
          <w:lang w:eastAsia="ko-KR"/>
        </w:rPr>
        <w:t xml:space="preserve"> </w:t>
      </w:r>
      <w:r w:rsidRPr="0088027F">
        <w:rPr>
          <w:i/>
          <w:lang w:val="en-US" w:eastAsia="zh-CN"/>
        </w:rPr>
        <w:t>pdsch-</w:t>
      </w:r>
      <w:r w:rsidRPr="0088027F">
        <w:rPr>
          <w:rFonts w:cs="Arial"/>
          <w:i/>
          <w:lang w:eastAsia="zh-CN"/>
        </w:rPr>
        <w:t>HARQ-ACK-Codebook</w:t>
      </w:r>
      <w:r w:rsidRPr="0088027F" w:rsidDel="00011FE0">
        <w:rPr>
          <w:rFonts w:cs="Arial"/>
          <w:i/>
          <w:lang w:eastAsia="zh-CN"/>
        </w:rPr>
        <w:t xml:space="preserve"> </w:t>
      </w:r>
      <w:r w:rsidRPr="0088027F">
        <w:rPr>
          <w:rFonts w:cs="Arial"/>
          <w:i/>
          <w:lang w:eastAsia="zh-CN"/>
        </w:rPr>
        <w:t xml:space="preserve">= </w:t>
      </w:r>
      <w:r w:rsidR="00F22988">
        <w:rPr>
          <w:rFonts w:cs="Arial"/>
          <w:i/>
          <w:lang w:val="en-US" w:eastAsia="zh-CN"/>
        </w:rPr>
        <w:t>'</w:t>
      </w:r>
      <w:r w:rsidRPr="0088027F">
        <w:rPr>
          <w:rFonts w:cs="Arial"/>
          <w:i/>
          <w:lang w:eastAsia="zh-CN"/>
        </w:rPr>
        <w:t>semi-static</w:t>
      </w:r>
      <w:r w:rsidR="00F22988">
        <w:rPr>
          <w:rFonts w:cs="Arial"/>
          <w:i/>
          <w:lang w:val="en-US" w:eastAsia="zh-CN"/>
        </w:rPr>
        <w:t>'</w:t>
      </w:r>
      <w:r w:rsidRPr="0088027F">
        <w:rPr>
          <w:rFonts w:cs="Arial"/>
          <w:lang w:eastAsia="zh-CN"/>
        </w:rPr>
        <w:t xml:space="preserve"> </w:t>
      </w:r>
      <w:r w:rsidRPr="0088027F">
        <w:rPr>
          <w:rFonts w:cs="Arial"/>
          <w:lang w:val="en-US" w:eastAsia="zh-CN"/>
        </w:rPr>
        <w:t>only for one of unicast and multicast HARQ-ACK information</w:t>
      </w:r>
    </w:p>
    <w:p w14:paraId="16404481" w14:textId="2677062C" w:rsidR="009D05BB" w:rsidRDefault="000B36B8" w:rsidP="0009732E">
      <w:pPr>
        <w:rPr>
          <w:lang w:val="en-US"/>
        </w:rPr>
      </w:pPr>
      <w:r w:rsidRPr="00B916EC">
        <w:rPr>
          <w:rFonts w:cs="Arial" w:hint="eastAsia"/>
          <w:lang w:eastAsia="zh-CN"/>
        </w:rPr>
        <w:lastRenderedPageBreak/>
        <w:t xml:space="preserve">the UE </w:t>
      </w:r>
      <w:r w:rsidRPr="00B916EC">
        <w:rPr>
          <w:rFonts w:cs="Arial"/>
          <w:lang w:eastAsia="zh-CN"/>
        </w:rPr>
        <w:t xml:space="preserve">generates the HARQ-ACK codebook as described </w:t>
      </w:r>
      <w:r w:rsidR="006F5F9E">
        <w:rPr>
          <w:rFonts w:cs="Arial"/>
          <w:lang w:eastAsia="zh-CN"/>
        </w:rPr>
        <w:t>in clause</w:t>
      </w:r>
      <w:r>
        <w:rPr>
          <w:rFonts w:cs="Arial"/>
          <w:lang w:eastAsia="zh-CN"/>
        </w:rPr>
        <w:t xml:space="preserve"> 9.1.2.1</w:t>
      </w:r>
      <w:r w:rsidRPr="00B916EC">
        <w:rPr>
          <w:rFonts w:cs="Arial"/>
          <w:lang w:eastAsia="zh-CN"/>
        </w:rPr>
        <w:t xml:space="preserve"> </w:t>
      </w:r>
      <w:r>
        <w:rPr>
          <w:lang w:eastAsia="zh-CN"/>
        </w:rPr>
        <w:t xml:space="preserve">when a value of the DAI field </w:t>
      </w:r>
      <w:r>
        <w:rPr>
          <w:lang w:val="en-US" w:eastAsia="zh-CN"/>
        </w:rPr>
        <w:t xml:space="preserve">is </w:t>
      </w:r>
      <m:oMath>
        <m:sSubSup>
          <m:sSubSupPr>
            <m:ctrlPr>
              <w:rPr>
                <w:rFonts w:ascii="Cambria Math" w:hAnsi="Cambria Math"/>
              </w:rPr>
            </m:ctrlPr>
          </m:sSubSupPr>
          <m:e>
            <m:r>
              <w:rPr>
                <w:rFonts w:ascii="Cambria Math" w:hAnsi="Cambria Math"/>
              </w:rPr>
              <m:t>V</m:t>
            </m:r>
          </m:e>
          <m:sub>
            <m:r>
              <m:rPr>
                <m:nor/>
              </m:rPr>
              <w:rPr>
                <w:rFonts w:ascii="Cambria Math"/>
                <w:lang w:val="en-US"/>
              </w:rPr>
              <m:t>T-DAI</m:t>
            </m:r>
          </m:sub>
          <m:sup>
            <m:r>
              <m:rPr>
                <m:nor/>
              </m:rPr>
              <w:rPr>
                <w:rFonts w:ascii="Cambria Math"/>
                <w:lang w:val="en-US"/>
              </w:rPr>
              <m:t>UL</m:t>
            </m:r>
          </m:sup>
        </m:sSubSup>
        <m:r>
          <w:rPr>
            <w:rFonts w:ascii="Cambria Math" w:hAnsi="Cambria Math"/>
          </w:rPr>
          <m:t>=1</m:t>
        </m:r>
      </m:oMath>
      <w:r w:rsidRPr="007D54DD">
        <w:rPr>
          <w:rFonts w:cs="Arial"/>
          <w:lang w:eastAsia="zh-CN"/>
        </w:rPr>
        <w:t xml:space="preserve"> </w:t>
      </w:r>
      <w:r w:rsidRPr="00E1648B">
        <w:rPr>
          <w:rFonts w:cs="Arial"/>
          <w:lang w:eastAsia="zh-CN"/>
        </w:rPr>
        <w:t xml:space="preserve">except that </w:t>
      </w:r>
      <w:r w:rsidR="00CD5BA3" w:rsidRPr="00435CFD">
        <w:rPr>
          <w:i/>
        </w:rPr>
        <w:t>harq-ACK-SpatialBundlingPUCCH</w:t>
      </w:r>
      <w:r w:rsidR="00CD5BA3" w:rsidRPr="00E1648B">
        <w:rPr>
          <w:rFonts w:cs="Arial"/>
          <w:lang w:eastAsia="zh-CN"/>
        </w:rPr>
        <w:t xml:space="preserve"> is replaced by </w:t>
      </w:r>
      <w:r w:rsidR="00CD5BA3">
        <w:rPr>
          <w:i/>
        </w:rPr>
        <w:t>harq-ACK-SpatialBundlingPUS</w:t>
      </w:r>
      <w:r w:rsidR="00CD5BA3" w:rsidRPr="00435CFD">
        <w:rPr>
          <w:i/>
        </w:rPr>
        <w:t>CH</w:t>
      </w:r>
      <w:r>
        <w:rPr>
          <w:lang w:eastAsia="zh-CN"/>
        </w:rPr>
        <w:t xml:space="preserve">. The UE does not generate a HARQ-ACK codebook for multiplexing in the PUSCH transmission when </w:t>
      </w:r>
      <m:oMath>
        <m:sSubSup>
          <m:sSubSupPr>
            <m:ctrlPr>
              <w:rPr>
                <w:rFonts w:ascii="Cambria Math" w:hAnsi="Cambria Math"/>
              </w:rPr>
            </m:ctrlPr>
          </m:sSubSupPr>
          <m:e>
            <m:r>
              <w:rPr>
                <w:rFonts w:ascii="Cambria Math" w:hAnsi="Cambria Math"/>
              </w:rPr>
              <m:t>V</m:t>
            </m:r>
          </m:e>
          <m:sub>
            <m:r>
              <m:rPr>
                <m:nor/>
              </m:rPr>
              <w:rPr>
                <w:rFonts w:ascii="Cambria Math"/>
                <w:lang w:val="en-US"/>
              </w:rPr>
              <m:t>T-DAI</m:t>
            </m:r>
          </m:sub>
          <m:sup>
            <m:r>
              <m:rPr>
                <m:nor/>
              </m:rPr>
              <w:rPr>
                <w:rFonts w:ascii="Cambria Math"/>
                <w:lang w:val="en-US"/>
              </w:rPr>
              <m:t>UL</m:t>
            </m:r>
          </m:sup>
        </m:sSubSup>
        <m:r>
          <w:rPr>
            <w:rFonts w:ascii="Cambria Math" w:hAnsi="Cambria Math"/>
          </w:rPr>
          <m:t>=0</m:t>
        </m:r>
      </m:oMath>
      <w:r w:rsidR="007C057E">
        <w:rPr>
          <w:rFonts w:cs="Arial"/>
          <w:lang w:eastAsia="zh-CN"/>
        </w:rPr>
        <w:t xml:space="preserve"> </w:t>
      </w:r>
      <w:r w:rsidR="007C057E">
        <w:rPr>
          <w:lang w:val="en-US"/>
        </w:rPr>
        <w:t xml:space="preserve">unless the UE receives </w:t>
      </w:r>
      <w:r w:rsidR="00E7153C">
        <w:rPr>
          <w:lang w:val="en-US"/>
        </w:rPr>
        <w:t>only one of</w:t>
      </w:r>
    </w:p>
    <w:p w14:paraId="5BE024A7" w14:textId="6806C66B" w:rsidR="009D05BB" w:rsidRDefault="009D05BB" w:rsidP="009D05BB">
      <w:pPr>
        <w:pStyle w:val="B1"/>
      </w:pPr>
      <w:r>
        <w:rPr>
          <w:lang w:val="en-US"/>
        </w:rPr>
        <w:t>-</w:t>
      </w:r>
      <w:r>
        <w:rPr>
          <w:lang w:val="en-US"/>
        </w:rPr>
        <w:tab/>
      </w:r>
      <w:r w:rsidR="007C057E">
        <w:rPr>
          <w:lang w:val="en-US"/>
        </w:rPr>
        <w:t>a</w:t>
      </w:r>
      <w:r w:rsidR="007C057E">
        <w:rPr>
          <w:rFonts w:hint="eastAsia"/>
          <w:lang w:eastAsia="zh-CN"/>
        </w:rPr>
        <w:t xml:space="preserve"> SPS PDSCH release</w:t>
      </w:r>
      <w:r w:rsidR="00E7153C" w:rsidRPr="00303D4C">
        <w:rPr>
          <w:lang w:eastAsia="zh-CN"/>
        </w:rPr>
        <w:t xml:space="preserve"> indicated by DCI format 1_0 </w:t>
      </w:r>
      <w:r w:rsidR="00E7153C" w:rsidRPr="00303D4C">
        <w:rPr>
          <w:lang w:val="en-US" w:eastAsia="zh-CN"/>
        </w:rPr>
        <w:t>or by DCI format 4_1</w:t>
      </w:r>
      <w:r w:rsidR="00E7153C" w:rsidRPr="00787AD4">
        <w:rPr>
          <w:lang w:eastAsia="zh-CN"/>
        </w:rPr>
        <w:t xml:space="preserve">, </w:t>
      </w:r>
      <w:r w:rsidR="00E7153C" w:rsidRPr="00303D4C">
        <w:rPr>
          <w:lang w:eastAsia="zh-CN"/>
        </w:rPr>
        <w:t xml:space="preserve">with </w:t>
      </w:r>
      <w:r w:rsidR="00E7153C" w:rsidRPr="00303D4C">
        <w:rPr>
          <w:lang w:val="en-US" w:eastAsia="zh-CN"/>
        </w:rPr>
        <w:t xml:space="preserve">counter </w:t>
      </w:r>
      <w:r w:rsidR="00E7153C" w:rsidRPr="00303D4C">
        <w:rPr>
          <w:lang w:eastAsia="zh-CN"/>
        </w:rPr>
        <w:t>DAI</w:t>
      </w:r>
      <w:r w:rsidR="00E7153C" w:rsidRPr="00303D4C">
        <w:rPr>
          <w:lang w:val="en-US" w:eastAsia="zh-CN"/>
        </w:rPr>
        <w:t xml:space="preserve"> field value of 1</w:t>
      </w:r>
      <w:r w:rsidR="000D05A6" w:rsidRPr="00405417">
        <w:rPr>
          <w:lang w:eastAsia="zh-CN"/>
        </w:rPr>
        <w:t>,</w:t>
      </w:r>
      <w:r w:rsidR="000D05A6" w:rsidRPr="00131706">
        <w:rPr>
          <w:lang w:eastAsia="zh-CN"/>
        </w:rPr>
        <w:t xml:space="preserve"> </w:t>
      </w:r>
      <w:r w:rsidR="000D05A6" w:rsidRPr="00072F61">
        <w:t xml:space="preserve">or </w:t>
      </w:r>
    </w:p>
    <w:p w14:paraId="795B8388" w14:textId="66BA787C" w:rsidR="00E7153C" w:rsidRPr="00E7153C" w:rsidRDefault="009D05BB" w:rsidP="00E7153C">
      <w:pPr>
        <w:pStyle w:val="B1"/>
        <w:rPr>
          <w:lang w:eastAsia="zh-CN"/>
        </w:rPr>
      </w:pPr>
      <w:r>
        <w:rPr>
          <w:lang w:eastAsia="zh-CN"/>
        </w:rPr>
        <w:t>-</w:t>
      </w:r>
      <w:r>
        <w:rPr>
          <w:lang w:eastAsia="zh-CN"/>
        </w:rPr>
        <w:tab/>
      </w:r>
      <w:r w:rsidRPr="00960C29">
        <w:rPr>
          <w:lang w:eastAsia="zh-CN"/>
        </w:rPr>
        <w:t>SPS PDSCH(s) with transport blocks having enabled associated HARQ-ACK information report</w:t>
      </w:r>
      <w:r w:rsidR="00E7153C">
        <w:rPr>
          <w:lang w:eastAsia="zh-CN"/>
        </w:rPr>
        <w:t>s</w:t>
      </w:r>
      <w:r w:rsidR="008A67F3" w:rsidRPr="0088027F">
        <w:rPr>
          <w:lang w:eastAsia="zh-CN"/>
        </w:rPr>
        <w:t xml:space="preserve">, </w:t>
      </w:r>
    </w:p>
    <w:p w14:paraId="637F9E41" w14:textId="46D1F037" w:rsidR="009D05BB" w:rsidRDefault="00E7153C" w:rsidP="00E7153C">
      <w:pPr>
        <w:pStyle w:val="B1"/>
        <w:rPr>
          <w:lang w:val="en-US" w:eastAsia="zh-CN"/>
        </w:rPr>
      </w:pPr>
      <w:r w:rsidRPr="00E7153C">
        <w:rPr>
          <w:lang w:eastAsia="zh-CN"/>
        </w:rPr>
        <w:t>-</w:t>
      </w:r>
      <w:r w:rsidRPr="00E7153C">
        <w:rPr>
          <w:lang w:eastAsia="zh-CN"/>
        </w:rPr>
        <w:tab/>
        <w:t>a PDSCH</w:t>
      </w:r>
      <w:r w:rsidRPr="00E7153C">
        <w:rPr>
          <w:lang w:val="en-US" w:eastAsia="zh-CN"/>
        </w:rPr>
        <w:t xml:space="preserve"> providing a transport block having enabled HARQ-ACK information report </w:t>
      </w:r>
      <w:r w:rsidRPr="00E7153C">
        <w:rPr>
          <w:lang w:eastAsia="zh-CN"/>
        </w:rPr>
        <w:t xml:space="preserve">and scheduled </w:t>
      </w:r>
      <w:r w:rsidRPr="00E7153C">
        <w:rPr>
          <w:rFonts w:hint="eastAsia"/>
          <w:lang w:eastAsia="zh-CN"/>
        </w:rPr>
        <w:t xml:space="preserve">by </w:t>
      </w:r>
      <w:r w:rsidRPr="00E7153C">
        <w:rPr>
          <w:lang w:eastAsia="zh-CN"/>
        </w:rPr>
        <w:t xml:space="preserve">a </w:t>
      </w:r>
      <w:r w:rsidRPr="00E7153C">
        <w:rPr>
          <w:rFonts w:hint="eastAsia"/>
          <w:lang w:eastAsia="zh-CN"/>
        </w:rPr>
        <w:t>DCI format 1_0</w:t>
      </w:r>
      <w:r w:rsidRPr="00E7153C">
        <w:rPr>
          <w:lang w:eastAsia="zh-CN"/>
        </w:rPr>
        <w:t xml:space="preserve"> </w:t>
      </w:r>
      <w:r w:rsidRPr="00E7153C">
        <w:rPr>
          <w:lang w:val="en-US" w:eastAsia="zh-CN"/>
        </w:rPr>
        <w:t>or by DCI format 4_1</w:t>
      </w:r>
      <w:r w:rsidRPr="00E7153C">
        <w:rPr>
          <w:lang w:eastAsia="zh-CN"/>
        </w:rPr>
        <w:t xml:space="preserve">, or only a TCI state update, </w:t>
      </w:r>
      <w:r w:rsidRPr="00E7153C">
        <w:rPr>
          <w:lang w:val="en-GB" w:eastAsia="zh-CN"/>
        </w:rPr>
        <w:t xml:space="preserve">with </w:t>
      </w:r>
      <w:r w:rsidRPr="00E7153C">
        <w:rPr>
          <w:lang w:val="en-US" w:eastAsia="zh-CN"/>
        </w:rPr>
        <w:t xml:space="preserve">counter </w:t>
      </w:r>
      <w:r w:rsidRPr="00E7153C">
        <w:rPr>
          <w:lang w:val="en-GB" w:eastAsia="zh-CN"/>
        </w:rPr>
        <w:t>DAI</w:t>
      </w:r>
      <w:r w:rsidRPr="00E7153C">
        <w:rPr>
          <w:lang w:val="en-US" w:eastAsia="zh-CN"/>
        </w:rPr>
        <w:t xml:space="preserve"> field value of 1 on the PCell,</w:t>
      </w:r>
    </w:p>
    <w:p w14:paraId="774E2F36" w14:textId="2920BB82" w:rsidR="008A67F3" w:rsidRDefault="007C057E" w:rsidP="0009732E">
      <w:pPr>
        <w:rPr>
          <w:rFonts w:cs="Arial"/>
          <w:lang w:eastAsia="zh-CN"/>
        </w:rPr>
      </w:pPr>
      <w:r w:rsidRPr="00AE44D6">
        <w:rPr>
          <w:lang w:val="en-US" w:eastAsia="zh-CN"/>
        </w:rPr>
        <w:t>in the</w:t>
      </w:r>
      <w:r>
        <w:rPr>
          <w:lang w:val="en-US" w:eastAsia="zh-CN"/>
        </w:rPr>
        <w:t xml:space="preserve"> </w:t>
      </w:r>
      <m:oMath>
        <m:sSub>
          <m:sSubPr>
            <m:ctrlPr>
              <w:rPr>
                <w:rFonts w:ascii="Cambria Math" w:hAnsi="Cambria Math" w:cs="Arial"/>
                <w:i/>
                <w:lang w:val="x-none" w:eastAsia="zh-CN"/>
              </w:rPr>
            </m:ctrlPr>
          </m:sSubPr>
          <m:e>
            <m:r>
              <w:rPr>
                <w:rFonts w:ascii="Cambria Math" w:hAnsi="Cambria Math" w:cs="Arial"/>
                <w:lang w:eastAsia="zh-CN"/>
              </w:rPr>
              <m:t>M</m:t>
            </m:r>
          </m:e>
          <m:sub>
            <m:r>
              <w:rPr>
                <w:rFonts w:ascii="Cambria Math" w:hAnsi="Cambria Math" w:cs="Arial"/>
                <w:lang w:eastAsia="zh-CN"/>
              </w:rPr>
              <m:t>c</m:t>
            </m:r>
          </m:sub>
        </m:sSub>
      </m:oMath>
      <w:r w:rsidRPr="00AE44D6">
        <w:t xml:space="preserve"> occasions for candidate PDSCH receptions</w:t>
      </w:r>
      <w:r>
        <w:rPr>
          <w:lang w:val="en-US" w:eastAsia="zh-CN"/>
        </w:rPr>
        <w:t xml:space="preserve"> in which case </w:t>
      </w:r>
      <w:r w:rsidRPr="00303EA7">
        <w:rPr>
          <w:lang w:eastAsia="x-none"/>
        </w:rPr>
        <w:t>th</w:t>
      </w:r>
      <w:r>
        <w:rPr>
          <w:lang w:eastAsia="x-none"/>
        </w:rPr>
        <w:t xml:space="preserve">e UE generates </w:t>
      </w:r>
      <w:r w:rsidRPr="00303EA7">
        <w:rPr>
          <w:lang w:eastAsia="x-none"/>
        </w:rPr>
        <w:t xml:space="preserve">HARQ-ACK </w:t>
      </w:r>
      <w:r>
        <w:rPr>
          <w:lang w:eastAsia="x-none"/>
        </w:rPr>
        <w:t>information only for the</w:t>
      </w:r>
      <w:r w:rsidRPr="00303EA7">
        <w:rPr>
          <w:lang w:eastAsia="x-none"/>
        </w:rPr>
        <w:t xml:space="preserve"> </w:t>
      </w:r>
      <w:r>
        <w:rPr>
          <w:lang w:eastAsia="x-none"/>
        </w:rPr>
        <w:t xml:space="preserve">SPS PDSCH release or only for the </w:t>
      </w:r>
      <w:r w:rsidRPr="00303EA7">
        <w:rPr>
          <w:lang w:eastAsia="x-none"/>
        </w:rPr>
        <w:t>PDSCH</w:t>
      </w:r>
      <w:r>
        <w:rPr>
          <w:lang w:eastAsia="x-none"/>
        </w:rPr>
        <w:t xml:space="preserve"> reception</w:t>
      </w:r>
      <w:r>
        <w:rPr>
          <w:lang w:val="en-US" w:eastAsia="x-none"/>
        </w:rPr>
        <w:t xml:space="preserve"> as described </w:t>
      </w:r>
      <w:r w:rsidR="006F5F9E">
        <w:rPr>
          <w:lang w:val="en-US" w:eastAsia="x-none"/>
        </w:rPr>
        <w:t>in clause</w:t>
      </w:r>
      <w:r>
        <w:rPr>
          <w:lang w:val="en-US" w:eastAsia="x-none"/>
        </w:rPr>
        <w:t xml:space="preserve"> 9.1.2</w:t>
      </w:r>
      <w:r w:rsidR="000B36B8">
        <w:rPr>
          <w:rFonts w:cs="Arial"/>
          <w:lang w:eastAsia="zh-CN"/>
        </w:rPr>
        <w:t>.</w:t>
      </w:r>
      <w:r w:rsidR="00C44547">
        <w:rPr>
          <w:rFonts w:cs="Arial"/>
          <w:lang w:eastAsia="zh-CN"/>
        </w:rPr>
        <w:t xml:space="preserve"> </w:t>
      </w:r>
    </w:p>
    <w:p w14:paraId="15FFE902" w14:textId="77777777" w:rsidR="008A67F3" w:rsidRPr="0088027F" w:rsidRDefault="00000000" w:rsidP="008A67F3">
      <w:pPr>
        <w:rPr>
          <w:lang w:eastAsia="x-none"/>
        </w:rPr>
      </w:pPr>
      <m:oMath>
        <m:sSubSup>
          <m:sSubSupPr>
            <m:ctrlPr>
              <w:rPr>
                <w:rFonts w:ascii="Cambria Math" w:hAnsi="Cambria Math"/>
              </w:rPr>
            </m:ctrlPr>
          </m:sSubSupPr>
          <m:e>
            <m:r>
              <w:rPr>
                <w:rFonts w:ascii="Cambria Math" w:hAnsi="Cambria Math"/>
              </w:rPr>
              <m:t>V</m:t>
            </m:r>
          </m:e>
          <m:sub>
            <m:r>
              <m:rPr>
                <m:nor/>
              </m:rPr>
              <w:rPr>
                <w:rFonts w:ascii="Cambria Math"/>
                <w:lang w:val="en-US"/>
              </w:rPr>
              <m:t>T-DAI</m:t>
            </m:r>
          </m:sub>
          <m:sup>
            <m:r>
              <m:rPr>
                <m:nor/>
              </m:rPr>
              <w:rPr>
                <w:rFonts w:ascii="Cambria Math"/>
                <w:lang w:val="en-US"/>
              </w:rPr>
              <m:t>UL</m:t>
            </m:r>
          </m:sup>
        </m:sSubSup>
        <m:r>
          <w:rPr>
            <w:rFonts w:ascii="Cambria Math" w:hAnsi="Cambria Math"/>
          </w:rPr>
          <m:t>=0</m:t>
        </m:r>
      </m:oMath>
      <w:r w:rsidR="00C44547">
        <w:rPr>
          <w:lang w:eastAsia="x-none"/>
        </w:rPr>
        <w:t xml:space="preserve"> if </w:t>
      </w:r>
      <w:r w:rsidR="00A22847" w:rsidRPr="002E260B">
        <w:rPr>
          <w:lang w:eastAsia="x-none"/>
        </w:rPr>
        <w:t xml:space="preserve">the PUSCH is scheduled by a DCI format that includes a DAI field and </w:t>
      </w:r>
      <w:r w:rsidR="00C44547">
        <w:rPr>
          <w:lang w:eastAsia="x-none"/>
        </w:rPr>
        <w:t xml:space="preserve">the </w:t>
      </w:r>
      <w:r w:rsidR="00C44547">
        <w:rPr>
          <w:lang w:eastAsia="zh-CN"/>
        </w:rPr>
        <w:t xml:space="preserve">DAI field is set to </w:t>
      </w:r>
      <w:r w:rsidR="00265098">
        <w:rPr>
          <w:lang w:eastAsia="zh-CN"/>
        </w:rPr>
        <w:t>'</w:t>
      </w:r>
      <w:r w:rsidR="00C44547">
        <w:rPr>
          <w:lang w:eastAsia="zh-CN"/>
        </w:rPr>
        <w:t>0</w:t>
      </w:r>
      <w:r w:rsidR="00265098">
        <w:rPr>
          <w:lang w:eastAsia="zh-CN"/>
        </w:rPr>
        <w:t>'</w:t>
      </w:r>
      <w:r w:rsidR="00C44547">
        <w:rPr>
          <w:lang w:eastAsia="zh-CN"/>
        </w:rPr>
        <w:t xml:space="preserve">; otherwise, </w:t>
      </w:r>
      <m:oMath>
        <m:sSubSup>
          <m:sSubSupPr>
            <m:ctrlPr>
              <w:rPr>
                <w:rFonts w:ascii="Cambria Math" w:hAnsi="Cambria Math"/>
              </w:rPr>
            </m:ctrlPr>
          </m:sSubSupPr>
          <m:e>
            <m:r>
              <w:rPr>
                <w:rFonts w:ascii="Cambria Math" w:hAnsi="Cambria Math"/>
              </w:rPr>
              <m:t>V</m:t>
            </m:r>
          </m:e>
          <m:sub>
            <m:r>
              <m:rPr>
                <m:nor/>
              </m:rPr>
              <w:rPr>
                <w:rFonts w:ascii="Cambria Math"/>
                <w:lang w:val="en-US"/>
              </w:rPr>
              <m:t>T-DAI</m:t>
            </m:r>
          </m:sub>
          <m:sup>
            <m:r>
              <m:rPr>
                <m:nor/>
              </m:rPr>
              <w:rPr>
                <w:rFonts w:ascii="Cambria Math"/>
                <w:lang w:val="en-US"/>
              </w:rPr>
              <m:t>UL</m:t>
            </m:r>
          </m:sup>
        </m:sSubSup>
        <m:r>
          <w:rPr>
            <w:rFonts w:ascii="Cambria Math" w:hAnsi="Cambria Math"/>
          </w:rPr>
          <m:t>=1</m:t>
        </m:r>
      </m:oMath>
      <w:r w:rsidR="00C44547">
        <w:rPr>
          <w:lang w:eastAsia="x-none"/>
        </w:rPr>
        <w:t>.</w:t>
      </w:r>
    </w:p>
    <w:p w14:paraId="159AB504" w14:textId="7984F33F" w:rsidR="008A67F3" w:rsidRPr="0088027F" w:rsidRDefault="008A67F3" w:rsidP="008A67F3">
      <w:pPr>
        <w:rPr>
          <w:rFonts w:cs="Arial"/>
          <w:lang w:eastAsia="zh-CN"/>
        </w:rPr>
      </w:pPr>
      <w:r w:rsidRPr="0088027F">
        <w:rPr>
          <w:lang w:eastAsia="ko-KR"/>
        </w:rPr>
        <w:t xml:space="preserve">If a UE is provided </w:t>
      </w:r>
      <w:r w:rsidRPr="0088027F">
        <w:rPr>
          <w:i/>
          <w:iCs/>
          <w:lang w:eastAsia="ko-KR"/>
        </w:rPr>
        <w:t>fdmed-ReceptionMulticast</w:t>
      </w:r>
      <w:r w:rsidRPr="0088027F">
        <w:rPr>
          <w:lang w:eastAsia="ko-KR"/>
        </w:rPr>
        <w:t xml:space="preserve"> and is</w:t>
      </w:r>
      <w:r w:rsidRPr="0088027F">
        <w:rPr>
          <w:rFonts w:cs="Arial"/>
          <w:lang w:eastAsia="zh-CN"/>
        </w:rPr>
        <w:t xml:space="preserve"> provided </w:t>
      </w:r>
      <w:r w:rsidRPr="0088027F">
        <w:rPr>
          <w:i/>
          <w:lang w:val="en-US" w:eastAsia="zh-CN"/>
        </w:rPr>
        <w:t>pdsch-</w:t>
      </w:r>
      <w:r w:rsidRPr="0088027F">
        <w:rPr>
          <w:rFonts w:cs="Arial"/>
          <w:i/>
          <w:lang w:eastAsia="zh-CN"/>
        </w:rPr>
        <w:t>HARQ-ACK-Codebook</w:t>
      </w:r>
      <w:r w:rsidRPr="0088027F" w:rsidDel="00011FE0">
        <w:rPr>
          <w:rFonts w:cs="Arial"/>
          <w:i/>
          <w:lang w:eastAsia="zh-CN"/>
        </w:rPr>
        <w:t xml:space="preserve"> </w:t>
      </w:r>
      <w:r w:rsidRPr="0088027F">
        <w:rPr>
          <w:rFonts w:cs="Arial"/>
          <w:i/>
          <w:lang w:eastAsia="zh-CN"/>
        </w:rPr>
        <w:t xml:space="preserve">= </w:t>
      </w:r>
      <w:r w:rsidR="00F22988">
        <w:rPr>
          <w:rFonts w:cs="Arial"/>
          <w:i/>
          <w:lang w:val="en-US" w:eastAsia="zh-CN"/>
        </w:rPr>
        <w:t>'</w:t>
      </w:r>
      <w:r w:rsidRPr="0088027F">
        <w:rPr>
          <w:rFonts w:cs="Arial"/>
          <w:i/>
          <w:lang w:eastAsia="zh-CN"/>
        </w:rPr>
        <w:t>semi-static</w:t>
      </w:r>
      <w:r w:rsidR="00F22988">
        <w:rPr>
          <w:rFonts w:cs="Arial"/>
          <w:i/>
          <w:lang w:val="en-US" w:eastAsia="zh-CN"/>
        </w:rPr>
        <w:t>'</w:t>
      </w:r>
      <w:r w:rsidRPr="0088027F">
        <w:rPr>
          <w:rFonts w:cs="Arial"/>
          <w:lang w:eastAsia="zh-CN"/>
        </w:rPr>
        <w:t xml:space="preserve"> </w:t>
      </w:r>
      <w:r w:rsidRPr="0088027F">
        <w:rPr>
          <w:rFonts w:cs="Arial"/>
          <w:lang w:val="en-US" w:eastAsia="zh-CN"/>
        </w:rPr>
        <w:t>for both unicast and multicast HARQ-ACK information</w:t>
      </w:r>
      <w:r w:rsidRPr="0088027F">
        <w:rPr>
          <w:lang w:eastAsia="ko-KR"/>
        </w:rPr>
        <w:t xml:space="preserve">, the </w:t>
      </w:r>
      <w:r w:rsidRPr="0088027F">
        <w:rPr>
          <w:rFonts w:cs="Arial" w:hint="eastAsia"/>
          <w:lang w:eastAsia="zh-CN"/>
        </w:rPr>
        <w:t xml:space="preserve">UE </w:t>
      </w:r>
      <w:r w:rsidRPr="0088027F">
        <w:rPr>
          <w:rFonts w:cs="Arial"/>
          <w:lang w:eastAsia="zh-CN"/>
        </w:rPr>
        <w:t xml:space="preserve">generates the HARQ-ACK codebook as described in clause 9.1.2.1, except that </w:t>
      </w:r>
      <w:r w:rsidRPr="0088027F">
        <w:rPr>
          <w:i/>
        </w:rPr>
        <w:t>harq-ACK-SpatialBundlingPUCCH</w:t>
      </w:r>
      <w:r w:rsidRPr="0088027F">
        <w:rPr>
          <w:rFonts w:cs="Arial"/>
          <w:lang w:eastAsia="zh-CN"/>
        </w:rPr>
        <w:t xml:space="preserve"> is replaced by </w:t>
      </w:r>
      <w:r w:rsidRPr="0088027F">
        <w:rPr>
          <w:i/>
        </w:rPr>
        <w:t>harq-ACK-SpatialBundlingPUSCH</w:t>
      </w:r>
    </w:p>
    <w:p w14:paraId="6B1F1246" w14:textId="77777777" w:rsidR="008A67F3" w:rsidRPr="0088027F" w:rsidRDefault="008A67F3" w:rsidP="008A67F3">
      <w:pPr>
        <w:pStyle w:val="B1"/>
        <w:rPr>
          <w:lang w:val="en-US"/>
        </w:rPr>
      </w:pPr>
      <w:bookmarkStart w:id="468" w:name="_Hlk97475979"/>
      <w:r w:rsidRPr="0088027F">
        <w:t>-</w:t>
      </w:r>
      <w:r w:rsidRPr="0088027F">
        <w:tab/>
      </w:r>
      <w:r w:rsidRPr="0088027F">
        <w:rPr>
          <w:lang w:val="en-US"/>
        </w:rPr>
        <w:t>for the</w:t>
      </w:r>
      <w:r w:rsidRPr="0088027F">
        <w:t xml:space="preserve"> first set </w:t>
      </w:r>
      <m:oMath>
        <m:sSub>
          <m:sSubPr>
            <m:ctrlPr>
              <w:rPr>
                <w:rFonts w:ascii="Cambria Math" w:hAnsi="Cambria Math"/>
                <w:i/>
              </w:rPr>
            </m:ctrlPr>
          </m:sSubPr>
          <m:e>
            <m:r>
              <w:rPr>
                <w:rFonts w:ascii="Cambria Math" w:hAnsi="Cambria Math"/>
              </w:rPr>
              <m:t>S</m:t>
            </m:r>
          </m:e>
          <m:sub>
            <m:r>
              <m:rPr>
                <m:nor/>
              </m:rPr>
              <m:t>U</m:t>
            </m:r>
            <m:ctrlPr>
              <w:rPr>
                <w:rFonts w:ascii="Cambria Math" w:hAnsi="Cambria Math"/>
              </w:rPr>
            </m:ctrlPr>
          </m:sub>
        </m:sSub>
      </m:oMath>
      <w:r w:rsidRPr="0088027F">
        <w:t xml:space="preserve"> of </w:t>
      </w:r>
      <m:oMath>
        <m:sSubSup>
          <m:sSubSupPr>
            <m:ctrlPr>
              <w:rPr>
                <w:rFonts w:ascii="Cambria Math" w:hAnsi="Cambria Math"/>
                <w:i/>
              </w:rPr>
            </m:ctrlPr>
          </m:sSubSupPr>
          <m:e>
            <m:r>
              <w:rPr>
                <w:rFonts w:ascii="Cambria Math"/>
              </w:rPr>
              <m:t>N</m:t>
            </m:r>
          </m:e>
          <m:sub>
            <m:r>
              <m:rPr>
                <m:nor/>
              </m:rPr>
              <w:rPr>
                <w:rFonts w:ascii="Cambria Math"/>
              </w:rPr>
              <m:t>cells</m:t>
            </m:r>
            <m:ctrlPr>
              <w:rPr>
                <w:rFonts w:ascii="Cambria Math" w:hAnsi="Cambria Math"/>
              </w:rPr>
            </m:ctrlPr>
          </m:sub>
          <m:sup>
            <m:r>
              <m:rPr>
                <m:nor/>
              </m:rPr>
              <w:rPr>
                <w:rFonts w:ascii="Cambria Math"/>
              </w:rPr>
              <m:t>DL,U</m:t>
            </m:r>
            <m:ctrlPr>
              <w:rPr>
                <w:rFonts w:ascii="Cambria Math" w:hAnsi="Cambria Math"/>
              </w:rPr>
            </m:ctrlPr>
          </m:sup>
        </m:sSubSup>
      </m:oMath>
      <w:r w:rsidRPr="0088027F">
        <w:t xml:space="preserve"> serving cells if </w:t>
      </w:r>
      <w:r w:rsidRPr="0088027F">
        <w:rPr>
          <w:lang w:eastAsia="zh-CN"/>
        </w:rPr>
        <w:t xml:space="preserve">a value </w:t>
      </w:r>
      <m:oMath>
        <m:sSubSup>
          <m:sSubSupPr>
            <m:ctrlPr>
              <w:rPr>
                <w:rFonts w:ascii="Cambria Math" w:hAnsi="Cambria Math"/>
              </w:rPr>
            </m:ctrlPr>
          </m:sSubSupPr>
          <m:e>
            <m:r>
              <w:rPr>
                <w:rFonts w:ascii="Cambria Math" w:hAnsi="Cambria Math"/>
              </w:rPr>
              <m:t>V</m:t>
            </m:r>
          </m:e>
          <m:sub>
            <m:r>
              <m:rPr>
                <m:nor/>
              </m:rPr>
              <w:rPr>
                <w:rFonts w:ascii="Cambria Math"/>
                <w:lang w:val="en-US"/>
              </w:rPr>
              <m:t>T-DAI</m:t>
            </m:r>
          </m:sub>
          <m:sup>
            <m:r>
              <m:rPr>
                <m:nor/>
              </m:rPr>
              <w:rPr>
                <w:rFonts w:ascii="Cambria Math"/>
                <w:lang w:val="en-US"/>
              </w:rPr>
              <m:t>UL,U</m:t>
            </m:r>
          </m:sup>
        </m:sSubSup>
      </m:oMath>
      <w:r w:rsidRPr="0088027F">
        <w:rPr>
          <w:lang w:val="en-US"/>
        </w:rPr>
        <w:t xml:space="preserve"> </w:t>
      </w:r>
      <w:r w:rsidRPr="0088027F">
        <w:rPr>
          <w:lang w:eastAsia="zh-CN"/>
        </w:rPr>
        <w:t xml:space="preserve">of the DAI field </w:t>
      </w:r>
      <w:r w:rsidRPr="0088027F">
        <w:rPr>
          <w:lang w:val="en-US" w:eastAsia="zh-CN"/>
        </w:rPr>
        <w:t xml:space="preserve">associated with unicast HARQ-ACK information is </w:t>
      </w:r>
      <m:oMath>
        <m:sSubSup>
          <m:sSubSupPr>
            <m:ctrlPr>
              <w:rPr>
                <w:rFonts w:ascii="Cambria Math" w:hAnsi="Cambria Math"/>
              </w:rPr>
            </m:ctrlPr>
          </m:sSubSupPr>
          <m:e>
            <m:r>
              <w:rPr>
                <w:rFonts w:ascii="Cambria Math" w:hAnsi="Cambria Math"/>
              </w:rPr>
              <m:t>V</m:t>
            </m:r>
          </m:e>
          <m:sub>
            <m:r>
              <m:rPr>
                <m:nor/>
              </m:rPr>
              <w:rPr>
                <w:rFonts w:ascii="Cambria Math"/>
                <w:lang w:val="en-US"/>
              </w:rPr>
              <m:t>T-DAI</m:t>
            </m:r>
          </m:sub>
          <m:sup>
            <m:r>
              <m:rPr>
                <m:nor/>
              </m:rPr>
              <w:rPr>
                <w:rFonts w:ascii="Cambria Math"/>
                <w:lang w:val="en-US"/>
              </w:rPr>
              <m:t>UL,U</m:t>
            </m:r>
          </m:sup>
        </m:sSubSup>
        <m:r>
          <w:rPr>
            <w:rFonts w:ascii="Cambria Math" w:hAnsi="Cambria Math"/>
          </w:rPr>
          <m:t>=1</m:t>
        </m:r>
      </m:oMath>
      <w:r w:rsidRPr="0088027F">
        <w:rPr>
          <w:lang w:val="en-US"/>
        </w:rPr>
        <w:t xml:space="preserve"> [5, TS 38.212]</w:t>
      </w:r>
    </w:p>
    <w:bookmarkEnd w:id="468"/>
    <w:p w14:paraId="220CEDA2" w14:textId="77777777" w:rsidR="008A67F3" w:rsidRPr="0088027F" w:rsidRDefault="008A67F3" w:rsidP="008A67F3">
      <w:pPr>
        <w:pStyle w:val="B1"/>
        <w:rPr>
          <w:lang w:val="en-US"/>
        </w:rPr>
      </w:pPr>
      <w:r w:rsidRPr="0088027F">
        <w:t>-</w:t>
      </w:r>
      <w:r w:rsidRPr="0088027F">
        <w:tab/>
      </w:r>
      <w:r w:rsidRPr="0088027F">
        <w:rPr>
          <w:lang w:val="en-US"/>
        </w:rPr>
        <w:t>for the</w:t>
      </w:r>
      <w:r w:rsidRPr="0088027F">
        <w:t xml:space="preserve"> </w:t>
      </w:r>
      <w:r w:rsidRPr="0088027F">
        <w:rPr>
          <w:lang w:val="en-US"/>
        </w:rPr>
        <w:t>second</w:t>
      </w:r>
      <w:r w:rsidRPr="0088027F">
        <w:t xml:space="preserve"> set </w:t>
      </w:r>
      <m:oMath>
        <m:sSub>
          <m:sSubPr>
            <m:ctrlPr>
              <w:rPr>
                <w:rFonts w:ascii="Cambria Math" w:hAnsi="Cambria Math"/>
                <w:i/>
              </w:rPr>
            </m:ctrlPr>
          </m:sSubPr>
          <m:e>
            <m:r>
              <w:rPr>
                <w:rFonts w:ascii="Cambria Math" w:hAnsi="Cambria Math"/>
              </w:rPr>
              <m:t>S</m:t>
            </m:r>
          </m:e>
          <m:sub>
            <m:r>
              <m:rPr>
                <m:nor/>
              </m:rPr>
              <w:rPr>
                <w:lang w:val="en-US"/>
              </w:rPr>
              <m:t>M</m:t>
            </m:r>
            <m:ctrlPr>
              <w:rPr>
                <w:rFonts w:ascii="Cambria Math" w:hAnsi="Cambria Math"/>
              </w:rPr>
            </m:ctrlPr>
          </m:sub>
        </m:sSub>
      </m:oMath>
      <w:r w:rsidRPr="0088027F">
        <w:t xml:space="preserve"> of </w:t>
      </w:r>
      <m:oMath>
        <m:sSubSup>
          <m:sSubSupPr>
            <m:ctrlPr>
              <w:rPr>
                <w:rFonts w:ascii="Cambria Math" w:hAnsi="Cambria Math"/>
                <w:i/>
              </w:rPr>
            </m:ctrlPr>
          </m:sSubSupPr>
          <m:e>
            <m:r>
              <w:rPr>
                <w:rFonts w:ascii="Cambria Math"/>
              </w:rPr>
              <m:t>N</m:t>
            </m:r>
          </m:e>
          <m:sub>
            <m:r>
              <m:rPr>
                <m:nor/>
              </m:rPr>
              <w:rPr>
                <w:rFonts w:ascii="Cambria Math"/>
              </w:rPr>
              <m:t>cells</m:t>
            </m:r>
            <m:ctrlPr>
              <w:rPr>
                <w:rFonts w:ascii="Cambria Math" w:hAnsi="Cambria Math"/>
              </w:rPr>
            </m:ctrlPr>
          </m:sub>
          <m:sup>
            <m:r>
              <m:rPr>
                <m:nor/>
              </m:rPr>
              <w:rPr>
                <w:rFonts w:ascii="Cambria Math"/>
              </w:rPr>
              <m:t>DL,</m:t>
            </m:r>
            <m:r>
              <m:rPr>
                <m:nor/>
              </m:rPr>
              <w:rPr>
                <w:rFonts w:ascii="Cambria Math"/>
                <w:lang w:val="en-US"/>
              </w:rPr>
              <m:t>M</m:t>
            </m:r>
            <m:ctrlPr>
              <w:rPr>
                <w:rFonts w:ascii="Cambria Math" w:hAnsi="Cambria Math"/>
              </w:rPr>
            </m:ctrlPr>
          </m:sup>
        </m:sSubSup>
      </m:oMath>
      <w:r w:rsidRPr="0088027F">
        <w:t xml:space="preserve"> serving cells if </w:t>
      </w:r>
      <w:r w:rsidRPr="0088027F">
        <w:rPr>
          <w:lang w:eastAsia="zh-CN"/>
        </w:rPr>
        <w:t xml:space="preserve">a value </w:t>
      </w:r>
      <m:oMath>
        <m:sSubSup>
          <m:sSubSupPr>
            <m:ctrlPr>
              <w:rPr>
                <w:rFonts w:ascii="Cambria Math" w:hAnsi="Cambria Math"/>
              </w:rPr>
            </m:ctrlPr>
          </m:sSubSupPr>
          <m:e>
            <m:r>
              <w:rPr>
                <w:rFonts w:ascii="Cambria Math" w:hAnsi="Cambria Math"/>
              </w:rPr>
              <m:t>V</m:t>
            </m:r>
          </m:e>
          <m:sub>
            <m:r>
              <m:rPr>
                <m:nor/>
              </m:rPr>
              <w:rPr>
                <w:rFonts w:ascii="Cambria Math"/>
                <w:lang w:val="en-US"/>
              </w:rPr>
              <m:t>T-DAI</m:t>
            </m:r>
          </m:sub>
          <m:sup>
            <m:r>
              <m:rPr>
                <m:nor/>
              </m:rPr>
              <w:rPr>
                <w:rFonts w:ascii="Cambria Math"/>
                <w:lang w:val="en-US"/>
              </w:rPr>
              <m:t>UL,M</m:t>
            </m:r>
          </m:sup>
        </m:sSubSup>
      </m:oMath>
      <w:r w:rsidRPr="0088027F">
        <w:rPr>
          <w:lang w:val="en-US"/>
        </w:rPr>
        <w:t xml:space="preserve"> </w:t>
      </w:r>
      <w:r w:rsidRPr="0088027F">
        <w:rPr>
          <w:lang w:eastAsia="zh-CN"/>
        </w:rPr>
        <w:t xml:space="preserve">of the DAI field </w:t>
      </w:r>
      <w:r w:rsidRPr="0088027F">
        <w:rPr>
          <w:lang w:val="en-US" w:eastAsia="zh-CN"/>
        </w:rPr>
        <w:t xml:space="preserve">associated with multicast HARQ-ACK information is </w:t>
      </w:r>
      <m:oMath>
        <m:sSubSup>
          <m:sSubSupPr>
            <m:ctrlPr>
              <w:rPr>
                <w:rFonts w:ascii="Cambria Math" w:hAnsi="Cambria Math"/>
              </w:rPr>
            </m:ctrlPr>
          </m:sSubSupPr>
          <m:e>
            <m:r>
              <w:rPr>
                <w:rFonts w:ascii="Cambria Math" w:hAnsi="Cambria Math"/>
              </w:rPr>
              <m:t>V</m:t>
            </m:r>
          </m:e>
          <m:sub>
            <m:r>
              <m:rPr>
                <m:nor/>
              </m:rPr>
              <w:rPr>
                <w:rFonts w:ascii="Cambria Math"/>
                <w:lang w:val="en-US"/>
              </w:rPr>
              <m:t>T-DAI</m:t>
            </m:r>
          </m:sub>
          <m:sup>
            <m:r>
              <m:rPr>
                <m:nor/>
              </m:rPr>
              <w:rPr>
                <w:rFonts w:ascii="Cambria Math"/>
                <w:lang w:val="en-US"/>
              </w:rPr>
              <m:t>UL,M</m:t>
            </m:r>
          </m:sup>
        </m:sSubSup>
        <m:r>
          <w:rPr>
            <w:rFonts w:ascii="Cambria Math" w:hAnsi="Cambria Math"/>
          </w:rPr>
          <m:t>=1</m:t>
        </m:r>
      </m:oMath>
      <w:r w:rsidRPr="0088027F">
        <w:rPr>
          <w:lang w:val="en-US"/>
        </w:rPr>
        <w:t xml:space="preserve"> [5, TS 38.212]</w:t>
      </w:r>
    </w:p>
    <w:p w14:paraId="65053066" w14:textId="43E199B4" w:rsidR="008A67F3" w:rsidRPr="0088027F" w:rsidRDefault="008A67F3" w:rsidP="008A67F3">
      <w:pPr>
        <w:rPr>
          <w:lang w:val="en-US"/>
        </w:rPr>
      </w:pPr>
      <w:r w:rsidRPr="0088027F">
        <w:rPr>
          <w:lang w:eastAsia="zh-CN"/>
        </w:rPr>
        <w:t xml:space="preserve">The UE does not generate unicast or multicast HARQ-ACK information for multiplexing in the PUSCH transmission when </w:t>
      </w:r>
      <m:oMath>
        <m:sSubSup>
          <m:sSubSupPr>
            <m:ctrlPr>
              <w:rPr>
                <w:rFonts w:ascii="Cambria Math" w:hAnsi="Cambria Math"/>
              </w:rPr>
            </m:ctrlPr>
          </m:sSubSupPr>
          <m:e>
            <m:r>
              <w:rPr>
                <w:rFonts w:ascii="Cambria Math" w:hAnsi="Cambria Math"/>
              </w:rPr>
              <m:t>V</m:t>
            </m:r>
          </m:e>
          <m:sub>
            <m:r>
              <m:rPr>
                <m:nor/>
              </m:rPr>
              <w:rPr>
                <w:rFonts w:ascii="Cambria Math"/>
                <w:lang w:val="en-US"/>
              </w:rPr>
              <m:t>T-DAI</m:t>
            </m:r>
          </m:sub>
          <m:sup>
            <m:r>
              <m:rPr>
                <m:nor/>
              </m:rPr>
              <w:rPr>
                <w:rFonts w:ascii="Cambria Math"/>
                <w:lang w:val="en-US"/>
              </w:rPr>
              <m:t>UL,U</m:t>
            </m:r>
          </m:sup>
        </m:sSubSup>
        <m:r>
          <w:rPr>
            <w:rFonts w:ascii="Cambria Math" w:hAnsi="Cambria Math"/>
          </w:rPr>
          <m:t>=0</m:t>
        </m:r>
      </m:oMath>
      <w:r w:rsidRPr="0088027F">
        <w:rPr>
          <w:rFonts w:cs="Arial"/>
          <w:lang w:eastAsia="zh-CN"/>
        </w:rPr>
        <w:t xml:space="preserve"> </w:t>
      </w:r>
      <w:r w:rsidR="00E7153C">
        <w:rPr>
          <w:rFonts w:cs="Arial"/>
          <w:lang w:eastAsia="zh-CN"/>
        </w:rPr>
        <w:t>and</w:t>
      </w:r>
      <w:r w:rsidRPr="0088027F">
        <w:rPr>
          <w:rFonts w:cs="Arial"/>
          <w:lang w:eastAsia="zh-CN"/>
        </w:rPr>
        <w:t xml:space="preserve"> </w:t>
      </w:r>
      <m:oMath>
        <m:sSubSup>
          <m:sSubSupPr>
            <m:ctrlPr>
              <w:rPr>
                <w:rFonts w:ascii="Cambria Math" w:hAnsi="Cambria Math"/>
              </w:rPr>
            </m:ctrlPr>
          </m:sSubSupPr>
          <m:e>
            <m:r>
              <w:rPr>
                <w:rFonts w:ascii="Cambria Math" w:hAnsi="Cambria Math"/>
              </w:rPr>
              <m:t>V</m:t>
            </m:r>
          </m:e>
          <m:sub>
            <m:r>
              <m:rPr>
                <m:nor/>
              </m:rPr>
              <w:rPr>
                <w:rFonts w:ascii="Cambria Math"/>
                <w:lang w:val="en-US"/>
              </w:rPr>
              <m:t>T-DAI</m:t>
            </m:r>
          </m:sub>
          <m:sup>
            <m:r>
              <m:rPr>
                <m:nor/>
              </m:rPr>
              <w:rPr>
                <w:rFonts w:ascii="Cambria Math"/>
                <w:lang w:val="en-US"/>
              </w:rPr>
              <m:t>UL,M</m:t>
            </m:r>
          </m:sup>
        </m:sSubSup>
        <m:r>
          <w:rPr>
            <w:rFonts w:ascii="Cambria Math" w:hAnsi="Cambria Math"/>
          </w:rPr>
          <m:t>=0</m:t>
        </m:r>
      </m:oMath>
      <w:r w:rsidRPr="0088027F">
        <w:rPr>
          <w:rFonts w:cs="Arial"/>
        </w:rPr>
        <w:t xml:space="preserve">, </w:t>
      </w:r>
      <w:r w:rsidRPr="0088027F">
        <w:rPr>
          <w:lang w:val="en-US"/>
        </w:rPr>
        <w:t xml:space="preserve">unless the UE receives </w:t>
      </w:r>
      <w:r w:rsidR="00E7153C">
        <w:rPr>
          <w:lang w:val="en-US"/>
        </w:rPr>
        <w:t>only one of</w:t>
      </w:r>
      <w:r w:rsidR="00E7153C" w:rsidRPr="0088027F">
        <w:rPr>
          <w:lang w:val="en-US"/>
        </w:rPr>
        <w:t xml:space="preserve"> </w:t>
      </w:r>
    </w:p>
    <w:p w14:paraId="131E9D03" w14:textId="272B8F59" w:rsidR="008A67F3" w:rsidRPr="0088027F" w:rsidRDefault="008A67F3" w:rsidP="008A67F3">
      <w:pPr>
        <w:pStyle w:val="B1"/>
      </w:pPr>
      <w:r w:rsidRPr="0088027F">
        <w:t>-</w:t>
      </w:r>
      <w:r w:rsidRPr="0088027F">
        <w:tab/>
      </w:r>
      <w:r w:rsidR="00E7153C">
        <w:rPr>
          <w:lang w:val="en-US"/>
        </w:rPr>
        <w:t>either</w:t>
      </w:r>
      <w:r w:rsidRPr="0088027F">
        <w:rPr>
          <w:lang w:val="en-US"/>
        </w:rPr>
        <w:t xml:space="preserve"> a </w:t>
      </w:r>
      <w:r w:rsidRPr="0088027F">
        <w:rPr>
          <w:lang w:eastAsia="zh-CN"/>
        </w:rPr>
        <w:t xml:space="preserve">unicast </w:t>
      </w:r>
      <w:r w:rsidR="00E7153C" w:rsidRPr="00787AD4">
        <w:rPr>
          <w:rFonts w:hint="eastAsia"/>
          <w:lang w:eastAsia="zh-CN"/>
        </w:rPr>
        <w:t>SPS PDSCH release</w:t>
      </w:r>
      <w:r w:rsidR="00E7153C" w:rsidRPr="00787AD4">
        <w:rPr>
          <w:lang w:eastAsia="zh-CN"/>
        </w:rPr>
        <w:t xml:space="preserve"> </w:t>
      </w:r>
      <w:r w:rsidR="00E7153C" w:rsidRPr="0022739D">
        <w:rPr>
          <w:lang w:eastAsia="zh-CN"/>
        </w:rPr>
        <w:t>indicated by DCI format 1_0</w:t>
      </w:r>
      <w:r w:rsidR="00E7153C">
        <w:rPr>
          <w:lang w:eastAsia="zh-CN"/>
        </w:rPr>
        <w:t xml:space="preserve">, </w:t>
      </w:r>
      <w:r w:rsidRPr="0088027F">
        <w:rPr>
          <w:lang w:eastAsia="zh-CN"/>
        </w:rPr>
        <w:t xml:space="preserve">or </w:t>
      </w:r>
      <w:r w:rsidRPr="0088027F">
        <w:rPr>
          <w:lang w:val="en-US" w:eastAsia="zh-CN"/>
        </w:rPr>
        <w:t xml:space="preserve">a </w:t>
      </w:r>
      <w:r w:rsidRPr="0088027F">
        <w:rPr>
          <w:lang w:eastAsia="zh-CN"/>
        </w:rPr>
        <w:t xml:space="preserve">multicast </w:t>
      </w:r>
      <w:r w:rsidRPr="0088027F">
        <w:rPr>
          <w:rFonts w:hint="eastAsia"/>
          <w:lang w:eastAsia="zh-CN"/>
        </w:rPr>
        <w:t>SPS PDSCH release</w:t>
      </w:r>
      <w:r w:rsidR="00E7153C">
        <w:rPr>
          <w:lang w:val="en-GB" w:eastAsia="zh-CN"/>
        </w:rPr>
        <w:t xml:space="preserve"> </w:t>
      </w:r>
      <w:r w:rsidR="00E7153C">
        <w:rPr>
          <w:lang w:val="en-US" w:eastAsia="zh-CN"/>
        </w:rPr>
        <w:t xml:space="preserve">indicated </w:t>
      </w:r>
      <w:r w:rsidR="00E7153C" w:rsidRPr="0022739D">
        <w:rPr>
          <w:lang w:val="en-US" w:eastAsia="zh-CN"/>
        </w:rPr>
        <w:t>by DCI format 4_1</w:t>
      </w:r>
      <w:r w:rsidR="00E7153C" w:rsidRPr="0022739D">
        <w:rPr>
          <w:lang w:eastAsia="zh-CN"/>
        </w:rPr>
        <w:t xml:space="preserve">, with </w:t>
      </w:r>
      <w:r w:rsidR="00E7153C" w:rsidRPr="0022739D">
        <w:rPr>
          <w:lang w:val="en-US" w:eastAsia="zh-CN"/>
        </w:rPr>
        <w:t xml:space="preserve">counter </w:t>
      </w:r>
      <w:r w:rsidR="00E7153C" w:rsidRPr="0022739D">
        <w:rPr>
          <w:lang w:eastAsia="zh-CN"/>
        </w:rPr>
        <w:t>DAI</w:t>
      </w:r>
      <w:r w:rsidR="00E7153C" w:rsidRPr="0022739D">
        <w:rPr>
          <w:lang w:val="en-US" w:eastAsia="zh-CN"/>
        </w:rPr>
        <w:t xml:space="preserve"> field value of 1</w:t>
      </w:r>
      <w:r w:rsidRPr="0088027F">
        <w:rPr>
          <w:lang w:eastAsia="zh-CN"/>
        </w:rPr>
        <w:t xml:space="preserve">, </w:t>
      </w:r>
      <w:r w:rsidRPr="0088027F">
        <w:t xml:space="preserve">or </w:t>
      </w:r>
    </w:p>
    <w:p w14:paraId="187A3B68" w14:textId="4D270423" w:rsidR="008A67F3" w:rsidRPr="0088027F" w:rsidRDefault="008A67F3" w:rsidP="008A67F3">
      <w:pPr>
        <w:pStyle w:val="B1"/>
      </w:pPr>
      <w:r w:rsidRPr="0088027F">
        <w:t>-</w:t>
      </w:r>
      <w:r w:rsidRPr="0088027F">
        <w:tab/>
        <w:t xml:space="preserve">unicast </w:t>
      </w:r>
      <w:r w:rsidRPr="0088027F">
        <w:rPr>
          <w:lang w:val="en-US"/>
        </w:rPr>
        <w:t xml:space="preserve">SPS PDSCH(s) </w:t>
      </w:r>
      <w:r w:rsidRPr="0088027F">
        <w:t>or multicast SPS PDSCH(s)</w:t>
      </w:r>
      <w:r w:rsidRPr="0088027F">
        <w:rPr>
          <w:lang w:val="en-US"/>
        </w:rPr>
        <w:t xml:space="preserve"> </w:t>
      </w:r>
      <w:r w:rsidRPr="0088027F">
        <w:rPr>
          <w:lang w:val="en-US" w:eastAsia="zh-CN"/>
        </w:rPr>
        <w:t>having enabled associated HARQ-ACK information reports</w:t>
      </w:r>
      <w:r w:rsidRPr="0088027F">
        <w:t>,</w:t>
      </w:r>
      <w:r w:rsidRPr="0088027F">
        <w:rPr>
          <w:lang w:eastAsia="zh-CN"/>
        </w:rPr>
        <w:t xml:space="preserve"> </w:t>
      </w:r>
      <w:r w:rsidRPr="0088027F">
        <w:t xml:space="preserve">or </w:t>
      </w:r>
    </w:p>
    <w:p w14:paraId="2445CAEB" w14:textId="10DB0848" w:rsidR="008A67F3" w:rsidRPr="0088027F" w:rsidRDefault="008A67F3" w:rsidP="008A67F3">
      <w:pPr>
        <w:pStyle w:val="B1"/>
        <w:rPr>
          <w:lang w:val="en-US" w:eastAsia="zh-CN"/>
        </w:rPr>
      </w:pPr>
      <w:r w:rsidRPr="0088027F">
        <w:t>-</w:t>
      </w:r>
      <w:r w:rsidRPr="0088027F">
        <w:tab/>
      </w:r>
      <w:r w:rsidR="00E7153C">
        <w:rPr>
          <w:lang w:val="en-US"/>
        </w:rPr>
        <w:t>either</w:t>
      </w:r>
      <w:r w:rsidRPr="0088027F">
        <w:t xml:space="preserve"> </w:t>
      </w:r>
      <w:r w:rsidRPr="0088027F">
        <w:rPr>
          <w:lang w:val="en-US" w:eastAsia="zh-CN"/>
        </w:rPr>
        <w:t xml:space="preserve">a PDSCH </w:t>
      </w:r>
      <w:r w:rsidR="00E7153C">
        <w:rPr>
          <w:lang w:val="en-US" w:eastAsia="zh-CN"/>
        </w:rPr>
        <w:t>providing a transport block having</w:t>
      </w:r>
      <w:r w:rsidR="00CB4690">
        <w:rPr>
          <w:lang w:val="en-US" w:eastAsia="zh-CN"/>
        </w:rPr>
        <w:t xml:space="preserve"> enabled HARQ-ACK information report </w:t>
      </w:r>
      <w:r w:rsidR="00E7153C">
        <w:rPr>
          <w:lang w:val="en-US" w:eastAsia="zh-CN"/>
        </w:rPr>
        <w:t>and</w:t>
      </w:r>
      <w:r w:rsidRPr="0088027F">
        <w:t xml:space="preserve"> </w:t>
      </w:r>
      <w:r w:rsidRPr="0088027F">
        <w:rPr>
          <w:lang w:eastAsia="zh-CN"/>
        </w:rPr>
        <w:t xml:space="preserve">scheduled </w:t>
      </w:r>
      <w:r w:rsidRPr="0088027F">
        <w:rPr>
          <w:rFonts w:hint="eastAsia"/>
          <w:lang w:eastAsia="zh-CN"/>
        </w:rPr>
        <w:t xml:space="preserve">by </w:t>
      </w:r>
      <w:r w:rsidR="00E7153C">
        <w:rPr>
          <w:lang w:val="en-US" w:eastAsia="zh-CN"/>
        </w:rPr>
        <w:t xml:space="preserve">either </w:t>
      </w:r>
      <w:r w:rsidRPr="0088027F">
        <w:rPr>
          <w:lang w:eastAsia="zh-CN"/>
        </w:rPr>
        <w:t xml:space="preserve">a </w:t>
      </w:r>
      <w:r w:rsidRPr="0088027F">
        <w:rPr>
          <w:rFonts w:hint="eastAsia"/>
          <w:lang w:eastAsia="zh-CN"/>
        </w:rPr>
        <w:t>DCI format 1_0</w:t>
      </w:r>
      <w:r w:rsidRPr="0088027F">
        <w:rPr>
          <w:lang w:val="en-US" w:eastAsia="zh-CN"/>
        </w:rPr>
        <w:t xml:space="preserve"> </w:t>
      </w:r>
      <w:r w:rsidR="00CB4690">
        <w:rPr>
          <w:lang w:val="en-US" w:eastAsia="zh-CN"/>
        </w:rPr>
        <w:t>or</w:t>
      </w:r>
      <w:r w:rsidRPr="0088027F">
        <w:rPr>
          <w:lang w:eastAsia="zh-CN"/>
        </w:rPr>
        <w:t xml:space="preserve"> a DCI format 4_1</w:t>
      </w:r>
      <w:r w:rsidR="00CB4690">
        <w:rPr>
          <w:lang w:val="en-GB" w:eastAsia="zh-CN"/>
        </w:rPr>
        <w:t xml:space="preserve"> with</w:t>
      </w:r>
      <w:r w:rsidRPr="0088027F">
        <w:rPr>
          <w:rFonts w:hint="eastAsia"/>
          <w:lang w:eastAsia="zh-CN"/>
        </w:rPr>
        <w:t xml:space="preserve"> </w:t>
      </w:r>
      <w:r w:rsidRPr="0088027F">
        <w:rPr>
          <w:rFonts w:hint="eastAsia"/>
          <w:lang w:val="en-US" w:eastAsia="zh-CN"/>
        </w:rPr>
        <w:t xml:space="preserve">counter </w:t>
      </w:r>
      <w:r w:rsidRPr="0088027F">
        <w:rPr>
          <w:rFonts w:hint="eastAsia"/>
          <w:lang w:eastAsia="zh-CN"/>
        </w:rPr>
        <w:t>DAI</w:t>
      </w:r>
      <w:r w:rsidRPr="0088027F">
        <w:rPr>
          <w:lang w:val="en-US"/>
        </w:rPr>
        <w:t xml:space="preserve"> field </w:t>
      </w:r>
      <w:r w:rsidRPr="0088027F">
        <w:rPr>
          <w:rFonts w:hint="eastAsia"/>
          <w:lang w:val="en-US" w:eastAsia="zh-CN"/>
        </w:rPr>
        <w:t>value of 1</w:t>
      </w:r>
      <w:r w:rsidR="00E7153C">
        <w:rPr>
          <w:lang w:val="en-US" w:eastAsia="zh-CN"/>
        </w:rPr>
        <w:t>,</w:t>
      </w:r>
      <w:r w:rsidRPr="0088027F">
        <w:rPr>
          <w:lang w:val="en-US" w:eastAsia="zh-CN"/>
        </w:rPr>
        <w:t xml:space="preserve"> on the PCell</w:t>
      </w:r>
      <w:r w:rsidR="00E7153C">
        <w:rPr>
          <w:lang w:val="en-US" w:eastAsia="zh-CN"/>
        </w:rPr>
        <w:t>,</w:t>
      </w:r>
      <w:r w:rsidRPr="0088027F">
        <w:rPr>
          <w:lang w:val="en-US" w:eastAsia="zh-CN"/>
        </w:rPr>
        <w:t xml:space="preserve"> </w:t>
      </w:r>
    </w:p>
    <w:p w14:paraId="24864D73" w14:textId="00BC1B62" w:rsidR="008A67F3" w:rsidRPr="0088027F" w:rsidRDefault="008A67F3" w:rsidP="008A67F3">
      <w:pPr>
        <w:rPr>
          <w:rFonts w:cs="Arial"/>
          <w:lang w:eastAsia="zh-CN"/>
        </w:rPr>
      </w:pPr>
      <w:r w:rsidRPr="0088027F">
        <w:rPr>
          <w:lang w:val="en-US" w:eastAsia="zh-CN"/>
        </w:rPr>
        <w:t xml:space="preserve">in the </w:t>
      </w:r>
      <m:oMath>
        <m:sSub>
          <m:sSubPr>
            <m:ctrlPr>
              <w:rPr>
                <w:rFonts w:ascii="Cambria Math" w:hAnsi="Cambria Math" w:cs="Arial"/>
                <w:i/>
                <w:lang w:eastAsia="zh-CN"/>
              </w:rPr>
            </m:ctrlPr>
          </m:sSubPr>
          <m:e>
            <m:r>
              <w:rPr>
                <w:rFonts w:ascii="Cambria Math" w:hAnsi="Cambria Math" w:cs="Arial"/>
                <w:lang w:eastAsia="zh-CN"/>
              </w:rPr>
              <m:t>M</m:t>
            </m:r>
          </m:e>
          <m:sub>
            <m:r>
              <w:rPr>
                <w:rFonts w:ascii="Cambria Math" w:hAnsi="Cambria Math" w:cs="Arial"/>
                <w:lang w:eastAsia="zh-CN"/>
              </w:rPr>
              <m:t>c</m:t>
            </m:r>
          </m:sub>
        </m:sSub>
      </m:oMath>
      <w:r w:rsidRPr="0088027F">
        <w:t xml:space="preserve"> occasions for candidate PDSCH receptions</w:t>
      </w:r>
      <w:r w:rsidRPr="0088027F">
        <w:rPr>
          <w:lang w:val="en-US" w:eastAsia="zh-CN"/>
        </w:rPr>
        <w:t xml:space="preserve"> in which case </w:t>
      </w:r>
      <w:r w:rsidRPr="0088027F">
        <w:t xml:space="preserve">the UE generates </w:t>
      </w:r>
      <w:r w:rsidRPr="0088027F">
        <w:rPr>
          <w:lang w:val="en-US"/>
        </w:rPr>
        <w:t xml:space="preserve">only the corresponding unicast or multicast </w:t>
      </w:r>
      <w:r w:rsidRPr="0088027F">
        <w:t>HARQ-ACK information</w:t>
      </w:r>
      <w:r w:rsidR="00E7153C">
        <w:t xml:space="preserve"> </w:t>
      </w:r>
      <w:r w:rsidR="00E7153C" w:rsidRPr="00787AD4">
        <w:rPr>
          <w:lang w:eastAsia="x-none"/>
        </w:rPr>
        <w:t xml:space="preserve">only for </w:t>
      </w:r>
      <w:r w:rsidR="00E7153C">
        <w:rPr>
          <w:lang w:eastAsia="x-none"/>
        </w:rPr>
        <w:t>t</w:t>
      </w:r>
      <w:r w:rsidR="00E7153C" w:rsidRPr="00787AD4">
        <w:rPr>
          <w:lang w:eastAsia="x-none"/>
        </w:rPr>
        <w:t>he SPS PDSCH release</w:t>
      </w:r>
      <w:r w:rsidR="00E7153C">
        <w:rPr>
          <w:lang w:eastAsia="x-none"/>
        </w:rPr>
        <w:t xml:space="preserve"> or only for </w:t>
      </w:r>
      <w:r w:rsidR="00E7153C" w:rsidRPr="00787AD4">
        <w:rPr>
          <w:lang w:eastAsia="x-none"/>
        </w:rPr>
        <w:t>the PDSCH reception</w:t>
      </w:r>
      <w:r w:rsidR="00E7153C" w:rsidRPr="00787AD4">
        <w:rPr>
          <w:lang w:val="en-US" w:eastAsia="x-none"/>
        </w:rPr>
        <w:t xml:space="preserve"> as described in clause 9.1.2</w:t>
      </w:r>
      <w:r w:rsidRPr="0088027F">
        <w:rPr>
          <w:rFonts w:cs="Arial"/>
          <w:lang w:eastAsia="zh-CN"/>
        </w:rPr>
        <w:t>.</w:t>
      </w:r>
    </w:p>
    <w:p w14:paraId="1AB9E570" w14:textId="4F55F178" w:rsidR="00693321" w:rsidRPr="00B916EC" w:rsidRDefault="00000000" w:rsidP="008A67F3">
      <w:pPr>
        <w:rPr>
          <w:lang w:eastAsia="zh-CN"/>
        </w:rPr>
      </w:pPr>
      <m:oMath>
        <m:sSubSup>
          <m:sSubSupPr>
            <m:ctrlPr>
              <w:rPr>
                <w:rFonts w:ascii="Cambria Math" w:hAnsi="Cambria Math"/>
              </w:rPr>
            </m:ctrlPr>
          </m:sSubSupPr>
          <m:e>
            <m:r>
              <w:rPr>
                <w:rFonts w:ascii="Cambria Math" w:hAnsi="Cambria Math"/>
              </w:rPr>
              <m:t>V</m:t>
            </m:r>
          </m:e>
          <m:sub>
            <m:r>
              <m:rPr>
                <m:nor/>
              </m:rPr>
              <w:rPr>
                <w:rFonts w:ascii="Cambria Math"/>
                <w:lang w:val="en-US"/>
              </w:rPr>
              <m:t>T-DAI</m:t>
            </m:r>
          </m:sub>
          <m:sup>
            <m:r>
              <m:rPr>
                <m:nor/>
              </m:rPr>
              <w:rPr>
                <w:rFonts w:ascii="Cambria Math"/>
                <w:lang w:val="en-US"/>
              </w:rPr>
              <m:t>UL,U</m:t>
            </m:r>
          </m:sup>
        </m:sSubSup>
        <m:r>
          <w:rPr>
            <w:rFonts w:ascii="Cambria Math" w:hAnsi="Cambria Math"/>
          </w:rPr>
          <m:t>=0</m:t>
        </m:r>
      </m:oMath>
      <w:r w:rsidR="008A67F3" w:rsidRPr="0088027F">
        <w:t xml:space="preserve"> if the </w:t>
      </w:r>
      <w:r w:rsidR="008A67F3" w:rsidRPr="0088027F">
        <w:rPr>
          <w:lang w:val="en-US"/>
        </w:rPr>
        <w:t xml:space="preserve">corresponding value of the </w:t>
      </w:r>
      <w:r w:rsidR="008A67F3" w:rsidRPr="0088027F">
        <w:rPr>
          <w:lang w:eastAsia="zh-CN"/>
        </w:rPr>
        <w:t xml:space="preserve">DAI field is set to '0'; otherwise, </w:t>
      </w:r>
      <m:oMath>
        <m:sSubSup>
          <m:sSubSupPr>
            <m:ctrlPr>
              <w:rPr>
                <w:rFonts w:ascii="Cambria Math" w:hAnsi="Cambria Math"/>
              </w:rPr>
            </m:ctrlPr>
          </m:sSubSupPr>
          <m:e>
            <m:r>
              <w:rPr>
                <w:rFonts w:ascii="Cambria Math" w:hAnsi="Cambria Math"/>
              </w:rPr>
              <m:t>V</m:t>
            </m:r>
          </m:e>
          <m:sub>
            <m:r>
              <m:rPr>
                <m:nor/>
              </m:rPr>
              <w:rPr>
                <w:rFonts w:ascii="Cambria Math"/>
                <w:lang w:val="en-US"/>
              </w:rPr>
              <m:t>T-DAI</m:t>
            </m:r>
          </m:sub>
          <m:sup>
            <m:r>
              <m:rPr>
                <m:nor/>
              </m:rPr>
              <w:rPr>
                <w:rFonts w:ascii="Cambria Math"/>
                <w:lang w:val="en-US"/>
              </w:rPr>
              <m:t>UL,U</m:t>
            </m:r>
          </m:sup>
        </m:sSubSup>
        <m:r>
          <w:rPr>
            <w:rFonts w:ascii="Cambria Math" w:hAnsi="Cambria Math"/>
          </w:rPr>
          <m:t>=1</m:t>
        </m:r>
      </m:oMath>
      <w:r w:rsidR="008A67F3" w:rsidRPr="0088027F">
        <w:t>.</w:t>
      </w:r>
      <w:r w:rsidR="008A67F3" w:rsidRPr="0088027F">
        <w:rPr>
          <w:lang w:val="en-US"/>
        </w:rPr>
        <w:t xml:space="preserve"> </w:t>
      </w:r>
      <m:oMath>
        <m:sSubSup>
          <m:sSubSupPr>
            <m:ctrlPr>
              <w:rPr>
                <w:rFonts w:ascii="Cambria Math" w:hAnsi="Cambria Math"/>
              </w:rPr>
            </m:ctrlPr>
          </m:sSubSupPr>
          <m:e>
            <m:r>
              <w:rPr>
                <w:rFonts w:ascii="Cambria Math" w:hAnsi="Cambria Math"/>
              </w:rPr>
              <m:t>V</m:t>
            </m:r>
          </m:e>
          <m:sub>
            <m:r>
              <m:rPr>
                <m:nor/>
              </m:rPr>
              <w:rPr>
                <w:rFonts w:ascii="Cambria Math"/>
                <w:lang w:val="en-US"/>
              </w:rPr>
              <m:t>T-DAI</m:t>
            </m:r>
          </m:sub>
          <m:sup>
            <m:r>
              <m:rPr>
                <m:nor/>
              </m:rPr>
              <w:rPr>
                <w:rFonts w:ascii="Cambria Math"/>
                <w:lang w:val="en-US"/>
              </w:rPr>
              <m:t>UL,M</m:t>
            </m:r>
          </m:sup>
        </m:sSubSup>
        <m:r>
          <w:rPr>
            <w:rFonts w:ascii="Cambria Math" w:hAnsi="Cambria Math"/>
          </w:rPr>
          <m:t>=0</m:t>
        </m:r>
      </m:oMath>
      <w:r w:rsidR="008A67F3" w:rsidRPr="0088027F">
        <w:t xml:space="preserve"> if the </w:t>
      </w:r>
      <w:r w:rsidR="008A67F3" w:rsidRPr="0088027F">
        <w:rPr>
          <w:lang w:val="en-US"/>
        </w:rPr>
        <w:t xml:space="preserve">corresponding value of the </w:t>
      </w:r>
      <w:r w:rsidR="008A67F3" w:rsidRPr="0088027F">
        <w:rPr>
          <w:lang w:eastAsia="zh-CN"/>
        </w:rPr>
        <w:t xml:space="preserve">DAI field is set to '0'; otherwise, </w:t>
      </w:r>
      <m:oMath>
        <m:sSubSup>
          <m:sSubSupPr>
            <m:ctrlPr>
              <w:rPr>
                <w:rFonts w:ascii="Cambria Math" w:hAnsi="Cambria Math"/>
              </w:rPr>
            </m:ctrlPr>
          </m:sSubSupPr>
          <m:e>
            <m:r>
              <w:rPr>
                <w:rFonts w:ascii="Cambria Math" w:hAnsi="Cambria Math"/>
              </w:rPr>
              <m:t>V</m:t>
            </m:r>
          </m:e>
          <m:sub>
            <m:r>
              <m:rPr>
                <m:nor/>
              </m:rPr>
              <w:rPr>
                <w:rFonts w:ascii="Cambria Math"/>
                <w:lang w:val="en-US"/>
              </w:rPr>
              <m:t>T-DAI</m:t>
            </m:r>
          </m:sub>
          <m:sup>
            <m:r>
              <m:rPr>
                <m:nor/>
              </m:rPr>
              <w:rPr>
                <w:rFonts w:ascii="Cambria Math"/>
                <w:lang w:val="en-US"/>
              </w:rPr>
              <m:t>UL,M</m:t>
            </m:r>
          </m:sup>
        </m:sSubSup>
        <m:r>
          <w:rPr>
            <w:rFonts w:ascii="Cambria Math" w:hAnsi="Cambria Math"/>
          </w:rPr>
          <m:t>=1</m:t>
        </m:r>
      </m:oMath>
      <w:r w:rsidR="008A67F3" w:rsidRPr="0088027F">
        <w:rPr>
          <w:lang w:val="en-US"/>
        </w:rPr>
        <w:t xml:space="preserve"> [5, TS 38.212].</w:t>
      </w:r>
    </w:p>
    <w:p w14:paraId="68A3B0D5" w14:textId="77777777" w:rsidR="005D1608" w:rsidRDefault="00F37E87" w:rsidP="00F37E87">
      <w:pPr>
        <w:pStyle w:val="Heading3"/>
        <w:rPr>
          <w:szCs w:val="32"/>
        </w:rPr>
      </w:pPr>
      <w:bookmarkStart w:id="469" w:name="_Ref497329141"/>
      <w:bookmarkStart w:id="470" w:name="_Toc12021472"/>
      <w:bookmarkStart w:id="471" w:name="_Toc20311584"/>
      <w:bookmarkStart w:id="472" w:name="_Toc26719409"/>
      <w:bookmarkStart w:id="473" w:name="_Toc29894842"/>
      <w:bookmarkStart w:id="474" w:name="_Toc29899141"/>
      <w:bookmarkStart w:id="475" w:name="_Toc29899559"/>
      <w:bookmarkStart w:id="476" w:name="_Toc29917296"/>
      <w:bookmarkStart w:id="477" w:name="_Toc36498170"/>
      <w:bookmarkStart w:id="478" w:name="_Toc45699196"/>
      <w:bookmarkStart w:id="479" w:name="_Toc161999122"/>
      <w:r w:rsidRPr="00B916EC">
        <w:t>9.1.3</w:t>
      </w:r>
      <w:r w:rsidRPr="00B916EC">
        <w:tab/>
      </w:r>
      <w:r w:rsidRPr="00B916EC">
        <w:rPr>
          <w:szCs w:val="32"/>
        </w:rPr>
        <w:t>Type-2 HARQ-ACK codebook</w:t>
      </w:r>
      <w:r w:rsidRPr="00B916EC">
        <w:rPr>
          <w:rFonts w:hint="eastAsia"/>
          <w:szCs w:val="32"/>
        </w:rPr>
        <w:t xml:space="preserve"> </w:t>
      </w:r>
      <w:r w:rsidRPr="00B916EC">
        <w:rPr>
          <w:szCs w:val="32"/>
        </w:rPr>
        <w:t>determination</w:t>
      </w:r>
      <w:bookmarkEnd w:id="469"/>
      <w:bookmarkEnd w:id="470"/>
      <w:bookmarkEnd w:id="471"/>
      <w:bookmarkEnd w:id="472"/>
      <w:bookmarkEnd w:id="473"/>
      <w:bookmarkEnd w:id="474"/>
      <w:bookmarkEnd w:id="475"/>
      <w:bookmarkEnd w:id="476"/>
      <w:bookmarkEnd w:id="477"/>
      <w:bookmarkEnd w:id="478"/>
      <w:bookmarkEnd w:id="479"/>
      <w:r w:rsidRPr="00B916EC">
        <w:rPr>
          <w:szCs w:val="32"/>
        </w:rPr>
        <w:t xml:space="preserve"> </w:t>
      </w:r>
    </w:p>
    <w:p w14:paraId="2AC60695" w14:textId="4CE4BD98" w:rsidR="00B93BCA" w:rsidRPr="00C06B59" w:rsidRDefault="000B36B8" w:rsidP="00B93BCA">
      <w:pPr>
        <w:rPr>
          <w:lang w:eastAsia="zh-CN"/>
        </w:rPr>
      </w:pPr>
      <w:r>
        <w:rPr>
          <w:lang w:val="en-US" w:eastAsia="zh-CN"/>
        </w:rPr>
        <w:t xml:space="preserve">This </w:t>
      </w:r>
      <w:r w:rsidR="00EE236C">
        <w:rPr>
          <w:lang w:val="en-US" w:eastAsia="zh-CN"/>
        </w:rPr>
        <w:t>clause</w:t>
      </w:r>
      <w:r>
        <w:rPr>
          <w:lang w:val="en-US" w:eastAsia="zh-CN"/>
        </w:rPr>
        <w:t xml:space="preserve"> applies if the UE is configured with </w:t>
      </w:r>
      <w:r w:rsidR="00CD5BA3" w:rsidRPr="00221BBC">
        <w:rPr>
          <w:i/>
          <w:lang w:val="en-US" w:eastAsia="zh-CN"/>
        </w:rPr>
        <w:t>pdsch-</w:t>
      </w:r>
      <w:r w:rsidR="00CD5BA3">
        <w:rPr>
          <w:rFonts w:cs="Arial"/>
          <w:i/>
          <w:lang w:eastAsia="zh-CN"/>
        </w:rPr>
        <w:t xml:space="preserve">HARQ-ACK-Codebook </w:t>
      </w:r>
      <w:r>
        <w:rPr>
          <w:rFonts w:cs="Arial"/>
          <w:i/>
          <w:lang w:eastAsia="zh-CN"/>
        </w:rPr>
        <w:t>=</w:t>
      </w:r>
      <w:r w:rsidR="00CD5BA3">
        <w:rPr>
          <w:rFonts w:cs="Arial"/>
          <w:i/>
          <w:lang w:eastAsia="zh-CN"/>
        </w:rPr>
        <w:t xml:space="preserve"> </w:t>
      </w:r>
      <w:r>
        <w:rPr>
          <w:rFonts w:cs="Arial"/>
          <w:i/>
          <w:lang w:eastAsia="zh-CN"/>
        </w:rPr>
        <w:t>dynam</w:t>
      </w:r>
      <w:r w:rsidRPr="00B916EC">
        <w:rPr>
          <w:rFonts w:cs="Arial"/>
          <w:i/>
          <w:lang w:eastAsia="zh-CN"/>
        </w:rPr>
        <w:t>ic</w:t>
      </w:r>
      <w:r w:rsidR="008C3F0C">
        <w:rPr>
          <w:rFonts w:cs="Arial"/>
          <w:lang w:eastAsia="zh-CN"/>
        </w:rPr>
        <w:t xml:space="preserve"> or with </w:t>
      </w:r>
      <w:r w:rsidR="008C3F0C" w:rsidRPr="00221BBC">
        <w:rPr>
          <w:i/>
          <w:lang w:val="en-US" w:eastAsia="zh-CN"/>
        </w:rPr>
        <w:t>pdsch-</w:t>
      </w:r>
      <w:r w:rsidR="008C3F0C">
        <w:rPr>
          <w:rFonts w:cs="Arial"/>
          <w:i/>
          <w:lang w:eastAsia="zh-CN"/>
        </w:rPr>
        <w:t>HARQ-ACK-Codebook</w:t>
      </w:r>
      <w:r w:rsidR="008C3F0C" w:rsidRPr="00990A42">
        <w:rPr>
          <w:i/>
          <w:iCs/>
        </w:rPr>
        <w:t>-r16</w:t>
      </w:r>
      <w:r w:rsidR="008C3F0C" w:rsidRPr="002001B9">
        <w:rPr>
          <w:rFonts w:cs="Arial"/>
          <w:lang w:eastAsia="zh-CN"/>
        </w:rPr>
        <w:t>.</w:t>
      </w:r>
      <w:r w:rsidR="008C3F0C">
        <w:rPr>
          <w:rFonts w:cs="Arial"/>
          <w:lang w:eastAsia="zh-CN"/>
        </w:rPr>
        <w:t xml:space="preserve"> Unless stated otherwise, a </w:t>
      </w:r>
      <w:r w:rsidR="008C3F0C" w:rsidRPr="00990A42">
        <w:rPr>
          <w:lang w:eastAsia="zh-CN"/>
        </w:rPr>
        <w:t>PDSCH-to-HARQ_feedba</w:t>
      </w:r>
      <w:r w:rsidR="008C3F0C">
        <w:rPr>
          <w:lang w:eastAsia="zh-CN"/>
        </w:rPr>
        <w:t>ck timing indicator field provides an applicable value.</w:t>
      </w:r>
      <w:r w:rsidR="00B93BCA" w:rsidRPr="00B93BCA">
        <w:rPr>
          <w:lang w:eastAsia="zh-CN"/>
        </w:rPr>
        <w:t xml:space="preserve"> </w:t>
      </w:r>
      <w:r w:rsidR="00B56C83" w:rsidRPr="00477F64">
        <w:t>In clauses 9.1.3, 9.1.3.1, 9.1.3.2 and 9.1.3.3</w:t>
      </w:r>
      <w:r w:rsidR="00B56C83">
        <w:rPr>
          <w:rFonts w:hint="eastAsia"/>
          <w:lang w:eastAsia="zh-CN"/>
        </w:rPr>
        <w:t>,</w:t>
      </w:r>
      <w:r w:rsidR="00B56C83">
        <w:t xml:space="preserve"> i</w:t>
      </w:r>
      <w:r w:rsidR="00B56C83" w:rsidRPr="000F7147">
        <w:rPr>
          <w:rFonts w:hint="eastAsia"/>
        </w:rPr>
        <w:t xml:space="preserve">f the UE is provided </w:t>
      </w:r>
      <w:r w:rsidR="00B56C83">
        <w:t xml:space="preserve">for only one of </w:t>
      </w:r>
      <w:r w:rsidR="00B56C83" w:rsidRPr="000F7147">
        <w:rPr>
          <w:i/>
        </w:rPr>
        <w:t>pdsch-</w:t>
      </w:r>
      <w:r w:rsidR="00B56C83" w:rsidRPr="000F7147">
        <w:rPr>
          <w:rFonts w:cs="Arial"/>
          <w:i/>
        </w:rPr>
        <w:t xml:space="preserve">HARQ-ACK-Codebook = </w:t>
      </w:r>
      <w:r w:rsidR="00B56C83" w:rsidRPr="000F7147">
        <w:rPr>
          <w:rFonts w:cs="Arial" w:hint="eastAsia"/>
          <w:i/>
        </w:rPr>
        <w:t>dynamic</w:t>
      </w:r>
      <w:r w:rsidR="00B56C83" w:rsidRPr="000F7147">
        <w:rPr>
          <w:rFonts w:cs="Arial"/>
        </w:rPr>
        <w:t xml:space="preserve"> </w:t>
      </w:r>
      <w:r w:rsidR="00B56C83" w:rsidRPr="000F7147">
        <w:rPr>
          <w:rFonts w:cs="Arial" w:hint="eastAsia"/>
        </w:rPr>
        <w:t xml:space="preserve">or </w:t>
      </w:r>
      <w:r w:rsidR="00B56C83" w:rsidRPr="000505C1">
        <w:rPr>
          <w:i/>
        </w:rPr>
        <w:t>pdsch-</w:t>
      </w:r>
      <w:r w:rsidR="00B56C83" w:rsidRPr="000505C1">
        <w:rPr>
          <w:rFonts w:cs="Arial"/>
          <w:i/>
        </w:rPr>
        <w:t>HARQ-ACK-Codebook</w:t>
      </w:r>
      <w:r w:rsidR="00B56C83" w:rsidRPr="000505C1">
        <w:rPr>
          <w:i/>
          <w:iCs/>
        </w:rPr>
        <w:t>-r16</w:t>
      </w:r>
      <w:r w:rsidR="00B56C83" w:rsidRPr="00C8446D">
        <w:rPr>
          <w:rFonts w:cs="Arial" w:hint="eastAsia"/>
        </w:rPr>
        <w:t xml:space="preserve"> for </w:t>
      </w:r>
      <w:r w:rsidR="00B56C83" w:rsidRPr="00C8446D">
        <w:rPr>
          <w:rFonts w:cs="Arial"/>
        </w:rPr>
        <w:t xml:space="preserve">unicast </w:t>
      </w:r>
      <w:r w:rsidR="00B56C83" w:rsidRPr="00C8446D">
        <w:rPr>
          <w:rFonts w:cs="Arial" w:hint="eastAsia"/>
        </w:rPr>
        <w:t xml:space="preserve">HARQ-ACK-ACK codebook, </w:t>
      </w:r>
      <w:r w:rsidR="00B56C83" w:rsidRPr="00C8446D">
        <w:rPr>
          <w:rFonts w:cs="Arial"/>
        </w:rPr>
        <w:t>or</w:t>
      </w:r>
      <w:r w:rsidR="00B56C83" w:rsidRPr="00C8446D">
        <w:rPr>
          <w:rFonts w:cs="Arial" w:hint="eastAsia"/>
        </w:rPr>
        <w:t xml:space="preserve"> </w:t>
      </w:r>
      <w:r w:rsidR="00B56C83" w:rsidRPr="000F7147">
        <w:rPr>
          <w:i/>
        </w:rPr>
        <w:t>pdsch-</w:t>
      </w:r>
      <w:r w:rsidR="00B56C83" w:rsidRPr="000F7147">
        <w:rPr>
          <w:rFonts w:cs="Arial"/>
          <w:i/>
        </w:rPr>
        <w:t>HARQ-ACK-Codebook = dynamic</w:t>
      </w:r>
      <w:r w:rsidR="00B56C83" w:rsidRPr="000F7147">
        <w:rPr>
          <w:rFonts w:cs="Arial"/>
        </w:rPr>
        <w:t xml:space="preserve"> for multicast HARQ-ACK codebook, the Type-2 HARQ-ACK codebook is generated considering only one of respective unicast or multicast configurations for PDSCH receptions or for PDCCH monitoring for detection of DCI formats.</w:t>
      </w:r>
    </w:p>
    <w:p w14:paraId="6AC3CF97" w14:textId="09F7517B" w:rsidR="008C3F0C" w:rsidRDefault="00B93BCA" w:rsidP="00B93BCA">
      <w:pPr>
        <w:rPr>
          <w:rFonts w:cs="Arial"/>
          <w:lang w:eastAsia="zh-CN"/>
        </w:rPr>
      </w:pPr>
      <w:r w:rsidRPr="00C06B59">
        <w:rPr>
          <w:lang w:eastAsia="zh-CN"/>
        </w:rPr>
        <w:t>A UE does not expect to multiplex in a Type-2 HARQ-ACK codebook HARQ-ACK information that is in response to a detection of a DCI format that does not include a counter DAI field.</w:t>
      </w:r>
    </w:p>
    <w:p w14:paraId="48B08107" w14:textId="2CD6237C" w:rsidR="00F73843" w:rsidRDefault="00F73843" w:rsidP="00F73843">
      <w:r>
        <w:t xml:space="preserve">If a UE is provided </w:t>
      </w:r>
      <w:r w:rsidR="00B816A6" w:rsidRPr="006D3267">
        <w:rPr>
          <w:i/>
          <w:iCs/>
        </w:rPr>
        <w:t>downlinkHARQ-FeedbackDisabled</w:t>
      </w:r>
      <w:r>
        <w:t xml:space="preserve"> indicating disabled HARQ-ACK information for a HARQ process associated with a transport block </w:t>
      </w:r>
      <w:r w:rsidR="008A67F3" w:rsidRPr="0088027F">
        <w:t>for PDCCH monitoring</w:t>
      </w:r>
      <w:r w:rsidRPr="00B916EC">
        <w:rPr>
          <w:lang w:eastAsia="zh-CN"/>
        </w:rPr>
        <w:t xml:space="preserve"> occasion</w:t>
      </w:r>
      <w:r w:rsidRPr="00B916EC">
        <w:rPr>
          <w:rFonts w:hint="eastAsia"/>
          <w:lang w:val="en-US" w:eastAsia="zh-CN"/>
        </w:rPr>
        <w:t xml:space="preserve"> </w:t>
      </w:r>
      <m:oMath>
        <m:r>
          <w:rPr>
            <w:rFonts w:ascii="Cambria Math" w:hAnsi="Cambria Math"/>
            <w:lang w:val="en-US" w:eastAsia="zh-CN"/>
          </w:rPr>
          <m:t>m</m:t>
        </m:r>
      </m:oMath>
      <w:r>
        <w:rPr>
          <w:lang w:val="en-US"/>
        </w:rPr>
        <w:t xml:space="preserve"> </w:t>
      </w:r>
      <w:r w:rsidR="008A67F3" w:rsidRPr="0088027F">
        <w:t>or for SPS PDSCH receptions</w:t>
      </w:r>
      <w:r w:rsidR="008A67F3" w:rsidRPr="0088027F">
        <w:rPr>
          <w:lang w:val="en-US" w:eastAsia="zh-CN"/>
        </w:rPr>
        <w:t xml:space="preserve"> </w:t>
      </w:r>
      <w:r>
        <w:rPr>
          <w:lang w:val="en-US" w:eastAsia="zh-CN"/>
        </w:rPr>
        <w:t>on</w:t>
      </w:r>
      <w:r w:rsidRPr="00B916EC">
        <w:rPr>
          <w:rFonts w:hint="eastAsia"/>
          <w:lang w:val="en-US" w:eastAsia="zh-CN"/>
        </w:rPr>
        <w:t xml:space="preserve"> </w:t>
      </w:r>
      <w:r w:rsidRPr="00B916EC">
        <w:rPr>
          <w:lang w:val="en-US" w:eastAsia="zh-CN"/>
        </w:rPr>
        <w:t xml:space="preserve">serving </w:t>
      </w:r>
      <w:r w:rsidRPr="00B916EC">
        <w:rPr>
          <w:rFonts w:hint="eastAsia"/>
          <w:lang w:val="en-US" w:eastAsia="zh-CN"/>
        </w:rPr>
        <w:t xml:space="preserve">cell </w:t>
      </w:r>
      <m:oMath>
        <m:r>
          <w:rPr>
            <w:rFonts w:ascii="Cambria Math" w:hAnsi="Cambria Math"/>
            <w:lang w:val="en-US" w:eastAsia="zh-CN"/>
          </w:rPr>
          <m:t>c</m:t>
        </m:r>
      </m:oMath>
      <w:r>
        <w:t xml:space="preserve">, the UE does not </w:t>
      </w:r>
      <w:r w:rsidRPr="00C06B59">
        <w:rPr>
          <w:lang w:eastAsia="zh-CN"/>
        </w:rPr>
        <w:t>multiplex</w:t>
      </w:r>
      <w:r>
        <w:t xml:space="preserve"> a HARQ-ACK information bit corresponding to the transport block in a </w:t>
      </w:r>
      <w:r w:rsidRPr="00C06B59">
        <w:rPr>
          <w:lang w:eastAsia="zh-CN"/>
        </w:rPr>
        <w:t xml:space="preserve">Type-2 </w:t>
      </w:r>
      <w:r w:rsidRPr="00C06B59">
        <w:rPr>
          <w:lang w:eastAsia="zh-CN"/>
        </w:rPr>
        <w:lastRenderedPageBreak/>
        <w:t xml:space="preserve">HARQ-ACK codebook </w:t>
      </w:r>
      <w:r>
        <w:t xml:space="preserve">and does not consider the transport block as received in the determination of </w:t>
      </w:r>
      <m:oMath>
        <m:sSubSup>
          <m:sSubSupPr>
            <m:ctrlPr>
              <w:rPr>
                <w:rFonts w:ascii="Cambria Math" w:hAnsi="Cambria Math"/>
                <w:i/>
              </w:rPr>
            </m:ctrlPr>
          </m:sSubSupPr>
          <m:e>
            <m:r>
              <w:rPr>
                <w:rFonts w:ascii="Cambria Math" w:hAnsi="Cambria Math"/>
              </w:rPr>
              <m:t>N</m:t>
            </m:r>
          </m:e>
          <m:sub>
            <m:r>
              <w:rPr>
                <w:rFonts w:ascii="Cambria Math" w:hAnsi="Cambria Math"/>
              </w:rPr>
              <m:t>m,c</m:t>
            </m:r>
          </m:sub>
          <m:sup>
            <m:r>
              <m:rPr>
                <m:sty m:val="p"/>
              </m:rPr>
              <w:rPr>
                <w:rFonts w:ascii="Cambria Math" w:hAnsi="Cambria Math"/>
              </w:rPr>
              <m:t>received</m:t>
            </m:r>
          </m:sup>
        </m:sSubSup>
      </m:oMath>
      <w:r>
        <w:t xml:space="preserve"> or of </w:t>
      </w:r>
      <m:oMath>
        <m:sSub>
          <m:sSubPr>
            <m:ctrlPr>
              <w:rPr>
                <w:rFonts w:ascii="Cambria Math" w:hAnsi="Cambria Math"/>
                <w:i/>
                <w:lang w:eastAsia="zh-CN"/>
              </w:rPr>
            </m:ctrlPr>
          </m:sSubPr>
          <m:e>
            <m:r>
              <w:rPr>
                <w:rFonts w:ascii="Cambria Math"/>
                <w:lang w:eastAsia="zh-CN"/>
              </w:rPr>
              <m:t>N</m:t>
            </m:r>
          </m:e>
          <m:sub>
            <m:r>
              <m:rPr>
                <m:nor/>
              </m:rPr>
              <w:rPr>
                <w:rFonts w:ascii="Cambria Math"/>
                <w:lang w:val="en-US" w:eastAsia="zh-CN"/>
              </w:rPr>
              <m:t>SPS,</m:t>
            </m:r>
            <m:r>
              <m:rPr>
                <m:nor/>
              </m:rPr>
              <w:rPr>
                <w:rFonts w:ascii="Cambria Math"/>
                <w:i/>
                <w:iCs/>
                <w:lang w:val="en-US" w:eastAsia="zh-CN"/>
              </w:rPr>
              <m:t>c</m:t>
            </m:r>
            <m:ctrlPr>
              <w:rPr>
                <w:rFonts w:ascii="Cambria Math" w:hAnsi="Cambria Math"/>
                <w:lang w:eastAsia="zh-CN"/>
              </w:rPr>
            </m:ctrlPr>
          </m:sub>
        </m:sSub>
      </m:oMath>
      <w:r>
        <w:rPr>
          <w:lang w:eastAsia="zh-CN"/>
        </w:rPr>
        <w:t xml:space="preserve"> </w:t>
      </w:r>
      <w:r>
        <w:t xml:space="preserve">in clause 9.1.3.1. If the UE is also provided </w:t>
      </w:r>
      <w:r w:rsidRPr="00221BBC">
        <w:rPr>
          <w:i/>
        </w:rPr>
        <w:t>PDSCH-CodeBlockGroupTransmission</w:t>
      </w:r>
      <w:r>
        <w:rPr>
          <w:iCs/>
        </w:rPr>
        <w:t xml:space="preserve">, the UE </w:t>
      </w:r>
      <w:r>
        <w:t xml:space="preserve">does not </w:t>
      </w:r>
      <w:r w:rsidRPr="00C06B59">
        <w:rPr>
          <w:lang w:eastAsia="zh-CN"/>
        </w:rPr>
        <w:t>multiplex</w:t>
      </w:r>
      <w:r>
        <w:t xml:space="preserve"> HARQ-ACK information bits corresponding to CBGs of the transport block in the </w:t>
      </w:r>
      <w:r w:rsidRPr="00C06B59">
        <w:rPr>
          <w:lang w:eastAsia="zh-CN"/>
        </w:rPr>
        <w:t>Type-2 HARQ-ACK codebook</w:t>
      </w:r>
      <w:r>
        <w:t xml:space="preserve"> and does not consider the CBGs as received in the determination of </w:t>
      </w:r>
      <m:oMath>
        <m:sSubSup>
          <m:sSubSupPr>
            <m:ctrlPr>
              <w:rPr>
                <w:rFonts w:ascii="Cambria Math" w:hAnsi="Cambria Math"/>
                <w:i/>
              </w:rPr>
            </m:ctrlPr>
          </m:sSubSupPr>
          <m:e>
            <m:r>
              <w:rPr>
                <w:rFonts w:ascii="Cambria Math" w:hAnsi="Cambria Math"/>
              </w:rPr>
              <m:t>N</m:t>
            </m:r>
          </m:e>
          <m:sub>
            <m:r>
              <w:rPr>
                <w:rFonts w:ascii="Cambria Math" w:hAnsi="Cambria Math"/>
              </w:rPr>
              <m:t>m,c</m:t>
            </m:r>
          </m:sub>
          <m:sup>
            <m:r>
              <m:rPr>
                <m:sty m:val="p"/>
              </m:rPr>
              <w:rPr>
                <w:rFonts w:ascii="Cambria Math" w:hAnsi="Cambria Math"/>
              </w:rPr>
              <m:t>received,CBG</m:t>
            </m:r>
          </m:sup>
        </m:sSubSup>
      </m:oMath>
      <w:r>
        <w:t xml:space="preserve"> in clause 9.1.3.1. If the UE is also </w:t>
      </w:r>
      <w:r w:rsidRPr="009005FC">
        <w:t xml:space="preserve">provided </w:t>
      </w:r>
      <w:r w:rsidR="00743E93">
        <w:rPr>
          <w:i/>
          <w:iCs/>
        </w:rPr>
        <w:t>harq</w:t>
      </w:r>
      <w:r w:rsidRPr="009005FC">
        <w:rPr>
          <w:i/>
          <w:iCs/>
        </w:rPr>
        <w:t>-feedbackEnablingforSPSactive</w:t>
      </w:r>
      <w:r w:rsidR="007242CB" w:rsidRPr="009005FC">
        <w:rPr>
          <w:i/>
          <w:iCs/>
        </w:rPr>
        <w:t xml:space="preserve"> </w:t>
      </w:r>
      <w:r w:rsidR="007242CB" w:rsidRPr="009005FC">
        <w:rPr>
          <w:rFonts w:asciiTheme="minorEastAsia" w:eastAsiaTheme="minorEastAsia" w:hAnsiTheme="minorEastAsia" w:hint="eastAsia"/>
          <w:lang w:eastAsia="zh-CN"/>
        </w:rPr>
        <w:t>=</w:t>
      </w:r>
      <w:r w:rsidR="007242CB" w:rsidRPr="009005FC">
        <w:t xml:space="preserve"> '</w:t>
      </w:r>
      <w:r w:rsidR="007242CB" w:rsidRPr="009005FC">
        <w:rPr>
          <w:i/>
          <w:iCs/>
        </w:rPr>
        <w:t>enabled'</w:t>
      </w:r>
      <w:r w:rsidRPr="009005FC">
        <w:t xml:space="preserve">, the UE considers a HARQ process associated with a </w:t>
      </w:r>
      <w:r>
        <w:t xml:space="preserve">transport block in a first SPS </w:t>
      </w:r>
      <w:r>
        <w:rPr>
          <w:lang w:val="en-US"/>
        </w:rPr>
        <w:t xml:space="preserve">PDSCH </w:t>
      </w:r>
      <w:r>
        <w:rPr>
          <w:rFonts w:hint="eastAsia"/>
          <w:lang w:val="en-US" w:eastAsia="zh-CN"/>
        </w:rPr>
        <w:t>reception</w:t>
      </w:r>
      <w:r>
        <w:rPr>
          <w:lang w:val="en-US" w:eastAsia="zh-CN"/>
        </w:rPr>
        <w:t>, after an activation of SPS PDSCH receptions,</w:t>
      </w:r>
      <w:r>
        <w:t xml:space="preserve"> to have enabled HARQ-ACK information and the UE provides a HARQ-ACK information bit according to a decoding outcome for the transport block in the first SPS </w:t>
      </w:r>
      <w:r>
        <w:rPr>
          <w:lang w:val="en-US"/>
        </w:rPr>
        <w:t xml:space="preserve">PDSCH </w:t>
      </w:r>
      <w:r>
        <w:rPr>
          <w:rFonts w:hint="eastAsia"/>
          <w:lang w:val="en-US" w:eastAsia="zh-CN"/>
        </w:rPr>
        <w:t>reception</w:t>
      </w:r>
      <w:r>
        <w:t>.</w:t>
      </w:r>
    </w:p>
    <w:p w14:paraId="434C4F42" w14:textId="77777777" w:rsidR="008A67F3" w:rsidRDefault="008A67F3" w:rsidP="009C55CF">
      <w:r w:rsidRPr="0088027F">
        <w:t xml:space="preserve">If a UE is indicated to not provide multicast HARQ-ACK information, as described in clause 18, associated with </w:t>
      </w:r>
      <w:r w:rsidRPr="0088027F">
        <w:rPr>
          <w:lang w:eastAsia="zh-CN"/>
        </w:rPr>
        <w:t>PDCCH monitoring occasion</w:t>
      </w:r>
      <w:r w:rsidRPr="0088027F">
        <w:rPr>
          <w:rFonts w:hint="eastAsia"/>
          <w:lang w:eastAsia="zh-CN"/>
        </w:rPr>
        <w:t xml:space="preserve"> </w:t>
      </w:r>
      <m:oMath>
        <m:r>
          <w:rPr>
            <w:rFonts w:ascii="Cambria Math" w:hAnsi="Cambria Math"/>
          </w:rPr>
          <m:t>m</m:t>
        </m:r>
      </m:oMath>
      <w:r w:rsidRPr="0088027F">
        <w:t xml:space="preserve"> or for SPS PDSCH receptions</w:t>
      </w:r>
      <w:r w:rsidRPr="0088027F">
        <w:rPr>
          <w:rFonts w:hint="eastAsia"/>
          <w:lang w:eastAsia="zh-CN"/>
        </w:rPr>
        <w:t xml:space="preserve"> </w:t>
      </w:r>
      <w:r w:rsidRPr="0088027F">
        <w:rPr>
          <w:lang w:eastAsia="zh-CN"/>
        </w:rPr>
        <w:t>on</w:t>
      </w:r>
      <w:r w:rsidRPr="0088027F">
        <w:rPr>
          <w:rFonts w:hint="eastAsia"/>
          <w:lang w:eastAsia="zh-CN"/>
        </w:rPr>
        <w:t xml:space="preserve"> </w:t>
      </w:r>
      <w:r w:rsidRPr="0088027F">
        <w:rPr>
          <w:lang w:eastAsia="zh-CN"/>
        </w:rPr>
        <w:t xml:space="preserve">serving </w:t>
      </w:r>
      <w:r w:rsidRPr="0088027F">
        <w:rPr>
          <w:rFonts w:hint="eastAsia"/>
          <w:lang w:eastAsia="zh-CN"/>
        </w:rPr>
        <w:t xml:space="preserve">cell </w:t>
      </w:r>
      <m:oMath>
        <m:r>
          <w:rPr>
            <w:rFonts w:ascii="Cambria Math" w:hAnsi="Cambria Math"/>
          </w:rPr>
          <m:t>c</m:t>
        </m:r>
      </m:oMath>
      <w:r w:rsidRPr="0088027F">
        <w:t xml:space="preserve">, the UE does not </w:t>
      </w:r>
      <w:r w:rsidRPr="0088027F">
        <w:rPr>
          <w:lang w:eastAsia="zh-CN"/>
        </w:rPr>
        <w:t>multiplex</w:t>
      </w:r>
      <w:r w:rsidRPr="0088027F">
        <w:t xml:space="preserve"> corresponding HARQ-ACK information bits in a </w:t>
      </w:r>
      <w:r w:rsidRPr="0088027F">
        <w:rPr>
          <w:lang w:eastAsia="zh-CN"/>
        </w:rPr>
        <w:t xml:space="preserve">Type-2 HARQ-ACK codebook </w:t>
      </w:r>
      <w:r w:rsidRPr="0088027F">
        <w:t xml:space="preserve">and does not consider any transport blocks as received in the determination of </w:t>
      </w:r>
      <m:oMath>
        <m:sSubSup>
          <m:sSubSupPr>
            <m:ctrlPr>
              <w:rPr>
                <w:rFonts w:ascii="Cambria Math" w:hAnsi="Cambria Math"/>
                <w:i/>
              </w:rPr>
            </m:ctrlPr>
          </m:sSubSupPr>
          <m:e>
            <m:r>
              <w:rPr>
                <w:rFonts w:ascii="Cambria Math" w:hAnsi="Cambria Math"/>
              </w:rPr>
              <m:t>N</m:t>
            </m:r>
          </m:e>
          <m:sub>
            <m:r>
              <w:rPr>
                <w:rFonts w:ascii="Cambria Math" w:hAnsi="Cambria Math"/>
              </w:rPr>
              <m:t>m,c</m:t>
            </m:r>
          </m:sub>
          <m:sup>
            <m:r>
              <m:rPr>
                <m:sty m:val="p"/>
              </m:rPr>
              <w:rPr>
                <w:rFonts w:ascii="Cambria Math" w:hAnsi="Cambria Math"/>
              </w:rPr>
              <m:t>received</m:t>
            </m:r>
          </m:sup>
        </m:sSubSup>
      </m:oMath>
      <w:r w:rsidRPr="0088027F">
        <w:t xml:space="preserve"> or of </w:t>
      </w:r>
      <m:oMath>
        <m:sSub>
          <m:sSubPr>
            <m:ctrlPr>
              <w:rPr>
                <w:rFonts w:ascii="Cambria Math" w:hAnsi="Cambria Math"/>
                <w:i/>
                <w:lang w:eastAsia="zh-CN"/>
              </w:rPr>
            </m:ctrlPr>
          </m:sSubPr>
          <m:e>
            <m:r>
              <w:rPr>
                <w:rFonts w:ascii="Cambria Math"/>
                <w:lang w:eastAsia="zh-CN"/>
              </w:rPr>
              <m:t>N</m:t>
            </m:r>
          </m:e>
          <m:sub>
            <m:r>
              <m:rPr>
                <m:nor/>
              </m:rPr>
              <w:rPr>
                <w:rFonts w:ascii="Cambria Math"/>
                <w:lang w:val="en-US" w:eastAsia="zh-CN"/>
              </w:rPr>
              <m:t>SPS,</m:t>
            </m:r>
            <m:r>
              <m:rPr>
                <m:nor/>
              </m:rPr>
              <w:rPr>
                <w:rFonts w:ascii="Cambria Math"/>
                <w:i/>
                <w:iCs/>
                <w:lang w:val="en-US" w:eastAsia="zh-CN"/>
              </w:rPr>
              <m:t>c</m:t>
            </m:r>
            <m:ctrlPr>
              <w:rPr>
                <w:rFonts w:ascii="Cambria Math" w:hAnsi="Cambria Math"/>
                <w:lang w:eastAsia="zh-CN"/>
              </w:rPr>
            </m:ctrlPr>
          </m:sub>
        </m:sSub>
      </m:oMath>
      <w:r w:rsidRPr="0088027F">
        <w:rPr>
          <w:lang w:eastAsia="zh-CN"/>
        </w:rPr>
        <w:t xml:space="preserve"> </w:t>
      </w:r>
      <w:r w:rsidRPr="0088027F">
        <w:t>in clause 9.1.3.1.</w:t>
      </w:r>
    </w:p>
    <w:p w14:paraId="662BB81B" w14:textId="4F4068BC" w:rsidR="00C27033" w:rsidRDefault="008C3F0C" w:rsidP="009C55CF">
      <w:pPr>
        <w:rPr>
          <w:lang w:eastAsia="zh-CN"/>
        </w:rPr>
      </w:pPr>
      <w:r>
        <w:t xml:space="preserve">If a UE receives </w:t>
      </w:r>
      <w:r w:rsidRPr="00990A42">
        <w:t xml:space="preserve">a </w:t>
      </w:r>
      <w:r>
        <w:t xml:space="preserve">first </w:t>
      </w:r>
      <w:r w:rsidRPr="00990A42">
        <w:t xml:space="preserve">DCI format </w:t>
      </w:r>
      <w:r>
        <w:t>that the UE detects in a first PDCCH monitoring occasion and includes</w:t>
      </w:r>
      <w:r w:rsidRPr="00990A42">
        <w:t xml:space="preserve"> a </w:t>
      </w:r>
      <w:r w:rsidRPr="00990A42">
        <w:rPr>
          <w:lang w:eastAsia="zh-CN"/>
        </w:rPr>
        <w:t xml:space="preserve">PDSCH-to-HARQ_feedback timing </w:t>
      </w:r>
      <w:r>
        <w:rPr>
          <w:lang w:eastAsia="zh-CN"/>
        </w:rPr>
        <w:t xml:space="preserve">indicator </w:t>
      </w:r>
      <w:r w:rsidRPr="00990A42">
        <w:rPr>
          <w:lang w:eastAsia="zh-CN"/>
        </w:rPr>
        <w:t xml:space="preserve">field </w:t>
      </w:r>
      <w:r>
        <w:rPr>
          <w:lang w:eastAsia="zh-CN"/>
        </w:rPr>
        <w:t>providing an inapplicable</w:t>
      </w:r>
      <w:r w:rsidRPr="00990A42">
        <w:rPr>
          <w:lang w:eastAsia="zh-CN"/>
        </w:rPr>
        <w:t xml:space="preserve"> value from </w:t>
      </w:r>
      <w:r w:rsidRPr="00990A42">
        <w:rPr>
          <w:i/>
        </w:rPr>
        <w:t>dl-DataToUL-ACK</w:t>
      </w:r>
      <w:r w:rsidR="002F629C">
        <w:rPr>
          <w:i/>
        </w:rPr>
        <w:t>-r16</w:t>
      </w:r>
      <w:r w:rsidR="00B816A6" w:rsidRPr="0074094B">
        <w:rPr>
          <w:rFonts w:eastAsia="Malgun Gothic"/>
        </w:rPr>
        <w:t xml:space="preserve"> </w:t>
      </w:r>
      <w:r w:rsidR="00B816A6">
        <w:rPr>
          <w:rFonts w:eastAsia="Malgun Gothic"/>
        </w:rPr>
        <w:t xml:space="preserve">or </w:t>
      </w:r>
      <w:r w:rsidR="00B816A6">
        <w:rPr>
          <w:i/>
          <w:lang w:val="en-US"/>
        </w:rPr>
        <w:t>dl-DataToUL-ACK-r17</w:t>
      </w:r>
      <w:r w:rsidRPr="00990A42">
        <w:rPr>
          <w:lang w:eastAsia="zh-CN"/>
        </w:rPr>
        <w:t xml:space="preserve">, </w:t>
      </w:r>
    </w:p>
    <w:p w14:paraId="3935F890" w14:textId="77777777" w:rsidR="00C27033" w:rsidRPr="00A04CF8" w:rsidRDefault="00C27033" w:rsidP="00C27033">
      <w:pPr>
        <w:pStyle w:val="B1"/>
        <w:rPr>
          <w:lang w:val="en-US"/>
        </w:rPr>
      </w:pPr>
      <w:r>
        <w:t>-</w:t>
      </w:r>
      <w:r>
        <w:tab/>
      </w:r>
      <w:r>
        <w:rPr>
          <w:lang w:val="en-US"/>
        </w:rPr>
        <w:t xml:space="preserve">if the UE detects a second DCI format, </w:t>
      </w:r>
      <w:r w:rsidRPr="00990A42">
        <w:rPr>
          <w:lang w:eastAsia="zh-CN"/>
        </w:rPr>
        <w:t xml:space="preserve">the </w:t>
      </w:r>
      <w:r>
        <w:rPr>
          <w:lang w:eastAsia="zh-CN"/>
        </w:rPr>
        <w:t xml:space="preserve">UE multiplexes the corresponding HARQ-ACK information in a PUCCH or PUSCH transmission in a slot that is indicated by a value of a </w:t>
      </w:r>
      <w:r w:rsidRPr="00990A42">
        <w:rPr>
          <w:lang w:eastAsia="zh-CN"/>
        </w:rPr>
        <w:t>PDSCH-to-HARQ_feedba</w:t>
      </w:r>
      <w:r>
        <w:rPr>
          <w:lang w:eastAsia="zh-CN"/>
        </w:rPr>
        <w:t xml:space="preserve">ck timing indicator field in </w:t>
      </w:r>
      <w:r>
        <w:rPr>
          <w:lang w:val="en-US" w:eastAsia="zh-CN"/>
        </w:rPr>
        <w:t>the</w:t>
      </w:r>
      <w:r>
        <w:rPr>
          <w:lang w:eastAsia="zh-CN"/>
        </w:rPr>
        <w:t xml:space="preserve"> second DCI format, where</w:t>
      </w:r>
    </w:p>
    <w:p w14:paraId="668D8F5E" w14:textId="5AB8A4FA" w:rsidR="00C27033" w:rsidRPr="00DE1FCE" w:rsidRDefault="00C27033" w:rsidP="00252631">
      <w:pPr>
        <w:pStyle w:val="B2"/>
        <w:rPr>
          <w:szCs w:val="22"/>
          <w:lang w:val="en-US" w:eastAsia="zh-CN"/>
        </w:rPr>
      </w:pPr>
      <w:r w:rsidRPr="00A67B08">
        <w:rPr>
          <w:lang w:eastAsia="zh-CN"/>
        </w:rPr>
        <w:t>-</w:t>
      </w:r>
      <w:r>
        <w:rPr>
          <w:lang w:eastAsia="zh-CN"/>
        </w:rPr>
        <w:tab/>
      </w:r>
      <w:r w:rsidRPr="00A67B08">
        <w:rPr>
          <w:szCs w:val="22"/>
          <w:lang w:eastAsia="zh-CN"/>
        </w:rPr>
        <w:t xml:space="preserve">if the UE is not provided </w:t>
      </w:r>
      <w:r w:rsidRPr="00A67B08">
        <w:rPr>
          <w:i/>
          <w:szCs w:val="22"/>
          <w:lang w:eastAsia="zh-CN"/>
        </w:rPr>
        <w:t>pdsch-HARQ-ACK-Codebook</w:t>
      </w:r>
      <w:r w:rsidRPr="00A67B08">
        <w:rPr>
          <w:i/>
          <w:iCs/>
          <w:szCs w:val="22"/>
        </w:rPr>
        <w:t>-r16</w:t>
      </w:r>
      <w:r w:rsidRPr="00A67B08">
        <w:rPr>
          <w:szCs w:val="22"/>
        </w:rPr>
        <w:t xml:space="preserve">, </w:t>
      </w:r>
      <w:r>
        <w:rPr>
          <w:lang w:eastAsia="zh-CN"/>
        </w:rPr>
        <w:t xml:space="preserve">the UE detects </w:t>
      </w:r>
      <w:r>
        <w:rPr>
          <w:lang w:val="en-US" w:eastAsia="zh-CN"/>
        </w:rPr>
        <w:t xml:space="preserve">the second DCI format </w:t>
      </w:r>
      <w:r>
        <w:rPr>
          <w:lang w:eastAsia="zh-CN"/>
        </w:rPr>
        <w:t>in any PDCCH monitoring occasion after the first one</w:t>
      </w:r>
      <w:r w:rsidR="00646BD5">
        <w:rPr>
          <w:lang w:val="en-US" w:eastAsia="zh-CN"/>
        </w:rPr>
        <w:t xml:space="preserve">, </w:t>
      </w:r>
      <w:r w:rsidR="00646BD5" w:rsidRPr="007F4868">
        <w:t>and where the slot indicated by the value of the PDSCH-to-HARQ_feedback timing indicator field in the second DCI format is no later than a slot for HARQ-ACK information in response to a SPS PDSCH reception, if any, received after the PDSCH</w:t>
      </w:r>
      <w:r w:rsidR="00012B06">
        <w:rPr>
          <w:lang w:val="en-GB"/>
        </w:rPr>
        <w:t>s</w:t>
      </w:r>
      <w:r w:rsidR="00646BD5" w:rsidRPr="007F4868">
        <w:t xml:space="preserve"> scheduled by the first DCI format</w:t>
      </w:r>
      <w:r w:rsidR="00646BD5">
        <w:rPr>
          <w:lang w:val="en-US"/>
        </w:rPr>
        <w:t>.</w:t>
      </w:r>
    </w:p>
    <w:p w14:paraId="5FC1E7EE" w14:textId="09F08656" w:rsidR="00C27033" w:rsidRDefault="00C27033" w:rsidP="00252631">
      <w:pPr>
        <w:pStyle w:val="B2"/>
        <w:rPr>
          <w:lang w:eastAsia="zh-CN"/>
        </w:rPr>
      </w:pPr>
      <w:r>
        <w:rPr>
          <w:lang w:eastAsia="zh-CN"/>
        </w:rPr>
        <w:t>-</w:t>
      </w:r>
      <w:r>
        <w:rPr>
          <w:lang w:eastAsia="zh-CN"/>
        </w:rPr>
        <w:tab/>
        <w:t xml:space="preserve">if the UE is provided </w:t>
      </w:r>
      <w:r w:rsidRPr="00221BBC">
        <w:rPr>
          <w:i/>
          <w:lang w:val="en-US" w:eastAsia="zh-CN"/>
        </w:rPr>
        <w:t>pdsch-</w:t>
      </w:r>
      <w:r>
        <w:rPr>
          <w:i/>
          <w:lang w:eastAsia="zh-CN"/>
        </w:rPr>
        <w:t>HARQ-ACK-Codebook</w:t>
      </w:r>
      <w:r w:rsidRPr="00990A42">
        <w:rPr>
          <w:i/>
          <w:iCs/>
        </w:rPr>
        <w:t>-r16</w:t>
      </w:r>
      <w:r>
        <w:rPr>
          <w:lang w:eastAsia="zh-CN"/>
        </w:rPr>
        <w:t xml:space="preserve">, the </w:t>
      </w:r>
      <w:r>
        <w:rPr>
          <w:lang w:val="en-US" w:eastAsia="zh-CN"/>
        </w:rPr>
        <w:t>UE detects</w:t>
      </w:r>
      <w:r>
        <w:rPr>
          <w:lang w:eastAsia="zh-CN"/>
        </w:rPr>
        <w:t xml:space="preserve"> the second DCI format in any PDCCH monitoring occasion after the first one</w:t>
      </w:r>
      <w:r>
        <w:rPr>
          <w:lang w:val="en-US" w:eastAsia="zh-CN"/>
        </w:rPr>
        <w:t xml:space="preserve">, and the </w:t>
      </w:r>
      <w:r>
        <w:rPr>
          <w:lang w:eastAsia="zh-CN"/>
        </w:rPr>
        <w:t>second DCI format indicate</w:t>
      </w:r>
      <w:r>
        <w:rPr>
          <w:lang w:val="en-US" w:eastAsia="zh-CN"/>
        </w:rPr>
        <w:t>s</w:t>
      </w:r>
      <w:r>
        <w:rPr>
          <w:lang w:eastAsia="zh-CN"/>
        </w:rPr>
        <w:t xml:space="preserve"> </w:t>
      </w:r>
      <w:r>
        <w:rPr>
          <w:lang w:val="en-US" w:eastAsia="zh-CN"/>
        </w:rPr>
        <w:t>a HARQ-ACK information report for a same PDSCH group index as indicated by the first DCI format</w:t>
      </w:r>
      <w:r>
        <w:t xml:space="preserve"> </w:t>
      </w:r>
      <w:r>
        <w:rPr>
          <w:lang w:eastAsia="zh-CN"/>
        </w:rPr>
        <w:t xml:space="preserve">as described </w:t>
      </w:r>
      <w:r w:rsidR="006F5F9E">
        <w:rPr>
          <w:lang w:eastAsia="zh-CN"/>
        </w:rPr>
        <w:t>in clause</w:t>
      </w:r>
      <w:r>
        <w:rPr>
          <w:lang w:eastAsia="zh-CN"/>
        </w:rPr>
        <w:t xml:space="preserve"> 9.1.3.3</w:t>
      </w:r>
      <w:r w:rsidR="00646BD5">
        <w:rPr>
          <w:lang w:val="en-US" w:eastAsia="zh-CN"/>
        </w:rPr>
        <w:t xml:space="preserve">, </w:t>
      </w:r>
      <w:r w:rsidR="00646BD5" w:rsidRPr="007F4868">
        <w:t>and where the slot indicated by the value of the PDSCH-to-HARQ_feedback timing indicator field in the second DCI format is no later than a slot for HARQ-ACK information in response to a SPS PDSCH reception, if any, received after the PDSCH</w:t>
      </w:r>
      <w:r w:rsidR="00012B06">
        <w:rPr>
          <w:lang w:val="en-GB"/>
        </w:rPr>
        <w:t>s</w:t>
      </w:r>
      <w:r w:rsidR="00646BD5" w:rsidRPr="007F4868">
        <w:t xml:space="preserve"> scheduled by the first DCI format</w:t>
      </w:r>
      <w:r w:rsidR="00646BD5">
        <w:rPr>
          <w:lang w:val="en-US"/>
        </w:rPr>
        <w:t>.</w:t>
      </w:r>
      <w:r>
        <w:rPr>
          <w:lang w:eastAsia="zh-CN"/>
        </w:rPr>
        <w:t xml:space="preserve"> </w:t>
      </w:r>
    </w:p>
    <w:p w14:paraId="3D47AEBA" w14:textId="1133CF2A" w:rsidR="00646BD5" w:rsidRPr="00DE1FCE" w:rsidRDefault="00646BD5" w:rsidP="00646BD5">
      <w:pPr>
        <w:pStyle w:val="B2"/>
      </w:pPr>
      <w:r>
        <w:rPr>
          <w:lang w:val="en-US"/>
        </w:rPr>
        <w:t>-</w:t>
      </w:r>
      <w:r>
        <w:rPr>
          <w:lang w:val="en-US"/>
        </w:rPr>
        <w:tab/>
      </w:r>
      <w:r w:rsidRPr="007F4868">
        <w:t xml:space="preserve">if the UE is provided </w:t>
      </w:r>
      <w:r w:rsidRPr="007F4868">
        <w:rPr>
          <w:i/>
          <w:iCs/>
        </w:rPr>
        <w:t>pdsch-HARQ-ACK-Codebook-r16</w:t>
      </w:r>
      <w:r w:rsidRPr="007F4868">
        <w:t xml:space="preserve">, </w:t>
      </w:r>
      <w:r w:rsidRPr="007F4868">
        <w:rPr>
          <w:lang w:val="en-US" w:eastAsia="zh-CN"/>
        </w:rPr>
        <w:t>the UE receives the second DCI format</w:t>
      </w:r>
      <w:r w:rsidRPr="007F4868">
        <w:rPr>
          <w:lang w:eastAsia="zh-CN"/>
        </w:rPr>
        <w:t xml:space="preserve"> </w:t>
      </w:r>
      <w:r w:rsidRPr="007F4868">
        <w:rPr>
          <w:lang w:val="en-US" w:eastAsia="zh-CN"/>
        </w:rPr>
        <w:t>later</w:t>
      </w:r>
      <w:r w:rsidRPr="007F4868">
        <w:rPr>
          <w:lang w:eastAsia="zh-CN"/>
        </w:rPr>
        <w:t xml:space="preserve"> than the slot for HARQ-ACK information in response to a SPS PDSCH reception received after the PDSCH</w:t>
      </w:r>
      <w:r w:rsidR="00012B06">
        <w:rPr>
          <w:lang w:val="en-GB" w:eastAsia="zh-CN"/>
        </w:rPr>
        <w:t>s</w:t>
      </w:r>
      <w:r w:rsidRPr="007F4868">
        <w:rPr>
          <w:lang w:eastAsia="zh-CN"/>
        </w:rPr>
        <w:t xml:space="preserve"> scheduled by the first DCI format</w:t>
      </w:r>
      <w:r w:rsidRPr="007F4868">
        <w:t xml:space="preserve">, and the second DCI format indicates a HARQ-ACK information report for a same PDSCH group index as indicated by the first DCI format as described </w:t>
      </w:r>
      <w:r w:rsidR="006F5F9E">
        <w:t>in clause</w:t>
      </w:r>
      <w:r w:rsidRPr="007F4868">
        <w:t xml:space="preserve"> 9.1.3.3.</w:t>
      </w:r>
    </w:p>
    <w:p w14:paraId="2CEB8D0C" w14:textId="7041045A" w:rsidR="00C27033" w:rsidRDefault="00C27033" w:rsidP="00252631">
      <w:pPr>
        <w:pStyle w:val="B2"/>
        <w:rPr>
          <w:lang w:eastAsia="zh-CN"/>
        </w:rPr>
      </w:pPr>
      <w:r>
        <w:rPr>
          <w:lang w:eastAsia="zh-CN"/>
        </w:rPr>
        <w:t>-</w:t>
      </w:r>
      <w:r>
        <w:rPr>
          <w:lang w:eastAsia="zh-CN"/>
        </w:rPr>
        <w:tab/>
        <w:t xml:space="preserve">if the UE is </w:t>
      </w:r>
      <w:r w:rsidRPr="009D092A">
        <w:rPr>
          <w:lang w:eastAsia="zh-CN"/>
        </w:rPr>
        <w:t xml:space="preserve">provided </w:t>
      </w:r>
      <w:r w:rsidRPr="009D092A">
        <w:rPr>
          <w:i/>
          <w:lang w:val="en-US" w:eastAsia="zh-CN"/>
        </w:rPr>
        <w:t>pdsch-HARQ-ACK-OneShotFeedback</w:t>
      </w:r>
      <w:r w:rsidRPr="009D092A">
        <w:rPr>
          <w:iCs/>
        </w:rPr>
        <w:t xml:space="preserve">, </w:t>
      </w:r>
      <w:r w:rsidR="005736C2" w:rsidRPr="004D561C">
        <w:rPr>
          <w:iCs/>
          <w:lang w:val="en-US" w:eastAsia="zh-CN"/>
        </w:rPr>
        <w:t xml:space="preserve">the first DCI format </w:t>
      </w:r>
      <w:r w:rsidR="005736C2">
        <w:rPr>
          <w:iCs/>
          <w:lang w:val="en-US" w:eastAsia="zh-CN"/>
        </w:rPr>
        <w:t xml:space="preserve">does not </w:t>
      </w:r>
      <w:r w:rsidR="005E3892">
        <w:rPr>
          <w:lang w:val="en-US" w:eastAsia="zh-CN"/>
        </w:rPr>
        <w:t>have associated</w:t>
      </w:r>
      <w:r w:rsidR="005E3892" w:rsidRPr="00B27E56">
        <w:rPr>
          <w:iCs/>
          <w:lang w:val="en-US" w:eastAsia="zh-CN"/>
        </w:rPr>
        <w:t xml:space="preserve"> HARQ-ACK information without scheduling a PDSCH reception</w:t>
      </w:r>
      <w:r w:rsidR="00875A91" w:rsidRPr="00F415B1">
        <w:rPr>
          <w:iCs/>
          <w:lang w:val="en-US" w:eastAsia="zh-CN"/>
        </w:rPr>
        <w:t xml:space="preserve"> or TCI state update</w:t>
      </w:r>
      <w:r w:rsidR="005736C2">
        <w:rPr>
          <w:iCs/>
          <w:lang w:val="en-US" w:eastAsia="zh-CN"/>
        </w:rPr>
        <w:t>,</w:t>
      </w:r>
      <w:r w:rsidR="005736C2">
        <w:rPr>
          <w:iCs/>
          <w:lang w:val="en-US"/>
        </w:rPr>
        <w:t xml:space="preserve"> </w:t>
      </w:r>
      <w:r>
        <w:rPr>
          <w:iCs/>
          <w:lang w:val="en-US"/>
        </w:rPr>
        <w:t xml:space="preserve">the UE detects </w:t>
      </w:r>
      <w:r w:rsidRPr="009D092A">
        <w:rPr>
          <w:lang w:eastAsia="zh-CN"/>
        </w:rPr>
        <w:t xml:space="preserve">the second DCI format </w:t>
      </w:r>
      <w:r w:rsidRPr="00FB40EA">
        <w:rPr>
          <w:szCs w:val="22"/>
          <w:lang w:eastAsia="zh-CN"/>
        </w:rPr>
        <w:t>in any PDCCH monitoring occasion after the first one</w:t>
      </w:r>
      <w:r>
        <w:rPr>
          <w:szCs w:val="22"/>
          <w:lang w:val="en-US" w:eastAsia="zh-CN"/>
        </w:rPr>
        <w:t xml:space="preserve">, </w:t>
      </w:r>
      <w:r w:rsidRPr="00FB40EA">
        <w:rPr>
          <w:szCs w:val="22"/>
          <w:lang w:eastAsia="zh-CN"/>
        </w:rPr>
        <w:t xml:space="preserve">and </w:t>
      </w:r>
      <w:r>
        <w:rPr>
          <w:szCs w:val="22"/>
          <w:lang w:val="en-US" w:eastAsia="zh-CN"/>
        </w:rPr>
        <w:t xml:space="preserve">the second DCI format </w:t>
      </w:r>
      <w:r w:rsidRPr="009D092A">
        <w:rPr>
          <w:lang w:eastAsia="zh-CN"/>
        </w:rPr>
        <w:t xml:space="preserve">includes a One-shot HARQ-ACK request field </w:t>
      </w:r>
      <w:r>
        <w:rPr>
          <w:lang w:val="en-US" w:eastAsia="zh-CN"/>
        </w:rPr>
        <w:t>with value 1,</w:t>
      </w:r>
      <w:r w:rsidRPr="009D092A">
        <w:rPr>
          <w:lang w:eastAsia="zh-CN"/>
        </w:rPr>
        <w:t xml:space="preserve"> the UE includes the HARQ-ACK information in a Type-3 HARQ-ACK codebook, as described </w:t>
      </w:r>
      <w:r w:rsidR="006F5F9E">
        <w:rPr>
          <w:lang w:eastAsia="zh-CN"/>
        </w:rPr>
        <w:t>in clause</w:t>
      </w:r>
      <w:r w:rsidRPr="009D092A">
        <w:rPr>
          <w:lang w:eastAsia="zh-CN"/>
        </w:rPr>
        <w:t xml:space="preserve"> 9.1.4</w:t>
      </w:r>
      <w:r w:rsidR="00646BD5">
        <w:rPr>
          <w:lang w:val="en-US" w:eastAsia="zh-CN"/>
        </w:rPr>
        <w:t xml:space="preserve">, </w:t>
      </w:r>
      <w:r w:rsidR="00646BD5" w:rsidRPr="007F4868">
        <w:t>and where the slot indicated by the value of the PDSCH-to-HARQ_feedback timing indicator field in the second DCI format is no later than a slot for HARQ-ACK information in response to a SPS PDSCH reception, if any, received after the PDSCH</w:t>
      </w:r>
      <w:r w:rsidR="00012B06">
        <w:rPr>
          <w:lang w:val="en-GB"/>
        </w:rPr>
        <w:t>s</w:t>
      </w:r>
      <w:r w:rsidR="00646BD5" w:rsidRPr="007F4868">
        <w:t xml:space="preserve"> scheduled by the first DCI format</w:t>
      </w:r>
      <w:r w:rsidRPr="002001B9">
        <w:rPr>
          <w:lang w:eastAsia="zh-CN"/>
        </w:rPr>
        <w:t>.</w:t>
      </w:r>
    </w:p>
    <w:p w14:paraId="7AB08D98" w14:textId="5B487FA0" w:rsidR="00646BD5" w:rsidRPr="00646BD5" w:rsidRDefault="00646BD5" w:rsidP="00646BD5">
      <w:pPr>
        <w:pStyle w:val="B2"/>
        <w:rPr>
          <w:lang w:eastAsia="zh-CN"/>
        </w:rPr>
      </w:pPr>
      <w:r w:rsidRPr="004A7EF6">
        <w:rPr>
          <w:lang w:eastAsia="zh-CN"/>
        </w:rPr>
        <w:t>-</w:t>
      </w:r>
      <w:r w:rsidRPr="004A7EF6">
        <w:rPr>
          <w:lang w:eastAsia="zh-CN"/>
        </w:rPr>
        <w:tab/>
      </w:r>
      <w:r w:rsidRPr="007F4868">
        <w:rPr>
          <w:lang w:eastAsia="zh-CN"/>
        </w:rPr>
        <w:t xml:space="preserve">if </w:t>
      </w:r>
      <w:r w:rsidRPr="007F4868">
        <w:rPr>
          <w:lang w:val="en-US" w:eastAsia="zh-CN"/>
        </w:rPr>
        <w:t xml:space="preserve">the </w:t>
      </w:r>
      <w:r w:rsidRPr="007F4868">
        <w:rPr>
          <w:lang w:eastAsia="zh-CN"/>
        </w:rPr>
        <w:t xml:space="preserve">UE </w:t>
      </w:r>
      <w:r w:rsidRPr="007F4868">
        <w:t xml:space="preserve">is provided </w:t>
      </w:r>
      <w:r w:rsidRPr="007F4868">
        <w:rPr>
          <w:i/>
          <w:iCs/>
        </w:rPr>
        <w:t>pdsch-HARQ-ACK-OneShotFeedback-r16</w:t>
      </w:r>
      <w:r w:rsidRPr="007F4868">
        <w:t xml:space="preserve">, </w:t>
      </w:r>
      <w:r w:rsidRPr="007F4868">
        <w:rPr>
          <w:lang w:val="en-US"/>
        </w:rPr>
        <w:t xml:space="preserve">the first </w:t>
      </w:r>
      <w:r w:rsidRPr="007F4868">
        <w:rPr>
          <w:lang w:eastAsia="zh-CN"/>
        </w:rPr>
        <w:t xml:space="preserve">DCI format </w:t>
      </w:r>
      <w:r w:rsidRPr="007F4868">
        <w:rPr>
          <w:lang w:val="en-US" w:eastAsia="zh-CN"/>
        </w:rPr>
        <w:t xml:space="preserve">does </w:t>
      </w:r>
      <w:r w:rsidRPr="007F4868">
        <w:rPr>
          <w:lang w:eastAsia="zh-CN"/>
        </w:rPr>
        <w:t xml:space="preserve">not </w:t>
      </w:r>
      <w:r w:rsidR="005E3892">
        <w:rPr>
          <w:lang w:val="en-US" w:eastAsia="zh-CN"/>
        </w:rPr>
        <w:t>have associated</w:t>
      </w:r>
      <w:r w:rsidR="005E3892" w:rsidRPr="00B27E56">
        <w:rPr>
          <w:iCs/>
          <w:lang w:val="en-US" w:eastAsia="zh-CN"/>
        </w:rPr>
        <w:t xml:space="preserve"> HARQ-ACK information without scheduling a PDSCH reception</w:t>
      </w:r>
      <w:r w:rsidR="00875A91">
        <w:rPr>
          <w:lang w:val="en-GB" w:eastAsia="zh-CN"/>
        </w:rPr>
        <w:t xml:space="preserve"> </w:t>
      </w:r>
      <w:r w:rsidR="00875A91" w:rsidRPr="00F415B1">
        <w:rPr>
          <w:lang w:val="en-US" w:eastAsia="zh-CN"/>
        </w:rPr>
        <w:t>or TCI state update</w:t>
      </w:r>
      <w:r w:rsidRPr="007F4868">
        <w:rPr>
          <w:lang w:val="en-US" w:eastAsia="zh-CN"/>
        </w:rPr>
        <w:t>, and the UE receives the second DCI format</w:t>
      </w:r>
      <w:r w:rsidRPr="007F4868">
        <w:rPr>
          <w:lang w:eastAsia="zh-CN"/>
        </w:rPr>
        <w:t xml:space="preserve"> </w:t>
      </w:r>
      <w:r w:rsidRPr="007F4868">
        <w:rPr>
          <w:lang w:val="en-US" w:eastAsia="zh-CN"/>
        </w:rPr>
        <w:t>later</w:t>
      </w:r>
      <w:r w:rsidRPr="007F4868">
        <w:rPr>
          <w:lang w:eastAsia="zh-CN"/>
        </w:rPr>
        <w:t xml:space="preserve"> than the slot for HARQ-ACK information in response to a SPS PDSCH reception received after the PDSCH</w:t>
      </w:r>
      <w:r w:rsidR="00012B06">
        <w:rPr>
          <w:lang w:val="en-GB" w:eastAsia="zh-CN"/>
        </w:rPr>
        <w:t>s</w:t>
      </w:r>
      <w:r w:rsidRPr="007F4868">
        <w:rPr>
          <w:lang w:eastAsia="zh-CN"/>
        </w:rPr>
        <w:t xml:space="preserve"> scheduled by the first DCI format, and the </w:t>
      </w:r>
      <w:r w:rsidRPr="007F4868">
        <w:rPr>
          <w:lang w:val="en-US" w:eastAsia="zh-CN"/>
        </w:rPr>
        <w:t>second</w:t>
      </w:r>
      <w:r w:rsidRPr="007F4868">
        <w:rPr>
          <w:lang w:eastAsia="zh-CN"/>
        </w:rPr>
        <w:t xml:space="preserve"> DCI format includes a One-shot HARQ-ACK request field with value 1</w:t>
      </w:r>
      <w:r w:rsidRPr="007F4868">
        <w:rPr>
          <w:lang w:val="en-US" w:eastAsia="zh-CN"/>
        </w:rPr>
        <w:t xml:space="preserve">, </w:t>
      </w:r>
      <w:r w:rsidRPr="007F4868">
        <w:rPr>
          <w:lang w:eastAsia="zh-CN"/>
        </w:rPr>
        <w:t xml:space="preserve">the UE includes the HARQ-ACK information in a Type-3 HARQ-ACK codebook, as described </w:t>
      </w:r>
      <w:r w:rsidR="006F5F9E">
        <w:rPr>
          <w:lang w:eastAsia="zh-CN"/>
        </w:rPr>
        <w:t>in clause</w:t>
      </w:r>
      <w:r w:rsidRPr="007F4868">
        <w:rPr>
          <w:lang w:eastAsia="zh-CN"/>
        </w:rPr>
        <w:t xml:space="preserve"> 9.1.4.</w:t>
      </w:r>
    </w:p>
    <w:p w14:paraId="638EDB4D" w14:textId="77777777" w:rsidR="00C27033" w:rsidRPr="00A04CF8" w:rsidRDefault="00C27033" w:rsidP="00C27033">
      <w:pPr>
        <w:pStyle w:val="B1"/>
        <w:rPr>
          <w:lang w:val="en-US"/>
        </w:rPr>
      </w:pPr>
      <w:r>
        <w:t>-</w:t>
      </w:r>
      <w:r>
        <w:tab/>
      </w:r>
      <w:r>
        <w:rPr>
          <w:lang w:val="en-US"/>
        </w:rPr>
        <w:t>o</w:t>
      </w:r>
      <w:r w:rsidRPr="00195D9F">
        <w:t>therwise</w:t>
      </w:r>
      <w:r>
        <w:rPr>
          <w:lang w:val="en-US"/>
        </w:rPr>
        <w:t>,</w:t>
      </w:r>
      <w:r w:rsidRPr="00195D9F">
        <w:t xml:space="preserve"> the UE does not </w:t>
      </w:r>
      <w:r>
        <w:rPr>
          <w:lang w:val="en-US"/>
        </w:rPr>
        <w:t>multiplex</w:t>
      </w:r>
      <w:r w:rsidRPr="00195D9F">
        <w:t xml:space="preserve"> the corresponding HARQ-ACK information</w:t>
      </w:r>
      <w:r>
        <w:rPr>
          <w:lang w:val="en-US"/>
        </w:rPr>
        <w:t xml:space="preserve"> in a PUCCH or PUSCH transmission</w:t>
      </w:r>
      <w:r w:rsidRPr="00195D9F">
        <w:t>.</w:t>
      </w:r>
      <w:r>
        <w:t xml:space="preserve"> </w:t>
      </w:r>
    </w:p>
    <w:p w14:paraId="282FCB2D" w14:textId="77777777" w:rsidR="005D7FC1" w:rsidRPr="00B916EC" w:rsidRDefault="005D7FC1" w:rsidP="00B42C92">
      <w:pPr>
        <w:pStyle w:val="Heading4"/>
      </w:pPr>
      <w:bookmarkStart w:id="480" w:name="_Ref500250940"/>
      <w:bookmarkStart w:id="481" w:name="_Toc12021473"/>
      <w:bookmarkStart w:id="482" w:name="_Toc20311585"/>
      <w:bookmarkStart w:id="483" w:name="_Toc26719410"/>
      <w:bookmarkStart w:id="484" w:name="_Toc29894843"/>
      <w:bookmarkStart w:id="485" w:name="_Toc29899142"/>
      <w:bookmarkStart w:id="486" w:name="_Toc29899560"/>
      <w:bookmarkStart w:id="487" w:name="_Toc29917297"/>
      <w:bookmarkStart w:id="488" w:name="_Toc36498171"/>
      <w:bookmarkStart w:id="489" w:name="_Toc45699197"/>
      <w:bookmarkStart w:id="490" w:name="_Toc161999123"/>
      <w:r w:rsidRPr="00B916EC">
        <w:t>9</w:t>
      </w:r>
      <w:r w:rsidRPr="00B916EC">
        <w:rPr>
          <w:rFonts w:hint="eastAsia"/>
        </w:rPr>
        <w:t>.</w:t>
      </w:r>
      <w:r w:rsidR="000B296E" w:rsidRPr="00B916EC">
        <w:t>1.3</w:t>
      </w:r>
      <w:r w:rsidRPr="00B916EC">
        <w:t>.1</w:t>
      </w:r>
      <w:r w:rsidRPr="00B916EC">
        <w:rPr>
          <w:rFonts w:hint="eastAsia"/>
        </w:rPr>
        <w:tab/>
      </w:r>
      <w:r w:rsidR="006A2F3B" w:rsidRPr="00B916EC">
        <w:t xml:space="preserve">Type-2 </w:t>
      </w:r>
      <w:r w:rsidRPr="00B916EC">
        <w:t xml:space="preserve">HARQ-ACK codebook in </w:t>
      </w:r>
      <w:bookmarkEnd w:id="480"/>
      <w:r w:rsidR="00B7736E" w:rsidRPr="00B916EC">
        <w:t>physical uplink control channel</w:t>
      </w:r>
      <w:bookmarkEnd w:id="481"/>
      <w:bookmarkEnd w:id="482"/>
      <w:bookmarkEnd w:id="483"/>
      <w:bookmarkEnd w:id="484"/>
      <w:bookmarkEnd w:id="485"/>
      <w:bookmarkEnd w:id="486"/>
      <w:bookmarkEnd w:id="487"/>
      <w:bookmarkEnd w:id="488"/>
      <w:bookmarkEnd w:id="489"/>
      <w:bookmarkEnd w:id="490"/>
    </w:p>
    <w:p w14:paraId="421BE20D" w14:textId="55F73DCF" w:rsidR="009C60F0" w:rsidRPr="00B06CC2" w:rsidRDefault="009C60F0" w:rsidP="009C60F0">
      <w:pPr>
        <w:rPr>
          <w:lang w:eastAsia="zh-CN"/>
        </w:rPr>
      </w:pPr>
      <w:r w:rsidRPr="00B06CC2">
        <w:rPr>
          <w:lang w:eastAsia="zh-CN"/>
        </w:rPr>
        <w:t>If a UE is configured to monitor PDCCH for multicast DCI formats with CRC scrambled by one or more G-RNTIs</w:t>
      </w:r>
      <w:r w:rsidR="008440E1">
        <w:rPr>
          <w:lang w:eastAsia="zh-CN"/>
        </w:rPr>
        <w:t xml:space="preserve"> </w:t>
      </w:r>
      <w:r w:rsidR="00743E93">
        <w:rPr>
          <w:lang w:eastAsia="zh-CN"/>
        </w:rPr>
        <w:t xml:space="preserve">for multicast </w:t>
      </w:r>
      <w:r w:rsidR="008440E1">
        <w:rPr>
          <w:lang w:eastAsia="zh-CN"/>
        </w:rPr>
        <w:t>or G-CS-RNTIs</w:t>
      </w:r>
      <w:r w:rsidRPr="00B06CC2">
        <w:rPr>
          <w:lang w:eastAsia="zh-CN"/>
        </w:rPr>
        <w:t xml:space="preserve"> that the UE generates a Type-2 HARQ-ACK codebook, the UE separately applies the </w:t>
      </w:r>
      <w:r w:rsidRPr="00B06CC2">
        <w:rPr>
          <w:lang w:eastAsia="zh-CN"/>
        </w:rPr>
        <w:lastRenderedPageBreak/>
        <w:t xml:space="preserve">procedures in this clause per G-RNTI </w:t>
      </w:r>
      <w:r w:rsidR="00743E93">
        <w:rPr>
          <w:lang w:eastAsia="zh-CN"/>
        </w:rPr>
        <w:t xml:space="preserve">for multicast </w:t>
      </w:r>
      <w:r w:rsidR="008440E1">
        <w:rPr>
          <w:lang w:eastAsia="zh-CN"/>
        </w:rPr>
        <w:t xml:space="preserve">or per G-CS-RNTI </w:t>
      </w:r>
      <w:r w:rsidR="00030139">
        <w:rPr>
          <w:lang w:eastAsia="zh-CN"/>
        </w:rPr>
        <w:t>using</w:t>
      </w:r>
      <w:r w:rsidR="00030139">
        <w:rPr>
          <w:rFonts w:hint="eastAsia"/>
        </w:rPr>
        <w:t xml:space="preserve"> </w:t>
      </w:r>
      <w:r w:rsidR="00030139" w:rsidRPr="006272B8">
        <w:rPr>
          <w:i/>
        </w:rPr>
        <w:t>maxNrofCodeWordsScheduledByDCI</w:t>
      </w:r>
      <w:r w:rsidR="00030139">
        <w:rPr>
          <w:rFonts w:hint="eastAsia"/>
        </w:rPr>
        <w:t xml:space="preserve"> in </w:t>
      </w:r>
      <w:r w:rsidR="00030139" w:rsidRPr="006272B8">
        <w:rPr>
          <w:i/>
        </w:rPr>
        <w:t>pdsch-ConfigMulticast</w:t>
      </w:r>
      <w:r w:rsidR="00030139" w:rsidRPr="00B86DFE">
        <w:rPr>
          <w:lang w:eastAsia="zh-CN"/>
        </w:rPr>
        <w:t xml:space="preserve"> </w:t>
      </w:r>
      <w:r w:rsidR="00111DC2" w:rsidRPr="00B86DFE">
        <w:rPr>
          <w:lang w:eastAsia="zh-CN"/>
        </w:rPr>
        <w:t xml:space="preserve">except the procedures for SPS PDSCHs </w:t>
      </w:r>
      <w:r w:rsidR="00030139">
        <w:rPr>
          <w:rFonts w:hint="eastAsia"/>
        </w:rPr>
        <w:t xml:space="preserve">and </w:t>
      </w:r>
      <w:r w:rsidR="00030139" w:rsidRPr="00D44980">
        <w:t>applies the procedures in this clause</w:t>
      </w:r>
      <w:r w:rsidR="00030139">
        <w:rPr>
          <w:rFonts w:hint="eastAsia"/>
        </w:rPr>
        <w:t xml:space="preserve"> </w:t>
      </w:r>
      <w:r w:rsidR="00030139">
        <w:t xml:space="preserve">using </w:t>
      </w:r>
      <w:r w:rsidR="00030139" w:rsidRPr="006272B8">
        <w:rPr>
          <w:i/>
        </w:rPr>
        <w:t>maxNrofCodeWordsScheduledByDCI</w:t>
      </w:r>
      <w:r w:rsidR="00030139">
        <w:rPr>
          <w:rFonts w:hint="eastAsia"/>
        </w:rPr>
        <w:t xml:space="preserve"> </w:t>
      </w:r>
      <w:r w:rsidR="00030139">
        <w:t xml:space="preserve">provided </w:t>
      </w:r>
      <w:r w:rsidR="00030139">
        <w:rPr>
          <w:rFonts w:hint="eastAsia"/>
        </w:rPr>
        <w:t xml:space="preserve">in </w:t>
      </w:r>
      <w:r w:rsidR="00030139" w:rsidRPr="006272B8">
        <w:rPr>
          <w:i/>
        </w:rPr>
        <w:t>pdsch-Config</w:t>
      </w:r>
      <w:r w:rsidR="00030139">
        <w:rPr>
          <w:rFonts w:hint="eastAsia"/>
          <w:i/>
        </w:rPr>
        <w:t xml:space="preserve"> </w:t>
      </w:r>
      <w:r w:rsidR="00030139" w:rsidRPr="00E656BD">
        <w:rPr>
          <w:rFonts w:hint="eastAsia"/>
        </w:rPr>
        <w:t xml:space="preserve">for </w:t>
      </w:r>
      <w:r w:rsidR="00030139">
        <w:rPr>
          <w:rFonts w:hint="eastAsia"/>
        </w:rPr>
        <w:t>unicast DCI formats</w:t>
      </w:r>
      <w:r w:rsidR="00030139">
        <w:t xml:space="preserve"> </w:t>
      </w:r>
      <w:r w:rsidR="00030139" w:rsidRPr="00D44980">
        <w:t xml:space="preserve">excluding the unicast DCI format </w:t>
      </w:r>
      <w:r w:rsidR="00030139">
        <w:t>activating SPS</w:t>
      </w:r>
      <w:r w:rsidR="00030139" w:rsidRPr="00D44980">
        <w:t xml:space="preserve"> PDSCH receptions</w:t>
      </w:r>
      <w:r w:rsidR="00030139">
        <w:t xml:space="preserve">, </w:t>
      </w:r>
      <w:r w:rsidRPr="00B06CC2">
        <w:rPr>
          <w:lang w:eastAsia="zh-CN"/>
        </w:rPr>
        <w:t>and determines the Type-2 HARQ-ACK codebook by concatenating the Type-2 HARQ-ACK codebook for unicast DCI formats</w:t>
      </w:r>
      <w:r w:rsidR="00111DC2">
        <w:rPr>
          <w:lang w:eastAsia="zh-CN"/>
        </w:rPr>
        <w:t xml:space="preserve"> </w:t>
      </w:r>
      <w:r w:rsidR="00111DC2">
        <w:t>excluding the unicast DCI format activating SPS PDSCH receptions</w:t>
      </w:r>
      <w:r w:rsidR="008440E1">
        <w:rPr>
          <w:lang w:eastAsia="zh-CN"/>
        </w:rPr>
        <w:t>,</w:t>
      </w:r>
      <w:r w:rsidRPr="00B06CC2">
        <w:rPr>
          <w:lang w:eastAsia="zh-CN"/>
        </w:rPr>
        <w:t xml:space="preserve"> followed by the HARQ-ACK codebooks for the multicast DCI formats in ascending order of the corresponding G-RNTI values</w:t>
      </w:r>
      <w:r w:rsidR="008440E1">
        <w:rPr>
          <w:lang w:eastAsia="zh-CN"/>
        </w:rPr>
        <w:t xml:space="preserve">, </w:t>
      </w:r>
      <w:r w:rsidR="008440E1" w:rsidRPr="00B06CC2">
        <w:rPr>
          <w:lang w:eastAsia="zh-CN"/>
        </w:rPr>
        <w:t>followed by the HARQ-ACK codebooks for the multicast DCI formats in ascending order of the corresponding G-</w:t>
      </w:r>
      <w:r w:rsidR="008440E1">
        <w:rPr>
          <w:lang w:eastAsia="zh-CN"/>
        </w:rPr>
        <w:t>CS-</w:t>
      </w:r>
      <w:r w:rsidR="008440E1" w:rsidRPr="00B06CC2">
        <w:rPr>
          <w:lang w:eastAsia="zh-CN"/>
        </w:rPr>
        <w:t>RNTI values</w:t>
      </w:r>
      <w:r w:rsidR="00111DC2">
        <w:rPr>
          <w:lang w:eastAsia="zh-CN"/>
        </w:rPr>
        <w:t xml:space="preserve"> </w:t>
      </w:r>
      <w:r w:rsidR="00111DC2">
        <w:t>excluding the multicast DCI format activating SPS PDSCH receptions, followed by the HARQ-ACK codebooks for unicast and multicast SPS PDSCH receptions</w:t>
      </w:r>
      <w:r w:rsidRPr="00B06CC2">
        <w:rPr>
          <w:lang w:eastAsia="zh-CN"/>
        </w:rPr>
        <w:t xml:space="preserve">. </w:t>
      </w:r>
    </w:p>
    <w:p w14:paraId="4C9242CE" w14:textId="4751B5A3" w:rsidR="00CD5BA3" w:rsidRDefault="00CD5BA3" w:rsidP="00CD5BA3">
      <w:pPr>
        <w:rPr>
          <w:lang w:eastAsia="zh-CN"/>
        </w:rPr>
      </w:pPr>
      <w:r>
        <w:rPr>
          <w:lang w:eastAsia="zh-CN"/>
        </w:rPr>
        <w:t>A</w:t>
      </w:r>
      <w:r w:rsidRPr="004F730A">
        <w:rPr>
          <w:lang w:eastAsia="zh-CN"/>
        </w:rPr>
        <w:t xml:space="preserve"> UE determines monitoring occasions </w:t>
      </w:r>
      <w:r w:rsidRPr="004F730A">
        <w:t xml:space="preserve">for PDCCH with DCI format </w:t>
      </w:r>
      <w:r>
        <w:rPr>
          <w:lang w:eastAsia="zh-CN"/>
        </w:rPr>
        <w:t>scheduling PDSCH receptions</w:t>
      </w:r>
      <w:r w:rsidR="00317368">
        <w:rPr>
          <w:lang w:eastAsia="zh-CN"/>
        </w:rPr>
        <w:t>,</w:t>
      </w:r>
      <w:r>
        <w:rPr>
          <w:lang w:eastAsia="zh-CN"/>
        </w:rPr>
        <w:t xml:space="preserve"> or </w:t>
      </w:r>
      <w:r w:rsidR="00317368">
        <w:rPr>
          <w:lang w:val="en-US" w:eastAsia="zh-CN"/>
        </w:rPr>
        <w:t>having associated</w:t>
      </w:r>
      <w:r w:rsidR="00317368" w:rsidRPr="00B27E56">
        <w:rPr>
          <w:lang w:val="en-US" w:eastAsia="zh-CN"/>
        </w:rPr>
        <w:t xml:space="preserve"> HARQ-ACK information without scheduling PDSCH reception,</w:t>
      </w:r>
      <w:r w:rsidR="00317368">
        <w:rPr>
          <w:lang w:eastAsia="zh-CN"/>
        </w:rPr>
        <w:t xml:space="preserve"> </w:t>
      </w:r>
      <w:r>
        <w:rPr>
          <w:lang w:eastAsia="zh-CN"/>
        </w:rPr>
        <w:t>on an active DL BWP of a</w:t>
      </w:r>
      <w:r w:rsidRPr="004F730A">
        <w:rPr>
          <w:lang w:eastAsia="zh-CN"/>
        </w:rPr>
        <w:t xml:space="preserve"> </w:t>
      </w:r>
      <w:r>
        <w:rPr>
          <w:lang w:eastAsia="zh-CN"/>
        </w:rPr>
        <w:t xml:space="preserve">serving </w:t>
      </w:r>
      <w:r w:rsidRPr="004F730A">
        <w:rPr>
          <w:lang w:eastAsia="zh-CN"/>
        </w:rPr>
        <w:t>cell</w:t>
      </w:r>
      <w:r>
        <w:rPr>
          <w:lang w:eastAsia="zh-CN"/>
        </w:rPr>
        <w:t xml:space="preserve"> </w:t>
      </w:r>
      <m:oMath>
        <m:r>
          <w:rPr>
            <w:rFonts w:ascii="Cambria Math" w:hAnsi="Cambria Math"/>
            <w:lang w:eastAsia="zh-CN"/>
          </w:rPr>
          <m:t>c</m:t>
        </m:r>
      </m:oMath>
      <w:r w:rsidR="007C057E" w:rsidRPr="004E08B3">
        <w:t xml:space="preserve">, as described </w:t>
      </w:r>
      <w:r w:rsidR="006F5F9E">
        <w:t>in clause</w:t>
      </w:r>
      <w:r w:rsidR="007C057E" w:rsidRPr="004E08B3">
        <w:t xml:space="preserve"> 10.1,</w:t>
      </w:r>
      <w:r>
        <w:t xml:space="preserve"> </w:t>
      </w:r>
      <w:r w:rsidRPr="00B916EC">
        <w:rPr>
          <w:lang w:val="en-US" w:eastAsia="zh-CN"/>
        </w:rPr>
        <w:t xml:space="preserve">and for which the UE transmits HARQ-ACK </w:t>
      </w:r>
      <w:r>
        <w:rPr>
          <w:lang w:val="en-US" w:eastAsia="zh-CN"/>
        </w:rPr>
        <w:t xml:space="preserve">information </w:t>
      </w:r>
      <w:r w:rsidRPr="00B916EC">
        <w:rPr>
          <w:lang w:val="en-US" w:eastAsia="zh-CN"/>
        </w:rPr>
        <w:t>in a same PUCCH</w:t>
      </w:r>
      <w:r>
        <w:rPr>
          <w:lang w:val="en-US" w:eastAsia="zh-CN"/>
        </w:rPr>
        <w:t xml:space="preserve"> in slot </w:t>
      </w:r>
      <m:oMath>
        <m:r>
          <w:rPr>
            <w:rFonts w:ascii="Cambria Math" w:hAnsi="Cambria Math"/>
            <w:lang w:val="en-US" w:eastAsia="zh-CN"/>
          </w:rPr>
          <m:t>n</m:t>
        </m:r>
      </m:oMath>
      <w:r>
        <w:t xml:space="preserve"> </w:t>
      </w:r>
      <w:r>
        <w:rPr>
          <w:lang w:val="en-US" w:eastAsia="zh-CN"/>
        </w:rPr>
        <w:t>based on</w:t>
      </w:r>
    </w:p>
    <w:p w14:paraId="428E9A5D" w14:textId="2E679764" w:rsidR="007E60C4" w:rsidRPr="00B27E56" w:rsidRDefault="007E60C4" w:rsidP="007E60C4">
      <w:pPr>
        <w:pStyle w:val="B1"/>
        <w:rPr>
          <w:lang w:eastAsia="zh-CN"/>
        </w:rPr>
      </w:pPr>
      <w:r w:rsidRPr="00B27E56">
        <w:rPr>
          <w:rFonts w:cs="Arial"/>
          <w:lang w:eastAsia="zh-CN"/>
        </w:rPr>
        <w:t>-</w:t>
      </w:r>
      <w:r w:rsidRPr="00B27E56">
        <w:rPr>
          <w:rFonts w:cs="Arial"/>
          <w:lang w:eastAsia="zh-CN"/>
        </w:rPr>
        <w:tab/>
      </w:r>
      <w:r w:rsidRPr="00B27E56">
        <w:rPr>
          <w:lang w:eastAsia="zh-CN"/>
        </w:rPr>
        <w:t xml:space="preserve">PDSCH-to-HARQ_feedback timing </w:t>
      </w:r>
      <w:r w:rsidRPr="00B27E56">
        <w:rPr>
          <w:lang w:val="en-US" w:eastAsia="zh-CN"/>
        </w:rPr>
        <w:t xml:space="preserve">indicator field </w:t>
      </w:r>
      <w:r w:rsidRPr="00B27E56">
        <w:rPr>
          <w:lang w:eastAsia="zh-CN"/>
        </w:rPr>
        <w:t>values</w:t>
      </w:r>
      <w:r w:rsidRPr="00B27E56">
        <w:rPr>
          <w:lang w:val="en-US" w:eastAsia="zh-CN"/>
        </w:rPr>
        <w:t xml:space="preserve">, </w:t>
      </w:r>
      <w:r w:rsidRPr="00B27E56">
        <w:rPr>
          <w:lang w:eastAsia="x-none"/>
        </w:rPr>
        <w:t>or</w:t>
      </w:r>
      <w:r w:rsidRPr="00B27E56">
        <w:rPr>
          <w:lang w:val="en-US" w:eastAsia="x-none"/>
        </w:rPr>
        <w:t xml:space="preserve"> a</w:t>
      </w:r>
      <w:r w:rsidRPr="00B27E56">
        <w:rPr>
          <w:lang w:eastAsia="x-none"/>
        </w:rPr>
        <w:t xml:space="preserve"> </w:t>
      </w:r>
      <w:r w:rsidRPr="00B27E56">
        <w:rPr>
          <w:i/>
          <w:iCs/>
          <w:lang w:eastAsia="x-none"/>
        </w:rPr>
        <w:t>dl-DataToUL-ACK</w:t>
      </w:r>
      <w:r w:rsidRPr="00B27E56">
        <w:rPr>
          <w:lang w:val="en-US" w:eastAsia="x-none"/>
        </w:rPr>
        <w:t xml:space="preserve">, </w:t>
      </w:r>
      <w:r w:rsidRPr="00B27E56">
        <w:rPr>
          <w:i/>
          <w:iCs/>
          <w:lang w:eastAsia="x-none"/>
        </w:rPr>
        <w:t>dl-DataToUL-ACK</w:t>
      </w:r>
      <w:r w:rsidRPr="00B27E56">
        <w:rPr>
          <w:i/>
          <w:iCs/>
          <w:lang w:val="en-US" w:eastAsia="x-none"/>
        </w:rPr>
        <w:t>-r16</w:t>
      </w:r>
      <w:r w:rsidRPr="00B27E56">
        <w:rPr>
          <w:lang w:val="en-US" w:eastAsia="x-none"/>
        </w:rPr>
        <w:t xml:space="preserve"> or </w:t>
      </w:r>
      <w:r w:rsidR="009630C1" w:rsidRPr="00111FF6">
        <w:rPr>
          <w:i/>
        </w:rPr>
        <w:t>dl-DataToUL-ACK</w:t>
      </w:r>
      <w:r w:rsidR="009630C1" w:rsidRPr="00111FF6">
        <w:rPr>
          <w:i/>
          <w:lang w:val="en-US"/>
        </w:rPr>
        <w:t>-DCI-1-2</w:t>
      </w:r>
      <w:r w:rsidRPr="00B27E56">
        <w:rPr>
          <w:rFonts w:hint="eastAsia"/>
          <w:lang w:val="en-US" w:eastAsia="zh-CN"/>
        </w:rPr>
        <w:t xml:space="preserve"> </w:t>
      </w:r>
      <w:r w:rsidR="00B816A6">
        <w:rPr>
          <w:rFonts w:eastAsia="Malgun Gothic"/>
          <w:lang w:val="en-US" w:eastAsia="zh-CN"/>
        </w:rPr>
        <w:t xml:space="preserve">or </w:t>
      </w:r>
      <w:r w:rsidR="00B816A6">
        <w:rPr>
          <w:i/>
          <w:lang w:val="en-US"/>
        </w:rPr>
        <w:t>dl-DataToUL-ACK-r17</w:t>
      </w:r>
      <w:r w:rsidR="00B816A6">
        <w:rPr>
          <w:rFonts w:eastAsia="Malgun Gothic"/>
          <w:lang w:val="en-US" w:eastAsia="zh-CN"/>
        </w:rPr>
        <w:t xml:space="preserve"> </w:t>
      </w:r>
      <w:r w:rsidR="00004767" w:rsidRPr="00F31F88">
        <w:rPr>
          <w:lang w:val="en-US"/>
        </w:rPr>
        <w:t xml:space="preserve">or </w:t>
      </w:r>
      <w:r w:rsidR="00004767" w:rsidRPr="006A74E7">
        <w:rPr>
          <w:i/>
          <w:lang w:val="en-US"/>
        </w:rPr>
        <w:t>dl-DataToUL-ACK-v1700</w:t>
      </w:r>
      <w:r w:rsidR="00004767" w:rsidRPr="00990E06">
        <w:rPr>
          <w:rFonts w:eastAsia="Malgun Gothic"/>
          <w:lang w:val="en-US" w:eastAsia="zh-CN"/>
        </w:rPr>
        <w:t xml:space="preserve"> </w:t>
      </w:r>
      <w:r w:rsidR="00B816A6">
        <w:rPr>
          <w:rFonts w:eastAsia="Malgun Gothic"/>
          <w:lang w:val="en-US" w:eastAsia="zh-CN"/>
        </w:rPr>
        <w:t xml:space="preserve">or </w:t>
      </w:r>
      <w:r w:rsidR="00B816A6">
        <w:rPr>
          <w:rFonts w:eastAsia="Malgun Gothic"/>
          <w:i/>
        </w:rPr>
        <w:t>dl-DataToUL-ACK</w:t>
      </w:r>
      <w:r w:rsidR="00B816A6">
        <w:rPr>
          <w:rFonts w:eastAsia="Malgun Gothic"/>
          <w:i/>
          <w:lang w:val="en-US"/>
        </w:rPr>
        <w:t>-DCI-1-2-r17</w:t>
      </w:r>
      <w:r w:rsidR="00B816A6">
        <w:rPr>
          <w:rFonts w:eastAsia="Malgun Gothic" w:hint="eastAsia"/>
          <w:lang w:val="en-US" w:eastAsia="zh-CN"/>
        </w:rPr>
        <w:t xml:space="preserve"> </w:t>
      </w:r>
      <w:r w:rsidRPr="00B27E56">
        <w:rPr>
          <w:lang w:val="en-US" w:eastAsia="zh-CN"/>
        </w:rPr>
        <w:t xml:space="preserve">value </w:t>
      </w:r>
      <w:r w:rsidRPr="00B27E56">
        <w:rPr>
          <w:lang w:eastAsia="x-none"/>
        </w:rPr>
        <w:t xml:space="preserve">if the PDSCH-to-HARQ_feedback timing indicator field is not present in </w:t>
      </w:r>
      <w:r w:rsidRPr="00B27E56">
        <w:rPr>
          <w:lang w:val="en-US" w:eastAsia="x-none"/>
        </w:rPr>
        <w:t>a</w:t>
      </w:r>
      <w:r w:rsidRPr="00B27E56">
        <w:rPr>
          <w:lang w:eastAsia="x-none"/>
        </w:rPr>
        <w:t xml:space="preserve"> DCI format</w:t>
      </w:r>
      <w:r w:rsidRPr="00B27E56">
        <w:rPr>
          <w:lang w:val="en-US" w:eastAsia="x-none"/>
        </w:rPr>
        <w:t>,</w:t>
      </w:r>
      <w:r w:rsidRPr="00B27E56">
        <w:rPr>
          <w:lang w:eastAsia="zh-CN"/>
        </w:rPr>
        <w:t xml:space="preserve"> </w:t>
      </w:r>
      <w:r w:rsidRPr="00B27E56">
        <w:rPr>
          <w:lang w:val="en-US" w:eastAsia="zh-CN"/>
        </w:rPr>
        <w:t xml:space="preserve">for PUCCH transmission with HARQ-ACK information in slot </w:t>
      </w:r>
      <m:oMath>
        <m:r>
          <w:rPr>
            <w:rFonts w:ascii="Cambria Math" w:hAnsi="Cambria Math"/>
            <w:lang w:val="en-US" w:eastAsia="zh-CN"/>
          </w:rPr>
          <m:t>n</m:t>
        </m:r>
      </m:oMath>
      <w:r w:rsidRPr="00B27E56">
        <w:rPr>
          <w:lang w:val="en-US" w:eastAsia="zh-CN"/>
        </w:rPr>
        <w:t>, as described in clause 9.2.3,</w:t>
      </w:r>
      <w:r w:rsidRPr="00B27E56">
        <w:rPr>
          <w:lang w:val="en-US"/>
        </w:rPr>
        <w:t xml:space="preserve"> </w:t>
      </w:r>
      <w:r w:rsidRPr="00B27E56">
        <w:rPr>
          <w:lang w:val="en-US" w:eastAsia="zh-CN"/>
        </w:rPr>
        <w:t xml:space="preserve">in response to PDSCH receptions, or </w:t>
      </w:r>
      <w:r w:rsidR="00916D81" w:rsidRPr="00F415B1">
        <w:rPr>
          <w:lang w:val="en-US" w:eastAsia="zh-CN"/>
        </w:rPr>
        <w:t>in response</w:t>
      </w:r>
      <w:r w:rsidR="00916D81" w:rsidRPr="00B27E56">
        <w:rPr>
          <w:lang w:val="en-US" w:eastAsia="zh-CN"/>
        </w:rPr>
        <w:t xml:space="preserve"> </w:t>
      </w:r>
      <w:r w:rsidRPr="00B27E56">
        <w:rPr>
          <w:lang w:val="en-US" w:eastAsia="zh-CN"/>
        </w:rPr>
        <w:t xml:space="preserve">to a DCI format </w:t>
      </w:r>
      <w:r>
        <w:rPr>
          <w:lang w:val="en-US" w:eastAsia="zh-CN"/>
        </w:rPr>
        <w:t>having associated</w:t>
      </w:r>
      <w:r w:rsidRPr="00B27E56">
        <w:rPr>
          <w:lang w:val="en-US" w:eastAsia="zh-CN"/>
        </w:rPr>
        <w:t xml:space="preserve"> HARQ-ACK information without scheduling PDSCH reception</w:t>
      </w:r>
    </w:p>
    <w:p w14:paraId="5118EF4D" w14:textId="5B767512" w:rsidR="00CD5BA3" w:rsidRPr="00DB01BB" w:rsidRDefault="007C057E" w:rsidP="007C057E">
      <w:pPr>
        <w:pStyle w:val="B1"/>
        <w:rPr>
          <w:color w:val="000000"/>
          <w:lang w:val="en-US"/>
        </w:rPr>
      </w:pPr>
      <w:r w:rsidRPr="004E08B3">
        <w:rPr>
          <w:rFonts w:cs="Arial"/>
          <w:lang w:eastAsia="zh-CN"/>
        </w:rPr>
        <w:t>-</w:t>
      </w:r>
      <w:r w:rsidRPr="004E08B3">
        <w:rPr>
          <w:rFonts w:cs="Arial"/>
          <w:lang w:eastAsia="zh-CN"/>
        </w:rPr>
        <w:tab/>
      </w:r>
      <w:r w:rsidRPr="004E08B3">
        <w:rPr>
          <w:lang w:val="en-US" w:eastAsia="zh-CN"/>
        </w:rPr>
        <w:t xml:space="preserve">slot offsets </w:t>
      </w:r>
      <m:oMath>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0</m:t>
            </m:r>
          </m:sub>
        </m:sSub>
      </m:oMath>
      <w:r w:rsidRPr="004E08B3">
        <w:rPr>
          <w:lang w:val="en-US" w:eastAsia="zh-CN"/>
        </w:rPr>
        <w:t xml:space="preserve"> </w:t>
      </w:r>
      <w:r w:rsidRPr="004E08B3">
        <w:rPr>
          <w:lang w:eastAsia="zh-CN"/>
        </w:rPr>
        <w:t>[6, TS 38.214</w:t>
      </w:r>
      <w:r w:rsidRPr="004E08B3">
        <w:rPr>
          <w:lang w:val="en-US" w:eastAsia="zh-CN"/>
        </w:rPr>
        <w:t xml:space="preserve">] </w:t>
      </w:r>
      <w:r w:rsidRPr="004E08B3">
        <w:rPr>
          <w:rFonts w:eastAsia="Yu Mincho"/>
          <w:lang w:eastAsia="zh-CN"/>
        </w:rPr>
        <w:t>provided by tim</w:t>
      </w:r>
      <w:r>
        <w:rPr>
          <w:rFonts w:eastAsia="Yu Mincho"/>
          <w:lang w:eastAsia="zh-CN"/>
        </w:rPr>
        <w:t>e domain resource assignment fi</w:t>
      </w:r>
      <w:r w:rsidRPr="004E08B3">
        <w:rPr>
          <w:rFonts w:eastAsia="Yu Mincho"/>
          <w:lang w:eastAsia="zh-CN"/>
        </w:rPr>
        <w:t>e</w:t>
      </w:r>
      <w:r>
        <w:rPr>
          <w:rFonts w:eastAsia="Yu Mincho"/>
          <w:lang w:val="en-US" w:eastAsia="zh-CN"/>
        </w:rPr>
        <w:t>l</w:t>
      </w:r>
      <w:r w:rsidRPr="004E08B3">
        <w:rPr>
          <w:rFonts w:eastAsia="Yu Mincho"/>
          <w:lang w:eastAsia="zh-CN"/>
        </w:rPr>
        <w:t xml:space="preserve">d in </w:t>
      </w:r>
      <w:r w:rsidR="000B38AB">
        <w:rPr>
          <w:rFonts w:eastAsia="Yu Mincho"/>
          <w:lang w:val="en-US" w:eastAsia="zh-CN"/>
        </w:rPr>
        <w:t xml:space="preserve">a </w:t>
      </w:r>
      <w:r w:rsidRPr="004E08B3">
        <w:rPr>
          <w:rFonts w:eastAsia="Yu Mincho"/>
          <w:lang w:eastAsia="zh-CN"/>
        </w:rPr>
        <w:t>DCI format schedulin</w:t>
      </w:r>
      <w:r w:rsidRPr="000C0818">
        <w:rPr>
          <w:rFonts w:eastAsia="Yu Mincho"/>
          <w:lang w:eastAsia="zh-CN"/>
        </w:rPr>
        <w:t>g PDSCH receptions</w:t>
      </w:r>
      <w:r w:rsidR="00CD5BA3">
        <w:rPr>
          <w:color w:val="000000"/>
          <w:lang w:val="en-US"/>
        </w:rPr>
        <w:t xml:space="preserve"> and by </w:t>
      </w:r>
      <w:r w:rsidR="00CD5BA3" w:rsidRPr="00E20580">
        <w:rPr>
          <w:i/>
        </w:rPr>
        <w:t>pdsch-AggregationFactor</w:t>
      </w:r>
      <w:r w:rsidR="004A2120" w:rsidRPr="003B31A8">
        <w:rPr>
          <w:iCs/>
          <w:lang w:val="en-US"/>
        </w:rPr>
        <w:t xml:space="preserve">, </w:t>
      </w:r>
      <w:r w:rsidR="004A2120">
        <w:rPr>
          <w:iCs/>
          <w:lang w:val="en-US"/>
        </w:rPr>
        <w:t xml:space="preserve">or </w:t>
      </w:r>
      <w:r w:rsidR="004A2120" w:rsidRPr="00E20580">
        <w:rPr>
          <w:i/>
        </w:rPr>
        <w:t>pdsch-AggregationFactor</w:t>
      </w:r>
      <w:r w:rsidR="004A2120">
        <w:rPr>
          <w:i/>
          <w:lang w:val="en-US"/>
        </w:rPr>
        <w:t>-r16</w:t>
      </w:r>
      <w:r w:rsidR="004A2120">
        <w:rPr>
          <w:iCs/>
          <w:lang w:val="en-US"/>
        </w:rPr>
        <w:t>,</w:t>
      </w:r>
      <w:r w:rsidR="00DF5C8B" w:rsidRPr="0023704A">
        <w:rPr>
          <w:iCs/>
        </w:rPr>
        <w:t xml:space="preserve"> or</w:t>
      </w:r>
      <w:r w:rsidR="00DF5C8B" w:rsidRPr="0023704A">
        <w:t xml:space="preserve"> </w:t>
      </w:r>
      <w:r w:rsidR="00BB6A95" w:rsidRPr="00054C5F">
        <w:rPr>
          <w:i/>
          <w:iCs/>
          <w:lang w:val="en-US" w:eastAsia="zh-CN"/>
        </w:rPr>
        <w:t>repetitionNumber</w:t>
      </w:r>
      <w:r w:rsidR="00CD5BA3">
        <w:t>,</w:t>
      </w:r>
      <w:r w:rsidR="00CD5BA3">
        <w:rPr>
          <w:lang w:val="en-US"/>
        </w:rPr>
        <w:t xml:space="preserve"> when provided.</w:t>
      </w:r>
    </w:p>
    <w:p w14:paraId="44A13863" w14:textId="1BFEEC64" w:rsidR="000B36B8" w:rsidRPr="00B50C4D" w:rsidRDefault="000B36B8" w:rsidP="000B36B8">
      <w:pPr>
        <w:rPr>
          <w:lang w:eastAsia="zh-CN"/>
        </w:rPr>
      </w:pPr>
      <w:r w:rsidRPr="004F730A">
        <w:rPr>
          <w:lang w:eastAsia="zh-CN"/>
        </w:rPr>
        <w:t>The set of PDCCH monitoring occasions</w:t>
      </w:r>
      <w:r w:rsidR="007C057E">
        <w:rPr>
          <w:lang w:eastAsia="zh-CN"/>
        </w:rPr>
        <w:t xml:space="preserve"> </w:t>
      </w:r>
      <w:r w:rsidR="007C057E" w:rsidRPr="00E26367">
        <w:rPr>
          <w:rFonts w:eastAsia="Yu Mincho" w:hint="eastAsia"/>
        </w:rPr>
        <w:t>for DCI format</w:t>
      </w:r>
      <w:r w:rsidR="00916D81">
        <w:rPr>
          <w:rFonts w:eastAsia="Yu Mincho"/>
        </w:rPr>
        <w:t>s</w:t>
      </w:r>
      <w:r w:rsidR="007C057E" w:rsidRPr="00E26367">
        <w:rPr>
          <w:rFonts w:eastAsia="Yu Mincho" w:hint="eastAsia"/>
        </w:rPr>
        <w:t xml:space="preserve"> scheduling PDSCH receptions</w:t>
      </w:r>
      <w:r w:rsidR="007E60C4" w:rsidRPr="00B27E56">
        <w:rPr>
          <w:rFonts w:eastAsia="Yu Mincho"/>
        </w:rPr>
        <w:t>,</w:t>
      </w:r>
      <w:r w:rsidR="007E60C4" w:rsidRPr="00B27E56">
        <w:rPr>
          <w:rFonts w:eastAsia="Yu Mincho" w:hint="eastAsia"/>
        </w:rPr>
        <w:t xml:space="preserve"> or </w:t>
      </w:r>
      <w:r w:rsidR="007E60C4">
        <w:rPr>
          <w:lang w:val="en-US" w:eastAsia="zh-CN"/>
        </w:rPr>
        <w:t>having associated</w:t>
      </w:r>
      <w:r w:rsidR="007E60C4" w:rsidRPr="00B27E56">
        <w:rPr>
          <w:lang w:val="en-US" w:eastAsia="zh-CN"/>
        </w:rPr>
        <w:t xml:space="preserve"> HARQ-ACK information without scheduling PDSCH reception,</w:t>
      </w:r>
      <w:r w:rsidR="007C55C0">
        <w:rPr>
          <w:rFonts w:hint="eastAsia"/>
          <w:lang w:val="en-US" w:eastAsia="zh-CN"/>
        </w:rPr>
        <w:t xml:space="preserve"> </w:t>
      </w:r>
      <w:r w:rsidRPr="004F730A">
        <w:rPr>
          <w:lang w:eastAsia="zh-CN"/>
        </w:rPr>
        <w:t>is defined as the union of PDCCH monitoring occasions across</w:t>
      </w:r>
      <w:r w:rsidR="00960881" w:rsidRPr="00960881">
        <w:rPr>
          <w:lang w:eastAsia="zh-CN"/>
        </w:rPr>
        <w:t xml:space="preserve"> </w:t>
      </w:r>
      <w:r w:rsidR="00960881">
        <w:rPr>
          <w:lang w:eastAsia="zh-CN"/>
        </w:rPr>
        <w:t>active DL BWPs of</w:t>
      </w:r>
      <w:r w:rsidRPr="004F730A">
        <w:rPr>
          <w:lang w:eastAsia="zh-CN"/>
        </w:rPr>
        <w:t xml:space="preserve"> configured </w:t>
      </w:r>
      <w:r w:rsidR="00960881">
        <w:rPr>
          <w:lang w:eastAsia="zh-CN"/>
        </w:rPr>
        <w:t xml:space="preserve">serving </w:t>
      </w:r>
      <w:r w:rsidRPr="004F730A">
        <w:rPr>
          <w:lang w:eastAsia="zh-CN"/>
        </w:rPr>
        <w:t>cells</w:t>
      </w:r>
      <w:r w:rsidR="0070595A">
        <w:rPr>
          <w:lang w:eastAsia="zh-CN"/>
        </w:rPr>
        <w:t>.</w:t>
      </w:r>
      <w:r w:rsidR="0070595A" w:rsidRPr="00D3157D">
        <w:t xml:space="preserve"> </w:t>
      </w:r>
      <w:r w:rsidR="0070595A">
        <w:t>PDCCH monitoring occasions</w:t>
      </w:r>
      <w:r w:rsidR="0070595A" w:rsidRPr="00B916EC">
        <w:t xml:space="preserve"> are indexed in a</w:t>
      </w:r>
      <w:r w:rsidR="0070595A">
        <w:t>n</w:t>
      </w:r>
      <w:r w:rsidR="0070595A" w:rsidRPr="00B916EC">
        <w:t xml:space="preserve"> </w:t>
      </w:r>
      <w:r w:rsidR="0070595A">
        <w:t>ascending</w:t>
      </w:r>
      <w:r w:rsidR="0070595A" w:rsidRPr="00B916EC">
        <w:t xml:space="preserve"> order </w:t>
      </w:r>
      <w:r w:rsidR="0070595A" w:rsidRPr="004F730A">
        <w:rPr>
          <w:lang w:eastAsia="zh-CN"/>
        </w:rPr>
        <w:t xml:space="preserve">of </w:t>
      </w:r>
      <w:r w:rsidR="006C5786">
        <w:rPr>
          <w:lang w:eastAsia="zh-CN"/>
        </w:rPr>
        <w:t xml:space="preserve">their </w:t>
      </w:r>
      <w:r w:rsidR="0070595A" w:rsidRPr="004F730A">
        <w:rPr>
          <w:lang w:eastAsia="zh-CN"/>
        </w:rPr>
        <w:t>start time</w:t>
      </w:r>
      <w:r w:rsidR="006C5786">
        <w:rPr>
          <w:lang w:eastAsia="zh-CN"/>
        </w:rPr>
        <w:t>s</w:t>
      </w:r>
      <w:r w:rsidR="0070595A" w:rsidRPr="002017B5">
        <w:t xml:space="preserve">. </w:t>
      </w:r>
      <w:r w:rsidRPr="004F730A">
        <w:rPr>
          <w:lang w:eastAsia="zh-CN"/>
        </w:rPr>
        <w:t xml:space="preserve">The </w:t>
      </w:r>
      <w:r>
        <w:rPr>
          <w:lang w:eastAsia="zh-CN"/>
        </w:rPr>
        <w:t xml:space="preserve">cardinality of the set of PDCCH monitoring occasions defines a total </w:t>
      </w:r>
      <w:r w:rsidRPr="004F730A">
        <w:rPr>
          <w:lang w:eastAsia="zh-CN"/>
        </w:rPr>
        <w:t xml:space="preserve">number </w:t>
      </w:r>
      <m:oMath>
        <m:r>
          <w:rPr>
            <w:rFonts w:ascii="Cambria Math" w:hAnsi="Cambria Math"/>
            <w:lang w:eastAsia="zh-CN"/>
          </w:rPr>
          <m:t>M</m:t>
        </m:r>
      </m:oMath>
      <w:r w:rsidRPr="004F730A">
        <w:rPr>
          <w:lang w:eastAsia="zh-CN"/>
        </w:rPr>
        <w:t xml:space="preserve"> of PDCCH monitoring occasions.</w:t>
      </w:r>
      <w:r w:rsidR="00B50C4D">
        <w:rPr>
          <w:lang w:eastAsia="zh-CN"/>
        </w:rPr>
        <w:t xml:space="preserve"> PDCCH monitoring occasions are separately counted for a </w:t>
      </w:r>
      <w:r w:rsidR="00B50C4D" w:rsidRPr="00B27E56">
        <w:rPr>
          <w:lang w:val="en-US"/>
        </w:rPr>
        <w:t xml:space="preserve">DCI format </w:t>
      </w:r>
      <w:r w:rsidR="00B50C4D">
        <w:rPr>
          <w:lang w:val="en-US"/>
        </w:rPr>
        <w:t xml:space="preserve">scheduling a PDSCH reception on a single serving cell and for a DCI format scheduling PDSCH receptions on more than one serving cells and corresponding values of </w:t>
      </w:r>
      <m:oMath>
        <m:r>
          <w:rPr>
            <w:rFonts w:ascii="Cambria Math" w:hAnsi="Cambria Math"/>
            <w:lang w:eastAsia="zh-CN"/>
          </w:rPr>
          <m:t>M</m:t>
        </m:r>
      </m:oMath>
      <w:r w:rsidR="00B50C4D">
        <w:rPr>
          <w:lang w:eastAsia="zh-CN"/>
        </w:rPr>
        <w:t xml:space="preserve"> can be different.</w:t>
      </w:r>
    </w:p>
    <w:p w14:paraId="4272FD35" w14:textId="1AB5EAD1" w:rsidR="007E60C4" w:rsidRPr="00B27E56" w:rsidRDefault="007E60C4" w:rsidP="007E60C4">
      <w:pPr>
        <w:rPr>
          <w:lang w:eastAsia="zh-CN"/>
        </w:rPr>
      </w:pPr>
      <w:r w:rsidRPr="00B27E56">
        <w:t>A</w:t>
      </w:r>
      <w:r w:rsidRPr="00B27E56">
        <w:rPr>
          <w:lang w:val="en-US"/>
        </w:rPr>
        <w:t xml:space="preserve"> value of the </w:t>
      </w:r>
      <w:r w:rsidRPr="00B27E56">
        <w:rPr>
          <w:rFonts w:hint="eastAsia"/>
          <w:lang w:val="en-US" w:eastAsia="zh-CN"/>
        </w:rPr>
        <w:t xml:space="preserve">counter </w:t>
      </w:r>
      <w:r w:rsidRPr="00B27E56">
        <w:rPr>
          <w:lang w:eastAsia="zh-CN"/>
        </w:rPr>
        <w:t>d</w:t>
      </w:r>
      <w:r w:rsidRPr="00B27E56">
        <w:rPr>
          <w:rFonts w:hint="eastAsia"/>
          <w:lang w:eastAsia="zh-CN"/>
        </w:rPr>
        <w:t xml:space="preserve">ownlink </w:t>
      </w:r>
      <w:r w:rsidRPr="00B27E56">
        <w:rPr>
          <w:lang w:eastAsia="zh-CN"/>
        </w:rPr>
        <w:t>a</w:t>
      </w:r>
      <w:r w:rsidRPr="00B27E56">
        <w:rPr>
          <w:rFonts w:hint="eastAsia"/>
          <w:lang w:eastAsia="zh-CN"/>
        </w:rPr>
        <w:t xml:space="preserve">ssignment </w:t>
      </w:r>
      <w:r w:rsidRPr="00B27E56">
        <w:rPr>
          <w:lang w:eastAsia="zh-CN"/>
        </w:rPr>
        <w:t>i</w:t>
      </w:r>
      <w:r w:rsidRPr="00B27E56">
        <w:rPr>
          <w:rFonts w:hint="eastAsia"/>
          <w:lang w:eastAsia="zh-CN"/>
        </w:rPr>
        <w:t>ndicator (DAI)</w:t>
      </w:r>
      <w:r w:rsidRPr="00B27E56">
        <w:rPr>
          <w:lang w:val="en-US"/>
        </w:rPr>
        <w:t xml:space="preserve"> field in DCI formats</w:t>
      </w:r>
      <w:r w:rsidR="00B50C4D">
        <w:rPr>
          <w:lang w:val="en-US"/>
        </w:rPr>
        <w:t>, each</w:t>
      </w:r>
      <w:r w:rsidR="00B50C4D" w:rsidRPr="00B27E56">
        <w:rPr>
          <w:lang w:val="en-US"/>
        </w:rPr>
        <w:t xml:space="preserve"> </w:t>
      </w:r>
      <w:r w:rsidR="00B50C4D">
        <w:rPr>
          <w:lang w:val="en-US"/>
        </w:rPr>
        <w:t>scheduling PDSCH receptions on respective single serving cells with associated HARQ-ACK information, or having associated HARQ-ACK information without scheduling a PDSCH reception, in a same HARQ-ACK codebook</w:t>
      </w:r>
      <w:r w:rsidRPr="00B27E56">
        <w:rPr>
          <w:lang w:val="en-US"/>
        </w:rPr>
        <w:t xml:space="preserve"> denotes the accumulative number of </w:t>
      </w:r>
      <w:r w:rsidRPr="00B27E56">
        <w:rPr>
          <w:rFonts w:hint="eastAsia"/>
          <w:lang w:val="en-US" w:eastAsia="zh-CN"/>
        </w:rPr>
        <w:t xml:space="preserve">{serving cell, </w:t>
      </w:r>
      <w:r w:rsidRPr="00B27E56">
        <w:rPr>
          <w:lang w:val="en-US" w:eastAsia="zh-CN"/>
        </w:rPr>
        <w:t>PDCCH monitoring occasion</w:t>
      </w:r>
      <w:r w:rsidRPr="00B27E56">
        <w:rPr>
          <w:rFonts w:hint="eastAsia"/>
          <w:lang w:val="en-US" w:eastAsia="zh-CN"/>
        </w:rPr>
        <w:t xml:space="preserve">}-pairs in which </w:t>
      </w:r>
      <w:r w:rsidRPr="00B27E56">
        <w:rPr>
          <w:lang w:val="en-US"/>
        </w:rPr>
        <w:t>PDSCH reception</w:t>
      </w:r>
      <w:r w:rsidRPr="00B27E56">
        <w:rPr>
          <w:rFonts w:hint="eastAsia"/>
          <w:lang w:val="en-US" w:eastAsia="zh-CN"/>
        </w:rPr>
        <w:t>s</w:t>
      </w:r>
      <w:r w:rsidR="00E83236">
        <w:rPr>
          <w:lang w:val="en-US" w:eastAsia="zh-CN"/>
        </w:rPr>
        <w:t xml:space="preserve"> that provide transport blocks with enabled HARQ-ACK information report</w:t>
      </w:r>
      <w:r w:rsidRPr="00B27E56">
        <w:rPr>
          <w:lang w:val="en-US" w:eastAsia="zh-CN"/>
        </w:rPr>
        <w:t>, or HARQ-ACK information bits that are not in response for PDSCH receptions,</w:t>
      </w:r>
      <w:r w:rsidRPr="00B27E56">
        <w:rPr>
          <w:rFonts w:hint="eastAsia"/>
          <w:lang w:val="en-US" w:eastAsia="zh-CN"/>
        </w:rPr>
        <w:t xml:space="preserve"> associated with </w:t>
      </w:r>
      <w:r w:rsidRPr="00B27E56">
        <w:rPr>
          <w:lang w:val="en-US" w:eastAsia="zh-CN"/>
        </w:rPr>
        <w:t>the DCI formats</w:t>
      </w:r>
      <w:r w:rsidR="00280145">
        <w:rPr>
          <w:lang w:val="en-US" w:eastAsia="zh-CN"/>
        </w:rPr>
        <w:t>, excluding the SPS activation DCI,</w:t>
      </w:r>
      <w:r w:rsidRPr="00B27E56">
        <w:rPr>
          <w:rFonts w:hint="eastAsia"/>
          <w:lang w:val="en-US" w:eastAsia="zh-CN"/>
        </w:rPr>
        <w:t xml:space="preserve"> </w:t>
      </w:r>
      <w:r w:rsidRPr="00B27E56">
        <w:rPr>
          <w:rFonts w:cs="Arial" w:hint="eastAsia"/>
          <w:lang w:eastAsia="zh-CN"/>
        </w:rPr>
        <w:t>is present</w:t>
      </w:r>
      <w:r w:rsidRPr="00B27E56">
        <w:rPr>
          <w:lang w:val="en-US"/>
        </w:rPr>
        <w:t xml:space="preserve"> up to</w:t>
      </w:r>
      <w:r w:rsidRPr="00B27E56">
        <w:rPr>
          <w:rFonts w:hint="eastAsia"/>
          <w:lang w:eastAsia="zh-CN"/>
        </w:rPr>
        <w:t xml:space="preserve"> the </w:t>
      </w:r>
      <w:r w:rsidRPr="00B27E56">
        <w:rPr>
          <w:lang w:eastAsia="zh-CN"/>
        </w:rPr>
        <w:t>current</w:t>
      </w:r>
      <w:r w:rsidRPr="00B27E56">
        <w:rPr>
          <w:rFonts w:hint="eastAsia"/>
          <w:lang w:eastAsia="zh-CN"/>
        </w:rPr>
        <w:t xml:space="preserve"> serving cell and </w:t>
      </w:r>
      <w:r w:rsidRPr="00B27E56">
        <w:rPr>
          <w:lang w:eastAsia="zh-CN"/>
        </w:rPr>
        <w:t>current</w:t>
      </w:r>
      <w:r w:rsidRPr="00B27E56">
        <w:rPr>
          <w:rFonts w:hint="eastAsia"/>
          <w:lang w:eastAsia="zh-CN"/>
        </w:rPr>
        <w:t xml:space="preserve"> </w:t>
      </w:r>
      <w:r w:rsidRPr="00B27E56">
        <w:rPr>
          <w:lang w:eastAsia="zh-CN"/>
        </w:rPr>
        <w:t>PDCCH monitoring occasion</w:t>
      </w:r>
      <w:r w:rsidRPr="00B27E56">
        <w:rPr>
          <w:rFonts w:hint="eastAsia"/>
          <w:lang w:eastAsia="zh-CN"/>
        </w:rPr>
        <w:t xml:space="preserve">, </w:t>
      </w:r>
    </w:p>
    <w:p w14:paraId="231D3D25" w14:textId="1F9F4EA9" w:rsidR="004A2120" w:rsidRDefault="004A2120" w:rsidP="004A2120">
      <w:pPr>
        <w:pStyle w:val="B1"/>
      </w:pPr>
      <w:r>
        <w:rPr>
          <w:lang w:eastAsia="zh-CN"/>
        </w:rPr>
        <w:t>-</w:t>
      </w:r>
      <w:r>
        <w:rPr>
          <w:lang w:eastAsia="zh-CN"/>
        </w:rPr>
        <w:tab/>
      </w:r>
      <w:r w:rsidR="00F37E87" w:rsidRPr="00B916EC">
        <w:rPr>
          <w:rFonts w:hint="eastAsia"/>
          <w:lang w:eastAsia="zh-CN"/>
        </w:rPr>
        <w:t>first</w:t>
      </w:r>
      <w:r>
        <w:rPr>
          <w:lang w:val="en-US" w:eastAsia="zh-CN"/>
        </w:rPr>
        <w:t>,</w:t>
      </w:r>
      <w:r w:rsidR="00F37E87" w:rsidRPr="00B916EC">
        <w:rPr>
          <w:rFonts w:hint="eastAsia"/>
          <w:lang w:eastAsia="zh-CN"/>
        </w:rPr>
        <w:t xml:space="preserve"> </w:t>
      </w:r>
      <w:r w:rsidR="00321D6E" w:rsidRPr="00EC6AD2">
        <w:t>if the UE indicate</w:t>
      </w:r>
      <w:r w:rsidR="00321D6E">
        <w:t>s</w:t>
      </w:r>
      <w:r w:rsidR="00321D6E" w:rsidRPr="00EC6AD2">
        <w:t xml:space="preserve"> </w:t>
      </w:r>
      <w:r>
        <w:rPr>
          <w:rFonts w:cs="Times"/>
        </w:rPr>
        <w:t>by</w:t>
      </w:r>
      <w:r w:rsidRPr="00693916">
        <w:rPr>
          <w:i/>
          <w:iCs/>
        </w:rPr>
        <w:t xml:space="preserve"> type2-HARQ-ACK-Codebook</w:t>
      </w:r>
      <w:r>
        <w:rPr>
          <w:rFonts w:cs="Times"/>
        </w:rPr>
        <w:t xml:space="preserve"> </w:t>
      </w:r>
      <w:r w:rsidR="00321D6E" w:rsidRPr="00EC6AD2">
        <w:t xml:space="preserve">support for </w:t>
      </w:r>
      <w:r>
        <w:rPr>
          <w:rFonts w:cs="Times"/>
          <w:lang w:val="en-US"/>
        </w:rPr>
        <w:t>more than one</w:t>
      </w:r>
      <w:r w:rsidRPr="00EC6AD2">
        <w:rPr>
          <w:rFonts w:cs="Times"/>
        </w:rPr>
        <w:t xml:space="preserve"> </w:t>
      </w:r>
      <w:r>
        <w:rPr>
          <w:rFonts w:cs="Times"/>
        </w:rPr>
        <w:t xml:space="preserve">PDSCH reception on </w:t>
      </w:r>
      <w:r>
        <w:rPr>
          <w:rFonts w:cs="Times"/>
          <w:lang w:val="en-US"/>
        </w:rPr>
        <w:t xml:space="preserve">a </w:t>
      </w:r>
      <w:r>
        <w:rPr>
          <w:lang w:val="en-US"/>
        </w:rPr>
        <w:t xml:space="preserve">serving cell that are scheduled </w:t>
      </w:r>
      <w:r>
        <w:t>from a same PDCCH monitoring occasion</w:t>
      </w:r>
      <w:r>
        <w:rPr>
          <w:lang w:val="en-US"/>
        </w:rPr>
        <w:t>,</w:t>
      </w:r>
      <w:r w:rsidR="00321D6E" w:rsidRPr="00EC6AD2">
        <w:t xml:space="preserve"> in increasing order of the </w:t>
      </w:r>
      <w:r w:rsidR="00321D6E">
        <w:t xml:space="preserve">PDSCH reception starting </w:t>
      </w:r>
      <w:r w:rsidR="00321D6E" w:rsidRPr="00EC6AD2">
        <w:t xml:space="preserve">time for the same {serving cell, PDCCH monitoring occasion} pair, </w:t>
      </w:r>
    </w:p>
    <w:p w14:paraId="0F5946FF" w14:textId="50AB303A" w:rsidR="004A2120" w:rsidRDefault="004A2120" w:rsidP="004A2120">
      <w:pPr>
        <w:pStyle w:val="B1"/>
        <w:rPr>
          <w:lang w:eastAsia="zh-CN"/>
        </w:rPr>
      </w:pPr>
      <w:r>
        <w:rPr>
          <w:lang w:val="en-US" w:eastAsia="zh-CN"/>
        </w:rPr>
        <w:t>-</w:t>
      </w:r>
      <w:r>
        <w:rPr>
          <w:lang w:val="en-US"/>
        </w:rPr>
        <w:tab/>
      </w:r>
      <w:r w:rsidR="00321D6E" w:rsidRPr="00EC6AD2">
        <w:t>second</w:t>
      </w:r>
      <w:r>
        <w:rPr>
          <w:lang w:val="en-US"/>
        </w:rPr>
        <w:t xml:space="preserve"> </w:t>
      </w:r>
      <w:r w:rsidR="00F37E87" w:rsidRPr="00B916EC">
        <w:rPr>
          <w:rFonts w:hint="eastAsia"/>
          <w:lang w:eastAsia="zh-CN"/>
        </w:rPr>
        <w:t xml:space="preserve">in </w:t>
      </w:r>
      <w:r w:rsidR="00C459C5">
        <w:rPr>
          <w:lang w:eastAsia="zh-CN"/>
        </w:rPr>
        <w:t>ascending</w:t>
      </w:r>
      <w:r w:rsidR="00F37E87" w:rsidRPr="00B916EC">
        <w:rPr>
          <w:rFonts w:hint="eastAsia"/>
          <w:lang w:eastAsia="zh-CN"/>
        </w:rPr>
        <w:t xml:space="preserve"> order of serving cell index</w:t>
      </w:r>
      <w:r w:rsidR="00321D6E">
        <w:rPr>
          <w:lang w:eastAsia="zh-CN"/>
        </w:rPr>
        <w:t>,</w:t>
      </w:r>
      <w:r w:rsidR="00F37E87" w:rsidRPr="00B916EC">
        <w:rPr>
          <w:rFonts w:hint="eastAsia"/>
          <w:lang w:eastAsia="zh-CN"/>
        </w:rPr>
        <w:t xml:space="preserve"> and </w:t>
      </w:r>
    </w:p>
    <w:p w14:paraId="5C492844" w14:textId="5264976A" w:rsidR="004A2120" w:rsidRDefault="004A2120" w:rsidP="005A2ADA">
      <w:pPr>
        <w:pStyle w:val="B1"/>
        <w:rPr>
          <w:lang w:eastAsia="zh-CN"/>
        </w:rPr>
      </w:pPr>
      <w:r>
        <w:rPr>
          <w:lang w:val="en-US" w:eastAsia="zh-CN"/>
        </w:rPr>
        <w:t>-</w:t>
      </w:r>
      <w:r>
        <w:rPr>
          <w:lang w:val="en-US" w:eastAsia="zh-CN"/>
        </w:rPr>
        <w:tab/>
      </w:r>
      <w:r w:rsidRPr="00B916EC">
        <w:rPr>
          <w:rFonts w:hint="eastAsia"/>
          <w:lang w:eastAsia="zh-CN"/>
        </w:rPr>
        <w:t>th</w:t>
      </w:r>
      <w:r>
        <w:rPr>
          <w:lang w:val="en-US" w:eastAsia="zh-CN"/>
        </w:rPr>
        <w:t>ird</w:t>
      </w:r>
      <w:r w:rsidRPr="00B916EC">
        <w:rPr>
          <w:rFonts w:hint="eastAsia"/>
          <w:lang w:eastAsia="zh-CN"/>
        </w:rPr>
        <w:t xml:space="preserve"> </w:t>
      </w:r>
      <w:r w:rsidR="00F37E87" w:rsidRPr="00B916EC">
        <w:rPr>
          <w:rFonts w:hint="eastAsia"/>
          <w:lang w:eastAsia="zh-CN"/>
        </w:rPr>
        <w:t xml:space="preserve">in </w:t>
      </w:r>
      <w:r w:rsidR="00C459C5">
        <w:rPr>
          <w:lang w:eastAsia="zh-CN"/>
        </w:rPr>
        <w:t>ascending</w:t>
      </w:r>
      <w:r w:rsidR="00F37E87" w:rsidRPr="00B916EC">
        <w:rPr>
          <w:rFonts w:hint="eastAsia"/>
          <w:lang w:eastAsia="zh-CN"/>
        </w:rPr>
        <w:t xml:space="preserve"> order of </w:t>
      </w:r>
      <w:r w:rsidR="00F37E87" w:rsidRPr="00B916EC">
        <w:rPr>
          <w:lang w:eastAsia="zh-CN"/>
        </w:rPr>
        <w:t xml:space="preserve">PDCCH monitoring </w:t>
      </w:r>
      <w:r w:rsidR="006B45F9" w:rsidRPr="00B916EC">
        <w:rPr>
          <w:lang w:eastAsia="zh-CN"/>
        </w:rPr>
        <w:t xml:space="preserve">occasion </w:t>
      </w:r>
      <w:r w:rsidR="00F37E87" w:rsidRPr="00B916EC">
        <w:rPr>
          <w:lang w:eastAsia="zh-CN"/>
        </w:rPr>
        <w:t>index</w:t>
      </w:r>
      <w:r w:rsidR="00F37E87" w:rsidRPr="00B916EC">
        <w:rPr>
          <w:rFonts w:hint="eastAsia"/>
          <w:lang w:eastAsia="zh-CN"/>
        </w:rPr>
        <w:t xml:space="preserve"> </w:t>
      </w:r>
      <m:oMath>
        <m:r>
          <w:rPr>
            <w:rFonts w:ascii="Cambria Math" w:hAnsi="Cambria Math"/>
            <w:lang w:eastAsia="zh-CN"/>
          </w:rPr>
          <m:t>m</m:t>
        </m:r>
      </m:oMath>
      <w:r w:rsidR="00DF5C8B" w:rsidRPr="0063249B">
        <w:t xml:space="preserve">, where </w:t>
      </w:r>
      <m:oMath>
        <m:r>
          <w:rPr>
            <w:rFonts w:ascii="Cambria Math" w:hAnsi="Cambria Math"/>
            <w:lang w:eastAsia="zh-CN"/>
          </w:rPr>
          <m:t>0≤m&lt;M</m:t>
        </m:r>
      </m:oMath>
      <w:r w:rsidR="00DF5C8B" w:rsidRPr="0063249B">
        <w:rPr>
          <w:lang w:eastAsia="zh-CN"/>
        </w:rPr>
        <w:t xml:space="preserve">. </w:t>
      </w:r>
    </w:p>
    <w:p w14:paraId="082EAED1" w14:textId="77777777" w:rsidR="00B50C4D" w:rsidRPr="00B50C4D" w:rsidRDefault="00B50C4D" w:rsidP="00B50C4D">
      <w:pPr>
        <w:rPr>
          <w:rFonts w:eastAsia="Times New Roman"/>
          <w:lang w:eastAsia="zh-CN"/>
        </w:rPr>
      </w:pPr>
      <w:r w:rsidRPr="00B50C4D">
        <w:rPr>
          <w:rFonts w:eastAsia="Times New Roman"/>
        </w:rPr>
        <w:t>A</w:t>
      </w:r>
      <w:r w:rsidRPr="00B50C4D">
        <w:rPr>
          <w:rFonts w:eastAsia="Times New Roman"/>
          <w:lang w:val="en-US"/>
        </w:rPr>
        <w:t xml:space="preserve"> value of the </w:t>
      </w:r>
      <w:r w:rsidRPr="00B50C4D">
        <w:rPr>
          <w:rFonts w:eastAsia="Times New Roman" w:hint="eastAsia"/>
          <w:lang w:val="en-US" w:eastAsia="zh-CN"/>
        </w:rPr>
        <w:t xml:space="preserve">counter </w:t>
      </w:r>
      <w:r w:rsidRPr="00B50C4D">
        <w:rPr>
          <w:rFonts w:eastAsia="Times New Roman" w:hint="eastAsia"/>
          <w:lang w:eastAsia="zh-CN"/>
        </w:rPr>
        <w:t>DAI</w:t>
      </w:r>
      <w:r w:rsidRPr="00B50C4D">
        <w:rPr>
          <w:rFonts w:eastAsia="Times New Roman"/>
          <w:lang w:val="en-US"/>
        </w:rPr>
        <w:t xml:space="preserve"> field in DCI formats, each scheduling PDSCH receptions on respective more than one serving cells with associated HARQ-ACK information in a same HARQ-ACK codebook, denotes the accumulative number of </w:t>
      </w:r>
      <w:r w:rsidRPr="00B50C4D">
        <w:rPr>
          <w:rFonts w:eastAsia="Times New Roman" w:hint="eastAsia"/>
          <w:lang w:val="en-US" w:eastAsia="zh-CN"/>
        </w:rPr>
        <w:t>{serving cell</w:t>
      </w:r>
      <w:r w:rsidRPr="00B50C4D">
        <w:rPr>
          <w:rFonts w:eastAsia="Times New Roman"/>
          <w:lang w:val="en-US" w:eastAsia="zh-CN"/>
        </w:rPr>
        <w:t xml:space="preserve"> with smallest index from the more than one serving cells</w:t>
      </w:r>
      <w:r w:rsidRPr="00B50C4D">
        <w:rPr>
          <w:rFonts w:eastAsia="Times New Roman" w:hint="eastAsia"/>
          <w:lang w:val="en-US" w:eastAsia="zh-CN"/>
        </w:rPr>
        <w:t xml:space="preserve">, </w:t>
      </w:r>
      <w:r w:rsidRPr="00B50C4D">
        <w:rPr>
          <w:rFonts w:eastAsia="Times New Roman"/>
          <w:lang w:val="en-US" w:eastAsia="zh-CN"/>
        </w:rPr>
        <w:t>PDCCH monitoring occasion</w:t>
      </w:r>
      <w:r w:rsidRPr="00B50C4D">
        <w:rPr>
          <w:rFonts w:eastAsia="Times New Roman" w:hint="eastAsia"/>
          <w:lang w:val="en-US" w:eastAsia="zh-CN"/>
        </w:rPr>
        <w:t xml:space="preserve">}-pairs in which </w:t>
      </w:r>
      <w:r w:rsidRPr="00B50C4D">
        <w:rPr>
          <w:rFonts w:eastAsia="Times New Roman"/>
          <w:lang w:val="en-US"/>
        </w:rPr>
        <w:t>PDSCH reception</w:t>
      </w:r>
      <w:r w:rsidRPr="00B50C4D">
        <w:rPr>
          <w:rFonts w:eastAsia="Times New Roman" w:hint="eastAsia"/>
          <w:lang w:val="en-US" w:eastAsia="zh-CN"/>
        </w:rPr>
        <w:t>s</w:t>
      </w:r>
      <w:r w:rsidRPr="00B50C4D">
        <w:rPr>
          <w:rFonts w:eastAsia="Times New Roman"/>
          <w:lang w:val="en-US" w:eastAsia="zh-CN"/>
        </w:rPr>
        <w:t xml:space="preserve"> are</w:t>
      </w:r>
      <w:r w:rsidRPr="00B50C4D">
        <w:rPr>
          <w:rFonts w:eastAsia="Times New Roman" w:cs="Arial" w:hint="eastAsia"/>
          <w:lang w:eastAsia="zh-CN"/>
        </w:rPr>
        <w:t xml:space="preserve"> present</w:t>
      </w:r>
      <w:r w:rsidRPr="00B50C4D">
        <w:rPr>
          <w:rFonts w:eastAsia="Times New Roman"/>
          <w:lang w:val="en-US"/>
        </w:rPr>
        <w:t xml:space="preserve"> up to</w:t>
      </w:r>
      <w:r w:rsidRPr="00B50C4D">
        <w:rPr>
          <w:rFonts w:eastAsia="Times New Roman" w:hint="eastAsia"/>
          <w:lang w:eastAsia="zh-CN"/>
        </w:rPr>
        <w:t xml:space="preserve"> the </w:t>
      </w:r>
      <w:r w:rsidRPr="00B50C4D">
        <w:rPr>
          <w:rFonts w:eastAsia="Times New Roman"/>
          <w:lang w:eastAsia="zh-CN"/>
        </w:rPr>
        <w:t>current</w:t>
      </w:r>
      <w:r w:rsidRPr="00B50C4D">
        <w:rPr>
          <w:rFonts w:eastAsia="Times New Roman" w:hint="eastAsia"/>
          <w:lang w:eastAsia="zh-CN"/>
        </w:rPr>
        <w:t xml:space="preserve"> </w:t>
      </w:r>
      <w:r w:rsidRPr="00B50C4D">
        <w:rPr>
          <w:rFonts w:eastAsia="Times New Roman"/>
          <w:lang w:val="en-US"/>
        </w:rPr>
        <w:t>more than one serving cells</w:t>
      </w:r>
      <w:r w:rsidRPr="00B50C4D">
        <w:rPr>
          <w:rFonts w:eastAsia="Times New Roman" w:hint="eastAsia"/>
          <w:lang w:eastAsia="zh-CN"/>
        </w:rPr>
        <w:t xml:space="preserve"> and </w:t>
      </w:r>
      <w:r w:rsidRPr="00B50C4D">
        <w:rPr>
          <w:rFonts w:eastAsia="Times New Roman"/>
          <w:lang w:eastAsia="zh-CN"/>
        </w:rPr>
        <w:t>current</w:t>
      </w:r>
      <w:r w:rsidRPr="00B50C4D">
        <w:rPr>
          <w:rFonts w:eastAsia="Times New Roman" w:hint="eastAsia"/>
          <w:lang w:eastAsia="zh-CN"/>
        </w:rPr>
        <w:t xml:space="preserve"> </w:t>
      </w:r>
      <w:r w:rsidRPr="00B50C4D">
        <w:rPr>
          <w:rFonts w:eastAsia="Times New Roman"/>
          <w:lang w:eastAsia="zh-CN"/>
        </w:rPr>
        <w:t>PDCCH monitoring occasion</w:t>
      </w:r>
      <w:r w:rsidRPr="00B50C4D">
        <w:rPr>
          <w:rFonts w:eastAsia="Times New Roman" w:hint="eastAsia"/>
          <w:lang w:eastAsia="zh-CN"/>
        </w:rPr>
        <w:t>,</w:t>
      </w:r>
    </w:p>
    <w:p w14:paraId="01F549F1" w14:textId="5A133F6E" w:rsidR="00B50C4D" w:rsidRPr="00B50C4D" w:rsidRDefault="00B50C4D" w:rsidP="00B50C4D">
      <w:pPr>
        <w:pStyle w:val="B1"/>
      </w:pPr>
      <w:r w:rsidRPr="00B50C4D">
        <w:rPr>
          <w:lang w:eastAsia="zh-CN"/>
        </w:rPr>
        <w:t>-</w:t>
      </w:r>
      <w:r w:rsidRPr="00B50C4D">
        <w:rPr>
          <w:lang w:eastAsia="zh-CN"/>
        </w:rPr>
        <w:tab/>
      </w:r>
      <w:r w:rsidRPr="00B50C4D">
        <w:rPr>
          <w:rFonts w:hint="eastAsia"/>
          <w:lang w:eastAsia="zh-CN"/>
        </w:rPr>
        <w:t>first</w:t>
      </w:r>
      <w:r w:rsidRPr="00B50C4D">
        <w:rPr>
          <w:lang w:val="en-US" w:eastAsia="zh-CN"/>
        </w:rPr>
        <w:t>,</w:t>
      </w:r>
      <w:r w:rsidRPr="00B50C4D">
        <w:rPr>
          <w:rFonts w:hint="eastAsia"/>
          <w:lang w:eastAsia="zh-CN"/>
        </w:rPr>
        <w:t xml:space="preserve"> </w:t>
      </w:r>
      <w:r w:rsidRPr="00B50C4D">
        <w:t xml:space="preserve">if the UE indicates </w:t>
      </w:r>
      <w:r w:rsidRPr="00B50C4D">
        <w:rPr>
          <w:rFonts w:cs="Times"/>
        </w:rPr>
        <w:t>by</w:t>
      </w:r>
      <w:r w:rsidRPr="00B50C4D">
        <w:rPr>
          <w:i/>
          <w:iCs/>
        </w:rPr>
        <w:t xml:space="preserve"> type2-HARQ-ACK-Codebook</w:t>
      </w:r>
      <w:r w:rsidRPr="00B50C4D">
        <w:rPr>
          <w:rFonts w:cs="Times"/>
        </w:rPr>
        <w:t xml:space="preserve"> </w:t>
      </w:r>
      <w:r w:rsidRPr="00B50C4D">
        <w:t xml:space="preserve">support for </w:t>
      </w:r>
      <w:r w:rsidRPr="00B50C4D">
        <w:rPr>
          <w:rFonts w:cs="Times"/>
          <w:lang w:val="en-US"/>
        </w:rPr>
        <w:t>more than one</w:t>
      </w:r>
      <w:r w:rsidRPr="00B50C4D">
        <w:rPr>
          <w:rFonts w:cs="Times"/>
        </w:rPr>
        <w:t xml:space="preserve"> PDSCH receptions on </w:t>
      </w:r>
      <w:r w:rsidRPr="00B50C4D">
        <w:rPr>
          <w:rFonts w:cs="Times"/>
          <w:lang w:val="en-US"/>
        </w:rPr>
        <w:t xml:space="preserve">a </w:t>
      </w:r>
      <w:r w:rsidRPr="00B50C4D">
        <w:rPr>
          <w:lang w:val="en-US"/>
        </w:rPr>
        <w:t xml:space="preserve">serving cell that are scheduled </w:t>
      </w:r>
      <w:r w:rsidRPr="00B50C4D">
        <w:t>from a same PDCCH monitoring occasion</w:t>
      </w:r>
      <w:r w:rsidRPr="00B50C4D">
        <w:rPr>
          <w:lang w:val="en-US"/>
        </w:rPr>
        <w:t>,</w:t>
      </w:r>
      <w:r w:rsidRPr="00B50C4D">
        <w:t xml:space="preserve"> in increasing order of the PDSCH reception starting time for the same {serving cell</w:t>
      </w:r>
      <w:r w:rsidRPr="00B50C4D">
        <w:rPr>
          <w:lang w:val="en-US" w:eastAsia="zh-CN"/>
        </w:rPr>
        <w:t xml:space="preserve"> with smallest index from the more than one serving cells</w:t>
      </w:r>
      <w:r w:rsidRPr="00B50C4D">
        <w:t>, PDCCH monitoring occasion} pair,</w:t>
      </w:r>
    </w:p>
    <w:p w14:paraId="3A225700" w14:textId="77777777" w:rsidR="00B50C4D" w:rsidRPr="00B50C4D" w:rsidRDefault="00B50C4D" w:rsidP="00B50C4D">
      <w:pPr>
        <w:pStyle w:val="B1"/>
        <w:rPr>
          <w:lang w:eastAsia="zh-CN"/>
        </w:rPr>
      </w:pPr>
      <w:r w:rsidRPr="00B50C4D">
        <w:rPr>
          <w:lang w:val="en-US" w:eastAsia="zh-CN"/>
        </w:rPr>
        <w:t>-</w:t>
      </w:r>
      <w:r w:rsidRPr="00B50C4D">
        <w:rPr>
          <w:lang w:val="en-US"/>
        </w:rPr>
        <w:tab/>
      </w:r>
      <w:r w:rsidRPr="00B50C4D">
        <w:t>second</w:t>
      </w:r>
      <w:r w:rsidRPr="00B50C4D">
        <w:rPr>
          <w:lang w:val="en-US"/>
        </w:rPr>
        <w:t xml:space="preserve"> </w:t>
      </w:r>
      <w:r w:rsidRPr="00B50C4D">
        <w:rPr>
          <w:rFonts w:hint="eastAsia"/>
          <w:lang w:eastAsia="zh-CN"/>
        </w:rPr>
        <w:t xml:space="preserve">in </w:t>
      </w:r>
      <w:r w:rsidRPr="00B50C4D">
        <w:rPr>
          <w:lang w:eastAsia="zh-CN"/>
        </w:rPr>
        <w:t>ascending</w:t>
      </w:r>
      <w:r w:rsidRPr="00B50C4D">
        <w:rPr>
          <w:rFonts w:hint="eastAsia"/>
          <w:lang w:eastAsia="zh-CN"/>
        </w:rPr>
        <w:t xml:space="preserve"> order of </w:t>
      </w:r>
      <w:r w:rsidRPr="00B50C4D">
        <w:rPr>
          <w:lang w:eastAsia="zh-CN"/>
        </w:rPr>
        <w:t xml:space="preserve">the smallest </w:t>
      </w:r>
      <w:r w:rsidRPr="00B50C4D">
        <w:rPr>
          <w:rFonts w:hint="eastAsia"/>
          <w:lang w:eastAsia="zh-CN"/>
        </w:rPr>
        <w:t>serving cell index</w:t>
      </w:r>
      <w:r w:rsidRPr="00B50C4D">
        <w:rPr>
          <w:lang w:val="en-US" w:eastAsia="zh-CN"/>
        </w:rPr>
        <w:t xml:space="preserve"> from the more than one serving cells</w:t>
      </w:r>
      <w:r w:rsidRPr="00B50C4D">
        <w:rPr>
          <w:lang w:eastAsia="zh-CN"/>
        </w:rPr>
        <w:t>,</w:t>
      </w:r>
      <w:r w:rsidRPr="00B50C4D">
        <w:rPr>
          <w:rFonts w:hint="eastAsia"/>
          <w:lang w:eastAsia="zh-CN"/>
        </w:rPr>
        <w:t xml:space="preserve"> and </w:t>
      </w:r>
    </w:p>
    <w:p w14:paraId="52707A89" w14:textId="452FD6B2" w:rsidR="00B50C4D" w:rsidRPr="00B50C4D" w:rsidRDefault="00B50C4D" w:rsidP="00B50C4D">
      <w:pPr>
        <w:pStyle w:val="B1"/>
        <w:rPr>
          <w:lang w:eastAsia="zh-CN"/>
        </w:rPr>
      </w:pPr>
      <w:r w:rsidRPr="00B50C4D">
        <w:rPr>
          <w:lang w:val="en-US" w:eastAsia="zh-CN"/>
        </w:rPr>
        <w:t>-</w:t>
      </w:r>
      <w:r w:rsidRPr="00B50C4D">
        <w:rPr>
          <w:lang w:val="en-US" w:eastAsia="zh-CN"/>
        </w:rPr>
        <w:tab/>
      </w:r>
      <w:r w:rsidRPr="00B50C4D">
        <w:rPr>
          <w:rFonts w:hint="eastAsia"/>
          <w:lang w:eastAsia="zh-CN"/>
        </w:rPr>
        <w:t>th</w:t>
      </w:r>
      <w:r w:rsidRPr="00B50C4D">
        <w:rPr>
          <w:lang w:val="en-US" w:eastAsia="zh-CN"/>
        </w:rPr>
        <w:t>ird</w:t>
      </w:r>
      <w:r w:rsidRPr="00B50C4D">
        <w:rPr>
          <w:rFonts w:hint="eastAsia"/>
          <w:lang w:eastAsia="zh-CN"/>
        </w:rPr>
        <w:t xml:space="preserve"> in </w:t>
      </w:r>
      <w:r w:rsidRPr="00B50C4D">
        <w:rPr>
          <w:lang w:eastAsia="zh-CN"/>
        </w:rPr>
        <w:t>ascending</w:t>
      </w:r>
      <w:r w:rsidRPr="00B50C4D">
        <w:rPr>
          <w:rFonts w:hint="eastAsia"/>
          <w:lang w:eastAsia="zh-CN"/>
        </w:rPr>
        <w:t xml:space="preserve"> order of </w:t>
      </w:r>
      <w:r w:rsidRPr="00B50C4D">
        <w:rPr>
          <w:lang w:eastAsia="zh-CN"/>
        </w:rPr>
        <w:t>PDCCH monitoring occasion index</w:t>
      </w:r>
      <w:r w:rsidRPr="00B50C4D">
        <w:rPr>
          <w:rFonts w:hint="eastAsia"/>
          <w:lang w:eastAsia="zh-CN"/>
        </w:rPr>
        <w:t xml:space="preserve"> </w:t>
      </w:r>
      <m:oMath>
        <m:r>
          <w:rPr>
            <w:rFonts w:ascii="Cambria Math" w:hAnsi="Cambria Math"/>
            <w:lang w:eastAsia="zh-CN"/>
          </w:rPr>
          <m:t>m</m:t>
        </m:r>
      </m:oMath>
      <w:r w:rsidRPr="00B50C4D">
        <w:t xml:space="preserve">, where </w:t>
      </w:r>
      <m:oMath>
        <m:r>
          <w:rPr>
            <w:rFonts w:ascii="Cambria Math" w:hAnsi="Cambria Math"/>
            <w:lang w:eastAsia="zh-CN"/>
          </w:rPr>
          <m:t>0≤m&lt;M</m:t>
        </m:r>
      </m:oMath>
      <w:r w:rsidRPr="00B50C4D">
        <w:rPr>
          <w:lang w:eastAsia="zh-CN"/>
        </w:rPr>
        <w:t>.</w:t>
      </w:r>
    </w:p>
    <w:p w14:paraId="77FCF884" w14:textId="738A9A13" w:rsidR="00F37E87" w:rsidRPr="00B916EC" w:rsidRDefault="00DF5C8B" w:rsidP="00F37E87">
      <w:pPr>
        <w:rPr>
          <w:lang w:val="en-US" w:eastAsia="zh-CN"/>
        </w:rPr>
      </w:pPr>
      <w:r w:rsidRPr="0063249B">
        <w:lastRenderedPageBreak/>
        <w:t xml:space="preserve">If, for an active DL BWP of a serving cell, the UE is not provided </w:t>
      </w:r>
      <w:r w:rsidR="004A2120">
        <w:rPr>
          <w:i/>
        </w:rPr>
        <w:t>coreset</w:t>
      </w:r>
      <w:r w:rsidRPr="0063249B">
        <w:rPr>
          <w:i/>
        </w:rPr>
        <w:t>PoolIndex</w:t>
      </w:r>
      <w:r w:rsidRPr="0063249B">
        <w:t xml:space="preserve"> or is provided </w:t>
      </w:r>
      <w:r w:rsidR="004A2120">
        <w:rPr>
          <w:i/>
        </w:rPr>
        <w:t>coreset</w:t>
      </w:r>
      <w:r w:rsidRPr="0063249B">
        <w:rPr>
          <w:i/>
        </w:rPr>
        <w:t>PoolIndex</w:t>
      </w:r>
      <w:r w:rsidRPr="0063249B">
        <w:t xml:space="preserve"> with value 0 for one or more first CORESETs and is provided </w:t>
      </w:r>
      <w:r w:rsidR="004A2120">
        <w:rPr>
          <w:i/>
        </w:rPr>
        <w:t>coreset</w:t>
      </w:r>
      <w:r w:rsidRPr="0063249B">
        <w:rPr>
          <w:i/>
        </w:rPr>
        <w:t>PoolIndex</w:t>
      </w:r>
      <w:r w:rsidRPr="0063249B">
        <w:t xml:space="preserve"> with value 1 for one or more second CORESETs, and is provided </w:t>
      </w:r>
      <w:r w:rsidR="00BB6A95" w:rsidRPr="007E07A0">
        <w:rPr>
          <w:i/>
        </w:rPr>
        <w:t>ackNackFeedbackMode</w:t>
      </w:r>
      <w:r w:rsidR="00BB6A95">
        <w:rPr>
          <w:i/>
          <w:iCs/>
        </w:rPr>
        <w:t xml:space="preserve"> </w:t>
      </w:r>
      <w:r w:rsidR="00BB6A95" w:rsidRPr="00FF4B2F">
        <w:t>=</w:t>
      </w:r>
      <w:r w:rsidR="00BB6A95">
        <w:rPr>
          <w:i/>
          <w:iCs/>
        </w:rPr>
        <w:t xml:space="preserve"> joint</w:t>
      </w:r>
      <w:r w:rsidRPr="0063249B">
        <w:t xml:space="preserve">, the value of </w:t>
      </w:r>
      <w:r>
        <w:t xml:space="preserve">the </w:t>
      </w:r>
      <w:r w:rsidRPr="0063249B">
        <w:t>counter DAI is in the order of the</w:t>
      </w:r>
      <w:r>
        <w:t xml:space="preserve"> first CORESETs and then the second CORESETs for</w:t>
      </w:r>
      <w:r w:rsidRPr="0063249B">
        <w:t xml:space="preserve"> </w:t>
      </w:r>
      <w:r>
        <w:t>a</w:t>
      </w:r>
      <w:r w:rsidRPr="0063249B">
        <w:t xml:space="preserve"> same serving cell index and </w:t>
      </w:r>
      <w:r>
        <w:t xml:space="preserve">a </w:t>
      </w:r>
      <w:r w:rsidRPr="0063249B">
        <w:t>same PDCCH monitoring occasion index.</w:t>
      </w:r>
      <w:r w:rsidR="00F37E87" w:rsidRPr="00B916EC">
        <w:rPr>
          <w:lang w:eastAsia="zh-CN"/>
        </w:rPr>
        <w:t xml:space="preserve"> </w:t>
      </w:r>
    </w:p>
    <w:p w14:paraId="3ED6D5E4" w14:textId="15EE8F23" w:rsidR="00F37E87" w:rsidRPr="00B916EC" w:rsidRDefault="00F37E87" w:rsidP="00F37E87">
      <w:pPr>
        <w:rPr>
          <w:lang w:val="en-US" w:eastAsia="zh-CN"/>
        </w:rPr>
      </w:pPr>
      <w:r w:rsidRPr="00B916EC">
        <w:rPr>
          <w:lang w:eastAsia="zh-CN"/>
        </w:rPr>
        <w:t>T</w:t>
      </w:r>
      <w:r w:rsidRPr="00B916EC">
        <w:rPr>
          <w:rFonts w:hint="eastAsia"/>
          <w:lang w:eastAsia="zh-CN"/>
        </w:rPr>
        <w:t>he value of the total DAI</w:t>
      </w:r>
      <w:r w:rsidR="00FD70B4">
        <w:rPr>
          <w:lang w:eastAsia="zh-CN"/>
        </w:rPr>
        <w:t>, when present [5, TS 38.212],</w:t>
      </w:r>
      <w:r w:rsidRPr="00B916EC">
        <w:rPr>
          <w:rFonts w:hint="eastAsia"/>
          <w:lang w:eastAsia="zh-CN"/>
        </w:rPr>
        <w:t xml:space="preserve"> in </w:t>
      </w:r>
      <w:r w:rsidR="000B38AB">
        <w:rPr>
          <w:lang w:eastAsia="zh-CN"/>
        </w:rPr>
        <w:t xml:space="preserve">a </w:t>
      </w:r>
      <w:r w:rsidR="00F26D02" w:rsidRPr="00B916EC">
        <w:rPr>
          <w:lang w:val="en-US" w:eastAsia="zh-CN"/>
        </w:rPr>
        <w:t>DCI format</w:t>
      </w:r>
      <w:r w:rsidRPr="00B916EC">
        <w:rPr>
          <w:lang w:val="en-US"/>
        </w:rPr>
        <w:t xml:space="preserve"> denotes the </w:t>
      </w:r>
      <w:r w:rsidRPr="00B916EC">
        <w:rPr>
          <w:rFonts w:hint="eastAsia"/>
          <w:lang w:val="en-US" w:eastAsia="zh-CN"/>
        </w:rPr>
        <w:t>total</w:t>
      </w:r>
      <w:r w:rsidRPr="00B916EC">
        <w:rPr>
          <w:lang w:val="en-US"/>
        </w:rPr>
        <w:t xml:space="preserve"> number of </w:t>
      </w:r>
      <w:r w:rsidRPr="00B916EC">
        <w:rPr>
          <w:rFonts w:hint="eastAsia"/>
          <w:lang w:val="en-US" w:eastAsia="zh-CN"/>
        </w:rPr>
        <w:t xml:space="preserve">{serving cell, </w:t>
      </w:r>
      <w:r w:rsidRPr="00B916EC">
        <w:rPr>
          <w:lang w:val="en-US" w:eastAsia="zh-CN"/>
        </w:rPr>
        <w:t xml:space="preserve">PDCCH monitoring </w:t>
      </w:r>
      <w:r w:rsidR="00783ECC" w:rsidRPr="00B916EC">
        <w:rPr>
          <w:lang w:val="en-US" w:eastAsia="zh-CN"/>
        </w:rPr>
        <w:t>occasion</w:t>
      </w:r>
      <w:r w:rsidRPr="00B916EC">
        <w:rPr>
          <w:rFonts w:hint="eastAsia"/>
          <w:lang w:val="en-US" w:eastAsia="zh-CN"/>
        </w:rPr>
        <w:t xml:space="preserve">}-pair(s) in which PDSCH </w:t>
      </w:r>
      <w:r w:rsidRPr="00B916EC">
        <w:rPr>
          <w:lang w:val="en-US" w:eastAsia="zh-CN"/>
        </w:rPr>
        <w:t>reception</w:t>
      </w:r>
      <w:r w:rsidRPr="00B916EC">
        <w:rPr>
          <w:rFonts w:hint="eastAsia"/>
          <w:lang w:val="en-US" w:eastAsia="zh-CN"/>
        </w:rPr>
        <w:t>(s)</w:t>
      </w:r>
      <w:r w:rsidR="00E83236">
        <w:rPr>
          <w:lang w:val="en-US" w:eastAsia="zh-CN"/>
        </w:rPr>
        <w:t xml:space="preserve"> that provide transport blocks with enabled HARQ-ACK information report</w:t>
      </w:r>
      <w:r w:rsidR="007C55C0">
        <w:rPr>
          <w:lang w:val="en-US" w:eastAsia="zh-CN"/>
        </w:rPr>
        <w:t>,</w:t>
      </w:r>
      <w:r w:rsidR="00960881">
        <w:rPr>
          <w:lang w:val="en-US" w:eastAsia="zh-CN"/>
        </w:rPr>
        <w:t xml:space="preserve"> </w:t>
      </w:r>
      <w:r w:rsidR="007E60C4" w:rsidRPr="00B27E56">
        <w:rPr>
          <w:lang w:val="en-US" w:eastAsia="zh-CN"/>
        </w:rPr>
        <w:t>or HARQ-ACK information that does not correspond to PDSCH receptions,</w:t>
      </w:r>
      <w:r w:rsidR="007E60C4" w:rsidRPr="00B27E56" w:rsidDel="004A10F6">
        <w:rPr>
          <w:lang w:val="en-US" w:eastAsia="zh-CN"/>
        </w:rPr>
        <w:t xml:space="preserve"> </w:t>
      </w:r>
      <w:r w:rsidRPr="00B916EC">
        <w:rPr>
          <w:rFonts w:hint="eastAsia"/>
          <w:lang w:val="en-US" w:eastAsia="zh-CN"/>
        </w:rPr>
        <w:t xml:space="preserve">associated with </w:t>
      </w:r>
      <w:r w:rsidRPr="00B916EC">
        <w:rPr>
          <w:lang w:val="en-US" w:eastAsia="zh-CN"/>
        </w:rPr>
        <w:t>DCI format</w:t>
      </w:r>
      <w:r w:rsidR="000B38AB">
        <w:rPr>
          <w:lang w:val="en-US" w:eastAsia="zh-CN"/>
        </w:rPr>
        <w:t>s</w:t>
      </w:r>
      <w:r w:rsidR="00280145">
        <w:rPr>
          <w:lang w:val="en-US" w:eastAsia="zh-CN"/>
        </w:rPr>
        <w:t>, excluding the SPS activation DCI,</w:t>
      </w:r>
      <w:r w:rsidRPr="00B916EC">
        <w:rPr>
          <w:lang w:val="en-US" w:eastAsia="zh-CN"/>
        </w:rPr>
        <w:t xml:space="preserve"> </w:t>
      </w:r>
      <w:r w:rsidRPr="00B916EC">
        <w:rPr>
          <w:rFonts w:cs="Arial" w:hint="eastAsia"/>
          <w:lang w:eastAsia="zh-CN"/>
        </w:rPr>
        <w:t xml:space="preserve">is present, </w:t>
      </w:r>
      <w:r w:rsidRPr="00B916EC">
        <w:rPr>
          <w:rFonts w:hint="eastAsia"/>
          <w:lang w:val="en-US" w:eastAsia="zh-CN"/>
        </w:rPr>
        <w:t xml:space="preserve">up to the </w:t>
      </w:r>
      <w:r w:rsidRPr="00B916EC">
        <w:rPr>
          <w:lang w:val="en-US" w:eastAsia="zh-CN"/>
        </w:rPr>
        <w:t>current</w:t>
      </w:r>
      <w:r w:rsidRPr="00B916EC">
        <w:rPr>
          <w:rFonts w:hint="eastAsia"/>
          <w:lang w:val="en-US" w:eastAsia="zh-CN"/>
        </w:rPr>
        <w:t xml:space="preserve"> </w:t>
      </w:r>
      <w:r w:rsidRPr="00B916EC">
        <w:rPr>
          <w:lang w:val="en-US" w:eastAsia="zh-CN"/>
        </w:rPr>
        <w:t xml:space="preserve">PDCCH monitoring </w:t>
      </w:r>
      <w:r w:rsidR="00783ECC" w:rsidRPr="00B916EC">
        <w:rPr>
          <w:lang w:val="en-US" w:eastAsia="zh-CN"/>
        </w:rPr>
        <w:t>occasion</w:t>
      </w:r>
      <w:r w:rsidR="00783ECC" w:rsidRPr="00B916EC">
        <w:rPr>
          <w:rFonts w:hint="eastAsia"/>
          <w:lang w:val="en-US" w:eastAsia="zh-CN"/>
        </w:rPr>
        <w:t xml:space="preserve"> </w:t>
      </w:r>
      <m:oMath>
        <m:r>
          <w:rPr>
            <w:rFonts w:ascii="Cambria Math" w:hAnsi="Cambria Math"/>
            <w:lang w:eastAsia="zh-CN"/>
          </w:rPr>
          <m:t>m</m:t>
        </m:r>
      </m:oMath>
      <w:r w:rsidR="00C459C5">
        <w:t xml:space="preserve"> </w:t>
      </w:r>
      <w:r w:rsidRPr="00B916EC">
        <w:rPr>
          <w:lang w:val="en-US"/>
        </w:rPr>
        <w:t xml:space="preserve">and </w:t>
      </w:r>
      <w:r w:rsidR="00960881">
        <w:rPr>
          <w:lang w:val="en-US"/>
        </w:rPr>
        <w:t>is</w:t>
      </w:r>
      <w:r w:rsidRPr="00B916EC">
        <w:rPr>
          <w:lang w:val="en-US"/>
        </w:rPr>
        <w:t xml:space="preserve"> updated from </w:t>
      </w:r>
      <w:r w:rsidRPr="00B916EC">
        <w:rPr>
          <w:lang w:val="en-US" w:eastAsia="zh-CN"/>
        </w:rPr>
        <w:t xml:space="preserve">PDCCH monitoring </w:t>
      </w:r>
      <w:r w:rsidR="00783ECC" w:rsidRPr="00B916EC">
        <w:rPr>
          <w:lang w:val="en-US" w:eastAsia="zh-CN"/>
        </w:rPr>
        <w:t>occasion</w:t>
      </w:r>
      <w:r w:rsidR="00783ECC" w:rsidRPr="00B916EC">
        <w:rPr>
          <w:lang w:val="en-US"/>
        </w:rPr>
        <w:t xml:space="preserve"> </w:t>
      </w:r>
      <w:r w:rsidRPr="00B916EC">
        <w:rPr>
          <w:lang w:val="en-US"/>
        </w:rPr>
        <w:t xml:space="preserve">to </w:t>
      </w:r>
      <w:r w:rsidRPr="00B916EC">
        <w:rPr>
          <w:lang w:val="en-US" w:eastAsia="zh-CN"/>
        </w:rPr>
        <w:t xml:space="preserve">PDCCH monitoring </w:t>
      </w:r>
      <w:r w:rsidR="00783ECC" w:rsidRPr="00B916EC">
        <w:rPr>
          <w:lang w:val="en-US" w:eastAsia="zh-CN"/>
        </w:rPr>
        <w:t>occasion</w:t>
      </w:r>
      <w:r w:rsidRPr="00B916EC">
        <w:rPr>
          <w:lang w:val="en-US"/>
        </w:rPr>
        <w:t xml:space="preserve">. </w:t>
      </w:r>
      <w:r w:rsidR="005A0660" w:rsidRPr="00047C0D">
        <w:t xml:space="preserve">If, for an active DL BWP of a serving cell, the UE is not provided </w:t>
      </w:r>
      <w:r w:rsidR="004A2120">
        <w:rPr>
          <w:i/>
        </w:rPr>
        <w:t>coreset</w:t>
      </w:r>
      <w:r w:rsidR="005A0660" w:rsidRPr="00047C0D">
        <w:rPr>
          <w:i/>
        </w:rPr>
        <w:t>PoolIndex</w:t>
      </w:r>
      <w:r w:rsidR="005A0660" w:rsidRPr="00047C0D">
        <w:t xml:space="preserve"> or is provided </w:t>
      </w:r>
      <w:r w:rsidR="004A2120">
        <w:rPr>
          <w:i/>
        </w:rPr>
        <w:t>coreset</w:t>
      </w:r>
      <w:r w:rsidR="005A0660" w:rsidRPr="00047C0D">
        <w:rPr>
          <w:i/>
        </w:rPr>
        <w:t>PoolIndex</w:t>
      </w:r>
      <w:r w:rsidR="005A0660" w:rsidRPr="00047C0D">
        <w:t xml:space="preserve"> with value 0 for one or more first CORESETs and is provided </w:t>
      </w:r>
      <w:r w:rsidR="004A2120">
        <w:rPr>
          <w:i/>
        </w:rPr>
        <w:t>coreset</w:t>
      </w:r>
      <w:r w:rsidR="005A0660" w:rsidRPr="00047C0D">
        <w:rPr>
          <w:i/>
        </w:rPr>
        <w:t>PoolIndex</w:t>
      </w:r>
      <w:r w:rsidR="005A0660" w:rsidRPr="00047C0D">
        <w:t xml:space="preserve"> with value 1 for one or more second CORESETs, and is provided </w:t>
      </w:r>
      <w:r w:rsidR="00BB6A95" w:rsidRPr="007E07A0">
        <w:rPr>
          <w:i/>
        </w:rPr>
        <w:t>ackNackFeedbackMode</w:t>
      </w:r>
      <w:r w:rsidR="00BB6A95">
        <w:rPr>
          <w:i/>
          <w:iCs/>
        </w:rPr>
        <w:t xml:space="preserve"> </w:t>
      </w:r>
      <w:r w:rsidR="00BB6A95" w:rsidRPr="002712D0">
        <w:t>=</w:t>
      </w:r>
      <w:r w:rsidR="00BB6A95">
        <w:rPr>
          <w:i/>
          <w:iCs/>
        </w:rPr>
        <w:t xml:space="preserve"> joint</w:t>
      </w:r>
      <w:r w:rsidR="005A0660" w:rsidRPr="00047C0D">
        <w:t xml:space="preserve">, </w:t>
      </w:r>
      <w:r w:rsidR="005A0660" w:rsidRPr="00047C0D">
        <w:rPr>
          <w:shd w:val="clear" w:color="auto" w:fill="FFFFFF"/>
        </w:rPr>
        <w:t>the </w:t>
      </w:r>
      <w:r w:rsidR="005A0660">
        <w:rPr>
          <w:shd w:val="clear" w:color="auto" w:fill="FFFFFF"/>
        </w:rPr>
        <w:t xml:space="preserve">total DAI value counts the </w:t>
      </w:r>
      <w:r w:rsidR="005A0660" w:rsidRPr="00047C0D">
        <w:rPr>
          <w:shd w:val="clear" w:color="auto" w:fill="FFFFFF"/>
        </w:rPr>
        <w:t>{serving cell, PDCCH monitoring occasion}-pair(s) for both the first CORESETs and the second CORESETs.</w:t>
      </w:r>
    </w:p>
    <w:p w14:paraId="52D86212" w14:textId="114C53E6" w:rsidR="00C459C5" w:rsidRPr="00B916EC" w:rsidRDefault="000B38AB" w:rsidP="00C459C5">
      <w:pPr>
        <w:rPr>
          <w:rFonts w:cs="Arial"/>
          <w:lang w:eastAsia="zh-CN"/>
        </w:rPr>
      </w:pPr>
      <w:r w:rsidRPr="00EE027F">
        <w:rPr>
          <w:rFonts w:cs="Arial"/>
          <w:lang w:eastAsia="zh-CN"/>
        </w:rPr>
        <w:t xml:space="preserve">Denote by </w:t>
      </w:r>
      <m:oMath>
        <m:sSubSup>
          <m:sSubSupPr>
            <m:ctrlPr>
              <w:rPr>
                <w:rFonts w:ascii="Cambria Math" w:hAnsi="Cambria Math"/>
                <w:i/>
              </w:rPr>
            </m:ctrlPr>
          </m:sSubSupPr>
          <m:e>
            <m:r>
              <w:rPr>
                <w:rFonts w:ascii="Cambria Math"/>
              </w:rPr>
              <m:t>N</m:t>
            </m:r>
          </m:e>
          <m:sub>
            <m:r>
              <w:rPr>
                <w:rFonts w:ascii="Cambria Math"/>
              </w:rPr>
              <m:t>C</m:t>
            </m:r>
            <m:r>
              <w:rPr>
                <w:rFonts w:ascii="Cambria Math"/>
              </w:rPr>
              <m:t>-</m:t>
            </m:r>
            <m:r>
              <m:rPr>
                <m:nor/>
              </m:rPr>
              <w:rPr>
                <w:rFonts w:ascii="Cambria Math"/>
              </w:rPr>
              <m:t>DAI</m:t>
            </m:r>
            <m:ctrlPr>
              <w:rPr>
                <w:rFonts w:ascii="Cambria Math" w:hAnsi="Cambria Math"/>
              </w:rPr>
            </m:ctrlPr>
          </m:sub>
          <m:sup>
            <m:r>
              <m:rPr>
                <m:nor/>
              </m:rPr>
              <w:rPr>
                <w:rFonts w:ascii="Cambria Math"/>
              </w:rPr>
              <m:t>DL</m:t>
            </m:r>
            <m:ctrlPr>
              <w:rPr>
                <w:rFonts w:ascii="Cambria Math" w:hAnsi="Cambria Math"/>
              </w:rPr>
            </m:ctrlPr>
          </m:sup>
        </m:sSubSup>
      </m:oMath>
      <w:r w:rsidRPr="00EE027F">
        <w:t xml:space="preserve"> the number of bits for the counter DAI and set </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sSup>
          <m:sSupPr>
            <m:ctrlPr>
              <w:rPr>
                <w:rFonts w:ascii="Cambria Math" w:hAnsi="Cambria Math"/>
                <w:i/>
              </w:rPr>
            </m:ctrlPr>
          </m:sSupPr>
          <m:e>
            <m:r>
              <w:rPr>
                <w:rFonts w:ascii="Cambria Math"/>
              </w:rPr>
              <m:t>2</m:t>
            </m:r>
          </m:e>
          <m:sup>
            <m:sSubSup>
              <m:sSubSupPr>
                <m:ctrlPr>
                  <w:rPr>
                    <w:rFonts w:ascii="Cambria Math" w:hAnsi="Cambria Math"/>
                    <w:i/>
                  </w:rPr>
                </m:ctrlPr>
              </m:sSubSupPr>
              <m:e>
                <m:r>
                  <w:rPr>
                    <w:rFonts w:ascii="Cambria Math"/>
                  </w:rPr>
                  <m:t>N</m:t>
                </m:r>
              </m:e>
              <m:sub>
                <m:r>
                  <w:rPr>
                    <w:rFonts w:ascii="Cambria Math"/>
                  </w:rPr>
                  <m:t>C</m:t>
                </m:r>
                <m:r>
                  <w:rPr>
                    <w:rFonts w:ascii="Cambria Math"/>
                  </w:rPr>
                  <m:t>-</m:t>
                </m:r>
                <m:r>
                  <m:rPr>
                    <m:nor/>
                  </m:rPr>
                  <w:rPr>
                    <w:rFonts w:ascii="Cambria Math"/>
                  </w:rPr>
                  <m:t>DAI</m:t>
                </m:r>
                <m:ctrlPr>
                  <w:rPr>
                    <w:rFonts w:ascii="Cambria Math" w:hAnsi="Cambria Math"/>
                  </w:rPr>
                </m:ctrlPr>
              </m:sub>
              <m:sup>
                <m:r>
                  <m:rPr>
                    <m:nor/>
                  </m:rPr>
                  <w:rPr>
                    <w:rFonts w:ascii="Cambria Math"/>
                  </w:rPr>
                  <m:t>DL</m:t>
                </m:r>
                <m:ctrlPr>
                  <w:rPr>
                    <w:rFonts w:ascii="Cambria Math" w:hAnsi="Cambria Math"/>
                  </w:rPr>
                </m:ctrlPr>
              </m:sup>
            </m:sSubSup>
          </m:sup>
        </m:sSup>
      </m:oMath>
      <w:r w:rsidRPr="00EE027F">
        <w:t xml:space="preserve">. </w:t>
      </w:r>
      <w:r w:rsidR="00C459C5" w:rsidRPr="00B916EC">
        <w:rPr>
          <w:rFonts w:cs="Arial" w:hint="eastAsia"/>
          <w:lang w:eastAsia="zh-CN"/>
        </w:rPr>
        <w:t>Denote</w:t>
      </w:r>
      <w:r w:rsidR="00C459C5">
        <w:rPr>
          <w:rFonts w:cs="Arial"/>
          <w:lang w:eastAsia="zh-CN"/>
        </w:rPr>
        <w:t xml:space="preserve"> by</w:t>
      </w:r>
      <w:r w:rsidR="00C459C5" w:rsidRPr="00B916EC">
        <w:rPr>
          <w:rFonts w:cs="Arial"/>
          <w:lang w:eastAsia="zh-CN"/>
        </w:rPr>
        <w:t xml:space="preserve"> </w:t>
      </w:r>
      <m:oMath>
        <m:sSubSup>
          <m:sSubSupPr>
            <m:ctrlPr>
              <w:rPr>
                <w:rFonts w:ascii="Cambria Math" w:hAnsi="Cambria Math"/>
                <w:i/>
              </w:rPr>
            </m:ctrlPr>
          </m:sSubSupPr>
          <m:e>
            <m:r>
              <w:rPr>
                <w:rFonts w:ascii="Cambria Math"/>
              </w:rPr>
              <m:t>V</m:t>
            </m:r>
          </m:e>
          <m:sub>
            <m:r>
              <m:rPr>
                <m:sty m:val="p"/>
              </m:rPr>
              <w:rPr>
                <w:rFonts w:ascii="Cambria Math"/>
              </w:rPr>
              <m:t>C</m:t>
            </m:r>
            <m:r>
              <w:rPr>
                <w:rFonts w:ascii="Cambria Math"/>
              </w:rPr>
              <m:t>-</m:t>
            </m:r>
            <m:r>
              <m:rPr>
                <m:nor/>
              </m:rPr>
              <w:rPr>
                <w:rFonts w:ascii="Cambria Math"/>
              </w:rPr>
              <m:t>DAI,</m:t>
            </m:r>
            <m:r>
              <m:rPr>
                <m:nor/>
              </m:rPr>
              <w:rPr>
                <w:rFonts w:ascii="Cambria Math"/>
                <w:i/>
                <w:iCs/>
              </w:rPr>
              <m:t>c,m</m:t>
            </m:r>
            <m:ctrlPr>
              <w:rPr>
                <w:rFonts w:ascii="Cambria Math" w:hAnsi="Cambria Math"/>
              </w:rPr>
            </m:ctrlPr>
          </m:sub>
          <m:sup>
            <m:r>
              <m:rPr>
                <m:nor/>
              </m:rPr>
              <w:rPr>
                <w:rFonts w:ascii="Cambria Math"/>
              </w:rPr>
              <m:t>DL</m:t>
            </m:r>
            <m:ctrlPr>
              <w:rPr>
                <w:rFonts w:ascii="Cambria Math" w:hAnsi="Cambria Math"/>
              </w:rPr>
            </m:ctrlPr>
          </m:sup>
        </m:sSubSup>
      </m:oMath>
      <w:r w:rsidR="00C459C5" w:rsidRPr="00B916EC">
        <w:rPr>
          <w:rFonts w:cs="Arial" w:hint="eastAsia"/>
          <w:lang w:eastAsia="zh-CN"/>
        </w:rPr>
        <w:t xml:space="preserve"> the value of the counter DAI in </w:t>
      </w:r>
      <w:r>
        <w:rPr>
          <w:rFonts w:cs="Arial"/>
          <w:lang w:eastAsia="zh-CN"/>
        </w:rPr>
        <w:t xml:space="preserve">a </w:t>
      </w:r>
      <w:r w:rsidR="00C459C5" w:rsidRPr="00B916EC">
        <w:rPr>
          <w:rFonts w:cs="Arial" w:hint="eastAsia"/>
          <w:lang w:eastAsia="zh-CN"/>
        </w:rPr>
        <w:t xml:space="preserve">DCI format </w:t>
      </w:r>
      <w:r w:rsidR="00C459C5" w:rsidRPr="00B916EC">
        <w:rPr>
          <w:rFonts w:hint="eastAsia"/>
          <w:lang w:val="en-US" w:eastAsia="zh-CN"/>
        </w:rPr>
        <w:t xml:space="preserve">scheduling </w:t>
      </w:r>
      <w:r w:rsidRPr="00EE027F">
        <w:rPr>
          <w:rFonts w:hint="eastAsia"/>
          <w:lang w:val="en-US" w:eastAsia="zh-CN"/>
        </w:rPr>
        <w:t xml:space="preserve">PDSCH </w:t>
      </w:r>
      <w:r w:rsidRPr="00EE027F">
        <w:rPr>
          <w:lang w:val="en-US" w:eastAsia="zh-CN"/>
        </w:rPr>
        <w:t>reception</w:t>
      </w:r>
      <w:r w:rsidR="007C55C0">
        <w:rPr>
          <w:lang w:val="en-US" w:eastAsia="zh-CN"/>
        </w:rPr>
        <w:t>,</w:t>
      </w:r>
      <w:r w:rsidRPr="00EE027F">
        <w:rPr>
          <w:lang w:val="en-US" w:eastAsia="zh-CN"/>
        </w:rPr>
        <w:t xml:space="preserve"> </w:t>
      </w:r>
      <w:r w:rsidR="007E60C4" w:rsidRPr="00B27E56">
        <w:rPr>
          <w:lang w:val="en-US" w:eastAsia="zh-CN"/>
        </w:rPr>
        <w:t xml:space="preserve">or </w:t>
      </w:r>
      <w:r w:rsidR="007E60C4">
        <w:rPr>
          <w:lang w:val="en-US" w:eastAsia="zh-CN"/>
        </w:rPr>
        <w:t>having associated</w:t>
      </w:r>
      <w:r w:rsidR="007E60C4" w:rsidRPr="00B27E56">
        <w:rPr>
          <w:lang w:val="en-US" w:eastAsia="zh-CN"/>
        </w:rPr>
        <w:t xml:space="preserve"> HARQ-ACK information without scheduling PDSCH reception,</w:t>
      </w:r>
      <w:r w:rsidR="007E60C4" w:rsidRPr="00EE027F">
        <w:rPr>
          <w:lang w:val="en-US" w:eastAsia="zh-CN"/>
        </w:rPr>
        <w:t xml:space="preserve"> </w:t>
      </w:r>
      <w:r w:rsidR="00C459C5">
        <w:rPr>
          <w:lang w:val="en-US" w:eastAsia="zh-CN"/>
        </w:rPr>
        <w:t>on</w:t>
      </w:r>
      <w:r w:rsidR="00C459C5" w:rsidRPr="00B916EC">
        <w:rPr>
          <w:rFonts w:hint="eastAsia"/>
          <w:lang w:val="en-US" w:eastAsia="zh-CN"/>
        </w:rPr>
        <w:t xml:space="preserve"> </w:t>
      </w:r>
      <w:r w:rsidR="00C459C5" w:rsidRPr="00B916EC">
        <w:rPr>
          <w:lang w:val="en-US" w:eastAsia="zh-CN"/>
        </w:rPr>
        <w:t xml:space="preserve">serving </w:t>
      </w:r>
      <w:r w:rsidR="00C459C5" w:rsidRPr="00B916EC">
        <w:rPr>
          <w:rFonts w:hint="eastAsia"/>
          <w:lang w:val="en-US" w:eastAsia="zh-CN"/>
        </w:rPr>
        <w:t xml:space="preserve">cell </w:t>
      </w:r>
      <m:oMath>
        <m:r>
          <w:rPr>
            <w:rFonts w:ascii="Cambria Math" w:hAnsi="Cambria Math"/>
            <w:lang w:val="en-US" w:eastAsia="zh-CN"/>
          </w:rPr>
          <m:t>c</m:t>
        </m:r>
      </m:oMath>
      <w:r w:rsidR="00C459C5" w:rsidRPr="00B916EC">
        <w:rPr>
          <w:rFonts w:hint="eastAsia"/>
          <w:lang w:val="en-US" w:eastAsia="zh-CN"/>
        </w:rPr>
        <w:t xml:space="preserve"> in </w:t>
      </w:r>
      <w:r w:rsidR="00C459C5" w:rsidRPr="00B916EC">
        <w:rPr>
          <w:lang w:eastAsia="zh-CN"/>
        </w:rPr>
        <w:t>PDCCH monitoring occasion</w:t>
      </w:r>
      <w:r w:rsidR="00C459C5" w:rsidRPr="00B916EC">
        <w:rPr>
          <w:rFonts w:hint="eastAsia"/>
          <w:lang w:val="en-US" w:eastAsia="zh-CN"/>
        </w:rPr>
        <w:t xml:space="preserve"> </w:t>
      </w:r>
      <m:oMath>
        <m:r>
          <w:rPr>
            <w:rFonts w:ascii="Cambria Math" w:hAnsi="Cambria Math"/>
            <w:lang w:eastAsia="zh-CN"/>
          </w:rPr>
          <m:t>m</m:t>
        </m:r>
      </m:oMath>
      <w:r w:rsidR="00C459C5" w:rsidRPr="00B916EC">
        <w:rPr>
          <w:rFonts w:hint="eastAsia"/>
          <w:lang w:val="en-US" w:eastAsia="zh-CN"/>
        </w:rPr>
        <w:t xml:space="preserve"> according to </w:t>
      </w:r>
      <w:r w:rsidR="00C459C5" w:rsidRPr="00B916EC">
        <w:rPr>
          <w:lang w:val="en-US" w:eastAsia="zh-CN"/>
        </w:rPr>
        <w:t>T</w:t>
      </w:r>
      <w:r w:rsidR="00C459C5" w:rsidRPr="00B916EC">
        <w:rPr>
          <w:rFonts w:hint="eastAsia"/>
          <w:lang w:val="en-US" w:eastAsia="zh-CN"/>
        </w:rPr>
        <w:t xml:space="preserve">able </w:t>
      </w:r>
      <w:r w:rsidR="00C459C5" w:rsidRPr="00B916EC">
        <w:rPr>
          <w:lang w:val="en-US" w:eastAsia="zh-CN"/>
        </w:rPr>
        <w:t>9.1.3</w:t>
      </w:r>
      <w:r w:rsidR="00C459C5" w:rsidRPr="00B916EC">
        <w:rPr>
          <w:rFonts w:hint="eastAsia"/>
          <w:lang w:val="en-US" w:eastAsia="zh-CN"/>
        </w:rPr>
        <w:t>-1</w:t>
      </w:r>
      <w:r w:rsidRPr="00EE027F">
        <w:rPr>
          <w:lang w:val="en-US" w:eastAsia="zh-CN"/>
        </w:rPr>
        <w:t xml:space="preserve"> or Table 9.1.3-1A</w:t>
      </w:r>
      <w:r w:rsidR="00C459C5" w:rsidRPr="00B916EC">
        <w:rPr>
          <w:rFonts w:hint="eastAsia"/>
          <w:lang w:val="en-US" w:eastAsia="zh-CN"/>
        </w:rPr>
        <w:t>. Denote</w:t>
      </w:r>
      <w:r w:rsidR="00C459C5">
        <w:rPr>
          <w:lang w:val="en-US" w:eastAsia="zh-CN"/>
        </w:rPr>
        <w:t xml:space="preserve"> by</w:t>
      </w:r>
      <w:r w:rsidR="00C459C5" w:rsidRPr="00B916EC">
        <w:rPr>
          <w:rFonts w:hint="eastAsia"/>
          <w:lang w:val="en-US" w:eastAsia="zh-CN"/>
        </w:rPr>
        <w:t xml:space="preserve"> </w:t>
      </w:r>
      <m:oMath>
        <m:sSubSup>
          <m:sSubSupPr>
            <m:ctrlPr>
              <w:rPr>
                <w:rFonts w:ascii="Cambria Math" w:hAnsi="Cambria Math"/>
                <w:i/>
              </w:rPr>
            </m:ctrlPr>
          </m:sSubSupPr>
          <m:e>
            <m:r>
              <w:rPr>
                <w:rFonts w:ascii="Cambria Math"/>
              </w:rPr>
              <m:t>V</m:t>
            </m:r>
          </m:e>
          <m:sub>
            <m:r>
              <m:rPr>
                <m:sty m:val="p"/>
              </m:rPr>
              <w:rPr>
                <w:rFonts w:ascii="Cambria Math"/>
              </w:rPr>
              <m:t>T</m:t>
            </m:r>
            <m:r>
              <w:rPr>
                <w:rFonts w:ascii="Cambria Math"/>
              </w:rPr>
              <m:t>-</m:t>
            </m:r>
            <m:r>
              <m:rPr>
                <m:nor/>
              </m:rPr>
              <w:rPr>
                <w:rFonts w:ascii="Cambria Math"/>
              </w:rPr>
              <m:t>DAI,</m:t>
            </m:r>
            <m:r>
              <m:rPr>
                <m:nor/>
              </m:rPr>
              <w:rPr>
                <w:rFonts w:ascii="Cambria Math"/>
                <w:i/>
                <w:iCs/>
              </w:rPr>
              <m:t>m</m:t>
            </m:r>
            <m:ctrlPr>
              <w:rPr>
                <w:rFonts w:ascii="Cambria Math" w:hAnsi="Cambria Math"/>
              </w:rPr>
            </m:ctrlPr>
          </m:sub>
          <m:sup>
            <m:r>
              <m:rPr>
                <m:nor/>
              </m:rPr>
              <w:rPr>
                <w:rFonts w:ascii="Cambria Math"/>
              </w:rPr>
              <m:t>DL</m:t>
            </m:r>
            <m:ctrlPr>
              <w:rPr>
                <w:rFonts w:ascii="Cambria Math" w:hAnsi="Cambria Math"/>
              </w:rPr>
            </m:ctrlPr>
          </m:sup>
        </m:sSubSup>
      </m:oMath>
      <w:r w:rsidR="00C459C5" w:rsidRPr="00B916EC">
        <w:rPr>
          <w:rFonts w:cs="Arial" w:hint="eastAsia"/>
          <w:lang w:eastAsia="zh-CN"/>
        </w:rPr>
        <w:t xml:space="preserve"> the value of the total DAI</w:t>
      </w:r>
      <w:r w:rsidR="00C459C5">
        <w:rPr>
          <w:rFonts w:cs="Arial"/>
          <w:lang w:eastAsia="zh-CN"/>
        </w:rPr>
        <w:t xml:space="preserve"> in</w:t>
      </w:r>
      <w:r w:rsidR="00C459C5" w:rsidRPr="00B916EC">
        <w:rPr>
          <w:rFonts w:cs="Arial" w:hint="eastAsia"/>
          <w:lang w:eastAsia="zh-CN"/>
        </w:rPr>
        <w:t xml:space="preserve"> </w:t>
      </w:r>
      <w:r>
        <w:rPr>
          <w:rFonts w:cs="Arial"/>
          <w:lang w:eastAsia="zh-CN"/>
        </w:rPr>
        <w:t xml:space="preserve">a </w:t>
      </w:r>
      <w:r w:rsidR="00C459C5" w:rsidRPr="00B916EC">
        <w:rPr>
          <w:lang w:val="en-US" w:eastAsia="zh-CN"/>
        </w:rPr>
        <w:t xml:space="preserve">DCI format </w:t>
      </w:r>
      <w:r w:rsidR="00C459C5" w:rsidRPr="00B916EC">
        <w:rPr>
          <w:rFonts w:hint="eastAsia"/>
          <w:lang w:val="en-US" w:eastAsia="zh-CN"/>
        </w:rPr>
        <w:t xml:space="preserve">in </w:t>
      </w:r>
      <w:r w:rsidR="00C459C5" w:rsidRPr="00B916EC">
        <w:rPr>
          <w:lang w:eastAsia="zh-CN"/>
        </w:rPr>
        <w:t>PDCCH monitoring occasion</w:t>
      </w:r>
      <w:r w:rsidR="00C459C5" w:rsidRPr="00B916EC">
        <w:rPr>
          <w:rFonts w:hint="eastAsia"/>
          <w:lang w:val="en-US" w:eastAsia="zh-CN"/>
        </w:rPr>
        <w:t xml:space="preserve"> </w:t>
      </w:r>
      <m:oMath>
        <m:r>
          <w:rPr>
            <w:rFonts w:ascii="Cambria Math" w:hAnsi="Cambria Math"/>
            <w:lang w:eastAsia="zh-CN"/>
          </w:rPr>
          <m:t>m</m:t>
        </m:r>
      </m:oMath>
      <w:r w:rsidR="00C459C5" w:rsidRPr="00B916EC">
        <w:rPr>
          <w:lang w:val="en-US" w:eastAsia="zh-CN"/>
        </w:rPr>
        <w:t xml:space="preserve"> </w:t>
      </w:r>
      <w:r w:rsidR="00C459C5" w:rsidRPr="00B916EC">
        <w:rPr>
          <w:rFonts w:cs="Arial" w:hint="eastAsia"/>
          <w:lang w:eastAsia="zh-CN"/>
        </w:rPr>
        <w:t xml:space="preserve">according to Table </w:t>
      </w:r>
      <w:r w:rsidR="00C459C5" w:rsidRPr="00B916EC">
        <w:rPr>
          <w:rFonts w:cs="Arial"/>
          <w:lang w:eastAsia="zh-CN"/>
        </w:rPr>
        <w:t>9.1.3</w:t>
      </w:r>
      <w:r w:rsidR="00C459C5" w:rsidRPr="00B916EC">
        <w:rPr>
          <w:rFonts w:cs="Arial" w:hint="eastAsia"/>
          <w:lang w:eastAsia="zh-CN"/>
        </w:rPr>
        <w:t>-1. The UE assume</w:t>
      </w:r>
      <w:r w:rsidR="00C459C5">
        <w:rPr>
          <w:rFonts w:cs="Arial"/>
          <w:lang w:eastAsia="zh-CN"/>
        </w:rPr>
        <w:t>s</w:t>
      </w:r>
      <w:r w:rsidR="00C459C5" w:rsidRPr="00B916EC">
        <w:rPr>
          <w:rFonts w:cs="Arial" w:hint="eastAsia"/>
          <w:lang w:eastAsia="zh-CN"/>
        </w:rPr>
        <w:t xml:space="preserve"> a same value of total DAI in all </w:t>
      </w:r>
      <w:r w:rsidR="00C459C5" w:rsidRPr="00B916EC">
        <w:rPr>
          <w:lang w:val="en-US" w:eastAsia="zh-CN"/>
        </w:rPr>
        <w:t>DCI format</w:t>
      </w:r>
      <w:r w:rsidR="00C459C5">
        <w:rPr>
          <w:lang w:val="en-US" w:eastAsia="zh-CN"/>
        </w:rPr>
        <w:t>s</w:t>
      </w:r>
      <w:r w:rsidR="00C459C5" w:rsidRPr="00B916EC">
        <w:rPr>
          <w:lang w:val="en-US" w:eastAsia="zh-CN"/>
        </w:rPr>
        <w:t xml:space="preserve"> </w:t>
      </w:r>
      <w:r w:rsidRPr="00EE027F">
        <w:rPr>
          <w:lang w:val="en-US" w:eastAsia="zh-CN"/>
        </w:rPr>
        <w:t>that include a total DAI field</w:t>
      </w:r>
      <w:r w:rsidR="00C459C5" w:rsidRPr="00B916EC">
        <w:rPr>
          <w:rFonts w:cs="Arial" w:hint="eastAsia"/>
          <w:lang w:eastAsia="zh-CN"/>
        </w:rPr>
        <w:t xml:space="preserve"> in</w:t>
      </w:r>
      <w:r w:rsidR="00C459C5" w:rsidRPr="00B916EC">
        <w:rPr>
          <w:rFonts w:hint="eastAsia"/>
          <w:lang w:val="en-US" w:eastAsia="zh-CN"/>
        </w:rPr>
        <w:t xml:space="preserve"> </w:t>
      </w:r>
      <w:r w:rsidR="00C459C5" w:rsidRPr="00B916EC">
        <w:rPr>
          <w:lang w:eastAsia="zh-CN"/>
        </w:rPr>
        <w:t xml:space="preserve">PDCCH monitoring occasion </w:t>
      </w:r>
      <m:oMath>
        <m:r>
          <w:rPr>
            <w:rFonts w:ascii="Cambria Math" w:hAnsi="Cambria Math"/>
            <w:lang w:eastAsia="zh-CN"/>
          </w:rPr>
          <m:t>m</m:t>
        </m:r>
      </m:oMath>
      <w:r w:rsidR="00C459C5" w:rsidRPr="00B916EC">
        <w:rPr>
          <w:rFonts w:cs="Arial" w:hint="eastAsia"/>
          <w:lang w:eastAsia="zh-CN"/>
        </w:rPr>
        <w:t>.</w:t>
      </w:r>
      <w:r w:rsidR="00B93BCA">
        <w:rPr>
          <w:rFonts w:cs="Arial"/>
          <w:lang w:eastAsia="zh-CN"/>
        </w:rPr>
        <w:t xml:space="preserve"> </w:t>
      </w:r>
      <w:r w:rsidR="00B93BCA" w:rsidRPr="00C06B59">
        <w:rPr>
          <w:lang w:eastAsia="zh-CN"/>
        </w:rPr>
        <w:t>A UE does not expect to multiplex, in a same Type-2 HARQ-ACK codebook, HARQ-ACK information that is in response to detection of DCI formats with different number of bits for the counter DAI field.</w:t>
      </w:r>
    </w:p>
    <w:p w14:paraId="52372900" w14:textId="192DD250" w:rsidR="00C459C5" w:rsidRPr="00B916EC" w:rsidRDefault="00C459C5" w:rsidP="00C459C5">
      <w:pPr>
        <w:rPr>
          <w:lang w:eastAsia="zh-CN"/>
        </w:rPr>
      </w:pPr>
      <w:r w:rsidRPr="00B916EC">
        <w:rPr>
          <w:rFonts w:cs="Arial"/>
          <w:lang w:eastAsia="zh-CN"/>
        </w:rPr>
        <w:t>I</w:t>
      </w:r>
      <w:r w:rsidRPr="00B916EC">
        <w:rPr>
          <w:rFonts w:hint="eastAsia"/>
          <w:lang w:eastAsia="zh-CN"/>
        </w:rPr>
        <w:t>f the UE transmits HARQ-ACK</w:t>
      </w:r>
      <w:r w:rsidRPr="00960881">
        <w:rPr>
          <w:lang w:eastAsia="zh-CN"/>
        </w:rPr>
        <w:t xml:space="preserve"> </w:t>
      </w:r>
      <w:r>
        <w:rPr>
          <w:lang w:eastAsia="zh-CN"/>
        </w:rPr>
        <w:t>information</w:t>
      </w:r>
      <w:r w:rsidRPr="00B916EC">
        <w:rPr>
          <w:rFonts w:hint="eastAsia"/>
          <w:lang w:eastAsia="zh-CN"/>
        </w:rPr>
        <w:t xml:space="preserve"> </w:t>
      </w:r>
      <w:r>
        <w:rPr>
          <w:lang w:eastAsia="zh-CN"/>
        </w:rPr>
        <w:t>in a PUCCH</w:t>
      </w:r>
      <w:r w:rsidRPr="00960881">
        <w:rPr>
          <w:lang w:val="en-US" w:eastAsia="zh-CN"/>
        </w:rPr>
        <w:t xml:space="preserve"> </w:t>
      </w:r>
      <w:r>
        <w:rPr>
          <w:lang w:val="en-US" w:eastAsia="zh-CN"/>
        </w:rPr>
        <w:t xml:space="preserve">in slot </w:t>
      </w:r>
      <m:oMath>
        <m:r>
          <w:rPr>
            <w:rFonts w:ascii="Cambria Math" w:hAnsi="Cambria Math"/>
            <w:lang w:val="en-US" w:eastAsia="zh-CN"/>
          </w:rPr>
          <m:t>n</m:t>
        </m:r>
      </m:oMath>
      <w:r>
        <w:rPr>
          <w:lang w:eastAsia="zh-CN"/>
        </w:rPr>
        <w:t xml:space="preserve"> and for any</w:t>
      </w:r>
      <w:r w:rsidRPr="00B916EC">
        <w:rPr>
          <w:rFonts w:hint="eastAsia"/>
          <w:lang w:eastAsia="zh-CN"/>
        </w:rPr>
        <w:t xml:space="preserve"> PUCCH format, </w:t>
      </w:r>
      <w:r w:rsidRPr="00B916EC">
        <w:rPr>
          <w:rFonts w:cs="Arial" w:hint="eastAsia"/>
          <w:lang w:eastAsia="zh-CN"/>
        </w:rPr>
        <w:t>the UE determine</w:t>
      </w:r>
      <w:r>
        <w:rPr>
          <w:rFonts w:cs="Arial"/>
          <w:lang w:eastAsia="zh-CN"/>
        </w:rPr>
        <w:t>s</w:t>
      </w:r>
      <w:r w:rsidRPr="00B916EC">
        <w:rPr>
          <w:rFonts w:cs="Arial" w:hint="eastAsia"/>
          <w:lang w:eastAsia="zh-CN"/>
        </w:rPr>
        <w:t xml:space="preserve"> the </w:t>
      </w:r>
      <m:oMath>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r>
              <w:rPr>
                <w:rFonts w:ascii="Cambria Math"/>
              </w:rPr>
              <m:t>0</m:t>
            </m:r>
          </m:sub>
          <m:sup>
            <m:r>
              <w:rPr>
                <w:rFonts w:ascii="Cambria Math"/>
              </w:rPr>
              <m:t>ACK</m:t>
            </m:r>
          </m:sup>
        </m:sSubSup>
        <m:r>
          <w:rPr>
            <w:rFonts w:ascii="Cambria Math" w:hAnsi="Cambria Math"/>
          </w:rPr>
          <m:t xml:space="preserve">, </m:t>
        </m:r>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r>
              <w:rPr>
                <w:rFonts w:ascii="Cambria Math"/>
              </w:rPr>
              <m:t>1</m:t>
            </m:r>
          </m:sub>
          <m:sup>
            <m:r>
              <w:rPr>
                <w:rFonts w:ascii="Cambria Math"/>
              </w:rPr>
              <m:t>ACK</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sSub>
              <m:sSubPr>
                <m:ctrlPr>
                  <w:rPr>
                    <w:rFonts w:ascii="Cambria Math" w:hAnsi="Cambria Math"/>
                    <w:i/>
                  </w:rPr>
                </m:ctrlPr>
              </m:sSubPr>
              <m:e>
                <m:r>
                  <w:rPr>
                    <w:rFonts w:ascii="Cambria Math" w:hAnsi="Cambria Math"/>
                  </w:rPr>
                  <m:t>O</m:t>
                </m:r>
              </m:e>
              <m:sub>
                <m:r>
                  <m:rPr>
                    <m:sty m:val="p"/>
                  </m:rPr>
                  <w:rPr>
                    <w:rFonts w:ascii="Cambria Math" w:hAnsi="Cambria Math"/>
                  </w:rPr>
                  <m:t>ACK</m:t>
                </m:r>
              </m:sub>
            </m:sSub>
            <m:r>
              <w:rPr>
                <w:rFonts w:ascii="Cambria Math" w:hAnsi="Cambria Math"/>
              </w:rPr>
              <m:t>-1</m:t>
            </m:r>
          </m:sub>
          <m:sup>
            <m:r>
              <w:rPr>
                <w:rFonts w:ascii="Cambria Math"/>
              </w:rPr>
              <m:t>ACK</m:t>
            </m:r>
          </m:sup>
        </m:sSubSup>
      </m:oMath>
      <w:r>
        <w:rPr>
          <w:lang w:eastAsia="zh-CN"/>
        </w:rPr>
        <w:t xml:space="preserve">, for a total number of </w:t>
      </w:r>
      <m:oMath>
        <m:sSub>
          <m:sSubPr>
            <m:ctrlPr>
              <w:rPr>
                <w:rFonts w:ascii="Cambria Math" w:hAnsi="Cambria Math"/>
                <w:i/>
              </w:rPr>
            </m:ctrlPr>
          </m:sSubPr>
          <m:e>
            <m:r>
              <w:rPr>
                <w:rFonts w:ascii="Cambria Math" w:hAnsi="Cambria Math"/>
              </w:rPr>
              <m:t>O</m:t>
            </m:r>
          </m:e>
          <m:sub>
            <m:r>
              <m:rPr>
                <m:sty m:val="p"/>
              </m:rPr>
              <w:rPr>
                <w:rFonts w:ascii="Cambria Math" w:hAnsi="Cambria Math"/>
              </w:rPr>
              <m:t>ACK</m:t>
            </m:r>
          </m:sub>
        </m:sSub>
      </m:oMath>
      <w:r>
        <w:t xml:space="preserve"> </w:t>
      </w:r>
      <w:r>
        <w:rPr>
          <w:lang w:eastAsia="zh-CN"/>
        </w:rPr>
        <w:t>HARQ-ACK information bits,</w:t>
      </w:r>
      <w:r w:rsidRPr="00B916EC">
        <w:rPr>
          <w:lang w:eastAsia="zh-CN"/>
        </w:rPr>
        <w:t xml:space="preserve"> according</w:t>
      </w:r>
      <w:r w:rsidRPr="00B916EC">
        <w:rPr>
          <w:rFonts w:hint="eastAsia"/>
          <w:lang w:eastAsia="zh-CN"/>
        </w:rPr>
        <w:t xml:space="preserve"> to the following pseudo-code:</w:t>
      </w:r>
    </w:p>
    <w:p w14:paraId="292CC463" w14:textId="6D213C02" w:rsidR="00C459C5" w:rsidRPr="00B916EC" w:rsidRDefault="00C459C5" w:rsidP="00C459C5">
      <w:pPr>
        <w:pStyle w:val="B1"/>
        <w:rPr>
          <w:lang w:eastAsia="zh-CN"/>
        </w:rPr>
      </w:pPr>
      <w:r w:rsidRPr="00B916EC">
        <w:rPr>
          <w:rFonts w:hint="eastAsia"/>
          <w:lang w:eastAsia="zh-CN"/>
        </w:rPr>
        <w:t xml:space="preserve">Set </w:t>
      </w:r>
      <m:oMath>
        <m:r>
          <w:rPr>
            <w:rFonts w:ascii="Cambria Math" w:hAnsi="Cambria Math"/>
            <w:lang w:eastAsia="zh-CN"/>
          </w:rPr>
          <m:t>m=0</m:t>
        </m:r>
      </m:oMath>
      <w:r w:rsidRPr="00B916EC">
        <w:rPr>
          <w:rFonts w:hint="eastAsia"/>
          <w:lang w:eastAsia="zh-CN"/>
        </w:rPr>
        <w:t xml:space="preserve"> </w:t>
      </w:r>
      <w:r w:rsidRPr="00B916EC">
        <w:rPr>
          <w:lang w:eastAsia="zh-CN"/>
        </w:rPr>
        <w:t>–</w:t>
      </w:r>
      <w:r w:rsidRPr="00B916EC">
        <w:rPr>
          <w:rFonts w:hint="eastAsia"/>
          <w:lang w:eastAsia="zh-CN"/>
        </w:rPr>
        <w:t xml:space="preserve"> </w:t>
      </w:r>
      <w:r w:rsidRPr="00B916EC">
        <w:rPr>
          <w:lang w:eastAsia="zh-CN"/>
        </w:rPr>
        <w:t>PDCCH</w:t>
      </w:r>
      <w:r w:rsidR="00916D81">
        <w:rPr>
          <w:lang w:val="en-GB" w:eastAsia="zh-CN"/>
        </w:rPr>
        <w:t>,</w:t>
      </w:r>
      <w:r w:rsidRPr="00B916EC">
        <w:rPr>
          <w:lang w:eastAsia="zh-CN"/>
        </w:rPr>
        <w:t xml:space="preserve"> with DCI format </w:t>
      </w:r>
      <w:r w:rsidR="000B38AB" w:rsidRPr="00EE027F">
        <w:rPr>
          <w:rFonts w:hint="eastAsia"/>
          <w:lang w:val="en-US" w:eastAsia="zh-CN"/>
        </w:rPr>
        <w:t xml:space="preserve">scheduling PDSCH </w:t>
      </w:r>
      <w:r w:rsidR="000B38AB" w:rsidRPr="00EE027F">
        <w:rPr>
          <w:lang w:val="en-US" w:eastAsia="zh-CN"/>
        </w:rPr>
        <w:t>reception</w:t>
      </w:r>
      <w:r w:rsidR="007C55C0">
        <w:rPr>
          <w:lang w:val="en-US" w:eastAsia="zh-CN"/>
        </w:rPr>
        <w:t>,</w:t>
      </w:r>
      <w:r w:rsidRPr="00B916EC">
        <w:rPr>
          <w:lang w:val="en-US" w:eastAsia="zh-CN"/>
        </w:rPr>
        <w:t xml:space="preserve"> </w:t>
      </w:r>
      <w:r w:rsidR="007E60C4" w:rsidRPr="00B27E56">
        <w:rPr>
          <w:lang w:val="en-US" w:eastAsia="zh-CN"/>
        </w:rPr>
        <w:t xml:space="preserve">or </w:t>
      </w:r>
      <w:r w:rsidR="007E60C4">
        <w:rPr>
          <w:lang w:val="en-US" w:eastAsia="zh-CN"/>
        </w:rPr>
        <w:t>having associated</w:t>
      </w:r>
      <w:r w:rsidR="007E60C4" w:rsidRPr="00B27E56">
        <w:rPr>
          <w:lang w:val="en-US" w:eastAsia="zh-CN"/>
        </w:rPr>
        <w:t xml:space="preserve"> HARQ-ACK information without scheduling a PDSCH reception,</w:t>
      </w:r>
      <w:r w:rsidR="007E60C4" w:rsidRPr="00EE027F">
        <w:rPr>
          <w:lang w:val="en-US" w:eastAsia="zh-CN"/>
        </w:rPr>
        <w:t xml:space="preserve"> </w:t>
      </w:r>
      <w:r w:rsidRPr="00B916EC">
        <w:rPr>
          <w:lang w:eastAsia="zh-CN"/>
        </w:rPr>
        <w:t>monitoring occasion</w:t>
      </w:r>
      <w:r w:rsidRPr="00B916EC">
        <w:rPr>
          <w:rFonts w:hint="eastAsia"/>
          <w:lang w:eastAsia="zh-CN"/>
        </w:rPr>
        <w:t xml:space="preserve"> index: lower index corresponds to earlier </w:t>
      </w:r>
      <w:r w:rsidRPr="00B916EC">
        <w:rPr>
          <w:lang w:eastAsia="zh-CN"/>
        </w:rPr>
        <w:t>PDCCH monitoring occasion</w:t>
      </w:r>
    </w:p>
    <w:p w14:paraId="3576C635" w14:textId="6085C4EF" w:rsidR="00F37E87" w:rsidRPr="00B916EC" w:rsidRDefault="00F37E87" w:rsidP="0009732E">
      <w:pPr>
        <w:pStyle w:val="B1"/>
        <w:rPr>
          <w:lang w:eastAsia="zh-CN"/>
        </w:rPr>
      </w:pPr>
      <w:r w:rsidRPr="00B916EC">
        <w:rPr>
          <w:rFonts w:hint="eastAsia"/>
          <w:lang w:eastAsia="zh-CN"/>
        </w:rPr>
        <w:t xml:space="preserve">Set </w:t>
      </w:r>
      <m:oMath>
        <m:r>
          <w:rPr>
            <w:rFonts w:ascii="Cambria Math" w:hAnsi="Cambria Math"/>
            <w:lang w:eastAsia="zh-CN"/>
          </w:rPr>
          <m:t>j=0</m:t>
        </m:r>
      </m:oMath>
    </w:p>
    <w:p w14:paraId="289EBA98" w14:textId="06E0FC90" w:rsidR="00F37E87" w:rsidRPr="00B916EC" w:rsidRDefault="00F37E87" w:rsidP="0009732E">
      <w:pPr>
        <w:pStyle w:val="B1"/>
        <w:rPr>
          <w:rFonts w:cs="Arial"/>
          <w:lang w:eastAsia="zh-CN"/>
        </w:rPr>
      </w:pPr>
      <w:r w:rsidRPr="00B916EC">
        <w:rPr>
          <w:rFonts w:hint="eastAsia"/>
          <w:lang w:eastAsia="zh-CN"/>
        </w:rPr>
        <w:t xml:space="preserve">Set </w:t>
      </w:r>
      <m:oMath>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temp</m:t>
            </m:r>
          </m:sub>
        </m:sSub>
        <m:r>
          <w:rPr>
            <w:rFonts w:ascii="Cambria Math" w:hAnsi="Cambria Math"/>
            <w:lang w:eastAsia="zh-CN"/>
          </w:rPr>
          <m:t>=0</m:t>
        </m:r>
      </m:oMath>
    </w:p>
    <w:p w14:paraId="6C691CCD" w14:textId="0045DDD5" w:rsidR="00F37E87" w:rsidRPr="00B916EC" w:rsidRDefault="00F37E87" w:rsidP="0009732E">
      <w:pPr>
        <w:pStyle w:val="B1"/>
        <w:rPr>
          <w:rFonts w:cs="Arial"/>
          <w:lang w:eastAsia="zh-CN"/>
        </w:rPr>
      </w:pPr>
      <w:r w:rsidRPr="00B916EC">
        <w:rPr>
          <w:rFonts w:cs="Arial" w:hint="eastAsia"/>
          <w:lang w:eastAsia="zh-CN"/>
        </w:rPr>
        <w:t xml:space="preserve">Set </w:t>
      </w:r>
      <m:oMath>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temp2</m:t>
            </m:r>
          </m:sub>
        </m:sSub>
        <m:r>
          <w:rPr>
            <w:rFonts w:ascii="Cambria Math" w:hAnsi="Cambria Math"/>
            <w:lang w:eastAsia="zh-CN"/>
          </w:rPr>
          <m:t>=0</m:t>
        </m:r>
      </m:oMath>
    </w:p>
    <w:p w14:paraId="1782DE89" w14:textId="135BECBA" w:rsidR="00F37E87" w:rsidRPr="00B916EC" w:rsidRDefault="00F37E87" w:rsidP="0009732E">
      <w:pPr>
        <w:pStyle w:val="B1"/>
        <w:rPr>
          <w:lang w:eastAsia="zh-CN"/>
        </w:rPr>
      </w:pPr>
      <w:r w:rsidRPr="00B916EC">
        <w:rPr>
          <w:rFonts w:cs="Arial"/>
          <w:lang w:eastAsia="zh-CN"/>
        </w:rPr>
        <w:t>S</w:t>
      </w:r>
      <w:r w:rsidRPr="00B916EC">
        <w:rPr>
          <w:rFonts w:cs="Arial" w:hint="eastAsia"/>
          <w:lang w:eastAsia="zh-CN"/>
        </w:rPr>
        <w:t xml:space="preserve">et </w:t>
      </w:r>
      <m:oMath>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s</m:t>
            </m:r>
          </m:sub>
        </m:sSub>
        <m:r>
          <w:rPr>
            <w:rFonts w:ascii="Cambria Math" w:hAnsi="Cambria Math"/>
            <w:lang w:eastAsia="zh-CN"/>
          </w:rPr>
          <m:t>=∅</m:t>
        </m:r>
      </m:oMath>
    </w:p>
    <w:p w14:paraId="129FDD34" w14:textId="489565D3" w:rsidR="009F2E1F" w:rsidRPr="00B916EC" w:rsidRDefault="009F2E1F" w:rsidP="009F2E1F">
      <w:pPr>
        <w:pStyle w:val="B1"/>
        <w:rPr>
          <w:lang w:eastAsia="zh-CN"/>
        </w:rPr>
      </w:pPr>
      <w:r w:rsidRPr="00B916EC">
        <w:rPr>
          <w:rFonts w:hint="eastAsia"/>
          <w:lang w:eastAsia="zh-CN"/>
        </w:rPr>
        <w:t xml:space="preserve">Set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m:t>
            </m:r>
            <m:ctrlPr>
              <w:rPr>
                <w:rFonts w:ascii="Cambria Math" w:hAnsi="Cambria Math"/>
              </w:rPr>
            </m:ctrlPr>
          </m:sup>
        </m:sSubSup>
      </m:oMath>
      <w:r w:rsidRPr="00B916EC">
        <w:t xml:space="preserve"> to the number of </w:t>
      </w:r>
      <w:r>
        <w:rPr>
          <w:lang w:val="en-US"/>
        </w:rPr>
        <w:t xml:space="preserve">serving </w:t>
      </w:r>
      <w:r w:rsidRPr="00B916EC">
        <w:t>cells configured by higher layers for the UE</w:t>
      </w:r>
    </w:p>
    <w:p w14:paraId="6938E196" w14:textId="2B447EF5" w:rsidR="001B2B3A" w:rsidRDefault="001B2B3A" w:rsidP="001B2B3A">
      <w:pPr>
        <w:pStyle w:val="B1"/>
        <w:rPr>
          <w:iCs/>
          <w:lang w:val="en-US" w:eastAsia="zh-CN"/>
        </w:rPr>
      </w:pPr>
      <w:r>
        <w:t>-</w:t>
      </w:r>
      <w:r>
        <w:tab/>
        <w:t>if</w:t>
      </w:r>
      <w:r>
        <w:rPr>
          <w:lang w:val="en-US"/>
        </w:rPr>
        <w:t>,</w:t>
      </w:r>
      <w:r>
        <w:t xml:space="preserve"> for an active DL BWP of a serving cell, </w:t>
      </w:r>
      <w:r>
        <w:rPr>
          <w:lang w:eastAsia="zh-CN"/>
        </w:rPr>
        <w:t xml:space="preserve">the UE is not provided </w:t>
      </w:r>
      <w:r w:rsidR="00FE0022">
        <w:rPr>
          <w:i/>
          <w:lang w:val="en-US" w:eastAsia="zh-CN"/>
        </w:rPr>
        <w:t>coreset</w:t>
      </w:r>
      <w:r>
        <w:rPr>
          <w:i/>
          <w:lang w:eastAsia="zh-CN"/>
        </w:rPr>
        <w:t>PoolIndex</w:t>
      </w:r>
      <w:r>
        <w:rPr>
          <w:lang w:eastAsia="zh-CN"/>
        </w:rPr>
        <w:t xml:space="preserve"> or is provided </w:t>
      </w:r>
      <w:r w:rsidR="00FE0022">
        <w:rPr>
          <w:i/>
          <w:lang w:val="en-US" w:eastAsia="zh-CN"/>
        </w:rPr>
        <w:t>coreset</w:t>
      </w:r>
      <w:r>
        <w:rPr>
          <w:i/>
          <w:lang w:eastAsia="zh-CN"/>
        </w:rPr>
        <w:t>PoolIndex</w:t>
      </w:r>
      <w:r>
        <w:rPr>
          <w:lang w:eastAsia="zh-CN"/>
        </w:rPr>
        <w:t xml:space="preserve"> with value 0 for one or more first CORESETs and is provided </w:t>
      </w:r>
      <w:r w:rsidR="00FE0022">
        <w:rPr>
          <w:i/>
          <w:lang w:val="en-US" w:eastAsia="zh-CN"/>
        </w:rPr>
        <w:t>coreset</w:t>
      </w:r>
      <w:r>
        <w:rPr>
          <w:i/>
          <w:lang w:eastAsia="zh-CN"/>
        </w:rPr>
        <w:t>PoolIndex</w:t>
      </w:r>
      <w:r>
        <w:rPr>
          <w:lang w:eastAsia="zh-CN"/>
        </w:rPr>
        <w:t xml:space="preserve"> with value 1 for one or more second CORESETs, and is provided </w:t>
      </w:r>
      <w:r w:rsidR="00B64EAE">
        <w:rPr>
          <w:i/>
          <w:lang w:val="en-US" w:eastAsia="zh-CN"/>
        </w:rPr>
        <w:t>ack</w:t>
      </w:r>
      <w:r w:rsidR="00B64EAE">
        <w:rPr>
          <w:i/>
          <w:lang w:eastAsia="zh-CN"/>
        </w:rPr>
        <w:t>N</w:t>
      </w:r>
      <w:r w:rsidR="00B64EAE">
        <w:rPr>
          <w:i/>
          <w:lang w:val="en-US" w:eastAsia="zh-CN"/>
        </w:rPr>
        <w:t>ack</w:t>
      </w:r>
      <w:r w:rsidR="00B64EAE">
        <w:rPr>
          <w:i/>
          <w:lang w:eastAsia="zh-CN"/>
        </w:rPr>
        <w:t xml:space="preserve">FeedbackMode = </w:t>
      </w:r>
      <w:r w:rsidR="00B64EAE">
        <w:rPr>
          <w:i/>
          <w:lang w:val="en-US" w:eastAsia="zh-CN"/>
        </w:rPr>
        <w:t>joint</w:t>
      </w:r>
      <w:r w:rsidR="00F56BF9">
        <w:rPr>
          <w:i/>
          <w:lang w:val="en-US" w:eastAsia="zh-CN"/>
        </w:rPr>
        <w:t>,</w:t>
      </w:r>
      <w:r>
        <w:rPr>
          <w:i/>
          <w:lang w:eastAsia="zh-CN"/>
        </w:rPr>
        <w:t xml:space="preserve"> </w:t>
      </w:r>
      <w:r>
        <w:rPr>
          <w:iCs/>
          <w:lang w:eastAsia="zh-CN"/>
        </w:rPr>
        <w:t xml:space="preserve">the serving cell is counted two times where </w:t>
      </w:r>
      <w:r>
        <w:rPr>
          <w:iCs/>
          <w:lang w:val="en-US" w:eastAsia="zh-CN"/>
        </w:rPr>
        <w:t>the first time corresponds to the first CORESETs and the second time corresponds to the second CORESETs</w:t>
      </w:r>
    </w:p>
    <w:p w14:paraId="66D9AF6C" w14:textId="6745EB49" w:rsidR="00746E6C" w:rsidRPr="00746E6C" w:rsidRDefault="00746E6C" w:rsidP="00746E6C">
      <w:pPr>
        <w:pStyle w:val="B1"/>
        <w:rPr>
          <w:i/>
          <w:iCs/>
        </w:rPr>
      </w:pPr>
      <w:r w:rsidRPr="00746E6C">
        <w:t>-</w:t>
      </w:r>
      <w:r w:rsidRPr="00746E6C">
        <w:tab/>
        <w:t xml:space="preserve">if </w:t>
      </w:r>
      <w:r w:rsidRPr="00746E6C">
        <w:rPr>
          <w:rFonts w:cs="Times"/>
        </w:rPr>
        <w:t xml:space="preserve">the UE indicates </w:t>
      </w:r>
      <w:r w:rsidRPr="00746E6C">
        <w:rPr>
          <w:i/>
          <w:iCs/>
        </w:rPr>
        <w:t>type2-HARQ-ACK-Codebook</w:t>
      </w:r>
      <w:r w:rsidRPr="00746E6C">
        <w:t xml:space="preserve"> and receives a number </w:t>
      </w:r>
      <m:oMath>
        <m:sSubSup>
          <m:sSubSupPr>
            <m:ctrlPr>
              <w:rPr>
                <w:rFonts w:ascii="Cambria Math" w:eastAsia="DengXian" w:hAnsi="Cambria Math" w:cs="Calibri"/>
                <w:i/>
                <w:iCs/>
                <w:sz w:val="22"/>
                <w:szCs w:val="22"/>
              </w:rPr>
            </m:ctrlPr>
          </m:sSubSupPr>
          <m:e>
            <m:r>
              <w:rPr>
                <w:rFonts w:ascii="Cambria Math" w:hAnsi="Cambria Math"/>
              </w:rPr>
              <m:t>N</m:t>
            </m:r>
          </m:e>
          <m:sub>
            <m:r>
              <m:rPr>
                <m:sty m:val="p"/>
              </m:rPr>
              <w:rPr>
                <w:rFonts w:ascii="Cambria Math" w:hAnsi="Cambria Math"/>
              </w:rPr>
              <m:t xml:space="preserve">PDSCH, </m:t>
            </m:r>
            <m:r>
              <w:rPr>
                <w:rFonts w:ascii="Cambria Math" w:hAnsi="Cambria Math"/>
              </w:rPr>
              <m:t>c</m:t>
            </m:r>
            <m:ctrlPr>
              <w:rPr>
                <w:rFonts w:ascii="Cambria Math" w:eastAsia="DengXian" w:hAnsi="Cambria Math" w:cs="Calibri"/>
                <w:sz w:val="22"/>
                <w:szCs w:val="22"/>
              </w:rPr>
            </m:ctrlPr>
          </m:sub>
          <m:sup>
            <m:r>
              <m:rPr>
                <m:nor/>
              </m:rPr>
              <w:rPr>
                <w:i/>
              </w:rPr>
              <m:t>m</m:t>
            </m:r>
            <m:ctrlPr>
              <w:rPr>
                <w:rFonts w:ascii="Cambria Math" w:eastAsia="DengXian" w:hAnsi="Cambria Math" w:cs="Calibri"/>
                <w:sz w:val="22"/>
                <w:szCs w:val="22"/>
              </w:rPr>
            </m:ctrlPr>
          </m:sup>
        </m:sSubSup>
        <m:r>
          <w:rPr>
            <w:rFonts w:ascii="Cambria Math" w:hAnsi="Cambria Math"/>
          </w:rPr>
          <m:t>&gt;1</m:t>
        </m:r>
      </m:oMath>
      <w:r w:rsidRPr="00746E6C">
        <w:t xml:space="preserve"> of PDSCHs on a serving cell </w:t>
      </w:r>
      <w:r w:rsidRPr="00746E6C">
        <w:rPr>
          <w:i/>
        </w:rPr>
        <w:t>c</w:t>
      </w:r>
      <w:r w:rsidRPr="00746E6C">
        <w:t xml:space="preserve"> that are scheduled by DCI formats in PDCCH receptions at a same PDCCH monitoring occasion </w:t>
      </w:r>
      <w:r w:rsidRPr="00746E6C">
        <w:rPr>
          <w:i/>
          <w:iCs/>
        </w:rPr>
        <w:t>m</w:t>
      </w:r>
      <w:r w:rsidRPr="00746E6C">
        <w:rPr>
          <w:rFonts w:cs="Times"/>
          <w:lang w:val="en-US"/>
        </w:rPr>
        <w:t xml:space="preserve">, the serving cell </w:t>
      </w:r>
      <w:r w:rsidRPr="00746E6C">
        <w:rPr>
          <w:i/>
        </w:rPr>
        <w:t>c</w:t>
      </w:r>
      <w:r w:rsidRPr="00746E6C">
        <w:t xml:space="preserve"> </w:t>
      </w:r>
      <w:r w:rsidRPr="00746E6C">
        <w:rPr>
          <w:rFonts w:cs="Times"/>
          <w:lang w:val="en-US"/>
        </w:rPr>
        <w:t>is counted</w:t>
      </w:r>
      <w:r w:rsidRPr="00746E6C">
        <w:t xml:space="preserve"> </w:t>
      </w:r>
      <m:oMath>
        <m:sSubSup>
          <m:sSubSupPr>
            <m:ctrlPr>
              <w:rPr>
                <w:rFonts w:ascii="Cambria Math" w:eastAsia="DengXian" w:hAnsi="Cambria Math" w:cs="Calibri"/>
                <w:i/>
                <w:iCs/>
                <w:sz w:val="22"/>
                <w:szCs w:val="22"/>
              </w:rPr>
            </m:ctrlPr>
          </m:sSubSupPr>
          <m:e>
            <m:r>
              <w:rPr>
                <w:rFonts w:ascii="Cambria Math" w:hAnsi="Cambria Math"/>
              </w:rPr>
              <m:t>N</m:t>
            </m:r>
          </m:e>
          <m:sub>
            <m:r>
              <m:rPr>
                <m:sty m:val="p"/>
              </m:rPr>
              <w:rPr>
                <w:rFonts w:ascii="Cambria Math" w:hAnsi="Cambria Math"/>
              </w:rPr>
              <m:t xml:space="preserve">PDSCH, </m:t>
            </m:r>
            <m:r>
              <w:rPr>
                <w:rFonts w:ascii="Cambria Math" w:hAnsi="Cambria Math"/>
              </w:rPr>
              <m:t>c</m:t>
            </m:r>
            <m:ctrlPr>
              <w:rPr>
                <w:rFonts w:ascii="Cambria Math" w:eastAsia="DengXian" w:hAnsi="Cambria Math" w:cs="Calibri"/>
                <w:sz w:val="22"/>
                <w:szCs w:val="22"/>
              </w:rPr>
            </m:ctrlPr>
          </m:sub>
          <m:sup>
            <m:r>
              <m:rPr>
                <m:nor/>
              </m:rPr>
              <w:rPr>
                <w:i/>
              </w:rPr>
              <m:t>m</m:t>
            </m:r>
            <m:ctrlPr>
              <w:rPr>
                <w:rFonts w:ascii="Cambria Math" w:eastAsia="DengXian" w:hAnsi="Cambria Math" w:cs="Calibri"/>
                <w:sz w:val="22"/>
                <w:szCs w:val="22"/>
              </w:rPr>
            </m:ctrlPr>
          </m:sup>
        </m:sSubSup>
      </m:oMath>
      <w:r w:rsidRPr="00746E6C">
        <w:t xml:space="preserve"> </w:t>
      </w:r>
      <w:r w:rsidRPr="00746E6C">
        <w:rPr>
          <w:lang w:val="en-US"/>
        </w:rPr>
        <w:t xml:space="preserve">times </w:t>
      </w:r>
      <w:r w:rsidRPr="00746E6C">
        <w:t xml:space="preserve">for PDCCH monitoring occasion </w:t>
      </w:r>
      <w:r w:rsidRPr="00746E6C">
        <w:rPr>
          <w:i/>
          <w:iCs/>
        </w:rPr>
        <w:t>m</w:t>
      </w:r>
      <w:r w:rsidRPr="00746E6C">
        <w:t xml:space="preserve"> in increasing order of the PDSCH reception starting time </w:t>
      </w:r>
    </w:p>
    <w:p w14:paraId="12057A91" w14:textId="77777777" w:rsidR="00522C35" w:rsidRPr="00B916EC" w:rsidRDefault="00522C35" w:rsidP="00522C35">
      <w:pPr>
        <w:pStyle w:val="B1"/>
        <w:rPr>
          <w:lang w:eastAsia="zh-CN"/>
        </w:rPr>
      </w:pPr>
      <w:r w:rsidRPr="00B916EC">
        <w:rPr>
          <w:rFonts w:hint="eastAsia"/>
          <w:lang w:eastAsia="zh-CN"/>
        </w:rPr>
        <w:t xml:space="preserve">Set </w:t>
      </w:r>
      <m:oMath>
        <m:r>
          <w:rPr>
            <w:rFonts w:ascii="Cambria Math" w:hAnsi="Cambria Math"/>
            <w:lang w:eastAsia="zh-CN"/>
          </w:rPr>
          <m:t>M</m:t>
        </m:r>
      </m:oMath>
      <w:r w:rsidRPr="00B916EC">
        <w:rPr>
          <w:rFonts w:hint="eastAsia"/>
          <w:lang w:eastAsia="zh-CN"/>
        </w:rPr>
        <w:t xml:space="preserve"> to the number of</w:t>
      </w:r>
      <w:r w:rsidRPr="00B916EC">
        <w:rPr>
          <w:lang w:eastAsia="zh-CN"/>
        </w:rPr>
        <w:t xml:space="preserve"> PDCCH monitoring occasion(s)</w:t>
      </w:r>
    </w:p>
    <w:p w14:paraId="773BC937" w14:textId="77777777" w:rsidR="00522C35" w:rsidRDefault="00522C35" w:rsidP="00522C35">
      <w:pPr>
        <w:pStyle w:val="B1"/>
        <w:rPr>
          <w:rFonts w:cs="Arial"/>
          <w:lang w:eastAsia="zh-CN"/>
        </w:rPr>
      </w:pPr>
      <w:r w:rsidRPr="00B916EC">
        <w:rPr>
          <w:rFonts w:hint="eastAsia"/>
          <w:lang w:eastAsia="zh-CN"/>
        </w:rPr>
        <w:t xml:space="preserve">while </w:t>
      </w:r>
      <m:oMath>
        <m:r>
          <w:rPr>
            <w:rFonts w:ascii="Cambria Math" w:hAnsi="Cambria Math"/>
            <w:lang w:eastAsia="zh-CN"/>
          </w:rPr>
          <m:t>m&lt;M</m:t>
        </m:r>
      </m:oMath>
    </w:p>
    <w:p w14:paraId="4BA33A31" w14:textId="77777777" w:rsidR="00522C35" w:rsidRPr="00326D6E" w:rsidRDefault="00522C35" w:rsidP="00522C35">
      <w:pPr>
        <w:pStyle w:val="B2"/>
        <w:rPr>
          <w:lang w:val="en-GB" w:eastAsia="zh-CN"/>
        </w:rPr>
      </w:pPr>
      <w:r w:rsidRPr="005C2E67">
        <w:rPr>
          <w:lang w:eastAsia="zh-CN"/>
        </w:rPr>
        <w:t>S</w:t>
      </w:r>
      <w:r w:rsidRPr="005C2E67">
        <w:rPr>
          <w:rFonts w:hint="eastAsia"/>
          <w:lang w:eastAsia="zh-CN"/>
        </w:rPr>
        <w:t xml:space="preserve">et </w:t>
      </w:r>
      <m:oMath>
        <m:r>
          <w:rPr>
            <w:rFonts w:ascii="Cambria Math" w:hAnsi="Cambria Math"/>
          </w:rPr>
          <m:t>c=0</m:t>
        </m:r>
      </m:oMath>
      <w:r>
        <w:t xml:space="preserve"> </w:t>
      </w:r>
      <w:r w:rsidRPr="000D0C40">
        <w:t>– serving cell index: lower indexes correspond to lower RRC indexes of corresponding cell</w:t>
      </w:r>
    </w:p>
    <w:p w14:paraId="4FFC4357" w14:textId="77777777" w:rsidR="00522C35" w:rsidRPr="00B916EC" w:rsidRDefault="00522C35" w:rsidP="00522C35">
      <w:pPr>
        <w:pStyle w:val="B2"/>
        <w:rPr>
          <w:lang w:eastAsia="zh-CN"/>
        </w:rPr>
      </w:pPr>
      <w:r w:rsidRPr="00B916EC">
        <w:t xml:space="preserve">while </w:t>
      </w:r>
      <m:oMath>
        <m:sSubSup>
          <m:sSubSupPr>
            <m:ctrlPr>
              <w:rPr>
                <w:rFonts w:ascii="Cambria Math" w:hAnsi="Cambria Math"/>
                <w:i/>
              </w:rPr>
            </m:ctrlPr>
          </m:sSubSupPr>
          <m:e>
            <m:r>
              <w:rPr>
                <w:rFonts w:ascii="Cambria Math"/>
              </w:rPr>
              <m:t>c&lt;N</m:t>
            </m:r>
          </m:e>
          <m:sub>
            <m:r>
              <m:rPr>
                <m:sty m:val="p"/>
              </m:rPr>
              <w:rPr>
                <w:rFonts w:ascii="Cambria Math"/>
              </w:rPr>
              <m:t>cells</m:t>
            </m:r>
            <m:ctrlPr>
              <w:rPr>
                <w:rFonts w:ascii="Cambria Math" w:hAnsi="Cambria Math"/>
              </w:rPr>
            </m:ctrlPr>
          </m:sub>
          <m:sup>
            <m:r>
              <m:rPr>
                <m:nor/>
              </m:rPr>
              <w:rPr>
                <w:rFonts w:ascii="Cambria Math"/>
                <w:lang w:val="en-US"/>
              </w:rPr>
              <m:t>DL</m:t>
            </m:r>
            <m:ctrlPr>
              <w:rPr>
                <w:rFonts w:ascii="Cambria Math" w:hAnsi="Cambria Math"/>
              </w:rPr>
            </m:ctrlPr>
          </m:sup>
        </m:sSubSup>
      </m:oMath>
    </w:p>
    <w:p w14:paraId="1BB03CC5" w14:textId="689D20BE" w:rsidR="00522C35" w:rsidRDefault="00522C35" w:rsidP="00522C35">
      <w:pPr>
        <w:pStyle w:val="B3"/>
        <w:ind w:left="851" w:firstLine="0"/>
      </w:pPr>
      <w:r>
        <w:lastRenderedPageBreak/>
        <w:t xml:space="preserve">if PDCCH monitoring occasion </w:t>
      </w:r>
      <m:oMath>
        <m:r>
          <w:rPr>
            <w:rFonts w:ascii="Cambria Math" w:hAnsi="Cambria Math"/>
          </w:rPr>
          <m:t>m</m:t>
        </m:r>
      </m:oMath>
      <w:r>
        <w:t xml:space="preserve"> is before an active DL BWP change on serving cell </w:t>
      </w:r>
      <m:oMath>
        <m:r>
          <w:rPr>
            <w:rFonts w:ascii="Cambria Math" w:hAnsi="Cambria Math"/>
          </w:rPr>
          <m:t>c</m:t>
        </m:r>
      </m:oMath>
      <w:r>
        <w:t xml:space="preserve"> or an active UL BWP change on the </w:t>
      </w:r>
      <w:r w:rsidR="00064775" w:rsidRPr="00B024E1">
        <w:t>serving cell of PUCCH transmission</w:t>
      </w:r>
      <w:r w:rsidR="004A535A">
        <w:t xml:space="preserve"> </w:t>
      </w:r>
      <w:r w:rsidR="004A535A" w:rsidRPr="0040734B">
        <w:t xml:space="preserve">if the UE is provided </w:t>
      </w:r>
      <w:r w:rsidR="004A535A" w:rsidRPr="0040734B">
        <w:rPr>
          <w:i/>
        </w:rPr>
        <w:t xml:space="preserve">pucch-sSCellDyn </w:t>
      </w:r>
      <w:r w:rsidR="004A535A" w:rsidRPr="0040734B">
        <w:t xml:space="preserve">or </w:t>
      </w:r>
      <w:r w:rsidR="004A535A" w:rsidRPr="0040734B">
        <w:rPr>
          <w:i/>
        </w:rPr>
        <w:t>pucch-sSCellDynDCI-1-2</w:t>
      </w:r>
      <w:r w:rsidR="004A535A">
        <w:t xml:space="preserve">, or an active UL BWP change </w:t>
      </w:r>
      <w:r w:rsidR="004A535A" w:rsidRPr="00853BC9">
        <w:t xml:space="preserve">on the PCell if the UE is not provided </w:t>
      </w:r>
      <w:r w:rsidR="004A535A" w:rsidRPr="00853BC9">
        <w:rPr>
          <w:i/>
        </w:rPr>
        <w:t xml:space="preserve">pucch-sSCellDyn </w:t>
      </w:r>
      <w:r w:rsidR="004A535A" w:rsidRPr="00853BC9">
        <w:t xml:space="preserve">and </w:t>
      </w:r>
      <w:r w:rsidR="004A535A" w:rsidRPr="00853BC9">
        <w:rPr>
          <w:i/>
        </w:rPr>
        <w:t>pucch-sSCellDynDCI-1-2</w:t>
      </w:r>
      <w:r w:rsidR="004A535A">
        <w:rPr>
          <w:i/>
        </w:rPr>
        <w:t>,</w:t>
      </w:r>
      <w:r>
        <w:t xml:space="preserve"> and an active DL BWP change is not triggered in PDCCH monitoring occasion </w:t>
      </w:r>
      <m:oMath>
        <m:r>
          <w:rPr>
            <w:rFonts w:ascii="Cambria Math" w:hAnsi="Cambria Math"/>
          </w:rPr>
          <m:t>m</m:t>
        </m:r>
      </m:oMath>
      <w:r>
        <w:t xml:space="preserve"> </w:t>
      </w:r>
    </w:p>
    <w:p w14:paraId="53181513" w14:textId="77777777" w:rsidR="00522C35" w:rsidRDefault="00522C35" w:rsidP="00522C35">
      <w:pPr>
        <w:pStyle w:val="B4"/>
        <w:rPr>
          <w:lang w:val="en-US"/>
        </w:rPr>
      </w:pPr>
      <m:oMath>
        <m:r>
          <w:rPr>
            <w:rFonts w:ascii="Cambria Math" w:hAnsi="Cambria Math"/>
          </w:rPr>
          <m:t>c=c+1</m:t>
        </m:r>
      </m:oMath>
      <w:r>
        <w:rPr>
          <w:lang w:val="en-US"/>
        </w:rPr>
        <w:t>;</w:t>
      </w:r>
    </w:p>
    <w:p w14:paraId="5DED6CFE" w14:textId="77777777" w:rsidR="00522C35" w:rsidRDefault="00522C35" w:rsidP="00522C35">
      <w:pPr>
        <w:pStyle w:val="B3"/>
      </w:pPr>
      <w:r>
        <w:t>else</w:t>
      </w:r>
    </w:p>
    <w:p w14:paraId="787B261C" w14:textId="48186337" w:rsidR="00522C35" w:rsidRPr="00B916EC" w:rsidRDefault="00522C35" w:rsidP="00522C35">
      <w:pPr>
        <w:pStyle w:val="B4"/>
        <w:ind w:left="1134" w:firstLine="0"/>
        <w:rPr>
          <w:lang w:eastAsia="zh-CN"/>
        </w:rPr>
      </w:pPr>
      <w:r w:rsidRPr="00B916EC">
        <w:rPr>
          <w:rFonts w:hint="eastAsia"/>
          <w:lang w:eastAsia="zh-CN"/>
        </w:rPr>
        <w:t>if there is a PDSCH</w:t>
      </w:r>
      <w:r w:rsidR="00F73843">
        <w:rPr>
          <w:lang w:eastAsia="zh-CN"/>
        </w:rPr>
        <w:t xml:space="preserve"> providing </w:t>
      </w:r>
      <w:r w:rsidR="00F73843" w:rsidRPr="00C06B59">
        <w:rPr>
          <w:lang w:eastAsia="zh-CN"/>
        </w:rPr>
        <w:t xml:space="preserve">a </w:t>
      </w:r>
      <w:r w:rsidR="00F73843">
        <w:t>transport block for a HARQ process with enabled HARQ-ACK information</w:t>
      </w:r>
      <w:r w:rsidRPr="00B916EC">
        <w:rPr>
          <w:rFonts w:hint="eastAsia"/>
          <w:lang w:eastAsia="zh-CN"/>
        </w:rPr>
        <w:t xml:space="preserve"> on serving cell </w:t>
      </w:r>
      <m:oMath>
        <m:r>
          <w:rPr>
            <w:rFonts w:ascii="Cambria Math" w:hAnsi="Cambria Math"/>
          </w:rPr>
          <m:t>c</m:t>
        </m:r>
      </m:oMath>
      <w:r w:rsidRPr="00B916EC">
        <w:rPr>
          <w:rFonts w:hint="eastAsia"/>
          <w:lang w:eastAsia="zh-CN"/>
        </w:rPr>
        <w:t xml:space="preserve"> associated with PDCCH in </w:t>
      </w:r>
      <w:r w:rsidRPr="00B916EC">
        <w:rPr>
          <w:lang w:eastAsia="zh-CN"/>
        </w:rPr>
        <w:t>PDCCH monitoring occasion</w:t>
      </w:r>
      <w:r w:rsidRPr="00B916EC">
        <w:rPr>
          <w:rFonts w:hint="eastAsia"/>
          <w:lang w:eastAsia="zh-CN"/>
        </w:rPr>
        <w:t xml:space="preserve"> </w:t>
      </w:r>
      <m:oMath>
        <m:r>
          <w:rPr>
            <w:rFonts w:ascii="Cambria Math" w:hAnsi="Cambria Math"/>
          </w:rPr>
          <m:t>m</m:t>
        </m:r>
      </m:oMath>
      <w:r w:rsidRPr="00B916EC">
        <w:rPr>
          <w:rFonts w:hint="eastAsia"/>
          <w:lang w:eastAsia="zh-CN"/>
        </w:rPr>
        <w:t>,</w:t>
      </w:r>
      <w:r w:rsidRPr="00B916EC">
        <w:rPr>
          <w:lang w:eastAsia="zh-CN"/>
        </w:rPr>
        <w:t xml:space="preserve"> </w:t>
      </w:r>
      <w:r w:rsidRPr="00B916EC">
        <w:rPr>
          <w:rFonts w:hint="eastAsia"/>
          <w:lang w:eastAsia="zh-CN"/>
        </w:rPr>
        <w:t xml:space="preserve">or there is a PDCCH </w:t>
      </w:r>
      <w:r w:rsidR="00510FD4" w:rsidRPr="00B27E56">
        <w:rPr>
          <w:lang w:eastAsia="zh-CN"/>
        </w:rPr>
        <w:t xml:space="preserve">providing a DCI format </w:t>
      </w:r>
      <w:r w:rsidR="00510FD4">
        <w:rPr>
          <w:lang w:eastAsia="zh-CN"/>
        </w:rPr>
        <w:t>associated with</w:t>
      </w:r>
      <w:r w:rsidR="00510FD4" w:rsidRPr="00B27E56">
        <w:rPr>
          <w:lang w:val="en-US" w:eastAsia="zh-CN"/>
        </w:rPr>
        <w:t xml:space="preserve"> HARQ-ACK information without scheduling PDSCH reception</w:t>
      </w:r>
      <w:r w:rsidR="007C55C0">
        <w:rPr>
          <w:rFonts w:hint="eastAsia"/>
          <w:lang w:val="en-US" w:eastAsia="zh-CN"/>
        </w:rPr>
        <w:t xml:space="preserve"> </w:t>
      </w:r>
      <w:r w:rsidRPr="00B916EC">
        <w:rPr>
          <w:rFonts w:hint="eastAsia"/>
          <w:lang w:eastAsia="zh-CN"/>
        </w:rPr>
        <w:t xml:space="preserve">on serving cell </w:t>
      </w:r>
      <m:oMath>
        <m:r>
          <w:rPr>
            <w:rFonts w:ascii="Cambria Math" w:hAnsi="Cambria Math"/>
          </w:rPr>
          <m:t>c</m:t>
        </m:r>
      </m:oMath>
      <w:r w:rsidRPr="00B916EC">
        <w:rPr>
          <w:rFonts w:hint="eastAsia"/>
          <w:lang w:eastAsia="zh-CN"/>
        </w:rPr>
        <w:t xml:space="preserve"> </w:t>
      </w:r>
    </w:p>
    <w:p w14:paraId="2771F835" w14:textId="77777777" w:rsidR="00522C35" w:rsidRPr="00B916EC" w:rsidRDefault="00522C35" w:rsidP="00522C35">
      <w:pPr>
        <w:pStyle w:val="B5"/>
        <w:rPr>
          <w:lang w:eastAsia="zh-CN"/>
        </w:rPr>
      </w:pPr>
      <w:r w:rsidRPr="00B916EC">
        <w:rPr>
          <w:rFonts w:hint="eastAsia"/>
          <w:lang w:eastAsia="zh-CN"/>
        </w:rPr>
        <w:t xml:space="preserve">if </w:t>
      </w:r>
      <m:oMath>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C</m:t>
            </m:r>
            <m:r>
              <m:rPr>
                <m:sty m:val="p"/>
              </m:rPr>
              <w:rPr>
                <w:rFonts w:ascii="Cambria Math" w:hAnsi="Cambria Math"/>
                <w:lang w:eastAsia="zh-CN"/>
              </w:rPr>
              <m:t>-</m:t>
            </m:r>
            <m:r>
              <m:rPr>
                <m:nor/>
              </m:rPr>
              <w:rPr>
                <w:lang w:eastAsia="zh-CN"/>
              </w:rPr>
              <m:t>DAI</m:t>
            </m:r>
            <m:r>
              <m:rPr>
                <m:sty m:val="p"/>
              </m:rPr>
              <w:rPr>
                <w:rFonts w:ascii="Cambria Math" w:hAnsi="Cambria Math"/>
                <w:lang w:eastAsia="zh-CN"/>
              </w:rPr>
              <m:t>,</m:t>
            </m:r>
            <m:r>
              <w:rPr>
                <w:rFonts w:ascii="Cambria Math" w:hAnsi="Cambria Math"/>
                <w:lang w:eastAsia="zh-CN"/>
              </w:rPr>
              <m:t>c</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m:t>
            </m:r>
          </m:sub>
        </m:sSub>
      </m:oMath>
    </w:p>
    <w:p w14:paraId="5A4BE2CB" w14:textId="0E32777B" w:rsidR="00522C35" w:rsidRPr="00B916EC" w:rsidRDefault="00522C35" w:rsidP="00522C35">
      <w:pPr>
        <w:pStyle w:val="B5"/>
        <w:ind w:left="1985"/>
        <w:rPr>
          <w:i/>
          <w:lang w:eastAsia="zh-CN"/>
        </w:rPr>
      </w:pPr>
      <m:oMath>
        <m:r>
          <m:rPr>
            <m:sty m:val="p"/>
          </m:rPr>
          <w:rPr>
            <w:rFonts w:ascii="Cambria Math" w:hAnsi="Cambria Math"/>
            <w:lang w:eastAsia="zh-CN"/>
          </w:rPr>
          <m:t>j=j+1</m:t>
        </m:r>
      </m:oMath>
      <w:r>
        <w:rPr>
          <w:i/>
          <w:lang w:eastAsia="zh-CN"/>
        </w:rPr>
        <w:t xml:space="preserve"> </w:t>
      </w:r>
    </w:p>
    <w:p w14:paraId="2C4861E9" w14:textId="77777777" w:rsidR="00522C35" w:rsidRPr="00B916EC" w:rsidRDefault="00522C35" w:rsidP="00522C35">
      <w:pPr>
        <w:pStyle w:val="B5"/>
        <w:rPr>
          <w:rFonts w:cs="Arial"/>
          <w:lang w:eastAsia="zh-CN"/>
        </w:rPr>
      </w:pPr>
      <w:r w:rsidRPr="00B916EC">
        <w:rPr>
          <w:rFonts w:hint="eastAsia"/>
          <w:lang w:eastAsia="zh-CN"/>
        </w:rPr>
        <w:t>end if</w:t>
      </w:r>
    </w:p>
    <w:p w14:paraId="6FE0EB27" w14:textId="572C0663" w:rsidR="00522C35" w:rsidRPr="00B916EC" w:rsidRDefault="00000000" w:rsidP="00522C35">
      <w:pPr>
        <w:pStyle w:val="B5"/>
        <w:rPr>
          <w:lang w:eastAsia="zh-CN"/>
        </w:rPr>
      </w:pP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m:t>
            </m:r>
          </m:sub>
        </m:sSub>
        <m: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C</m:t>
            </m:r>
            <m:r>
              <m:rPr>
                <m:sty m:val="p"/>
              </m:rPr>
              <w:rPr>
                <w:rFonts w:ascii="Cambria Math" w:hAnsi="Cambria Math"/>
                <w:lang w:eastAsia="zh-CN"/>
              </w:rPr>
              <m:t>-</m:t>
            </m:r>
            <m:r>
              <m:rPr>
                <m:nor/>
              </m:rPr>
              <w:rPr>
                <w:lang w:eastAsia="zh-CN"/>
              </w:rPr>
              <m:t>DAI</m:t>
            </m:r>
            <m:r>
              <m:rPr>
                <m:sty m:val="p"/>
              </m:rPr>
              <w:rPr>
                <w:rFonts w:ascii="Cambria Math" w:hAnsi="Cambria Math"/>
                <w:lang w:eastAsia="zh-CN"/>
              </w:rPr>
              <m:t>,</m:t>
            </m:r>
            <m:r>
              <w:rPr>
                <w:rFonts w:ascii="Cambria Math" w:hAnsi="Cambria Math"/>
                <w:lang w:eastAsia="zh-CN"/>
              </w:rPr>
              <m:t>c</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oMath>
      <w:r w:rsidR="00522C35">
        <w:rPr>
          <w:lang w:eastAsia="zh-CN"/>
        </w:rPr>
        <w:t xml:space="preserve"> </w:t>
      </w:r>
    </w:p>
    <w:p w14:paraId="22AA2A43" w14:textId="77777777" w:rsidR="00522C35" w:rsidRPr="00B916EC" w:rsidRDefault="00522C35" w:rsidP="00522C35">
      <w:pPr>
        <w:pStyle w:val="B5"/>
        <w:rPr>
          <w:lang w:eastAsia="zh-CN"/>
        </w:rPr>
      </w:pPr>
      <w:r w:rsidRPr="00B916EC">
        <w:rPr>
          <w:lang w:eastAsia="zh-CN"/>
        </w:rPr>
        <w:t xml:space="preserve">if </w:t>
      </w:r>
      <m:oMath>
        <m:sSubSup>
          <m:sSubSupPr>
            <m:ctrlPr>
              <w:rPr>
                <w:rFonts w:ascii="Cambria Math" w:hAnsi="Cambria Math"/>
                <w:lang w:eastAsia="zh-CN"/>
              </w:rPr>
            </m:ctrlPr>
          </m:sSubSupPr>
          <m:e>
            <m:r>
              <w:rPr>
                <w:rFonts w:ascii="Cambria Math" w:hAnsi="Cambria Math"/>
                <w:lang w:eastAsia="zh-CN"/>
              </w:rPr>
              <m:t>V</m:t>
            </m:r>
          </m:e>
          <m:sub>
            <m:r>
              <m:rPr>
                <m:nor/>
              </m:rPr>
              <w:rPr>
                <w:rFonts w:ascii="Cambria Math"/>
                <w:lang w:eastAsia="zh-CN"/>
              </w:rPr>
              <m:t>T-D</m:t>
            </m:r>
            <m:r>
              <m:rPr>
                <m:nor/>
              </m:rPr>
              <w:rPr>
                <w:lang w:eastAsia="zh-CN"/>
              </w:rPr>
              <m:t>AI</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r>
          <w:rPr>
            <w:rFonts w:ascii="Cambria Math" w:hAnsi="Cambria Math"/>
            <w:lang w:eastAsia="zh-CN"/>
          </w:rPr>
          <m:t>=∅</m:t>
        </m:r>
      </m:oMath>
    </w:p>
    <w:p w14:paraId="7523FFD0" w14:textId="30D1B9C1" w:rsidR="00522C35" w:rsidRPr="00B916EC" w:rsidRDefault="00000000" w:rsidP="00522C35">
      <w:pPr>
        <w:pStyle w:val="B5"/>
        <w:ind w:left="1985"/>
        <w:rPr>
          <w:lang w:eastAsia="zh-CN"/>
        </w:rPr>
      </w:pP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temp2</m:t>
            </m:r>
          </m:sub>
        </m:sSub>
        <m: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C</m:t>
            </m:r>
            <m:r>
              <m:rPr>
                <m:sty m:val="p"/>
              </m:rPr>
              <w:rPr>
                <w:rFonts w:ascii="Cambria Math" w:hAnsi="Cambria Math"/>
                <w:lang w:eastAsia="zh-CN"/>
              </w:rPr>
              <m:t>-</m:t>
            </m:r>
            <m:r>
              <m:rPr>
                <m:nor/>
              </m:rPr>
              <w:rPr>
                <w:lang w:eastAsia="zh-CN"/>
              </w:rPr>
              <m:t>DAI</m:t>
            </m:r>
            <m:r>
              <m:rPr>
                <m:sty m:val="p"/>
              </m:rPr>
              <w:rPr>
                <w:rFonts w:ascii="Cambria Math" w:hAnsi="Cambria Math"/>
                <w:lang w:eastAsia="zh-CN"/>
              </w:rPr>
              <m:t>,</m:t>
            </m:r>
            <m:r>
              <w:rPr>
                <w:rFonts w:ascii="Cambria Math" w:hAnsi="Cambria Math"/>
                <w:lang w:eastAsia="zh-CN"/>
              </w:rPr>
              <m:t>c</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oMath>
      <w:r w:rsidR="00522C35">
        <w:rPr>
          <w:lang w:eastAsia="zh-CN"/>
        </w:rPr>
        <w:t xml:space="preserve"> </w:t>
      </w:r>
    </w:p>
    <w:p w14:paraId="0119C69A" w14:textId="77777777" w:rsidR="00522C35" w:rsidRPr="00B916EC" w:rsidRDefault="00522C35" w:rsidP="00522C35">
      <w:pPr>
        <w:pStyle w:val="B5"/>
        <w:rPr>
          <w:lang w:eastAsia="zh-CN"/>
        </w:rPr>
      </w:pPr>
      <w:r w:rsidRPr="00B916EC">
        <w:rPr>
          <w:lang w:eastAsia="zh-CN"/>
        </w:rPr>
        <w:t xml:space="preserve">else </w:t>
      </w:r>
    </w:p>
    <w:p w14:paraId="54E4B51F" w14:textId="3BCFC1C8" w:rsidR="00522C35" w:rsidRPr="00B916EC" w:rsidRDefault="00000000" w:rsidP="00522C35">
      <w:pPr>
        <w:pStyle w:val="B5"/>
        <w:ind w:left="1985"/>
        <w:rPr>
          <w:lang w:eastAsia="zh-CN"/>
        </w:rPr>
      </w:pP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temp2</m:t>
            </m:r>
          </m:sub>
        </m:sSub>
        <m: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T</m:t>
            </m:r>
            <m:r>
              <m:rPr>
                <m:sty m:val="p"/>
              </m:rPr>
              <w:rPr>
                <w:rFonts w:ascii="Cambria Math" w:hAnsi="Cambria Math"/>
                <w:lang w:eastAsia="zh-CN"/>
              </w:rPr>
              <m:t>-</m:t>
            </m:r>
            <m:r>
              <m:rPr>
                <m:nor/>
              </m:rPr>
              <w:rPr>
                <w:lang w:eastAsia="zh-CN"/>
              </w:rPr>
              <m:t>DAI</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oMath>
      <w:r w:rsidR="00522C35">
        <w:rPr>
          <w:lang w:eastAsia="zh-CN"/>
        </w:rPr>
        <w:t xml:space="preserve"> </w:t>
      </w:r>
    </w:p>
    <w:p w14:paraId="6505426C" w14:textId="77777777" w:rsidR="00522C35" w:rsidRDefault="00522C35" w:rsidP="00522C35">
      <w:pPr>
        <w:pStyle w:val="B5"/>
        <w:rPr>
          <w:lang w:eastAsia="zh-CN"/>
        </w:rPr>
      </w:pPr>
      <w:r>
        <w:rPr>
          <w:lang w:eastAsia="zh-CN"/>
        </w:rPr>
        <w:t>end if</w:t>
      </w:r>
    </w:p>
    <w:p w14:paraId="7749D99E" w14:textId="557A6FE4" w:rsidR="00F37E87" w:rsidRPr="00B916EC" w:rsidRDefault="00F37E87" w:rsidP="00326D6E">
      <w:pPr>
        <w:pStyle w:val="B5"/>
        <w:ind w:left="1418" w:firstLine="0"/>
        <w:rPr>
          <w:lang w:eastAsia="zh-CN"/>
        </w:rPr>
      </w:pPr>
      <w:r w:rsidRPr="00B916EC">
        <w:rPr>
          <w:rFonts w:hint="eastAsia"/>
          <w:lang w:eastAsia="zh-CN"/>
        </w:rPr>
        <w:t xml:space="preserve">if </w:t>
      </w:r>
      <w:r w:rsidR="00960881" w:rsidRPr="00435CFD">
        <w:rPr>
          <w:i/>
        </w:rPr>
        <w:t>harq-ACK-SpatialBundlingPUCCH</w:t>
      </w:r>
      <w:r w:rsidR="00960881" w:rsidRPr="00B916EC">
        <w:rPr>
          <w:rFonts w:hint="eastAsia"/>
          <w:lang w:eastAsia="zh-CN"/>
        </w:rPr>
        <w:t xml:space="preserve"> </w:t>
      </w:r>
      <w:r w:rsidR="00960881">
        <w:rPr>
          <w:lang w:eastAsia="zh-CN"/>
        </w:rPr>
        <w:t>is not provided</w:t>
      </w:r>
      <w:r w:rsidRPr="00B916EC">
        <w:rPr>
          <w:rFonts w:hint="eastAsia"/>
          <w:lang w:eastAsia="zh-CN"/>
        </w:rPr>
        <w:t xml:space="preserve"> and</w:t>
      </w:r>
      <w:r w:rsidR="0093344A" w:rsidRPr="00B916EC">
        <w:rPr>
          <w:lang w:val="en-US" w:eastAsia="zh-CN"/>
        </w:rPr>
        <w:t xml:space="preserve"> </w:t>
      </w:r>
      <w:r w:rsidRPr="00B916EC">
        <w:rPr>
          <w:rFonts w:hint="eastAsia"/>
          <w:lang w:eastAsia="zh-CN"/>
        </w:rPr>
        <w:t xml:space="preserve">the UE is configured </w:t>
      </w:r>
      <w:r w:rsidR="0093344A" w:rsidRPr="00B916EC">
        <w:rPr>
          <w:lang w:eastAsia="zh-CN"/>
        </w:rPr>
        <w:t xml:space="preserve">by </w:t>
      </w:r>
      <w:r w:rsidR="00960881" w:rsidRPr="00435CFD">
        <w:rPr>
          <w:i/>
        </w:rPr>
        <w:t>maxNrofCodeWordsScheduledByDCI</w:t>
      </w:r>
      <w:r w:rsidR="0093344A" w:rsidRPr="00B916EC">
        <w:rPr>
          <w:lang w:eastAsia="zh-CN"/>
        </w:rPr>
        <w:t xml:space="preserve"> </w:t>
      </w:r>
      <w:r w:rsidRPr="00B916EC">
        <w:rPr>
          <w:rFonts w:hint="eastAsia"/>
          <w:lang w:eastAsia="zh-CN"/>
        </w:rPr>
        <w:t xml:space="preserve">with </w:t>
      </w:r>
      <w:r w:rsidR="0093344A" w:rsidRPr="00B916EC">
        <w:rPr>
          <w:lang w:eastAsia="zh-CN"/>
        </w:rPr>
        <w:t>reception of</w:t>
      </w:r>
      <w:r w:rsidRPr="00B916EC">
        <w:rPr>
          <w:rFonts w:hint="eastAsia"/>
          <w:lang w:eastAsia="zh-CN"/>
        </w:rPr>
        <w:t xml:space="preserve"> two transport blocks </w:t>
      </w:r>
      <w:r w:rsidR="00266C19">
        <w:rPr>
          <w:lang w:eastAsia="zh-CN"/>
        </w:rPr>
        <w:t>for</w:t>
      </w:r>
      <w:r w:rsidR="00266C19" w:rsidRPr="00B916EC">
        <w:rPr>
          <w:rFonts w:hint="eastAsia"/>
          <w:lang w:eastAsia="zh-CN"/>
        </w:rPr>
        <w:t xml:space="preserve"> </w:t>
      </w:r>
      <w:r w:rsidRPr="00B916EC">
        <w:rPr>
          <w:rFonts w:hint="eastAsia"/>
          <w:lang w:eastAsia="zh-CN"/>
        </w:rPr>
        <w:t xml:space="preserve">at least one configured </w:t>
      </w:r>
      <w:r w:rsidR="00266C19">
        <w:rPr>
          <w:rFonts w:cs="Arial"/>
          <w:lang w:eastAsia="zh-CN"/>
        </w:rPr>
        <w:t xml:space="preserve">DL BWP of at least one </w:t>
      </w:r>
      <w:r w:rsidRPr="00B916EC">
        <w:rPr>
          <w:rFonts w:hint="eastAsia"/>
          <w:lang w:eastAsia="zh-CN"/>
        </w:rPr>
        <w:t>serving cell,</w:t>
      </w:r>
    </w:p>
    <w:p w14:paraId="672E8765" w14:textId="291EBE49" w:rsidR="00F37E87" w:rsidRPr="00B916EC" w:rsidRDefault="00000000" w:rsidP="007F0DAC">
      <w:pPr>
        <w:pStyle w:val="B5"/>
        <w:ind w:left="1985"/>
        <w:rPr>
          <w:lang w:eastAsia="zh-CN"/>
        </w:rPr>
      </w:pPr>
      <m:oMath>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r>
              <w:rPr>
                <w:rFonts w:ascii="Cambria Math"/>
              </w:rPr>
              <m:t>2</m:t>
            </m:r>
            <m:r>
              <w:rPr>
                <w:rFonts w:ascii="Cambria Math" w:hAnsi="Cambria Math" w:cs="Cambria Math"/>
                <w:lang w:eastAsia="zh-CN"/>
              </w:rPr>
              <m:t>⋅</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cs="Cambria Math"/>
                <w:lang w:eastAsia="zh-CN"/>
              </w:rPr>
              <m:t>⋅</m:t>
            </m:r>
            <m:r>
              <w:rPr>
                <w:rFonts w:ascii="Cambria Math"/>
              </w:rPr>
              <m:t>j+2</m:t>
            </m:r>
            <m:d>
              <m:dPr>
                <m:ctrlPr>
                  <w:rPr>
                    <w:rFonts w:ascii="Cambria Math" w:hAnsi="Cambria Math"/>
                    <w:i/>
                  </w:rPr>
                </m:ctrlPr>
              </m:dPr>
              <m:e>
                <m:sSubSup>
                  <m:sSubSupPr>
                    <m:ctrlPr>
                      <w:rPr>
                        <w:rFonts w:ascii="Cambria Math" w:hAnsi="Cambria Math"/>
                        <w:i/>
                      </w:rPr>
                    </m:ctrlPr>
                  </m:sSubSupPr>
                  <m:e>
                    <m:r>
                      <w:rPr>
                        <w:rFonts w:ascii="Cambria Math"/>
                      </w:rPr>
                      <m:t>V</m:t>
                    </m:r>
                  </m:e>
                  <m:sub>
                    <m:r>
                      <w:rPr>
                        <w:rFonts w:ascii="Cambria Math"/>
                      </w:rPr>
                      <m:t>C</m:t>
                    </m:r>
                    <m:r>
                      <w:rPr>
                        <w:rFonts w:ascii="Cambria Math"/>
                      </w:rPr>
                      <m:t>-</m:t>
                    </m:r>
                    <m:r>
                      <w:rPr>
                        <w:rFonts w:ascii="Cambria Math"/>
                      </w:rPr>
                      <m:t>DAI,c,m</m:t>
                    </m:r>
                  </m:sub>
                  <m:sup>
                    <m:r>
                      <w:rPr>
                        <w:rFonts w:ascii="Cambria Math"/>
                      </w:rPr>
                      <m:t>DL</m:t>
                    </m:r>
                  </m:sup>
                </m:sSubSup>
                <m:r>
                  <w:rPr>
                    <w:rFonts w:ascii="Cambria Math"/>
                  </w:rPr>
                  <m:t>-</m:t>
                </m:r>
                <m:r>
                  <w:rPr>
                    <w:rFonts w:ascii="Cambria Math"/>
                  </w:rPr>
                  <m:t>1</m:t>
                </m:r>
              </m:e>
            </m:d>
          </m:sub>
          <m:sup>
            <m:r>
              <w:rPr>
                <w:rFonts w:ascii="Cambria Math"/>
              </w:rPr>
              <m:t>ACK</m:t>
            </m:r>
          </m:sup>
        </m:sSubSup>
      </m:oMath>
      <w:r w:rsidR="00F37E87" w:rsidRPr="00B916EC">
        <w:t xml:space="preserve"> </w:t>
      </w:r>
      <w:r w:rsidR="00F37E87" w:rsidRPr="00B916EC">
        <w:rPr>
          <w:rFonts w:hint="eastAsia"/>
          <w:lang w:eastAsia="zh-CN"/>
        </w:rPr>
        <w:t xml:space="preserve">= </w:t>
      </w:r>
      <w:r w:rsidR="00F37E87" w:rsidRPr="00B916EC">
        <w:t>HARQ-ACK</w:t>
      </w:r>
      <w:r w:rsidR="00960881" w:rsidRPr="00960881">
        <w:t xml:space="preserve"> </w:t>
      </w:r>
      <w:r w:rsidR="00960881">
        <w:t>information</w:t>
      </w:r>
      <w:r w:rsidR="00F37E87" w:rsidRPr="00B916EC">
        <w:t xml:space="preserve"> bit corresponding to the first </w:t>
      </w:r>
      <w:r w:rsidR="00783ECC" w:rsidRPr="00B916EC">
        <w:t xml:space="preserve">transport block </w:t>
      </w:r>
      <w:r w:rsidR="00F37E87" w:rsidRPr="00B916EC">
        <w:t>of this cell</w:t>
      </w:r>
    </w:p>
    <w:p w14:paraId="7F0D1769" w14:textId="1B76BDEE" w:rsidR="00F37E87" w:rsidRPr="00B916EC" w:rsidRDefault="00000000" w:rsidP="007F0DAC">
      <w:pPr>
        <w:pStyle w:val="B5"/>
        <w:ind w:left="1985"/>
        <w:rPr>
          <w:lang w:eastAsia="zh-CN"/>
        </w:rPr>
      </w:pPr>
      <m:oMath>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r>
              <w:rPr>
                <w:rFonts w:ascii="Cambria Math"/>
              </w:rPr>
              <m:t>2</m:t>
            </m:r>
            <m:r>
              <w:rPr>
                <w:rFonts w:ascii="Cambria Math" w:hAnsi="Cambria Math" w:cs="Cambria Math"/>
                <w:lang w:eastAsia="zh-CN"/>
              </w:rPr>
              <m:t>⋅</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cs="Cambria Math"/>
                <w:lang w:eastAsia="zh-CN"/>
              </w:rPr>
              <m:t>⋅</m:t>
            </m:r>
            <m:r>
              <w:rPr>
                <w:rFonts w:ascii="Cambria Math"/>
              </w:rPr>
              <m:t>j+2</m:t>
            </m:r>
            <m:d>
              <m:dPr>
                <m:ctrlPr>
                  <w:rPr>
                    <w:rFonts w:ascii="Cambria Math" w:hAnsi="Cambria Math"/>
                    <w:i/>
                  </w:rPr>
                </m:ctrlPr>
              </m:dPr>
              <m:e>
                <m:sSubSup>
                  <m:sSubSupPr>
                    <m:ctrlPr>
                      <w:rPr>
                        <w:rFonts w:ascii="Cambria Math" w:hAnsi="Cambria Math"/>
                        <w:i/>
                      </w:rPr>
                    </m:ctrlPr>
                  </m:sSubSupPr>
                  <m:e>
                    <m:r>
                      <w:rPr>
                        <w:rFonts w:ascii="Cambria Math"/>
                      </w:rPr>
                      <m:t>V</m:t>
                    </m:r>
                  </m:e>
                  <m:sub>
                    <m:r>
                      <w:rPr>
                        <w:rFonts w:ascii="Cambria Math"/>
                      </w:rPr>
                      <m:t>C</m:t>
                    </m:r>
                    <m:r>
                      <w:rPr>
                        <w:rFonts w:ascii="Cambria Math"/>
                      </w:rPr>
                      <m:t>-</m:t>
                    </m:r>
                    <m:r>
                      <w:rPr>
                        <w:rFonts w:ascii="Cambria Math"/>
                      </w:rPr>
                      <m:t>DAI,c,m</m:t>
                    </m:r>
                  </m:sub>
                  <m:sup>
                    <m:r>
                      <w:rPr>
                        <w:rFonts w:ascii="Cambria Math"/>
                      </w:rPr>
                      <m:t>DL</m:t>
                    </m:r>
                  </m:sup>
                </m:sSubSup>
                <m:r>
                  <w:rPr>
                    <w:rFonts w:ascii="Cambria Math"/>
                  </w:rPr>
                  <m:t>-</m:t>
                </m:r>
                <m:r>
                  <w:rPr>
                    <w:rFonts w:ascii="Cambria Math"/>
                  </w:rPr>
                  <m:t>1</m:t>
                </m:r>
              </m:e>
            </m:d>
            <m:r>
              <w:rPr>
                <w:rFonts w:ascii="Cambria Math"/>
              </w:rPr>
              <m:t>+1</m:t>
            </m:r>
          </m:sub>
          <m:sup>
            <m:r>
              <w:rPr>
                <w:rFonts w:ascii="Cambria Math"/>
              </w:rPr>
              <m:t>ACK</m:t>
            </m:r>
          </m:sup>
        </m:sSubSup>
      </m:oMath>
      <w:r w:rsidR="00F37E87" w:rsidRPr="00B916EC">
        <w:t xml:space="preserve"> </w:t>
      </w:r>
      <w:r w:rsidR="00F37E87" w:rsidRPr="00B916EC">
        <w:rPr>
          <w:rFonts w:hint="eastAsia"/>
          <w:lang w:eastAsia="zh-CN"/>
        </w:rPr>
        <w:t>=</w:t>
      </w:r>
      <w:r w:rsidR="00F37E87" w:rsidRPr="00B916EC">
        <w:t xml:space="preserve"> HARQ-ACK</w:t>
      </w:r>
      <w:r w:rsidR="00960881" w:rsidRPr="00960881">
        <w:t xml:space="preserve"> </w:t>
      </w:r>
      <w:r w:rsidR="00960881">
        <w:t>information</w:t>
      </w:r>
      <w:r w:rsidR="00F37E87" w:rsidRPr="00B916EC">
        <w:t xml:space="preserve"> bit corresponding to the </w:t>
      </w:r>
      <w:r w:rsidR="00F37E87" w:rsidRPr="00B916EC">
        <w:rPr>
          <w:rFonts w:hint="eastAsia"/>
          <w:lang w:eastAsia="zh-CN"/>
        </w:rPr>
        <w:t>second</w:t>
      </w:r>
      <w:r w:rsidR="00F37E87" w:rsidRPr="00B916EC">
        <w:t xml:space="preserve"> </w:t>
      </w:r>
      <w:r w:rsidR="00783ECC" w:rsidRPr="00B916EC">
        <w:t>transport block</w:t>
      </w:r>
      <w:r w:rsidR="00F37E87" w:rsidRPr="00B916EC">
        <w:t xml:space="preserve"> of this cell</w:t>
      </w:r>
    </w:p>
    <w:p w14:paraId="344822A9" w14:textId="69D92178" w:rsidR="00F37E87" w:rsidRPr="006B378F" w:rsidRDefault="00000000" w:rsidP="00963F47">
      <w:pPr>
        <w:pStyle w:val="EQ"/>
        <w:rPr>
          <w:lang w:val="fr-FR" w:eastAsia="zh-CN"/>
        </w:rPr>
      </w:pPr>
      <m:oMathPara>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s</m:t>
              </m:r>
            </m:sub>
          </m:sSub>
          <m:r>
            <m:rPr>
              <m:sty m:val="p"/>
            </m:rPr>
            <w:rPr>
              <w:rFonts w:ascii="Cambria Math" w:hAnsi="Cambria Math"/>
              <w:lang w:val="fr-FR" w:eastAsia="zh-CN"/>
            </w:rPr>
            <m: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s</m:t>
              </m:r>
            </m:sub>
          </m:sSub>
          <m:r>
            <m:rPr>
              <m:sty m:val="p"/>
            </m:rPr>
            <w:rPr>
              <w:rFonts w:ascii="Cambria Math" w:hAnsi="Cambria Math" w:cs="Cambria Math"/>
              <w:lang w:val="fr-FR" w:eastAsia="zh-CN"/>
            </w:rPr>
            <m:t>∪</m:t>
          </m:r>
          <m:d>
            <m:dPr>
              <m:begChr m:val="{"/>
              <m:endChr m:val="}"/>
              <m:ctrlPr>
                <w:rPr>
                  <w:rFonts w:ascii="Cambria Math" w:hAnsi="Cambria Math"/>
                  <w:lang w:eastAsia="zh-CN"/>
                </w:rPr>
              </m:ctrlPr>
            </m:dPr>
            <m:e>
              <m:r>
                <m:rPr>
                  <m:sty m:val="p"/>
                </m:rPr>
                <w:rPr>
                  <w:rFonts w:ascii="Cambria Math" w:hAnsi="Cambria Math"/>
                  <w:lang w:val="fr-FR"/>
                </w:rPr>
                <m:t>2</m:t>
              </m:r>
              <m:r>
                <m:rPr>
                  <m:sty m:val="p"/>
                </m:rPr>
                <w:rPr>
                  <w:rFonts w:ascii="Cambria Math" w:hAnsi="Cambria Math" w:cs="Cambria Math"/>
                  <w:lang w:val="fr-FR" w:eastAsia="zh-CN"/>
                </w:rPr>
                <m:t>⋅</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cs="Cambria Math"/>
                  <w:lang w:val="fr-FR" w:eastAsia="zh-CN"/>
                </w:rPr>
                <m:t>⋅</m:t>
              </m:r>
              <m:r>
                <w:rPr>
                  <w:rFonts w:ascii="Cambria Math" w:hAnsi="Cambria Math"/>
                </w:rPr>
                <m:t>j</m:t>
              </m:r>
              <m:r>
                <m:rPr>
                  <m:sty m:val="p"/>
                </m:rPr>
                <w:rPr>
                  <w:rFonts w:ascii="Cambria Math" w:hAnsi="Cambria Math"/>
                  <w:lang w:val="fr-FR" w:eastAsia="zh-CN"/>
                </w:rPr>
                <m:t>+2</m:t>
              </m:r>
              <m:d>
                <m:dPr>
                  <m:ctrlPr>
                    <w:rPr>
                      <w:rFonts w:ascii="Cambria Math" w:hAnsi="Cambria Math"/>
                      <w:lang w:eastAsia="zh-CN"/>
                    </w:rPr>
                  </m:ctrlPr>
                </m:dPr>
                <m:e>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C</m:t>
                      </m:r>
                      <m:r>
                        <m:rPr>
                          <m:sty m:val="p"/>
                        </m:rPr>
                        <w:rPr>
                          <w:rFonts w:ascii="Cambria Math" w:hAnsi="Cambria Math"/>
                          <w:lang w:val="fr-FR" w:eastAsia="zh-CN"/>
                        </w:rPr>
                        <m:t>-</m:t>
                      </m:r>
                      <m:r>
                        <m:rPr>
                          <m:nor/>
                        </m:rPr>
                        <w:rPr>
                          <w:lang w:val="fr-FR" w:eastAsia="zh-CN"/>
                        </w:rPr>
                        <m:t>DAI</m:t>
                      </m:r>
                      <m:r>
                        <m:rPr>
                          <m:sty m:val="p"/>
                        </m:rPr>
                        <w:rPr>
                          <w:rFonts w:ascii="Cambria Math" w:hAnsi="Cambria Math"/>
                          <w:lang w:val="fr-FR" w:eastAsia="zh-CN"/>
                        </w:rPr>
                        <m:t>,</m:t>
                      </m:r>
                      <m:r>
                        <w:rPr>
                          <w:rFonts w:ascii="Cambria Math" w:hAnsi="Cambria Math"/>
                          <w:lang w:eastAsia="zh-CN"/>
                        </w:rPr>
                        <m:t>c</m:t>
                      </m:r>
                      <m:r>
                        <m:rPr>
                          <m:sty m:val="p"/>
                        </m:rPr>
                        <w:rPr>
                          <w:rFonts w:ascii="Cambria Math" w:hAnsi="Cambria Math"/>
                          <w:lang w:val="fr-FR" w:eastAsia="zh-CN"/>
                        </w:rPr>
                        <m:t>,</m:t>
                      </m:r>
                      <m:r>
                        <w:rPr>
                          <w:rFonts w:ascii="Cambria Math" w:hAnsi="Cambria Math"/>
                          <w:lang w:eastAsia="zh-CN"/>
                        </w:rPr>
                        <m:t>m</m:t>
                      </m:r>
                    </m:sub>
                    <m:sup>
                      <m:r>
                        <m:rPr>
                          <m:nor/>
                        </m:rPr>
                        <w:rPr>
                          <w:lang w:val="fr-FR" w:eastAsia="zh-CN"/>
                        </w:rPr>
                        <m:t>DL</m:t>
                      </m:r>
                    </m:sup>
                  </m:sSubSup>
                  <m:r>
                    <m:rPr>
                      <m:sty m:val="p"/>
                    </m:rPr>
                    <w:rPr>
                      <w:rFonts w:ascii="Cambria Math" w:hAnsi="Cambria Math"/>
                      <w:lang w:val="fr-FR" w:eastAsia="zh-CN"/>
                    </w:rPr>
                    <m:t>-1</m:t>
                  </m:r>
                </m:e>
              </m:d>
              <m:r>
                <m:rPr>
                  <m:sty m:val="p"/>
                </m:rPr>
                <w:rPr>
                  <w:rFonts w:ascii="Cambria Math" w:hAnsi="Cambria Math"/>
                  <w:lang w:val="fr-FR" w:eastAsia="zh-CN"/>
                </w:rPr>
                <m:t>, </m:t>
              </m:r>
              <m:r>
                <m:rPr>
                  <m:sty m:val="p"/>
                </m:rPr>
                <w:rPr>
                  <w:rFonts w:ascii="Cambria Math" w:hAnsi="Cambria Math"/>
                  <w:lang w:val="fr-FR"/>
                </w:rPr>
                <m:t>2</m:t>
              </m:r>
              <m:r>
                <m:rPr>
                  <m:sty m:val="p"/>
                </m:rPr>
                <w:rPr>
                  <w:rFonts w:ascii="Cambria Math" w:hAnsi="Cambria Math" w:cs="Cambria Math"/>
                  <w:lang w:val="fr-FR" w:eastAsia="zh-CN"/>
                </w:rPr>
                <m:t>⋅</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cs="Cambria Math"/>
                  <w:lang w:val="fr-FR" w:eastAsia="zh-CN"/>
                </w:rPr>
                <m:t>⋅</m:t>
              </m:r>
              <m:r>
                <w:rPr>
                  <w:rFonts w:ascii="Cambria Math" w:hAnsi="Cambria Math"/>
                </w:rPr>
                <m:t>j</m:t>
              </m:r>
              <m:r>
                <m:rPr>
                  <m:sty m:val="p"/>
                </m:rPr>
                <w:rPr>
                  <w:rFonts w:ascii="Cambria Math" w:hAnsi="Cambria Math"/>
                  <w:lang w:val="fr-FR" w:eastAsia="zh-CN"/>
                </w:rPr>
                <m:t>+2</m:t>
              </m:r>
              <m:d>
                <m:dPr>
                  <m:ctrlPr>
                    <w:rPr>
                      <w:rFonts w:ascii="Cambria Math" w:hAnsi="Cambria Math"/>
                      <w:lang w:eastAsia="zh-CN"/>
                    </w:rPr>
                  </m:ctrlPr>
                </m:dPr>
                <m:e>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C</m:t>
                      </m:r>
                      <m:r>
                        <m:rPr>
                          <m:sty m:val="p"/>
                        </m:rPr>
                        <w:rPr>
                          <w:rFonts w:ascii="Cambria Math" w:hAnsi="Cambria Math"/>
                          <w:lang w:val="fr-FR" w:eastAsia="zh-CN"/>
                        </w:rPr>
                        <m:t>-</m:t>
                      </m:r>
                      <m:r>
                        <m:rPr>
                          <m:nor/>
                        </m:rPr>
                        <w:rPr>
                          <w:lang w:val="fr-FR" w:eastAsia="zh-CN"/>
                        </w:rPr>
                        <m:t>DAI</m:t>
                      </m:r>
                      <m:r>
                        <m:rPr>
                          <m:sty m:val="p"/>
                        </m:rPr>
                        <w:rPr>
                          <w:rFonts w:ascii="Cambria Math" w:hAnsi="Cambria Math"/>
                          <w:lang w:val="fr-FR" w:eastAsia="zh-CN"/>
                        </w:rPr>
                        <m:t>,</m:t>
                      </m:r>
                      <m:r>
                        <w:rPr>
                          <w:rFonts w:ascii="Cambria Math" w:hAnsi="Cambria Math"/>
                          <w:lang w:eastAsia="zh-CN"/>
                        </w:rPr>
                        <m:t>c</m:t>
                      </m:r>
                      <m:r>
                        <m:rPr>
                          <m:sty m:val="p"/>
                        </m:rPr>
                        <w:rPr>
                          <w:rFonts w:ascii="Cambria Math" w:hAnsi="Cambria Math"/>
                          <w:lang w:val="fr-FR" w:eastAsia="zh-CN"/>
                        </w:rPr>
                        <m:t>,</m:t>
                      </m:r>
                      <m:r>
                        <w:rPr>
                          <w:rFonts w:ascii="Cambria Math" w:hAnsi="Cambria Math"/>
                          <w:lang w:eastAsia="zh-CN"/>
                        </w:rPr>
                        <m:t>m</m:t>
                      </m:r>
                    </m:sub>
                    <m:sup>
                      <m:r>
                        <m:rPr>
                          <m:nor/>
                        </m:rPr>
                        <w:rPr>
                          <w:lang w:val="fr-FR" w:eastAsia="zh-CN"/>
                        </w:rPr>
                        <m:t>DL</m:t>
                      </m:r>
                    </m:sup>
                  </m:sSubSup>
                  <m:r>
                    <m:rPr>
                      <m:sty m:val="p"/>
                    </m:rPr>
                    <w:rPr>
                      <w:rFonts w:ascii="Cambria Math" w:hAnsi="Cambria Math"/>
                      <w:lang w:val="fr-FR" w:eastAsia="zh-CN"/>
                    </w:rPr>
                    <m:t>-1</m:t>
                  </m:r>
                </m:e>
              </m:d>
              <m:r>
                <m:rPr>
                  <m:sty m:val="p"/>
                </m:rPr>
                <w:rPr>
                  <w:rFonts w:ascii="Cambria Math" w:hAnsi="Cambria Math"/>
                  <w:lang w:val="fr-FR" w:eastAsia="zh-CN"/>
                </w:rPr>
                <m:t>+1</m:t>
              </m:r>
            </m:e>
          </m:d>
        </m:oMath>
      </m:oMathPara>
    </w:p>
    <w:p w14:paraId="4E668FA0" w14:textId="6099399F" w:rsidR="00F37E87" w:rsidRPr="00B916EC" w:rsidRDefault="00F37E87" w:rsidP="00326D6E">
      <w:pPr>
        <w:pStyle w:val="B5"/>
        <w:ind w:left="1418" w:firstLine="0"/>
        <w:rPr>
          <w:lang w:eastAsia="zh-CN"/>
        </w:rPr>
      </w:pPr>
      <w:r w:rsidRPr="00B916EC">
        <w:rPr>
          <w:rFonts w:hint="eastAsia"/>
          <w:lang w:eastAsia="zh-CN"/>
        </w:rPr>
        <w:t xml:space="preserve">elseif </w:t>
      </w:r>
      <w:r w:rsidR="00960881" w:rsidRPr="00435CFD">
        <w:rPr>
          <w:i/>
        </w:rPr>
        <w:t>harq-ACK-SpatialBundlingPUCCH</w:t>
      </w:r>
      <w:r w:rsidR="00960881" w:rsidRPr="00B916EC">
        <w:rPr>
          <w:rFonts w:hint="eastAsia"/>
          <w:lang w:eastAsia="zh-CN"/>
        </w:rPr>
        <w:t xml:space="preserve"> </w:t>
      </w:r>
      <w:r w:rsidR="00960881">
        <w:rPr>
          <w:lang w:eastAsia="zh-CN"/>
        </w:rPr>
        <w:t>is provided</w:t>
      </w:r>
      <w:r w:rsidR="003A470A">
        <w:rPr>
          <w:lang w:eastAsia="zh-CN"/>
        </w:rPr>
        <w:t xml:space="preserve"> to the UE</w:t>
      </w:r>
      <w:r w:rsidRPr="00B916EC">
        <w:rPr>
          <w:rFonts w:hint="eastAsia"/>
          <w:lang w:eastAsia="zh-CN"/>
        </w:rPr>
        <w:t xml:space="preserve"> and </w:t>
      </w:r>
      <m:oMath>
        <m:r>
          <w:rPr>
            <w:rFonts w:ascii="Cambria Math" w:hAnsi="Cambria Math"/>
          </w:rPr>
          <m:t>m</m:t>
        </m:r>
      </m:oMath>
      <w:r w:rsidR="006B45F9" w:rsidRPr="00B916EC">
        <w:rPr>
          <w:lang w:eastAsia="zh-CN"/>
        </w:rPr>
        <w:t xml:space="preserve"> is a monitoring occasion for </w:t>
      </w:r>
      <w:r w:rsidR="006B45F9" w:rsidRPr="00B916EC">
        <w:rPr>
          <w:rFonts w:hint="eastAsia"/>
          <w:lang w:eastAsia="zh-CN"/>
        </w:rPr>
        <w:t xml:space="preserve">PDCCH </w:t>
      </w:r>
      <w:r w:rsidR="006B45F9" w:rsidRPr="00B916EC">
        <w:rPr>
          <w:lang w:eastAsia="zh-CN"/>
        </w:rPr>
        <w:t xml:space="preserve">with </w:t>
      </w:r>
      <w:r w:rsidR="00CD36E1">
        <w:rPr>
          <w:lang w:eastAsia="zh-CN"/>
        </w:rPr>
        <w:t xml:space="preserve">a </w:t>
      </w:r>
      <w:r w:rsidR="006B45F9" w:rsidRPr="00B916EC">
        <w:rPr>
          <w:lang w:eastAsia="zh-CN"/>
        </w:rPr>
        <w:t xml:space="preserve">DCI format </w:t>
      </w:r>
      <w:r w:rsidR="00CD36E1" w:rsidRPr="00EE027F">
        <w:rPr>
          <w:lang w:val="en-US" w:eastAsia="zh-CN"/>
        </w:rPr>
        <w:t>that supports PDSCH reception with two transport blocks</w:t>
      </w:r>
      <w:r w:rsidR="0093344A" w:rsidRPr="00B916EC">
        <w:rPr>
          <w:lang w:val="en-US" w:eastAsia="zh-CN"/>
        </w:rPr>
        <w:t xml:space="preserve"> and </w:t>
      </w:r>
      <w:r w:rsidRPr="00B916EC">
        <w:rPr>
          <w:rFonts w:hint="eastAsia"/>
          <w:lang w:eastAsia="zh-CN"/>
        </w:rPr>
        <w:t xml:space="preserve">the UE is configured </w:t>
      </w:r>
      <w:r w:rsidR="0093344A" w:rsidRPr="00B916EC">
        <w:rPr>
          <w:lang w:eastAsia="zh-CN"/>
        </w:rPr>
        <w:t xml:space="preserve">by </w:t>
      </w:r>
      <w:r w:rsidR="00DF30C4" w:rsidRPr="00435CFD">
        <w:rPr>
          <w:i/>
        </w:rPr>
        <w:t>maxNrofCodeWordsScheduledByDCI</w:t>
      </w:r>
      <w:r w:rsidR="0093344A" w:rsidRPr="00B916EC">
        <w:rPr>
          <w:lang w:eastAsia="zh-CN"/>
        </w:rPr>
        <w:t xml:space="preserve"> </w:t>
      </w:r>
      <w:r w:rsidRPr="00B916EC">
        <w:rPr>
          <w:rFonts w:hint="eastAsia"/>
          <w:lang w:eastAsia="zh-CN"/>
        </w:rPr>
        <w:t xml:space="preserve">with </w:t>
      </w:r>
      <w:r w:rsidR="0093344A" w:rsidRPr="00B916EC">
        <w:rPr>
          <w:lang w:eastAsia="zh-CN"/>
        </w:rPr>
        <w:t>reception of</w:t>
      </w:r>
      <w:r w:rsidRPr="00B916EC">
        <w:rPr>
          <w:rFonts w:hint="eastAsia"/>
          <w:lang w:eastAsia="zh-CN"/>
        </w:rPr>
        <w:t xml:space="preserve"> two transport blocks in at least one configured </w:t>
      </w:r>
      <w:r w:rsidR="00266C19">
        <w:rPr>
          <w:rFonts w:cs="Arial"/>
          <w:lang w:eastAsia="zh-CN"/>
        </w:rPr>
        <w:t xml:space="preserve">DL BWP of </w:t>
      </w:r>
      <w:r w:rsidR="00C27336">
        <w:rPr>
          <w:rFonts w:cs="Arial"/>
          <w:lang w:eastAsia="zh-CN"/>
        </w:rPr>
        <w:t>at least one</w:t>
      </w:r>
      <w:r w:rsidR="00266C19">
        <w:rPr>
          <w:rFonts w:cs="Arial"/>
          <w:lang w:eastAsia="zh-CN"/>
        </w:rPr>
        <w:t xml:space="preserve"> </w:t>
      </w:r>
      <w:r w:rsidRPr="00B916EC">
        <w:rPr>
          <w:rFonts w:hint="eastAsia"/>
          <w:lang w:eastAsia="zh-CN"/>
        </w:rPr>
        <w:t>serving cell,</w:t>
      </w:r>
    </w:p>
    <w:p w14:paraId="4FA0CBFC" w14:textId="69547B27" w:rsidR="00F37E87" w:rsidRPr="00B916EC" w:rsidRDefault="00000000" w:rsidP="007F0DAC">
      <w:pPr>
        <w:pStyle w:val="B5"/>
        <w:ind w:left="1985"/>
        <w:rPr>
          <w:lang w:eastAsia="zh-CN"/>
        </w:rPr>
      </w:pPr>
      <m:oMath>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cs="Cambria Math"/>
                <w:lang w:eastAsia="zh-CN"/>
              </w:rPr>
              <m:t>⋅</m:t>
            </m:r>
            <m:r>
              <w:rPr>
                <w:rFonts w:ascii="Cambria Math"/>
              </w:rPr>
              <m:t>j+</m:t>
            </m:r>
            <m:sSubSup>
              <m:sSubSupPr>
                <m:ctrlPr>
                  <w:rPr>
                    <w:rFonts w:ascii="Cambria Math" w:hAnsi="Cambria Math"/>
                    <w:i/>
                  </w:rPr>
                </m:ctrlPr>
              </m:sSubSupPr>
              <m:e>
                <m:r>
                  <w:rPr>
                    <w:rFonts w:ascii="Cambria Math"/>
                  </w:rPr>
                  <m:t>V</m:t>
                </m:r>
              </m:e>
              <m:sub>
                <m:r>
                  <w:rPr>
                    <w:rFonts w:ascii="Cambria Math"/>
                  </w:rPr>
                  <m:t>C</m:t>
                </m:r>
                <m:r>
                  <w:rPr>
                    <w:rFonts w:ascii="Cambria Math"/>
                  </w:rPr>
                  <m:t>-</m:t>
                </m:r>
                <m:r>
                  <m:rPr>
                    <m:nor/>
                  </m:rPr>
                  <w:rPr>
                    <w:rFonts w:ascii="Cambria Math"/>
                  </w:rPr>
                  <m:t>DAI</m:t>
                </m:r>
                <m:r>
                  <m:rPr>
                    <m:sty m:val="p"/>
                  </m:rPr>
                  <w:rPr>
                    <w:rFonts w:ascii="Cambria Math"/>
                  </w:rPr>
                  <m:t>,</m:t>
                </m:r>
                <m:r>
                  <w:rPr>
                    <w:rFonts w:ascii="Cambria Math"/>
                  </w:rPr>
                  <m:t>c</m:t>
                </m:r>
                <m:r>
                  <m:rPr>
                    <m:sty m:val="p"/>
                  </m:rPr>
                  <w:rPr>
                    <w:rFonts w:ascii="Cambria Math"/>
                  </w:rPr>
                  <m:t>,</m:t>
                </m:r>
                <m:r>
                  <w:rPr>
                    <w:rFonts w:ascii="Cambria Math"/>
                  </w:rPr>
                  <m:t>m</m:t>
                </m:r>
                <m:ctrlPr>
                  <w:rPr>
                    <w:rFonts w:ascii="Cambria Math" w:hAnsi="Cambria Math"/>
                  </w:rPr>
                </m:ctrlPr>
              </m:sub>
              <m:sup>
                <m:r>
                  <m:rPr>
                    <m:nor/>
                  </m:rPr>
                  <w:rPr>
                    <w:rFonts w:ascii="Cambria Math"/>
                  </w:rPr>
                  <m:t>DL</m:t>
                </m:r>
                <m:ctrlPr>
                  <w:rPr>
                    <w:rFonts w:ascii="Cambria Math" w:hAnsi="Cambria Math"/>
                  </w:rPr>
                </m:ctrlPr>
              </m:sup>
            </m:sSubSup>
            <m:r>
              <w:rPr>
                <w:rFonts w:ascii="Cambria Math"/>
              </w:rPr>
              <m:t>-</m:t>
            </m:r>
            <m:r>
              <w:rPr>
                <w:rFonts w:ascii="Cambria Math"/>
              </w:rPr>
              <m:t>1</m:t>
            </m:r>
          </m:sub>
          <m:sup>
            <m:r>
              <w:rPr>
                <w:rFonts w:ascii="Cambria Math"/>
              </w:rPr>
              <m:t>ACK</m:t>
            </m:r>
          </m:sup>
        </m:sSubSup>
      </m:oMath>
      <w:r w:rsidR="00F37E87" w:rsidRPr="00B916EC">
        <w:t xml:space="preserve"> </w:t>
      </w:r>
      <w:r w:rsidR="00F37E87" w:rsidRPr="00B916EC">
        <w:rPr>
          <w:rFonts w:hint="eastAsia"/>
          <w:lang w:eastAsia="zh-CN"/>
        </w:rPr>
        <w:t xml:space="preserve">= </w:t>
      </w:r>
      <w:r w:rsidR="00F37E87" w:rsidRPr="00B916EC">
        <w:t>binary AND operation of the HARQ-ACK</w:t>
      </w:r>
      <w:r w:rsidR="00960881" w:rsidRPr="00960881">
        <w:t xml:space="preserve"> </w:t>
      </w:r>
      <w:r w:rsidR="00960881">
        <w:t>information</w:t>
      </w:r>
      <w:r w:rsidR="00F37E87" w:rsidRPr="00B916EC">
        <w:t xml:space="preserve"> bits corresponding to the first and second </w:t>
      </w:r>
      <w:r w:rsidR="00783ECC" w:rsidRPr="00B916EC">
        <w:t>transport blocks</w:t>
      </w:r>
      <w:r w:rsidR="00F37E87" w:rsidRPr="00B916EC">
        <w:t xml:space="preserve"> of this cell</w:t>
      </w:r>
    </w:p>
    <w:p w14:paraId="5CDC4445" w14:textId="51BA1AE7" w:rsidR="00CD36E1" w:rsidRPr="00EE027F" w:rsidRDefault="00000000" w:rsidP="005A2ADA">
      <w:pPr>
        <w:pStyle w:val="B5"/>
        <w:ind w:left="1985"/>
        <w:rPr>
          <w:lang w:eastAsia="zh-CN"/>
        </w:rPr>
      </w:pP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s</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s</m:t>
            </m:r>
          </m:sub>
        </m:sSub>
        <m:r>
          <m:rPr>
            <m:sty m:val="p"/>
          </m:rPr>
          <w:rPr>
            <w:rFonts w:ascii="Cambria Math" w:hAnsi="Cambria Math" w:cs="Cambria Math"/>
            <w:lang w:eastAsia="zh-CN"/>
          </w:rPr>
          <m:t>∪</m:t>
        </m:r>
        <m:d>
          <m:dPr>
            <m:begChr m:val="{"/>
            <m:endChr m:val="}"/>
            <m:ctrlPr>
              <w:rPr>
                <w:rFonts w:ascii="Cambria Math" w:hAnsi="Cambria Math"/>
                <w:lang w:eastAsia="zh-CN"/>
              </w:rPr>
            </m:ctrlPr>
          </m:dPr>
          <m:e>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cs="Cambria Math"/>
                <w:lang w:eastAsia="zh-CN"/>
              </w:rPr>
              <m:t>⋅</m:t>
            </m:r>
            <m:r>
              <w:rPr>
                <w:rFonts w:ascii="Cambria Math" w:hAnsi="Cambria Math"/>
              </w:rPr>
              <m:t>j</m:t>
            </m:r>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C</m:t>
                </m:r>
                <m:r>
                  <m:rPr>
                    <m:sty m:val="p"/>
                  </m:rPr>
                  <w:rPr>
                    <w:rFonts w:ascii="Cambria Math" w:hAnsi="Cambria Math"/>
                    <w:lang w:eastAsia="zh-CN"/>
                  </w:rPr>
                  <m:t>-</m:t>
                </m:r>
                <m:r>
                  <m:rPr>
                    <m:nor/>
                  </m:rPr>
                  <w:rPr>
                    <w:lang w:eastAsia="zh-CN"/>
                  </w:rPr>
                  <m:t>DAI</m:t>
                </m:r>
                <m:r>
                  <m:rPr>
                    <m:sty m:val="p"/>
                  </m:rPr>
                  <w:rPr>
                    <w:rFonts w:ascii="Cambria Math" w:hAnsi="Cambria Math"/>
                    <w:lang w:eastAsia="zh-CN"/>
                  </w:rPr>
                  <m:t>,</m:t>
                </m:r>
                <m:r>
                  <w:rPr>
                    <w:rFonts w:ascii="Cambria Math" w:hAnsi="Cambria Math"/>
                    <w:lang w:eastAsia="zh-CN"/>
                  </w:rPr>
                  <m:t>c</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r>
              <m:rPr>
                <m:sty m:val="p"/>
              </m:rPr>
              <w:rPr>
                <w:rFonts w:ascii="Cambria Math" w:hAnsi="Cambria Math"/>
                <w:lang w:eastAsia="zh-CN"/>
              </w:rPr>
              <m:t>-1</m:t>
            </m:r>
          </m:e>
        </m:d>
      </m:oMath>
      <w:r w:rsidR="005A2ADA">
        <w:rPr>
          <w:lang w:eastAsia="zh-CN"/>
        </w:rPr>
        <w:t xml:space="preserve"> </w:t>
      </w:r>
    </w:p>
    <w:p w14:paraId="2FABD67C" w14:textId="77777777" w:rsidR="00F37E87" w:rsidRPr="00B916EC" w:rsidRDefault="00F37E87" w:rsidP="00326D6E">
      <w:pPr>
        <w:pStyle w:val="B5"/>
        <w:rPr>
          <w:lang w:eastAsia="zh-CN"/>
        </w:rPr>
      </w:pPr>
      <w:r w:rsidRPr="00B916EC">
        <w:rPr>
          <w:rFonts w:hint="eastAsia"/>
          <w:lang w:eastAsia="zh-CN"/>
        </w:rPr>
        <w:t>else</w:t>
      </w:r>
    </w:p>
    <w:p w14:paraId="6E501402" w14:textId="0E442853" w:rsidR="00F37E87" w:rsidRPr="00B916EC" w:rsidRDefault="00000000" w:rsidP="007F0DAC">
      <w:pPr>
        <w:pStyle w:val="B5"/>
        <w:ind w:left="1985"/>
      </w:pPr>
      <m:oMath>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cs="Cambria Math"/>
                <w:lang w:eastAsia="zh-CN"/>
              </w:rPr>
              <m:t>⋅</m:t>
            </m:r>
            <m:r>
              <w:rPr>
                <w:rFonts w:ascii="Cambria Math"/>
              </w:rPr>
              <m:t>j+</m:t>
            </m:r>
            <m:sSubSup>
              <m:sSubSupPr>
                <m:ctrlPr>
                  <w:rPr>
                    <w:rFonts w:ascii="Cambria Math" w:hAnsi="Cambria Math"/>
                    <w:i/>
                  </w:rPr>
                </m:ctrlPr>
              </m:sSubSupPr>
              <m:e>
                <m:r>
                  <w:rPr>
                    <w:rFonts w:ascii="Cambria Math"/>
                  </w:rPr>
                  <m:t>V</m:t>
                </m:r>
              </m:e>
              <m:sub>
                <m:r>
                  <w:rPr>
                    <w:rFonts w:ascii="Cambria Math"/>
                  </w:rPr>
                  <m:t>C</m:t>
                </m:r>
                <m:r>
                  <w:rPr>
                    <w:rFonts w:ascii="Cambria Math"/>
                  </w:rPr>
                  <m:t>-</m:t>
                </m:r>
                <m:r>
                  <w:rPr>
                    <w:rFonts w:ascii="Cambria Math"/>
                  </w:rPr>
                  <m:t>DAI,c,m</m:t>
                </m:r>
              </m:sub>
              <m:sup>
                <m:r>
                  <w:rPr>
                    <w:rFonts w:ascii="Cambria Math"/>
                  </w:rPr>
                  <m:t>DL</m:t>
                </m:r>
              </m:sup>
            </m:sSubSup>
            <m:r>
              <w:rPr>
                <w:rFonts w:ascii="Cambria Math"/>
              </w:rPr>
              <m:t>-</m:t>
            </m:r>
            <m:r>
              <w:rPr>
                <w:rFonts w:ascii="Cambria Math"/>
              </w:rPr>
              <m:t>1</m:t>
            </m:r>
          </m:sub>
          <m:sup>
            <m:r>
              <w:rPr>
                <w:rFonts w:ascii="Cambria Math"/>
              </w:rPr>
              <m:t>ACK</m:t>
            </m:r>
          </m:sup>
        </m:sSubSup>
      </m:oMath>
      <w:r w:rsidR="00F37E87" w:rsidRPr="00B916EC">
        <w:t xml:space="preserve"> </w:t>
      </w:r>
      <w:r w:rsidR="00F37E87" w:rsidRPr="00B916EC">
        <w:rPr>
          <w:rFonts w:hint="eastAsia"/>
          <w:lang w:eastAsia="zh-CN"/>
        </w:rPr>
        <w:t>=</w:t>
      </w:r>
      <w:r w:rsidR="00F37E87" w:rsidRPr="00B916EC">
        <w:t xml:space="preserve"> HARQ-ACK</w:t>
      </w:r>
      <w:r w:rsidR="00960881" w:rsidRPr="00960881">
        <w:t xml:space="preserve"> </w:t>
      </w:r>
      <w:r w:rsidR="00960881">
        <w:t>information</w:t>
      </w:r>
      <w:r w:rsidR="00F37E87" w:rsidRPr="00B916EC">
        <w:t xml:space="preserve"> bit of this cell</w:t>
      </w:r>
    </w:p>
    <w:p w14:paraId="4FEFEA1C" w14:textId="018EB6B2" w:rsidR="00CD36E1" w:rsidRPr="00EE027F" w:rsidRDefault="00000000" w:rsidP="005A2ADA">
      <w:pPr>
        <w:pStyle w:val="B5"/>
        <w:ind w:left="1985"/>
        <w:rPr>
          <w:lang w:eastAsia="zh-CN"/>
        </w:rPr>
      </w:pP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s</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s</m:t>
            </m:r>
          </m:sub>
        </m:sSub>
        <m:r>
          <m:rPr>
            <m:sty m:val="p"/>
          </m:rPr>
          <w:rPr>
            <w:rFonts w:ascii="Cambria Math" w:hAnsi="Cambria Math" w:cs="Cambria Math"/>
            <w:lang w:eastAsia="zh-CN"/>
          </w:rPr>
          <m:t>∪</m:t>
        </m:r>
        <m:d>
          <m:dPr>
            <m:begChr m:val="{"/>
            <m:endChr m:val="}"/>
            <m:ctrlPr>
              <w:rPr>
                <w:rFonts w:ascii="Cambria Math" w:hAnsi="Cambria Math"/>
                <w:lang w:eastAsia="zh-CN"/>
              </w:rPr>
            </m:ctrlPr>
          </m:dPr>
          <m:e>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cs="Cambria Math"/>
                <w:lang w:eastAsia="zh-CN"/>
              </w:rPr>
              <m:t>⋅</m:t>
            </m:r>
            <m:r>
              <w:rPr>
                <w:rFonts w:ascii="Cambria Math" w:hAnsi="Cambria Math"/>
              </w:rPr>
              <m:t>j</m:t>
            </m:r>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C</m:t>
                </m:r>
                <m:r>
                  <m:rPr>
                    <m:sty m:val="p"/>
                  </m:rPr>
                  <w:rPr>
                    <w:rFonts w:ascii="Cambria Math" w:hAnsi="Cambria Math"/>
                    <w:lang w:eastAsia="zh-CN"/>
                  </w:rPr>
                  <m:t>-</m:t>
                </m:r>
                <m:r>
                  <m:rPr>
                    <m:nor/>
                  </m:rPr>
                  <w:rPr>
                    <w:lang w:eastAsia="zh-CN"/>
                  </w:rPr>
                  <m:t>DAI</m:t>
                </m:r>
                <m:r>
                  <m:rPr>
                    <m:sty m:val="p"/>
                  </m:rPr>
                  <w:rPr>
                    <w:rFonts w:ascii="Cambria Math" w:hAnsi="Cambria Math"/>
                    <w:lang w:eastAsia="zh-CN"/>
                  </w:rPr>
                  <m:t>,</m:t>
                </m:r>
                <m:r>
                  <w:rPr>
                    <w:rFonts w:ascii="Cambria Math" w:hAnsi="Cambria Math"/>
                    <w:lang w:eastAsia="zh-CN"/>
                  </w:rPr>
                  <m:t>c</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r>
              <m:rPr>
                <m:sty m:val="p"/>
              </m:rPr>
              <w:rPr>
                <w:rFonts w:ascii="Cambria Math" w:hAnsi="Cambria Math"/>
                <w:lang w:eastAsia="zh-CN"/>
              </w:rPr>
              <m:t>-1</m:t>
            </m:r>
          </m:e>
        </m:d>
      </m:oMath>
      <w:r w:rsidR="005A2ADA">
        <w:rPr>
          <w:lang w:eastAsia="zh-CN"/>
        </w:rPr>
        <w:t xml:space="preserve"> </w:t>
      </w:r>
    </w:p>
    <w:p w14:paraId="0CF70E8F" w14:textId="77777777" w:rsidR="00DF30C4" w:rsidRDefault="00DF30C4" w:rsidP="00326D6E">
      <w:pPr>
        <w:pStyle w:val="B5"/>
        <w:rPr>
          <w:lang w:eastAsia="zh-CN"/>
        </w:rPr>
      </w:pPr>
      <w:r>
        <w:rPr>
          <w:lang w:eastAsia="zh-CN"/>
        </w:rPr>
        <w:t>end if</w:t>
      </w:r>
      <w:r w:rsidRPr="00B916EC">
        <w:rPr>
          <w:rFonts w:hint="eastAsia"/>
          <w:lang w:eastAsia="zh-CN"/>
        </w:rPr>
        <w:t xml:space="preserve"> </w:t>
      </w:r>
    </w:p>
    <w:p w14:paraId="7CF63074" w14:textId="77777777" w:rsidR="00F37E87" w:rsidRPr="00B916EC" w:rsidRDefault="00F37E87" w:rsidP="00326D6E">
      <w:pPr>
        <w:pStyle w:val="B4"/>
        <w:rPr>
          <w:lang w:eastAsia="zh-CN"/>
        </w:rPr>
      </w:pPr>
      <w:r w:rsidRPr="00B916EC">
        <w:rPr>
          <w:rFonts w:hint="eastAsia"/>
          <w:lang w:eastAsia="zh-CN"/>
        </w:rPr>
        <w:lastRenderedPageBreak/>
        <w:t>end if</w:t>
      </w:r>
    </w:p>
    <w:p w14:paraId="0BADCE4D" w14:textId="111E27CD" w:rsidR="00F37E87" w:rsidRPr="00B916EC" w:rsidRDefault="00522C35" w:rsidP="00326D6E">
      <w:pPr>
        <w:pStyle w:val="B4"/>
        <w:rPr>
          <w:lang w:eastAsia="zh-CN"/>
        </w:rPr>
      </w:pPr>
      <m:oMath>
        <m:r>
          <w:rPr>
            <w:rFonts w:ascii="Cambria Math" w:hAnsi="Cambria Math"/>
          </w:rPr>
          <m:t>c=c+1</m:t>
        </m:r>
      </m:oMath>
      <w:r w:rsidR="005A2ADA">
        <w:t xml:space="preserve"> </w:t>
      </w:r>
    </w:p>
    <w:p w14:paraId="25D012B3" w14:textId="77777777" w:rsidR="00DF30C4" w:rsidRPr="009C612A" w:rsidRDefault="00DF30C4" w:rsidP="00326D6E">
      <w:pPr>
        <w:pStyle w:val="B3"/>
        <w:rPr>
          <w:lang w:val="en-US" w:eastAsia="zh-CN"/>
        </w:rPr>
      </w:pPr>
      <w:r>
        <w:rPr>
          <w:lang w:val="en-US" w:eastAsia="zh-CN"/>
        </w:rPr>
        <w:t>end if</w:t>
      </w:r>
    </w:p>
    <w:p w14:paraId="3A6A35BE" w14:textId="77777777" w:rsidR="00F37E87" w:rsidRPr="00B916EC" w:rsidRDefault="00F37E87" w:rsidP="003C1682">
      <w:pPr>
        <w:pStyle w:val="B2"/>
        <w:rPr>
          <w:lang w:eastAsia="zh-CN"/>
        </w:rPr>
      </w:pPr>
      <w:r w:rsidRPr="00B916EC">
        <w:rPr>
          <w:rFonts w:hint="eastAsia"/>
          <w:lang w:eastAsia="zh-CN"/>
        </w:rPr>
        <w:t>end while</w:t>
      </w:r>
    </w:p>
    <w:p w14:paraId="179C9643" w14:textId="28C0D22C" w:rsidR="00F37E87" w:rsidRPr="005A2ADA" w:rsidRDefault="00522C35" w:rsidP="003C1682">
      <w:pPr>
        <w:pStyle w:val="B2"/>
        <w:rPr>
          <w:i/>
          <w:lang w:val="en-US" w:eastAsia="zh-CN"/>
        </w:rPr>
      </w:pPr>
      <m:oMath>
        <m:r>
          <w:rPr>
            <w:rFonts w:ascii="Cambria Math" w:hAnsi="Cambria Math"/>
          </w:rPr>
          <m:t>m=m+1</m:t>
        </m:r>
      </m:oMath>
      <w:r w:rsidR="005A2ADA">
        <w:rPr>
          <w:i/>
          <w:lang w:val="en-US"/>
        </w:rPr>
        <w:t xml:space="preserve"> </w:t>
      </w:r>
    </w:p>
    <w:p w14:paraId="6D3D52D1" w14:textId="68F8DF8C" w:rsidR="00F37E87" w:rsidRDefault="00F37E87" w:rsidP="0009732E">
      <w:pPr>
        <w:pStyle w:val="B1"/>
        <w:rPr>
          <w:lang w:eastAsia="zh-CN"/>
        </w:rPr>
      </w:pPr>
      <w:r w:rsidRPr="00B916EC">
        <w:rPr>
          <w:rFonts w:hint="eastAsia"/>
          <w:lang w:eastAsia="zh-CN"/>
        </w:rPr>
        <w:t>end while</w:t>
      </w:r>
    </w:p>
    <w:p w14:paraId="64C84260" w14:textId="311B4089" w:rsidR="009B4E2F" w:rsidRPr="002F4469" w:rsidRDefault="00000000" w:rsidP="005A2ADA">
      <w:pPr>
        <w:pStyle w:val="B2"/>
        <w:rPr>
          <w:lang w:eastAsia="zh-CN"/>
        </w:rPr>
      </w:pP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m:t>
            </m:r>
          </m:sub>
        </m:sSub>
        <m:r>
          <m:rPr>
            <m:sty m:val="p"/>
          </m:rPr>
          <w:rPr>
            <w:rFonts w:ascii="Cambria Math" w:hAnsi="Cambria Math"/>
            <w:lang w:eastAsia="zh-CN"/>
          </w:rPr>
          <m:t>=</m:t>
        </m:r>
        <m:d>
          <m:dPr>
            <m:ctrlPr>
              <w:rPr>
                <w:rFonts w:ascii="Cambria Math" w:hAnsi="Cambria Math"/>
                <w:lang w:eastAsia="zh-CN"/>
              </w:rPr>
            </m:ctrlPr>
          </m:dPr>
          <m:e>
            <m:r>
              <w:rPr>
                <w:rFonts w:ascii="Cambria Math" w:hAnsi="Cambria Math"/>
                <w:lang w:eastAsia="zh-CN"/>
              </w:rPr>
              <m:t>j</m:t>
            </m:r>
            <m:r>
              <m:rPr>
                <m:sty m:val="p"/>
              </m:rPr>
              <w:rPr>
                <w:rFonts w:ascii="Cambria Math" w:hAnsi="Cambria Math"/>
                <w:lang w:eastAsia="zh-CN"/>
              </w:rPr>
              <m:t xml:space="preserve"> </m:t>
            </m:r>
            <m:r>
              <w:rPr>
                <w:rFonts w:ascii="Cambria Math" w:hAnsi="Cambria Math"/>
                <w:lang w:eastAsia="zh-CN"/>
              </w:rPr>
              <m:t>mod</m:t>
            </m:r>
            <m:d>
              <m:dPr>
                <m:ctrlPr>
                  <w:rPr>
                    <w:rFonts w:ascii="Cambria Math" w:hAnsi="Cambria Math"/>
                    <w:lang w:eastAsia="zh-CN"/>
                  </w:rPr>
                </m:ctrlPr>
              </m:dPr>
              <m:e>
                <m:f>
                  <m:fPr>
                    <m:ctrlPr>
                      <w:rPr>
                        <w:rFonts w:ascii="Cambria Math" w:hAnsi="Cambria Math"/>
                        <w:lang w:eastAsia="zh-CN"/>
                      </w:rPr>
                    </m:ctrlPr>
                  </m:fPr>
                  <m:num>
                    <m:r>
                      <m:rPr>
                        <m:sty m:val="p"/>
                      </m:rPr>
                      <w:rPr>
                        <w:rFonts w:ascii="Cambria Math" w:hAnsi="Cambria Math"/>
                        <w:lang w:eastAsia="zh-CN"/>
                      </w:rPr>
                      <m:t>4</m:t>
                    </m:r>
                  </m:num>
                  <m:den>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D</m:t>
                        </m:r>
                      </m:sub>
                    </m:sSub>
                  </m:den>
                </m:f>
              </m:e>
            </m:d>
          </m:e>
        </m:d>
        <m:r>
          <m:rPr>
            <m:sty m:val="p"/>
          </m:rPr>
          <w:rPr>
            <w:rFonts w:ascii="Cambria Math" w:hAnsi="Cambria Math"/>
            <w:lang w:eastAsia="zh-CN"/>
          </w:rPr>
          <m:t>×</m:t>
        </m:r>
        <m:d>
          <m:dPr>
            <m:ctrlPr>
              <w:rPr>
                <w:rFonts w:ascii="Cambria Math" w:hAnsi="Cambria Math"/>
                <w:lang w:eastAsia="zh-CN"/>
              </w:rPr>
            </m:ctrlPr>
          </m:dPr>
          <m:e>
            <m:f>
              <m:fPr>
                <m:ctrlPr>
                  <w:rPr>
                    <w:rFonts w:ascii="Cambria Math" w:hAnsi="Cambria Math"/>
                    <w:lang w:eastAsia="zh-CN"/>
                  </w:rPr>
                </m:ctrlPr>
              </m:fPr>
              <m:num>
                <m:r>
                  <m:rPr>
                    <m:sty m:val="p"/>
                  </m:rPr>
                  <w:rPr>
                    <w:rFonts w:ascii="Cambria Math" w:hAnsi="Cambria Math"/>
                    <w:lang w:eastAsia="zh-CN"/>
                  </w:rPr>
                  <m:t>4</m:t>
                </m:r>
              </m:num>
              <m:den>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D</m:t>
                    </m:r>
                  </m:sub>
                </m:sSub>
              </m:den>
            </m:f>
          </m:e>
        </m:d>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m:t>
            </m:r>
          </m:sub>
        </m:sSub>
      </m:oMath>
      <w:r w:rsidR="005A2ADA">
        <w:rPr>
          <w:lang w:eastAsia="zh-CN"/>
        </w:rPr>
        <w:t xml:space="preserve"> </w:t>
      </w:r>
    </w:p>
    <w:p w14:paraId="71A73CB5" w14:textId="7EDFC558" w:rsidR="009B4E2F" w:rsidRDefault="009B4E2F" w:rsidP="005A2ADA">
      <w:pPr>
        <w:pStyle w:val="B1"/>
      </w:pPr>
      <w:r>
        <w:rPr>
          <w:lang w:eastAsia="zh-CN"/>
        </w:rPr>
        <w:t xml:space="preserve">if UE does not set </w:t>
      </w:r>
      <m:oMath>
        <m:sSub>
          <m:sSubPr>
            <m:ctrlPr>
              <w:rPr>
                <w:rFonts w:ascii="Cambria Math" w:hAnsi="Cambria Math" w:cs="Calibri"/>
                <w:sz w:val="21"/>
                <w:szCs w:val="21"/>
              </w:rPr>
            </m:ctrlPr>
          </m:sSubPr>
          <m:e>
            <m:r>
              <w:rPr>
                <w:rFonts w:ascii="Cambria Math" w:hAnsi="Cambria Math"/>
              </w:rPr>
              <m:t>V</m:t>
            </m:r>
          </m:e>
          <m:sub>
            <m:r>
              <w:rPr>
                <w:rFonts w:ascii="Cambria Math" w:hAnsi="Cambria Math"/>
              </w:rPr>
              <m:t>temp</m:t>
            </m:r>
            <m:r>
              <m:rPr>
                <m:sty m:val="p"/>
              </m:rPr>
              <w:rPr>
                <w:rFonts w:ascii="Cambria Math" w:hAnsi="Cambria Math"/>
              </w:rPr>
              <m:t>2</m:t>
            </m:r>
          </m:sub>
        </m:sSub>
        <m:r>
          <m:rPr>
            <m:sty m:val="p"/>
          </m:rPr>
          <w:rPr>
            <w:rFonts w:ascii="Cambria Math" w:hAnsi="Cambria Math"/>
          </w:rPr>
          <m:t>=</m:t>
        </m:r>
        <m:sSubSup>
          <m:sSubSupPr>
            <m:ctrlPr>
              <w:rPr>
                <w:rFonts w:ascii="Cambria Math" w:hAnsi="Cambria Math" w:cs="Calibri"/>
                <w:sz w:val="21"/>
                <w:szCs w:val="21"/>
              </w:rPr>
            </m:ctrlPr>
          </m:sSubSupPr>
          <m:e>
            <m:r>
              <w:rPr>
                <w:rFonts w:ascii="Cambria Math" w:hAnsi="Cambria Math"/>
              </w:rPr>
              <m:t>V</m:t>
            </m:r>
          </m:e>
          <m:sub>
            <m:r>
              <m:rPr>
                <m:sty m:val="p"/>
              </m:rPr>
              <w:rPr>
                <w:rFonts w:ascii="Cambria Math" w:hAnsi="Cambria Math"/>
              </w:rPr>
              <m:t>T-</m:t>
            </m:r>
            <m:r>
              <w:rPr>
                <w:rFonts w:ascii="Cambria Math" w:hAnsi="Cambria Math"/>
              </w:rPr>
              <m:t>DAI</m:t>
            </m:r>
          </m:sub>
          <m:sup>
            <m:r>
              <w:rPr>
                <w:rFonts w:ascii="Cambria Math" w:hAnsi="Cambria Math"/>
              </w:rPr>
              <m:t>UL</m:t>
            </m:r>
          </m:sup>
        </m:sSubSup>
      </m:oMath>
      <w:r w:rsidRPr="0087250D">
        <w:t xml:space="preserve"> and </w:t>
      </w:r>
      <m:oMath>
        <m:sSub>
          <m:sSubPr>
            <m:ctrlPr>
              <w:rPr>
                <w:rFonts w:ascii="Cambria Math" w:hAnsi="Cambria Math" w:cs="Calibri"/>
                <w:iCs/>
                <w:sz w:val="21"/>
                <w:szCs w:val="21"/>
              </w:rPr>
            </m:ctrlPr>
          </m:sSubPr>
          <m:e>
            <m:r>
              <w:rPr>
                <w:rFonts w:ascii="Cambria Math" w:hAnsi="Cambria Math"/>
              </w:rPr>
              <m:t>T</m:t>
            </m:r>
          </m:e>
          <m:sub>
            <m:r>
              <w:rPr>
                <w:rFonts w:ascii="Cambria Math" w:hAnsi="Cambria Math"/>
              </w:rPr>
              <m:t>D</m:t>
            </m:r>
          </m:sub>
        </m:sSub>
        <m:r>
          <m:rPr>
            <m:sty m:val="p"/>
          </m:rPr>
          <w:rPr>
            <w:rFonts w:ascii="Cambria Math" w:hAnsi="Cambria Math"/>
          </w:rPr>
          <m:t>=2</m:t>
        </m:r>
      </m:oMath>
    </w:p>
    <w:p w14:paraId="37D0D1CF" w14:textId="32D3A0C7" w:rsidR="009B4E2F" w:rsidRPr="0087250D" w:rsidRDefault="00000000" w:rsidP="005A2ADA">
      <w:pPr>
        <w:pStyle w:val="B2"/>
      </w:pPr>
      <m:oMath>
        <m:sSub>
          <m:sSubPr>
            <m:ctrlPr>
              <w:rPr>
                <w:rFonts w:ascii="Cambria Math" w:hAnsi="Cambria Math" w:cs="Calibri"/>
                <w:sz w:val="21"/>
                <w:szCs w:val="21"/>
              </w:rPr>
            </m:ctrlPr>
          </m:sSubPr>
          <m:e>
            <m:r>
              <w:rPr>
                <w:rFonts w:ascii="Cambria Math" w:hAnsi="Cambria Math"/>
              </w:rPr>
              <m:t>V</m:t>
            </m:r>
          </m:e>
          <m:sub>
            <m:r>
              <w:rPr>
                <w:rFonts w:ascii="Cambria Math" w:hAnsi="Cambria Math"/>
              </w:rPr>
              <m:t>temp</m:t>
            </m:r>
            <m:r>
              <m:rPr>
                <m:sty m:val="p"/>
              </m:rPr>
              <w:rPr>
                <w:rFonts w:ascii="Cambria Math" w:hAnsi="Cambria Math"/>
              </w:rPr>
              <m:t>2</m:t>
            </m:r>
          </m:sub>
        </m:sSub>
        <m:r>
          <m:rPr>
            <m:sty m:val="p"/>
          </m:rPr>
          <w:rPr>
            <w:rFonts w:ascii="Cambria Math" w:hAnsi="Cambria Math"/>
          </w:rPr>
          <m:t>=</m:t>
        </m:r>
        <m:sSub>
          <m:sSubPr>
            <m:ctrlPr>
              <w:rPr>
                <w:rFonts w:ascii="Cambria Math" w:hAnsi="Cambria Math" w:cs="Calibri"/>
                <w:sz w:val="21"/>
                <w:szCs w:val="21"/>
              </w:rPr>
            </m:ctrlPr>
          </m:sSubPr>
          <m:e>
            <m:r>
              <w:rPr>
                <w:rFonts w:ascii="Cambria Math" w:hAnsi="Cambria Math"/>
              </w:rPr>
              <m:t>V</m:t>
            </m:r>
          </m:e>
          <m:sub>
            <m:r>
              <w:rPr>
                <w:rFonts w:ascii="Cambria Math" w:hAnsi="Cambria Math"/>
              </w:rPr>
              <m:t>temp</m:t>
            </m:r>
          </m:sub>
        </m:sSub>
      </m:oMath>
      <w:r w:rsidR="005A2ADA">
        <w:rPr>
          <w:sz w:val="21"/>
          <w:szCs w:val="21"/>
        </w:rPr>
        <w:t xml:space="preserve"> </w:t>
      </w:r>
    </w:p>
    <w:p w14:paraId="610DB4F5" w14:textId="77777777" w:rsidR="009B4E2F" w:rsidRDefault="009B4E2F" w:rsidP="005A2ADA">
      <w:pPr>
        <w:pStyle w:val="B1"/>
        <w:rPr>
          <w:lang w:eastAsia="zh-CN"/>
        </w:rPr>
      </w:pPr>
      <w:r>
        <w:rPr>
          <w:lang w:eastAsia="zh-CN"/>
        </w:rPr>
        <w:t>end if</w:t>
      </w:r>
    </w:p>
    <w:p w14:paraId="29AB8F84" w14:textId="77777777" w:rsidR="00510FD4" w:rsidRPr="00B27E56" w:rsidRDefault="00510FD4" w:rsidP="0019023B">
      <w:pPr>
        <w:pStyle w:val="B1"/>
        <w:rPr>
          <w:i/>
          <w:lang w:val="en-US" w:eastAsia="zh-CN"/>
        </w:rPr>
      </w:pPr>
      <m:oMath>
        <m:r>
          <w:rPr>
            <w:rFonts w:ascii="Cambria Math" w:hAnsi="Cambria Math"/>
            <w:lang w:eastAsia="zh-CN"/>
          </w:rPr>
          <m:t>j</m:t>
        </m:r>
        <m:r>
          <m:rPr>
            <m:sty m:val="p"/>
          </m:rPr>
          <w:rPr>
            <w:rFonts w:ascii="Cambria Math" w:hAnsi="Cambria Math"/>
            <w:lang w:eastAsia="zh-CN"/>
          </w:rPr>
          <m:t>=</m:t>
        </m:r>
        <m:d>
          <m:dPr>
            <m:begChr m:val="⌊"/>
            <m:endChr m:val="⌋"/>
            <m:ctrlPr>
              <w:rPr>
                <w:rFonts w:ascii="Cambria Math" w:hAnsi="Cambria Math"/>
                <w:lang w:eastAsia="zh-CN"/>
              </w:rPr>
            </m:ctrlPr>
          </m:dPr>
          <m:e>
            <m:f>
              <m:fPr>
                <m:ctrlPr>
                  <w:rPr>
                    <w:rFonts w:ascii="Cambria Math" w:hAnsi="Cambria Math"/>
                    <w:lang w:eastAsia="zh-CN"/>
                  </w:rPr>
                </m:ctrlPr>
              </m:fPr>
              <m:num>
                <m:r>
                  <w:rPr>
                    <w:rFonts w:ascii="Cambria Math" w:hAnsi="Cambria Math"/>
                    <w:lang w:eastAsia="zh-CN"/>
                  </w:rPr>
                  <m:t>j</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D</m:t>
                    </m:r>
                  </m:sub>
                </m:sSub>
              </m:num>
              <m:den>
                <m:r>
                  <m:rPr>
                    <m:sty m:val="p"/>
                  </m:rPr>
                  <w:rPr>
                    <w:rFonts w:ascii="Cambria Math" w:hAnsi="Cambria Math"/>
                    <w:lang w:eastAsia="zh-CN"/>
                  </w:rPr>
                  <m:t>4</m:t>
                </m:r>
              </m:den>
            </m:f>
          </m:e>
        </m:d>
      </m:oMath>
      <w:r w:rsidRPr="00B27E56">
        <w:rPr>
          <w:i/>
          <w:lang w:val="en-US" w:eastAsia="zh-CN"/>
        </w:rPr>
        <w:t xml:space="preserve"> </w:t>
      </w:r>
    </w:p>
    <w:p w14:paraId="649F0AE5" w14:textId="2EBA554B" w:rsidR="00F37E87" w:rsidRPr="00B916EC" w:rsidRDefault="00F37E87" w:rsidP="0009732E">
      <w:pPr>
        <w:pStyle w:val="B1"/>
        <w:rPr>
          <w:rFonts w:cs="Arial"/>
          <w:lang w:eastAsia="zh-CN"/>
        </w:rPr>
      </w:pPr>
      <w:r w:rsidRPr="00B916EC">
        <w:rPr>
          <w:rFonts w:hint="eastAsia"/>
          <w:lang w:eastAsia="zh-CN"/>
        </w:rPr>
        <w:t xml:space="preserve">if </w:t>
      </w: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temp2</m:t>
            </m:r>
          </m:sub>
        </m:sSub>
        <m:r>
          <w:rPr>
            <w:rFonts w:ascii="Cambria Math" w:hAnsi="Cambria Math"/>
            <w:lang w:eastAsia="zh-CN"/>
          </w:rPr>
          <m:t>&lt;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m:t>
            </m:r>
          </m:sub>
        </m:sSub>
      </m:oMath>
    </w:p>
    <w:p w14:paraId="4471CD7B" w14:textId="57305238" w:rsidR="00F37E87" w:rsidRPr="005A2ADA" w:rsidRDefault="00522C35" w:rsidP="0009732E">
      <w:pPr>
        <w:pStyle w:val="B2"/>
        <w:rPr>
          <w:i/>
          <w:lang w:val="en-US" w:eastAsia="zh-CN"/>
        </w:rPr>
      </w:pPr>
      <m:oMath>
        <m:r>
          <w:rPr>
            <w:rFonts w:ascii="Cambria Math" w:hAnsi="Cambria Math"/>
            <w:lang w:eastAsia="zh-CN"/>
          </w:rPr>
          <m:t>j=j+1</m:t>
        </m:r>
      </m:oMath>
      <w:r w:rsidR="005A2ADA">
        <w:rPr>
          <w:i/>
          <w:lang w:val="en-US" w:eastAsia="zh-CN"/>
        </w:rPr>
        <w:t xml:space="preserve"> </w:t>
      </w:r>
    </w:p>
    <w:p w14:paraId="5CE4BCCD" w14:textId="77777777" w:rsidR="00F37E87" w:rsidRPr="00B916EC" w:rsidRDefault="00F37E87" w:rsidP="0009732E">
      <w:pPr>
        <w:pStyle w:val="B1"/>
        <w:rPr>
          <w:rFonts w:cs="Arial"/>
          <w:lang w:eastAsia="zh-CN"/>
        </w:rPr>
      </w:pPr>
      <w:r w:rsidRPr="00B916EC">
        <w:rPr>
          <w:rFonts w:hint="eastAsia"/>
          <w:lang w:eastAsia="zh-CN"/>
        </w:rPr>
        <w:t>end if</w:t>
      </w:r>
    </w:p>
    <w:p w14:paraId="4E2BEB80" w14:textId="77777777" w:rsidR="00F37E87" w:rsidRPr="00B916EC" w:rsidRDefault="00F37E87" w:rsidP="001322F1">
      <w:pPr>
        <w:pStyle w:val="B1"/>
        <w:ind w:left="284" w:firstLine="0"/>
        <w:rPr>
          <w:rFonts w:cs="Arial"/>
          <w:lang w:eastAsia="zh-CN"/>
        </w:rPr>
      </w:pPr>
      <w:r w:rsidRPr="00B916EC">
        <w:rPr>
          <w:rFonts w:cs="Arial" w:hint="eastAsia"/>
          <w:lang w:eastAsia="zh-CN"/>
        </w:rPr>
        <w:t xml:space="preserve">if </w:t>
      </w:r>
      <w:r w:rsidR="00DF30C4" w:rsidRPr="00435CFD">
        <w:rPr>
          <w:i/>
        </w:rPr>
        <w:t>harq-ACK-SpatialBundlingPUCCH</w:t>
      </w:r>
      <w:r w:rsidR="00DF30C4" w:rsidRPr="00B916EC">
        <w:rPr>
          <w:rFonts w:hint="eastAsia"/>
          <w:lang w:eastAsia="zh-CN"/>
        </w:rPr>
        <w:t xml:space="preserve"> </w:t>
      </w:r>
      <w:r w:rsidR="00DF30C4">
        <w:rPr>
          <w:lang w:val="en-US" w:eastAsia="zh-CN"/>
        </w:rPr>
        <w:t xml:space="preserve">is not provided </w:t>
      </w:r>
      <w:r w:rsidR="003A470A">
        <w:rPr>
          <w:lang w:eastAsia="zh-CN"/>
        </w:rPr>
        <w:t>to the UE</w:t>
      </w:r>
      <w:r w:rsidR="005B3B05" w:rsidRPr="00B916EC">
        <w:rPr>
          <w:lang w:val="en-US" w:eastAsia="zh-CN"/>
        </w:rPr>
        <w:t xml:space="preserve"> and </w:t>
      </w:r>
      <w:r w:rsidRPr="00B916EC">
        <w:rPr>
          <w:rFonts w:hint="eastAsia"/>
          <w:lang w:eastAsia="zh-CN"/>
        </w:rPr>
        <w:t>the</w:t>
      </w:r>
      <w:r w:rsidRPr="00B916EC">
        <w:rPr>
          <w:rFonts w:cs="Arial" w:hint="eastAsia"/>
          <w:lang w:eastAsia="zh-CN"/>
        </w:rPr>
        <w:t xml:space="preserve"> UE is configured </w:t>
      </w:r>
      <w:r w:rsidR="005B3B05" w:rsidRPr="00B916EC">
        <w:rPr>
          <w:rFonts w:cs="Arial"/>
          <w:lang w:eastAsia="zh-CN"/>
        </w:rPr>
        <w:t xml:space="preserve">by </w:t>
      </w:r>
      <w:r w:rsidR="00DF30C4" w:rsidRPr="00435CFD">
        <w:rPr>
          <w:i/>
        </w:rPr>
        <w:t>maxNrofCodeWordsScheduledByDCI</w:t>
      </w:r>
      <w:r w:rsidR="005B3B05" w:rsidRPr="00B916EC">
        <w:rPr>
          <w:rFonts w:cs="Arial"/>
          <w:lang w:eastAsia="zh-CN"/>
        </w:rPr>
        <w:t xml:space="preserve"> </w:t>
      </w:r>
      <w:r w:rsidRPr="00B916EC">
        <w:rPr>
          <w:rFonts w:cs="Arial" w:hint="eastAsia"/>
          <w:lang w:eastAsia="zh-CN"/>
        </w:rPr>
        <w:t xml:space="preserve">with </w:t>
      </w:r>
      <w:r w:rsidR="005B3B05" w:rsidRPr="00B916EC">
        <w:rPr>
          <w:rFonts w:cs="Arial"/>
          <w:lang w:eastAsia="zh-CN"/>
        </w:rPr>
        <w:t>reception of</w:t>
      </w:r>
      <w:r w:rsidRPr="00B916EC">
        <w:rPr>
          <w:rFonts w:cs="Arial" w:hint="eastAsia"/>
          <w:lang w:eastAsia="zh-CN"/>
        </w:rPr>
        <w:t xml:space="preserve"> two transport blocks </w:t>
      </w:r>
      <w:r w:rsidR="00266C19">
        <w:rPr>
          <w:rFonts w:cs="Arial"/>
          <w:lang w:eastAsia="zh-CN"/>
        </w:rPr>
        <w:t>for</w:t>
      </w:r>
      <w:r w:rsidR="00266C19" w:rsidRPr="00B916EC">
        <w:rPr>
          <w:rFonts w:cs="Arial" w:hint="eastAsia"/>
          <w:lang w:eastAsia="zh-CN"/>
        </w:rPr>
        <w:t xml:space="preserve"> </w:t>
      </w:r>
      <w:r w:rsidRPr="00B916EC">
        <w:rPr>
          <w:rFonts w:cs="Arial" w:hint="eastAsia"/>
          <w:lang w:eastAsia="zh-CN"/>
        </w:rPr>
        <w:t xml:space="preserve">at least one configured </w:t>
      </w:r>
      <w:r w:rsidR="00266C19">
        <w:rPr>
          <w:rFonts w:cs="Arial"/>
          <w:lang w:eastAsia="zh-CN"/>
        </w:rPr>
        <w:t xml:space="preserve">DL BWP of a </w:t>
      </w:r>
      <w:r w:rsidRPr="00B916EC">
        <w:rPr>
          <w:rFonts w:cs="Arial" w:hint="eastAsia"/>
          <w:lang w:eastAsia="zh-CN"/>
        </w:rPr>
        <w:t>serving cell,</w:t>
      </w:r>
    </w:p>
    <w:p w14:paraId="4EE60B5F" w14:textId="7E9C50EC" w:rsidR="00B93BCA" w:rsidRPr="005A2ADA" w:rsidRDefault="00000000" w:rsidP="00CD36E1">
      <w:pPr>
        <w:pStyle w:val="B2"/>
        <w:rPr>
          <w:lang w:val="en-US" w:eastAsia="zh-CN"/>
        </w:rPr>
      </w:pPr>
      <m:oMath>
        <m:sSup>
          <m:sSupPr>
            <m:ctrlPr>
              <w:rPr>
                <w:rFonts w:ascii="Cambria Math" w:eastAsia="Times New Roman" w:hAnsi="Cambria Math" w:cs="Calibri"/>
                <w:color w:val="000000" w:themeColor="text1"/>
                <w:sz w:val="21"/>
                <w:szCs w:val="21"/>
              </w:rPr>
            </m:ctrlPr>
          </m:sSupPr>
          <m:e>
            <m:r>
              <w:rPr>
                <w:rFonts w:ascii="Cambria Math" w:eastAsia="Times New Roman" w:hAnsi="Cambria Math"/>
                <w:color w:val="000000" w:themeColor="text1"/>
                <w:lang w:eastAsia="zh-CN"/>
              </w:rPr>
              <m:t>O</m:t>
            </m:r>
          </m:e>
          <m:sup>
            <m:r>
              <w:rPr>
                <w:rFonts w:ascii="Cambria Math" w:eastAsia="Times New Roman" w:hAnsi="Cambria Math"/>
                <w:color w:val="000000" w:themeColor="text1"/>
                <w:lang w:eastAsia="zh-CN"/>
              </w:rPr>
              <m:t>ACK</m:t>
            </m:r>
          </m:sup>
        </m:sSup>
        <m:r>
          <m:rPr>
            <m:sty m:val="p"/>
          </m:rPr>
          <w:rPr>
            <w:rFonts w:ascii="Cambria Math" w:eastAsia="Times New Roman" w:hAnsi="Cambria Math"/>
            <w:color w:val="000000" w:themeColor="text1"/>
            <w:lang w:eastAsia="zh-CN"/>
          </w:rPr>
          <m:t>=2⋅</m:t>
        </m:r>
        <m:d>
          <m:dPr>
            <m:ctrlPr>
              <w:rPr>
                <w:rFonts w:ascii="Cambria Math" w:eastAsia="Times New Roman" w:hAnsi="Cambria Math" w:cs="Calibri"/>
                <w:color w:val="000000" w:themeColor="text1"/>
                <w:sz w:val="21"/>
                <w:szCs w:val="21"/>
              </w:rPr>
            </m:ctrlPr>
          </m:dPr>
          <m:e>
            <m:r>
              <m:rPr>
                <m:sty m:val="p"/>
              </m:rPr>
              <w:rPr>
                <w:rFonts w:ascii="Cambria Math" w:eastAsia="Times New Roman" w:hAnsi="Cambria Math"/>
                <w:color w:val="000000" w:themeColor="text1"/>
              </w:rPr>
              <m:t>4</m:t>
            </m:r>
            <m:r>
              <m:rPr>
                <m:sty m:val="p"/>
              </m:rPr>
              <w:rPr>
                <w:rFonts w:ascii="Cambria Math" w:eastAsia="Times New Roman" w:hAnsi="Cambria Math"/>
                <w:color w:val="000000" w:themeColor="text1"/>
                <w:lang w:eastAsia="zh-CN"/>
              </w:rPr>
              <m:t>⋅</m:t>
            </m:r>
            <m:r>
              <w:rPr>
                <w:rFonts w:ascii="Cambria Math" w:eastAsia="Times New Roman" w:hAnsi="Cambria Math"/>
                <w:color w:val="000000" w:themeColor="text1"/>
              </w:rPr>
              <m:t>j</m:t>
            </m:r>
            <m:r>
              <m:rPr>
                <m:sty m:val="p"/>
              </m:rPr>
              <w:rPr>
                <w:rFonts w:ascii="Cambria Math" w:eastAsia="Times New Roman" w:hAnsi="Cambria Math"/>
                <w:color w:val="000000" w:themeColor="text1"/>
                <w:lang w:eastAsia="zh-CN"/>
              </w:rPr>
              <m:t>+</m:t>
            </m:r>
            <m:sSub>
              <m:sSubPr>
                <m:ctrlPr>
                  <w:rPr>
                    <w:rFonts w:ascii="Cambria Math" w:eastAsia="Times New Roman" w:hAnsi="Cambria Math" w:cs="Calibri"/>
                    <w:color w:val="000000" w:themeColor="text1"/>
                    <w:sz w:val="21"/>
                    <w:szCs w:val="21"/>
                  </w:rPr>
                </m:ctrlPr>
              </m:sSubPr>
              <m:e>
                <m:r>
                  <w:rPr>
                    <w:rFonts w:ascii="Cambria Math" w:eastAsia="Times New Roman" w:hAnsi="Cambria Math"/>
                    <w:color w:val="000000" w:themeColor="text1"/>
                    <w:lang w:eastAsia="zh-CN"/>
                  </w:rPr>
                  <m:t>V</m:t>
                </m:r>
              </m:e>
              <m:sub>
                <m:r>
                  <w:rPr>
                    <w:rFonts w:ascii="Cambria Math" w:eastAsia="Times New Roman" w:hAnsi="Cambria Math"/>
                    <w:color w:val="000000" w:themeColor="text1"/>
                    <w:lang w:eastAsia="zh-CN"/>
                  </w:rPr>
                  <m:t>temp</m:t>
                </m:r>
                <m:r>
                  <m:rPr>
                    <m:sty m:val="p"/>
                  </m:rPr>
                  <w:rPr>
                    <w:rFonts w:ascii="Cambria Math" w:eastAsia="Times New Roman" w:hAnsi="Cambria Math"/>
                    <w:color w:val="000000" w:themeColor="text1"/>
                    <w:lang w:eastAsia="zh-CN"/>
                  </w:rPr>
                  <m:t>2</m:t>
                </m:r>
              </m:sub>
            </m:sSub>
          </m:e>
        </m:d>
      </m:oMath>
      <w:r w:rsidR="005A2ADA">
        <w:rPr>
          <w:color w:val="000000" w:themeColor="text1"/>
          <w:sz w:val="21"/>
          <w:szCs w:val="21"/>
          <w:lang w:val="en-US"/>
        </w:rPr>
        <w:t xml:space="preserve"> </w:t>
      </w:r>
    </w:p>
    <w:p w14:paraId="577FF671" w14:textId="77777777" w:rsidR="009F2E1F" w:rsidRPr="00B916EC" w:rsidRDefault="009F2E1F" w:rsidP="009F2E1F">
      <w:pPr>
        <w:pStyle w:val="B1"/>
        <w:rPr>
          <w:lang w:eastAsia="zh-CN"/>
        </w:rPr>
      </w:pPr>
      <w:r w:rsidRPr="00B916EC">
        <w:rPr>
          <w:rFonts w:hint="eastAsia"/>
          <w:lang w:eastAsia="zh-CN"/>
        </w:rPr>
        <w:t>else</w:t>
      </w:r>
    </w:p>
    <w:p w14:paraId="4668DA50" w14:textId="4DD97521" w:rsidR="00B93BCA" w:rsidRPr="005A2ADA" w:rsidRDefault="00000000" w:rsidP="00CD36E1">
      <w:pPr>
        <w:pStyle w:val="B2"/>
        <w:rPr>
          <w:lang w:val="en-US" w:eastAsia="zh-CN"/>
        </w:rPr>
      </w:pPr>
      <m:oMath>
        <m:sSup>
          <m:sSupPr>
            <m:ctrlPr>
              <w:rPr>
                <w:rFonts w:ascii="Cambria Math" w:eastAsia="Times New Roman" w:hAnsi="Cambria Math" w:cs="SimSun"/>
                <w:color w:val="000000" w:themeColor="text1"/>
                <w:sz w:val="24"/>
                <w:szCs w:val="24"/>
              </w:rPr>
            </m:ctrlPr>
          </m:sSupPr>
          <m:e>
            <m:r>
              <w:rPr>
                <w:rFonts w:ascii="Cambria Math" w:eastAsia="Times New Roman" w:hAnsi="Cambria Math"/>
                <w:color w:val="000000" w:themeColor="text1"/>
              </w:rPr>
              <m:t>O</m:t>
            </m:r>
          </m:e>
          <m:sup>
            <m:r>
              <w:rPr>
                <w:rFonts w:ascii="Cambria Math" w:eastAsia="Times New Roman" w:hAnsi="Cambria Math"/>
                <w:color w:val="000000" w:themeColor="text1"/>
              </w:rPr>
              <m:t>ACK</m:t>
            </m:r>
          </m:sup>
        </m:sSup>
        <m:r>
          <m:rPr>
            <m:sty m:val="p"/>
          </m:rPr>
          <w:rPr>
            <w:rFonts w:ascii="Cambria Math" w:eastAsia="Times New Roman" w:hAnsi="Cambria Math"/>
            <w:color w:val="000000" w:themeColor="text1"/>
          </w:rPr>
          <m:t>=4⋅</m:t>
        </m:r>
        <m:r>
          <w:rPr>
            <w:rFonts w:ascii="Cambria Math" w:eastAsia="Times New Roman" w:hAnsi="Cambria Math"/>
            <w:color w:val="000000" w:themeColor="text1"/>
          </w:rPr>
          <m:t>j</m:t>
        </m:r>
        <m:r>
          <m:rPr>
            <m:sty m:val="p"/>
          </m:rPr>
          <w:rPr>
            <w:rFonts w:ascii="Cambria Math" w:eastAsia="Times New Roman" w:hAnsi="Cambria Math"/>
            <w:color w:val="000000" w:themeColor="text1"/>
          </w:rPr>
          <m:t>+</m:t>
        </m:r>
        <m:sSub>
          <m:sSubPr>
            <m:ctrlPr>
              <w:rPr>
                <w:rFonts w:ascii="Cambria Math" w:eastAsia="Times New Roman" w:hAnsi="Cambria Math" w:cs="SimSun"/>
                <w:color w:val="000000" w:themeColor="text1"/>
                <w:sz w:val="24"/>
                <w:szCs w:val="24"/>
              </w:rPr>
            </m:ctrlPr>
          </m:sSubPr>
          <m:e>
            <m:r>
              <w:rPr>
                <w:rFonts w:ascii="Cambria Math" w:eastAsia="Times New Roman" w:hAnsi="Cambria Math"/>
                <w:color w:val="000000" w:themeColor="text1"/>
              </w:rPr>
              <m:t>V</m:t>
            </m:r>
          </m:e>
          <m:sub>
            <m:r>
              <w:rPr>
                <w:rFonts w:ascii="Cambria Math" w:eastAsia="Times New Roman" w:hAnsi="Cambria Math"/>
                <w:color w:val="000000" w:themeColor="text1"/>
              </w:rPr>
              <m:t>temp</m:t>
            </m:r>
            <m:r>
              <m:rPr>
                <m:sty m:val="p"/>
              </m:rPr>
              <w:rPr>
                <w:rFonts w:ascii="Cambria Math" w:eastAsia="Times New Roman" w:hAnsi="Cambria Math"/>
                <w:color w:val="000000" w:themeColor="text1"/>
              </w:rPr>
              <m:t>2</m:t>
            </m:r>
          </m:sub>
        </m:sSub>
      </m:oMath>
      <w:r w:rsidR="005A2ADA">
        <w:rPr>
          <w:color w:val="000000" w:themeColor="text1"/>
          <w:sz w:val="24"/>
          <w:szCs w:val="24"/>
          <w:lang w:val="en-US"/>
        </w:rPr>
        <w:t xml:space="preserve"> </w:t>
      </w:r>
    </w:p>
    <w:p w14:paraId="192B0EF5" w14:textId="77777777" w:rsidR="009F2E1F" w:rsidRPr="00A45058" w:rsidRDefault="009F2E1F" w:rsidP="009F2E1F">
      <w:pPr>
        <w:pStyle w:val="B1"/>
        <w:rPr>
          <w:lang w:eastAsia="zh-CN"/>
        </w:rPr>
      </w:pPr>
      <w:r>
        <w:rPr>
          <w:lang w:eastAsia="zh-CN"/>
        </w:rPr>
        <w:t>end if</w:t>
      </w:r>
    </w:p>
    <w:p w14:paraId="23E9849A" w14:textId="4B90E70D" w:rsidR="009F2E1F" w:rsidRDefault="00000000" w:rsidP="009F2E1F">
      <w:pPr>
        <w:pStyle w:val="B1"/>
      </w:pPr>
      <m:oMath>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r>
              <w:rPr>
                <w:rFonts w:ascii="Cambria Math"/>
              </w:rPr>
              <m:t>i</m:t>
            </m:r>
          </m:sub>
          <m:sup>
            <m:r>
              <w:rPr>
                <w:rFonts w:ascii="Cambria Math"/>
              </w:rPr>
              <m:t>ACK</m:t>
            </m:r>
          </m:sup>
        </m:sSubSup>
        <m:r>
          <w:rPr>
            <w:rFonts w:ascii="Cambria Math" w:hAnsi="Cambria Math"/>
          </w:rPr>
          <m:t>=</m:t>
        </m:r>
        <m:r>
          <m:rPr>
            <m:sty m:val="p"/>
          </m:rPr>
          <w:rPr>
            <w:rFonts w:ascii="Cambria Math" w:hAnsi="Cambria Math"/>
          </w:rPr>
          <m:t>NACK</m:t>
        </m:r>
      </m:oMath>
      <w:r w:rsidR="009F2E1F" w:rsidRPr="00B916EC">
        <w:rPr>
          <w:rFonts w:hint="eastAsia"/>
          <w:lang w:eastAsia="zh-CN"/>
        </w:rPr>
        <w:t xml:space="preserve"> for any </w:t>
      </w:r>
      <m:oMath>
        <m:r>
          <w:rPr>
            <w:rFonts w:ascii="Cambria Math" w:hAnsi="Cambria Math"/>
          </w:rPr>
          <m:t>i∈</m:t>
        </m:r>
        <m:d>
          <m:dPr>
            <m:begChr m:val="{"/>
            <m:endChr m:val="}"/>
            <m:ctrlPr>
              <w:rPr>
                <w:rFonts w:ascii="Cambria Math" w:hAnsi="Cambria Math"/>
                <w:i/>
              </w:rPr>
            </m:ctrlPr>
          </m:dPr>
          <m:e>
            <m:r>
              <w:rPr>
                <w:rFonts w:ascii="Cambria Math" w:hAnsi="Cambria Math"/>
              </w:rPr>
              <m:t>0,1,⋯,</m:t>
            </m:r>
            <m:sSup>
              <m:sSupPr>
                <m:ctrlPr>
                  <w:rPr>
                    <w:rFonts w:ascii="Cambria Math" w:hAnsi="Cambria Math"/>
                    <w:lang w:eastAsia="zh-CN"/>
                  </w:rPr>
                </m:ctrlPr>
              </m:sSupPr>
              <m:e>
                <m:r>
                  <w:rPr>
                    <w:rFonts w:ascii="Cambria Math" w:hAnsi="Cambria Math"/>
                    <w:lang w:eastAsia="zh-CN"/>
                  </w:rPr>
                  <m:t>O</m:t>
                </m:r>
              </m:e>
              <m:sup>
                <m:r>
                  <w:rPr>
                    <w:rFonts w:ascii="Cambria Math" w:hAnsi="Cambria Math"/>
                    <w:lang w:eastAsia="zh-CN"/>
                  </w:rPr>
                  <m:t>ACK</m:t>
                </m:r>
              </m:sup>
            </m:sSup>
            <m:r>
              <w:rPr>
                <w:rFonts w:ascii="Cambria Math" w:hAnsi="Cambria Math"/>
                <w:lang w:eastAsia="zh-CN"/>
              </w:rPr>
              <m:t>-1</m:t>
            </m:r>
          </m:e>
        </m:d>
        <m:r>
          <w:rPr>
            <w:rFonts w:ascii="Cambria Math" w:hAnsi="Cambria Math"/>
          </w:rPr>
          <m: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s</m:t>
            </m:r>
          </m:sub>
        </m:sSub>
      </m:oMath>
    </w:p>
    <w:p w14:paraId="27926E69" w14:textId="08FE5A3E" w:rsidR="00C968B6" w:rsidRPr="00EB7C22" w:rsidRDefault="00C968B6" w:rsidP="00C968B6">
      <w:pPr>
        <w:rPr>
          <w:lang w:eastAsia="zh-CN"/>
        </w:rPr>
      </w:pPr>
      <w:r w:rsidRPr="00EB7C22">
        <w:t xml:space="preserve">If </w:t>
      </w:r>
      <w:r w:rsidRPr="00EB7C22">
        <w:rPr>
          <w:lang w:eastAsia="zh-CN"/>
        </w:rPr>
        <w:t>a</w:t>
      </w:r>
      <w:r w:rsidRPr="00EB7C22">
        <w:t xml:space="preserve"> UE is configured to receive SPS PDSCH</w:t>
      </w:r>
      <w:r w:rsidR="00B35D84" w:rsidRPr="006B30F9">
        <w:t>, the SPS PDSCH does not overlap</w:t>
      </w:r>
      <w:r w:rsidR="00B35D84" w:rsidRPr="006B30F9">
        <w:rPr>
          <w:lang w:eastAsia="zh-CN"/>
        </w:rPr>
        <w:t xml:space="preserve"> with a non-active period of cell DTX</w:t>
      </w:r>
      <w:r w:rsidR="00B35D84" w:rsidRPr="006B30F9">
        <w:t xml:space="preserve"> </w:t>
      </w:r>
      <w:r w:rsidR="00B35D84" w:rsidRPr="006B30F9">
        <w:rPr>
          <w:lang w:eastAsia="zh-CN"/>
        </w:rPr>
        <w:t>for a serving cell of the SPS PDSCH reception if cell DTX is activated for the serving cell,</w:t>
      </w:r>
      <w:r w:rsidRPr="00EB7C22">
        <w:rPr>
          <w:lang w:eastAsia="zh-CN"/>
        </w:rPr>
        <w:t xml:space="preserve"> and </w:t>
      </w:r>
      <w:r w:rsidRPr="00EB7C22">
        <w:rPr>
          <w:rFonts w:hint="eastAsia"/>
          <w:lang w:eastAsia="zh-CN"/>
        </w:rPr>
        <w:t xml:space="preserve">the UE multiplexes </w:t>
      </w:r>
      <w:r w:rsidRPr="00EB7C22">
        <w:rPr>
          <w:lang w:eastAsia="zh-CN"/>
        </w:rPr>
        <w:t xml:space="preserve">HARQ-ACK information for </w:t>
      </w:r>
      <w:r>
        <w:rPr>
          <w:lang w:eastAsia="zh-CN"/>
        </w:rPr>
        <w:t>one</w:t>
      </w:r>
      <w:r w:rsidRPr="00EB7C22">
        <w:rPr>
          <w:lang w:eastAsia="zh-CN"/>
        </w:rPr>
        <w:t xml:space="preserve"> activated SPS PDSCH reception</w:t>
      </w:r>
      <w:r w:rsidR="00EA76E2" w:rsidRPr="00671F3E">
        <w:rPr>
          <w:lang w:eastAsia="zh-CN"/>
        </w:rPr>
        <w:t xml:space="preserve"> </w:t>
      </w:r>
      <w:r w:rsidR="00E83236">
        <w:rPr>
          <w:lang w:val="en-US" w:eastAsia="zh-CN"/>
        </w:rPr>
        <w:t>that provides transport block with enabled HARQ-ACK information report</w:t>
      </w:r>
      <w:r w:rsidR="00280145">
        <w:rPr>
          <w:lang w:eastAsia="zh-CN"/>
        </w:rPr>
        <w:t xml:space="preserve">, </w:t>
      </w:r>
      <w:r w:rsidR="00280145" w:rsidRPr="00383285">
        <w:rPr>
          <w:lang w:eastAsia="zh-CN"/>
        </w:rPr>
        <w:t>including the ones associated with the corresponding activation DCI</w:t>
      </w:r>
      <w:r w:rsidR="00280145">
        <w:rPr>
          <w:lang w:eastAsia="zh-CN"/>
        </w:rPr>
        <w:t>,</w:t>
      </w:r>
      <w:r w:rsidRPr="00EB7C22">
        <w:rPr>
          <w:lang w:eastAsia="zh-CN"/>
        </w:rPr>
        <w:t xml:space="preserve"> </w:t>
      </w:r>
      <w:r w:rsidRPr="00EB7C22">
        <w:rPr>
          <w:rFonts w:hint="eastAsia"/>
          <w:lang w:eastAsia="zh-CN"/>
        </w:rPr>
        <w:t>in</w:t>
      </w:r>
      <w:r w:rsidRPr="00EB7C22">
        <w:t xml:space="preserve"> </w:t>
      </w:r>
      <w:r>
        <w:t>the</w:t>
      </w:r>
      <w:r w:rsidRPr="00EB7C22">
        <w:t xml:space="preserve"> PUCCH in slot </w:t>
      </w:r>
      <m:oMath>
        <m:r>
          <w:rPr>
            <w:rFonts w:ascii="Cambria Math" w:hAnsi="Cambria Math" w:cs="Arial"/>
            <w:lang w:eastAsia="zh-CN"/>
          </w:rPr>
          <m:t>n</m:t>
        </m:r>
      </m:oMath>
      <w:r w:rsidRPr="00EB7C22">
        <w:t xml:space="preserve">, the UE generates </w:t>
      </w:r>
      <w:r>
        <w:rPr>
          <w:lang w:eastAsia="zh-CN"/>
        </w:rPr>
        <w:t>one</w:t>
      </w:r>
      <w:r w:rsidRPr="00EB7C22">
        <w:rPr>
          <w:lang w:eastAsia="zh-CN"/>
        </w:rPr>
        <w:t xml:space="preserve"> </w:t>
      </w:r>
      <w:r w:rsidRPr="00EB7C22">
        <w:t xml:space="preserve">HARQ-ACK information </w:t>
      </w:r>
      <w:r>
        <w:t xml:space="preserve">bit </w:t>
      </w:r>
      <w:r w:rsidRPr="00EB7C22">
        <w:rPr>
          <w:lang w:eastAsia="zh-CN"/>
        </w:rPr>
        <w:t xml:space="preserve">associated with the SPS PDSCH reception </w:t>
      </w:r>
      <w:r w:rsidRPr="00EB7C22">
        <w:t xml:space="preserve">and appends it to the </w:t>
      </w:r>
      <m:oMath>
        <m:sSup>
          <m:sSupPr>
            <m:ctrlPr>
              <w:rPr>
                <w:rFonts w:ascii="Cambria Math" w:hAnsi="Cambria Math"/>
                <w:i/>
              </w:rPr>
            </m:ctrlPr>
          </m:sSupPr>
          <m:e>
            <m:r>
              <w:rPr>
                <w:rFonts w:ascii="Cambria Math" w:hAnsi="Cambria Math"/>
              </w:rPr>
              <m:t>O</m:t>
            </m:r>
          </m:e>
          <m:sup>
            <m:r>
              <w:rPr>
                <w:rFonts w:ascii="Cambria Math" w:hAnsi="Cambria Math"/>
              </w:rPr>
              <m:t>ACK</m:t>
            </m:r>
          </m:sup>
        </m:sSup>
      </m:oMath>
      <w:r w:rsidRPr="00EB7C22">
        <w:rPr>
          <w:lang w:eastAsia="zh-CN"/>
        </w:rPr>
        <w:t xml:space="preserve"> HARQ-ACK information bits.</w:t>
      </w:r>
    </w:p>
    <w:p w14:paraId="7E8C035C" w14:textId="59C503FA" w:rsidR="0024419F" w:rsidRDefault="0024419F" w:rsidP="0024419F">
      <w:pPr>
        <w:rPr>
          <w:lang w:val="en-US"/>
        </w:rPr>
      </w:pPr>
      <w:r>
        <w:rPr>
          <w:lang w:val="en-US"/>
        </w:rPr>
        <w:t xml:space="preserve">If a UE </w:t>
      </w:r>
      <w:r w:rsidR="00C968B6">
        <w:rPr>
          <w:lang w:val="en-US"/>
        </w:rPr>
        <w:t xml:space="preserve">is configured to receive SPS PDSCH </w:t>
      </w:r>
      <w:r>
        <w:rPr>
          <w:lang w:val="en-US"/>
        </w:rPr>
        <w:t xml:space="preserve">and the UE multiplexes HARQ-ACK information </w:t>
      </w:r>
      <w:r w:rsidR="00C968B6">
        <w:rPr>
          <w:lang w:val="en-US"/>
        </w:rPr>
        <w:t>for multiple activated SPS PDSCH receptions</w:t>
      </w:r>
      <w:r w:rsidR="00280145">
        <w:rPr>
          <w:lang w:eastAsia="zh-CN"/>
        </w:rPr>
        <w:t xml:space="preserve">, </w:t>
      </w:r>
      <w:r w:rsidR="00280145" w:rsidRPr="00383285">
        <w:rPr>
          <w:lang w:eastAsia="zh-CN"/>
        </w:rPr>
        <w:t>including the ones associated with the corresponding activation DCI</w:t>
      </w:r>
      <w:r w:rsidR="00EA76E2" w:rsidRPr="00C96B39">
        <w:rPr>
          <w:lang w:val="en-US" w:eastAsia="zh-CN"/>
        </w:rPr>
        <w:t xml:space="preserve"> </w:t>
      </w:r>
      <w:r w:rsidR="00EA76E2">
        <w:rPr>
          <w:lang w:val="en-US" w:eastAsia="zh-CN"/>
        </w:rPr>
        <w:t xml:space="preserve">and excluding the ones that provide only transport blocks </w:t>
      </w:r>
      <w:r w:rsidR="00E83236">
        <w:rPr>
          <w:lang w:val="en-US" w:eastAsia="zh-CN"/>
        </w:rPr>
        <w:t>with disabled HARQ-ACK information report</w:t>
      </w:r>
      <w:r w:rsidR="00280145">
        <w:rPr>
          <w:lang w:eastAsia="zh-CN"/>
        </w:rPr>
        <w:t>,</w:t>
      </w:r>
      <w:r w:rsidR="00C968B6">
        <w:rPr>
          <w:lang w:val="en-US"/>
        </w:rPr>
        <w:t xml:space="preserve"> </w:t>
      </w:r>
      <w:r>
        <w:rPr>
          <w:lang w:val="en-US"/>
        </w:rPr>
        <w:t xml:space="preserve">in the PUCCH in slot </w:t>
      </w:r>
      <m:oMath>
        <m:r>
          <w:rPr>
            <w:rFonts w:ascii="Cambria Math" w:hAnsi="Cambria Math" w:cs="Arial"/>
            <w:lang w:eastAsia="zh-CN"/>
          </w:rPr>
          <m:t>n</m:t>
        </m:r>
      </m:oMath>
      <w:r>
        <w:rPr>
          <w:lang w:val="en-US"/>
        </w:rPr>
        <w:t xml:space="preserve">, the UE generates the HARQ-ACK information as described </w:t>
      </w:r>
      <w:r w:rsidR="006F5F9E">
        <w:rPr>
          <w:lang w:val="en-US"/>
        </w:rPr>
        <w:t>in clause</w:t>
      </w:r>
      <w:r>
        <w:rPr>
          <w:lang w:val="en-US"/>
        </w:rPr>
        <w:t xml:space="preserve"> 9.1.2 and appends it to the </w:t>
      </w:r>
      <m:oMath>
        <m:sSup>
          <m:sSupPr>
            <m:ctrlPr>
              <w:rPr>
                <w:rFonts w:ascii="Cambria Math" w:hAnsi="Cambria Math"/>
                <w:i/>
              </w:rPr>
            </m:ctrlPr>
          </m:sSupPr>
          <m:e>
            <m:r>
              <w:rPr>
                <w:rFonts w:ascii="Cambria Math" w:hAnsi="Cambria Math"/>
              </w:rPr>
              <m:t>O</m:t>
            </m:r>
          </m:e>
          <m:sup>
            <m:r>
              <w:rPr>
                <w:rFonts w:ascii="Cambria Math" w:hAnsi="Cambria Math"/>
              </w:rPr>
              <m:t>ACK</m:t>
            </m:r>
          </m:sup>
        </m:sSup>
      </m:oMath>
      <w:r>
        <w:rPr>
          <w:lang w:eastAsia="zh-CN"/>
        </w:rPr>
        <w:t xml:space="preserve"> HARQ-ACK information bits.</w:t>
      </w:r>
    </w:p>
    <w:p w14:paraId="109649BA" w14:textId="77777777" w:rsidR="00916D81" w:rsidRPr="00F415B1" w:rsidRDefault="00916D81" w:rsidP="00916D81">
      <w:pPr>
        <w:rPr>
          <w:lang w:eastAsia="zh-CN"/>
        </w:rPr>
      </w:pPr>
      <w:r w:rsidRPr="00F415B1">
        <w:rPr>
          <w:lang w:eastAsia="zh-CN"/>
        </w:rPr>
        <w:t>The UE generates HARQ-ACK information with ACK value in response to a detection of a DCI format that does not trigger a Type-3 HARQ-ACK codebook report</w:t>
      </w:r>
      <w:r w:rsidRPr="00F415B1">
        <w:rPr>
          <w:lang w:val="en-US" w:eastAsia="zh-CN"/>
        </w:rPr>
        <w:t xml:space="preserve"> and has associated HARQ-ACK information without scheduling a PDSCH reception</w:t>
      </w:r>
      <w:r w:rsidRPr="00F415B1">
        <w:rPr>
          <w:lang w:eastAsia="zh-CN"/>
        </w:rPr>
        <w:t xml:space="preserve">. </w:t>
      </w:r>
    </w:p>
    <w:p w14:paraId="542D0708" w14:textId="3C241667" w:rsidR="006B45F9" w:rsidRDefault="006B45F9" w:rsidP="006B45F9">
      <w:pPr>
        <w:rPr>
          <w:lang w:val="en-US" w:eastAsia="zh-CN"/>
        </w:rPr>
      </w:pPr>
      <w:r w:rsidRPr="00B916EC">
        <w:rPr>
          <w:lang w:val="en-US"/>
        </w:rPr>
        <w:t>For</w:t>
      </w:r>
      <w:r w:rsidR="00F9209E" w:rsidRPr="00B916EC">
        <w:rPr>
          <w:rFonts w:hint="eastAsia"/>
          <w:lang w:val="en-US" w:eastAsia="zh-CN"/>
        </w:rPr>
        <w:t xml:space="preserve"> a</w:t>
      </w:r>
      <w:r w:rsidR="00DF30C4" w:rsidRPr="00DF30C4">
        <w:rPr>
          <w:lang w:val="en-US" w:eastAsia="zh-CN"/>
        </w:rPr>
        <w:t xml:space="preserve"> </w:t>
      </w:r>
      <w:r w:rsidR="00DF30C4">
        <w:rPr>
          <w:lang w:val="en-US" w:eastAsia="zh-CN"/>
        </w:rPr>
        <w:t>PDCCH</w:t>
      </w:r>
      <w:r w:rsidRPr="00B916EC">
        <w:rPr>
          <w:rFonts w:hint="eastAsia"/>
          <w:lang w:val="en-US" w:eastAsia="zh-CN"/>
        </w:rPr>
        <w:t xml:space="preserve"> </w:t>
      </w:r>
      <w:r w:rsidRPr="00B916EC">
        <w:rPr>
          <w:lang w:val="en-US" w:eastAsia="zh-CN"/>
        </w:rPr>
        <w:t xml:space="preserve">monitoring occasion with DCI format </w:t>
      </w:r>
      <w:r w:rsidR="00202B16" w:rsidRPr="00EE027F">
        <w:rPr>
          <w:rFonts w:hint="eastAsia"/>
          <w:lang w:val="en-US" w:eastAsia="zh-CN"/>
        </w:rPr>
        <w:t xml:space="preserve">scheduling PDSCH </w:t>
      </w:r>
      <w:r w:rsidR="00202B16" w:rsidRPr="00EE027F">
        <w:rPr>
          <w:lang w:val="en-US" w:eastAsia="zh-CN"/>
        </w:rPr>
        <w:t>reception</w:t>
      </w:r>
      <w:r w:rsidR="00510FD4">
        <w:rPr>
          <w:lang w:val="en-US" w:eastAsia="zh-CN"/>
        </w:rPr>
        <w:t>,</w:t>
      </w:r>
      <w:r w:rsidR="00202B16" w:rsidRPr="00EE027F">
        <w:rPr>
          <w:lang w:val="en-US" w:eastAsia="zh-CN"/>
        </w:rPr>
        <w:t xml:space="preserve"> or </w:t>
      </w:r>
      <w:r w:rsidR="00510FD4">
        <w:rPr>
          <w:lang w:val="en-US" w:eastAsia="zh-CN"/>
        </w:rPr>
        <w:t>having associated</w:t>
      </w:r>
      <w:r w:rsidR="00510FD4" w:rsidRPr="00B27E56">
        <w:rPr>
          <w:lang w:val="en-US" w:eastAsia="zh-CN"/>
        </w:rPr>
        <w:t xml:space="preserve"> HARQ-ACK information without scheduling a PDSCH reception,</w:t>
      </w:r>
      <w:r w:rsidR="007C55C0">
        <w:rPr>
          <w:rFonts w:hint="eastAsia"/>
          <w:lang w:val="en-US" w:eastAsia="zh-CN"/>
        </w:rPr>
        <w:t xml:space="preserve"> </w:t>
      </w:r>
      <w:r w:rsidR="00783ECC" w:rsidRPr="00B916EC">
        <w:rPr>
          <w:lang w:val="en-US" w:eastAsia="zh-CN"/>
        </w:rPr>
        <w:t xml:space="preserve">in </w:t>
      </w:r>
      <w:r w:rsidR="00DF30C4">
        <w:rPr>
          <w:lang w:val="en-US" w:eastAsia="zh-CN"/>
        </w:rPr>
        <w:t>the active DL BWP of a</w:t>
      </w:r>
      <w:r w:rsidR="00783ECC" w:rsidRPr="00B916EC">
        <w:rPr>
          <w:lang w:val="en-US" w:eastAsia="zh-CN"/>
        </w:rPr>
        <w:t xml:space="preserve"> serving cell</w:t>
      </w:r>
      <w:r w:rsidRPr="00B916EC">
        <w:rPr>
          <w:rFonts w:hint="eastAsia"/>
          <w:lang w:val="en-US" w:eastAsia="zh-CN"/>
        </w:rPr>
        <w:t>, when</w:t>
      </w:r>
      <w:r w:rsidR="00F9209E" w:rsidRPr="00B916EC">
        <w:rPr>
          <w:lang w:val="en-US" w:eastAsia="zh-CN"/>
        </w:rPr>
        <w:t xml:space="preserve"> a</w:t>
      </w:r>
      <w:r w:rsidRPr="00B916EC">
        <w:rPr>
          <w:lang w:val="en-US" w:eastAsia="zh-CN"/>
        </w:rPr>
        <w:t xml:space="preserve"> UE receives a PDSCH with </w:t>
      </w:r>
      <w:r w:rsidRPr="00B916EC">
        <w:rPr>
          <w:rFonts w:hint="eastAsia"/>
          <w:lang w:val="en-US" w:eastAsia="zh-CN"/>
        </w:rPr>
        <w:t>one transport block</w:t>
      </w:r>
      <w:r w:rsidR="00510FD4">
        <w:rPr>
          <w:lang w:val="en-US" w:eastAsia="zh-CN"/>
        </w:rPr>
        <w:t>,</w:t>
      </w:r>
      <w:r w:rsidR="0014555D">
        <w:rPr>
          <w:lang w:val="en-US" w:eastAsia="zh-CN"/>
        </w:rPr>
        <w:t xml:space="preserve"> </w:t>
      </w:r>
      <w:r w:rsidR="00511D2E">
        <w:rPr>
          <w:rFonts w:hint="eastAsia"/>
          <w:lang w:val="en-US" w:eastAsia="zh-CN"/>
        </w:rPr>
        <w:t>or</w:t>
      </w:r>
      <w:r w:rsidR="00916D81">
        <w:rPr>
          <w:lang w:val="en-US" w:eastAsia="zh-CN"/>
        </w:rPr>
        <w:t xml:space="preserve"> detects</w:t>
      </w:r>
      <w:r w:rsidR="00511D2E">
        <w:rPr>
          <w:rFonts w:hint="eastAsia"/>
          <w:lang w:val="en-US" w:eastAsia="zh-CN"/>
        </w:rPr>
        <w:t xml:space="preserve"> a </w:t>
      </w:r>
      <w:r w:rsidR="00510FD4" w:rsidRPr="00B27E56">
        <w:rPr>
          <w:lang w:val="en-US" w:eastAsia="zh-CN"/>
        </w:rPr>
        <w:t xml:space="preserve">DCI format </w:t>
      </w:r>
      <w:r w:rsidR="00510FD4">
        <w:rPr>
          <w:lang w:val="en-US" w:eastAsia="zh-CN"/>
        </w:rPr>
        <w:t>having associated</w:t>
      </w:r>
      <w:r w:rsidR="00510FD4" w:rsidRPr="00B27E56">
        <w:rPr>
          <w:lang w:val="en-US" w:eastAsia="zh-CN"/>
        </w:rPr>
        <w:t xml:space="preserve"> HARQ-ACK information without scheduling PDSCH reception,</w:t>
      </w:r>
      <w:r w:rsidR="007C55C0">
        <w:rPr>
          <w:lang w:val="en-US" w:eastAsia="zh-CN"/>
        </w:rPr>
        <w:t xml:space="preserve"> </w:t>
      </w:r>
      <w:r w:rsidR="0014555D">
        <w:rPr>
          <w:lang w:val="en-US"/>
        </w:rPr>
        <w:t xml:space="preserve">and the value of </w:t>
      </w:r>
      <w:r w:rsidR="00DF30C4" w:rsidRPr="00435CFD">
        <w:rPr>
          <w:i/>
        </w:rPr>
        <w:t>maxNrofCodeWordsScheduledByDCI</w:t>
      </w:r>
      <w:r w:rsidR="0014555D" w:rsidRPr="00B916EC">
        <w:rPr>
          <w:rFonts w:cs="Arial"/>
          <w:lang w:eastAsia="zh-CN"/>
        </w:rPr>
        <w:t xml:space="preserve"> </w:t>
      </w:r>
      <w:r w:rsidR="0014555D">
        <w:rPr>
          <w:rFonts w:cs="Arial"/>
          <w:lang w:val="en-US" w:eastAsia="zh-CN"/>
        </w:rPr>
        <w:t>is 2</w:t>
      </w:r>
      <w:r w:rsidR="00C27336">
        <w:rPr>
          <w:rFonts w:cs="Arial"/>
          <w:lang w:val="en-US" w:eastAsia="zh-CN"/>
        </w:rPr>
        <w:t xml:space="preserve"> </w:t>
      </w:r>
      <w:r w:rsidR="00C27336">
        <w:rPr>
          <w:lang w:val="en-US" w:eastAsia="zh-CN"/>
        </w:rPr>
        <w:t>for</w:t>
      </w:r>
      <w:r w:rsidR="00C27336" w:rsidRPr="00551526">
        <w:rPr>
          <w:rFonts w:hint="eastAsia"/>
          <w:lang w:eastAsia="zh-CN"/>
        </w:rPr>
        <w:t xml:space="preserve"> at least one configured </w:t>
      </w:r>
      <w:r w:rsidR="00C27336" w:rsidRPr="00551526">
        <w:rPr>
          <w:rFonts w:cs="Arial"/>
          <w:lang w:eastAsia="zh-CN"/>
        </w:rPr>
        <w:t xml:space="preserve">DL </w:t>
      </w:r>
      <w:r w:rsidR="00C27336" w:rsidRPr="00551526">
        <w:rPr>
          <w:rFonts w:cs="Arial"/>
          <w:lang w:eastAsia="zh-CN"/>
        </w:rPr>
        <w:lastRenderedPageBreak/>
        <w:t xml:space="preserve">BWP of </w:t>
      </w:r>
      <w:r w:rsidR="00C27336">
        <w:rPr>
          <w:rFonts w:cs="Arial"/>
          <w:lang w:eastAsia="zh-CN"/>
        </w:rPr>
        <w:t xml:space="preserve">at least one </w:t>
      </w:r>
      <w:r w:rsidR="00C27336" w:rsidRPr="00551526">
        <w:rPr>
          <w:rFonts w:hint="eastAsia"/>
          <w:lang w:eastAsia="zh-CN"/>
        </w:rPr>
        <w:t>serving cell</w:t>
      </w:r>
      <w:r w:rsidRPr="00B916EC">
        <w:rPr>
          <w:lang w:val="en-US" w:eastAsia="zh-CN"/>
        </w:rPr>
        <w:t>,</w:t>
      </w:r>
      <w:r w:rsidRPr="00B916EC">
        <w:rPr>
          <w:rFonts w:hint="eastAsia"/>
          <w:lang w:val="en-US" w:eastAsia="zh-CN"/>
        </w:rPr>
        <w:t xml:space="preserve"> the </w:t>
      </w:r>
      <w:r w:rsidR="00783ECC" w:rsidRPr="00B916EC">
        <w:rPr>
          <w:rFonts w:hint="eastAsia"/>
          <w:lang w:val="en-US" w:eastAsia="zh-CN"/>
        </w:rPr>
        <w:t xml:space="preserve">HARQ-ACK </w:t>
      </w:r>
      <w:r w:rsidR="00DF30C4">
        <w:rPr>
          <w:lang w:val="en-US" w:eastAsia="zh-CN"/>
        </w:rPr>
        <w:t>information</w:t>
      </w:r>
      <w:r w:rsidR="00783ECC" w:rsidRPr="00B916EC">
        <w:rPr>
          <w:rFonts w:hint="eastAsia"/>
          <w:lang w:val="en-US" w:eastAsia="zh-CN"/>
        </w:rPr>
        <w:t xml:space="preserve"> </w:t>
      </w:r>
      <w:r w:rsidR="00783ECC" w:rsidRPr="00B916EC">
        <w:rPr>
          <w:lang w:val="en-US" w:eastAsia="zh-CN"/>
        </w:rPr>
        <w:t xml:space="preserve">is </w:t>
      </w:r>
      <w:r w:rsidR="00783ECC" w:rsidRPr="00B916EC">
        <w:rPr>
          <w:rFonts w:hint="eastAsia"/>
          <w:lang w:val="en-US" w:eastAsia="zh-CN"/>
        </w:rPr>
        <w:t xml:space="preserve">associated with the first transport block and the </w:t>
      </w:r>
      <w:r w:rsidRPr="00B916EC">
        <w:rPr>
          <w:rFonts w:hint="eastAsia"/>
          <w:lang w:val="en-US" w:eastAsia="zh-CN"/>
        </w:rPr>
        <w:t>UE generate</w:t>
      </w:r>
      <w:r w:rsidRPr="00B916EC">
        <w:rPr>
          <w:lang w:val="en-US" w:eastAsia="zh-CN"/>
        </w:rPr>
        <w:t>s</w:t>
      </w:r>
      <w:r w:rsidRPr="00B916EC">
        <w:rPr>
          <w:rFonts w:hint="eastAsia"/>
          <w:lang w:val="en-US" w:eastAsia="zh-CN"/>
        </w:rPr>
        <w:t xml:space="preserve"> a NACK for the second transport block if </w:t>
      </w:r>
      <w:r w:rsidR="00DF30C4" w:rsidRPr="00435CFD">
        <w:rPr>
          <w:i/>
        </w:rPr>
        <w:t>harq-ACK-SpatialBundlingPUCCH</w:t>
      </w:r>
      <w:r w:rsidR="00DF30C4" w:rsidRPr="00B916EC">
        <w:rPr>
          <w:rFonts w:hint="eastAsia"/>
          <w:lang w:eastAsia="zh-CN"/>
        </w:rPr>
        <w:t xml:space="preserve"> </w:t>
      </w:r>
      <w:r w:rsidR="00DF30C4">
        <w:rPr>
          <w:lang w:val="en-US" w:eastAsia="zh-CN"/>
        </w:rPr>
        <w:t>is not provided</w:t>
      </w:r>
      <w:r w:rsidRPr="00B916EC">
        <w:rPr>
          <w:lang w:val="en-US" w:eastAsia="zh-CN"/>
        </w:rPr>
        <w:t xml:space="preserve"> </w:t>
      </w:r>
      <w:r w:rsidRPr="00B916EC">
        <w:rPr>
          <w:rFonts w:hint="eastAsia"/>
          <w:lang w:val="en-US" w:eastAsia="zh-CN"/>
        </w:rPr>
        <w:t>and generate</w:t>
      </w:r>
      <w:r w:rsidRPr="00B916EC">
        <w:rPr>
          <w:lang w:val="en-US" w:eastAsia="zh-CN"/>
        </w:rPr>
        <w:t>s</w:t>
      </w:r>
      <w:r w:rsidRPr="00B916EC">
        <w:rPr>
          <w:rFonts w:hint="eastAsia"/>
          <w:lang w:val="en-US" w:eastAsia="zh-CN"/>
        </w:rPr>
        <w:t xml:space="preserve"> HARQ-ACK</w:t>
      </w:r>
      <w:r w:rsidR="00DF30C4" w:rsidRPr="00DF30C4">
        <w:rPr>
          <w:lang w:val="en-US" w:eastAsia="zh-CN"/>
        </w:rPr>
        <w:t xml:space="preserve"> </w:t>
      </w:r>
      <w:r w:rsidR="00DF30C4">
        <w:rPr>
          <w:lang w:val="en-US" w:eastAsia="zh-CN"/>
        </w:rPr>
        <w:t>information with</w:t>
      </w:r>
      <w:r w:rsidRPr="00B916EC">
        <w:rPr>
          <w:rFonts w:hint="eastAsia"/>
          <w:lang w:val="en-US" w:eastAsia="zh-CN"/>
        </w:rPr>
        <w:t xml:space="preserve"> value </w:t>
      </w:r>
      <w:r w:rsidR="00CA7032">
        <w:rPr>
          <w:lang w:val="en-US" w:eastAsia="zh-CN"/>
        </w:rPr>
        <w:t xml:space="preserve">of ACK </w:t>
      </w:r>
      <w:r w:rsidRPr="00B916EC">
        <w:rPr>
          <w:rFonts w:hint="eastAsia"/>
          <w:lang w:val="en-US" w:eastAsia="zh-CN"/>
        </w:rPr>
        <w:t xml:space="preserve">for the second </w:t>
      </w:r>
      <w:r w:rsidRPr="00B916EC">
        <w:rPr>
          <w:lang w:val="en-US" w:eastAsia="zh-CN"/>
        </w:rPr>
        <w:t>transport block</w:t>
      </w:r>
      <w:r w:rsidRPr="00B916EC">
        <w:rPr>
          <w:rFonts w:hint="eastAsia"/>
          <w:lang w:val="en-US" w:eastAsia="zh-CN"/>
        </w:rPr>
        <w:t xml:space="preserve"> if </w:t>
      </w:r>
      <w:r w:rsidR="003A470A" w:rsidRPr="00435CFD">
        <w:rPr>
          <w:i/>
        </w:rPr>
        <w:t>harq-ACK-SpatialBundlingPUCCH</w:t>
      </w:r>
      <w:r w:rsidR="003A470A" w:rsidRPr="00B916EC">
        <w:rPr>
          <w:rFonts w:hint="eastAsia"/>
          <w:lang w:eastAsia="zh-CN"/>
        </w:rPr>
        <w:t xml:space="preserve"> </w:t>
      </w:r>
      <w:r w:rsidR="003A470A">
        <w:rPr>
          <w:lang w:val="en-US" w:eastAsia="zh-CN"/>
        </w:rPr>
        <w:t>is provided</w:t>
      </w:r>
      <w:r w:rsidRPr="00B916EC">
        <w:rPr>
          <w:rFonts w:hint="eastAsia"/>
          <w:lang w:val="en-US" w:eastAsia="zh-CN"/>
        </w:rPr>
        <w:t>.</w:t>
      </w:r>
      <w:r w:rsidRPr="00B916EC">
        <w:rPr>
          <w:lang w:val="en-US" w:eastAsia="zh-CN"/>
        </w:rPr>
        <w:t xml:space="preserve"> </w:t>
      </w:r>
    </w:p>
    <w:p w14:paraId="1C32B6C5" w14:textId="77777777" w:rsidR="00C0619D" w:rsidRDefault="00522C35" w:rsidP="00522C35">
      <w:pPr>
        <w:rPr>
          <w:lang w:val="en-US" w:eastAsia="zh-CN"/>
        </w:rPr>
      </w:pPr>
      <w:bookmarkStart w:id="491" w:name="_Hlk91147166"/>
      <w:r>
        <w:rPr>
          <w:lang w:val="en-US" w:eastAsia="zh-CN"/>
        </w:rPr>
        <w:t xml:space="preserve">If a UE is </w:t>
      </w:r>
    </w:p>
    <w:p w14:paraId="67026109" w14:textId="1BC1F310" w:rsidR="00C669D9" w:rsidRPr="00E96582" w:rsidRDefault="00C669D9" w:rsidP="00C669D9">
      <w:pPr>
        <w:pStyle w:val="B1"/>
        <w:rPr>
          <w:iCs/>
          <w:lang w:val="en-US"/>
        </w:rPr>
      </w:pPr>
      <w:r w:rsidRPr="00B06CC2">
        <w:rPr>
          <w:rFonts w:cs="Arial"/>
          <w:lang w:eastAsia="zh-CN"/>
        </w:rPr>
        <w:t>-</w:t>
      </w:r>
      <w:r w:rsidRPr="00B06CC2">
        <w:rPr>
          <w:rFonts w:cs="Arial"/>
          <w:lang w:eastAsia="zh-CN"/>
        </w:rPr>
        <w:tab/>
      </w:r>
      <w:r>
        <w:rPr>
          <w:lang w:val="en-US" w:eastAsia="zh-CN"/>
        </w:rPr>
        <w:t xml:space="preserve">not provided </w:t>
      </w:r>
      <w:r w:rsidRPr="00221BBC">
        <w:rPr>
          <w:i/>
        </w:rPr>
        <w:t>PDSCH-CodeBlockGroupTransmission</w:t>
      </w:r>
      <w:r>
        <w:rPr>
          <w:i/>
        </w:rPr>
        <w:t xml:space="preserve"> </w:t>
      </w:r>
      <w:r>
        <w:rPr>
          <w:iCs/>
          <w:lang w:val="en-US"/>
        </w:rPr>
        <w:t xml:space="preserve">for any serving cell, </w:t>
      </w:r>
      <w:r w:rsidR="00DD134C">
        <w:rPr>
          <w:iCs/>
          <w:lang w:val="en-US"/>
        </w:rPr>
        <w:t>and</w:t>
      </w:r>
    </w:p>
    <w:p w14:paraId="119C166B" w14:textId="50D3BD4F" w:rsidR="00C669D9" w:rsidRDefault="00C669D9" w:rsidP="00C669D9">
      <w:pPr>
        <w:pStyle w:val="B1"/>
      </w:pPr>
      <w:r w:rsidRPr="00B06CC2">
        <w:rPr>
          <w:rFonts w:cs="Arial"/>
          <w:lang w:eastAsia="zh-CN"/>
        </w:rPr>
        <w:t>-</w:t>
      </w:r>
      <w:r w:rsidRPr="00B06CC2">
        <w:rPr>
          <w:rFonts w:cs="Arial"/>
          <w:lang w:eastAsia="zh-CN"/>
        </w:rPr>
        <w:tab/>
      </w:r>
      <w:r>
        <w:rPr>
          <w:lang w:val="en-US" w:eastAsia="zh-CN"/>
        </w:rPr>
        <w:t>not provided</w:t>
      </w:r>
      <w:r>
        <w:rPr>
          <w:iCs/>
        </w:rPr>
        <w:t xml:space="preserve"> </w:t>
      </w:r>
      <w:r w:rsidR="00FA4F75">
        <w:rPr>
          <w:i/>
          <w:iCs/>
          <w:lang w:val="en-US" w:eastAsia="zh-CN"/>
        </w:rPr>
        <w:t>pdsch</w:t>
      </w:r>
      <w:r>
        <w:rPr>
          <w:i/>
          <w:iCs/>
          <w:lang w:val="en-US" w:eastAsia="zh-CN"/>
        </w:rPr>
        <w:t>-TimeDomainAllocationListForMultiPDSCH</w:t>
      </w:r>
      <w:r>
        <w:rPr>
          <w:lang w:val="en-US" w:eastAsia="zh-CN"/>
        </w:rPr>
        <w:t xml:space="preserve"> </w:t>
      </w:r>
      <w:r>
        <w:t xml:space="preserve">for </w:t>
      </w:r>
      <w:r w:rsidRPr="00B06CC2">
        <w:t>any</w:t>
      </w:r>
      <w:r>
        <w:t xml:space="preserve"> serving cell, or </w:t>
      </w:r>
      <w:r>
        <w:rPr>
          <w:lang w:val="en-US" w:eastAsia="zh-CN"/>
        </w:rPr>
        <w:t>provided</w:t>
      </w:r>
      <w:r w:rsidR="00DD134C">
        <w:rPr>
          <w:lang w:val="en-US" w:eastAsia="zh-CN"/>
        </w:rPr>
        <w:t xml:space="preserve"> </w:t>
      </w:r>
      <w:r w:rsidR="00DD134C">
        <w:rPr>
          <w:rFonts w:eastAsia="DengXian"/>
          <w:i/>
          <w:iCs/>
        </w:rPr>
        <w:t>nrofHARQ-BundlingGroups</w:t>
      </w:r>
      <w:r w:rsidR="00DD134C">
        <w:rPr>
          <w:rFonts w:eastAsia="DengXian"/>
          <w:lang w:val="en-US"/>
        </w:rPr>
        <w:t xml:space="preserve"> with value of 1 for</w:t>
      </w:r>
      <w:r w:rsidR="00DD134C">
        <w:rPr>
          <w:rFonts w:eastAsia="DengXian"/>
          <w:iCs/>
          <w:lang w:val="en-US"/>
        </w:rPr>
        <w:t xml:space="preserve"> any serving cell provided</w:t>
      </w:r>
      <w:r>
        <w:rPr>
          <w:iCs/>
        </w:rPr>
        <w:t xml:space="preserve"> </w:t>
      </w:r>
      <w:r w:rsidR="00FA4F75">
        <w:rPr>
          <w:i/>
          <w:iCs/>
          <w:lang w:val="en-US" w:eastAsia="zh-CN"/>
        </w:rPr>
        <w:t>pdsch</w:t>
      </w:r>
      <w:r>
        <w:rPr>
          <w:i/>
          <w:iCs/>
          <w:lang w:val="en-US" w:eastAsia="zh-CN"/>
        </w:rPr>
        <w:t>-TimeDomainAllocationListForMultiPDSCH</w:t>
      </w:r>
      <w:r>
        <w:rPr>
          <w:lang w:val="en-US" w:eastAsia="zh-CN"/>
        </w:rPr>
        <w:t xml:space="preserve"> </w:t>
      </w:r>
    </w:p>
    <w:p w14:paraId="5D2B697D" w14:textId="770C2123" w:rsidR="00DD134C" w:rsidRDefault="00DD134C" w:rsidP="00DD134C">
      <w:r>
        <w:t>or</w:t>
      </w:r>
    </w:p>
    <w:p w14:paraId="1048787C" w14:textId="5ED33D50" w:rsidR="00DD134C" w:rsidRPr="00DD134C" w:rsidRDefault="00DD134C" w:rsidP="00DD134C">
      <w:pPr>
        <w:pStyle w:val="B1"/>
        <w:rPr>
          <w:rFonts w:eastAsia="DengXian"/>
          <w:lang w:val="en-US" w:eastAsia="zh-CN"/>
        </w:rPr>
      </w:pPr>
      <w:r>
        <w:t>-</w:t>
      </w:r>
      <w:r>
        <w:tab/>
      </w:r>
      <w:r w:rsidR="00522C35">
        <w:t xml:space="preserve">for PDSCH receptions scheduled by a DCI format </w:t>
      </w:r>
      <w:r w:rsidR="00522C35" w:rsidRPr="00EE027F">
        <w:t>that does not support CBG-based PDSCH receptions</w:t>
      </w:r>
      <w:r>
        <w:rPr>
          <w:lang w:val="en-GB"/>
        </w:rPr>
        <w:t xml:space="preserve"> </w:t>
      </w:r>
      <w:r w:rsidRPr="00DD134C">
        <w:rPr>
          <w:rFonts w:eastAsia="DengXian"/>
          <w:lang w:val="en-US" w:eastAsia="zh-CN"/>
        </w:rPr>
        <w:t xml:space="preserve">and does not </w:t>
      </w:r>
      <w:r w:rsidRPr="00DD134C">
        <w:rPr>
          <w:rFonts w:eastAsia="DengXian" w:hint="eastAsia"/>
          <w:lang w:val="en-US" w:eastAsia="zh-CN"/>
        </w:rPr>
        <w:t>schedule more than one PDSCH reception, or</w:t>
      </w:r>
    </w:p>
    <w:p w14:paraId="145F615E" w14:textId="1191A7EA" w:rsidR="00DD134C" w:rsidRDefault="00DD134C" w:rsidP="00DD134C">
      <w:pPr>
        <w:pStyle w:val="B1"/>
        <w:rPr>
          <w:lang w:eastAsia="zh-CN"/>
        </w:rPr>
      </w:pPr>
      <w:r>
        <w:rPr>
          <w:rFonts w:eastAsia="DengXian"/>
          <w:lang w:val="en-US" w:eastAsia="zh-CN"/>
        </w:rPr>
        <w:t>-</w:t>
      </w:r>
      <w:r>
        <w:rPr>
          <w:rFonts w:eastAsia="DengXian"/>
          <w:lang w:val="en-US" w:eastAsia="zh-CN"/>
        </w:rPr>
        <w:tab/>
      </w:r>
      <w:r w:rsidRPr="00DD134C">
        <w:rPr>
          <w:rFonts w:eastAsia="DengXian" w:hint="eastAsia"/>
          <w:lang w:val="en-US" w:eastAsia="zh-CN"/>
        </w:rPr>
        <w:t>for PDSCH receptions scheduled by a DCI format on a serving cell</w:t>
      </w:r>
      <w:r w:rsidRPr="00DD134C">
        <w:rPr>
          <w:rFonts w:eastAsia="DengXian"/>
          <w:lang w:val="en-US" w:eastAsia="zh-CN"/>
        </w:rPr>
        <w:t xml:space="preserve"> when the UE is</w:t>
      </w:r>
      <w:r w:rsidRPr="00DD134C">
        <w:rPr>
          <w:rFonts w:eastAsia="DengXian" w:hint="eastAsia"/>
          <w:lang w:val="en-US" w:eastAsia="zh-CN"/>
        </w:rPr>
        <w:t xml:space="preserve"> </w:t>
      </w:r>
      <w:r w:rsidRPr="00DD134C">
        <w:rPr>
          <w:rFonts w:eastAsia="DengXian"/>
          <w:lang w:val="en-US" w:eastAsia="zh-CN"/>
        </w:rPr>
        <w:t>provided</w:t>
      </w:r>
      <w:r w:rsidRPr="00DD134C">
        <w:rPr>
          <w:rFonts w:eastAsia="DengXian" w:hint="eastAsia"/>
          <w:lang w:val="en-US" w:eastAsia="zh-CN"/>
        </w:rPr>
        <w:t xml:space="preserve"> </w:t>
      </w:r>
      <w:r w:rsidRPr="00DD134C">
        <w:rPr>
          <w:rFonts w:eastAsia="DengXian" w:hint="eastAsia"/>
          <w:i/>
          <w:iCs/>
          <w:lang w:val="en-US" w:eastAsia="zh-CN"/>
        </w:rPr>
        <w:t>nrofHARQ-BundlingGroups</w:t>
      </w:r>
      <w:r w:rsidRPr="00DD134C">
        <w:rPr>
          <w:rFonts w:eastAsia="DengXian"/>
          <w:lang w:val="en-US" w:eastAsia="zh-CN"/>
        </w:rPr>
        <w:t xml:space="preserve"> </w:t>
      </w:r>
      <w:r w:rsidRPr="00DD134C">
        <w:rPr>
          <w:rFonts w:eastAsia="DengXian" w:hint="eastAsia"/>
          <w:lang w:val="en-US" w:eastAsia="zh-CN"/>
        </w:rPr>
        <w:t>with</w:t>
      </w:r>
      <w:r w:rsidRPr="00DD134C">
        <w:rPr>
          <w:rFonts w:eastAsia="DengXian"/>
          <w:lang w:val="en-US" w:eastAsia="zh-CN"/>
        </w:rPr>
        <w:t xml:space="preserve"> value of</w:t>
      </w:r>
      <w:r w:rsidRPr="00DD134C">
        <w:rPr>
          <w:rFonts w:eastAsia="DengXian" w:hint="eastAsia"/>
          <w:lang w:val="en-US" w:eastAsia="zh-CN"/>
        </w:rPr>
        <w:t xml:space="preserve"> </w:t>
      </w:r>
      <w:r w:rsidRPr="00DD134C">
        <w:rPr>
          <w:rFonts w:eastAsia="DengXian"/>
          <w:lang w:val="en-US" w:eastAsia="zh-CN"/>
        </w:rPr>
        <w:t>1</w:t>
      </w:r>
      <w:r w:rsidR="00522C35">
        <w:rPr>
          <w:lang w:eastAsia="zh-CN"/>
        </w:rPr>
        <w:t xml:space="preserve">, or </w:t>
      </w:r>
    </w:p>
    <w:p w14:paraId="0C75CE50" w14:textId="02521607" w:rsidR="00DD134C" w:rsidRDefault="00DD134C" w:rsidP="00DD134C">
      <w:pPr>
        <w:pStyle w:val="B1"/>
        <w:rPr>
          <w:lang w:eastAsia="zh-CN"/>
        </w:rPr>
      </w:pPr>
      <w:r>
        <w:rPr>
          <w:lang w:eastAsia="zh-CN"/>
        </w:rPr>
        <w:t>-</w:t>
      </w:r>
      <w:r>
        <w:rPr>
          <w:lang w:eastAsia="zh-CN"/>
        </w:rPr>
        <w:tab/>
      </w:r>
      <w:r w:rsidR="00522C35">
        <w:rPr>
          <w:lang w:eastAsia="zh-CN"/>
        </w:rPr>
        <w:t xml:space="preserve">for SPS PDSCH reception, or </w:t>
      </w:r>
    </w:p>
    <w:p w14:paraId="5C457167" w14:textId="5231C0FD" w:rsidR="00DD134C" w:rsidRDefault="00DD134C" w:rsidP="00DD134C">
      <w:pPr>
        <w:pStyle w:val="B1"/>
        <w:rPr>
          <w:lang w:eastAsia="zh-CN"/>
        </w:rPr>
      </w:pPr>
      <w:r>
        <w:rPr>
          <w:lang w:eastAsia="zh-CN"/>
        </w:rPr>
        <w:t>-</w:t>
      </w:r>
      <w:r>
        <w:rPr>
          <w:lang w:eastAsia="zh-CN"/>
        </w:rPr>
        <w:tab/>
      </w:r>
      <w:r w:rsidR="00522C35">
        <w:rPr>
          <w:lang w:eastAsia="zh-CN"/>
        </w:rPr>
        <w:t xml:space="preserve">for </w:t>
      </w:r>
      <w:r w:rsidR="00510FD4" w:rsidRPr="00B27E56">
        <w:rPr>
          <w:lang w:eastAsia="zh-CN"/>
        </w:rPr>
        <w:t xml:space="preserve">a DCI format </w:t>
      </w:r>
      <w:r w:rsidR="00510FD4">
        <w:rPr>
          <w:lang w:eastAsia="zh-CN"/>
        </w:rPr>
        <w:t>having associated</w:t>
      </w:r>
      <w:r w:rsidR="00510FD4" w:rsidRPr="00B27E56">
        <w:rPr>
          <w:lang w:eastAsia="zh-CN"/>
        </w:rPr>
        <w:t xml:space="preserve"> HARQ-ACK information without scheduling PDSCH reception</w:t>
      </w:r>
      <w:r w:rsidR="00523F11">
        <w:rPr>
          <w:rFonts w:hint="eastAsia"/>
          <w:lang w:eastAsia="zh-CN"/>
        </w:rPr>
        <w:t xml:space="preserve">, </w:t>
      </w:r>
      <w:r w:rsidR="00522C35">
        <w:rPr>
          <w:lang w:eastAsia="zh-CN"/>
        </w:rPr>
        <w:t xml:space="preserve">and </w:t>
      </w:r>
    </w:p>
    <w:p w14:paraId="5512FAAD" w14:textId="40B78A67" w:rsidR="00522C35" w:rsidRPr="00B916EC" w:rsidRDefault="00522C35" w:rsidP="00DD134C">
      <w:pPr>
        <w:rPr>
          <w:lang w:eastAsia="zh-CN"/>
        </w:rPr>
      </w:pPr>
      <w:r>
        <w:rPr>
          <w:lang w:eastAsia="zh-CN"/>
        </w:rPr>
        <w:t xml:space="preserve">if </w:t>
      </w:r>
      <m:oMath>
        <m:sSub>
          <m:sSubPr>
            <m:ctrlPr>
              <w:rPr>
                <w:rFonts w:ascii="Cambria Math" w:hAnsi="Cambria Math"/>
                <w:i/>
                <w:lang w:eastAsia="zh-CN"/>
              </w:rPr>
            </m:ctrlPr>
          </m:sSubPr>
          <m:e>
            <m:r>
              <w:rPr>
                <w:rFonts w:ascii="Cambria Math"/>
                <w:lang w:eastAsia="zh-CN"/>
              </w:rPr>
              <m:t>O</m:t>
            </m:r>
          </m:e>
          <m:sub>
            <m:r>
              <m:rPr>
                <m:nor/>
              </m:rPr>
              <w:rPr>
                <w:rFonts w:ascii="Cambria Math"/>
                <w:lang w:eastAsia="zh-CN"/>
              </w:rPr>
              <m:t>ACK</m:t>
            </m:r>
            <m:ctrlPr>
              <w:rPr>
                <w:rFonts w:ascii="Cambria Math" w:hAnsi="Cambria Math"/>
                <w:lang w:eastAsia="zh-CN"/>
              </w:rPr>
            </m:ctrlPr>
          </m:sub>
        </m:sSub>
        <m:r>
          <w:rPr>
            <w:rFonts w:ascii="Cambria Math" w:hAnsi="Cambria Math"/>
            <w:lang w:eastAsia="zh-CN"/>
          </w:rPr>
          <m:t>+</m:t>
        </m:r>
        <m:sSub>
          <m:sSubPr>
            <m:ctrlPr>
              <w:rPr>
                <w:rFonts w:ascii="Cambria Math" w:hAnsi="Cambria Math"/>
                <w:i/>
                <w:lang w:eastAsia="zh-CN"/>
              </w:rPr>
            </m:ctrlPr>
          </m:sSubPr>
          <m:e>
            <m:r>
              <w:rPr>
                <w:rFonts w:ascii="Cambria Math"/>
                <w:lang w:eastAsia="zh-CN"/>
              </w:rPr>
              <m:t>O</m:t>
            </m:r>
          </m:e>
          <m:sub>
            <m:r>
              <m:rPr>
                <m:nor/>
              </m:rPr>
              <w:rPr>
                <w:rFonts w:ascii="Cambria Math"/>
                <w:lang w:eastAsia="zh-CN"/>
              </w:rPr>
              <m:t>SR</m:t>
            </m:r>
            <m:ctrlPr>
              <w:rPr>
                <w:rFonts w:ascii="Cambria Math" w:hAnsi="Cambria Math"/>
                <w:lang w:eastAsia="zh-CN"/>
              </w:rPr>
            </m:ctrlPr>
          </m:sub>
        </m:sSub>
        <m:r>
          <w:rPr>
            <w:rFonts w:ascii="Cambria Math" w:hAnsi="Cambria Math"/>
            <w:lang w:eastAsia="zh-CN"/>
          </w:rPr>
          <m:t>+</m:t>
        </m:r>
        <m:sSub>
          <m:sSubPr>
            <m:ctrlPr>
              <w:rPr>
                <w:rFonts w:ascii="Cambria Math" w:hAnsi="Cambria Math"/>
                <w:i/>
                <w:lang w:eastAsia="zh-CN"/>
              </w:rPr>
            </m:ctrlPr>
          </m:sSubPr>
          <m:e>
            <m:r>
              <w:rPr>
                <w:rFonts w:ascii="Cambria Math"/>
                <w:lang w:eastAsia="zh-CN"/>
              </w:rPr>
              <m:t>O</m:t>
            </m:r>
          </m:e>
          <m:sub>
            <m:r>
              <m:rPr>
                <m:nor/>
              </m:rPr>
              <w:rPr>
                <w:rFonts w:ascii="Cambria Math"/>
                <w:lang w:eastAsia="zh-CN"/>
              </w:rPr>
              <m:t>CSI</m:t>
            </m:r>
            <m:ctrlPr>
              <w:rPr>
                <w:rFonts w:ascii="Cambria Math" w:hAnsi="Cambria Math"/>
                <w:lang w:eastAsia="zh-CN"/>
              </w:rPr>
            </m:ctrlPr>
          </m:sub>
        </m:sSub>
        <m:r>
          <w:rPr>
            <w:rFonts w:ascii="Cambria Math" w:hAnsi="Cambria Math"/>
            <w:lang w:eastAsia="zh-CN"/>
          </w:rPr>
          <m:t>≤11</m:t>
        </m:r>
      </m:oMath>
      <w:r>
        <w:t xml:space="preserve">, </w:t>
      </w:r>
      <w:r>
        <w:rPr>
          <w:lang w:eastAsia="zh-CN"/>
        </w:rPr>
        <w:t xml:space="preserve">the UE determines a number of HARQ-ACK information bits </w:t>
      </w:r>
      <m:oMath>
        <m:sSub>
          <m:sSubPr>
            <m:ctrlPr>
              <w:rPr>
                <w:rFonts w:ascii="Cambria Math" w:hAnsi="Cambria Math"/>
                <w:i/>
                <w:lang w:eastAsia="zh-CN"/>
              </w:rPr>
            </m:ctrlPr>
          </m:sSubPr>
          <m:e>
            <m:r>
              <w:rPr>
                <w:rFonts w:ascii="Cambria Math"/>
                <w:lang w:eastAsia="zh-CN"/>
              </w:rPr>
              <m:t>n</m:t>
            </m:r>
          </m:e>
          <m:sub>
            <m:r>
              <m:rPr>
                <m:nor/>
              </m:rPr>
              <w:rPr>
                <w:rFonts w:ascii="Cambria Math"/>
                <w:lang w:eastAsia="zh-CN"/>
              </w:rPr>
              <m:t>HARQ-ACK</m:t>
            </m:r>
            <m:ctrlPr>
              <w:rPr>
                <w:rFonts w:ascii="Cambria Math" w:hAnsi="Cambria Math"/>
                <w:lang w:eastAsia="zh-CN"/>
              </w:rPr>
            </m:ctrlPr>
          </m:sub>
        </m:sSub>
      </m:oMath>
      <w:r>
        <w:rPr>
          <w:rFonts w:cs="Arial"/>
          <w:lang w:eastAsia="zh-CN"/>
        </w:rPr>
        <w:t xml:space="preserve"> for obtaining a transmission power for a PUCCH, as described </w:t>
      </w:r>
      <w:r w:rsidR="006F5F9E">
        <w:rPr>
          <w:rFonts w:cs="Arial"/>
          <w:lang w:eastAsia="zh-CN"/>
        </w:rPr>
        <w:t>in clause</w:t>
      </w:r>
      <w:r>
        <w:rPr>
          <w:rFonts w:cs="Arial"/>
          <w:lang w:eastAsia="zh-CN"/>
        </w:rPr>
        <w:t xml:space="preserve"> 7.2.1, </w:t>
      </w:r>
      <w:r>
        <w:rPr>
          <w:lang w:eastAsia="zh-CN"/>
        </w:rPr>
        <w:t xml:space="preserve">as </w:t>
      </w:r>
    </w:p>
    <w:bookmarkEnd w:id="491"/>
    <w:p w14:paraId="65400B2F" w14:textId="77777777" w:rsidR="00CB5759" w:rsidRPr="00B06CC2" w:rsidRDefault="00CB5759" w:rsidP="00CB5759">
      <w:pPr>
        <w:pStyle w:val="EQ"/>
        <w:rPr>
          <w:lang w:eastAsia="zh-CN"/>
        </w:rPr>
      </w:pPr>
      <w:r w:rsidRPr="00B06CC2">
        <w:rPr>
          <w:lang w:eastAsia="zh-CN"/>
        </w:rPr>
        <w:tab/>
      </w:r>
      <m:oMath>
        <m:sSub>
          <m:sSubPr>
            <m:ctrlPr>
              <w:rPr>
                <w:rFonts w:ascii="Cambria Math" w:hAnsi="Cambria Math"/>
                <w:i/>
                <w:lang w:eastAsia="zh-CN"/>
              </w:rPr>
            </m:ctrlPr>
          </m:sSubPr>
          <m:e>
            <m:r>
              <w:rPr>
                <w:rFonts w:ascii="Cambria Math"/>
                <w:lang w:eastAsia="zh-CN"/>
              </w:rPr>
              <m:t>n</m:t>
            </m:r>
          </m:e>
          <m:sub>
            <m:r>
              <m:rPr>
                <m:nor/>
              </m:rPr>
              <w:rPr>
                <w:rFonts w:ascii="Cambria Math"/>
                <w:lang w:eastAsia="zh-CN"/>
              </w:rPr>
              <m:t>HARQ-ACK</m:t>
            </m:r>
            <m:ctrlPr>
              <w:rPr>
                <w:rFonts w:ascii="Cambria Math" w:hAnsi="Cambria Math"/>
                <w:lang w:eastAsia="zh-CN"/>
              </w:rPr>
            </m:ctrlPr>
          </m:sub>
        </m:sSub>
        <m:r>
          <w:rPr>
            <w:rFonts w:ascii="Cambria Math"/>
            <w:lang w:eastAsia="zh-CN"/>
          </w:rPr>
          <m:t>=</m:t>
        </m:r>
        <m:sSub>
          <m:sSubPr>
            <m:ctrlPr>
              <w:rPr>
                <w:rFonts w:ascii="Cambria Math" w:hAnsi="Cambria Math"/>
                <w:i/>
                <w:lang w:eastAsia="zh-CN"/>
              </w:rPr>
            </m:ctrlPr>
          </m:sSubPr>
          <m:e>
            <m:r>
              <w:rPr>
                <w:rFonts w:ascii="Cambria Math"/>
                <w:lang w:eastAsia="zh-CN"/>
              </w:rPr>
              <m:t>n</m:t>
            </m:r>
          </m:e>
          <m:sub>
            <m:r>
              <m:rPr>
                <m:nor/>
              </m:rPr>
              <w:rPr>
                <w:rFonts w:ascii="Cambria Math"/>
                <w:lang w:eastAsia="zh-CN"/>
              </w:rPr>
              <m:t>HARQ-ACK,TB</m:t>
            </m:r>
            <m:ctrlPr>
              <w:rPr>
                <w:rFonts w:ascii="Cambria Math" w:hAnsi="Cambria Math"/>
                <w:lang w:eastAsia="zh-CN"/>
              </w:rPr>
            </m:ctrlPr>
          </m:sub>
        </m:sSub>
        <m:r>
          <w:rPr>
            <w:rFonts w:ascii="Cambria Math"/>
            <w:lang w:eastAsia="zh-CN"/>
          </w:rPr>
          <m:t>=</m:t>
        </m:r>
        <m:d>
          <m:dPr>
            <m:ctrlPr>
              <w:rPr>
                <w:rFonts w:ascii="Cambria Math" w:hAnsi="Cambria Math"/>
                <w:i/>
                <w:lang w:eastAsia="zh-CN"/>
              </w:rPr>
            </m:ctrlPr>
          </m:dPr>
          <m:e>
            <m:d>
              <m:dPr>
                <m:ctrlPr>
                  <w:rPr>
                    <w:rFonts w:ascii="Cambria Math" w:hAnsi="Cambria Math"/>
                    <w:i/>
                    <w:lang w:eastAsia="zh-CN"/>
                  </w:rPr>
                </m:ctrlPr>
              </m:dPr>
              <m:e>
                <m:sSubSup>
                  <m:sSubSupPr>
                    <m:ctrlPr>
                      <w:rPr>
                        <w:rFonts w:ascii="Cambria Math" w:hAnsi="Cambria Math"/>
                        <w:i/>
                        <w:lang w:eastAsia="zh-CN"/>
                      </w:rPr>
                    </m:ctrlPr>
                  </m:sSubSupPr>
                  <m:e>
                    <m:r>
                      <w:rPr>
                        <w:rFonts w:ascii="Cambria Math"/>
                        <w:lang w:eastAsia="zh-CN"/>
                      </w:rPr>
                      <m:t>V</m:t>
                    </m:r>
                  </m:e>
                  <m:sub>
                    <m:r>
                      <m:rPr>
                        <m:nor/>
                      </m:rPr>
                      <w:rPr>
                        <w:rFonts w:ascii="Cambria Math"/>
                        <w:lang w:eastAsia="zh-CN"/>
                      </w:rPr>
                      <m:t>DAI</m:t>
                    </m:r>
                    <m:r>
                      <m:rPr>
                        <m:sty m:val="p"/>
                      </m:rPr>
                      <w:rPr>
                        <w:rFonts w:ascii="Cambria Math"/>
                        <w:lang w:eastAsia="zh-CN"/>
                      </w:rPr>
                      <m:t>,</m:t>
                    </m:r>
                    <m:sSub>
                      <m:sSubPr>
                        <m:ctrlPr>
                          <w:rPr>
                            <w:rFonts w:ascii="Cambria Math" w:hAnsi="Cambria Math"/>
                            <w:lang w:eastAsia="zh-CN"/>
                          </w:rPr>
                        </m:ctrlPr>
                      </m:sSubPr>
                      <m:e>
                        <m:r>
                          <w:rPr>
                            <w:rFonts w:ascii="Cambria Math"/>
                            <w:lang w:eastAsia="zh-CN"/>
                          </w:rPr>
                          <m:t>m</m:t>
                        </m:r>
                      </m:e>
                      <m:sub>
                        <m:r>
                          <m:rPr>
                            <m:nor/>
                          </m:rPr>
                          <w:rPr>
                            <w:rFonts w:ascii="Cambria Math"/>
                            <w:lang w:eastAsia="zh-CN"/>
                          </w:rPr>
                          <m:t>last</m:t>
                        </m:r>
                      </m:sub>
                    </m:sSub>
                    <m:ctrlPr>
                      <w:rPr>
                        <w:rFonts w:ascii="Cambria Math" w:hAnsi="Cambria Math"/>
                        <w:lang w:eastAsia="zh-CN"/>
                      </w:rPr>
                    </m:ctrlPr>
                  </m:sub>
                  <m:sup>
                    <m:r>
                      <m:rPr>
                        <m:nor/>
                      </m:rPr>
                      <w:rPr>
                        <w:rFonts w:ascii="Cambria Math"/>
                        <w:lang w:eastAsia="zh-CN"/>
                      </w:rPr>
                      <m:t>DL</m:t>
                    </m:r>
                    <m:ctrlPr>
                      <w:rPr>
                        <w:rFonts w:ascii="Cambria Math" w:hAnsi="Cambria Math"/>
                        <w:lang w:eastAsia="zh-CN"/>
                      </w:rPr>
                    </m:ctrlPr>
                  </m:sup>
                </m:sSubSup>
                <m:r>
                  <w:rPr>
                    <w:rFonts w:ascii="Cambria Math"/>
                    <w:lang w:eastAsia="zh-CN"/>
                  </w:rPr>
                  <m:t>-</m:t>
                </m:r>
                <m:nary>
                  <m:naryPr>
                    <m:chr m:val="∑"/>
                    <m:ctrlPr>
                      <w:rPr>
                        <w:rFonts w:ascii="Cambria Math" w:hAnsi="Cambria Math"/>
                        <w:i/>
                        <w:lang w:eastAsia="zh-CN"/>
                      </w:rPr>
                    </m:ctrlPr>
                  </m:naryPr>
                  <m:sub>
                    <m:r>
                      <w:rPr>
                        <w:rFonts w:ascii="Cambria Math"/>
                        <w:lang w:eastAsia="zh-CN"/>
                      </w:rPr>
                      <m:t>c=0</m:t>
                    </m:r>
                  </m:sub>
                  <m:sup>
                    <m:sSubSup>
                      <m:sSubSupPr>
                        <m:ctrlPr>
                          <w:rPr>
                            <w:rFonts w:ascii="Cambria Math" w:hAnsi="Cambria Math"/>
                            <w:i/>
                            <w:lang w:eastAsia="zh-CN"/>
                          </w:rPr>
                        </m:ctrlPr>
                      </m:sSubSupPr>
                      <m:e>
                        <m:r>
                          <w:rPr>
                            <w:rFonts w:ascii="Cambria Math"/>
                            <w:lang w:eastAsia="zh-CN"/>
                          </w:rPr>
                          <m:t>N</m:t>
                        </m:r>
                      </m:e>
                      <m:sub>
                        <m:r>
                          <m:rPr>
                            <m:nor/>
                          </m:rPr>
                          <w:rPr>
                            <w:rFonts w:ascii="Cambria Math"/>
                            <w:lang w:eastAsia="zh-CN"/>
                          </w:rPr>
                          <m:t>cells</m:t>
                        </m:r>
                        <m:ctrlPr>
                          <w:rPr>
                            <w:rFonts w:ascii="Cambria Math" w:hAnsi="Cambria Math"/>
                            <w:lang w:eastAsia="zh-CN"/>
                          </w:rPr>
                        </m:ctrlPr>
                      </m:sub>
                      <m:sup>
                        <m:r>
                          <m:rPr>
                            <m:nor/>
                          </m:rPr>
                          <w:rPr>
                            <w:rFonts w:ascii="Cambria Math"/>
                            <w:lang w:eastAsia="zh-CN"/>
                          </w:rPr>
                          <m:t>DL</m:t>
                        </m:r>
                        <m:ctrlPr>
                          <w:rPr>
                            <w:rFonts w:ascii="Cambria Math" w:hAnsi="Cambria Math"/>
                            <w:lang w:eastAsia="zh-CN"/>
                          </w:rPr>
                        </m:ctrlPr>
                      </m:sup>
                    </m:sSubSup>
                    <m:r>
                      <w:rPr>
                        <w:rFonts w:ascii="Cambria Math"/>
                        <w:lang w:eastAsia="zh-CN"/>
                      </w:rPr>
                      <m:t>-</m:t>
                    </m:r>
                    <m:r>
                      <w:rPr>
                        <w:rFonts w:ascii="Cambria Math"/>
                        <w:lang w:eastAsia="zh-CN"/>
                      </w:rPr>
                      <m:t>1</m:t>
                    </m:r>
                  </m:sup>
                  <m:e>
                    <m:sSub>
                      <m:sSubPr>
                        <m:ctrlPr>
                          <w:rPr>
                            <w:rFonts w:ascii="Cambria Math" w:hAnsi="Cambria Math"/>
                            <w:i/>
                            <w:lang w:eastAsia="zh-CN"/>
                          </w:rPr>
                        </m:ctrlPr>
                      </m:sSubPr>
                      <m:e>
                        <m:r>
                          <w:rPr>
                            <w:rFonts w:ascii="Cambria Math"/>
                            <w:lang w:eastAsia="zh-CN"/>
                          </w:rPr>
                          <m:t>U</m:t>
                        </m:r>
                      </m:e>
                      <m:sub>
                        <m:r>
                          <m:rPr>
                            <m:nor/>
                          </m:rPr>
                          <w:rPr>
                            <w:rFonts w:ascii="Cambria Math"/>
                            <w:lang w:eastAsia="zh-CN"/>
                          </w:rPr>
                          <m:t>DAI,</m:t>
                        </m:r>
                        <m:r>
                          <w:rPr>
                            <w:rFonts w:ascii="Cambria Math"/>
                            <w:lang w:eastAsia="zh-CN"/>
                          </w:rPr>
                          <m:t>c</m:t>
                        </m:r>
                        <m:ctrlPr>
                          <w:rPr>
                            <w:rFonts w:ascii="Cambria Math" w:hAnsi="Cambria Math"/>
                            <w:lang w:eastAsia="zh-CN"/>
                          </w:rPr>
                        </m:ctrlPr>
                      </m:sub>
                    </m:sSub>
                  </m:e>
                </m:nary>
              </m:e>
            </m:d>
            <m:func>
              <m:funcPr>
                <m:ctrlPr>
                  <w:rPr>
                    <w:rFonts w:ascii="Cambria Math" w:hAnsi="Cambria Math"/>
                    <w:i/>
                    <w:lang w:eastAsia="zh-CN"/>
                  </w:rPr>
                </m:ctrlPr>
              </m:funcPr>
              <m:fName>
                <m:r>
                  <w:rPr>
                    <w:rFonts w:ascii="Cambria Math"/>
                    <w:lang w:eastAsia="zh-CN"/>
                  </w:rPr>
                  <m:t>mod</m:t>
                </m:r>
              </m:fName>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m:t>
                        </m:r>
                      </m:sub>
                    </m:sSub>
                  </m:e>
                </m:d>
              </m:e>
            </m:func>
          </m:e>
        </m:d>
        <m:sSubSup>
          <m:sSubSupPr>
            <m:ctrlPr>
              <w:rPr>
                <w:rFonts w:ascii="Cambria Math" w:hAnsi="Cambria Math"/>
                <w:i/>
                <w:lang w:eastAsia="zh-CN"/>
              </w:rPr>
            </m:ctrlPr>
          </m:sSubSupPr>
          <m:e>
            <m:r>
              <w:rPr>
                <w:rFonts w:ascii="Cambria Math"/>
                <w:lang w:eastAsia="zh-CN"/>
              </w:rPr>
              <m:t>N</m:t>
            </m:r>
          </m:e>
          <m:sub>
            <m:r>
              <m:rPr>
                <m:nor/>
              </m:rPr>
              <w:rPr>
                <w:rFonts w:ascii="Cambria Math"/>
                <w:lang w:eastAsia="zh-CN"/>
              </w:rPr>
              <m:t>TB,</m:t>
            </m:r>
            <m:r>
              <w:rPr>
                <w:rFonts w:ascii="Cambria Math"/>
                <w:lang w:eastAsia="zh-CN"/>
              </w:rPr>
              <m:t>max</m:t>
            </m:r>
          </m:sub>
          <m:sup>
            <m:r>
              <m:rPr>
                <m:nor/>
              </m:rPr>
              <w:rPr>
                <w:rFonts w:ascii="Cambria Math"/>
                <w:lang w:eastAsia="zh-CN"/>
              </w:rPr>
              <m:t>DL</m:t>
            </m:r>
          </m:sup>
        </m:sSubSup>
        <m:r>
          <w:rPr>
            <w:rFonts w:ascii="Cambria Math" w:hAnsi="Cambria Math"/>
            <w:lang w:eastAsia="zh-CN"/>
          </w:rPr>
          <m:t>+</m:t>
        </m:r>
        <m:nary>
          <m:naryPr>
            <m:chr m:val="∑"/>
            <m:ctrlPr>
              <w:rPr>
                <w:rFonts w:ascii="Cambria Math" w:hAnsi="Cambria Math"/>
                <w:i/>
                <w:lang w:eastAsia="zh-CN"/>
              </w:rPr>
            </m:ctrlPr>
          </m:naryPr>
          <m:sub>
            <m:r>
              <w:rPr>
                <w:rFonts w:ascii="Cambria Math"/>
                <w:lang w:eastAsia="zh-CN"/>
              </w:rPr>
              <m:t>c=0</m:t>
            </m:r>
          </m:sub>
          <m:sup>
            <m:sSubSup>
              <m:sSubSupPr>
                <m:ctrlPr>
                  <w:rPr>
                    <w:rFonts w:ascii="Cambria Math" w:hAnsi="Cambria Math"/>
                    <w:i/>
                    <w:lang w:eastAsia="zh-CN"/>
                  </w:rPr>
                </m:ctrlPr>
              </m:sSubSupPr>
              <m:e>
                <m:r>
                  <w:rPr>
                    <w:rFonts w:ascii="Cambria Math"/>
                    <w:lang w:eastAsia="zh-CN"/>
                  </w:rPr>
                  <m:t>N</m:t>
                </m:r>
              </m:e>
              <m:sub>
                <m:r>
                  <m:rPr>
                    <m:nor/>
                  </m:rPr>
                  <w:rPr>
                    <w:rFonts w:ascii="Cambria Math"/>
                    <w:lang w:eastAsia="zh-CN"/>
                  </w:rPr>
                  <m:t>cells</m:t>
                </m:r>
                <m:ctrlPr>
                  <w:rPr>
                    <w:rFonts w:ascii="Cambria Math" w:hAnsi="Cambria Math"/>
                    <w:lang w:eastAsia="zh-CN"/>
                  </w:rPr>
                </m:ctrlPr>
              </m:sub>
              <m:sup>
                <m:r>
                  <m:rPr>
                    <m:nor/>
                  </m:rPr>
                  <w:rPr>
                    <w:rFonts w:ascii="Cambria Math"/>
                    <w:lang w:eastAsia="zh-CN"/>
                  </w:rPr>
                  <m:t>DL</m:t>
                </m:r>
                <m:ctrlPr>
                  <w:rPr>
                    <w:rFonts w:ascii="Cambria Math" w:hAnsi="Cambria Math"/>
                    <w:lang w:eastAsia="zh-CN"/>
                  </w:rPr>
                </m:ctrlPr>
              </m:sup>
            </m:sSubSup>
            <m:r>
              <w:rPr>
                <w:rFonts w:ascii="Cambria Math"/>
                <w:lang w:eastAsia="zh-CN"/>
              </w:rPr>
              <m:t>-</m:t>
            </m:r>
            <m:r>
              <w:rPr>
                <w:rFonts w:ascii="Cambria Math"/>
                <w:lang w:eastAsia="zh-CN"/>
              </w:rPr>
              <m:t>1</m:t>
            </m:r>
          </m:sup>
          <m:e>
            <m:d>
              <m:dPr>
                <m:ctrlPr>
                  <w:rPr>
                    <w:rFonts w:ascii="Cambria Math" w:hAnsi="Cambria Math"/>
                    <w:i/>
                    <w:lang w:eastAsia="zh-CN"/>
                  </w:rPr>
                </m:ctrlPr>
              </m:dPr>
              <m:e>
                <m:nary>
                  <m:naryPr>
                    <m:chr m:val="∑"/>
                    <m:ctrlPr>
                      <w:rPr>
                        <w:rFonts w:ascii="Cambria Math" w:hAnsi="Cambria Math"/>
                        <w:i/>
                        <w:lang w:eastAsia="zh-CN"/>
                      </w:rPr>
                    </m:ctrlPr>
                  </m:naryPr>
                  <m:sub>
                    <m:r>
                      <w:rPr>
                        <w:rFonts w:ascii="Cambria Math"/>
                        <w:lang w:eastAsia="zh-CN"/>
                      </w:rPr>
                      <m:t>m=0</m:t>
                    </m:r>
                  </m:sub>
                  <m:sup>
                    <m:r>
                      <w:rPr>
                        <w:rFonts w:ascii="Cambria Math"/>
                        <w:lang w:eastAsia="zh-CN"/>
                      </w:rPr>
                      <m:t>M</m:t>
                    </m:r>
                    <m:r>
                      <w:rPr>
                        <w:rFonts w:ascii="Cambria Math"/>
                        <w:lang w:eastAsia="zh-CN"/>
                      </w:rPr>
                      <m:t>-</m:t>
                    </m:r>
                    <m:r>
                      <w:rPr>
                        <w:rFonts w:ascii="Cambria Math"/>
                        <w:lang w:eastAsia="zh-CN"/>
                      </w:rPr>
                      <m:t>1</m:t>
                    </m:r>
                  </m:sup>
                  <m:e>
                    <m:sSubSup>
                      <m:sSubSupPr>
                        <m:ctrlPr>
                          <w:rPr>
                            <w:rFonts w:ascii="Cambria Math" w:hAnsi="Cambria Math"/>
                            <w:i/>
                            <w:lang w:eastAsia="zh-CN"/>
                          </w:rPr>
                        </m:ctrlPr>
                      </m:sSubSupPr>
                      <m:e>
                        <m:r>
                          <w:rPr>
                            <w:rFonts w:ascii="Cambria Math"/>
                            <w:lang w:eastAsia="zh-CN"/>
                          </w:rPr>
                          <m:t>N</m:t>
                        </m:r>
                      </m:e>
                      <m:sub>
                        <m:r>
                          <w:rPr>
                            <w:rFonts w:ascii="Cambria Math"/>
                            <w:lang w:eastAsia="zh-CN"/>
                          </w:rPr>
                          <m:t>m,c</m:t>
                        </m:r>
                      </m:sub>
                      <m:sup>
                        <m:r>
                          <m:rPr>
                            <m:nor/>
                          </m:rPr>
                          <w:rPr>
                            <w:rFonts w:ascii="Cambria Math"/>
                            <w:lang w:eastAsia="zh-CN"/>
                          </w:rPr>
                          <m:t>received</m:t>
                        </m:r>
                        <m:ctrlPr>
                          <w:rPr>
                            <w:rFonts w:ascii="Cambria Math" w:hAnsi="Cambria Math"/>
                            <w:lang w:eastAsia="zh-CN"/>
                          </w:rPr>
                        </m:ctrlPr>
                      </m:sup>
                    </m:sSubSup>
                    <m:r>
                      <w:rPr>
                        <w:rFonts w:ascii="Cambria Math"/>
                        <w:lang w:eastAsia="zh-CN"/>
                      </w:rPr>
                      <m:t>+</m:t>
                    </m:r>
                    <m:sSub>
                      <m:sSubPr>
                        <m:ctrlPr>
                          <w:rPr>
                            <w:rFonts w:ascii="Cambria Math" w:hAnsi="Cambria Math"/>
                            <w:i/>
                            <w:lang w:eastAsia="zh-CN"/>
                          </w:rPr>
                        </m:ctrlPr>
                      </m:sSubPr>
                      <m:e>
                        <m:r>
                          <w:rPr>
                            <w:rFonts w:ascii="Cambria Math"/>
                            <w:lang w:eastAsia="zh-CN"/>
                          </w:rPr>
                          <m:t>N</m:t>
                        </m:r>
                      </m:e>
                      <m:sub>
                        <m:r>
                          <m:rPr>
                            <m:nor/>
                          </m:rPr>
                          <w:rPr>
                            <w:rFonts w:ascii="Cambria Math"/>
                            <w:lang w:eastAsia="zh-CN"/>
                          </w:rPr>
                          <m:t>SPS</m:t>
                        </m:r>
                        <m:r>
                          <m:rPr>
                            <m:sty m:val="p"/>
                          </m:rPr>
                          <w:rPr>
                            <w:rFonts w:ascii="Cambria Math"/>
                            <w:lang w:eastAsia="zh-CN"/>
                          </w:rPr>
                          <m:t>,</m:t>
                        </m:r>
                        <m:r>
                          <w:rPr>
                            <w:rFonts w:ascii="Cambria Math"/>
                            <w:lang w:eastAsia="zh-CN"/>
                          </w:rPr>
                          <m:t>c</m:t>
                        </m:r>
                        <m:ctrlPr>
                          <w:rPr>
                            <w:rFonts w:ascii="Cambria Math" w:hAnsi="Cambria Math"/>
                            <w:lang w:eastAsia="zh-CN"/>
                          </w:rPr>
                        </m:ctrlPr>
                      </m:sub>
                    </m:sSub>
                  </m:e>
                </m:nary>
              </m:e>
            </m:d>
            <m:r>
              <w:rPr>
                <w:rFonts w:ascii="Cambria Math" w:hAnsi="Cambria Math"/>
                <w:lang w:eastAsia="zh-CN"/>
              </w:rPr>
              <m:t>+</m:t>
            </m:r>
            <m:nary>
              <m:naryPr>
                <m:chr m:val="∑"/>
                <m:limLoc m:val="undOvr"/>
                <m:ctrlPr>
                  <w:rPr>
                    <w:rFonts w:ascii="Cambria Math" w:hAnsi="Cambria Math"/>
                    <w:i/>
                    <w:lang w:eastAsia="zh-CN"/>
                  </w:rPr>
                </m:ctrlPr>
              </m:naryPr>
              <m:sub>
                <m:r>
                  <w:rPr>
                    <w:rFonts w:ascii="Cambria Math" w:hAnsi="Cambria Math"/>
                    <w:lang w:eastAsia="zh-CN"/>
                  </w:rPr>
                  <m:t>g=0</m:t>
                </m:r>
              </m:sub>
              <m:sup>
                <m:r>
                  <w:rPr>
                    <w:rFonts w:ascii="Cambria Math" w:hAnsi="Cambria Math"/>
                    <w:lang w:eastAsia="zh-CN"/>
                  </w:rPr>
                  <m:t>G-1</m:t>
                </m:r>
              </m:sup>
              <m:e>
                <m:d>
                  <m:dPr>
                    <m:ctrlPr>
                      <w:rPr>
                        <w:rFonts w:ascii="Cambria Math" w:hAnsi="Cambria Math"/>
                        <w:i/>
                        <w:lang w:eastAsia="zh-CN"/>
                      </w:rPr>
                    </m:ctrlPr>
                  </m:dPr>
                  <m:e>
                    <m:d>
                      <m:dPr>
                        <m:ctrlPr>
                          <w:rPr>
                            <w:rFonts w:ascii="Cambria Math" w:hAnsi="Cambria Math"/>
                            <w:i/>
                            <w:lang w:eastAsia="zh-CN"/>
                          </w:rPr>
                        </m:ctrlPr>
                      </m:dPr>
                      <m:e>
                        <m:d>
                          <m:dPr>
                            <m:ctrlPr>
                              <w:rPr>
                                <w:rFonts w:ascii="Cambria Math" w:hAnsi="Cambria Math"/>
                                <w:i/>
                                <w:lang w:eastAsia="zh-CN"/>
                              </w:rPr>
                            </m:ctrlPr>
                          </m:dPr>
                          <m:e>
                            <m:sSubSup>
                              <m:sSubSupPr>
                                <m:ctrlPr>
                                  <w:rPr>
                                    <w:rFonts w:ascii="Cambria Math" w:hAnsi="Cambria Math"/>
                                    <w:i/>
                                    <w:lang w:eastAsia="zh-CN"/>
                                  </w:rPr>
                                </m:ctrlPr>
                              </m:sSubSupPr>
                              <m:e>
                                <m:r>
                                  <w:rPr>
                                    <w:rFonts w:ascii="Cambria Math"/>
                                    <w:lang w:eastAsia="zh-CN"/>
                                  </w:rPr>
                                  <m:t>V</m:t>
                                </m:r>
                              </m:e>
                              <m:sub>
                                <m:r>
                                  <m:rPr>
                                    <m:nor/>
                                  </m:rPr>
                                  <w:rPr>
                                    <w:rFonts w:ascii="Cambria Math"/>
                                    <w:lang w:eastAsia="zh-CN"/>
                                  </w:rPr>
                                  <m:t>DAI</m:t>
                                </m:r>
                                <m:r>
                                  <m:rPr>
                                    <m:sty m:val="p"/>
                                  </m:rPr>
                                  <w:rPr>
                                    <w:rFonts w:ascii="Cambria Math"/>
                                    <w:lang w:eastAsia="zh-CN"/>
                                  </w:rPr>
                                  <m:t>,</m:t>
                                </m:r>
                                <m:sSub>
                                  <m:sSubPr>
                                    <m:ctrlPr>
                                      <w:rPr>
                                        <w:rFonts w:ascii="Cambria Math" w:hAnsi="Cambria Math"/>
                                        <w:lang w:eastAsia="zh-CN"/>
                                      </w:rPr>
                                    </m:ctrlPr>
                                  </m:sSubPr>
                                  <m:e>
                                    <m:r>
                                      <w:rPr>
                                        <w:rFonts w:ascii="Cambria Math"/>
                                        <w:lang w:eastAsia="zh-CN"/>
                                      </w:rPr>
                                      <m:t>m</m:t>
                                    </m:r>
                                  </m:e>
                                  <m:sub>
                                    <m:r>
                                      <m:rPr>
                                        <m:nor/>
                                      </m:rPr>
                                      <w:rPr>
                                        <w:rFonts w:ascii="Cambria Math"/>
                                        <w:lang w:eastAsia="zh-CN"/>
                                      </w:rPr>
                                      <m:t>last</m:t>
                                    </m:r>
                                  </m:sub>
                                </m:sSub>
                                <m:r>
                                  <w:rPr>
                                    <w:rFonts w:ascii="Cambria Math" w:hAnsi="Cambria Math"/>
                                    <w:lang w:eastAsia="zh-CN"/>
                                  </w:rPr>
                                  <m:t>,g</m:t>
                                </m:r>
                                <m:ctrlPr>
                                  <w:rPr>
                                    <w:rFonts w:ascii="Cambria Math" w:hAnsi="Cambria Math"/>
                                    <w:lang w:eastAsia="zh-CN"/>
                                  </w:rPr>
                                </m:ctrlPr>
                              </m:sub>
                              <m:sup>
                                <m:r>
                                  <m:rPr>
                                    <m:nor/>
                                  </m:rPr>
                                  <w:rPr>
                                    <w:rFonts w:ascii="Cambria Math"/>
                                    <w:lang w:eastAsia="zh-CN"/>
                                  </w:rPr>
                                  <m:t>DL</m:t>
                                </m:r>
                                <m:ctrlPr>
                                  <w:rPr>
                                    <w:rFonts w:ascii="Cambria Math" w:hAnsi="Cambria Math"/>
                                    <w:lang w:eastAsia="zh-CN"/>
                                  </w:rPr>
                                </m:ctrlPr>
                              </m:sup>
                            </m:sSubSup>
                            <m:r>
                              <w:rPr>
                                <w:rFonts w:ascii="Cambria Math"/>
                                <w:lang w:eastAsia="zh-CN"/>
                              </w:rPr>
                              <m:t>-</m:t>
                            </m:r>
                            <m:nary>
                              <m:naryPr>
                                <m:chr m:val="∑"/>
                                <m:ctrlPr>
                                  <w:rPr>
                                    <w:rFonts w:ascii="Cambria Math" w:hAnsi="Cambria Math"/>
                                    <w:i/>
                                    <w:lang w:eastAsia="zh-CN"/>
                                  </w:rPr>
                                </m:ctrlPr>
                              </m:naryPr>
                              <m:sub>
                                <m:r>
                                  <w:rPr>
                                    <w:rFonts w:ascii="Cambria Math"/>
                                    <w:lang w:eastAsia="zh-CN"/>
                                  </w:rPr>
                                  <m:t>c=0</m:t>
                                </m:r>
                              </m:sub>
                              <m:sup>
                                <m:sSubSup>
                                  <m:sSubSupPr>
                                    <m:ctrlPr>
                                      <w:rPr>
                                        <w:rFonts w:ascii="Cambria Math" w:hAnsi="Cambria Math"/>
                                        <w:i/>
                                        <w:lang w:eastAsia="zh-CN"/>
                                      </w:rPr>
                                    </m:ctrlPr>
                                  </m:sSubSupPr>
                                  <m:e>
                                    <m:r>
                                      <w:rPr>
                                        <w:rFonts w:ascii="Cambria Math"/>
                                        <w:lang w:eastAsia="zh-CN"/>
                                      </w:rPr>
                                      <m:t>N</m:t>
                                    </m:r>
                                  </m:e>
                                  <m:sub>
                                    <m:r>
                                      <m:rPr>
                                        <m:nor/>
                                      </m:rPr>
                                      <w:rPr>
                                        <w:rFonts w:ascii="Cambria Math"/>
                                        <w:lang w:eastAsia="zh-CN"/>
                                      </w:rPr>
                                      <m:t>cells</m:t>
                                    </m:r>
                                    <m:r>
                                      <m:rPr>
                                        <m:nor/>
                                      </m:rPr>
                                      <w:rPr>
                                        <w:rFonts w:ascii="Cambria Math"/>
                                        <w:i/>
                                        <w:iCs/>
                                        <w:lang w:eastAsia="zh-CN"/>
                                      </w:rPr>
                                      <m:t>,</m:t>
                                    </m:r>
                                    <m:r>
                                      <w:rPr>
                                        <w:rFonts w:ascii="Cambria Math"/>
                                        <w:lang w:eastAsia="zh-CN"/>
                                      </w:rPr>
                                      <m:t>g</m:t>
                                    </m:r>
                                    <m:ctrlPr>
                                      <w:rPr>
                                        <w:rFonts w:ascii="Cambria Math" w:hAnsi="Cambria Math"/>
                                        <w:lang w:eastAsia="zh-CN"/>
                                      </w:rPr>
                                    </m:ctrlPr>
                                  </m:sub>
                                  <m:sup>
                                    <m:r>
                                      <m:rPr>
                                        <m:nor/>
                                      </m:rPr>
                                      <w:rPr>
                                        <w:rFonts w:ascii="Cambria Math"/>
                                        <w:lang w:eastAsia="zh-CN"/>
                                      </w:rPr>
                                      <m:t>DL</m:t>
                                    </m:r>
                                    <m:ctrlPr>
                                      <w:rPr>
                                        <w:rFonts w:ascii="Cambria Math" w:hAnsi="Cambria Math"/>
                                        <w:lang w:eastAsia="zh-CN"/>
                                      </w:rPr>
                                    </m:ctrlPr>
                                  </m:sup>
                                </m:sSubSup>
                                <m:r>
                                  <w:rPr>
                                    <w:rFonts w:ascii="Cambria Math"/>
                                    <w:lang w:eastAsia="zh-CN"/>
                                  </w:rPr>
                                  <m:t>-</m:t>
                                </m:r>
                                <m:r>
                                  <w:rPr>
                                    <w:rFonts w:ascii="Cambria Math"/>
                                    <w:lang w:eastAsia="zh-CN"/>
                                  </w:rPr>
                                  <m:t>1</m:t>
                                </m:r>
                              </m:sup>
                              <m:e>
                                <m:sSub>
                                  <m:sSubPr>
                                    <m:ctrlPr>
                                      <w:rPr>
                                        <w:rFonts w:ascii="Cambria Math" w:hAnsi="Cambria Math"/>
                                        <w:i/>
                                      </w:rPr>
                                    </m:ctrlPr>
                                  </m:sSubPr>
                                  <m:e>
                                    <m:r>
                                      <w:rPr>
                                        <w:rFonts w:ascii="Cambria Math" w:hAnsi="Cambria Math"/>
                                      </w:rPr>
                                      <m:t>U</m:t>
                                    </m:r>
                                  </m:e>
                                  <m:sub>
                                    <m:r>
                                      <m:rPr>
                                        <m:nor/>
                                      </m:rPr>
                                      <w:rPr>
                                        <w:rFonts w:ascii="Cambria Math"/>
                                        <w:lang w:eastAsia="zh-CN"/>
                                      </w:rPr>
                                      <m:t>DAI</m:t>
                                    </m:r>
                                    <m:r>
                                      <m:rPr>
                                        <m:sty m:val="p"/>
                                      </m:rPr>
                                      <w:rPr>
                                        <w:rFonts w:ascii="Cambria Math"/>
                                        <w:lang w:eastAsia="zh-CN"/>
                                      </w:rPr>
                                      <m:t>,</m:t>
                                    </m:r>
                                    <m:r>
                                      <w:rPr>
                                        <w:rFonts w:ascii="Cambria Math"/>
                                        <w:lang w:eastAsia="zh-CN"/>
                                      </w:rPr>
                                      <m:t>c</m:t>
                                    </m:r>
                                    <m:r>
                                      <w:rPr>
                                        <w:rFonts w:ascii="Cambria Math" w:hAnsi="Cambria Math"/>
                                      </w:rPr>
                                      <m:t>,g</m:t>
                                    </m:r>
                                  </m:sub>
                                </m:sSub>
                              </m:e>
                            </m:nary>
                          </m:e>
                        </m:d>
                        <m:func>
                          <m:funcPr>
                            <m:ctrlPr>
                              <w:rPr>
                                <w:rFonts w:ascii="Cambria Math" w:hAnsi="Cambria Math"/>
                                <w:i/>
                                <w:lang w:eastAsia="zh-CN"/>
                              </w:rPr>
                            </m:ctrlPr>
                          </m:funcPr>
                          <m:fName>
                            <m:r>
                              <w:rPr>
                                <w:rFonts w:ascii="Cambria Math"/>
                                <w:lang w:eastAsia="zh-CN"/>
                              </w:rPr>
                              <m:t>mod</m:t>
                            </m:r>
                          </m:fName>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D,g</m:t>
                                    </m:r>
                                  </m:sub>
                                </m:sSub>
                              </m:e>
                            </m:d>
                          </m:e>
                        </m:func>
                      </m:e>
                    </m:d>
                    <m:sSubSup>
                      <m:sSubSupPr>
                        <m:ctrlPr>
                          <w:rPr>
                            <w:rFonts w:ascii="Cambria Math" w:hAnsi="Cambria Math"/>
                            <w:i/>
                            <w:lang w:eastAsia="zh-CN"/>
                          </w:rPr>
                        </m:ctrlPr>
                      </m:sSubSupPr>
                      <m:e>
                        <m:r>
                          <w:rPr>
                            <w:rFonts w:ascii="Cambria Math"/>
                            <w:lang w:eastAsia="zh-CN"/>
                          </w:rPr>
                          <m:t>N</m:t>
                        </m:r>
                      </m:e>
                      <m:sub>
                        <m:r>
                          <m:rPr>
                            <m:nor/>
                          </m:rPr>
                          <w:rPr>
                            <w:rFonts w:ascii="Cambria Math"/>
                            <w:lang w:eastAsia="zh-CN"/>
                          </w:rPr>
                          <m:t>TB,</m:t>
                        </m:r>
                        <m:r>
                          <w:rPr>
                            <w:rFonts w:ascii="Cambria Math"/>
                            <w:lang w:eastAsia="zh-CN"/>
                          </w:rPr>
                          <m:t>max,g</m:t>
                        </m:r>
                      </m:sub>
                      <m:sup>
                        <m:r>
                          <m:rPr>
                            <m:nor/>
                          </m:rPr>
                          <w:rPr>
                            <w:rFonts w:ascii="Cambria Math"/>
                            <w:lang w:eastAsia="zh-CN"/>
                          </w:rPr>
                          <m:t>DL</m:t>
                        </m:r>
                      </m:sup>
                    </m:sSubSup>
                    <m:r>
                      <w:rPr>
                        <w:rFonts w:ascii="Cambria Math" w:hAnsi="Cambria Math"/>
                        <w:lang w:eastAsia="zh-CN"/>
                      </w:rPr>
                      <m:t>+</m:t>
                    </m:r>
                    <m:nary>
                      <m:naryPr>
                        <m:chr m:val="∑"/>
                        <m:ctrlPr>
                          <w:rPr>
                            <w:rFonts w:ascii="Cambria Math" w:hAnsi="Cambria Math"/>
                            <w:i/>
                            <w:lang w:eastAsia="zh-CN"/>
                          </w:rPr>
                        </m:ctrlPr>
                      </m:naryPr>
                      <m:sub>
                        <m:r>
                          <w:rPr>
                            <w:rFonts w:ascii="Cambria Math"/>
                            <w:lang w:eastAsia="zh-CN"/>
                          </w:rPr>
                          <m:t>c=0</m:t>
                        </m:r>
                      </m:sub>
                      <m:sup>
                        <m:sSubSup>
                          <m:sSubSupPr>
                            <m:ctrlPr>
                              <w:rPr>
                                <w:rFonts w:ascii="Cambria Math" w:hAnsi="Cambria Math"/>
                                <w:i/>
                                <w:lang w:eastAsia="zh-CN"/>
                              </w:rPr>
                            </m:ctrlPr>
                          </m:sSubSupPr>
                          <m:e>
                            <m:r>
                              <w:rPr>
                                <w:rFonts w:ascii="Cambria Math"/>
                                <w:lang w:eastAsia="zh-CN"/>
                              </w:rPr>
                              <m:t>N</m:t>
                            </m:r>
                          </m:e>
                          <m:sub>
                            <m:r>
                              <m:rPr>
                                <m:nor/>
                              </m:rPr>
                              <w:rPr>
                                <w:rFonts w:ascii="Cambria Math"/>
                                <w:lang w:eastAsia="zh-CN"/>
                              </w:rPr>
                              <m:t>cells</m:t>
                            </m:r>
                            <m:r>
                              <m:rPr>
                                <m:nor/>
                              </m:rPr>
                              <w:rPr>
                                <w:rFonts w:ascii="Cambria Math"/>
                                <w:i/>
                                <w:iCs/>
                                <w:lang w:eastAsia="zh-CN"/>
                              </w:rPr>
                              <m:t>,</m:t>
                            </m:r>
                            <m:r>
                              <w:rPr>
                                <w:rFonts w:ascii="Cambria Math"/>
                                <w:lang w:eastAsia="zh-CN"/>
                              </w:rPr>
                              <m:t>g</m:t>
                            </m:r>
                            <m:ctrlPr>
                              <w:rPr>
                                <w:rFonts w:ascii="Cambria Math" w:hAnsi="Cambria Math"/>
                                <w:lang w:eastAsia="zh-CN"/>
                              </w:rPr>
                            </m:ctrlPr>
                          </m:sub>
                          <m:sup>
                            <m:r>
                              <m:rPr>
                                <m:nor/>
                              </m:rPr>
                              <w:rPr>
                                <w:rFonts w:ascii="Cambria Math"/>
                                <w:lang w:eastAsia="zh-CN"/>
                              </w:rPr>
                              <m:t>DL</m:t>
                            </m:r>
                            <m:ctrlPr>
                              <w:rPr>
                                <w:rFonts w:ascii="Cambria Math" w:hAnsi="Cambria Math"/>
                                <w:lang w:eastAsia="zh-CN"/>
                              </w:rPr>
                            </m:ctrlPr>
                          </m:sup>
                        </m:sSubSup>
                        <m:r>
                          <w:rPr>
                            <w:rFonts w:ascii="Cambria Math"/>
                            <w:lang w:eastAsia="zh-CN"/>
                          </w:rPr>
                          <m:t>-</m:t>
                        </m:r>
                        <m:r>
                          <w:rPr>
                            <w:rFonts w:ascii="Cambria Math"/>
                            <w:lang w:eastAsia="zh-CN"/>
                          </w:rPr>
                          <m:t>1</m:t>
                        </m:r>
                      </m:sup>
                      <m:e>
                        <m:d>
                          <m:dPr>
                            <m:ctrlPr>
                              <w:rPr>
                                <w:rFonts w:ascii="Cambria Math" w:hAnsi="Cambria Math"/>
                                <w:i/>
                                <w:lang w:eastAsia="zh-CN"/>
                              </w:rPr>
                            </m:ctrlPr>
                          </m:dPr>
                          <m:e>
                            <m:nary>
                              <m:naryPr>
                                <m:chr m:val="∑"/>
                                <m:ctrlPr>
                                  <w:rPr>
                                    <w:rFonts w:ascii="Cambria Math" w:hAnsi="Cambria Math"/>
                                    <w:i/>
                                    <w:lang w:eastAsia="zh-CN"/>
                                  </w:rPr>
                                </m:ctrlPr>
                              </m:naryPr>
                              <m:sub>
                                <m:r>
                                  <w:rPr>
                                    <w:rFonts w:ascii="Cambria Math"/>
                                    <w:lang w:eastAsia="zh-CN"/>
                                  </w:rPr>
                                  <m:t>m=0</m:t>
                                </m:r>
                              </m:sub>
                              <m:sup>
                                <m:sSub>
                                  <m:sSubPr>
                                    <m:ctrlPr>
                                      <w:rPr>
                                        <w:rFonts w:ascii="Cambria Math" w:hAnsi="Cambria Math"/>
                                        <w:i/>
                                        <w:lang w:eastAsia="zh-CN"/>
                                      </w:rPr>
                                    </m:ctrlPr>
                                  </m:sSubPr>
                                  <m:e>
                                    <m:r>
                                      <w:rPr>
                                        <w:rFonts w:ascii="Cambria Math"/>
                                        <w:lang w:eastAsia="zh-CN"/>
                                      </w:rPr>
                                      <m:t>M</m:t>
                                    </m:r>
                                  </m:e>
                                  <m:sub>
                                    <m:r>
                                      <w:rPr>
                                        <w:rFonts w:ascii="Cambria Math"/>
                                        <w:lang w:eastAsia="zh-CN"/>
                                      </w:rPr>
                                      <m:t>g</m:t>
                                    </m:r>
                                  </m:sub>
                                </m:sSub>
                                <m:r>
                                  <w:rPr>
                                    <w:rFonts w:ascii="Cambria Math"/>
                                    <w:lang w:eastAsia="zh-CN"/>
                                  </w:rPr>
                                  <m:t>-</m:t>
                                </m:r>
                                <m:r>
                                  <w:rPr>
                                    <w:rFonts w:ascii="Cambria Math"/>
                                    <w:lang w:eastAsia="zh-CN"/>
                                  </w:rPr>
                                  <m:t>1</m:t>
                                </m:r>
                              </m:sup>
                              <m:e>
                                <m:sSubSup>
                                  <m:sSubSupPr>
                                    <m:ctrlPr>
                                      <w:rPr>
                                        <w:rFonts w:ascii="Cambria Math" w:hAnsi="Cambria Math"/>
                                        <w:i/>
                                        <w:lang w:eastAsia="zh-CN"/>
                                      </w:rPr>
                                    </m:ctrlPr>
                                  </m:sSubSupPr>
                                  <m:e>
                                    <m:r>
                                      <w:rPr>
                                        <w:rFonts w:ascii="Cambria Math"/>
                                        <w:lang w:eastAsia="zh-CN"/>
                                      </w:rPr>
                                      <m:t>N</m:t>
                                    </m:r>
                                  </m:e>
                                  <m:sub>
                                    <m:r>
                                      <w:rPr>
                                        <w:rFonts w:ascii="Cambria Math"/>
                                        <w:lang w:eastAsia="zh-CN"/>
                                      </w:rPr>
                                      <m:t>m,c,g</m:t>
                                    </m:r>
                                  </m:sub>
                                  <m:sup>
                                    <m:r>
                                      <m:rPr>
                                        <m:nor/>
                                      </m:rPr>
                                      <w:rPr>
                                        <w:rFonts w:ascii="Cambria Math"/>
                                        <w:lang w:eastAsia="zh-CN"/>
                                      </w:rPr>
                                      <m:t>received</m:t>
                                    </m:r>
                                    <m:ctrlPr>
                                      <w:rPr>
                                        <w:rFonts w:ascii="Cambria Math" w:hAnsi="Cambria Math"/>
                                        <w:lang w:eastAsia="zh-CN"/>
                                      </w:rPr>
                                    </m:ctrlPr>
                                  </m:sup>
                                </m:sSubSup>
                                <m:r>
                                  <w:rPr>
                                    <w:rFonts w:ascii="Cambria Math"/>
                                    <w:lang w:eastAsia="zh-CN"/>
                                  </w:rPr>
                                  <m:t>+</m:t>
                                </m:r>
                                <m:sSub>
                                  <m:sSubPr>
                                    <m:ctrlPr>
                                      <w:rPr>
                                        <w:rFonts w:ascii="Cambria Math" w:hAnsi="Cambria Math"/>
                                        <w:i/>
                                        <w:lang w:eastAsia="zh-CN"/>
                                      </w:rPr>
                                    </m:ctrlPr>
                                  </m:sSubPr>
                                  <m:e>
                                    <m:r>
                                      <w:rPr>
                                        <w:rFonts w:ascii="Cambria Math"/>
                                        <w:lang w:eastAsia="zh-CN"/>
                                      </w:rPr>
                                      <m:t>N</m:t>
                                    </m:r>
                                  </m:e>
                                  <m:sub>
                                    <m:r>
                                      <m:rPr>
                                        <m:nor/>
                                      </m:rPr>
                                      <w:rPr>
                                        <w:rFonts w:ascii="Cambria Math"/>
                                        <w:lang w:eastAsia="zh-CN"/>
                                      </w:rPr>
                                      <m:t>SPS</m:t>
                                    </m:r>
                                    <m:r>
                                      <m:rPr>
                                        <m:sty m:val="p"/>
                                      </m:rPr>
                                      <w:rPr>
                                        <w:rFonts w:ascii="Cambria Math"/>
                                        <w:lang w:eastAsia="zh-CN"/>
                                      </w:rPr>
                                      <m:t>,</m:t>
                                    </m:r>
                                    <m:r>
                                      <w:rPr>
                                        <w:rFonts w:ascii="Cambria Math"/>
                                        <w:lang w:eastAsia="zh-CN"/>
                                      </w:rPr>
                                      <m:t>c,g</m:t>
                                    </m:r>
                                    <m:ctrlPr>
                                      <w:rPr>
                                        <w:rFonts w:ascii="Cambria Math" w:hAnsi="Cambria Math"/>
                                        <w:lang w:eastAsia="zh-CN"/>
                                      </w:rPr>
                                    </m:ctrlPr>
                                  </m:sub>
                                </m:sSub>
                              </m:e>
                            </m:nary>
                          </m:e>
                        </m:d>
                      </m:e>
                    </m:nary>
                  </m:e>
                </m:d>
              </m:e>
            </m:nary>
          </m:e>
        </m:nary>
      </m:oMath>
    </w:p>
    <w:p w14:paraId="64F9FA9B" w14:textId="77777777" w:rsidR="00CB5759" w:rsidRPr="00B06CC2" w:rsidRDefault="00CB5759" w:rsidP="00CB5759">
      <w:pPr>
        <w:rPr>
          <w:rFonts w:cs="Arial"/>
          <w:lang w:eastAsia="zh-CN"/>
        </w:rPr>
      </w:pPr>
      <w:r w:rsidRPr="00B06CC2">
        <w:rPr>
          <w:rFonts w:cs="Arial"/>
          <w:lang w:eastAsia="zh-CN"/>
        </w:rPr>
        <w:t xml:space="preserve">where </w:t>
      </w:r>
    </w:p>
    <w:p w14:paraId="650FF67B" w14:textId="77777777" w:rsidR="00CB5759" w:rsidRPr="00B06CC2" w:rsidRDefault="00CB5759" w:rsidP="00CB5759">
      <w:pPr>
        <w:pStyle w:val="B1"/>
        <w:rPr>
          <w:rFonts w:cs="Arial"/>
          <w:lang w:val="en-US"/>
        </w:rPr>
      </w:pPr>
      <w:r w:rsidRPr="00B06CC2">
        <w:rPr>
          <w:rFonts w:cs="Arial"/>
          <w:lang w:eastAsia="zh-CN"/>
        </w:rPr>
        <w:t>-</w:t>
      </w:r>
      <w:r w:rsidRPr="00B06CC2">
        <w:rPr>
          <w:rFonts w:cs="Arial"/>
          <w:lang w:eastAsia="zh-CN"/>
        </w:rPr>
        <w:tab/>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m:t>
            </m:r>
            <m:ctrlPr>
              <w:rPr>
                <w:rFonts w:ascii="Cambria Math" w:hAnsi="Cambria Math"/>
              </w:rPr>
            </m:ctrlPr>
          </m:sup>
        </m:sSubSup>
      </m:oMath>
      <w:r w:rsidRPr="00B06CC2">
        <w:rPr>
          <w:rFonts w:cs="Arial"/>
          <w:lang w:val="en-US"/>
        </w:rPr>
        <w:t xml:space="preserve"> is a number of serving cells where the UE is configured to receive unicast PDSCHs</w:t>
      </w:r>
    </w:p>
    <w:p w14:paraId="306FB549" w14:textId="7B8A33AE" w:rsidR="00CB5759" w:rsidRPr="00B06CC2" w:rsidRDefault="00CB5759" w:rsidP="00CB5759">
      <w:pPr>
        <w:pStyle w:val="B1"/>
        <w:rPr>
          <w:rFonts w:cs="Arial"/>
          <w:iCs/>
        </w:rPr>
      </w:pPr>
      <w:r w:rsidRPr="00B06CC2">
        <w:rPr>
          <w:rFonts w:cs="Arial"/>
          <w:lang w:eastAsia="zh-CN"/>
        </w:rPr>
        <w:t>-</w:t>
      </w:r>
      <w:r w:rsidRPr="00B06CC2">
        <w:rPr>
          <w:rFonts w:cs="Arial"/>
          <w:lang w:eastAsia="zh-CN"/>
        </w:rPr>
        <w:tab/>
      </w:r>
      <m:oMath>
        <m:sSubSup>
          <m:sSubSupPr>
            <m:ctrlPr>
              <w:rPr>
                <w:rFonts w:ascii="Cambria Math" w:hAnsi="Cambria Math"/>
                <w:i/>
              </w:rPr>
            </m:ctrlPr>
          </m:sSubSupPr>
          <m:e>
            <m:r>
              <w:rPr>
                <w:rFonts w:ascii="Cambria Math"/>
              </w:rPr>
              <m:t>N</m:t>
            </m:r>
          </m:e>
          <m:sub>
            <m:r>
              <m:rPr>
                <m:sty m:val="p"/>
              </m:rPr>
              <w:rPr>
                <w:rFonts w:ascii="Cambria Math"/>
              </w:rPr>
              <m:t>cells,</m:t>
            </m:r>
            <m:r>
              <w:rPr>
                <w:rFonts w:ascii="Cambria Math"/>
              </w:rPr>
              <m:t>g</m:t>
            </m:r>
            <m:ctrlPr>
              <w:rPr>
                <w:rFonts w:ascii="Cambria Math" w:hAnsi="Cambria Math"/>
              </w:rPr>
            </m:ctrlPr>
          </m:sub>
          <m:sup>
            <m:r>
              <m:rPr>
                <m:nor/>
              </m:rPr>
              <w:rPr>
                <w:rFonts w:ascii="Cambria Math"/>
                <w:lang w:val="en-US"/>
              </w:rPr>
              <m:t>DL</m:t>
            </m:r>
            <m:ctrlPr>
              <w:rPr>
                <w:rFonts w:ascii="Cambria Math" w:hAnsi="Cambria Math"/>
              </w:rPr>
            </m:ctrlPr>
          </m:sup>
        </m:sSubSup>
      </m:oMath>
      <w:r w:rsidRPr="00B06CC2">
        <w:rPr>
          <w:rFonts w:cs="Arial"/>
          <w:lang w:val="en-US"/>
        </w:rPr>
        <w:t xml:space="preserve"> is a number of serving cells where the UE is configured to receive multicast PDSCHs for a G-RNTI </w:t>
      </w:r>
      <m:oMath>
        <m:r>
          <w:rPr>
            <w:rFonts w:ascii="Cambria Math"/>
          </w:rPr>
          <m:t>g</m:t>
        </m:r>
      </m:oMath>
      <w:r w:rsidRPr="00B06CC2">
        <w:rPr>
          <w:rFonts w:cs="Arial"/>
          <w:lang w:val="en-US"/>
        </w:rPr>
        <w:t xml:space="preserve"> </w:t>
      </w:r>
      <w:r w:rsidR="00FA4F75">
        <w:rPr>
          <w:rFonts w:cs="Arial"/>
          <w:lang w:val="en-US"/>
        </w:rPr>
        <w:t xml:space="preserve">for multicast </w:t>
      </w:r>
      <w:r w:rsidRPr="00B06CC2">
        <w:rPr>
          <w:rFonts w:cs="Arial"/>
          <w:lang w:val="en-US"/>
        </w:rPr>
        <w:t xml:space="preserve">or a G-CS-RNTI </w:t>
      </w:r>
      <m:oMath>
        <m:r>
          <w:rPr>
            <w:rFonts w:ascii="Cambria Math"/>
          </w:rPr>
          <m:t>g</m:t>
        </m:r>
      </m:oMath>
    </w:p>
    <w:p w14:paraId="488A7AE0" w14:textId="58BDF04E" w:rsidR="00CB5759" w:rsidRPr="00B06CC2" w:rsidRDefault="00CB5759" w:rsidP="00CB5759">
      <w:pPr>
        <w:pStyle w:val="B1"/>
        <w:rPr>
          <w:rFonts w:cs="Arial"/>
          <w:iCs/>
        </w:rPr>
      </w:pPr>
      <w:r w:rsidRPr="00B06CC2">
        <w:rPr>
          <w:rFonts w:cs="Arial"/>
          <w:lang w:eastAsia="zh-CN"/>
        </w:rPr>
        <w:t>-</w:t>
      </w:r>
      <w:r w:rsidRPr="00B06CC2">
        <w:rPr>
          <w:rFonts w:cs="Arial"/>
          <w:lang w:eastAsia="zh-CN"/>
        </w:rPr>
        <w:tab/>
      </w:r>
      <m:oMath>
        <m:r>
          <w:rPr>
            <w:rFonts w:ascii="Cambria Math" w:hAnsi="Cambria Math"/>
          </w:rPr>
          <m:t>G</m:t>
        </m:r>
      </m:oMath>
      <w:r w:rsidRPr="00B06CC2">
        <w:rPr>
          <w:rFonts w:cs="Arial"/>
          <w:lang w:val="en-US"/>
        </w:rPr>
        <w:t xml:space="preserve"> is a total number of G-RNTIs </w:t>
      </w:r>
      <w:r w:rsidR="00FA4F75">
        <w:rPr>
          <w:rFonts w:cs="Arial"/>
          <w:lang w:val="en-US"/>
        </w:rPr>
        <w:t xml:space="preserve">for multicast </w:t>
      </w:r>
      <w:r w:rsidRPr="00B06CC2">
        <w:rPr>
          <w:rFonts w:cs="Arial"/>
          <w:lang w:val="en-US"/>
        </w:rPr>
        <w:t>or G-CS-RNTIs configured to the UE</w:t>
      </w:r>
    </w:p>
    <w:p w14:paraId="0398B68D" w14:textId="77777777" w:rsidR="00CB5759" w:rsidRPr="00B06CC2" w:rsidRDefault="00CB5759" w:rsidP="00CB5759">
      <w:pPr>
        <w:pStyle w:val="B1"/>
        <w:rPr>
          <w:rFonts w:cs="Arial"/>
          <w:lang w:val="en-US"/>
        </w:rPr>
      </w:pPr>
      <w:r w:rsidRPr="00B06CC2">
        <w:rPr>
          <w:rFonts w:cs="Arial"/>
          <w:lang w:eastAsia="zh-CN"/>
        </w:rPr>
        <w:t>-</w:t>
      </w:r>
      <w:r w:rsidRPr="00B06CC2">
        <w:rPr>
          <w:rFonts w:cs="Arial"/>
          <w:lang w:eastAsia="zh-CN"/>
        </w:rPr>
        <w:tab/>
      </w:r>
      <m:oMath>
        <m:r>
          <w:rPr>
            <w:rFonts w:ascii="Cambria Math" w:hAnsi="Cambria Math" w:cs="Arial"/>
            <w:lang w:eastAsia="zh-CN"/>
          </w:rPr>
          <m:t>M</m:t>
        </m:r>
      </m:oMath>
      <w:r w:rsidRPr="00B06CC2">
        <w:rPr>
          <w:rFonts w:cs="Arial"/>
          <w:lang w:val="en-US"/>
        </w:rPr>
        <w:t xml:space="preserve"> is the number of PDCCH monitoring occasions for unicast DCI formats </w:t>
      </w:r>
    </w:p>
    <w:p w14:paraId="149FE42A" w14:textId="578BD331" w:rsidR="00CB5759" w:rsidRPr="00B06CC2" w:rsidRDefault="00CB5759" w:rsidP="00CB5759">
      <w:pPr>
        <w:pStyle w:val="B1"/>
        <w:rPr>
          <w:rFonts w:cs="Arial"/>
          <w:iCs/>
        </w:rPr>
      </w:pPr>
      <w:r w:rsidRPr="00B06CC2">
        <w:rPr>
          <w:rFonts w:cs="Arial"/>
          <w:lang w:eastAsia="zh-CN"/>
        </w:rPr>
        <w:t>-</w:t>
      </w:r>
      <w:r w:rsidRPr="00B06CC2">
        <w:rPr>
          <w:rFonts w:cs="Arial"/>
          <w:lang w:eastAsia="zh-CN"/>
        </w:rPr>
        <w:tab/>
      </w:r>
      <m:oMath>
        <m:sSub>
          <m:sSubPr>
            <m:ctrlPr>
              <w:rPr>
                <w:rFonts w:ascii="Cambria Math" w:hAnsi="Cambria Math"/>
                <w:i/>
                <w:lang w:eastAsia="zh-CN"/>
              </w:rPr>
            </m:ctrlPr>
          </m:sSubPr>
          <m:e>
            <m:r>
              <w:rPr>
                <w:rFonts w:ascii="Cambria Math"/>
                <w:lang w:eastAsia="zh-CN"/>
              </w:rPr>
              <m:t>M</m:t>
            </m:r>
          </m:e>
          <m:sub>
            <m:r>
              <w:rPr>
                <w:rFonts w:ascii="Cambria Math"/>
                <w:lang w:eastAsia="zh-CN"/>
              </w:rPr>
              <m:t>g</m:t>
            </m:r>
          </m:sub>
        </m:sSub>
      </m:oMath>
      <w:r w:rsidRPr="00B06CC2">
        <w:rPr>
          <w:rFonts w:cs="Arial"/>
          <w:lang w:val="en-US"/>
        </w:rPr>
        <w:t xml:space="preserve"> is the number of PDCCH monitoring occasions for multicast DCI formats with CRC scrambled by G-RNTI </w:t>
      </w:r>
      <m:oMath>
        <m:r>
          <w:rPr>
            <w:rFonts w:ascii="Cambria Math"/>
          </w:rPr>
          <m:t>g</m:t>
        </m:r>
      </m:oMath>
      <w:r w:rsidRPr="00B06CC2">
        <w:rPr>
          <w:rFonts w:cs="Arial"/>
          <w:lang w:val="en-US"/>
        </w:rPr>
        <w:t xml:space="preserve"> </w:t>
      </w:r>
      <w:r w:rsidR="00FA4F75">
        <w:rPr>
          <w:rFonts w:cs="Arial"/>
          <w:lang w:val="en-US"/>
        </w:rPr>
        <w:t xml:space="preserve">for multicast </w:t>
      </w:r>
      <w:r w:rsidRPr="00B06CC2">
        <w:rPr>
          <w:rFonts w:cs="Arial"/>
          <w:lang w:val="en-US"/>
        </w:rPr>
        <w:t xml:space="preserve">or G-CS-RNTI </w:t>
      </w:r>
      <m:oMath>
        <m:r>
          <w:rPr>
            <w:rFonts w:ascii="Cambria Math"/>
          </w:rPr>
          <m:t>g</m:t>
        </m:r>
      </m:oMath>
    </w:p>
    <w:p w14:paraId="5500E7CA" w14:textId="77777777" w:rsidR="00CB5759" w:rsidRPr="00B06CC2" w:rsidRDefault="00CB5759" w:rsidP="00CB5759">
      <w:pPr>
        <w:pStyle w:val="B1"/>
        <w:rPr>
          <w:rFonts w:cs="Arial"/>
          <w:lang w:val="en-US"/>
        </w:rPr>
      </w:pPr>
      <w:r w:rsidRPr="00B06CC2">
        <w:rPr>
          <w:rFonts w:cs="Arial"/>
          <w:lang w:eastAsia="zh-CN"/>
        </w:rPr>
        <w:t>-</w:t>
      </w:r>
      <w:r w:rsidRPr="00B06CC2">
        <w:rPr>
          <w:rFonts w:cs="Arial"/>
          <w:lang w:eastAsia="zh-CN"/>
        </w:rPr>
        <w:tab/>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sSup>
          <m:sSupPr>
            <m:ctrlPr>
              <w:rPr>
                <w:rFonts w:ascii="Cambria Math" w:hAnsi="Cambria Math"/>
                <w:i/>
              </w:rPr>
            </m:ctrlPr>
          </m:sSupPr>
          <m:e>
            <m:r>
              <w:rPr>
                <w:rFonts w:ascii="Cambria Math"/>
              </w:rPr>
              <m:t>2</m:t>
            </m:r>
          </m:e>
          <m:sup>
            <m:sSubSup>
              <m:sSubSupPr>
                <m:ctrlPr>
                  <w:rPr>
                    <w:rFonts w:ascii="Cambria Math" w:hAnsi="Cambria Math"/>
                    <w:i/>
                  </w:rPr>
                </m:ctrlPr>
              </m:sSubSupPr>
              <m:e>
                <m:r>
                  <w:rPr>
                    <w:rFonts w:ascii="Cambria Math"/>
                  </w:rPr>
                  <m:t>N</m:t>
                </m:r>
              </m:e>
              <m:sub>
                <m:r>
                  <w:rPr>
                    <w:rFonts w:ascii="Cambria Math"/>
                  </w:rPr>
                  <m:t>C</m:t>
                </m:r>
                <m:r>
                  <w:rPr>
                    <w:rFonts w:ascii="Cambria Math"/>
                  </w:rPr>
                  <m:t>-</m:t>
                </m:r>
                <m:r>
                  <m:rPr>
                    <m:nor/>
                  </m:rPr>
                  <w:rPr>
                    <w:rFonts w:ascii="Cambria Math"/>
                  </w:rPr>
                  <m:t>DAI</m:t>
                </m:r>
                <m:ctrlPr>
                  <w:rPr>
                    <w:rFonts w:ascii="Cambria Math" w:hAnsi="Cambria Math"/>
                  </w:rPr>
                </m:ctrlPr>
              </m:sub>
              <m:sup>
                <m:r>
                  <m:rPr>
                    <m:nor/>
                  </m:rPr>
                  <w:rPr>
                    <w:rFonts w:ascii="Cambria Math"/>
                  </w:rPr>
                  <m:t>DL</m:t>
                </m:r>
                <m:ctrlPr>
                  <w:rPr>
                    <w:rFonts w:ascii="Cambria Math" w:hAnsi="Cambria Math"/>
                  </w:rPr>
                </m:ctrlPr>
              </m:sup>
            </m:sSubSup>
          </m:sup>
        </m:sSup>
      </m:oMath>
      <w:r w:rsidRPr="00B06CC2">
        <w:rPr>
          <w:rFonts w:cs="Arial"/>
          <w:lang w:val="en-US"/>
        </w:rPr>
        <w:t xml:space="preserve"> where </w:t>
      </w:r>
      <m:oMath>
        <m:sSubSup>
          <m:sSubSupPr>
            <m:ctrlPr>
              <w:rPr>
                <w:rFonts w:ascii="Cambria Math" w:hAnsi="Cambria Math"/>
                <w:i/>
              </w:rPr>
            </m:ctrlPr>
          </m:sSubSupPr>
          <m:e>
            <m:r>
              <w:rPr>
                <w:rFonts w:ascii="Cambria Math"/>
              </w:rPr>
              <m:t>N</m:t>
            </m:r>
          </m:e>
          <m:sub>
            <m:r>
              <w:rPr>
                <w:rFonts w:ascii="Cambria Math"/>
              </w:rPr>
              <m:t>C</m:t>
            </m:r>
            <m:r>
              <w:rPr>
                <w:rFonts w:ascii="Cambria Math"/>
              </w:rPr>
              <m:t>-</m:t>
            </m:r>
            <m:r>
              <m:rPr>
                <m:nor/>
              </m:rPr>
              <w:rPr>
                <w:rFonts w:ascii="Cambria Math"/>
              </w:rPr>
              <m:t>DAI</m:t>
            </m:r>
            <m:ctrlPr>
              <w:rPr>
                <w:rFonts w:ascii="Cambria Math" w:hAnsi="Cambria Math"/>
              </w:rPr>
            </m:ctrlPr>
          </m:sub>
          <m:sup>
            <m:r>
              <m:rPr>
                <m:nor/>
              </m:rPr>
              <w:rPr>
                <w:rFonts w:ascii="Cambria Math"/>
              </w:rPr>
              <m:t>DL</m:t>
            </m:r>
            <m:ctrlPr>
              <w:rPr>
                <w:rFonts w:ascii="Cambria Math" w:hAnsi="Cambria Math"/>
              </w:rPr>
            </m:ctrlPr>
          </m:sup>
        </m:sSubSup>
      </m:oMath>
      <w:r w:rsidRPr="00B06CC2">
        <w:t xml:space="preserve"> the number of bits for the counter DAI </w:t>
      </w:r>
      <w:r w:rsidRPr="00B06CC2">
        <w:rPr>
          <w:lang w:val="en-US"/>
        </w:rPr>
        <w:t>field in unicast DCI formats</w:t>
      </w:r>
    </w:p>
    <w:p w14:paraId="1EC903A1" w14:textId="5B79F628" w:rsidR="00CB5759" w:rsidRPr="00B06CC2" w:rsidRDefault="00CB5759" w:rsidP="00CB5759">
      <w:pPr>
        <w:pStyle w:val="B1"/>
        <w:rPr>
          <w:rFonts w:cs="Arial"/>
          <w:lang w:val="en-US"/>
        </w:rPr>
      </w:pPr>
      <w:r w:rsidRPr="00B06CC2">
        <w:rPr>
          <w:rFonts w:cs="Arial"/>
          <w:lang w:eastAsia="zh-CN"/>
        </w:rPr>
        <w:t>-</w:t>
      </w:r>
      <w:r w:rsidRPr="00B06CC2">
        <w:rPr>
          <w:rFonts w:cs="Arial"/>
          <w:lang w:eastAsia="zh-CN"/>
        </w:rPr>
        <w:tab/>
      </w:r>
      <m:oMath>
        <m:sSub>
          <m:sSubPr>
            <m:ctrlPr>
              <w:rPr>
                <w:rFonts w:ascii="Cambria Math" w:hAnsi="Cambria Math"/>
                <w:i/>
              </w:rPr>
            </m:ctrlPr>
          </m:sSubPr>
          <m:e>
            <m:r>
              <w:rPr>
                <w:rFonts w:ascii="Cambria Math" w:hAnsi="Cambria Math"/>
              </w:rPr>
              <m:t>T</m:t>
            </m:r>
          </m:e>
          <m:sub>
            <m:r>
              <w:rPr>
                <w:rFonts w:ascii="Cambria Math" w:hAnsi="Cambria Math"/>
              </w:rPr>
              <m:t>D,g</m:t>
            </m:r>
          </m:sub>
        </m:sSub>
        <m:r>
          <w:rPr>
            <w:rFonts w:ascii="Cambria Math" w:hAnsi="Cambria Math"/>
          </w:rPr>
          <m:t>=</m:t>
        </m:r>
        <m:sSup>
          <m:sSupPr>
            <m:ctrlPr>
              <w:rPr>
                <w:rFonts w:ascii="Cambria Math" w:hAnsi="Cambria Math"/>
                <w:i/>
              </w:rPr>
            </m:ctrlPr>
          </m:sSupPr>
          <m:e>
            <m:r>
              <w:rPr>
                <w:rFonts w:ascii="Cambria Math"/>
              </w:rPr>
              <m:t>2</m:t>
            </m:r>
          </m:e>
          <m:sup>
            <m:sSubSup>
              <m:sSubSupPr>
                <m:ctrlPr>
                  <w:rPr>
                    <w:rFonts w:ascii="Cambria Math" w:hAnsi="Cambria Math"/>
                    <w:i/>
                  </w:rPr>
                </m:ctrlPr>
              </m:sSubSupPr>
              <m:e>
                <m:r>
                  <w:rPr>
                    <w:rFonts w:ascii="Cambria Math"/>
                  </w:rPr>
                  <m:t>N</m:t>
                </m:r>
              </m:e>
              <m:sub>
                <m:r>
                  <w:rPr>
                    <w:rFonts w:ascii="Cambria Math"/>
                  </w:rPr>
                  <m:t>C</m:t>
                </m:r>
                <m:r>
                  <w:rPr>
                    <w:rFonts w:ascii="Cambria Math"/>
                  </w:rPr>
                  <m:t>-</m:t>
                </m:r>
                <m:r>
                  <m:rPr>
                    <m:nor/>
                  </m:rPr>
                  <w:rPr>
                    <w:rFonts w:ascii="Cambria Math"/>
                  </w:rPr>
                  <m:t>DAI</m:t>
                </m:r>
                <m:r>
                  <m:rPr>
                    <m:nor/>
                  </m:rPr>
                  <w:rPr>
                    <w:rFonts w:ascii="Cambria Math"/>
                    <w:lang w:val="en-US"/>
                  </w:rPr>
                  <m:t>,</m:t>
                </m:r>
                <m:r>
                  <w:rPr>
                    <w:rFonts w:ascii="Cambria Math"/>
                    <w:lang w:eastAsia="zh-CN"/>
                  </w:rPr>
                  <m:t>g</m:t>
                </m:r>
                <m:ctrlPr>
                  <w:rPr>
                    <w:rFonts w:ascii="Cambria Math" w:hAnsi="Cambria Math"/>
                  </w:rPr>
                </m:ctrlPr>
              </m:sub>
              <m:sup>
                <m:r>
                  <m:rPr>
                    <m:nor/>
                  </m:rPr>
                  <w:rPr>
                    <w:rFonts w:ascii="Cambria Math"/>
                  </w:rPr>
                  <m:t>DL</m:t>
                </m:r>
                <m:ctrlPr>
                  <w:rPr>
                    <w:rFonts w:ascii="Cambria Math" w:hAnsi="Cambria Math"/>
                  </w:rPr>
                </m:ctrlPr>
              </m:sup>
            </m:sSubSup>
          </m:sup>
        </m:sSup>
      </m:oMath>
      <w:r w:rsidRPr="00B06CC2">
        <w:rPr>
          <w:rFonts w:cs="Arial"/>
          <w:lang w:val="en-US"/>
        </w:rPr>
        <w:t xml:space="preserve"> where </w:t>
      </w:r>
      <m:oMath>
        <m:sSubSup>
          <m:sSubSupPr>
            <m:ctrlPr>
              <w:rPr>
                <w:rFonts w:ascii="Cambria Math" w:hAnsi="Cambria Math"/>
                <w:i/>
              </w:rPr>
            </m:ctrlPr>
          </m:sSubSupPr>
          <m:e>
            <m:r>
              <w:rPr>
                <w:rFonts w:ascii="Cambria Math"/>
              </w:rPr>
              <m:t>N</m:t>
            </m:r>
          </m:e>
          <m:sub>
            <m:r>
              <w:rPr>
                <w:rFonts w:ascii="Cambria Math"/>
              </w:rPr>
              <m:t>C</m:t>
            </m:r>
            <m:r>
              <w:rPr>
                <w:rFonts w:ascii="Cambria Math"/>
              </w:rPr>
              <m:t>-</m:t>
            </m:r>
            <m:r>
              <m:rPr>
                <m:nor/>
              </m:rPr>
              <w:rPr>
                <w:rFonts w:ascii="Cambria Math"/>
              </w:rPr>
              <m:t>DAI</m:t>
            </m:r>
            <m:r>
              <m:rPr>
                <m:nor/>
              </m:rPr>
              <w:rPr>
                <w:rFonts w:ascii="Cambria Math"/>
                <w:lang w:val="en-US"/>
              </w:rPr>
              <m:t>,</m:t>
            </m:r>
            <m:r>
              <w:rPr>
                <w:rFonts w:ascii="Cambria Math"/>
                <w:lang w:eastAsia="zh-CN"/>
              </w:rPr>
              <m:t>g</m:t>
            </m:r>
            <m:ctrlPr>
              <w:rPr>
                <w:rFonts w:ascii="Cambria Math" w:hAnsi="Cambria Math"/>
              </w:rPr>
            </m:ctrlPr>
          </m:sub>
          <m:sup>
            <m:r>
              <m:rPr>
                <m:nor/>
              </m:rPr>
              <w:rPr>
                <w:rFonts w:ascii="Cambria Math"/>
              </w:rPr>
              <m:t>DL</m:t>
            </m:r>
            <m:ctrlPr>
              <w:rPr>
                <w:rFonts w:ascii="Cambria Math" w:hAnsi="Cambria Math"/>
              </w:rPr>
            </m:ctrlPr>
          </m:sup>
        </m:sSubSup>
      </m:oMath>
      <w:r w:rsidRPr="00B06CC2">
        <w:t xml:space="preserve"> the number of bits for the counter DAI </w:t>
      </w:r>
      <w:r w:rsidRPr="00B06CC2">
        <w:rPr>
          <w:lang w:val="en-US"/>
        </w:rPr>
        <w:t xml:space="preserve">field in multicast DCI formats </w:t>
      </w:r>
      <w:r w:rsidRPr="00B06CC2">
        <w:rPr>
          <w:rFonts w:cs="Arial"/>
          <w:lang w:val="en-US"/>
        </w:rPr>
        <w:t>with CRC scrambled by</w:t>
      </w:r>
      <w:r w:rsidRPr="00B06CC2">
        <w:rPr>
          <w:rFonts w:cs="Arial"/>
          <w:lang w:val="en-US" w:eastAsia="zh-CN"/>
        </w:rPr>
        <w:t xml:space="preserve"> G-RNTI </w:t>
      </w:r>
      <m:oMath>
        <m:r>
          <w:rPr>
            <w:rFonts w:ascii="Cambria Math" w:hAnsi="Cambria Math"/>
          </w:rPr>
          <m:t>g</m:t>
        </m:r>
      </m:oMath>
      <w:r w:rsidRPr="00B06CC2">
        <w:rPr>
          <w:rFonts w:cs="Arial"/>
          <w:lang w:val="en-US" w:eastAsia="zh-CN"/>
        </w:rPr>
        <w:t xml:space="preserve"> </w:t>
      </w:r>
      <w:r w:rsidR="00FA4F75">
        <w:rPr>
          <w:rFonts w:cs="Arial"/>
          <w:lang w:val="en-US"/>
        </w:rPr>
        <w:t xml:space="preserve">for multicast </w:t>
      </w:r>
      <w:r w:rsidRPr="00B06CC2">
        <w:rPr>
          <w:rFonts w:cs="Arial"/>
          <w:lang w:val="en-US" w:eastAsia="zh-CN"/>
        </w:rPr>
        <w:t xml:space="preserve">or G-CS-RNTI </w:t>
      </w:r>
      <m:oMath>
        <m:r>
          <w:rPr>
            <w:rFonts w:ascii="Cambria Math"/>
          </w:rPr>
          <m:t>g</m:t>
        </m:r>
      </m:oMath>
    </w:p>
    <w:p w14:paraId="34C4CA12" w14:textId="2A23DA05" w:rsidR="00522C35" w:rsidRDefault="00522C35" w:rsidP="00522C35">
      <w:pPr>
        <w:pStyle w:val="B1"/>
      </w:pPr>
      <w:r>
        <w:rPr>
          <w:rFonts w:cs="Arial"/>
          <w:lang w:eastAsia="zh-CN"/>
        </w:rPr>
        <w:t>-</w:t>
      </w:r>
      <w:r>
        <w:rPr>
          <w:rFonts w:cs="Arial"/>
          <w:lang w:eastAsia="zh-CN"/>
        </w:rPr>
        <w:tab/>
      </w:r>
      <w:r>
        <w:rPr>
          <w:rFonts w:cs="Arial"/>
          <w:lang w:val="en-US" w:eastAsia="zh-CN"/>
        </w:rPr>
        <w:t xml:space="preserve">if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m:t>
            </m:r>
            <m:ctrlPr>
              <w:rPr>
                <w:rFonts w:ascii="Cambria Math" w:hAnsi="Cambria Math"/>
              </w:rPr>
            </m:ctrlPr>
          </m:sup>
        </m:sSubSup>
        <m:r>
          <w:rPr>
            <w:rFonts w:ascii="Cambria Math" w:hAnsi="Cambria Math"/>
          </w:rPr>
          <m:t>=1</m:t>
        </m:r>
      </m:oMath>
      <w:r>
        <w:rPr>
          <w:lang w:val="en-US"/>
        </w:rPr>
        <w:t xml:space="preserve">, </w:t>
      </w:r>
      <m:oMath>
        <m:sSubSup>
          <m:sSubSupPr>
            <m:ctrlPr>
              <w:rPr>
                <w:rFonts w:ascii="Cambria Math" w:hAnsi="Cambria Math"/>
                <w:i/>
              </w:rPr>
            </m:ctrlPr>
          </m:sSubSupPr>
          <m:e>
            <m:r>
              <w:rPr>
                <w:rFonts w:ascii="Cambria Math"/>
              </w:rPr>
              <m:t>V</m:t>
            </m:r>
          </m:e>
          <m:sub>
            <m:r>
              <m:rPr>
                <m:sty m:val="p"/>
              </m:rPr>
              <w:rPr>
                <w:rFonts w:ascii="Cambria Math"/>
              </w:rPr>
              <m:t>DAI,</m:t>
            </m:r>
            <m:sSub>
              <m:sSubPr>
                <m:ctrlPr>
                  <w:rPr>
                    <w:rFonts w:ascii="Cambria Math" w:hAnsi="Cambria Math"/>
                    <w:lang w:eastAsia="zh-CN"/>
                  </w:rPr>
                </m:ctrlPr>
              </m:sSubPr>
              <m:e>
                <m:r>
                  <w:rPr>
                    <w:rFonts w:ascii="Cambria Math" w:hAnsi="Cambria Math"/>
                    <w:lang w:eastAsia="zh-CN"/>
                  </w:rPr>
                  <m:t>m</m:t>
                </m:r>
              </m:e>
              <m:sub>
                <m:r>
                  <m:rPr>
                    <m:sty m:val="p"/>
                  </m:rPr>
                  <w:rPr>
                    <w:rFonts w:ascii="Cambria Math" w:hAnsi="Cambria Math"/>
                    <w:lang w:eastAsia="zh-CN"/>
                  </w:rPr>
                  <m:t>last</m:t>
                </m:r>
              </m:sub>
            </m:sSub>
            <m:ctrlPr>
              <w:rPr>
                <w:rFonts w:ascii="Cambria Math" w:hAnsi="Cambria Math"/>
              </w:rPr>
            </m:ctrlPr>
          </m:sub>
          <m:sup>
            <m:r>
              <m:rPr>
                <m:nor/>
              </m:rPr>
              <w:rPr>
                <w:rFonts w:ascii="Cambria Math"/>
                <w:lang w:val="en-US"/>
              </w:rPr>
              <m:t>DL</m:t>
            </m:r>
            <m:ctrlPr>
              <w:rPr>
                <w:rFonts w:ascii="Cambria Math" w:hAnsi="Cambria Math"/>
              </w:rPr>
            </m:ctrlPr>
          </m:sup>
        </m:sSubSup>
      </m:oMath>
      <w:r>
        <w:rPr>
          <w:rFonts w:cs="Arial"/>
          <w:lang w:eastAsia="zh-CN"/>
        </w:rPr>
        <w:t xml:space="preserve"> is the value </w:t>
      </w:r>
      <w:r w:rsidRPr="00B916EC">
        <w:rPr>
          <w:rFonts w:cs="Arial" w:hint="eastAsia"/>
          <w:lang w:eastAsia="zh-CN"/>
        </w:rPr>
        <w:t xml:space="preserve">of the counter DAI in </w:t>
      </w:r>
      <w:r>
        <w:rPr>
          <w:rFonts w:cs="Arial"/>
          <w:lang w:eastAsia="zh-CN"/>
        </w:rPr>
        <w:t xml:space="preserve">the last </w:t>
      </w:r>
      <w:r w:rsidRPr="00B916EC">
        <w:rPr>
          <w:rFonts w:cs="Arial" w:hint="eastAsia"/>
          <w:lang w:eastAsia="zh-CN"/>
        </w:rPr>
        <w:t xml:space="preserve">DCI format </w:t>
      </w:r>
      <w:r w:rsidRPr="00B916EC">
        <w:rPr>
          <w:rFonts w:hint="eastAsia"/>
          <w:lang w:eastAsia="zh-CN"/>
        </w:rPr>
        <w:t xml:space="preserve">scheduling PDSCH </w:t>
      </w:r>
      <w:r w:rsidRPr="00B916EC">
        <w:rPr>
          <w:lang w:eastAsia="zh-CN"/>
        </w:rPr>
        <w:t>recept</w:t>
      </w:r>
      <w:r w:rsidRPr="00B916EC">
        <w:rPr>
          <w:rFonts w:hint="eastAsia"/>
          <w:lang w:eastAsia="zh-CN"/>
        </w:rPr>
        <w:t xml:space="preserve">ion or </w:t>
      </w:r>
      <w:r w:rsidR="00510FD4">
        <w:rPr>
          <w:lang w:val="en-US" w:eastAsia="zh-CN"/>
        </w:rPr>
        <w:t>having associated</w:t>
      </w:r>
      <w:r w:rsidR="00510FD4" w:rsidRPr="00B27E56">
        <w:rPr>
          <w:lang w:val="en-US" w:eastAsia="zh-CN"/>
        </w:rPr>
        <w:t xml:space="preserve"> HARQ-ACK information without scheduling PDSCH reception</w:t>
      </w:r>
      <w:r w:rsidR="00510FD4" w:rsidRPr="00B27E56">
        <w:rPr>
          <w:rFonts w:hint="eastAsia"/>
          <w:lang w:val="en-US" w:eastAsia="zh-CN"/>
        </w:rPr>
        <w:t>,</w:t>
      </w:r>
      <w:r w:rsidR="00510FD4" w:rsidRPr="00B27E56">
        <w:rPr>
          <w:rFonts w:hint="eastAsia"/>
          <w:lang w:eastAsia="zh-CN"/>
        </w:rPr>
        <w:t xml:space="preserve"> </w:t>
      </w:r>
      <w:r>
        <w:rPr>
          <w:lang w:eastAsia="zh-CN"/>
        </w:rPr>
        <w:t>that the UE detects with</w:t>
      </w:r>
      <w:r w:rsidRPr="00B916EC">
        <w:rPr>
          <w:rFonts w:hint="eastAsia"/>
          <w:lang w:eastAsia="zh-CN"/>
        </w:rPr>
        <w:t xml:space="preserve">in </w:t>
      </w:r>
      <w:r>
        <w:rPr>
          <w:lang w:eastAsia="zh-CN"/>
        </w:rPr>
        <w:t xml:space="preserve">the </w:t>
      </w:r>
      <m:oMath>
        <m:r>
          <w:rPr>
            <w:rFonts w:ascii="Cambria Math" w:hAnsi="Cambria Math"/>
            <w:lang w:eastAsia="zh-CN"/>
          </w:rPr>
          <m:t>M</m:t>
        </m:r>
      </m:oMath>
      <w:r>
        <w:t xml:space="preserve"> </w:t>
      </w:r>
      <w:r w:rsidRPr="00B916EC">
        <w:rPr>
          <w:lang w:eastAsia="zh-CN"/>
        </w:rPr>
        <w:t>PDCCH monitoring occasio</w:t>
      </w:r>
      <w:r>
        <w:rPr>
          <w:lang w:eastAsia="zh-CN"/>
        </w:rPr>
        <w:t>ns</w:t>
      </w:r>
      <w:r>
        <w:t>.</w:t>
      </w:r>
      <w:r w:rsidRPr="005E2BFD">
        <w:t xml:space="preserve"> </w:t>
      </w:r>
    </w:p>
    <w:p w14:paraId="70350BDA" w14:textId="49ED0BC1" w:rsidR="00CB5759" w:rsidRDefault="00CB5759" w:rsidP="00522C35">
      <w:pPr>
        <w:pStyle w:val="B1"/>
      </w:pPr>
      <w:r w:rsidRPr="00B06CC2">
        <w:rPr>
          <w:rFonts w:cs="Arial"/>
          <w:lang w:eastAsia="zh-CN"/>
        </w:rPr>
        <w:t>-</w:t>
      </w:r>
      <w:r w:rsidRPr="00B06CC2">
        <w:rPr>
          <w:rFonts w:cs="Arial"/>
          <w:lang w:eastAsia="zh-CN"/>
        </w:rPr>
        <w:tab/>
      </w:r>
      <w:r w:rsidRPr="00B06CC2">
        <w:rPr>
          <w:rFonts w:cs="Arial"/>
          <w:lang w:val="en-US" w:eastAsia="zh-CN"/>
        </w:rPr>
        <w:t xml:space="preserve">if </w:t>
      </w:r>
      <m:oMath>
        <m:sSubSup>
          <m:sSubSupPr>
            <m:ctrlPr>
              <w:rPr>
                <w:rFonts w:ascii="Cambria Math" w:hAnsi="Cambria Math"/>
                <w:i/>
              </w:rPr>
            </m:ctrlPr>
          </m:sSubSupPr>
          <m:e>
            <m:r>
              <w:rPr>
                <w:rFonts w:ascii="Cambria Math"/>
              </w:rPr>
              <m:t>N</m:t>
            </m:r>
          </m:e>
          <m:sub>
            <m:r>
              <m:rPr>
                <m:sty m:val="p"/>
              </m:rPr>
              <w:rPr>
                <w:rFonts w:ascii="Cambria Math"/>
              </w:rPr>
              <m:t>cells,</m:t>
            </m:r>
            <m:r>
              <w:rPr>
                <w:rFonts w:ascii="Cambria Math"/>
              </w:rPr>
              <m:t>g</m:t>
            </m:r>
            <m:ctrlPr>
              <w:rPr>
                <w:rFonts w:ascii="Cambria Math" w:hAnsi="Cambria Math"/>
              </w:rPr>
            </m:ctrlPr>
          </m:sub>
          <m:sup>
            <m:r>
              <m:rPr>
                <m:nor/>
              </m:rPr>
              <w:rPr>
                <w:rFonts w:ascii="Cambria Math"/>
                <w:lang w:val="en-US"/>
              </w:rPr>
              <m:t>DL</m:t>
            </m:r>
            <m:ctrlPr>
              <w:rPr>
                <w:rFonts w:ascii="Cambria Math" w:hAnsi="Cambria Math"/>
              </w:rPr>
            </m:ctrlPr>
          </m:sup>
        </m:sSubSup>
        <m:r>
          <w:rPr>
            <w:rFonts w:ascii="Cambria Math" w:hAnsi="Cambria Math"/>
          </w:rPr>
          <m:t>=1</m:t>
        </m:r>
      </m:oMath>
      <w:r w:rsidRPr="00B06CC2">
        <w:rPr>
          <w:lang w:val="en-US"/>
        </w:rPr>
        <w:t xml:space="preserve">, </w:t>
      </w:r>
      <m:oMath>
        <m:sSubSup>
          <m:sSubSupPr>
            <m:ctrlPr>
              <w:rPr>
                <w:rFonts w:ascii="Cambria Math" w:hAnsi="Cambria Math"/>
                <w:i/>
              </w:rPr>
            </m:ctrlPr>
          </m:sSubSupPr>
          <m:e>
            <m:r>
              <w:rPr>
                <w:rFonts w:ascii="Cambria Math"/>
              </w:rPr>
              <m:t>V</m:t>
            </m:r>
          </m:e>
          <m:sub>
            <m:r>
              <m:rPr>
                <m:sty m:val="p"/>
              </m:rPr>
              <w:rPr>
                <w:rFonts w:ascii="Cambria Math"/>
              </w:rPr>
              <m:t>DAI,</m:t>
            </m:r>
            <m:sSub>
              <m:sSubPr>
                <m:ctrlPr>
                  <w:rPr>
                    <w:rFonts w:ascii="Cambria Math" w:hAnsi="Cambria Math"/>
                    <w:lang w:eastAsia="zh-CN"/>
                  </w:rPr>
                </m:ctrlPr>
              </m:sSubPr>
              <m:e>
                <m:r>
                  <w:rPr>
                    <w:rFonts w:ascii="Cambria Math" w:hAnsi="Cambria Math"/>
                    <w:lang w:eastAsia="zh-CN"/>
                  </w:rPr>
                  <m:t>m</m:t>
                </m:r>
              </m:e>
              <m:sub>
                <m:r>
                  <m:rPr>
                    <m:sty m:val="p"/>
                  </m:rPr>
                  <w:rPr>
                    <w:rFonts w:ascii="Cambria Math" w:hAnsi="Cambria Math"/>
                    <w:lang w:eastAsia="zh-CN"/>
                  </w:rPr>
                  <m:t>last,</m:t>
                </m:r>
                <m:r>
                  <w:rPr>
                    <w:rFonts w:ascii="Cambria Math" w:hAnsi="Cambria Math"/>
                    <w:lang w:eastAsia="zh-CN"/>
                  </w:rPr>
                  <m:t>g</m:t>
                </m:r>
              </m:sub>
            </m:sSub>
            <m:ctrlPr>
              <w:rPr>
                <w:rFonts w:ascii="Cambria Math" w:hAnsi="Cambria Math"/>
              </w:rPr>
            </m:ctrlPr>
          </m:sub>
          <m:sup>
            <m:r>
              <m:rPr>
                <m:nor/>
              </m:rPr>
              <w:rPr>
                <w:rFonts w:ascii="Cambria Math"/>
                <w:lang w:val="en-US"/>
              </w:rPr>
              <m:t>DL</m:t>
            </m:r>
            <m:ctrlPr>
              <w:rPr>
                <w:rFonts w:ascii="Cambria Math" w:hAnsi="Cambria Math"/>
              </w:rPr>
            </m:ctrlPr>
          </m:sup>
        </m:sSubSup>
      </m:oMath>
      <w:r w:rsidRPr="00B06CC2">
        <w:rPr>
          <w:rFonts w:cs="Arial"/>
          <w:lang w:eastAsia="zh-CN"/>
        </w:rPr>
        <w:t xml:space="preserve"> is the value </w:t>
      </w:r>
      <w:r w:rsidRPr="00B06CC2">
        <w:rPr>
          <w:rFonts w:cs="Arial" w:hint="eastAsia"/>
          <w:lang w:eastAsia="zh-CN"/>
        </w:rPr>
        <w:t xml:space="preserve">of the counter DAI in </w:t>
      </w:r>
      <w:r w:rsidRPr="00B06CC2">
        <w:rPr>
          <w:rFonts w:cs="Arial"/>
          <w:lang w:eastAsia="zh-CN"/>
        </w:rPr>
        <w:t xml:space="preserve">the last </w:t>
      </w:r>
      <w:r w:rsidRPr="00B06CC2">
        <w:rPr>
          <w:rFonts w:cs="Arial"/>
          <w:lang w:val="en-US" w:eastAsia="zh-CN"/>
        </w:rPr>
        <w:t xml:space="preserve">multicast </w:t>
      </w:r>
      <w:r w:rsidRPr="00B06CC2">
        <w:rPr>
          <w:rFonts w:cs="Arial" w:hint="eastAsia"/>
          <w:lang w:eastAsia="zh-CN"/>
        </w:rPr>
        <w:t xml:space="preserve">DCI format </w:t>
      </w:r>
      <w:r w:rsidRPr="00B06CC2">
        <w:rPr>
          <w:rFonts w:cs="Arial"/>
          <w:lang w:val="en-US" w:eastAsia="zh-CN"/>
        </w:rPr>
        <w:t xml:space="preserve">with G-RNTI </w:t>
      </w:r>
      <m:oMath>
        <m:r>
          <w:rPr>
            <w:rFonts w:ascii="Cambria Math" w:hAnsi="Cambria Math"/>
          </w:rPr>
          <m:t>g</m:t>
        </m:r>
      </m:oMath>
      <w:r w:rsidR="00FA4F75" w:rsidRPr="00FA4F75">
        <w:rPr>
          <w:rFonts w:cs="Arial"/>
          <w:lang w:val="en-US"/>
        </w:rPr>
        <w:t xml:space="preserve"> </w:t>
      </w:r>
      <w:r w:rsidR="00FA4F75">
        <w:rPr>
          <w:rFonts w:cs="Arial"/>
          <w:lang w:val="en-US"/>
        </w:rPr>
        <w:t>for multicast</w:t>
      </w:r>
      <w:r w:rsidRPr="00B06CC2">
        <w:rPr>
          <w:rFonts w:cs="Arial"/>
          <w:lang w:val="en-US"/>
        </w:rPr>
        <w:t>,</w:t>
      </w:r>
      <w:r w:rsidRPr="00B06CC2">
        <w:rPr>
          <w:rFonts w:cs="Arial"/>
          <w:lang w:val="en-US" w:eastAsia="zh-CN"/>
        </w:rPr>
        <w:t xml:space="preserve"> or G-CS-RNTI </w:t>
      </w:r>
      <m:oMath>
        <m:r>
          <w:rPr>
            <w:rFonts w:ascii="Cambria Math"/>
          </w:rPr>
          <m:t>g</m:t>
        </m:r>
      </m:oMath>
      <w:r w:rsidRPr="00B06CC2">
        <w:rPr>
          <w:rFonts w:cs="Arial"/>
          <w:iCs/>
          <w:lang w:val="en-US"/>
        </w:rPr>
        <w:t>,</w:t>
      </w:r>
      <w:r w:rsidRPr="00B06CC2">
        <w:rPr>
          <w:rFonts w:hint="eastAsia"/>
          <w:lang w:eastAsia="zh-CN"/>
        </w:rPr>
        <w:t xml:space="preserve"> scheduling PDSCH </w:t>
      </w:r>
      <w:r w:rsidRPr="00B06CC2">
        <w:rPr>
          <w:lang w:eastAsia="zh-CN"/>
        </w:rPr>
        <w:t>recept</w:t>
      </w:r>
      <w:r w:rsidRPr="00B06CC2">
        <w:rPr>
          <w:rFonts w:hint="eastAsia"/>
          <w:lang w:eastAsia="zh-CN"/>
        </w:rPr>
        <w:t xml:space="preserve">ion or </w:t>
      </w:r>
      <w:r>
        <w:rPr>
          <w:lang w:val="en-US" w:eastAsia="zh-CN"/>
        </w:rPr>
        <w:t>having associated</w:t>
      </w:r>
      <w:r w:rsidRPr="00B06CC2">
        <w:rPr>
          <w:lang w:val="en-US" w:eastAsia="zh-CN"/>
        </w:rPr>
        <w:t xml:space="preserve"> HARQ-ACK information without scheduling a PDSCH reception</w:t>
      </w:r>
      <w:r w:rsidRPr="00B06CC2">
        <w:rPr>
          <w:rFonts w:hint="eastAsia"/>
          <w:lang w:val="en-US" w:eastAsia="zh-CN"/>
        </w:rPr>
        <w:t>,</w:t>
      </w:r>
      <w:r w:rsidRPr="00B06CC2">
        <w:rPr>
          <w:rFonts w:hint="eastAsia"/>
          <w:lang w:eastAsia="zh-CN"/>
        </w:rPr>
        <w:t xml:space="preserve"> </w:t>
      </w:r>
      <w:r w:rsidRPr="00B06CC2">
        <w:rPr>
          <w:lang w:eastAsia="zh-CN"/>
        </w:rPr>
        <w:t>that the UE detects with</w:t>
      </w:r>
      <w:r w:rsidRPr="00B06CC2">
        <w:rPr>
          <w:rFonts w:hint="eastAsia"/>
          <w:lang w:eastAsia="zh-CN"/>
        </w:rPr>
        <w:t xml:space="preserve">in </w:t>
      </w:r>
      <w:r w:rsidRPr="00B06CC2">
        <w:rPr>
          <w:lang w:eastAsia="zh-CN"/>
        </w:rPr>
        <w:t xml:space="preserve">the </w:t>
      </w:r>
      <m:oMath>
        <m:sSub>
          <m:sSubPr>
            <m:ctrlPr>
              <w:rPr>
                <w:rFonts w:ascii="Cambria Math" w:hAnsi="Cambria Math"/>
                <w:i/>
                <w:lang w:eastAsia="zh-CN"/>
              </w:rPr>
            </m:ctrlPr>
          </m:sSubPr>
          <m:e>
            <m:r>
              <w:rPr>
                <w:rFonts w:ascii="Cambria Math"/>
                <w:lang w:eastAsia="zh-CN"/>
              </w:rPr>
              <m:t>M</m:t>
            </m:r>
          </m:e>
          <m:sub>
            <m:r>
              <w:rPr>
                <w:rFonts w:ascii="Cambria Math"/>
                <w:lang w:eastAsia="zh-CN"/>
              </w:rPr>
              <m:t>g</m:t>
            </m:r>
          </m:sub>
        </m:sSub>
      </m:oMath>
      <w:r w:rsidRPr="00B06CC2">
        <w:t xml:space="preserve"> </w:t>
      </w:r>
      <w:r w:rsidRPr="00B06CC2">
        <w:rPr>
          <w:lang w:eastAsia="zh-CN"/>
        </w:rPr>
        <w:t>PDCCH monitoring occasions</w:t>
      </w:r>
    </w:p>
    <w:p w14:paraId="7C88DDF7" w14:textId="5342270D" w:rsidR="00522C35" w:rsidRPr="0034533F" w:rsidRDefault="00522C35" w:rsidP="00522C35">
      <w:pPr>
        <w:pStyle w:val="B1"/>
        <w:ind w:left="285" w:hanging="1"/>
        <w:rPr>
          <w:lang w:val="en-GB"/>
        </w:rPr>
      </w:pPr>
      <w:r>
        <w:rPr>
          <w:rFonts w:cs="Arial"/>
          <w:lang w:eastAsia="zh-CN"/>
        </w:rPr>
        <w:t>-</w:t>
      </w:r>
      <w:r>
        <w:rPr>
          <w:rFonts w:cs="Arial"/>
          <w:lang w:eastAsia="zh-CN"/>
        </w:rPr>
        <w:tab/>
      </w:r>
      <w:r>
        <w:rPr>
          <w:rFonts w:cs="Arial"/>
          <w:lang w:val="en-US" w:eastAsia="zh-CN"/>
        </w:rPr>
        <w:t xml:space="preserve">if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m:t>
            </m:r>
            <m:ctrlPr>
              <w:rPr>
                <w:rFonts w:ascii="Cambria Math" w:hAnsi="Cambria Math"/>
              </w:rPr>
            </m:ctrlPr>
          </m:sup>
        </m:sSubSup>
        <m:r>
          <w:rPr>
            <w:rFonts w:ascii="Cambria Math" w:hAnsi="Cambria Math"/>
          </w:rPr>
          <m:t>&gt;1</m:t>
        </m:r>
      </m:oMath>
      <w:r>
        <w:rPr>
          <w:lang w:val="en-US"/>
        </w:rPr>
        <w:t xml:space="preserve"> </w:t>
      </w:r>
      <w:r w:rsidR="00CB5759" w:rsidRPr="00B06CC2">
        <w:rPr>
          <w:lang w:val="en-US"/>
        </w:rPr>
        <w:t xml:space="preserve">or if </w:t>
      </w:r>
      <m:oMath>
        <m:sSubSup>
          <m:sSubSupPr>
            <m:ctrlPr>
              <w:rPr>
                <w:rFonts w:ascii="Cambria Math" w:hAnsi="Cambria Math"/>
                <w:i/>
              </w:rPr>
            </m:ctrlPr>
          </m:sSubSupPr>
          <m:e>
            <m:r>
              <w:rPr>
                <w:rFonts w:ascii="Cambria Math"/>
              </w:rPr>
              <m:t>N</m:t>
            </m:r>
          </m:e>
          <m:sub>
            <m:r>
              <m:rPr>
                <m:sty m:val="p"/>
              </m:rPr>
              <w:rPr>
                <w:rFonts w:ascii="Cambria Math"/>
              </w:rPr>
              <m:t>cells,</m:t>
            </m:r>
            <m:r>
              <w:rPr>
                <w:rFonts w:ascii="Cambria Math"/>
              </w:rPr>
              <m:t>g</m:t>
            </m:r>
            <m:ctrlPr>
              <w:rPr>
                <w:rFonts w:ascii="Cambria Math" w:hAnsi="Cambria Math"/>
              </w:rPr>
            </m:ctrlPr>
          </m:sub>
          <m:sup>
            <m:r>
              <m:rPr>
                <m:nor/>
              </m:rPr>
              <w:rPr>
                <w:rFonts w:ascii="Cambria Math"/>
                <w:lang w:val="en-US"/>
              </w:rPr>
              <m:t>DL</m:t>
            </m:r>
            <m:ctrlPr>
              <w:rPr>
                <w:rFonts w:ascii="Cambria Math" w:hAnsi="Cambria Math"/>
              </w:rPr>
            </m:ctrlPr>
          </m:sup>
        </m:sSubSup>
        <m:r>
          <w:rPr>
            <w:rFonts w:ascii="Cambria Math" w:hAnsi="Cambria Math"/>
          </w:rPr>
          <m:t>&gt;1</m:t>
        </m:r>
      </m:oMath>
    </w:p>
    <w:p w14:paraId="29B84D3C" w14:textId="7EA97F14" w:rsidR="00522C35" w:rsidRPr="00563016" w:rsidRDefault="00522C35" w:rsidP="00522C35">
      <w:pPr>
        <w:pStyle w:val="B2"/>
        <w:ind w:left="853" w:hanging="285"/>
        <w:rPr>
          <w:lang w:val="en-US" w:eastAsia="zh-CN"/>
        </w:rPr>
      </w:pPr>
      <w:r>
        <w:lastRenderedPageBreak/>
        <w:t>-</w:t>
      </w:r>
      <w:r>
        <w:tab/>
      </w:r>
      <w:r>
        <w:rPr>
          <w:lang w:val="en-US"/>
        </w:rPr>
        <w:t xml:space="preserve">if the UE does not detect any DCI format </w:t>
      </w:r>
      <w:r w:rsidRPr="00EE027F">
        <w:rPr>
          <w:lang w:val="en-US"/>
        </w:rPr>
        <w:t>that includes a total DAI field</w:t>
      </w:r>
      <w:r>
        <w:rPr>
          <w:lang w:val="en-US"/>
        </w:rPr>
        <w:t xml:space="preserve"> in a last PDCCH monitoring occasion </w:t>
      </w:r>
      <w:r>
        <w:rPr>
          <w:lang w:eastAsia="zh-CN"/>
        </w:rPr>
        <w:t>with</w:t>
      </w:r>
      <w:r w:rsidRPr="00B916EC">
        <w:rPr>
          <w:rFonts w:hint="eastAsia"/>
          <w:lang w:eastAsia="zh-CN"/>
        </w:rPr>
        <w:t xml:space="preserve">in </w:t>
      </w:r>
      <w:r>
        <w:rPr>
          <w:lang w:eastAsia="zh-CN"/>
        </w:rPr>
        <w:t xml:space="preserve">the </w:t>
      </w:r>
      <m:oMath>
        <m:r>
          <w:rPr>
            <w:rFonts w:ascii="Cambria Math" w:hAnsi="Cambria Math"/>
          </w:rPr>
          <m:t>M</m:t>
        </m:r>
      </m:oMath>
      <w:r>
        <w:t xml:space="preserve"> </w:t>
      </w:r>
      <w:r w:rsidR="0034533F" w:rsidRPr="00B06CC2">
        <w:rPr>
          <w:lang w:val="en-US"/>
        </w:rPr>
        <w:t xml:space="preserve">or </w:t>
      </w:r>
      <m:oMath>
        <m:sSub>
          <m:sSubPr>
            <m:ctrlPr>
              <w:rPr>
                <w:rFonts w:ascii="Cambria Math" w:hAnsi="Cambria Math"/>
                <w:i/>
                <w:lang w:eastAsia="zh-CN"/>
              </w:rPr>
            </m:ctrlPr>
          </m:sSubPr>
          <m:e>
            <m:r>
              <w:rPr>
                <w:rFonts w:ascii="Cambria Math"/>
                <w:lang w:eastAsia="zh-CN"/>
              </w:rPr>
              <m:t>M</m:t>
            </m:r>
          </m:e>
          <m:sub>
            <m:r>
              <w:rPr>
                <w:rFonts w:ascii="Cambria Math"/>
                <w:lang w:eastAsia="zh-CN"/>
              </w:rPr>
              <m:t>g</m:t>
            </m:r>
          </m:sub>
        </m:sSub>
      </m:oMath>
      <w:r w:rsidR="0034533F" w:rsidRPr="00B06CC2">
        <w:rPr>
          <w:lang w:val="en-US" w:eastAsia="zh-CN"/>
        </w:rPr>
        <w:t xml:space="preserve"> </w:t>
      </w:r>
      <w:r w:rsidRPr="00B916EC">
        <w:rPr>
          <w:lang w:eastAsia="zh-CN"/>
        </w:rPr>
        <w:t>PDCCH monitoring occasio</w:t>
      </w:r>
      <w:r>
        <w:rPr>
          <w:lang w:eastAsia="zh-CN"/>
        </w:rPr>
        <w:t>ns</w:t>
      </w:r>
      <w:r>
        <w:rPr>
          <w:lang w:val="en-US" w:eastAsia="zh-CN"/>
        </w:rPr>
        <w:t xml:space="preserve"> where the UE detects at least one DCI format </w:t>
      </w:r>
      <w:r w:rsidRPr="00B916EC">
        <w:rPr>
          <w:rFonts w:hint="eastAsia"/>
          <w:lang w:eastAsia="zh-CN"/>
        </w:rPr>
        <w:t xml:space="preserve">scheduling PDSCH </w:t>
      </w:r>
      <w:r w:rsidRPr="00B916EC">
        <w:rPr>
          <w:lang w:eastAsia="zh-CN"/>
        </w:rPr>
        <w:t>recept</w:t>
      </w:r>
      <w:r w:rsidRPr="00B916EC">
        <w:rPr>
          <w:rFonts w:hint="eastAsia"/>
          <w:lang w:eastAsia="zh-CN"/>
        </w:rPr>
        <w:t>ion</w:t>
      </w:r>
      <w:r w:rsidR="00523F11">
        <w:rPr>
          <w:lang w:val="en-US" w:eastAsia="zh-CN"/>
        </w:rPr>
        <w:t>,</w:t>
      </w:r>
      <w:r w:rsidRPr="00B916EC">
        <w:rPr>
          <w:rFonts w:hint="eastAsia"/>
          <w:lang w:eastAsia="zh-CN"/>
        </w:rPr>
        <w:t xml:space="preserve"> </w:t>
      </w:r>
      <w:r w:rsidR="00510FD4" w:rsidRPr="00B27E56">
        <w:rPr>
          <w:lang w:val="en-US" w:eastAsia="zh-CN"/>
        </w:rPr>
        <w:t xml:space="preserve">or </w:t>
      </w:r>
      <w:r w:rsidR="00510FD4">
        <w:rPr>
          <w:lang w:val="en-US" w:eastAsia="zh-CN"/>
        </w:rPr>
        <w:t>having associated</w:t>
      </w:r>
      <w:r w:rsidR="00510FD4" w:rsidRPr="00B27E56">
        <w:rPr>
          <w:lang w:val="en-US" w:eastAsia="zh-CN"/>
        </w:rPr>
        <w:t xml:space="preserve"> HARQ-ACK information without scheduling PDSCH reception,</w:t>
      </w:r>
      <w:r w:rsidR="00523F11">
        <w:rPr>
          <w:rFonts w:hint="eastAsia"/>
          <w:lang w:val="en-US" w:eastAsia="zh-CN"/>
        </w:rPr>
        <w:t xml:space="preserve"> </w:t>
      </w:r>
      <w:r w:rsidRPr="00B916EC">
        <w:rPr>
          <w:rFonts w:hint="eastAsia"/>
          <w:lang w:eastAsia="zh-CN"/>
        </w:rPr>
        <w:t xml:space="preserve">for </w:t>
      </w:r>
      <w:r>
        <w:rPr>
          <w:lang w:val="en-US" w:eastAsia="zh-CN"/>
        </w:rPr>
        <w:t xml:space="preserve">any </w:t>
      </w:r>
      <w:r w:rsidRPr="00B916EC">
        <w:rPr>
          <w:lang w:eastAsia="zh-CN"/>
        </w:rPr>
        <w:t xml:space="preserve">serving </w:t>
      </w:r>
      <w:r w:rsidRPr="00B916EC">
        <w:rPr>
          <w:rFonts w:hint="eastAsia"/>
          <w:lang w:eastAsia="zh-CN"/>
        </w:rPr>
        <w:t xml:space="preserve">cell </w:t>
      </w:r>
      <m:oMath>
        <m:r>
          <w:rPr>
            <w:rFonts w:ascii="Cambria Math" w:hAnsi="Cambria Math"/>
          </w:rPr>
          <m:t>c</m:t>
        </m:r>
      </m:oMath>
      <w:r>
        <w:rPr>
          <w:lang w:val="en-US"/>
        </w:rPr>
        <w:t xml:space="preserve">, </w:t>
      </w:r>
      <m:oMath>
        <m:sSubSup>
          <m:sSubSupPr>
            <m:ctrlPr>
              <w:rPr>
                <w:rFonts w:ascii="Cambria Math" w:hAnsi="Cambria Math"/>
                <w:i/>
              </w:rPr>
            </m:ctrlPr>
          </m:sSubSupPr>
          <m:e>
            <m:r>
              <w:rPr>
                <w:rFonts w:ascii="Cambria Math"/>
              </w:rPr>
              <m:t>V</m:t>
            </m:r>
          </m:e>
          <m:sub>
            <m:r>
              <m:rPr>
                <m:sty m:val="p"/>
              </m:rPr>
              <w:rPr>
                <w:rFonts w:ascii="Cambria Math"/>
              </w:rPr>
              <m:t>DAI,</m:t>
            </m:r>
            <m:sSub>
              <m:sSubPr>
                <m:ctrlPr>
                  <w:rPr>
                    <w:rFonts w:ascii="Cambria Math" w:hAnsi="Cambria Math"/>
                    <w:lang w:eastAsia="zh-CN"/>
                  </w:rPr>
                </m:ctrlPr>
              </m:sSubPr>
              <m:e>
                <m:r>
                  <w:rPr>
                    <w:rFonts w:ascii="Cambria Math" w:hAnsi="Cambria Math"/>
                    <w:lang w:eastAsia="zh-CN"/>
                  </w:rPr>
                  <m:t>m</m:t>
                </m:r>
              </m:e>
              <m:sub>
                <m:r>
                  <m:rPr>
                    <m:sty m:val="p"/>
                  </m:rPr>
                  <w:rPr>
                    <w:rFonts w:ascii="Cambria Math" w:hAnsi="Cambria Math"/>
                    <w:lang w:eastAsia="zh-CN"/>
                  </w:rPr>
                  <m:t>last</m:t>
                </m:r>
              </m:sub>
            </m:sSub>
            <m:ctrlPr>
              <w:rPr>
                <w:rFonts w:ascii="Cambria Math" w:hAnsi="Cambria Math"/>
              </w:rPr>
            </m:ctrlPr>
          </m:sub>
          <m:sup>
            <m:r>
              <m:rPr>
                <m:nor/>
              </m:rPr>
              <w:rPr>
                <w:rFonts w:ascii="Cambria Math"/>
                <w:lang w:val="en-US"/>
              </w:rPr>
              <m:t>DL</m:t>
            </m:r>
            <m:ctrlPr>
              <w:rPr>
                <w:rFonts w:ascii="Cambria Math" w:hAnsi="Cambria Math"/>
              </w:rPr>
            </m:ctrlPr>
          </m:sup>
        </m:sSubSup>
      </m:oMath>
      <w:r>
        <w:rPr>
          <w:rFonts w:cs="Arial"/>
          <w:lang w:eastAsia="zh-CN"/>
        </w:rPr>
        <w:t xml:space="preserve"> </w:t>
      </w:r>
      <w:r w:rsidR="0034533F" w:rsidRPr="00B06CC2">
        <w:rPr>
          <w:rFonts w:cs="Arial"/>
          <w:lang w:val="en-US" w:eastAsia="zh-CN"/>
        </w:rPr>
        <w:t xml:space="preserve">or </w:t>
      </w:r>
      <m:oMath>
        <m:sSubSup>
          <m:sSubSupPr>
            <m:ctrlPr>
              <w:rPr>
                <w:rFonts w:ascii="Cambria Math" w:hAnsi="Cambria Math"/>
                <w:i/>
              </w:rPr>
            </m:ctrlPr>
          </m:sSubSupPr>
          <m:e>
            <m:r>
              <w:rPr>
                <w:rFonts w:ascii="Cambria Math"/>
              </w:rPr>
              <m:t>V</m:t>
            </m:r>
          </m:e>
          <m:sub>
            <m:r>
              <m:rPr>
                <m:sty m:val="p"/>
              </m:rPr>
              <w:rPr>
                <w:rFonts w:ascii="Cambria Math"/>
              </w:rPr>
              <m:t>DAI,</m:t>
            </m:r>
            <m:sSub>
              <m:sSubPr>
                <m:ctrlPr>
                  <w:rPr>
                    <w:rFonts w:ascii="Cambria Math" w:hAnsi="Cambria Math"/>
                    <w:lang w:eastAsia="zh-CN"/>
                  </w:rPr>
                </m:ctrlPr>
              </m:sSubPr>
              <m:e>
                <m:r>
                  <w:rPr>
                    <w:rFonts w:ascii="Cambria Math" w:hAnsi="Cambria Math"/>
                    <w:lang w:eastAsia="zh-CN"/>
                  </w:rPr>
                  <m:t>m</m:t>
                </m:r>
              </m:e>
              <m:sub>
                <m:r>
                  <m:rPr>
                    <m:sty m:val="p"/>
                  </m:rPr>
                  <w:rPr>
                    <w:rFonts w:ascii="Cambria Math" w:hAnsi="Cambria Math"/>
                    <w:lang w:eastAsia="zh-CN"/>
                  </w:rPr>
                  <m:t>last,</m:t>
                </m:r>
                <m:r>
                  <w:rPr>
                    <w:rFonts w:ascii="Cambria Math" w:hAnsi="Cambria Math"/>
                    <w:lang w:eastAsia="zh-CN"/>
                  </w:rPr>
                  <m:t>g</m:t>
                </m:r>
              </m:sub>
            </m:sSub>
            <m:ctrlPr>
              <w:rPr>
                <w:rFonts w:ascii="Cambria Math" w:hAnsi="Cambria Math"/>
              </w:rPr>
            </m:ctrlPr>
          </m:sub>
          <m:sup>
            <m:r>
              <m:rPr>
                <m:nor/>
              </m:rPr>
              <w:rPr>
                <w:rFonts w:ascii="Cambria Math"/>
                <w:lang w:val="en-US"/>
              </w:rPr>
              <m:t>DL</m:t>
            </m:r>
            <m:ctrlPr>
              <w:rPr>
                <w:rFonts w:ascii="Cambria Math" w:hAnsi="Cambria Math"/>
              </w:rPr>
            </m:ctrlPr>
          </m:sup>
        </m:sSubSup>
      </m:oMath>
      <w:r w:rsidR="0034533F" w:rsidRPr="00B06CC2">
        <w:rPr>
          <w:rFonts w:cs="Arial"/>
          <w:lang w:val="en-US"/>
        </w:rPr>
        <w:t xml:space="preserve">, respectively, </w:t>
      </w:r>
      <w:r>
        <w:rPr>
          <w:rFonts w:cs="Arial"/>
          <w:lang w:eastAsia="zh-CN"/>
        </w:rPr>
        <w:t xml:space="preserve">is the value </w:t>
      </w:r>
      <w:r w:rsidRPr="00B916EC">
        <w:rPr>
          <w:rFonts w:cs="Arial" w:hint="eastAsia"/>
          <w:lang w:eastAsia="zh-CN"/>
        </w:rPr>
        <w:t xml:space="preserve">of the counter DAI in </w:t>
      </w:r>
      <w:r>
        <w:rPr>
          <w:rFonts w:cs="Arial"/>
          <w:lang w:eastAsia="zh-CN"/>
        </w:rPr>
        <w:t xml:space="preserve">a last </w:t>
      </w:r>
      <w:r w:rsidRPr="00B916EC">
        <w:rPr>
          <w:rFonts w:cs="Arial" w:hint="eastAsia"/>
          <w:lang w:eastAsia="zh-CN"/>
        </w:rPr>
        <w:t xml:space="preserve">DCI format </w:t>
      </w:r>
      <w:r>
        <w:rPr>
          <w:lang w:val="en-US" w:eastAsia="zh-CN"/>
        </w:rPr>
        <w:t>the UE detects in the last PDCCH monitoring occasion</w:t>
      </w:r>
    </w:p>
    <w:p w14:paraId="1E77BE0E" w14:textId="152C3DAD" w:rsidR="00522C35" w:rsidRDefault="00522C35" w:rsidP="00BD3DB2">
      <w:pPr>
        <w:pStyle w:val="B2"/>
        <w:rPr>
          <w:lang w:eastAsia="zh-CN"/>
        </w:rPr>
      </w:pPr>
      <w:r>
        <w:t>-</w:t>
      </w:r>
      <w:r>
        <w:tab/>
        <w:t xml:space="preserve">if the UE detects at least one DCI format </w:t>
      </w:r>
      <w:r w:rsidRPr="00EE027F">
        <w:t>that includes a total DAI field</w:t>
      </w:r>
      <w:r>
        <w:t xml:space="preserve"> in a last PDCCH monitoring occasion </w:t>
      </w:r>
      <w:r>
        <w:rPr>
          <w:lang w:eastAsia="zh-CN"/>
        </w:rPr>
        <w:t>with</w:t>
      </w:r>
      <w:r w:rsidRPr="00B916EC">
        <w:rPr>
          <w:rFonts w:hint="eastAsia"/>
          <w:lang w:eastAsia="zh-CN"/>
        </w:rPr>
        <w:t xml:space="preserve">in </w:t>
      </w:r>
      <w:r>
        <w:rPr>
          <w:lang w:eastAsia="zh-CN"/>
        </w:rPr>
        <w:t xml:space="preserve">the </w:t>
      </w:r>
      <m:oMath>
        <m:r>
          <w:rPr>
            <w:rFonts w:ascii="Cambria Math" w:hAnsi="Cambria Math"/>
          </w:rPr>
          <m:t>M</m:t>
        </m:r>
      </m:oMath>
      <w:r>
        <w:t xml:space="preserve"> </w:t>
      </w:r>
      <w:r w:rsidR="0034533F" w:rsidRPr="00B06CC2">
        <w:rPr>
          <w:lang w:val="en-US"/>
        </w:rPr>
        <w:t xml:space="preserve">or </w:t>
      </w:r>
      <m:oMath>
        <m:sSub>
          <m:sSubPr>
            <m:ctrlPr>
              <w:rPr>
                <w:rFonts w:ascii="Cambria Math" w:hAnsi="Cambria Math"/>
                <w:i/>
                <w:lang w:eastAsia="zh-CN"/>
              </w:rPr>
            </m:ctrlPr>
          </m:sSubPr>
          <m:e>
            <m:r>
              <w:rPr>
                <w:rFonts w:ascii="Cambria Math"/>
                <w:lang w:eastAsia="zh-CN"/>
              </w:rPr>
              <m:t>M</m:t>
            </m:r>
          </m:e>
          <m:sub>
            <m:r>
              <w:rPr>
                <w:rFonts w:ascii="Cambria Math"/>
                <w:lang w:eastAsia="zh-CN"/>
              </w:rPr>
              <m:t>g</m:t>
            </m:r>
          </m:sub>
        </m:sSub>
      </m:oMath>
      <w:r w:rsidR="0034533F" w:rsidRPr="00B06CC2">
        <w:rPr>
          <w:lang w:val="en-US" w:eastAsia="zh-CN"/>
        </w:rPr>
        <w:t xml:space="preserve">, for G-RNTI </w:t>
      </w:r>
      <m:oMath>
        <m:r>
          <w:rPr>
            <w:rFonts w:ascii="Cambria Math"/>
          </w:rPr>
          <m:t>g</m:t>
        </m:r>
      </m:oMath>
      <w:r w:rsidR="0034533F" w:rsidRPr="00B06CC2">
        <w:rPr>
          <w:lang w:val="en-US" w:eastAsia="zh-CN"/>
        </w:rPr>
        <w:t xml:space="preserve"> </w:t>
      </w:r>
      <w:r w:rsidR="00BF6B99">
        <w:rPr>
          <w:rFonts w:cs="Arial"/>
          <w:lang w:val="en-US"/>
        </w:rPr>
        <w:t xml:space="preserve">for multicast </w:t>
      </w:r>
      <w:r w:rsidR="0034533F" w:rsidRPr="00B06CC2">
        <w:rPr>
          <w:lang w:val="en-US" w:eastAsia="zh-CN"/>
        </w:rPr>
        <w:t xml:space="preserve">or G-CS-RNTI </w:t>
      </w:r>
      <m:oMath>
        <m:r>
          <w:rPr>
            <w:rFonts w:ascii="Cambria Math"/>
          </w:rPr>
          <m:t>g</m:t>
        </m:r>
      </m:oMath>
      <w:r w:rsidR="0034533F" w:rsidRPr="00B06CC2">
        <w:rPr>
          <w:iCs/>
          <w:lang w:val="en-US"/>
        </w:rPr>
        <w:t>,</w:t>
      </w:r>
      <w:r w:rsidR="0034533F" w:rsidRPr="00B06CC2">
        <w:rPr>
          <w:lang w:val="en-US" w:eastAsia="zh-CN"/>
        </w:rPr>
        <w:t xml:space="preserve"> </w:t>
      </w:r>
      <w:r w:rsidRPr="00B916EC">
        <w:rPr>
          <w:lang w:eastAsia="zh-CN"/>
        </w:rPr>
        <w:t>PDCCH monitoring occasio</w:t>
      </w:r>
      <w:r>
        <w:rPr>
          <w:lang w:eastAsia="zh-CN"/>
        </w:rPr>
        <w:t xml:space="preserve">ns where the UE detects at least one DCI format </w:t>
      </w:r>
      <w:r w:rsidRPr="00B916EC">
        <w:rPr>
          <w:rFonts w:hint="eastAsia"/>
          <w:lang w:eastAsia="zh-CN"/>
        </w:rPr>
        <w:t xml:space="preserve">scheduling PDSCH </w:t>
      </w:r>
      <w:r w:rsidRPr="00B916EC">
        <w:rPr>
          <w:lang w:eastAsia="zh-CN"/>
        </w:rPr>
        <w:t>recept</w:t>
      </w:r>
      <w:r w:rsidRPr="00B916EC">
        <w:rPr>
          <w:rFonts w:hint="eastAsia"/>
          <w:lang w:eastAsia="zh-CN"/>
        </w:rPr>
        <w:t>ion</w:t>
      </w:r>
      <w:r w:rsidR="00523F11">
        <w:rPr>
          <w:lang w:val="en-US" w:eastAsia="zh-CN"/>
        </w:rPr>
        <w:t>,</w:t>
      </w:r>
      <w:r w:rsidRPr="00B916EC">
        <w:rPr>
          <w:rFonts w:hint="eastAsia"/>
          <w:lang w:eastAsia="zh-CN"/>
        </w:rPr>
        <w:t xml:space="preserve"> </w:t>
      </w:r>
      <w:r w:rsidR="00510FD4" w:rsidRPr="00B27E56">
        <w:rPr>
          <w:lang w:val="en-US" w:eastAsia="zh-CN"/>
        </w:rPr>
        <w:t xml:space="preserve">or </w:t>
      </w:r>
      <w:r w:rsidR="00510FD4">
        <w:rPr>
          <w:lang w:val="en-US" w:eastAsia="zh-CN"/>
        </w:rPr>
        <w:t>having associated</w:t>
      </w:r>
      <w:r w:rsidR="00510FD4" w:rsidRPr="00B27E56">
        <w:rPr>
          <w:lang w:val="en-US" w:eastAsia="zh-CN"/>
        </w:rPr>
        <w:t xml:space="preserve"> HARQ-ACK information without scheduling PDSCH reception,</w:t>
      </w:r>
      <w:r w:rsidR="00523F11">
        <w:rPr>
          <w:rFonts w:hint="eastAsia"/>
          <w:lang w:val="en-US" w:eastAsia="zh-CN"/>
        </w:rPr>
        <w:t xml:space="preserve"> </w:t>
      </w:r>
      <w:r w:rsidRPr="00B916EC">
        <w:rPr>
          <w:rFonts w:hint="eastAsia"/>
          <w:lang w:eastAsia="zh-CN"/>
        </w:rPr>
        <w:t xml:space="preserve">for </w:t>
      </w:r>
      <w:r>
        <w:rPr>
          <w:lang w:eastAsia="zh-CN"/>
        </w:rPr>
        <w:t xml:space="preserve">any </w:t>
      </w:r>
      <w:r w:rsidRPr="00B916EC">
        <w:rPr>
          <w:lang w:eastAsia="zh-CN"/>
        </w:rPr>
        <w:t xml:space="preserve">serving </w:t>
      </w:r>
      <w:r w:rsidRPr="00B916EC">
        <w:rPr>
          <w:rFonts w:hint="eastAsia"/>
          <w:lang w:eastAsia="zh-CN"/>
        </w:rPr>
        <w:t xml:space="preserve">cell </w:t>
      </w:r>
      <m:oMath>
        <m:r>
          <w:rPr>
            <w:rFonts w:ascii="Cambria Math" w:hAnsi="Cambria Math"/>
          </w:rPr>
          <m:t>c</m:t>
        </m:r>
      </m:oMath>
      <w:r>
        <w:t xml:space="preserve">, </w:t>
      </w:r>
      <m:oMath>
        <m:sSubSup>
          <m:sSubSupPr>
            <m:ctrlPr>
              <w:rPr>
                <w:rFonts w:ascii="Cambria Math" w:hAnsi="Cambria Math"/>
                <w:i/>
              </w:rPr>
            </m:ctrlPr>
          </m:sSubSupPr>
          <m:e>
            <m:r>
              <w:rPr>
                <w:rFonts w:ascii="Cambria Math"/>
              </w:rPr>
              <m:t>V</m:t>
            </m:r>
          </m:e>
          <m:sub>
            <m:r>
              <m:rPr>
                <m:sty m:val="p"/>
              </m:rPr>
              <w:rPr>
                <w:rFonts w:ascii="Cambria Math"/>
              </w:rPr>
              <m:t>DAI,</m:t>
            </m:r>
            <m:sSub>
              <m:sSubPr>
                <m:ctrlPr>
                  <w:rPr>
                    <w:rFonts w:ascii="Cambria Math" w:hAnsi="Cambria Math"/>
                    <w:lang w:eastAsia="zh-CN"/>
                  </w:rPr>
                </m:ctrlPr>
              </m:sSubPr>
              <m:e>
                <m:r>
                  <w:rPr>
                    <w:rFonts w:ascii="Cambria Math" w:hAnsi="Cambria Math"/>
                    <w:lang w:eastAsia="zh-CN"/>
                  </w:rPr>
                  <m:t>m</m:t>
                </m:r>
              </m:e>
              <m:sub>
                <m:r>
                  <m:rPr>
                    <m:sty m:val="p"/>
                  </m:rPr>
                  <w:rPr>
                    <w:rFonts w:ascii="Cambria Math" w:hAnsi="Cambria Math"/>
                    <w:lang w:eastAsia="zh-CN"/>
                  </w:rPr>
                  <m:t>last</m:t>
                </m:r>
              </m:sub>
            </m:sSub>
            <m:ctrlPr>
              <w:rPr>
                <w:rFonts w:ascii="Cambria Math" w:hAnsi="Cambria Math"/>
              </w:rPr>
            </m:ctrlPr>
          </m:sub>
          <m:sup>
            <m:r>
              <m:rPr>
                <m:nor/>
              </m:rPr>
              <w:rPr>
                <w:rFonts w:ascii="Cambria Math"/>
              </w:rPr>
              <m:t>DL</m:t>
            </m:r>
            <m:ctrlPr>
              <w:rPr>
                <w:rFonts w:ascii="Cambria Math" w:hAnsi="Cambria Math"/>
              </w:rPr>
            </m:ctrlPr>
          </m:sup>
        </m:sSubSup>
      </m:oMath>
      <w:r>
        <w:rPr>
          <w:rFonts w:cs="Arial"/>
          <w:lang w:eastAsia="zh-CN"/>
        </w:rPr>
        <w:t xml:space="preserve"> </w:t>
      </w:r>
      <w:r w:rsidR="0034533F" w:rsidRPr="00B06CC2">
        <w:rPr>
          <w:rFonts w:cs="Arial"/>
          <w:lang w:val="en-US" w:eastAsia="zh-CN"/>
        </w:rPr>
        <w:t xml:space="preserve">or </w:t>
      </w:r>
      <m:oMath>
        <m:sSubSup>
          <m:sSubSupPr>
            <m:ctrlPr>
              <w:rPr>
                <w:rFonts w:ascii="Cambria Math" w:hAnsi="Cambria Math"/>
                <w:i/>
              </w:rPr>
            </m:ctrlPr>
          </m:sSubSupPr>
          <m:e>
            <m:r>
              <w:rPr>
                <w:rFonts w:ascii="Cambria Math"/>
              </w:rPr>
              <m:t>V</m:t>
            </m:r>
          </m:e>
          <m:sub>
            <m:r>
              <m:rPr>
                <m:sty m:val="p"/>
              </m:rPr>
              <w:rPr>
                <w:rFonts w:ascii="Cambria Math"/>
              </w:rPr>
              <m:t>DAI,</m:t>
            </m:r>
            <m:sSub>
              <m:sSubPr>
                <m:ctrlPr>
                  <w:rPr>
                    <w:rFonts w:ascii="Cambria Math" w:hAnsi="Cambria Math"/>
                    <w:lang w:eastAsia="zh-CN"/>
                  </w:rPr>
                </m:ctrlPr>
              </m:sSubPr>
              <m:e>
                <m:r>
                  <w:rPr>
                    <w:rFonts w:ascii="Cambria Math" w:hAnsi="Cambria Math"/>
                    <w:lang w:eastAsia="zh-CN"/>
                  </w:rPr>
                  <m:t>m</m:t>
                </m:r>
              </m:e>
              <m:sub>
                <m:r>
                  <m:rPr>
                    <m:sty m:val="p"/>
                  </m:rPr>
                  <w:rPr>
                    <w:rFonts w:ascii="Cambria Math" w:hAnsi="Cambria Math"/>
                    <w:lang w:eastAsia="zh-CN"/>
                  </w:rPr>
                  <m:t>last,</m:t>
                </m:r>
                <m:r>
                  <w:rPr>
                    <w:rFonts w:ascii="Cambria Math" w:hAnsi="Cambria Math"/>
                    <w:lang w:eastAsia="zh-CN"/>
                  </w:rPr>
                  <m:t>g</m:t>
                </m:r>
              </m:sub>
            </m:sSub>
            <m:ctrlPr>
              <w:rPr>
                <w:rFonts w:ascii="Cambria Math" w:hAnsi="Cambria Math"/>
              </w:rPr>
            </m:ctrlPr>
          </m:sub>
          <m:sup>
            <m:r>
              <m:rPr>
                <m:nor/>
              </m:rPr>
              <w:rPr>
                <w:rFonts w:ascii="Cambria Math"/>
                <w:lang w:val="en-US"/>
              </w:rPr>
              <m:t>DL</m:t>
            </m:r>
            <m:ctrlPr>
              <w:rPr>
                <w:rFonts w:ascii="Cambria Math" w:hAnsi="Cambria Math"/>
              </w:rPr>
            </m:ctrlPr>
          </m:sup>
        </m:sSubSup>
      </m:oMath>
      <w:r w:rsidR="0034533F" w:rsidRPr="00B06CC2">
        <w:rPr>
          <w:rFonts w:cs="Arial"/>
          <w:lang w:val="en-US"/>
        </w:rPr>
        <w:t xml:space="preserve">, respectively, </w:t>
      </w:r>
      <w:r>
        <w:rPr>
          <w:rFonts w:cs="Arial"/>
          <w:lang w:eastAsia="zh-CN"/>
        </w:rPr>
        <w:t xml:space="preserve">is the value </w:t>
      </w:r>
      <w:r>
        <w:rPr>
          <w:rFonts w:cs="Arial" w:hint="eastAsia"/>
          <w:lang w:eastAsia="zh-CN"/>
        </w:rPr>
        <w:t>of the total</w:t>
      </w:r>
      <w:r w:rsidRPr="00B916EC">
        <w:rPr>
          <w:rFonts w:cs="Arial" w:hint="eastAsia"/>
          <w:lang w:eastAsia="zh-CN"/>
        </w:rPr>
        <w:t xml:space="preserve"> DAI in </w:t>
      </w:r>
      <w:r>
        <w:rPr>
          <w:rFonts w:cs="Arial"/>
          <w:lang w:eastAsia="zh-CN"/>
        </w:rPr>
        <w:t xml:space="preserve">the at least one </w:t>
      </w:r>
      <w:r w:rsidRPr="00B916EC">
        <w:rPr>
          <w:rFonts w:cs="Arial" w:hint="eastAsia"/>
          <w:lang w:eastAsia="zh-CN"/>
        </w:rPr>
        <w:t xml:space="preserve">DCI format </w:t>
      </w:r>
      <w:r w:rsidRPr="00EE027F">
        <w:t>that includes a total DAI field</w:t>
      </w:r>
    </w:p>
    <w:p w14:paraId="72C2EEF5" w14:textId="511BA633" w:rsidR="00522C35" w:rsidRDefault="00522C35" w:rsidP="00522C35">
      <w:pPr>
        <w:pStyle w:val="B1"/>
      </w:pPr>
      <w:r>
        <w:rPr>
          <w:rFonts w:cs="Arial"/>
          <w:lang w:eastAsia="zh-CN"/>
        </w:rPr>
        <w:t>-</w:t>
      </w:r>
      <w:r>
        <w:rPr>
          <w:rFonts w:cs="Arial"/>
          <w:lang w:eastAsia="zh-CN"/>
        </w:rPr>
        <w:tab/>
      </w:r>
      <m:oMath>
        <m:sSubSup>
          <m:sSubSupPr>
            <m:ctrlPr>
              <w:rPr>
                <w:rFonts w:ascii="Cambria Math" w:hAnsi="Cambria Math"/>
                <w:i/>
              </w:rPr>
            </m:ctrlPr>
          </m:sSubSupPr>
          <m:e>
            <m:r>
              <w:rPr>
                <w:rFonts w:ascii="Cambria Math"/>
              </w:rPr>
              <m:t>V</m:t>
            </m:r>
          </m:e>
          <m:sub>
            <m:r>
              <m:rPr>
                <m:sty m:val="p"/>
              </m:rPr>
              <w:rPr>
                <w:rFonts w:ascii="Cambria Math"/>
              </w:rPr>
              <m:t>DAI,</m:t>
            </m:r>
            <m:sSub>
              <m:sSubPr>
                <m:ctrlPr>
                  <w:rPr>
                    <w:rFonts w:ascii="Cambria Math" w:hAnsi="Cambria Math"/>
                    <w:lang w:eastAsia="zh-CN"/>
                  </w:rPr>
                </m:ctrlPr>
              </m:sSubPr>
              <m:e>
                <m:r>
                  <w:rPr>
                    <w:rFonts w:ascii="Cambria Math" w:hAnsi="Cambria Math"/>
                    <w:lang w:eastAsia="zh-CN"/>
                  </w:rPr>
                  <m:t>m</m:t>
                </m:r>
              </m:e>
              <m:sub>
                <m:r>
                  <m:rPr>
                    <m:sty m:val="p"/>
                  </m:rPr>
                  <w:rPr>
                    <w:rFonts w:ascii="Cambria Math" w:hAnsi="Cambria Math"/>
                    <w:lang w:eastAsia="zh-CN"/>
                  </w:rPr>
                  <m:t>last</m:t>
                </m:r>
              </m:sub>
            </m:sSub>
            <m:ctrlPr>
              <w:rPr>
                <w:rFonts w:ascii="Cambria Math" w:hAnsi="Cambria Math"/>
              </w:rPr>
            </m:ctrlPr>
          </m:sub>
          <m:sup>
            <m:r>
              <m:rPr>
                <m:nor/>
              </m:rPr>
              <w:rPr>
                <w:rFonts w:ascii="Cambria Math"/>
                <w:lang w:val="en-US"/>
              </w:rPr>
              <m:t>DL</m:t>
            </m:r>
            <m:ctrlPr>
              <w:rPr>
                <w:rFonts w:ascii="Cambria Math" w:hAnsi="Cambria Math"/>
              </w:rPr>
            </m:ctrlPr>
          </m:sup>
        </m:sSubSup>
        <m:r>
          <w:rPr>
            <w:rFonts w:ascii="Cambria Math" w:hAnsi="Cambria Math"/>
          </w:rPr>
          <m:t>=0</m:t>
        </m:r>
      </m:oMath>
      <w:r>
        <w:rPr>
          <w:rFonts w:cs="Arial"/>
          <w:lang w:eastAsia="zh-CN"/>
        </w:rPr>
        <w:t xml:space="preserve"> </w:t>
      </w:r>
      <w:r w:rsidR="0034533F" w:rsidRPr="00B06CC2">
        <w:rPr>
          <w:rFonts w:cs="Arial"/>
          <w:lang w:val="en-US" w:eastAsia="zh-CN"/>
        </w:rPr>
        <w:t xml:space="preserve">or </w:t>
      </w:r>
      <m:oMath>
        <m:sSubSup>
          <m:sSubSupPr>
            <m:ctrlPr>
              <w:rPr>
                <w:rFonts w:ascii="Cambria Math" w:hAnsi="Cambria Math"/>
                <w:i/>
              </w:rPr>
            </m:ctrlPr>
          </m:sSubSupPr>
          <m:e>
            <m:r>
              <w:rPr>
                <w:rFonts w:ascii="Cambria Math"/>
              </w:rPr>
              <m:t>V</m:t>
            </m:r>
          </m:e>
          <m:sub>
            <m:r>
              <m:rPr>
                <m:sty m:val="p"/>
              </m:rPr>
              <w:rPr>
                <w:rFonts w:ascii="Cambria Math"/>
              </w:rPr>
              <m:t>DAI,</m:t>
            </m:r>
            <m:sSub>
              <m:sSubPr>
                <m:ctrlPr>
                  <w:rPr>
                    <w:rFonts w:ascii="Cambria Math" w:hAnsi="Cambria Math"/>
                    <w:lang w:eastAsia="zh-CN"/>
                  </w:rPr>
                </m:ctrlPr>
              </m:sSubPr>
              <m:e>
                <m:r>
                  <w:rPr>
                    <w:rFonts w:ascii="Cambria Math" w:hAnsi="Cambria Math"/>
                    <w:lang w:eastAsia="zh-CN"/>
                  </w:rPr>
                  <m:t>m</m:t>
                </m:r>
              </m:e>
              <m:sub>
                <m:r>
                  <m:rPr>
                    <m:sty m:val="p"/>
                  </m:rPr>
                  <w:rPr>
                    <w:rFonts w:ascii="Cambria Math" w:hAnsi="Cambria Math"/>
                    <w:lang w:eastAsia="zh-CN"/>
                  </w:rPr>
                  <m:t>last,</m:t>
                </m:r>
                <m:r>
                  <w:rPr>
                    <w:rFonts w:ascii="Cambria Math" w:hAnsi="Cambria Math"/>
                    <w:lang w:eastAsia="zh-CN"/>
                  </w:rPr>
                  <m:t>g</m:t>
                </m:r>
              </m:sub>
            </m:sSub>
            <m:ctrlPr>
              <w:rPr>
                <w:rFonts w:ascii="Cambria Math" w:hAnsi="Cambria Math"/>
              </w:rPr>
            </m:ctrlPr>
          </m:sub>
          <m:sup>
            <m:r>
              <m:rPr>
                <m:nor/>
              </m:rPr>
              <w:rPr>
                <w:rFonts w:ascii="Cambria Math"/>
                <w:lang w:val="en-US"/>
              </w:rPr>
              <m:t>DL</m:t>
            </m:r>
            <m:ctrlPr>
              <w:rPr>
                <w:rFonts w:ascii="Cambria Math" w:hAnsi="Cambria Math"/>
              </w:rPr>
            </m:ctrlPr>
          </m:sup>
        </m:sSubSup>
        <m:r>
          <w:rPr>
            <w:rFonts w:ascii="Cambria Math" w:hAnsi="Cambria Math"/>
          </w:rPr>
          <m:t>=0</m:t>
        </m:r>
      </m:oMath>
      <w:r w:rsidR="0034533F" w:rsidRPr="00B06CC2">
        <w:rPr>
          <w:rFonts w:cs="Arial"/>
          <w:lang w:val="en-US"/>
        </w:rPr>
        <w:t xml:space="preserve"> </w:t>
      </w:r>
      <w:r>
        <w:rPr>
          <w:rFonts w:cs="Arial"/>
          <w:lang w:eastAsia="zh-CN"/>
        </w:rPr>
        <w:t xml:space="preserve">if the UE does not detect any </w:t>
      </w:r>
      <w:r w:rsidRPr="00B916EC">
        <w:rPr>
          <w:rFonts w:cs="Arial" w:hint="eastAsia"/>
          <w:lang w:eastAsia="zh-CN"/>
        </w:rPr>
        <w:t xml:space="preserve">DCI format </w:t>
      </w:r>
      <w:r w:rsidRPr="00B916EC">
        <w:rPr>
          <w:rFonts w:hint="eastAsia"/>
          <w:lang w:eastAsia="zh-CN"/>
        </w:rPr>
        <w:t xml:space="preserve">scheduling PDSCH </w:t>
      </w:r>
      <w:r w:rsidRPr="00B916EC">
        <w:rPr>
          <w:lang w:eastAsia="zh-CN"/>
        </w:rPr>
        <w:t>recept</w:t>
      </w:r>
      <w:r w:rsidRPr="00B916EC">
        <w:rPr>
          <w:rFonts w:hint="eastAsia"/>
          <w:lang w:eastAsia="zh-CN"/>
        </w:rPr>
        <w:t>ion</w:t>
      </w:r>
      <w:r w:rsidR="00523F11">
        <w:rPr>
          <w:lang w:val="en-US" w:eastAsia="zh-CN"/>
        </w:rPr>
        <w:t>,</w:t>
      </w:r>
      <w:r w:rsidRPr="00B916EC">
        <w:rPr>
          <w:rFonts w:hint="eastAsia"/>
          <w:lang w:eastAsia="zh-CN"/>
        </w:rPr>
        <w:t xml:space="preserve"> </w:t>
      </w:r>
      <w:r w:rsidR="00510FD4" w:rsidRPr="00B27E56">
        <w:rPr>
          <w:lang w:val="en-US" w:eastAsia="zh-CN"/>
        </w:rPr>
        <w:t xml:space="preserve">or </w:t>
      </w:r>
      <w:r w:rsidR="00510FD4">
        <w:rPr>
          <w:lang w:val="en-US" w:eastAsia="zh-CN"/>
        </w:rPr>
        <w:t>having associated</w:t>
      </w:r>
      <w:r w:rsidR="00510FD4" w:rsidRPr="00B27E56">
        <w:rPr>
          <w:lang w:val="en-US" w:eastAsia="zh-CN"/>
        </w:rPr>
        <w:t xml:space="preserve"> HARQ-ACK information without scheduling PDSCH reception, </w:t>
      </w:r>
      <w:r w:rsidRPr="00B916EC">
        <w:rPr>
          <w:rFonts w:hint="eastAsia"/>
          <w:lang w:eastAsia="zh-CN"/>
        </w:rPr>
        <w:t xml:space="preserve">for </w:t>
      </w:r>
      <w:r>
        <w:rPr>
          <w:lang w:val="en-US" w:eastAsia="zh-CN"/>
        </w:rPr>
        <w:t xml:space="preserve">any </w:t>
      </w:r>
      <w:r w:rsidRPr="00B916EC">
        <w:rPr>
          <w:lang w:eastAsia="zh-CN"/>
        </w:rPr>
        <w:t xml:space="preserve">serving </w:t>
      </w:r>
      <w:r w:rsidRPr="00B916EC">
        <w:rPr>
          <w:rFonts w:hint="eastAsia"/>
          <w:lang w:eastAsia="zh-CN"/>
        </w:rPr>
        <w:t xml:space="preserve">cell </w:t>
      </w:r>
      <m:oMath>
        <m:r>
          <w:rPr>
            <w:rFonts w:ascii="Cambria Math" w:hAnsi="Cambria Math"/>
          </w:rPr>
          <m:t>c</m:t>
        </m:r>
      </m:oMath>
      <w:r w:rsidRPr="00B916EC">
        <w:rPr>
          <w:rFonts w:hint="eastAsia"/>
          <w:lang w:eastAsia="zh-CN"/>
        </w:rPr>
        <w:t xml:space="preserve"> in </w:t>
      </w:r>
      <w:r>
        <w:rPr>
          <w:lang w:eastAsia="zh-CN"/>
        </w:rPr>
        <w:t xml:space="preserve">any of the </w:t>
      </w:r>
      <m:oMath>
        <m:r>
          <w:rPr>
            <w:rFonts w:ascii="Cambria Math" w:hAnsi="Cambria Math"/>
          </w:rPr>
          <m:t>M</m:t>
        </m:r>
      </m:oMath>
      <w:r>
        <w:t xml:space="preserve"> </w:t>
      </w:r>
      <w:r w:rsidR="0034533F" w:rsidRPr="00B06CC2">
        <w:rPr>
          <w:lang w:val="en-US"/>
        </w:rPr>
        <w:t xml:space="preserve">or </w:t>
      </w:r>
      <m:oMath>
        <m:sSub>
          <m:sSubPr>
            <m:ctrlPr>
              <w:rPr>
                <w:rFonts w:ascii="Cambria Math" w:hAnsi="Cambria Math"/>
                <w:i/>
                <w:lang w:eastAsia="zh-CN"/>
              </w:rPr>
            </m:ctrlPr>
          </m:sSubPr>
          <m:e>
            <m:r>
              <w:rPr>
                <w:rFonts w:ascii="Cambria Math"/>
                <w:lang w:eastAsia="zh-CN"/>
              </w:rPr>
              <m:t>M</m:t>
            </m:r>
          </m:e>
          <m:sub>
            <m:r>
              <w:rPr>
                <w:rFonts w:ascii="Cambria Math"/>
                <w:lang w:eastAsia="zh-CN"/>
              </w:rPr>
              <m:t>g</m:t>
            </m:r>
          </m:sub>
        </m:sSub>
      </m:oMath>
      <w:r w:rsidR="0034533F" w:rsidRPr="00B06CC2">
        <w:rPr>
          <w:lang w:val="en-US" w:eastAsia="zh-CN"/>
        </w:rPr>
        <w:t xml:space="preserve"> </w:t>
      </w:r>
      <w:r w:rsidRPr="00B916EC">
        <w:rPr>
          <w:lang w:eastAsia="zh-CN"/>
        </w:rPr>
        <w:t>PDCCH monitoring occasion</w:t>
      </w:r>
      <w:r>
        <w:t>s</w:t>
      </w:r>
      <w:r w:rsidR="0034533F" w:rsidRPr="00B06CC2">
        <w:rPr>
          <w:lang w:val="en-US"/>
        </w:rPr>
        <w:t>, respectively</w:t>
      </w:r>
      <w:r>
        <w:t>.</w:t>
      </w:r>
    </w:p>
    <w:p w14:paraId="3B561EF8" w14:textId="6F6ACE48" w:rsidR="00522C35" w:rsidRDefault="00522C35" w:rsidP="00522C35">
      <w:pPr>
        <w:pStyle w:val="B1"/>
      </w:pPr>
      <w:r>
        <w:t>-</w:t>
      </w:r>
      <w:r>
        <w:tab/>
      </w:r>
      <m:oMath>
        <m:sSub>
          <m:sSubPr>
            <m:ctrlPr>
              <w:rPr>
                <w:rFonts w:ascii="Cambria Math" w:hAnsi="Cambria Math"/>
                <w:i/>
                <w:lang w:eastAsia="zh-CN"/>
              </w:rPr>
            </m:ctrlPr>
          </m:sSubPr>
          <m:e>
            <m:r>
              <w:rPr>
                <w:rFonts w:ascii="Cambria Math"/>
                <w:lang w:eastAsia="zh-CN"/>
              </w:rPr>
              <m:t>U</m:t>
            </m:r>
          </m:e>
          <m:sub>
            <m:r>
              <m:rPr>
                <m:nor/>
              </m:rPr>
              <w:rPr>
                <w:rFonts w:ascii="Cambria Math"/>
                <w:lang w:val="en-US" w:eastAsia="zh-CN"/>
              </w:rPr>
              <m:t>DAI,</m:t>
            </m:r>
            <m:r>
              <m:rPr>
                <m:nor/>
              </m:rPr>
              <w:rPr>
                <w:rFonts w:ascii="Cambria Math"/>
                <w:i/>
                <w:iCs/>
                <w:lang w:val="en-US" w:eastAsia="zh-CN"/>
              </w:rPr>
              <m:t>c</m:t>
            </m:r>
            <m:ctrlPr>
              <w:rPr>
                <w:rFonts w:ascii="Cambria Math" w:hAnsi="Cambria Math"/>
                <w:lang w:eastAsia="zh-CN"/>
              </w:rPr>
            </m:ctrlPr>
          </m:sub>
        </m:sSub>
      </m:oMath>
      <w:r>
        <w:t xml:space="preserve"> </w:t>
      </w:r>
      <w:r w:rsidR="0034533F" w:rsidRPr="00B06CC2">
        <w:rPr>
          <w:lang w:val="en-US"/>
        </w:rPr>
        <w:t xml:space="preserve">or </w:t>
      </w:r>
      <m:oMath>
        <m:sSub>
          <m:sSubPr>
            <m:ctrlPr>
              <w:rPr>
                <w:rFonts w:ascii="Cambria Math" w:hAnsi="Cambria Math"/>
                <w:i/>
              </w:rPr>
            </m:ctrlPr>
          </m:sSubPr>
          <m:e>
            <m:r>
              <w:rPr>
                <w:rFonts w:ascii="Cambria Math" w:hAnsi="Cambria Math"/>
              </w:rPr>
              <m:t>U</m:t>
            </m:r>
          </m:e>
          <m:sub>
            <m:r>
              <m:rPr>
                <m:nor/>
              </m:rPr>
              <w:rPr>
                <w:rFonts w:ascii="Cambria Math"/>
                <w:lang w:eastAsia="zh-CN"/>
              </w:rPr>
              <m:t>DAI</m:t>
            </m:r>
            <m:r>
              <m:rPr>
                <m:sty m:val="p"/>
              </m:rPr>
              <w:rPr>
                <w:rFonts w:ascii="Cambria Math"/>
                <w:lang w:eastAsia="zh-CN"/>
              </w:rPr>
              <m:t>,</m:t>
            </m:r>
            <m:r>
              <w:rPr>
                <w:rFonts w:ascii="Cambria Math"/>
                <w:lang w:eastAsia="zh-CN"/>
              </w:rPr>
              <m:t>c</m:t>
            </m:r>
            <m:r>
              <w:rPr>
                <w:rFonts w:ascii="Cambria Math" w:hAnsi="Cambria Math"/>
              </w:rPr>
              <m:t>,g</m:t>
            </m:r>
          </m:sub>
        </m:sSub>
      </m:oMath>
      <w:r w:rsidR="0034533F" w:rsidRPr="00B06CC2">
        <w:rPr>
          <w:lang w:val="en-US"/>
        </w:rPr>
        <w:t xml:space="preserve">, </w:t>
      </w:r>
      <w:r w:rsidR="0034533F" w:rsidRPr="00B06CC2">
        <w:rPr>
          <w:lang w:val="en-US" w:eastAsia="zh-CN"/>
        </w:rPr>
        <w:t xml:space="preserve">for G-RNTI </w:t>
      </w:r>
      <m:oMath>
        <m:r>
          <w:rPr>
            <w:rFonts w:ascii="Cambria Math"/>
          </w:rPr>
          <m:t>g</m:t>
        </m:r>
      </m:oMath>
      <w:r w:rsidR="0034533F" w:rsidRPr="00B06CC2">
        <w:rPr>
          <w:lang w:val="en-US" w:eastAsia="zh-CN"/>
        </w:rPr>
        <w:t xml:space="preserve"> </w:t>
      </w:r>
      <w:r w:rsidR="00BF6B99">
        <w:rPr>
          <w:rFonts w:cs="Arial"/>
          <w:lang w:val="en-US"/>
        </w:rPr>
        <w:t xml:space="preserve">for multicast </w:t>
      </w:r>
      <w:r w:rsidR="0034533F" w:rsidRPr="00B06CC2">
        <w:rPr>
          <w:lang w:val="en-US" w:eastAsia="zh-CN"/>
        </w:rPr>
        <w:t xml:space="preserve">or G-CS-RNTI </w:t>
      </w:r>
      <m:oMath>
        <m:r>
          <w:rPr>
            <w:rFonts w:ascii="Cambria Math"/>
          </w:rPr>
          <m:t>g</m:t>
        </m:r>
      </m:oMath>
      <w:r w:rsidR="0034533F" w:rsidRPr="00B06CC2">
        <w:rPr>
          <w:iCs/>
          <w:lang w:val="en-US"/>
        </w:rPr>
        <w:t>,</w:t>
      </w:r>
      <w:r w:rsidR="0034533F" w:rsidRPr="00B06CC2">
        <w:rPr>
          <w:lang w:val="en-US" w:eastAsia="zh-CN"/>
        </w:rPr>
        <w:t xml:space="preserve"> </w:t>
      </w:r>
      <w:r>
        <w:t>is the</w:t>
      </w:r>
      <w:r w:rsidRPr="00E9040D">
        <w:t xml:space="preserve"> total number </w:t>
      </w:r>
      <w:r w:rsidR="002864D8" w:rsidRPr="00B06CC2">
        <w:t>of</w:t>
      </w:r>
      <w:r w:rsidR="002864D8" w:rsidRPr="00B06CC2">
        <w:rPr>
          <w:lang w:val="en-US"/>
        </w:rPr>
        <w:t xml:space="preserve"> </w:t>
      </w:r>
      <w:r w:rsidR="002864D8" w:rsidRPr="00B06CC2">
        <w:rPr>
          <w:rFonts w:cs="Arial" w:hint="eastAsia"/>
          <w:lang w:eastAsia="zh-CN"/>
        </w:rPr>
        <w:t>DCI format</w:t>
      </w:r>
      <w:r w:rsidR="002864D8" w:rsidRPr="00B06CC2">
        <w:rPr>
          <w:rFonts w:cs="Arial"/>
          <w:lang w:val="en-US" w:eastAsia="zh-CN"/>
        </w:rPr>
        <w:t>s</w:t>
      </w:r>
      <w:r w:rsidRPr="00B916EC">
        <w:rPr>
          <w:rFonts w:cs="Arial" w:hint="eastAsia"/>
          <w:lang w:eastAsia="zh-CN"/>
        </w:rPr>
        <w:t xml:space="preserve"> </w:t>
      </w:r>
      <w:r w:rsidRPr="00B916EC">
        <w:rPr>
          <w:rFonts w:hint="eastAsia"/>
          <w:lang w:eastAsia="zh-CN"/>
        </w:rPr>
        <w:t xml:space="preserve">scheduling PDSCH </w:t>
      </w:r>
      <w:r w:rsidRPr="00B916EC">
        <w:rPr>
          <w:lang w:eastAsia="zh-CN"/>
        </w:rPr>
        <w:t>recept</w:t>
      </w:r>
      <w:r w:rsidRPr="00B916EC">
        <w:rPr>
          <w:rFonts w:hint="eastAsia"/>
          <w:lang w:eastAsia="zh-CN"/>
        </w:rPr>
        <w:t>ion</w:t>
      </w:r>
      <w:r w:rsidR="002864D8" w:rsidRPr="00B06CC2">
        <w:rPr>
          <w:lang w:val="en-US" w:eastAsia="zh-CN"/>
        </w:rPr>
        <w:t>s</w:t>
      </w:r>
      <w:r w:rsidR="00DE3B39">
        <w:rPr>
          <w:lang w:val="en-US" w:eastAsia="zh-CN"/>
        </w:rPr>
        <w:t xml:space="preserve"> </w:t>
      </w:r>
      <w:r w:rsidR="00DE3B39">
        <w:rPr>
          <w:lang w:val="en-US"/>
        </w:rPr>
        <w:t>providing transport blocks with enabled HARQ-ACK information</w:t>
      </w:r>
      <w:r w:rsidR="00523F11">
        <w:rPr>
          <w:lang w:val="en-US" w:eastAsia="zh-CN"/>
        </w:rPr>
        <w:t>,</w:t>
      </w:r>
      <w:r w:rsidRPr="00B916EC">
        <w:rPr>
          <w:rFonts w:hint="eastAsia"/>
          <w:lang w:eastAsia="zh-CN"/>
        </w:rPr>
        <w:t xml:space="preserve"> </w:t>
      </w:r>
      <w:r w:rsidR="00510FD4" w:rsidRPr="00B27E56">
        <w:rPr>
          <w:lang w:val="en-US" w:eastAsia="zh-CN"/>
        </w:rPr>
        <w:t xml:space="preserve">or </w:t>
      </w:r>
      <w:r w:rsidR="00510FD4">
        <w:rPr>
          <w:lang w:val="en-US" w:eastAsia="zh-CN"/>
        </w:rPr>
        <w:t>having associated</w:t>
      </w:r>
      <w:r w:rsidR="00510FD4" w:rsidRPr="00B27E56">
        <w:rPr>
          <w:lang w:val="en-US" w:eastAsia="zh-CN"/>
        </w:rPr>
        <w:t xml:space="preserve"> HARQ-ACK information without scheduling a PDSCH reception,</w:t>
      </w:r>
      <w:r w:rsidR="00523F11">
        <w:rPr>
          <w:rFonts w:hint="eastAsia"/>
          <w:lang w:val="en-US" w:eastAsia="zh-CN"/>
        </w:rPr>
        <w:t xml:space="preserve"> </w:t>
      </w:r>
      <w:r>
        <w:t xml:space="preserve">that the UE detects </w:t>
      </w:r>
      <w:r w:rsidRPr="00E9040D">
        <w:t xml:space="preserve">within the </w:t>
      </w:r>
      <m:oMath>
        <m:r>
          <w:rPr>
            <w:rFonts w:ascii="Cambria Math" w:hAnsi="Cambria Math"/>
          </w:rPr>
          <m:t>M</m:t>
        </m:r>
      </m:oMath>
      <w:r>
        <w:rPr>
          <w:rFonts w:hint="eastAsia"/>
          <w:lang w:eastAsia="zh-CN"/>
        </w:rPr>
        <w:t xml:space="preserve"> </w:t>
      </w:r>
      <w:r w:rsidR="002864D8" w:rsidRPr="00B06CC2">
        <w:rPr>
          <w:lang w:val="en-US"/>
        </w:rPr>
        <w:t xml:space="preserve">or </w:t>
      </w:r>
      <m:oMath>
        <m:sSub>
          <m:sSubPr>
            <m:ctrlPr>
              <w:rPr>
                <w:rFonts w:ascii="Cambria Math" w:hAnsi="Cambria Math"/>
                <w:i/>
                <w:lang w:eastAsia="zh-CN"/>
              </w:rPr>
            </m:ctrlPr>
          </m:sSubPr>
          <m:e>
            <m:r>
              <w:rPr>
                <w:rFonts w:ascii="Cambria Math"/>
                <w:lang w:eastAsia="zh-CN"/>
              </w:rPr>
              <m:t>M</m:t>
            </m:r>
          </m:e>
          <m:sub>
            <m:r>
              <w:rPr>
                <w:rFonts w:ascii="Cambria Math"/>
                <w:lang w:eastAsia="zh-CN"/>
              </w:rPr>
              <m:t>g</m:t>
            </m:r>
          </m:sub>
        </m:sSub>
      </m:oMath>
      <w:r w:rsidR="002864D8" w:rsidRPr="00B06CC2">
        <w:rPr>
          <w:lang w:val="en-US" w:eastAsia="zh-CN"/>
        </w:rPr>
        <w:t xml:space="preserve"> </w:t>
      </w:r>
      <w:r w:rsidRPr="00B916EC">
        <w:rPr>
          <w:lang w:eastAsia="zh-CN"/>
        </w:rPr>
        <w:t>PDCCH monitoring occasion</w:t>
      </w:r>
      <w:r>
        <w:rPr>
          <w:lang w:eastAsia="zh-CN"/>
        </w:rPr>
        <w:t>s</w:t>
      </w:r>
      <w:r w:rsidR="003B4471" w:rsidRPr="00B06CC2">
        <w:rPr>
          <w:lang w:val="en-US" w:eastAsia="zh-CN"/>
        </w:rPr>
        <w:t>, respectively,</w:t>
      </w:r>
      <w:r>
        <w:t xml:space="preserve"> for</w:t>
      </w:r>
      <w:r w:rsidRPr="00E9040D">
        <w:rPr>
          <w:rFonts w:hint="eastAsia"/>
          <w:sz w:val="19"/>
          <w:szCs w:val="19"/>
          <w:lang w:eastAsia="zh-CN"/>
        </w:rPr>
        <w:t xml:space="preserve"> </w:t>
      </w:r>
      <w:r w:rsidRPr="00E9040D">
        <w:rPr>
          <w:rFonts w:hint="eastAsia"/>
          <w:lang w:eastAsia="zh-CN"/>
        </w:rPr>
        <w:t>serving cell</w:t>
      </w:r>
      <w:r w:rsidRPr="00E9040D">
        <w:rPr>
          <w:rFonts w:hint="eastAsia"/>
          <w:sz w:val="19"/>
          <w:szCs w:val="19"/>
          <w:lang w:eastAsia="zh-CN"/>
        </w:rPr>
        <w:t xml:space="preserve"> </w:t>
      </w:r>
      <m:oMath>
        <m:r>
          <w:rPr>
            <w:rFonts w:ascii="Cambria Math" w:hAnsi="Cambria Math"/>
          </w:rPr>
          <m:t>c</m:t>
        </m:r>
      </m:oMath>
      <w:r w:rsidRPr="00B916EC">
        <w:t xml:space="preserve">. </w:t>
      </w:r>
      <m:oMath>
        <m:sSub>
          <m:sSubPr>
            <m:ctrlPr>
              <w:rPr>
                <w:rFonts w:ascii="Cambria Math" w:hAnsi="Cambria Math"/>
                <w:i/>
                <w:lang w:eastAsia="zh-CN"/>
              </w:rPr>
            </m:ctrlPr>
          </m:sSubPr>
          <m:e>
            <m:r>
              <w:rPr>
                <w:rFonts w:ascii="Cambria Math"/>
                <w:lang w:eastAsia="zh-CN"/>
              </w:rPr>
              <m:t>U</m:t>
            </m:r>
          </m:e>
          <m:sub>
            <m:r>
              <m:rPr>
                <m:nor/>
              </m:rPr>
              <w:rPr>
                <w:rFonts w:ascii="Cambria Math"/>
                <w:lang w:val="en-US" w:eastAsia="zh-CN"/>
              </w:rPr>
              <m:t>DAI,</m:t>
            </m:r>
            <m:r>
              <m:rPr>
                <m:nor/>
              </m:rPr>
              <w:rPr>
                <w:rFonts w:ascii="Cambria Math"/>
                <w:i/>
                <w:iCs/>
                <w:lang w:val="en-US" w:eastAsia="zh-CN"/>
              </w:rPr>
              <m:t>c</m:t>
            </m:r>
            <m:ctrlPr>
              <w:rPr>
                <w:rFonts w:ascii="Cambria Math" w:hAnsi="Cambria Math"/>
                <w:lang w:eastAsia="zh-CN"/>
              </w:rPr>
            </m:ctrlPr>
          </m:sub>
        </m:sSub>
        <m:r>
          <w:rPr>
            <w:rFonts w:ascii="Cambria Math" w:hAnsi="Cambria Math"/>
            <w:lang w:eastAsia="zh-CN"/>
          </w:rPr>
          <m:t>=0</m:t>
        </m:r>
      </m:oMath>
      <w:r>
        <w:t xml:space="preserve"> </w:t>
      </w:r>
      <w:r w:rsidR="003B4471" w:rsidRPr="00B06CC2">
        <w:rPr>
          <w:lang w:val="en-US"/>
        </w:rPr>
        <w:t xml:space="preserve">or </w:t>
      </w:r>
      <m:oMath>
        <m:sSub>
          <m:sSubPr>
            <m:ctrlPr>
              <w:rPr>
                <w:rFonts w:ascii="Cambria Math" w:hAnsi="Cambria Math"/>
                <w:i/>
              </w:rPr>
            </m:ctrlPr>
          </m:sSubPr>
          <m:e>
            <m:r>
              <w:rPr>
                <w:rFonts w:ascii="Cambria Math" w:hAnsi="Cambria Math"/>
              </w:rPr>
              <m:t>U</m:t>
            </m:r>
          </m:e>
          <m:sub>
            <m:r>
              <m:rPr>
                <m:nor/>
              </m:rPr>
              <w:rPr>
                <w:rFonts w:ascii="Cambria Math"/>
                <w:lang w:eastAsia="zh-CN"/>
              </w:rPr>
              <m:t>DAI</m:t>
            </m:r>
            <m:r>
              <m:rPr>
                <m:sty m:val="p"/>
              </m:rPr>
              <w:rPr>
                <w:rFonts w:ascii="Cambria Math"/>
                <w:lang w:eastAsia="zh-CN"/>
              </w:rPr>
              <m:t>,</m:t>
            </m:r>
            <m:r>
              <w:rPr>
                <w:rFonts w:ascii="Cambria Math"/>
                <w:lang w:eastAsia="zh-CN"/>
              </w:rPr>
              <m:t>c</m:t>
            </m:r>
            <m:r>
              <w:rPr>
                <w:rFonts w:ascii="Cambria Math" w:hAnsi="Cambria Math"/>
              </w:rPr>
              <m:t>,g</m:t>
            </m:r>
          </m:sub>
        </m:sSub>
        <m:r>
          <w:rPr>
            <w:rFonts w:ascii="Cambria Math" w:hAnsi="Cambria Math"/>
          </w:rPr>
          <m:t>=0</m:t>
        </m:r>
      </m:oMath>
      <w:r w:rsidR="003B4471" w:rsidRPr="00B06CC2">
        <w:rPr>
          <w:lang w:val="en-US"/>
        </w:rPr>
        <w:t xml:space="preserve"> </w:t>
      </w:r>
      <w:r>
        <w:t xml:space="preserve">if the UE does not detect </w:t>
      </w:r>
      <w:r>
        <w:rPr>
          <w:rFonts w:cs="Arial"/>
          <w:lang w:eastAsia="zh-CN"/>
        </w:rPr>
        <w:t xml:space="preserve">any </w:t>
      </w:r>
      <w:r w:rsidRPr="00B916EC">
        <w:rPr>
          <w:rFonts w:cs="Arial" w:hint="eastAsia"/>
          <w:lang w:eastAsia="zh-CN"/>
        </w:rPr>
        <w:t xml:space="preserve">DCI format </w:t>
      </w:r>
      <w:r w:rsidRPr="00B916EC">
        <w:rPr>
          <w:rFonts w:hint="eastAsia"/>
          <w:lang w:eastAsia="zh-CN"/>
        </w:rPr>
        <w:t xml:space="preserve">scheduling PDSCH </w:t>
      </w:r>
      <w:r w:rsidRPr="00B916EC">
        <w:rPr>
          <w:lang w:eastAsia="zh-CN"/>
        </w:rPr>
        <w:t>recept</w:t>
      </w:r>
      <w:r w:rsidRPr="00B916EC">
        <w:rPr>
          <w:rFonts w:hint="eastAsia"/>
          <w:lang w:eastAsia="zh-CN"/>
        </w:rPr>
        <w:t>ion</w:t>
      </w:r>
      <w:r w:rsidR="00DE3B39">
        <w:rPr>
          <w:lang w:val="en-GB" w:eastAsia="zh-CN"/>
        </w:rPr>
        <w:t xml:space="preserve"> </w:t>
      </w:r>
      <w:r w:rsidR="00DE3B39">
        <w:rPr>
          <w:lang w:val="en-US"/>
        </w:rPr>
        <w:t>providing a transport block with enabled HARQ-ACK information</w:t>
      </w:r>
      <w:r w:rsidR="00523F11">
        <w:rPr>
          <w:lang w:val="en-US" w:eastAsia="zh-CN"/>
        </w:rPr>
        <w:t>,</w:t>
      </w:r>
      <w:r w:rsidRPr="00B916EC">
        <w:rPr>
          <w:rFonts w:hint="eastAsia"/>
          <w:lang w:eastAsia="zh-CN"/>
        </w:rPr>
        <w:t xml:space="preserve"> </w:t>
      </w:r>
      <w:r w:rsidR="00415D4D" w:rsidRPr="00B27E56">
        <w:rPr>
          <w:lang w:val="en-US" w:eastAsia="zh-CN"/>
        </w:rPr>
        <w:t xml:space="preserve">or </w:t>
      </w:r>
      <w:r w:rsidR="00415D4D">
        <w:rPr>
          <w:lang w:val="en-US" w:eastAsia="zh-CN"/>
        </w:rPr>
        <w:t>having associated</w:t>
      </w:r>
      <w:r w:rsidR="00415D4D" w:rsidRPr="00B27E56">
        <w:rPr>
          <w:lang w:val="en-US" w:eastAsia="zh-CN"/>
        </w:rPr>
        <w:t xml:space="preserve"> HARQ-ACK information without scheduling PDSCH reception,</w:t>
      </w:r>
      <w:r w:rsidR="00523F11">
        <w:rPr>
          <w:rFonts w:hint="eastAsia"/>
          <w:lang w:val="en-US" w:eastAsia="zh-CN"/>
        </w:rPr>
        <w:t xml:space="preserve"> </w:t>
      </w:r>
      <w:r w:rsidRPr="00B916EC">
        <w:rPr>
          <w:rFonts w:hint="eastAsia"/>
          <w:lang w:eastAsia="zh-CN"/>
        </w:rPr>
        <w:t xml:space="preserve">for </w:t>
      </w:r>
      <w:r w:rsidRPr="00B916EC">
        <w:rPr>
          <w:lang w:eastAsia="zh-CN"/>
        </w:rPr>
        <w:t xml:space="preserve">serving </w:t>
      </w:r>
      <w:r w:rsidRPr="00B916EC">
        <w:rPr>
          <w:rFonts w:hint="eastAsia"/>
          <w:lang w:eastAsia="zh-CN"/>
        </w:rPr>
        <w:t xml:space="preserve">cell </w:t>
      </w:r>
      <m:oMath>
        <m:r>
          <w:rPr>
            <w:rFonts w:ascii="Cambria Math" w:hAnsi="Cambria Math"/>
          </w:rPr>
          <m:t>c</m:t>
        </m:r>
      </m:oMath>
      <w:r w:rsidRPr="00B916EC">
        <w:rPr>
          <w:rFonts w:hint="eastAsia"/>
          <w:lang w:eastAsia="zh-CN"/>
        </w:rPr>
        <w:t xml:space="preserve"> in </w:t>
      </w:r>
      <w:r>
        <w:rPr>
          <w:lang w:eastAsia="zh-CN"/>
        </w:rPr>
        <w:t xml:space="preserve">any of the </w:t>
      </w:r>
      <m:oMath>
        <m:r>
          <w:rPr>
            <w:rFonts w:ascii="Cambria Math" w:hAnsi="Cambria Math"/>
          </w:rPr>
          <m:t>M</m:t>
        </m:r>
      </m:oMath>
      <w:r>
        <w:t xml:space="preserve"> </w:t>
      </w:r>
      <w:r w:rsidR="003B4471" w:rsidRPr="00B06CC2">
        <w:rPr>
          <w:lang w:val="en-US"/>
        </w:rPr>
        <w:t xml:space="preserve">or </w:t>
      </w:r>
      <m:oMath>
        <m:sSub>
          <m:sSubPr>
            <m:ctrlPr>
              <w:rPr>
                <w:rFonts w:ascii="Cambria Math" w:hAnsi="Cambria Math"/>
                <w:i/>
                <w:lang w:eastAsia="zh-CN"/>
              </w:rPr>
            </m:ctrlPr>
          </m:sSubPr>
          <m:e>
            <m:r>
              <w:rPr>
                <w:rFonts w:ascii="Cambria Math"/>
                <w:lang w:eastAsia="zh-CN"/>
              </w:rPr>
              <m:t>M</m:t>
            </m:r>
          </m:e>
          <m:sub>
            <m:r>
              <w:rPr>
                <w:rFonts w:ascii="Cambria Math"/>
                <w:lang w:eastAsia="zh-CN"/>
              </w:rPr>
              <m:t>g</m:t>
            </m:r>
          </m:sub>
        </m:sSub>
      </m:oMath>
      <w:r w:rsidR="003B4471" w:rsidRPr="00B06CC2">
        <w:rPr>
          <w:lang w:val="en-US" w:eastAsia="zh-CN"/>
        </w:rPr>
        <w:t>, respectively,</w:t>
      </w:r>
      <w:r w:rsidR="008A67F3">
        <w:rPr>
          <w:lang w:val="en-US" w:eastAsia="zh-CN"/>
        </w:rPr>
        <w:t xml:space="preserve"> </w:t>
      </w:r>
      <w:r w:rsidRPr="00B916EC">
        <w:rPr>
          <w:lang w:eastAsia="zh-CN"/>
        </w:rPr>
        <w:t>PDCCH monitoring occasion</w:t>
      </w:r>
      <w:r>
        <w:t>s.</w:t>
      </w:r>
    </w:p>
    <w:p w14:paraId="71EEF492" w14:textId="68389EDD" w:rsidR="00522C35" w:rsidRDefault="00522C35" w:rsidP="00522C35">
      <w:pPr>
        <w:pStyle w:val="B1"/>
      </w:pPr>
      <w:r>
        <w:t>-</w:t>
      </w:r>
      <w:r>
        <w:tab/>
      </w:r>
      <m:oMath>
        <m:sSubSup>
          <m:sSubSupPr>
            <m:ctrlPr>
              <w:rPr>
                <w:rFonts w:ascii="Cambria Math" w:hAnsi="Cambria Math"/>
                <w:i/>
              </w:rPr>
            </m:ctrlPr>
          </m:sSubSupPr>
          <m:e>
            <m:r>
              <w:rPr>
                <w:rFonts w:ascii="Cambria Math"/>
              </w:rPr>
              <m:t>N</m:t>
            </m:r>
          </m:e>
          <m:sub>
            <m:r>
              <m:rPr>
                <m:sty m:val="p"/>
              </m:rPr>
              <w:rPr>
                <w:rFonts w:ascii="Cambria Math"/>
              </w:rPr>
              <m:t>TB,max</m:t>
            </m:r>
            <m:ctrlPr>
              <w:rPr>
                <w:rFonts w:ascii="Cambria Math" w:hAnsi="Cambria Math"/>
              </w:rPr>
            </m:ctrlPr>
          </m:sub>
          <m:sup>
            <m:r>
              <m:rPr>
                <m:nor/>
              </m:rPr>
              <w:rPr>
                <w:rFonts w:ascii="Cambria Math"/>
                <w:lang w:val="en-US"/>
              </w:rPr>
              <m:t>DL</m:t>
            </m:r>
            <m:ctrlPr>
              <w:rPr>
                <w:rFonts w:ascii="Cambria Math" w:hAnsi="Cambria Math"/>
              </w:rPr>
            </m:ctrlPr>
          </m:sup>
        </m:sSubSup>
        <m:r>
          <w:rPr>
            <w:rFonts w:ascii="Cambria Math" w:hAnsi="Cambria Math"/>
          </w:rPr>
          <m:t>=2</m:t>
        </m:r>
      </m:oMath>
      <w:r>
        <w:t xml:space="preserve"> </w:t>
      </w:r>
      <w:r>
        <w:rPr>
          <w:lang w:val="en-US"/>
        </w:rPr>
        <w:t>if</w:t>
      </w:r>
      <w:r>
        <w:t xml:space="preserve"> the value of </w:t>
      </w:r>
      <w:r w:rsidRPr="00435CFD">
        <w:rPr>
          <w:i/>
        </w:rPr>
        <w:t>maxNrofCodeWordsScheduledByDCI</w:t>
      </w:r>
      <w:r>
        <w:t xml:space="preserve"> </w:t>
      </w:r>
      <w:r>
        <w:rPr>
          <w:lang w:val="en-US"/>
        </w:rPr>
        <w:t xml:space="preserve">is 2 </w:t>
      </w:r>
      <w:r>
        <w:t xml:space="preserve">for </w:t>
      </w:r>
      <w:r>
        <w:rPr>
          <w:lang w:val="en-US"/>
        </w:rPr>
        <w:t xml:space="preserve">any </w:t>
      </w:r>
      <w:r>
        <w:t xml:space="preserve">serving cell </w:t>
      </w:r>
      <m:oMath>
        <m:r>
          <w:rPr>
            <w:rFonts w:ascii="Cambria Math" w:hAnsi="Cambria Math"/>
          </w:rPr>
          <m:t>c</m:t>
        </m:r>
      </m:oMath>
      <w:r>
        <w:t xml:space="preserve"> </w:t>
      </w:r>
      <w:r>
        <w:rPr>
          <w:lang w:val="en-US"/>
        </w:rPr>
        <w:t>and</w:t>
      </w:r>
      <w:r>
        <w:t xml:space="preserve"> </w:t>
      </w:r>
      <w:r w:rsidRPr="00435CFD">
        <w:rPr>
          <w:i/>
        </w:rPr>
        <w:t>harq-ACK-SpatialBundlingPUCCH</w:t>
      </w:r>
      <w:r w:rsidRPr="00B916EC">
        <w:rPr>
          <w:rFonts w:hint="eastAsia"/>
          <w:lang w:eastAsia="zh-CN"/>
        </w:rPr>
        <w:t xml:space="preserve"> </w:t>
      </w:r>
      <w:r>
        <w:rPr>
          <w:lang w:val="en-US" w:eastAsia="zh-CN"/>
        </w:rPr>
        <w:t>is not provided;</w:t>
      </w:r>
      <w:r>
        <w:rPr>
          <w:lang w:eastAsia="zh-CN"/>
        </w:rPr>
        <w:t xml:space="preserve"> </w:t>
      </w:r>
      <w:r>
        <w:rPr>
          <w:lang w:val="en-US" w:eastAsia="zh-CN"/>
        </w:rPr>
        <w:t>otherwise,</w:t>
      </w:r>
      <w:r>
        <w:rPr>
          <w:lang w:eastAsia="zh-CN"/>
        </w:rPr>
        <w:t xml:space="preserve"> </w:t>
      </w:r>
      <m:oMath>
        <m:sSubSup>
          <m:sSubSupPr>
            <m:ctrlPr>
              <w:rPr>
                <w:rFonts w:ascii="Cambria Math" w:hAnsi="Cambria Math"/>
                <w:i/>
              </w:rPr>
            </m:ctrlPr>
          </m:sSubSupPr>
          <m:e>
            <m:r>
              <w:rPr>
                <w:rFonts w:ascii="Cambria Math"/>
              </w:rPr>
              <m:t>N</m:t>
            </m:r>
          </m:e>
          <m:sub>
            <m:r>
              <m:rPr>
                <m:sty m:val="p"/>
              </m:rPr>
              <w:rPr>
                <w:rFonts w:ascii="Cambria Math"/>
              </w:rPr>
              <m:t>TB,max</m:t>
            </m:r>
            <m:ctrlPr>
              <w:rPr>
                <w:rFonts w:ascii="Cambria Math" w:hAnsi="Cambria Math"/>
              </w:rPr>
            </m:ctrlPr>
          </m:sub>
          <m:sup>
            <m:r>
              <m:rPr>
                <m:nor/>
              </m:rPr>
              <w:rPr>
                <w:rFonts w:ascii="Cambria Math"/>
                <w:lang w:val="en-US"/>
              </w:rPr>
              <m:t>DL</m:t>
            </m:r>
            <m:ctrlPr>
              <w:rPr>
                <w:rFonts w:ascii="Cambria Math" w:hAnsi="Cambria Math"/>
              </w:rPr>
            </m:ctrlPr>
          </m:sup>
        </m:sSubSup>
        <m:r>
          <w:rPr>
            <w:rFonts w:ascii="Cambria Math" w:hAnsi="Cambria Math"/>
          </w:rPr>
          <m:t>=1</m:t>
        </m:r>
      </m:oMath>
      <w:r>
        <w:t>.</w:t>
      </w:r>
    </w:p>
    <w:p w14:paraId="3F63D42C" w14:textId="5509CC37" w:rsidR="008A67F3" w:rsidRPr="0088027F" w:rsidRDefault="008A67F3" w:rsidP="008A67F3">
      <w:pPr>
        <w:pStyle w:val="B1"/>
      </w:pPr>
      <w:r w:rsidRPr="0088027F">
        <w:t>-</w:t>
      </w:r>
      <w:r w:rsidRPr="0088027F">
        <w:tab/>
      </w:r>
      <w:bookmarkStart w:id="492" w:name="_Hlk99726704"/>
      <m:oMath>
        <m:sSubSup>
          <m:sSubSupPr>
            <m:ctrlPr>
              <w:rPr>
                <w:rFonts w:ascii="Cambria Math" w:hAnsi="Cambria Math"/>
                <w:i/>
              </w:rPr>
            </m:ctrlPr>
          </m:sSubSupPr>
          <m:e>
            <m:r>
              <w:rPr>
                <w:rFonts w:ascii="Cambria Math"/>
              </w:rPr>
              <m:t>N</m:t>
            </m:r>
          </m:e>
          <m:sub>
            <m:r>
              <m:rPr>
                <m:sty m:val="p"/>
              </m:rPr>
              <w:rPr>
                <w:rFonts w:ascii="Cambria Math"/>
              </w:rPr>
              <m:t>TB,max,</m:t>
            </m:r>
            <m:r>
              <w:rPr>
                <w:rFonts w:ascii="Cambria Math"/>
              </w:rPr>
              <m:t>g</m:t>
            </m:r>
            <m:ctrlPr>
              <w:rPr>
                <w:rFonts w:ascii="Cambria Math" w:hAnsi="Cambria Math"/>
              </w:rPr>
            </m:ctrlPr>
          </m:sub>
          <m:sup>
            <m:r>
              <m:rPr>
                <m:nor/>
              </m:rPr>
              <w:rPr>
                <w:rFonts w:ascii="Cambria Math"/>
                <w:lang w:val="en-US"/>
              </w:rPr>
              <m:t>DL</m:t>
            </m:r>
            <m:ctrlPr>
              <w:rPr>
                <w:rFonts w:ascii="Cambria Math" w:hAnsi="Cambria Math"/>
              </w:rPr>
            </m:ctrlPr>
          </m:sup>
        </m:sSubSup>
        <m:r>
          <w:rPr>
            <w:rFonts w:ascii="Cambria Math" w:hAnsi="Cambria Math"/>
          </w:rPr>
          <m:t>=2</m:t>
        </m:r>
      </m:oMath>
      <w:r w:rsidRPr="0088027F">
        <w:t xml:space="preserve"> </w:t>
      </w:r>
      <w:r w:rsidRPr="0088027F">
        <w:rPr>
          <w:lang w:val="en-US"/>
        </w:rPr>
        <w:t>if</w:t>
      </w:r>
      <w:r w:rsidRPr="0088027F">
        <w:t xml:space="preserve"> the value of </w:t>
      </w:r>
      <w:r w:rsidRPr="0088027F">
        <w:rPr>
          <w:i/>
        </w:rPr>
        <w:t>maxNrofCodeWordsScheduledByDCI</w:t>
      </w:r>
      <w:r w:rsidRPr="0088027F">
        <w:t xml:space="preserve"> </w:t>
      </w:r>
      <w:r w:rsidRPr="0088027F">
        <w:rPr>
          <w:lang w:val="en-US"/>
        </w:rPr>
        <w:t xml:space="preserve">is 2 </w:t>
      </w:r>
      <w:r w:rsidRPr="0088027F">
        <w:t xml:space="preserve">for </w:t>
      </w:r>
      <w:r w:rsidRPr="0088027F">
        <w:rPr>
          <w:lang w:val="en-US"/>
        </w:rPr>
        <w:t xml:space="preserve">any </w:t>
      </w:r>
      <w:r w:rsidRPr="0088027F">
        <w:t xml:space="preserve">serving cell </w:t>
      </w:r>
      <m:oMath>
        <m:r>
          <w:rPr>
            <w:rFonts w:ascii="Cambria Math" w:hAnsi="Cambria Math"/>
          </w:rPr>
          <m:t>c</m:t>
        </m:r>
      </m:oMath>
      <w:r w:rsidRPr="0088027F">
        <w:t xml:space="preserve"> </w:t>
      </w:r>
      <w:r w:rsidRPr="0088027F">
        <w:rPr>
          <w:lang w:val="en-US"/>
        </w:rPr>
        <w:t>and</w:t>
      </w:r>
      <w:r w:rsidRPr="0088027F">
        <w:t xml:space="preserve"> </w:t>
      </w:r>
      <w:r w:rsidRPr="0088027F">
        <w:rPr>
          <w:i/>
        </w:rPr>
        <w:t>harq-ACK-SpatialBundlingPUCCH</w:t>
      </w:r>
      <w:r w:rsidRPr="0088027F">
        <w:rPr>
          <w:rFonts w:hint="eastAsia"/>
          <w:lang w:eastAsia="zh-CN"/>
        </w:rPr>
        <w:t xml:space="preserve"> </w:t>
      </w:r>
      <w:r w:rsidRPr="0088027F">
        <w:rPr>
          <w:lang w:val="en-US" w:eastAsia="zh-CN"/>
        </w:rPr>
        <w:t xml:space="preserve">is not provided for G-RNTI </w:t>
      </w:r>
      <m:oMath>
        <m:r>
          <w:rPr>
            <w:rFonts w:ascii="Cambria Math"/>
          </w:rPr>
          <m:t>g</m:t>
        </m:r>
      </m:oMath>
      <w:r w:rsidRPr="0088027F">
        <w:rPr>
          <w:lang w:val="en-US" w:eastAsia="zh-CN"/>
        </w:rPr>
        <w:t xml:space="preserve"> </w:t>
      </w:r>
      <w:r w:rsidR="00BF6B99">
        <w:rPr>
          <w:rFonts w:cs="Arial"/>
          <w:lang w:val="en-US"/>
        </w:rPr>
        <w:t xml:space="preserve">for multicast </w:t>
      </w:r>
      <w:r w:rsidRPr="0088027F">
        <w:rPr>
          <w:lang w:val="en-US" w:eastAsia="zh-CN"/>
        </w:rPr>
        <w:t xml:space="preserve">or G-CS-RNTI </w:t>
      </w:r>
      <m:oMath>
        <m:r>
          <w:rPr>
            <w:rFonts w:ascii="Cambria Math"/>
          </w:rPr>
          <m:t>g</m:t>
        </m:r>
      </m:oMath>
      <w:r w:rsidRPr="0088027F">
        <w:rPr>
          <w:lang w:val="en-US" w:eastAsia="zh-CN"/>
        </w:rPr>
        <w:t>;</w:t>
      </w:r>
      <w:r w:rsidRPr="0088027F">
        <w:rPr>
          <w:lang w:eastAsia="zh-CN"/>
        </w:rPr>
        <w:t xml:space="preserve"> </w:t>
      </w:r>
      <w:r w:rsidRPr="0088027F">
        <w:rPr>
          <w:lang w:val="en-US" w:eastAsia="zh-CN"/>
        </w:rPr>
        <w:t>otherwise,</w:t>
      </w:r>
      <w:r w:rsidRPr="0088027F">
        <w:rPr>
          <w:lang w:eastAsia="zh-CN"/>
        </w:rPr>
        <w:t xml:space="preserve"> </w:t>
      </w:r>
      <w:bookmarkEnd w:id="492"/>
      <m:oMath>
        <m:sSubSup>
          <m:sSubSupPr>
            <m:ctrlPr>
              <w:rPr>
                <w:rFonts w:ascii="Cambria Math" w:hAnsi="Cambria Math"/>
                <w:i/>
              </w:rPr>
            </m:ctrlPr>
          </m:sSubSupPr>
          <m:e>
            <m:r>
              <w:rPr>
                <w:rFonts w:ascii="Cambria Math"/>
              </w:rPr>
              <m:t>N</m:t>
            </m:r>
          </m:e>
          <m:sub>
            <m:r>
              <m:rPr>
                <m:sty m:val="p"/>
              </m:rPr>
              <w:rPr>
                <w:rFonts w:ascii="Cambria Math"/>
              </w:rPr>
              <m:t>TB,max,</m:t>
            </m:r>
            <m:r>
              <w:rPr>
                <w:rFonts w:ascii="Cambria Math"/>
              </w:rPr>
              <m:t>g</m:t>
            </m:r>
            <m:ctrlPr>
              <w:rPr>
                <w:rFonts w:ascii="Cambria Math" w:hAnsi="Cambria Math"/>
              </w:rPr>
            </m:ctrlPr>
          </m:sub>
          <m:sup>
            <m:r>
              <m:rPr>
                <m:nor/>
              </m:rPr>
              <w:rPr>
                <w:rFonts w:ascii="Cambria Math"/>
                <w:lang w:val="en-US"/>
              </w:rPr>
              <m:t>DL</m:t>
            </m:r>
            <m:ctrlPr>
              <w:rPr>
                <w:rFonts w:ascii="Cambria Math" w:hAnsi="Cambria Math"/>
              </w:rPr>
            </m:ctrlPr>
          </m:sup>
        </m:sSubSup>
        <m:r>
          <w:rPr>
            <w:rFonts w:ascii="Cambria Math" w:hAnsi="Cambria Math"/>
          </w:rPr>
          <m:t>=1</m:t>
        </m:r>
      </m:oMath>
      <w:r w:rsidRPr="0088027F">
        <w:t>.</w:t>
      </w:r>
    </w:p>
    <w:p w14:paraId="1497A4F8" w14:textId="0EA7FF58" w:rsidR="00756255" w:rsidRDefault="00522C35" w:rsidP="00522C35">
      <w:pPr>
        <w:pStyle w:val="B1"/>
        <w:rPr>
          <w:rFonts w:cs="Arial"/>
          <w:lang w:eastAsia="zh-CN"/>
        </w:rPr>
      </w:pPr>
      <w:r>
        <w:rPr>
          <w:rFonts w:cs="Arial"/>
          <w:lang w:eastAsia="zh-CN"/>
        </w:rPr>
        <w:t>-</w:t>
      </w:r>
      <w:r>
        <w:rPr>
          <w:rFonts w:cs="Arial"/>
          <w:lang w:eastAsia="zh-CN"/>
        </w:rPr>
        <w:tab/>
      </w:r>
      <m:oMath>
        <m:sSubSup>
          <m:sSubSupPr>
            <m:ctrlPr>
              <w:rPr>
                <w:rFonts w:ascii="Cambria Math" w:hAnsi="Cambria Math"/>
                <w:i/>
              </w:rPr>
            </m:ctrlPr>
          </m:sSubSupPr>
          <m:e>
            <m:r>
              <w:rPr>
                <w:rFonts w:ascii="Cambria Math"/>
              </w:rPr>
              <m:t>N</m:t>
            </m:r>
          </m:e>
          <m:sub>
            <m:r>
              <w:rPr>
                <w:rFonts w:ascii="Cambria Math"/>
              </w:rPr>
              <m:t>m,c</m:t>
            </m:r>
            <m:ctrlPr>
              <w:rPr>
                <w:rFonts w:ascii="Cambria Math" w:hAnsi="Cambria Math"/>
              </w:rPr>
            </m:ctrlPr>
          </m:sub>
          <m:sup>
            <m:r>
              <m:rPr>
                <m:nor/>
              </m:rPr>
              <w:rPr>
                <w:rFonts w:ascii="Cambria Math"/>
                <w:lang w:val="en-US"/>
              </w:rPr>
              <m:t>received</m:t>
            </m:r>
            <m:ctrlPr>
              <w:rPr>
                <w:rFonts w:ascii="Cambria Math" w:hAnsi="Cambria Math"/>
              </w:rPr>
            </m:ctrlPr>
          </m:sup>
        </m:sSubSup>
      </m:oMath>
      <w:r>
        <w:rPr>
          <w:rFonts w:cs="Arial"/>
          <w:lang w:eastAsia="zh-CN"/>
        </w:rPr>
        <w:t xml:space="preserve"> </w:t>
      </w:r>
      <w:r w:rsidR="003B4471" w:rsidRPr="00B06CC2">
        <w:rPr>
          <w:rFonts w:cs="Arial"/>
          <w:lang w:val="en-US" w:eastAsia="zh-CN"/>
        </w:rPr>
        <w:t xml:space="preserve">or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m,c,g</m:t>
            </m:r>
          </m:sub>
          <m:sup>
            <m:r>
              <m:rPr>
                <m:nor/>
              </m:rPr>
              <w:rPr>
                <w:rFonts w:ascii="Cambria Math"/>
                <w:lang w:eastAsia="zh-CN"/>
              </w:rPr>
              <m:t>received</m:t>
            </m:r>
            <m:ctrlPr>
              <w:rPr>
                <w:rFonts w:ascii="Cambria Math" w:hAnsi="Cambria Math"/>
                <w:lang w:eastAsia="zh-CN"/>
              </w:rPr>
            </m:ctrlPr>
          </m:sup>
        </m:sSubSup>
      </m:oMath>
      <w:r w:rsidR="003B4471" w:rsidRPr="00B06CC2">
        <w:rPr>
          <w:lang w:val="en-US" w:eastAsia="zh-CN"/>
        </w:rPr>
        <w:t xml:space="preserve">, for G-RNTI </w:t>
      </w:r>
      <m:oMath>
        <m:r>
          <w:rPr>
            <w:rFonts w:ascii="Cambria Math"/>
          </w:rPr>
          <m:t>g</m:t>
        </m:r>
      </m:oMath>
      <w:r w:rsidR="003B4471" w:rsidRPr="00B06CC2">
        <w:rPr>
          <w:lang w:val="en-US" w:eastAsia="zh-CN"/>
        </w:rPr>
        <w:t xml:space="preserve"> </w:t>
      </w:r>
      <w:r w:rsidR="00544DB6">
        <w:rPr>
          <w:rFonts w:cs="Arial"/>
          <w:lang w:val="en-US"/>
        </w:rPr>
        <w:t xml:space="preserve">for multicast </w:t>
      </w:r>
      <w:r w:rsidR="003B4471" w:rsidRPr="00B06CC2">
        <w:rPr>
          <w:lang w:val="en-US" w:eastAsia="zh-CN"/>
        </w:rPr>
        <w:t xml:space="preserve">or G-CS-RNTI </w:t>
      </w:r>
      <m:oMath>
        <m:r>
          <w:rPr>
            <w:rFonts w:ascii="Cambria Math"/>
          </w:rPr>
          <m:t>g</m:t>
        </m:r>
      </m:oMath>
      <w:r w:rsidR="003B4471" w:rsidRPr="00B06CC2">
        <w:rPr>
          <w:iCs/>
          <w:lang w:val="en-US"/>
        </w:rPr>
        <w:t>,</w:t>
      </w:r>
      <w:r w:rsidR="003B4471" w:rsidRPr="00B06CC2">
        <w:rPr>
          <w:lang w:val="en-US" w:eastAsia="zh-CN"/>
        </w:rPr>
        <w:t xml:space="preserve"> </w:t>
      </w:r>
      <w:r>
        <w:rPr>
          <w:rFonts w:cs="Arial"/>
          <w:lang w:eastAsia="zh-CN"/>
        </w:rPr>
        <w:t xml:space="preserve">is </w:t>
      </w:r>
    </w:p>
    <w:p w14:paraId="32F5F5FC" w14:textId="170C58E7" w:rsidR="006C0021" w:rsidRDefault="006C0021" w:rsidP="00797094">
      <w:pPr>
        <w:pStyle w:val="B2"/>
        <w:rPr>
          <w:lang w:eastAsia="zh-CN"/>
        </w:rPr>
      </w:pPr>
      <w:r w:rsidRPr="00B06CC2">
        <w:t>-</w:t>
      </w:r>
      <w:r w:rsidRPr="00B06CC2">
        <w:tab/>
      </w:r>
      <w:r>
        <w:t xml:space="preserve">if </w:t>
      </w:r>
      <w:r w:rsidRPr="00435CFD">
        <w:rPr>
          <w:i/>
        </w:rPr>
        <w:t>harq-ACK-SpatialBundlingPUCCH</w:t>
      </w:r>
      <w:r w:rsidRPr="00B916EC">
        <w:rPr>
          <w:rFonts w:hint="eastAsia"/>
          <w:lang w:eastAsia="zh-CN"/>
        </w:rPr>
        <w:t xml:space="preserve"> </w:t>
      </w:r>
      <w:r>
        <w:rPr>
          <w:lang w:val="en-US" w:eastAsia="zh-CN"/>
        </w:rPr>
        <w:t>is not provided,</w:t>
      </w:r>
      <w:r w:rsidRPr="00E9040D">
        <w:rPr>
          <w:rFonts w:hint="eastAsia"/>
          <w:lang w:eastAsia="zh-CN"/>
        </w:rPr>
        <w:t xml:space="preserve"> the number of </w:t>
      </w:r>
      <w:r w:rsidRPr="00E9040D">
        <w:t xml:space="preserve">transport blocks </w:t>
      </w:r>
      <w:r>
        <w:t>the UE receives</w:t>
      </w:r>
      <w:r w:rsidRPr="00E9040D">
        <w:t xml:space="preserve"> </w:t>
      </w:r>
      <w:r>
        <w:t>in a PDSCH</w:t>
      </w:r>
      <w:r>
        <w:rPr>
          <w:lang w:val="en-US"/>
        </w:rPr>
        <w:t xml:space="preserve">, or the number of transport block groups </w:t>
      </w:r>
      <w:r w:rsidR="00F5299F" w:rsidRPr="00A6185A">
        <w:rPr>
          <w:rFonts w:eastAsia="MS Mincho"/>
          <w:lang w:val="en-US"/>
        </w:rPr>
        <w:t xml:space="preserve">the UE receives </w:t>
      </w:r>
      <w:r>
        <w:rPr>
          <w:lang w:val="en-US"/>
        </w:rPr>
        <w:t xml:space="preserve">in PDSCHs if </w:t>
      </w:r>
      <w:r w:rsidR="00544DB6" w:rsidRPr="00B27E56">
        <w:rPr>
          <w:i/>
          <w:iCs/>
        </w:rPr>
        <w:t>n</w:t>
      </w:r>
      <w:r w:rsidR="00544DB6">
        <w:rPr>
          <w:i/>
          <w:iCs/>
          <w:lang w:val="en-GB"/>
        </w:rPr>
        <w:t>ro</w:t>
      </w:r>
      <w:r w:rsidR="00544DB6" w:rsidRPr="00B27E56">
        <w:rPr>
          <w:i/>
          <w:iCs/>
        </w:rPr>
        <w:t>fHARQ</w:t>
      </w:r>
      <w:r w:rsidRPr="00B27E56">
        <w:rPr>
          <w:i/>
          <w:iCs/>
        </w:rPr>
        <w:t>-BundlingGroups</w:t>
      </w:r>
      <w:r>
        <w:rPr>
          <w:lang w:val="en-US"/>
        </w:rPr>
        <w:t xml:space="preserve"> with </w:t>
      </w:r>
      <m:oMath>
        <m:sSubSup>
          <m:sSubSupPr>
            <m:ctrlPr>
              <w:rPr>
                <w:rFonts w:ascii="Cambria Math" w:hAnsi="Cambria Math"/>
                <w:i/>
              </w:rPr>
            </m:ctrlPr>
          </m:sSubSupPr>
          <m:e>
            <m:r>
              <w:rPr>
                <w:rFonts w:ascii="Cambria Math"/>
              </w:rPr>
              <m:t>N</m:t>
            </m:r>
          </m:e>
          <m:sub>
            <m:r>
              <m:rPr>
                <m:sty m:val="p"/>
              </m:rPr>
              <w:rPr>
                <w:rFonts w:ascii="Cambria Math"/>
              </w:rPr>
              <m:t>HARQ</m:t>
            </m:r>
            <m:r>
              <m:rPr>
                <m:sty m:val="p"/>
              </m:rPr>
              <w:rPr>
                <w:rFonts w:ascii="Cambria Math"/>
              </w:rPr>
              <m:t>-</m:t>
            </m:r>
            <m:r>
              <m:rPr>
                <m:sty m:val="p"/>
              </m:rPr>
              <w:rPr>
                <w:rFonts w:ascii="Cambria Math"/>
              </w:rPr>
              <m:t>ACK</m:t>
            </m:r>
            <m:ctrlPr>
              <w:rPr>
                <w:rFonts w:ascii="Cambria Math" w:hAnsi="Cambria Math"/>
              </w:rPr>
            </m:ctrlPr>
          </m:sub>
          <m:sup>
            <m:r>
              <m:rPr>
                <m:sty m:val="p"/>
              </m:rPr>
              <w:rPr>
                <w:rFonts w:ascii="Cambria Math"/>
                <w:lang w:val="en-US"/>
              </w:rPr>
              <m:t>TBG,max</m:t>
            </m:r>
            <m:ctrlPr>
              <w:rPr>
                <w:rFonts w:ascii="Cambria Math" w:hAnsi="Cambria Math"/>
              </w:rPr>
            </m:ctrlPr>
          </m:sup>
        </m:sSubSup>
        <m:r>
          <w:rPr>
            <w:rFonts w:ascii="Cambria Math" w:hAnsi="Cambria Math"/>
          </w:rPr>
          <m:t>=1</m:t>
        </m:r>
      </m:oMath>
      <w:r>
        <w:rPr>
          <w:lang w:val="en-US"/>
        </w:rPr>
        <w:t xml:space="preserve"> is provided,</w:t>
      </w:r>
      <w:r>
        <w:t xml:space="preserve"> scheduled by </w:t>
      </w:r>
      <w:r>
        <w:rPr>
          <w:lang w:val="en-US"/>
        </w:rPr>
        <w:t xml:space="preserve">a </w:t>
      </w:r>
      <w:r w:rsidRPr="00B916EC">
        <w:rPr>
          <w:rFonts w:cs="Arial" w:hint="eastAsia"/>
          <w:lang w:eastAsia="zh-CN"/>
        </w:rPr>
        <w:t xml:space="preserve">DCI format </w:t>
      </w:r>
      <w:r>
        <w:rPr>
          <w:rFonts w:cs="Arial"/>
          <w:lang w:eastAsia="zh-CN"/>
        </w:rPr>
        <w:t xml:space="preserve">that the UE detects </w:t>
      </w:r>
      <w:r w:rsidRPr="00B916EC">
        <w:rPr>
          <w:rFonts w:hint="eastAsia"/>
          <w:lang w:eastAsia="zh-CN"/>
        </w:rPr>
        <w:t xml:space="preserve">in </w:t>
      </w:r>
      <w:r w:rsidRPr="00B916EC">
        <w:rPr>
          <w:lang w:eastAsia="zh-CN"/>
        </w:rPr>
        <w:t>PDCCH monitoring occasion</w:t>
      </w:r>
      <w:r w:rsidRPr="00B916EC">
        <w:rPr>
          <w:rFonts w:hint="eastAsia"/>
          <w:lang w:eastAsia="zh-CN"/>
        </w:rPr>
        <w:t xml:space="preserve"> </w:t>
      </w:r>
      <m:oMath>
        <m:r>
          <w:rPr>
            <w:rFonts w:ascii="Cambria Math" w:hAnsi="Cambria Math"/>
          </w:rPr>
          <m:t>m</m:t>
        </m:r>
      </m:oMath>
      <w:r>
        <w:t xml:space="preserve"> </w:t>
      </w:r>
      <w:r w:rsidRPr="00B916EC">
        <w:rPr>
          <w:rFonts w:hint="eastAsia"/>
          <w:lang w:eastAsia="zh-CN"/>
        </w:rPr>
        <w:t xml:space="preserve">for </w:t>
      </w:r>
      <w:r w:rsidRPr="00B916EC">
        <w:rPr>
          <w:lang w:eastAsia="zh-CN"/>
        </w:rPr>
        <w:t xml:space="preserve">serving </w:t>
      </w:r>
      <w:r w:rsidRPr="00B916EC">
        <w:rPr>
          <w:rFonts w:hint="eastAsia"/>
          <w:lang w:eastAsia="zh-CN"/>
        </w:rPr>
        <w:t xml:space="preserve">cell </w:t>
      </w:r>
      <m:oMath>
        <m:r>
          <w:rPr>
            <w:rFonts w:ascii="Cambria Math" w:hAnsi="Cambria Math"/>
          </w:rPr>
          <m:t>c</m:t>
        </m:r>
      </m:oMath>
      <w:r w:rsidR="00E455A5">
        <w:rPr>
          <w:lang w:val="en-GB"/>
        </w:rPr>
        <w:t>, or</w:t>
      </w:r>
      <w:r>
        <w:t xml:space="preserve"> </w:t>
      </w:r>
    </w:p>
    <w:p w14:paraId="20EA9C37" w14:textId="64525084" w:rsidR="006C0021" w:rsidRDefault="006C0021" w:rsidP="00797094">
      <w:pPr>
        <w:pStyle w:val="B2"/>
        <w:rPr>
          <w:lang w:eastAsia="zh-CN"/>
        </w:rPr>
      </w:pPr>
      <w:r w:rsidRPr="00B06CC2">
        <w:t>-</w:t>
      </w:r>
      <w:r w:rsidRPr="00B06CC2">
        <w:tab/>
      </w:r>
      <w:r>
        <w:t xml:space="preserve">if </w:t>
      </w:r>
      <w:r w:rsidRPr="00435CFD">
        <w:rPr>
          <w:i/>
        </w:rPr>
        <w:t>harq-ACK-SpatialBundlingPUCCH</w:t>
      </w:r>
      <w:r w:rsidRPr="00B916EC">
        <w:rPr>
          <w:rFonts w:hint="eastAsia"/>
          <w:lang w:eastAsia="zh-CN"/>
        </w:rPr>
        <w:t xml:space="preserve"> </w:t>
      </w:r>
      <w:r>
        <w:rPr>
          <w:lang w:val="en-US" w:eastAsia="zh-CN"/>
        </w:rPr>
        <w:t xml:space="preserve">is provided, </w:t>
      </w:r>
      <w:r>
        <w:rPr>
          <w:rFonts w:cs="Arial"/>
          <w:lang w:eastAsia="zh-CN"/>
        </w:rPr>
        <w:t>the number of</w:t>
      </w:r>
      <w:r w:rsidRPr="005E2BFD">
        <w:rPr>
          <w:rFonts w:cs="Arial"/>
          <w:lang w:val="en-US" w:eastAsia="zh-CN"/>
        </w:rPr>
        <w:t xml:space="preserve"> </w:t>
      </w:r>
      <w:r>
        <w:rPr>
          <w:rFonts w:cs="Arial"/>
          <w:lang w:val="en-US" w:eastAsia="zh-CN"/>
        </w:rPr>
        <w:t>PDSCHs, or</w:t>
      </w:r>
      <w:r>
        <w:rPr>
          <w:lang w:val="en-US"/>
        </w:rPr>
        <w:t xml:space="preserve"> the number of PDSCH groups </w:t>
      </w:r>
      <w:r>
        <w:rPr>
          <w:rFonts w:cs="Arial"/>
          <w:lang w:val="en-US" w:eastAsia="zh-CN"/>
        </w:rPr>
        <w:t xml:space="preserve">if </w:t>
      </w:r>
      <w:r w:rsidR="00544DB6" w:rsidRPr="00B27E56">
        <w:rPr>
          <w:i/>
          <w:iCs/>
        </w:rPr>
        <w:t>n</w:t>
      </w:r>
      <w:r w:rsidR="00544DB6">
        <w:rPr>
          <w:i/>
          <w:iCs/>
          <w:lang w:val="en-GB"/>
        </w:rPr>
        <w:t>ro</w:t>
      </w:r>
      <w:r w:rsidR="00544DB6" w:rsidRPr="00B27E56">
        <w:rPr>
          <w:i/>
          <w:iCs/>
        </w:rPr>
        <w:t>fHARQ</w:t>
      </w:r>
      <w:r w:rsidRPr="00B27E56">
        <w:rPr>
          <w:i/>
          <w:iCs/>
        </w:rPr>
        <w:t>-BundlingGroups</w:t>
      </w:r>
      <w:r w:rsidRPr="00B27E56">
        <w:t xml:space="preserve"> </w:t>
      </w:r>
      <w:r>
        <w:rPr>
          <w:lang w:val="en-US"/>
        </w:rPr>
        <w:t xml:space="preserve">with </w:t>
      </w:r>
      <m:oMath>
        <m:sSubSup>
          <m:sSubSupPr>
            <m:ctrlPr>
              <w:rPr>
                <w:rFonts w:ascii="Cambria Math" w:hAnsi="Cambria Math"/>
                <w:i/>
              </w:rPr>
            </m:ctrlPr>
          </m:sSubSupPr>
          <m:e>
            <m:r>
              <w:rPr>
                <w:rFonts w:ascii="Cambria Math"/>
              </w:rPr>
              <m:t>N</m:t>
            </m:r>
          </m:e>
          <m:sub>
            <m:r>
              <m:rPr>
                <m:sty m:val="p"/>
              </m:rPr>
              <w:rPr>
                <w:rFonts w:ascii="Cambria Math"/>
              </w:rPr>
              <m:t>HARQ</m:t>
            </m:r>
            <m:r>
              <m:rPr>
                <m:sty m:val="p"/>
              </m:rPr>
              <w:rPr>
                <w:rFonts w:ascii="Cambria Math"/>
              </w:rPr>
              <m:t>-</m:t>
            </m:r>
            <m:r>
              <m:rPr>
                <m:sty m:val="p"/>
              </m:rPr>
              <w:rPr>
                <w:rFonts w:ascii="Cambria Math"/>
              </w:rPr>
              <m:t>ACK</m:t>
            </m:r>
            <m:ctrlPr>
              <w:rPr>
                <w:rFonts w:ascii="Cambria Math" w:hAnsi="Cambria Math"/>
              </w:rPr>
            </m:ctrlPr>
          </m:sub>
          <m:sup>
            <m:r>
              <m:rPr>
                <m:sty m:val="p"/>
              </m:rPr>
              <w:rPr>
                <w:rFonts w:ascii="Cambria Math"/>
                <w:lang w:val="en-US"/>
              </w:rPr>
              <m:t>TBG,max</m:t>
            </m:r>
            <m:ctrlPr>
              <w:rPr>
                <w:rFonts w:ascii="Cambria Math" w:hAnsi="Cambria Math"/>
              </w:rPr>
            </m:ctrlPr>
          </m:sup>
        </m:sSubSup>
        <m:r>
          <w:rPr>
            <w:rFonts w:ascii="Cambria Math" w:hAnsi="Cambria Math"/>
          </w:rPr>
          <m:t>=1</m:t>
        </m:r>
      </m:oMath>
      <w:r>
        <w:rPr>
          <w:lang w:val="en-US"/>
        </w:rPr>
        <w:t xml:space="preserve"> is provided, </w:t>
      </w:r>
      <w:r>
        <w:rPr>
          <w:rFonts w:cs="Arial"/>
          <w:lang w:val="en-US" w:eastAsia="zh-CN"/>
        </w:rPr>
        <w:t>scheduled by</w:t>
      </w:r>
      <w:r>
        <w:rPr>
          <w:rFonts w:cs="Arial"/>
          <w:lang w:eastAsia="zh-CN"/>
        </w:rPr>
        <w:t xml:space="preserve"> </w:t>
      </w:r>
      <w:r>
        <w:rPr>
          <w:rFonts w:cs="Arial"/>
          <w:lang w:val="en-US" w:eastAsia="zh-CN"/>
        </w:rPr>
        <w:t xml:space="preserve">a </w:t>
      </w:r>
      <w:r w:rsidRPr="00B916EC">
        <w:rPr>
          <w:rFonts w:cs="Arial" w:hint="eastAsia"/>
          <w:lang w:eastAsia="zh-CN"/>
        </w:rPr>
        <w:t xml:space="preserve">DCI format </w:t>
      </w:r>
      <w:r>
        <w:rPr>
          <w:rFonts w:cs="Arial"/>
          <w:lang w:eastAsia="zh-CN"/>
        </w:rPr>
        <w:t xml:space="preserve">that the UE detects </w:t>
      </w:r>
      <w:r w:rsidRPr="00B916EC">
        <w:rPr>
          <w:rFonts w:hint="eastAsia"/>
          <w:lang w:eastAsia="zh-CN"/>
        </w:rPr>
        <w:t xml:space="preserve">in </w:t>
      </w:r>
      <w:r w:rsidRPr="00B916EC">
        <w:rPr>
          <w:lang w:eastAsia="zh-CN"/>
        </w:rPr>
        <w:t>PDCCH monitoring occasion</w:t>
      </w:r>
      <w:r w:rsidRPr="00B916EC">
        <w:rPr>
          <w:rFonts w:hint="eastAsia"/>
          <w:lang w:eastAsia="zh-CN"/>
        </w:rPr>
        <w:t xml:space="preserve"> </w:t>
      </w:r>
      <m:oMath>
        <m:r>
          <w:rPr>
            <w:rFonts w:ascii="Cambria Math" w:hAnsi="Cambria Math"/>
          </w:rPr>
          <m:t>m</m:t>
        </m:r>
      </m:oMath>
      <w:r>
        <w:t xml:space="preserve"> </w:t>
      </w:r>
      <w:r w:rsidRPr="00B916EC">
        <w:rPr>
          <w:rFonts w:hint="eastAsia"/>
          <w:lang w:eastAsia="zh-CN"/>
        </w:rPr>
        <w:t xml:space="preserve">for </w:t>
      </w:r>
      <w:r w:rsidRPr="00B916EC">
        <w:rPr>
          <w:lang w:eastAsia="zh-CN"/>
        </w:rPr>
        <w:t xml:space="preserve">serving </w:t>
      </w:r>
      <w:r w:rsidRPr="00B916EC">
        <w:rPr>
          <w:rFonts w:hint="eastAsia"/>
          <w:lang w:eastAsia="zh-CN"/>
        </w:rPr>
        <w:t xml:space="preserve">cell </w:t>
      </w:r>
      <m:oMath>
        <m:r>
          <w:rPr>
            <w:rFonts w:ascii="Cambria Math" w:hAnsi="Cambria Math"/>
          </w:rPr>
          <m:t>c</m:t>
        </m:r>
      </m:oMath>
      <w:r w:rsidR="00E455A5">
        <w:rPr>
          <w:lang w:val="en-GB"/>
        </w:rPr>
        <w:t>, or</w:t>
      </w:r>
      <w:r>
        <w:t xml:space="preserve"> </w:t>
      </w:r>
    </w:p>
    <w:p w14:paraId="77297521" w14:textId="0DB57A02" w:rsidR="00522C35" w:rsidRPr="00B72783" w:rsidRDefault="00C23E7A" w:rsidP="00797094">
      <w:pPr>
        <w:pStyle w:val="B2"/>
      </w:pPr>
      <w:r>
        <w:rPr>
          <w:lang w:val="en-GB" w:eastAsia="zh-CN"/>
        </w:rPr>
        <w:t>-</w:t>
      </w:r>
      <w:r>
        <w:rPr>
          <w:lang w:val="en-GB" w:eastAsia="zh-CN"/>
        </w:rPr>
        <w:tab/>
      </w:r>
      <w:r w:rsidR="00522C35">
        <w:rPr>
          <w:rFonts w:cs="Arial"/>
          <w:lang w:eastAsia="zh-CN"/>
        </w:rPr>
        <w:t xml:space="preserve">the number of </w:t>
      </w:r>
      <w:r w:rsidR="00522C35" w:rsidRPr="00B916EC">
        <w:rPr>
          <w:rFonts w:cs="Arial" w:hint="eastAsia"/>
          <w:lang w:eastAsia="zh-CN"/>
        </w:rPr>
        <w:t>DCI format</w:t>
      </w:r>
      <w:r w:rsidR="009018D1">
        <w:rPr>
          <w:rFonts w:cs="Arial"/>
          <w:lang w:val="en-GB" w:eastAsia="zh-CN"/>
        </w:rPr>
        <w:t>s</w:t>
      </w:r>
      <w:r w:rsidR="00522C35" w:rsidRPr="00B916EC">
        <w:rPr>
          <w:rFonts w:cs="Arial" w:hint="eastAsia"/>
          <w:lang w:eastAsia="zh-CN"/>
        </w:rPr>
        <w:t xml:space="preserve"> </w:t>
      </w:r>
      <w:r w:rsidR="00522C35">
        <w:rPr>
          <w:rFonts w:cs="Arial"/>
          <w:lang w:eastAsia="zh-CN"/>
        </w:rPr>
        <w:t xml:space="preserve">that the UE detects and </w:t>
      </w:r>
      <w:r w:rsidR="00415D4D">
        <w:rPr>
          <w:lang w:val="en-US" w:eastAsia="zh-CN"/>
        </w:rPr>
        <w:t>have associated</w:t>
      </w:r>
      <w:r w:rsidR="00415D4D" w:rsidRPr="00B27E56">
        <w:rPr>
          <w:rFonts w:cs="Arial"/>
          <w:lang w:val="en-US" w:eastAsia="zh-CN"/>
        </w:rPr>
        <w:t xml:space="preserve"> a HARQ-ACK information </w:t>
      </w:r>
      <w:r w:rsidR="00415D4D" w:rsidRPr="00B27E56">
        <w:rPr>
          <w:lang w:val="en-US" w:eastAsia="zh-CN"/>
        </w:rPr>
        <w:t>without scheduling PDSCH reception</w:t>
      </w:r>
      <w:r w:rsidR="00523F11">
        <w:rPr>
          <w:rFonts w:hint="eastAsia"/>
          <w:lang w:val="en-US" w:eastAsia="zh-CN"/>
        </w:rPr>
        <w:t xml:space="preserve"> </w:t>
      </w:r>
      <w:r w:rsidR="00523F11" w:rsidRPr="00A55074">
        <w:rPr>
          <w:rFonts w:hint="eastAsia"/>
          <w:lang w:val="en-US" w:eastAsia="zh-CN"/>
        </w:rPr>
        <w:t xml:space="preserve">in </w:t>
      </w:r>
      <w:r w:rsidR="00523F11" w:rsidRPr="00A55074">
        <w:rPr>
          <w:lang w:val="en-US" w:eastAsia="zh-CN"/>
        </w:rPr>
        <w:t xml:space="preserve">PDCCH monitoring </w:t>
      </w:r>
      <w:r w:rsidR="00523F11" w:rsidRPr="00B916EC">
        <w:rPr>
          <w:lang w:eastAsia="zh-CN"/>
        </w:rPr>
        <w:t>occasion</w:t>
      </w:r>
      <w:r w:rsidR="00523F11" w:rsidRPr="00B916EC">
        <w:rPr>
          <w:rFonts w:hint="eastAsia"/>
          <w:lang w:eastAsia="zh-CN"/>
        </w:rPr>
        <w:t xml:space="preserve"> </w:t>
      </w:r>
      <m:oMath>
        <m:r>
          <w:rPr>
            <w:rFonts w:ascii="Cambria Math" w:hAnsi="Cambria Math"/>
          </w:rPr>
          <m:t>m</m:t>
        </m:r>
      </m:oMath>
      <w:r w:rsidR="00523F11">
        <w:t xml:space="preserve"> </w:t>
      </w:r>
      <w:r w:rsidR="00523F11" w:rsidRPr="00B916EC">
        <w:rPr>
          <w:rFonts w:hint="eastAsia"/>
          <w:lang w:eastAsia="zh-CN"/>
        </w:rPr>
        <w:t xml:space="preserve">for </w:t>
      </w:r>
      <w:r w:rsidR="00523F11" w:rsidRPr="00B916EC">
        <w:rPr>
          <w:lang w:eastAsia="zh-CN"/>
        </w:rPr>
        <w:t xml:space="preserve">serving </w:t>
      </w:r>
      <w:r w:rsidR="00523F11" w:rsidRPr="00B916EC">
        <w:rPr>
          <w:rFonts w:hint="eastAsia"/>
          <w:lang w:eastAsia="zh-CN"/>
        </w:rPr>
        <w:t xml:space="preserve">cell </w:t>
      </w:r>
      <m:oMath>
        <m:r>
          <w:rPr>
            <w:rFonts w:ascii="Cambria Math" w:hAnsi="Cambria Math"/>
          </w:rPr>
          <m:t>c</m:t>
        </m:r>
      </m:oMath>
      <w:r w:rsidR="00522C35">
        <w:t xml:space="preserve">. </w:t>
      </w:r>
    </w:p>
    <w:p w14:paraId="0C7F6901" w14:textId="1D2EBC52" w:rsidR="00522C35" w:rsidRPr="0009732E" w:rsidRDefault="00522C35" w:rsidP="00522C35">
      <w:pPr>
        <w:pStyle w:val="B1"/>
      </w:pPr>
      <w:r>
        <w:rPr>
          <w:rFonts w:cs="Arial"/>
          <w:lang w:eastAsia="zh-CN"/>
        </w:rPr>
        <w:t>-</w:t>
      </w:r>
      <w:r>
        <w:rPr>
          <w:rFonts w:cs="Arial"/>
          <w:lang w:eastAsia="zh-CN"/>
        </w:rPr>
        <w:tab/>
      </w:r>
      <m:oMath>
        <m:sSub>
          <m:sSubPr>
            <m:ctrlPr>
              <w:rPr>
                <w:rFonts w:ascii="Cambria Math" w:hAnsi="Cambria Math"/>
                <w:i/>
                <w:lang w:eastAsia="zh-CN"/>
              </w:rPr>
            </m:ctrlPr>
          </m:sSubPr>
          <m:e>
            <m:r>
              <w:rPr>
                <w:rFonts w:ascii="Cambria Math"/>
                <w:lang w:eastAsia="zh-CN"/>
              </w:rPr>
              <m:t>N</m:t>
            </m:r>
          </m:e>
          <m:sub>
            <m:r>
              <m:rPr>
                <m:nor/>
              </m:rPr>
              <w:rPr>
                <w:rFonts w:ascii="Cambria Math"/>
                <w:lang w:val="en-US" w:eastAsia="zh-CN"/>
              </w:rPr>
              <m:t>SPS,</m:t>
            </m:r>
            <m:r>
              <m:rPr>
                <m:nor/>
              </m:rPr>
              <w:rPr>
                <w:rFonts w:ascii="Cambria Math"/>
                <w:i/>
                <w:iCs/>
                <w:lang w:val="en-US" w:eastAsia="zh-CN"/>
              </w:rPr>
              <m:t>c</m:t>
            </m:r>
            <m:ctrlPr>
              <w:rPr>
                <w:rFonts w:ascii="Cambria Math" w:hAnsi="Cambria Math"/>
                <w:lang w:eastAsia="zh-CN"/>
              </w:rPr>
            </m:ctrlPr>
          </m:sub>
        </m:sSub>
      </m:oMath>
      <w:r>
        <w:rPr>
          <w:rFonts w:cs="Arial"/>
          <w:lang w:eastAsia="zh-CN"/>
        </w:rPr>
        <w:t xml:space="preserve"> </w:t>
      </w:r>
      <w:r w:rsidR="003B4471" w:rsidRPr="00B06CC2">
        <w:rPr>
          <w:rFonts w:cs="Arial"/>
          <w:lang w:val="en-US" w:eastAsia="zh-CN"/>
        </w:rPr>
        <w:t xml:space="preserve">or </w:t>
      </w:r>
      <m:oMath>
        <m:sSub>
          <m:sSubPr>
            <m:ctrlPr>
              <w:rPr>
                <w:rFonts w:ascii="Cambria Math" w:hAnsi="Cambria Math"/>
                <w:i/>
                <w:lang w:eastAsia="zh-CN"/>
              </w:rPr>
            </m:ctrlPr>
          </m:sSubPr>
          <m:e>
            <m:r>
              <w:rPr>
                <w:rFonts w:ascii="Cambria Math"/>
                <w:lang w:eastAsia="zh-CN"/>
              </w:rPr>
              <m:t>N</m:t>
            </m:r>
          </m:e>
          <m:sub>
            <m:r>
              <m:rPr>
                <m:nor/>
              </m:rPr>
              <w:rPr>
                <w:rFonts w:ascii="Cambria Math"/>
                <w:lang w:eastAsia="zh-CN"/>
              </w:rPr>
              <m:t>SPS</m:t>
            </m:r>
            <m:r>
              <m:rPr>
                <m:sty m:val="p"/>
              </m:rPr>
              <w:rPr>
                <w:rFonts w:ascii="Cambria Math"/>
                <w:lang w:eastAsia="zh-CN"/>
              </w:rPr>
              <m:t>,</m:t>
            </m:r>
            <m:r>
              <w:rPr>
                <w:rFonts w:ascii="Cambria Math"/>
                <w:lang w:eastAsia="zh-CN"/>
              </w:rPr>
              <m:t>c,g</m:t>
            </m:r>
            <m:ctrlPr>
              <w:rPr>
                <w:rFonts w:ascii="Cambria Math" w:hAnsi="Cambria Math"/>
                <w:lang w:eastAsia="zh-CN"/>
              </w:rPr>
            </m:ctrlPr>
          </m:sub>
        </m:sSub>
      </m:oMath>
      <w:r w:rsidR="003B4471" w:rsidRPr="00B06CC2">
        <w:rPr>
          <w:lang w:val="en-US" w:eastAsia="zh-CN"/>
        </w:rPr>
        <w:t xml:space="preserve">, for G-RNTI </w:t>
      </w:r>
      <m:oMath>
        <m:r>
          <w:rPr>
            <w:rFonts w:ascii="Cambria Math"/>
          </w:rPr>
          <m:t>g</m:t>
        </m:r>
      </m:oMath>
      <w:r w:rsidR="003B4471" w:rsidRPr="00B06CC2">
        <w:rPr>
          <w:lang w:val="en-US" w:eastAsia="zh-CN"/>
        </w:rPr>
        <w:t xml:space="preserve"> </w:t>
      </w:r>
      <w:r w:rsidR="00544DB6">
        <w:rPr>
          <w:rFonts w:cs="Arial"/>
          <w:lang w:val="en-US"/>
        </w:rPr>
        <w:t xml:space="preserve">for multicast </w:t>
      </w:r>
      <w:r w:rsidR="003B4471" w:rsidRPr="00B06CC2">
        <w:rPr>
          <w:lang w:val="en-US" w:eastAsia="zh-CN"/>
        </w:rPr>
        <w:t xml:space="preserve">or G-CS-RNTI </w:t>
      </w:r>
      <m:oMath>
        <m:r>
          <w:rPr>
            <w:rFonts w:ascii="Cambria Math"/>
          </w:rPr>
          <m:t>g</m:t>
        </m:r>
      </m:oMath>
      <w:r w:rsidR="003B4471" w:rsidRPr="00B06CC2">
        <w:rPr>
          <w:iCs/>
          <w:lang w:val="en-US"/>
        </w:rPr>
        <w:t>,</w:t>
      </w:r>
      <w:r w:rsidR="003B4471" w:rsidRPr="00B06CC2">
        <w:rPr>
          <w:lang w:val="en-US" w:eastAsia="zh-CN"/>
        </w:rPr>
        <w:t xml:space="preserve"> </w:t>
      </w:r>
      <w:r>
        <w:rPr>
          <w:rFonts w:cs="Arial"/>
          <w:lang w:eastAsia="zh-CN"/>
        </w:rPr>
        <w:t xml:space="preserve">is the number of SPS PDSCH receptions by the UE </w:t>
      </w:r>
      <w:r>
        <w:rPr>
          <w:lang w:eastAsia="zh-CN"/>
        </w:rPr>
        <w:t>on</w:t>
      </w:r>
      <w:r w:rsidRPr="004F730A">
        <w:rPr>
          <w:lang w:eastAsia="zh-CN"/>
        </w:rPr>
        <w:t xml:space="preserve"> </w:t>
      </w:r>
      <w:r>
        <w:rPr>
          <w:lang w:eastAsia="zh-CN"/>
        </w:rPr>
        <w:t xml:space="preserve">serving </w:t>
      </w:r>
      <w:r w:rsidRPr="004F730A">
        <w:rPr>
          <w:lang w:eastAsia="zh-CN"/>
        </w:rPr>
        <w:t>cell</w:t>
      </w:r>
      <w:r>
        <w:rPr>
          <w:lang w:eastAsia="zh-CN"/>
        </w:rPr>
        <w:t xml:space="preserve"> </w:t>
      </w:r>
      <m:oMath>
        <m:r>
          <w:rPr>
            <w:rFonts w:ascii="Cambria Math" w:hAnsi="Cambria Math"/>
          </w:rPr>
          <m:t>c</m:t>
        </m:r>
      </m:oMath>
      <w:r>
        <w:t xml:space="preserve"> </w:t>
      </w:r>
      <w:r w:rsidRPr="00B916EC">
        <w:rPr>
          <w:lang w:eastAsia="zh-CN"/>
        </w:rPr>
        <w:t>for whic</w:t>
      </w:r>
      <w:r>
        <w:rPr>
          <w:lang w:eastAsia="zh-CN"/>
        </w:rPr>
        <w:t>h the UE transmits corresponding HARQ-ACK information in the</w:t>
      </w:r>
      <w:r w:rsidRPr="00B916EC">
        <w:rPr>
          <w:lang w:eastAsia="zh-CN"/>
        </w:rPr>
        <w:t xml:space="preserve"> same PUCCH</w:t>
      </w:r>
      <w:r>
        <w:rPr>
          <w:lang w:eastAsia="zh-CN"/>
        </w:rPr>
        <w:t xml:space="preserve"> as for HARQ-ACK information corresponding to PDSCH receptions within the </w:t>
      </w:r>
      <m:oMath>
        <m:r>
          <w:rPr>
            <w:rFonts w:ascii="Cambria Math" w:hAnsi="Cambria Math"/>
          </w:rPr>
          <m:t>M</m:t>
        </m:r>
      </m:oMath>
      <w:r>
        <w:t xml:space="preserve"> </w:t>
      </w:r>
      <w:r w:rsidR="003B4471" w:rsidRPr="00B06CC2">
        <w:rPr>
          <w:lang w:val="en-US"/>
        </w:rPr>
        <w:t xml:space="preserve">or </w:t>
      </w:r>
      <m:oMath>
        <m:sSub>
          <m:sSubPr>
            <m:ctrlPr>
              <w:rPr>
                <w:rFonts w:ascii="Cambria Math" w:hAnsi="Cambria Math"/>
                <w:i/>
                <w:lang w:eastAsia="zh-CN"/>
              </w:rPr>
            </m:ctrlPr>
          </m:sSubPr>
          <m:e>
            <m:r>
              <w:rPr>
                <w:rFonts w:ascii="Cambria Math"/>
                <w:lang w:eastAsia="zh-CN"/>
              </w:rPr>
              <m:t>M</m:t>
            </m:r>
          </m:e>
          <m:sub>
            <m:r>
              <w:rPr>
                <w:rFonts w:ascii="Cambria Math"/>
                <w:lang w:eastAsia="zh-CN"/>
              </w:rPr>
              <m:t>g</m:t>
            </m:r>
          </m:sub>
        </m:sSub>
      </m:oMath>
      <w:r w:rsidR="003B4471" w:rsidRPr="00B06CC2">
        <w:rPr>
          <w:lang w:val="en-US" w:eastAsia="zh-CN"/>
        </w:rPr>
        <w:t xml:space="preserve"> </w:t>
      </w:r>
      <w:r w:rsidRPr="00B916EC">
        <w:rPr>
          <w:lang w:eastAsia="zh-CN"/>
        </w:rPr>
        <w:t>PDCCH monitoring occasion</w:t>
      </w:r>
      <w:r>
        <w:rPr>
          <w:lang w:eastAsia="zh-CN"/>
        </w:rPr>
        <w:t>s</w:t>
      </w:r>
      <w:r w:rsidR="003B4471" w:rsidRPr="00B06CC2">
        <w:rPr>
          <w:lang w:val="en-US" w:eastAsia="zh-CN"/>
        </w:rPr>
        <w:t>, respectively</w:t>
      </w:r>
      <w:r>
        <w:rPr>
          <w:lang w:eastAsia="zh-CN"/>
        </w:rPr>
        <w:t>.</w:t>
      </w:r>
    </w:p>
    <w:p w14:paraId="0EEC0224" w14:textId="77777777" w:rsidR="00522C35" w:rsidRPr="00B916EC" w:rsidRDefault="00522C35" w:rsidP="00522C35">
      <w:pPr>
        <w:rPr>
          <w:lang w:val="en-US" w:eastAsia="zh-CN"/>
        </w:rPr>
      </w:pPr>
      <w:r w:rsidRPr="00B916EC">
        <w:rPr>
          <w:rFonts w:hint="eastAsia"/>
          <w:lang w:val="en-US" w:eastAsia="zh-CN"/>
        </w:rPr>
        <w:t xml:space="preserve">If a UE </w:t>
      </w:r>
    </w:p>
    <w:p w14:paraId="0F1ACA17" w14:textId="77777777" w:rsidR="00522C35" w:rsidRPr="00B916EC" w:rsidRDefault="00522C35" w:rsidP="00522C35">
      <w:pPr>
        <w:pStyle w:val="B1"/>
      </w:pPr>
      <w:r>
        <w:rPr>
          <w:lang w:val="en-US" w:eastAsia="zh-CN"/>
        </w:rPr>
        <w:t>-</w:t>
      </w:r>
      <w:r>
        <w:rPr>
          <w:lang w:val="en-US" w:eastAsia="zh-CN"/>
        </w:rPr>
        <w:tab/>
        <w:t xml:space="preserve">is provided </w:t>
      </w:r>
      <w:r w:rsidRPr="00221BBC">
        <w:rPr>
          <w:i/>
        </w:rPr>
        <w:t>PDSCH-CodeBlockGroupTransmission</w:t>
      </w:r>
      <w:r w:rsidRPr="00B916EC">
        <w:t xml:space="preserve"> for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DL,CBG</m:t>
            </m:r>
            <m:ctrlPr>
              <w:rPr>
                <w:rFonts w:ascii="Cambria Math" w:hAnsi="Cambria Math"/>
              </w:rPr>
            </m:ctrlPr>
          </m:sup>
        </m:sSubSup>
      </m:oMath>
      <w:r w:rsidRPr="00B916EC">
        <w:t xml:space="preserve"> serving cells; </w:t>
      </w:r>
      <w:r w:rsidRPr="00B916EC">
        <w:rPr>
          <w:rFonts w:cs="Arial"/>
          <w:lang w:eastAsia="zh-CN"/>
        </w:rPr>
        <w:t>and</w:t>
      </w:r>
    </w:p>
    <w:p w14:paraId="11C791E0" w14:textId="77777777" w:rsidR="00522C35" w:rsidRPr="00B916EC" w:rsidRDefault="00522C35" w:rsidP="00522C35">
      <w:pPr>
        <w:pStyle w:val="B1"/>
      </w:pPr>
      <w:r>
        <w:rPr>
          <w:lang w:val="en-US" w:eastAsia="zh-CN"/>
        </w:rPr>
        <w:t>-</w:t>
      </w:r>
      <w:r>
        <w:rPr>
          <w:lang w:val="en-US" w:eastAsia="zh-CN"/>
        </w:rPr>
        <w:tab/>
        <w:t xml:space="preserve">is not provided </w:t>
      </w:r>
      <w:r w:rsidRPr="00221BBC">
        <w:rPr>
          <w:i/>
        </w:rPr>
        <w:t>PDSCH-CodeBlockGroupTransmission</w:t>
      </w:r>
      <w:r w:rsidRPr="00B916EC">
        <w:t xml:space="preserve">, for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DL,TB</m:t>
            </m:r>
            <m:ctrlPr>
              <w:rPr>
                <w:rFonts w:ascii="Cambria Math" w:hAnsi="Cambria Math"/>
              </w:rPr>
            </m:ctrlPr>
          </m:sup>
        </m:sSubSup>
      </m:oMath>
      <w:r w:rsidRPr="00B916EC">
        <w:t xml:space="preserve"> serving cells where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DL,TB</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DL,CBG</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m:t>
            </m:r>
            <m:ctrlPr>
              <w:rPr>
                <w:rFonts w:ascii="Cambria Math" w:hAnsi="Cambria Math"/>
              </w:rPr>
            </m:ctrlPr>
          </m:sup>
        </m:sSubSup>
      </m:oMath>
    </w:p>
    <w:p w14:paraId="3033F6B9" w14:textId="77777777" w:rsidR="00522C35" w:rsidRPr="00B916EC" w:rsidRDefault="00522C35" w:rsidP="00522C35">
      <w:pPr>
        <w:rPr>
          <w:lang w:eastAsia="zh-CN"/>
        </w:rPr>
      </w:pPr>
      <w:r w:rsidRPr="00B916EC">
        <w:rPr>
          <w:rFonts w:cs="Arial" w:hint="eastAsia"/>
          <w:lang w:eastAsia="zh-CN"/>
        </w:rPr>
        <w:t>the UE determine</w:t>
      </w:r>
      <w:r>
        <w:rPr>
          <w:rFonts w:cs="Arial"/>
          <w:lang w:eastAsia="zh-CN"/>
        </w:rPr>
        <w:t>s</w:t>
      </w:r>
      <w:r w:rsidRPr="00B916EC">
        <w:rPr>
          <w:rFonts w:cs="Arial" w:hint="eastAsia"/>
          <w:lang w:eastAsia="zh-CN"/>
        </w:rPr>
        <w:t xml:space="preserve"> the </w:t>
      </w:r>
      <m:oMath>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r>
              <w:rPr>
                <w:rFonts w:ascii="Cambria Math"/>
              </w:rPr>
              <m:t>0</m:t>
            </m:r>
          </m:sub>
          <m:sup>
            <m:r>
              <w:rPr>
                <w:rFonts w:ascii="Cambria Math"/>
              </w:rPr>
              <m:t>ACK</m:t>
            </m:r>
          </m:sup>
        </m:sSubSup>
        <m:r>
          <w:rPr>
            <w:rFonts w:ascii="Cambria Math" w:hAnsi="Cambria Math"/>
          </w:rPr>
          <m:t xml:space="preserve">, </m:t>
        </m:r>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r>
              <w:rPr>
                <w:rFonts w:ascii="Cambria Math"/>
              </w:rPr>
              <m:t>1</m:t>
            </m:r>
          </m:sub>
          <m:sup>
            <m:r>
              <w:rPr>
                <w:rFonts w:ascii="Cambria Math"/>
              </w:rPr>
              <m:t>ACK</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sSub>
              <m:sSubPr>
                <m:ctrlPr>
                  <w:rPr>
                    <w:rFonts w:ascii="Cambria Math" w:hAnsi="Cambria Math"/>
                    <w:i/>
                  </w:rPr>
                </m:ctrlPr>
              </m:sSubPr>
              <m:e>
                <m:r>
                  <w:rPr>
                    <w:rFonts w:ascii="Cambria Math" w:hAnsi="Cambria Math"/>
                  </w:rPr>
                  <m:t>O</m:t>
                </m:r>
              </m:e>
              <m:sub>
                <m:r>
                  <m:rPr>
                    <m:sty m:val="p"/>
                  </m:rPr>
                  <w:rPr>
                    <w:rFonts w:ascii="Cambria Math" w:hAnsi="Cambria Math"/>
                  </w:rPr>
                  <m:t>ACK</m:t>
                </m:r>
              </m:sub>
            </m:sSub>
            <m:r>
              <w:rPr>
                <w:rFonts w:ascii="Cambria Math" w:hAnsi="Cambria Math"/>
              </w:rPr>
              <m:t>-1</m:t>
            </m:r>
          </m:sub>
          <m:sup>
            <m:r>
              <w:rPr>
                <w:rFonts w:ascii="Cambria Math"/>
              </w:rPr>
              <m:t>ACK</m:t>
            </m:r>
          </m:sup>
        </m:sSubSup>
      </m:oMath>
      <w:r w:rsidRPr="00B916EC">
        <w:rPr>
          <w:rFonts w:hint="eastAsia"/>
          <w:lang w:eastAsia="zh-CN"/>
        </w:rPr>
        <w:t xml:space="preserve"> </w:t>
      </w:r>
      <w:r w:rsidRPr="00B916EC">
        <w:rPr>
          <w:lang w:eastAsia="zh-CN"/>
        </w:rPr>
        <w:t>according</w:t>
      </w:r>
      <w:r w:rsidRPr="00B916EC">
        <w:rPr>
          <w:rFonts w:hint="eastAsia"/>
          <w:lang w:eastAsia="zh-CN"/>
        </w:rPr>
        <w:t xml:space="preserve"> to the previous pseudo-code with the following modifications</w:t>
      </w:r>
    </w:p>
    <w:p w14:paraId="548CE176" w14:textId="77777777" w:rsidR="00522C35" w:rsidRDefault="00522C35" w:rsidP="00522C35">
      <w:pPr>
        <w:pStyle w:val="B1"/>
      </w:pPr>
      <w:r>
        <w:lastRenderedPageBreak/>
        <w:t>-</w:t>
      </w:r>
      <w:r>
        <w:tab/>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m:t>
            </m:r>
            <m:ctrlPr>
              <w:rPr>
                <w:rFonts w:ascii="Cambria Math" w:hAnsi="Cambria Math"/>
              </w:rPr>
            </m:ctrlPr>
          </m:sup>
        </m:sSubSup>
      </m:oMath>
      <w:r w:rsidRPr="00B916EC">
        <w:t xml:space="preserve"> is </w:t>
      </w:r>
      <w:r>
        <w:t>used</w:t>
      </w:r>
      <w:r w:rsidRPr="00B916EC">
        <w:t xml:space="preserve"> for the determination of a first HARQ-ACK sub-codebook </w:t>
      </w:r>
      <w:r>
        <w:t xml:space="preserve">for </w:t>
      </w:r>
    </w:p>
    <w:p w14:paraId="4131A20A" w14:textId="77777777" w:rsidR="00522C35" w:rsidRDefault="00522C35" w:rsidP="00522C35">
      <w:pPr>
        <w:pStyle w:val="B2"/>
      </w:pPr>
      <w:r>
        <w:t>-</w:t>
      </w:r>
      <w:r>
        <w:tab/>
        <w:t>SPS PDSCH reception,</w:t>
      </w:r>
      <w:r w:rsidRPr="00AE44D6">
        <w:t xml:space="preserve"> </w:t>
      </w:r>
    </w:p>
    <w:p w14:paraId="3BAE0B61" w14:textId="0ACACBB5" w:rsidR="003C6D10" w:rsidRPr="00F415B1" w:rsidRDefault="00415D4D" w:rsidP="003C6D10">
      <w:pPr>
        <w:pStyle w:val="B2"/>
        <w:rPr>
          <w:lang w:val="en-US"/>
        </w:rPr>
      </w:pPr>
      <w:r w:rsidRPr="00B27E56">
        <w:rPr>
          <w:lang w:val="en-US"/>
        </w:rPr>
        <w:t>-</w:t>
      </w:r>
      <w:r w:rsidRPr="00B27E56">
        <w:rPr>
          <w:lang w:val="en-US"/>
        </w:rPr>
        <w:tab/>
        <w:t xml:space="preserve">a </w:t>
      </w:r>
      <w:r w:rsidRPr="00B27E56">
        <w:t xml:space="preserve">DCI format </w:t>
      </w:r>
      <w:r>
        <w:rPr>
          <w:lang w:val="en-US" w:eastAsia="zh-CN"/>
        </w:rPr>
        <w:t>having associated</w:t>
      </w:r>
      <w:r w:rsidRPr="00B27E56">
        <w:rPr>
          <w:lang w:val="en-US"/>
        </w:rPr>
        <w:t xml:space="preserve"> HARQ-ACK information without scheduling PDSCH reception, </w:t>
      </w:r>
    </w:p>
    <w:p w14:paraId="4BD4EA91" w14:textId="1EF76AEC" w:rsidR="00415D4D" w:rsidRPr="00B27E56" w:rsidRDefault="003C6D10" w:rsidP="003C6D10">
      <w:pPr>
        <w:pStyle w:val="B2"/>
      </w:pPr>
      <w:r w:rsidRPr="00F415B1">
        <w:t>-</w:t>
      </w:r>
      <w:r w:rsidRPr="00F415B1">
        <w:tab/>
      </w:r>
      <w:r w:rsidRPr="00F415B1">
        <w:rPr>
          <w:lang w:val="en-US" w:eastAsia="zh-CN"/>
        </w:rPr>
        <w:t>TCI state update</w:t>
      </w:r>
      <w:r w:rsidRPr="00F415B1">
        <w:t xml:space="preserve">, </w:t>
      </w:r>
      <w:r w:rsidR="00415D4D" w:rsidRPr="00B27E56">
        <w:t xml:space="preserve">and </w:t>
      </w:r>
    </w:p>
    <w:p w14:paraId="4131F0BE" w14:textId="20F58FC2" w:rsidR="00522C35" w:rsidRPr="00FA2B89" w:rsidRDefault="00522C35" w:rsidP="00522C35">
      <w:pPr>
        <w:pStyle w:val="B2"/>
      </w:pPr>
      <w:r>
        <w:t>-</w:t>
      </w:r>
      <w:r>
        <w:tab/>
        <w:t xml:space="preserve">TB-based PDSCH receptions </w:t>
      </w:r>
      <w:r w:rsidRPr="00AE44D6">
        <w:t>on</w:t>
      </w:r>
      <w:r>
        <w:t xml:space="preserve"> the</w:t>
      </w:r>
      <w:r w:rsidRPr="00AE44D6">
        <w:t xml:space="preserve">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DL,CBG</m:t>
            </m:r>
            <m:ctrlPr>
              <w:rPr>
                <w:rFonts w:ascii="Cambria Math" w:hAnsi="Cambria Math"/>
              </w:rPr>
            </m:ctrlPr>
          </m:sup>
        </m:sSubSup>
      </m:oMath>
      <w:r w:rsidRPr="00AE44D6">
        <w:t xml:space="preserve"> </w:t>
      </w:r>
      <w:r>
        <w:t xml:space="preserve">serving </w:t>
      </w:r>
      <w:r w:rsidRPr="00AE44D6">
        <w:t>cells and on</w:t>
      </w:r>
      <w:r>
        <w:t xml:space="preserve"> the</w:t>
      </w:r>
      <w:r w:rsidRPr="00AE44D6">
        <w:t xml:space="preserve">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DL,TB</m:t>
            </m:r>
            <m:ctrlPr>
              <w:rPr>
                <w:rFonts w:ascii="Cambria Math" w:hAnsi="Cambria Math"/>
              </w:rPr>
            </m:ctrlPr>
          </m:sup>
        </m:sSubSup>
      </m:oMath>
      <w:r w:rsidRPr="00AE44D6">
        <w:t xml:space="preserve"> </w:t>
      </w:r>
      <w:r>
        <w:t xml:space="preserve">serving </w:t>
      </w:r>
      <w:r w:rsidRPr="00AE44D6">
        <w:t>cells</w:t>
      </w:r>
      <w:r>
        <w:rPr>
          <w:lang w:val="en-GB"/>
        </w:rPr>
        <w:t>,</w:t>
      </w:r>
    </w:p>
    <w:p w14:paraId="33ED9093" w14:textId="77777777" w:rsidR="00522C35" w:rsidRDefault="00522C35" w:rsidP="00522C35">
      <w:pPr>
        <w:pStyle w:val="B1"/>
      </w:pPr>
      <w:r>
        <w:t>-</w:t>
      </w:r>
      <w:r>
        <w:tab/>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m:t>
            </m:r>
            <m:ctrlPr>
              <w:rPr>
                <w:rFonts w:ascii="Cambria Math" w:hAnsi="Cambria Math"/>
              </w:rPr>
            </m:ctrlPr>
          </m:sup>
        </m:sSubSup>
      </m:oMath>
      <w:r w:rsidRPr="00B916EC">
        <w:t xml:space="preserve"> is replaced by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DL,CBG</m:t>
            </m:r>
            <m:ctrlPr>
              <w:rPr>
                <w:rFonts w:ascii="Cambria Math" w:hAnsi="Cambria Math"/>
              </w:rPr>
            </m:ctrlPr>
          </m:sup>
        </m:sSubSup>
      </m:oMath>
      <w:r w:rsidRPr="00B916EC">
        <w:t xml:space="preserve"> for the determination of a second HARQ-ACK sub-codebook corresponding to the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DL,CBG</m:t>
            </m:r>
            <m:ctrlPr>
              <w:rPr>
                <w:rFonts w:ascii="Cambria Math" w:hAnsi="Cambria Math"/>
              </w:rPr>
            </m:ctrlPr>
          </m:sup>
        </m:sSubSup>
      </m:oMath>
      <w:r w:rsidRPr="00B916EC">
        <w:t xml:space="preserve"> serving cells</w:t>
      </w:r>
      <w:r>
        <w:t xml:space="preserve"> for CBG-based PDSCH receptions</w:t>
      </w:r>
      <w:r w:rsidRPr="00B916EC">
        <w:t>, and</w:t>
      </w:r>
    </w:p>
    <w:p w14:paraId="051DA1C5" w14:textId="3B6DF9DB" w:rsidR="00E619D8" w:rsidRPr="00B916EC" w:rsidRDefault="00965E29" w:rsidP="00965E29">
      <w:pPr>
        <w:pStyle w:val="B1"/>
      </w:pPr>
      <w:r>
        <w:rPr>
          <w:lang w:val="en-US" w:eastAsia="zh-CN"/>
        </w:rPr>
        <w:t>-</w:t>
      </w:r>
      <w:r>
        <w:rPr>
          <w:lang w:val="en-US" w:eastAsia="zh-CN"/>
        </w:rPr>
        <w:tab/>
      </w:r>
      <w:r w:rsidR="00E619D8">
        <w:rPr>
          <w:lang w:val="en-US" w:eastAsia="zh-CN"/>
        </w:rPr>
        <w:t>i</w:t>
      </w:r>
      <w:r w:rsidR="00E619D8" w:rsidRPr="00A67858">
        <w:rPr>
          <w:lang w:eastAsia="zh-CN"/>
        </w:rPr>
        <w:t>f</w:t>
      </w:r>
      <w:r w:rsidR="00E619D8">
        <w:rPr>
          <w:lang w:val="en-US" w:eastAsia="zh-CN"/>
        </w:rPr>
        <w:t>,</w:t>
      </w:r>
      <w:r w:rsidR="00E619D8" w:rsidRPr="00A67858">
        <w:rPr>
          <w:lang w:eastAsia="zh-CN"/>
        </w:rPr>
        <w:t xml:space="preserve"> </w:t>
      </w:r>
      <w:r w:rsidR="00E619D8" w:rsidRPr="00A67858">
        <w:t xml:space="preserve">for an active DL BWP of a serving cell, </w:t>
      </w:r>
      <w:r w:rsidR="00E619D8" w:rsidRPr="00A67858">
        <w:rPr>
          <w:lang w:eastAsia="zh-CN"/>
        </w:rPr>
        <w:t xml:space="preserve">the UE is not provided </w:t>
      </w:r>
      <w:r w:rsidR="00BC0A28">
        <w:rPr>
          <w:i/>
          <w:lang w:val="en-US" w:eastAsia="zh-CN"/>
        </w:rPr>
        <w:t>coreset</w:t>
      </w:r>
      <w:r w:rsidR="00E619D8" w:rsidRPr="00A67858">
        <w:rPr>
          <w:i/>
          <w:lang w:eastAsia="zh-CN"/>
        </w:rPr>
        <w:t>PoolIndex</w:t>
      </w:r>
      <w:r w:rsidR="00E619D8" w:rsidRPr="00A67858">
        <w:rPr>
          <w:lang w:eastAsia="zh-CN"/>
        </w:rPr>
        <w:t xml:space="preserve"> or is provided </w:t>
      </w:r>
      <w:r w:rsidR="00BC0A28">
        <w:rPr>
          <w:i/>
          <w:lang w:val="en-US" w:eastAsia="zh-CN"/>
        </w:rPr>
        <w:t>coreset</w:t>
      </w:r>
      <w:r w:rsidR="00E619D8" w:rsidRPr="00A67858">
        <w:rPr>
          <w:i/>
          <w:lang w:eastAsia="zh-CN"/>
        </w:rPr>
        <w:t>PoolIndex</w:t>
      </w:r>
      <w:r w:rsidR="00E619D8" w:rsidRPr="00A67858">
        <w:rPr>
          <w:lang w:eastAsia="zh-CN"/>
        </w:rPr>
        <w:t xml:space="preserve"> with value 0 for one or more first CORESETs and is provided </w:t>
      </w:r>
      <w:r w:rsidR="00BC0A28">
        <w:rPr>
          <w:i/>
          <w:lang w:val="en-US" w:eastAsia="zh-CN"/>
        </w:rPr>
        <w:t>coreset</w:t>
      </w:r>
      <w:r w:rsidR="00E619D8" w:rsidRPr="00A67858">
        <w:rPr>
          <w:i/>
          <w:lang w:eastAsia="zh-CN"/>
        </w:rPr>
        <w:t>PoolIndex</w:t>
      </w:r>
      <w:r w:rsidR="00E619D8" w:rsidRPr="00A67858">
        <w:rPr>
          <w:lang w:eastAsia="zh-CN"/>
        </w:rPr>
        <w:t xml:space="preserve"> with value 1 for one or more second CORESETs, and is provided </w:t>
      </w:r>
      <w:r w:rsidR="00BB6A95" w:rsidRPr="007E07A0">
        <w:rPr>
          <w:i/>
        </w:rPr>
        <w:t>ackNackFeedbackMode</w:t>
      </w:r>
      <w:r w:rsidR="00BB6A95">
        <w:rPr>
          <w:i/>
          <w:iCs/>
        </w:rPr>
        <w:t xml:space="preserve"> </w:t>
      </w:r>
      <w:r w:rsidR="00BB6A95" w:rsidRPr="002712D0">
        <w:t>=</w:t>
      </w:r>
      <w:r w:rsidR="00BB6A95">
        <w:rPr>
          <w:i/>
          <w:iCs/>
        </w:rPr>
        <w:t xml:space="preserve"> joint</w:t>
      </w:r>
      <w:r w:rsidR="00E619D8" w:rsidRPr="00A67858">
        <w:rPr>
          <w:i/>
          <w:lang w:eastAsia="zh-CN"/>
        </w:rPr>
        <w:t xml:space="preserve">, </w:t>
      </w:r>
      <w:r w:rsidR="00E619D8" w:rsidRPr="00A67858">
        <w:rPr>
          <w:iCs/>
          <w:lang w:eastAsia="zh-CN"/>
        </w:rPr>
        <w:t>the serving cell is counted as two times</w:t>
      </w:r>
      <w:r w:rsidR="00E619D8">
        <w:rPr>
          <w:iCs/>
          <w:lang w:eastAsia="zh-CN"/>
        </w:rPr>
        <w:t xml:space="preserve"> where </w:t>
      </w:r>
      <w:r w:rsidR="00E619D8">
        <w:rPr>
          <w:iCs/>
          <w:lang w:val="en-US" w:eastAsia="zh-CN"/>
        </w:rPr>
        <w:t>the first time corresponds to the first CORESETs and the second time corresponds to the second CORESETs</w:t>
      </w:r>
      <w:r w:rsidR="00E619D8" w:rsidRPr="00A67858">
        <w:rPr>
          <w:lang w:eastAsia="zh-CN"/>
        </w:rPr>
        <w:t>, and</w:t>
      </w:r>
    </w:p>
    <w:p w14:paraId="4B6D53F6" w14:textId="09987AEA" w:rsidR="00BC0A28" w:rsidRPr="00B916EC" w:rsidRDefault="00BC0A28" w:rsidP="00BC0A28">
      <w:pPr>
        <w:pStyle w:val="B2"/>
      </w:pPr>
      <w:r>
        <w:t>-</w:t>
      </w:r>
      <w:r>
        <w:tab/>
      </w:r>
      <w:r w:rsidR="00415D4D" w:rsidRPr="00B916EC">
        <w:t>instead</w:t>
      </w:r>
      <w:r w:rsidRPr="00B916EC">
        <w:t xml:space="preserve"> of generating one HARQ-ACK information bit per transport block for a serving cell from the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DL,CBG</m:t>
            </m:r>
            <m:ctrlPr>
              <w:rPr>
                <w:rFonts w:ascii="Cambria Math" w:hAnsi="Cambria Math"/>
              </w:rPr>
            </m:ctrlPr>
          </m:sup>
        </m:sSubSup>
      </m:oMath>
      <w:r w:rsidRPr="00B916EC">
        <w:t xml:space="preserve"> serving cells, the UE generates </w:t>
      </w:r>
      <m:oMath>
        <m:sSubSup>
          <m:sSubSupPr>
            <m:ctrlPr>
              <w:rPr>
                <w:rFonts w:ascii="Cambria Math" w:hAnsi="Cambria Math"/>
                <w:i/>
                <w:lang w:eastAsia="zh-CN"/>
              </w:rPr>
            </m:ctrlPr>
          </m:sSubSupPr>
          <m:e>
            <m:r>
              <w:rPr>
                <w:rFonts w:ascii="Cambria Math" w:hAnsi="Cambria Math"/>
                <w:lang w:eastAsia="zh-CN"/>
              </w:rPr>
              <m:t>N</m:t>
            </m:r>
          </m:e>
          <m:sub>
            <m:r>
              <m:rPr>
                <m:nor/>
              </m:rPr>
              <w:rPr>
                <w:rFonts w:ascii="Cambria Math" w:hAnsi="Cambria Math"/>
                <w:lang w:eastAsia="zh-CN"/>
              </w:rPr>
              <m:t>HARQ</m:t>
            </m:r>
            <m:r>
              <m:rPr>
                <m:sty m:val="p"/>
              </m:rPr>
              <w:rPr>
                <w:rFonts w:ascii="Cambria Math" w:hAnsi="Cambria Math"/>
                <w:lang w:eastAsia="zh-CN"/>
              </w:rPr>
              <m:t>-</m:t>
            </m:r>
            <m:r>
              <m:rPr>
                <m:nor/>
              </m:rPr>
              <w:rPr>
                <w:rFonts w:ascii="Cambria Math" w:hAnsi="Cambria Math"/>
                <w:lang w:eastAsia="zh-CN"/>
              </w:rPr>
              <m:t>ACK,max</m:t>
            </m:r>
            <m:ctrlPr>
              <w:rPr>
                <w:rFonts w:ascii="Cambria Math" w:hAnsi="Cambria Math"/>
                <w:lang w:eastAsia="zh-CN"/>
              </w:rPr>
            </m:ctrlPr>
          </m:sub>
          <m:sup>
            <m:r>
              <m:rPr>
                <m:nor/>
              </m:rPr>
              <w:rPr>
                <w:rFonts w:ascii="Cambria Math" w:hAnsi="Cambria Math"/>
                <w:lang w:eastAsia="zh-CN"/>
              </w:rPr>
              <m:t>CBG/TB,max</m:t>
            </m:r>
            <m:ctrlPr>
              <w:rPr>
                <w:rFonts w:ascii="Cambria Math" w:hAnsi="Cambria Math"/>
                <w:lang w:eastAsia="zh-CN"/>
              </w:rPr>
            </m:ctrlPr>
          </m:sup>
        </m:sSubSup>
      </m:oMath>
      <w:r w:rsidRPr="00B916EC">
        <w:t xml:space="preserve"> HARQ-ACK information bits</w:t>
      </w:r>
      <w:r>
        <w:t xml:space="preserve">, </w:t>
      </w:r>
      <w:r w:rsidR="00D27894" w:rsidRPr="00B27E56">
        <w:t xml:space="preserve">where </w:t>
      </w:r>
      <m:oMath>
        <m:sSubSup>
          <m:sSubSupPr>
            <m:ctrlPr>
              <w:rPr>
                <w:rFonts w:ascii="Cambria Math" w:hAnsi="Cambria Math"/>
                <w:i/>
                <w:lang w:eastAsia="zh-CN"/>
              </w:rPr>
            </m:ctrlPr>
          </m:sSubSupPr>
          <m:e>
            <m:r>
              <w:rPr>
                <w:rFonts w:ascii="Cambria Math" w:hAnsi="Cambria Math"/>
                <w:lang w:eastAsia="zh-CN"/>
              </w:rPr>
              <m:t>N</m:t>
            </m:r>
          </m:e>
          <m:sub>
            <m:r>
              <m:rPr>
                <m:nor/>
              </m:rPr>
              <w:rPr>
                <w:rFonts w:ascii="Cambria Math" w:hAnsi="Cambria Math"/>
                <w:lang w:eastAsia="zh-CN"/>
              </w:rPr>
              <m:t>HARQ</m:t>
            </m:r>
            <m:r>
              <m:rPr>
                <m:sty m:val="p"/>
              </m:rPr>
              <w:rPr>
                <w:rFonts w:ascii="Cambria Math" w:hAnsi="Cambria Math"/>
                <w:lang w:eastAsia="zh-CN"/>
              </w:rPr>
              <m:t>-</m:t>
            </m:r>
            <m:r>
              <m:rPr>
                <m:nor/>
              </m:rPr>
              <w:rPr>
                <w:rFonts w:ascii="Cambria Math" w:hAnsi="Cambria Math"/>
                <w:lang w:eastAsia="zh-CN"/>
              </w:rPr>
              <m:t>ACK,max</m:t>
            </m:r>
            <m:ctrlPr>
              <w:rPr>
                <w:rFonts w:ascii="Cambria Math" w:hAnsi="Cambria Math"/>
                <w:lang w:eastAsia="zh-CN"/>
              </w:rPr>
            </m:ctrlPr>
          </m:sub>
          <m:sup>
            <m:r>
              <m:rPr>
                <m:nor/>
              </m:rPr>
              <w:rPr>
                <w:rFonts w:ascii="Cambria Math" w:hAnsi="Cambria Math"/>
                <w:lang w:eastAsia="zh-CN"/>
              </w:rPr>
              <m:t>CBG/TB,max</m:t>
            </m:r>
            <m:ctrlPr>
              <w:rPr>
                <w:rFonts w:ascii="Cambria Math" w:hAnsi="Cambria Math"/>
                <w:lang w:eastAsia="zh-CN"/>
              </w:rPr>
            </m:ctrlPr>
          </m:sup>
        </m:sSubSup>
      </m:oMath>
      <w:r w:rsidR="00D27894" w:rsidRPr="00B27E56">
        <w:t xml:space="preserve"> is</w:t>
      </w:r>
      <w:r>
        <w:t xml:space="preserve"> the maximum value of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ctrlPr>
              <w:rPr>
                <w:rFonts w:ascii="Cambria Math" w:hAnsi="Cambria Math"/>
              </w:rPr>
            </m:ctrlPr>
          </m:sub>
          <m:sup>
            <m:r>
              <m:rPr>
                <m:nor/>
              </m:rPr>
              <w:rPr>
                <w:rFonts w:ascii="Cambria Math" w:hAnsi="Cambria Math"/>
                <w:lang w:val="en-US"/>
              </w:rPr>
              <m:t>DL</m:t>
            </m:r>
            <m:ctrlPr>
              <w:rPr>
                <w:rFonts w:ascii="Cambria Math" w:hAnsi="Cambria Math"/>
              </w:rPr>
            </m:ctrlPr>
          </m:sup>
        </m:sSubSup>
        <m:r>
          <m:rPr>
            <m:sty m:val="p"/>
          </m:rP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N</m:t>
            </m:r>
          </m:e>
          <m:sub>
            <m:r>
              <m:rPr>
                <m:nor/>
              </m:rPr>
              <w:rPr>
                <w:rFonts w:ascii="Cambria Math" w:hAnsi="Cambria Math"/>
                <w:lang w:eastAsia="zh-CN"/>
              </w:rPr>
              <m:t>HARQ</m:t>
            </m:r>
            <m:r>
              <m:rPr>
                <m:sty m:val="p"/>
              </m:rPr>
              <w:rPr>
                <w:rFonts w:ascii="Cambria Math" w:hAnsi="Cambria Math"/>
                <w:lang w:eastAsia="zh-CN"/>
              </w:rPr>
              <m:t>-</m:t>
            </m:r>
            <m:r>
              <m:rPr>
                <m:nor/>
              </m:rPr>
              <w:rPr>
                <w:rFonts w:ascii="Cambria Math" w:hAnsi="Cambria Math"/>
                <w:lang w:eastAsia="zh-CN"/>
              </w:rPr>
              <m:t>ACK,</m:t>
            </m:r>
            <m:r>
              <m:rPr>
                <m:nor/>
              </m:rPr>
              <w:rPr>
                <w:rFonts w:ascii="Cambria Math" w:hAnsi="Cambria Math"/>
                <w:i/>
                <w:iCs/>
                <w:lang w:val="en-US" w:eastAsia="zh-CN"/>
              </w:rPr>
              <m:t>c</m:t>
            </m:r>
            <m:ctrlPr>
              <w:rPr>
                <w:rFonts w:ascii="Cambria Math" w:hAnsi="Cambria Math"/>
                <w:lang w:eastAsia="zh-CN"/>
              </w:rPr>
            </m:ctrlPr>
          </m:sub>
          <m:sup>
            <m:r>
              <m:rPr>
                <m:nor/>
              </m:rPr>
              <w:rPr>
                <w:rFonts w:ascii="Cambria Math" w:hAnsi="Cambria Math"/>
                <w:lang w:eastAsia="zh-CN"/>
              </w:rPr>
              <m:t>CBG/TB,max</m:t>
            </m:r>
            <m:ctrlPr>
              <w:rPr>
                <w:rFonts w:ascii="Cambria Math" w:hAnsi="Cambria Math"/>
                <w:lang w:eastAsia="zh-CN"/>
              </w:rPr>
            </m:ctrlPr>
          </m:sup>
        </m:sSubSup>
      </m:oMath>
      <w:r>
        <w:t xml:space="preserve"> across all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DL,CBG</m:t>
            </m:r>
            <m:ctrlPr>
              <w:rPr>
                <w:rFonts w:ascii="Cambria Math" w:hAnsi="Cambria Math"/>
              </w:rPr>
            </m:ctrlPr>
          </m:sup>
        </m:sSubSup>
      </m:oMath>
      <w:r w:rsidRPr="00B916EC">
        <w:t xml:space="preserve"> serving cells</w:t>
      </w:r>
      <w:r>
        <w:t xml:space="preserve"> </w:t>
      </w:r>
      <w:r w:rsidR="005F60BC" w:rsidRPr="00B27E56">
        <w:rPr>
          <w:lang w:val="en-US"/>
        </w:rPr>
        <w:t xml:space="preserve">and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ctrlPr>
              <w:rPr>
                <w:rFonts w:ascii="Cambria Math" w:hAnsi="Cambria Math"/>
              </w:rPr>
            </m:ctrlPr>
          </m:sub>
          <m:sup>
            <m:r>
              <m:rPr>
                <m:nor/>
              </m:rPr>
              <w:rPr>
                <w:rFonts w:ascii="Cambria Math" w:hAnsi="Cambria Math"/>
                <w:lang w:val="en-US"/>
              </w:rPr>
              <m:t>DL</m:t>
            </m:r>
            <m:ctrlPr>
              <w:rPr>
                <w:rFonts w:ascii="Cambria Math" w:hAnsi="Cambria Math"/>
              </w:rPr>
            </m:ctrlPr>
          </m:sup>
        </m:sSubSup>
      </m:oMath>
      <w:r w:rsidR="005F60BC" w:rsidRPr="00B27E56">
        <w:rPr>
          <w:lang w:val="en-US"/>
        </w:rPr>
        <w:t xml:space="preserve"> is</w:t>
      </w:r>
      <w:r>
        <w:rPr>
          <w:lang w:val="en-US"/>
        </w:rPr>
        <w:t xml:space="preserve"> the value of </w:t>
      </w:r>
      <w:r w:rsidRPr="00435CFD">
        <w:rPr>
          <w:i/>
        </w:rPr>
        <w:t>maxNrofCodeWordsScheduledByDCI</w:t>
      </w:r>
      <w:r>
        <w:rPr>
          <w:lang w:val="en-US"/>
        </w:rPr>
        <w:t xml:space="preserve"> for serving cell </w:t>
      </w:r>
      <m:oMath>
        <m:r>
          <w:rPr>
            <w:rFonts w:ascii="Cambria Math" w:hAnsi="Cambria Math"/>
          </w:rPr>
          <m:t>c</m:t>
        </m:r>
      </m:oMath>
      <w:r>
        <w:rPr>
          <w:lang w:val="en-US"/>
        </w:rPr>
        <w:t>. If</w:t>
      </w:r>
      <w:r>
        <w:t xml:space="preserve"> for a serving cell </w:t>
      </w:r>
      <m:oMath>
        <m:r>
          <w:rPr>
            <w:rFonts w:ascii="Cambria Math" w:hAnsi="Cambria Math"/>
          </w:rPr>
          <m:t>c</m:t>
        </m:r>
      </m:oMath>
      <w:r>
        <w:t xml:space="preserve"> it is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ctrlPr>
              <w:rPr>
                <w:rFonts w:ascii="Cambria Math" w:hAnsi="Cambria Math"/>
              </w:rPr>
            </m:ctrlPr>
          </m:sub>
          <m:sup>
            <m:r>
              <m:rPr>
                <m:nor/>
              </m:rPr>
              <w:rPr>
                <w:rFonts w:ascii="Cambria Math" w:hAnsi="Cambria Math"/>
                <w:lang w:val="en-US"/>
              </w:rPr>
              <m:t>DL</m:t>
            </m:r>
            <m:ctrlPr>
              <w:rPr>
                <w:rFonts w:ascii="Cambria Math" w:hAnsi="Cambria Math"/>
              </w:rPr>
            </m:ctrlPr>
          </m:sup>
        </m:sSubSup>
        <m:r>
          <m:rPr>
            <m:sty m:val="p"/>
          </m:rP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N</m:t>
            </m:r>
          </m:e>
          <m:sub>
            <m:r>
              <m:rPr>
                <m:sty m:val="p"/>
              </m:rPr>
              <w:rPr>
                <w:rFonts w:ascii="Cambria Math" w:hAnsi="Cambria Math"/>
                <w:lang w:eastAsia="zh-CN"/>
              </w:rPr>
              <m:t>HARQ-ACK,</m:t>
            </m:r>
            <m:r>
              <w:rPr>
                <w:rFonts w:ascii="Cambria Math" w:hAnsi="Cambria Math"/>
                <w:lang w:eastAsia="zh-CN"/>
              </w:rPr>
              <m:t>c</m:t>
            </m:r>
            <m:ctrlPr>
              <w:rPr>
                <w:rFonts w:ascii="Cambria Math" w:hAnsi="Cambria Math"/>
                <w:lang w:eastAsia="zh-CN"/>
              </w:rPr>
            </m:ctrlPr>
          </m:sub>
          <m:sup>
            <m:r>
              <m:rPr>
                <m:nor/>
              </m:rPr>
              <w:rPr>
                <w:rFonts w:ascii="Cambria Math" w:hAnsi="Cambria Math"/>
                <w:lang w:eastAsia="zh-CN"/>
              </w:rPr>
              <m:t>CBG/TB,max</m:t>
            </m:r>
            <m:ctrlPr>
              <w:rPr>
                <w:rFonts w:ascii="Cambria Math" w:hAnsi="Cambria Math"/>
                <w:lang w:eastAsia="zh-CN"/>
              </w:rPr>
            </m:ctrlPr>
          </m:sup>
        </m:sSubSup>
        <m:r>
          <w:rPr>
            <w:rFonts w:ascii="Cambria Math" w:hAnsi="Cambria Math"/>
            <w:lang w:eastAsia="zh-CN"/>
          </w:rPr>
          <m:t>&lt;</m:t>
        </m:r>
        <m:sSubSup>
          <m:sSubSupPr>
            <m:ctrlPr>
              <w:rPr>
                <w:rFonts w:ascii="Cambria Math" w:hAnsi="Cambria Math"/>
                <w:i/>
                <w:lang w:eastAsia="zh-CN"/>
              </w:rPr>
            </m:ctrlPr>
          </m:sSubSupPr>
          <m:e>
            <m:r>
              <w:rPr>
                <w:rFonts w:ascii="Cambria Math" w:hAnsi="Cambria Math"/>
                <w:lang w:eastAsia="zh-CN"/>
              </w:rPr>
              <m:t>N</m:t>
            </m:r>
          </m:e>
          <m:sub>
            <m:r>
              <m:rPr>
                <m:sty m:val="p"/>
              </m:rPr>
              <w:rPr>
                <w:rFonts w:ascii="Cambria Math" w:hAnsi="Cambria Math"/>
                <w:lang w:eastAsia="zh-CN"/>
              </w:rPr>
              <m:t>HARQ-ACK,max</m:t>
            </m:r>
            <m:ctrlPr>
              <w:rPr>
                <w:rFonts w:ascii="Cambria Math" w:hAnsi="Cambria Math"/>
                <w:lang w:eastAsia="zh-CN"/>
              </w:rPr>
            </m:ctrlPr>
          </m:sub>
          <m:sup>
            <m:r>
              <m:rPr>
                <m:nor/>
              </m:rPr>
              <w:rPr>
                <w:rFonts w:ascii="Cambria Math" w:hAnsi="Cambria Math"/>
                <w:lang w:eastAsia="zh-CN"/>
              </w:rPr>
              <m:t>CBG/TB,max</m:t>
            </m:r>
            <m:ctrlPr>
              <w:rPr>
                <w:rFonts w:ascii="Cambria Math" w:hAnsi="Cambria Math"/>
                <w:lang w:eastAsia="zh-CN"/>
              </w:rPr>
            </m:ctrlPr>
          </m:sup>
        </m:sSubSup>
      </m:oMath>
      <w:r>
        <w:t xml:space="preserve">, the UE generates NACK for the last </w:t>
      </w:r>
      <m:oMath>
        <m:sSubSup>
          <m:sSubSupPr>
            <m:ctrlPr>
              <w:rPr>
                <w:rFonts w:ascii="Cambria Math" w:hAnsi="Cambria Math"/>
                <w:i/>
                <w:lang w:eastAsia="zh-CN"/>
              </w:rPr>
            </m:ctrlPr>
          </m:sSubSupPr>
          <m:e>
            <m:r>
              <w:rPr>
                <w:rFonts w:ascii="Cambria Math" w:hAnsi="Cambria Math"/>
                <w:lang w:eastAsia="zh-CN"/>
              </w:rPr>
              <m:t>N</m:t>
            </m:r>
          </m:e>
          <m:sub>
            <m:r>
              <m:rPr>
                <m:nor/>
              </m:rPr>
              <w:rPr>
                <w:rFonts w:ascii="Cambria Math" w:hAnsi="Cambria Math"/>
                <w:lang w:eastAsia="zh-CN"/>
              </w:rPr>
              <m:t>HARQ</m:t>
            </m:r>
            <m:r>
              <m:rPr>
                <m:sty m:val="p"/>
              </m:rPr>
              <w:rPr>
                <w:rFonts w:ascii="Cambria Math" w:hAnsi="Cambria Math"/>
                <w:lang w:eastAsia="zh-CN"/>
              </w:rPr>
              <m:t>-</m:t>
            </m:r>
            <m:r>
              <m:rPr>
                <m:nor/>
              </m:rPr>
              <w:rPr>
                <w:rFonts w:ascii="Cambria Math" w:hAnsi="Cambria Math"/>
                <w:lang w:eastAsia="zh-CN"/>
              </w:rPr>
              <m:t>ACK,max</m:t>
            </m:r>
            <m:ctrlPr>
              <w:rPr>
                <w:rFonts w:ascii="Cambria Math" w:hAnsi="Cambria Math"/>
                <w:lang w:eastAsia="zh-CN"/>
              </w:rPr>
            </m:ctrlPr>
          </m:sub>
          <m:sup>
            <m:r>
              <m:rPr>
                <m:nor/>
              </m:rPr>
              <w:rPr>
                <w:rFonts w:ascii="Cambria Math" w:hAnsi="Cambria Math"/>
                <w:lang w:eastAsia="zh-CN"/>
              </w:rPr>
              <m:t>CBG/TB,max</m:t>
            </m:r>
            <m:ctrlPr>
              <w:rPr>
                <w:rFonts w:ascii="Cambria Math" w:hAnsi="Cambria Math"/>
                <w:lang w:eastAsia="zh-CN"/>
              </w:rPr>
            </m:ctrlPr>
          </m:sup>
        </m:sSubSup>
        <m:r>
          <w:rPr>
            <w:rFonts w:ascii="Cambria Math" w:hAnsi="Cambria Math"/>
            <w:lang w:eastAsia="zh-CN"/>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ctrlPr>
              <w:rPr>
                <w:rFonts w:ascii="Cambria Math" w:hAnsi="Cambria Math"/>
              </w:rPr>
            </m:ctrlPr>
          </m:sub>
          <m:sup>
            <m:r>
              <m:rPr>
                <m:nor/>
              </m:rPr>
              <w:rPr>
                <w:rFonts w:ascii="Cambria Math" w:hAnsi="Cambria Math"/>
                <w:lang w:val="en-US"/>
              </w:rPr>
              <m:t>DL</m:t>
            </m:r>
            <m:ctrlPr>
              <w:rPr>
                <w:rFonts w:ascii="Cambria Math" w:hAnsi="Cambria Math"/>
              </w:rPr>
            </m:ctrlPr>
          </m:sup>
        </m:sSubSup>
        <m:r>
          <m:rPr>
            <m:sty m:val="p"/>
          </m:rP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N</m:t>
            </m:r>
          </m:e>
          <m:sub>
            <m:r>
              <m:rPr>
                <m:nor/>
              </m:rPr>
              <w:rPr>
                <w:rFonts w:ascii="Cambria Math" w:hAnsi="Cambria Math"/>
                <w:lang w:eastAsia="zh-CN"/>
              </w:rPr>
              <m:t>HARQ</m:t>
            </m:r>
            <m:r>
              <m:rPr>
                <m:sty m:val="p"/>
              </m:rPr>
              <w:rPr>
                <w:rFonts w:ascii="Cambria Math" w:hAnsi="Cambria Math"/>
                <w:lang w:eastAsia="zh-CN"/>
              </w:rPr>
              <m:t>-</m:t>
            </m:r>
            <m:r>
              <m:rPr>
                <m:nor/>
              </m:rPr>
              <w:rPr>
                <w:rFonts w:ascii="Cambria Math" w:hAnsi="Cambria Math"/>
                <w:lang w:eastAsia="zh-CN"/>
              </w:rPr>
              <m:t>ACK,</m:t>
            </m:r>
            <m:r>
              <m:rPr>
                <m:nor/>
              </m:rPr>
              <w:rPr>
                <w:rFonts w:ascii="Cambria Math" w:hAnsi="Cambria Math"/>
                <w:i/>
                <w:iCs/>
                <w:lang w:val="en-US" w:eastAsia="zh-CN"/>
              </w:rPr>
              <m:t>c</m:t>
            </m:r>
            <m:ctrlPr>
              <w:rPr>
                <w:rFonts w:ascii="Cambria Math" w:hAnsi="Cambria Math"/>
                <w:lang w:eastAsia="zh-CN"/>
              </w:rPr>
            </m:ctrlPr>
          </m:sub>
          <m:sup>
            <m:r>
              <m:rPr>
                <m:nor/>
              </m:rPr>
              <w:rPr>
                <w:rFonts w:ascii="Cambria Math" w:hAnsi="Cambria Math"/>
                <w:lang w:eastAsia="zh-CN"/>
              </w:rPr>
              <m:t>CBG/TB,max</m:t>
            </m:r>
            <m:ctrlPr>
              <w:rPr>
                <w:rFonts w:ascii="Cambria Math" w:hAnsi="Cambria Math"/>
                <w:lang w:eastAsia="zh-CN"/>
              </w:rPr>
            </m:ctrlPr>
          </m:sup>
        </m:sSubSup>
      </m:oMath>
      <w:r>
        <w:t xml:space="preserve"> HARQ-ACK information bits for serving cell </w:t>
      </w:r>
      <m:oMath>
        <m:r>
          <w:rPr>
            <w:rFonts w:ascii="Cambria Math" w:hAnsi="Cambria Math"/>
          </w:rPr>
          <m:t>c</m:t>
        </m:r>
      </m:oMath>
    </w:p>
    <w:p w14:paraId="3C3ACF4C" w14:textId="77777777" w:rsidR="00BC0A28" w:rsidRDefault="00BC0A28" w:rsidP="00BC0A28">
      <w:pPr>
        <w:pStyle w:val="B2"/>
      </w:pPr>
      <w:r>
        <w:t>-</w:t>
      </w:r>
      <w:r>
        <w:tab/>
      </w:r>
      <w:r>
        <w:rPr>
          <w:lang w:val="en-US"/>
        </w:rPr>
        <w:t>t</w:t>
      </w:r>
      <w:r w:rsidRPr="00B916EC">
        <w:t xml:space="preserve">he pseudo-code operation </w:t>
      </w:r>
      <w:r>
        <w:rPr>
          <w:lang w:val="en-US"/>
        </w:rPr>
        <w:t xml:space="preserve">when </w:t>
      </w:r>
      <w:r w:rsidRPr="00435CFD">
        <w:rPr>
          <w:i/>
        </w:rPr>
        <w:t>harq-ACK-SpatialBundlingPUCCH</w:t>
      </w:r>
      <w:r w:rsidRPr="00B916EC">
        <w:rPr>
          <w:rFonts w:hint="eastAsia"/>
          <w:lang w:eastAsia="zh-CN"/>
        </w:rPr>
        <w:t xml:space="preserve"> </w:t>
      </w:r>
      <w:r>
        <w:rPr>
          <w:lang w:val="en-US" w:eastAsia="zh-CN"/>
        </w:rPr>
        <w:t>is provided</w:t>
      </w:r>
      <w:r w:rsidRPr="00B916EC">
        <w:t xml:space="preserve"> is not applicable</w:t>
      </w:r>
    </w:p>
    <w:p w14:paraId="372F62AA" w14:textId="77777777" w:rsidR="00BC0A28" w:rsidRPr="00B916EC" w:rsidRDefault="00BC0A28" w:rsidP="00BC0A28">
      <w:pPr>
        <w:pStyle w:val="B1"/>
      </w:pPr>
      <w:r>
        <w:t>-</w:t>
      </w:r>
      <w:r>
        <w:tab/>
      </w:r>
      <w:r w:rsidRPr="00B916EC">
        <w:t xml:space="preserve">The </w:t>
      </w:r>
      <w:r>
        <w:rPr>
          <w:lang w:val="en-US"/>
        </w:rPr>
        <w:t>counter DAI value and the total DAI value apply separately for each HARQ-ACK sub-codebook</w:t>
      </w:r>
    </w:p>
    <w:p w14:paraId="2FE8D53F" w14:textId="77777777" w:rsidR="00BC0A28" w:rsidRDefault="00BC0A28" w:rsidP="00BC0A28">
      <w:pPr>
        <w:pStyle w:val="B1"/>
      </w:pPr>
      <w:r>
        <w:t>-</w:t>
      </w:r>
      <w:r>
        <w:tab/>
      </w:r>
      <w:r w:rsidRPr="00B916EC">
        <w:t>The UE generates the HARQ-ACK codebook by appending the second HARQ-ACK sub-codebook to the first HARQ-ACK sub-codebook</w:t>
      </w:r>
    </w:p>
    <w:p w14:paraId="1249A24A" w14:textId="0DE21E39" w:rsidR="00BC0A28" w:rsidRPr="006263CE" w:rsidRDefault="00BC0A28" w:rsidP="00BC0A28">
      <w:pPr>
        <w:pStyle w:val="B1"/>
        <w:ind w:left="270" w:firstLine="14"/>
        <w:rPr>
          <w:lang w:val="en-US" w:eastAsia="zh-CN"/>
        </w:rPr>
      </w:pPr>
      <w:r>
        <w:rPr>
          <w:lang w:val="en-US"/>
        </w:rPr>
        <w:t xml:space="preserve">If </w:t>
      </w:r>
      <m:oMath>
        <m:sSub>
          <m:sSubPr>
            <m:ctrlPr>
              <w:rPr>
                <w:rFonts w:ascii="Cambria Math" w:hAnsi="Cambria Math"/>
                <w:i/>
                <w:lang w:eastAsia="zh-CN"/>
              </w:rPr>
            </m:ctrlPr>
          </m:sSubPr>
          <m:e>
            <m:r>
              <w:rPr>
                <w:rFonts w:ascii="Cambria Math"/>
                <w:lang w:eastAsia="zh-CN"/>
              </w:rPr>
              <m:t>O</m:t>
            </m:r>
          </m:e>
          <m:sub>
            <m:r>
              <m:rPr>
                <m:nor/>
              </m:rPr>
              <w:rPr>
                <w:rFonts w:ascii="Cambria Math"/>
                <w:lang w:eastAsia="zh-CN"/>
              </w:rPr>
              <m:t>ACK</m:t>
            </m:r>
            <m:ctrlPr>
              <w:rPr>
                <w:rFonts w:ascii="Cambria Math" w:hAnsi="Cambria Math"/>
                <w:lang w:eastAsia="zh-CN"/>
              </w:rPr>
            </m:ctrlPr>
          </m:sub>
        </m:sSub>
        <m:r>
          <w:rPr>
            <w:rFonts w:ascii="Cambria Math" w:hAnsi="Cambria Math"/>
            <w:lang w:eastAsia="zh-CN"/>
          </w:rPr>
          <m:t>+</m:t>
        </m:r>
        <m:sSub>
          <m:sSubPr>
            <m:ctrlPr>
              <w:rPr>
                <w:rFonts w:ascii="Cambria Math" w:hAnsi="Cambria Math"/>
                <w:i/>
                <w:lang w:eastAsia="zh-CN"/>
              </w:rPr>
            </m:ctrlPr>
          </m:sSubPr>
          <m:e>
            <m:r>
              <w:rPr>
                <w:rFonts w:ascii="Cambria Math"/>
                <w:lang w:eastAsia="zh-CN"/>
              </w:rPr>
              <m:t>O</m:t>
            </m:r>
          </m:e>
          <m:sub>
            <m:r>
              <m:rPr>
                <m:nor/>
              </m:rPr>
              <w:rPr>
                <w:rFonts w:ascii="Cambria Math"/>
                <w:lang w:eastAsia="zh-CN"/>
              </w:rPr>
              <m:t>SR</m:t>
            </m:r>
            <m:ctrlPr>
              <w:rPr>
                <w:rFonts w:ascii="Cambria Math" w:hAnsi="Cambria Math"/>
                <w:lang w:eastAsia="zh-CN"/>
              </w:rPr>
            </m:ctrlPr>
          </m:sub>
        </m:sSub>
        <m:r>
          <w:rPr>
            <w:rFonts w:ascii="Cambria Math" w:hAnsi="Cambria Math"/>
            <w:lang w:eastAsia="zh-CN"/>
          </w:rPr>
          <m:t>+</m:t>
        </m:r>
        <m:sSub>
          <m:sSubPr>
            <m:ctrlPr>
              <w:rPr>
                <w:rFonts w:ascii="Cambria Math" w:hAnsi="Cambria Math"/>
                <w:i/>
                <w:lang w:eastAsia="zh-CN"/>
              </w:rPr>
            </m:ctrlPr>
          </m:sSubPr>
          <m:e>
            <m:r>
              <w:rPr>
                <w:rFonts w:ascii="Cambria Math"/>
                <w:lang w:eastAsia="zh-CN"/>
              </w:rPr>
              <m:t>O</m:t>
            </m:r>
          </m:e>
          <m:sub>
            <m:r>
              <m:rPr>
                <m:nor/>
              </m:rPr>
              <w:rPr>
                <w:rFonts w:ascii="Cambria Math"/>
                <w:lang w:eastAsia="zh-CN"/>
              </w:rPr>
              <m:t>CSI</m:t>
            </m:r>
            <m:ctrlPr>
              <w:rPr>
                <w:rFonts w:ascii="Cambria Math" w:hAnsi="Cambria Math"/>
                <w:lang w:eastAsia="zh-CN"/>
              </w:rPr>
            </m:ctrlPr>
          </m:sub>
        </m:sSub>
        <m:r>
          <w:rPr>
            <w:rFonts w:ascii="Cambria Math" w:hAnsi="Cambria Math"/>
            <w:lang w:eastAsia="zh-CN"/>
          </w:rPr>
          <m:t>≤11</m:t>
        </m:r>
      </m:oMath>
      <w:r>
        <w:rPr>
          <w:lang w:val="en-US"/>
        </w:rPr>
        <w:t xml:space="preserve">, the UE also determines </w:t>
      </w:r>
      <m:oMath>
        <m:sSub>
          <m:sSubPr>
            <m:ctrlPr>
              <w:rPr>
                <w:rFonts w:ascii="Cambria Math" w:hAnsi="Cambria Math"/>
                <w:i/>
                <w:lang w:eastAsia="zh-CN"/>
              </w:rPr>
            </m:ctrlPr>
          </m:sSubPr>
          <m:e>
            <m:r>
              <w:rPr>
                <w:rFonts w:ascii="Cambria Math" w:hAnsi="Cambria Math"/>
                <w:lang w:eastAsia="zh-CN"/>
              </w:rPr>
              <m:t>n</m:t>
            </m:r>
          </m:e>
          <m:sub>
            <m:r>
              <m:rPr>
                <m:nor/>
              </m:rPr>
              <w:rPr>
                <w:lang w:eastAsia="zh-CN"/>
              </w:rPr>
              <m:t>HARQ-ACK</m:t>
            </m:r>
            <m:ctrlPr>
              <w:rPr>
                <w:rFonts w:ascii="Cambria Math" w:hAnsi="Cambria Math"/>
                <w:lang w:eastAsia="zh-CN"/>
              </w:rPr>
            </m:ctrlPr>
          </m:sub>
        </m:sSub>
        <m:sSub>
          <m:sSubPr>
            <m:ctrlPr>
              <w:rPr>
                <w:rFonts w:ascii="Cambria Math" w:hAnsi="Cambria Math"/>
                <w:i/>
                <w:lang w:eastAsia="zh-CN"/>
              </w:rPr>
            </m:ctrlPr>
          </m:sSubPr>
          <m:e>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n</m:t>
                </m:r>
              </m:e>
              <m:sub>
                <m:r>
                  <m:rPr>
                    <m:nor/>
                  </m:rPr>
                  <w:rPr>
                    <w:lang w:eastAsia="zh-CN"/>
                  </w:rPr>
                  <m:t>HARQ-ACK,</m:t>
                </m:r>
                <m:r>
                  <m:rPr>
                    <m:nor/>
                  </m:rPr>
                  <w:rPr>
                    <w:lang w:val="en-US" w:eastAsia="zh-CN"/>
                  </w:rPr>
                  <m:t>T</m:t>
                </m:r>
                <m:r>
                  <m:rPr>
                    <m:nor/>
                  </m:rPr>
                  <w:rPr>
                    <w:lang w:eastAsia="zh-CN"/>
                  </w:rPr>
                  <m:t>B</m:t>
                </m:r>
                <m:ctrlPr>
                  <w:rPr>
                    <w:rFonts w:ascii="Cambria Math" w:hAnsi="Cambria Math"/>
                    <w:lang w:eastAsia="zh-CN"/>
                  </w:rPr>
                </m:ctrlPr>
              </m:sub>
            </m:sSub>
            <m:r>
              <w:rPr>
                <w:rFonts w:ascii="Cambria Math" w:hAnsi="Cambria Math"/>
                <w:lang w:eastAsia="zh-CN"/>
              </w:rPr>
              <m:t>+n</m:t>
            </m:r>
          </m:e>
          <m:sub>
            <m:r>
              <m:rPr>
                <m:nor/>
              </m:rPr>
              <w:rPr>
                <w:lang w:eastAsia="zh-CN"/>
              </w:rPr>
              <m:t>HARQ-ACK,CBG</m:t>
            </m:r>
            <m:ctrlPr>
              <w:rPr>
                <w:rFonts w:ascii="Cambria Math" w:hAnsi="Cambria Math"/>
                <w:lang w:eastAsia="zh-CN"/>
              </w:rPr>
            </m:ctrlPr>
          </m:sub>
        </m:sSub>
      </m:oMath>
      <w:r>
        <w:rPr>
          <w:lang w:val="en-US" w:eastAsia="zh-CN"/>
        </w:rPr>
        <w:t xml:space="preserve"> </w:t>
      </w:r>
      <w:r>
        <w:rPr>
          <w:lang w:eastAsia="zh-CN"/>
        </w:rPr>
        <w:t xml:space="preserve">for obtaining a PUCCH transmission power, as described </w:t>
      </w:r>
      <w:r w:rsidR="006F5F9E">
        <w:rPr>
          <w:lang w:eastAsia="zh-CN"/>
        </w:rPr>
        <w:t>in clause</w:t>
      </w:r>
      <w:r>
        <w:rPr>
          <w:lang w:eastAsia="zh-CN"/>
        </w:rPr>
        <w:t xml:space="preserve"> 7.2.1, </w:t>
      </w:r>
      <w:r>
        <w:rPr>
          <w:lang w:val="en-US" w:eastAsia="zh-CN"/>
        </w:rPr>
        <w:t xml:space="preserve">with </w:t>
      </w:r>
    </w:p>
    <w:p w14:paraId="2DE3A08A" w14:textId="77777777" w:rsidR="00BC0A28" w:rsidRPr="00EE027F" w:rsidRDefault="00BC0A28" w:rsidP="00BC0A28">
      <w:pPr>
        <w:pStyle w:val="EQ"/>
        <w:rPr>
          <w:lang w:eastAsia="zh-CN"/>
        </w:rPr>
      </w:pPr>
      <w:r>
        <w:rPr>
          <w:lang w:eastAsia="zh-CN"/>
        </w:rPr>
        <w:tab/>
      </w:r>
      <m:oMath>
        <m:sSub>
          <m:sSubPr>
            <m:ctrlPr>
              <w:rPr>
                <w:rFonts w:ascii="Cambria Math" w:hAnsi="Cambria Math"/>
                <w:i/>
                <w:lang w:eastAsia="zh-CN"/>
              </w:rPr>
            </m:ctrlPr>
          </m:sSubPr>
          <m:e>
            <m:r>
              <w:rPr>
                <w:rFonts w:ascii="Cambria Math" w:hAnsi="Cambria Math"/>
                <w:lang w:eastAsia="zh-CN"/>
              </w:rPr>
              <m:t>n</m:t>
            </m:r>
          </m:e>
          <m:sub>
            <m:r>
              <m:rPr>
                <m:nor/>
              </m:rPr>
              <w:rPr>
                <w:lang w:eastAsia="zh-CN"/>
              </w:rPr>
              <m:t>HARQ-ACK,CBG</m:t>
            </m:r>
            <m:ctrlPr>
              <w:rPr>
                <w:rFonts w:ascii="Cambria Math" w:hAnsi="Cambria Math"/>
                <w:lang w:eastAsia="zh-CN"/>
              </w:rPr>
            </m:ctrlPr>
          </m:sub>
        </m:sSub>
        <m:r>
          <w:rPr>
            <w:rFonts w:ascii="Cambria Math" w:hAnsi="Cambria Math"/>
            <w:lang w:eastAsia="zh-CN"/>
          </w:rPr>
          <m:t>=</m:t>
        </m:r>
        <m:d>
          <m:dPr>
            <m:ctrlPr>
              <w:rPr>
                <w:rFonts w:ascii="Cambria Math" w:hAnsi="Cambria Math"/>
                <w:i/>
                <w:lang w:eastAsia="zh-CN"/>
              </w:rPr>
            </m:ctrlPr>
          </m:dPr>
          <m:e>
            <m:d>
              <m:dPr>
                <m:ctrlPr>
                  <w:rPr>
                    <w:rFonts w:ascii="Cambria Math" w:hAnsi="Cambria Math"/>
                    <w:i/>
                    <w:lang w:eastAsia="zh-CN"/>
                  </w:rPr>
                </m:ctrlPr>
              </m:dPr>
              <m:e>
                <m:sSubSup>
                  <m:sSubSupPr>
                    <m:ctrlPr>
                      <w:rPr>
                        <w:rFonts w:ascii="Cambria Math" w:hAnsi="Cambria Math"/>
                        <w:i/>
                        <w:lang w:eastAsia="zh-CN"/>
                      </w:rPr>
                    </m:ctrlPr>
                  </m:sSubSupPr>
                  <m:e>
                    <m:r>
                      <w:rPr>
                        <w:rFonts w:ascii="Cambria Math" w:hAnsi="Cambria Math"/>
                        <w:lang w:eastAsia="zh-CN"/>
                      </w:rPr>
                      <m:t>V</m:t>
                    </m:r>
                  </m:e>
                  <m:sub>
                    <m:r>
                      <m:rPr>
                        <m:nor/>
                      </m:rPr>
                      <w:rPr>
                        <w:lang w:eastAsia="zh-CN"/>
                      </w:rPr>
                      <m:t>DAI</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m</m:t>
                        </m:r>
                      </m:e>
                      <m:sub>
                        <m:r>
                          <m:rPr>
                            <m:nor/>
                          </m:rPr>
                          <w:rPr>
                            <w:lang w:eastAsia="zh-CN"/>
                          </w:rPr>
                          <m:t>last</m:t>
                        </m:r>
                      </m:sub>
                    </m:sSub>
                    <m:ctrlPr>
                      <w:rPr>
                        <w:rFonts w:ascii="Cambria Math" w:hAnsi="Cambria Math"/>
                        <w:lang w:eastAsia="zh-CN"/>
                      </w:rPr>
                    </m:ctrlPr>
                  </m:sub>
                  <m:sup>
                    <m:r>
                      <m:rPr>
                        <m:nor/>
                      </m:rPr>
                      <w:rPr>
                        <w:lang w:eastAsia="zh-CN"/>
                      </w:rPr>
                      <m:t>DL</m:t>
                    </m:r>
                    <m:ctrlPr>
                      <w:rPr>
                        <w:rFonts w:ascii="Cambria Math" w:hAnsi="Cambria Math"/>
                        <w:lang w:eastAsia="zh-CN"/>
                      </w:rPr>
                    </m:ctrlPr>
                  </m:sup>
                </m:sSubSup>
                <m:r>
                  <w:rPr>
                    <w:rFonts w:ascii="Cambria Math" w:hAnsi="Cambria Math"/>
                    <w:lang w:eastAsia="zh-CN"/>
                  </w:rPr>
                  <m:t>-</m:t>
                </m:r>
                <m:nary>
                  <m:naryPr>
                    <m:chr m:val="∑"/>
                    <m:ctrlPr>
                      <w:rPr>
                        <w:rFonts w:ascii="Cambria Math" w:hAnsi="Cambria Math"/>
                        <w:i/>
                        <w:lang w:eastAsia="zh-CN"/>
                      </w:rPr>
                    </m:ctrlPr>
                  </m:naryPr>
                  <m:sub>
                    <m:r>
                      <w:rPr>
                        <w:rFonts w:ascii="Cambria Math" w:hAnsi="Cambria Math"/>
                        <w:lang w:eastAsia="zh-CN"/>
                      </w:rPr>
                      <m:t>c=0</m:t>
                    </m:r>
                  </m:sub>
                  <m:sup>
                    <m:sSubSup>
                      <m:sSubSupPr>
                        <m:ctrlPr>
                          <w:rPr>
                            <w:rFonts w:ascii="Cambria Math" w:hAnsi="Cambria Math"/>
                            <w:i/>
                            <w:lang w:eastAsia="zh-CN"/>
                          </w:rPr>
                        </m:ctrlPr>
                      </m:sSubSupPr>
                      <m:e>
                        <m:r>
                          <w:rPr>
                            <w:rFonts w:ascii="Cambria Math" w:hAnsi="Cambria Math"/>
                            <w:lang w:eastAsia="zh-CN"/>
                          </w:rPr>
                          <m:t>N</m:t>
                        </m:r>
                      </m:e>
                      <m:sub>
                        <m:r>
                          <m:rPr>
                            <m:nor/>
                          </m:rPr>
                          <w:rPr>
                            <w:lang w:eastAsia="zh-CN"/>
                          </w:rPr>
                          <m:t>cells</m:t>
                        </m:r>
                        <m:ctrlPr>
                          <w:rPr>
                            <w:rFonts w:ascii="Cambria Math" w:hAnsi="Cambria Math"/>
                            <w:lang w:eastAsia="zh-CN"/>
                          </w:rPr>
                        </m:ctrlPr>
                      </m:sub>
                      <m:sup>
                        <m:r>
                          <m:rPr>
                            <m:nor/>
                          </m:rPr>
                          <w:rPr>
                            <w:lang w:eastAsia="zh-CN"/>
                          </w:rPr>
                          <m:t>DL,CBG</m:t>
                        </m:r>
                        <m:ctrlPr>
                          <w:rPr>
                            <w:rFonts w:ascii="Cambria Math" w:hAnsi="Cambria Math"/>
                            <w:lang w:eastAsia="zh-CN"/>
                          </w:rPr>
                        </m:ctrlPr>
                      </m:sup>
                    </m:sSubSup>
                    <m:r>
                      <w:rPr>
                        <w:rFonts w:ascii="Cambria Math" w:hAnsi="Cambria Math"/>
                        <w:lang w:eastAsia="zh-CN"/>
                      </w:rPr>
                      <m:t>-1</m:t>
                    </m:r>
                  </m:sup>
                  <m:e>
                    <m:sSubSup>
                      <m:sSubSupPr>
                        <m:ctrlPr>
                          <w:rPr>
                            <w:rFonts w:ascii="Cambria Math" w:hAnsi="Cambria Math"/>
                            <w:i/>
                            <w:lang w:eastAsia="zh-CN"/>
                          </w:rPr>
                        </m:ctrlPr>
                      </m:sSubSupPr>
                      <m:e>
                        <m:r>
                          <w:rPr>
                            <w:rFonts w:ascii="Cambria Math" w:hAnsi="Cambria Math"/>
                            <w:lang w:eastAsia="zh-CN"/>
                          </w:rPr>
                          <m:t>U</m:t>
                        </m:r>
                      </m:e>
                      <m:sub>
                        <m:r>
                          <m:rPr>
                            <m:nor/>
                          </m:rPr>
                          <w:rPr>
                            <w:lang w:eastAsia="zh-CN"/>
                          </w:rPr>
                          <m:t>DAI,</m:t>
                        </m:r>
                        <m:r>
                          <w:rPr>
                            <w:rFonts w:ascii="Cambria Math" w:hAnsi="Cambria Math"/>
                            <w:lang w:eastAsia="zh-CN"/>
                          </w:rPr>
                          <m:t>c</m:t>
                        </m:r>
                        <m:ctrlPr>
                          <w:rPr>
                            <w:rFonts w:ascii="Cambria Math" w:hAnsi="Cambria Math"/>
                            <w:lang w:eastAsia="zh-CN"/>
                          </w:rPr>
                        </m:ctrlPr>
                      </m:sub>
                      <m:sup>
                        <m:r>
                          <m:rPr>
                            <m:nor/>
                          </m:rPr>
                          <w:rPr>
                            <w:lang w:eastAsia="zh-CN"/>
                          </w:rPr>
                          <m:t>CBG</m:t>
                        </m:r>
                        <m:ctrlPr>
                          <w:rPr>
                            <w:rFonts w:ascii="Cambria Math" w:hAnsi="Cambria Math"/>
                            <w:lang w:eastAsia="zh-CN"/>
                          </w:rPr>
                        </m:ctrlPr>
                      </m:sup>
                    </m:sSubSup>
                  </m:e>
                </m:nary>
              </m:e>
            </m:d>
            <m:func>
              <m:funcPr>
                <m:ctrlPr>
                  <w:rPr>
                    <w:rFonts w:ascii="Cambria Math" w:hAnsi="Cambria Math"/>
                    <w:i/>
                    <w:lang w:eastAsia="zh-CN"/>
                  </w:rPr>
                </m:ctrlPr>
              </m:funcPr>
              <m:fName>
                <m:r>
                  <w:rPr>
                    <w:rFonts w:ascii="Cambria Math" w:hAnsi="Cambria Math"/>
                    <w:lang w:eastAsia="zh-CN"/>
                  </w:rPr>
                  <m:t>mod</m:t>
                </m:r>
              </m:fName>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m:t>
                        </m:r>
                      </m:sub>
                    </m:sSub>
                  </m:e>
                </m:d>
              </m:e>
            </m:func>
          </m:e>
        </m:d>
        <m:sSubSup>
          <m:sSubSupPr>
            <m:ctrlPr>
              <w:rPr>
                <w:rFonts w:ascii="Cambria Math" w:hAnsi="Cambria Math"/>
                <w:i/>
                <w:lang w:eastAsia="zh-CN"/>
              </w:rPr>
            </m:ctrlPr>
          </m:sSubSupPr>
          <m:e>
            <m:r>
              <w:rPr>
                <w:rFonts w:ascii="Cambria Math" w:hAnsi="Cambria Math"/>
                <w:lang w:eastAsia="zh-CN"/>
              </w:rPr>
              <m:t>N</m:t>
            </m:r>
          </m:e>
          <m:sub>
            <m:r>
              <m:rPr>
                <m:nor/>
              </m:rPr>
              <w:rPr>
                <w:lang w:eastAsia="zh-CN"/>
              </w:rPr>
              <m:t>HARQ</m:t>
            </m:r>
            <m:r>
              <m:rPr>
                <m:sty m:val="p"/>
              </m:rPr>
              <w:rPr>
                <w:rFonts w:ascii="Cambria Math" w:hAnsi="Cambria Math"/>
                <w:lang w:eastAsia="zh-CN"/>
              </w:rPr>
              <m:t>-</m:t>
            </m:r>
            <m:r>
              <m:rPr>
                <m:nor/>
              </m:rPr>
              <w:rPr>
                <w:lang w:eastAsia="zh-CN"/>
              </w:rPr>
              <m:t>ACK,max</m:t>
            </m:r>
            <m:ctrlPr>
              <w:rPr>
                <w:rFonts w:ascii="Cambria Math" w:hAnsi="Cambria Math"/>
                <w:lang w:eastAsia="zh-CN"/>
              </w:rPr>
            </m:ctrlPr>
          </m:sub>
          <m:sup>
            <m:r>
              <m:rPr>
                <m:nor/>
              </m:rPr>
              <w:rPr>
                <w:lang w:eastAsia="zh-CN"/>
              </w:rPr>
              <m:t>CBG/TB,max</m:t>
            </m:r>
            <m:ctrlPr>
              <w:rPr>
                <w:rFonts w:ascii="Cambria Math" w:hAnsi="Cambria Math"/>
                <w:lang w:eastAsia="zh-CN"/>
              </w:rPr>
            </m:ctrlPr>
          </m:sup>
        </m:sSubSup>
        <m:r>
          <w:rPr>
            <w:rFonts w:ascii="Cambria Math" w:hAnsi="Cambria Math"/>
            <w:lang w:eastAsia="zh-CN"/>
          </w:rPr>
          <m:t>+</m:t>
        </m:r>
        <m:nary>
          <m:naryPr>
            <m:chr m:val="∑"/>
            <m:ctrlPr>
              <w:rPr>
                <w:rFonts w:ascii="Cambria Math" w:hAnsi="Cambria Math"/>
                <w:i/>
                <w:lang w:eastAsia="zh-CN"/>
              </w:rPr>
            </m:ctrlPr>
          </m:naryPr>
          <m:sub>
            <m:r>
              <w:rPr>
                <w:rFonts w:ascii="Cambria Math" w:hAnsi="Cambria Math"/>
                <w:lang w:eastAsia="zh-CN"/>
              </w:rPr>
              <m:t>c=0</m:t>
            </m:r>
          </m:sub>
          <m:sup>
            <m:sSubSup>
              <m:sSubSupPr>
                <m:ctrlPr>
                  <w:rPr>
                    <w:rFonts w:ascii="Cambria Math" w:hAnsi="Cambria Math"/>
                    <w:i/>
                    <w:lang w:eastAsia="zh-CN"/>
                  </w:rPr>
                </m:ctrlPr>
              </m:sSubSupPr>
              <m:e>
                <m:r>
                  <w:rPr>
                    <w:rFonts w:ascii="Cambria Math" w:hAnsi="Cambria Math"/>
                    <w:lang w:eastAsia="zh-CN"/>
                  </w:rPr>
                  <m:t>N</m:t>
                </m:r>
              </m:e>
              <m:sub>
                <m:r>
                  <m:rPr>
                    <m:nor/>
                  </m:rPr>
                  <w:rPr>
                    <w:lang w:eastAsia="zh-CN"/>
                  </w:rPr>
                  <m:t>cells</m:t>
                </m:r>
                <m:ctrlPr>
                  <w:rPr>
                    <w:rFonts w:ascii="Cambria Math" w:hAnsi="Cambria Math"/>
                    <w:lang w:eastAsia="zh-CN"/>
                  </w:rPr>
                </m:ctrlPr>
              </m:sub>
              <m:sup>
                <m:r>
                  <m:rPr>
                    <m:nor/>
                  </m:rPr>
                  <w:rPr>
                    <w:lang w:eastAsia="zh-CN"/>
                  </w:rPr>
                  <m:t>DL</m:t>
                </m:r>
                <m:ctrlPr>
                  <w:rPr>
                    <w:rFonts w:ascii="Cambria Math" w:hAnsi="Cambria Math"/>
                    <w:lang w:eastAsia="zh-CN"/>
                  </w:rPr>
                </m:ctrlPr>
              </m:sup>
            </m:sSubSup>
            <m:r>
              <w:rPr>
                <w:rFonts w:ascii="Cambria Math" w:hAnsi="Cambria Math"/>
                <w:lang w:eastAsia="zh-CN"/>
              </w:rPr>
              <m:t>-1</m:t>
            </m:r>
          </m:sup>
          <m:e>
            <m:nary>
              <m:naryPr>
                <m:chr m:val="∑"/>
                <m:ctrlPr>
                  <w:rPr>
                    <w:rFonts w:ascii="Cambria Math" w:hAnsi="Cambria Math"/>
                    <w:i/>
                    <w:lang w:eastAsia="zh-CN"/>
                  </w:rPr>
                </m:ctrlPr>
              </m:naryPr>
              <m:sub>
                <m:r>
                  <w:rPr>
                    <w:rFonts w:ascii="Cambria Math" w:hAnsi="Cambria Math"/>
                    <w:lang w:eastAsia="zh-CN"/>
                  </w:rPr>
                  <m:t>m=0</m:t>
                </m:r>
              </m:sub>
              <m:sup>
                <m:r>
                  <w:rPr>
                    <w:rFonts w:ascii="Cambria Math" w:hAnsi="Cambria Math"/>
                    <w:lang w:eastAsia="zh-CN"/>
                  </w:rPr>
                  <m:t>M-1</m:t>
                </m:r>
              </m:sup>
              <m:e>
                <m:sSubSup>
                  <m:sSubSupPr>
                    <m:ctrlPr>
                      <w:rPr>
                        <w:rFonts w:ascii="Cambria Math" w:hAnsi="Cambria Math"/>
                        <w:i/>
                        <w:lang w:eastAsia="zh-CN"/>
                      </w:rPr>
                    </m:ctrlPr>
                  </m:sSubSupPr>
                  <m:e>
                    <m:r>
                      <w:rPr>
                        <w:rFonts w:ascii="Cambria Math" w:hAnsi="Cambria Math"/>
                        <w:lang w:eastAsia="zh-CN"/>
                      </w:rPr>
                      <m:t>N</m:t>
                    </m:r>
                  </m:e>
                  <m:sub>
                    <m:r>
                      <w:rPr>
                        <w:rFonts w:ascii="Cambria Math" w:hAnsi="Cambria Math"/>
                        <w:lang w:eastAsia="zh-CN"/>
                      </w:rPr>
                      <m:t>m,c</m:t>
                    </m:r>
                  </m:sub>
                  <m:sup>
                    <m:r>
                      <m:rPr>
                        <m:nor/>
                      </m:rPr>
                      <w:rPr>
                        <w:lang w:eastAsia="zh-CN"/>
                      </w:rPr>
                      <m:t>received,CBG</m:t>
                    </m:r>
                    <m:ctrlPr>
                      <w:rPr>
                        <w:rFonts w:ascii="Cambria Math" w:hAnsi="Cambria Math"/>
                        <w:lang w:eastAsia="zh-CN"/>
                      </w:rPr>
                    </m:ctrlPr>
                  </m:sup>
                </m:sSubSup>
              </m:e>
            </m:nary>
          </m:e>
        </m:nary>
      </m:oMath>
    </w:p>
    <w:p w14:paraId="109295B1" w14:textId="77777777" w:rsidR="00BC0A28" w:rsidRPr="007F4F93" w:rsidRDefault="00BC0A28" w:rsidP="00BC0A28">
      <w:pPr>
        <w:pStyle w:val="B1"/>
        <w:overflowPunct w:val="0"/>
        <w:autoSpaceDE w:val="0"/>
        <w:autoSpaceDN w:val="0"/>
        <w:adjustRightInd w:val="0"/>
        <w:ind w:left="284" w:firstLine="0"/>
        <w:textAlignment w:val="baseline"/>
        <w:rPr>
          <w:rFonts w:cs="Arial"/>
          <w:lang w:val="en-US" w:eastAsia="zh-CN"/>
        </w:rPr>
      </w:pPr>
      <w:r>
        <w:rPr>
          <w:rFonts w:cs="Arial"/>
          <w:lang w:val="en-US" w:eastAsia="zh-CN"/>
        </w:rPr>
        <w:t>where</w:t>
      </w:r>
    </w:p>
    <w:p w14:paraId="62856CAF" w14:textId="5A25EB68" w:rsidR="00BC0A28" w:rsidRDefault="00BC0A28" w:rsidP="00BC0A28">
      <w:pPr>
        <w:pStyle w:val="B2"/>
      </w:pPr>
      <w:r>
        <w:rPr>
          <w:rFonts w:cs="Arial"/>
          <w:lang w:eastAsia="zh-CN"/>
        </w:rPr>
        <w:t>-</w:t>
      </w:r>
      <w:r>
        <w:rPr>
          <w:rFonts w:cs="Arial"/>
          <w:lang w:eastAsia="zh-CN"/>
        </w:rPr>
        <w:tab/>
        <w:t xml:space="preserve">if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m:t>
            </m:r>
            <m:ctrlPr>
              <w:rPr>
                <w:rFonts w:ascii="Cambria Math" w:hAnsi="Cambria Math"/>
              </w:rPr>
            </m:ctrlPr>
          </m:sup>
        </m:sSubSup>
        <m:r>
          <w:rPr>
            <w:rFonts w:ascii="Cambria Math" w:hAnsi="Cambria Math"/>
          </w:rPr>
          <m:t>=1</m:t>
        </m:r>
      </m:oMath>
      <w:r>
        <w:t xml:space="preserve">, </w:t>
      </w:r>
      <m:oMath>
        <m:sSubSup>
          <m:sSubSupPr>
            <m:ctrlPr>
              <w:rPr>
                <w:rFonts w:ascii="Cambria Math" w:hAnsi="Cambria Math"/>
                <w:i/>
              </w:rPr>
            </m:ctrlPr>
          </m:sSubSupPr>
          <m:e>
            <m:r>
              <w:rPr>
                <w:rFonts w:ascii="Cambria Math"/>
              </w:rPr>
              <m:t>V</m:t>
            </m:r>
          </m:e>
          <m:sub>
            <m:r>
              <m:rPr>
                <m:sty m:val="p"/>
              </m:rPr>
              <w:rPr>
                <w:rFonts w:ascii="Cambria Math"/>
              </w:rPr>
              <m:t>DAI,</m:t>
            </m:r>
            <m:sSub>
              <m:sSubPr>
                <m:ctrlPr>
                  <w:rPr>
                    <w:rFonts w:ascii="Cambria Math" w:hAnsi="Cambria Math"/>
                    <w:lang w:eastAsia="zh-CN"/>
                  </w:rPr>
                </m:ctrlPr>
              </m:sSubPr>
              <m:e>
                <m:r>
                  <w:rPr>
                    <w:rFonts w:ascii="Cambria Math" w:hAnsi="Cambria Math"/>
                    <w:lang w:eastAsia="zh-CN"/>
                  </w:rPr>
                  <m:t>m</m:t>
                </m:r>
              </m:e>
              <m:sub>
                <m:r>
                  <m:rPr>
                    <m:sty m:val="p"/>
                  </m:rPr>
                  <w:rPr>
                    <w:rFonts w:ascii="Cambria Math" w:hAnsi="Cambria Math"/>
                    <w:lang w:eastAsia="zh-CN"/>
                  </w:rPr>
                  <m:t>last</m:t>
                </m:r>
              </m:sub>
            </m:sSub>
            <m:ctrlPr>
              <w:rPr>
                <w:rFonts w:ascii="Cambria Math" w:hAnsi="Cambria Math"/>
              </w:rPr>
            </m:ctrlPr>
          </m:sub>
          <m:sup>
            <m:r>
              <m:rPr>
                <m:nor/>
              </m:rPr>
              <w:rPr>
                <w:rFonts w:ascii="Cambria Math"/>
                <w:lang w:val="en-US"/>
              </w:rPr>
              <m:t>DL</m:t>
            </m:r>
            <m:ctrlPr>
              <w:rPr>
                <w:rFonts w:ascii="Cambria Math" w:hAnsi="Cambria Math"/>
              </w:rPr>
            </m:ctrlPr>
          </m:sup>
        </m:sSubSup>
      </m:oMath>
      <w:r>
        <w:rPr>
          <w:rFonts w:cs="Arial"/>
          <w:lang w:eastAsia="zh-CN"/>
        </w:rPr>
        <w:t xml:space="preserve"> is the value </w:t>
      </w:r>
      <w:r w:rsidRPr="00B916EC">
        <w:rPr>
          <w:rFonts w:cs="Arial" w:hint="eastAsia"/>
          <w:lang w:eastAsia="zh-CN"/>
        </w:rPr>
        <w:t xml:space="preserve">of the counter DAI in </w:t>
      </w:r>
      <w:r>
        <w:rPr>
          <w:rFonts w:cs="Arial"/>
          <w:lang w:eastAsia="zh-CN"/>
        </w:rPr>
        <w:t>the last</w:t>
      </w:r>
      <w:r w:rsidRPr="00B916EC">
        <w:rPr>
          <w:lang w:eastAsia="zh-CN"/>
        </w:rPr>
        <w:t xml:space="preserve"> DCI format</w:t>
      </w:r>
      <w:r w:rsidRPr="00B916EC">
        <w:rPr>
          <w:rFonts w:cs="Arial"/>
          <w:lang w:eastAsia="zh-CN"/>
        </w:rPr>
        <w:t xml:space="preserve"> </w:t>
      </w:r>
      <w:r w:rsidRPr="00B916EC">
        <w:rPr>
          <w:rFonts w:hint="eastAsia"/>
          <w:lang w:eastAsia="zh-CN"/>
        </w:rPr>
        <w:t xml:space="preserve">scheduling </w:t>
      </w:r>
      <w:r>
        <w:rPr>
          <w:lang w:eastAsia="zh-CN"/>
        </w:rPr>
        <w:t xml:space="preserve">CBG-based </w:t>
      </w:r>
      <w:r w:rsidRPr="00B916EC">
        <w:rPr>
          <w:rFonts w:hint="eastAsia"/>
          <w:lang w:eastAsia="zh-CN"/>
        </w:rPr>
        <w:t xml:space="preserve">PDSCH </w:t>
      </w:r>
      <w:r w:rsidRPr="00B916EC">
        <w:rPr>
          <w:lang w:eastAsia="zh-CN"/>
        </w:rPr>
        <w:t>recept</w:t>
      </w:r>
      <w:r w:rsidRPr="00B916EC">
        <w:rPr>
          <w:rFonts w:hint="eastAsia"/>
          <w:lang w:eastAsia="zh-CN"/>
        </w:rPr>
        <w:t xml:space="preserve">ion </w:t>
      </w:r>
      <w:r>
        <w:rPr>
          <w:lang w:eastAsia="zh-CN"/>
        </w:rPr>
        <w:t>that the UE detects with</w:t>
      </w:r>
      <w:r w:rsidRPr="00B916EC">
        <w:rPr>
          <w:rFonts w:hint="eastAsia"/>
          <w:lang w:eastAsia="zh-CN"/>
        </w:rPr>
        <w:t xml:space="preserve">in </w:t>
      </w:r>
      <w:r>
        <w:rPr>
          <w:lang w:eastAsia="zh-CN"/>
        </w:rPr>
        <w:t xml:space="preserve">the </w:t>
      </w:r>
      <m:oMath>
        <m:r>
          <w:rPr>
            <w:rFonts w:ascii="Cambria Math" w:hAnsi="Cambria Math"/>
          </w:rPr>
          <m:t>M</m:t>
        </m:r>
      </m:oMath>
      <w:r>
        <w:t xml:space="preserve"> </w:t>
      </w:r>
      <w:r w:rsidRPr="00B916EC">
        <w:rPr>
          <w:lang w:eastAsia="zh-CN"/>
        </w:rPr>
        <w:t>PDCCH monitoring occasio</w:t>
      </w:r>
      <w:r>
        <w:rPr>
          <w:lang w:eastAsia="zh-CN"/>
        </w:rPr>
        <w:t>ns</w:t>
      </w:r>
      <w:r>
        <w:t xml:space="preserve"> </w:t>
      </w:r>
    </w:p>
    <w:p w14:paraId="33A7570F" w14:textId="55AF5444" w:rsidR="00BC0A28" w:rsidRPr="004804E0" w:rsidRDefault="00BC0A28" w:rsidP="00BC0A28">
      <w:pPr>
        <w:pStyle w:val="B2"/>
        <w:rPr>
          <w:lang w:val="en-US"/>
        </w:rPr>
      </w:pPr>
      <w:r>
        <w:rPr>
          <w:rFonts w:cs="Arial"/>
          <w:lang w:eastAsia="zh-CN"/>
        </w:rPr>
        <w:t>-</w:t>
      </w:r>
      <w:r>
        <w:rPr>
          <w:rFonts w:cs="Arial"/>
          <w:lang w:eastAsia="zh-CN"/>
        </w:rPr>
        <w:tab/>
        <w:t xml:space="preserve">if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m:t>
            </m:r>
            <m:ctrlPr>
              <w:rPr>
                <w:rFonts w:ascii="Cambria Math" w:hAnsi="Cambria Math"/>
              </w:rPr>
            </m:ctrlPr>
          </m:sup>
        </m:sSubSup>
        <m:r>
          <w:rPr>
            <w:rFonts w:ascii="Cambria Math" w:hAnsi="Cambria Math"/>
          </w:rPr>
          <m:t>&gt;1</m:t>
        </m:r>
      </m:oMath>
      <w:r>
        <w:t xml:space="preserve">, </w:t>
      </w:r>
      <m:oMath>
        <m:sSubSup>
          <m:sSubSupPr>
            <m:ctrlPr>
              <w:rPr>
                <w:rFonts w:ascii="Cambria Math" w:hAnsi="Cambria Math"/>
                <w:i/>
              </w:rPr>
            </m:ctrlPr>
          </m:sSubSupPr>
          <m:e>
            <m:r>
              <w:rPr>
                <w:rFonts w:ascii="Cambria Math"/>
              </w:rPr>
              <m:t>V</m:t>
            </m:r>
          </m:e>
          <m:sub>
            <m:r>
              <m:rPr>
                <m:sty m:val="p"/>
              </m:rPr>
              <w:rPr>
                <w:rFonts w:ascii="Cambria Math"/>
              </w:rPr>
              <m:t>DAI,</m:t>
            </m:r>
            <m:sSub>
              <m:sSubPr>
                <m:ctrlPr>
                  <w:rPr>
                    <w:rFonts w:ascii="Cambria Math" w:hAnsi="Cambria Math"/>
                    <w:lang w:eastAsia="zh-CN"/>
                  </w:rPr>
                </m:ctrlPr>
              </m:sSubPr>
              <m:e>
                <m:r>
                  <w:rPr>
                    <w:rFonts w:ascii="Cambria Math" w:hAnsi="Cambria Math"/>
                    <w:lang w:eastAsia="zh-CN"/>
                  </w:rPr>
                  <m:t>m</m:t>
                </m:r>
              </m:e>
              <m:sub>
                <m:r>
                  <m:rPr>
                    <m:sty m:val="p"/>
                  </m:rPr>
                  <w:rPr>
                    <w:rFonts w:ascii="Cambria Math" w:hAnsi="Cambria Math"/>
                    <w:lang w:eastAsia="zh-CN"/>
                  </w:rPr>
                  <m:t>last</m:t>
                </m:r>
              </m:sub>
            </m:sSub>
            <m:ctrlPr>
              <w:rPr>
                <w:rFonts w:ascii="Cambria Math" w:hAnsi="Cambria Math"/>
              </w:rPr>
            </m:ctrlPr>
          </m:sub>
          <m:sup>
            <m:r>
              <m:rPr>
                <m:nor/>
              </m:rPr>
              <w:rPr>
                <w:rFonts w:ascii="Cambria Math"/>
                <w:lang w:val="en-US"/>
              </w:rPr>
              <m:t>DL</m:t>
            </m:r>
            <m:ctrlPr>
              <w:rPr>
                <w:rFonts w:ascii="Cambria Math" w:hAnsi="Cambria Math"/>
              </w:rPr>
            </m:ctrlPr>
          </m:sup>
        </m:sSubSup>
      </m:oMath>
      <w:r>
        <w:rPr>
          <w:rFonts w:cs="Arial"/>
          <w:lang w:eastAsia="zh-CN"/>
        </w:rPr>
        <w:t xml:space="preserve"> is the value </w:t>
      </w:r>
      <w:r>
        <w:rPr>
          <w:rFonts w:cs="Arial" w:hint="eastAsia"/>
          <w:lang w:eastAsia="zh-CN"/>
        </w:rPr>
        <w:t>of the total</w:t>
      </w:r>
      <w:r w:rsidRPr="00B916EC">
        <w:rPr>
          <w:rFonts w:cs="Arial" w:hint="eastAsia"/>
          <w:lang w:eastAsia="zh-CN"/>
        </w:rPr>
        <w:t xml:space="preserve"> DAI in </w:t>
      </w:r>
      <w:r>
        <w:rPr>
          <w:rFonts w:cs="Arial"/>
          <w:lang w:eastAsia="zh-CN"/>
        </w:rPr>
        <w:t>the last</w:t>
      </w:r>
      <w:r w:rsidRPr="00B916EC">
        <w:rPr>
          <w:lang w:eastAsia="zh-CN"/>
        </w:rPr>
        <w:t xml:space="preserve"> DCI format</w:t>
      </w:r>
      <w:r w:rsidRPr="00B916EC">
        <w:rPr>
          <w:rFonts w:cs="Arial"/>
          <w:lang w:eastAsia="zh-CN"/>
        </w:rPr>
        <w:t xml:space="preserve"> </w:t>
      </w:r>
      <w:r w:rsidRPr="00B916EC">
        <w:rPr>
          <w:rFonts w:hint="eastAsia"/>
          <w:lang w:eastAsia="zh-CN"/>
        </w:rPr>
        <w:t xml:space="preserve">scheduling </w:t>
      </w:r>
      <w:r>
        <w:rPr>
          <w:lang w:eastAsia="zh-CN"/>
        </w:rPr>
        <w:t xml:space="preserve">CBG-based </w:t>
      </w:r>
      <w:r w:rsidRPr="00B916EC">
        <w:rPr>
          <w:rFonts w:hint="eastAsia"/>
          <w:lang w:eastAsia="zh-CN"/>
        </w:rPr>
        <w:t xml:space="preserve">PDSCH </w:t>
      </w:r>
      <w:r w:rsidRPr="00B916EC">
        <w:rPr>
          <w:lang w:eastAsia="zh-CN"/>
        </w:rPr>
        <w:t>recept</w:t>
      </w:r>
      <w:r w:rsidRPr="00B916EC">
        <w:rPr>
          <w:rFonts w:hint="eastAsia"/>
          <w:lang w:eastAsia="zh-CN"/>
        </w:rPr>
        <w:t xml:space="preserve">ion for </w:t>
      </w:r>
      <w:r>
        <w:rPr>
          <w:lang w:eastAsia="zh-CN"/>
        </w:rPr>
        <w:t xml:space="preserve">any </w:t>
      </w:r>
      <w:r w:rsidRPr="00B916EC">
        <w:rPr>
          <w:lang w:eastAsia="zh-CN"/>
        </w:rPr>
        <w:t xml:space="preserve">serving </w:t>
      </w:r>
      <w:r w:rsidRPr="00B916EC">
        <w:rPr>
          <w:rFonts w:hint="eastAsia"/>
          <w:lang w:eastAsia="zh-CN"/>
        </w:rPr>
        <w:t xml:space="preserve">cell </w:t>
      </w:r>
      <m:oMath>
        <m:r>
          <w:rPr>
            <w:rFonts w:ascii="Cambria Math" w:hAnsi="Cambria Math"/>
          </w:rPr>
          <m:t>c</m:t>
        </m:r>
      </m:oMath>
      <w:r w:rsidRPr="00B916EC">
        <w:rPr>
          <w:rFonts w:hint="eastAsia"/>
          <w:lang w:eastAsia="zh-CN"/>
        </w:rPr>
        <w:t xml:space="preserve"> </w:t>
      </w:r>
      <w:r>
        <w:rPr>
          <w:lang w:eastAsia="zh-CN"/>
        </w:rPr>
        <w:t>that the UE detects with</w:t>
      </w:r>
      <w:r w:rsidRPr="00B916EC">
        <w:rPr>
          <w:rFonts w:hint="eastAsia"/>
          <w:lang w:eastAsia="zh-CN"/>
        </w:rPr>
        <w:t xml:space="preserve">in </w:t>
      </w:r>
      <w:r>
        <w:rPr>
          <w:lang w:eastAsia="zh-CN"/>
        </w:rPr>
        <w:t xml:space="preserve">the </w:t>
      </w:r>
      <m:oMath>
        <m:r>
          <w:rPr>
            <w:rFonts w:ascii="Cambria Math" w:hAnsi="Cambria Math"/>
          </w:rPr>
          <m:t>M</m:t>
        </m:r>
      </m:oMath>
      <w:r>
        <w:t xml:space="preserve"> </w:t>
      </w:r>
      <w:r w:rsidRPr="00B916EC">
        <w:rPr>
          <w:lang w:eastAsia="zh-CN"/>
        </w:rPr>
        <w:t>PDCCH monitoring occasio</w:t>
      </w:r>
      <w:r>
        <w:rPr>
          <w:lang w:eastAsia="zh-CN"/>
        </w:rPr>
        <w:t>ns</w:t>
      </w:r>
    </w:p>
    <w:p w14:paraId="35C399FD" w14:textId="6BADDF1C" w:rsidR="00BC0A28" w:rsidRDefault="00BC0A28" w:rsidP="00BC0A28">
      <w:pPr>
        <w:pStyle w:val="B2"/>
      </w:pPr>
      <w:r>
        <w:rPr>
          <w:rFonts w:cs="Arial"/>
          <w:lang w:eastAsia="zh-CN"/>
        </w:rPr>
        <w:t>-</w:t>
      </w:r>
      <w:r>
        <w:rPr>
          <w:rFonts w:cs="Arial"/>
          <w:lang w:eastAsia="zh-CN"/>
        </w:rPr>
        <w:tab/>
      </w:r>
      <m:oMath>
        <m:sSubSup>
          <m:sSubSupPr>
            <m:ctrlPr>
              <w:rPr>
                <w:rFonts w:ascii="Cambria Math" w:hAnsi="Cambria Math"/>
                <w:i/>
              </w:rPr>
            </m:ctrlPr>
          </m:sSubSupPr>
          <m:e>
            <m:r>
              <w:rPr>
                <w:rFonts w:ascii="Cambria Math"/>
              </w:rPr>
              <m:t>V</m:t>
            </m:r>
          </m:e>
          <m:sub>
            <m:r>
              <m:rPr>
                <m:sty m:val="p"/>
              </m:rPr>
              <w:rPr>
                <w:rFonts w:ascii="Cambria Math"/>
              </w:rPr>
              <m:t>DAI,</m:t>
            </m:r>
            <m:sSub>
              <m:sSubPr>
                <m:ctrlPr>
                  <w:rPr>
                    <w:rFonts w:ascii="Cambria Math" w:hAnsi="Cambria Math"/>
                    <w:lang w:eastAsia="zh-CN"/>
                  </w:rPr>
                </m:ctrlPr>
              </m:sSubPr>
              <m:e>
                <m:r>
                  <w:rPr>
                    <w:rFonts w:ascii="Cambria Math" w:hAnsi="Cambria Math"/>
                    <w:lang w:eastAsia="zh-CN"/>
                  </w:rPr>
                  <m:t>m</m:t>
                </m:r>
              </m:e>
              <m:sub>
                <m:r>
                  <m:rPr>
                    <m:sty m:val="p"/>
                  </m:rPr>
                  <w:rPr>
                    <w:rFonts w:ascii="Cambria Math" w:hAnsi="Cambria Math"/>
                    <w:lang w:eastAsia="zh-CN"/>
                  </w:rPr>
                  <m:t>last</m:t>
                </m:r>
              </m:sub>
            </m:sSub>
            <m:ctrlPr>
              <w:rPr>
                <w:rFonts w:ascii="Cambria Math" w:hAnsi="Cambria Math"/>
              </w:rPr>
            </m:ctrlPr>
          </m:sub>
          <m:sup>
            <m:r>
              <m:rPr>
                <m:nor/>
              </m:rPr>
              <w:rPr>
                <w:rFonts w:ascii="Cambria Math"/>
                <w:lang w:val="en-US"/>
              </w:rPr>
              <m:t>DL</m:t>
            </m:r>
            <m:ctrlPr>
              <w:rPr>
                <w:rFonts w:ascii="Cambria Math" w:hAnsi="Cambria Math"/>
              </w:rPr>
            </m:ctrlPr>
          </m:sup>
        </m:sSubSup>
        <m:r>
          <w:rPr>
            <w:rFonts w:ascii="Cambria Math" w:hAnsi="Cambria Math"/>
          </w:rPr>
          <m:t>=0</m:t>
        </m:r>
      </m:oMath>
      <w:r>
        <w:t xml:space="preserve">, </w:t>
      </w:r>
      <w:r>
        <w:rPr>
          <w:rFonts w:cs="Arial"/>
          <w:lang w:val="en-US" w:eastAsia="zh-CN"/>
        </w:rPr>
        <w:t xml:space="preserve">if the UE does not detect any </w:t>
      </w:r>
      <w:r w:rsidRPr="00B916EC">
        <w:rPr>
          <w:lang w:val="en-US" w:eastAsia="zh-CN"/>
        </w:rPr>
        <w:t>DCI format</w:t>
      </w:r>
      <w:r w:rsidRPr="00B916EC">
        <w:rPr>
          <w:rFonts w:cs="Arial"/>
          <w:lang w:eastAsia="zh-CN"/>
        </w:rPr>
        <w:t xml:space="preserve"> </w:t>
      </w:r>
      <w:r w:rsidRPr="00B916EC">
        <w:rPr>
          <w:rFonts w:hint="eastAsia"/>
          <w:lang w:val="en-US" w:eastAsia="zh-CN"/>
        </w:rPr>
        <w:t xml:space="preserve">scheduling </w:t>
      </w:r>
      <w:r>
        <w:rPr>
          <w:lang w:val="en-US" w:eastAsia="zh-CN"/>
        </w:rPr>
        <w:t xml:space="preserve">CBG-based </w:t>
      </w:r>
      <w:r w:rsidRPr="00B916EC">
        <w:rPr>
          <w:rFonts w:hint="eastAsia"/>
          <w:lang w:val="en-US" w:eastAsia="zh-CN"/>
        </w:rPr>
        <w:t xml:space="preserve">PDSCH </w:t>
      </w:r>
      <w:r w:rsidRPr="00B916EC">
        <w:rPr>
          <w:lang w:val="en-US" w:eastAsia="zh-CN"/>
        </w:rPr>
        <w:t>recept</w:t>
      </w:r>
      <w:r w:rsidRPr="00B916EC">
        <w:rPr>
          <w:rFonts w:hint="eastAsia"/>
          <w:lang w:val="en-US" w:eastAsia="zh-CN"/>
        </w:rPr>
        <w:t xml:space="preserve">ion for </w:t>
      </w:r>
      <w:r>
        <w:rPr>
          <w:lang w:val="en-US" w:eastAsia="zh-CN"/>
        </w:rPr>
        <w:t xml:space="preserve">any </w:t>
      </w:r>
      <w:r w:rsidRPr="00B916EC">
        <w:rPr>
          <w:lang w:val="en-US" w:eastAsia="zh-CN"/>
        </w:rPr>
        <w:t xml:space="preserve">serving </w:t>
      </w:r>
      <w:r w:rsidRPr="00B916EC">
        <w:rPr>
          <w:rFonts w:hint="eastAsia"/>
          <w:lang w:val="en-US" w:eastAsia="zh-CN"/>
        </w:rPr>
        <w:t xml:space="preserve">cell </w:t>
      </w:r>
      <m:oMath>
        <m:r>
          <w:rPr>
            <w:rFonts w:ascii="Cambria Math" w:hAnsi="Cambria Math"/>
          </w:rPr>
          <m:t>c</m:t>
        </m:r>
      </m:oMath>
      <w:r w:rsidRPr="00B916EC">
        <w:rPr>
          <w:rFonts w:hint="eastAsia"/>
          <w:lang w:val="en-US" w:eastAsia="zh-CN"/>
        </w:rPr>
        <w:t xml:space="preserve"> in </w:t>
      </w:r>
      <w:r>
        <w:rPr>
          <w:lang w:val="en-US" w:eastAsia="zh-CN"/>
        </w:rPr>
        <w:t xml:space="preserve">any of the </w:t>
      </w:r>
      <m:oMath>
        <m:r>
          <w:rPr>
            <w:rFonts w:ascii="Cambria Math" w:hAnsi="Cambria Math"/>
          </w:rPr>
          <m:t>M</m:t>
        </m:r>
      </m:oMath>
      <w:r>
        <w:rPr>
          <w:lang w:val="en-US"/>
        </w:rPr>
        <w:t xml:space="preserve"> </w:t>
      </w:r>
      <w:r w:rsidRPr="00B916EC">
        <w:rPr>
          <w:lang w:eastAsia="zh-CN"/>
        </w:rPr>
        <w:t>PDCCH monitoring occasion</w:t>
      </w:r>
      <w:r>
        <w:rPr>
          <w:lang w:val="en-US"/>
        </w:rPr>
        <w:t xml:space="preserve">s </w:t>
      </w:r>
    </w:p>
    <w:p w14:paraId="2BF759F3" w14:textId="77777777" w:rsidR="00BC0A28" w:rsidRDefault="00BC0A28" w:rsidP="00BC0A28">
      <w:pPr>
        <w:pStyle w:val="B2"/>
      </w:pPr>
      <w:r>
        <w:t>-</w:t>
      </w:r>
      <w:r>
        <w:tab/>
      </w:r>
      <m:oMath>
        <m:sSubSup>
          <m:sSubSupPr>
            <m:ctrlPr>
              <w:rPr>
                <w:rFonts w:ascii="Cambria Math" w:hAnsi="Cambria Math"/>
                <w:i/>
              </w:rPr>
            </m:ctrlPr>
          </m:sSubSupPr>
          <m:e>
            <m:r>
              <w:rPr>
                <w:rFonts w:ascii="Cambria Math"/>
              </w:rPr>
              <m:t>U</m:t>
            </m:r>
          </m:e>
          <m:sub>
            <m:r>
              <m:rPr>
                <m:sty m:val="p"/>
              </m:rPr>
              <w:rPr>
                <w:rFonts w:ascii="Cambria Math"/>
              </w:rPr>
              <m:t>DAI,</m:t>
            </m:r>
            <m:r>
              <w:rPr>
                <w:rFonts w:ascii="Cambria Math"/>
              </w:rPr>
              <m:t>c</m:t>
            </m:r>
            <m:ctrlPr>
              <w:rPr>
                <w:rFonts w:ascii="Cambria Math" w:hAnsi="Cambria Math"/>
              </w:rPr>
            </m:ctrlPr>
          </m:sub>
          <m:sup>
            <m:r>
              <m:rPr>
                <m:nor/>
              </m:rPr>
              <w:rPr>
                <w:rFonts w:ascii="Cambria Math"/>
                <w:lang w:val="en-US"/>
              </w:rPr>
              <m:t>CBG</m:t>
            </m:r>
            <m:ctrlPr>
              <w:rPr>
                <w:rFonts w:ascii="Cambria Math" w:hAnsi="Cambria Math"/>
              </w:rPr>
            </m:ctrlPr>
          </m:sup>
        </m:sSubSup>
      </m:oMath>
      <w:r>
        <w:t xml:space="preserve"> </w:t>
      </w:r>
      <w:r>
        <w:rPr>
          <w:lang w:val="en-US"/>
        </w:rPr>
        <w:t xml:space="preserve">is </w:t>
      </w:r>
      <w:r>
        <w:t>the</w:t>
      </w:r>
      <w:r w:rsidRPr="00E9040D">
        <w:t xml:space="preserve"> total number of </w:t>
      </w:r>
      <w:r w:rsidRPr="00B916EC">
        <w:rPr>
          <w:lang w:val="en-US" w:eastAsia="zh-CN"/>
        </w:rPr>
        <w:t>DCI format</w:t>
      </w:r>
      <w:r>
        <w:rPr>
          <w:lang w:val="en-US" w:eastAsia="zh-CN"/>
        </w:rPr>
        <w:t>s</w:t>
      </w:r>
      <w:r w:rsidRPr="00B916EC">
        <w:rPr>
          <w:rFonts w:cs="Arial"/>
          <w:lang w:eastAsia="zh-CN"/>
        </w:rPr>
        <w:t xml:space="preserve"> </w:t>
      </w:r>
      <w:r w:rsidRPr="00B916EC">
        <w:rPr>
          <w:rFonts w:hint="eastAsia"/>
          <w:lang w:val="en-US" w:eastAsia="zh-CN"/>
        </w:rPr>
        <w:t xml:space="preserve">scheduling </w:t>
      </w:r>
      <w:r>
        <w:rPr>
          <w:lang w:val="en-US" w:eastAsia="zh-CN"/>
        </w:rPr>
        <w:t xml:space="preserve">CBG-based </w:t>
      </w:r>
      <w:r w:rsidRPr="00B916EC">
        <w:rPr>
          <w:rFonts w:hint="eastAsia"/>
          <w:lang w:val="en-US" w:eastAsia="zh-CN"/>
        </w:rPr>
        <w:t xml:space="preserve">PDSCH </w:t>
      </w:r>
      <w:r w:rsidRPr="00B916EC">
        <w:rPr>
          <w:lang w:val="en-US" w:eastAsia="zh-CN"/>
        </w:rPr>
        <w:t>recept</w:t>
      </w:r>
      <w:r w:rsidRPr="00B916EC">
        <w:rPr>
          <w:rFonts w:hint="eastAsia"/>
          <w:lang w:val="en-US" w:eastAsia="zh-CN"/>
        </w:rPr>
        <w:t>ion</w:t>
      </w:r>
      <w:r>
        <w:rPr>
          <w:lang w:val="en-US" w:eastAsia="zh-CN"/>
        </w:rPr>
        <w:t>s</w:t>
      </w:r>
      <w:r w:rsidRPr="00B916EC">
        <w:rPr>
          <w:rFonts w:hint="eastAsia"/>
          <w:lang w:val="en-US" w:eastAsia="zh-CN"/>
        </w:rPr>
        <w:t xml:space="preserve"> </w:t>
      </w:r>
      <w:r>
        <w:rPr>
          <w:lang w:val="en-US"/>
        </w:rPr>
        <w:t xml:space="preserve">that the UE detects </w:t>
      </w:r>
      <w:r w:rsidRPr="00E9040D">
        <w:t xml:space="preserve">within the </w:t>
      </w:r>
      <m:oMath>
        <m:r>
          <w:rPr>
            <w:rFonts w:ascii="Cambria Math" w:hAnsi="Cambria Math"/>
          </w:rPr>
          <m:t>M</m:t>
        </m:r>
      </m:oMath>
      <w:r>
        <w:rPr>
          <w:rFonts w:hint="eastAsia"/>
          <w:lang w:eastAsia="zh-CN"/>
        </w:rPr>
        <w:t xml:space="preserve"> </w:t>
      </w:r>
      <w:r w:rsidRPr="00B916EC">
        <w:rPr>
          <w:lang w:eastAsia="zh-CN"/>
        </w:rPr>
        <w:t>PDCCH monitoring occasion</w:t>
      </w:r>
      <w:r>
        <w:rPr>
          <w:lang w:eastAsia="zh-CN"/>
        </w:rPr>
        <w:t>s</w:t>
      </w:r>
      <w:r>
        <w:t xml:space="preserve"> for</w:t>
      </w:r>
      <w:r w:rsidRPr="00E9040D">
        <w:rPr>
          <w:rFonts w:hint="eastAsia"/>
          <w:sz w:val="19"/>
          <w:szCs w:val="19"/>
          <w:lang w:eastAsia="zh-CN"/>
        </w:rPr>
        <w:t xml:space="preserve"> </w:t>
      </w:r>
      <w:r w:rsidRPr="00E9040D">
        <w:rPr>
          <w:rFonts w:hint="eastAsia"/>
          <w:lang w:eastAsia="zh-CN"/>
        </w:rPr>
        <w:t>serving cell</w:t>
      </w:r>
      <w:r w:rsidRPr="00E9040D">
        <w:rPr>
          <w:rFonts w:hint="eastAsia"/>
          <w:sz w:val="19"/>
          <w:szCs w:val="19"/>
          <w:lang w:eastAsia="zh-CN"/>
        </w:rPr>
        <w:t xml:space="preserve"> </w:t>
      </w:r>
      <m:oMath>
        <m:r>
          <w:rPr>
            <w:rFonts w:ascii="Cambria Math" w:hAnsi="Cambria Math"/>
          </w:rPr>
          <m:t>c</m:t>
        </m:r>
      </m:oMath>
      <w:r w:rsidRPr="00B916EC">
        <w:t xml:space="preserve">. </w:t>
      </w:r>
      <m:oMath>
        <m:sSubSup>
          <m:sSubSupPr>
            <m:ctrlPr>
              <w:rPr>
                <w:rFonts w:ascii="Cambria Math" w:hAnsi="Cambria Math"/>
                <w:i/>
              </w:rPr>
            </m:ctrlPr>
          </m:sSubSupPr>
          <m:e>
            <m:r>
              <w:rPr>
                <w:rFonts w:ascii="Cambria Math"/>
              </w:rPr>
              <m:t>U</m:t>
            </m:r>
          </m:e>
          <m:sub>
            <m:r>
              <m:rPr>
                <m:sty m:val="p"/>
              </m:rPr>
              <w:rPr>
                <w:rFonts w:ascii="Cambria Math"/>
              </w:rPr>
              <m:t>DAI,</m:t>
            </m:r>
            <m:r>
              <w:rPr>
                <w:rFonts w:ascii="Cambria Math"/>
              </w:rPr>
              <m:t>c</m:t>
            </m:r>
            <m:ctrlPr>
              <w:rPr>
                <w:rFonts w:ascii="Cambria Math" w:hAnsi="Cambria Math"/>
              </w:rPr>
            </m:ctrlPr>
          </m:sub>
          <m:sup>
            <m:r>
              <m:rPr>
                <m:nor/>
              </m:rPr>
              <w:rPr>
                <w:rFonts w:ascii="Cambria Math"/>
                <w:lang w:val="en-US"/>
              </w:rPr>
              <m:t>CBG</m:t>
            </m:r>
            <m:ctrlPr>
              <w:rPr>
                <w:rFonts w:ascii="Cambria Math" w:hAnsi="Cambria Math"/>
              </w:rPr>
            </m:ctrlPr>
          </m:sup>
        </m:sSubSup>
        <m:r>
          <w:rPr>
            <w:rFonts w:ascii="Cambria Math" w:hAnsi="Cambria Math"/>
          </w:rPr>
          <m:t>=0</m:t>
        </m:r>
      </m:oMath>
      <w:r>
        <w:rPr>
          <w:lang w:val="en-US"/>
        </w:rPr>
        <w:t xml:space="preserve"> if the UE does not detect </w:t>
      </w:r>
      <w:r>
        <w:rPr>
          <w:rFonts w:cs="Arial"/>
          <w:lang w:val="en-US" w:eastAsia="zh-CN"/>
        </w:rPr>
        <w:t xml:space="preserve">any </w:t>
      </w:r>
      <w:r w:rsidRPr="00B916EC">
        <w:rPr>
          <w:lang w:val="en-US" w:eastAsia="zh-CN"/>
        </w:rPr>
        <w:t>DCI format</w:t>
      </w:r>
      <w:r w:rsidRPr="00B916EC">
        <w:rPr>
          <w:rFonts w:cs="Arial"/>
          <w:lang w:eastAsia="zh-CN"/>
        </w:rPr>
        <w:t xml:space="preserve"> </w:t>
      </w:r>
      <w:r w:rsidRPr="00B916EC">
        <w:rPr>
          <w:rFonts w:hint="eastAsia"/>
          <w:lang w:val="en-US" w:eastAsia="zh-CN"/>
        </w:rPr>
        <w:t xml:space="preserve">scheduling </w:t>
      </w:r>
      <w:r>
        <w:rPr>
          <w:lang w:val="en-US" w:eastAsia="zh-CN"/>
        </w:rPr>
        <w:t xml:space="preserve">CBG-based </w:t>
      </w:r>
      <w:r w:rsidRPr="00B916EC">
        <w:rPr>
          <w:rFonts w:hint="eastAsia"/>
          <w:lang w:val="en-US" w:eastAsia="zh-CN"/>
        </w:rPr>
        <w:t xml:space="preserve">PDSCH </w:t>
      </w:r>
      <w:r w:rsidRPr="00B916EC">
        <w:rPr>
          <w:lang w:val="en-US" w:eastAsia="zh-CN"/>
        </w:rPr>
        <w:t>recept</w:t>
      </w:r>
      <w:r w:rsidRPr="00B916EC">
        <w:rPr>
          <w:rFonts w:hint="eastAsia"/>
          <w:lang w:val="en-US" w:eastAsia="zh-CN"/>
        </w:rPr>
        <w:t xml:space="preserve">ion for </w:t>
      </w:r>
      <w:r w:rsidRPr="00B916EC">
        <w:rPr>
          <w:lang w:val="en-US" w:eastAsia="zh-CN"/>
        </w:rPr>
        <w:t xml:space="preserve">serving </w:t>
      </w:r>
      <w:r w:rsidRPr="00B916EC">
        <w:rPr>
          <w:rFonts w:hint="eastAsia"/>
          <w:lang w:val="en-US" w:eastAsia="zh-CN"/>
        </w:rPr>
        <w:t xml:space="preserve">cell </w:t>
      </w:r>
      <m:oMath>
        <m:r>
          <w:rPr>
            <w:rFonts w:ascii="Cambria Math" w:hAnsi="Cambria Math"/>
          </w:rPr>
          <m:t>c</m:t>
        </m:r>
      </m:oMath>
      <w:r w:rsidRPr="00B916EC">
        <w:rPr>
          <w:rFonts w:hint="eastAsia"/>
          <w:lang w:val="en-US" w:eastAsia="zh-CN"/>
        </w:rPr>
        <w:t xml:space="preserve"> in </w:t>
      </w:r>
      <w:r>
        <w:rPr>
          <w:lang w:val="en-US" w:eastAsia="zh-CN"/>
        </w:rPr>
        <w:t xml:space="preserve">any of the </w:t>
      </w:r>
      <m:oMath>
        <m:r>
          <w:rPr>
            <w:rFonts w:ascii="Cambria Math" w:hAnsi="Cambria Math"/>
          </w:rPr>
          <m:t>M</m:t>
        </m:r>
      </m:oMath>
      <w:r>
        <w:rPr>
          <w:lang w:val="en-US"/>
        </w:rPr>
        <w:t xml:space="preserve"> </w:t>
      </w:r>
      <w:r w:rsidRPr="00B916EC">
        <w:rPr>
          <w:lang w:eastAsia="zh-CN"/>
        </w:rPr>
        <w:t>PDCCH monitoring occasion</w:t>
      </w:r>
      <w:r>
        <w:rPr>
          <w:lang w:val="en-US"/>
        </w:rPr>
        <w:t>s</w:t>
      </w:r>
    </w:p>
    <w:p w14:paraId="1DF85A87" w14:textId="6A6FB420" w:rsidR="001D732D" w:rsidRDefault="00BC0A28" w:rsidP="00BD3DB2">
      <w:pPr>
        <w:pStyle w:val="B2"/>
      </w:pPr>
      <w:r>
        <w:rPr>
          <w:rFonts w:cs="Arial"/>
          <w:lang w:eastAsia="zh-CN"/>
        </w:rPr>
        <w:t>-</w:t>
      </w:r>
      <w:r>
        <w:rPr>
          <w:rFonts w:cs="Arial"/>
          <w:lang w:eastAsia="zh-CN"/>
        </w:rPr>
        <w:tab/>
      </w:r>
      <m:oMath>
        <m:sSubSup>
          <m:sSubSupPr>
            <m:ctrlPr>
              <w:rPr>
                <w:rFonts w:ascii="Cambria Math" w:hAnsi="Cambria Math"/>
                <w:i/>
                <w:lang w:eastAsia="zh-CN"/>
              </w:rPr>
            </m:ctrlPr>
          </m:sSubSupPr>
          <m:e>
            <m:r>
              <w:rPr>
                <w:rFonts w:ascii="Cambria Math" w:hAnsi="Cambria Math"/>
                <w:lang w:eastAsia="zh-CN"/>
              </w:rPr>
              <m:t>N</m:t>
            </m:r>
          </m:e>
          <m:sub>
            <m:r>
              <w:rPr>
                <w:rFonts w:ascii="Cambria Math" w:hAnsi="Cambria Math"/>
                <w:lang w:eastAsia="zh-CN"/>
              </w:rPr>
              <m:t>m,c</m:t>
            </m:r>
          </m:sub>
          <m:sup>
            <m:r>
              <m:rPr>
                <m:nor/>
              </m:rPr>
              <w:rPr>
                <w:lang w:eastAsia="zh-CN"/>
              </w:rPr>
              <m:t>received,CBG</m:t>
            </m:r>
            <m:ctrlPr>
              <w:rPr>
                <w:rFonts w:ascii="Cambria Math" w:hAnsi="Cambria Math"/>
                <w:lang w:eastAsia="zh-CN"/>
              </w:rPr>
            </m:ctrlPr>
          </m:sup>
        </m:sSubSup>
      </m:oMath>
      <w:r>
        <w:rPr>
          <w:rFonts w:cs="Arial"/>
          <w:lang w:eastAsia="zh-CN"/>
        </w:rPr>
        <w:t xml:space="preserve"> is </w:t>
      </w:r>
      <w:r w:rsidRPr="00E9040D">
        <w:rPr>
          <w:rFonts w:hint="eastAsia"/>
          <w:lang w:eastAsia="zh-CN"/>
        </w:rPr>
        <w:t xml:space="preserve">the number of </w:t>
      </w:r>
      <w:r>
        <w:t>CBG</w:t>
      </w:r>
      <w:r w:rsidRPr="00E9040D">
        <w:t xml:space="preserve">s </w:t>
      </w:r>
      <w:r>
        <w:t>the UE receives</w:t>
      </w:r>
      <w:r w:rsidRPr="00E9040D">
        <w:t xml:space="preserve"> </w:t>
      </w:r>
      <w:r>
        <w:t xml:space="preserve">in a PDSCH scheduled by a </w:t>
      </w:r>
      <w:r w:rsidRPr="00B916EC">
        <w:rPr>
          <w:rFonts w:cs="Arial" w:hint="eastAsia"/>
          <w:lang w:eastAsia="zh-CN"/>
        </w:rPr>
        <w:t xml:space="preserve">DCI format </w:t>
      </w:r>
      <w:r w:rsidRPr="00EE027F">
        <w:rPr>
          <w:lang w:eastAsia="zh-CN"/>
        </w:rPr>
        <w:t>that supports CBG-based PDSCH reception</w:t>
      </w:r>
      <w:r>
        <w:rPr>
          <w:lang w:eastAsia="zh-CN"/>
        </w:rPr>
        <w:t xml:space="preserve"> </w:t>
      </w:r>
      <w:r>
        <w:rPr>
          <w:rFonts w:cs="Arial"/>
          <w:lang w:eastAsia="zh-CN"/>
        </w:rPr>
        <w:t xml:space="preserve">that the UE detects </w:t>
      </w:r>
      <w:r w:rsidRPr="00B916EC">
        <w:rPr>
          <w:rFonts w:hint="eastAsia"/>
          <w:lang w:eastAsia="zh-CN"/>
        </w:rPr>
        <w:t xml:space="preserve">in </w:t>
      </w:r>
      <w:r w:rsidRPr="00B916EC">
        <w:rPr>
          <w:lang w:eastAsia="zh-CN"/>
        </w:rPr>
        <w:t>PDCCH monitoring occasion</w:t>
      </w:r>
      <w:r w:rsidRPr="00B916EC">
        <w:rPr>
          <w:rFonts w:hint="eastAsia"/>
          <w:lang w:eastAsia="zh-CN"/>
        </w:rPr>
        <w:t xml:space="preserve"> </w:t>
      </w:r>
      <m:oMath>
        <m:r>
          <w:rPr>
            <w:rFonts w:ascii="Cambria Math" w:hAnsi="Cambria Math"/>
          </w:rPr>
          <m:t>m</m:t>
        </m:r>
      </m:oMath>
      <w:r>
        <w:t xml:space="preserve"> </w:t>
      </w:r>
      <w:r w:rsidRPr="00B916EC">
        <w:rPr>
          <w:rFonts w:hint="eastAsia"/>
          <w:lang w:eastAsia="zh-CN"/>
        </w:rPr>
        <w:t xml:space="preserve">for </w:t>
      </w:r>
      <w:r w:rsidRPr="00B916EC">
        <w:rPr>
          <w:lang w:eastAsia="zh-CN"/>
        </w:rPr>
        <w:t xml:space="preserve">serving </w:t>
      </w:r>
      <w:r w:rsidRPr="00B916EC">
        <w:rPr>
          <w:rFonts w:hint="eastAsia"/>
          <w:lang w:eastAsia="zh-CN"/>
        </w:rPr>
        <w:t xml:space="preserve">cell </w:t>
      </w:r>
      <m:oMath>
        <m:r>
          <w:rPr>
            <w:rFonts w:ascii="Cambria Math" w:hAnsi="Cambria Math"/>
          </w:rPr>
          <m:t>c</m:t>
        </m:r>
      </m:oMath>
      <w:r>
        <w:t xml:space="preserve"> </w:t>
      </w:r>
      <w:r>
        <w:rPr>
          <w:lang w:eastAsia="zh-CN"/>
        </w:rPr>
        <w:t>and the UE reports corresponding HARQ-ACK information in the PUCCH</w:t>
      </w:r>
      <w:r w:rsidDel="00BC0A28">
        <w:t xml:space="preserve"> </w:t>
      </w:r>
    </w:p>
    <w:p w14:paraId="26846639" w14:textId="3129FF30" w:rsidR="00295AC2" w:rsidRPr="00B7372F" w:rsidRDefault="00F80622" w:rsidP="00295AC2">
      <w:pPr>
        <w:rPr>
          <w:lang w:val="en-US"/>
        </w:rPr>
      </w:pPr>
      <w:r w:rsidRPr="00B27E56">
        <w:t xml:space="preserve">If a UE is provided </w:t>
      </w:r>
      <w:r w:rsidR="00195450" w:rsidRPr="00B27E56">
        <w:rPr>
          <w:i/>
          <w:iCs/>
        </w:rPr>
        <w:t>n</w:t>
      </w:r>
      <w:r w:rsidR="00195450">
        <w:rPr>
          <w:i/>
          <w:iCs/>
        </w:rPr>
        <w:t>ro</w:t>
      </w:r>
      <w:r w:rsidR="00195450" w:rsidRPr="00B27E56">
        <w:rPr>
          <w:i/>
          <w:iCs/>
        </w:rPr>
        <w:t>fHARQ</w:t>
      </w:r>
      <w:r w:rsidRPr="00B27E56">
        <w:rPr>
          <w:i/>
          <w:iCs/>
        </w:rPr>
        <w:t>-BundlingGroups</w:t>
      </w:r>
      <w:r w:rsidRPr="00B27E56">
        <w:t xml:space="preserve"> </w:t>
      </w:r>
      <w:r w:rsidR="00295AC2">
        <w:t xml:space="preserve">and is not provided </w:t>
      </w:r>
      <w:r w:rsidR="00295AC2" w:rsidRPr="00435CFD">
        <w:rPr>
          <w:i/>
        </w:rPr>
        <w:t>harq-ACK-SpatialBundlingPUCCH</w:t>
      </w:r>
      <w:r w:rsidR="00295AC2" w:rsidRPr="00B916EC">
        <w:rPr>
          <w:rFonts w:hint="eastAsia"/>
          <w:lang w:eastAsia="zh-CN"/>
        </w:rPr>
        <w:t xml:space="preserve"> </w:t>
      </w:r>
      <w:r w:rsidRPr="00B27E56">
        <w:t>for a serving cell</w:t>
      </w:r>
      <w:r>
        <w:t xml:space="preserve"> </w:t>
      </w:r>
      <m:oMath>
        <m:r>
          <w:rPr>
            <w:rFonts w:ascii="Cambria Math" w:hAnsi="Cambria Math"/>
            <w:lang w:val="en-US"/>
          </w:rPr>
          <m:t>c</m:t>
        </m:r>
      </m:oMath>
      <w:r w:rsidRPr="00B27E56">
        <w:t xml:space="preserve">, the UE generates HARQ-ACK information over transport block groups (TBGs) for PDSCH receptions where, </w:t>
      </w:r>
      <w:r w:rsidRPr="00B27E56">
        <w:lastRenderedPageBreak/>
        <w:t xml:space="preserve">for a maximum number of </w:t>
      </w:r>
      <m:oMath>
        <m:sSubSup>
          <m:sSubSupPr>
            <m:ctrlPr>
              <w:rPr>
                <w:rFonts w:ascii="Cambria Math" w:hAnsi="Cambria Math"/>
                <w:i/>
              </w:rPr>
            </m:ctrlPr>
          </m:sSubSupPr>
          <m:e>
            <m:r>
              <w:rPr>
                <w:rFonts w:ascii="Cambria Math"/>
              </w:rPr>
              <m:t>N</m:t>
            </m:r>
          </m:e>
          <m:sub>
            <m:r>
              <m:rPr>
                <m:sty m:val="p"/>
              </m:rPr>
              <w:rPr>
                <w:rFonts w:ascii="Cambria Math"/>
              </w:rPr>
              <m:t>PDSCH</m:t>
            </m:r>
            <m:ctrlPr>
              <w:rPr>
                <w:rFonts w:ascii="Cambria Math" w:hAnsi="Cambria Math"/>
              </w:rPr>
            </m:ctrlPr>
          </m:sub>
          <m:sup>
            <m:r>
              <m:rPr>
                <m:nor/>
              </m:rPr>
              <w:rPr>
                <w:rFonts w:ascii="Cambria Math"/>
                <w:lang w:val="en-US"/>
              </w:rPr>
              <m:t>max</m:t>
            </m:r>
            <m:ctrlPr>
              <w:rPr>
                <w:rFonts w:ascii="Cambria Math" w:hAnsi="Cambria Math"/>
              </w:rPr>
            </m:ctrlPr>
          </m:sup>
        </m:sSubSup>
      </m:oMath>
      <w:r w:rsidRPr="00B27E56">
        <w:t xml:space="preserve"> PDSCH receptions scheduled by a DCI format on the serving cell, a maximum number of TBGs </w:t>
      </w:r>
      <m:oMath>
        <m:sSubSup>
          <m:sSubSupPr>
            <m:ctrlPr>
              <w:rPr>
                <w:rFonts w:ascii="Cambria Math" w:hAnsi="Cambria Math"/>
                <w:i/>
              </w:rPr>
            </m:ctrlPr>
          </m:sSubSupPr>
          <m:e>
            <m:r>
              <w:rPr>
                <w:rFonts w:ascii="Cambria Math"/>
              </w:rPr>
              <m:t>N</m:t>
            </m:r>
          </m:e>
          <m:sub>
            <m:r>
              <m:rPr>
                <m:sty m:val="p"/>
              </m:rPr>
              <w:rPr>
                <w:rFonts w:ascii="Cambria Math"/>
              </w:rPr>
              <m:t>HARQ</m:t>
            </m:r>
            <m:r>
              <m:rPr>
                <m:sty m:val="p"/>
              </m:rPr>
              <w:rPr>
                <w:rFonts w:ascii="Cambria Math"/>
              </w:rPr>
              <m:t>-</m:t>
            </m:r>
            <m:r>
              <m:rPr>
                <m:sty m:val="p"/>
              </m:rPr>
              <w:rPr>
                <w:rFonts w:ascii="Cambria Math"/>
              </w:rPr>
              <m:t>ACK,</m:t>
            </m:r>
            <m:r>
              <w:rPr>
                <w:rFonts w:ascii="Cambria Math"/>
              </w:rPr>
              <m:t>c</m:t>
            </m:r>
            <m:ctrlPr>
              <w:rPr>
                <w:rFonts w:ascii="Cambria Math" w:hAnsi="Cambria Math"/>
              </w:rPr>
            </m:ctrlPr>
          </m:sub>
          <m:sup>
            <m:r>
              <m:rPr>
                <m:sty m:val="p"/>
              </m:rPr>
              <w:rPr>
                <w:rFonts w:ascii="Cambria Math"/>
                <w:lang w:val="en-US"/>
              </w:rPr>
              <m:t>TBG,max</m:t>
            </m:r>
            <m:ctrlPr>
              <w:rPr>
                <w:rFonts w:ascii="Cambria Math" w:hAnsi="Cambria Math"/>
              </w:rPr>
            </m:ctrlPr>
          </m:sup>
        </m:sSubSup>
      </m:oMath>
      <w:r w:rsidRPr="00B27E56">
        <w:t xml:space="preserve"> is provided</w:t>
      </w:r>
      <w:r>
        <w:t xml:space="preserve"> by</w:t>
      </w:r>
      <w:r w:rsidRPr="00B27E56">
        <w:t xml:space="preserve"> </w:t>
      </w:r>
      <w:r w:rsidR="00195450" w:rsidRPr="00B27E56">
        <w:rPr>
          <w:i/>
          <w:iCs/>
        </w:rPr>
        <w:t>n</w:t>
      </w:r>
      <w:r w:rsidR="00195450">
        <w:rPr>
          <w:i/>
          <w:iCs/>
        </w:rPr>
        <w:t>ro</w:t>
      </w:r>
      <w:r w:rsidR="00195450" w:rsidRPr="00B27E56">
        <w:rPr>
          <w:i/>
          <w:iCs/>
        </w:rPr>
        <w:t>fHARQ</w:t>
      </w:r>
      <w:r w:rsidRPr="00B27E56">
        <w:rPr>
          <w:i/>
          <w:iCs/>
        </w:rPr>
        <w:t>-BundlingGroups</w:t>
      </w:r>
      <w:r w:rsidRPr="00B27E56">
        <w:t xml:space="preserve">. If the UE detects a DCI format scheduling </w:t>
      </w:r>
      <m:oMath>
        <m:sSub>
          <m:sSubPr>
            <m:ctrlPr>
              <w:rPr>
                <w:rFonts w:ascii="Cambria Math" w:hAnsi="Cambria Math"/>
                <w:i/>
                <w:lang w:val="en-US"/>
              </w:rPr>
            </m:ctrlPr>
          </m:sSubPr>
          <m:e>
            <m:r>
              <w:rPr>
                <w:rFonts w:ascii="Cambria Math" w:hAnsi="Cambria Math"/>
                <w:lang w:val="en-US"/>
              </w:rPr>
              <m:t>N</m:t>
            </m:r>
          </m:e>
          <m:sub>
            <m:r>
              <m:rPr>
                <m:sty m:val="p"/>
              </m:rPr>
              <w:rPr>
                <w:rFonts w:ascii="Cambria Math"/>
              </w:rPr>
              <m:t>PDSCH,</m:t>
            </m:r>
            <m:r>
              <w:rPr>
                <w:rFonts w:ascii="Cambria Math"/>
              </w:rPr>
              <m:t>c</m:t>
            </m:r>
          </m:sub>
        </m:sSub>
      </m:oMath>
      <w:r w:rsidRPr="00B27E56">
        <w:t xml:space="preserve"> PDSCH receptions on the serving cell</w:t>
      </w:r>
      <w:r>
        <w:t xml:space="preserve"> </w:t>
      </w:r>
      <m:oMath>
        <m:r>
          <w:rPr>
            <w:rFonts w:ascii="Cambria Math" w:hAnsi="Cambria Math"/>
            <w:lang w:val="en-US"/>
          </w:rPr>
          <m:t>c</m:t>
        </m:r>
      </m:oMath>
      <w:r w:rsidRPr="00B27E56">
        <w:t xml:space="preserve">, the UE generates </w:t>
      </w:r>
      <m:oMath>
        <m:sSubSup>
          <m:sSubSupPr>
            <m:ctrlPr>
              <w:rPr>
                <w:rFonts w:ascii="Cambria Math" w:hAnsi="Cambria Math"/>
                <w:i/>
              </w:rPr>
            </m:ctrlPr>
          </m:sSubSupPr>
          <m:e>
            <m:r>
              <w:rPr>
                <w:rFonts w:ascii="Cambria Math"/>
              </w:rPr>
              <m:t>N</m:t>
            </m:r>
          </m:e>
          <m:sub>
            <m:r>
              <m:rPr>
                <m:sty m:val="p"/>
              </m:rPr>
              <w:rPr>
                <w:rFonts w:ascii="Cambria Math"/>
              </w:rPr>
              <m:t>HARQ</m:t>
            </m:r>
            <m:r>
              <m:rPr>
                <m:sty m:val="p"/>
              </m:rPr>
              <w:rPr>
                <w:rFonts w:ascii="Cambria Math"/>
              </w:rPr>
              <m:t>-</m:t>
            </m:r>
            <m:r>
              <m:rPr>
                <m:sty m:val="p"/>
              </m:rPr>
              <w:rPr>
                <w:rFonts w:ascii="Cambria Math"/>
              </w:rPr>
              <m:t>ACK,</m:t>
            </m:r>
            <m:r>
              <w:rPr>
                <w:rFonts w:ascii="Cambria Math"/>
              </w:rPr>
              <m:t>c</m:t>
            </m:r>
            <m:ctrlPr>
              <w:rPr>
                <w:rFonts w:ascii="Cambria Math" w:hAnsi="Cambria Math"/>
              </w:rPr>
            </m:ctrlPr>
          </m:sub>
          <m:sup>
            <m:r>
              <m:rPr>
                <m:sty m:val="p"/>
              </m:rPr>
              <w:rPr>
                <w:rFonts w:ascii="Cambria Math"/>
                <w:lang w:val="en-US"/>
              </w:rPr>
              <m:t>TBG,max</m:t>
            </m:r>
            <m:ctrlPr>
              <w:rPr>
                <w:rFonts w:ascii="Cambria Math" w:hAnsi="Cambria Math"/>
              </w:rPr>
            </m:ctrlPr>
          </m:sup>
        </m:sSubSup>
      </m:oMath>
      <w:r w:rsidRPr="00B27E56">
        <w:t xml:space="preserve"> HARQ-ACK information bits for </w:t>
      </w:r>
      <w:r w:rsidR="00F5299F">
        <w:t xml:space="preserve">the </w:t>
      </w:r>
      <w:r w:rsidRPr="00B27E56">
        <w:t>first TBs and, if applicable</w:t>
      </w:r>
      <w:r w:rsidRPr="00B27E56">
        <w:rPr>
          <w:lang w:val="en-US"/>
        </w:rPr>
        <w:t xml:space="preserve">, </w:t>
      </w:r>
      <w:r w:rsidRPr="00B27E56">
        <w:t xml:space="preserve">generates </w:t>
      </w:r>
      <m:oMath>
        <m:sSubSup>
          <m:sSubSupPr>
            <m:ctrlPr>
              <w:rPr>
                <w:rFonts w:ascii="Cambria Math" w:hAnsi="Cambria Math"/>
                <w:i/>
              </w:rPr>
            </m:ctrlPr>
          </m:sSubSupPr>
          <m:e>
            <m:r>
              <w:rPr>
                <w:rFonts w:ascii="Cambria Math"/>
              </w:rPr>
              <m:t>N</m:t>
            </m:r>
          </m:e>
          <m:sub>
            <m:r>
              <m:rPr>
                <m:sty m:val="p"/>
              </m:rPr>
              <w:rPr>
                <w:rFonts w:ascii="Cambria Math"/>
              </w:rPr>
              <m:t>HARQ</m:t>
            </m:r>
            <m:r>
              <m:rPr>
                <m:sty m:val="p"/>
              </m:rPr>
              <w:rPr>
                <w:rFonts w:ascii="Cambria Math"/>
              </w:rPr>
              <m:t>-</m:t>
            </m:r>
            <m:r>
              <m:rPr>
                <m:sty m:val="p"/>
              </m:rPr>
              <w:rPr>
                <w:rFonts w:ascii="Cambria Math"/>
              </w:rPr>
              <m:t>ACK,</m:t>
            </m:r>
            <m:r>
              <w:rPr>
                <w:rFonts w:ascii="Cambria Math"/>
              </w:rPr>
              <m:t>c</m:t>
            </m:r>
            <m:ctrlPr>
              <w:rPr>
                <w:rFonts w:ascii="Cambria Math" w:hAnsi="Cambria Math"/>
              </w:rPr>
            </m:ctrlPr>
          </m:sub>
          <m:sup>
            <m:r>
              <m:rPr>
                <m:sty m:val="p"/>
              </m:rPr>
              <w:rPr>
                <w:rFonts w:ascii="Cambria Math"/>
                <w:lang w:val="en-US"/>
              </w:rPr>
              <m:t>TBG,max</m:t>
            </m:r>
            <m:ctrlPr>
              <w:rPr>
                <w:rFonts w:ascii="Cambria Math" w:hAnsi="Cambria Math"/>
              </w:rPr>
            </m:ctrlPr>
          </m:sup>
        </m:sSubSup>
      </m:oMath>
      <w:r w:rsidRPr="00B27E56">
        <w:t xml:space="preserve"> HARQ-ACK information bits for </w:t>
      </w:r>
      <w:r w:rsidR="00F5299F">
        <w:t xml:space="preserve">the </w:t>
      </w:r>
      <w:r w:rsidRPr="00B27E56">
        <w:t xml:space="preserve">second TBs as described in clause 9.1.1 by setting </w:t>
      </w:r>
      <m:oMath>
        <m:sSubSup>
          <m:sSubSupPr>
            <m:ctrlPr>
              <w:rPr>
                <w:rFonts w:ascii="Cambria Math" w:hAnsi="Cambria Math"/>
                <w:i/>
              </w:rPr>
            </m:ctrlPr>
          </m:sSubSupPr>
          <m:e>
            <m:r>
              <w:rPr>
                <w:rFonts w:ascii="Cambria Math"/>
              </w:rPr>
              <m:t>N</m:t>
            </m:r>
          </m:e>
          <m:sub>
            <m:r>
              <m:rPr>
                <m:sty m:val="p"/>
              </m:rPr>
              <w:rPr>
                <w:rFonts w:ascii="Cambria Math"/>
              </w:rPr>
              <m:t>HARQ</m:t>
            </m:r>
            <m:r>
              <m:rPr>
                <m:sty m:val="p"/>
              </m:rPr>
              <w:rPr>
                <w:rFonts w:ascii="Cambria Math"/>
              </w:rPr>
              <m:t>-</m:t>
            </m:r>
            <m:r>
              <m:rPr>
                <m:sty m:val="p"/>
              </m:rPr>
              <w:rPr>
                <w:rFonts w:ascii="Cambria Math"/>
              </w:rPr>
              <m:t>ACK</m:t>
            </m:r>
            <m:ctrlPr>
              <w:rPr>
                <w:rFonts w:ascii="Cambria Math" w:hAnsi="Cambria Math"/>
              </w:rPr>
            </m:ctrlPr>
          </m:sub>
          <m:sup>
            <m:r>
              <m:rPr>
                <m:sty m:val="p"/>
              </m:rPr>
              <w:rPr>
                <w:rFonts w:ascii="Cambria Math"/>
                <w:lang w:val="en-US"/>
              </w:rPr>
              <m:t>CBG/TB,max</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sty m:val="p"/>
              </m:rPr>
              <w:rPr>
                <w:rFonts w:ascii="Cambria Math"/>
              </w:rPr>
              <m:t>HARQ</m:t>
            </m:r>
            <m:r>
              <m:rPr>
                <m:sty m:val="p"/>
              </m:rPr>
              <w:rPr>
                <w:rFonts w:ascii="Cambria Math"/>
              </w:rPr>
              <m:t>-</m:t>
            </m:r>
            <m:r>
              <m:rPr>
                <m:sty m:val="p"/>
              </m:rPr>
              <w:rPr>
                <w:rFonts w:ascii="Cambria Math"/>
              </w:rPr>
              <m:t>ACK,</m:t>
            </m:r>
            <m:r>
              <w:rPr>
                <w:rFonts w:ascii="Cambria Math"/>
              </w:rPr>
              <m:t>c</m:t>
            </m:r>
            <m:ctrlPr>
              <w:rPr>
                <w:rFonts w:ascii="Cambria Math" w:hAnsi="Cambria Math"/>
              </w:rPr>
            </m:ctrlPr>
          </m:sub>
          <m:sup>
            <m:r>
              <m:rPr>
                <m:sty m:val="p"/>
              </m:rPr>
              <w:rPr>
                <w:rFonts w:ascii="Cambria Math"/>
                <w:lang w:val="en-US"/>
              </w:rPr>
              <m:t>TBG,max</m:t>
            </m:r>
            <m:ctrlPr>
              <w:rPr>
                <w:rFonts w:ascii="Cambria Math" w:hAnsi="Cambria Math"/>
              </w:rPr>
            </m:ctrlPr>
          </m:sup>
        </m:sSubSup>
      </m:oMath>
      <w:r w:rsidRPr="00B27E56">
        <w:t xml:space="preserve"> and </w:t>
      </w:r>
      <m:oMath>
        <m:r>
          <w:rPr>
            <w:rFonts w:ascii="Cambria Math" w:hAnsi="Cambria Math"/>
          </w:rPr>
          <m:t>C=</m:t>
        </m:r>
        <m:sSub>
          <m:sSubPr>
            <m:ctrlPr>
              <w:rPr>
                <w:rFonts w:ascii="Cambria Math" w:hAnsi="Cambria Math"/>
                <w:i/>
                <w:lang w:val="en-US"/>
              </w:rPr>
            </m:ctrlPr>
          </m:sSubPr>
          <m:e>
            <m:r>
              <w:rPr>
                <w:rFonts w:ascii="Cambria Math" w:hAnsi="Cambria Math"/>
                <w:lang w:val="en-US"/>
              </w:rPr>
              <m:t>N</m:t>
            </m:r>
          </m:e>
          <m:sub>
            <m:r>
              <m:rPr>
                <m:sty m:val="p"/>
              </m:rPr>
              <w:rPr>
                <w:rFonts w:ascii="Cambria Math"/>
              </w:rPr>
              <m:t>PDSCH,</m:t>
            </m:r>
            <m:r>
              <w:rPr>
                <w:rFonts w:ascii="Cambria Math"/>
              </w:rPr>
              <m:t>c</m:t>
            </m:r>
          </m:sub>
        </m:sSub>
      </m:oMath>
      <w:r w:rsidRPr="00B27E56">
        <w:rPr>
          <w:lang w:val="en-US"/>
        </w:rPr>
        <w:t>.</w:t>
      </w:r>
      <w:r w:rsidR="00295AC2">
        <w:rPr>
          <w:lang w:val="en-US"/>
        </w:rPr>
        <w:t xml:space="preserve"> </w:t>
      </w:r>
      <w:r w:rsidR="00295AC2" w:rsidRPr="00B7372F">
        <w:t xml:space="preserve">For a TBG </w:t>
      </w:r>
      <w:r w:rsidR="00295AC2">
        <w:t xml:space="preserve">associated </w:t>
      </w:r>
      <w:r w:rsidR="00295AC2" w:rsidRPr="00B7372F">
        <w:t xml:space="preserve">with at least </w:t>
      </w:r>
      <w:r w:rsidR="00295AC2">
        <w:t xml:space="preserve">one </w:t>
      </w:r>
      <w:r w:rsidR="00295AC2" w:rsidRPr="00B7372F">
        <w:t xml:space="preserve">PDSCH </w:t>
      </w:r>
      <w:r w:rsidR="00295AC2">
        <w:t xml:space="preserve">that does </w:t>
      </w:r>
      <w:r w:rsidR="00295AC2" w:rsidRPr="00B7372F">
        <w:t xml:space="preserve">not overlap with an UL symbol indicated by </w:t>
      </w:r>
      <w:r w:rsidR="00295AC2" w:rsidRPr="00B7372F">
        <w:rPr>
          <w:i/>
          <w:iCs/>
        </w:rPr>
        <w:t>tdd-UL-DL-ConfigurationCommon</w:t>
      </w:r>
      <w:r w:rsidR="00295AC2">
        <w:t>,</w:t>
      </w:r>
      <w:r w:rsidR="00295AC2" w:rsidRPr="00B7372F">
        <w:rPr>
          <w:i/>
          <w:iCs/>
        </w:rPr>
        <w:t xml:space="preserve"> </w:t>
      </w:r>
      <w:r w:rsidR="00295AC2" w:rsidRPr="00B7372F">
        <w:t>or</w:t>
      </w:r>
      <w:r w:rsidR="00295AC2">
        <w:t xml:space="preserve"> by</w:t>
      </w:r>
      <w:r w:rsidR="00295AC2" w:rsidRPr="00B7372F">
        <w:t xml:space="preserve"> </w:t>
      </w:r>
      <w:r w:rsidR="00295AC2" w:rsidRPr="00B7372F">
        <w:rPr>
          <w:i/>
          <w:iCs/>
        </w:rPr>
        <w:t xml:space="preserve">tdd-UL-DL-ConfigurationDedicated </w:t>
      </w:r>
      <w:r w:rsidR="00295AC2" w:rsidRPr="00B7372F">
        <w:t xml:space="preserve">if provided, the UE assumes that </w:t>
      </w:r>
      <w:r w:rsidR="00295AC2">
        <w:t xml:space="preserve">TB(s) provided by a </w:t>
      </w:r>
      <w:r w:rsidR="00295AC2" w:rsidRPr="00B7372F">
        <w:t xml:space="preserve">PDSCH </w:t>
      </w:r>
      <w:r w:rsidR="00295AC2">
        <w:t xml:space="preserve">that overlaps </w:t>
      </w:r>
      <w:r w:rsidR="00295AC2" w:rsidRPr="00B7372F">
        <w:t xml:space="preserve">with an UL symbol indicated by </w:t>
      </w:r>
      <w:r w:rsidR="00295AC2" w:rsidRPr="00B7372F">
        <w:rPr>
          <w:i/>
          <w:iCs/>
        </w:rPr>
        <w:t>tdd-UL-DL-ConfigurationCommon</w:t>
      </w:r>
      <w:r w:rsidR="00295AC2">
        <w:t>,</w:t>
      </w:r>
      <w:r w:rsidR="00295AC2" w:rsidRPr="00B7372F">
        <w:rPr>
          <w:i/>
          <w:iCs/>
        </w:rPr>
        <w:t xml:space="preserve"> </w:t>
      </w:r>
      <w:r w:rsidR="00295AC2" w:rsidRPr="00B7372F">
        <w:t>or</w:t>
      </w:r>
      <w:r w:rsidR="00295AC2">
        <w:t xml:space="preserve"> by</w:t>
      </w:r>
      <w:r w:rsidR="00295AC2" w:rsidRPr="00B7372F">
        <w:t xml:space="preserve"> </w:t>
      </w:r>
      <w:r w:rsidR="00295AC2" w:rsidRPr="00B7372F">
        <w:rPr>
          <w:i/>
          <w:iCs/>
        </w:rPr>
        <w:t>tdd-UL-DL-ConfigurationDedicated</w:t>
      </w:r>
      <w:r w:rsidR="00295AC2">
        <w:t xml:space="preserve"> if provided, are correctly received</w:t>
      </w:r>
      <w:r w:rsidR="00295AC2" w:rsidRPr="00B7372F">
        <w:t xml:space="preserve">. For a TBG </w:t>
      </w:r>
      <w:r w:rsidR="00295AC2">
        <w:t>associated</w:t>
      </w:r>
      <w:r w:rsidR="00295AC2" w:rsidRPr="00B7372F">
        <w:t xml:space="preserve"> only </w:t>
      </w:r>
      <w:r w:rsidR="00295AC2">
        <w:t xml:space="preserve">with </w:t>
      </w:r>
      <w:r w:rsidR="00295AC2" w:rsidRPr="00B7372F">
        <w:t xml:space="preserve">PDSCHs </w:t>
      </w:r>
      <w:r w:rsidR="00295AC2">
        <w:t xml:space="preserve">that </w:t>
      </w:r>
      <w:r w:rsidR="00295AC2" w:rsidRPr="00B7372F">
        <w:t xml:space="preserve">overlap with UL symbols indicated by </w:t>
      </w:r>
      <w:r w:rsidR="00295AC2" w:rsidRPr="00B7372F">
        <w:rPr>
          <w:i/>
          <w:iCs/>
        </w:rPr>
        <w:t>tdd-UL-DL-ConfigurationCommon</w:t>
      </w:r>
      <w:r w:rsidR="00295AC2">
        <w:t>,</w:t>
      </w:r>
      <w:r w:rsidR="00295AC2" w:rsidRPr="00B7372F">
        <w:rPr>
          <w:i/>
          <w:iCs/>
        </w:rPr>
        <w:t xml:space="preserve"> </w:t>
      </w:r>
      <w:r w:rsidR="00295AC2" w:rsidRPr="00B7372F">
        <w:t>or</w:t>
      </w:r>
      <w:r w:rsidR="00295AC2">
        <w:t xml:space="preserve"> by</w:t>
      </w:r>
      <w:r w:rsidR="00295AC2" w:rsidRPr="00B7372F">
        <w:t xml:space="preserve"> </w:t>
      </w:r>
      <w:r w:rsidR="00295AC2" w:rsidRPr="00B7372F">
        <w:rPr>
          <w:i/>
          <w:iCs/>
        </w:rPr>
        <w:t>tdd-UL-DL-ConfigurationDedicated</w:t>
      </w:r>
      <w:r w:rsidR="00295AC2" w:rsidRPr="00B7372F">
        <w:t xml:space="preserve"> if provided, </w:t>
      </w:r>
      <w:r w:rsidR="00295AC2">
        <w:t xml:space="preserve">the UE generates a </w:t>
      </w:r>
      <w:r w:rsidR="00295AC2" w:rsidRPr="00B7372F">
        <w:t xml:space="preserve">NACK </w:t>
      </w:r>
      <w:r w:rsidR="00295AC2">
        <w:t>value</w:t>
      </w:r>
      <w:r w:rsidR="00295AC2" w:rsidRPr="00B7372F">
        <w:t xml:space="preserve"> for the TBG.</w:t>
      </w:r>
    </w:p>
    <w:p w14:paraId="4B89DA4D" w14:textId="45B0FD50" w:rsidR="00261C5A" w:rsidRDefault="00295AC2" w:rsidP="00F80622">
      <w:pPr>
        <w:rPr>
          <w:lang w:val="en-US" w:eastAsia="zh-CN"/>
        </w:rPr>
      </w:pPr>
      <w:r w:rsidRPr="00B27E56">
        <w:t xml:space="preserve">If a UE is provided </w:t>
      </w:r>
      <w:r w:rsidR="00195450" w:rsidRPr="00B27E56">
        <w:rPr>
          <w:i/>
          <w:iCs/>
        </w:rPr>
        <w:t>n</w:t>
      </w:r>
      <w:r w:rsidR="00195450">
        <w:rPr>
          <w:i/>
          <w:iCs/>
        </w:rPr>
        <w:t>ro</w:t>
      </w:r>
      <w:r w:rsidR="00195450" w:rsidRPr="00B27E56">
        <w:rPr>
          <w:i/>
          <w:iCs/>
        </w:rPr>
        <w:t>fHARQ</w:t>
      </w:r>
      <w:r w:rsidRPr="00B27E56">
        <w:rPr>
          <w:i/>
          <w:iCs/>
        </w:rPr>
        <w:t>-BundlingGroups</w:t>
      </w:r>
      <w:r w:rsidRPr="00B27E56">
        <w:t xml:space="preserve"> </w:t>
      </w:r>
      <w:r>
        <w:t xml:space="preserve">and </w:t>
      </w:r>
      <w:r w:rsidRPr="00435CFD">
        <w:rPr>
          <w:i/>
        </w:rPr>
        <w:t>harq-ACK-SpatialBundlingPUCCH</w:t>
      </w:r>
      <w:r w:rsidRPr="00B916EC">
        <w:rPr>
          <w:rFonts w:hint="eastAsia"/>
          <w:lang w:eastAsia="zh-CN"/>
        </w:rPr>
        <w:t xml:space="preserve"> </w:t>
      </w:r>
      <w:r w:rsidRPr="00B27E56">
        <w:t>for a serving cell</w:t>
      </w:r>
      <w:r>
        <w:t xml:space="preserve"> </w:t>
      </w:r>
      <m:oMath>
        <m:r>
          <w:rPr>
            <w:rFonts w:ascii="Cambria Math" w:hAnsi="Cambria Math"/>
            <w:lang w:val="en-US"/>
          </w:rPr>
          <m:t>c</m:t>
        </m:r>
      </m:oMath>
      <w:r w:rsidRPr="00B27E56">
        <w:t xml:space="preserve">, the UE generates HARQ-ACK information </w:t>
      </w:r>
      <w:r>
        <w:t>over</w:t>
      </w:r>
      <w:r w:rsidRPr="00B27E56">
        <w:t xml:space="preserve"> PDSCH reception </w:t>
      </w:r>
      <w:r>
        <w:t>groups for PDSCH receptions scheduled by a DCI format on the serving cell</w:t>
      </w:r>
      <w:r w:rsidRPr="00B27E56">
        <w:t xml:space="preserve"> </w:t>
      </w:r>
      <m:oMath>
        <m:r>
          <w:rPr>
            <w:rFonts w:ascii="Cambria Math" w:hAnsi="Cambria Math"/>
            <w:lang w:val="en-US"/>
          </w:rPr>
          <m:t>c</m:t>
        </m:r>
      </m:oMath>
      <w:r w:rsidRPr="00B27E56">
        <w:t xml:space="preserve"> where</w:t>
      </w:r>
      <w:r>
        <w:t xml:space="preserve"> </w:t>
      </w:r>
      <w:r w:rsidRPr="00B27E56">
        <w:t xml:space="preserve">a maximum number </w:t>
      </w:r>
      <w:r>
        <w:t>of</w:t>
      </w:r>
      <w:r w:rsidRPr="00B27E56">
        <w:t xml:space="preserve"> </w:t>
      </w:r>
      <w:r>
        <w:t xml:space="preserve">PDSCH reception groups, </w:t>
      </w:r>
      <m:oMath>
        <m:sSubSup>
          <m:sSubSupPr>
            <m:ctrlPr>
              <w:rPr>
                <w:rFonts w:ascii="Cambria Math" w:hAnsi="Cambria Math"/>
                <w:i/>
              </w:rPr>
            </m:ctrlPr>
          </m:sSubSupPr>
          <m:e>
            <m:r>
              <w:rPr>
                <w:rFonts w:ascii="Cambria Math"/>
              </w:rPr>
              <m:t>N</m:t>
            </m:r>
          </m:e>
          <m:sub>
            <m:r>
              <m:rPr>
                <m:sty m:val="p"/>
              </m:rPr>
              <w:rPr>
                <w:rFonts w:ascii="Cambria Math"/>
              </w:rPr>
              <m:t>HARQ</m:t>
            </m:r>
            <m:r>
              <m:rPr>
                <m:sty m:val="p"/>
              </m:rPr>
              <w:rPr>
                <w:rFonts w:ascii="Cambria Math"/>
              </w:rPr>
              <m:t>-</m:t>
            </m:r>
            <m:r>
              <m:rPr>
                <m:sty m:val="p"/>
              </m:rPr>
              <w:rPr>
                <w:rFonts w:ascii="Cambria Math"/>
              </w:rPr>
              <m:t>ACK,</m:t>
            </m:r>
            <m:r>
              <w:rPr>
                <w:rFonts w:ascii="Cambria Math"/>
              </w:rPr>
              <m:t>c</m:t>
            </m:r>
            <m:ctrlPr>
              <w:rPr>
                <w:rFonts w:ascii="Cambria Math" w:hAnsi="Cambria Math"/>
              </w:rPr>
            </m:ctrlPr>
          </m:sub>
          <m:sup>
            <m:r>
              <m:rPr>
                <m:sty m:val="p"/>
              </m:rPr>
              <w:rPr>
                <w:rFonts w:ascii="Cambria Math"/>
                <w:lang w:val="en-US"/>
              </w:rPr>
              <m:t>TBG,max</m:t>
            </m:r>
            <m:ctrlPr>
              <w:rPr>
                <w:rFonts w:ascii="Cambria Math" w:hAnsi="Cambria Math"/>
              </w:rPr>
            </m:ctrlPr>
          </m:sup>
        </m:sSubSup>
      </m:oMath>
      <w:r>
        <w:t xml:space="preserve">, </w:t>
      </w:r>
      <w:r w:rsidRPr="00B27E56">
        <w:t>is provided</w:t>
      </w:r>
      <w:r>
        <w:t xml:space="preserve"> by</w:t>
      </w:r>
      <w:r w:rsidRPr="00B27E56">
        <w:t xml:space="preserve"> </w:t>
      </w:r>
      <w:r w:rsidR="00195450" w:rsidRPr="00B27E56">
        <w:rPr>
          <w:i/>
          <w:iCs/>
        </w:rPr>
        <w:t>n</w:t>
      </w:r>
      <w:r w:rsidR="00195450">
        <w:rPr>
          <w:i/>
          <w:iCs/>
        </w:rPr>
        <w:t>ro</w:t>
      </w:r>
      <w:r w:rsidR="00195450" w:rsidRPr="00B27E56">
        <w:rPr>
          <w:i/>
          <w:iCs/>
        </w:rPr>
        <w:t>fHARQ</w:t>
      </w:r>
      <w:r w:rsidRPr="00B27E56">
        <w:rPr>
          <w:i/>
          <w:iCs/>
        </w:rPr>
        <w:t>-BundlingGroups</w:t>
      </w:r>
      <w:r w:rsidRPr="00B27E56">
        <w:t xml:space="preserve">. If the UE detects a DCI format scheduling </w:t>
      </w:r>
      <m:oMath>
        <m:sSub>
          <m:sSubPr>
            <m:ctrlPr>
              <w:rPr>
                <w:rFonts w:ascii="Cambria Math" w:hAnsi="Cambria Math"/>
                <w:i/>
                <w:lang w:val="en-US"/>
              </w:rPr>
            </m:ctrlPr>
          </m:sSubPr>
          <m:e>
            <m:r>
              <w:rPr>
                <w:rFonts w:ascii="Cambria Math" w:hAnsi="Cambria Math"/>
                <w:lang w:val="en-US"/>
              </w:rPr>
              <m:t>N</m:t>
            </m:r>
          </m:e>
          <m:sub>
            <m:r>
              <m:rPr>
                <m:sty m:val="p"/>
              </m:rPr>
              <w:rPr>
                <w:rFonts w:ascii="Cambria Math"/>
              </w:rPr>
              <m:t>PDSCH,</m:t>
            </m:r>
            <m:r>
              <w:rPr>
                <w:rFonts w:ascii="Cambria Math"/>
              </w:rPr>
              <m:t>c</m:t>
            </m:r>
          </m:sub>
        </m:sSub>
      </m:oMath>
      <w:r w:rsidRPr="00B27E56">
        <w:t xml:space="preserve"> PDSCH receptions on the serving cell</w:t>
      </w:r>
      <w:r>
        <w:t xml:space="preserve"> </w:t>
      </w:r>
      <m:oMath>
        <m:r>
          <w:rPr>
            <w:rFonts w:ascii="Cambria Math" w:hAnsi="Cambria Math"/>
            <w:lang w:val="en-US"/>
          </w:rPr>
          <m:t>c</m:t>
        </m:r>
      </m:oMath>
      <w:r w:rsidRPr="00B27E56">
        <w:t xml:space="preserve">, the UE generates </w:t>
      </w:r>
      <m:oMath>
        <m:sSubSup>
          <m:sSubSupPr>
            <m:ctrlPr>
              <w:rPr>
                <w:rFonts w:ascii="Cambria Math" w:hAnsi="Cambria Math"/>
                <w:i/>
              </w:rPr>
            </m:ctrlPr>
          </m:sSubSupPr>
          <m:e>
            <m:r>
              <w:rPr>
                <w:rFonts w:ascii="Cambria Math"/>
              </w:rPr>
              <m:t>N</m:t>
            </m:r>
          </m:e>
          <m:sub>
            <m:r>
              <m:rPr>
                <m:sty m:val="p"/>
              </m:rPr>
              <w:rPr>
                <w:rFonts w:ascii="Cambria Math"/>
              </w:rPr>
              <m:t>HARQ</m:t>
            </m:r>
            <m:r>
              <m:rPr>
                <m:sty m:val="p"/>
              </m:rPr>
              <w:rPr>
                <w:rFonts w:ascii="Cambria Math"/>
              </w:rPr>
              <m:t>-</m:t>
            </m:r>
            <m:r>
              <m:rPr>
                <m:sty m:val="p"/>
              </m:rPr>
              <w:rPr>
                <w:rFonts w:ascii="Cambria Math"/>
              </w:rPr>
              <m:t>ACK,</m:t>
            </m:r>
            <m:r>
              <w:rPr>
                <w:rFonts w:ascii="Cambria Math"/>
              </w:rPr>
              <m:t>c</m:t>
            </m:r>
            <m:ctrlPr>
              <w:rPr>
                <w:rFonts w:ascii="Cambria Math" w:hAnsi="Cambria Math"/>
              </w:rPr>
            </m:ctrlPr>
          </m:sub>
          <m:sup>
            <m:r>
              <m:rPr>
                <m:sty m:val="p"/>
              </m:rPr>
              <w:rPr>
                <w:rFonts w:ascii="Cambria Math"/>
                <w:lang w:val="en-US"/>
              </w:rPr>
              <m:t>TBG,max</m:t>
            </m:r>
            <m:ctrlPr>
              <w:rPr>
                <w:rFonts w:ascii="Cambria Math" w:hAnsi="Cambria Math"/>
              </w:rPr>
            </m:ctrlPr>
          </m:sup>
        </m:sSubSup>
      </m:oMath>
      <w:r w:rsidRPr="00B27E56">
        <w:t xml:space="preserve"> HARQ-ACK information bits for the </w:t>
      </w:r>
      <m:oMath>
        <m:sSub>
          <m:sSubPr>
            <m:ctrlPr>
              <w:rPr>
                <w:rFonts w:ascii="Cambria Math" w:hAnsi="Cambria Math"/>
                <w:i/>
                <w:lang w:val="en-US"/>
              </w:rPr>
            </m:ctrlPr>
          </m:sSubPr>
          <m:e>
            <m:r>
              <w:rPr>
                <w:rFonts w:ascii="Cambria Math" w:hAnsi="Cambria Math"/>
                <w:lang w:val="en-US"/>
              </w:rPr>
              <m:t>N</m:t>
            </m:r>
          </m:e>
          <m:sub>
            <m:r>
              <m:rPr>
                <m:sty m:val="p"/>
              </m:rPr>
              <w:rPr>
                <w:rFonts w:ascii="Cambria Math"/>
              </w:rPr>
              <m:t>PDSCH,</m:t>
            </m:r>
            <m:r>
              <w:rPr>
                <w:rFonts w:ascii="Cambria Math"/>
              </w:rPr>
              <m:t>c</m:t>
            </m:r>
          </m:sub>
        </m:sSub>
      </m:oMath>
      <w:r w:rsidRPr="00B27E56">
        <w:t xml:space="preserve"> PDSCH receptions as </w:t>
      </w:r>
      <w:r w:rsidRPr="00B044C0">
        <w:t xml:space="preserve">described in clause 9.1.1 by setting </w:t>
      </w:r>
      <m:oMath>
        <m:sSubSup>
          <m:sSubSupPr>
            <m:ctrlPr>
              <w:rPr>
                <w:rFonts w:ascii="Cambria Math" w:hAnsi="Cambria Math"/>
                <w:i/>
              </w:rPr>
            </m:ctrlPr>
          </m:sSubSupPr>
          <m:e>
            <m:r>
              <w:rPr>
                <w:rFonts w:ascii="Cambria Math"/>
              </w:rPr>
              <m:t>N</m:t>
            </m:r>
          </m:e>
          <m:sub>
            <m:r>
              <m:rPr>
                <m:sty m:val="p"/>
              </m:rPr>
              <w:rPr>
                <w:rFonts w:ascii="Cambria Math"/>
              </w:rPr>
              <m:t>HARQ</m:t>
            </m:r>
            <m:r>
              <m:rPr>
                <m:sty m:val="p"/>
              </m:rPr>
              <w:rPr>
                <w:rFonts w:ascii="Cambria Math"/>
              </w:rPr>
              <m:t>-</m:t>
            </m:r>
            <m:r>
              <m:rPr>
                <m:sty m:val="p"/>
              </m:rPr>
              <w:rPr>
                <w:rFonts w:ascii="Cambria Math"/>
              </w:rPr>
              <m:t>ACK</m:t>
            </m:r>
            <m:ctrlPr>
              <w:rPr>
                <w:rFonts w:ascii="Cambria Math" w:hAnsi="Cambria Math"/>
              </w:rPr>
            </m:ctrlPr>
          </m:sub>
          <m:sup>
            <m:r>
              <m:rPr>
                <m:sty m:val="p"/>
              </m:rPr>
              <w:rPr>
                <w:rFonts w:ascii="Cambria Math"/>
                <w:lang w:val="en-US"/>
              </w:rPr>
              <m:t>CBG/TB,max</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sty m:val="p"/>
              </m:rPr>
              <w:rPr>
                <w:rFonts w:ascii="Cambria Math"/>
              </w:rPr>
              <m:t>HARQ</m:t>
            </m:r>
            <m:r>
              <m:rPr>
                <m:sty m:val="p"/>
              </m:rPr>
              <w:rPr>
                <w:rFonts w:ascii="Cambria Math"/>
              </w:rPr>
              <m:t>-</m:t>
            </m:r>
            <m:r>
              <m:rPr>
                <m:sty m:val="p"/>
              </m:rPr>
              <w:rPr>
                <w:rFonts w:ascii="Cambria Math"/>
              </w:rPr>
              <m:t>ACK,</m:t>
            </m:r>
            <m:r>
              <w:rPr>
                <w:rFonts w:ascii="Cambria Math"/>
              </w:rPr>
              <m:t>c</m:t>
            </m:r>
            <m:ctrlPr>
              <w:rPr>
                <w:rFonts w:ascii="Cambria Math" w:hAnsi="Cambria Math"/>
              </w:rPr>
            </m:ctrlPr>
          </m:sub>
          <m:sup>
            <m:r>
              <m:rPr>
                <m:sty m:val="p"/>
              </m:rPr>
              <w:rPr>
                <w:rFonts w:ascii="Cambria Math"/>
                <w:lang w:val="en-US"/>
              </w:rPr>
              <m:t>TBG,max</m:t>
            </m:r>
            <m:ctrlPr>
              <w:rPr>
                <w:rFonts w:ascii="Cambria Math" w:hAnsi="Cambria Math"/>
              </w:rPr>
            </m:ctrlPr>
          </m:sup>
        </m:sSubSup>
      </m:oMath>
      <w:r w:rsidRPr="00B044C0">
        <w:t xml:space="preserve"> and </w:t>
      </w:r>
      <m:oMath>
        <m:r>
          <w:rPr>
            <w:rFonts w:ascii="Cambria Math" w:hAnsi="Cambria Math"/>
          </w:rPr>
          <m:t>C=</m:t>
        </m:r>
        <m:sSub>
          <m:sSubPr>
            <m:ctrlPr>
              <w:rPr>
                <w:rFonts w:ascii="Cambria Math" w:hAnsi="Cambria Math"/>
                <w:i/>
                <w:lang w:val="en-US"/>
              </w:rPr>
            </m:ctrlPr>
          </m:sSubPr>
          <m:e>
            <m:r>
              <w:rPr>
                <w:rFonts w:ascii="Cambria Math" w:hAnsi="Cambria Math"/>
                <w:lang w:val="en-US"/>
              </w:rPr>
              <m:t>N</m:t>
            </m:r>
          </m:e>
          <m:sub>
            <m:r>
              <m:rPr>
                <m:sty m:val="p"/>
              </m:rPr>
              <w:rPr>
                <w:rFonts w:ascii="Cambria Math"/>
              </w:rPr>
              <m:t>PDSCH,</m:t>
            </m:r>
            <m:r>
              <w:rPr>
                <w:rFonts w:ascii="Cambria Math"/>
              </w:rPr>
              <m:t>c</m:t>
            </m:r>
          </m:sub>
        </m:sSub>
      </m:oMath>
      <w:r w:rsidR="00261C5A" w:rsidRPr="00B044C0">
        <w:rPr>
          <w:rFonts w:eastAsia="Malgun Gothic"/>
          <w:lang w:val="en-US"/>
        </w:rPr>
        <w:t xml:space="preserve">, </w:t>
      </w:r>
      <w:r w:rsidR="00261C5A" w:rsidRPr="00B044C0">
        <w:rPr>
          <w:rFonts w:eastAsia="Malgun Gothic"/>
          <w:lang w:val="en-US" w:eastAsia="ko-KR"/>
        </w:rPr>
        <w:t>after binary AND operation of the HARQ-ACK information bits corresponding to the first and second transport blocks of each PDSCH reception</w:t>
      </w:r>
      <w:r w:rsidR="00261C5A" w:rsidRPr="00B044C0">
        <w:rPr>
          <w:lang w:val="en-US" w:eastAsia="zh-CN"/>
        </w:rPr>
        <w:t xml:space="preserve">. </w:t>
      </w:r>
      <w:r w:rsidR="00261C5A" w:rsidRPr="00B044C0">
        <w:rPr>
          <w:lang w:val="en-US"/>
        </w:rPr>
        <w:t>For a</w:t>
      </w:r>
      <w:r w:rsidR="00261C5A">
        <w:rPr>
          <w:lang w:val="en-US"/>
        </w:rPr>
        <w:t xml:space="preserve"> PDSCH reception group associated with at least one PDSCH that does not overlap with an</w:t>
      </w:r>
      <w:r w:rsidR="00261C5A" w:rsidRPr="00B7372F">
        <w:t xml:space="preserve"> UL symbol indicated by </w:t>
      </w:r>
      <w:r w:rsidR="00261C5A" w:rsidRPr="00B7372F">
        <w:rPr>
          <w:i/>
          <w:iCs/>
        </w:rPr>
        <w:t>tdd-UL-DL-ConfigurationCommon</w:t>
      </w:r>
      <w:r w:rsidR="00261C5A">
        <w:t>,</w:t>
      </w:r>
      <w:r w:rsidR="00261C5A" w:rsidRPr="00B7372F">
        <w:rPr>
          <w:i/>
          <w:iCs/>
        </w:rPr>
        <w:t xml:space="preserve"> </w:t>
      </w:r>
      <w:r w:rsidR="00261C5A" w:rsidRPr="00B7372F">
        <w:t>or</w:t>
      </w:r>
      <w:r w:rsidR="00261C5A">
        <w:t xml:space="preserve"> by</w:t>
      </w:r>
      <w:r w:rsidR="00261C5A" w:rsidRPr="00B7372F">
        <w:t xml:space="preserve"> </w:t>
      </w:r>
      <w:r w:rsidR="00261C5A" w:rsidRPr="00B7372F">
        <w:rPr>
          <w:i/>
          <w:iCs/>
        </w:rPr>
        <w:t xml:space="preserve">tdd-UL-DL-ConfigurationDedicated </w:t>
      </w:r>
      <w:r w:rsidR="00261C5A" w:rsidRPr="00B7372F">
        <w:t>if provided, the</w:t>
      </w:r>
      <w:r w:rsidR="00261C5A">
        <w:rPr>
          <w:lang w:val="en-US"/>
        </w:rPr>
        <w:t xml:space="preserve"> UE </w:t>
      </w:r>
      <w:r w:rsidR="00261C5A" w:rsidRPr="00B7372F">
        <w:t xml:space="preserve">assumes that </w:t>
      </w:r>
      <w:r w:rsidR="00261C5A">
        <w:t xml:space="preserve">TBs provided by a </w:t>
      </w:r>
      <w:r w:rsidR="00261C5A" w:rsidRPr="00B7372F">
        <w:t xml:space="preserve">PDSCH </w:t>
      </w:r>
      <w:r w:rsidR="00261C5A">
        <w:t xml:space="preserve">that overlaps </w:t>
      </w:r>
      <w:r w:rsidR="00261C5A" w:rsidRPr="00B7372F">
        <w:t xml:space="preserve">with an UL symbol indicated by </w:t>
      </w:r>
      <w:r w:rsidR="00261C5A" w:rsidRPr="00B7372F">
        <w:rPr>
          <w:i/>
          <w:iCs/>
        </w:rPr>
        <w:t>tdd-UL-DL-ConfigurationCommon</w:t>
      </w:r>
      <w:r w:rsidR="00261C5A">
        <w:t>,</w:t>
      </w:r>
      <w:r w:rsidR="00261C5A" w:rsidRPr="00B7372F">
        <w:rPr>
          <w:i/>
          <w:iCs/>
        </w:rPr>
        <w:t xml:space="preserve"> </w:t>
      </w:r>
      <w:r w:rsidR="00261C5A" w:rsidRPr="00B7372F">
        <w:t>or</w:t>
      </w:r>
      <w:r w:rsidR="00261C5A">
        <w:t xml:space="preserve"> by</w:t>
      </w:r>
      <w:r w:rsidR="00261C5A" w:rsidRPr="00B7372F">
        <w:t xml:space="preserve"> </w:t>
      </w:r>
      <w:r w:rsidR="00261C5A" w:rsidRPr="00B7372F">
        <w:rPr>
          <w:i/>
          <w:iCs/>
        </w:rPr>
        <w:t>tdd-UL-DL-ConfigurationDedicated</w:t>
      </w:r>
      <w:r w:rsidR="00261C5A">
        <w:t xml:space="preserve"> if provided, are correctly received</w:t>
      </w:r>
      <w:r w:rsidR="00261C5A" w:rsidRPr="00B7372F">
        <w:t>.</w:t>
      </w:r>
      <w:r w:rsidR="00261C5A">
        <w:t xml:space="preserve"> </w:t>
      </w:r>
      <w:r w:rsidR="00261C5A" w:rsidRPr="00B7372F">
        <w:t xml:space="preserve">For </w:t>
      </w:r>
      <w:r w:rsidR="00261C5A">
        <w:rPr>
          <w:lang w:val="en-US"/>
        </w:rPr>
        <w:t xml:space="preserve">a PDSCH reception group </w:t>
      </w:r>
      <w:r w:rsidR="00261C5A">
        <w:t>associated</w:t>
      </w:r>
      <w:r w:rsidR="00261C5A" w:rsidRPr="00B7372F">
        <w:t xml:space="preserve"> only </w:t>
      </w:r>
      <w:r w:rsidR="00261C5A">
        <w:t xml:space="preserve">with </w:t>
      </w:r>
      <w:r w:rsidR="00261C5A" w:rsidRPr="00B7372F">
        <w:t xml:space="preserve">PDSCHs </w:t>
      </w:r>
      <w:r w:rsidR="00261C5A">
        <w:t xml:space="preserve">that </w:t>
      </w:r>
      <w:r w:rsidR="00261C5A" w:rsidRPr="00B7372F">
        <w:t xml:space="preserve">overlap with UL symbols indicated by </w:t>
      </w:r>
      <w:r w:rsidR="00261C5A" w:rsidRPr="00B7372F">
        <w:rPr>
          <w:i/>
          <w:iCs/>
        </w:rPr>
        <w:t>tdd-UL-DL-ConfigurationCommon</w:t>
      </w:r>
      <w:r w:rsidR="00261C5A">
        <w:t>,</w:t>
      </w:r>
      <w:r w:rsidR="00261C5A" w:rsidRPr="00B7372F">
        <w:rPr>
          <w:i/>
          <w:iCs/>
        </w:rPr>
        <w:t xml:space="preserve"> </w:t>
      </w:r>
      <w:r w:rsidR="00261C5A" w:rsidRPr="00B7372F">
        <w:t>or</w:t>
      </w:r>
      <w:r w:rsidR="00261C5A">
        <w:t xml:space="preserve"> by</w:t>
      </w:r>
      <w:r w:rsidR="00261C5A" w:rsidRPr="00B7372F">
        <w:t xml:space="preserve"> </w:t>
      </w:r>
      <w:r w:rsidR="00261C5A" w:rsidRPr="00B7372F">
        <w:rPr>
          <w:i/>
          <w:iCs/>
        </w:rPr>
        <w:t>tdd-UL-DL-ConfigurationDedicated</w:t>
      </w:r>
      <w:r w:rsidR="00261C5A" w:rsidRPr="00B7372F">
        <w:t xml:space="preserve"> if provided, </w:t>
      </w:r>
      <w:r w:rsidR="00261C5A">
        <w:t xml:space="preserve">the UE generates a </w:t>
      </w:r>
      <w:r w:rsidR="00261C5A" w:rsidRPr="00B7372F">
        <w:t xml:space="preserve">NACK </w:t>
      </w:r>
      <w:r w:rsidR="00261C5A">
        <w:t>value</w:t>
      </w:r>
      <w:r w:rsidR="00261C5A" w:rsidRPr="00B7372F">
        <w:t xml:space="preserve"> for the </w:t>
      </w:r>
      <w:r w:rsidR="00261C5A">
        <w:rPr>
          <w:lang w:val="en-US"/>
        </w:rPr>
        <w:t>PDSCH reception group</w:t>
      </w:r>
      <w:r w:rsidR="00261C5A" w:rsidRPr="00B7372F">
        <w:t>.</w:t>
      </w:r>
    </w:p>
    <w:p w14:paraId="1D0B34CF" w14:textId="77777777" w:rsidR="00DD134C" w:rsidRPr="00DD134C" w:rsidRDefault="00DD134C" w:rsidP="00DD134C">
      <w:pPr>
        <w:rPr>
          <w:rFonts w:eastAsia="DengXian"/>
        </w:rPr>
      </w:pPr>
      <w:r w:rsidRPr="00DD134C">
        <w:rPr>
          <w:rFonts w:eastAsia="PMingLiU" w:hint="eastAsia"/>
        </w:rPr>
        <w:t xml:space="preserve">If a UE is provided </w:t>
      </w:r>
      <w:r w:rsidRPr="00DD134C">
        <w:rPr>
          <w:rFonts w:eastAsia="PMingLiU" w:hint="eastAsia"/>
          <w:i/>
          <w:iCs/>
        </w:rPr>
        <w:t>pdsch-TimeDomainAllocationListForMultiPDSCH</w:t>
      </w:r>
      <w:r w:rsidRPr="00DD134C">
        <w:rPr>
          <w:rFonts w:eastAsia="PMingLiU" w:hint="eastAsia"/>
        </w:rPr>
        <w:t xml:space="preserve"> and neither provided </w:t>
      </w:r>
      <w:r w:rsidRPr="00DD134C">
        <w:rPr>
          <w:rFonts w:eastAsia="PMingLiU" w:hint="eastAsia"/>
          <w:i/>
          <w:iCs/>
        </w:rPr>
        <w:t>nrofHARQ-BundlingGroups</w:t>
      </w:r>
      <w:r w:rsidRPr="00DD134C">
        <w:rPr>
          <w:rFonts w:eastAsia="PMingLiU" w:hint="eastAsia"/>
        </w:rPr>
        <w:t xml:space="preserve"> nor </w:t>
      </w:r>
      <w:r w:rsidRPr="00DD134C">
        <w:rPr>
          <w:rFonts w:eastAsia="PMingLiU" w:hint="eastAsia"/>
          <w:i/>
          <w:iCs/>
        </w:rPr>
        <w:t>harq-ACK-SpatialBundlingPUCCH</w:t>
      </w:r>
      <w:r w:rsidRPr="00DD134C">
        <w:rPr>
          <w:rFonts w:eastAsia="PMingLiU" w:hint="eastAsia"/>
        </w:rPr>
        <w:t xml:space="preserve"> for a serving cell </w:t>
      </w:r>
      <m:oMath>
        <m:r>
          <w:rPr>
            <w:rFonts w:ascii="Cambria Math" w:eastAsia="PMingLiU" w:hAnsi="Cambria Math"/>
          </w:rPr>
          <m:t>c</m:t>
        </m:r>
      </m:oMath>
      <w:r w:rsidRPr="00DD134C">
        <w:rPr>
          <w:rFonts w:eastAsia="PMingLiU" w:hint="eastAsia"/>
        </w:rPr>
        <w:t>,</w:t>
      </w:r>
      <w:r w:rsidRPr="00DD134C">
        <w:rPr>
          <w:rFonts w:eastAsia="DengXian" w:hint="eastAsia"/>
        </w:rPr>
        <w:t xml:space="preserve"> the UE generates HARQ-ACK information over transport blocks for PDSCH receptions. If the UE detects a DCI format scheduling </w:t>
      </w:r>
      <m:oMath>
        <m:sSub>
          <m:sSubPr>
            <m:ctrlPr>
              <w:rPr>
                <w:rFonts w:ascii="Cambria Math" w:eastAsia="DengXian" w:hAnsi="Cambria Math" w:cs="Calibri"/>
                <w:i/>
                <w:iCs/>
                <w:sz w:val="22"/>
                <w:szCs w:val="22"/>
              </w:rPr>
            </m:ctrlPr>
          </m:sSubPr>
          <m:e>
            <m:r>
              <w:rPr>
                <w:rFonts w:ascii="Cambria Math" w:eastAsia="DengXian" w:hAnsi="Cambria Math"/>
              </w:rPr>
              <m:t>N</m:t>
            </m:r>
          </m:e>
          <m:sub>
            <m:r>
              <m:rPr>
                <m:sty m:val="p"/>
              </m:rPr>
              <w:rPr>
                <w:rFonts w:ascii="Cambria Math" w:eastAsia="DengXian" w:hAnsi="Cambria Math"/>
              </w:rPr>
              <m:t>PDSCH,</m:t>
            </m:r>
            <m:r>
              <w:rPr>
                <w:rFonts w:ascii="Cambria Math" w:eastAsia="DengXian" w:hAnsi="Cambria Math"/>
              </w:rPr>
              <m:t>c</m:t>
            </m:r>
          </m:sub>
        </m:sSub>
      </m:oMath>
      <w:r w:rsidRPr="00DD134C">
        <w:rPr>
          <w:rFonts w:eastAsia="DengXian" w:hint="eastAsia"/>
        </w:rPr>
        <w:t xml:space="preserve"> PDSCH receptions on the serving cell </w:t>
      </w:r>
      <m:oMath>
        <m:r>
          <w:rPr>
            <w:rFonts w:ascii="Cambria Math" w:eastAsia="DengXian" w:hAnsi="Cambria Math"/>
          </w:rPr>
          <m:t>c</m:t>
        </m:r>
      </m:oMath>
      <w:r w:rsidRPr="00DD134C">
        <w:rPr>
          <w:rFonts w:eastAsia="DengXian" w:hint="eastAsia"/>
        </w:rPr>
        <w:t xml:space="preserve">, the UE generates </w:t>
      </w:r>
      <m:oMath>
        <m:sSub>
          <m:sSubPr>
            <m:ctrlPr>
              <w:rPr>
                <w:rFonts w:ascii="Cambria Math" w:eastAsia="DengXian" w:hAnsi="Cambria Math" w:cs="Calibri"/>
                <w:i/>
                <w:iCs/>
                <w:sz w:val="22"/>
                <w:szCs w:val="22"/>
              </w:rPr>
            </m:ctrlPr>
          </m:sSubPr>
          <m:e>
            <m:r>
              <w:rPr>
                <w:rFonts w:ascii="Cambria Math" w:eastAsia="DengXian" w:hAnsi="Cambria Math"/>
              </w:rPr>
              <m:t>N</m:t>
            </m:r>
          </m:e>
          <m:sub>
            <m:r>
              <m:rPr>
                <m:sty m:val="p"/>
              </m:rPr>
              <w:rPr>
                <w:rFonts w:ascii="Cambria Math" w:eastAsia="DengXian" w:hAnsi="Cambria Math"/>
              </w:rPr>
              <m:t>PDSCH,</m:t>
            </m:r>
            <m:r>
              <w:rPr>
                <w:rFonts w:ascii="Cambria Math" w:eastAsia="DengXian" w:hAnsi="Cambria Math"/>
              </w:rPr>
              <m:t>c</m:t>
            </m:r>
          </m:sub>
        </m:sSub>
      </m:oMath>
      <w:r w:rsidRPr="00DD134C">
        <w:rPr>
          <w:rFonts w:eastAsia="DengXian" w:hint="eastAsia"/>
        </w:rPr>
        <w:t xml:space="preserve"> HARQ-ACK information bits for the first TBs in the ascending order of the starting</w:t>
      </w:r>
      <w:r w:rsidRPr="00DD134C">
        <w:rPr>
          <w:rFonts w:eastAsia="DengXian"/>
        </w:rPr>
        <w:t xml:space="preserve"> of</w:t>
      </w:r>
      <w:r w:rsidRPr="00DD134C">
        <w:rPr>
          <w:rFonts w:eastAsia="DengXian" w:hint="eastAsia"/>
        </w:rPr>
        <w:t xml:space="preserve"> PDSCH receptions and, if applicable, generates </w:t>
      </w:r>
      <m:oMath>
        <m:sSub>
          <m:sSubPr>
            <m:ctrlPr>
              <w:rPr>
                <w:rFonts w:ascii="Cambria Math" w:eastAsia="DengXian" w:hAnsi="Cambria Math" w:cs="Calibri"/>
                <w:i/>
                <w:iCs/>
                <w:sz w:val="22"/>
                <w:szCs w:val="22"/>
              </w:rPr>
            </m:ctrlPr>
          </m:sSubPr>
          <m:e>
            <m:r>
              <w:rPr>
                <w:rFonts w:ascii="Cambria Math" w:eastAsia="DengXian" w:hAnsi="Cambria Math"/>
              </w:rPr>
              <m:t>N</m:t>
            </m:r>
          </m:e>
          <m:sub>
            <m:r>
              <m:rPr>
                <m:sty m:val="p"/>
              </m:rPr>
              <w:rPr>
                <w:rFonts w:ascii="Cambria Math" w:eastAsia="DengXian" w:hAnsi="Cambria Math"/>
              </w:rPr>
              <m:t>PDSCH,</m:t>
            </m:r>
            <m:r>
              <w:rPr>
                <w:rFonts w:ascii="Cambria Math" w:eastAsia="DengXian" w:hAnsi="Cambria Math"/>
              </w:rPr>
              <m:t>c</m:t>
            </m:r>
          </m:sub>
        </m:sSub>
      </m:oMath>
      <w:r w:rsidRPr="00DD134C">
        <w:rPr>
          <w:rFonts w:eastAsia="DengXian" w:hint="eastAsia"/>
        </w:rPr>
        <w:t xml:space="preserve"> HARQ-ACK information bits for the second TBs in the ascending order of the starting of PDSCH receptions.</w:t>
      </w:r>
      <w:r w:rsidRPr="00DD134C">
        <w:rPr>
          <w:rFonts w:eastAsia="DengXian"/>
        </w:rPr>
        <w:t xml:space="preserve"> For a PDSCH reception that </w:t>
      </w:r>
      <w:r w:rsidRPr="00DD134C">
        <w:t xml:space="preserve">overlaps with an UL symbol indicated by </w:t>
      </w:r>
      <w:r w:rsidRPr="00DD134C">
        <w:rPr>
          <w:i/>
          <w:iCs/>
        </w:rPr>
        <w:t>tdd-UL-DL-ConfigurationCommon</w:t>
      </w:r>
      <w:r w:rsidRPr="00DD134C">
        <w:t>,</w:t>
      </w:r>
      <w:r w:rsidRPr="00DD134C">
        <w:rPr>
          <w:i/>
          <w:iCs/>
        </w:rPr>
        <w:t xml:space="preserve"> </w:t>
      </w:r>
      <w:r w:rsidRPr="00DD134C">
        <w:t xml:space="preserve">or by </w:t>
      </w:r>
      <w:r w:rsidRPr="00DD134C">
        <w:rPr>
          <w:i/>
          <w:iCs/>
        </w:rPr>
        <w:t>tdd-UL-DL-ConfigurationDedicated</w:t>
      </w:r>
      <w:r w:rsidRPr="00DD134C">
        <w:t xml:space="preserve"> if provided, the UE generates a NACK value for the first TB and, if applicable, generates a NACK value for the second TB in the PDSCH reception.</w:t>
      </w:r>
      <w:r w:rsidRPr="00DD134C">
        <w:rPr>
          <w:rFonts w:eastAsia="DengXian"/>
        </w:rPr>
        <w:t xml:space="preserve"> </w:t>
      </w:r>
      <w:r w:rsidRPr="00DD134C">
        <w:rPr>
          <w:rFonts w:eastAsia="PMingLiU"/>
        </w:rPr>
        <w:t xml:space="preserve">If </w:t>
      </w:r>
      <m:oMath>
        <m:sSub>
          <m:sSubPr>
            <m:ctrlPr>
              <w:rPr>
                <w:rFonts w:ascii="Cambria Math" w:eastAsia="DengXian" w:hAnsi="Cambria Math" w:cs="Calibri"/>
                <w:i/>
                <w:iCs/>
                <w:sz w:val="22"/>
                <w:szCs w:val="22"/>
              </w:rPr>
            </m:ctrlPr>
          </m:sSubPr>
          <m:e>
            <m:r>
              <w:rPr>
                <w:rFonts w:ascii="Cambria Math" w:eastAsia="PMingLiU" w:hAnsi="Cambria Math"/>
              </w:rPr>
              <m:t>N</m:t>
            </m:r>
          </m:e>
          <m:sub>
            <m:r>
              <m:rPr>
                <m:sty m:val="p"/>
              </m:rPr>
              <w:rPr>
                <w:rFonts w:ascii="Cambria Math" w:eastAsia="PMingLiU" w:hAnsi="Cambria Math"/>
              </w:rPr>
              <m:t>PDSCH,</m:t>
            </m:r>
            <m:r>
              <w:rPr>
                <w:rFonts w:ascii="Cambria Math" w:eastAsia="PMingLiU" w:hAnsi="Cambria Math"/>
              </w:rPr>
              <m:t>c</m:t>
            </m:r>
          </m:sub>
        </m:sSub>
      </m:oMath>
      <w:r w:rsidRPr="00DD134C">
        <w:rPr>
          <w:rFonts w:eastAsia="PMingLiU"/>
        </w:rPr>
        <w:t>&lt;</w:t>
      </w:r>
      <m:oMath>
        <m:sSubSup>
          <m:sSubSupPr>
            <m:ctrlPr>
              <w:rPr>
                <w:rFonts w:ascii="Cambria Math" w:eastAsia="PMingLiU" w:hAnsi="Cambria Math"/>
                <w:i/>
                <w:lang w:eastAsia="zh-CN"/>
              </w:rPr>
            </m:ctrlPr>
          </m:sSubSupPr>
          <m:e>
            <m:r>
              <w:rPr>
                <w:rFonts w:ascii="Cambria Math" w:eastAsia="PMingLiU" w:hAnsi="Cambria Math"/>
                <w:lang w:eastAsia="zh-CN"/>
              </w:rPr>
              <m:t>N</m:t>
            </m:r>
          </m:e>
          <m:sub>
            <m:r>
              <m:rPr>
                <m:nor/>
              </m:rPr>
              <w:rPr>
                <w:rFonts w:ascii="Cambria Math" w:eastAsia="PMingLiU" w:hAnsi="Cambria Math"/>
                <w:lang w:val="en-US" w:eastAsia="zh-CN"/>
              </w:rPr>
              <m:t>PDSCH</m:t>
            </m:r>
            <m:r>
              <m:rPr>
                <m:nor/>
              </m:rPr>
              <w:rPr>
                <w:rFonts w:ascii="Cambria Math" w:eastAsia="PMingLiU" w:hAnsi="Cambria Math"/>
                <w:lang w:eastAsia="zh-CN"/>
              </w:rPr>
              <m:t>,</m:t>
            </m:r>
            <m:r>
              <m:rPr>
                <m:nor/>
              </m:rPr>
              <w:rPr>
                <w:rFonts w:ascii="Cambria Math" w:eastAsia="PMingLiU" w:hAnsi="Cambria Math"/>
                <w:i/>
                <w:iCs/>
                <w:lang w:val="en-US" w:eastAsia="zh-CN"/>
              </w:rPr>
              <m:t>c</m:t>
            </m:r>
            <m:ctrlPr>
              <w:rPr>
                <w:rFonts w:ascii="Cambria Math" w:eastAsia="PMingLiU" w:hAnsi="Cambria Math"/>
                <w:lang w:eastAsia="zh-CN"/>
              </w:rPr>
            </m:ctrlPr>
          </m:sub>
          <m:sup>
            <m:r>
              <m:rPr>
                <m:nor/>
              </m:rPr>
              <w:rPr>
                <w:rFonts w:ascii="Cambria Math" w:eastAsia="PMingLiU" w:hAnsi="Cambria Math"/>
                <w:lang w:eastAsia="zh-CN"/>
              </w:rPr>
              <m:t>max</m:t>
            </m:r>
            <m:ctrlPr>
              <w:rPr>
                <w:rFonts w:ascii="Cambria Math" w:eastAsia="PMingLiU" w:hAnsi="Cambria Math"/>
                <w:lang w:eastAsia="zh-CN"/>
              </w:rPr>
            </m:ctrlPr>
          </m:sup>
        </m:sSubSup>
      </m:oMath>
      <w:r w:rsidRPr="00DD134C">
        <w:rPr>
          <w:rFonts w:eastAsia="PMingLiU"/>
          <w:lang w:eastAsia="zh-CN"/>
        </w:rPr>
        <w:t>,</w:t>
      </w:r>
      <w:r w:rsidRPr="00DD134C">
        <w:rPr>
          <w:rFonts w:eastAsia="PMingLiU"/>
        </w:rPr>
        <w:t xml:space="preserve"> the UE generates a NACK value for the last </w:t>
      </w:r>
      <m:oMath>
        <m:sSubSup>
          <m:sSubSupPr>
            <m:ctrlPr>
              <w:rPr>
                <w:rFonts w:ascii="Cambria Math" w:hAnsi="Cambria Math"/>
                <w:i/>
                <w:lang w:val="zh-CN"/>
              </w:rPr>
            </m:ctrlPr>
          </m:sSubSupPr>
          <m:e>
            <m:r>
              <w:rPr>
                <w:rFonts w:ascii="Cambria Math" w:hAnsi="Cambria Math"/>
                <w:lang w:val="zh-CN"/>
              </w:rPr>
              <m:t>N</m:t>
            </m:r>
          </m:e>
          <m:sub>
            <m:r>
              <m:rPr>
                <m:sty m:val="p"/>
              </m:rPr>
              <w:rPr>
                <w:rFonts w:ascii="Cambria Math" w:hAnsi="Cambria Math"/>
                <w:lang w:val="en-US"/>
              </w:rPr>
              <m:t>TB,</m:t>
            </m:r>
            <m:r>
              <w:rPr>
                <w:rFonts w:ascii="Cambria Math" w:hAnsi="Cambria Math"/>
                <w:lang w:val="zh-CN"/>
              </w:rPr>
              <m:t>c</m:t>
            </m:r>
            <m:ctrlPr>
              <w:rPr>
                <w:rFonts w:ascii="Cambria Math" w:hAnsi="Cambria Math"/>
                <w:lang w:val="zh-CN"/>
              </w:rPr>
            </m:ctrlPr>
          </m:sub>
          <m:sup>
            <m:r>
              <m:rPr>
                <m:nor/>
              </m:rPr>
              <w:rPr>
                <w:rFonts w:ascii="Cambria Math" w:hAnsi="Cambria Math"/>
                <w:lang w:val="en-US"/>
              </w:rPr>
              <m:t>DL</m:t>
            </m:r>
            <m:ctrlPr>
              <w:rPr>
                <w:rFonts w:ascii="Cambria Math" w:hAnsi="Cambria Math"/>
                <w:lang w:val="zh-CN"/>
              </w:rPr>
            </m:ctrlPr>
          </m:sup>
        </m:sSubSup>
        <m:r>
          <w:rPr>
            <w:rFonts w:ascii="Cambria Math" w:hAnsi="Cambria Math"/>
            <w:lang w:val="en-US"/>
          </w:rPr>
          <m:t>∙</m:t>
        </m:r>
        <m:sSubSup>
          <m:sSubSupPr>
            <m:ctrlPr>
              <w:rPr>
                <w:rFonts w:ascii="Cambria Math" w:eastAsia="PMingLiU" w:hAnsi="Cambria Math"/>
                <w:i/>
                <w:lang w:eastAsia="zh-CN"/>
              </w:rPr>
            </m:ctrlPr>
          </m:sSubSupPr>
          <m:e>
            <m:r>
              <w:rPr>
                <w:rFonts w:ascii="Cambria Math" w:eastAsia="PMingLiU" w:hAnsi="Cambria Math"/>
                <w:lang w:eastAsia="zh-CN"/>
              </w:rPr>
              <m:t>N</m:t>
            </m:r>
          </m:e>
          <m:sub>
            <m:r>
              <m:rPr>
                <m:nor/>
              </m:rPr>
              <w:rPr>
                <w:rFonts w:ascii="Cambria Math" w:eastAsia="PMingLiU" w:hAnsi="Cambria Math"/>
                <w:lang w:val="en-US" w:eastAsia="zh-CN"/>
              </w:rPr>
              <m:t>PDSCH</m:t>
            </m:r>
            <m:r>
              <m:rPr>
                <m:nor/>
              </m:rPr>
              <w:rPr>
                <w:rFonts w:ascii="Cambria Math" w:eastAsia="PMingLiU" w:hAnsi="Cambria Math"/>
                <w:lang w:eastAsia="zh-CN"/>
              </w:rPr>
              <m:t>,</m:t>
            </m:r>
            <m:r>
              <m:rPr>
                <m:nor/>
              </m:rPr>
              <w:rPr>
                <w:rFonts w:ascii="Cambria Math" w:eastAsia="PMingLiU" w:hAnsi="Cambria Math"/>
                <w:i/>
                <w:iCs/>
                <w:lang w:val="en-US" w:eastAsia="zh-CN"/>
              </w:rPr>
              <m:t>c</m:t>
            </m:r>
            <m:ctrlPr>
              <w:rPr>
                <w:rFonts w:ascii="Cambria Math" w:eastAsia="PMingLiU" w:hAnsi="Cambria Math"/>
                <w:lang w:eastAsia="zh-CN"/>
              </w:rPr>
            </m:ctrlPr>
          </m:sub>
          <m:sup>
            <m:r>
              <m:rPr>
                <m:nor/>
              </m:rPr>
              <w:rPr>
                <w:rFonts w:ascii="Cambria Math" w:eastAsia="PMingLiU" w:hAnsi="Cambria Math"/>
                <w:lang w:eastAsia="zh-CN"/>
              </w:rPr>
              <m:t>max</m:t>
            </m:r>
            <m:ctrlPr>
              <w:rPr>
                <w:rFonts w:ascii="Cambria Math" w:eastAsia="PMingLiU" w:hAnsi="Cambria Math"/>
                <w:lang w:eastAsia="zh-CN"/>
              </w:rPr>
            </m:ctrlPr>
          </m:sup>
        </m:sSubSup>
        <m:r>
          <w:rPr>
            <w:rFonts w:ascii="Cambria Math" w:eastAsia="PMingLiU" w:hAnsi="Cambria Math"/>
            <w:lang w:eastAsia="zh-CN"/>
          </w:rPr>
          <m:t>-</m:t>
        </m:r>
        <m:sSubSup>
          <m:sSubSupPr>
            <m:ctrlPr>
              <w:rPr>
                <w:rFonts w:ascii="Cambria Math" w:hAnsi="Cambria Math"/>
                <w:i/>
                <w:lang w:val="zh-CN"/>
              </w:rPr>
            </m:ctrlPr>
          </m:sSubSupPr>
          <m:e>
            <m:r>
              <w:rPr>
                <w:rFonts w:ascii="Cambria Math" w:hAnsi="Cambria Math"/>
                <w:lang w:val="zh-CN"/>
              </w:rPr>
              <m:t>N</m:t>
            </m:r>
          </m:e>
          <m:sub>
            <m:r>
              <m:rPr>
                <m:sty m:val="p"/>
              </m:rPr>
              <w:rPr>
                <w:rFonts w:ascii="Cambria Math" w:hAnsi="Cambria Math"/>
                <w:lang w:val="en-US"/>
              </w:rPr>
              <m:t>TB,</m:t>
            </m:r>
            <m:r>
              <w:rPr>
                <w:rFonts w:ascii="Cambria Math" w:hAnsi="Cambria Math"/>
                <w:lang w:val="zh-CN"/>
              </w:rPr>
              <m:t>c</m:t>
            </m:r>
            <m:ctrlPr>
              <w:rPr>
                <w:rFonts w:ascii="Cambria Math" w:hAnsi="Cambria Math"/>
                <w:lang w:val="zh-CN"/>
              </w:rPr>
            </m:ctrlPr>
          </m:sub>
          <m:sup>
            <m:r>
              <m:rPr>
                <m:nor/>
              </m:rPr>
              <w:rPr>
                <w:rFonts w:ascii="Cambria Math" w:hAnsi="Cambria Math"/>
                <w:lang w:val="en-US"/>
              </w:rPr>
              <m:t>DL</m:t>
            </m:r>
            <m:ctrlPr>
              <w:rPr>
                <w:rFonts w:ascii="Cambria Math" w:hAnsi="Cambria Math"/>
                <w:lang w:val="zh-CN"/>
              </w:rPr>
            </m:ctrlPr>
          </m:sup>
        </m:sSubSup>
        <m:r>
          <w:rPr>
            <w:rFonts w:ascii="Cambria Math" w:hAnsi="Cambria Math"/>
            <w:lang w:val="en-US"/>
          </w:rPr>
          <m:t>∙</m:t>
        </m:r>
        <m:sSub>
          <m:sSubPr>
            <m:ctrlPr>
              <w:rPr>
                <w:rFonts w:ascii="Cambria Math" w:eastAsia="DengXian" w:hAnsi="Cambria Math" w:cs="Calibri"/>
                <w:i/>
                <w:iCs/>
                <w:sz w:val="22"/>
                <w:szCs w:val="22"/>
              </w:rPr>
            </m:ctrlPr>
          </m:sSubPr>
          <m:e>
            <m:r>
              <w:rPr>
                <w:rFonts w:ascii="Cambria Math" w:eastAsia="PMingLiU" w:hAnsi="Cambria Math"/>
              </w:rPr>
              <m:t>N</m:t>
            </m:r>
          </m:e>
          <m:sub>
            <m:r>
              <m:rPr>
                <m:sty m:val="p"/>
              </m:rPr>
              <w:rPr>
                <w:rFonts w:ascii="Cambria Math" w:eastAsia="PMingLiU" w:hAnsi="Cambria Math"/>
              </w:rPr>
              <m:t>PDSCH,</m:t>
            </m:r>
            <m:r>
              <w:rPr>
                <w:rFonts w:ascii="Cambria Math" w:eastAsia="PMingLiU" w:hAnsi="Cambria Math"/>
              </w:rPr>
              <m:t>c</m:t>
            </m:r>
          </m:sub>
        </m:sSub>
      </m:oMath>
      <w:r w:rsidRPr="00DD134C">
        <w:rPr>
          <w:rFonts w:eastAsia="PMingLiU"/>
          <w:lang w:eastAsia="zh-CN"/>
        </w:rPr>
        <w:t xml:space="preserve"> HARQ-ACK information bits </w:t>
      </w:r>
      <w:r w:rsidRPr="00DD134C">
        <w:rPr>
          <w:rFonts w:eastAsia="PMingLiU"/>
        </w:rPr>
        <w:t xml:space="preserve">where </w:t>
      </w:r>
      <m:oMath>
        <m:sSubSup>
          <m:sSubSupPr>
            <m:ctrlPr>
              <w:rPr>
                <w:rFonts w:ascii="Cambria Math" w:hAnsi="Cambria Math"/>
                <w:i/>
                <w:lang w:val="zh-CN"/>
              </w:rPr>
            </m:ctrlPr>
          </m:sSubSupPr>
          <m:e>
            <m:r>
              <w:rPr>
                <w:rFonts w:ascii="Cambria Math" w:hAnsi="Cambria Math"/>
                <w:lang w:val="zh-CN"/>
              </w:rPr>
              <m:t>N</m:t>
            </m:r>
          </m:e>
          <m:sub>
            <m:r>
              <m:rPr>
                <m:sty m:val="p"/>
              </m:rPr>
              <w:rPr>
                <w:rFonts w:ascii="Cambria Math" w:hAnsi="Cambria Math"/>
                <w:lang w:val="en-US"/>
              </w:rPr>
              <m:t>TB,</m:t>
            </m:r>
            <m:r>
              <w:rPr>
                <w:rFonts w:ascii="Cambria Math" w:hAnsi="Cambria Math"/>
                <w:lang w:val="zh-CN"/>
              </w:rPr>
              <m:t>c</m:t>
            </m:r>
            <m:ctrlPr>
              <w:rPr>
                <w:rFonts w:ascii="Cambria Math" w:hAnsi="Cambria Math"/>
                <w:lang w:val="zh-CN"/>
              </w:rPr>
            </m:ctrlPr>
          </m:sub>
          <m:sup>
            <m:r>
              <m:rPr>
                <m:nor/>
              </m:rPr>
              <w:rPr>
                <w:rFonts w:ascii="Cambria Math" w:hAnsi="Cambria Math"/>
                <w:lang w:val="en-US"/>
              </w:rPr>
              <m:t>DL</m:t>
            </m:r>
            <m:ctrlPr>
              <w:rPr>
                <w:rFonts w:ascii="Cambria Math" w:hAnsi="Cambria Math"/>
                <w:lang w:val="zh-CN"/>
              </w:rPr>
            </m:ctrlPr>
          </m:sup>
        </m:sSubSup>
      </m:oMath>
      <w:r w:rsidRPr="00DD134C">
        <w:rPr>
          <w:lang w:val="en-US"/>
        </w:rPr>
        <w:t xml:space="preserve"> is the value of </w:t>
      </w:r>
      <w:r w:rsidRPr="00DD134C">
        <w:rPr>
          <w:i/>
          <w:lang w:val="en-US"/>
        </w:rPr>
        <w:t>maxNrofCodeWordsScheduledByDCI</w:t>
      </w:r>
      <w:r w:rsidRPr="00DD134C">
        <w:rPr>
          <w:lang w:val="en-US"/>
        </w:rPr>
        <w:t xml:space="preserve"> for serving cell </w:t>
      </w:r>
      <m:oMath>
        <m:r>
          <w:rPr>
            <w:rFonts w:ascii="Cambria Math" w:hAnsi="Cambria Math"/>
            <w:lang w:val="zh-CN"/>
          </w:rPr>
          <m:t>c</m:t>
        </m:r>
      </m:oMath>
      <w:r w:rsidRPr="00DD134C">
        <w:rPr>
          <w:lang w:val="en-US"/>
        </w:rPr>
        <w:t xml:space="preserve"> and</w:t>
      </w:r>
      <w:r w:rsidRPr="00DD134C">
        <w:rPr>
          <w:rFonts w:eastAsia="PMingLiU"/>
        </w:rPr>
        <w:t xml:space="preserve"> </w:t>
      </w:r>
      <m:oMath>
        <m:sSubSup>
          <m:sSubSupPr>
            <m:ctrlPr>
              <w:rPr>
                <w:rFonts w:ascii="Cambria Math" w:eastAsia="PMingLiU" w:hAnsi="Cambria Math"/>
                <w:i/>
                <w:lang w:eastAsia="zh-CN"/>
              </w:rPr>
            </m:ctrlPr>
          </m:sSubSupPr>
          <m:e>
            <m:r>
              <w:rPr>
                <w:rFonts w:ascii="Cambria Math" w:eastAsia="PMingLiU" w:hAnsi="Cambria Math"/>
                <w:lang w:eastAsia="zh-CN"/>
              </w:rPr>
              <m:t>N</m:t>
            </m:r>
          </m:e>
          <m:sub>
            <m:r>
              <m:rPr>
                <m:nor/>
              </m:rPr>
              <w:rPr>
                <w:rFonts w:ascii="Cambria Math" w:eastAsia="PMingLiU" w:hAnsi="Cambria Math"/>
                <w:lang w:val="en-US" w:eastAsia="zh-CN"/>
              </w:rPr>
              <m:t>PDSCH</m:t>
            </m:r>
            <m:r>
              <m:rPr>
                <m:nor/>
              </m:rPr>
              <w:rPr>
                <w:rFonts w:ascii="Cambria Math" w:eastAsia="PMingLiU" w:hAnsi="Cambria Math"/>
                <w:lang w:eastAsia="zh-CN"/>
              </w:rPr>
              <m:t>,</m:t>
            </m:r>
            <m:r>
              <m:rPr>
                <m:nor/>
              </m:rPr>
              <w:rPr>
                <w:rFonts w:ascii="Cambria Math" w:eastAsia="PMingLiU" w:hAnsi="Cambria Math"/>
                <w:i/>
                <w:iCs/>
                <w:lang w:val="en-US" w:eastAsia="zh-CN"/>
              </w:rPr>
              <m:t>c</m:t>
            </m:r>
            <m:ctrlPr>
              <w:rPr>
                <w:rFonts w:ascii="Cambria Math" w:eastAsia="PMingLiU" w:hAnsi="Cambria Math"/>
                <w:lang w:eastAsia="zh-CN"/>
              </w:rPr>
            </m:ctrlPr>
          </m:sub>
          <m:sup>
            <m:r>
              <m:rPr>
                <m:nor/>
              </m:rPr>
              <w:rPr>
                <w:rFonts w:ascii="Cambria Math" w:eastAsia="PMingLiU" w:hAnsi="Cambria Math"/>
                <w:lang w:eastAsia="zh-CN"/>
              </w:rPr>
              <m:t>max</m:t>
            </m:r>
            <m:ctrlPr>
              <w:rPr>
                <w:rFonts w:ascii="Cambria Math" w:eastAsia="PMingLiU" w:hAnsi="Cambria Math"/>
                <w:lang w:eastAsia="zh-CN"/>
              </w:rPr>
            </m:ctrlPr>
          </m:sup>
        </m:sSubSup>
      </m:oMath>
      <w:r w:rsidRPr="00DD134C">
        <w:rPr>
          <w:rFonts w:eastAsia="PMingLiU"/>
        </w:rPr>
        <w:t xml:space="preserve"> is determined by the maximum number of SLIVs amongst all rows of the TDRA table configured by </w:t>
      </w:r>
      <w:r w:rsidRPr="00DD134C">
        <w:rPr>
          <w:rFonts w:eastAsia="PMingLiU"/>
          <w:i/>
          <w:iCs/>
          <w:lang w:val="en-US" w:eastAsia="zh-CN"/>
        </w:rPr>
        <w:t>pdsch-TimeDomainAllocationListForMultiPDSCH</w:t>
      </w:r>
      <w:r w:rsidRPr="00DD134C">
        <w:rPr>
          <w:rFonts w:eastAsia="PMingLiU"/>
          <w:lang w:eastAsia="zh-CN"/>
        </w:rPr>
        <w:t>.</w:t>
      </w:r>
    </w:p>
    <w:p w14:paraId="51F5BAC2" w14:textId="77777777" w:rsidR="00DD134C" w:rsidRPr="00DD134C" w:rsidRDefault="00DD134C" w:rsidP="00DD134C">
      <w:pPr>
        <w:rPr>
          <w:rFonts w:eastAsia="DengXian"/>
        </w:rPr>
      </w:pPr>
      <w:r w:rsidRPr="00DD134C">
        <w:rPr>
          <w:rFonts w:eastAsia="PMingLiU" w:hint="eastAsia"/>
        </w:rPr>
        <w:t xml:space="preserve">If a UE is </w:t>
      </w:r>
      <w:r w:rsidRPr="00DD134C">
        <w:rPr>
          <w:rFonts w:eastAsia="PMingLiU"/>
        </w:rPr>
        <w:t xml:space="preserve">provided </w:t>
      </w:r>
      <w:r w:rsidRPr="00DD134C">
        <w:rPr>
          <w:rFonts w:eastAsia="PMingLiU"/>
          <w:i/>
          <w:iCs/>
          <w:lang w:val="en-US" w:eastAsia="zh-CN"/>
        </w:rPr>
        <w:t>pdsch-TimeDomainAllocationListForMultiPDSCH</w:t>
      </w:r>
      <w:r w:rsidRPr="00DD134C">
        <w:rPr>
          <w:rFonts w:eastAsia="PMingLiU" w:hint="eastAsia"/>
        </w:rPr>
        <w:t xml:space="preserve"> </w:t>
      </w:r>
      <w:r w:rsidRPr="00DD134C">
        <w:rPr>
          <w:rFonts w:eastAsia="PMingLiU"/>
        </w:rPr>
        <w:t xml:space="preserve">and </w:t>
      </w:r>
      <w:r w:rsidRPr="00DD134C">
        <w:rPr>
          <w:rFonts w:eastAsia="PMingLiU" w:hint="eastAsia"/>
          <w:i/>
          <w:iCs/>
        </w:rPr>
        <w:t>harq-ACK-SpatialBundlingPUCCH</w:t>
      </w:r>
      <w:r w:rsidRPr="00DD134C">
        <w:rPr>
          <w:rFonts w:eastAsia="PMingLiU" w:hint="eastAsia"/>
        </w:rPr>
        <w:t xml:space="preserve"> </w:t>
      </w:r>
      <w:r w:rsidRPr="00DD134C">
        <w:rPr>
          <w:rFonts w:eastAsia="PMingLiU"/>
        </w:rPr>
        <w:t xml:space="preserve">and </w:t>
      </w:r>
      <w:r w:rsidRPr="00DD134C">
        <w:rPr>
          <w:rFonts w:eastAsia="PMingLiU" w:hint="eastAsia"/>
        </w:rPr>
        <w:t xml:space="preserve">not provided </w:t>
      </w:r>
      <w:r w:rsidRPr="00DD134C">
        <w:rPr>
          <w:rFonts w:eastAsia="PMingLiU" w:hint="eastAsia"/>
          <w:i/>
          <w:iCs/>
        </w:rPr>
        <w:t>nrofHARQ-BundlingGroups</w:t>
      </w:r>
      <w:r w:rsidRPr="00DD134C">
        <w:rPr>
          <w:rFonts w:eastAsia="PMingLiU" w:hint="eastAsia"/>
        </w:rPr>
        <w:t xml:space="preserve"> for a serving cell </w:t>
      </w:r>
      <m:oMath>
        <m:r>
          <w:rPr>
            <w:rFonts w:ascii="Cambria Math" w:eastAsia="PMingLiU" w:hAnsi="Cambria Math"/>
          </w:rPr>
          <m:t>c</m:t>
        </m:r>
      </m:oMath>
      <w:r w:rsidRPr="00DD134C">
        <w:rPr>
          <w:rFonts w:eastAsia="PMingLiU" w:hint="eastAsia"/>
        </w:rPr>
        <w:t>,</w:t>
      </w:r>
      <w:r w:rsidRPr="00DD134C">
        <w:rPr>
          <w:rFonts w:eastAsia="DengXian" w:hint="eastAsia"/>
        </w:rPr>
        <w:t xml:space="preserve"> the UE generates HARQ-ACK information over PDSCH receptions for PDSCH receptions scheduled by a DCI format on the serving cell </w:t>
      </w:r>
      <m:oMath>
        <m:r>
          <w:rPr>
            <w:rFonts w:ascii="Cambria Math" w:eastAsia="DengXian" w:hAnsi="Cambria Math"/>
          </w:rPr>
          <m:t>c</m:t>
        </m:r>
      </m:oMath>
      <w:r w:rsidRPr="00DD134C">
        <w:rPr>
          <w:rFonts w:eastAsia="DengXian" w:hint="eastAsia"/>
        </w:rPr>
        <w:t xml:space="preserve">. If the UE detects a DCI format scheduling </w:t>
      </w:r>
      <m:oMath>
        <m:sSub>
          <m:sSubPr>
            <m:ctrlPr>
              <w:rPr>
                <w:rFonts w:ascii="Cambria Math" w:eastAsia="DengXian" w:hAnsi="Cambria Math" w:cs="Calibri"/>
                <w:i/>
                <w:iCs/>
                <w:sz w:val="22"/>
                <w:szCs w:val="22"/>
              </w:rPr>
            </m:ctrlPr>
          </m:sSubPr>
          <m:e>
            <m:r>
              <w:rPr>
                <w:rFonts w:ascii="Cambria Math" w:eastAsia="DengXian" w:hAnsi="Cambria Math"/>
              </w:rPr>
              <m:t>N</m:t>
            </m:r>
          </m:e>
          <m:sub>
            <m:r>
              <m:rPr>
                <m:sty m:val="p"/>
              </m:rPr>
              <w:rPr>
                <w:rFonts w:ascii="Cambria Math" w:eastAsia="DengXian" w:hAnsi="Cambria Math"/>
              </w:rPr>
              <m:t>PDSCH,</m:t>
            </m:r>
            <m:r>
              <w:rPr>
                <w:rFonts w:ascii="Cambria Math" w:eastAsia="DengXian" w:hAnsi="Cambria Math"/>
              </w:rPr>
              <m:t>c</m:t>
            </m:r>
          </m:sub>
        </m:sSub>
      </m:oMath>
      <w:r w:rsidRPr="00DD134C">
        <w:rPr>
          <w:rFonts w:eastAsia="DengXian" w:hint="eastAsia"/>
        </w:rPr>
        <w:t xml:space="preserve"> PDSCH receptions on the serving cell </w:t>
      </w:r>
      <m:oMath>
        <m:r>
          <w:rPr>
            <w:rFonts w:ascii="Cambria Math" w:eastAsia="DengXian" w:hAnsi="Cambria Math"/>
          </w:rPr>
          <m:t>c</m:t>
        </m:r>
      </m:oMath>
      <w:r w:rsidRPr="00DD134C">
        <w:rPr>
          <w:rFonts w:eastAsia="DengXian" w:hint="eastAsia"/>
        </w:rPr>
        <w:t xml:space="preserve">, the UE generates </w:t>
      </w:r>
      <m:oMath>
        <m:sSub>
          <m:sSubPr>
            <m:ctrlPr>
              <w:rPr>
                <w:rFonts w:ascii="Cambria Math" w:eastAsia="DengXian" w:hAnsi="Cambria Math" w:cs="Calibri"/>
                <w:i/>
                <w:iCs/>
                <w:sz w:val="22"/>
                <w:szCs w:val="22"/>
              </w:rPr>
            </m:ctrlPr>
          </m:sSubPr>
          <m:e>
            <m:r>
              <w:rPr>
                <w:rFonts w:ascii="Cambria Math" w:eastAsia="DengXian" w:hAnsi="Cambria Math"/>
              </w:rPr>
              <m:t>N</m:t>
            </m:r>
          </m:e>
          <m:sub>
            <m:r>
              <m:rPr>
                <m:sty m:val="p"/>
              </m:rPr>
              <w:rPr>
                <w:rFonts w:ascii="Cambria Math" w:eastAsia="DengXian" w:hAnsi="Cambria Math"/>
              </w:rPr>
              <m:t>PDSCH,</m:t>
            </m:r>
            <m:r>
              <w:rPr>
                <w:rFonts w:ascii="Cambria Math" w:eastAsia="DengXian" w:hAnsi="Cambria Math"/>
              </w:rPr>
              <m:t>c</m:t>
            </m:r>
          </m:sub>
        </m:sSub>
      </m:oMath>
      <w:r w:rsidRPr="00DD134C">
        <w:rPr>
          <w:rFonts w:eastAsia="DengXian" w:hint="eastAsia"/>
        </w:rPr>
        <w:t xml:space="preserve"> HARQ-ACK information bits for the PDSCH receptions in the ascending order of the starting of PDSCH receptions after binary AND operation of the HARQ-ACK information bits corresponding to the first and second transport blocks of each PDSCH reception.</w:t>
      </w:r>
      <w:r w:rsidRPr="00DD134C">
        <w:rPr>
          <w:rFonts w:eastAsia="PMingLiU"/>
        </w:rPr>
        <w:t xml:space="preserve"> </w:t>
      </w:r>
      <w:r w:rsidRPr="00DD134C">
        <w:rPr>
          <w:rFonts w:eastAsia="DengXian"/>
        </w:rPr>
        <w:t xml:space="preserve">For a PDSCH reception that </w:t>
      </w:r>
      <w:r w:rsidRPr="00DD134C">
        <w:t xml:space="preserve">overlaps with an UL symbol indicated by </w:t>
      </w:r>
      <w:r w:rsidRPr="00DD134C">
        <w:rPr>
          <w:i/>
          <w:iCs/>
        </w:rPr>
        <w:t>tdd-UL-DL-ConfigurationCommon</w:t>
      </w:r>
      <w:r w:rsidRPr="00DD134C">
        <w:t>,</w:t>
      </w:r>
      <w:r w:rsidRPr="00DD134C">
        <w:rPr>
          <w:i/>
          <w:iCs/>
        </w:rPr>
        <w:t xml:space="preserve"> </w:t>
      </w:r>
      <w:r w:rsidRPr="00DD134C">
        <w:t xml:space="preserve">or by </w:t>
      </w:r>
      <w:r w:rsidRPr="00DD134C">
        <w:rPr>
          <w:i/>
          <w:iCs/>
        </w:rPr>
        <w:t>tdd-UL-DL-ConfigurationDedicated</w:t>
      </w:r>
      <w:r w:rsidRPr="00DD134C">
        <w:t xml:space="preserve"> if provided, the UE generates a NACK value for the</w:t>
      </w:r>
      <w:r w:rsidRPr="00DD134C">
        <w:rPr>
          <w:rFonts w:eastAsia="PMingLiU"/>
        </w:rPr>
        <w:t xml:space="preserve"> PDSCH reception. If </w:t>
      </w:r>
      <m:oMath>
        <m:sSub>
          <m:sSubPr>
            <m:ctrlPr>
              <w:rPr>
                <w:rFonts w:ascii="Cambria Math" w:eastAsia="DengXian" w:hAnsi="Cambria Math" w:cs="Calibri"/>
                <w:i/>
                <w:iCs/>
                <w:sz w:val="22"/>
                <w:szCs w:val="22"/>
              </w:rPr>
            </m:ctrlPr>
          </m:sSubPr>
          <m:e>
            <m:r>
              <w:rPr>
                <w:rFonts w:ascii="Cambria Math" w:eastAsia="PMingLiU" w:hAnsi="Cambria Math"/>
              </w:rPr>
              <m:t>N</m:t>
            </m:r>
          </m:e>
          <m:sub>
            <m:r>
              <m:rPr>
                <m:sty m:val="p"/>
              </m:rPr>
              <w:rPr>
                <w:rFonts w:ascii="Cambria Math" w:eastAsia="PMingLiU" w:hAnsi="Cambria Math"/>
              </w:rPr>
              <m:t>PDSCH,</m:t>
            </m:r>
            <m:r>
              <w:rPr>
                <w:rFonts w:ascii="Cambria Math" w:eastAsia="PMingLiU" w:hAnsi="Cambria Math"/>
              </w:rPr>
              <m:t>c</m:t>
            </m:r>
          </m:sub>
        </m:sSub>
      </m:oMath>
      <w:r w:rsidRPr="00DD134C">
        <w:rPr>
          <w:rFonts w:eastAsia="PMingLiU"/>
        </w:rPr>
        <w:t>&lt;</w:t>
      </w:r>
      <m:oMath>
        <m:sSubSup>
          <m:sSubSupPr>
            <m:ctrlPr>
              <w:rPr>
                <w:rFonts w:ascii="Cambria Math" w:eastAsia="PMingLiU" w:hAnsi="Cambria Math"/>
                <w:i/>
                <w:lang w:eastAsia="zh-CN"/>
              </w:rPr>
            </m:ctrlPr>
          </m:sSubSupPr>
          <m:e>
            <m:r>
              <w:rPr>
                <w:rFonts w:ascii="Cambria Math" w:eastAsia="PMingLiU" w:hAnsi="Cambria Math"/>
                <w:lang w:eastAsia="zh-CN"/>
              </w:rPr>
              <m:t>N</m:t>
            </m:r>
          </m:e>
          <m:sub>
            <m:r>
              <m:rPr>
                <m:nor/>
              </m:rPr>
              <w:rPr>
                <w:rFonts w:ascii="Cambria Math" w:eastAsia="PMingLiU" w:hAnsi="Cambria Math"/>
                <w:lang w:val="en-US" w:eastAsia="zh-CN"/>
              </w:rPr>
              <m:t>PDSCH</m:t>
            </m:r>
            <m:r>
              <m:rPr>
                <m:nor/>
              </m:rPr>
              <w:rPr>
                <w:rFonts w:ascii="Cambria Math" w:eastAsia="PMingLiU" w:hAnsi="Cambria Math"/>
                <w:lang w:eastAsia="zh-CN"/>
              </w:rPr>
              <m:t>,</m:t>
            </m:r>
            <m:r>
              <m:rPr>
                <m:nor/>
              </m:rPr>
              <w:rPr>
                <w:rFonts w:ascii="Cambria Math" w:eastAsia="PMingLiU" w:hAnsi="Cambria Math"/>
                <w:i/>
                <w:iCs/>
                <w:lang w:val="en-US" w:eastAsia="zh-CN"/>
              </w:rPr>
              <m:t>c</m:t>
            </m:r>
            <m:ctrlPr>
              <w:rPr>
                <w:rFonts w:ascii="Cambria Math" w:eastAsia="PMingLiU" w:hAnsi="Cambria Math"/>
                <w:lang w:eastAsia="zh-CN"/>
              </w:rPr>
            </m:ctrlPr>
          </m:sub>
          <m:sup>
            <m:r>
              <m:rPr>
                <m:nor/>
              </m:rPr>
              <w:rPr>
                <w:rFonts w:ascii="Cambria Math" w:eastAsia="PMingLiU" w:hAnsi="Cambria Math"/>
                <w:lang w:eastAsia="zh-CN"/>
              </w:rPr>
              <m:t>max</m:t>
            </m:r>
            <m:ctrlPr>
              <w:rPr>
                <w:rFonts w:ascii="Cambria Math" w:eastAsia="PMingLiU" w:hAnsi="Cambria Math"/>
                <w:lang w:eastAsia="zh-CN"/>
              </w:rPr>
            </m:ctrlPr>
          </m:sup>
        </m:sSubSup>
      </m:oMath>
      <w:r w:rsidRPr="00DD134C">
        <w:rPr>
          <w:rFonts w:eastAsia="PMingLiU"/>
          <w:lang w:eastAsia="zh-CN"/>
        </w:rPr>
        <w:t>,</w:t>
      </w:r>
      <w:r w:rsidRPr="00DD134C">
        <w:rPr>
          <w:rFonts w:eastAsia="PMingLiU"/>
        </w:rPr>
        <w:t xml:space="preserve"> the UE generates a NACK value for the last </w:t>
      </w:r>
      <m:oMath>
        <m:sSubSup>
          <m:sSubSupPr>
            <m:ctrlPr>
              <w:rPr>
                <w:rFonts w:ascii="Cambria Math" w:eastAsia="PMingLiU" w:hAnsi="Cambria Math"/>
                <w:i/>
                <w:lang w:eastAsia="zh-CN"/>
              </w:rPr>
            </m:ctrlPr>
          </m:sSubSupPr>
          <m:e>
            <m:r>
              <w:rPr>
                <w:rFonts w:ascii="Cambria Math" w:eastAsia="PMingLiU" w:hAnsi="Cambria Math"/>
                <w:lang w:eastAsia="zh-CN"/>
              </w:rPr>
              <m:t>N</m:t>
            </m:r>
          </m:e>
          <m:sub>
            <m:r>
              <m:rPr>
                <m:nor/>
              </m:rPr>
              <w:rPr>
                <w:rFonts w:ascii="Cambria Math" w:eastAsia="PMingLiU" w:hAnsi="Cambria Math"/>
                <w:lang w:val="en-US" w:eastAsia="zh-CN"/>
              </w:rPr>
              <m:t>PDSCH</m:t>
            </m:r>
            <m:r>
              <m:rPr>
                <m:nor/>
              </m:rPr>
              <w:rPr>
                <w:rFonts w:ascii="Cambria Math" w:eastAsia="PMingLiU" w:hAnsi="Cambria Math"/>
                <w:lang w:eastAsia="zh-CN"/>
              </w:rPr>
              <m:t>,</m:t>
            </m:r>
            <m:r>
              <m:rPr>
                <m:nor/>
              </m:rPr>
              <w:rPr>
                <w:rFonts w:ascii="Cambria Math" w:eastAsia="PMingLiU" w:hAnsi="Cambria Math"/>
                <w:i/>
                <w:iCs/>
                <w:lang w:val="en-US" w:eastAsia="zh-CN"/>
              </w:rPr>
              <m:t>c</m:t>
            </m:r>
            <m:ctrlPr>
              <w:rPr>
                <w:rFonts w:ascii="Cambria Math" w:eastAsia="PMingLiU" w:hAnsi="Cambria Math"/>
                <w:lang w:eastAsia="zh-CN"/>
              </w:rPr>
            </m:ctrlPr>
          </m:sub>
          <m:sup>
            <m:r>
              <m:rPr>
                <m:nor/>
              </m:rPr>
              <w:rPr>
                <w:rFonts w:ascii="Cambria Math" w:eastAsia="PMingLiU" w:hAnsi="Cambria Math"/>
                <w:lang w:eastAsia="zh-CN"/>
              </w:rPr>
              <m:t>max</m:t>
            </m:r>
            <m:ctrlPr>
              <w:rPr>
                <w:rFonts w:ascii="Cambria Math" w:eastAsia="PMingLiU" w:hAnsi="Cambria Math"/>
                <w:lang w:eastAsia="zh-CN"/>
              </w:rPr>
            </m:ctrlPr>
          </m:sup>
        </m:sSubSup>
        <m:r>
          <w:rPr>
            <w:rFonts w:ascii="Cambria Math" w:eastAsia="PMingLiU" w:hAnsi="Cambria Math"/>
            <w:lang w:eastAsia="zh-CN"/>
          </w:rPr>
          <m:t>-</m:t>
        </m:r>
        <m:sSub>
          <m:sSubPr>
            <m:ctrlPr>
              <w:rPr>
                <w:rFonts w:ascii="Cambria Math" w:eastAsia="DengXian" w:hAnsi="Cambria Math" w:cs="Calibri"/>
                <w:i/>
                <w:iCs/>
                <w:sz w:val="22"/>
                <w:szCs w:val="22"/>
              </w:rPr>
            </m:ctrlPr>
          </m:sSubPr>
          <m:e>
            <m:r>
              <w:rPr>
                <w:rFonts w:ascii="Cambria Math" w:eastAsia="PMingLiU" w:hAnsi="Cambria Math"/>
              </w:rPr>
              <m:t>N</m:t>
            </m:r>
          </m:e>
          <m:sub>
            <m:r>
              <m:rPr>
                <m:sty m:val="p"/>
              </m:rPr>
              <w:rPr>
                <w:rFonts w:ascii="Cambria Math" w:eastAsia="PMingLiU" w:hAnsi="Cambria Math"/>
              </w:rPr>
              <m:t>PDSCH,</m:t>
            </m:r>
            <m:r>
              <w:rPr>
                <w:rFonts w:ascii="Cambria Math" w:eastAsia="PMingLiU" w:hAnsi="Cambria Math"/>
              </w:rPr>
              <m:t>c</m:t>
            </m:r>
          </m:sub>
        </m:sSub>
      </m:oMath>
      <w:r w:rsidRPr="00DD134C">
        <w:rPr>
          <w:rFonts w:eastAsia="PMingLiU"/>
          <w:lang w:eastAsia="zh-CN"/>
        </w:rPr>
        <w:t xml:space="preserve"> HARQ-ACK information bits.</w:t>
      </w:r>
    </w:p>
    <w:p w14:paraId="161A991E" w14:textId="087A0120" w:rsidR="00F80622" w:rsidRPr="00B27E56" w:rsidRDefault="00F80622" w:rsidP="00F80622">
      <w:pPr>
        <w:rPr>
          <w:lang w:val="en-US" w:eastAsia="zh-CN"/>
        </w:rPr>
      </w:pPr>
      <w:r w:rsidRPr="00B27E56">
        <w:rPr>
          <w:rFonts w:hint="eastAsia"/>
          <w:lang w:val="en-US" w:eastAsia="zh-CN"/>
        </w:rPr>
        <w:t xml:space="preserve">If a UE </w:t>
      </w:r>
    </w:p>
    <w:p w14:paraId="1570E08E" w14:textId="1B0C0EBE" w:rsidR="00F80622" w:rsidRPr="00B27E56" w:rsidRDefault="00F80622" w:rsidP="00F80622">
      <w:pPr>
        <w:pStyle w:val="B1"/>
      </w:pPr>
      <w:r w:rsidRPr="00B27E56">
        <w:rPr>
          <w:lang w:val="en-US" w:eastAsia="zh-CN"/>
        </w:rPr>
        <w:t>-</w:t>
      </w:r>
      <w:r w:rsidRPr="00B27E56">
        <w:rPr>
          <w:lang w:val="en-US" w:eastAsia="zh-CN"/>
        </w:rPr>
        <w:tab/>
        <w:t xml:space="preserve">is provided </w:t>
      </w:r>
      <w:r w:rsidR="00662159">
        <w:rPr>
          <w:i/>
          <w:iCs/>
          <w:lang w:val="en-US" w:eastAsia="zh-CN"/>
        </w:rPr>
        <w:t>pdsch</w:t>
      </w:r>
      <w:r w:rsidRPr="002D1B04">
        <w:rPr>
          <w:i/>
          <w:iCs/>
          <w:lang w:val="en-US" w:eastAsia="zh-CN"/>
        </w:rPr>
        <w:t>-TimeDomainAllocationListForMultiPDSCH</w:t>
      </w:r>
      <w:r w:rsidRPr="00F235FF">
        <w:rPr>
          <w:lang w:val="en-US" w:eastAsia="zh-CN"/>
        </w:rPr>
        <w:t xml:space="preserve"> </w:t>
      </w:r>
      <w:r>
        <w:rPr>
          <w:lang w:val="en-US" w:eastAsia="zh-CN"/>
        </w:rPr>
        <w:t xml:space="preserve">and, if provided, </w:t>
      </w:r>
      <w:r w:rsidR="00195450" w:rsidRPr="00B27E56">
        <w:rPr>
          <w:i/>
          <w:iCs/>
        </w:rPr>
        <w:t>n</w:t>
      </w:r>
      <w:r w:rsidR="00195450">
        <w:rPr>
          <w:i/>
          <w:iCs/>
          <w:lang w:val="en-GB"/>
        </w:rPr>
        <w:t>ro</w:t>
      </w:r>
      <w:r w:rsidR="00195450" w:rsidRPr="00B27E56">
        <w:rPr>
          <w:i/>
          <w:iCs/>
        </w:rPr>
        <w:t>fHARQ</w:t>
      </w:r>
      <w:r w:rsidRPr="00B27E56">
        <w:rPr>
          <w:i/>
          <w:iCs/>
        </w:rPr>
        <w:t>-BundlingGroups</w:t>
      </w:r>
      <w:r w:rsidRPr="00B27E56">
        <w:t xml:space="preserve"> </w:t>
      </w:r>
      <w:r w:rsidRPr="00B27E56">
        <w:rPr>
          <w:lang w:val="en-US"/>
        </w:rPr>
        <w:t xml:space="preserve">with value </w:t>
      </w:r>
      <m:oMath>
        <m:sSubSup>
          <m:sSubSupPr>
            <m:ctrlPr>
              <w:rPr>
                <w:rFonts w:ascii="Cambria Math" w:hAnsi="Cambria Math"/>
                <w:i/>
              </w:rPr>
            </m:ctrlPr>
          </m:sSubSupPr>
          <m:e>
            <m:r>
              <w:rPr>
                <w:rFonts w:ascii="Cambria Math"/>
              </w:rPr>
              <m:t>N</m:t>
            </m:r>
          </m:e>
          <m:sub>
            <m:r>
              <m:rPr>
                <m:sty m:val="p"/>
              </m:rPr>
              <w:rPr>
                <w:rFonts w:ascii="Cambria Math"/>
              </w:rPr>
              <m:t>HARQ</m:t>
            </m:r>
            <m:r>
              <m:rPr>
                <m:sty m:val="p"/>
              </m:rPr>
              <w:rPr>
                <w:rFonts w:ascii="Cambria Math"/>
              </w:rPr>
              <m:t>-</m:t>
            </m:r>
            <m:r>
              <m:rPr>
                <m:sty m:val="p"/>
              </m:rPr>
              <w:rPr>
                <w:rFonts w:ascii="Cambria Math"/>
              </w:rPr>
              <m:t>ACK</m:t>
            </m:r>
            <m:ctrlPr>
              <w:rPr>
                <w:rFonts w:ascii="Cambria Math" w:hAnsi="Cambria Math"/>
              </w:rPr>
            </m:ctrlPr>
          </m:sub>
          <m:sup>
            <m:r>
              <m:rPr>
                <m:sty m:val="p"/>
              </m:rPr>
              <w:rPr>
                <w:rFonts w:ascii="Cambria Math"/>
                <w:lang w:val="en-US"/>
              </w:rPr>
              <m:t>TBG,max</m:t>
            </m:r>
            <m:ctrlPr>
              <w:rPr>
                <w:rFonts w:ascii="Cambria Math" w:hAnsi="Cambria Math"/>
              </w:rPr>
            </m:ctrlPr>
          </m:sup>
        </m:sSubSup>
        <m:r>
          <w:rPr>
            <w:rFonts w:ascii="Cambria Math" w:hAnsi="Cambria Math"/>
          </w:rPr>
          <m:t>&gt;1</m:t>
        </m:r>
      </m:oMath>
      <w:r>
        <w:rPr>
          <w:lang w:val="en-US"/>
        </w:rPr>
        <w:t xml:space="preserve"> </w:t>
      </w:r>
      <w:r w:rsidRPr="00B27E56">
        <w:t xml:space="preserve">for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DL,TBG</m:t>
            </m:r>
            <m:ctrlPr>
              <w:rPr>
                <w:rFonts w:ascii="Cambria Math" w:hAnsi="Cambria Math"/>
              </w:rPr>
            </m:ctrlPr>
          </m:sup>
        </m:sSubSup>
      </m:oMath>
      <w:r w:rsidRPr="00B27E56">
        <w:t xml:space="preserve"> serving cells; </w:t>
      </w:r>
      <w:r w:rsidRPr="00B27E56">
        <w:rPr>
          <w:rFonts w:cs="Arial"/>
          <w:lang w:eastAsia="zh-CN"/>
        </w:rPr>
        <w:t>and</w:t>
      </w:r>
    </w:p>
    <w:p w14:paraId="26635418" w14:textId="4FAE2AD7" w:rsidR="00F80622" w:rsidRPr="00397E8C" w:rsidRDefault="00F80622" w:rsidP="00F80622">
      <w:pPr>
        <w:pStyle w:val="B1"/>
      </w:pPr>
      <w:r w:rsidRPr="00B27E56">
        <w:rPr>
          <w:lang w:val="en-US" w:eastAsia="zh-CN"/>
        </w:rPr>
        <w:t>-</w:t>
      </w:r>
      <w:r w:rsidRPr="00B27E56">
        <w:rPr>
          <w:lang w:val="en-US" w:eastAsia="zh-CN"/>
        </w:rPr>
        <w:tab/>
        <w:t xml:space="preserve">is not provided </w:t>
      </w:r>
      <w:r w:rsidR="00662159">
        <w:rPr>
          <w:i/>
          <w:iCs/>
          <w:lang w:val="en-US" w:eastAsia="zh-CN"/>
        </w:rPr>
        <w:t>pdsch</w:t>
      </w:r>
      <w:r w:rsidRPr="002D1B04">
        <w:rPr>
          <w:i/>
          <w:iCs/>
          <w:lang w:val="en-US" w:eastAsia="zh-CN"/>
        </w:rPr>
        <w:t>-TimeDomainAllocationListForMultiPDSCH</w:t>
      </w:r>
      <w:r w:rsidRPr="00B27E56">
        <w:rPr>
          <w:lang w:val="en-US"/>
        </w:rPr>
        <w:t xml:space="preserve"> or </w:t>
      </w:r>
      <w:r w:rsidRPr="00B27E56">
        <w:rPr>
          <w:lang w:val="en-US" w:eastAsia="zh-CN"/>
        </w:rPr>
        <w:t xml:space="preserve">is provided </w:t>
      </w:r>
      <w:r w:rsidR="00195450" w:rsidRPr="00B27E56">
        <w:rPr>
          <w:i/>
          <w:iCs/>
        </w:rPr>
        <w:t>n</w:t>
      </w:r>
      <w:r w:rsidR="00195450">
        <w:rPr>
          <w:i/>
          <w:iCs/>
          <w:lang w:val="en-GB"/>
        </w:rPr>
        <w:t>ro</w:t>
      </w:r>
      <w:r w:rsidR="00195450" w:rsidRPr="00B27E56">
        <w:rPr>
          <w:i/>
          <w:iCs/>
        </w:rPr>
        <w:t>fHARQ</w:t>
      </w:r>
      <w:r w:rsidRPr="00B27E56">
        <w:rPr>
          <w:i/>
          <w:iCs/>
        </w:rPr>
        <w:t>-BundlingGroups</w:t>
      </w:r>
      <w:r w:rsidRPr="00B27E56">
        <w:t xml:space="preserve"> </w:t>
      </w:r>
      <w:r w:rsidRPr="00B27E56">
        <w:rPr>
          <w:lang w:val="en-US"/>
        </w:rPr>
        <w:t xml:space="preserve">with value </w:t>
      </w:r>
      <m:oMath>
        <m:sSubSup>
          <m:sSubSupPr>
            <m:ctrlPr>
              <w:rPr>
                <w:rFonts w:ascii="Cambria Math" w:hAnsi="Cambria Math"/>
                <w:i/>
              </w:rPr>
            </m:ctrlPr>
          </m:sSubSupPr>
          <m:e>
            <m:r>
              <w:rPr>
                <w:rFonts w:ascii="Cambria Math"/>
              </w:rPr>
              <m:t>N</m:t>
            </m:r>
          </m:e>
          <m:sub>
            <m:r>
              <m:rPr>
                <m:sty m:val="p"/>
              </m:rPr>
              <w:rPr>
                <w:rFonts w:ascii="Cambria Math"/>
              </w:rPr>
              <m:t>HARQ</m:t>
            </m:r>
            <m:r>
              <m:rPr>
                <m:sty m:val="p"/>
              </m:rPr>
              <w:rPr>
                <w:rFonts w:ascii="Cambria Math"/>
              </w:rPr>
              <m:t>-</m:t>
            </m:r>
            <m:r>
              <m:rPr>
                <m:sty m:val="p"/>
              </m:rPr>
              <w:rPr>
                <w:rFonts w:ascii="Cambria Math"/>
              </w:rPr>
              <m:t>ACK</m:t>
            </m:r>
            <m:ctrlPr>
              <w:rPr>
                <w:rFonts w:ascii="Cambria Math" w:hAnsi="Cambria Math"/>
              </w:rPr>
            </m:ctrlPr>
          </m:sub>
          <m:sup>
            <m:r>
              <m:rPr>
                <m:sty m:val="p"/>
              </m:rPr>
              <w:rPr>
                <w:rFonts w:ascii="Cambria Math"/>
                <w:lang w:val="en-US"/>
              </w:rPr>
              <m:t>TBG,max</m:t>
            </m:r>
            <m:ctrlPr>
              <w:rPr>
                <w:rFonts w:ascii="Cambria Math" w:hAnsi="Cambria Math"/>
              </w:rPr>
            </m:ctrlPr>
          </m:sup>
        </m:sSubSup>
        <m:r>
          <w:rPr>
            <w:rFonts w:ascii="Cambria Math" w:hAnsi="Cambria Math"/>
          </w:rPr>
          <m:t>=1</m:t>
        </m:r>
      </m:oMath>
      <w:r w:rsidRPr="00B27E56">
        <w:t xml:space="preserve">, for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DL,TB</m:t>
            </m:r>
            <m:ctrlPr>
              <w:rPr>
                <w:rFonts w:ascii="Cambria Math" w:hAnsi="Cambria Math"/>
              </w:rPr>
            </m:ctrlPr>
          </m:sup>
        </m:sSubSup>
      </m:oMath>
      <w:r w:rsidRPr="00B27E56">
        <w:t xml:space="preserve"> serving cells where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DL,TB</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DL,TBG</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m:t>
            </m:r>
            <m:ctrlPr>
              <w:rPr>
                <w:rFonts w:ascii="Cambria Math" w:hAnsi="Cambria Math"/>
              </w:rPr>
            </m:ctrlPr>
          </m:sup>
        </m:sSubSup>
      </m:oMath>
    </w:p>
    <w:p w14:paraId="4B9DF283" w14:textId="77777777" w:rsidR="00F80622" w:rsidRPr="00B27E56" w:rsidRDefault="00F80622" w:rsidP="00F80622">
      <w:pPr>
        <w:rPr>
          <w:lang w:eastAsia="zh-CN"/>
        </w:rPr>
      </w:pPr>
      <w:r w:rsidRPr="00B27E56">
        <w:rPr>
          <w:rFonts w:cs="Arial" w:hint="eastAsia"/>
          <w:lang w:eastAsia="zh-CN"/>
        </w:rPr>
        <w:t>the UE determine</w:t>
      </w:r>
      <w:r w:rsidRPr="00B27E56">
        <w:rPr>
          <w:rFonts w:cs="Arial"/>
          <w:lang w:eastAsia="zh-CN"/>
        </w:rPr>
        <w:t>s</w:t>
      </w:r>
      <w:r w:rsidRPr="00B27E56">
        <w:rPr>
          <w:rFonts w:cs="Arial" w:hint="eastAsia"/>
          <w:lang w:eastAsia="zh-CN"/>
        </w:rPr>
        <w:t xml:space="preserve"> the </w:t>
      </w:r>
      <m:oMath>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r>
              <w:rPr>
                <w:rFonts w:ascii="Cambria Math"/>
              </w:rPr>
              <m:t>0</m:t>
            </m:r>
          </m:sub>
          <m:sup>
            <m:r>
              <w:rPr>
                <w:rFonts w:ascii="Cambria Math"/>
              </w:rPr>
              <m:t>ACK</m:t>
            </m:r>
          </m:sup>
        </m:sSubSup>
        <m:r>
          <w:rPr>
            <w:rFonts w:ascii="Cambria Math" w:hAnsi="Cambria Math"/>
          </w:rPr>
          <m:t xml:space="preserve">, </m:t>
        </m:r>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r>
              <w:rPr>
                <w:rFonts w:ascii="Cambria Math"/>
              </w:rPr>
              <m:t>1</m:t>
            </m:r>
          </m:sub>
          <m:sup>
            <m:r>
              <w:rPr>
                <w:rFonts w:ascii="Cambria Math"/>
              </w:rPr>
              <m:t>ACK</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sSub>
              <m:sSubPr>
                <m:ctrlPr>
                  <w:rPr>
                    <w:rFonts w:ascii="Cambria Math" w:hAnsi="Cambria Math"/>
                    <w:i/>
                  </w:rPr>
                </m:ctrlPr>
              </m:sSubPr>
              <m:e>
                <m:r>
                  <w:rPr>
                    <w:rFonts w:ascii="Cambria Math" w:hAnsi="Cambria Math"/>
                  </w:rPr>
                  <m:t>O</m:t>
                </m:r>
              </m:e>
              <m:sub>
                <m:r>
                  <m:rPr>
                    <m:sty m:val="p"/>
                  </m:rPr>
                  <w:rPr>
                    <w:rFonts w:ascii="Cambria Math" w:hAnsi="Cambria Math"/>
                  </w:rPr>
                  <m:t>ACK</m:t>
                </m:r>
              </m:sub>
            </m:sSub>
            <m:r>
              <w:rPr>
                <w:rFonts w:ascii="Cambria Math" w:hAnsi="Cambria Math"/>
              </w:rPr>
              <m:t>-1</m:t>
            </m:r>
          </m:sub>
          <m:sup>
            <m:r>
              <w:rPr>
                <w:rFonts w:ascii="Cambria Math"/>
              </w:rPr>
              <m:t>ACK</m:t>
            </m:r>
          </m:sup>
        </m:sSubSup>
      </m:oMath>
      <w:r w:rsidRPr="00B27E56">
        <w:rPr>
          <w:rFonts w:hint="eastAsia"/>
          <w:lang w:eastAsia="zh-CN"/>
        </w:rPr>
        <w:t xml:space="preserve"> </w:t>
      </w:r>
      <w:r w:rsidRPr="00B27E56">
        <w:rPr>
          <w:lang w:eastAsia="zh-CN"/>
        </w:rPr>
        <w:t>according</w:t>
      </w:r>
      <w:r w:rsidRPr="00B27E56">
        <w:rPr>
          <w:rFonts w:hint="eastAsia"/>
          <w:lang w:eastAsia="zh-CN"/>
        </w:rPr>
        <w:t xml:space="preserve"> to the previous pseudo-code with the following modifications</w:t>
      </w:r>
    </w:p>
    <w:p w14:paraId="056D649C" w14:textId="77777777" w:rsidR="00F80622" w:rsidRPr="00B27E56" w:rsidRDefault="00F80622" w:rsidP="00F80622">
      <w:pPr>
        <w:pStyle w:val="B1"/>
      </w:pPr>
      <w:r w:rsidRPr="00B27E56">
        <w:lastRenderedPageBreak/>
        <w:t>-</w:t>
      </w:r>
      <w:r w:rsidRPr="00B27E56">
        <w:tab/>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m:t>
            </m:r>
            <m:ctrlPr>
              <w:rPr>
                <w:rFonts w:ascii="Cambria Math" w:hAnsi="Cambria Math"/>
              </w:rPr>
            </m:ctrlPr>
          </m:sup>
        </m:sSubSup>
      </m:oMath>
      <w:r w:rsidRPr="00B27E56">
        <w:t xml:space="preserve"> is used for the determination of a first HARQ-ACK sub-codebook for </w:t>
      </w:r>
    </w:p>
    <w:p w14:paraId="50B9600E" w14:textId="77777777" w:rsidR="00F80622" w:rsidRPr="00B27E56" w:rsidRDefault="00F80622" w:rsidP="00F80622">
      <w:pPr>
        <w:pStyle w:val="B2"/>
      </w:pPr>
      <w:r w:rsidRPr="00B27E56">
        <w:t>-</w:t>
      </w:r>
      <w:r w:rsidRPr="00B27E56">
        <w:tab/>
        <w:t xml:space="preserve">SPS PDSCH reception, </w:t>
      </w:r>
    </w:p>
    <w:p w14:paraId="72A6D971" w14:textId="77777777" w:rsidR="00F80622" w:rsidRPr="00B27E56" w:rsidRDefault="00F80622" w:rsidP="00F80622">
      <w:pPr>
        <w:pStyle w:val="B2"/>
      </w:pPr>
      <w:r w:rsidRPr="00B27E56">
        <w:rPr>
          <w:lang w:val="en-US"/>
        </w:rPr>
        <w:t>-</w:t>
      </w:r>
      <w:r w:rsidRPr="00B27E56">
        <w:rPr>
          <w:lang w:val="en-US"/>
        </w:rPr>
        <w:tab/>
        <w:t xml:space="preserve">any </w:t>
      </w:r>
      <w:r w:rsidRPr="00B27E56">
        <w:t xml:space="preserve">DCI format </w:t>
      </w:r>
      <w:r>
        <w:rPr>
          <w:lang w:val="en-US" w:eastAsia="zh-CN"/>
        </w:rPr>
        <w:t>having associated</w:t>
      </w:r>
      <w:r w:rsidRPr="00B27E56">
        <w:rPr>
          <w:lang w:val="en-US"/>
        </w:rPr>
        <w:t xml:space="preserve"> HARQ-ACK information without scheduling PDSCH reception, </w:t>
      </w:r>
      <w:r w:rsidRPr="00B27E56">
        <w:t xml:space="preserve">and </w:t>
      </w:r>
    </w:p>
    <w:p w14:paraId="05F0B486" w14:textId="77777777" w:rsidR="00F80622" w:rsidRPr="00B27E56" w:rsidRDefault="00F80622" w:rsidP="00F80622">
      <w:pPr>
        <w:pStyle w:val="B2"/>
      </w:pPr>
      <w:r>
        <w:t>-</w:t>
      </w:r>
      <w:r>
        <w:tab/>
        <w:t>PDSCH reception scheduled by a DCI format scheduling one PDSCH</w:t>
      </w:r>
    </w:p>
    <w:p w14:paraId="7E4A1E84" w14:textId="77777777" w:rsidR="00F80622" w:rsidRPr="00B27E56" w:rsidRDefault="00F80622" w:rsidP="00F80622">
      <w:pPr>
        <w:pStyle w:val="B2"/>
      </w:pPr>
      <w:r w:rsidRPr="00B27E56">
        <w:t>-</w:t>
      </w:r>
      <w:r w:rsidRPr="00B27E56">
        <w:tab/>
      </w:r>
      <w:r>
        <w:t>PDSCH reception</w:t>
      </w:r>
      <w:r>
        <w:rPr>
          <w:lang w:val="en-US"/>
        </w:rPr>
        <w:t xml:space="preserve"> with</w:t>
      </w:r>
      <w:r w:rsidRPr="00B27E56">
        <w:rPr>
          <w:lang w:val="en-US"/>
        </w:rPr>
        <w:t xml:space="preserve"> </w:t>
      </w:r>
      <m:oMath>
        <m:sSubSup>
          <m:sSubSupPr>
            <m:ctrlPr>
              <w:rPr>
                <w:rFonts w:ascii="Cambria Math" w:hAnsi="Cambria Math"/>
                <w:i/>
              </w:rPr>
            </m:ctrlPr>
          </m:sSubSupPr>
          <m:e>
            <m:r>
              <w:rPr>
                <w:rFonts w:ascii="Cambria Math"/>
              </w:rPr>
              <m:t>N</m:t>
            </m:r>
          </m:e>
          <m:sub>
            <m:r>
              <m:rPr>
                <m:sty m:val="p"/>
              </m:rPr>
              <w:rPr>
                <w:rFonts w:ascii="Cambria Math"/>
              </w:rPr>
              <m:t>HARQ</m:t>
            </m:r>
            <m:r>
              <m:rPr>
                <m:sty m:val="p"/>
              </m:rPr>
              <w:rPr>
                <w:rFonts w:ascii="Cambria Math"/>
              </w:rPr>
              <m:t>-</m:t>
            </m:r>
            <m:r>
              <m:rPr>
                <m:sty m:val="p"/>
              </m:rPr>
              <w:rPr>
                <w:rFonts w:ascii="Cambria Math"/>
              </w:rPr>
              <m:t>ACK</m:t>
            </m:r>
            <m:ctrlPr>
              <w:rPr>
                <w:rFonts w:ascii="Cambria Math" w:hAnsi="Cambria Math"/>
              </w:rPr>
            </m:ctrlPr>
          </m:sub>
          <m:sup>
            <m:r>
              <m:rPr>
                <m:sty m:val="p"/>
              </m:rPr>
              <w:rPr>
                <w:rFonts w:ascii="Cambria Math"/>
                <w:lang w:val="en-US"/>
              </w:rPr>
              <m:t>TBG,max</m:t>
            </m:r>
            <m:ctrlPr>
              <w:rPr>
                <w:rFonts w:ascii="Cambria Math" w:hAnsi="Cambria Math"/>
              </w:rPr>
            </m:ctrlPr>
          </m:sup>
        </m:sSubSup>
        <m:r>
          <w:rPr>
            <w:rFonts w:ascii="Cambria Math" w:hAnsi="Cambria Math"/>
          </w:rPr>
          <m:t>=1</m:t>
        </m:r>
      </m:oMath>
      <w:r>
        <w:rPr>
          <w:lang w:val="en-US"/>
        </w:rPr>
        <w:t xml:space="preserve"> for </w:t>
      </w:r>
      <w:r w:rsidRPr="00B27E56">
        <w:rPr>
          <w:lang w:val="en-US"/>
        </w:rPr>
        <w:t xml:space="preserve">TBG-based HARQ-ACK information </w:t>
      </w:r>
      <w:r w:rsidRPr="00B27E56">
        <w:t xml:space="preserve">on the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DL,TB</m:t>
            </m:r>
            <m:ctrlPr>
              <w:rPr>
                <w:rFonts w:ascii="Cambria Math" w:hAnsi="Cambria Math"/>
              </w:rPr>
            </m:ctrlPr>
          </m:sup>
        </m:sSubSup>
      </m:oMath>
      <w:r w:rsidRPr="00B27E56">
        <w:t xml:space="preserve"> serving cells</w:t>
      </w:r>
      <w:r w:rsidRPr="00B27E56">
        <w:rPr>
          <w:lang w:val="en-GB"/>
        </w:rPr>
        <w:t>,</w:t>
      </w:r>
    </w:p>
    <w:p w14:paraId="7C81A3BD" w14:textId="77777777" w:rsidR="00F80622" w:rsidRPr="00B27E56" w:rsidRDefault="00F80622" w:rsidP="00F80622">
      <w:pPr>
        <w:pStyle w:val="B1"/>
      </w:pPr>
      <w:r w:rsidRPr="00B27E56">
        <w:t>-</w:t>
      </w:r>
      <w:r w:rsidRPr="00B27E56">
        <w:tab/>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m:t>
            </m:r>
            <m:ctrlPr>
              <w:rPr>
                <w:rFonts w:ascii="Cambria Math" w:hAnsi="Cambria Math"/>
              </w:rPr>
            </m:ctrlPr>
          </m:sup>
        </m:sSubSup>
      </m:oMath>
      <w:r w:rsidRPr="00B27E56">
        <w:t xml:space="preserve"> is replaced by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DL,TBG</m:t>
            </m:r>
            <m:ctrlPr>
              <w:rPr>
                <w:rFonts w:ascii="Cambria Math" w:hAnsi="Cambria Math"/>
              </w:rPr>
            </m:ctrlPr>
          </m:sup>
        </m:sSubSup>
      </m:oMath>
      <w:r w:rsidRPr="00B27E56">
        <w:t xml:space="preserve"> for the determination of a second HARQ-ACK sub-codebook corresponding to the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DL,TBG</m:t>
            </m:r>
            <m:ctrlPr>
              <w:rPr>
                <w:rFonts w:ascii="Cambria Math" w:hAnsi="Cambria Math"/>
              </w:rPr>
            </m:ctrlPr>
          </m:sup>
        </m:sSubSup>
      </m:oMath>
      <w:r w:rsidRPr="00B27E56">
        <w:t xml:space="preserve"> serving cell</w:t>
      </w:r>
      <w:r w:rsidRPr="00B27E56">
        <w:rPr>
          <w:lang w:val="en-US"/>
        </w:rPr>
        <w:t>s for TBG-based HARQ-ACK information, or for TB-based HARQ-ACK information corresponding to multiple PDSCH receptions scheduled by a single DCI format</w:t>
      </w:r>
      <w:r w:rsidRPr="00B27E56">
        <w:t>, and</w:t>
      </w:r>
    </w:p>
    <w:p w14:paraId="1473782F" w14:textId="77777777" w:rsidR="00F80622" w:rsidRPr="00B27E56" w:rsidRDefault="00F80622" w:rsidP="00F80622">
      <w:pPr>
        <w:pStyle w:val="B1"/>
      </w:pPr>
      <w:r w:rsidRPr="00B27E56">
        <w:rPr>
          <w:lang w:val="en-US" w:eastAsia="zh-CN"/>
        </w:rPr>
        <w:t>-</w:t>
      </w:r>
      <w:r w:rsidRPr="00B27E56">
        <w:rPr>
          <w:lang w:val="en-US" w:eastAsia="zh-CN"/>
        </w:rPr>
        <w:tab/>
        <w:t>if,</w:t>
      </w:r>
      <w:r w:rsidRPr="00B27E56">
        <w:rPr>
          <w:lang w:eastAsia="zh-CN"/>
        </w:rPr>
        <w:t xml:space="preserve"> </w:t>
      </w:r>
      <w:r w:rsidRPr="00B27E56">
        <w:t xml:space="preserve">for an active DL BWP of a serving cell, </w:t>
      </w:r>
      <w:r w:rsidRPr="00B27E56">
        <w:rPr>
          <w:lang w:eastAsia="zh-CN"/>
        </w:rPr>
        <w:t xml:space="preserve">the UE is not provided </w:t>
      </w:r>
      <w:r w:rsidRPr="00B27E56">
        <w:rPr>
          <w:i/>
          <w:lang w:val="en-US" w:eastAsia="zh-CN"/>
        </w:rPr>
        <w:t>coreset</w:t>
      </w:r>
      <w:r w:rsidRPr="00B27E56">
        <w:rPr>
          <w:i/>
          <w:lang w:eastAsia="zh-CN"/>
        </w:rPr>
        <w:t>PoolIndex</w:t>
      </w:r>
      <w:r w:rsidRPr="00B27E56">
        <w:rPr>
          <w:lang w:eastAsia="zh-CN"/>
        </w:rPr>
        <w:t xml:space="preserve"> or is provided </w:t>
      </w:r>
      <w:r w:rsidRPr="00B27E56">
        <w:rPr>
          <w:i/>
          <w:lang w:val="en-US" w:eastAsia="zh-CN"/>
        </w:rPr>
        <w:t>coreset</w:t>
      </w:r>
      <w:r w:rsidRPr="00B27E56">
        <w:rPr>
          <w:i/>
          <w:lang w:eastAsia="zh-CN"/>
        </w:rPr>
        <w:t>PoolIndex</w:t>
      </w:r>
      <w:r w:rsidRPr="00B27E56">
        <w:rPr>
          <w:lang w:eastAsia="zh-CN"/>
        </w:rPr>
        <w:t xml:space="preserve"> with value 0 for one or more first CORESETs and is provided </w:t>
      </w:r>
      <w:r w:rsidRPr="00B27E56">
        <w:rPr>
          <w:i/>
          <w:lang w:val="en-US" w:eastAsia="zh-CN"/>
        </w:rPr>
        <w:t>coreset</w:t>
      </w:r>
      <w:r w:rsidRPr="00B27E56">
        <w:rPr>
          <w:i/>
          <w:lang w:eastAsia="zh-CN"/>
        </w:rPr>
        <w:t>PoolIndex</w:t>
      </w:r>
      <w:r w:rsidRPr="00B27E56">
        <w:rPr>
          <w:lang w:eastAsia="zh-CN"/>
        </w:rPr>
        <w:t xml:space="preserve"> with value 1 for one or more second CORESETs, and is provided </w:t>
      </w:r>
      <w:r w:rsidRPr="00B27E56">
        <w:rPr>
          <w:i/>
        </w:rPr>
        <w:t>ackNackFeedbackMode</w:t>
      </w:r>
      <w:r w:rsidRPr="00B27E56">
        <w:rPr>
          <w:i/>
          <w:iCs/>
        </w:rPr>
        <w:t xml:space="preserve"> </w:t>
      </w:r>
      <w:r w:rsidRPr="00B27E56">
        <w:t>=</w:t>
      </w:r>
      <w:r w:rsidRPr="00B27E56">
        <w:rPr>
          <w:i/>
          <w:iCs/>
        </w:rPr>
        <w:t xml:space="preserve"> joint</w:t>
      </w:r>
      <w:r w:rsidRPr="00B27E56">
        <w:rPr>
          <w:i/>
          <w:lang w:eastAsia="zh-CN"/>
        </w:rPr>
        <w:t xml:space="preserve">, </w:t>
      </w:r>
      <w:r w:rsidRPr="00B27E56">
        <w:rPr>
          <w:iCs/>
          <w:lang w:eastAsia="zh-CN"/>
        </w:rPr>
        <w:t xml:space="preserve">the serving cell is counted as two times where </w:t>
      </w:r>
      <w:r w:rsidRPr="00B27E56">
        <w:rPr>
          <w:iCs/>
          <w:lang w:val="en-US" w:eastAsia="zh-CN"/>
        </w:rPr>
        <w:t>the first time corresponds to the first CORESETs and the second time corresponds to the second CORESETs</w:t>
      </w:r>
      <w:r w:rsidRPr="00B27E56">
        <w:rPr>
          <w:lang w:eastAsia="zh-CN"/>
        </w:rPr>
        <w:t>, and</w:t>
      </w:r>
    </w:p>
    <w:p w14:paraId="2CD6538E" w14:textId="4A8DF654" w:rsidR="00F80622" w:rsidRDefault="00F80622" w:rsidP="00F80622">
      <w:pPr>
        <w:pStyle w:val="B2"/>
        <w:rPr>
          <w:lang w:val="en-US"/>
        </w:rPr>
      </w:pPr>
      <w:r w:rsidRPr="00B27E56">
        <w:t>-</w:t>
      </w:r>
      <w:r w:rsidRPr="00B27E56">
        <w:tab/>
      </w:r>
      <w:r w:rsidR="00CB5D89" w:rsidRPr="00B27E56">
        <w:t>instead</w:t>
      </w:r>
      <w:r w:rsidRPr="00B27E56">
        <w:t xml:space="preserve"> of generating one</w:t>
      </w:r>
      <w:r w:rsidR="004F456D" w:rsidRPr="004F456D">
        <w:rPr>
          <w:rFonts w:eastAsia="Malgun Gothic"/>
        </w:rPr>
        <w:t xml:space="preserve"> </w:t>
      </w:r>
      <w:r w:rsidR="004F456D" w:rsidRPr="0026392D">
        <w:rPr>
          <w:rFonts w:eastAsia="Malgun Gothic"/>
        </w:rPr>
        <w:t>or two</w:t>
      </w:r>
      <w:r w:rsidRPr="00B27E56">
        <w:t xml:space="preserve"> HARQ-ACK information bit</w:t>
      </w:r>
      <w:r w:rsidR="004F456D">
        <w:rPr>
          <w:lang w:val="en-GB"/>
        </w:rPr>
        <w:t>s</w:t>
      </w:r>
      <w:r w:rsidRPr="00B27E56">
        <w:t xml:space="preserve"> per </w:t>
      </w:r>
      <w:r w:rsidR="004F456D" w:rsidRPr="0026392D">
        <w:rPr>
          <w:rFonts w:eastAsia="Malgun Gothic"/>
        </w:rPr>
        <w:t>PDSCH</w:t>
      </w:r>
      <w:r w:rsidRPr="00B27E56">
        <w:t xml:space="preserve"> for a serving cell from the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DL,TBG</m:t>
            </m:r>
            <m:ctrlPr>
              <w:rPr>
                <w:rFonts w:ascii="Cambria Math" w:hAnsi="Cambria Math"/>
              </w:rPr>
            </m:ctrlPr>
          </m:sup>
        </m:sSubSup>
      </m:oMath>
      <w:r w:rsidRPr="00B27E56">
        <w:t xml:space="preserve"> serving cells, the UE generates </w:t>
      </w:r>
      <m:oMath>
        <m:sSubSup>
          <m:sSubSupPr>
            <m:ctrlPr>
              <w:rPr>
                <w:rFonts w:ascii="Cambria Math" w:hAnsi="Cambria Math"/>
                <w:i/>
                <w:lang w:eastAsia="zh-CN"/>
              </w:rPr>
            </m:ctrlPr>
          </m:sSubSupPr>
          <m:e>
            <m:r>
              <w:rPr>
                <w:rFonts w:ascii="Cambria Math" w:hAnsi="Cambria Math"/>
                <w:lang w:eastAsia="zh-CN"/>
              </w:rPr>
              <m:t>N</m:t>
            </m:r>
          </m:e>
          <m:sub>
            <m:r>
              <m:rPr>
                <m:nor/>
              </m:rPr>
              <w:rPr>
                <w:rFonts w:ascii="Cambria Math" w:hAnsi="Cambria Math"/>
                <w:lang w:eastAsia="zh-CN"/>
              </w:rPr>
              <m:t>HARQ</m:t>
            </m:r>
            <m:r>
              <m:rPr>
                <m:sty m:val="p"/>
              </m:rPr>
              <w:rPr>
                <w:rFonts w:ascii="Cambria Math" w:hAnsi="Cambria Math"/>
                <w:lang w:eastAsia="zh-CN"/>
              </w:rPr>
              <m:t>-</m:t>
            </m:r>
            <m:r>
              <m:rPr>
                <m:nor/>
              </m:rPr>
              <w:rPr>
                <w:rFonts w:ascii="Cambria Math" w:hAnsi="Cambria Math"/>
                <w:lang w:eastAsia="zh-CN"/>
              </w:rPr>
              <m:t>ACK,max</m:t>
            </m:r>
            <m:ctrlPr>
              <w:rPr>
                <w:rFonts w:ascii="Cambria Math" w:hAnsi="Cambria Math"/>
                <w:lang w:eastAsia="zh-CN"/>
              </w:rPr>
            </m:ctrlPr>
          </m:sub>
          <m:sup>
            <m:r>
              <m:rPr>
                <m:nor/>
              </m:rPr>
              <w:rPr>
                <w:rFonts w:ascii="Cambria Math" w:hAnsi="Cambria Math"/>
                <w:lang w:val="en-US" w:eastAsia="zh-CN"/>
              </w:rPr>
              <m:t>T</m:t>
            </m:r>
            <m:r>
              <m:rPr>
                <m:nor/>
              </m:rPr>
              <w:rPr>
                <w:rFonts w:ascii="Cambria Math" w:hAnsi="Cambria Math"/>
                <w:lang w:eastAsia="zh-CN"/>
              </w:rPr>
              <m:t>BG,max</m:t>
            </m:r>
            <m:ctrlPr>
              <w:rPr>
                <w:rFonts w:ascii="Cambria Math" w:hAnsi="Cambria Math"/>
                <w:lang w:eastAsia="zh-CN"/>
              </w:rPr>
            </m:ctrlPr>
          </m:sup>
        </m:sSubSup>
      </m:oMath>
      <w:r w:rsidRPr="00B27E56">
        <w:t xml:space="preserve"> HARQ-ACK information bits</w:t>
      </w:r>
      <w:r w:rsidR="004F456D" w:rsidRPr="0026392D">
        <w:rPr>
          <w:lang w:val="en-US"/>
        </w:rPr>
        <w:t xml:space="preserve"> for</w:t>
      </w:r>
      <w:r w:rsidR="004F456D">
        <w:rPr>
          <w:lang w:val="en-US"/>
        </w:rPr>
        <w:t xml:space="preserve"> the</w:t>
      </w:r>
      <w:r w:rsidR="004F456D" w:rsidRPr="0026392D">
        <w:rPr>
          <w:lang w:val="en-US"/>
        </w:rPr>
        <w:t xml:space="preserve"> </w:t>
      </w:r>
      <w:r w:rsidR="004F456D" w:rsidRPr="0026392D">
        <w:t>PDSCH receptions scheduled by a DCI format</w:t>
      </w:r>
      <w:r w:rsidRPr="00B27E56">
        <w:t xml:space="preserve">, where </w:t>
      </w:r>
      <m:oMath>
        <m:sSubSup>
          <m:sSubSupPr>
            <m:ctrlPr>
              <w:rPr>
                <w:rFonts w:ascii="Cambria Math" w:hAnsi="Cambria Math"/>
                <w:i/>
                <w:lang w:eastAsia="zh-CN"/>
              </w:rPr>
            </m:ctrlPr>
          </m:sSubSupPr>
          <m:e>
            <m:r>
              <w:rPr>
                <w:rFonts w:ascii="Cambria Math" w:hAnsi="Cambria Math"/>
                <w:lang w:eastAsia="zh-CN"/>
              </w:rPr>
              <m:t>N</m:t>
            </m:r>
          </m:e>
          <m:sub>
            <m:r>
              <m:rPr>
                <m:nor/>
              </m:rPr>
              <w:rPr>
                <w:rFonts w:ascii="Cambria Math" w:hAnsi="Cambria Math"/>
                <w:lang w:eastAsia="zh-CN"/>
              </w:rPr>
              <m:t>HARQ</m:t>
            </m:r>
            <m:r>
              <m:rPr>
                <m:sty m:val="p"/>
              </m:rPr>
              <w:rPr>
                <w:rFonts w:ascii="Cambria Math" w:hAnsi="Cambria Math"/>
                <w:lang w:eastAsia="zh-CN"/>
              </w:rPr>
              <m:t>-</m:t>
            </m:r>
            <m:r>
              <m:rPr>
                <m:nor/>
              </m:rPr>
              <w:rPr>
                <w:rFonts w:ascii="Cambria Math" w:hAnsi="Cambria Math"/>
                <w:lang w:eastAsia="zh-CN"/>
              </w:rPr>
              <m:t>ACK,max</m:t>
            </m:r>
            <m:ctrlPr>
              <w:rPr>
                <w:rFonts w:ascii="Cambria Math" w:hAnsi="Cambria Math"/>
                <w:lang w:eastAsia="zh-CN"/>
              </w:rPr>
            </m:ctrlPr>
          </m:sub>
          <m:sup>
            <m:r>
              <m:rPr>
                <m:nor/>
              </m:rPr>
              <w:rPr>
                <w:rFonts w:ascii="Cambria Math" w:hAnsi="Cambria Math"/>
                <w:lang w:val="en-US" w:eastAsia="zh-CN"/>
              </w:rPr>
              <m:t>T</m:t>
            </m:r>
            <m:r>
              <m:rPr>
                <m:nor/>
              </m:rPr>
              <w:rPr>
                <w:rFonts w:ascii="Cambria Math" w:hAnsi="Cambria Math"/>
                <w:lang w:eastAsia="zh-CN"/>
              </w:rPr>
              <m:t>BG,max</m:t>
            </m:r>
            <m:ctrlPr>
              <w:rPr>
                <w:rFonts w:ascii="Cambria Math" w:hAnsi="Cambria Math"/>
                <w:lang w:eastAsia="zh-CN"/>
              </w:rPr>
            </m:ctrlPr>
          </m:sup>
        </m:sSubSup>
      </m:oMath>
      <w:r w:rsidRPr="00B27E56">
        <w:t xml:space="preserve"> is the maximum value </w:t>
      </w:r>
      <w:r w:rsidRPr="00B27E56">
        <w:rPr>
          <w:lang w:val="en-US"/>
        </w:rPr>
        <w:t>between</w:t>
      </w:r>
      <w:r w:rsidRPr="00B27E56">
        <w:t xml:space="preserv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ctrlPr>
              <w:rPr>
                <w:rFonts w:ascii="Cambria Math" w:hAnsi="Cambria Math"/>
              </w:rPr>
            </m:ctrlPr>
          </m:sub>
          <m:sup>
            <m:r>
              <m:rPr>
                <m:nor/>
              </m:rPr>
              <w:rPr>
                <w:rFonts w:ascii="Cambria Math" w:hAnsi="Cambria Math"/>
                <w:lang w:val="en-US"/>
              </w:rPr>
              <m:t>DL</m:t>
            </m:r>
            <m:ctrlPr>
              <w:rPr>
                <w:rFonts w:ascii="Cambria Math" w:hAnsi="Cambria Math"/>
              </w:rPr>
            </m:ctrlPr>
          </m:sup>
        </m:sSubSup>
        <m:r>
          <m:rPr>
            <m:sty m:val="p"/>
          </m:rP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N</m:t>
            </m:r>
          </m:e>
          <m:sub>
            <m:r>
              <m:rPr>
                <m:nor/>
              </m:rPr>
              <w:rPr>
                <w:rFonts w:ascii="Cambria Math" w:hAnsi="Cambria Math"/>
                <w:lang w:eastAsia="zh-CN"/>
              </w:rPr>
              <m:t>HARQ</m:t>
            </m:r>
            <m:r>
              <m:rPr>
                <m:sty m:val="p"/>
              </m:rPr>
              <w:rPr>
                <w:rFonts w:ascii="Cambria Math" w:hAnsi="Cambria Math"/>
                <w:lang w:eastAsia="zh-CN"/>
              </w:rPr>
              <m:t>-</m:t>
            </m:r>
            <m:r>
              <m:rPr>
                <m:nor/>
              </m:rPr>
              <w:rPr>
                <w:rFonts w:ascii="Cambria Math" w:hAnsi="Cambria Math"/>
                <w:lang w:eastAsia="zh-CN"/>
              </w:rPr>
              <m:t>ACK,</m:t>
            </m:r>
            <m:r>
              <m:rPr>
                <m:nor/>
              </m:rPr>
              <w:rPr>
                <w:rFonts w:ascii="Cambria Math" w:hAnsi="Cambria Math"/>
                <w:i/>
                <w:iCs/>
                <w:lang w:val="en-US" w:eastAsia="zh-CN"/>
              </w:rPr>
              <m:t>c</m:t>
            </m:r>
            <m:ctrlPr>
              <w:rPr>
                <w:rFonts w:ascii="Cambria Math" w:hAnsi="Cambria Math"/>
                <w:lang w:eastAsia="zh-CN"/>
              </w:rPr>
            </m:ctrlPr>
          </m:sub>
          <m:sup>
            <m:r>
              <m:rPr>
                <m:nor/>
              </m:rPr>
              <w:rPr>
                <w:rFonts w:ascii="Cambria Math" w:hAnsi="Cambria Math"/>
                <w:lang w:val="en-US" w:eastAsia="zh-CN"/>
              </w:rPr>
              <m:t>T</m:t>
            </m:r>
            <m:r>
              <m:rPr>
                <m:nor/>
              </m:rPr>
              <w:rPr>
                <w:rFonts w:ascii="Cambria Math" w:hAnsi="Cambria Math"/>
                <w:lang w:eastAsia="zh-CN"/>
              </w:rPr>
              <m:t>BG,max</m:t>
            </m:r>
            <m:ctrlPr>
              <w:rPr>
                <w:rFonts w:ascii="Cambria Math" w:hAnsi="Cambria Math"/>
                <w:lang w:eastAsia="zh-CN"/>
              </w:rPr>
            </m:ctrlPr>
          </m:sup>
        </m:sSubSup>
      </m:oMath>
      <w:r w:rsidRPr="00B27E56">
        <w:t xml:space="preserve"> across all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DL,TBG</m:t>
            </m:r>
            <m:ctrlPr>
              <w:rPr>
                <w:rFonts w:ascii="Cambria Math" w:hAnsi="Cambria Math"/>
              </w:rPr>
            </m:ctrlPr>
          </m:sup>
        </m:sSubSup>
      </m:oMath>
      <w:r w:rsidRPr="00B27E56">
        <w:t xml:space="preserve"> serving cells </w:t>
      </w:r>
      <w:r>
        <w:rPr>
          <w:lang w:val="en-US"/>
        </w:rPr>
        <w:t xml:space="preserve">if the UE is provided </w:t>
      </w:r>
      <w:r w:rsidR="009405ED" w:rsidRPr="00B27E56">
        <w:rPr>
          <w:i/>
          <w:iCs/>
        </w:rPr>
        <w:t>n</w:t>
      </w:r>
      <w:r w:rsidR="009405ED">
        <w:rPr>
          <w:i/>
          <w:iCs/>
          <w:lang w:val="en-GB"/>
        </w:rPr>
        <w:t>ro</w:t>
      </w:r>
      <w:r w:rsidR="009405ED" w:rsidRPr="00B27E56">
        <w:rPr>
          <w:i/>
          <w:iCs/>
        </w:rPr>
        <w:t>fHARQ</w:t>
      </w:r>
      <w:r w:rsidRPr="00B27E56">
        <w:rPr>
          <w:i/>
          <w:iCs/>
        </w:rPr>
        <w:t>-BundlingGroups</w:t>
      </w:r>
      <w:r>
        <w:rPr>
          <w:lang w:val="en-US"/>
        </w:rPr>
        <w:t>,</w:t>
      </w:r>
      <w:r w:rsidRPr="00B27E56">
        <w:rPr>
          <w:lang w:val="en-US"/>
        </w:rPr>
        <w:t xml:space="preserve"> and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ctrlPr>
              <w:rPr>
                <w:rFonts w:ascii="Cambria Math" w:hAnsi="Cambria Math"/>
              </w:rPr>
            </m:ctrlPr>
          </m:sub>
          <m:sup>
            <m:r>
              <m:rPr>
                <m:nor/>
              </m:rPr>
              <w:rPr>
                <w:rFonts w:ascii="Cambria Math" w:hAnsi="Cambria Math"/>
                <w:lang w:val="en-US"/>
              </w:rPr>
              <m:t>DL</m:t>
            </m:r>
            <m:ctrlPr>
              <w:rPr>
                <w:rFonts w:ascii="Cambria Math" w:hAnsi="Cambria Math"/>
              </w:rPr>
            </m:ctrlPr>
          </m:sup>
        </m:sSubSup>
        <m:r>
          <m:rPr>
            <m:sty m:val="p"/>
          </m:rP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N</m:t>
            </m:r>
          </m:e>
          <m:sub>
            <m:r>
              <m:rPr>
                <m:nor/>
              </m:rPr>
              <w:rPr>
                <w:rFonts w:ascii="Cambria Math" w:hAnsi="Cambria Math"/>
                <w:lang w:val="en-US" w:eastAsia="zh-CN"/>
              </w:rPr>
              <m:t>PDSCH</m:t>
            </m:r>
            <m:r>
              <m:rPr>
                <m:nor/>
              </m:rPr>
              <w:rPr>
                <w:rFonts w:ascii="Cambria Math" w:hAnsi="Cambria Math"/>
                <w:lang w:eastAsia="zh-CN"/>
              </w:rPr>
              <m:t>,</m:t>
            </m:r>
            <m:r>
              <m:rPr>
                <m:nor/>
              </m:rPr>
              <w:rPr>
                <w:rFonts w:ascii="Cambria Math" w:hAnsi="Cambria Math"/>
                <w:i/>
                <w:iCs/>
                <w:lang w:val="en-US" w:eastAsia="zh-CN"/>
              </w:rPr>
              <m:t>c</m:t>
            </m:r>
            <m:ctrlPr>
              <w:rPr>
                <w:rFonts w:ascii="Cambria Math" w:hAnsi="Cambria Math"/>
                <w:lang w:eastAsia="zh-CN"/>
              </w:rPr>
            </m:ctrlPr>
          </m:sub>
          <m:sup>
            <m:r>
              <m:rPr>
                <m:nor/>
              </m:rPr>
              <w:rPr>
                <w:rFonts w:ascii="Cambria Math" w:hAnsi="Cambria Math"/>
                <w:lang w:eastAsia="zh-CN"/>
              </w:rPr>
              <m:t>max</m:t>
            </m:r>
            <m:ctrlPr>
              <w:rPr>
                <w:rFonts w:ascii="Cambria Math" w:hAnsi="Cambria Math"/>
                <w:lang w:eastAsia="zh-CN"/>
              </w:rPr>
            </m:ctrlPr>
          </m:sup>
        </m:sSubSup>
      </m:oMath>
      <w:r w:rsidRPr="00B27E56">
        <w:rPr>
          <w:lang w:val="en-US" w:eastAsia="zh-CN"/>
        </w:rPr>
        <w:t xml:space="preserve"> across all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lang w:val="en-US"/>
              </w:rPr>
              <m:t>DL,TBG</m:t>
            </m:r>
            <m:ctrlPr>
              <w:rPr>
                <w:rFonts w:ascii="Cambria Math" w:hAnsi="Cambria Math"/>
              </w:rPr>
            </m:ctrlPr>
          </m:sup>
        </m:sSubSup>
      </m:oMath>
      <w:r>
        <w:rPr>
          <w:lang w:val="en-US"/>
        </w:rPr>
        <w:t xml:space="preserve"> </w:t>
      </w:r>
      <w:r w:rsidRPr="00B27E56">
        <w:rPr>
          <w:lang w:val="en-US" w:eastAsia="zh-CN"/>
        </w:rPr>
        <w:t xml:space="preserve">serving cells where the UE is not provided </w:t>
      </w:r>
      <w:r w:rsidR="009405ED" w:rsidRPr="00B27E56">
        <w:rPr>
          <w:i/>
          <w:iCs/>
        </w:rPr>
        <w:t>n</w:t>
      </w:r>
      <w:r w:rsidR="009405ED">
        <w:rPr>
          <w:i/>
          <w:iCs/>
          <w:lang w:val="en-GB"/>
        </w:rPr>
        <w:t>ro</w:t>
      </w:r>
      <w:r w:rsidR="009405ED" w:rsidRPr="00B27E56">
        <w:rPr>
          <w:i/>
          <w:iCs/>
        </w:rPr>
        <w:t>fHARQ</w:t>
      </w:r>
      <w:r w:rsidRPr="00B27E56">
        <w:rPr>
          <w:i/>
          <w:iCs/>
        </w:rPr>
        <w:t>-BundlingGroups</w:t>
      </w:r>
      <w:r w:rsidRPr="00B27E56">
        <w:rPr>
          <w:lang w:val="en-US"/>
        </w:rPr>
        <w:t xml:space="preserve">, and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ctrlPr>
              <w:rPr>
                <w:rFonts w:ascii="Cambria Math" w:hAnsi="Cambria Math"/>
              </w:rPr>
            </m:ctrlPr>
          </m:sub>
          <m:sup>
            <m:r>
              <m:rPr>
                <m:nor/>
              </m:rPr>
              <w:rPr>
                <w:rFonts w:ascii="Cambria Math" w:hAnsi="Cambria Math"/>
                <w:lang w:val="en-US"/>
              </w:rPr>
              <m:t>DL</m:t>
            </m:r>
            <m:ctrlPr>
              <w:rPr>
                <w:rFonts w:ascii="Cambria Math" w:hAnsi="Cambria Math"/>
              </w:rPr>
            </m:ctrlPr>
          </m:sup>
        </m:sSubSup>
      </m:oMath>
      <w:r w:rsidRPr="00B27E56">
        <w:rPr>
          <w:lang w:val="en-US"/>
        </w:rPr>
        <w:t xml:space="preserve"> is the value of </w:t>
      </w:r>
      <w:r w:rsidRPr="00B27E56">
        <w:rPr>
          <w:i/>
        </w:rPr>
        <w:t>maxNrofCodeWordsScheduledByDCI</w:t>
      </w:r>
      <w:r w:rsidRPr="00B27E56">
        <w:rPr>
          <w:lang w:val="en-US"/>
        </w:rPr>
        <w:t xml:space="preserve"> for serving cell </w:t>
      </w:r>
      <m:oMath>
        <m:r>
          <w:rPr>
            <w:rFonts w:ascii="Cambria Math" w:hAnsi="Cambria Math"/>
          </w:rPr>
          <m:t>c</m:t>
        </m:r>
      </m:oMath>
      <w:r w:rsidR="005045FF" w:rsidRPr="00BF3B7A">
        <w:rPr>
          <w:lang w:val="en-US"/>
        </w:rPr>
        <w:t xml:space="preserve"> </w:t>
      </w:r>
      <w:r w:rsidR="005045FF">
        <w:rPr>
          <w:lang w:val="en-US"/>
        </w:rPr>
        <w:t xml:space="preserve">if </w:t>
      </w:r>
      <w:r w:rsidR="005045FF" w:rsidRPr="00435CFD">
        <w:rPr>
          <w:i/>
        </w:rPr>
        <w:t>harq-ACK-SpatialBundlingPUCCH</w:t>
      </w:r>
      <w:r w:rsidR="005045FF" w:rsidRPr="00B916EC">
        <w:rPr>
          <w:rFonts w:hint="eastAsia"/>
          <w:lang w:eastAsia="zh-CN"/>
        </w:rPr>
        <w:t xml:space="preserve"> </w:t>
      </w:r>
      <w:r w:rsidR="005045FF">
        <w:rPr>
          <w:lang w:val="en-US" w:eastAsia="zh-CN"/>
        </w:rPr>
        <w:t xml:space="preserve">is not provided; else,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ctrlPr>
              <w:rPr>
                <w:rFonts w:ascii="Cambria Math" w:hAnsi="Cambria Math"/>
              </w:rPr>
            </m:ctrlPr>
          </m:sub>
          <m:sup>
            <m:r>
              <m:rPr>
                <m:nor/>
              </m:rPr>
              <w:rPr>
                <w:rFonts w:ascii="Cambria Math" w:hAnsi="Cambria Math"/>
                <w:lang w:val="en-US"/>
              </w:rPr>
              <m:t>DL</m:t>
            </m:r>
            <m:ctrlPr>
              <w:rPr>
                <w:rFonts w:ascii="Cambria Math" w:hAnsi="Cambria Math"/>
              </w:rPr>
            </m:ctrlPr>
          </m:sup>
        </m:sSubSup>
        <m:r>
          <w:rPr>
            <w:rFonts w:ascii="Cambria Math" w:hAnsi="Cambria Math"/>
          </w:rPr>
          <m:t>=1</m:t>
        </m:r>
      </m:oMath>
      <w:r w:rsidRPr="00B27E56">
        <w:rPr>
          <w:lang w:val="en-US"/>
        </w:rPr>
        <w:t>. If</w:t>
      </w:r>
      <w:r w:rsidRPr="00B27E56">
        <w:t xml:space="preserve"> for a serving cell </w:t>
      </w:r>
      <m:oMath>
        <m:r>
          <w:rPr>
            <w:rFonts w:ascii="Cambria Math" w:hAnsi="Cambria Math"/>
          </w:rPr>
          <m:t>c</m:t>
        </m:r>
      </m:oMath>
      <w:r w:rsidRPr="00B27E56">
        <w:t xml:space="preserve"> </w:t>
      </w:r>
      <w:r w:rsidRPr="00B27E56">
        <w:rPr>
          <w:lang w:val="en-US"/>
        </w:rPr>
        <w:t xml:space="preserve">where the UE is provided </w:t>
      </w:r>
      <w:r w:rsidR="009405ED" w:rsidRPr="00B27E56">
        <w:rPr>
          <w:i/>
          <w:iCs/>
        </w:rPr>
        <w:t>n</w:t>
      </w:r>
      <w:r w:rsidR="009405ED">
        <w:rPr>
          <w:i/>
          <w:iCs/>
          <w:lang w:val="en-GB"/>
        </w:rPr>
        <w:t>ro</w:t>
      </w:r>
      <w:r w:rsidR="009405ED" w:rsidRPr="00B27E56">
        <w:rPr>
          <w:i/>
          <w:iCs/>
        </w:rPr>
        <w:t>fHARQ</w:t>
      </w:r>
      <w:r w:rsidRPr="00B27E56">
        <w:rPr>
          <w:i/>
          <w:iCs/>
        </w:rPr>
        <w:t>-BundlingGroups</w:t>
      </w:r>
      <w:r w:rsidRPr="00B27E56">
        <w:rPr>
          <w:lang w:val="en-US"/>
        </w:rPr>
        <w:t xml:space="preserve">, </w:t>
      </w:r>
      <w:r w:rsidRPr="00B27E56">
        <w:t xml:space="preserve">it is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ctrlPr>
              <w:rPr>
                <w:rFonts w:ascii="Cambria Math" w:hAnsi="Cambria Math"/>
              </w:rPr>
            </m:ctrlPr>
          </m:sub>
          <m:sup>
            <m:r>
              <m:rPr>
                <m:nor/>
              </m:rPr>
              <w:rPr>
                <w:rFonts w:ascii="Cambria Math" w:hAnsi="Cambria Math"/>
                <w:lang w:val="en-US"/>
              </w:rPr>
              <m:t>DL</m:t>
            </m:r>
            <m:ctrlPr>
              <w:rPr>
                <w:rFonts w:ascii="Cambria Math" w:hAnsi="Cambria Math"/>
              </w:rPr>
            </m:ctrlPr>
          </m:sup>
        </m:sSubSup>
        <m:r>
          <m:rPr>
            <m:sty m:val="p"/>
          </m:rP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N</m:t>
            </m:r>
          </m:e>
          <m:sub>
            <m:r>
              <m:rPr>
                <m:sty m:val="p"/>
              </m:rPr>
              <w:rPr>
                <w:rFonts w:ascii="Cambria Math" w:hAnsi="Cambria Math"/>
                <w:lang w:eastAsia="zh-CN"/>
              </w:rPr>
              <m:t>HARQ-ACK,</m:t>
            </m:r>
            <m:r>
              <w:rPr>
                <w:rFonts w:ascii="Cambria Math" w:hAnsi="Cambria Math"/>
                <w:lang w:eastAsia="zh-CN"/>
              </w:rPr>
              <m:t>c</m:t>
            </m:r>
            <m:ctrlPr>
              <w:rPr>
                <w:rFonts w:ascii="Cambria Math" w:hAnsi="Cambria Math"/>
                <w:lang w:eastAsia="zh-CN"/>
              </w:rPr>
            </m:ctrlPr>
          </m:sub>
          <m:sup>
            <m:r>
              <m:rPr>
                <m:nor/>
              </m:rPr>
              <w:rPr>
                <w:rFonts w:ascii="Cambria Math" w:hAnsi="Cambria Math"/>
                <w:lang w:val="en-US" w:eastAsia="zh-CN"/>
              </w:rPr>
              <m:t>T</m:t>
            </m:r>
            <m:r>
              <m:rPr>
                <m:nor/>
              </m:rPr>
              <w:rPr>
                <w:rFonts w:ascii="Cambria Math" w:hAnsi="Cambria Math"/>
                <w:lang w:eastAsia="zh-CN"/>
              </w:rPr>
              <m:t>BG,max</m:t>
            </m:r>
            <m:ctrlPr>
              <w:rPr>
                <w:rFonts w:ascii="Cambria Math" w:hAnsi="Cambria Math"/>
                <w:lang w:eastAsia="zh-CN"/>
              </w:rPr>
            </m:ctrlPr>
          </m:sup>
        </m:sSubSup>
        <m:r>
          <w:rPr>
            <w:rFonts w:ascii="Cambria Math" w:hAnsi="Cambria Math"/>
            <w:lang w:eastAsia="zh-CN"/>
          </w:rPr>
          <m:t>&lt;</m:t>
        </m:r>
        <m:sSubSup>
          <m:sSubSupPr>
            <m:ctrlPr>
              <w:rPr>
                <w:rFonts w:ascii="Cambria Math" w:hAnsi="Cambria Math"/>
                <w:i/>
                <w:lang w:eastAsia="zh-CN"/>
              </w:rPr>
            </m:ctrlPr>
          </m:sSubSupPr>
          <m:e>
            <m:r>
              <w:rPr>
                <w:rFonts w:ascii="Cambria Math" w:hAnsi="Cambria Math"/>
                <w:lang w:eastAsia="zh-CN"/>
              </w:rPr>
              <m:t>N</m:t>
            </m:r>
          </m:e>
          <m:sub>
            <m:r>
              <m:rPr>
                <m:sty m:val="p"/>
              </m:rPr>
              <w:rPr>
                <w:rFonts w:ascii="Cambria Math" w:hAnsi="Cambria Math"/>
                <w:lang w:eastAsia="zh-CN"/>
              </w:rPr>
              <m:t>HARQ-ACK,max</m:t>
            </m:r>
            <m:ctrlPr>
              <w:rPr>
                <w:rFonts w:ascii="Cambria Math" w:hAnsi="Cambria Math"/>
                <w:lang w:eastAsia="zh-CN"/>
              </w:rPr>
            </m:ctrlPr>
          </m:sub>
          <m:sup>
            <m:r>
              <m:rPr>
                <m:nor/>
              </m:rPr>
              <w:rPr>
                <w:rFonts w:ascii="Cambria Math" w:hAnsi="Cambria Math"/>
                <w:lang w:val="en-US" w:eastAsia="zh-CN"/>
              </w:rPr>
              <m:t>T</m:t>
            </m:r>
            <m:r>
              <m:rPr>
                <m:nor/>
              </m:rPr>
              <w:rPr>
                <w:rFonts w:ascii="Cambria Math" w:hAnsi="Cambria Math"/>
                <w:lang w:eastAsia="zh-CN"/>
              </w:rPr>
              <m:t>BG,max</m:t>
            </m:r>
            <m:ctrlPr>
              <w:rPr>
                <w:rFonts w:ascii="Cambria Math" w:hAnsi="Cambria Math"/>
                <w:lang w:eastAsia="zh-CN"/>
              </w:rPr>
            </m:ctrlPr>
          </m:sup>
        </m:sSubSup>
      </m:oMath>
      <w:r w:rsidRPr="00B27E56">
        <w:t xml:space="preserve">, the UE generates NACK for the last </w:t>
      </w:r>
      <m:oMath>
        <m:sSubSup>
          <m:sSubSupPr>
            <m:ctrlPr>
              <w:rPr>
                <w:rFonts w:ascii="Cambria Math" w:hAnsi="Cambria Math"/>
                <w:i/>
                <w:lang w:eastAsia="zh-CN"/>
              </w:rPr>
            </m:ctrlPr>
          </m:sSubSupPr>
          <m:e>
            <m:r>
              <w:rPr>
                <w:rFonts w:ascii="Cambria Math" w:hAnsi="Cambria Math"/>
                <w:lang w:eastAsia="zh-CN"/>
              </w:rPr>
              <m:t>N</m:t>
            </m:r>
          </m:e>
          <m:sub>
            <m:r>
              <m:rPr>
                <m:nor/>
              </m:rPr>
              <w:rPr>
                <w:rFonts w:ascii="Cambria Math" w:hAnsi="Cambria Math"/>
                <w:lang w:eastAsia="zh-CN"/>
              </w:rPr>
              <m:t>HARQ</m:t>
            </m:r>
            <m:r>
              <m:rPr>
                <m:sty m:val="p"/>
              </m:rPr>
              <w:rPr>
                <w:rFonts w:ascii="Cambria Math" w:hAnsi="Cambria Math"/>
                <w:lang w:eastAsia="zh-CN"/>
              </w:rPr>
              <m:t>-</m:t>
            </m:r>
            <m:r>
              <m:rPr>
                <m:nor/>
              </m:rPr>
              <w:rPr>
                <w:rFonts w:ascii="Cambria Math" w:hAnsi="Cambria Math"/>
                <w:lang w:eastAsia="zh-CN"/>
              </w:rPr>
              <m:t>ACK,max</m:t>
            </m:r>
            <m:ctrlPr>
              <w:rPr>
                <w:rFonts w:ascii="Cambria Math" w:hAnsi="Cambria Math"/>
                <w:lang w:eastAsia="zh-CN"/>
              </w:rPr>
            </m:ctrlPr>
          </m:sub>
          <m:sup>
            <m:r>
              <m:rPr>
                <m:nor/>
              </m:rPr>
              <w:rPr>
                <w:rFonts w:ascii="Cambria Math" w:hAnsi="Cambria Math"/>
                <w:lang w:val="en-US" w:eastAsia="zh-CN"/>
              </w:rPr>
              <m:t>T</m:t>
            </m:r>
            <m:r>
              <m:rPr>
                <m:nor/>
              </m:rPr>
              <w:rPr>
                <w:rFonts w:ascii="Cambria Math" w:hAnsi="Cambria Math"/>
                <w:lang w:eastAsia="zh-CN"/>
              </w:rPr>
              <m:t>BG,max</m:t>
            </m:r>
            <m:ctrlPr>
              <w:rPr>
                <w:rFonts w:ascii="Cambria Math" w:hAnsi="Cambria Math"/>
                <w:lang w:eastAsia="zh-CN"/>
              </w:rPr>
            </m:ctrlPr>
          </m:sup>
        </m:sSubSup>
        <m:r>
          <w:rPr>
            <w:rFonts w:ascii="Cambria Math" w:hAnsi="Cambria Math"/>
            <w:lang w:eastAsia="zh-CN"/>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ctrlPr>
              <w:rPr>
                <w:rFonts w:ascii="Cambria Math" w:hAnsi="Cambria Math"/>
              </w:rPr>
            </m:ctrlPr>
          </m:sub>
          <m:sup>
            <m:r>
              <m:rPr>
                <m:nor/>
              </m:rPr>
              <w:rPr>
                <w:rFonts w:ascii="Cambria Math" w:hAnsi="Cambria Math"/>
                <w:lang w:val="en-US"/>
              </w:rPr>
              <m:t>DL</m:t>
            </m:r>
            <m:ctrlPr>
              <w:rPr>
                <w:rFonts w:ascii="Cambria Math" w:hAnsi="Cambria Math"/>
              </w:rPr>
            </m:ctrlPr>
          </m:sup>
        </m:sSubSup>
        <m:r>
          <m:rPr>
            <m:sty m:val="p"/>
          </m:rP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N</m:t>
            </m:r>
          </m:e>
          <m:sub>
            <m:r>
              <m:rPr>
                <m:nor/>
              </m:rPr>
              <w:rPr>
                <w:rFonts w:ascii="Cambria Math" w:hAnsi="Cambria Math"/>
                <w:lang w:eastAsia="zh-CN"/>
              </w:rPr>
              <m:t>HARQ</m:t>
            </m:r>
            <m:r>
              <m:rPr>
                <m:sty m:val="p"/>
              </m:rPr>
              <w:rPr>
                <w:rFonts w:ascii="Cambria Math" w:hAnsi="Cambria Math"/>
                <w:lang w:eastAsia="zh-CN"/>
              </w:rPr>
              <m:t>-</m:t>
            </m:r>
            <m:r>
              <m:rPr>
                <m:nor/>
              </m:rPr>
              <w:rPr>
                <w:rFonts w:ascii="Cambria Math" w:hAnsi="Cambria Math"/>
                <w:lang w:eastAsia="zh-CN"/>
              </w:rPr>
              <m:t>ACK,</m:t>
            </m:r>
            <m:r>
              <m:rPr>
                <m:nor/>
              </m:rPr>
              <w:rPr>
                <w:rFonts w:ascii="Cambria Math" w:hAnsi="Cambria Math"/>
                <w:i/>
                <w:iCs/>
                <w:lang w:val="en-US" w:eastAsia="zh-CN"/>
              </w:rPr>
              <m:t>c</m:t>
            </m:r>
            <m:ctrlPr>
              <w:rPr>
                <w:rFonts w:ascii="Cambria Math" w:hAnsi="Cambria Math"/>
                <w:lang w:eastAsia="zh-CN"/>
              </w:rPr>
            </m:ctrlPr>
          </m:sub>
          <m:sup>
            <m:r>
              <m:rPr>
                <m:nor/>
              </m:rPr>
              <w:rPr>
                <w:rFonts w:ascii="Cambria Math" w:hAnsi="Cambria Math"/>
                <w:lang w:val="en-US" w:eastAsia="zh-CN"/>
              </w:rPr>
              <m:t>T</m:t>
            </m:r>
            <m:r>
              <m:rPr>
                <m:nor/>
              </m:rPr>
              <w:rPr>
                <w:rFonts w:ascii="Cambria Math" w:hAnsi="Cambria Math"/>
                <w:lang w:eastAsia="zh-CN"/>
              </w:rPr>
              <m:t>BG,max</m:t>
            </m:r>
            <m:ctrlPr>
              <w:rPr>
                <w:rFonts w:ascii="Cambria Math" w:hAnsi="Cambria Math"/>
                <w:lang w:eastAsia="zh-CN"/>
              </w:rPr>
            </m:ctrlPr>
          </m:sup>
        </m:sSubSup>
      </m:oMath>
      <w:r w:rsidRPr="00B27E56">
        <w:t xml:space="preserve"> HARQ-ACK information bits for serving cell </w:t>
      </w:r>
      <m:oMath>
        <m:r>
          <w:rPr>
            <w:rFonts w:ascii="Cambria Math" w:hAnsi="Cambria Math"/>
          </w:rPr>
          <m:t>c</m:t>
        </m:r>
      </m:oMath>
      <w:r w:rsidRPr="00B27E56">
        <w:rPr>
          <w:lang w:val="en-US"/>
        </w:rPr>
        <w:t>. If</w:t>
      </w:r>
      <w:r w:rsidRPr="00B27E56">
        <w:t xml:space="preserve"> for a serving cell </w:t>
      </w:r>
      <m:oMath>
        <m:r>
          <w:rPr>
            <w:rFonts w:ascii="Cambria Math" w:hAnsi="Cambria Math"/>
          </w:rPr>
          <m:t>c</m:t>
        </m:r>
      </m:oMath>
      <w:r w:rsidRPr="00B27E56">
        <w:t xml:space="preserve"> </w:t>
      </w:r>
      <w:r w:rsidRPr="00B27E56">
        <w:rPr>
          <w:lang w:val="en-US"/>
        </w:rPr>
        <w:t xml:space="preserve">where the UE is not provided </w:t>
      </w:r>
      <w:r w:rsidR="009405ED" w:rsidRPr="00B27E56">
        <w:rPr>
          <w:i/>
          <w:iCs/>
        </w:rPr>
        <w:t>n</w:t>
      </w:r>
      <w:r w:rsidR="009405ED">
        <w:rPr>
          <w:i/>
          <w:iCs/>
          <w:lang w:val="en-GB"/>
        </w:rPr>
        <w:t>ro</w:t>
      </w:r>
      <w:r w:rsidR="009405ED" w:rsidRPr="00B27E56">
        <w:rPr>
          <w:i/>
          <w:iCs/>
        </w:rPr>
        <w:t>fHARQ</w:t>
      </w:r>
      <w:r w:rsidRPr="00B27E56">
        <w:rPr>
          <w:i/>
          <w:iCs/>
        </w:rPr>
        <w:t>-BundlingGroups</w:t>
      </w:r>
      <w:r w:rsidRPr="00B27E56">
        <w:rPr>
          <w:lang w:val="en-US"/>
        </w:rPr>
        <w:t xml:space="preserve">, </w:t>
      </w:r>
      <w:r w:rsidRPr="00B27E56">
        <w:t xml:space="preserve">it is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ctrlPr>
              <w:rPr>
                <w:rFonts w:ascii="Cambria Math" w:hAnsi="Cambria Math"/>
              </w:rPr>
            </m:ctrlPr>
          </m:sub>
          <m:sup>
            <m:r>
              <m:rPr>
                <m:nor/>
              </m:rPr>
              <w:rPr>
                <w:rFonts w:ascii="Cambria Math" w:hAnsi="Cambria Math"/>
                <w:lang w:val="en-US"/>
              </w:rPr>
              <m:t>DL</m:t>
            </m:r>
            <m:ctrlPr>
              <w:rPr>
                <w:rFonts w:ascii="Cambria Math" w:hAnsi="Cambria Math"/>
              </w:rPr>
            </m:ctrlPr>
          </m:sup>
        </m:sSubSup>
        <m:r>
          <m:rPr>
            <m:sty m:val="p"/>
          </m:rP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N</m:t>
            </m:r>
          </m:e>
          <m:sub>
            <m:r>
              <m:rPr>
                <m:sty m:val="p"/>
              </m:rPr>
              <w:rPr>
                <w:rFonts w:ascii="Cambria Math" w:hAnsi="Cambria Math"/>
                <w:lang w:val="en-US" w:eastAsia="zh-CN"/>
              </w:rPr>
              <m:t>PDSCH</m:t>
            </m:r>
            <m:r>
              <m:rPr>
                <m:sty m:val="p"/>
              </m:rPr>
              <w:rPr>
                <w:rFonts w:ascii="Cambria Math" w:hAnsi="Cambria Math"/>
                <w:lang w:eastAsia="zh-CN"/>
              </w:rPr>
              <m:t>,</m:t>
            </m:r>
            <m:r>
              <w:rPr>
                <w:rFonts w:ascii="Cambria Math" w:hAnsi="Cambria Math"/>
                <w:lang w:val="en-US" w:eastAsia="zh-CN"/>
              </w:rPr>
              <m:t>c</m:t>
            </m:r>
            <m:ctrlPr>
              <w:rPr>
                <w:rFonts w:ascii="Cambria Math" w:hAnsi="Cambria Math"/>
                <w:lang w:eastAsia="zh-CN"/>
              </w:rPr>
            </m:ctrlPr>
          </m:sub>
          <m:sup>
            <m:r>
              <m:rPr>
                <m:sty m:val="p"/>
              </m:rPr>
              <w:rPr>
                <w:rFonts w:ascii="Cambria Math" w:hAnsi="Cambria Math"/>
                <w:lang w:eastAsia="zh-CN"/>
              </w:rPr>
              <m:t>max</m:t>
            </m:r>
            <m:ctrlPr>
              <w:rPr>
                <w:rFonts w:ascii="Cambria Math" w:hAnsi="Cambria Math"/>
                <w:lang w:eastAsia="zh-CN"/>
              </w:rPr>
            </m:ctrlPr>
          </m:sup>
        </m:sSubSup>
        <m:r>
          <m:rPr>
            <m:sty m:val="p"/>
          </m:rPr>
          <w:rPr>
            <w:rFonts w:ascii="Cambria Math" w:hAnsi="Cambria Math"/>
            <w:lang w:val="en-US" w:eastAsia="zh-CN"/>
          </w:rPr>
          <m:t xml:space="preserve"> </m:t>
        </m:r>
        <m:r>
          <w:rPr>
            <w:rFonts w:ascii="Cambria Math" w:hAnsi="Cambria Math"/>
            <w:lang w:eastAsia="zh-CN"/>
          </w:rPr>
          <m:t>&lt;</m:t>
        </m:r>
        <m:sSubSup>
          <m:sSubSupPr>
            <m:ctrlPr>
              <w:rPr>
                <w:rFonts w:ascii="Cambria Math" w:hAnsi="Cambria Math"/>
                <w:i/>
                <w:lang w:eastAsia="zh-CN"/>
              </w:rPr>
            </m:ctrlPr>
          </m:sSubSupPr>
          <m:e>
            <m:r>
              <w:rPr>
                <w:rFonts w:ascii="Cambria Math" w:hAnsi="Cambria Math"/>
                <w:lang w:eastAsia="zh-CN"/>
              </w:rPr>
              <m:t>N</m:t>
            </m:r>
          </m:e>
          <m:sub>
            <m:r>
              <m:rPr>
                <m:sty m:val="p"/>
              </m:rPr>
              <w:rPr>
                <w:rFonts w:ascii="Cambria Math" w:hAnsi="Cambria Math"/>
                <w:lang w:eastAsia="zh-CN"/>
              </w:rPr>
              <m:t>HARQ-ACK,max</m:t>
            </m:r>
            <m:ctrlPr>
              <w:rPr>
                <w:rFonts w:ascii="Cambria Math" w:hAnsi="Cambria Math"/>
                <w:lang w:eastAsia="zh-CN"/>
              </w:rPr>
            </m:ctrlPr>
          </m:sub>
          <m:sup>
            <m:r>
              <m:rPr>
                <m:nor/>
              </m:rPr>
              <w:rPr>
                <w:rFonts w:ascii="Cambria Math" w:hAnsi="Cambria Math"/>
                <w:lang w:val="en-US" w:eastAsia="zh-CN"/>
              </w:rPr>
              <m:t>T</m:t>
            </m:r>
            <m:r>
              <m:rPr>
                <m:nor/>
              </m:rPr>
              <w:rPr>
                <w:rFonts w:ascii="Cambria Math" w:hAnsi="Cambria Math"/>
                <w:lang w:eastAsia="zh-CN"/>
              </w:rPr>
              <m:t>BG,max</m:t>
            </m:r>
            <m:ctrlPr>
              <w:rPr>
                <w:rFonts w:ascii="Cambria Math" w:hAnsi="Cambria Math"/>
                <w:lang w:eastAsia="zh-CN"/>
              </w:rPr>
            </m:ctrlPr>
          </m:sup>
        </m:sSubSup>
      </m:oMath>
      <w:r w:rsidRPr="00B27E56">
        <w:t xml:space="preserve">, the UE generates NACK for the last </w:t>
      </w:r>
      <m:oMath>
        <m:sSubSup>
          <m:sSubSupPr>
            <m:ctrlPr>
              <w:rPr>
                <w:rFonts w:ascii="Cambria Math" w:hAnsi="Cambria Math"/>
                <w:i/>
                <w:lang w:eastAsia="zh-CN"/>
              </w:rPr>
            </m:ctrlPr>
          </m:sSubSupPr>
          <m:e>
            <m:r>
              <w:rPr>
                <w:rFonts w:ascii="Cambria Math" w:hAnsi="Cambria Math"/>
                <w:lang w:eastAsia="zh-CN"/>
              </w:rPr>
              <m:t>N</m:t>
            </m:r>
          </m:e>
          <m:sub>
            <m:r>
              <m:rPr>
                <m:nor/>
              </m:rPr>
              <w:rPr>
                <w:rFonts w:ascii="Cambria Math" w:hAnsi="Cambria Math"/>
                <w:lang w:eastAsia="zh-CN"/>
              </w:rPr>
              <m:t>HARQ</m:t>
            </m:r>
            <m:r>
              <m:rPr>
                <m:sty m:val="p"/>
              </m:rPr>
              <w:rPr>
                <w:rFonts w:ascii="Cambria Math" w:hAnsi="Cambria Math"/>
                <w:lang w:eastAsia="zh-CN"/>
              </w:rPr>
              <m:t>-</m:t>
            </m:r>
            <m:r>
              <m:rPr>
                <m:nor/>
              </m:rPr>
              <w:rPr>
                <w:rFonts w:ascii="Cambria Math" w:hAnsi="Cambria Math"/>
                <w:lang w:eastAsia="zh-CN"/>
              </w:rPr>
              <m:t>ACK,max</m:t>
            </m:r>
            <m:ctrlPr>
              <w:rPr>
                <w:rFonts w:ascii="Cambria Math" w:hAnsi="Cambria Math"/>
                <w:lang w:eastAsia="zh-CN"/>
              </w:rPr>
            </m:ctrlPr>
          </m:sub>
          <m:sup>
            <m:r>
              <m:rPr>
                <m:nor/>
              </m:rPr>
              <w:rPr>
                <w:rFonts w:ascii="Cambria Math" w:hAnsi="Cambria Math"/>
                <w:lang w:val="en-US" w:eastAsia="zh-CN"/>
              </w:rPr>
              <m:t>T</m:t>
            </m:r>
            <m:r>
              <m:rPr>
                <m:nor/>
              </m:rPr>
              <w:rPr>
                <w:rFonts w:ascii="Cambria Math" w:hAnsi="Cambria Math"/>
                <w:lang w:eastAsia="zh-CN"/>
              </w:rPr>
              <m:t>BG,max</m:t>
            </m:r>
            <m:ctrlPr>
              <w:rPr>
                <w:rFonts w:ascii="Cambria Math" w:hAnsi="Cambria Math"/>
                <w:lang w:eastAsia="zh-CN"/>
              </w:rPr>
            </m:ctrlPr>
          </m:sup>
        </m:sSubSup>
        <m:r>
          <w:rPr>
            <w:rFonts w:ascii="Cambria Math" w:hAnsi="Cambria Math"/>
            <w:lang w:eastAsia="zh-CN"/>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ctrlPr>
              <w:rPr>
                <w:rFonts w:ascii="Cambria Math" w:hAnsi="Cambria Math"/>
              </w:rPr>
            </m:ctrlPr>
          </m:sub>
          <m:sup>
            <m:r>
              <m:rPr>
                <m:nor/>
              </m:rPr>
              <w:rPr>
                <w:rFonts w:ascii="Cambria Math" w:hAnsi="Cambria Math"/>
                <w:lang w:val="en-US"/>
              </w:rPr>
              <m:t>DL</m:t>
            </m:r>
            <m:ctrlPr>
              <w:rPr>
                <w:rFonts w:ascii="Cambria Math" w:hAnsi="Cambria Math"/>
              </w:rPr>
            </m:ctrlPr>
          </m:sup>
        </m:sSubSup>
        <m:r>
          <m:rPr>
            <m:sty m:val="p"/>
          </m:rP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N</m:t>
            </m:r>
          </m:e>
          <m:sub>
            <m:r>
              <m:rPr>
                <m:nor/>
              </m:rPr>
              <w:rPr>
                <w:rFonts w:ascii="Cambria Math" w:hAnsi="Cambria Math"/>
                <w:lang w:val="en-US" w:eastAsia="zh-CN"/>
              </w:rPr>
              <m:t>PDSCH</m:t>
            </m:r>
            <m:r>
              <m:rPr>
                <m:nor/>
              </m:rPr>
              <w:rPr>
                <w:rFonts w:ascii="Cambria Math" w:hAnsi="Cambria Math"/>
                <w:lang w:eastAsia="zh-CN"/>
              </w:rPr>
              <m:t>,</m:t>
            </m:r>
            <m:r>
              <m:rPr>
                <m:nor/>
              </m:rPr>
              <w:rPr>
                <w:rFonts w:ascii="Cambria Math" w:hAnsi="Cambria Math"/>
                <w:i/>
                <w:iCs/>
                <w:lang w:val="en-US" w:eastAsia="zh-CN"/>
              </w:rPr>
              <m:t>c</m:t>
            </m:r>
            <m:ctrlPr>
              <w:rPr>
                <w:rFonts w:ascii="Cambria Math" w:hAnsi="Cambria Math"/>
                <w:lang w:eastAsia="zh-CN"/>
              </w:rPr>
            </m:ctrlPr>
          </m:sub>
          <m:sup>
            <m:r>
              <m:rPr>
                <m:nor/>
              </m:rPr>
              <w:rPr>
                <w:rFonts w:ascii="Cambria Math" w:hAnsi="Cambria Math"/>
                <w:lang w:eastAsia="zh-CN"/>
              </w:rPr>
              <m:t>max</m:t>
            </m:r>
            <m:ctrlPr>
              <w:rPr>
                <w:rFonts w:ascii="Cambria Math" w:hAnsi="Cambria Math"/>
                <w:lang w:eastAsia="zh-CN"/>
              </w:rPr>
            </m:ctrlPr>
          </m:sup>
        </m:sSubSup>
      </m:oMath>
      <w:r w:rsidRPr="00B27E56">
        <w:rPr>
          <w:lang w:val="en-US" w:eastAsia="zh-CN"/>
        </w:rPr>
        <w:t xml:space="preserve"> </w:t>
      </w:r>
      <w:r w:rsidRPr="00B27E56">
        <w:t xml:space="preserve"> HARQ-ACK information bits for serving cell </w:t>
      </w:r>
      <m:oMath>
        <m:r>
          <w:rPr>
            <w:rFonts w:ascii="Cambria Math" w:hAnsi="Cambria Math"/>
          </w:rPr>
          <m:t>c</m:t>
        </m:r>
      </m:oMath>
      <w:r w:rsidRPr="00B27E56">
        <w:rPr>
          <w:lang w:val="en-US"/>
        </w:rPr>
        <w:t>.</w:t>
      </w:r>
    </w:p>
    <w:p w14:paraId="35503612" w14:textId="77777777" w:rsidR="00F80622" w:rsidRPr="00B27E56" w:rsidRDefault="00F80622" w:rsidP="00F80622">
      <w:pPr>
        <w:pStyle w:val="B2"/>
        <w:rPr>
          <w:lang w:val="en-US"/>
        </w:rPr>
      </w:pPr>
      <w:r w:rsidRPr="00B27E56">
        <w:t>-</w:t>
      </w:r>
      <w:r w:rsidRPr="00B27E56">
        <w:tab/>
      </w:r>
      <w:r w:rsidRPr="00B27E56">
        <w:rPr>
          <w:lang w:val="en-US"/>
        </w:rPr>
        <w:t>T</w:t>
      </w:r>
      <w:r w:rsidRPr="00B27E56">
        <w:t xml:space="preserve">he pseudo-code operation </w:t>
      </w:r>
      <w:r w:rsidRPr="00B27E56">
        <w:rPr>
          <w:lang w:val="en-US"/>
        </w:rPr>
        <w:t xml:space="preserve">when </w:t>
      </w:r>
      <w:r w:rsidRPr="00B27E56">
        <w:rPr>
          <w:i/>
        </w:rPr>
        <w:t>PDSCH-CodeBlockGroupTransmission</w:t>
      </w:r>
      <w:r w:rsidRPr="00B27E56">
        <w:rPr>
          <w:rFonts w:hint="eastAsia"/>
          <w:lang w:eastAsia="zh-CN"/>
        </w:rPr>
        <w:t xml:space="preserve"> </w:t>
      </w:r>
      <w:r w:rsidRPr="00B27E56">
        <w:rPr>
          <w:lang w:val="en-US" w:eastAsia="zh-CN"/>
        </w:rPr>
        <w:t>is provided</w:t>
      </w:r>
      <w:r w:rsidRPr="00B27E56">
        <w:t xml:space="preserve"> is not applicable</w:t>
      </w:r>
      <w:r w:rsidRPr="00B27E56">
        <w:rPr>
          <w:lang w:val="en-US"/>
        </w:rPr>
        <w:t>.</w:t>
      </w:r>
    </w:p>
    <w:p w14:paraId="61370EF4" w14:textId="2B2CEA69" w:rsidR="00F80622" w:rsidRPr="00B27E56" w:rsidRDefault="00F80622" w:rsidP="00F80622">
      <w:pPr>
        <w:pStyle w:val="B1"/>
      </w:pPr>
      <w:r w:rsidRPr="00B27E56">
        <w:t>-</w:t>
      </w:r>
      <w:r w:rsidRPr="00B27E56">
        <w:tab/>
        <w:t xml:space="preserve">The </w:t>
      </w:r>
      <w:r w:rsidRPr="00B27E56">
        <w:rPr>
          <w:lang w:val="en-US"/>
        </w:rPr>
        <w:t>counter DAI value and the total DAI value apply separately for each HARQ-ACK sub-codebook</w:t>
      </w:r>
      <w:r w:rsidR="008F277D">
        <w:rPr>
          <w:lang w:val="en-US"/>
        </w:rPr>
        <w:t>.</w:t>
      </w:r>
    </w:p>
    <w:p w14:paraId="18458C3F" w14:textId="4F746197" w:rsidR="00F80622" w:rsidRDefault="00F80622" w:rsidP="00F80622">
      <w:pPr>
        <w:pStyle w:val="B1"/>
        <w:rPr>
          <w:lang w:val="en-GB"/>
        </w:rPr>
      </w:pPr>
      <w:r w:rsidRPr="00B27E56">
        <w:t>-</w:t>
      </w:r>
      <w:r w:rsidRPr="00B27E56">
        <w:tab/>
        <w:t>The UE generates the HARQ-ACK codebook by appending the second HARQ-ACK sub-codebook to the first HARQ-ACK sub-codebook</w:t>
      </w:r>
      <w:r w:rsidR="008F277D">
        <w:rPr>
          <w:lang w:val="en-GB"/>
        </w:rPr>
        <w:t>.</w:t>
      </w:r>
    </w:p>
    <w:p w14:paraId="11C670EE" w14:textId="77777777" w:rsidR="005045FF" w:rsidRPr="001E3726" w:rsidRDefault="005045FF" w:rsidP="00C5087D">
      <w:pPr>
        <w:rPr>
          <w:lang w:val="en-US" w:eastAsia="zh-CN"/>
        </w:rPr>
      </w:pPr>
      <w:r w:rsidRPr="001E3726">
        <w:rPr>
          <w:lang w:val="en-US"/>
        </w:rPr>
        <w:t xml:space="preserve">If </w:t>
      </w:r>
      <m:oMath>
        <m:sSub>
          <m:sSubPr>
            <m:ctrlPr>
              <w:rPr>
                <w:rFonts w:ascii="Cambria Math" w:hAnsi="Cambria Math"/>
                <w:i/>
                <w:lang w:eastAsia="zh-CN"/>
              </w:rPr>
            </m:ctrlPr>
          </m:sSubPr>
          <m:e>
            <m:r>
              <w:rPr>
                <w:rFonts w:ascii="Cambria Math"/>
                <w:lang w:eastAsia="zh-CN"/>
              </w:rPr>
              <m:t>O</m:t>
            </m:r>
          </m:e>
          <m:sub>
            <m:r>
              <m:rPr>
                <m:nor/>
              </m:rPr>
              <w:rPr>
                <w:rFonts w:ascii="Cambria Math"/>
                <w:lang w:eastAsia="zh-CN"/>
              </w:rPr>
              <m:t>ACK</m:t>
            </m:r>
            <m:ctrlPr>
              <w:rPr>
                <w:rFonts w:ascii="Cambria Math" w:hAnsi="Cambria Math"/>
                <w:lang w:eastAsia="zh-CN"/>
              </w:rPr>
            </m:ctrlPr>
          </m:sub>
        </m:sSub>
        <m:r>
          <w:rPr>
            <w:rFonts w:ascii="Cambria Math" w:hAnsi="Cambria Math"/>
            <w:lang w:eastAsia="zh-CN"/>
          </w:rPr>
          <m:t>+</m:t>
        </m:r>
        <m:sSub>
          <m:sSubPr>
            <m:ctrlPr>
              <w:rPr>
                <w:rFonts w:ascii="Cambria Math" w:hAnsi="Cambria Math"/>
                <w:i/>
                <w:lang w:eastAsia="zh-CN"/>
              </w:rPr>
            </m:ctrlPr>
          </m:sSubPr>
          <m:e>
            <m:r>
              <w:rPr>
                <w:rFonts w:ascii="Cambria Math"/>
                <w:lang w:eastAsia="zh-CN"/>
              </w:rPr>
              <m:t>O</m:t>
            </m:r>
          </m:e>
          <m:sub>
            <m:r>
              <m:rPr>
                <m:nor/>
              </m:rPr>
              <w:rPr>
                <w:rFonts w:ascii="Cambria Math"/>
                <w:lang w:eastAsia="zh-CN"/>
              </w:rPr>
              <m:t>SR</m:t>
            </m:r>
            <m:ctrlPr>
              <w:rPr>
                <w:rFonts w:ascii="Cambria Math" w:hAnsi="Cambria Math"/>
                <w:lang w:eastAsia="zh-CN"/>
              </w:rPr>
            </m:ctrlPr>
          </m:sub>
        </m:sSub>
        <m:r>
          <w:rPr>
            <w:rFonts w:ascii="Cambria Math" w:hAnsi="Cambria Math"/>
            <w:lang w:eastAsia="zh-CN"/>
          </w:rPr>
          <m:t>+</m:t>
        </m:r>
        <m:sSub>
          <m:sSubPr>
            <m:ctrlPr>
              <w:rPr>
                <w:rFonts w:ascii="Cambria Math" w:hAnsi="Cambria Math"/>
                <w:i/>
                <w:lang w:eastAsia="zh-CN"/>
              </w:rPr>
            </m:ctrlPr>
          </m:sSubPr>
          <m:e>
            <m:r>
              <w:rPr>
                <w:rFonts w:ascii="Cambria Math"/>
                <w:lang w:eastAsia="zh-CN"/>
              </w:rPr>
              <m:t>O</m:t>
            </m:r>
          </m:e>
          <m:sub>
            <m:r>
              <m:rPr>
                <m:nor/>
              </m:rPr>
              <w:rPr>
                <w:rFonts w:ascii="Cambria Math"/>
                <w:lang w:eastAsia="zh-CN"/>
              </w:rPr>
              <m:t>CSI</m:t>
            </m:r>
            <m:ctrlPr>
              <w:rPr>
                <w:rFonts w:ascii="Cambria Math" w:hAnsi="Cambria Math"/>
                <w:lang w:eastAsia="zh-CN"/>
              </w:rPr>
            </m:ctrlPr>
          </m:sub>
        </m:sSub>
        <m:r>
          <w:rPr>
            <w:rFonts w:ascii="Cambria Math" w:hAnsi="Cambria Math" w:hint="eastAsia"/>
            <w:lang w:eastAsia="zh-CN"/>
          </w:rPr>
          <m:t>≤</m:t>
        </m:r>
        <m:r>
          <w:rPr>
            <w:rFonts w:ascii="Cambria Math" w:hAnsi="Cambria Math"/>
            <w:lang w:eastAsia="zh-CN"/>
          </w:rPr>
          <m:t>11</m:t>
        </m:r>
      </m:oMath>
      <w:r w:rsidRPr="001E3726">
        <w:rPr>
          <w:rFonts w:hint="eastAsia"/>
        </w:rPr>
        <w:t xml:space="preserve"> and </w:t>
      </w:r>
      <m:oMath>
        <m:sSubSup>
          <m:sSubSupPr>
            <m:ctrlPr>
              <w:rPr>
                <w:rFonts w:ascii="Cambria Math" w:hAnsi="Cambria Math"/>
                <w:i/>
                <w:lang w:eastAsia="zh-CN"/>
              </w:rPr>
            </m:ctrlPr>
          </m:sSubSupPr>
          <m:e>
            <m:r>
              <w:rPr>
                <w:rFonts w:ascii="Cambria Math" w:hAnsi="Cambria Math"/>
                <w:lang w:eastAsia="zh-CN"/>
              </w:rPr>
              <m:t>N</m:t>
            </m:r>
          </m:e>
          <m:sub>
            <m:r>
              <m:rPr>
                <m:nor/>
              </m:rPr>
              <w:rPr>
                <w:lang w:eastAsia="zh-CN"/>
              </w:rPr>
              <m:t>cells</m:t>
            </m:r>
            <m:ctrlPr>
              <w:rPr>
                <w:rFonts w:ascii="Cambria Math" w:hAnsi="Cambria Math"/>
                <w:lang w:eastAsia="zh-CN"/>
              </w:rPr>
            </m:ctrlPr>
          </m:sub>
          <m:sup>
            <m:r>
              <m:rPr>
                <m:nor/>
              </m:rPr>
              <w:rPr>
                <w:lang w:eastAsia="zh-CN"/>
              </w:rPr>
              <m:t>DL,TBG</m:t>
            </m:r>
            <m:ctrlPr>
              <w:rPr>
                <w:rFonts w:ascii="Cambria Math" w:hAnsi="Cambria Math"/>
                <w:lang w:eastAsia="zh-CN"/>
              </w:rPr>
            </m:ctrlPr>
          </m:sup>
        </m:sSubSup>
        <m:r>
          <m:rPr>
            <m:sty m:val="p"/>
          </m:rPr>
          <w:rPr>
            <w:rFonts w:ascii="Cambria Math" w:hAnsi="Cambria Math"/>
            <w:lang w:eastAsia="zh-CN"/>
          </w:rPr>
          <m:t>&gt;0</m:t>
        </m:r>
      </m:oMath>
      <w:r w:rsidRPr="001E3726">
        <w:rPr>
          <w:lang w:val="en-US"/>
        </w:rPr>
        <w:t xml:space="preserve">, the UE also determines </w:t>
      </w:r>
      <m:oMath>
        <m:sSub>
          <m:sSubPr>
            <m:ctrlPr>
              <w:rPr>
                <w:rFonts w:ascii="Cambria Math" w:hAnsi="Cambria Math"/>
                <w:i/>
                <w:lang w:eastAsia="zh-CN"/>
              </w:rPr>
            </m:ctrlPr>
          </m:sSubPr>
          <m:e>
            <m:r>
              <w:rPr>
                <w:rFonts w:ascii="Cambria Math" w:hAnsi="Cambria Math"/>
                <w:lang w:eastAsia="zh-CN"/>
              </w:rPr>
              <m:t>n</m:t>
            </m:r>
          </m:e>
          <m:sub>
            <m:r>
              <m:rPr>
                <m:nor/>
              </m:rPr>
              <w:rPr>
                <w:lang w:eastAsia="zh-CN"/>
              </w:rPr>
              <m:t>HARQ-ACK</m:t>
            </m:r>
            <m:ctrlPr>
              <w:rPr>
                <w:rFonts w:ascii="Cambria Math" w:hAnsi="Cambria Math"/>
                <w:lang w:eastAsia="zh-CN"/>
              </w:rPr>
            </m:ctrlPr>
          </m:sub>
        </m:sSub>
        <m:sSub>
          <m:sSubPr>
            <m:ctrlPr>
              <w:rPr>
                <w:rFonts w:ascii="Cambria Math" w:hAnsi="Cambria Math"/>
                <w:i/>
                <w:lang w:eastAsia="zh-CN"/>
              </w:rPr>
            </m:ctrlPr>
          </m:sSubPr>
          <m:e>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n</m:t>
                </m:r>
              </m:e>
              <m:sub>
                <m:r>
                  <m:rPr>
                    <m:nor/>
                  </m:rPr>
                  <w:rPr>
                    <w:lang w:eastAsia="zh-CN"/>
                  </w:rPr>
                  <m:t>HARQ-ACK,</m:t>
                </m:r>
                <m:r>
                  <m:rPr>
                    <m:nor/>
                  </m:rPr>
                  <w:rPr>
                    <w:lang w:val="en-US" w:eastAsia="zh-CN"/>
                  </w:rPr>
                  <m:t>T</m:t>
                </m:r>
                <m:r>
                  <m:rPr>
                    <m:nor/>
                  </m:rPr>
                  <w:rPr>
                    <w:lang w:eastAsia="zh-CN"/>
                  </w:rPr>
                  <m:t>B</m:t>
                </m:r>
                <m:ctrlPr>
                  <w:rPr>
                    <w:rFonts w:ascii="Cambria Math" w:hAnsi="Cambria Math"/>
                    <w:lang w:eastAsia="zh-CN"/>
                  </w:rPr>
                </m:ctrlPr>
              </m:sub>
            </m:sSub>
            <m:r>
              <w:rPr>
                <w:rFonts w:ascii="Cambria Math" w:hAnsi="Cambria Math"/>
                <w:lang w:eastAsia="zh-CN"/>
              </w:rPr>
              <m:t>+n</m:t>
            </m:r>
          </m:e>
          <m:sub>
            <m:r>
              <m:rPr>
                <m:nor/>
              </m:rPr>
              <w:rPr>
                <w:lang w:eastAsia="zh-CN"/>
              </w:rPr>
              <m:t>HARQ-ACK,</m:t>
            </m:r>
            <m:r>
              <m:rPr>
                <m:nor/>
              </m:rPr>
              <w:rPr>
                <w:lang w:val="en-US" w:eastAsia="zh-CN"/>
              </w:rPr>
              <m:t>T</m:t>
            </m:r>
            <m:r>
              <m:rPr>
                <m:nor/>
              </m:rPr>
              <w:rPr>
                <w:lang w:eastAsia="zh-CN"/>
              </w:rPr>
              <m:t>BG</m:t>
            </m:r>
            <m:ctrlPr>
              <w:rPr>
                <w:rFonts w:ascii="Cambria Math" w:hAnsi="Cambria Math"/>
                <w:lang w:eastAsia="zh-CN"/>
              </w:rPr>
            </m:ctrlPr>
          </m:sub>
        </m:sSub>
      </m:oMath>
      <w:r w:rsidRPr="001E3726">
        <w:rPr>
          <w:lang w:val="en-US" w:eastAsia="zh-CN"/>
        </w:rPr>
        <w:t xml:space="preserve"> </w:t>
      </w:r>
      <w:r w:rsidRPr="001E3726">
        <w:rPr>
          <w:lang w:eastAsia="zh-CN"/>
        </w:rPr>
        <w:t xml:space="preserve">for obtaining a PUCCH transmission power, as described in clause 7.2.1, </w:t>
      </w:r>
      <w:r w:rsidRPr="001E3726">
        <w:rPr>
          <w:lang w:val="en-US" w:eastAsia="zh-CN"/>
        </w:rPr>
        <w:t>with</w:t>
      </w:r>
    </w:p>
    <w:p w14:paraId="04E725D8" w14:textId="77777777" w:rsidR="005045FF" w:rsidRPr="001E3726" w:rsidRDefault="005045FF" w:rsidP="005045FF">
      <w:pPr>
        <w:pStyle w:val="EQ"/>
        <w:rPr>
          <w:lang w:eastAsia="zh-CN"/>
        </w:rPr>
      </w:pPr>
      <w:r w:rsidRPr="001E3726">
        <w:rPr>
          <w:lang w:eastAsia="zh-CN"/>
        </w:rPr>
        <w:tab/>
      </w:r>
      <m:oMath>
        <m:sSub>
          <m:sSubPr>
            <m:ctrlPr>
              <w:rPr>
                <w:rFonts w:ascii="Cambria Math" w:hAnsi="Cambria Math"/>
                <w:i/>
                <w:lang w:eastAsia="zh-CN"/>
              </w:rPr>
            </m:ctrlPr>
          </m:sSubPr>
          <m:e>
            <m:r>
              <w:rPr>
                <w:rFonts w:ascii="Cambria Math" w:hAnsi="Cambria Math"/>
                <w:lang w:eastAsia="zh-CN"/>
              </w:rPr>
              <m:t>n</m:t>
            </m:r>
          </m:e>
          <m:sub>
            <m:r>
              <m:rPr>
                <m:nor/>
              </m:rPr>
              <w:rPr>
                <w:lang w:eastAsia="zh-CN"/>
              </w:rPr>
              <m:t>HARQ-ACK,TBG</m:t>
            </m:r>
            <m:ctrlPr>
              <w:rPr>
                <w:rFonts w:ascii="Cambria Math" w:hAnsi="Cambria Math"/>
                <w:lang w:eastAsia="zh-CN"/>
              </w:rPr>
            </m:ctrlPr>
          </m:sub>
        </m:sSub>
        <m:r>
          <w:rPr>
            <w:rFonts w:ascii="Cambria Math" w:hAnsi="Cambria Math"/>
            <w:lang w:eastAsia="zh-CN"/>
          </w:rPr>
          <m:t>=</m:t>
        </m:r>
        <m:d>
          <m:dPr>
            <m:ctrlPr>
              <w:rPr>
                <w:rFonts w:ascii="Cambria Math" w:hAnsi="Cambria Math"/>
                <w:i/>
                <w:lang w:eastAsia="zh-CN"/>
              </w:rPr>
            </m:ctrlPr>
          </m:dPr>
          <m:e>
            <m:d>
              <m:dPr>
                <m:ctrlPr>
                  <w:rPr>
                    <w:rFonts w:ascii="Cambria Math" w:hAnsi="Cambria Math"/>
                    <w:i/>
                    <w:lang w:eastAsia="zh-CN"/>
                  </w:rPr>
                </m:ctrlPr>
              </m:dPr>
              <m:e>
                <m:sSubSup>
                  <m:sSubSupPr>
                    <m:ctrlPr>
                      <w:rPr>
                        <w:rFonts w:ascii="Cambria Math" w:hAnsi="Cambria Math"/>
                        <w:i/>
                        <w:lang w:eastAsia="zh-CN"/>
                      </w:rPr>
                    </m:ctrlPr>
                  </m:sSubSupPr>
                  <m:e>
                    <m:r>
                      <w:rPr>
                        <w:rFonts w:ascii="Cambria Math" w:hAnsi="Cambria Math"/>
                        <w:lang w:eastAsia="zh-CN"/>
                      </w:rPr>
                      <m:t>V</m:t>
                    </m:r>
                  </m:e>
                  <m:sub>
                    <m:r>
                      <m:rPr>
                        <m:nor/>
                      </m:rPr>
                      <w:rPr>
                        <w:lang w:eastAsia="zh-CN"/>
                      </w:rPr>
                      <m:t>DAI</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m</m:t>
                        </m:r>
                      </m:e>
                      <m:sub>
                        <m:r>
                          <m:rPr>
                            <m:nor/>
                          </m:rPr>
                          <w:rPr>
                            <w:lang w:eastAsia="zh-CN"/>
                          </w:rPr>
                          <m:t>last</m:t>
                        </m:r>
                      </m:sub>
                    </m:sSub>
                    <m:ctrlPr>
                      <w:rPr>
                        <w:rFonts w:ascii="Cambria Math" w:hAnsi="Cambria Math"/>
                        <w:lang w:eastAsia="zh-CN"/>
                      </w:rPr>
                    </m:ctrlPr>
                  </m:sub>
                  <m:sup>
                    <m:r>
                      <m:rPr>
                        <m:nor/>
                      </m:rPr>
                      <w:rPr>
                        <w:lang w:eastAsia="zh-CN"/>
                      </w:rPr>
                      <m:t>DL</m:t>
                    </m:r>
                    <m:ctrlPr>
                      <w:rPr>
                        <w:rFonts w:ascii="Cambria Math" w:hAnsi="Cambria Math"/>
                        <w:lang w:eastAsia="zh-CN"/>
                      </w:rPr>
                    </m:ctrlPr>
                  </m:sup>
                </m:sSubSup>
                <m:r>
                  <w:rPr>
                    <w:rFonts w:ascii="Cambria Math" w:hAnsi="Cambria Math"/>
                    <w:lang w:eastAsia="zh-CN"/>
                  </w:rPr>
                  <m:t>-</m:t>
                </m:r>
                <m:nary>
                  <m:naryPr>
                    <m:chr m:val="∑"/>
                    <m:ctrlPr>
                      <w:rPr>
                        <w:rFonts w:ascii="Cambria Math" w:hAnsi="Cambria Math"/>
                        <w:i/>
                        <w:lang w:eastAsia="zh-CN"/>
                      </w:rPr>
                    </m:ctrlPr>
                  </m:naryPr>
                  <m:sub>
                    <m:r>
                      <w:rPr>
                        <w:rFonts w:ascii="Cambria Math" w:hAnsi="Cambria Math"/>
                        <w:lang w:eastAsia="zh-CN"/>
                      </w:rPr>
                      <m:t>c=0</m:t>
                    </m:r>
                  </m:sub>
                  <m:sup>
                    <m:sSubSup>
                      <m:sSubSupPr>
                        <m:ctrlPr>
                          <w:rPr>
                            <w:rFonts w:ascii="Cambria Math" w:hAnsi="Cambria Math"/>
                            <w:i/>
                            <w:lang w:eastAsia="zh-CN"/>
                          </w:rPr>
                        </m:ctrlPr>
                      </m:sSubSupPr>
                      <m:e>
                        <m:r>
                          <w:rPr>
                            <w:rFonts w:ascii="Cambria Math" w:hAnsi="Cambria Math"/>
                            <w:lang w:eastAsia="zh-CN"/>
                          </w:rPr>
                          <m:t>N</m:t>
                        </m:r>
                      </m:e>
                      <m:sub>
                        <m:r>
                          <m:rPr>
                            <m:nor/>
                          </m:rPr>
                          <w:rPr>
                            <w:lang w:eastAsia="zh-CN"/>
                          </w:rPr>
                          <m:t>cells</m:t>
                        </m:r>
                        <m:ctrlPr>
                          <w:rPr>
                            <w:rFonts w:ascii="Cambria Math" w:hAnsi="Cambria Math"/>
                            <w:lang w:eastAsia="zh-CN"/>
                          </w:rPr>
                        </m:ctrlPr>
                      </m:sub>
                      <m:sup>
                        <m:r>
                          <m:rPr>
                            <m:nor/>
                          </m:rPr>
                          <w:rPr>
                            <w:lang w:eastAsia="zh-CN"/>
                          </w:rPr>
                          <m:t>DL,TBG</m:t>
                        </m:r>
                        <m:ctrlPr>
                          <w:rPr>
                            <w:rFonts w:ascii="Cambria Math" w:hAnsi="Cambria Math"/>
                            <w:lang w:eastAsia="zh-CN"/>
                          </w:rPr>
                        </m:ctrlPr>
                      </m:sup>
                    </m:sSubSup>
                    <m:r>
                      <w:rPr>
                        <w:rFonts w:ascii="Cambria Math" w:hAnsi="Cambria Math"/>
                        <w:lang w:eastAsia="zh-CN"/>
                      </w:rPr>
                      <m:t>-1</m:t>
                    </m:r>
                  </m:sup>
                  <m:e>
                    <m:sSubSup>
                      <m:sSubSupPr>
                        <m:ctrlPr>
                          <w:rPr>
                            <w:rFonts w:ascii="Cambria Math" w:hAnsi="Cambria Math"/>
                            <w:i/>
                            <w:lang w:eastAsia="zh-CN"/>
                          </w:rPr>
                        </m:ctrlPr>
                      </m:sSubSupPr>
                      <m:e>
                        <m:r>
                          <w:rPr>
                            <w:rFonts w:ascii="Cambria Math" w:hAnsi="Cambria Math"/>
                            <w:lang w:eastAsia="zh-CN"/>
                          </w:rPr>
                          <m:t>U</m:t>
                        </m:r>
                      </m:e>
                      <m:sub>
                        <m:r>
                          <m:rPr>
                            <m:nor/>
                          </m:rPr>
                          <w:rPr>
                            <w:lang w:eastAsia="zh-CN"/>
                          </w:rPr>
                          <m:t>DAI,</m:t>
                        </m:r>
                        <m:r>
                          <w:rPr>
                            <w:rFonts w:ascii="Cambria Math" w:hAnsi="Cambria Math"/>
                            <w:lang w:eastAsia="zh-CN"/>
                          </w:rPr>
                          <m:t>c</m:t>
                        </m:r>
                        <m:ctrlPr>
                          <w:rPr>
                            <w:rFonts w:ascii="Cambria Math" w:hAnsi="Cambria Math"/>
                            <w:lang w:eastAsia="zh-CN"/>
                          </w:rPr>
                        </m:ctrlPr>
                      </m:sub>
                      <m:sup>
                        <m:r>
                          <m:rPr>
                            <m:nor/>
                          </m:rPr>
                          <w:rPr>
                            <w:lang w:eastAsia="zh-CN"/>
                          </w:rPr>
                          <m:t>TBG</m:t>
                        </m:r>
                        <m:ctrlPr>
                          <w:rPr>
                            <w:rFonts w:ascii="Cambria Math" w:hAnsi="Cambria Math"/>
                            <w:lang w:eastAsia="zh-CN"/>
                          </w:rPr>
                        </m:ctrlPr>
                      </m:sup>
                    </m:sSubSup>
                  </m:e>
                </m:nary>
              </m:e>
            </m:d>
            <m:func>
              <m:funcPr>
                <m:ctrlPr>
                  <w:rPr>
                    <w:rFonts w:ascii="Cambria Math" w:hAnsi="Cambria Math"/>
                    <w:i/>
                    <w:lang w:eastAsia="zh-CN"/>
                  </w:rPr>
                </m:ctrlPr>
              </m:funcPr>
              <m:fName>
                <m:r>
                  <w:rPr>
                    <w:rFonts w:ascii="Cambria Math" w:hAnsi="Cambria Math"/>
                    <w:lang w:eastAsia="zh-CN"/>
                  </w:rPr>
                  <m:t>mod</m:t>
                </m:r>
              </m:fName>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m:t>
                        </m:r>
                      </m:sub>
                    </m:sSub>
                  </m:e>
                </m:d>
              </m:e>
            </m:func>
          </m:e>
        </m:d>
        <m:sSubSup>
          <m:sSubSupPr>
            <m:ctrlPr>
              <w:rPr>
                <w:rFonts w:ascii="Cambria Math" w:hAnsi="Cambria Math"/>
                <w:i/>
                <w:lang w:eastAsia="zh-CN"/>
              </w:rPr>
            </m:ctrlPr>
          </m:sSubSupPr>
          <m:e>
            <m:r>
              <w:rPr>
                <w:rFonts w:ascii="Cambria Math" w:hAnsi="Cambria Math"/>
                <w:lang w:eastAsia="zh-CN"/>
              </w:rPr>
              <m:t>N</m:t>
            </m:r>
          </m:e>
          <m:sub>
            <m:r>
              <m:rPr>
                <m:nor/>
              </m:rPr>
              <w:rPr>
                <w:lang w:eastAsia="zh-CN"/>
              </w:rPr>
              <m:t>HARQ</m:t>
            </m:r>
            <m:r>
              <m:rPr>
                <m:sty m:val="p"/>
              </m:rPr>
              <w:rPr>
                <w:rFonts w:ascii="Cambria Math" w:hAnsi="Cambria Math"/>
                <w:lang w:eastAsia="zh-CN"/>
              </w:rPr>
              <m:t>-</m:t>
            </m:r>
            <m:r>
              <m:rPr>
                <m:nor/>
              </m:rPr>
              <w:rPr>
                <w:lang w:eastAsia="zh-CN"/>
              </w:rPr>
              <m:t>ACK,max</m:t>
            </m:r>
            <m:ctrlPr>
              <w:rPr>
                <w:rFonts w:ascii="Cambria Math" w:hAnsi="Cambria Math"/>
                <w:lang w:eastAsia="zh-CN"/>
              </w:rPr>
            </m:ctrlPr>
          </m:sub>
          <m:sup>
            <m:r>
              <m:rPr>
                <m:nor/>
              </m:rPr>
              <w:rPr>
                <w:lang w:eastAsia="zh-CN"/>
              </w:rPr>
              <m:t>TBG,max</m:t>
            </m:r>
            <m:ctrlPr>
              <w:rPr>
                <w:rFonts w:ascii="Cambria Math" w:hAnsi="Cambria Math"/>
                <w:lang w:eastAsia="zh-CN"/>
              </w:rPr>
            </m:ctrlPr>
          </m:sup>
        </m:sSubSup>
        <m:r>
          <w:rPr>
            <w:rFonts w:ascii="Cambria Math" w:hAnsi="Cambria Math"/>
            <w:lang w:eastAsia="zh-CN"/>
          </w:rPr>
          <m:t>+</m:t>
        </m:r>
        <m:nary>
          <m:naryPr>
            <m:chr m:val="∑"/>
            <m:ctrlPr>
              <w:rPr>
                <w:rFonts w:ascii="Cambria Math" w:hAnsi="Cambria Math"/>
                <w:i/>
                <w:lang w:eastAsia="zh-CN"/>
              </w:rPr>
            </m:ctrlPr>
          </m:naryPr>
          <m:sub>
            <m:r>
              <w:rPr>
                <w:rFonts w:ascii="Cambria Math" w:hAnsi="Cambria Math"/>
                <w:lang w:eastAsia="zh-CN"/>
              </w:rPr>
              <m:t>c=0</m:t>
            </m:r>
          </m:sub>
          <m:sup>
            <m:sSubSup>
              <m:sSubSupPr>
                <m:ctrlPr>
                  <w:rPr>
                    <w:rFonts w:ascii="Cambria Math" w:hAnsi="Cambria Math"/>
                    <w:i/>
                    <w:lang w:eastAsia="zh-CN"/>
                  </w:rPr>
                </m:ctrlPr>
              </m:sSubSupPr>
              <m:e>
                <m:r>
                  <w:rPr>
                    <w:rFonts w:ascii="Cambria Math" w:hAnsi="Cambria Math"/>
                    <w:lang w:eastAsia="zh-CN"/>
                  </w:rPr>
                  <m:t>N</m:t>
                </m:r>
              </m:e>
              <m:sub>
                <m:r>
                  <m:rPr>
                    <m:nor/>
                  </m:rPr>
                  <w:rPr>
                    <w:lang w:eastAsia="zh-CN"/>
                  </w:rPr>
                  <m:t>cells</m:t>
                </m:r>
                <m:ctrlPr>
                  <w:rPr>
                    <w:rFonts w:ascii="Cambria Math" w:hAnsi="Cambria Math"/>
                    <w:lang w:eastAsia="zh-CN"/>
                  </w:rPr>
                </m:ctrlPr>
              </m:sub>
              <m:sup>
                <m:r>
                  <m:rPr>
                    <m:nor/>
                  </m:rPr>
                  <w:rPr>
                    <w:lang w:eastAsia="zh-CN"/>
                  </w:rPr>
                  <m:t>DL</m:t>
                </m:r>
                <m:r>
                  <m:rPr>
                    <m:nor/>
                  </m:rPr>
                  <w:rPr>
                    <w:rFonts w:ascii="Cambria Math"/>
                    <w:lang w:eastAsia="zh-CN"/>
                  </w:rPr>
                  <m:t>,TBG</m:t>
                </m:r>
                <m:ctrlPr>
                  <w:rPr>
                    <w:rFonts w:ascii="Cambria Math" w:hAnsi="Cambria Math"/>
                    <w:lang w:eastAsia="zh-CN"/>
                  </w:rPr>
                </m:ctrlPr>
              </m:sup>
            </m:sSubSup>
            <m:r>
              <w:rPr>
                <w:rFonts w:ascii="Cambria Math" w:hAnsi="Cambria Math"/>
                <w:lang w:eastAsia="zh-CN"/>
              </w:rPr>
              <m:t>-1</m:t>
            </m:r>
          </m:sup>
          <m:e>
            <m:nary>
              <m:naryPr>
                <m:chr m:val="∑"/>
                <m:ctrlPr>
                  <w:rPr>
                    <w:rFonts w:ascii="Cambria Math" w:hAnsi="Cambria Math"/>
                    <w:i/>
                    <w:lang w:eastAsia="zh-CN"/>
                  </w:rPr>
                </m:ctrlPr>
              </m:naryPr>
              <m:sub>
                <m:r>
                  <w:rPr>
                    <w:rFonts w:ascii="Cambria Math" w:hAnsi="Cambria Math"/>
                    <w:lang w:eastAsia="zh-CN"/>
                  </w:rPr>
                  <m:t>m=0</m:t>
                </m:r>
              </m:sub>
              <m:sup>
                <m:r>
                  <w:rPr>
                    <w:rFonts w:ascii="Cambria Math" w:hAnsi="Cambria Math"/>
                    <w:lang w:eastAsia="zh-CN"/>
                  </w:rPr>
                  <m:t>M-1</m:t>
                </m:r>
              </m:sup>
              <m:e>
                <m:sSubSup>
                  <m:sSubSupPr>
                    <m:ctrlPr>
                      <w:rPr>
                        <w:rFonts w:ascii="Cambria Math" w:hAnsi="Cambria Math"/>
                        <w:i/>
                        <w:lang w:eastAsia="zh-CN"/>
                      </w:rPr>
                    </m:ctrlPr>
                  </m:sSubSupPr>
                  <m:e>
                    <m:r>
                      <w:rPr>
                        <w:rFonts w:ascii="Cambria Math" w:hAnsi="Cambria Math"/>
                        <w:lang w:eastAsia="zh-CN"/>
                      </w:rPr>
                      <m:t>N</m:t>
                    </m:r>
                  </m:e>
                  <m:sub>
                    <m:r>
                      <w:rPr>
                        <w:rFonts w:ascii="Cambria Math" w:hAnsi="Cambria Math"/>
                        <w:lang w:eastAsia="zh-CN"/>
                      </w:rPr>
                      <m:t>m,c</m:t>
                    </m:r>
                  </m:sub>
                  <m:sup>
                    <m:r>
                      <m:rPr>
                        <m:nor/>
                      </m:rPr>
                      <w:rPr>
                        <w:lang w:eastAsia="zh-CN"/>
                      </w:rPr>
                      <m:t>received,TBG</m:t>
                    </m:r>
                    <m:ctrlPr>
                      <w:rPr>
                        <w:rFonts w:ascii="Cambria Math" w:hAnsi="Cambria Math"/>
                        <w:lang w:eastAsia="zh-CN"/>
                      </w:rPr>
                    </m:ctrlPr>
                  </m:sup>
                </m:sSubSup>
              </m:e>
            </m:nary>
          </m:e>
        </m:nary>
      </m:oMath>
    </w:p>
    <w:p w14:paraId="32A3789B" w14:textId="77777777" w:rsidR="005045FF" w:rsidRPr="001E3726" w:rsidRDefault="005045FF" w:rsidP="00C5087D">
      <w:pPr>
        <w:rPr>
          <w:lang w:val="en-US" w:eastAsia="zh-CN"/>
        </w:rPr>
      </w:pPr>
      <w:r w:rsidRPr="001E3726">
        <w:rPr>
          <w:lang w:val="en-US" w:eastAsia="zh-CN"/>
        </w:rPr>
        <w:t>where</w:t>
      </w:r>
    </w:p>
    <w:p w14:paraId="4456A16F" w14:textId="77777777" w:rsidR="005045FF" w:rsidRPr="001E3726" w:rsidRDefault="005045FF" w:rsidP="00C5087D">
      <w:pPr>
        <w:pStyle w:val="B1"/>
      </w:pPr>
      <w:r w:rsidRPr="001E3726">
        <w:rPr>
          <w:rFonts w:cs="Arial"/>
          <w:lang w:eastAsia="zh-CN"/>
        </w:rPr>
        <w:t>-</w:t>
      </w:r>
      <w:r w:rsidRPr="001E3726">
        <w:rPr>
          <w:rFonts w:cs="Arial"/>
          <w:lang w:eastAsia="zh-CN"/>
        </w:rPr>
        <w:tab/>
        <w:t xml:space="preserve">if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rPr>
              <m:t>DL</m:t>
            </m:r>
            <m:ctrlPr>
              <w:rPr>
                <w:rFonts w:ascii="Cambria Math" w:hAnsi="Cambria Math"/>
              </w:rPr>
            </m:ctrlPr>
          </m:sup>
        </m:sSubSup>
        <m:r>
          <w:rPr>
            <w:rFonts w:ascii="Cambria Math" w:hAnsi="Cambria Math"/>
          </w:rPr>
          <m:t>=1</m:t>
        </m:r>
      </m:oMath>
      <w:r w:rsidRPr="001E3726">
        <w:t xml:space="preserve">, </w:t>
      </w:r>
      <m:oMath>
        <m:sSubSup>
          <m:sSubSupPr>
            <m:ctrlPr>
              <w:rPr>
                <w:rFonts w:ascii="Cambria Math" w:hAnsi="Cambria Math"/>
                <w:i/>
              </w:rPr>
            </m:ctrlPr>
          </m:sSubSupPr>
          <m:e>
            <m:r>
              <w:rPr>
                <w:rFonts w:ascii="Cambria Math"/>
              </w:rPr>
              <m:t>V</m:t>
            </m:r>
          </m:e>
          <m:sub>
            <m:r>
              <m:rPr>
                <m:sty m:val="p"/>
              </m:rPr>
              <w:rPr>
                <w:rFonts w:ascii="Cambria Math"/>
              </w:rPr>
              <m:t>DAI,</m:t>
            </m:r>
            <m:sSub>
              <m:sSubPr>
                <m:ctrlPr>
                  <w:rPr>
                    <w:rFonts w:ascii="Cambria Math" w:hAnsi="Cambria Math"/>
                    <w:lang w:eastAsia="zh-CN"/>
                  </w:rPr>
                </m:ctrlPr>
              </m:sSubPr>
              <m:e>
                <m:r>
                  <w:rPr>
                    <w:rFonts w:ascii="Cambria Math" w:hAnsi="Cambria Math"/>
                    <w:lang w:eastAsia="zh-CN"/>
                  </w:rPr>
                  <m:t>m</m:t>
                </m:r>
              </m:e>
              <m:sub>
                <m:r>
                  <m:rPr>
                    <m:sty m:val="p"/>
                  </m:rPr>
                  <w:rPr>
                    <w:rFonts w:ascii="Cambria Math" w:hAnsi="Cambria Math"/>
                    <w:lang w:eastAsia="zh-CN"/>
                  </w:rPr>
                  <m:t>last</m:t>
                </m:r>
              </m:sub>
            </m:sSub>
            <m:ctrlPr>
              <w:rPr>
                <w:rFonts w:ascii="Cambria Math" w:hAnsi="Cambria Math"/>
              </w:rPr>
            </m:ctrlPr>
          </m:sub>
          <m:sup>
            <m:r>
              <m:rPr>
                <m:nor/>
              </m:rPr>
              <w:rPr>
                <w:rFonts w:ascii="Cambria Math"/>
              </w:rPr>
              <m:t>DL</m:t>
            </m:r>
            <m:ctrlPr>
              <w:rPr>
                <w:rFonts w:ascii="Cambria Math" w:hAnsi="Cambria Math"/>
              </w:rPr>
            </m:ctrlPr>
          </m:sup>
        </m:sSubSup>
      </m:oMath>
      <w:r w:rsidRPr="001E3726">
        <w:rPr>
          <w:rFonts w:cs="Arial"/>
          <w:lang w:eastAsia="zh-CN"/>
        </w:rPr>
        <w:t xml:space="preserve"> is the value of the counter DAI in the last</w:t>
      </w:r>
      <w:r w:rsidRPr="001E3726">
        <w:rPr>
          <w:lang w:eastAsia="zh-CN"/>
        </w:rPr>
        <w:t xml:space="preserve"> DCI format</w:t>
      </w:r>
      <w:r w:rsidRPr="001E3726">
        <w:rPr>
          <w:rFonts w:cs="Arial"/>
          <w:lang w:eastAsia="zh-CN"/>
        </w:rPr>
        <w:t xml:space="preserve"> </w:t>
      </w:r>
      <w:r w:rsidRPr="001E3726">
        <w:rPr>
          <w:lang w:eastAsia="zh-CN"/>
        </w:rPr>
        <w:t>scheduling more than one PDSCH reception</w:t>
      </w:r>
      <w:r>
        <w:rPr>
          <w:lang w:val="en-US" w:eastAsia="zh-CN"/>
        </w:rPr>
        <w:t>s</w:t>
      </w:r>
      <w:r w:rsidRPr="001E3726">
        <w:rPr>
          <w:lang w:eastAsia="zh-CN"/>
        </w:rPr>
        <w:t xml:space="preserve"> </w:t>
      </w:r>
      <w:r w:rsidRPr="00847375">
        <w:rPr>
          <w:rFonts w:hint="eastAsia"/>
        </w:rPr>
        <w:t xml:space="preserve">for </w:t>
      </w:r>
      <w:r w:rsidRPr="00847375">
        <w:t xml:space="preserve">any serving </w:t>
      </w:r>
      <w:r w:rsidRPr="00847375">
        <w:rPr>
          <w:rFonts w:hint="eastAsia"/>
        </w:rPr>
        <w:t xml:space="preserve">cell </w:t>
      </w:r>
      <m:oMath>
        <m:r>
          <w:rPr>
            <w:rFonts w:ascii="Cambria Math" w:hAnsi="Cambria Math"/>
          </w:rPr>
          <m:t>c</m:t>
        </m:r>
      </m:oMath>
      <w:r w:rsidRPr="00847375">
        <w:rPr>
          <w:rFonts w:hint="eastAsia"/>
        </w:rPr>
        <w:t xml:space="preserve"> </w:t>
      </w:r>
      <w:r>
        <w:rPr>
          <w:lang w:val="en-US"/>
        </w:rPr>
        <w:t>from the</w:t>
      </w:r>
      <w:r w:rsidRPr="001E3726">
        <w:t xml:space="preserve">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rPr>
              <m:t>DL,TBG</m:t>
            </m:r>
            <m:ctrlPr>
              <w:rPr>
                <w:rFonts w:ascii="Cambria Math" w:hAnsi="Cambria Math"/>
              </w:rPr>
            </m:ctrlPr>
          </m:sup>
        </m:sSubSup>
      </m:oMath>
      <w:r w:rsidRPr="001E3726">
        <w:t xml:space="preserve"> serving cells</w:t>
      </w:r>
      <w:r w:rsidRPr="001E3726" w:rsidDel="00A64FA1">
        <w:rPr>
          <w:lang w:eastAsia="zh-CN"/>
        </w:rPr>
        <w:t xml:space="preserve"> </w:t>
      </w:r>
      <w:r w:rsidRPr="001E3726">
        <w:rPr>
          <w:lang w:eastAsia="zh-CN"/>
        </w:rPr>
        <w:t>with TBG-based</w:t>
      </w:r>
      <w:r w:rsidRPr="001E3726">
        <w:t xml:space="preserve"> HARQ-ACK information </w:t>
      </w:r>
      <w:r>
        <w:rPr>
          <w:lang w:val="en-US"/>
        </w:rPr>
        <w:t xml:space="preserve">or with TB-based </w:t>
      </w:r>
      <w:r w:rsidRPr="001E3726">
        <w:t>HARQ-ACK information</w:t>
      </w:r>
      <w:r w:rsidRPr="001E3726">
        <w:rPr>
          <w:lang w:eastAsia="zh-CN"/>
        </w:rPr>
        <w:t xml:space="preserve"> that the UE detects within the </w:t>
      </w:r>
      <m:oMath>
        <m:r>
          <w:rPr>
            <w:rFonts w:ascii="Cambria Math" w:hAnsi="Cambria Math"/>
          </w:rPr>
          <m:t>M</m:t>
        </m:r>
      </m:oMath>
      <w:r w:rsidRPr="001E3726">
        <w:t xml:space="preserve"> </w:t>
      </w:r>
      <w:r w:rsidRPr="001E3726">
        <w:rPr>
          <w:lang w:eastAsia="zh-CN"/>
        </w:rPr>
        <w:t>PDCCH monitoring occasions</w:t>
      </w:r>
    </w:p>
    <w:p w14:paraId="4A7BF1F8" w14:textId="77777777" w:rsidR="005045FF" w:rsidRPr="001E3726" w:rsidRDefault="005045FF" w:rsidP="00C5087D">
      <w:pPr>
        <w:pStyle w:val="B1"/>
      </w:pPr>
      <w:r w:rsidRPr="001E3726">
        <w:rPr>
          <w:rFonts w:cs="Arial"/>
          <w:lang w:eastAsia="zh-CN"/>
        </w:rPr>
        <w:t>-</w:t>
      </w:r>
      <w:r w:rsidRPr="001E3726">
        <w:rPr>
          <w:rFonts w:cs="Arial"/>
          <w:lang w:eastAsia="zh-CN"/>
        </w:rPr>
        <w:tab/>
        <w:t xml:space="preserve">if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rPr>
              <m:t>DL</m:t>
            </m:r>
            <m:ctrlPr>
              <w:rPr>
                <w:rFonts w:ascii="Cambria Math" w:hAnsi="Cambria Math"/>
              </w:rPr>
            </m:ctrlPr>
          </m:sup>
        </m:sSubSup>
        <m:r>
          <w:rPr>
            <w:rFonts w:ascii="Cambria Math" w:hAnsi="Cambria Math"/>
          </w:rPr>
          <m:t>&gt;1</m:t>
        </m:r>
      </m:oMath>
      <w:r w:rsidRPr="001E3726">
        <w:t xml:space="preserve">, </w:t>
      </w:r>
      <m:oMath>
        <m:sSubSup>
          <m:sSubSupPr>
            <m:ctrlPr>
              <w:rPr>
                <w:rFonts w:ascii="Cambria Math" w:hAnsi="Cambria Math"/>
                <w:i/>
              </w:rPr>
            </m:ctrlPr>
          </m:sSubSupPr>
          <m:e>
            <m:r>
              <w:rPr>
                <w:rFonts w:ascii="Cambria Math"/>
              </w:rPr>
              <m:t>V</m:t>
            </m:r>
          </m:e>
          <m:sub>
            <m:r>
              <m:rPr>
                <m:sty m:val="p"/>
              </m:rPr>
              <w:rPr>
                <w:rFonts w:ascii="Cambria Math"/>
              </w:rPr>
              <m:t>DAI,</m:t>
            </m:r>
            <m:sSub>
              <m:sSubPr>
                <m:ctrlPr>
                  <w:rPr>
                    <w:rFonts w:ascii="Cambria Math" w:hAnsi="Cambria Math"/>
                    <w:lang w:eastAsia="zh-CN"/>
                  </w:rPr>
                </m:ctrlPr>
              </m:sSubPr>
              <m:e>
                <m:r>
                  <w:rPr>
                    <w:rFonts w:ascii="Cambria Math" w:hAnsi="Cambria Math"/>
                    <w:lang w:eastAsia="zh-CN"/>
                  </w:rPr>
                  <m:t>m</m:t>
                </m:r>
              </m:e>
              <m:sub>
                <m:r>
                  <m:rPr>
                    <m:sty m:val="p"/>
                  </m:rPr>
                  <w:rPr>
                    <w:rFonts w:ascii="Cambria Math" w:hAnsi="Cambria Math"/>
                    <w:lang w:eastAsia="zh-CN"/>
                  </w:rPr>
                  <m:t>last</m:t>
                </m:r>
              </m:sub>
            </m:sSub>
            <m:ctrlPr>
              <w:rPr>
                <w:rFonts w:ascii="Cambria Math" w:hAnsi="Cambria Math"/>
              </w:rPr>
            </m:ctrlPr>
          </m:sub>
          <m:sup>
            <m:r>
              <m:rPr>
                <m:nor/>
              </m:rPr>
              <w:rPr>
                <w:rFonts w:ascii="Cambria Math"/>
              </w:rPr>
              <m:t>DL</m:t>
            </m:r>
            <m:ctrlPr>
              <w:rPr>
                <w:rFonts w:ascii="Cambria Math" w:hAnsi="Cambria Math"/>
              </w:rPr>
            </m:ctrlPr>
          </m:sup>
        </m:sSubSup>
      </m:oMath>
      <w:r w:rsidRPr="001E3726">
        <w:rPr>
          <w:rFonts w:cs="Arial"/>
          <w:lang w:eastAsia="zh-CN"/>
        </w:rPr>
        <w:t xml:space="preserve"> is the value of the total DAI in the last</w:t>
      </w:r>
      <w:r w:rsidRPr="001E3726">
        <w:rPr>
          <w:lang w:eastAsia="zh-CN"/>
        </w:rPr>
        <w:t xml:space="preserve"> DCI format</w:t>
      </w:r>
      <w:r w:rsidRPr="001E3726">
        <w:rPr>
          <w:rFonts w:cs="Arial"/>
          <w:lang w:eastAsia="zh-CN"/>
        </w:rPr>
        <w:t xml:space="preserve"> </w:t>
      </w:r>
      <w:r w:rsidRPr="001E3726">
        <w:rPr>
          <w:lang w:eastAsia="zh-CN"/>
        </w:rPr>
        <w:t>scheduling more than one PDSCH reception</w:t>
      </w:r>
      <w:r>
        <w:rPr>
          <w:lang w:val="en-US" w:eastAsia="zh-CN"/>
        </w:rPr>
        <w:t>s</w:t>
      </w:r>
      <w:r w:rsidRPr="001E3726">
        <w:rPr>
          <w:lang w:eastAsia="zh-CN"/>
        </w:rPr>
        <w:t xml:space="preserve"> with TBG-based</w:t>
      </w:r>
      <w:r w:rsidRPr="001E3726">
        <w:t xml:space="preserve"> HARQ-ACK information</w:t>
      </w:r>
      <w:r w:rsidRPr="001E3726">
        <w:rPr>
          <w:lang w:eastAsia="zh-CN"/>
        </w:rPr>
        <w:t xml:space="preserve"> </w:t>
      </w:r>
      <w:r>
        <w:rPr>
          <w:lang w:val="en-US"/>
        </w:rPr>
        <w:t xml:space="preserve">or with TB-based </w:t>
      </w:r>
      <w:r w:rsidRPr="001E3726">
        <w:t>HARQ-ACK information</w:t>
      </w:r>
      <w:r w:rsidRPr="001E3726">
        <w:rPr>
          <w:lang w:eastAsia="zh-CN"/>
        </w:rPr>
        <w:t xml:space="preserve"> for any serving cell </w:t>
      </w:r>
      <m:oMath>
        <m:r>
          <w:rPr>
            <w:rFonts w:ascii="Cambria Math" w:hAnsi="Cambria Math"/>
          </w:rPr>
          <m:t>c</m:t>
        </m:r>
      </m:oMath>
      <w:r w:rsidRPr="001E3726">
        <w:rPr>
          <w:lang w:eastAsia="zh-CN"/>
        </w:rPr>
        <w:t xml:space="preserve"> </w:t>
      </w:r>
      <w:r>
        <w:rPr>
          <w:lang w:val="en-US"/>
        </w:rPr>
        <w:t>from the</w:t>
      </w:r>
      <w:r w:rsidRPr="001E3726">
        <w:t xml:space="preserve">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rPr>
              <m:t>DL,TBG</m:t>
            </m:r>
            <m:ctrlPr>
              <w:rPr>
                <w:rFonts w:ascii="Cambria Math" w:hAnsi="Cambria Math"/>
              </w:rPr>
            </m:ctrlPr>
          </m:sup>
        </m:sSubSup>
      </m:oMath>
      <w:r w:rsidRPr="001E3726">
        <w:t xml:space="preserve"> serving cells</w:t>
      </w:r>
      <w:r w:rsidRPr="001E3726" w:rsidDel="00A64FA1">
        <w:rPr>
          <w:lang w:eastAsia="zh-CN"/>
        </w:rPr>
        <w:t xml:space="preserve"> </w:t>
      </w:r>
      <w:r w:rsidRPr="001E3726">
        <w:rPr>
          <w:lang w:eastAsia="zh-CN"/>
        </w:rPr>
        <w:t xml:space="preserve">that the UE detects within the </w:t>
      </w:r>
      <m:oMath>
        <m:r>
          <w:rPr>
            <w:rFonts w:ascii="Cambria Math" w:hAnsi="Cambria Math"/>
          </w:rPr>
          <m:t>M</m:t>
        </m:r>
      </m:oMath>
      <w:r w:rsidRPr="001E3726">
        <w:t xml:space="preserve"> </w:t>
      </w:r>
      <w:r w:rsidRPr="001E3726">
        <w:rPr>
          <w:lang w:eastAsia="zh-CN"/>
        </w:rPr>
        <w:t>PDCCH monitoring occasions</w:t>
      </w:r>
    </w:p>
    <w:p w14:paraId="0FFE9E59" w14:textId="77777777" w:rsidR="005045FF" w:rsidRPr="001E3726" w:rsidRDefault="005045FF" w:rsidP="00C5087D">
      <w:pPr>
        <w:pStyle w:val="B1"/>
      </w:pPr>
      <w:r w:rsidRPr="001E3726">
        <w:rPr>
          <w:rFonts w:cs="Arial"/>
          <w:lang w:eastAsia="zh-CN"/>
        </w:rPr>
        <w:lastRenderedPageBreak/>
        <w:t>-</w:t>
      </w:r>
      <w:r w:rsidRPr="001E3726">
        <w:rPr>
          <w:rFonts w:cs="Arial"/>
          <w:lang w:eastAsia="zh-CN"/>
        </w:rPr>
        <w:tab/>
      </w:r>
      <m:oMath>
        <m:sSubSup>
          <m:sSubSupPr>
            <m:ctrlPr>
              <w:rPr>
                <w:rFonts w:ascii="Cambria Math" w:hAnsi="Cambria Math"/>
                <w:i/>
              </w:rPr>
            </m:ctrlPr>
          </m:sSubSupPr>
          <m:e>
            <m:r>
              <w:rPr>
                <w:rFonts w:ascii="Cambria Math"/>
              </w:rPr>
              <m:t>V</m:t>
            </m:r>
          </m:e>
          <m:sub>
            <m:r>
              <m:rPr>
                <m:sty m:val="p"/>
              </m:rPr>
              <w:rPr>
                <w:rFonts w:ascii="Cambria Math"/>
              </w:rPr>
              <m:t>DAI,</m:t>
            </m:r>
            <m:sSub>
              <m:sSubPr>
                <m:ctrlPr>
                  <w:rPr>
                    <w:rFonts w:ascii="Cambria Math" w:hAnsi="Cambria Math"/>
                    <w:lang w:eastAsia="zh-CN"/>
                  </w:rPr>
                </m:ctrlPr>
              </m:sSubPr>
              <m:e>
                <m:r>
                  <w:rPr>
                    <w:rFonts w:ascii="Cambria Math" w:hAnsi="Cambria Math"/>
                    <w:lang w:eastAsia="zh-CN"/>
                  </w:rPr>
                  <m:t>m</m:t>
                </m:r>
              </m:e>
              <m:sub>
                <m:r>
                  <m:rPr>
                    <m:sty m:val="p"/>
                  </m:rPr>
                  <w:rPr>
                    <w:rFonts w:ascii="Cambria Math" w:hAnsi="Cambria Math"/>
                    <w:lang w:eastAsia="zh-CN"/>
                  </w:rPr>
                  <m:t>last</m:t>
                </m:r>
              </m:sub>
            </m:sSub>
            <m:ctrlPr>
              <w:rPr>
                <w:rFonts w:ascii="Cambria Math" w:hAnsi="Cambria Math"/>
              </w:rPr>
            </m:ctrlPr>
          </m:sub>
          <m:sup>
            <m:r>
              <m:rPr>
                <m:nor/>
              </m:rPr>
              <w:rPr>
                <w:rFonts w:ascii="Cambria Math"/>
              </w:rPr>
              <m:t>DL</m:t>
            </m:r>
            <m:ctrlPr>
              <w:rPr>
                <w:rFonts w:ascii="Cambria Math" w:hAnsi="Cambria Math"/>
              </w:rPr>
            </m:ctrlPr>
          </m:sup>
        </m:sSubSup>
        <m:r>
          <w:rPr>
            <w:rFonts w:ascii="Cambria Math" w:hAnsi="Cambria Math"/>
          </w:rPr>
          <m:t>=0</m:t>
        </m:r>
      </m:oMath>
      <w:r w:rsidRPr="001E3726">
        <w:t xml:space="preserve">, </w:t>
      </w:r>
      <w:r w:rsidRPr="001E3726">
        <w:rPr>
          <w:rFonts w:cs="Arial"/>
          <w:lang w:eastAsia="zh-CN"/>
        </w:rPr>
        <w:t xml:space="preserve">if the UE does not detect any </w:t>
      </w:r>
      <w:r w:rsidRPr="001E3726">
        <w:rPr>
          <w:lang w:eastAsia="zh-CN"/>
        </w:rPr>
        <w:t>DCI format</w:t>
      </w:r>
      <w:r w:rsidRPr="001E3726">
        <w:rPr>
          <w:rFonts w:cs="Arial"/>
          <w:lang w:eastAsia="zh-CN"/>
        </w:rPr>
        <w:t xml:space="preserve"> </w:t>
      </w:r>
      <w:r w:rsidRPr="001E3726">
        <w:rPr>
          <w:lang w:eastAsia="zh-CN"/>
        </w:rPr>
        <w:t>scheduling more than one PDSCH reception</w:t>
      </w:r>
      <w:r>
        <w:rPr>
          <w:lang w:val="en-US" w:eastAsia="zh-CN"/>
        </w:rPr>
        <w:t>s</w:t>
      </w:r>
      <w:r w:rsidRPr="001E3726">
        <w:rPr>
          <w:lang w:eastAsia="zh-CN"/>
        </w:rPr>
        <w:t xml:space="preserve"> with TBG-based</w:t>
      </w:r>
      <w:r w:rsidRPr="001E3726">
        <w:t xml:space="preserve"> HARQ-ACK information</w:t>
      </w:r>
      <w:r w:rsidRPr="001E3726">
        <w:rPr>
          <w:lang w:eastAsia="zh-CN"/>
        </w:rPr>
        <w:t xml:space="preserve"> </w:t>
      </w:r>
      <w:r>
        <w:rPr>
          <w:lang w:val="en-US"/>
        </w:rPr>
        <w:t xml:space="preserve">or with TB-based </w:t>
      </w:r>
      <w:r w:rsidRPr="001E3726">
        <w:t>HARQ-ACK information</w:t>
      </w:r>
      <w:r w:rsidRPr="001E3726">
        <w:rPr>
          <w:lang w:eastAsia="zh-CN"/>
        </w:rPr>
        <w:t xml:space="preserve"> for any serving cell </w:t>
      </w:r>
      <m:oMath>
        <m:r>
          <w:rPr>
            <w:rFonts w:ascii="Cambria Math" w:hAnsi="Cambria Math"/>
          </w:rPr>
          <m:t>c</m:t>
        </m:r>
      </m:oMath>
      <w:r w:rsidRPr="001E3726">
        <w:rPr>
          <w:lang w:eastAsia="zh-CN"/>
        </w:rPr>
        <w:t xml:space="preserve"> </w:t>
      </w:r>
      <w:r>
        <w:rPr>
          <w:lang w:val="en-US"/>
        </w:rPr>
        <w:t>from the</w:t>
      </w:r>
      <w:r w:rsidRPr="001E3726">
        <w:t xml:space="preserve">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rPr>
              <m:t>DL,TBG</m:t>
            </m:r>
            <m:ctrlPr>
              <w:rPr>
                <w:rFonts w:ascii="Cambria Math" w:hAnsi="Cambria Math"/>
              </w:rPr>
            </m:ctrlPr>
          </m:sup>
        </m:sSubSup>
      </m:oMath>
      <w:r w:rsidRPr="001E3726">
        <w:t xml:space="preserve"> serving cells </w:t>
      </w:r>
      <w:r w:rsidRPr="001E3726">
        <w:rPr>
          <w:lang w:eastAsia="zh-CN"/>
        </w:rPr>
        <w:t xml:space="preserve">in any of the </w:t>
      </w:r>
      <m:oMath>
        <m:r>
          <w:rPr>
            <w:rFonts w:ascii="Cambria Math" w:hAnsi="Cambria Math"/>
          </w:rPr>
          <m:t>M</m:t>
        </m:r>
      </m:oMath>
      <w:r w:rsidRPr="001E3726">
        <w:t xml:space="preserve"> </w:t>
      </w:r>
      <w:r w:rsidRPr="001E3726">
        <w:rPr>
          <w:lang w:eastAsia="zh-CN"/>
        </w:rPr>
        <w:t>PDCCH monitoring occasion</w:t>
      </w:r>
      <w:r w:rsidRPr="001E3726">
        <w:t>s</w:t>
      </w:r>
    </w:p>
    <w:p w14:paraId="360D7B59" w14:textId="77777777" w:rsidR="005045FF" w:rsidRPr="001E3726" w:rsidRDefault="005045FF" w:rsidP="00C5087D">
      <w:pPr>
        <w:pStyle w:val="B1"/>
        <w:rPr>
          <w:lang w:eastAsia="zh-CN"/>
        </w:rPr>
      </w:pPr>
      <w:r w:rsidRPr="001E3726">
        <w:t>-</w:t>
      </w:r>
      <w:r w:rsidRPr="001E3726">
        <w:tab/>
      </w:r>
      <m:oMath>
        <m:sSubSup>
          <m:sSubSupPr>
            <m:ctrlPr>
              <w:rPr>
                <w:rFonts w:ascii="Cambria Math" w:hAnsi="Cambria Math"/>
                <w:i/>
              </w:rPr>
            </m:ctrlPr>
          </m:sSubSupPr>
          <m:e>
            <m:r>
              <w:rPr>
                <w:rFonts w:ascii="Cambria Math"/>
              </w:rPr>
              <m:t>U</m:t>
            </m:r>
          </m:e>
          <m:sub>
            <m:r>
              <m:rPr>
                <m:sty m:val="p"/>
              </m:rPr>
              <w:rPr>
                <w:rFonts w:ascii="Cambria Math"/>
              </w:rPr>
              <m:t>DAI,</m:t>
            </m:r>
            <m:r>
              <w:rPr>
                <w:rFonts w:ascii="Cambria Math"/>
              </w:rPr>
              <m:t>c</m:t>
            </m:r>
            <m:ctrlPr>
              <w:rPr>
                <w:rFonts w:ascii="Cambria Math" w:hAnsi="Cambria Math"/>
              </w:rPr>
            </m:ctrlPr>
          </m:sub>
          <m:sup>
            <m:r>
              <m:rPr>
                <m:nor/>
              </m:rPr>
              <w:rPr>
                <w:rFonts w:ascii="Cambria Math"/>
              </w:rPr>
              <m:t>TBG</m:t>
            </m:r>
            <m:ctrlPr>
              <w:rPr>
                <w:rFonts w:ascii="Cambria Math" w:hAnsi="Cambria Math"/>
              </w:rPr>
            </m:ctrlPr>
          </m:sup>
        </m:sSubSup>
      </m:oMath>
      <w:r w:rsidRPr="001E3726">
        <w:t xml:space="preserve"> is the total number of </w:t>
      </w:r>
      <w:r w:rsidRPr="001E3726">
        <w:rPr>
          <w:lang w:eastAsia="zh-CN"/>
        </w:rPr>
        <w:t>DCI formats</w:t>
      </w:r>
      <w:r w:rsidRPr="001E3726">
        <w:rPr>
          <w:rFonts w:cs="Arial"/>
          <w:lang w:eastAsia="zh-CN"/>
        </w:rPr>
        <w:t xml:space="preserve"> </w:t>
      </w:r>
      <w:r w:rsidRPr="001E3726">
        <w:rPr>
          <w:lang w:eastAsia="zh-CN"/>
        </w:rPr>
        <w:t>scheduling more than one PDSCH reception</w:t>
      </w:r>
      <w:r>
        <w:rPr>
          <w:lang w:val="en-US" w:eastAsia="zh-CN"/>
        </w:rPr>
        <w:t>s</w:t>
      </w:r>
      <w:r w:rsidRPr="001E3726">
        <w:rPr>
          <w:lang w:eastAsia="zh-CN"/>
        </w:rPr>
        <w:t xml:space="preserve"> with TBG-based</w:t>
      </w:r>
      <w:r w:rsidRPr="001E3726">
        <w:t xml:space="preserve"> HARQ-ACK information </w:t>
      </w:r>
      <w:r>
        <w:rPr>
          <w:lang w:val="en-US"/>
        </w:rPr>
        <w:t xml:space="preserve">or with TB-based </w:t>
      </w:r>
      <w:r w:rsidRPr="001E3726">
        <w:t>HARQ-ACK information</w:t>
      </w:r>
      <w:r w:rsidRPr="001E3726">
        <w:rPr>
          <w:lang w:eastAsia="zh-CN"/>
        </w:rPr>
        <w:t xml:space="preserve"> for any serving cell </w:t>
      </w:r>
      <m:oMath>
        <m:r>
          <w:rPr>
            <w:rFonts w:ascii="Cambria Math" w:hAnsi="Cambria Math"/>
          </w:rPr>
          <m:t>c</m:t>
        </m:r>
      </m:oMath>
      <w:r w:rsidRPr="001E3726">
        <w:rPr>
          <w:lang w:eastAsia="zh-CN"/>
        </w:rPr>
        <w:t xml:space="preserve"> </w:t>
      </w:r>
      <w:r>
        <w:rPr>
          <w:lang w:val="en-US"/>
        </w:rPr>
        <w:t>from the</w:t>
      </w:r>
      <w:r w:rsidRPr="001E3726">
        <w:t xml:space="preserve">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rPr>
              <m:t>DL,TBG</m:t>
            </m:r>
            <m:ctrlPr>
              <w:rPr>
                <w:rFonts w:ascii="Cambria Math" w:hAnsi="Cambria Math"/>
              </w:rPr>
            </m:ctrlPr>
          </m:sup>
        </m:sSubSup>
      </m:oMath>
      <w:r w:rsidRPr="001E3726">
        <w:t xml:space="preserve"> serving cells</w:t>
      </w:r>
      <w:r w:rsidRPr="001E3726" w:rsidDel="00A64FA1">
        <w:rPr>
          <w:lang w:eastAsia="zh-CN"/>
        </w:rPr>
        <w:t xml:space="preserve"> </w:t>
      </w:r>
      <w:r w:rsidRPr="001E3726">
        <w:t xml:space="preserve">that the UE detects within the </w:t>
      </w:r>
      <m:oMath>
        <m:r>
          <w:rPr>
            <w:rFonts w:ascii="Cambria Math" w:hAnsi="Cambria Math"/>
          </w:rPr>
          <m:t>M</m:t>
        </m:r>
      </m:oMath>
      <w:r w:rsidRPr="001E3726">
        <w:rPr>
          <w:lang w:eastAsia="zh-CN"/>
        </w:rPr>
        <w:t xml:space="preserve"> PDCCH monitoring occasions</w:t>
      </w:r>
      <w:r>
        <w:rPr>
          <w:lang w:val="en-US" w:eastAsia="zh-CN"/>
        </w:rPr>
        <w:t xml:space="preserve"> </w:t>
      </w:r>
      <w:r w:rsidRPr="00847375">
        <w:t>for</w:t>
      </w:r>
      <w:r w:rsidRPr="00847375">
        <w:rPr>
          <w:rFonts w:hint="eastAsia"/>
          <w:sz w:val="19"/>
          <w:szCs w:val="19"/>
        </w:rPr>
        <w:t xml:space="preserve"> </w:t>
      </w:r>
      <w:r w:rsidRPr="00847375">
        <w:rPr>
          <w:rFonts w:hint="eastAsia"/>
        </w:rPr>
        <w:t>serving cell</w:t>
      </w:r>
      <w:r w:rsidRPr="00847375">
        <w:rPr>
          <w:rFonts w:hint="eastAsia"/>
          <w:sz w:val="19"/>
          <w:szCs w:val="19"/>
        </w:rPr>
        <w:t xml:space="preserve"> </w:t>
      </w:r>
      <m:oMath>
        <m:r>
          <w:rPr>
            <w:rFonts w:ascii="Cambria Math" w:hAnsi="Cambria Math"/>
          </w:rPr>
          <m:t>c</m:t>
        </m:r>
      </m:oMath>
      <w:r w:rsidRPr="001E3726">
        <w:t xml:space="preserve">. </w:t>
      </w:r>
      <m:oMath>
        <m:sSubSup>
          <m:sSubSupPr>
            <m:ctrlPr>
              <w:rPr>
                <w:rFonts w:ascii="Cambria Math" w:hAnsi="Cambria Math"/>
                <w:i/>
              </w:rPr>
            </m:ctrlPr>
          </m:sSubSupPr>
          <m:e>
            <m:r>
              <w:rPr>
                <w:rFonts w:ascii="Cambria Math"/>
              </w:rPr>
              <m:t>U</m:t>
            </m:r>
          </m:e>
          <m:sub>
            <m:r>
              <m:rPr>
                <m:sty m:val="p"/>
              </m:rPr>
              <w:rPr>
                <w:rFonts w:ascii="Cambria Math"/>
              </w:rPr>
              <m:t>DAI,</m:t>
            </m:r>
            <m:r>
              <w:rPr>
                <w:rFonts w:ascii="Cambria Math"/>
              </w:rPr>
              <m:t>c</m:t>
            </m:r>
            <m:ctrlPr>
              <w:rPr>
                <w:rFonts w:ascii="Cambria Math" w:hAnsi="Cambria Math"/>
              </w:rPr>
            </m:ctrlPr>
          </m:sub>
          <m:sup>
            <m:r>
              <m:rPr>
                <m:nor/>
              </m:rPr>
              <w:rPr>
                <w:rFonts w:ascii="Cambria Math"/>
              </w:rPr>
              <m:t>TBG</m:t>
            </m:r>
            <m:ctrlPr>
              <w:rPr>
                <w:rFonts w:ascii="Cambria Math" w:hAnsi="Cambria Math"/>
              </w:rPr>
            </m:ctrlPr>
          </m:sup>
        </m:sSubSup>
        <m:r>
          <w:rPr>
            <w:rFonts w:ascii="Cambria Math" w:hAnsi="Cambria Math"/>
          </w:rPr>
          <m:t>=0</m:t>
        </m:r>
      </m:oMath>
      <w:r w:rsidRPr="001E3726">
        <w:t xml:space="preserve"> if the UE does not detect </w:t>
      </w:r>
      <w:r w:rsidRPr="001E3726">
        <w:rPr>
          <w:rFonts w:cs="Arial"/>
          <w:lang w:eastAsia="zh-CN"/>
        </w:rPr>
        <w:t xml:space="preserve">any </w:t>
      </w:r>
      <w:r w:rsidRPr="00847375">
        <w:t>DCI format</w:t>
      </w:r>
      <w:r w:rsidRPr="00847375">
        <w:rPr>
          <w:rFonts w:cs="Arial"/>
        </w:rPr>
        <w:t xml:space="preserve"> </w:t>
      </w:r>
      <w:r w:rsidRPr="00847375">
        <w:rPr>
          <w:rFonts w:hint="eastAsia"/>
        </w:rPr>
        <w:t xml:space="preserve">scheduling </w:t>
      </w:r>
      <w:r w:rsidRPr="00847375">
        <w:t>more than one PDSCH reception</w:t>
      </w:r>
      <w:r>
        <w:rPr>
          <w:lang w:val="en-US"/>
        </w:rPr>
        <w:t>s</w:t>
      </w:r>
      <w:r w:rsidRPr="00847375">
        <w:rPr>
          <w:rFonts w:hint="eastAsia"/>
        </w:rPr>
        <w:t xml:space="preserve"> for </w:t>
      </w:r>
      <w:r w:rsidRPr="00847375">
        <w:t xml:space="preserve">serving </w:t>
      </w:r>
      <w:r w:rsidRPr="00847375">
        <w:rPr>
          <w:rFonts w:hint="eastAsia"/>
        </w:rPr>
        <w:t xml:space="preserve">cell </w:t>
      </w:r>
      <m:oMath>
        <m:r>
          <w:rPr>
            <w:rFonts w:ascii="Cambria Math" w:hAnsi="Cambria Math"/>
          </w:rPr>
          <m:t>c</m:t>
        </m:r>
      </m:oMath>
      <w:r w:rsidRPr="00847375">
        <w:rPr>
          <w:rFonts w:hint="eastAsia"/>
        </w:rPr>
        <w:t xml:space="preserve"> in </w:t>
      </w:r>
      <w:r w:rsidRPr="00847375">
        <w:t xml:space="preserve">any of the </w:t>
      </w:r>
      <m:oMath>
        <m:r>
          <w:rPr>
            <w:rFonts w:ascii="Cambria Math" w:hAnsi="Cambria Math"/>
          </w:rPr>
          <m:t>M</m:t>
        </m:r>
      </m:oMath>
      <w:r w:rsidRPr="00847375">
        <w:t xml:space="preserve"> PDCCH monitoring occasions</w:t>
      </w:r>
    </w:p>
    <w:p w14:paraId="3E41D5F5" w14:textId="77777777" w:rsidR="005045FF" w:rsidRPr="0031512E" w:rsidRDefault="005045FF" w:rsidP="00C5087D">
      <w:pPr>
        <w:pStyle w:val="B1"/>
        <w:rPr>
          <w:lang w:val="en-US" w:eastAsia="zh-CN"/>
        </w:rPr>
      </w:pPr>
      <w:r w:rsidRPr="001E3726">
        <w:t>-</w:t>
      </w:r>
      <w:r w:rsidRPr="001E3726">
        <w:tab/>
        <w:t xml:space="preserve">if </w:t>
      </w:r>
      <w:r w:rsidRPr="001E3726">
        <w:rPr>
          <w:i/>
        </w:rPr>
        <w:t>harq-ACK-SpatialBundlingPUCCH</w:t>
      </w:r>
      <w:r w:rsidRPr="001E3726">
        <w:rPr>
          <w:rFonts w:hint="eastAsia"/>
          <w:lang w:eastAsia="zh-CN"/>
        </w:rPr>
        <w:t xml:space="preserve"> </w:t>
      </w:r>
      <w:r w:rsidRPr="001E3726">
        <w:rPr>
          <w:lang w:eastAsia="zh-CN"/>
        </w:rPr>
        <w:t>is provided,</w:t>
      </w:r>
    </w:p>
    <w:p w14:paraId="7EB9DC8F" w14:textId="2430CB5D" w:rsidR="005045FF" w:rsidRDefault="005045FF" w:rsidP="005045FF">
      <w:pPr>
        <w:pStyle w:val="B2"/>
        <w:ind w:left="852"/>
      </w:pPr>
      <w:r w:rsidRPr="001E3726">
        <w:t>-</w:t>
      </w:r>
      <w:r w:rsidRPr="001E3726">
        <w:tab/>
        <w:t>if</w:t>
      </w:r>
      <w:r>
        <w:rPr>
          <w:lang w:val="en-US"/>
        </w:rPr>
        <w:t xml:space="preserve"> </w:t>
      </w:r>
      <w:r w:rsidR="00314FD6" w:rsidRPr="00B27E56">
        <w:rPr>
          <w:i/>
          <w:iCs/>
        </w:rPr>
        <w:t>n</w:t>
      </w:r>
      <w:r w:rsidR="00314FD6">
        <w:rPr>
          <w:i/>
          <w:iCs/>
          <w:lang w:val="en-GB"/>
        </w:rPr>
        <w:t>ro</w:t>
      </w:r>
      <w:r w:rsidR="00314FD6" w:rsidRPr="00B27E56">
        <w:rPr>
          <w:i/>
          <w:iCs/>
        </w:rPr>
        <w:t>fHARQ</w:t>
      </w:r>
      <w:r w:rsidRPr="00B27E56">
        <w:rPr>
          <w:i/>
          <w:iCs/>
        </w:rPr>
        <w:t>-BundlingGroups</w:t>
      </w:r>
      <w:r>
        <w:rPr>
          <w:lang w:val="en-US"/>
        </w:rPr>
        <w:t xml:space="preserve"> is provided, </w:t>
      </w:r>
      <m:oMath>
        <m:sSubSup>
          <m:sSubSupPr>
            <m:ctrlPr>
              <w:rPr>
                <w:rFonts w:ascii="Cambria Math" w:hAnsi="Cambria Math"/>
              </w:rPr>
            </m:ctrlPr>
          </m:sSubSupPr>
          <m:e>
            <m:r>
              <w:rPr>
                <w:rFonts w:ascii="Cambria Math" w:hAnsi="Cambria Math"/>
              </w:rPr>
              <m:t>N</m:t>
            </m:r>
          </m:e>
          <m:sub>
            <m:r>
              <w:rPr>
                <w:rFonts w:ascii="Cambria Math" w:hAnsi="Cambria Math"/>
              </w:rPr>
              <m:t>m</m:t>
            </m:r>
            <m:r>
              <m:rPr>
                <m:sty m:val="p"/>
              </m:rPr>
              <w:rPr>
                <w:rFonts w:ascii="Cambria Math" w:hAnsi="Cambria Math"/>
              </w:rPr>
              <m:t>,</m:t>
            </m:r>
            <m:r>
              <w:rPr>
                <w:rFonts w:ascii="Cambria Math" w:hAnsi="Cambria Math"/>
              </w:rPr>
              <m:t>c</m:t>
            </m:r>
          </m:sub>
          <m:sup>
            <m:r>
              <m:rPr>
                <m:nor/>
              </m:rPr>
              <m:t>received,TBG</m:t>
            </m:r>
          </m:sup>
        </m:sSubSup>
      </m:oMath>
      <w:r w:rsidRPr="001E3726">
        <w:t xml:space="preserve"> is the number of </w:t>
      </w:r>
      <w:r>
        <w:rPr>
          <w:lang w:val="en-US"/>
        </w:rPr>
        <w:t xml:space="preserve">PDSCH </w:t>
      </w:r>
      <w:r w:rsidRPr="001E3726">
        <w:t xml:space="preserve">groups </w:t>
      </w:r>
      <w:r>
        <w:rPr>
          <w:lang w:val="en-US"/>
        </w:rPr>
        <w:t xml:space="preserve">that </w:t>
      </w:r>
      <w:r w:rsidRPr="001E3726">
        <w:t>includ</w:t>
      </w:r>
      <w:r>
        <w:rPr>
          <w:lang w:val="en-US"/>
        </w:rPr>
        <w:t>e</w:t>
      </w:r>
      <w:r w:rsidRPr="001E3726">
        <w:t xml:space="preserve"> at least one PDSCH not overlapping with a UL symbol indicated by </w:t>
      </w:r>
      <w:r w:rsidRPr="001E3726">
        <w:rPr>
          <w:i/>
          <w:iCs/>
        </w:rPr>
        <w:t>tdd-UL-DL-ConfigurationCommon</w:t>
      </w:r>
      <w:r>
        <w:rPr>
          <w:lang w:val="en-US"/>
        </w:rPr>
        <w:t xml:space="preserve">, </w:t>
      </w:r>
      <w:r w:rsidRPr="001E3726">
        <w:t xml:space="preserve">or </w:t>
      </w:r>
      <w:r w:rsidRPr="001E3726">
        <w:rPr>
          <w:i/>
          <w:iCs/>
        </w:rPr>
        <w:t xml:space="preserve">tdd-UL-DL-ConfigurationDedicated </w:t>
      </w:r>
      <w:r w:rsidRPr="001E3726">
        <w:t>if provided</w:t>
      </w:r>
      <w:r>
        <w:rPr>
          <w:lang w:val="en-US"/>
        </w:rPr>
        <w:t>, that</w:t>
      </w:r>
      <w:r w:rsidRPr="001E3726">
        <w:t xml:space="preserve"> the UE receives in serving cell </w:t>
      </w:r>
      <m:oMath>
        <m:r>
          <w:rPr>
            <w:rFonts w:ascii="Cambria Math" w:hAnsi="Cambria Math"/>
          </w:rPr>
          <m:t>c</m:t>
        </m:r>
      </m:oMath>
      <w:r w:rsidRPr="001E3726">
        <w:rPr>
          <w:rFonts w:eastAsiaTheme="minorEastAsia"/>
          <w:lang w:eastAsia="ko-KR"/>
        </w:rPr>
        <w:t xml:space="preserve"> </w:t>
      </w:r>
      <w:r>
        <w:rPr>
          <w:lang w:val="en-US"/>
        </w:rPr>
        <w:t>from the</w:t>
      </w:r>
      <w:r w:rsidRPr="001E3726">
        <w:t xml:space="preserve">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rPr>
              <m:t>DL,TBG</m:t>
            </m:r>
            <m:ctrlPr>
              <w:rPr>
                <w:rFonts w:ascii="Cambria Math" w:hAnsi="Cambria Math"/>
              </w:rPr>
            </m:ctrlPr>
          </m:sup>
        </m:sSubSup>
      </m:oMath>
      <w:r w:rsidRPr="001E3726">
        <w:t xml:space="preserve"> serving cells</w:t>
      </w:r>
      <w:r w:rsidRPr="001E3726">
        <w:rPr>
          <w:rFonts w:eastAsiaTheme="minorEastAsia"/>
          <w:lang w:eastAsia="ko-KR"/>
        </w:rPr>
        <w:t xml:space="preserve"> in PDCCH monitoring occasion </w:t>
      </w:r>
      <m:oMath>
        <m:r>
          <w:rPr>
            <w:rFonts w:ascii="Cambria Math" w:hAnsi="Cambria Math"/>
          </w:rPr>
          <m:t>m</m:t>
        </m:r>
      </m:oMath>
      <w:r w:rsidRPr="001E3726">
        <w:t xml:space="preserve"> </w:t>
      </w:r>
      <w:r>
        <w:rPr>
          <w:lang w:val="en-US"/>
        </w:rPr>
        <w:t xml:space="preserve">and </w:t>
      </w:r>
      <w:r w:rsidRPr="001E3726">
        <w:t>the UE reports corresponding HARQ-ACK information in the PUCCH</w:t>
      </w:r>
    </w:p>
    <w:p w14:paraId="3B4F61DF" w14:textId="3568BFD9" w:rsidR="005045FF" w:rsidRPr="001E3726" w:rsidRDefault="005045FF" w:rsidP="005045FF">
      <w:pPr>
        <w:pStyle w:val="B2"/>
        <w:ind w:left="852"/>
      </w:pPr>
      <w:r w:rsidRPr="001E3726">
        <w:t>-</w:t>
      </w:r>
      <w:r w:rsidRPr="001E3726">
        <w:tab/>
        <w:t>if</w:t>
      </w:r>
      <w:r>
        <w:rPr>
          <w:lang w:val="en-US"/>
        </w:rPr>
        <w:t xml:space="preserve"> </w:t>
      </w:r>
      <w:r w:rsidR="00314FD6" w:rsidRPr="00B27E56">
        <w:rPr>
          <w:i/>
          <w:iCs/>
        </w:rPr>
        <w:t>n</w:t>
      </w:r>
      <w:r w:rsidR="00314FD6">
        <w:rPr>
          <w:i/>
          <w:iCs/>
          <w:lang w:val="en-GB"/>
        </w:rPr>
        <w:t>ro</w:t>
      </w:r>
      <w:r w:rsidR="00314FD6" w:rsidRPr="00B27E56">
        <w:rPr>
          <w:i/>
          <w:iCs/>
        </w:rPr>
        <w:t>fHARQ</w:t>
      </w:r>
      <w:r w:rsidRPr="00B27E56">
        <w:rPr>
          <w:i/>
          <w:iCs/>
        </w:rPr>
        <w:t>-BundlingGroups</w:t>
      </w:r>
      <w:r>
        <w:rPr>
          <w:lang w:val="en-US"/>
        </w:rPr>
        <w:t xml:space="preserve"> is not provided, </w:t>
      </w:r>
      <m:oMath>
        <m:sSubSup>
          <m:sSubSupPr>
            <m:ctrlPr>
              <w:rPr>
                <w:rFonts w:ascii="Cambria Math" w:hAnsi="Cambria Math"/>
              </w:rPr>
            </m:ctrlPr>
          </m:sSubSupPr>
          <m:e>
            <m:r>
              <w:rPr>
                <w:rFonts w:ascii="Cambria Math" w:hAnsi="Cambria Math"/>
              </w:rPr>
              <m:t>N</m:t>
            </m:r>
          </m:e>
          <m:sub>
            <m:r>
              <w:rPr>
                <w:rFonts w:ascii="Cambria Math" w:hAnsi="Cambria Math"/>
              </w:rPr>
              <m:t>m</m:t>
            </m:r>
            <m:r>
              <m:rPr>
                <m:sty m:val="p"/>
              </m:rPr>
              <w:rPr>
                <w:rFonts w:ascii="Cambria Math" w:hAnsi="Cambria Math"/>
              </w:rPr>
              <m:t>,</m:t>
            </m:r>
            <m:r>
              <w:rPr>
                <w:rFonts w:ascii="Cambria Math" w:hAnsi="Cambria Math"/>
              </w:rPr>
              <m:t>c</m:t>
            </m:r>
          </m:sub>
          <m:sup>
            <m:r>
              <m:rPr>
                <m:nor/>
              </m:rPr>
              <m:t>received,TBG</m:t>
            </m:r>
          </m:sup>
        </m:sSubSup>
      </m:oMath>
      <w:r w:rsidRPr="001E3726">
        <w:t xml:space="preserve"> is the number of PDSCHs </w:t>
      </w:r>
      <w:r>
        <w:rPr>
          <w:lang w:val="en-US"/>
        </w:rPr>
        <w:t>that</w:t>
      </w:r>
      <w:r w:rsidRPr="001E3726">
        <w:t xml:space="preserve"> the UE receives in serving cell </w:t>
      </w:r>
      <m:oMath>
        <m:r>
          <w:rPr>
            <w:rFonts w:ascii="Cambria Math" w:hAnsi="Cambria Math"/>
          </w:rPr>
          <m:t>c</m:t>
        </m:r>
      </m:oMath>
      <w:r w:rsidRPr="001E3726">
        <w:rPr>
          <w:rFonts w:eastAsiaTheme="minorEastAsia"/>
          <w:lang w:eastAsia="ko-KR"/>
        </w:rPr>
        <w:t xml:space="preserve"> </w:t>
      </w:r>
      <w:r>
        <w:rPr>
          <w:lang w:val="en-US"/>
        </w:rPr>
        <w:t>from the</w:t>
      </w:r>
      <w:r w:rsidRPr="001E3726">
        <w:t xml:space="preserve">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rPr>
              <m:t>DL,TBG</m:t>
            </m:r>
            <m:ctrlPr>
              <w:rPr>
                <w:rFonts w:ascii="Cambria Math" w:hAnsi="Cambria Math"/>
              </w:rPr>
            </m:ctrlPr>
          </m:sup>
        </m:sSubSup>
      </m:oMath>
      <w:r w:rsidRPr="001E3726">
        <w:t xml:space="preserve"> serving cells</w:t>
      </w:r>
      <w:r w:rsidRPr="001E3726">
        <w:rPr>
          <w:rFonts w:eastAsiaTheme="minorEastAsia"/>
          <w:lang w:eastAsia="ko-KR"/>
        </w:rPr>
        <w:t xml:space="preserve"> in PDCCH monitoring occasion </w:t>
      </w:r>
      <m:oMath>
        <m:r>
          <w:rPr>
            <w:rFonts w:ascii="Cambria Math" w:hAnsi="Cambria Math"/>
          </w:rPr>
          <m:t>m</m:t>
        </m:r>
      </m:oMath>
      <w:r w:rsidRPr="001E3726">
        <w:t xml:space="preserve"> </w:t>
      </w:r>
      <w:r>
        <w:rPr>
          <w:lang w:val="en-US"/>
        </w:rPr>
        <w:t xml:space="preserve">and </w:t>
      </w:r>
      <w:r w:rsidRPr="001E3726">
        <w:t>the UE reports corresponding HARQ-ACK information in the PUCCH</w:t>
      </w:r>
    </w:p>
    <w:p w14:paraId="6F6A6EAB" w14:textId="77777777" w:rsidR="005045FF" w:rsidRDefault="005045FF" w:rsidP="00C5087D">
      <w:pPr>
        <w:pStyle w:val="B1"/>
        <w:rPr>
          <w:lang w:eastAsia="zh-CN"/>
        </w:rPr>
      </w:pPr>
      <w:r w:rsidRPr="001E3726">
        <w:t>-</w:t>
      </w:r>
      <w:r w:rsidRPr="001E3726">
        <w:tab/>
        <w:t xml:space="preserve">if </w:t>
      </w:r>
      <w:r w:rsidRPr="008B4541">
        <w:rPr>
          <w:i/>
          <w:iCs/>
        </w:rPr>
        <w:t>harq-ACK-SpatialBundlingPUCCH</w:t>
      </w:r>
      <w:r w:rsidRPr="001E3726">
        <w:rPr>
          <w:rFonts w:hint="eastAsia"/>
          <w:lang w:eastAsia="zh-CN"/>
        </w:rPr>
        <w:t xml:space="preserve"> </w:t>
      </w:r>
      <w:r w:rsidRPr="001E3726">
        <w:rPr>
          <w:lang w:eastAsia="zh-CN"/>
        </w:rPr>
        <w:t>is not provided,</w:t>
      </w:r>
    </w:p>
    <w:p w14:paraId="61247AF9" w14:textId="5D25208E" w:rsidR="005045FF" w:rsidRDefault="005045FF" w:rsidP="005045FF">
      <w:pPr>
        <w:pStyle w:val="B2"/>
        <w:ind w:left="852"/>
      </w:pPr>
      <w:r w:rsidRPr="001E3726">
        <w:t>-</w:t>
      </w:r>
      <w:r w:rsidRPr="001E3726">
        <w:tab/>
        <w:t>if</w:t>
      </w:r>
      <w:r>
        <w:rPr>
          <w:lang w:val="en-US"/>
        </w:rPr>
        <w:t xml:space="preserve"> </w:t>
      </w:r>
      <w:r w:rsidR="00314FD6" w:rsidRPr="00B27E56">
        <w:rPr>
          <w:i/>
          <w:iCs/>
        </w:rPr>
        <w:t>n</w:t>
      </w:r>
      <w:r w:rsidR="00314FD6">
        <w:rPr>
          <w:i/>
          <w:iCs/>
          <w:lang w:val="en-GB"/>
        </w:rPr>
        <w:t>ro</w:t>
      </w:r>
      <w:r w:rsidR="00314FD6" w:rsidRPr="00B27E56">
        <w:rPr>
          <w:i/>
          <w:iCs/>
        </w:rPr>
        <w:t>fHARQ</w:t>
      </w:r>
      <w:r w:rsidRPr="00B27E56">
        <w:rPr>
          <w:i/>
          <w:iCs/>
        </w:rPr>
        <w:t>-BundlingGroups</w:t>
      </w:r>
      <w:r>
        <w:rPr>
          <w:lang w:val="en-US"/>
        </w:rPr>
        <w:t xml:space="preserve"> is provided, </w:t>
      </w:r>
      <m:oMath>
        <m:sSubSup>
          <m:sSubSupPr>
            <m:ctrlPr>
              <w:rPr>
                <w:rFonts w:ascii="Cambria Math" w:hAnsi="Cambria Math"/>
              </w:rPr>
            </m:ctrlPr>
          </m:sSubSupPr>
          <m:e>
            <m:r>
              <w:rPr>
                <w:rFonts w:ascii="Cambria Math" w:hAnsi="Cambria Math"/>
              </w:rPr>
              <m:t>N</m:t>
            </m:r>
          </m:e>
          <m:sub>
            <m:r>
              <w:rPr>
                <w:rFonts w:ascii="Cambria Math" w:hAnsi="Cambria Math"/>
              </w:rPr>
              <m:t>m</m:t>
            </m:r>
            <m:r>
              <m:rPr>
                <m:sty m:val="p"/>
              </m:rPr>
              <w:rPr>
                <w:rFonts w:ascii="Cambria Math" w:hAnsi="Cambria Math"/>
              </w:rPr>
              <m:t>,</m:t>
            </m:r>
            <m:r>
              <w:rPr>
                <w:rFonts w:ascii="Cambria Math" w:hAnsi="Cambria Math"/>
              </w:rPr>
              <m:t>c</m:t>
            </m:r>
          </m:sub>
          <m:sup>
            <m:r>
              <m:rPr>
                <m:nor/>
              </m:rPr>
              <m:t>received,TBG</m:t>
            </m:r>
          </m:sup>
        </m:sSubSup>
      </m:oMath>
      <w:r w:rsidRPr="001E3726">
        <w:t xml:space="preserve"> is the number of TBGs including at least one PDSCH not overlapping with a</w:t>
      </w:r>
      <w:r>
        <w:rPr>
          <w:lang w:val="en-US"/>
        </w:rPr>
        <w:t>n</w:t>
      </w:r>
      <w:r w:rsidRPr="001E3726">
        <w:t xml:space="preserve"> UL symbol indicated by </w:t>
      </w:r>
      <w:r w:rsidRPr="001E3726">
        <w:rPr>
          <w:i/>
          <w:iCs/>
        </w:rPr>
        <w:t>tdd-UL-DL-ConfigurationCommon</w:t>
      </w:r>
      <w:r>
        <w:rPr>
          <w:lang w:val="en-US"/>
        </w:rPr>
        <w:t xml:space="preserve">, </w:t>
      </w:r>
      <w:r w:rsidRPr="001E3726">
        <w:t>or</w:t>
      </w:r>
      <w:r>
        <w:rPr>
          <w:lang w:val="en-US"/>
        </w:rPr>
        <w:t xml:space="preserve"> by</w:t>
      </w:r>
      <w:r w:rsidRPr="001E3726">
        <w:t xml:space="preserve"> </w:t>
      </w:r>
      <w:r w:rsidRPr="001E3726">
        <w:rPr>
          <w:i/>
          <w:iCs/>
        </w:rPr>
        <w:t xml:space="preserve">tdd-UL-DL-ConfigurationDedicated </w:t>
      </w:r>
      <w:r w:rsidRPr="001E3726">
        <w:t>if provided</w:t>
      </w:r>
      <w:r>
        <w:rPr>
          <w:lang w:val="en-US"/>
        </w:rPr>
        <w:t>,</w:t>
      </w:r>
      <w:r w:rsidRPr="001E3726">
        <w:t xml:space="preserve"> </w:t>
      </w:r>
      <w:r>
        <w:rPr>
          <w:lang w:val="en-US"/>
        </w:rPr>
        <w:t xml:space="preserve">that </w:t>
      </w:r>
      <w:r w:rsidRPr="001E3726">
        <w:t xml:space="preserve">the UE receives in serving cell </w:t>
      </w:r>
      <m:oMath>
        <m:r>
          <w:rPr>
            <w:rFonts w:ascii="Cambria Math" w:hAnsi="Cambria Math"/>
          </w:rPr>
          <m:t>c</m:t>
        </m:r>
      </m:oMath>
      <w:r w:rsidRPr="001E3726">
        <w:rPr>
          <w:rFonts w:eastAsiaTheme="minorEastAsia"/>
          <w:lang w:eastAsia="ko-KR"/>
        </w:rPr>
        <w:t xml:space="preserve"> </w:t>
      </w:r>
      <w:r>
        <w:rPr>
          <w:lang w:val="en-US"/>
        </w:rPr>
        <w:t>from the</w:t>
      </w:r>
      <w:r w:rsidRPr="001E3726">
        <w:t xml:space="preserve">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rPr>
              <m:t>DL,TBG</m:t>
            </m:r>
            <m:ctrlPr>
              <w:rPr>
                <w:rFonts w:ascii="Cambria Math" w:hAnsi="Cambria Math"/>
              </w:rPr>
            </m:ctrlPr>
          </m:sup>
        </m:sSubSup>
      </m:oMath>
      <w:r w:rsidRPr="001E3726">
        <w:t xml:space="preserve"> serving cells</w:t>
      </w:r>
      <w:r w:rsidRPr="001E3726">
        <w:rPr>
          <w:rFonts w:eastAsiaTheme="minorEastAsia"/>
          <w:lang w:eastAsia="ko-KR"/>
        </w:rPr>
        <w:t xml:space="preserve"> in PDCCH monitoring occasion </w:t>
      </w:r>
      <m:oMath>
        <m:r>
          <w:rPr>
            <w:rFonts w:ascii="Cambria Math" w:hAnsi="Cambria Math"/>
          </w:rPr>
          <m:t>m</m:t>
        </m:r>
      </m:oMath>
      <w:r w:rsidRPr="001E3726">
        <w:t xml:space="preserve"> and the UE reports corresponding HARQ-ACK information in the PUCCH</w:t>
      </w:r>
    </w:p>
    <w:p w14:paraId="3ED0C09D" w14:textId="4152FC09" w:rsidR="005045FF" w:rsidRDefault="005045FF" w:rsidP="005045FF">
      <w:pPr>
        <w:pStyle w:val="B2"/>
        <w:ind w:left="852"/>
        <w:rPr>
          <w:lang w:val="en-GB"/>
        </w:rPr>
      </w:pPr>
      <w:r w:rsidRPr="001E3726">
        <w:t>-</w:t>
      </w:r>
      <w:r w:rsidRPr="001E3726">
        <w:tab/>
        <w:t>if</w:t>
      </w:r>
      <w:r>
        <w:rPr>
          <w:lang w:val="en-US"/>
        </w:rPr>
        <w:t xml:space="preserve"> </w:t>
      </w:r>
      <w:r w:rsidR="00314FD6" w:rsidRPr="00B27E56">
        <w:rPr>
          <w:i/>
          <w:iCs/>
        </w:rPr>
        <w:t>n</w:t>
      </w:r>
      <w:r w:rsidR="00314FD6">
        <w:rPr>
          <w:i/>
          <w:iCs/>
          <w:lang w:val="en-GB"/>
        </w:rPr>
        <w:t>ro</w:t>
      </w:r>
      <w:r w:rsidR="00314FD6" w:rsidRPr="00B27E56">
        <w:rPr>
          <w:i/>
          <w:iCs/>
        </w:rPr>
        <w:t>fHARQ</w:t>
      </w:r>
      <w:r w:rsidRPr="00B27E56">
        <w:rPr>
          <w:i/>
          <w:iCs/>
        </w:rPr>
        <w:t>-BundlingGroups</w:t>
      </w:r>
      <w:r>
        <w:rPr>
          <w:lang w:val="en-US"/>
        </w:rPr>
        <w:t xml:space="preserve"> is not provided, </w:t>
      </w:r>
      <m:oMath>
        <m:sSubSup>
          <m:sSubSupPr>
            <m:ctrlPr>
              <w:rPr>
                <w:rFonts w:ascii="Cambria Math" w:hAnsi="Cambria Math"/>
              </w:rPr>
            </m:ctrlPr>
          </m:sSubSupPr>
          <m:e>
            <m:r>
              <w:rPr>
                <w:rFonts w:ascii="Cambria Math" w:hAnsi="Cambria Math"/>
              </w:rPr>
              <m:t>N</m:t>
            </m:r>
          </m:e>
          <m:sub>
            <m:r>
              <w:rPr>
                <w:rFonts w:ascii="Cambria Math" w:hAnsi="Cambria Math"/>
              </w:rPr>
              <m:t>m</m:t>
            </m:r>
            <m:r>
              <m:rPr>
                <m:sty m:val="p"/>
              </m:rPr>
              <w:rPr>
                <w:rFonts w:ascii="Cambria Math" w:hAnsi="Cambria Math"/>
              </w:rPr>
              <m:t>,</m:t>
            </m:r>
            <m:r>
              <w:rPr>
                <w:rFonts w:ascii="Cambria Math" w:hAnsi="Cambria Math"/>
              </w:rPr>
              <m:t>c</m:t>
            </m:r>
          </m:sub>
          <m:sup>
            <m:r>
              <m:rPr>
                <m:nor/>
              </m:rPr>
              <m:t>received,TBG</m:t>
            </m:r>
          </m:sup>
        </m:sSubSup>
      </m:oMath>
      <w:r w:rsidRPr="001E3726">
        <w:t xml:space="preserve"> is the number of </w:t>
      </w:r>
      <w:r>
        <w:rPr>
          <w:lang w:val="en-US"/>
        </w:rPr>
        <w:t>transport blocks</w:t>
      </w:r>
      <w:r w:rsidRPr="001E3726">
        <w:t xml:space="preserve"> </w:t>
      </w:r>
      <w:r>
        <w:rPr>
          <w:lang w:val="en-US"/>
        </w:rPr>
        <w:t>in</w:t>
      </w:r>
      <w:r w:rsidRPr="001E3726">
        <w:t xml:space="preserve"> PDSCH</w:t>
      </w:r>
      <w:r>
        <w:rPr>
          <w:lang w:val="en-US"/>
        </w:rPr>
        <w:t>s</w:t>
      </w:r>
      <w:r w:rsidRPr="001E3726">
        <w:t xml:space="preserve"> </w:t>
      </w:r>
      <w:r>
        <w:rPr>
          <w:lang w:val="en-US"/>
        </w:rPr>
        <w:t xml:space="preserve">that </w:t>
      </w:r>
      <w:r w:rsidRPr="001E3726">
        <w:t xml:space="preserve">the UE receives in serving cell </w:t>
      </w:r>
      <m:oMath>
        <m:r>
          <w:rPr>
            <w:rFonts w:ascii="Cambria Math" w:hAnsi="Cambria Math"/>
          </w:rPr>
          <m:t>c</m:t>
        </m:r>
      </m:oMath>
      <w:r w:rsidRPr="001E3726">
        <w:rPr>
          <w:rFonts w:eastAsiaTheme="minorEastAsia"/>
          <w:lang w:eastAsia="ko-KR"/>
        </w:rPr>
        <w:t xml:space="preserve"> </w:t>
      </w:r>
      <w:r>
        <w:rPr>
          <w:lang w:val="en-US"/>
        </w:rPr>
        <w:t>from the</w:t>
      </w:r>
      <w:r w:rsidRPr="001E3726">
        <w:t xml:space="preserve"> </w:t>
      </w:r>
      <m:oMath>
        <m:sSubSup>
          <m:sSubSupPr>
            <m:ctrlPr>
              <w:rPr>
                <w:rFonts w:ascii="Cambria Math" w:hAnsi="Cambria Math"/>
                <w:i/>
              </w:rPr>
            </m:ctrlPr>
          </m:sSubSupPr>
          <m:e>
            <m:r>
              <w:rPr>
                <w:rFonts w:ascii="Cambria Math"/>
              </w:rPr>
              <m:t>N</m:t>
            </m:r>
          </m:e>
          <m:sub>
            <m:r>
              <m:rPr>
                <m:sty m:val="p"/>
              </m:rPr>
              <w:rPr>
                <w:rFonts w:ascii="Cambria Math"/>
              </w:rPr>
              <m:t>cells</m:t>
            </m:r>
            <m:ctrlPr>
              <w:rPr>
                <w:rFonts w:ascii="Cambria Math" w:hAnsi="Cambria Math"/>
              </w:rPr>
            </m:ctrlPr>
          </m:sub>
          <m:sup>
            <m:r>
              <m:rPr>
                <m:nor/>
              </m:rPr>
              <w:rPr>
                <w:rFonts w:ascii="Cambria Math"/>
              </w:rPr>
              <m:t>DL,TBG</m:t>
            </m:r>
            <m:ctrlPr>
              <w:rPr>
                <w:rFonts w:ascii="Cambria Math" w:hAnsi="Cambria Math"/>
              </w:rPr>
            </m:ctrlPr>
          </m:sup>
        </m:sSubSup>
      </m:oMath>
      <w:r w:rsidRPr="001E3726">
        <w:t xml:space="preserve"> serving cells</w:t>
      </w:r>
      <w:r w:rsidRPr="001E3726">
        <w:rPr>
          <w:rFonts w:eastAsiaTheme="minorEastAsia"/>
          <w:lang w:eastAsia="ko-KR"/>
        </w:rPr>
        <w:t xml:space="preserve"> in PDCCH monitoring occasion </w:t>
      </w:r>
      <m:oMath>
        <m:r>
          <w:rPr>
            <w:rFonts w:ascii="Cambria Math" w:hAnsi="Cambria Math"/>
          </w:rPr>
          <m:t>m</m:t>
        </m:r>
      </m:oMath>
      <w:r w:rsidRPr="001E3726">
        <w:t xml:space="preserve"> and the UE reports corresponding HARQ-ACK information in the PUCCH</w:t>
      </w:r>
      <w:r w:rsidR="00C5087D">
        <w:rPr>
          <w:lang w:val="en-GB"/>
        </w:rPr>
        <w:t>.</w:t>
      </w:r>
    </w:p>
    <w:p w14:paraId="7B7C2A76" w14:textId="77777777" w:rsidR="00AA7C57" w:rsidRDefault="005575DD" w:rsidP="005575DD">
      <w:pPr>
        <w:rPr>
          <w:rFonts w:eastAsia="Times New Roman"/>
        </w:rPr>
      </w:pPr>
      <w:r w:rsidRPr="005575DD">
        <w:rPr>
          <w:rFonts w:eastAsia="Times New Roman" w:hint="eastAsia"/>
          <w:lang w:val="en-US" w:eastAsia="zh-CN"/>
        </w:rPr>
        <w:t xml:space="preserve">If </w:t>
      </w:r>
      <w:r w:rsidRPr="005575DD">
        <w:rPr>
          <w:rFonts w:eastAsia="Times New Roman"/>
          <w:lang w:val="en-US" w:eastAsia="zh-CN"/>
        </w:rPr>
        <w:t>a</w:t>
      </w:r>
      <w:r w:rsidRPr="005575DD">
        <w:rPr>
          <w:rFonts w:eastAsia="Times New Roman" w:hint="eastAsia"/>
          <w:lang w:val="en-US" w:eastAsia="zh-CN"/>
        </w:rPr>
        <w:t xml:space="preserve"> UE </w:t>
      </w:r>
      <w:r w:rsidRPr="005575DD">
        <w:rPr>
          <w:rFonts w:eastAsia="Times New Roman"/>
          <w:lang w:val="en-US" w:eastAsia="zh-CN"/>
        </w:rPr>
        <w:t xml:space="preserve">is provided by </w:t>
      </w:r>
      <w:r w:rsidRPr="005575DD">
        <w:rPr>
          <w:rFonts w:eastAsia="Times New Roman"/>
          <w:i/>
          <w:iCs/>
        </w:rPr>
        <w:t>MC-DCI-SetofCellsToAddModList</w:t>
      </w:r>
      <w:r w:rsidRPr="005575DD">
        <w:rPr>
          <w:rFonts w:eastAsia="Times New Roman"/>
        </w:rPr>
        <w:t xml:space="preserve"> a number of sets of serving cells and is provided USS sets to monitor PDCCH for detection of DCI format 1_3, the </w:t>
      </w:r>
      <w:r w:rsidRPr="005575DD">
        <w:rPr>
          <w:rFonts w:eastAsia="Times New Roman"/>
          <w:lang w:eastAsia="zh-CN"/>
        </w:rPr>
        <w:t>UE separately applies the following procedures for determining a corresponding second Type-2 HARQ-ACK sub-codebook</w:t>
      </w:r>
      <w:r w:rsidRPr="005575DD">
        <w:rPr>
          <w:rFonts w:eastAsia="Times New Roman"/>
        </w:rPr>
        <w:t xml:space="preserve"> for scheduling cells associated with DCI format 1_3 </w:t>
      </w:r>
      <w:r w:rsidR="00AA7C57">
        <w:rPr>
          <w:rFonts w:eastAsia="Times New Roman"/>
        </w:rPr>
        <w:t>that</w:t>
      </w:r>
    </w:p>
    <w:p w14:paraId="0A9968FF" w14:textId="77777777" w:rsidR="00AA7C57" w:rsidRPr="00AA7C57" w:rsidRDefault="00AA7C57" w:rsidP="00AA7C57">
      <w:pPr>
        <w:pStyle w:val="B1"/>
      </w:pPr>
      <w:r w:rsidRPr="00AA7C57">
        <w:t>-</w:t>
      </w:r>
      <w:r w:rsidRPr="00AA7C57">
        <w:tab/>
        <w:t xml:space="preserve">schedules PDSCH receptions on more than one serving cells from a set of serving cells, and/or </w:t>
      </w:r>
    </w:p>
    <w:p w14:paraId="3A5DB2B6" w14:textId="77777777" w:rsidR="00AA7C57" w:rsidRPr="00AA7C57" w:rsidRDefault="00AA7C57" w:rsidP="00AA7C57">
      <w:pPr>
        <w:pStyle w:val="B1"/>
      </w:pPr>
      <w:r w:rsidRPr="00AA7C57">
        <w:t>-</w:t>
      </w:r>
      <w:r w:rsidRPr="00AA7C57">
        <w:tab/>
        <w:t>does not include a SCell dormancy indication field or the SCell dormancy indication field is reserved, indicates SCell dormancy, and schedules PDSCH reception on one or more serving cells from the set of serving cells</w:t>
      </w:r>
    </w:p>
    <w:p w14:paraId="379DD32C" w14:textId="77777777" w:rsidR="00AA7C57" w:rsidRPr="00AA7C57" w:rsidRDefault="00AA7C57" w:rsidP="00AA7C57">
      <w:pPr>
        <w:pStyle w:val="B2"/>
        <w:rPr>
          <w:kern w:val="2"/>
        </w:rPr>
      </w:pPr>
      <w:r w:rsidRPr="00AA7C57">
        <w:t>-</w:t>
      </w:r>
      <w:r w:rsidRPr="00AA7C57">
        <w:tab/>
        <w:t xml:space="preserve">in the following, and for the purpose of providing HARQ-ACK information corresponding to SCell dormancy indication, the UE assumes that the UE receives a PDSCH on the serving cell associated with fields in DCI format 1_3 used for SCell dormancy indication, as described in Clause 10.3, and that the PDSCH provides one transport block that the UE correctly decodes </w:t>
      </w:r>
    </w:p>
    <w:p w14:paraId="3CBB1DC5" w14:textId="77777777" w:rsidR="00AA7C57" w:rsidRPr="00AA7C57" w:rsidRDefault="00AA7C57" w:rsidP="00AA7C57">
      <w:pPr>
        <w:rPr>
          <w:rFonts w:eastAsia="Times New Roman"/>
        </w:rPr>
      </w:pPr>
      <w:r w:rsidRPr="00AA7C57">
        <w:rPr>
          <w:rFonts w:eastAsia="Times New Roman"/>
        </w:rPr>
        <w:t xml:space="preserve">from the </w:t>
      </w:r>
      <w:r w:rsidRPr="00AA7C57">
        <w:rPr>
          <w:rFonts w:eastAsia="Times New Roman"/>
          <w:lang w:eastAsia="zh-CN"/>
        </w:rPr>
        <w:t>procedures for determining a first Type-2 HARQ-ACK sub-codebook that is associated with unicast SPS PDSCH receptions or with any unicast DCI format scheduling a PDSCH reception on a single serving cell, or has associated HARQ-ACK information without scheduling a PDSCH reception as described in this clause. The UE appends the second Type-2 HARQ-ACK sub-codebook to the first Type-2 HARQ-ACK sub-codebook.</w:t>
      </w:r>
    </w:p>
    <w:p w14:paraId="12F46BBC" w14:textId="3966987E" w:rsidR="005575DD" w:rsidRPr="005575DD" w:rsidRDefault="005575DD" w:rsidP="005575DD">
      <w:pPr>
        <w:rPr>
          <w:rFonts w:eastAsia="Times New Roman" w:cs="Arial"/>
          <w:lang w:eastAsia="zh-CN"/>
        </w:rPr>
      </w:pPr>
      <w:r w:rsidRPr="005575DD">
        <w:rPr>
          <w:rFonts w:eastAsia="Times New Roman" w:cs="Arial"/>
          <w:lang w:eastAsia="zh-CN"/>
        </w:rPr>
        <w:t xml:space="preserve">Denote </w:t>
      </w:r>
      <w:r w:rsidRPr="005575DD">
        <w:rPr>
          <w:rFonts w:eastAsia="Times New Roman"/>
        </w:rPr>
        <w:t>by</w:t>
      </w:r>
      <w:r w:rsidRPr="005575DD">
        <w:rPr>
          <w:rFonts w:eastAsia="Times New Roman" w:cs="Arial"/>
          <w:lang w:eastAsia="zh-CN"/>
        </w:rPr>
        <w:t xml:space="preserve"> </w:t>
      </w:r>
      <m:oMath>
        <m:sSubSup>
          <m:sSubSupPr>
            <m:ctrlPr>
              <w:rPr>
                <w:rFonts w:ascii="Cambria Math" w:eastAsia="Times New Roman" w:hAnsi="Cambria Math"/>
                <w:i/>
              </w:rPr>
            </m:ctrlPr>
          </m:sSubSupPr>
          <m:e>
            <m:r>
              <w:rPr>
                <w:rFonts w:ascii="Cambria Math" w:eastAsia="Times New Roman"/>
              </w:rPr>
              <m:t>N</m:t>
            </m:r>
          </m:e>
          <m:sub>
            <m:r>
              <w:rPr>
                <w:rFonts w:ascii="Cambria Math" w:eastAsia="Times New Roman"/>
              </w:rPr>
              <m:t>C</m:t>
            </m:r>
            <m:r>
              <w:rPr>
                <w:rFonts w:ascii="Cambria Math" w:eastAsia="Times New Roman"/>
              </w:rPr>
              <m:t>-</m:t>
            </m:r>
            <m:r>
              <m:rPr>
                <m:nor/>
              </m:rPr>
              <w:rPr>
                <w:rFonts w:ascii="Cambria Math" w:eastAsia="Times New Roman"/>
              </w:rPr>
              <m:t>DAI</m:t>
            </m:r>
            <m:ctrlPr>
              <w:rPr>
                <w:rFonts w:ascii="Cambria Math" w:eastAsia="Times New Roman" w:hAnsi="Cambria Math"/>
              </w:rPr>
            </m:ctrlPr>
          </m:sub>
          <m:sup>
            <m:r>
              <m:rPr>
                <m:nor/>
              </m:rPr>
              <w:rPr>
                <w:rFonts w:ascii="Cambria Math" w:eastAsia="Times New Roman"/>
              </w:rPr>
              <m:t>DL</m:t>
            </m:r>
            <m:ctrlPr>
              <w:rPr>
                <w:rFonts w:ascii="Cambria Math" w:eastAsia="Times New Roman" w:hAnsi="Cambria Math"/>
              </w:rPr>
            </m:ctrlPr>
          </m:sup>
        </m:sSubSup>
      </m:oMath>
      <w:r w:rsidRPr="005575DD">
        <w:rPr>
          <w:rFonts w:eastAsia="Times New Roman"/>
        </w:rPr>
        <w:t xml:space="preserve"> the number of bits for the counter DAI field in DCI format 1_3 and set </w:t>
      </w:r>
      <m:oMath>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D</m:t>
            </m:r>
          </m:sub>
        </m:sSub>
        <m:r>
          <w:rPr>
            <w:rFonts w:ascii="Cambria Math" w:eastAsia="Times New Roman" w:hAnsi="Cambria Math"/>
          </w:rPr>
          <m:t>=</m:t>
        </m:r>
        <m:sSup>
          <m:sSupPr>
            <m:ctrlPr>
              <w:rPr>
                <w:rFonts w:ascii="Cambria Math" w:eastAsia="Times New Roman" w:hAnsi="Cambria Math"/>
                <w:i/>
              </w:rPr>
            </m:ctrlPr>
          </m:sSupPr>
          <m:e>
            <m:r>
              <w:rPr>
                <w:rFonts w:ascii="Cambria Math" w:eastAsia="Times New Roman"/>
              </w:rPr>
              <m:t>2</m:t>
            </m:r>
          </m:e>
          <m:sup>
            <m:sSubSup>
              <m:sSubSupPr>
                <m:ctrlPr>
                  <w:rPr>
                    <w:rFonts w:ascii="Cambria Math" w:eastAsia="Times New Roman" w:hAnsi="Cambria Math"/>
                    <w:i/>
                  </w:rPr>
                </m:ctrlPr>
              </m:sSubSupPr>
              <m:e>
                <m:r>
                  <w:rPr>
                    <w:rFonts w:ascii="Cambria Math" w:eastAsia="Times New Roman"/>
                  </w:rPr>
                  <m:t>N</m:t>
                </m:r>
              </m:e>
              <m:sub>
                <m:r>
                  <w:rPr>
                    <w:rFonts w:ascii="Cambria Math" w:eastAsia="Times New Roman"/>
                  </w:rPr>
                  <m:t>C</m:t>
                </m:r>
                <m:r>
                  <w:rPr>
                    <w:rFonts w:ascii="Cambria Math" w:eastAsia="Times New Roman"/>
                  </w:rPr>
                  <m:t>-</m:t>
                </m:r>
                <m:r>
                  <m:rPr>
                    <m:nor/>
                  </m:rPr>
                  <w:rPr>
                    <w:rFonts w:ascii="Cambria Math" w:eastAsia="Times New Roman"/>
                  </w:rPr>
                  <m:t>DAI</m:t>
                </m:r>
                <m:ctrlPr>
                  <w:rPr>
                    <w:rFonts w:ascii="Cambria Math" w:eastAsia="Times New Roman" w:hAnsi="Cambria Math"/>
                  </w:rPr>
                </m:ctrlPr>
              </m:sub>
              <m:sup>
                <m:r>
                  <m:rPr>
                    <m:nor/>
                  </m:rPr>
                  <w:rPr>
                    <w:rFonts w:ascii="Cambria Math" w:eastAsia="Times New Roman"/>
                  </w:rPr>
                  <m:t>DL</m:t>
                </m:r>
                <m:ctrlPr>
                  <w:rPr>
                    <w:rFonts w:ascii="Cambria Math" w:eastAsia="Times New Roman" w:hAnsi="Cambria Math"/>
                  </w:rPr>
                </m:ctrlPr>
              </m:sup>
            </m:sSubSup>
          </m:sup>
        </m:sSup>
      </m:oMath>
      <w:r w:rsidRPr="005575DD">
        <w:rPr>
          <w:rFonts w:eastAsia="Times New Roman"/>
        </w:rPr>
        <w:t xml:space="preserve">. </w:t>
      </w:r>
      <w:r w:rsidRPr="005575DD">
        <w:rPr>
          <w:rFonts w:eastAsia="Times New Roman" w:cs="Arial" w:hint="eastAsia"/>
          <w:lang w:eastAsia="zh-CN"/>
        </w:rPr>
        <w:t>Denote</w:t>
      </w:r>
      <w:r w:rsidRPr="005575DD">
        <w:rPr>
          <w:rFonts w:eastAsia="Times New Roman" w:cs="Arial"/>
          <w:lang w:eastAsia="zh-CN"/>
        </w:rPr>
        <w:t xml:space="preserve"> by </w:t>
      </w:r>
      <m:oMath>
        <m:sSubSup>
          <m:sSubSupPr>
            <m:ctrlPr>
              <w:rPr>
                <w:rFonts w:ascii="Cambria Math" w:hAnsi="Cambria Math"/>
                <w:i/>
              </w:rPr>
            </m:ctrlPr>
          </m:sSubSupPr>
          <m:e>
            <m:r>
              <w:rPr>
                <w:rFonts w:ascii="Cambria Math"/>
              </w:rPr>
              <m:t>V</m:t>
            </m:r>
          </m:e>
          <m:sub>
            <m:r>
              <m:rPr>
                <m:sty m:val="p"/>
              </m:rPr>
              <w:rPr>
                <w:rFonts w:ascii="Cambria Math"/>
              </w:rPr>
              <m:t>C</m:t>
            </m:r>
            <m:r>
              <w:rPr>
                <w:rFonts w:ascii="Cambria Math"/>
              </w:rPr>
              <m:t>-</m:t>
            </m:r>
            <m:r>
              <m:rPr>
                <m:nor/>
              </m:rPr>
              <w:rPr>
                <w:rFonts w:ascii="Cambria Math"/>
              </w:rPr>
              <m:t>DAI,</m:t>
            </m:r>
            <m:r>
              <m:rPr>
                <m:nor/>
              </m:rPr>
              <w:rPr>
                <w:rFonts w:ascii="Cambria Math"/>
                <w:i/>
                <w:iCs/>
              </w:rPr>
              <m:t>c</m:t>
            </m:r>
            <m:r>
              <m:rPr>
                <m:nor/>
              </m:rPr>
              <w:rPr>
                <w:rFonts w:ascii="Cambria Math"/>
              </w:rPr>
              <m:t>,</m:t>
            </m:r>
            <m:r>
              <m:rPr>
                <m:nor/>
              </m:rPr>
              <w:rPr>
                <w:rFonts w:ascii="Cambria Math"/>
                <w:i/>
                <w:iCs/>
              </w:rPr>
              <m:t>m</m:t>
            </m:r>
            <m:ctrlPr>
              <w:rPr>
                <w:rFonts w:ascii="Cambria Math" w:hAnsi="Cambria Math"/>
              </w:rPr>
            </m:ctrlPr>
          </m:sub>
          <m:sup>
            <m:r>
              <m:rPr>
                <m:nor/>
              </m:rPr>
              <w:rPr>
                <w:rFonts w:ascii="Cambria Math"/>
              </w:rPr>
              <m:t>DL</m:t>
            </m:r>
            <m:ctrlPr>
              <w:rPr>
                <w:rFonts w:ascii="Cambria Math" w:hAnsi="Cambria Math"/>
              </w:rPr>
            </m:ctrlPr>
          </m:sup>
        </m:sSubSup>
      </m:oMath>
      <w:r w:rsidRPr="005575DD">
        <w:rPr>
          <w:rFonts w:eastAsia="Times New Roman" w:cs="Arial" w:hint="eastAsia"/>
          <w:lang w:eastAsia="zh-CN"/>
        </w:rPr>
        <w:t xml:space="preserve"> the value of the counter DAI</w:t>
      </w:r>
      <w:r w:rsidRPr="005575DD">
        <w:rPr>
          <w:rFonts w:eastAsia="Times New Roman" w:cs="Arial"/>
          <w:lang w:eastAsia="zh-CN"/>
        </w:rPr>
        <w:t xml:space="preserve"> </w:t>
      </w:r>
      <w:r w:rsidRPr="005575DD">
        <w:rPr>
          <w:rFonts w:eastAsia="Times New Roman" w:cs="Arial" w:hint="eastAsia"/>
          <w:lang w:eastAsia="zh-CN"/>
        </w:rPr>
        <w:t xml:space="preserve">in </w:t>
      </w:r>
      <w:r w:rsidRPr="005575DD">
        <w:rPr>
          <w:rFonts w:eastAsia="Times New Roman" w:cs="Arial"/>
          <w:lang w:eastAsia="zh-CN"/>
        </w:rPr>
        <w:t xml:space="preserve">a </w:t>
      </w:r>
      <w:r w:rsidRPr="005575DD">
        <w:rPr>
          <w:rFonts w:eastAsia="Times New Roman" w:cs="Arial" w:hint="eastAsia"/>
          <w:lang w:eastAsia="zh-CN"/>
        </w:rPr>
        <w:t xml:space="preserve">DCI format </w:t>
      </w:r>
      <w:r w:rsidRPr="005575DD">
        <w:rPr>
          <w:rFonts w:eastAsia="Times New Roman"/>
          <w:lang w:val="en-US" w:eastAsia="zh-CN"/>
        </w:rPr>
        <w:t xml:space="preserve">1_3 scheduling PDSCH receptions on more than one </w:t>
      </w:r>
      <w:r w:rsidR="001D6F08" w:rsidRPr="00DB4E9D">
        <w:rPr>
          <w:lang w:val="en-US" w:eastAsia="zh-CN"/>
        </w:rPr>
        <w:t xml:space="preserve">serving </w:t>
      </w:r>
      <w:r w:rsidRPr="005575DD">
        <w:rPr>
          <w:rFonts w:eastAsia="Times New Roman"/>
          <w:lang w:val="en-US" w:eastAsia="zh-CN"/>
        </w:rPr>
        <w:t xml:space="preserve">cells </w:t>
      </w:r>
      <w:r w:rsidR="001D6F08" w:rsidRPr="00DB4E9D">
        <w:t>among the more than one</w:t>
      </w:r>
      <w:r w:rsidRPr="005575DD">
        <w:rPr>
          <w:rFonts w:eastAsia="Times New Roman"/>
          <w:lang w:val="en-US" w:eastAsia="zh-CN"/>
        </w:rPr>
        <w:t xml:space="preserve"> serving cells, </w:t>
      </w:r>
      <w:r w:rsidRPr="005575DD">
        <w:rPr>
          <w:rFonts w:eastAsia="Times New Roman" w:hint="eastAsia"/>
          <w:lang w:val="en-US" w:eastAsia="zh-CN"/>
        </w:rPr>
        <w:t xml:space="preserve">in </w:t>
      </w:r>
      <w:r w:rsidRPr="005575DD">
        <w:rPr>
          <w:rFonts w:eastAsia="Times New Roman"/>
          <w:lang w:eastAsia="zh-CN"/>
        </w:rPr>
        <w:t>PDCCH monitoring occasion</w:t>
      </w:r>
      <w:r w:rsidRPr="005575DD">
        <w:rPr>
          <w:rFonts w:eastAsia="Times New Roman" w:hint="eastAsia"/>
          <w:lang w:val="en-US" w:eastAsia="zh-CN"/>
        </w:rPr>
        <w:t xml:space="preserve"> </w:t>
      </w:r>
      <m:oMath>
        <m:r>
          <w:rPr>
            <w:rFonts w:ascii="Cambria Math" w:eastAsia="Times New Roman" w:hAnsi="Cambria Math"/>
            <w:lang w:eastAsia="zh-CN"/>
          </w:rPr>
          <m:t>m</m:t>
        </m:r>
      </m:oMath>
      <w:r w:rsidRPr="005575DD">
        <w:rPr>
          <w:rFonts w:eastAsia="Times New Roman" w:hint="eastAsia"/>
          <w:lang w:val="en-US" w:eastAsia="zh-CN"/>
        </w:rPr>
        <w:t xml:space="preserve"> according to </w:t>
      </w:r>
      <w:r w:rsidRPr="005575DD">
        <w:rPr>
          <w:rFonts w:eastAsia="Times New Roman"/>
          <w:lang w:val="en-US" w:eastAsia="zh-CN"/>
        </w:rPr>
        <w:t>T</w:t>
      </w:r>
      <w:r w:rsidRPr="005575DD">
        <w:rPr>
          <w:rFonts w:eastAsia="Times New Roman" w:hint="eastAsia"/>
          <w:lang w:val="en-US" w:eastAsia="zh-CN"/>
        </w:rPr>
        <w:t xml:space="preserve">able </w:t>
      </w:r>
      <w:r w:rsidRPr="005575DD">
        <w:rPr>
          <w:rFonts w:eastAsia="Times New Roman"/>
          <w:lang w:val="en-US" w:eastAsia="zh-CN"/>
        </w:rPr>
        <w:t>9.1.3</w:t>
      </w:r>
      <w:r w:rsidRPr="005575DD">
        <w:rPr>
          <w:rFonts w:eastAsia="Times New Roman" w:hint="eastAsia"/>
          <w:lang w:val="en-US" w:eastAsia="zh-CN"/>
        </w:rPr>
        <w:t>-1. Denote</w:t>
      </w:r>
      <w:r w:rsidRPr="005575DD">
        <w:rPr>
          <w:rFonts w:eastAsia="Times New Roman"/>
          <w:lang w:val="en-US" w:eastAsia="zh-CN"/>
        </w:rPr>
        <w:t xml:space="preserve"> by</w:t>
      </w:r>
      <w:r w:rsidRPr="005575DD">
        <w:rPr>
          <w:rFonts w:eastAsia="Times New Roman" w:hint="eastAsia"/>
          <w:lang w:val="en-US" w:eastAsia="zh-CN"/>
        </w:rPr>
        <w:t xml:space="preserve"> </w:t>
      </w:r>
      <m:oMath>
        <m:sSubSup>
          <m:sSubSupPr>
            <m:ctrlPr>
              <w:rPr>
                <w:rFonts w:ascii="Cambria Math" w:eastAsia="Times New Roman" w:hAnsi="Cambria Math"/>
                <w:i/>
              </w:rPr>
            </m:ctrlPr>
          </m:sSubSupPr>
          <m:e>
            <m:r>
              <w:rPr>
                <w:rFonts w:ascii="Cambria Math" w:eastAsia="Times New Roman"/>
              </w:rPr>
              <m:t>V</m:t>
            </m:r>
          </m:e>
          <m:sub>
            <m:r>
              <m:rPr>
                <m:sty m:val="p"/>
              </m:rPr>
              <w:rPr>
                <w:rFonts w:ascii="Cambria Math" w:eastAsia="Times New Roman"/>
              </w:rPr>
              <m:t>T</m:t>
            </m:r>
            <m:r>
              <w:rPr>
                <w:rFonts w:ascii="Cambria Math" w:eastAsia="Times New Roman"/>
              </w:rPr>
              <m:t>-</m:t>
            </m:r>
            <m:r>
              <m:rPr>
                <m:nor/>
              </m:rPr>
              <w:rPr>
                <w:rFonts w:ascii="Cambria Math" w:eastAsia="Times New Roman"/>
              </w:rPr>
              <m:t>DAI,</m:t>
            </m:r>
            <m:r>
              <m:rPr>
                <m:nor/>
              </m:rPr>
              <w:rPr>
                <w:rFonts w:ascii="Cambria Math" w:eastAsia="Times New Roman"/>
                <w:i/>
                <w:iCs/>
              </w:rPr>
              <m:t>m</m:t>
            </m:r>
            <m:ctrlPr>
              <w:rPr>
                <w:rFonts w:ascii="Cambria Math" w:eastAsia="Times New Roman" w:hAnsi="Cambria Math"/>
              </w:rPr>
            </m:ctrlPr>
          </m:sub>
          <m:sup>
            <m:r>
              <m:rPr>
                <m:nor/>
              </m:rPr>
              <w:rPr>
                <w:rFonts w:ascii="Cambria Math" w:eastAsia="Times New Roman"/>
              </w:rPr>
              <m:t>DL</m:t>
            </m:r>
            <m:ctrlPr>
              <w:rPr>
                <w:rFonts w:ascii="Cambria Math" w:eastAsia="Times New Roman" w:hAnsi="Cambria Math"/>
              </w:rPr>
            </m:ctrlPr>
          </m:sup>
        </m:sSubSup>
      </m:oMath>
      <w:r w:rsidRPr="005575DD">
        <w:rPr>
          <w:rFonts w:eastAsia="Times New Roman" w:cs="Arial" w:hint="eastAsia"/>
          <w:lang w:eastAsia="zh-CN"/>
        </w:rPr>
        <w:t xml:space="preserve"> the value of the total DAI</w:t>
      </w:r>
      <w:r w:rsidRPr="005575DD">
        <w:rPr>
          <w:rFonts w:eastAsia="Times New Roman" w:cs="Arial"/>
          <w:lang w:eastAsia="zh-CN"/>
        </w:rPr>
        <w:t xml:space="preserve"> in </w:t>
      </w:r>
      <w:r w:rsidRPr="005575DD">
        <w:rPr>
          <w:rFonts w:eastAsia="Times New Roman"/>
          <w:lang w:val="en-US" w:eastAsia="zh-CN"/>
        </w:rPr>
        <w:t xml:space="preserve">DCI format 1_3 scheduling PDSCH receptions on more than one cells </w:t>
      </w:r>
      <w:r w:rsidRPr="005575DD">
        <w:rPr>
          <w:rFonts w:eastAsia="Times New Roman" w:hint="eastAsia"/>
          <w:lang w:val="en-US" w:eastAsia="zh-CN"/>
        </w:rPr>
        <w:t xml:space="preserve">in </w:t>
      </w:r>
      <w:r w:rsidRPr="005575DD">
        <w:rPr>
          <w:rFonts w:eastAsia="Times New Roman"/>
          <w:lang w:eastAsia="zh-CN"/>
        </w:rPr>
        <w:t>PDCCH monitoring occasion</w:t>
      </w:r>
      <w:r w:rsidRPr="005575DD">
        <w:rPr>
          <w:rFonts w:eastAsia="Times New Roman" w:hint="eastAsia"/>
          <w:lang w:val="en-US" w:eastAsia="zh-CN"/>
        </w:rPr>
        <w:t xml:space="preserve"> </w:t>
      </w:r>
      <m:oMath>
        <m:r>
          <w:rPr>
            <w:rFonts w:ascii="Cambria Math" w:eastAsia="Times New Roman" w:hAnsi="Cambria Math"/>
            <w:lang w:eastAsia="zh-CN"/>
          </w:rPr>
          <m:t>m</m:t>
        </m:r>
      </m:oMath>
      <w:r w:rsidRPr="005575DD">
        <w:rPr>
          <w:rFonts w:eastAsia="Times New Roman"/>
          <w:lang w:val="en-US" w:eastAsia="zh-CN"/>
        </w:rPr>
        <w:t xml:space="preserve"> </w:t>
      </w:r>
      <w:r w:rsidRPr="005575DD">
        <w:rPr>
          <w:rFonts w:eastAsia="Times New Roman" w:cs="Arial" w:hint="eastAsia"/>
          <w:lang w:eastAsia="zh-CN"/>
        </w:rPr>
        <w:t xml:space="preserve">according to Table </w:t>
      </w:r>
      <w:r w:rsidRPr="005575DD">
        <w:rPr>
          <w:rFonts w:eastAsia="Times New Roman" w:cs="Arial"/>
          <w:lang w:eastAsia="zh-CN"/>
        </w:rPr>
        <w:t>9.1.3</w:t>
      </w:r>
      <w:r w:rsidRPr="005575DD">
        <w:rPr>
          <w:rFonts w:eastAsia="Times New Roman" w:cs="Arial" w:hint="eastAsia"/>
          <w:lang w:eastAsia="zh-CN"/>
        </w:rPr>
        <w:t>-1. The UE assume</w:t>
      </w:r>
      <w:r w:rsidRPr="005575DD">
        <w:rPr>
          <w:rFonts w:eastAsia="Times New Roman" w:cs="Arial"/>
          <w:lang w:eastAsia="zh-CN"/>
        </w:rPr>
        <w:t>s</w:t>
      </w:r>
      <w:r w:rsidRPr="005575DD">
        <w:rPr>
          <w:rFonts w:eastAsia="Times New Roman" w:cs="Arial" w:hint="eastAsia"/>
          <w:lang w:eastAsia="zh-CN"/>
        </w:rPr>
        <w:t xml:space="preserve"> a same value of total DAI in all </w:t>
      </w:r>
      <w:r w:rsidRPr="005575DD">
        <w:rPr>
          <w:rFonts w:eastAsia="Times New Roman"/>
          <w:lang w:val="en-US" w:eastAsia="zh-CN"/>
        </w:rPr>
        <w:t xml:space="preserve">DCI formats 1_3 </w:t>
      </w:r>
      <w:r w:rsidRPr="005575DD">
        <w:rPr>
          <w:rFonts w:eastAsia="Times New Roman" w:cs="Arial" w:hint="eastAsia"/>
          <w:lang w:eastAsia="zh-CN"/>
        </w:rPr>
        <w:t>in</w:t>
      </w:r>
      <w:r w:rsidRPr="005575DD">
        <w:rPr>
          <w:rFonts w:eastAsia="Times New Roman" w:hint="eastAsia"/>
          <w:lang w:val="en-US" w:eastAsia="zh-CN"/>
        </w:rPr>
        <w:t xml:space="preserve"> </w:t>
      </w:r>
      <w:r w:rsidRPr="005575DD">
        <w:rPr>
          <w:rFonts w:eastAsia="Times New Roman"/>
          <w:lang w:eastAsia="zh-CN"/>
        </w:rPr>
        <w:t xml:space="preserve">PDCCH monitoring occasion </w:t>
      </w:r>
      <m:oMath>
        <m:r>
          <w:rPr>
            <w:rFonts w:ascii="Cambria Math" w:eastAsia="Times New Roman" w:hAnsi="Cambria Math"/>
            <w:lang w:eastAsia="zh-CN"/>
          </w:rPr>
          <m:t>m</m:t>
        </m:r>
      </m:oMath>
      <w:r w:rsidRPr="005575DD">
        <w:rPr>
          <w:rFonts w:eastAsia="Times New Roman"/>
          <w:lang w:eastAsia="zh-CN"/>
        </w:rPr>
        <w:t xml:space="preserve"> that </w:t>
      </w:r>
      <w:r w:rsidRPr="005575DD">
        <w:rPr>
          <w:rFonts w:eastAsia="Times New Roman" w:hint="eastAsia"/>
          <w:lang w:val="en-US" w:eastAsia="zh-CN"/>
        </w:rPr>
        <w:t>schedul</w:t>
      </w:r>
      <w:r w:rsidRPr="005575DD">
        <w:rPr>
          <w:rFonts w:eastAsia="Times New Roman"/>
          <w:lang w:val="en-US" w:eastAsia="zh-CN"/>
        </w:rPr>
        <w:t>e</w:t>
      </w:r>
      <w:r w:rsidRPr="005575DD">
        <w:rPr>
          <w:rFonts w:eastAsia="Times New Roman" w:hint="eastAsia"/>
          <w:lang w:val="en-US" w:eastAsia="zh-CN"/>
        </w:rPr>
        <w:t xml:space="preserve"> </w:t>
      </w:r>
      <w:r w:rsidRPr="005575DD">
        <w:rPr>
          <w:rFonts w:eastAsia="Times New Roman"/>
        </w:rPr>
        <w:t>more than one PDSCH receptions on respective more than one serving cells from a set of serving cells</w:t>
      </w:r>
      <w:r w:rsidRPr="005575DD">
        <w:rPr>
          <w:rFonts w:eastAsia="Times New Roman" w:cs="Arial" w:hint="eastAsia"/>
          <w:lang w:eastAsia="zh-CN"/>
        </w:rPr>
        <w:t>.</w:t>
      </w:r>
      <w:r w:rsidRPr="005575DD">
        <w:rPr>
          <w:rFonts w:eastAsia="Times New Roman" w:cs="Arial"/>
          <w:lang w:eastAsia="zh-CN"/>
        </w:rPr>
        <w:t xml:space="preserve"> </w:t>
      </w:r>
    </w:p>
    <w:p w14:paraId="45D5B794" w14:textId="77777777" w:rsidR="005575DD" w:rsidRPr="005575DD" w:rsidRDefault="005575DD" w:rsidP="005575DD">
      <w:pPr>
        <w:rPr>
          <w:rFonts w:eastAsia="Times New Roman"/>
        </w:rPr>
      </w:pPr>
      <w:r w:rsidRPr="005575DD">
        <w:rPr>
          <w:rFonts w:eastAsia="Times New Roman"/>
          <w:lang w:val="en-US" w:eastAsia="zh-CN"/>
        </w:rPr>
        <w:lastRenderedPageBreak/>
        <w:t>The</w:t>
      </w:r>
      <w:r w:rsidRPr="005575DD">
        <w:rPr>
          <w:rFonts w:eastAsia="Times New Roman" w:cs="Arial" w:hint="eastAsia"/>
          <w:lang w:eastAsia="zh-CN"/>
        </w:rPr>
        <w:t xml:space="preserve"> UE determine</w:t>
      </w:r>
      <w:r w:rsidRPr="005575DD">
        <w:rPr>
          <w:rFonts w:eastAsia="Times New Roman" w:cs="Arial"/>
          <w:lang w:eastAsia="zh-CN"/>
        </w:rPr>
        <w:t>s</w:t>
      </w:r>
      <w:r w:rsidRPr="005575DD">
        <w:rPr>
          <w:rFonts w:eastAsia="Times New Roman" w:cs="Arial" w:hint="eastAsia"/>
          <w:lang w:eastAsia="zh-CN"/>
        </w:rPr>
        <w:t xml:space="preserve"> the </w:t>
      </w:r>
      <m:oMath>
        <m:sSubSup>
          <m:sSubSupPr>
            <m:ctrlPr>
              <w:rPr>
                <w:rFonts w:ascii="Cambria Math" w:eastAsia="Times New Roman" w:hAnsi="Cambria Math"/>
                <w:i/>
              </w:rPr>
            </m:ctrlPr>
          </m:sSubSupPr>
          <m:e>
            <m:acc>
              <m:accPr>
                <m:chr m:val="̃"/>
                <m:ctrlPr>
                  <w:rPr>
                    <w:rFonts w:ascii="Cambria Math" w:eastAsia="Times New Roman" w:hAnsi="Cambria Math"/>
                    <w:i/>
                  </w:rPr>
                </m:ctrlPr>
              </m:accPr>
              <m:e>
                <m:r>
                  <w:rPr>
                    <w:rFonts w:ascii="Cambria Math" w:eastAsia="Times New Roman"/>
                  </w:rPr>
                  <m:t>o</m:t>
                </m:r>
              </m:e>
            </m:acc>
          </m:e>
          <m:sub>
            <m:r>
              <w:rPr>
                <w:rFonts w:ascii="Cambria Math" w:eastAsia="Times New Roman"/>
              </w:rPr>
              <m:t>0</m:t>
            </m:r>
          </m:sub>
          <m:sup>
            <m:r>
              <w:rPr>
                <w:rFonts w:ascii="Cambria Math" w:eastAsia="Times New Roman"/>
              </w:rPr>
              <m:t>ACK</m:t>
            </m:r>
          </m:sup>
        </m:sSubSup>
        <m:r>
          <w:rPr>
            <w:rFonts w:ascii="Cambria Math" w:eastAsia="Times New Roman" w:hAnsi="Cambria Math"/>
          </w:rPr>
          <m:t xml:space="preserve">, </m:t>
        </m:r>
        <m:sSubSup>
          <m:sSubSupPr>
            <m:ctrlPr>
              <w:rPr>
                <w:rFonts w:ascii="Cambria Math" w:eastAsia="Times New Roman" w:hAnsi="Cambria Math"/>
                <w:i/>
              </w:rPr>
            </m:ctrlPr>
          </m:sSubSupPr>
          <m:e>
            <m:acc>
              <m:accPr>
                <m:chr m:val="̃"/>
                <m:ctrlPr>
                  <w:rPr>
                    <w:rFonts w:ascii="Cambria Math" w:eastAsia="Times New Roman" w:hAnsi="Cambria Math"/>
                    <w:i/>
                  </w:rPr>
                </m:ctrlPr>
              </m:accPr>
              <m:e>
                <m:r>
                  <w:rPr>
                    <w:rFonts w:ascii="Cambria Math" w:eastAsia="Times New Roman"/>
                  </w:rPr>
                  <m:t>o</m:t>
                </m:r>
              </m:e>
            </m:acc>
          </m:e>
          <m:sub>
            <m:r>
              <w:rPr>
                <w:rFonts w:ascii="Cambria Math" w:eastAsia="Times New Roman"/>
              </w:rPr>
              <m:t>1</m:t>
            </m:r>
          </m:sub>
          <m:sup>
            <m:r>
              <w:rPr>
                <w:rFonts w:ascii="Cambria Math" w:eastAsia="Times New Roman"/>
              </w:rPr>
              <m:t>ACK</m:t>
            </m:r>
          </m:sup>
        </m:sSubSup>
        <m:r>
          <w:rPr>
            <w:rFonts w:ascii="Cambria Math" w:eastAsia="Times New Roman" w:hAnsi="Cambria Math"/>
          </w:rPr>
          <m:t>,⋯,</m:t>
        </m:r>
        <m:sSubSup>
          <m:sSubSupPr>
            <m:ctrlPr>
              <w:rPr>
                <w:rFonts w:ascii="Cambria Math" w:eastAsia="Times New Roman" w:hAnsi="Cambria Math"/>
                <w:i/>
              </w:rPr>
            </m:ctrlPr>
          </m:sSubSupPr>
          <m:e>
            <m:acc>
              <m:accPr>
                <m:chr m:val="̃"/>
                <m:ctrlPr>
                  <w:rPr>
                    <w:rFonts w:ascii="Cambria Math" w:eastAsia="Times New Roman" w:hAnsi="Cambria Math"/>
                    <w:i/>
                  </w:rPr>
                </m:ctrlPr>
              </m:accPr>
              <m:e>
                <m:r>
                  <w:rPr>
                    <w:rFonts w:ascii="Cambria Math" w:eastAsia="Times New Roman"/>
                  </w:rPr>
                  <m:t>o</m:t>
                </m:r>
              </m:e>
            </m:acc>
          </m:e>
          <m:sub>
            <m:sSub>
              <m:sSubPr>
                <m:ctrlPr>
                  <w:rPr>
                    <w:rFonts w:ascii="Cambria Math" w:eastAsia="Times New Roman" w:hAnsi="Cambria Math"/>
                    <w:i/>
                  </w:rPr>
                </m:ctrlPr>
              </m:sSubPr>
              <m:e>
                <m:r>
                  <w:rPr>
                    <w:rFonts w:ascii="Cambria Math" w:eastAsia="Times New Roman" w:hAnsi="Cambria Math"/>
                  </w:rPr>
                  <m:t>O</m:t>
                </m:r>
              </m:e>
              <m:sub>
                <m:r>
                  <m:rPr>
                    <m:sty m:val="p"/>
                  </m:rPr>
                  <w:rPr>
                    <w:rFonts w:ascii="Cambria Math" w:eastAsia="Times New Roman" w:hAnsi="Cambria Math"/>
                  </w:rPr>
                  <m:t>ACK</m:t>
                </m:r>
              </m:sub>
            </m:sSub>
            <m:r>
              <w:rPr>
                <w:rFonts w:ascii="Cambria Math" w:eastAsia="Times New Roman" w:hAnsi="Cambria Math"/>
              </w:rPr>
              <m:t>-1</m:t>
            </m:r>
          </m:sub>
          <m:sup>
            <m:r>
              <w:rPr>
                <w:rFonts w:ascii="Cambria Math" w:eastAsia="Times New Roman"/>
              </w:rPr>
              <m:t>ACK</m:t>
            </m:r>
          </m:sup>
        </m:sSubSup>
      </m:oMath>
      <w:r w:rsidRPr="005575DD">
        <w:rPr>
          <w:rFonts w:eastAsia="Times New Roman"/>
          <w:lang w:eastAsia="zh-CN"/>
        </w:rPr>
        <w:t xml:space="preserve">, for a total number of </w:t>
      </w:r>
      <m:oMath>
        <m:sSub>
          <m:sSubPr>
            <m:ctrlPr>
              <w:rPr>
                <w:rFonts w:ascii="Cambria Math" w:eastAsia="Times New Roman" w:hAnsi="Cambria Math"/>
                <w:i/>
              </w:rPr>
            </m:ctrlPr>
          </m:sSubPr>
          <m:e>
            <m:r>
              <w:rPr>
                <w:rFonts w:ascii="Cambria Math" w:eastAsia="Times New Roman" w:hAnsi="Cambria Math"/>
              </w:rPr>
              <m:t>O</m:t>
            </m:r>
          </m:e>
          <m:sub>
            <m:r>
              <m:rPr>
                <m:sty m:val="p"/>
              </m:rPr>
              <w:rPr>
                <w:rFonts w:ascii="Cambria Math" w:eastAsia="Times New Roman" w:hAnsi="Cambria Math"/>
              </w:rPr>
              <m:t>ACK</m:t>
            </m:r>
          </m:sub>
        </m:sSub>
      </m:oMath>
      <w:r w:rsidRPr="005575DD">
        <w:rPr>
          <w:rFonts w:eastAsia="Times New Roman"/>
        </w:rPr>
        <w:t xml:space="preserve"> </w:t>
      </w:r>
      <w:r w:rsidRPr="005575DD">
        <w:rPr>
          <w:rFonts w:eastAsia="Times New Roman"/>
          <w:lang w:eastAsia="zh-CN"/>
        </w:rPr>
        <w:t>HARQ-ACK information bits in the second Type-2 HARQ-ACK sub-codebook according</w:t>
      </w:r>
      <w:r w:rsidRPr="005575DD">
        <w:rPr>
          <w:rFonts w:eastAsia="Times New Roman" w:hint="eastAsia"/>
          <w:lang w:eastAsia="zh-CN"/>
        </w:rPr>
        <w:t xml:space="preserve"> to the </w:t>
      </w:r>
      <w:r w:rsidRPr="005575DD">
        <w:rPr>
          <w:rFonts w:eastAsia="Times New Roman"/>
          <w:lang w:eastAsia="zh-CN"/>
        </w:rPr>
        <w:t>following</w:t>
      </w:r>
      <w:r w:rsidRPr="005575DD">
        <w:rPr>
          <w:rFonts w:eastAsia="Times New Roman" w:hint="eastAsia"/>
          <w:lang w:eastAsia="zh-CN"/>
        </w:rPr>
        <w:t xml:space="preserve"> pseudo-code</w:t>
      </w:r>
      <w:r w:rsidRPr="005575DD">
        <w:rPr>
          <w:rFonts w:eastAsia="Times New Roman"/>
          <w:lang w:eastAsia="zh-CN"/>
        </w:rPr>
        <w:t xml:space="preserve">. </w:t>
      </w:r>
    </w:p>
    <w:p w14:paraId="32F09005" w14:textId="77777777" w:rsidR="005575DD" w:rsidRPr="005575DD" w:rsidRDefault="005575DD" w:rsidP="0042167F">
      <w:pPr>
        <w:pStyle w:val="B1"/>
        <w:rPr>
          <w:lang w:eastAsia="zh-CN"/>
        </w:rPr>
      </w:pPr>
      <w:r w:rsidRPr="005575DD">
        <w:rPr>
          <w:lang w:eastAsia="zh-CN"/>
        </w:rPr>
        <w:t xml:space="preserve">Set </w:t>
      </w:r>
      <m:oMath>
        <m:sSubSup>
          <m:sSubSupPr>
            <m:ctrlPr>
              <w:rPr>
                <w:rFonts w:ascii="Cambria Math" w:hAnsi="Cambria Math"/>
                <w:i/>
              </w:rPr>
            </m:ctrlPr>
          </m:sSubSupPr>
          <m:e>
            <m:r>
              <w:rPr>
                <w:rFonts w:ascii="Cambria Math"/>
              </w:rPr>
              <m:t>N</m:t>
            </m:r>
          </m:e>
          <m:sub>
            <m:r>
              <m:rPr>
                <m:sty m:val="p"/>
              </m:rPr>
              <w:rPr>
                <w:rFonts w:ascii="Cambria Math"/>
              </w:rPr>
              <m:t>cells,set</m:t>
            </m:r>
            <m:ctrlPr>
              <w:rPr>
                <w:rFonts w:ascii="Cambria Math" w:hAnsi="Cambria Math"/>
              </w:rPr>
            </m:ctrlPr>
          </m:sub>
          <m:sup>
            <m:r>
              <m:rPr>
                <m:nor/>
              </m:rPr>
              <w:rPr>
                <w:rFonts w:ascii="Cambria Math"/>
                <w:lang w:val="en-US"/>
              </w:rPr>
              <m:t>DL,max</m:t>
            </m:r>
            <m:ctrlPr>
              <w:rPr>
                <w:rFonts w:ascii="Cambria Math" w:hAnsi="Cambria Math"/>
              </w:rPr>
            </m:ctrlPr>
          </m:sup>
        </m:sSubSup>
      </m:oMath>
      <w:r w:rsidRPr="005575DD">
        <w:rPr>
          <w:rFonts w:cs="Arial"/>
        </w:rPr>
        <w:t xml:space="preserve"> to the maximum </w:t>
      </w:r>
      <w:r w:rsidRPr="005575DD">
        <w:t xml:space="preserve">number of serving cells in </w:t>
      </w:r>
      <w:r w:rsidRPr="005575DD">
        <w:rPr>
          <w:i/>
        </w:rPr>
        <w:t>ScheduledCell-ListDCI-1-3</w:t>
      </w:r>
      <w:r w:rsidRPr="005575DD">
        <w:t xml:space="preserve"> of a set of serving cells provided by</w:t>
      </w:r>
      <w:r w:rsidRPr="005575DD">
        <w:rPr>
          <w:i/>
        </w:rPr>
        <w:t xml:space="preserve"> MC-DCI-SetofCells</w:t>
      </w:r>
      <w:r w:rsidRPr="005575DD">
        <w:t>, across the number of sets of serving cells,</w:t>
      </w:r>
      <w:r w:rsidRPr="005575DD">
        <w:rPr>
          <w:lang w:eastAsia="zh-CN"/>
        </w:rPr>
        <w:t xml:space="preserve"> that can be scheduled PDSCH receptions by DCI format 1_3</w:t>
      </w:r>
    </w:p>
    <w:p w14:paraId="51D1CED5" w14:textId="77777777" w:rsidR="005575DD" w:rsidRPr="005575DD" w:rsidRDefault="005575DD" w:rsidP="0042167F">
      <w:pPr>
        <w:pStyle w:val="B1"/>
        <w:rPr>
          <w:lang w:eastAsia="zh-CN"/>
        </w:rPr>
      </w:pPr>
      <w:r w:rsidRPr="005575DD">
        <w:rPr>
          <w:lang w:eastAsia="zh-CN"/>
        </w:rPr>
        <w:t xml:space="preserve">Set </w:t>
      </w:r>
      <m:oMath>
        <m:sSubSup>
          <m:sSubSupPr>
            <m:ctrlPr>
              <w:rPr>
                <w:rFonts w:ascii="Cambria Math" w:hAnsi="Cambria Math"/>
                <w:i/>
              </w:rPr>
            </m:ctrlPr>
          </m:sSubSupPr>
          <m:e>
            <m:r>
              <w:rPr>
                <w:rFonts w:ascii="Cambria Math"/>
              </w:rPr>
              <m:t>N</m:t>
            </m:r>
          </m:e>
          <m:sub>
            <m:r>
              <m:rPr>
                <m:sty m:val="p"/>
              </m:rPr>
              <w:rPr>
                <w:rFonts w:ascii="Cambria Math"/>
              </w:rPr>
              <m:t>sets</m:t>
            </m:r>
            <m:ctrlPr>
              <w:rPr>
                <w:rFonts w:ascii="Cambria Math" w:hAnsi="Cambria Math"/>
              </w:rPr>
            </m:ctrlPr>
          </m:sub>
          <m:sup>
            <m:r>
              <m:rPr>
                <m:nor/>
              </m:rPr>
              <w:rPr>
                <w:rFonts w:ascii="Cambria Math"/>
                <w:lang w:val="en-US"/>
              </w:rPr>
              <m:t>TB,max</m:t>
            </m:r>
            <m:ctrlPr>
              <w:rPr>
                <w:rFonts w:ascii="Cambria Math" w:hAnsi="Cambria Math"/>
              </w:rPr>
            </m:ctrlPr>
          </m:sup>
        </m:sSubSup>
      </m:oMath>
      <w:r w:rsidRPr="005575DD">
        <w:rPr>
          <w:lang w:eastAsia="zh-CN"/>
        </w:rPr>
        <w:t xml:space="preserve"> to the</w:t>
      </w:r>
      <w:r w:rsidRPr="005575DD">
        <w:t xml:space="preserve"> </w:t>
      </w:r>
      <w:r w:rsidRPr="005575DD">
        <w:rPr>
          <w:lang w:eastAsia="zh-CN"/>
        </w:rPr>
        <w:t>maximum total number of TBs in PDSCH receptions that can be scheduled by a DCI format 1_3 over more than one serving cells in a set of serving cells across the number of sets of serving cells</w:t>
      </w:r>
    </w:p>
    <w:p w14:paraId="78F89200" w14:textId="77777777" w:rsidR="005575DD" w:rsidRPr="005575DD" w:rsidRDefault="005575DD" w:rsidP="0042167F">
      <w:pPr>
        <w:pStyle w:val="B1"/>
        <w:rPr>
          <w:iCs/>
          <w:lang w:eastAsia="zh-CN"/>
        </w:rPr>
      </w:pPr>
      <w:r w:rsidRPr="005575DD">
        <w:rPr>
          <w:lang w:eastAsia="zh-CN"/>
        </w:rPr>
        <w:t xml:space="preserve">Set </w:t>
      </w:r>
      <m:oMath>
        <m:sSubSup>
          <m:sSubSupPr>
            <m:ctrlPr>
              <w:rPr>
                <w:rFonts w:ascii="Cambria Math" w:hAnsi="Cambria Math"/>
                <w:i/>
              </w:rPr>
            </m:ctrlPr>
          </m:sSubSupPr>
          <m:e>
            <m:r>
              <w:rPr>
                <w:rFonts w:ascii="Cambria Math"/>
              </w:rPr>
              <m:t>N</m:t>
            </m:r>
          </m:e>
          <m:sub>
            <m:r>
              <m:rPr>
                <m:sty m:val="p"/>
              </m:rPr>
              <w:rPr>
                <w:rFonts w:ascii="Cambria Math"/>
              </w:rPr>
              <m:t>sets</m:t>
            </m:r>
            <m:ctrlPr>
              <w:rPr>
                <w:rFonts w:ascii="Cambria Math" w:hAnsi="Cambria Math"/>
              </w:rPr>
            </m:ctrlPr>
          </m:sub>
          <m:sup>
            <m:r>
              <m:rPr>
                <m:nor/>
              </m:rPr>
              <w:rPr>
                <w:rFonts w:ascii="Cambria Math"/>
                <w:lang w:val="en-US"/>
              </w:rPr>
              <m:t>DL</m:t>
            </m:r>
            <m:ctrlPr>
              <w:rPr>
                <w:rFonts w:ascii="Cambria Math" w:hAnsi="Cambria Math"/>
              </w:rPr>
            </m:ctrlPr>
          </m:sup>
        </m:sSubSup>
      </m:oMath>
      <w:r w:rsidRPr="005575DD">
        <w:t xml:space="preserve"> </w:t>
      </w:r>
      <w:r w:rsidRPr="005575DD">
        <w:rPr>
          <w:lang w:eastAsia="zh-CN"/>
        </w:rPr>
        <w:t>to the number of sets of serving cells</w:t>
      </w:r>
      <w:r w:rsidRPr="005575DD">
        <w:rPr>
          <w:i/>
        </w:rPr>
        <w:t xml:space="preserve"> MC-DCI-SetofCells</w:t>
      </w:r>
      <w:r w:rsidRPr="005575DD">
        <w:rPr>
          <w:iCs/>
        </w:rPr>
        <w:t xml:space="preserve"> in a PUCCH group</w:t>
      </w:r>
    </w:p>
    <w:p w14:paraId="643C9532" w14:textId="77777777" w:rsidR="001D6F08" w:rsidRPr="001D6F08" w:rsidRDefault="001D6F08" w:rsidP="001D6F08">
      <w:pPr>
        <w:ind w:left="568" w:hanging="284"/>
        <w:rPr>
          <w:rFonts w:eastAsia="Times New Roman"/>
        </w:rPr>
      </w:pPr>
      <w:r w:rsidRPr="001D6F08">
        <w:rPr>
          <w:rFonts w:eastAsia="Times New Roman"/>
          <w:lang w:eastAsia="zh-CN"/>
        </w:rPr>
        <w:t xml:space="preserve">Set </w:t>
      </w:r>
      <m:oMath>
        <m:sSubSup>
          <m:sSubSupPr>
            <m:ctrlPr>
              <w:rPr>
                <w:rFonts w:ascii="Cambria Math" w:eastAsia="Times New Roman" w:hAnsi="Cambria Math"/>
                <w:i/>
              </w:rPr>
            </m:ctrlPr>
          </m:sSubSupPr>
          <m:e>
            <m:r>
              <w:rPr>
                <w:rFonts w:ascii="Cambria Math" w:eastAsia="Times New Roman" w:hAnsi="Cambria Math"/>
              </w:rPr>
              <m:t>N</m:t>
            </m:r>
          </m:e>
          <m:sub>
            <m:r>
              <m:rPr>
                <m:sty m:val="p"/>
              </m:rPr>
              <w:rPr>
                <w:rFonts w:ascii="Cambria Math" w:eastAsia="Times New Roman" w:hAnsi="Cambria Math"/>
              </w:rPr>
              <m:t>cells</m:t>
            </m:r>
            <m:ctrlPr>
              <w:rPr>
                <w:rFonts w:ascii="Cambria Math" w:eastAsia="Times New Roman" w:hAnsi="Cambria Math"/>
              </w:rPr>
            </m:ctrlPr>
          </m:sub>
          <m:sup>
            <m:r>
              <m:rPr>
                <m:nor/>
              </m:rPr>
              <w:rPr>
                <w:rFonts w:eastAsia="Times New Roman"/>
              </w:rPr>
              <m:t>DL</m:t>
            </m:r>
            <m:ctrlPr>
              <w:rPr>
                <w:rFonts w:ascii="Cambria Math" w:eastAsia="Times New Roman" w:hAnsi="Cambria Math"/>
              </w:rPr>
            </m:ctrlPr>
          </m:sup>
        </m:sSubSup>
      </m:oMath>
      <w:r w:rsidRPr="001D6F08">
        <w:rPr>
          <w:rFonts w:eastAsia="Times New Roman"/>
        </w:rPr>
        <w:t xml:space="preserve"> to the number of serving cells, across </w:t>
      </w:r>
      <m:oMath>
        <m:sSubSup>
          <m:sSubSupPr>
            <m:ctrlPr>
              <w:rPr>
                <w:rFonts w:ascii="Cambria Math" w:eastAsia="Times New Roman" w:hAnsi="Cambria Math"/>
                <w:i/>
              </w:rPr>
            </m:ctrlPr>
          </m:sSubSupPr>
          <m:e>
            <m:r>
              <w:rPr>
                <w:rFonts w:ascii="Cambria Math" w:eastAsia="Times New Roman" w:hAnsi="Cambria Math"/>
              </w:rPr>
              <m:t>N</m:t>
            </m:r>
          </m:e>
          <m:sub>
            <m:r>
              <m:rPr>
                <m:sty m:val="p"/>
              </m:rPr>
              <w:rPr>
                <w:rFonts w:ascii="Cambria Math" w:eastAsia="Times New Roman" w:hAnsi="Cambria Math"/>
              </w:rPr>
              <m:t>sets</m:t>
            </m:r>
            <m:ctrlPr>
              <w:rPr>
                <w:rFonts w:ascii="Cambria Math" w:eastAsia="Times New Roman" w:hAnsi="Cambria Math"/>
              </w:rPr>
            </m:ctrlPr>
          </m:sub>
          <m:sup>
            <m:r>
              <m:rPr>
                <m:nor/>
              </m:rPr>
              <w:rPr>
                <w:rFonts w:eastAsia="Times New Roman"/>
              </w:rPr>
              <m:t>DL</m:t>
            </m:r>
            <m:ctrlPr>
              <w:rPr>
                <w:rFonts w:ascii="Cambria Math" w:eastAsia="Times New Roman" w:hAnsi="Cambria Math"/>
              </w:rPr>
            </m:ctrlPr>
          </m:sup>
        </m:sSubSup>
      </m:oMath>
      <w:r w:rsidRPr="001D6F08">
        <w:rPr>
          <w:rFonts w:eastAsia="Times New Roman"/>
        </w:rPr>
        <w:t xml:space="preserve"> sets of serving cells in the PUCCH group</w:t>
      </w:r>
    </w:p>
    <w:p w14:paraId="03348B5D" w14:textId="77777777" w:rsidR="001D6F08" w:rsidRPr="001D6F08" w:rsidRDefault="001D6F08" w:rsidP="001D6F08">
      <w:pPr>
        <w:ind w:left="568" w:hanging="284"/>
        <w:rPr>
          <w:rFonts w:eastAsia="Times New Roman"/>
        </w:rPr>
      </w:pPr>
      <w:r w:rsidRPr="001D6F08">
        <w:rPr>
          <w:rFonts w:eastAsia="Times New Roman"/>
          <w:lang w:eastAsia="zh-CN"/>
        </w:rPr>
        <w:t xml:space="preserve">Set </w:t>
      </w:r>
      <m:oMath>
        <m:r>
          <w:rPr>
            <w:rFonts w:ascii="Cambria Math" w:eastAsia="Times New Roman" w:hAnsi="Cambria Math"/>
          </w:rPr>
          <m:t>c</m:t>
        </m:r>
      </m:oMath>
      <w:r w:rsidRPr="001D6F08">
        <w:rPr>
          <w:rFonts w:eastAsia="Times New Roman"/>
        </w:rPr>
        <w:t xml:space="preserve"> to the index of serving cells, </w:t>
      </w:r>
      <m:oMath>
        <m:r>
          <w:rPr>
            <w:rFonts w:ascii="Cambria Math" w:eastAsia="Times New Roman" w:hAnsi="Cambria Math"/>
          </w:rPr>
          <m:t>c=0,</m:t>
        </m:r>
        <m:r>
          <w:rPr>
            <w:rFonts w:ascii="Cambria Math" w:eastAsia="Times New Roman" w:hAnsi="Cambria Math"/>
            <w:lang w:eastAsia="zh-CN"/>
          </w:rPr>
          <m:t>…,</m:t>
        </m:r>
        <m:r>
          <w:rPr>
            <w:rFonts w:ascii="Cambria Math" w:eastAsia="Times New Roman" w:hAnsi="Cambria Math"/>
          </w:rPr>
          <m:t xml:space="preserve"> </m:t>
        </m:r>
        <m:sSubSup>
          <m:sSubSupPr>
            <m:ctrlPr>
              <w:rPr>
                <w:rFonts w:ascii="Cambria Math" w:eastAsia="Times New Roman" w:hAnsi="Cambria Math"/>
                <w:i/>
              </w:rPr>
            </m:ctrlPr>
          </m:sSubSupPr>
          <m:e>
            <m:r>
              <w:rPr>
                <w:rFonts w:ascii="Cambria Math" w:eastAsia="Times New Roman" w:hAnsi="Cambria Math"/>
              </w:rPr>
              <m:t>N</m:t>
            </m:r>
          </m:e>
          <m:sub>
            <m:r>
              <m:rPr>
                <m:sty m:val="p"/>
              </m:rPr>
              <w:rPr>
                <w:rFonts w:ascii="Cambria Math" w:eastAsia="Times New Roman" w:hAnsi="Cambria Math"/>
              </w:rPr>
              <m:t>cells</m:t>
            </m:r>
            <m:ctrlPr>
              <w:rPr>
                <w:rFonts w:ascii="Cambria Math" w:eastAsia="Times New Roman" w:hAnsi="Cambria Math"/>
              </w:rPr>
            </m:ctrlPr>
          </m:sub>
          <m:sup>
            <m:r>
              <m:rPr>
                <m:nor/>
              </m:rPr>
              <w:rPr>
                <w:rFonts w:eastAsia="Times New Roman"/>
              </w:rPr>
              <m:t>DL</m:t>
            </m:r>
            <m:ctrlPr>
              <w:rPr>
                <w:rFonts w:ascii="Cambria Math" w:eastAsia="Times New Roman" w:hAnsi="Cambria Math"/>
              </w:rPr>
            </m:ctrlPr>
          </m:sup>
        </m:sSubSup>
        <m:r>
          <w:rPr>
            <w:rFonts w:ascii="Cambria Math" w:eastAsia="Times New Roman" w:hAnsi="Cambria Math"/>
          </w:rPr>
          <m:t>-1</m:t>
        </m:r>
      </m:oMath>
      <w:r w:rsidRPr="001D6F08">
        <w:rPr>
          <w:rFonts w:eastAsia="Times New Roman"/>
        </w:rPr>
        <w:t>, a lower index corresponds to a lower RRC index of a corresponding serving cell</w:t>
      </w:r>
    </w:p>
    <w:p w14:paraId="4691E35E" w14:textId="77777777" w:rsidR="005575DD" w:rsidRPr="005575DD" w:rsidRDefault="005575DD" w:rsidP="0042167F">
      <w:pPr>
        <w:pStyle w:val="B1"/>
        <w:rPr>
          <w:lang w:eastAsia="zh-CN"/>
        </w:rPr>
      </w:pPr>
      <w:r w:rsidRPr="005575DD">
        <w:rPr>
          <w:lang w:eastAsia="zh-CN"/>
        </w:rPr>
        <w:t xml:space="preserve">Set </w:t>
      </w:r>
      <m:oMath>
        <m:r>
          <w:rPr>
            <w:rFonts w:ascii="Cambria Math" w:hAnsi="Cambria Math"/>
            <w:lang w:eastAsia="zh-CN"/>
          </w:rPr>
          <m:t>mc</m:t>
        </m:r>
      </m:oMath>
      <w:r w:rsidRPr="005575DD">
        <w:rPr>
          <w:lang w:eastAsia="zh-CN"/>
        </w:rPr>
        <w:t xml:space="preserve"> to the index of a serving cell, in a set of indexes of serving cells arranged in ascending order, from the set of </w:t>
      </w:r>
      <m:oMath>
        <m:sSubSup>
          <m:sSubSupPr>
            <m:ctrlPr>
              <w:rPr>
                <w:rFonts w:ascii="Cambria Math" w:hAnsi="Cambria Math"/>
                <w:i/>
              </w:rPr>
            </m:ctrlPr>
          </m:sSubSupPr>
          <m:e>
            <m:r>
              <w:rPr>
                <w:rFonts w:ascii="Cambria Math"/>
              </w:rPr>
              <m:t>N</m:t>
            </m:r>
          </m:e>
          <m:sub>
            <m:r>
              <m:rPr>
                <m:sty m:val="p"/>
              </m:rPr>
              <w:rPr>
                <w:rFonts w:ascii="Cambria Math"/>
              </w:rPr>
              <m:t>cells,set</m:t>
            </m:r>
            <m:ctrlPr>
              <w:rPr>
                <w:rFonts w:ascii="Cambria Math" w:hAnsi="Cambria Math"/>
              </w:rPr>
            </m:ctrlPr>
          </m:sub>
          <m:sup>
            <m:r>
              <m:rPr>
                <m:nor/>
              </m:rPr>
              <w:rPr>
                <w:rFonts w:ascii="Cambria Math"/>
                <w:lang w:val="en-US"/>
              </w:rPr>
              <m:t>DL,max</m:t>
            </m:r>
            <m:ctrlPr>
              <w:rPr>
                <w:rFonts w:ascii="Cambria Math" w:hAnsi="Cambria Math"/>
              </w:rPr>
            </m:ctrlPr>
          </m:sup>
        </m:sSubSup>
      </m:oMath>
      <w:r w:rsidRPr="005575DD">
        <w:rPr>
          <w:lang w:eastAsia="zh-CN"/>
        </w:rPr>
        <w:t xml:space="preserve"> serving cells</w:t>
      </w:r>
      <w:r w:rsidRPr="005575DD">
        <w:t xml:space="preserve">, </w:t>
      </w:r>
      <m:oMath>
        <m:r>
          <w:rPr>
            <w:rFonts w:ascii="Cambria Math" w:hAnsi="Cambria Math"/>
          </w:rPr>
          <m:t>m</m:t>
        </m:r>
        <m:r>
          <w:rPr>
            <w:rFonts w:ascii="Cambria Math" w:hAnsi="Cambria Math"/>
            <w:lang w:eastAsia="zh-CN"/>
          </w:rPr>
          <m:t>c=0,…,</m:t>
        </m:r>
        <m:r>
          <w:rPr>
            <w:rFonts w:ascii="Cambria Math" w:hAnsi="Cambria Math"/>
          </w:rPr>
          <m:t xml:space="preserve"> </m:t>
        </m:r>
        <m:sSubSup>
          <m:sSubSupPr>
            <m:ctrlPr>
              <w:rPr>
                <w:rFonts w:ascii="Cambria Math" w:hAnsi="Cambria Math"/>
                <w:i/>
              </w:rPr>
            </m:ctrlPr>
          </m:sSubSupPr>
          <m:e>
            <m:r>
              <w:rPr>
                <w:rFonts w:ascii="Cambria Math"/>
              </w:rPr>
              <m:t>N</m:t>
            </m:r>
          </m:e>
          <m:sub>
            <m:r>
              <m:rPr>
                <m:sty m:val="p"/>
              </m:rPr>
              <w:rPr>
                <w:rFonts w:ascii="Cambria Math"/>
              </w:rPr>
              <m:t>cells,set</m:t>
            </m:r>
            <m:ctrlPr>
              <w:rPr>
                <w:rFonts w:ascii="Cambria Math" w:hAnsi="Cambria Math"/>
              </w:rPr>
            </m:ctrlPr>
          </m:sub>
          <m:sup>
            <m:r>
              <m:rPr>
                <m:nor/>
              </m:rPr>
              <w:rPr>
                <w:rFonts w:ascii="Cambria Math"/>
                <w:lang w:val="en-US"/>
              </w:rPr>
              <m:t>DL,max</m:t>
            </m:r>
            <m:ctrlPr>
              <w:rPr>
                <w:rFonts w:ascii="Cambria Math" w:hAnsi="Cambria Math"/>
              </w:rPr>
            </m:ctrlPr>
          </m:sup>
        </m:sSubSup>
        <m:r>
          <w:rPr>
            <w:rFonts w:ascii="Cambria Math" w:hAnsi="Cambria Math"/>
          </w:rPr>
          <m:t>-1</m:t>
        </m:r>
      </m:oMath>
    </w:p>
    <w:p w14:paraId="65CC5AB2" w14:textId="52D55B45" w:rsidR="005575DD" w:rsidRPr="005575DD" w:rsidRDefault="005575DD" w:rsidP="0042167F">
      <w:pPr>
        <w:pStyle w:val="B1"/>
        <w:rPr>
          <w:lang w:eastAsia="zh-CN"/>
        </w:rPr>
      </w:pPr>
      <w:r w:rsidRPr="005575DD">
        <w:rPr>
          <w:rFonts w:hint="eastAsia"/>
          <w:lang w:eastAsia="zh-CN"/>
        </w:rPr>
        <w:t xml:space="preserve">Set </w:t>
      </w:r>
      <m:oMath>
        <m:r>
          <w:rPr>
            <w:rFonts w:ascii="Cambria Math" w:hAnsi="Cambria Math"/>
            <w:lang w:eastAsia="zh-CN"/>
          </w:rPr>
          <m:t>m=0</m:t>
        </m:r>
      </m:oMath>
      <w:r w:rsidRPr="005575DD">
        <w:rPr>
          <w:rFonts w:hint="eastAsia"/>
          <w:lang w:eastAsia="zh-CN"/>
        </w:rPr>
        <w:t xml:space="preserve"> </w:t>
      </w:r>
      <w:r w:rsidRPr="005575DD">
        <w:rPr>
          <w:lang w:eastAsia="zh-CN"/>
        </w:rPr>
        <w:t>–</w:t>
      </w:r>
      <w:r w:rsidRPr="005575DD">
        <w:rPr>
          <w:rFonts w:hint="eastAsia"/>
          <w:lang w:eastAsia="zh-CN"/>
        </w:rPr>
        <w:t xml:space="preserve"> </w:t>
      </w:r>
      <w:r w:rsidRPr="005575DD">
        <w:rPr>
          <w:lang w:eastAsia="zh-CN"/>
        </w:rPr>
        <w:t>PDCCH monitoring occasion</w:t>
      </w:r>
      <w:r w:rsidRPr="005575DD">
        <w:rPr>
          <w:rFonts w:hint="eastAsia"/>
          <w:lang w:eastAsia="zh-CN"/>
        </w:rPr>
        <w:t xml:space="preserve"> index</w:t>
      </w:r>
      <w:r w:rsidRPr="005575DD">
        <w:rPr>
          <w:lang w:eastAsia="zh-CN"/>
        </w:rPr>
        <w:t xml:space="preserve"> for detection of a DCI format 1_3 </w:t>
      </w:r>
      <w:r w:rsidRPr="005575DD">
        <w:rPr>
          <w:rFonts w:hint="eastAsia"/>
          <w:lang w:val="en-US" w:eastAsia="zh-CN"/>
        </w:rPr>
        <w:t xml:space="preserve">scheduling PDSCH </w:t>
      </w:r>
      <w:r w:rsidRPr="005575DD">
        <w:rPr>
          <w:lang w:val="en-US" w:eastAsia="zh-CN"/>
        </w:rPr>
        <w:t>receptions on</w:t>
      </w:r>
      <w:r w:rsidR="001D6F08">
        <w:rPr>
          <w:lang w:val="en-US" w:eastAsia="zh-CN"/>
        </w:rPr>
        <w:t xml:space="preserve"> </w:t>
      </w:r>
      <w:r w:rsidR="001D6F08" w:rsidRPr="00DB4E9D">
        <w:rPr>
          <w:lang w:val="en-US" w:eastAsia="zh-CN"/>
        </w:rPr>
        <w:t>more than one</w:t>
      </w:r>
      <w:r w:rsidRPr="005575DD">
        <w:rPr>
          <w:lang w:val="en-US" w:eastAsia="zh-CN"/>
        </w:rPr>
        <w:t xml:space="preserve"> serving cells from a </w:t>
      </w:r>
      <w:r w:rsidRPr="005575DD">
        <w:t>set of serving cells</w:t>
      </w:r>
      <w:r w:rsidRPr="005575DD">
        <w:rPr>
          <w:rFonts w:hint="eastAsia"/>
          <w:lang w:eastAsia="zh-CN"/>
        </w:rPr>
        <w:t xml:space="preserve">: lower index corresponds to earlier </w:t>
      </w:r>
      <w:r w:rsidRPr="005575DD">
        <w:rPr>
          <w:lang w:eastAsia="zh-CN"/>
        </w:rPr>
        <w:t>PDCCH monitoring occasion</w:t>
      </w:r>
    </w:p>
    <w:p w14:paraId="6BC05ECA" w14:textId="77777777" w:rsidR="005575DD" w:rsidRPr="005575DD" w:rsidRDefault="005575DD" w:rsidP="0042167F">
      <w:pPr>
        <w:pStyle w:val="B1"/>
        <w:rPr>
          <w:lang w:eastAsia="zh-CN"/>
        </w:rPr>
      </w:pPr>
      <w:r w:rsidRPr="005575DD">
        <w:rPr>
          <w:rFonts w:hint="eastAsia"/>
          <w:lang w:eastAsia="zh-CN"/>
        </w:rPr>
        <w:t xml:space="preserve">Set </w:t>
      </w:r>
      <m:oMath>
        <m:r>
          <w:rPr>
            <w:rFonts w:ascii="Cambria Math" w:hAnsi="Cambria Math"/>
            <w:lang w:eastAsia="zh-CN"/>
          </w:rPr>
          <m:t>j=0</m:t>
        </m:r>
      </m:oMath>
    </w:p>
    <w:p w14:paraId="4E015C73" w14:textId="77777777" w:rsidR="005575DD" w:rsidRPr="005575DD" w:rsidRDefault="005575DD" w:rsidP="0042167F">
      <w:pPr>
        <w:pStyle w:val="B1"/>
        <w:rPr>
          <w:rFonts w:cs="Arial"/>
          <w:lang w:eastAsia="zh-CN"/>
        </w:rPr>
      </w:pPr>
      <w:r w:rsidRPr="005575DD">
        <w:rPr>
          <w:rFonts w:hint="eastAsia"/>
          <w:lang w:eastAsia="zh-CN"/>
        </w:rPr>
        <w:t xml:space="preserve">Set </w:t>
      </w:r>
      <m:oMath>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temp</m:t>
            </m:r>
          </m:sub>
        </m:sSub>
        <m:r>
          <w:rPr>
            <w:rFonts w:ascii="Cambria Math" w:hAnsi="Cambria Math"/>
            <w:lang w:eastAsia="zh-CN"/>
          </w:rPr>
          <m:t>=0</m:t>
        </m:r>
      </m:oMath>
    </w:p>
    <w:p w14:paraId="2544855D" w14:textId="77777777" w:rsidR="005575DD" w:rsidRPr="005575DD" w:rsidRDefault="005575DD" w:rsidP="0042167F">
      <w:pPr>
        <w:pStyle w:val="B1"/>
        <w:rPr>
          <w:rFonts w:cs="Arial"/>
          <w:lang w:eastAsia="zh-CN"/>
        </w:rPr>
      </w:pPr>
      <w:r w:rsidRPr="005575DD">
        <w:rPr>
          <w:rFonts w:cs="Arial" w:hint="eastAsia"/>
          <w:lang w:eastAsia="zh-CN"/>
        </w:rPr>
        <w:t xml:space="preserve">Set </w:t>
      </w:r>
      <m:oMath>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temp2</m:t>
            </m:r>
          </m:sub>
        </m:sSub>
        <m:r>
          <w:rPr>
            <w:rFonts w:ascii="Cambria Math" w:hAnsi="Cambria Math"/>
            <w:lang w:eastAsia="zh-CN"/>
          </w:rPr>
          <m:t>=0</m:t>
        </m:r>
      </m:oMath>
    </w:p>
    <w:p w14:paraId="50BD159A" w14:textId="77777777" w:rsidR="005575DD" w:rsidRPr="005575DD" w:rsidRDefault="005575DD" w:rsidP="0042167F">
      <w:pPr>
        <w:pStyle w:val="B1"/>
        <w:rPr>
          <w:rFonts w:cs="Arial"/>
          <w:lang w:eastAsia="zh-CN"/>
        </w:rPr>
      </w:pPr>
      <w:r w:rsidRPr="005575DD">
        <w:rPr>
          <w:rFonts w:cs="Arial"/>
          <w:lang w:eastAsia="zh-CN"/>
        </w:rPr>
        <w:t>S</w:t>
      </w:r>
      <w:r w:rsidRPr="005575DD">
        <w:rPr>
          <w:rFonts w:cs="Arial" w:hint="eastAsia"/>
          <w:lang w:eastAsia="zh-CN"/>
        </w:rPr>
        <w:t xml:space="preserve">et </w:t>
      </w:r>
      <m:oMath>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s</m:t>
            </m:r>
          </m:sub>
        </m:sSub>
        <m:r>
          <w:rPr>
            <w:rFonts w:ascii="Cambria Math" w:hAnsi="Cambria Math"/>
            <w:lang w:eastAsia="zh-CN"/>
          </w:rPr>
          <m:t>=∅</m:t>
        </m:r>
      </m:oMath>
    </w:p>
    <w:p w14:paraId="00F2A677" w14:textId="77777777" w:rsidR="005575DD" w:rsidRPr="005575DD" w:rsidRDefault="005575DD" w:rsidP="0042167F">
      <w:pPr>
        <w:pStyle w:val="B1"/>
        <w:rPr>
          <w:lang w:eastAsia="zh-CN"/>
        </w:rPr>
      </w:pPr>
      <w:r w:rsidRPr="005575DD">
        <w:rPr>
          <w:rFonts w:hint="eastAsia"/>
          <w:lang w:eastAsia="zh-CN"/>
        </w:rPr>
        <w:t xml:space="preserve">Set </w:t>
      </w:r>
      <m:oMath>
        <m:r>
          <w:rPr>
            <w:rFonts w:ascii="Cambria Math" w:hAnsi="Cambria Math"/>
            <w:lang w:eastAsia="zh-CN"/>
          </w:rPr>
          <m:t>M</m:t>
        </m:r>
      </m:oMath>
      <w:r w:rsidRPr="005575DD">
        <w:rPr>
          <w:rFonts w:hint="eastAsia"/>
          <w:lang w:eastAsia="zh-CN"/>
        </w:rPr>
        <w:t xml:space="preserve"> to the number of</w:t>
      </w:r>
      <w:r w:rsidRPr="005575DD">
        <w:rPr>
          <w:lang w:eastAsia="zh-CN"/>
        </w:rPr>
        <w:t xml:space="preserve"> PDCCH monitoring occasions</w:t>
      </w:r>
    </w:p>
    <w:p w14:paraId="77E8DDD2" w14:textId="77777777" w:rsidR="005575DD" w:rsidRPr="005575DD" w:rsidRDefault="005575DD" w:rsidP="0042167F">
      <w:pPr>
        <w:pStyle w:val="B1"/>
        <w:rPr>
          <w:lang w:eastAsia="zh-CN"/>
        </w:rPr>
      </w:pPr>
      <w:r w:rsidRPr="005575DD">
        <w:rPr>
          <w:rFonts w:hint="eastAsia"/>
          <w:lang w:eastAsia="zh-CN"/>
        </w:rPr>
        <w:t xml:space="preserve">while </w:t>
      </w:r>
      <m:oMath>
        <m:r>
          <w:rPr>
            <w:rFonts w:ascii="Cambria Math" w:hAnsi="Cambria Math"/>
            <w:lang w:eastAsia="zh-CN"/>
          </w:rPr>
          <m:t>m&lt;M</m:t>
        </m:r>
      </m:oMath>
    </w:p>
    <w:p w14:paraId="14F7D2BE" w14:textId="044556D9" w:rsidR="00C708CC" w:rsidRPr="001B5B5E" w:rsidRDefault="00C708CC" w:rsidP="001B5B5E">
      <w:pPr>
        <w:pStyle w:val="B2"/>
        <w:rPr>
          <w:rFonts w:cs="Arial"/>
          <w:lang w:val="en-GB" w:eastAsia="zh-CN"/>
        </w:rPr>
      </w:pPr>
      <m:oMath>
        <m:r>
          <w:rPr>
            <w:rFonts w:ascii="Cambria Math" w:hAnsi="Cambria Math"/>
            <w:lang w:eastAsia="zh-CN"/>
          </w:rPr>
          <m:t>c</m:t>
        </m:r>
        <m:r>
          <m:rPr>
            <m:sty m:val="p"/>
          </m:rPr>
          <w:rPr>
            <w:rFonts w:ascii="Cambria Math" w:hAnsi="Cambria Math"/>
            <w:lang w:eastAsia="zh-CN"/>
          </w:rPr>
          <m:t>=0</m:t>
        </m:r>
      </m:oMath>
      <w:r w:rsidR="001B5B5E">
        <w:rPr>
          <w:lang w:val="en-GB" w:eastAsia="zh-CN"/>
        </w:rPr>
        <w:t xml:space="preserve"> </w:t>
      </w:r>
    </w:p>
    <w:p w14:paraId="08551938" w14:textId="77777777" w:rsidR="005575DD" w:rsidRPr="005575DD" w:rsidRDefault="005575DD" w:rsidP="0042167F">
      <w:pPr>
        <w:pStyle w:val="B2"/>
        <w:rPr>
          <w:lang w:eastAsia="zh-CN"/>
        </w:rPr>
      </w:pPr>
      <w:r w:rsidRPr="005575DD">
        <w:rPr>
          <w:rFonts w:hint="eastAsia"/>
          <w:lang w:eastAsia="zh-CN"/>
        </w:rPr>
        <w:t xml:space="preserve">if </w:t>
      </w:r>
      <w:r w:rsidRPr="0042167F">
        <w:rPr>
          <w:i/>
          <w:iCs/>
        </w:rPr>
        <w:t>harq-ACK-SpatialBundlingPUCCH</w:t>
      </w:r>
      <w:r w:rsidRPr="005575DD">
        <w:rPr>
          <w:rFonts w:hint="eastAsia"/>
          <w:lang w:eastAsia="zh-CN"/>
        </w:rPr>
        <w:t xml:space="preserve"> </w:t>
      </w:r>
      <w:r w:rsidRPr="005575DD">
        <w:rPr>
          <w:lang w:eastAsia="zh-CN"/>
        </w:rPr>
        <w:t>is not provided</w:t>
      </w:r>
      <w:r w:rsidRPr="005575DD">
        <w:rPr>
          <w:rFonts w:hint="eastAsia"/>
          <w:lang w:eastAsia="zh-CN"/>
        </w:rPr>
        <w:t>,</w:t>
      </w:r>
    </w:p>
    <w:p w14:paraId="780A31DD" w14:textId="77777777" w:rsidR="00C708CC" w:rsidRPr="00C708CC" w:rsidRDefault="00C708CC" w:rsidP="00C708CC">
      <w:pPr>
        <w:pStyle w:val="B3"/>
        <w:rPr>
          <w:rFonts w:eastAsia="Times New Roman"/>
          <w:lang w:eastAsia="zh-CN"/>
        </w:rPr>
      </w:pPr>
      <w:r w:rsidRPr="00C708CC">
        <w:rPr>
          <w:rFonts w:eastAsia="Times New Roman"/>
        </w:rPr>
        <w:t xml:space="preserve">while </w:t>
      </w:r>
      <m:oMath>
        <m:sSubSup>
          <m:sSubSupPr>
            <m:ctrlPr>
              <w:rPr>
                <w:rFonts w:ascii="Cambria Math" w:hAnsi="Cambria Math"/>
                <w:i/>
              </w:rPr>
            </m:ctrlPr>
          </m:sSubSupPr>
          <m:e>
            <m:r>
              <w:rPr>
                <w:rFonts w:ascii="Cambria Math" w:hAnsi="Cambria Math"/>
              </w:rPr>
              <m:t>c&lt;N</m:t>
            </m:r>
          </m:e>
          <m:sub>
            <m:r>
              <m:rPr>
                <m:sty m:val="p"/>
              </m:rPr>
              <w:rPr>
                <w:rFonts w:ascii="Cambria Math" w:hAnsi="Cambria Math"/>
              </w:rPr>
              <m:t>cells</m:t>
            </m:r>
            <m:ctrlPr>
              <w:rPr>
                <w:rFonts w:ascii="Cambria Math" w:hAnsi="Cambria Math"/>
              </w:rPr>
            </m:ctrlPr>
          </m:sub>
          <m:sup>
            <m:r>
              <m:rPr>
                <m:nor/>
              </m:rPr>
              <m:t>DL</m:t>
            </m:r>
            <m:ctrlPr>
              <w:rPr>
                <w:rFonts w:ascii="Cambria Math" w:hAnsi="Cambria Math"/>
              </w:rPr>
            </m:ctrlPr>
          </m:sup>
        </m:sSubSup>
      </m:oMath>
    </w:p>
    <w:p w14:paraId="3A27E379" w14:textId="77777777" w:rsidR="00C708CC" w:rsidRPr="00C708CC" w:rsidRDefault="00C708CC" w:rsidP="00C708CC">
      <w:pPr>
        <w:pStyle w:val="B4"/>
        <w:ind w:left="1134" w:firstLine="0"/>
        <w:rPr>
          <w:iCs/>
        </w:rPr>
      </w:pPr>
      <w:r w:rsidRPr="00C708CC">
        <w:t xml:space="preserve">if PDCCH monitoring occasion </w:t>
      </w:r>
      <m:oMath>
        <m:r>
          <w:rPr>
            <w:rFonts w:ascii="Cambria Math" w:hAnsi="Cambria Math"/>
          </w:rPr>
          <m:t>m</m:t>
        </m:r>
      </m:oMath>
      <w:r w:rsidRPr="00C708CC">
        <w:t xml:space="preserve"> is before an active UL BWP change on the serving cell of PUCCH transmission if the UE is provided </w:t>
      </w:r>
      <w:r w:rsidRPr="00C708CC">
        <w:rPr>
          <w:i/>
        </w:rPr>
        <w:t>pucch-sSCellDyn</w:t>
      </w:r>
      <w:r w:rsidRPr="00C708CC">
        <w:t xml:space="preserve">, or an active UL BWP change on the PCell if the UE is not provided </w:t>
      </w:r>
      <w:r w:rsidRPr="00C708CC">
        <w:rPr>
          <w:i/>
        </w:rPr>
        <w:t>pucch-sSCellDyn</w:t>
      </w:r>
    </w:p>
    <w:p w14:paraId="274E59EC" w14:textId="4C41BD37" w:rsidR="00C708CC" w:rsidRPr="00C708CC" w:rsidRDefault="00C708CC" w:rsidP="00C708CC">
      <w:pPr>
        <w:pStyle w:val="B5"/>
        <w:rPr>
          <w:lang w:val="en-US"/>
        </w:rPr>
      </w:pPr>
      <m:oMath>
        <m:r>
          <w:rPr>
            <w:rFonts w:ascii="Cambria Math" w:hAnsi="Cambria Math"/>
          </w:rPr>
          <m:t>c</m:t>
        </m:r>
        <m:r>
          <m:rPr>
            <m:sty m:val="p"/>
          </m:rPr>
          <w:rPr>
            <w:rFonts w:ascii="Cambria Math" w:hAnsi="Cambria Math"/>
          </w:rPr>
          <m:t>=</m:t>
        </m:r>
        <m:r>
          <w:rPr>
            <w:rFonts w:ascii="Cambria Math" w:hAnsi="Cambria Math"/>
          </w:rPr>
          <m:t>c</m:t>
        </m:r>
        <m:r>
          <m:rPr>
            <m:sty m:val="p"/>
          </m:rPr>
          <w:rPr>
            <w:rFonts w:ascii="Cambria Math" w:hAnsi="Cambria Math"/>
          </w:rPr>
          <m:t>+1</m:t>
        </m:r>
      </m:oMath>
      <w:r w:rsidRPr="00C708CC">
        <w:rPr>
          <w:lang w:val="en-US"/>
        </w:rPr>
        <w:t>;</w:t>
      </w:r>
    </w:p>
    <w:p w14:paraId="03DC78B9" w14:textId="77777777" w:rsidR="00C708CC" w:rsidRPr="00C708CC" w:rsidRDefault="00C708CC" w:rsidP="00C708CC">
      <w:pPr>
        <w:pStyle w:val="B4"/>
      </w:pPr>
      <w:r w:rsidRPr="00C708CC">
        <w:t>else</w:t>
      </w:r>
    </w:p>
    <w:p w14:paraId="3C0FF759" w14:textId="2AB24B79" w:rsidR="00C708CC" w:rsidRPr="00C708CC" w:rsidRDefault="00C708CC" w:rsidP="00C708CC">
      <w:pPr>
        <w:pStyle w:val="B5"/>
        <w:ind w:left="1418" w:firstLine="0"/>
        <w:rPr>
          <w:lang w:eastAsia="zh-CN"/>
        </w:rPr>
      </w:pPr>
      <w:r w:rsidRPr="00C708CC">
        <w:rPr>
          <w:rFonts w:hint="eastAsia"/>
          <w:lang w:eastAsia="zh-CN"/>
        </w:rPr>
        <w:t xml:space="preserve">if there </w:t>
      </w:r>
      <w:r w:rsidRPr="00C708CC">
        <w:rPr>
          <w:lang w:eastAsia="zh-CN"/>
        </w:rPr>
        <w:t xml:space="preserve">is a PDSCH reception on serving cell </w:t>
      </w:r>
      <m:oMath>
        <m:r>
          <w:rPr>
            <w:rFonts w:ascii="Cambria Math" w:hAnsi="Cambria Math"/>
          </w:rPr>
          <m:t>c</m:t>
        </m:r>
      </m:oMath>
      <w:r w:rsidRPr="00C708CC">
        <w:rPr>
          <w:lang w:eastAsia="zh-CN"/>
        </w:rPr>
        <w:t xml:space="preserve"> that is scheduled by a DCI format scheduling more than one</w:t>
      </w:r>
      <w:r w:rsidRPr="00C708CC">
        <w:rPr>
          <w:rFonts w:hint="eastAsia"/>
          <w:lang w:eastAsia="zh-CN"/>
        </w:rPr>
        <w:t xml:space="preserve"> PDSCH</w:t>
      </w:r>
      <w:r w:rsidRPr="00C708CC">
        <w:rPr>
          <w:lang w:eastAsia="zh-CN"/>
        </w:rPr>
        <w:t xml:space="preserve">s </w:t>
      </w:r>
      <w:bookmarkStart w:id="493" w:name="_Hlk160534812"/>
      <w:r w:rsidRPr="00C708CC">
        <w:rPr>
          <w:lang w:eastAsia="zh-CN"/>
        </w:rPr>
        <w:t xml:space="preserve">that provide respective more than one </w:t>
      </w:r>
      <w:r w:rsidRPr="00C708CC">
        <w:t>transport blocks with enabled HARQ-ACK information</w:t>
      </w:r>
      <w:bookmarkEnd w:id="493"/>
      <w:r w:rsidRPr="00C708CC">
        <w:rPr>
          <w:rFonts w:hint="eastAsia"/>
          <w:lang w:eastAsia="zh-CN"/>
        </w:rPr>
        <w:t xml:space="preserve"> on </w:t>
      </w:r>
      <w:r w:rsidRPr="00C708CC">
        <w:rPr>
          <w:lang w:eastAsia="zh-CN"/>
        </w:rPr>
        <w:t xml:space="preserve">respective more than one </w:t>
      </w:r>
      <w:r w:rsidRPr="00C708CC">
        <w:rPr>
          <w:rFonts w:hint="eastAsia"/>
          <w:lang w:eastAsia="zh-CN"/>
        </w:rPr>
        <w:t>serving cell</w:t>
      </w:r>
      <w:r w:rsidRPr="00C708CC">
        <w:rPr>
          <w:lang w:eastAsia="zh-CN"/>
        </w:rPr>
        <w:t>s, where the DCI format is</w:t>
      </w:r>
      <w:r w:rsidRPr="00C708CC">
        <w:rPr>
          <w:rFonts w:hint="eastAsia"/>
          <w:lang w:eastAsia="zh-CN"/>
        </w:rPr>
        <w:t xml:space="preserve"> associated with </w:t>
      </w:r>
      <w:r w:rsidRPr="00C708CC">
        <w:rPr>
          <w:lang w:eastAsia="zh-CN"/>
        </w:rPr>
        <w:t xml:space="preserve">a </w:t>
      </w:r>
      <w:r w:rsidRPr="00C708CC">
        <w:rPr>
          <w:rFonts w:hint="eastAsia"/>
          <w:lang w:eastAsia="zh-CN"/>
        </w:rPr>
        <w:t xml:space="preserve">PDCCH </w:t>
      </w:r>
      <w:r w:rsidRPr="00C708CC">
        <w:rPr>
          <w:lang w:eastAsia="zh-CN"/>
        </w:rPr>
        <w:t xml:space="preserve">reception </w:t>
      </w:r>
      <w:r w:rsidRPr="00C708CC">
        <w:rPr>
          <w:rFonts w:hint="eastAsia"/>
          <w:lang w:eastAsia="zh-CN"/>
        </w:rPr>
        <w:t xml:space="preserve">in </w:t>
      </w:r>
      <w:r w:rsidRPr="00C708CC">
        <w:rPr>
          <w:lang w:eastAsia="zh-CN"/>
        </w:rPr>
        <w:t xml:space="preserve">PDCCH monitoring occasion </w:t>
      </w:r>
      <m:oMath>
        <m:r>
          <w:rPr>
            <w:rFonts w:ascii="Cambria Math" w:hAnsi="Cambria Math"/>
            <w:lang w:eastAsia="zh-CN"/>
          </w:rPr>
          <m:t>m</m:t>
        </m:r>
      </m:oMath>
      <w:r w:rsidRPr="00C708CC">
        <w:rPr>
          <w:rFonts w:hint="eastAsia"/>
          <w:lang w:eastAsia="zh-CN"/>
        </w:rPr>
        <w:t xml:space="preserve"> </w:t>
      </w:r>
      <w:r w:rsidRPr="00C708CC">
        <w:rPr>
          <w:lang w:eastAsia="zh-CN"/>
        </w:rPr>
        <w:t xml:space="preserve">and </w:t>
      </w:r>
      <w:r w:rsidRPr="00C708CC">
        <w:rPr>
          <w:i/>
          <w:lang w:eastAsia="zh-CN"/>
        </w:rPr>
        <w:t>c</w:t>
      </w:r>
      <w:r w:rsidRPr="00C708CC">
        <w:rPr>
          <w:lang w:eastAsia="zh-CN"/>
        </w:rPr>
        <w:t xml:space="preserve"> is the smallest serving cell index among the more than one serving cells</w:t>
      </w:r>
    </w:p>
    <w:p w14:paraId="1EC50A1D" w14:textId="0E9EB6D2" w:rsidR="005575DD" w:rsidRPr="005575DD" w:rsidRDefault="005575DD" w:rsidP="00C708CC">
      <w:pPr>
        <w:pStyle w:val="B5"/>
        <w:ind w:left="1985"/>
        <w:rPr>
          <w:lang w:eastAsia="zh-CN"/>
        </w:rPr>
      </w:pPr>
      <w:r w:rsidRPr="005575DD">
        <w:rPr>
          <w:rFonts w:hint="eastAsia"/>
          <w:lang w:eastAsia="zh-CN"/>
        </w:rPr>
        <w:t xml:space="preserve">if </w:t>
      </w:r>
      <m:oMath>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C</m:t>
            </m:r>
            <m:r>
              <m:rPr>
                <m:sty m:val="p"/>
              </m:rPr>
              <w:rPr>
                <w:rFonts w:ascii="Cambria Math" w:hAnsi="Cambria Math"/>
                <w:lang w:eastAsia="zh-CN"/>
              </w:rPr>
              <m:t>-</m:t>
            </m:r>
            <m:r>
              <m:rPr>
                <m:nor/>
              </m:rPr>
              <w:rPr>
                <w:lang w:eastAsia="zh-CN"/>
              </w:rPr>
              <m:t>DAI</m:t>
            </m:r>
            <m:r>
              <m:rPr>
                <m:sty m:val="p"/>
              </m:rPr>
              <w:rPr>
                <w:rFonts w:ascii="Cambria Math" w:hAnsi="Cambria Math"/>
                <w:lang w:eastAsia="zh-CN"/>
              </w:rPr>
              <m:t>,</m:t>
            </m:r>
            <m:r>
              <w:rPr>
                <w:rFonts w:ascii="Cambria Math" w:hAnsi="Cambria Math"/>
                <w:lang w:eastAsia="zh-CN"/>
              </w:rPr>
              <m:t>c</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m:t>
            </m:r>
          </m:sub>
        </m:sSub>
      </m:oMath>
    </w:p>
    <w:p w14:paraId="0821C4CB" w14:textId="77777777" w:rsidR="005575DD" w:rsidRPr="005575DD" w:rsidRDefault="005575DD" w:rsidP="00C708CC">
      <w:pPr>
        <w:pStyle w:val="B5"/>
        <w:ind w:left="2268"/>
        <w:rPr>
          <w:lang w:eastAsia="zh-CN"/>
        </w:rPr>
      </w:pPr>
      <m:oMath>
        <m:r>
          <w:rPr>
            <w:rFonts w:ascii="Cambria Math" w:hAnsi="Cambria Math"/>
            <w:lang w:eastAsia="zh-CN"/>
          </w:rPr>
          <m:t>j</m:t>
        </m:r>
        <m:r>
          <m:rPr>
            <m:sty m:val="p"/>
          </m:rPr>
          <w:rPr>
            <w:rFonts w:ascii="Cambria Math" w:hAnsi="Cambria Math"/>
            <w:lang w:eastAsia="zh-CN"/>
          </w:rPr>
          <m:t>=</m:t>
        </m:r>
        <m:r>
          <w:rPr>
            <w:rFonts w:ascii="Cambria Math" w:hAnsi="Cambria Math"/>
            <w:lang w:eastAsia="zh-CN"/>
          </w:rPr>
          <m:t>j</m:t>
        </m:r>
        <m:r>
          <m:rPr>
            <m:sty m:val="p"/>
          </m:rPr>
          <w:rPr>
            <w:rFonts w:ascii="Cambria Math" w:hAnsi="Cambria Math"/>
            <w:lang w:eastAsia="zh-CN"/>
          </w:rPr>
          <m:t>+1</m:t>
        </m:r>
      </m:oMath>
      <w:r w:rsidRPr="005575DD">
        <w:rPr>
          <w:lang w:eastAsia="zh-CN"/>
        </w:rPr>
        <w:t xml:space="preserve">; </w:t>
      </w:r>
    </w:p>
    <w:p w14:paraId="12875373" w14:textId="77777777" w:rsidR="005575DD" w:rsidRPr="005575DD" w:rsidRDefault="005575DD" w:rsidP="00C708CC">
      <w:pPr>
        <w:pStyle w:val="B5"/>
        <w:ind w:left="1985"/>
        <w:rPr>
          <w:rFonts w:cs="Arial"/>
          <w:lang w:eastAsia="zh-CN"/>
        </w:rPr>
      </w:pPr>
      <w:r w:rsidRPr="005575DD">
        <w:rPr>
          <w:rFonts w:hint="eastAsia"/>
          <w:lang w:eastAsia="zh-CN"/>
        </w:rPr>
        <w:t>end if</w:t>
      </w:r>
    </w:p>
    <w:p w14:paraId="6C9922FD" w14:textId="79D860FD" w:rsidR="005575DD" w:rsidRPr="005575DD" w:rsidRDefault="00000000" w:rsidP="00C708CC">
      <w:pPr>
        <w:pStyle w:val="B5"/>
        <w:ind w:left="1985"/>
        <w:rPr>
          <w:lang w:eastAsia="zh-CN"/>
        </w:rPr>
      </w:pP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m:t>
            </m:r>
          </m:sub>
        </m:sSub>
        <m: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C</m:t>
            </m:r>
            <m:r>
              <m:rPr>
                <m:sty m:val="p"/>
              </m:rPr>
              <w:rPr>
                <w:rFonts w:ascii="Cambria Math" w:hAnsi="Cambria Math"/>
                <w:lang w:eastAsia="zh-CN"/>
              </w:rPr>
              <m:t>-</m:t>
            </m:r>
            <m:r>
              <m:rPr>
                <m:nor/>
              </m:rPr>
              <w:rPr>
                <w:lang w:eastAsia="zh-CN"/>
              </w:rPr>
              <m:t>DAI</m:t>
            </m:r>
            <m:r>
              <m:rPr>
                <m:sty m:val="p"/>
              </m:rPr>
              <w:rPr>
                <w:rFonts w:ascii="Cambria Math" w:hAnsi="Cambria Math"/>
                <w:lang w:eastAsia="zh-CN"/>
              </w:rPr>
              <m:t>,</m:t>
            </m:r>
            <m:r>
              <w:rPr>
                <w:rFonts w:ascii="Cambria Math" w:hAnsi="Cambria Math"/>
                <w:lang w:eastAsia="zh-CN"/>
              </w:rPr>
              <m:t>c</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oMath>
      <w:r w:rsidR="005575DD" w:rsidRPr="005575DD">
        <w:rPr>
          <w:lang w:eastAsia="zh-CN"/>
        </w:rPr>
        <w:t xml:space="preserve">; </w:t>
      </w:r>
    </w:p>
    <w:p w14:paraId="49E0374D" w14:textId="77777777" w:rsidR="005575DD" w:rsidRPr="005575DD" w:rsidRDefault="005575DD" w:rsidP="00C708CC">
      <w:pPr>
        <w:pStyle w:val="B5"/>
        <w:ind w:left="1985"/>
        <w:rPr>
          <w:lang w:eastAsia="zh-CN"/>
        </w:rPr>
      </w:pPr>
      <w:r w:rsidRPr="005575DD">
        <w:rPr>
          <w:lang w:eastAsia="zh-CN"/>
        </w:rPr>
        <w:t xml:space="preserve">if </w:t>
      </w:r>
      <m:oMath>
        <m:sSubSup>
          <m:sSubSupPr>
            <m:ctrlPr>
              <w:rPr>
                <w:rFonts w:ascii="Cambria Math" w:hAnsi="Cambria Math"/>
                <w:lang w:eastAsia="zh-CN"/>
              </w:rPr>
            </m:ctrlPr>
          </m:sSubSupPr>
          <m:e>
            <m:r>
              <w:rPr>
                <w:rFonts w:ascii="Cambria Math" w:hAnsi="Cambria Math"/>
                <w:lang w:eastAsia="zh-CN"/>
              </w:rPr>
              <m:t>V</m:t>
            </m:r>
          </m:e>
          <m:sub>
            <m:r>
              <m:rPr>
                <m:nor/>
              </m:rPr>
              <w:rPr>
                <w:lang w:eastAsia="zh-CN"/>
              </w:rPr>
              <m:t>T-DAI</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r>
          <w:rPr>
            <w:rFonts w:ascii="Cambria Math" w:hAnsi="Cambria Math"/>
            <w:lang w:eastAsia="zh-CN"/>
          </w:rPr>
          <m:t>=∅</m:t>
        </m:r>
      </m:oMath>
    </w:p>
    <w:p w14:paraId="39B65453" w14:textId="7D0DCDC8" w:rsidR="005575DD" w:rsidRPr="005575DD" w:rsidRDefault="00000000" w:rsidP="00C708CC">
      <w:pPr>
        <w:pStyle w:val="B5"/>
        <w:ind w:left="2268"/>
        <w:rPr>
          <w:lang w:eastAsia="zh-CN"/>
        </w:rPr>
      </w:pP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m:t>
            </m:r>
            <m:r>
              <m:rPr>
                <m:sty m:val="p"/>
              </m:rPr>
              <w:rPr>
                <w:rFonts w:ascii="Cambria Math" w:hAnsi="Cambria Math"/>
                <w:lang w:eastAsia="zh-CN"/>
              </w:rPr>
              <m:t>,2</m:t>
            </m:r>
          </m:sub>
        </m:sSub>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C</m:t>
            </m:r>
            <m:r>
              <m:rPr>
                <m:sty m:val="p"/>
              </m:rPr>
              <w:rPr>
                <w:rFonts w:ascii="Cambria Math" w:hAnsi="Cambria Math"/>
                <w:lang w:eastAsia="zh-CN"/>
              </w:rPr>
              <m:t>-</m:t>
            </m:r>
            <m:r>
              <m:rPr>
                <m:nor/>
              </m:rPr>
              <w:rPr>
                <w:lang w:eastAsia="zh-CN"/>
              </w:rPr>
              <m:t>DAI</m:t>
            </m:r>
            <m:r>
              <m:rPr>
                <m:sty m:val="p"/>
              </m:rPr>
              <w:rPr>
                <w:rFonts w:ascii="Cambria Math" w:hAnsi="Cambria Math"/>
                <w:lang w:eastAsia="zh-CN"/>
              </w:rPr>
              <m:t>,</m:t>
            </m:r>
            <m:r>
              <w:rPr>
                <w:rFonts w:ascii="Cambria Math" w:hAnsi="Cambria Math"/>
                <w:lang w:eastAsia="zh-CN"/>
              </w:rPr>
              <m:t>c</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oMath>
      <w:r w:rsidR="005575DD" w:rsidRPr="005575DD">
        <w:rPr>
          <w:lang w:eastAsia="zh-CN"/>
        </w:rPr>
        <w:t xml:space="preserve">; </w:t>
      </w:r>
    </w:p>
    <w:p w14:paraId="22CDB558" w14:textId="77777777" w:rsidR="005575DD" w:rsidRPr="005575DD" w:rsidRDefault="005575DD" w:rsidP="00C708CC">
      <w:pPr>
        <w:pStyle w:val="B5"/>
        <w:ind w:left="1985"/>
        <w:rPr>
          <w:lang w:eastAsia="zh-CN"/>
        </w:rPr>
      </w:pPr>
      <w:r w:rsidRPr="005575DD">
        <w:rPr>
          <w:lang w:eastAsia="zh-CN"/>
        </w:rPr>
        <w:t xml:space="preserve">else </w:t>
      </w:r>
    </w:p>
    <w:p w14:paraId="48B2A57E" w14:textId="77777777" w:rsidR="005575DD" w:rsidRPr="005575DD" w:rsidRDefault="00000000" w:rsidP="00D470C1">
      <w:pPr>
        <w:pStyle w:val="B5"/>
        <w:ind w:left="2268"/>
        <w:rPr>
          <w:lang w:eastAsia="zh-CN"/>
        </w:rPr>
      </w:pP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temp,2</m:t>
            </m:r>
          </m:sub>
        </m:sSub>
        <m: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T</m:t>
            </m:r>
            <m:r>
              <m:rPr>
                <m:sty m:val="p"/>
              </m:rPr>
              <w:rPr>
                <w:rFonts w:ascii="Cambria Math" w:hAnsi="Cambria Math"/>
                <w:lang w:eastAsia="zh-CN"/>
              </w:rPr>
              <m:t>-</m:t>
            </m:r>
            <m:r>
              <m:rPr>
                <m:nor/>
              </m:rPr>
              <w:rPr>
                <w:lang w:eastAsia="zh-CN"/>
              </w:rPr>
              <m:t>DAI</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oMath>
      <w:r w:rsidR="005575DD" w:rsidRPr="005575DD">
        <w:rPr>
          <w:lang w:eastAsia="zh-CN"/>
        </w:rPr>
        <w:t>;</w:t>
      </w:r>
    </w:p>
    <w:p w14:paraId="0883B947" w14:textId="77777777" w:rsidR="005575DD" w:rsidRPr="005575DD" w:rsidRDefault="005575DD" w:rsidP="00C708CC">
      <w:pPr>
        <w:pStyle w:val="B5"/>
        <w:ind w:left="1985"/>
        <w:rPr>
          <w:lang w:eastAsia="zh-CN"/>
        </w:rPr>
      </w:pPr>
      <w:r w:rsidRPr="005575DD">
        <w:rPr>
          <w:lang w:eastAsia="zh-CN"/>
        </w:rPr>
        <w:t>end if</w:t>
      </w:r>
    </w:p>
    <w:p w14:paraId="40679EDA" w14:textId="77777777" w:rsidR="005575DD" w:rsidRPr="005575DD" w:rsidRDefault="005575DD" w:rsidP="00C708CC">
      <w:pPr>
        <w:pStyle w:val="B5"/>
        <w:ind w:left="1985"/>
        <w:rPr>
          <w:lang w:eastAsia="zh-CN"/>
        </w:rPr>
      </w:pPr>
      <m:oMath>
        <m:r>
          <w:rPr>
            <w:rFonts w:ascii="Cambria Math" w:hAnsi="Cambria Math"/>
            <w:lang w:eastAsia="zh-CN"/>
          </w:rPr>
          <m:t>cnt=0</m:t>
        </m:r>
      </m:oMath>
      <w:r w:rsidRPr="005575DD">
        <w:rPr>
          <w:lang w:eastAsia="zh-CN"/>
        </w:rPr>
        <w:t>;</w:t>
      </w:r>
    </w:p>
    <w:p w14:paraId="6245E4AA" w14:textId="77777777" w:rsidR="005575DD" w:rsidRPr="005575DD" w:rsidRDefault="005575DD" w:rsidP="00C708CC">
      <w:pPr>
        <w:pStyle w:val="B5"/>
        <w:ind w:left="1985"/>
        <w:rPr>
          <w:lang w:eastAsia="zh-CN"/>
        </w:rPr>
      </w:pPr>
      <m:oMath>
        <m:r>
          <w:rPr>
            <w:rFonts w:ascii="Cambria Math" w:hAnsi="Cambria Math" w:cs="Arial"/>
            <w:lang w:eastAsia="zh-CN"/>
          </w:rPr>
          <m:t>m</m:t>
        </m:r>
        <m:r>
          <w:rPr>
            <w:rFonts w:ascii="Cambria Math" w:hAnsi="Cambria Math"/>
            <w:lang w:eastAsia="zh-CN"/>
          </w:rPr>
          <m:t>c=0</m:t>
        </m:r>
      </m:oMath>
      <w:r w:rsidRPr="005575DD">
        <w:rPr>
          <w:rFonts w:cs="Arial"/>
          <w:lang w:eastAsia="zh-CN"/>
        </w:rPr>
        <w:t>;</w:t>
      </w:r>
    </w:p>
    <w:p w14:paraId="2E6234EF" w14:textId="77777777" w:rsidR="005575DD" w:rsidRPr="005575DD" w:rsidRDefault="005575DD" w:rsidP="00C708CC">
      <w:pPr>
        <w:pStyle w:val="B5"/>
        <w:ind w:left="1985"/>
      </w:pPr>
      <w:r w:rsidRPr="005575DD">
        <w:t xml:space="preserve">while </w:t>
      </w:r>
      <m:oMath>
        <m:r>
          <w:rPr>
            <w:rFonts w:ascii="Cambria Math" w:hAnsi="Cambria Math"/>
          </w:rPr>
          <m:t>m</m:t>
        </m:r>
        <m:r>
          <w:rPr>
            <w:rFonts w:ascii="Cambria Math" w:hAnsi="Cambria Math"/>
            <w:lang w:eastAsia="zh-CN"/>
          </w:rPr>
          <m:t>c&lt;</m:t>
        </m:r>
        <m:sSubSup>
          <m:sSubSupPr>
            <m:ctrlPr>
              <w:rPr>
                <w:rFonts w:ascii="Cambria Math" w:hAnsi="Cambria Math"/>
                <w:i/>
              </w:rPr>
            </m:ctrlPr>
          </m:sSubSupPr>
          <m:e>
            <m:r>
              <w:rPr>
                <w:rFonts w:ascii="Cambria Math" w:hAnsi="Cambria Math"/>
              </w:rPr>
              <m:t>N</m:t>
            </m:r>
          </m:e>
          <m:sub>
            <m:r>
              <m:rPr>
                <m:sty m:val="p"/>
              </m:rPr>
              <w:rPr>
                <w:rFonts w:ascii="Cambria Math" w:hAnsi="Cambria Math"/>
              </w:rPr>
              <m:t>cells,set</m:t>
            </m:r>
            <m:ctrlPr>
              <w:rPr>
                <w:rFonts w:ascii="Cambria Math" w:hAnsi="Cambria Math"/>
              </w:rPr>
            </m:ctrlPr>
          </m:sub>
          <m:sup>
            <m:r>
              <m:rPr>
                <m:nor/>
              </m:rPr>
              <w:rPr>
                <w:lang w:val="en-US"/>
              </w:rPr>
              <m:t>DL,max</m:t>
            </m:r>
            <m:ctrlPr>
              <w:rPr>
                <w:rFonts w:ascii="Cambria Math" w:hAnsi="Cambria Math"/>
              </w:rPr>
            </m:ctrlPr>
          </m:sup>
        </m:sSubSup>
      </m:oMath>
    </w:p>
    <w:p w14:paraId="0895933D" w14:textId="6A1B6043" w:rsidR="005575DD" w:rsidRPr="005575DD" w:rsidRDefault="005575DD" w:rsidP="00D470C1">
      <w:pPr>
        <w:pStyle w:val="B5"/>
        <w:ind w:left="2268"/>
      </w:pPr>
      <w:r w:rsidRPr="005575DD">
        <w:t>if the UE is scheduled PDSCH reception on serving cell</w:t>
      </w:r>
      <w:r w:rsidRPr="005575DD">
        <w:rPr>
          <w:i/>
        </w:rPr>
        <w:t xml:space="preserve"> </w:t>
      </w:r>
      <m:oMath>
        <m:r>
          <w:rPr>
            <w:rFonts w:ascii="Cambria Math" w:hAnsi="Cambria Math"/>
          </w:rPr>
          <m:t>m</m:t>
        </m:r>
        <m:r>
          <w:rPr>
            <w:rFonts w:ascii="Cambria Math" w:hAnsi="Cambria Math"/>
            <w:lang w:eastAsia="zh-CN"/>
          </w:rPr>
          <m:t>c</m:t>
        </m:r>
      </m:oMath>
      <w:r w:rsidRPr="005575DD">
        <w:rPr>
          <w:iCs/>
          <w:lang w:eastAsia="zh-CN"/>
        </w:rPr>
        <w:t xml:space="preserve">, if any, </w:t>
      </w:r>
      <w:r w:rsidR="00D470C1" w:rsidRPr="00DB4E9D">
        <w:rPr>
          <w:iCs/>
          <w:lang w:eastAsia="zh-CN"/>
        </w:rPr>
        <w:t>from the more than one serving cells</w:t>
      </w:r>
    </w:p>
    <w:p w14:paraId="6D3E398A" w14:textId="00E97443" w:rsidR="005575DD" w:rsidRPr="005575DD" w:rsidRDefault="005575DD" w:rsidP="00D470C1">
      <w:pPr>
        <w:pStyle w:val="B5"/>
        <w:ind w:left="2552"/>
      </w:pPr>
      <w:r w:rsidRPr="005575DD">
        <w:t xml:space="preserve">if </w:t>
      </w:r>
      <w:r w:rsidRPr="005575DD">
        <w:rPr>
          <w:i/>
        </w:rPr>
        <w:t>maxNrofCodeWordsScheduledByDCI</w:t>
      </w:r>
      <w:r w:rsidRPr="005575DD">
        <w:rPr>
          <w:lang w:eastAsia="zh-CN"/>
        </w:rPr>
        <w:t xml:space="preserve"> is 2 for</w:t>
      </w:r>
      <w:r w:rsidRPr="005575DD">
        <w:t xml:space="preserve"> serving cell</w:t>
      </w:r>
      <w:r w:rsidRPr="005575DD">
        <w:rPr>
          <w:i/>
        </w:rPr>
        <w:t xml:space="preserve"> </w:t>
      </w:r>
      <m:oMath>
        <m:r>
          <w:rPr>
            <w:rFonts w:ascii="Cambria Math" w:hAnsi="Cambria Math"/>
          </w:rPr>
          <m:t>m</m:t>
        </m:r>
        <m:r>
          <w:rPr>
            <w:rFonts w:ascii="Cambria Math" w:hAnsi="Cambria Math"/>
            <w:lang w:eastAsia="zh-CN"/>
          </w:rPr>
          <m:t>c</m:t>
        </m:r>
      </m:oMath>
      <w:r w:rsidRPr="005575DD">
        <w:rPr>
          <w:iCs/>
          <w:lang w:eastAsia="zh-CN"/>
        </w:rPr>
        <w:t xml:space="preserve">, if any, </w:t>
      </w:r>
      <w:r w:rsidR="00D470C1" w:rsidRPr="00DB4E9D">
        <w:rPr>
          <w:iCs/>
          <w:lang w:eastAsia="zh-CN"/>
        </w:rPr>
        <w:t>from the more than one serving cells</w:t>
      </w:r>
    </w:p>
    <w:p w14:paraId="07324DAF" w14:textId="171DEBDC" w:rsidR="005575DD" w:rsidRPr="005575DD" w:rsidRDefault="00000000" w:rsidP="00D470C1">
      <w:pPr>
        <w:pStyle w:val="B5"/>
        <w:ind w:left="2835"/>
        <w:rPr>
          <w:lang w:eastAsia="zh-CN"/>
        </w:rPr>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o</m:t>
                </m:r>
              </m:e>
            </m:acc>
          </m:e>
          <m:sub>
            <m:sSubSup>
              <m:sSubSupPr>
                <m:ctrlPr>
                  <w:rPr>
                    <w:rFonts w:ascii="Cambria Math" w:hAnsi="Cambria Math"/>
                    <w:i/>
                  </w:rPr>
                </m:ctrlPr>
              </m:sSubSupPr>
              <m:e>
                <m:r>
                  <w:rPr>
                    <w:rFonts w:ascii="Cambria Math" w:hAnsi="Cambria Math"/>
                  </w:rPr>
                  <m:t>N</m:t>
                </m:r>
              </m:e>
              <m:sub>
                <m:r>
                  <m:rPr>
                    <m:sty m:val="p"/>
                  </m:rPr>
                  <w:rPr>
                    <w:rFonts w:ascii="Cambria Math" w:hAnsi="Cambria Math"/>
                  </w:rPr>
                  <m:t>sets</m:t>
                </m:r>
                <m:ctrlPr>
                  <w:rPr>
                    <w:rFonts w:ascii="Cambria Math" w:hAnsi="Cambria Math"/>
                  </w:rPr>
                </m:ctrlPr>
              </m:sub>
              <m:sup>
                <m:r>
                  <m:rPr>
                    <m:nor/>
                  </m:rPr>
                  <w:rPr>
                    <w:lang w:val="en-US"/>
                  </w:rPr>
                  <m:t>TB,max</m:t>
                </m:r>
                <m:ctrlPr>
                  <w:rPr>
                    <w:rFonts w:ascii="Cambria Math" w:hAnsi="Cambria Math"/>
                  </w:rPr>
                </m:ctrlPr>
              </m:sup>
            </m:sSubSup>
            <m:r>
              <w:rPr>
                <w:rFonts w:ascii="Cambria Math" w:hAnsi="Cambria Math" w:cs="Cambria Math"/>
                <w:lang w:eastAsia="zh-CN"/>
              </w:rPr>
              <m:t>⋅</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cs="Cambria Math"/>
                <w:lang w:eastAsia="zh-CN"/>
              </w:rPr>
              <m:t>⋅</m:t>
            </m:r>
            <m:r>
              <w:rPr>
                <w:rFonts w:ascii="Cambria Math" w:hAnsi="Cambria Math"/>
              </w:rPr>
              <m:t>j+</m:t>
            </m:r>
            <m:sSubSup>
              <m:sSubSupPr>
                <m:ctrlPr>
                  <w:rPr>
                    <w:rFonts w:ascii="Cambria Math" w:hAnsi="Cambria Math"/>
                    <w:i/>
                  </w:rPr>
                </m:ctrlPr>
              </m:sSubSupPr>
              <m:e>
                <m:r>
                  <w:rPr>
                    <w:rFonts w:ascii="Cambria Math" w:hAnsi="Cambria Math"/>
                  </w:rPr>
                  <m:t>N</m:t>
                </m:r>
              </m:e>
              <m:sub>
                <m:r>
                  <m:rPr>
                    <m:sty m:val="p"/>
                  </m:rPr>
                  <w:rPr>
                    <w:rFonts w:ascii="Cambria Math" w:hAnsi="Cambria Math"/>
                  </w:rPr>
                  <m:t>sets</m:t>
                </m:r>
                <m:ctrlPr>
                  <w:rPr>
                    <w:rFonts w:ascii="Cambria Math" w:hAnsi="Cambria Math"/>
                  </w:rPr>
                </m:ctrlPr>
              </m:sub>
              <m:sup>
                <m:r>
                  <m:rPr>
                    <m:nor/>
                  </m:rPr>
                  <w:rPr>
                    <w:lang w:val="en-US"/>
                  </w:rPr>
                  <m:t>TB,max</m:t>
                </m:r>
                <m:ctrlPr>
                  <w:rPr>
                    <w:rFonts w:ascii="Cambria Math" w:hAnsi="Cambria Math"/>
                  </w:rPr>
                </m:ctrlPr>
              </m:sup>
            </m:sSubSup>
            <m:r>
              <w:rPr>
                <w:rFonts w:ascii="Cambria Math" w:hAnsi="Cambria Math" w:cs="Cambria Math"/>
                <w:lang w:eastAsia="zh-CN"/>
              </w:rPr>
              <m:t>⋅</m:t>
            </m:r>
            <m:d>
              <m:dPr>
                <m:ctrlPr>
                  <w:rPr>
                    <w:rFonts w:ascii="Cambria Math" w:hAnsi="Cambria Math"/>
                    <w:i/>
                  </w:rPr>
                </m:ctrlPr>
              </m:dPr>
              <m:e>
                <m:sSubSup>
                  <m:sSubSupPr>
                    <m:ctrlPr>
                      <w:rPr>
                        <w:rFonts w:ascii="Cambria Math" w:hAnsi="Cambria Math"/>
                        <w:i/>
                      </w:rPr>
                    </m:ctrlPr>
                  </m:sSubSupPr>
                  <m:e>
                    <m:r>
                      <w:rPr>
                        <w:rFonts w:ascii="Cambria Math"/>
                      </w:rPr>
                      <m:t>V</m:t>
                    </m:r>
                  </m:e>
                  <m:sub>
                    <m:r>
                      <w:rPr>
                        <w:rFonts w:ascii="Cambria Math"/>
                      </w:rPr>
                      <m:t>C</m:t>
                    </m:r>
                    <m:r>
                      <w:rPr>
                        <w:rFonts w:ascii="Cambria Math"/>
                      </w:rPr>
                      <m:t>-</m:t>
                    </m:r>
                    <m:r>
                      <w:rPr>
                        <w:rFonts w:ascii="Cambria Math"/>
                      </w:rPr>
                      <m:t>DAI,c,m</m:t>
                    </m:r>
                  </m:sub>
                  <m:sup>
                    <m:r>
                      <w:rPr>
                        <w:rFonts w:ascii="Cambria Math"/>
                      </w:rPr>
                      <m:t>DL</m:t>
                    </m:r>
                  </m:sup>
                </m:sSubSup>
                <m:r>
                  <w:rPr>
                    <w:rFonts w:ascii="Cambria Math" w:hAnsi="Cambria Math"/>
                  </w:rPr>
                  <m:t>-1</m:t>
                </m:r>
              </m:e>
            </m:d>
            <m:r>
              <w:rPr>
                <w:rFonts w:ascii="Cambria Math" w:hAnsi="Cambria Math"/>
              </w:rPr>
              <m:t>+cnt</m:t>
            </m:r>
          </m:sub>
          <m:sup>
            <m:r>
              <w:rPr>
                <w:rFonts w:ascii="Cambria Math" w:hAnsi="Cambria Math"/>
              </w:rPr>
              <m:t>ACK</m:t>
            </m:r>
          </m:sup>
        </m:sSubSup>
      </m:oMath>
      <w:r w:rsidR="005575DD" w:rsidRPr="005575DD">
        <w:t xml:space="preserve"> </w:t>
      </w:r>
      <w:r w:rsidR="005575DD" w:rsidRPr="005575DD">
        <w:rPr>
          <w:rFonts w:hint="eastAsia"/>
          <w:lang w:eastAsia="zh-CN"/>
        </w:rPr>
        <w:t xml:space="preserve">= </w:t>
      </w:r>
      <w:r w:rsidR="005575DD" w:rsidRPr="005575DD">
        <w:t>HARQ-ACK information bit corresponding to the first transport block of this cell</w:t>
      </w:r>
    </w:p>
    <w:p w14:paraId="2FDAF171" w14:textId="71EE0F44" w:rsidR="005575DD" w:rsidRPr="005575DD" w:rsidRDefault="00000000" w:rsidP="00D470C1">
      <w:pPr>
        <w:pStyle w:val="B5"/>
        <w:ind w:left="2835"/>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o</m:t>
                </m:r>
              </m:e>
            </m:acc>
          </m:e>
          <m:sub>
            <m:sSubSup>
              <m:sSubSupPr>
                <m:ctrlPr>
                  <w:rPr>
                    <w:rFonts w:ascii="Cambria Math" w:hAnsi="Cambria Math"/>
                    <w:i/>
                  </w:rPr>
                </m:ctrlPr>
              </m:sSubSupPr>
              <m:e>
                <m:r>
                  <w:rPr>
                    <w:rFonts w:ascii="Cambria Math" w:hAnsi="Cambria Math"/>
                  </w:rPr>
                  <m:t>N</m:t>
                </m:r>
              </m:e>
              <m:sub>
                <m:r>
                  <m:rPr>
                    <m:sty m:val="p"/>
                  </m:rPr>
                  <w:rPr>
                    <w:rFonts w:ascii="Cambria Math" w:hAnsi="Cambria Math"/>
                  </w:rPr>
                  <m:t>sets</m:t>
                </m:r>
                <m:ctrlPr>
                  <w:rPr>
                    <w:rFonts w:ascii="Cambria Math" w:hAnsi="Cambria Math"/>
                  </w:rPr>
                </m:ctrlPr>
              </m:sub>
              <m:sup>
                <m:r>
                  <m:rPr>
                    <m:nor/>
                  </m:rPr>
                  <w:rPr>
                    <w:lang w:val="en-US"/>
                  </w:rPr>
                  <m:t>TB,max</m:t>
                </m:r>
                <m:ctrlPr>
                  <w:rPr>
                    <w:rFonts w:ascii="Cambria Math" w:hAnsi="Cambria Math"/>
                  </w:rPr>
                </m:ctrlPr>
              </m:sup>
            </m:sSubSup>
            <m:r>
              <w:rPr>
                <w:rFonts w:ascii="Cambria Math" w:hAnsi="Cambria Math" w:cs="Cambria Math"/>
                <w:lang w:eastAsia="zh-CN"/>
              </w:rPr>
              <m:t>⋅</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cs="Cambria Math"/>
                <w:lang w:eastAsia="zh-CN"/>
              </w:rPr>
              <m:t>⋅</m:t>
            </m:r>
            <m:r>
              <w:rPr>
                <w:rFonts w:ascii="Cambria Math" w:hAnsi="Cambria Math"/>
              </w:rPr>
              <m:t>j+</m:t>
            </m:r>
            <m:sSubSup>
              <m:sSubSupPr>
                <m:ctrlPr>
                  <w:rPr>
                    <w:rFonts w:ascii="Cambria Math" w:hAnsi="Cambria Math"/>
                    <w:i/>
                  </w:rPr>
                </m:ctrlPr>
              </m:sSubSupPr>
              <m:e>
                <m:r>
                  <w:rPr>
                    <w:rFonts w:ascii="Cambria Math" w:hAnsi="Cambria Math"/>
                  </w:rPr>
                  <m:t>N</m:t>
                </m:r>
              </m:e>
              <m:sub>
                <m:r>
                  <m:rPr>
                    <m:sty m:val="p"/>
                  </m:rPr>
                  <w:rPr>
                    <w:rFonts w:ascii="Cambria Math" w:hAnsi="Cambria Math"/>
                  </w:rPr>
                  <m:t>sets</m:t>
                </m:r>
                <m:ctrlPr>
                  <w:rPr>
                    <w:rFonts w:ascii="Cambria Math" w:hAnsi="Cambria Math"/>
                  </w:rPr>
                </m:ctrlPr>
              </m:sub>
              <m:sup>
                <m:r>
                  <m:rPr>
                    <m:nor/>
                  </m:rPr>
                  <w:rPr>
                    <w:lang w:val="en-US"/>
                  </w:rPr>
                  <m:t>TB,max</m:t>
                </m:r>
                <m:ctrlPr>
                  <w:rPr>
                    <w:rFonts w:ascii="Cambria Math" w:hAnsi="Cambria Math"/>
                  </w:rPr>
                </m:ctrlPr>
              </m:sup>
            </m:sSubSup>
            <m:r>
              <w:rPr>
                <w:rFonts w:ascii="Cambria Math" w:hAnsi="Cambria Math" w:cs="Cambria Math"/>
                <w:lang w:eastAsia="zh-CN"/>
              </w:rPr>
              <m:t>⋅</m:t>
            </m:r>
            <m:d>
              <m:dPr>
                <m:ctrlPr>
                  <w:rPr>
                    <w:rFonts w:ascii="Cambria Math" w:hAnsi="Cambria Math"/>
                    <w:i/>
                  </w:rPr>
                </m:ctrlPr>
              </m:dPr>
              <m:e>
                <m:sSubSup>
                  <m:sSubSupPr>
                    <m:ctrlPr>
                      <w:rPr>
                        <w:rFonts w:ascii="Cambria Math" w:hAnsi="Cambria Math"/>
                        <w:i/>
                      </w:rPr>
                    </m:ctrlPr>
                  </m:sSubSupPr>
                  <m:e>
                    <m:r>
                      <w:rPr>
                        <w:rFonts w:ascii="Cambria Math"/>
                      </w:rPr>
                      <m:t>V</m:t>
                    </m:r>
                  </m:e>
                  <m:sub>
                    <m:r>
                      <w:rPr>
                        <w:rFonts w:ascii="Cambria Math"/>
                      </w:rPr>
                      <m:t>C</m:t>
                    </m:r>
                    <m:r>
                      <w:rPr>
                        <w:rFonts w:ascii="Cambria Math"/>
                      </w:rPr>
                      <m:t>-</m:t>
                    </m:r>
                    <m:r>
                      <w:rPr>
                        <w:rFonts w:ascii="Cambria Math"/>
                      </w:rPr>
                      <m:t>DAI,c,m</m:t>
                    </m:r>
                  </m:sub>
                  <m:sup>
                    <m:r>
                      <w:rPr>
                        <w:rFonts w:ascii="Cambria Math"/>
                      </w:rPr>
                      <m:t>DL</m:t>
                    </m:r>
                  </m:sup>
                </m:sSubSup>
                <m:r>
                  <w:rPr>
                    <w:rFonts w:ascii="Cambria Math" w:hAnsi="Cambria Math"/>
                  </w:rPr>
                  <m:t>-1</m:t>
                </m:r>
              </m:e>
            </m:d>
            <m:r>
              <w:rPr>
                <w:rFonts w:ascii="Cambria Math" w:hAnsi="Cambria Math"/>
              </w:rPr>
              <m:t>+1+cnt</m:t>
            </m:r>
          </m:sub>
          <m:sup>
            <m:r>
              <w:rPr>
                <w:rFonts w:ascii="Cambria Math" w:hAnsi="Cambria Math"/>
              </w:rPr>
              <m:t>ACK</m:t>
            </m:r>
          </m:sup>
        </m:sSubSup>
      </m:oMath>
      <w:r w:rsidR="005575DD" w:rsidRPr="005575DD">
        <w:t xml:space="preserve"> </w:t>
      </w:r>
      <w:r w:rsidR="005575DD" w:rsidRPr="005575DD">
        <w:rPr>
          <w:rFonts w:hint="eastAsia"/>
          <w:lang w:eastAsia="zh-CN"/>
        </w:rPr>
        <w:t>=</w:t>
      </w:r>
      <w:r w:rsidR="005575DD" w:rsidRPr="005575DD">
        <w:t xml:space="preserve"> HARQ-ACK information bit corresponding to the </w:t>
      </w:r>
      <w:r w:rsidR="005575DD" w:rsidRPr="005575DD">
        <w:rPr>
          <w:rFonts w:hint="eastAsia"/>
          <w:lang w:eastAsia="zh-CN"/>
        </w:rPr>
        <w:t>second</w:t>
      </w:r>
      <w:r w:rsidR="005575DD" w:rsidRPr="005575DD">
        <w:t xml:space="preserve"> transport block of this cell</w:t>
      </w:r>
    </w:p>
    <w:p w14:paraId="7D6D3EBC" w14:textId="77777777" w:rsidR="005575DD" w:rsidRPr="005575DD" w:rsidRDefault="005575DD" w:rsidP="00D470C1">
      <w:pPr>
        <w:pStyle w:val="B5"/>
        <w:ind w:left="2835"/>
      </w:pPr>
      <m:oMath>
        <m:r>
          <w:rPr>
            <w:rFonts w:ascii="Cambria Math" w:hAnsi="Cambria Math"/>
            <w:lang w:eastAsia="zh-CN"/>
          </w:rPr>
          <m:t>cnt=cnt+2</m:t>
        </m:r>
      </m:oMath>
      <w:r w:rsidRPr="005575DD">
        <w:rPr>
          <w:lang w:eastAsia="zh-CN"/>
        </w:rPr>
        <w:t>;</w:t>
      </w:r>
    </w:p>
    <w:p w14:paraId="630CA576" w14:textId="77777777" w:rsidR="005575DD" w:rsidRPr="005575DD" w:rsidRDefault="005575DD" w:rsidP="00D470C1">
      <w:pPr>
        <w:pStyle w:val="B5"/>
        <w:ind w:left="2552"/>
      </w:pPr>
      <w:r w:rsidRPr="005575DD">
        <w:t>else</w:t>
      </w:r>
    </w:p>
    <w:p w14:paraId="773480BF" w14:textId="54CC9FD2" w:rsidR="005575DD" w:rsidRPr="005575DD" w:rsidRDefault="00000000" w:rsidP="00D470C1">
      <w:pPr>
        <w:pStyle w:val="B5"/>
        <w:ind w:left="2835"/>
        <w:rPr>
          <w:lang w:eastAsia="zh-CN"/>
        </w:rPr>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o</m:t>
                </m:r>
              </m:e>
            </m:acc>
          </m:e>
          <m:sub>
            <m:sSubSup>
              <m:sSubSupPr>
                <m:ctrlPr>
                  <w:rPr>
                    <w:rFonts w:ascii="Cambria Math" w:hAnsi="Cambria Math"/>
                    <w:i/>
                  </w:rPr>
                </m:ctrlPr>
              </m:sSubSupPr>
              <m:e>
                <m:r>
                  <w:rPr>
                    <w:rFonts w:ascii="Cambria Math" w:hAnsi="Cambria Math"/>
                  </w:rPr>
                  <m:t>N</m:t>
                </m:r>
              </m:e>
              <m:sub>
                <m:r>
                  <m:rPr>
                    <m:sty m:val="p"/>
                  </m:rPr>
                  <w:rPr>
                    <w:rFonts w:ascii="Cambria Math" w:hAnsi="Cambria Math"/>
                  </w:rPr>
                  <m:t>sets</m:t>
                </m:r>
                <m:ctrlPr>
                  <w:rPr>
                    <w:rFonts w:ascii="Cambria Math" w:hAnsi="Cambria Math"/>
                  </w:rPr>
                </m:ctrlPr>
              </m:sub>
              <m:sup>
                <m:r>
                  <m:rPr>
                    <m:nor/>
                  </m:rPr>
                  <w:rPr>
                    <w:lang w:val="en-US"/>
                  </w:rPr>
                  <m:t>TB,max</m:t>
                </m:r>
                <m:ctrlPr>
                  <w:rPr>
                    <w:rFonts w:ascii="Cambria Math" w:hAnsi="Cambria Math"/>
                  </w:rPr>
                </m:ctrlPr>
              </m:sup>
            </m:sSubSup>
            <m:r>
              <w:rPr>
                <w:rFonts w:ascii="Cambria Math" w:hAnsi="Cambria Math" w:cs="Cambria Math"/>
                <w:lang w:eastAsia="zh-CN"/>
              </w:rPr>
              <m:t>⋅</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cs="Cambria Math"/>
                <w:lang w:eastAsia="zh-CN"/>
              </w:rPr>
              <m:t>⋅</m:t>
            </m:r>
            <m:r>
              <w:rPr>
                <w:rFonts w:ascii="Cambria Math" w:hAnsi="Cambria Math"/>
              </w:rPr>
              <m:t>j+</m:t>
            </m:r>
            <m:sSubSup>
              <m:sSubSupPr>
                <m:ctrlPr>
                  <w:rPr>
                    <w:rFonts w:ascii="Cambria Math" w:hAnsi="Cambria Math"/>
                    <w:i/>
                  </w:rPr>
                </m:ctrlPr>
              </m:sSubSupPr>
              <m:e>
                <m:r>
                  <w:rPr>
                    <w:rFonts w:ascii="Cambria Math" w:hAnsi="Cambria Math"/>
                  </w:rPr>
                  <m:t>N</m:t>
                </m:r>
              </m:e>
              <m:sub>
                <m:r>
                  <m:rPr>
                    <m:sty m:val="p"/>
                  </m:rPr>
                  <w:rPr>
                    <w:rFonts w:ascii="Cambria Math" w:hAnsi="Cambria Math"/>
                  </w:rPr>
                  <m:t>sets</m:t>
                </m:r>
                <m:ctrlPr>
                  <w:rPr>
                    <w:rFonts w:ascii="Cambria Math" w:hAnsi="Cambria Math"/>
                  </w:rPr>
                </m:ctrlPr>
              </m:sub>
              <m:sup>
                <m:r>
                  <m:rPr>
                    <m:nor/>
                  </m:rPr>
                  <w:rPr>
                    <w:lang w:val="en-US"/>
                  </w:rPr>
                  <m:t>TB,max</m:t>
                </m:r>
                <m:ctrlPr>
                  <w:rPr>
                    <w:rFonts w:ascii="Cambria Math" w:hAnsi="Cambria Math"/>
                  </w:rPr>
                </m:ctrlPr>
              </m:sup>
            </m:sSubSup>
            <m:r>
              <w:rPr>
                <w:rFonts w:ascii="Cambria Math" w:hAnsi="Cambria Math" w:cs="Cambria Math"/>
                <w:lang w:eastAsia="zh-CN"/>
              </w:rPr>
              <m:t>⋅</m:t>
            </m:r>
            <m:d>
              <m:dPr>
                <m:ctrlPr>
                  <w:rPr>
                    <w:rFonts w:ascii="Cambria Math" w:hAnsi="Cambria Math"/>
                    <w:i/>
                  </w:rPr>
                </m:ctrlPr>
              </m:dPr>
              <m:e>
                <m:sSubSup>
                  <m:sSubSupPr>
                    <m:ctrlPr>
                      <w:rPr>
                        <w:rFonts w:ascii="Cambria Math" w:hAnsi="Cambria Math"/>
                        <w:i/>
                      </w:rPr>
                    </m:ctrlPr>
                  </m:sSubSupPr>
                  <m:e>
                    <m:r>
                      <w:rPr>
                        <w:rFonts w:ascii="Cambria Math"/>
                      </w:rPr>
                      <m:t>V</m:t>
                    </m:r>
                  </m:e>
                  <m:sub>
                    <m:r>
                      <w:rPr>
                        <w:rFonts w:ascii="Cambria Math"/>
                      </w:rPr>
                      <m:t>C</m:t>
                    </m:r>
                    <m:r>
                      <w:rPr>
                        <w:rFonts w:ascii="Cambria Math"/>
                      </w:rPr>
                      <m:t>-</m:t>
                    </m:r>
                    <m:r>
                      <w:rPr>
                        <w:rFonts w:ascii="Cambria Math"/>
                      </w:rPr>
                      <m:t>DAI,c,m</m:t>
                    </m:r>
                  </m:sub>
                  <m:sup>
                    <m:r>
                      <w:rPr>
                        <w:rFonts w:ascii="Cambria Math"/>
                      </w:rPr>
                      <m:t>DL</m:t>
                    </m:r>
                  </m:sup>
                </m:sSubSup>
                <m:r>
                  <w:rPr>
                    <w:rFonts w:ascii="Cambria Math" w:hAnsi="Cambria Math"/>
                  </w:rPr>
                  <m:t>-1</m:t>
                </m:r>
              </m:e>
            </m:d>
            <m:r>
              <w:rPr>
                <w:rFonts w:ascii="Cambria Math" w:hAnsi="Cambria Math"/>
              </w:rPr>
              <m:t>+cnt</m:t>
            </m:r>
          </m:sub>
          <m:sup>
            <m:r>
              <w:rPr>
                <w:rFonts w:ascii="Cambria Math" w:hAnsi="Cambria Math"/>
              </w:rPr>
              <m:t>ACK</m:t>
            </m:r>
          </m:sup>
        </m:sSubSup>
      </m:oMath>
      <w:r w:rsidR="005575DD" w:rsidRPr="005575DD">
        <w:t xml:space="preserve"> </w:t>
      </w:r>
      <w:r w:rsidR="005575DD" w:rsidRPr="005575DD">
        <w:rPr>
          <w:rFonts w:hint="eastAsia"/>
          <w:lang w:eastAsia="zh-CN"/>
        </w:rPr>
        <w:t xml:space="preserve">= </w:t>
      </w:r>
      <w:r w:rsidR="005575DD" w:rsidRPr="005575DD">
        <w:t>HARQ-ACK information bit corresponding to the transport block of this cell</w:t>
      </w:r>
    </w:p>
    <w:p w14:paraId="343C1A45" w14:textId="77777777" w:rsidR="005575DD" w:rsidRPr="005575DD" w:rsidRDefault="005575DD" w:rsidP="00D470C1">
      <w:pPr>
        <w:pStyle w:val="B5"/>
        <w:ind w:left="2835"/>
      </w:pPr>
      <m:oMath>
        <m:r>
          <w:rPr>
            <w:rFonts w:ascii="Cambria Math" w:hAnsi="Cambria Math"/>
            <w:lang w:eastAsia="zh-CN"/>
          </w:rPr>
          <m:t>cnt=cnt+1</m:t>
        </m:r>
      </m:oMath>
      <w:r w:rsidRPr="005575DD">
        <w:rPr>
          <w:lang w:eastAsia="zh-CN"/>
        </w:rPr>
        <w:t>;</w:t>
      </w:r>
    </w:p>
    <w:p w14:paraId="00C89EB7" w14:textId="77777777" w:rsidR="005575DD" w:rsidRPr="005575DD" w:rsidRDefault="005575DD" w:rsidP="00D470C1">
      <w:pPr>
        <w:pStyle w:val="B5"/>
        <w:ind w:left="2552"/>
      </w:pPr>
      <w:r w:rsidRPr="005575DD">
        <w:t>end if</w:t>
      </w:r>
    </w:p>
    <w:p w14:paraId="2B7D7732" w14:textId="77777777" w:rsidR="005575DD" w:rsidRPr="005575DD" w:rsidRDefault="005575DD" w:rsidP="00D470C1">
      <w:pPr>
        <w:pStyle w:val="B5"/>
        <w:ind w:left="2268"/>
        <w:rPr>
          <w:lang w:eastAsia="zh-CN"/>
        </w:rPr>
      </w:pPr>
      <w:r w:rsidRPr="005575DD">
        <w:rPr>
          <w:lang w:eastAsia="zh-CN"/>
        </w:rPr>
        <w:t>end if</w:t>
      </w:r>
    </w:p>
    <w:p w14:paraId="07529328" w14:textId="77777777" w:rsidR="005575DD" w:rsidRPr="005575DD" w:rsidRDefault="005575DD" w:rsidP="00D470C1">
      <w:pPr>
        <w:pStyle w:val="B5"/>
        <w:ind w:left="2268"/>
        <w:rPr>
          <w:lang w:eastAsia="zh-CN"/>
        </w:rPr>
      </w:pPr>
      <m:oMath>
        <m:r>
          <w:rPr>
            <w:rFonts w:ascii="Cambria Math" w:hAnsi="Cambria Math"/>
            <w:lang w:eastAsia="zh-CN"/>
          </w:rPr>
          <m:t>mc=mc+1</m:t>
        </m:r>
      </m:oMath>
      <w:r w:rsidRPr="005575DD">
        <w:rPr>
          <w:lang w:eastAsia="zh-CN"/>
        </w:rPr>
        <w:t>;</w:t>
      </w:r>
    </w:p>
    <w:p w14:paraId="05E42A48" w14:textId="77777777" w:rsidR="005575DD" w:rsidRPr="005575DD" w:rsidRDefault="005575DD" w:rsidP="00C708CC">
      <w:pPr>
        <w:pStyle w:val="B5"/>
        <w:ind w:left="1985"/>
        <w:rPr>
          <w:lang w:eastAsia="zh-CN"/>
        </w:rPr>
      </w:pPr>
      <w:r w:rsidRPr="005575DD">
        <w:rPr>
          <w:lang w:eastAsia="zh-CN"/>
        </w:rPr>
        <w:t>end while</w:t>
      </w:r>
    </w:p>
    <w:p w14:paraId="1D36C597" w14:textId="77777777" w:rsidR="005575DD" w:rsidRPr="005575DD" w:rsidRDefault="005575DD" w:rsidP="00C708CC">
      <w:pPr>
        <w:pStyle w:val="B5"/>
        <w:ind w:left="1985"/>
        <w:rPr>
          <w:lang w:eastAsia="zh-CN"/>
        </w:rPr>
      </w:pPr>
      <w:r w:rsidRPr="005575DD">
        <w:rPr>
          <w:lang w:eastAsia="zh-CN"/>
        </w:rPr>
        <w:t xml:space="preserve">while </w:t>
      </w:r>
      <m:oMath>
        <m:r>
          <w:rPr>
            <w:rFonts w:ascii="Cambria Math" w:hAnsi="Cambria Math"/>
            <w:lang w:eastAsia="zh-CN"/>
          </w:rPr>
          <m:t xml:space="preserve">cnt&lt; </m:t>
        </m:r>
        <m:sSubSup>
          <m:sSubSupPr>
            <m:ctrlPr>
              <w:rPr>
                <w:rFonts w:ascii="Cambria Math" w:hAnsi="Cambria Math"/>
                <w:i/>
              </w:rPr>
            </m:ctrlPr>
          </m:sSubSupPr>
          <m:e>
            <m:r>
              <w:rPr>
                <w:rFonts w:ascii="Cambria Math" w:hAnsi="Cambria Math"/>
              </w:rPr>
              <m:t>N</m:t>
            </m:r>
          </m:e>
          <m:sub>
            <m:r>
              <m:rPr>
                <m:sty m:val="p"/>
              </m:rPr>
              <w:rPr>
                <w:rFonts w:ascii="Cambria Math" w:hAnsi="Cambria Math"/>
              </w:rPr>
              <m:t>sets</m:t>
            </m:r>
            <m:ctrlPr>
              <w:rPr>
                <w:rFonts w:ascii="Cambria Math" w:hAnsi="Cambria Math"/>
              </w:rPr>
            </m:ctrlPr>
          </m:sub>
          <m:sup>
            <m:r>
              <m:rPr>
                <m:nor/>
              </m:rPr>
              <w:rPr>
                <w:lang w:val="en-US"/>
              </w:rPr>
              <m:t>TB,max</m:t>
            </m:r>
            <m:ctrlPr>
              <w:rPr>
                <w:rFonts w:ascii="Cambria Math" w:hAnsi="Cambria Math"/>
              </w:rPr>
            </m:ctrlPr>
          </m:sup>
        </m:sSubSup>
      </m:oMath>
      <w:r w:rsidRPr="005575DD">
        <w:rPr>
          <w:lang w:eastAsia="zh-CN"/>
        </w:rPr>
        <w:t xml:space="preserve"> </w:t>
      </w:r>
    </w:p>
    <w:p w14:paraId="5947013E" w14:textId="62E7B009" w:rsidR="005575DD" w:rsidRPr="005575DD" w:rsidRDefault="00000000" w:rsidP="00D470C1">
      <w:pPr>
        <w:pStyle w:val="B5"/>
        <w:ind w:left="2268"/>
      </w:pP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o</m:t>
                </m:r>
              </m:e>
            </m:acc>
          </m:e>
          <m:sub>
            <m:sSub>
              <m:sSubPr>
                <m:ctrlPr>
                  <w:rPr>
                    <w:rFonts w:ascii="Cambria Math" w:hAnsi="Cambria Math"/>
                  </w:rPr>
                </m:ctrlPr>
              </m:sSubPr>
              <m:e>
                <m:sSubSup>
                  <m:sSubSupPr>
                    <m:ctrlPr>
                      <w:rPr>
                        <w:rFonts w:ascii="Cambria Math" w:hAnsi="Cambria Math"/>
                      </w:rPr>
                    </m:ctrlPr>
                  </m:sSubSupPr>
                  <m:e>
                    <m:r>
                      <w:rPr>
                        <w:rFonts w:ascii="Cambria Math" w:hAnsi="Cambria Math"/>
                      </w:rPr>
                      <m:t>N</m:t>
                    </m:r>
                  </m:e>
                  <m:sub>
                    <m:r>
                      <m:rPr>
                        <m:sty m:val="p"/>
                      </m:rPr>
                      <w:rPr>
                        <w:rFonts w:ascii="Cambria Math" w:hAnsi="Cambria Math"/>
                      </w:rPr>
                      <m:t>sets</m:t>
                    </m:r>
                  </m:sub>
                  <m:sup>
                    <m:r>
                      <m:rPr>
                        <m:nor/>
                      </m:rPr>
                      <w:rPr>
                        <w:lang w:val="en-US"/>
                      </w:rPr>
                      <m:t>TB,max</m:t>
                    </m:r>
                  </m:sup>
                </m:sSubSup>
                <m:r>
                  <m:rPr>
                    <m:sty m:val="p"/>
                  </m:rPr>
                  <w:rPr>
                    <w:rFonts w:ascii="Cambria Math" w:hAnsi="Cambria Math" w:cs="Cambria Math"/>
                    <w:lang w:eastAsia="zh-CN"/>
                  </w:rPr>
                  <m:t>⋅</m:t>
                </m:r>
                <m:r>
                  <w:rPr>
                    <w:rFonts w:ascii="Cambria Math" w:hAnsi="Cambria Math"/>
                  </w:rPr>
                  <m:t>T</m:t>
                </m:r>
              </m:e>
              <m:sub>
                <m:r>
                  <w:rPr>
                    <w:rFonts w:ascii="Cambria Math" w:hAnsi="Cambria Math"/>
                  </w:rPr>
                  <m:t>D</m:t>
                </m:r>
              </m:sub>
            </m:sSub>
            <m:r>
              <m:rPr>
                <m:sty m:val="p"/>
              </m:rPr>
              <w:rPr>
                <w:rFonts w:ascii="Cambria Math" w:hAnsi="Cambria Math" w:cs="Cambria Math"/>
                <w:lang w:eastAsia="zh-CN"/>
              </w:rPr>
              <m:t>⋅</m:t>
            </m:r>
            <m:r>
              <w:rPr>
                <w:rFonts w:ascii="Cambria Math" w:hAnsi="Cambria Math"/>
              </w:rPr>
              <m:t>j</m:t>
            </m:r>
            <m:r>
              <m:rPr>
                <m:sty m:val="p"/>
              </m:rPr>
              <w:rPr>
                <w:rFonts w:ascii="Cambria Math" w:hAnsi="Cambria Math"/>
              </w:rPr>
              <m:t>+</m:t>
            </m:r>
            <m:sSubSup>
              <m:sSubSupPr>
                <m:ctrlPr>
                  <w:rPr>
                    <w:rFonts w:ascii="Cambria Math" w:hAnsi="Cambria Math"/>
                  </w:rPr>
                </m:ctrlPr>
              </m:sSubSupPr>
              <m:e>
                <m:sSubSup>
                  <m:sSubSupPr>
                    <m:ctrlPr>
                      <w:rPr>
                        <w:rFonts w:ascii="Cambria Math" w:hAnsi="Cambria Math"/>
                      </w:rPr>
                    </m:ctrlPr>
                  </m:sSubSupPr>
                  <m:e>
                    <m:r>
                      <w:rPr>
                        <w:rFonts w:ascii="Cambria Math" w:hAnsi="Cambria Math"/>
                      </w:rPr>
                      <m:t>N</m:t>
                    </m:r>
                  </m:e>
                  <m:sub>
                    <m:r>
                      <m:rPr>
                        <m:sty m:val="p"/>
                      </m:rPr>
                      <w:rPr>
                        <w:rFonts w:ascii="Cambria Math" w:hAnsi="Cambria Math"/>
                      </w:rPr>
                      <m:t>sets</m:t>
                    </m:r>
                  </m:sub>
                  <m:sup>
                    <m:r>
                      <m:rPr>
                        <m:nor/>
                      </m:rPr>
                      <w:rPr>
                        <w:lang w:val="en-US"/>
                      </w:rPr>
                      <m:t>TB,max</m:t>
                    </m:r>
                  </m:sup>
                </m:sSubSup>
                <m:r>
                  <m:rPr>
                    <m:sty m:val="p"/>
                  </m:rPr>
                  <w:rPr>
                    <w:rFonts w:ascii="Cambria Math" w:hAnsi="Cambria Math" w:cs="Cambria Math"/>
                    <w:lang w:eastAsia="zh-CN"/>
                  </w:rPr>
                  <m:t>⋅</m:t>
                </m:r>
                <m:r>
                  <w:rPr>
                    <w:rFonts w:ascii="Cambria Math" w:hAnsi="Cambria Math"/>
                  </w:rPr>
                  <m:t>V</m:t>
                </m:r>
              </m:e>
              <m:sub>
                <m:r>
                  <w:rPr>
                    <w:rFonts w:ascii="Cambria Math" w:hAnsi="Cambria Math"/>
                  </w:rPr>
                  <m:t>C</m:t>
                </m:r>
                <m:r>
                  <m:rPr>
                    <m:sty m:val="p"/>
                  </m:rPr>
                  <w:rPr>
                    <w:rFonts w:ascii="Cambria Math" w:hAnsi="Cambria Math"/>
                  </w:rPr>
                  <m:t>-</m:t>
                </m:r>
                <m:r>
                  <w:rPr>
                    <w:rFonts w:ascii="Cambria Math" w:hAnsi="Cambria Math"/>
                  </w:rPr>
                  <m:t>DAI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m</m:t>
                </m:r>
              </m:sub>
              <m:sup>
                <m:r>
                  <w:rPr>
                    <w:rFonts w:ascii="Cambria Math" w:hAnsi="Cambria Math"/>
                  </w:rPr>
                  <m:t>DL</m:t>
                </m:r>
              </m:sup>
            </m:sSubSup>
            <m:r>
              <m:rPr>
                <m:sty m:val="p"/>
              </m:rPr>
              <w:rPr>
                <w:rFonts w:ascii="Cambria Math" w:hAnsi="Cambria Math"/>
              </w:rPr>
              <m:t>-1+</m:t>
            </m:r>
            <m:r>
              <w:rPr>
                <w:rFonts w:ascii="Cambria Math" w:hAnsi="Cambria Math"/>
              </w:rPr>
              <m:t>cnt</m:t>
            </m:r>
          </m:sub>
          <m:sup>
            <m:r>
              <w:rPr>
                <w:rFonts w:ascii="Cambria Math" w:hAnsi="Cambria Math"/>
              </w:rPr>
              <m:t>ACK</m:t>
            </m:r>
          </m:sup>
        </m:sSubSup>
      </m:oMath>
      <w:r w:rsidR="005575DD" w:rsidRPr="005575DD">
        <w:rPr>
          <w:rFonts w:hint="eastAsia"/>
          <w:lang w:eastAsia="zh-CN"/>
        </w:rPr>
        <w:t>=</w:t>
      </w:r>
      <w:r w:rsidR="005575DD" w:rsidRPr="005575DD">
        <w:t xml:space="preserve"> NACK;</w:t>
      </w:r>
    </w:p>
    <w:p w14:paraId="14077F61" w14:textId="77777777" w:rsidR="005575DD" w:rsidRPr="005575DD" w:rsidRDefault="005575DD" w:rsidP="00D470C1">
      <w:pPr>
        <w:pStyle w:val="B5"/>
        <w:ind w:left="2268"/>
        <w:rPr>
          <w:lang w:eastAsia="zh-CN"/>
        </w:rPr>
      </w:pPr>
      <m:oMath>
        <m:r>
          <w:rPr>
            <w:rFonts w:ascii="Cambria Math" w:hAnsi="Cambria Math"/>
            <w:lang w:eastAsia="zh-CN"/>
          </w:rPr>
          <m:t>cnt</m:t>
        </m:r>
        <m:r>
          <m:rPr>
            <m:sty m:val="p"/>
          </m:rPr>
          <w:rPr>
            <w:rFonts w:ascii="Cambria Math" w:hAnsi="Cambria Math"/>
            <w:lang w:eastAsia="zh-CN"/>
          </w:rPr>
          <m:t>=</m:t>
        </m:r>
        <m:r>
          <w:rPr>
            <w:rFonts w:ascii="Cambria Math" w:hAnsi="Cambria Math"/>
            <w:lang w:eastAsia="zh-CN"/>
          </w:rPr>
          <m:t>cnt</m:t>
        </m:r>
        <m:r>
          <m:rPr>
            <m:sty m:val="p"/>
          </m:rPr>
          <w:rPr>
            <w:rFonts w:ascii="Cambria Math" w:hAnsi="Cambria Math"/>
            <w:lang w:eastAsia="zh-CN"/>
          </w:rPr>
          <m:t>+1</m:t>
        </m:r>
      </m:oMath>
      <w:r w:rsidRPr="005575DD">
        <w:rPr>
          <w:lang w:eastAsia="zh-CN"/>
        </w:rPr>
        <w:t>;</w:t>
      </w:r>
    </w:p>
    <w:p w14:paraId="7EAE71EB" w14:textId="77777777" w:rsidR="005575DD" w:rsidRPr="005575DD" w:rsidRDefault="005575DD" w:rsidP="00C708CC">
      <w:pPr>
        <w:pStyle w:val="B5"/>
        <w:ind w:left="1985"/>
      </w:pPr>
      <w:r w:rsidRPr="005575DD">
        <w:t>end while</w:t>
      </w:r>
    </w:p>
    <w:p w14:paraId="055541BB" w14:textId="11458818" w:rsidR="005575DD" w:rsidRPr="005575DD" w:rsidRDefault="00000000" w:rsidP="00C708CC">
      <w:pPr>
        <w:pStyle w:val="B5"/>
        <w:ind w:left="1985"/>
        <w:rPr>
          <w:lang w:eastAsia="zh-CN"/>
        </w:rPr>
      </w:pP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s</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s</m:t>
            </m:r>
          </m:sub>
        </m:sSub>
        <m:r>
          <m:rPr>
            <m:sty m:val="p"/>
          </m:rPr>
          <w:rPr>
            <w:rFonts w:ascii="Cambria Math" w:hAnsi="Cambria Math" w:cs="Cambria Math"/>
            <w:lang w:eastAsia="zh-CN"/>
          </w:rPr>
          <m:t>∪</m:t>
        </m:r>
        <m:d>
          <m:dPr>
            <m:begChr m:val="{"/>
            <m:endChr m:val="}"/>
            <m:ctrlPr>
              <w:rPr>
                <w:rFonts w:ascii="Cambria Math" w:hAnsi="Cambria Math"/>
                <w:lang w:eastAsia="zh-CN"/>
              </w:rPr>
            </m:ctrlPr>
          </m:dPr>
          <m:e>
            <m:sSubSup>
              <m:sSubSupPr>
                <m:ctrlPr>
                  <w:rPr>
                    <w:rFonts w:ascii="Cambria Math" w:hAnsi="Cambria Math"/>
                    <w:i/>
                  </w:rPr>
                </m:ctrlPr>
              </m:sSubSupPr>
              <m:e>
                <m:r>
                  <w:rPr>
                    <w:rFonts w:ascii="Cambria Math" w:hAnsi="Cambria Math"/>
                  </w:rPr>
                  <m:t>N</m:t>
                </m:r>
              </m:e>
              <m:sub>
                <m:r>
                  <m:rPr>
                    <m:sty m:val="p"/>
                  </m:rPr>
                  <w:rPr>
                    <w:rFonts w:ascii="Cambria Math" w:hAnsi="Cambria Math"/>
                  </w:rPr>
                  <m:t>sets</m:t>
                </m:r>
                <m:ctrlPr>
                  <w:rPr>
                    <w:rFonts w:ascii="Cambria Math" w:hAnsi="Cambria Math"/>
                  </w:rPr>
                </m:ctrlPr>
              </m:sub>
              <m:sup>
                <m:r>
                  <m:rPr>
                    <m:nor/>
                  </m:rPr>
                  <w:rPr>
                    <w:lang w:val="en-US"/>
                  </w:rPr>
                  <m:t>TB,max</m:t>
                </m:r>
                <m:ctrlPr>
                  <w:rPr>
                    <w:rFonts w:ascii="Cambria Math" w:hAnsi="Cambria Math"/>
                  </w:rPr>
                </m:ctrlPr>
              </m:sup>
            </m:sSubSup>
            <m:r>
              <m:rPr>
                <m:sty m:val="p"/>
              </m:rPr>
              <w:rPr>
                <w:rFonts w:ascii="Cambria Math" w:hAnsi="Cambria Math" w:cs="Cambria Math"/>
                <w:lang w:eastAsia="zh-CN"/>
              </w:rPr>
              <m:t>⋅</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cs="Cambria Math"/>
                <w:lang w:eastAsia="zh-CN"/>
              </w:rPr>
              <m:t>⋅</m:t>
            </m:r>
            <m:r>
              <w:rPr>
                <w:rFonts w:ascii="Cambria Math" w:hAnsi="Cambria Math"/>
              </w:rPr>
              <m:t>j</m:t>
            </m:r>
            <m:r>
              <m:rPr>
                <m:sty m:val="p"/>
              </m:rPr>
              <w:rPr>
                <w:rFonts w:ascii="Cambria Math" w:hAnsi="Cambria Math"/>
                <w:lang w:eastAsia="zh-CN"/>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sets</m:t>
                </m:r>
                <m:ctrlPr>
                  <w:rPr>
                    <w:rFonts w:ascii="Cambria Math" w:hAnsi="Cambria Math"/>
                  </w:rPr>
                </m:ctrlPr>
              </m:sub>
              <m:sup>
                <m:r>
                  <m:rPr>
                    <m:nor/>
                  </m:rPr>
                  <w:rPr>
                    <w:lang w:val="en-US"/>
                  </w:rPr>
                  <m:t>TB,max</m:t>
                </m:r>
                <m:ctrlPr>
                  <w:rPr>
                    <w:rFonts w:ascii="Cambria Math" w:hAnsi="Cambria Math"/>
                  </w:rPr>
                </m:ctrlPr>
              </m:sup>
            </m:sSubSup>
            <m:r>
              <m:rPr>
                <m:sty m:val="p"/>
              </m:rPr>
              <w:rPr>
                <w:rFonts w:ascii="Cambria Math" w:hAnsi="Cambria Math" w:cs="Cambria Math"/>
                <w:lang w:eastAsia="zh-CN"/>
              </w:rPr>
              <m:t>⋅</m:t>
            </m:r>
            <m:d>
              <m:dPr>
                <m:ctrlPr>
                  <w:rPr>
                    <w:rFonts w:ascii="Cambria Math" w:hAnsi="Cambria Math"/>
                    <w:lang w:eastAsia="zh-CN"/>
                  </w:rPr>
                </m:ctrlPr>
              </m:dPr>
              <m:e>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C</m:t>
                    </m:r>
                    <m:r>
                      <m:rPr>
                        <m:nor/>
                      </m:rPr>
                      <w:rPr>
                        <w:lang w:eastAsia="zh-CN"/>
                      </w:rPr>
                      <m:t>-DAI</m:t>
                    </m:r>
                    <m:r>
                      <m:rPr>
                        <m:sty m:val="p"/>
                      </m:rPr>
                      <w:rPr>
                        <w:rFonts w:ascii="Cambria Math" w:hAnsi="Cambria Math"/>
                        <w:lang w:eastAsia="zh-CN"/>
                      </w:rPr>
                      <m:t>,</m:t>
                    </m:r>
                    <m:r>
                      <w:rPr>
                        <w:rFonts w:ascii="Cambria Math" w:hAnsi="Cambria Math"/>
                        <w:lang w:eastAsia="zh-CN"/>
                      </w:rPr>
                      <m:t>c</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r>
                  <m:rPr>
                    <m:sty m:val="p"/>
                  </m:rPr>
                  <w:rPr>
                    <w:rFonts w:ascii="Cambria Math" w:hAnsi="Cambria Math"/>
                    <w:lang w:eastAsia="zh-CN"/>
                  </w:rPr>
                  <m:t>-1</m:t>
                </m:r>
              </m:e>
            </m:d>
            <m:r>
              <m:rPr>
                <m:sty m:val="p"/>
              </m:rPr>
              <w:rPr>
                <w:rFonts w:ascii="Cambria Math" w:hAnsi="Cambria Math"/>
                <w:lang w:eastAsia="zh-CN"/>
              </w:rPr>
              <m:t>, …, </m:t>
            </m:r>
            <m:sSubSup>
              <m:sSubSupPr>
                <m:ctrlPr>
                  <w:rPr>
                    <w:rFonts w:ascii="Cambria Math" w:hAnsi="Cambria Math"/>
                    <w:i/>
                  </w:rPr>
                </m:ctrlPr>
              </m:sSubSupPr>
              <m:e>
                <m:r>
                  <w:rPr>
                    <w:rFonts w:ascii="Cambria Math" w:hAnsi="Cambria Math"/>
                  </w:rPr>
                  <m:t>N</m:t>
                </m:r>
              </m:e>
              <m:sub>
                <m:r>
                  <m:rPr>
                    <m:sty m:val="p"/>
                  </m:rPr>
                  <w:rPr>
                    <w:rFonts w:ascii="Cambria Math" w:hAnsi="Cambria Math"/>
                  </w:rPr>
                  <m:t>sets</m:t>
                </m:r>
                <m:ctrlPr>
                  <w:rPr>
                    <w:rFonts w:ascii="Cambria Math" w:hAnsi="Cambria Math"/>
                  </w:rPr>
                </m:ctrlPr>
              </m:sub>
              <m:sup>
                <m:r>
                  <m:rPr>
                    <m:nor/>
                  </m:rPr>
                  <w:rPr>
                    <w:lang w:val="en-US"/>
                  </w:rPr>
                  <m:t>TB,max</m:t>
                </m:r>
                <m:ctrlPr>
                  <w:rPr>
                    <w:rFonts w:ascii="Cambria Math" w:hAnsi="Cambria Math"/>
                  </w:rPr>
                </m:ctrlPr>
              </m:sup>
            </m:sSubSup>
            <m:r>
              <m:rPr>
                <m:sty m:val="p"/>
              </m:rPr>
              <w:rPr>
                <w:rFonts w:ascii="Cambria Math" w:hAnsi="Cambria Math" w:cs="Cambria Math"/>
                <w:lang w:eastAsia="zh-CN"/>
              </w:rPr>
              <m:t>⋅</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cs="Cambria Math"/>
                <w:lang w:eastAsia="zh-CN"/>
              </w:rPr>
              <m:t>⋅</m:t>
            </m:r>
            <m:r>
              <w:rPr>
                <w:rFonts w:ascii="Cambria Math" w:hAnsi="Cambria Math"/>
              </w:rPr>
              <m:t>j</m:t>
            </m:r>
            <m:r>
              <m:rPr>
                <m:sty m:val="p"/>
              </m:rPr>
              <w:rPr>
                <w:rFonts w:ascii="Cambria Math" w:hAnsi="Cambria Math"/>
                <w:lang w:eastAsia="zh-CN"/>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sets</m:t>
                </m:r>
                <m:ctrlPr>
                  <w:rPr>
                    <w:rFonts w:ascii="Cambria Math" w:hAnsi="Cambria Math"/>
                  </w:rPr>
                </m:ctrlPr>
              </m:sub>
              <m:sup>
                <m:r>
                  <m:rPr>
                    <m:nor/>
                  </m:rPr>
                  <w:rPr>
                    <w:lang w:val="en-US"/>
                  </w:rPr>
                  <m:t>TB,max</m:t>
                </m:r>
                <m:ctrlPr>
                  <w:rPr>
                    <w:rFonts w:ascii="Cambria Math" w:hAnsi="Cambria Math"/>
                  </w:rPr>
                </m:ctrlPr>
              </m:sup>
            </m:sSubSup>
            <m:r>
              <m:rPr>
                <m:sty m:val="p"/>
              </m:rPr>
              <w:rPr>
                <w:rFonts w:ascii="Cambria Math" w:hAnsi="Cambria Math" w:cs="Cambria Math"/>
                <w:lang w:eastAsia="zh-CN"/>
              </w:rPr>
              <m:t>⋅</m:t>
            </m:r>
            <m:d>
              <m:dPr>
                <m:ctrlPr>
                  <w:rPr>
                    <w:rFonts w:ascii="Cambria Math" w:hAnsi="Cambria Math"/>
                    <w:lang w:eastAsia="zh-CN"/>
                  </w:rPr>
                </m:ctrlPr>
              </m:dPr>
              <m:e>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C</m:t>
                    </m:r>
                    <m:r>
                      <m:rPr>
                        <m:nor/>
                      </m:rPr>
                      <w:rPr>
                        <w:lang w:eastAsia="zh-CN"/>
                      </w:rPr>
                      <m:t>-DAI</m:t>
                    </m:r>
                    <m:r>
                      <m:rPr>
                        <m:sty m:val="p"/>
                      </m:rPr>
                      <w:rPr>
                        <w:rFonts w:ascii="Cambria Math" w:hAnsi="Cambria Math"/>
                        <w:lang w:eastAsia="zh-CN"/>
                      </w:rPr>
                      <m:t>,</m:t>
                    </m:r>
                    <m:r>
                      <w:rPr>
                        <w:rFonts w:ascii="Cambria Math" w:hAnsi="Cambria Math"/>
                        <w:lang w:eastAsia="zh-CN"/>
                      </w:rPr>
                      <m:t>c</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r>
                  <m:rPr>
                    <m:sty m:val="p"/>
                  </m:rPr>
                  <w:rPr>
                    <w:rFonts w:ascii="Cambria Math" w:hAnsi="Cambria Math"/>
                    <w:lang w:eastAsia="zh-CN"/>
                  </w:rPr>
                  <m:t>-1</m:t>
                </m:r>
              </m:e>
            </m:d>
            <m:r>
              <m:rPr>
                <m:sty m:val="p"/>
              </m:rPr>
              <w:rPr>
                <w:rFonts w:ascii="Cambria Math" w:hAnsi="Cambria Math"/>
                <w:lang w:eastAsia="zh-CN"/>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sets</m:t>
                </m:r>
                <m:ctrlPr>
                  <w:rPr>
                    <w:rFonts w:ascii="Cambria Math" w:hAnsi="Cambria Math"/>
                  </w:rPr>
                </m:ctrlPr>
              </m:sub>
              <m:sup>
                <m:r>
                  <m:rPr>
                    <m:nor/>
                  </m:rPr>
                  <w:rPr>
                    <w:lang w:val="en-US"/>
                  </w:rPr>
                  <m:t>TB,max</m:t>
                </m:r>
                <m:ctrlPr>
                  <w:rPr>
                    <w:rFonts w:ascii="Cambria Math" w:hAnsi="Cambria Math"/>
                  </w:rPr>
                </m:ctrlPr>
              </m:sup>
            </m:sSubSup>
            <m:r>
              <w:rPr>
                <w:rFonts w:ascii="Cambria Math" w:hAnsi="Cambria Math"/>
                <w:lang w:eastAsia="zh-CN"/>
              </w:rPr>
              <m:t>-1</m:t>
            </m:r>
          </m:e>
        </m:d>
      </m:oMath>
      <w:r w:rsidR="005575DD" w:rsidRPr="005575DD">
        <w:rPr>
          <w:lang w:eastAsia="zh-CN"/>
        </w:rPr>
        <w:t>;</w:t>
      </w:r>
    </w:p>
    <w:p w14:paraId="32C75211" w14:textId="77777777" w:rsidR="005575DD" w:rsidRPr="005575DD" w:rsidRDefault="005575DD" w:rsidP="00D470C1">
      <w:pPr>
        <w:pStyle w:val="B5"/>
        <w:rPr>
          <w:lang w:eastAsia="zh-CN"/>
        </w:rPr>
      </w:pPr>
      <w:r w:rsidRPr="005575DD">
        <w:rPr>
          <w:lang w:eastAsia="zh-CN"/>
        </w:rPr>
        <w:t>end if</w:t>
      </w:r>
    </w:p>
    <w:p w14:paraId="49196AD0" w14:textId="77777777" w:rsidR="00DB4B1B" w:rsidRDefault="00DB4B1B" w:rsidP="00DB4B1B">
      <w:pPr>
        <w:pStyle w:val="B5"/>
        <w:rPr>
          <w:lang w:eastAsia="zh-CN"/>
        </w:rPr>
      </w:pPr>
      <m:oMath>
        <m:r>
          <w:rPr>
            <w:rFonts w:ascii="Cambria Math" w:hAnsi="Cambria Math"/>
            <w:lang w:eastAsia="zh-CN"/>
          </w:rPr>
          <m:t>c</m:t>
        </m:r>
        <m:r>
          <m:rPr>
            <m:sty m:val="p"/>
          </m:rPr>
          <w:rPr>
            <w:rFonts w:ascii="Cambria Math" w:hAnsi="Cambria Math"/>
            <w:lang w:eastAsia="zh-CN"/>
          </w:rPr>
          <m:t>=</m:t>
        </m:r>
        <m:r>
          <w:rPr>
            <w:rFonts w:ascii="Cambria Math" w:hAnsi="Cambria Math"/>
            <w:lang w:eastAsia="zh-CN"/>
          </w:rPr>
          <m:t>c</m:t>
        </m:r>
        <m:r>
          <m:rPr>
            <m:sty m:val="p"/>
          </m:rPr>
          <w:rPr>
            <w:rFonts w:ascii="Cambria Math" w:hAnsi="Cambria Math"/>
            <w:lang w:eastAsia="zh-CN"/>
          </w:rPr>
          <m:t>+1</m:t>
        </m:r>
      </m:oMath>
      <w:r w:rsidRPr="00DB4B1B">
        <w:rPr>
          <w:lang w:eastAsia="zh-CN"/>
        </w:rPr>
        <w:t>;</w:t>
      </w:r>
    </w:p>
    <w:p w14:paraId="41B53B19" w14:textId="5812A312" w:rsidR="00DB4B1B" w:rsidRPr="00DB4B1B" w:rsidRDefault="00DB4B1B" w:rsidP="00DB4B1B">
      <w:pPr>
        <w:pStyle w:val="B4"/>
        <w:rPr>
          <w:lang w:eastAsia="zh-CN"/>
        </w:rPr>
      </w:pPr>
      <w:r w:rsidRPr="005575DD">
        <w:rPr>
          <w:lang w:eastAsia="zh-CN"/>
        </w:rPr>
        <w:t>end if</w:t>
      </w:r>
    </w:p>
    <w:p w14:paraId="6885ECA8" w14:textId="77777777" w:rsidR="005575DD" w:rsidRPr="005575DD" w:rsidRDefault="005575DD" w:rsidP="00D470C1">
      <w:pPr>
        <w:pStyle w:val="B3"/>
        <w:rPr>
          <w:lang w:eastAsia="zh-CN"/>
        </w:rPr>
      </w:pPr>
      <w:r w:rsidRPr="005575DD">
        <w:rPr>
          <w:lang w:eastAsia="zh-CN"/>
        </w:rPr>
        <w:t>end while</w:t>
      </w:r>
    </w:p>
    <w:p w14:paraId="74D4C7E3" w14:textId="77777777" w:rsidR="005575DD" w:rsidRPr="005575DD" w:rsidRDefault="005575DD" w:rsidP="0042167F">
      <w:pPr>
        <w:pStyle w:val="B2"/>
        <w:rPr>
          <w:lang w:eastAsia="zh-CN"/>
        </w:rPr>
      </w:pPr>
      <w:r w:rsidRPr="005575DD">
        <w:rPr>
          <w:lang w:eastAsia="zh-CN"/>
        </w:rPr>
        <w:t>else</w:t>
      </w:r>
    </w:p>
    <w:p w14:paraId="0B53244F" w14:textId="77777777" w:rsidR="00DB4B1B" w:rsidRPr="00DB4B1B" w:rsidRDefault="00DB4B1B" w:rsidP="00DB4B1B">
      <w:pPr>
        <w:pStyle w:val="B3"/>
        <w:rPr>
          <w:rFonts w:eastAsia="Times New Roman"/>
          <w:lang w:eastAsia="zh-CN"/>
        </w:rPr>
      </w:pPr>
      <w:r w:rsidRPr="00DB4B1B">
        <w:rPr>
          <w:rFonts w:eastAsia="Times New Roman"/>
        </w:rPr>
        <w:lastRenderedPageBreak/>
        <w:t xml:space="preserve">while </w:t>
      </w:r>
      <m:oMath>
        <m:sSubSup>
          <m:sSubSupPr>
            <m:ctrlPr>
              <w:rPr>
                <w:rFonts w:ascii="Cambria Math" w:hAnsi="Cambria Math"/>
                <w:i/>
              </w:rPr>
            </m:ctrlPr>
          </m:sSubSupPr>
          <m:e>
            <m:r>
              <w:rPr>
                <w:rFonts w:ascii="Cambria Math" w:hAnsi="Cambria Math"/>
              </w:rPr>
              <m:t>c&lt;N</m:t>
            </m:r>
          </m:e>
          <m:sub>
            <m:r>
              <m:rPr>
                <m:sty m:val="p"/>
              </m:rPr>
              <w:rPr>
                <w:rFonts w:ascii="Cambria Math" w:hAnsi="Cambria Math"/>
              </w:rPr>
              <m:t>cells</m:t>
            </m:r>
            <m:ctrlPr>
              <w:rPr>
                <w:rFonts w:ascii="Cambria Math" w:hAnsi="Cambria Math"/>
              </w:rPr>
            </m:ctrlPr>
          </m:sub>
          <m:sup>
            <m:r>
              <m:rPr>
                <m:nor/>
              </m:rPr>
              <m:t>DL</m:t>
            </m:r>
            <m:ctrlPr>
              <w:rPr>
                <w:rFonts w:ascii="Cambria Math" w:hAnsi="Cambria Math"/>
              </w:rPr>
            </m:ctrlPr>
          </m:sup>
        </m:sSubSup>
      </m:oMath>
    </w:p>
    <w:p w14:paraId="0FA4A812" w14:textId="77777777" w:rsidR="00DB4B1B" w:rsidRPr="00DB4B1B" w:rsidRDefault="00DB4B1B" w:rsidP="00DB4B1B">
      <w:pPr>
        <w:pStyle w:val="B4"/>
        <w:ind w:left="1134" w:firstLine="0"/>
        <w:rPr>
          <w:iCs/>
        </w:rPr>
      </w:pPr>
      <w:r w:rsidRPr="00DB4B1B">
        <w:t xml:space="preserve">if PDCCH monitoring occasion </w:t>
      </w:r>
      <m:oMath>
        <m:r>
          <w:rPr>
            <w:rFonts w:ascii="Cambria Math" w:hAnsi="Cambria Math"/>
          </w:rPr>
          <m:t>m</m:t>
        </m:r>
      </m:oMath>
      <w:r w:rsidRPr="00DB4B1B">
        <w:t xml:space="preserve"> is before an active UL BWP change on the serving cell of PUCCH transmission if the UE is provided </w:t>
      </w:r>
      <w:r w:rsidRPr="00DB4B1B">
        <w:rPr>
          <w:i/>
        </w:rPr>
        <w:t>pucch-sSCellDyn</w:t>
      </w:r>
      <w:r w:rsidRPr="00DB4B1B">
        <w:t xml:space="preserve">, or an active UL BWP change on the PCell if the UE is not provided </w:t>
      </w:r>
      <w:r w:rsidRPr="00DB4B1B">
        <w:rPr>
          <w:i/>
        </w:rPr>
        <w:t>pucch-sSCellDyn</w:t>
      </w:r>
    </w:p>
    <w:p w14:paraId="3AD064F3" w14:textId="032DB0AE" w:rsidR="00DB4B1B" w:rsidRPr="00DB4B1B" w:rsidRDefault="00DB4B1B" w:rsidP="00DB4B1B">
      <w:pPr>
        <w:pStyle w:val="B5"/>
        <w:rPr>
          <w:lang w:val="en-US"/>
        </w:rPr>
      </w:pPr>
      <m:oMath>
        <m:r>
          <w:rPr>
            <w:rFonts w:ascii="Cambria Math" w:hAnsi="Cambria Math"/>
          </w:rPr>
          <m:t>c</m:t>
        </m:r>
        <m:r>
          <m:rPr>
            <m:sty m:val="p"/>
          </m:rPr>
          <w:rPr>
            <w:rFonts w:ascii="Cambria Math" w:hAnsi="Cambria Math"/>
          </w:rPr>
          <m:t>=</m:t>
        </m:r>
        <m:r>
          <w:rPr>
            <w:rFonts w:ascii="Cambria Math" w:hAnsi="Cambria Math"/>
          </w:rPr>
          <m:t>c</m:t>
        </m:r>
        <m:r>
          <m:rPr>
            <m:sty m:val="p"/>
          </m:rPr>
          <w:rPr>
            <w:rFonts w:ascii="Cambria Math" w:hAnsi="Cambria Math"/>
          </w:rPr>
          <m:t>+1</m:t>
        </m:r>
      </m:oMath>
      <w:r w:rsidRPr="00DB4B1B">
        <w:rPr>
          <w:lang w:val="en-US"/>
        </w:rPr>
        <w:t>;</w:t>
      </w:r>
    </w:p>
    <w:p w14:paraId="67BD90C5" w14:textId="77777777" w:rsidR="00DB4B1B" w:rsidRPr="00DB4B1B" w:rsidRDefault="00DB4B1B" w:rsidP="00DB4B1B">
      <w:pPr>
        <w:pStyle w:val="B4"/>
      </w:pPr>
      <w:r w:rsidRPr="00DB4B1B">
        <w:t>else</w:t>
      </w:r>
    </w:p>
    <w:p w14:paraId="6E67D53E" w14:textId="7CCBFF77" w:rsidR="00DB4B1B" w:rsidRPr="00DB4B1B" w:rsidRDefault="00DB4B1B" w:rsidP="00DB4B1B">
      <w:pPr>
        <w:pStyle w:val="B5"/>
        <w:ind w:left="1418" w:firstLine="0"/>
        <w:rPr>
          <w:lang w:eastAsia="zh-CN"/>
        </w:rPr>
      </w:pPr>
      <w:r w:rsidRPr="00DB4B1B">
        <w:rPr>
          <w:rFonts w:hint="eastAsia"/>
          <w:lang w:eastAsia="zh-CN"/>
        </w:rPr>
        <w:t xml:space="preserve">if there </w:t>
      </w:r>
      <w:r w:rsidRPr="00DB4B1B">
        <w:rPr>
          <w:lang w:eastAsia="zh-CN"/>
        </w:rPr>
        <w:t xml:space="preserve">is a PDSCH reception on serving cell </w:t>
      </w:r>
      <m:oMath>
        <m:r>
          <w:rPr>
            <w:rFonts w:ascii="Cambria Math" w:hAnsi="Cambria Math"/>
          </w:rPr>
          <m:t>c</m:t>
        </m:r>
      </m:oMath>
      <w:r w:rsidRPr="00DB4B1B">
        <w:rPr>
          <w:lang w:eastAsia="zh-CN"/>
        </w:rPr>
        <w:t xml:space="preserve"> that is scheduled by a DCI format scheduling more than one</w:t>
      </w:r>
      <w:r w:rsidRPr="00DB4B1B">
        <w:rPr>
          <w:rFonts w:hint="eastAsia"/>
          <w:lang w:eastAsia="zh-CN"/>
        </w:rPr>
        <w:t xml:space="preserve"> PDSCH</w:t>
      </w:r>
      <w:r w:rsidRPr="00DB4B1B">
        <w:rPr>
          <w:lang w:eastAsia="zh-CN"/>
        </w:rPr>
        <w:t xml:space="preserve">s that provide respective more than one </w:t>
      </w:r>
      <w:r w:rsidRPr="00DB4B1B">
        <w:t>transport blocks with enabled HARQ-ACK information</w:t>
      </w:r>
      <w:r w:rsidRPr="00DB4B1B">
        <w:rPr>
          <w:rFonts w:hint="eastAsia"/>
          <w:lang w:eastAsia="zh-CN"/>
        </w:rPr>
        <w:t xml:space="preserve"> on </w:t>
      </w:r>
      <w:r w:rsidRPr="00DB4B1B">
        <w:rPr>
          <w:lang w:eastAsia="zh-CN"/>
        </w:rPr>
        <w:t xml:space="preserve">respective more than one </w:t>
      </w:r>
      <w:r w:rsidRPr="00DB4B1B">
        <w:rPr>
          <w:rFonts w:hint="eastAsia"/>
          <w:lang w:eastAsia="zh-CN"/>
        </w:rPr>
        <w:t>serving cell</w:t>
      </w:r>
      <w:r w:rsidRPr="00DB4B1B">
        <w:rPr>
          <w:lang w:eastAsia="zh-CN"/>
        </w:rPr>
        <w:t>s, where the DCI format is</w:t>
      </w:r>
      <w:r w:rsidRPr="00DB4B1B">
        <w:rPr>
          <w:rFonts w:hint="eastAsia"/>
          <w:lang w:eastAsia="zh-CN"/>
        </w:rPr>
        <w:t xml:space="preserve"> associated with </w:t>
      </w:r>
      <w:r w:rsidRPr="00DB4B1B">
        <w:rPr>
          <w:lang w:eastAsia="zh-CN"/>
        </w:rPr>
        <w:t xml:space="preserve">a </w:t>
      </w:r>
      <w:r w:rsidRPr="00DB4B1B">
        <w:rPr>
          <w:rFonts w:hint="eastAsia"/>
          <w:lang w:eastAsia="zh-CN"/>
        </w:rPr>
        <w:t xml:space="preserve">PDCCH </w:t>
      </w:r>
      <w:r w:rsidRPr="00DB4B1B">
        <w:rPr>
          <w:lang w:eastAsia="zh-CN"/>
        </w:rPr>
        <w:t xml:space="preserve">reception </w:t>
      </w:r>
      <w:r w:rsidRPr="00DB4B1B">
        <w:rPr>
          <w:rFonts w:hint="eastAsia"/>
          <w:lang w:eastAsia="zh-CN"/>
        </w:rPr>
        <w:t xml:space="preserve">in </w:t>
      </w:r>
      <w:r w:rsidRPr="00DB4B1B">
        <w:rPr>
          <w:lang w:eastAsia="zh-CN"/>
        </w:rPr>
        <w:t xml:space="preserve">PDCCH monitoring occasion </w:t>
      </w:r>
      <m:oMath>
        <m:r>
          <w:rPr>
            <w:rFonts w:ascii="Cambria Math" w:hAnsi="Cambria Math"/>
          </w:rPr>
          <m:t>m</m:t>
        </m:r>
      </m:oMath>
      <w:r w:rsidRPr="00DB4B1B">
        <w:t xml:space="preserve"> </w:t>
      </w:r>
      <w:r w:rsidRPr="00DB4B1B">
        <w:rPr>
          <w:lang w:eastAsia="zh-CN"/>
        </w:rPr>
        <w:t xml:space="preserve">and </w:t>
      </w:r>
      <w:r w:rsidRPr="00DB4B1B">
        <w:rPr>
          <w:i/>
          <w:lang w:eastAsia="zh-CN"/>
        </w:rPr>
        <w:t>c</w:t>
      </w:r>
      <w:r w:rsidRPr="00DB4B1B">
        <w:rPr>
          <w:lang w:eastAsia="zh-CN"/>
        </w:rPr>
        <w:t xml:space="preserve"> is the smallest serving cell index among the more than one serving cells</w:t>
      </w:r>
    </w:p>
    <w:p w14:paraId="455C1F69" w14:textId="2F3A3EB9" w:rsidR="005575DD" w:rsidRPr="005575DD" w:rsidRDefault="005575DD" w:rsidP="00716FE0">
      <w:pPr>
        <w:pStyle w:val="B5"/>
        <w:ind w:left="1985"/>
        <w:rPr>
          <w:lang w:eastAsia="zh-CN"/>
        </w:rPr>
      </w:pPr>
      <w:r w:rsidRPr="005575DD">
        <w:rPr>
          <w:rFonts w:hint="eastAsia"/>
          <w:lang w:eastAsia="zh-CN"/>
        </w:rPr>
        <w:t xml:space="preserve">if </w:t>
      </w:r>
      <m:oMath>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C</m:t>
            </m:r>
            <m:r>
              <m:rPr>
                <m:sty m:val="p"/>
              </m:rPr>
              <w:rPr>
                <w:rFonts w:ascii="Cambria Math" w:hAnsi="Cambria Math"/>
                <w:lang w:eastAsia="zh-CN"/>
              </w:rPr>
              <m:t>-</m:t>
            </m:r>
            <m:r>
              <m:rPr>
                <m:nor/>
              </m:rPr>
              <w:rPr>
                <w:lang w:eastAsia="zh-CN"/>
              </w:rPr>
              <m:t>DAI</m:t>
            </m:r>
            <m:r>
              <m:rPr>
                <m:sty m:val="p"/>
              </m:rPr>
              <w:rPr>
                <w:rFonts w:ascii="Cambria Math" w:hAnsi="Cambria Math"/>
                <w:lang w:eastAsia="zh-CN"/>
              </w:rPr>
              <m:t>,</m:t>
            </m:r>
            <m:r>
              <w:rPr>
                <w:rFonts w:ascii="Cambria Math" w:hAnsi="Cambria Math"/>
                <w:lang w:eastAsia="zh-CN"/>
              </w:rPr>
              <m:t>c</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m:t>
            </m:r>
          </m:sub>
        </m:sSub>
      </m:oMath>
    </w:p>
    <w:p w14:paraId="7A2DE75E" w14:textId="77777777" w:rsidR="005575DD" w:rsidRPr="005575DD" w:rsidRDefault="005575DD" w:rsidP="00716FE0">
      <w:pPr>
        <w:pStyle w:val="B5"/>
        <w:ind w:left="2268"/>
        <w:rPr>
          <w:lang w:eastAsia="zh-CN"/>
        </w:rPr>
      </w:pPr>
      <m:oMath>
        <m:r>
          <w:rPr>
            <w:rFonts w:ascii="Cambria Math" w:hAnsi="Cambria Math"/>
            <w:lang w:eastAsia="zh-CN"/>
          </w:rPr>
          <m:t>j</m:t>
        </m:r>
        <m:r>
          <m:rPr>
            <m:sty m:val="p"/>
          </m:rPr>
          <w:rPr>
            <w:rFonts w:ascii="Cambria Math" w:hAnsi="Cambria Math"/>
            <w:lang w:eastAsia="zh-CN"/>
          </w:rPr>
          <m:t>=</m:t>
        </m:r>
        <m:r>
          <w:rPr>
            <w:rFonts w:ascii="Cambria Math" w:hAnsi="Cambria Math"/>
            <w:lang w:eastAsia="zh-CN"/>
          </w:rPr>
          <m:t>j</m:t>
        </m:r>
        <m:r>
          <m:rPr>
            <m:sty m:val="p"/>
          </m:rPr>
          <w:rPr>
            <w:rFonts w:ascii="Cambria Math" w:hAnsi="Cambria Math"/>
            <w:lang w:eastAsia="zh-CN"/>
          </w:rPr>
          <m:t>+1</m:t>
        </m:r>
      </m:oMath>
      <w:r w:rsidRPr="005575DD">
        <w:rPr>
          <w:lang w:eastAsia="zh-CN"/>
        </w:rPr>
        <w:t xml:space="preserve">; </w:t>
      </w:r>
    </w:p>
    <w:p w14:paraId="4E11F463" w14:textId="77777777" w:rsidR="005575DD" w:rsidRPr="005575DD" w:rsidRDefault="005575DD" w:rsidP="00716FE0">
      <w:pPr>
        <w:pStyle w:val="B5"/>
        <w:ind w:left="1985"/>
        <w:rPr>
          <w:rFonts w:cs="Arial"/>
          <w:lang w:eastAsia="zh-CN"/>
        </w:rPr>
      </w:pPr>
      <w:r w:rsidRPr="005575DD">
        <w:rPr>
          <w:rFonts w:hint="eastAsia"/>
          <w:lang w:eastAsia="zh-CN"/>
        </w:rPr>
        <w:t>end if</w:t>
      </w:r>
    </w:p>
    <w:p w14:paraId="21D961E4" w14:textId="5BCF1A19" w:rsidR="005575DD" w:rsidRPr="005575DD" w:rsidRDefault="00000000" w:rsidP="00716FE0">
      <w:pPr>
        <w:pStyle w:val="B5"/>
        <w:ind w:left="1985"/>
        <w:rPr>
          <w:lang w:eastAsia="zh-CN"/>
        </w:rPr>
      </w:pP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m:t>
            </m:r>
          </m:sub>
        </m:sSub>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C</m:t>
            </m:r>
            <m:r>
              <m:rPr>
                <m:sty m:val="p"/>
              </m:rPr>
              <w:rPr>
                <w:rFonts w:ascii="Cambria Math" w:hAnsi="Cambria Math"/>
                <w:lang w:eastAsia="zh-CN"/>
              </w:rPr>
              <m:t>-</m:t>
            </m:r>
            <m:r>
              <m:rPr>
                <m:nor/>
              </m:rPr>
              <w:rPr>
                <w:lang w:eastAsia="zh-CN"/>
              </w:rPr>
              <m:t>DAI</m:t>
            </m:r>
            <m:r>
              <m:rPr>
                <m:sty m:val="p"/>
              </m:rPr>
              <w:rPr>
                <w:rFonts w:ascii="Cambria Math" w:hAnsi="Cambria Math"/>
                <w:lang w:eastAsia="zh-CN"/>
              </w:rPr>
              <m:t>,</m:t>
            </m:r>
            <m:r>
              <w:rPr>
                <w:rFonts w:ascii="Cambria Math" w:hAnsi="Cambria Math"/>
                <w:lang w:eastAsia="zh-CN"/>
              </w:rPr>
              <m:t>c</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oMath>
      <w:r w:rsidR="005575DD" w:rsidRPr="005575DD">
        <w:rPr>
          <w:lang w:eastAsia="zh-CN"/>
        </w:rPr>
        <w:t xml:space="preserve">; </w:t>
      </w:r>
    </w:p>
    <w:p w14:paraId="2B8D3F32" w14:textId="77777777" w:rsidR="005575DD" w:rsidRPr="005575DD" w:rsidRDefault="005575DD" w:rsidP="00716FE0">
      <w:pPr>
        <w:pStyle w:val="B5"/>
        <w:ind w:left="1985"/>
        <w:rPr>
          <w:lang w:eastAsia="zh-CN"/>
        </w:rPr>
      </w:pPr>
      <w:r w:rsidRPr="005575DD">
        <w:rPr>
          <w:lang w:eastAsia="zh-CN"/>
        </w:rPr>
        <w:t xml:space="preserve">if </w:t>
      </w:r>
      <m:oMath>
        <m:sSubSup>
          <m:sSubSupPr>
            <m:ctrlPr>
              <w:rPr>
                <w:rFonts w:ascii="Cambria Math" w:hAnsi="Cambria Math"/>
                <w:lang w:eastAsia="zh-CN"/>
              </w:rPr>
            </m:ctrlPr>
          </m:sSubSupPr>
          <m:e>
            <m:r>
              <w:rPr>
                <w:rFonts w:ascii="Cambria Math" w:hAnsi="Cambria Math"/>
                <w:lang w:eastAsia="zh-CN"/>
              </w:rPr>
              <m:t>V</m:t>
            </m:r>
          </m:e>
          <m:sub>
            <m:r>
              <m:rPr>
                <m:nor/>
              </m:rPr>
              <w:rPr>
                <w:lang w:eastAsia="zh-CN"/>
              </w:rPr>
              <m:t>T-DAI</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r>
          <m:rPr>
            <m:sty m:val="p"/>
          </m:rPr>
          <w:rPr>
            <w:rFonts w:ascii="Cambria Math" w:hAnsi="Cambria Math"/>
            <w:lang w:eastAsia="zh-CN"/>
          </w:rPr>
          <m:t>=∅</m:t>
        </m:r>
      </m:oMath>
    </w:p>
    <w:p w14:paraId="64BE330F" w14:textId="26DE9CE4" w:rsidR="005575DD" w:rsidRPr="005575DD" w:rsidRDefault="00000000" w:rsidP="00716FE0">
      <w:pPr>
        <w:pStyle w:val="B5"/>
        <w:ind w:left="2268"/>
        <w:rPr>
          <w:lang w:eastAsia="zh-CN"/>
        </w:rPr>
      </w:pP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m:t>
            </m:r>
            <m:r>
              <m:rPr>
                <m:sty m:val="p"/>
              </m:rPr>
              <w:rPr>
                <w:rFonts w:ascii="Cambria Math" w:hAnsi="Cambria Math"/>
                <w:lang w:eastAsia="zh-CN"/>
              </w:rPr>
              <m:t>,2</m:t>
            </m:r>
          </m:sub>
        </m:sSub>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C</m:t>
            </m:r>
            <m:r>
              <m:rPr>
                <m:sty m:val="p"/>
              </m:rPr>
              <w:rPr>
                <w:rFonts w:ascii="Cambria Math" w:hAnsi="Cambria Math"/>
                <w:lang w:eastAsia="zh-CN"/>
              </w:rPr>
              <m:t>-</m:t>
            </m:r>
            <m:r>
              <m:rPr>
                <m:nor/>
              </m:rPr>
              <w:rPr>
                <w:lang w:eastAsia="zh-CN"/>
              </w:rPr>
              <m:t>DAI</m:t>
            </m:r>
            <m:r>
              <m:rPr>
                <m:sty m:val="p"/>
              </m:rPr>
              <w:rPr>
                <w:rFonts w:ascii="Cambria Math" w:hAnsi="Cambria Math"/>
                <w:lang w:eastAsia="zh-CN"/>
              </w:rPr>
              <m:t>,</m:t>
            </m:r>
            <m:r>
              <w:rPr>
                <w:rFonts w:ascii="Cambria Math" w:hAnsi="Cambria Math"/>
                <w:lang w:eastAsia="zh-CN"/>
              </w:rPr>
              <m:t>c</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oMath>
      <w:r w:rsidR="005575DD" w:rsidRPr="005575DD">
        <w:rPr>
          <w:lang w:eastAsia="zh-CN"/>
        </w:rPr>
        <w:t xml:space="preserve">; </w:t>
      </w:r>
    </w:p>
    <w:p w14:paraId="6FB9B4BE" w14:textId="77777777" w:rsidR="005575DD" w:rsidRPr="005575DD" w:rsidRDefault="005575DD" w:rsidP="00716FE0">
      <w:pPr>
        <w:pStyle w:val="B5"/>
        <w:ind w:left="1985"/>
        <w:rPr>
          <w:lang w:eastAsia="zh-CN"/>
        </w:rPr>
      </w:pPr>
      <w:r w:rsidRPr="005575DD">
        <w:rPr>
          <w:lang w:eastAsia="zh-CN"/>
        </w:rPr>
        <w:t xml:space="preserve">else </w:t>
      </w:r>
    </w:p>
    <w:p w14:paraId="4257C540" w14:textId="77777777" w:rsidR="005575DD" w:rsidRPr="005575DD" w:rsidRDefault="00000000" w:rsidP="00716FE0">
      <w:pPr>
        <w:pStyle w:val="B5"/>
        <w:ind w:left="2268"/>
        <w:rPr>
          <w:lang w:eastAsia="zh-CN"/>
        </w:rPr>
      </w:pP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m:t>
            </m:r>
            <m:r>
              <m:rPr>
                <m:sty m:val="p"/>
              </m:rPr>
              <w:rPr>
                <w:rFonts w:ascii="Cambria Math" w:hAnsi="Cambria Math"/>
                <w:lang w:eastAsia="zh-CN"/>
              </w:rPr>
              <m:t>,2</m:t>
            </m:r>
          </m:sub>
        </m:sSub>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T</m:t>
            </m:r>
            <m:r>
              <m:rPr>
                <m:sty m:val="p"/>
              </m:rPr>
              <w:rPr>
                <w:rFonts w:ascii="Cambria Math" w:hAnsi="Cambria Math"/>
                <w:lang w:eastAsia="zh-CN"/>
              </w:rPr>
              <m:t>-</m:t>
            </m:r>
            <m:r>
              <m:rPr>
                <m:nor/>
              </m:rPr>
              <w:rPr>
                <w:lang w:eastAsia="zh-CN"/>
              </w:rPr>
              <m:t>DAI</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oMath>
      <w:r w:rsidR="005575DD" w:rsidRPr="005575DD">
        <w:rPr>
          <w:lang w:eastAsia="zh-CN"/>
        </w:rPr>
        <w:t>;</w:t>
      </w:r>
    </w:p>
    <w:p w14:paraId="3C36F534" w14:textId="77777777" w:rsidR="005575DD" w:rsidRPr="005575DD" w:rsidRDefault="005575DD" w:rsidP="00716FE0">
      <w:pPr>
        <w:pStyle w:val="B5"/>
        <w:ind w:left="1985"/>
        <w:rPr>
          <w:lang w:eastAsia="zh-CN"/>
        </w:rPr>
      </w:pPr>
      <w:r w:rsidRPr="005575DD">
        <w:rPr>
          <w:lang w:eastAsia="zh-CN"/>
        </w:rPr>
        <w:t>end if</w:t>
      </w:r>
    </w:p>
    <w:p w14:paraId="23699446" w14:textId="77777777" w:rsidR="005575DD" w:rsidRPr="005575DD" w:rsidRDefault="005575DD" w:rsidP="00716FE0">
      <w:pPr>
        <w:pStyle w:val="B5"/>
        <w:ind w:left="1985"/>
        <w:rPr>
          <w:lang w:eastAsia="zh-CN"/>
        </w:rPr>
      </w:pPr>
      <m:oMath>
        <m:r>
          <w:rPr>
            <w:rFonts w:ascii="Cambria Math" w:hAnsi="Cambria Math"/>
            <w:lang w:eastAsia="zh-CN"/>
          </w:rPr>
          <m:t>cnt</m:t>
        </m:r>
        <m:r>
          <m:rPr>
            <m:sty m:val="p"/>
          </m:rPr>
          <w:rPr>
            <w:rFonts w:ascii="Cambria Math" w:hAnsi="Cambria Math"/>
            <w:lang w:eastAsia="zh-CN"/>
          </w:rPr>
          <m:t>=0</m:t>
        </m:r>
      </m:oMath>
      <w:r w:rsidRPr="005575DD">
        <w:rPr>
          <w:lang w:eastAsia="zh-CN"/>
        </w:rPr>
        <w:t>;</w:t>
      </w:r>
    </w:p>
    <w:p w14:paraId="246A06BE" w14:textId="77777777" w:rsidR="005575DD" w:rsidRPr="005575DD" w:rsidRDefault="005575DD" w:rsidP="00716FE0">
      <w:pPr>
        <w:pStyle w:val="B5"/>
        <w:ind w:left="1985"/>
        <w:rPr>
          <w:lang w:eastAsia="zh-CN"/>
        </w:rPr>
      </w:pPr>
      <m:oMath>
        <m:r>
          <w:rPr>
            <w:rFonts w:ascii="Cambria Math" w:hAnsi="Cambria Math" w:cs="Arial"/>
            <w:lang w:eastAsia="zh-CN"/>
          </w:rPr>
          <m:t>m</m:t>
        </m:r>
        <m:r>
          <w:rPr>
            <w:rFonts w:ascii="Cambria Math" w:hAnsi="Cambria Math"/>
            <w:lang w:eastAsia="zh-CN"/>
          </w:rPr>
          <m:t>c</m:t>
        </m:r>
        <m:r>
          <m:rPr>
            <m:sty m:val="p"/>
          </m:rPr>
          <w:rPr>
            <w:rFonts w:ascii="Cambria Math" w:hAnsi="Cambria Math"/>
            <w:lang w:eastAsia="zh-CN"/>
          </w:rPr>
          <m:t>=0</m:t>
        </m:r>
      </m:oMath>
      <w:r w:rsidRPr="005575DD">
        <w:rPr>
          <w:rFonts w:cs="Arial"/>
          <w:lang w:eastAsia="zh-CN"/>
        </w:rPr>
        <w:t>;</w:t>
      </w:r>
    </w:p>
    <w:p w14:paraId="12915B2D" w14:textId="77777777" w:rsidR="005575DD" w:rsidRPr="005575DD" w:rsidRDefault="005575DD" w:rsidP="00716FE0">
      <w:pPr>
        <w:pStyle w:val="B5"/>
        <w:ind w:left="1985"/>
      </w:pPr>
      <w:r w:rsidRPr="005575DD">
        <w:t xml:space="preserve">while </w:t>
      </w:r>
      <m:oMath>
        <m:r>
          <w:rPr>
            <w:rFonts w:ascii="Cambria Math" w:hAnsi="Cambria Math"/>
          </w:rPr>
          <m:t>m</m:t>
        </m:r>
        <m:r>
          <w:rPr>
            <w:rFonts w:ascii="Cambria Math" w:hAnsi="Cambria Math"/>
            <w:lang w:eastAsia="zh-CN"/>
          </w:rPr>
          <m:t>c</m:t>
        </m:r>
        <m:r>
          <m:rPr>
            <m:sty m:val="p"/>
          </m:rPr>
          <w:rPr>
            <w:rFonts w:ascii="Cambria Math" w:hAnsi="Cambria Math"/>
            <w:lang w:eastAsia="zh-CN"/>
          </w:rPr>
          <m:t>&lt;</m:t>
        </m:r>
        <m:sSubSup>
          <m:sSubSupPr>
            <m:ctrlPr>
              <w:rPr>
                <w:rFonts w:ascii="Cambria Math" w:hAnsi="Cambria Math"/>
              </w:rPr>
            </m:ctrlPr>
          </m:sSubSupPr>
          <m:e>
            <m:r>
              <w:rPr>
                <w:rFonts w:ascii="Cambria Math" w:hAnsi="Cambria Math"/>
              </w:rPr>
              <m:t>N</m:t>
            </m:r>
          </m:e>
          <m:sub>
            <m:r>
              <m:rPr>
                <m:sty m:val="p"/>
              </m:rPr>
              <w:rPr>
                <w:rFonts w:ascii="Cambria Math" w:hAnsi="Cambria Math"/>
              </w:rPr>
              <m:t>cells,set</m:t>
            </m:r>
          </m:sub>
          <m:sup>
            <m:r>
              <m:rPr>
                <m:nor/>
              </m:rPr>
              <w:rPr>
                <w:lang w:val="en-US"/>
              </w:rPr>
              <m:t>DL,max</m:t>
            </m:r>
          </m:sup>
        </m:sSubSup>
      </m:oMath>
    </w:p>
    <w:p w14:paraId="6D639101" w14:textId="708F4E8C" w:rsidR="005575DD" w:rsidRPr="005575DD" w:rsidRDefault="005575DD" w:rsidP="00716FE0">
      <w:pPr>
        <w:pStyle w:val="B5"/>
        <w:ind w:left="1985" w:firstLine="0"/>
      </w:pPr>
      <w:r w:rsidRPr="005575DD">
        <w:t xml:space="preserve">if the UE is scheduled PDSCH reception for transport blocks with enabled HARQ-ACK information on serving cell </w:t>
      </w:r>
      <m:oMath>
        <m:r>
          <w:rPr>
            <w:rFonts w:ascii="Cambria Math" w:hAnsi="Cambria Math"/>
          </w:rPr>
          <m:t>m</m:t>
        </m:r>
        <m:r>
          <w:rPr>
            <w:rFonts w:ascii="Cambria Math" w:hAnsi="Cambria Math"/>
            <w:lang w:eastAsia="zh-CN"/>
          </w:rPr>
          <m:t>c</m:t>
        </m:r>
      </m:oMath>
      <w:r w:rsidRPr="005575DD">
        <w:rPr>
          <w:iCs/>
          <w:lang w:eastAsia="zh-CN"/>
        </w:rPr>
        <w:t xml:space="preserve">, if any, </w:t>
      </w:r>
      <w:r w:rsidR="002E6B20" w:rsidRPr="00DB4E9D">
        <w:rPr>
          <w:iCs/>
          <w:lang w:eastAsia="zh-CN"/>
        </w:rPr>
        <w:t>from the more than one serving cells</w:t>
      </w:r>
    </w:p>
    <w:p w14:paraId="1FBED464" w14:textId="77777777" w:rsidR="005575DD" w:rsidRPr="005575DD" w:rsidRDefault="005575DD" w:rsidP="00716FE0">
      <w:pPr>
        <w:pStyle w:val="B5"/>
        <w:ind w:left="2552"/>
        <w:rPr>
          <w:lang w:eastAsia="zh-CN"/>
        </w:rPr>
      </w:pPr>
      <w:r w:rsidRPr="005575DD">
        <w:t xml:space="preserve">if </w:t>
      </w:r>
      <w:r w:rsidRPr="00AA7C57">
        <w:rPr>
          <w:i/>
          <w:iCs/>
        </w:rPr>
        <w:t>maxNrofCodeWordsScheduledByDCI</w:t>
      </w:r>
      <w:r w:rsidRPr="005575DD">
        <w:rPr>
          <w:lang w:eastAsia="zh-CN"/>
        </w:rPr>
        <w:t xml:space="preserve"> is 2 for serving cell </w:t>
      </w:r>
      <m:oMath>
        <m:r>
          <w:rPr>
            <w:rFonts w:ascii="Cambria Math" w:hAnsi="Cambria Math"/>
            <w:lang w:eastAsia="zh-CN"/>
          </w:rPr>
          <m:t>mc</m:t>
        </m:r>
      </m:oMath>
      <w:r w:rsidRPr="005575DD">
        <w:rPr>
          <w:lang w:eastAsia="zh-CN"/>
        </w:rPr>
        <w:t xml:space="preserve"> </w:t>
      </w:r>
    </w:p>
    <w:p w14:paraId="76E6D212" w14:textId="77777777" w:rsidR="005575DD" w:rsidRPr="005575DD" w:rsidRDefault="005575DD" w:rsidP="00716FE0">
      <w:pPr>
        <w:pStyle w:val="B5"/>
        <w:ind w:left="2835"/>
      </w:pPr>
      <w:r w:rsidRPr="005575DD">
        <w:t>if the PDSCH reception provides two transport blocks</w:t>
      </w:r>
    </w:p>
    <w:p w14:paraId="10160343" w14:textId="62E5937F" w:rsidR="005575DD" w:rsidRPr="005575DD" w:rsidRDefault="00000000" w:rsidP="00716FE0">
      <w:pPr>
        <w:pStyle w:val="B5"/>
        <w:ind w:left="2835" w:hanging="1"/>
      </w:pP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o</m:t>
                </m:r>
              </m:e>
            </m:acc>
          </m:e>
          <m:sub>
            <m:sSub>
              <m:sSubPr>
                <m:ctrlPr>
                  <w:rPr>
                    <w:rFonts w:ascii="Cambria Math" w:hAnsi="Cambria Math"/>
                  </w:rPr>
                </m:ctrlPr>
              </m:sSubPr>
              <m:e>
                <m:sSubSup>
                  <m:sSubSupPr>
                    <m:ctrlPr>
                      <w:rPr>
                        <w:rFonts w:ascii="Cambria Math" w:hAnsi="Cambria Math"/>
                      </w:rPr>
                    </m:ctrlPr>
                  </m:sSubSupPr>
                  <m:e>
                    <m:r>
                      <w:rPr>
                        <w:rFonts w:ascii="Cambria Math" w:hAnsi="Cambria Math"/>
                      </w:rPr>
                      <m:t>N</m:t>
                    </m:r>
                  </m:e>
                  <m:sub>
                    <m:r>
                      <m:rPr>
                        <m:sty m:val="p"/>
                      </m:rPr>
                      <w:rPr>
                        <w:rFonts w:ascii="Cambria Math" w:hAnsi="Cambria Math"/>
                      </w:rPr>
                      <m:t>cells,set</m:t>
                    </m:r>
                  </m:sub>
                  <m:sup>
                    <m:r>
                      <m:rPr>
                        <m:nor/>
                      </m:rPr>
                      <w:rPr>
                        <w:lang w:val="en-US"/>
                      </w:rPr>
                      <m:t>DL,max</m:t>
                    </m:r>
                  </m:sup>
                </m:sSubSup>
                <m:r>
                  <m:rPr>
                    <m:sty m:val="p"/>
                  </m:rPr>
                  <w:rPr>
                    <w:rFonts w:ascii="Cambria Math" w:hAnsi="Cambria Math" w:cs="Cambria Math"/>
                    <w:lang w:eastAsia="zh-CN"/>
                  </w:rPr>
                  <m:t>⋅</m:t>
                </m:r>
                <m:r>
                  <w:rPr>
                    <w:rFonts w:ascii="Cambria Math" w:hAnsi="Cambria Math"/>
                  </w:rPr>
                  <m:t>T</m:t>
                </m:r>
              </m:e>
              <m:sub>
                <m:r>
                  <w:rPr>
                    <w:rFonts w:ascii="Cambria Math" w:hAnsi="Cambria Math"/>
                  </w:rPr>
                  <m:t>D</m:t>
                </m:r>
              </m:sub>
            </m:sSub>
            <m:r>
              <m:rPr>
                <m:sty m:val="p"/>
              </m:rPr>
              <w:rPr>
                <w:rFonts w:ascii="Cambria Math" w:hAnsi="Cambria Math" w:cs="Cambria Math"/>
                <w:lang w:eastAsia="zh-CN"/>
              </w:rPr>
              <m:t>⋅</m:t>
            </m:r>
            <m:r>
              <w:rPr>
                <w:rFonts w:ascii="Cambria Math" w:hAnsi="Cambria Math"/>
              </w:rPr>
              <m:t>j</m:t>
            </m:r>
            <m:r>
              <m:rPr>
                <m:sty m:val="p"/>
              </m:rPr>
              <w:rPr>
                <w:rFonts w:ascii="Cambria Math" w:hAnsi="Cambria Math"/>
              </w:rPr>
              <m:t>+</m:t>
            </m:r>
            <m:sSubSup>
              <m:sSubSupPr>
                <m:ctrlPr>
                  <w:rPr>
                    <w:rFonts w:ascii="Cambria Math" w:hAnsi="Cambria Math"/>
                  </w:rPr>
                </m:ctrlPr>
              </m:sSubSupPr>
              <m:e>
                <m:sSubSup>
                  <m:sSubSupPr>
                    <m:ctrlPr>
                      <w:rPr>
                        <w:rFonts w:ascii="Cambria Math" w:hAnsi="Cambria Math"/>
                      </w:rPr>
                    </m:ctrlPr>
                  </m:sSubSupPr>
                  <m:e>
                    <m:r>
                      <w:rPr>
                        <w:rFonts w:ascii="Cambria Math" w:hAnsi="Cambria Math"/>
                      </w:rPr>
                      <m:t>N</m:t>
                    </m:r>
                  </m:e>
                  <m:sub>
                    <m:r>
                      <m:rPr>
                        <m:sty m:val="p"/>
                      </m:rPr>
                      <w:rPr>
                        <w:rFonts w:ascii="Cambria Math" w:hAnsi="Cambria Math"/>
                      </w:rPr>
                      <m:t>cells,set</m:t>
                    </m:r>
                  </m:sub>
                  <m:sup>
                    <m:r>
                      <m:rPr>
                        <m:nor/>
                      </m:rPr>
                      <w:rPr>
                        <w:lang w:val="en-US"/>
                      </w:rPr>
                      <m:t>DL,max</m:t>
                    </m:r>
                  </m:sup>
                </m:sSubSup>
                <m:r>
                  <m:rPr>
                    <m:sty m:val="p"/>
                  </m:rPr>
                  <w:rPr>
                    <w:rFonts w:ascii="Cambria Math" w:hAnsi="Cambria Math" w:cs="Cambria Math"/>
                    <w:lang w:eastAsia="zh-CN"/>
                  </w:rPr>
                  <m:t>⋅</m:t>
                </m:r>
                <m:r>
                  <w:rPr>
                    <w:rFonts w:ascii="Cambria Math" w:hAnsi="Cambria Math"/>
                  </w:rPr>
                  <m:t>V</m:t>
                </m:r>
              </m:e>
              <m:sub>
                <m:r>
                  <w:rPr>
                    <w:rFonts w:ascii="Cambria Math" w:hAnsi="Cambria Math"/>
                  </w:rPr>
                  <m:t>C</m:t>
                </m:r>
                <m:r>
                  <m:rPr>
                    <m:nor/>
                  </m:rPr>
                  <m:t>-DAI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m</m:t>
                </m:r>
              </m:sub>
              <m:sup>
                <m:r>
                  <m:rPr>
                    <m:nor/>
                  </m:rPr>
                  <m:t>DL</m:t>
                </m:r>
              </m:sup>
            </m:sSubSup>
            <m:r>
              <m:rPr>
                <m:sty m:val="p"/>
              </m:rPr>
              <w:rPr>
                <w:rFonts w:ascii="Cambria Math" w:hAnsi="Cambria Math"/>
              </w:rPr>
              <m:t>-1+</m:t>
            </m:r>
            <m:r>
              <w:rPr>
                <w:rFonts w:ascii="Cambria Math" w:hAnsi="Cambria Math"/>
              </w:rPr>
              <m:t>cnt</m:t>
            </m:r>
          </m:sub>
          <m:sup>
            <m:r>
              <w:rPr>
                <w:rFonts w:ascii="Cambria Math" w:hAnsi="Cambria Math"/>
              </w:rPr>
              <m:t>ACK</m:t>
            </m:r>
          </m:sup>
        </m:sSubSup>
      </m:oMath>
      <w:r w:rsidR="005575DD" w:rsidRPr="005575DD">
        <w:t xml:space="preserve"> </w:t>
      </w:r>
      <w:r w:rsidR="005575DD" w:rsidRPr="005575DD">
        <w:rPr>
          <w:rFonts w:hint="eastAsia"/>
          <w:lang w:eastAsia="zh-CN"/>
        </w:rPr>
        <w:t xml:space="preserve">= </w:t>
      </w:r>
      <w:r w:rsidR="005575DD" w:rsidRPr="005575DD">
        <w:t>binary AND operation of the HARQ-ACK information bits corresponding to the first and second transport blocks of this cell</w:t>
      </w:r>
    </w:p>
    <w:p w14:paraId="3787EB98" w14:textId="12BE7FAD" w:rsidR="005575DD" w:rsidRPr="005575DD" w:rsidRDefault="005575DD" w:rsidP="00716FE0">
      <w:pPr>
        <w:pStyle w:val="B5"/>
        <w:ind w:left="2835"/>
        <w:rPr>
          <w:lang w:eastAsia="zh-CN"/>
        </w:rPr>
      </w:pPr>
      <w:r w:rsidRPr="005575DD">
        <w:rPr>
          <w:lang w:eastAsia="zh-CN"/>
        </w:rPr>
        <w:t>else</w:t>
      </w:r>
    </w:p>
    <w:p w14:paraId="74660048" w14:textId="0F64CF5B" w:rsidR="005575DD" w:rsidRPr="005575DD" w:rsidRDefault="00000000" w:rsidP="00716FE0">
      <w:pPr>
        <w:pStyle w:val="B5"/>
        <w:ind w:left="2835" w:hanging="1"/>
        <w:rPr>
          <w:lang w:eastAsia="zh-CN"/>
        </w:rPr>
      </w:pP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o</m:t>
                </m:r>
              </m:e>
            </m:acc>
          </m:e>
          <m:sub>
            <m:sSub>
              <m:sSubPr>
                <m:ctrlPr>
                  <w:rPr>
                    <w:rFonts w:ascii="Cambria Math" w:hAnsi="Cambria Math"/>
                  </w:rPr>
                </m:ctrlPr>
              </m:sSubPr>
              <m:e>
                <m:sSubSup>
                  <m:sSubSupPr>
                    <m:ctrlPr>
                      <w:rPr>
                        <w:rFonts w:ascii="Cambria Math" w:hAnsi="Cambria Math"/>
                      </w:rPr>
                    </m:ctrlPr>
                  </m:sSubSupPr>
                  <m:e>
                    <m:r>
                      <w:rPr>
                        <w:rFonts w:ascii="Cambria Math" w:hAnsi="Cambria Math"/>
                      </w:rPr>
                      <m:t>N</m:t>
                    </m:r>
                  </m:e>
                  <m:sub>
                    <m:r>
                      <m:rPr>
                        <m:sty m:val="p"/>
                      </m:rPr>
                      <w:rPr>
                        <w:rFonts w:ascii="Cambria Math" w:hAnsi="Cambria Math"/>
                      </w:rPr>
                      <m:t>cells,set</m:t>
                    </m:r>
                  </m:sub>
                  <m:sup>
                    <m:r>
                      <m:rPr>
                        <m:nor/>
                      </m:rPr>
                      <w:rPr>
                        <w:lang w:val="en-US"/>
                      </w:rPr>
                      <m:t>DL,max</m:t>
                    </m:r>
                  </m:sup>
                </m:sSubSup>
                <m:r>
                  <m:rPr>
                    <m:sty m:val="p"/>
                  </m:rPr>
                  <w:rPr>
                    <w:rFonts w:ascii="Cambria Math" w:hAnsi="Cambria Math" w:cs="Cambria Math"/>
                    <w:lang w:eastAsia="zh-CN"/>
                  </w:rPr>
                  <m:t>⋅</m:t>
                </m:r>
                <m:r>
                  <w:rPr>
                    <w:rFonts w:ascii="Cambria Math" w:hAnsi="Cambria Math"/>
                  </w:rPr>
                  <m:t>T</m:t>
                </m:r>
              </m:e>
              <m:sub>
                <m:r>
                  <w:rPr>
                    <w:rFonts w:ascii="Cambria Math" w:hAnsi="Cambria Math"/>
                  </w:rPr>
                  <m:t>D</m:t>
                </m:r>
              </m:sub>
            </m:sSub>
            <m:r>
              <m:rPr>
                <m:sty m:val="p"/>
              </m:rPr>
              <w:rPr>
                <w:rFonts w:ascii="Cambria Math" w:hAnsi="Cambria Math" w:cs="Cambria Math"/>
                <w:lang w:eastAsia="zh-CN"/>
              </w:rPr>
              <m:t>⋅</m:t>
            </m:r>
            <m:r>
              <w:rPr>
                <w:rFonts w:ascii="Cambria Math" w:hAnsi="Cambria Math"/>
              </w:rPr>
              <m:t>j</m:t>
            </m:r>
            <m:r>
              <m:rPr>
                <m:sty m:val="p"/>
              </m:rPr>
              <w:rPr>
                <w:rFonts w:ascii="Cambria Math" w:hAnsi="Cambria Math"/>
              </w:rPr>
              <m:t>+</m:t>
            </m:r>
            <m:sSubSup>
              <m:sSubSupPr>
                <m:ctrlPr>
                  <w:rPr>
                    <w:rFonts w:ascii="Cambria Math" w:hAnsi="Cambria Math"/>
                  </w:rPr>
                </m:ctrlPr>
              </m:sSubSupPr>
              <m:e>
                <m:sSubSup>
                  <m:sSubSupPr>
                    <m:ctrlPr>
                      <w:rPr>
                        <w:rFonts w:ascii="Cambria Math" w:hAnsi="Cambria Math"/>
                      </w:rPr>
                    </m:ctrlPr>
                  </m:sSubSupPr>
                  <m:e>
                    <m:r>
                      <w:rPr>
                        <w:rFonts w:ascii="Cambria Math" w:hAnsi="Cambria Math"/>
                      </w:rPr>
                      <m:t>N</m:t>
                    </m:r>
                  </m:e>
                  <m:sub>
                    <m:r>
                      <m:rPr>
                        <m:sty m:val="p"/>
                      </m:rPr>
                      <w:rPr>
                        <w:rFonts w:ascii="Cambria Math" w:hAnsi="Cambria Math"/>
                      </w:rPr>
                      <m:t>cells,set</m:t>
                    </m:r>
                  </m:sub>
                  <m:sup>
                    <m:r>
                      <m:rPr>
                        <m:nor/>
                      </m:rPr>
                      <w:rPr>
                        <w:lang w:val="en-US"/>
                      </w:rPr>
                      <m:t>DL,max</m:t>
                    </m:r>
                  </m:sup>
                </m:sSubSup>
                <m:r>
                  <m:rPr>
                    <m:sty m:val="p"/>
                  </m:rPr>
                  <w:rPr>
                    <w:rFonts w:ascii="Cambria Math" w:hAnsi="Cambria Math" w:cs="Cambria Math"/>
                    <w:lang w:eastAsia="zh-CN"/>
                  </w:rPr>
                  <m:t>⋅</m:t>
                </m:r>
                <m:r>
                  <w:rPr>
                    <w:rFonts w:ascii="Cambria Math" w:hAnsi="Cambria Math"/>
                  </w:rPr>
                  <m:t>V</m:t>
                </m:r>
              </m:e>
              <m:sub>
                <m:r>
                  <w:rPr>
                    <w:rFonts w:ascii="Cambria Math" w:hAnsi="Cambria Math"/>
                  </w:rPr>
                  <m:t>C</m:t>
                </m:r>
                <m:r>
                  <m:rPr>
                    <m:nor/>
                  </m:rPr>
                  <m:t>-DAI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m</m:t>
                </m:r>
              </m:sub>
              <m:sup>
                <m:r>
                  <m:rPr>
                    <m:nor/>
                  </m:rPr>
                  <m:t>DL</m:t>
                </m:r>
              </m:sup>
            </m:sSubSup>
            <m:r>
              <m:rPr>
                <m:sty m:val="p"/>
              </m:rPr>
              <w:rPr>
                <w:rFonts w:ascii="Cambria Math" w:hAnsi="Cambria Math"/>
              </w:rPr>
              <m:t>-1+</m:t>
            </m:r>
            <m:r>
              <w:rPr>
                <w:rFonts w:ascii="Cambria Math" w:hAnsi="Cambria Math"/>
              </w:rPr>
              <m:t>cnt</m:t>
            </m:r>
          </m:sub>
          <m:sup>
            <m:r>
              <w:rPr>
                <w:rFonts w:ascii="Cambria Math" w:hAnsi="Cambria Math"/>
              </w:rPr>
              <m:t>ACK</m:t>
            </m:r>
          </m:sup>
        </m:sSubSup>
      </m:oMath>
      <w:r w:rsidR="005575DD" w:rsidRPr="005575DD">
        <w:t xml:space="preserve"> </w:t>
      </w:r>
      <w:r w:rsidR="005575DD" w:rsidRPr="005575DD">
        <w:rPr>
          <w:rFonts w:hint="eastAsia"/>
          <w:lang w:eastAsia="zh-CN"/>
        </w:rPr>
        <w:t xml:space="preserve">= </w:t>
      </w:r>
      <w:r w:rsidR="005575DD" w:rsidRPr="005575DD">
        <w:t>HARQ-ACK information bit corresponding to the first transport block of this cell</w:t>
      </w:r>
    </w:p>
    <w:p w14:paraId="0825B0BD" w14:textId="0CD32345" w:rsidR="005575DD" w:rsidRPr="005575DD" w:rsidRDefault="005575DD" w:rsidP="00716FE0">
      <w:pPr>
        <w:pStyle w:val="B5"/>
        <w:ind w:left="2835"/>
        <w:rPr>
          <w:lang w:eastAsia="zh-CN"/>
        </w:rPr>
      </w:pPr>
      <w:r w:rsidRPr="005575DD">
        <w:rPr>
          <w:lang w:eastAsia="zh-CN"/>
        </w:rPr>
        <w:t>end if</w:t>
      </w:r>
    </w:p>
    <w:p w14:paraId="28F9E966" w14:textId="77777777" w:rsidR="005575DD" w:rsidRPr="005575DD" w:rsidRDefault="005575DD" w:rsidP="00716FE0">
      <w:pPr>
        <w:pStyle w:val="B5"/>
        <w:ind w:left="2552"/>
        <w:rPr>
          <w:lang w:eastAsia="zh-CN"/>
        </w:rPr>
      </w:pPr>
      <w:r w:rsidRPr="005575DD">
        <w:rPr>
          <w:lang w:eastAsia="zh-CN"/>
        </w:rPr>
        <w:t>else</w:t>
      </w:r>
    </w:p>
    <w:p w14:paraId="167BC460" w14:textId="6399B119" w:rsidR="005575DD" w:rsidRPr="005575DD" w:rsidRDefault="00000000" w:rsidP="00716FE0">
      <w:pPr>
        <w:pStyle w:val="B5"/>
        <w:ind w:left="2835"/>
      </w:pP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o</m:t>
                </m:r>
              </m:e>
            </m:acc>
          </m:e>
          <m:sub>
            <m:sSub>
              <m:sSubPr>
                <m:ctrlPr>
                  <w:rPr>
                    <w:rFonts w:ascii="Cambria Math" w:hAnsi="Cambria Math"/>
                  </w:rPr>
                </m:ctrlPr>
              </m:sSubPr>
              <m:e>
                <m:sSubSup>
                  <m:sSubSupPr>
                    <m:ctrlPr>
                      <w:rPr>
                        <w:rFonts w:ascii="Cambria Math" w:hAnsi="Cambria Math"/>
                      </w:rPr>
                    </m:ctrlPr>
                  </m:sSubSupPr>
                  <m:e>
                    <m:r>
                      <w:rPr>
                        <w:rFonts w:ascii="Cambria Math" w:hAnsi="Cambria Math"/>
                      </w:rPr>
                      <m:t>N</m:t>
                    </m:r>
                  </m:e>
                  <m:sub>
                    <m:r>
                      <m:rPr>
                        <m:sty m:val="p"/>
                      </m:rPr>
                      <w:rPr>
                        <w:rFonts w:ascii="Cambria Math" w:hAnsi="Cambria Math"/>
                      </w:rPr>
                      <m:t>cells,set</m:t>
                    </m:r>
                  </m:sub>
                  <m:sup>
                    <m:r>
                      <m:rPr>
                        <m:nor/>
                      </m:rPr>
                      <w:rPr>
                        <w:lang w:val="en-US"/>
                      </w:rPr>
                      <m:t>DL,max</m:t>
                    </m:r>
                  </m:sup>
                </m:sSubSup>
                <m:r>
                  <m:rPr>
                    <m:sty m:val="p"/>
                  </m:rPr>
                  <w:rPr>
                    <w:rFonts w:ascii="Cambria Math" w:hAnsi="Cambria Math" w:cs="Cambria Math"/>
                    <w:lang w:eastAsia="zh-CN"/>
                  </w:rPr>
                  <m:t>⋅</m:t>
                </m:r>
                <m:r>
                  <w:rPr>
                    <w:rFonts w:ascii="Cambria Math" w:hAnsi="Cambria Math"/>
                  </w:rPr>
                  <m:t>T</m:t>
                </m:r>
              </m:e>
              <m:sub>
                <m:r>
                  <w:rPr>
                    <w:rFonts w:ascii="Cambria Math" w:hAnsi="Cambria Math"/>
                  </w:rPr>
                  <m:t>D</m:t>
                </m:r>
              </m:sub>
            </m:sSub>
            <m:r>
              <m:rPr>
                <m:sty m:val="p"/>
              </m:rPr>
              <w:rPr>
                <w:rFonts w:ascii="Cambria Math" w:hAnsi="Cambria Math" w:cs="Cambria Math"/>
                <w:lang w:eastAsia="zh-CN"/>
              </w:rPr>
              <m:t>⋅</m:t>
            </m:r>
            <m:r>
              <w:rPr>
                <w:rFonts w:ascii="Cambria Math" w:hAnsi="Cambria Math"/>
              </w:rPr>
              <m:t>j</m:t>
            </m:r>
            <m:r>
              <m:rPr>
                <m:sty m:val="p"/>
              </m:rPr>
              <w:rPr>
                <w:rFonts w:ascii="Cambria Math" w:hAnsi="Cambria Math"/>
              </w:rPr>
              <m:t>+</m:t>
            </m:r>
            <m:sSubSup>
              <m:sSubSupPr>
                <m:ctrlPr>
                  <w:rPr>
                    <w:rFonts w:ascii="Cambria Math" w:hAnsi="Cambria Math"/>
                  </w:rPr>
                </m:ctrlPr>
              </m:sSubSupPr>
              <m:e>
                <m:sSubSup>
                  <m:sSubSupPr>
                    <m:ctrlPr>
                      <w:rPr>
                        <w:rFonts w:ascii="Cambria Math" w:hAnsi="Cambria Math"/>
                      </w:rPr>
                    </m:ctrlPr>
                  </m:sSubSupPr>
                  <m:e>
                    <m:r>
                      <w:rPr>
                        <w:rFonts w:ascii="Cambria Math" w:hAnsi="Cambria Math"/>
                      </w:rPr>
                      <m:t>N</m:t>
                    </m:r>
                  </m:e>
                  <m:sub>
                    <m:r>
                      <m:rPr>
                        <m:sty m:val="p"/>
                      </m:rPr>
                      <w:rPr>
                        <w:rFonts w:ascii="Cambria Math" w:hAnsi="Cambria Math"/>
                      </w:rPr>
                      <m:t>cells,set</m:t>
                    </m:r>
                  </m:sub>
                  <m:sup>
                    <m:r>
                      <m:rPr>
                        <m:nor/>
                      </m:rPr>
                      <w:rPr>
                        <w:lang w:val="en-US"/>
                      </w:rPr>
                      <m:t>DL,max</m:t>
                    </m:r>
                  </m:sup>
                </m:sSubSup>
                <m:r>
                  <m:rPr>
                    <m:sty m:val="p"/>
                  </m:rPr>
                  <w:rPr>
                    <w:rFonts w:ascii="Cambria Math" w:hAnsi="Cambria Math" w:cs="Cambria Math"/>
                    <w:lang w:eastAsia="zh-CN"/>
                  </w:rPr>
                  <m:t>⋅</m:t>
                </m:r>
                <m:r>
                  <w:rPr>
                    <w:rFonts w:ascii="Cambria Math" w:hAnsi="Cambria Math"/>
                  </w:rPr>
                  <m:t>V</m:t>
                </m:r>
              </m:e>
              <m:sub>
                <m:r>
                  <w:rPr>
                    <w:rFonts w:ascii="Cambria Math" w:hAnsi="Cambria Math"/>
                  </w:rPr>
                  <m:t>C</m:t>
                </m:r>
                <m:r>
                  <m:rPr>
                    <m:nor/>
                  </m:rPr>
                  <m:t>-DAI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m</m:t>
                </m:r>
              </m:sub>
              <m:sup>
                <m:r>
                  <m:rPr>
                    <m:nor/>
                  </m:rPr>
                  <m:t>DL</m:t>
                </m:r>
              </m:sup>
            </m:sSubSup>
            <m:r>
              <m:rPr>
                <m:sty m:val="p"/>
              </m:rPr>
              <w:rPr>
                <w:rFonts w:ascii="Cambria Math" w:hAnsi="Cambria Math"/>
              </w:rPr>
              <m:t>-1+</m:t>
            </m:r>
            <m:r>
              <w:rPr>
                <w:rFonts w:ascii="Cambria Math" w:hAnsi="Cambria Math"/>
              </w:rPr>
              <m:t>cnt</m:t>
            </m:r>
          </m:sub>
          <m:sup>
            <m:r>
              <w:rPr>
                <w:rFonts w:ascii="Cambria Math" w:hAnsi="Cambria Math"/>
              </w:rPr>
              <m:t>ACK</m:t>
            </m:r>
          </m:sup>
        </m:sSubSup>
      </m:oMath>
      <w:r w:rsidR="005575DD" w:rsidRPr="005575DD">
        <w:rPr>
          <w:rFonts w:hint="eastAsia"/>
          <w:lang w:eastAsia="zh-CN"/>
        </w:rPr>
        <w:t>=</w:t>
      </w:r>
      <w:r w:rsidR="005575DD" w:rsidRPr="005575DD">
        <w:t xml:space="preserve"> HARQ-ACK information bit of this cell</w:t>
      </w:r>
    </w:p>
    <w:p w14:paraId="252953F2" w14:textId="77777777" w:rsidR="005575DD" w:rsidRPr="005575DD" w:rsidRDefault="005575DD" w:rsidP="00716FE0">
      <w:pPr>
        <w:pStyle w:val="B5"/>
        <w:ind w:left="2552"/>
      </w:pPr>
      <w:r w:rsidRPr="005575DD">
        <w:t>end if</w:t>
      </w:r>
    </w:p>
    <w:p w14:paraId="3D861FD0" w14:textId="77777777" w:rsidR="005575DD" w:rsidRPr="005575DD" w:rsidRDefault="005575DD" w:rsidP="00716FE0">
      <w:pPr>
        <w:pStyle w:val="B5"/>
        <w:ind w:left="2552"/>
        <w:rPr>
          <w:lang w:eastAsia="zh-CN"/>
        </w:rPr>
      </w:pPr>
      <m:oMath>
        <m:r>
          <w:rPr>
            <w:rFonts w:ascii="Cambria Math" w:hAnsi="Cambria Math"/>
            <w:lang w:eastAsia="zh-CN"/>
          </w:rPr>
          <m:t>cnt</m:t>
        </m:r>
        <m:r>
          <m:rPr>
            <m:sty m:val="p"/>
          </m:rPr>
          <w:rPr>
            <w:rFonts w:ascii="Cambria Math" w:hAnsi="Cambria Math"/>
            <w:lang w:eastAsia="zh-CN"/>
          </w:rPr>
          <m:t>=</m:t>
        </m:r>
        <m:r>
          <w:rPr>
            <w:rFonts w:ascii="Cambria Math" w:hAnsi="Cambria Math"/>
            <w:lang w:eastAsia="zh-CN"/>
          </w:rPr>
          <m:t>cnt</m:t>
        </m:r>
        <m:r>
          <m:rPr>
            <m:sty m:val="p"/>
          </m:rPr>
          <w:rPr>
            <w:rFonts w:ascii="Cambria Math" w:hAnsi="Cambria Math"/>
            <w:lang w:eastAsia="zh-CN"/>
          </w:rPr>
          <m:t>+1</m:t>
        </m:r>
      </m:oMath>
      <w:r w:rsidRPr="005575DD">
        <w:rPr>
          <w:lang w:eastAsia="zh-CN"/>
        </w:rPr>
        <w:t>;</w:t>
      </w:r>
    </w:p>
    <w:p w14:paraId="5D7F518B" w14:textId="77777777" w:rsidR="005575DD" w:rsidRPr="005575DD" w:rsidRDefault="005575DD" w:rsidP="00DD41CD">
      <w:pPr>
        <w:pStyle w:val="B5"/>
        <w:ind w:left="1985" w:firstLine="0"/>
      </w:pPr>
      <w:r w:rsidRPr="005575DD">
        <w:lastRenderedPageBreak/>
        <w:t>end if</w:t>
      </w:r>
    </w:p>
    <w:p w14:paraId="7868194F" w14:textId="77777777" w:rsidR="005575DD" w:rsidRPr="005575DD" w:rsidRDefault="005575DD" w:rsidP="00DD41CD">
      <w:pPr>
        <w:pStyle w:val="B5"/>
        <w:ind w:left="1985" w:firstLine="0"/>
        <w:rPr>
          <w:lang w:eastAsia="zh-CN"/>
        </w:rPr>
      </w:pPr>
      <m:oMath>
        <m:r>
          <w:rPr>
            <w:rFonts w:ascii="Cambria Math" w:hAnsi="Cambria Math"/>
            <w:lang w:eastAsia="zh-CN"/>
          </w:rPr>
          <m:t>mc</m:t>
        </m:r>
        <m:r>
          <m:rPr>
            <m:sty m:val="p"/>
          </m:rPr>
          <w:rPr>
            <w:rFonts w:ascii="Cambria Math" w:hAnsi="Cambria Math"/>
            <w:lang w:eastAsia="zh-CN"/>
          </w:rPr>
          <m:t>=</m:t>
        </m:r>
        <m:r>
          <w:rPr>
            <w:rFonts w:ascii="Cambria Math" w:hAnsi="Cambria Math"/>
            <w:lang w:eastAsia="zh-CN"/>
          </w:rPr>
          <m:t>mc</m:t>
        </m:r>
        <m:r>
          <m:rPr>
            <m:sty m:val="p"/>
          </m:rPr>
          <w:rPr>
            <w:rFonts w:ascii="Cambria Math" w:hAnsi="Cambria Math"/>
            <w:lang w:eastAsia="zh-CN"/>
          </w:rPr>
          <m:t>+1</m:t>
        </m:r>
      </m:oMath>
      <w:r w:rsidRPr="005575DD">
        <w:rPr>
          <w:lang w:eastAsia="zh-CN"/>
        </w:rPr>
        <w:t>;</w:t>
      </w:r>
    </w:p>
    <w:p w14:paraId="4C9FE768" w14:textId="77777777" w:rsidR="005575DD" w:rsidRPr="005575DD" w:rsidRDefault="005575DD" w:rsidP="00DD41CD">
      <w:pPr>
        <w:pStyle w:val="B5"/>
        <w:ind w:left="1985"/>
        <w:rPr>
          <w:lang w:eastAsia="zh-CN"/>
        </w:rPr>
      </w:pPr>
      <w:r w:rsidRPr="005575DD">
        <w:rPr>
          <w:lang w:eastAsia="zh-CN"/>
        </w:rPr>
        <w:t>end while</w:t>
      </w:r>
    </w:p>
    <w:p w14:paraId="2D7D566D" w14:textId="77777777" w:rsidR="005575DD" w:rsidRPr="005575DD" w:rsidRDefault="005575DD" w:rsidP="00DD41CD">
      <w:pPr>
        <w:pStyle w:val="B4"/>
        <w:ind w:left="1985"/>
        <w:rPr>
          <w:lang w:eastAsia="zh-CN"/>
        </w:rPr>
      </w:pPr>
      <w:r w:rsidRPr="005575DD">
        <w:rPr>
          <w:lang w:eastAsia="zh-CN"/>
        </w:rPr>
        <w:t xml:space="preserve">while </w:t>
      </w:r>
      <m:oMath>
        <m:r>
          <w:rPr>
            <w:rFonts w:ascii="Cambria Math" w:hAnsi="Cambria Math"/>
            <w:lang w:eastAsia="zh-CN"/>
          </w:rPr>
          <m:t xml:space="preserve">cnt&lt; </m:t>
        </m:r>
        <m:sSubSup>
          <m:sSubSupPr>
            <m:ctrlPr>
              <w:rPr>
                <w:rFonts w:ascii="Cambria Math" w:hAnsi="Cambria Math"/>
                <w:i/>
              </w:rPr>
            </m:ctrlPr>
          </m:sSubSupPr>
          <m:e>
            <m:r>
              <w:rPr>
                <w:rFonts w:ascii="Cambria Math" w:hAnsi="Cambria Math"/>
              </w:rPr>
              <m:t>N</m:t>
            </m:r>
          </m:e>
          <m:sub>
            <m:r>
              <m:rPr>
                <m:sty m:val="p"/>
              </m:rPr>
              <w:rPr>
                <w:rFonts w:ascii="Cambria Math" w:hAnsi="Cambria Math"/>
              </w:rPr>
              <m:t>cells,set</m:t>
            </m:r>
            <m:ctrlPr>
              <w:rPr>
                <w:rFonts w:ascii="Cambria Math" w:hAnsi="Cambria Math"/>
              </w:rPr>
            </m:ctrlPr>
          </m:sub>
          <m:sup>
            <m:r>
              <m:rPr>
                <m:nor/>
              </m:rPr>
              <w:rPr>
                <w:lang w:val="en-US"/>
              </w:rPr>
              <m:t>DL,max</m:t>
            </m:r>
            <m:ctrlPr>
              <w:rPr>
                <w:rFonts w:ascii="Cambria Math" w:hAnsi="Cambria Math"/>
              </w:rPr>
            </m:ctrlPr>
          </m:sup>
        </m:sSubSup>
      </m:oMath>
      <w:r w:rsidRPr="005575DD">
        <w:rPr>
          <w:lang w:eastAsia="zh-CN"/>
        </w:rPr>
        <w:t xml:space="preserve"> </w:t>
      </w:r>
    </w:p>
    <w:p w14:paraId="3C695EAD" w14:textId="2489AD58" w:rsidR="005575DD" w:rsidRPr="005575DD" w:rsidRDefault="00000000" w:rsidP="00DD41CD">
      <w:pPr>
        <w:pStyle w:val="B5"/>
        <w:ind w:left="2268"/>
      </w:pP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o</m:t>
                </m:r>
              </m:e>
            </m:acc>
          </m:e>
          <m:sub>
            <m:sSub>
              <m:sSubPr>
                <m:ctrlPr>
                  <w:rPr>
                    <w:rFonts w:ascii="Cambria Math" w:hAnsi="Cambria Math"/>
                  </w:rPr>
                </m:ctrlPr>
              </m:sSubPr>
              <m:e>
                <m:sSubSup>
                  <m:sSubSupPr>
                    <m:ctrlPr>
                      <w:rPr>
                        <w:rFonts w:ascii="Cambria Math" w:hAnsi="Cambria Math"/>
                      </w:rPr>
                    </m:ctrlPr>
                  </m:sSubSupPr>
                  <m:e>
                    <m:r>
                      <w:rPr>
                        <w:rFonts w:ascii="Cambria Math" w:hAnsi="Cambria Math"/>
                      </w:rPr>
                      <m:t>N</m:t>
                    </m:r>
                  </m:e>
                  <m:sub>
                    <m:r>
                      <m:rPr>
                        <m:sty m:val="p"/>
                      </m:rPr>
                      <w:rPr>
                        <w:rFonts w:ascii="Cambria Math" w:hAnsi="Cambria Math"/>
                      </w:rPr>
                      <m:t>cells,set</m:t>
                    </m:r>
                  </m:sub>
                  <m:sup>
                    <m:r>
                      <m:rPr>
                        <m:nor/>
                      </m:rPr>
                      <w:rPr>
                        <w:lang w:val="en-US"/>
                      </w:rPr>
                      <m:t>DL,max</m:t>
                    </m:r>
                  </m:sup>
                </m:sSubSup>
                <m:r>
                  <m:rPr>
                    <m:sty m:val="p"/>
                  </m:rPr>
                  <w:rPr>
                    <w:rFonts w:ascii="Cambria Math" w:hAnsi="Cambria Math" w:cs="Cambria Math"/>
                    <w:lang w:eastAsia="zh-CN"/>
                  </w:rPr>
                  <m:t>⋅</m:t>
                </m:r>
                <m:r>
                  <w:rPr>
                    <w:rFonts w:ascii="Cambria Math" w:hAnsi="Cambria Math"/>
                  </w:rPr>
                  <m:t>T</m:t>
                </m:r>
              </m:e>
              <m:sub>
                <m:r>
                  <w:rPr>
                    <w:rFonts w:ascii="Cambria Math" w:hAnsi="Cambria Math"/>
                  </w:rPr>
                  <m:t>D</m:t>
                </m:r>
              </m:sub>
            </m:sSub>
            <m:r>
              <m:rPr>
                <m:sty m:val="p"/>
              </m:rPr>
              <w:rPr>
                <w:rFonts w:ascii="Cambria Math" w:hAnsi="Cambria Math" w:cs="Cambria Math"/>
                <w:lang w:eastAsia="zh-CN"/>
              </w:rPr>
              <m:t>⋅</m:t>
            </m:r>
            <m:r>
              <w:rPr>
                <w:rFonts w:ascii="Cambria Math" w:hAnsi="Cambria Math"/>
              </w:rPr>
              <m:t>j</m:t>
            </m:r>
            <m:r>
              <m:rPr>
                <m:sty m:val="p"/>
              </m:rPr>
              <w:rPr>
                <w:rFonts w:ascii="Cambria Math" w:hAnsi="Cambria Math"/>
              </w:rPr>
              <m:t>+</m:t>
            </m:r>
            <m:sSubSup>
              <m:sSubSupPr>
                <m:ctrlPr>
                  <w:rPr>
                    <w:rFonts w:ascii="Cambria Math" w:hAnsi="Cambria Math"/>
                  </w:rPr>
                </m:ctrlPr>
              </m:sSubSupPr>
              <m:e>
                <m:sSubSup>
                  <m:sSubSupPr>
                    <m:ctrlPr>
                      <w:rPr>
                        <w:rFonts w:ascii="Cambria Math" w:hAnsi="Cambria Math"/>
                      </w:rPr>
                    </m:ctrlPr>
                  </m:sSubSupPr>
                  <m:e>
                    <m:r>
                      <w:rPr>
                        <w:rFonts w:ascii="Cambria Math" w:hAnsi="Cambria Math"/>
                      </w:rPr>
                      <m:t>N</m:t>
                    </m:r>
                  </m:e>
                  <m:sub>
                    <m:r>
                      <m:rPr>
                        <m:sty m:val="p"/>
                      </m:rPr>
                      <w:rPr>
                        <w:rFonts w:ascii="Cambria Math" w:hAnsi="Cambria Math"/>
                      </w:rPr>
                      <m:t>cells,set</m:t>
                    </m:r>
                  </m:sub>
                  <m:sup>
                    <m:r>
                      <m:rPr>
                        <m:nor/>
                      </m:rPr>
                      <w:rPr>
                        <w:lang w:val="en-US"/>
                      </w:rPr>
                      <m:t>DL,max</m:t>
                    </m:r>
                  </m:sup>
                </m:sSubSup>
                <m:r>
                  <m:rPr>
                    <m:sty m:val="p"/>
                  </m:rPr>
                  <w:rPr>
                    <w:rFonts w:ascii="Cambria Math" w:hAnsi="Cambria Math" w:cs="Cambria Math"/>
                    <w:lang w:eastAsia="zh-CN"/>
                  </w:rPr>
                  <m:t>⋅</m:t>
                </m:r>
                <m:r>
                  <w:rPr>
                    <w:rFonts w:ascii="Cambria Math" w:hAnsi="Cambria Math"/>
                  </w:rPr>
                  <m:t>V</m:t>
                </m:r>
              </m:e>
              <m:sub>
                <m:r>
                  <w:rPr>
                    <w:rFonts w:ascii="Cambria Math" w:hAnsi="Cambria Math"/>
                  </w:rPr>
                  <m:t>C</m:t>
                </m:r>
                <m:r>
                  <m:rPr>
                    <m:nor/>
                  </m:rPr>
                  <m:t>-DAI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m</m:t>
                </m:r>
              </m:sub>
              <m:sup>
                <m:r>
                  <m:rPr>
                    <m:nor/>
                  </m:rPr>
                  <m:t>DL</m:t>
                </m:r>
              </m:sup>
            </m:sSubSup>
            <m:r>
              <m:rPr>
                <m:sty m:val="p"/>
              </m:rPr>
              <w:rPr>
                <w:rFonts w:ascii="Cambria Math" w:hAnsi="Cambria Math"/>
              </w:rPr>
              <m:t>-1+</m:t>
            </m:r>
            <m:r>
              <w:rPr>
                <w:rFonts w:ascii="Cambria Math" w:hAnsi="Cambria Math"/>
              </w:rPr>
              <m:t>cnt</m:t>
            </m:r>
          </m:sub>
          <m:sup>
            <m:r>
              <w:rPr>
                <w:rFonts w:ascii="Cambria Math" w:hAnsi="Cambria Math"/>
              </w:rPr>
              <m:t>ACK</m:t>
            </m:r>
          </m:sup>
        </m:sSubSup>
      </m:oMath>
      <w:r w:rsidR="005575DD" w:rsidRPr="005575DD">
        <w:rPr>
          <w:rFonts w:hint="eastAsia"/>
          <w:lang w:eastAsia="zh-CN"/>
        </w:rPr>
        <w:t>=</w:t>
      </w:r>
      <w:r w:rsidR="005575DD" w:rsidRPr="005575DD">
        <w:t xml:space="preserve"> NACK;</w:t>
      </w:r>
    </w:p>
    <w:p w14:paraId="3161ECD6" w14:textId="77777777" w:rsidR="005575DD" w:rsidRPr="005575DD" w:rsidRDefault="005575DD" w:rsidP="00DD41CD">
      <w:pPr>
        <w:pStyle w:val="B5"/>
        <w:ind w:left="2268"/>
      </w:pPr>
      <m:oMath>
        <m:r>
          <w:rPr>
            <w:rFonts w:ascii="Cambria Math" w:hAnsi="Cambria Math"/>
            <w:lang w:eastAsia="zh-CN"/>
          </w:rPr>
          <m:t>cnt</m:t>
        </m:r>
        <m:r>
          <m:rPr>
            <m:sty m:val="p"/>
          </m:rPr>
          <w:rPr>
            <w:rFonts w:ascii="Cambria Math" w:hAnsi="Cambria Math"/>
            <w:lang w:eastAsia="zh-CN"/>
          </w:rPr>
          <m:t>=</m:t>
        </m:r>
        <m:r>
          <w:rPr>
            <w:rFonts w:ascii="Cambria Math" w:hAnsi="Cambria Math"/>
            <w:lang w:eastAsia="zh-CN"/>
          </w:rPr>
          <m:t>cnt</m:t>
        </m:r>
        <m:r>
          <m:rPr>
            <m:sty m:val="p"/>
          </m:rPr>
          <w:rPr>
            <w:rFonts w:ascii="Cambria Math" w:hAnsi="Cambria Math"/>
            <w:lang w:eastAsia="zh-CN"/>
          </w:rPr>
          <m:t>+1</m:t>
        </m:r>
      </m:oMath>
      <w:r w:rsidRPr="005575DD">
        <w:rPr>
          <w:lang w:eastAsia="zh-CN"/>
        </w:rPr>
        <w:t>;</w:t>
      </w:r>
    </w:p>
    <w:p w14:paraId="14C7AD5B" w14:textId="77777777" w:rsidR="005575DD" w:rsidRPr="005575DD" w:rsidRDefault="005575DD" w:rsidP="00DD41CD">
      <w:pPr>
        <w:pStyle w:val="B5"/>
        <w:ind w:left="1985"/>
        <w:rPr>
          <w:lang w:eastAsia="zh-CN"/>
        </w:rPr>
      </w:pPr>
      <w:r w:rsidRPr="005575DD">
        <w:rPr>
          <w:lang w:eastAsia="zh-CN"/>
        </w:rPr>
        <w:t>end while</w:t>
      </w:r>
    </w:p>
    <w:p w14:paraId="4B5226D8" w14:textId="2EB75D7E" w:rsidR="005575DD" w:rsidRPr="00F526C5" w:rsidRDefault="00000000" w:rsidP="00DD41CD">
      <w:pPr>
        <w:pStyle w:val="B5"/>
        <w:ind w:left="1985"/>
        <w:rPr>
          <w:lang w:eastAsia="zh-CN"/>
        </w:rPr>
      </w:pP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s</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s</m:t>
            </m:r>
          </m:sub>
        </m:sSub>
        <m:r>
          <m:rPr>
            <m:sty m:val="p"/>
          </m:rPr>
          <w:rPr>
            <w:rFonts w:ascii="Cambria Math" w:hAnsi="Cambria Math" w:cs="Cambria Math"/>
            <w:lang w:eastAsia="zh-CN"/>
          </w:rPr>
          <m:t>∪</m:t>
        </m:r>
        <m:d>
          <m:dPr>
            <m:begChr m:val="{"/>
            <m:endChr m:val="}"/>
            <m:ctrlPr>
              <w:rPr>
                <w:rFonts w:ascii="Cambria Math" w:hAnsi="Cambria Math"/>
                <w:lang w:eastAsia="zh-CN"/>
              </w:rPr>
            </m:ctrlPr>
          </m:dPr>
          <m:e>
            <m:sSubSup>
              <m:sSubSupPr>
                <m:ctrlPr>
                  <w:rPr>
                    <w:rFonts w:ascii="Cambria Math" w:hAnsi="Cambria Math"/>
                    <w:i/>
                  </w:rPr>
                </m:ctrlPr>
              </m:sSubSupPr>
              <m:e>
                <m:r>
                  <w:rPr>
                    <w:rFonts w:ascii="Cambria Math"/>
                  </w:rPr>
                  <m:t>N</m:t>
                </m:r>
              </m:e>
              <m:sub>
                <m:r>
                  <m:rPr>
                    <m:sty m:val="p"/>
                  </m:rPr>
                  <w:rPr>
                    <w:rFonts w:ascii="Cambria Math"/>
                  </w:rPr>
                  <m:t>cells,set</m:t>
                </m:r>
                <m:ctrlPr>
                  <w:rPr>
                    <w:rFonts w:ascii="Cambria Math" w:hAnsi="Cambria Math"/>
                  </w:rPr>
                </m:ctrlPr>
              </m:sub>
              <m:sup>
                <m:r>
                  <m:rPr>
                    <m:nor/>
                  </m:rPr>
                  <w:rPr>
                    <w:rFonts w:ascii="Cambria Math"/>
                  </w:rPr>
                  <m:t>DL,max</m:t>
                </m:r>
                <m:ctrlPr>
                  <w:rPr>
                    <w:rFonts w:ascii="Cambria Math" w:hAnsi="Cambria Math"/>
                  </w:rPr>
                </m:ctrlPr>
              </m:sup>
            </m:sSubSup>
            <m:r>
              <m:rPr>
                <m:sty m:val="p"/>
              </m:rPr>
              <w:rPr>
                <w:rFonts w:ascii="Cambria Math" w:hAnsi="Cambria Math" w:cs="Cambria Math"/>
                <w:lang w:eastAsia="zh-CN"/>
              </w:rPr>
              <m:t>⋅</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cs="Cambria Math"/>
                <w:lang w:eastAsia="zh-CN"/>
              </w:rPr>
              <m:t>⋅</m:t>
            </m:r>
            <m:r>
              <w:rPr>
                <w:rFonts w:ascii="Cambria Math" w:hAnsi="Cambria Math"/>
              </w:rPr>
              <m:t>j</m:t>
            </m:r>
            <m:r>
              <m:rPr>
                <m:sty m:val="p"/>
              </m:rPr>
              <w:rPr>
                <w:rFonts w:ascii="Cambria Math" w:hAnsi="Cambria Math"/>
                <w:lang w:eastAsia="zh-CN"/>
              </w:rPr>
              <m:t>+</m:t>
            </m:r>
            <m:sSubSup>
              <m:sSubSupPr>
                <m:ctrlPr>
                  <w:rPr>
                    <w:rFonts w:ascii="Cambria Math" w:hAnsi="Cambria Math"/>
                    <w:i/>
                  </w:rPr>
                </m:ctrlPr>
              </m:sSubSupPr>
              <m:e>
                <m:r>
                  <w:rPr>
                    <w:rFonts w:ascii="Cambria Math"/>
                  </w:rPr>
                  <m:t>N</m:t>
                </m:r>
              </m:e>
              <m:sub>
                <m:r>
                  <m:rPr>
                    <m:sty m:val="p"/>
                  </m:rPr>
                  <w:rPr>
                    <w:rFonts w:ascii="Cambria Math"/>
                  </w:rPr>
                  <m:t>cells,set</m:t>
                </m:r>
                <m:ctrlPr>
                  <w:rPr>
                    <w:rFonts w:ascii="Cambria Math" w:hAnsi="Cambria Math"/>
                  </w:rPr>
                </m:ctrlPr>
              </m:sub>
              <m:sup>
                <m:r>
                  <m:rPr>
                    <m:nor/>
                  </m:rPr>
                  <w:rPr>
                    <w:rFonts w:ascii="Cambria Math"/>
                  </w:rPr>
                  <m:t>DL,max</m:t>
                </m:r>
                <m:ctrlPr>
                  <w:rPr>
                    <w:rFonts w:ascii="Cambria Math" w:hAnsi="Cambria Math"/>
                  </w:rPr>
                </m:ctrlPr>
              </m:sup>
            </m:sSubSup>
            <m:r>
              <m:rPr>
                <m:sty m:val="p"/>
              </m:rPr>
              <w:rPr>
                <w:rFonts w:ascii="Cambria Math" w:hAnsi="Cambria Math" w:cs="Cambria Math"/>
                <w:lang w:eastAsia="zh-CN"/>
              </w:rPr>
              <m:t>⋅</m:t>
            </m:r>
            <m:d>
              <m:dPr>
                <m:ctrlPr>
                  <w:rPr>
                    <w:rFonts w:ascii="Cambria Math" w:hAnsi="Cambria Math"/>
                    <w:lang w:eastAsia="zh-CN"/>
                  </w:rPr>
                </m:ctrlPr>
              </m:dPr>
              <m:e>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C</m:t>
                    </m:r>
                    <m:r>
                      <m:rPr>
                        <m:nor/>
                      </m:rPr>
                      <w:rPr>
                        <w:rFonts w:ascii="Cambria Math"/>
                        <w:lang w:eastAsia="zh-CN"/>
                      </w:rPr>
                      <m:t>-</m:t>
                    </m:r>
                    <m:r>
                      <m:rPr>
                        <m:nor/>
                      </m:rPr>
                      <w:rPr>
                        <w:lang w:eastAsia="zh-CN"/>
                      </w:rPr>
                      <m:t>DAI</m:t>
                    </m:r>
                    <m:r>
                      <m:rPr>
                        <m:sty m:val="p"/>
                      </m:rPr>
                      <w:rPr>
                        <w:rFonts w:ascii="Cambria Math" w:hAnsi="Cambria Math"/>
                        <w:lang w:eastAsia="zh-CN"/>
                      </w:rPr>
                      <m:t>,</m:t>
                    </m:r>
                    <m:r>
                      <w:rPr>
                        <w:rFonts w:ascii="Cambria Math" w:hAnsi="Cambria Math"/>
                        <w:lang w:eastAsia="zh-CN"/>
                      </w:rPr>
                      <m:t>c</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r>
                  <m:rPr>
                    <m:sty m:val="p"/>
                  </m:rPr>
                  <w:rPr>
                    <w:rFonts w:ascii="Cambria Math" w:hAnsi="Cambria Math"/>
                    <w:lang w:eastAsia="zh-CN"/>
                  </w:rPr>
                  <m:t>-1</m:t>
                </m:r>
              </m:e>
            </m:d>
            <m:r>
              <m:rPr>
                <m:sty m:val="p"/>
              </m:rPr>
              <w:rPr>
                <w:rFonts w:ascii="Cambria Math" w:hAnsi="Cambria Math"/>
                <w:lang w:eastAsia="zh-CN"/>
              </w:rPr>
              <m:t xml:space="preserve">, </m:t>
            </m:r>
            <m:sSubSup>
              <m:sSubSupPr>
                <m:ctrlPr>
                  <w:rPr>
                    <w:rFonts w:ascii="Cambria Math" w:hAnsi="Cambria Math"/>
                    <w:i/>
                  </w:rPr>
                </m:ctrlPr>
              </m:sSubSupPr>
              <m:e>
                <m:r>
                  <w:rPr>
                    <w:rFonts w:ascii="Cambria Math"/>
                  </w:rPr>
                  <m:t>N</m:t>
                </m:r>
              </m:e>
              <m:sub>
                <m:r>
                  <m:rPr>
                    <m:sty m:val="p"/>
                  </m:rPr>
                  <w:rPr>
                    <w:rFonts w:ascii="Cambria Math"/>
                  </w:rPr>
                  <m:t>cells,set</m:t>
                </m:r>
                <m:ctrlPr>
                  <w:rPr>
                    <w:rFonts w:ascii="Cambria Math" w:hAnsi="Cambria Math"/>
                  </w:rPr>
                </m:ctrlPr>
              </m:sub>
              <m:sup>
                <m:r>
                  <m:rPr>
                    <m:nor/>
                  </m:rPr>
                  <w:rPr>
                    <w:rFonts w:ascii="Cambria Math"/>
                  </w:rPr>
                  <m:t>DL,max</m:t>
                </m:r>
                <m:ctrlPr>
                  <w:rPr>
                    <w:rFonts w:ascii="Cambria Math" w:hAnsi="Cambria Math"/>
                  </w:rPr>
                </m:ctrlPr>
              </m:sup>
            </m:sSubSup>
            <m:r>
              <m:rPr>
                <m:sty m:val="p"/>
              </m:rPr>
              <w:rPr>
                <w:rFonts w:ascii="Cambria Math" w:hAnsi="Cambria Math" w:cs="Cambria Math"/>
                <w:lang w:eastAsia="zh-CN"/>
              </w:rPr>
              <m:t>⋅</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cs="Cambria Math"/>
                <w:lang w:eastAsia="zh-CN"/>
              </w:rPr>
              <m:t>⋅</m:t>
            </m:r>
            <m:r>
              <w:rPr>
                <w:rFonts w:ascii="Cambria Math" w:hAnsi="Cambria Math"/>
              </w:rPr>
              <m:t>j</m:t>
            </m:r>
            <m:r>
              <m:rPr>
                <m:sty m:val="p"/>
              </m:rPr>
              <w:rPr>
                <w:rFonts w:ascii="Cambria Math" w:hAnsi="Cambria Math"/>
                <w:lang w:eastAsia="zh-CN"/>
              </w:rPr>
              <m:t>+</m:t>
            </m:r>
            <m:sSubSup>
              <m:sSubSupPr>
                <m:ctrlPr>
                  <w:rPr>
                    <w:rFonts w:ascii="Cambria Math" w:hAnsi="Cambria Math"/>
                    <w:i/>
                  </w:rPr>
                </m:ctrlPr>
              </m:sSubSupPr>
              <m:e>
                <m:r>
                  <w:rPr>
                    <w:rFonts w:ascii="Cambria Math"/>
                  </w:rPr>
                  <m:t>N</m:t>
                </m:r>
              </m:e>
              <m:sub>
                <m:r>
                  <m:rPr>
                    <m:sty m:val="p"/>
                  </m:rPr>
                  <w:rPr>
                    <w:rFonts w:ascii="Cambria Math"/>
                  </w:rPr>
                  <m:t>cells,set</m:t>
                </m:r>
                <m:ctrlPr>
                  <w:rPr>
                    <w:rFonts w:ascii="Cambria Math" w:hAnsi="Cambria Math"/>
                  </w:rPr>
                </m:ctrlPr>
              </m:sub>
              <m:sup>
                <m:r>
                  <m:rPr>
                    <m:nor/>
                  </m:rPr>
                  <w:rPr>
                    <w:rFonts w:ascii="Cambria Math"/>
                  </w:rPr>
                  <m:t>DL,max</m:t>
                </m:r>
                <m:ctrlPr>
                  <w:rPr>
                    <w:rFonts w:ascii="Cambria Math" w:hAnsi="Cambria Math"/>
                  </w:rPr>
                </m:ctrlPr>
              </m:sup>
            </m:sSubSup>
            <m:r>
              <m:rPr>
                <m:sty m:val="p"/>
              </m:rPr>
              <w:rPr>
                <w:rFonts w:ascii="Cambria Math" w:hAnsi="Cambria Math" w:cs="Cambria Math"/>
                <w:lang w:eastAsia="zh-CN"/>
              </w:rPr>
              <m:t>⋅</m:t>
            </m:r>
            <m:d>
              <m:dPr>
                <m:ctrlPr>
                  <w:rPr>
                    <w:rFonts w:ascii="Cambria Math" w:hAnsi="Cambria Math"/>
                    <w:lang w:eastAsia="zh-CN"/>
                  </w:rPr>
                </m:ctrlPr>
              </m:dPr>
              <m:e>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C</m:t>
                    </m:r>
                    <m:r>
                      <m:rPr>
                        <m:nor/>
                      </m:rPr>
                      <w:rPr>
                        <w:rFonts w:ascii="Cambria Math"/>
                        <w:lang w:eastAsia="zh-CN"/>
                      </w:rPr>
                      <m:t>-</m:t>
                    </m:r>
                    <m:r>
                      <m:rPr>
                        <m:nor/>
                      </m:rPr>
                      <w:rPr>
                        <w:lang w:eastAsia="zh-CN"/>
                      </w:rPr>
                      <m:t>DAI</m:t>
                    </m:r>
                    <m:r>
                      <m:rPr>
                        <m:sty m:val="p"/>
                      </m:rPr>
                      <w:rPr>
                        <w:rFonts w:ascii="Cambria Math" w:hAnsi="Cambria Math"/>
                        <w:lang w:eastAsia="zh-CN"/>
                      </w:rPr>
                      <m:t>,</m:t>
                    </m:r>
                    <m:r>
                      <w:rPr>
                        <w:rFonts w:ascii="Cambria Math" w:hAnsi="Cambria Math"/>
                        <w:lang w:eastAsia="zh-CN"/>
                      </w:rPr>
                      <m:t>c</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r>
                  <m:rPr>
                    <m:sty m:val="p"/>
                  </m:rPr>
                  <w:rPr>
                    <w:rFonts w:ascii="Cambria Math" w:hAnsi="Cambria Math"/>
                    <w:lang w:eastAsia="zh-CN"/>
                  </w:rPr>
                  <m:t>-1</m:t>
                </m:r>
              </m:e>
            </m:d>
            <m:r>
              <m:rPr>
                <m:sty m:val="p"/>
              </m:rPr>
              <w:rPr>
                <w:rFonts w:ascii="Cambria Math" w:hAnsi="Cambria Math"/>
                <w:lang w:eastAsia="zh-CN"/>
              </w:rPr>
              <m:t>+1…, </m:t>
            </m:r>
            <m:sSubSup>
              <m:sSubSupPr>
                <m:ctrlPr>
                  <w:rPr>
                    <w:rFonts w:ascii="Cambria Math" w:hAnsi="Cambria Math"/>
                    <w:i/>
                  </w:rPr>
                </m:ctrlPr>
              </m:sSubSupPr>
              <m:e>
                <m:r>
                  <w:rPr>
                    <w:rFonts w:ascii="Cambria Math"/>
                  </w:rPr>
                  <m:t>N</m:t>
                </m:r>
              </m:e>
              <m:sub>
                <m:r>
                  <m:rPr>
                    <m:sty m:val="p"/>
                  </m:rPr>
                  <w:rPr>
                    <w:rFonts w:ascii="Cambria Math"/>
                  </w:rPr>
                  <m:t>cells,set</m:t>
                </m:r>
                <m:ctrlPr>
                  <w:rPr>
                    <w:rFonts w:ascii="Cambria Math" w:hAnsi="Cambria Math"/>
                  </w:rPr>
                </m:ctrlPr>
              </m:sub>
              <m:sup>
                <m:r>
                  <m:rPr>
                    <m:nor/>
                  </m:rPr>
                  <w:rPr>
                    <w:rFonts w:ascii="Cambria Math"/>
                  </w:rPr>
                  <m:t>DL,max</m:t>
                </m:r>
                <m:ctrlPr>
                  <w:rPr>
                    <w:rFonts w:ascii="Cambria Math" w:hAnsi="Cambria Math"/>
                  </w:rPr>
                </m:ctrlPr>
              </m:sup>
            </m:sSubSup>
            <m:r>
              <m:rPr>
                <m:sty m:val="p"/>
              </m:rPr>
              <w:rPr>
                <w:rFonts w:ascii="Cambria Math" w:hAnsi="Cambria Math" w:cs="Cambria Math"/>
                <w:lang w:eastAsia="zh-CN"/>
              </w:rPr>
              <m:t>⋅</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cs="Cambria Math"/>
                <w:lang w:eastAsia="zh-CN"/>
              </w:rPr>
              <m:t>⋅</m:t>
            </m:r>
            <m:r>
              <w:rPr>
                <w:rFonts w:ascii="Cambria Math" w:hAnsi="Cambria Math"/>
              </w:rPr>
              <m:t>j</m:t>
            </m:r>
            <m:r>
              <m:rPr>
                <m:sty m:val="p"/>
              </m:rPr>
              <w:rPr>
                <w:rFonts w:ascii="Cambria Math" w:hAnsi="Cambria Math"/>
                <w:lang w:eastAsia="zh-CN"/>
              </w:rPr>
              <m:t>+</m:t>
            </m:r>
            <m:sSubSup>
              <m:sSubSupPr>
                <m:ctrlPr>
                  <w:rPr>
                    <w:rFonts w:ascii="Cambria Math" w:hAnsi="Cambria Math"/>
                    <w:i/>
                  </w:rPr>
                </m:ctrlPr>
              </m:sSubSupPr>
              <m:e>
                <m:r>
                  <w:rPr>
                    <w:rFonts w:ascii="Cambria Math"/>
                  </w:rPr>
                  <m:t>N</m:t>
                </m:r>
              </m:e>
              <m:sub>
                <m:r>
                  <m:rPr>
                    <m:sty m:val="p"/>
                  </m:rPr>
                  <w:rPr>
                    <w:rFonts w:ascii="Cambria Math"/>
                  </w:rPr>
                  <m:t>cells,set</m:t>
                </m:r>
                <m:ctrlPr>
                  <w:rPr>
                    <w:rFonts w:ascii="Cambria Math" w:hAnsi="Cambria Math"/>
                  </w:rPr>
                </m:ctrlPr>
              </m:sub>
              <m:sup>
                <m:r>
                  <m:rPr>
                    <m:nor/>
                  </m:rPr>
                  <w:rPr>
                    <w:rFonts w:ascii="Cambria Math"/>
                  </w:rPr>
                  <m:t>DL,max</m:t>
                </m:r>
                <m:ctrlPr>
                  <w:rPr>
                    <w:rFonts w:ascii="Cambria Math" w:hAnsi="Cambria Math"/>
                  </w:rPr>
                </m:ctrlPr>
              </m:sup>
            </m:sSubSup>
            <m:r>
              <m:rPr>
                <m:sty m:val="p"/>
              </m:rPr>
              <w:rPr>
                <w:rFonts w:ascii="Cambria Math" w:hAnsi="Cambria Math" w:cs="Cambria Math"/>
                <w:lang w:eastAsia="zh-CN"/>
              </w:rPr>
              <m:t>⋅</m:t>
            </m:r>
            <m:d>
              <m:dPr>
                <m:ctrlPr>
                  <w:rPr>
                    <w:rFonts w:ascii="Cambria Math" w:hAnsi="Cambria Math"/>
                    <w:lang w:eastAsia="zh-CN"/>
                  </w:rPr>
                </m:ctrlPr>
              </m:dPr>
              <m:e>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C</m:t>
                    </m:r>
                    <m:r>
                      <m:rPr>
                        <m:nor/>
                      </m:rPr>
                      <w:rPr>
                        <w:rFonts w:ascii="Cambria Math"/>
                        <w:lang w:eastAsia="zh-CN"/>
                      </w:rPr>
                      <m:t>-</m:t>
                    </m:r>
                    <m:r>
                      <m:rPr>
                        <m:nor/>
                      </m:rPr>
                      <w:rPr>
                        <w:lang w:eastAsia="zh-CN"/>
                      </w:rPr>
                      <m:t>DAI</m:t>
                    </m:r>
                    <m:r>
                      <m:rPr>
                        <m:sty m:val="p"/>
                      </m:rPr>
                      <w:rPr>
                        <w:rFonts w:ascii="Cambria Math" w:hAnsi="Cambria Math"/>
                        <w:lang w:eastAsia="zh-CN"/>
                      </w:rPr>
                      <m:t>,</m:t>
                    </m:r>
                    <m:r>
                      <w:rPr>
                        <w:rFonts w:ascii="Cambria Math" w:hAnsi="Cambria Math"/>
                        <w:lang w:eastAsia="zh-CN"/>
                      </w:rPr>
                      <m:t>c</m:t>
                    </m:r>
                    <m:r>
                      <m:rPr>
                        <m:sty m:val="p"/>
                      </m:rPr>
                      <w:rPr>
                        <w:rFonts w:ascii="Cambria Math" w:hAnsi="Cambria Math"/>
                        <w:lang w:eastAsia="zh-CN"/>
                      </w:rPr>
                      <m:t>,</m:t>
                    </m:r>
                    <m:r>
                      <w:rPr>
                        <w:rFonts w:ascii="Cambria Math" w:hAnsi="Cambria Math"/>
                        <w:lang w:eastAsia="zh-CN"/>
                      </w:rPr>
                      <m:t>m</m:t>
                    </m:r>
                  </m:sub>
                  <m:sup>
                    <m:r>
                      <m:rPr>
                        <m:nor/>
                      </m:rPr>
                      <w:rPr>
                        <w:lang w:eastAsia="zh-CN"/>
                      </w:rPr>
                      <m:t>DL</m:t>
                    </m:r>
                  </m:sup>
                </m:sSubSup>
                <m:r>
                  <m:rPr>
                    <m:sty m:val="p"/>
                  </m:rPr>
                  <w:rPr>
                    <w:rFonts w:ascii="Cambria Math" w:hAnsi="Cambria Math"/>
                    <w:lang w:eastAsia="zh-CN"/>
                  </w:rPr>
                  <m:t>-1</m:t>
                </m:r>
              </m:e>
            </m:d>
            <m:r>
              <m:rPr>
                <m:sty m:val="p"/>
              </m:rPr>
              <w:rPr>
                <w:rFonts w:ascii="Cambria Math" w:hAnsi="Cambria Math"/>
                <w:lang w:eastAsia="zh-CN"/>
              </w:rPr>
              <m:t>+</m:t>
            </m:r>
            <m:sSubSup>
              <m:sSubSupPr>
                <m:ctrlPr>
                  <w:rPr>
                    <w:rFonts w:ascii="Cambria Math" w:hAnsi="Cambria Math"/>
                    <w:i/>
                  </w:rPr>
                </m:ctrlPr>
              </m:sSubSupPr>
              <m:e>
                <m:r>
                  <w:rPr>
                    <w:rFonts w:ascii="Cambria Math"/>
                  </w:rPr>
                  <m:t>N</m:t>
                </m:r>
              </m:e>
              <m:sub>
                <m:r>
                  <m:rPr>
                    <m:sty m:val="p"/>
                  </m:rPr>
                  <w:rPr>
                    <w:rFonts w:ascii="Cambria Math"/>
                  </w:rPr>
                  <m:t>cells,set</m:t>
                </m:r>
                <m:ctrlPr>
                  <w:rPr>
                    <w:rFonts w:ascii="Cambria Math" w:hAnsi="Cambria Math"/>
                  </w:rPr>
                </m:ctrlPr>
              </m:sub>
              <m:sup>
                <m:r>
                  <m:rPr>
                    <m:nor/>
                  </m:rPr>
                  <w:rPr>
                    <w:rFonts w:ascii="Cambria Math"/>
                  </w:rPr>
                  <m:t>DL,max</m:t>
                </m:r>
                <m:ctrlPr>
                  <w:rPr>
                    <w:rFonts w:ascii="Cambria Math" w:hAnsi="Cambria Math"/>
                  </w:rPr>
                </m:ctrlPr>
              </m:sup>
            </m:sSubSup>
            <m:r>
              <w:rPr>
                <w:rFonts w:ascii="Cambria Math" w:hAnsi="Cambria Math"/>
                <w:lang w:eastAsia="zh-CN"/>
              </w:rPr>
              <m:t>-1</m:t>
            </m:r>
          </m:e>
        </m:d>
      </m:oMath>
      <w:r w:rsidR="005575DD" w:rsidRPr="00F526C5">
        <w:rPr>
          <w:lang w:eastAsia="zh-CN"/>
        </w:rPr>
        <w:t>;</w:t>
      </w:r>
    </w:p>
    <w:p w14:paraId="29A8FB72" w14:textId="77777777" w:rsidR="005575DD" w:rsidRPr="005575DD" w:rsidRDefault="005575DD" w:rsidP="00791B34">
      <w:pPr>
        <w:pStyle w:val="B5"/>
        <w:rPr>
          <w:lang w:eastAsia="zh-CN"/>
        </w:rPr>
      </w:pPr>
      <w:r w:rsidRPr="005575DD">
        <w:rPr>
          <w:lang w:eastAsia="zh-CN"/>
        </w:rPr>
        <w:t>end if</w:t>
      </w:r>
    </w:p>
    <w:p w14:paraId="52C3091F" w14:textId="029091FF" w:rsidR="005575DD" w:rsidRDefault="00791B34" w:rsidP="00791B34">
      <w:pPr>
        <w:pStyle w:val="B5"/>
        <w:rPr>
          <w:lang w:eastAsia="zh-CN"/>
        </w:rPr>
      </w:pPr>
      <m:oMath>
        <m:r>
          <w:rPr>
            <w:rFonts w:ascii="Cambria Math" w:hAnsi="Cambria Math"/>
            <w:lang w:eastAsia="zh-CN"/>
          </w:rPr>
          <m:t>c=c+1</m:t>
        </m:r>
      </m:oMath>
      <w:r w:rsidR="005575DD" w:rsidRPr="005575DD">
        <w:rPr>
          <w:lang w:eastAsia="zh-CN"/>
        </w:rPr>
        <w:t>;</w:t>
      </w:r>
    </w:p>
    <w:p w14:paraId="1EBDF667" w14:textId="7374CADB" w:rsidR="00791B34" w:rsidRPr="005575DD" w:rsidRDefault="00791B34" w:rsidP="00791B34">
      <w:pPr>
        <w:pStyle w:val="B4"/>
        <w:rPr>
          <w:lang w:eastAsia="zh-CN"/>
        </w:rPr>
      </w:pPr>
      <w:r w:rsidRPr="005575DD">
        <w:rPr>
          <w:lang w:eastAsia="zh-CN"/>
        </w:rPr>
        <w:t>end if</w:t>
      </w:r>
    </w:p>
    <w:p w14:paraId="1F41D9C2" w14:textId="46126EE2" w:rsidR="005575DD" w:rsidRPr="005575DD" w:rsidRDefault="005575DD" w:rsidP="00E10BDF">
      <w:pPr>
        <w:pStyle w:val="B3"/>
        <w:rPr>
          <w:lang w:eastAsia="zh-CN"/>
        </w:rPr>
      </w:pPr>
      <w:r w:rsidRPr="005575DD">
        <w:rPr>
          <w:lang w:eastAsia="zh-CN"/>
        </w:rPr>
        <w:t>end while</w:t>
      </w:r>
    </w:p>
    <w:p w14:paraId="3C4BA5BE" w14:textId="77777777" w:rsidR="005575DD" w:rsidRPr="005575DD" w:rsidRDefault="005575DD" w:rsidP="00E10BDF">
      <w:pPr>
        <w:pStyle w:val="B2"/>
        <w:rPr>
          <w:lang w:eastAsia="zh-CN"/>
        </w:rPr>
      </w:pPr>
      <w:r w:rsidRPr="005575DD">
        <w:rPr>
          <w:lang w:eastAsia="zh-CN"/>
        </w:rPr>
        <w:t>end if</w:t>
      </w:r>
      <w:r w:rsidRPr="005575DD">
        <w:rPr>
          <w:rFonts w:hint="eastAsia"/>
          <w:lang w:eastAsia="zh-CN"/>
        </w:rPr>
        <w:t xml:space="preserve"> </w:t>
      </w:r>
    </w:p>
    <w:p w14:paraId="3D2241B1" w14:textId="77777777" w:rsidR="005575DD" w:rsidRPr="005575DD" w:rsidRDefault="005575DD" w:rsidP="00E10BDF">
      <w:pPr>
        <w:pStyle w:val="B2"/>
        <w:rPr>
          <w:i/>
          <w:lang w:val="en-US" w:eastAsia="zh-CN"/>
        </w:rPr>
      </w:pPr>
      <m:oMath>
        <m:r>
          <w:rPr>
            <w:rFonts w:ascii="Cambria Math" w:hAnsi="Cambria Math"/>
          </w:rPr>
          <m:t>m=m+1</m:t>
        </m:r>
      </m:oMath>
      <w:r w:rsidRPr="005575DD">
        <w:rPr>
          <w:iCs/>
        </w:rPr>
        <w:t>;</w:t>
      </w:r>
      <w:r w:rsidRPr="005575DD">
        <w:rPr>
          <w:iCs/>
          <w:lang w:val="en-US"/>
        </w:rPr>
        <w:t xml:space="preserve"> </w:t>
      </w:r>
    </w:p>
    <w:p w14:paraId="663EEAB5" w14:textId="77777777" w:rsidR="005575DD" w:rsidRPr="005575DD" w:rsidRDefault="005575DD" w:rsidP="00E10BDF">
      <w:pPr>
        <w:pStyle w:val="B1"/>
        <w:rPr>
          <w:lang w:eastAsia="zh-CN"/>
        </w:rPr>
      </w:pPr>
      <w:r w:rsidRPr="005575DD">
        <w:rPr>
          <w:rFonts w:hint="eastAsia"/>
          <w:lang w:eastAsia="zh-CN"/>
        </w:rPr>
        <w:t>end while</w:t>
      </w:r>
    </w:p>
    <w:p w14:paraId="16BEFF91" w14:textId="77777777" w:rsidR="005575DD" w:rsidRPr="005575DD" w:rsidRDefault="00000000" w:rsidP="00E10BDF">
      <w:pPr>
        <w:pStyle w:val="B1"/>
        <w:rPr>
          <w:lang w:eastAsia="zh-CN"/>
        </w:rPr>
      </w:pP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m:t>
            </m:r>
          </m:sub>
        </m:sSub>
        <m:r>
          <m:rPr>
            <m:sty m:val="p"/>
          </m:rPr>
          <w:rPr>
            <w:rFonts w:ascii="Cambria Math" w:hAnsi="Cambria Math"/>
            <w:lang w:eastAsia="zh-CN"/>
          </w:rPr>
          <m:t>=</m:t>
        </m:r>
        <m:d>
          <m:dPr>
            <m:ctrlPr>
              <w:rPr>
                <w:rFonts w:ascii="Cambria Math" w:hAnsi="Cambria Math"/>
                <w:lang w:eastAsia="zh-CN"/>
              </w:rPr>
            </m:ctrlPr>
          </m:dPr>
          <m:e>
            <m:r>
              <w:rPr>
                <w:rFonts w:ascii="Cambria Math" w:hAnsi="Cambria Math"/>
                <w:lang w:eastAsia="zh-CN"/>
              </w:rPr>
              <m:t>j</m:t>
            </m:r>
            <m:r>
              <m:rPr>
                <m:sty m:val="p"/>
              </m:rPr>
              <w:rPr>
                <w:rFonts w:ascii="Cambria Math" w:hAnsi="Cambria Math"/>
                <w:lang w:eastAsia="zh-CN"/>
              </w:rPr>
              <m:t xml:space="preserve"> </m:t>
            </m:r>
            <m:r>
              <w:rPr>
                <w:rFonts w:ascii="Cambria Math" w:hAnsi="Cambria Math"/>
                <w:lang w:eastAsia="zh-CN"/>
              </w:rPr>
              <m:t>mod</m:t>
            </m:r>
            <m:d>
              <m:dPr>
                <m:ctrlPr>
                  <w:rPr>
                    <w:rFonts w:ascii="Cambria Math" w:hAnsi="Cambria Math"/>
                    <w:lang w:eastAsia="zh-CN"/>
                  </w:rPr>
                </m:ctrlPr>
              </m:dPr>
              <m:e>
                <m:f>
                  <m:fPr>
                    <m:ctrlPr>
                      <w:rPr>
                        <w:rFonts w:ascii="Cambria Math" w:hAnsi="Cambria Math"/>
                        <w:lang w:eastAsia="zh-CN"/>
                      </w:rPr>
                    </m:ctrlPr>
                  </m:fPr>
                  <m:num>
                    <m:r>
                      <m:rPr>
                        <m:sty m:val="p"/>
                      </m:rPr>
                      <w:rPr>
                        <w:rFonts w:ascii="Cambria Math" w:hAnsi="Cambria Math"/>
                        <w:lang w:eastAsia="zh-CN"/>
                      </w:rPr>
                      <m:t>4</m:t>
                    </m:r>
                  </m:num>
                  <m:den>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D</m:t>
                        </m:r>
                      </m:sub>
                    </m:sSub>
                  </m:den>
                </m:f>
              </m:e>
            </m:d>
          </m:e>
        </m:d>
        <m:r>
          <m:rPr>
            <m:sty m:val="p"/>
          </m:rPr>
          <w:rPr>
            <w:rFonts w:ascii="Cambria Math" w:hAnsi="Cambria Math"/>
            <w:lang w:eastAsia="zh-CN"/>
          </w:rPr>
          <m:t>×</m:t>
        </m:r>
        <m:d>
          <m:dPr>
            <m:ctrlPr>
              <w:rPr>
                <w:rFonts w:ascii="Cambria Math" w:hAnsi="Cambria Math"/>
                <w:lang w:eastAsia="zh-CN"/>
              </w:rPr>
            </m:ctrlPr>
          </m:dPr>
          <m:e>
            <m:f>
              <m:fPr>
                <m:ctrlPr>
                  <w:rPr>
                    <w:rFonts w:ascii="Cambria Math" w:hAnsi="Cambria Math"/>
                    <w:lang w:eastAsia="zh-CN"/>
                  </w:rPr>
                </m:ctrlPr>
              </m:fPr>
              <m:num>
                <m:r>
                  <m:rPr>
                    <m:sty m:val="p"/>
                  </m:rPr>
                  <w:rPr>
                    <w:rFonts w:ascii="Cambria Math" w:hAnsi="Cambria Math"/>
                    <w:lang w:eastAsia="zh-CN"/>
                  </w:rPr>
                  <m:t>4</m:t>
                </m:r>
              </m:num>
              <m:den>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D</m:t>
                    </m:r>
                  </m:sub>
                </m:sSub>
              </m:den>
            </m:f>
          </m:e>
        </m:d>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m:t>
            </m:r>
          </m:sub>
        </m:sSub>
      </m:oMath>
      <w:r w:rsidR="005575DD" w:rsidRPr="005575DD">
        <w:rPr>
          <w:lang w:eastAsia="zh-CN"/>
        </w:rPr>
        <w:t xml:space="preserve">; </w:t>
      </w:r>
    </w:p>
    <w:p w14:paraId="385F210A" w14:textId="02ABC6E5" w:rsidR="005575DD" w:rsidRPr="005575DD" w:rsidRDefault="005575DD" w:rsidP="00E10BDF">
      <w:pPr>
        <w:pStyle w:val="B1"/>
      </w:pPr>
      <w:r w:rsidRPr="005575DD">
        <w:rPr>
          <w:lang w:eastAsia="zh-CN"/>
        </w:rPr>
        <w:t xml:space="preserve">if UE does not set </w:t>
      </w:r>
      <m:oMath>
        <m:sSub>
          <m:sSubPr>
            <m:ctrlPr>
              <w:rPr>
                <w:rFonts w:ascii="Cambria Math" w:hAnsi="Cambria Math" w:cs="Calibri"/>
                <w:sz w:val="21"/>
                <w:szCs w:val="21"/>
              </w:rPr>
            </m:ctrlPr>
          </m:sSubPr>
          <m:e>
            <m:r>
              <w:rPr>
                <w:rFonts w:ascii="Cambria Math" w:hAnsi="Cambria Math"/>
              </w:rPr>
              <m:t>V</m:t>
            </m:r>
          </m:e>
          <m:sub>
            <m:r>
              <w:rPr>
                <w:rFonts w:ascii="Cambria Math" w:hAnsi="Cambria Math"/>
              </w:rPr>
              <m:t>temp</m:t>
            </m:r>
            <m:r>
              <m:rPr>
                <m:sty m:val="p"/>
              </m:rPr>
              <w:rPr>
                <w:rFonts w:ascii="Cambria Math" w:hAnsi="Cambria Math"/>
              </w:rPr>
              <m:t>2</m:t>
            </m:r>
          </m:sub>
        </m:sSub>
        <m:r>
          <m:rPr>
            <m:sty m:val="p"/>
          </m:rPr>
          <w:rPr>
            <w:rFonts w:ascii="Cambria Math" w:hAnsi="Cambria Math"/>
          </w:rPr>
          <m:t>=</m:t>
        </m:r>
        <m:sSubSup>
          <m:sSubSupPr>
            <m:ctrlPr>
              <w:rPr>
                <w:rFonts w:ascii="Cambria Math" w:hAnsi="Cambria Math" w:cs="Calibri"/>
                <w:sz w:val="21"/>
                <w:szCs w:val="21"/>
              </w:rPr>
            </m:ctrlPr>
          </m:sSubSupPr>
          <m:e>
            <m:r>
              <w:rPr>
                <w:rFonts w:ascii="Cambria Math" w:hAnsi="Cambria Math"/>
              </w:rPr>
              <m:t>V</m:t>
            </m:r>
          </m:e>
          <m:sub>
            <m:r>
              <m:rPr>
                <m:sty m:val="p"/>
              </m:rPr>
              <w:rPr>
                <w:rFonts w:ascii="Cambria Math" w:hAnsi="Cambria Math"/>
              </w:rPr>
              <m:t>T-</m:t>
            </m:r>
            <m:r>
              <w:rPr>
                <w:rFonts w:ascii="Cambria Math" w:hAnsi="Cambria Math"/>
              </w:rPr>
              <m:t>DAI</m:t>
            </m:r>
          </m:sub>
          <m:sup>
            <m:r>
              <w:rPr>
                <w:rFonts w:ascii="Cambria Math" w:hAnsi="Cambria Math"/>
              </w:rPr>
              <m:t>UL</m:t>
            </m:r>
          </m:sup>
        </m:sSubSup>
      </m:oMath>
      <w:r w:rsidRPr="005575DD">
        <w:t xml:space="preserve"> and </w:t>
      </w:r>
      <m:oMath>
        <m:sSub>
          <m:sSubPr>
            <m:ctrlPr>
              <w:rPr>
                <w:rFonts w:ascii="Cambria Math" w:hAnsi="Cambria Math" w:cs="Calibri"/>
                <w:iCs/>
                <w:sz w:val="21"/>
                <w:szCs w:val="21"/>
              </w:rPr>
            </m:ctrlPr>
          </m:sSubPr>
          <m:e>
            <m:r>
              <w:rPr>
                <w:rFonts w:ascii="Cambria Math" w:hAnsi="Cambria Math"/>
              </w:rPr>
              <m:t>T</m:t>
            </m:r>
          </m:e>
          <m:sub>
            <m:r>
              <w:rPr>
                <w:rFonts w:ascii="Cambria Math" w:hAnsi="Cambria Math"/>
              </w:rPr>
              <m:t>D</m:t>
            </m:r>
          </m:sub>
        </m:sSub>
        <m:r>
          <m:rPr>
            <m:sty m:val="p"/>
          </m:rPr>
          <w:rPr>
            <w:rFonts w:ascii="Cambria Math" w:hAnsi="Cambria Math"/>
          </w:rPr>
          <m:t>=2</m:t>
        </m:r>
      </m:oMath>
    </w:p>
    <w:p w14:paraId="34833B6C" w14:textId="77777777" w:rsidR="005575DD" w:rsidRPr="005575DD" w:rsidRDefault="00000000" w:rsidP="00E10BDF">
      <w:pPr>
        <w:pStyle w:val="B2"/>
      </w:pPr>
      <m:oMath>
        <m:sSub>
          <m:sSubPr>
            <m:ctrlPr>
              <w:rPr>
                <w:rFonts w:ascii="Cambria Math" w:hAnsi="Cambria Math" w:cs="Calibri"/>
                <w:sz w:val="21"/>
                <w:szCs w:val="21"/>
              </w:rPr>
            </m:ctrlPr>
          </m:sSubPr>
          <m:e>
            <m:r>
              <w:rPr>
                <w:rFonts w:ascii="Cambria Math" w:hAnsi="Cambria Math"/>
              </w:rPr>
              <m:t>V</m:t>
            </m:r>
          </m:e>
          <m:sub>
            <m:r>
              <w:rPr>
                <w:rFonts w:ascii="Cambria Math" w:hAnsi="Cambria Math"/>
              </w:rPr>
              <m:t>temp</m:t>
            </m:r>
            <m:r>
              <m:rPr>
                <m:sty m:val="p"/>
              </m:rPr>
              <w:rPr>
                <w:rFonts w:ascii="Cambria Math" w:hAnsi="Cambria Math"/>
              </w:rPr>
              <m:t>2</m:t>
            </m:r>
          </m:sub>
        </m:sSub>
        <m:r>
          <m:rPr>
            <m:sty m:val="p"/>
          </m:rPr>
          <w:rPr>
            <w:rFonts w:ascii="Cambria Math" w:hAnsi="Cambria Math"/>
          </w:rPr>
          <m:t>=</m:t>
        </m:r>
        <m:sSub>
          <m:sSubPr>
            <m:ctrlPr>
              <w:rPr>
                <w:rFonts w:ascii="Cambria Math" w:hAnsi="Cambria Math" w:cs="Calibri"/>
                <w:sz w:val="21"/>
                <w:szCs w:val="21"/>
              </w:rPr>
            </m:ctrlPr>
          </m:sSubPr>
          <m:e>
            <m:r>
              <w:rPr>
                <w:rFonts w:ascii="Cambria Math" w:hAnsi="Cambria Math"/>
              </w:rPr>
              <m:t>V</m:t>
            </m:r>
          </m:e>
          <m:sub>
            <m:r>
              <w:rPr>
                <w:rFonts w:ascii="Cambria Math" w:hAnsi="Cambria Math"/>
              </w:rPr>
              <m:t>temp</m:t>
            </m:r>
          </m:sub>
        </m:sSub>
      </m:oMath>
      <w:r w:rsidR="005575DD" w:rsidRPr="005575DD">
        <w:rPr>
          <w:sz w:val="21"/>
          <w:szCs w:val="21"/>
        </w:rPr>
        <w:t xml:space="preserve">; </w:t>
      </w:r>
    </w:p>
    <w:p w14:paraId="298B8051" w14:textId="77777777" w:rsidR="005575DD" w:rsidRPr="005575DD" w:rsidRDefault="005575DD" w:rsidP="00E10BDF">
      <w:pPr>
        <w:pStyle w:val="B1"/>
        <w:rPr>
          <w:lang w:eastAsia="zh-CN"/>
        </w:rPr>
      </w:pPr>
      <w:r w:rsidRPr="005575DD">
        <w:rPr>
          <w:lang w:eastAsia="zh-CN"/>
        </w:rPr>
        <w:t>end if</w:t>
      </w:r>
    </w:p>
    <w:p w14:paraId="67C67459" w14:textId="77777777" w:rsidR="005575DD" w:rsidRPr="005575DD" w:rsidRDefault="005575DD" w:rsidP="00E10BDF">
      <w:pPr>
        <w:pStyle w:val="B1"/>
        <w:rPr>
          <w:i/>
          <w:lang w:val="en-US" w:eastAsia="zh-CN"/>
        </w:rPr>
      </w:pPr>
      <m:oMath>
        <m:r>
          <w:rPr>
            <w:rFonts w:ascii="Cambria Math" w:hAnsi="Cambria Math"/>
            <w:lang w:eastAsia="zh-CN"/>
          </w:rPr>
          <m:t>j</m:t>
        </m:r>
        <m:r>
          <m:rPr>
            <m:sty m:val="p"/>
          </m:rPr>
          <w:rPr>
            <w:rFonts w:ascii="Cambria Math" w:hAnsi="Cambria Math"/>
            <w:lang w:eastAsia="zh-CN"/>
          </w:rPr>
          <m:t>=</m:t>
        </m:r>
        <m:d>
          <m:dPr>
            <m:begChr m:val="⌊"/>
            <m:endChr m:val="⌋"/>
            <m:ctrlPr>
              <w:rPr>
                <w:rFonts w:ascii="Cambria Math" w:hAnsi="Cambria Math"/>
                <w:lang w:eastAsia="zh-CN"/>
              </w:rPr>
            </m:ctrlPr>
          </m:dPr>
          <m:e>
            <m:f>
              <m:fPr>
                <m:ctrlPr>
                  <w:rPr>
                    <w:rFonts w:ascii="Cambria Math" w:hAnsi="Cambria Math"/>
                    <w:lang w:eastAsia="zh-CN"/>
                  </w:rPr>
                </m:ctrlPr>
              </m:fPr>
              <m:num>
                <m:r>
                  <w:rPr>
                    <w:rFonts w:ascii="Cambria Math" w:hAnsi="Cambria Math"/>
                    <w:lang w:eastAsia="zh-CN"/>
                  </w:rPr>
                  <m:t>j</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D</m:t>
                    </m:r>
                  </m:sub>
                </m:sSub>
              </m:num>
              <m:den>
                <m:r>
                  <m:rPr>
                    <m:sty m:val="p"/>
                  </m:rPr>
                  <w:rPr>
                    <w:rFonts w:ascii="Cambria Math" w:hAnsi="Cambria Math"/>
                    <w:lang w:eastAsia="zh-CN"/>
                  </w:rPr>
                  <m:t>4</m:t>
                </m:r>
              </m:den>
            </m:f>
          </m:e>
        </m:d>
      </m:oMath>
      <w:r w:rsidRPr="005575DD">
        <w:rPr>
          <w:iCs/>
          <w:lang w:val="en-US" w:eastAsia="zh-CN"/>
        </w:rPr>
        <w:t>;</w:t>
      </w:r>
    </w:p>
    <w:p w14:paraId="436A5AC4" w14:textId="77777777" w:rsidR="005575DD" w:rsidRPr="005575DD" w:rsidRDefault="005575DD" w:rsidP="00E10BDF">
      <w:pPr>
        <w:pStyle w:val="B1"/>
        <w:rPr>
          <w:rFonts w:cs="Arial"/>
          <w:lang w:eastAsia="zh-CN"/>
        </w:rPr>
      </w:pPr>
      <w:r w:rsidRPr="005575DD">
        <w:rPr>
          <w:rFonts w:hint="eastAsia"/>
          <w:lang w:eastAsia="zh-CN"/>
        </w:rPr>
        <w:t xml:space="preserve">if </w:t>
      </w: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temp2</m:t>
            </m:r>
          </m:sub>
        </m:sSub>
        <m:r>
          <w:rPr>
            <w:rFonts w:ascii="Cambria Math" w:hAnsi="Cambria Math"/>
            <w:lang w:eastAsia="zh-CN"/>
          </w:rPr>
          <m:t>&lt;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temp</m:t>
            </m:r>
          </m:sub>
        </m:sSub>
      </m:oMath>
    </w:p>
    <w:p w14:paraId="6228E246" w14:textId="77777777" w:rsidR="005575DD" w:rsidRPr="005575DD" w:rsidRDefault="005575DD" w:rsidP="00E10BDF">
      <w:pPr>
        <w:pStyle w:val="B1"/>
        <w:rPr>
          <w:lang w:val="en-US" w:eastAsia="zh-CN"/>
        </w:rPr>
      </w:pPr>
      <m:oMath>
        <m:r>
          <w:rPr>
            <w:rFonts w:ascii="Cambria Math" w:hAnsi="Cambria Math"/>
            <w:lang w:eastAsia="zh-CN"/>
          </w:rPr>
          <m:t>j</m:t>
        </m:r>
        <m:r>
          <m:rPr>
            <m:sty m:val="p"/>
          </m:rPr>
          <w:rPr>
            <w:rFonts w:ascii="Cambria Math" w:hAnsi="Cambria Math"/>
            <w:lang w:eastAsia="zh-CN"/>
          </w:rPr>
          <m:t>=</m:t>
        </m:r>
        <m:r>
          <w:rPr>
            <w:rFonts w:ascii="Cambria Math" w:hAnsi="Cambria Math"/>
            <w:lang w:eastAsia="zh-CN"/>
          </w:rPr>
          <m:t>j</m:t>
        </m:r>
        <m:r>
          <m:rPr>
            <m:sty m:val="p"/>
          </m:rPr>
          <w:rPr>
            <w:rFonts w:ascii="Cambria Math" w:hAnsi="Cambria Math"/>
            <w:lang w:eastAsia="zh-CN"/>
          </w:rPr>
          <m:t>+1</m:t>
        </m:r>
      </m:oMath>
      <w:r w:rsidRPr="005575DD">
        <w:rPr>
          <w:lang w:eastAsia="zh-CN"/>
        </w:rPr>
        <w:t>;</w:t>
      </w:r>
      <w:r w:rsidRPr="005575DD">
        <w:rPr>
          <w:lang w:val="en-US" w:eastAsia="zh-CN"/>
        </w:rPr>
        <w:t xml:space="preserve"> </w:t>
      </w:r>
    </w:p>
    <w:p w14:paraId="557D85CC" w14:textId="77777777" w:rsidR="005575DD" w:rsidRPr="005575DD" w:rsidRDefault="005575DD" w:rsidP="00E10BDF">
      <w:pPr>
        <w:pStyle w:val="B1"/>
        <w:rPr>
          <w:rFonts w:eastAsia="Times New Roman" w:cs="Arial"/>
          <w:lang w:eastAsia="zh-CN"/>
        </w:rPr>
      </w:pPr>
      <w:r w:rsidRPr="005575DD">
        <w:rPr>
          <w:rFonts w:eastAsia="Times New Roman" w:hint="eastAsia"/>
          <w:lang w:eastAsia="zh-CN"/>
        </w:rPr>
        <w:t>end if</w:t>
      </w:r>
    </w:p>
    <w:p w14:paraId="4B82D24D" w14:textId="77777777" w:rsidR="005575DD" w:rsidRPr="005575DD" w:rsidRDefault="005575DD" w:rsidP="00E10BDF">
      <w:pPr>
        <w:pStyle w:val="B1"/>
        <w:rPr>
          <w:rFonts w:eastAsia="Times New Roman" w:cs="Arial"/>
          <w:lang w:eastAsia="zh-CN"/>
        </w:rPr>
      </w:pPr>
      <w:r w:rsidRPr="005575DD">
        <w:rPr>
          <w:rFonts w:eastAsia="Times New Roman" w:cs="Arial" w:hint="eastAsia"/>
          <w:lang w:eastAsia="zh-CN"/>
        </w:rPr>
        <w:t xml:space="preserve">if </w:t>
      </w:r>
      <w:r w:rsidRPr="005575DD">
        <w:rPr>
          <w:rFonts w:eastAsia="Times New Roman"/>
          <w:i/>
        </w:rPr>
        <w:t>harq-ACK-SpatialBundlingPUCCH</w:t>
      </w:r>
      <w:r w:rsidRPr="005575DD">
        <w:rPr>
          <w:rFonts w:eastAsia="Times New Roman" w:hint="eastAsia"/>
          <w:lang w:eastAsia="zh-CN"/>
        </w:rPr>
        <w:t xml:space="preserve"> </w:t>
      </w:r>
      <w:r w:rsidRPr="005575DD">
        <w:rPr>
          <w:rFonts w:eastAsia="Times New Roman"/>
          <w:lang w:val="en-US" w:eastAsia="zh-CN"/>
        </w:rPr>
        <w:t>is not provided</w:t>
      </w:r>
      <w:r w:rsidRPr="005575DD">
        <w:rPr>
          <w:rFonts w:eastAsia="Times New Roman" w:cs="Arial" w:hint="eastAsia"/>
          <w:lang w:eastAsia="zh-CN"/>
        </w:rPr>
        <w:t>,</w:t>
      </w:r>
    </w:p>
    <w:p w14:paraId="74CAC317" w14:textId="77777777" w:rsidR="005575DD" w:rsidRPr="005575DD" w:rsidRDefault="00000000" w:rsidP="00E10BDF">
      <w:pPr>
        <w:pStyle w:val="B2"/>
        <w:rPr>
          <w:lang w:val="en-US" w:eastAsia="zh-CN"/>
        </w:rPr>
      </w:pPr>
      <m:oMath>
        <m:sSup>
          <m:sSupPr>
            <m:ctrlPr>
              <w:rPr>
                <w:rFonts w:ascii="Cambria Math" w:hAnsi="Cambria Math" w:cs="Calibri"/>
                <w:sz w:val="21"/>
                <w:szCs w:val="21"/>
              </w:rPr>
            </m:ctrlPr>
          </m:sSupPr>
          <m:e>
            <m:r>
              <w:rPr>
                <w:rFonts w:ascii="Cambria Math" w:hAnsi="Cambria Math"/>
                <w:lang w:eastAsia="zh-CN"/>
              </w:rPr>
              <m:t>O</m:t>
            </m:r>
          </m:e>
          <m:sup>
            <m:r>
              <w:rPr>
                <w:rFonts w:ascii="Cambria Math" w:hAnsi="Cambria Math"/>
                <w:lang w:eastAsia="zh-CN"/>
              </w:rPr>
              <m:t>ACK</m:t>
            </m:r>
          </m:sup>
        </m:sSup>
        <m:r>
          <m:rPr>
            <m:sty m:val="p"/>
          </m:rPr>
          <w:rPr>
            <w:rFonts w:ascii="Cambria Math" w:hAnsi="Cambria Math"/>
            <w:lang w:eastAsia="zh-CN"/>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sets</m:t>
            </m:r>
            <m:ctrlPr>
              <w:rPr>
                <w:rFonts w:ascii="Cambria Math" w:hAnsi="Cambria Math"/>
              </w:rPr>
            </m:ctrlPr>
          </m:sub>
          <m:sup>
            <m:r>
              <m:rPr>
                <m:nor/>
              </m:rPr>
              <w:rPr>
                <w:lang w:val="en-US"/>
              </w:rPr>
              <m:t>TB,max</m:t>
            </m:r>
            <m:ctrlPr>
              <w:rPr>
                <w:rFonts w:ascii="Cambria Math" w:hAnsi="Cambria Math"/>
              </w:rPr>
            </m:ctrlPr>
          </m:sup>
        </m:sSubSup>
        <m:r>
          <m:rPr>
            <m:sty m:val="p"/>
          </m:rPr>
          <w:rPr>
            <w:rFonts w:ascii="Cambria Math" w:hAnsi="Cambria Math"/>
            <w:lang w:eastAsia="zh-CN"/>
          </w:rPr>
          <m:t>⋅</m:t>
        </m:r>
        <m:d>
          <m:dPr>
            <m:ctrlPr>
              <w:rPr>
                <w:rFonts w:ascii="Cambria Math" w:hAnsi="Cambria Math" w:cs="Calibri"/>
                <w:sz w:val="21"/>
                <w:szCs w:val="21"/>
              </w:rPr>
            </m:ctrlPr>
          </m:dPr>
          <m:e>
            <m:r>
              <m:rPr>
                <m:sty m:val="p"/>
              </m:rPr>
              <w:rPr>
                <w:rFonts w:ascii="Cambria Math" w:hAnsi="Cambria Math"/>
              </w:rPr>
              <m:t>4</m:t>
            </m:r>
            <m:r>
              <m:rPr>
                <m:sty m:val="p"/>
              </m:rPr>
              <w:rPr>
                <w:rFonts w:ascii="Cambria Math" w:hAnsi="Cambria Math"/>
                <w:lang w:eastAsia="zh-CN"/>
              </w:rPr>
              <m:t>⋅</m:t>
            </m:r>
            <m:r>
              <w:rPr>
                <w:rFonts w:ascii="Cambria Math" w:hAnsi="Cambria Math"/>
              </w:rPr>
              <m:t>j</m:t>
            </m:r>
            <m:r>
              <m:rPr>
                <m:sty m:val="p"/>
              </m:rPr>
              <w:rPr>
                <w:rFonts w:ascii="Cambria Math" w:hAnsi="Cambria Math"/>
                <w:lang w:eastAsia="zh-CN"/>
              </w:rPr>
              <m:t>+</m:t>
            </m:r>
            <m:sSub>
              <m:sSubPr>
                <m:ctrlPr>
                  <w:rPr>
                    <w:rFonts w:ascii="Cambria Math" w:hAnsi="Cambria Math" w:cs="Calibri"/>
                    <w:sz w:val="21"/>
                    <w:szCs w:val="21"/>
                  </w:rPr>
                </m:ctrlPr>
              </m:sSubPr>
              <m:e>
                <m:r>
                  <w:rPr>
                    <w:rFonts w:ascii="Cambria Math" w:hAnsi="Cambria Math"/>
                    <w:lang w:eastAsia="zh-CN"/>
                  </w:rPr>
                  <m:t>V</m:t>
                </m:r>
              </m:e>
              <m:sub>
                <m:r>
                  <w:rPr>
                    <w:rFonts w:ascii="Cambria Math" w:hAnsi="Cambria Math"/>
                    <w:lang w:eastAsia="zh-CN"/>
                  </w:rPr>
                  <m:t>temp</m:t>
                </m:r>
                <m:r>
                  <m:rPr>
                    <m:sty m:val="p"/>
                  </m:rPr>
                  <w:rPr>
                    <w:rFonts w:ascii="Cambria Math" w:hAnsi="Cambria Math"/>
                    <w:lang w:eastAsia="zh-CN"/>
                  </w:rPr>
                  <m:t>2</m:t>
                </m:r>
              </m:sub>
            </m:sSub>
          </m:e>
        </m:d>
      </m:oMath>
      <w:r w:rsidR="005575DD" w:rsidRPr="005575DD">
        <w:rPr>
          <w:sz w:val="21"/>
          <w:szCs w:val="21"/>
          <w:lang w:val="en-US"/>
        </w:rPr>
        <w:t xml:space="preserve"> </w:t>
      </w:r>
    </w:p>
    <w:p w14:paraId="21AB3182" w14:textId="77777777" w:rsidR="005575DD" w:rsidRPr="005575DD" w:rsidRDefault="005575DD" w:rsidP="00E10BDF">
      <w:pPr>
        <w:pStyle w:val="B1"/>
        <w:rPr>
          <w:lang w:eastAsia="zh-CN"/>
        </w:rPr>
      </w:pPr>
      <w:r w:rsidRPr="005575DD">
        <w:rPr>
          <w:rFonts w:hint="eastAsia"/>
          <w:lang w:eastAsia="zh-CN"/>
        </w:rPr>
        <w:t>else</w:t>
      </w:r>
    </w:p>
    <w:p w14:paraId="3F970E49" w14:textId="77777777" w:rsidR="005575DD" w:rsidRPr="005575DD" w:rsidRDefault="00000000" w:rsidP="00E10BDF">
      <w:pPr>
        <w:pStyle w:val="B2"/>
        <w:rPr>
          <w:lang w:val="en-US" w:eastAsia="zh-CN"/>
        </w:rPr>
      </w:pPr>
      <m:oMath>
        <m:sSup>
          <m:sSupPr>
            <m:ctrlPr>
              <w:rPr>
                <w:rFonts w:ascii="Cambria Math" w:hAnsi="Cambria Math" w:cs="SimSun"/>
                <w:sz w:val="24"/>
                <w:szCs w:val="24"/>
              </w:rPr>
            </m:ctrlPr>
          </m:sSupPr>
          <m:e>
            <m:r>
              <w:rPr>
                <w:rFonts w:ascii="Cambria Math" w:hAnsi="Cambria Math"/>
              </w:rPr>
              <m:t>O</m:t>
            </m:r>
          </m:e>
          <m:sup>
            <m:r>
              <w:rPr>
                <w:rFonts w:ascii="Cambria Math" w:hAnsi="Cambria Math"/>
              </w:rPr>
              <m:t>ACK</m:t>
            </m:r>
          </m:sup>
        </m:sSup>
        <m:r>
          <m:rPr>
            <m:sty m:val="p"/>
          </m:rP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cells,set</m:t>
            </m:r>
            <m:ctrlPr>
              <w:rPr>
                <w:rFonts w:ascii="Cambria Math" w:hAnsi="Cambria Math"/>
              </w:rPr>
            </m:ctrlPr>
          </m:sub>
          <m:sup>
            <m:r>
              <m:rPr>
                <m:nor/>
              </m:rPr>
              <w:rPr>
                <w:lang w:val="en-US"/>
              </w:rPr>
              <m:t>DL,max</m:t>
            </m:r>
            <m:ctrlPr>
              <w:rPr>
                <w:rFonts w:ascii="Cambria Math" w:hAnsi="Cambria Math"/>
              </w:rPr>
            </m:ctrlPr>
          </m:sup>
        </m:sSubSup>
        <m:r>
          <m:rPr>
            <m:sty m:val="p"/>
          </m:rPr>
          <w:rPr>
            <w:rFonts w:ascii="Cambria Math" w:hAnsi="Cambria Math"/>
            <w:lang w:eastAsia="zh-CN"/>
          </w:rPr>
          <m:t>⋅</m:t>
        </m:r>
        <m:d>
          <m:dPr>
            <m:ctrlPr>
              <w:rPr>
                <w:rFonts w:ascii="Cambria Math" w:hAnsi="Cambria Math" w:cs="Calibri"/>
                <w:sz w:val="21"/>
                <w:szCs w:val="21"/>
              </w:rPr>
            </m:ctrlPr>
          </m:dPr>
          <m:e>
            <m:r>
              <m:rPr>
                <m:sty m:val="p"/>
              </m:rPr>
              <w:rPr>
                <w:rFonts w:ascii="Cambria Math" w:hAnsi="Cambria Math"/>
              </w:rPr>
              <m:t>4</m:t>
            </m:r>
            <m:r>
              <m:rPr>
                <m:sty m:val="p"/>
              </m:rPr>
              <w:rPr>
                <w:rFonts w:ascii="Cambria Math" w:hAnsi="Cambria Math"/>
                <w:lang w:eastAsia="zh-CN"/>
              </w:rPr>
              <m:t>⋅</m:t>
            </m:r>
            <m:r>
              <w:rPr>
                <w:rFonts w:ascii="Cambria Math" w:hAnsi="Cambria Math"/>
              </w:rPr>
              <m:t>j</m:t>
            </m:r>
            <m:r>
              <m:rPr>
                <m:sty m:val="p"/>
              </m:rPr>
              <w:rPr>
                <w:rFonts w:ascii="Cambria Math" w:hAnsi="Cambria Math"/>
                <w:lang w:eastAsia="zh-CN"/>
              </w:rPr>
              <m:t>+</m:t>
            </m:r>
            <m:sSub>
              <m:sSubPr>
                <m:ctrlPr>
                  <w:rPr>
                    <w:rFonts w:ascii="Cambria Math" w:hAnsi="Cambria Math" w:cs="Calibri"/>
                    <w:sz w:val="21"/>
                    <w:szCs w:val="21"/>
                  </w:rPr>
                </m:ctrlPr>
              </m:sSubPr>
              <m:e>
                <m:r>
                  <w:rPr>
                    <w:rFonts w:ascii="Cambria Math" w:hAnsi="Cambria Math"/>
                    <w:lang w:eastAsia="zh-CN"/>
                  </w:rPr>
                  <m:t>V</m:t>
                </m:r>
              </m:e>
              <m:sub>
                <m:r>
                  <w:rPr>
                    <w:rFonts w:ascii="Cambria Math" w:hAnsi="Cambria Math"/>
                    <w:lang w:eastAsia="zh-CN"/>
                  </w:rPr>
                  <m:t>temp</m:t>
                </m:r>
                <m:r>
                  <m:rPr>
                    <m:sty m:val="p"/>
                  </m:rPr>
                  <w:rPr>
                    <w:rFonts w:ascii="Cambria Math" w:hAnsi="Cambria Math"/>
                    <w:lang w:eastAsia="zh-CN"/>
                  </w:rPr>
                  <m:t>2</m:t>
                </m:r>
              </m:sub>
            </m:sSub>
          </m:e>
        </m:d>
      </m:oMath>
      <w:r w:rsidR="005575DD" w:rsidRPr="005575DD">
        <w:rPr>
          <w:sz w:val="24"/>
          <w:szCs w:val="24"/>
          <w:lang w:val="en-US"/>
        </w:rPr>
        <w:t xml:space="preserve"> </w:t>
      </w:r>
    </w:p>
    <w:p w14:paraId="210BD9FE" w14:textId="77777777" w:rsidR="005575DD" w:rsidRPr="005575DD" w:rsidRDefault="005575DD" w:rsidP="00E10BDF">
      <w:pPr>
        <w:pStyle w:val="B1"/>
        <w:rPr>
          <w:lang w:eastAsia="zh-CN"/>
        </w:rPr>
      </w:pPr>
      <w:r w:rsidRPr="005575DD">
        <w:rPr>
          <w:lang w:eastAsia="zh-CN"/>
        </w:rPr>
        <w:t>end if</w:t>
      </w:r>
    </w:p>
    <w:p w14:paraId="5EB6A616" w14:textId="77777777" w:rsidR="005575DD" w:rsidRPr="005575DD" w:rsidRDefault="00000000" w:rsidP="00E10BDF">
      <w:pPr>
        <w:pStyle w:val="B1"/>
        <w:rPr>
          <w:lang w:eastAsia="zh-CN"/>
        </w:rPr>
      </w:pPr>
      <m:oMath>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r>
              <w:rPr>
                <w:rFonts w:ascii="Cambria Math"/>
              </w:rPr>
              <m:t>i</m:t>
            </m:r>
          </m:sub>
          <m:sup>
            <m:r>
              <w:rPr>
                <w:rFonts w:ascii="Cambria Math"/>
              </w:rPr>
              <m:t>ACK</m:t>
            </m:r>
          </m:sup>
        </m:sSubSup>
        <m:r>
          <w:rPr>
            <w:rFonts w:ascii="Cambria Math" w:hAnsi="Cambria Math"/>
          </w:rPr>
          <m:t>=</m:t>
        </m:r>
        <m:r>
          <m:rPr>
            <m:sty m:val="p"/>
          </m:rPr>
          <w:rPr>
            <w:rFonts w:ascii="Cambria Math" w:hAnsi="Cambria Math"/>
          </w:rPr>
          <m:t>NACK</m:t>
        </m:r>
      </m:oMath>
      <w:r w:rsidR="005575DD" w:rsidRPr="005575DD">
        <w:rPr>
          <w:rFonts w:hint="eastAsia"/>
          <w:lang w:eastAsia="zh-CN"/>
        </w:rPr>
        <w:t xml:space="preserve"> for any </w:t>
      </w:r>
      <m:oMath>
        <m:r>
          <w:rPr>
            <w:rFonts w:ascii="Cambria Math" w:hAnsi="Cambria Math"/>
          </w:rPr>
          <m:t>i∈</m:t>
        </m:r>
        <m:d>
          <m:dPr>
            <m:begChr m:val="{"/>
            <m:endChr m:val="}"/>
            <m:ctrlPr>
              <w:rPr>
                <w:rFonts w:ascii="Cambria Math" w:hAnsi="Cambria Math"/>
                <w:i/>
              </w:rPr>
            </m:ctrlPr>
          </m:dPr>
          <m:e>
            <m:r>
              <w:rPr>
                <w:rFonts w:ascii="Cambria Math" w:hAnsi="Cambria Math"/>
              </w:rPr>
              <m:t>0,1,⋯,</m:t>
            </m:r>
            <m:sSup>
              <m:sSupPr>
                <m:ctrlPr>
                  <w:rPr>
                    <w:rFonts w:ascii="Cambria Math" w:hAnsi="Cambria Math"/>
                    <w:lang w:eastAsia="zh-CN"/>
                  </w:rPr>
                </m:ctrlPr>
              </m:sSupPr>
              <m:e>
                <m:r>
                  <w:rPr>
                    <w:rFonts w:ascii="Cambria Math" w:hAnsi="Cambria Math"/>
                    <w:lang w:eastAsia="zh-CN"/>
                  </w:rPr>
                  <m:t>O</m:t>
                </m:r>
              </m:e>
              <m:sup>
                <m:r>
                  <w:rPr>
                    <w:rFonts w:ascii="Cambria Math" w:hAnsi="Cambria Math"/>
                    <w:lang w:eastAsia="zh-CN"/>
                  </w:rPr>
                  <m:t>ACK</m:t>
                </m:r>
              </m:sup>
            </m:sSup>
            <m:r>
              <w:rPr>
                <w:rFonts w:ascii="Cambria Math" w:hAnsi="Cambria Math"/>
                <w:lang w:eastAsia="zh-CN"/>
              </w:rPr>
              <m:t>-1</m:t>
            </m:r>
          </m:e>
        </m:d>
        <m:r>
          <w:rPr>
            <w:rFonts w:ascii="Cambria Math" w:hAnsi="Cambria Math"/>
          </w:rPr>
          <m: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s</m:t>
            </m:r>
          </m:sub>
        </m:sSub>
      </m:oMath>
      <w:r w:rsidR="005575DD" w:rsidRPr="005575DD">
        <w:rPr>
          <w:lang w:eastAsia="zh-CN"/>
        </w:rPr>
        <w:t xml:space="preserve"> .</w:t>
      </w:r>
    </w:p>
    <w:p w14:paraId="26736142" w14:textId="77777777" w:rsidR="001E558F" w:rsidRPr="001E558F" w:rsidRDefault="001E558F" w:rsidP="001E558F">
      <w:pPr>
        <w:rPr>
          <w:rFonts w:eastAsia="Times New Roman"/>
          <w:lang w:eastAsia="zh-CN"/>
        </w:rPr>
      </w:pPr>
      <w:r w:rsidRPr="001E558F">
        <w:rPr>
          <w:rFonts w:eastAsia="Times New Roman"/>
          <w:lang w:val="en-US"/>
        </w:rPr>
        <w:t xml:space="preserve">If </w:t>
      </w:r>
      <m:oMath>
        <m:sSub>
          <m:sSubPr>
            <m:ctrlPr>
              <w:rPr>
                <w:rFonts w:ascii="Cambria Math" w:eastAsia="Times New Roman" w:hAnsi="Cambria Math"/>
                <w:i/>
                <w:lang w:eastAsia="zh-CN"/>
              </w:rPr>
            </m:ctrlPr>
          </m:sSubPr>
          <m:e>
            <m:r>
              <w:rPr>
                <w:rFonts w:ascii="Cambria Math" w:eastAsia="Times New Roman"/>
                <w:lang w:eastAsia="zh-CN"/>
              </w:rPr>
              <m:t>O</m:t>
            </m:r>
          </m:e>
          <m:sub>
            <m:r>
              <m:rPr>
                <m:nor/>
              </m:rPr>
              <w:rPr>
                <w:rFonts w:ascii="Cambria Math" w:eastAsia="Times New Roman"/>
                <w:lang w:eastAsia="zh-CN"/>
              </w:rPr>
              <m:t>ACK</m:t>
            </m:r>
            <m:ctrlPr>
              <w:rPr>
                <w:rFonts w:ascii="Cambria Math" w:eastAsia="Times New Roman" w:hAnsi="Cambria Math"/>
                <w:lang w:eastAsia="zh-CN"/>
              </w:rPr>
            </m:ctrlPr>
          </m:sub>
        </m:sSub>
        <m:r>
          <w:rPr>
            <w:rFonts w:ascii="Cambria Math" w:eastAsia="Times New Roman" w:hAnsi="Cambria Math"/>
            <w:lang w:eastAsia="zh-CN"/>
          </w:rPr>
          <m:t>+</m:t>
        </m:r>
        <m:sSub>
          <m:sSubPr>
            <m:ctrlPr>
              <w:rPr>
                <w:rFonts w:ascii="Cambria Math" w:eastAsia="Times New Roman" w:hAnsi="Cambria Math"/>
                <w:i/>
                <w:lang w:eastAsia="zh-CN"/>
              </w:rPr>
            </m:ctrlPr>
          </m:sSubPr>
          <m:e>
            <m:r>
              <w:rPr>
                <w:rFonts w:ascii="Cambria Math" w:eastAsia="Times New Roman"/>
                <w:lang w:eastAsia="zh-CN"/>
              </w:rPr>
              <m:t>O</m:t>
            </m:r>
          </m:e>
          <m:sub>
            <m:r>
              <m:rPr>
                <m:nor/>
              </m:rPr>
              <w:rPr>
                <w:rFonts w:ascii="Cambria Math" w:eastAsia="Times New Roman"/>
                <w:lang w:eastAsia="zh-CN"/>
              </w:rPr>
              <m:t>SR</m:t>
            </m:r>
            <m:ctrlPr>
              <w:rPr>
                <w:rFonts w:ascii="Cambria Math" w:eastAsia="Times New Roman" w:hAnsi="Cambria Math"/>
                <w:lang w:eastAsia="zh-CN"/>
              </w:rPr>
            </m:ctrlPr>
          </m:sub>
        </m:sSub>
        <m:r>
          <w:rPr>
            <w:rFonts w:ascii="Cambria Math" w:eastAsia="Times New Roman" w:hAnsi="Cambria Math"/>
            <w:lang w:eastAsia="zh-CN"/>
          </w:rPr>
          <m:t>+</m:t>
        </m:r>
        <m:sSub>
          <m:sSubPr>
            <m:ctrlPr>
              <w:rPr>
                <w:rFonts w:ascii="Cambria Math" w:eastAsia="Times New Roman" w:hAnsi="Cambria Math"/>
                <w:i/>
                <w:lang w:eastAsia="zh-CN"/>
              </w:rPr>
            </m:ctrlPr>
          </m:sSubPr>
          <m:e>
            <m:r>
              <w:rPr>
                <w:rFonts w:ascii="Cambria Math" w:eastAsia="Times New Roman"/>
                <w:lang w:eastAsia="zh-CN"/>
              </w:rPr>
              <m:t>O</m:t>
            </m:r>
          </m:e>
          <m:sub>
            <m:r>
              <m:rPr>
                <m:nor/>
              </m:rPr>
              <w:rPr>
                <w:rFonts w:ascii="Cambria Math" w:eastAsia="Times New Roman"/>
                <w:lang w:eastAsia="zh-CN"/>
              </w:rPr>
              <m:t>CSI</m:t>
            </m:r>
            <m:ctrlPr>
              <w:rPr>
                <w:rFonts w:ascii="Cambria Math" w:eastAsia="Times New Roman" w:hAnsi="Cambria Math"/>
                <w:lang w:eastAsia="zh-CN"/>
              </w:rPr>
            </m:ctrlPr>
          </m:sub>
        </m:sSub>
        <m:r>
          <w:rPr>
            <w:rFonts w:ascii="Cambria Math" w:eastAsia="Times New Roman" w:hAnsi="Cambria Math" w:hint="eastAsia"/>
            <w:lang w:eastAsia="zh-CN"/>
          </w:rPr>
          <m:t>≤</m:t>
        </m:r>
        <m:r>
          <w:rPr>
            <w:rFonts w:ascii="Cambria Math" w:eastAsia="Times New Roman" w:hAnsi="Cambria Math"/>
            <w:lang w:eastAsia="zh-CN"/>
          </w:rPr>
          <m:t>11</m:t>
        </m:r>
      </m:oMath>
      <w:r w:rsidRPr="001E558F">
        <w:rPr>
          <w:rFonts w:eastAsia="Times New Roman"/>
          <w:lang w:val="en-US"/>
        </w:rPr>
        <w:t xml:space="preserve"> </w:t>
      </w:r>
      <w:r w:rsidRPr="00F03493">
        <w:rPr>
          <w:rFonts w:eastAsia="Times New Roman" w:hint="eastAsia"/>
        </w:rPr>
        <w:t xml:space="preserve">and </w:t>
      </w:r>
      <m:oMath>
        <m:sSubSup>
          <m:sSubSupPr>
            <m:ctrlPr>
              <w:rPr>
                <w:rFonts w:ascii="Cambria Math" w:eastAsia="Times New Roman" w:hAnsi="Cambria Math" w:cs="Calibri"/>
                <w:i/>
                <w:iCs/>
              </w:rPr>
            </m:ctrlPr>
          </m:sSubSupPr>
          <m:e>
            <m:r>
              <w:rPr>
                <w:rFonts w:ascii="Cambria Math" w:eastAsia="Times New Roman" w:hAnsi="Cambria Math"/>
              </w:rPr>
              <m:t>N</m:t>
            </m:r>
          </m:e>
          <m:sub>
            <m:r>
              <m:rPr>
                <m:sty m:val="p"/>
              </m:rPr>
              <w:rPr>
                <w:rFonts w:ascii="Cambria Math" w:eastAsia="Times New Roman" w:hAnsi="Cambria Math"/>
              </w:rPr>
              <m:t>sets</m:t>
            </m:r>
            <m:ctrlPr>
              <w:rPr>
                <w:rFonts w:ascii="Cambria Math" w:eastAsia="Times New Roman" w:hAnsi="Cambria Math" w:cs="Calibri"/>
              </w:rPr>
            </m:ctrlPr>
          </m:sub>
          <m:sup>
            <m:r>
              <m:rPr>
                <m:nor/>
              </m:rPr>
              <w:rPr>
                <w:rFonts w:ascii="Cambria Math" w:eastAsia="Times New Roman" w:hAnsi="Cambria Math"/>
              </w:rPr>
              <m:t>DL</m:t>
            </m:r>
            <m:ctrlPr>
              <w:rPr>
                <w:rFonts w:ascii="Cambria Math" w:eastAsia="Times New Roman" w:hAnsi="Cambria Math" w:cs="Calibri"/>
              </w:rPr>
            </m:ctrlPr>
          </m:sup>
        </m:sSubSup>
        <m:r>
          <m:rPr>
            <m:sty m:val="p"/>
          </m:rPr>
          <w:rPr>
            <w:rFonts w:ascii="Cambria Math" w:eastAsia="Times New Roman" w:hAnsi="Cambria Math"/>
          </w:rPr>
          <m:t>&gt;0</m:t>
        </m:r>
      </m:oMath>
      <w:r w:rsidRPr="00F03493">
        <w:rPr>
          <w:rFonts w:eastAsia="Times New Roman"/>
        </w:rPr>
        <w:t>,</w:t>
      </w:r>
      <w:r w:rsidRPr="00F03493">
        <w:rPr>
          <w:rFonts w:eastAsia="Times New Roman"/>
          <w:lang w:val="en-US"/>
        </w:rPr>
        <w:t xml:space="preserve"> </w:t>
      </w:r>
      <w:r w:rsidRPr="001E558F">
        <w:rPr>
          <w:rFonts w:eastAsia="Times New Roman"/>
          <w:lang w:eastAsia="zh-CN"/>
        </w:rPr>
        <w:t xml:space="preserve">for obtaining a PUCCH transmission power as described in clause 7.2.1, </w:t>
      </w:r>
      <w:r w:rsidRPr="001E558F">
        <w:rPr>
          <w:rFonts w:eastAsia="Times New Roman"/>
          <w:lang w:val="en-US"/>
        </w:rPr>
        <w:t xml:space="preserve">the UE determines </w:t>
      </w:r>
      <m:oMath>
        <m:sSub>
          <m:sSubPr>
            <m:ctrlPr>
              <w:rPr>
                <w:rFonts w:ascii="Cambria Math" w:eastAsia="Times New Roman" w:hAnsi="Cambria Math"/>
                <w:i/>
                <w:lang w:eastAsia="zh-CN"/>
              </w:rPr>
            </m:ctrlPr>
          </m:sSubPr>
          <m:e>
            <m:r>
              <w:rPr>
                <w:rFonts w:ascii="Cambria Math" w:eastAsia="Times New Roman" w:hAnsi="Cambria Math"/>
                <w:lang w:eastAsia="zh-CN"/>
              </w:rPr>
              <m:t>n</m:t>
            </m:r>
          </m:e>
          <m:sub>
            <m:r>
              <m:rPr>
                <m:nor/>
              </m:rPr>
              <w:rPr>
                <w:rFonts w:eastAsia="Times New Roman"/>
                <w:lang w:eastAsia="zh-CN"/>
              </w:rPr>
              <m:t>HARQ-ACK</m:t>
            </m:r>
            <m:ctrlPr>
              <w:rPr>
                <w:rFonts w:ascii="Cambria Math" w:eastAsia="Times New Roman" w:hAnsi="Cambria Math"/>
                <w:lang w:eastAsia="zh-CN"/>
              </w:rPr>
            </m:ctrlPr>
          </m:sub>
        </m:sSub>
        <m:sSub>
          <m:sSubPr>
            <m:ctrlPr>
              <w:rPr>
                <w:rFonts w:ascii="Cambria Math" w:eastAsia="Times New Roman" w:hAnsi="Cambria Math"/>
                <w:i/>
                <w:lang w:eastAsia="zh-CN"/>
              </w:rPr>
            </m:ctrlPr>
          </m:sSubPr>
          <m:e>
            <m:r>
              <w:rPr>
                <w:rFonts w:ascii="Cambria Math" w:eastAsia="Times New Roman" w:hAnsi="Cambria Math"/>
                <w:lang w:eastAsia="zh-CN"/>
              </w:rPr>
              <m:t>=</m:t>
            </m:r>
            <m:sSub>
              <m:sSubPr>
                <m:ctrlPr>
                  <w:rPr>
                    <w:rFonts w:ascii="Cambria Math" w:eastAsia="Times New Roman" w:hAnsi="Cambria Math"/>
                    <w:i/>
                    <w:lang w:eastAsia="zh-CN"/>
                  </w:rPr>
                </m:ctrlPr>
              </m:sSubPr>
              <m:e>
                <m:r>
                  <w:rPr>
                    <w:rFonts w:ascii="Cambria Math" w:eastAsia="Times New Roman" w:hAnsi="Cambria Math"/>
                    <w:lang w:eastAsia="zh-CN"/>
                  </w:rPr>
                  <m:t>n</m:t>
                </m:r>
              </m:e>
              <m:sub>
                <m:r>
                  <m:rPr>
                    <m:nor/>
                  </m:rPr>
                  <w:rPr>
                    <w:rFonts w:eastAsia="Times New Roman"/>
                    <w:lang w:eastAsia="zh-CN"/>
                  </w:rPr>
                  <m:t>HARQ-ACK,</m:t>
                </m:r>
                <m:r>
                  <m:rPr>
                    <m:nor/>
                  </m:rPr>
                  <w:rPr>
                    <w:rFonts w:eastAsia="Times New Roman"/>
                    <w:lang w:val="en-US" w:eastAsia="zh-CN"/>
                  </w:rPr>
                  <m:t>0</m:t>
                </m:r>
                <m:ctrlPr>
                  <w:rPr>
                    <w:rFonts w:ascii="Cambria Math" w:eastAsia="Times New Roman" w:hAnsi="Cambria Math"/>
                    <w:lang w:eastAsia="zh-CN"/>
                  </w:rPr>
                </m:ctrlPr>
              </m:sub>
            </m:sSub>
            <m:r>
              <w:rPr>
                <w:rFonts w:ascii="Cambria Math" w:eastAsia="Times New Roman" w:hAnsi="Cambria Math"/>
                <w:lang w:eastAsia="zh-CN"/>
              </w:rPr>
              <m:t>+n</m:t>
            </m:r>
          </m:e>
          <m:sub>
            <m:r>
              <m:rPr>
                <m:nor/>
              </m:rPr>
              <w:rPr>
                <w:rFonts w:eastAsia="Times New Roman"/>
                <w:lang w:eastAsia="zh-CN"/>
              </w:rPr>
              <m:t>HARQ-ACK,</m:t>
            </m:r>
            <m:r>
              <m:rPr>
                <m:nor/>
              </m:rPr>
              <w:rPr>
                <w:rFonts w:eastAsia="Times New Roman"/>
                <w:lang w:val="en-US" w:eastAsia="zh-CN"/>
              </w:rPr>
              <m:t>1</m:t>
            </m:r>
            <m:ctrlPr>
              <w:rPr>
                <w:rFonts w:ascii="Cambria Math" w:eastAsia="Times New Roman" w:hAnsi="Cambria Math"/>
                <w:lang w:eastAsia="zh-CN"/>
              </w:rPr>
            </m:ctrlPr>
          </m:sub>
        </m:sSub>
      </m:oMath>
      <w:r w:rsidRPr="001E558F">
        <w:rPr>
          <w:rFonts w:eastAsia="Times New Roman"/>
          <w:lang w:eastAsia="zh-CN"/>
        </w:rPr>
        <w:t xml:space="preserve">, where </w:t>
      </w:r>
      <m:oMath>
        <m:sSub>
          <m:sSubPr>
            <m:ctrlPr>
              <w:rPr>
                <w:rFonts w:ascii="Cambria Math" w:eastAsia="Times New Roman" w:hAnsi="Cambria Math"/>
                <w:i/>
                <w:lang w:eastAsia="zh-CN"/>
              </w:rPr>
            </m:ctrlPr>
          </m:sSubPr>
          <m:e>
            <m:r>
              <w:rPr>
                <w:rFonts w:ascii="Cambria Math" w:eastAsia="Times New Roman" w:hAnsi="Cambria Math"/>
                <w:lang w:eastAsia="zh-CN"/>
              </w:rPr>
              <m:t>n</m:t>
            </m:r>
          </m:e>
          <m:sub>
            <m:r>
              <m:rPr>
                <m:nor/>
              </m:rPr>
              <w:rPr>
                <w:rFonts w:eastAsia="Times New Roman"/>
                <w:lang w:eastAsia="zh-CN"/>
              </w:rPr>
              <m:t>HARQ-ACK,</m:t>
            </m:r>
            <m:r>
              <m:rPr>
                <m:nor/>
              </m:rPr>
              <w:rPr>
                <w:rFonts w:eastAsia="Times New Roman"/>
                <w:lang w:val="en-US" w:eastAsia="zh-CN"/>
              </w:rPr>
              <m:t>0</m:t>
            </m:r>
            <m:ctrlPr>
              <w:rPr>
                <w:rFonts w:ascii="Cambria Math" w:eastAsia="Times New Roman" w:hAnsi="Cambria Math"/>
                <w:lang w:eastAsia="zh-CN"/>
              </w:rPr>
            </m:ctrlPr>
          </m:sub>
        </m:sSub>
      </m:oMath>
      <w:r w:rsidRPr="001E558F">
        <w:rPr>
          <w:rFonts w:eastAsia="Times New Roman"/>
          <w:lang w:eastAsia="zh-CN"/>
        </w:rPr>
        <w:t xml:space="preserve"> is the value of</w:t>
      </w:r>
      <w:r w:rsidRPr="001E558F">
        <w:rPr>
          <w:rFonts w:eastAsia="Times New Roman"/>
          <w:lang w:val="en-US" w:eastAsia="zh-CN"/>
        </w:rPr>
        <w:t xml:space="preserve"> </w:t>
      </w:r>
      <m:oMath>
        <m:sSub>
          <m:sSubPr>
            <m:ctrlPr>
              <w:rPr>
                <w:rFonts w:ascii="Cambria Math" w:eastAsia="Times New Roman" w:hAnsi="Cambria Math"/>
                <w:i/>
                <w:lang w:eastAsia="zh-CN"/>
              </w:rPr>
            </m:ctrlPr>
          </m:sSubPr>
          <m:e>
            <m:r>
              <w:rPr>
                <w:rFonts w:ascii="Cambria Math" w:eastAsia="Times New Roman" w:hAnsi="Cambria Math"/>
                <w:lang w:eastAsia="zh-CN"/>
              </w:rPr>
              <m:t>n</m:t>
            </m:r>
          </m:e>
          <m:sub>
            <m:r>
              <m:rPr>
                <m:nor/>
              </m:rPr>
              <w:rPr>
                <w:rFonts w:eastAsia="Times New Roman"/>
                <w:lang w:eastAsia="zh-CN"/>
              </w:rPr>
              <m:t>HARQ-ACK</m:t>
            </m:r>
            <m:ctrlPr>
              <w:rPr>
                <w:rFonts w:ascii="Cambria Math" w:eastAsia="Times New Roman" w:hAnsi="Cambria Math"/>
                <w:lang w:eastAsia="zh-CN"/>
              </w:rPr>
            </m:ctrlPr>
          </m:sub>
        </m:sSub>
      </m:oMath>
      <w:r w:rsidRPr="001E558F">
        <w:rPr>
          <w:rFonts w:eastAsia="Times New Roman"/>
          <w:lang w:eastAsia="zh-CN"/>
        </w:rPr>
        <w:t xml:space="preserve"> for the first Type-2 HARQ-ACK sub-codebook and </w:t>
      </w:r>
      <m:oMath>
        <m:sSub>
          <m:sSubPr>
            <m:ctrlPr>
              <w:rPr>
                <w:rFonts w:ascii="Cambria Math" w:eastAsia="Times New Roman" w:hAnsi="Cambria Math"/>
                <w:i/>
                <w:lang w:eastAsia="zh-CN"/>
              </w:rPr>
            </m:ctrlPr>
          </m:sSubPr>
          <m:e>
            <m:r>
              <w:rPr>
                <w:rFonts w:ascii="Cambria Math" w:eastAsia="Times New Roman" w:hAnsi="Cambria Math"/>
                <w:lang w:eastAsia="zh-CN"/>
              </w:rPr>
              <m:t>n</m:t>
            </m:r>
          </m:e>
          <m:sub>
            <m:r>
              <m:rPr>
                <m:nor/>
              </m:rPr>
              <w:rPr>
                <w:rFonts w:eastAsia="Times New Roman"/>
                <w:lang w:eastAsia="zh-CN"/>
              </w:rPr>
              <m:t>HARQ-ACK,</m:t>
            </m:r>
            <m:r>
              <m:rPr>
                <m:nor/>
              </m:rPr>
              <w:rPr>
                <w:rFonts w:eastAsia="Times New Roman"/>
                <w:lang w:val="en-US" w:eastAsia="zh-CN"/>
              </w:rPr>
              <m:t>1</m:t>
            </m:r>
            <m:ctrlPr>
              <w:rPr>
                <w:rFonts w:ascii="Cambria Math" w:eastAsia="Times New Roman" w:hAnsi="Cambria Math"/>
                <w:lang w:eastAsia="zh-CN"/>
              </w:rPr>
            </m:ctrlPr>
          </m:sub>
        </m:sSub>
      </m:oMath>
      <w:r w:rsidRPr="001E558F">
        <w:rPr>
          <w:rFonts w:eastAsia="Times New Roman"/>
          <w:lang w:eastAsia="zh-CN"/>
        </w:rPr>
        <w:t xml:space="preserve"> is the value of</w:t>
      </w:r>
      <w:r w:rsidRPr="001E558F">
        <w:rPr>
          <w:rFonts w:eastAsia="Times New Roman"/>
          <w:lang w:val="en-US" w:eastAsia="zh-CN"/>
        </w:rPr>
        <w:t xml:space="preserve"> </w:t>
      </w:r>
      <m:oMath>
        <m:sSub>
          <m:sSubPr>
            <m:ctrlPr>
              <w:rPr>
                <w:rFonts w:ascii="Cambria Math" w:eastAsia="Times New Roman" w:hAnsi="Cambria Math"/>
                <w:i/>
                <w:lang w:eastAsia="zh-CN"/>
              </w:rPr>
            </m:ctrlPr>
          </m:sSubPr>
          <m:e>
            <m:r>
              <w:rPr>
                <w:rFonts w:ascii="Cambria Math" w:eastAsia="Times New Roman" w:hAnsi="Cambria Math"/>
                <w:lang w:eastAsia="zh-CN"/>
              </w:rPr>
              <m:t>n</m:t>
            </m:r>
          </m:e>
          <m:sub>
            <m:r>
              <m:rPr>
                <m:nor/>
              </m:rPr>
              <w:rPr>
                <w:rFonts w:eastAsia="Times New Roman"/>
                <w:lang w:eastAsia="zh-CN"/>
              </w:rPr>
              <m:t>HARQ-ACK</m:t>
            </m:r>
            <m:ctrlPr>
              <w:rPr>
                <w:rFonts w:ascii="Cambria Math" w:eastAsia="Times New Roman" w:hAnsi="Cambria Math"/>
                <w:lang w:eastAsia="zh-CN"/>
              </w:rPr>
            </m:ctrlPr>
          </m:sub>
        </m:sSub>
      </m:oMath>
      <w:r w:rsidRPr="001E558F">
        <w:rPr>
          <w:rFonts w:eastAsia="Times New Roman"/>
          <w:lang w:eastAsia="zh-CN"/>
        </w:rPr>
        <w:t xml:space="preserve"> for the second Type-2 HARQ-ACK sub-codebook that is determined as</w:t>
      </w:r>
    </w:p>
    <w:p w14:paraId="3366E90F" w14:textId="77777777" w:rsidR="001E558F" w:rsidRPr="001E558F" w:rsidRDefault="00000000" w:rsidP="001E558F">
      <w:pPr>
        <w:pStyle w:val="EQ"/>
        <w:rPr>
          <w:lang w:eastAsia="zh-CN"/>
        </w:rPr>
      </w:pPr>
      <m:oMath>
        <m:sSub>
          <m:sSubPr>
            <m:ctrlPr>
              <w:rPr>
                <w:rFonts w:ascii="Cambria Math" w:hAnsi="Cambria Math"/>
                <w:lang w:eastAsia="zh-CN"/>
              </w:rPr>
            </m:ctrlPr>
          </m:sSubPr>
          <m:e>
            <m:r>
              <w:rPr>
                <w:rFonts w:ascii="Cambria Math" w:hAnsi="Cambria Math"/>
                <w:lang w:eastAsia="zh-CN"/>
              </w:rPr>
              <m:t>n</m:t>
            </m:r>
          </m:e>
          <m:sub>
            <m:r>
              <m:rPr>
                <m:nor/>
              </m:rPr>
              <w:rPr>
                <w:lang w:eastAsia="zh-CN"/>
              </w:rPr>
              <m:t>HARQ-ACK</m:t>
            </m:r>
          </m:sub>
        </m:sSub>
        <m:r>
          <m:rPr>
            <m:sty m:val="p"/>
          </m:rPr>
          <w:rPr>
            <w:rFonts w:ascii="Cambria Math" w:hAnsi="Cambria Math"/>
            <w:lang w:eastAsia="zh-CN"/>
          </w:rPr>
          <m:t>=</m:t>
        </m:r>
        <m:d>
          <m:dPr>
            <m:ctrlPr>
              <w:rPr>
                <w:rFonts w:ascii="Cambria Math" w:hAnsi="Cambria Math"/>
                <w:lang w:eastAsia="zh-CN"/>
              </w:rPr>
            </m:ctrlPr>
          </m:dPr>
          <m:e>
            <m:d>
              <m:dPr>
                <m:ctrlPr>
                  <w:rPr>
                    <w:rFonts w:ascii="Cambria Math" w:hAnsi="Cambria Math"/>
                    <w:lang w:eastAsia="zh-CN"/>
                  </w:rPr>
                </m:ctrlPr>
              </m:dPr>
              <m:e>
                <m:sSubSup>
                  <m:sSubSupPr>
                    <m:ctrlPr>
                      <w:rPr>
                        <w:rFonts w:ascii="Cambria Math" w:hAnsi="Cambria Math"/>
                        <w:lang w:eastAsia="zh-CN"/>
                      </w:rPr>
                    </m:ctrlPr>
                  </m:sSubSupPr>
                  <m:e>
                    <m:r>
                      <w:rPr>
                        <w:rFonts w:ascii="Cambria Math" w:hAnsi="Cambria Math"/>
                        <w:lang w:eastAsia="zh-CN"/>
                      </w:rPr>
                      <m:t>V</m:t>
                    </m:r>
                  </m:e>
                  <m:sub>
                    <m:r>
                      <m:rPr>
                        <m:nor/>
                      </m:rPr>
                      <w:rPr>
                        <w:lang w:eastAsia="zh-CN"/>
                      </w:rPr>
                      <m:t>DAI</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m</m:t>
                        </m:r>
                      </m:e>
                      <m:sub>
                        <m:r>
                          <m:rPr>
                            <m:nor/>
                          </m:rPr>
                          <w:rPr>
                            <w:lang w:eastAsia="zh-CN"/>
                          </w:rPr>
                          <m:t>last</m:t>
                        </m:r>
                      </m:sub>
                    </m:sSub>
                  </m:sub>
                  <m:sup>
                    <m:r>
                      <m:rPr>
                        <m:nor/>
                      </m:rPr>
                      <w:rPr>
                        <w:lang w:eastAsia="zh-CN"/>
                      </w:rPr>
                      <m:t>DL</m:t>
                    </m:r>
                  </m:sup>
                </m:sSubSup>
                <m:r>
                  <m:rPr>
                    <m:sty m:val="p"/>
                  </m:rPr>
                  <w:rPr>
                    <w:rFonts w:ascii="Cambria Math" w:hAnsi="Cambria Math"/>
                    <w:lang w:eastAsia="zh-CN"/>
                  </w:rPr>
                  <m:t>-</m:t>
                </m:r>
                <m:nary>
                  <m:naryPr>
                    <m:chr m:val="∑"/>
                    <m:ctrlPr>
                      <w:rPr>
                        <w:rFonts w:ascii="Cambria Math" w:hAnsi="Cambria Math"/>
                        <w:lang w:eastAsia="zh-CN"/>
                      </w:rPr>
                    </m:ctrlPr>
                  </m:naryPr>
                  <m:sub>
                    <m:r>
                      <w:rPr>
                        <w:rFonts w:ascii="Cambria Math" w:hAnsi="Cambria Math"/>
                        <w:lang w:eastAsia="zh-CN"/>
                      </w:rPr>
                      <m:t>s</m:t>
                    </m:r>
                    <m:r>
                      <m:rPr>
                        <m:sty m:val="p"/>
                      </m:rPr>
                      <w:rPr>
                        <w:rFonts w:ascii="Cambria Math" w:hAnsi="Cambria Math"/>
                        <w:lang w:eastAsia="zh-CN"/>
                      </w:rPr>
                      <m:t>=0</m:t>
                    </m:r>
                  </m:sub>
                  <m:sup>
                    <m:sSubSup>
                      <m:sSubSupPr>
                        <m:ctrlPr>
                          <w:rPr>
                            <w:rFonts w:ascii="Cambria Math" w:hAnsi="Cambria Math"/>
                            <w:lang w:eastAsia="zh-CN"/>
                          </w:rPr>
                        </m:ctrlPr>
                      </m:sSubSupPr>
                      <m:e>
                        <m:r>
                          <w:rPr>
                            <w:rFonts w:ascii="Cambria Math" w:hAnsi="Cambria Math"/>
                            <w:lang w:eastAsia="zh-CN"/>
                          </w:rPr>
                          <m:t>N</m:t>
                        </m:r>
                      </m:e>
                      <m:sub>
                        <m:r>
                          <m:rPr>
                            <m:nor/>
                          </m:rPr>
                          <w:rPr>
                            <w:lang w:eastAsia="zh-CN"/>
                          </w:rPr>
                          <m:t>sets</m:t>
                        </m:r>
                      </m:sub>
                      <m:sup>
                        <m:r>
                          <m:rPr>
                            <m:nor/>
                          </m:rPr>
                          <w:rPr>
                            <w:lang w:eastAsia="zh-CN"/>
                          </w:rPr>
                          <m:t>DL</m:t>
                        </m:r>
                      </m:sup>
                    </m:sSubSup>
                    <m:r>
                      <m:rPr>
                        <m:sty m:val="p"/>
                      </m:rPr>
                      <w:rPr>
                        <w:rFonts w:ascii="Cambria Math" w:hAnsi="Cambria Math"/>
                        <w:lang w:eastAsia="zh-CN"/>
                      </w:rPr>
                      <m:t>-1</m:t>
                    </m:r>
                  </m:sup>
                  <m:e>
                    <m:sSub>
                      <m:sSubPr>
                        <m:ctrlPr>
                          <w:rPr>
                            <w:rFonts w:ascii="Cambria Math" w:hAnsi="Cambria Math"/>
                            <w:lang w:eastAsia="zh-CN"/>
                          </w:rPr>
                        </m:ctrlPr>
                      </m:sSubPr>
                      <m:e>
                        <m:r>
                          <w:rPr>
                            <w:rFonts w:ascii="Cambria Math" w:hAnsi="Cambria Math"/>
                            <w:lang w:eastAsia="zh-CN"/>
                          </w:rPr>
                          <m:t>U</m:t>
                        </m:r>
                      </m:e>
                      <m:sub>
                        <m:r>
                          <m:rPr>
                            <m:nor/>
                          </m:rPr>
                          <w:rPr>
                            <w:lang w:eastAsia="zh-CN"/>
                          </w:rPr>
                          <m:t>DAI,</m:t>
                        </m:r>
                        <m:r>
                          <w:rPr>
                            <w:rFonts w:ascii="Cambria Math" w:hAnsi="Cambria Math"/>
                            <w:lang w:eastAsia="zh-CN"/>
                          </w:rPr>
                          <m:t>s</m:t>
                        </m:r>
                      </m:sub>
                    </m:sSub>
                  </m:e>
                </m:nary>
              </m:e>
            </m:d>
            <m:func>
              <m:funcPr>
                <m:ctrlPr>
                  <w:rPr>
                    <w:rFonts w:ascii="Cambria Math" w:hAnsi="Cambria Math"/>
                    <w:lang w:eastAsia="zh-CN"/>
                  </w:rPr>
                </m:ctrlPr>
              </m:funcPr>
              <m:fName>
                <m:r>
                  <w:rPr>
                    <w:rFonts w:ascii="Cambria Math" w:hAnsi="Cambria Math"/>
                    <w:lang w:eastAsia="zh-CN"/>
                  </w:rPr>
                  <m:t>mod</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D</m:t>
                        </m:r>
                      </m:sub>
                    </m:sSub>
                  </m:e>
                </m:d>
              </m:e>
            </m:func>
          </m:e>
        </m:d>
        <m:sSubSup>
          <m:sSubSupPr>
            <m:ctrlPr>
              <w:rPr>
                <w:rFonts w:ascii="Cambria Math" w:hAnsi="Cambria Math"/>
              </w:rPr>
            </m:ctrlPr>
          </m:sSubSupPr>
          <m:e>
            <m:r>
              <w:rPr>
                <w:rFonts w:ascii="Cambria Math" w:hAnsi="Cambria Math"/>
              </w:rPr>
              <m:t>N</m:t>
            </m:r>
          </m:e>
          <m:sub>
            <m:r>
              <m:rPr>
                <m:sty m:val="p"/>
              </m:rPr>
              <w:rPr>
                <w:rFonts w:ascii="Cambria Math" w:hAnsi="Cambria Math"/>
              </w:rPr>
              <m:t>TB,max</m:t>
            </m:r>
          </m:sub>
          <m:sup>
            <m:r>
              <m:rPr>
                <m:nor/>
              </m:rPr>
              <w:rPr>
                <w:lang w:val="en-US"/>
              </w:rPr>
              <m:t>DL,MC</m:t>
            </m:r>
          </m:sup>
        </m:sSubSup>
        <m:r>
          <m:rPr>
            <m:sty m:val="p"/>
          </m:rPr>
          <w:rPr>
            <w:rFonts w:ascii="Cambria Math" w:hAnsi="Cambria Math"/>
            <w:lang w:eastAsia="zh-CN"/>
          </w:rPr>
          <m:t>+</m:t>
        </m:r>
        <m:nary>
          <m:naryPr>
            <m:chr m:val="∑"/>
            <m:ctrlPr>
              <w:rPr>
                <w:rFonts w:ascii="Cambria Math" w:hAnsi="Cambria Math"/>
                <w:lang w:eastAsia="zh-CN"/>
              </w:rPr>
            </m:ctrlPr>
          </m:naryPr>
          <m:sub>
            <m:r>
              <w:rPr>
                <w:rFonts w:ascii="Cambria Math" w:hAnsi="Cambria Math"/>
                <w:lang w:eastAsia="zh-CN"/>
              </w:rPr>
              <m:t>s</m:t>
            </m:r>
            <m:r>
              <m:rPr>
                <m:sty m:val="p"/>
              </m:rPr>
              <w:rPr>
                <w:rFonts w:ascii="Cambria Math" w:hAnsi="Cambria Math"/>
                <w:lang w:eastAsia="zh-CN"/>
              </w:rPr>
              <m:t>=0</m:t>
            </m:r>
          </m:sub>
          <m:sup>
            <m:sSubSup>
              <m:sSubSupPr>
                <m:ctrlPr>
                  <w:rPr>
                    <w:rFonts w:ascii="Cambria Math" w:hAnsi="Cambria Math"/>
                    <w:lang w:eastAsia="zh-CN"/>
                  </w:rPr>
                </m:ctrlPr>
              </m:sSubSupPr>
              <m:e>
                <m:r>
                  <w:rPr>
                    <w:rFonts w:ascii="Cambria Math" w:hAnsi="Cambria Math"/>
                    <w:lang w:eastAsia="zh-CN"/>
                  </w:rPr>
                  <m:t>N</m:t>
                </m:r>
              </m:e>
              <m:sub>
                <m:r>
                  <m:rPr>
                    <m:nor/>
                  </m:rPr>
                  <w:rPr>
                    <w:lang w:eastAsia="zh-CN"/>
                  </w:rPr>
                  <m:t>sets</m:t>
                </m:r>
              </m:sub>
              <m:sup>
                <m:r>
                  <m:rPr>
                    <m:nor/>
                  </m:rPr>
                  <w:rPr>
                    <w:lang w:eastAsia="zh-CN"/>
                  </w:rPr>
                  <m:t>DL</m:t>
                </m:r>
              </m:sup>
            </m:sSubSup>
            <m:r>
              <m:rPr>
                <m:sty m:val="p"/>
              </m:rPr>
              <w:rPr>
                <w:rFonts w:ascii="Cambria Math" w:hAnsi="Cambria Math"/>
                <w:lang w:eastAsia="zh-CN"/>
              </w:rPr>
              <m:t>-1</m:t>
            </m:r>
          </m:sup>
          <m:e>
            <m:nary>
              <m:naryPr>
                <m:chr m:val="∑"/>
                <m:ctrlPr>
                  <w:rPr>
                    <w:rFonts w:ascii="Cambria Math" w:hAnsi="Cambria Math"/>
                    <w:lang w:eastAsia="zh-CN"/>
                  </w:rPr>
                </m:ctrlPr>
              </m:naryPr>
              <m:sub>
                <m:r>
                  <w:rPr>
                    <w:rFonts w:ascii="Cambria Math" w:hAnsi="Cambria Math"/>
                    <w:lang w:eastAsia="zh-CN"/>
                  </w:rPr>
                  <m:t>m</m:t>
                </m:r>
                <m:r>
                  <m:rPr>
                    <m:sty m:val="p"/>
                  </m:rPr>
                  <w:rPr>
                    <w:rFonts w:ascii="Cambria Math" w:hAnsi="Cambria Math"/>
                    <w:lang w:eastAsia="zh-CN"/>
                  </w:rPr>
                  <m:t>=0</m:t>
                </m:r>
              </m:sub>
              <m:sup>
                <m:r>
                  <w:rPr>
                    <w:rFonts w:ascii="Cambria Math" w:hAnsi="Cambria Math"/>
                    <w:lang w:eastAsia="zh-CN"/>
                  </w:rPr>
                  <m:t>M</m:t>
                </m:r>
                <m:r>
                  <m:rPr>
                    <m:sty m:val="p"/>
                  </m:rPr>
                  <w:rPr>
                    <w:rFonts w:ascii="Cambria Math" w:hAnsi="Cambria Math"/>
                    <w:lang w:eastAsia="zh-CN"/>
                  </w:rPr>
                  <m:t>-1</m:t>
                </m:r>
              </m:sup>
              <m:e>
                <m:sSubSup>
                  <m:sSubSupPr>
                    <m:ctrlPr>
                      <w:rPr>
                        <w:rFonts w:ascii="Cambria Math" w:hAnsi="Cambria Math"/>
                        <w:lang w:eastAsia="zh-CN"/>
                      </w:rPr>
                    </m:ctrlPr>
                  </m:sSubSupPr>
                  <m:e>
                    <m:r>
                      <w:rPr>
                        <w:rFonts w:ascii="Cambria Math" w:hAnsi="Cambria Math"/>
                        <w:lang w:eastAsia="zh-CN"/>
                      </w:rPr>
                      <m:t>N</m:t>
                    </m:r>
                  </m:e>
                  <m:sub>
                    <m:r>
                      <w:rPr>
                        <w:rFonts w:ascii="Cambria Math" w:hAnsi="Cambria Math"/>
                        <w:lang w:eastAsia="zh-CN"/>
                      </w:rPr>
                      <m:t>m</m:t>
                    </m:r>
                    <m:r>
                      <m:rPr>
                        <m:sty m:val="p"/>
                      </m:rPr>
                      <w:rPr>
                        <w:rFonts w:ascii="Cambria Math" w:hAnsi="Cambria Math"/>
                        <w:lang w:eastAsia="zh-CN"/>
                      </w:rPr>
                      <m:t>,</m:t>
                    </m:r>
                    <m:r>
                      <w:rPr>
                        <w:rFonts w:ascii="Cambria Math" w:hAnsi="Cambria Math"/>
                        <w:lang w:eastAsia="zh-CN"/>
                      </w:rPr>
                      <m:t>s</m:t>
                    </m:r>
                  </m:sub>
                  <m:sup>
                    <m:r>
                      <m:rPr>
                        <m:nor/>
                      </m:rPr>
                      <w:rPr>
                        <w:lang w:eastAsia="zh-CN"/>
                      </w:rPr>
                      <m:t>received</m:t>
                    </m:r>
                  </m:sup>
                </m:sSubSup>
              </m:e>
            </m:nary>
          </m:e>
        </m:nary>
      </m:oMath>
      <w:r w:rsidR="001E558F" w:rsidRPr="001E558F">
        <w:rPr>
          <w:lang w:eastAsia="zh-CN"/>
        </w:rPr>
        <w:t xml:space="preserve"> </w:t>
      </w:r>
    </w:p>
    <w:p w14:paraId="0E07B440" w14:textId="77777777" w:rsidR="001E558F" w:rsidRPr="001E558F" w:rsidRDefault="001E558F" w:rsidP="001E558F">
      <w:pPr>
        <w:rPr>
          <w:lang w:eastAsia="zh-CN"/>
        </w:rPr>
      </w:pPr>
      <w:r w:rsidRPr="001E558F">
        <w:rPr>
          <w:lang w:eastAsia="zh-CN"/>
        </w:rPr>
        <w:t xml:space="preserve">where </w:t>
      </w:r>
    </w:p>
    <w:p w14:paraId="589ABFE2" w14:textId="77777777" w:rsidR="001E558F" w:rsidRPr="001E558F" w:rsidRDefault="001E558F" w:rsidP="001E558F">
      <w:pPr>
        <w:pStyle w:val="B1"/>
      </w:pPr>
      <w:r w:rsidRPr="001E558F">
        <w:t>-</w:t>
      </w:r>
      <w:r w:rsidRPr="001E558F">
        <w:tab/>
        <w:t>in the following</w:t>
      </w:r>
    </w:p>
    <w:p w14:paraId="43C029A0" w14:textId="77777777" w:rsidR="001E558F" w:rsidRPr="001E558F" w:rsidRDefault="001E558F" w:rsidP="001E558F">
      <w:pPr>
        <w:pStyle w:val="B2"/>
      </w:pPr>
      <w:r w:rsidRPr="001E558F">
        <w:t>-</w:t>
      </w:r>
      <w:r w:rsidRPr="001E558F">
        <w:tab/>
        <w:t xml:space="preserve">a DCI format 1_3 schedules more than one PDSCH receptions </w:t>
      </w:r>
      <w:r w:rsidRPr="001E558F">
        <w:rPr>
          <w:lang w:val="en-US"/>
        </w:rPr>
        <w:t>providing transport blocks with enabled HARQ-ACK information</w:t>
      </w:r>
      <w:r w:rsidRPr="001E558F">
        <w:t xml:space="preserve"> </w:t>
      </w:r>
    </w:p>
    <w:p w14:paraId="3E09C7E0" w14:textId="77777777" w:rsidR="001E558F" w:rsidRPr="001E558F" w:rsidRDefault="001E558F" w:rsidP="001E558F">
      <w:pPr>
        <w:pStyle w:val="B2"/>
      </w:pPr>
      <w:r w:rsidRPr="001E558F">
        <w:t>-</w:t>
      </w:r>
      <w:r w:rsidRPr="001E558F">
        <w:tab/>
        <w:t xml:space="preserve">a dormancy indication is considered as a PDSCH reception providing a single transport block with </w:t>
      </w:r>
      <w:r w:rsidRPr="001E558F">
        <w:rPr>
          <w:lang w:val="en-US"/>
        </w:rPr>
        <w:t>enabled HARQ-ACK information</w:t>
      </w:r>
    </w:p>
    <w:p w14:paraId="1845B3AB" w14:textId="77777777" w:rsidR="001E558F" w:rsidRPr="001E558F" w:rsidRDefault="001E558F" w:rsidP="001E558F">
      <w:pPr>
        <w:pStyle w:val="B1"/>
        <w:rPr>
          <w:lang w:val="en-US"/>
        </w:rPr>
      </w:pPr>
      <w:r w:rsidRPr="001E558F">
        <w:rPr>
          <w:rFonts w:cs="Arial"/>
          <w:lang w:eastAsia="zh-CN"/>
        </w:rPr>
        <w:t>-</w:t>
      </w:r>
      <w:r w:rsidRPr="001E558F">
        <w:rPr>
          <w:rFonts w:cs="Arial"/>
          <w:lang w:eastAsia="zh-CN"/>
        </w:rPr>
        <w:tab/>
      </w:r>
      <m:oMath>
        <m:sSubSup>
          <m:sSubSupPr>
            <m:ctrlPr>
              <w:rPr>
                <w:rFonts w:ascii="Cambria Math" w:hAnsi="Cambria Math"/>
                <w:i/>
              </w:rPr>
            </m:ctrlPr>
          </m:sSubSupPr>
          <m:e>
            <m:r>
              <w:rPr>
                <w:rFonts w:ascii="Cambria Math"/>
              </w:rPr>
              <m:t>V</m:t>
            </m:r>
          </m:e>
          <m:sub>
            <m:r>
              <m:rPr>
                <m:sty m:val="p"/>
              </m:rPr>
              <w:rPr>
                <w:rFonts w:ascii="Cambria Math"/>
              </w:rPr>
              <m:t>DAI,</m:t>
            </m:r>
            <m:sSub>
              <m:sSubPr>
                <m:ctrlPr>
                  <w:rPr>
                    <w:rFonts w:ascii="Cambria Math" w:hAnsi="Cambria Math"/>
                    <w:lang w:eastAsia="zh-CN"/>
                  </w:rPr>
                </m:ctrlPr>
              </m:sSubPr>
              <m:e>
                <m:r>
                  <w:rPr>
                    <w:rFonts w:ascii="Cambria Math" w:hAnsi="Cambria Math"/>
                    <w:lang w:eastAsia="zh-CN"/>
                  </w:rPr>
                  <m:t>m</m:t>
                </m:r>
              </m:e>
              <m:sub>
                <m:r>
                  <m:rPr>
                    <m:sty m:val="p"/>
                  </m:rPr>
                  <w:rPr>
                    <w:rFonts w:ascii="Cambria Math" w:hAnsi="Cambria Math"/>
                    <w:lang w:eastAsia="zh-CN"/>
                  </w:rPr>
                  <m:t>last</m:t>
                </m:r>
              </m:sub>
            </m:sSub>
            <m:ctrlPr>
              <w:rPr>
                <w:rFonts w:ascii="Cambria Math" w:hAnsi="Cambria Math"/>
              </w:rPr>
            </m:ctrlPr>
          </m:sub>
          <m:sup>
            <m:r>
              <m:rPr>
                <m:nor/>
              </m:rPr>
              <w:rPr>
                <w:rFonts w:ascii="Cambria Math"/>
              </w:rPr>
              <m:t>DL</m:t>
            </m:r>
            <m:ctrlPr>
              <w:rPr>
                <w:rFonts w:ascii="Cambria Math" w:hAnsi="Cambria Math"/>
              </w:rPr>
            </m:ctrlPr>
          </m:sup>
        </m:sSubSup>
      </m:oMath>
      <w:r w:rsidRPr="001E558F">
        <w:rPr>
          <w:rFonts w:cs="Arial"/>
          <w:lang w:eastAsia="zh-CN"/>
        </w:rPr>
        <w:t xml:space="preserve"> is the value </w:t>
      </w:r>
      <w:r w:rsidRPr="001E558F">
        <w:rPr>
          <w:rFonts w:cs="Arial" w:hint="eastAsia"/>
          <w:lang w:eastAsia="zh-CN"/>
        </w:rPr>
        <w:t>of the total DAI</w:t>
      </w:r>
      <w:r w:rsidRPr="001E558F">
        <w:t xml:space="preserve"> </w:t>
      </w:r>
      <w:r w:rsidRPr="001E558F">
        <w:rPr>
          <w:lang w:val="en-US"/>
        </w:rPr>
        <w:t xml:space="preserve">field in a last DCI format 1_3 the UE detects in a last </w:t>
      </w:r>
      <w:r w:rsidRPr="001E558F">
        <w:t xml:space="preserve">PDCCH monitoring occasion </w:t>
      </w:r>
      <w:r w:rsidRPr="001E558F">
        <w:rPr>
          <w:lang w:eastAsia="zh-CN"/>
        </w:rPr>
        <w:t>with</w:t>
      </w:r>
      <w:r w:rsidRPr="001E558F">
        <w:rPr>
          <w:rFonts w:hint="eastAsia"/>
          <w:lang w:eastAsia="zh-CN"/>
        </w:rPr>
        <w:t xml:space="preserve">in </w:t>
      </w:r>
      <w:r w:rsidRPr="001E558F">
        <w:rPr>
          <w:lang w:eastAsia="zh-CN"/>
        </w:rPr>
        <w:t xml:space="preserve">the </w:t>
      </w:r>
      <m:oMath>
        <m:r>
          <w:rPr>
            <w:rFonts w:ascii="Cambria Math" w:hAnsi="Cambria Math"/>
          </w:rPr>
          <m:t>M</m:t>
        </m:r>
      </m:oMath>
      <w:r w:rsidRPr="001E558F">
        <w:t xml:space="preserve"> </w:t>
      </w:r>
      <w:r w:rsidRPr="001E558F">
        <w:rPr>
          <w:lang w:eastAsia="zh-CN"/>
        </w:rPr>
        <w:t xml:space="preserve">PDCCH monitoring occasions where the UE detects at least one DCI format 1_3. </w:t>
      </w:r>
      <m:oMath>
        <m:sSubSup>
          <m:sSubSupPr>
            <m:ctrlPr>
              <w:rPr>
                <w:rFonts w:ascii="Cambria Math" w:hAnsi="Cambria Math"/>
                <w:i/>
              </w:rPr>
            </m:ctrlPr>
          </m:sSubSupPr>
          <m:e>
            <m:r>
              <w:rPr>
                <w:rFonts w:ascii="Cambria Math"/>
              </w:rPr>
              <m:t>V</m:t>
            </m:r>
          </m:e>
          <m:sub>
            <m:r>
              <m:rPr>
                <m:sty m:val="p"/>
              </m:rPr>
              <w:rPr>
                <w:rFonts w:ascii="Cambria Math"/>
              </w:rPr>
              <m:t>DAI,</m:t>
            </m:r>
            <m:sSub>
              <m:sSubPr>
                <m:ctrlPr>
                  <w:rPr>
                    <w:rFonts w:ascii="Cambria Math" w:hAnsi="Cambria Math"/>
                    <w:lang w:eastAsia="zh-CN"/>
                  </w:rPr>
                </m:ctrlPr>
              </m:sSubPr>
              <m:e>
                <m:r>
                  <w:rPr>
                    <w:rFonts w:ascii="Cambria Math" w:hAnsi="Cambria Math"/>
                    <w:lang w:eastAsia="zh-CN"/>
                  </w:rPr>
                  <m:t>m</m:t>
                </m:r>
              </m:e>
              <m:sub>
                <m:r>
                  <m:rPr>
                    <m:sty m:val="p"/>
                  </m:rPr>
                  <w:rPr>
                    <w:rFonts w:ascii="Cambria Math" w:hAnsi="Cambria Math"/>
                    <w:lang w:eastAsia="zh-CN"/>
                  </w:rPr>
                  <m:t>last</m:t>
                </m:r>
              </m:sub>
            </m:sSub>
            <m:ctrlPr>
              <w:rPr>
                <w:rFonts w:ascii="Cambria Math" w:hAnsi="Cambria Math"/>
              </w:rPr>
            </m:ctrlPr>
          </m:sub>
          <m:sup>
            <m:r>
              <m:rPr>
                <m:nor/>
              </m:rPr>
              <w:rPr>
                <w:rFonts w:ascii="Cambria Math"/>
                <w:lang w:val="en-US"/>
              </w:rPr>
              <m:t>DL</m:t>
            </m:r>
            <m:ctrlPr>
              <w:rPr>
                <w:rFonts w:ascii="Cambria Math" w:hAnsi="Cambria Math"/>
              </w:rPr>
            </m:ctrlPr>
          </m:sup>
        </m:sSubSup>
        <m:r>
          <w:rPr>
            <w:rFonts w:ascii="Cambria Math" w:hAnsi="Cambria Math"/>
          </w:rPr>
          <m:t>=0</m:t>
        </m:r>
      </m:oMath>
      <w:r w:rsidRPr="001E558F">
        <w:rPr>
          <w:rFonts w:cs="Arial"/>
          <w:lang w:eastAsia="zh-CN"/>
        </w:rPr>
        <w:t xml:space="preserve"> if the UE does not detect any </w:t>
      </w:r>
      <w:r w:rsidRPr="001E558F">
        <w:rPr>
          <w:rFonts w:cs="Arial" w:hint="eastAsia"/>
          <w:lang w:eastAsia="zh-CN"/>
        </w:rPr>
        <w:t xml:space="preserve">DCI format </w:t>
      </w:r>
      <w:r w:rsidRPr="001E558F">
        <w:rPr>
          <w:rFonts w:cs="Arial"/>
          <w:lang w:eastAsia="zh-CN"/>
        </w:rPr>
        <w:t xml:space="preserve">1_3 </w:t>
      </w:r>
      <w:r w:rsidRPr="001E558F">
        <w:rPr>
          <w:rFonts w:hint="eastAsia"/>
          <w:lang w:eastAsia="zh-CN"/>
        </w:rPr>
        <w:t xml:space="preserve">in </w:t>
      </w:r>
      <w:r w:rsidRPr="001E558F">
        <w:rPr>
          <w:lang w:eastAsia="zh-CN"/>
        </w:rPr>
        <w:t xml:space="preserve">any of the </w:t>
      </w:r>
      <m:oMath>
        <m:r>
          <w:rPr>
            <w:rFonts w:ascii="Cambria Math" w:hAnsi="Cambria Math"/>
          </w:rPr>
          <m:t>M</m:t>
        </m:r>
      </m:oMath>
      <w:r w:rsidRPr="001E558F">
        <w:t xml:space="preserve"> </w:t>
      </w:r>
      <w:r w:rsidRPr="001E558F">
        <w:rPr>
          <w:lang w:eastAsia="zh-CN"/>
        </w:rPr>
        <w:t>PDCCH monitoring occasion</w:t>
      </w:r>
      <w:r w:rsidRPr="001E558F">
        <w:t>s.</w:t>
      </w:r>
    </w:p>
    <w:p w14:paraId="450A720D" w14:textId="77777777" w:rsidR="001E558F" w:rsidRPr="001E558F" w:rsidRDefault="001E558F" w:rsidP="001E558F">
      <w:pPr>
        <w:pStyle w:val="B1"/>
      </w:pPr>
      <w:r w:rsidRPr="001E558F">
        <w:t>-</w:t>
      </w:r>
      <w:r w:rsidRPr="001E558F">
        <w:tab/>
      </w:r>
      <m:oMath>
        <m:sSub>
          <m:sSubPr>
            <m:ctrlPr>
              <w:rPr>
                <w:rFonts w:ascii="Cambria Math" w:hAnsi="Cambria Math"/>
                <w:i/>
                <w:lang w:eastAsia="zh-CN"/>
              </w:rPr>
            </m:ctrlPr>
          </m:sSubPr>
          <m:e>
            <m:r>
              <w:rPr>
                <w:rFonts w:ascii="Cambria Math"/>
                <w:lang w:eastAsia="zh-CN"/>
              </w:rPr>
              <m:t>U</m:t>
            </m:r>
          </m:e>
          <m:sub>
            <m:r>
              <m:rPr>
                <m:nor/>
              </m:rPr>
              <w:rPr>
                <w:rFonts w:ascii="Cambria Math"/>
                <w:lang w:val="en-US" w:eastAsia="zh-CN"/>
              </w:rPr>
              <m:t>DAI,</m:t>
            </m:r>
            <m:r>
              <m:rPr>
                <m:nor/>
              </m:rPr>
              <w:rPr>
                <w:rFonts w:ascii="Cambria Math"/>
                <w:i/>
                <w:iCs/>
                <w:lang w:val="en-US" w:eastAsia="zh-CN"/>
              </w:rPr>
              <m:t>s</m:t>
            </m:r>
            <m:ctrlPr>
              <w:rPr>
                <w:rFonts w:ascii="Cambria Math" w:hAnsi="Cambria Math"/>
                <w:lang w:eastAsia="zh-CN"/>
              </w:rPr>
            </m:ctrlPr>
          </m:sub>
        </m:sSub>
      </m:oMath>
      <w:r w:rsidRPr="001E558F">
        <w:t xml:space="preserve"> is the total number of</w:t>
      </w:r>
      <w:r w:rsidRPr="001E558F">
        <w:rPr>
          <w:lang w:val="en-US"/>
        </w:rPr>
        <w:t xml:space="preserve"> </w:t>
      </w:r>
      <w:r w:rsidRPr="001E558F">
        <w:rPr>
          <w:rFonts w:cs="Arial" w:hint="eastAsia"/>
          <w:lang w:eastAsia="zh-CN"/>
        </w:rPr>
        <w:t>DCI format</w:t>
      </w:r>
      <w:r w:rsidRPr="001E558F">
        <w:rPr>
          <w:rFonts w:cs="Arial"/>
          <w:lang w:eastAsia="zh-CN"/>
        </w:rPr>
        <w:t xml:space="preserve"> 1_3</w:t>
      </w:r>
      <w:r w:rsidRPr="001E558F">
        <w:rPr>
          <w:lang w:val="en-US" w:eastAsia="zh-CN"/>
        </w:rPr>
        <w:t xml:space="preserve"> </w:t>
      </w:r>
      <w:r w:rsidRPr="001E558F">
        <w:t xml:space="preserve">that the UE detects within the </w:t>
      </w:r>
      <m:oMath>
        <m:r>
          <w:rPr>
            <w:rFonts w:ascii="Cambria Math" w:hAnsi="Cambria Math"/>
          </w:rPr>
          <m:t>M</m:t>
        </m:r>
      </m:oMath>
      <w:r w:rsidRPr="001E558F">
        <w:rPr>
          <w:rFonts w:hint="eastAsia"/>
          <w:lang w:eastAsia="zh-CN"/>
        </w:rPr>
        <w:t xml:space="preserve"> </w:t>
      </w:r>
      <w:r w:rsidRPr="001E558F">
        <w:rPr>
          <w:lang w:eastAsia="zh-CN"/>
        </w:rPr>
        <w:t>PDCCH monitoring occasions</w:t>
      </w:r>
      <w:r w:rsidRPr="001E558F">
        <w:t xml:space="preserve"> for</w:t>
      </w:r>
      <w:r w:rsidRPr="001E558F">
        <w:rPr>
          <w:rFonts w:hint="eastAsia"/>
          <w:sz w:val="19"/>
          <w:szCs w:val="19"/>
          <w:lang w:eastAsia="zh-CN"/>
        </w:rPr>
        <w:t xml:space="preserve"> </w:t>
      </w:r>
      <w:r w:rsidRPr="001E558F">
        <w:rPr>
          <w:sz w:val="19"/>
          <w:szCs w:val="19"/>
          <w:lang w:eastAsia="zh-CN"/>
        </w:rPr>
        <w:t xml:space="preserve">the set </w:t>
      </w:r>
      <m:oMath>
        <m:r>
          <w:rPr>
            <w:rFonts w:ascii="Cambria Math" w:hAnsi="Cambria Math"/>
          </w:rPr>
          <m:t>s</m:t>
        </m:r>
      </m:oMath>
      <w:r w:rsidRPr="001E558F">
        <w:rPr>
          <w:sz w:val="19"/>
          <w:szCs w:val="19"/>
          <w:lang w:eastAsia="zh-CN"/>
        </w:rPr>
        <w:t xml:space="preserve"> of </w:t>
      </w:r>
      <w:r w:rsidRPr="001E558F">
        <w:rPr>
          <w:rFonts w:hint="eastAsia"/>
          <w:lang w:eastAsia="zh-CN"/>
        </w:rPr>
        <w:t>serving cell</w:t>
      </w:r>
      <w:r w:rsidRPr="001E558F">
        <w:rPr>
          <w:lang w:eastAsia="zh-CN"/>
        </w:rPr>
        <w:t>s</w:t>
      </w:r>
      <w:r w:rsidRPr="001E558F">
        <w:t xml:space="preserve">. </w:t>
      </w:r>
      <m:oMath>
        <m:sSub>
          <m:sSubPr>
            <m:ctrlPr>
              <w:rPr>
                <w:rFonts w:ascii="Cambria Math" w:hAnsi="Cambria Math"/>
                <w:i/>
                <w:lang w:eastAsia="zh-CN"/>
              </w:rPr>
            </m:ctrlPr>
          </m:sSubPr>
          <m:e>
            <m:r>
              <w:rPr>
                <w:rFonts w:ascii="Cambria Math"/>
                <w:lang w:eastAsia="zh-CN"/>
              </w:rPr>
              <m:t>U</m:t>
            </m:r>
          </m:e>
          <m:sub>
            <m:r>
              <m:rPr>
                <m:nor/>
              </m:rPr>
              <w:rPr>
                <w:rFonts w:ascii="Cambria Math"/>
                <w:lang w:val="en-US" w:eastAsia="zh-CN"/>
              </w:rPr>
              <m:t>DAI,</m:t>
            </m:r>
            <m:r>
              <m:rPr>
                <m:nor/>
              </m:rPr>
              <w:rPr>
                <w:rFonts w:ascii="Cambria Math"/>
                <w:i/>
                <w:iCs/>
                <w:lang w:val="en-US" w:eastAsia="zh-CN"/>
              </w:rPr>
              <m:t>s</m:t>
            </m:r>
            <m:ctrlPr>
              <w:rPr>
                <w:rFonts w:ascii="Cambria Math" w:hAnsi="Cambria Math"/>
                <w:lang w:eastAsia="zh-CN"/>
              </w:rPr>
            </m:ctrlPr>
          </m:sub>
        </m:sSub>
        <m:r>
          <w:rPr>
            <w:rFonts w:ascii="Cambria Math" w:hAnsi="Cambria Math"/>
            <w:lang w:eastAsia="zh-CN"/>
          </w:rPr>
          <m:t>=0</m:t>
        </m:r>
      </m:oMath>
      <w:r w:rsidRPr="001E558F">
        <w:t xml:space="preserve"> if the UE does not detect </w:t>
      </w:r>
      <w:r w:rsidRPr="001E558F">
        <w:rPr>
          <w:rFonts w:cs="Arial"/>
          <w:lang w:eastAsia="zh-CN"/>
        </w:rPr>
        <w:t xml:space="preserve">any </w:t>
      </w:r>
      <w:r w:rsidRPr="001E558F">
        <w:rPr>
          <w:rFonts w:cs="Arial" w:hint="eastAsia"/>
          <w:lang w:eastAsia="zh-CN"/>
        </w:rPr>
        <w:t xml:space="preserve">DCI format </w:t>
      </w:r>
      <w:r w:rsidRPr="001E558F">
        <w:rPr>
          <w:rFonts w:cs="Arial"/>
          <w:lang w:eastAsia="zh-CN"/>
        </w:rPr>
        <w:t xml:space="preserve">1_3 </w:t>
      </w:r>
      <w:r w:rsidRPr="001E558F">
        <w:t>associated with scheduling on</w:t>
      </w:r>
      <w:r w:rsidRPr="001E558F">
        <w:rPr>
          <w:rFonts w:hint="eastAsia"/>
          <w:sz w:val="19"/>
          <w:szCs w:val="19"/>
          <w:lang w:eastAsia="zh-CN"/>
        </w:rPr>
        <w:t xml:space="preserve"> </w:t>
      </w:r>
      <w:r w:rsidRPr="001E558F">
        <w:rPr>
          <w:sz w:val="19"/>
          <w:szCs w:val="19"/>
          <w:lang w:eastAsia="zh-CN"/>
        </w:rPr>
        <w:t xml:space="preserve">set </w:t>
      </w:r>
      <m:oMath>
        <m:r>
          <w:rPr>
            <w:rFonts w:ascii="Cambria Math" w:hAnsi="Cambria Math"/>
          </w:rPr>
          <m:t>s</m:t>
        </m:r>
      </m:oMath>
      <w:r w:rsidRPr="001E558F">
        <w:rPr>
          <w:sz w:val="19"/>
          <w:szCs w:val="19"/>
          <w:lang w:eastAsia="zh-CN"/>
        </w:rPr>
        <w:t xml:space="preserve"> of </w:t>
      </w:r>
      <w:r w:rsidRPr="001E558F">
        <w:rPr>
          <w:rFonts w:hint="eastAsia"/>
          <w:lang w:eastAsia="zh-CN"/>
        </w:rPr>
        <w:t>serving cell</w:t>
      </w:r>
      <w:r w:rsidRPr="001E558F">
        <w:rPr>
          <w:lang w:eastAsia="zh-CN"/>
        </w:rPr>
        <w:t>s</w:t>
      </w:r>
      <w:r w:rsidRPr="001E558F">
        <w:rPr>
          <w:rFonts w:hint="eastAsia"/>
          <w:lang w:eastAsia="zh-CN"/>
        </w:rPr>
        <w:t xml:space="preserve"> in </w:t>
      </w:r>
      <w:r w:rsidRPr="001E558F">
        <w:rPr>
          <w:lang w:eastAsia="zh-CN"/>
        </w:rPr>
        <w:t xml:space="preserve">any of the </w:t>
      </w:r>
      <m:oMath>
        <m:r>
          <w:rPr>
            <w:rFonts w:ascii="Cambria Math" w:hAnsi="Cambria Math"/>
          </w:rPr>
          <m:t>M</m:t>
        </m:r>
      </m:oMath>
      <w:r w:rsidRPr="001E558F">
        <w:t xml:space="preserve"> </w:t>
      </w:r>
      <w:r w:rsidRPr="001E558F">
        <w:rPr>
          <w:lang w:eastAsia="zh-CN"/>
        </w:rPr>
        <w:t>PDCCH monitoring occasion</w:t>
      </w:r>
      <w:r w:rsidRPr="001E558F">
        <w:t>s.</w:t>
      </w:r>
    </w:p>
    <w:p w14:paraId="3CC628C7" w14:textId="77777777" w:rsidR="001E558F" w:rsidRPr="001E558F" w:rsidRDefault="001E558F" w:rsidP="001E558F">
      <w:pPr>
        <w:pStyle w:val="B1"/>
      </w:pPr>
      <w:r w:rsidRPr="001E558F">
        <w:t>-</w:t>
      </w:r>
      <w:r w:rsidRPr="001E558F">
        <w:tab/>
      </w:r>
      <m:oMath>
        <m:sSubSup>
          <m:sSubSupPr>
            <m:ctrlPr>
              <w:rPr>
                <w:rFonts w:ascii="Cambria Math" w:hAnsi="Cambria Math"/>
                <w:i/>
              </w:rPr>
            </m:ctrlPr>
          </m:sSubSupPr>
          <m:e>
            <m:r>
              <w:rPr>
                <w:rFonts w:ascii="Cambria Math"/>
              </w:rPr>
              <m:t>N</m:t>
            </m:r>
          </m:e>
          <m:sub>
            <m:r>
              <m:rPr>
                <m:sty m:val="p"/>
              </m:rPr>
              <w:rPr>
                <w:rFonts w:ascii="Cambria Math"/>
              </w:rPr>
              <m:t>TB,max</m:t>
            </m:r>
            <m:ctrlPr>
              <w:rPr>
                <w:rFonts w:ascii="Cambria Math" w:hAnsi="Cambria Math"/>
              </w:rPr>
            </m:ctrlPr>
          </m:sub>
          <m:sup>
            <m:r>
              <m:rPr>
                <m:nor/>
              </m:rPr>
              <w:rPr>
                <w:rFonts w:ascii="Cambria Math"/>
                <w:lang w:val="en-US"/>
              </w:rPr>
              <m:t>DL,MC</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sets</m:t>
            </m:r>
            <m:ctrlPr>
              <w:rPr>
                <w:rFonts w:ascii="Cambria Math" w:hAnsi="Cambria Math"/>
              </w:rPr>
            </m:ctrlPr>
          </m:sub>
          <m:sup>
            <m:r>
              <m:rPr>
                <m:nor/>
              </m:rPr>
              <w:rPr>
                <w:lang w:val="en-US"/>
              </w:rPr>
              <m:t>TB,max</m:t>
            </m:r>
            <m:ctrlPr>
              <w:rPr>
                <w:rFonts w:ascii="Cambria Math" w:hAnsi="Cambria Math"/>
              </w:rPr>
            </m:ctrlPr>
          </m:sup>
        </m:sSubSup>
      </m:oMath>
      <w:r w:rsidRPr="001E558F">
        <w:t xml:space="preserve"> </w:t>
      </w:r>
      <w:r w:rsidRPr="001E558F">
        <w:rPr>
          <w:lang w:val="en-US"/>
        </w:rPr>
        <w:t>if</w:t>
      </w:r>
      <w:r w:rsidRPr="001E558F">
        <w:t xml:space="preserve"> </w:t>
      </w:r>
      <w:r w:rsidRPr="001E558F">
        <w:rPr>
          <w:i/>
        </w:rPr>
        <w:t>harq-ACK-SpatialBundlingPUCCH</w:t>
      </w:r>
      <w:r w:rsidRPr="001E558F">
        <w:rPr>
          <w:rFonts w:hint="eastAsia"/>
          <w:lang w:eastAsia="zh-CN"/>
        </w:rPr>
        <w:t xml:space="preserve"> </w:t>
      </w:r>
      <w:r w:rsidRPr="001E558F">
        <w:rPr>
          <w:lang w:val="en-US" w:eastAsia="zh-CN"/>
        </w:rPr>
        <w:t>is not provided;</w:t>
      </w:r>
      <w:r w:rsidRPr="001E558F">
        <w:rPr>
          <w:lang w:eastAsia="zh-CN"/>
        </w:rPr>
        <w:t xml:space="preserve"> </w:t>
      </w:r>
      <w:r w:rsidRPr="001E558F">
        <w:rPr>
          <w:lang w:val="en-US" w:eastAsia="zh-CN"/>
        </w:rPr>
        <w:t>otherwise,</w:t>
      </w:r>
      <w:r w:rsidRPr="001E558F">
        <w:rPr>
          <w:lang w:eastAsia="zh-CN"/>
        </w:rPr>
        <w:t xml:space="preserve"> </w:t>
      </w:r>
      <m:oMath>
        <m:sSubSup>
          <m:sSubSupPr>
            <m:ctrlPr>
              <w:rPr>
                <w:rFonts w:ascii="Cambria Math" w:hAnsi="Cambria Math"/>
                <w:i/>
              </w:rPr>
            </m:ctrlPr>
          </m:sSubSupPr>
          <m:e>
            <m:r>
              <w:rPr>
                <w:rFonts w:ascii="Cambria Math"/>
              </w:rPr>
              <m:t>N</m:t>
            </m:r>
          </m:e>
          <m:sub>
            <m:r>
              <m:rPr>
                <m:sty m:val="p"/>
              </m:rPr>
              <w:rPr>
                <w:rFonts w:ascii="Cambria Math"/>
              </w:rPr>
              <m:t>TB,max</m:t>
            </m:r>
            <m:ctrlPr>
              <w:rPr>
                <w:rFonts w:ascii="Cambria Math" w:hAnsi="Cambria Math"/>
              </w:rPr>
            </m:ctrlPr>
          </m:sub>
          <m:sup>
            <m:r>
              <m:rPr>
                <m:nor/>
              </m:rPr>
              <w:rPr>
                <w:rFonts w:ascii="Cambria Math"/>
                <w:lang w:val="en-US"/>
              </w:rPr>
              <m:t>DL,MC</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cells,set</m:t>
            </m:r>
            <m:ctrlPr>
              <w:rPr>
                <w:rFonts w:ascii="Cambria Math" w:hAnsi="Cambria Math"/>
              </w:rPr>
            </m:ctrlPr>
          </m:sub>
          <m:sup>
            <m:r>
              <m:rPr>
                <m:nor/>
              </m:rPr>
              <w:rPr>
                <w:lang w:val="en-US"/>
              </w:rPr>
              <m:t>DL,max</m:t>
            </m:r>
            <m:ctrlPr>
              <w:rPr>
                <w:rFonts w:ascii="Cambria Math" w:hAnsi="Cambria Math"/>
              </w:rPr>
            </m:ctrlPr>
          </m:sup>
        </m:sSubSup>
      </m:oMath>
      <w:r w:rsidRPr="001E558F">
        <w:t>.</w:t>
      </w:r>
    </w:p>
    <w:p w14:paraId="19171BC8" w14:textId="77777777" w:rsidR="001E558F" w:rsidRPr="001E558F" w:rsidRDefault="001E558F" w:rsidP="001E558F">
      <w:pPr>
        <w:pStyle w:val="B1"/>
        <w:rPr>
          <w:rFonts w:cs="Arial"/>
          <w:lang w:eastAsia="zh-CN"/>
        </w:rPr>
      </w:pPr>
      <w:r w:rsidRPr="001E558F">
        <w:rPr>
          <w:rFonts w:cs="Arial"/>
          <w:lang w:eastAsia="zh-CN"/>
        </w:rPr>
        <w:t>-</w:t>
      </w:r>
      <w:r w:rsidRPr="001E558F">
        <w:rPr>
          <w:rFonts w:cs="Arial"/>
          <w:lang w:eastAsia="zh-CN"/>
        </w:rPr>
        <w:tab/>
      </w:r>
      <m:oMath>
        <m:sSubSup>
          <m:sSubSupPr>
            <m:ctrlPr>
              <w:rPr>
                <w:rFonts w:ascii="Cambria Math" w:hAnsi="Cambria Math"/>
                <w:i/>
              </w:rPr>
            </m:ctrlPr>
          </m:sSubSupPr>
          <m:e>
            <m:r>
              <w:rPr>
                <w:rFonts w:ascii="Cambria Math"/>
              </w:rPr>
              <m:t>N</m:t>
            </m:r>
          </m:e>
          <m:sub>
            <m:r>
              <w:rPr>
                <w:rFonts w:ascii="Cambria Math"/>
              </w:rPr>
              <m:t>m,s</m:t>
            </m:r>
            <m:ctrlPr>
              <w:rPr>
                <w:rFonts w:ascii="Cambria Math" w:hAnsi="Cambria Math"/>
              </w:rPr>
            </m:ctrlPr>
          </m:sub>
          <m:sup>
            <m:r>
              <m:rPr>
                <m:nor/>
              </m:rPr>
              <w:rPr>
                <w:rFonts w:ascii="Cambria Math"/>
                <w:lang w:val="en-US"/>
              </w:rPr>
              <m:t>received</m:t>
            </m:r>
            <m:ctrlPr>
              <w:rPr>
                <w:rFonts w:ascii="Cambria Math" w:hAnsi="Cambria Math"/>
              </w:rPr>
            </m:ctrlPr>
          </m:sup>
        </m:sSubSup>
      </m:oMath>
      <w:r w:rsidRPr="001E558F">
        <w:rPr>
          <w:rFonts w:cs="Arial"/>
          <w:lang w:eastAsia="zh-CN"/>
        </w:rPr>
        <w:t xml:space="preserve"> is </w:t>
      </w:r>
    </w:p>
    <w:p w14:paraId="2691980E" w14:textId="60221E20" w:rsidR="001E558F" w:rsidRPr="001E558F" w:rsidRDefault="001E558F" w:rsidP="001E558F">
      <w:pPr>
        <w:pStyle w:val="B2"/>
        <w:rPr>
          <w:lang w:eastAsia="zh-CN"/>
        </w:rPr>
      </w:pPr>
      <w:r w:rsidRPr="001E558F">
        <w:t>-</w:t>
      </w:r>
      <w:r w:rsidRPr="001E558F">
        <w:tab/>
      </w:r>
      <w:r w:rsidRPr="001E558F">
        <w:rPr>
          <w:rFonts w:hint="eastAsia"/>
          <w:lang w:eastAsia="zh-CN"/>
        </w:rPr>
        <w:t xml:space="preserve">the number of </w:t>
      </w:r>
      <w:r w:rsidRPr="001E558F">
        <w:t>transport blocks, in PDSCH receptions not overlapping with a</w:t>
      </w:r>
      <w:r w:rsidRPr="001E558F">
        <w:rPr>
          <w:lang w:val="en-US"/>
        </w:rPr>
        <w:t>n</w:t>
      </w:r>
      <w:r w:rsidRPr="001E558F">
        <w:t xml:space="preserve"> UL symbol indicated by </w:t>
      </w:r>
      <w:r w:rsidRPr="001E558F">
        <w:rPr>
          <w:i/>
          <w:iCs/>
        </w:rPr>
        <w:t>tdd-UL-DL-ConfigurationCommon</w:t>
      </w:r>
      <w:r w:rsidRPr="001E558F">
        <w:t xml:space="preserve"> or</w:t>
      </w:r>
      <w:r w:rsidRPr="001E558F">
        <w:rPr>
          <w:lang w:val="en-US"/>
        </w:rPr>
        <w:t xml:space="preserve"> by</w:t>
      </w:r>
      <w:r w:rsidRPr="001E558F">
        <w:t xml:space="preserve"> </w:t>
      </w:r>
      <w:r w:rsidRPr="001E558F">
        <w:rPr>
          <w:i/>
          <w:iCs/>
        </w:rPr>
        <w:t xml:space="preserve">tdd-UL-DL-ConfigurationDedicated </w:t>
      </w:r>
      <w:r w:rsidRPr="001E558F">
        <w:t>if provided</w:t>
      </w:r>
      <w:r w:rsidRPr="001E558F">
        <w:rPr>
          <w:lang w:val="en-US"/>
        </w:rPr>
        <w:t>,</w:t>
      </w:r>
      <w:r w:rsidRPr="001E558F">
        <w:t xml:space="preserve"> associated with </w:t>
      </w:r>
      <w:r w:rsidRPr="001E558F">
        <w:rPr>
          <w:lang w:val="en-US"/>
        </w:rPr>
        <w:t xml:space="preserve">a </w:t>
      </w:r>
      <w:r w:rsidRPr="001E558F">
        <w:rPr>
          <w:rFonts w:cs="Arial" w:hint="eastAsia"/>
          <w:lang w:eastAsia="zh-CN"/>
        </w:rPr>
        <w:t xml:space="preserve">DCI format </w:t>
      </w:r>
      <w:r w:rsidRPr="001E558F">
        <w:rPr>
          <w:rFonts w:cs="Arial"/>
          <w:lang w:eastAsia="zh-CN"/>
        </w:rPr>
        <w:t xml:space="preserve">1_3 that the UE detects </w:t>
      </w:r>
      <w:r w:rsidRPr="001E558F">
        <w:rPr>
          <w:rFonts w:hint="eastAsia"/>
          <w:lang w:eastAsia="zh-CN"/>
        </w:rPr>
        <w:t xml:space="preserve">in </w:t>
      </w:r>
      <w:r w:rsidRPr="001E558F">
        <w:rPr>
          <w:lang w:eastAsia="zh-CN"/>
        </w:rPr>
        <w:t>PDCCH monitoring occasion</w:t>
      </w:r>
      <w:r w:rsidRPr="001E558F">
        <w:rPr>
          <w:rFonts w:hint="eastAsia"/>
          <w:lang w:eastAsia="zh-CN"/>
        </w:rPr>
        <w:t xml:space="preserve"> </w:t>
      </w:r>
      <m:oMath>
        <m:r>
          <w:rPr>
            <w:rFonts w:ascii="Cambria Math" w:hAnsi="Cambria Math"/>
          </w:rPr>
          <m:t>m</m:t>
        </m:r>
      </m:oMath>
      <w:r w:rsidRPr="001E558F">
        <w:t xml:space="preserve"> for</w:t>
      </w:r>
      <w:r w:rsidRPr="001E558F">
        <w:rPr>
          <w:sz w:val="19"/>
          <w:szCs w:val="19"/>
          <w:lang w:eastAsia="zh-CN"/>
        </w:rPr>
        <w:t xml:space="preserve"> set </w:t>
      </w:r>
      <m:oMath>
        <m:r>
          <w:rPr>
            <w:rFonts w:ascii="Cambria Math" w:hAnsi="Cambria Math"/>
          </w:rPr>
          <m:t>s</m:t>
        </m:r>
      </m:oMath>
      <w:r w:rsidRPr="001E558F">
        <w:rPr>
          <w:sz w:val="19"/>
          <w:szCs w:val="19"/>
          <w:lang w:eastAsia="zh-CN"/>
        </w:rPr>
        <w:t xml:space="preserve"> of </w:t>
      </w:r>
      <w:r w:rsidRPr="001E558F">
        <w:rPr>
          <w:rFonts w:hint="eastAsia"/>
          <w:lang w:eastAsia="zh-CN"/>
        </w:rPr>
        <w:t>serving cell</w:t>
      </w:r>
      <w:r w:rsidRPr="001E558F">
        <w:rPr>
          <w:lang w:eastAsia="zh-CN"/>
        </w:rPr>
        <w:t>s</w:t>
      </w:r>
      <w:r w:rsidRPr="001E558F">
        <w:t xml:space="preserve">, if </w:t>
      </w:r>
      <w:r w:rsidRPr="001E558F">
        <w:rPr>
          <w:i/>
        </w:rPr>
        <w:t>harq-ACK-SpatialBundlingPUCCH</w:t>
      </w:r>
      <w:r w:rsidRPr="001E558F">
        <w:rPr>
          <w:rFonts w:hint="eastAsia"/>
          <w:lang w:eastAsia="zh-CN"/>
        </w:rPr>
        <w:t xml:space="preserve"> </w:t>
      </w:r>
      <w:r w:rsidRPr="001E558F">
        <w:rPr>
          <w:lang w:val="en-US" w:eastAsia="zh-CN"/>
        </w:rPr>
        <w:t>is not provided</w:t>
      </w:r>
      <w:r w:rsidRPr="001E558F">
        <w:rPr>
          <w:rFonts w:hint="eastAsia"/>
          <w:lang w:eastAsia="zh-CN"/>
        </w:rPr>
        <w:t xml:space="preserve"> </w:t>
      </w:r>
    </w:p>
    <w:p w14:paraId="7F308273" w14:textId="24E391EA" w:rsidR="005575DD" w:rsidRPr="00C5087D" w:rsidRDefault="001E558F" w:rsidP="001E558F">
      <w:pPr>
        <w:pStyle w:val="B2"/>
      </w:pPr>
      <w:r w:rsidRPr="001E558F">
        <w:t>-</w:t>
      </w:r>
      <w:r w:rsidRPr="001E558F">
        <w:tab/>
      </w:r>
      <w:r w:rsidRPr="001E558F">
        <w:rPr>
          <w:rFonts w:cs="Arial"/>
          <w:lang w:eastAsia="zh-CN"/>
        </w:rPr>
        <w:t>the number of</w:t>
      </w:r>
      <w:r w:rsidRPr="001E558F">
        <w:rPr>
          <w:rFonts w:cs="Arial"/>
          <w:lang w:val="en-US" w:eastAsia="zh-CN"/>
        </w:rPr>
        <w:t xml:space="preserve"> more than one PDSCHs</w:t>
      </w:r>
      <w:r w:rsidRPr="001E558F">
        <w:t>, not overlapping with a</w:t>
      </w:r>
      <w:r w:rsidRPr="001E558F">
        <w:rPr>
          <w:lang w:val="en-US"/>
        </w:rPr>
        <w:t>n</w:t>
      </w:r>
      <w:r w:rsidRPr="001E558F">
        <w:t xml:space="preserve"> UL symbol indicated by </w:t>
      </w:r>
      <w:r w:rsidRPr="001E558F">
        <w:rPr>
          <w:i/>
          <w:iCs/>
        </w:rPr>
        <w:t>tdd-UL-DL-ConfigurationCommon</w:t>
      </w:r>
      <w:r w:rsidRPr="001E558F">
        <w:t xml:space="preserve"> or</w:t>
      </w:r>
      <w:r w:rsidRPr="001E558F">
        <w:rPr>
          <w:lang w:val="en-US"/>
        </w:rPr>
        <w:t xml:space="preserve"> by</w:t>
      </w:r>
      <w:r w:rsidRPr="001E558F">
        <w:t xml:space="preserve"> </w:t>
      </w:r>
      <w:r w:rsidRPr="001E558F">
        <w:rPr>
          <w:i/>
          <w:iCs/>
        </w:rPr>
        <w:t xml:space="preserve">tdd-UL-DL-ConfigurationDedicated </w:t>
      </w:r>
      <w:r w:rsidRPr="001E558F">
        <w:t>if provided</w:t>
      </w:r>
      <w:r w:rsidRPr="001E558F">
        <w:rPr>
          <w:lang w:val="en-US"/>
        </w:rPr>
        <w:t xml:space="preserve">, </w:t>
      </w:r>
      <w:r w:rsidRPr="001E558F">
        <w:rPr>
          <w:rFonts w:cs="Arial"/>
          <w:lang w:val="en-US" w:eastAsia="zh-CN"/>
        </w:rPr>
        <w:t>scheduled by</w:t>
      </w:r>
      <w:r w:rsidRPr="001E558F">
        <w:rPr>
          <w:rFonts w:cs="Arial"/>
          <w:lang w:eastAsia="zh-CN"/>
        </w:rPr>
        <w:t xml:space="preserve"> </w:t>
      </w:r>
      <w:r w:rsidRPr="001E558F">
        <w:rPr>
          <w:rFonts w:cs="Arial"/>
          <w:lang w:val="en-US" w:eastAsia="zh-CN"/>
        </w:rPr>
        <w:t xml:space="preserve">a </w:t>
      </w:r>
      <w:r w:rsidRPr="001E558F">
        <w:rPr>
          <w:rFonts w:cs="Arial" w:hint="eastAsia"/>
          <w:lang w:eastAsia="zh-CN"/>
        </w:rPr>
        <w:t xml:space="preserve">DCI format </w:t>
      </w:r>
      <w:r w:rsidRPr="001E558F">
        <w:rPr>
          <w:rFonts w:cs="Arial"/>
          <w:lang w:eastAsia="zh-CN"/>
        </w:rPr>
        <w:t xml:space="preserve">1_3 that the UE detects </w:t>
      </w:r>
      <w:r w:rsidRPr="001E558F">
        <w:rPr>
          <w:rFonts w:hint="eastAsia"/>
          <w:lang w:eastAsia="zh-CN"/>
        </w:rPr>
        <w:t xml:space="preserve">in </w:t>
      </w:r>
      <w:r w:rsidRPr="001E558F">
        <w:rPr>
          <w:lang w:eastAsia="zh-CN"/>
        </w:rPr>
        <w:t>PDCCH monitoring occasion</w:t>
      </w:r>
      <w:r w:rsidRPr="001E558F">
        <w:rPr>
          <w:rFonts w:hint="eastAsia"/>
          <w:lang w:eastAsia="zh-CN"/>
        </w:rPr>
        <w:t xml:space="preserve"> </w:t>
      </w:r>
      <m:oMath>
        <m:r>
          <w:rPr>
            <w:rFonts w:ascii="Cambria Math" w:hAnsi="Cambria Math"/>
          </w:rPr>
          <m:t>m</m:t>
        </m:r>
      </m:oMath>
      <w:r w:rsidRPr="001E558F">
        <w:t xml:space="preserve"> for</w:t>
      </w:r>
      <w:r w:rsidRPr="001E558F">
        <w:rPr>
          <w:sz w:val="19"/>
          <w:szCs w:val="19"/>
          <w:lang w:eastAsia="zh-CN"/>
        </w:rPr>
        <w:t xml:space="preserve"> set </w:t>
      </w:r>
      <m:oMath>
        <m:r>
          <w:rPr>
            <w:rFonts w:ascii="Cambria Math" w:hAnsi="Cambria Math"/>
          </w:rPr>
          <m:t>s</m:t>
        </m:r>
      </m:oMath>
      <w:r w:rsidRPr="001E558F">
        <w:rPr>
          <w:sz w:val="19"/>
          <w:szCs w:val="19"/>
          <w:lang w:eastAsia="zh-CN"/>
        </w:rPr>
        <w:t xml:space="preserve"> of </w:t>
      </w:r>
      <w:r w:rsidRPr="001E558F">
        <w:rPr>
          <w:rFonts w:hint="eastAsia"/>
          <w:lang w:eastAsia="zh-CN"/>
        </w:rPr>
        <w:t>serving cell</w:t>
      </w:r>
      <w:r w:rsidRPr="001E558F">
        <w:rPr>
          <w:lang w:eastAsia="zh-CN"/>
        </w:rPr>
        <w:t>s</w:t>
      </w:r>
      <w:r w:rsidRPr="001E558F">
        <w:t xml:space="preserve">, if </w:t>
      </w:r>
      <w:r w:rsidRPr="001E558F">
        <w:rPr>
          <w:i/>
        </w:rPr>
        <w:t>harq-ACK-SpatialBundlingPUCCH</w:t>
      </w:r>
      <w:r w:rsidRPr="001E558F">
        <w:rPr>
          <w:rFonts w:hint="eastAsia"/>
          <w:lang w:eastAsia="zh-CN"/>
        </w:rPr>
        <w:t xml:space="preserve"> </w:t>
      </w:r>
      <w:r w:rsidRPr="001E558F">
        <w:rPr>
          <w:lang w:val="en-US" w:eastAsia="zh-CN"/>
        </w:rPr>
        <w:t>is provided</w:t>
      </w:r>
      <w:r w:rsidRPr="001E558F">
        <w:t xml:space="preserve"> </w:t>
      </w:r>
    </w:p>
    <w:p w14:paraId="5BB5BF8A" w14:textId="7D3CAB0A" w:rsidR="001D732D" w:rsidRPr="00B916EC" w:rsidRDefault="001D732D" w:rsidP="001D732D">
      <w:pPr>
        <w:pStyle w:val="TH"/>
        <w:rPr>
          <w:lang w:eastAsia="zh-CN"/>
        </w:rPr>
      </w:pPr>
      <w:r w:rsidRPr="00B916EC">
        <w:t>Table 9.1.3-</w:t>
      </w:r>
      <w:r w:rsidRPr="00B916EC">
        <w:rPr>
          <w:rFonts w:hint="eastAsia"/>
          <w:lang w:eastAsia="zh-CN"/>
        </w:rPr>
        <w:t>1</w:t>
      </w:r>
      <w:r w:rsidRPr="00B916EC">
        <w:t>: Value of</w:t>
      </w:r>
      <w:r w:rsidRPr="00B916EC">
        <w:rPr>
          <w:rFonts w:hint="eastAsia"/>
          <w:lang w:eastAsia="zh-CN"/>
        </w:rPr>
        <w:t xml:space="preserve"> counter</w:t>
      </w:r>
      <w:r w:rsidRPr="00B916EC">
        <w:t xml:space="preserve"> </w:t>
      </w:r>
      <w:r w:rsidRPr="00B916EC">
        <w:rPr>
          <w:rFonts w:hint="eastAsia"/>
          <w:lang w:eastAsia="zh-CN"/>
        </w:rPr>
        <w:t>DA</w:t>
      </w:r>
      <w:r w:rsidRPr="00735DD2">
        <w:rPr>
          <w:rFonts w:hint="eastAsia"/>
          <w:lang w:eastAsia="zh-CN"/>
        </w:rPr>
        <w:t xml:space="preserve">I </w:t>
      </w:r>
      <w:r w:rsidR="00735DD2" w:rsidRPr="003E315E">
        <w:rPr>
          <w:lang w:eastAsia="zh-CN"/>
        </w:rPr>
        <w:t xml:space="preserve">for </w:t>
      </w:r>
      <m:oMath>
        <m:sSubSup>
          <m:sSubSupPr>
            <m:ctrlPr>
              <w:rPr>
                <w:rFonts w:ascii="Cambria Math" w:hAnsi="Cambria Math"/>
                <w:i/>
              </w:rPr>
            </m:ctrlPr>
          </m:sSubSupPr>
          <m:e>
            <m:r>
              <m:rPr>
                <m:sty m:val="bi"/>
              </m:rPr>
              <w:rPr>
                <w:rFonts w:ascii="Cambria Math"/>
              </w:rPr>
              <m:t>N</m:t>
            </m:r>
          </m:e>
          <m:sub>
            <m:r>
              <m:rPr>
                <m:sty m:val="bi"/>
              </m:rPr>
              <w:rPr>
                <w:rFonts w:ascii="Cambria Math"/>
              </w:rPr>
              <m:t>C</m:t>
            </m:r>
            <m:r>
              <m:rPr>
                <m:sty m:val="bi"/>
              </m:rPr>
              <w:rPr>
                <w:rFonts w:ascii="Cambria Math"/>
              </w:rPr>
              <m:t>-</m:t>
            </m:r>
            <m:r>
              <m:rPr>
                <m:nor/>
              </m:rPr>
              <w:rPr>
                <w:rFonts w:ascii="Cambria Math"/>
              </w:rPr>
              <m:t>DAI</m:t>
            </m:r>
            <m:ctrlPr>
              <w:rPr>
                <w:rFonts w:ascii="Cambria Math" w:hAnsi="Cambria Math"/>
              </w:rPr>
            </m:ctrlPr>
          </m:sub>
          <m:sup>
            <m:r>
              <m:rPr>
                <m:nor/>
              </m:rPr>
              <w:rPr>
                <w:rFonts w:ascii="Cambria Math"/>
              </w:rPr>
              <m:t>DL</m:t>
            </m:r>
            <m:ctrlPr>
              <w:rPr>
                <w:rFonts w:ascii="Cambria Math" w:hAnsi="Cambria Math"/>
              </w:rPr>
            </m:ctrlPr>
          </m:sup>
        </m:sSubSup>
        <m:r>
          <m:rPr>
            <m:sty m:val="bi"/>
          </m:rPr>
          <w:rPr>
            <w:rFonts w:ascii="Cambria Math"/>
          </w:rPr>
          <m:t>=2</m:t>
        </m:r>
      </m:oMath>
      <w:r>
        <w:rPr>
          <w:lang w:eastAsia="zh-CN"/>
        </w:rPr>
        <w:t xml:space="preserve"> </w:t>
      </w:r>
      <w:r w:rsidRPr="00B916EC">
        <w:rPr>
          <w:rFonts w:hint="eastAsia"/>
          <w:lang w:eastAsia="zh-CN"/>
        </w:rPr>
        <w:t xml:space="preserve">and </w:t>
      </w:r>
      <w:r>
        <w:rPr>
          <w:lang w:eastAsia="zh-CN"/>
        </w:rPr>
        <w:t xml:space="preserve">of </w:t>
      </w:r>
      <w:r w:rsidRPr="00B916EC">
        <w:rPr>
          <w:rFonts w:hint="eastAsia"/>
          <w:lang w:eastAsia="zh-CN"/>
        </w:rPr>
        <w:t>total DAI</w:t>
      </w:r>
      <w:r w:rsidRPr="00B916EC">
        <w:rPr>
          <w:lang w:eastAsia="zh-CN"/>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4"/>
        <w:gridCol w:w="1852"/>
        <w:gridCol w:w="6435"/>
      </w:tblGrid>
      <w:tr w:rsidR="008F277D" w:rsidRPr="00B916EC" w14:paraId="166E290C" w14:textId="77777777" w:rsidTr="00735DD2">
        <w:trPr>
          <w:cantSplit/>
          <w:jc w:val="center"/>
        </w:trPr>
        <w:tc>
          <w:tcPr>
            <w:tcW w:w="1344" w:type="dxa"/>
            <w:shd w:val="clear" w:color="auto" w:fill="E0E0E0"/>
            <w:vAlign w:val="center"/>
          </w:tcPr>
          <w:p w14:paraId="6681EA72" w14:textId="77777777" w:rsidR="008F277D" w:rsidRPr="00B916EC" w:rsidRDefault="008F277D" w:rsidP="008F277D">
            <w:pPr>
              <w:pStyle w:val="TAH"/>
              <w:rPr>
                <w:lang w:val="en-US"/>
              </w:rPr>
            </w:pPr>
            <w:r w:rsidRPr="00B916EC">
              <w:rPr>
                <w:lang w:val="en-US"/>
              </w:rPr>
              <w:t>DAI</w:t>
            </w:r>
            <w:r w:rsidRPr="00B916EC">
              <w:rPr>
                <w:lang w:val="en-US"/>
              </w:rPr>
              <w:br/>
              <w:t>MSB, LSB</w:t>
            </w:r>
          </w:p>
        </w:tc>
        <w:tc>
          <w:tcPr>
            <w:tcW w:w="1852" w:type="dxa"/>
            <w:shd w:val="clear" w:color="auto" w:fill="E0E0E0"/>
            <w:vAlign w:val="center"/>
          </w:tcPr>
          <w:p w14:paraId="210C0509" w14:textId="7B88E59A" w:rsidR="008F277D" w:rsidRPr="00B916EC" w:rsidRDefault="00000000" w:rsidP="008F277D">
            <w:pPr>
              <w:pStyle w:val="TAH"/>
              <w:rPr>
                <w:lang w:val="en-US"/>
              </w:rPr>
            </w:pPr>
            <m:oMath>
              <m:sSubSup>
                <m:sSubSupPr>
                  <m:ctrlPr>
                    <w:rPr>
                      <w:rFonts w:ascii="Cambria Math" w:hAnsi="Cambria Math"/>
                      <w:b w:val="0"/>
                      <w:bCs/>
                      <w:i/>
                      <w:sz w:val="20"/>
                      <w:szCs w:val="22"/>
                    </w:rPr>
                  </m:ctrlPr>
                </m:sSubSupPr>
                <m:e>
                  <m:r>
                    <m:rPr>
                      <m:sty m:val="bi"/>
                    </m:rPr>
                    <w:rPr>
                      <w:rFonts w:ascii="Cambria Math"/>
                      <w:sz w:val="20"/>
                      <w:szCs w:val="22"/>
                    </w:rPr>
                    <m:t>V</m:t>
                  </m:r>
                </m:e>
                <m:sub>
                  <m:r>
                    <m:rPr>
                      <m:nor/>
                    </m:rPr>
                    <w:rPr>
                      <w:rFonts w:ascii="Cambria Math"/>
                      <w:b w:val="0"/>
                      <w:bCs/>
                      <w:sz w:val="20"/>
                      <w:szCs w:val="22"/>
                    </w:rPr>
                    <m:t>C-DAI</m:t>
                  </m:r>
                  <m:ctrlPr>
                    <w:rPr>
                      <w:rFonts w:ascii="Cambria Math" w:hAnsi="Cambria Math"/>
                      <w:b w:val="0"/>
                      <w:bCs/>
                      <w:sz w:val="20"/>
                      <w:szCs w:val="22"/>
                    </w:rPr>
                  </m:ctrlPr>
                </m:sub>
                <m:sup>
                  <m:r>
                    <m:rPr>
                      <m:nor/>
                    </m:rPr>
                    <w:rPr>
                      <w:rFonts w:ascii="Cambria Math"/>
                      <w:b w:val="0"/>
                      <w:bCs/>
                      <w:sz w:val="20"/>
                      <w:szCs w:val="22"/>
                    </w:rPr>
                    <m:t>DL</m:t>
                  </m:r>
                  <m:ctrlPr>
                    <w:rPr>
                      <w:rFonts w:ascii="Cambria Math" w:hAnsi="Cambria Math"/>
                      <w:b w:val="0"/>
                      <w:bCs/>
                      <w:sz w:val="20"/>
                      <w:szCs w:val="22"/>
                    </w:rPr>
                  </m:ctrlPr>
                </m:sup>
              </m:sSubSup>
            </m:oMath>
            <w:r w:rsidR="008F277D" w:rsidRPr="00B916EC">
              <w:rPr>
                <w:rFonts w:cs="Arial" w:hint="eastAsia"/>
                <w:lang w:eastAsia="zh-CN"/>
              </w:rPr>
              <w:t xml:space="preserve"> or</w:t>
            </w:r>
            <w:r w:rsidR="008F277D" w:rsidRPr="00B916EC">
              <w:rPr>
                <w:rFonts w:cs="Arial"/>
                <w:lang w:eastAsia="zh-CN"/>
              </w:rPr>
              <w:t xml:space="preserve"> </w:t>
            </w:r>
            <m:oMath>
              <m:sSubSup>
                <m:sSubSupPr>
                  <m:ctrlPr>
                    <w:rPr>
                      <w:rFonts w:ascii="Cambria Math" w:hAnsi="Cambria Math"/>
                      <w:b w:val="0"/>
                      <w:bCs/>
                      <w:i/>
                      <w:sz w:val="20"/>
                      <w:szCs w:val="22"/>
                    </w:rPr>
                  </m:ctrlPr>
                </m:sSubSupPr>
                <m:e>
                  <m:r>
                    <m:rPr>
                      <m:sty m:val="bi"/>
                    </m:rPr>
                    <w:rPr>
                      <w:rFonts w:ascii="Cambria Math"/>
                      <w:sz w:val="20"/>
                      <w:szCs w:val="22"/>
                    </w:rPr>
                    <m:t>V</m:t>
                  </m:r>
                </m:e>
                <m:sub>
                  <m:r>
                    <m:rPr>
                      <m:nor/>
                    </m:rPr>
                    <w:rPr>
                      <w:rFonts w:ascii="Cambria Math"/>
                      <w:b w:val="0"/>
                      <w:bCs/>
                      <w:sz w:val="20"/>
                      <w:szCs w:val="22"/>
                    </w:rPr>
                    <m:t>T-DAI</m:t>
                  </m:r>
                  <m:ctrlPr>
                    <w:rPr>
                      <w:rFonts w:ascii="Cambria Math" w:hAnsi="Cambria Math"/>
                      <w:b w:val="0"/>
                      <w:bCs/>
                      <w:sz w:val="20"/>
                      <w:szCs w:val="22"/>
                    </w:rPr>
                  </m:ctrlPr>
                </m:sub>
                <m:sup>
                  <m:r>
                    <m:rPr>
                      <m:nor/>
                    </m:rPr>
                    <w:rPr>
                      <w:rFonts w:ascii="Cambria Math"/>
                      <w:b w:val="0"/>
                      <w:bCs/>
                      <w:sz w:val="20"/>
                      <w:szCs w:val="22"/>
                    </w:rPr>
                    <m:t>DL</m:t>
                  </m:r>
                  <m:ctrlPr>
                    <w:rPr>
                      <w:rFonts w:ascii="Cambria Math" w:hAnsi="Cambria Math"/>
                      <w:b w:val="0"/>
                      <w:bCs/>
                      <w:sz w:val="20"/>
                      <w:szCs w:val="22"/>
                    </w:rPr>
                  </m:ctrlPr>
                </m:sup>
              </m:sSubSup>
            </m:oMath>
            <w:r w:rsidR="008F277D" w:rsidRPr="00B916EC">
              <w:rPr>
                <w:rFonts w:cs="Arial" w:hint="eastAsia"/>
                <w:lang w:eastAsia="zh-CN"/>
              </w:rPr>
              <w:t xml:space="preserve"> </w:t>
            </w:r>
          </w:p>
        </w:tc>
        <w:tc>
          <w:tcPr>
            <w:tcW w:w="6435" w:type="dxa"/>
            <w:shd w:val="clear" w:color="auto" w:fill="E0E0E0"/>
            <w:vAlign w:val="center"/>
          </w:tcPr>
          <w:p w14:paraId="6529FA24" w14:textId="7382AA18" w:rsidR="008F277D" w:rsidRPr="00B916EC" w:rsidRDefault="008F277D" w:rsidP="007570C7">
            <w:pPr>
              <w:pStyle w:val="TAH"/>
              <w:rPr>
                <w:lang w:val="en-US" w:eastAsia="zh-CN"/>
              </w:rPr>
            </w:pPr>
            <w:r w:rsidRPr="00B27E56">
              <w:rPr>
                <w:rFonts w:hint="eastAsia"/>
                <w:lang w:val="en-US" w:eastAsia="zh-CN"/>
              </w:rPr>
              <w:t xml:space="preserve">Number of {serving cell, </w:t>
            </w:r>
            <w:r w:rsidRPr="00B27E56">
              <w:rPr>
                <w:lang w:eastAsia="zh-CN"/>
              </w:rPr>
              <w:t xml:space="preserve">PDCCH monitoring </w:t>
            </w:r>
            <w:r w:rsidRPr="00B27E56">
              <w:rPr>
                <w:lang w:val="en-US" w:eastAsia="zh-CN"/>
              </w:rPr>
              <w:t>occasion</w:t>
            </w:r>
            <w:r w:rsidRPr="00B27E56">
              <w:rPr>
                <w:rFonts w:hint="eastAsia"/>
                <w:lang w:val="en-US" w:eastAsia="zh-CN"/>
              </w:rPr>
              <w:t xml:space="preserve">}-pair(s) in which </w:t>
            </w:r>
            <w:r w:rsidRPr="00B27E56">
              <w:rPr>
                <w:lang w:val="en-US"/>
              </w:rPr>
              <w:t>PDSCH transmission(</w:t>
            </w:r>
            <w:r w:rsidRPr="00B27E56">
              <w:rPr>
                <w:rFonts w:hint="eastAsia"/>
                <w:lang w:val="en-US" w:eastAsia="zh-CN"/>
              </w:rPr>
              <w:t>s</w:t>
            </w:r>
            <w:r w:rsidRPr="00B27E56">
              <w:rPr>
                <w:lang w:val="en-US" w:eastAsia="zh-CN"/>
              </w:rPr>
              <w:t>)</w:t>
            </w:r>
            <w:r w:rsidRPr="00B27E56">
              <w:rPr>
                <w:rFonts w:hint="eastAsia"/>
                <w:lang w:val="en-US" w:eastAsia="zh-CN"/>
              </w:rPr>
              <w:t xml:space="preserve"> associated with PDCCH or </w:t>
            </w:r>
            <w:r w:rsidRPr="00B27E56">
              <w:rPr>
                <w:rFonts w:cs="Arial"/>
              </w:rPr>
              <w:t xml:space="preserve">PDCCH </w:t>
            </w:r>
            <w:r w:rsidRPr="00B27E56">
              <w:rPr>
                <w:lang w:val="en-US" w:eastAsia="zh-CN"/>
              </w:rPr>
              <w:t>generating a HARQ-ACK information bit without scheduling a PDSCH reception</w:t>
            </w:r>
            <w:r w:rsidRPr="00B27E56" w:rsidDel="00C72291">
              <w:rPr>
                <w:rFonts w:cs="Arial"/>
              </w:rPr>
              <w:t xml:space="preserve"> </w:t>
            </w:r>
            <w:r w:rsidR="006525A9" w:rsidRPr="00F415B1">
              <w:rPr>
                <w:lang w:val="en-US" w:eastAsia="zh-CN"/>
              </w:rPr>
              <w:t>or providing TCI state update</w:t>
            </w:r>
            <w:r w:rsidR="006525A9" w:rsidRPr="00F415B1">
              <w:t xml:space="preserve"> </w:t>
            </w:r>
            <w:r w:rsidRPr="00B27E56">
              <w:rPr>
                <w:rFonts w:cs="Arial" w:hint="eastAsia"/>
                <w:lang w:eastAsia="zh-CN"/>
              </w:rPr>
              <w:t xml:space="preserve">is present, </w:t>
            </w:r>
            <w:r w:rsidR="00E10BDF">
              <w:rPr>
                <w:rFonts w:cs="Arial"/>
                <w:lang w:eastAsia="zh-CN"/>
              </w:rPr>
              <w:t xml:space="preserve">or number of PDCCH monitoring occasions associated with PDCCH for scheduling PDSCH receptions on more than one cells, </w:t>
            </w:r>
            <w:r w:rsidRPr="00B27E56">
              <w:rPr>
                <w:rFonts w:cs="Arial" w:hint="eastAsia"/>
                <w:lang w:eastAsia="zh-CN"/>
              </w:rPr>
              <w:t>denoted as</w:t>
            </w:r>
            <w:r w:rsidRPr="00B27E56">
              <w:rPr>
                <w:rFonts w:cs="Arial"/>
                <w:lang w:eastAsia="zh-CN"/>
              </w:rPr>
              <w:t xml:space="preserve"> </w:t>
            </w:r>
            <m:oMath>
              <m:r>
                <m:rPr>
                  <m:sty m:val="bi"/>
                </m:rPr>
                <w:rPr>
                  <w:rFonts w:ascii="Cambria Math"/>
                </w:rPr>
                <m:t>Y</m:t>
              </m:r>
            </m:oMath>
            <w:r w:rsidRPr="00B27E56">
              <w:rPr>
                <w:rFonts w:cs="Arial" w:hint="eastAsia"/>
                <w:lang w:eastAsia="zh-CN"/>
              </w:rPr>
              <w:t xml:space="preserve"> and </w:t>
            </w:r>
            <m:oMath>
              <m:r>
                <m:rPr>
                  <m:sty m:val="bi"/>
                </m:rPr>
                <w:rPr>
                  <w:rFonts w:ascii="Cambria Math"/>
                </w:rPr>
                <m:t>Y</m:t>
              </m:r>
              <m:r>
                <m:rPr>
                  <m:sty m:val="bi"/>
                </m:rPr>
                <w:rPr>
                  <w:rFonts w:ascii="Cambria Math" w:hAnsi="Cambria Math"/>
                </w:rPr>
                <m:t>≥</m:t>
              </m:r>
              <m:r>
                <m:rPr>
                  <m:sty m:val="bi"/>
                </m:rPr>
                <w:rPr>
                  <w:rFonts w:ascii="Cambria Math"/>
                </w:rPr>
                <m:t>1</m:t>
              </m:r>
            </m:oMath>
          </w:p>
        </w:tc>
      </w:tr>
      <w:tr w:rsidR="00F37E87" w:rsidRPr="00B916EC" w14:paraId="2A2D905F" w14:textId="77777777" w:rsidTr="00735DD2">
        <w:trPr>
          <w:cantSplit/>
          <w:jc w:val="center"/>
        </w:trPr>
        <w:tc>
          <w:tcPr>
            <w:tcW w:w="1344" w:type="dxa"/>
            <w:vAlign w:val="center"/>
          </w:tcPr>
          <w:p w14:paraId="1B296F67" w14:textId="77777777" w:rsidR="00F37E87" w:rsidRPr="00B916EC" w:rsidRDefault="00F37E87" w:rsidP="009A2ADE">
            <w:pPr>
              <w:pStyle w:val="TAC"/>
              <w:rPr>
                <w:lang w:val="en-US"/>
              </w:rPr>
            </w:pPr>
            <w:r w:rsidRPr="00B916EC">
              <w:rPr>
                <w:lang w:val="en-US"/>
              </w:rPr>
              <w:t>0,0</w:t>
            </w:r>
          </w:p>
        </w:tc>
        <w:tc>
          <w:tcPr>
            <w:tcW w:w="1852" w:type="dxa"/>
            <w:vAlign w:val="center"/>
          </w:tcPr>
          <w:p w14:paraId="1FA3852E" w14:textId="77777777" w:rsidR="00F37E87" w:rsidRPr="00B916EC" w:rsidRDefault="00F37E87" w:rsidP="009A2ADE">
            <w:pPr>
              <w:pStyle w:val="TAC"/>
              <w:rPr>
                <w:lang w:val="en-US"/>
              </w:rPr>
            </w:pPr>
            <w:r w:rsidRPr="00B916EC">
              <w:rPr>
                <w:lang w:val="en-US"/>
              </w:rPr>
              <w:t>1</w:t>
            </w:r>
          </w:p>
        </w:tc>
        <w:tc>
          <w:tcPr>
            <w:tcW w:w="6435" w:type="dxa"/>
            <w:vAlign w:val="center"/>
          </w:tcPr>
          <w:p w14:paraId="5F39097B" w14:textId="1B7AA116" w:rsidR="00F37E87" w:rsidRPr="00B916EC" w:rsidRDefault="00000000" w:rsidP="008F277D">
            <w:pPr>
              <w:pStyle w:val="TAC"/>
              <w:jc w:val="left"/>
              <w:rPr>
                <w:lang w:val="en-US" w:eastAsia="zh-CN"/>
              </w:rPr>
            </w:pPr>
            <m:oMathPara>
              <m:oMath>
                <m:d>
                  <m:dPr>
                    <m:ctrlPr>
                      <w:rPr>
                        <w:rFonts w:ascii="Cambria Math" w:hAnsi="Cambria Math"/>
                        <w:bCs/>
                        <w:i/>
                      </w:rPr>
                    </m:ctrlPr>
                  </m:dPr>
                  <m:e>
                    <m:r>
                      <w:rPr>
                        <w:rFonts w:ascii="Cambria Math"/>
                      </w:rPr>
                      <m:t>Y</m:t>
                    </m:r>
                    <m:r>
                      <w:rPr>
                        <w:rFonts w:ascii="Cambria Math"/>
                      </w:rPr>
                      <m:t>-</m:t>
                    </m:r>
                    <m:r>
                      <w:rPr>
                        <w:rFonts w:ascii="Cambria Math"/>
                      </w:rPr>
                      <m:t>1</m:t>
                    </m:r>
                  </m:e>
                </m:d>
                <m:func>
                  <m:funcPr>
                    <m:ctrlPr>
                      <w:rPr>
                        <w:rFonts w:ascii="Cambria Math" w:hAnsi="Cambria Math"/>
                        <w:bCs/>
                        <w:i/>
                      </w:rPr>
                    </m:ctrlPr>
                  </m:funcPr>
                  <m:fName>
                    <m:r>
                      <w:rPr>
                        <w:rFonts w:ascii="Cambria Math"/>
                      </w:rPr>
                      <m:t>mod</m:t>
                    </m:r>
                  </m:fName>
                  <m:e>
                    <m:sSub>
                      <m:sSubPr>
                        <m:ctrlPr>
                          <w:rPr>
                            <w:rFonts w:ascii="Cambria Math" w:hAnsi="Cambria Math"/>
                            <w:bCs/>
                            <w:i/>
                          </w:rPr>
                        </m:ctrlPr>
                      </m:sSubPr>
                      <m:e>
                        <m:r>
                          <w:rPr>
                            <w:rFonts w:ascii="Cambria Math" w:hAnsi="Cambria Math"/>
                          </w:rPr>
                          <m:t>T</m:t>
                        </m:r>
                      </m:e>
                      <m:sub>
                        <m:r>
                          <w:rPr>
                            <w:rFonts w:ascii="Cambria Math" w:hAnsi="Cambria Math"/>
                          </w:rPr>
                          <m:t>D</m:t>
                        </m:r>
                      </m:sub>
                    </m:sSub>
                  </m:e>
                </m:func>
                <m:r>
                  <w:rPr>
                    <w:rFonts w:ascii="Cambria Math"/>
                  </w:rPr>
                  <m:t>+1=1</m:t>
                </m:r>
              </m:oMath>
            </m:oMathPara>
          </w:p>
        </w:tc>
      </w:tr>
      <w:tr w:rsidR="00F37E87" w:rsidRPr="00B916EC" w14:paraId="6315BB1E" w14:textId="77777777" w:rsidTr="00735DD2">
        <w:trPr>
          <w:cantSplit/>
          <w:jc w:val="center"/>
        </w:trPr>
        <w:tc>
          <w:tcPr>
            <w:tcW w:w="1344" w:type="dxa"/>
            <w:vAlign w:val="center"/>
          </w:tcPr>
          <w:p w14:paraId="31085A70" w14:textId="77777777" w:rsidR="00F37E87" w:rsidRPr="00B916EC" w:rsidRDefault="00F37E87" w:rsidP="009A2ADE">
            <w:pPr>
              <w:pStyle w:val="TAC"/>
              <w:rPr>
                <w:lang w:val="en-US"/>
              </w:rPr>
            </w:pPr>
            <w:r w:rsidRPr="00B916EC">
              <w:rPr>
                <w:lang w:val="en-US"/>
              </w:rPr>
              <w:t>0,1</w:t>
            </w:r>
          </w:p>
        </w:tc>
        <w:tc>
          <w:tcPr>
            <w:tcW w:w="1852" w:type="dxa"/>
            <w:vAlign w:val="center"/>
          </w:tcPr>
          <w:p w14:paraId="288250EF" w14:textId="77777777" w:rsidR="00F37E87" w:rsidRPr="00B916EC" w:rsidRDefault="00F37E87" w:rsidP="009A2ADE">
            <w:pPr>
              <w:pStyle w:val="TAC"/>
              <w:rPr>
                <w:lang w:val="en-US"/>
              </w:rPr>
            </w:pPr>
            <w:r w:rsidRPr="00B916EC">
              <w:rPr>
                <w:lang w:val="en-US"/>
              </w:rPr>
              <w:t>2</w:t>
            </w:r>
          </w:p>
        </w:tc>
        <w:tc>
          <w:tcPr>
            <w:tcW w:w="6435" w:type="dxa"/>
            <w:vAlign w:val="center"/>
          </w:tcPr>
          <w:p w14:paraId="2A6796ED" w14:textId="4A82859C" w:rsidR="00F37E87" w:rsidRPr="00B916EC" w:rsidRDefault="00000000" w:rsidP="008F277D">
            <w:pPr>
              <w:pStyle w:val="TAC"/>
              <w:jc w:val="left"/>
              <w:rPr>
                <w:lang w:val="en-US" w:eastAsia="zh-CN"/>
              </w:rPr>
            </w:pPr>
            <m:oMathPara>
              <m:oMath>
                <m:d>
                  <m:dPr>
                    <m:ctrlPr>
                      <w:rPr>
                        <w:rFonts w:ascii="Cambria Math" w:hAnsi="Cambria Math"/>
                        <w:bCs/>
                        <w:i/>
                      </w:rPr>
                    </m:ctrlPr>
                  </m:dPr>
                  <m:e>
                    <m:r>
                      <w:rPr>
                        <w:rFonts w:ascii="Cambria Math"/>
                      </w:rPr>
                      <m:t>Y</m:t>
                    </m:r>
                    <m:r>
                      <w:rPr>
                        <w:rFonts w:ascii="Cambria Math"/>
                      </w:rPr>
                      <m:t>-</m:t>
                    </m:r>
                    <m:r>
                      <w:rPr>
                        <w:rFonts w:ascii="Cambria Math"/>
                      </w:rPr>
                      <m:t>1</m:t>
                    </m:r>
                  </m:e>
                </m:d>
                <m:func>
                  <m:funcPr>
                    <m:ctrlPr>
                      <w:rPr>
                        <w:rFonts w:ascii="Cambria Math" w:hAnsi="Cambria Math"/>
                        <w:bCs/>
                        <w:i/>
                      </w:rPr>
                    </m:ctrlPr>
                  </m:funcPr>
                  <m:fName>
                    <m:r>
                      <w:rPr>
                        <w:rFonts w:ascii="Cambria Math"/>
                      </w:rPr>
                      <m:t>mod</m:t>
                    </m:r>
                  </m:fName>
                  <m:e>
                    <m:sSub>
                      <m:sSubPr>
                        <m:ctrlPr>
                          <w:rPr>
                            <w:rFonts w:ascii="Cambria Math" w:hAnsi="Cambria Math"/>
                            <w:bCs/>
                            <w:i/>
                          </w:rPr>
                        </m:ctrlPr>
                      </m:sSubPr>
                      <m:e>
                        <m:r>
                          <w:rPr>
                            <w:rFonts w:ascii="Cambria Math" w:hAnsi="Cambria Math"/>
                          </w:rPr>
                          <m:t>T</m:t>
                        </m:r>
                      </m:e>
                      <m:sub>
                        <m:r>
                          <w:rPr>
                            <w:rFonts w:ascii="Cambria Math" w:hAnsi="Cambria Math"/>
                          </w:rPr>
                          <m:t>D</m:t>
                        </m:r>
                      </m:sub>
                    </m:sSub>
                  </m:e>
                </m:func>
                <m:r>
                  <w:rPr>
                    <w:rFonts w:ascii="Cambria Math"/>
                  </w:rPr>
                  <m:t>+1=2</m:t>
                </m:r>
              </m:oMath>
            </m:oMathPara>
          </w:p>
        </w:tc>
      </w:tr>
      <w:tr w:rsidR="00F37E87" w:rsidRPr="00B916EC" w14:paraId="6F79F203" w14:textId="77777777" w:rsidTr="00735DD2">
        <w:trPr>
          <w:cantSplit/>
          <w:jc w:val="center"/>
        </w:trPr>
        <w:tc>
          <w:tcPr>
            <w:tcW w:w="1344" w:type="dxa"/>
            <w:vAlign w:val="center"/>
          </w:tcPr>
          <w:p w14:paraId="53B85081" w14:textId="77777777" w:rsidR="00F37E87" w:rsidRPr="00B916EC" w:rsidRDefault="00F37E87" w:rsidP="009A2ADE">
            <w:pPr>
              <w:pStyle w:val="TAC"/>
              <w:rPr>
                <w:lang w:val="en-US"/>
              </w:rPr>
            </w:pPr>
            <w:r w:rsidRPr="00B916EC">
              <w:rPr>
                <w:lang w:val="en-US"/>
              </w:rPr>
              <w:t>1,0</w:t>
            </w:r>
          </w:p>
        </w:tc>
        <w:tc>
          <w:tcPr>
            <w:tcW w:w="1852" w:type="dxa"/>
            <w:vAlign w:val="center"/>
          </w:tcPr>
          <w:p w14:paraId="60F54033" w14:textId="77777777" w:rsidR="00F37E87" w:rsidRPr="00B916EC" w:rsidRDefault="00F37E87" w:rsidP="009A2ADE">
            <w:pPr>
              <w:pStyle w:val="TAC"/>
              <w:rPr>
                <w:lang w:val="en-US"/>
              </w:rPr>
            </w:pPr>
            <w:r w:rsidRPr="00B916EC">
              <w:rPr>
                <w:lang w:val="en-US"/>
              </w:rPr>
              <w:t>3</w:t>
            </w:r>
          </w:p>
        </w:tc>
        <w:tc>
          <w:tcPr>
            <w:tcW w:w="6435" w:type="dxa"/>
            <w:vAlign w:val="center"/>
          </w:tcPr>
          <w:p w14:paraId="3BACCE7A" w14:textId="0C4C897E" w:rsidR="00F37E87" w:rsidRPr="00B916EC" w:rsidRDefault="00000000" w:rsidP="008F277D">
            <w:pPr>
              <w:pStyle w:val="TAC"/>
              <w:jc w:val="left"/>
              <w:rPr>
                <w:lang w:val="en-US" w:eastAsia="zh-CN"/>
              </w:rPr>
            </w:pPr>
            <m:oMathPara>
              <m:oMath>
                <m:d>
                  <m:dPr>
                    <m:ctrlPr>
                      <w:rPr>
                        <w:rFonts w:ascii="Cambria Math" w:hAnsi="Cambria Math"/>
                        <w:bCs/>
                        <w:i/>
                      </w:rPr>
                    </m:ctrlPr>
                  </m:dPr>
                  <m:e>
                    <m:r>
                      <w:rPr>
                        <w:rFonts w:ascii="Cambria Math"/>
                      </w:rPr>
                      <m:t>Y</m:t>
                    </m:r>
                    <m:r>
                      <w:rPr>
                        <w:rFonts w:ascii="Cambria Math"/>
                      </w:rPr>
                      <m:t>-</m:t>
                    </m:r>
                    <m:r>
                      <w:rPr>
                        <w:rFonts w:ascii="Cambria Math"/>
                      </w:rPr>
                      <m:t>1</m:t>
                    </m:r>
                  </m:e>
                </m:d>
                <m:func>
                  <m:funcPr>
                    <m:ctrlPr>
                      <w:rPr>
                        <w:rFonts w:ascii="Cambria Math" w:hAnsi="Cambria Math"/>
                        <w:bCs/>
                        <w:i/>
                      </w:rPr>
                    </m:ctrlPr>
                  </m:funcPr>
                  <m:fName>
                    <m:r>
                      <w:rPr>
                        <w:rFonts w:ascii="Cambria Math"/>
                      </w:rPr>
                      <m:t>mod</m:t>
                    </m:r>
                  </m:fName>
                  <m:e>
                    <m:sSub>
                      <m:sSubPr>
                        <m:ctrlPr>
                          <w:rPr>
                            <w:rFonts w:ascii="Cambria Math" w:hAnsi="Cambria Math"/>
                            <w:bCs/>
                            <w:i/>
                          </w:rPr>
                        </m:ctrlPr>
                      </m:sSubPr>
                      <m:e>
                        <m:r>
                          <w:rPr>
                            <w:rFonts w:ascii="Cambria Math" w:hAnsi="Cambria Math"/>
                          </w:rPr>
                          <m:t>T</m:t>
                        </m:r>
                      </m:e>
                      <m:sub>
                        <m:r>
                          <w:rPr>
                            <w:rFonts w:ascii="Cambria Math" w:hAnsi="Cambria Math"/>
                          </w:rPr>
                          <m:t>D</m:t>
                        </m:r>
                      </m:sub>
                    </m:sSub>
                  </m:e>
                </m:func>
                <m:r>
                  <w:rPr>
                    <w:rFonts w:ascii="Cambria Math"/>
                  </w:rPr>
                  <m:t>+1=3</m:t>
                </m:r>
              </m:oMath>
            </m:oMathPara>
          </w:p>
        </w:tc>
      </w:tr>
      <w:tr w:rsidR="00F37E87" w:rsidRPr="00B916EC" w14:paraId="07DB6AEB" w14:textId="77777777" w:rsidTr="00735DD2">
        <w:trPr>
          <w:cantSplit/>
          <w:jc w:val="center"/>
        </w:trPr>
        <w:tc>
          <w:tcPr>
            <w:tcW w:w="1344" w:type="dxa"/>
            <w:vAlign w:val="center"/>
          </w:tcPr>
          <w:p w14:paraId="3446592C" w14:textId="77777777" w:rsidR="00F37E87" w:rsidRPr="00B916EC" w:rsidRDefault="00F37E87" w:rsidP="009A2ADE">
            <w:pPr>
              <w:pStyle w:val="TAC"/>
              <w:rPr>
                <w:lang w:val="en-US"/>
              </w:rPr>
            </w:pPr>
            <w:r w:rsidRPr="00B916EC">
              <w:rPr>
                <w:lang w:val="en-US"/>
              </w:rPr>
              <w:t>1,1</w:t>
            </w:r>
          </w:p>
        </w:tc>
        <w:tc>
          <w:tcPr>
            <w:tcW w:w="1852" w:type="dxa"/>
            <w:vAlign w:val="center"/>
          </w:tcPr>
          <w:p w14:paraId="09D7BF09" w14:textId="77777777" w:rsidR="00F37E87" w:rsidRPr="00B916EC" w:rsidRDefault="00F37E87" w:rsidP="009A2ADE">
            <w:pPr>
              <w:pStyle w:val="TAC"/>
              <w:rPr>
                <w:lang w:val="en-US"/>
              </w:rPr>
            </w:pPr>
            <w:r w:rsidRPr="00B916EC">
              <w:rPr>
                <w:lang w:val="en-US"/>
              </w:rPr>
              <w:t>4</w:t>
            </w:r>
          </w:p>
        </w:tc>
        <w:tc>
          <w:tcPr>
            <w:tcW w:w="6435" w:type="dxa"/>
            <w:vAlign w:val="center"/>
          </w:tcPr>
          <w:p w14:paraId="34C86BC6" w14:textId="6F4355C0" w:rsidR="00F37E87" w:rsidRPr="00B916EC" w:rsidRDefault="00000000" w:rsidP="008F277D">
            <w:pPr>
              <w:pStyle w:val="TAC"/>
              <w:jc w:val="left"/>
              <w:rPr>
                <w:lang w:val="en-US" w:eastAsia="zh-CN"/>
              </w:rPr>
            </w:pPr>
            <m:oMathPara>
              <m:oMath>
                <m:d>
                  <m:dPr>
                    <m:ctrlPr>
                      <w:rPr>
                        <w:rFonts w:ascii="Cambria Math" w:hAnsi="Cambria Math"/>
                        <w:bCs/>
                        <w:i/>
                      </w:rPr>
                    </m:ctrlPr>
                  </m:dPr>
                  <m:e>
                    <m:r>
                      <w:rPr>
                        <w:rFonts w:ascii="Cambria Math"/>
                      </w:rPr>
                      <m:t>Y</m:t>
                    </m:r>
                    <m:r>
                      <w:rPr>
                        <w:rFonts w:ascii="Cambria Math"/>
                      </w:rPr>
                      <m:t>-</m:t>
                    </m:r>
                    <m:r>
                      <w:rPr>
                        <w:rFonts w:ascii="Cambria Math"/>
                      </w:rPr>
                      <m:t>1</m:t>
                    </m:r>
                  </m:e>
                </m:d>
                <m:func>
                  <m:funcPr>
                    <m:ctrlPr>
                      <w:rPr>
                        <w:rFonts w:ascii="Cambria Math" w:hAnsi="Cambria Math"/>
                        <w:bCs/>
                        <w:i/>
                      </w:rPr>
                    </m:ctrlPr>
                  </m:funcPr>
                  <m:fName>
                    <m:r>
                      <w:rPr>
                        <w:rFonts w:ascii="Cambria Math"/>
                      </w:rPr>
                      <m:t>mod</m:t>
                    </m:r>
                  </m:fName>
                  <m:e>
                    <m:sSub>
                      <m:sSubPr>
                        <m:ctrlPr>
                          <w:rPr>
                            <w:rFonts w:ascii="Cambria Math" w:hAnsi="Cambria Math"/>
                            <w:bCs/>
                            <w:i/>
                          </w:rPr>
                        </m:ctrlPr>
                      </m:sSubPr>
                      <m:e>
                        <m:r>
                          <w:rPr>
                            <w:rFonts w:ascii="Cambria Math" w:hAnsi="Cambria Math"/>
                          </w:rPr>
                          <m:t>T</m:t>
                        </m:r>
                      </m:e>
                      <m:sub>
                        <m:r>
                          <w:rPr>
                            <w:rFonts w:ascii="Cambria Math" w:hAnsi="Cambria Math"/>
                          </w:rPr>
                          <m:t>D</m:t>
                        </m:r>
                      </m:sub>
                    </m:sSub>
                  </m:e>
                </m:func>
                <m:r>
                  <w:rPr>
                    <w:rFonts w:ascii="Cambria Math"/>
                  </w:rPr>
                  <m:t>+1=4</m:t>
                </m:r>
              </m:oMath>
            </m:oMathPara>
          </w:p>
        </w:tc>
      </w:tr>
      <w:bookmarkEnd w:id="421"/>
    </w:tbl>
    <w:p w14:paraId="67ED0F82" w14:textId="77777777" w:rsidR="00735DD2" w:rsidRPr="00EE027F" w:rsidRDefault="00735DD2" w:rsidP="00735DD2"/>
    <w:p w14:paraId="0C78CB97" w14:textId="77777777" w:rsidR="00735DD2" w:rsidRPr="00EE027F" w:rsidRDefault="00735DD2" w:rsidP="00D93480">
      <w:pPr>
        <w:pStyle w:val="TH"/>
        <w:rPr>
          <w:lang w:eastAsia="zh-CN"/>
        </w:rPr>
      </w:pPr>
      <w:r w:rsidRPr="00EE027F">
        <w:t>Table 9.1.3-</w:t>
      </w:r>
      <w:r w:rsidRPr="00EE027F">
        <w:rPr>
          <w:rFonts w:hint="eastAsia"/>
          <w:lang w:eastAsia="zh-CN"/>
        </w:rPr>
        <w:t>1</w:t>
      </w:r>
      <w:r w:rsidRPr="00EE027F">
        <w:rPr>
          <w:lang w:eastAsia="zh-CN"/>
        </w:rPr>
        <w:t>A</w:t>
      </w:r>
      <w:r w:rsidRPr="00EE027F">
        <w:t>: Value of</w:t>
      </w:r>
      <w:r w:rsidRPr="00EE027F">
        <w:rPr>
          <w:rFonts w:hint="eastAsia"/>
          <w:lang w:eastAsia="zh-CN"/>
        </w:rPr>
        <w:t xml:space="preserve"> counter</w:t>
      </w:r>
      <w:r w:rsidRPr="00EE027F">
        <w:t xml:space="preserve"> </w:t>
      </w:r>
      <w:r w:rsidRPr="00EE027F">
        <w:rPr>
          <w:rFonts w:hint="eastAsia"/>
          <w:lang w:eastAsia="zh-CN"/>
        </w:rPr>
        <w:t xml:space="preserve">DAI </w:t>
      </w:r>
      <w:r w:rsidRPr="00EE027F">
        <w:rPr>
          <w:lang w:eastAsia="zh-CN"/>
        </w:rPr>
        <w:t xml:space="preserve">for </w:t>
      </w:r>
      <m:oMath>
        <m:sSubSup>
          <m:sSubSupPr>
            <m:ctrlPr>
              <w:rPr>
                <w:rFonts w:ascii="Cambria Math" w:hAnsi="Cambria Math"/>
                <w:i/>
              </w:rPr>
            </m:ctrlPr>
          </m:sSubSupPr>
          <m:e>
            <m:r>
              <m:rPr>
                <m:sty m:val="bi"/>
              </m:rPr>
              <w:rPr>
                <w:rFonts w:ascii="Cambria Math"/>
              </w:rPr>
              <m:t>N</m:t>
            </m:r>
          </m:e>
          <m:sub>
            <m:r>
              <m:rPr>
                <m:sty m:val="bi"/>
              </m:rPr>
              <w:rPr>
                <w:rFonts w:ascii="Cambria Math"/>
              </w:rPr>
              <m:t>C</m:t>
            </m:r>
            <m:r>
              <m:rPr>
                <m:sty m:val="bi"/>
              </m:rPr>
              <w:rPr>
                <w:rFonts w:ascii="Cambria Math"/>
              </w:rPr>
              <m:t>-</m:t>
            </m:r>
            <m:r>
              <m:rPr>
                <m:nor/>
              </m:rPr>
              <w:rPr>
                <w:rFonts w:ascii="Cambria Math"/>
              </w:rPr>
              <m:t>DAI</m:t>
            </m:r>
            <m:ctrlPr>
              <w:rPr>
                <w:rFonts w:ascii="Cambria Math" w:hAnsi="Cambria Math"/>
              </w:rPr>
            </m:ctrlPr>
          </m:sub>
          <m:sup>
            <m:r>
              <m:rPr>
                <m:nor/>
              </m:rPr>
              <w:rPr>
                <w:rFonts w:ascii="Cambria Math"/>
              </w:rPr>
              <m:t>DL</m:t>
            </m:r>
            <m:ctrlPr>
              <w:rPr>
                <w:rFonts w:ascii="Cambria Math" w:hAnsi="Cambria Math"/>
              </w:rPr>
            </m:ctrlPr>
          </m:sup>
        </m:sSubSup>
        <m:r>
          <m:rPr>
            <m:sty m:val="bi"/>
          </m:rPr>
          <w:rPr>
            <w:rFonts w:ascii="Cambria Math"/>
          </w:rPr>
          <m:t>=1</m:t>
        </m:r>
      </m:oMath>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4"/>
        <w:gridCol w:w="1852"/>
        <w:gridCol w:w="6435"/>
      </w:tblGrid>
      <w:tr w:rsidR="008F277D" w:rsidRPr="00EE027F" w14:paraId="419605EB" w14:textId="77777777" w:rsidTr="00B25F5D">
        <w:trPr>
          <w:cantSplit/>
          <w:jc w:val="center"/>
        </w:trPr>
        <w:tc>
          <w:tcPr>
            <w:tcW w:w="1344" w:type="dxa"/>
            <w:shd w:val="clear" w:color="auto" w:fill="E0E0E0"/>
            <w:vAlign w:val="center"/>
          </w:tcPr>
          <w:p w14:paraId="11271FC6" w14:textId="02303823" w:rsidR="008F277D" w:rsidRPr="00EE027F" w:rsidRDefault="008F277D" w:rsidP="008F277D">
            <w:pPr>
              <w:keepNext/>
              <w:keepLines/>
              <w:spacing w:after="0"/>
              <w:jc w:val="center"/>
              <w:rPr>
                <w:rFonts w:ascii="Arial" w:hAnsi="Arial"/>
                <w:b/>
                <w:sz w:val="18"/>
                <w:lang w:val="en-US"/>
              </w:rPr>
            </w:pPr>
            <w:r w:rsidRPr="00EE027F">
              <w:rPr>
                <w:rFonts w:ascii="Arial" w:hAnsi="Arial"/>
                <w:b/>
                <w:sz w:val="18"/>
                <w:lang w:val="en-US"/>
              </w:rPr>
              <w:t>DAI</w:t>
            </w:r>
            <w:r w:rsidRPr="00EE027F">
              <w:rPr>
                <w:rFonts w:ascii="Arial" w:hAnsi="Arial"/>
                <w:b/>
                <w:sz w:val="18"/>
                <w:lang w:val="en-US"/>
              </w:rPr>
              <w:br/>
            </w:r>
          </w:p>
        </w:tc>
        <w:tc>
          <w:tcPr>
            <w:tcW w:w="1852" w:type="dxa"/>
            <w:shd w:val="clear" w:color="auto" w:fill="E0E0E0"/>
            <w:vAlign w:val="center"/>
          </w:tcPr>
          <w:p w14:paraId="24FAA016" w14:textId="0D2466A5" w:rsidR="008F277D" w:rsidRPr="00EE027F" w:rsidRDefault="00000000" w:rsidP="008F277D">
            <w:pPr>
              <w:keepNext/>
              <w:keepLines/>
              <w:spacing w:after="0"/>
              <w:jc w:val="center"/>
              <w:rPr>
                <w:rFonts w:ascii="Arial" w:hAnsi="Arial"/>
                <w:b/>
                <w:sz w:val="18"/>
                <w:lang w:val="en-US"/>
              </w:rPr>
            </w:pPr>
            <m:oMath>
              <m:sSubSup>
                <m:sSubSupPr>
                  <m:ctrlPr>
                    <w:rPr>
                      <w:rFonts w:ascii="Cambria Math" w:hAnsi="Cambria Math"/>
                      <w:i/>
                    </w:rPr>
                  </m:ctrlPr>
                </m:sSubSupPr>
                <m:e>
                  <m:r>
                    <w:rPr>
                      <w:rFonts w:ascii="Cambria Math" w:hAnsi="Cambria Math"/>
                    </w:rPr>
                    <m:t>V</m:t>
                  </m:r>
                </m:e>
                <m:sub>
                  <m:r>
                    <m:rPr>
                      <m:nor/>
                    </m:rPr>
                    <w:rPr>
                      <w:rFonts w:ascii="Cambria Math"/>
                    </w:rPr>
                    <m:t>C-DAI</m:t>
                  </m:r>
                  <m:ctrlPr>
                    <w:rPr>
                      <w:rFonts w:ascii="Cambria Math" w:hAnsi="Cambria Math"/>
                    </w:rPr>
                  </m:ctrlPr>
                </m:sub>
                <m:sup>
                  <m:r>
                    <m:rPr>
                      <m:nor/>
                    </m:rPr>
                    <w:rPr>
                      <w:rFonts w:ascii="Cambria Math"/>
                    </w:rPr>
                    <m:t>DL</m:t>
                  </m:r>
                  <m:ctrlPr>
                    <w:rPr>
                      <w:rFonts w:ascii="Cambria Math" w:hAnsi="Cambria Math"/>
                    </w:rPr>
                  </m:ctrlPr>
                </m:sup>
              </m:sSubSup>
            </m:oMath>
            <w:r w:rsidR="008F277D" w:rsidRPr="00EE027F">
              <w:rPr>
                <w:rFonts w:ascii="Arial" w:hAnsi="Arial" w:cs="Arial" w:hint="eastAsia"/>
                <w:b/>
                <w:sz w:val="18"/>
                <w:lang w:eastAsia="zh-CN"/>
              </w:rPr>
              <w:t xml:space="preserve"> </w:t>
            </w:r>
          </w:p>
        </w:tc>
        <w:tc>
          <w:tcPr>
            <w:tcW w:w="6435" w:type="dxa"/>
            <w:shd w:val="clear" w:color="auto" w:fill="E0E0E0"/>
            <w:vAlign w:val="center"/>
          </w:tcPr>
          <w:p w14:paraId="3DDC2576" w14:textId="35FF174D" w:rsidR="008F277D" w:rsidRPr="00EE027F" w:rsidRDefault="008F277D" w:rsidP="009E09A5">
            <w:pPr>
              <w:pStyle w:val="TAH"/>
              <w:rPr>
                <w:lang w:val="en-US" w:eastAsia="zh-CN"/>
              </w:rPr>
            </w:pPr>
            <w:r w:rsidRPr="00B27E56">
              <w:rPr>
                <w:rFonts w:hint="eastAsia"/>
                <w:lang w:val="en-US" w:eastAsia="zh-CN"/>
              </w:rPr>
              <w:t xml:space="preserve">Number of {serving cell, </w:t>
            </w:r>
            <w:r w:rsidRPr="00B27E56">
              <w:rPr>
                <w:lang w:eastAsia="zh-CN"/>
              </w:rPr>
              <w:t xml:space="preserve">PDCCH monitoring </w:t>
            </w:r>
            <w:r w:rsidRPr="00B27E56">
              <w:rPr>
                <w:lang w:val="en-US" w:eastAsia="zh-CN"/>
              </w:rPr>
              <w:t>occasion</w:t>
            </w:r>
            <w:r w:rsidRPr="00B27E56">
              <w:rPr>
                <w:rFonts w:hint="eastAsia"/>
                <w:lang w:val="en-US" w:eastAsia="zh-CN"/>
              </w:rPr>
              <w:t xml:space="preserve">}-pair(s) in which </w:t>
            </w:r>
            <w:r w:rsidRPr="00B27E56">
              <w:rPr>
                <w:lang w:val="en-US"/>
              </w:rPr>
              <w:t>PDSCH transmission(</w:t>
            </w:r>
            <w:r w:rsidRPr="00B27E56">
              <w:rPr>
                <w:rFonts w:hint="eastAsia"/>
                <w:lang w:val="en-US" w:eastAsia="zh-CN"/>
              </w:rPr>
              <w:t>s</w:t>
            </w:r>
            <w:r w:rsidRPr="00B27E56">
              <w:rPr>
                <w:lang w:val="en-US" w:eastAsia="zh-CN"/>
              </w:rPr>
              <w:t>)</w:t>
            </w:r>
            <w:r w:rsidRPr="00B27E56">
              <w:rPr>
                <w:rFonts w:hint="eastAsia"/>
                <w:lang w:val="en-US" w:eastAsia="zh-CN"/>
              </w:rPr>
              <w:t xml:space="preserve"> associated </w:t>
            </w:r>
            <w:r w:rsidRPr="00B27E56">
              <w:rPr>
                <w:lang w:val="en-US" w:eastAsia="zh-CN"/>
              </w:rPr>
              <w:t xml:space="preserve">with PDCCH or </w:t>
            </w:r>
            <w:r w:rsidRPr="00B27E56">
              <w:t xml:space="preserve">PDCCH </w:t>
            </w:r>
            <w:r w:rsidRPr="00B27E56">
              <w:rPr>
                <w:lang w:val="en-US" w:eastAsia="zh-CN"/>
              </w:rPr>
              <w:t>generating a HARQ-ACK information bit without scheduling a PDSCH reception</w:t>
            </w:r>
            <w:r w:rsidRPr="00B27E56" w:rsidDel="00C72291">
              <w:t xml:space="preserve"> </w:t>
            </w:r>
            <w:r w:rsidR="006525A9" w:rsidRPr="007570C7">
              <w:rPr>
                <w:bCs/>
                <w:lang w:val="en-US" w:eastAsia="zh-CN"/>
              </w:rPr>
              <w:t>or providing TCI state update</w:t>
            </w:r>
            <w:r w:rsidR="006525A9" w:rsidRPr="00631428">
              <w:rPr>
                <w:bCs/>
              </w:rPr>
              <w:t xml:space="preserve"> </w:t>
            </w:r>
            <w:r w:rsidRPr="00B27E56">
              <w:rPr>
                <w:rFonts w:hint="eastAsia"/>
                <w:lang w:eastAsia="zh-CN"/>
              </w:rPr>
              <w:t>is present, denoted as</w:t>
            </w:r>
            <w:r w:rsidRPr="00B27E56">
              <w:rPr>
                <w:lang w:eastAsia="zh-CN"/>
              </w:rPr>
              <w:t xml:space="preserve"> </w:t>
            </w:r>
            <m:oMath>
              <m:r>
                <m:rPr>
                  <m:sty m:val="bi"/>
                </m:rPr>
                <w:rPr>
                  <w:rFonts w:ascii="Cambria Math"/>
                </w:rPr>
                <m:t>Y</m:t>
              </m:r>
            </m:oMath>
            <w:r w:rsidRPr="00B27E56">
              <w:rPr>
                <w:rFonts w:hint="eastAsia"/>
                <w:lang w:eastAsia="zh-CN"/>
              </w:rPr>
              <w:t xml:space="preserve"> and </w:t>
            </w:r>
            <m:oMath>
              <m:r>
                <m:rPr>
                  <m:sty m:val="bi"/>
                </m:rPr>
                <w:rPr>
                  <w:rFonts w:ascii="Cambria Math"/>
                </w:rPr>
                <m:t>Y</m:t>
              </m:r>
              <m:r>
                <m:rPr>
                  <m:sty m:val="bi"/>
                </m:rPr>
                <w:rPr>
                  <w:rFonts w:ascii="Cambria Math" w:hAnsi="Cambria Math"/>
                </w:rPr>
                <m:t>≥</m:t>
              </m:r>
              <m:r>
                <m:rPr>
                  <m:sty m:val="bi"/>
                </m:rPr>
                <w:rPr>
                  <w:rFonts w:ascii="Cambria Math"/>
                </w:rPr>
                <m:t>1</m:t>
              </m:r>
            </m:oMath>
          </w:p>
        </w:tc>
      </w:tr>
      <w:tr w:rsidR="00735DD2" w:rsidRPr="00EE027F" w14:paraId="44C61F9D" w14:textId="77777777" w:rsidTr="00B25F5D">
        <w:trPr>
          <w:cantSplit/>
          <w:jc w:val="center"/>
        </w:trPr>
        <w:tc>
          <w:tcPr>
            <w:tcW w:w="1344" w:type="dxa"/>
            <w:vAlign w:val="center"/>
          </w:tcPr>
          <w:p w14:paraId="336DF159" w14:textId="77777777" w:rsidR="00735DD2" w:rsidRPr="00EE027F" w:rsidRDefault="00735DD2" w:rsidP="00B25F5D">
            <w:pPr>
              <w:keepNext/>
              <w:keepLines/>
              <w:spacing w:after="0"/>
              <w:jc w:val="center"/>
              <w:rPr>
                <w:rFonts w:ascii="Arial" w:hAnsi="Arial"/>
                <w:sz w:val="18"/>
                <w:lang w:val="en-US"/>
              </w:rPr>
            </w:pPr>
            <w:r w:rsidRPr="00EE027F">
              <w:rPr>
                <w:rFonts w:ascii="Arial" w:hAnsi="Arial"/>
                <w:sz w:val="18"/>
                <w:lang w:val="en-US"/>
              </w:rPr>
              <w:t>0</w:t>
            </w:r>
          </w:p>
        </w:tc>
        <w:tc>
          <w:tcPr>
            <w:tcW w:w="1852" w:type="dxa"/>
            <w:vAlign w:val="center"/>
          </w:tcPr>
          <w:p w14:paraId="1BD0A92B" w14:textId="77777777" w:rsidR="00735DD2" w:rsidRPr="00EE027F" w:rsidRDefault="00735DD2" w:rsidP="00B25F5D">
            <w:pPr>
              <w:keepNext/>
              <w:keepLines/>
              <w:spacing w:after="0"/>
              <w:jc w:val="center"/>
              <w:rPr>
                <w:rFonts w:ascii="Arial" w:hAnsi="Arial"/>
                <w:sz w:val="18"/>
                <w:lang w:val="en-US"/>
              </w:rPr>
            </w:pPr>
            <w:r w:rsidRPr="00EE027F">
              <w:rPr>
                <w:rFonts w:ascii="Arial" w:hAnsi="Arial"/>
                <w:sz w:val="18"/>
                <w:lang w:val="en-US"/>
              </w:rPr>
              <w:t>1</w:t>
            </w:r>
          </w:p>
        </w:tc>
        <w:tc>
          <w:tcPr>
            <w:tcW w:w="6435" w:type="dxa"/>
            <w:vAlign w:val="center"/>
          </w:tcPr>
          <w:p w14:paraId="2EF69530" w14:textId="77777777" w:rsidR="00735DD2" w:rsidRPr="0044390C" w:rsidRDefault="00000000" w:rsidP="003E315E">
            <w:pPr>
              <w:keepNext/>
              <w:keepLines/>
              <w:spacing w:after="0"/>
              <w:rPr>
                <w:rFonts w:ascii="Arial" w:hAnsi="Arial"/>
                <w:bCs/>
                <w:sz w:val="18"/>
                <w:lang w:val="en-US" w:eastAsia="zh-CN"/>
              </w:rPr>
            </w:pPr>
            <m:oMathPara>
              <m:oMath>
                <m:d>
                  <m:dPr>
                    <m:ctrlPr>
                      <w:rPr>
                        <w:rFonts w:ascii="Cambria Math" w:hAnsi="Arial"/>
                        <w:bCs/>
                        <w:i/>
                        <w:sz w:val="18"/>
                      </w:rPr>
                    </m:ctrlPr>
                  </m:dPr>
                  <m:e>
                    <m:r>
                      <w:rPr>
                        <w:rFonts w:ascii="Cambria Math" w:hAnsi="Arial"/>
                        <w:sz w:val="18"/>
                      </w:rPr>
                      <m:t>Y</m:t>
                    </m:r>
                    <m:r>
                      <w:rPr>
                        <w:rFonts w:ascii="Cambria Math" w:hAnsi="Arial"/>
                        <w:sz w:val="18"/>
                      </w:rPr>
                      <m:t>-</m:t>
                    </m:r>
                    <m:r>
                      <w:rPr>
                        <w:rFonts w:ascii="Cambria Math" w:hAnsi="Arial"/>
                        <w:sz w:val="18"/>
                      </w:rPr>
                      <m:t>1</m:t>
                    </m:r>
                  </m:e>
                </m:d>
                <m:func>
                  <m:funcPr>
                    <m:ctrlPr>
                      <w:rPr>
                        <w:rFonts w:ascii="Cambria Math" w:hAnsi="Arial"/>
                        <w:bCs/>
                        <w:i/>
                        <w:sz w:val="18"/>
                      </w:rPr>
                    </m:ctrlPr>
                  </m:funcPr>
                  <m:fName>
                    <m:r>
                      <w:rPr>
                        <w:rFonts w:ascii="Cambria Math" w:hAnsi="Arial"/>
                        <w:sz w:val="18"/>
                      </w:rPr>
                      <m:t>mod</m:t>
                    </m:r>
                  </m:fName>
                  <m:e>
                    <m:sSub>
                      <m:sSubPr>
                        <m:ctrlPr>
                          <w:rPr>
                            <w:rFonts w:ascii="Cambria Math" w:hAnsi="Cambria Math"/>
                            <w:bCs/>
                            <w:i/>
                            <w:sz w:val="18"/>
                          </w:rPr>
                        </m:ctrlPr>
                      </m:sSubPr>
                      <m:e>
                        <m:r>
                          <w:rPr>
                            <w:rFonts w:ascii="Cambria Math" w:hAnsi="Cambria Math"/>
                            <w:sz w:val="18"/>
                          </w:rPr>
                          <m:t>T</m:t>
                        </m:r>
                      </m:e>
                      <m:sub>
                        <m:r>
                          <w:rPr>
                            <w:rFonts w:ascii="Cambria Math" w:hAnsi="Cambria Math"/>
                            <w:sz w:val="18"/>
                          </w:rPr>
                          <m:t>D</m:t>
                        </m:r>
                      </m:sub>
                    </m:sSub>
                  </m:e>
                </m:func>
                <m:r>
                  <w:rPr>
                    <w:rFonts w:ascii="Cambria Math" w:hAnsi="Arial"/>
                    <w:sz w:val="18"/>
                  </w:rPr>
                  <m:t>+1=1</m:t>
                </m:r>
              </m:oMath>
            </m:oMathPara>
          </w:p>
        </w:tc>
      </w:tr>
      <w:tr w:rsidR="00735DD2" w:rsidRPr="00EE027F" w14:paraId="7620D84D" w14:textId="77777777" w:rsidTr="00B25F5D">
        <w:trPr>
          <w:cantSplit/>
          <w:jc w:val="center"/>
        </w:trPr>
        <w:tc>
          <w:tcPr>
            <w:tcW w:w="1344" w:type="dxa"/>
            <w:vAlign w:val="center"/>
          </w:tcPr>
          <w:p w14:paraId="7FB7A751" w14:textId="77777777" w:rsidR="00735DD2" w:rsidRPr="00EE027F" w:rsidRDefault="00735DD2" w:rsidP="00B25F5D">
            <w:pPr>
              <w:keepNext/>
              <w:keepLines/>
              <w:spacing w:after="0"/>
              <w:jc w:val="center"/>
              <w:rPr>
                <w:rFonts w:ascii="Arial" w:hAnsi="Arial"/>
                <w:sz w:val="18"/>
                <w:lang w:val="en-US"/>
              </w:rPr>
            </w:pPr>
            <w:r w:rsidRPr="00EE027F">
              <w:rPr>
                <w:rFonts w:ascii="Arial" w:hAnsi="Arial"/>
                <w:sz w:val="18"/>
                <w:lang w:val="en-US"/>
              </w:rPr>
              <w:t>1</w:t>
            </w:r>
          </w:p>
        </w:tc>
        <w:tc>
          <w:tcPr>
            <w:tcW w:w="1852" w:type="dxa"/>
            <w:vAlign w:val="center"/>
          </w:tcPr>
          <w:p w14:paraId="439AD419" w14:textId="77777777" w:rsidR="00735DD2" w:rsidRPr="00EE027F" w:rsidRDefault="00735DD2" w:rsidP="00B25F5D">
            <w:pPr>
              <w:keepNext/>
              <w:keepLines/>
              <w:spacing w:after="0"/>
              <w:jc w:val="center"/>
              <w:rPr>
                <w:rFonts w:ascii="Arial" w:hAnsi="Arial"/>
                <w:sz w:val="18"/>
                <w:lang w:val="en-US"/>
              </w:rPr>
            </w:pPr>
            <w:r w:rsidRPr="00EE027F">
              <w:rPr>
                <w:rFonts w:ascii="Arial" w:hAnsi="Arial"/>
                <w:sz w:val="18"/>
                <w:lang w:val="en-US"/>
              </w:rPr>
              <w:t>2</w:t>
            </w:r>
          </w:p>
        </w:tc>
        <w:tc>
          <w:tcPr>
            <w:tcW w:w="6435" w:type="dxa"/>
            <w:vAlign w:val="center"/>
          </w:tcPr>
          <w:p w14:paraId="25C79EB9" w14:textId="77777777" w:rsidR="00735DD2" w:rsidRPr="0044390C" w:rsidRDefault="00000000" w:rsidP="003E315E">
            <w:pPr>
              <w:keepNext/>
              <w:keepLines/>
              <w:spacing w:after="0"/>
              <w:rPr>
                <w:rFonts w:ascii="Arial" w:hAnsi="Arial"/>
                <w:bCs/>
                <w:sz w:val="18"/>
                <w:lang w:val="en-US" w:eastAsia="zh-CN"/>
              </w:rPr>
            </w:pPr>
            <m:oMathPara>
              <m:oMath>
                <m:d>
                  <m:dPr>
                    <m:ctrlPr>
                      <w:rPr>
                        <w:rFonts w:ascii="Cambria Math" w:hAnsi="Arial"/>
                        <w:bCs/>
                        <w:i/>
                        <w:sz w:val="18"/>
                      </w:rPr>
                    </m:ctrlPr>
                  </m:dPr>
                  <m:e>
                    <m:r>
                      <w:rPr>
                        <w:rFonts w:ascii="Cambria Math" w:hAnsi="Arial"/>
                        <w:sz w:val="18"/>
                      </w:rPr>
                      <m:t>Y</m:t>
                    </m:r>
                    <m:r>
                      <w:rPr>
                        <w:rFonts w:ascii="Cambria Math" w:hAnsi="Arial"/>
                        <w:sz w:val="18"/>
                      </w:rPr>
                      <m:t>-</m:t>
                    </m:r>
                    <m:r>
                      <w:rPr>
                        <w:rFonts w:ascii="Cambria Math" w:hAnsi="Arial"/>
                        <w:sz w:val="18"/>
                      </w:rPr>
                      <m:t>1</m:t>
                    </m:r>
                  </m:e>
                </m:d>
                <m:func>
                  <m:funcPr>
                    <m:ctrlPr>
                      <w:rPr>
                        <w:rFonts w:ascii="Cambria Math" w:hAnsi="Arial"/>
                        <w:bCs/>
                        <w:i/>
                        <w:sz w:val="18"/>
                      </w:rPr>
                    </m:ctrlPr>
                  </m:funcPr>
                  <m:fName>
                    <m:r>
                      <w:rPr>
                        <w:rFonts w:ascii="Cambria Math" w:hAnsi="Arial"/>
                        <w:sz w:val="18"/>
                      </w:rPr>
                      <m:t>mod</m:t>
                    </m:r>
                  </m:fName>
                  <m:e>
                    <m:sSub>
                      <m:sSubPr>
                        <m:ctrlPr>
                          <w:rPr>
                            <w:rFonts w:ascii="Cambria Math" w:hAnsi="Cambria Math"/>
                            <w:bCs/>
                            <w:i/>
                            <w:sz w:val="18"/>
                          </w:rPr>
                        </m:ctrlPr>
                      </m:sSubPr>
                      <m:e>
                        <m:r>
                          <w:rPr>
                            <w:rFonts w:ascii="Cambria Math" w:hAnsi="Cambria Math"/>
                            <w:sz w:val="18"/>
                          </w:rPr>
                          <m:t>T</m:t>
                        </m:r>
                      </m:e>
                      <m:sub>
                        <m:r>
                          <w:rPr>
                            <w:rFonts w:ascii="Cambria Math" w:hAnsi="Cambria Math"/>
                            <w:sz w:val="18"/>
                          </w:rPr>
                          <m:t>D</m:t>
                        </m:r>
                      </m:sub>
                    </m:sSub>
                  </m:e>
                </m:func>
                <m:r>
                  <w:rPr>
                    <w:rFonts w:ascii="Cambria Math" w:hAnsi="Arial"/>
                    <w:sz w:val="18"/>
                  </w:rPr>
                  <m:t>+1=2</m:t>
                </m:r>
              </m:oMath>
            </m:oMathPara>
          </w:p>
        </w:tc>
      </w:tr>
    </w:tbl>
    <w:p w14:paraId="07A160A3" w14:textId="77777777" w:rsidR="005D7FC1" w:rsidRPr="00B916EC" w:rsidRDefault="005D7FC1" w:rsidP="005C53A2"/>
    <w:p w14:paraId="55050795" w14:textId="77777777" w:rsidR="005D7FC1" w:rsidRPr="00B916EC" w:rsidRDefault="005D7FC1" w:rsidP="005D7FC1">
      <w:pPr>
        <w:pStyle w:val="Heading4"/>
      </w:pPr>
      <w:bookmarkStart w:id="494" w:name="_Toc12021474"/>
      <w:bookmarkStart w:id="495" w:name="_Toc20311586"/>
      <w:bookmarkStart w:id="496" w:name="_Toc26719411"/>
      <w:bookmarkStart w:id="497" w:name="_Toc29894844"/>
      <w:bookmarkStart w:id="498" w:name="_Toc29899143"/>
      <w:bookmarkStart w:id="499" w:name="_Toc29899561"/>
      <w:bookmarkStart w:id="500" w:name="_Toc29917298"/>
      <w:bookmarkStart w:id="501" w:name="_Toc36498172"/>
      <w:bookmarkStart w:id="502" w:name="_Toc45699198"/>
      <w:bookmarkStart w:id="503" w:name="_Toc161999124"/>
      <w:r w:rsidRPr="00B916EC">
        <w:t>9</w:t>
      </w:r>
      <w:r w:rsidRPr="00B916EC">
        <w:rPr>
          <w:rFonts w:hint="eastAsia"/>
        </w:rPr>
        <w:t>.</w:t>
      </w:r>
      <w:r w:rsidR="000B296E" w:rsidRPr="00B916EC">
        <w:t>1.3</w:t>
      </w:r>
      <w:r w:rsidRPr="00B916EC">
        <w:t>.2</w:t>
      </w:r>
      <w:r w:rsidRPr="00B916EC">
        <w:rPr>
          <w:rFonts w:hint="eastAsia"/>
        </w:rPr>
        <w:tab/>
      </w:r>
      <w:r w:rsidR="006A2F3B" w:rsidRPr="00B916EC">
        <w:t xml:space="preserve">Type-2 </w:t>
      </w:r>
      <w:r w:rsidRPr="00B916EC">
        <w:t xml:space="preserve">HARQ-ACK codebook in </w:t>
      </w:r>
      <w:r w:rsidR="00B7736E" w:rsidRPr="00B916EC">
        <w:t>physical uplink shared channel</w:t>
      </w:r>
      <w:bookmarkEnd w:id="494"/>
      <w:bookmarkEnd w:id="495"/>
      <w:bookmarkEnd w:id="496"/>
      <w:bookmarkEnd w:id="497"/>
      <w:bookmarkEnd w:id="498"/>
      <w:bookmarkEnd w:id="499"/>
      <w:bookmarkEnd w:id="500"/>
      <w:bookmarkEnd w:id="501"/>
      <w:bookmarkEnd w:id="502"/>
      <w:bookmarkEnd w:id="503"/>
    </w:p>
    <w:p w14:paraId="58C88E9C" w14:textId="77777777" w:rsidR="008440E1" w:rsidRDefault="008440E1" w:rsidP="008440E1">
      <w:pPr>
        <w:rPr>
          <w:rFonts w:cs="Arial"/>
          <w:lang w:eastAsia="zh-CN"/>
        </w:rPr>
      </w:pPr>
      <w:r>
        <w:rPr>
          <w:rFonts w:cs="Arial"/>
          <w:lang w:eastAsia="zh-CN"/>
        </w:rPr>
        <w:t xml:space="preserve">In this clause, a DAI field is either the one corresponding to unicast HARQ-ACK information and associated PDSCH receptions or DCI formats, or is the one corresponding to multicast HARQ-ACK information and associated PDSCH receptions or DCI formats, </w:t>
      </w:r>
      <w:r>
        <w:rPr>
          <w:lang w:eastAsia="zh-CN"/>
        </w:rPr>
        <w:t>as described in [5, TS 38.212].</w:t>
      </w:r>
      <w:r>
        <w:rPr>
          <w:rFonts w:cs="Arial"/>
          <w:lang w:eastAsia="zh-CN"/>
        </w:rPr>
        <w:t xml:space="preserve"> </w:t>
      </w:r>
    </w:p>
    <w:p w14:paraId="3D00CC13" w14:textId="7B1E7445" w:rsidR="001D732D" w:rsidRDefault="005D7FC1" w:rsidP="005D7FC1">
      <w:pPr>
        <w:rPr>
          <w:lang w:eastAsia="zh-CN"/>
        </w:rPr>
      </w:pPr>
      <w:r w:rsidRPr="00B916EC">
        <w:rPr>
          <w:rFonts w:cs="Arial"/>
          <w:lang w:eastAsia="zh-CN"/>
        </w:rPr>
        <w:lastRenderedPageBreak/>
        <w:t>I</w:t>
      </w:r>
      <w:r w:rsidR="001818E0" w:rsidRPr="00B916EC">
        <w:rPr>
          <w:rFonts w:hint="eastAsia"/>
          <w:lang w:eastAsia="zh-CN"/>
        </w:rPr>
        <w:t>f a</w:t>
      </w:r>
      <w:r w:rsidRPr="00B916EC">
        <w:rPr>
          <w:rFonts w:hint="eastAsia"/>
          <w:lang w:eastAsia="zh-CN"/>
        </w:rPr>
        <w:t xml:space="preserve"> UE </w:t>
      </w:r>
      <w:r w:rsidR="00D22512">
        <w:rPr>
          <w:lang w:eastAsia="zh-CN"/>
        </w:rPr>
        <w:t xml:space="preserve">would </w:t>
      </w:r>
      <w:r w:rsidR="001818E0" w:rsidRPr="00B916EC">
        <w:rPr>
          <w:lang w:eastAsia="zh-CN"/>
        </w:rPr>
        <w:t>multiplex</w:t>
      </w:r>
      <w:r w:rsidR="001818E0" w:rsidRPr="00B916EC">
        <w:rPr>
          <w:rFonts w:hint="eastAsia"/>
          <w:lang w:eastAsia="zh-CN"/>
        </w:rPr>
        <w:t xml:space="preserve"> HARQ-ACK </w:t>
      </w:r>
      <w:r w:rsidR="001D732D">
        <w:rPr>
          <w:lang w:eastAsia="zh-CN"/>
        </w:rPr>
        <w:t xml:space="preserve">information </w:t>
      </w:r>
      <w:r w:rsidR="001818E0" w:rsidRPr="00B916EC">
        <w:rPr>
          <w:rFonts w:hint="eastAsia"/>
          <w:lang w:eastAsia="zh-CN"/>
        </w:rPr>
        <w:t>in a</w:t>
      </w:r>
      <w:r w:rsidRPr="00B916EC">
        <w:rPr>
          <w:rFonts w:hint="eastAsia"/>
          <w:lang w:eastAsia="zh-CN"/>
        </w:rPr>
        <w:t xml:space="preserve"> </w:t>
      </w:r>
      <w:r w:rsidRPr="00B916EC">
        <w:rPr>
          <w:lang w:eastAsia="zh-CN"/>
        </w:rPr>
        <w:t xml:space="preserve">PUSCH </w:t>
      </w:r>
      <w:r w:rsidR="001818E0" w:rsidRPr="00B916EC">
        <w:rPr>
          <w:lang w:eastAsia="zh-CN"/>
        </w:rPr>
        <w:t>transmission that</w:t>
      </w:r>
      <w:r w:rsidRPr="00B916EC">
        <w:rPr>
          <w:lang w:eastAsia="zh-CN"/>
        </w:rPr>
        <w:t xml:space="preserve"> is not scheduled by a DCI format or is scheduled by </w:t>
      </w:r>
      <w:r w:rsidR="00735DD2">
        <w:rPr>
          <w:lang w:eastAsia="zh-CN"/>
        </w:rPr>
        <w:t xml:space="preserve">a </w:t>
      </w:r>
      <w:r w:rsidRPr="00B916EC">
        <w:rPr>
          <w:lang w:eastAsia="zh-CN"/>
        </w:rPr>
        <w:t xml:space="preserve">DCI format </w:t>
      </w:r>
      <w:r w:rsidR="00735DD2" w:rsidRPr="00EE027F">
        <w:rPr>
          <w:lang w:eastAsia="zh-CN"/>
        </w:rPr>
        <w:t>that does not include a DAI field</w:t>
      </w:r>
      <w:r w:rsidRPr="00B916EC">
        <w:rPr>
          <w:rFonts w:hint="eastAsia"/>
          <w:lang w:eastAsia="zh-CN"/>
        </w:rPr>
        <w:t xml:space="preserve">, </w:t>
      </w:r>
      <w:r w:rsidR="001D732D">
        <w:rPr>
          <w:lang w:eastAsia="zh-CN"/>
        </w:rPr>
        <w:t>then</w:t>
      </w:r>
    </w:p>
    <w:p w14:paraId="62A1D2C9" w14:textId="5EF891C5" w:rsidR="001D732D" w:rsidRPr="0009732E" w:rsidRDefault="001D732D" w:rsidP="0009732E">
      <w:pPr>
        <w:pStyle w:val="B1"/>
      </w:pPr>
      <w:r w:rsidRPr="0009732E">
        <w:rPr>
          <w:iCs/>
          <w:lang w:eastAsia="zh-CN"/>
        </w:rPr>
        <w:t>-</w:t>
      </w:r>
      <w:r w:rsidRPr="0009732E">
        <w:rPr>
          <w:iCs/>
          <w:lang w:eastAsia="zh-CN"/>
        </w:rPr>
        <w:tab/>
        <w:t>i</w:t>
      </w:r>
      <w:r w:rsidRPr="0009732E">
        <w:rPr>
          <w:iCs/>
          <w:lang w:val="en-GB" w:eastAsia="zh-CN"/>
        </w:rPr>
        <w:t xml:space="preserve">f the </w:t>
      </w:r>
      <w:r w:rsidRPr="0009732E">
        <w:rPr>
          <w:rFonts w:cs="Arial"/>
          <w:lang w:eastAsia="zh-CN"/>
        </w:rPr>
        <w:t xml:space="preserve">UE has not received any PDCCH within the </w:t>
      </w:r>
      <w:r w:rsidRPr="0009732E">
        <w:rPr>
          <w:lang w:eastAsia="zh-CN"/>
        </w:rPr>
        <w:t xml:space="preserve">monitoring occasions </w:t>
      </w:r>
      <w:r w:rsidRPr="0009732E">
        <w:t>for DCI format</w:t>
      </w:r>
      <w:r w:rsidR="00735DD2">
        <w:rPr>
          <w:lang w:val="en-US"/>
        </w:rPr>
        <w:t>s</w:t>
      </w:r>
      <w:r w:rsidRPr="0009732E">
        <w:rPr>
          <w:lang w:eastAsia="zh-CN"/>
        </w:rPr>
        <w:t xml:space="preserve"> scheduling PDSCH receptions</w:t>
      </w:r>
      <w:r w:rsidR="00FA2B89">
        <w:rPr>
          <w:lang w:val="en-US" w:eastAsia="zh-CN"/>
        </w:rPr>
        <w:t>,</w:t>
      </w:r>
      <w:r w:rsidRPr="0009732E">
        <w:rPr>
          <w:lang w:eastAsia="zh-CN"/>
        </w:rPr>
        <w:t xml:space="preserve"> or </w:t>
      </w:r>
      <w:r w:rsidR="009427DD" w:rsidRPr="00F415B1">
        <w:rPr>
          <w:lang w:val="en-US" w:eastAsia="zh-CN"/>
        </w:rPr>
        <w:t>providing a DCI format having associated HARQ-ACK information without scheduling a PDSCH reception,</w:t>
      </w:r>
      <w:r w:rsidR="009427DD" w:rsidRPr="00F415B1">
        <w:rPr>
          <w:lang w:eastAsia="zh-CN"/>
        </w:rPr>
        <w:t xml:space="preserve"> </w:t>
      </w:r>
      <w:r w:rsidRPr="0009732E">
        <w:rPr>
          <w:lang w:eastAsia="zh-CN"/>
        </w:rPr>
        <w:t xml:space="preserve">on any serving cell </w:t>
      </w:r>
      <m:oMath>
        <m:r>
          <w:rPr>
            <w:rFonts w:ascii="Cambria Math" w:hAnsi="Cambria Math"/>
            <w:lang w:eastAsia="zh-CN"/>
          </w:rPr>
          <m:t>c</m:t>
        </m:r>
      </m:oMath>
      <w:r w:rsidRPr="0009732E">
        <w:rPr>
          <w:lang w:val="en-US"/>
        </w:rPr>
        <w:t xml:space="preserve"> and the UE does not have HARQ-ACK information in response to </w:t>
      </w:r>
      <w:r w:rsidR="00251016">
        <w:rPr>
          <w:lang w:val="en-US"/>
        </w:rPr>
        <w:t xml:space="preserve">a </w:t>
      </w:r>
      <w:r w:rsidRPr="0009732E">
        <w:rPr>
          <w:lang w:eastAsia="zh-CN"/>
        </w:rPr>
        <w:t xml:space="preserve">SPS PDSCH </w:t>
      </w:r>
      <w:r w:rsidRPr="0009732E">
        <w:rPr>
          <w:lang w:val="en-US" w:eastAsia="zh-CN"/>
        </w:rPr>
        <w:t>reception to multiplex in the PUSCH</w:t>
      </w:r>
      <w:r w:rsidRPr="0009732E">
        <w:t xml:space="preserve">, as described </w:t>
      </w:r>
      <w:r w:rsidR="006F5F9E">
        <w:t>in clause</w:t>
      </w:r>
      <w:r w:rsidRPr="0009732E">
        <w:rPr>
          <w:rFonts w:cs="Arial"/>
          <w:lang w:eastAsia="zh-CN"/>
        </w:rPr>
        <w:t xml:space="preserve"> 9.1.3.1</w:t>
      </w:r>
      <w:r w:rsidRPr="0009732E">
        <w:rPr>
          <w:iCs/>
          <w:lang w:val="en-GB" w:eastAsia="zh-CN"/>
        </w:rPr>
        <w:t xml:space="preserve">, </w:t>
      </w:r>
      <w:r w:rsidRPr="0009732E">
        <w:rPr>
          <w:rFonts w:cs="Arial"/>
          <w:lang w:eastAsia="zh-CN"/>
        </w:rPr>
        <w:t xml:space="preserve">the UE does not multiplex </w:t>
      </w:r>
      <w:r w:rsidRPr="0009732E">
        <w:rPr>
          <w:rFonts w:hint="eastAsia"/>
          <w:lang w:eastAsia="zh-CN"/>
        </w:rPr>
        <w:t>HARQ-ACK</w:t>
      </w:r>
      <w:r w:rsidRPr="0009732E">
        <w:rPr>
          <w:lang w:eastAsia="zh-CN"/>
        </w:rPr>
        <w:t xml:space="preserve"> </w:t>
      </w:r>
      <w:r w:rsidRPr="0009732E">
        <w:rPr>
          <w:lang w:val="en-US" w:eastAsia="zh-CN"/>
        </w:rPr>
        <w:t xml:space="preserve">information </w:t>
      </w:r>
      <w:r w:rsidRPr="0009732E">
        <w:rPr>
          <w:lang w:eastAsia="zh-CN"/>
        </w:rPr>
        <w:t>in the PUSCH transmission;</w:t>
      </w:r>
    </w:p>
    <w:p w14:paraId="752059B5" w14:textId="308FE7D3" w:rsidR="005D7FC1" w:rsidRPr="00B916EC" w:rsidRDefault="001D732D" w:rsidP="0009732E">
      <w:pPr>
        <w:pStyle w:val="B1"/>
        <w:rPr>
          <w:rFonts w:cs="Arial"/>
          <w:lang w:eastAsia="zh-CN"/>
        </w:rPr>
      </w:pPr>
      <w:r>
        <w:rPr>
          <w:rFonts w:cs="Arial"/>
          <w:lang w:eastAsia="zh-CN"/>
        </w:rPr>
        <w:t>-</w:t>
      </w:r>
      <w:r>
        <w:rPr>
          <w:rFonts w:cs="Arial"/>
          <w:lang w:eastAsia="zh-CN"/>
        </w:rPr>
        <w:tab/>
      </w:r>
      <w:r>
        <w:rPr>
          <w:rFonts w:cs="Arial"/>
          <w:lang w:val="en-US" w:eastAsia="zh-CN"/>
        </w:rPr>
        <w:t xml:space="preserve">else, </w:t>
      </w:r>
      <w:r w:rsidR="005D7FC1" w:rsidRPr="00B916EC">
        <w:rPr>
          <w:rFonts w:cs="Arial" w:hint="eastAsia"/>
          <w:lang w:eastAsia="zh-CN"/>
        </w:rPr>
        <w:t xml:space="preserve">the UE </w:t>
      </w:r>
      <w:r w:rsidR="005D7FC1" w:rsidRPr="00B916EC">
        <w:rPr>
          <w:rFonts w:cs="Arial"/>
          <w:lang w:eastAsia="zh-CN"/>
        </w:rPr>
        <w:t>generates the HARQ-ACK codebook</w:t>
      </w:r>
      <w:r w:rsidR="0009732E">
        <w:rPr>
          <w:rFonts w:cs="Arial"/>
          <w:lang w:eastAsia="zh-CN"/>
        </w:rPr>
        <w:t xml:space="preserve"> </w:t>
      </w:r>
      <w:r w:rsidR="005D7FC1" w:rsidRPr="00B916EC">
        <w:rPr>
          <w:rFonts w:cs="Arial"/>
          <w:lang w:eastAsia="zh-CN"/>
        </w:rPr>
        <w:t xml:space="preserve">as described </w:t>
      </w:r>
      <w:r w:rsidR="006F5F9E">
        <w:rPr>
          <w:rFonts w:cs="Arial"/>
          <w:lang w:eastAsia="zh-CN"/>
        </w:rPr>
        <w:t>in clause</w:t>
      </w:r>
      <w:r w:rsidR="005C53A2">
        <w:rPr>
          <w:rFonts w:cs="Arial"/>
          <w:lang w:eastAsia="zh-CN"/>
        </w:rPr>
        <w:t xml:space="preserve"> 9.1.3.1</w:t>
      </w:r>
      <w:r w:rsidR="005D7FC1" w:rsidRPr="00B916EC">
        <w:rPr>
          <w:rFonts w:cs="Arial"/>
          <w:lang w:eastAsia="zh-CN"/>
        </w:rPr>
        <w:t xml:space="preserve">, except that </w:t>
      </w:r>
      <w:r w:rsidR="0038590B" w:rsidRPr="00435CFD">
        <w:rPr>
          <w:i/>
        </w:rPr>
        <w:t>harq-ACK-SpatialBundlingPUCCH</w:t>
      </w:r>
      <w:r w:rsidR="005D7FC1" w:rsidRPr="00B916EC">
        <w:rPr>
          <w:rFonts w:cs="Arial"/>
          <w:lang w:eastAsia="zh-CN"/>
        </w:rPr>
        <w:t xml:space="preserve"> is replaced by </w:t>
      </w:r>
      <w:r w:rsidR="0038590B">
        <w:rPr>
          <w:i/>
        </w:rPr>
        <w:t>harq-ACK-SpatialBundlingPUS</w:t>
      </w:r>
      <w:r w:rsidR="0038590B" w:rsidRPr="00435CFD">
        <w:rPr>
          <w:i/>
        </w:rPr>
        <w:t>CH</w:t>
      </w:r>
      <w:r w:rsidR="005D7FC1" w:rsidRPr="00B916EC">
        <w:rPr>
          <w:rFonts w:cs="Arial"/>
          <w:lang w:eastAsia="zh-CN"/>
        </w:rPr>
        <w:t>.</w:t>
      </w:r>
    </w:p>
    <w:p w14:paraId="751E7C25" w14:textId="483A9180" w:rsidR="005D7FC1" w:rsidRPr="00B916EC" w:rsidRDefault="005D7FC1" w:rsidP="005D7FC1">
      <w:pPr>
        <w:rPr>
          <w:lang w:eastAsia="zh-CN"/>
        </w:rPr>
      </w:pPr>
      <w:r w:rsidRPr="00B916EC">
        <w:rPr>
          <w:rFonts w:cs="Arial"/>
          <w:lang w:eastAsia="zh-CN"/>
        </w:rPr>
        <w:t>I</w:t>
      </w:r>
      <w:r w:rsidR="001818E0" w:rsidRPr="00B916EC">
        <w:rPr>
          <w:rFonts w:hint="eastAsia"/>
          <w:lang w:eastAsia="zh-CN"/>
        </w:rPr>
        <w:t xml:space="preserve">f a UE </w:t>
      </w:r>
      <w:r w:rsidR="001818E0" w:rsidRPr="00B916EC">
        <w:rPr>
          <w:lang w:eastAsia="zh-CN"/>
        </w:rPr>
        <w:t>multiplexes</w:t>
      </w:r>
      <w:r w:rsidR="001818E0" w:rsidRPr="00B916EC">
        <w:rPr>
          <w:rFonts w:hint="eastAsia"/>
          <w:lang w:eastAsia="zh-CN"/>
        </w:rPr>
        <w:t xml:space="preserve"> HARQ-ACK </w:t>
      </w:r>
      <w:r w:rsidR="005A44EF">
        <w:rPr>
          <w:lang w:eastAsia="zh-CN"/>
        </w:rPr>
        <w:t xml:space="preserve">information </w:t>
      </w:r>
      <w:r w:rsidR="001818E0" w:rsidRPr="00B916EC">
        <w:rPr>
          <w:rFonts w:hint="eastAsia"/>
          <w:lang w:eastAsia="zh-CN"/>
        </w:rPr>
        <w:t xml:space="preserve">in a </w:t>
      </w:r>
      <w:r w:rsidR="001818E0" w:rsidRPr="00B916EC">
        <w:rPr>
          <w:lang w:eastAsia="zh-CN"/>
        </w:rPr>
        <w:t xml:space="preserve">PUSCH transmission that is </w:t>
      </w:r>
      <w:r w:rsidRPr="00B916EC">
        <w:rPr>
          <w:lang w:eastAsia="zh-CN"/>
        </w:rPr>
        <w:t xml:space="preserve">scheduled by </w:t>
      </w:r>
      <w:r w:rsidR="00AE2368">
        <w:rPr>
          <w:lang w:eastAsia="zh-CN"/>
        </w:rPr>
        <w:t xml:space="preserve">a </w:t>
      </w:r>
      <w:r w:rsidRPr="00B916EC">
        <w:rPr>
          <w:lang w:eastAsia="zh-CN"/>
        </w:rPr>
        <w:t xml:space="preserve">DCI format </w:t>
      </w:r>
      <w:r w:rsidR="00A22847">
        <w:rPr>
          <w:lang w:eastAsia="zh-CN"/>
        </w:rPr>
        <w:t>that includes a DAI field</w:t>
      </w:r>
      <w:r w:rsidRPr="00B916EC">
        <w:rPr>
          <w:rFonts w:hint="eastAsia"/>
          <w:lang w:eastAsia="zh-CN"/>
        </w:rPr>
        <w:t xml:space="preserve">, </w:t>
      </w:r>
      <w:r w:rsidRPr="00B916EC">
        <w:rPr>
          <w:rFonts w:cs="Arial" w:hint="eastAsia"/>
          <w:lang w:eastAsia="zh-CN"/>
        </w:rPr>
        <w:t xml:space="preserve">the UE </w:t>
      </w:r>
      <w:r w:rsidRPr="00B916EC">
        <w:rPr>
          <w:rFonts w:cs="Arial"/>
          <w:lang w:eastAsia="zh-CN"/>
        </w:rPr>
        <w:t xml:space="preserve">generates the HARQ-ACK codebook </w:t>
      </w:r>
      <w:r w:rsidR="001818E0" w:rsidRPr="00B916EC">
        <w:rPr>
          <w:rFonts w:cs="Arial"/>
          <w:lang w:eastAsia="zh-CN"/>
        </w:rPr>
        <w:t xml:space="preserve">as described </w:t>
      </w:r>
      <w:r w:rsidR="006F5F9E">
        <w:rPr>
          <w:rFonts w:cs="Arial"/>
          <w:lang w:eastAsia="zh-CN"/>
        </w:rPr>
        <w:t>in clause</w:t>
      </w:r>
      <w:r w:rsidR="005C53A2">
        <w:rPr>
          <w:rFonts w:cs="Arial"/>
          <w:lang w:eastAsia="zh-CN"/>
        </w:rPr>
        <w:t xml:space="preserve"> 9.1.3.1</w:t>
      </w:r>
      <w:r w:rsidR="001818E0" w:rsidRPr="00B916EC">
        <w:rPr>
          <w:rFonts w:cs="Arial"/>
          <w:lang w:eastAsia="zh-CN"/>
        </w:rPr>
        <w:t xml:space="preserve">, </w:t>
      </w:r>
      <w:r w:rsidRPr="00B916EC">
        <w:rPr>
          <w:rFonts w:hint="eastAsia"/>
          <w:lang w:eastAsia="zh-CN"/>
        </w:rPr>
        <w:t>with the following modifications:</w:t>
      </w:r>
    </w:p>
    <w:p w14:paraId="3F1170F0" w14:textId="77777777" w:rsidR="008440E1" w:rsidRDefault="000E4B4A" w:rsidP="008440E1">
      <w:pPr>
        <w:pStyle w:val="B1"/>
        <w:rPr>
          <w:lang w:eastAsia="zh-CN"/>
        </w:rPr>
      </w:pPr>
      <w:r>
        <w:t>-</w:t>
      </w:r>
      <w:r>
        <w:tab/>
      </w:r>
      <w:r w:rsidRPr="00B916EC">
        <w:t xml:space="preserve">For </w:t>
      </w:r>
      <w:r>
        <w:rPr>
          <w:lang w:val="en-US"/>
        </w:rPr>
        <w:t xml:space="preserve">the pseudo-code for the </w:t>
      </w:r>
      <w:r w:rsidRPr="00B916EC">
        <w:rPr>
          <w:rFonts w:cs="Arial"/>
          <w:lang w:eastAsia="zh-CN"/>
        </w:rPr>
        <w:t xml:space="preserve">HARQ-ACK codebook </w:t>
      </w:r>
      <w:r>
        <w:rPr>
          <w:rFonts w:cs="Arial"/>
          <w:lang w:val="en-US" w:eastAsia="zh-CN"/>
        </w:rPr>
        <w:t xml:space="preserve">generation </w:t>
      </w:r>
      <w:r w:rsidR="006F5F9E">
        <w:rPr>
          <w:rFonts w:cs="Arial"/>
          <w:lang w:eastAsia="zh-CN"/>
        </w:rPr>
        <w:t>in clause</w:t>
      </w:r>
      <w:r>
        <w:rPr>
          <w:rFonts w:cs="Arial"/>
          <w:lang w:eastAsia="zh-CN"/>
        </w:rPr>
        <w:t xml:space="preserve"> 9.1.3.1</w:t>
      </w:r>
      <w:r>
        <w:rPr>
          <w:rFonts w:cs="Arial"/>
          <w:lang w:val="en-US" w:eastAsia="zh-CN"/>
        </w:rPr>
        <w:t>,</w:t>
      </w:r>
      <w:r>
        <w:rPr>
          <w:lang w:val="en-US"/>
        </w:rPr>
        <w:t xml:space="preserve"> </w:t>
      </w:r>
      <w:r w:rsidRPr="008B708C">
        <w:rPr>
          <w:szCs w:val="22"/>
        </w:rPr>
        <w:t xml:space="preserve">after the completion of the </w:t>
      </w:r>
      <m:oMath>
        <m:r>
          <w:rPr>
            <w:rFonts w:ascii="Cambria Math" w:hAnsi="Cambria Math"/>
            <w:lang w:eastAsia="zh-CN"/>
          </w:rPr>
          <m:t>c</m:t>
        </m:r>
      </m:oMath>
      <w:r>
        <w:rPr>
          <w:lang w:val="en-US" w:eastAsia="zh-CN"/>
        </w:rPr>
        <w:t xml:space="preserve"> and </w:t>
      </w:r>
      <m:oMath>
        <m:r>
          <w:rPr>
            <w:rFonts w:ascii="Cambria Math" w:hAnsi="Cambria Math"/>
          </w:rPr>
          <m:t>m</m:t>
        </m:r>
      </m:oMath>
      <w:r>
        <w:rPr>
          <w:lang w:val="en-US" w:eastAsia="zh-CN"/>
        </w:rPr>
        <w:t xml:space="preserve"> loops, </w:t>
      </w:r>
      <w:r>
        <w:rPr>
          <w:lang w:val="en-US"/>
        </w:rPr>
        <w:t xml:space="preserve">the UE sets </w:t>
      </w:r>
      <m:oMath>
        <m:sSubSup>
          <m:sSubSupPr>
            <m:ctrlPr>
              <w:rPr>
                <w:rFonts w:ascii="Cambria Math" w:hAnsi="Cambria Math"/>
              </w:rPr>
            </m:ctrlPr>
          </m:sSubSupPr>
          <m:e>
            <m:sSub>
              <m:sSubPr>
                <m:ctrlPr>
                  <w:rPr>
                    <w:rFonts w:ascii="Cambria Math" w:hAnsi="Cambria Math"/>
                    <w:i/>
                  </w:rPr>
                </m:ctrlPr>
              </m:sSubPr>
              <m:e>
                <m:r>
                  <w:rPr>
                    <w:rFonts w:ascii="Cambria Math" w:hAnsi="Cambria Math"/>
                  </w:rPr>
                  <m:t>V</m:t>
                </m:r>
              </m:e>
              <m:sub>
                <m:r>
                  <w:rPr>
                    <w:rFonts w:ascii="Cambria Math" w:hAnsi="Cambria Math"/>
                  </w:rPr>
                  <m:t>temp2</m:t>
                </m:r>
              </m:sub>
            </m:sSub>
            <m:r>
              <w:rPr>
                <w:rFonts w:ascii="Cambria Math" w:hAnsi="Cambria Math"/>
              </w:rPr>
              <m:t>=V</m:t>
            </m:r>
          </m:e>
          <m:sub>
            <m:r>
              <m:rPr>
                <m:sty m:val="p"/>
              </m:rPr>
              <w:rPr>
                <w:rFonts w:ascii="Cambria Math" w:hAnsi="Cambria Math"/>
              </w:rPr>
              <m:t>T-</m:t>
            </m:r>
            <m:r>
              <m:rPr>
                <m:nor/>
              </m:rPr>
              <w:rPr>
                <w:rFonts w:ascii="Cambria Math"/>
                <w:lang w:val="en-US"/>
              </w:rPr>
              <m:t>DAI</m:t>
            </m:r>
          </m:sub>
          <m:sup>
            <m:r>
              <m:rPr>
                <m:nor/>
              </m:rPr>
              <w:rPr>
                <w:rFonts w:ascii="Cambria Math"/>
                <w:lang w:val="en-US"/>
              </w:rPr>
              <m:t>UL</m:t>
            </m:r>
          </m:sup>
        </m:sSubSup>
      </m:oMath>
      <w:r>
        <w:rPr>
          <w:lang w:val="en-US" w:eastAsia="zh-CN"/>
        </w:rPr>
        <w:t xml:space="preserve"> </w:t>
      </w:r>
      <w:r w:rsidRPr="00B916EC">
        <w:rPr>
          <w:lang w:val="en-US"/>
        </w:rPr>
        <w:t xml:space="preserve">where </w:t>
      </w:r>
      <m:oMath>
        <m:sSubSup>
          <m:sSubSupPr>
            <m:ctrlPr>
              <w:rPr>
                <w:rFonts w:ascii="Cambria Math" w:hAnsi="Cambria Math"/>
              </w:rPr>
            </m:ctrlPr>
          </m:sSubSupPr>
          <m:e>
            <m:r>
              <w:rPr>
                <w:rFonts w:ascii="Cambria Math" w:hAnsi="Cambria Math"/>
              </w:rPr>
              <m:t>V</m:t>
            </m:r>
          </m:e>
          <m:sub>
            <m:r>
              <m:rPr>
                <m:sty m:val="p"/>
              </m:rPr>
              <w:rPr>
                <w:rFonts w:ascii="Cambria Math" w:hAnsi="Cambria Math"/>
              </w:rPr>
              <m:t>T-</m:t>
            </m:r>
            <m:r>
              <m:rPr>
                <m:nor/>
              </m:rPr>
              <w:rPr>
                <w:rFonts w:ascii="Cambria Math"/>
                <w:lang w:val="en-US"/>
              </w:rPr>
              <m:t>DAI</m:t>
            </m:r>
          </m:sub>
          <m:sup>
            <m:r>
              <m:rPr>
                <m:nor/>
              </m:rPr>
              <w:rPr>
                <w:rFonts w:ascii="Cambria Math"/>
                <w:lang w:val="en-US"/>
              </w:rPr>
              <m:t>UL</m:t>
            </m:r>
          </m:sup>
        </m:sSubSup>
      </m:oMath>
      <w:r w:rsidRPr="00B916EC">
        <w:rPr>
          <w:rFonts w:hint="eastAsia"/>
          <w:lang w:eastAsia="zh-CN"/>
        </w:rPr>
        <w:t xml:space="preserve"> is the value of the DAI </w:t>
      </w:r>
      <w:r w:rsidRPr="00B916EC">
        <w:rPr>
          <w:lang w:val="en-US" w:eastAsia="zh-CN"/>
        </w:rPr>
        <w:t xml:space="preserve">field </w:t>
      </w:r>
      <w:r w:rsidRPr="00B916EC">
        <w:rPr>
          <w:rFonts w:hint="eastAsia"/>
          <w:lang w:eastAsia="zh-CN"/>
        </w:rPr>
        <w:t xml:space="preserve">according to Table </w:t>
      </w:r>
      <w:r w:rsidRPr="00B916EC">
        <w:rPr>
          <w:lang w:eastAsia="zh-CN"/>
        </w:rPr>
        <w:t>9.1.3</w:t>
      </w:r>
      <w:r w:rsidRPr="00B916EC">
        <w:rPr>
          <w:rFonts w:hint="eastAsia"/>
          <w:lang w:eastAsia="zh-CN"/>
        </w:rPr>
        <w:t>-2</w:t>
      </w:r>
    </w:p>
    <w:p w14:paraId="2D8DA056" w14:textId="3674BC9A" w:rsidR="000E4B4A" w:rsidRPr="00AB688D" w:rsidRDefault="008440E1" w:rsidP="008440E1">
      <w:pPr>
        <w:pStyle w:val="B2"/>
        <w:rPr>
          <w:lang w:eastAsia="zh-CN"/>
        </w:rPr>
      </w:pPr>
      <w:r>
        <w:rPr>
          <w:i/>
          <w:lang w:eastAsia="zh-CN"/>
        </w:rPr>
        <w:t>-</w:t>
      </w:r>
      <w:r>
        <w:rPr>
          <w:i/>
          <w:lang w:eastAsia="zh-CN"/>
        </w:rPr>
        <w:tab/>
      </w:r>
      <w:r>
        <w:rPr>
          <w:lang w:eastAsia="zh-CN"/>
        </w:rPr>
        <w:t xml:space="preserve">if the UE multiplexes </w:t>
      </w:r>
      <w:r w:rsidRPr="00B916EC">
        <w:rPr>
          <w:rFonts w:hint="eastAsia"/>
          <w:lang w:eastAsia="zh-CN"/>
        </w:rPr>
        <w:t xml:space="preserve">HARQ-ACK </w:t>
      </w:r>
      <w:r>
        <w:rPr>
          <w:lang w:eastAsia="zh-CN"/>
        </w:rPr>
        <w:t>information associated with more than one G-RNTIs</w:t>
      </w:r>
      <w:r w:rsidR="00810BB0">
        <w:rPr>
          <w:lang w:val="en-US" w:eastAsia="zh-CN"/>
        </w:rPr>
        <w:t xml:space="preserve"> for multicast</w:t>
      </w:r>
      <w:r w:rsidR="00591D67" w:rsidRPr="00591D67">
        <w:rPr>
          <w:lang w:val="en-US" w:eastAsia="zh-CN"/>
        </w:rPr>
        <w:t xml:space="preserve"> </w:t>
      </w:r>
      <w:r w:rsidR="00591D67">
        <w:rPr>
          <w:lang w:val="en-US" w:eastAsia="zh-CN"/>
        </w:rPr>
        <w:t>or G-CS-RNTIs</w:t>
      </w:r>
      <w:r w:rsidR="00591D67">
        <w:rPr>
          <w:lang w:eastAsia="zh-CN"/>
        </w:rPr>
        <w:t>, the value of the DAI field</w:t>
      </w:r>
      <w:r>
        <w:rPr>
          <w:lang w:eastAsia="zh-CN"/>
        </w:rPr>
        <w:t xml:space="preserve"> </w:t>
      </w:r>
      <m:oMath>
        <m:sSubSup>
          <m:sSubSupPr>
            <m:ctrlPr>
              <w:rPr>
                <w:rFonts w:ascii="Cambria Math" w:hAnsi="Cambria Math"/>
              </w:rPr>
            </m:ctrlPr>
          </m:sSubSupPr>
          <m:e>
            <m:r>
              <w:rPr>
                <w:rFonts w:ascii="Cambria Math" w:hAnsi="Cambria Math"/>
              </w:rPr>
              <m:t>V</m:t>
            </m:r>
          </m:e>
          <m:sub>
            <m:r>
              <m:rPr>
                <m:sty m:val="p"/>
              </m:rPr>
              <w:rPr>
                <w:rFonts w:ascii="Cambria Math" w:hAnsi="Cambria Math"/>
              </w:rPr>
              <m:t>T-</m:t>
            </m:r>
            <m:r>
              <m:rPr>
                <m:nor/>
              </m:rPr>
              <w:rPr>
                <w:rFonts w:ascii="Cambria Math"/>
              </w:rPr>
              <m:t>DAI</m:t>
            </m:r>
          </m:sub>
          <m:sup>
            <m:r>
              <m:rPr>
                <m:nor/>
              </m:rPr>
              <w:rPr>
                <w:rFonts w:ascii="Cambria Math"/>
              </w:rPr>
              <m:t>UL</m:t>
            </m:r>
          </m:sup>
        </m:sSubSup>
      </m:oMath>
      <w:r>
        <w:t xml:space="preserve"> is applicable to each of the more than one G-RNTIs</w:t>
      </w:r>
      <w:r w:rsidR="00810BB0">
        <w:rPr>
          <w:lang w:val="en-US" w:eastAsia="zh-CN"/>
        </w:rPr>
        <w:t xml:space="preserve"> for multicast</w:t>
      </w:r>
      <w:r w:rsidR="00591D67">
        <w:rPr>
          <w:lang w:val="en-US" w:eastAsia="zh-CN"/>
        </w:rPr>
        <w:t xml:space="preserve"> </w:t>
      </w:r>
      <w:r w:rsidR="00591D67" w:rsidRPr="00952288">
        <w:rPr>
          <w:lang w:val="en-US" w:eastAsia="zh-CN"/>
        </w:rPr>
        <w:t xml:space="preserve">or each of the </w:t>
      </w:r>
      <w:r w:rsidR="00591D67" w:rsidRPr="00952288">
        <w:rPr>
          <w:rFonts w:hint="eastAsia"/>
          <w:lang w:val="en-US" w:eastAsia="zh-CN"/>
        </w:rPr>
        <w:t>G-CS-RNTIs</w:t>
      </w:r>
      <w:r w:rsidRPr="00B916EC">
        <w:t>.</w:t>
      </w:r>
    </w:p>
    <w:p w14:paraId="2D4CD7B0" w14:textId="09922A35" w:rsidR="006A2F3B" w:rsidRPr="00B916EC" w:rsidRDefault="005C53A2" w:rsidP="004441AA">
      <w:pPr>
        <w:pStyle w:val="B1"/>
      </w:pPr>
      <w:r>
        <w:t>-</w:t>
      </w:r>
      <w:r>
        <w:tab/>
      </w:r>
      <w:r w:rsidR="006A2F3B" w:rsidRPr="00B916EC">
        <w:t xml:space="preserve">For the case of first and second HARQ-ACK sub-codebooks, </w:t>
      </w:r>
      <w:r w:rsidR="00AE2368">
        <w:rPr>
          <w:lang w:val="en-US"/>
        </w:rPr>
        <w:t xml:space="preserve">the </w:t>
      </w:r>
      <w:r w:rsidR="006A2F3B" w:rsidRPr="00B916EC">
        <w:rPr>
          <w:lang w:eastAsia="zh-CN"/>
        </w:rPr>
        <w:t xml:space="preserve">DCI format includes a first DAI field corresponding to </w:t>
      </w:r>
      <w:r w:rsidR="006A2F3B" w:rsidRPr="00B916EC">
        <w:t xml:space="preserve">the first HARQ-ACK sub-codebook and a second </w:t>
      </w:r>
      <w:r w:rsidR="006A2F3B" w:rsidRPr="00B916EC">
        <w:rPr>
          <w:lang w:eastAsia="zh-CN"/>
        </w:rPr>
        <w:t xml:space="preserve">DAI field corresponding to </w:t>
      </w:r>
      <w:r w:rsidR="006A2F3B" w:rsidRPr="00B916EC">
        <w:t>the second HARQ-ACK sub-codebook</w:t>
      </w:r>
    </w:p>
    <w:p w14:paraId="77FB499C" w14:textId="77777777" w:rsidR="005C53A2" w:rsidRDefault="005C53A2" w:rsidP="004441AA">
      <w:pPr>
        <w:pStyle w:val="B1"/>
      </w:pPr>
      <w:r>
        <w:rPr>
          <w:i/>
          <w:lang w:eastAsia="zh-CN"/>
        </w:rPr>
        <w:t>-</w:t>
      </w:r>
      <w:r>
        <w:rPr>
          <w:i/>
          <w:lang w:eastAsia="zh-CN"/>
        </w:rPr>
        <w:tab/>
      </w:r>
      <w:r w:rsidR="0038590B" w:rsidRPr="00435CFD">
        <w:rPr>
          <w:i/>
        </w:rPr>
        <w:t>harq-ACK-SpatialBundlingPUCCH</w:t>
      </w:r>
      <w:r w:rsidR="005D7FC1" w:rsidRPr="00B916EC">
        <w:rPr>
          <w:lang w:eastAsia="zh-CN"/>
        </w:rPr>
        <w:t xml:space="preserve"> is replaced by </w:t>
      </w:r>
      <w:r w:rsidR="0038590B">
        <w:rPr>
          <w:i/>
        </w:rPr>
        <w:t>harq-ACK-SpatialBundlingPUS</w:t>
      </w:r>
      <w:r w:rsidR="0038590B" w:rsidRPr="00435CFD">
        <w:rPr>
          <w:i/>
        </w:rPr>
        <w:t>CH</w:t>
      </w:r>
      <w:r w:rsidR="00977252" w:rsidRPr="00B916EC">
        <w:t>.</w:t>
      </w:r>
    </w:p>
    <w:p w14:paraId="7E43DB3B" w14:textId="50193911" w:rsidR="00D22512" w:rsidRDefault="005A44EF" w:rsidP="005A44EF">
      <w:pPr>
        <w:rPr>
          <w:lang w:eastAsia="zh-CN"/>
        </w:rPr>
      </w:pPr>
      <w:r w:rsidRPr="00AE44D6">
        <w:rPr>
          <w:lang w:eastAsia="zh-CN"/>
        </w:rPr>
        <w:t xml:space="preserve">If a </w:t>
      </w:r>
      <w:r w:rsidRPr="00AE44D6">
        <w:rPr>
          <w:rFonts w:hint="eastAsia"/>
          <w:lang w:eastAsia="zh-CN"/>
        </w:rPr>
        <w:t>UE</w:t>
      </w:r>
      <w:r w:rsidR="00D22512">
        <w:rPr>
          <w:lang w:eastAsia="zh-CN"/>
        </w:rPr>
        <w:t xml:space="preserve"> </w:t>
      </w:r>
      <w:r w:rsidR="00D22512" w:rsidRPr="00FA4577">
        <w:rPr>
          <w:lang w:eastAsia="zh-CN"/>
        </w:rPr>
        <w:t xml:space="preserve">is not provided </w:t>
      </w:r>
      <w:r w:rsidR="00D22512" w:rsidRPr="00FA4577">
        <w:rPr>
          <w:i/>
          <w:lang w:eastAsia="zh-CN"/>
        </w:rPr>
        <w:t xml:space="preserve">PDSCH-CodeBlockGroupTransmission </w:t>
      </w:r>
      <w:r w:rsidR="00D22512" w:rsidRPr="00FA4577">
        <w:rPr>
          <w:lang w:eastAsia="zh-CN"/>
        </w:rPr>
        <w:t>and the UE</w:t>
      </w:r>
      <w:r w:rsidRPr="00AE44D6">
        <w:rPr>
          <w:rFonts w:hint="eastAsia"/>
          <w:lang w:eastAsia="zh-CN"/>
        </w:rPr>
        <w:t xml:space="preserve"> </w:t>
      </w:r>
      <w:r w:rsidRPr="00AE44D6">
        <w:rPr>
          <w:lang w:eastAsia="zh-CN"/>
        </w:rPr>
        <w:t>is scheduled for</w:t>
      </w:r>
      <w:r w:rsidRPr="00AE44D6">
        <w:rPr>
          <w:rFonts w:hint="eastAsia"/>
          <w:lang w:eastAsia="zh-CN"/>
        </w:rPr>
        <w:t xml:space="preserve"> a </w:t>
      </w:r>
      <w:r w:rsidRPr="00AE44D6">
        <w:rPr>
          <w:lang w:eastAsia="zh-CN"/>
        </w:rPr>
        <w:t xml:space="preserve">PUSCH transmission by DCI format </w:t>
      </w:r>
      <w:r w:rsidR="00A22847">
        <w:rPr>
          <w:lang w:eastAsia="zh-CN"/>
        </w:rPr>
        <w:t>that includes a</w:t>
      </w:r>
      <w:r w:rsidR="00D22512">
        <w:rPr>
          <w:lang w:eastAsia="zh-CN"/>
        </w:rPr>
        <w:t xml:space="preserve"> </w:t>
      </w:r>
      <w:r w:rsidR="00D22512" w:rsidRPr="00FA4577">
        <w:rPr>
          <w:lang w:eastAsia="zh-CN"/>
        </w:rPr>
        <w:t xml:space="preserve">DAI field </w:t>
      </w:r>
      <w:r w:rsidR="00591D67" w:rsidRPr="00481A3F">
        <w:rPr>
          <w:lang w:eastAsia="zh-CN"/>
        </w:rPr>
        <w:t xml:space="preserve">for unicast PDSCH receptions </w:t>
      </w:r>
      <w:r w:rsidR="00A22847">
        <w:rPr>
          <w:lang w:eastAsia="zh-CN"/>
        </w:rPr>
        <w:t xml:space="preserve">with </w:t>
      </w:r>
      <w:r w:rsidR="00D22512" w:rsidRPr="00FA4577">
        <w:rPr>
          <w:lang w:eastAsia="zh-CN"/>
        </w:rPr>
        <w:t>value</w:t>
      </w:r>
      <w:r w:rsidRPr="00AE44D6">
        <w:rPr>
          <w:lang w:eastAsia="zh-CN"/>
        </w:rPr>
        <w:t xml:space="preserve"> </w:t>
      </w:r>
      <m:oMath>
        <m:sSubSup>
          <m:sSubSupPr>
            <m:ctrlPr>
              <w:rPr>
                <w:rFonts w:ascii="Cambria Math" w:hAnsi="Cambria Math"/>
              </w:rPr>
            </m:ctrlPr>
          </m:sSubSupPr>
          <m:e>
            <m:r>
              <w:rPr>
                <w:rFonts w:ascii="Cambria Math" w:hAnsi="Cambria Math"/>
              </w:rPr>
              <m:t>V</m:t>
            </m:r>
          </m:e>
          <m:sub>
            <m:r>
              <m:rPr>
                <m:nor/>
              </m:rPr>
              <w:rPr>
                <w:rFonts w:ascii="Cambria Math"/>
                <w:lang w:val="en-US"/>
              </w:rPr>
              <m:t>T-DAI</m:t>
            </m:r>
          </m:sub>
          <m:sup>
            <m:r>
              <m:rPr>
                <m:nor/>
              </m:rPr>
              <w:rPr>
                <w:rFonts w:ascii="Cambria Math"/>
                <w:lang w:val="en-US"/>
              </w:rPr>
              <m:t>UL</m:t>
            </m:r>
          </m:sup>
        </m:sSubSup>
        <m:r>
          <w:rPr>
            <w:rFonts w:ascii="Cambria Math" w:hAnsi="Cambria Math"/>
          </w:rPr>
          <m:t>=4</m:t>
        </m:r>
      </m:oMath>
      <w:r w:rsidRPr="00AE44D6">
        <w:rPr>
          <w:rFonts w:cs="Arial"/>
          <w:lang w:eastAsia="zh-CN"/>
        </w:rPr>
        <w:t xml:space="preserve"> and the UE has not received any PDCCH within the </w:t>
      </w:r>
      <w:r w:rsidRPr="00AE44D6">
        <w:rPr>
          <w:lang w:eastAsia="zh-CN"/>
        </w:rPr>
        <w:t xml:space="preserve">monitoring occasions </w:t>
      </w:r>
      <w:r w:rsidRPr="00AE44D6">
        <w:t xml:space="preserve">for </w:t>
      </w:r>
      <w:r w:rsidR="008440E1">
        <w:t>a</w:t>
      </w:r>
      <w:r w:rsidRPr="00AE44D6">
        <w:t xml:space="preserve"> </w:t>
      </w:r>
      <w:r w:rsidR="00591D67">
        <w:t xml:space="preserve">unicast </w:t>
      </w:r>
      <w:r w:rsidRPr="00AE44D6">
        <w:t xml:space="preserve">DCI format </w:t>
      </w:r>
      <w:r w:rsidRPr="00AE44D6">
        <w:rPr>
          <w:lang w:eastAsia="zh-CN"/>
        </w:rPr>
        <w:t xml:space="preserve">scheduling PDSCH receptions </w:t>
      </w:r>
      <w:r w:rsidR="00DE3B39">
        <w:rPr>
          <w:lang w:val="en-US"/>
        </w:rPr>
        <w:t>providing transport blocks with enabled HARQ-ACK information</w:t>
      </w:r>
      <w:r w:rsidR="00DE3B39" w:rsidRPr="00AE44D6">
        <w:rPr>
          <w:lang w:eastAsia="zh-CN"/>
        </w:rPr>
        <w:t xml:space="preserve"> </w:t>
      </w:r>
      <w:r w:rsidRPr="00AE44D6">
        <w:rPr>
          <w:lang w:eastAsia="zh-CN"/>
        </w:rPr>
        <w:t xml:space="preserve">or </w:t>
      </w:r>
      <w:r w:rsidR="009427DD" w:rsidRPr="00F415B1">
        <w:rPr>
          <w:lang w:val="en-US" w:eastAsia="zh-CN"/>
        </w:rPr>
        <w:t xml:space="preserve">having </w:t>
      </w:r>
      <w:r w:rsidR="009427DD" w:rsidRPr="00F415B1">
        <w:rPr>
          <w:lang w:eastAsia="zh-CN"/>
        </w:rPr>
        <w:t>associated HARQ-ACK information without scheduling PDSCH</w:t>
      </w:r>
      <w:r w:rsidR="009427DD" w:rsidRPr="00F415B1">
        <w:rPr>
          <w:lang w:val="en-US" w:eastAsia="zh-CN"/>
        </w:rPr>
        <w:t xml:space="preserve"> receptions </w:t>
      </w:r>
      <w:r w:rsidRPr="00AE44D6">
        <w:rPr>
          <w:lang w:eastAsia="zh-CN"/>
        </w:rPr>
        <w:t xml:space="preserve">on any serving cell </w:t>
      </w:r>
      <m:oMath>
        <m:r>
          <w:rPr>
            <w:rFonts w:ascii="Cambria Math" w:hAnsi="Cambria Math"/>
            <w:lang w:eastAsia="zh-CN"/>
          </w:rPr>
          <m:t>c</m:t>
        </m:r>
      </m:oMath>
      <w:r w:rsidR="008440E1">
        <w:rPr>
          <w:lang w:eastAsia="zh-CN"/>
        </w:rPr>
        <w:t>,</w:t>
      </w:r>
      <w:r>
        <w:t xml:space="preserve"> </w:t>
      </w:r>
      <w:r>
        <w:rPr>
          <w:lang w:val="en-US"/>
        </w:rPr>
        <w:t xml:space="preserve">and the UE does not have HARQ-ACK information in response to </w:t>
      </w:r>
      <w:r w:rsidR="007B5972">
        <w:rPr>
          <w:lang w:val="en-US"/>
        </w:rPr>
        <w:t>a</w:t>
      </w:r>
      <w:r w:rsidR="00591D67">
        <w:rPr>
          <w:lang w:val="en-US"/>
        </w:rPr>
        <w:t xml:space="preserve"> </w:t>
      </w:r>
      <w:r w:rsidRPr="00B916EC">
        <w:rPr>
          <w:lang w:eastAsia="zh-CN"/>
        </w:rPr>
        <w:t xml:space="preserve">SPS PDSCH </w:t>
      </w:r>
      <w:r>
        <w:rPr>
          <w:lang w:val="en-US" w:eastAsia="zh-CN"/>
        </w:rPr>
        <w:t>reception to multiplex in the PUSCH</w:t>
      </w:r>
      <w:r w:rsidRPr="00AE44D6">
        <w:t xml:space="preserve"> as described </w:t>
      </w:r>
      <w:r w:rsidR="006F5F9E">
        <w:t>in clause</w:t>
      </w:r>
      <w:r>
        <w:rPr>
          <w:rFonts w:cs="Arial"/>
          <w:lang w:eastAsia="zh-CN"/>
        </w:rPr>
        <w:t xml:space="preserve"> 9.1.3.1</w:t>
      </w:r>
      <w:r w:rsidRPr="00AE44D6">
        <w:rPr>
          <w:rFonts w:cs="Arial"/>
          <w:lang w:eastAsia="zh-CN"/>
        </w:rPr>
        <w:t xml:space="preserve">, the UE does not multiplex </w:t>
      </w:r>
      <w:r w:rsidRPr="00AE44D6">
        <w:rPr>
          <w:rFonts w:hint="eastAsia"/>
          <w:lang w:eastAsia="zh-CN"/>
        </w:rPr>
        <w:t>HARQ-ACK</w:t>
      </w:r>
      <w:r w:rsidRPr="00AE44D6">
        <w:rPr>
          <w:lang w:eastAsia="zh-CN"/>
        </w:rPr>
        <w:t xml:space="preserve"> </w:t>
      </w:r>
      <w:r>
        <w:rPr>
          <w:lang w:eastAsia="zh-CN"/>
        </w:rPr>
        <w:t xml:space="preserve">information </w:t>
      </w:r>
      <w:r w:rsidR="009D5DFC" w:rsidRPr="00F8268C">
        <w:rPr>
          <w:rFonts w:hint="eastAsia"/>
        </w:rPr>
        <w:t>associated with unicast DCI format and HARQ-ACK information for SPS PDSCH</w:t>
      </w:r>
      <w:r w:rsidR="009D5DFC">
        <w:rPr>
          <w:rFonts w:hint="eastAsia"/>
        </w:rPr>
        <w:t xml:space="preserve"> reception </w:t>
      </w:r>
      <w:r w:rsidRPr="00AE44D6">
        <w:rPr>
          <w:lang w:eastAsia="zh-CN"/>
        </w:rPr>
        <w:t>in the PUSCH transmission.</w:t>
      </w:r>
      <w:r w:rsidR="00D22512" w:rsidRPr="00D22512">
        <w:rPr>
          <w:lang w:eastAsia="zh-CN"/>
        </w:rPr>
        <w:t xml:space="preserve"> </w:t>
      </w:r>
    </w:p>
    <w:p w14:paraId="1BDB774B" w14:textId="67005B63" w:rsidR="00591D67" w:rsidRPr="00591D67" w:rsidRDefault="00D22512" w:rsidP="00591D67">
      <w:pPr>
        <w:rPr>
          <w:lang w:eastAsia="zh-CN"/>
        </w:rPr>
      </w:pPr>
      <w:r w:rsidRPr="00A46623">
        <w:rPr>
          <w:lang w:eastAsia="zh-CN"/>
        </w:rPr>
        <w:t xml:space="preserve">If a </w:t>
      </w:r>
      <w:r w:rsidRPr="00597FA9">
        <w:rPr>
          <w:rFonts w:hint="eastAsia"/>
          <w:lang w:eastAsia="zh-CN"/>
        </w:rPr>
        <w:t xml:space="preserve">UE </w:t>
      </w:r>
      <w:r w:rsidRPr="00FA4577">
        <w:rPr>
          <w:lang w:eastAsia="zh-CN"/>
        </w:rPr>
        <w:t xml:space="preserve">is provided </w:t>
      </w:r>
      <w:r w:rsidRPr="00FA4577">
        <w:rPr>
          <w:i/>
          <w:lang w:eastAsia="zh-CN"/>
        </w:rPr>
        <w:t xml:space="preserve">PDSCH-CodeBlockGroupTransmission </w:t>
      </w:r>
      <w:r w:rsidRPr="00FA4577">
        <w:rPr>
          <w:lang w:eastAsia="zh-CN"/>
        </w:rPr>
        <w:t>and the UE is scheduled for</w:t>
      </w:r>
      <w:r w:rsidRPr="00FA4577">
        <w:rPr>
          <w:rFonts w:hint="eastAsia"/>
          <w:lang w:eastAsia="zh-CN"/>
        </w:rPr>
        <w:t xml:space="preserve"> a </w:t>
      </w:r>
      <w:r w:rsidRPr="00FA4577">
        <w:rPr>
          <w:lang w:eastAsia="zh-CN"/>
        </w:rPr>
        <w:t xml:space="preserve">PUSCH transmission by DCI format </w:t>
      </w:r>
      <w:r w:rsidR="00A22847">
        <w:rPr>
          <w:lang w:eastAsia="zh-CN"/>
        </w:rPr>
        <w:t>that includes a</w:t>
      </w:r>
      <w:r w:rsidRPr="00FA4577">
        <w:rPr>
          <w:lang w:eastAsia="zh-CN"/>
        </w:rPr>
        <w:t xml:space="preserve"> DAI field </w:t>
      </w:r>
      <w:r w:rsidR="00591D67" w:rsidRPr="00E96318">
        <w:rPr>
          <w:lang w:eastAsia="zh-CN"/>
        </w:rPr>
        <w:t xml:space="preserve">for unicast PDSCH receptions </w:t>
      </w:r>
      <w:r w:rsidR="00A22847">
        <w:rPr>
          <w:lang w:eastAsia="zh-CN"/>
        </w:rPr>
        <w:t xml:space="preserve">with first </w:t>
      </w:r>
      <w:r w:rsidRPr="00FA4577">
        <w:rPr>
          <w:lang w:eastAsia="zh-CN"/>
        </w:rPr>
        <w:t xml:space="preserve">value </w:t>
      </w:r>
      <m:oMath>
        <m:sSubSup>
          <m:sSubSupPr>
            <m:ctrlPr>
              <w:rPr>
                <w:rFonts w:ascii="Cambria Math" w:hAnsi="Cambria Math"/>
              </w:rPr>
            </m:ctrlPr>
          </m:sSubSupPr>
          <m:e>
            <m:r>
              <w:rPr>
                <w:rFonts w:ascii="Cambria Math" w:hAnsi="Cambria Math"/>
              </w:rPr>
              <m:t>V</m:t>
            </m:r>
          </m:e>
          <m:sub>
            <m:r>
              <m:rPr>
                <m:nor/>
              </m:rPr>
              <w:rPr>
                <w:rFonts w:ascii="Cambria Math"/>
                <w:lang w:val="en-US"/>
              </w:rPr>
              <m:t>T-DAI</m:t>
            </m:r>
          </m:sub>
          <m:sup>
            <m:r>
              <m:rPr>
                <m:nor/>
              </m:rPr>
              <w:rPr>
                <w:rFonts w:ascii="Cambria Math"/>
                <w:lang w:val="en-US"/>
              </w:rPr>
              <m:t>UL</m:t>
            </m:r>
          </m:sup>
        </m:sSubSup>
        <m:r>
          <w:rPr>
            <w:rFonts w:ascii="Cambria Math" w:hAnsi="Cambria Math"/>
          </w:rPr>
          <m:t>=4</m:t>
        </m:r>
      </m:oMath>
      <w:r w:rsidRPr="00FA4577">
        <w:rPr>
          <w:rFonts w:cs="Arial"/>
          <w:lang w:eastAsia="zh-CN"/>
        </w:rPr>
        <w:t xml:space="preserve"> or with second </w:t>
      </w:r>
      <w:r w:rsidRPr="00FA4577">
        <w:rPr>
          <w:lang w:eastAsia="zh-CN"/>
        </w:rPr>
        <w:t xml:space="preserve">value </w:t>
      </w:r>
      <m:oMath>
        <m:sSubSup>
          <m:sSubSupPr>
            <m:ctrlPr>
              <w:rPr>
                <w:rFonts w:ascii="Cambria Math" w:hAnsi="Cambria Math"/>
              </w:rPr>
            </m:ctrlPr>
          </m:sSubSupPr>
          <m:e>
            <m:r>
              <w:rPr>
                <w:rFonts w:ascii="Cambria Math" w:hAnsi="Cambria Math"/>
              </w:rPr>
              <m:t>V</m:t>
            </m:r>
          </m:e>
          <m:sub>
            <m:r>
              <m:rPr>
                <m:nor/>
              </m:rPr>
              <w:rPr>
                <w:rFonts w:ascii="Cambria Math"/>
                <w:lang w:val="en-US"/>
              </w:rPr>
              <m:t>T-DAI</m:t>
            </m:r>
          </m:sub>
          <m:sup>
            <m:r>
              <m:rPr>
                <m:nor/>
              </m:rPr>
              <w:rPr>
                <w:rFonts w:ascii="Cambria Math"/>
                <w:lang w:val="en-US"/>
              </w:rPr>
              <m:t>UL</m:t>
            </m:r>
          </m:sup>
        </m:sSubSup>
        <m:r>
          <w:rPr>
            <w:rFonts w:ascii="Cambria Math" w:hAnsi="Cambria Math"/>
          </w:rPr>
          <m:t>=4</m:t>
        </m:r>
      </m:oMath>
      <w:r w:rsidRPr="00FA4577">
        <w:rPr>
          <w:rFonts w:cs="Arial"/>
          <w:lang w:eastAsia="zh-CN"/>
        </w:rPr>
        <w:t xml:space="preserve"> and the UE has not received any PDCCH within the </w:t>
      </w:r>
      <w:r w:rsidRPr="00FA4577">
        <w:rPr>
          <w:lang w:eastAsia="zh-CN"/>
        </w:rPr>
        <w:t xml:space="preserve">monitoring occasions </w:t>
      </w:r>
      <w:r w:rsidRPr="00FA4577">
        <w:t xml:space="preserve">for </w:t>
      </w:r>
      <w:r w:rsidR="008440E1">
        <w:t>a</w:t>
      </w:r>
      <w:r w:rsidRPr="00FA4577">
        <w:t xml:space="preserve"> </w:t>
      </w:r>
      <w:r w:rsidR="00591D67">
        <w:t xml:space="preserve">unicast </w:t>
      </w:r>
      <w:r w:rsidRPr="00FA4577">
        <w:t xml:space="preserve">DCI format </w:t>
      </w:r>
      <w:r w:rsidRPr="00FA4577">
        <w:rPr>
          <w:lang w:eastAsia="zh-CN"/>
        </w:rPr>
        <w:t xml:space="preserve">scheduling PDSCH reception </w:t>
      </w:r>
      <w:r w:rsidR="00DE3B39">
        <w:rPr>
          <w:lang w:val="en-US"/>
        </w:rPr>
        <w:t>providing a transport block with enabled HARQ-ACK information</w:t>
      </w:r>
      <w:r w:rsidR="00DE3B39" w:rsidRPr="00FA4577">
        <w:rPr>
          <w:lang w:eastAsia="zh-CN"/>
        </w:rPr>
        <w:t xml:space="preserve"> </w:t>
      </w:r>
      <w:r w:rsidRPr="00FA4577">
        <w:rPr>
          <w:lang w:eastAsia="zh-CN"/>
        </w:rPr>
        <w:t xml:space="preserve">or </w:t>
      </w:r>
      <w:r w:rsidR="009427DD" w:rsidRPr="00F415B1">
        <w:rPr>
          <w:lang w:eastAsia="zh-CN"/>
        </w:rPr>
        <w:t>having associated HARQ-ACK information without scheduling PDSCH reception</w:t>
      </w:r>
      <w:r w:rsidRPr="00FA4577">
        <w:rPr>
          <w:lang w:eastAsia="zh-CN"/>
        </w:rPr>
        <w:t xml:space="preserve"> on any serving cell </w:t>
      </w:r>
      <m:oMath>
        <m:r>
          <w:rPr>
            <w:rFonts w:ascii="Cambria Math" w:hAnsi="Cambria Math"/>
            <w:lang w:eastAsia="zh-CN"/>
          </w:rPr>
          <m:t>c</m:t>
        </m:r>
      </m:oMath>
      <w:r w:rsidR="0017268C">
        <w:rPr>
          <w:lang w:eastAsia="zh-CN"/>
        </w:rPr>
        <w:t>,</w:t>
      </w:r>
      <w:r w:rsidRPr="00FA4577">
        <w:t xml:space="preserve"> </w:t>
      </w:r>
      <w:r w:rsidRPr="00C02012">
        <w:rPr>
          <w:lang w:val="en-US"/>
        </w:rPr>
        <w:t xml:space="preserve">and the UE does not have HARQ-ACK information in response to </w:t>
      </w:r>
      <w:r w:rsidR="007B5972">
        <w:rPr>
          <w:lang w:val="en-US"/>
        </w:rPr>
        <w:t xml:space="preserve">a </w:t>
      </w:r>
      <w:r w:rsidRPr="00D61DB9">
        <w:rPr>
          <w:lang w:eastAsia="zh-CN"/>
        </w:rPr>
        <w:t xml:space="preserve">SPS PDSCH </w:t>
      </w:r>
      <w:r w:rsidRPr="00FA4577">
        <w:rPr>
          <w:lang w:val="en-US" w:eastAsia="zh-CN"/>
        </w:rPr>
        <w:t>reception to multiplex in the PUSCH</w:t>
      </w:r>
      <w:r w:rsidRPr="006C71DF">
        <w:t xml:space="preserve">, as described </w:t>
      </w:r>
      <w:r w:rsidR="006F5F9E">
        <w:t>in clause</w:t>
      </w:r>
      <w:r w:rsidRPr="006C71DF">
        <w:rPr>
          <w:rFonts w:cs="Arial"/>
          <w:lang w:eastAsia="zh-CN"/>
        </w:rPr>
        <w:t xml:space="preserve"> 9.1.3.1, the UE does not multiplex </w:t>
      </w:r>
      <w:r w:rsidRPr="00D42670">
        <w:rPr>
          <w:rFonts w:hint="eastAsia"/>
          <w:lang w:eastAsia="zh-CN"/>
        </w:rPr>
        <w:t>HARQ-ACK</w:t>
      </w:r>
      <w:r w:rsidRPr="00F65C42">
        <w:rPr>
          <w:lang w:eastAsia="zh-CN"/>
        </w:rPr>
        <w:t xml:space="preserve"> information </w:t>
      </w:r>
      <w:r w:rsidR="009D5DFC" w:rsidRPr="00F8268C">
        <w:rPr>
          <w:rFonts w:hint="eastAsia"/>
        </w:rPr>
        <w:t>associated with unicast DCI format and HARQ-ACK information for SPS PDSCH</w:t>
      </w:r>
      <w:r w:rsidR="009D5DFC">
        <w:rPr>
          <w:rFonts w:hint="eastAsia"/>
        </w:rPr>
        <w:t xml:space="preserve"> reception </w:t>
      </w:r>
      <w:r w:rsidRPr="00A339A6">
        <w:rPr>
          <w:lang w:eastAsia="zh-CN"/>
        </w:rPr>
        <w:t>for the first sub-codebook or for the second sub-codebook, respectively,</w:t>
      </w:r>
      <w:r w:rsidRPr="00A46623">
        <w:rPr>
          <w:lang w:eastAsia="zh-CN"/>
        </w:rPr>
        <w:t xml:space="preserve"> </w:t>
      </w:r>
      <w:r w:rsidRPr="00597FA9">
        <w:rPr>
          <w:lang w:eastAsia="zh-CN"/>
        </w:rPr>
        <w:t>in the PUSCH transmission.</w:t>
      </w:r>
    </w:p>
    <w:p w14:paraId="0C3E667D" w14:textId="0C038874" w:rsidR="005A44EF" w:rsidRDefault="00591D67" w:rsidP="0009732E">
      <w:r w:rsidRPr="00591D67">
        <w:rPr>
          <w:lang w:eastAsia="zh-CN"/>
        </w:rPr>
        <w:t xml:space="preserve">If a </w:t>
      </w:r>
      <w:r w:rsidRPr="00591D67">
        <w:rPr>
          <w:rFonts w:hint="eastAsia"/>
          <w:lang w:eastAsia="zh-CN"/>
        </w:rPr>
        <w:t>UE</w:t>
      </w:r>
      <w:r w:rsidRPr="00591D67">
        <w:rPr>
          <w:lang w:eastAsia="zh-CN"/>
        </w:rPr>
        <w:t xml:space="preserve"> is scheduled for</w:t>
      </w:r>
      <w:r w:rsidRPr="00591D67">
        <w:rPr>
          <w:rFonts w:hint="eastAsia"/>
          <w:lang w:eastAsia="zh-CN"/>
        </w:rPr>
        <w:t xml:space="preserve"> a </w:t>
      </w:r>
      <w:r w:rsidRPr="00591D67">
        <w:rPr>
          <w:lang w:eastAsia="zh-CN"/>
        </w:rPr>
        <w:t xml:space="preserve">PUSCH transmission by DCI format that includes a DAI field for multicast PDSCH receptions with value </w:t>
      </w:r>
      <m:oMath>
        <m:sSubSup>
          <m:sSubSupPr>
            <m:ctrlPr>
              <w:rPr>
                <w:rFonts w:ascii="Cambria Math" w:hAnsi="Cambria Math"/>
              </w:rPr>
            </m:ctrlPr>
          </m:sSubSupPr>
          <m:e>
            <m:r>
              <w:rPr>
                <w:rFonts w:ascii="Cambria Math" w:hAnsi="Cambria Math"/>
              </w:rPr>
              <m:t>V</m:t>
            </m:r>
          </m:e>
          <m:sub>
            <m:r>
              <m:rPr>
                <m:nor/>
              </m:rPr>
              <w:rPr>
                <w:rFonts w:ascii="Cambria Math"/>
                <w:lang w:val="en-US"/>
              </w:rPr>
              <m:t>T-DAI</m:t>
            </m:r>
          </m:sub>
          <m:sup>
            <m:r>
              <m:rPr>
                <m:nor/>
              </m:rPr>
              <w:rPr>
                <w:rFonts w:ascii="Cambria Math"/>
                <w:lang w:val="en-US"/>
              </w:rPr>
              <m:t>UL</m:t>
            </m:r>
          </m:sup>
        </m:sSubSup>
        <m:r>
          <w:rPr>
            <w:rFonts w:ascii="Cambria Math" w:hAnsi="Cambria Math"/>
          </w:rPr>
          <m:t>=4</m:t>
        </m:r>
      </m:oMath>
      <w:r w:rsidRPr="00591D67">
        <w:rPr>
          <w:rFonts w:cs="Arial"/>
          <w:lang w:eastAsia="zh-CN"/>
        </w:rPr>
        <w:t xml:space="preserve"> and the UE has not received any PDCCH within the </w:t>
      </w:r>
      <w:r w:rsidRPr="00591D67">
        <w:rPr>
          <w:lang w:eastAsia="zh-CN"/>
        </w:rPr>
        <w:t xml:space="preserve">monitoring occasions </w:t>
      </w:r>
      <w:r w:rsidRPr="00591D67">
        <w:t xml:space="preserve">for a </w:t>
      </w:r>
      <w:r w:rsidRPr="00591D67">
        <w:rPr>
          <w:lang w:eastAsia="zh-CN"/>
        </w:rPr>
        <w:t xml:space="preserve">multicast </w:t>
      </w:r>
      <w:r w:rsidRPr="00591D67">
        <w:t xml:space="preserve">DCI format </w:t>
      </w:r>
      <w:r w:rsidRPr="00591D67">
        <w:rPr>
          <w:lang w:eastAsia="zh-CN"/>
        </w:rPr>
        <w:t xml:space="preserve">scheduling PDSCH reception </w:t>
      </w:r>
      <w:r w:rsidRPr="00591D67">
        <w:rPr>
          <w:lang w:val="en-US"/>
        </w:rPr>
        <w:t>providing a transport block with enabled HARQ-ACK information</w:t>
      </w:r>
      <w:r w:rsidRPr="00591D67">
        <w:rPr>
          <w:lang w:eastAsia="zh-CN"/>
        </w:rPr>
        <w:t xml:space="preserve"> or </w:t>
      </w:r>
      <w:r w:rsidRPr="00591D67">
        <w:rPr>
          <w:lang w:val="en-US" w:eastAsia="zh-CN"/>
        </w:rPr>
        <w:t xml:space="preserve">having </w:t>
      </w:r>
      <w:r w:rsidRPr="00591D67">
        <w:rPr>
          <w:lang w:eastAsia="zh-CN"/>
        </w:rPr>
        <w:t>associated HARQ-ACK information without scheduling PDSCH</w:t>
      </w:r>
      <w:r w:rsidRPr="00591D67">
        <w:rPr>
          <w:lang w:val="en-US" w:eastAsia="zh-CN"/>
        </w:rPr>
        <w:t xml:space="preserve"> receptions </w:t>
      </w:r>
      <w:r w:rsidRPr="00591D67">
        <w:rPr>
          <w:lang w:eastAsia="zh-CN"/>
        </w:rPr>
        <w:t xml:space="preserve">on any serving cell </w:t>
      </w:r>
      <m:oMath>
        <m:r>
          <w:rPr>
            <w:rFonts w:ascii="Cambria Math" w:hAnsi="Cambria Math"/>
            <w:lang w:eastAsia="zh-CN"/>
          </w:rPr>
          <m:t>c</m:t>
        </m:r>
      </m:oMath>
      <w:r w:rsidRPr="00591D67">
        <w:rPr>
          <w:lang w:eastAsia="zh-CN"/>
        </w:rPr>
        <w:t>,</w:t>
      </w:r>
      <w:r w:rsidRPr="00591D67">
        <w:t xml:space="preserve"> </w:t>
      </w:r>
      <w:r w:rsidRPr="00591D67">
        <w:rPr>
          <w:lang w:val="en-US" w:eastAsia="zh-CN"/>
        </w:rPr>
        <w:t>to multiplex in the PUSCH</w:t>
      </w:r>
      <w:r w:rsidRPr="00591D67">
        <w:t xml:space="preserve"> as described in clause</w:t>
      </w:r>
      <w:r w:rsidRPr="00591D67">
        <w:rPr>
          <w:rFonts w:cs="Arial"/>
          <w:lang w:eastAsia="zh-CN"/>
        </w:rPr>
        <w:t xml:space="preserve"> 9.1.3.1, the UE does not multiplex </w:t>
      </w:r>
      <w:r w:rsidRPr="00591D67">
        <w:rPr>
          <w:lang w:eastAsia="zh-CN"/>
        </w:rPr>
        <w:t xml:space="preserve">multicast </w:t>
      </w:r>
      <w:r w:rsidRPr="00591D67">
        <w:rPr>
          <w:rFonts w:hint="eastAsia"/>
          <w:lang w:eastAsia="zh-CN"/>
        </w:rPr>
        <w:t>HARQ-ACK</w:t>
      </w:r>
      <w:r w:rsidRPr="00591D67">
        <w:rPr>
          <w:lang w:eastAsia="zh-CN"/>
        </w:rPr>
        <w:t xml:space="preserve"> information associated with a multicast DCI format in the PUSCH transmission.</w:t>
      </w:r>
    </w:p>
    <w:p w14:paraId="50EE8D38" w14:textId="0BDF678B" w:rsidR="00EE7C8B" w:rsidRPr="00B916EC" w:rsidRDefault="00EE7C8B" w:rsidP="005C53A2">
      <w:pPr>
        <w:pStyle w:val="TH"/>
      </w:pPr>
      <w:r w:rsidRPr="00B916EC">
        <w:lastRenderedPageBreak/>
        <w:t xml:space="preserve">Table 9.1.3-2: Value of </w:t>
      </w:r>
      <w:r w:rsidRPr="00B916EC">
        <w:rPr>
          <w:rFonts w:hint="eastAsia"/>
          <w:lang w:eastAsia="zh-CN"/>
        </w:rPr>
        <w:t>DAI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7"/>
        <w:gridCol w:w="1420"/>
        <w:gridCol w:w="6794"/>
      </w:tblGrid>
      <w:tr w:rsidR="008F41EE" w:rsidRPr="00B916EC" w14:paraId="221EFF9D" w14:textId="77777777" w:rsidTr="001E558F">
        <w:trPr>
          <w:cantSplit/>
          <w:jc w:val="center"/>
        </w:trPr>
        <w:tc>
          <w:tcPr>
            <w:tcW w:w="736" w:type="pct"/>
            <w:shd w:val="clear" w:color="auto" w:fill="E0E0E0"/>
            <w:vAlign w:val="center"/>
          </w:tcPr>
          <w:p w14:paraId="6AAC85F1" w14:textId="77777777" w:rsidR="008F41EE" w:rsidRPr="00B916EC" w:rsidRDefault="008F41EE" w:rsidP="008F41EE">
            <w:pPr>
              <w:pStyle w:val="TAH"/>
              <w:rPr>
                <w:lang w:val="en-US"/>
              </w:rPr>
            </w:pPr>
            <w:r w:rsidRPr="00B916EC">
              <w:rPr>
                <w:lang w:val="en-US"/>
              </w:rPr>
              <w:t>DAI</w:t>
            </w:r>
            <w:r w:rsidRPr="00B916EC">
              <w:rPr>
                <w:lang w:val="en-US"/>
              </w:rPr>
              <w:br/>
              <w:t>MSB, LSB</w:t>
            </w:r>
          </w:p>
        </w:tc>
        <w:tc>
          <w:tcPr>
            <w:tcW w:w="737" w:type="pct"/>
            <w:shd w:val="clear" w:color="auto" w:fill="E0E0E0"/>
            <w:vAlign w:val="center"/>
          </w:tcPr>
          <w:p w14:paraId="779B5E44" w14:textId="1922C84F" w:rsidR="008F41EE" w:rsidRPr="00B916EC" w:rsidRDefault="00000000" w:rsidP="008F41EE">
            <w:pPr>
              <w:pStyle w:val="TAH"/>
              <w:rPr>
                <w:lang w:val="en-US"/>
              </w:rPr>
            </w:pPr>
            <m:oMath>
              <m:sSubSup>
                <m:sSubSupPr>
                  <m:ctrlPr>
                    <w:rPr>
                      <w:rFonts w:ascii="Cambria Math" w:hAnsi="Cambria Math"/>
                      <w:b w:val="0"/>
                      <w:bCs/>
                      <w:i/>
                      <w:sz w:val="20"/>
                      <w:szCs w:val="22"/>
                    </w:rPr>
                  </m:ctrlPr>
                </m:sSubSupPr>
                <m:e>
                  <m:r>
                    <m:rPr>
                      <m:sty m:val="bi"/>
                    </m:rPr>
                    <w:rPr>
                      <w:rFonts w:ascii="Cambria Math"/>
                      <w:sz w:val="20"/>
                      <w:szCs w:val="22"/>
                    </w:rPr>
                    <m:t>V</m:t>
                  </m:r>
                </m:e>
                <m:sub>
                  <m:r>
                    <m:rPr>
                      <m:nor/>
                    </m:rPr>
                    <w:rPr>
                      <w:rFonts w:ascii="Cambria Math"/>
                      <w:b w:val="0"/>
                      <w:bCs/>
                      <w:sz w:val="20"/>
                      <w:szCs w:val="22"/>
                    </w:rPr>
                    <m:t>T-DAI</m:t>
                  </m:r>
                  <m:ctrlPr>
                    <w:rPr>
                      <w:rFonts w:ascii="Cambria Math" w:hAnsi="Cambria Math"/>
                      <w:b w:val="0"/>
                      <w:bCs/>
                      <w:sz w:val="20"/>
                      <w:szCs w:val="22"/>
                    </w:rPr>
                  </m:ctrlPr>
                </m:sub>
                <m:sup>
                  <m:r>
                    <m:rPr>
                      <m:nor/>
                    </m:rPr>
                    <w:rPr>
                      <w:rFonts w:ascii="Cambria Math"/>
                      <w:b w:val="0"/>
                      <w:bCs/>
                      <w:sz w:val="20"/>
                      <w:szCs w:val="22"/>
                      <w:lang w:val="en-US"/>
                    </w:rPr>
                    <m:t>U</m:t>
                  </m:r>
                  <m:r>
                    <m:rPr>
                      <m:nor/>
                    </m:rPr>
                    <w:rPr>
                      <w:rFonts w:ascii="Cambria Math"/>
                      <w:b w:val="0"/>
                      <w:bCs/>
                      <w:sz w:val="20"/>
                      <w:szCs w:val="22"/>
                    </w:rPr>
                    <m:t>L</m:t>
                  </m:r>
                  <m:ctrlPr>
                    <w:rPr>
                      <w:rFonts w:ascii="Cambria Math" w:hAnsi="Cambria Math"/>
                      <w:b w:val="0"/>
                      <w:bCs/>
                      <w:sz w:val="20"/>
                      <w:szCs w:val="22"/>
                    </w:rPr>
                  </m:ctrlPr>
                </m:sup>
              </m:sSubSup>
            </m:oMath>
            <w:r w:rsidR="008F41EE">
              <w:rPr>
                <w:lang w:val="en-US"/>
              </w:rPr>
              <w:t xml:space="preserve"> </w:t>
            </w:r>
          </w:p>
        </w:tc>
        <w:tc>
          <w:tcPr>
            <w:tcW w:w="3528" w:type="pct"/>
            <w:shd w:val="clear" w:color="auto" w:fill="E0E0E0"/>
            <w:vAlign w:val="center"/>
          </w:tcPr>
          <w:p w14:paraId="1E7C503D" w14:textId="054C567B" w:rsidR="008F41EE" w:rsidRPr="00B916EC" w:rsidRDefault="008F41EE" w:rsidP="008F41EE">
            <w:pPr>
              <w:pStyle w:val="TAH"/>
              <w:rPr>
                <w:lang w:val="en-US"/>
              </w:rPr>
            </w:pPr>
            <w:r w:rsidRPr="00B916EC">
              <w:rPr>
                <w:rFonts w:hint="eastAsia"/>
                <w:lang w:val="en-US" w:eastAsia="zh-CN"/>
              </w:rPr>
              <w:t xml:space="preserve">Number of {serving cell, </w:t>
            </w:r>
            <w:r w:rsidRPr="00B916EC">
              <w:rPr>
                <w:lang w:eastAsia="zh-CN"/>
              </w:rPr>
              <w:t xml:space="preserve">PDCCH monitoring </w:t>
            </w:r>
            <w:r w:rsidRPr="00B916EC">
              <w:rPr>
                <w:lang w:val="en-US" w:eastAsia="zh-CN"/>
              </w:rPr>
              <w:t>occasion</w:t>
            </w:r>
            <w:r w:rsidRPr="00B916EC">
              <w:rPr>
                <w:rFonts w:hint="eastAsia"/>
                <w:lang w:val="en-US" w:eastAsia="zh-CN"/>
              </w:rPr>
              <w:t xml:space="preserve">}-pair(s) in which </w:t>
            </w:r>
            <w:r w:rsidRPr="00B916EC">
              <w:rPr>
                <w:lang w:val="en-US"/>
              </w:rPr>
              <w:t>PDSCH transmission(</w:t>
            </w:r>
            <w:r w:rsidRPr="00B916EC">
              <w:rPr>
                <w:rFonts w:hint="eastAsia"/>
                <w:lang w:val="en-US" w:eastAsia="zh-CN"/>
              </w:rPr>
              <w:t>s</w:t>
            </w:r>
            <w:r w:rsidRPr="00B916EC">
              <w:rPr>
                <w:lang w:val="en-US" w:eastAsia="zh-CN"/>
              </w:rPr>
              <w:t>)</w:t>
            </w:r>
            <w:r w:rsidRPr="00B916EC">
              <w:rPr>
                <w:rFonts w:hint="eastAsia"/>
                <w:lang w:val="en-US" w:eastAsia="zh-CN"/>
              </w:rPr>
              <w:t xml:space="preserve"> associated with PDCCH or </w:t>
            </w:r>
            <w:r w:rsidRPr="00B916EC">
              <w:rPr>
                <w:rFonts w:cs="Arial"/>
              </w:rPr>
              <w:t>PDCCH indicating SPS</w:t>
            </w:r>
            <w:r>
              <w:rPr>
                <w:rFonts w:cs="Arial"/>
              </w:rPr>
              <w:t xml:space="preserve"> PDSCH</w:t>
            </w:r>
            <w:r w:rsidRPr="00B916EC">
              <w:rPr>
                <w:rFonts w:cs="Arial"/>
              </w:rPr>
              <w:t xml:space="preserve"> release</w:t>
            </w:r>
            <w:r w:rsidRPr="008D3710">
              <w:rPr>
                <w:rFonts w:cs="Arial"/>
                <w:lang w:eastAsia="zh-CN"/>
              </w:rPr>
              <w:t xml:space="preserve"> </w:t>
            </w:r>
            <w:r w:rsidR="009427DD" w:rsidRPr="00F415B1">
              <w:rPr>
                <w:lang w:val="en-US" w:eastAsia="zh-CN"/>
              </w:rPr>
              <w:t>or providing TCI state update</w:t>
            </w:r>
            <w:r w:rsidR="009427DD" w:rsidRPr="00F415B1">
              <w:t xml:space="preserve"> </w:t>
            </w:r>
            <w:r w:rsidRPr="008D3710">
              <w:rPr>
                <w:rFonts w:cs="Arial"/>
                <w:lang w:eastAsia="zh-CN"/>
              </w:rPr>
              <w:t xml:space="preserve">or </w:t>
            </w:r>
            <w:r w:rsidRPr="008D3710">
              <w:rPr>
                <w:rFonts w:cs="Arial"/>
              </w:rPr>
              <w:t xml:space="preserve">DCI format 1_1 </w:t>
            </w:r>
            <w:r w:rsidR="001E558F" w:rsidRPr="006224D8">
              <w:rPr>
                <w:rFonts w:cs="Arial"/>
              </w:rPr>
              <w:t>or DCI format 1_3</w:t>
            </w:r>
            <w:r w:rsidR="001E558F">
              <w:rPr>
                <w:rFonts w:cs="Arial"/>
              </w:rPr>
              <w:t xml:space="preserve"> </w:t>
            </w:r>
            <w:r w:rsidRPr="008D3710">
              <w:rPr>
                <w:rFonts w:cs="Arial"/>
              </w:rPr>
              <w:t xml:space="preserve">indicating </w:t>
            </w:r>
            <w:r w:rsidRPr="008D3710">
              <w:rPr>
                <w:rFonts w:cs="Arial"/>
                <w:lang w:val="en-US"/>
              </w:rPr>
              <w:t>SCell dormancy</w:t>
            </w:r>
            <w:r w:rsidR="001E558F">
              <w:rPr>
                <w:rFonts w:cs="Arial"/>
                <w:lang w:val="en-US"/>
              </w:rPr>
              <w:t xml:space="preserve"> </w:t>
            </w:r>
            <w:r w:rsidR="001E558F" w:rsidRPr="006224D8">
              <w:rPr>
                <w:rFonts w:cs="Arial"/>
                <w:lang w:eastAsia="zh-CN"/>
              </w:rPr>
              <w:t>without scheduling a PDSCH reception</w:t>
            </w:r>
            <w:r w:rsidRPr="00B916EC">
              <w:rPr>
                <w:rFonts w:cs="Arial" w:hint="eastAsia"/>
                <w:lang w:eastAsia="zh-CN"/>
              </w:rPr>
              <w:t xml:space="preserve"> is present, </w:t>
            </w:r>
            <w:r w:rsidR="00E10BDF">
              <w:rPr>
                <w:rFonts w:cs="Arial"/>
                <w:lang w:eastAsia="zh-CN"/>
              </w:rPr>
              <w:t xml:space="preserve">or number of PDCCH monitoring occasions associated with PDCCH for scheduling PDSCH receptions on more than one cells, </w:t>
            </w:r>
            <w:r w:rsidRPr="00B916EC">
              <w:rPr>
                <w:rFonts w:cs="Arial" w:hint="eastAsia"/>
                <w:lang w:eastAsia="zh-CN"/>
              </w:rPr>
              <w:t>denoted as</w:t>
            </w:r>
            <w:r w:rsidRPr="00B916EC">
              <w:rPr>
                <w:rFonts w:cs="Arial"/>
                <w:lang w:eastAsia="zh-CN"/>
              </w:rPr>
              <w:t xml:space="preserve"> </w:t>
            </w:r>
            <m:oMath>
              <m:r>
                <m:rPr>
                  <m:sty m:val="bi"/>
                </m:rPr>
                <w:rPr>
                  <w:rFonts w:ascii="Cambria Math"/>
                </w:rPr>
                <m:t>X</m:t>
              </m:r>
            </m:oMath>
            <w:r w:rsidRPr="00B916EC">
              <w:rPr>
                <w:rFonts w:cs="Arial" w:hint="eastAsia"/>
                <w:lang w:eastAsia="zh-CN"/>
              </w:rPr>
              <w:t xml:space="preserve"> and </w:t>
            </w:r>
            <m:oMath>
              <m:r>
                <m:rPr>
                  <m:sty m:val="bi"/>
                </m:rPr>
                <w:rPr>
                  <w:rFonts w:ascii="Cambria Math"/>
                </w:rPr>
                <m:t>X</m:t>
              </m:r>
              <m:r>
                <m:rPr>
                  <m:sty m:val="bi"/>
                </m:rPr>
                <w:rPr>
                  <w:rFonts w:ascii="Cambria Math" w:hAnsi="Cambria Math"/>
                </w:rPr>
                <m:t>≥</m:t>
              </m:r>
              <m:r>
                <m:rPr>
                  <m:sty m:val="bi"/>
                </m:rPr>
                <w:rPr>
                  <w:rFonts w:ascii="Cambria Math"/>
                </w:rPr>
                <m:t>1</m:t>
              </m:r>
            </m:oMath>
          </w:p>
        </w:tc>
      </w:tr>
      <w:tr w:rsidR="00AE2368" w:rsidRPr="00B916EC" w14:paraId="41AF35DA" w14:textId="77777777" w:rsidTr="001E558F">
        <w:trPr>
          <w:cantSplit/>
          <w:jc w:val="center"/>
        </w:trPr>
        <w:tc>
          <w:tcPr>
            <w:tcW w:w="736" w:type="pct"/>
            <w:vAlign w:val="center"/>
          </w:tcPr>
          <w:p w14:paraId="1A410081" w14:textId="77777777" w:rsidR="00AE2368" w:rsidRPr="00B916EC" w:rsidRDefault="00AE2368" w:rsidP="00AE2368">
            <w:pPr>
              <w:pStyle w:val="TAC"/>
              <w:rPr>
                <w:lang w:val="en-US"/>
              </w:rPr>
            </w:pPr>
            <w:r w:rsidRPr="00B916EC">
              <w:rPr>
                <w:lang w:val="en-US"/>
              </w:rPr>
              <w:t>0,0</w:t>
            </w:r>
          </w:p>
        </w:tc>
        <w:tc>
          <w:tcPr>
            <w:tcW w:w="737" w:type="pct"/>
            <w:vAlign w:val="center"/>
          </w:tcPr>
          <w:p w14:paraId="4ABD1FDE" w14:textId="77777777" w:rsidR="00AE2368" w:rsidRPr="00B916EC" w:rsidRDefault="00AE2368" w:rsidP="00AE2368">
            <w:pPr>
              <w:pStyle w:val="TAC"/>
              <w:rPr>
                <w:lang w:val="en-US"/>
              </w:rPr>
            </w:pPr>
            <w:r w:rsidRPr="00B916EC">
              <w:rPr>
                <w:lang w:val="en-US"/>
              </w:rPr>
              <w:t>1</w:t>
            </w:r>
          </w:p>
        </w:tc>
        <w:tc>
          <w:tcPr>
            <w:tcW w:w="3528" w:type="pct"/>
            <w:vAlign w:val="center"/>
          </w:tcPr>
          <w:p w14:paraId="547C5AAB" w14:textId="454EF682" w:rsidR="00AE2368" w:rsidRPr="00B916EC" w:rsidRDefault="00000000" w:rsidP="00AE2368">
            <w:pPr>
              <w:pStyle w:val="TAC"/>
              <w:rPr>
                <w:lang w:val="en-US"/>
              </w:rPr>
            </w:pPr>
            <m:oMathPara>
              <m:oMath>
                <m:d>
                  <m:dPr>
                    <m:ctrlPr>
                      <w:rPr>
                        <w:rFonts w:ascii="Cambria Math" w:hAnsi="Cambria Math"/>
                        <w:bCs/>
                        <w:i/>
                      </w:rPr>
                    </m:ctrlPr>
                  </m:dPr>
                  <m:e>
                    <m:r>
                      <w:rPr>
                        <w:rFonts w:ascii="Cambria Math"/>
                      </w:rPr>
                      <m:t>X</m:t>
                    </m:r>
                    <m:r>
                      <w:rPr>
                        <w:rFonts w:ascii="Cambria Math"/>
                      </w:rPr>
                      <m:t>-</m:t>
                    </m:r>
                    <m:r>
                      <w:rPr>
                        <w:rFonts w:ascii="Cambria Math"/>
                      </w:rPr>
                      <m:t>1</m:t>
                    </m:r>
                  </m:e>
                </m:d>
                <m:func>
                  <m:funcPr>
                    <m:ctrlPr>
                      <w:rPr>
                        <w:rFonts w:ascii="Cambria Math" w:hAnsi="Cambria Math"/>
                        <w:bCs/>
                        <w:i/>
                      </w:rPr>
                    </m:ctrlPr>
                  </m:funcPr>
                  <m:fName>
                    <m:r>
                      <w:rPr>
                        <w:rFonts w:ascii="Cambria Math"/>
                      </w:rPr>
                      <m:t>mod</m:t>
                    </m:r>
                  </m:fName>
                  <m:e>
                    <m:r>
                      <w:rPr>
                        <w:rFonts w:ascii="Cambria Math" w:hAnsi="Cambria Math"/>
                      </w:rPr>
                      <m:t>4</m:t>
                    </m:r>
                  </m:e>
                </m:func>
                <m:r>
                  <w:rPr>
                    <w:rFonts w:ascii="Cambria Math"/>
                  </w:rPr>
                  <m:t>+1=1</m:t>
                </m:r>
              </m:oMath>
            </m:oMathPara>
          </w:p>
        </w:tc>
      </w:tr>
      <w:tr w:rsidR="00AE2368" w:rsidRPr="00B916EC" w14:paraId="2FB9191D" w14:textId="77777777" w:rsidTr="001E558F">
        <w:trPr>
          <w:cantSplit/>
          <w:jc w:val="center"/>
        </w:trPr>
        <w:tc>
          <w:tcPr>
            <w:tcW w:w="736" w:type="pct"/>
            <w:vAlign w:val="center"/>
          </w:tcPr>
          <w:p w14:paraId="79B1BCF7" w14:textId="77777777" w:rsidR="00AE2368" w:rsidRPr="00B916EC" w:rsidRDefault="00AE2368" w:rsidP="00AE2368">
            <w:pPr>
              <w:pStyle w:val="TAC"/>
              <w:rPr>
                <w:lang w:val="en-US"/>
              </w:rPr>
            </w:pPr>
            <w:r w:rsidRPr="00B916EC">
              <w:rPr>
                <w:lang w:val="en-US"/>
              </w:rPr>
              <w:t>0,1</w:t>
            </w:r>
          </w:p>
        </w:tc>
        <w:tc>
          <w:tcPr>
            <w:tcW w:w="737" w:type="pct"/>
            <w:vAlign w:val="center"/>
          </w:tcPr>
          <w:p w14:paraId="32AB4897" w14:textId="77777777" w:rsidR="00AE2368" w:rsidRPr="00B916EC" w:rsidRDefault="00AE2368" w:rsidP="00AE2368">
            <w:pPr>
              <w:pStyle w:val="TAC"/>
              <w:rPr>
                <w:lang w:val="en-US"/>
              </w:rPr>
            </w:pPr>
            <w:r w:rsidRPr="00B916EC">
              <w:rPr>
                <w:lang w:val="en-US"/>
              </w:rPr>
              <w:t>2</w:t>
            </w:r>
          </w:p>
        </w:tc>
        <w:tc>
          <w:tcPr>
            <w:tcW w:w="3528" w:type="pct"/>
            <w:vAlign w:val="center"/>
          </w:tcPr>
          <w:p w14:paraId="700CA23E" w14:textId="0153AF9F" w:rsidR="00AE2368" w:rsidRPr="00B916EC" w:rsidRDefault="00000000" w:rsidP="00AE2368">
            <w:pPr>
              <w:pStyle w:val="TAC"/>
              <w:rPr>
                <w:lang w:val="en-US"/>
              </w:rPr>
            </w:pPr>
            <m:oMathPara>
              <m:oMath>
                <m:d>
                  <m:dPr>
                    <m:ctrlPr>
                      <w:rPr>
                        <w:rFonts w:ascii="Cambria Math" w:hAnsi="Cambria Math"/>
                        <w:bCs/>
                        <w:i/>
                      </w:rPr>
                    </m:ctrlPr>
                  </m:dPr>
                  <m:e>
                    <m:r>
                      <w:rPr>
                        <w:rFonts w:ascii="Cambria Math"/>
                      </w:rPr>
                      <m:t>X</m:t>
                    </m:r>
                    <m:r>
                      <w:rPr>
                        <w:rFonts w:ascii="Cambria Math"/>
                      </w:rPr>
                      <m:t>-</m:t>
                    </m:r>
                    <m:r>
                      <w:rPr>
                        <w:rFonts w:ascii="Cambria Math"/>
                      </w:rPr>
                      <m:t>1</m:t>
                    </m:r>
                  </m:e>
                </m:d>
                <m:func>
                  <m:funcPr>
                    <m:ctrlPr>
                      <w:rPr>
                        <w:rFonts w:ascii="Cambria Math" w:hAnsi="Cambria Math"/>
                        <w:bCs/>
                        <w:i/>
                      </w:rPr>
                    </m:ctrlPr>
                  </m:funcPr>
                  <m:fName>
                    <m:r>
                      <w:rPr>
                        <w:rFonts w:ascii="Cambria Math"/>
                      </w:rPr>
                      <m:t>mod</m:t>
                    </m:r>
                  </m:fName>
                  <m:e>
                    <m:r>
                      <w:rPr>
                        <w:rFonts w:ascii="Cambria Math" w:hAnsi="Cambria Math"/>
                      </w:rPr>
                      <m:t>4</m:t>
                    </m:r>
                  </m:e>
                </m:func>
                <m:r>
                  <w:rPr>
                    <w:rFonts w:ascii="Cambria Math"/>
                  </w:rPr>
                  <m:t>+1=2</m:t>
                </m:r>
              </m:oMath>
            </m:oMathPara>
          </w:p>
        </w:tc>
      </w:tr>
      <w:tr w:rsidR="00AE2368" w:rsidRPr="00B916EC" w14:paraId="75257A18" w14:textId="77777777" w:rsidTr="001E558F">
        <w:trPr>
          <w:cantSplit/>
          <w:jc w:val="center"/>
        </w:trPr>
        <w:tc>
          <w:tcPr>
            <w:tcW w:w="736" w:type="pct"/>
            <w:vAlign w:val="center"/>
          </w:tcPr>
          <w:p w14:paraId="6B053949" w14:textId="77777777" w:rsidR="00AE2368" w:rsidRPr="00B916EC" w:rsidRDefault="00AE2368" w:rsidP="00AE2368">
            <w:pPr>
              <w:pStyle w:val="TAC"/>
              <w:rPr>
                <w:lang w:val="en-US"/>
              </w:rPr>
            </w:pPr>
            <w:r w:rsidRPr="00B916EC">
              <w:rPr>
                <w:lang w:val="en-US"/>
              </w:rPr>
              <w:t>1,0</w:t>
            </w:r>
          </w:p>
        </w:tc>
        <w:tc>
          <w:tcPr>
            <w:tcW w:w="737" w:type="pct"/>
            <w:vAlign w:val="center"/>
          </w:tcPr>
          <w:p w14:paraId="427397DC" w14:textId="77777777" w:rsidR="00AE2368" w:rsidRPr="00B916EC" w:rsidRDefault="00AE2368" w:rsidP="00AE2368">
            <w:pPr>
              <w:pStyle w:val="TAC"/>
              <w:rPr>
                <w:lang w:val="en-US"/>
              </w:rPr>
            </w:pPr>
            <w:r w:rsidRPr="00B916EC">
              <w:rPr>
                <w:lang w:val="en-US"/>
              </w:rPr>
              <w:t>3</w:t>
            </w:r>
          </w:p>
        </w:tc>
        <w:tc>
          <w:tcPr>
            <w:tcW w:w="3528" w:type="pct"/>
            <w:vAlign w:val="center"/>
          </w:tcPr>
          <w:p w14:paraId="6795B3F4" w14:textId="02852ACD" w:rsidR="00AE2368" w:rsidRPr="00B916EC" w:rsidRDefault="00000000" w:rsidP="00AE2368">
            <w:pPr>
              <w:pStyle w:val="TAC"/>
              <w:rPr>
                <w:lang w:val="en-US"/>
              </w:rPr>
            </w:pPr>
            <m:oMathPara>
              <m:oMath>
                <m:d>
                  <m:dPr>
                    <m:ctrlPr>
                      <w:rPr>
                        <w:rFonts w:ascii="Cambria Math" w:hAnsi="Cambria Math"/>
                        <w:bCs/>
                        <w:i/>
                      </w:rPr>
                    </m:ctrlPr>
                  </m:dPr>
                  <m:e>
                    <m:r>
                      <w:rPr>
                        <w:rFonts w:ascii="Cambria Math"/>
                      </w:rPr>
                      <m:t>X</m:t>
                    </m:r>
                    <m:r>
                      <w:rPr>
                        <w:rFonts w:ascii="Cambria Math"/>
                      </w:rPr>
                      <m:t>-</m:t>
                    </m:r>
                    <m:r>
                      <w:rPr>
                        <w:rFonts w:ascii="Cambria Math"/>
                      </w:rPr>
                      <m:t>1</m:t>
                    </m:r>
                  </m:e>
                </m:d>
                <m:func>
                  <m:funcPr>
                    <m:ctrlPr>
                      <w:rPr>
                        <w:rFonts w:ascii="Cambria Math" w:hAnsi="Cambria Math"/>
                        <w:bCs/>
                        <w:i/>
                      </w:rPr>
                    </m:ctrlPr>
                  </m:funcPr>
                  <m:fName>
                    <m:r>
                      <w:rPr>
                        <w:rFonts w:ascii="Cambria Math"/>
                      </w:rPr>
                      <m:t>mod</m:t>
                    </m:r>
                  </m:fName>
                  <m:e>
                    <m:r>
                      <w:rPr>
                        <w:rFonts w:ascii="Cambria Math" w:hAnsi="Cambria Math"/>
                      </w:rPr>
                      <m:t>4</m:t>
                    </m:r>
                  </m:e>
                </m:func>
                <m:r>
                  <w:rPr>
                    <w:rFonts w:ascii="Cambria Math"/>
                  </w:rPr>
                  <m:t>+1=3</m:t>
                </m:r>
              </m:oMath>
            </m:oMathPara>
          </w:p>
        </w:tc>
      </w:tr>
      <w:tr w:rsidR="00AE2368" w:rsidRPr="00B916EC" w14:paraId="31F59A71" w14:textId="77777777" w:rsidTr="001E558F">
        <w:trPr>
          <w:cantSplit/>
          <w:jc w:val="center"/>
        </w:trPr>
        <w:tc>
          <w:tcPr>
            <w:tcW w:w="736" w:type="pct"/>
            <w:vAlign w:val="center"/>
          </w:tcPr>
          <w:p w14:paraId="39C9DE7C" w14:textId="77777777" w:rsidR="00AE2368" w:rsidRPr="00B916EC" w:rsidRDefault="00AE2368" w:rsidP="00AE2368">
            <w:pPr>
              <w:pStyle w:val="TAC"/>
              <w:rPr>
                <w:lang w:val="en-US"/>
              </w:rPr>
            </w:pPr>
            <w:r w:rsidRPr="00B916EC">
              <w:rPr>
                <w:lang w:val="en-US"/>
              </w:rPr>
              <w:t>1,1</w:t>
            </w:r>
          </w:p>
        </w:tc>
        <w:tc>
          <w:tcPr>
            <w:tcW w:w="737" w:type="pct"/>
            <w:vAlign w:val="center"/>
          </w:tcPr>
          <w:p w14:paraId="106906F4" w14:textId="77777777" w:rsidR="00AE2368" w:rsidRPr="00B916EC" w:rsidRDefault="00AE2368" w:rsidP="00AE2368">
            <w:pPr>
              <w:pStyle w:val="TAC"/>
              <w:rPr>
                <w:lang w:val="en-US"/>
              </w:rPr>
            </w:pPr>
            <w:r w:rsidRPr="00B916EC">
              <w:rPr>
                <w:lang w:val="en-US"/>
              </w:rPr>
              <w:t>4</w:t>
            </w:r>
          </w:p>
        </w:tc>
        <w:tc>
          <w:tcPr>
            <w:tcW w:w="3528" w:type="pct"/>
            <w:vAlign w:val="center"/>
          </w:tcPr>
          <w:p w14:paraId="283C7231" w14:textId="49C7AB40" w:rsidR="00AE2368" w:rsidRPr="00B916EC" w:rsidRDefault="00000000" w:rsidP="00AE2368">
            <w:pPr>
              <w:pStyle w:val="TAC"/>
              <w:rPr>
                <w:lang w:val="en-US"/>
              </w:rPr>
            </w:pPr>
            <m:oMathPara>
              <m:oMath>
                <m:d>
                  <m:dPr>
                    <m:ctrlPr>
                      <w:rPr>
                        <w:rFonts w:ascii="Cambria Math" w:hAnsi="Cambria Math"/>
                        <w:bCs/>
                        <w:i/>
                      </w:rPr>
                    </m:ctrlPr>
                  </m:dPr>
                  <m:e>
                    <m:r>
                      <w:rPr>
                        <w:rFonts w:ascii="Cambria Math"/>
                      </w:rPr>
                      <m:t>X</m:t>
                    </m:r>
                    <m:r>
                      <w:rPr>
                        <w:rFonts w:ascii="Cambria Math"/>
                      </w:rPr>
                      <m:t>-</m:t>
                    </m:r>
                    <m:r>
                      <w:rPr>
                        <w:rFonts w:ascii="Cambria Math"/>
                      </w:rPr>
                      <m:t>1</m:t>
                    </m:r>
                  </m:e>
                </m:d>
                <m:func>
                  <m:funcPr>
                    <m:ctrlPr>
                      <w:rPr>
                        <w:rFonts w:ascii="Cambria Math" w:hAnsi="Cambria Math"/>
                        <w:bCs/>
                        <w:i/>
                      </w:rPr>
                    </m:ctrlPr>
                  </m:funcPr>
                  <m:fName>
                    <m:r>
                      <w:rPr>
                        <w:rFonts w:ascii="Cambria Math"/>
                      </w:rPr>
                      <m:t>mod</m:t>
                    </m:r>
                  </m:fName>
                  <m:e>
                    <m:r>
                      <w:rPr>
                        <w:rFonts w:ascii="Cambria Math" w:hAnsi="Cambria Math"/>
                      </w:rPr>
                      <m:t>4</m:t>
                    </m:r>
                  </m:e>
                </m:func>
                <m:r>
                  <w:rPr>
                    <w:rFonts w:ascii="Cambria Math"/>
                  </w:rPr>
                  <m:t>+1=4</m:t>
                </m:r>
              </m:oMath>
            </m:oMathPara>
          </w:p>
        </w:tc>
      </w:tr>
    </w:tbl>
    <w:p w14:paraId="3632B652" w14:textId="77777777" w:rsidR="00EE7C8B" w:rsidRDefault="00EE7C8B" w:rsidP="00EE7C8B"/>
    <w:p w14:paraId="52893663" w14:textId="77777777" w:rsidR="008C3F0C" w:rsidRPr="00990A42" w:rsidRDefault="008C3F0C" w:rsidP="00224F81">
      <w:pPr>
        <w:pStyle w:val="Heading4"/>
      </w:pPr>
      <w:bookmarkStart w:id="504" w:name="_Toc29894845"/>
      <w:bookmarkStart w:id="505" w:name="_Toc29899144"/>
      <w:bookmarkStart w:id="506" w:name="_Toc29899562"/>
      <w:bookmarkStart w:id="507" w:name="_Toc29917299"/>
      <w:bookmarkStart w:id="508" w:name="_Toc36498173"/>
      <w:bookmarkStart w:id="509" w:name="_Toc45699199"/>
      <w:bookmarkStart w:id="510" w:name="_Toc161999125"/>
      <w:r w:rsidRPr="00B916EC">
        <w:t>9</w:t>
      </w:r>
      <w:r w:rsidRPr="00B916EC">
        <w:rPr>
          <w:rFonts w:hint="eastAsia"/>
        </w:rPr>
        <w:t>.</w:t>
      </w:r>
      <w:r>
        <w:t>1.3</w:t>
      </w:r>
      <w:r w:rsidRPr="00B916EC">
        <w:t>.</w:t>
      </w:r>
      <w:r>
        <w:t>3</w:t>
      </w:r>
      <w:r w:rsidRPr="00B916EC">
        <w:rPr>
          <w:rFonts w:hint="eastAsia"/>
        </w:rPr>
        <w:tab/>
      </w:r>
      <w:r w:rsidRPr="00990A42">
        <w:t>Type-2 HARQ-ACK codebook</w:t>
      </w:r>
      <w:r>
        <w:t xml:space="preserve"> grouping and HARQ-ACK retransmission</w:t>
      </w:r>
      <w:bookmarkEnd w:id="504"/>
      <w:bookmarkEnd w:id="505"/>
      <w:bookmarkEnd w:id="506"/>
      <w:bookmarkEnd w:id="507"/>
      <w:bookmarkEnd w:id="508"/>
      <w:bookmarkEnd w:id="509"/>
      <w:bookmarkEnd w:id="510"/>
    </w:p>
    <w:p w14:paraId="74F8628E" w14:textId="364C15B6" w:rsidR="008C3F0C" w:rsidRPr="00990A42" w:rsidRDefault="008C3F0C" w:rsidP="003E315E">
      <w:r w:rsidRPr="00990A42">
        <w:rPr>
          <w:lang w:eastAsia="zh-CN"/>
        </w:rPr>
        <w:t xml:space="preserve">If </w:t>
      </w:r>
      <w:r w:rsidRPr="00990A42">
        <w:t xml:space="preserve">a UE </w:t>
      </w:r>
      <w:r w:rsidRPr="00990A42">
        <w:rPr>
          <w:lang w:eastAsia="zh-CN"/>
        </w:rPr>
        <w:t xml:space="preserve">is provided </w:t>
      </w:r>
      <w:r w:rsidRPr="00990A42">
        <w:rPr>
          <w:i/>
          <w:lang w:val="en-US" w:eastAsia="zh-CN"/>
        </w:rPr>
        <w:t>pdsch-</w:t>
      </w:r>
      <w:r w:rsidRPr="00990A42">
        <w:rPr>
          <w:rFonts w:cs="Arial"/>
          <w:i/>
          <w:lang w:eastAsia="zh-CN"/>
        </w:rPr>
        <w:t>HARQ-ACK-Codebook</w:t>
      </w:r>
      <w:r w:rsidR="00B64EAE">
        <w:rPr>
          <w:rFonts w:cs="Arial"/>
          <w:i/>
          <w:lang w:eastAsia="zh-CN"/>
        </w:rPr>
        <w:t>-r16</w:t>
      </w:r>
      <w:r>
        <w:rPr>
          <w:iCs/>
        </w:rPr>
        <w:t xml:space="preserve">, </w:t>
      </w:r>
      <w:r w:rsidRPr="00990A42">
        <w:t>the UE det</w:t>
      </w:r>
      <w:r>
        <w:t xml:space="preserve">ermines HARQ-ACK information for </w:t>
      </w:r>
      <w:r w:rsidRPr="00990A42">
        <w:t>multiplex</w:t>
      </w:r>
      <w:r>
        <w:t>ing</w:t>
      </w:r>
      <w:r w:rsidRPr="00990A42">
        <w:t xml:space="preserve"> in a PUCCH </w:t>
      </w:r>
      <w:r>
        <w:t xml:space="preserve">transmission occasion according to the following procedure. </w:t>
      </w:r>
    </w:p>
    <w:p w14:paraId="77E9E5AE" w14:textId="52E7C431" w:rsidR="008C3F0C" w:rsidRDefault="008C3F0C" w:rsidP="003E315E">
      <w:r w:rsidRPr="00990A42">
        <w:t xml:space="preserve">Set </w:t>
      </w:r>
      <m:oMath>
        <m:r>
          <w:rPr>
            <w:rFonts w:ascii="Cambria Math" w:cs="Arial"/>
            <w:lang w:eastAsia="zh-CN"/>
          </w:rPr>
          <m:t>g</m:t>
        </m:r>
      </m:oMath>
      <w:r w:rsidRPr="00990A42">
        <w:t xml:space="preserve"> to the valu</w:t>
      </w:r>
      <w:r>
        <w:t>e of a PDSCH</w:t>
      </w:r>
      <w:r w:rsidR="004C257D">
        <w:t xml:space="preserve"> </w:t>
      </w:r>
      <w:r>
        <w:t xml:space="preserve">group </w:t>
      </w:r>
      <w:r w:rsidR="004C257D">
        <w:t xml:space="preserve">index </w:t>
      </w:r>
      <w:r>
        <w:t>field</w:t>
      </w:r>
      <w:r w:rsidRPr="00990A42">
        <w:t xml:space="preserve"> in a </w:t>
      </w:r>
      <w:r w:rsidR="005736C2">
        <w:t xml:space="preserve">last </w:t>
      </w:r>
      <w:r w:rsidR="005736C2" w:rsidRPr="00990A42">
        <w:t>DCI format</w:t>
      </w:r>
      <w:r w:rsidR="005736C2" w:rsidRPr="00216371">
        <w:t xml:space="preserve"> </w:t>
      </w:r>
      <w:r w:rsidR="005736C2">
        <w:t xml:space="preserve">that provides a value of </w:t>
      </w:r>
      <m:oMath>
        <m:r>
          <w:rPr>
            <w:rFonts w:ascii="Cambria Math" w:cs="Arial"/>
            <w:lang w:eastAsia="zh-CN"/>
          </w:rPr>
          <m:t>g</m:t>
        </m:r>
      </m:oMath>
      <w:r w:rsidR="005736C2">
        <w:t xml:space="preserve"> </w:t>
      </w:r>
      <w:r w:rsidR="005736C2" w:rsidRPr="0027149A">
        <w:t>and indicates</w:t>
      </w:r>
      <w:r w:rsidR="005736C2">
        <w:t xml:space="preserve"> </w:t>
      </w:r>
      <w:r w:rsidR="005736C2" w:rsidRPr="0027149A">
        <w:t>a</w:t>
      </w:r>
      <w:r w:rsidR="005736C2">
        <w:t xml:space="preserve"> PUCCH transmission occasion</w:t>
      </w:r>
      <w:r>
        <w:rPr>
          <w:lang w:eastAsia="zh-CN"/>
        </w:rPr>
        <w:t>.</w:t>
      </w:r>
    </w:p>
    <w:p w14:paraId="631D4D67" w14:textId="77777777" w:rsidR="008C3F0C" w:rsidRDefault="008C3F0C" w:rsidP="003E315E">
      <w:r w:rsidRPr="00990A42">
        <w:t xml:space="preserve">Set </w:t>
      </w:r>
      <m:oMath>
        <m:r>
          <w:rPr>
            <w:rFonts w:ascii="Cambria Math" w:hAnsi="Cambria Math"/>
          </w:rPr>
          <m:t>i(g)</m:t>
        </m:r>
      </m:oMath>
      <w:r w:rsidRPr="00990A42">
        <w:t xml:space="preserve"> to </w:t>
      </w:r>
      <w:r>
        <w:t>denote</w:t>
      </w:r>
      <w:r w:rsidRPr="00990A42">
        <w:t xml:space="preserve"> a PUCCH transmission occasion </w:t>
      </w:r>
      <w:r>
        <w:t>for multiplexing</w:t>
      </w:r>
      <w:r w:rsidRPr="00990A42">
        <w:t xml:space="preserve"> HARQ-ACK information </w:t>
      </w:r>
    </w:p>
    <w:p w14:paraId="488BDC56" w14:textId="32FB4D1C" w:rsidR="005736C2" w:rsidRDefault="008C3F0C" w:rsidP="003E315E">
      <w:pPr>
        <w:rPr>
          <w:lang w:eastAsia="zh-CN"/>
        </w:rPr>
      </w:pPr>
      <w:r>
        <w:t xml:space="preserve">Set </w:t>
      </w:r>
      <m:oMath>
        <m:r>
          <w:rPr>
            <w:rFonts w:ascii="Cambria Math" w:hAnsi="Cambria Math"/>
          </w:rPr>
          <m:t>k</m:t>
        </m:r>
      </m:oMath>
      <w:r>
        <w:t xml:space="preserve"> to the value of a </w:t>
      </w:r>
      <w:r w:rsidRPr="00990A42">
        <w:rPr>
          <w:lang w:eastAsia="zh-CN"/>
        </w:rPr>
        <w:t>PDSCH-to-HARQ_feedback timi</w:t>
      </w:r>
      <w:r>
        <w:rPr>
          <w:lang w:eastAsia="zh-CN"/>
        </w:rPr>
        <w:t xml:space="preserve">ng field, if any, </w:t>
      </w:r>
      <w:r>
        <w:t>in a</w:t>
      </w:r>
      <w:r w:rsidRPr="00990A42">
        <w:t xml:space="preserve"> DCI format</w:t>
      </w:r>
      <w:r>
        <w:t xml:space="preserve"> providing a value of </w:t>
      </w:r>
      <m:oMath>
        <m:r>
          <w:rPr>
            <w:rFonts w:ascii="Cambria Math" w:cs="Arial"/>
            <w:lang w:eastAsia="zh-CN"/>
          </w:rPr>
          <m:t>g</m:t>
        </m:r>
      </m:oMath>
    </w:p>
    <w:p w14:paraId="762F58BC" w14:textId="47E04596" w:rsidR="008C3F0C" w:rsidRPr="00154CBD" w:rsidRDefault="005736C2" w:rsidP="00AD2C28">
      <w:pPr>
        <w:pStyle w:val="B1"/>
        <w:rPr>
          <w:lang w:val="en-GB" w:eastAsia="zh-CN"/>
        </w:rPr>
      </w:pPr>
      <w:r>
        <w:rPr>
          <w:lang w:eastAsia="zh-CN"/>
        </w:rPr>
        <w:t>-</w:t>
      </w:r>
      <w:r>
        <w:rPr>
          <w:lang w:eastAsia="zh-CN"/>
        </w:rPr>
        <w:tab/>
      </w:r>
      <w:r w:rsidR="008C3F0C">
        <w:rPr>
          <w:lang w:eastAsia="zh-CN"/>
        </w:rPr>
        <w:t xml:space="preserve">If the DCI format does not include a </w:t>
      </w:r>
      <w:r w:rsidR="008C3F0C" w:rsidRPr="00990A42">
        <w:rPr>
          <w:lang w:eastAsia="zh-CN"/>
        </w:rPr>
        <w:t>PDSCH-to-HARQ_feedback timi</w:t>
      </w:r>
      <w:r w:rsidR="008C3F0C">
        <w:rPr>
          <w:lang w:eastAsia="zh-CN"/>
        </w:rPr>
        <w:t xml:space="preserve">ng field, </w:t>
      </w:r>
      <w:r w:rsidR="008C3F0C">
        <w:t xml:space="preserve">set </w:t>
      </w:r>
      <m:oMath>
        <m:r>
          <w:rPr>
            <w:rFonts w:ascii="Cambria Math" w:hAnsi="Cambria Math"/>
          </w:rPr>
          <m:t>k</m:t>
        </m:r>
      </m:oMath>
      <w:r w:rsidR="008C3F0C">
        <w:t xml:space="preserve"> to the value provided by </w:t>
      </w:r>
      <w:r w:rsidR="008C3F0C" w:rsidRPr="000D579D">
        <w:rPr>
          <w:i/>
        </w:rPr>
        <w:t>dl-DataToUL-ACK</w:t>
      </w:r>
      <w:r w:rsidR="00154CBD">
        <w:rPr>
          <w:i/>
          <w:lang w:val="en-GB"/>
        </w:rPr>
        <w:t xml:space="preserve"> </w:t>
      </w:r>
      <w:r w:rsidR="00154CBD" w:rsidRPr="00A04CDF">
        <w:rPr>
          <w:rFonts w:eastAsia="Batang"/>
          <w:lang w:val="en-US"/>
        </w:rPr>
        <w:t>or</w:t>
      </w:r>
      <w:r w:rsidR="00154CBD" w:rsidRPr="00A04CDF">
        <w:rPr>
          <w:rFonts w:eastAsia="Batang"/>
          <w:i/>
          <w:lang w:val="en-US"/>
        </w:rPr>
        <w:t xml:space="preserve"> dl-DataToUL-ACK-r16</w:t>
      </w:r>
    </w:p>
    <w:p w14:paraId="116C08DB" w14:textId="1B647F4F" w:rsidR="008C3F0C" w:rsidRPr="00990A42" w:rsidRDefault="008C3F0C" w:rsidP="003E315E">
      <w:r w:rsidRPr="00990A42">
        <w:t xml:space="preserve">Set </w:t>
      </w:r>
      <m:oMath>
        <m:r>
          <w:rPr>
            <w:rFonts w:ascii="Cambria Math" w:hAnsi="Cambria Math"/>
          </w:rPr>
          <m:t>h(g)</m:t>
        </m:r>
      </m:oMath>
      <w:r w:rsidRPr="00990A42">
        <w:t xml:space="preserve"> to the value of </w:t>
      </w:r>
      <w:r w:rsidR="00CB4690">
        <w:rPr>
          <w:rFonts w:hint="eastAsia"/>
          <w:lang w:eastAsia="zh-CN"/>
        </w:rPr>
        <w:t xml:space="preserve">the </w:t>
      </w:r>
      <w:r w:rsidR="00CB4690">
        <w:rPr>
          <w:lang w:eastAsia="zh-CN"/>
        </w:rPr>
        <w:t>New feedback indicator</w:t>
      </w:r>
      <w:r w:rsidR="00CB4690" w:rsidRPr="00833FCC">
        <w:t xml:space="preserve"> field in the last DCI format providing the value of </w:t>
      </w:r>
      <m:oMath>
        <m:r>
          <w:rPr>
            <w:rFonts w:ascii="Cambria Math" w:cs="Arial"/>
            <w:lang w:eastAsia="zh-CN"/>
          </w:rPr>
          <m:t>g</m:t>
        </m:r>
      </m:oMath>
      <w:r w:rsidR="00CB4690">
        <w:rPr>
          <w:rFonts w:hint="eastAsia"/>
          <w:lang w:eastAsia="zh-CN"/>
        </w:rPr>
        <w:t xml:space="preserve"> if the New feedback </w:t>
      </w:r>
      <w:r w:rsidR="00CB4690">
        <w:rPr>
          <w:lang w:eastAsia="zh-CN"/>
        </w:rPr>
        <w:t>indicator</w:t>
      </w:r>
      <w:r w:rsidR="00CB4690">
        <w:rPr>
          <w:rFonts w:hint="eastAsia"/>
          <w:lang w:eastAsia="zh-CN"/>
        </w:rPr>
        <w:t xml:space="preserve"> field includes 1 bit, or to the MSB of the</w:t>
      </w:r>
      <w:r>
        <w:t xml:space="preserve"> </w:t>
      </w:r>
      <w:r w:rsidRPr="00990A42">
        <w:rPr>
          <w:bCs/>
          <w:lang w:eastAsia="x-none"/>
        </w:rPr>
        <w:t>New</w:t>
      </w:r>
      <w:r w:rsidR="00AE2368">
        <w:rPr>
          <w:bCs/>
          <w:lang w:eastAsia="x-none"/>
        </w:rPr>
        <w:t xml:space="preserve"> f</w:t>
      </w:r>
      <w:r>
        <w:rPr>
          <w:bCs/>
          <w:lang w:eastAsia="x-none"/>
        </w:rPr>
        <w:t>eedback</w:t>
      </w:r>
      <w:r w:rsidRPr="00990A42">
        <w:rPr>
          <w:bCs/>
          <w:lang w:eastAsia="x-none"/>
        </w:rPr>
        <w:t xml:space="preserve"> indicator</w:t>
      </w:r>
      <w:r w:rsidRPr="00990A42">
        <w:t xml:space="preserve"> field</w:t>
      </w:r>
      <w:r w:rsidR="005736C2" w:rsidRPr="00773CA9">
        <w:t xml:space="preserve"> in the last</w:t>
      </w:r>
      <w:r w:rsidRPr="00990A42">
        <w:t xml:space="preserve"> DCI format</w:t>
      </w:r>
      <w:r>
        <w:t xml:space="preserve"> providing </w:t>
      </w:r>
      <w:r w:rsidR="005736C2">
        <w:t xml:space="preserve">the </w:t>
      </w:r>
      <w:r>
        <w:t xml:space="preserve">value of </w:t>
      </w:r>
      <m:oMath>
        <m:r>
          <w:rPr>
            <w:rFonts w:ascii="Cambria Math" w:cs="Arial"/>
            <w:lang w:eastAsia="zh-CN"/>
          </w:rPr>
          <m:t>g</m:t>
        </m:r>
      </m:oMath>
      <w:r w:rsidR="00CB4690">
        <w:rPr>
          <w:rFonts w:hint="eastAsia"/>
          <w:lang w:eastAsia="zh-CN"/>
        </w:rPr>
        <w:t xml:space="preserve"> if the New feedback </w:t>
      </w:r>
      <w:r w:rsidR="00CB4690">
        <w:rPr>
          <w:lang w:eastAsia="zh-CN"/>
        </w:rPr>
        <w:t>indicator</w:t>
      </w:r>
      <w:r w:rsidR="00CB4690">
        <w:rPr>
          <w:rFonts w:hint="eastAsia"/>
          <w:lang w:eastAsia="zh-CN"/>
        </w:rPr>
        <w:t xml:space="preserve"> field includes 2 bits</w:t>
      </w:r>
    </w:p>
    <w:p w14:paraId="789C640A" w14:textId="7974BF01" w:rsidR="008C3F0C" w:rsidRDefault="008C3F0C" w:rsidP="003E315E">
      <w:r>
        <w:t xml:space="preserve">Set </w:t>
      </w:r>
      <m:oMath>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g+1</m:t>
                </m:r>
              </m:e>
            </m:d>
            <m:r>
              <w:rPr>
                <w:rFonts w:ascii="Cambria Math" w:hAnsi="Cambria Math"/>
              </w:rPr>
              <m:t>mod2</m:t>
            </m:r>
          </m:sup>
        </m:sSup>
        <m:r>
          <w:rPr>
            <w:rFonts w:ascii="Cambria Math" w:hAnsi="Cambria Math"/>
          </w:rPr>
          <m:t>(g)</m:t>
        </m:r>
      </m:oMath>
      <w:r>
        <w:rPr>
          <w:lang w:eastAsia="zh-CN"/>
        </w:rPr>
        <w:t xml:space="preserve"> to </w:t>
      </w:r>
      <w:r w:rsidRPr="00990A42">
        <w:t xml:space="preserve">a </w:t>
      </w:r>
      <w:r>
        <w:t xml:space="preserve">value of </w:t>
      </w:r>
      <w:r w:rsidR="00CB4690">
        <w:rPr>
          <w:rFonts w:hint="eastAsia"/>
          <w:lang w:eastAsia="zh-CN"/>
        </w:rPr>
        <w:t>the LSB of the</w:t>
      </w:r>
      <w:r>
        <w:t xml:space="preserve"> </w:t>
      </w:r>
      <w:r w:rsidRPr="00990A42">
        <w:rPr>
          <w:bCs/>
          <w:lang w:eastAsia="x-none"/>
        </w:rPr>
        <w:t>New</w:t>
      </w:r>
      <w:r w:rsidR="00AE2368">
        <w:rPr>
          <w:bCs/>
          <w:lang w:eastAsia="x-none"/>
        </w:rPr>
        <w:t xml:space="preserve"> f</w:t>
      </w:r>
      <w:r>
        <w:rPr>
          <w:bCs/>
          <w:lang w:eastAsia="x-none"/>
        </w:rPr>
        <w:t>eedback</w:t>
      </w:r>
      <w:r w:rsidRPr="00990A42">
        <w:rPr>
          <w:bCs/>
          <w:lang w:eastAsia="x-none"/>
        </w:rPr>
        <w:t xml:space="preserve"> indicator</w:t>
      </w:r>
      <w:r w:rsidRPr="00990A42">
        <w:t xml:space="preserve"> field</w:t>
      </w:r>
      <w:r w:rsidR="005736C2" w:rsidRPr="00773CA9">
        <w:t xml:space="preserve"> in the last</w:t>
      </w:r>
      <w:r w:rsidRPr="00990A42">
        <w:t xml:space="preserve"> DCI format</w:t>
      </w:r>
      <w:r>
        <w:t xml:space="preserve"> providing </w:t>
      </w:r>
      <w:r w:rsidR="005736C2">
        <w:t xml:space="preserve">the </w:t>
      </w:r>
      <w:r>
        <w:t xml:space="preserve">value of </w:t>
      </w:r>
      <m:oMath>
        <m:r>
          <w:rPr>
            <w:rFonts w:ascii="Cambria Math" w:cs="Arial"/>
            <w:lang w:eastAsia="zh-CN"/>
          </w:rPr>
          <m:t>g</m:t>
        </m:r>
      </m:oMath>
      <w:r w:rsidR="00CB4690" w:rsidRPr="00CB4690">
        <w:rPr>
          <w:rFonts w:hint="eastAsia"/>
          <w:lang w:eastAsia="zh-CN"/>
        </w:rPr>
        <w:t xml:space="preserve"> </w:t>
      </w:r>
      <w:r w:rsidR="00CB4690">
        <w:rPr>
          <w:rFonts w:hint="eastAsia"/>
          <w:lang w:eastAsia="zh-CN"/>
        </w:rPr>
        <w:t xml:space="preserve">if the New feedback </w:t>
      </w:r>
      <w:r w:rsidR="00CB4690">
        <w:rPr>
          <w:lang w:eastAsia="zh-CN"/>
        </w:rPr>
        <w:t>indicator</w:t>
      </w:r>
      <w:r w:rsidR="00CB4690">
        <w:rPr>
          <w:rFonts w:hint="eastAsia"/>
          <w:lang w:eastAsia="zh-CN"/>
        </w:rPr>
        <w:t xml:space="preserve"> field includes 2 bits, or to </w:t>
      </w:r>
      <m:oMath>
        <m:r>
          <w:rPr>
            <w:rFonts w:ascii="Cambria Math" w:hAnsi="Cambria Math" w:cs="Arial"/>
          </w:rPr>
          <m:t>∅</m:t>
        </m:r>
      </m:oMath>
      <w:r w:rsidR="00CB4690">
        <w:rPr>
          <w:rFonts w:hint="eastAsia"/>
          <w:lang w:eastAsia="zh-CN"/>
        </w:rPr>
        <w:t xml:space="preserve"> otherwise</w:t>
      </w:r>
    </w:p>
    <w:p w14:paraId="070EA070" w14:textId="7B938D35" w:rsidR="005736C2" w:rsidRPr="00773CA9" w:rsidRDefault="008C3F0C" w:rsidP="005736C2">
      <w:pPr>
        <w:rPr>
          <w:lang w:eastAsia="zh-CN"/>
        </w:rPr>
      </w:pPr>
      <w:r>
        <w:t xml:space="preserve">Set </w:t>
      </w:r>
      <m:oMath>
        <m:sSubSup>
          <m:sSubSupPr>
            <m:ctrlPr>
              <w:rPr>
                <w:rFonts w:ascii="Cambria Math" w:hAnsi="Cambria Math"/>
                <w:i/>
              </w:rPr>
            </m:ctrlPr>
          </m:sSubSupPr>
          <m:e>
            <m:r>
              <w:rPr>
                <w:rFonts w:ascii="Cambria Math" w:hAnsi="Cambria Math"/>
              </w:rPr>
              <m:t>V</m:t>
            </m:r>
          </m:e>
          <m:sub>
            <m:r>
              <w:rPr>
                <w:rFonts w:ascii="Cambria Math" w:hAnsi="Cambria Math"/>
              </w:rPr>
              <m:t>DAI</m:t>
            </m:r>
          </m:sub>
          <m:sup>
            <m:d>
              <m:dPr>
                <m:ctrlPr>
                  <w:rPr>
                    <w:rFonts w:ascii="Cambria Math" w:hAnsi="Cambria Math"/>
                    <w:i/>
                  </w:rPr>
                </m:ctrlPr>
              </m:dPr>
              <m:e>
                <m:r>
                  <w:rPr>
                    <w:rFonts w:ascii="Cambria Math" w:hAnsi="Cambria Math"/>
                  </w:rPr>
                  <m:t>g+1</m:t>
                </m:r>
              </m:e>
            </m:d>
            <m:r>
              <w:rPr>
                <w:rFonts w:ascii="Cambria Math" w:hAnsi="Cambria Math"/>
              </w:rPr>
              <m:t>mod2</m:t>
            </m:r>
          </m:sup>
        </m:sSubSup>
      </m:oMath>
      <w:r>
        <w:rPr>
          <w:lang w:eastAsia="zh-CN"/>
        </w:rPr>
        <w:t xml:space="preserve"> to the value of a total DAI field</w:t>
      </w:r>
      <w:r w:rsidR="004C257D" w:rsidRPr="007076FF">
        <w:rPr>
          <w:lang w:eastAsia="zh-CN"/>
        </w:rPr>
        <w:t xml:space="preserve"> </w:t>
      </w:r>
      <w:r w:rsidR="004C257D" w:rsidRPr="007076FF">
        <w:rPr>
          <w:rFonts w:eastAsiaTheme="minorEastAsia"/>
          <w:lang w:eastAsia="zh-CN"/>
        </w:rPr>
        <w:t xml:space="preserve">for group </w:t>
      </w:r>
      <m:oMath>
        <m:d>
          <m:dPr>
            <m:ctrlPr>
              <w:rPr>
                <w:rFonts w:ascii="Cambria Math" w:hAnsi="Cambria Math"/>
                <w:i/>
                <w:lang w:eastAsia="en-GB"/>
              </w:rPr>
            </m:ctrlPr>
          </m:dPr>
          <m:e>
            <m:r>
              <w:rPr>
                <w:rFonts w:ascii="Cambria Math" w:hAnsi="Cambria Math"/>
                <w:lang w:eastAsia="en-GB"/>
              </w:rPr>
              <m:t>g+1</m:t>
            </m:r>
          </m:e>
        </m:d>
        <m:r>
          <w:rPr>
            <w:rFonts w:ascii="Cambria Math" w:hAnsi="Cambria Math"/>
            <w:lang w:eastAsia="en-GB"/>
          </w:rPr>
          <m:t>mod2</m:t>
        </m:r>
      </m:oMath>
      <w:r w:rsidR="005736C2" w:rsidRPr="00773CA9">
        <w:t xml:space="preserve"> in the last</w:t>
      </w:r>
      <w:r w:rsidRPr="00990A42">
        <w:t xml:space="preserve"> DCI format</w:t>
      </w:r>
      <w:r>
        <w:t xml:space="preserve"> providing </w:t>
      </w:r>
      <w:r w:rsidR="005736C2">
        <w:t xml:space="preserve">the </w:t>
      </w:r>
      <w:r>
        <w:t xml:space="preserve">value of </w:t>
      </w:r>
      <m:oMath>
        <m:r>
          <w:rPr>
            <w:rFonts w:ascii="Cambria Math" w:cs="Arial"/>
            <w:lang w:eastAsia="zh-CN"/>
          </w:rPr>
          <m:t>g</m:t>
        </m:r>
      </m:oMath>
    </w:p>
    <w:p w14:paraId="22B6D376" w14:textId="3E2D9AFA" w:rsidR="008C3F0C" w:rsidRPr="005736C2" w:rsidRDefault="005736C2" w:rsidP="00AD2C28">
      <w:pPr>
        <w:pStyle w:val="B1"/>
        <w:rPr>
          <w:lang w:eastAsia="zh-CN"/>
        </w:rPr>
      </w:pPr>
      <w:r w:rsidRPr="00773CA9">
        <w:rPr>
          <w:rFonts w:cs="Arial"/>
          <w:lang w:eastAsia="zh-CN"/>
        </w:rPr>
        <w:t>-</w:t>
      </w:r>
      <w:r w:rsidRPr="00773CA9">
        <w:rPr>
          <w:rFonts w:cs="Arial"/>
          <w:lang w:eastAsia="zh-CN"/>
        </w:rPr>
        <w:tab/>
      </w:r>
      <w:r w:rsidRPr="00773CA9">
        <w:rPr>
          <w:lang w:val="en-GB" w:eastAsia="zh-CN"/>
        </w:rPr>
        <w:t xml:space="preserve">If </w:t>
      </w:r>
      <m:oMath>
        <m:r>
          <w:rPr>
            <w:rFonts w:ascii="Cambria Math" w:hAnsi="Cambria Math"/>
            <w:lang w:val="en-GB" w:eastAsia="zh-CN"/>
          </w:rPr>
          <m:t>g=1</m:t>
        </m:r>
      </m:oMath>
      <w:r w:rsidRPr="00773CA9">
        <w:rPr>
          <w:lang w:val="en-GB" w:eastAsia="zh-CN"/>
        </w:rPr>
        <w:t xml:space="preserve"> and the UE detects a DCI format that does not include </w:t>
      </w:r>
      <w:r w:rsidRPr="00773CA9">
        <w:rPr>
          <w:rFonts w:ascii="Times" w:eastAsia="Batang" w:hAnsi="Times"/>
          <w:lang w:val="en-GB"/>
        </w:rPr>
        <w:t xml:space="preserve">a PDSCH group index field in a PDCCH reception that is after the PDCCH reception for the last DCI format detection providing the value of </w:t>
      </w:r>
      <m:oMath>
        <m:r>
          <w:rPr>
            <w:rFonts w:ascii="Cambria Math" w:cs="Arial"/>
            <w:lang w:eastAsia="zh-CN"/>
          </w:rPr>
          <m:t>g</m:t>
        </m:r>
      </m:oMath>
      <w:r w:rsidRPr="00773CA9">
        <w:rPr>
          <w:rFonts w:ascii="Times" w:eastAsia="Batang" w:hAnsi="Times"/>
          <w:lang w:eastAsia="zh-CN"/>
        </w:rPr>
        <w:t xml:space="preserve"> and </w:t>
      </w:r>
      <w:r w:rsidRPr="00773CA9">
        <w:rPr>
          <w:rFonts w:ascii="Times" w:eastAsia="Batang" w:hAnsi="Times"/>
          <w:lang w:val="en-US" w:eastAsia="zh-CN"/>
        </w:rPr>
        <w:t>indicating</w:t>
      </w:r>
      <w:r w:rsidRPr="00773CA9">
        <w:rPr>
          <w:rFonts w:ascii="Times" w:eastAsia="Batang" w:hAnsi="Times"/>
          <w:lang w:eastAsia="zh-CN"/>
        </w:rPr>
        <w:t xml:space="preserve"> </w:t>
      </w:r>
      <w:r w:rsidRPr="00773CA9">
        <w:rPr>
          <w:rFonts w:ascii="Times" w:eastAsia="Batang" w:hAnsi="Times"/>
          <w:lang w:val="en-US" w:eastAsia="zh-CN"/>
        </w:rPr>
        <w:t xml:space="preserve">a </w:t>
      </w:r>
      <w:r w:rsidRPr="00773CA9">
        <w:rPr>
          <w:rFonts w:ascii="Times" w:eastAsia="Batang" w:hAnsi="Times"/>
          <w:lang w:eastAsia="zh-CN"/>
        </w:rPr>
        <w:t xml:space="preserve">same slot for </w:t>
      </w:r>
      <w:r w:rsidRPr="00773CA9">
        <w:rPr>
          <w:rFonts w:ascii="Times" w:eastAsia="Batang" w:hAnsi="Times"/>
          <w:lang w:val="en-US" w:eastAsia="zh-CN"/>
        </w:rPr>
        <w:t xml:space="preserve">a </w:t>
      </w:r>
      <w:r w:rsidRPr="00773CA9">
        <w:rPr>
          <w:rFonts w:ascii="Times" w:eastAsia="Batang" w:hAnsi="Times"/>
          <w:lang w:eastAsia="zh-CN"/>
        </w:rPr>
        <w:t>PUCCH transmission occasion</w:t>
      </w:r>
      <w:r w:rsidRPr="00773CA9">
        <w:rPr>
          <w:rFonts w:ascii="Times" w:eastAsia="Batang" w:hAnsi="Times"/>
          <w:lang w:val="en-GB"/>
        </w:rPr>
        <w:t xml:space="preserve">, set </w:t>
      </w:r>
      <m:oMath>
        <m:sSubSup>
          <m:sSubSupPr>
            <m:ctrlPr>
              <w:rPr>
                <w:rFonts w:ascii="Cambria Math" w:eastAsia="Batang" w:hAnsi="Cambria Math"/>
                <w:i/>
                <w:lang w:val="en-GB"/>
              </w:rPr>
            </m:ctrlPr>
          </m:sSubSupPr>
          <m:e>
            <m:r>
              <w:rPr>
                <w:rFonts w:ascii="Cambria Math" w:eastAsia="Batang" w:hAnsi="Cambria Math"/>
                <w:lang w:val="en-GB"/>
              </w:rPr>
              <m:t>V</m:t>
            </m:r>
          </m:e>
          <m:sub>
            <m:r>
              <m:rPr>
                <m:sty m:val="p"/>
              </m:rPr>
              <w:rPr>
                <w:rFonts w:ascii="Cambria Math" w:eastAsia="Batang" w:hAnsi="Cambria Math"/>
                <w:lang w:val="en-GB"/>
              </w:rPr>
              <m:t>DAI</m:t>
            </m:r>
          </m:sub>
          <m:sup>
            <m:d>
              <m:dPr>
                <m:ctrlPr>
                  <w:rPr>
                    <w:rFonts w:ascii="Cambria Math" w:eastAsia="Batang" w:hAnsi="Cambria Math"/>
                    <w:i/>
                    <w:lang w:val="en-GB"/>
                  </w:rPr>
                </m:ctrlPr>
              </m:dPr>
              <m:e>
                <m:r>
                  <w:rPr>
                    <w:rFonts w:ascii="Cambria Math" w:eastAsia="Batang" w:hAnsi="Cambria Math"/>
                    <w:lang w:val="en-GB"/>
                  </w:rPr>
                  <m:t>g+1</m:t>
                </m:r>
              </m:e>
            </m:d>
            <m:r>
              <w:rPr>
                <w:rFonts w:ascii="Cambria Math" w:eastAsia="Batang" w:hAnsi="Cambria Math"/>
                <w:lang w:val="en-GB"/>
              </w:rPr>
              <m:t>mod2</m:t>
            </m:r>
          </m:sup>
        </m:sSubSup>
        <m:r>
          <w:rPr>
            <w:rFonts w:ascii="Cambria Math" w:hAnsi="Cambria Math" w:cs="Arial"/>
            <w:lang w:val="en-GB"/>
          </w:rPr>
          <m:t>=∅</m:t>
        </m:r>
      </m:oMath>
    </w:p>
    <w:p w14:paraId="3DAC28E5" w14:textId="15297C57" w:rsidR="0008789E" w:rsidRPr="00773CA9" w:rsidRDefault="008C3F0C" w:rsidP="0008789E">
      <w:r w:rsidRPr="00990A42">
        <w:t xml:space="preserve">Set </w:t>
      </w:r>
      <m:oMath>
        <m:r>
          <w:rPr>
            <w:rFonts w:ascii="Cambria Math" w:hAnsi="Cambria Math"/>
          </w:rPr>
          <m:t>q</m:t>
        </m:r>
      </m:oMath>
      <w:r w:rsidRPr="00990A42">
        <w:t xml:space="preserve"> to the value of a </w:t>
      </w:r>
      <w:r w:rsidR="004C257D">
        <w:rPr>
          <w:lang w:eastAsia="zh-CN"/>
        </w:rPr>
        <w:t>n</w:t>
      </w:r>
      <w:r w:rsidR="004C257D" w:rsidRPr="0007092C">
        <w:rPr>
          <w:lang w:eastAsia="zh-CN"/>
        </w:rPr>
        <w:t>umber of requested PDSCH group(s)</w:t>
      </w:r>
      <w:r w:rsidR="004C257D" w:rsidRPr="0007092C">
        <w:t xml:space="preserve"> </w:t>
      </w:r>
      <w:r>
        <w:t>field</w:t>
      </w:r>
      <w:r w:rsidR="0008789E">
        <w:t xml:space="preserve"> </w:t>
      </w:r>
      <w:r w:rsidR="0008789E" w:rsidRPr="00773CA9">
        <w:t xml:space="preserve">in the last DCI format providing the value of </w:t>
      </w:r>
      <w:r w:rsidR="0008789E" w:rsidRPr="00773CA9">
        <w:rPr>
          <w:i/>
        </w:rPr>
        <w:t>g</w:t>
      </w:r>
    </w:p>
    <w:p w14:paraId="10A9B8CE" w14:textId="77777777" w:rsidR="0008789E" w:rsidRPr="00773CA9" w:rsidRDefault="0008789E" w:rsidP="0008789E">
      <w:r w:rsidRPr="00773CA9">
        <w:t>A UE does not expect to detect DCI formats with respective</w:t>
      </w:r>
    </w:p>
    <w:p w14:paraId="5A23619E" w14:textId="77777777" w:rsidR="0008789E" w:rsidRPr="00773CA9" w:rsidRDefault="0008789E" w:rsidP="0008789E">
      <w:pPr>
        <w:pStyle w:val="B1"/>
        <w:rPr>
          <w:lang w:eastAsia="zh-CN"/>
        </w:rPr>
      </w:pPr>
      <w:r w:rsidRPr="00773CA9">
        <w:rPr>
          <w:rFonts w:cs="Arial"/>
          <w:lang w:eastAsia="zh-CN"/>
        </w:rPr>
        <w:t>-</w:t>
      </w:r>
      <w:r w:rsidRPr="00773CA9">
        <w:rPr>
          <w:rFonts w:cs="Arial"/>
          <w:lang w:eastAsia="zh-CN"/>
        </w:rPr>
        <w:tab/>
      </w:r>
      <w:r w:rsidRPr="00773CA9">
        <w:rPr>
          <w:lang w:val="en-US"/>
        </w:rPr>
        <w:t>N</w:t>
      </w:r>
      <w:r w:rsidRPr="00773CA9">
        <w:rPr>
          <w:lang w:eastAsia="zh-CN"/>
        </w:rPr>
        <w:t>umber of requested PDSCH group(s)</w:t>
      </w:r>
      <w:r w:rsidRPr="00773CA9">
        <w:t xml:space="preserve"> field</w:t>
      </w:r>
      <w:r w:rsidRPr="00773CA9">
        <w:rPr>
          <w:lang w:val="en-US"/>
        </w:rPr>
        <w:t xml:space="preserve"> values of 0,</w:t>
      </w:r>
      <w:r w:rsidRPr="00773CA9">
        <w:rPr>
          <w:lang w:eastAsia="zh-CN"/>
        </w:rPr>
        <w:t xml:space="preserve"> and </w:t>
      </w:r>
    </w:p>
    <w:p w14:paraId="1A64DFBD" w14:textId="77777777" w:rsidR="0008789E" w:rsidRPr="00773CA9" w:rsidRDefault="0008789E">
      <w:pPr>
        <w:pStyle w:val="B1"/>
        <w:rPr>
          <w:lang w:eastAsia="zh-CN"/>
        </w:rPr>
      </w:pPr>
      <w:r w:rsidRPr="00773CA9">
        <w:rPr>
          <w:rFonts w:cs="Arial"/>
          <w:lang w:eastAsia="zh-CN"/>
        </w:rPr>
        <w:t>-</w:t>
      </w:r>
      <w:r w:rsidRPr="00773CA9">
        <w:rPr>
          <w:rFonts w:cs="Arial"/>
          <w:lang w:eastAsia="zh-CN"/>
        </w:rPr>
        <w:tab/>
      </w:r>
      <w:r w:rsidRPr="00773CA9">
        <w:rPr>
          <w:lang w:eastAsia="zh-CN"/>
        </w:rPr>
        <w:t>PDSCH-to-HARQ_feedback timing field values that indicate a same PUCCH transmission occasion</w:t>
      </w:r>
      <w:r w:rsidRPr="00773CA9">
        <w:rPr>
          <w:lang w:val="en-US" w:eastAsia="zh-CN"/>
        </w:rPr>
        <w:t>,</w:t>
      </w:r>
      <w:r w:rsidRPr="00773CA9">
        <w:rPr>
          <w:lang w:eastAsia="zh-CN"/>
        </w:rPr>
        <w:t xml:space="preserve"> and </w:t>
      </w:r>
    </w:p>
    <w:p w14:paraId="5ADB2B36" w14:textId="669D1CD1" w:rsidR="008C3F0C" w:rsidRPr="00990A42" w:rsidRDefault="0008789E" w:rsidP="00AD2C28">
      <w:pPr>
        <w:pStyle w:val="B1"/>
      </w:pPr>
      <w:r w:rsidRPr="00773CA9">
        <w:rPr>
          <w:rFonts w:cs="Arial"/>
          <w:lang w:eastAsia="zh-CN"/>
        </w:rPr>
        <w:t>-</w:t>
      </w:r>
      <w:r w:rsidRPr="00773CA9">
        <w:rPr>
          <w:rFonts w:cs="Arial"/>
          <w:lang w:eastAsia="zh-CN"/>
        </w:rPr>
        <w:tab/>
      </w:r>
      <w:r w:rsidRPr="00773CA9">
        <w:rPr>
          <w:lang w:eastAsia="zh-CN"/>
        </w:rPr>
        <w:t xml:space="preserve">PDSCH group index field </w:t>
      </w:r>
      <w:r w:rsidRPr="00773CA9">
        <w:rPr>
          <w:lang w:val="en-US" w:eastAsia="zh-CN"/>
        </w:rPr>
        <w:t>values that are</w:t>
      </w:r>
      <w:r w:rsidRPr="00773CA9">
        <w:rPr>
          <w:lang w:eastAsia="zh-CN"/>
        </w:rPr>
        <w:t xml:space="preserve"> different</w:t>
      </w:r>
    </w:p>
    <w:p w14:paraId="25158C30" w14:textId="524981B3" w:rsidR="008C3F0C" w:rsidRDefault="008C3F0C">
      <w:r w:rsidRPr="00990A42">
        <w:t xml:space="preserve">Generate </w:t>
      </w:r>
      <w:r>
        <w:t xml:space="preserve">first </w:t>
      </w:r>
      <w:r w:rsidRPr="00990A42">
        <w:t>HARQ-ACK information</w:t>
      </w:r>
      <w:r>
        <w:t xml:space="preserve"> for </w:t>
      </w:r>
      <w:r w:rsidRPr="00990A42">
        <w:t xml:space="preserve">PUCCH transmission occasion </w:t>
      </w:r>
      <m:oMath>
        <m:r>
          <w:rPr>
            <w:rFonts w:ascii="Cambria Math" w:hAnsi="Cambria Math"/>
          </w:rPr>
          <m:t>i(g)</m:t>
        </m:r>
      </m:oMath>
      <w:r>
        <w:t xml:space="preserve"> in a slot, </w:t>
      </w:r>
      <w:r w:rsidRPr="00990A42">
        <w:t>as d</w:t>
      </w:r>
      <w:r>
        <w:t xml:space="preserve">escribed </w:t>
      </w:r>
      <w:r w:rsidR="006F5F9E">
        <w:t>in clause</w:t>
      </w:r>
      <w:r>
        <w:t xml:space="preserve"> 9.1.3.1</w:t>
      </w:r>
      <w:r w:rsidRPr="00990A42">
        <w:t xml:space="preserve">, </w:t>
      </w:r>
      <w:r>
        <w:t>where</w:t>
      </w:r>
    </w:p>
    <w:p w14:paraId="46AFD18C" w14:textId="7FD1DB81" w:rsidR="008C3F0C" w:rsidRDefault="008C3F0C" w:rsidP="008C3F0C">
      <w:pPr>
        <w:pStyle w:val="B1"/>
        <w:rPr>
          <w:lang w:eastAsia="zh-CN"/>
        </w:rPr>
      </w:pPr>
      <w:r w:rsidRPr="00990A42">
        <w:rPr>
          <w:rFonts w:cs="Arial"/>
          <w:lang w:eastAsia="zh-CN"/>
        </w:rPr>
        <w:t>-</w:t>
      </w:r>
      <w:r w:rsidRPr="00990A42">
        <w:rPr>
          <w:rFonts w:cs="Arial"/>
          <w:lang w:eastAsia="zh-CN"/>
        </w:rPr>
        <w:tab/>
      </w:r>
      <w:r>
        <w:rPr>
          <w:rFonts w:cs="Arial"/>
          <w:lang w:eastAsia="zh-CN"/>
        </w:rPr>
        <w:t xml:space="preserve">the first </w:t>
      </w:r>
      <w:r>
        <w:t xml:space="preserve">HARQ-ACK information corresponds only to detections of DCI formats each providing a same value of </w:t>
      </w:r>
      <m:oMath>
        <m:r>
          <w:rPr>
            <w:rFonts w:ascii="Cambria Math" w:hAnsi="Cambria Math"/>
          </w:rPr>
          <m:t>g</m:t>
        </m:r>
      </m:oMath>
      <w:r>
        <w:t xml:space="preserve">, of </w:t>
      </w:r>
      <m:oMath>
        <m:r>
          <w:rPr>
            <w:rFonts w:ascii="Cambria Math" w:hAnsi="Cambria Math"/>
          </w:rPr>
          <m:t>h(g)</m:t>
        </m:r>
      </m:oMath>
      <w:r>
        <w:t xml:space="preserve">, </w:t>
      </w:r>
      <w:r w:rsidR="0008789E" w:rsidRPr="00773CA9">
        <w:t xml:space="preserve">and to detections of DCI formats </w:t>
      </w:r>
      <w:r w:rsidR="0008789E" w:rsidRPr="00773CA9">
        <w:rPr>
          <w:lang w:val="en-US"/>
        </w:rPr>
        <w:t xml:space="preserve">that do </w:t>
      </w:r>
      <w:r w:rsidR="0008789E" w:rsidRPr="00773CA9">
        <w:t>not provid</w:t>
      </w:r>
      <w:r w:rsidR="0008789E" w:rsidRPr="00773CA9">
        <w:rPr>
          <w:lang w:val="en-US"/>
        </w:rPr>
        <w:t>e</w:t>
      </w:r>
      <w:r w:rsidR="0008789E" w:rsidRPr="00773CA9">
        <w:t xml:space="preserve"> a value of </w:t>
      </w:r>
      <m:oMath>
        <m:r>
          <w:rPr>
            <w:rFonts w:ascii="Cambria Math" w:hAnsi="Cambria Math"/>
          </w:rPr>
          <m:t>g</m:t>
        </m:r>
      </m:oMath>
      <w:r w:rsidR="0008789E" w:rsidRPr="00773CA9">
        <w:rPr>
          <w:lang w:val="en-US"/>
        </w:rPr>
        <w:t xml:space="preserve"> and</w:t>
      </w:r>
      <w:r w:rsidR="0008789E" w:rsidRPr="00773CA9">
        <w:t xml:space="preserve"> </w:t>
      </w:r>
      <m:oMath>
        <m:r>
          <w:rPr>
            <w:rFonts w:ascii="Cambria Math" w:hAnsi="Cambria Math"/>
          </w:rPr>
          <m:t>h(g)</m:t>
        </m:r>
      </m:oMath>
      <w:r w:rsidR="0008789E" w:rsidRPr="00773CA9">
        <w:t xml:space="preserve"> </w:t>
      </w:r>
      <w:r w:rsidR="0008789E" w:rsidRPr="00773CA9">
        <w:rPr>
          <w:lang w:val="en-US"/>
        </w:rPr>
        <w:t>and</w:t>
      </w:r>
      <w:r w:rsidR="0008789E" w:rsidRPr="00773CA9">
        <w:t xml:space="preserve"> </w:t>
      </w:r>
      <w:r w:rsidR="0008789E" w:rsidRPr="00773CA9">
        <w:rPr>
          <w:lang w:val="en-US"/>
        </w:rPr>
        <w:t xml:space="preserve">are </w:t>
      </w:r>
      <w:r w:rsidR="0008789E" w:rsidRPr="00773CA9">
        <w:t xml:space="preserve">associated with a same value of </w:t>
      </w:r>
      <m:oMath>
        <m:r>
          <w:rPr>
            <w:rFonts w:ascii="Cambria Math" w:hAnsi="Cambria Math"/>
          </w:rPr>
          <m:t>g</m:t>
        </m:r>
      </m:oMath>
      <w:r w:rsidR="0008789E" w:rsidRPr="00773CA9">
        <w:t xml:space="preserve">, of </w:t>
      </w:r>
      <m:oMath>
        <m:r>
          <w:rPr>
            <w:rFonts w:ascii="Cambria Math" w:hAnsi="Cambria Math"/>
          </w:rPr>
          <m:t>h(g)</m:t>
        </m:r>
      </m:oMath>
      <w:r w:rsidR="0008789E" w:rsidRPr="00773CA9">
        <w:t>,</w:t>
      </w:r>
      <w:r w:rsidR="0008789E" w:rsidRPr="00773CA9">
        <w:rPr>
          <w:lang w:val="en-US"/>
        </w:rPr>
        <w:t xml:space="preserve"> </w:t>
      </w:r>
      <w:r>
        <w:t xml:space="preserve">and at least one of the DCI formats providing a value of </w:t>
      </w:r>
      <m:oMath>
        <m:r>
          <w:rPr>
            <w:rFonts w:ascii="Cambria Math" w:hAnsi="Cambria Math"/>
          </w:rPr>
          <m:t>k</m:t>
        </m:r>
      </m:oMath>
      <w:r>
        <w:rPr>
          <w:lang w:eastAsia="zh-CN"/>
        </w:rPr>
        <w:t xml:space="preserve"> indicating the slot</w:t>
      </w:r>
    </w:p>
    <w:p w14:paraId="6206C5F8" w14:textId="77777777" w:rsidR="008C3F0C" w:rsidRDefault="008C3F0C" w:rsidP="008C3F0C">
      <w:pPr>
        <w:pStyle w:val="B1"/>
        <w:rPr>
          <w:lang w:eastAsia="zh-CN"/>
        </w:rPr>
      </w:pPr>
      <w:r w:rsidRPr="00990A42">
        <w:rPr>
          <w:rFonts w:cs="Arial"/>
          <w:lang w:eastAsia="zh-CN"/>
        </w:rPr>
        <w:t>-</w:t>
      </w:r>
      <w:r w:rsidRPr="00990A42">
        <w:rPr>
          <w:rFonts w:cs="Arial"/>
          <w:lang w:eastAsia="zh-CN"/>
        </w:rPr>
        <w:tab/>
      </w:r>
      <w:r>
        <w:rPr>
          <w:rFonts w:cs="Arial"/>
          <w:lang w:eastAsia="zh-CN"/>
        </w:rPr>
        <w:t xml:space="preserve">at least one of the DCI formats provides a </w:t>
      </w:r>
      <m:oMath>
        <m:r>
          <w:rPr>
            <w:rFonts w:ascii="Cambria Math" w:hAnsi="Cambria Math"/>
          </w:rPr>
          <m:t>h(g)</m:t>
        </m:r>
      </m:oMath>
      <w:r>
        <w:rPr>
          <w:rFonts w:cs="Arial"/>
        </w:rPr>
        <w:t xml:space="preserve"> value</w:t>
      </w:r>
    </w:p>
    <w:p w14:paraId="38E59A54" w14:textId="1F87A0AC" w:rsidR="008C3F0C" w:rsidRDefault="008C3F0C" w:rsidP="008C3F0C">
      <w:pPr>
        <w:pStyle w:val="B1"/>
      </w:pPr>
      <w:r w:rsidRPr="00990A42">
        <w:rPr>
          <w:rFonts w:cs="Arial"/>
          <w:lang w:eastAsia="zh-CN"/>
        </w:rPr>
        <w:t>-</w:t>
      </w:r>
      <w:r w:rsidRPr="00990A42">
        <w:rPr>
          <w:rFonts w:cs="Arial"/>
          <w:lang w:eastAsia="zh-CN"/>
        </w:rPr>
        <w:tab/>
      </w:r>
      <m:oMath>
        <m:r>
          <w:rPr>
            <w:rFonts w:ascii="Cambria Math" w:hAnsi="Cambria Math"/>
          </w:rPr>
          <m:t>m=0</m:t>
        </m:r>
      </m:oMath>
      <w:r>
        <w:t xml:space="preserve"> corresponds to a PDCCH monitoring occasion, where the UE detects a DCI format that provides a value of </w:t>
      </w:r>
      <m:oMath>
        <m:r>
          <w:rPr>
            <w:rFonts w:ascii="Cambria Math" w:hAnsi="Cambria Math"/>
          </w:rPr>
          <m:t>g</m:t>
        </m:r>
      </m:oMath>
      <w:r w:rsidR="0008789E" w:rsidRPr="00773CA9">
        <w:rPr>
          <w:lang w:val="en-US"/>
        </w:rPr>
        <w:t xml:space="preserve"> </w:t>
      </w:r>
      <w:r w:rsidR="0008789E" w:rsidRPr="00773CA9">
        <w:rPr>
          <w:rFonts w:hint="eastAsia"/>
        </w:rPr>
        <w:t xml:space="preserve">or is associated with a value of </w:t>
      </w:r>
      <m:oMath>
        <m:r>
          <w:rPr>
            <w:rFonts w:ascii="Cambria Math" w:hAnsi="Cambria Math"/>
          </w:rPr>
          <m:t>g</m:t>
        </m:r>
      </m:oMath>
      <w:r>
        <w:t xml:space="preserve">, that is </w:t>
      </w:r>
      <w:r>
        <w:rPr>
          <w:rFonts w:cs="Arial"/>
          <w:lang w:eastAsia="zh-CN"/>
        </w:rPr>
        <w:t xml:space="preserve">the first PDCCH monitoring occasion </w:t>
      </w:r>
      <w:r>
        <w:t xml:space="preserve">after a PDCCH monitoring occasion where the UE detects another DCI format that provides a value different than </w:t>
      </w:r>
      <m:oMath>
        <m:r>
          <w:rPr>
            <w:rFonts w:ascii="Cambria Math" w:hAnsi="Cambria Math"/>
          </w:rPr>
          <m:t>h(g)</m:t>
        </m:r>
      </m:oMath>
    </w:p>
    <w:p w14:paraId="415A3CC0" w14:textId="7C85AAA2" w:rsidR="0008789E" w:rsidRPr="00773CA9" w:rsidRDefault="0008789E" w:rsidP="0008789E">
      <w:r w:rsidRPr="00773CA9">
        <w:lastRenderedPageBreak/>
        <w:t xml:space="preserve">The generation of the first HARQ-ACK information for PUCCH transmission occasion </w:t>
      </w:r>
      <m:oMath>
        <m:r>
          <w:rPr>
            <w:rFonts w:ascii="Cambria Math" w:hAnsi="Cambria Math"/>
          </w:rPr>
          <m:t>i</m:t>
        </m:r>
        <m:d>
          <m:dPr>
            <m:ctrlPr>
              <w:rPr>
                <w:rFonts w:ascii="Cambria Math" w:hAnsi="Cambria Math"/>
                <w:i/>
              </w:rPr>
            </m:ctrlPr>
          </m:dPr>
          <m:e>
            <m:r>
              <w:rPr>
                <w:rFonts w:ascii="Cambria Math" w:hAnsi="Cambria Math"/>
              </w:rPr>
              <m:t>g</m:t>
            </m:r>
          </m:e>
        </m:d>
      </m:oMath>
      <w:r w:rsidRPr="00773CA9">
        <w:rPr>
          <w:rFonts w:hint="eastAsia"/>
        </w:rPr>
        <w:t xml:space="preserve"> </w:t>
      </w:r>
      <w:r w:rsidRPr="00773CA9">
        <w:t xml:space="preserve">in a slot, as described </w:t>
      </w:r>
      <w:r w:rsidR="006F5F9E">
        <w:t>in clause</w:t>
      </w:r>
      <w:r w:rsidRPr="00773CA9">
        <w:t xml:space="preserve"> 9.1.3.1, excludes the generation of HARQ-ACK information for SPS PDSCH receptions.</w:t>
      </w:r>
    </w:p>
    <w:p w14:paraId="5B5E5D2F" w14:textId="4A58C73E" w:rsidR="008C3F0C" w:rsidRDefault="008C3F0C" w:rsidP="008C3F0C">
      <w:r>
        <w:t xml:space="preserve">If </w:t>
      </w:r>
      <m:oMath>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g+1</m:t>
                </m:r>
              </m:e>
            </m:d>
            <m:r>
              <w:rPr>
                <w:rFonts w:ascii="Cambria Math" w:hAnsi="Cambria Math"/>
              </w:rPr>
              <m:t>mod2</m:t>
            </m:r>
          </m:sup>
        </m:sSup>
        <m:d>
          <m:dPr>
            <m:ctrlPr>
              <w:rPr>
                <w:rFonts w:ascii="Cambria Math" w:hAnsi="Cambria Math"/>
                <w:i/>
              </w:rPr>
            </m:ctrlPr>
          </m:dPr>
          <m:e>
            <m:r>
              <w:rPr>
                <w:rFonts w:ascii="Cambria Math" w:hAnsi="Cambria Math"/>
              </w:rPr>
              <m:t>g</m:t>
            </m:r>
          </m:e>
        </m:d>
        <m:r>
          <w:rPr>
            <w:rFonts w:ascii="Cambria Math" w:hAnsi="Cambria Math" w:cs="Arial"/>
          </w:rPr>
          <m:t>=∅</m:t>
        </m:r>
      </m:oMath>
      <w:r>
        <w:rPr>
          <w:rFonts w:cs="Arial"/>
        </w:rPr>
        <w:t xml:space="preserve"> or </w:t>
      </w:r>
      <m:oMath>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g+1</m:t>
                </m:r>
              </m:e>
            </m:d>
            <m:r>
              <w:rPr>
                <w:rFonts w:ascii="Cambria Math" w:hAnsi="Cambria Math"/>
              </w:rPr>
              <m:t>mod2</m:t>
            </m:r>
          </m:sup>
        </m:sSup>
        <m:d>
          <m:dPr>
            <m:ctrlPr>
              <w:rPr>
                <w:rFonts w:ascii="Cambria Math" w:hAnsi="Cambria Math"/>
                <w:i/>
              </w:rPr>
            </m:ctrlPr>
          </m:dPr>
          <m:e>
            <m:r>
              <w:rPr>
                <w:rFonts w:ascii="Cambria Math" w:hAnsi="Cambria Math"/>
              </w:rPr>
              <m:t>g</m:t>
            </m:r>
          </m:e>
        </m:d>
        <m:r>
          <w:rPr>
            <w:rFonts w:ascii="Cambria Math" w:hAnsi="Cambria Math" w:cs="Arial"/>
          </w:rPr>
          <m:t>=</m:t>
        </m:r>
        <m:r>
          <w:rPr>
            <w:rFonts w:ascii="Cambria Math" w:hAnsi="Cambria Math"/>
          </w:rPr>
          <m:t>h(</m:t>
        </m:r>
        <m:d>
          <m:dPr>
            <m:ctrlPr>
              <w:rPr>
                <w:rFonts w:ascii="Cambria Math" w:hAnsi="Cambria Math"/>
                <w:i/>
              </w:rPr>
            </m:ctrlPr>
          </m:dPr>
          <m:e>
            <m:r>
              <w:rPr>
                <w:rFonts w:ascii="Cambria Math" w:hAnsi="Cambria Math"/>
              </w:rPr>
              <m:t>g+1</m:t>
            </m:r>
          </m:e>
        </m:d>
        <m:r>
          <w:rPr>
            <w:rFonts w:ascii="Cambria Math" w:hAnsi="Cambria Math"/>
          </w:rPr>
          <m:t>mod2)</m:t>
        </m:r>
      </m:oMath>
      <w:r>
        <w:t>, g</w:t>
      </w:r>
      <w:r w:rsidRPr="00990A42">
        <w:t xml:space="preserve">enerate </w:t>
      </w:r>
      <w:r>
        <w:t xml:space="preserve">second </w:t>
      </w:r>
      <w:r w:rsidRPr="00990A42">
        <w:t>HARQ-ACK information</w:t>
      </w:r>
      <w:r>
        <w:t xml:space="preserve"> for </w:t>
      </w:r>
      <w:r w:rsidRPr="00990A42">
        <w:t xml:space="preserve">PUCCH transmission occasion </w:t>
      </w:r>
      <m:oMath>
        <m:r>
          <w:rPr>
            <w:rFonts w:ascii="Cambria Math" w:hAnsi="Cambria Math"/>
          </w:rPr>
          <m:t>i(</m:t>
        </m:r>
        <m:d>
          <m:dPr>
            <m:ctrlPr>
              <w:rPr>
                <w:rFonts w:ascii="Cambria Math" w:hAnsi="Cambria Math"/>
                <w:i/>
              </w:rPr>
            </m:ctrlPr>
          </m:dPr>
          <m:e>
            <m:r>
              <w:rPr>
                <w:rFonts w:ascii="Cambria Math" w:hAnsi="Cambria Math"/>
              </w:rPr>
              <m:t>g+1</m:t>
            </m:r>
          </m:e>
        </m:d>
        <m:r>
          <w:rPr>
            <w:rFonts w:ascii="Cambria Math" w:hAnsi="Cambria Math"/>
          </w:rPr>
          <m:t>mod2)</m:t>
        </m:r>
      </m:oMath>
      <w:r>
        <w:t xml:space="preserve"> in a slot, </w:t>
      </w:r>
      <w:r w:rsidRPr="00990A42">
        <w:t>as d</w:t>
      </w:r>
      <w:r>
        <w:t xml:space="preserve">escribed </w:t>
      </w:r>
      <w:r w:rsidR="006F5F9E">
        <w:t>in clause</w:t>
      </w:r>
      <w:r>
        <w:t xml:space="preserve"> 9.1.3.1</w:t>
      </w:r>
      <w:r w:rsidRPr="00990A42">
        <w:t xml:space="preserve">, </w:t>
      </w:r>
      <w:r>
        <w:t>where</w:t>
      </w:r>
    </w:p>
    <w:p w14:paraId="4E29B7A7" w14:textId="30DEDCE0" w:rsidR="008C3F0C" w:rsidRPr="00AD2C28" w:rsidRDefault="008C3F0C" w:rsidP="008C3F0C">
      <w:pPr>
        <w:pStyle w:val="B1"/>
        <w:rPr>
          <w:rFonts w:cs="Arial"/>
          <w:lang w:val="en-US"/>
        </w:rPr>
      </w:pPr>
      <w:r w:rsidRPr="00990A42">
        <w:rPr>
          <w:rFonts w:cs="Arial"/>
          <w:lang w:eastAsia="zh-CN"/>
        </w:rPr>
        <w:t>-</w:t>
      </w:r>
      <w:r w:rsidRPr="00990A42">
        <w:rPr>
          <w:rFonts w:cs="Arial"/>
          <w:lang w:eastAsia="zh-CN"/>
        </w:rPr>
        <w:tab/>
      </w:r>
      <w:r>
        <w:rPr>
          <w:rFonts w:cs="Arial"/>
          <w:lang w:eastAsia="zh-CN"/>
        </w:rPr>
        <w:t xml:space="preserve">the second </w:t>
      </w:r>
      <w:r>
        <w:t xml:space="preserve">HARQ-ACK information corresponds to detections of DCI formats each providing a same value of </w:t>
      </w:r>
      <m:oMath>
        <m:d>
          <m:dPr>
            <m:ctrlPr>
              <w:rPr>
                <w:rFonts w:ascii="Cambria Math" w:hAnsi="Cambria Math"/>
                <w:i/>
              </w:rPr>
            </m:ctrlPr>
          </m:dPr>
          <m:e>
            <m:r>
              <w:rPr>
                <w:rFonts w:ascii="Cambria Math" w:hAnsi="Cambria Math"/>
              </w:rPr>
              <m:t>g+1</m:t>
            </m:r>
          </m:e>
        </m:d>
        <m:r>
          <w:rPr>
            <w:rFonts w:ascii="Cambria Math" w:hAnsi="Cambria Math"/>
          </w:rPr>
          <m:t>mod2</m:t>
        </m:r>
      </m:oMath>
      <w:r>
        <w:t xml:space="preserve">, of </w:t>
      </w:r>
      <m:oMath>
        <m:r>
          <w:rPr>
            <w:rFonts w:ascii="Cambria Math" w:hAnsi="Cambria Math"/>
          </w:rPr>
          <m:t>h(</m:t>
        </m:r>
        <m:d>
          <m:dPr>
            <m:ctrlPr>
              <w:rPr>
                <w:rFonts w:ascii="Cambria Math" w:hAnsi="Cambria Math"/>
                <w:i/>
              </w:rPr>
            </m:ctrlPr>
          </m:dPr>
          <m:e>
            <m:r>
              <w:rPr>
                <w:rFonts w:ascii="Cambria Math" w:hAnsi="Cambria Math"/>
              </w:rPr>
              <m:t>g+1</m:t>
            </m:r>
          </m:e>
        </m:d>
        <m:r>
          <w:rPr>
            <w:rFonts w:ascii="Cambria Math" w:hAnsi="Cambria Math"/>
          </w:rPr>
          <m:t>mod2)</m:t>
        </m:r>
      </m:oMath>
      <w:r w:rsidR="0008789E">
        <w:rPr>
          <w:lang w:val="en-US"/>
        </w:rPr>
        <w:t xml:space="preserve"> </w:t>
      </w:r>
      <w:r w:rsidR="0008789E" w:rsidRPr="00773CA9">
        <w:t xml:space="preserve">and to detections of DCI formats </w:t>
      </w:r>
      <w:r w:rsidR="0008789E" w:rsidRPr="00773CA9">
        <w:rPr>
          <w:lang w:val="en-US"/>
        </w:rPr>
        <w:t xml:space="preserve">that do </w:t>
      </w:r>
      <w:r w:rsidR="0008789E" w:rsidRPr="00773CA9">
        <w:t>not provid</w:t>
      </w:r>
      <w:r w:rsidR="0008789E" w:rsidRPr="00773CA9">
        <w:rPr>
          <w:lang w:val="en-US"/>
        </w:rPr>
        <w:t>e</w:t>
      </w:r>
      <w:r w:rsidR="0008789E" w:rsidRPr="00773CA9">
        <w:t xml:space="preserve"> a value of </w:t>
      </w:r>
      <m:oMath>
        <m:d>
          <m:dPr>
            <m:ctrlPr>
              <w:rPr>
                <w:rFonts w:ascii="Cambria Math" w:hAnsi="Cambria Math"/>
                <w:i/>
              </w:rPr>
            </m:ctrlPr>
          </m:dPr>
          <m:e>
            <m:r>
              <w:rPr>
                <w:rFonts w:ascii="Cambria Math" w:hAnsi="Cambria Math"/>
              </w:rPr>
              <m:t>g+1</m:t>
            </m:r>
          </m:e>
        </m:d>
        <m:r>
          <w:rPr>
            <w:rFonts w:ascii="Cambria Math" w:hAnsi="Cambria Math"/>
          </w:rPr>
          <m:t>mod2</m:t>
        </m:r>
      </m:oMath>
      <w:r w:rsidR="0008789E" w:rsidRPr="00773CA9">
        <w:t xml:space="preserve">, of </w:t>
      </w:r>
      <m:oMath>
        <m:r>
          <w:rPr>
            <w:rFonts w:ascii="Cambria Math" w:hAnsi="Cambria Math"/>
          </w:rPr>
          <m:t>h(</m:t>
        </m:r>
        <m:d>
          <m:dPr>
            <m:ctrlPr>
              <w:rPr>
                <w:rFonts w:ascii="Cambria Math" w:hAnsi="Cambria Math"/>
                <w:i/>
              </w:rPr>
            </m:ctrlPr>
          </m:dPr>
          <m:e>
            <m:r>
              <w:rPr>
                <w:rFonts w:ascii="Cambria Math" w:hAnsi="Cambria Math"/>
              </w:rPr>
              <m:t>g+1</m:t>
            </m:r>
          </m:e>
        </m:d>
        <m:r>
          <w:rPr>
            <w:rFonts w:ascii="Cambria Math" w:hAnsi="Cambria Math"/>
          </w:rPr>
          <m:t>mod2)</m:t>
        </m:r>
      </m:oMath>
      <w:r w:rsidR="0008789E" w:rsidRPr="00773CA9">
        <w:t xml:space="preserve">, but </w:t>
      </w:r>
      <w:r w:rsidR="0008789E" w:rsidRPr="00773CA9">
        <w:rPr>
          <w:lang w:val="en-US"/>
        </w:rPr>
        <w:t>are</w:t>
      </w:r>
      <w:r w:rsidR="0008789E" w:rsidRPr="00773CA9">
        <w:t xml:space="preserve"> associated with a same </w:t>
      </w:r>
      <w:r w:rsidR="0008789E" w:rsidRPr="00773CA9">
        <w:rPr>
          <w:lang w:val="en-US"/>
        </w:rPr>
        <w:t>value</w:t>
      </w:r>
      <w:r w:rsidR="0008789E" w:rsidRPr="00773CA9">
        <w:t xml:space="preserve"> of </w:t>
      </w:r>
      <m:oMath>
        <m:d>
          <m:dPr>
            <m:ctrlPr>
              <w:rPr>
                <w:rFonts w:ascii="Cambria Math" w:hAnsi="Cambria Math"/>
                <w:i/>
              </w:rPr>
            </m:ctrlPr>
          </m:dPr>
          <m:e>
            <m:r>
              <w:rPr>
                <w:rFonts w:ascii="Cambria Math" w:hAnsi="Cambria Math"/>
              </w:rPr>
              <m:t>g+1</m:t>
            </m:r>
          </m:e>
        </m:d>
        <m:r>
          <w:rPr>
            <w:rFonts w:ascii="Cambria Math" w:hAnsi="Cambria Math"/>
          </w:rPr>
          <m:t>mod2</m:t>
        </m:r>
      </m:oMath>
      <w:r w:rsidR="0008789E" w:rsidRPr="00773CA9">
        <w:t xml:space="preserve">, of </w:t>
      </w:r>
      <m:oMath>
        <m:r>
          <w:rPr>
            <w:rFonts w:ascii="Cambria Math" w:hAnsi="Cambria Math"/>
          </w:rPr>
          <m:t>h(</m:t>
        </m:r>
        <m:d>
          <m:dPr>
            <m:ctrlPr>
              <w:rPr>
                <w:rFonts w:ascii="Cambria Math" w:hAnsi="Cambria Math"/>
                <w:i/>
              </w:rPr>
            </m:ctrlPr>
          </m:dPr>
          <m:e>
            <m:r>
              <w:rPr>
                <w:rFonts w:ascii="Cambria Math" w:hAnsi="Cambria Math"/>
              </w:rPr>
              <m:t>g+1</m:t>
            </m:r>
          </m:e>
        </m:d>
        <m:r>
          <w:rPr>
            <w:rFonts w:ascii="Cambria Math" w:hAnsi="Cambria Math"/>
          </w:rPr>
          <m:t>mod2)</m:t>
        </m:r>
      </m:oMath>
    </w:p>
    <w:p w14:paraId="31776ADE" w14:textId="77777777" w:rsidR="008C3F0C" w:rsidRDefault="008C3F0C" w:rsidP="008C3F0C">
      <w:pPr>
        <w:pStyle w:val="B1"/>
        <w:rPr>
          <w:lang w:eastAsia="zh-CN"/>
        </w:rPr>
      </w:pPr>
      <w:r w:rsidRPr="00990A42">
        <w:rPr>
          <w:rFonts w:cs="Arial"/>
          <w:lang w:eastAsia="zh-CN"/>
        </w:rPr>
        <w:t>-</w:t>
      </w:r>
      <w:r w:rsidRPr="00990A42">
        <w:rPr>
          <w:rFonts w:cs="Arial"/>
          <w:lang w:eastAsia="zh-CN"/>
        </w:rPr>
        <w:tab/>
      </w:r>
      <w:r>
        <w:rPr>
          <w:rFonts w:cs="Arial"/>
          <w:lang w:eastAsia="zh-CN"/>
        </w:rPr>
        <w:t xml:space="preserve">at least one of the DCI formats provides a </w:t>
      </w:r>
      <m:oMath>
        <m:r>
          <w:rPr>
            <w:rFonts w:ascii="Cambria Math" w:hAnsi="Cambria Math"/>
          </w:rPr>
          <m:t>h(</m:t>
        </m:r>
        <m:d>
          <m:dPr>
            <m:ctrlPr>
              <w:rPr>
                <w:rFonts w:ascii="Cambria Math" w:hAnsi="Cambria Math"/>
                <w:i/>
              </w:rPr>
            </m:ctrlPr>
          </m:dPr>
          <m:e>
            <m:r>
              <w:rPr>
                <w:rFonts w:ascii="Cambria Math" w:hAnsi="Cambria Math"/>
              </w:rPr>
              <m:t>g+1</m:t>
            </m:r>
          </m:e>
        </m:d>
        <m:r>
          <w:rPr>
            <w:rFonts w:ascii="Cambria Math" w:hAnsi="Cambria Math"/>
          </w:rPr>
          <m:t>mod2)</m:t>
        </m:r>
      </m:oMath>
      <w:r>
        <w:rPr>
          <w:rFonts w:cs="Arial"/>
        </w:rPr>
        <w:t xml:space="preserve"> value</w:t>
      </w:r>
    </w:p>
    <w:p w14:paraId="4D4BA163" w14:textId="5C706171" w:rsidR="008C3F0C" w:rsidRDefault="008C3F0C" w:rsidP="008C3F0C">
      <w:pPr>
        <w:pStyle w:val="B1"/>
      </w:pPr>
      <w:r w:rsidRPr="00990A42">
        <w:rPr>
          <w:rFonts w:cs="Arial"/>
          <w:lang w:eastAsia="zh-CN"/>
        </w:rPr>
        <w:t>-</w:t>
      </w:r>
      <w:r w:rsidRPr="00990A42">
        <w:rPr>
          <w:rFonts w:cs="Arial"/>
          <w:lang w:eastAsia="zh-CN"/>
        </w:rPr>
        <w:tab/>
      </w:r>
      <m:oMath>
        <m:r>
          <w:rPr>
            <w:rFonts w:ascii="Cambria Math" w:hAnsi="Cambria Math"/>
          </w:rPr>
          <m:t>m=0</m:t>
        </m:r>
      </m:oMath>
      <w:r>
        <w:t xml:space="preserve"> corresponds to a PDCCH monitoring occasion, where the UE detects a DCI format that provides a value of </w:t>
      </w:r>
      <m:oMath>
        <m:d>
          <m:dPr>
            <m:ctrlPr>
              <w:rPr>
                <w:rFonts w:ascii="Cambria Math" w:hAnsi="Cambria Math"/>
                <w:i/>
              </w:rPr>
            </m:ctrlPr>
          </m:dPr>
          <m:e>
            <m:r>
              <w:rPr>
                <w:rFonts w:ascii="Cambria Math" w:hAnsi="Cambria Math"/>
              </w:rPr>
              <m:t>g+1</m:t>
            </m:r>
          </m:e>
        </m:d>
        <m:r>
          <w:rPr>
            <w:rFonts w:ascii="Cambria Math" w:hAnsi="Cambria Math"/>
          </w:rPr>
          <m:t>mod2</m:t>
        </m:r>
      </m:oMath>
      <w:r w:rsidR="0008789E" w:rsidRPr="00773CA9">
        <w:rPr>
          <w:lang w:val="en-US"/>
        </w:rPr>
        <w:t xml:space="preserve"> or that is associated with a </w:t>
      </w:r>
      <w:r w:rsidR="0008789E" w:rsidRPr="00773CA9">
        <w:t xml:space="preserve">value of </w:t>
      </w:r>
      <m:oMath>
        <m:d>
          <m:dPr>
            <m:ctrlPr>
              <w:rPr>
                <w:rFonts w:ascii="Cambria Math" w:hAnsi="Cambria Math"/>
                <w:i/>
              </w:rPr>
            </m:ctrlPr>
          </m:dPr>
          <m:e>
            <m:r>
              <w:rPr>
                <w:rFonts w:ascii="Cambria Math" w:hAnsi="Cambria Math"/>
              </w:rPr>
              <m:t>g+1</m:t>
            </m:r>
          </m:e>
        </m:d>
        <m:r>
          <w:rPr>
            <w:rFonts w:ascii="Cambria Math" w:hAnsi="Cambria Math"/>
          </w:rPr>
          <m:t>mod2</m:t>
        </m:r>
      </m:oMath>
      <w:r>
        <w:t xml:space="preserve">, that is </w:t>
      </w:r>
      <w:r>
        <w:rPr>
          <w:rFonts w:cs="Arial"/>
          <w:lang w:eastAsia="zh-CN"/>
        </w:rPr>
        <w:t xml:space="preserve">the first PDCCH monitoring occasion </w:t>
      </w:r>
      <w:r>
        <w:t xml:space="preserve">after a PDCCH monitoring occasion where the UE detects another DCI format that provides a value different than </w:t>
      </w:r>
      <m:oMath>
        <m:r>
          <w:rPr>
            <w:rFonts w:ascii="Cambria Math" w:hAnsi="Cambria Math"/>
          </w:rPr>
          <m:t>h(</m:t>
        </m:r>
        <m:d>
          <m:dPr>
            <m:ctrlPr>
              <w:rPr>
                <w:rFonts w:ascii="Cambria Math" w:hAnsi="Cambria Math"/>
                <w:i/>
              </w:rPr>
            </m:ctrlPr>
          </m:dPr>
          <m:e>
            <m:r>
              <w:rPr>
                <w:rFonts w:ascii="Cambria Math" w:hAnsi="Cambria Math"/>
              </w:rPr>
              <m:t>g+1</m:t>
            </m:r>
          </m:e>
        </m:d>
        <m:r>
          <w:rPr>
            <w:rFonts w:ascii="Cambria Math" w:hAnsi="Cambria Math"/>
          </w:rPr>
          <m:t>mod2)</m:t>
        </m:r>
      </m:oMath>
    </w:p>
    <w:p w14:paraId="697B2B87" w14:textId="77777777" w:rsidR="008C3F0C" w:rsidRDefault="008C3F0C" w:rsidP="008C3F0C">
      <w:pPr>
        <w:pStyle w:val="B1"/>
      </w:pPr>
      <w:r w:rsidRPr="00990A42">
        <w:rPr>
          <w:rFonts w:cs="Arial"/>
          <w:lang w:eastAsia="zh-CN"/>
        </w:rPr>
        <w:t>-</w:t>
      </w:r>
      <w:r w:rsidRPr="00990A42">
        <w:rPr>
          <w:rFonts w:cs="Arial"/>
          <w:lang w:eastAsia="zh-CN"/>
        </w:rPr>
        <w:tab/>
      </w:r>
      <w:r>
        <w:rPr>
          <w:rFonts w:cs="Arial"/>
          <w:lang w:eastAsia="zh-CN"/>
        </w:rPr>
        <w:t xml:space="preserve">the </w:t>
      </w:r>
      <w:r w:rsidRPr="00990A42">
        <w:t xml:space="preserve">PUCCH transmission occasion </w:t>
      </w:r>
      <m:oMath>
        <m:r>
          <w:rPr>
            <w:rFonts w:ascii="Cambria Math" w:hAnsi="Cambria Math"/>
          </w:rPr>
          <m:t>i(</m:t>
        </m:r>
        <m:d>
          <m:dPr>
            <m:ctrlPr>
              <w:rPr>
                <w:rFonts w:ascii="Cambria Math" w:hAnsi="Cambria Math"/>
                <w:i/>
              </w:rPr>
            </m:ctrlPr>
          </m:dPr>
          <m:e>
            <m:r>
              <w:rPr>
                <w:rFonts w:ascii="Cambria Math" w:hAnsi="Cambria Math"/>
              </w:rPr>
              <m:t>g+1</m:t>
            </m:r>
          </m:e>
        </m:d>
        <m:r>
          <w:rPr>
            <w:rFonts w:ascii="Cambria Math" w:hAnsi="Cambria Math"/>
          </w:rPr>
          <m:t>mod2)</m:t>
        </m:r>
      </m:oMath>
      <w:r>
        <w:t xml:space="preserve"> is a last one for multiplexing second HARQ-ACK information and it is not after PUCCH transmission occasion </w:t>
      </w:r>
      <m:oMath>
        <m:r>
          <w:rPr>
            <w:rFonts w:ascii="Cambria Math" w:hAnsi="Cambria Math"/>
          </w:rPr>
          <m:t>i(g)</m:t>
        </m:r>
      </m:oMath>
    </w:p>
    <w:p w14:paraId="3541CEB5" w14:textId="20002A3E" w:rsidR="008C3F0C" w:rsidRDefault="008C3F0C" w:rsidP="008C3F0C">
      <w:pPr>
        <w:pStyle w:val="B1"/>
        <w:rPr>
          <w:lang w:eastAsia="zh-CN"/>
        </w:rPr>
      </w:pPr>
      <w:r w:rsidRPr="00990A42">
        <w:rPr>
          <w:rFonts w:cs="Arial"/>
          <w:lang w:eastAsia="zh-CN"/>
        </w:rPr>
        <w:t>-</w:t>
      </w:r>
      <w:r w:rsidRPr="00990A42">
        <w:rPr>
          <w:rFonts w:cs="Arial"/>
          <w:lang w:eastAsia="zh-CN"/>
        </w:rPr>
        <w:tab/>
      </w:r>
      <w:r>
        <w:rPr>
          <w:rFonts w:cs="Arial"/>
          <w:lang w:eastAsia="zh-CN"/>
        </w:rPr>
        <w:t xml:space="preserve">if </w:t>
      </w:r>
      <m:oMath>
        <m:sSubSup>
          <m:sSubSupPr>
            <m:ctrlPr>
              <w:rPr>
                <w:rFonts w:ascii="Cambria Math" w:hAnsi="Cambria Math"/>
                <w:i/>
              </w:rPr>
            </m:ctrlPr>
          </m:sSubSupPr>
          <m:e>
            <m:r>
              <w:rPr>
                <w:rFonts w:ascii="Cambria Math" w:hAnsi="Cambria Math"/>
              </w:rPr>
              <m:t>V</m:t>
            </m:r>
          </m:e>
          <m:sub>
            <m:r>
              <m:rPr>
                <m:sty m:val="p"/>
              </m:rPr>
              <w:rPr>
                <w:rFonts w:ascii="Cambria Math" w:hAnsi="Cambria Math"/>
              </w:rPr>
              <m:t>DAI</m:t>
            </m:r>
          </m:sub>
          <m:sup>
            <m:d>
              <m:dPr>
                <m:ctrlPr>
                  <w:rPr>
                    <w:rFonts w:ascii="Cambria Math" w:hAnsi="Cambria Math"/>
                    <w:i/>
                  </w:rPr>
                </m:ctrlPr>
              </m:dPr>
              <m:e>
                <m:r>
                  <w:rPr>
                    <w:rFonts w:ascii="Cambria Math" w:hAnsi="Cambria Math"/>
                  </w:rPr>
                  <m:t>g+1</m:t>
                </m:r>
              </m:e>
            </m:d>
            <m:r>
              <w:rPr>
                <w:rFonts w:ascii="Cambria Math" w:hAnsi="Cambria Math"/>
              </w:rPr>
              <m:t>mod2</m:t>
            </m:r>
          </m:sup>
        </m:sSubSup>
        <m:r>
          <w:rPr>
            <w:rFonts w:ascii="Cambria Math" w:hAnsi="Cambria Math" w:cs="Arial"/>
          </w:rPr>
          <m:t>≠∅</m:t>
        </m:r>
      </m:oMath>
      <w:r>
        <w:rPr>
          <w:lang w:eastAsia="zh-CN"/>
        </w:rPr>
        <w:t xml:space="preserve">, </w:t>
      </w:r>
      <w:r w:rsidRPr="008B708C">
        <w:rPr>
          <w:szCs w:val="22"/>
        </w:rPr>
        <w:t xml:space="preserve">after the completion of the </w:t>
      </w:r>
      <m:oMath>
        <m:r>
          <w:rPr>
            <w:rFonts w:ascii="Cambria Math" w:hAnsi="Cambria Math"/>
          </w:rPr>
          <m:t>c</m:t>
        </m:r>
      </m:oMath>
      <w:r>
        <w:rPr>
          <w:lang w:val="en-US" w:eastAsia="zh-CN"/>
        </w:rPr>
        <w:t xml:space="preserve"> and </w:t>
      </w:r>
      <m:oMath>
        <m:r>
          <w:rPr>
            <w:rFonts w:ascii="Cambria Math" w:hAnsi="Cambria Math"/>
          </w:rPr>
          <m:t>m</m:t>
        </m:r>
      </m:oMath>
      <w:r>
        <w:rPr>
          <w:lang w:val="en-US" w:eastAsia="zh-CN"/>
        </w:rPr>
        <w:t xml:space="preserve"> loops</w:t>
      </w:r>
      <w:r>
        <w:rPr>
          <w:lang w:eastAsia="zh-CN"/>
        </w:rPr>
        <w:t xml:space="preserve"> </w:t>
      </w:r>
      <w:r>
        <w:t>f</w:t>
      </w:r>
      <w:r w:rsidRPr="00B916EC">
        <w:t xml:space="preserve">or </w:t>
      </w:r>
      <w:r>
        <w:rPr>
          <w:lang w:val="en-US"/>
        </w:rPr>
        <w:t xml:space="preserve">the pseudo-code for the second </w:t>
      </w:r>
      <w:r w:rsidRPr="00B916EC">
        <w:rPr>
          <w:rFonts w:cs="Arial"/>
          <w:lang w:eastAsia="zh-CN"/>
        </w:rPr>
        <w:t xml:space="preserve">HARQ-ACK codebook </w:t>
      </w:r>
      <w:r>
        <w:rPr>
          <w:rFonts w:cs="Arial"/>
          <w:lang w:val="en-US" w:eastAsia="zh-CN"/>
        </w:rPr>
        <w:t xml:space="preserve">generation </w:t>
      </w:r>
      <w:r w:rsidR="006F5F9E">
        <w:rPr>
          <w:rFonts w:cs="Arial"/>
          <w:lang w:eastAsia="zh-CN"/>
        </w:rPr>
        <w:t>in clause</w:t>
      </w:r>
      <w:r>
        <w:rPr>
          <w:rFonts w:cs="Arial"/>
          <w:lang w:eastAsia="zh-CN"/>
        </w:rPr>
        <w:t xml:space="preserve"> 9.1.3.1,</w:t>
      </w:r>
      <w:r>
        <w:rPr>
          <w:lang w:val="en-US"/>
        </w:rPr>
        <w:t xml:space="preserve"> set </w:t>
      </w:r>
      <m:oMath>
        <m:sSub>
          <m:sSubPr>
            <m:ctrlPr>
              <w:rPr>
                <w:rFonts w:ascii="Cambria Math" w:hAnsi="Cambria Math"/>
                <w:i/>
              </w:rPr>
            </m:ctrlPr>
          </m:sSubPr>
          <m:e>
            <m:r>
              <w:rPr>
                <w:rFonts w:ascii="Cambria Math" w:hAnsi="Cambria Math"/>
              </w:rPr>
              <m:t>V</m:t>
            </m:r>
          </m:e>
          <m:sub>
            <m:r>
              <w:rPr>
                <w:rFonts w:ascii="Cambria Math" w:hAnsi="Cambria Math"/>
              </w:rPr>
              <m:t>temp2</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DAI</m:t>
            </m:r>
          </m:sub>
          <m:sup>
            <m:d>
              <m:dPr>
                <m:ctrlPr>
                  <w:rPr>
                    <w:rFonts w:ascii="Cambria Math" w:hAnsi="Cambria Math"/>
                    <w:i/>
                  </w:rPr>
                </m:ctrlPr>
              </m:dPr>
              <m:e>
                <m:r>
                  <w:rPr>
                    <w:rFonts w:ascii="Cambria Math" w:hAnsi="Cambria Math"/>
                  </w:rPr>
                  <m:t>g+1</m:t>
                </m:r>
              </m:e>
            </m:d>
            <m:r>
              <w:rPr>
                <w:rFonts w:ascii="Cambria Math" w:hAnsi="Cambria Math"/>
              </w:rPr>
              <m:t>mod2</m:t>
            </m:r>
          </m:sup>
        </m:sSubSup>
      </m:oMath>
      <w:r w:rsidR="0008789E">
        <w:rPr>
          <w:lang w:val="en-US"/>
        </w:rPr>
        <w:t xml:space="preserve">. </w:t>
      </w:r>
      <w:r w:rsidR="0008789E" w:rsidRPr="00041391">
        <w:rPr>
          <w:lang w:eastAsia="zh-CN"/>
        </w:rPr>
        <w:t xml:space="preserve">If the UE is provided </w:t>
      </w:r>
      <w:r w:rsidR="0008789E" w:rsidRPr="00041391">
        <w:rPr>
          <w:i/>
          <w:lang w:eastAsia="zh-CN"/>
        </w:rPr>
        <w:t>PDSCH-CodeBlockGroupTransmission</w:t>
      </w:r>
      <w:r w:rsidR="0008789E" w:rsidRPr="00041391">
        <w:rPr>
          <w:lang w:eastAsia="zh-CN"/>
        </w:rPr>
        <w:t xml:space="preserve"> for  </w:t>
      </w:r>
      <m:oMath>
        <m:sSubSup>
          <m:sSubSupPr>
            <m:ctrlPr>
              <w:rPr>
                <w:rFonts w:ascii="Cambria Math" w:hAnsi="Cambria Math"/>
                <w:iCs/>
                <w:lang w:val="en-US" w:eastAsia="zh-CN"/>
              </w:rPr>
            </m:ctrlPr>
          </m:sSubSupPr>
          <m:e>
            <m:r>
              <w:rPr>
                <w:rFonts w:ascii="Cambria Math" w:hAnsi="Cambria Math"/>
                <w:lang w:eastAsia="zh-CN"/>
              </w:rPr>
              <m:t>N</m:t>
            </m:r>
          </m:e>
          <m:sub>
            <m:r>
              <m:rPr>
                <m:sty m:val="p"/>
              </m:rPr>
              <w:rPr>
                <w:rFonts w:ascii="Cambria Math" w:hAnsi="Cambria Math"/>
                <w:lang w:eastAsia="zh-CN"/>
              </w:rPr>
              <m:t>cells</m:t>
            </m:r>
          </m:sub>
          <m:sup>
            <m:r>
              <m:rPr>
                <m:sty m:val="p"/>
              </m:rPr>
              <w:rPr>
                <w:rFonts w:ascii="Cambria Math" w:hAnsi="Cambria Math"/>
                <w:lang w:eastAsia="zh-CN"/>
              </w:rPr>
              <m:t>DL,CBG</m:t>
            </m:r>
          </m:sup>
        </m:sSubSup>
      </m:oMath>
      <w:r w:rsidR="0008789E" w:rsidRPr="00041391">
        <w:rPr>
          <w:lang w:eastAsia="zh-CN"/>
        </w:rPr>
        <w:t xml:space="preserve"> serving cells, </w:t>
      </w:r>
      <w:r w:rsidR="0008789E" w:rsidRPr="00041391">
        <w:rPr>
          <w:lang w:val="en-US"/>
        </w:rPr>
        <w:t xml:space="preserve">set </w:t>
      </w:r>
      <m:oMath>
        <m:sSub>
          <m:sSubPr>
            <m:ctrlPr>
              <w:rPr>
                <w:rFonts w:ascii="Cambria Math" w:hAnsi="Cambria Math"/>
                <w:i/>
              </w:rPr>
            </m:ctrlPr>
          </m:sSubPr>
          <m:e>
            <m:r>
              <w:rPr>
                <w:rFonts w:ascii="Cambria Math" w:hAnsi="Cambria Math"/>
              </w:rPr>
              <m:t>V</m:t>
            </m:r>
          </m:e>
          <m:sub>
            <m:r>
              <w:rPr>
                <w:rFonts w:ascii="Cambria Math" w:hAnsi="Cambria Math"/>
              </w:rPr>
              <m:t>temp2</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DAI</m:t>
            </m:r>
          </m:sub>
          <m:sup>
            <m:d>
              <m:dPr>
                <m:ctrlPr>
                  <w:rPr>
                    <w:rFonts w:ascii="Cambria Math" w:hAnsi="Cambria Math"/>
                    <w:i/>
                  </w:rPr>
                </m:ctrlPr>
              </m:dPr>
              <m:e>
                <m:r>
                  <w:rPr>
                    <w:rFonts w:ascii="Cambria Math" w:hAnsi="Cambria Math"/>
                  </w:rPr>
                  <m:t>g+1</m:t>
                </m:r>
              </m:e>
            </m:d>
            <m:r>
              <w:rPr>
                <w:rFonts w:ascii="Cambria Math" w:hAnsi="Cambria Math"/>
              </w:rPr>
              <m:t>mod2</m:t>
            </m:r>
          </m:sup>
        </m:sSubSup>
      </m:oMath>
      <w:r>
        <w:t xml:space="preserve"> </w:t>
      </w:r>
      <w:r>
        <w:rPr>
          <w:lang w:eastAsia="zh-CN"/>
        </w:rPr>
        <w:t>for both sub-codebooks</w:t>
      </w:r>
      <w:r w:rsidR="0008789E" w:rsidRPr="0008789E">
        <w:rPr>
          <w:rFonts w:cs="Arial"/>
          <w:lang w:val="en-US" w:eastAsia="zh-CN"/>
        </w:rPr>
        <w:t xml:space="preserve"> </w:t>
      </w:r>
      <w:r w:rsidR="0008789E" w:rsidRPr="00041391">
        <w:rPr>
          <w:rFonts w:cs="Arial"/>
          <w:lang w:val="en-US" w:eastAsia="zh-CN"/>
        </w:rPr>
        <w:t>before appending the second sub-codebook to the first sub-codebook</w:t>
      </w:r>
      <w:r>
        <w:rPr>
          <w:lang w:eastAsia="zh-CN"/>
        </w:rPr>
        <w:t>.</w:t>
      </w:r>
    </w:p>
    <w:p w14:paraId="38A3C87A" w14:textId="26AFFFB7" w:rsidR="008C3F0C" w:rsidRDefault="008C3F0C" w:rsidP="008C3F0C">
      <w:r>
        <w:t xml:space="preserve">If </w:t>
      </w:r>
      <m:oMath>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g+1</m:t>
                </m:r>
              </m:e>
            </m:d>
            <m:r>
              <w:rPr>
                <w:rFonts w:ascii="Cambria Math" w:hAnsi="Cambria Math"/>
              </w:rPr>
              <m:t>mod2</m:t>
            </m:r>
          </m:sup>
        </m:sSup>
        <m:d>
          <m:dPr>
            <m:ctrlPr>
              <w:rPr>
                <w:rFonts w:ascii="Cambria Math" w:hAnsi="Cambria Math"/>
                <w:i/>
              </w:rPr>
            </m:ctrlPr>
          </m:dPr>
          <m:e>
            <m:r>
              <w:rPr>
                <w:rFonts w:ascii="Cambria Math" w:hAnsi="Cambria Math"/>
              </w:rPr>
              <m:t>g</m:t>
            </m:r>
          </m:e>
        </m:d>
        <m:r>
          <w:rPr>
            <w:rFonts w:ascii="Cambria Math" w:hAnsi="Cambria Math" w:cs="Arial"/>
          </w:rPr>
          <m:t>≠∅</m:t>
        </m:r>
      </m:oMath>
      <w:r>
        <w:rPr>
          <w:rFonts w:cs="Arial"/>
        </w:rPr>
        <w:t xml:space="preserve"> and </w:t>
      </w:r>
      <m:oMath>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g+1</m:t>
                </m:r>
              </m:e>
            </m:d>
            <m:r>
              <w:rPr>
                <w:rFonts w:ascii="Cambria Math" w:hAnsi="Cambria Math"/>
              </w:rPr>
              <m:t>mod2</m:t>
            </m:r>
          </m:sup>
        </m:sSup>
        <m:d>
          <m:dPr>
            <m:ctrlPr>
              <w:rPr>
                <w:rFonts w:ascii="Cambria Math" w:hAnsi="Cambria Math"/>
                <w:i/>
              </w:rPr>
            </m:ctrlPr>
          </m:dPr>
          <m:e>
            <m:r>
              <w:rPr>
                <w:rFonts w:ascii="Cambria Math" w:hAnsi="Cambria Math"/>
              </w:rPr>
              <m:t>g</m:t>
            </m:r>
          </m:e>
        </m:d>
        <m:r>
          <w:rPr>
            <w:rFonts w:ascii="Cambria Math" w:hAnsi="Cambria Math" w:cs="Arial"/>
          </w:rPr>
          <m:t>≠</m:t>
        </m:r>
        <m:r>
          <w:rPr>
            <w:rFonts w:ascii="Cambria Math" w:hAnsi="Cambria Math"/>
          </w:rPr>
          <m:t>h(</m:t>
        </m:r>
        <m:d>
          <m:dPr>
            <m:ctrlPr>
              <w:rPr>
                <w:rFonts w:ascii="Cambria Math" w:hAnsi="Cambria Math"/>
                <w:i/>
              </w:rPr>
            </m:ctrlPr>
          </m:dPr>
          <m:e>
            <m:r>
              <w:rPr>
                <w:rFonts w:ascii="Cambria Math" w:hAnsi="Cambria Math"/>
              </w:rPr>
              <m:t>g+1</m:t>
            </m:r>
          </m:e>
        </m:d>
        <m:r>
          <w:rPr>
            <w:rFonts w:ascii="Cambria Math" w:hAnsi="Cambria Math"/>
          </w:rPr>
          <m:t>mod2)</m:t>
        </m:r>
      </m:oMath>
      <w:r>
        <w:t>, g</w:t>
      </w:r>
      <w:r w:rsidRPr="00990A42">
        <w:t xml:space="preserve">enerate </w:t>
      </w:r>
      <w:r>
        <w:t xml:space="preserve">second </w:t>
      </w:r>
      <w:r w:rsidRPr="00990A42">
        <w:t>HARQ-ACK information</w:t>
      </w:r>
      <w:r>
        <w:t xml:space="preserve"> </w:t>
      </w:r>
      <w:r w:rsidRPr="00990A42">
        <w:t>as d</w:t>
      </w:r>
      <w:r>
        <w:t xml:space="preserve">escribed </w:t>
      </w:r>
      <w:r w:rsidR="006F5F9E">
        <w:t>in clause</w:t>
      </w:r>
      <w:r>
        <w:t xml:space="preserve"> 9.1.3.1</w:t>
      </w:r>
      <w:r w:rsidRPr="00990A42">
        <w:t xml:space="preserve"> </w:t>
      </w:r>
      <w:r>
        <w:t xml:space="preserve">by setting </w:t>
      </w:r>
      <m:oMath>
        <m:r>
          <w:rPr>
            <w:rFonts w:ascii="Cambria Math" w:cs="Arial"/>
            <w:lang w:eastAsia="zh-CN"/>
          </w:rPr>
          <m:t>M=0</m:t>
        </m:r>
      </m:oMath>
      <w:r>
        <w:t xml:space="preserve"> and, </w:t>
      </w:r>
      <w:r w:rsidRPr="008B708C">
        <w:rPr>
          <w:szCs w:val="22"/>
        </w:rPr>
        <w:t xml:space="preserve">after the completion of the </w:t>
      </w:r>
      <m:oMath>
        <m:r>
          <w:rPr>
            <w:rFonts w:ascii="Cambria Math" w:hAnsi="Cambria Math"/>
          </w:rPr>
          <m:t>c</m:t>
        </m:r>
      </m:oMath>
      <w:r>
        <w:rPr>
          <w:lang w:val="en-US" w:eastAsia="zh-CN"/>
        </w:rPr>
        <w:t xml:space="preserve"> and </w:t>
      </w:r>
      <m:oMath>
        <m:r>
          <w:rPr>
            <w:rFonts w:ascii="Cambria Math" w:hAnsi="Cambria Math"/>
          </w:rPr>
          <m:t>m</m:t>
        </m:r>
      </m:oMath>
      <w:r>
        <w:rPr>
          <w:lang w:val="en-US" w:eastAsia="zh-CN"/>
        </w:rPr>
        <w:t xml:space="preserve"> loops</w:t>
      </w:r>
      <w:r>
        <w:rPr>
          <w:lang w:eastAsia="zh-CN"/>
        </w:rPr>
        <w:t xml:space="preserve"> </w:t>
      </w:r>
      <w:r>
        <w:t>f</w:t>
      </w:r>
      <w:r w:rsidRPr="00B916EC">
        <w:t xml:space="preserve">or </w:t>
      </w:r>
      <w:r>
        <w:rPr>
          <w:lang w:val="en-US"/>
        </w:rPr>
        <w:t xml:space="preserve">the pseudo-code for the second </w:t>
      </w:r>
      <w:r w:rsidRPr="00B916EC">
        <w:rPr>
          <w:rFonts w:cs="Arial"/>
          <w:lang w:eastAsia="zh-CN"/>
        </w:rPr>
        <w:t xml:space="preserve">HARQ-ACK codebook </w:t>
      </w:r>
      <w:r>
        <w:rPr>
          <w:rFonts w:cs="Arial"/>
          <w:lang w:val="en-US" w:eastAsia="zh-CN"/>
        </w:rPr>
        <w:t xml:space="preserve">generation </w:t>
      </w:r>
      <w:r w:rsidR="006F5F9E">
        <w:rPr>
          <w:rFonts w:cs="Arial"/>
          <w:lang w:eastAsia="zh-CN"/>
        </w:rPr>
        <w:t>in clause</w:t>
      </w:r>
      <w:r>
        <w:rPr>
          <w:rFonts w:cs="Arial"/>
          <w:lang w:eastAsia="zh-CN"/>
        </w:rPr>
        <w:t xml:space="preserve"> 9.1.3.1,</w:t>
      </w:r>
      <w:r>
        <w:rPr>
          <w:lang w:val="en-US"/>
        </w:rPr>
        <w:t xml:space="preserve"> setting </w:t>
      </w:r>
      <m:oMath>
        <m:sSub>
          <m:sSubPr>
            <m:ctrlPr>
              <w:rPr>
                <w:rFonts w:ascii="Cambria Math" w:hAnsi="Cambria Math"/>
                <w:i/>
              </w:rPr>
            </m:ctrlPr>
          </m:sSubPr>
          <m:e>
            <m:r>
              <w:rPr>
                <w:rFonts w:ascii="Cambria Math" w:hAnsi="Cambria Math"/>
              </w:rPr>
              <m:t>V</m:t>
            </m:r>
          </m:e>
          <m:sub>
            <m:r>
              <w:rPr>
                <w:rFonts w:ascii="Cambria Math" w:hAnsi="Cambria Math"/>
              </w:rPr>
              <m:t>temp2</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DAI</m:t>
            </m:r>
          </m:sub>
          <m:sup>
            <m:d>
              <m:dPr>
                <m:ctrlPr>
                  <w:rPr>
                    <w:rFonts w:ascii="Cambria Math" w:hAnsi="Cambria Math"/>
                    <w:i/>
                  </w:rPr>
                </m:ctrlPr>
              </m:dPr>
              <m:e>
                <m:r>
                  <w:rPr>
                    <w:rFonts w:ascii="Cambria Math" w:hAnsi="Cambria Math"/>
                  </w:rPr>
                  <m:t>g+1</m:t>
                </m:r>
              </m:e>
            </m:d>
            <m:r>
              <w:rPr>
                <w:rFonts w:ascii="Cambria Math" w:hAnsi="Cambria Math"/>
              </w:rPr>
              <m:t>mod2</m:t>
            </m:r>
          </m:sup>
        </m:sSubSup>
      </m:oMath>
      <w:r>
        <w:rPr>
          <w:lang w:eastAsia="zh-CN"/>
        </w:rPr>
        <w:t>.</w:t>
      </w:r>
    </w:p>
    <w:p w14:paraId="192D363C" w14:textId="7E103FD4" w:rsidR="0008789E" w:rsidRDefault="0008789E" w:rsidP="0008789E">
      <w:r>
        <w:t xml:space="preserve">The generation of the second HARQ-ACK information for PUCCH transmission occasion </w:t>
      </w:r>
      <m:oMath>
        <m:r>
          <w:rPr>
            <w:rFonts w:ascii="Cambria Math" w:hAnsi="Cambria Math"/>
          </w:rPr>
          <m:t>i(</m:t>
        </m:r>
        <m:d>
          <m:dPr>
            <m:ctrlPr>
              <w:rPr>
                <w:rFonts w:ascii="Cambria Math" w:hAnsi="Cambria Math"/>
                <w:i/>
              </w:rPr>
            </m:ctrlPr>
          </m:dPr>
          <m:e>
            <m:r>
              <w:rPr>
                <w:rFonts w:ascii="Cambria Math" w:hAnsi="Cambria Math"/>
              </w:rPr>
              <m:t>g+1</m:t>
            </m:r>
          </m:e>
        </m:d>
        <m:r>
          <w:rPr>
            <w:rFonts w:ascii="Cambria Math" w:hAnsi="Cambria Math"/>
          </w:rPr>
          <m:t>mod2)</m:t>
        </m:r>
      </m:oMath>
      <w:r>
        <w:t xml:space="preserve"> in a slot, as described </w:t>
      </w:r>
      <w:r w:rsidR="006F5F9E">
        <w:t>in clause</w:t>
      </w:r>
      <w:r>
        <w:t xml:space="preserve"> 9.1.3.1, excludes the generation of HARQ-ACK information for SPS PDSCH receptions.</w:t>
      </w:r>
    </w:p>
    <w:p w14:paraId="7E4EB82C" w14:textId="77777777" w:rsidR="008C3F0C" w:rsidRPr="00990A42" w:rsidRDefault="008C3F0C" w:rsidP="008C3F0C">
      <w:pPr>
        <w:rPr>
          <w:lang w:eastAsia="zh-CN"/>
        </w:rPr>
      </w:pPr>
      <w:r>
        <w:t>I</w:t>
      </w:r>
      <w:r w:rsidRPr="00990A42">
        <w:t xml:space="preserve">f </w:t>
      </w:r>
      <m:oMath>
        <m:r>
          <w:rPr>
            <w:rFonts w:ascii="Cambria Math" w:cs="Arial"/>
            <w:lang w:eastAsia="zh-CN"/>
          </w:rPr>
          <m:t>q=0</m:t>
        </m:r>
      </m:oMath>
      <w:r>
        <w:rPr>
          <w:lang w:eastAsia="zh-CN"/>
        </w:rPr>
        <w:t>, the UE</w:t>
      </w:r>
    </w:p>
    <w:p w14:paraId="2CFC779B" w14:textId="77777777" w:rsidR="008C3F0C" w:rsidRPr="00990A42" w:rsidRDefault="008C3F0C" w:rsidP="003E315E">
      <w:pPr>
        <w:pStyle w:val="B1"/>
      </w:pPr>
      <w:r>
        <w:t xml:space="preserve">includes </w:t>
      </w:r>
      <w:r w:rsidRPr="00990A42">
        <w:t xml:space="preserve">only the </w:t>
      </w:r>
      <w:r>
        <w:t xml:space="preserve">first </w:t>
      </w:r>
      <w:r w:rsidRPr="00990A42">
        <w:t>HARQ-ACK in</w:t>
      </w:r>
      <w:r>
        <w:t xml:space="preserve">formation for multiplexing in </w:t>
      </w:r>
      <w:r w:rsidRPr="00990A42">
        <w:t xml:space="preserve">PUCCH transmission occasion </w:t>
      </w:r>
      <m:oMath>
        <m:r>
          <w:rPr>
            <w:rFonts w:ascii="Cambria Math" w:hAnsi="Cambria Math"/>
          </w:rPr>
          <m:t>i(g)</m:t>
        </m:r>
      </m:oMath>
    </w:p>
    <w:p w14:paraId="6C854674" w14:textId="77777777" w:rsidR="008C3F0C" w:rsidRPr="00990A42" w:rsidRDefault="008C3F0C" w:rsidP="008C3F0C">
      <w:r w:rsidRPr="00990A42">
        <w:t>else</w:t>
      </w:r>
      <w:r>
        <w:t xml:space="preserve">if </w:t>
      </w:r>
      <m:oMath>
        <m:r>
          <w:rPr>
            <w:rFonts w:ascii="Cambria Math" w:cs="Arial"/>
            <w:lang w:eastAsia="zh-CN"/>
          </w:rPr>
          <m:t>q=1</m:t>
        </m:r>
      </m:oMath>
    </w:p>
    <w:p w14:paraId="4FECC57A" w14:textId="77777777" w:rsidR="008C3F0C" w:rsidRPr="00990A42" w:rsidRDefault="008C3F0C" w:rsidP="003E315E">
      <w:pPr>
        <w:pStyle w:val="B1"/>
      </w:pPr>
      <w:r>
        <w:t>if g = 1</w:t>
      </w:r>
    </w:p>
    <w:p w14:paraId="4960C48B" w14:textId="77777777" w:rsidR="008C3F0C" w:rsidRDefault="008C3F0C" w:rsidP="003E315E">
      <w:pPr>
        <w:pStyle w:val="B2"/>
        <w:ind w:left="567" w:firstLine="0"/>
      </w:pPr>
      <w:r>
        <w:t xml:space="preserve">appends </w:t>
      </w:r>
      <w:r w:rsidRPr="00990A42">
        <w:t xml:space="preserve">the </w:t>
      </w:r>
      <w:r>
        <w:t xml:space="preserve">first </w:t>
      </w:r>
      <w:r w:rsidRPr="00990A42">
        <w:t>HARQ-ACK information</w:t>
      </w:r>
      <w:r>
        <w:t xml:space="preserve"> to the second </w:t>
      </w:r>
      <w:r w:rsidRPr="00990A42">
        <w:t xml:space="preserve">HARQ-ACK information </w:t>
      </w:r>
      <w:r>
        <w:t xml:space="preserve">for multiplexing in </w:t>
      </w:r>
      <w:r w:rsidRPr="00990A42">
        <w:t xml:space="preserve">PUCCH transmission occasion </w:t>
      </w:r>
      <m:oMath>
        <m:r>
          <w:rPr>
            <w:rFonts w:ascii="Cambria Math" w:hAnsi="Cambria Math"/>
          </w:rPr>
          <m:t>i(g)</m:t>
        </m:r>
      </m:oMath>
    </w:p>
    <w:p w14:paraId="2060DF91" w14:textId="54FA87C6" w:rsidR="008C3F0C" w:rsidRDefault="008C3F0C" w:rsidP="003E315E">
      <w:pPr>
        <w:pStyle w:val="B1"/>
      </w:pPr>
      <w:r>
        <w:t>else</w:t>
      </w:r>
    </w:p>
    <w:p w14:paraId="3F6D73B3" w14:textId="77777777" w:rsidR="008C3F0C" w:rsidRDefault="008C3F0C" w:rsidP="003E315E">
      <w:pPr>
        <w:pStyle w:val="B2"/>
        <w:ind w:left="567" w:firstLine="0"/>
      </w:pPr>
      <w:r>
        <w:t xml:space="preserve">append </w:t>
      </w:r>
      <w:r w:rsidRPr="00990A42">
        <w:t xml:space="preserve">the </w:t>
      </w:r>
      <w:r>
        <w:t xml:space="preserve">second </w:t>
      </w:r>
      <w:r w:rsidRPr="00990A42">
        <w:t xml:space="preserve">HARQ-ACK information </w:t>
      </w:r>
      <w:r>
        <w:t xml:space="preserve">to the first </w:t>
      </w:r>
      <w:r w:rsidRPr="00990A42">
        <w:t xml:space="preserve">HARQ-ACK information </w:t>
      </w:r>
      <w:r>
        <w:t xml:space="preserve">for multiplexing in </w:t>
      </w:r>
      <w:r w:rsidRPr="00990A42">
        <w:t xml:space="preserve">PUCCH transmission occasion </w:t>
      </w:r>
      <m:oMath>
        <m:r>
          <w:rPr>
            <w:rFonts w:ascii="Cambria Math" w:hAnsi="Cambria Math"/>
          </w:rPr>
          <m:t>i(g)</m:t>
        </m:r>
      </m:oMath>
    </w:p>
    <w:p w14:paraId="64FC7271" w14:textId="3F4543DD" w:rsidR="008C3F0C" w:rsidRPr="00990A42" w:rsidRDefault="008C3F0C" w:rsidP="003E315E">
      <w:pPr>
        <w:pStyle w:val="B1"/>
      </w:pPr>
      <w:r>
        <w:t>end if</w:t>
      </w:r>
    </w:p>
    <w:p w14:paraId="43BF3FC7" w14:textId="77777777" w:rsidR="008C3F0C" w:rsidRPr="00990A42" w:rsidRDefault="008C3F0C" w:rsidP="008C3F0C">
      <w:r w:rsidRPr="00990A42">
        <w:t>end if</w:t>
      </w:r>
    </w:p>
    <w:p w14:paraId="1C00B560" w14:textId="17B356ED" w:rsidR="0008789E" w:rsidRDefault="0008789E" w:rsidP="0008789E">
      <w:r w:rsidRPr="0092527F">
        <w:t>The UE appends the HARQ-ACK information corresponding to SPS PDSCH reception</w:t>
      </w:r>
      <w:r>
        <w:t>s</w:t>
      </w:r>
      <w:r w:rsidRPr="0092527F">
        <w:t xml:space="preserve">, if any, as described </w:t>
      </w:r>
      <w:r w:rsidR="006F5F9E">
        <w:t>in clause</w:t>
      </w:r>
      <w:r w:rsidRPr="0092527F">
        <w:t xml:space="preserve"> 9.1.3.1, after the first and second</w:t>
      </w:r>
      <w:r>
        <w:t xml:space="preserve">, </w:t>
      </w:r>
      <w:r w:rsidRPr="0092527F">
        <w:t>if any</w:t>
      </w:r>
      <w:r>
        <w:t>,</w:t>
      </w:r>
      <w:r w:rsidRPr="0092527F">
        <w:t xml:space="preserve"> HARQ-ACK information.</w:t>
      </w:r>
    </w:p>
    <w:p w14:paraId="1AFE9042" w14:textId="77777777" w:rsidR="008C3F0C" w:rsidRDefault="008C3F0C" w:rsidP="003E315E">
      <w:r w:rsidRPr="00990A42">
        <w:t xml:space="preserve">If the HARQ-ACK information is multiplexed in a PUSCH transmission, </w:t>
      </w:r>
      <w:r>
        <w:t xml:space="preserve">the HARQ-ACK information is determined as </w:t>
      </w:r>
    </w:p>
    <w:p w14:paraId="32F0FB16" w14:textId="733FDC1E" w:rsidR="008C3F0C" w:rsidRDefault="00224F81" w:rsidP="003E315E">
      <w:pPr>
        <w:pStyle w:val="B1"/>
      </w:pPr>
      <w:r>
        <w:rPr>
          <w:rFonts w:cs="Arial"/>
          <w:lang w:eastAsia="zh-CN"/>
        </w:rPr>
        <w:t>-</w:t>
      </w:r>
      <w:r>
        <w:rPr>
          <w:rFonts w:cs="Arial"/>
          <w:lang w:eastAsia="zh-CN"/>
        </w:rPr>
        <w:tab/>
      </w:r>
      <w:r w:rsidR="008C3F0C">
        <w:rPr>
          <w:rFonts w:cs="Arial"/>
          <w:lang w:eastAsia="zh-CN"/>
        </w:rPr>
        <w:t xml:space="preserve">for multiplexing </w:t>
      </w:r>
      <w:r w:rsidR="008C3F0C">
        <w:t xml:space="preserve">in </w:t>
      </w:r>
      <w:r w:rsidR="008C3F0C" w:rsidRPr="00990A42">
        <w:t xml:space="preserve">PUCCH transmission occasion </w:t>
      </w:r>
      <m:oMath>
        <m:r>
          <w:rPr>
            <w:rFonts w:ascii="Cambria Math" w:hAnsi="Cambria Math"/>
          </w:rPr>
          <m:t>i(g)</m:t>
        </m:r>
      </m:oMath>
      <w:r w:rsidR="008C3F0C">
        <w:t xml:space="preserve">, if the PUSCH transmission is not scheduled by a DCI format or is scheduled by a DCI format that does not include a DCI field with value </w:t>
      </w:r>
      <m:oMath>
        <m:sSubSup>
          <m:sSubSupPr>
            <m:ctrlPr>
              <w:rPr>
                <w:rFonts w:ascii="Cambria Math" w:hAnsi="Cambria Math"/>
                <w:i/>
              </w:rPr>
            </m:ctrlPr>
          </m:sSubSupPr>
          <m:e>
            <m:r>
              <w:rPr>
                <w:rFonts w:ascii="Cambria Math" w:hAnsi="Cambria Math"/>
              </w:rPr>
              <m:t>V</m:t>
            </m:r>
          </m:e>
          <m:sub>
            <m:r>
              <m:rPr>
                <m:sty m:val="p"/>
              </m:rPr>
              <w:rPr>
                <w:rFonts w:ascii="Cambria Math" w:hAnsi="Cambria Math"/>
              </w:rPr>
              <m:t>DAI</m:t>
            </m:r>
          </m:sub>
          <m:sup>
            <m:r>
              <m:rPr>
                <m:sty m:val="p"/>
              </m:rPr>
              <w:rPr>
                <w:rFonts w:ascii="Cambria Math" w:hAnsi="Cambria Math"/>
              </w:rPr>
              <m:t>UL</m:t>
            </m:r>
          </m:sup>
        </m:sSubSup>
      </m:oMath>
    </w:p>
    <w:p w14:paraId="61DD3CED" w14:textId="4EEF87A7" w:rsidR="008C3F0C" w:rsidRDefault="00224F81" w:rsidP="003E315E">
      <w:pPr>
        <w:pStyle w:val="B1"/>
      </w:pPr>
      <w:r>
        <w:rPr>
          <w:rFonts w:cs="Arial"/>
          <w:lang w:eastAsia="zh-CN"/>
        </w:rPr>
        <w:t>-</w:t>
      </w:r>
      <w:r>
        <w:rPr>
          <w:rFonts w:cs="Arial"/>
          <w:lang w:eastAsia="zh-CN"/>
        </w:rPr>
        <w:tab/>
      </w:r>
      <w:r w:rsidR="008C3F0C">
        <w:rPr>
          <w:rFonts w:cs="Arial"/>
          <w:lang w:eastAsia="zh-CN"/>
        </w:rPr>
        <w:t xml:space="preserve">for multiplexing </w:t>
      </w:r>
      <w:r w:rsidR="008C3F0C">
        <w:t xml:space="preserve">in </w:t>
      </w:r>
      <w:r w:rsidR="008C3F0C" w:rsidRPr="00990A42">
        <w:t xml:space="preserve">PUCCH transmission occasion </w:t>
      </w:r>
      <m:oMath>
        <m:r>
          <w:rPr>
            <w:rFonts w:ascii="Cambria Math" w:hAnsi="Cambria Math"/>
          </w:rPr>
          <m:t>i(g)</m:t>
        </m:r>
      </m:oMath>
      <w:r w:rsidR="008C3F0C">
        <w:t xml:space="preserve">, if the PUSCH transmission is scheduled by a DCI format </w:t>
      </w:r>
      <w:r w:rsidR="00A12E73" w:rsidRPr="002B266E">
        <w:rPr>
          <w:rFonts w:hint="eastAsia"/>
          <w:lang w:eastAsia="zh-CN"/>
        </w:rPr>
        <w:t xml:space="preserve">without </w:t>
      </w:r>
      <w:r w:rsidR="00BB1E37">
        <w:rPr>
          <w:i/>
          <w:lang w:val="en-US"/>
        </w:rPr>
        <w:t>ul</w:t>
      </w:r>
      <w:r w:rsidR="00A12E73" w:rsidRPr="002B266E">
        <w:rPr>
          <w:i/>
        </w:rPr>
        <w:t>-TotalDAI-Included</w:t>
      </w:r>
      <w:r w:rsidR="00A12E73" w:rsidRPr="002B266E">
        <w:rPr>
          <w:rFonts w:hint="eastAsia"/>
          <w:lang w:eastAsia="zh-CN"/>
        </w:rPr>
        <w:t xml:space="preserve"> configured</w:t>
      </w:r>
      <w:r w:rsidR="008C3F0C">
        <w:t xml:space="preserve"> except that for</w:t>
      </w:r>
      <w:r w:rsidR="00A12E73">
        <w:rPr>
          <w:lang w:val="en-US"/>
        </w:rPr>
        <w:t xml:space="preserve"> PDSCH group</w:t>
      </w:r>
      <w:r w:rsidR="008C3F0C">
        <w:rPr>
          <w:rFonts w:cs="Arial"/>
          <w:lang w:eastAsia="zh-CN"/>
        </w:rPr>
        <w:t xml:space="preserve"> </w:t>
      </w:r>
      <m:oMath>
        <m:r>
          <w:rPr>
            <w:rFonts w:ascii="Cambria Math" w:cs="Arial"/>
            <w:lang w:eastAsia="zh-CN"/>
          </w:rPr>
          <m:t>g</m:t>
        </m:r>
      </m:oMath>
      <w:r w:rsidR="008C3F0C">
        <w:rPr>
          <w:rFonts w:cs="Arial"/>
          <w:lang w:eastAsia="zh-CN"/>
        </w:rPr>
        <w:t>,</w:t>
      </w:r>
      <w:r w:rsidR="008C3F0C">
        <w:rPr>
          <w:lang w:val="en-US"/>
        </w:rPr>
        <w:t xml:space="preserve"> the </w:t>
      </w:r>
      <w:r w:rsidR="008C3F0C">
        <w:t xml:space="preserve">DCI field with value </w:t>
      </w:r>
      <m:oMath>
        <m:sSubSup>
          <m:sSubSupPr>
            <m:ctrlPr>
              <w:rPr>
                <w:rFonts w:ascii="Cambria Math" w:hAnsi="Cambria Math"/>
                <w:i/>
              </w:rPr>
            </m:ctrlPr>
          </m:sSubSupPr>
          <m:e>
            <m:r>
              <w:rPr>
                <w:rFonts w:ascii="Cambria Math" w:hAnsi="Cambria Math"/>
              </w:rPr>
              <m:t>V</m:t>
            </m:r>
          </m:e>
          <m:sub>
            <m:r>
              <m:rPr>
                <m:sty m:val="p"/>
              </m:rPr>
              <w:rPr>
                <w:rFonts w:ascii="Cambria Math" w:hAnsi="Cambria Math"/>
              </w:rPr>
              <m:t>DAI</m:t>
            </m:r>
          </m:sub>
          <m:sup>
            <m:r>
              <m:rPr>
                <m:sty m:val="p"/>
              </m:rPr>
              <w:rPr>
                <w:rFonts w:ascii="Cambria Math" w:hAnsi="Cambria Math"/>
              </w:rPr>
              <m:t>UL</m:t>
            </m:r>
          </m:sup>
        </m:sSubSup>
      </m:oMath>
      <w:r w:rsidR="008C3F0C">
        <w:rPr>
          <w:lang w:val="en-US"/>
        </w:rPr>
        <w:t xml:space="preserve"> in the DCI format is used </w:t>
      </w:r>
      <w:r w:rsidR="008C3F0C" w:rsidRPr="008B708C">
        <w:rPr>
          <w:szCs w:val="22"/>
        </w:rPr>
        <w:t xml:space="preserve">after the completion of the </w:t>
      </w:r>
      <m:oMath>
        <m:r>
          <w:rPr>
            <w:rFonts w:ascii="Cambria Math" w:hAnsi="Cambria Math"/>
          </w:rPr>
          <m:t>c</m:t>
        </m:r>
      </m:oMath>
      <w:r w:rsidR="008C3F0C">
        <w:rPr>
          <w:lang w:val="en-US" w:eastAsia="zh-CN"/>
        </w:rPr>
        <w:t xml:space="preserve"> and </w:t>
      </w:r>
      <m:oMath>
        <m:r>
          <w:rPr>
            <w:rFonts w:ascii="Cambria Math" w:hAnsi="Cambria Math"/>
          </w:rPr>
          <m:t>m</m:t>
        </m:r>
      </m:oMath>
      <w:r w:rsidR="008C3F0C">
        <w:rPr>
          <w:lang w:val="en-US" w:eastAsia="zh-CN"/>
        </w:rPr>
        <w:t xml:space="preserve"> loops</w:t>
      </w:r>
      <w:r w:rsidR="008C3F0C">
        <w:rPr>
          <w:lang w:eastAsia="zh-CN"/>
        </w:rPr>
        <w:t xml:space="preserve"> </w:t>
      </w:r>
      <w:r w:rsidR="008C3F0C">
        <w:t>f</w:t>
      </w:r>
      <w:r w:rsidR="008C3F0C" w:rsidRPr="00B916EC">
        <w:t xml:space="preserve">or </w:t>
      </w:r>
      <w:r w:rsidR="008C3F0C">
        <w:rPr>
          <w:lang w:val="en-US"/>
        </w:rPr>
        <w:t xml:space="preserve">the pseudo-code for the </w:t>
      </w:r>
      <w:r w:rsidR="008C3F0C" w:rsidRPr="00B916EC">
        <w:rPr>
          <w:rFonts w:cs="Arial"/>
          <w:lang w:eastAsia="zh-CN"/>
        </w:rPr>
        <w:t xml:space="preserve">HARQ-ACK </w:t>
      </w:r>
      <w:r w:rsidR="008C3F0C" w:rsidRPr="00B916EC">
        <w:rPr>
          <w:rFonts w:cs="Arial"/>
          <w:lang w:eastAsia="zh-CN"/>
        </w:rPr>
        <w:lastRenderedPageBreak/>
        <w:t xml:space="preserve">codebook </w:t>
      </w:r>
      <w:r w:rsidR="008C3F0C">
        <w:rPr>
          <w:rFonts w:cs="Arial"/>
          <w:lang w:val="en-US" w:eastAsia="zh-CN"/>
        </w:rPr>
        <w:t xml:space="preserve">generation </w:t>
      </w:r>
      <w:r w:rsidR="006F5F9E">
        <w:rPr>
          <w:rFonts w:cs="Arial"/>
          <w:lang w:eastAsia="zh-CN"/>
        </w:rPr>
        <w:t>in clause</w:t>
      </w:r>
      <w:r w:rsidR="008C3F0C">
        <w:rPr>
          <w:rFonts w:cs="Arial"/>
          <w:lang w:eastAsia="zh-CN"/>
        </w:rPr>
        <w:t xml:space="preserve"> 9.1.3.1</w:t>
      </w:r>
      <w:r w:rsidR="00A12E73" w:rsidRPr="0022218F">
        <w:rPr>
          <w:rFonts w:eastAsiaTheme="minorEastAsia" w:cs="Arial" w:hint="eastAsia"/>
          <w:lang w:val="en-GB" w:eastAsia="zh-CN"/>
        </w:rPr>
        <w:t>, and when the HARQ-ACK information</w:t>
      </w:r>
      <w:r w:rsidR="00A12E73" w:rsidRPr="0022218F">
        <w:rPr>
          <w:rFonts w:eastAsiaTheme="minorEastAsia" w:cs="Arial"/>
          <w:lang w:val="en-GB" w:eastAsia="zh-CN"/>
        </w:rPr>
        <w:t xml:space="preserve"> multiplexed in the </w:t>
      </w:r>
      <w:r w:rsidR="00A12E73" w:rsidRPr="0022218F">
        <w:rPr>
          <w:lang w:val="en-GB" w:eastAsia="en-GB"/>
        </w:rPr>
        <w:t xml:space="preserve">PUCCH transmission occasion </w:t>
      </w:r>
      <m:oMath>
        <m:r>
          <w:rPr>
            <w:rFonts w:ascii="Cambria Math" w:hAnsi="Cambria Math"/>
            <w:lang w:val="en-GB" w:eastAsia="en-GB"/>
          </w:rPr>
          <m:t>i</m:t>
        </m:r>
        <m:d>
          <m:dPr>
            <m:ctrlPr>
              <w:rPr>
                <w:rFonts w:ascii="Cambria Math" w:hAnsi="Cambria Math"/>
                <w:i/>
                <w:lang w:val="en-GB" w:eastAsia="en-GB"/>
              </w:rPr>
            </m:ctrlPr>
          </m:dPr>
          <m:e>
            <m:r>
              <w:rPr>
                <w:rFonts w:ascii="Cambria Math" w:hAnsi="Cambria Math"/>
                <w:lang w:val="en-GB" w:eastAsia="en-GB"/>
              </w:rPr>
              <m:t>g</m:t>
            </m:r>
          </m:e>
        </m:d>
      </m:oMath>
      <w:r w:rsidR="00A12E73" w:rsidRPr="0022218F">
        <w:rPr>
          <w:rFonts w:hint="eastAsia"/>
          <w:lang w:val="en-GB" w:eastAsia="en-GB"/>
        </w:rPr>
        <w:t xml:space="preserve"> does not include </w:t>
      </w:r>
      <w:r w:rsidR="00A12E73" w:rsidRPr="0022218F">
        <w:rPr>
          <w:rFonts w:eastAsiaTheme="minorEastAsia" w:cs="Arial" w:hint="eastAsia"/>
          <w:lang w:val="en-GB" w:eastAsia="zh-CN"/>
        </w:rPr>
        <w:t>HARQ-ACK information</w:t>
      </w:r>
      <w:r w:rsidR="00A12E73" w:rsidRPr="0022218F">
        <w:rPr>
          <w:rFonts w:eastAsiaTheme="minorEastAsia" w:cs="Arial"/>
          <w:lang w:val="en-GB" w:eastAsia="zh-CN"/>
        </w:rPr>
        <w:t xml:space="preserve"> for PDSCH </w:t>
      </w:r>
      <w:r w:rsidR="00A12E73" w:rsidRPr="0022218F">
        <w:rPr>
          <w:rFonts w:eastAsiaTheme="minorEastAsia" w:hint="eastAsia"/>
          <w:lang w:val="en-GB" w:eastAsia="zh-CN"/>
        </w:rPr>
        <w:t xml:space="preserve">group </w:t>
      </w:r>
      <m:oMath>
        <m:d>
          <m:dPr>
            <m:ctrlPr>
              <w:rPr>
                <w:rFonts w:ascii="Cambria Math" w:hAnsi="Cambria Math"/>
                <w:i/>
                <w:lang w:val="en-GB" w:eastAsia="en-GB"/>
              </w:rPr>
            </m:ctrlPr>
          </m:dPr>
          <m:e>
            <m:r>
              <w:rPr>
                <w:rFonts w:ascii="Cambria Math" w:hAnsi="Cambria Math"/>
                <w:lang w:val="en-GB" w:eastAsia="en-GB"/>
              </w:rPr>
              <m:t>g+1</m:t>
            </m:r>
          </m:e>
        </m:d>
        <m:r>
          <w:rPr>
            <w:rFonts w:ascii="Cambria Math" w:hAnsi="Cambria Math"/>
            <w:lang w:val="en-GB" w:eastAsia="en-GB"/>
          </w:rPr>
          <m:t>mod2</m:t>
        </m:r>
      </m:oMath>
    </w:p>
    <w:p w14:paraId="7F774A4D" w14:textId="22687A2F" w:rsidR="008C3F0C" w:rsidRDefault="00224F81" w:rsidP="003E315E">
      <w:pPr>
        <w:pStyle w:val="B1"/>
      </w:pPr>
      <w:r>
        <w:rPr>
          <w:rFonts w:cs="Arial"/>
          <w:lang w:eastAsia="zh-CN"/>
        </w:rPr>
        <w:t>-</w:t>
      </w:r>
      <w:r>
        <w:rPr>
          <w:rFonts w:cs="Arial"/>
          <w:lang w:eastAsia="zh-CN"/>
        </w:rPr>
        <w:tab/>
      </w:r>
      <w:r w:rsidR="008C3F0C">
        <w:rPr>
          <w:rFonts w:cs="Arial"/>
          <w:lang w:eastAsia="zh-CN"/>
        </w:rPr>
        <w:t xml:space="preserve">for multiplexing </w:t>
      </w:r>
      <w:r w:rsidR="008C3F0C">
        <w:t xml:space="preserve">in </w:t>
      </w:r>
      <w:r w:rsidR="008C3F0C" w:rsidRPr="00990A42">
        <w:t xml:space="preserve">PUCCH transmission occasion </w:t>
      </w:r>
      <m:oMath>
        <m:r>
          <w:rPr>
            <w:rFonts w:ascii="Cambria Math" w:hAnsi="Cambria Math"/>
          </w:rPr>
          <m:t>i(g)</m:t>
        </m:r>
      </m:oMath>
      <w:r w:rsidR="008C3F0C">
        <w:t xml:space="preserve">, if the PUSCH transmission is scheduled by a DCI format </w:t>
      </w:r>
      <w:r w:rsidR="00A12E73" w:rsidRPr="002B266E">
        <w:rPr>
          <w:rFonts w:hint="eastAsia"/>
          <w:lang w:eastAsia="zh-CN"/>
        </w:rPr>
        <w:t xml:space="preserve">without </w:t>
      </w:r>
      <w:r w:rsidR="00BB1E37">
        <w:rPr>
          <w:i/>
          <w:lang w:val="en-US"/>
        </w:rPr>
        <w:t>ul</w:t>
      </w:r>
      <w:r w:rsidR="00A12E73" w:rsidRPr="002B266E">
        <w:rPr>
          <w:i/>
        </w:rPr>
        <w:t>-TotalDAI-Included</w:t>
      </w:r>
      <w:r w:rsidR="00A12E73" w:rsidRPr="002B266E">
        <w:rPr>
          <w:rFonts w:hint="eastAsia"/>
          <w:lang w:eastAsia="zh-CN"/>
        </w:rPr>
        <w:t xml:space="preserve"> configured</w:t>
      </w:r>
      <w:r w:rsidR="008C3F0C">
        <w:t xml:space="preserve"> except that</w:t>
      </w:r>
      <w:r w:rsidR="00A12E73" w:rsidRPr="00A12E73">
        <w:rPr>
          <w:rFonts w:eastAsiaTheme="minorEastAsia" w:hint="eastAsia"/>
          <w:lang w:eastAsia="zh-CN"/>
        </w:rPr>
        <w:t xml:space="preserve"> </w:t>
      </w:r>
      <w:r w:rsidR="00A12E73" w:rsidRPr="0022218F">
        <w:rPr>
          <w:rFonts w:eastAsiaTheme="minorEastAsia" w:hint="eastAsia"/>
          <w:lang w:eastAsia="zh-CN"/>
        </w:rPr>
        <w:t>for PDSCH group</w:t>
      </w:r>
      <w:r w:rsidR="00A12E73" w:rsidRPr="0022218F">
        <w:rPr>
          <w:rFonts w:eastAsiaTheme="minorEastAsia"/>
          <w:lang w:eastAsia="zh-CN"/>
        </w:rPr>
        <w:t xml:space="preserve"> </w:t>
      </w:r>
      <m:oMath>
        <m:r>
          <w:rPr>
            <w:rFonts w:ascii="Cambria Math" w:cs="Arial"/>
            <w:lang w:eastAsia="zh-CN"/>
          </w:rPr>
          <m:t>g=0</m:t>
        </m:r>
      </m:oMath>
      <w:r w:rsidR="00A12E73" w:rsidRPr="0022218F">
        <w:rPr>
          <w:rFonts w:eastAsiaTheme="minorEastAsia"/>
          <w:lang w:eastAsia="zh-CN"/>
        </w:rPr>
        <w:t>,</w:t>
      </w:r>
      <w:r w:rsidR="008C3F0C">
        <w:rPr>
          <w:lang w:val="en-US"/>
        </w:rPr>
        <w:t xml:space="preserve"> the </w:t>
      </w:r>
      <w:r w:rsidR="008C3F0C">
        <w:t xml:space="preserve">DCI field with value </w:t>
      </w:r>
      <m:oMath>
        <m:sSubSup>
          <m:sSubSupPr>
            <m:ctrlPr>
              <w:rPr>
                <w:rFonts w:ascii="Cambria Math" w:hAnsi="Cambria Math"/>
                <w:i/>
              </w:rPr>
            </m:ctrlPr>
          </m:sSubSupPr>
          <m:e>
            <m:r>
              <w:rPr>
                <w:rFonts w:ascii="Cambria Math" w:hAnsi="Cambria Math"/>
              </w:rPr>
              <m:t>V</m:t>
            </m:r>
          </m:e>
          <m:sub>
            <m:r>
              <m:rPr>
                <m:sty m:val="p"/>
              </m:rPr>
              <w:rPr>
                <w:rFonts w:ascii="Cambria Math" w:hAnsi="Cambria Math"/>
              </w:rPr>
              <m:t>DAI</m:t>
            </m:r>
          </m:sub>
          <m:sup>
            <m:r>
              <m:rPr>
                <m:sty m:val="p"/>
              </m:rPr>
              <w:rPr>
                <w:rFonts w:ascii="Cambria Math" w:hAnsi="Cambria Math"/>
              </w:rPr>
              <m:t>UL</m:t>
            </m:r>
          </m:sup>
        </m:sSubSup>
      </m:oMath>
      <w:r w:rsidR="008C3F0C">
        <w:rPr>
          <w:lang w:eastAsia="zh-CN"/>
        </w:rPr>
        <w:t xml:space="preserve"> </w:t>
      </w:r>
      <w:r w:rsidR="008C3F0C">
        <w:rPr>
          <w:lang w:val="en-US"/>
        </w:rPr>
        <w:t xml:space="preserve">in the DCI format is used </w:t>
      </w:r>
      <w:r w:rsidR="008C3F0C" w:rsidRPr="008B708C">
        <w:rPr>
          <w:szCs w:val="22"/>
        </w:rPr>
        <w:t xml:space="preserve">after the completion of the </w:t>
      </w:r>
      <m:oMath>
        <m:r>
          <w:rPr>
            <w:rFonts w:ascii="Cambria Math" w:hAnsi="Cambria Math"/>
          </w:rPr>
          <m:t>c</m:t>
        </m:r>
      </m:oMath>
      <w:r w:rsidR="008C3F0C">
        <w:rPr>
          <w:lang w:val="en-US" w:eastAsia="zh-CN"/>
        </w:rPr>
        <w:t xml:space="preserve"> and </w:t>
      </w:r>
      <m:oMath>
        <m:r>
          <w:rPr>
            <w:rFonts w:ascii="Cambria Math" w:hAnsi="Cambria Math"/>
          </w:rPr>
          <m:t>m</m:t>
        </m:r>
      </m:oMath>
      <w:r w:rsidR="008C3F0C">
        <w:rPr>
          <w:lang w:val="en-US" w:eastAsia="zh-CN"/>
        </w:rPr>
        <w:t xml:space="preserve"> loops</w:t>
      </w:r>
      <w:r w:rsidR="008C3F0C">
        <w:rPr>
          <w:lang w:eastAsia="zh-CN"/>
        </w:rPr>
        <w:t xml:space="preserve"> </w:t>
      </w:r>
      <w:r w:rsidR="008C3F0C">
        <w:t>f</w:t>
      </w:r>
      <w:r w:rsidR="008C3F0C" w:rsidRPr="00B916EC">
        <w:t xml:space="preserve">or </w:t>
      </w:r>
      <w:r w:rsidR="008C3F0C">
        <w:rPr>
          <w:lang w:val="en-US"/>
        </w:rPr>
        <w:t xml:space="preserve">the pseudo-code for the </w:t>
      </w:r>
      <w:r w:rsidR="008C3F0C" w:rsidRPr="00B916EC">
        <w:rPr>
          <w:rFonts w:cs="Arial"/>
          <w:lang w:eastAsia="zh-CN"/>
        </w:rPr>
        <w:t xml:space="preserve">HARQ-ACK codebook </w:t>
      </w:r>
      <w:r w:rsidR="008C3F0C">
        <w:rPr>
          <w:rFonts w:cs="Arial"/>
          <w:lang w:val="en-US" w:eastAsia="zh-CN"/>
        </w:rPr>
        <w:t xml:space="preserve">generation </w:t>
      </w:r>
      <w:r w:rsidR="006F5F9E">
        <w:rPr>
          <w:rFonts w:cs="Arial"/>
          <w:lang w:eastAsia="zh-CN"/>
        </w:rPr>
        <w:t>in clause</w:t>
      </w:r>
      <w:r w:rsidR="008C3F0C">
        <w:rPr>
          <w:rFonts w:cs="Arial"/>
          <w:lang w:eastAsia="zh-CN"/>
        </w:rPr>
        <w:t xml:space="preserve"> 9.1.3.1</w:t>
      </w:r>
      <w:r w:rsidR="00A12E73" w:rsidRPr="0022218F">
        <w:rPr>
          <w:rFonts w:cs="Arial"/>
          <w:lang w:val="en-US" w:eastAsia="zh-CN"/>
        </w:rPr>
        <w:t xml:space="preserve">, </w:t>
      </w:r>
      <w:r w:rsidR="00A12E73" w:rsidRPr="0022218F">
        <w:rPr>
          <w:rFonts w:eastAsiaTheme="minorEastAsia" w:cs="Arial" w:hint="eastAsia"/>
          <w:lang w:val="en-GB" w:eastAsia="zh-CN"/>
        </w:rPr>
        <w:t>and when the HARQ-ACK information</w:t>
      </w:r>
      <w:r w:rsidR="00A12E73" w:rsidRPr="0022218F">
        <w:rPr>
          <w:rFonts w:eastAsiaTheme="minorEastAsia" w:cs="Arial"/>
          <w:lang w:val="en-GB" w:eastAsia="zh-CN"/>
        </w:rPr>
        <w:t xml:space="preserve"> multiplexed in the </w:t>
      </w:r>
      <w:r w:rsidR="00A12E73" w:rsidRPr="0022218F">
        <w:rPr>
          <w:lang w:val="en-GB" w:eastAsia="en-GB"/>
        </w:rPr>
        <w:t xml:space="preserve">PUCCH transmission occasion </w:t>
      </w:r>
      <m:oMath>
        <m:r>
          <w:rPr>
            <w:rFonts w:ascii="Cambria Math" w:hAnsi="Cambria Math"/>
            <w:lang w:val="en-GB" w:eastAsia="en-GB"/>
          </w:rPr>
          <m:t>i</m:t>
        </m:r>
        <m:d>
          <m:dPr>
            <m:ctrlPr>
              <w:rPr>
                <w:rFonts w:ascii="Cambria Math" w:hAnsi="Cambria Math"/>
                <w:i/>
                <w:lang w:val="en-GB" w:eastAsia="en-GB"/>
              </w:rPr>
            </m:ctrlPr>
          </m:dPr>
          <m:e>
            <m:r>
              <w:rPr>
                <w:rFonts w:ascii="Cambria Math" w:hAnsi="Cambria Math"/>
                <w:lang w:val="en-GB" w:eastAsia="en-GB"/>
              </w:rPr>
              <m:t>g</m:t>
            </m:r>
          </m:e>
        </m:d>
      </m:oMath>
      <w:r w:rsidR="00A12E73" w:rsidRPr="0022218F">
        <w:rPr>
          <w:rFonts w:hint="eastAsia"/>
          <w:lang w:val="en-GB" w:eastAsia="en-GB"/>
        </w:rPr>
        <w:t xml:space="preserve"> include</w:t>
      </w:r>
      <w:r w:rsidR="00A12E73" w:rsidRPr="0022218F">
        <w:rPr>
          <w:lang w:val="en-GB" w:eastAsia="en-GB"/>
        </w:rPr>
        <w:t>s</w:t>
      </w:r>
      <w:r w:rsidR="00A12E73" w:rsidRPr="0022218F">
        <w:rPr>
          <w:rFonts w:hint="eastAsia"/>
          <w:lang w:val="en-GB" w:eastAsia="en-GB"/>
        </w:rPr>
        <w:t xml:space="preserve"> </w:t>
      </w:r>
      <w:r w:rsidR="00A12E73" w:rsidRPr="0022218F">
        <w:rPr>
          <w:rFonts w:eastAsiaTheme="minorEastAsia" w:cs="Arial" w:hint="eastAsia"/>
          <w:lang w:val="en-GB" w:eastAsia="zh-CN"/>
        </w:rPr>
        <w:t>HARQ-ACK information</w:t>
      </w:r>
      <w:r w:rsidR="00A12E73" w:rsidRPr="0022218F">
        <w:rPr>
          <w:rFonts w:eastAsiaTheme="minorEastAsia" w:cs="Arial"/>
          <w:lang w:val="en-GB" w:eastAsia="zh-CN"/>
        </w:rPr>
        <w:t xml:space="preserve"> for PDSCH </w:t>
      </w:r>
      <w:r w:rsidR="00A12E73" w:rsidRPr="0022218F">
        <w:rPr>
          <w:rFonts w:eastAsiaTheme="minorEastAsia" w:hint="eastAsia"/>
          <w:lang w:val="en-GB" w:eastAsia="zh-CN"/>
        </w:rPr>
        <w:t>group</w:t>
      </w:r>
      <w:r w:rsidR="00A12E73" w:rsidRPr="0022218F">
        <w:rPr>
          <w:rFonts w:eastAsiaTheme="minorEastAsia"/>
          <w:lang w:val="en-GB" w:eastAsia="zh-CN"/>
        </w:rPr>
        <w:t xml:space="preserve">s </w:t>
      </w:r>
      <m:oMath>
        <m:r>
          <w:rPr>
            <w:rFonts w:ascii="Cambria Math" w:cs="Arial"/>
            <w:lang w:val="en-GB" w:eastAsia="zh-CN"/>
          </w:rPr>
          <m:t>g</m:t>
        </m:r>
      </m:oMath>
      <w:r w:rsidR="00A12E73" w:rsidRPr="0022218F">
        <w:rPr>
          <w:rFonts w:eastAsiaTheme="minorEastAsia"/>
          <w:lang w:val="en-GB" w:eastAsia="zh-CN"/>
        </w:rPr>
        <w:t xml:space="preserve"> and</w:t>
      </w:r>
      <w:r w:rsidR="00A12E73" w:rsidRPr="0022218F">
        <w:rPr>
          <w:rFonts w:eastAsiaTheme="minorEastAsia" w:hint="eastAsia"/>
          <w:lang w:val="en-GB" w:eastAsia="zh-CN"/>
        </w:rPr>
        <w:t xml:space="preserve"> </w:t>
      </w:r>
      <m:oMath>
        <m:d>
          <m:dPr>
            <m:ctrlPr>
              <w:rPr>
                <w:rFonts w:ascii="Cambria Math" w:hAnsi="Cambria Math"/>
                <w:i/>
                <w:lang w:val="en-GB" w:eastAsia="en-GB"/>
              </w:rPr>
            </m:ctrlPr>
          </m:dPr>
          <m:e>
            <m:r>
              <w:rPr>
                <w:rFonts w:ascii="Cambria Math" w:hAnsi="Cambria Math"/>
                <w:lang w:val="en-GB" w:eastAsia="en-GB"/>
              </w:rPr>
              <m:t>g+1</m:t>
            </m:r>
          </m:e>
        </m:d>
        <m:r>
          <w:rPr>
            <w:rFonts w:ascii="Cambria Math" w:hAnsi="Cambria Math"/>
            <w:lang w:val="en-GB" w:eastAsia="en-GB"/>
          </w:rPr>
          <m:t>mod2</m:t>
        </m:r>
      </m:oMath>
    </w:p>
    <w:p w14:paraId="16679BBD" w14:textId="0D2B50EC" w:rsidR="00A12E73" w:rsidRPr="00D272C1" w:rsidRDefault="00A12E73" w:rsidP="00A12E73">
      <w:pPr>
        <w:pStyle w:val="B1"/>
      </w:pPr>
      <w:r w:rsidRPr="00D272C1">
        <w:rPr>
          <w:rFonts w:cs="Arial"/>
          <w:lang w:eastAsia="zh-CN"/>
        </w:rPr>
        <w:t>-</w:t>
      </w:r>
      <w:r w:rsidRPr="00D272C1">
        <w:rPr>
          <w:rFonts w:cs="Arial"/>
          <w:lang w:eastAsia="zh-CN"/>
        </w:rPr>
        <w:tab/>
        <w:t>for multiplexing</w:t>
      </w:r>
      <w:r>
        <w:rPr>
          <w:rFonts w:cs="Arial"/>
          <w:lang w:val="en-US" w:eastAsia="zh-CN"/>
        </w:rPr>
        <w:t xml:space="preserve"> </w:t>
      </w:r>
      <w:r w:rsidRPr="00D272C1">
        <w:rPr>
          <w:shd w:val="clear" w:color="auto" w:fill="FFFFFF"/>
          <w:lang w:val="en-GB"/>
        </w:rPr>
        <w:t>in PUCCH transmission occasion</w:t>
      </w:r>
      <w:r>
        <w:rPr>
          <w:shd w:val="clear" w:color="auto" w:fill="FFFFFF"/>
          <w:lang w:val="en-GB"/>
        </w:rPr>
        <w:t xml:space="preserve"> </w:t>
      </w:r>
      <m:oMath>
        <m:r>
          <w:rPr>
            <w:rFonts w:ascii="Cambria Math" w:hAnsi="Cambria Math"/>
            <w:lang w:val="en-GB" w:eastAsia="en-GB"/>
          </w:rPr>
          <m:t>i(g)</m:t>
        </m:r>
      </m:oMath>
      <w:r w:rsidRPr="00D272C1">
        <w:rPr>
          <w:shd w:val="clear" w:color="auto" w:fill="FFFFFF"/>
          <w:lang w:val="en-GB"/>
        </w:rPr>
        <w:t>, if the PUSCH transmission is scheduled by a DCI format</w:t>
      </w:r>
      <w:r>
        <w:rPr>
          <w:shd w:val="clear" w:color="auto" w:fill="FFFFFF"/>
          <w:lang w:val="en-GB"/>
        </w:rPr>
        <w:t xml:space="preserve"> </w:t>
      </w:r>
      <w:r w:rsidRPr="002B266E">
        <w:rPr>
          <w:rFonts w:hint="eastAsia"/>
          <w:lang w:eastAsia="zh-CN"/>
        </w:rPr>
        <w:t xml:space="preserve">without </w:t>
      </w:r>
      <w:r w:rsidR="00BB1E37">
        <w:rPr>
          <w:i/>
          <w:lang w:val="en-US"/>
        </w:rPr>
        <w:t>ul</w:t>
      </w:r>
      <w:r w:rsidRPr="002B266E">
        <w:rPr>
          <w:i/>
        </w:rPr>
        <w:t>-TotalDAI-Included</w:t>
      </w:r>
      <w:r w:rsidRPr="002B266E">
        <w:rPr>
          <w:rFonts w:hint="eastAsia"/>
          <w:lang w:eastAsia="zh-CN"/>
        </w:rPr>
        <w:t xml:space="preserve"> configured</w:t>
      </w:r>
      <w:r>
        <w:rPr>
          <w:lang w:val="en-US" w:eastAsia="zh-CN"/>
        </w:rPr>
        <w:t xml:space="preserve"> </w:t>
      </w:r>
      <w:r w:rsidRPr="00D272C1">
        <w:rPr>
          <w:shd w:val="clear" w:color="auto" w:fill="FFFFFF"/>
          <w:lang w:val="en-GB"/>
        </w:rPr>
        <w:t>except that</w:t>
      </w:r>
      <w:r>
        <w:rPr>
          <w:shd w:val="clear" w:color="auto" w:fill="FFFFFF"/>
          <w:lang w:val="en-GB"/>
        </w:rPr>
        <w:t xml:space="preserve"> </w:t>
      </w:r>
      <w:r w:rsidRPr="00D272C1">
        <w:rPr>
          <w:shd w:val="clear" w:color="auto" w:fill="FFFFFF"/>
        </w:rPr>
        <w:t>for PDSCH group</w:t>
      </w:r>
      <w:r>
        <w:rPr>
          <w:shd w:val="clear" w:color="auto" w:fill="FFFFFF"/>
          <w:lang w:val="en-US"/>
        </w:rPr>
        <w:t xml:space="preserve"> </w:t>
      </w:r>
      <m:oMath>
        <m:r>
          <w:rPr>
            <w:rFonts w:ascii="Cambria Math" w:cs="Arial"/>
            <w:lang w:eastAsia="zh-CN"/>
          </w:rPr>
          <m:t>g=0</m:t>
        </m:r>
      </m:oMath>
      <w:r w:rsidRPr="00D272C1">
        <w:rPr>
          <w:shd w:val="clear" w:color="auto" w:fill="FFFFFF"/>
        </w:rPr>
        <w:t>,</w:t>
      </w:r>
      <w:r>
        <w:rPr>
          <w:shd w:val="clear" w:color="auto" w:fill="FFFFFF"/>
          <w:lang w:val="en-US"/>
        </w:rPr>
        <w:t xml:space="preserve"> </w:t>
      </w:r>
      <w:r w:rsidRPr="00D272C1">
        <w:rPr>
          <w:shd w:val="clear" w:color="auto" w:fill="FFFFFF"/>
        </w:rPr>
        <w:t>the</w:t>
      </w:r>
      <w:r>
        <w:rPr>
          <w:shd w:val="clear" w:color="auto" w:fill="FFFFFF"/>
          <w:lang w:val="en-US"/>
        </w:rPr>
        <w:t xml:space="preserve"> </w:t>
      </w:r>
      <w:r w:rsidRPr="00D272C1">
        <w:rPr>
          <w:shd w:val="clear" w:color="auto" w:fill="FFFFFF"/>
          <w:lang w:val="en-GB"/>
        </w:rPr>
        <w:t>DCI field with value</w:t>
      </w:r>
      <w:r>
        <w:rPr>
          <w:shd w:val="clear" w:color="auto" w:fill="FFFFFF"/>
          <w:lang w:val="en-GB"/>
        </w:rPr>
        <w:t xml:space="preserve"> </w:t>
      </w:r>
      <w:r w:rsidRPr="00D272C1">
        <w:rPr>
          <w:noProof/>
          <w:position w:val="-10"/>
          <w:lang w:val="en-GB" w:eastAsia="zh-CN"/>
        </w:rPr>
        <w:object w:dxaOrig="400" w:dyaOrig="340" w14:anchorId="323AD76F">
          <v:shape id="_x0000_i1139" type="#_x0000_t75" style="width:20.25pt;height:18.75pt" o:ole="">
            <v:imagedata r:id="rId74" o:title=""/>
          </v:shape>
          <o:OLEObject Type="Embed" ProgID="Equation.3" ShapeID="_x0000_i1139" DrawAspect="Content" ObjectID="_1781409696" r:id="rId75"/>
        </w:object>
      </w:r>
      <w:r>
        <w:rPr>
          <w:noProof/>
          <w:lang w:val="en-GB" w:eastAsia="zh-CN"/>
        </w:rPr>
        <w:t xml:space="preserve"> </w:t>
      </w:r>
      <w:r w:rsidRPr="00D272C1">
        <w:rPr>
          <w:shd w:val="clear" w:color="auto" w:fill="FFFFFF"/>
        </w:rPr>
        <w:t>in the DCI format is used</w:t>
      </w:r>
      <w:r>
        <w:rPr>
          <w:shd w:val="clear" w:color="auto" w:fill="FFFFFF"/>
          <w:lang w:val="en-US"/>
        </w:rPr>
        <w:t xml:space="preserve"> </w:t>
      </w:r>
      <w:r w:rsidRPr="00D272C1">
        <w:rPr>
          <w:shd w:val="clear" w:color="auto" w:fill="FFFFFF"/>
          <w:lang w:val="en-GB"/>
        </w:rPr>
        <w:t>after the completion of the</w:t>
      </w:r>
      <w:r>
        <w:rPr>
          <w:shd w:val="clear" w:color="auto" w:fill="FFFFFF"/>
          <w:lang w:val="en-GB"/>
        </w:rPr>
        <w:t xml:space="preserve"> </w:t>
      </w:r>
      <m:oMath>
        <m:r>
          <w:rPr>
            <w:rFonts w:ascii="Cambria Math" w:hAnsi="Cambria Math"/>
          </w:rPr>
          <m:t>c</m:t>
        </m:r>
      </m:oMath>
      <w:r>
        <w:rPr>
          <w:lang w:val="en-US" w:eastAsia="zh-CN"/>
        </w:rPr>
        <w:t xml:space="preserve"> and </w:t>
      </w:r>
      <m:oMath>
        <m:r>
          <w:rPr>
            <w:rFonts w:ascii="Cambria Math" w:hAnsi="Cambria Math"/>
          </w:rPr>
          <m:t>m</m:t>
        </m:r>
      </m:oMath>
      <w:r>
        <w:rPr>
          <w:lang w:val="en-US" w:eastAsia="zh-CN"/>
        </w:rPr>
        <w:t xml:space="preserve"> loops</w:t>
      </w:r>
      <w:r>
        <w:rPr>
          <w:lang w:eastAsia="zh-CN"/>
        </w:rPr>
        <w:t xml:space="preserve"> </w:t>
      </w:r>
      <w:r w:rsidRPr="00D272C1">
        <w:rPr>
          <w:shd w:val="clear" w:color="auto" w:fill="FFFFFF"/>
          <w:lang w:val="en-GB"/>
        </w:rPr>
        <w:t>for</w:t>
      </w:r>
      <w:r>
        <w:rPr>
          <w:shd w:val="clear" w:color="auto" w:fill="FFFFFF"/>
          <w:lang w:val="en-GB"/>
        </w:rPr>
        <w:t xml:space="preserve"> </w:t>
      </w:r>
      <w:r w:rsidRPr="00D272C1">
        <w:rPr>
          <w:shd w:val="clear" w:color="auto" w:fill="FFFFFF"/>
        </w:rPr>
        <w:t>the pseudo-code for the</w:t>
      </w:r>
      <w:r>
        <w:rPr>
          <w:shd w:val="clear" w:color="auto" w:fill="FFFFFF"/>
          <w:lang w:val="en-US"/>
        </w:rPr>
        <w:t xml:space="preserve"> </w:t>
      </w:r>
      <w:r w:rsidRPr="00D272C1">
        <w:rPr>
          <w:shd w:val="clear" w:color="auto" w:fill="FFFFFF"/>
          <w:lang w:val="en-GB"/>
        </w:rPr>
        <w:t>HARQ-ACK codebook</w:t>
      </w:r>
      <w:r>
        <w:rPr>
          <w:shd w:val="clear" w:color="auto" w:fill="FFFFFF"/>
          <w:lang w:val="en-GB"/>
        </w:rPr>
        <w:t xml:space="preserve"> </w:t>
      </w:r>
      <w:r w:rsidRPr="00D272C1">
        <w:rPr>
          <w:shd w:val="clear" w:color="auto" w:fill="FFFFFF"/>
        </w:rPr>
        <w:t>generation</w:t>
      </w:r>
      <w:r>
        <w:rPr>
          <w:shd w:val="clear" w:color="auto" w:fill="FFFFFF"/>
          <w:lang w:val="en-US"/>
        </w:rPr>
        <w:t xml:space="preserve"> </w:t>
      </w:r>
      <w:r w:rsidR="006F5F9E">
        <w:rPr>
          <w:shd w:val="clear" w:color="auto" w:fill="FFFFFF"/>
          <w:lang w:val="en-GB"/>
        </w:rPr>
        <w:t>in clause</w:t>
      </w:r>
      <w:r w:rsidRPr="00D272C1">
        <w:rPr>
          <w:shd w:val="clear" w:color="auto" w:fill="FFFFFF"/>
          <w:lang w:val="en-GB"/>
        </w:rPr>
        <w:t xml:space="preserve"> 9.1.3.1, and when the UE has not </w:t>
      </w:r>
      <w:r>
        <w:rPr>
          <w:shd w:val="clear" w:color="auto" w:fill="FFFFFF"/>
          <w:lang w:val="en-GB"/>
        </w:rPr>
        <w:t>detected any DCI format</w:t>
      </w:r>
      <w:r w:rsidRPr="00D272C1">
        <w:rPr>
          <w:shd w:val="clear" w:color="auto" w:fill="FFFFFF"/>
          <w:lang w:val="en-GB"/>
        </w:rPr>
        <w:t xml:space="preserve"> scheduling PDSCH receptions</w:t>
      </w:r>
      <w:r>
        <w:rPr>
          <w:shd w:val="clear" w:color="auto" w:fill="FFFFFF"/>
          <w:lang w:val="en-GB"/>
        </w:rPr>
        <w:t>,</w:t>
      </w:r>
      <w:r w:rsidRPr="00D272C1">
        <w:rPr>
          <w:shd w:val="clear" w:color="auto" w:fill="FFFFFF"/>
          <w:lang w:val="en-GB"/>
        </w:rPr>
        <w:t xml:space="preserve"> and</w:t>
      </w:r>
      <w:r>
        <w:rPr>
          <w:shd w:val="clear" w:color="auto" w:fill="FFFFFF"/>
          <w:lang w:val="en-GB"/>
        </w:rPr>
        <w:t xml:space="preserve"> </w:t>
      </w:r>
      <w:r w:rsidRPr="00D272C1">
        <w:rPr>
          <w:shd w:val="clear" w:color="auto" w:fill="FFFFFF"/>
          <w:lang w:val="en-GB"/>
        </w:rPr>
        <w:t xml:space="preserve">the UE has not </w:t>
      </w:r>
      <w:r>
        <w:rPr>
          <w:shd w:val="clear" w:color="auto" w:fill="FFFFFF"/>
          <w:lang w:val="en-GB"/>
        </w:rPr>
        <w:t>detected any DCI format</w:t>
      </w:r>
      <w:r w:rsidRPr="00D272C1">
        <w:rPr>
          <w:shd w:val="clear" w:color="auto" w:fill="FFFFFF"/>
          <w:lang w:val="en-GB"/>
        </w:rPr>
        <w:t xml:space="preserve"> </w:t>
      </w:r>
      <w:r>
        <w:rPr>
          <w:shd w:val="clear" w:color="auto" w:fill="FFFFFF"/>
          <w:lang w:val="en-GB"/>
        </w:rPr>
        <w:t>with a request for</w:t>
      </w:r>
      <w:r w:rsidRPr="00D272C1">
        <w:rPr>
          <w:shd w:val="clear" w:color="auto" w:fill="FFFFFF"/>
          <w:lang w:val="en-GB"/>
        </w:rPr>
        <w:t xml:space="preserve"> HARQ-ACK information for any PDSCH group</w:t>
      </w:r>
    </w:p>
    <w:p w14:paraId="1FCE500B" w14:textId="1F76428A" w:rsidR="00A12E73" w:rsidRPr="001747E0" w:rsidRDefault="00A12E73" w:rsidP="00A12E73">
      <w:pPr>
        <w:pStyle w:val="B1"/>
      </w:pPr>
      <w:r w:rsidRPr="001747E0">
        <w:rPr>
          <w:rFonts w:cs="Arial"/>
          <w:lang w:eastAsia="zh-CN"/>
        </w:rPr>
        <w:t>-</w:t>
      </w:r>
      <w:r w:rsidRPr="001747E0">
        <w:rPr>
          <w:rFonts w:cs="Arial"/>
          <w:lang w:eastAsia="zh-CN"/>
        </w:rPr>
        <w:tab/>
        <w:t>for multiplexing</w:t>
      </w:r>
      <w:r>
        <w:rPr>
          <w:rFonts w:cs="Arial"/>
          <w:lang w:val="en-US" w:eastAsia="zh-CN"/>
        </w:rPr>
        <w:t xml:space="preserve"> </w:t>
      </w:r>
      <w:r w:rsidRPr="001747E0">
        <w:rPr>
          <w:lang w:eastAsia="en-GB"/>
        </w:rPr>
        <w:t xml:space="preserve">in PUCCH transmission occasion </w:t>
      </w:r>
      <m:oMath>
        <m:r>
          <w:rPr>
            <w:rFonts w:ascii="Cambria Math" w:hAnsi="Cambria Math"/>
            <w:lang w:eastAsia="en-GB"/>
          </w:rPr>
          <m:t>i(g)</m:t>
        </m:r>
      </m:oMath>
      <w:r w:rsidRPr="001747E0">
        <w:rPr>
          <w:lang w:eastAsia="en-GB"/>
        </w:rPr>
        <w:t xml:space="preserve">, if the PUSCH transmission is scheduled by a DCI format </w:t>
      </w:r>
      <w:r w:rsidRPr="001747E0">
        <w:rPr>
          <w:lang w:eastAsia="zh-CN"/>
        </w:rPr>
        <w:t>with</w:t>
      </w:r>
      <w:r w:rsidRPr="001747E0">
        <w:rPr>
          <w:rFonts w:hint="eastAsia"/>
          <w:lang w:eastAsia="zh-CN"/>
        </w:rPr>
        <w:t xml:space="preserve"> </w:t>
      </w:r>
      <w:r w:rsidR="00BB1E37">
        <w:rPr>
          <w:i/>
          <w:lang w:val="en-US"/>
        </w:rPr>
        <w:t>ul</w:t>
      </w:r>
      <w:r w:rsidRPr="001747E0">
        <w:rPr>
          <w:i/>
        </w:rPr>
        <w:t>-TotalDAI-Included</w:t>
      </w:r>
      <w:r>
        <w:rPr>
          <w:i/>
          <w:lang w:val="en-US"/>
        </w:rPr>
        <w:t xml:space="preserve"> </w:t>
      </w:r>
      <w:r>
        <w:rPr>
          <w:lang w:val="en-US"/>
        </w:rPr>
        <w:t>configured</w:t>
      </w:r>
      <w:r w:rsidRPr="001747E0">
        <w:rPr>
          <w:lang w:eastAsia="en-GB"/>
        </w:rPr>
        <w:t xml:space="preserve"> except that </w:t>
      </w:r>
      <w:r w:rsidRPr="001747E0">
        <w:rPr>
          <w:rFonts w:eastAsiaTheme="minorEastAsia"/>
          <w:lang w:eastAsia="zh-CN"/>
        </w:rPr>
        <w:t>MSBs of</w:t>
      </w:r>
      <w:r w:rsidRPr="001747E0">
        <w:rPr>
          <w:lang w:eastAsia="en-GB"/>
        </w:rPr>
        <w:t xml:space="preserve"> the DCI field with value </w:t>
      </w:r>
      <m:oMath>
        <m:sSubSup>
          <m:sSubSupPr>
            <m:ctrlPr>
              <w:rPr>
                <w:rFonts w:ascii="Cambria Math" w:hAnsi="Cambria Math"/>
                <w:i/>
              </w:rPr>
            </m:ctrlPr>
          </m:sSubSupPr>
          <m:e>
            <m:r>
              <w:rPr>
                <w:rFonts w:ascii="Cambria Math" w:hAnsi="Cambria Math"/>
              </w:rPr>
              <m:t>V</m:t>
            </m:r>
          </m:e>
          <m:sub>
            <m:r>
              <m:rPr>
                <m:sty m:val="p"/>
              </m:rPr>
              <w:rPr>
                <w:rFonts w:ascii="Cambria Math" w:hAnsi="Cambria Math"/>
              </w:rPr>
              <m:t>DAI</m:t>
            </m:r>
          </m:sub>
          <m:sup>
            <m:r>
              <m:rPr>
                <m:sty m:val="p"/>
              </m:rPr>
              <w:rPr>
                <w:rFonts w:ascii="Cambria Math" w:hAnsi="Cambria Math"/>
              </w:rPr>
              <m:t>UL</m:t>
            </m:r>
          </m:sup>
        </m:sSubSup>
      </m:oMath>
      <w:r w:rsidRPr="001747E0">
        <w:rPr>
          <w:lang w:eastAsia="zh-CN"/>
        </w:rPr>
        <w:t xml:space="preserve"> </w:t>
      </w:r>
      <w:r>
        <w:rPr>
          <w:lang w:eastAsia="en-GB"/>
        </w:rPr>
        <w:t>in the DCI format are</w:t>
      </w:r>
      <w:r w:rsidRPr="001747E0">
        <w:rPr>
          <w:lang w:eastAsia="en-GB"/>
        </w:rPr>
        <w:t xml:space="preserve"> used </w:t>
      </w:r>
      <w:r w:rsidRPr="001747E0">
        <w:rPr>
          <w:rFonts w:eastAsiaTheme="minorEastAsia" w:hint="eastAsia"/>
          <w:lang w:eastAsia="zh-CN"/>
        </w:rPr>
        <w:t>for PDSCH group</w:t>
      </w:r>
      <w:r w:rsidRPr="001747E0">
        <w:rPr>
          <w:rFonts w:eastAsiaTheme="minorEastAsia"/>
          <w:lang w:eastAsia="zh-CN"/>
        </w:rPr>
        <w:t xml:space="preserve"> </w:t>
      </w:r>
      <m:oMath>
        <m:r>
          <w:rPr>
            <w:rFonts w:ascii="Cambria Math" w:cs="Arial"/>
            <w:lang w:eastAsia="zh-CN"/>
          </w:rPr>
          <m:t>g=0</m:t>
        </m:r>
      </m:oMath>
      <w:r w:rsidRPr="001747E0">
        <w:rPr>
          <w:rFonts w:eastAsiaTheme="minorEastAsia"/>
          <w:lang w:eastAsia="zh-CN"/>
        </w:rPr>
        <w:t>, and LSBs of</w:t>
      </w:r>
      <w:r w:rsidRPr="001747E0">
        <w:rPr>
          <w:lang w:eastAsia="en-GB"/>
        </w:rPr>
        <w:t xml:space="preserve"> DCI field with value </w:t>
      </w:r>
      <m:oMath>
        <m:sSubSup>
          <m:sSubSupPr>
            <m:ctrlPr>
              <w:rPr>
                <w:rFonts w:ascii="Cambria Math" w:hAnsi="Cambria Math"/>
                <w:i/>
              </w:rPr>
            </m:ctrlPr>
          </m:sSubSupPr>
          <m:e>
            <m:r>
              <w:rPr>
                <w:rFonts w:ascii="Cambria Math" w:hAnsi="Cambria Math"/>
              </w:rPr>
              <m:t>V</m:t>
            </m:r>
          </m:e>
          <m:sub>
            <m:r>
              <m:rPr>
                <m:sty m:val="p"/>
              </m:rPr>
              <w:rPr>
                <w:rFonts w:ascii="Cambria Math" w:hAnsi="Cambria Math"/>
              </w:rPr>
              <m:t>DAI</m:t>
            </m:r>
          </m:sub>
          <m:sup>
            <m:r>
              <m:rPr>
                <m:sty m:val="p"/>
              </m:rPr>
              <w:rPr>
                <w:rFonts w:ascii="Cambria Math" w:hAnsi="Cambria Math"/>
              </w:rPr>
              <m:t>UL</m:t>
            </m:r>
          </m:sup>
        </m:sSubSup>
      </m:oMath>
      <w:r w:rsidRPr="001747E0">
        <w:rPr>
          <w:lang w:eastAsia="zh-CN"/>
        </w:rPr>
        <w:t xml:space="preserve"> </w:t>
      </w:r>
      <w:r>
        <w:rPr>
          <w:lang w:eastAsia="en-GB"/>
        </w:rPr>
        <w:t>in the DCI format are</w:t>
      </w:r>
      <w:r w:rsidRPr="001747E0">
        <w:rPr>
          <w:lang w:eastAsia="en-GB"/>
        </w:rPr>
        <w:t xml:space="preserve"> used </w:t>
      </w:r>
      <w:r w:rsidRPr="001747E0">
        <w:rPr>
          <w:rFonts w:eastAsiaTheme="minorEastAsia" w:hint="eastAsia"/>
          <w:lang w:eastAsia="zh-CN"/>
        </w:rPr>
        <w:t xml:space="preserve">for PDSCH group </w:t>
      </w:r>
      <m:oMath>
        <m:r>
          <w:rPr>
            <w:rFonts w:ascii="Cambria Math" w:cs="Arial"/>
            <w:lang w:eastAsia="zh-CN"/>
          </w:rPr>
          <m:t>g=1</m:t>
        </m:r>
      </m:oMath>
      <w:r w:rsidRPr="001747E0">
        <w:rPr>
          <w:rFonts w:eastAsiaTheme="minorEastAsia"/>
          <w:lang w:eastAsia="zh-CN"/>
        </w:rPr>
        <w:t xml:space="preserve">, </w:t>
      </w:r>
      <w:r w:rsidRPr="001747E0">
        <w:rPr>
          <w:lang w:eastAsia="en-GB"/>
        </w:rPr>
        <w:t xml:space="preserve">after the completion of the </w:t>
      </w:r>
      <m:oMath>
        <m:r>
          <w:rPr>
            <w:rFonts w:ascii="Cambria Math" w:hAnsi="Cambria Math"/>
            <w:lang w:eastAsia="en-GB"/>
          </w:rPr>
          <m:t>c</m:t>
        </m:r>
      </m:oMath>
      <w:r w:rsidRPr="001747E0">
        <w:rPr>
          <w:lang w:eastAsia="zh-CN"/>
        </w:rPr>
        <w:t xml:space="preserve"> and </w:t>
      </w:r>
      <m:oMath>
        <m:r>
          <w:rPr>
            <w:rFonts w:ascii="Cambria Math" w:hAnsi="Cambria Math"/>
            <w:lang w:eastAsia="en-GB"/>
          </w:rPr>
          <m:t>m</m:t>
        </m:r>
      </m:oMath>
      <w:r w:rsidRPr="001747E0">
        <w:rPr>
          <w:lang w:eastAsia="zh-CN"/>
        </w:rPr>
        <w:t xml:space="preserve"> loops </w:t>
      </w:r>
      <w:r w:rsidRPr="001747E0">
        <w:rPr>
          <w:lang w:eastAsia="en-GB"/>
        </w:rPr>
        <w:t xml:space="preserve">for the pseudo-code for the </w:t>
      </w:r>
      <w:r w:rsidRPr="001747E0">
        <w:rPr>
          <w:rFonts w:cs="Arial"/>
          <w:lang w:eastAsia="zh-CN"/>
        </w:rPr>
        <w:t>HARQ</w:t>
      </w:r>
      <w:r>
        <w:rPr>
          <w:rFonts w:cs="Arial"/>
          <w:lang w:eastAsia="zh-CN"/>
        </w:rPr>
        <w:t xml:space="preserve">-ACK codebook generation </w:t>
      </w:r>
      <w:r w:rsidR="006F5F9E">
        <w:rPr>
          <w:rFonts w:cs="Arial"/>
          <w:lang w:eastAsia="zh-CN"/>
        </w:rPr>
        <w:t>in clause</w:t>
      </w:r>
      <w:r w:rsidRPr="001747E0">
        <w:rPr>
          <w:rFonts w:cs="Arial"/>
          <w:lang w:eastAsia="zh-CN"/>
        </w:rPr>
        <w:t xml:space="preserve"> 9.1.3.1</w:t>
      </w:r>
      <w:r w:rsidRPr="001747E0">
        <w:rPr>
          <w:rFonts w:eastAsiaTheme="minorEastAsia" w:cs="Arial" w:hint="eastAsia"/>
          <w:lang w:eastAsia="zh-CN"/>
        </w:rPr>
        <w:t>.</w:t>
      </w:r>
    </w:p>
    <w:p w14:paraId="48E17A2E" w14:textId="08351707" w:rsidR="00A12E73" w:rsidRPr="00DC448E" w:rsidRDefault="00A12E73" w:rsidP="00A12E73">
      <w:pPr>
        <w:overflowPunct w:val="0"/>
        <w:textAlignment w:val="baseline"/>
        <w:rPr>
          <w:shd w:val="clear" w:color="auto" w:fill="FFFFFF"/>
        </w:rPr>
      </w:pPr>
      <w:r w:rsidRPr="00DC448E">
        <w:rPr>
          <w:shd w:val="clear" w:color="auto" w:fill="FFFFFF"/>
        </w:rPr>
        <w:t>If a UE is scheduled a PUSCH tra</w:t>
      </w:r>
      <w:r>
        <w:rPr>
          <w:shd w:val="clear" w:color="auto" w:fill="FFFFFF"/>
        </w:rPr>
        <w:t>nsmission by DCI format 0_1 having a</w:t>
      </w:r>
      <w:r w:rsidRPr="00DC448E">
        <w:rPr>
          <w:shd w:val="clear" w:color="auto" w:fill="FFFFFF"/>
        </w:rPr>
        <w:t xml:space="preserve"> DAI field value </w:t>
      </w:r>
      <m:oMath>
        <m:sSubSup>
          <m:sSubSupPr>
            <m:ctrlPr>
              <w:rPr>
                <w:rFonts w:ascii="Cambria Math" w:hAnsi="Cambria Math"/>
                <w:i/>
              </w:rPr>
            </m:ctrlPr>
          </m:sSubSupPr>
          <m:e>
            <m:r>
              <w:rPr>
                <w:rFonts w:ascii="Cambria Math" w:hAnsi="Cambria Math"/>
              </w:rPr>
              <m:t>V</m:t>
            </m:r>
          </m:e>
          <m:sub>
            <m:r>
              <m:rPr>
                <m:sty m:val="p"/>
              </m:rPr>
              <w:rPr>
                <w:rFonts w:ascii="Cambria Math" w:hAnsi="Cambria Math"/>
              </w:rPr>
              <m:t>DAI</m:t>
            </m:r>
          </m:sub>
          <m:sup>
            <m:r>
              <m:rPr>
                <m:sty m:val="p"/>
              </m:rPr>
              <w:rPr>
                <w:rFonts w:ascii="Cambria Math" w:hAnsi="Cambria Math"/>
              </w:rPr>
              <m:t>UL</m:t>
            </m:r>
          </m:sup>
        </m:sSubSup>
        <m:r>
          <w:rPr>
            <w:rFonts w:ascii="Cambria Math" w:hAnsi="Cambria Math"/>
          </w:rPr>
          <m:t>=4</m:t>
        </m:r>
      </m:oMath>
      <w:r>
        <w:t xml:space="preserve"> </w:t>
      </w:r>
      <w:r w:rsidRPr="00DC448E">
        <w:rPr>
          <w:shd w:val="clear" w:color="auto" w:fill="FFFFFF"/>
        </w:rPr>
        <w:t>for a PDSCH group</w:t>
      </w:r>
      <w:r>
        <w:rPr>
          <w:shd w:val="clear" w:color="auto" w:fill="FFFFFF"/>
        </w:rPr>
        <w:t xml:space="preserve"> </w:t>
      </w:r>
      <w:r w:rsidRPr="00DC448E">
        <w:rPr>
          <w:shd w:val="clear" w:color="auto" w:fill="FFFFFF"/>
        </w:rPr>
        <w:t>index, and the</w:t>
      </w:r>
      <w:r>
        <w:rPr>
          <w:shd w:val="clear" w:color="auto" w:fill="FFFFFF"/>
        </w:rPr>
        <w:t xml:space="preserve"> UE has not detected any DCI format</w:t>
      </w:r>
      <w:r w:rsidRPr="00DC448E">
        <w:rPr>
          <w:shd w:val="clear" w:color="auto" w:fill="FFFFFF"/>
        </w:rPr>
        <w:t xml:space="preserve"> scheduling PDSCH receptions for</w:t>
      </w:r>
      <w:r>
        <w:rPr>
          <w:shd w:val="clear" w:color="auto" w:fill="FFFFFF"/>
        </w:rPr>
        <w:t xml:space="preserve"> </w:t>
      </w:r>
      <w:r w:rsidRPr="00DC448E">
        <w:rPr>
          <w:shd w:val="clear" w:color="auto" w:fill="FFFFFF"/>
        </w:rPr>
        <w:t>the</w:t>
      </w:r>
      <w:r>
        <w:rPr>
          <w:shd w:val="clear" w:color="auto" w:fill="FFFFFF"/>
        </w:rPr>
        <w:t xml:space="preserve"> </w:t>
      </w:r>
      <w:r w:rsidRPr="00DC448E">
        <w:rPr>
          <w:shd w:val="clear" w:color="auto" w:fill="FFFFFF"/>
        </w:rPr>
        <w:t>PDSCH group</w:t>
      </w:r>
      <w:r>
        <w:rPr>
          <w:shd w:val="clear" w:color="auto" w:fill="FFFFFF"/>
        </w:rPr>
        <w:t xml:space="preserve"> </w:t>
      </w:r>
      <w:r w:rsidRPr="00DC448E">
        <w:rPr>
          <w:shd w:val="clear" w:color="auto" w:fill="FFFFFF"/>
        </w:rPr>
        <w:t>index</w:t>
      </w:r>
      <w:r>
        <w:rPr>
          <w:shd w:val="clear" w:color="auto" w:fill="FFFFFF"/>
        </w:rPr>
        <w:t xml:space="preserve">, </w:t>
      </w:r>
      <w:r w:rsidRPr="00DC448E">
        <w:rPr>
          <w:shd w:val="clear" w:color="auto" w:fill="FFFFFF"/>
        </w:rPr>
        <w:t>and</w:t>
      </w:r>
      <w:r>
        <w:rPr>
          <w:shd w:val="clear" w:color="auto" w:fill="FFFFFF"/>
        </w:rPr>
        <w:t xml:space="preserve"> </w:t>
      </w:r>
      <w:r w:rsidRPr="00DC448E">
        <w:rPr>
          <w:shd w:val="clear" w:color="auto" w:fill="FFFFFF"/>
        </w:rPr>
        <w:t>t</w:t>
      </w:r>
      <w:r>
        <w:rPr>
          <w:shd w:val="clear" w:color="auto" w:fill="FFFFFF"/>
        </w:rPr>
        <w:t>he UE has not detected any DCI format</w:t>
      </w:r>
      <w:r w:rsidRPr="00DC448E">
        <w:rPr>
          <w:shd w:val="clear" w:color="auto" w:fill="FFFFFF"/>
        </w:rPr>
        <w:t xml:space="preserve"> </w:t>
      </w:r>
      <w:r>
        <w:rPr>
          <w:shd w:val="clear" w:color="auto" w:fill="FFFFFF"/>
        </w:rPr>
        <w:t>with a request for</w:t>
      </w:r>
      <w:r w:rsidRPr="00DC448E">
        <w:rPr>
          <w:shd w:val="clear" w:color="auto" w:fill="FFFFFF"/>
        </w:rPr>
        <w:t xml:space="preserve"> HARQ-ACK information</w:t>
      </w:r>
      <w:r>
        <w:rPr>
          <w:shd w:val="clear" w:color="auto" w:fill="FFFFFF"/>
        </w:rPr>
        <w:t xml:space="preserve"> </w:t>
      </w:r>
      <w:r w:rsidRPr="00DC448E">
        <w:rPr>
          <w:shd w:val="clear" w:color="auto" w:fill="FFFFFF"/>
        </w:rPr>
        <w:t>for</w:t>
      </w:r>
      <w:r>
        <w:rPr>
          <w:shd w:val="clear" w:color="auto" w:fill="FFFFFF"/>
        </w:rPr>
        <w:t xml:space="preserve"> </w:t>
      </w:r>
      <w:r w:rsidRPr="00DC448E">
        <w:rPr>
          <w:shd w:val="clear" w:color="auto" w:fill="FFFFFF"/>
        </w:rPr>
        <w:t>the</w:t>
      </w:r>
      <w:r>
        <w:rPr>
          <w:shd w:val="clear" w:color="auto" w:fill="FFFFFF"/>
        </w:rPr>
        <w:t xml:space="preserve"> </w:t>
      </w:r>
      <w:r w:rsidRPr="00DC448E">
        <w:rPr>
          <w:shd w:val="clear" w:color="auto" w:fill="FFFFFF"/>
        </w:rPr>
        <w:t>PDSCH group</w:t>
      </w:r>
      <w:r>
        <w:rPr>
          <w:shd w:val="clear" w:color="auto" w:fill="FFFFFF"/>
        </w:rPr>
        <w:t xml:space="preserve"> </w:t>
      </w:r>
      <w:r w:rsidRPr="00DC448E">
        <w:rPr>
          <w:shd w:val="clear" w:color="auto" w:fill="FFFFFF"/>
        </w:rPr>
        <w:t>index, the UE does not multiplex HARQ-ACK information in the PUSCH transmission for</w:t>
      </w:r>
      <w:r>
        <w:rPr>
          <w:shd w:val="clear" w:color="auto" w:fill="FFFFFF"/>
        </w:rPr>
        <w:t xml:space="preserve"> </w:t>
      </w:r>
      <w:r w:rsidRPr="00DC448E">
        <w:rPr>
          <w:shd w:val="clear" w:color="auto" w:fill="FFFFFF"/>
        </w:rPr>
        <w:t>the</w:t>
      </w:r>
      <w:r>
        <w:rPr>
          <w:shd w:val="clear" w:color="auto" w:fill="FFFFFF"/>
        </w:rPr>
        <w:t xml:space="preserve"> </w:t>
      </w:r>
      <w:r w:rsidRPr="00DC448E">
        <w:rPr>
          <w:shd w:val="clear" w:color="auto" w:fill="FFFFFF"/>
        </w:rPr>
        <w:t>PDSCH group</w:t>
      </w:r>
      <w:r>
        <w:rPr>
          <w:shd w:val="clear" w:color="auto" w:fill="FFFFFF"/>
        </w:rPr>
        <w:t xml:space="preserve"> </w:t>
      </w:r>
      <w:r w:rsidRPr="00DC448E">
        <w:rPr>
          <w:shd w:val="clear" w:color="auto" w:fill="FFFFFF"/>
        </w:rPr>
        <w:t>index.</w:t>
      </w:r>
    </w:p>
    <w:p w14:paraId="1E6A75FE" w14:textId="30432789" w:rsidR="008C3F0C" w:rsidRPr="00990A42" w:rsidRDefault="008C3F0C" w:rsidP="008C3F0C">
      <w:r>
        <w:t xml:space="preserve">If a UE detects DCI formats with respective </w:t>
      </w:r>
      <w:r w:rsidRPr="00990A42">
        <w:rPr>
          <w:lang w:eastAsia="zh-CN"/>
        </w:rPr>
        <w:t>PDSCH-to-HARQ_feedback timi</w:t>
      </w:r>
      <w:r>
        <w:rPr>
          <w:lang w:eastAsia="zh-CN"/>
        </w:rPr>
        <w:t>ng field values indicating a same PUCCH transmission occasion</w:t>
      </w:r>
      <w:r>
        <w:t xml:space="preserve"> and none of the DCI formats </w:t>
      </w:r>
      <w:r w:rsidR="00A510A4">
        <w:t>that the UE detects after a la</w:t>
      </w:r>
      <w:r w:rsidR="00A510A4" w:rsidRPr="00E1036B">
        <w:t xml:space="preserve">st PUCCH </w:t>
      </w:r>
      <w:r w:rsidR="00A510A4">
        <w:t xml:space="preserve">transmission </w:t>
      </w:r>
      <w:r w:rsidR="00A510A4" w:rsidRPr="00E1036B">
        <w:t xml:space="preserve">occasion for </w:t>
      </w:r>
      <m:oMath>
        <m:r>
          <w:rPr>
            <w:rFonts w:ascii="Cambria Math" w:cs="Arial"/>
            <w:lang w:eastAsia="zh-CN"/>
          </w:rPr>
          <m:t>g=0</m:t>
        </m:r>
      </m:oMath>
      <w:r w:rsidR="00A510A4">
        <w:t xml:space="preserve"> </w:t>
      </w:r>
      <w:r>
        <w:t xml:space="preserve">includes a </w:t>
      </w:r>
      <w:r w:rsidRPr="00990A42">
        <w:rPr>
          <w:bCs/>
          <w:lang w:eastAsia="x-none"/>
        </w:rPr>
        <w:t>New</w:t>
      </w:r>
      <w:r w:rsidR="00BB1E37">
        <w:rPr>
          <w:bCs/>
          <w:lang w:eastAsia="x-none"/>
        </w:rPr>
        <w:t xml:space="preserve"> f</w:t>
      </w:r>
      <w:r>
        <w:rPr>
          <w:bCs/>
          <w:lang w:eastAsia="x-none"/>
        </w:rPr>
        <w:t>eedback</w:t>
      </w:r>
      <w:r w:rsidRPr="00990A42">
        <w:rPr>
          <w:bCs/>
          <w:lang w:eastAsia="x-none"/>
        </w:rPr>
        <w:t xml:space="preserve"> indicator</w:t>
      </w:r>
      <w:r w:rsidRPr="00990A42">
        <w:t xml:space="preserve"> field</w:t>
      </w:r>
      <w:r w:rsidR="006237A3" w:rsidRPr="006237A3">
        <w:t xml:space="preserve"> </w:t>
      </w:r>
      <w:r w:rsidR="006237A3">
        <w:t xml:space="preserve">for </w:t>
      </w:r>
      <m:oMath>
        <m:r>
          <w:rPr>
            <w:rFonts w:ascii="Cambria Math" w:cs="Arial"/>
            <w:lang w:eastAsia="zh-CN"/>
          </w:rPr>
          <m:t>g=0</m:t>
        </m:r>
      </m:oMath>
      <w:r w:rsidR="006237A3">
        <w:t xml:space="preserve">, </w:t>
      </w:r>
      <w:r w:rsidR="006237A3" w:rsidRPr="00E1036B">
        <w:t xml:space="preserve">and at least one of the DCI formats is </w:t>
      </w:r>
      <w:r w:rsidR="006237A3">
        <w:t xml:space="preserve">DCI </w:t>
      </w:r>
      <w:r w:rsidR="006237A3" w:rsidRPr="00E1036B">
        <w:t>format 1_0</w:t>
      </w:r>
      <w:r>
        <w:t xml:space="preserve">, the UE generates HARQ-ACK information </w:t>
      </w:r>
      <w:r w:rsidR="006237A3">
        <w:t>only for PDSCH receptions scheduled by detections of DCI format</w:t>
      </w:r>
      <w:r w:rsidR="006237A3" w:rsidRPr="00E1036B">
        <w:t xml:space="preserve"> 1_0</w:t>
      </w:r>
      <w:r w:rsidR="0008789E" w:rsidRPr="00BA1668">
        <w:t xml:space="preserve"> and SPS PDSCH releases indicated by detections of DCI format 1_0</w:t>
      </w:r>
      <w:r w:rsidR="006237A3">
        <w:t xml:space="preserve">, </w:t>
      </w:r>
      <w:r>
        <w:t xml:space="preserve">as described </w:t>
      </w:r>
      <w:r w:rsidR="006F5F9E">
        <w:t>in clause</w:t>
      </w:r>
      <w:r w:rsidRPr="00990A42">
        <w:t xml:space="preserve"> 9.1.3.1 or</w:t>
      </w:r>
      <w:r>
        <w:t xml:space="preserve"> 9</w:t>
      </w:r>
      <w:r w:rsidRPr="00990A42">
        <w:t>.1.3.2</w:t>
      </w:r>
      <w:r>
        <w:t xml:space="preserve"> for multiplexing in the PUCCH transmission occasion.</w:t>
      </w:r>
    </w:p>
    <w:p w14:paraId="2ECAB5AF" w14:textId="7ED4D6C4" w:rsidR="0008789E" w:rsidRDefault="0008789E" w:rsidP="0008789E">
      <w:pPr>
        <w:rPr>
          <w:lang w:eastAsia="zh-CN"/>
        </w:rPr>
      </w:pPr>
      <w:r w:rsidRPr="0027149A">
        <w:rPr>
          <w:lang w:eastAsia="zh-CN"/>
        </w:rPr>
        <w:t>If a DCI format indicating a slot for a PUCCH transmission occasion does not include a New</w:t>
      </w:r>
      <w:r w:rsidR="00BB1E37">
        <w:rPr>
          <w:lang w:eastAsia="zh-CN"/>
        </w:rPr>
        <w:t xml:space="preserve"> f</w:t>
      </w:r>
      <w:r w:rsidRPr="0027149A">
        <w:rPr>
          <w:lang w:eastAsia="zh-CN"/>
        </w:rPr>
        <w:t xml:space="preserve">eedback indicator field, </w:t>
      </w:r>
      <w:r>
        <w:rPr>
          <w:lang w:eastAsia="zh-CN"/>
        </w:rPr>
        <w:t>a</w:t>
      </w:r>
      <w:r w:rsidRPr="0027149A">
        <w:rPr>
          <w:lang w:eastAsia="zh-CN"/>
        </w:rPr>
        <w:t xml:space="preserve"> PDSCH reception </w:t>
      </w:r>
      <w:r>
        <w:rPr>
          <w:lang w:eastAsia="zh-CN"/>
        </w:rPr>
        <w:t xml:space="preserve">scheduled by the DCI format </w:t>
      </w:r>
      <w:r w:rsidRPr="00E26296">
        <w:rPr>
          <w:lang w:eastAsia="zh-CN"/>
        </w:rPr>
        <w:t xml:space="preserve">or a SPS PDSCH release indicated by the DCI format </w:t>
      </w:r>
      <w:r w:rsidRPr="0027149A">
        <w:rPr>
          <w:lang w:eastAsia="zh-CN"/>
        </w:rPr>
        <w:t xml:space="preserve">is associated with PDSCH group 0 and </w:t>
      </w:r>
      <w:r>
        <w:rPr>
          <w:lang w:eastAsia="zh-CN"/>
        </w:rPr>
        <w:t>a</w:t>
      </w:r>
      <w:r w:rsidRPr="0027149A">
        <w:rPr>
          <w:lang w:eastAsia="zh-CN"/>
        </w:rPr>
        <w:t xml:space="preserve"> value of </w:t>
      </w:r>
      <w:r w:rsidRPr="0027149A">
        <w:rPr>
          <w:i/>
          <w:lang w:eastAsia="zh-CN"/>
        </w:rPr>
        <w:t>h</w:t>
      </w:r>
      <w:r w:rsidRPr="0027149A">
        <w:rPr>
          <w:lang w:eastAsia="zh-CN"/>
        </w:rPr>
        <w:t>(</w:t>
      </w:r>
      <w:r w:rsidRPr="0027149A">
        <w:rPr>
          <w:i/>
          <w:lang w:eastAsia="zh-CN"/>
        </w:rPr>
        <w:t>g</w:t>
      </w:r>
      <w:r w:rsidRPr="0027149A">
        <w:rPr>
          <w:lang w:eastAsia="zh-CN"/>
        </w:rPr>
        <w:t xml:space="preserve">) associated with the DCI format is set only if </w:t>
      </w:r>
      <w:r w:rsidRPr="0027149A">
        <w:rPr>
          <w:i/>
          <w:lang w:eastAsia="zh-CN"/>
        </w:rPr>
        <w:t>h</w:t>
      </w:r>
      <w:r w:rsidRPr="0027149A">
        <w:rPr>
          <w:lang w:eastAsia="zh-CN"/>
        </w:rPr>
        <w:t>(</w:t>
      </w:r>
      <w:r w:rsidRPr="0027149A">
        <w:rPr>
          <w:i/>
          <w:lang w:eastAsia="zh-CN"/>
        </w:rPr>
        <w:t>g</w:t>
      </w:r>
      <w:r w:rsidRPr="0027149A">
        <w:rPr>
          <w:lang w:eastAsia="zh-CN"/>
        </w:rPr>
        <w:t xml:space="preserve">) is provided by another DCI format </w:t>
      </w:r>
      <w:r>
        <w:rPr>
          <w:lang w:eastAsia="zh-CN"/>
        </w:rPr>
        <w:t xml:space="preserve">that </w:t>
      </w:r>
      <w:r w:rsidRPr="0027149A">
        <w:rPr>
          <w:lang w:eastAsia="zh-CN"/>
        </w:rPr>
        <w:t>provid</w:t>
      </w:r>
      <w:r>
        <w:rPr>
          <w:lang w:eastAsia="zh-CN"/>
        </w:rPr>
        <w:t>es</w:t>
      </w:r>
      <w:r w:rsidRPr="0027149A">
        <w:rPr>
          <w:lang w:eastAsia="zh-CN"/>
        </w:rPr>
        <w:t xml:space="preserve"> a value of </w:t>
      </w:r>
      <w:r w:rsidRPr="0027149A">
        <w:rPr>
          <w:i/>
          <w:lang w:eastAsia="zh-CN"/>
        </w:rPr>
        <w:t>h</w:t>
      </w:r>
      <w:r w:rsidRPr="0027149A">
        <w:rPr>
          <w:lang w:eastAsia="zh-CN"/>
        </w:rPr>
        <w:t>(</w:t>
      </w:r>
      <w:r w:rsidRPr="0027149A">
        <w:rPr>
          <w:i/>
          <w:lang w:eastAsia="zh-CN"/>
        </w:rPr>
        <w:t>g</w:t>
      </w:r>
      <w:r w:rsidRPr="0027149A">
        <w:rPr>
          <w:lang w:eastAsia="zh-CN"/>
        </w:rPr>
        <w:t>) for PDSCH group 0 and indicat</w:t>
      </w:r>
      <w:r>
        <w:rPr>
          <w:lang w:eastAsia="zh-CN"/>
        </w:rPr>
        <w:t>es</w:t>
      </w:r>
      <w:r w:rsidRPr="0027149A">
        <w:rPr>
          <w:lang w:eastAsia="zh-CN"/>
        </w:rPr>
        <w:t xml:space="preserve"> </w:t>
      </w:r>
      <w:r>
        <w:rPr>
          <w:lang w:eastAsia="zh-CN"/>
        </w:rPr>
        <w:t>the</w:t>
      </w:r>
      <w:r w:rsidRPr="0027149A">
        <w:rPr>
          <w:lang w:eastAsia="zh-CN"/>
        </w:rPr>
        <w:t xml:space="preserve"> slot for the PUCCH transmission occasion.</w:t>
      </w:r>
    </w:p>
    <w:p w14:paraId="753D5B3A" w14:textId="7C03F048" w:rsidR="008C3F0C" w:rsidRDefault="008C3F0C" w:rsidP="008C3F0C">
      <w:r w:rsidRPr="00990A42">
        <w:t xml:space="preserve">For PUCCH transmission occasion </w:t>
      </w:r>
      <m:oMath>
        <m:r>
          <w:rPr>
            <w:rFonts w:ascii="Cambria Math" w:hAnsi="Cambria Math"/>
          </w:rPr>
          <m:t>i(g)</m:t>
        </m:r>
      </m:oMath>
      <w:r w:rsidRPr="00990A42">
        <w:t xml:space="preserve">, the UE determines a PUCCH or a PUSCH transmission </w:t>
      </w:r>
      <w:r>
        <w:t>to multiplex the</w:t>
      </w:r>
      <w:r w:rsidRPr="00990A42">
        <w:t xml:space="preserve"> HARQ-ACK information according to the procedures </w:t>
      </w:r>
      <w:r w:rsidR="006F5F9E">
        <w:t>in clause</w:t>
      </w:r>
      <w:r w:rsidR="0008789E">
        <w:t>s 9.2.3 and</w:t>
      </w:r>
      <w:r w:rsidRPr="00990A42">
        <w:t xml:space="preserve"> 9.2.5.</w:t>
      </w:r>
    </w:p>
    <w:p w14:paraId="45D7B63E" w14:textId="4FB527C1" w:rsidR="00AD2C28" w:rsidRDefault="0008789E" w:rsidP="008C3F0C">
      <w:r w:rsidRPr="00237AA1">
        <w:rPr>
          <w:lang w:eastAsia="zh-CN"/>
        </w:rPr>
        <w:t xml:space="preserve">If </w:t>
      </w:r>
      <m:oMath>
        <m:sSub>
          <m:sSubPr>
            <m:ctrlPr>
              <w:rPr>
                <w:rFonts w:ascii="Cambria Math" w:hAnsi="Cambria Math"/>
                <w:i/>
              </w:rPr>
            </m:ctrlPr>
          </m:sSubPr>
          <m:e>
            <m:r>
              <w:rPr>
                <w:rFonts w:ascii="Cambria Math" w:hAnsi="Cambria Math"/>
              </w:rPr>
              <m:t>O</m:t>
            </m:r>
          </m:e>
          <m:sub>
            <m:r>
              <m:rPr>
                <m:sty m:val="p"/>
              </m:rPr>
              <w:rPr>
                <w:rFonts w:ascii="Cambria Math" w:hAnsi="Cambria Math"/>
              </w:rPr>
              <m:t>ACK</m:t>
            </m:r>
          </m:sub>
        </m:sSub>
        <m:r>
          <w:rPr>
            <w:rFonts w:ascii="Cambria Math" w:hAnsi="Cambria Math"/>
          </w:rPr>
          <m:t>+</m:t>
        </m:r>
        <m:sSub>
          <m:sSubPr>
            <m:ctrlPr>
              <w:rPr>
                <w:rFonts w:ascii="Cambria Math" w:hAnsi="Cambria Math"/>
                <w:i/>
              </w:rPr>
            </m:ctrlPr>
          </m:sSubPr>
          <m:e>
            <m:r>
              <w:rPr>
                <w:rFonts w:ascii="Cambria Math" w:hAnsi="Cambria Math"/>
              </w:rPr>
              <m:t>O</m:t>
            </m:r>
          </m:e>
          <m:sub>
            <m:r>
              <m:rPr>
                <m:sty m:val="p"/>
              </m:rPr>
              <w:rPr>
                <w:rFonts w:ascii="Cambria Math" w:hAnsi="Cambria Math"/>
              </w:rPr>
              <m:t>SR</m:t>
            </m:r>
          </m:sub>
        </m:sSub>
        <m:r>
          <w:rPr>
            <w:rFonts w:ascii="Cambria Math" w:hAnsi="Cambria Math"/>
          </w:rPr>
          <m:t>+</m:t>
        </m:r>
        <m:sSub>
          <m:sSubPr>
            <m:ctrlPr>
              <w:rPr>
                <w:rFonts w:ascii="Cambria Math" w:hAnsi="Cambria Math"/>
                <w:i/>
              </w:rPr>
            </m:ctrlPr>
          </m:sSubPr>
          <m:e>
            <m:r>
              <w:rPr>
                <w:rFonts w:ascii="Cambria Math" w:hAnsi="Cambria Math"/>
              </w:rPr>
              <m:t>O</m:t>
            </m:r>
          </m:e>
          <m:sub>
            <m:r>
              <m:rPr>
                <m:sty m:val="p"/>
              </m:rPr>
              <w:rPr>
                <w:rFonts w:ascii="Cambria Math" w:hAnsi="Cambria Math"/>
              </w:rPr>
              <m:t>CSI</m:t>
            </m:r>
          </m:sub>
        </m:sSub>
        <m:r>
          <w:rPr>
            <w:rFonts w:ascii="Cambria Math" w:hAnsi="Cambria Math"/>
          </w:rPr>
          <m:t>≤11</m:t>
        </m:r>
      </m:oMath>
      <w:r w:rsidRPr="00237AA1">
        <w:t xml:space="preserve">, </w:t>
      </w:r>
      <w:r w:rsidRPr="00237AA1">
        <w:rPr>
          <w:lang w:eastAsia="zh-CN"/>
        </w:rPr>
        <w:t xml:space="preserve">the UE determines a number of HARQ-ACK information bits </w:t>
      </w:r>
      <m:oMath>
        <m:sSub>
          <m:sSubPr>
            <m:ctrlPr>
              <w:rPr>
                <w:rFonts w:ascii="Cambria Math" w:hAnsi="Cambria Math"/>
                <w:i/>
                <w:lang w:eastAsia="zh-CN"/>
              </w:rPr>
            </m:ctrlPr>
          </m:sSubPr>
          <m:e>
            <m:r>
              <w:rPr>
                <w:rFonts w:ascii="Cambria Math" w:hAnsi="Cambria Math"/>
                <w:lang w:eastAsia="zh-CN"/>
              </w:rPr>
              <m:t>n</m:t>
            </m:r>
          </m:e>
          <m:sub>
            <m:r>
              <m:rPr>
                <m:sty m:val="p"/>
              </m:rPr>
              <w:rPr>
                <w:rFonts w:ascii="Cambria Math" w:hAnsi="Cambria Math"/>
                <w:lang w:eastAsia="zh-CN"/>
              </w:rPr>
              <m:t>HARQ-ACK</m:t>
            </m:r>
            <m:r>
              <w:rPr>
                <w:rFonts w:ascii="Cambria Math" w:hAnsi="Cambria Math"/>
                <w:lang w:eastAsia="zh-CN"/>
              </w:rPr>
              <m:t>,g</m:t>
            </m:r>
          </m:sub>
        </m:sSub>
        <m:r>
          <w:rPr>
            <w:rFonts w:ascii="Cambria Math" w:hAnsi="Cambria Math"/>
            <w:lang w:eastAsia="zh-CN"/>
          </w:rPr>
          <m:t xml:space="preserve"> </m:t>
        </m:r>
      </m:oMath>
      <w:r w:rsidRPr="00237AA1">
        <w:rPr>
          <w:rFonts w:hint="eastAsia"/>
          <w:lang w:eastAsia="zh-CN"/>
        </w:rPr>
        <w:t xml:space="preserve">for </w:t>
      </w:r>
      <w:r w:rsidRPr="00237AA1">
        <w:rPr>
          <w:rFonts w:eastAsia="DengXian"/>
          <w:lang w:eastAsia="zh-CN"/>
        </w:rPr>
        <w:t xml:space="preserve">group </w:t>
      </w:r>
      <m:oMath>
        <m:r>
          <w:rPr>
            <w:rFonts w:ascii="Cambria Math" w:eastAsia="DengXian" w:hAnsi="Cambria Math"/>
            <w:lang w:eastAsia="zh-CN"/>
          </w:rPr>
          <m:t>g</m:t>
        </m:r>
        <m:r>
          <w:rPr>
            <w:rFonts w:ascii="Cambria Math" w:hAnsi="Cambria Math"/>
            <w:lang w:eastAsia="zh-CN"/>
          </w:rPr>
          <m:t xml:space="preserve"> </m:t>
        </m:r>
      </m:oMath>
      <w:r w:rsidRPr="00237AA1">
        <w:rPr>
          <w:rFonts w:eastAsia="DengXian"/>
          <w:lang w:eastAsia="zh-CN"/>
        </w:rPr>
        <w:t xml:space="preserve">and a </w:t>
      </w:r>
      <w:r w:rsidRPr="00237AA1">
        <w:rPr>
          <w:lang w:eastAsia="zh-CN"/>
        </w:rPr>
        <w:t xml:space="preserve">number of HARQ-ACK information bits </w:t>
      </w:r>
      <m:oMath>
        <m:sSub>
          <m:sSubPr>
            <m:ctrlPr>
              <w:rPr>
                <w:rFonts w:ascii="Cambria Math" w:hAnsi="Cambria Math"/>
                <w:i/>
                <w:lang w:eastAsia="zh-CN"/>
              </w:rPr>
            </m:ctrlPr>
          </m:sSubPr>
          <m:e>
            <m:r>
              <w:rPr>
                <w:rFonts w:ascii="Cambria Math" w:hAnsi="Cambria Math"/>
                <w:lang w:eastAsia="zh-CN"/>
              </w:rPr>
              <m:t>n</m:t>
            </m:r>
          </m:e>
          <m:sub>
            <m:r>
              <m:rPr>
                <m:sty m:val="p"/>
              </m:rPr>
              <w:rPr>
                <w:rFonts w:ascii="Cambria Math" w:hAnsi="Cambria Math"/>
                <w:lang w:eastAsia="zh-CN"/>
              </w:rPr>
              <m:t>HARQ-ACK</m:t>
            </m:r>
            <m:r>
              <w:rPr>
                <w:rFonts w:ascii="Cambria Math" w:hAnsi="Cambria Math"/>
                <w:lang w:eastAsia="zh-CN"/>
              </w:rPr>
              <m:t>,(g+1)mod2</m:t>
            </m:r>
          </m:sub>
        </m:sSub>
      </m:oMath>
      <w:r w:rsidRPr="00237AA1">
        <w:rPr>
          <w:rFonts w:eastAsia="DengXian"/>
          <w:lang w:eastAsia="zh-CN"/>
        </w:rPr>
        <w:t xml:space="preserve"> for group </w:t>
      </w:r>
      <m:oMath>
        <m:d>
          <m:dPr>
            <m:ctrlPr>
              <w:rPr>
                <w:rFonts w:ascii="Cambria Math" w:hAnsi="Cambria Math"/>
                <w:i/>
                <w:lang w:eastAsia="en-GB"/>
              </w:rPr>
            </m:ctrlPr>
          </m:dPr>
          <m:e>
            <m:r>
              <w:rPr>
                <w:rFonts w:ascii="Cambria Math" w:hAnsi="Cambria Math"/>
                <w:lang w:eastAsia="en-GB"/>
              </w:rPr>
              <m:t>g+1</m:t>
            </m:r>
          </m:e>
        </m:d>
        <m:r>
          <w:rPr>
            <w:rFonts w:ascii="Cambria Math" w:hAnsi="Cambria Math"/>
            <w:lang w:eastAsia="en-GB"/>
          </w:rPr>
          <m:t>mod2</m:t>
        </m:r>
      </m:oMath>
      <w:r w:rsidRPr="00237AA1">
        <w:rPr>
          <w:rFonts w:eastAsia="DengXian"/>
          <w:lang w:eastAsia="en-GB"/>
        </w:rPr>
        <w:t xml:space="preserve"> </w:t>
      </w:r>
      <w:r w:rsidRPr="00237AA1">
        <w:rPr>
          <w:rFonts w:cs="Arial"/>
          <w:lang w:eastAsia="zh-CN"/>
        </w:rPr>
        <w:t xml:space="preserve">as described </w:t>
      </w:r>
      <w:r w:rsidR="006F5F9E">
        <w:rPr>
          <w:rFonts w:cs="Arial"/>
          <w:lang w:eastAsia="zh-CN"/>
        </w:rPr>
        <w:t>in clause</w:t>
      </w:r>
      <w:r w:rsidRPr="00237AA1">
        <w:rPr>
          <w:rFonts w:cs="Arial"/>
          <w:lang w:eastAsia="zh-CN"/>
        </w:rPr>
        <w:t xml:space="preserve"> 9.1.3.1 where </w:t>
      </w:r>
      <m:oMath>
        <m:sSub>
          <m:sSubPr>
            <m:ctrlPr>
              <w:rPr>
                <w:rFonts w:ascii="Cambria Math" w:hAnsi="Cambria Math"/>
                <w:i/>
                <w:lang w:eastAsia="zh-CN"/>
              </w:rPr>
            </m:ctrlPr>
          </m:sSubPr>
          <m:e>
            <m:r>
              <w:rPr>
                <w:rFonts w:ascii="Cambria Math" w:hAnsi="Cambria Math"/>
                <w:lang w:eastAsia="zh-CN"/>
              </w:rPr>
              <m:t>N</m:t>
            </m:r>
          </m:e>
          <m:sub>
            <m:r>
              <m:rPr>
                <m:nor/>
              </m:rPr>
              <w:rPr>
                <w:lang w:eastAsia="zh-CN"/>
              </w:rPr>
              <m:t>SPS</m:t>
            </m:r>
            <m:r>
              <m:rPr>
                <m:sty m:val="p"/>
              </m:rPr>
              <w:rPr>
                <w:rFonts w:ascii="Cambria Math" w:hAnsi="Cambria Math"/>
                <w:lang w:eastAsia="zh-CN"/>
              </w:rPr>
              <m:t>,</m:t>
            </m:r>
            <m:r>
              <w:rPr>
                <w:rFonts w:ascii="Cambria Math" w:hAnsi="Cambria Math"/>
                <w:lang w:eastAsia="zh-CN"/>
              </w:rPr>
              <m:t>c</m:t>
            </m:r>
            <m:ctrlPr>
              <w:rPr>
                <w:rFonts w:ascii="Cambria Math" w:hAnsi="Cambria Math"/>
                <w:lang w:eastAsia="zh-CN"/>
              </w:rPr>
            </m:ctrlPr>
          </m:sub>
        </m:sSub>
      </m:oMath>
      <w:r w:rsidRPr="00237AA1">
        <w:rPr>
          <w:rFonts w:cs="Arial"/>
          <w:lang w:eastAsia="zh-CN"/>
        </w:rPr>
        <w:t xml:space="preserve"> is included</w:t>
      </w:r>
      <w:r>
        <w:rPr>
          <w:rFonts w:cs="Arial"/>
          <w:lang w:eastAsia="zh-CN"/>
        </w:rPr>
        <w:t xml:space="preserve"> in</w:t>
      </w:r>
      <w:r w:rsidRPr="00237AA1">
        <w:rPr>
          <w:rFonts w:cs="Arial"/>
          <w:lang w:eastAsia="zh-CN"/>
        </w:rPr>
        <w:t xml:space="preserve"> </w:t>
      </w:r>
      <m:oMath>
        <m:sSub>
          <m:sSubPr>
            <m:ctrlPr>
              <w:rPr>
                <w:rFonts w:ascii="Cambria Math" w:hAnsi="Cambria Math"/>
                <w:i/>
                <w:lang w:eastAsia="zh-CN"/>
              </w:rPr>
            </m:ctrlPr>
          </m:sSubPr>
          <m:e>
            <m:r>
              <w:rPr>
                <w:rFonts w:ascii="Cambria Math" w:hAnsi="Cambria Math"/>
                <w:lang w:eastAsia="zh-CN"/>
              </w:rPr>
              <m:t>n</m:t>
            </m:r>
          </m:e>
          <m:sub>
            <m:r>
              <m:rPr>
                <m:sty m:val="p"/>
              </m:rPr>
              <w:rPr>
                <w:rFonts w:ascii="Cambria Math" w:hAnsi="Cambria Math"/>
                <w:lang w:eastAsia="zh-CN"/>
              </w:rPr>
              <m:t>HARQ-ACK</m:t>
            </m:r>
            <m:r>
              <w:rPr>
                <w:rFonts w:ascii="Cambria Math" w:hAnsi="Cambria Math"/>
                <w:lang w:eastAsia="zh-CN"/>
              </w:rPr>
              <m:t>,g</m:t>
            </m:r>
          </m:sub>
        </m:sSub>
      </m:oMath>
      <w:r>
        <w:rPr>
          <w:rFonts w:cs="Arial"/>
          <w:lang w:eastAsia="zh-CN"/>
        </w:rPr>
        <w:t xml:space="preserve"> and,</w:t>
      </w:r>
      <w:r w:rsidRPr="00237AA1">
        <w:rPr>
          <w:lang w:eastAsia="zh-CN"/>
        </w:rPr>
        <w:t xml:space="preserve"> </w:t>
      </w:r>
      <w:r w:rsidRPr="00237AA1">
        <w:rPr>
          <w:rFonts w:cs="Arial"/>
          <w:lang w:eastAsia="zh-CN"/>
        </w:rPr>
        <w:t xml:space="preserve">if </w:t>
      </w:r>
      <m:oMath>
        <m:r>
          <w:rPr>
            <w:rFonts w:ascii="Cambria Math" w:cs="Arial"/>
            <w:lang w:eastAsia="zh-CN"/>
          </w:rPr>
          <m:t>q=1</m:t>
        </m:r>
      </m:oMath>
      <w:r w:rsidRPr="00237AA1">
        <w:rPr>
          <w:rFonts w:cs="Arial"/>
          <w:lang w:eastAsia="zh-CN"/>
        </w:rPr>
        <w:t xml:space="preserve"> and </w:t>
      </w:r>
      <m:oMath>
        <m:sSubSup>
          <m:sSubSupPr>
            <m:ctrlPr>
              <w:rPr>
                <w:rFonts w:ascii="Cambria Math" w:hAnsi="Cambria Math"/>
                <w:i/>
              </w:rPr>
            </m:ctrlPr>
          </m:sSubSupPr>
          <m:e>
            <m:r>
              <w:rPr>
                <w:rFonts w:ascii="Cambria Math" w:hAnsi="Cambria Math"/>
              </w:rPr>
              <m:t>V</m:t>
            </m:r>
          </m:e>
          <m:sub>
            <m:r>
              <m:rPr>
                <m:sty m:val="p"/>
              </m:rPr>
              <w:rPr>
                <w:rFonts w:ascii="Cambria Math" w:hAnsi="Cambria Math"/>
              </w:rPr>
              <m:t>DAI</m:t>
            </m:r>
          </m:sub>
          <m:sup>
            <m:d>
              <m:dPr>
                <m:ctrlPr>
                  <w:rPr>
                    <w:rFonts w:ascii="Cambria Math" w:hAnsi="Cambria Math"/>
                    <w:i/>
                  </w:rPr>
                </m:ctrlPr>
              </m:dPr>
              <m:e>
                <m:r>
                  <w:rPr>
                    <w:rFonts w:ascii="Cambria Math" w:hAnsi="Cambria Math"/>
                  </w:rPr>
                  <m:t>g+1</m:t>
                </m:r>
              </m:e>
            </m:d>
            <m:r>
              <w:rPr>
                <w:rFonts w:ascii="Cambria Math" w:hAnsi="Cambria Math"/>
              </w:rPr>
              <m:t>mod2</m:t>
            </m:r>
          </m:sup>
        </m:sSubSup>
        <m:r>
          <w:rPr>
            <w:rFonts w:ascii="Cambria Math" w:hAnsi="Cambria Math" w:cs="Arial"/>
          </w:rPr>
          <m:t>≠∅</m:t>
        </m:r>
      </m:oMath>
      <w:r w:rsidRPr="00237AA1">
        <w:rPr>
          <w:lang w:eastAsia="zh-CN"/>
        </w:rPr>
        <w:t xml:space="preserve">, the UE determines </w:t>
      </w:r>
      <m:oMath>
        <m:sSub>
          <m:sSubPr>
            <m:ctrlPr>
              <w:rPr>
                <w:rFonts w:ascii="Cambria Math" w:hAnsi="Cambria Math"/>
                <w:i/>
                <w:lang w:eastAsia="zh-CN"/>
              </w:rPr>
            </m:ctrlPr>
          </m:sSubPr>
          <m:e>
            <m:r>
              <w:rPr>
                <w:rFonts w:ascii="Cambria Math" w:hAnsi="Cambria Math"/>
                <w:lang w:eastAsia="zh-CN"/>
              </w:rPr>
              <m:t>n</m:t>
            </m:r>
          </m:e>
          <m:sub>
            <m:r>
              <m:rPr>
                <m:sty m:val="p"/>
              </m:rPr>
              <w:rPr>
                <w:rFonts w:ascii="Cambria Math" w:hAnsi="Cambria Math"/>
                <w:lang w:eastAsia="zh-CN"/>
              </w:rPr>
              <m:t>HARQ-ACK</m:t>
            </m:r>
            <m:r>
              <w:rPr>
                <w:rFonts w:ascii="Cambria Math" w:hAnsi="Cambria Math"/>
                <w:lang w:eastAsia="zh-CN"/>
              </w:rPr>
              <m:t>,(g+1)mod2</m:t>
            </m:r>
          </m:sub>
        </m:sSub>
      </m:oMath>
      <w:r w:rsidRPr="00237AA1">
        <w:rPr>
          <w:lang w:eastAsia="zh-CN"/>
        </w:rPr>
        <w:t xml:space="preserve"> by setting </w:t>
      </w:r>
      <m:oMath>
        <m:sSubSup>
          <m:sSubSupPr>
            <m:ctrlPr>
              <w:rPr>
                <w:rFonts w:ascii="Cambria Math" w:hAnsi="Cambria Math"/>
                <w:i/>
              </w:rPr>
            </m:ctrlPr>
          </m:sSubSupPr>
          <m:e>
            <m:sSubSup>
              <m:sSubSupPr>
                <m:ctrlPr>
                  <w:rPr>
                    <w:rFonts w:ascii="Cambria Math" w:hAnsi="Cambria Math"/>
                    <w:iCs/>
                  </w:rPr>
                </m:ctrlPr>
              </m:sSubSupPr>
              <m:e>
                <m:r>
                  <w:rPr>
                    <w:rFonts w:ascii="Cambria Math" w:hAnsi="Cambria Math"/>
                  </w:rPr>
                  <m:t>V</m:t>
                </m:r>
              </m:e>
              <m:sub>
                <m:r>
                  <m:rPr>
                    <m:sty m:val="p"/>
                  </m:rPr>
                  <w:rPr>
                    <w:rFonts w:ascii="Cambria Math" w:hAnsi="Cambria Math"/>
                  </w:rPr>
                  <m:t>DAI,</m:t>
                </m:r>
                <m:sSub>
                  <m:sSubPr>
                    <m:ctrlPr>
                      <w:rPr>
                        <w:rFonts w:ascii="Cambria Math" w:hAnsi="Cambria Math"/>
                        <w:iCs/>
                        <w:lang w:eastAsia="zh-CN"/>
                      </w:rPr>
                    </m:ctrlPr>
                  </m:sSubPr>
                  <m:e>
                    <m:r>
                      <m:rPr>
                        <m:sty m:val="p"/>
                      </m:rPr>
                      <w:rPr>
                        <w:rFonts w:ascii="Cambria Math" w:hAnsi="Cambria Math"/>
                        <w:lang w:eastAsia="zh-CN"/>
                      </w:rPr>
                      <m:t>m</m:t>
                    </m:r>
                  </m:e>
                  <m:sub>
                    <m:r>
                      <m:rPr>
                        <m:sty m:val="p"/>
                      </m:rPr>
                      <w:rPr>
                        <w:rFonts w:ascii="Cambria Math" w:hAnsi="Cambria Math"/>
                        <w:lang w:eastAsia="zh-CN"/>
                      </w:rPr>
                      <m:t>last</m:t>
                    </m:r>
                  </m:sub>
                </m:sSub>
              </m:sub>
              <m:sup>
                <m:r>
                  <m:rPr>
                    <m:sty m:val="p"/>
                  </m:rPr>
                  <w:rPr>
                    <w:rFonts w:ascii="Cambria Math" w:hAnsi="Cambria Math"/>
                  </w:rPr>
                  <m:t>DL</m:t>
                </m:r>
              </m:sup>
            </m:sSubSup>
            <m:r>
              <w:rPr>
                <w:rFonts w:ascii="Cambria Math" w:hAnsi="Cambria Math"/>
              </w:rPr>
              <m:t>=V</m:t>
            </m:r>
          </m:e>
          <m:sub>
            <m:r>
              <w:rPr>
                <w:rFonts w:ascii="Cambria Math" w:hAnsi="Cambria Math"/>
              </w:rPr>
              <m:t>DAI</m:t>
            </m:r>
          </m:sub>
          <m:sup>
            <m:d>
              <m:dPr>
                <m:ctrlPr>
                  <w:rPr>
                    <w:rFonts w:ascii="Cambria Math" w:hAnsi="Cambria Math"/>
                    <w:i/>
                  </w:rPr>
                </m:ctrlPr>
              </m:dPr>
              <m:e>
                <m:r>
                  <w:rPr>
                    <w:rFonts w:ascii="Cambria Math" w:hAnsi="Cambria Math"/>
                  </w:rPr>
                  <m:t>g+1</m:t>
                </m:r>
              </m:e>
            </m:d>
            <m:r>
              <w:rPr>
                <w:rFonts w:ascii="Cambria Math" w:hAnsi="Cambria Math"/>
              </w:rPr>
              <m:t>mod2</m:t>
            </m:r>
          </m:sup>
        </m:sSubSup>
      </m:oMath>
      <w:r w:rsidRPr="00237AA1">
        <w:t xml:space="preserve">. </w:t>
      </w:r>
      <w:r>
        <w:t>For obtaining a PUCCH transmission power, i</w:t>
      </w:r>
      <w:r w:rsidRPr="00237AA1">
        <w:t xml:space="preserve">f </w:t>
      </w:r>
      <m:oMath>
        <m:r>
          <w:rPr>
            <w:rFonts w:ascii="Cambria Math" w:cs="Arial"/>
            <w:lang w:eastAsia="zh-CN"/>
          </w:rPr>
          <m:t>q=0</m:t>
        </m:r>
      </m:oMath>
      <w:r w:rsidRPr="00237AA1">
        <w:rPr>
          <w:lang w:eastAsia="zh-CN"/>
        </w:rPr>
        <w:t xml:space="preserve">, </w:t>
      </w:r>
      <m:oMath>
        <m:sSub>
          <m:sSubPr>
            <m:ctrlPr>
              <w:rPr>
                <w:rFonts w:ascii="Cambria Math" w:hAnsi="Cambria Math"/>
                <w:iCs/>
                <w:lang w:eastAsia="zh-CN"/>
              </w:rPr>
            </m:ctrlPr>
          </m:sSubPr>
          <m:e>
            <m:r>
              <w:rPr>
                <w:rFonts w:ascii="Cambria Math" w:hAnsi="Cambria Math"/>
                <w:lang w:eastAsia="zh-CN"/>
              </w:rPr>
              <m:t>n</m:t>
            </m:r>
          </m:e>
          <m:sub>
            <m:r>
              <m:rPr>
                <m:sty m:val="p"/>
              </m:rPr>
              <w:rPr>
                <w:rFonts w:ascii="Cambria Math" w:hAnsi="Cambria Math"/>
                <w:lang w:eastAsia="zh-CN"/>
              </w:rPr>
              <m:t>HARQ-ACK</m:t>
            </m:r>
          </m:sub>
        </m:sSub>
        <m:r>
          <w:rPr>
            <w:rFonts w:ascii="Cambria Math" w:hAnsi="Cambria Math"/>
            <w:lang w:eastAsia="zh-CN"/>
          </w:rPr>
          <m:t xml:space="preserve"> = </m:t>
        </m:r>
        <m:sSub>
          <m:sSubPr>
            <m:ctrlPr>
              <w:rPr>
                <w:rFonts w:ascii="Cambria Math" w:hAnsi="Cambria Math"/>
                <w:i/>
                <w:lang w:eastAsia="zh-CN"/>
              </w:rPr>
            </m:ctrlPr>
          </m:sSubPr>
          <m:e>
            <m:r>
              <w:rPr>
                <w:rFonts w:ascii="Cambria Math" w:hAnsi="Cambria Math"/>
                <w:lang w:eastAsia="zh-CN"/>
              </w:rPr>
              <m:t>n</m:t>
            </m:r>
          </m:e>
          <m:sub>
            <m:r>
              <m:rPr>
                <m:sty m:val="p"/>
              </m:rPr>
              <w:rPr>
                <w:rFonts w:ascii="Cambria Math" w:hAnsi="Cambria Math"/>
                <w:lang w:eastAsia="zh-CN"/>
              </w:rPr>
              <m:t xml:space="preserve">HARQ-ACK,  </m:t>
            </m:r>
            <m:r>
              <w:rPr>
                <w:rFonts w:ascii="Cambria Math" w:hAnsi="Cambria Math"/>
                <w:lang w:eastAsia="zh-CN"/>
              </w:rPr>
              <m:t>g</m:t>
            </m:r>
          </m:sub>
        </m:sSub>
      </m:oMath>
      <w:r>
        <w:rPr>
          <w:lang w:eastAsia="zh-CN"/>
        </w:rPr>
        <w:t>;</w:t>
      </w:r>
      <w:r w:rsidRPr="00237AA1">
        <w:rPr>
          <w:lang w:eastAsia="zh-CN"/>
        </w:rPr>
        <w:t xml:space="preserve"> </w:t>
      </w:r>
      <w:r w:rsidRPr="00237AA1">
        <w:t>else</w:t>
      </w:r>
      <w:r>
        <w:t>,</w:t>
      </w:r>
      <w:r w:rsidRPr="00237AA1">
        <w:t xml:space="preserve"> </w:t>
      </w:r>
      <m:oMath>
        <m:sSub>
          <m:sSubPr>
            <m:ctrlPr>
              <w:rPr>
                <w:rFonts w:ascii="Cambria Math" w:hAnsi="Cambria Math"/>
                <w:i/>
                <w:lang w:eastAsia="zh-CN"/>
              </w:rPr>
            </m:ctrlPr>
          </m:sSubPr>
          <m:e>
            <m:r>
              <w:rPr>
                <w:rFonts w:ascii="Cambria Math" w:hAnsi="Cambria Math"/>
                <w:lang w:eastAsia="zh-CN"/>
              </w:rPr>
              <m:t>n</m:t>
            </m:r>
          </m:e>
          <m:sub>
            <m:r>
              <m:rPr>
                <m:sty m:val="p"/>
              </m:rPr>
              <w:rPr>
                <w:rFonts w:ascii="Cambria Math" w:hAnsi="Cambria Math"/>
                <w:lang w:eastAsia="zh-CN"/>
              </w:rPr>
              <m:t>HARQ-ACK</m:t>
            </m:r>
          </m:sub>
        </m:sSub>
        <m:r>
          <w:rPr>
            <w:rFonts w:ascii="Cambria Math" w:hAnsi="Cambria Math"/>
            <w:lang w:eastAsia="zh-CN"/>
          </w:rPr>
          <m:t xml:space="preserve"> = </m:t>
        </m:r>
        <m:sSub>
          <m:sSubPr>
            <m:ctrlPr>
              <w:rPr>
                <w:rFonts w:ascii="Cambria Math" w:hAnsi="Cambria Math"/>
                <w:i/>
                <w:lang w:eastAsia="zh-CN"/>
              </w:rPr>
            </m:ctrlPr>
          </m:sSubPr>
          <m:e>
            <m:r>
              <w:rPr>
                <w:rFonts w:ascii="Cambria Math" w:hAnsi="Cambria Math"/>
                <w:lang w:eastAsia="zh-CN"/>
              </w:rPr>
              <m:t>n</m:t>
            </m:r>
          </m:e>
          <m:sub>
            <m:r>
              <m:rPr>
                <m:sty m:val="p"/>
              </m:rPr>
              <w:rPr>
                <w:rFonts w:ascii="Cambria Math" w:hAnsi="Cambria Math"/>
                <w:lang w:eastAsia="zh-CN"/>
              </w:rPr>
              <m:t>HARQ-ACK</m:t>
            </m:r>
            <m:r>
              <w:rPr>
                <w:rFonts w:ascii="Cambria Math" w:hAnsi="Cambria Math"/>
                <w:lang w:eastAsia="zh-CN"/>
              </w:rPr>
              <m:t>,g</m:t>
            </m:r>
          </m:sub>
        </m:sSub>
        <m:r>
          <w:rPr>
            <w:rFonts w:ascii="Cambria Math" w:hAnsi="Cambria Math"/>
            <w:lang w:eastAsia="zh-CN"/>
          </w:rPr>
          <m:t>+</m:t>
        </m:r>
        <m:sSub>
          <m:sSubPr>
            <m:ctrlPr>
              <w:rPr>
                <w:rFonts w:ascii="Cambria Math" w:hAnsi="Cambria Math"/>
                <w:iCs/>
                <w:lang w:eastAsia="zh-CN"/>
              </w:rPr>
            </m:ctrlPr>
          </m:sSubPr>
          <m:e>
            <m:r>
              <w:rPr>
                <w:rFonts w:ascii="Cambria Math" w:hAnsi="Cambria Math"/>
                <w:lang w:eastAsia="zh-CN"/>
              </w:rPr>
              <m:t>n</m:t>
            </m:r>
          </m:e>
          <m:sub>
            <m:r>
              <m:rPr>
                <m:sty m:val="p"/>
              </m:rPr>
              <w:rPr>
                <w:rFonts w:ascii="Cambria Math" w:hAnsi="Cambria Math"/>
                <w:lang w:eastAsia="zh-CN"/>
              </w:rPr>
              <m:t>HARQ-ACK,  (</m:t>
            </m:r>
            <m:r>
              <w:rPr>
                <w:rFonts w:ascii="Cambria Math" w:hAnsi="Cambria Math"/>
                <w:lang w:eastAsia="zh-CN"/>
              </w:rPr>
              <m:t>g</m:t>
            </m:r>
            <m:r>
              <m:rPr>
                <m:sty m:val="p"/>
              </m:rPr>
              <w:rPr>
                <w:rFonts w:ascii="Cambria Math" w:hAnsi="Cambria Math"/>
                <w:lang w:eastAsia="zh-CN"/>
              </w:rPr>
              <m:t>+1)mod2</m:t>
            </m:r>
          </m:sub>
        </m:sSub>
      </m:oMath>
      <w:r>
        <w:t>.</w:t>
      </w:r>
    </w:p>
    <w:p w14:paraId="4DE1A4A0" w14:textId="77777777" w:rsidR="008C3F0C" w:rsidRDefault="008C3F0C" w:rsidP="00224F81">
      <w:pPr>
        <w:pStyle w:val="Heading3"/>
      </w:pPr>
      <w:bookmarkStart w:id="511" w:name="_Toc29894846"/>
      <w:bookmarkStart w:id="512" w:name="_Toc29899145"/>
      <w:bookmarkStart w:id="513" w:name="_Toc29899563"/>
      <w:bookmarkStart w:id="514" w:name="_Toc29917300"/>
      <w:bookmarkStart w:id="515" w:name="_Toc36498174"/>
      <w:bookmarkStart w:id="516" w:name="_Toc45699200"/>
      <w:bookmarkStart w:id="517" w:name="_Toc161999126"/>
      <w:r>
        <w:t>9.1.4</w:t>
      </w:r>
      <w:r w:rsidRPr="00B916EC">
        <w:tab/>
      </w:r>
      <w:r>
        <w:t>Type-3</w:t>
      </w:r>
      <w:r w:rsidRPr="00B916EC">
        <w:t xml:space="preserve"> HARQ-ACK codebook</w:t>
      </w:r>
      <w:r w:rsidRPr="00B916EC">
        <w:rPr>
          <w:rFonts w:hint="eastAsia"/>
        </w:rPr>
        <w:t xml:space="preserve"> </w:t>
      </w:r>
      <w:r w:rsidRPr="00B916EC">
        <w:t>determination</w:t>
      </w:r>
      <w:bookmarkEnd w:id="511"/>
      <w:bookmarkEnd w:id="512"/>
      <w:bookmarkEnd w:id="513"/>
      <w:bookmarkEnd w:id="514"/>
      <w:bookmarkEnd w:id="515"/>
      <w:bookmarkEnd w:id="516"/>
      <w:bookmarkEnd w:id="517"/>
      <w:r w:rsidRPr="00B916EC">
        <w:t xml:space="preserve"> </w:t>
      </w:r>
    </w:p>
    <w:p w14:paraId="64755EF9" w14:textId="568DF652" w:rsidR="008C3F0C" w:rsidRPr="00990A42" w:rsidRDefault="008C3F0C" w:rsidP="003E315E">
      <w:r w:rsidRPr="00990A42">
        <w:rPr>
          <w:lang w:eastAsia="zh-CN"/>
        </w:rPr>
        <w:t xml:space="preserve">If </w:t>
      </w:r>
      <w:r w:rsidRPr="00990A42">
        <w:t xml:space="preserve">a UE </w:t>
      </w:r>
      <w:r w:rsidRPr="00990A42">
        <w:rPr>
          <w:lang w:eastAsia="zh-CN"/>
        </w:rPr>
        <w:t xml:space="preserve">is provided </w:t>
      </w:r>
      <w:r w:rsidRPr="00364CF2">
        <w:rPr>
          <w:i/>
          <w:lang w:val="en-US" w:eastAsia="zh-CN"/>
        </w:rPr>
        <w:t>pdsch-HARQ-ACK-OneShotFeedback</w:t>
      </w:r>
      <w:r w:rsidR="0008079E">
        <w:rPr>
          <w:i/>
          <w:lang w:eastAsia="zh-CN"/>
        </w:rPr>
        <w:t xml:space="preserve"> </w:t>
      </w:r>
      <w:r w:rsidR="0008079E" w:rsidRPr="00E63C3D">
        <w:rPr>
          <w:iCs/>
          <w:lang w:eastAsia="zh-CN"/>
        </w:rPr>
        <w:t>or</w:t>
      </w:r>
      <w:r w:rsidR="0008079E">
        <w:rPr>
          <w:i/>
          <w:lang w:eastAsia="zh-CN"/>
        </w:rPr>
        <w:t xml:space="preserve"> </w:t>
      </w:r>
      <w:r w:rsidR="0008079E" w:rsidRPr="00E63C3D">
        <w:rPr>
          <w:i/>
          <w:iCs/>
          <w:lang w:eastAsia="zh-CN"/>
        </w:rPr>
        <w:t>pdsch-HARQ-ACK-EnhType3ToAddModList</w:t>
      </w:r>
      <w:r>
        <w:rPr>
          <w:iCs/>
        </w:rPr>
        <w:t xml:space="preserve">, </w:t>
      </w:r>
      <w:r w:rsidRPr="00990A42">
        <w:t>the UE det</w:t>
      </w:r>
      <w:r>
        <w:t>ermines</w:t>
      </w:r>
      <w:r w:rsidR="00354BC1">
        <w:t xml:space="preserve"> </w:t>
      </w:r>
      <m:oMath>
        <m:sSubSup>
          <m:sSubSupPr>
            <m:ctrlPr>
              <w:rPr>
                <w:rFonts w:ascii="Cambria Math" w:hAnsi="Cambria Math"/>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0</m:t>
            </m:r>
          </m:sub>
          <m:sup>
            <m:r>
              <w:rPr>
                <w:rFonts w:ascii="Cambria Math" w:hAnsi="Cambria Math"/>
              </w:rPr>
              <m:t>ACK</m:t>
            </m:r>
          </m:sup>
        </m:sSubSup>
        <m:r>
          <w:rPr>
            <w:rFonts w:ascii="Cambria Math" w:hAnsi="Cambria Math"/>
          </w:rPr>
          <m:t>,</m:t>
        </m:r>
        <m:sSubSup>
          <m:sSubSupPr>
            <m:ctrlPr>
              <w:rPr>
                <w:rFonts w:ascii="Cambria Math" w:hAnsi="Cambria Math"/>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1</m:t>
            </m:r>
          </m:sub>
          <m:sup>
            <m:r>
              <w:rPr>
                <w:rFonts w:ascii="Cambria Math" w:hAnsi="Cambria Math"/>
              </w:rPr>
              <m:t>ACK</m:t>
            </m:r>
          </m:sup>
        </m:sSubSup>
        <m:r>
          <w:rPr>
            <w:rFonts w:ascii="Cambria Math" w:hAnsi="Cambria Math"/>
          </w:rPr>
          <m:t>,…,</m:t>
        </m:r>
        <m:sSubSup>
          <m:sSubSupPr>
            <m:ctrlPr>
              <w:rPr>
                <w:rFonts w:ascii="Cambria Math" w:hAnsi="Cambria Math"/>
              </w:rPr>
            </m:ctrlPr>
          </m:sSubSupPr>
          <m:e>
            <m:acc>
              <m:accPr>
                <m:chr m:val="̃"/>
                <m:ctrlPr>
                  <w:rPr>
                    <w:rFonts w:ascii="Cambria Math" w:hAnsi="Cambria Math"/>
                    <w:i/>
                  </w:rPr>
                </m:ctrlPr>
              </m:accPr>
              <m:e>
                <m:r>
                  <w:rPr>
                    <w:rFonts w:ascii="Cambria Math" w:hAnsi="Cambria Math"/>
                  </w:rPr>
                  <m:t>o</m:t>
                </m:r>
              </m:e>
            </m:acc>
          </m:e>
          <m:sub>
            <m:sSub>
              <m:sSubPr>
                <m:ctrlPr>
                  <w:rPr>
                    <w:rFonts w:ascii="Cambria Math" w:hAnsi="Cambria Math"/>
                    <w:i/>
                  </w:rPr>
                </m:ctrlPr>
              </m:sSubPr>
              <m:e>
                <m:r>
                  <w:rPr>
                    <w:rFonts w:ascii="Cambria Math" w:hAnsi="Cambria Math"/>
                  </w:rPr>
                  <m:t>O</m:t>
                </m:r>
              </m:e>
              <m:sub>
                <m:r>
                  <w:rPr>
                    <w:rFonts w:ascii="Cambria Math" w:hAnsi="Cambria Math"/>
                  </w:rPr>
                  <m:t>ACK</m:t>
                </m:r>
              </m:sub>
            </m:sSub>
            <m:r>
              <w:rPr>
                <w:rFonts w:ascii="Cambria Math" w:hAnsi="Cambria Math"/>
              </w:rPr>
              <m:t>-1</m:t>
            </m:r>
          </m:sub>
          <m:sup>
            <m:r>
              <w:rPr>
                <w:rFonts w:ascii="Cambria Math" w:hAnsi="Cambria Math"/>
              </w:rPr>
              <m:t>ACK</m:t>
            </m:r>
          </m:sup>
        </m:sSubSup>
      </m:oMath>
      <w:r w:rsidR="00354BC1" w:rsidRPr="00B916EC">
        <w:rPr>
          <w:rFonts w:hint="eastAsia"/>
          <w:lang w:eastAsia="zh-CN"/>
        </w:rPr>
        <w:t xml:space="preserve"> </w:t>
      </w:r>
      <w:r w:rsidR="00354BC1" w:rsidRPr="00B916EC">
        <w:rPr>
          <w:lang w:eastAsia="zh-CN"/>
        </w:rPr>
        <w:t>HARQ-ACK information bits</w:t>
      </w:r>
      <w:r w:rsidR="00354BC1">
        <w:rPr>
          <w:lang w:eastAsia="zh-CN"/>
        </w:rPr>
        <w:t>, for a total number of</w:t>
      </w:r>
      <w:r w:rsidR="00354BC1">
        <w:rPr>
          <w:rFonts w:hint="eastAsia"/>
          <w:lang w:eastAsia="zh-CN"/>
        </w:rPr>
        <w:t xml:space="preserve"> </w:t>
      </w:r>
      <m:oMath>
        <m:sSub>
          <m:sSubPr>
            <m:ctrlPr>
              <w:rPr>
                <w:rFonts w:ascii="Cambria Math" w:hAnsi="Cambria Math"/>
                <w:lang w:eastAsia="zh-CN"/>
              </w:rPr>
            </m:ctrlPr>
          </m:sSubPr>
          <m:e>
            <m:r>
              <w:rPr>
                <w:rFonts w:ascii="Cambria Math" w:hAnsi="Cambria Math"/>
                <w:lang w:eastAsia="zh-CN"/>
              </w:rPr>
              <m:t>O</m:t>
            </m:r>
          </m:e>
          <m:sub>
            <m:r>
              <w:rPr>
                <w:rFonts w:ascii="Cambria Math" w:hAnsi="Cambria Math"/>
                <w:lang w:eastAsia="zh-CN"/>
              </w:rPr>
              <m:t>ACK</m:t>
            </m:r>
          </m:sub>
        </m:sSub>
      </m:oMath>
      <w:r w:rsidR="00354BC1">
        <w:rPr>
          <w:lang w:eastAsia="zh-CN"/>
        </w:rPr>
        <w:t xml:space="preserve"> HARQ-ACK information bits,</w:t>
      </w:r>
      <w:r w:rsidR="00354BC1" w:rsidRPr="00B916EC">
        <w:rPr>
          <w:lang w:eastAsia="zh-CN"/>
        </w:rPr>
        <w:t xml:space="preserve"> of</w:t>
      </w:r>
      <w:r>
        <w:t xml:space="preserve"> a Type-3 HARQ-ACK codebook according to the following procedure.</w:t>
      </w:r>
      <w:r w:rsidR="00305D32">
        <w:t xml:space="preserve"> </w:t>
      </w:r>
      <w:r w:rsidR="00305D32" w:rsidRPr="00111FF6">
        <w:t xml:space="preserve">If the UE is provided </w:t>
      </w:r>
      <w:r w:rsidR="00305D32" w:rsidRPr="00111FF6">
        <w:rPr>
          <w:i/>
          <w:iCs/>
        </w:rPr>
        <w:t>pdsch-HARQ-ACK</w:t>
      </w:r>
      <w:r w:rsidR="00B816A6">
        <w:rPr>
          <w:i/>
          <w:iCs/>
        </w:rPr>
        <w:t>-EnhT</w:t>
      </w:r>
      <w:r w:rsidR="00305D32" w:rsidRPr="00111FF6">
        <w:rPr>
          <w:i/>
          <w:iCs/>
        </w:rPr>
        <w:t>ype3</w:t>
      </w:r>
      <w:r w:rsidR="00810BB0" w:rsidRPr="00751357">
        <w:rPr>
          <w:i/>
          <w:iCs/>
        </w:rPr>
        <w:t>ToAddMod</w:t>
      </w:r>
      <w:r w:rsidR="00305D32" w:rsidRPr="00111FF6">
        <w:rPr>
          <w:i/>
          <w:iCs/>
        </w:rPr>
        <w:t>List</w:t>
      </w:r>
      <w:r w:rsidR="00305D32" w:rsidRPr="00111FF6">
        <w:t xml:space="preserve"> and a DCI format </w:t>
      </w:r>
      <w:r w:rsidR="00305D32">
        <w:t xml:space="preserve">scheduling PDSCH reception and </w:t>
      </w:r>
      <w:r w:rsidR="00305D32" w:rsidRPr="00111FF6">
        <w:t xml:space="preserve">triggering the Type-3 HARQ-ACK codebook includes </w:t>
      </w:r>
      <w:r w:rsidR="009B50D5" w:rsidRPr="0001170A">
        <w:t>an enhanced Type 3 codebook indicator</w:t>
      </w:r>
      <w:r w:rsidR="00305D32" w:rsidRPr="00111FF6">
        <w:t xml:space="preserve"> field that provides a value for </w:t>
      </w:r>
      <w:r w:rsidR="00305D32" w:rsidRPr="00111FF6">
        <w:rPr>
          <w:i/>
          <w:iCs/>
        </w:rPr>
        <w:t>pdsch-HARQ-ACK</w:t>
      </w:r>
      <w:r w:rsidR="00B816A6">
        <w:rPr>
          <w:i/>
          <w:iCs/>
        </w:rPr>
        <w:t>-EnhT</w:t>
      </w:r>
      <w:r w:rsidR="00305D32" w:rsidRPr="00111FF6">
        <w:rPr>
          <w:i/>
          <w:iCs/>
        </w:rPr>
        <w:t>ype3Index</w:t>
      </w:r>
      <w:r w:rsidR="00305D32" w:rsidRPr="00111FF6">
        <w:t xml:space="preserve">, the UE determines a </w:t>
      </w:r>
      <w:r w:rsidR="009B50D5" w:rsidRPr="0001170A">
        <w:t>size of a set</w:t>
      </w:r>
      <w:r w:rsidR="00305D32" w:rsidRPr="00111FF6">
        <w:t xml:space="preserve"> of indicated serving cells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cells</m:t>
            </m:r>
          </m:sub>
          <m:sup>
            <m:r>
              <m:rPr>
                <m:sty m:val="p"/>
              </m:rPr>
              <w:rPr>
                <w:rFonts w:ascii="Cambria Math" w:hAnsi="Cambria Math"/>
              </w:rPr>
              <m:t>DL,ind</m:t>
            </m:r>
          </m:sup>
        </m:sSubSup>
      </m:oMath>
      <w:r w:rsidR="00305D32" w:rsidRPr="00111FF6">
        <w:t xml:space="preserve"> and a </w:t>
      </w:r>
      <w:r w:rsidR="009B50D5" w:rsidRPr="0001170A">
        <w:t>size of a set</w:t>
      </w:r>
      <w:r w:rsidR="00305D32" w:rsidRPr="00111FF6">
        <w:t xml:space="preserve"> of indicated HARQ process</w:t>
      </w:r>
      <w:r w:rsidR="00771F9A">
        <w:t xml:space="preserve"> numbers</w:t>
      </w:r>
      <w:r w:rsidR="00305D32" w:rsidRPr="00111FF6">
        <w:t xml:space="preserv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HARQ,</m:t>
            </m:r>
            <m:r>
              <w:rPr>
                <w:rFonts w:ascii="Cambria Math" w:hAnsi="Cambria Math"/>
              </w:rPr>
              <m:t>c</m:t>
            </m:r>
          </m:sub>
          <m:sup>
            <m:r>
              <m:rPr>
                <m:sty m:val="p"/>
              </m:rPr>
              <w:rPr>
                <w:rFonts w:ascii="Cambria Math" w:hAnsi="Cambria Math"/>
              </w:rPr>
              <m:t>DL,ind</m:t>
            </m:r>
          </m:sup>
        </m:sSubSup>
      </m:oMath>
      <w:r w:rsidR="00305D32" w:rsidRPr="00111FF6">
        <w:t xml:space="preserve"> for each indicated serving cell</w:t>
      </w:r>
      <w:r w:rsidR="009B50D5">
        <w:t xml:space="preserve"> </w:t>
      </w:r>
      <w:r w:rsidR="009B50D5" w:rsidRPr="00BB4389">
        <w:t>and each indicated HARQ process number</w:t>
      </w:r>
      <w:r w:rsidR="00305D32" w:rsidRPr="00111FF6">
        <w:t xml:space="preserve"> from the entry in </w:t>
      </w:r>
      <w:r w:rsidR="00305D32" w:rsidRPr="00111FF6">
        <w:rPr>
          <w:i/>
          <w:iCs/>
        </w:rPr>
        <w:t>pdsch-HARQ-ACK</w:t>
      </w:r>
      <w:r w:rsidR="00B816A6">
        <w:rPr>
          <w:i/>
          <w:iCs/>
        </w:rPr>
        <w:t>-EnhT</w:t>
      </w:r>
      <w:r w:rsidR="00305D32" w:rsidRPr="00111FF6">
        <w:rPr>
          <w:i/>
          <w:iCs/>
        </w:rPr>
        <w:t>ype3</w:t>
      </w:r>
      <w:r w:rsidR="00810BB0" w:rsidRPr="00751357">
        <w:rPr>
          <w:i/>
          <w:iCs/>
        </w:rPr>
        <w:t>ToAddMod</w:t>
      </w:r>
      <w:r w:rsidR="00305D32" w:rsidRPr="00111FF6">
        <w:rPr>
          <w:i/>
          <w:iCs/>
        </w:rPr>
        <w:t>List</w:t>
      </w:r>
      <w:r w:rsidR="00305D32" w:rsidRPr="00111FF6">
        <w:t xml:space="preserve"> corresponding to the </w:t>
      </w:r>
      <w:r w:rsidR="00305D32" w:rsidRPr="00111FF6">
        <w:rPr>
          <w:i/>
          <w:iCs/>
        </w:rPr>
        <w:t>pdsch-HARQ-ACK</w:t>
      </w:r>
      <w:r w:rsidR="00B816A6">
        <w:rPr>
          <w:i/>
          <w:iCs/>
        </w:rPr>
        <w:t>-EnhT</w:t>
      </w:r>
      <w:r w:rsidR="00305D32" w:rsidRPr="00111FF6">
        <w:rPr>
          <w:i/>
          <w:iCs/>
        </w:rPr>
        <w:t>ype3Index</w:t>
      </w:r>
      <w:r w:rsidR="00305D32" w:rsidRPr="00111FF6">
        <w:t xml:space="preserve"> value. </w:t>
      </w:r>
      <w:r w:rsidR="00771F9A" w:rsidRPr="00043635">
        <w:t xml:space="preserve">Each bit from MSB to LSB provided by </w:t>
      </w:r>
      <w:r w:rsidR="00771F9A" w:rsidRPr="00875F96">
        <w:rPr>
          <w:i/>
          <w:iCs/>
        </w:rPr>
        <w:t>perCC</w:t>
      </w:r>
      <w:r w:rsidR="00771F9A" w:rsidRPr="00043635">
        <w:t xml:space="preserve"> corresponds to a serving cell in ascending order of serving cell index, where value </w:t>
      </w:r>
      <w:r w:rsidR="002D5F43">
        <w:t>'</w:t>
      </w:r>
      <w:r w:rsidR="00771F9A" w:rsidRPr="00043635">
        <w:t>1</w:t>
      </w:r>
      <w:r w:rsidR="002D5F43">
        <w:t>'</w:t>
      </w:r>
      <w:r w:rsidR="00771F9A" w:rsidRPr="00043635">
        <w:t xml:space="preserve"> or value </w:t>
      </w:r>
      <w:r w:rsidR="002D5F43">
        <w:t>'</w:t>
      </w:r>
      <w:r w:rsidR="00771F9A" w:rsidRPr="00043635">
        <w:t>0</w:t>
      </w:r>
      <w:r w:rsidR="002D5F43">
        <w:t>'</w:t>
      </w:r>
      <w:r w:rsidR="00771F9A" w:rsidRPr="00043635">
        <w:t xml:space="preserve"> indicate HARQ-ACK for the corresponding serving cell is included or not included in </w:t>
      </w:r>
      <w:r w:rsidR="00771F9A" w:rsidRPr="00043635">
        <w:lastRenderedPageBreak/>
        <w:t xml:space="preserve">the Type 3 HARQ-ACK codebook, respectively. Each bit string provided by </w:t>
      </w:r>
      <w:r w:rsidR="00771F9A" w:rsidRPr="00875F96">
        <w:rPr>
          <w:i/>
          <w:iCs/>
        </w:rPr>
        <w:t>perHARQ</w:t>
      </w:r>
      <w:r w:rsidR="00771F9A" w:rsidRPr="00043635">
        <w:t xml:space="preserve"> corresponds to a serving cell in ascending order of serving cell index, and each bit </w:t>
      </w:r>
      <w:r w:rsidR="00771F9A">
        <w:t xml:space="preserve">from MSB to LSB </w:t>
      </w:r>
      <w:r w:rsidR="00771F9A" w:rsidRPr="00043635">
        <w:t xml:space="preserve">within a bit string corresponds to a HARQ process number on a corresponding serving cell in ascending order of HARQ process number, where value </w:t>
      </w:r>
      <w:r w:rsidR="002D5F43">
        <w:t>'</w:t>
      </w:r>
      <w:r w:rsidR="00771F9A" w:rsidRPr="00043635">
        <w:t>1</w:t>
      </w:r>
      <w:r w:rsidR="002D5F43">
        <w:t>'</w:t>
      </w:r>
      <w:r w:rsidR="00771F9A" w:rsidRPr="00043635">
        <w:t xml:space="preserve"> or value </w:t>
      </w:r>
      <w:r w:rsidR="002D5F43">
        <w:t>'</w:t>
      </w:r>
      <w:r w:rsidR="00771F9A" w:rsidRPr="00043635">
        <w:t>0</w:t>
      </w:r>
      <w:r w:rsidR="002D5F43">
        <w:t>'</w:t>
      </w:r>
      <w:r w:rsidR="00771F9A" w:rsidRPr="00043635">
        <w:t xml:space="preserve"> indicate HARQ-ACK for the corresponding HARQ process number on the corresponding serving cell is included or not included in the Type 3 HARQ-ACK codebook, respectively.</w:t>
      </w:r>
      <w:r w:rsidR="00771F9A">
        <w:t xml:space="preserve"> </w:t>
      </w:r>
      <w:r w:rsidR="00305D32" w:rsidRPr="00111FF6">
        <w:t xml:space="preserve">If the DCI format does not include the </w:t>
      </w:r>
      <w:r w:rsidR="009B50D5" w:rsidRPr="00BB4389">
        <w:t>enhanced Type 3 codebook indicator</w:t>
      </w:r>
      <w:r w:rsidR="00305D32" w:rsidRPr="00111FF6">
        <w:t xml:space="preserve"> field, the </w:t>
      </w:r>
      <w:r w:rsidR="00305D32" w:rsidRPr="00111FF6">
        <w:rPr>
          <w:i/>
          <w:iCs/>
        </w:rPr>
        <w:t>pdsch-HARQ-ACK</w:t>
      </w:r>
      <w:r w:rsidR="00B816A6">
        <w:rPr>
          <w:i/>
          <w:iCs/>
        </w:rPr>
        <w:t>-EnhT</w:t>
      </w:r>
      <w:r w:rsidR="00305D32" w:rsidRPr="00111FF6">
        <w:rPr>
          <w:i/>
          <w:iCs/>
        </w:rPr>
        <w:t>ype3Index</w:t>
      </w:r>
      <w:r w:rsidR="00305D32" w:rsidRPr="00111FF6">
        <w:t xml:space="preserve"> value is zero.</w:t>
      </w:r>
    </w:p>
    <w:p w14:paraId="05C94FED" w14:textId="370406C5" w:rsidR="008C3F0C" w:rsidRDefault="008C3F0C" w:rsidP="003E315E">
      <w:r w:rsidRPr="00B916EC">
        <w:rPr>
          <w:rFonts w:hint="eastAsia"/>
          <w:lang w:eastAsia="zh-CN"/>
        </w:rPr>
        <w:t xml:space="preserve">Set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cells</m:t>
            </m:r>
          </m:sub>
          <m:sup>
            <m:r>
              <m:rPr>
                <m:sty m:val="p"/>
              </m:rPr>
              <w:rPr>
                <w:rFonts w:ascii="Cambria Math" w:hAnsi="Cambria Math"/>
              </w:rPr>
              <m:t>DL</m:t>
            </m:r>
          </m:sup>
        </m:sSubSup>
      </m:oMath>
      <w:r>
        <w:t xml:space="preserve"> to the number of </w:t>
      </w:r>
      <w:r w:rsidR="00CA0759">
        <w:t xml:space="preserve">configured </w:t>
      </w:r>
      <w:r>
        <w:rPr>
          <w:lang w:val="en-US"/>
        </w:rPr>
        <w:t xml:space="preserve">serving </w:t>
      </w:r>
      <w:r>
        <w:t>cells</w:t>
      </w:r>
      <w:r w:rsidR="00305D32">
        <w:t xml:space="preserve"> </w:t>
      </w:r>
      <w:r w:rsidR="00305D32" w:rsidRPr="00111FF6">
        <w:t xml:space="preserve">or, when applicable, to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cells</m:t>
            </m:r>
          </m:sub>
          <m:sup>
            <m:r>
              <m:rPr>
                <m:sty m:val="p"/>
              </m:rPr>
              <w:rPr>
                <w:rFonts w:ascii="Cambria Math" w:hAnsi="Cambria Math"/>
              </w:rPr>
              <m:t>DL,ind</m:t>
            </m:r>
          </m:sup>
        </m:sSubSup>
      </m:oMath>
      <w:r w:rsidR="00771F9A">
        <w:t>.</w:t>
      </w:r>
    </w:p>
    <w:p w14:paraId="170BE5EE" w14:textId="5D4FCD89" w:rsidR="008C3F0C" w:rsidRPr="006D5852" w:rsidRDefault="008C3F0C" w:rsidP="003E315E">
      <w:pPr>
        <w:rPr>
          <w:lang w:eastAsia="ja-JP"/>
        </w:rPr>
      </w:pPr>
      <w:r w:rsidRPr="006D5852">
        <w:rPr>
          <w:lang w:eastAsia="zh-CN"/>
        </w:rPr>
        <w:t xml:space="preserve">Set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HARQ,</m:t>
            </m:r>
            <m:r>
              <w:rPr>
                <w:rFonts w:ascii="Cambria Math" w:hAnsi="Cambria Math"/>
              </w:rPr>
              <m:t>c</m:t>
            </m:r>
          </m:sub>
          <m:sup>
            <m:r>
              <m:rPr>
                <m:sty m:val="p"/>
              </m:rPr>
              <w:rPr>
                <w:rFonts w:ascii="Cambria Math" w:hAnsi="Cambria Math"/>
              </w:rPr>
              <m:t>DL</m:t>
            </m:r>
          </m:sup>
        </m:sSubSup>
      </m:oMath>
      <w:r w:rsidRPr="006D5852">
        <w:t xml:space="preserve"> to the</w:t>
      </w:r>
      <w:r>
        <w:t xml:space="preserve"> value of</w:t>
      </w:r>
      <w:r w:rsidRPr="006D5852">
        <w:t xml:space="preserve"> </w:t>
      </w:r>
      <w:r w:rsidRPr="006D5852">
        <w:rPr>
          <w:i/>
          <w:lang w:eastAsia="ja-JP"/>
        </w:rPr>
        <w:t xml:space="preserve">nrofHARQ-ProcessesForPDSCH </w:t>
      </w:r>
      <w:r w:rsidR="00771F9A" w:rsidRPr="00CF37EE">
        <w:rPr>
          <w:rFonts w:ascii="Times" w:eastAsia="Batang" w:hAnsi="Times"/>
        </w:rPr>
        <w:t xml:space="preserve">or </w:t>
      </w:r>
      <w:r w:rsidR="00771F9A" w:rsidRPr="00CF37EE">
        <w:rPr>
          <w:rFonts w:ascii="Times" w:eastAsia="Batang" w:hAnsi="Times"/>
          <w:i/>
          <w:iCs/>
        </w:rPr>
        <w:t xml:space="preserve">nrofHARQ-ProcessesForPDSCH-v1700 </w:t>
      </w:r>
      <w:r w:rsidRPr="006D5852">
        <w:rPr>
          <w:lang w:eastAsia="ja-JP"/>
        </w:rPr>
        <w:t xml:space="preserve">for </w:t>
      </w:r>
      <w:r w:rsidRPr="006D5852">
        <w:t xml:space="preserve">serving cell </w:t>
      </w:r>
      <m:oMath>
        <m:r>
          <w:rPr>
            <w:rFonts w:ascii="Cambria Math" w:hAnsi="Cambria Math"/>
          </w:rPr>
          <m:t>c</m:t>
        </m:r>
      </m:oMath>
      <w:r>
        <w:t xml:space="preserve">, if provided; else, set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HARQ,</m:t>
            </m:r>
            <m:r>
              <w:rPr>
                <w:rFonts w:ascii="Cambria Math" w:hAnsi="Cambria Math"/>
              </w:rPr>
              <m:t>c</m:t>
            </m:r>
          </m:sub>
          <m:sup>
            <m:r>
              <m:rPr>
                <m:sty m:val="p"/>
              </m:rPr>
              <w:rPr>
                <w:rFonts w:ascii="Cambria Math" w:hAnsi="Cambria Math"/>
              </w:rPr>
              <m:t>DL</m:t>
            </m:r>
          </m:sup>
        </m:sSubSup>
        <m:r>
          <w:rPr>
            <w:rFonts w:ascii="Cambria Math" w:hAnsi="Cambria Math"/>
          </w:rPr>
          <m:t>=8</m:t>
        </m:r>
      </m:oMath>
      <w:r w:rsidR="00305D32">
        <w:t xml:space="preserve"> </w:t>
      </w:r>
      <w:r w:rsidR="00305D32" w:rsidRPr="00111FF6">
        <w:t xml:space="preserve">. When applicable, set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HARQ,</m:t>
            </m:r>
            <m:r>
              <w:rPr>
                <w:rFonts w:ascii="Cambria Math" w:hAnsi="Cambria Math"/>
              </w:rPr>
              <m:t>c</m:t>
            </m:r>
          </m:sub>
          <m:sup>
            <m:r>
              <m:rPr>
                <m:sty m:val="p"/>
              </m:rPr>
              <w:rPr>
                <w:rFonts w:ascii="Cambria Math" w:hAnsi="Cambria Math"/>
              </w:rPr>
              <m:t>DL</m:t>
            </m:r>
          </m:sup>
        </m:sSubSup>
      </m:oMath>
      <w:r w:rsidR="00305D32" w:rsidRPr="00111FF6">
        <w:t xml:space="preserve"> to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HARQ,</m:t>
            </m:r>
            <m:r>
              <w:rPr>
                <w:rFonts w:ascii="Cambria Math" w:hAnsi="Cambria Math"/>
              </w:rPr>
              <m:t>c</m:t>
            </m:r>
          </m:sub>
          <m:sup>
            <m:r>
              <m:rPr>
                <m:sty m:val="p"/>
              </m:rPr>
              <w:rPr>
                <w:rFonts w:ascii="Cambria Math" w:hAnsi="Cambria Math"/>
              </w:rPr>
              <m:t>DL,ind</m:t>
            </m:r>
          </m:sup>
        </m:sSubSup>
      </m:oMath>
      <w:r w:rsidR="00771F9A">
        <w:t>.</w:t>
      </w:r>
    </w:p>
    <w:p w14:paraId="3E80A318" w14:textId="09811768" w:rsidR="008C3F0C" w:rsidRDefault="008C3F0C" w:rsidP="003E315E">
      <w:r w:rsidRPr="00B916EC">
        <w:rPr>
          <w:rFonts w:hint="eastAsia"/>
          <w:lang w:eastAsia="zh-CN"/>
        </w:rPr>
        <w:t xml:space="preserve">Set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sub>
          <m:sup>
            <m:r>
              <m:rPr>
                <m:sty m:val="p"/>
              </m:rPr>
              <w:rPr>
                <w:rFonts w:ascii="Cambria Math" w:hAnsi="Cambria Math"/>
              </w:rPr>
              <m:t>DL</m:t>
            </m:r>
          </m:sup>
        </m:sSubSup>
      </m:oMath>
      <w:r>
        <w:t xml:space="preserve"> </w:t>
      </w:r>
      <w:r w:rsidRPr="00B916EC">
        <w:t xml:space="preserve">to the </w:t>
      </w:r>
      <w:r w:rsidR="009578B3">
        <w:rPr>
          <w:rFonts w:hint="eastAsia"/>
        </w:rPr>
        <w:t xml:space="preserve">maximum </w:t>
      </w:r>
      <w:r>
        <w:rPr>
          <w:lang w:val="en-US"/>
        </w:rPr>
        <w:t xml:space="preserve">value of </w:t>
      </w:r>
      <w:r w:rsidRPr="00435CFD">
        <w:rPr>
          <w:i/>
        </w:rPr>
        <w:t>maxNrofCodeWordsScheduledByDCI</w:t>
      </w:r>
      <w:r>
        <w:rPr>
          <w:lang w:val="en-US"/>
        </w:rPr>
        <w:t xml:space="preserve"> </w:t>
      </w:r>
      <w:r w:rsidR="009578B3">
        <w:rPr>
          <w:rFonts w:hint="eastAsia"/>
        </w:rPr>
        <w:t xml:space="preserve">in </w:t>
      </w:r>
      <w:r w:rsidR="009578B3" w:rsidRPr="00C22B47">
        <w:rPr>
          <w:rFonts w:hint="eastAsia"/>
          <w:i/>
        </w:rPr>
        <w:t>PDSCH-config</w:t>
      </w:r>
      <w:r w:rsidR="009578B3">
        <w:rPr>
          <w:rFonts w:hint="eastAsia"/>
        </w:rPr>
        <w:t xml:space="preserve"> </w:t>
      </w:r>
      <w:r w:rsidR="009578B3">
        <w:t xml:space="preserve">and </w:t>
      </w:r>
      <w:r w:rsidR="009578B3" w:rsidRPr="00C22B47">
        <w:rPr>
          <w:rFonts w:hint="eastAsia"/>
          <w:i/>
        </w:rPr>
        <w:t>PDSCH-configMulticast</w:t>
      </w:r>
      <w:r w:rsidR="009578B3">
        <w:rPr>
          <w:lang w:val="en-US"/>
        </w:rPr>
        <w:t xml:space="preserve"> </w:t>
      </w:r>
      <w:r>
        <w:rPr>
          <w:lang w:val="en-US"/>
        </w:rPr>
        <w:t>for</w:t>
      </w:r>
      <w:r w:rsidRPr="00AE44D6">
        <w:rPr>
          <w:lang w:val="en-US"/>
        </w:rPr>
        <w:t xml:space="preserve"> </w:t>
      </w:r>
      <w:r>
        <w:rPr>
          <w:lang w:val="en-US"/>
        </w:rPr>
        <w:t xml:space="preserve">serving cell </w:t>
      </w:r>
      <m:oMath>
        <m:r>
          <w:rPr>
            <w:rFonts w:ascii="Cambria Math" w:hAnsi="Cambria Math"/>
          </w:rPr>
          <m:t>c</m:t>
        </m:r>
      </m:oMath>
      <w:r>
        <w:t xml:space="preserve"> </w:t>
      </w:r>
      <w:r w:rsidR="00CA0759">
        <w:t xml:space="preserve">if </w:t>
      </w:r>
      <w:r w:rsidR="00CA0759">
        <w:rPr>
          <w:rFonts w:eastAsia="Malgun Gothic"/>
          <w:i/>
        </w:rPr>
        <w:t>harq-ACK-SpatialBundlingPUCCH</w:t>
      </w:r>
      <w:r w:rsidR="00CA0759">
        <w:rPr>
          <w:lang w:eastAsia="zh-CN"/>
        </w:rPr>
        <w:t xml:space="preserve"> is provided and </w:t>
      </w:r>
      <m:oMath>
        <m:sSub>
          <m:sSubPr>
            <m:ctrlPr>
              <w:rPr>
                <w:rFonts w:ascii="Cambria Math" w:eastAsia="Malgun Gothic" w:hAnsi="Cambria Math"/>
                <w:i/>
              </w:rPr>
            </m:ctrlPr>
          </m:sSubPr>
          <m:e>
            <m:r>
              <w:rPr>
                <w:rFonts w:ascii="Cambria Math" w:eastAsia="Malgun Gothic" w:hAnsi="Cambria Math"/>
              </w:rPr>
              <m:t>NDI</m:t>
            </m:r>
          </m:e>
          <m:sub>
            <m:r>
              <m:rPr>
                <m:sty m:val="p"/>
              </m:rPr>
              <w:rPr>
                <w:rFonts w:ascii="Cambria Math" w:eastAsia="Malgun Gothic" w:hAnsi="Cambria Math"/>
              </w:rPr>
              <m:t>HARQ</m:t>
            </m:r>
          </m:sub>
        </m:sSub>
        <m:r>
          <w:rPr>
            <w:rFonts w:ascii="Cambria Math" w:eastAsia="Malgun Gothic" w:hAnsi="Cambria Math"/>
          </w:rPr>
          <m:t>=0</m:t>
        </m:r>
      </m:oMath>
      <w:r w:rsidR="00CA0759">
        <w:t>, or</w:t>
      </w:r>
      <w:r w:rsidR="00CA0759">
        <w:rPr>
          <w:rFonts w:eastAsia="Malgun Gothic"/>
        </w:rPr>
        <w:t xml:space="preserve"> </w:t>
      </w:r>
      <w:r>
        <w:t xml:space="preserve">if </w:t>
      </w:r>
      <w:r w:rsidRPr="00435CFD">
        <w:rPr>
          <w:i/>
        </w:rPr>
        <w:t>harq-ACK-SpatialBundlingPUCCH</w:t>
      </w:r>
      <w:r w:rsidRPr="00B916EC">
        <w:rPr>
          <w:rFonts w:hint="eastAsia"/>
          <w:lang w:eastAsia="zh-CN"/>
        </w:rPr>
        <w:t xml:space="preserve"> </w:t>
      </w:r>
      <w:r>
        <w:rPr>
          <w:lang w:eastAsia="zh-CN"/>
        </w:rPr>
        <w:t>is not provided</w:t>
      </w:r>
      <w:r w:rsidR="00CA0759">
        <w:rPr>
          <w:lang w:eastAsia="zh-CN"/>
        </w:rPr>
        <w:t xml:space="preserve">, or if </w:t>
      </w:r>
      <w:r w:rsidR="00CA0759" w:rsidRPr="00090D13">
        <w:rPr>
          <w:i/>
        </w:rPr>
        <w:t>maxCodeBlockGroupsPerTransportBlock</w:t>
      </w:r>
      <w:r w:rsidR="00CA0759" w:rsidRPr="00090D13">
        <w:t xml:space="preserve"> is provided </w:t>
      </w:r>
      <w:r w:rsidR="00CA0759" w:rsidRPr="00090D13">
        <w:rPr>
          <w:lang w:eastAsia="ja-JP"/>
        </w:rPr>
        <w:t xml:space="preserve">for </w:t>
      </w:r>
      <w:r w:rsidR="00CA0759" w:rsidRPr="00090D13">
        <w:t xml:space="preserve">serving cell </w:t>
      </w:r>
      <m:oMath>
        <m:r>
          <w:rPr>
            <w:rFonts w:ascii="Cambria Math" w:hAnsi="Cambria Math"/>
          </w:rPr>
          <m:t>c</m:t>
        </m:r>
      </m:oMath>
      <w:r w:rsidRPr="00CA0759">
        <w:rPr>
          <w:lang w:eastAsia="zh-CN"/>
        </w:rPr>
        <w:t>;</w:t>
      </w:r>
      <w:r>
        <w:rPr>
          <w:lang w:eastAsia="zh-CN"/>
        </w:rPr>
        <w:t xml:space="preserve"> else, set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sub>
          <m:sup>
            <m:r>
              <m:rPr>
                <m:sty m:val="p"/>
              </m:rPr>
              <w:rPr>
                <w:rFonts w:ascii="Cambria Math" w:hAnsi="Cambria Math"/>
              </w:rPr>
              <m:t>DL</m:t>
            </m:r>
          </m:sup>
        </m:sSubSup>
        <m:r>
          <w:rPr>
            <w:rFonts w:ascii="Cambria Math" w:hAnsi="Cambria Math"/>
          </w:rPr>
          <m:t>=1</m:t>
        </m:r>
      </m:oMath>
      <w:r w:rsidR="00771F9A">
        <w:t>.</w:t>
      </w:r>
    </w:p>
    <w:p w14:paraId="67FD9C12" w14:textId="6F85EF4D" w:rsidR="008C3F0C" w:rsidRPr="006474A8" w:rsidRDefault="008C3F0C" w:rsidP="003E315E">
      <w:pPr>
        <w:rPr>
          <w:rFonts w:eastAsia="MS Mincho"/>
          <w:sz w:val="24"/>
          <w:szCs w:val="24"/>
          <w:lang w:val="en-US"/>
        </w:rPr>
      </w:pPr>
      <w:r w:rsidRPr="00B916EC">
        <w:rPr>
          <w:rFonts w:hint="eastAsia"/>
          <w:lang w:eastAsia="zh-CN"/>
        </w:rPr>
        <w:t xml:space="preserve">Set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HARQ-ACK,</m:t>
            </m:r>
            <m:r>
              <w:rPr>
                <w:rFonts w:ascii="Cambria Math" w:hAnsi="Cambria Math"/>
              </w:rPr>
              <m:t>c</m:t>
            </m:r>
          </m:sub>
          <m:sup>
            <m:r>
              <m:rPr>
                <m:sty m:val="p"/>
              </m:rPr>
              <w:rPr>
                <w:rFonts w:ascii="Cambria Math" w:hAnsi="Cambria Math"/>
              </w:rPr>
              <m:t>CBG/TB,max</m:t>
            </m:r>
          </m:sup>
        </m:sSubSup>
      </m:oMath>
      <w:r>
        <w:t xml:space="preserve"> </w:t>
      </w:r>
      <w:r w:rsidRPr="00B916EC">
        <w:t xml:space="preserve">to the number of </w:t>
      </w:r>
      <w:r>
        <w:t xml:space="preserve">HARQ-ACK information bits per TB for PDSCH receptions on serving cell </w:t>
      </w:r>
      <m:oMath>
        <m:r>
          <w:rPr>
            <w:rFonts w:ascii="Cambria Math" w:hAnsi="Cambria Math"/>
          </w:rPr>
          <m:t>c</m:t>
        </m:r>
      </m:oMath>
      <w:r>
        <w:t xml:space="preserve"> as described </w:t>
      </w:r>
      <w:r w:rsidR="006F5F9E">
        <w:t>in clause</w:t>
      </w:r>
      <w:r>
        <w:t xml:space="preserve"> 9.1.1 if </w:t>
      </w:r>
      <w:r w:rsidRPr="00AC3A22">
        <w:rPr>
          <w:i/>
        </w:rPr>
        <w:t>maxCodeBlockGroupsPerTransportBlock</w:t>
      </w:r>
      <w:r>
        <w:t xml:space="preserve"> is provided </w:t>
      </w:r>
      <w:r w:rsidRPr="006D5852">
        <w:rPr>
          <w:lang w:eastAsia="ja-JP"/>
        </w:rPr>
        <w:t xml:space="preserve">for </w:t>
      </w:r>
      <w:r w:rsidRPr="006D5852">
        <w:t xml:space="preserve">serving cell </w:t>
      </w:r>
      <m:oMath>
        <m:r>
          <w:rPr>
            <w:rFonts w:ascii="Cambria Math" w:hAnsi="Cambria Math"/>
          </w:rPr>
          <m:t>c</m:t>
        </m:r>
      </m:oMath>
      <w:r>
        <w:t xml:space="preserve"> </w:t>
      </w:r>
      <w:r>
        <w:rPr>
          <w:rFonts w:eastAsia="DengXian"/>
          <w:lang w:eastAsia="zh-CN"/>
        </w:rPr>
        <w:t xml:space="preserve">and </w:t>
      </w:r>
      <w:r>
        <w:rPr>
          <w:rFonts w:eastAsia="DengXian"/>
          <w:i/>
          <w:lang w:eastAsia="zh-CN"/>
        </w:rPr>
        <w:t>pdsch-HARQ-ACK-OneShotFeedbackCBG</w:t>
      </w:r>
      <w:r>
        <w:rPr>
          <w:rFonts w:eastAsia="DengXian"/>
          <w:lang w:eastAsia="zh-CN"/>
        </w:rPr>
        <w:t xml:space="preserve"> </w:t>
      </w:r>
      <w:r w:rsidR="00305D32" w:rsidRPr="00111FF6">
        <w:rPr>
          <w:rFonts w:eastAsia="DengXian"/>
          <w:lang w:eastAsia="zh-CN"/>
        </w:rPr>
        <w:t xml:space="preserve">or </w:t>
      </w:r>
      <w:r w:rsidR="00305D32" w:rsidRPr="00111FF6">
        <w:rPr>
          <w:rFonts w:eastAsia="DengXian"/>
          <w:i/>
          <w:lang w:eastAsia="zh-CN"/>
        </w:rPr>
        <w:t>pdsch-HARQ-ACK</w:t>
      </w:r>
      <w:r w:rsidR="00072D60">
        <w:rPr>
          <w:rFonts w:eastAsia="DengXian"/>
          <w:i/>
          <w:lang w:eastAsia="zh-CN"/>
        </w:rPr>
        <w:t>-EnhT</w:t>
      </w:r>
      <w:r w:rsidR="00305D32" w:rsidRPr="00111FF6">
        <w:rPr>
          <w:rFonts w:eastAsia="DengXian"/>
          <w:i/>
          <w:lang w:eastAsia="zh-CN"/>
        </w:rPr>
        <w:t>ype3CBG</w:t>
      </w:r>
      <w:r w:rsidR="00305D32" w:rsidRPr="00111FF6">
        <w:rPr>
          <w:rFonts w:eastAsia="DengXian"/>
          <w:lang w:eastAsia="zh-CN"/>
        </w:rPr>
        <w:t xml:space="preserve"> </w:t>
      </w:r>
      <w:r w:rsidR="0008079E" w:rsidRPr="00111FF6">
        <w:t xml:space="preserve">corresponding to the </w:t>
      </w:r>
      <w:r w:rsidR="0008079E" w:rsidRPr="00111FF6">
        <w:rPr>
          <w:i/>
          <w:iCs/>
        </w:rPr>
        <w:t>pdsch-HARQ-ACK</w:t>
      </w:r>
      <w:r w:rsidR="0008079E">
        <w:rPr>
          <w:i/>
          <w:iCs/>
        </w:rPr>
        <w:t>-EnhT</w:t>
      </w:r>
      <w:r w:rsidR="0008079E" w:rsidRPr="00111FF6">
        <w:rPr>
          <w:i/>
          <w:iCs/>
        </w:rPr>
        <w:t>ype3Index</w:t>
      </w:r>
      <w:r w:rsidR="0008079E" w:rsidRPr="00111FF6">
        <w:t xml:space="preserve"> value</w:t>
      </w:r>
      <w:r w:rsidR="0008079E">
        <w:rPr>
          <w:rFonts w:eastAsia="DengXian"/>
          <w:lang w:eastAsia="zh-CN"/>
        </w:rPr>
        <w:t xml:space="preserve"> </w:t>
      </w:r>
      <w:r>
        <w:rPr>
          <w:rFonts w:eastAsia="DengXian"/>
          <w:lang w:eastAsia="zh-CN"/>
        </w:rPr>
        <w:t>is provided</w:t>
      </w:r>
      <w:r>
        <w:t xml:space="preserve">; else, set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HARQ-ACK,</m:t>
            </m:r>
            <m:r>
              <w:rPr>
                <w:rFonts w:ascii="Cambria Math" w:hAnsi="Cambria Math"/>
              </w:rPr>
              <m:t>c</m:t>
            </m:r>
          </m:sub>
          <m:sup>
            <m:r>
              <m:rPr>
                <m:sty m:val="p"/>
              </m:rPr>
              <w:rPr>
                <w:rFonts w:ascii="Cambria Math" w:hAnsi="Cambria Math"/>
              </w:rPr>
              <m:t>CBG/TB,max</m:t>
            </m:r>
          </m:sup>
        </m:sSubSup>
        <m:r>
          <w:rPr>
            <w:rFonts w:ascii="Cambria Math" w:hAnsi="Cambria Math"/>
          </w:rPr>
          <m:t>=0</m:t>
        </m:r>
      </m:oMath>
      <w:r w:rsidR="00771F9A">
        <w:t xml:space="preserve">. A UE </w:t>
      </w:r>
      <w:r w:rsidR="00771F9A" w:rsidRPr="00D1260F">
        <w:t xml:space="preserve">provided with </w:t>
      </w:r>
      <w:r w:rsidR="00771F9A" w:rsidRPr="00D1260F">
        <w:rPr>
          <w:i/>
          <w:iCs/>
        </w:rPr>
        <w:t>pdsch-HARQ-ACK-OneShotFeedbackCBG</w:t>
      </w:r>
      <w:r w:rsidR="00771F9A" w:rsidRPr="00D1260F">
        <w:t xml:space="preserve"> or </w:t>
      </w:r>
      <w:r w:rsidR="00771F9A" w:rsidRPr="00D1260F">
        <w:rPr>
          <w:i/>
          <w:iCs/>
        </w:rPr>
        <w:t>pdsch-HARQ-ACK-EnhType3CBG</w:t>
      </w:r>
      <w:r w:rsidR="00771F9A" w:rsidRPr="00D1260F">
        <w:t xml:space="preserve"> does not expect to be provided with different value</w:t>
      </w:r>
      <w:r w:rsidR="00771F9A">
        <w:t>s</w:t>
      </w:r>
      <w:r w:rsidR="00771F9A" w:rsidRPr="00D1260F">
        <w:t xml:space="preserve"> of </w:t>
      </w:r>
      <w:r w:rsidR="00771F9A" w:rsidRPr="00D1260F">
        <w:rPr>
          <w:i/>
          <w:iCs/>
        </w:rPr>
        <w:t>maxCodeBlockGroupsPerTransportBlock</w:t>
      </w:r>
      <w:r w:rsidR="00771F9A" w:rsidRPr="00D1260F">
        <w:t xml:space="preserve"> for different priority indexes in </w:t>
      </w:r>
      <w:r w:rsidR="00771F9A" w:rsidRPr="00D1260F">
        <w:rPr>
          <w:i/>
          <w:iCs/>
        </w:rPr>
        <w:t xml:space="preserve">pdsch-CodeBlockGroupTransmissionList </w:t>
      </w:r>
      <w:r w:rsidR="00771F9A">
        <w:rPr>
          <w:iCs/>
        </w:rPr>
        <w:t xml:space="preserve">for serving cell </w:t>
      </w:r>
      <w:r w:rsidR="00771F9A" w:rsidRPr="00D1260F">
        <w:rPr>
          <w:i/>
        </w:rPr>
        <w:t>c</w:t>
      </w:r>
      <w:r w:rsidR="00771F9A">
        <w:rPr>
          <w:i/>
        </w:rPr>
        <w:t>.</w:t>
      </w:r>
    </w:p>
    <w:p w14:paraId="07593BE7" w14:textId="57450782" w:rsidR="008C3F0C" w:rsidRPr="001A46C9" w:rsidRDefault="008C3F0C" w:rsidP="003E315E">
      <w:r w:rsidRPr="001A46C9">
        <w:t xml:space="preserve">Set </w:t>
      </w:r>
      <m:oMath>
        <m:sSub>
          <m:sSubPr>
            <m:ctrlPr>
              <w:rPr>
                <w:rFonts w:ascii="Cambria Math" w:hAnsi="Cambria Math"/>
                <w:i/>
              </w:rPr>
            </m:ctrlPr>
          </m:sSubPr>
          <m:e>
            <m:r>
              <w:rPr>
                <w:rFonts w:ascii="Cambria Math" w:hAnsi="Cambria Math"/>
              </w:rPr>
              <m:t>NDI</m:t>
            </m:r>
          </m:e>
          <m:sub>
            <m:r>
              <m:rPr>
                <m:sty m:val="p"/>
              </m:rPr>
              <w:rPr>
                <w:rFonts w:ascii="Cambria Math" w:hAnsi="Cambria Math"/>
              </w:rPr>
              <m:t>HARQ</m:t>
            </m:r>
          </m:sub>
        </m:sSub>
        <m:r>
          <w:rPr>
            <w:rFonts w:ascii="Cambria Math" w:hAnsi="Cambria Math"/>
          </w:rPr>
          <m:t>=0</m:t>
        </m:r>
      </m:oMath>
      <w:r w:rsidRPr="001A46C9">
        <w:t xml:space="preserve"> </w:t>
      </w:r>
      <w:r w:rsidRPr="00D26445">
        <w:t xml:space="preserve">if </w:t>
      </w:r>
      <w:r w:rsidRPr="00D26445">
        <w:rPr>
          <w:i/>
        </w:rPr>
        <w:t>pdsch-HARQ-ACK-OneShotFeedbackNDI</w:t>
      </w:r>
      <w:r w:rsidRPr="00D26445">
        <w:t xml:space="preserve"> </w:t>
      </w:r>
      <w:r w:rsidR="00305D32" w:rsidRPr="00111FF6">
        <w:t xml:space="preserve">or </w:t>
      </w:r>
      <w:r w:rsidR="00305D32" w:rsidRPr="00111FF6">
        <w:rPr>
          <w:rFonts w:eastAsia="DengXian"/>
          <w:i/>
          <w:lang w:eastAsia="zh-CN"/>
        </w:rPr>
        <w:t>pdsch-HARQ-ACK</w:t>
      </w:r>
      <w:r w:rsidR="00072D60">
        <w:rPr>
          <w:rFonts w:eastAsia="DengXian"/>
          <w:i/>
          <w:lang w:eastAsia="zh-CN"/>
        </w:rPr>
        <w:t>-EnhT</w:t>
      </w:r>
      <w:r w:rsidR="00305D32" w:rsidRPr="00111FF6">
        <w:rPr>
          <w:rFonts w:eastAsia="DengXian"/>
          <w:i/>
          <w:lang w:eastAsia="zh-CN"/>
        </w:rPr>
        <w:t>ype3NDI</w:t>
      </w:r>
      <w:r w:rsidR="00305D32" w:rsidRPr="00111FF6">
        <w:rPr>
          <w:rFonts w:eastAsia="DengXian"/>
          <w:lang w:eastAsia="zh-CN"/>
        </w:rPr>
        <w:t xml:space="preserve"> </w:t>
      </w:r>
      <w:r w:rsidRPr="00D26445">
        <w:t xml:space="preserve">is provided; else </w:t>
      </w:r>
      <w:r w:rsidRPr="001A46C9">
        <w:t xml:space="preserve">set </w:t>
      </w:r>
      <m:oMath>
        <m:sSub>
          <m:sSubPr>
            <m:ctrlPr>
              <w:rPr>
                <w:rFonts w:ascii="Cambria Math" w:hAnsi="Cambria Math"/>
                <w:i/>
              </w:rPr>
            </m:ctrlPr>
          </m:sSubPr>
          <m:e>
            <m:r>
              <w:rPr>
                <w:rFonts w:ascii="Cambria Math" w:hAnsi="Cambria Math"/>
              </w:rPr>
              <m:t>NDI</m:t>
            </m:r>
          </m:e>
          <m:sub>
            <m:r>
              <m:rPr>
                <m:sty m:val="p"/>
              </m:rPr>
              <w:rPr>
                <w:rFonts w:ascii="Cambria Math" w:hAnsi="Cambria Math"/>
              </w:rPr>
              <m:t>HARQ</m:t>
            </m:r>
          </m:sub>
        </m:sSub>
        <m:r>
          <w:rPr>
            <w:rFonts w:ascii="Cambria Math" w:hAnsi="Cambria Math"/>
          </w:rPr>
          <m:t>=1</m:t>
        </m:r>
      </m:oMath>
      <w:r w:rsidR="00771F9A">
        <w:t>.</w:t>
      </w:r>
    </w:p>
    <w:p w14:paraId="055BCCD6" w14:textId="11720B0A" w:rsidR="008C3F0C" w:rsidRDefault="008C3F0C" w:rsidP="003E315E">
      <w:r w:rsidRPr="005C2E67">
        <w:rPr>
          <w:lang w:eastAsia="zh-CN"/>
        </w:rPr>
        <w:t>S</w:t>
      </w:r>
      <w:r w:rsidRPr="005C2E67">
        <w:rPr>
          <w:rFonts w:hint="eastAsia"/>
          <w:lang w:eastAsia="zh-CN"/>
        </w:rPr>
        <w:t xml:space="preserve">et </w:t>
      </w:r>
      <m:oMath>
        <m:r>
          <w:rPr>
            <w:rFonts w:ascii="Cambria Math" w:hAnsi="Cambria Math"/>
          </w:rPr>
          <m:t>c=0</m:t>
        </m:r>
      </m:oMath>
      <w:r>
        <w:t xml:space="preserve"> </w:t>
      </w:r>
      <w:r w:rsidRPr="000D0C40">
        <w:t>– serving cell in</w:t>
      </w:r>
      <w:r>
        <w:t>dex</w:t>
      </w:r>
      <w:r w:rsidR="0052050A" w:rsidRPr="00CD7F8B">
        <w:t xml:space="preserve"> in the set of serving cells</w:t>
      </w:r>
    </w:p>
    <w:p w14:paraId="2DCDDEE6" w14:textId="60EA3834" w:rsidR="008C3F0C" w:rsidRDefault="008C3F0C" w:rsidP="003E315E">
      <w:r w:rsidRPr="005C2E67">
        <w:rPr>
          <w:lang w:eastAsia="zh-CN"/>
        </w:rPr>
        <w:t>S</w:t>
      </w:r>
      <w:r w:rsidRPr="005C2E67">
        <w:rPr>
          <w:rFonts w:hint="eastAsia"/>
          <w:lang w:eastAsia="zh-CN"/>
        </w:rPr>
        <w:t xml:space="preserve">et </w:t>
      </w:r>
      <m:oMath>
        <m:r>
          <w:rPr>
            <w:rFonts w:ascii="Cambria Math" w:hAnsi="Cambria Math"/>
          </w:rPr>
          <m:t>h=0</m:t>
        </m:r>
      </m:oMath>
      <w:r>
        <w:t xml:space="preserve"> </w:t>
      </w:r>
      <w:r w:rsidRPr="000D0C40">
        <w:t xml:space="preserve">– </w:t>
      </w:r>
      <w:r>
        <w:t>HARQ process number</w:t>
      </w:r>
      <w:r w:rsidR="0052050A">
        <w:t xml:space="preserve"> </w:t>
      </w:r>
      <w:r w:rsidR="0052050A" w:rsidRPr="00CD7F8B">
        <w:t>index in the set of numbers of HARQ processes</w:t>
      </w:r>
    </w:p>
    <w:p w14:paraId="4DECD706" w14:textId="77777777" w:rsidR="008C3F0C" w:rsidRDefault="008C3F0C" w:rsidP="003E315E">
      <w:r w:rsidRPr="005C2E67">
        <w:rPr>
          <w:lang w:eastAsia="zh-CN"/>
        </w:rPr>
        <w:t>S</w:t>
      </w:r>
      <w:r w:rsidRPr="005C2E67">
        <w:rPr>
          <w:rFonts w:hint="eastAsia"/>
          <w:lang w:eastAsia="zh-CN"/>
        </w:rPr>
        <w:t xml:space="preserve">et </w:t>
      </w:r>
      <m:oMath>
        <m:r>
          <w:rPr>
            <w:rFonts w:ascii="Cambria Math" w:hAnsi="Cambria Math"/>
          </w:rPr>
          <m:t>t=0</m:t>
        </m:r>
      </m:oMath>
      <w:r>
        <w:t xml:space="preserve"> </w:t>
      </w:r>
      <w:r w:rsidRPr="000D0C40">
        <w:t xml:space="preserve">– </w:t>
      </w:r>
      <w:r>
        <w:t>TB</w:t>
      </w:r>
      <w:r w:rsidRPr="000D0C40">
        <w:t xml:space="preserve"> in</w:t>
      </w:r>
      <w:r>
        <w:t>dex</w:t>
      </w:r>
    </w:p>
    <w:p w14:paraId="1201E73C" w14:textId="77777777" w:rsidR="008C3F0C" w:rsidRDefault="008C3F0C" w:rsidP="003E315E">
      <w:r w:rsidRPr="005C2E67">
        <w:rPr>
          <w:lang w:eastAsia="zh-CN"/>
        </w:rPr>
        <w:t>S</w:t>
      </w:r>
      <w:r w:rsidRPr="005C2E67">
        <w:rPr>
          <w:rFonts w:hint="eastAsia"/>
          <w:lang w:eastAsia="zh-CN"/>
        </w:rPr>
        <w:t xml:space="preserve">et </w:t>
      </w:r>
      <m:oMath>
        <m:r>
          <w:rPr>
            <w:rFonts w:ascii="Cambria Math" w:hAnsi="Cambria Math"/>
          </w:rPr>
          <m:t>g=0</m:t>
        </m:r>
      </m:oMath>
      <w:r>
        <w:t xml:space="preserve"> </w:t>
      </w:r>
      <w:r w:rsidRPr="000D0C40">
        <w:t xml:space="preserve">– </w:t>
      </w:r>
      <w:r>
        <w:t>CBG</w:t>
      </w:r>
      <w:r w:rsidRPr="000D0C40">
        <w:t xml:space="preserve"> in</w:t>
      </w:r>
      <w:r>
        <w:t>dex</w:t>
      </w:r>
    </w:p>
    <w:p w14:paraId="6E10AB68" w14:textId="77777777" w:rsidR="008C3F0C" w:rsidRPr="00ED1D91" w:rsidRDefault="008C3F0C" w:rsidP="003E315E">
      <w:pPr>
        <w:rPr>
          <w:lang w:eastAsia="zh-CN"/>
        </w:rPr>
      </w:pPr>
      <w:r w:rsidRPr="00B916EC">
        <w:rPr>
          <w:rFonts w:hint="eastAsia"/>
          <w:lang w:eastAsia="zh-CN"/>
        </w:rPr>
        <w:t xml:space="preserve">Set </w:t>
      </w:r>
      <m:oMath>
        <m:r>
          <w:rPr>
            <w:rFonts w:ascii="Cambria Math" w:hAnsi="Cambria Math"/>
          </w:rPr>
          <m:t>j=0</m:t>
        </m:r>
      </m:oMath>
    </w:p>
    <w:p w14:paraId="108CA0FB" w14:textId="77777777" w:rsidR="008C3F0C" w:rsidRDefault="008C3F0C" w:rsidP="003E315E">
      <w:pPr>
        <w:pStyle w:val="B1"/>
      </w:pPr>
      <w:r w:rsidRPr="00B916EC">
        <w:t xml:space="preserve">while </w:t>
      </w:r>
      <m:oMath>
        <m:sSubSup>
          <m:sSubSupPr>
            <m:ctrlPr>
              <w:rPr>
                <w:rFonts w:ascii="Cambria Math" w:hAnsi="Cambria Math"/>
                <w:i/>
              </w:rPr>
            </m:ctrlPr>
          </m:sSubSupPr>
          <m:e>
            <m:r>
              <w:rPr>
                <w:rFonts w:ascii="Cambria Math" w:hAnsi="Cambria Math"/>
              </w:rPr>
              <m:t>c&lt;N</m:t>
            </m:r>
          </m:e>
          <m:sub>
            <m:r>
              <m:rPr>
                <m:sty m:val="p"/>
              </m:rPr>
              <w:rPr>
                <w:rFonts w:ascii="Cambria Math" w:hAnsi="Cambria Math"/>
              </w:rPr>
              <m:t>cells</m:t>
            </m:r>
          </m:sub>
          <m:sup>
            <m:r>
              <m:rPr>
                <m:sty m:val="p"/>
              </m:rPr>
              <w:rPr>
                <w:rFonts w:ascii="Cambria Math" w:hAnsi="Cambria Math"/>
              </w:rPr>
              <m:t>DL</m:t>
            </m:r>
          </m:sup>
        </m:sSubSup>
      </m:oMath>
    </w:p>
    <w:p w14:paraId="7E087BBF" w14:textId="253C2F66" w:rsidR="008C3F0C" w:rsidRDefault="008C3F0C" w:rsidP="003E315E">
      <w:pPr>
        <w:pStyle w:val="B2"/>
      </w:pPr>
      <w:r>
        <w:t xml:space="preserve">while </w:t>
      </w:r>
      <m:oMath>
        <m:r>
          <w:rPr>
            <w:rFonts w:ascii="Cambria Math" w:hAnsi="Cambria Math"/>
          </w:rPr>
          <m:t>h&lt;</m:t>
        </m:r>
        <m:sSubSup>
          <m:sSubSupPr>
            <m:ctrlPr>
              <w:rPr>
                <w:rFonts w:ascii="Cambria Math" w:hAnsi="Cambria Math"/>
                <w:i/>
              </w:rPr>
            </m:ctrlPr>
          </m:sSubSupPr>
          <m:e>
            <m:r>
              <w:rPr>
                <w:rFonts w:ascii="Cambria Math" w:hAnsi="Cambria Math"/>
              </w:rPr>
              <m:t>N</m:t>
            </m:r>
          </m:e>
          <m:sub>
            <m:r>
              <m:rPr>
                <m:sty m:val="p"/>
              </m:rPr>
              <w:rPr>
                <w:rFonts w:ascii="Cambria Math" w:hAnsi="Cambria Math"/>
              </w:rPr>
              <m:t>HARQ,</m:t>
            </m:r>
            <m:r>
              <w:rPr>
                <w:rFonts w:ascii="Cambria Math" w:hAnsi="Cambria Math"/>
              </w:rPr>
              <m:t>c</m:t>
            </m:r>
          </m:sub>
          <m:sup>
            <m:r>
              <m:rPr>
                <m:sty m:val="p"/>
              </m:rPr>
              <w:rPr>
                <w:rFonts w:ascii="Cambria Math" w:hAnsi="Cambria Math"/>
              </w:rPr>
              <m:t>DL</m:t>
            </m:r>
          </m:sup>
        </m:sSubSup>
      </m:oMath>
    </w:p>
    <w:p w14:paraId="1D9907EC" w14:textId="6A177B31" w:rsidR="0082640D" w:rsidRPr="00957370" w:rsidRDefault="0082640D" w:rsidP="004D2B22">
      <w:pPr>
        <w:pStyle w:val="B3"/>
        <w:ind w:left="851" w:firstLine="0"/>
      </w:pPr>
      <w:r w:rsidRPr="00957370">
        <w:t xml:space="preserve">if </w:t>
      </w:r>
      <w:r w:rsidR="00072D60" w:rsidRPr="00957370">
        <w:rPr>
          <w:i/>
          <w:iCs/>
        </w:rPr>
        <w:t>downlinkHARQ-FeedbackDisabled</w:t>
      </w:r>
      <w:r w:rsidRPr="00957370">
        <w:t xml:space="preserve"> is not provided, or is provided and indicates enabled HARQ-ACK information for </w:t>
      </w:r>
      <m:oMath>
        <m:r>
          <w:rPr>
            <w:rFonts w:ascii="Cambria Math" w:hAnsi="Cambria Math"/>
          </w:rPr>
          <m:t>h</m:t>
        </m:r>
      </m:oMath>
      <w:r w:rsidRPr="00957370">
        <w:t xml:space="preserve">, or </w:t>
      </w:r>
      <w:r w:rsidR="0031555E">
        <w:rPr>
          <w:i/>
          <w:iCs/>
        </w:rPr>
        <w:t>harq</w:t>
      </w:r>
      <w:r w:rsidRPr="00957370">
        <w:rPr>
          <w:i/>
          <w:iCs/>
        </w:rPr>
        <w:t>-feedbackEnablingforSPSactive</w:t>
      </w:r>
      <w:r w:rsidRPr="00957370">
        <w:t xml:space="preserve"> is provided</w:t>
      </w:r>
      <w:r w:rsidR="007242CB" w:rsidRPr="00957370">
        <w:t xml:space="preserve"> and enabled</w:t>
      </w:r>
      <w:r w:rsidRPr="00957370">
        <w:t xml:space="preserve"> and </w:t>
      </w:r>
      <m:oMath>
        <m:r>
          <w:rPr>
            <w:rFonts w:ascii="Cambria Math" w:hAnsi="Cambria Math"/>
          </w:rPr>
          <m:t>h</m:t>
        </m:r>
      </m:oMath>
      <w:r w:rsidRPr="00957370">
        <w:t xml:space="preserve"> corresponds to a transport block in a first SPS PDSCH reception after an activation of SPS PDSCH receptions</w:t>
      </w:r>
    </w:p>
    <w:p w14:paraId="268041EE" w14:textId="77777777" w:rsidR="008C3F0C" w:rsidRDefault="008C3F0C" w:rsidP="004D2B22">
      <w:pPr>
        <w:pStyle w:val="B4"/>
        <w:rPr>
          <w:lang w:eastAsia="zh-CN"/>
        </w:rPr>
      </w:pPr>
      <w:r>
        <w:t xml:space="preserve">if </w:t>
      </w:r>
      <m:oMath>
        <m:sSub>
          <m:sSubPr>
            <m:ctrlPr>
              <w:rPr>
                <w:rFonts w:ascii="Cambria Math" w:hAnsi="Cambria Math"/>
              </w:rPr>
            </m:ctrlPr>
          </m:sSubPr>
          <m:e>
            <m:r>
              <w:rPr>
                <w:rFonts w:ascii="Cambria Math" w:hAnsi="Cambria Math"/>
              </w:rPr>
              <m:t>NDI</m:t>
            </m:r>
          </m:e>
          <m:sub>
            <m:r>
              <m:rPr>
                <m:sty m:val="p"/>
              </m:rPr>
              <w:rPr>
                <w:rFonts w:ascii="Cambria Math" w:hAnsi="Cambria Math"/>
              </w:rPr>
              <m:t>HARQ</m:t>
            </m:r>
          </m:sub>
        </m:sSub>
        <m:r>
          <m:rPr>
            <m:sty m:val="p"/>
          </m:rPr>
          <w:rPr>
            <w:rFonts w:ascii="Cambria Math" w:hAnsi="Cambria Math"/>
          </w:rPr>
          <m:t>=0</m:t>
        </m:r>
      </m:oMath>
    </w:p>
    <w:p w14:paraId="216DFE89" w14:textId="513C54FD" w:rsidR="008C3F0C" w:rsidRPr="00B916EC" w:rsidRDefault="008C3F0C" w:rsidP="004D2B22">
      <w:pPr>
        <w:pStyle w:val="B5"/>
        <w:rPr>
          <w:lang w:eastAsia="zh-CN"/>
        </w:rPr>
      </w:pPr>
      <w:r>
        <w:t xml:space="preserve">if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HARQ-ACK,</m:t>
            </m:r>
            <m:r>
              <w:rPr>
                <w:rFonts w:ascii="Cambria Math" w:hAnsi="Cambria Math"/>
              </w:rPr>
              <m:t>c</m:t>
            </m:r>
          </m:sub>
          <m:sup>
            <m:r>
              <m:rPr>
                <m:sty m:val="p"/>
              </m:rPr>
              <w:rPr>
                <w:rFonts w:ascii="Cambria Math" w:hAnsi="Cambria Math"/>
              </w:rPr>
              <m:t>CBG/TB,max</m:t>
            </m:r>
          </m:sup>
        </m:sSubSup>
        <m:r>
          <w:rPr>
            <w:rFonts w:ascii="Cambria Math" w:hAnsi="Cambria Math"/>
          </w:rPr>
          <m:t>&gt;0</m:t>
        </m:r>
      </m:oMath>
    </w:p>
    <w:p w14:paraId="13CA94A8" w14:textId="77777777" w:rsidR="008C3F0C" w:rsidRPr="00B916EC" w:rsidRDefault="008C3F0C" w:rsidP="004D2B22">
      <w:pPr>
        <w:pStyle w:val="B5"/>
        <w:ind w:left="1701" w:firstLine="0"/>
        <w:rPr>
          <w:lang w:eastAsia="zh-CN"/>
        </w:rPr>
      </w:pPr>
      <w:r>
        <w:t xml:space="preserve">while </w:t>
      </w:r>
      <m:oMath>
        <m:r>
          <w:rPr>
            <w:rFonts w:ascii="Cambria Math" w:hAnsi="Cambria Math"/>
          </w:rPr>
          <m:t>t&lt;</m:t>
        </m:r>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sub>
          <m:sup>
            <m:r>
              <m:rPr>
                <m:sty m:val="p"/>
              </m:rPr>
              <w:rPr>
                <w:rFonts w:ascii="Cambria Math" w:hAnsi="Cambria Math"/>
              </w:rPr>
              <m:t>DL</m:t>
            </m:r>
          </m:sup>
        </m:sSubSup>
      </m:oMath>
    </w:p>
    <w:p w14:paraId="5DB59E10" w14:textId="77777777" w:rsidR="008C3F0C" w:rsidRDefault="008C3F0C" w:rsidP="004D2B22">
      <w:pPr>
        <w:pStyle w:val="B5"/>
        <w:ind w:left="1985" w:firstLine="0"/>
      </w:pPr>
      <w:r>
        <w:t xml:space="preserve">while </w:t>
      </w:r>
      <m:oMath>
        <m:r>
          <w:rPr>
            <w:rFonts w:ascii="Cambria Math" w:hAnsi="Cambria Math"/>
          </w:rPr>
          <m:t>g&lt;</m:t>
        </m:r>
        <m:sSubSup>
          <m:sSubSupPr>
            <m:ctrlPr>
              <w:rPr>
                <w:rFonts w:ascii="Cambria Math" w:hAnsi="Cambria Math"/>
                <w:i/>
              </w:rPr>
            </m:ctrlPr>
          </m:sSubSupPr>
          <m:e>
            <m:r>
              <w:rPr>
                <w:rFonts w:ascii="Cambria Math" w:hAnsi="Cambria Math"/>
              </w:rPr>
              <m:t>N</m:t>
            </m:r>
          </m:e>
          <m:sub>
            <m:r>
              <m:rPr>
                <m:sty m:val="p"/>
              </m:rPr>
              <w:rPr>
                <w:rFonts w:ascii="Cambria Math" w:hAnsi="Cambria Math"/>
              </w:rPr>
              <m:t>HARQ-ACK,</m:t>
            </m:r>
            <m:r>
              <w:rPr>
                <w:rFonts w:ascii="Cambria Math" w:hAnsi="Cambria Math"/>
              </w:rPr>
              <m:t>c</m:t>
            </m:r>
          </m:sub>
          <m:sup>
            <m:r>
              <m:rPr>
                <m:sty m:val="p"/>
              </m:rPr>
              <w:rPr>
                <w:rFonts w:ascii="Cambria Math" w:hAnsi="Cambria Math"/>
              </w:rPr>
              <m:t>CBG/TB,max</m:t>
            </m:r>
          </m:sup>
        </m:sSubSup>
      </m:oMath>
    </w:p>
    <w:p w14:paraId="1B7DAC06" w14:textId="5C908F91" w:rsidR="008C3F0C" w:rsidRPr="006A53F7" w:rsidRDefault="00000000" w:rsidP="004D2B22">
      <w:pPr>
        <w:pStyle w:val="B5"/>
        <w:ind w:left="2552"/>
        <w:rPr>
          <w:lang w:val="en-US"/>
        </w:rPr>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j</m:t>
            </m:r>
          </m:sub>
          <m:sup>
            <m:r>
              <w:rPr>
                <w:rFonts w:ascii="Cambria Math" w:hAnsi="Cambria Math"/>
              </w:rPr>
              <m:t>ACK</m:t>
            </m:r>
          </m:sup>
        </m:sSubSup>
      </m:oMath>
      <w:r w:rsidR="008C3F0C">
        <w:t>=</w:t>
      </w:r>
      <w:r w:rsidR="008C3F0C" w:rsidRPr="00B916EC">
        <w:t xml:space="preserve"> HARQ-ACK</w:t>
      </w:r>
      <w:r w:rsidR="008C3F0C" w:rsidRPr="00960881">
        <w:t xml:space="preserve"> </w:t>
      </w:r>
      <w:r w:rsidR="008C3F0C">
        <w:t xml:space="preserve">information bit for CBG </w:t>
      </w:r>
      <m:oMath>
        <m:r>
          <w:rPr>
            <w:rFonts w:ascii="Cambria Math" w:hAnsi="Cambria Math"/>
          </w:rPr>
          <m:t>g</m:t>
        </m:r>
      </m:oMath>
      <w:r w:rsidR="008C3F0C">
        <w:t xml:space="preserve"> of TB</w:t>
      </w:r>
      <w:r w:rsidR="008C3F0C" w:rsidRPr="008348F9">
        <w:t xml:space="preserve"> </w:t>
      </w:r>
      <m:oMath>
        <m:r>
          <w:rPr>
            <w:rFonts w:ascii="Cambria Math" w:hAnsi="Cambria Math"/>
          </w:rPr>
          <m:t>t</m:t>
        </m:r>
      </m:oMath>
      <w:r w:rsidR="008C3F0C" w:rsidRPr="008348F9">
        <w:t xml:space="preserve"> </w:t>
      </w:r>
      <w:r w:rsidR="008C3F0C">
        <w:t>for HARQ process number</w:t>
      </w:r>
      <w:r w:rsidR="0052050A">
        <w:t xml:space="preserve"> </w:t>
      </w:r>
      <w:r w:rsidR="0052050A" w:rsidRPr="00127A7C">
        <w:t>index</w:t>
      </w:r>
      <w:r w:rsidR="008C3F0C">
        <w:t xml:space="preserve"> </w:t>
      </w:r>
      <m:oMath>
        <m:r>
          <w:rPr>
            <w:rFonts w:ascii="Cambria Math" w:hAnsi="Cambria Math"/>
          </w:rPr>
          <m:t>h</m:t>
        </m:r>
      </m:oMath>
      <w:r w:rsidR="008C3F0C">
        <w:t xml:space="preserve"> </w:t>
      </w:r>
      <w:r w:rsidR="0052050A" w:rsidRPr="00127A7C">
        <w:t xml:space="preserve">in the set of numbers of HARQ processes </w:t>
      </w:r>
      <w:r w:rsidR="008C3F0C">
        <w:t xml:space="preserve">of </w:t>
      </w:r>
      <w:r w:rsidR="008C3F0C" w:rsidRPr="006D5852">
        <w:t xml:space="preserve">serving cell </w:t>
      </w:r>
      <m:oMath>
        <m:r>
          <w:rPr>
            <w:rFonts w:ascii="Cambria Math" w:hAnsi="Cambria Math"/>
          </w:rPr>
          <m:t>c</m:t>
        </m:r>
      </m:oMath>
      <w:r w:rsidR="00A43829">
        <w:t xml:space="preserve">, if any; else,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j</m:t>
            </m:r>
          </m:sub>
          <m:sup>
            <m:r>
              <w:rPr>
                <w:rFonts w:ascii="Cambria Math" w:hAnsi="Cambria Math"/>
              </w:rPr>
              <m:t>ACK</m:t>
            </m:r>
          </m:sup>
        </m:sSubSup>
        <m:r>
          <w:rPr>
            <w:rFonts w:ascii="Cambria Math" w:hAnsi="Cambria Math"/>
          </w:rPr>
          <m:t>=0</m:t>
        </m:r>
      </m:oMath>
    </w:p>
    <w:p w14:paraId="3F3D1E59" w14:textId="3A5025E9" w:rsidR="008C3F0C" w:rsidRDefault="008C3F0C" w:rsidP="004D2B22">
      <w:pPr>
        <w:pStyle w:val="B5"/>
        <w:ind w:left="2552"/>
      </w:pPr>
      <m:oMath>
        <m:r>
          <w:rPr>
            <w:rFonts w:ascii="Cambria Math" w:hAnsi="Cambria Math"/>
          </w:rPr>
          <m:t>j=j+1</m:t>
        </m:r>
      </m:oMath>
      <w:r w:rsidR="00007939">
        <w:t xml:space="preserve"> </w:t>
      </w:r>
    </w:p>
    <w:p w14:paraId="26C210B4" w14:textId="116F580A" w:rsidR="008C3F0C" w:rsidRDefault="008C3F0C" w:rsidP="004D2B22">
      <w:pPr>
        <w:pStyle w:val="B5"/>
        <w:ind w:left="2552"/>
      </w:pPr>
      <m:oMath>
        <m:r>
          <w:rPr>
            <w:rFonts w:ascii="Cambria Math" w:hAnsi="Cambria Math"/>
          </w:rPr>
          <m:t>g=g+1</m:t>
        </m:r>
      </m:oMath>
      <w:r w:rsidR="00007939">
        <w:t xml:space="preserve"> </w:t>
      </w:r>
    </w:p>
    <w:p w14:paraId="7E079118" w14:textId="464982C6" w:rsidR="008C3F0C" w:rsidRDefault="008C3F0C" w:rsidP="004D2B22">
      <w:pPr>
        <w:pStyle w:val="B5"/>
        <w:ind w:left="1985" w:firstLine="0"/>
      </w:pPr>
      <w:r>
        <w:t>end while</w:t>
      </w:r>
    </w:p>
    <w:p w14:paraId="03563F68" w14:textId="55C3625F" w:rsidR="008C3F0C" w:rsidRDefault="00000000" w:rsidP="004D2B22">
      <w:pPr>
        <w:pStyle w:val="B5"/>
        <w:ind w:left="1701" w:hanging="1"/>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j</m:t>
            </m:r>
          </m:sub>
          <m:sup>
            <m:r>
              <w:rPr>
                <w:rFonts w:ascii="Cambria Math" w:hAnsi="Cambria Math"/>
              </w:rPr>
              <m:t>ACK</m:t>
            </m:r>
          </m:sup>
        </m:sSubSup>
      </m:oMath>
      <w:r w:rsidR="008C3F0C">
        <w:t>=</w:t>
      </w:r>
      <w:r w:rsidR="008C3F0C" w:rsidRPr="00B916EC">
        <w:t xml:space="preserve"> </w:t>
      </w:r>
      <w:r w:rsidR="008C3F0C">
        <w:t xml:space="preserve">NDI value </w:t>
      </w:r>
      <w:r w:rsidR="006237A3">
        <w:t>indicated</w:t>
      </w:r>
      <w:r w:rsidR="006237A3" w:rsidRPr="000C32E0">
        <w:t xml:space="preserve"> in the DCI </w:t>
      </w:r>
      <w:r w:rsidR="006237A3">
        <w:t xml:space="preserve">format </w:t>
      </w:r>
      <w:r w:rsidR="006237A3" w:rsidRPr="000C32E0">
        <w:t>corresponding to the HARQ-ACK information bit</w:t>
      </w:r>
      <w:r w:rsidR="006237A3">
        <w:t xml:space="preserve">(s) </w:t>
      </w:r>
      <w:r w:rsidR="008C3F0C">
        <w:t xml:space="preserve">for TB </w:t>
      </w:r>
      <m:oMath>
        <m:r>
          <w:rPr>
            <w:rFonts w:ascii="Cambria Math" w:hAnsi="Cambria Math"/>
          </w:rPr>
          <m:t>t</m:t>
        </m:r>
      </m:oMath>
      <w:r w:rsidR="008C3F0C">
        <w:t xml:space="preserve"> for HARQ process number</w:t>
      </w:r>
      <w:r w:rsidR="0052050A">
        <w:t xml:space="preserve"> </w:t>
      </w:r>
      <w:r w:rsidR="0052050A" w:rsidRPr="00127A7C">
        <w:t>index</w:t>
      </w:r>
      <w:r w:rsidR="008C3F0C">
        <w:t xml:space="preserve"> </w:t>
      </w:r>
      <m:oMath>
        <m:r>
          <w:rPr>
            <w:rFonts w:ascii="Cambria Math" w:hAnsi="Cambria Math"/>
          </w:rPr>
          <m:t>h</m:t>
        </m:r>
      </m:oMath>
      <w:r w:rsidR="008C3F0C">
        <w:t xml:space="preserve"> </w:t>
      </w:r>
      <w:r w:rsidR="0052050A" w:rsidRPr="00127A7C">
        <w:t xml:space="preserve">in the set of numbers of HARQ processes </w:t>
      </w:r>
      <w:r w:rsidR="008C3F0C">
        <w:t xml:space="preserve">on </w:t>
      </w:r>
      <w:r w:rsidR="008C3F0C" w:rsidRPr="006D5852">
        <w:t xml:space="preserve">serving cell </w:t>
      </w:r>
      <m:oMath>
        <m:r>
          <w:rPr>
            <w:rFonts w:ascii="Cambria Math" w:hAnsi="Cambria Math"/>
          </w:rPr>
          <m:t>c</m:t>
        </m:r>
      </m:oMath>
      <w:r w:rsidR="008C3F0C">
        <w:t xml:space="preserve">, if any; else,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j</m:t>
            </m:r>
          </m:sub>
          <m:sup>
            <m:r>
              <w:rPr>
                <w:rFonts w:ascii="Cambria Math" w:hAnsi="Cambria Math"/>
              </w:rPr>
              <m:t>ACK</m:t>
            </m:r>
          </m:sup>
        </m:sSubSup>
        <m:r>
          <w:rPr>
            <w:rFonts w:ascii="Cambria Math" w:hAnsi="Cambria Math"/>
          </w:rPr>
          <m:t>=0</m:t>
        </m:r>
      </m:oMath>
    </w:p>
    <w:p w14:paraId="1ECB2BA9" w14:textId="16313EE7" w:rsidR="008C3F0C" w:rsidRDefault="008C3F0C" w:rsidP="004D2B22">
      <w:pPr>
        <w:pStyle w:val="B5"/>
        <w:ind w:left="1985"/>
      </w:pPr>
      <m:oMath>
        <m:r>
          <w:rPr>
            <w:rFonts w:ascii="Cambria Math" w:hAnsi="Cambria Math"/>
          </w:rPr>
          <m:t>g=0</m:t>
        </m:r>
      </m:oMath>
      <w:r w:rsidR="00007939">
        <w:t xml:space="preserve"> </w:t>
      </w:r>
    </w:p>
    <w:p w14:paraId="7356B2AE" w14:textId="6BB75013" w:rsidR="008C3F0C" w:rsidRDefault="008C3F0C" w:rsidP="004D2B22">
      <w:pPr>
        <w:pStyle w:val="B5"/>
        <w:ind w:left="1985"/>
      </w:pPr>
      <m:oMath>
        <m:r>
          <w:rPr>
            <w:rFonts w:ascii="Cambria Math" w:hAnsi="Cambria Math"/>
          </w:rPr>
          <m:t>j=j+1</m:t>
        </m:r>
      </m:oMath>
      <w:r w:rsidR="00007939">
        <w:t xml:space="preserve"> </w:t>
      </w:r>
    </w:p>
    <w:p w14:paraId="6011B791" w14:textId="036F7DEE" w:rsidR="008C3F0C" w:rsidRDefault="008C3F0C" w:rsidP="004D2B22">
      <w:pPr>
        <w:pStyle w:val="B5"/>
        <w:ind w:left="1985"/>
      </w:pPr>
      <m:oMath>
        <m:r>
          <w:rPr>
            <w:rFonts w:ascii="Cambria Math" w:hAnsi="Cambria Math"/>
          </w:rPr>
          <m:t>t=t+1</m:t>
        </m:r>
      </m:oMath>
      <w:r w:rsidR="00007939">
        <w:t xml:space="preserve"> </w:t>
      </w:r>
    </w:p>
    <w:p w14:paraId="22BC2758" w14:textId="065311F5" w:rsidR="008C3F0C" w:rsidRDefault="008C3F0C" w:rsidP="004D2B22">
      <w:pPr>
        <w:pStyle w:val="B5"/>
        <w:ind w:left="1985"/>
      </w:pPr>
      <w:r>
        <w:t>end while</w:t>
      </w:r>
    </w:p>
    <w:p w14:paraId="273E2380" w14:textId="77777777" w:rsidR="008C3F0C" w:rsidRDefault="008C3F0C" w:rsidP="004D2B22">
      <w:pPr>
        <w:pStyle w:val="B5"/>
      </w:pPr>
      <w:r>
        <w:t>else</w:t>
      </w:r>
    </w:p>
    <w:p w14:paraId="15E4B8C0" w14:textId="77777777" w:rsidR="008C3F0C" w:rsidRDefault="008C3F0C" w:rsidP="004D2B22">
      <w:pPr>
        <w:pStyle w:val="B5"/>
        <w:ind w:left="1985"/>
      </w:pPr>
      <w:r>
        <w:t xml:space="preserve">while </w:t>
      </w:r>
      <m:oMath>
        <m:r>
          <w:rPr>
            <w:rFonts w:ascii="Cambria Math" w:hAnsi="Cambria Math"/>
          </w:rPr>
          <m:t>t&lt;</m:t>
        </m:r>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sub>
          <m:sup>
            <m:r>
              <m:rPr>
                <m:sty m:val="p"/>
              </m:rPr>
              <w:rPr>
                <w:rFonts w:ascii="Cambria Math" w:hAnsi="Cambria Math"/>
              </w:rPr>
              <m:t>DL</m:t>
            </m:r>
          </m:sup>
        </m:sSubSup>
      </m:oMath>
    </w:p>
    <w:p w14:paraId="029049A9" w14:textId="5B65B0CB" w:rsidR="008C3F0C" w:rsidRPr="006A53F7" w:rsidRDefault="00000000" w:rsidP="004D2B22">
      <w:pPr>
        <w:pStyle w:val="B5"/>
        <w:ind w:left="1985" w:firstLine="0"/>
        <w:rPr>
          <w:lang w:val="en-US"/>
        </w:rPr>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j</m:t>
            </m:r>
          </m:sub>
          <m:sup>
            <m:r>
              <w:rPr>
                <w:rFonts w:ascii="Cambria Math" w:hAnsi="Cambria Math"/>
              </w:rPr>
              <m:t>ACK</m:t>
            </m:r>
          </m:sup>
        </m:sSubSup>
      </m:oMath>
      <w:r w:rsidR="008C3F0C">
        <w:t>=</w:t>
      </w:r>
      <w:r w:rsidR="008C3F0C" w:rsidRPr="00B916EC">
        <w:t xml:space="preserve"> HARQ-ACK</w:t>
      </w:r>
      <w:r w:rsidR="008C3F0C" w:rsidRPr="00960881">
        <w:t xml:space="preserve"> </w:t>
      </w:r>
      <w:r w:rsidR="008C3F0C">
        <w:t xml:space="preserve">information bit for TB </w:t>
      </w:r>
      <m:oMath>
        <m:r>
          <w:rPr>
            <w:rFonts w:ascii="Cambria Math" w:hAnsi="Cambria Math"/>
          </w:rPr>
          <m:t>t</m:t>
        </m:r>
      </m:oMath>
      <w:r w:rsidR="008C3F0C">
        <w:t xml:space="preserve"> for HARQ process</w:t>
      </w:r>
      <w:r w:rsidR="0052050A">
        <w:t xml:space="preserve"> index</w:t>
      </w:r>
      <w:r w:rsidR="008C3F0C">
        <w:t xml:space="preserve"> </w:t>
      </w:r>
      <m:oMath>
        <m:r>
          <w:rPr>
            <w:rFonts w:ascii="Cambria Math" w:hAnsi="Cambria Math"/>
          </w:rPr>
          <m:t>h</m:t>
        </m:r>
      </m:oMath>
      <w:r w:rsidR="008C3F0C">
        <w:t xml:space="preserve"> </w:t>
      </w:r>
      <w:r w:rsidR="0052050A" w:rsidRPr="00127A7C">
        <w:t xml:space="preserve">in the set of numbers of HARQ processes </w:t>
      </w:r>
      <w:r w:rsidR="008C3F0C">
        <w:t xml:space="preserve">of </w:t>
      </w:r>
      <w:r w:rsidR="008C3F0C" w:rsidRPr="006D5852">
        <w:t xml:space="preserve">serving cell </w:t>
      </w:r>
      <m:oMath>
        <m:r>
          <w:rPr>
            <w:rFonts w:ascii="Cambria Math" w:hAnsi="Cambria Math"/>
          </w:rPr>
          <m:t>c</m:t>
        </m:r>
      </m:oMath>
      <w:r w:rsidR="00A43829" w:rsidRPr="004C16CC">
        <w:t xml:space="preserve">, if any; else,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j</m:t>
            </m:r>
          </m:sub>
          <m:sup>
            <m:r>
              <w:rPr>
                <w:rFonts w:ascii="Cambria Math" w:hAnsi="Cambria Math"/>
              </w:rPr>
              <m:t>ACK</m:t>
            </m:r>
          </m:sup>
        </m:sSubSup>
        <m:r>
          <w:rPr>
            <w:rFonts w:ascii="Cambria Math" w:hAnsi="Cambria Math"/>
          </w:rPr>
          <m:t>=0</m:t>
        </m:r>
      </m:oMath>
    </w:p>
    <w:p w14:paraId="74669CCD" w14:textId="1E1FCEB3" w:rsidR="008C3F0C" w:rsidRDefault="008C3F0C" w:rsidP="004D2B22">
      <w:pPr>
        <w:pStyle w:val="B5"/>
        <w:ind w:left="1985" w:firstLine="0"/>
      </w:pPr>
      <m:oMath>
        <m:r>
          <w:rPr>
            <w:rFonts w:ascii="Cambria Math" w:hAnsi="Cambria Math"/>
          </w:rPr>
          <m:t>j=j+1</m:t>
        </m:r>
      </m:oMath>
      <w:r w:rsidR="00007939">
        <w:t xml:space="preserve"> </w:t>
      </w:r>
    </w:p>
    <w:p w14:paraId="1F9A5E76" w14:textId="119A2EE0" w:rsidR="008C3F0C" w:rsidRDefault="00000000" w:rsidP="004D2B22">
      <w:pPr>
        <w:pStyle w:val="B5"/>
        <w:ind w:left="1985" w:firstLine="0"/>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j</m:t>
            </m:r>
          </m:sub>
          <m:sup>
            <m:r>
              <w:rPr>
                <w:rFonts w:ascii="Cambria Math" w:hAnsi="Cambria Math"/>
              </w:rPr>
              <m:t>ACK</m:t>
            </m:r>
          </m:sup>
        </m:sSubSup>
      </m:oMath>
      <w:r w:rsidR="008C3F0C">
        <w:t>=</w:t>
      </w:r>
      <w:r w:rsidR="008C3F0C" w:rsidRPr="00B916EC">
        <w:t xml:space="preserve"> </w:t>
      </w:r>
      <w:r w:rsidR="008C3F0C">
        <w:t xml:space="preserve">NDI value </w:t>
      </w:r>
      <w:r w:rsidR="006237A3">
        <w:t>indicated</w:t>
      </w:r>
      <w:r w:rsidR="006237A3" w:rsidRPr="000C32E0">
        <w:t xml:space="preserve"> in the DCI </w:t>
      </w:r>
      <w:r w:rsidR="006237A3">
        <w:t xml:space="preserve">format </w:t>
      </w:r>
      <w:r w:rsidR="006237A3" w:rsidRPr="000C32E0">
        <w:t>corresponding to the HARQ-ACK information bit</w:t>
      </w:r>
      <w:r w:rsidR="006237A3">
        <w:t xml:space="preserve">(s) </w:t>
      </w:r>
      <w:r w:rsidR="008C3F0C">
        <w:t xml:space="preserve">for TB </w:t>
      </w:r>
      <m:oMath>
        <m:r>
          <w:rPr>
            <w:rFonts w:ascii="Cambria Math" w:hAnsi="Cambria Math"/>
          </w:rPr>
          <m:t>t</m:t>
        </m:r>
      </m:oMath>
      <w:r w:rsidR="008C3F0C">
        <w:t xml:space="preserve"> for HARQ process number</w:t>
      </w:r>
      <w:r w:rsidR="0052050A">
        <w:t xml:space="preserve"> index</w:t>
      </w:r>
      <w:r w:rsidR="008C3F0C">
        <w:t xml:space="preserve"> </w:t>
      </w:r>
      <m:oMath>
        <m:r>
          <w:rPr>
            <w:rFonts w:ascii="Cambria Math" w:hAnsi="Cambria Math"/>
          </w:rPr>
          <m:t>h</m:t>
        </m:r>
      </m:oMath>
      <w:r w:rsidR="008C3F0C">
        <w:t xml:space="preserve"> </w:t>
      </w:r>
      <w:r w:rsidR="0052050A" w:rsidRPr="00127A7C">
        <w:t xml:space="preserve">in the set of numbers of HARQ processes </w:t>
      </w:r>
      <w:r w:rsidR="008C3F0C">
        <w:t xml:space="preserve">on </w:t>
      </w:r>
      <w:r w:rsidR="008C3F0C" w:rsidRPr="006D5852">
        <w:t xml:space="preserve">serving cell </w:t>
      </w:r>
      <m:oMath>
        <m:r>
          <w:rPr>
            <w:rFonts w:ascii="Cambria Math" w:hAnsi="Cambria Math"/>
          </w:rPr>
          <m:t>c</m:t>
        </m:r>
      </m:oMath>
      <w:r w:rsidR="008C3F0C">
        <w:t xml:space="preserve">, if any; else,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j</m:t>
            </m:r>
          </m:sub>
          <m:sup>
            <m:r>
              <w:rPr>
                <w:rFonts w:ascii="Cambria Math" w:hAnsi="Cambria Math"/>
              </w:rPr>
              <m:t>ACK</m:t>
            </m:r>
          </m:sup>
        </m:sSubSup>
        <m:r>
          <w:rPr>
            <w:rFonts w:ascii="Cambria Math" w:hAnsi="Cambria Math"/>
          </w:rPr>
          <m:t>=0</m:t>
        </m:r>
      </m:oMath>
    </w:p>
    <w:p w14:paraId="00269456" w14:textId="1A450A38" w:rsidR="008C3F0C" w:rsidRDefault="008C3F0C" w:rsidP="004D2B22">
      <w:pPr>
        <w:pStyle w:val="B5"/>
        <w:ind w:left="1985" w:firstLine="0"/>
      </w:pPr>
      <m:oMath>
        <m:r>
          <w:rPr>
            <w:rFonts w:ascii="Cambria Math" w:hAnsi="Cambria Math"/>
          </w:rPr>
          <m:t>j=j+1</m:t>
        </m:r>
      </m:oMath>
      <w:r w:rsidR="00007939">
        <w:t xml:space="preserve"> </w:t>
      </w:r>
    </w:p>
    <w:p w14:paraId="631554F2" w14:textId="69E7E646" w:rsidR="008C3F0C" w:rsidRDefault="008C3F0C" w:rsidP="004D2B22">
      <w:pPr>
        <w:pStyle w:val="B5"/>
        <w:ind w:left="1985" w:firstLine="0"/>
      </w:pPr>
      <m:oMath>
        <m:r>
          <w:rPr>
            <w:rFonts w:ascii="Cambria Math" w:hAnsi="Cambria Math"/>
          </w:rPr>
          <m:t>t=t+1</m:t>
        </m:r>
      </m:oMath>
      <w:r w:rsidR="00007939">
        <w:t xml:space="preserve"> </w:t>
      </w:r>
    </w:p>
    <w:p w14:paraId="4468C07A" w14:textId="025148A5" w:rsidR="008C3F0C" w:rsidRDefault="008C3F0C" w:rsidP="004D2B22">
      <w:pPr>
        <w:pStyle w:val="B5"/>
        <w:ind w:left="1985"/>
      </w:pPr>
      <w:r>
        <w:t>end while</w:t>
      </w:r>
    </w:p>
    <w:p w14:paraId="5E5388C0" w14:textId="5DB23C19" w:rsidR="008C3F0C" w:rsidRDefault="008C3F0C" w:rsidP="004D2B22">
      <w:pPr>
        <w:pStyle w:val="B5"/>
      </w:pPr>
      <w:r>
        <w:t>end if</w:t>
      </w:r>
    </w:p>
    <w:p w14:paraId="45B20A83" w14:textId="7EC07F22" w:rsidR="008C3F0C" w:rsidRDefault="008C3F0C" w:rsidP="004D2B22">
      <w:pPr>
        <w:pStyle w:val="B5"/>
        <w:rPr>
          <w:lang w:eastAsia="zh-CN"/>
        </w:rPr>
      </w:pPr>
      <m:oMath>
        <m:r>
          <w:rPr>
            <w:rFonts w:ascii="Cambria Math" w:hAnsi="Cambria Math"/>
          </w:rPr>
          <m:t>t=0</m:t>
        </m:r>
      </m:oMath>
      <w:r w:rsidR="00007939">
        <w:t xml:space="preserve"> </w:t>
      </w:r>
    </w:p>
    <w:p w14:paraId="5A4A2F7C" w14:textId="77777777" w:rsidR="008C3F0C" w:rsidRDefault="008C3F0C" w:rsidP="004D2B22">
      <w:pPr>
        <w:pStyle w:val="B4"/>
      </w:pPr>
      <w:r>
        <w:t>else</w:t>
      </w:r>
    </w:p>
    <w:p w14:paraId="6B0C9777" w14:textId="1B9A7DFC" w:rsidR="008C3F0C" w:rsidRPr="00B916EC" w:rsidRDefault="008C3F0C" w:rsidP="004D2B22">
      <w:pPr>
        <w:pStyle w:val="B5"/>
        <w:rPr>
          <w:lang w:eastAsia="zh-CN"/>
        </w:rPr>
      </w:pPr>
      <w:r>
        <w:t xml:space="preserve">if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HARQ-ACK,</m:t>
            </m:r>
            <m:r>
              <w:rPr>
                <w:rFonts w:ascii="Cambria Math" w:hAnsi="Cambria Math"/>
              </w:rPr>
              <m:t>c</m:t>
            </m:r>
          </m:sub>
          <m:sup>
            <m:r>
              <m:rPr>
                <m:sty m:val="p"/>
              </m:rPr>
              <w:rPr>
                <w:rFonts w:ascii="Cambria Math" w:hAnsi="Cambria Math"/>
              </w:rPr>
              <m:t>CBG/TB,max</m:t>
            </m:r>
          </m:sup>
        </m:sSubSup>
        <m:r>
          <w:rPr>
            <w:rFonts w:ascii="Cambria Math" w:hAnsi="Cambria Math"/>
          </w:rPr>
          <m:t>&gt;0</m:t>
        </m:r>
      </m:oMath>
    </w:p>
    <w:p w14:paraId="5D1B8DE4" w14:textId="77777777" w:rsidR="008C3F0C" w:rsidRPr="00B916EC" w:rsidRDefault="008C3F0C" w:rsidP="004D2B22">
      <w:pPr>
        <w:pStyle w:val="B5"/>
        <w:ind w:left="1985"/>
        <w:rPr>
          <w:lang w:eastAsia="zh-CN"/>
        </w:rPr>
      </w:pPr>
      <w:r>
        <w:t xml:space="preserve">while </w:t>
      </w:r>
      <m:oMath>
        <m:r>
          <w:rPr>
            <w:rFonts w:ascii="Cambria Math" w:hAnsi="Cambria Math"/>
          </w:rPr>
          <m:t>t&lt;</m:t>
        </m:r>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sub>
          <m:sup>
            <m:r>
              <m:rPr>
                <m:sty m:val="p"/>
              </m:rPr>
              <w:rPr>
                <w:rFonts w:ascii="Cambria Math" w:hAnsi="Cambria Math"/>
              </w:rPr>
              <m:t>DL</m:t>
            </m:r>
          </m:sup>
        </m:sSubSup>
      </m:oMath>
    </w:p>
    <w:p w14:paraId="63CB6CD1" w14:textId="10576860" w:rsidR="006237A3" w:rsidRDefault="006237A3" w:rsidP="004D2B22">
      <w:pPr>
        <w:pStyle w:val="B5"/>
        <w:ind w:left="1985" w:firstLine="0"/>
      </w:pPr>
      <w:r>
        <w:t xml:space="preserve">if </w:t>
      </w:r>
      <w:r w:rsidRPr="0087377D">
        <w:t xml:space="preserve">UE </w:t>
      </w:r>
      <w:r w:rsidRPr="005157C0">
        <w:t xml:space="preserve">has </w:t>
      </w:r>
      <w:r w:rsidRPr="008D5F52">
        <w:t xml:space="preserve">obtained HARQ-ACK information for </w:t>
      </w:r>
      <w:r w:rsidRPr="0087377D">
        <w:t xml:space="preserve">TB </w:t>
      </w:r>
      <m:oMath>
        <m:r>
          <w:rPr>
            <w:rFonts w:ascii="Cambria Math" w:hAnsi="Cambria Math"/>
          </w:rPr>
          <m:t>t</m:t>
        </m:r>
      </m:oMath>
      <w:r w:rsidRPr="0087377D">
        <w:t xml:space="preserve"> for HARQ process number</w:t>
      </w:r>
      <w:r w:rsidR="00730777">
        <w:t xml:space="preserve"> index</w:t>
      </w:r>
      <w:r w:rsidRPr="0087377D">
        <w:t xml:space="preserve"> </w:t>
      </w:r>
      <m:oMath>
        <m:r>
          <w:rPr>
            <w:rFonts w:ascii="Cambria Math" w:hAnsi="Cambria Math"/>
          </w:rPr>
          <m:t>h</m:t>
        </m:r>
      </m:oMath>
      <w:r w:rsidRPr="0087377D">
        <w:t xml:space="preserve"> </w:t>
      </w:r>
      <w:r w:rsidR="00730777" w:rsidRPr="00127A7C">
        <w:t xml:space="preserve">in the set of numbers of HARQ processes </w:t>
      </w:r>
      <w:r w:rsidRPr="0087377D">
        <w:t xml:space="preserve">on serving cell </w:t>
      </w:r>
      <m:oMath>
        <m:r>
          <w:rPr>
            <w:rFonts w:ascii="Cambria Math" w:hAnsi="Cambria Math"/>
          </w:rPr>
          <m:t>c</m:t>
        </m:r>
      </m:oMath>
      <w:r w:rsidRPr="008D5F52">
        <w:t xml:space="preserve"> </w:t>
      </w:r>
      <w:r>
        <w:t xml:space="preserve">corresponding to a PDSCH reception </w:t>
      </w:r>
      <w:r w:rsidRPr="008D5F52">
        <w:t>an</w:t>
      </w:r>
      <w:r>
        <w:t>d has not reported the HARQ-ACK information corresponding to the PDSCH reception</w:t>
      </w:r>
    </w:p>
    <w:p w14:paraId="57BEEB47" w14:textId="77777777" w:rsidR="008C3F0C" w:rsidRDefault="008C3F0C" w:rsidP="004D2B22">
      <w:pPr>
        <w:pStyle w:val="B5"/>
        <w:ind w:left="2268" w:firstLine="0"/>
      </w:pPr>
      <w:r>
        <w:t xml:space="preserve">while </w:t>
      </w:r>
      <m:oMath>
        <m:r>
          <w:rPr>
            <w:rFonts w:ascii="Cambria Math" w:hAnsi="Cambria Math"/>
          </w:rPr>
          <m:t>g&lt;</m:t>
        </m:r>
        <m:sSubSup>
          <m:sSubSupPr>
            <m:ctrlPr>
              <w:rPr>
                <w:rFonts w:ascii="Cambria Math" w:hAnsi="Cambria Math"/>
                <w:i/>
              </w:rPr>
            </m:ctrlPr>
          </m:sSubSupPr>
          <m:e>
            <m:r>
              <w:rPr>
                <w:rFonts w:ascii="Cambria Math" w:hAnsi="Cambria Math"/>
              </w:rPr>
              <m:t>N</m:t>
            </m:r>
          </m:e>
          <m:sub>
            <m:r>
              <m:rPr>
                <m:sty m:val="p"/>
              </m:rPr>
              <w:rPr>
                <w:rFonts w:ascii="Cambria Math" w:hAnsi="Cambria Math"/>
              </w:rPr>
              <m:t>HARQ-ACK,</m:t>
            </m:r>
            <m:r>
              <w:rPr>
                <w:rFonts w:ascii="Cambria Math" w:hAnsi="Cambria Math"/>
              </w:rPr>
              <m:t>c</m:t>
            </m:r>
          </m:sub>
          <m:sup>
            <m:r>
              <m:rPr>
                <m:sty m:val="p"/>
              </m:rPr>
              <w:rPr>
                <w:rFonts w:ascii="Cambria Math" w:hAnsi="Cambria Math"/>
              </w:rPr>
              <m:t>CBG/TB,max</m:t>
            </m:r>
          </m:sup>
        </m:sSubSup>
      </m:oMath>
    </w:p>
    <w:p w14:paraId="5254F74E" w14:textId="11490F0E" w:rsidR="008C3F0C" w:rsidRDefault="00000000" w:rsidP="004D2B22">
      <w:pPr>
        <w:pStyle w:val="B5"/>
        <w:ind w:left="2552" w:firstLine="0"/>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j</m:t>
            </m:r>
          </m:sub>
          <m:sup>
            <m:r>
              <w:rPr>
                <w:rFonts w:ascii="Cambria Math" w:hAnsi="Cambria Math"/>
              </w:rPr>
              <m:t>ACK</m:t>
            </m:r>
          </m:sup>
        </m:sSubSup>
      </m:oMath>
      <w:r w:rsidR="008C3F0C">
        <w:t>=</w:t>
      </w:r>
      <w:r w:rsidR="008C3F0C" w:rsidRPr="00B916EC">
        <w:t xml:space="preserve"> HARQ-ACK</w:t>
      </w:r>
      <w:r w:rsidR="008C3F0C" w:rsidRPr="00960881">
        <w:t xml:space="preserve"> </w:t>
      </w:r>
      <w:r w:rsidR="008C3F0C">
        <w:t xml:space="preserve">information bit for CBG </w:t>
      </w:r>
      <m:oMath>
        <m:r>
          <w:rPr>
            <w:rFonts w:ascii="Cambria Math" w:hAnsi="Cambria Math"/>
          </w:rPr>
          <m:t>g</m:t>
        </m:r>
      </m:oMath>
      <w:r w:rsidR="008C3F0C">
        <w:t xml:space="preserve"> of TB</w:t>
      </w:r>
      <w:r w:rsidR="008C3F0C" w:rsidRPr="008348F9">
        <w:t xml:space="preserve"> </w:t>
      </w:r>
      <m:oMath>
        <m:r>
          <w:rPr>
            <w:rFonts w:ascii="Cambria Math" w:hAnsi="Cambria Math"/>
          </w:rPr>
          <m:t>t</m:t>
        </m:r>
      </m:oMath>
      <w:r w:rsidR="008C3F0C" w:rsidRPr="008348F9">
        <w:t xml:space="preserve"> </w:t>
      </w:r>
      <w:r w:rsidR="008C3F0C">
        <w:t>for HARQ process number</w:t>
      </w:r>
      <w:r w:rsidR="00730777">
        <w:t xml:space="preserve"> index</w:t>
      </w:r>
      <w:r w:rsidR="008C3F0C">
        <w:t xml:space="preserve"> </w:t>
      </w:r>
      <m:oMath>
        <m:r>
          <w:rPr>
            <w:rFonts w:ascii="Cambria Math" w:hAnsi="Cambria Math"/>
          </w:rPr>
          <m:t>h</m:t>
        </m:r>
      </m:oMath>
      <w:r w:rsidR="008C3F0C">
        <w:t xml:space="preserve"> </w:t>
      </w:r>
      <w:r w:rsidR="00730777" w:rsidRPr="00127A7C">
        <w:t xml:space="preserve">in the set of numbers of HARQ processes </w:t>
      </w:r>
      <w:r w:rsidR="008C3F0C">
        <w:t xml:space="preserve">of </w:t>
      </w:r>
      <w:r w:rsidR="008C3F0C" w:rsidRPr="006D5852">
        <w:t xml:space="preserve">serving cell </w:t>
      </w:r>
      <m:oMath>
        <m:r>
          <w:rPr>
            <w:rFonts w:ascii="Cambria Math" w:hAnsi="Cambria Math"/>
          </w:rPr>
          <m:t>c</m:t>
        </m:r>
      </m:oMath>
    </w:p>
    <w:p w14:paraId="20A0567C" w14:textId="701153A1" w:rsidR="008C3F0C" w:rsidRDefault="008C3F0C" w:rsidP="004D2B22">
      <w:pPr>
        <w:pStyle w:val="B5"/>
        <w:ind w:left="2835"/>
      </w:pPr>
      <m:oMath>
        <m:r>
          <w:rPr>
            <w:rFonts w:ascii="Cambria Math" w:hAnsi="Cambria Math"/>
          </w:rPr>
          <m:t>j=j+1</m:t>
        </m:r>
      </m:oMath>
      <w:r w:rsidR="00A530E7">
        <w:t xml:space="preserve"> </w:t>
      </w:r>
    </w:p>
    <w:p w14:paraId="4222A325" w14:textId="6D00AEDF" w:rsidR="008C3F0C" w:rsidRDefault="008C3F0C" w:rsidP="004D2B22">
      <w:pPr>
        <w:pStyle w:val="B5"/>
        <w:ind w:left="2835"/>
      </w:pPr>
      <m:oMath>
        <m:r>
          <w:rPr>
            <w:rFonts w:ascii="Cambria Math" w:hAnsi="Cambria Math"/>
          </w:rPr>
          <m:t>g=g+1</m:t>
        </m:r>
      </m:oMath>
      <w:r w:rsidR="00A530E7">
        <w:t xml:space="preserve"> </w:t>
      </w:r>
    </w:p>
    <w:p w14:paraId="45D9A2F3" w14:textId="53BF6299" w:rsidR="008C3F0C" w:rsidRDefault="008C3F0C" w:rsidP="004D2B22">
      <w:pPr>
        <w:pStyle w:val="B5"/>
        <w:ind w:left="2552"/>
      </w:pPr>
      <w:r>
        <w:t>end while</w:t>
      </w:r>
    </w:p>
    <w:p w14:paraId="784B95DB" w14:textId="77777777" w:rsidR="008C2148" w:rsidRDefault="008C2148" w:rsidP="004D2B22">
      <w:pPr>
        <w:pStyle w:val="B5"/>
        <w:spacing w:afterLines="50" w:after="120"/>
        <w:ind w:left="2268"/>
      </w:pPr>
      <w:r>
        <w:rPr>
          <w:rFonts w:hint="eastAsia"/>
        </w:rPr>
        <w:t>else</w:t>
      </w:r>
    </w:p>
    <w:p w14:paraId="06C0F10B" w14:textId="77777777" w:rsidR="008C2148" w:rsidRPr="00F20B36" w:rsidRDefault="008C2148" w:rsidP="004D2B22">
      <w:pPr>
        <w:pStyle w:val="B5"/>
        <w:ind w:left="2552"/>
      </w:pPr>
      <w:r w:rsidRPr="00F20B36">
        <w:t xml:space="preserve">while </w:t>
      </w:r>
      <m:oMath>
        <m:r>
          <w:rPr>
            <w:rFonts w:ascii="Cambria Math" w:hAnsi="Cambria Math"/>
          </w:rPr>
          <m:t>g&lt;</m:t>
        </m:r>
        <m:sSubSup>
          <m:sSubSupPr>
            <m:ctrlPr>
              <w:rPr>
                <w:rFonts w:ascii="Cambria Math" w:hAnsi="Cambria Math"/>
                <w:i/>
              </w:rPr>
            </m:ctrlPr>
          </m:sSubSupPr>
          <m:e>
            <m:r>
              <w:rPr>
                <w:rFonts w:ascii="Cambria Math" w:hAnsi="Cambria Math"/>
              </w:rPr>
              <m:t>N</m:t>
            </m:r>
          </m:e>
          <m:sub>
            <m:r>
              <m:rPr>
                <m:sty m:val="p"/>
              </m:rPr>
              <w:rPr>
                <w:rFonts w:ascii="Cambria Math" w:hAnsi="Cambria Math"/>
              </w:rPr>
              <m:t>HARQ-ACK,</m:t>
            </m:r>
            <m:r>
              <w:rPr>
                <w:rFonts w:ascii="Cambria Math" w:hAnsi="Cambria Math"/>
              </w:rPr>
              <m:t>c</m:t>
            </m:r>
          </m:sub>
          <m:sup>
            <m:r>
              <m:rPr>
                <m:sty m:val="p"/>
              </m:rPr>
              <w:rPr>
                <w:rFonts w:ascii="Cambria Math" w:hAnsi="Cambria Math"/>
              </w:rPr>
              <m:t>CBG/TB,max</m:t>
            </m:r>
          </m:sup>
        </m:sSubSup>
      </m:oMath>
    </w:p>
    <w:p w14:paraId="32EBD77D" w14:textId="502FF6E8" w:rsidR="008C2148" w:rsidRPr="00F20B36" w:rsidRDefault="00000000" w:rsidP="004D2B22">
      <w:pPr>
        <w:pStyle w:val="B5"/>
        <w:ind w:left="2835"/>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j</m:t>
            </m:r>
          </m:sub>
          <m:sup>
            <m:r>
              <w:rPr>
                <w:rFonts w:ascii="Cambria Math" w:hAnsi="Cambria Math"/>
              </w:rPr>
              <m:t>ACK</m:t>
            </m:r>
          </m:sup>
        </m:sSubSup>
        <m:r>
          <w:rPr>
            <w:rFonts w:ascii="Cambria Math" w:hAnsi="Cambria Math"/>
          </w:rPr>
          <m:t>=</m:t>
        </m:r>
        <m:r>
          <m:rPr>
            <m:sty m:val="p"/>
          </m:rPr>
          <w:rPr>
            <w:rFonts w:ascii="Cambria Math" w:hAnsi="Cambria Math"/>
          </w:rPr>
          <m:t>NACK</m:t>
        </m:r>
      </m:oMath>
      <w:r w:rsidR="002E15FB" w:rsidRPr="00D905EA">
        <w:rPr>
          <w:noProof/>
          <w:position w:val="-12"/>
          <w:lang w:val="en-US" w:eastAsia="zh-CN"/>
        </w:rPr>
        <w:t xml:space="preserve"> </w:t>
      </w:r>
    </w:p>
    <w:p w14:paraId="1CB69B7F" w14:textId="77777777" w:rsidR="008C2148" w:rsidRPr="00F20B36" w:rsidRDefault="008C2148" w:rsidP="004D2B22">
      <w:pPr>
        <w:pStyle w:val="B5"/>
        <w:ind w:left="2835"/>
      </w:pPr>
      <m:oMath>
        <m:r>
          <w:rPr>
            <w:rFonts w:ascii="Cambria Math" w:hAnsi="Cambria Math"/>
          </w:rPr>
          <m:t>j=j+1</m:t>
        </m:r>
      </m:oMath>
      <w:r w:rsidRPr="00F20B36">
        <w:t xml:space="preserve"> </w:t>
      </w:r>
    </w:p>
    <w:p w14:paraId="24781CBF" w14:textId="77777777" w:rsidR="008C2148" w:rsidRPr="00F20B36" w:rsidRDefault="008C2148" w:rsidP="004D2B22">
      <w:pPr>
        <w:pStyle w:val="B5"/>
        <w:ind w:left="2835"/>
      </w:pPr>
      <m:oMath>
        <m:r>
          <w:rPr>
            <w:rFonts w:ascii="Cambria Math" w:hAnsi="Cambria Math"/>
          </w:rPr>
          <m:t>g=g+1</m:t>
        </m:r>
      </m:oMath>
      <w:r w:rsidRPr="00F20B36">
        <w:t xml:space="preserve"> </w:t>
      </w:r>
    </w:p>
    <w:p w14:paraId="2EF39B69" w14:textId="77777777" w:rsidR="008C2148" w:rsidRPr="00ED6769" w:rsidRDefault="008C2148" w:rsidP="004D2B22">
      <w:pPr>
        <w:pStyle w:val="B5"/>
        <w:ind w:left="2552"/>
        <w:rPr>
          <w:rFonts w:ascii="Times" w:hAnsi="Times"/>
        </w:rPr>
      </w:pPr>
      <w:r w:rsidRPr="00F20B36">
        <w:lastRenderedPageBreak/>
        <w:t>end while</w:t>
      </w:r>
    </w:p>
    <w:p w14:paraId="494D1C51" w14:textId="3246EE3D" w:rsidR="008C3F0C" w:rsidRDefault="008C3F0C" w:rsidP="004D2B22">
      <w:pPr>
        <w:pStyle w:val="B5"/>
        <w:ind w:left="2268"/>
      </w:pPr>
      <w:r>
        <w:t>end if</w:t>
      </w:r>
    </w:p>
    <w:p w14:paraId="2E4439AD" w14:textId="003BC0BC" w:rsidR="008C3F0C" w:rsidRDefault="008C3F0C" w:rsidP="004D2B22">
      <w:pPr>
        <w:pStyle w:val="B5"/>
        <w:ind w:left="2268"/>
      </w:pPr>
      <m:oMath>
        <m:r>
          <w:rPr>
            <w:rFonts w:ascii="Cambria Math" w:hAnsi="Cambria Math"/>
          </w:rPr>
          <m:t>g=0</m:t>
        </m:r>
      </m:oMath>
      <w:r w:rsidR="00A530E7">
        <w:t xml:space="preserve"> </w:t>
      </w:r>
    </w:p>
    <w:p w14:paraId="0A656B0E" w14:textId="25E89603" w:rsidR="008C3F0C" w:rsidRDefault="008C3F0C" w:rsidP="004D2B22">
      <w:pPr>
        <w:pStyle w:val="B5"/>
        <w:ind w:left="2268"/>
      </w:pPr>
      <m:oMath>
        <m:r>
          <w:rPr>
            <w:rFonts w:ascii="Cambria Math" w:hAnsi="Cambria Math"/>
          </w:rPr>
          <m:t>t=t+1</m:t>
        </m:r>
      </m:oMath>
      <w:r w:rsidR="00A530E7">
        <w:t xml:space="preserve"> </w:t>
      </w:r>
    </w:p>
    <w:p w14:paraId="6FC8BD51" w14:textId="217AA227" w:rsidR="008C3F0C" w:rsidRDefault="008C3F0C" w:rsidP="00954703">
      <w:pPr>
        <w:pStyle w:val="B5"/>
        <w:ind w:left="1985"/>
      </w:pPr>
      <w:r w:rsidRPr="004A5180">
        <w:t>end while</w:t>
      </w:r>
    </w:p>
    <w:p w14:paraId="0313C657" w14:textId="77777777" w:rsidR="008C3F0C" w:rsidRDefault="008C3F0C" w:rsidP="004A5180">
      <w:pPr>
        <w:pStyle w:val="B5"/>
      </w:pPr>
      <w:r>
        <w:t>else</w:t>
      </w:r>
    </w:p>
    <w:p w14:paraId="28AC991A" w14:textId="77777777" w:rsidR="008C3F0C" w:rsidRDefault="008C3F0C" w:rsidP="004A5180">
      <w:pPr>
        <w:pStyle w:val="B5"/>
        <w:ind w:left="1985"/>
      </w:pPr>
      <w:r>
        <w:t xml:space="preserve">while </w:t>
      </w:r>
      <m:oMath>
        <m:r>
          <w:rPr>
            <w:rFonts w:ascii="Cambria Math" w:hAnsi="Cambria Math"/>
          </w:rPr>
          <m:t>t&lt;</m:t>
        </m:r>
        <m:sSubSup>
          <m:sSubSupPr>
            <m:ctrlPr>
              <w:rPr>
                <w:rFonts w:ascii="Cambria Math" w:hAnsi="Cambria Math"/>
                <w:i/>
              </w:rPr>
            </m:ctrlPr>
          </m:sSubSupPr>
          <m:e>
            <m:r>
              <w:rPr>
                <w:rFonts w:ascii="Cambria Math" w:hAnsi="Cambria Math"/>
              </w:rPr>
              <m:t>N</m:t>
            </m:r>
          </m:e>
          <m:sub>
            <m:r>
              <m:rPr>
                <m:sty m:val="p"/>
              </m:rPr>
              <w:rPr>
                <w:rFonts w:ascii="Cambria Math" w:hAnsi="Cambria Math"/>
              </w:rPr>
              <m:t>TB,</m:t>
            </m:r>
            <m:r>
              <w:rPr>
                <w:rFonts w:ascii="Cambria Math" w:hAnsi="Cambria Math"/>
              </w:rPr>
              <m:t>c</m:t>
            </m:r>
          </m:sub>
          <m:sup>
            <m:r>
              <m:rPr>
                <m:sty m:val="p"/>
              </m:rPr>
              <w:rPr>
                <w:rFonts w:ascii="Cambria Math" w:hAnsi="Cambria Math"/>
              </w:rPr>
              <m:t>DL</m:t>
            </m:r>
          </m:sup>
        </m:sSubSup>
      </m:oMath>
    </w:p>
    <w:p w14:paraId="602E29A5" w14:textId="455A104F" w:rsidR="00CF40FD" w:rsidRDefault="00CF40FD" w:rsidP="004A5180">
      <w:pPr>
        <w:pStyle w:val="B5"/>
        <w:ind w:left="1985" w:firstLine="0"/>
      </w:pPr>
      <w:r>
        <w:t xml:space="preserve">if </w:t>
      </w:r>
      <w:r w:rsidRPr="0087377D">
        <w:t xml:space="preserve">UE </w:t>
      </w:r>
      <w:r w:rsidRPr="005157C0">
        <w:t xml:space="preserve">has </w:t>
      </w:r>
      <w:r w:rsidRPr="008D5F52">
        <w:t xml:space="preserve">obtained HARQ-ACK information for </w:t>
      </w:r>
      <w:r w:rsidRPr="0087377D">
        <w:t xml:space="preserve">TB </w:t>
      </w:r>
      <m:oMath>
        <m:r>
          <w:rPr>
            <w:rFonts w:ascii="Cambria Math" w:hAnsi="Cambria Math"/>
          </w:rPr>
          <m:t>t</m:t>
        </m:r>
      </m:oMath>
      <w:r w:rsidRPr="0087377D">
        <w:t xml:space="preserve"> for HARQ process number</w:t>
      </w:r>
      <w:r w:rsidR="00AB46A0">
        <w:t xml:space="preserve"> index</w:t>
      </w:r>
      <w:r w:rsidRPr="0087377D">
        <w:t xml:space="preserve"> </w:t>
      </w:r>
      <m:oMath>
        <m:r>
          <w:rPr>
            <w:rFonts w:ascii="Cambria Math" w:hAnsi="Cambria Math"/>
          </w:rPr>
          <m:t>h</m:t>
        </m:r>
      </m:oMath>
      <w:r w:rsidRPr="0087377D">
        <w:t xml:space="preserve"> </w:t>
      </w:r>
      <w:r w:rsidR="00AB46A0" w:rsidRPr="00127A7C">
        <w:t xml:space="preserve">in the set of numbers of HARQ processes </w:t>
      </w:r>
      <w:r w:rsidRPr="0087377D">
        <w:t xml:space="preserve">on serving cell </w:t>
      </w:r>
      <m:oMath>
        <m:r>
          <w:rPr>
            <w:rFonts w:ascii="Cambria Math" w:hAnsi="Cambria Math"/>
          </w:rPr>
          <m:t>c</m:t>
        </m:r>
      </m:oMath>
      <w:r w:rsidRPr="008D5F52">
        <w:t xml:space="preserve"> </w:t>
      </w:r>
      <w:r>
        <w:t xml:space="preserve">corresponding to a PDSCH reception </w:t>
      </w:r>
      <w:r w:rsidRPr="008D5F52">
        <w:t>an</w:t>
      </w:r>
      <w:r>
        <w:t>d has not reported the HARQ-ACK information corresponding to the PDSCH reception</w:t>
      </w:r>
    </w:p>
    <w:p w14:paraId="10BB8E49" w14:textId="0E9A02BF" w:rsidR="00277DF6" w:rsidRPr="00090D13" w:rsidRDefault="00277DF6" w:rsidP="004A5180">
      <w:pPr>
        <w:pStyle w:val="B5"/>
        <w:ind w:left="2268" w:hanging="1"/>
        <w:rPr>
          <w:rFonts w:eastAsia="DengXian"/>
        </w:rPr>
      </w:pPr>
      <w:r w:rsidRPr="0021660C">
        <w:t xml:space="preserve">if </w:t>
      </w:r>
      <w:r w:rsidRPr="006C77E7">
        <w:rPr>
          <w:i/>
          <w:iCs/>
        </w:rPr>
        <w:t>harq-ACK-SpatialBundlingPUCCH</w:t>
      </w:r>
      <w:r w:rsidRPr="0021660C">
        <w:t xml:space="preserve"> i</w:t>
      </w:r>
      <w:r w:rsidRPr="0021660C">
        <w:rPr>
          <w:lang w:eastAsia="zh-CN"/>
        </w:rPr>
        <w:t>s not provided</w:t>
      </w:r>
    </w:p>
    <w:p w14:paraId="61ACEB6E" w14:textId="5B2A6074" w:rsidR="008C3F0C" w:rsidRDefault="00000000" w:rsidP="004A5180">
      <w:pPr>
        <w:pStyle w:val="B5"/>
        <w:ind w:left="2268" w:hanging="1"/>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j</m:t>
            </m:r>
          </m:sub>
          <m:sup>
            <m:r>
              <w:rPr>
                <w:rFonts w:ascii="Cambria Math" w:hAnsi="Cambria Math"/>
              </w:rPr>
              <m:t>ACK</m:t>
            </m:r>
          </m:sup>
        </m:sSubSup>
      </m:oMath>
      <w:r w:rsidR="00CF40FD">
        <w:t>=</w:t>
      </w:r>
      <w:r w:rsidR="00CF40FD" w:rsidRPr="00B916EC">
        <w:t xml:space="preserve"> HARQ-ACK</w:t>
      </w:r>
      <w:r w:rsidR="00CF40FD" w:rsidRPr="00960881">
        <w:t xml:space="preserve"> </w:t>
      </w:r>
      <w:r w:rsidR="00CF40FD">
        <w:t xml:space="preserve">information bit for TB </w:t>
      </w:r>
      <m:oMath>
        <m:r>
          <w:rPr>
            <w:rFonts w:ascii="Cambria Math" w:hAnsi="Cambria Math"/>
          </w:rPr>
          <m:t>t</m:t>
        </m:r>
      </m:oMath>
      <w:r w:rsidR="00CF40FD">
        <w:t xml:space="preserve"> for HARQ process</w:t>
      </w:r>
      <w:r w:rsidR="00AB46A0" w:rsidRPr="00AB46A0">
        <w:t xml:space="preserve"> </w:t>
      </w:r>
      <w:r w:rsidR="00AB46A0" w:rsidRPr="0087377D">
        <w:t>number</w:t>
      </w:r>
      <w:r w:rsidR="00AB46A0">
        <w:t xml:space="preserve"> index</w:t>
      </w:r>
      <w:r w:rsidR="00CF40FD">
        <w:t xml:space="preserve"> </w:t>
      </w:r>
      <m:oMath>
        <m:r>
          <w:rPr>
            <w:rFonts w:ascii="Cambria Math" w:hAnsi="Cambria Math"/>
          </w:rPr>
          <m:t>h</m:t>
        </m:r>
      </m:oMath>
      <w:r w:rsidR="00CF40FD">
        <w:t xml:space="preserve"> </w:t>
      </w:r>
      <w:r w:rsidR="00AB46A0" w:rsidRPr="00127A7C">
        <w:t xml:space="preserve">in the set of numbers of HARQ processes </w:t>
      </w:r>
      <w:r w:rsidR="00CF40FD">
        <w:t xml:space="preserve">of </w:t>
      </w:r>
      <w:r w:rsidR="00CF40FD" w:rsidRPr="006D5852">
        <w:t xml:space="preserve">serving cell </w:t>
      </w:r>
      <m:oMath>
        <m:r>
          <w:rPr>
            <w:rFonts w:ascii="Cambria Math" w:hAnsi="Cambria Math"/>
          </w:rPr>
          <m:t>c</m:t>
        </m:r>
      </m:oMath>
    </w:p>
    <w:p w14:paraId="0AB19220" w14:textId="77777777" w:rsidR="00277DF6" w:rsidRPr="0021660C" w:rsidRDefault="00277DF6" w:rsidP="004A5180">
      <w:pPr>
        <w:pStyle w:val="B5"/>
        <w:ind w:left="2268" w:hanging="1"/>
        <w:rPr>
          <w:rFonts w:eastAsia="DengXian"/>
          <w:lang w:eastAsia="zh-CN"/>
        </w:rPr>
      </w:pPr>
      <w:r w:rsidRPr="0021660C">
        <w:rPr>
          <w:lang w:eastAsia="zh-CN"/>
        </w:rPr>
        <w:t>e</w:t>
      </w:r>
      <w:r w:rsidRPr="0021660C">
        <w:rPr>
          <w:rFonts w:hint="eastAsia"/>
          <w:lang w:eastAsia="zh-CN"/>
        </w:rPr>
        <w:t>lse</w:t>
      </w:r>
    </w:p>
    <w:p w14:paraId="593F959D" w14:textId="5F8A7661" w:rsidR="00277DF6" w:rsidRDefault="00000000" w:rsidP="004A5180">
      <w:pPr>
        <w:pStyle w:val="B5"/>
        <w:ind w:left="2268" w:hanging="1"/>
        <w:rPr>
          <w:rFonts w:eastAsia="DengXian"/>
        </w:rPr>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j</m:t>
            </m:r>
          </m:sub>
          <m:sup>
            <m:r>
              <w:rPr>
                <w:rFonts w:ascii="Cambria Math" w:hAnsi="Cambria Math"/>
              </w:rPr>
              <m:t>ACK</m:t>
            </m:r>
          </m:sup>
        </m:sSubSup>
      </m:oMath>
      <w:r w:rsidR="00277DF6" w:rsidRPr="00AC0634">
        <w:rPr>
          <w:rFonts w:eastAsia="DengXian"/>
        </w:rPr>
        <w:t xml:space="preserve">= </w:t>
      </w:r>
      <w:r w:rsidR="00277DF6" w:rsidRPr="0021660C">
        <w:rPr>
          <w:rFonts w:eastAsia="DengXian"/>
        </w:rPr>
        <w:t>binary AND operation of the HARQ-ACK information bits corresponding to first and second transport blocks for HARQ process</w:t>
      </w:r>
      <w:r w:rsidR="00AB46A0" w:rsidRPr="00AB46A0">
        <w:t xml:space="preserve"> </w:t>
      </w:r>
      <w:r w:rsidR="00AB46A0" w:rsidRPr="0087377D">
        <w:t>number</w:t>
      </w:r>
      <w:r w:rsidR="00AB46A0">
        <w:t xml:space="preserve"> index</w:t>
      </w:r>
      <w:r w:rsidR="00277DF6" w:rsidRPr="0021660C">
        <w:rPr>
          <w:rFonts w:eastAsia="DengXian"/>
        </w:rPr>
        <w:t xml:space="preserve"> </w:t>
      </w:r>
      <m:oMath>
        <m:r>
          <w:rPr>
            <w:rFonts w:ascii="Cambria Math" w:eastAsia="DengXian" w:hAnsi="Cambria Math"/>
          </w:rPr>
          <m:t>h</m:t>
        </m:r>
      </m:oMath>
      <w:r w:rsidR="00277DF6" w:rsidRPr="0021660C">
        <w:rPr>
          <w:rFonts w:eastAsia="DengXian"/>
        </w:rPr>
        <w:t xml:space="preserve"> </w:t>
      </w:r>
      <w:r w:rsidR="00AB46A0" w:rsidRPr="00127A7C">
        <w:t xml:space="preserve">in the set of numbers of HARQ processes </w:t>
      </w:r>
      <w:r w:rsidR="00277DF6" w:rsidRPr="0021660C">
        <w:rPr>
          <w:rFonts w:eastAsia="DengXian"/>
        </w:rPr>
        <w:t xml:space="preserve">of serving cell </w:t>
      </w:r>
      <m:oMath>
        <m:r>
          <w:rPr>
            <w:rFonts w:ascii="Cambria Math" w:eastAsia="DengXian" w:hAnsi="Cambria Math"/>
          </w:rPr>
          <m:t>c</m:t>
        </m:r>
      </m:oMath>
      <w:r w:rsidR="00277DF6" w:rsidRPr="0021660C">
        <w:rPr>
          <w:rFonts w:eastAsia="DengXian"/>
        </w:rPr>
        <w:t xml:space="preserve">. </w:t>
      </w:r>
      <w:r w:rsidR="00277DF6">
        <w:rPr>
          <w:rFonts w:eastAsia="DengXian"/>
        </w:rPr>
        <w:t>I</w:t>
      </w:r>
      <w:r w:rsidR="00277DF6" w:rsidRPr="0021660C">
        <w:rPr>
          <w:rFonts w:eastAsia="DengXian"/>
        </w:rPr>
        <w:t>f the UE receives one transport block, the UE assumes ACK for the second transport block</w:t>
      </w:r>
    </w:p>
    <w:p w14:paraId="53C178D1" w14:textId="2EB60105" w:rsidR="00277DF6" w:rsidRPr="00090D13" w:rsidRDefault="00277DF6" w:rsidP="004A5180">
      <w:pPr>
        <w:pStyle w:val="B5"/>
        <w:ind w:left="2268" w:hanging="1"/>
        <w:rPr>
          <w:rFonts w:eastAsia="DengXian"/>
          <w:lang w:eastAsia="zh-CN"/>
        </w:rPr>
      </w:pPr>
      <w:r w:rsidRPr="0021660C">
        <w:rPr>
          <w:rFonts w:eastAsia="DengXian"/>
          <w:lang w:eastAsia="zh-CN"/>
        </w:rPr>
        <w:t>e</w:t>
      </w:r>
      <w:r w:rsidRPr="0021660C">
        <w:rPr>
          <w:rFonts w:eastAsia="DengXian" w:hint="eastAsia"/>
          <w:lang w:eastAsia="zh-CN"/>
        </w:rPr>
        <w:t>nd</w:t>
      </w:r>
      <w:r w:rsidRPr="0021660C">
        <w:rPr>
          <w:rFonts w:eastAsia="DengXian"/>
          <w:lang w:eastAsia="zh-CN"/>
        </w:rPr>
        <w:t xml:space="preserve"> if</w:t>
      </w:r>
    </w:p>
    <w:p w14:paraId="41D0C92E" w14:textId="51153FB4" w:rsidR="008C3F0C" w:rsidRDefault="008C3F0C" w:rsidP="004A5180">
      <w:pPr>
        <w:pStyle w:val="B5"/>
        <w:ind w:left="2552"/>
      </w:pPr>
      <m:oMath>
        <m:r>
          <w:rPr>
            <w:rFonts w:ascii="Cambria Math" w:hAnsi="Cambria Math"/>
          </w:rPr>
          <m:t>j=j+1</m:t>
        </m:r>
      </m:oMath>
      <w:r w:rsidR="00782BA3">
        <w:t xml:space="preserve"> </w:t>
      </w:r>
    </w:p>
    <w:p w14:paraId="01C2CAF9" w14:textId="69E8A8E3" w:rsidR="008C3F0C" w:rsidRDefault="008C3F0C" w:rsidP="004A5180">
      <w:pPr>
        <w:pStyle w:val="B5"/>
        <w:ind w:left="2552"/>
      </w:pPr>
      <m:oMath>
        <m:r>
          <w:rPr>
            <w:rFonts w:ascii="Cambria Math" w:hAnsi="Cambria Math"/>
          </w:rPr>
          <m:t>t=t+1</m:t>
        </m:r>
      </m:oMath>
      <w:r w:rsidR="00782BA3">
        <w:t xml:space="preserve"> </w:t>
      </w:r>
    </w:p>
    <w:p w14:paraId="59AFB960" w14:textId="77777777" w:rsidR="008C2148" w:rsidRDefault="008C2148" w:rsidP="004A5180">
      <w:pPr>
        <w:pStyle w:val="B5"/>
        <w:spacing w:afterLines="50" w:after="120"/>
        <w:ind w:left="2268"/>
      </w:pPr>
      <w:r>
        <w:t>else</w:t>
      </w:r>
    </w:p>
    <w:p w14:paraId="45678F9C" w14:textId="7A4560F6" w:rsidR="008C2148" w:rsidRPr="00C56811" w:rsidRDefault="00000000" w:rsidP="004A5180">
      <w:pPr>
        <w:pStyle w:val="B5"/>
        <w:ind w:left="2552"/>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o</m:t>
                </m:r>
              </m:e>
            </m:acc>
          </m:e>
          <m:sub>
            <m:r>
              <w:rPr>
                <w:rFonts w:ascii="Cambria Math" w:hAnsi="Cambria Math"/>
              </w:rPr>
              <m:t>j</m:t>
            </m:r>
          </m:sub>
          <m:sup>
            <m:r>
              <w:rPr>
                <w:rFonts w:ascii="Cambria Math" w:hAnsi="Cambria Math"/>
              </w:rPr>
              <m:t>ACK</m:t>
            </m:r>
          </m:sup>
        </m:sSubSup>
        <m:r>
          <w:rPr>
            <w:rFonts w:ascii="Cambria Math" w:hAnsi="Cambria Math"/>
          </w:rPr>
          <m:t>=</m:t>
        </m:r>
        <m:r>
          <m:rPr>
            <m:sty m:val="p"/>
          </m:rPr>
          <w:rPr>
            <w:rFonts w:ascii="Cambria Math" w:hAnsi="Cambria Math"/>
          </w:rPr>
          <m:t>NACK</m:t>
        </m:r>
      </m:oMath>
      <w:r w:rsidR="002E15FB">
        <w:t xml:space="preserve"> </w:t>
      </w:r>
    </w:p>
    <w:p w14:paraId="30FD378D" w14:textId="77777777" w:rsidR="008C2148" w:rsidRPr="00C56811" w:rsidRDefault="008C2148" w:rsidP="004A5180">
      <w:pPr>
        <w:pStyle w:val="B5"/>
        <w:ind w:left="2552"/>
      </w:pPr>
      <m:oMath>
        <m:r>
          <w:rPr>
            <w:rFonts w:ascii="Cambria Math" w:hAnsi="Cambria Math"/>
          </w:rPr>
          <m:t>j=j+1</m:t>
        </m:r>
      </m:oMath>
      <w:r w:rsidRPr="00C56811">
        <w:t xml:space="preserve"> </w:t>
      </w:r>
    </w:p>
    <w:p w14:paraId="7D48FAEE" w14:textId="77777777" w:rsidR="008C2148" w:rsidRPr="00C56811" w:rsidRDefault="008C2148" w:rsidP="004A5180">
      <w:pPr>
        <w:pStyle w:val="B5"/>
        <w:ind w:left="2552"/>
      </w:pPr>
      <m:oMath>
        <m:r>
          <w:rPr>
            <w:rFonts w:ascii="Cambria Math" w:hAnsi="Cambria Math"/>
          </w:rPr>
          <m:t>t=t+1</m:t>
        </m:r>
      </m:oMath>
      <w:r w:rsidRPr="00C56811">
        <w:t xml:space="preserve"> </w:t>
      </w:r>
    </w:p>
    <w:p w14:paraId="28F15D18" w14:textId="238AECB1" w:rsidR="008C3F0C" w:rsidRDefault="008C3F0C" w:rsidP="004A5180">
      <w:pPr>
        <w:pStyle w:val="B5"/>
        <w:ind w:left="2268"/>
      </w:pPr>
      <w:r>
        <w:t>end if</w:t>
      </w:r>
    </w:p>
    <w:p w14:paraId="4E8D22C2" w14:textId="4937DD20" w:rsidR="008C3F0C" w:rsidRDefault="008C3F0C" w:rsidP="004A5180">
      <w:pPr>
        <w:pStyle w:val="B5"/>
        <w:ind w:left="1985"/>
      </w:pPr>
      <w:r>
        <w:t>end while</w:t>
      </w:r>
    </w:p>
    <w:p w14:paraId="177B506F" w14:textId="23EDA7BF" w:rsidR="008C3F0C" w:rsidRDefault="008C3F0C" w:rsidP="004A5180">
      <w:pPr>
        <w:pStyle w:val="B5"/>
      </w:pPr>
      <w:r>
        <w:t>end if</w:t>
      </w:r>
    </w:p>
    <w:p w14:paraId="70C971A3" w14:textId="3A7DAFC6" w:rsidR="008C3F0C" w:rsidRPr="00334D6F" w:rsidRDefault="008C3F0C" w:rsidP="004A5180">
      <w:pPr>
        <w:pStyle w:val="B5"/>
      </w:pPr>
      <m:oMath>
        <m:r>
          <w:rPr>
            <w:rFonts w:ascii="Cambria Math" w:hAnsi="Cambria Math"/>
          </w:rPr>
          <m:t>t=0</m:t>
        </m:r>
      </m:oMath>
      <w:r w:rsidR="00782BA3">
        <w:t xml:space="preserve"> </w:t>
      </w:r>
    </w:p>
    <w:p w14:paraId="7B1966B5" w14:textId="5E1D19AC" w:rsidR="008C3F0C" w:rsidRDefault="008C3F0C" w:rsidP="004A5180">
      <w:pPr>
        <w:pStyle w:val="B4"/>
      </w:pPr>
      <w:r>
        <w:t>end if</w:t>
      </w:r>
    </w:p>
    <w:p w14:paraId="1DD6933F" w14:textId="77777777" w:rsidR="004A5180" w:rsidRDefault="004A5180" w:rsidP="004A5180">
      <w:pPr>
        <w:pStyle w:val="B3"/>
      </w:pPr>
      <w:r>
        <w:t>end if</w:t>
      </w:r>
    </w:p>
    <w:p w14:paraId="18862E8F" w14:textId="51C766F2" w:rsidR="008C3F0C" w:rsidRDefault="008C3F0C" w:rsidP="004A5180">
      <w:pPr>
        <w:pStyle w:val="B3"/>
      </w:pPr>
      <m:oMath>
        <m:r>
          <w:rPr>
            <w:rFonts w:ascii="Cambria Math" w:hAnsi="Cambria Math"/>
          </w:rPr>
          <m:t>h=h+</m:t>
        </m:r>
        <m:r>
          <w:rPr>
            <w:rFonts w:ascii="Cambria Math" w:hAnsi="Cambria Math"/>
          </w:rPr>
          <m:t>1</m:t>
        </m:r>
      </m:oMath>
      <w:r w:rsidR="00782BA3">
        <w:t xml:space="preserve"> </w:t>
      </w:r>
    </w:p>
    <w:p w14:paraId="6EB4E0B7" w14:textId="2BAE59CE" w:rsidR="008C3F0C" w:rsidRDefault="008C3F0C" w:rsidP="003E315E">
      <w:pPr>
        <w:pStyle w:val="B2"/>
      </w:pPr>
      <w:r>
        <w:t>end while</w:t>
      </w:r>
    </w:p>
    <w:p w14:paraId="2C1DB23C" w14:textId="0A6B7D26" w:rsidR="008C3F0C" w:rsidRDefault="008C3F0C" w:rsidP="003E315E">
      <w:pPr>
        <w:pStyle w:val="B2"/>
      </w:pPr>
      <m:oMath>
        <m:r>
          <w:rPr>
            <w:rFonts w:ascii="Cambria Math" w:hAnsi="Cambria Math"/>
          </w:rPr>
          <m:t>h=0</m:t>
        </m:r>
      </m:oMath>
      <w:r w:rsidR="00782BA3">
        <w:t xml:space="preserve"> </w:t>
      </w:r>
    </w:p>
    <w:p w14:paraId="0A4B750D" w14:textId="6255E197" w:rsidR="008C3F0C" w:rsidRDefault="008C3F0C" w:rsidP="003E315E">
      <w:pPr>
        <w:pStyle w:val="B2"/>
        <w:rPr>
          <w:lang w:eastAsia="zh-CN"/>
        </w:rPr>
      </w:pPr>
      <m:oMath>
        <m:r>
          <w:rPr>
            <w:rFonts w:ascii="Cambria Math" w:hAnsi="Cambria Math"/>
          </w:rPr>
          <m:t>c=c+1</m:t>
        </m:r>
      </m:oMath>
      <w:r w:rsidR="00782BA3">
        <w:t xml:space="preserve"> </w:t>
      </w:r>
    </w:p>
    <w:p w14:paraId="0BD6319E" w14:textId="24D119C7" w:rsidR="008C3F0C" w:rsidRDefault="008C3F0C" w:rsidP="003E315E">
      <w:pPr>
        <w:pStyle w:val="B1"/>
      </w:pPr>
      <w:r>
        <w:t>end while</w:t>
      </w:r>
    </w:p>
    <w:p w14:paraId="3FC788F6" w14:textId="67FEB8D5" w:rsidR="00A43829" w:rsidRDefault="00A43829" w:rsidP="00A43829">
      <w:pPr>
        <w:rPr>
          <w:lang w:eastAsia="zh-CN"/>
        </w:rPr>
      </w:pPr>
      <w:r>
        <w:lastRenderedPageBreak/>
        <w:t xml:space="preserve">If </w:t>
      </w:r>
      <m:oMath>
        <m:sSubSup>
          <m:sSubSupPr>
            <m:ctrlPr>
              <w:rPr>
                <w:rFonts w:ascii="Cambria Math" w:hAnsi="Cambria Math" w:cs="SimSun"/>
                <w:i/>
                <w:iCs/>
                <w:sz w:val="24"/>
                <w:szCs w:val="24"/>
              </w:rPr>
            </m:ctrlPr>
          </m:sSubSupPr>
          <m:e>
            <m:r>
              <w:rPr>
                <w:rFonts w:ascii="Cambria Math" w:hAnsi="Cambria Math"/>
              </w:rPr>
              <m:t>N</m:t>
            </m:r>
          </m:e>
          <m:sub>
            <m:r>
              <m:rPr>
                <m:sty m:val="p"/>
              </m:rPr>
              <w:rPr>
                <w:rFonts w:ascii="Cambria Math" w:hAnsi="Cambria Math"/>
              </w:rPr>
              <m:t>TB,</m:t>
            </m:r>
            <m:r>
              <w:rPr>
                <w:rFonts w:ascii="Cambria Math" w:hAnsi="Cambria Math"/>
              </w:rPr>
              <m:t>c</m:t>
            </m:r>
          </m:sub>
          <m:sup>
            <m:r>
              <m:rPr>
                <m:sty m:val="p"/>
              </m:rPr>
              <w:rPr>
                <w:rFonts w:ascii="Cambria Math" w:hAnsi="Cambria Math"/>
              </w:rPr>
              <m:t>DL</m:t>
            </m:r>
          </m:sup>
        </m:sSubSup>
        <m:r>
          <w:rPr>
            <w:rFonts w:ascii="Cambria Math" w:hAnsi="Cambria Math"/>
          </w:rPr>
          <m:t>&gt;1</m:t>
        </m:r>
      </m:oMath>
      <w:r>
        <w:t>, when a UE receives a PDSCH with one transport block, the HARQ-ACK information is associated with the first transport block</w:t>
      </w:r>
      <w:r>
        <w:rPr>
          <w:lang w:eastAsia="zh-CN"/>
        </w:rPr>
        <w:t>.</w:t>
      </w:r>
    </w:p>
    <w:p w14:paraId="07387F8D" w14:textId="1172BFF0" w:rsidR="001D6D24" w:rsidRPr="006C77E7" w:rsidRDefault="001D6D24" w:rsidP="001D6D24">
      <w:r w:rsidRPr="00F81025">
        <w:rPr>
          <w:lang w:eastAsia="zh-CN"/>
        </w:rPr>
        <w:t xml:space="preserve">If a </w:t>
      </w:r>
      <w:r w:rsidRPr="00F81025">
        <w:t xml:space="preserve">UE receives a SPS PDSCH, or a PDSCH that is scheduled by a DCI format </w:t>
      </w:r>
      <w:r w:rsidR="005644CA">
        <w:t>that does not support CBG-based PDSCH receptions</w:t>
      </w:r>
      <w:r w:rsidRPr="00F81025">
        <w:t xml:space="preserve"> for a serving cell </w:t>
      </w:r>
      <m:oMath>
        <m:r>
          <w:rPr>
            <w:rFonts w:ascii="Cambria Math" w:hAnsi="Cambria Math"/>
          </w:rPr>
          <m:t>c</m:t>
        </m:r>
      </m:oMath>
      <w:r w:rsidR="002E15FB">
        <w:t>,</w:t>
      </w:r>
      <w:r w:rsidRPr="00F81025">
        <w:t xml:space="preserve"> and if </w:t>
      </w:r>
      <w:r w:rsidRPr="00F81025">
        <w:rPr>
          <w:i/>
        </w:rPr>
        <w:t>maxCodeBlockGroupsPerTransportBlock</w:t>
      </w:r>
      <w:r w:rsidRPr="00F81025">
        <w:t xml:space="preserve"> is provided </w:t>
      </w:r>
      <w:r w:rsidRPr="00F81025">
        <w:rPr>
          <w:lang w:eastAsia="ja-JP"/>
        </w:rPr>
        <w:t xml:space="preserve">for </w:t>
      </w:r>
      <w:r w:rsidRPr="00F81025">
        <w:t xml:space="preserve">serving cell </w:t>
      </w:r>
      <m:oMath>
        <m:r>
          <w:rPr>
            <w:rFonts w:ascii="Cambria Math" w:hAnsi="Cambria Math"/>
          </w:rPr>
          <m:t>c</m:t>
        </m:r>
      </m:oMath>
      <w:r w:rsidRPr="00F81025">
        <w:t xml:space="preserve">, </w:t>
      </w:r>
      <w:r w:rsidRPr="00F81025">
        <w:rPr>
          <w:rFonts w:eastAsia="DengXian"/>
          <w:lang w:eastAsia="zh-CN"/>
        </w:rPr>
        <w:t xml:space="preserve">and </w:t>
      </w:r>
      <w:r w:rsidRPr="00F81025">
        <w:rPr>
          <w:rFonts w:eastAsia="DengXian"/>
          <w:i/>
          <w:lang w:eastAsia="zh-CN"/>
        </w:rPr>
        <w:t>pdsch-HARQ-ACK-OneShotFeedbackCBG</w:t>
      </w:r>
      <w:r w:rsidRPr="00F81025">
        <w:rPr>
          <w:rFonts w:eastAsia="DengXian"/>
          <w:lang w:eastAsia="zh-CN"/>
        </w:rPr>
        <w:t xml:space="preserve"> </w:t>
      </w:r>
      <w:r w:rsidR="002E15FB" w:rsidRPr="00111FF6">
        <w:rPr>
          <w:rFonts w:eastAsia="DengXian"/>
          <w:lang w:eastAsia="zh-CN"/>
        </w:rPr>
        <w:t xml:space="preserve">or </w:t>
      </w:r>
      <w:r w:rsidR="002E15FB" w:rsidRPr="00111FF6">
        <w:rPr>
          <w:rFonts w:eastAsia="DengXian"/>
          <w:i/>
          <w:lang w:eastAsia="zh-CN"/>
        </w:rPr>
        <w:t>pdsch-HARQ-ACK</w:t>
      </w:r>
      <w:r w:rsidR="00072D60">
        <w:rPr>
          <w:rFonts w:eastAsia="DengXian"/>
          <w:i/>
          <w:lang w:eastAsia="zh-CN"/>
        </w:rPr>
        <w:t>-EnhT</w:t>
      </w:r>
      <w:r w:rsidR="002E15FB" w:rsidRPr="00111FF6">
        <w:rPr>
          <w:rFonts w:eastAsia="DengXian"/>
          <w:i/>
          <w:lang w:eastAsia="zh-CN"/>
        </w:rPr>
        <w:t>ype3CBG</w:t>
      </w:r>
      <w:r w:rsidR="002E15FB" w:rsidRPr="00111FF6">
        <w:rPr>
          <w:rFonts w:eastAsia="DengXian"/>
          <w:lang w:eastAsia="zh-CN"/>
        </w:rPr>
        <w:t xml:space="preserve"> </w:t>
      </w:r>
      <w:r w:rsidR="0008079E" w:rsidRPr="00111FF6">
        <w:t xml:space="preserve">corresponding to the </w:t>
      </w:r>
      <w:r w:rsidR="0008079E" w:rsidRPr="00111FF6">
        <w:rPr>
          <w:i/>
          <w:iCs/>
        </w:rPr>
        <w:t>pdsch-HARQ-ACK</w:t>
      </w:r>
      <w:r w:rsidR="0008079E">
        <w:rPr>
          <w:i/>
          <w:iCs/>
        </w:rPr>
        <w:t>-EnhT</w:t>
      </w:r>
      <w:r w:rsidR="0008079E" w:rsidRPr="00111FF6">
        <w:rPr>
          <w:i/>
          <w:iCs/>
        </w:rPr>
        <w:t>ype3Index</w:t>
      </w:r>
      <w:r w:rsidR="0008079E" w:rsidRPr="00111FF6">
        <w:t xml:space="preserve"> value</w:t>
      </w:r>
      <w:r w:rsidR="0008079E">
        <w:rPr>
          <w:rFonts w:eastAsia="DengXian"/>
          <w:lang w:eastAsia="zh-CN"/>
        </w:rPr>
        <w:t xml:space="preserve"> </w:t>
      </w:r>
      <w:r w:rsidRPr="00F81025">
        <w:rPr>
          <w:rFonts w:eastAsia="DengXian"/>
          <w:lang w:eastAsia="zh-CN"/>
        </w:rPr>
        <w:t xml:space="preserve">is provided, </w:t>
      </w:r>
      <w:r w:rsidRPr="00F81025">
        <w:t xml:space="preserve">the UE </w:t>
      </w:r>
      <w:r w:rsidRPr="00F81025">
        <w:rPr>
          <w:rFonts w:eastAsia="Malgun Gothic"/>
        </w:rPr>
        <w:t xml:space="preserve">repeats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HARQ-ACK,</m:t>
            </m:r>
            <m:r>
              <w:rPr>
                <w:rFonts w:ascii="Cambria Math" w:hAnsi="Cambria Math"/>
              </w:rPr>
              <m:t>c</m:t>
            </m:r>
          </m:sub>
          <m:sup>
            <m:r>
              <m:rPr>
                <m:sty m:val="p"/>
              </m:rPr>
              <w:rPr>
                <w:rFonts w:ascii="Cambria Math" w:hAnsi="Cambria Math"/>
              </w:rPr>
              <m:t>CBG/TB,max</m:t>
            </m:r>
          </m:sup>
        </m:sSubSup>
      </m:oMath>
      <w:r w:rsidRPr="00F81025">
        <w:t xml:space="preserve"> times </w:t>
      </w:r>
      <w:r w:rsidRPr="00F81025">
        <w:rPr>
          <w:rFonts w:eastAsia="Malgun Gothic"/>
        </w:rPr>
        <w:t xml:space="preserve">the </w:t>
      </w:r>
      <w:r w:rsidRPr="00F81025">
        <w:rPr>
          <w:lang w:eastAsia="zh-CN"/>
        </w:rPr>
        <w:t>HARQ-ACK information</w:t>
      </w:r>
      <w:r w:rsidRPr="00F81025">
        <w:t xml:space="preserve"> for the transport block</w:t>
      </w:r>
      <w:r w:rsidR="004A5180">
        <w:t>, if any,</w:t>
      </w:r>
      <w:r w:rsidRPr="00F81025">
        <w:t xml:space="preserve"> in the PDSC</w:t>
      </w:r>
      <w:r w:rsidRPr="006C77E7">
        <w:t>H.</w:t>
      </w:r>
    </w:p>
    <w:p w14:paraId="5A3279B8" w14:textId="5CF591C8" w:rsidR="008C3F0C" w:rsidRDefault="008C3F0C" w:rsidP="00EE7C8B">
      <w:pPr>
        <w:rPr>
          <w:lang w:eastAsia="zh-CN"/>
        </w:rPr>
      </w:pPr>
      <w:r>
        <w:rPr>
          <w:lang w:eastAsia="zh-CN"/>
        </w:rPr>
        <w:t xml:space="preserve">If </w:t>
      </w:r>
      <w:r w:rsidR="000E5919">
        <w:rPr>
          <w:lang w:eastAsia="zh-CN"/>
        </w:rPr>
        <w:t xml:space="preserve">a </w:t>
      </w:r>
      <w:r>
        <w:rPr>
          <w:lang w:eastAsia="zh-CN"/>
        </w:rPr>
        <w:t xml:space="preserve">UE detects a DCI format that includes a </w:t>
      </w:r>
      <w:r w:rsidRPr="009D092A">
        <w:rPr>
          <w:lang w:eastAsia="zh-CN"/>
        </w:rPr>
        <w:t>One-shot HARQ-ACK request</w:t>
      </w:r>
      <w:r w:rsidDel="000A510D">
        <w:rPr>
          <w:lang w:eastAsia="zh-CN"/>
        </w:rPr>
        <w:t xml:space="preserve"> </w:t>
      </w:r>
      <w:r>
        <w:rPr>
          <w:lang w:eastAsia="zh-CN"/>
        </w:rPr>
        <w:t xml:space="preserve">field with value 1, the UE determines a PUCCH or a PUSCH to multiplex a Type-3 HARQ-ACK codebook for transmission in a slot as described </w:t>
      </w:r>
      <w:r w:rsidR="006F5F9E">
        <w:rPr>
          <w:lang w:eastAsia="zh-CN"/>
        </w:rPr>
        <w:t>in clause</w:t>
      </w:r>
      <w:r w:rsidR="000E5919">
        <w:rPr>
          <w:lang w:eastAsia="zh-CN"/>
        </w:rPr>
        <w:t>s</w:t>
      </w:r>
      <w:r>
        <w:rPr>
          <w:lang w:eastAsia="zh-CN"/>
        </w:rPr>
        <w:t xml:space="preserve"> </w:t>
      </w:r>
      <w:r w:rsidR="000E5919">
        <w:rPr>
          <w:lang w:eastAsia="zh-CN"/>
        </w:rPr>
        <w:t xml:space="preserve">9.2.3 and </w:t>
      </w:r>
      <w:r>
        <w:rPr>
          <w:lang w:eastAsia="zh-CN"/>
        </w:rPr>
        <w:t xml:space="preserve">9.2.5. </w:t>
      </w:r>
      <w:r w:rsidR="002E15FB" w:rsidRPr="00111FF6">
        <w:rPr>
          <w:lang w:eastAsia="zh-CN"/>
        </w:rPr>
        <w:t xml:space="preserve">If the UE is provided </w:t>
      </w:r>
      <w:r w:rsidR="002E15FB" w:rsidRPr="00111FF6">
        <w:rPr>
          <w:lang w:val="en-US"/>
        </w:rPr>
        <w:t xml:space="preserve">a </w:t>
      </w:r>
      <w:r w:rsidR="002E15FB" w:rsidRPr="00111FF6">
        <w:t>periodic cell switching pattern for PUCCH transmissions</w:t>
      </w:r>
      <w:r w:rsidR="002E15FB" w:rsidRPr="00111FF6">
        <w:rPr>
          <w:lang w:val="en-US"/>
        </w:rPr>
        <w:t xml:space="preserve"> by</w:t>
      </w:r>
      <w:r w:rsidR="002E15FB" w:rsidRPr="00111FF6">
        <w:t xml:space="preserve"> </w:t>
      </w:r>
      <w:r w:rsidR="002E15FB" w:rsidRPr="00111FF6">
        <w:rPr>
          <w:i/>
          <w:iCs/>
        </w:rPr>
        <w:t>pucch-sSCellPattern</w:t>
      </w:r>
      <w:r w:rsidR="002E15FB" w:rsidRPr="00111FF6">
        <w:rPr>
          <w:lang w:val="en-US"/>
        </w:rPr>
        <w:t xml:space="preserve">, the UE determines the slot and a corresponding cell based on the </w:t>
      </w:r>
      <w:r w:rsidR="002E15FB" w:rsidRPr="00111FF6">
        <w:t xml:space="preserve">periodic cell switching pattern </w:t>
      </w:r>
      <w:r w:rsidR="002E15FB" w:rsidRPr="00111FF6">
        <w:rPr>
          <w:lang w:val="en-US"/>
        </w:rPr>
        <w:t>as described in clause 9.A</w:t>
      </w:r>
      <w:r w:rsidR="002E15FB" w:rsidRPr="00111FF6">
        <w:t xml:space="preserve">. </w:t>
      </w:r>
      <w:r>
        <w:rPr>
          <w:lang w:eastAsia="zh-CN"/>
        </w:rPr>
        <w:t>The UE multiplexes only the Type-3 HARQ-ACK codebook in the PUCCH or the PUSCH for transmission in the slot.</w:t>
      </w:r>
      <w:r w:rsidR="00845826">
        <w:rPr>
          <w:lang w:eastAsia="zh-CN"/>
        </w:rPr>
        <w:t xml:space="preserve"> </w:t>
      </w:r>
      <w:r w:rsidR="00845826" w:rsidRPr="0070012D">
        <w:t xml:space="preserve">If the UE is provided </w:t>
      </w:r>
      <w:r w:rsidR="00845826" w:rsidRPr="0070012D">
        <w:rPr>
          <w:i/>
          <w:iCs/>
        </w:rPr>
        <w:t>pdsch-HARQ-ACK-EnhType3ToAddModList</w:t>
      </w:r>
      <w:r w:rsidR="00845826" w:rsidRPr="0070012D">
        <w:t xml:space="preserve">, </w:t>
      </w:r>
      <w:r w:rsidR="00845826" w:rsidRPr="0070012D">
        <w:rPr>
          <w:rFonts w:eastAsia="Batang"/>
        </w:rPr>
        <w:t xml:space="preserve">the UE expects that HARQ-ACK information in a Type-1 or Type-2 HARQ-ACK codebook </w:t>
      </w:r>
      <w:r w:rsidR="00845826" w:rsidRPr="0070012D">
        <w:rPr>
          <w:lang w:val="en-US" w:eastAsia="zh-CN"/>
        </w:rPr>
        <w:t>in a slot</w:t>
      </w:r>
      <w:r w:rsidR="00845826" w:rsidRPr="0070012D">
        <w:rPr>
          <w:rFonts w:eastAsia="Batang"/>
        </w:rPr>
        <w:t xml:space="preserve"> is associated with HARQ process(es) of the Type-3 HARQ-ACK codebook in the </w:t>
      </w:r>
      <w:r w:rsidR="00845826" w:rsidRPr="0070012D">
        <w:rPr>
          <w:lang w:val="en-US" w:eastAsia="zh-CN"/>
        </w:rPr>
        <w:t>slot</w:t>
      </w:r>
      <w:r w:rsidR="00845826" w:rsidRPr="0070012D">
        <w:rPr>
          <w:rFonts w:eastAsia="Batang"/>
        </w:rPr>
        <w:t>.</w:t>
      </w:r>
    </w:p>
    <w:p w14:paraId="47533598" w14:textId="77777777" w:rsidR="000E5919" w:rsidRDefault="000E5919" w:rsidP="000E5919">
      <w:pPr>
        <w:rPr>
          <w:lang w:eastAsia="zh-CN"/>
        </w:rPr>
      </w:pPr>
      <w:r w:rsidRPr="007E50F6">
        <w:rPr>
          <w:lang w:eastAsia="zh-CN"/>
        </w:rPr>
        <w:t xml:space="preserve">If </w:t>
      </w:r>
    </w:p>
    <w:p w14:paraId="5E3BEE32" w14:textId="77777777" w:rsidR="000E5919" w:rsidRDefault="000E5919" w:rsidP="00090D13">
      <w:pPr>
        <w:pStyle w:val="B1"/>
        <w:rPr>
          <w:lang w:eastAsia="en-GB"/>
        </w:rPr>
      </w:pPr>
      <w:r w:rsidRPr="0025151E">
        <w:t>-</w:t>
      </w:r>
      <w:r w:rsidRPr="0025151E">
        <w:tab/>
      </w:r>
      <w:r>
        <w:rPr>
          <w:lang w:eastAsia="zh-CN"/>
        </w:rPr>
        <w:t>a</w:t>
      </w:r>
      <w:r w:rsidRPr="007E50F6">
        <w:rPr>
          <w:lang w:eastAsia="zh-CN"/>
        </w:rPr>
        <w:t xml:space="preserve"> UE detects a DCI format that includes a One-shot HARQ-ACK request</w:t>
      </w:r>
      <w:r w:rsidRPr="007E50F6" w:rsidDel="000A510D">
        <w:rPr>
          <w:lang w:eastAsia="zh-CN"/>
        </w:rPr>
        <w:t xml:space="preserve"> </w:t>
      </w:r>
      <w:r w:rsidRPr="007E50F6">
        <w:rPr>
          <w:lang w:eastAsia="zh-CN"/>
        </w:rPr>
        <w:t>field with value 1, and</w:t>
      </w:r>
    </w:p>
    <w:p w14:paraId="3C2DD62C" w14:textId="77777777" w:rsidR="000E5919" w:rsidRDefault="000E5919" w:rsidP="00090D13">
      <w:pPr>
        <w:pStyle w:val="B1"/>
      </w:pPr>
      <w:r w:rsidRPr="0025151E">
        <w:t>-</w:t>
      </w:r>
      <w:r w:rsidRPr="0025151E">
        <w:tab/>
        <w:t>the CRC of the DCI is scrambled by a C-RNTI or a</w:t>
      </w:r>
      <w:r>
        <w:t>n</w:t>
      </w:r>
      <w:r w:rsidRPr="0025151E">
        <w:t xml:space="preserve"> MCS-C-RNTI, and</w:t>
      </w:r>
    </w:p>
    <w:p w14:paraId="3F4425F2" w14:textId="2B4B95D0" w:rsidR="001E558F" w:rsidRPr="0025151E" w:rsidRDefault="001E558F" w:rsidP="001E558F">
      <w:pPr>
        <w:rPr>
          <w:lang w:eastAsia="en-GB"/>
        </w:rPr>
      </w:pPr>
      <w:r>
        <w:rPr>
          <w:lang w:eastAsia="en-GB"/>
        </w:rPr>
        <w:t>if for one or more serving cells</w:t>
      </w:r>
    </w:p>
    <w:p w14:paraId="457E1FF0" w14:textId="77777777" w:rsidR="000E5919" w:rsidRPr="007E50F6" w:rsidRDefault="000E5919" w:rsidP="00090D13">
      <w:pPr>
        <w:pStyle w:val="B1"/>
        <w:rPr>
          <w:lang w:eastAsia="zh-CN"/>
        </w:rPr>
      </w:pPr>
      <w:r w:rsidRPr="007E50F6">
        <w:rPr>
          <w:lang w:eastAsia="en-GB"/>
        </w:rPr>
        <w:t>-</w:t>
      </w:r>
      <w:r w:rsidRPr="007E50F6">
        <w:rPr>
          <w:lang w:eastAsia="en-GB"/>
        </w:rPr>
        <w:tab/>
      </w:r>
      <w:r w:rsidRPr="007E50F6">
        <w:rPr>
          <w:i/>
          <w:lang w:eastAsia="ja-JP"/>
        </w:rPr>
        <w:t>resourceAllocation</w:t>
      </w:r>
      <w:r w:rsidRPr="007E50F6">
        <w:rPr>
          <w:lang w:eastAsia="en-GB"/>
        </w:rPr>
        <w:t xml:space="preserve"> = </w:t>
      </w:r>
      <w:r w:rsidRPr="007E50F6">
        <w:rPr>
          <w:i/>
          <w:lang w:eastAsia="en-GB"/>
        </w:rPr>
        <w:t>resourceAllocationType0</w:t>
      </w:r>
      <w:r w:rsidRPr="007E50F6">
        <w:rPr>
          <w:lang w:eastAsia="en-GB"/>
        </w:rPr>
        <w:t xml:space="preserve"> and all bits of the </w:t>
      </w:r>
      <w:r w:rsidRPr="007E50F6">
        <w:rPr>
          <w:rFonts w:hint="eastAsia"/>
          <w:lang w:eastAsia="zh-CN"/>
        </w:rPr>
        <w:t>frequency domain resource assignment</w:t>
      </w:r>
      <w:r w:rsidRPr="007E50F6">
        <w:rPr>
          <w:lang w:eastAsia="zh-CN"/>
        </w:rPr>
        <w:t xml:space="preserve"> </w:t>
      </w:r>
      <w:r w:rsidRPr="007E50F6">
        <w:rPr>
          <w:rFonts w:hint="eastAsia"/>
          <w:lang w:eastAsia="zh-CN"/>
        </w:rPr>
        <w:t xml:space="preserve">field in </w:t>
      </w:r>
      <w:r>
        <w:rPr>
          <w:lang w:eastAsia="zh-CN"/>
        </w:rPr>
        <w:t xml:space="preserve">the </w:t>
      </w:r>
      <w:r w:rsidRPr="007E50F6">
        <w:rPr>
          <w:lang w:eastAsia="zh-CN"/>
        </w:rPr>
        <w:t>DCI format are equal to 0, or</w:t>
      </w:r>
    </w:p>
    <w:p w14:paraId="129C1EBF" w14:textId="77777777" w:rsidR="000E5919" w:rsidRPr="007E50F6" w:rsidRDefault="000E5919" w:rsidP="00090D13">
      <w:pPr>
        <w:pStyle w:val="B1"/>
        <w:rPr>
          <w:lang w:eastAsia="zh-CN"/>
        </w:rPr>
      </w:pPr>
      <w:r w:rsidRPr="007E50F6">
        <w:rPr>
          <w:lang w:eastAsia="en-GB"/>
        </w:rPr>
        <w:t>-</w:t>
      </w:r>
      <w:r w:rsidRPr="007E50F6">
        <w:rPr>
          <w:lang w:eastAsia="en-GB"/>
        </w:rPr>
        <w:tab/>
      </w:r>
      <w:r w:rsidRPr="007E50F6">
        <w:rPr>
          <w:i/>
          <w:lang w:eastAsia="ja-JP"/>
        </w:rPr>
        <w:t>resourceAllocation</w:t>
      </w:r>
      <w:r w:rsidRPr="007E50F6">
        <w:rPr>
          <w:lang w:eastAsia="en-GB"/>
        </w:rPr>
        <w:t xml:space="preserve"> = </w:t>
      </w:r>
      <w:r w:rsidRPr="007E50F6">
        <w:rPr>
          <w:i/>
          <w:lang w:eastAsia="en-GB"/>
        </w:rPr>
        <w:t>resourceAllocationType1</w:t>
      </w:r>
      <w:r w:rsidRPr="007E50F6">
        <w:rPr>
          <w:lang w:eastAsia="en-GB"/>
        </w:rPr>
        <w:t xml:space="preserve"> and all bits of the </w:t>
      </w:r>
      <w:r w:rsidRPr="007E50F6">
        <w:rPr>
          <w:rFonts w:hint="eastAsia"/>
          <w:lang w:eastAsia="zh-CN"/>
        </w:rPr>
        <w:t>frequency domain resource assignment</w:t>
      </w:r>
      <w:r w:rsidRPr="007E50F6">
        <w:rPr>
          <w:lang w:eastAsia="zh-CN"/>
        </w:rPr>
        <w:t xml:space="preserve"> </w:t>
      </w:r>
      <w:r w:rsidRPr="007E50F6">
        <w:rPr>
          <w:rFonts w:hint="eastAsia"/>
          <w:lang w:eastAsia="zh-CN"/>
        </w:rPr>
        <w:t xml:space="preserve">field in </w:t>
      </w:r>
      <w:r>
        <w:rPr>
          <w:lang w:eastAsia="zh-CN"/>
        </w:rPr>
        <w:t xml:space="preserve">the </w:t>
      </w:r>
      <w:r w:rsidRPr="007E50F6">
        <w:rPr>
          <w:lang w:eastAsia="zh-CN"/>
        </w:rPr>
        <w:t>DCI format are equal to 1</w:t>
      </w:r>
      <w:r>
        <w:rPr>
          <w:lang w:eastAsia="zh-CN"/>
        </w:rPr>
        <w:t>, or</w:t>
      </w:r>
    </w:p>
    <w:p w14:paraId="0A542FBA" w14:textId="77777777" w:rsidR="000E5919" w:rsidRPr="007E50F6" w:rsidRDefault="000E5919" w:rsidP="00090D13">
      <w:pPr>
        <w:pStyle w:val="B1"/>
        <w:rPr>
          <w:lang w:eastAsia="en-GB"/>
        </w:rPr>
      </w:pPr>
      <w:r w:rsidRPr="007E50F6">
        <w:rPr>
          <w:lang w:eastAsia="en-GB"/>
        </w:rPr>
        <w:t>-</w:t>
      </w:r>
      <w:r w:rsidRPr="007E50F6">
        <w:rPr>
          <w:lang w:eastAsia="en-GB"/>
        </w:rPr>
        <w:tab/>
      </w:r>
      <w:r w:rsidRPr="007E50F6">
        <w:rPr>
          <w:i/>
          <w:lang w:eastAsia="en-GB"/>
        </w:rPr>
        <w:t>resourceAllocation = dynamicSwitch</w:t>
      </w:r>
      <w:r w:rsidRPr="007E50F6">
        <w:rPr>
          <w:lang w:eastAsia="en-GB"/>
        </w:rPr>
        <w:t xml:space="preserve"> and all bits of the frequency domain resource assignment field in </w:t>
      </w:r>
      <w:r>
        <w:rPr>
          <w:lang w:eastAsia="en-GB"/>
        </w:rPr>
        <w:t xml:space="preserve">the </w:t>
      </w:r>
      <w:r w:rsidRPr="007E50F6">
        <w:rPr>
          <w:lang w:eastAsia="en-GB"/>
        </w:rPr>
        <w:t>DCI format are equal to 0 or 1</w:t>
      </w:r>
    </w:p>
    <w:p w14:paraId="67DDAEDD" w14:textId="77777777" w:rsidR="001E558F" w:rsidRDefault="000E5919" w:rsidP="000E5919">
      <w:r w:rsidRPr="007E50F6">
        <w:t xml:space="preserve">the DCI format </w:t>
      </w:r>
      <w:r>
        <w:t xml:space="preserve">provides a request for a </w:t>
      </w:r>
      <w:r w:rsidRPr="007E50F6">
        <w:t xml:space="preserve">Type-3 HARQ-ACK codebook </w:t>
      </w:r>
      <w:r>
        <w:t xml:space="preserve">report and </w:t>
      </w:r>
      <w:r w:rsidRPr="007E50F6">
        <w:t xml:space="preserve">does not schedule </w:t>
      </w:r>
      <w:r>
        <w:t xml:space="preserve">a </w:t>
      </w:r>
      <w:r w:rsidRPr="007E50F6">
        <w:t xml:space="preserve">PDSCH </w:t>
      </w:r>
      <w:r>
        <w:t>reception</w:t>
      </w:r>
      <w:r w:rsidR="001E558F">
        <w:t xml:space="preserve"> on the one or more serving cells</w:t>
      </w:r>
      <w:r w:rsidRPr="007E50F6">
        <w:t>.</w:t>
      </w:r>
      <w:r>
        <w:t xml:space="preserve"> </w:t>
      </w:r>
      <w:r w:rsidR="002E15FB" w:rsidRPr="00111FF6">
        <w:t xml:space="preserve">If the UE is provided </w:t>
      </w:r>
      <w:r w:rsidR="002E15FB" w:rsidRPr="00111FF6">
        <w:rPr>
          <w:i/>
          <w:iCs/>
        </w:rPr>
        <w:t>pdsch-HARQ-ACK</w:t>
      </w:r>
      <w:r w:rsidR="00072D60">
        <w:rPr>
          <w:i/>
          <w:iCs/>
        </w:rPr>
        <w:t>-EnhT</w:t>
      </w:r>
      <w:r w:rsidR="002E15FB" w:rsidRPr="00111FF6">
        <w:rPr>
          <w:i/>
          <w:iCs/>
        </w:rPr>
        <w:t>ype3</w:t>
      </w:r>
      <w:r w:rsidR="0031555E" w:rsidRPr="00751357">
        <w:rPr>
          <w:i/>
          <w:iCs/>
        </w:rPr>
        <w:t>ToAddMod</w:t>
      </w:r>
      <w:r w:rsidR="002E15FB" w:rsidRPr="00111FF6">
        <w:rPr>
          <w:i/>
          <w:iCs/>
        </w:rPr>
        <w:t>List</w:t>
      </w:r>
      <w:r w:rsidR="002E15FB" w:rsidRPr="00111FF6">
        <w:t xml:space="preserve"> and the DCI format includes </w:t>
      </w:r>
      <w:r w:rsidR="00AB46A0">
        <w:t xml:space="preserve">an </w:t>
      </w:r>
      <w:r w:rsidR="00AB46A0" w:rsidRPr="002F60CA">
        <w:t>enhanced Type 3 codebook indicator</w:t>
      </w:r>
      <w:r w:rsidR="002E15FB" w:rsidRPr="00111FF6">
        <w:t xml:space="preserve"> field that provides a value for </w:t>
      </w:r>
      <w:r w:rsidR="002E15FB" w:rsidRPr="00111FF6">
        <w:rPr>
          <w:i/>
          <w:iCs/>
        </w:rPr>
        <w:t>pdsch-HARQ-ACK</w:t>
      </w:r>
      <w:r w:rsidR="00072D60">
        <w:rPr>
          <w:i/>
          <w:iCs/>
        </w:rPr>
        <w:t>-EnhT</w:t>
      </w:r>
      <w:r w:rsidR="002E15FB" w:rsidRPr="00111FF6">
        <w:rPr>
          <w:i/>
          <w:iCs/>
        </w:rPr>
        <w:t>ype3Index</w:t>
      </w:r>
      <w:r w:rsidR="002E15FB" w:rsidRPr="00111FF6">
        <w:t xml:space="preserve">, the UE determines a </w:t>
      </w:r>
      <w:r w:rsidR="0056586A">
        <w:t>size of a set</w:t>
      </w:r>
      <w:r w:rsidR="002E15FB" w:rsidRPr="00111FF6">
        <w:t xml:space="preserve"> of indicated serving cells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cells</m:t>
            </m:r>
          </m:sub>
          <m:sup>
            <m:r>
              <m:rPr>
                <m:sty m:val="p"/>
              </m:rPr>
              <w:rPr>
                <w:rFonts w:ascii="Cambria Math" w:hAnsi="Cambria Math"/>
              </w:rPr>
              <m:t>DL,ind</m:t>
            </m:r>
          </m:sup>
        </m:sSubSup>
      </m:oMath>
      <w:r w:rsidR="002E15FB" w:rsidRPr="00111FF6">
        <w:t xml:space="preserve"> and a </w:t>
      </w:r>
      <w:r w:rsidR="0056586A">
        <w:t>size of a set</w:t>
      </w:r>
      <w:r w:rsidR="002E15FB" w:rsidRPr="00111FF6">
        <w:t xml:space="preserve"> of indicated HARQ process</w:t>
      </w:r>
      <w:r w:rsidR="0056586A">
        <w:t xml:space="preserve"> numbers</w:t>
      </w:r>
      <w:r w:rsidR="002E15FB" w:rsidRPr="00111FF6">
        <w:t xml:space="preserv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HARQ,</m:t>
            </m:r>
            <m:r>
              <w:rPr>
                <w:rFonts w:ascii="Cambria Math" w:hAnsi="Cambria Math"/>
              </w:rPr>
              <m:t>c</m:t>
            </m:r>
          </m:sub>
          <m:sup>
            <m:r>
              <m:rPr>
                <m:sty m:val="p"/>
              </m:rPr>
              <w:rPr>
                <w:rFonts w:ascii="Cambria Math" w:hAnsi="Cambria Math"/>
              </w:rPr>
              <m:t>DL,ind</m:t>
            </m:r>
          </m:sup>
        </m:sSubSup>
      </m:oMath>
      <w:r w:rsidR="002E15FB" w:rsidRPr="00111FF6">
        <w:t xml:space="preserve"> for each indicated </w:t>
      </w:r>
      <w:r w:rsidR="002E15FB" w:rsidRPr="00D24F56">
        <w:t xml:space="preserve">serving cell </w:t>
      </w:r>
      <m:oMath>
        <m:r>
          <m:rPr>
            <m:sty m:val="p"/>
          </m:rPr>
          <w:rPr>
            <w:rFonts w:ascii="Cambria Math" w:hAnsi="Cambria Math"/>
          </w:rPr>
          <m:t>and each indicated HARQ process number</m:t>
        </m:r>
      </m:oMath>
      <w:r w:rsidR="002E15FB" w:rsidRPr="00D24F56">
        <w:t xml:space="preserve"> from the entry in </w:t>
      </w:r>
      <w:r w:rsidR="002E15FB" w:rsidRPr="00D24F56">
        <w:rPr>
          <w:i/>
          <w:iCs/>
        </w:rPr>
        <w:t>pdsch-HARQ-ACK</w:t>
      </w:r>
      <w:r w:rsidR="00072D60" w:rsidRPr="00D24F56">
        <w:rPr>
          <w:i/>
          <w:iCs/>
        </w:rPr>
        <w:t>-</w:t>
      </w:r>
      <w:r w:rsidR="00072D60">
        <w:rPr>
          <w:i/>
          <w:iCs/>
        </w:rPr>
        <w:t>EnhT</w:t>
      </w:r>
      <w:r w:rsidR="002E15FB" w:rsidRPr="00111FF6">
        <w:rPr>
          <w:i/>
          <w:iCs/>
        </w:rPr>
        <w:t>ype3</w:t>
      </w:r>
      <w:r w:rsidR="0031555E" w:rsidRPr="00751357">
        <w:rPr>
          <w:i/>
          <w:iCs/>
        </w:rPr>
        <w:t>ToAddMod</w:t>
      </w:r>
      <w:r w:rsidR="002E15FB" w:rsidRPr="00111FF6">
        <w:rPr>
          <w:i/>
          <w:iCs/>
        </w:rPr>
        <w:t>List</w:t>
      </w:r>
      <w:r w:rsidR="002E15FB" w:rsidRPr="00111FF6">
        <w:t xml:space="preserve"> corresponding to the </w:t>
      </w:r>
      <w:r w:rsidR="002E15FB" w:rsidRPr="00111FF6">
        <w:rPr>
          <w:i/>
          <w:iCs/>
        </w:rPr>
        <w:t>pdsch-HARQ-ACK</w:t>
      </w:r>
      <w:r w:rsidR="00072D60">
        <w:rPr>
          <w:i/>
          <w:iCs/>
        </w:rPr>
        <w:t>-EnhT</w:t>
      </w:r>
      <w:r w:rsidR="002E15FB" w:rsidRPr="00111FF6">
        <w:rPr>
          <w:i/>
          <w:iCs/>
        </w:rPr>
        <w:t>ype3Index</w:t>
      </w:r>
      <w:r w:rsidR="002E15FB" w:rsidRPr="00111FF6">
        <w:t xml:space="preserve"> value. If the DCI format does not include the </w:t>
      </w:r>
      <w:r w:rsidR="00AB46A0" w:rsidRPr="002F60CA">
        <w:t>enhanced Type 3 codebook indicator</w:t>
      </w:r>
      <w:r w:rsidR="002E15FB" w:rsidRPr="00111FF6">
        <w:t xml:space="preserve"> field, the </w:t>
      </w:r>
      <w:r w:rsidR="002E15FB" w:rsidRPr="00111FF6">
        <w:rPr>
          <w:i/>
          <w:iCs/>
        </w:rPr>
        <w:t>pdsch-HARQ-ACK</w:t>
      </w:r>
      <w:r w:rsidR="00072D60">
        <w:rPr>
          <w:i/>
          <w:iCs/>
        </w:rPr>
        <w:t>-EnhT</w:t>
      </w:r>
      <w:r w:rsidR="002E15FB" w:rsidRPr="00111FF6">
        <w:rPr>
          <w:i/>
          <w:iCs/>
        </w:rPr>
        <w:t>ype3Index</w:t>
      </w:r>
      <w:r w:rsidR="002E15FB" w:rsidRPr="00111FF6">
        <w:t xml:space="preserve"> value is provided by the value of </w:t>
      </w:r>
    </w:p>
    <w:p w14:paraId="38DACAE8" w14:textId="0AE4DDE5" w:rsidR="001E558F" w:rsidRDefault="001E558F" w:rsidP="001E558F">
      <w:pPr>
        <w:pStyle w:val="B1"/>
        <w:rPr>
          <w:lang w:eastAsia="zh-CN"/>
        </w:rPr>
      </w:pPr>
      <w:r>
        <w:t>-</w:t>
      </w:r>
      <w:r>
        <w:tab/>
      </w:r>
      <w:r w:rsidR="007B27F0">
        <w:t xml:space="preserve">the </w:t>
      </w:r>
      <w:r w:rsidR="002E15FB" w:rsidRPr="00111FF6">
        <w:t xml:space="preserve">MCS field </w:t>
      </w:r>
      <w:r w:rsidR="007B27F0" w:rsidRPr="00C46756">
        <w:rPr>
          <w:lang w:eastAsia="zh-CN"/>
        </w:rPr>
        <w:t xml:space="preserve">for transport block 1 </w:t>
      </w:r>
      <w:r w:rsidR="00A74FA7">
        <w:t>if</w:t>
      </w:r>
      <w:r w:rsidR="00A74FA7" w:rsidRPr="00111FF6">
        <w:t xml:space="preserve"> </w:t>
      </w:r>
      <w:r w:rsidR="002E15FB" w:rsidRPr="00111FF6">
        <w:t>the DCI format</w:t>
      </w:r>
      <w:r w:rsidR="00A74FA7">
        <w:t xml:space="preserve"> is DCI format</w:t>
      </w:r>
      <w:r w:rsidR="007B27F0">
        <w:t xml:space="preserve"> </w:t>
      </w:r>
      <w:r w:rsidR="007B27F0" w:rsidRPr="00111FF6">
        <w:rPr>
          <w:lang w:eastAsia="zh-CN"/>
        </w:rPr>
        <w:t>1_1</w:t>
      </w:r>
      <w:r w:rsidR="00A74FA7">
        <w:rPr>
          <w:lang w:eastAsia="zh-CN"/>
        </w:rPr>
        <w:t xml:space="preserve">, </w:t>
      </w:r>
    </w:p>
    <w:p w14:paraId="7194DCEF" w14:textId="5BE73F3A" w:rsidR="001E558F" w:rsidRPr="001E558F" w:rsidRDefault="001E558F" w:rsidP="001E558F">
      <w:pPr>
        <w:pStyle w:val="B1"/>
        <w:rPr>
          <w:rFonts w:eastAsia="Times New Roman"/>
        </w:rPr>
      </w:pPr>
      <w:r>
        <w:rPr>
          <w:lang w:eastAsia="zh-CN"/>
        </w:rPr>
        <w:t>-</w:t>
      </w:r>
      <w:r>
        <w:rPr>
          <w:lang w:eastAsia="zh-CN"/>
        </w:rPr>
        <w:tab/>
      </w:r>
      <w:r w:rsidR="007B27F0" w:rsidRPr="00111FF6">
        <w:rPr>
          <w:lang w:eastAsia="zh-CN"/>
        </w:rPr>
        <w:t xml:space="preserve">the </w:t>
      </w:r>
      <w:r w:rsidR="007B27F0" w:rsidRPr="00647C89">
        <w:rPr>
          <w:lang w:eastAsia="zh-CN"/>
        </w:rPr>
        <w:t>MCS</w:t>
      </w:r>
      <w:r w:rsidR="007B27F0" w:rsidRPr="00111FF6">
        <w:rPr>
          <w:lang w:eastAsia="zh-CN"/>
        </w:rPr>
        <w:t xml:space="preserve"> field </w:t>
      </w:r>
      <w:r w:rsidR="00A74FA7">
        <w:rPr>
          <w:lang w:eastAsia="zh-CN"/>
        </w:rPr>
        <w:t>if</w:t>
      </w:r>
      <w:r w:rsidR="00A74FA7" w:rsidRPr="00111FF6">
        <w:rPr>
          <w:lang w:eastAsia="zh-CN"/>
        </w:rPr>
        <w:t xml:space="preserve"> </w:t>
      </w:r>
      <w:r w:rsidR="007B27F0" w:rsidRPr="00111FF6">
        <w:rPr>
          <w:lang w:eastAsia="zh-CN"/>
        </w:rPr>
        <w:t xml:space="preserve">the </w:t>
      </w:r>
      <w:r w:rsidR="00A74FA7">
        <w:rPr>
          <w:lang w:eastAsia="zh-CN"/>
        </w:rPr>
        <w:t>DCI format is</w:t>
      </w:r>
      <w:r w:rsidR="00A74FA7" w:rsidRPr="00111FF6">
        <w:rPr>
          <w:lang w:eastAsia="zh-CN"/>
        </w:rPr>
        <w:t xml:space="preserve"> </w:t>
      </w:r>
      <w:r w:rsidR="007B27F0" w:rsidRPr="00111FF6">
        <w:rPr>
          <w:lang w:eastAsia="zh-CN"/>
        </w:rPr>
        <w:t>DCI format 1_2</w:t>
      </w:r>
      <w:r>
        <w:rPr>
          <w:lang w:eastAsia="zh-CN"/>
        </w:rPr>
        <w:t xml:space="preserve">, </w:t>
      </w:r>
    </w:p>
    <w:p w14:paraId="5DA4318D" w14:textId="2344D144" w:rsidR="001E558F" w:rsidRPr="001E558F" w:rsidRDefault="001E558F" w:rsidP="001E558F">
      <w:pPr>
        <w:pStyle w:val="B1"/>
        <w:rPr>
          <w:rFonts w:eastAsia="Times New Roman"/>
          <w:lang w:eastAsia="en-GB"/>
        </w:rPr>
      </w:pPr>
      <w:r>
        <w:rPr>
          <w:rFonts w:eastAsia="Times New Roman"/>
        </w:rPr>
        <w:t>-</w:t>
      </w:r>
      <w:r>
        <w:rPr>
          <w:rFonts w:eastAsia="Times New Roman"/>
        </w:rPr>
        <w:tab/>
      </w:r>
      <w:r w:rsidRPr="001E558F">
        <w:rPr>
          <w:rFonts w:eastAsia="Times New Roman"/>
        </w:rPr>
        <w:t xml:space="preserve">the MCS field </w:t>
      </w:r>
      <w:r w:rsidRPr="001E558F">
        <w:rPr>
          <w:rFonts w:eastAsia="Times New Roman"/>
          <w:lang w:eastAsia="zh-CN"/>
        </w:rPr>
        <w:t xml:space="preserve">for transport block 1 of a serving cell with smallest index among the one or more serving cells </w:t>
      </w:r>
      <w:r w:rsidRPr="001E558F">
        <w:rPr>
          <w:rFonts w:eastAsia="Times New Roman"/>
        </w:rPr>
        <w:t xml:space="preserve">if the DCI format is DCI format </w:t>
      </w:r>
      <w:r w:rsidRPr="001E558F">
        <w:rPr>
          <w:rFonts w:eastAsia="Times New Roman"/>
          <w:lang w:eastAsia="zh-CN"/>
        </w:rPr>
        <w:t>1_3</w:t>
      </w:r>
      <w:r w:rsidR="002E15FB" w:rsidRPr="00111FF6">
        <w:t xml:space="preserve">. </w:t>
      </w:r>
    </w:p>
    <w:p w14:paraId="5AB797BC" w14:textId="1D22DDD0" w:rsidR="000E5919" w:rsidRDefault="000E5919" w:rsidP="000E5919">
      <w:r>
        <w:rPr>
          <w:rFonts w:eastAsia="DengXian"/>
          <w:lang w:eastAsia="zh-CN"/>
        </w:rPr>
        <w:t>The</w:t>
      </w:r>
      <w:r w:rsidRPr="00687637">
        <w:rPr>
          <w:rFonts w:eastAsia="DengXian"/>
          <w:lang w:eastAsia="zh-CN"/>
        </w:rPr>
        <w:t xml:space="preserve"> UE is expected to provide HARQ-ACK information in response to </w:t>
      </w:r>
      <w:r>
        <w:rPr>
          <w:rFonts w:eastAsia="DengXian"/>
          <w:lang w:eastAsia="zh-CN"/>
        </w:rPr>
        <w:t>the</w:t>
      </w:r>
      <w:r w:rsidRPr="00687637">
        <w:rPr>
          <w:rFonts w:eastAsia="DengXian"/>
          <w:lang w:eastAsia="zh-CN"/>
        </w:rPr>
        <w:t xml:space="preserve"> </w:t>
      </w:r>
      <w:r>
        <w:rPr>
          <w:rFonts w:eastAsia="DengXian"/>
          <w:lang w:eastAsia="zh-CN"/>
        </w:rPr>
        <w:t>request for the T</w:t>
      </w:r>
      <w:r w:rsidRPr="00687637">
        <w:rPr>
          <w:rFonts w:eastAsia="DengXian"/>
          <w:lang w:eastAsia="zh-CN"/>
        </w:rPr>
        <w:t xml:space="preserve">ype-3 HARQ-ACK codebook after </w:t>
      </w:r>
      <m:oMath>
        <m:r>
          <w:rPr>
            <w:rFonts w:ascii="Cambria Math" w:hAnsi="Cambria Math"/>
          </w:rPr>
          <m:t>N</m:t>
        </m:r>
      </m:oMath>
      <w:r w:rsidRPr="00687637">
        <w:t xml:space="preserve"> symbols from the last symbol of a PDCCH providing </w:t>
      </w:r>
      <w:r>
        <w:t>the DCI format</w:t>
      </w:r>
      <w:r w:rsidRPr="00687637">
        <w:t xml:space="preserve">, where the value of </w:t>
      </w:r>
      <m:oMath>
        <m:r>
          <w:rPr>
            <w:rFonts w:ascii="Cambria Math" w:hAnsi="Cambria Math"/>
          </w:rPr>
          <m:t>N</m:t>
        </m:r>
      </m:oMath>
      <w:r w:rsidRPr="00687637">
        <w:t xml:space="preserve"> is </w:t>
      </w:r>
      <w:r>
        <w:t>provided</w:t>
      </w:r>
      <w:r w:rsidRPr="00687637">
        <w:t xml:space="preserve"> </w:t>
      </w:r>
      <w:r w:rsidR="006F5F9E">
        <w:t>in clause</w:t>
      </w:r>
      <w:r w:rsidRPr="00687637">
        <w:t xml:space="preserve"> 10.2</w:t>
      </w:r>
      <w:r>
        <w:t xml:space="preserve"> by replacing </w:t>
      </w:r>
      <w:r w:rsidR="006C1D66">
        <w:t>"</w:t>
      </w:r>
      <w:r>
        <w:t>SPS PDSCH release</w:t>
      </w:r>
      <w:r w:rsidR="006C1D66">
        <w:t>"</w:t>
      </w:r>
      <w:r>
        <w:t xml:space="preserve"> with </w:t>
      </w:r>
      <w:r w:rsidR="006C1D66">
        <w:t>"</w:t>
      </w:r>
      <w:r>
        <w:t>DCI format</w:t>
      </w:r>
      <w:r w:rsidR="006C1D66">
        <w:t>"</w:t>
      </w:r>
      <w:r w:rsidRPr="00687637">
        <w:t>.</w:t>
      </w:r>
      <w:r>
        <w:t xml:space="preserve"> </w:t>
      </w:r>
    </w:p>
    <w:p w14:paraId="2FAE6B17" w14:textId="77777777" w:rsidR="002E15FB" w:rsidRPr="00111FF6" w:rsidRDefault="000E5919" w:rsidP="002E15FB">
      <w:pPr>
        <w:rPr>
          <w:rFonts w:cs="Arial"/>
          <w:lang w:eastAsia="zh-CN"/>
        </w:rPr>
      </w:pPr>
      <w:r w:rsidRPr="003310B2">
        <w:rPr>
          <w:rFonts w:cs="Arial"/>
          <w:lang w:eastAsia="zh-CN"/>
        </w:rPr>
        <w:t xml:space="preserve">If a UE multiplexes HARQ-ACK information in a PUSCH transmission, </w:t>
      </w:r>
      <w:r w:rsidRPr="003310B2">
        <w:rPr>
          <w:rFonts w:cs="Arial" w:hint="eastAsia"/>
          <w:lang w:eastAsia="zh-CN"/>
        </w:rPr>
        <w:t xml:space="preserve">the UE </w:t>
      </w:r>
      <w:r w:rsidRPr="003310B2">
        <w:rPr>
          <w:rFonts w:cs="Arial"/>
          <w:lang w:eastAsia="zh-CN"/>
        </w:rPr>
        <w:t xml:space="preserve">generates the HARQ-ACK codebook as </w:t>
      </w:r>
      <w:r>
        <w:rPr>
          <w:rFonts w:cs="Arial"/>
          <w:lang w:eastAsia="zh-CN"/>
        </w:rPr>
        <w:t xml:space="preserve">described in this </w:t>
      </w:r>
      <w:r w:rsidR="006F5F9E">
        <w:rPr>
          <w:rFonts w:cs="Arial"/>
          <w:lang w:eastAsia="zh-CN"/>
        </w:rPr>
        <w:t>clause</w:t>
      </w:r>
      <w:r w:rsidRPr="003310B2">
        <w:rPr>
          <w:rFonts w:cs="Arial"/>
          <w:lang w:eastAsia="zh-CN"/>
        </w:rPr>
        <w:t xml:space="preserve"> except that </w:t>
      </w:r>
      <w:r w:rsidRPr="003310B2">
        <w:rPr>
          <w:i/>
        </w:rPr>
        <w:t>harq-ACK-SpatialBundlingPUCCH</w:t>
      </w:r>
      <w:r w:rsidRPr="003310B2">
        <w:rPr>
          <w:rFonts w:cs="Arial"/>
          <w:lang w:eastAsia="zh-CN"/>
        </w:rPr>
        <w:t xml:space="preserve"> is replaced by </w:t>
      </w:r>
      <w:r w:rsidRPr="003310B2">
        <w:rPr>
          <w:i/>
        </w:rPr>
        <w:t>harq-ACK-SpatialBundlingPUSCH</w:t>
      </w:r>
      <w:r>
        <w:rPr>
          <w:rFonts w:cs="Arial"/>
          <w:lang w:eastAsia="zh-CN"/>
        </w:rPr>
        <w:t>.</w:t>
      </w:r>
    </w:p>
    <w:p w14:paraId="514F310A" w14:textId="77777777" w:rsidR="002E15FB" w:rsidRPr="00111FF6" w:rsidRDefault="002E15FB" w:rsidP="002E15FB">
      <w:pPr>
        <w:pStyle w:val="Heading3"/>
      </w:pPr>
      <w:bookmarkStart w:id="518" w:name="_Toc161999127"/>
      <w:r w:rsidRPr="00111FF6">
        <w:t>9.1.5</w:t>
      </w:r>
      <w:r w:rsidRPr="00111FF6">
        <w:tab/>
        <w:t>HARQ-ACK codebook</w:t>
      </w:r>
      <w:r w:rsidRPr="00111FF6">
        <w:rPr>
          <w:rFonts w:hint="eastAsia"/>
        </w:rPr>
        <w:t xml:space="preserve"> </w:t>
      </w:r>
      <w:r w:rsidRPr="00111FF6">
        <w:t>retransmission</w:t>
      </w:r>
      <w:bookmarkEnd w:id="518"/>
      <w:r w:rsidRPr="00111FF6">
        <w:t xml:space="preserve"> </w:t>
      </w:r>
    </w:p>
    <w:p w14:paraId="661924BF" w14:textId="51F68537" w:rsidR="002E15FB" w:rsidRPr="00111FF6" w:rsidRDefault="002E15FB" w:rsidP="002E15FB">
      <w:pPr>
        <w:rPr>
          <w:lang w:eastAsia="zh-CN"/>
        </w:rPr>
      </w:pPr>
      <w:r w:rsidRPr="00111FF6">
        <w:rPr>
          <w:lang w:eastAsia="zh-CN"/>
        </w:rPr>
        <w:t>With reference to slots of PUCCH transmissions on the primary cell</w:t>
      </w:r>
      <w:r>
        <w:rPr>
          <w:lang w:eastAsia="zh-CN"/>
        </w:rPr>
        <w:t xml:space="preserve"> and for Type-1 or Type-2 HARQ-ACK codebooks</w:t>
      </w:r>
      <w:r w:rsidRPr="00111FF6">
        <w:rPr>
          <w:lang w:eastAsia="zh-CN"/>
        </w:rPr>
        <w:t xml:space="preserve">, a UE that transmitted or would transmit a PUCCH or a PUSCH with a first HARQ-ACK codebook in slot </w:t>
      </w:r>
      <m:oMath>
        <m:r>
          <w:rPr>
            <w:rFonts w:ascii="Cambria Math" w:hAnsi="Cambria Math"/>
            <w:lang w:eastAsia="zh-CN"/>
          </w:rPr>
          <m:t>m</m:t>
        </m:r>
      </m:oMath>
      <w:r w:rsidRPr="00111FF6">
        <w:rPr>
          <w:lang w:eastAsia="zh-CN"/>
        </w:rPr>
        <w:t xml:space="preserve"> can be indicated by a DCI format </w:t>
      </w:r>
      <w:r w:rsidR="00FD31D3">
        <w:rPr>
          <w:lang w:eastAsia="zh-CN"/>
        </w:rPr>
        <w:t xml:space="preserve">with CRC scrambled by a C-RNTI or a MCS-C-RNTI </w:t>
      </w:r>
      <w:r w:rsidRPr="00111FF6">
        <w:rPr>
          <w:lang w:eastAsia="zh-CN"/>
        </w:rPr>
        <w:t xml:space="preserve">that does not schedule a PDSCH </w:t>
      </w:r>
      <w:r w:rsidRPr="00111FF6">
        <w:rPr>
          <w:lang w:eastAsia="zh-CN"/>
        </w:rPr>
        <w:lastRenderedPageBreak/>
        <w:t xml:space="preserve">reception [4, TS 38.212] and is received in a PDCCH </w:t>
      </w:r>
      <w:r w:rsidR="00FD31D3" w:rsidRPr="00647C89">
        <w:rPr>
          <w:lang w:eastAsia="zh-CN"/>
        </w:rPr>
        <w:t xml:space="preserve">ending </w:t>
      </w:r>
      <w:r w:rsidRPr="00111FF6">
        <w:rPr>
          <w:lang w:eastAsia="zh-CN"/>
        </w:rPr>
        <w:t xml:space="preserve">in slot </w:t>
      </w:r>
      <m:oMath>
        <m:r>
          <w:rPr>
            <w:rFonts w:ascii="Cambria Math" w:hAnsi="Cambria Math"/>
            <w:lang w:eastAsia="zh-CN"/>
          </w:rPr>
          <m:t>n</m:t>
        </m:r>
      </m:oMath>
      <w:r w:rsidRPr="00111FF6">
        <w:rPr>
          <w:lang w:eastAsia="zh-CN"/>
        </w:rPr>
        <w:t xml:space="preserve">, to transmit a PUCCH with the first HARQ-ACK codebook in slot </w:t>
      </w:r>
      <m:oMath>
        <m:r>
          <w:rPr>
            <w:rFonts w:ascii="Cambria Math" w:hAnsi="Cambria Math"/>
            <w:lang w:eastAsia="zh-CN"/>
          </w:rPr>
          <m:t>n+k</m:t>
        </m:r>
      </m:oMath>
      <w:r w:rsidRPr="00111FF6">
        <w:rPr>
          <w:lang w:eastAsia="zh-CN"/>
        </w:rPr>
        <w:t xml:space="preserve">, where slot </w:t>
      </w:r>
      <m:oMath>
        <m:r>
          <w:rPr>
            <w:rFonts w:ascii="Cambria Math" w:hAnsi="Cambria Math"/>
            <w:lang w:eastAsia="zh-CN"/>
          </w:rPr>
          <m:t>n+k</m:t>
        </m:r>
      </m:oMath>
      <w:r w:rsidRPr="00111FF6">
        <w:rPr>
          <w:lang w:eastAsia="zh-CN"/>
        </w:rPr>
        <w:t xml:space="preserve"> is after slot </w:t>
      </w:r>
      <m:oMath>
        <m:r>
          <w:rPr>
            <w:rFonts w:ascii="Cambria Math" w:hAnsi="Cambria Math"/>
            <w:lang w:eastAsia="zh-CN"/>
          </w:rPr>
          <m:t>m</m:t>
        </m:r>
      </m:oMath>
      <w:r w:rsidRPr="00111FF6">
        <w:rPr>
          <w:lang w:eastAsia="zh-CN"/>
        </w:rPr>
        <w:t xml:space="preserve">. The UE determines </w:t>
      </w:r>
      <m:oMath>
        <m:r>
          <w:rPr>
            <w:rFonts w:ascii="Cambria Math" w:hAnsi="Cambria Math"/>
            <w:lang w:eastAsia="zh-CN"/>
          </w:rPr>
          <m:t>k</m:t>
        </m:r>
      </m:oMath>
      <w:r w:rsidRPr="00111FF6">
        <w:rPr>
          <w:lang w:eastAsia="zh-CN"/>
        </w:rPr>
        <w:t xml:space="preserve"> and a resource for the PUCCH transmission as described in clauses 9.2.3 and 9.2.5. If the UE is provided </w:t>
      </w:r>
      <w:r w:rsidRPr="00111FF6">
        <w:rPr>
          <w:lang w:val="en-US"/>
        </w:rPr>
        <w:t xml:space="preserve">a </w:t>
      </w:r>
      <w:r w:rsidRPr="00111FF6">
        <w:t>periodic cell switching pattern for PUCCH transmissions</w:t>
      </w:r>
      <w:r w:rsidRPr="00111FF6">
        <w:rPr>
          <w:lang w:val="en-US"/>
        </w:rPr>
        <w:t xml:space="preserve"> by</w:t>
      </w:r>
      <w:r w:rsidRPr="00111FF6">
        <w:t xml:space="preserve"> </w:t>
      </w:r>
      <w:r w:rsidRPr="00111FF6">
        <w:rPr>
          <w:i/>
          <w:iCs/>
        </w:rPr>
        <w:t>pucch-sSCellPattern</w:t>
      </w:r>
      <w:r w:rsidRPr="00111FF6">
        <w:rPr>
          <w:lang w:val="en-US"/>
        </w:rPr>
        <w:t xml:space="preserve">, the UE further determines a corresponding cell based on the </w:t>
      </w:r>
      <w:r w:rsidRPr="00111FF6">
        <w:t xml:space="preserve">periodic cell switching pattern </w:t>
      </w:r>
      <w:r w:rsidRPr="00111FF6">
        <w:rPr>
          <w:lang w:val="en-US"/>
        </w:rPr>
        <w:t>as described in clause 9.A</w:t>
      </w:r>
      <w:r w:rsidRPr="00111FF6">
        <w:t>.</w:t>
      </w:r>
    </w:p>
    <w:p w14:paraId="48BBC06F" w14:textId="77777777" w:rsidR="00A766E7" w:rsidRPr="00A766E7" w:rsidRDefault="002E15FB" w:rsidP="00A766E7">
      <w:pPr>
        <w:rPr>
          <w:rFonts w:eastAsia="Times New Roman"/>
          <w:lang w:eastAsia="zh-CN"/>
        </w:rPr>
      </w:pPr>
      <w:r w:rsidRPr="00111FF6">
        <w:rPr>
          <w:lang w:eastAsia="zh-CN"/>
        </w:rPr>
        <w:t xml:space="preserve">If the </w:t>
      </w:r>
      <w:r w:rsidR="00072D60" w:rsidRPr="00ED4AF8">
        <w:t>HARQ-ACK retransmission indicator</w:t>
      </w:r>
      <w:r w:rsidRPr="005A32F4">
        <w:rPr>
          <w:iCs/>
        </w:rPr>
        <w:t xml:space="preserve"> </w:t>
      </w:r>
      <w:r w:rsidRPr="00111FF6">
        <w:rPr>
          <w:lang w:eastAsia="zh-CN"/>
        </w:rPr>
        <w:t xml:space="preserve">field value in </w:t>
      </w:r>
      <w:r w:rsidR="00A74FA7">
        <w:rPr>
          <w:lang w:eastAsia="zh-CN"/>
        </w:rPr>
        <w:t xml:space="preserve">a </w:t>
      </w:r>
      <w:r w:rsidRPr="00111FF6">
        <w:rPr>
          <w:lang w:eastAsia="zh-CN"/>
        </w:rPr>
        <w:t xml:space="preserve">DCI format is </w:t>
      </w:r>
      <w:r w:rsidR="005E3B15">
        <w:rPr>
          <w:lang w:eastAsia="zh-CN"/>
        </w:rPr>
        <w:t>'</w:t>
      </w:r>
      <w:r w:rsidRPr="00111FF6">
        <w:rPr>
          <w:lang w:eastAsia="zh-CN"/>
        </w:rPr>
        <w:t>1</w:t>
      </w:r>
      <w:r w:rsidR="005E3B15">
        <w:rPr>
          <w:lang w:eastAsia="zh-CN"/>
        </w:rPr>
        <w:t>'</w:t>
      </w:r>
      <w:r w:rsidRPr="00111FF6">
        <w:rPr>
          <w:lang w:eastAsia="zh-CN"/>
        </w:rPr>
        <w:t xml:space="preserve">, the UE determines slot </w:t>
      </w:r>
      <m:oMath>
        <m:r>
          <w:rPr>
            <w:rFonts w:ascii="Cambria Math" w:hAnsi="Cambria Math"/>
            <w:lang w:eastAsia="zh-CN"/>
          </w:rPr>
          <m:t>m</m:t>
        </m:r>
      </m:oMath>
      <w:r w:rsidRPr="00111FF6">
        <w:rPr>
          <w:lang w:eastAsia="zh-CN"/>
        </w:rPr>
        <w:t xml:space="preserve"> as </w:t>
      </w:r>
      <m:oMath>
        <m:r>
          <w:rPr>
            <w:rFonts w:ascii="Cambria Math" w:hAnsi="Cambria Math"/>
            <w:lang w:eastAsia="zh-CN"/>
          </w:rPr>
          <m:t>m=n-l</m:t>
        </m:r>
      </m:oMath>
      <w:r w:rsidRPr="00111FF6">
        <w:rPr>
          <w:lang w:eastAsia="zh-CN"/>
        </w:rPr>
        <w:t xml:space="preserve"> where </w:t>
      </w:r>
      <m:oMath>
        <m:r>
          <w:rPr>
            <w:rFonts w:ascii="Cambria Math" w:hAnsi="Cambria Math"/>
            <w:lang w:eastAsia="zh-CN"/>
          </w:rPr>
          <m:t>l</m:t>
        </m:r>
      </m:oMath>
      <w:r w:rsidRPr="00111FF6">
        <w:rPr>
          <w:lang w:eastAsia="zh-CN"/>
        </w:rPr>
        <w:t xml:space="preserve"> is determined by a one-to-one mapping </w:t>
      </w:r>
      <w:r w:rsidR="00FD31D3" w:rsidRPr="00647C89">
        <w:rPr>
          <w:lang w:eastAsia="zh-CN"/>
        </w:rPr>
        <w:t xml:space="preserve">in ascending order </w:t>
      </w:r>
      <w:r w:rsidRPr="00111FF6">
        <w:rPr>
          <w:lang w:eastAsia="zh-CN"/>
        </w:rPr>
        <w:t xml:space="preserve">among </w:t>
      </w:r>
      <w:r w:rsidR="00A766E7" w:rsidRPr="00A766E7">
        <w:rPr>
          <w:rFonts w:eastAsia="Times New Roman"/>
          <w:lang w:eastAsia="zh-CN"/>
        </w:rPr>
        <w:t xml:space="preserve">the values from -7 to 24 and the values of </w:t>
      </w:r>
    </w:p>
    <w:p w14:paraId="65D240E2" w14:textId="77777777" w:rsidR="00A766E7" w:rsidRPr="00A766E7" w:rsidRDefault="00A766E7" w:rsidP="00A766E7">
      <w:pPr>
        <w:pStyle w:val="B1"/>
        <w:rPr>
          <w:rFonts w:eastAsia="Malgun Gothic"/>
          <w:bCs/>
          <w:iCs/>
          <w:lang w:eastAsia="zh-CN"/>
        </w:rPr>
      </w:pPr>
      <w:r w:rsidRPr="00A766E7">
        <w:t>-</w:t>
      </w:r>
      <w:r w:rsidRPr="00A766E7">
        <w:tab/>
      </w:r>
      <w:r w:rsidRPr="00A766E7">
        <w:rPr>
          <w:lang w:eastAsia="zh-CN"/>
        </w:rPr>
        <w:t xml:space="preserve">the MCS field for transport block 1 if the DCI format is DCI format 1_1 </w:t>
      </w:r>
    </w:p>
    <w:p w14:paraId="4E1000C8" w14:textId="77777777" w:rsidR="00A766E7" w:rsidRPr="00A766E7" w:rsidRDefault="00A766E7" w:rsidP="00A766E7">
      <w:pPr>
        <w:pStyle w:val="B1"/>
      </w:pPr>
      <w:r w:rsidRPr="00A766E7">
        <w:t>-</w:t>
      </w:r>
      <w:r w:rsidRPr="00A766E7">
        <w:tab/>
      </w:r>
      <w:r w:rsidRPr="00A766E7">
        <w:rPr>
          <w:lang w:eastAsia="zh-CN"/>
        </w:rPr>
        <w:t>the MCS field if the DCI format is DCI format 1_2</w:t>
      </w:r>
      <w:r w:rsidRPr="00A766E7">
        <w:t xml:space="preserve"> </w:t>
      </w:r>
    </w:p>
    <w:p w14:paraId="56FADAF6" w14:textId="77777777" w:rsidR="00A766E7" w:rsidRPr="00A766E7" w:rsidRDefault="00A766E7" w:rsidP="00A766E7">
      <w:pPr>
        <w:pStyle w:val="B1"/>
        <w:rPr>
          <w:lang w:eastAsia="en-GB"/>
        </w:rPr>
      </w:pPr>
      <w:r w:rsidRPr="00A766E7">
        <w:t>-</w:t>
      </w:r>
      <w:r w:rsidRPr="00A766E7">
        <w:tab/>
        <w:t xml:space="preserve">the MCS field </w:t>
      </w:r>
      <w:r w:rsidRPr="00A766E7">
        <w:rPr>
          <w:lang w:eastAsia="zh-CN"/>
        </w:rPr>
        <w:t xml:space="preserve">for transport block 1 for a serving cell </w:t>
      </w:r>
      <w:r w:rsidRPr="00A766E7">
        <w:t xml:space="preserve">if the DCI format is DCI format </w:t>
      </w:r>
      <w:r w:rsidRPr="00A766E7">
        <w:rPr>
          <w:lang w:eastAsia="zh-CN"/>
        </w:rPr>
        <w:t>1_3</w:t>
      </w:r>
      <w:r w:rsidRPr="00A766E7">
        <w:t xml:space="preserve">, where the serving cell is the one with smallest index that has </w:t>
      </w:r>
    </w:p>
    <w:p w14:paraId="70AEF531" w14:textId="77777777" w:rsidR="00A766E7" w:rsidRPr="00A766E7" w:rsidRDefault="00A766E7" w:rsidP="00A766E7">
      <w:pPr>
        <w:pStyle w:val="B2"/>
        <w:rPr>
          <w:lang w:eastAsia="zh-CN"/>
        </w:rPr>
      </w:pPr>
      <w:r w:rsidRPr="00A766E7">
        <w:rPr>
          <w:lang w:eastAsia="en-GB"/>
        </w:rPr>
        <w:t>-</w:t>
      </w:r>
      <w:r w:rsidRPr="00A766E7">
        <w:rPr>
          <w:lang w:eastAsia="en-GB"/>
        </w:rPr>
        <w:tab/>
      </w:r>
      <w:r w:rsidRPr="00A766E7">
        <w:rPr>
          <w:i/>
          <w:lang w:eastAsia="ja-JP"/>
        </w:rPr>
        <w:t>resourceAllocation</w:t>
      </w:r>
      <w:r w:rsidRPr="00A766E7">
        <w:rPr>
          <w:lang w:eastAsia="en-GB"/>
        </w:rPr>
        <w:t xml:space="preserve"> = </w:t>
      </w:r>
      <w:r w:rsidRPr="00A766E7">
        <w:rPr>
          <w:i/>
          <w:lang w:eastAsia="en-GB"/>
        </w:rPr>
        <w:t>resourceAllocationType0</w:t>
      </w:r>
      <w:r w:rsidRPr="00A766E7">
        <w:rPr>
          <w:lang w:eastAsia="en-GB"/>
        </w:rPr>
        <w:t xml:space="preserve"> and all bits of the </w:t>
      </w:r>
      <w:r w:rsidRPr="00A766E7">
        <w:rPr>
          <w:lang w:eastAsia="zh-CN"/>
        </w:rPr>
        <w:t xml:space="preserve">corresponding block of the </w:t>
      </w:r>
      <w:r w:rsidRPr="00A766E7">
        <w:rPr>
          <w:rFonts w:hint="eastAsia"/>
          <w:lang w:eastAsia="zh-CN"/>
        </w:rPr>
        <w:t>frequency domain resource assignment</w:t>
      </w:r>
      <w:r w:rsidRPr="00A766E7">
        <w:rPr>
          <w:lang w:eastAsia="zh-CN"/>
        </w:rPr>
        <w:t xml:space="preserve"> </w:t>
      </w:r>
      <w:r w:rsidRPr="00A766E7">
        <w:rPr>
          <w:rFonts w:hint="eastAsia"/>
          <w:lang w:eastAsia="zh-CN"/>
        </w:rPr>
        <w:t>field</w:t>
      </w:r>
      <w:r w:rsidRPr="00A766E7">
        <w:rPr>
          <w:lang w:eastAsia="zh-CN"/>
        </w:rPr>
        <w:t xml:space="preserve"> equal to 0, or</w:t>
      </w:r>
    </w:p>
    <w:p w14:paraId="0301533D" w14:textId="77777777" w:rsidR="00A766E7" w:rsidRPr="00A766E7" w:rsidRDefault="00A766E7" w:rsidP="00A766E7">
      <w:pPr>
        <w:pStyle w:val="B2"/>
        <w:rPr>
          <w:lang w:eastAsia="zh-CN"/>
        </w:rPr>
      </w:pPr>
      <w:r w:rsidRPr="00A766E7">
        <w:rPr>
          <w:lang w:eastAsia="en-GB"/>
        </w:rPr>
        <w:t>-</w:t>
      </w:r>
      <w:r w:rsidRPr="00A766E7">
        <w:rPr>
          <w:lang w:eastAsia="en-GB"/>
        </w:rPr>
        <w:tab/>
      </w:r>
      <w:r w:rsidRPr="00A766E7">
        <w:rPr>
          <w:i/>
          <w:lang w:eastAsia="ja-JP"/>
        </w:rPr>
        <w:t>resourceAllocation</w:t>
      </w:r>
      <w:r w:rsidRPr="00A766E7">
        <w:rPr>
          <w:lang w:eastAsia="en-GB"/>
        </w:rPr>
        <w:t xml:space="preserve"> = </w:t>
      </w:r>
      <w:r w:rsidRPr="00A766E7">
        <w:rPr>
          <w:i/>
          <w:lang w:eastAsia="en-GB"/>
        </w:rPr>
        <w:t>resourceAllocationType1</w:t>
      </w:r>
      <w:r w:rsidRPr="00A766E7">
        <w:rPr>
          <w:lang w:eastAsia="en-GB"/>
        </w:rPr>
        <w:t xml:space="preserve"> and all bits of the </w:t>
      </w:r>
      <w:r w:rsidRPr="00A766E7">
        <w:rPr>
          <w:lang w:eastAsia="zh-CN"/>
        </w:rPr>
        <w:t xml:space="preserve">corresponding block of the </w:t>
      </w:r>
      <w:r w:rsidRPr="00A766E7">
        <w:rPr>
          <w:rFonts w:hint="eastAsia"/>
          <w:lang w:eastAsia="zh-CN"/>
        </w:rPr>
        <w:t>frequency domain resource assignment</w:t>
      </w:r>
      <w:r w:rsidRPr="00A766E7">
        <w:rPr>
          <w:lang w:eastAsia="zh-CN"/>
        </w:rPr>
        <w:t xml:space="preserve"> </w:t>
      </w:r>
      <w:r w:rsidRPr="00A766E7">
        <w:rPr>
          <w:rFonts w:hint="eastAsia"/>
          <w:lang w:eastAsia="zh-CN"/>
        </w:rPr>
        <w:t>field</w:t>
      </w:r>
      <w:r w:rsidRPr="00A766E7">
        <w:rPr>
          <w:lang w:eastAsia="zh-CN"/>
        </w:rPr>
        <w:t xml:space="preserve"> equal to 1, or</w:t>
      </w:r>
    </w:p>
    <w:p w14:paraId="1D04EA01" w14:textId="58A80F48" w:rsidR="001E558F" w:rsidRPr="00A766E7" w:rsidRDefault="00A766E7" w:rsidP="00A766E7">
      <w:pPr>
        <w:pStyle w:val="B2"/>
        <w:rPr>
          <w:lang w:eastAsia="en-GB"/>
        </w:rPr>
      </w:pPr>
      <w:r w:rsidRPr="00A766E7">
        <w:rPr>
          <w:lang w:eastAsia="en-GB"/>
        </w:rPr>
        <w:t>-</w:t>
      </w:r>
      <w:r w:rsidRPr="00A766E7">
        <w:rPr>
          <w:lang w:eastAsia="en-GB"/>
        </w:rPr>
        <w:tab/>
      </w:r>
      <w:r w:rsidRPr="00A766E7">
        <w:rPr>
          <w:i/>
          <w:lang w:eastAsia="en-GB"/>
        </w:rPr>
        <w:t>resourceAllocation = dynamicSwitch</w:t>
      </w:r>
      <w:r w:rsidRPr="00A766E7">
        <w:rPr>
          <w:lang w:eastAsia="en-GB"/>
        </w:rPr>
        <w:t xml:space="preserve"> and all bits of the </w:t>
      </w:r>
      <w:r w:rsidRPr="00A766E7">
        <w:rPr>
          <w:lang w:eastAsia="zh-CN"/>
        </w:rPr>
        <w:t xml:space="preserve">corresponding block of the </w:t>
      </w:r>
      <w:r w:rsidRPr="00A766E7">
        <w:rPr>
          <w:lang w:eastAsia="en-GB"/>
        </w:rPr>
        <w:t>frequency domain resource assignment field equal to 0 or 1</w:t>
      </w:r>
    </w:p>
    <w:p w14:paraId="39EE9365" w14:textId="2C2175DE" w:rsidR="002E15FB" w:rsidRPr="00111FF6" w:rsidRDefault="002E15FB" w:rsidP="002E15FB">
      <w:pPr>
        <w:rPr>
          <w:lang w:eastAsia="zh-CN"/>
        </w:rPr>
      </w:pPr>
      <w:r w:rsidRPr="00111FF6">
        <w:rPr>
          <w:lang w:eastAsia="zh-CN"/>
        </w:rPr>
        <w:t>If the DCI format includes a priority indicator field having a value, a priority value of first HARQ-ACK information in the first HARQ-ACK codebook</w:t>
      </w:r>
      <w:r>
        <w:rPr>
          <w:lang w:eastAsia="zh-CN"/>
        </w:rPr>
        <w:t xml:space="preserve"> is same as the value of the priority indicator field</w:t>
      </w:r>
      <w:r w:rsidRPr="00111FF6">
        <w:rPr>
          <w:lang w:eastAsia="zh-CN"/>
        </w:rPr>
        <w:t>; otherwise, the priority value of the first HARQ-ACK information is zero.</w:t>
      </w:r>
    </w:p>
    <w:p w14:paraId="1B0C3FDD" w14:textId="77777777" w:rsidR="00AB46A0" w:rsidRPr="006237B3" w:rsidRDefault="00AB46A0" w:rsidP="00AB46A0">
      <w:pPr>
        <w:rPr>
          <w:lang w:eastAsia="ko-KR"/>
        </w:rPr>
      </w:pPr>
      <w:r w:rsidRPr="006237B3">
        <w:rPr>
          <w:lang w:eastAsia="ko-KR"/>
        </w:rPr>
        <w:t>If a UE</w:t>
      </w:r>
    </w:p>
    <w:p w14:paraId="3FFAB549" w14:textId="26E8CB5A" w:rsidR="00AB46A0" w:rsidRPr="006237B3" w:rsidRDefault="00AB46A0" w:rsidP="00AB46A0">
      <w:pPr>
        <w:pStyle w:val="B1"/>
      </w:pPr>
      <w:r>
        <w:rPr>
          <w:lang w:eastAsia="ko-KR"/>
        </w:rPr>
        <w:t>-</w:t>
      </w:r>
      <w:r>
        <w:rPr>
          <w:lang w:eastAsia="ko-KR"/>
        </w:rPr>
        <w:tab/>
      </w:r>
      <w:r w:rsidRPr="006237B3">
        <w:rPr>
          <w:lang w:eastAsia="ko-KR"/>
        </w:rPr>
        <w:t xml:space="preserve">is not provided </w:t>
      </w:r>
      <w:r w:rsidRPr="006237B3">
        <w:rPr>
          <w:i/>
        </w:rPr>
        <w:t>coresetPoolIndex</w:t>
      </w:r>
      <w:r w:rsidRPr="006237B3">
        <w:t xml:space="preserve"> or is provided </w:t>
      </w:r>
      <w:r w:rsidRPr="006237B3">
        <w:rPr>
          <w:i/>
        </w:rPr>
        <w:t>coresetPoolIndex</w:t>
      </w:r>
      <w:r w:rsidRPr="006237B3">
        <w:t xml:space="preserve"> with a value of 0 for first CORESETs on active DL BWPs of serving cells, and</w:t>
      </w:r>
    </w:p>
    <w:p w14:paraId="10098D9C" w14:textId="2F6A5CD3" w:rsidR="00AB46A0" w:rsidRPr="006237B3" w:rsidRDefault="00AB46A0" w:rsidP="00AB46A0">
      <w:pPr>
        <w:pStyle w:val="B1"/>
      </w:pPr>
      <w:r>
        <w:rPr>
          <w:lang w:eastAsia="ko-KR"/>
        </w:rPr>
        <w:t>-</w:t>
      </w:r>
      <w:r>
        <w:rPr>
          <w:lang w:eastAsia="ko-KR"/>
        </w:rPr>
        <w:tab/>
      </w:r>
      <w:r w:rsidRPr="006237B3">
        <w:rPr>
          <w:lang w:eastAsia="ko-KR"/>
        </w:rPr>
        <w:t xml:space="preserve">is provided </w:t>
      </w:r>
      <w:r w:rsidRPr="006237B3">
        <w:rPr>
          <w:i/>
        </w:rPr>
        <w:t>coresetPoolIndex</w:t>
      </w:r>
      <w:r w:rsidRPr="006237B3">
        <w:t xml:space="preserve"> with a value of 1 for second CORESETs on active DL BWPs of the serving cells, and</w:t>
      </w:r>
    </w:p>
    <w:p w14:paraId="598A5636" w14:textId="3E0038B3" w:rsidR="00AB46A0" w:rsidRPr="006237B3" w:rsidRDefault="00AB46A0" w:rsidP="00AB46A0">
      <w:pPr>
        <w:pStyle w:val="B1"/>
      </w:pPr>
      <w:r>
        <w:rPr>
          <w:lang w:eastAsia="ko-KR"/>
        </w:rPr>
        <w:t>-</w:t>
      </w:r>
      <w:r>
        <w:rPr>
          <w:lang w:eastAsia="ko-KR"/>
        </w:rPr>
        <w:tab/>
      </w:r>
      <w:r w:rsidRPr="006237B3">
        <w:rPr>
          <w:lang w:eastAsia="ko-KR"/>
        </w:rPr>
        <w:t xml:space="preserve">is provided </w:t>
      </w:r>
      <w:r w:rsidRPr="006237B3">
        <w:rPr>
          <w:i/>
          <w:iCs/>
        </w:rPr>
        <w:t>ackNackFeedbackMode</w:t>
      </w:r>
      <w:r w:rsidRPr="006237B3">
        <w:t xml:space="preserve"> = </w:t>
      </w:r>
      <w:r w:rsidRPr="006237B3">
        <w:rPr>
          <w:i/>
          <w:iCs/>
        </w:rPr>
        <w:t>separate</w:t>
      </w:r>
    </w:p>
    <w:p w14:paraId="2B1A4CD4" w14:textId="77777777" w:rsidR="00AB46A0" w:rsidRPr="006237B3" w:rsidRDefault="00AB46A0" w:rsidP="00AB46A0">
      <w:r w:rsidRPr="006237B3">
        <w:t xml:space="preserve">the first HARQ-ACK codebook is associated with the first CORESETs or with the second CORESETs, as described in clause 9, when the UE receives the PDCCH providing the DCI format in a CORESET from the first CORESETs or from the second CORESETs, respectively. </w:t>
      </w:r>
    </w:p>
    <w:p w14:paraId="3C3A5EB3" w14:textId="75EF9128" w:rsidR="00C03BE1" w:rsidRPr="00647C89" w:rsidRDefault="002E15FB" w:rsidP="00C03BE1">
      <w:pPr>
        <w:rPr>
          <w:lang w:eastAsia="zh-CN"/>
        </w:rPr>
      </w:pPr>
      <w:r w:rsidRPr="00111FF6">
        <w:rPr>
          <w:lang w:eastAsia="zh-CN"/>
        </w:rPr>
        <w:t xml:space="preserve">If the UE would also multiplex in the PUCCH transmission in slot </w:t>
      </w:r>
      <m:oMath>
        <m:r>
          <w:rPr>
            <w:rFonts w:ascii="Cambria Math" w:hAnsi="Cambria Math"/>
            <w:lang w:eastAsia="zh-CN"/>
          </w:rPr>
          <m:t>n+k</m:t>
        </m:r>
      </m:oMath>
      <w:r w:rsidRPr="00111FF6">
        <w:rPr>
          <w:lang w:eastAsia="zh-CN"/>
        </w:rPr>
        <w:t xml:space="preserve"> a second HARQ-ACK codebook </w:t>
      </w:r>
      <w:r>
        <w:rPr>
          <w:lang w:eastAsia="zh-CN"/>
        </w:rPr>
        <w:t xml:space="preserve">with </w:t>
      </w:r>
      <w:r w:rsidR="00C03BE1" w:rsidRPr="00647C89">
        <w:rPr>
          <w:lang w:eastAsia="zh-CN"/>
        </w:rPr>
        <w:t xml:space="preserve">second </w:t>
      </w:r>
      <w:r>
        <w:rPr>
          <w:lang w:eastAsia="zh-CN"/>
        </w:rPr>
        <w:t xml:space="preserve">HARQ-ACK information </w:t>
      </w:r>
      <w:r w:rsidRPr="00111FF6">
        <w:rPr>
          <w:lang w:eastAsia="zh-CN"/>
        </w:rPr>
        <w:t xml:space="preserve">of same </w:t>
      </w:r>
      <w:r>
        <w:rPr>
          <w:lang w:eastAsia="zh-CN"/>
        </w:rPr>
        <w:t>priority value</w:t>
      </w:r>
      <w:r w:rsidRPr="00111FF6">
        <w:rPr>
          <w:lang w:eastAsia="zh-CN"/>
        </w:rPr>
        <w:t xml:space="preserve"> as </w:t>
      </w:r>
      <w:r>
        <w:rPr>
          <w:lang w:eastAsia="zh-CN"/>
        </w:rPr>
        <w:t xml:space="preserve">for the first HARQ-ACK information in </w:t>
      </w:r>
      <w:r w:rsidRPr="00111FF6">
        <w:rPr>
          <w:lang w:eastAsia="zh-CN"/>
        </w:rPr>
        <w:t xml:space="preserve">the first HARQ-ACK codebook, the UE appends the first HARQ-ACK codebook to the second HARQ-ACK codebook. The UE determines to multiplex the second HARQ-ACK information in the PUCCH transmission in slot </w:t>
      </w:r>
      <m:oMath>
        <m:r>
          <w:rPr>
            <w:rFonts w:ascii="Cambria Math" w:hAnsi="Cambria Math"/>
            <w:lang w:eastAsia="zh-CN"/>
          </w:rPr>
          <m:t>n+k</m:t>
        </m:r>
      </m:oMath>
      <w:r w:rsidRPr="00111FF6">
        <w:rPr>
          <w:lang w:eastAsia="zh-CN"/>
        </w:rPr>
        <w:t xml:space="preserve"> as described in clause 9.2.3.</w:t>
      </w:r>
      <w:r w:rsidR="00787B4D">
        <w:rPr>
          <w:lang w:eastAsia="zh-CN"/>
        </w:rPr>
        <w:t xml:space="preserve"> </w:t>
      </w:r>
      <m:oMath>
        <m:sSub>
          <m:sSubPr>
            <m:ctrlPr>
              <w:rPr>
                <w:rFonts w:ascii="Cambria Math" w:hAnsi="Cambria Math"/>
                <w:i/>
              </w:rPr>
            </m:ctrlPr>
          </m:sSubPr>
          <m:e>
            <m:r>
              <w:rPr>
                <w:rFonts w:ascii="Cambria Math" w:hAnsi="Cambria Math"/>
              </w:rPr>
              <m:t>O</m:t>
            </m:r>
          </m:e>
          <m:sub>
            <m:r>
              <m:rPr>
                <m:sty m:val="p"/>
              </m:rPr>
              <w:rPr>
                <w:rFonts w:ascii="Cambria Math" w:hAnsi="Cambria Math"/>
              </w:rPr>
              <m:t>ACK</m:t>
            </m:r>
          </m:sub>
        </m:sSub>
      </m:oMath>
      <w:r w:rsidR="00787B4D" w:rsidRPr="000D4C92">
        <w:rPr>
          <w:rFonts w:hint="eastAsia"/>
        </w:rPr>
        <w:t xml:space="preserve"> is the total number of the </w:t>
      </w:r>
      <w:r w:rsidR="00787B4D" w:rsidRPr="00437CA3">
        <w:t xml:space="preserve">first HARQ-ACK information </w:t>
      </w:r>
      <w:r w:rsidR="00787B4D" w:rsidRPr="00437CA3">
        <w:rPr>
          <w:rFonts w:hint="eastAsia"/>
        </w:rPr>
        <w:t xml:space="preserve">bits and the </w:t>
      </w:r>
      <w:r w:rsidR="00787B4D" w:rsidRPr="00437CA3">
        <w:t>second HARQ-ACK information</w:t>
      </w:r>
      <w:r w:rsidR="00787B4D" w:rsidRPr="00437CA3">
        <w:rPr>
          <w:rFonts w:hint="eastAsia"/>
        </w:rPr>
        <w:t xml:space="preserve"> bits</w:t>
      </w:r>
      <w:r w:rsidR="00787B4D" w:rsidRPr="00B60C2E">
        <w:t xml:space="preserve"> if any</w:t>
      </w:r>
      <w:r w:rsidR="00787B4D" w:rsidRPr="00437CA3">
        <w:rPr>
          <w:rFonts w:hint="eastAsia"/>
        </w:rPr>
        <w:t>.</w:t>
      </w:r>
    </w:p>
    <w:p w14:paraId="264FC3A8" w14:textId="3FE30537" w:rsidR="00C03BE1" w:rsidRPr="00647C89" w:rsidRDefault="00C03BE1" w:rsidP="00C03BE1">
      <w:pPr>
        <w:rPr>
          <w:lang w:eastAsia="zh-CN"/>
        </w:rPr>
      </w:pPr>
      <w:r w:rsidRPr="00647C89">
        <w:rPr>
          <w:lang w:eastAsia="zh-CN"/>
        </w:rPr>
        <w:t xml:space="preserve">If the UE performs a </w:t>
      </w:r>
      <w:r w:rsidRPr="00647C89">
        <w:t xml:space="preserve">procedure for deferring </w:t>
      </w:r>
      <w:r w:rsidR="00787B4D">
        <w:t>third</w:t>
      </w:r>
      <w:r w:rsidRPr="00647C89">
        <w:t xml:space="preserve"> HARQ-ACK information for SPS PDSCH receptions</w:t>
      </w:r>
      <w:r w:rsidR="0056586A">
        <w:rPr>
          <w:rFonts w:hint="eastAsia"/>
          <w:lang w:eastAsia="zh-CN"/>
        </w:rPr>
        <w:t xml:space="preserve"> to slot </w:t>
      </w:r>
      <m:oMath>
        <m:r>
          <w:rPr>
            <w:rFonts w:ascii="Cambria Math" w:hAnsi="Cambria Math"/>
            <w:lang w:eastAsia="zh-CN"/>
          </w:rPr>
          <m:t>n+k</m:t>
        </m:r>
      </m:oMath>
      <w:r w:rsidRPr="00647C89">
        <w:t xml:space="preserve">, as described in clause 9.2.5.4, and the </w:t>
      </w:r>
      <w:r w:rsidR="00787B4D">
        <w:t>third</w:t>
      </w:r>
      <w:r w:rsidRPr="00647C89">
        <w:t xml:space="preserve"> </w:t>
      </w:r>
      <w:r w:rsidRPr="00647C89">
        <w:rPr>
          <w:lang w:eastAsia="zh-CN"/>
        </w:rPr>
        <w:t xml:space="preserve">HARQ-ACK information has same priority value as a priority value indicated by the DCI format triggering the PUCCH transmission in slot </w:t>
      </w:r>
      <m:oMath>
        <m:r>
          <w:rPr>
            <w:rFonts w:ascii="Cambria Math" w:hAnsi="Cambria Math"/>
            <w:lang w:eastAsia="zh-CN"/>
          </w:rPr>
          <m:t>n+k</m:t>
        </m:r>
      </m:oMath>
      <w:r w:rsidRPr="00647C89">
        <w:rPr>
          <w:lang w:eastAsia="zh-CN"/>
        </w:rPr>
        <w:t>,</w:t>
      </w:r>
      <w:r w:rsidRPr="00647C89">
        <w:t xml:space="preserve"> the UE </w:t>
      </w:r>
      <w:r w:rsidRPr="00647C89">
        <w:rPr>
          <w:lang w:eastAsia="zh-CN"/>
        </w:rPr>
        <w:t xml:space="preserve">multiplexes in the PUCCH transmission in slot </w:t>
      </w:r>
      <m:oMath>
        <m:r>
          <w:rPr>
            <w:rFonts w:ascii="Cambria Math" w:hAnsi="Cambria Math"/>
            <w:lang w:eastAsia="zh-CN"/>
          </w:rPr>
          <m:t>n+k</m:t>
        </m:r>
      </m:oMath>
      <w:r w:rsidRPr="00647C89">
        <w:rPr>
          <w:lang w:eastAsia="zh-CN"/>
        </w:rPr>
        <w:t xml:space="preserve"> </w:t>
      </w:r>
      <w:r w:rsidR="00787B4D">
        <w:rPr>
          <w:lang w:eastAsia="zh-CN"/>
        </w:rPr>
        <w:t>the first</w:t>
      </w:r>
      <w:r w:rsidRPr="00647C89">
        <w:rPr>
          <w:lang w:eastAsia="zh-CN"/>
        </w:rPr>
        <w:t xml:space="preserve"> HARQ-ACK information with the priority value that results in slot </w:t>
      </w:r>
      <m:oMath>
        <m:r>
          <w:rPr>
            <w:rFonts w:ascii="Cambria Math" w:hAnsi="Cambria Math"/>
            <w:lang w:eastAsia="zh-CN"/>
          </w:rPr>
          <m:t>n+k</m:t>
        </m:r>
      </m:oMath>
      <w:r w:rsidRPr="00647C89">
        <w:rPr>
          <w:lang w:eastAsia="zh-CN"/>
        </w:rPr>
        <w:t xml:space="preserve"> according to the procedure</w:t>
      </w:r>
      <w:r w:rsidRPr="003309BD">
        <w:rPr>
          <w:lang w:eastAsia="zh-CN"/>
        </w:rPr>
        <w:t xml:space="preserve"> in this clause, by appending the </w:t>
      </w:r>
      <w:r w:rsidR="00787B4D">
        <w:rPr>
          <w:lang w:eastAsia="zh-CN"/>
        </w:rPr>
        <w:t>third</w:t>
      </w:r>
      <w:r w:rsidRPr="003309BD">
        <w:rPr>
          <w:lang w:eastAsia="zh-CN"/>
        </w:rPr>
        <w:t xml:space="preserve"> HARQ-ACK information to the </w:t>
      </w:r>
      <w:r w:rsidR="00787B4D">
        <w:rPr>
          <w:lang w:eastAsia="zh-CN"/>
        </w:rPr>
        <w:t>first</w:t>
      </w:r>
      <w:r w:rsidRPr="003309BD">
        <w:rPr>
          <w:lang w:eastAsia="zh-CN"/>
        </w:rPr>
        <w:t xml:space="preserve"> HARQ-ACK information</w:t>
      </w:r>
      <w:r w:rsidRPr="00647C89">
        <w:rPr>
          <w:lang w:eastAsia="zh-CN"/>
        </w:rPr>
        <w:t xml:space="preserve">. If the UE would also multiplex in the PUCCH transmission in slot </w:t>
      </w:r>
      <m:oMath>
        <m:r>
          <w:rPr>
            <w:rFonts w:ascii="Cambria Math" w:hAnsi="Cambria Math"/>
            <w:lang w:eastAsia="zh-CN"/>
          </w:rPr>
          <m:t>n+k</m:t>
        </m:r>
      </m:oMath>
      <w:r w:rsidRPr="00647C89">
        <w:rPr>
          <w:lang w:eastAsia="zh-CN"/>
        </w:rPr>
        <w:t xml:space="preserve"> </w:t>
      </w:r>
      <w:r w:rsidR="00787B4D">
        <w:rPr>
          <w:lang w:eastAsia="zh-CN"/>
        </w:rPr>
        <w:t>the second</w:t>
      </w:r>
      <w:r w:rsidRPr="00647C89">
        <w:rPr>
          <w:lang w:eastAsia="zh-CN"/>
        </w:rPr>
        <w:t xml:space="preserve"> HARQ-ACK information with the priority value, the UE appends the </w:t>
      </w:r>
      <w:r w:rsidR="00787B4D">
        <w:rPr>
          <w:lang w:eastAsia="zh-CN"/>
        </w:rPr>
        <w:t>first</w:t>
      </w:r>
      <w:r w:rsidRPr="00647C89">
        <w:rPr>
          <w:lang w:eastAsia="zh-CN"/>
        </w:rPr>
        <w:t xml:space="preserve"> HARQ-ACK information </w:t>
      </w:r>
      <w:r w:rsidRPr="003309BD">
        <w:rPr>
          <w:lang w:eastAsia="zh-CN"/>
        </w:rPr>
        <w:t xml:space="preserve">followed by the </w:t>
      </w:r>
      <w:r w:rsidR="00787B4D">
        <w:rPr>
          <w:lang w:eastAsia="zh-CN"/>
        </w:rPr>
        <w:t>third</w:t>
      </w:r>
      <w:r w:rsidRPr="003309BD">
        <w:rPr>
          <w:lang w:eastAsia="zh-CN"/>
        </w:rPr>
        <w:t xml:space="preserve"> HARQ-ACK information</w:t>
      </w:r>
      <w:r w:rsidRPr="00647C89">
        <w:rPr>
          <w:lang w:eastAsia="zh-CN"/>
        </w:rPr>
        <w:t xml:space="preserve"> to the </w:t>
      </w:r>
      <w:r w:rsidR="00787B4D">
        <w:rPr>
          <w:lang w:eastAsia="zh-CN"/>
        </w:rPr>
        <w:t>second</w:t>
      </w:r>
      <w:r w:rsidRPr="00647C89">
        <w:rPr>
          <w:lang w:eastAsia="zh-CN"/>
        </w:rPr>
        <w:t xml:space="preserve"> HARQ-ACK information. </w:t>
      </w:r>
      <m:oMath>
        <m:sSub>
          <m:sSubPr>
            <m:ctrlPr>
              <w:rPr>
                <w:rFonts w:ascii="Cambria Math" w:hAnsi="Cambria Math"/>
                <w:i/>
              </w:rPr>
            </m:ctrlPr>
          </m:sSubPr>
          <m:e>
            <m:r>
              <w:rPr>
                <w:rFonts w:ascii="Cambria Math" w:hAnsi="Cambria Math"/>
              </w:rPr>
              <m:t>O</m:t>
            </m:r>
          </m:e>
          <m:sub>
            <m:r>
              <m:rPr>
                <m:sty m:val="p"/>
              </m:rPr>
              <w:rPr>
                <w:rFonts w:ascii="Cambria Math" w:hAnsi="Cambria Math"/>
              </w:rPr>
              <m:t>ACK</m:t>
            </m:r>
          </m:sub>
        </m:sSub>
      </m:oMath>
      <w:r w:rsidR="00787B4D" w:rsidRPr="00B60C2E">
        <w:rPr>
          <w:rFonts w:hint="eastAsia"/>
        </w:rPr>
        <w:t xml:space="preserve"> is </w:t>
      </w:r>
      <w:r w:rsidR="00787B4D" w:rsidRPr="00B60C2E">
        <w:rPr>
          <w:rFonts w:ascii="Times" w:hAnsi="Times" w:hint="eastAsia"/>
          <w:szCs w:val="24"/>
        </w:rPr>
        <w:t>the</w:t>
      </w:r>
      <w:r w:rsidR="00787B4D" w:rsidRPr="00B60C2E">
        <w:rPr>
          <w:rFonts w:hint="eastAsia"/>
        </w:rPr>
        <w:t xml:space="preserve"> total number of the </w:t>
      </w:r>
      <w:r w:rsidR="00787B4D" w:rsidRPr="00B60C2E">
        <w:t xml:space="preserve">first HARQ-ACK information </w:t>
      </w:r>
      <w:r w:rsidR="00787B4D" w:rsidRPr="00B60C2E">
        <w:rPr>
          <w:rFonts w:hint="eastAsia"/>
        </w:rPr>
        <w:t xml:space="preserve">bits, the </w:t>
      </w:r>
      <w:r w:rsidR="00787B4D" w:rsidRPr="00B60C2E">
        <w:t>second HARQ-ACK information</w:t>
      </w:r>
      <w:r w:rsidR="00787B4D" w:rsidRPr="00B60C2E">
        <w:rPr>
          <w:rFonts w:hint="eastAsia"/>
        </w:rPr>
        <w:t xml:space="preserve"> bits</w:t>
      </w:r>
      <w:r w:rsidR="00787B4D" w:rsidRPr="00B60C2E">
        <w:rPr>
          <w:rFonts w:hint="eastAsia"/>
          <w:lang w:eastAsia="zh-CN"/>
        </w:rPr>
        <w:t xml:space="preserve"> if any</w:t>
      </w:r>
      <w:r w:rsidR="00787B4D" w:rsidRPr="00B60C2E">
        <w:rPr>
          <w:rFonts w:hint="eastAsia"/>
        </w:rPr>
        <w:t xml:space="preserve"> and the third HARQ-ACK information bits</w:t>
      </w:r>
      <w:r w:rsidR="00787B4D" w:rsidRPr="00B60C2E">
        <w:rPr>
          <w:rFonts w:hint="eastAsia"/>
          <w:lang w:eastAsia="zh-CN"/>
        </w:rPr>
        <w:t xml:space="preserve"> if any</w:t>
      </w:r>
      <w:r w:rsidRPr="00647C89">
        <w:rPr>
          <w:lang w:eastAsia="zh-CN"/>
        </w:rPr>
        <w:t>.</w:t>
      </w:r>
    </w:p>
    <w:p w14:paraId="5D11DA92" w14:textId="77777777" w:rsidR="00C03BE1" w:rsidRPr="00647C89" w:rsidRDefault="00C03BE1" w:rsidP="00C03BE1">
      <w:pPr>
        <w:rPr>
          <w:lang w:eastAsia="zh-CN"/>
        </w:rPr>
      </w:pPr>
      <w:r w:rsidRPr="00647C89">
        <w:rPr>
          <w:lang w:eastAsia="zh-CN"/>
        </w:rPr>
        <w:t xml:space="preserve">If in slot </w:t>
      </w:r>
      <m:oMath>
        <m:r>
          <w:rPr>
            <w:rFonts w:ascii="Cambria Math" w:hAnsi="Cambria Math"/>
            <w:lang w:eastAsia="zh-CN"/>
          </w:rPr>
          <m:t>m</m:t>
        </m:r>
      </m:oMath>
      <w:r w:rsidRPr="00647C89">
        <w:rPr>
          <w:lang w:eastAsia="zh-CN"/>
        </w:rPr>
        <w:t xml:space="preserve"> the UE </w:t>
      </w:r>
      <w:r w:rsidRPr="00647C89">
        <w:rPr>
          <w:lang w:val="en-US"/>
        </w:rPr>
        <w:t>would transmit a first PUCCH with first HARQ-ACK information over more than one slot and a second PUCCH with second HARQ-ACK information over one or more slots, where the first and second HARQ-ACK information have same priority value, the UE</w:t>
      </w:r>
      <w:r w:rsidRPr="00647C89">
        <w:rPr>
          <w:lang w:eastAsia="zh-CN"/>
        </w:rPr>
        <w:t xml:space="preserve"> multiplexes in the PUCCH transmission in slot </w:t>
      </w:r>
      <m:oMath>
        <m:r>
          <w:rPr>
            <w:rFonts w:ascii="Cambria Math" w:hAnsi="Cambria Math"/>
            <w:lang w:eastAsia="zh-CN"/>
          </w:rPr>
          <m:t>n+k</m:t>
        </m:r>
      </m:oMath>
      <w:r w:rsidRPr="00647C89">
        <w:rPr>
          <w:lang w:eastAsia="zh-CN"/>
        </w:rPr>
        <w:t xml:space="preserve"> one of</w:t>
      </w:r>
    </w:p>
    <w:p w14:paraId="10FB0B61" w14:textId="77777777" w:rsidR="00C03BE1" w:rsidRPr="00647C89" w:rsidRDefault="00C03BE1" w:rsidP="00C03BE1">
      <w:pPr>
        <w:pStyle w:val="B1"/>
        <w:rPr>
          <w:lang w:val="en-US" w:eastAsia="zh-CN"/>
        </w:rPr>
      </w:pPr>
      <w:r w:rsidRPr="00647C89">
        <w:t>-</w:t>
      </w:r>
      <w:r w:rsidRPr="00647C89">
        <w:tab/>
      </w:r>
      <w:r w:rsidRPr="00647C89">
        <w:rPr>
          <w:lang w:eastAsia="zh-CN"/>
        </w:rPr>
        <w:t xml:space="preserve">the first HARQ-ACK information if the </w:t>
      </w:r>
      <w:r w:rsidRPr="00647C89">
        <w:rPr>
          <w:lang w:val="en-US" w:eastAsia="zh-CN"/>
        </w:rPr>
        <w:t xml:space="preserve">first </w:t>
      </w:r>
      <w:r w:rsidRPr="00647C89">
        <w:rPr>
          <w:lang w:eastAsia="zh-CN"/>
        </w:rPr>
        <w:t xml:space="preserve">PUCCH </w:t>
      </w:r>
      <w:r w:rsidRPr="00647C89">
        <w:rPr>
          <w:lang w:val="en-US" w:eastAsia="zh-CN"/>
        </w:rPr>
        <w:t>starts at</w:t>
      </w:r>
      <w:r w:rsidRPr="00647C89">
        <w:rPr>
          <w:lang w:eastAsia="zh-CN"/>
        </w:rPr>
        <w:t xml:space="preserve"> </w:t>
      </w:r>
      <w:r w:rsidRPr="00647C89">
        <w:rPr>
          <w:lang w:val="en-US" w:eastAsia="zh-CN"/>
        </w:rPr>
        <w:t xml:space="preserve">an </w:t>
      </w:r>
      <w:r w:rsidRPr="00647C89">
        <w:rPr>
          <w:lang w:eastAsia="zh-CN"/>
        </w:rPr>
        <w:t>earlier</w:t>
      </w:r>
      <w:r w:rsidRPr="00647C89">
        <w:rPr>
          <w:lang w:val="en-US" w:eastAsia="zh-CN"/>
        </w:rPr>
        <w:t xml:space="preserve"> slot than the second PUCCH, or</w:t>
      </w:r>
    </w:p>
    <w:p w14:paraId="040798EA" w14:textId="4C79ED49" w:rsidR="000E5919" w:rsidRDefault="00C03BE1" w:rsidP="00C03BE1">
      <w:pPr>
        <w:pStyle w:val="B1"/>
        <w:rPr>
          <w:lang w:val="en-US" w:eastAsia="zh-CN"/>
        </w:rPr>
      </w:pPr>
      <w:r w:rsidRPr="00647C89">
        <w:lastRenderedPageBreak/>
        <w:t>-</w:t>
      </w:r>
      <w:r w:rsidRPr="00647C89">
        <w:tab/>
      </w:r>
      <w:r w:rsidRPr="00647C89">
        <w:rPr>
          <w:lang w:eastAsia="zh-CN"/>
        </w:rPr>
        <w:t xml:space="preserve">the </w:t>
      </w:r>
      <w:r w:rsidRPr="00647C89">
        <w:rPr>
          <w:lang w:val="en-US" w:eastAsia="zh-CN"/>
        </w:rPr>
        <w:t>second</w:t>
      </w:r>
      <w:r w:rsidRPr="00647C89">
        <w:rPr>
          <w:lang w:eastAsia="zh-CN"/>
        </w:rPr>
        <w:t xml:space="preserve"> HARQ-ACK information if </w:t>
      </w:r>
      <w:r w:rsidRPr="00647C89">
        <w:rPr>
          <w:lang w:val="en-US" w:eastAsia="zh-CN"/>
        </w:rPr>
        <w:t xml:space="preserve">the second </w:t>
      </w:r>
      <w:r w:rsidRPr="00647C89">
        <w:rPr>
          <w:lang w:eastAsia="zh-CN"/>
        </w:rPr>
        <w:t xml:space="preserve">PUCCH </w:t>
      </w:r>
      <w:r w:rsidRPr="00647C89">
        <w:rPr>
          <w:lang w:val="en-US" w:eastAsia="zh-CN"/>
        </w:rPr>
        <w:t>starts at</w:t>
      </w:r>
      <w:r w:rsidRPr="00647C89">
        <w:rPr>
          <w:lang w:eastAsia="zh-CN"/>
        </w:rPr>
        <w:t xml:space="preserve"> </w:t>
      </w:r>
      <w:r w:rsidRPr="00647C89">
        <w:rPr>
          <w:lang w:val="en-US" w:eastAsia="zh-CN"/>
        </w:rPr>
        <w:t xml:space="preserve">an </w:t>
      </w:r>
      <w:r w:rsidRPr="00647C89">
        <w:rPr>
          <w:lang w:eastAsia="zh-CN"/>
        </w:rPr>
        <w:t>earlier</w:t>
      </w:r>
      <w:r w:rsidRPr="00647C89">
        <w:rPr>
          <w:lang w:val="en-US" w:eastAsia="zh-CN"/>
        </w:rPr>
        <w:t xml:space="preserve"> slot than the first PUCCH</w:t>
      </w:r>
      <w:r>
        <w:rPr>
          <w:lang w:val="en-US" w:eastAsia="zh-CN"/>
        </w:rPr>
        <w:t>.</w:t>
      </w:r>
    </w:p>
    <w:p w14:paraId="54F51E63" w14:textId="77777777" w:rsidR="00787B4D" w:rsidRPr="00787B4D" w:rsidRDefault="00787B4D" w:rsidP="00787B4D">
      <w:r w:rsidRPr="00787B4D">
        <w:t xml:space="preserve">If </w:t>
      </w:r>
      <m:oMath>
        <m:sSub>
          <m:sSubPr>
            <m:ctrlPr>
              <w:rPr>
                <w:rFonts w:ascii="Cambria Math" w:hAnsi="Cambria Math"/>
                <w:i/>
              </w:rPr>
            </m:ctrlPr>
          </m:sSubPr>
          <m:e>
            <m:r>
              <w:rPr>
                <w:rFonts w:ascii="Cambria Math" w:hAnsi="Cambria Math"/>
              </w:rPr>
              <m:t>O</m:t>
            </m:r>
          </m:e>
          <m:sub>
            <m:r>
              <m:rPr>
                <m:sty m:val="p"/>
              </m:rPr>
              <w:rPr>
                <w:rFonts w:ascii="Cambria Math" w:hAnsi="Cambria Math"/>
              </w:rPr>
              <m:t>ACK</m:t>
            </m:r>
          </m:sub>
        </m:sSub>
        <m:r>
          <w:rPr>
            <w:rFonts w:ascii="Cambria Math" w:hAnsi="Cambria Math"/>
          </w:rPr>
          <m:t>+</m:t>
        </m:r>
        <m:sSub>
          <m:sSubPr>
            <m:ctrlPr>
              <w:rPr>
                <w:rFonts w:ascii="Cambria Math" w:hAnsi="Cambria Math"/>
                <w:i/>
              </w:rPr>
            </m:ctrlPr>
          </m:sSubPr>
          <m:e>
            <m:r>
              <w:rPr>
                <w:rFonts w:ascii="Cambria Math" w:hAnsi="Cambria Math"/>
              </w:rPr>
              <m:t>O</m:t>
            </m:r>
          </m:e>
          <m:sub>
            <m:r>
              <m:rPr>
                <m:sty m:val="p"/>
              </m:rPr>
              <w:rPr>
                <w:rFonts w:ascii="Cambria Math" w:hAnsi="Cambria Math"/>
              </w:rPr>
              <m:t>SR</m:t>
            </m:r>
          </m:sub>
        </m:sSub>
        <m:r>
          <w:rPr>
            <w:rFonts w:ascii="Cambria Math" w:hAnsi="Cambria Math"/>
          </w:rPr>
          <m:t>+</m:t>
        </m:r>
        <m:sSub>
          <m:sSubPr>
            <m:ctrlPr>
              <w:rPr>
                <w:rFonts w:ascii="Cambria Math" w:hAnsi="Cambria Math"/>
                <w:i/>
              </w:rPr>
            </m:ctrlPr>
          </m:sSubPr>
          <m:e>
            <m:r>
              <w:rPr>
                <w:rFonts w:ascii="Cambria Math" w:hAnsi="Cambria Math"/>
              </w:rPr>
              <m:t>O</m:t>
            </m:r>
          </m:e>
          <m:sub>
            <m:r>
              <m:rPr>
                <m:sty m:val="p"/>
              </m:rPr>
              <w:rPr>
                <w:rFonts w:ascii="Cambria Math" w:hAnsi="Cambria Math"/>
              </w:rPr>
              <m:t>CSI</m:t>
            </m:r>
          </m:sub>
        </m:sSub>
        <m:r>
          <w:rPr>
            <w:rFonts w:ascii="Cambria Math" w:hAnsi="Cambria Math"/>
          </w:rPr>
          <m:t>≤11</m:t>
        </m:r>
      </m:oMath>
      <w:r w:rsidRPr="00787B4D">
        <w:t xml:space="preserve">, the UE determines a number of HARQ-ACK information bits for obtaining a transmission power for a PUCCH, as described in clause 7.2.1, as </w:t>
      </w:r>
      <m:oMath>
        <m:sSub>
          <m:sSubPr>
            <m:ctrlPr>
              <w:rPr>
                <w:rFonts w:ascii="Cambria Math" w:hAnsi="Cambria Math"/>
                <w:i/>
              </w:rPr>
            </m:ctrlPr>
          </m:sSubPr>
          <m:e>
            <m:r>
              <w:rPr>
                <w:rFonts w:ascii="Cambria Math" w:hAnsi="Cambria Math"/>
              </w:rPr>
              <m:t>n</m:t>
            </m:r>
          </m:e>
          <m:sub>
            <m:r>
              <m:rPr>
                <m:sty m:val="p"/>
              </m:rPr>
              <w:rPr>
                <w:rFonts w:ascii="Cambria Math" w:hAnsi="Cambria Math"/>
              </w:rPr>
              <m:t>HARQ-ACK</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m:rPr>
                <m:sty m:val="p"/>
              </m:rPr>
              <w:rPr>
                <w:rFonts w:ascii="Cambria Math" w:hAnsi="Cambria Math"/>
              </w:rPr>
              <m:t>HARQ-ACK,0</m:t>
            </m:r>
          </m:sub>
        </m:sSub>
        <m:r>
          <w:rPr>
            <w:rFonts w:ascii="Cambria Math" w:hAnsi="Cambria Math"/>
          </w:rPr>
          <m:t>+</m:t>
        </m:r>
        <m:sSub>
          <m:sSubPr>
            <m:ctrlPr>
              <w:rPr>
                <w:rFonts w:ascii="Cambria Math" w:hAnsi="Cambria Math"/>
                <w:i/>
              </w:rPr>
            </m:ctrlPr>
          </m:sSubPr>
          <m:e>
            <m:r>
              <w:rPr>
                <w:rFonts w:ascii="Cambria Math" w:hAnsi="Cambria Math"/>
              </w:rPr>
              <m:t>n</m:t>
            </m:r>
          </m:e>
          <m:sub>
            <m:r>
              <m:rPr>
                <m:sty m:val="p"/>
              </m:rPr>
              <w:rPr>
                <w:rFonts w:ascii="Cambria Math" w:hAnsi="Cambria Math"/>
              </w:rPr>
              <m:t>HARQ-ACK,1</m:t>
            </m:r>
          </m:sub>
        </m:sSub>
        <m:r>
          <w:rPr>
            <w:rFonts w:ascii="Cambria Math" w:hAnsi="Cambria Math"/>
          </w:rPr>
          <m:t>+</m:t>
        </m:r>
        <m:sSub>
          <m:sSubPr>
            <m:ctrlPr>
              <w:rPr>
                <w:rFonts w:ascii="Cambria Math" w:hAnsi="Cambria Math"/>
                <w:i/>
              </w:rPr>
            </m:ctrlPr>
          </m:sSubPr>
          <m:e>
            <m:r>
              <w:rPr>
                <w:rFonts w:ascii="Cambria Math" w:hAnsi="Cambria Math"/>
              </w:rPr>
              <m:t>n</m:t>
            </m:r>
          </m:e>
          <m:sub>
            <m:r>
              <m:rPr>
                <m:sty m:val="p"/>
              </m:rPr>
              <w:rPr>
                <w:rFonts w:ascii="Cambria Math" w:hAnsi="Cambria Math"/>
              </w:rPr>
              <m:t>HARQ-ACK,2</m:t>
            </m:r>
          </m:sub>
        </m:sSub>
      </m:oMath>
      <w:r w:rsidRPr="00787B4D">
        <w:t xml:space="preserve"> where </w:t>
      </w:r>
    </w:p>
    <w:p w14:paraId="5A9B8D56" w14:textId="7A33D4B8" w:rsidR="00787B4D" w:rsidRPr="00787B4D" w:rsidRDefault="00787B4D" w:rsidP="00787B4D">
      <w:pPr>
        <w:pStyle w:val="B1"/>
        <w:rPr>
          <w:lang w:eastAsia="zh-CN"/>
        </w:rPr>
      </w:pPr>
      <w:r w:rsidRPr="00787B4D">
        <w:rPr>
          <w:lang w:eastAsia="zh-CN"/>
        </w:rPr>
        <w:t>-</w:t>
      </w:r>
      <w:r w:rsidRPr="00787B4D">
        <w:rPr>
          <w:lang w:eastAsia="zh-CN"/>
        </w:rPr>
        <w:tab/>
      </w:r>
      <m:oMath>
        <m:sSub>
          <m:sSubPr>
            <m:ctrlPr>
              <w:rPr>
                <w:rFonts w:ascii="Cambria Math" w:hAnsi="Cambria Math"/>
                <w:i/>
              </w:rPr>
            </m:ctrlPr>
          </m:sSubPr>
          <m:e>
            <m:r>
              <w:rPr>
                <w:rFonts w:ascii="Cambria Math" w:hAnsi="Cambria Math"/>
              </w:rPr>
              <m:t>n</m:t>
            </m:r>
          </m:e>
          <m:sub>
            <m:r>
              <m:rPr>
                <m:sty m:val="p"/>
              </m:rPr>
              <w:rPr>
                <w:rFonts w:ascii="Cambria Math" w:hAnsi="Cambria Math"/>
              </w:rPr>
              <m:t>HARQ-ACK,0</m:t>
            </m:r>
          </m:sub>
        </m:sSub>
      </m:oMath>
      <w:r w:rsidRPr="00787B4D">
        <w:rPr>
          <w:lang w:eastAsia="zh-CN"/>
        </w:rPr>
        <w:t xml:space="preserve"> </w:t>
      </w:r>
      <w:r w:rsidRPr="00787B4D">
        <w:t xml:space="preserve">is </w:t>
      </w:r>
      <w:r w:rsidRPr="00787B4D">
        <w:rPr>
          <w:rFonts w:ascii="Times" w:hAnsi="Times" w:hint="eastAsia"/>
          <w:szCs w:val="24"/>
        </w:rPr>
        <w:t>the</w:t>
      </w:r>
      <w:r w:rsidRPr="00787B4D">
        <w:rPr>
          <w:rFonts w:hint="eastAsia"/>
          <w:lang w:eastAsia="zh-CN"/>
        </w:rPr>
        <w:t xml:space="preserve"> </w:t>
      </w:r>
      <w:r w:rsidRPr="00787B4D">
        <w:t>number of HARQ-ACK information bits that the UE determines as described in clause 9.1.</w:t>
      </w:r>
      <w:r w:rsidRPr="00787B4D">
        <w:rPr>
          <w:rFonts w:hint="eastAsia"/>
        </w:rPr>
        <w:t>2</w:t>
      </w:r>
      <w:r w:rsidRPr="00787B4D">
        <w:t>.1</w:t>
      </w:r>
      <w:r w:rsidRPr="00787B4D">
        <w:rPr>
          <w:rFonts w:hint="eastAsia"/>
        </w:rPr>
        <w:t xml:space="preserve"> or 9.1.3.1 for the </w:t>
      </w:r>
      <w:r w:rsidRPr="00787B4D">
        <w:rPr>
          <w:rFonts w:hint="eastAsia"/>
          <w:lang w:eastAsia="zh-CN"/>
        </w:rPr>
        <w:t xml:space="preserve">first </w:t>
      </w:r>
      <w:r w:rsidRPr="00787B4D">
        <w:rPr>
          <w:rFonts w:hint="eastAsia"/>
        </w:rPr>
        <w:t>HARQ-ACK</w:t>
      </w:r>
      <w:r w:rsidRPr="00787B4D">
        <w:rPr>
          <w:rFonts w:hint="eastAsia"/>
          <w:lang w:eastAsia="zh-CN"/>
        </w:rPr>
        <w:t xml:space="preserve"> information bits</w:t>
      </w:r>
      <w:r>
        <w:rPr>
          <w:lang w:eastAsia="zh-CN"/>
        </w:rPr>
        <w:t>,</w:t>
      </w:r>
    </w:p>
    <w:p w14:paraId="1C8A0020" w14:textId="5E854B0D" w:rsidR="00787B4D" w:rsidRPr="00787B4D" w:rsidRDefault="00787B4D" w:rsidP="00787B4D">
      <w:pPr>
        <w:pStyle w:val="B1"/>
      </w:pPr>
      <w:r w:rsidRPr="00787B4D">
        <w:t>-</w:t>
      </w:r>
      <w:r w:rsidRPr="00787B4D">
        <w:tab/>
      </w:r>
      <m:oMath>
        <m:sSub>
          <m:sSubPr>
            <m:ctrlPr>
              <w:rPr>
                <w:rFonts w:ascii="Cambria Math" w:hAnsi="Cambria Math"/>
                <w:i/>
              </w:rPr>
            </m:ctrlPr>
          </m:sSubPr>
          <m:e>
            <m:r>
              <w:rPr>
                <w:rFonts w:ascii="Cambria Math" w:hAnsi="Cambria Math"/>
              </w:rPr>
              <m:t>n</m:t>
            </m:r>
          </m:e>
          <m:sub>
            <m:r>
              <m:rPr>
                <m:sty m:val="p"/>
              </m:rPr>
              <w:rPr>
                <w:rFonts w:ascii="Cambria Math" w:hAnsi="Cambria Math"/>
              </w:rPr>
              <m:t>HARQ-ACK,1</m:t>
            </m:r>
          </m:sub>
        </m:sSub>
      </m:oMath>
      <w:r w:rsidRPr="00787B4D">
        <w:t xml:space="preserve"> </w:t>
      </w:r>
      <w:r w:rsidRPr="00787B4D">
        <w:rPr>
          <w:rFonts w:hint="eastAsia"/>
        </w:rPr>
        <w:t xml:space="preserve">is </w:t>
      </w:r>
      <w:r w:rsidRPr="00787B4D">
        <w:rPr>
          <w:rFonts w:ascii="Times" w:hAnsi="Times" w:hint="eastAsia"/>
          <w:szCs w:val="24"/>
        </w:rPr>
        <w:t>the</w:t>
      </w:r>
      <w:r w:rsidRPr="00787B4D">
        <w:rPr>
          <w:rFonts w:hint="eastAsia"/>
          <w:lang w:eastAsia="zh-CN"/>
        </w:rPr>
        <w:t xml:space="preserve"> </w:t>
      </w:r>
      <w:r w:rsidRPr="00787B4D">
        <w:t>number of HARQ-ACK information bits</w:t>
      </w:r>
      <w:r w:rsidRPr="00787B4D">
        <w:rPr>
          <w:rFonts w:hint="eastAsia"/>
          <w:lang w:eastAsia="zh-CN"/>
        </w:rPr>
        <w:t>, if any,</w:t>
      </w:r>
      <w:r w:rsidRPr="00787B4D">
        <w:t xml:space="preserve"> that the UE determines as described in clause 9.1.</w:t>
      </w:r>
      <w:r w:rsidRPr="00787B4D">
        <w:rPr>
          <w:rFonts w:hint="eastAsia"/>
        </w:rPr>
        <w:t>2</w:t>
      </w:r>
      <w:r w:rsidRPr="00787B4D">
        <w:t>.1</w:t>
      </w:r>
      <w:r w:rsidRPr="00787B4D">
        <w:rPr>
          <w:rFonts w:hint="eastAsia"/>
        </w:rPr>
        <w:t xml:space="preserve"> or 9.1.3.1 for the </w:t>
      </w:r>
      <w:r w:rsidRPr="00787B4D">
        <w:t xml:space="preserve">second HARQ-ACK </w:t>
      </w:r>
      <w:r w:rsidRPr="00787B4D">
        <w:rPr>
          <w:rFonts w:hint="eastAsia"/>
          <w:lang w:eastAsia="zh-CN"/>
        </w:rPr>
        <w:t>information bits</w:t>
      </w:r>
      <w:r>
        <w:rPr>
          <w:lang w:eastAsia="zh-CN"/>
        </w:rPr>
        <w:t>,</w:t>
      </w:r>
    </w:p>
    <w:p w14:paraId="0D97B754" w14:textId="1A6D9F5D" w:rsidR="00787B4D" w:rsidRPr="00C03BE1" w:rsidRDefault="00787B4D" w:rsidP="00787B4D">
      <w:pPr>
        <w:pStyle w:val="B1"/>
        <w:rPr>
          <w:lang w:eastAsia="zh-CN"/>
        </w:rPr>
      </w:pPr>
      <w:r w:rsidRPr="00787B4D">
        <w:t>-</w:t>
      </w:r>
      <w:r w:rsidRPr="00787B4D">
        <w:tab/>
      </w:r>
      <m:oMath>
        <m:sSub>
          <m:sSubPr>
            <m:ctrlPr>
              <w:rPr>
                <w:rFonts w:ascii="Cambria Math" w:hAnsi="Cambria Math"/>
                <w:i/>
              </w:rPr>
            </m:ctrlPr>
          </m:sSubPr>
          <m:e>
            <m:r>
              <w:rPr>
                <w:rFonts w:ascii="Cambria Math" w:hAnsi="Cambria Math"/>
              </w:rPr>
              <m:t>n</m:t>
            </m:r>
          </m:e>
          <m:sub>
            <m:r>
              <m:rPr>
                <m:sty m:val="p"/>
              </m:rPr>
              <w:rPr>
                <w:rFonts w:ascii="Cambria Math" w:hAnsi="Cambria Math"/>
              </w:rPr>
              <m:t>HARQ-ACK,2</m:t>
            </m:r>
          </m:sub>
        </m:sSub>
      </m:oMath>
      <w:r w:rsidRPr="00787B4D">
        <w:t xml:space="preserve"> </w:t>
      </w:r>
      <w:r w:rsidRPr="00787B4D">
        <w:rPr>
          <w:rFonts w:hint="eastAsia"/>
        </w:rPr>
        <w:t xml:space="preserve">is </w:t>
      </w:r>
      <w:r w:rsidRPr="00787B4D">
        <w:rPr>
          <w:rFonts w:hint="eastAsia"/>
          <w:lang w:eastAsia="zh-CN"/>
        </w:rPr>
        <w:t xml:space="preserve">determined as </w:t>
      </w:r>
      <w:r w:rsidRPr="00787B4D">
        <w:t>described in clause 9.1.</w:t>
      </w:r>
      <w:r w:rsidRPr="00787B4D">
        <w:rPr>
          <w:rFonts w:hint="eastAsia"/>
        </w:rPr>
        <w:t>2</w:t>
      </w:r>
      <w:r w:rsidRPr="00787B4D">
        <w:t>.1</w:t>
      </w:r>
      <w:r w:rsidRPr="00787B4D">
        <w:rPr>
          <w:rFonts w:hint="eastAsia"/>
        </w:rPr>
        <w:t xml:space="preserve"> or 9.1.3.1</w:t>
      </w:r>
      <w:r w:rsidRPr="00787B4D">
        <w:rPr>
          <w:rFonts w:hint="eastAsia"/>
          <w:lang w:eastAsia="zh-CN"/>
        </w:rPr>
        <w:t xml:space="preserve"> for</w:t>
      </w:r>
      <w:r w:rsidRPr="00787B4D">
        <w:t xml:space="preserve"> </w:t>
      </w:r>
      <w:r w:rsidRPr="00787B4D">
        <w:rPr>
          <w:rFonts w:hint="eastAsia"/>
          <w:lang w:eastAsia="zh-CN"/>
        </w:rPr>
        <w:t xml:space="preserve">the third </w:t>
      </w:r>
      <w:r w:rsidRPr="00787B4D">
        <w:t xml:space="preserve">HARQ-ACK information </w:t>
      </w:r>
      <w:r w:rsidRPr="00787B4D">
        <w:rPr>
          <w:rFonts w:hint="eastAsia"/>
        </w:rPr>
        <w:t xml:space="preserve">bits for </w:t>
      </w:r>
      <w:r w:rsidRPr="00787B4D">
        <w:t>SPS PDSCH receptions</w:t>
      </w:r>
      <w:r w:rsidRPr="00787B4D">
        <w:rPr>
          <w:rFonts w:hint="eastAsia"/>
        </w:rPr>
        <w:t xml:space="preserve"> deferred to slot </w:t>
      </w:r>
      <m:oMath>
        <m:r>
          <w:rPr>
            <w:rFonts w:ascii="Cambria Math" w:hAnsi="Cambria Math"/>
          </w:rPr>
          <m:t>n</m:t>
        </m:r>
        <m:r>
          <m:rPr>
            <m:sty m:val="p"/>
          </m:rPr>
          <w:rPr>
            <w:rFonts w:ascii="Cambria Math" w:hAnsi="Cambria Math"/>
          </w:rPr>
          <m:t>+</m:t>
        </m:r>
        <m:r>
          <w:rPr>
            <w:rFonts w:ascii="Cambria Math" w:hAnsi="Cambria Math"/>
          </w:rPr>
          <m:t>k</m:t>
        </m:r>
      </m:oMath>
      <w:r w:rsidRPr="00787B4D">
        <w:t xml:space="preserve">, </w:t>
      </w:r>
      <w:r w:rsidRPr="00787B4D">
        <w:rPr>
          <w:rFonts w:hint="eastAsia"/>
          <w:lang w:eastAsia="zh-CN"/>
        </w:rPr>
        <w:t>if any</w:t>
      </w:r>
      <w:r>
        <w:rPr>
          <w:lang w:eastAsia="zh-CN"/>
        </w:rPr>
        <w:t>.</w:t>
      </w:r>
    </w:p>
    <w:p w14:paraId="5D7463C7" w14:textId="77777777" w:rsidR="004F4CBA" w:rsidRPr="00B916EC" w:rsidRDefault="008B1BCD" w:rsidP="008B1BCD">
      <w:pPr>
        <w:pStyle w:val="Heading2"/>
        <w:ind w:left="1136" w:hanging="1136"/>
      </w:pPr>
      <w:bookmarkStart w:id="519" w:name="_Ref496994961"/>
      <w:bookmarkStart w:id="520" w:name="_Toc12021475"/>
      <w:bookmarkStart w:id="521" w:name="_Toc20311587"/>
      <w:bookmarkStart w:id="522" w:name="_Toc26719412"/>
      <w:bookmarkStart w:id="523" w:name="_Toc29894847"/>
      <w:bookmarkStart w:id="524" w:name="_Toc29899146"/>
      <w:bookmarkStart w:id="525" w:name="_Toc29899564"/>
      <w:bookmarkStart w:id="526" w:name="_Toc29917301"/>
      <w:bookmarkStart w:id="527" w:name="_Toc36498175"/>
      <w:bookmarkStart w:id="528" w:name="_Toc45699201"/>
      <w:bookmarkStart w:id="529" w:name="_Toc161999128"/>
      <w:r w:rsidRPr="00B916EC">
        <w:t>9.2</w:t>
      </w:r>
      <w:r w:rsidRPr="00B916EC">
        <w:rPr>
          <w:rFonts w:hint="eastAsia"/>
        </w:rPr>
        <w:tab/>
      </w:r>
      <w:r w:rsidRPr="00B916EC">
        <w:t>UCI reporting in physical uplink control channel</w:t>
      </w:r>
      <w:bookmarkEnd w:id="519"/>
      <w:bookmarkEnd w:id="520"/>
      <w:bookmarkEnd w:id="521"/>
      <w:bookmarkEnd w:id="522"/>
      <w:bookmarkEnd w:id="523"/>
      <w:bookmarkEnd w:id="524"/>
      <w:bookmarkEnd w:id="525"/>
      <w:bookmarkEnd w:id="526"/>
      <w:bookmarkEnd w:id="527"/>
      <w:bookmarkEnd w:id="528"/>
      <w:bookmarkEnd w:id="529"/>
    </w:p>
    <w:p w14:paraId="5524C4A0" w14:textId="586184B7" w:rsidR="00C84B1F" w:rsidRDefault="00DB4D0F" w:rsidP="00C84B1F">
      <w:r w:rsidRPr="00B916EC">
        <w:t>UCI types reported in a PUCCH include HARQ-ACK</w:t>
      </w:r>
      <w:r w:rsidR="0038590B">
        <w:t xml:space="preserve"> information</w:t>
      </w:r>
      <w:r w:rsidRPr="00B916EC">
        <w:t xml:space="preserve">, </w:t>
      </w:r>
      <w:r w:rsidR="00495702" w:rsidRPr="00B916EC">
        <w:t xml:space="preserve">SR, </w:t>
      </w:r>
      <w:r w:rsidR="00C47765">
        <w:t xml:space="preserve">LRR, </w:t>
      </w:r>
      <w:r w:rsidR="00495702" w:rsidRPr="00B916EC">
        <w:t xml:space="preserve">and </w:t>
      </w:r>
      <w:r w:rsidRPr="00B916EC">
        <w:t>CSI.</w:t>
      </w:r>
      <w:r w:rsidR="00495702" w:rsidRPr="00B916EC">
        <w:t xml:space="preserve"> UCI bits include HARQ-ACK information bits, if any, SR information bit</w:t>
      </w:r>
      <w:r w:rsidR="00FA4EB6">
        <w:t>s</w:t>
      </w:r>
      <w:r w:rsidR="00495702" w:rsidRPr="00B916EC">
        <w:t xml:space="preserve">, if any, </w:t>
      </w:r>
      <w:r w:rsidR="00C47765">
        <w:t xml:space="preserve">LRR information bit, if any, </w:t>
      </w:r>
      <w:r w:rsidR="00495702" w:rsidRPr="00B916EC">
        <w:t>and CSI bits, if any.</w:t>
      </w:r>
      <w:r w:rsidR="00C84B1F">
        <w:t xml:space="preserve"> The HARQ-ACK information bits correspond to a HARQ-ACK codebook as described </w:t>
      </w:r>
      <w:r w:rsidR="006F5F9E">
        <w:t>in clause</w:t>
      </w:r>
      <w:r w:rsidR="00C84B1F">
        <w:t xml:space="preserve"> 9.1.</w:t>
      </w:r>
      <w:r w:rsidR="00C47765">
        <w:t xml:space="preserve"> For the remaining of this clause, any reference to SR is applicable for SR and/or for LRR.</w:t>
      </w:r>
    </w:p>
    <w:p w14:paraId="7E980736" w14:textId="3017172A" w:rsidR="00DB4D0F" w:rsidRDefault="00C84B1F" w:rsidP="00C84B1F">
      <w:r w:rsidRPr="00F548CF">
        <w:t>A UE may transmit one or two PUCCHs on a serving cell in different symbols within a slot. When the UE transmits two PUCCHs in a slot</w:t>
      </w:r>
      <w:r w:rsidR="00C47765">
        <w:t xml:space="preserve"> and the UE is not provided </w:t>
      </w:r>
      <w:r w:rsidR="00BB6A95" w:rsidRPr="007E07A0">
        <w:rPr>
          <w:i/>
        </w:rPr>
        <w:t>ackNackFeedbackMode</w:t>
      </w:r>
      <w:r w:rsidR="00BB6A95">
        <w:rPr>
          <w:i/>
          <w:iCs/>
        </w:rPr>
        <w:t xml:space="preserve"> </w:t>
      </w:r>
      <w:r w:rsidR="00BB6A95" w:rsidRPr="002712D0">
        <w:t>=</w:t>
      </w:r>
      <w:r w:rsidR="00BB6A95">
        <w:rPr>
          <w:i/>
          <w:iCs/>
        </w:rPr>
        <w:t xml:space="preserve"> separate</w:t>
      </w:r>
      <w:r w:rsidRPr="00F548CF">
        <w:t>, at least one of the two PUCCHs uses PUCCH format 0 or PUCCH format 2.</w:t>
      </w:r>
    </w:p>
    <w:p w14:paraId="6FBD05AC" w14:textId="70D99920" w:rsidR="00C47765" w:rsidRPr="0090565D" w:rsidRDefault="00C47765" w:rsidP="00C47765">
      <w:r>
        <w:t xml:space="preserve">If a UE is </w:t>
      </w:r>
      <w:r w:rsidRPr="00832E06">
        <w:rPr>
          <w:lang w:eastAsia="ko-KR"/>
        </w:rPr>
        <w:t xml:space="preserve">provided </w:t>
      </w:r>
      <w:r w:rsidR="00BB6A95" w:rsidRPr="007E07A0">
        <w:rPr>
          <w:i/>
        </w:rPr>
        <w:t>ackNackFeedbackMode</w:t>
      </w:r>
      <w:r w:rsidR="00BB6A95">
        <w:rPr>
          <w:i/>
          <w:iCs/>
        </w:rPr>
        <w:t xml:space="preserve"> </w:t>
      </w:r>
      <w:r w:rsidR="00BB6A95" w:rsidRPr="002712D0">
        <w:t>=</w:t>
      </w:r>
      <w:r w:rsidR="00BB6A95">
        <w:rPr>
          <w:i/>
          <w:iCs/>
        </w:rPr>
        <w:t xml:space="preserve"> separate</w:t>
      </w:r>
      <w:r w:rsidRPr="00D3157D">
        <w:rPr>
          <w:iCs/>
        </w:rPr>
        <w:t xml:space="preserve">, the UE </w:t>
      </w:r>
      <w:r w:rsidRPr="00F548CF">
        <w:t xml:space="preserve">may transmit </w:t>
      </w:r>
      <w:r>
        <w:t>up to two</w:t>
      </w:r>
      <w:r w:rsidRPr="00F548CF">
        <w:t xml:space="preserve"> PUCCHs </w:t>
      </w:r>
      <w:r>
        <w:t xml:space="preserve">with HARQ-ACK information </w:t>
      </w:r>
      <w:r w:rsidRPr="00F548CF">
        <w:t>in different symbols within a slot.</w:t>
      </w:r>
    </w:p>
    <w:p w14:paraId="2959A1B3" w14:textId="5BC5F1D4" w:rsidR="007B5972" w:rsidRPr="00B916EC" w:rsidRDefault="00782309" w:rsidP="00C84B1F">
      <w:r>
        <w:t>In</w:t>
      </w:r>
      <w:r w:rsidR="007B5972" w:rsidRPr="00941BEA">
        <w:t xml:space="preserve"> </w:t>
      </w:r>
      <w:r w:rsidR="006F5F9E">
        <w:rPr>
          <w:lang w:eastAsia="zh-CN"/>
        </w:rPr>
        <w:t>clause</w:t>
      </w:r>
      <w:r w:rsidR="007B5972">
        <w:rPr>
          <w:lang w:eastAsia="zh-CN"/>
        </w:rPr>
        <w:t>s 9.2.3, 9.2.5.1</w:t>
      </w:r>
      <w:r w:rsidR="00C82371">
        <w:rPr>
          <w:lang w:eastAsia="zh-CN"/>
        </w:rPr>
        <w:t>,</w:t>
      </w:r>
      <w:r w:rsidR="007B5972">
        <w:rPr>
          <w:lang w:eastAsia="zh-CN"/>
        </w:rPr>
        <w:t xml:space="preserve"> 9.2.5.2</w:t>
      </w:r>
      <w:r w:rsidR="00FE2016">
        <w:rPr>
          <w:lang w:eastAsia="zh-CN"/>
        </w:rPr>
        <w:t xml:space="preserve"> and 9.2.5.3</w:t>
      </w:r>
      <w:r w:rsidR="007B5972" w:rsidRPr="00941BEA">
        <w:t xml:space="preserve">, </w:t>
      </w:r>
      <w:r w:rsidR="007B5972">
        <w:t>a UE assumes 11 CRC bits if a</w:t>
      </w:r>
      <w:r w:rsidR="007B5972" w:rsidRPr="00941BEA">
        <w:t xml:space="preserve"> number of </w:t>
      </w:r>
      <w:r w:rsidR="007B5972">
        <w:t xml:space="preserve">respective </w:t>
      </w:r>
      <w:r w:rsidR="007B5972" w:rsidRPr="00941BEA">
        <w:t>UCI bits is larger than or equal to 360; otherwise</w:t>
      </w:r>
      <w:r w:rsidR="007B5972">
        <w:t>,</w:t>
      </w:r>
      <w:r w:rsidR="007B5972" w:rsidRPr="00941BEA">
        <w:t xml:space="preserve"> </w:t>
      </w:r>
      <w:r w:rsidR="007B5972">
        <w:t>the UE determines a number of CRC bits</w:t>
      </w:r>
      <w:r w:rsidR="007B5972" w:rsidRPr="00941BEA">
        <w:t xml:space="preserve"> </w:t>
      </w:r>
      <w:r w:rsidR="007B5972">
        <w:t>based on the number of respective UCI bits as describ</w:t>
      </w:r>
      <w:r w:rsidR="007B5972" w:rsidRPr="00941BEA">
        <w:t xml:space="preserve">ed in </w:t>
      </w:r>
      <w:r w:rsidR="007B5972">
        <w:rPr>
          <w:lang w:eastAsia="zh-CN"/>
        </w:rPr>
        <w:t>[5, TS 38.212]</w:t>
      </w:r>
      <w:r w:rsidR="007B5972">
        <w:t>.</w:t>
      </w:r>
    </w:p>
    <w:p w14:paraId="6E9D05E6" w14:textId="77777777" w:rsidR="00DB4D0F" w:rsidRPr="00B916EC" w:rsidRDefault="00DB4D0F" w:rsidP="00DB4D0F">
      <w:pPr>
        <w:pStyle w:val="Heading3"/>
      </w:pPr>
      <w:bookmarkStart w:id="530" w:name="_Ref498101660"/>
      <w:bookmarkStart w:id="531" w:name="_Toc12021476"/>
      <w:bookmarkStart w:id="532" w:name="_Toc20311588"/>
      <w:bookmarkStart w:id="533" w:name="_Toc26719413"/>
      <w:bookmarkStart w:id="534" w:name="_Toc29894848"/>
      <w:bookmarkStart w:id="535" w:name="_Toc29899147"/>
      <w:bookmarkStart w:id="536" w:name="_Toc29899565"/>
      <w:bookmarkStart w:id="537" w:name="_Toc29917302"/>
      <w:bookmarkStart w:id="538" w:name="_Toc36498176"/>
      <w:bookmarkStart w:id="539" w:name="_Toc45699202"/>
      <w:bookmarkStart w:id="540" w:name="_Toc161999129"/>
      <w:r w:rsidRPr="00B916EC">
        <w:t>9.2.1</w:t>
      </w:r>
      <w:r w:rsidRPr="00B916EC">
        <w:tab/>
      </w:r>
      <w:r w:rsidR="00BA0BE3" w:rsidRPr="00B916EC">
        <w:t>PUCCH Resource Sets</w:t>
      </w:r>
      <w:bookmarkEnd w:id="530"/>
      <w:bookmarkEnd w:id="531"/>
      <w:bookmarkEnd w:id="532"/>
      <w:bookmarkEnd w:id="533"/>
      <w:bookmarkEnd w:id="534"/>
      <w:bookmarkEnd w:id="535"/>
      <w:bookmarkEnd w:id="536"/>
      <w:bookmarkEnd w:id="537"/>
      <w:bookmarkEnd w:id="538"/>
      <w:bookmarkEnd w:id="539"/>
      <w:bookmarkEnd w:id="540"/>
    </w:p>
    <w:p w14:paraId="35E13FE7" w14:textId="3618BE96" w:rsidR="002F2BD0" w:rsidRDefault="00C84B1F" w:rsidP="0009732E">
      <w:r w:rsidRPr="00B916EC">
        <w:t xml:space="preserve">If a UE </w:t>
      </w:r>
      <w:r>
        <w:t>does not have dedicated PUCCH resource configuration,</w:t>
      </w:r>
      <w:r w:rsidRPr="00000A61">
        <w:t xml:space="preserve"> </w:t>
      </w:r>
      <w:r>
        <w:t xml:space="preserve">provided by </w:t>
      </w:r>
      <w:r w:rsidRPr="00B916EC">
        <w:rPr>
          <w:i/>
        </w:rPr>
        <w:t>PUCCH-</w:t>
      </w:r>
      <w:r>
        <w:rPr>
          <w:i/>
          <w:lang w:val="en-US"/>
        </w:rPr>
        <w:t>ResourceSet</w:t>
      </w:r>
      <w:r>
        <w:t xml:space="preserve"> in </w:t>
      </w:r>
      <w:r>
        <w:rPr>
          <w:i/>
        </w:rPr>
        <w:t>PUCCH-</w:t>
      </w:r>
      <w:r w:rsidRPr="001776C3">
        <w:rPr>
          <w:i/>
        </w:rPr>
        <w:t>Config</w:t>
      </w:r>
      <w:r w:rsidRPr="00B916EC">
        <w:t xml:space="preserve">, </w:t>
      </w:r>
      <w:r>
        <w:t>a</w:t>
      </w:r>
      <w:r w:rsidRPr="00B916EC">
        <w:t xml:space="preserve"> PUCCH resource</w:t>
      </w:r>
      <w:r>
        <w:t xml:space="preserve"> set </w:t>
      </w:r>
      <w:r w:rsidRPr="00B916EC">
        <w:t xml:space="preserve">is provided </w:t>
      </w:r>
      <w:r w:rsidRPr="00BA67CF">
        <w:t xml:space="preserve">by </w:t>
      </w:r>
      <w:r w:rsidRPr="00BA67CF">
        <w:rPr>
          <w:i/>
        </w:rPr>
        <w:t>pucch-</w:t>
      </w:r>
      <w:r w:rsidRPr="00C50004">
        <w:rPr>
          <w:i/>
          <w:lang w:val="en-US"/>
        </w:rPr>
        <w:t>Resource</w:t>
      </w:r>
      <w:r w:rsidRPr="00C55E96">
        <w:rPr>
          <w:i/>
          <w:lang w:val="en-US"/>
        </w:rPr>
        <w:t>Common</w:t>
      </w:r>
      <w:r w:rsidRPr="00AF05E8">
        <w:t xml:space="preserve"> </w:t>
      </w:r>
      <w:r w:rsidRPr="007138F8">
        <w:t xml:space="preserve">through </w:t>
      </w:r>
      <w:r w:rsidRPr="001071EC">
        <w:rPr>
          <w:lang w:val="en-US"/>
        </w:rPr>
        <w:t xml:space="preserve">an index to a row of Table 9.2.1-1 </w:t>
      </w:r>
      <w:r w:rsidRPr="00BA67CF">
        <w:rPr>
          <w:rFonts w:eastAsia="DengXian"/>
        </w:rPr>
        <w:t xml:space="preserve">for transmission of HARQ-ACK information on PUCCH in an initial UL BWP </w:t>
      </w:r>
      <w:r>
        <w:rPr>
          <w:rFonts w:eastAsia="DengXian"/>
        </w:rPr>
        <w:t xml:space="preserve">of </w:t>
      </w:r>
      <m:oMath>
        <m:sSubSup>
          <m:sSubSupPr>
            <m:ctrlPr>
              <w:rPr>
                <w:rFonts w:ascii="Cambria Math" w:hAnsi="Cambria Math"/>
              </w:rPr>
            </m:ctrlPr>
          </m:sSubSupPr>
          <m:e>
            <m:r>
              <w:rPr>
                <w:rFonts w:ascii="Cambria Math" w:hAnsi="Cambria Math"/>
              </w:rPr>
              <m:t>N</m:t>
            </m:r>
          </m:e>
          <m:sub>
            <m:r>
              <m:rPr>
                <m:nor/>
              </m:rPr>
              <w:rPr>
                <w:rFonts w:ascii="Cambria Math"/>
              </w:rPr>
              <m:t>BWP</m:t>
            </m:r>
          </m:sub>
          <m:sup>
            <m:r>
              <m:rPr>
                <m:nor/>
              </m:rPr>
              <m:t>size</m:t>
            </m:r>
          </m:sup>
        </m:sSubSup>
      </m:oMath>
      <w:r>
        <w:t xml:space="preserve"> P</w:t>
      </w:r>
      <w:r>
        <w:rPr>
          <w:rFonts w:eastAsia="DengXian"/>
        </w:rPr>
        <w:t>RBs</w:t>
      </w:r>
      <w:r w:rsidRPr="00BA67CF">
        <w:t xml:space="preserve">. </w:t>
      </w:r>
      <w:r w:rsidR="008F277D" w:rsidRPr="00B27E56">
        <w:t xml:space="preserve">For operation in FR2-2, </w:t>
      </w:r>
      <w:r w:rsidR="00C63EB2" w:rsidRPr="007D3F07">
        <w:rPr>
          <w:i/>
          <w:iCs/>
          <w:noProof/>
          <w:lang w:eastAsia="zh-CN"/>
        </w:rPr>
        <w:t>nrofPRBs</w:t>
      </w:r>
      <w:r w:rsidR="00C63EB2">
        <w:rPr>
          <w:noProof/>
          <w:lang w:eastAsia="zh-CN"/>
        </w:rPr>
        <w:t xml:space="preserve"> provided </w:t>
      </w:r>
      <w:r w:rsidR="00C63EB2">
        <w:rPr>
          <w:rFonts w:hint="eastAsia"/>
          <w:noProof/>
          <w:lang w:eastAsia="zh-CN"/>
        </w:rPr>
        <w:t>in</w:t>
      </w:r>
      <w:r w:rsidR="00C63EB2">
        <w:rPr>
          <w:noProof/>
          <w:lang w:eastAsia="zh-CN"/>
        </w:rPr>
        <w:t xml:space="preserve"> </w:t>
      </w:r>
      <w:r w:rsidR="00C63EB2" w:rsidRPr="007D3F07">
        <w:rPr>
          <w:i/>
          <w:iCs/>
          <w:noProof/>
          <w:lang w:eastAsia="zh-CN"/>
        </w:rPr>
        <w:t>PUCCH-ConfigCommon</w:t>
      </w:r>
      <w:r w:rsidR="008F277D" w:rsidRPr="00B27E56">
        <w:t xml:space="preserve"> can also provide a number of </w:t>
      </w:r>
      <m:oMath>
        <m:sSub>
          <m:sSubPr>
            <m:ctrlPr>
              <w:rPr>
                <w:rFonts w:ascii="Cambria Math" w:hAnsi="Cambria Math"/>
                <w:i/>
                <w:iCs/>
              </w:rPr>
            </m:ctrlPr>
          </m:sSubPr>
          <m:e>
            <m:r>
              <w:rPr>
                <w:rFonts w:ascii="Cambria Math" w:hAnsi="Cambria Math"/>
              </w:rPr>
              <m:t>N</m:t>
            </m:r>
          </m:e>
          <m:sub>
            <m:r>
              <w:rPr>
                <w:rFonts w:ascii="Cambria Math" w:hAnsi="Cambria Math"/>
              </w:rPr>
              <m:t>RB</m:t>
            </m:r>
          </m:sub>
        </m:sSub>
      </m:oMath>
      <w:r w:rsidR="008F277D" w:rsidRPr="00B27E56">
        <w:t xml:space="preserve"> RBs</w:t>
      </w:r>
      <w:r w:rsidR="008F277D" w:rsidRPr="00B27E56">
        <w:rPr>
          <w:iCs/>
        </w:rPr>
        <w:t xml:space="preserve"> </w:t>
      </w:r>
      <w:r w:rsidR="008F277D" w:rsidRPr="00B27E56">
        <w:t xml:space="preserve">for the PUCCH resource set; otherwise </w:t>
      </w:r>
      <m:oMath>
        <m:sSub>
          <m:sSubPr>
            <m:ctrlPr>
              <w:rPr>
                <w:rFonts w:ascii="Cambria Math" w:hAnsi="Cambria Math"/>
                <w:i/>
                <w:iCs/>
              </w:rPr>
            </m:ctrlPr>
          </m:sSubPr>
          <m:e>
            <m:r>
              <w:rPr>
                <w:rFonts w:ascii="Cambria Math" w:hAnsi="Cambria Math"/>
              </w:rPr>
              <m:t>N</m:t>
            </m:r>
          </m:e>
          <m:sub>
            <m:r>
              <w:rPr>
                <w:rFonts w:ascii="Cambria Math" w:hAnsi="Cambria Math"/>
              </w:rPr>
              <m:t>RB</m:t>
            </m:r>
          </m:sub>
        </m:sSub>
        <m:r>
          <w:rPr>
            <w:rFonts w:ascii="Cambria Math" w:hAnsi="Cambria Math"/>
          </w:rPr>
          <m:t>=1</m:t>
        </m:r>
      </m:oMath>
      <w:r w:rsidR="008F277D" w:rsidRPr="00B27E56">
        <w:t>.</w:t>
      </w:r>
    </w:p>
    <w:p w14:paraId="1B6573D6" w14:textId="0972BF4B" w:rsidR="002F2BD0" w:rsidRDefault="00C84B1F" w:rsidP="0009732E">
      <w:pPr>
        <w:rPr>
          <w:lang w:val="en-US"/>
        </w:rPr>
      </w:pPr>
      <w:r>
        <w:rPr>
          <w:lang w:val="en-US"/>
        </w:rPr>
        <w:t>The</w:t>
      </w:r>
      <w:r w:rsidRPr="00BA67CF">
        <w:rPr>
          <w:lang w:val="en-US"/>
        </w:rPr>
        <w:t xml:space="preserve"> </w:t>
      </w:r>
      <w:r>
        <w:rPr>
          <w:lang w:val="en-US"/>
        </w:rPr>
        <w:t xml:space="preserve">PUCCH resource set includes sixteen resources, each corresponding to a PUCCH format, a first symbol, a duration, a PRB offset </w:t>
      </w:r>
      <m:oMath>
        <m:sSubSup>
          <m:sSubSupPr>
            <m:ctrlPr>
              <w:rPr>
                <w:rFonts w:ascii="Cambria Math" w:hAnsi="Cambria Math"/>
              </w:rPr>
            </m:ctrlPr>
          </m:sSubSupPr>
          <m:e>
            <m:r>
              <w:rPr>
                <w:rFonts w:ascii="Cambria Math" w:hAnsi="Cambria Math"/>
              </w:rPr>
              <m:t>RB</m:t>
            </m:r>
          </m:e>
          <m:sub>
            <m:r>
              <m:rPr>
                <m:nor/>
              </m:rPr>
              <w:rPr>
                <w:rFonts w:ascii="Cambria Math"/>
              </w:rPr>
              <m:t>BWP</m:t>
            </m:r>
          </m:sub>
          <m:sup>
            <m:r>
              <m:rPr>
                <m:nor/>
              </m:rPr>
              <m:t>offset</m:t>
            </m:r>
          </m:sup>
        </m:sSubSup>
      </m:oMath>
      <w:r>
        <w:rPr>
          <w:lang w:val="en-US"/>
        </w:rPr>
        <w:t xml:space="preserve">, and a cyclic shift index set for a PUCCH transmission. </w:t>
      </w:r>
    </w:p>
    <w:p w14:paraId="4DF43BFF" w14:textId="4D02B6E1" w:rsidR="002F2BD0" w:rsidRDefault="00C84B1F" w:rsidP="0009732E">
      <w:pPr>
        <w:rPr>
          <w:lang w:val="en-US"/>
        </w:rPr>
      </w:pPr>
      <w:r>
        <w:rPr>
          <w:lang w:val="en-US"/>
        </w:rPr>
        <w:t>The UE transmits a PUCCH using frequency hopping</w:t>
      </w:r>
      <w:r w:rsidR="002F2BD0" w:rsidRPr="005265DA">
        <w:rPr>
          <w:lang w:val="en-US"/>
        </w:rPr>
        <w:t xml:space="preserve"> </w:t>
      </w:r>
      <w:r w:rsidR="002F2BD0">
        <w:rPr>
          <w:lang w:val="en-US"/>
        </w:rPr>
        <w:t xml:space="preserve">if not provided </w:t>
      </w:r>
      <w:r w:rsidR="00E23728" w:rsidRPr="0019714F">
        <w:rPr>
          <w:i/>
        </w:rPr>
        <w:t>useInterlacePUCCH-PUSCH</w:t>
      </w:r>
      <w:r w:rsidR="00E23728" w:rsidRPr="0019714F">
        <w:rPr>
          <w:iCs/>
        </w:rPr>
        <w:t xml:space="preserve"> in </w:t>
      </w:r>
      <w:r w:rsidR="00E23728" w:rsidRPr="0019714F">
        <w:rPr>
          <w:i/>
        </w:rPr>
        <w:t>BWP-UplinkCommon</w:t>
      </w:r>
      <w:r w:rsidR="002F2BD0">
        <w:rPr>
          <w:color w:val="000000"/>
        </w:rPr>
        <w:t>; otherwise,</w:t>
      </w:r>
      <w:r w:rsidR="002F2BD0">
        <w:rPr>
          <w:iCs/>
          <w:lang w:val="en-US"/>
        </w:rPr>
        <w:t xml:space="preserve"> the UE transmits a PUCCH without frequency hopping</w:t>
      </w:r>
      <w:r>
        <w:rPr>
          <w:lang w:val="en-US"/>
        </w:rPr>
        <w:t xml:space="preserve">. </w:t>
      </w:r>
    </w:p>
    <w:p w14:paraId="63EF6DF3" w14:textId="027AA06E" w:rsidR="002F2BD0" w:rsidRDefault="00FA4EB6" w:rsidP="0009732E">
      <w:pPr>
        <w:rPr>
          <w:lang w:eastAsia="zh-CN"/>
        </w:rPr>
      </w:pPr>
      <w:r w:rsidRPr="00BB1890">
        <w:rPr>
          <w:rFonts w:hint="eastAsia"/>
          <w:lang w:eastAsia="zh-CN"/>
        </w:rPr>
        <w:t>An orthogonal cover code</w:t>
      </w:r>
      <w:r w:rsidRPr="00BB1890">
        <w:t xml:space="preserve"> </w:t>
      </w:r>
      <w:r w:rsidRPr="00BB1890">
        <w:rPr>
          <w:rFonts w:hint="eastAsia"/>
          <w:lang w:eastAsia="zh-CN"/>
        </w:rPr>
        <w:t xml:space="preserve">with index </w:t>
      </w:r>
      <w:r w:rsidRPr="00AA1BD0">
        <w:t>0</w:t>
      </w:r>
      <w:r w:rsidRPr="002759A2">
        <w:rPr>
          <w:rFonts w:hint="eastAsia"/>
          <w:lang w:eastAsia="zh-CN"/>
        </w:rPr>
        <w:t xml:space="preserve"> is used for a</w:t>
      </w:r>
      <w:r w:rsidRPr="007E7531">
        <w:t xml:space="preserve"> PUCCH resource with PUCCH format 1</w:t>
      </w:r>
      <w:r w:rsidRPr="00A8669E">
        <w:rPr>
          <w:rFonts w:hint="eastAsia"/>
        </w:rPr>
        <w:t xml:space="preserve"> in </w:t>
      </w:r>
      <w:r w:rsidRPr="00210269">
        <w:t>Table 9.2.1-1</w:t>
      </w:r>
      <w:r w:rsidR="00B64EAE">
        <w:t xml:space="preserve"> </w:t>
      </w:r>
      <w:r w:rsidR="00B64EAE">
        <w:rPr>
          <w:lang w:eastAsia="zh-CN"/>
        </w:rPr>
        <w:t xml:space="preserve">except when </w:t>
      </w:r>
      <w:r w:rsidR="00B64EAE" w:rsidRPr="00F02DA2">
        <w:rPr>
          <w:lang w:val="x-none"/>
        </w:rPr>
        <w:t>index 3, 7, or 11</w:t>
      </w:r>
      <w:r w:rsidR="00B64EAE" w:rsidRPr="00F02DA2">
        <w:t xml:space="preserve"> is </w:t>
      </w:r>
      <w:r w:rsidR="00B64EAE">
        <w:t>indicated</w:t>
      </w:r>
      <w:r w:rsidR="00B64EAE" w:rsidRPr="00F02DA2">
        <w:t xml:space="preserve"> by </w:t>
      </w:r>
      <w:r w:rsidR="00B64EAE" w:rsidRPr="00F02DA2">
        <w:rPr>
          <w:i/>
        </w:rPr>
        <w:t>pucch-ResourceCommon</w:t>
      </w:r>
      <w:r w:rsidR="00B64EAE" w:rsidRPr="00F02DA2">
        <w:t xml:space="preserve"> and </w:t>
      </w:r>
      <w:r w:rsidR="00B64EAE" w:rsidRPr="00F02DA2">
        <w:rPr>
          <w:i/>
        </w:rPr>
        <w:t>useInterlacePUCCH-PUSCH</w:t>
      </w:r>
      <w:r w:rsidR="00B64EAE" w:rsidRPr="00F02DA2">
        <w:rPr>
          <w:iCs/>
        </w:rPr>
        <w:t xml:space="preserve"> in </w:t>
      </w:r>
      <w:r w:rsidR="00B64EAE" w:rsidRPr="00F02DA2">
        <w:rPr>
          <w:i/>
        </w:rPr>
        <w:t>BWP-UplinkCommon</w:t>
      </w:r>
      <w:r w:rsidR="00B64EAE" w:rsidRPr="001D31C2">
        <w:t xml:space="preserve"> </w:t>
      </w:r>
      <w:r w:rsidR="00B64EAE" w:rsidRPr="00F02DA2">
        <w:t>is provided</w:t>
      </w:r>
      <w:r w:rsidRPr="00210269">
        <w:t>.</w:t>
      </w:r>
      <w:r w:rsidRPr="00817427">
        <w:rPr>
          <w:rFonts w:hint="eastAsia"/>
          <w:lang w:eastAsia="zh-CN"/>
        </w:rPr>
        <w:t xml:space="preserve"> </w:t>
      </w:r>
    </w:p>
    <w:p w14:paraId="18F83966" w14:textId="532E816F" w:rsidR="00C84B1F" w:rsidRDefault="00C84B1F" w:rsidP="0009732E">
      <w:pPr>
        <w:rPr>
          <w:lang w:val="en-US"/>
        </w:rPr>
      </w:pPr>
      <w:r>
        <w:rPr>
          <w:lang w:val="en-US"/>
        </w:rPr>
        <w:t xml:space="preserve">The UE transmits the PUCCH using the same spatial domain transmission filter as for </w:t>
      </w:r>
      <w:r w:rsidR="00CC022E">
        <w:rPr>
          <w:lang w:val="en-US"/>
        </w:rPr>
        <w:t>a</w:t>
      </w:r>
      <w:r>
        <w:rPr>
          <w:lang w:val="en-US"/>
        </w:rPr>
        <w:t xml:space="preserve"> PUSCH transmission</w:t>
      </w:r>
      <w:r w:rsidR="00CC022E">
        <w:rPr>
          <w:lang w:val="en-US"/>
        </w:rPr>
        <w:t xml:space="preserve"> scheduled by a RAR UL grant as described </w:t>
      </w:r>
      <w:r w:rsidR="006F5F9E">
        <w:rPr>
          <w:lang w:val="en-US"/>
        </w:rPr>
        <w:t>in clause</w:t>
      </w:r>
      <w:r w:rsidR="00CC022E">
        <w:rPr>
          <w:lang w:val="en-US"/>
        </w:rPr>
        <w:t xml:space="preserve"> 8.3</w:t>
      </w:r>
      <w:r w:rsidR="005A44EF">
        <w:rPr>
          <w:lang w:val="en-US"/>
        </w:rPr>
        <w:t xml:space="preserve">. </w:t>
      </w:r>
    </w:p>
    <w:p w14:paraId="05BEC6D0" w14:textId="2201A739" w:rsidR="00A00BD5" w:rsidRDefault="00445F81" w:rsidP="00BE33B4">
      <w:r>
        <w:t>If a</w:t>
      </w:r>
      <w:r w:rsidRPr="004A1508">
        <w:t xml:space="preserve"> UE is not provided</w:t>
      </w:r>
      <w:r w:rsidR="00A4058D">
        <w:t xml:space="preserve"> any of</w:t>
      </w:r>
      <w:r w:rsidRPr="004A1508">
        <w:t xml:space="preserve"> </w:t>
      </w:r>
      <w:r w:rsidRPr="004A1508">
        <w:rPr>
          <w:i/>
          <w:lang w:eastAsia="zh-CN"/>
        </w:rPr>
        <w:t>pdsch-</w:t>
      </w:r>
      <w:r w:rsidRPr="004A1508">
        <w:rPr>
          <w:rFonts w:cs="Arial"/>
          <w:i/>
          <w:lang w:eastAsia="zh-CN"/>
        </w:rPr>
        <w:t>HARQ-ACK-Codebook</w:t>
      </w:r>
      <w:r w:rsidRPr="004A1508">
        <w:rPr>
          <w:rFonts w:cs="Arial"/>
          <w:lang w:eastAsia="zh-CN"/>
        </w:rPr>
        <w:t xml:space="preserve">, </w:t>
      </w:r>
      <w:r w:rsidR="00A4058D" w:rsidRPr="00F822BA">
        <w:rPr>
          <w:i/>
        </w:rPr>
        <w:t>pdsch-</w:t>
      </w:r>
      <w:r w:rsidR="00A4058D">
        <w:rPr>
          <w:rFonts w:cs="Arial"/>
          <w:i/>
          <w:lang w:eastAsia="zh-CN"/>
        </w:rPr>
        <w:t>HARQ-ACK-Codebook</w:t>
      </w:r>
      <w:r w:rsidR="00A4058D">
        <w:rPr>
          <w:rFonts w:cs="Arial" w:hint="eastAsia"/>
          <w:i/>
          <w:lang w:eastAsia="zh-CN"/>
        </w:rPr>
        <w:t>-r16</w:t>
      </w:r>
      <w:r w:rsidR="00A4058D">
        <w:rPr>
          <w:rFonts w:cs="Arial"/>
          <w:lang w:eastAsia="zh-CN"/>
        </w:rPr>
        <w:t>, or</w:t>
      </w:r>
      <w:r w:rsidR="00A4058D" w:rsidRPr="004F3C0B">
        <w:rPr>
          <w:rFonts w:cs="Arial" w:hint="eastAsia"/>
          <w:lang w:eastAsia="zh-CN"/>
        </w:rPr>
        <w:t xml:space="preserve"> </w:t>
      </w:r>
      <w:r w:rsidR="00A4058D" w:rsidRPr="004F3C0B">
        <w:rPr>
          <w:i/>
        </w:rPr>
        <w:t>pdsch-HARQ-ACK-OneShotFeedback</w:t>
      </w:r>
      <w:r w:rsidR="00A4058D">
        <w:t xml:space="preserve">, </w:t>
      </w:r>
      <w:r w:rsidRPr="004A1508">
        <w:rPr>
          <w:rFonts w:cs="Arial"/>
          <w:lang w:eastAsia="zh-CN"/>
        </w:rPr>
        <w:t xml:space="preserve">the </w:t>
      </w:r>
      <w:r w:rsidRPr="004A1508">
        <w:t>UE generates at most one HARQ-ACK information bit.</w:t>
      </w:r>
      <w:r w:rsidR="00A00BD5">
        <w:t xml:space="preserve"> </w:t>
      </w:r>
    </w:p>
    <w:p w14:paraId="2C5BF69D" w14:textId="77777777" w:rsidR="005A14F3" w:rsidRDefault="00BE33B4" w:rsidP="00BE33B4">
      <w:pPr>
        <w:rPr>
          <w:color w:val="000000"/>
        </w:rPr>
      </w:pPr>
      <w:r>
        <w:t xml:space="preserve">If the UE provides HARQ-ACK information in a PUCCH transmission in response to detecting a DCI format </w:t>
      </w:r>
      <w:r w:rsidR="00E1189A" w:rsidRPr="00EE027F">
        <w:t>scheduling a PDSCH reception</w:t>
      </w:r>
      <w:r>
        <w:t xml:space="preserve"> or </w:t>
      </w:r>
      <w:r w:rsidR="00E20158" w:rsidRPr="00F415B1">
        <w:t>having associated HARQ-ACK information without scheduling a PDSCH reception</w:t>
      </w:r>
      <w:r>
        <w:t>, the UE determines a</w:t>
      </w:r>
      <w:r w:rsidRPr="00B916EC">
        <w:rPr>
          <w:lang w:val="en-US"/>
        </w:rPr>
        <w:t xml:space="preserve"> PUCCH resource </w:t>
      </w:r>
      <w:r>
        <w:rPr>
          <w:lang w:val="en-US"/>
        </w:rPr>
        <w:t xml:space="preserve">with index </w:t>
      </w:r>
      <m:oMath>
        <m:sSub>
          <m:sSubPr>
            <m:ctrlPr>
              <w:rPr>
                <w:rFonts w:ascii="Cambria Math" w:hAnsi="Cambria Math"/>
                <w:i/>
                <w:lang w:val="en-US"/>
              </w:rPr>
            </m:ctrlPr>
          </m:sSubPr>
          <m:e>
            <m:r>
              <w:rPr>
                <w:rFonts w:ascii="Cambria Math" w:hAnsi="Cambria Math"/>
                <w:lang w:val="en-US"/>
              </w:rPr>
              <m:t>r</m:t>
            </m:r>
          </m:e>
          <m:sub>
            <m:r>
              <m:rPr>
                <m:sty m:val="p"/>
              </m:rPr>
              <w:rPr>
                <w:rFonts w:ascii="Cambria Math" w:hAnsi="Cambria Math"/>
                <w:lang w:val="en-US"/>
              </w:rPr>
              <m:t>PUCCH</m:t>
            </m:r>
          </m:sub>
        </m:sSub>
      </m:oMath>
      <w:r>
        <w:t xml:space="preserve">, </w:t>
      </w:r>
      <m:oMath>
        <m:r>
          <w:rPr>
            <w:rFonts w:ascii="Cambria Math" w:hAnsi="Cambria Math"/>
          </w:rPr>
          <m:t>0</m:t>
        </m:r>
        <m:sSub>
          <m:sSubPr>
            <m:ctrlPr>
              <w:rPr>
                <w:rFonts w:ascii="Cambria Math" w:hAnsi="Cambria Math"/>
                <w:i/>
                <w:lang w:val="en-US"/>
              </w:rPr>
            </m:ctrlPr>
          </m:sSubPr>
          <m:e>
            <m:r>
              <w:rPr>
                <w:rFonts w:ascii="Cambria Math" w:hAnsi="Cambria Math"/>
                <w:lang w:val="en-US"/>
              </w:rPr>
              <m:t>≤r</m:t>
            </m:r>
          </m:e>
          <m:sub>
            <m:r>
              <m:rPr>
                <m:sty m:val="p"/>
              </m:rPr>
              <w:rPr>
                <w:rFonts w:ascii="Cambria Math" w:hAnsi="Cambria Math"/>
                <w:lang w:val="en-US"/>
              </w:rPr>
              <m:t>PUCCH</m:t>
            </m:r>
          </m:sub>
        </m:sSub>
        <m:r>
          <w:rPr>
            <w:rFonts w:ascii="Cambria Math" w:hAnsi="Cambria Math"/>
            <w:lang w:val="en-US"/>
          </w:rPr>
          <m:t>≤15</m:t>
        </m:r>
      </m:oMath>
      <w:r>
        <w:t xml:space="preserve">, </w:t>
      </w:r>
      <w:r>
        <w:rPr>
          <w:lang w:val="en-US"/>
        </w:rPr>
        <w:t>as</w:t>
      </w:r>
      <w:r>
        <w:t xml:space="preserve"> </w:t>
      </w:r>
      <m:oMath>
        <m:sSub>
          <m:sSubPr>
            <m:ctrlPr>
              <w:rPr>
                <w:rFonts w:ascii="Cambria Math" w:hAnsi="Cambria Math"/>
                <w:i/>
                <w:lang w:val="en-US"/>
              </w:rPr>
            </m:ctrlPr>
          </m:sSubPr>
          <m:e>
            <m:r>
              <w:rPr>
                <w:rFonts w:ascii="Cambria Math" w:hAnsi="Cambria Math"/>
                <w:lang w:val="en-US"/>
              </w:rPr>
              <m:t>r</m:t>
            </m:r>
          </m:e>
          <m:sub>
            <m:r>
              <m:rPr>
                <m:sty m:val="p"/>
              </m:rPr>
              <w:rPr>
                <w:rFonts w:ascii="Cambria Math" w:hAnsi="Cambria Math"/>
                <w:lang w:val="en-US"/>
              </w:rPr>
              <m:t>PUCCH</m:t>
            </m:r>
          </m:sub>
        </m:sSub>
        <m:r>
          <w:rPr>
            <w:rFonts w:ascii="Cambria Math" w:hAnsi="Cambria Math"/>
            <w:lang w:val="en-US"/>
          </w:rPr>
          <m:t>=</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cs="Cambria Math"/>
                      </w:rPr>
                      <m:t>⋅</m:t>
                    </m:r>
                    <m:r>
                      <w:rPr>
                        <w:rFonts w:ascii="Cambria Math" w:hAnsi="Cambria Math"/>
                        <w:lang w:val="en-US"/>
                      </w:rPr>
                      <m:t>n</m:t>
                    </m:r>
                  </m:e>
                  <m:sub>
                    <m:r>
                      <m:rPr>
                        <m:sty m:val="p"/>
                      </m:rPr>
                      <w:rPr>
                        <w:rFonts w:ascii="Cambria Math" w:hAnsi="Cambria Math"/>
                        <w:lang w:val="en-US"/>
                      </w:rPr>
                      <m:t>CCE,0</m:t>
                    </m:r>
                  </m:sub>
                </m:sSub>
              </m:num>
              <m:den>
                <m:sSub>
                  <m:sSubPr>
                    <m:ctrlPr>
                      <w:rPr>
                        <w:rFonts w:ascii="Cambria Math" w:hAnsi="Cambria Math"/>
                        <w:i/>
                        <w:lang w:val="en-US"/>
                      </w:rPr>
                    </m:ctrlPr>
                  </m:sSubPr>
                  <m:e>
                    <m:r>
                      <w:rPr>
                        <w:rFonts w:ascii="Cambria Math" w:hAnsi="Cambria Math"/>
                        <w:lang w:val="en-US"/>
                      </w:rPr>
                      <m:t>N</m:t>
                    </m:r>
                  </m:e>
                  <m:sub>
                    <m:r>
                      <m:rPr>
                        <m:sty m:val="p"/>
                      </m:rPr>
                      <w:rPr>
                        <w:rFonts w:ascii="Cambria Math" w:hAnsi="Cambria Math"/>
                        <w:lang w:val="en-US"/>
                      </w:rPr>
                      <m:t>CCE</m:t>
                    </m:r>
                  </m:sub>
                </m:sSub>
              </m:den>
            </m:f>
          </m:e>
        </m:d>
        <m:r>
          <w:rPr>
            <w:rFonts w:ascii="Cambria Math" w:hAnsi="Cambria Math"/>
            <w:lang w:val="en-US"/>
          </w:rPr>
          <m:t>+2</m:t>
        </m:r>
        <m:r>
          <w:rPr>
            <w:rFonts w:ascii="Cambria Math" w:hAnsi="Cambria Math" w:cs="Cambria Math"/>
          </w:rPr>
          <m:t>⋅</m:t>
        </m:r>
        <m:sSub>
          <m:sSubPr>
            <m:ctrlPr>
              <w:rPr>
                <w:rFonts w:ascii="Cambria Math" w:hAnsi="Cambria Math"/>
                <w:i/>
                <w:lang w:val="en-US"/>
              </w:rPr>
            </m:ctrlPr>
          </m:sSubPr>
          <m:e>
            <m:r>
              <w:rPr>
                <w:rFonts w:ascii="Cambria Math" w:hAnsi="Cambria Math"/>
                <w:lang w:val="en-US"/>
              </w:rPr>
              <m:t>∆</m:t>
            </m:r>
          </m:e>
          <m:sub>
            <m:r>
              <m:rPr>
                <m:sty m:val="p"/>
              </m:rPr>
              <w:rPr>
                <w:rFonts w:ascii="Cambria Math" w:hAnsi="Cambria Math"/>
                <w:lang w:val="en-US"/>
              </w:rPr>
              <m:t>PRI</m:t>
            </m:r>
          </m:sub>
        </m:sSub>
      </m:oMath>
      <w:r>
        <w:t xml:space="preserve">, where </w:t>
      </w:r>
      <m:oMath>
        <m:sSub>
          <m:sSubPr>
            <m:ctrlPr>
              <w:rPr>
                <w:rFonts w:ascii="Cambria Math" w:hAnsi="Cambria Math"/>
                <w:i/>
                <w:lang w:val="en-US"/>
              </w:rPr>
            </m:ctrlPr>
          </m:sSubPr>
          <m:e>
            <m:r>
              <w:rPr>
                <w:rFonts w:ascii="Cambria Math" w:hAnsi="Cambria Math"/>
                <w:lang w:val="en-US"/>
              </w:rPr>
              <m:t>N</m:t>
            </m:r>
          </m:e>
          <m:sub>
            <m:r>
              <m:rPr>
                <m:sty m:val="p"/>
              </m:rPr>
              <w:rPr>
                <w:rFonts w:ascii="Cambria Math" w:hAnsi="Cambria Math"/>
                <w:lang w:val="en-US"/>
              </w:rPr>
              <m:t>CCE</m:t>
            </m:r>
          </m:sub>
        </m:sSub>
      </m:oMath>
      <w:r w:rsidRPr="00966530">
        <w:t xml:space="preserve"> </w:t>
      </w:r>
      <w:r>
        <w:t>is a</w:t>
      </w:r>
      <w:r w:rsidRPr="00966530">
        <w:t xml:space="preserve"> number of CCEs in </w:t>
      </w:r>
      <w:r>
        <w:t xml:space="preserve">a CORESET of a </w:t>
      </w:r>
      <w:r w:rsidRPr="00966530">
        <w:t>PDCCH</w:t>
      </w:r>
      <w:r>
        <w:t xml:space="preserve"> reception with </w:t>
      </w:r>
      <w:r w:rsidR="00E1189A">
        <w:t xml:space="preserve">the </w:t>
      </w:r>
      <w:r>
        <w:t>DCI format,</w:t>
      </w:r>
      <w:r w:rsidRPr="00966530">
        <w:t xml:space="preserve"> as described </w:t>
      </w:r>
      <w:r w:rsidR="006F5F9E">
        <w:t>in clause</w:t>
      </w:r>
      <w:r w:rsidRPr="00966530">
        <w:t xml:space="preserve"> 10.1, </w:t>
      </w:r>
      <m:oMath>
        <m:sSub>
          <m:sSubPr>
            <m:ctrlPr>
              <w:rPr>
                <w:rFonts w:ascii="Cambria Math" w:hAnsi="Cambria Math"/>
                <w:i/>
                <w:lang w:val="en-US"/>
              </w:rPr>
            </m:ctrlPr>
          </m:sSubPr>
          <m:e>
            <m:r>
              <w:rPr>
                <w:rFonts w:ascii="Cambria Math" w:hAnsi="Cambria Math"/>
                <w:lang w:val="en-US"/>
              </w:rPr>
              <m:t>n</m:t>
            </m:r>
          </m:e>
          <m:sub>
            <m:r>
              <m:rPr>
                <m:sty m:val="p"/>
              </m:rPr>
              <w:rPr>
                <w:rFonts w:ascii="Cambria Math" w:hAnsi="Cambria Math"/>
                <w:lang w:val="en-US"/>
              </w:rPr>
              <m:t>CCE,0</m:t>
            </m:r>
          </m:sub>
        </m:sSub>
      </m:oMath>
      <w:r>
        <w:t xml:space="preserve"> is the index of a first CCE for the </w:t>
      </w:r>
      <w:r w:rsidRPr="00966530">
        <w:t>PDCCH</w:t>
      </w:r>
      <w:r>
        <w:t xml:space="preserve"> reception, </w:t>
      </w:r>
      <w:r w:rsidRPr="00A61A03">
        <w:t xml:space="preserve">and </w:t>
      </w:r>
      <m:oMath>
        <m:sSub>
          <m:sSubPr>
            <m:ctrlPr>
              <w:rPr>
                <w:rFonts w:ascii="Cambria Math" w:hAnsi="Cambria Math"/>
                <w:i/>
                <w:lang w:val="en-US"/>
              </w:rPr>
            </m:ctrlPr>
          </m:sSubPr>
          <m:e>
            <m:r>
              <w:rPr>
                <w:rFonts w:ascii="Cambria Math" w:hAnsi="Cambria Math"/>
                <w:lang w:val="en-US"/>
              </w:rPr>
              <m:t>∆</m:t>
            </m:r>
          </m:e>
          <m:sub>
            <m:r>
              <m:rPr>
                <m:sty m:val="p"/>
              </m:rPr>
              <w:rPr>
                <w:rFonts w:ascii="Cambria Math" w:hAnsi="Cambria Math"/>
                <w:lang w:val="en-US"/>
              </w:rPr>
              <m:t>PRI</m:t>
            </m:r>
          </m:sub>
        </m:sSub>
      </m:oMath>
      <w:r>
        <w:rPr>
          <w:lang w:eastAsia="zh-CN"/>
        </w:rPr>
        <w:t xml:space="preserve"> is a</w:t>
      </w:r>
      <w:r w:rsidRPr="00966530">
        <w:rPr>
          <w:lang w:eastAsia="zh-CN"/>
        </w:rPr>
        <w:t xml:space="preserve"> value of </w:t>
      </w:r>
      <w:r>
        <w:rPr>
          <w:lang w:eastAsia="zh-CN"/>
        </w:rPr>
        <w:t xml:space="preserve">the </w:t>
      </w:r>
      <w:r w:rsidRPr="00966530">
        <w:rPr>
          <w:lang w:eastAsia="zh-CN"/>
        </w:rPr>
        <w:t>PUCCH resource indicator</w:t>
      </w:r>
      <w:r w:rsidRPr="00966530">
        <w:t xml:space="preserve"> field in the DCI format.</w:t>
      </w:r>
      <w:r w:rsidRPr="00966530">
        <w:rPr>
          <w:color w:val="000000"/>
        </w:rPr>
        <w:t xml:space="preserve"> </w:t>
      </w:r>
    </w:p>
    <w:p w14:paraId="5522F407" w14:textId="77777777" w:rsidR="005A14F3" w:rsidRPr="00037243" w:rsidRDefault="005A14F3" w:rsidP="005A14F3">
      <w:r w:rsidRPr="00037243">
        <w:lastRenderedPageBreak/>
        <w:t xml:space="preserve">When the PDCCH </w:t>
      </w:r>
      <w:r w:rsidRPr="00037243">
        <w:rPr>
          <w:lang w:eastAsia="ko-KR"/>
        </w:rPr>
        <w:t xml:space="preserve">reception by a UE includes first and second PDCCH candidates from  respective first and second search space sets, as described in clause 10.1, the CORESET and </w:t>
      </w:r>
      <m:oMath>
        <m:sSub>
          <m:sSubPr>
            <m:ctrlPr>
              <w:rPr>
                <w:rFonts w:ascii="Cambria Math" w:hAnsi="Cambria Math"/>
                <w:i/>
                <w:lang w:val="en-US"/>
              </w:rPr>
            </m:ctrlPr>
          </m:sSubPr>
          <m:e>
            <m:r>
              <w:rPr>
                <w:rFonts w:ascii="Cambria Math" w:hAnsi="Cambria Math"/>
                <w:lang w:val="en-US"/>
              </w:rPr>
              <m:t>n</m:t>
            </m:r>
          </m:e>
          <m:sub>
            <m:r>
              <m:rPr>
                <m:sty m:val="p"/>
              </m:rPr>
              <w:rPr>
                <w:rFonts w:ascii="Cambria Math" w:hAnsi="Cambria Math"/>
                <w:lang w:val="en-US"/>
              </w:rPr>
              <m:t>CCE,0</m:t>
            </m:r>
          </m:sub>
        </m:sSub>
      </m:oMath>
      <w:r w:rsidRPr="00037243">
        <w:t xml:space="preserve"> are</w:t>
      </w:r>
      <w:r w:rsidRPr="00037243">
        <w:rPr>
          <w:lang w:eastAsia="ko-KR"/>
        </w:rPr>
        <w:t xml:space="preserve"> associated with the search space set having the smaller index. If</w:t>
      </w:r>
    </w:p>
    <w:p w14:paraId="38F8855D" w14:textId="04F95BEC" w:rsidR="005A14F3" w:rsidRPr="00037243" w:rsidRDefault="005A14F3" w:rsidP="005A14F3">
      <w:pPr>
        <w:pStyle w:val="B1"/>
      </w:pPr>
      <w:r>
        <w:t>-</w:t>
      </w:r>
      <w:r>
        <w:tab/>
      </w:r>
      <w:r w:rsidRPr="00037243">
        <w:t>the first search space set has larger index than the second search space set and includes the first PDCCH candidate and a third PDCCH candidate that have same first CCE index and CCE aggregation levels 8 and 16, or 16 and 8, respectively,</w:t>
      </w:r>
    </w:p>
    <w:p w14:paraId="31210BF1" w14:textId="030E4909" w:rsidR="005A14F3" w:rsidRPr="00037243" w:rsidRDefault="005A14F3" w:rsidP="005A14F3">
      <w:pPr>
        <w:pStyle w:val="B1"/>
      </w:pPr>
      <w:r>
        <w:t>-</w:t>
      </w:r>
      <w:r>
        <w:tab/>
      </w:r>
      <w:r w:rsidRPr="00037243">
        <w:t>the second search space set includes the second PDCCH candidate that has same index and same CCE aggregation level as the first PDCCH candidate, and a fourth PDCCH candidate that has same index and same CCE aggregation level as the third PDCCH candidate,</w:t>
      </w:r>
    </w:p>
    <w:p w14:paraId="5BD3D725" w14:textId="6CDAAD0F" w:rsidR="005A14F3" w:rsidRPr="00037243" w:rsidRDefault="005A14F3" w:rsidP="005A14F3">
      <w:pPr>
        <w:pStyle w:val="B1"/>
      </w:pPr>
      <w:r>
        <w:t>-</w:t>
      </w:r>
      <w:r>
        <w:tab/>
      </w:r>
      <w:r w:rsidRPr="00037243">
        <w:t xml:space="preserve">the CORESET associated with the first search space set has </w:t>
      </w:r>
      <w:r w:rsidRPr="00037243">
        <w:rPr>
          <w:i/>
        </w:rPr>
        <w:t>cce-REG-MappingType</w:t>
      </w:r>
      <w:r w:rsidRPr="00037243">
        <w:t xml:space="preserve"> = '</w:t>
      </w:r>
      <w:r w:rsidRPr="00037243">
        <w:rPr>
          <w:i/>
        </w:rPr>
        <w:t>nonInterleaved</w:t>
      </w:r>
      <w:r w:rsidRPr="00037243">
        <w:t>' and has duration of one symbol, and</w:t>
      </w:r>
    </w:p>
    <w:p w14:paraId="68F181ED" w14:textId="2FBC6D1C" w:rsidR="005A14F3" w:rsidRPr="00037243" w:rsidRDefault="005A14F3" w:rsidP="005A14F3">
      <w:pPr>
        <w:pStyle w:val="B1"/>
      </w:pPr>
      <w:r>
        <w:t>-</w:t>
      </w:r>
      <w:r>
        <w:tab/>
      </w:r>
      <w:r w:rsidRPr="00037243">
        <w:t xml:space="preserve">the second PDCCH candidate has different first CCE index than the fourth PDCCH candidate </w:t>
      </w:r>
    </w:p>
    <w:p w14:paraId="141258FC" w14:textId="77777777" w:rsidR="005A14F3" w:rsidRPr="00037243" w:rsidRDefault="005A14F3" w:rsidP="005A14F3">
      <w:pPr>
        <w:overflowPunct w:val="0"/>
        <w:autoSpaceDE w:val="0"/>
        <w:autoSpaceDN w:val="0"/>
        <w:adjustRightInd w:val="0"/>
        <w:textAlignment w:val="baseline"/>
        <w:rPr>
          <w:lang w:val="en-US"/>
        </w:rPr>
      </w:pPr>
      <w:r w:rsidRPr="00037243">
        <w:rPr>
          <w:rFonts w:eastAsia="Calibri"/>
        </w:rPr>
        <w:t xml:space="preserve">the UE determines </w:t>
      </w:r>
      <m:oMath>
        <m:sSub>
          <m:sSubPr>
            <m:ctrlPr>
              <w:rPr>
                <w:rFonts w:ascii="Cambria Math" w:hAnsi="Cambria Math"/>
                <w:i/>
              </w:rPr>
            </m:ctrlPr>
          </m:sSubPr>
          <m:e>
            <m:r>
              <w:rPr>
                <w:rFonts w:ascii="Cambria Math" w:hAnsi="Cambria Math"/>
              </w:rPr>
              <m:t>n</m:t>
            </m:r>
          </m:e>
          <m:sub>
            <m:r>
              <m:rPr>
                <m:sty m:val="p"/>
              </m:rPr>
              <w:rPr>
                <w:rFonts w:ascii="Cambria Math" w:hAnsi="Cambria Math"/>
                <w:lang w:val="en-US"/>
              </w:rPr>
              <m:t>CCE,0</m:t>
            </m:r>
          </m:sub>
        </m:sSub>
      </m:oMath>
      <w:r w:rsidRPr="00037243">
        <w:rPr>
          <w:lang w:val="en-US"/>
        </w:rPr>
        <w:t xml:space="preserve"> from the PDCCH candidate with CCE aggregation level 16 among the second PDCCH candidate and the fourth PDCCH candidate.</w:t>
      </w:r>
    </w:p>
    <w:p w14:paraId="1434D19B" w14:textId="394309A3" w:rsidR="00C84B1F" w:rsidRDefault="00C84B1F" w:rsidP="00C84B1F">
      <w:r>
        <w:rPr>
          <w:color w:val="000000"/>
        </w:rPr>
        <w:t xml:space="preserve">If </w:t>
      </w:r>
      <m:oMath>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r</m:t>
                    </m:r>
                  </m:e>
                  <m:sub>
                    <m:r>
                      <m:rPr>
                        <m:nor/>
                      </m:rPr>
                      <m:t>PUCCH</m:t>
                    </m:r>
                    <m:ctrlPr>
                      <w:rPr>
                        <w:rFonts w:ascii="Cambria Math" w:hAnsi="Cambria Math"/>
                      </w:rPr>
                    </m:ctrlPr>
                  </m:sub>
                </m:sSub>
              </m:num>
              <m:den>
                <m:r>
                  <w:rPr>
                    <w:rFonts w:ascii="Cambria Math" w:hAnsi="Cambria Math"/>
                  </w:rPr>
                  <m:t>8</m:t>
                </m:r>
              </m:den>
            </m:f>
          </m:e>
        </m:d>
        <m:r>
          <w:rPr>
            <w:rFonts w:ascii="Cambria Math" w:hAnsi="Cambria Math"/>
          </w:rPr>
          <m:t>=0</m:t>
        </m:r>
      </m:oMath>
      <w:r w:rsidR="002F2BD0" w:rsidRPr="002F2BD0">
        <w:t xml:space="preserve"> </w:t>
      </w:r>
      <w:r w:rsidR="002F2BD0">
        <w:t xml:space="preserve">and a UE is provided a PUCCH resource </w:t>
      </w:r>
      <w:r w:rsidR="002F2BD0" w:rsidRPr="00BA67CF">
        <w:t xml:space="preserve">by </w:t>
      </w:r>
      <w:r w:rsidR="002F2BD0" w:rsidRPr="00BA67CF">
        <w:rPr>
          <w:i/>
        </w:rPr>
        <w:t>pucch-</w:t>
      </w:r>
      <w:r w:rsidR="002F2BD0" w:rsidRPr="00C50004">
        <w:rPr>
          <w:i/>
          <w:lang w:val="en-US"/>
        </w:rPr>
        <w:t>Resource</w:t>
      </w:r>
      <w:r w:rsidR="002F2BD0" w:rsidRPr="00C55E96">
        <w:rPr>
          <w:i/>
          <w:lang w:val="en-US"/>
        </w:rPr>
        <w:t>Common</w:t>
      </w:r>
      <w:r w:rsidR="002F2BD0">
        <w:rPr>
          <w:lang w:val="en-US"/>
        </w:rPr>
        <w:t xml:space="preserve"> </w:t>
      </w:r>
      <w:r w:rsidR="002F2BD0">
        <w:t xml:space="preserve">and is not provided </w:t>
      </w:r>
      <w:r w:rsidR="00B351D4" w:rsidRPr="00366AA5">
        <w:rPr>
          <w:i/>
        </w:rPr>
        <w:t xml:space="preserve">useInterlacePUCCH-PUSCH </w:t>
      </w:r>
      <w:r w:rsidR="00B351D4" w:rsidRPr="00366AA5">
        <w:rPr>
          <w:iCs/>
        </w:rPr>
        <w:t xml:space="preserve">in </w:t>
      </w:r>
      <w:r w:rsidR="00B351D4" w:rsidRPr="00366AA5">
        <w:rPr>
          <w:i/>
        </w:rPr>
        <w:t>BWP-UplinkCommon</w:t>
      </w:r>
    </w:p>
    <w:p w14:paraId="56E135F5" w14:textId="5021EC8C" w:rsidR="008F277D" w:rsidRPr="00B27E56" w:rsidRDefault="008F277D" w:rsidP="008F277D">
      <w:pPr>
        <w:pStyle w:val="B1"/>
        <w:rPr>
          <w:lang w:val="en-US"/>
        </w:rPr>
      </w:pPr>
      <w:r w:rsidRPr="00B27E56">
        <w:t>-</w:t>
      </w:r>
      <w:r w:rsidRPr="00B27E56">
        <w:tab/>
        <w:t xml:space="preserve">the </w:t>
      </w:r>
      <w:r w:rsidRPr="00B27E56">
        <w:rPr>
          <w:lang w:val="en-US"/>
        </w:rPr>
        <w:t xml:space="preserve">UE determines the lowest </w:t>
      </w:r>
      <w:r w:rsidRPr="00B27E56">
        <w:t xml:space="preserve">PRB </w:t>
      </w:r>
      <w:r w:rsidRPr="00B27E56">
        <w:rPr>
          <w:lang w:val="en-US"/>
        </w:rPr>
        <w:t xml:space="preserve">index of the PUCCH transmission in the first hop as </w:t>
      </w:r>
      <m:oMath>
        <m:sSubSup>
          <m:sSubSupPr>
            <m:ctrlPr>
              <w:rPr>
                <w:rFonts w:ascii="Cambria Math" w:hAnsi="Cambria Math"/>
              </w:rPr>
            </m:ctrlPr>
          </m:sSubSupPr>
          <m:e>
            <m:r>
              <w:rPr>
                <w:rFonts w:ascii="Cambria Math" w:hAnsi="Cambria Math"/>
              </w:rPr>
              <m:t>RB</m:t>
            </m:r>
          </m:e>
          <m:sub>
            <m:r>
              <m:rPr>
                <m:nor/>
              </m:rPr>
              <w:rPr>
                <w:rFonts w:ascii="Cambria Math"/>
              </w:rPr>
              <m:t>BWP</m:t>
            </m:r>
          </m:sub>
          <m:sup>
            <m:r>
              <m:rPr>
                <m:nor/>
              </m:rPr>
              <m:t>offset</m:t>
            </m:r>
          </m:sup>
        </m:sSubSup>
        <m:r>
          <w:rPr>
            <w:rFonts w:ascii="Cambria Math" w:hAnsi="Cambria Math" w:cs="Cambria Math"/>
          </w:rPr>
          <m:t>⋅</m:t>
        </m:r>
        <m:sSub>
          <m:sSubPr>
            <m:ctrlPr>
              <w:rPr>
                <w:rFonts w:ascii="Cambria Math" w:hAnsi="Cambria Math"/>
                <w:i/>
                <w:iCs/>
              </w:rPr>
            </m:ctrlPr>
          </m:sSubPr>
          <m:e>
            <m:r>
              <w:rPr>
                <w:rFonts w:ascii="Cambria Math" w:hAnsi="Cambria Math"/>
              </w:rPr>
              <m:t>N</m:t>
            </m:r>
          </m:e>
          <m:sub>
            <m:r>
              <w:rPr>
                <w:rFonts w:ascii="Cambria Math" w:hAnsi="Cambria Math"/>
              </w:rPr>
              <m:t>RB</m:t>
            </m:r>
          </m:sub>
        </m:sSub>
        <m:r>
          <w:rPr>
            <w:rFonts w:ascii="Cambria Math" w:hAnsi="Cambria Math"/>
          </w:rPr>
          <m:t>+</m:t>
        </m:r>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r</m:t>
                    </m:r>
                  </m:e>
                  <m:sub>
                    <m:r>
                      <m:rPr>
                        <m:nor/>
                      </m:rPr>
                      <m:t>PUCCH</m:t>
                    </m:r>
                    <m:ctrlPr>
                      <w:rPr>
                        <w:rFonts w:ascii="Cambria Math" w:hAnsi="Cambria Math"/>
                      </w:rPr>
                    </m:ctrlPr>
                  </m:sub>
                </m:sSub>
              </m:num>
              <m:den>
                <m:sSub>
                  <m:sSubPr>
                    <m:ctrlPr>
                      <w:rPr>
                        <w:rFonts w:ascii="Cambria Math" w:hAnsi="Cambria Math"/>
                        <w:i/>
                        <w:lang w:val="en-US"/>
                      </w:rPr>
                    </m:ctrlPr>
                  </m:sSubPr>
                  <m:e>
                    <m:r>
                      <w:rPr>
                        <w:rFonts w:ascii="Cambria Math" w:hAnsi="Cambria Math"/>
                        <w:lang w:val="en-US"/>
                      </w:rPr>
                      <m:t>N</m:t>
                    </m:r>
                  </m:e>
                  <m:sub>
                    <m:r>
                      <m:rPr>
                        <m:sty m:val="p"/>
                      </m:rPr>
                      <w:rPr>
                        <w:rFonts w:ascii="Cambria Math" w:hAnsi="Cambria Math"/>
                        <w:lang w:val="en-US"/>
                      </w:rPr>
                      <m:t>CS</m:t>
                    </m:r>
                  </m:sub>
                </m:sSub>
              </m:den>
            </m:f>
          </m:e>
        </m:d>
        <m:r>
          <w:rPr>
            <w:rFonts w:ascii="Cambria Math" w:hAnsi="Cambria Math"/>
            <w:lang w:val="zh-CN"/>
          </w:rPr>
          <m:t>∙</m:t>
        </m:r>
        <m:sSub>
          <m:sSubPr>
            <m:ctrlPr>
              <w:rPr>
                <w:rFonts w:ascii="Cambria Math" w:hAnsi="Cambria Math"/>
                <w:i/>
                <w:iCs/>
              </w:rPr>
            </m:ctrlPr>
          </m:sSubPr>
          <m:e>
            <m:r>
              <w:rPr>
                <w:rFonts w:ascii="Cambria Math" w:hAnsi="Cambria Math"/>
              </w:rPr>
              <m:t>N</m:t>
            </m:r>
          </m:e>
          <m:sub>
            <m:r>
              <w:rPr>
                <w:rFonts w:ascii="Cambria Math" w:hAnsi="Cambria Math"/>
              </w:rPr>
              <m:t>RB</m:t>
            </m:r>
          </m:sub>
        </m:sSub>
      </m:oMath>
      <w:r w:rsidRPr="00B27E56">
        <w:rPr>
          <w:lang w:val="en-US"/>
        </w:rPr>
        <w:t xml:space="preserve"> and the lowest PRB index of the PUCCH transmission in the second hop as </w:t>
      </w:r>
      <m:oMath>
        <m:sSubSup>
          <m:sSubSupPr>
            <m:ctrlPr>
              <w:rPr>
                <w:rFonts w:ascii="Cambria Math" w:hAnsi="Cambria Math"/>
              </w:rPr>
            </m:ctrlPr>
          </m:sSubSupPr>
          <m:e>
            <m:sSubSup>
              <m:sSubSupPr>
                <m:ctrlPr>
                  <w:rPr>
                    <w:rFonts w:ascii="Cambria Math" w:hAnsi="Cambria Math"/>
                  </w:rPr>
                </m:ctrlPr>
              </m:sSubSupPr>
              <m:e>
                <m:r>
                  <w:rPr>
                    <w:rFonts w:ascii="Cambria Math" w:hAnsi="Cambria Math"/>
                  </w:rPr>
                  <m:t>N</m:t>
                </m:r>
              </m:e>
              <m:sub>
                <m:r>
                  <m:rPr>
                    <m:nor/>
                  </m:rPr>
                  <w:rPr>
                    <w:rFonts w:ascii="Cambria Math"/>
                  </w:rPr>
                  <m:t>BWP</m:t>
                </m:r>
              </m:sub>
              <m:sup>
                <m:r>
                  <m:rPr>
                    <m:nor/>
                  </m:rPr>
                  <m:t>size</m:t>
                </m:r>
              </m:sup>
            </m:sSubSup>
            <m:r>
              <w:rPr>
                <w:rFonts w:ascii="Cambria Math" w:hAnsi="Cambria Math"/>
              </w:rPr>
              <m:t>-RB</m:t>
            </m:r>
          </m:e>
          <m:sub>
            <m:r>
              <m:rPr>
                <m:nor/>
              </m:rPr>
              <w:rPr>
                <w:rFonts w:ascii="Cambria Math"/>
              </w:rPr>
              <m:t>BWP</m:t>
            </m:r>
          </m:sub>
          <m:sup>
            <m:r>
              <m:rPr>
                <m:nor/>
              </m:rPr>
              <m:t>offset</m:t>
            </m:r>
          </m:sup>
        </m:sSubSup>
        <m:r>
          <w:rPr>
            <w:rFonts w:ascii="Cambria Math" w:hAnsi="Cambria Math"/>
            <w:lang w:val="zh-CN"/>
          </w:rPr>
          <m:t>∙</m:t>
        </m:r>
        <m:sSub>
          <m:sSubPr>
            <m:ctrlPr>
              <w:rPr>
                <w:rFonts w:ascii="Cambria Math" w:hAnsi="Cambria Math"/>
                <w:i/>
                <w:iCs/>
              </w:rPr>
            </m:ctrlPr>
          </m:sSubPr>
          <m:e>
            <m:r>
              <w:rPr>
                <w:rFonts w:ascii="Cambria Math" w:hAnsi="Cambria Math"/>
              </w:rPr>
              <m:t>N</m:t>
            </m:r>
          </m:e>
          <m:sub>
            <m:r>
              <w:rPr>
                <w:rFonts w:ascii="Cambria Math" w:hAnsi="Cambria Math"/>
              </w:rPr>
              <m:t>RB</m:t>
            </m:r>
          </m:sub>
        </m:sSub>
        <m:r>
          <w:rPr>
            <w:rFonts w:ascii="Cambria Math" w:hAnsi="Cambria Math"/>
          </w:rPr>
          <m:t>-</m:t>
        </m:r>
        <m:d>
          <m:dPr>
            <m:ctrlPr>
              <w:rPr>
                <w:rFonts w:ascii="Cambria Math" w:hAnsi="Cambria Math"/>
                <w:i/>
              </w:rPr>
            </m:ctrlPr>
          </m:dPr>
          <m:e>
            <m:r>
              <w:rPr>
                <w:rFonts w:ascii="Cambria Math" w:hAnsi="Cambria Math"/>
              </w:rPr>
              <m:t>1+</m:t>
            </m:r>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r</m:t>
                        </m:r>
                      </m:e>
                      <m:sub>
                        <m:r>
                          <m:rPr>
                            <m:nor/>
                          </m:rPr>
                          <m:t>PUCCH</m:t>
                        </m:r>
                        <m:ctrlPr>
                          <w:rPr>
                            <w:rFonts w:ascii="Cambria Math" w:hAnsi="Cambria Math"/>
                          </w:rPr>
                        </m:ctrlPr>
                      </m:sub>
                    </m:sSub>
                  </m:num>
                  <m:den>
                    <m:sSub>
                      <m:sSubPr>
                        <m:ctrlPr>
                          <w:rPr>
                            <w:rFonts w:ascii="Cambria Math" w:hAnsi="Cambria Math"/>
                            <w:i/>
                            <w:lang w:val="en-US"/>
                          </w:rPr>
                        </m:ctrlPr>
                      </m:sSubPr>
                      <m:e>
                        <m:r>
                          <w:rPr>
                            <w:rFonts w:ascii="Cambria Math" w:hAnsi="Cambria Math"/>
                            <w:lang w:val="en-US"/>
                          </w:rPr>
                          <m:t>N</m:t>
                        </m:r>
                      </m:e>
                      <m:sub>
                        <m:r>
                          <m:rPr>
                            <m:sty m:val="p"/>
                          </m:rPr>
                          <w:rPr>
                            <w:rFonts w:ascii="Cambria Math" w:hAnsi="Cambria Math"/>
                            <w:lang w:val="en-US"/>
                          </w:rPr>
                          <m:t>CS</m:t>
                        </m:r>
                      </m:sub>
                    </m:sSub>
                  </m:den>
                </m:f>
              </m:e>
            </m:d>
          </m:e>
        </m:d>
        <m:r>
          <w:rPr>
            <w:rFonts w:ascii="Cambria Math" w:hAnsi="Cambria Math"/>
            <w:lang w:val="zh-CN"/>
          </w:rPr>
          <m:t>∙</m:t>
        </m:r>
        <m:sSub>
          <m:sSubPr>
            <m:ctrlPr>
              <w:rPr>
                <w:rFonts w:ascii="Cambria Math" w:hAnsi="Cambria Math"/>
                <w:i/>
                <w:iCs/>
              </w:rPr>
            </m:ctrlPr>
          </m:sSubPr>
          <m:e>
            <m:r>
              <w:rPr>
                <w:rFonts w:ascii="Cambria Math" w:hAnsi="Cambria Math"/>
              </w:rPr>
              <m:t>N</m:t>
            </m:r>
          </m:e>
          <m:sub>
            <m:r>
              <w:rPr>
                <w:rFonts w:ascii="Cambria Math" w:hAnsi="Cambria Math"/>
              </w:rPr>
              <m:t>RB</m:t>
            </m:r>
          </m:sub>
        </m:sSub>
      </m:oMath>
      <w:r w:rsidRPr="00B27E56">
        <w:rPr>
          <w:lang w:val="en-US"/>
        </w:rPr>
        <w:t xml:space="preserve">, where </w:t>
      </w:r>
      <m:oMath>
        <m:sSub>
          <m:sSubPr>
            <m:ctrlPr>
              <w:rPr>
                <w:rFonts w:ascii="Cambria Math" w:hAnsi="Cambria Math"/>
                <w:i/>
                <w:lang w:val="en-US"/>
              </w:rPr>
            </m:ctrlPr>
          </m:sSubPr>
          <m:e>
            <m:r>
              <w:rPr>
                <w:rFonts w:ascii="Cambria Math" w:hAnsi="Cambria Math"/>
                <w:lang w:val="en-US"/>
              </w:rPr>
              <m:t>N</m:t>
            </m:r>
          </m:e>
          <m:sub>
            <m:r>
              <m:rPr>
                <m:sty m:val="p"/>
              </m:rPr>
              <w:rPr>
                <w:rFonts w:ascii="Cambria Math" w:hAnsi="Cambria Math"/>
                <w:lang w:val="en-US"/>
              </w:rPr>
              <m:t>CS</m:t>
            </m:r>
          </m:sub>
        </m:sSub>
      </m:oMath>
      <w:r w:rsidRPr="00B27E56">
        <w:rPr>
          <w:lang w:val="en-US"/>
        </w:rPr>
        <w:t xml:space="preserve"> is the total number of initial cyclic shift indexes in the set of initial cyclic shift indexes</w:t>
      </w:r>
    </w:p>
    <w:p w14:paraId="19DFFA88" w14:textId="17C33495" w:rsidR="00BE33B4" w:rsidRDefault="00BE33B4" w:rsidP="00BE33B4">
      <w:pPr>
        <w:pStyle w:val="B1"/>
        <w:rPr>
          <w:lang w:val="en-US"/>
        </w:rPr>
      </w:pPr>
      <w:r>
        <w:t>-</w:t>
      </w:r>
      <w:r>
        <w:tab/>
        <w:t xml:space="preserve">the </w:t>
      </w:r>
      <w:r>
        <w:rPr>
          <w:lang w:val="en-US"/>
        </w:rPr>
        <w:t xml:space="preserve">UE determines the initial cyclic shift index in the set of initial cyclic shift indexes as </w:t>
      </w:r>
      <m:oMath>
        <m:sSub>
          <m:sSubPr>
            <m:ctrlPr>
              <w:rPr>
                <w:rFonts w:ascii="Cambria Math" w:hAnsi="Cambria Math"/>
                <w:i/>
              </w:rPr>
            </m:ctrlPr>
          </m:sSubPr>
          <m:e>
            <m:r>
              <w:rPr>
                <w:rFonts w:ascii="Cambria Math" w:hAnsi="Cambria Math"/>
              </w:rPr>
              <m:t>r</m:t>
            </m:r>
          </m:e>
          <m:sub>
            <m:r>
              <m:rPr>
                <m:nor/>
              </m:rPr>
              <m:t>PUCCH</m:t>
            </m:r>
            <m:ctrlPr>
              <w:rPr>
                <w:rFonts w:ascii="Cambria Math" w:hAnsi="Cambria Math"/>
              </w:rPr>
            </m:ctrlPr>
          </m:sub>
        </m:sSub>
        <m:r>
          <m:rPr>
            <m:nor/>
          </m:rPr>
          <w:rPr>
            <w:rFonts w:ascii="Cambria Math" w:hAnsi="Cambria Math"/>
            <w:lang w:val="en-US"/>
          </w:rPr>
          <m:t>mod</m:t>
        </m:r>
        <m:sSub>
          <m:sSubPr>
            <m:ctrlPr>
              <w:rPr>
                <w:rFonts w:ascii="Cambria Math" w:hAnsi="Cambria Math"/>
                <w:i/>
                <w:lang w:val="en-US"/>
              </w:rPr>
            </m:ctrlPr>
          </m:sSubPr>
          <m:e>
            <m:r>
              <w:rPr>
                <w:rFonts w:ascii="Cambria Math" w:hAnsi="Cambria Math"/>
                <w:lang w:val="en-US"/>
              </w:rPr>
              <m:t>N</m:t>
            </m:r>
          </m:e>
          <m:sub>
            <m:r>
              <m:rPr>
                <m:sty m:val="p"/>
              </m:rPr>
              <w:rPr>
                <w:rFonts w:ascii="Cambria Math" w:hAnsi="Cambria Math"/>
                <w:lang w:val="en-US"/>
              </w:rPr>
              <m:t>CS</m:t>
            </m:r>
          </m:sub>
        </m:sSub>
      </m:oMath>
    </w:p>
    <w:p w14:paraId="409AE1A3" w14:textId="36C4FE0A" w:rsidR="00C84B1F" w:rsidRDefault="00C84B1F" w:rsidP="00C84B1F">
      <w:r>
        <w:rPr>
          <w:color w:val="000000"/>
        </w:rPr>
        <w:t xml:space="preserve">If </w:t>
      </w:r>
      <m:oMath>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r</m:t>
                    </m:r>
                  </m:e>
                  <m:sub>
                    <m:r>
                      <m:rPr>
                        <m:nor/>
                      </m:rPr>
                      <m:t>PUCCH</m:t>
                    </m:r>
                    <m:ctrlPr>
                      <w:rPr>
                        <w:rFonts w:ascii="Cambria Math" w:hAnsi="Cambria Math"/>
                      </w:rPr>
                    </m:ctrlPr>
                  </m:sub>
                </m:sSub>
              </m:num>
              <m:den>
                <m:r>
                  <w:rPr>
                    <w:rFonts w:ascii="Cambria Math" w:hAnsi="Cambria Math"/>
                  </w:rPr>
                  <m:t>8</m:t>
                </m:r>
              </m:den>
            </m:f>
          </m:e>
        </m:d>
        <m:r>
          <w:rPr>
            <w:rFonts w:ascii="Cambria Math" w:hAnsi="Cambria Math"/>
          </w:rPr>
          <m:t>=1</m:t>
        </m:r>
      </m:oMath>
      <w:r w:rsidR="002F2BD0" w:rsidRPr="002F2BD0">
        <w:t xml:space="preserve"> </w:t>
      </w:r>
      <w:r w:rsidR="002F2BD0">
        <w:t xml:space="preserve">and a UE is provided a PUCCH resource </w:t>
      </w:r>
      <w:r w:rsidR="002F2BD0" w:rsidRPr="00BA67CF">
        <w:t xml:space="preserve">by </w:t>
      </w:r>
      <w:r w:rsidR="002F2BD0" w:rsidRPr="00BA67CF">
        <w:rPr>
          <w:i/>
        </w:rPr>
        <w:t>pucch-</w:t>
      </w:r>
      <w:r w:rsidR="002F2BD0" w:rsidRPr="00C50004">
        <w:rPr>
          <w:i/>
          <w:lang w:val="en-US"/>
        </w:rPr>
        <w:t>Resource</w:t>
      </w:r>
      <w:r w:rsidR="002F2BD0" w:rsidRPr="00C55E96">
        <w:rPr>
          <w:i/>
          <w:lang w:val="en-US"/>
        </w:rPr>
        <w:t>Common</w:t>
      </w:r>
      <w:r w:rsidR="002F2BD0">
        <w:rPr>
          <w:lang w:val="en-US"/>
        </w:rPr>
        <w:t xml:space="preserve"> </w:t>
      </w:r>
      <w:r w:rsidR="002F2BD0">
        <w:t xml:space="preserve">and is not provided </w:t>
      </w:r>
      <w:r w:rsidR="00E23728" w:rsidRPr="0019714F">
        <w:rPr>
          <w:i/>
        </w:rPr>
        <w:t>useInterlacePUCCH-PUSCH</w:t>
      </w:r>
      <w:r w:rsidR="00E23728" w:rsidRPr="0019714F">
        <w:rPr>
          <w:iCs/>
        </w:rPr>
        <w:t xml:space="preserve"> in </w:t>
      </w:r>
      <w:r w:rsidR="00E23728" w:rsidRPr="0019714F">
        <w:rPr>
          <w:i/>
        </w:rPr>
        <w:t>BWP-UplinkCommon</w:t>
      </w:r>
    </w:p>
    <w:p w14:paraId="181B50D1" w14:textId="796FF22D" w:rsidR="008F277D" w:rsidRPr="00B27E56" w:rsidRDefault="008F277D" w:rsidP="008F277D">
      <w:pPr>
        <w:pStyle w:val="B1"/>
        <w:rPr>
          <w:lang w:val="en-US"/>
        </w:rPr>
      </w:pPr>
      <w:r w:rsidRPr="00B27E56">
        <w:t>-</w:t>
      </w:r>
      <w:r w:rsidRPr="00B27E56">
        <w:tab/>
        <w:t xml:space="preserve">the </w:t>
      </w:r>
      <w:r w:rsidRPr="00B27E56">
        <w:rPr>
          <w:lang w:val="en-US"/>
        </w:rPr>
        <w:t xml:space="preserve">UE determines the lowest </w:t>
      </w:r>
      <w:r w:rsidRPr="00B27E56">
        <w:t xml:space="preserve">PRB </w:t>
      </w:r>
      <w:r w:rsidRPr="00B27E56">
        <w:rPr>
          <w:lang w:val="en-US"/>
        </w:rPr>
        <w:t xml:space="preserve">index of the PUCCH transmission in the first hop as </w:t>
      </w:r>
      <m:oMath>
        <m:sSubSup>
          <m:sSubSupPr>
            <m:ctrlPr>
              <w:rPr>
                <w:rFonts w:ascii="Cambria Math" w:hAnsi="Cambria Math"/>
              </w:rPr>
            </m:ctrlPr>
          </m:sSubSupPr>
          <m:e>
            <m:sSubSup>
              <m:sSubSupPr>
                <m:ctrlPr>
                  <w:rPr>
                    <w:rFonts w:ascii="Cambria Math" w:hAnsi="Cambria Math"/>
                  </w:rPr>
                </m:ctrlPr>
              </m:sSubSupPr>
              <m:e>
                <m:r>
                  <w:rPr>
                    <w:rFonts w:ascii="Cambria Math" w:hAnsi="Cambria Math"/>
                  </w:rPr>
                  <m:t>N</m:t>
                </m:r>
              </m:e>
              <m:sub>
                <m:r>
                  <m:rPr>
                    <m:nor/>
                  </m:rPr>
                  <w:rPr>
                    <w:rFonts w:ascii="Cambria Math"/>
                  </w:rPr>
                  <m:t>BWP</m:t>
                </m:r>
              </m:sub>
              <m:sup>
                <m:r>
                  <m:rPr>
                    <m:nor/>
                  </m:rPr>
                  <m:t>size</m:t>
                </m:r>
              </m:sup>
            </m:sSubSup>
            <m:r>
              <w:rPr>
                <w:rFonts w:ascii="Cambria Math" w:hAnsi="Cambria Math"/>
              </w:rPr>
              <m:t>-RB</m:t>
            </m:r>
          </m:e>
          <m:sub>
            <m:r>
              <m:rPr>
                <m:nor/>
              </m:rPr>
              <w:rPr>
                <w:rFonts w:ascii="Cambria Math"/>
              </w:rPr>
              <m:t>BWP</m:t>
            </m:r>
          </m:sub>
          <m:sup>
            <m:r>
              <m:rPr>
                <m:nor/>
              </m:rPr>
              <m:t>offset</m:t>
            </m:r>
          </m:sup>
        </m:sSubSup>
        <m:r>
          <w:rPr>
            <w:rFonts w:ascii="Cambria Math" w:hAnsi="Cambria Math"/>
            <w:lang w:val="zh-CN"/>
          </w:rPr>
          <m:t>∙</m:t>
        </m:r>
        <m:sSub>
          <m:sSubPr>
            <m:ctrlPr>
              <w:rPr>
                <w:rFonts w:ascii="Cambria Math" w:hAnsi="Cambria Math"/>
                <w:i/>
                <w:iCs/>
              </w:rPr>
            </m:ctrlPr>
          </m:sSubPr>
          <m:e>
            <m:r>
              <w:rPr>
                <w:rFonts w:ascii="Cambria Math" w:hAnsi="Cambria Math"/>
              </w:rPr>
              <m:t>N</m:t>
            </m:r>
          </m:e>
          <m:sub>
            <m:r>
              <w:rPr>
                <w:rFonts w:ascii="Cambria Math" w:hAnsi="Cambria Math"/>
              </w:rPr>
              <m:t>RB</m:t>
            </m:r>
          </m:sub>
        </m:sSub>
        <m:r>
          <w:rPr>
            <w:rFonts w:ascii="Cambria Math" w:hAnsi="Cambria Math"/>
          </w:rPr>
          <m:t>-</m:t>
        </m:r>
        <m:d>
          <m:dPr>
            <m:ctrlPr>
              <w:rPr>
                <w:rFonts w:ascii="Cambria Math" w:hAnsi="Cambria Math"/>
                <w:i/>
              </w:rPr>
            </m:ctrlPr>
          </m:dPr>
          <m:e>
            <m:r>
              <w:rPr>
                <w:rFonts w:ascii="Cambria Math" w:hAnsi="Cambria Math"/>
              </w:rPr>
              <m:t>1+</m:t>
            </m:r>
            <m:d>
              <m:dPr>
                <m:begChr m:val="⌊"/>
                <m:endChr m:val="⌋"/>
                <m:ctrlPr>
                  <w:rPr>
                    <w:rFonts w:ascii="Cambria Math" w:hAnsi="Cambria Math"/>
                    <w:i/>
                  </w:rPr>
                </m:ctrlPr>
              </m:dPr>
              <m:e>
                <m:f>
                  <m:fPr>
                    <m:type m:val="lin"/>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r</m:t>
                            </m:r>
                          </m:e>
                          <m:sub>
                            <m:r>
                              <m:rPr>
                                <m:nor/>
                              </m:rPr>
                              <m:t>PUCCH</m:t>
                            </m:r>
                            <m:ctrlPr>
                              <w:rPr>
                                <w:rFonts w:ascii="Cambria Math" w:hAnsi="Cambria Math"/>
                              </w:rPr>
                            </m:ctrlPr>
                          </m:sub>
                        </m:sSub>
                        <m:r>
                          <w:rPr>
                            <w:rFonts w:ascii="Cambria Math" w:hAnsi="Cambria Math"/>
                          </w:rPr>
                          <m:t>-8</m:t>
                        </m:r>
                      </m:e>
                    </m:d>
                  </m:num>
                  <m:den>
                    <m:sSub>
                      <m:sSubPr>
                        <m:ctrlPr>
                          <w:rPr>
                            <w:rFonts w:ascii="Cambria Math" w:hAnsi="Cambria Math"/>
                            <w:i/>
                            <w:lang w:val="en-US"/>
                          </w:rPr>
                        </m:ctrlPr>
                      </m:sSubPr>
                      <m:e>
                        <m:r>
                          <w:rPr>
                            <w:rFonts w:ascii="Cambria Math" w:hAnsi="Cambria Math"/>
                            <w:lang w:val="en-US"/>
                          </w:rPr>
                          <m:t>N</m:t>
                        </m:r>
                      </m:e>
                      <m:sub>
                        <m:r>
                          <m:rPr>
                            <m:sty m:val="p"/>
                          </m:rPr>
                          <w:rPr>
                            <w:rFonts w:ascii="Cambria Math" w:hAnsi="Cambria Math"/>
                            <w:lang w:val="en-US"/>
                          </w:rPr>
                          <m:t>CS</m:t>
                        </m:r>
                      </m:sub>
                    </m:sSub>
                  </m:den>
                </m:f>
              </m:e>
            </m:d>
          </m:e>
        </m:d>
        <m:r>
          <w:rPr>
            <w:rFonts w:ascii="Cambria Math" w:hAnsi="Cambria Math"/>
            <w:lang w:val="zh-CN"/>
          </w:rPr>
          <m:t>∙</m:t>
        </m:r>
        <m:sSub>
          <m:sSubPr>
            <m:ctrlPr>
              <w:rPr>
                <w:rFonts w:ascii="Cambria Math" w:hAnsi="Cambria Math"/>
                <w:i/>
                <w:iCs/>
              </w:rPr>
            </m:ctrlPr>
          </m:sSubPr>
          <m:e>
            <m:r>
              <w:rPr>
                <w:rFonts w:ascii="Cambria Math" w:hAnsi="Cambria Math"/>
              </w:rPr>
              <m:t>N</m:t>
            </m:r>
          </m:e>
          <m:sub>
            <m:r>
              <w:rPr>
                <w:rFonts w:ascii="Cambria Math" w:hAnsi="Cambria Math"/>
              </w:rPr>
              <m:t>RB</m:t>
            </m:r>
          </m:sub>
        </m:sSub>
      </m:oMath>
      <w:r w:rsidRPr="00B27E56">
        <w:rPr>
          <w:lang w:val="en-US"/>
        </w:rPr>
        <w:t xml:space="preserve"> and the lowest PRB index of the PUCCH transmission in the second hop as </w:t>
      </w:r>
      <m:oMath>
        <m:sSubSup>
          <m:sSubSupPr>
            <m:ctrlPr>
              <w:rPr>
                <w:rFonts w:ascii="Cambria Math" w:hAnsi="Cambria Math"/>
              </w:rPr>
            </m:ctrlPr>
          </m:sSubSupPr>
          <m:e>
            <m:r>
              <w:rPr>
                <w:rFonts w:ascii="Cambria Math" w:hAnsi="Cambria Math"/>
              </w:rPr>
              <m:t>RB</m:t>
            </m:r>
          </m:e>
          <m:sub>
            <m:r>
              <m:rPr>
                <m:nor/>
              </m:rPr>
              <w:rPr>
                <w:rFonts w:ascii="Cambria Math"/>
              </w:rPr>
              <m:t>BWP</m:t>
            </m:r>
          </m:sub>
          <m:sup>
            <m:r>
              <m:rPr>
                <m:nor/>
              </m:rPr>
              <m:t>offset</m:t>
            </m:r>
          </m:sup>
        </m:sSubSup>
        <m:r>
          <w:rPr>
            <w:rFonts w:ascii="Cambria Math" w:hAnsi="Cambria Math"/>
            <w:lang w:val="zh-CN"/>
          </w:rPr>
          <m:t>∙</m:t>
        </m:r>
        <m:sSub>
          <m:sSubPr>
            <m:ctrlPr>
              <w:rPr>
                <w:rFonts w:ascii="Cambria Math" w:hAnsi="Cambria Math"/>
                <w:i/>
                <w:iCs/>
              </w:rPr>
            </m:ctrlPr>
          </m:sSubPr>
          <m:e>
            <m:r>
              <w:rPr>
                <w:rFonts w:ascii="Cambria Math" w:hAnsi="Cambria Math"/>
              </w:rPr>
              <m:t>N</m:t>
            </m:r>
          </m:e>
          <m:sub>
            <m:r>
              <w:rPr>
                <w:rFonts w:ascii="Cambria Math" w:hAnsi="Cambria Math"/>
              </w:rPr>
              <m:t>RB</m:t>
            </m:r>
          </m:sub>
        </m:sSub>
        <m:r>
          <w:rPr>
            <w:rFonts w:ascii="Cambria Math" w:hAnsi="Cambria Math"/>
          </w:rPr>
          <m:t>+</m:t>
        </m:r>
        <m:d>
          <m:dPr>
            <m:begChr m:val="⌊"/>
            <m:endChr m:val="⌋"/>
            <m:ctrlPr>
              <w:rPr>
                <w:rFonts w:ascii="Cambria Math" w:hAnsi="Cambria Math"/>
                <w:i/>
              </w:rPr>
            </m:ctrlPr>
          </m:dPr>
          <m:e>
            <m:f>
              <m:fPr>
                <m:type m:val="lin"/>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r</m:t>
                        </m:r>
                      </m:e>
                      <m:sub>
                        <m:r>
                          <m:rPr>
                            <m:nor/>
                          </m:rPr>
                          <m:t>PUCCH</m:t>
                        </m:r>
                        <m:ctrlPr>
                          <w:rPr>
                            <w:rFonts w:ascii="Cambria Math" w:hAnsi="Cambria Math"/>
                          </w:rPr>
                        </m:ctrlPr>
                      </m:sub>
                    </m:sSub>
                    <m:r>
                      <w:rPr>
                        <w:rFonts w:ascii="Cambria Math" w:hAnsi="Cambria Math"/>
                      </w:rPr>
                      <m:t>-8</m:t>
                    </m:r>
                  </m:e>
                </m:d>
              </m:num>
              <m:den>
                <m:sSub>
                  <m:sSubPr>
                    <m:ctrlPr>
                      <w:rPr>
                        <w:rFonts w:ascii="Cambria Math" w:hAnsi="Cambria Math"/>
                        <w:i/>
                        <w:lang w:val="en-US"/>
                      </w:rPr>
                    </m:ctrlPr>
                  </m:sSubPr>
                  <m:e>
                    <m:r>
                      <w:rPr>
                        <w:rFonts w:ascii="Cambria Math" w:hAnsi="Cambria Math"/>
                        <w:lang w:val="en-US"/>
                      </w:rPr>
                      <m:t>N</m:t>
                    </m:r>
                  </m:e>
                  <m:sub>
                    <m:r>
                      <m:rPr>
                        <m:sty m:val="p"/>
                      </m:rPr>
                      <w:rPr>
                        <w:rFonts w:ascii="Cambria Math" w:hAnsi="Cambria Math"/>
                        <w:lang w:val="en-US"/>
                      </w:rPr>
                      <m:t>CS</m:t>
                    </m:r>
                  </m:sub>
                </m:sSub>
              </m:den>
            </m:f>
          </m:e>
        </m:d>
        <m:r>
          <w:rPr>
            <w:rFonts w:ascii="Cambria Math" w:hAnsi="Cambria Math"/>
            <w:lang w:val="zh-CN"/>
          </w:rPr>
          <m:t>∙</m:t>
        </m:r>
        <m:sSub>
          <m:sSubPr>
            <m:ctrlPr>
              <w:rPr>
                <w:rFonts w:ascii="Cambria Math" w:hAnsi="Cambria Math"/>
                <w:i/>
                <w:iCs/>
              </w:rPr>
            </m:ctrlPr>
          </m:sSubPr>
          <m:e>
            <m:r>
              <w:rPr>
                <w:rFonts w:ascii="Cambria Math" w:hAnsi="Cambria Math"/>
              </w:rPr>
              <m:t>N</m:t>
            </m:r>
          </m:e>
          <m:sub>
            <m:r>
              <w:rPr>
                <w:rFonts w:ascii="Cambria Math" w:hAnsi="Cambria Math"/>
              </w:rPr>
              <m:t>RB</m:t>
            </m:r>
          </m:sub>
        </m:sSub>
      </m:oMath>
      <w:r w:rsidRPr="00B27E56">
        <w:rPr>
          <w:lang w:val="en-US"/>
        </w:rPr>
        <w:t xml:space="preserve"> </w:t>
      </w:r>
    </w:p>
    <w:p w14:paraId="7145B9F8" w14:textId="2A85863F" w:rsidR="00BE33B4" w:rsidRDefault="00BE33B4" w:rsidP="00BE33B4">
      <w:pPr>
        <w:pStyle w:val="B1"/>
      </w:pPr>
      <w:r>
        <w:t>-</w:t>
      </w:r>
      <w:r>
        <w:tab/>
        <w:t xml:space="preserve">the </w:t>
      </w:r>
      <w:r>
        <w:rPr>
          <w:lang w:val="en-US"/>
        </w:rPr>
        <w:t xml:space="preserve">UE determines the initial cyclic shift index in the set of initial cyclic shift indexes as </w:t>
      </w:r>
      <w:r w:rsidR="00ED3701">
        <w:rPr>
          <w:noProof/>
          <w:position w:val="-10"/>
        </w:rPr>
        <w:drawing>
          <wp:inline distT="0" distB="0" distL="0" distR="0" wp14:anchorId="2B0CC3B2" wp14:editId="5B46144C">
            <wp:extent cx="1009650" cy="200025"/>
            <wp:effectExtent l="0" t="0" r="0" b="0"/>
            <wp:docPr id="116"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009650" cy="200025"/>
                    </a:xfrm>
                    <a:prstGeom prst="rect">
                      <a:avLst/>
                    </a:prstGeom>
                    <a:noFill/>
                    <a:ln>
                      <a:noFill/>
                    </a:ln>
                  </pic:spPr>
                </pic:pic>
              </a:graphicData>
            </a:graphic>
          </wp:inline>
        </w:drawing>
      </w:r>
    </w:p>
    <w:p w14:paraId="05027724" w14:textId="24E79FE4" w:rsidR="002F2BD0" w:rsidRPr="001E5A93" w:rsidRDefault="002F2BD0" w:rsidP="002F2BD0">
      <w:r w:rsidRPr="003A2633">
        <w:rPr>
          <w:color w:val="000000"/>
        </w:rPr>
        <w:t xml:space="preserve">If </w:t>
      </w:r>
      <w:r w:rsidRPr="003A2633">
        <w:t xml:space="preserve">a </w:t>
      </w:r>
      <w:r>
        <w:t xml:space="preserve">UE is provided a </w:t>
      </w:r>
      <w:r w:rsidRPr="003A2633">
        <w:t xml:space="preserve">PUCCH resource by </w:t>
      </w:r>
      <w:r w:rsidRPr="003A2633">
        <w:rPr>
          <w:i/>
        </w:rPr>
        <w:t>pucch-ResourceCommon</w:t>
      </w:r>
      <w:r>
        <w:t xml:space="preserve"> and is provided </w:t>
      </w:r>
      <w:r w:rsidR="00527FA8" w:rsidRPr="0019714F">
        <w:rPr>
          <w:i/>
        </w:rPr>
        <w:t>useInterlacePUCCH-PUSCH</w:t>
      </w:r>
      <w:r w:rsidR="00527FA8" w:rsidRPr="0019714F">
        <w:rPr>
          <w:iCs/>
        </w:rPr>
        <w:t xml:space="preserve"> in </w:t>
      </w:r>
      <w:r w:rsidR="00527FA8" w:rsidRPr="0019714F">
        <w:rPr>
          <w:i/>
        </w:rPr>
        <w:t>BWP-UplinkCommon</w:t>
      </w:r>
    </w:p>
    <w:p w14:paraId="4AA1653D" w14:textId="44CD89FA" w:rsidR="002F2BD0" w:rsidRPr="00DD76BC" w:rsidRDefault="002F2BD0" w:rsidP="003E315E">
      <w:pPr>
        <w:pStyle w:val="B1"/>
        <w:rPr>
          <w:lang w:val="en-US"/>
        </w:rPr>
      </w:pPr>
      <w:r>
        <w:t>-</w:t>
      </w:r>
      <w:r>
        <w:tab/>
        <w:t xml:space="preserve">the UE determines </w:t>
      </w:r>
      <w:r>
        <w:rPr>
          <w:lang w:val="en-US"/>
        </w:rPr>
        <w:t xml:space="preserve">for the PUCCH resource </w:t>
      </w:r>
      <w:r>
        <w:t>an</w:t>
      </w:r>
      <w:r w:rsidRPr="003A2633">
        <w:t xml:space="preserve"> interlace index</w:t>
      </w:r>
      <w:r>
        <w:rPr>
          <w:lang w:val="en-US"/>
        </w:rPr>
        <w:t xml:space="preserve"> </w:t>
      </w:r>
      <m:oMath>
        <m:r>
          <w:rPr>
            <w:rFonts w:ascii="Cambria Math" w:hAnsi="Cambria Math"/>
          </w:rPr>
          <m:t>m</m:t>
        </m:r>
      </m:oMath>
      <w:r>
        <w:rPr>
          <w:lang w:val="en-US"/>
        </w:rPr>
        <w:t xml:space="preserve"> as </w:t>
      </w:r>
      <m:oMath>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r</m:t>
                        </m:r>
                      </m:e>
                      <m:sub>
                        <m:r>
                          <m:rPr>
                            <m:nor/>
                          </m:rPr>
                          <m:t>PUCCH</m:t>
                        </m:r>
                        <m:ctrlPr>
                          <w:rPr>
                            <w:rFonts w:ascii="Cambria Math" w:hAnsi="Cambria Math"/>
                          </w:rPr>
                        </m:ctrlPr>
                      </m:sub>
                    </m:sSub>
                  </m:num>
                  <m:den>
                    <m:sSub>
                      <m:sSubPr>
                        <m:ctrlPr>
                          <w:rPr>
                            <w:rFonts w:ascii="Cambria Math" w:hAnsi="Cambria Math"/>
                            <w:i/>
                          </w:rPr>
                        </m:ctrlPr>
                      </m:sSubPr>
                      <m:e>
                        <m:r>
                          <w:rPr>
                            <w:rFonts w:ascii="Cambria Math" w:hAnsi="Cambria Math"/>
                          </w:rPr>
                          <m:t>N</m:t>
                        </m:r>
                      </m:e>
                      <m:sub>
                        <m:r>
                          <m:rPr>
                            <m:nor/>
                          </m:rPr>
                          <m:t>CS</m:t>
                        </m:r>
                        <m:ctrlPr>
                          <w:rPr>
                            <w:rFonts w:ascii="Cambria Math" w:hAnsi="Cambria Math"/>
                          </w:rPr>
                        </m:ctrlPr>
                      </m:sub>
                    </m:sSub>
                  </m:den>
                </m:f>
              </m:e>
            </m:d>
          </m:e>
        </m:d>
        <m:r>
          <m:rPr>
            <m:nor/>
          </m:rPr>
          <w:rPr>
            <w:rFonts w:ascii="Cambria Math" w:hAnsi="Cambria Math"/>
            <w:lang w:val="en-US"/>
          </w:rPr>
          <m:t>mod</m:t>
        </m:r>
        <m:r>
          <w:rPr>
            <w:rFonts w:ascii="Cambria Math" w:hAnsi="Cambria Math"/>
            <w:lang w:val="en-US"/>
          </w:rPr>
          <m:t>M</m:t>
        </m:r>
      </m:oMath>
      <w:r>
        <w:rPr>
          <w:lang w:val="en-US"/>
        </w:rPr>
        <w:t xml:space="preserve"> </w:t>
      </w:r>
      <w:r w:rsidRPr="003A2633">
        <w:t>where</w:t>
      </w:r>
      <w:r>
        <w:t xml:space="preserve"> </w:t>
      </w:r>
      <m:oMath>
        <m:r>
          <w:rPr>
            <w:rFonts w:ascii="Cambria Math" w:hAnsi="Cambria Math"/>
            <w:lang w:val="en-US"/>
          </w:rPr>
          <m:t>M</m:t>
        </m:r>
      </m:oMath>
      <w:r>
        <w:t xml:space="preserve"> is a number of interlaces </w:t>
      </w:r>
      <w:r w:rsidRPr="003A2633">
        <w:t>[</w:t>
      </w:r>
      <w:r>
        <w:t xml:space="preserve">4, TS </w:t>
      </w:r>
      <w:r w:rsidRPr="003A2633">
        <w:t>38.211]</w:t>
      </w:r>
      <w:r>
        <w:t xml:space="preserve"> and </w:t>
      </w:r>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Sup>
          <m:sSubSupPr>
            <m:ctrlPr>
              <w:rPr>
                <w:rFonts w:ascii="Cambria Math" w:hAnsi="Cambria Math"/>
                <w:i/>
                <w:lang w:val="en-US"/>
              </w:rPr>
            </m:ctrlPr>
          </m:sSubSupPr>
          <m:e>
            <m:r>
              <w:rPr>
                <w:rFonts w:ascii="Cambria Math" w:hAnsi="Cambria Math"/>
                <w:lang w:val="en-US"/>
              </w:rPr>
              <m:t>RB</m:t>
            </m:r>
          </m:e>
          <m:sub>
            <m:r>
              <m:rPr>
                <m:nor/>
              </m:rPr>
              <w:rPr>
                <w:rFonts w:ascii="Cambria Math" w:hAnsi="Cambria Math"/>
                <w:lang w:val="en-US"/>
              </w:rPr>
              <m:t>BWP</m:t>
            </m:r>
          </m:sub>
          <m:sup>
            <m:r>
              <m:rPr>
                <m:nor/>
              </m:rPr>
              <w:rPr>
                <w:rFonts w:ascii="Cambria Math" w:hAnsi="Cambria Math"/>
                <w:lang w:val="en-US"/>
              </w:rPr>
              <m:t>offset</m:t>
            </m:r>
          </m:sup>
        </m:sSubSup>
      </m:oMath>
      <w:r>
        <w:rPr>
          <w:lang w:val="en-US"/>
        </w:rPr>
        <w:t xml:space="preserve"> is an interlace index offset and </w:t>
      </w:r>
      <m:oMath>
        <m:sSubSup>
          <m:sSubSupPr>
            <m:ctrlPr>
              <w:rPr>
                <w:rFonts w:ascii="Cambria Math" w:hAnsi="Cambria Math"/>
                <w:i/>
                <w:lang w:val="en-US"/>
              </w:rPr>
            </m:ctrlPr>
          </m:sSubSupPr>
          <m:e>
            <m:r>
              <w:rPr>
                <w:rFonts w:ascii="Cambria Math" w:hAnsi="Cambria Math"/>
                <w:lang w:val="en-US"/>
              </w:rPr>
              <m:t>RB</m:t>
            </m:r>
          </m:e>
          <m:sub>
            <m:r>
              <m:rPr>
                <m:nor/>
              </m:rPr>
              <w:rPr>
                <w:rFonts w:ascii="Cambria Math" w:hAnsi="Cambria Math"/>
                <w:lang w:val="en-US"/>
              </w:rPr>
              <m:t>BWP</m:t>
            </m:r>
          </m:sub>
          <m:sup>
            <m:r>
              <m:rPr>
                <m:nor/>
              </m:rPr>
              <w:rPr>
                <w:rFonts w:ascii="Cambria Math" w:hAnsi="Cambria Math"/>
                <w:lang w:val="en-US"/>
              </w:rPr>
              <m:t>offset</m:t>
            </m:r>
          </m:sup>
        </m:sSubSup>
      </m:oMath>
      <w:r>
        <w:rPr>
          <w:lang w:val="en-US"/>
        </w:rPr>
        <w:t xml:space="preserve"> is as given in</w:t>
      </w:r>
      <w:r w:rsidRPr="00A8669E">
        <w:rPr>
          <w:rFonts w:hint="eastAsia"/>
        </w:rPr>
        <w:t xml:space="preserve"> </w:t>
      </w:r>
      <w:r w:rsidRPr="00210269">
        <w:t>Table 9.2.1-1</w:t>
      </w:r>
      <w:r>
        <w:rPr>
          <w:lang w:val="en-US"/>
        </w:rPr>
        <w:t xml:space="preserve"> </w:t>
      </w:r>
    </w:p>
    <w:p w14:paraId="2CB5A1BD" w14:textId="5A896C0B" w:rsidR="002F2BD0" w:rsidRDefault="002F2BD0" w:rsidP="003E315E">
      <w:pPr>
        <w:pStyle w:val="B1"/>
        <w:rPr>
          <w:color w:val="000000"/>
        </w:rPr>
      </w:pPr>
      <w:r>
        <w:t>-</w:t>
      </w:r>
      <w:r>
        <w:tab/>
        <w:t>the UE determines an</w:t>
      </w:r>
      <w:r w:rsidRPr="003A2633">
        <w:t xml:space="preserve"> i</w:t>
      </w:r>
      <w:r>
        <w:t>nitial cyclic shift index in a</w:t>
      </w:r>
      <w:r w:rsidRPr="003A2633">
        <w:t xml:space="preserve"> set of initial cyclic shift indexes as </w:t>
      </w:r>
      <m:oMath>
        <m:sSub>
          <m:sSubPr>
            <m:ctrlPr>
              <w:rPr>
                <w:rFonts w:ascii="Cambria Math" w:hAnsi="Cambria Math"/>
                <w:i/>
              </w:rPr>
            </m:ctrlPr>
          </m:sSubPr>
          <m:e>
            <m:r>
              <w:rPr>
                <w:rFonts w:ascii="Cambria Math" w:hAnsi="Cambria Math"/>
              </w:rPr>
              <m:t>r</m:t>
            </m:r>
          </m:e>
          <m:sub>
            <m:r>
              <m:rPr>
                <m:nor/>
              </m:rPr>
              <w:rPr>
                <w:rFonts w:ascii="Cambria Math" w:hAnsi="Cambria Math"/>
              </w:rPr>
              <m:t>PUCCH</m:t>
            </m:r>
          </m:sub>
        </m:sSub>
        <m:r>
          <m:rPr>
            <m:nor/>
          </m:rPr>
          <w:rPr>
            <w:rFonts w:ascii="Cambria Math" w:hAnsi="Cambria Math"/>
          </w:rPr>
          <m:t>mod</m:t>
        </m:r>
        <m:sSub>
          <m:sSubPr>
            <m:ctrlPr>
              <w:rPr>
                <w:rFonts w:ascii="Cambria Math" w:hAnsi="Cambria Math"/>
                <w:i/>
              </w:rPr>
            </m:ctrlPr>
          </m:sSubPr>
          <m:e>
            <m:r>
              <w:rPr>
                <w:rFonts w:ascii="Cambria Math" w:hAnsi="Cambria Math"/>
              </w:rPr>
              <m:t>N</m:t>
            </m:r>
          </m:e>
          <m:sub>
            <m:r>
              <m:rPr>
                <m:nor/>
              </m:rPr>
              <w:rPr>
                <w:rFonts w:ascii="Cambria Math" w:hAnsi="Cambria Math"/>
              </w:rPr>
              <m:t>CS</m:t>
            </m:r>
          </m:sub>
        </m:sSub>
      </m:oMath>
      <w:r>
        <w:rPr>
          <w:lang w:val="en-US"/>
        </w:rPr>
        <w:t xml:space="preserve">, </w:t>
      </w:r>
      <w:r w:rsidRPr="003A2633">
        <w:rPr>
          <w:color w:val="000000"/>
        </w:rPr>
        <w:t xml:space="preserve">where </w:t>
      </w:r>
      <m:oMath>
        <m:sSub>
          <m:sSubPr>
            <m:ctrlPr>
              <w:rPr>
                <w:rFonts w:ascii="Cambria Math" w:hAnsi="Cambria Math"/>
                <w:i/>
                <w:color w:val="000000"/>
              </w:rPr>
            </m:ctrlPr>
          </m:sSubPr>
          <m:e>
            <m:r>
              <w:rPr>
                <w:rFonts w:ascii="Cambria Math" w:hAnsi="Cambria Math"/>
                <w:color w:val="000000"/>
              </w:rPr>
              <m:t>N</m:t>
            </m:r>
          </m:e>
          <m:sub>
            <m:r>
              <m:rPr>
                <m:nor/>
              </m:rPr>
              <w:rPr>
                <w:color w:val="000000"/>
              </w:rPr>
              <m:t>CS</m:t>
            </m:r>
          </m:sub>
        </m:sSub>
      </m:oMath>
      <w:r>
        <w:rPr>
          <w:color w:val="000000"/>
        </w:rPr>
        <w:t xml:space="preserve"> is the</w:t>
      </w:r>
      <w:r w:rsidRPr="003A2633">
        <w:rPr>
          <w:color w:val="000000"/>
        </w:rPr>
        <w:t xml:space="preserve"> total number of initial cyclic shifts indexes in </w:t>
      </w:r>
      <w:r>
        <w:rPr>
          <w:color w:val="000000"/>
        </w:rPr>
        <w:t>the</w:t>
      </w:r>
      <w:r w:rsidRPr="003A2633">
        <w:rPr>
          <w:color w:val="000000"/>
        </w:rPr>
        <w:t xml:space="preserve"> set of initial cyclic shift indexes</w:t>
      </w:r>
      <w:r>
        <w:rPr>
          <w:color w:val="000000"/>
        </w:rPr>
        <w:t xml:space="preserve"> </w:t>
      </w:r>
      <w:r>
        <w:rPr>
          <w:lang w:val="en-US"/>
        </w:rPr>
        <w:t>in</w:t>
      </w:r>
      <w:r w:rsidRPr="00A8669E">
        <w:rPr>
          <w:rFonts w:hint="eastAsia"/>
        </w:rPr>
        <w:t xml:space="preserve"> </w:t>
      </w:r>
      <w:r w:rsidRPr="00210269">
        <w:t>Table 9.2.1-1</w:t>
      </w:r>
    </w:p>
    <w:p w14:paraId="4F0A9B90" w14:textId="52EAF346" w:rsidR="002F2BD0" w:rsidRDefault="002F2BD0" w:rsidP="003E315E">
      <w:pPr>
        <w:pStyle w:val="B1"/>
      </w:pPr>
      <w:r>
        <w:rPr>
          <w:color w:val="000000"/>
        </w:rPr>
        <w:t>-</w:t>
      </w:r>
      <w:r>
        <w:rPr>
          <w:color w:val="000000"/>
        </w:rPr>
        <w:tab/>
        <w:t xml:space="preserve">if </w:t>
      </w:r>
      <w:r w:rsidRPr="003A2633">
        <w:rPr>
          <w:i/>
        </w:rPr>
        <w:t>pucch-ResourceCommon</w:t>
      </w:r>
      <w:r w:rsidRPr="003A2633">
        <w:t xml:space="preserve"> </w:t>
      </w:r>
      <w:r>
        <w:t>indicates</w:t>
      </w:r>
    </w:p>
    <w:p w14:paraId="64FEBD39" w14:textId="2DDF47E1" w:rsidR="002F2BD0" w:rsidRDefault="002F2BD0" w:rsidP="003E315E">
      <w:pPr>
        <w:pStyle w:val="B2"/>
      </w:pPr>
      <w:r>
        <w:t>-</w:t>
      </w:r>
      <w:r>
        <w:tab/>
        <w:t xml:space="preserve">index 0: the first symbol is 9 for a PUCCH resource with PUCCH format 0 if </w:t>
      </w:r>
      <m:oMath>
        <m:sSub>
          <m:sSubPr>
            <m:ctrlPr>
              <w:rPr>
                <w:rFonts w:ascii="Cambria Math" w:hAnsi="Cambria Math"/>
                <w:i/>
              </w:rPr>
            </m:ctrlPr>
          </m:sSubPr>
          <m:e>
            <m:r>
              <w:rPr>
                <w:rFonts w:ascii="Cambria Math" w:hAnsi="Cambria Math"/>
              </w:rPr>
              <m:t>r</m:t>
            </m:r>
          </m:e>
          <m:sub>
            <m:r>
              <m:rPr>
                <m:nor/>
              </m:rPr>
              <w:rPr>
                <w:rFonts w:ascii="Cambria Math" w:hAnsi="Cambria Math"/>
              </w:rPr>
              <m:t>PUCCH</m:t>
            </m:r>
          </m:sub>
        </m:sSub>
        <m:r>
          <w:rPr>
            <w:rFonts w:ascii="Cambria Math" w:hAnsi="Cambria Math"/>
          </w:rPr>
          <m:t>≥10</m:t>
        </m:r>
      </m:oMath>
    </w:p>
    <w:p w14:paraId="1BAE32B7" w14:textId="435B0129" w:rsidR="002F2BD0" w:rsidRDefault="002F2BD0" w:rsidP="003E315E">
      <w:pPr>
        <w:pStyle w:val="B2"/>
      </w:pPr>
      <w:r>
        <w:t>-</w:t>
      </w:r>
      <w:r>
        <w:tab/>
        <w:t xml:space="preserve">index 1 or 2: the first symbol is 9 for a PUCCH resource with PUCCH format 0 if </w:t>
      </w:r>
      <m:oMath>
        <m:sSub>
          <m:sSubPr>
            <m:ctrlPr>
              <w:rPr>
                <w:rFonts w:ascii="Cambria Math" w:hAnsi="Cambria Math"/>
                <w:i/>
              </w:rPr>
            </m:ctrlPr>
          </m:sSubPr>
          <m:e>
            <m:r>
              <w:rPr>
                <w:rFonts w:ascii="Cambria Math" w:hAnsi="Cambria Math"/>
              </w:rPr>
              <m:t>r</m:t>
            </m:r>
          </m:e>
          <m:sub>
            <m:r>
              <m:rPr>
                <m:nor/>
              </m:rPr>
              <w:rPr>
                <w:rFonts w:ascii="Cambria Math" w:hAnsi="Cambria Math"/>
              </w:rPr>
              <m:t>PUCCH</m:t>
            </m:r>
          </m:sub>
        </m:sSub>
        <m:r>
          <w:rPr>
            <w:rFonts w:ascii="Cambria Math" w:hAnsi="Cambria Math"/>
          </w:rPr>
          <m:t>=15</m:t>
        </m:r>
      </m:oMath>
    </w:p>
    <w:p w14:paraId="04DC4564" w14:textId="63CA75EC" w:rsidR="002F2BD0" w:rsidRDefault="002F2BD0" w:rsidP="003E315E">
      <w:pPr>
        <w:pStyle w:val="B2"/>
      </w:pPr>
      <w:r>
        <w:t>-</w:t>
      </w:r>
      <w:r>
        <w:tab/>
        <w:t xml:space="preserve">index 3, 7, or 11: </w:t>
      </w:r>
      <w:r>
        <w:rPr>
          <w:lang w:eastAsia="zh-CN"/>
        </w:rPr>
        <w:t>a</w:t>
      </w:r>
      <w:r w:rsidRPr="003A2633">
        <w:rPr>
          <w:rFonts w:hint="eastAsia"/>
          <w:lang w:eastAsia="zh-CN"/>
        </w:rPr>
        <w:t>n orthogonal cover code</w:t>
      </w:r>
      <w:r w:rsidRPr="003A2633">
        <w:t xml:space="preserve"> </w:t>
      </w:r>
      <w:r w:rsidRPr="003A2633">
        <w:rPr>
          <w:rFonts w:hint="eastAsia"/>
          <w:lang w:eastAsia="zh-CN"/>
        </w:rPr>
        <w:t xml:space="preserve">with index </w:t>
      </w:r>
      <w:r>
        <w:t>1</w:t>
      </w:r>
      <w:r w:rsidRPr="003A2633">
        <w:rPr>
          <w:rFonts w:hint="eastAsia"/>
          <w:lang w:eastAsia="zh-CN"/>
        </w:rPr>
        <w:t xml:space="preserve"> is used for a</w:t>
      </w:r>
      <w:r w:rsidRPr="003A2633">
        <w:t xml:space="preserve"> PUCCH resource with PUCCH format 1</w:t>
      </w:r>
      <w:r>
        <w:t xml:space="preserve"> if </w:t>
      </w:r>
      <m:oMath>
        <m:sSub>
          <m:sSubPr>
            <m:ctrlPr>
              <w:rPr>
                <w:rFonts w:ascii="Cambria Math" w:hAnsi="Cambria Math"/>
                <w:i/>
              </w:rPr>
            </m:ctrlPr>
          </m:sSubPr>
          <m:e>
            <m:r>
              <w:rPr>
                <w:rFonts w:ascii="Cambria Math" w:hAnsi="Cambria Math"/>
              </w:rPr>
              <m:t>r</m:t>
            </m:r>
          </m:e>
          <m:sub>
            <m:r>
              <m:rPr>
                <m:nor/>
              </m:rPr>
              <w:rPr>
                <w:rFonts w:ascii="Cambria Math" w:hAnsi="Cambria Math"/>
              </w:rPr>
              <m:t>PUCCH</m:t>
            </m:r>
          </m:sub>
        </m:sSub>
        <m:r>
          <w:rPr>
            <w:rFonts w:ascii="Cambria Math" w:hAnsi="Cambria Math"/>
          </w:rPr>
          <m:t>≥10</m:t>
        </m:r>
      </m:oMath>
      <w:r w:rsidR="00B64EAE">
        <w:rPr>
          <w:lang w:val="en-GB" w:eastAsia="zh-CN"/>
        </w:rPr>
        <w:t>; otherwise, a</w:t>
      </w:r>
      <w:r w:rsidR="00B64EAE" w:rsidRPr="00A1384F">
        <w:rPr>
          <w:rFonts w:hint="eastAsia"/>
          <w:lang w:val="en-GB" w:eastAsia="zh-CN"/>
        </w:rPr>
        <w:t>n orthogonal cover code</w:t>
      </w:r>
      <w:r w:rsidR="00B64EAE" w:rsidRPr="00A1384F">
        <w:rPr>
          <w:lang w:val="en-GB"/>
        </w:rPr>
        <w:t xml:space="preserve"> </w:t>
      </w:r>
      <w:r w:rsidR="00B64EAE" w:rsidRPr="00A1384F">
        <w:rPr>
          <w:rFonts w:hint="eastAsia"/>
          <w:lang w:val="en-GB" w:eastAsia="zh-CN"/>
        </w:rPr>
        <w:t xml:space="preserve">with index </w:t>
      </w:r>
      <w:r w:rsidR="00B64EAE" w:rsidRPr="00A1384F">
        <w:rPr>
          <w:lang w:val="en-GB"/>
        </w:rPr>
        <w:t>0</w:t>
      </w:r>
      <w:r w:rsidR="00B64EAE" w:rsidRPr="00A1384F">
        <w:rPr>
          <w:rFonts w:hint="eastAsia"/>
          <w:lang w:val="en-GB" w:eastAsia="zh-CN"/>
        </w:rPr>
        <w:t xml:space="preserve"> is used</w:t>
      </w:r>
      <w:r w:rsidR="00B64EAE">
        <w:rPr>
          <w:lang w:val="en-GB" w:eastAsia="zh-CN"/>
        </w:rPr>
        <w:t xml:space="preserve"> </w:t>
      </w:r>
      <w:r w:rsidR="00B64EAE" w:rsidRPr="003A2633">
        <w:rPr>
          <w:rFonts w:hint="eastAsia"/>
          <w:lang w:eastAsia="zh-CN"/>
        </w:rPr>
        <w:t>for a</w:t>
      </w:r>
      <w:r w:rsidR="00B64EAE" w:rsidRPr="003A2633">
        <w:t xml:space="preserve"> PUCCH resource with PUCCH format 1</w:t>
      </w:r>
    </w:p>
    <w:p w14:paraId="6AA42EAF" w14:textId="370AA438" w:rsidR="002F2BD0" w:rsidRPr="001322F1" w:rsidRDefault="002F2BD0" w:rsidP="002F2BD0">
      <w:pPr>
        <w:pStyle w:val="B1"/>
        <w:rPr>
          <w:lang w:val="en-GB"/>
        </w:rPr>
      </w:pPr>
      <w:r>
        <w:rPr>
          <w:color w:val="000000"/>
        </w:rPr>
        <w:t>-</w:t>
      </w:r>
      <w:r>
        <w:rPr>
          <w:color w:val="000000"/>
        </w:rPr>
        <w:tab/>
        <w:t>the UE does not</w:t>
      </w:r>
      <w:r w:rsidRPr="00DD76BC">
        <w:t xml:space="preserve"> </w:t>
      </w:r>
      <w:r>
        <w:t>expect</w:t>
      </w:r>
      <w:r w:rsidRPr="003A2633">
        <w:t xml:space="preserve"> </w:t>
      </w:r>
      <w:r w:rsidRPr="003A2633">
        <w:rPr>
          <w:i/>
        </w:rPr>
        <w:t>pucch-ResourceCommon</w:t>
      </w:r>
      <w:r w:rsidRPr="003A2633">
        <w:t xml:space="preserve"> </w:t>
      </w:r>
      <w:r>
        <w:t>to indicate</w:t>
      </w:r>
      <w:r w:rsidRPr="003A2633">
        <w:t xml:space="preserve"> </w:t>
      </w:r>
      <w:r>
        <w:t>index 15</w:t>
      </w:r>
    </w:p>
    <w:p w14:paraId="1AFC5FD3" w14:textId="77777777" w:rsidR="005A44EF" w:rsidRPr="00092DA4" w:rsidRDefault="005A44EF" w:rsidP="0009732E">
      <w:pPr>
        <w:pStyle w:val="TH"/>
      </w:pPr>
      <w:r w:rsidRPr="00092DA4">
        <w:lastRenderedPageBreak/>
        <w:t>Table 9.2.1-1: PUCCH resource sets before dedicated PUCCH resource configuration</w:t>
      </w:r>
      <w:r w:rsidR="0009732E">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5"/>
        <w:gridCol w:w="1530"/>
        <w:gridCol w:w="1350"/>
        <w:gridCol w:w="1980"/>
        <w:gridCol w:w="1440"/>
        <w:gridCol w:w="1478"/>
      </w:tblGrid>
      <w:tr w:rsidR="00D43F7A" w14:paraId="4AEFFD9D" w14:textId="77777777" w:rsidTr="00CC6760">
        <w:trPr>
          <w:cantSplit/>
          <w:jc w:val="center"/>
        </w:trPr>
        <w:tc>
          <w:tcPr>
            <w:tcW w:w="895" w:type="dxa"/>
            <w:tcBorders>
              <w:bottom w:val="double" w:sz="4" w:space="0" w:color="auto"/>
              <w:right w:val="double" w:sz="4" w:space="0" w:color="auto"/>
            </w:tcBorders>
            <w:shd w:val="clear" w:color="auto" w:fill="E0E0E0"/>
            <w:vAlign w:val="center"/>
          </w:tcPr>
          <w:p w14:paraId="5EF4D786" w14:textId="77777777" w:rsidR="00D43F7A" w:rsidRPr="00B916EC" w:rsidRDefault="00D43F7A" w:rsidP="00D43F7A">
            <w:pPr>
              <w:pStyle w:val="TAH"/>
              <w:rPr>
                <w:bCs/>
                <w:lang w:val="en-US"/>
              </w:rPr>
            </w:pPr>
            <w:r w:rsidRPr="00B916EC">
              <w:rPr>
                <w:bCs/>
                <w:lang w:val="en-US"/>
              </w:rPr>
              <w:t>Index</w:t>
            </w:r>
          </w:p>
        </w:tc>
        <w:tc>
          <w:tcPr>
            <w:tcW w:w="1530" w:type="dxa"/>
            <w:tcBorders>
              <w:bottom w:val="double" w:sz="4" w:space="0" w:color="auto"/>
            </w:tcBorders>
            <w:shd w:val="clear" w:color="auto" w:fill="E0E0E0"/>
            <w:vAlign w:val="center"/>
          </w:tcPr>
          <w:p w14:paraId="71FD2085" w14:textId="77777777" w:rsidR="00D43F7A" w:rsidRPr="00B916EC" w:rsidRDefault="00D43F7A" w:rsidP="00D43F7A">
            <w:pPr>
              <w:keepNext/>
              <w:keepLines/>
              <w:spacing w:after="0"/>
              <w:jc w:val="center"/>
              <w:textAlignment w:val="bottom"/>
              <w:rPr>
                <w:rStyle w:val="CommentReference"/>
                <w:rFonts w:ascii="Arial" w:hAnsi="Arial" w:cs="Arial"/>
                <w:b/>
                <w:sz w:val="18"/>
                <w:szCs w:val="18"/>
              </w:rPr>
            </w:pPr>
            <w:r>
              <w:rPr>
                <w:rStyle w:val="CommentReference"/>
                <w:rFonts w:ascii="Arial" w:hAnsi="Arial" w:cs="Arial"/>
                <w:b/>
                <w:sz w:val="18"/>
                <w:szCs w:val="18"/>
              </w:rPr>
              <w:t>PUCCH format</w:t>
            </w:r>
          </w:p>
        </w:tc>
        <w:tc>
          <w:tcPr>
            <w:tcW w:w="1350" w:type="dxa"/>
            <w:tcBorders>
              <w:bottom w:val="double" w:sz="4" w:space="0" w:color="auto"/>
            </w:tcBorders>
            <w:shd w:val="clear" w:color="auto" w:fill="E0E0E0"/>
            <w:vAlign w:val="center"/>
          </w:tcPr>
          <w:p w14:paraId="16D57D4A" w14:textId="77777777" w:rsidR="00D43F7A" w:rsidRPr="00B916EC" w:rsidRDefault="00D43F7A" w:rsidP="00D43F7A">
            <w:pPr>
              <w:keepNext/>
              <w:keepLines/>
              <w:spacing w:after="0"/>
              <w:jc w:val="center"/>
              <w:textAlignment w:val="bottom"/>
              <w:rPr>
                <w:rStyle w:val="CommentReference"/>
                <w:rFonts w:ascii="Arial" w:hAnsi="Arial" w:cs="Arial"/>
                <w:b/>
                <w:sz w:val="18"/>
                <w:szCs w:val="18"/>
              </w:rPr>
            </w:pPr>
            <w:r>
              <w:rPr>
                <w:rStyle w:val="CommentReference"/>
                <w:rFonts w:ascii="Arial" w:hAnsi="Arial" w:cs="Arial"/>
                <w:b/>
                <w:sz w:val="18"/>
                <w:szCs w:val="18"/>
              </w:rPr>
              <w:t>First symbol</w:t>
            </w:r>
          </w:p>
        </w:tc>
        <w:tc>
          <w:tcPr>
            <w:tcW w:w="1980" w:type="dxa"/>
            <w:tcBorders>
              <w:bottom w:val="double" w:sz="4" w:space="0" w:color="auto"/>
            </w:tcBorders>
            <w:shd w:val="clear" w:color="auto" w:fill="E0E0E0"/>
            <w:vAlign w:val="center"/>
          </w:tcPr>
          <w:p w14:paraId="173433D0" w14:textId="77777777" w:rsidR="00D43F7A" w:rsidRPr="00B916EC" w:rsidRDefault="00D43F7A" w:rsidP="00D43F7A">
            <w:pPr>
              <w:keepNext/>
              <w:keepLines/>
              <w:spacing w:after="0"/>
              <w:jc w:val="center"/>
              <w:textAlignment w:val="bottom"/>
              <w:rPr>
                <w:rStyle w:val="CommentReference"/>
                <w:rFonts w:ascii="Arial" w:hAnsi="Arial" w:cs="Arial"/>
                <w:b/>
                <w:sz w:val="18"/>
                <w:szCs w:val="18"/>
              </w:rPr>
            </w:pPr>
            <w:r>
              <w:rPr>
                <w:rStyle w:val="CommentReference"/>
                <w:rFonts w:ascii="Arial" w:hAnsi="Arial" w:cs="Arial"/>
                <w:b/>
                <w:sz w:val="18"/>
                <w:szCs w:val="18"/>
              </w:rPr>
              <w:t>Number of symbols</w:t>
            </w:r>
          </w:p>
        </w:tc>
        <w:tc>
          <w:tcPr>
            <w:tcW w:w="1440" w:type="dxa"/>
            <w:tcBorders>
              <w:bottom w:val="double" w:sz="4" w:space="0" w:color="auto"/>
            </w:tcBorders>
            <w:shd w:val="clear" w:color="auto" w:fill="E0E0E0"/>
            <w:vAlign w:val="center"/>
          </w:tcPr>
          <w:p w14:paraId="48B46151" w14:textId="0D4FE579" w:rsidR="00D43F7A" w:rsidRPr="00B916EC" w:rsidRDefault="00D43F7A" w:rsidP="00D43F7A">
            <w:pPr>
              <w:keepNext/>
              <w:keepLines/>
              <w:spacing w:after="0"/>
              <w:jc w:val="center"/>
              <w:textAlignment w:val="bottom"/>
              <w:rPr>
                <w:rStyle w:val="CommentReference"/>
                <w:rFonts w:ascii="Arial" w:hAnsi="Arial" w:cs="Arial"/>
                <w:b/>
                <w:sz w:val="18"/>
                <w:szCs w:val="18"/>
              </w:rPr>
            </w:pPr>
            <w:r w:rsidRPr="00B27E56">
              <w:rPr>
                <w:rStyle w:val="CommentReference"/>
                <w:rFonts w:ascii="Arial" w:hAnsi="Arial" w:cs="Arial"/>
                <w:b/>
                <w:sz w:val="18"/>
                <w:szCs w:val="18"/>
              </w:rPr>
              <w:t xml:space="preserve">PRB offset </w:t>
            </w:r>
            <m:oMath>
              <m:sSubSup>
                <m:sSubSupPr>
                  <m:ctrlPr>
                    <w:rPr>
                      <w:rFonts w:ascii="Cambria Math" w:hAnsi="Cambria Math"/>
                      <w:i/>
                      <w:lang w:val="en-US"/>
                    </w:rPr>
                  </m:ctrlPr>
                </m:sSubSupPr>
                <m:e>
                  <m:r>
                    <w:rPr>
                      <w:rFonts w:ascii="Cambria Math" w:hAnsi="Cambria Math"/>
                      <w:lang w:val="en-US"/>
                    </w:rPr>
                    <m:t>RB</m:t>
                  </m:r>
                </m:e>
                <m:sub>
                  <m:r>
                    <m:rPr>
                      <m:nor/>
                    </m:rPr>
                    <w:rPr>
                      <w:rFonts w:ascii="Cambria Math" w:hAnsi="Cambria Math"/>
                      <w:lang w:val="en-US"/>
                    </w:rPr>
                    <m:t>BWP</m:t>
                  </m:r>
                </m:sub>
                <m:sup>
                  <m:r>
                    <m:rPr>
                      <m:nor/>
                    </m:rPr>
                    <w:rPr>
                      <w:rFonts w:ascii="Cambria Math" w:hAnsi="Cambria Math"/>
                      <w:lang w:val="en-US"/>
                    </w:rPr>
                    <m:t>offset</m:t>
                  </m:r>
                </m:sup>
              </m:sSubSup>
            </m:oMath>
          </w:p>
        </w:tc>
        <w:tc>
          <w:tcPr>
            <w:tcW w:w="1478" w:type="dxa"/>
            <w:tcBorders>
              <w:bottom w:val="double" w:sz="4" w:space="0" w:color="auto"/>
            </w:tcBorders>
            <w:shd w:val="clear" w:color="auto" w:fill="E0E0E0"/>
            <w:vAlign w:val="center"/>
          </w:tcPr>
          <w:p w14:paraId="4B064774" w14:textId="77777777" w:rsidR="00D43F7A" w:rsidRDefault="00D43F7A" w:rsidP="00D43F7A">
            <w:pPr>
              <w:keepNext/>
              <w:keepLines/>
              <w:spacing w:after="0"/>
              <w:jc w:val="center"/>
              <w:textAlignment w:val="bottom"/>
              <w:rPr>
                <w:rStyle w:val="CommentReference"/>
                <w:rFonts w:ascii="Arial" w:hAnsi="Arial" w:cs="Arial"/>
                <w:b/>
                <w:sz w:val="18"/>
                <w:szCs w:val="18"/>
              </w:rPr>
            </w:pPr>
            <w:r>
              <w:rPr>
                <w:rStyle w:val="CommentReference"/>
                <w:rFonts w:ascii="Arial" w:hAnsi="Arial" w:cs="Arial"/>
                <w:b/>
                <w:sz w:val="18"/>
                <w:szCs w:val="18"/>
              </w:rPr>
              <w:t>Set of initial CS indexes</w:t>
            </w:r>
          </w:p>
        </w:tc>
      </w:tr>
      <w:tr w:rsidR="00C84B1F" w:rsidRPr="00F6725D" w14:paraId="1BA0C59C" w14:textId="77777777" w:rsidTr="00CC6760">
        <w:trPr>
          <w:cantSplit/>
          <w:trHeight w:val="273"/>
          <w:jc w:val="center"/>
        </w:trPr>
        <w:tc>
          <w:tcPr>
            <w:tcW w:w="895" w:type="dxa"/>
            <w:tcBorders>
              <w:top w:val="double" w:sz="4" w:space="0" w:color="auto"/>
              <w:right w:val="double" w:sz="4" w:space="0" w:color="auto"/>
            </w:tcBorders>
            <w:shd w:val="clear" w:color="auto" w:fill="auto"/>
            <w:vAlign w:val="center"/>
          </w:tcPr>
          <w:p w14:paraId="73E14D05" w14:textId="77777777" w:rsidR="00C84B1F" w:rsidRPr="007B4D37" w:rsidRDefault="00C84B1F" w:rsidP="00C84B1F">
            <w:pPr>
              <w:pStyle w:val="TAC"/>
              <w:rPr>
                <w:lang w:val="en-US"/>
              </w:rPr>
            </w:pPr>
            <w:r w:rsidRPr="007B4D37">
              <w:rPr>
                <w:lang w:val="en-US"/>
              </w:rPr>
              <w:t>0</w:t>
            </w:r>
          </w:p>
        </w:tc>
        <w:tc>
          <w:tcPr>
            <w:tcW w:w="1530" w:type="dxa"/>
            <w:tcBorders>
              <w:top w:val="double" w:sz="4" w:space="0" w:color="auto"/>
              <w:left w:val="double" w:sz="4" w:space="0" w:color="auto"/>
            </w:tcBorders>
            <w:vAlign w:val="center"/>
          </w:tcPr>
          <w:p w14:paraId="2554A29E" w14:textId="77777777" w:rsidR="00C84B1F" w:rsidRPr="00F6725D" w:rsidRDefault="00C84B1F" w:rsidP="00C84B1F">
            <w:pPr>
              <w:keepNext/>
              <w:keepLines/>
              <w:spacing w:after="0"/>
              <w:jc w:val="center"/>
              <w:textAlignment w:val="bottom"/>
              <w:rPr>
                <w:rFonts w:ascii="Arial" w:hAnsi="Arial" w:cs="Arial"/>
                <w:sz w:val="18"/>
                <w:szCs w:val="18"/>
              </w:rPr>
            </w:pPr>
            <w:r w:rsidRPr="00F6725D">
              <w:rPr>
                <w:rFonts w:ascii="Arial" w:hAnsi="Arial" w:cs="Arial"/>
                <w:sz w:val="18"/>
                <w:szCs w:val="18"/>
                <w:lang w:val="en-US"/>
              </w:rPr>
              <w:t>0</w:t>
            </w:r>
          </w:p>
        </w:tc>
        <w:tc>
          <w:tcPr>
            <w:tcW w:w="1350" w:type="dxa"/>
            <w:tcBorders>
              <w:top w:val="double" w:sz="4" w:space="0" w:color="auto"/>
              <w:left w:val="double" w:sz="4" w:space="0" w:color="auto"/>
            </w:tcBorders>
            <w:vAlign w:val="center"/>
          </w:tcPr>
          <w:p w14:paraId="3AEF4D28" w14:textId="77777777" w:rsidR="00C84B1F" w:rsidRPr="00F6725D" w:rsidRDefault="00C84B1F" w:rsidP="00C84B1F">
            <w:pPr>
              <w:keepNext/>
              <w:keepLines/>
              <w:spacing w:after="0"/>
              <w:jc w:val="center"/>
              <w:textAlignment w:val="bottom"/>
              <w:rPr>
                <w:rFonts w:ascii="Arial" w:hAnsi="Arial" w:cs="Arial"/>
                <w:sz w:val="18"/>
                <w:szCs w:val="18"/>
              </w:rPr>
            </w:pPr>
            <w:r w:rsidRPr="00F6725D">
              <w:rPr>
                <w:rFonts w:ascii="Arial" w:hAnsi="Arial" w:cs="Arial"/>
                <w:sz w:val="18"/>
                <w:szCs w:val="18"/>
                <w:lang w:val="en-US"/>
              </w:rPr>
              <w:t>12</w:t>
            </w:r>
          </w:p>
        </w:tc>
        <w:tc>
          <w:tcPr>
            <w:tcW w:w="1980" w:type="dxa"/>
            <w:tcBorders>
              <w:top w:val="double" w:sz="4" w:space="0" w:color="auto"/>
              <w:left w:val="double" w:sz="4" w:space="0" w:color="auto"/>
            </w:tcBorders>
            <w:vAlign w:val="center"/>
          </w:tcPr>
          <w:p w14:paraId="096FD57F" w14:textId="77777777" w:rsidR="00C84B1F" w:rsidRPr="00F6725D" w:rsidRDefault="00C84B1F" w:rsidP="00C84B1F">
            <w:pPr>
              <w:keepNext/>
              <w:keepLines/>
              <w:spacing w:after="0"/>
              <w:jc w:val="center"/>
              <w:textAlignment w:val="bottom"/>
              <w:rPr>
                <w:rFonts w:ascii="Arial" w:hAnsi="Arial" w:cs="Arial"/>
                <w:sz w:val="18"/>
                <w:szCs w:val="18"/>
              </w:rPr>
            </w:pPr>
            <w:r w:rsidRPr="00F6725D">
              <w:rPr>
                <w:rFonts w:ascii="Arial" w:hAnsi="Arial" w:cs="Arial"/>
                <w:sz w:val="18"/>
                <w:szCs w:val="18"/>
                <w:lang w:val="en-US"/>
              </w:rPr>
              <w:t>2</w:t>
            </w:r>
          </w:p>
        </w:tc>
        <w:tc>
          <w:tcPr>
            <w:tcW w:w="1440" w:type="dxa"/>
            <w:tcBorders>
              <w:top w:val="double" w:sz="4" w:space="0" w:color="auto"/>
              <w:left w:val="double" w:sz="4" w:space="0" w:color="auto"/>
            </w:tcBorders>
            <w:vAlign w:val="center"/>
          </w:tcPr>
          <w:p w14:paraId="225E1413" w14:textId="77777777" w:rsidR="00C84B1F" w:rsidRPr="00F6725D" w:rsidRDefault="00C84B1F" w:rsidP="00C84B1F">
            <w:pPr>
              <w:keepNext/>
              <w:keepLines/>
              <w:spacing w:after="0"/>
              <w:jc w:val="center"/>
              <w:textAlignment w:val="bottom"/>
              <w:rPr>
                <w:rFonts w:ascii="Arial" w:hAnsi="Arial" w:cs="Arial"/>
                <w:sz w:val="18"/>
                <w:szCs w:val="18"/>
              </w:rPr>
            </w:pPr>
            <w:r w:rsidRPr="00F6725D">
              <w:rPr>
                <w:rFonts w:ascii="Arial" w:hAnsi="Arial" w:cs="Arial"/>
                <w:sz w:val="18"/>
                <w:szCs w:val="18"/>
                <w:lang w:val="en-US"/>
              </w:rPr>
              <w:t>0</w:t>
            </w:r>
          </w:p>
        </w:tc>
        <w:tc>
          <w:tcPr>
            <w:tcW w:w="1478" w:type="dxa"/>
            <w:tcBorders>
              <w:top w:val="double" w:sz="4" w:space="0" w:color="auto"/>
              <w:left w:val="double" w:sz="4" w:space="0" w:color="auto"/>
            </w:tcBorders>
            <w:vAlign w:val="center"/>
          </w:tcPr>
          <w:p w14:paraId="0E34D374" w14:textId="77777777" w:rsidR="00C84B1F" w:rsidRPr="00F6725D" w:rsidRDefault="00C84B1F" w:rsidP="00C84B1F">
            <w:pPr>
              <w:keepNext/>
              <w:keepLines/>
              <w:spacing w:after="0"/>
              <w:jc w:val="center"/>
              <w:textAlignment w:val="bottom"/>
              <w:rPr>
                <w:rFonts w:ascii="Arial" w:hAnsi="Arial" w:cs="Arial"/>
                <w:sz w:val="18"/>
                <w:szCs w:val="18"/>
              </w:rPr>
            </w:pPr>
            <w:r w:rsidRPr="00F6725D">
              <w:rPr>
                <w:rFonts w:ascii="Arial" w:hAnsi="Arial" w:cs="Arial"/>
                <w:sz w:val="18"/>
                <w:szCs w:val="18"/>
                <w:lang w:val="en-US"/>
              </w:rPr>
              <w:t>{0, 3}</w:t>
            </w:r>
          </w:p>
        </w:tc>
      </w:tr>
      <w:tr w:rsidR="00C84B1F" w:rsidRPr="00F6725D" w14:paraId="7931A563" w14:textId="77777777" w:rsidTr="00CC6760">
        <w:trPr>
          <w:cantSplit/>
          <w:jc w:val="center"/>
        </w:trPr>
        <w:tc>
          <w:tcPr>
            <w:tcW w:w="895" w:type="dxa"/>
            <w:tcBorders>
              <w:right w:val="double" w:sz="4" w:space="0" w:color="auto"/>
            </w:tcBorders>
            <w:shd w:val="clear" w:color="auto" w:fill="auto"/>
            <w:vAlign w:val="center"/>
          </w:tcPr>
          <w:p w14:paraId="01C9BB8E" w14:textId="77777777" w:rsidR="00C84B1F" w:rsidRPr="007B4D37" w:rsidRDefault="00C84B1F" w:rsidP="00C84B1F">
            <w:pPr>
              <w:pStyle w:val="TAC"/>
              <w:rPr>
                <w:lang w:val="en-US"/>
              </w:rPr>
            </w:pPr>
            <w:r w:rsidRPr="007B4D37">
              <w:rPr>
                <w:lang w:val="en-US"/>
              </w:rPr>
              <w:t>1</w:t>
            </w:r>
          </w:p>
        </w:tc>
        <w:tc>
          <w:tcPr>
            <w:tcW w:w="1530" w:type="dxa"/>
            <w:tcBorders>
              <w:left w:val="double" w:sz="4" w:space="0" w:color="auto"/>
            </w:tcBorders>
            <w:vAlign w:val="center"/>
          </w:tcPr>
          <w:p w14:paraId="332CEDCF" w14:textId="77777777" w:rsidR="00C84B1F" w:rsidRPr="00F6725D" w:rsidRDefault="00C84B1F" w:rsidP="00C84B1F">
            <w:pPr>
              <w:pStyle w:val="TAC"/>
              <w:rPr>
                <w:rFonts w:cs="Arial"/>
                <w:kern w:val="24"/>
                <w:szCs w:val="18"/>
              </w:rPr>
            </w:pPr>
            <w:r w:rsidRPr="00F6725D">
              <w:rPr>
                <w:rFonts w:cs="Arial"/>
                <w:kern w:val="24"/>
                <w:szCs w:val="18"/>
              </w:rPr>
              <w:t>0</w:t>
            </w:r>
          </w:p>
        </w:tc>
        <w:tc>
          <w:tcPr>
            <w:tcW w:w="1350" w:type="dxa"/>
            <w:tcBorders>
              <w:left w:val="double" w:sz="4" w:space="0" w:color="auto"/>
            </w:tcBorders>
            <w:vAlign w:val="center"/>
          </w:tcPr>
          <w:p w14:paraId="5DABF305" w14:textId="77777777" w:rsidR="00C84B1F" w:rsidRPr="00F6725D" w:rsidRDefault="00C84B1F" w:rsidP="00C84B1F">
            <w:pPr>
              <w:pStyle w:val="TAC"/>
              <w:rPr>
                <w:rFonts w:cs="Arial"/>
                <w:kern w:val="24"/>
                <w:szCs w:val="18"/>
              </w:rPr>
            </w:pPr>
            <w:r w:rsidRPr="00F6725D">
              <w:rPr>
                <w:rFonts w:cs="Arial"/>
                <w:kern w:val="24"/>
                <w:szCs w:val="18"/>
              </w:rPr>
              <w:t>12</w:t>
            </w:r>
          </w:p>
        </w:tc>
        <w:tc>
          <w:tcPr>
            <w:tcW w:w="1980" w:type="dxa"/>
            <w:tcBorders>
              <w:left w:val="double" w:sz="4" w:space="0" w:color="auto"/>
            </w:tcBorders>
            <w:vAlign w:val="center"/>
          </w:tcPr>
          <w:p w14:paraId="2896E8F9" w14:textId="77777777" w:rsidR="00C84B1F" w:rsidRPr="00F6725D" w:rsidRDefault="00C84B1F" w:rsidP="00C84B1F">
            <w:pPr>
              <w:pStyle w:val="TAC"/>
              <w:rPr>
                <w:rFonts w:cs="Arial"/>
                <w:kern w:val="24"/>
                <w:szCs w:val="18"/>
              </w:rPr>
            </w:pPr>
            <w:r w:rsidRPr="00F6725D">
              <w:rPr>
                <w:rFonts w:cs="Arial"/>
                <w:kern w:val="24"/>
                <w:szCs w:val="18"/>
              </w:rPr>
              <w:t>2</w:t>
            </w:r>
          </w:p>
        </w:tc>
        <w:tc>
          <w:tcPr>
            <w:tcW w:w="1440" w:type="dxa"/>
            <w:tcBorders>
              <w:left w:val="double" w:sz="4" w:space="0" w:color="auto"/>
            </w:tcBorders>
            <w:vAlign w:val="center"/>
          </w:tcPr>
          <w:p w14:paraId="40747059" w14:textId="77777777" w:rsidR="00C84B1F" w:rsidRPr="00F6725D" w:rsidRDefault="00C84B1F" w:rsidP="00C84B1F">
            <w:pPr>
              <w:pStyle w:val="TAC"/>
              <w:rPr>
                <w:rFonts w:cs="Arial"/>
                <w:kern w:val="24"/>
                <w:szCs w:val="18"/>
              </w:rPr>
            </w:pPr>
            <w:r w:rsidRPr="00F6725D">
              <w:rPr>
                <w:rFonts w:cs="Arial"/>
                <w:kern w:val="24"/>
                <w:szCs w:val="18"/>
                <w:lang w:eastAsia="zh-CN"/>
              </w:rPr>
              <w:t>0</w:t>
            </w:r>
          </w:p>
        </w:tc>
        <w:tc>
          <w:tcPr>
            <w:tcW w:w="1478" w:type="dxa"/>
            <w:tcBorders>
              <w:left w:val="double" w:sz="4" w:space="0" w:color="auto"/>
            </w:tcBorders>
            <w:vAlign w:val="center"/>
          </w:tcPr>
          <w:p w14:paraId="4E06E2A5" w14:textId="77777777" w:rsidR="00C84B1F" w:rsidRPr="00F6725D" w:rsidRDefault="00C84B1F" w:rsidP="00C84B1F">
            <w:pPr>
              <w:pStyle w:val="TAC"/>
              <w:rPr>
                <w:rFonts w:cs="Arial"/>
                <w:kern w:val="24"/>
                <w:szCs w:val="18"/>
              </w:rPr>
            </w:pPr>
            <w:r w:rsidRPr="00F6725D">
              <w:rPr>
                <w:rFonts w:cs="Arial"/>
                <w:szCs w:val="18"/>
                <w:lang w:eastAsia="zh-CN"/>
              </w:rPr>
              <w:t>{0, 4, 8}</w:t>
            </w:r>
          </w:p>
        </w:tc>
      </w:tr>
      <w:tr w:rsidR="00C84B1F" w:rsidRPr="00F6725D" w14:paraId="417D4477" w14:textId="77777777" w:rsidTr="00CC6760">
        <w:trPr>
          <w:cantSplit/>
          <w:jc w:val="center"/>
        </w:trPr>
        <w:tc>
          <w:tcPr>
            <w:tcW w:w="895" w:type="dxa"/>
            <w:tcBorders>
              <w:right w:val="double" w:sz="4" w:space="0" w:color="auto"/>
            </w:tcBorders>
            <w:shd w:val="clear" w:color="auto" w:fill="auto"/>
            <w:vAlign w:val="center"/>
          </w:tcPr>
          <w:p w14:paraId="00A2B1D1" w14:textId="77777777" w:rsidR="00C84B1F" w:rsidRPr="007B4D37" w:rsidRDefault="00C84B1F" w:rsidP="00C84B1F">
            <w:pPr>
              <w:pStyle w:val="TAC"/>
            </w:pPr>
            <w:r w:rsidRPr="007B4D37">
              <w:t>2</w:t>
            </w:r>
          </w:p>
        </w:tc>
        <w:tc>
          <w:tcPr>
            <w:tcW w:w="1530" w:type="dxa"/>
            <w:tcBorders>
              <w:left w:val="double" w:sz="4" w:space="0" w:color="auto"/>
            </w:tcBorders>
            <w:vAlign w:val="center"/>
          </w:tcPr>
          <w:p w14:paraId="7C8C534C" w14:textId="77777777" w:rsidR="00C84B1F" w:rsidRPr="00F6725D" w:rsidRDefault="00C84B1F" w:rsidP="00C84B1F">
            <w:pPr>
              <w:pStyle w:val="TAC"/>
              <w:rPr>
                <w:rFonts w:cs="Arial"/>
                <w:kern w:val="24"/>
                <w:szCs w:val="18"/>
              </w:rPr>
            </w:pPr>
            <w:r w:rsidRPr="00F6725D">
              <w:rPr>
                <w:rFonts w:cs="Arial"/>
                <w:kern w:val="24"/>
                <w:szCs w:val="18"/>
                <w:lang w:eastAsia="zh-CN"/>
              </w:rPr>
              <w:t>0</w:t>
            </w:r>
          </w:p>
        </w:tc>
        <w:tc>
          <w:tcPr>
            <w:tcW w:w="1350" w:type="dxa"/>
            <w:tcBorders>
              <w:left w:val="double" w:sz="4" w:space="0" w:color="auto"/>
            </w:tcBorders>
            <w:vAlign w:val="center"/>
          </w:tcPr>
          <w:p w14:paraId="2E64898A" w14:textId="77777777" w:rsidR="00C84B1F" w:rsidRPr="00F6725D" w:rsidRDefault="00C84B1F" w:rsidP="00C84B1F">
            <w:pPr>
              <w:pStyle w:val="TAC"/>
              <w:rPr>
                <w:rFonts w:cs="Arial"/>
                <w:kern w:val="24"/>
                <w:szCs w:val="18"/>
              </w:rPr>
            </w:pPr>
            <w:r w:rsidRPr="00F6725D">
              <w:rPr>
                <w:rFonts w:cs="Arial"/>
                <w:kern w:val="24"/>
                <w:szCs w:val="18"/>
                <w:lang w:eastAsia="zh-CN"/>
              </w:rPr>
              <w:t>12</w:t>
            </w:r>
          </w:p>
        </w:tc>
        <w:tc>
          <w:tcPr>
            <w:tcW w:w="1980" w:type="dxa"/>
            <w:tcBorders>
              <w:left w:val="double" w:sz="4" w:space="0" w:color="auto"/>
            </w:tcBorders>
            <w:vAlign w:val="center"/>
          </w:tcPr>
          <w:p w14:paraId="61FD4CF8" w14:textId="77777777" w:rsidR="00C84B1F" w:rsidRPr="00F6725D" w:rsidRDefault="00C84B1F" w:rsidP="00C84B1F">
            <w:pPr>
              <w:pStyle w:val="TAC"/>
              <w:rPr>
                <w:rFonts w:cs="Arial"/>
                <w:kern w:val="24"/>
                <w:szCs w:val="18"/>
              </w:rPr>
            </w:pPr>
            <w:r w:rsidRPr="00F6725D">
              <w:rPr>
                <w:rFonts w:cs="Arial"/>
                <w:kern w:val="24"/>
                <w:szCs w:val="18"/>
                <w:lang w:eastAsia="zh-CN"/>
              </w:rPr>
              <w:t>2</w:t>
            </w:r>
          </w:p>
        </w:tc>
        <w:tc>
          <w:tcPr>
            <w:tcW w:w="1440" w:type="dxa"/>
            <w:tcBorders>
              <w:left w:val="double" w:sz="4" w:space="0" w:color="auto"/>
            </w:tcBorders>
            <w:vAlign w:val="center"/>
          </w:tcPr>
          <w:p w14:paraId="4D7EBE21" w14:textId="77777777" w:rsidR="00C84B1F" w:rsidRPr="00F6725D" w:rsidRDefault="00C84B1F" w:rsidP="00C84B1F">
            <w:pPr>
              <w:pStyle w:val="TAC"/>
              <w:rPr>
                <w:rFonts w:cs="Arial"/>
                <w:kern w:val="24"/>
                <w:szCs w:val="18"/>
              </w:rPr>
            </w:pPr>
            <w:r w:rsidRPr="00F6725D">
              <w:rPr>
                <w:rFonts w:cs="Arial"/>
                <w:kern w:val="24"/>
                <w:szCs w:val="18"/>
                <w:lang w:eastAsia="zh-CN"/>
              </w:rPr>
              <w:t>3</w:t>
            </w:r>
          </w:p>
        </w:tc>
        <w:tc>
          <w:tcPr>
            <w:tcW w:w="1478" w:type="dxa"/>
            <w:tcBorders>
              <w:left w:val="double" w:sz="4" w:space="0" w:color="auto"/>
            </w:tcBorders>
            <w:vAlign w:val="center"/>
          </w:tcPr>
          <w:p w14:paraId="1250D161" w14:textId="77777777" w:rsidR="00C84B1F" w:rsidRPr="00F6725D" w:rsidRDefault="00C84B1F" w:rsidP="00C84B1F">
            <w:pPr>
              <w:pStyle w:val="TAC"/>
              <w:rPr>
                <w:rFonts w:cs="Arial"/>
                <w:kern w:val="24"/>
                <w:szCs w:val="18"/>
              </w:rPr>
            </w:pPr>
            <w:r w:rsidRPr="00F6725D">
              <w:rPr>
                <w:rFonts w:cs="Arial"/>
                <w:szCs w:val="18"/>
                <w:lang w:eastAsia="zh-CN"/>
              </w:rPr>
              <w:t>{0, 4, 8}</w:t>
            </w:r>
          </w:p>
        </w:tc>
      </w:tr>
      <w:tr w:rsidR="00C84B1F" w:rsidRPr="00F6725D" w14:paraId="1A419A5C" w14:textId="77777777" w:rsidTr="00CC6760">
        <w:trPr>
          <w:cantSplit/>
          <w:jc w:val="center"/>
        </w:trPr>
        <w:tc>
          <w:tcPr>
            <w:tcW w:w="895" w:type="dxa"/>
            <w:tcBorders>
              <w:right w:val="double" w:sz="4" w:space="0" w:color="auto"/>
            </w:tcBorders>
            <w:shd w:val="clear" w:color="auto" w:fill="auto"/>
            <w:vAlign w:val="center"/>
          </w:tcPr>
          <w:p w14:paraId="7DB854FB" w14:textId="77777777" w:rsidR="00C84B1F" w:rsidRPr="007B4D37" w:rsidRDefault="00C84B1F" w:rsidP="00C84B1F">
            <w:pPr>
              <w:pStyle w:val="TAC"/>
            </w:pPr>
            <w:r w:rsidRPr="007B4D37">
              <w:t>3</w:t>
            </w:r>
          </w:p>
        </w:tc>
        <w:tc>
          <w:tcPr>
            <w:tcW w:w="1530" w:type="dxa"/>
            <w:tcBorders>
              <w:left w:val="double" w:sz="4" w:space="0" w:color="auto"/>
            </w:tcBorders>
            <w:vAlign w:val="center"/>
          </w:tcPr>
          <w:p w14:paraId="23A11387" w14:textId="77777777" w:rsidR="00C84B1F" w:rsidRPr="00F6725D" w:rsidRDefault="00C84B1F" w:rsidP="00C84B1F">
            <w:pPr>
              <w:pStyle w:val="TAC"/>
              <w:rPr>
                <w:rFonts w:cs="Arial"/>
                <w:kern w:val="24"/>
                <w:szCs w:val="18"/>
              </w:rPr>
            </w:pPr>
            <w:r w:rsidRPr="00F6725D">
              <w:rPr>
                <w:rFonts w:cs="Arial"/>
                <w:kern w:val="24"/>
                <w:szCs w:val="18"/>
                <w:lang w:eastAsia="zh-CN"/>
              </w:rPr>
              <w:t>1</w:t>
            </w:r>
          </w:p>
        </w:tc>
        <w:tc>
          <w:tcPr>
            <w:tcW w:w="1350" w:type="dxa"/>
            <w:tcBorders>
              <w:left w:val="double" w:sz="4" w:space="0" w:color="auto"/>
            </w:tcBorders>
            <w:vAlign w:val="center"/>
          </w:tcPr>
          <w:p w14:paraId="7576DCB5" w14:textId="77777777" w:rsidR="00C84B1F" w:rsidRPr="00F6725D" w:rsidRDefault="00C84B1F" w:rsidP="00C84B1F">
            <w:pPr>
              <w:pStyle w:val="TAC"/>
              <w:rPr>
                <w:rFonts w:cs="Arial"/>
                <w:kern w:val="24"/>
                <w:szCs w:val="18"/>
              </w:rPr>
            </w:pPr>
            <w:r w:rsidRPr="00F6725D">
              <w:rPr>
                <w:rFonts w:cs="Arial"/>
                <w:kern w:val="24"/>
                <w:szCs w:val="18"/>
                <w:lang w:eastAsia="zh-CN"/>
              </w:rPr>
              <w:t>10</w:t>
            </w:r>
          </w:p>
        </w:tc>
        <w:tc>
          <w:tcPr>
            <w:tcW w:w="1980" w:type="dxa"/>
            <w:tcBorders>
              <w:left w:val="double" w:sz="4" w:space="0" w:color="auto"/>
            </w:tcBorders>
            <w:vAlign w:val="center"/>
          </w:tcPr>
          <w:p w14:paraId="6BFE1492" w14:textId="77777777" w:rsidR="00C84B1F" w:rsidRPr="00F6725D" w:rsidRDefault="00C84B1F" w:rsidP="00C84B1F">
            <w:pPr>
              <w:pStyle w:val="TAC"/>
              <w:rPr>
                <w:rFonts w:cs="Arial"/>
                <w:kern w:val="24"/>
                <w:szCs w:val="18"/>
              </w:rPr>
            </w:pPr>
            <w:r w:rsidRPr="00F6725D">
              <w:rPr>
                <w:rFonts w:cs="Arial"/>
                <w:kern w:val="24"/>
                <w:szCs w:val="18"/>
                <w:lang w:eastAsia="zh-CN"/>
              </w:rPr>
              <w:t>4</w:t>
            </w:r>
          </w:p>
        </w:tc>
        <w:tc>
          <w:tcPr>
            <w:tcW w:w="1440" w:type="dxa"/>
            <w:tcBorders>
              <w:left w:val="double" w:sz="4" w:space="0" w:color="auto"/>
            </w:tcBorders>
            <w:vAlign w:val="center"/>
          </w:tcPr>
          <w:p w14:paraId="0D6818F5" w14:textId="77777777" w:rsidR="00C84B1F" w:rsidRPr="00F6725D" w:rsidRDefault="00C84B1F" w:rsidP="00C84B1F">
            <w:pPr>
              <w:pStyle w:val="TAC"/>
              <w:rPr>
                <w:rFonts w:cs="Arial"/>
                <w:kern w:val="24"/>
                <w:szCs w:val="18"/>
              </w:rPr>
            </w:pPr>
            <w:r w:rsidRPr="00F6725D">
              <w:rPr>
                <w:rFonts w:cs="Arial"/>
                <w:kern w:val="24"/>
                <w:szCs w:val="18"/>
                <w:lang w:eastAsia="zh-CN"/>
              </w:rPr>
              <w:t>0</w:t>
            </w:r>
          </w:p>
        </w:tc>
        <w:tc>
          <w:tcPr>
            <w:tcW w:w="1478" w:type="dxa"/>
            <w:tcBorders>
              <w:left w:val="double" w:sz="4" w:space="0" w:color="auto"/>
            </w:tcBorders>
            <w:vAlign w:val="center"/>
          </w:tcPr>
          <w:p w14:paraId="6D92227A" w14:textId="77777777" w:rsidR="00C84B1F" w:rsidRPr="00F6725D" w:rsidRDefault="00C84B1F" w:rsidP="00C84B1F">
            <w:pPr>
              <w:pStyle w:val="TAC"/>
              <w:rPr>
                <w:rFonts w:cs="Arial"/>
                <w:kern w:val="24"/>
                <w:szCs w:val="18"/>
              </w:rPr>
            </w:pPr>
            <w:r w:rsidRPr="00F6725D">
              <w:rPr>
                <w:rFonts w:cs="Arial"/>
                <w:kern w:val="24"/>
                <w:szCs w:val="18"/>
                <w:lang w:eastAsia="zh-CN"/>
              </w:rPr>
              <w:t>{0, 6}</w:t>
            </w:r>
          </w:p>
        </w:tc>
      </w:tr>
      <w:tr w:rsidR="00C84B1F" w:rsidRPr="00F6725D" w14:paraId="7BF6BC16" w14:textId="77777777" w:rsidTr="00CC6760">
        <w:trPr>
          <w:cantSplit/>
          <w:jc w:val="center"/>
        </w:trPr>
        <w:tc>
          <w:tcPr>
            <w:tcW w:w="895" w:type="dxa"/>
            <w:tcBorders>
              <w:right w:val="double" w:sz="4" w:space="0" w:color="auto"/>
            </w:tcBorders>
            <w:shd w:val="clear" w:color="auto" w:fill="auto"/>
            <w:vAlign w:val="center"/>
          </w:tcPr>
          <w:p w14:paraId="61CB6E99" w14:textId="77777777" w:rsidR="00C84B1F" w:rsidRPr="007B4D37" w:rsidRDefault="00C84B1F" w:rsidP="00C84B1F">
            <w:pPr>
              <w:pStyle w:val="TAC"/>
            </w:pPr>
            <w:r w:rsidRPr="007B4D37">
              <w:t>4</w:t>
            </w:r>
          </w:p>
        </w:tc>
        <w:tc>
          <w:tcPr>
            <w:tcW w:w="1530" w:type="dxa"/>
            <w:tcBorders>
              <w:left w:val="double" w:sz="4" w:space="0" w:color="auto"/>
            </w:tcBorders>
            <w:vAlign w:val="center"/>
          </w:tcPr>
          <w:p w14:paraId="545EBFBE" w14:textId="77777777" w:rsidR="00C84B1F" w:rsidRPr="00F6725D" w:rsidRDefault="00C84B1F" w:rsidP="00C84B1F">
            <w:pPr>
              <w:pStyle w:val="TAC"/>
              <w:rPr>
                <w:rFonts w:cs="Arial"/>
                <w:kern w:val="24"/>
                <w:szCs w:val="18"/>
              </w:rPr>
            </w:pPr>
            <w:r w:rsidRPr="00F6725D">
              <w:rPr>
                <w:rFonts w:cs="Arial"/>
                <w:kern w:val="24"/>
                <w:szCs w:val="18"/>
              </w:rPr>
              <w:t>1</w:t>
            </w:r>
          </w:p>
        </w:tc>
        <w:tc>
          <w:tcPr>
            <w:tcW w:w="1350" w:type="dxa"/>
            <w:tcBorders>
              <w:left w:val="double" w:sz="4" w:space="0" w:color="auto"/>
            </w:tcBorders>
            <w:vAlign w:val="center"/>
          </w:tcPr>
          <w:p w14:paraId="51EEC5E5" w14:textId="77777777" w:rsidR="00C84B1F" w:rsidRPr="00F6725D" w:rsidRDefault="00C84B1F" w:rsidP="00C84B1F">
            <w:pPr>
              <w:pStyle w:val="TAC"/>
              <w:rPr>
                <w:rFonts w:cs="Arial"/>
                <w:kern w:val="24"/>
                <w:szCs w:val="18"/>
              </w:rPr>
            </w:pPr>
            <w:r w:rsidRPr="00F6725D">
              <w:rPr>
                <w:rFonts w:cs="Arial"/>
                <w:kern w:val="24"/>
                <w:szCs w:val="18"/>
              </w:rPr>
              <w:t>10</w:t>
            </w:r>
          </w:p>
        </w:tc>
        <w:tc>
          <w:tcPr>
            <w:tcW w:w="1980" w:type="dxa"/>
            <w:tcBorders>
              <w:left w:val="double" w:sz="4" w:space="0" w:color="auto"/>
            </w:tcBorders>
            <w:vAlign w:val="center"/>
          </w:tcPr>
          <w:p w14:paraId="502AD548" w14:textId="77777777" w:rsidR="00C84B1F" w:rsidRPr="00F6725D" w:rsidRDefault="00C84B1F" w:rsidP="00C84B1F">
            <w:pPr>
              <w:pStyle w:val="TAC"/>
              <w:rPr>
                <w:rFonts w:cs="Arial"/>
                <w:kern w:val="24"/>
                <w:szCs w:val="18"/>
              </w:rPr>
            </w:pPr>
            <w:r w:rsidRPr="00F6725D">
              <w:rPr>
                <w:rFonts w:cs="Arial"/>
                <w:kern w:val="24"/>
                <w:szCs w:val="18"/>
              </w:rPr>
              <w:t>4</w:t>
            </w:r>
          </w:p>
        </w:tc>
        <w:tc>
          <w:tcPr>
            <w:tcW w:w="1440" w:type="dxa"/>
            <w:tcBorders>
              <w:left w:val="double" w:sz="4" w:space="0" w:color="auto"/>
            </w:tcBorders>
            <w:vAlign w:val="center"/>
          </w:tcPr>
          <w:p w14:paraId="16450500" w14:textId="77777777" w:rsidR="00C84B1F" w:rsidRPr="00F6725D" w:rsidRDefault="00C84B1F" w:rsidP="00C84B1F">
            <w:pPr>
              <w:pStyle w:val="TAC"/>
              <w:rPr>
                <w:rFonts w:cs="Arial"/>
                <w:kern w:val="24"/>
                <w:szCs w:val="18"/>
              </w:rPr>
            </w:pPr>
            <w:r w:rsidRPr="00F6725D">
              <w:rPr>
                <w:rFonts w:cs="Arial"/>
                <w:kern w:val="24"/>
                <w:szCs w:val="18"/>
              </w:rPr>
              <w:t>0</w:t>
            </w:r>
          </w:p>
        </w:tc>
        <w:tc>
          <w:tcPr>
            <w:tcW w:w="1478" w:type="dxa"/>
            <w:tcBorders>
              <w:left w:val="double" w:sz="4" w:space="0" w:color="auto"/>
            </w:tcBorders>
            <w:vAlign w:val="center"/>
          </w:tcPr>
          <w:p w14:paraId="70DD7C4E" w14:textId="77777777" w:rsidR="00C84B1F" w:rsidRPr="00F6725D" w:rsidRDefault="00C84B1F" w:rsidP="00C84B1F">
            <w:pPr>
              <w:pStyle w:val="TAC"/>
              <w:rPr>
                <w:rFonts w:cs="Arial"/>
                <w:kern w:val="24"/>
                <w:szCs w:val="18"/>
              </w:rPr>
            </w:pPr>
            <w:r w:rsidRPr="00F6725D">
              <w:rPr>
                <w:rFonts w:cs="Arial"/>
                <w:kern w:val="24"/>
                <w:szCs w:val="18"/>
                <w:lang w:eastAsia="zh-CN"/>
              </w:rPr>
              <w:t>{0, 3, 6, 9}</w:t>
            </w:r>
          </w:p>
        </w:tc>
      </w:tr>
      <w:tr w:rsidR="00C84B1F" w:rsidRPr="00F6725D" w14:paraId="09793041" w14:textId="77777777" w:rsidTr="00CC6760">
        <w:trPr>
          <w:cantSplit/>
          <w:jc w:val="center"/>
        </w:trPr>
        <w:tc>
          <w:tcPr>
            <w:tcW w:w="895" w:type="dxa"/>
            <w:tcBorders>
              <w:right w:val="double" w:sz="4" w:space="0" w:color="auto"/>
            </w:tcBorders>
            <w:shd w:val="clear" w:color="auto" w:fill="auto"/>
            <w:vAlign w:val="center"/>
          </w:tcPr>
          <w:p w14:paraId="439A8CA8" w14:textId="77777777" w:rsidR="00C84B1F" w:rsidRPr="007B4D37" w:rsidRDefault="00C84B1F" w:rsidP="00C84B1F">
            <w:pPr>
              <w:pStyle w:val="TAC"/>
            </w:pPr>
            <w:r w:rsidRPr="007B4D37">
              <w:t>5</w:t>
            </w:r>
          </w:p>
        </w:tc>
        <w:tc>
          <w:tcPr>
            <w:tcW w:w="1530" w:type="dxa"/>
            <w:tcBorders>
              <w:left w:val="double" w:sz="4" w:space="0" w:color="auto"/>
            </w:tcBorders>
            <w:vAlign w:val="center"/>
          </w:tcPr>
          <w:p w14:paraId="1B12DBD4" w14:textId="77777777" w:rsidR="00C84B1F" w:rsidRPr="00F6725D" w:rsidRDefault="00C84B1F" w:rsidP="00C84B1F">
            <w:pPr>
              <w:pStyle w:val="TAC"/>
              <w:rPr>
                <w:rFonts w:cs="Arial"/>
                <w:kern w:val="24"/>
                <w:szCs w:val="18"/>
              </w:rPr>
            </w:pPr>
            <w:r w:rsidRPr="00F6725D">
              <w:rPr>
                <w:rFonts w:cs="Arial"/>
                <w:kern w:val="24"/>
                <w:szCs w:val="18"/>
              </w:rPr>
              <w:t>1</w:t>
            </w:r>
          </w:p>
        </w:tc>
        <w:tc>
          <w:tcPr>
            <w:tcW w:w="1350" w:type="dxa"/>
            <w:tcBorders>
              <w:left w:val="double" w:sz="4" w:space="0" w:color="auto"/>
            </w:tcBorders>
            <w:vAlign w:val="center"/>
          </w:tcPr>
          <w:p w14:paraId="3D8822D7" w14:textId="77777777" w:rsidR="00C84B1F" w:rsidRPr="00F6725D" w:rsidRDefault="00C84B1F" w:rsidP="00C84B1F">
            <w:pPr>
              <w:pStyle w:val="TAC"/>
              <w:rPr>
                <w:rFonts w:cs="Arial"/>
                <w:kern w:val="24"/>
                <w:szCs w:val="18"/>
              </w:rPr>
            </w:pPr>
            <w:r w:rsidRPr="00F6725D">
              <w:rPr>
                <w:rFonts w:cs="Arial"/>
                <w:kern w:val="24"/>
                <w:szCs w:val="18"/>
              </w:rPr>
              <w:t>10</w:t>
            </w:r>
          </w:p>
        </w:tc>
        <w:tc>
          <w:tcPr>
            <w:tcW w:w="1980" w:type="dxa"/>
            <w:tcBorders>
              <w:left w:val="double" w:sz="4" w:space="0" w:color="auto"/>
            </w:tcBorders>
            <w:vAlign w:val="center"/>
          </w:tcPr>
          <w:p w14:paraId="2AAD6F3E" w14:textId="77777777" w:rsidR="00C84B1F" w:rsidRPr="00F6725D" w:rsidRDefault="00C84B1F" w:rsidP="00C84B1F">
            <w:pPr>
              <w:pStyle w:val="TAC"/>
              <w:rPr>
                <w:rFonts w:cs="Arial"/>
                <w:kern w:val="24"/>
                <w:szCs w:val="18"/>
              </w:rPr>
            </w:pPr>
            <w:r w:rsidRPr="00F6725D">
              <w:rPr>
                <w:rFonts w:cs="Arial"/>
                <w:kern w:val="24"/>
                <w:szCs w:val="18"/>
              </w:rPr>
              <w:t>4</w:t>
            </w:r>
          </w:p>
        </w:tc>
        <w:tc>
          <w:tcPr>
            <w:tcW w:w="1440" w:type="dxa"/>
            <w:tcBorders>
              <w:left w:val="double" w:sz="4" w:space="0" w:color="auto"/>
            </w:tcBorders>
            <w:vAlign w:val="center"/>
          </w:tcPr>
          <w:p w14:paraId="5A916EE5" w14:textId="77777777" w:rsidR="00C84B1F" w:rsidRPr="00F6725D" w:rsidRDefault="00C84B1F" w:rsidP="00C84B1F">
            <w:pPr>
              <w:pStyle w:val="TAC"/>
              <w:rPr>
                <w:rFonts w:cs="Arial"/>
                <w:kern w:val="24"/>
                <w:szCs w:val="18"/>
              </w:rPr>
            </w:pPr>
            <w:r w:rsidRPr="00F6725D">
              <w:rPr>
                <w:rFonts w:cs="Arial"/>
                <w:kern w:val="24"/>
                <w:szCs w:val="18"/>
                <w:lang w:eastAsia="zh-CN"/>
              </w:rPr>
              <w:t>2</w:t>
            </w:r>
          </w:p>
        </w:tc>
        <w:tc>
          <w:tcPr>
            <w:tcW w:w="1478" w:type="dxa"/>
            <w:tcBorders>
              <w:left w:val="double" w:sz="4" w:space="0" w:color="auto"/>
            </w:tcBorders>
            <w:vAlign w:val="center"/>
          </w:tcPr>
          <w:p w14:paraId="18582B13" w14:textId="77777777" w:rsidR="00C84B1F" w:rsidRPr="00F6725D" w:rsidRDefault="00C84B1F" w:rsidP="00C84B1F">
            <w:pPr>
              <w:pStyle w:val="TAC"/>
              <w:rPr>
                <w:rFonts w:cs="Arial"/>
                <w:kern w:val="24"/>
                <w:szCs w:val="18"/>
              </w:rPr>
            </w:pPr>
            <w:r w:rsidRPr="00F6725D">
              <w:rPr>
                <w:rFonts w:cs="Arial"/>
                <w:kern w:val="24"/>
                <w:szCs w:val="18"/>
                <w:lang w:eastAsia="zh-CN"/>
              </w:rPr>
              <w:t>{0, 3, 6, 9}</w:t>
            </w:r>
          </w:p>
        </w:tc>
      </w:tr>
      <w:tr w:rsidR="00C84B1F" w:rsidRPr="007B4D37" w14:paraId="510AF1F4" w14:textId="77777777" w:rsidTr="00CC6760">
        <w:trPr>
          <w:cantSplit/>
          <w:jc w:val="center"/>
        </w:trPr>
        <w:tc>
          <w:tcPr>
            <w:tcW w:w="895" w:type="dxa"/>
            <w:tcBorders>
              <w:right w:val="double" w:sz="4" w:space="0" w:color="auto"/>
            </w:tcBorders>
            <w:shd w:val="clear" w:color="auto" w:fill="auto"/>
            <w:vAlign w:val="center"/>
          </w:tcPr>
          <w:p w14:paraId="093CD182" w14:textId="77777777" w:rsidR="00C84B1F" w:rsidRPr="007B4D37" w:rsidRDefault="00C84B1F" w:rsidP="00C84B1F">
            <w:pPr>
              <w:pStyle w:val="TAC"/>
            </w:pPr>
            <w:r w:rsidRPr="007B4D37">
              <w:t>6</w:t>
            </w:r>
          </w:p>
        </w:tc>
        <w:tc>
          <w:tcPr>
            <w:tcW w:w="1530" w:type="dxa"/>
            <w:tcBorders>
              <w:left w:val="double" w:sz="4" w:space="0" w:color="auto"/>
            </w:tcBorders>
            <w:vAlign w:val="center"/>
          </w:tcPr>
          <w:p w14:paraId="7D3E1BEC" w14:textId="77777777" w:rsidR="00C84B1F" w:rsidRPr="007B4D37" w:rsidRDefault="00C84B1F" w:rsidP="00C84B1F">
            <w:pPr>
              <w:pStyle w:val="TAC"/>
              <w:rPr>
                <w:rFonts w:cs="Arial"/>
                <w:kern w:val="24"/>
                <w:szCs w:val="18"/>
              </w:rPr>
            </w:pPr>
            <w:r w:rsidRPr="007B4D37">
              <w:rPr>
                <w:rFonts w:cs="Arial"/>
                <w:kern w:val="24"/>
                <w:szCs w:val="18"/>
                <w:lang w:eastAsia="zh-CN"/>
              </w:rPr>
              <w:t>1</w:t>
            </w:r>
          </w:p>
        </w:tc>
        <w:tc>
          <w:tcPr>
            <w:tcW w:w="1350" w:type="dxa"/>
            <w:tcBorders>
              <w:left w:val="double" w:sz="4" w:space="0" w:color="auto"/>
            </w:tcBorders>
            <w:vAlign w:val="center"/>
          </w:tcPr>
          <w:p w14:paraId="52C239AC" w14:textId="77777777" w:rsidR="00C84B1F" w:rsidRPr="007B4D37" w:rsidRDefault="00C84B1F" w:rsidP="00C84B1F">
            <w:pPr>
              <w:pStyle w:val="TAC"/>
              <w:rPr>
                <w:rFonts w:cs="Arial"/>
                <w:kern w:val="24"/>
                <w:szCs w:val="18"/>
              </w:rPr>
            </w:pPr>
            <w:r w:rsidRPr="007B4D37">
              <w:rPr>
                <w:rFonts w:cs="Arial"/>
                <w:kern w:val="24"/>
                <w:szCs w:val="18"/>
                <w:lang w:eastAsia="zh-CN"/>
              </w:rPr>
              <w:t>1</w:t>
            </w:r>
            <w:r w:rsidRPr="007B4D37">
              <w:rPr>
                <w:rFonts w:cs="Arial"/>
                <w:kern w:val="24"/>
                <w:szCs w:val="18"/>
              </w:rPr>
              <w:t>0</w:t>
            </w:r>
          </w:p>
        </w:tc>
        <w:tc>
          <w:tcPr>
            <w:tcW w:w="1980" w:type="dxa"/>
            <w:tcBorders>
              <w:left w:val="double" w:sz="4" w:space="0" w:color="auto"/>
            </w:tcBorders>
            <w:vAlign w:val="center"/>
          </w:tcPr>
          <w:p w14:paraId="002B6EF4" w14:textId="77777777" w:rsidR="00C84B1F" w:rsidRPr="007B4D37" w:rsidRDefault="00C84B1F" w:rsidP="00C84B1F">
            <w:pPr>
              <w:pStyle w:val="TAC"/>
              <w:rPr>
                <w:rFonts w:cs="Arial"/>
                <w:kern w:val="24"/>
                <w:szCs w:val="18"/>
              </w:rPr>
            </w:pPr>
            <w:r w:rsidRPr="007B4D37">
              <w:rPr>
                <w:rFonts w:cs="Arial"/>
                <w:kern w:val="24"/>
                <w:szCs w:val="18"/>
              </w:rPr>
              <w:t>4</w:t>
            </w:r>
          </w:p>
        </w:tc>
        <w:tc>
          <w:tcPr>
            <w:tcW w:w="1440" w:type="dxa"/>
            <w:tcBorders>
              <w:left w:val="double" w:sz="4" w:space="0" w:color="auto"/>
            </w:tcBorders>
            <w:vAlign w:val="center"/>
          </w:tcPr>
          <w:p w14:paraId="1D4C3699" w14:textId="77777777" w:rsidR="00C84B1F" w:rsidRPr="007B4D37" w:rsidRDefault="00C84B1F" w:rsidP="00C84B1F">
            <w:pPr>
              <w:pStyle w:val="TAC"/>
              <w:rPr>
                <w:rFonts w:cs="Arial"/>
                <w:kern w:val="24"/>
                <w:szCs w:val="18"/>
              </w:rPr>
            </w:pPr>
            <w:r w:rsidRPr="007B4D37">
              <w:rPr>
                <w:rFonts w:cs="Arial"/>
                <w:kern w:val="24"/>
                <w:szCs w:val="18"/>
                <w:lang w:eastAsia="zh-CN"/>
              </w:rPr>
              <w:t>4</w:t>
            </w:r>
          </w:p>
        </w:tc>
        <w:tc>
          <w:tcPr>
            <w:tcW w:w="1478" w:type="dxa"/>
            <w:tcBorders>
              <w:left w:val="double" w:sz="4" w:space="0" w:color="auto"/>
            </w:tcBorders>
            <w:vAlign w:val="center"/>
          </w:tcPr>
          <w:p w14:paraId="0FD748A7" w14:textId="77777777" w:rsidR="00C84B1F" w:rsidRPr="007B4D37" w:rsidRDefault="00C84B1F" w:rsidP="00C84B1F">
            <w:pPr>
              <w:pStyle w:val="TAC"/>
              <w:rPr>
                <w:rFonts w:cs="Arial"/>
                <w:kern w:val="24"/>
                <w:szCs w:val="18"/>
              </w:rPr>
            </w:pPr>
            <w:r w:rsidRPr="007B4D37">
              <w:rPr>
                <w:rFonts w:cs="Arial"/>
                <w:kern w:val="24"/>
                <w:szCs w:val="18"/>
                <w:lang w:eastAsia="zh-CN"/>
              </w:rPr>
              <w:t>{0, 3, 6, 9}</w:t>
            </w:r>
          </w:p>
        </w:tc>
      </w:tr>
      <w:tr w:rsidR="00C84B1F" w:rsidRPr="00F6725D" w14:paraId="390C8C16" w14:textId="77777777" w:rsidTr="00CC6760">
        <w:trPr>
          <w:cantSplit/>
          <w:jc w:val="center"/>
        </w:trPr>
        <w:tc>
          <w:tcPr>
            <w:tcW w:w="895" w:type="dxa"/>
            <w:tcBorders>
              <w:right w:val="double" w:sz="4" w:space="0" w:color="auto"/>
            </w:tcBorders>
            <w:shd w:val="clear" w:color="auto" w:fill="auto"/>
            <w:vAlign w:val="center"/>
          </w:tcPr>
          <w:p w14:paraId="2BF0FBD4" w14:textId="77777777" w:rsidR="00C84B1F" w:rsidRPr="007B4D37" w:rsidRDefault="00C84B1F" w:rsidP="00C84B1F">
            <w:pPr>
              <w:pStyle w:val="TAC"/>
            </w:pPr>
            <w:r w:rsidRPr="007B4D37">
              <w:t>7</w:t>
            </w:r>
          </w:p>
        </w:tc>
        <w:tc>
          <w:tcPr>
            <w:tcW w:w="1530" w:type="dxa"/>
            <w:tcBorders>
              <w:left w:val="double" w:sz="4" w:space="0" w:color="auto"/>
            </w:tcBorders>
            <w:vAlign w:val="center"/>
          </w:tcPr>
          <w:p w14:paraId="56F9B3DA" w14:textId="77777777" w:rsidR="00C84B1F" w:rsidRPr="00F6725D" w:rsidRDefault="00C84B1F" w:rsidP="00C84B1F">
            <w:pPr>
              <w:pStyle w:val="TAC"/>
              <w:rPr>
                <w:rFonts w:cs="Arial"/>
                <w:kern w:val="24"/>
                <w:szCs w:val="18"/>
              </w:rPr>
            </w:pPr>
            <w:r w:rsidRPr="00F6725D">
              <w:rPr>
                <w:rFonts w:cs="Arial"/>
                <w:kern w:val="24"/>
                <w:szCs w:val="18"/>
                <w:lang w:eastAsia="zh-CN"/>
              </w:rPr>
              <w:t>1</w:t>
            </w:r>
          </w:p>
        </w:tc>
        <w:tc>
          <w:tcPr>
            <w:tcW w:w="1350" w:type="dxa"/>
            <w:tcBorders>
              <w:left w:val="double" w:sz="4" w:space="0" w:color="auto"/>
            </w:tcBorders>
            <w:vAlign w:val="center"/>
          </w:tcPr>
          <w:p w14:paraId="4475A91B" w14:textId="77777777" w:rsidR="00C84B1F" w:rsidRPr="00F6725D" w:rsidRDefault="00C84B1F" w:rsidP="00C84B1F">
            <w:pPr>
              <w:pStyle w:val="TAC"/>
              <w:rPr>
                <w:rFonts w:cs="Arial"/>
                <w:kern w:val="24"/>
                <w:szCs w:val="18"/>
              </w:rPr>
            </w:pPr>
            <w:r w:rsidRPr="00F6725D">
              <w:rPr>
                <w:rFonts w:cs="Arial"/>
                <w:kern w:val="24"/>
                <w:szCs w:val="18"/>
                <w:lang w:eastAsia="zh-CN"/>
              </w:rPr>
              <w:t>4</w:t>
            </w:r>
          </w:p>
        </w:tc>
        <w:tc>
          <w:tcPr>
            <w:tcW w:w="1980" w:type="dxa"/>
            <w:tcBorders>
              <w:left w:val="double" w:sz="4" w:space="0" w:color="auto"/>
            </w:tcBorders>
            <w:vAlign w:val="center"/>
          </w:tcPr>
          <w:p w14:paraId="70E554C3" w14:textId="77777777" w:rsidR="00C84B1F" w:rsidRPr="00F6725D" w:rsidRDefault="00C84B1F" w:rsidP="00C84B1F">
            <w:pPr>
              <w:pStyle w:val="TAC"/>
              <w:rPr>
                <w:rFonts w:cs="Arial"/>
                <w:kern w:val="24"/>
                <w:szCs w:val="18"/>
              </w:rPr>
            </w:pPr>
            <w:r w:rsidRPr="00F6725D">
              <w:rPr>
                <w:rFonts w:cs="Arial"/>
                <w:kern w:val="24"/>
                <w:szCs w:val="18"/>
                <w:lang w:eastAsia="zh-CN"/>
              </w:rPr>
              <w:t>10</w:t>
            </w:r>
          </w:p>
        </w:tc>
        <w:tc>
          <w:tcPr>
            <w:tcW w:w="1440" w:type="dxa"/>
            <w:tcBorders>
              <w:left w:val="double" w:sz="4" w:space="0" w:color="auto"/>
            </w:tcBorders>
            <w:vAlign w:val="center"/>
          </w:tcPr>
          <w:p w14:paraId="28F1A285" w14:textId="77777777" w:rsidR="00C84B1F" w:rsidRPr="00F6725D" w:rsidRDefault="00C84B1F" w:rsidP="00C84B1F">
            <w:pPr>
              <w:pStyle w:val="TAC"/>
              <w:rPr>
                <w:rFonts w:cs="Arial"/>
                <w:kern w:val="24"/>
                <w:szCs w:val="18"/>
              </w:rPr>
            </w:pPr>
            <w:r w:rsidRPr="00F6725D">
              <w:rPr>
                <w:rFonts w:cs="Arial"/>
                <w:kern w:val="24"/>
                <w:szCs w:val="18"/>
                <w:lang w:eastAsia="zh-CN"/>
              </w:rPr>
              <w:t>0</w:t>
            </w:r>
          </w:p>
        </w:tc>
        <w:tc>
          <w:tcPr>
            <w:tcW w:w="1478" w:type="dxa"/>
            <w:tcBorders>
              <w:left w:val="double" w:sz="4" w:space="0" w:color="auto"/>
            </w:tcBorders>
            <w:vAlign w:val="center"/>
          </w:tcPr>
          <w:p w14:paraId="58F48E86" w14:textId="77777777" w:rsidR="00C84B1F" w:rsidRPr="00F6725D" w:rsidRDefault="00C84B1F" w:rsidP="00C84B1F">
            <w:pPr>
              <w:pStyle w:val="TAC"/>
              <w:rPr>
                <w:rFonts w:cs="Arial"/>
                <w:kern w:val="24"/>
                <w:szCs w:val="18"/>
              </w:rPr>
            </w:pPr>
            <w:r w:rsidRPr="00F6725D">
              <w:rPr>
                <w:rFonts w:cs="Arial"/>
                <w:kern w:val="24"/>
                <w:szCs w:val="18"/>
                <w:lang w:eastAsia="zh-CN"/>
              </w:rPr>
              <w:t>{0, 6}</w:t>
            </w:r>
          </w:p>
        </w:tc>
      </w:tr>
      <w:tr w:rsidR="00C84B1F" w:rsidRPr="00F6725D" w14:paraId="118B508D" w14:textId="77777777" w:rsidTr="00CC6760">
        <w:trPr>
          <w:cantSplit/>
          <w:jc w:val="center"/>
        </w:trPr>
        <w:tc>
          <w:tcPr>
            <w:tcW w:w="895" w:type="dxa"/>
            <w:tcBorders>
              <w:right w:val="double" w:sz="4" w:space="0" w:color="auto"/>
            </w:tcBorders>
            <w:shd w:val="clear" w:color="auto" w:fill="auto"/>
            <w:vAlign w:val="center"/>
          </w:tcPr>
          <w:p w14:paraId="316706ED" w14:textId="77777777" w:rsidR="00C84B1F" w:rsidRPr="007B4D37" w:rsidRDefault="00C84B1F" w:rsidP="00C84B1F">
            <w:pPr>
              <w:pStyle w:val="TAC"/>
            </w:pPr>
            <w:r w:rsidRPr="007B4D37">
              <w:t>8</w:t>
            </w:r>
          </w:p>
        </w:tc>
        <w:tc>
          <w:tcPr>
            <w:tcW w:w="1530" w:type="dxa"/>
            <w:tcBorders>
              <w:left w:val="double" w:sz="4" w:space="0" w:color="auto"/>
            </w:tcBorders>
            <w:vAlign w:val="center"/>
          </w:tcPr>
          <w:p w14:paraId="58819141" w14:textId="77777777" w:rsidR="00C84B1F" w:rsidRPr="00F6725D" w:rsidRDefault="00C84B1F" w:rsidP="00C84B1F">
            <w:pPr>
              <w:pStyle w:val="TAC"/>
              <w:rPr>
                <w:rFonts w:cs="Arial"/>
                <w:kern w:val="24"/>
                <w:szCs w:val="18"/>
              </w:rPr>
            </w:pPr>
            <w:r w:rsidRPr="00F6725D">
              <w:rPr>
                <w:rFonts w:cs="Arial"/>
                <w:kern w:val="24"/>
                <w:szCs w:val="18"/>
                <w:lang w:eastAsia="zh-CN"/>
              </w:rPr>
              <w:t>1</w:t>
            </w:r>
          </w:p>
        </w:tc>
        <w:tc>
          <w:tcPr>
            <w:tcW w:w="1350" w:type="dxa"/>
            <w:tcBorders>
              <w:left w:val="double" w:sz="4" w:space="0" w:color="auto"/>
            </w:tcBorders>
            <w:vAlign w:val="center"/>
          </w:tcPr>
          <w:p w14:paraId="7DAE5EAC" w14:textId="77777777" w:rsidR="00C84B1F" w:rsidRPr="00F6725D" w:rsidRDefault="00C84B1F" w:rsidP="00C84B1F">
            <w:pPr>
              <w:pStyle w:val="TAC"/>
              <w:rPr>
                <w:rFonts w:cs="Arial"/>
                <w:kern w:val="24"/>
                <w:szCs w:val="18"/>
              </w:rPr>
            </w:pPr>
            <w:r w:rsidRPr="00F6725D">
              <w:rPr>
                <w:rFonts w:cs="Arial"/>
                <w:kern w:val="24"/>
                <w:szCs w:val="18"/>
                <w:lang w:eastAsia="zh-CN"/>
              </w:rPr>
              <w:t>4</w:t>
            </w:r>
          </w:p>
        </w:tc>
        <w:tc>
          <w:tcPr>
            <w:tcW w:w="1980" w:type="dxa"/>
            <w:tcBorders>
              <w:left w:val="double" w:sz="4" w:space="0" w:color="auto"/>
            </w:tcBorders>
            <w:vAlign w:val="center"/>
          </w:tcPr>
          <w:p w14:paraId="2572FA8D" w14:textId="77777777" w:rsidR="00C84B1F" w:rsidRPr="00F6725D" w:rsidRDefault="00C84B1F" w:rsidP="00C84B1F">
            <w:pPr>
              <w:pStyle w:val="TAC"/>
              <w:rPr>
                <w:rFonts w:cs="Arial"/>
                <w:kern w:val="24"/>
                <w:szCs w:val="18"/>
              </w:rPr>
            </w:pPr>
            <w:r w:rsidRPr="00F6725D">
              <w:rPr>
                <w:rFonts w:cs="Arial"/>
                <w:kern w:val="24"/>
                <w:szCs w:val="18"/>
                <w:lang w:eastAsia="zh-CN"/>
              </w:rPr>
              <w:t>10</w:t>
            </w:r>
          </w:p>
        </w:tc>
        <w:tc>
          <w:tcPr>
            <w:tcW w:w="1440" w:type="dxa"/>
            <w:tcBorders>
              <w:left w:val="double" w:sz="4" w:space="0" w:color="auto"/>
            </w:tcBorders>
            <w:vAlign w:val="center"/>
          </w:tcPr>
          <w:p w14:paraId="4702B5AF" w14:textId="77777777" w:rsidR="00C84B1F" w:rsidRPr="00F6725D" w:rsidRDefault="00C84B1F" w:rsidP="00C84B1F">
            <w:pPr>
              <w:pStyle w:val="TAC"/>
              <w:rPr>
                <w:rFonts w:cs="Arial"/>
                <w:kern w:val="24"/>
                <w:szCs w:val="18"/>
              </w:rPr>
            </w:pPr>
            <w:r w:rsidRPr="00F6725D">
              <w:rPr>
                <w:rFonts w:cs="Arial"/>
                <w:kern w:val="24"/>
                <w:szCs w:val="18"/>
              </w:rPr>
              <w:t>0</w:t>
            </w:r>
          </w:p>
        </w:tc>
        <w:tc>
          <w:tcPr>
            <w:tcW w:w="1478" w:type="dxa"/>
            <w:tcBorders>
              <w:left w:val="double" w:sz="4" w:space="0" w:color="auto"/>
            </w:tcBorders>
            <w:vAlign w:val="center"/>
          </w:tcPr>
          <w:p w14:paraId="4E00D8D5" w14:textId="77777777" w:rsidR="00C84B1F" w:rsidRPr="00F6725D" w:rsidRDefault="00C84B1F" w:rsidP="00C84B1F">
            <w:pPr>
              <w:pStyle w:val="TAC"/>
              <w:rPr>
                <w:rFonts w:cs="Arial"/>
                <w:kern w:val="24"/>
                <w:szCs w:val="18"/>
              </w:rPr>
            </w:pPr>
            <w:r w:rsidRPr="00F6725D">
              <w:rPr>
                <w:rFonts w:cs="Arial"/>
                <w:kern w:val="24"/>
                <w:szCs w:val="18"/>
                <w:lang w:eastAsia="zh-CN"/>
              </w:rPr>
              <w:t>{0, 3, 6, 9}</w:t>
            </w:r>
          </w:p>
        </w:tc>
      </w:tr>
      <w:tr w:rsidR="00C84B1F" w:rsidRPr="00F6725D" w14:paraId="7C0CC128" w14:textId="77777777" w:rsidTr="00CC6760">
        <w:trPr>
          <w:cantSplit/>
          <w:jc w:val="center"/>
        </w:trPr>
        <w:tc>
          <w:tcPr>
            <w:tcW w:w="895" w:type="dxa"/>
            <w:tcBorders>
              <w:right w:val="double" w:sz="4" w:space="0" w:color="auto"/>
            </w:tcBorders>
            <w:shd w:val="clear" w:color="auto" w:fill="auto"/>
            <w:vAlign w:val="center"/>
          </w:tcPr>
          <w:p w14:paraId="289DFDA7" w14:textId="77777777" w:rsidR="00C84B1F" w:rsidRPr="007B4D37" w:rsidRDefault="00C84B1F" w:rsidP="00C84B1F">
            <w:pPr>
              <w:pStyle w:val="TAC"/>
            </w:pPr>
            <w:r w:rsidRPr="007B4D37">
              <w:t>9</w:t>
            </w:r>
          </w:p>
        </w:tc>
        <w:tc>
          <w:tcPr>
            <w:tcW w:w="1530" w:type="dxa"/>
            <w:tcBorders>
              <w:left w:val="double" w:sz="4" w:space="0" w:color="auto"/>
            </w:tcBorders>
            <w:vAlign w:val="center"/>
          </w:tcPr>
          <w:p w14:paraId="5018ADA2" w14:textId="77777777" w:rsidR="00C84B1F" w:rsidRPr="00F6725D" w:rsidRDefault="00C84B1F" w:rsidP="00C84B1F">
            <w:pPr>
              <w:pStyle w:val="TAC"/>
              <w:rPr>
                <w:rFonts w:cs="Arial"/>
                <w:kern w:val="24"/>
                <w:szCs w:val="18"/>
              </w:rPr>
            </w:pPr>
            <w:r w:rsidRPr="00F6725D">
              <w:rPr>
                <w:rFonts w:cs="Arial"/>
                <w:kern w:val="24"/>
                <w:szCs w:val="18"/>
              </w:rPr>
              <w:t>1</w:t>
            </w:r>
          </w:p>
        </w:tc>
        <w:tc>
          <w:tcPr>
            <w:tcW w:w="1350" w:type="dxa"/>
            <w:tcBorders>
              <w:left w:val="double" w:sz="4" w:space="0" w:color="auto"/>
            </w:tcBorders>
            <w:vAlign w:val="center"/>
          </w:tcPr>
          <w:p w14:paraId="5DCA0202" w14:textId="77777777" w:rsidR="00C84B1F" w:rsidRPr="00F6725D" w:rsidRDefault="00C84B1F" w:rsidP="00C84B1F">
            <w:pPr>
              <w:pStyle w:val="TAC"/>
              <w:rPr>
                <w:rFonts w:cs="Arial"/>
                <w:kern w:val="24"/>
                <w:szCs w:val="18"/>
              </w:rPr>
            </w:pPr>
            <w:r w:rsidRPr="00F6725D">
              <w:rPr>
                <w:rFonts w:cs="Arial"/>
                <w:kern w:val="24"/>
                <w:szCs w:val="18"/>
              </w:rPr>
              <w:t>4</w:t>
            </w:r>
          </w:p>
        </w:tc>
        <w:tc>
          <w:tcPr>
            <w:tcW w:w="1980" w:type="dxa"/>
            <w:tcBorders>
              <w:left w:val="double" w:sz="4" w:space="0" w:color="auto"/>
            </w:tcBorders>
            <w:vAlign w:val="center"/>
          </w:tcPr>
          <w:p w14:paraId="29BBDE9E" w14:textId="77777777" w:rsidR="00C84B1F" w:rsidRPr="00F6725D" w:rsidRDefault="00C84B1F" w:rsidP="00C84B1F">
            <w:pPr>
              <w:pStyle w:val="TAC"/>
              <w:rPr>
                <w:rFonts w:cs="Arial"/>
                <w:kern w:val="24"/>
                <w:szCs w:val="18"/>
              </w:rPr>
            </w:pPr>
            <w:r w:rsidRPr="00F6725D">
              <w:rPr>
                <w:rFonts w:cs="Arial"/>
                <w:kern w:val="24"/>
                <w:szCs w:val="18"/>
              </w:rPr>
              <w:t>10</w:t>
            </w:r>
          </w:p>
        </w:tc>
        <w:tc>
          <w:tcPr>
            <w:tcW w:w="1440" w:type="dxa"/>
            <w:tcBorders>
              <w:left w:val="double" w:sz="4" w:space="0" w:color="auto"/>
            </w:tcBorders>
            <w:vAlign w:val="center"/>
          </w:tcPr>
          <w:p w14:paraId="27582FB6" w14:textId="77777777" w:rsidR="00C84B1F" w:rsidRPr="00F6725D" w:rsidRDefault="00C84B1F" w:rsidP="00C84B1F">
            <w:pPr>
              <w:pStyle w:val="TAC"/>
              <w:rPr>
                <w:rFonts w:cs="Arial"/>
                <w:kern w:val="24"/>
                <w:szCs w:val="18"/>
              </w:rPr>
            </w:pPr>
            <w:r w:rsidRPr="00F6725D">
              <w:rPr>
                <w:rFonts w:cs="Arial"/>
                <w:kern w:val="24"/>
                <w:szCs w:val="18"/>
                <w:lang w:eastAsia="zh-CN"/>
              </w:rPr>
              <w:t>2</w:t>
            </w:r>
          </w:p>
        </w:tc>
        <w:tc>
          <w:tcPr>
            <w:tcW w:w="1478" w:type="dxa"/>
            <w:tcBorders>
              <w:left w:val="double" w:sz="4" w:space="0" w:color="auto"/>
            </w:tcBorders>
            <w:vAlign w:val="center"/>
          </w:tcPr>
          <w:p w14:paraId="7D2B2A90" w14:textId="77777777" w:rsidR="00C84B1F" w:rsidRPr="00F6725D" w:rsidRDefault="00C84B1F" w:rsidP="00C84B1F">
            <w:pPr>
              <w:pStyle w:val="TAC"/>
              <w:rPr>
                <w:rFonts w:cs="Arial"/>
                <w:kern w:val="24"/>
                <w:szCs w:val="18"/>
              </w:rPr>
            </w:pPr>
            <w:r w:rsidRPr="00F6725D">
              <w:rPr>
                <w:rFonts w:cs="Arial"/>
                <w:kern w:val="24"/>
                <w:szCs w:val="18"/>
                <w:lang w:eastAsia="zh-CN"/>
              </w:rPr>
              <w:t>{0, 3, 6, 9}</w:t>
            </w:r>
          </w:p>
        </w:tc>
      </w:tr>
      <w:tr w:rsidR="00C84B1F" w:rsidRPr="007B4D37" w14:paraId="7F932C41" w14:textId="77777777" w:rsidTr="00CC6760">
        <w:trPr>
          <w:cantSplit/>
          <w:jc w:val="center"/>
        </w:trPr>
        <w:tc>
          <w:tcPr>
            <w:tcW w:w="895" w:type="dxa"/>
            <w:tcBorders>
              <w:right w:val="double" w:sz="4" w:space="0" w:color="auto"/>
            </w:tcBorders>
            <w:shd w:val="clear" w:color="auto" w:fill="auto"/>
            <w:vAlign w:val="center"/>
          </w:tcPr>
          <w:p w14:paraId="105B1CA3" w14:textId="77777777" w:rsidR="00C84B1F" w:rsidRPr="007B4D37" w:rsidRDefault="00C84B1F" w:rsidP="00C84B1F">
            <w:pPr>
              <w:pStyle w:val="TAC"/>
            </w:pPr>
            <w:r w:rsidRPr="007B4D37">
              <w:t>10</w:t>
            </w:r>
          </w:p>
        </w:tc>
        <w:tc>
          <w:tcPr>
            <w:tcW w:w="1530" w:type="dxa"/>
            <w:tcBorders>
              <w:left w:val="double" w:sz="4" w:space="0" w:color="auto"/>
            </w:tcBorders>
            <w:vAlign w:val="center"/>
          </w:tcPr>
          <w:p w14:paraId="12664B7F" w14:textId="77777777" w:rsidR="00C84B1F" w:rsidRPr="007B4D37" w:rsidRDefault="00C84B1F" w:rsidP="00C84B1F">
            <w:pPr>
              <w:pStyle w:val="TAC"/>
              <w:rPr>
                <w:rFonts w:cs="Arial"/>
                <w:kern w:val="24"/>
                <w:szCs w:val="18"/>
              </w:rPr>
            </w:pPr>
            <w:r w:rsidRPr="007B4D37">
              <w:rPr>
                <w:rFonts w:cs="Arial"/>
                <w:kern w:val="24"/>
                <w:szCs w:val="18"/>
              </w:rPr>
              <w:t>1</w:t>
            </w:r>
          </w:p>
        </w:tc>
        <w:tc>
          <w:tcPr>
            <w:tcW w:w="1350" w:type="dxa"/>
            <w:tcBorders>
              <w:left w:val="double" w:sz="4" w:space="0" w:color="auto"/>
            </w:tcBorders>
            <w:vAlign w:val="center"/>
          </w:tcPr>
          <w:p w14:paraId="796AF60A" w14:textId="77777777" w:rsidR="00C84B1F" w:rsidRPr="007B4D37" w:rsidRDefault="00C84B1F" w:rsidP="00C84B1F">
            <w:pPr>
              <w:pStyle w:val="TAC"/>
              <w:rPr>
                <w:rFonts w:cs="Arial"/>
                <w:kern w:val="24"/>
                <w:szCs w:val="18"/>
              </w:rPr>
            </w:pPr>
            <w:r w:rsidRPr="007B4D37">
              <w:rPr>
                <w:rFonts w:cs="Arial"/>
                <w:kern w:val="24"/>
                <w:szCs w:val="18"/>
              </w:rPr>
              <w:t>4</w:t>
            </w:r>
          </w:p>
        </w:tc>
        <w:tc>
          <w:tcPr>
            <w:tcW w:w="1980" w:type="dxa"/>
            <w:tcBorders>
              <w:left w:val="double" w:sz="4" w:space="0" w:color="auto"/>
            </w:tcBorders>
            <w:vAlign w:val="center"/>
          </w:tcPr>
          <w:p w14:paraId="176DD299" w14:textId="77777777" w:rsidR="00C84B1F" w:rsidRPr="007B4D37" w:rsidRDefault="00C84B1F" w:rsidP="00C84B1F">
            <w:pPr>
              <w:pStyle w:val="TAC"/>
              <w:rPr>
                <w:rFonts w:cs="Arial"/>
                <w:kern w:val="24"/>
                <w:szCs w:val="18"/>
              </w:rPr>
            </w:pPr>
            <w:r w:rsidRPr="007B4D37">
              <w:rPr>
                <w:rFonts w:cs="Arial"/>
                <w:kern w:val="24"/>
                <w:szCs w:val="18"/>
              </w:rPr>
              <w:t>10</w:t>
            </w:r>
          </w:p>
        </w:tc>
        <w:tc>
          <w:tcPr>
            <w:tcW w:w="1440" w:type="dxa"/>
            <w:tcBorders>
              <w:left w:val="double" w:sz="4" w:space="0" w:color="auto"/>
            </w:tcBorders>
            <w:vAlign w:val="center"/>
          </w:tcPr>
          <w:p w14:paraId="6B34FFE3" w14:textId="77777777" w:rsidR="00C84B1F" w:rsidRPr="007B4D37" w:rsidRDefault="00C84B1F" w:rsidP="00C84B1F">
            <w:pPr>
              <w:pStyle w:val="TAC"/>
              <w:rPr>
                <w:rFonts w:cs="Arial"/>
                <w:kern w:val="24"/>
                <w:szCs w:val="18"/>
              </w:rPr>
            </w:pPr>
            <w:r w:rsidRPr="007B4D37">
              <w:rPr>
                <w:rFonts w:cs="Arial"/>
                <w:kern w:val="24"/>
                <w:szCs w:val="18"/>
                <w:lang w:eastAsia="zh-CN"/>
              </w:rPr>
              <w:t>4</w:t>
            </w:r>
          </w:p>
        </w:tc>
        <w:tc>
          <w:tcPr>
            <w:tcW w:w="1478" w:type="dxa"/>
            <w:tcBorders>
              <w:left w:val="double" w:sz="4" w:space="0" w:color="auto"/>
            </w:tcBorders>
            <w:vAlign w:val="center"/>
          </w:tcPr>
          <w:p w14:paraId="6B498C2B" w14:textId="77777777" w:rsidR="00C84B1F" w:rsidRPr="007B4D37" w:rsidRDefault="00C84B1F" w:rsidP="00C84B1F">
            <w:pPr>
              <w:pStyle w:val="TAC"/>
              <w:rPr>
                <w:rFonts w:cs="Arial"/>
                <w:kern w:val="24"/>
                <w:szCs w:val="18"/>
              </w:rPr>
            </w:pPr>
            <w:r w:rsidRPr="007B4D37">
              <w:rPr>
                <w:rFonts w:cs="Arial"/>
                <w:kern w:val="24"/>
                <w:szCs w:val="18"/>
                <w:lang w:eastAsia="zh-CN"/>
              </w:rPr>
              <w:t>{0, 3, 6, 9}</w:t>
            </w:r>
          </w:p>
        </w:tc>
      </w:tr>
      <w:tr w:rsidR="00C84B1F" w:rsidRPr="00F6725D" w14:paraId="692EB2B4" w14:textId="77777777" w:rsidTr="00CC6760">
        <w:trPr>
          <w:cantSplit/>
          <w:jc w:val="center"/>
        </w:trPr>
        <w:tc>
          <w:tcPr>
            <w:tcW w:w="895" w:type="dxa"/>
            <w:tcBorders>
              <w:right w:val="double" w:sz="4" w:space="0" w:color="auto"/>
            </w:tcBorders>
            <w:shd w:val="clear" w:color="auto" w:fill="auto"/>
            <w:vAlign w:val="center"/>
          </w:tcPr>
          <w:p w14:paraId="4C15A356" w14:textId="77777777" w:rsidR="00C84B1F" w:rsidRPr="007B4D37" w:rsidRDefault="00C84B1F" w:rsidP="00C84B1F">
            <w:pPr>
              <w:pStyle w:val="TAC"/>
            </w:pPr>
            <w:r w:rsidRPr="007B4D37">
              <w:t>11</w:t>
            </w:r>
          </w:p>
        </w:tc>
        <w:tc>
          <w:tcPr>
            <w:tcW w:w="1530" w:type="dxa"/>
            <w:tcBorders>
              <w:left w:val="double" w:sz="4" w:space="0" w:color="auto"/>
            </w:tcBorders>
            <w:vAlign w:val="center"/>
          </w:tcPr>
          <w:p w14:paraId="7527FF78" w14:textId="77777777" w:rsidR="00C84B1F" w:rsidRPr="00F6725D" w:rsidRDefault="00C84B1F" w:rsidP="00C84B1F">
            <w:pPr>
              <w:pStyle w:val="TAC"/>
              <w:rPr>
                <w:rFonts w:cs="Arial"/>
                <w:kern w:val="24"/>
                <w:szCs w:val="18"/>
              </w:rPr>
            </w:pPr>
            <w:r w:rsidRPr="00F6725D">
              <w:rPr>
                <w:rFonts w:cs="Arial"/>
                <w:kern w:val="24"/>
                <w:szCs w:val="18"/>
              </w:rPr>
              <w:t>1</w:t>
            </w:r>
          </w:p>
        </w:tc>
        <w:tc>
          <w:tcPr>
            <w:tcW w:w="1350" w:type="dxa"/>
            <w:tcBorders>
              <w:left w:val="double" w:sz="4" w:space="0" w:color="auto"/>
            </w:tcBorders>
            <w:vAlign w:val="center"/>
          </w:tcPr>
          <w:p w14:paraId="1A8087A5" w14:textId="77777777" w:rsidR="00C84B1F" w:rsidRPr="00F6725D" w:rsidRDefault="00C84B1F" w:rsidP="00C84B1F">
            <w:pPr>
              <w:pStyle w:val="TAC"/>
              <w:rPr>
                <w:rFonts w:cs="Arial"/>
                <w:kern w:val="24"/>
                <w:szCs w:val="18"/>
              </w:rPr>
            </w:pPr>
            <w:r w:rsidRPr="00F6725D">
              <w:rPr>
                <w:rFonts w:cs="Arial"/>
                <w:kern w:val="24"/>
                <w:szCs w:val="18"/>
              </w:rPr>
              <w:t>0</w:t>
            </w:r>
          </w:p>
        </w:tc>
        <w:tc>
          <w:tcPr>
            <w:tcW w:w="1980" w:type="dxa"/>
            <w:tcBorders>
              <w:left w:val="double" w:sz="4" w:space="0" w:color="auto"/>
            </w:tcBorders>
            <w:vAlign w:val="center"/>
          </w:tcPr>
          <w:p w14:paraId="4FE091E4" w14:textId="77777777" w:rsidR="00C84B1F" w:rsidRPr="00F6725D" w:rsidRDefault="00C84B1F" w:rsidP="00C84B1F">
            <w:pPr>
              <w:pStyle w:val="TAC"/>
              <w:rPr>
                <w:rFonts w:cs="Arial"/>
                <w:kern w:val="24"/>
                <w:szCs w:val="18"/>
              </w:rPr>
            </w:pPr>
            <w:r w:rsidRPr="00F6725D">
              <w:rPr>
                <w:rFonts w:cs="Arial"/>
                <w:kern w:val="24"/>
                <w:szCs w:val="18"/>
              </w:rPr>
              <w:t>14</w:t>
            </w:r>
          </w:p>
        </w:tc>
        <w:tc>
          <w:tcPr>
            <w:tcW w:w="1440" w:type="dxa"/>
            <w:tcBorders>
              <w:left w:val="double" w:sz="4" w:space="0" w:color="auto"/>
            </w:tcBorders>
            <w:vAlign w:val="center"/>
          </w:tcPr>
          <w:p w14:paraId="7549C692" w14:textId="77777777" w:rsidR="00C84B1F" w:rsidRPr="00F6725D" w:rsidRDefault="00C84B1F" w:rsidP="00C84B1F">
            <w:pPr>
              <w:pStyle w:val="TAC"/>
              <w:rPr>
                <w:rFonts w:cs="Arial"/>
                <w:kern w:val="24"/>
                <w:szCs w:val="18"/>
              </w:rPr>
            </w:pPr>
            <w:r w:rsidRPr="00F6725D">
              <w:rPr>
                <w:rFonts w:cs="Arial"/>
                <w:kern w:val="24"/>
                <w:szCs w:val="18"/>
                <w:lang w:eastAsia="zh-CN"/>
              </w:rPr>
              <w:t>0</w:t>
            </w:r>
          </w:p>
        </w:tc>
        <w:tc>
          <w:tcPr>
            <w:tcW w:w="1478" w:type="dxa"/>
            <w:tcBorders>
              <w:left w:val="double" w:sz="4" w:space="0" w:color="auto"/>
            </w:tcBorders>
            <w:vAlign w:val="center"/>
          </w:tcPr>
          <w:p w14:paraId="2A53BAB6" w14:textId="77777777" w:rsidR="00C84B1F" w:rsidRPr="00F6725D" w:rsidRDefault="00C84B1F" w:rsidP="00C84B1F">
            <w:pPr>
              <w:pStyle w:val="TAC"/>
              <w:rPr>
                <w:rFonts w:cs="Arial"/>
                <w:kern w:val="24"/>
                <w:szCs w:val="18"/>
              </w:rPr>
            </w:pPr>
            <w:r w:rsidRPr="00F6725D">
              <w:rPr>
                <w:rFonts w:cs="Arial"/>
                <w:kern w:val="24"/>
                <w:szCs w:val="18"/>
                <w:lang w:eastAsia="zh-CN"/>
              </w:rPr>
              <w:t>{0, 6}</w:t>
            </w:r>
          </w:p>
        </w:tc>
      </w:tr>
      <w:tr w:rsidR="00C84B1F" w:rsidRPr="00F6725D" w14:paraId="09CC22BD" w14:textId="77777777" w:rsidTr="00CC6760">
        <w:trPr>
          <w:cantSplit/>
          <w:jc w:val="center"/>
        </w:trPr>
        <w:tc>
          <w:tcPr>
            <w:tcW w:w="895" w:type="dxa"/>
            <w:tcBorders>
              <w:right w:val="double" w:sz="4" w:space="0" w:color="auto"/>
            </w:tcBorders>
            <w:shd w:val="clear" w:color="auto" w:fill="auto"/>
            <w:vAlign w:val="center"/>
          </w:tcPr>
          <w:p w14:paraId="3F8A9462" w14:textId="77777777" w:rsidR="00C84B1F" w:rsidRPr="007B4D37" w:rsidRDefault="00C84B1F" w:rsidP="00C84B1F">
            <w:pPr>
              <w:pStyle w:val="TAC"/>
            </w:pPr>
            <w:r w:rsidRPr="007B4D37">
              <w:t>12</w:t>
            </w:r>
          </w:p>
        </w:tc>
        <w:tc>
          <w:tcPr>
            <w:tcW w:w="1530" w:type="dxa"/>
            <w:tcBorders>
              <w:left w:val="double" w:sz="4" w:space="0" w:color="auto"/>
            </w:tcBorders>
            <w:vAlign w:val="center"/>
          </w:tcPr>
          <w:p w14:paraId="426B4A25" w14:textId="77777777" w:rsidR="00C84B1F" w:rsidRPr="00F6725D" w:rsidRDefault="00C84B1F" w:rsidP="00C84B1F">
            <w:pPr>
              <w:pStyle w:val="TAC"/>
              <w:rPr>
                <w:rFonts w:cs="Arial"/>
                <w:kern w:val="24"/>
                <w:szCs w:val="18"/>
              </w:rPr>
            </w:pPr>
            <w:r w:rsidRPr="00F6725D">
              <w:rPr>
                <w:rFonts w:cs="Arial"/>
                <w:kern w:val="24"/>
                <w:szCs w:val="18"/>
              </w:rPr>
              <w:t>1</w:t>
            </w:r>
          </w:p>
        </w:tc>
        <w:tc>
          <w:tcPr>
            <w:tcW w:w="1350" w:type="dxa"/>
            <w:tcBorders>
              <w:left w:val="double" w:sz="4" w:space="0" w:color="auto"/>
            </w:tcBorders>
            <w:vAlign w:val="center"/>
          </w:tcPr>
          <w:p w14:paraId="29083F6A" w14:textId="77777777" w:rsidR="00C84B1F" w:rsidRPr="00F6725D" w:rsidRDefault="00C84B1F" w:rsidP="00C84B1F">
            <w:pPr>
              <w:pStyle w:val="TAC"/>
              <w:rPr>
                <w:rFonts w:cs="Arial"/>
                <w:kern w:val="24"/>
                <w:szCs w:val="18"/>
              </w:rPr>
            </w:pPr>
            <w:r w:rsidRPr="00F6725D">
              <w:rPr>
                <w:rFonts w:cs="Arial"/>
                <w:kern w:val="24"/>
                <w:szCs w:val="18"/>
              </w:rPr>
              <w:t>0</w:t>
            </w:r>
          </w:p>
        </w:tc>
        <w:tc>
          <w:tcPr>
            <w:tcW w:w="1980" w:type="dxa"/>
            <w:tcBorders>
              <w:left w:val="double" w:sz="4" w:space="0" w:color="auto"/>
            </w:tcBorders>
            <w:vAlign w:val="center"/>
          </w:tcPr>
          <w:p w14:paraId="3C759468" w14:textId="77777777" w:rsidR="00C84B1F" w:rsidRPr="00F6725D" w:rsidRDefault="00C84B1F" w:rsidP="00C84B1F">
            <w:pPr>
              <w:pStyle w:val="TAC"/>
              <w:rPr>
                <w:rFonts w:cs="Arial"/>
                <w:kern w:val="24"/>
                <w:szCs w:val="18"/>
              </w:rPr>
            </w:pPr>
            <w:r w:rsidRPr="00F6725D">
              <w:rPr>
                <w:rFonts w:cs="Arial"/>
                <w:kern w:val="24"/>
                <w:szCs w:val="18"/>
              </w:rPr>
              <w:t>14</w:t>
            </w:r>
          </w:p>
        </w:tc>
        <w:tc>
          <w:tcPr>
            <w:tcW w:w="1440" w:type="dxa"/>
            <w:tcBorders>
              <w:left w:val="double" w:sz="4" w:space="0" w:color="auto"/>
            </w:tcBorders>
            <w:vAlign w:val="center"/>
          </w:tcPr>
          <w:p w14:paraId="05CB3DE4" w14:textId="77777777" w:rsidR="00C84B1F" w:rsidRPr="00F6725D" w:rsidRDefault="00C84B1F" w:rsidP="00C84B1F">
            <w:pPr>
              <w:pStyle w:val="TAC"/>
              <w:rPr>
                <w:rFonts w:cs="Arial"/>
                <w:kern w:val="24"/>
                <w:szCs w:val="18"/>
              </w:rPr>
            </w:pPr>
            <w:r w:rsidRPr="00F6725D">
              <w:rPr>
                <w:rFonts w:cs="Arial"/>
                <w:kern w:val="24"/>
                <w:szCs w:val="18"/>
              </w:rPr>
              <w:t>0</w:t>
            </w:r>
          </w:p>
        </w:tc>
        <w:tc>
          <w:tcPr>
            <w:tcW w:w="1478" w:type="dxa"/>
            <w:tcBorders>
              <w:left w:val="double" w:sz="4" w:space="0" w:color="auto"/>
            </w:tcBorders>
            <w:vAlign w:val="center"/>
          </w:tcPr>
          <w:p w14:paraId="6111FAB7" w14:textId="77777777" w:rsidR="00C84B1F" w:rsidRPr="00F6725D" w:rsidRDefault="00C84B1F" w:rsidP="00C84B1F">
            <w:pPr>
              <w:pStyle w:val="TAC"/>
              <w:rPr>
                <w:rFonts w:cs="Arial"/>
                <w:kern w:val="24"/>
                <w:szCs w:val="18"/>
              </w:rPr>
            </w:pPr>
            <w:r w:rsidRPr="00F6725D">
              <w:rPr>
                <w:rFonts w:cs="Arial"/>
                <w:kern w:val="24"/>
                <w:szCs w:val="18"/>
                <w:lang w:eastAsia="zh-CN"/>
              </w:rPr>
              <w:t>{0, 3, 6, 9}</w:t>
            </w:r>
          </w:p>
        </w:tc>
      </w:tr>
      <w:tr w:rsidR="00C84B1F" w:rsidRPr="00F6725D" w14:paraId="2FB25E72" w14:textId="77777777" w:rsidTr="00CC6760">
        <w:trPr>
          <w:cantSplit/>
          <w:jc w:val="center"/>
        </w:trPr>
        <w:tc>
          <w:tcPr>
            <w:tcW w:w="895" w:type="dxa"/>
            <w:tcBorders>
              <w:right w:val="double" w:sz="4" w:space="0" w:color="auto"/>
            </w:tcBorders>
            <w:shd w:val="clear" w:color="auto" w:fill="auto"/>
            <w:vAlign w:val="center"/>
          </w:tcPr>
          <w:p w14:paraId="775D617B" w14:textId="77777777" w:rsidR="00C84B1F" w:rsidRPr="007B4D37" w:rsidRDefault="00C84B1F" w:rsidP="00C84B1F">
            <w:pPr>
              <w:pStyle w:val="TAC"/>
            </w:pPr>
            <w:r w:rsidRPr="007B4D37">
              <w:t>13</w:t>
            </w:r>
          </w:p>
        </w:tc>
        <w:tc>
          <w:tcPr>
            <w:tcW w:w="1530" w:type="dxa"/>
            <w:tcBorders>
              <w:left w:val="double" w:sz="4" w:space="0" w:color="auto"/>
            </w:tcBorders>
            <w:vAlign w:val="center"/>
          </w:tcPr>
          <w:p w14:paraId="5471AE0F" w14:textId="77777777" w:rsidR="00C84B1F" w:rsidRPr="00F6725D" w:rsidRDefault="00C84B1F" w:rsidP="00C84B1F">
            <w:pPr>
              <w:pStyle w:val="TAC"/>
              <w:rPr>
                <w:rFonts w:cs="Arial"/>
                <w:kern w:val="24"/>
                <w:szCs w:val="18"/>
              </w:rPr>
            </w:pPr>
            <w:r w:rsidRPr="00F6725D">
              <w:rPr>
                <w:rFonts w:cs="Arial"/>
                <w:kern w:val="24"/>
                <w:szCs w:val="18"/>
              </w:rPr>
              <w:t>1</w:t>
            </w:r>
          </w:p>
        </w:tc>
        <w:tc>
          <w:tcPr>
            <w:tcW w:w="1350" w:type="dxa"/>
            <w:tcBorders>
              <w:left w:val="double" w:sz="4" w:space="0" w:color="auto"/>
            </w:tcBorders>
            <w:vAlign w:val="center"/>
          </w:tcPr>
          <w:p w14:paraId="282F5163" w14:textId="77777777" w:rsidR="00C84B1F" w:rsidRPr="00F6725D" w:rsidRDefault="00C84B1F" w:rsidP="00C84B1F">
            <w:pPr>
              <w:pStyle w:val="TAC"/>
              <w:rPr>
                <w:rFonts w:cs="Arial"/>
                <w:kern w:val="24"/>
                <w:szCs w:val="18"/>
              </w:rPr>
            </w:pPr>
            <w:r w:rsidRPr="00F6725D">
              <w:rPr>
                <w:rFonts w:cs="Arial"/>
                <w:kern w:val="24"/>
                <w:szCs w:val="18"/>
              </w:rPr>
              <w:t>0</w:t>
            </w:r>
          </w:p>
        </w:tc>
        <w:tc>
          <w:tcPr>
            <w:tcW w:w="1980" w:type="dxa"/>
            <w:tcBorders>
              <w:left w:val="double" w:sz="4" w:space="0" w:color="auto"/>
            </w:tcBorders>
            <w:vAlign w:val="center"/>
          </w:tcPr>
          <w:p w14:paraId="3A5217EF" w14:textId="77777777" w:rsidR="00C84B1F" w:rsidRPr="00F6725D" w:rsidRDefault="00C84B1F" w:rsidP="00C84B1F">
            <w:pPr>
              <w:pStyle w:val="TAC"/>
              <w:rPr>
                <w:rFonts w:cs="Arial"/>
                <w:kern w:val="24"/>
                <w:szCs w:val="18"/>
              </w:rPr>
            </w:pPr>
            <w:r w:rsidRPr="00F6725D">
              <w:rPr>
                <w:rFonts w:cs="Arial"/>
                <w:kern w:val="24"/>
                <w:szCs w:val="18"/>
              </w:rPr>
              <w:t>14</w:t>
            </w:r>
          </w:p>
        </w:tc>
        <w:tc>
          <w:tcPr>
            <w:tcW w:w="1440" w:type="dxa"/>
            <w:tcBorders>
              <w:left w:val="double" w:sz="4" w:space="0" w:color="auto"/>
            </w:tcBorders>
            <w:vAlign w:val="center"/>
          </w:tcPr>
          <w:p w14:paraId="7A6D04E9" w14:textId="77777777" w:rsidR="00C84B1F" w:rsidRPr="00F6725D" w:rsidRDefault="00C84B1F" w:rsidP="00C84B1F">
            <w:pPr>
              <w:pStyle w:val="TAC"/>
              <w:rPr>
                <w:rFonts w:cs="Arial"/>
                <w:kern w:val="24"/>
                <w:szCs w:val="18"/>
              </w:rPr>
            </w:pPr>
            <w:r w:rsidRPr="00F6725D">
              <w:rPr>
                <w:rFonts w:cs="Arial"/>
                <w:kern w:val="24"/>
                <w:szCs w:val="18"/>
                <w:lang w:eastAsia="zh-CN"/>
              </w:rPr>
              <w:t>2</w:t>
            </w:r>
          </w:p>
        </w:tc>
        <w:tc>
          <w:tcPr>
            <w:tcW w:w="1478" w:type="dxa"/>
            <w:tcBorders>
              <w:left w:val="double" w:sz="4" w:space="0" w:color="auto"/>
            </w:tcBorders>
            <w:vAlign w:val="center"/>
          </w:tcPr>
          <w:p w14:paraId="43625DB9" w14:textId="77777777" w:rsidR="00C84B1F" w:rsidRPr="00F6725D" w:rsidRDefault="00C84B1F" w:rsidP="00C84B1F">
            <w:pPr>
              <w:pStyle w:val="TAC"/>
              <w:rPr>
                <w:rFonts w:cs="Arial"/>
                <w:kern w:val="24"/>
                <w:szCs w:val="18"/>
              </w:rPr>
            </w:pPr>
            <w:r w:rsidRPr="00F6725D">
              <w:rPr>
                <w:rFonts w:cs="Arial"/>
                <w:kern w:val="24"/>
                <w:szCs w:val="18"/>
                <w:lang w:eastAsia="zh-CN"/>
              </w:rPr>
              <w:t>{0, 3, 6, 9}</w:t>
            </w:r>
          </w:p>
        </w:tc>
      </w:tr>
      <w:tr w:rsidR="00C84B1F" w:rsidRPr="00F6725D" w14:paraId="103575D3" w14:textId="77777777" w:rsidTr="00CC6760">
        <w:trPr>
          <w:cantSplit/>
          <w:jc w:val="center"/>
        </w:trPr>
        <w:tc>
          <w:tcPr>
            <w:tcW w:w="895" w:type="dxa"/>
            <w:tcBorders>
              <w:right w:val="double" w:sz="4" w:space="0" w:color="auto"/>
            </w:tcBorders>
            <w:shd w:val="clear" w:color="auto" w:fill="auto"/>
            <w:vAlign w:val="center"/>
          </w:tcPr>
          <w:p w14:paraId="68DE05E4" w14:textId="77777777" w:rsidR="00C84B1F" w:rsidRPr="007B4D37" w:rsidRDefault="00C84B1F" w:rsidP="00C84B1F">
            <w:pPr>
              <w:pStyle w:val="TAC"/>
            </w:pPr>
            <w:r w:rsidRPr="007B4D37">
              <w:t>14</w:t>
            </w:r>
          </w:p>
        </w:tc>
        <w:tc>
          <w:tcPr>
            <w:tcW w:w="1530" w:type="dxa"/>
            <w:tcBorders>
              <w:left w:val="double" w:sz="4" w:space="0" w:color="auto"/>
            </w:tcBorders>
            <w:vAlign w:val="center"/>
          </w:tcPr>
          <w:p w14:paraId="2894EACC" w14:textId="77777777" w:rsidR="00C84B1F" w:rsidRPr="00F6725D" w:rsidRDefault="00C84B1F" w:rsidP="00C84B1F">
            <w:pPr>
              <w:pStyle w:val="TAC"/>
              <w:rPr>
                <w:rFonts w:cs="Arial"/>
                <w:kern w:val="24"/>
                <w:szCs w:val="18"/>
              </w:rPr>
            </w:pPr>
            <w:r w:rsidRPr="00F6725D">
              <w:rPr>
                <w:rFonts w:cs="Arial"/>
                <w:kern w:val="24"/>
                <w:szCs w:val="18"/>
              </w:rPr>
              <w:t>1</w:t>
            </w:r>
          </w:p>
        </w:tc>
        <w:tc>
          <w:tcPr>
            <w:tcW w:w="1350" w:type="dxa"/>
            <w:tcBorders>
              <w:left w:val="double" w:sz="4" w:space="0" w:color="auto"/>
            </w:tcBorders>
            <w:vAlign w:val="center"/>
          </w:tcPr>
          <w:p w14:paraId="74006E52" w14:textId="77777777" w:rsidR="00C84B1F" w:rsidRPr="00F6725D" w:rsidRDefault="00C84B1F" w:rsidP="00C84B1F">
            <w:pPr>
              <w:pStyle w:val="TAC"/>
              <w:rPr>
                <w:rFonts w:cs="Arial"/>
                <w:kern w:val="24"/>
                <w:szCs w:val="18"/>
              </w:rPr>
            </w:pPr>
            <w:r w:rsidRPr="00F6725D">
              <w:rPr>
                <w:rFonts w:cs="Arial"/>
                <w:kern w:val="24"/>
                <w:szCs w:val="18"/>
                <w:lang w:eastAsia="zh-CN"/>
              </w:rPr>
              <w:t>0</w:t>
            </w:r>
          </w:p>
        </w:tc>
        <w:tc>
          <w:tcPr>
            <w:tcW w:w="1980" w:type="dxa"/>
            <w:tcBorders>
              <w:left w:val="double" w:sz="4" w:space="0" w:color="auto"/>
            </w:tcBorders>
            <w:vAlign w:val="center"/>
          </w:tcPr>
          <w:p w14:paraId="4F95344D" w14:textId="77777777" w:rsidR="00C84B1F" w:rsidRPr="00F6725D" w:rsidRDefault="00C84B1F" w:rsidP="00C84B1F">
            <w:pPr>
              <w:pStyle w:val="TAC"/>
              <w:rPr>
                <w:rFonts w:cs="Arial"/>
                <w:kern w:val="24"/>
                <w:szCs w:val="18"/>
              </w:rPr>
            </w:pPr>
            <w:r w:rsidRPr="00F6725D">
              <w:rPr>
                <w:rFonts w:cs="Arial"/>
                <w:kern w:val="24"/>
                <w:szCs w:val="18"/>
              </w:rPr>
              <w:t>1</w:t>
            </w:r>
            <w:r w:rsidRPr="00F6725D">
              <w:rPr>
                <w:rFonts w:cs="Arial"/>
                <w:kern w:val="24"/>
                <w:szCs w:val="18"/>
                <w:lang w:eastAsia="zh-CN"/>
              </w:rPr>
              <w:t>4</w:t>
            </w:r>
          </w:p>
        </w:tc>
        <w:tc>
          <w:tcPr>
            <w:tcW w:w="1440" w:type="dxa"/>
            <w:tcBorders>
              <w:left w:val="double" w:sz="4" w:space="0" w:color="auto"/>
            </w:tcBorders>
            <w:vAlign w:val="center"/>
          </w:tcPr>
          <w:p w14:paraId="2A045932" w14:textId="77777777" w:rsidR="00C84B1F" w:rsidRPr="00F6725D" w:rsidRDefault="00C84B1F" w:rsidP="00C84B1F">
            <w:pPr>
              <w:pStyle w:val="TAC"/>
              <w:rPr>
                <w:rFonts w:cs="Arial"/>
                <w:kern w:val="24"/>
                <w:szCs w:val="18"/>
              </w:rPr>
            </w:pPr>
            <w:r w:rsidRPr="00F6725D">
              <w:rPr>
                <w:rFonts w:cs="Arial"/>
                <w:kern w:val="24"/>
                <w:szCs w:val="18"/>
                <w:lang w:eastAsia="zh-CN"/>
              </w:rPr>
              <w:t>4</w:t>
            </w:r>
          </w:p>
        </w:tc>
        <w:tc>
          <w:tcPr>
            <w:tcW w:w="1478" w:type="dxa"/>
            <w:tcBorders>
              <w:left w:val="double" w:sz="4" w:space="0" w:color="auto"/>
            </w:tcBorders>
            <w:vAlign w:val="center"/>
          </w:tcPr>
          <w:p w14:paraId="03DEAA3C" w14:textId="77777777" w:rsidR="00C84B1F" w:rsidRPr="00F6725D" w:rsidRDefault="00C84B1F" w:rsidP="00C84B1F">
            <w:pPr>
              <w:pStyle w:val="TAC"/>
              <w:rPr>
                <w:rFonts w:cs="Arial"/>
                <w:kern w:val="24"/>
                <w:szCs w:val="18"/>
              </w:rPr>
            </w:pPr>
            <w:r w:rsidRPr="00F6725D">
              <w:rPr>
                <w:rFonts w:cs="Arial"/>
                <w:kern w:val="24"/>
                <w:szCs w:val="18"/>
                <w:lang w:eastAsia="zh-CN"/>
              </w:rPr>
              <w:t>{0, 3, 6, 9}</w:t>
            </w:r>
          </w:p>
        </w:tc>
      </w:tr>
      <w:tr w:rsidR="0068440F" w:rsidRPr="00F6725D" w14:paraId="049B0AE8" w14:textId="77777777" w:rsidTr="00CC6760">
        <w:trPr>
          <w:cantSplit/>
          <w:jc w:val="center"/>
        </w:trPr>
        <w:tc>
          <w:tcPr>
            <w:tcW w:w="895" w:type="dxa"/>
            <w:tcBorders>
              <w:right w:val="double" w:sz="4" w:space="0" w:color="auto"/>
            </w:tcBorders>
            <w:shd w:val="clear" w:color="auto" w:fill="auto"/>
            <w:vAlign w:val="center"/>
          </w:tcPr>
          <w:p w14:paraId="6DF5D1B4" w14:textId="77777777" w:rsidR="0068440F" w:rsidRPr="007B4D37" w:rsidRDefault="0068440F" w:rsidP="0068440F">
            <w:pPr>
              <w:pStyle w:val="TAC"/>
            </w:pPr>
            <w:r w:rsidRPr="007B4D37">
              <w:rPr>
                <w:rFonts w:cs="Arial"/>
                <w:kern w:val="24"/>
                <w:szCs w:val="18"/>
              </w:rPr>
              <w:t>15</w:t>
            </w:r>
          </w:p>
        </w:tc>
        <w:tc>
          <w:tcPr>
            <w:tcW w:w="1530" w:type="dxa"/>
            <w:tcBorders>
              <w:left w:val="double" w:sz="4" w:space="0" w:color="auto"/>
            </w:tcBorders>
            <w:vAlign w:val="center"/>
          </w:tcPr>
          <w:p w14:paraId="0A7ACD1F" w14:textId="77777777" w:rsidR="0068440F" w:rsidRPr="00F6725D" w:rsidRDefault="0068440F" w:rsidP="0068440F">
            <w:pPr>
              <w:pStyle w:val="TAC"/>
              <w:rPr>
                <w:rFonts w:cs="Arial"/>
                <w:kern w:val="24"/>
                <w:szCs w:val="18"/>
              </w:rPr>
            </w:pPr>
            <w:r w:rsidRPr="00F6725D">
              <w:rPr>
                <w:rFonts w:cs="Arial"/>
                <w:kern w:val="24"/>
                <w:szCs w:val="18"/>
              </w:rPr>
              <w:t>1</w:t>
            </w:r>
          </w:p>
        </w:tc>
        <w:tc>
          <w:tcPr>
            <w:tcW w:w="1350" w:type="dxa"/>
            <w:tcBorders>
              <w:left w:val="double" w:sz="4" w:space="0" w:color="auto"/>
            </w:tcBorders>
            <w:vAlign w:val="center"/>
          </w:tcPr>
          <w:p w14:paraId="241BD2F0" w14:textId="77777777" w:rsidR="0068440F" w:rsidRPr="00F6725D" w:rsidRDefault="0068440F" w:rsidP="0068440F">
            <w:pPr>
              <w:pStyle w:val="TAC"/>
              <w:rPr>
                <w:rFonts w:cs="Arial"/>
                <w:kern w:val="24"/>
                <w:szCs w:val="18"/>
              </w:rPr>
            </w:pPr>
            <w:r w:rsidRPr="00F6725D">
              <w:rPr>
                <w:rFonts w:cs="Arial"/>
                <w:kern w:val="24"/>
                <w:szCs w:val="18"/>
              </w:rPr>
              <w:t>0</w:t>
            </w:r>
          </w:p>
        </w:tc>
        <w:tc>
          <w:tcPr>
            <w:tcW w:w="1980" w:type="dxa"/>
            <w:tcBorders>
              <w:left w:val="double" w:sz="4" w:space="0" w:color="auto"/>
            </w:tcBorders>
            <w:vAlign w:val="center"/>
          </w:tcPr>
          <w:p w14:paraId="5A780F43" w14:textId="77777777" w:rsidR="0068440F" w:rsidRPr="00F6725D" w:rsidRDefault="0068440F" w:rsidP="0068440F">
            <w:pPr>
              <w:pStyle w:val="TAC"/>
              <w:rPr>
                <w:rFonts w:cs="Arial"/>
                <w:kern w:val="24"/>
                <w:szCs w:val="18"/>
              </w:rPr>
            </w:pPr>
            <w:r w:rsidRPr="00F6725D">
              <w:rPr>
                <w:rFonts w:cs="Arial"/>
                <w:kern w:val="24"/>
                <w:szCs w:val="18"/>
              </w:rPr>
              <w:t>14</w:t>
            </w:r>
          </w:p>
        </w:tc>
        <w:tc>
          <w:tcPr>
            <w:tcW w:w="1440" w:type="dxa"/>
            <w:tcBorders>
              <w:left w:val="double" w:sz="4" w:space="0" w:color="auto"/>
            </w:tcBorders>
            <w:vAlign w:val="center"/>
          </w:tcPr>
          <w:p w14:paraId="4AEE6185" w14:textId="065FDC9F" w:rsidR="0068440F" w:rsidRPr="007B4D37" w:rsidRDefault="00000000" w:rsidP="0068440F">
            <w:pPr>
              <w:pStyle w:val="TAC"/>
              <w:rPr>
                <w:rFonts w:cs="Arial"/>
                <w:kern w:val="24"/>
                <w:szCs w:val="18"/>
              </w:rPr>
            </w:pPr>
            <m:oMathPara>
              <m:oMath>
                <m:d>
                  <m:dPr>
                    <m:begChr m:val="⌊"/>
                    <m:endChr m:val="⌋"/>
                    <m:ctrlPr>
                      <w:rPr>
                        <w:rFonts w:ascii="Cambria Math" w:hAnsi="Cambria Math" w:cs="Arial"/>
                        <w:i/>
                        <w:kern w:val="24"/>
                        <w:szCs w:val="18"/>
                      </w:rPr>
                    </m:ctrlPr>
                  </m:dPr>
                  <m:e>
                    <m:f>
                      <m:fPr>
                        <m:type m:val="lin"/>
                        <m:ctrlPr>
                          <w:rPr>
                            <w:rFonts w:ascii="Cambria Math" w:hAnsi="Cambria Math" w:cs="Arial"/>
                            <w:i/>
                            <w:kern w:val="24"/>
                            <w:szCs w:val="18"/>
                          </w:rPr>
                        </m:ctrlPr>
                      </m:fPr>
                      <m:num>
                        <m:sSubSup>
                          <m:sSubSupPr>
                            <m:ctrlPr>
                              <w:rPr>
                                <w:rFonts w:ascii="Cambria Math" w:hAnsi="Cambria Math"/>
                                <w:i/>
                                <w:lang w:val="en-US"/>
                              </w:rPr>
                            </m:ctrlPr>
                          </m:sSubSupPr>
                          <m:e>
                            <m:r>
                              <w:rPr>
                                <w:rFonts w:ascii="Cambria Math" w:hAnsi="Cambria Math"/>
                                <w:lang w:val="en-US"/>
                              </w:rPr>
                              <m:t>N</m:t>
                            </m:r>
                          </m:e>
                          <m:sub>
                            <m:r>
                              <m:rPr>
                                <m:nor/>
                              </m:rPr>
                              <w:rPr>
                                <w:rFonts w:ascii="Cambria Math" w:hAnsi="Cambria Math"/>
                                <w:lang w:val="en-US"/>
                              </w:rPr>
                              <m:t>BWP</m:t>
                            </m:r>
                          </m:sub>
                          <m:sup>
                            <m:r>
                              <m:rPr>
                                <m:nor/>
                              </m:rPr>
                              <w:rPr>
                                <w:rFonts w:ascii="Cambria Math" w:hAnsi="Cambria Math"/>
                                <w:lang w:val="en-US"/>
                              </w:rPr>
                              <m:t>size</m:t>
                            </m:r>
                          </m:sup>
                        </m:sSubSup>
                      </m:num>
                      <m:den>
                        <m:r>
                          <w:rPr>
                            <w:rFonts w:ascii="Cambria Math" w:hAnsi="Cambria Math" w:cs="Arial"/>
                            <w:kern w:val="24"/>
                            <w:szCs w:val="18"/>
                          </w:rPr>
                          <m:t>4</m:t>
                        </m:r>
                      </m:den>
                    </m:f>
                  </m:e>
                </m:d>
              </m:oMath>
            </m:oMathPara>
          </w:p>
        </w:tc>
        <w:tc>
          <w:tcPr>
            <w:tcW w:w="1478" w:type="dxa"/>
            <w:tcBorders>
              <w:left w:val="double" w:sz="4" w:space="0" w:color="auto"/>
            </w:tcBorders>
            <w:vAlign w:val="center"/>
          </w:tcPr>
          <w:p w14:paraId="361FFF89" w14:textId="77777777" w:rsidR="0068440F" w:rsidRPr="00F6725D" w:rsidRDefault="0068440F" w:rsidP="0068440F">
            <w:pPr>
              <w:pStyle w:val="TAC"/>
              <w:rPr>
                <w:rFonts w:cs="Arial"/>
                <w:kern w:val="24"/>
                <w:szCs w:val="18"/>
              </w:rPr>
            </w:pPr>
            <w:r w:rsidRPr="00F6725D">
              <w:rPr>
                <w:rFonts w:cs="Arial"/>
                <w:kern w:val="24"/>
                <w:szCs w:val="18"/>
                <w:lang w:eastAsia="zh-CN"/>
              </w:rPr>
              <w:t>{0, 3, 6, 9}</w:t>
            </w:r>
          </w:p>
        </w:tc>
      </w:tr>
    </w:tbl>
    <w:p w14:paraId="4AFE1B7B" w14:textId="77777777" w:rsidR="00C84B1F" w:rsidRDefault="00C84B1F" w:rsidP="0009732E"/>
    <w:p w14:paraId="1171162D" w14:textId="77777777" w:rsidR="00B97A67" w:rsidRPr="00B916EC" w:rsidRDefault="005A44EF" w:rsidP="005C53A2">
      <w:pPr>
        <w:rPr>
          <w:lang w:val="en-US"/>
        </w:rPr>
      </w:pPr>
      <w:r>
        <w:t>If</w:t>
      </w:r>
      <w:r w:rsidRPr="00000A61">
        <w:t xml:space="preserve"> </w:t>
      </w:r>
      <w:r>
        <w:rPr>
          <w:lang w:val="en-US"/>
        </w:rPr>
        <w:t xml:space="preserve">a UE has dedicated </w:t>
      </w:r>
      <w:r>
        <w:t>PUCCH resource configuration</w:t>
      </w:r>
      <w:r>
        <w:rPr>
          <w:lang w:val="en-US"/>
        </w:rPr>
        <w:t>, the</w:t>
      </w:r>
      <w:r w:rsidR="00DD4DF7" w:rsidRPr="00B916EC">
        <w:t xml:space="preserve"> </w:t>
      </w:r>
      <w:r w:rsidR="00B97A67" w:rsidRPr="00B916EC">
        <w:rPr>
          <w:lang w:val="en-US"/>
        </w:rPr>
        <w:t xml:space="preserve">UE is </w:t>
      </w:r>
      <w:r w:rsidR="00CC18AF">
        <w:rPr>
          <w:lang w:val="en-US"/>
        </w:rPr>
        <w:t>provided</w:t>
      </w:r>
      <w:r w:rsidR="00CC18AF" w:rsidRPr="00B916EC">
        <w:rPr>
          <w:lang w:val="en-US"/>
        </w:rPr>
        <w:t xml:space="preserve"> </w:t>
      </w:r>
      <w:r w:rsidR="00B97A67" w:rsidRPr="00B916EC">
        <w:rPr>
          <w:lang w:val="en-US"/>
        </w:rPr>
        <w:t xml:space="preserve">by higher layers with one or more </w:t>
      </w:r>
      <w:r w:rsidR="00C84B1F">
        <w:rPr>
          <w:lang w:val="en-US"/>
        </w:rPr>
        <w:t>PUCCH resources.</w:t>
      </w:r>
    </w:p>
    <w:p w14:paraId="3A6C83AE" w14:textId="77777777" w:rsidR="00B97A67" w:rsidRPr="00B916EC" w:rsidRDefault="00B97A67" w:rsidP="005C53A2">
      <w:pPr>
        <w:rPr>
          <w:lang w:val="en-US"/>
        </w:rPr>
      </w:pPr>
      <w:r w:rsidRPr="00B916EC">
        <w:rPr>
          <w:lang w:val="en-US"/>
        </w:rPr>
        <w:t>A PUCCH resource includes the following</w:t>
      </w:r>
      <w:r w:rsidR="005A44EF">
        <w:rPr>
          <w:lang w:val="en-US"/>
        </w:rPr>
        <w:t xml:space="preserve"> parameters</w:t>
      </w:r>
      <w:r w:rsidRPr="00B916EC">
        <w:rPr>
          <w:lang w:val="en-US"/>
        </w:rPr>
        <w:t>:</w:t>
      </w:r>
    </w:p>
    <w:p w14:paraId="7004810D" w14:textId="77777777" w:rsidR="00C84B1F" w:rsidRPr="000C17A6" w:rsidRDefault="00C84B1F" w:rsidP="00C84B1F">
      <w:pPr>
        <w:pStyle w:val="B1"/>
        <w:rPr>
          <w:lang w:val="en-US"/>
        </w:rPr>
      </w:pPr>
      <w:r>
        <w:t>-</w:t>
      </w:r>
      <w:r>
        <w:tab/>
        <w:t>a PUCCH resource index</w:t>
      </w:r>
      <w:r w:rsidRPr="00B916EC">
        <w:t xml:space="preserve"> </w:t>
      </w:r>
      <w:r>
        <w:rPr>
          <w:lang w:val="en-US"/>
        </w:rPr>
        <w:t xml:space="preserve">provided by </w:t>
      </w:r>
      <w:r w:rsidRPr="00176E1B">
        <w:rPr>
          <w:i/>
        </w:rPr>
        <w:t>pucch-ResourceId</w:t>
      </w:r>
    </w:p>
    <w:p w14:paraId="77D7BD91" w14:textId="12CB87EF" w:rsidR="00C84B1F" w:rsidRPr="00B916EC" w:rsidRDefault="00C84B1F" w:rsidP="00C979C2">
      <w:pPr>
        <w:pStyle w:val="B1"/>
      </w:pPr>
      <w:r>
        <w:t>-</w:t>
      </w:r>
      <w:r>
        <w:tab/>
      </w:r>
      <w:r w:rsidRPr="00B916EC">
        <w:t xml:space="preserve">an index of the first PRB prior to frequency hopping or for no frequency hopping by </w:t>
      </w:r>
      <w:r w:rsidRPr="00B916EC">
        <w:rPr>
          <w:i/>
        </w:rPr>
        <w:t>startingPRB</w:t>
      </w:r>
      <w:r w:rsidR="00940AB3">
        <w:t xml:space="preserve">, </w:t>
      </w:r>
      <w:r w:rsidR="00940AB3" w:rsidRPr="00E0009F">
        <w:t>if</w:t>
      </w:r>
      <w:r w:rsidR="00940AB3" w:rsidRPr="00E0009F">
        <w:rPr>
          <w:lang w:val="en-US"/>
        </w:rPr>
        <w:t xml:space="preserve"> </w:t>
      </w:r>
      <w:r w:rsidR="00940AB3">
        <w:rPr>
          <w:lang w:val="en-US"/>
        </w:rPr>
        <w:t xml:space="preserve">a UE is not provided </w:t>
      </w:r>
      <w:r w:rsidR="00527FA8" w:rsidRPr="00B9343F">
        <w:rPr>
          <w:i/>
        </w:rPr>
        <w:t>useInterlacePUCCH-PUSCH</w:t>
      </w:r>
      <w:r w:rsidR="00527FA8" w:rsidRPr="00B9343F">
        <w:rPr>
          <w:iCs/>
        </w:rPr>
        <w:t xml:space="preserve"> in </w:t>
      </w:r>
      <w:r w:rsidR="00527FA8" w:rsidRPr="00B9343F">
        <w:rPr>
          <w:i/>
        </w:rPr>
        <w:t>BWP-UplinkDedicated</w:t>
      </w:r>
    </w:p>
    <w:p w14:paraId="2A90489B" w14:textId="0261865C" w:rsidR="00C84B1F" w:rsidRPr="00B916EC" w:rsidRDefault="00C84B1F" w:rsidP="00950B98">
      <w:pPr>
        <w:pStyle w:val="B1"/>
      </w:pPr>
      <w:r>
        <w:t>-</w:t>
      </w:r>
      <w:r>
        <w:tab/>
      </w:r>
      <w:r w:rsidRPr="00B916EC">
        <w:t xml:space="preserve">an index of the first PRB after frequency hopping by </w:t>
      </w:r>
      <w:r w:rsidRPr="000C17A6">
        <w:rPr>
          <w:i/>
        </w:rPr>
        <w:t>secondHopPRB</w:t>
      </w:r>
      <w:r w:rsidR="00940AB3">
        <w:t xml:space="preserve">, </w:t>
      </w:r>
      <w:r w:rsidR="00940AB3" w:rsidRPr="00E0009F">
        <w:t>if</w:t>
      </w:r>
      <w:r w:rsidR="00940AB3" w:rsidRPr="00E0009F">
        <w:rPr>
          <w:lang w:val="en-US"/>
        </w:rPr>
        <w:t xml:space="preserve"> </w:t>
      </w:r>
      <w:r w:rsidR="00940AB3">
        <w:rPr>
          <w:lang w:val="en-US"/>
        </w:rPr>
        <w:t xml:space="preserve">a UE is not provided </w:t>
      </w:r>
      <w:r w:rsidR="00527FA8" w:rsidRPr="00B9343F">
        <w:rPr>
          <w:i/>
        </w:rPr>
        <w:t>useInterlacePUCCH-PUSCH</w:t>
      </w:r>
      <w:r w:rsidR="00527FA8" w:rsidRPr="00B9343F">
        <w:rPr>
          <w:iCs/>
        </w:rPr>
        <w:t xml:space="preserve"> in </w:t>
      </w:r>
      <w:r w:rsidR="00527FA8" w:rsidRPr="00B9343F">
        <w:rPr>
          <w:i/>
        </w:rPr>
        <w:t>BWP-UplinkDedicated</w:t>
      </w:r>
    </w:p>
    <w:p w14:paraId="7AD8785B" w14:textId="48BD585B" w:rsidR="00940AB3" w:rsidRPr="00A0298E" w:rsidRDefault="00C84B1F" w:rsidP="00940AB3">
      <w:pPr>
        <w:pStyle w:val="B1"/>
      </w:pPr>
      <w:r>
        <w:t>-</w:t>
      </w:r>
      <w:r>
        <w:tab/>
      </w:r>
      <w:r>
        <w:rPr>
          <w:lang w:val="en-US"/>
        </w:rPr>
        <w:t xml:space="preserve">an indication for intra-slot </w:t>
      </w:r>
      <w:r w:rsidRPr="00B916EC">
        <w:t>frequency hopping</w:t>
      </w:r>
      <w:r>
        <w:rPr>
          <w:lang w:val="en-US"/>
        </w:rPr>
        <w:t xml:space="preserve"> </w:t>
      </w:r>
      <w:r w:rsidRPr="00B916EC">
        <w:t xml:space="preserve">by </w:t>
      </w:r>
      <w:r w:rsidRPr="000C17A6">
        <w:rPr>
          <w:i/>
        </w:rPr>
        <w:t>intraSlotFrequencyHopping</w:t>
      </w:r>
      <w:r w:rsidR="00940AB3">
        <w:t xml:space="preserve">, </w:t>
      </w:r>
      <w:r w:rsidR="00940AB3" w:rsidRPr="00E0009F">
        <w:t>if</w:t>
      </w:r>
      <w:r w:rsidR="00940AB3" w:rsidRPr="00E0009F">
        <w:rPr>
          <w:lang w:val="en-US"/>
        </w:rPr>
        <w:t xml:space="preserve"> </w:t>
      </w:r>
      <w:r w:rsidR="00940AB3">
        <w:rPr>
          <w:lang w:val="en-US"/>
        </w:rPr>
        <w:t xml:space="preserve">a UE is not provided </w:t>
      </w:r>
      <w:r w:rsidR="00527FA8" w:rsidRPr="00B9343F">
        <w:rPr>
          <w:i/>
        </w:rPr>
        <w:t>useInterlacePUCCH-PUSCH</w:t>
      </w:r>
      <w:r w:rsidR="00527FA8" w:rsidRPr="00B9343F">
        <w:rPr>
          <w:iCs/>
        </w:rPr>
        <w:t xml:space="preserve"> in </w:t>
      </w:r>
      <w:r w:rsidR="00527FA8" w:rsidRPr="00B9343F">
        <w:rPr>
          <w:i/>
        </w:rPr>
        <w:t>BWP-UplinkDedicated</w:t>
      </w:r>
    </w:p>
    <w:p w14:paraId="5D8E28D4" w14:textId="1C43C08B" w:rsidR="00940AB3" w:rsidRDefault="00940AB3" w:rsidP="00940AB3">
      <w:pPr>
        <w:pStyle w:val="B1"/>
        <w:rPr>
          <w:iCs/>
          <w:color w:val="000000"/>
        </w:rPr>
      </w:pPr>
      <w:r>
        <w:t>-</w:t>
      </w:r>
      <w:r>
        <w:tab/>
        <w:t>an index of a</w:t>
      </w:r>
      <w:r w:rsidRPr="00B916EC">
        <w:t xml:space="preserve"> first </w:t>
      </w:r>
      <w:r w:rsidRPr="00C62C47">
        <w:rPr>
          <w:rFonts w:eastAsia="DengXian"/>
          <w:lang w:eastAsia="zh-CN"/>
        </w:rPr>
        <w:t>i</w:t>
      </w:r>
      <w:r w:rsidRPr="00C62C47">
        <w:t>n</w:t>
      </w:r>
      <w:r w:rsidRPr="00E0009F">
        <w:rPr>
          <w:rFonts w:hint="eastAsia"/>
        </w:rPr>
        <w:t>terlace</w:t>
      </w:r>
      <w:r>
        <w:t xml:space="preserve"> by </w:t>
      </w:r>
      <w:r w:rsidRPr="00893B79">
        <w:rPr>
          <w:i/>
        </w:rPr>
        <w:t>interlace0</w:t>
      </w:r>
      <w:r w:rsidRPr="00E0009F">
        <w:t>, if</w:t>
      </w:r>
      <w:r w:rsidRPr="00E0009F">
        <w:rPr>
          <w:lang w:val="en-US"/>
        </w:rPr>
        <w:t xml:space="preserve"> </w:t>
      </w:r>
      <w:r>
        <w:rPr>
          <w:lang w:val="en-US"/>
        </w:rPr>
        <w:t xml:space="preserve">a UE is provided </w:t>
      </w:r>
      <w:r w:rsidR="00527FA8" w:rsidRPr="00B9343F">
        <w:rPr>
          <w:i/>
        </w:rPr>
        <w:t>useInterlacePUCCH-PUSCH</w:t>
      </w:r>
      <w:r w:rsidR="00527FA8" w:rsidRPr="00B9343F">
        <w:rPr>
          <w:iCs/>
        </w:rPr>
        <w:t xml:space="preserve"> in </w:t>
      </w:r>
      <w:r w:rsidR="00527FA8" w:rsidRPr="00B9343F">
        <w:rPr>
          <w:i/>
        </w:rPr>
        <w:t>BWP-UplinkDedicated</w:t>
      </w:r>
    </w:p>
    <w:p w14:paraId="31C12AE7" w14:textId="7372ACA7" w:rsidR="00940AB3" w:rsidRPr="00971989" w:rsidRDefault="00940AB3" w:rsidP="00940AB3">
      <w:pPr>
        <w:pStyle w:val="B1"/>
        <w:rPr>
          <w:iCs/>
          <w:color w:val="000000"/>
        </w:rPr>
      </w:pPr>
      <w:r>
        <w:t>-</w:t>
      </w:r>
      <w:r>
        <w:tab/>
        <w:t>if provided, an index of a second</w:t>
      </w:r>
      <w:r w:rsidRPr="00B916EC">
        <w:t xml:space="preserve"> </w:t>
      </w:r>
      <w:r w:rsidRPr="00C62C47">
        <w:rPr>
          <w:rFonts w:eastAsia="DengXian"/>
          <w:lang w:eastAsia="zh-CN"/>
        </w:rPr>
        <w:t>i</w:t>
      </w:r>
      <w:r w:rsidRPr="00C62C47">
        <w:t>n</w:t>
      </w:r>
      <w:r w:rsidRPr="00E0009F">
        <w:rPr>
          <w:rFonts w:hint="eastAsia"/>
        </w:rPr>
        <w:t>terlace</w:t>
      </w:r>
      <w:r>
        <w:t xml:space="preserve"> by </w:t>
      </w:r>
      <w:r w:rsidRPr="00893B79">
        <w:rPr>
          <w:i/>
        </w:rPr>
        <w:t>interlace</w:t>
      </w:r>
      <w:r>
        <w:rPr>
          <w:i/>
        </w:rPr>
        <w:t>1</w:t>
      </w:r>
      <w:r w:rsidRPr="00E0009F">
        <w:t>, if</w:t>
      </w:r>
      <w:r w:rsidRPr="00E0009F">
        <w:rPr>
          <w:lang w:val="en-US"/>
        </w:rPr>
        <w:t xml:space="preserve"> </w:t>
      </w:r>
      <w:r>
        <w:rPr>
          <w:lang w:val="en-US"/>
        </w:rPr>
        <w:t xml:space="preserve">a UE is provided </w:t>
      </w:r>
      <w:r w:rsidR="00527FA8" w:rsidRPr="00B9343F">
        <w:rPr>
          <w:i/>
        </w:rPr>
        <w:t>useInterlacePUCCH-PUSCH</w:t>
      </w:r>
      <w:r w:rsidR="00527FA8" w:rsidRPr="00B9343F">
        <w:rPr>
          <w:iCs/>
        </w:rPr>
        <w:t xml:space="preserve"> in </w:t>
      </w:r>
      <w:r w:rsidR="00527FA8" w:rsidRPr="00B9343F">
        <w:rPr>
          <w:i/>
        </w:rPr>
        <w:t>BWP-UplinkDedicated</w:t>
      </w:r>
    </w:p>
    <w:p w14:paraId="7C3E2F8E" w14:textId="317EA3F0" w:rsidR="00C84B1F" w:rsidRPr="003E315E" w:rsidRDefault="00940AB3" w:rsidP="00BC6BD6">
      <w:pPr>
        <w:pStyle w:val="B1"/>
        <w:rPr>
          <w:lang w:val="en-US"/>
        </w:rPr>
      </w:pPr>
      <w:r>
        <w:t>-</w:t>
      </w:r>
      <w:r>
        <w:tab/>
        <w:t>an index of an</w:t>
      </w:r>
      <w:r w:rsidRPr="00B916EC">
        <w:t xml:space="preserve"> </w:t>
      </w:r>
      <w:r>
        <w:t>RB set by</w:t>
      </w:r>
      <w:r w:rsidRPr="00510451">
        <w:rPr>
          <w:i/>
        </w:rPr>
        <w:t xml:space="preserve"> </w:t>
      </w:r>
      <w:r w:rsidR="006B633C" w:rsidRPr="00590010">
        <w:rPr>
          <w:i/>
          <w:iCs/>
        </w:rPr>
        <w:t>rb-SetIndex</w:t>
      </w:r>
      <w:r>
        <w:t>,</w:t>
      </w:r>
      <w:r w:rsidRPr="00E0009F">
        <w:t xml:space="preserve"> if</w:t>
      </w:r>
      <w:r w:rsidRPr="00E0009F">
        <w:rPr>
          <w:lang w:val="en-US"/>
        </w:rPr>
        <w:t xml:space="preserve"> </w:t>
      </w:r>
      <w:r>
        <w:rPr>
          <w:lang w:val="en-US"/>
        </w:rPr>
        <w:t xml:space="preserve">a UE is provided </w:t>
      </w:r>
      <w:r w:rsidR="00527FA8" w:rsidRPr="00B9343F">
        <w:rPr>
          <w:i/>
        </w:rPr>
        <w:t>useInterlacePUCCH-PUSCH</w:t>
      </w:r>
      <w:r w:rsidR="00527FA8" w:rsidRPr="00B9343F">
        <w:rPr>
          <w:iCs/>
        </w:rPr>
        <w:t xml:space="preserve"> in </w:t>
      </w:r>
      <w:r w:rsidR="00527FA8" w:rsidRPr="00B9343F">
        <w:rPr>
          <w:i/>
        </w:rPr>
        <w:t>BWP-UplinkDedicated</w:t>
      </w:r>
    </w:p>
    <w:p w14:paraId="75D3A8B3" w14:textId="77777777" w:rsidR="00E60028" w:rsidRPr="00E60028" w:rsidRDefault="00E60028" w:rsidP="00E60028">
      <w:pPr>
        <w:pStyle w:val="B1"/>
        <w:rPr>
          <w:lang w:val="en-US"/>
        </w:rPr>
      </w:pPr>
      <w:r w:rsidRPr="00E60028">
        <w:t>-</w:t>
      </w:r>
      <w:r w:rsidRPr="00E60028">
        <w:tab/>
        <w:t xml:space="preserve">an indication for applying one or both of </w:t>
      </w:r>
      <w:r w:rsidRPr="00E60028">
        <w:rPr>
          <w:i/>
          <w:iCs/>
          <w:lang w:val="en-US"/>
        </w:rPr>
        <w:t>TCI-State</w:t>
      </w:r>
      <w:r w:rsidRPr="00E60028">
        <w:rPr>
          <w:lang w:val="en-US"/>
        </w:rPr>
        <w:t xml:space="preserve"> or</w:t>
      </w:r>
      <w:r w:rsidRPr="00E60028">
        <w:rPr>
          <w:i/>
          <w:iCs/>
          <w:lang w:val="en-US"/>
        </w:rPr>
        <w:t xml:space="preserve"> TCI-UL-State</w:t>
      </w:r>
      <w:r w:rsidRPr="00E60028">
        <w:rPr>
          <w:lang w:val="en-US"/>
        </w:rPr>
        <w:t xml:space="preserve"> by </w:t>
      </w:r>
      <w:r w:rsidRPr="00E60028">
        <w:rPr>
          <w:rFonts w:cs="Times"/>
          <w:i/>
          <w:iCs/>
          <w:szCs w:val="18"/>
          <w:lang w:eastAsia="zh-CN"/>
        </w:rPr>
        <w:t>apply-IndicatedTCIState</w:t>
      </w:r>
      <w:r w:rsidRPr="00E60028">
        <w:rPr>
          <w:lang w:val="en-US"/>
        </w:rPr>
        <w:t>, if provided</w:t>
      </w:r>
    </w:p>
    <w:p w14:paraId="78B36533" w14:textId="2E8FB484" w:rsidR="00C84B1F" w:rsidRDefault="00C84B1F" w:rsidP="003E4D5E">
      <w:pPr>
        <w:pStyle w:val="B1"/>
        <w:rPr>
          <w:lang w:val="en-US"/>
        </w:rPr>
      </w:pPr>
      <w:r>
        <w:t>-</w:t>
      </w:r>
      <w:r>
        <w:tab/>
        <w:t>a</w:t>
      </w:r>
      <w:r>
        <w:rPr>
          <w:lang w:val="en-US"/>
        </w:rPr>
        <w:t xml:space="preserve"> configuration for a</w:t>
      </w:r>
      <w:r>
        <w:t xml:space="preserve"> PUCCH </w:t>
      </w:r>
      <w:r>
        <w:rPr>
          <w:lang w:val="en-US"/>
        </w:rPr>
        <w:t>format</w:t>
      </w:r>
      <w:r w:rsidRPr="00B916EC">
        <w:t xml:space="preserve"> </w:t>
      </w:r>
      <w:r>
        <w:rPr>
          <w:lang w:val="en-US"/>
        </w:rPr>
        <w:t xml:space="preserve">provided by </w:t>
      </w:r>
      <w:r>
        <w:rPr>
          <w:i/>
          <w:lang w:val="en-US"/>
        </w:rPr>
        <w:t>format</w:t>
      </w:r>
    </w:p>
    <w:p w14:paraId="209939B6" w14:textId="77777777" w:rsidR="005A452B" w:rsidRDefault="005A452B" w:rsidP="00527FA8">
      <w:pPr>
        <w:rPr>
          <w:szCs w:val="16"/>
        </w:rPr>
      </w:pPr>
      <w:r w:rsidRPr="00EF4FAB">
        <w:t xml:space="preserve">For operation with shared spectrum channel access, the </w:t>
      </w:r>
      <w:r w:rsidRPr="00EF4FAB">
        <w:rPr>
          <w:szCs w:val="16"/>
        </w:rPr>
        <w:t>UE does not expect that two hops of a PUCCH transmission are in different RB sets.</w:t>
      </w:r>
    </w:p>
    <w:p w14:paraId="444724C5" w14:textId="0D0554F7" w:rsidR="00527FA8" w:rsidRDefault="00527FA8" w:rsidP="00527FA8">
      <w:pPr>
        <w:rPr>
          <w:lang w:val="en-US"/>
        </w:rPr>
      </w:pPr>
      <w:r>
        <w:rPr>
          <w:lang w:val="en-US"/>
        </w:rPr>
        <w:t xml:space="preserve">The UE expects that </w:t>
      </w:r>
      <w:r w:rsidRPr="00B9343F">
        <w:rPr>
          <w:i/>
        </w:rPr>
        <w:t>useInterlacePUCCH-PUSCH</w:t>
      </w:r>
      <w:r w:rsidRPr="00B9343F">
        <w:rPr>
          <w:iCs/>
        </w:rPr>
        <w:t xml:space="preserve"> in </w:t>
      </w:r>
      <w:r w:rsidRPr="00B9343F">
        <w:rPr>
          <w:i/>
        </w:rPr>
        <w:t>BWP-UplinkCommon</w:t>
      </w:r>
      <w:r w:rsidRPr="00B9343F">
        <w:rPr>
          <w:iCs/>
        </w:rPr>
        <w:t xml:space="preserve"> and </w:t>
      </w:r>
      <w:r w:rsidRPr="00B9343F">
        <w:rPr>
          <w:i/>
        </w:rPr>
        <w:t>useInterlacePUCCH-PUSCH</w:t>
      </w:r>
      <w:r w:rsidRPr="00B9343F">
        <w:rPr>
          <w:iCs/>
        </w:rPr>
        <w:t xml:space="preserve"> in </w:t>
      </w:r>
      <w:r w:rsidRPr="00B9343F">
        <w:rPr>
          <w:i/>
        </w:rPr>
        <w:t>BWP-UplinkDedicated</w:t>
      </w:r>
      <w:r w:rsidRPr="007F144E">
        <w:rPr>
          <w:iCs/>
          <w:color w:val="000000"/>
        </w:rPr>
        <w:t xml:space="preserve"> </w:t>
      </w:r>
      <w:r>
        <w:rPr>
          <w:iCs/>
          <w:color w:val="000000"/>
        </w:rPr>
        <w:t>are provided</w:t>
      </w:r>
      <w:r w:rsidRPr="00167B24">
        <w:rPr>
          <w:iCs/>
        </w:rPr>
        <w:t xml:space="preserve"> either </w:t>
      </w:r>
      <w:r>
        <w:rPr>
          <w:iCs/>
        </w:rPr>
        <w:t xml:space="preserve">in </w:t>
      </w:r>
      <w:r w:rsidRPr="00167B24">
        <w:rPr>
          <w:iCs/>
        </w:rPr>
        <w:t xml:space="preserve">all UL BWPs or </w:t>
      </w:r>
      <w:r>
        <w:rPr>
          <w:iCs/>
        </w:rPr>
        <w:t xml:space="preserve">in </w:t>
      </w:r>
      <w:r w:rsidRPr="00167B24">
        <w:rPr>
          <w:iCs/>
        </w:rPr>
        <w:t xml:space="preserve">none </w:t>
      </w:r>
      <w:r>
        <w:rPr>
          <w:iCs/>
        </w:rPr>
        <w:t xml:space="preserve">of the UL BWPs </w:t>
      </w:r>
      <w:r w:rsidRPr="00167B24">
        <w:rPr>
          <w:iCs/>
        </w:rPr>
        <w:t>for a serving cell</w:t>
      </w:r>
      <w:r>
        <w:rPr>
          <w:lang w:val="en-US"/>
        </w:rPr>
        <w:t>.</w:t>
      </w:r>
    </w:p>
    <w:p w14:paraId="71D69A68" w14:textId="683C9ED5" w:rsidR="006B633C" w:rsidRPr="00561A63" w:rsidRDefault="006B633C" w:rsidP="006B633C">
      <w:pPr>
        <w:rPr>
          <w:iCs/>
        </w:rPr>
      </w:pPr>
      <w:r w:rsidRPr="00561A63">
        <w:rPr>
          <w:lang w:val="en-US"/>
        </w:rPr>
        <w:t>I</w:t>
      </w:r>
      <w:r w:rsidRPr="00561A63">
        <w:rPr>
          <w:lang w:val="x-none"/>
        </w:rPr>
        <w:t>f</w:t>
      </w:r>
      <w:r w:rsidRPr="00561A63">
        <w:rPr>
          <w:lang w:val="en-US"/>
        </w:rPr>
        <w:t xml:space="preserve"> a UE is provided </w:t>
      </w:r>
      <w:r w:rsidR="00527FA8" w:rsidRPr="00B9343F">
        <w:rPr>
          <w:i/>
        </w:rPr>
        <w:t>useInterlacePUCCH-PUSCH</w:t>
      </w:r>
      <w:r w:rsidR="00527FA8" w:rsidRPr="00B9343F">
        <w:rPr>
          <w:iCs/>
        </w:rPr>
        <w:t xml:space="preserve"> in </w:t>
      </w:r>
      <w:r w:rsidR="00527FA8" w:rsidRPr="00B9343F">
        <w:rPr>
          <w:i/>
        </w:rPr>
        <w:t>BWP-UplinkDedicated</w:t>
      </w:r>
      <w:r w:rsidRPr="00561A63">
        <w:rPr>
          <w:lang w:val="en-US"/>
        </w:rPr>
        <w:t xml:space="preserve">, the UE determines </w:t>
      </w:r>
      <w:r>
        <w:rPr>
          <w:lang w:val="en-US"/>
        </w:rPr>
        <w:t xml:space="preserve">available </w:t>
      </w:r>
      <w:r w:rsidRPr="00561A63">
        <w:rPr>
          <w:lang w:val="en-US"/>
        </w:rPr>
        <w:t xml:space="preserve">RBs for PUCCH transmissions </w:t>
      </w:r>
      <w:r w:rsidR="00527FA8">
        <w:rPr>
          <w:lang w:val="en-US"/>
        </w:rPr>
        <w:t xml:space="preserve">within the active UL BWP </w:t>
      </w:r>
      <w:r w:rsidRPr="00561A63">
        <w:rPr>
          <w:lang w:val="en-US"/>
        </w:rPr>
        <w:t xml:space="preserve">as the intersection of RBs </w:t>
      </w:r>
      <w:r w:rsidRPr="00561A63">
        <w:rPr>
          <w:iCs/>
        </w:rPr>
        <w:t xml:space="preserve">corresponding to an interlace index provided by </w:t>
      </w:r>
      <w:r w:rsidRPr="00561A63">
        <w:rPr>
          <w:i/>
        </w:rPr>
        <w:t>interlace0</w:t>
      </w:r>
      <w:r w:rsidRPr="00561A63">
        <w:rPr>
          <w:iCs/>
        </w:rPr>
        <w:t xml:space="preserve"> and, if provided, </w:t>
      </w:r>
      <w:r w:rsidRPr="00561A63">
        <w:rPr>
          <w:i/>
        </w:rPr>
        <w:t>interlace1</w:t>
      </w:r>
      <w:r w:rsidRPr="00561A63">
        <w:rPr>
          <w:iCs/>
        </w:rPr>
        <w:t xml:space="preserve">, and RBs of an RB set provided by </w:t>
      </w:r>
      <w:r w:rsidRPr="00561A63">
        <w:rPr>
          <w:i/>
        </w:rPr>
        <w:t>rb-SetIndex</w:t>
      </w:r>
      <w:r w:rsidRPr="00561A63">
        <w:rPr>
          <w:iCs/>
        </w:rPr>
        <w:t xml:space="preserve">. The intersection results in </w:t>
      </w:r>
      <m:oMath>
        <m:sSubSup>
          <m:sSubSupPr>
            <m:ctrlPr>
              <w:rPr>
                <w:rFonts w:ascii="Cambria Math" w:hAnsi="Cambria Math"/>
                <w:i/>
                <w:iCs/>
              </w:rPr>
            </m:ctrlPr>
          </m:sSubSupPr>
          <m:e>
            <m:r>
              <w:rPr>
                <w:rFonts w:ascii="Cambria Math" w:hAnsi="Cambria Math"/>
              </w:rPr>
              <m:t>M</m:t>
            </m:r>
          </m:e>
          <m:sub>
            <m:r>
              <m:rPr>
                <m:nor/>
              </m:rPr>
              <w:rPr>
                <w:rFonts w:ascii="Cambria Math" w:hAnsi="Cambria Math"/>
                <w:iCs/>
              </w:rPr>
              <m:t>interlace,0</m:t>
            </m:r>
          </m:sub>
          <m:sup>
            <m:r>
              <m:rPr>
                <m:nor/>
              </m:rPr>
              <w:rPr>
                <w:rFonts w:ascii="Cambria Math" w:hAnsi="Cambria Math"/>
                <w:iCs/>
              </w:rPr>
              <m:t>PUCCH</m:t>
            </m:r>
          </m:sup>
        </m:sSubSup>
      </m:oMath>
      <w:r w:rsidRPr="00561A63">
        <w:rPr>
          <w:iCs/>
        </w:rPr>
        <w:t xml:space="preserve"> RBs in the first interlace and the UE expects that </w:t>
      </w:r>
      <m:oMath>
        <m:sSubSup>
          <m:sSubSupPr>
            <m:ctrlPr>
              <w:rPr>
                <w:rFonts w:ascii="Cambria Math" w:hAnsi="Cambria Math"/>
                <w:i/>
                <w:iCs/>
              </w:rPr>
            </m:ctrlPr>
          </m:sSubSupPr>
          <m:e>
            <m:r>
              <w:rPr>
                <w:rFonts w:ascii="Cambria Math" w:hAnsi="Cambria Math"/>
              </w:rPr>
              <m:t>M</m:t>
            </m:r>
          </m:e>
          <m:sub>
            <m:r>
              <m:rPr>
                <m:nor/>
              </m:rPr>
              <w:rPr>
                <w:rFonts w:ascii="Cambria Math" w:hAnsi="Cambria Math"/>
                <w:iCs/>
              </w:rPr>
              <m:t>interlace,0</m:t>
            </m:r>
          </m:sub>
          <m:sup>
            <m:r>
              <m:rPr>
                <m:nor/>
              </m:rPr>
              <w:rPr>
                <w:rFonts w:ascii="Cambria Math" w:hAnsi="Cambria Math"/>
                <w:iCs/>
              </w:rPr>
              <m:t>PUCCH</m:t>
            </m:r>
          </m:sup>
        </m:sSubSup>
      </m:oMath>
      <w:r w:rsidRPr="00561A63">
        <w:rPr>
          <w:iCs/>
        </w:rPr>
        <w:t xml:space="preserve"> is either 10 or 11. If </w:t>
      </w:r>
      <w:r w:rsidRPr="00561A63">
        <w:rPr>
          <w:i/>
        </w:rPr>
        <w:t>interlace1</w:t>
      </w:r>
      <w:r w:rsidRPr="00561A63">
        <w:rPr>
          <w:iCs/>
        </w:rPr>
        <w:t xml:space="preserve"> is provided, the intersection results in </w:t>
      </w:r>
      <m:oMath>
        <m:sSubSup>
          <m:sSubSupPr>
            <m:ctrlPr>
              <w:rPr>
                <w:rFonts w:ascii="Cambria Math" w:hAnsi="Cambria Math"/>
                <w:i/>
                <w:iCs/>
              </w:rPr>
            </m:ctrlPr>
          </m:sSubSupPr>
          <m:e>
            <m:r>
              <w:rPr>
                <w:rFonts w:ascii="Cambria Math" w:hAnsi="Cambria Math"/>
              </w:rPr>
              <m:t>M</m:t>
            </m:r>
          </m:e>
          <m:sub>
            <m:r>
              <m:rPr>
                <m:nor/>
              </m:rPr>
              <w:rPr>
                <w:rFonts w:ascii="Cambria Math" w:hAnsi="Cambria Math"/>
                <w:iCs/>
              </w:rPr>
              <m:t>interlace,1</m:t>
            </m:r>
          </m:sub>
          <m:sup>
            <m:r>
              <m:rPr>
                <m:nor/>
              </m:rPr>
              <w:rPr>
                <w:rFonts w:ascii="Cambria Math" w:hAnsi="Cambria Math"/>
                <w:iCs/>
              </w:rPr>
              <m:t>PUCCH</m:t>
            </m:r>
          </m:sup>
        </m:sSubSup>
      </m:oMath>
      <w:r w:rsidRPr="00561A63">
        <w:rPr>
          <w:iCs/>
        </w:rPr>
        <w:t xml:space="preserve"> RBs in the second interlace and the UE expects that </w:t>
      </w:r>
      <m:oMath>
        <m:sSubSup>
          <m:sSubSupPr>
            <m:ctrlPr>
              <w:rPr>
                <w:rFonts w:ascii="Cambria Math" w:hAnsi="Cambria Math"/>
                <w:i/>
                <w:iCs/>
              </w:rPr>
            </m:ctrlPr>
          </m:sSubSupPr>
          <m:e>
            <m:r>
              <w:rPr>
                <w:rFonts w:ascii="Cambria Math" w:hAnsi="Cambria Math"/>
              </w:rPr>
              <m:t>M</m:t>
            </m:r>
          </m:e>
          <m:sub>
            <m:r>
              <m:rPr>
                <m:nor/>
              </m:rPr>
              <w:rPr>
                <w:rFonts w:ascii="Cambria Math" w:hAnsi="Cambria Math"/>
                <w:iCs/>
              </w:rPr>
              <m:t>interlace,1</m:t>
            </m:r>
          </m:sub>
          <m:sup>
            <m:r>
              <m:rPr>
                <m:nor/>
              </m:rPr>
              <w:rPr>
                <w:rFonts w:ascii="Cambria Math" w:hAnsi="Cambria Math"/>
                <w:iCs/>
              </w:rPr>
              <m:t>PUCCH</m:t>
            </m:r>
          </m:sup>
        </m:sSubSup>
      </m:oMath>
      <w:r w:rsidRPr="00561A63">
        <w:rPr>
          <w:iCs/>
        </w:rPr>
        <w:t xml:space="preserve"> is either 10 or 11.</w:t>
      </w:r>
    </w:p>
    <w:p w14:paraId="153E573B" w14:textId="6981D313" w:rsidR="00C84B1F" w:rsidRDefault="00C84B1F" w:rsidP="001322F1">
      <w:pPr>
        <w:rPr>
          <w:lang w:val="en-US"/>
        </w:rPr>
      </w:pPr>
      <w:r>
        <w:rPr>
          <w:lang w:val="en-US"/>
        </w:rPr>
        <w:lastRenderedPageBreak/>
        <w:t xml:space="preserve">If the </w:t>
      </w:r>
      <w:r>
        <w:rPr>
          <w:i/>
          <w:lang w:val="en-US"/>
        </w:rPr>
        <w:t>format</w:t>
      </w:r>
      <w:r>
        <w:rPr>
          <w:lang w:val="en-US"/>
        </w:rPr>
        <w:t xml:space="preserve"> indicates </w:t>
      </w:r>
      <w:r w:rsidRPr="00431273">
        <w:rPr>
          <w:i/>
          <w:lang w:val="en-US"/>
        </w:rPr>
        <w:t>PUCCH-format0</w:t>
      </w:r>
      <w:r>
        <w:rPr>
          <w:lang w:val="en-US"/>
        </w:rPr>
        <w:t>,</w:t>
      </w:r>
      <w:r>
        <w:rPr>
          <w:i/>
          <w:lang w:val="en-US"/>
        </w:rPr>
        <w:t xml:space="preserve"> </w:t>
      </w:r>
      <w:r>
        <w:rPr>
          <w:lang w:val="en-US"/>
        </w:rPr>
        <w:t xml:space="preserve">the PUCCH format configured for a PUCCH resource is PUCCH format 0, where the PUCCH resource also includes an index for an initial cyclic shift provided by </w:t>
      </w:r>
      <w:r w:rsidRPr="00FD43DF">
        <w:rPr>
          <w:i/>
        </w:rPr>
        <w:t>initialCyclicShift</w:t>
      </w:r>
      <w:r>
        <w:rPr>
          <w:lang w:val="en-US"/>
        </w:rPr>
        <w:t xml:space="preserve">, </w:t>
      </w:r>
      <w:r w:rsidRPr="00B916EC">
        <w:t xml:space="preserve">a number of symbols </w:t>
      </w:r>
      <w:r>
        <w:rPr>
          <w:lang w:val="en-US"/>
        </w:rPr>
        <w:t xml:space="preserve">for a PUCCH transmission provided by </w:t>
      </w:r>
      <w:r w:rsidRPr="009A765A">
        <w:rPr>
          <w:i/>
        </w:rPr>
        <w:t>nrofSymbols</w:t>
      </w:r>
      <w:r>
        <w:rPr>
          <w:lang w:val="en-US"/>
        </w:rPr>
        <w:t xml:space="preserve">, a first symbol for the PUCCH transmission provided by </w:t>
      </w:r>
      <w:r w:rsidRPr="00FD43DF">
        <w:rPr>
          <w:i/>
        </w:rPr>
        <w:t>startingSymbolIndex</w:t>
      </w:r>
      <w:r>
        <w:rPr>
          <w:lang w:val="en-US"/>
        </w:rPr>
        <w:t>.</w:t>
      </w:r>
      <w:r w:rsidR="003915B7">
        <w:rPr>
          <w:lang w:val="en-US"/>
        </w:rPr>
        <w:t xml:space="preserve"> </w:t>
      </w:r>
      <w:r w:rsidR="00BC52C9" w:rsidRPr="00B27E56">
        <w:rPr>
          <w:lang w:val="en-US"/>
        </w:rPr>
        <w:t xml:space="preserve">For PUCCH transmission in FR2-2, the PUCCH resource can also include a number of PRBs </w:t>
      </w:r>
      <m:oMath>
        <m:sSubSup>
          <m:sSubSupPr>
            <m:ctrlPr>
              <w:rPr>
                <w:rFonts w:ascii="Cambria Math" w:hAnsi="Cambria Math"/>
              </w:rPr>
            </m:ctrlPr>
          </m:sSubSupPr>
          <m:e>
            <m:r>
              <w:rPr>
                <w:rFonts w:ascii="Cambria Math" w:hAnsi="Cambria Math"/>
              </w:rPr>
              <m:t>M</m:t>
            </m:r>
          </m:e>
          <m:sub>
            <m:r>
              <m:rPr>
                <m:nor/>
              </m:rPr>
              <m:t>RB</m:t>
            </m:r>
          </m:sub>
          <m:sup>
            <m:r>
              <m:rPr>
                <m:nor/>
              </m:rPr>
              <m:t>PUCCH,</m:t>
            </m:r>
            <m:r>
              <m:rPr>
                <m:sty m:val="p"/>
              </m:rPr>
              <w:rPr>
                <w:rFonts w:ascii="Cambria Math" w:hAnsi="Cambria Math"/>
              </w:rPr>
              <m:t>0</m:t>
            </m:r>
          </m:sup>
        </m:sSubSup>
      </m:oMath>
      <w:r w:rsidR="00BC52C9" w:rsidRPr="00B27E56">
        <w:rPr>
          <w:lang w:val="en-US"/>
        </w:rPr>
        <w:t xml:space="preserve"> provided by </w:t>
      </w:r>
      <w:r w:rsidR="00BC52C9" w:rsidRPr="00B27E56">
        <w:rPr>
          <w:i/>
        </w:rPr>
        <w:t>nrofPRBs</w:t>
      </w:r>
      <w:r w:rsidR="00BC52C9" w:rsidRPr="00B27E56">
        <w:rPr>
          <w:iCs/>
        </w:rPr>
        <w:t xml:space="preserve">; otherwise, </w:t>
      </w:r>
      <m:oMath>
        <m:sSubSup>
          <m:sSubSupPr>
            <m:ctrlPr>
              <w:rPr>
                <w:rFonts w:ascii="Cambria Math" w:hAnsi="Cambria Math"/>
              </w:rPr>
            </m:ctrlPr>
          </m:sSubSupPr>
          <m:e>
            <m:r>
              <w:rPr>
                <w:rFonts w:ascii="Cambria Math" w:hAnsi="Cambria Math"/>
              </w:rPr>
              <m:t>M</m:t>
            </m:r>
          </m:e>
          <m:sub>
            <m:r>
              <m:rPr>
                <m:nor/>
              </m:rPr>
              <m:t>RB</m:t>
            </m:r>
          </m:sub>
          <m:sup>
            <m:r>
              <m:rPr>
                <m:nor/>
              </m:rPr>
              <m:t>PUCCH,</m:t>
            </m:r>
            <m:r>
              <m:rPr>
                <m:sty m:val="p"/>
              </m:rPr>
              <w:rPr>
                <w:rFonts w:ascii="Cambria Math" w:hAnsi="Cambria Math"/>
              </w:rPr>
              <m:t>0</m:t>
            </m:r>
          </m:sup>
        </m:sSubSup>
        <m:r>
          <w:rPr>
            <w:rFonts w:ascii="Cambria Math" w:hAnsi="Cambria Math"/>
          </w:rPr>
          <m:t>=1</m:t>
        </m:r>
      </m:oMath>
      <w:r w:rsidR="00BC52C9" w:rsidRPr="00B27E56">
        <w:rPr>
          <w:i/>
        </w:rPr>
        <w:t>.</w:t>
      </w:r>
    </w:p>
    <w:p w14:paraId="13A53619" w14:textId="0E8B2142" w:rsidR="00C84B1F" w:rsidRPr="00FD43DF" w:rsidRDefault="00C84B1F" w:rsidP="001322F1">
      <w:pPr>
        <w:rPr>
          <w:lang w:val="en-US"/>
        </w:rPr>
      </w:pPr>
      <w:r>
        <w:rPr>
          <w:lang w:val="en-US"/>
        </w:rPr>
        <w:t xml:space="preserve">If the </w:t>
      </w:r>
      <w:r>
        <w:rPr>
          <w:i/>
          <w:lang w:val="en-US"/>
        </w:rPr>
        <w:t>format</w:t>
      </w:r>
      <w:r>
        <w:rPr>
          <w:lang w:val="en-US"/>
        </w:rPr>
        <w:t xml:space="preserve"> indicates </w:t>
      </w:r>
      <w:r w:rsidRPr="00431273">
        <w:rPr>
          <w:i/>
          <w:lang w:val="en-US"/>
        </w:rPr>
        <w:t>PUCCH-format</w:t>
      </w:r>
      <w:r>
        <w:rPr>
          <w:i/>
          <w:lang w:val="en-US"/>
        </w:rPr>
        <w:t>1</w:t>
      </w:r>
      <w:r>
        <w:rPr>
          <w:lang w:val="en-US"/>
        </w:rPr>
        <w:t>,</w:t>
      </w:r>
      <w:r>
        <w:rPr>
          <w:i/>
          <w:lang w:val="en-US"/>
        </w:rPr>
        <w:t xml:space="preserve"> </w:t>
      </w:r>
      <w:r>
        <w:rPr>
          <w:lang w:val="en-US"/>
        </w:rPr>
        <w:t xml:space="preserve">the PUCCH format configured for a PUCCH resource is PUCCH format 1, where the PUCCH resource also includes an index for an initial cyclic shift provided by </w:t>
      </w:r>
      <w:r w:rsidRPr="00FD43DF">
        <w:rPr>
          <w:i/>
        </w:rPr>
        <w:t>initialCyclicShift</w:t>
      </w:r>
      <w:r>
        <w:rPr>
          <w:lang w:val="en-US"/>
        </w:rPr>
        <w:t xml:space="preserve">, </w:t>
      </w:r>
      <w:r w:rsidRPr="00B916EC">
        <w:t xml:space="preserve">a number of symbols </w:t>
      </w:r>
      <w:r>
        <w:rPr>
          <w:lang w:val="en-US"/>
        </w:rPr>
        <w:t xml:space="preserve">for a PUCCH transmission provided by </w:t>
      </w:r>
      <w:r w:rsidRPr="009A765A">
        <w:rPr>
          <w:i/>
        </w:rPr>
        <w:t>nrofSymbols</w:t>
      </w:r>
      <w:r>
        <w:rPr>
          <w:lang w:val="en-US"/>
        </w:rPr>
        <w:t xml:space="preserve">, a first symbol for the PUCCH transmission provided by </w:t>
      </w:r>
      <w:r w:rsidRPr="00FD43DF">
        <w:rPr>
          <w:i/>
        </w:rPr>
        <w:t>startingSymbolIndex</w:t>
      </w:r>
      <w:r>
        <w:rPr>
          <w:lang w:val="en-US"/>
        </w:rPr>
        <w:t xml:space="preserve">, and </w:t>
      </w:r>
      <w:r>
        <w:t>an index for</w:t>
      </w:r>
      <w:r w:rsidRPr="00B916EC">
        <w:t xml:space="preserve"> an orthogonal cover code</w:t>
      </w:r>
      <w:r>
        <w:rPr>
          <w:lang w:val="en-US"/>
        </w:rPr>
        <w:t xml:space="preserve"> by </w:t>
      </w:r>
      <w:r w:rsidRPr="00FD43DF">
        <w:rPr>
          <w:i/>
        </w:rPr>
        <w:t>timeDomainOCC</w:t>
      </w:r>
      <w:r>
        <w:rPr>
          <w:lang w:val="en-US"/>
        </w:rPr>
        <w:t>.</w:t>
      </w:r>
      <w:r w:rsidR="00BC52C9">
        <w:rPr>
          <w:lang w:val="en-US"/>
        </w:rPr>
        <w:t xml:space="preserve"> </w:t>
      </w:r>
      <w:r w:rsidR="00BC52C9" w:rsidRPr="00B27E56">
        <w:rPr>
          <w:lang w:val="en-US"/>
        </w:rPr>
        <w:t xml:space="preserve">For PUCCH transmission in FR2-2, the PUCCH resource can also include a number of PRBs </w:t>
      </w:r>
      <m:oMath>
        <m:sSubSup>
          <m:sSubSupPr>
            <m:ctrlPr>
              <w:rPr>
                <w:rFonts w:ascii="Cambria Math" w:hAnsi="Cambria Math"/>
              </w:rPr>
            </m:ctrlPr>
          </m:sSubSupPr>
          <m:e>
            <m:r>
              <w:rPr>
                <w:rFonts w:ascii="Cambria Math" w:hAnsi="Cambria Math"/>
              </w:rPr>
              <m:t>M</m:t>
            </m:r>
          </m:e>
          <m:sub>
            <m:r>
              <m:rPr>
                <m:nor/>
              </m:rPr>
              <m:t>RB</m:t>
            </m:r>
          </m:sub>
          <m:sup>
            <m:r>
              <m:rPr>
                <m:nor/>
              </m:rPr>
              <m:t>PUCCH,</m:t>
            </m:r>
            <m:r>
              <m:rPr>
                <m:sty m:val="p"/>
              </m:rPr>
              <w:rPr>
                <w:rFonts w:ascii="Cambria Math" w:hAnsi="Cambria Math"/>
              </w:rPr>
              <m:t>1</m:t>
            </m:r>
          </m:sup>
        </m:sSubSup>
      </m:oMath>
      <w:r w:rsidR="00BC52C9" w:rsidRPr="00B27E56">
        <w:t xml:space="preserve"> </w:t>
      </w:r>
      <w:r w:rsidR="00BC52C9" w:rsidRPr="00B27E56">
        <w:rPr>
          <w:lang w:val="en-US"/>
        </w:rPr>
        <w:t xml:space="preserve">provided by </w:t>
      </w:r>
      <w:r w:rsidR="00BC52C9" w:rsidRPr="00B27E56">
        <w:rPr>
          <w:i/>
        </w:rPr>
        <w:t>nrofPRBs</w:t>
      </w:r>
      <w:r w:rsidR="00BC52C9" w:rsidRPr="00B27E56">
        <w:rPr>
          <w:iCs/>
        </w:rPr>
        <w:t xml:space="preserve">; otherwise, </w:t>
      </w:r>
      <m:oMath>
        <m:sSubSup>
          <m:sSubSupPr>
            <m:ctrlPr>
              <w:rPr>
                <w:rFonts w:ascii="Cambria Math" w:hAnsi="Cambria Math"/>
              </w:rPr>
            </m:ctrlPr>
          </m:sSubSupPr>
          <m:e>
            <m:r>
              <w:rPr>
                <w:rFonts w:ascii="Cambria Math" w:hAnsi="Cambria Math"/>
              </w:rPr>
              <m:t>M</m:t>
            </m:r>
          </m:e>
          <m:sub>
            <m:r>
              <m:rPr>
                <m:nor/>
              </m:rPr>
              <m:t>RB</m:t>
            </m:r>
          </m:sub>
          <m:sup>
            <m:r>
              <m:rPr>
                <m:nor/>
              </m:rPr>
              <m:t>PUCCH,</m:t>
            </m:r>
            <m:r>
              <m:rPr>
                <m:sty m:val="p"/>
              </m:rPr>
              <w:rPr>
                <w:rFonts w:ascii="Cambria Math" w:hAnsi="Cambria Math"/>
              </w:rPr>
              <m:t>1</m:t>
            </m:r>
          </m:sup>
        </m:sSubSup>
        <m:r>
          <w:rPr>
            <w:rFonts w:ascii="Cambria Math" w:hAnsi="Cambria Math"/>
          </w:rPr>
          <m:t>=1</m:t>
        </m:r>
      </m:oMath>
      <w:r w:rsidR="00BC52C9" w:rsidRPr="00B27E56">
        <w:rPr>
          <w:i/>
        </w:rPr>
        <w:t>.</w:t>
      </w:r>
    </w:p>
    <w:p w14:paraId="44191162" w14:textId="20470AFC" w:rsidR="00C84B1F" w:rsidRDefault="00C84B1F" w:rsidP="001322F1">
      <w:pPr>
        <w:rPr>
          <w:lang w:val="en-US"/>
        </w:rPr>
      </w:pPr>
      <w:r>
        <w:rPr>
          <w:lang w:val="en-US"/>
        </w:rPr>
        <w:t xml:space="preserve">If the </w:t>
      </w:r>
      <w:r>
        <w:rPr>
          <w:i/>
          <w:lang w:val="en-US"/>
        </w:rPr>
        <w:t>format</w:t>
      </w:r>
      <w:r>
        <w:rPr>
          <w:lang w:val="en-US"/>
        </w:rPr>
        <w:t xml:space="preserve"> indicates </w:t>
      </w:r>
      <w:r w:rsidRPr="00431273">
        <w:rPr>
          <w:i/>
          <w:lang w:val="en-US"/>
        </w:rPr>
        <w:t>PUCCH-format</w:t>
      </w:r>
      <w:r>
        <w:rPr>
          <w:i/>
          <w:lang w:val="en-US"/>
        </w:rPr>
        <w:t>2</w:t>
      </w:r>
      <w:r>
        <w:rPr>
          <w:lang w:val="en-US"/>
        </w:rPr>
        <w:t xml:space="preserve"> or </w:t>
      </w:r>
      <w:r w:rsidRPr="00431273">
        <w:rPr>
          <w:i/>
          <w:lang w:val="en-US"/>
        </w:rPr>
        <w:t>PUCCH-format</w:t>
      </w:r>
      <w:r>
        <w:rPr>
          <w:i/>
          <w:lang w:val="en-US"/>
        </w:rPr>
        <w:t>3</w:t>
      </w:r>
      <w:r w:rsidRPr="00282E9F">
        <w:rPr>
          <w:lang w:val="en-US"/>
        </w:rPr>
        <w:t>,</w:t>
      </w:r>
      <w:r>
        <w:rPr>
          <w:i/>
          <w:lang w:val="en-US"/>
        </w:rPr>
        <w:t xml:space="preserve"> </w:t>
      </w:r>
      <w:r>
        <w:rPr>
          <w:lang w:val="en-US"/>
        </w:rPr>
        <w:t xml:space="preserve">the PUCCH format configured for a PUCCH resource is PUCCH format 2 or PUCCH format 3, respectively, where the PUCCH resource also includes a number of PRBs provided by </w:t>
      </w:r>
      <w:r w:rsidRPr="00FD43DF">
        <w:rPr>
          <w:i/>
        </w:rPr>
        <w:t>nrofPRBs</w:t>
      </w:r>
      <w:r>
        <w:rPr>
          <w:lang w:val="en-US"/>
        </w:rPr>
        <w:t xml:space="preserve">, </w:t>
      </w:r>
      <w:r w:rsidRPr="00B916EC">
        <w:t xml:space="preserve">a number of symbols </w:t>
      </w:r>
      <w:r>
        <w:rPr>
          <w:lang w:val="en-US"/>
        </w:rPr>
        <w:t xml:space="preserve">for a PUCCH transmission provided by </w:t>
      </w:r>
      <w:r w:rsidRPr="009A765A">
        <w:rPr>
          <w:i/>
        </w:rPr>
        <w:t>nrofSymbols</w:t>
      </w:r>
      <w:r>
        <w:rPr>
          <w:lang w:val="en-US"/>
        </w:rPr>
        <w:t xml:space="preserve">, and a first symbol for the PUCCH transmission provided by </w:t>
      </w:r>
      <w:r w:rsidRPr="00FD43DF">
        <w:rPr>
          <w:i/>
        </w:rPr>
        <w:t>startingSymbolIndex</w:t>
      </w:r>
      <w:r>
        <w:rPr>
          <w:lang w:val="en-US"/>
        </w:rPr>
        <w:t>.</w:t>
      </w:r>
      <w:r w:rsidR="00940AB3">
        <w:rPr>
          <w:lang w:val="en-US"/>
        </w:rPr>
        <w:t xml:space="preserve"> If a UE is provided by </w:t>
      </w:r>
      <w:r w:rsidR="00527FA8" w:rsidRPr="00EF5F2E">
        <w:rPr>
          <w:i/>
        </w:rPr>
        <w:t>useInterlacePUCCH-PUSCH</w:t>
      </w:r>
      <w:r w:rsidR="00527FA8" w:rsidRPr="00EF5F2E">
        <w:rPr>
          <w:iCs/>
        </w:rPr>
        <w:t xml:space="preserve"> in </w:t>
      </w:r>
      <w:r w:rsidR="00527FA8" w:rsidRPr="00EF5F2E">
        <w:rPr>
          <w:i/>
        </w:rPr>
        <w:t>BWP-UplinkDedicated</w:t>
      </w:r>
      <w:r w:rsidR="00940AB3">
        <w:rPr>
          <w:i/>
          <w:iCs/>
          <w:color w:val="000000"/>
        </w:rPr>
        <w:t>,</w:t>
      </w:r>
      <w:r w:rsidR="00940AB3" w:rsidRPr="00252631">
        <w:rPr>
          <w:color w:val="000000"/>
        </w:rPr>
        <w:t xml:space="preserve"> </w:t>
      </w:r>
      <w:r w:rsidR="00C27033" w:rsidRPr="00590010">
        <w:t xml:space="preserve">and the </w:t>
      </w:r>
      <w:r w:rsidR="00C27033" w:rsidRPr="00590010">
        <w:rPr>
          <w:i/>
          <w:lang w:val="en-US"/>
        </w:rPr>
        <w:t>format</w:t>
      </w:r>
      <w:r w:rsidR="00C27033" w:rsidRPr="00590010">
        <w:rPr>
          <w:lang w:val="en-US"/>
        </w:rPr>
        <w:t xml:space="preserve"> indicates </w:t>
      </w:r>
      <w:r w:rsidR="00C27033" w:rsidRPr="00590010">
        <w:rPr>
          <w:i/>
          <w:lang w:val="en-US"/>
        </w:rPr>
        <w:t>PUCCH-format2</w:t>
      </w:r>
      <w:r w:rsidR="00C27033" w:rsidRPr="00590010">
        <w:rPr>
          <w:lang w:val="en-US"/>
        </w:rPr>
        <w:t xml:space="preserve"> or </w:t>
      </w:r>
      <w:r w:rsidR="00C27033" w:rsidRPr="00590010">
        <w:rPr>
          <w:i/>
          <w:lang w:val="en-US"/>
        </w:rPr>
        <w:t>PUCCH-format3</w:t>
      </w:r>
      <w:r w:rsidR="002342A0">
        <w:rPr>
          <w:i/>
          <w:lang w:val="en-US"/>
        </w:rPr>
        <w:t xml:space="preserve"> </w:t>
      </w:r>
      <w:r w:rsidR="002342A0">
        <w:rPr>
          <w:iCs/>
          <w:lang w:val="en-US"/>
        </w:rPr>
        <w:t xml:space="preserve">and </w:t>
      </w:r>
      <w:r w:rsidR="002342A0" w:rsidRPr="009E20BB">
        <w:rPr>
          <w:i/>
          <w:iCs/>
        </w:rPr>
        <w:t>PUCCH-ResourceExt</w:t>
      </w:r>
      <w:r w:rsidR="002342A0">
        <w:t xml:space="preserve"> is provided</w:t>
      </w:r>
      <w:r w:rsidR="00C27033" w:rsidRPr="00590010">
        <w:rPr>
          <w:lang w:val="en-US"/>
        </w:rPr>
        <w:t>,</w:t>
      </w:r>
      <w:r w:rsidR="00C27033" w:rsidRPr="00590010">
        <w:rPr>
          <w:i/>
          <w:lang w:val="en-US"/>
        </w:rPr>
        <w:t xml:space="preserve"> </w:t>
      </w:r>
      <w:r w:rsidR="00940AB3" w:rsidRPr="00C27033">
        <w:rPr>
          <w:lang w:val="en-US"/>
        </w:rPr>
        <w:t>t</w:t>
      </w:r>
      <w:r w:rsidR="00940AB3" w:rsidRPr="00F65228">
        <w:rPr>
          <w:lang w:val="en-US"/>
        </w:rPr>
        <w:t>he PUCCH resource also includes</w:t>
      </w:r>
      <w:r w:rsidR="00940AB3">
        <w:rPr>
          <w:lang w:val="en-US"/>
        </w:rPr>
        <w:t xml:space="preserve"> </w:t>
      </w:r>
      <w:r w:rsidR="00527FA8" w:rsidRPr="00EF5F2E">
        <w:t xml:space="preserve">an index of a second interlace by </w:t>
      </w:r>
      <w:r w:rsidR="00527FA8" w:rsidRPr="00EF5F2E">
        <w:rPr>
          <w:i/>
        </w:rPr>
        <w:t>interlace1</w:t>
      </w:r>
      <w:r w:rsidR="002342A0">
        <w:rPr>
          <w:iCs/>
        </w:rPr>
        <w:t>, if provided</w:t>
      </w:r>
      <w:r w:rsidR="002342A0">
        <w:t>; otherwise,</w:t>
      </w:r>
      <w:r w:rsidR="002342A0">
        <w:rPr>
          <w:iCs/>
        </w:rPr>
        <w:t xml:space="preserve"> if</w:t>
      </w:r>
      <w:r w:rsidR="00527FA8" w:rsidRPr="00EF5F2E">
        <w:rPr>
          <w:iCs/>
        </w:rPr>
        <w:t xml:space="preserve"> </w:t>
      </w:r>
      <w:r w:rsidR="00527FA8" w:rsidRPr="00EF5F2E">
        <w:rPr>
          <w:i/>
        </w:rPr>
        <w:t>interlace1</w:t>
      </w:r>
      <w:r w:rsidR="00527FA8" w:rsidRPr="00EF5F2E">
        <w:t xml:space="preserve"> is not provided,</w:t>
      </w:r>
      <w:r w:rsidR="00527FA8" w:rsidRPr="00EF5F2E">
        <w:rPr>
          <w:rFonts w:ascii="PMingLiU" w:eastAsia="PMingLiU" w:hAnsi="PMingLiU" w:hint="eastAsia"/>
          <w:lang w:eastAsia="zh-TW"/>
        </w:rPr>
        <w:t xml:space="preserve"> </w:t>
      </w:r>
      <w:r w:rsidR="00527FA8" w:rsidRPr="00EF5F2E">
        <w:rPr>
          <w:lang w:val="en-US"/>
        </w:rPr>
        <w:t>the PUCCH resource also includes, if provide</w:t>
      </w:r>
      <w:r w:rsidR="00527FA8" w:rsidRPr="00EF5F2E">
        <w:t>d</w:t>
      </w:r>
      <w:r w:rsidR="00527FA8" w:rsidRPr="00EF5F2E">
        <w:rPr>
          <w:rFonts w:ascii="PMingLiU" w:eastAsia="PMingLiU" w:hAnsi="PMingLiU" w:cs="PMingLiU"/>
        </w:rPr>
        <w:t>,</w:t>
      </w:r>
      <w:r w:rsidR="00527FA8">
        <w:rPr>
          <w:rFonts w:ascii="PMingLiU" w:eastAsia="PMingLiU" w:hAnsi="PMingLiU" w:cs="PMingLiU"/>
        </w:rPr>
        <w:t xml:space="preserve"> </w:t>
      </w:r>
      <w:r w:rsidR="00940AB3">
        <w:rPr>
          <w:lang w:val="en-US"/>
        </w:rPr>
        <w:t xml:space="preserve">an orthogonal cover code length by </w:t>
      </w:r>
      <w:r w:rsidR="002342A0">
        <w:rPr>
          <w:i/>
        </w:rPr>
        <w:t>occ</w:t>
      </w:r>
      <w:r w:rsidR="00940AB3" w:rsidRPr="004B21D9">
        <w:rPr>
          <w:i/>
        </w:rPr>
        <w:t>-Length</w:t>
      </w:r>
      <w:r w:rsidR="00940AB3">
        <w:rPr>
          <w:i/>
        </w:rPr>
        <w:t xml:space="preserve"> </w:t>
      </w:r>
      <w:r w:rsidR="00940AB3">
        <w:rPr>
          <w:lang w:val="en-US"/>
        </w:rPr>
        <w:t xml:space="preserve">and an orthogonal cover code index by </w:t>
      </w:r>
      <w:r w:rsidR="002342A0">
        <w:rPr>
          <w:i/>
        </w:rPr>
        <w:t>occ</w:t>
      </w:r>
      <w:r w:rsidR="00940AB3" w:rsidRPr="004B21D9">
        <w:rPr>
          <w:i/>
        </w:rPr>
        <w:t>-Index</w:t>
      </w:r>
      <w:r w:rsidR="00C27033" w:rsidRPr="00590010">
        <w:t xml:space="preserve">. If the </w:t>
      </w:r>
      <w:r w:rsidR="00C27033" w:rsidRPr="00590010">
        <w:rPr>
          <w:i/>
        </w:rPr>
        <w:t>format</w:t>
      </w:r>
      <w:r w:rsidR="00C27033" w:rsidRPr="00590010">
        <w:t xml:space="preserve"> indicates </w:t>
      </w:r>
      <w:r w:rsidR="00C27033" w:rsidRPr="00590010">
        <w:rPr>
          <w:i/>
        </w:rPr>
        <w:t>PUCCH-format3</w:t>
      </w:r>
      <w:r w:rsidR="002342A0">
        <w:rPr>
          <w:i/>
        </w:rPr>
        <w:t xml:space="preserve"> </w:t>
      </w:r>
      <w:r w:rsidR="002342A0">
        <w:rPr>
          <w:iCs/>
          <w:lang w:val="en-US"/>
        </w:rPr>
        <w:t xml:space="preserve">and </w:t>
      </w:r>
      <w:r w:rsidR="002342A0" w:rsidRPr="00356520">
        <w:rPr>
          <w:i/>
          <w:iCs/>
        </w:rPr>
        <w:t>PUCCH-ResourceExt</w:t>
      </w:r>
      <w:r w:rsidR="002342A0" w:rsidRPr="00D96C74">
        <w:t xml:space="preserve"> </w:t>
      </w:r>
      <w:r w:rsidR="002342A0">
        <w:t>is provided</w:t>
      </w:r>
      <w:r w:rsidR="00C27033" w:rsidRPr="00590010">
        <w:rPr>
          <w:iCs/>
        </w:rPr>
        <w:t xml:space="preserve">, the UE assumes that the </w:t>
      </w:r>
      <m:oMath>
        <m:sSubSup>
          <m:sSubSupPr>
            <m:ctrlPr>
              <w:rPr>
                <w:rFonts w:ascii="Cambria Math" w:hAnsi="Cambria Math"/>
              </w:rPr>
            </m:ctrlPr>
          </m:sSubSupPr>
          <m:e>
            <m:r>
              <w:rPr>
                <w:rFonts w:ascii="Cambria Math" w:hAnsi="Cambria Math"/>
              </w:rPr>
              <m:t>M</m:t>
            </m:r>
          </m:e>
          <m:sub>
            <m:r>
              <m:rPr>
                <m:nor/>
              </m:rPr>
              <m:t>RB</m:t>
            </m:r>
          </m:sub>
          <m:sup>
            <m:r>
              <m:rPr>
                <m:nor/>
              </m:rPr>
              <m:t>PUCCH,</m:t>
            </m:r>
            <m:r>
              <m:rPr>
                <m:sty m:val="p"/>
              </m:rPr>
              <w:rPr>
                <w:rFonts w:ascii="Cambria Math" w:hAnsi="Cambria Math"/>
              </w:rPr>
              <m:t>3</m:t>
            </m:r>
          </m:sup>
        </m:sSubSup>
      </m:oMath>
      <w:r w:rsidR="00C27033">
        <w:rPr>
          <w:iCs/>
        </w:rPr>
        <w:t xml:space="preserve"> [4, </w:t>
      </w:r>
      <w:r w:rsidR="00295E42">
        <w:rPr>
          <w:iCs/>
        </w:rPr>
        <w:t>TS 38.</w:t>
      </w:r>
      <w:r w:rsidR="00C27033">
        <w:rPr>
          <w:iCs/>
        </w:rPr>
        <w:t>211</w:t>
      </w:r>
      <w:r w:rsidR="00C27033" w:rsidRPr="00590010">
        <w:rPr>
          <w:iCs/>
        </w:rPr>
        <w:t xml:space="preserve">] </w:t>
      </w:r>
      <w:r w:rsidR="00C27033">
        <w:rPr>
          <w:iCs/>
        </w:rPr>
        <w:t>PRBs with the lowest indexe</w:t>
      </w:r>
      <w:r w:rsidR="00C27033" w:rsidRPr="00590010">
        <w:rPr>
          <w:iCs/>
        </w:rPr>
        <w:t xml:space="preserve">s within the first, and if configured, second </w:t>
      </w:r>
      <w:r w:rsidR="00C27033">
        <w:rPr>
          <w:iCs/>
        </w:rPr>
        <w:t xml:space="preserve">interlace </w:t>
      </w:r>
      <w:r w:rsidR="00C27033" w:rsidRPr="00590010">
        <w:rPr>
          <w:iCs/>
        </w:rPr>
        <w:t>are used for PUCCH transmission</w:t>
      </w:r>
      <w:r w:rsidR="00C27033">
        <w:rPr>
          <w:iCs/>
        </w:rPr>
        <w:t>.</w:t>
      </w:r>
    </w:p>
    <w:p w14:paraId="10BCAE34" w14:textId="21003EA2" w:rsidR="00C84B1F" w:rsidRPr="00176E1B" w:rsidRDefault="00C84B1F" w:rsidP="001322F1">
      <w:pPr>
        <w:rPr>
          <w:lang w:val="en-US"/>
        </w:rPr>
      </w:pPr>
      <w:r>
        <w:rPr>
          <w:lang w:val="en-US"/>
        </w:rPr>
        <w:t xml:space="preserve">If the </w:t>
      </w:r>
      <w:r>
        <w:rPr>
          <w:i/>
          <w:lang w:val="en-US"/>
        </w:rPr>
        <w:t>format</w:t>
      </w:r>
      <w:r>
        <w:rPr>
          <w:lang w:val="en-US"/>
        </w:rPr>
        <w:t xml:space="preserve"> indicates </w:t>
      </w:r>
      <w:r w:rsidRPr="00431273">
        <w:rPr>
          <w:i/>
          <w:lang w:val="en-US"/>
        </w:rPr>
        <w:t>PUCCH-format</w:t>
      </w:r>
      <w:r>
        <w:rPr>
          <w:i/>
          <w:lang w:val="en-US"/>
        </w:rPr>
        <w:t>4</w:t>
      </w:r>
      <w:r>
        <w:rPr>
          <w:lang w:val="en-US"/>
        </w:rPr>
        <w:t xml:space="preserve">, the PUCCH format configured for a PUCCH resource is PUCCH format 4, where the PUCCH resource also includes </w:t>
      </w:r>
      <w:r w:rsidRPr="00B916EC">
        <w:t xml:space="preserve">a number of symbols </w:t>
      </w:r>
      <w:r>
        <w:rPr>
          <w:lang w:val="en-US"/>
        </w:rPr>
        <w:t xml:space="preserve">for a PUCCH transmission provided by </w:t>
      </w:r>
      <w:r w:rsidRPr="009A765A">
        <w:rPr>
          <w:i/>
        </w:rPr>
        <w:t>nrofSymbols</w:t>
      </w:r>
      <w:r>
        <w:rPr>
          <w:lang w:val="en-US"/>
        </w:rPr>
        <w:t>, an</w:t>
      </w:r>
      <w:r w:rsidRPr="00B916EC">
        <w:t xml:space="preserve"> orthogonal cover code </w:t>
      </w:r>
      <w:r w:rsidR="00940AB3">
        <w:t xml:space="preserve">length </w:t>
      </w:r>
      <w:r>
        <w:rPr>
          <w:lang w:val="en-US"/>
        </w:rPr>
        <w:t xml:space="preserve">by </w:t>
      </w:r>
      <w:r w:rsidRPr="003C70AC">
        <w:rPr>
          <w:i/>
        </w:rPr>
        <w:t>occ-Length</w:t>
      </w:r>
      <w:r>
        <w:rPr>
          <w:lang w:val="en-US"/>
        </w:rPr>
        <w:t xml:space="preserve">, </w:t>
      </w:r>
      <w:r w:rsidRPr="00B916EC">
        <w:t>an orthogonal cover code</w:t>
      </w:r>
      <w:r>
        <w:rPr>
          <w:lang w:val="en-US"/>
        </w:rPr>
        <w:t xml:space="preserve"> </w:t>
      </w:r>
      <w:r w:rsidR="00940AB3">
        <w:rPr>
          <w:lang w:val="en-US"/>
        </w:rPr>
        <w:t xml:space="preserve">index </w:t>
      </w:r>
      <w:r>
        <w:rPr>
          <w:lang w:val="en-US"/>
        </w:rPr>
        <w:t xml:space="preserve">by </w:t>
      </w:r>
      <w:r>
        <w:rPr>
          <w:i/>
        </w:rPr>
        <w:t>occ-Index</w:t>
      </w:r>
      <w:r>
        <w:rPr>
          <w:lang w:val="en-US"/>
        </w:rPr>
        <w:t xml:space="preserve">, and a first symbol for the PUCCH transmission provided by </w:t>
      </w:r>
      <w:r w:rsidRPr="00FD43DF">
        <w:rPr>
          <w:i/>
        </w:rPr>
        <w:t>startingSymbolIndex</w:t>
      </w:r>
      <w:r>
        <w:rPr>
          <w:lang w:val="en-US"/>
        </w:rPr>
        <w:t>.</w:t>
      </w:r>
      <w:r w:rsidR="00BC52C9">
        <w:rPr>
          <w:lang w:val="en-US"/>
        </w:rPr>
        <w:t xml:space="preserve"> </w:t>
      </w:r>
      <w:r w:rsidR="00BC52C9" w:rsidRPr="00B27E56">
        <w:rPr>
          <w:lang w:val="en-US"/>
        </w:rPr>
        <w:t xml:space="preserve">For PUCCH transmission in FR2-2, the PUCCH resource can also include a number of PRBs </w:t>
      </w:r>
      <m:oMath>
        <m:sSubSup>
          <m:sSubSupPr>
            <m:ctrlPr>
              <w:rPr>
                <w:rFonts w:ascii="Cambria Math" w:hAnsi="Cambria Math"/>
              </w:rPr>
            </m:ctrlPr>
          </m:sSubSupPr>
          <m:e>
            <m:r>
              <w:rPr>
                <w:rFonts w:ascii="Cambria Math" w:hAnsi="Cambria Math"/>
              </w:rPr>
              <m:t>M</m:t>
            </m:r>
          </m:e>
          <m:sub>
            <m:r>
              <m:rPr>
                <m:nor/>
              </m:rPr>
              <m:t>RB</m:t>
            </m:r>
          </m:sub>
          <m:sup>
            <m:r>
              <m:rPr>
                <m:nor/>
              </m:rPr>
              <m:t>PUCCH,</m:t>
            </m:r>
            <m:r>
              <m:rPr>
                <m:sty m:val="p"/>
              </m:rPr>
              <w:rPr>
                <w:rFonts w:ascii="Cambria Math" w:hAnsi="Cambria Math"/>
              </w:rPr>
              <m:t>4</m:t>
            </m:r>
          </m:sup>
        </m:sSubSup>
      </m:oMath>
      <w:r w:rsidR="00BC52C9" w:rsidRPr="00B27E56">
        <w:t xml:space="preserve"> </w:t>
      </w:r>
      <w:r w:rsidR="00BC52C9" w:rsidRPr="00B27E56">
        <w:rPr>
          <w:lang w:val="en-US"/>
        </w:rPr>
        <w:t xml:space="preserve">provided by </w:t>
      </w:r>
      <w:r w:rsidR="00BC52C9" w:rsidRPr="00B27E56">
        <w:rPr>
          <w:i/>
        </w:rPr>
        <w:t>nrofPRBs</w:t>
      </w:r>
      <w:r w:rsidR="00BC52C9" w:rsidRPr="00B27E56">
        <w:rPr>
          <w:iCs/>
        </w:rPr>
        <w:t xml:space="preserve">; otherwise, </w:t>
      </w:r>
      <m:oMath>
        <m:sSubSup>
          <m:sSubSupPr>
            <m:ctrlPr>
              <w:rPr>
                <w:rFonts w:ascii="Cambria Math" w:hAnsi="Cambria Math"/>
              </w:rPr>
            </m:ctrlPr>
          </m:sSubSupPr>
          <m:e>
            <m:r>
              <w:rPr>
                <w:rFonts w:ascii="Cambria Math" w:hAnsi="Cambria Math"/>
              </w:rPr>
              <m:t>M</m:t>
            </m:r>
          </m:e>
          <m:sub>
            <m:r>
              <m:rPr>
                <m:nor/>
              </m:rPr>
              <m:t>RB</m:t>
            </m:r>
          </m:sub>
          <m:sup>
            <m:r>
              <m:rPr>
                <m:nor/>
              </m:rPr>
              <m:t>PUCCH,</m:t>
            </m:r>
            <m:r>
              <m:rPr>
                <m:sty m:val="p"/>
              </m:rPr>
              <w:rPr>
                <w:rFonts w:ascii="Cambria Math" w:hAnsi="Cambria Math"/>
              </w:rPr>
              <m:t>4</m:t>
            </m:r>
          </m:sup>
        </m:sSubSup>
        <m:r>
          <w:rPr>
            <w:rFonts w:ascii="Cambria Math" w:hAnsi="Cambria Math"/>
          </w:rPr>
          <m:t>=1</m:t>
        </m:r>
      </m:oMath>
      <w:r w:rsidR="00BC52C9" w:rsidRPr="00B27E56">
        <w:rPr>
          <w:i/>
        </w:rPr>
        <w:t>.</w:t>
      </w:r>
    </w:p>
    <w:p w14:paraId="55DD7089" w14:textId="222C4204" w:rsidR="00E55E6C" w:rsidRPr="005258CF" w:rsidRDefault="00E55E6C" w:rsidP="00D75759">
      <w:pPr>
        <w:rPr>
          <w:noProof/>
          <w:lang w:eastAsia="zh-CN"/>
        </w:rPr>
      </w:pPr>
      <w:r w:rsidRPr="005258CF">
        <w:rPr>
          <w:noProof/>
          <w:lang w:eastAsia="zh-CN"/>
        </w:rPr>
        <w:t xml:space="preserve">If a UE is provided </w:t>
      </w:r>
      <w:r w:rsidRPr="005258CF">
        <w:rPr>
          <w:i/>
          <w:iCs/>
        </w:rPr>
        <w:t>subslotLengthForPUCCH</w:t>
      </w:r>
      <w:r w:rsidRPr="005258CF">
        <w:rPr>
          <w:noProof/>
          <w:lang w:eastAsia="zh-CN"/>
        </w:rPr>
        <w:t xml:space="preserve"> in a </w:t>
      </w:r>
      <w:r w:rsidRPr="005258CF">
        <w:rPr>
          <w:i/>
          <w:iCs/>
          <w:noProof/>
          <w:lang w:eastAsia="zh-CN"/>
        </w:rPr>
        <w:t>PUCCH-Config</w:t>
      </w:r>
      <w:r w:rsidRPr="005258CF">
        <w:rPr>
          <w:noProof/>
          <w:lang w:eastAsia="zh-CN"/>
        </w:rPr>
        <w:t xml:space="preserve">, </w:t>
      </w:r>
      <w:r w:rsidRPr="005258CF">
        <w:rPr>
          <w:lang w:val="de-AT" w:eastAsia="zh-CN"/>
        </w:rPr>
        <w:t xml:space="preserve">the first symbol of a PUCCH resource </w:t>
      </w:r>
      <w:r w:rsidR="00F11F80" w:rsidRPr="005258CF">
        <w:rPr>
          <w:lang w:val="de-AT"/>
        </w:rPr>
        <w:t xml:space="preserve">provided by </w:t>
      </w:r>
      <w:r w:rsidR="00F11F80" w:rsidRPr="005258CF">
        <w:rPr>
          <w:i/>
        </w:rPr>
        <w:t>PUCCH-ResourceSet</w:t>
      </w:r>
      <w:r w:rsidR="00F11F80" w:rsidRPr="005258CF">
        <w:rPr>
          <w:rFonts w:hint="eastAsia"/>
          <w:lang w:eastAsia="zh-CN"/>
        </w:rPr>
        <w:t xml:space="preserve"> or</w:t>
      </w:r>
      <w:r w:rsidR="00F11F80" w:rsidRPr="005258CF">
        <w:t xml:space="preserve"> </w:t>
      </w:r>
      <w:r w:rsidR="00F11F80" w:rsidRPr="005258CF">
        <w:rPr>
          <w:i/>
        </w:rPr>
        <w:t>SPS-PUCCH-AN-List</w:t>
      </w:r>
      <w:r w:rsidR="00F11F80" w:rsidRPr="005258CF">
        <w:rPr>
          <w:lang w:val="de-AT"/>
        </w:rPr>
        <w:t xml:space="preserve"> </w:t>
      </w:r>
      <w:r w:rsidRPr="005258CF">
        <w:rPr>
          <w:lang w:val="de-AT" w:eastAsia="zh-CN"/>
        </w:rPr>
        <w:t xml:space="preserve">in </w:t>
      </w:r>
      <w:r w:rsidRPr="005258CF">
        <w:rPr>
          <w:i/>
          <w:iCs/>
          <w:lang w:eastAsia="zh-CN"/>
        </w:rPr>
        <w:t>PUCCH-Config</w:t>
      </w:r>
      <w:r w:rsidRPr="005258CF">
        <w:rPr>
          <w:lang w:eastAsia="zh-CN"/>
        </w:rPr>
        <w:t xml:space="preserve"> </w:t>
      </w:r>
      <w:r w:rsidR="00F11F80" w:rsidRPr="005258CF">
        <w:t>or</w:t>
      </w:r>
      <w:r w:rsidR="00F11F80" w:rsidRPr="005258CF">
        <w:rPr>
          <w:rFonts w:hint="eastAsia"/>
          <w:lang w:eastAsia="zh-CN"/>
        </w:rPr>
        <w:t xml:space="preserve"> by</w:t>
      </w:r>
      <w:r w:rsidR="00F11F80" w:rsidRPr="005258CF">
        <w:t xml:space="preserve"> </w:t>
      </w:r>
      <w:r w:rsidR="00F11F80" w:rsidRPr="005258CF">
        <w:rPr>
          <w:i/>
        </w:rPr>
        <w:t>n1PUCCH-AN</w:t>
      </w:r>
      <w:r w:rsidR="00F11F80" w:rsidRPr="005258CF">
        <w:rPr>
          <w:lang w:val="de-AT"/>
        </w:rPr>
        <w:t xml:space="preserve"> </w:t>
      </w:r>
      <w:r w:rsidR="00F11F80" w:rsidRPr="005258CF">
        <w:rPr>
          <w:rFonts w:hint="eastAsia"/>
          <w:lang w:val="de-AT" w:eastAsia="zh-CN"/>
        </w:rPr>
        <w:t>in SPS-Config</w:t>
      </w:r>
      <w:r w:rsidR="00F11F80" w:rsidRPr="005258CF">
        <w:rPr>
          <w:lang w:val="de-AT" w:eastAsia="zh-CN"/>
        </w:rPr>
        <w:t xml:space="preserve"> </w:t>
      </w:r>
      <w:r w:rsidRPr="005258CF">
        <w:rPr>
          <w:lang w:val="de-AT" w:eastAsia="zh-CN"/>
        </w:rPr>
        <w:t>for multiplexing HARQ-ACK in a PUCCH transmission is relative</w:t>
      </w:r>
      <w:r w:rsidRPr="005258CF">
        <w:rPr>
          <w:noProof/>
          <w:lang w:eastAsia="zh-CN"/>
        </w:rPr>
        <w:t xml:space="preserve"> </w:t>
      </w:r>
      <w:r w:rsidRPr="005258CF">
        <w:rPr>
          <w:lang w:val="de-AT" w:eastAsia="zh-CN"/>
        </w:rPr>
        <w:t xml:space="preserve">to the first symbol of the </w:t>
      </w:r>
      <w:r w:rsidRPr="005258CF">
        <w:rPr>
          <w:i/>
          <w:iCs/>
        </w:rPr>
        <w:t xml:space="preserve">subslotLengthForPUCCH </w:t>
      </w:r>
      <w:r w:rsidRPr="005258CF">
        <w:rPr>
          <w:lang w:val="de-AT" w:eastAsia="zh-CN"/>
        </w:rPr>
        <w:t xml:space="preserve">symbols [12, TS 38.331]. For the remaining cases, the first symbol of a PUCCH resource is relative to the first symbol of a slot with </w:t>
      </w:r>
      <m:oMath>
        <m:sSubSup>
          <m:sSubSupPr>
            <m:ctrlPr>
              <w:rPr>
                <w:rFonts w:ascii="Cambria Math" w:hAnsi="Cambria Math"/>
              </w:rPr>
            </m:ctrlPr>
          </m:sSubSupPr>
          <m:e>
            <m:r>
              <w:rPr>
                <w:rFonts w:ascii="Cambria Math" w:hAnsi="Cambria Math"/>
              </w:rPr>
              <m:t>N</m:t>
            </m:r>
          </m:e>
          <m:sub>
            <m:r>
              <m:rPr>
                <m:nor/>
              </m:rPr>
              <w:rPr>
                <w:rFonts w:ascii="Cambria Math"/>
              </w:rPr>
              <m:t>sym</m:t>
            </m:r>
          </m:sub>
          <m:sup>
            <m:r>
              <m:rPr>
                <m:nor/>
              </m:rPr>
              <w:rPr>
                <w:rFonts w:ascii="Cambria Math"/>
              </w:rPr>
              <m:t>slot</m:t>
            </m:r>
          </m:sup>
        </m:sSubSup>
      </m:oMath>
      <w:r w:rsidRPr="005258CF">
        <w:rPr>
          <w:lang w:val="de-AT" w:eastAsia="zh-CN"/>
        </w:rPr>
        <w:t> symbols [4, TS 38.211].</w:t>
      </w:r>
      <w:r w:rsidRPr="005258CF">
        <w:rPr>
          <w:noProof/>
          <w:lang w:eastAsia="zh-CN"/>
        </w:rPr>
        <w:t xml:space="preserve"> </w:t>
      </w:r>
    </w:p>
    <w:p w14:paraId="3173ACF3" w14:textId="48D6F723" w:rsidR="00C84B1F" w:rsidRPr="00B916EC" w:rsidRDefault="00C84B1F" w:rsidP="00C84B1F">
      <w:r w:rsidRPr="00B916EC">
        <w:t xml:space="preserve">A UE can be configured </w:t>
      </w:r>
      <w:r>
        <w:t>up to four</w:t>
      </w:r>
      <w:r w:rsidRPr="00B916EC">
        <w:t xml:space="preserve"> sets of PUCCH resources</w:t>
      </w:r>
      <w:r w:rsidR="00020E6A">
        <w:t xml:space="preserve"> in a </w:t>
      </w:r>
      <w:r w:rsidR="00020E6A" w:rsidRPr="006F31F1">
        <w:rPr>
          <w:i/>
          <w:iCs/>
          <w:noProof/>
          <w:lang w:eastAsia="zh-CN"/>
        </w:rPr>
        <w:t>PUCCH-Config</w:t>
      </w:r>
      <w:r>
        <w:t xml:space="preserve">. A PUCCH resource set is </w:t>
      </w:r>
      <w:r w:rsidR="00441687" w:rsidRPr="00817427">
        <w:t xml:space="preserve">provided by </w:t>
      </w:r>
      <w:r w:rsidR="00441687" w:rsidRPr="00994FE9">
        <w:rPr>
          <w:i/>
        </w:rPr>
        <w:t>PUCCH-ResourceSet</w:t>
      </w:r>
      <w:r w:rsidR="00441687" w:rsidRPr="00994FE9">
        <w:t xml:space="preserve"> and is </w:t>
      </w:r>
      <w:r>
        <w:t xml:space="preserve">associated with a PUCCH resource set index provided by </w:t>
      </w:r>
      <w:r>
        <w:rPr>
          <w:i/>
        </w:rPr>
        <w:t>pucch</w:t>
      </w:r>
      <w:r w:rsidRPr="003E177F">
        <w:rPr>
          <w:i/>
        </w:rPr>
        <w:t>-ResourceSetId</w:t>
      </w:r>
      <w:r>
        <w:t xml:space="preserve">, with a set of PUCCH resource indexes provided by </w:t>
      </w:r>
      <w:r w:rsidRPr="00472DDC">
        <w:rPr>
          <w:i/>
        </w:rPr>
        <w:t>resource</w:t>
      </w:r>
      <w:r>
        <w:rPr>
          <w:i/>
        </w:rPr>
        <w:t>List</w:t>
      </w:r>
      <w:r w:rsidRPr="00C72697">
        <w:t xml:space="preserve"> </w:t>
      </w:r>
      <w:r>
        <w:t xml:space="preserve">that provides a set of </w:t>
      </w:r>
      <w:r w:rsidRPr="009F2F12">
        <w:rPr>
          <w:i/>
        </w:rPr>
        <w:t>pucch-ResourceId</w:t>
      </w:r>
      <w:r>
        <w:t xml:space="preserve"> used in the PUCCH resource set, and with a maximum number of UCI information bits the UE can transmit using a PUCCH resource in the PUCCH resource set provided by </w:t>
      </w:r>
      <w:r w:rsidR="00320B8D">
        <w:rPr>
          <w:i/>
        </w:rPr>
        <w:t>maxPayloadSize</w:t>
      </w:r>
      <w:r>
        <w:t>.</w:t>
      </w:r>
      <w:r w:rsidRPr="00B916EC">
        <w:t xml:space="preserve"> </w:t>
      </w:r>
      <w:r>
        <w:t xml:space="preserve">For the first PUCCH resource set, the maximum number of UCI information bits is </w:t>
      </w:r>
      <w:r w:rsidR="00441687">
        <w:t>2</w:t>
      </w:r>
      <w:r>
        <w:t>. A</w:t>
      </w:r>
      <w:r w:rsidRPr="00B916EC">
        <w:t xml:space="preserve"> </w:t>
      </w:r>
      <w:r>
        <w:t xml:space="preserve">maximum </w:t>
      </w:r>
      <w:r w:rsidRPr="00B916EC">
        <w:t xml:space="preserve">number of PUCCH resource </w:t>
      </w:r>
      <w:r>
        <w:t>indexes for a</w:t>
      </w:r>
      <w:r w:rsidRPr="00B916EC">
        <w:t xml:space="preserve"> set of PUCCH resources is provided by </w:t>
      </w:r>
      <w:r w:rsidRPr="000A5FC4">
        <w:rPr>
          <w:i/>
        </w:rPr>
        <w:t>maxNrofPUCCH-ResourcesPerSet</w:t>
      </w:r>
      <w:r>
        <w:t>. T</w:t>
      </w:r>
      <w:r w:rsidRPr="00B916EC">
        <w:t xml:space="preserve">he </w:t>
      </w:r>
      <w:r>
        <w:t xml:space="preserve">maximum </w:t>
      </w:r>
      <w:r w:rsidRPr="00B916EC">
        <w:t xml:space="preserve">number of PUCCH resources </w:t>
      </w:r>
      <w:r>
        <w:t xml:space="preserve">in the first PUCCH resource set is 32 and the maximum number of PUCCH resources </w:t>
      </w:r>
      <w:r w:rsidRPr="00B916EC">
        <w:t xml:space="preserve">in </w:t>
      </w:r>
      <w:r>
        <w:t>the other</w:t>
      </w:r>
      <w:r w:rsidRPr="00B916EC">
        <w:t xml:space="preserve"> PUCCH resource</w:t>
      </w:r>
      <w:r w:rsidR="00441687" w:rsidRPr="004561EE">
        <w:t xml:space="preserve"> set</w:t>
      </w:r>
      <w:r w:rsidRPr="00B916EC">
        <w:t>s</w:t>
      </w:r>
      <w:r>
        <w:t xml:space="preserve"> is 8</w:t>
      </w:r>
      <w:r w:rsidRPr="00B916EC">
        <w:t xml:space="preserve">. </w:t>
      </w:r>
    </w:p>
    <w:p w14:paraId="3DBEB8A0" w14:textId="42229524" w:rsidR="00D855F9" w:rsidRPr="00B916EC" w:rsidRDefault="00495702" w:rsidP="00DE245D">
      <w:r w:rsidRPr="00B916EC">
        <w:t xml:space="preserve">If the UE transmits </w:t>
      </w:r>
      <m:oMath>
        <m:sSub>
          <m:sSubPr>
            <m:ctrlPr>
              <w:rPr>
                <w:rFonts w:ascii="Cambria Math" w:hAnsi="Cambria Math" w:cs="Arial"/>
                <w:i/>
                <w:lang w:eastAsia="zh-CN"/>
              </w:rPr>
            </m:ctrlPr>
          </m:sSubPr>
          <m:e>
            <m:r>
              <w:rPr>
                <w:rFonts w:ascii="Cambria Math" w:cs="Arial"/>
                <w:lang w:eastAsia="zh-CN"/>
              </w:rPr>
              <m:t>O</m:t>
            </m:r>
          </m:e>
          <m:sub>
            <m:r>
              <m:rPr>
                <m:nor/>
              </m:rPr>
              <w:rPr>
                <w:rFonts w:ascii="Cambria Math" w:cs="Arial"/>
                <w:lang w:eastAsia="zh-CN"/>
              </w:rPr>
              <m:t>UCI</m:t>
            </m:r>
            <m:ctrlPr>
              <w:rPr>
                <w:rFonts w:ascii="Cambria Math" w:hAnsi="Cambria Math" w:cs="Arial"/>
                <w:lang w:eastAsia="zh-CN"/>
              </w:rPr>
            </m:ctrlPr>
          </m:sub>
        </m:sSub>
      </m:oMath>
      <w:r w:rsidRPr="00B916EC">
        <w:t xml:space="preserve"> UCI</w:t>
      </w:r>
      <w:r w:rsidR="00C84B1F" w:rsidRPr="00C84B1F">
        <w:t xml:space="preserve"> </w:t>
      </w:r>
      <w:r w:rsidR="00C84B1F">
        <w:t>information</w:t>
      </w:r>
      <w:r w:rsidRPr="00B916EC">
        <w:t xml:space="preserve"> bits,</w:t>
      </w:r>
      <w:r w:rsidR="00C84B1F" w:rsidRPr="00C84B1F">
        <w:t xml:space="preserve"> </w:t>
      </w:r>
      <w:r w:rsidR="00C84B1F">
        <w:t>that include HARQ-ACK information bits,</w:t>
      </w:r>
      <w:r w:rsidR="003915B7">
        <w:t xml:space="preserve"> </w:t>
      </w:r>
      <w:r w:rsidRPr="00B916EC">
        <w:t xml:space="preserve">the UE determines a PUCCH resource </w:t>
      </w:r>
      <w:r w:rsidR="00A06084" w:rsidRPr="00B916EC">
        <w:t>set to be</w:t>
      </w:r>
      <w:r w:rsidRPr="00B916EC">
        <w:t xml:space="preserve"> </w:t>
      </w:r>
    </w:p>
    <w:p w14:paraId="58BD9D80" w14:textId="43C05B32" w:rsidR="00D855F9" w:rsidRPr="00B916EC" w:rsidRDefault="00611EFE" w:rsidP="00611EFE">
      <w:pPr>
        <w:pStyle w:val="B1"/>
      </w:pPr>
      <w:r>
        <w:rPr>
          <w:lang w:val="en-US"/>
        </w:rPr>
        <w:t>-</w:t>
      </w:r>
      <w:r>
        <w:rPr>
          <w:lang w:val="en-US"/>
        </w:rPr>
        <w:tab/>
      </w:r>
      <w:r w:rsidR="00C75D8C" w:rsidRPr="00B916EC">
        <w:rPr>
          <w:lang w:val="en-US"/>
        </w:rPr>
        <w:t>a</w:t>
      </w:r>
      <w:r w:rsidR="00D855F9" w:rsidRPr="00B916EC">
        <w:rPr>
          <w:lang w:val="en-US"/>
        </w:rPr>
        <w:t xml:space="preserve"> </w:t>
      </w:r>
      <w:r w:rsidR="00CD4C51" w:rsidRPr="00B916EC">
        <w:t>first set of PUCCH resource</w:t>
      </w:r>
      <w:r w:rsidR="00771F04" w:rsidRPr="00B916EC">
        <w:rPr>
          <w:lang w:val="en-US"/>
        </w:rPr>
        <w:t>s</w:t>
      </w:r>
      <w:r w:rsidR="00495702" w:rsidRPr="00B916EC">
        <w:t xml:space="preserve"> </w:t>
      </w:r>
      <w:r w:rsidR="00C84B1F">
        <w:rPr>
          <w:lang w:val="en-US"/>
        </w:rPr>
        <w:t xml:space="preserve">with </w:t>
      </w:r>
      <w:r w:rsidR="00C84B1F">
        <w:rPr>
          <w:i/>
        </w:rPr>
        <w:t>pucch</w:t>
      </w:r>
      <w:r w:rsidR="00C84B1F" w:rsidRPr="003E177F">
        <w:rPr>
          <w:i/>
        </w:rPr>
        <w:t>-</w:t>
      </w:r>
      <w:r w:rsidR="00C84B1F" w:rsidRPr="00FD02B6">
        <w:rPr>
          <w:i/>
        </w:rPr>
        <w:t xml:space="preserve">ResourceSetId </w:t>
      </w:r>
      <w:r w:rsidR="00C84B1F" w:rsidRPr="008E6A8A">
        <w:rPr>
          <w:lang w:val="en-US"/>
        </w:rPr>
        <w:t>= 0</w:t>
      </w:r>
      <w:r w:rsidR="00C84B1F" w:rsidRPr="00FD02B6">
        <w:rPr>
          <w:lang w:val="en-US"/>
        </w:rPr>
        <w:t xml:space="preserve"> </w:t>
      </w:r>
      <w:r w:rsidR="00C84B1F" w:rsidRPr="00B916EC">
        <w:t xml:space="preserve">if </w:t>
      </w:r>
      <m:oMath>
        <m:sSub>
          <m:sSubPr>
            <m:ctrlPr>
              <w:rPr>
                <w:rFonts w:ascii="Cambria Math" w:hAnsi="Cambria Math" w:cs="Arial"/>
                <w:i/>
                <w:lang w:eastAsia="zh-CN"/>
              </w:rPr>
            </m:ctrlPr>
          </m:sSubPr>
          <m:e>
            <m:r>
              <w:rPr>
                <w:rFonts w:ascii="Cambria Math" w:cs="Arial"/>
                <w:lang w:eastAsia="zh-CN"/>
              </w:rPr>
              <m:t>O</m:t>
            </m:r>
          </m:e>
          <m:sub>
            <m:r>
              <m:rPr>
                <m:nor/>
              </m:rPr>
              <w:rPr>
                <w:rFonts w:ascii="Cambria Math" w:cs="Arial"/>
                <w:lang w:eastAsia="zh-CN"/>
              </w:rPr>
              <m:t>UCI</m:t>
            </m:r>
            <m:ctrlPr>
              <w:rPr>
                <w:rFonts w:ascii="Cambria Math" w:hAnsi="Cambria Math" w:cs="Arial"/>
                <w:lang w:eastAsia="zh-CN"/>
              </w:rPr>
            </m:ctrlPr>
          </m:sub>
        </m:sSub>
        <m:r>
          <w:rPr>
            <w:rFonts w:ascii="Cambria Math" w:cs="Arial"/>
            <w:lang w:eastAsia="zh-CN"/>
          </w:rPr>
          <m:t>≤</m:t>
        </m:r>
        <m:r>
          <w:rPr>
            <w:rFonts w:ascii="Cambria Math" w:hAnsi="Cambria Math" w:cs="Arial"/>
            <w:lang w:eastAsia="zh-CN"/>
          </w:rPr>
          <m:t>2</m:t>
        </m:r>
      </m:oMath>
      <w:r w:rsidR="00C84B1F">
        <w:rPr>
          <w:rFonts w:cs="Arial"/>
          <w:lang w:val="en-US" w:eastAsia="zh-CN"/>
        </w:rPr>
        <w:t xml:space="preserve"> including 1 or 2 HARQ-ACK information bits and a positive or negative SR on one SR transmission occasion if transmission of HARQ-ACK information and SR occurs simultaneously</w:t>
      </w:r>
      <w:r w:rsidR="00D855F9" w:rsidRPr="00B916EC">
        <w:rPr>
          <w:rFonts w:cs="Arial"/>
          <w:lang w:val="en-US" w:eastAsia="zh-CN"/>
        </w:rPr>
        <w:t>, or</w:t>
      </w:r>
    </w:p>
    <w:p w14:paraId="7D502D5C" w14:textId="160BC6FE" w:rsidR="00D855F9" w:rsidRPr="00B916EC" w:rsidRDefault="00611EFE" w:rsidP="00611EFE">
      <w:pPr>
        <w:pStyle w:val="B1"/>
      </w:pPr>
      <w:r>
        <w:rPr>
          <w:lang w:val="en-US"/>
        </w:rPr>
        <w:t>-</w:t>
      </w:r>
      <w:r>
        <w:rPr>
          <w:lang w:val="en-US"/>
        </w:rPr>
        <w:tab/>
      </w:r>
      <w:r w:rsidR="00C75D8C" w:rsidRPr="00B916EC">
        <w:rPr>
          <w:lang w:val="en-US"/>
        </w:rPr>
        <w:t>a</w:t>
      </w:r>
      <w:r w:rsidR="00D855F9" w:rsidRPr="00B916EC">
        <w:rPr>
          <w:lang w:val="en-US"/>
        </w:rPr>
        <w:t xml:space="preserve"> second set of PUCCH resources</w:t>
      </w:r>
      <w:r w:rsidR="00C84B1F" w:rsidRPr="00C84B1F">
        <w:rPr>
          <w:lang w:val="en-US"/>
        </w:rPr>
        <w:t xml:space="preserve"> </w:t>
      </w:r>
      <w:r w:rsidR="00C84B1F">
        <w:rPr>
          <w:lang w:val="en-US"/>
        </w:rPr>
        <w:t xml:space="preserve">with </w:t>
      </w:r>
      <w:r w:rsidR="00C84B1F">
        <w:rPr>
          <w:i/>
        </w:rPr>
        <w:t>pucch</w:t>
      </w:r>
      <w:r w:rsidR="00C84B1F" w:rsidRPr="003E177F">
        <w:rPr>
          <w:i/>
        </w:rPr>
        <w:t>-</w:t>
      </w:r>
      <w:r w:rsidR="00C84B1F" w:rsidRPr="00FD02B6">
        <w:rPr>
          <w:i/>
        </w:rPr>
        <w:t xml:space="preserve">ResourceSetId </w:t>
      </w:r>
      <w:r w:rsidR="00C84B1F" w:rsidRPr="008E6A8A">
        <w:rPr>
          <w:lang w:val="en-US"/>
        </w:rPr>
        <w:t>= 1</w:t>
      </w:r>
      <w:r w:rsidR="00C84B1F" w:rsidRPr="00B916EC">
        <w:rPr>
          <w:lang w:val="en-US"/>
        </w:rPr>
        <w:t xml:space="preserve">, if </w:t>
      </w:r>
      <w:r w:rsidR="00C84B1F">
        <w:rPr>
          <w:lang w:val="en-US"/>
        </w:rPr>
        <w:t>provided by higher layers</w:t>
      </w:r>
      <w:r w:rsidR="00C84B1F" w:rsidRPr="00B916EC">
        <w:rPr>
          <w:lang w:val="en-US"/>
        </w:rPr>
        <w:t xml:space="preserve">, if </w:t>
      </w:r>
      <m:oMath>
        <m:sSub>
          <m:sSubPr>
            <m:ctrlPr>
              <w:rPr>
                <w:rFonts w:ascii="Cambria Math" w:hAnsi="Cambria Math" w:cs="Arial"/>
                <w:i/>
                <w:lang w:eastAsia="zh-CN"/>
              </w:rPr>
            </m:ctrlPr>
          </m:sSubPr>
          <m:e>
            <m:r>
              <w:rPr>
                <w:rFonts w:ascii="Cambria Math" w:cs="Arial"/>
                <w:lang w:eastAsia="zh-CN"/>
              </w:rPr>
              <m:t>2&lt;O</m:t>
            </m:r>
          </m:e>
          <m:sub>
            <m:r>
              <m:rPr>
                <m:nor/>
              </m:rPr>
              <w:rPr>
                <w:rFonts w:ascii="Cambria Math" w:cs="Arial"/>
                <w:lang w:eastAsia="zh-CN"/>
              </w:rPr>
              <m:t>UCI</m:t>
            </m:r>
            <m:ctrlPr>
              <w:rPr>
                <w:rFonts w:ascii="Cambria Math" w:hAnsi="Cambria Math" w:cs="Arial"/>
                <w:lang w:eastAsia="zh-CN"/>
              </w:rPr>
            </m:ctrlPr>
          </m:sub>
        </m:sSub>
        <m:r>
          <w:rPr>
            <w:rFonts w:ascii="Cambria Math" w:cs="Arial"/>
            <w:lang w:eastAsia="zh-CN"/>
          </w:rPr>
          <m:t>≤</m:t>
        </m:r>
        <m:sSub>
          <m:sSubPr>
            <m:ctrlPr>
              <w:rPr>
                <w:rFonts w:ascii="Cambria Math" w:hAnsi="Cambria Math" w:cs="Arial"/>
                <w:i/>
                <w:lang w:eastAsia="zh-CN"/>
              </w:rPr>
            </m:ctrlPr>
          </m:sSubPr>
          <m:e>
            <m:r>
              <w:rPr>
                <w:rFonts w:ascii="Cambria Math" w:cs="Arial"/>
                <w:lang w:eastAsia="zh-CN"/>
              </w:rPr>
              <m:t>N</m:t>
            </m:r>
          </m:e>
          <m:sub>
            <m:r>
              <w:rPr>
                <w:rFonts w:ascii="Cambria Math" w:cs="Arial"/>
                <w:lang w:eastAsia="zh-CN"/>
              </w:rPr>
              <m:t>2</m:t>
            </m:r>
          </m:sub>
        </m:sSub>
      </m:oMath>
      <w:r w:rsidR="00C84B1F" w:rsidRPr="00B916EC">
        <w:rPr>
          <w:rFonts w:cs="Arial"/>
          <w:lang w:val="en-US" w:eastAsia="zh-CN"/>
        </w:rPr>
        <w:t xml:space="preserve"> where </w:t>
      </w:r>
      <m:oMath>
        <m:sSub>
          <m:sSubPr>
            <m:ctrlPr>
              <w:rPr>
                <w:rFonts w:ascii="Cambria Math" w:hAnsi="Cambria Math" w:cs="Arial"/>
                <w:i/>
                <w:lang w:eastAsia="zh-CN"/>
              </w:rPr>
            </m:ctrlPr>
          </m:sSubPr>
          <m:e>
            <m:r>
              <w:rPr>
                <w:rFonts w:ascii="Cambria Math" w:cs="Arial"/>
                <w:lang w:eastAsia="zh-CN"/>
              </w:rPr>
              <m:t>N</m:t>
            </m:r>
          </m:e>
          <m:sub>
            <m:r>
              <w:rPr>
                <w:rFonts w:ascii="Cambria Math" w:cs="Arial"/>
                <w:lang w:eastAsia="zh-CN"/>
              </w:rPr>
              <m:t>2</m:t>
            </m:r>
          </m:sub>
        </m:sSub>
      </m:oMath>
      <w:r w:rsidR="00C84B1F" w:rsidRPr="00B916EC">
        <w:rPr>
          <w:rFonts w:cs="Arial"/>
          <w:lang w:val="en-US" w:eastAsia="zh-CN"/>
        </w:rPr>
        <w:t xml:space="preserve"> is </w:t>
      </w:r>
      <w:r w:rsidR="001D0CF9">
        <w:rPr>
          <w:rFonts w:cs="Arial"/>
          <w:lang w:val="en-US" w:eastAsia="zh-CN"/>
        </w:rPr>
        <w:t xml:space="preserve">equal to </w:t>
      </w:r>
      <w:r w:rsidR="00320B8D">
        <w:rPr>
          <w:i/>
        </w:rPr>
        <w:t>maxPayloadSize</w:t>
      </w:r>
      <w:r w:rsidR="001D0CF9" w:rsidRPr="00127ADA">
        <w:rPr>
          <w:lang w:val="en-US"/>
        </w:rPr>
        <w:t xml:space="preserve"> </w:t>
      </w:r>
      <w:r w:rsidR="001D0CF9">
        <w:rPr>
          <w:lang w:val="en-US"/>
        </w:rPr>
        <w:t>if</w:t>
      </w:r>
      <w:r w:rsidR="00C84B1F" w:rsidRPr="00B916EC">
        <w:rPr>
          <w:rFonts w:cs="Arial"/>
          <w:lang w:val="en-US" w:eastAsia="zh-CN"/>
        </w:rPr>
        <w:t xml:space="preserve"> </w:t>
      </w:r>
      <w:r w:rsidR="00320B8D">
        <w:rPr>
          <w:i/>
        </w:rPr>
        <w:t>maxPayloadSize</w:t>
      </w:r>
      <w:r w:rsidR="00C84B1F" w:rsidRPr="00FD02B6">
        <w:rPr>
          <w:lang w:val="en-US"/>
        </w:rPr>
        <w:t xml:space="preserve"> </w:t>
      </w:r>
      <w:r w:rsidR="001D0CF9">
        <w:rPr>
          <w:lang w:val="en-US"/>
        </w:rPr>
        <w:t xml:space="preserve">is provided </w:t>
      </w:r>
      <w:r w:rsidR="00C84B1F">
        <w:rPr>
          <w:lang w:val="en-US"/>
        </w:rPr>
        <w:t xml:space="preserve">for the PUCCH resource set with </w:t>
      </w:r>
      <w:r w:rsidR="00C84B1F">
        <w:rPr>
          <w:i/>
        </w:rPr>
        <w:t>pucch</w:t>
      </w:r>
      <w:r w:rsidR="00C84B1F" w:rsidRPr="003E177F">
        <w:rPr>
          <w:i/>
        </w:rPr>
        <w:t>-</w:t>
      </w:r>
      <w:r w:rsidR="00C84B1F" w:rsidRPr="00FD02B6">
        <w:rPr>
          <w:i/>
        </w:rPr>
        <w:t xml:space="preserve">ResourceSetId </w:t>
      </w:r>
      <w:r w:rsidR="00C84B1F" w:rsidRPr="008E6A8A">
        <w:rPr>
          <w:lang w:val="en-US"/>
        </w:rPr>
        <w:t>= 1</w:t>
      </w:r>
      <w:r w:rsidR="001D0CF9">
        <w:rPr>
          <w:lang w:val="en-US"/>
        </w:rPr>
        <w:t xml:space="preserve">; otherwise </w:t>
      </w:r>
      <m:oMath>
        <m:sSub>
          <m:sSubPr>
            <m:ctrlPr>
              <w:rPr>
                <w:rFonts w:ascii="Cambria Math" w:hAnsi="Cambria Math" w:cs="Arial"/>
                <w:i/>
                <w:lang w:eastAsia="zh-CN"/>
              </w:rPr>
            </m:ctrlPr>
          </m:sSubPr>
          <m:e>
            <m:r>
              <w:rPr>
                <w:rFonts w:ascii="Cambria Math" w:cs="Arial"/>
                <w:lang w:eastAsia="zh-CN"/>
              </w:rPr>
              <m:t>N</m:t>
            </m:r>
          </m:e>
          <m:sub>
            <m:r>
              <w:rPr>
                <w:rFonts w:ascii="Cambria Math" w:cs="Arial"/>
                <w:lang w:eastAsia="zh-CN"/>
              </w:rPr>
              <m:t>2</m:t>
            </m:r>
          </m:sub>
        </m:sSub>
      </m:oMath>
      <w:r w:rsidR="00BC52C9">
        <w:rPr>
          <w:lang w:val="en-GB" w:eastAsia="zh-CN"/>
        </w:rPr>
        <w:t xml:space="preserve"> </w:t>
      </w:r>
      <w:r w:rsidR="001D0CF9" w:rsidRPr="00995A73">
        <w:rPr>
          <w:rFonts w:cs="Arial"/>
          <w:lang w:val="en-US" w:eastAsia="zh-CN"/>
        </w:rPr>
        <w:t>i</w:t>
      </w:r>
      <w:r w:rsidR="001D0CF9">
        <w:rPr>
          <w:rFonts w:cs="Arial"/>
          <w:lang w:val="en-US" w:eastAsia="zh-CN"/>
        </w:rPr>
        <w:t>s equal to 1706</w:t>
      </w:r>
      <w:r w:rsidR="00D855F9" w:rsidRPr="00B916EC">
        <w:rPr>
          <w:rFonts w:cs="Arial"/>
          <w:lang w:val="en-US" w:eastAsia="zh-CN"/>
        </w:rPr>
        <w:t>, or</w:t>
      </w:r>
    </w:p>
    <w:p w14:paraId="07E917EA" w14:textId="4BC73456" w:rsidR="00D855F9" w:rsidRPr="00B916EC" w:rsidRDefault="00611EFE" w:rsidP="00611EFE">
      <w:pPr>
        <w:pStyle w:val="B1"/>
      </w:pPr>
      <w:r>
        <w:rPr>
          <w:lang w:val="en-US"/>
        </w:rPr>
        <w:t>-</w:t>
      </w:r>
      <w:r>
        <w:rPr>
          <w:lang w:val="en-US"/>
        </w:rPr>
        <w:tab/>
      </w:r>
      <w:r w:rsidR="00C75D8C" w:rsidRPr="00B916EC">
        <w:rPr>
          <w:lang w:val="en-US"/>
        </w:rPr>
        <w:t>a third</w:t>
      </w:r>
      <w:r w:rsidR="00D855F9" w:rsidRPr="00B916EC">
        <w:rPr>
          <w:lang w:val="en-US"/>
        </w:rPr>
        <w:t xml:space="preserve"> set of PUCCH resources</w:t>
      </w:r>
      <w:r w:rsidR="00C84B1F" w:rsidRPr="00C84B1F">
        <w:rPr>
          <w:lang w:val="en-US"/>
        </w:rPr>
        <w:t xml:space="preserve"> </w:t>
      </w:r>
      <w:r w:rsidR="00C84B1F">
        <w:rPr>
          <w:lang w:val="en-US"/>
        </w:rPr>
        <w:t xml:space="preserve">with </w:t>
      </w:r>
      <w:r w:rsidR="00C84B1F">
        <w:rPr>
          <w:i/>
        </w:rPr>
        <w:t>pucch</w:t>
      </w:r>
      <w:r w:rsidR="00C84B1F" w:rsidRPr="003E177F">
        <w:rPr>
          <w:i/>
        </w:rPr>
        <w:t>-</w:t>
      </w:r>
      <w:r w:rsidR="00C84B1F" w:rsidRPr="00FD02B6">
        <w:rPr>
          <w:i/>
        </w:rPr>
        <w:t xml:space="preserve">ResourceSetId </w:t>
      </w:r>
      <w:r w:rsidR="00C84B1F" w:rsidRPr="008E6A8A">
        <w:rPr>
          <w:lang w:val="en-US"/>
        </w:rPr>
        <w:t>= 2</w:t>
      </w:r>
      <w:r w:rsidR="00C84B1F" w:rsidRPr="00B916EC">
        <w:rPr>
          <w:lang w:val="en-US"/>
        </w:rPr>
        <w:t xml:space="preserve">, if </w:t>
      </w:r>
      <w:r w:rsidR="00C84B1F">
        <w:rPr>
          <w:lang w:val="en-US"/>
        </w:rPr>
        <w:t>provided by higher layers</w:t>
      </w:r>
      <w:r w:rsidR="00C84B1F" w:rsidRPr="00B916EC">
        <w:rPr>
          <w:lang w:val="en-US"/>
        </w:rPr>
        <w:t xml:space="preserve">, if </w:t>
      </w:r>
      <m:oMath>
        <m:sSub>
          <m:sSubPr>
            <m:ctrlPr>
              <w:rPr>
                <w:rFonts w:ascii="Cambria Math" w:hAnsi="Cambria Math" w:cs="Arial"/>
                <w:i/>
                <w:lang w:eastAsia="zh-CN"/>
              </w:rPr>
            </m:ctrlPr>
          </m:sSubPr>
          <m:e>
            <m:sSub>
              <m:sSubPr>
                <m:ctrlPr>
                  <w:rPr>
                    <w:rFonts w:ascii="Cambria Math" w:hAnsi="Cambria Math" w:cs="Arial"/>
                    <w:i/>
                    <w:lang w:eastAsia="zh-CN"/>
                  </w:rPr>
                </m:ctrlPr>
              </m:sSubPr>
              <m:e>
                <m:r>
                  <w:rPr>
                    <w:rFonts w:ascii="Cambria Math" w:cs="Arial"/>
                    <w:lang w:eastAsia="zh-CN"/>
                  </w:rPr>
                  <m:t>N</m:t>
                </m:r>
              </m:e>
              <m:sub>
                <m:r>
                  <w:rPr>
                    <w:rFonts w:ascii="Cambria Math" w:cs="Arial"/>
                    <w:lang w:eastAsia="zh-CN"/>
                  </w:rPr>
                  <m:t>2</m:t>
                </m:r>
              </m:sub>
            </m:sSub>
            <m:r>
              <w:rPr>
                <w:rFonts w:ascii="Cambria Math" w:cs="Arial"/>
                <w:lang w:eastAsia="zh-CN"/>
              </w:rPr>
              <m:t>&lt;O</m:t>
            </m:r>
          </m:e>
          <m:sub>
            <m:r>
              <m:rPr>
                <m:nor/>
              </m:rPr>
              <w:rPr>
                <w:rFonts w:ascii="Cambria Math" w:cs="Arial"/>
                <w:lang w:eastAsia="zh-CN"/>
              </w:rPr>
              <m:t>UCI</m:t>
            </m:r>
            <m:ctrlPr>
              <w:rPr>
                <w:rFonts w:ascii="Cambria Math" w:hAnsi="Cambria Math" w:cs="Arial"/>
                <w:lang w:eastAsia="zh-CN"/>
              </w:rPr>
            </m:ctrlPr>
          </m:sub>
        </m:sSub>
        <m:r>
          <w:rPr>
            <w:rFonts w:ascii="Cambria Math" w:cs="Arial"/>
            <w:lang w:eastAsia="zh-CN"/>
          </w:rPr>
          <m:t>≤</m:t>
        </m:r>
        <m:sSub>
          <m:sSubPr>
            <m:ctrlPr>
              <w:rPr>
                <w:rFonts w:ascii="Cambria Math" w:hAnsi="Cambria Math" w:cs="Arial"/>
                <w:i/>
                <w:lang w:eastAsia="zh-CN"/>
              </w:rPr>
            </m:ctrlPr>
          </m:sSubPr>
          <m:e>
            <m:r>
              <w:rPr>
                <w:rFonts w:ascii="Cambria Math" w:cs="Arial"/>
                <w:lang w:eastAsia="zh-CN"/>
              </w:rPr>
              <m:t>N</m:t>
            </m:r>
          </m:e>
          <m:sub>
            <m:r>
              <w:rPr>
                <w:rFonts w:ascii="Cambria Math" w:cs="Arial"/>
                <w:lang w:eastAsia="zh-CN"/>
              </w:rPr>
              <m:t>3</m:t>
            </m:r>
          </m:sub>
        </m:sSub>
      </m:oMath>
      <w:r w:rsidR="00C84B1F" w:rsidRPr="00B916EC">
        <w:rPr>
          <w:rFonts w:cs="Arial"/>
          <w:lang w:val="en-US" w:eastAsia="zh-CN"/>
        </w:rPr>
        <w:t xml:space="preserve"> where </w:t>
      </w:r>
      <m:oMath>
        <m:sSub>
          <m:sSubPr>
            <m:ctrlPr>
              <w:rPr>
                <w:rFonts w:ascii="Cambria Math" w:hAnsi="Cambria Math" w:cs="Arial"/>
                <w:i/>
                <w:lang w:eastAsia="zh-CN"/>
              </w:rPr>
            </m:ctrlPr>
          </m:sSubPr>
          <m:e>
            <m:r>
              <w:rPr>
                <w:rFonts w:ascii="Cambria Math" w:cs="Arial"/>
                <w:lang w:eastAsia="zh-CN"/>
              </w:rPr>
              <m:t>N</m:t>
            </m:r>
          </m:e>
          <m:sub>
            <m:r>
              <w:rPr>
                <w:rFonts w:ascii="Cambria Math" w:cs="Arial"/>
                <w:lang w:eastAsia="zh-CN"/>
              </w:rPr>
              <m:t>3</m:t>
            </m:r>
          </m:sub>
        </m:sSub>
      </m:oMath>
      <w:r w:rsidR="00C84B1F" w:rsidRPr="00B916EC">
        <w:rPr>
          <w:rFonts w:cs="Arial"/>
          <w:lang w:val="en-US" w:eastAsia="zh-CN"/>
        </w:rPr>
        <w:t xml:space="preserve"> is </w:t>
      </w:r>
      <w:r w:rsidR="001D0CF9">
        <w:rPr>
          <w:rFonts w:cs="Arial"/>
          <w:lang w:val="en-US" w:eastAsia="zh-CN"/>
        </w:rPr>
        <w:t xml:space="preserve">equal to </w:t>
      </w:r>
      <w:r w:rsidR="00320B8D">
        <w:rPr>
          <w:i/>
        </w:rPr>
        <w:t>maxPayloadSize</w:t>
      </w:r>
      <w:r w:rsidR="001D0CF9" w:rsidRPr="00127ADA">
        <w:rPr>
          <w:lang w:val="en-US"/>
        </w:rPr>
        <w:t xml:space="preserve"> </w:t>
      </w:r>
      <w:r w:rsidR="001D0CF9">
        <w:rPr>
          <w:lang w:val="en-US"/>
        </w:rPr>
        <w:t>if</w:t>
      </w:r>
      <w:r w:rsidR="00C84B1F" w:rsidRPr="00B916EC">
        <w:rPr>
          <w:rFonts w:cs="Arial"/>
          <w:lang w:val="en-US" w:eastAsia="zh-CN"/>
        </w:rPr>
        <w:t xml:space="preserve"> </w:t>
      </w:r>
      <w:r w:rsidR="00320B8D">
        <w:rPr>
          <w:i/>
        </w:rPr>
        <w:t>maxPayloadSize</w:t>
      </w:r>
      <w:r w:rsidR="00C84B1F" w:rsidRPr="00FD02B6">
        <w:rPr>
          <w:lang w:val="en-US"/>
        </w:rPr>
        <w:t xml:space="preserve"> </w:t>
      </w:r>
      <w:r w:rsidR="001D0CF9">
        <w:rPr>
          <w:lang w:val="en-US"/>
        </w:rPr>
        <w:t xml:space="preserve">is provided </w:t>
      </w:r>
      <w:r w:rsidR="00C84B1F">
        <w:rPr>
          <w:lang w:val="en-US"/>
        </w:rPr>
        <w:t xml:space="preserve">for the PUCCH resource set with </w:t>
      </w:r>
      <w:r w:rsidR="00C84B1F">
        <w:rPr>
          <w:i/>
        </w:rPr>
        <w:t>pucch</w:t>
      </w:r>
      <w:r w:rsidR="00C84B1F" w:rsidRPr="003E177F">
        <w:rPr>
          <w:i/>
        </w:rPr>
        <w:t>-</w:t>
      </w:r>
      <w:r w:rsidR="00C84B1F" w:rsidRPr="00FD02B6">
        <w:rPr>
          <w:i/>
        </w:rPr>
        <w:t xml:space="preserve">ResourceSetId </w:t>
      </w:r>
      <w:r w:rsidR="00C84B1F" w:rsidRPr="008E6A8A">
        <w:rPr>
          <w:lang w:val="en-US"/>
        </w:rPr>
        <w:t>= 2</w:t>
      </w:r>
      <w:r w:rsidR="001D0CF9">
        <w:rPr>
          <w:lang w:val="en-US"/>
        </w:rPr>
        <w:t xml:space="preserve">; otherwise </w:t>
      </w:r>
      <m:oMath>
        <m:sSub>
          <m:sSubPr>
            <m:ctrlPr>
              <w:rPr>
                <w:rFonts w:ascii="Cambria Math" w:hAnsi="Cambria Math" w:cs="Arial"/>
                <w:i/>
                <w:lang w:eastAsia="zh-CN"/>
              </w:rPr>
            </m:ctrlPr>
          </m:sSubPr>
          <m:e>
            <m:r>
              <w:rPr>
                <w:rFonts w:ascii="Cambria Math" w:cs="Arial"/>
                <w:lang w:eastAsia="zh-CN"/>
              </w:rPr>
              <m:t>N</m:t>
            </m:r>
          </m:e>
          <m:sub>
            <m:r>
              <w:rPr>
                <w:rFonts w:ascii="Cambria Math" w:cs="Arial"/>
                <w:lang w:eastAsia="zh-CN"/>
              </w:rPr>
              <m:t>3</m:t>
            </m:r>
          </m:sub>
        </m:sSub>
      </m:oMath>
      <w:r w:rsidR="00BC52C9">
        <w:rPr>
          <w:lang w:val="en-GB" w:eastAsia="zh-CN"/>
        </w:rPr>
        <w:t xml:space="preserve"> </w:t>
      </w:r>
      <w:r w:rsidR="001D0CF9">
        <w:rPr>
          <w:lang w:val="en-US"/>
        </w:rPr>
        <w:t>is equal to 1706</w:t>
      </w:r>
      <w:r w:rsidR="00D855F9" w:rsidRPr="00B916EC">
        <w:rPr>
          <w:rFonts w:cs="Arial"/>
          <w:lang w:val="en-US" w:eastAsia="zh-CN"/>
        </w:rPr>
        <w:t>, or</w:t>
      </w:r>
    </w:p>
    <w:p w14:paraId="1447184B" w14:textId="65F60287" w:rsidR="00385AE4" w:rsidRDefault="00611EFE" w:rsidP="00611EFE">
      <w:pPr>
        <w:pStyle w:val="B1"/>
      </w:pPr>
      <w:r>
        <w:rPr>
          <w:lang w:val="en-US"/>
        </w:rPr>
        <w:t>-</w:t>
      </w:r>
      <w:r>
        <w:rPr>
          <w:lang w:val="en-US"/>
        </w:rPr>
        <w:tab/>
      </w:r>
      <w:r w:rsidR="00C75D8C" w:rsidRPr="00B916EC">
        <w:rPr>
          <w:lang w:val="en-US"/>
        </w:rPr>
        <w:t>a fourth</w:t>
      </w:r>
      <w:r w:rsidR="00D855F9" w:rsidRPr="00B916EC">
        <w:rPr>
          <w:lang w:val="en-US"/>
        </w:rPr>
        <w:t xml:space="preserve"> set of PUCCH resources</w:t>
      </w:r>
      <w:r w:rsidR="00C84B1F" w:rsidRPr="00C84B1F">
        <w:rPr>
          <w:lang w:val="en-US"/>
        </w:rPr>
        <w:t xml:space="preserve"> </w:t>
      </w:r>
      <w:r w:rsidR="00C84B1F">
        <w:rPr>
          <w:lang w:val="en-US"/>
        </w:rPr>
        <w:t xml:space="preserve">with </w:t>
      </w:r>
      <w:r w:rsidR="00C84B1F">
        <w:rPr>
          <w:i/>
        </w:rPr>
        <w:t>pucch</w:t>
      </w:r>
      <w:r w:rsidR="00C84B1F" w:rsidRPr="003E177F">
        <w:rPr>
          <w:i/>
        </w:rPr>
        <w:t>-</w:t>
      </w:r>
      <w:r w:rsidR="00C84B1F" w:rsidRPr="00FD02B6">
        <w:rPr>
          <w:i/>
        </w:rPr>
        <w:t xml:space="preserve">ResourceSetId </w:t>
      </w:r>
      <w:r w:rsidR="00C84B1F" w:rsidRPr="008E6A8A">
        <w:rPr>
          <w:lang w:val="en-US"/>
        </w:rPr>
        <w:t>= 3</w:t>
      </w:r>
      <w:r w:rsidR="00C84B1F" w:rsidRPr="00B916EC">
        <w:rPr>
          <w:lang w:val="en-US"/>
        </w:rPr>
        <w:t xml:space="preserve">, if </w:t>
      </w:r>
      <w:r w:rsidR="00C84B1F">
        <w:rPr>
          <w:lang w:val="en-US"/>
        </w:rPr>
        <w:t>provided by higher layers</w:t>
      </w:r>
      <w:r w:rsidR="00C84B1F" w:rsidRPr="00B916EC">
        <w:rPr>
          <w:lang w:val="en-US"/>
        </w:rPr>
        <w:t xml:space="preserve">, if </w:t>
      </w:r>
      <m:oMath>
        <m:sSub>
          <m:sSubPr>
            <m:ctrlPr>
              <w:rPr>
                <w:rFonts w:ascii="Cambria Math" w:hAnsi="Cambria Math" w:cs="Arial"/>
                <w:i/>
                <w:lang w:eastAsia="zh-CN"/>
              </w:rPr>
            </m:ctrlPr>
          </m:sSubPr>
          <m:e>
            <m:sSub>
              <m:sSubPr>
                <m:ctrlPr>
                  <w:rPr>
                    <w:rFonts w:ascii="Cambria Math" w:hAnsi="Cambria Math" w:cs="Arial"/>
                    <w:i/>
                    <w:lang w:eastAsia="zh-CN"/>
                  </w:rPr>
                </m:ctrlPr>
              </m:sSubPr>
              <m:e>
                <m:r>
                  <w:rPr>
                    <w:rFonts w:ascii="Cambria Math" w:cs="Arial"/>
                    <w:lang w:eastAsia="zh-CN"/>
                  </w:rPr>
                  <m:t>N</m:t>
                </m:r>
              </m:e>
              <m:sub>
                <m:r>
                  <w:rPr>
                    <w:rFonts w:ascii="Cambria Math" w:cs="Arial"/>
                    <w:lang w:eastAsia="zh-CN"/>
                  </w:rPr>
                  <m:t>3</m:t>
                </m:r>
              </m:sub>
            </m:sSub>
            <m:r>
              <w:rPr>
                <w:rFonts w:ascii="Cambria Math" w:cs="Arial"/>
                <w:lang w:eastAsia="zh-CN"/>
              </w:rPr>
              <m:t>&lt;O</m:t>
            </m:r>
          </m:e>
          <m:sub>
            <m:r>
              <m:rPr>
                <m:nor/>
              </m:rPr>
              <w:rPr>
                <w:rFonts w:ascii="Cambria Math" w:cs="Arial"/>
                <w:lang w:eastAsia="zh-CN"/>
              </w:rPr>
              <m:t>UCI</m:t>
            </m:r>
            <m:ctrlPr>
              <w:rPr>
                <w:rFonts w:ascii="Cambria Math" w:hAnsi="Cambria Math" w:cs="Arial"/>
                <w:lang w:eastAsia="zh-CN"/>
              </w:rPr>
            </m:ctrlPr>
          </m:sub>
        </m:sSub>
        <m:r>
          <w:rPr>
            <w:rFonts w:ascii="Cambria Math" w:cs="Arial"/>
            <w:lang w:eastAsia="zh-CN"/>
          </w:rPr>
          <m:t>≤</m:t>
        </m:r>
        <m:r>
          <w:rPr>
            <w:rFonts w:ascii="Cambria Math" w:hAnsi="Cambria Math" w:cs="Arial"/>
            <w:lang w:eastAsia="zh-CN"/>
          </w:rPr>
          <m:t>1706</m:t>
        </m:r>
      </m:oMath>
      <w:r w:rsidR="00D855F9" w:rsidRPr="00B916EC">
        <w:rPr>
          <w:rFonts w:cs="Arial"/>
          <w:lang w:val="en-US" w:eastAsia="zh-CN"/>
        </w:rPr>
        <w:t>.</w:t>
      </w:r>
      <w:r w:rsidR="007D5A3F">
        <w:t xml:space="preserve"> </w:t>
      </w:r>
    </w:p>
    <w:p w14:paraId="4D43BCA5" w14:textId="3EED6E35" w:rsidR="00CD6C41" w:rsidRDefault="00CD6C41" w:rsidP="00CD6C41">
      <w:r>
        <w:lastRenderedPageBreak/>
        <w:t xml:space="preserve">If the UE is provided </w:t>
      </w:r>
      <w:r w:rsidR="004B577B" w:rsidRPr="00634BCB">
        <w:rPr>
          <w:rFonts w:eastAsia="Gulim"/>
          <w:i/>
          <w:iCs/>
        </w:rPr>
        <w:t>SPS-PUCCH-AN-List</w:t>
      </w:r>
      <w:r>
        <w:t xml:space="preserve"> and transmits </w:t>
      </w:r>
      <m:oMath>
        <m:sSub>
          <m:sSubPr>
            <m:ctrlPr>
              <w:rPr>
                <w:rFonts w:ascii="Cambria Math" w:hAnsi="Cambria Math"/>
                <w:i/>
              </w:rPr>
            </m:ctrlPr>
          </m:sSubPr>
          <m:e>
            <m:r>
              <w:rPr>
                <w:rFonts w:ascii="Cambria Math"/>
              </w:rPr>
              <m:t>O</m:t>
            </m:r>
          </m:e>
          <m:sub>
            <m:r>
              <m:rPr>
                <m:nor/>
              </m:rPr>
              <w:rPr>
                <w:rFonts w:ascii="Cambria Math"/>
              </w:rPr>
              <m:t>UCI</m:t>
            </m:r>
            <m:ctrlPr>
              <w:rPr>
                <w:rFonts w:ascii="Cambria Math" w:hAnsi="Cambria Math"/>
              </w:rPr>
            </m:ctrlPr>
          </m:sub>
        </m:sSub>
      </m:oMath>
      <w:r>
        <w:t xml:space="preserve"> UCI information bits that include only HARQ-ACK information bits in response to one or more SPS PDSCH receptions</w:t>
      </w:r>
      <w:r w:rsidR="00391714">
        <w:t xml:space="preserve"> and SR, if any</w:t>
      </w:r>
      <w:r>
        <w:t xml:space="preserve">, the UE determines a PUCCH resource to be </w:t>
      </w:r>
    </w:p>
    <w:p w14:paraId="4F1E03AD" w14:textId="5F323001" w:rsidR="00F73F07" w:rsidRDefault="00F73F07" w:rsidP="00F73F07">
      <w:pPr>
        <w:pStyle w:val="B1"/>
      </w:pPr>
      <w:r>
        <w:rPr>
          <w:lang w:val="en-US"/>
        </w:rPr>
        <w:t>-</w:t>
      </w:r>
      <w:r>
        <w:rPr>
          <w:lang w:val="en-US"/>
        </w:rPr>
        <w:tab/>
        <w:t>a</w:t>
      </w:r>
      <w:r>
        <w:t xml:space="preserve"> PUCCH resource </w:t>
      </w:r>
      <w:r>
        <w:rPr>
          <w:lang w:val="en-US"/>
        </w:rPr>
        <w:t xml:space="preserve">provided by </w:t>
      </w:r>
      <w:r>
        <w:rPr>
          <w:i/>
          <w:iCs/>
          <w:lang w:val="en-US"/>
        </w:rPr>
        <w:t>sps-PUCCH-AN-ResourceID</w:t>
      </w:r>
      <w:r>
        <w:rPr>
          <w:lang w:val="en-US"/>
        </w:rPr>
        <w:t xml:space="preserve"> </w:t>
      </w:r>
      <w:r w:rsidRPr="005D1C39">
        <w:t xml:space="preserve">obtained from the first entry in </w:t>
      </w:r>
      <w:r w:rsidRPr="005D1C39">
        <w:rPr>
          <w:i/>
          <w:iCs/>
        </w:rPr>
        <w:t>sps</w:t>
      </w:r>
      <w:r w:rsidRPr="005D1C39">
        <w:rPr>
          <w:i/>
        </w:rPr>
        <w:t xml:space="preserve">-PUCCH-AN-List </w:t>
      </w:r>
      <w:r>
        <w:t xml:space="preserve">if </w:t>
      </w:r>
      <m:oMath>
        <m:sSub>
          <m:sSubPr>
            <m:ctrlPr>
              <w:rPr>
                <w:rFonts w:ascii="Cambria Math" w:hAnsi="Cambria Math" w:cs="Arial"/>
                <w:i/>
                <w:lang w:eastAsia="zh-CN"/>
              </w:rPr>
            </m:ctrlPr>
          </m:sSubPr>
          <m:e>
            <m:r>
              <w:rPr>
                <w:rFonts w:ascii="Cambria Math" w:cs="Arial"/>
                <w:lang w:eastAsia="zh-CN"/>
              </w:rPr>
              <m:t>O</m:t>
            </m:r>
          </m:e>
          <m:sub>
            <m:r>
              <m:rPr>
                <m:nor/>
              </m:rPr>
              <w:rPr>
                <w:rFonts w:ascii="Cambria Math" w:cs="Arial"/>
                <w:lang w:eastAsia="zh-CN"/>
              </w:rPr>
              <m:t>UCI</m:t>
            </m:r>
            <m:ctrlPr>
              <w:rPr>
                <w:rFonts w:ascii="Cambria Math" w:hAnsi="Cambria Math" w:cs="Arial"/>
                <w:lang w:eastAsia="zh-CN"/>
              </w:rPr>
            </m:ctrlPr>
          </m:sub>
        </m:sSub>
        <m:r>
          <w:rPr>
            <w:rFonts w:ascii="Cambria Math" w:cs="Arial"/>
            <w:lang w:eastAsia="zh-CN"/>
          </w:rPr>
          <m:t>≤</m:t>
        </m:r>
        <m:r>
          <w:rPr>
            <w:rFonts w:ascii="Cambria Math" w:cs="Arial"/>
            <w:lang w:eastAsia="zh-CN"/>
          </w:rPr>
          <m:t>2</m:t>
        </m:r>
      </m:oMath>
      <w:r w:rsidR="00391714">
        <w:rPr>
          <w:lang w:val="en-US" w:eastAsia="zh-CN"/>
        </w:rPr>
        <w:t xml:space="preserve"> </w:t>
      </w:r>
      <w:r w:rsidR="00391714">
        <w:rPr>
          <w:rFonts w:cs="Arial"/>
          <w:lang w:val="en-US" w:eastAsia="zh-CN"/>
        </w:rPr>
        <w:t>including 1 or 2 HARQ-ACK information bits and a positive or negative SR on one SR transmission occasion if transmission of HARQ-ACK information and SR occurs simultaneously</w:t>
      </w:r>
      <w:r>
        <w:rPr>
          <w:rFonts w:cs="Arial"/>
          <w:lang w:val="en-US" w:eastAsia="zh-CN"/>
        </w:rPr>
        <w:t>, or</w:t>
      </w:r>
    </w:p>
    <w:p w14:paraId="4D7FE208" w14:textId="6BFA7065" w:rsidR="00F73F07" w:rsidRDefault="00F73F07" w:rsidP="00F73F07">
      <w:pPr>
        <w:pStyle w:val="B1"/>
      </w:pPr>
      <w:r>
        <w:rPr>
          <w:lang w:val="en-US"/>
        </w:rPr>
        <w:t>-</w:t>
      </w:r>
      <w:r>
        <w:rPr>
          <w:lang w:val="en-US"/>
        </w:rPr>
        <w:tab/>
        <w:t>a</w:t>
      </w:r>
      <w:r>
        <w:t xml:space="preserve"> PUCCH resource </w:t>
      </w:r>
      <w:r>
        <w:rPr>
          <w:lang w:val="en-US"/>
        </w:rPr>
        <w:t xml:space="preserve">provided by </w:t>
      </w:r>
      <w:r>
        <w:rPr>
          <w:i/>
          <w:iCs/>
          <w:lang w:val="en-US"/>
        </w:rPr>
        <w:t>sps-PUCCH-AN-ResourceID</w:t>
      </w:r>
      <w:r>
        <w:rPr>
          <w:lang w:val="en-US"/>
        </w:rPr>
        <w:t xml:space="preserve"> </w:t>
      </w:r>
      <w:r w:rsidRPr="005D1C39">
        <w:t xml:space="preserve">obtained from the </w:t>
      </w:r>
      <w:r>
        <w:rPr>
          <w:lang w:val="en-US"/>
        </w:rPr>
        <w:t>second</w:t>
      </w:r>
      <w:r w:rsidRPr="005D1C39">
        <w:t xml:space="preserve"> entry in </w:t>
      </w:r>
      <w:r w:rsidRPr="005D1C39">
        <w:rPr>
          <w:i/>
          <w:iCs/>
        </w:rPr>
        <w:t>sps</w:t>
      </w:r>
      <w:r w:rsidRPr="005D1C39">
        <w:rPr>
          <w:i/>
        </w:rPr>
        <w:t>-PUCCH-AN-List</w:t>
      </w:r>
      <w:r>
        <w:rPr>
          <w:lang w:val="en-US"/>
        </w:rPr>
        <w:t xml:space="preserve">, if provided, if </w:t>
      </w:r>
      <m:oMath>
        <m:r>
          <w:rPr>
            <w:rFonts w:ascii="Cambria Math" w:cs="Arial"/>
            <w:lang w:eastAsia="zh-CN"/>
          </w:rPr>
          <m:t>2&lt;</m:t>
        </m:r>
        <m:sSub>
          <m:sSubPr>
            <m:ctrlPr>
              <w:rPr>
                <w:rFonts w:ascii="Cambria Math" w:hAnsi="Cambria Math" w:cs="Arial"/>
                <w:i/>
                <w:lang w:eastAsia="zh-CN"/>
              </w:rPr>
            </m:ctrlPr>
          </m:sSubPr>
          <m:e>
            <m:r>
              <w:rPr>
                <w:rFonts w:ascii="Cambria Math" w:cs="Arial"/>
                <w:lang w:eastAsia="zh-CN"/>
              </w:rPr>
              <m:t>O</m:t>
            </m:r>
          </m:e>
          <m:sub>
            <m:r>
              <m:rPr>
                <m:nor/>
              </m:rPr>
              <w:rPr>
                <w:rFonts w:ascii="Cambria Math" w:cs="Arial"/>
                <w:lang w:eastAsia="zh-CN"/>
              </w:rPr>
              <m:t>UCI</m:t>
            </m:r>
            <m:ctrlPr>
              <w:rPr>
                <w:rFonts w:ascii="Cambria Math" w:hAnsi="Cambria Math" w:cs="Arial"/>
                <w:lang w:eastAsia="zh-CN"/>
              </w:rPr>
            </m:ctrlPr>
          </m:sub>
        </m:sSub>
        <m:r>
          <w:rPr>
            <w:rFonts w:ascii="Cambria Math" w:cs="Arial"/>
            <w:lang w:eastAsia="zh-CN"/>
          </w:rPr>
          <m:t>≤</m:t>
        </m:r>
        <m:sSub>
          <m:sSubPr>
            <m:ctrlPr>
              <w:rPr>
                <w:rFonts w:ascii="Cambria Math" w:hAnsi="Cambria Math" w:cs="Arial"/>
                <w:i/>
                <w:lang w:eastAsia="zh-CN"/>
              </w:rPr>
            </m:ctrlPr>
          </m:sSubPr>
          <m:e>
            <m:r>
              <w:rPr>
                <w:rFonts w:ascii="Cambria Math" w:cs="Arial"/>
                <w:lang w:eastAsia="zh-CN"/>
              </w:rPr>
              <m:t>N</m:t>
            </m:r>
          </m:e>
          <m:sub>
            <m:r>
              <w:rPr>
                <w:rFonts w:ascii="Cambria Math" w:cs="Arial"/>
                <w:lang w:eastAsia="zh-CN"/>
              </w:rPr>
              <m:t>1,SPS</m:t>
            </m:r>
          </m:sub>
        </m:sSub>
      </m:oMath>
      <w:r>
        <w:rPr>
          <w:rFonts w:cs="Arial"/>
          <w:lang w:val="en-US" w:eastAsia="zh-CN"/>
        </w:rPr>
        <w:t xml:space="preserve"> where </w:t>
      </w:r>
      <m:oMath>
        <m:sSub>
          <m:sSubPr>
            <m:ctrlPr>
              <w:rPr>
                <w:rFonts w:ascii="Cambria Math" w:hAnsi="Cambria Math" w:cs="Arial"/>
                <w:i/>
                <w:lang w:eastAsia="zh-CN"/>
              </w:rPr>
            </m:ctrlPr>
          </m:sSubPr>
          <m:e>
            <m:r>
              <w:rPr>
                <w:rFonts w:ascii="Cambria Math" w:cs="Arial"/>
                <w:lang w:eastAsia="zh-CN"/>
              </w:rPr>
              <m:t>N</m:t>
            </m:r>
          </m:e>
          <m:sub>
            <m:r>
              <w:rPr>
                <w:rFonts w:ascii="Cambria Math" w:cs="Arial"/>
                <w:lang w:eastAsia="zh-CN"/>
              </w:rPr>
              <m:t>1,SPS</m:t>
            </m:r>
          </m:sub>
        </m:sSub>
      </m:oMath>
      <w:r>
        <w:rPr>
          <w:rFonts w:cs="Arial"/>
          <w:lang w:val="en-US" w:eastAsia="zh-CN"/>
        </w:rPr>
        <w:t xml:space="preserve"> is either provided by </w:t>
      </w:r>
      <w:r>
        <w:rPr>
          <w:i/>
        </w:rPr>
        <w:t>maxPayload</w:t>
      </w:r>
      <w:r>
        <w:rPr>
          <w:i/>
          <w:lang w:val="en-US"/>
        </w:rPr>
        <w:t>Size</w:t>
      </w:r>
      <w:r>
        <w:rPr>
          <w:lang w:val="en-US"/>
        </w:rPr>
        <w:t xml:space="preserve"> </w:t>
      </w:r>
      <w:r w:rsidRPr="005D1C39">
        <w:t xml:space="preserve">obtained from the </w:t>
      </w:r>
      <w:r>
        <w:rPr>
          <w:lang w:val="en-US"/>
        </w:rPr>
        <w:t>second</w:t>
      </w:r>
      <w:r w:rsidRPr="005D1C39">
        <w:t xml:space="preserve"> entry </w:t>
      </w:r>
      <w:r>
        <w:rPr>
          <w:lang w:val="en-US"/>
        </w:rPr>
        <w:t>in</w:t>
      </w:r>
      <w:r>
        <w:rPr>
          <w:rFonts w:cs="Arial"/>
          <w:lang w:val="en-US" w:eastAsia="zh-CN"/>
        </w:rPr>
        <w:t xml:space="preserve"> </w:t>
      </w:r>
      <w:r>
        <w:rPr>
          <w:i/>
          <w:iCs/>
          <w:lang w:val="en-US"/>
        </w:rPr>
        <w:t>sps-PUCCH-AN-List</w:t>
      </w:r>
      <w:r>
        <w:rPr>
          <w:lang w:val="en-US"/>
        </w:rPr>
        <w:t xml:space="preserve"> or is otherwise</w:t>
      </w:r>
      <w:r>
        <w:rPr>
          <w:rFonts w:cs="Arial"/>
          <w:lang w:val="en-US" w:eastAsia="zh-CN"/>
        </w:rPr>
        <w:t xml:space="preserve"> equal to 1706, or</w:t>
      </w:r>
    </w:p>
    <w:p w14:paraId="3E0F331C" w14:textId="2D537061" w:rsidR="00F73F07" w:rsidRDefault="00F73F07" w:rsidP="00F73F07">
      <w:pPr>
        <w:pStyle w:val="B1"/>
        <w:rPr>
          <w:rFonts w:cs="Arial"/>
          <w:lang w:val="en-US" w:eastAsia="zh-CN"/>
        </w:rPr>
      </w:pPr>
      <w:r>
        <w:rPr>
          <w:lang w:val="en-US"/>
        </w:rPr>
        <w:t>-</w:t>
      </w:r>
      <w:r>
        <w:rPr>
          <w:lang w:val="en-US"/>
        </w:rPr>
        <w:tab/>
        <w:t>a</w:t>
      </w:r>
      <w:r>
        <w:t xml:space="preserve"> PUCCH resource </w:t>
      </w:r>
      <w:r>
        <w:rPr>
          <w:lang w:val="en-US"/>
        </w:rPr>
        <w:t xml:space="preserve">provided by </w:t>
      </w:r>
      <w:r>
        <w:rPr>
          <w:i/>
          <w:iCs/>
          <w:lang w:val="en-US"/>
        </w:rPr>
        <w:t>sps-PUCCH-AN-ResourceID</w:t>
      </w:r>
      <w:r>
        <w:rPr>
          <w:lang w:val="en-US"/>
        </w:rPr>
        <w:t xml:space="preserve"> </w:t>
      </w:r>
      <w:r w:rsidRPr="005D1C39">
        <w:t xml:space="preserve">obtained from the </w:t>
      </w:r>
      <w:r>
        <w:rPr>
          <w:lang w:val="en-US"/>
        </w:rPr>
        <w:t>third</w:t>
      </w:r>
      <w:r w:rsidRPr="005D1C39">
        <w:t xml:space="preserve"> entry in </w:t>
      </w:r>
      <w:r w:rsidRPr="005D1C39">
        <w:rPr>
          <w:i/>
          <w:iCs/>
        </w:rPr>
        <w:t>sps</w:t>
      </w:r>
      <w:r w:rsidRPr="005D1C39">
        <w:rPr>
          <w:i/>
        </w:rPr>
        <w:t>-PUCCH-AN-List</w:t>
      </w:r>
      <w:r>
        <w:rPr>
          <w:lang w:val="en-US"/>
        </w:rPr>
        <w:t xml:space="preserve">, if provided, if </w:t>
      </w:r>
      <m:oMath>
        <m:sSub>
          <m:sSubPr>
            <m:ctrlPr>
              <w:rPr>
                <w:rFonts w:ascii="Cambria Math" w:hAnsi="Cambria Math" w:cs="Arial"/>
                <w:i/>
                <w:lang w:eastAsia="zh-CN"/>
              </w:rPr>
            </m:ctrlPr>
          </m:sSubPr>
          <m:e>
            <m:r>
              <w:rPr>
                <w:rFonts w:ascii="Cambria Math" w:cs="Arial"/>
                <w:lang w:eastAsia="zh-CN"/>
              </w:rPr>
              <m:t>N</m:t>
            </m:r>
          </m:e>
          <m:sub>
            <m:r>
              <w:rPr>
                <w:rFonts w:ascii="Cambria Math" w:cs="Arial"/>
                <w:lang w:eastAsia="zh-CN"/>
              </w:rPr>
              <m:t>1,SPS</m:t>
            </m:r>
          </m:sub>
        </m:sSub>
        <m:r>
          <w:rPr>
            <w:rFonts w:ascii="Cambria Math" w:cs="Arial"/>
            <w:lang w:eastAsia="zh-CN"/>
          </w:rPr>
          <m:t>&lt;</m:t>
        </m:r>
        <m:sSub>
          <m:sSubPr>
            <m:ctrlPr>
              <w:rPr>
                <w:rFonts w:ascii="Cambria Math" w:hAnsi="Cambria Math" w:cs="Arial"/>
                <w:i/>
                <w:lang w:eastAsia="zh-CN"/>
              </w:rPr>
            </m:ctrlPr>
          </m:sSubPr>
          <m:e>
            <m:r>
              <w:rPr>
                <w:rFonts w:ascii="Cambria Math" w:cs="Arial"/>
                <w:lang w:eastAsia="zh-CN"/>
              </w:rPr>
              <m:t>O</m:t>
            </m:r>
          </m:e>
          <m:sub>
            <m:r>
              <m:rPr>
                <m:nor/>
              </m:rPr>
              <w:rPr>
                <w:rFonts w:ascii="Cambria Math" w:cs="Arial"/>
                <w:lang w:eastAsia="zh-CN"/>
              </w:rPr>
              <m:t>UCI</m:t>
            </m:r>
            <m:ctrlPr>
              <w:rPr>
                <w:rFonts w:ascii="Cambria Math" w:hAnsi="Cambria Math" w:cs="Arial"/>
                <w:lang w:eastAsia="zh-CN"/>
              </w:rPr>
            </m:ctrlPr>
          </m:sub>
        </m:sSub>
        <m:r>
          <w:rPr>
            <w:rFonts w:ascii="Cambria Math" w:cs="Arial"/>
            <w:lang w:eastAsia="zh-CN"/>
          </w:rPr>
          <m:t>≤</m:t>
        </m:r>
        <m:sSub>
          <m:sSubPr>
            <m:ctrlPr>
              <w:rPr>
                <w:rFonts w:ascii="Cambria Math" w:hAnsi="Cambria Math" w:cs="Arial"/>
                <w:i/>
                <w:lang w:eastAsia="zh-CN"/>
              </w:rPr>
            </m:ctrlPr>
          </m:sSubPr>
          <m:e>
            <m:r>
              <w:rPr>
                <w:rFonts w:ascii="Cambria Math" w:cs="Arial"/>
                <w:lang w:eastAsia="zh-CN"/>
              </w:rPr>
              <m:t>N</m:t>
            </m:r>
          </m:e>
          <m:sub>
            <m:r>
              <w:rPr>
                <w:rFonts w:ascii="Cambria Math" w:cs="Arial"/>
                <w:lang w:eastAsia="zh-CN"/>
              </w:rPr>
              <m:t>2,SPS</m:t>
            </m:r>
          </m:sub>
        </m:sSub>
      </m:oMath>
      <w:r>
        <w:rPr>
          <w:rFonts w:cs="Arial"/>
          <w:lang w:val="en-US" w:eastAsia="zh-CN"/>
        </w:rPr>
        <w:t xml:space="preserve"> where </w:t>
      </w:r>
      <m:oMath>
        <m:sSub>
          <m:sSubPr>
            <m:ctrlPr>
              <w:rPr>
                <w:rFonts w:ascii="Cambria Math" w:hAnsi="Cambria Math" w:cs="Arial"/>
                <w:i/>
                <w:lang w:eastAsia="zh-CN"/>
              </w:rPr>
            </m:ctrlPr>
          </m:sSubPr>
          <m:e>
            <m:r>
              <w:rPr>
                <w:rFonts w:ascii="Cambria Math" w:cs="Arial"/>
                <w:lang w:eastAsia="zh-CN"/>
              </w:rPr>
              <m:t>N</m:t>
            </m:r>
          </m:e>
          <m:sub>
            <m:r>
              <w:rPr>
                <w:rFonts w:ascii="Cambria Math" w:cs="Arial"/>
                <w:lang w:eastAsia="zh-CN"/>
              </w:rPr>
              <m:t>2,SPS</m:t>
            </m:r>
          </m:sub>
        </m:sSub>
      </m:oMath>
      <w:r>
        <w:rPr>
          <w:rFonts w:cs="Arial"/>
          <w:lang w:val="en-US" w:eastAsia="zh-CN"/>
        </w:rPr>
        <w:t xml:space="preserve"> is either provided by </w:t>
      </w:r>
      <w:r>
        <w:rPr>
          <w:i/>
        </w:rPr>
        <w:t>maxPayload</w:t>
      </w:r>
      <w:r>
        <w:rPr>
          <w:i/>
          <w:lang w:val="en-US"/>
        </w:rPr>
        <w:t>Size</w:t>
      </w:r>
      <w:r>
        <w:rPr>
          <w:lang w:val="en-US"/>
        </w:rPr>
        <w:t xml:space="preserve"> </w:t>
      </w:r>
      <w:r w:rsidRPr="005D1C39">
        <w:t xml:space="preserve">obtained from the </w:t>
      </w:r>
      <w:r>
        <w:rPr>
          <w:lang w:val="en-US"/>
        </w:rPr>
        <w:t>third</w:t>
      </w:r>
      <w:r w:rsidRPr="005D1C39">
        <w:t xml:space="preserve"> entry </w:t>
      </w:r>
      <w:r>
        <w:rPr>
          <w:lang w:val="en-US"/>
        </w:rPr>
        <w:t>in</w:t>
      </w:r>
      <w:r>
        <w:rPr>
          <w:rFonts w:cs="Arial"/>
          <w:lang w:val="en-US" w:eastAsia="zh-CN"/>
        </w:rPr>
        <w:t xml:space="preserve"> </w:t>
      </w:r>
      <w:r>
        <w:rPr>
          <w:i/>
          <w:iCs/>
          <w:lang w:val="en-US"/>
        </w:rPr>
        <w:t>sps-PUCCH-AN-List</w:t>
      </w:r>
      <w:r>
        <w:rPr>
          <w:lang w:val="en-US"/>
        </w:rPr>
        <w:t xml:space="preserve"> or is otherwise</w:t>
      </w:r>
      <w:r>
        <w:rPr>
          <w:rFonts w:cs="Arial"/>
          <w:lang w:val="en-US" w:eastAsia="zh-CN"/>
        </w:rPr>
        <w:t xml:space="preserve"> equal to 1706, or</w:t>
      </w:r>
    </w:p>
    <w:p w14:paraId="682889B8" w14:textId="0337990C" w:rsidR="00F73F07" w:rsidRPr="00B916EC" w:rsidRDefault="00F73F07" w:rsidP="00F73F07">
      <w:pPr>
        <w:pStyle w:val="B1"/>
      </w:pPr>
      <w:r>
        <w:rPr>
          <w:lang w:val="en-US"/>
        </w:rPr>
        <w:t>-</w:t>
      </w:r>
      <w:r>
        <w:rPr>
          <w:lang w:val="en-US"/>
        </w:rPr>
        <w:tab/>
        <w:t>a</w:t>
      </w:r>
      <w:r>
        <w:t xml:space="preserve"> PUCCH resource </w:t>
      </w:r>
      <w:r>
        <w:rPr>
          <w:lang w:val="en-US"/>
        </w:rPr>
        <w:t xml:space="preserve">provided by </w:t>
      </w:r>
      <w:r>
        <w:rPr>
          <w:i/>
          <w:iCs/>
          <w:lang w:val="en-US"/>
        </w:rPr>
        <w:t>sps-PUCCH-AN-ResourceID</w:t>
      </w:r>
      <w:r>
        <w:rPr>
          <w:lang w:val="en-US"/>
        </w:rPr>
        <w:t xml:space="preserve"> </w:t>
      </w:r>
      <w:r w:rsidRPr="005D1C39">
        <w:t xml:space="preserve">obtained from the </w:t>
      </w:r>
      <w:r>
        <w:rPr>
          <w:lang w:val="en-US"/>
        </w:rPr>
        <w:t>fourth</w:t>
      </w:r>
      <w:r w:rsidRPr="005D1C39">
        <w:t xml:space="preserve"> entry in </w:t>
      </w:r>
      <w:r w:rsidRPr="005D1C39">
        <w:rPr>
          <w:i/>
          <w:iCs/>
        </w:rPr>
        <w:t>sps</w:t>
      </w:r>
      <w:r w:rsidRPr="005D1C39">
        <w:rPr>
          <w:i/>
        </w:rPr>
        <w:t>-PUCCH-AN-List</w:t>
      </w:r>
      <w:r>
        <w:rPr>
          <w:lang w:val="en-US"/>
        </w:rPr>
        <w:t xml:space="preserve">, if provided, if </w:t>
      </w:r>
      <m:oMath>
        <m:sSub>
          <m:sSubPr>
            <m:ctrlPr>
              <w:rPr>
                <w:rFonts w:ascii="Cambria Math" w:hAnsi="Cambria Math" w:cs="Arial"/>
                <w:i/>
                <w:sz w:val="24"/>
                <w:szCs w:val="24"/>
                <w:lang w:eastAsia="zh-CN"/>
              </w:rPr>
            </m:ctrlPr>
          </m:sSubPr>
          <m:e>
            <m:r>
              <w:rPr>
                <w:rFonts w:ascii="Cambria Math" w:cs="Arial"/>
                <w:lang w:eastAsia="zh-CN"/>
              </w:rPr>
              <m:t>N</m:t>
            </m:r>
          </m:e>
          <m:sub>
            <m:r>
              <w:rPr>
                <w:rFonts w:ascii="Cambria Math" w:cs="Arial"/>
                <w:lang w:eastAsia="zh-CN"/>
              </w:rPr>
              <m:t>2,SPS</m:t>
            </m:r>
          </m:sub>
        </m:sSub>
        <m:r>
          <w:rPr>
            <w:rFonts w:ascii="Cambria Math" w:cs="Arial"/>
            <w:lang w:eastAsia="zh-CN"/>
          </w:rPr>
          <m:t>&lt;</m:t>
        </m:r>
        <m:sSub>
          <m:sSubPr>
            <m:ctrlPr>
              <w:rPr>
                <w:rFonts w:ascii="Cambria Math" w:hAnsi="Cambria Math" w:cs="Arial"/>
                <w:i/>
                <w:sz w:val="24"/>
                <w:szCs w:val="24"/>
                <w:lang w:eastAsia="zh-CN"/>
              </w:rPr>
            </m:ctrlPr>
          </m:sSubPr>
          <m:e>
            <m:r>
              <w:rPr>
                <w:rFonts w:ascii="Cambria Math" w:cs="Arial"/>
                <w:lang w:eastAsia="zh-CN"/>
              </w:rPr>
              <m:t>O</m:t>
            </m:r>
          </m:e>
          <m:sub>
            <m:r>
              <m:rPr>
                <m:nor/>
              </m:rPr>
              <w:rPr>
                <w:rFonts w:ascii="Cambria Math" w:cs="Arial"/>
                <w:lang w:eastAsia="zh-CN"/>
              </w:rPr>
              <m:t>UCI</m:t>
            </m:r>
            <m:ctrlPr>
              <w:rPr>
                <w:rFonts w:ascii="Cambria Math" w:hAnsi="Cambria Math" w:cs="Arial"/>
                <w:sz w:val="24"/>
                <w:szCs w:val="24"/>
                <w:lang w:eastAsia="zh-CN"/>
              </w:rPr>
            </m:ctrlPr>
          </m:sub>
        </m:sSub>
        <m:r>
          <w:rPr>
            <w:rFonts w:ascii="Cambria Math" w:cs="Arial"/>
            <w:lang w:eastAsia="zh-CN"/>
          </w:rPr>
          <m:t>≤</m:t>
        </m:r>
        <m:sSub>
          <m:sSubPr>
            <m:ctrlPr>
              <w:rPr>
                <w:rFonts w:ascii="Cambria Math" w:hAnsi="Cambria Math" w:cs="Arial"/>
                <w:i/>
                <w:sz w:val="24"/>
                <w:szCs w:val="24"/>
                <w:lang w:eastAsia="zh-CN"/>
              </w:rPr>
            </m:ctrlPr>
          </m:sSubPr>
          <m:e>
            <m:r>
              <w:rPr>
                <w:rFonts w:ascii="Cambria Math" w:cs="Arial"/>
                <w:lang w:eastAsia="zh-CN"/>
              </w:rPr>
              <m:t>N</m:t>
            </m:r>
          </m:e>
          <m:sub>
            <m:r>
              <w:rPr>
                <w:rFonts w:ascii="Cambria Math" w:cs="Arial"/>
                <w:lang w:eastAsia="zh-CN"/>
              </w:rPr>
              <m:t>3,SPS</m:t>
            </m:r>
          </m:sub>
        </m:sSub>
      </m:oMath>
      <w:r>
        <w:rPr>
          <w:rFonts w:cs="Arial"/>
          <w:lang w:val="en-US" w:eastAsia="zh-CN"/>
        </w:rPr>
        <w:t xml:space="preserve"> where </w:t>
      </w:r>
      <m:oMath>
        <m:sSub>
          <m:sSubPr>
            <m:ctrlPr>
              <w:rPr>
                <w:rFonts w:ascii="Cambria Math" w:hAnsi="Cambria Math" w:cs="Arial"/>
                <w:i/>
                <w:sz w:val="24"/>
                <w:szCs w:val="24"/>
                <w:lang w:eastAsia="zh-CN"/>
              </w:rPr>
            </m:ctrlPr>
          </m:sSubPr>
          <m:e>
            <m:r>
              <w:rPr>
                <w:rFonts w:ascii="Cambria Math" w:cs="Arial"/>
                <w:lang w:eastAsia="zh-CN"/>
              </w:rPr>
              <m:t>N</m:t>
            </m:r>
          </m:e>
          <m:sub>
            <m:r>
              <w:rPr>
                <w:rFonts w:ascii="Cambria Math" w:cs="Arial"/>
                <w:lang w:eastAsia="zh-CN"/>
              </w:rPr>
              <m:t>3,SPS</m:t>
            </m:r>
          </m:sub>
        </m:sSub>
      </m:oMath>
      <w:r>
        <w:rPr>
          <w:rFonts w:cs="Arial"/>
          <w:lang w:val="en-US" w:eastAsia="zh-CN"/>
        </w:rPr>
        <w:t xml:space="preserve"> is equal to 1706.</w:t>
      </w:r>
    </w:p>
    <w:p w14:paraId="067BB623" w14:textId="77777777" w:rsidR="00BA0BE3" w:rsidRPr="00B916EC" w:rsidRDefault="00BA0BE3" w:rsidP="00BA0BE3">
      <w:pPr>
        <w:pStyle w:val="Heading3"/>
      </w:pPr>
      <w:bookmarkStart w:id="541" w:name="_Toc12021477"/>
      <w:bookmarkStart w:id="542" w:name="_Toc20311589"/>
      <w:bookmarkStart w:id="543" w:name="_Toc26719414"/>
      <w:bookmarkStart w:id="544" w:name="_Toc29894849"/>
      <w:bookmarkStart w:id="545" w:name="_Toc29899148"/>
      <w:bookmarkStart w:id="546" w:name="_Toc29899566"/>
      <w:bookmarkStart w:id="547" w:name="_Toc29917303"/>
      <w:bookmarkStart w:id="548" w:name="_Toc36498177"/>
      <w:bookmarkStart w:id="549" w:name="_Toc45699203"/>
      <w:bookmarkStart w:id="550" w:name="_Toc161999130"/>
      <w:bookmarkStart w:id="551" w:name="_Ref496790351"/>
      <w:bookmarkStart w:id="552" w:name="_Ref496790353"/>
      <w:bookmarkStart w:id="553" w:name="_Ref496969655"/>
      <w:bookmarkStart w:id="554" w:name="_Ref496969658"/>
      <w:r w:rsidRPr="00B916EC">
        <w:t>9.</w:t>
      </w:r>
      <w:r w:rsidR="006B73A1" w:rsidRPr="00B916EC">
        <w:t>2.2</w:t>
      </w:r>
      <w:r w:rsidRPr="00B916EC">
        <w:tab/>
        <w:t xml:space="preserve">PUCCH </w:t>
      </w:r>
      <w:r w:rsidR="0003637B" w:rsidRPr="00B916EC">
        <w:t>Formats for UCI transmission</w:t>
      </w:r>
      <w:bookmarkEnd w:id="541"/>
      <w:bookmarkEnd w:id="542"/>
      <w:bookmarkEnd w:id="543"/>
      <w:bookmarkEnd w:id="544"/>
      <w:bookmarkEnd w:id="545"/>
      <w:bookmarkEnd w:id="546"/>
      <w:bookmarkEnd w:id="547"/>
      <w:bookmarkEnd w:id="548"/>
      <w:bookmarkEnd w:id="549"/>
      <w:bookmarkEnd w:id="550"/>
    </w:p>
    <w:p w14:paraId="53071BBB" w14:textId="77777777" w:rsidR="00BA0BE3" w:rsidRPr="00B916EC" w:rsidRDefault="00BA0BE3" w:rsidP="00C84B1F">
      <w:r w:rsidRPr="00B916EC">
        <w:t xml:space="preserve">If a UE is not transmitting PUSCH, and the UE </w:t>
      </w:r>
      <w:r w:rsidR="006B73A1" w:rsidRPr="00B916EC">
        <w:t xml:space="preserve">is </w:t>
      </w:r>
      <w:r w:rsidRPr="00B916EC">
        <w:t>transmit</w:t>
      </w:r>
      <w:r w:rsidR="006B73A1" w:rsidRPr="00B916EC">
        <w:t>ting</w:t>
      </w:r>
      <w:r w:rsidRPr="00B916EC">
        <w:t xml:space="preserve"> </w:t>
      </w:r>
      <w:r w:rsidR="006B73A1" w:rsidRPr="00B916EC">
        <w:t>UCI</w:t>
      </w:r>
      <w:r w:rsidRPr="00B916EC">
        <w:t>, the UE transmit</w:t>
      </w:r>
      <w:r w:rsidR="00C84B1F">
        <w:t>s</w:t>
      </w:r>
      <w:r w:rsidRPr="00B916EC">
        <w:t xml:space="preserve"> </w:t>
      </w:r>
      <w:r w:rsidR="006B73A1" w:rsidRPr="00B916EC">
        <w:t>UCI</w:t>
      </w:r>
      <w:r w:rsidRPr="00B916EC">
        <w:t xml:space="preserve"> </w:t>
      </w:r>
      <w:r w:rsidR="00C84B1F">
        <w:t>in a PUCCH using</w:t>
      </w:r>
    </w:p>
    <w:p w14:paraId="52BFA58E" w14:textId="77777777" w:rsidR="00BA0BE3" w:rsidRPr="00B916EC" w:rsidRDefault="003E4990" w:rsidP="003E4990">
      <w:pPr>
        <w:pStyle w:val="B1"/>
      </w:pPr>
      <w:r>
        <w:t>-</w:t>
      </w:r>
      <w:r>
        <w:tab/>
      </w:r>
      <w:r w:rsidR="00BA0BE3" w:rsidRPr="00B916EC">
        <w:t xml:space="preserve">PUCCH format </w:t>
      </w:r>
      <w:r w:rsidR="00BA0BE3" w:rsidRPr="00B916EC">
        <w:rPr>
          <w:lang w:val="en-US"/>
        </w:rPr>
        <w:t xml:space="preserve">0 if </w:t>
      </w:r>
    </w:p>
    <w:p w14:paraId="1D3F2383" w14:textId="77777777" w:rsidR="00BA0BE3" w:rsidRPr="00B916EC" w:rsidRDefault="003E4990" w:rsidP="003E4990">
      <w:pPr>
        <w:pStyle w:val="B2"/>
      </w:pPr>
      <w:r>
        <w:t>-</w:t>
      </w:r>
      <w:r>
        <w:tab/>
      </w:r>
      <w:r w:rsidR="00BA0BE3" w:rsidRPr="00B916EC">
        <w:t>the transmission is over 1 symbol or 2 symbols,</w:t>
      </w:r>
    </w:p>
    <w:p w14:paraId="1A4213C9" w14:textId="77777777" w:rsidR="00BA0BE3" w:rsidRPr="00B916EC" w:rsidRDefault="003E4990" w:rsidP="003E4990">
      <w:pPr>
        <w:pStyle w:val="B2"/>
      </w:pPr>
      <w:r>
        <w:t>-</w:t>
      </w:r>
      <w:r>
        <w:tab/>
      </w:r>
      <w:r w:rsidR="00BA0BE3" w:rsidRPr="00B916EC">
        <w:t xml:space="preserve">the number of </w:t>
      </w:r>
      <w:r w:rsidR="00C979C2">
        <w:rPr>
          <w:lang w:val="en-US"/>
        </w:rPr>
        <w:t>HARQ-ACK information bits with positive or negative SR (HARQ-ACK/SR</w:t>
      </w:r>
      <w:r w:rsidR="00BA0BE3" w:rsidRPr="00B916EC">
        <w:t xml:space="preserve"> bits</w:t>
      </w:r>
      <w:r w:rsidR="00C979C2">
        <w:rPr>
          <w:lang w:val="en-US"/>
        </w:rPr>
        <w:t>)</w:t>
      </w:r>
      <w:r w:rsidR="00BA0BE3" w:rsidRPr="00B916EC">
        <w:t xml:space="preserve"> is 1 or 2</w:t>
      </w:r>
      <w:r w:rsidR="007D5A3F">
        <w:t xml:space="preserve"> </w:t>
      </w:r>
    </w:p>
    <w:p w14:paraId="73FDCC86" w14:textId="77777777" w:rsidR="00BA0BE3" w:rsidRPr="00B916EC" w:rsidRDefault="003E4990" w:rsidP="003E4990">
      <w:pPr>
        <w:pStyle w:val="B1"/>
      </w:pPr>
      <w:r>
        <w:t>-</w:t>
      </w:r>
      <w:r>
        <w:tab/>
      </w:r>
      <w:r w:rsidR="00BA0BE3" w:rsidRPr="00B916EC">
        <w:t xml:space="preserve">PUCCH format </w:t>
      </w:r>
      <w:r w:rsidR="00BA0BE3" w:rsidRPr="00B916EC">
        <w:rPr>
          <w:lang w:val="en-US"/>
        </w:rPr>
        <w:t xml:space="preserve">1 if </w:t>
      </w:r>
    </w:p>
    <w:p w14:paraId="6A9C2DF5" w14:textId="77777777" w:rsidR="00BA0BE3" w:rsidRPr="00B916EC" w:rsidRDefault="003E4990" w:rsidP="003E4990">
      <w:pPr>
        <w:pStyle w:val="B2"/>
      </w:pPr>
      <w:r>
        <w:t>-</w:t>
      </w:r>
      <w:r>
        <w:tab/>
      </w:r>
      <w:r w:rsidR="00BA0BE3" w:rsidRPr="00B916EC">
        <w:t>the transmission is over 4 or more symbols,</w:t>
      </w:r>
    </w:p>
    <w:p w14:paraId="049C04D2" w14:textId="77777777" w:rsidR="00BA0BE3" w:rsidRPr="00B916EC" w:rsidRDefault="003E4990" w:rsidP="003E4990">
      <w:pPr>
        <w:pStyle w:val="B2"/>
      </w:pPr>
      <w:r>
        <w:t>-</w:t>
      </w:r>
      <w:r>
        <w:tab/>
      </w:r>
      <w:r w:rsidR="00BA0BE3" w:rsidRPr="00B916EC">
        <w:t xml:space="preserve">the number of </w:t>
      </w:r>
      <w:r w:rsidR="00C979C2">
        <w:rPr>
          <w:lang w:val="en-US"/>
        </w:rPr>
        <w:t>HARQ-ACK/SR</w:t>
      </w:r>
      <w:r w:rsidR="00BA0BE3" w:rsidRPr="00B916EC">
        <w:t xml:space="preserve"> bits is 1 or 2</w:t>
      </w:r>
      <w:r w:rsidR="007D5A3F">
        <w:t xml:space="preserve"> </w:t>
      </w:r>
    </w:p>
    <w:p w14:paraId="7071A695" w14:textId="77777777" w:rsidR="00BA0BE3" w:rsidRPr="00B916EC" w:rsidRDefault="003E4990" w:rsidP="003E4990">
      <w:pPr>
        <w:pStyle w:val="B1"/>
      </w:pPr>
      <w:r>
        <w:t>-</w:t>
      </w:r>
      <w:r>
        <w:tab/>
      </w:r>
      <w:r w:rsidR="00BA0BE3" w:rsidRPr="00B916EC">
        <w:t xml:space="preserve">PUCCH format </w:t>
      </w:r>
      <w:r w:rsidR="00BA0BE3" w:rsidRPr="00B916EC">
        <w:rPr>
          <w:lang w:val="en-US"/>
        </w:rPr>
        <w:t xml:space="preserve">2 if </w:t>
      </w:r>
    </w:p>
    <w:p w14:paraId="5310881B" w14:textId="77777777" w:rsidR="00BA0BE3" w:rsidRPr="00B916EC" w:rsidRDefault="003E4990" w:rsidP="003E4990">
      <w:pPr>
        <w:pStyle w:val="B2"/>
      </w:pPr>
      <w:r>
        <w:t>-</w:t>
      </w:r>
      <w:r>
        <w:tab/>
      </w:r>
      <w:r w:rsidR="00BA0BE3" w:rsidRPr="00B916EC">
        <w:t>the transmission is over 1 symbol or 2 symbols,</w:t>
      </w:r>
    </w:p>
    <w:p w14:paraId="3C4255E4" w14:textId="210B4369" w:rsidR="00BA0BE3" w:rsidRDefault="003E4990" w:rsidP="003E4990">
      <w:pPr>
        <w:pStyle w:val="B2"/>
      </w:pPr>
      <w:r>
        <w:t>-</w:t>
      </w:r>
      <w:r>
        <w:tab/>
      </w:r>
      <w:r w:rsidR="00BA0BE3" w:rsidRPr="00B916EC">
        <w:t xml:space="preserve">the number of </w:t>
      </w:r>
      <w:r w:rsidR="006B73A1" w:rsidRPr="00B916EC">
        <w:t>UCI</w:t>
      </w:r>
      <w:r w:rsidR="00BA0BE3" w:rsidRPr="00B916EC">
        <w:t xml:space="preserve"> bits is more than 2</w:t>
      </w:r>
      <w:r w:rsidR="007D5A3F">
        <w:t xml:space="preserve"> </w:t>
      </w:r>
    </w:p>
    <w:p w14:paraId="57E5DCC0" w14:textId="77777777" w:rsidR="00BA0BE3" w:rsidRPr="00B916EC" w:rsidRDefault="003E4990" w:rsidP="003E4990">
      <w:pPr>
        <w:pStyle w:val="B1"/>
      </w:pPr>
      <w:r>
        <w:t>-</w:t>
      </w:r>
      <w:r>
        <w:tab/>
      </w:r>
      <w:r w:rsidR="00BA0BE3" w:rsidRPr="00B916EC">
        <w:t xml:space="preserve">PUCCH format </w:t>
      </w:r>
      <w:r w:rsidR="00BA0BE3" w:rsidRPr="00B916EC">
        <w:rPr>
          <w:lang w:val="en-US"/>
        </w:rPr>
        <w:t xml:space="preserve">3 if </w:t>
      </w:r>
    </w:p>
    <w:p w14:paraId="2852922F" w14:textId="77777777" w:rsidR="00BA0BE3" w:rsidRPr="00B916EC" w:rsidRDefault="003E4990" w:rsidP="003E4990">
      <w:pPr>
        <w:pStyle w:val="B2"/>
      </w:pPr>
      <w:r>
        <w:t>-</w:t>
      </w:r>
      <w:r>
        <w:tab/>
      </w:r>
      <w:r w:rsidR="00BA0BE3" w:rsidRPr="00B916EC">
        <w:t>the transmission is over 4 or more symbols,</w:t>
      </w:r>
    </w:p>
    <w:p w14:paraId="02BEE627" w14:textId="77777777" w:rsidR="00326178" w:rsidRDefault="003E4990" w:rsidP="00326178">
      <w:pPr>
        <w:pStyle w:val="B2"/>
      </w:pPr>
      <w:r>
        <w:t>-</w:t>
      </w:r>
      <w:r>
        <w:tab/>
      </w:r>
      <w:r w:rsidR="00BA0BE3" w:rsidRPr="00B916EC">
        <w:t xml:space="preserve">the number of </w:t>
      </w:r>
      <w:r w:rsidR="006B73A1" w:rsidRPr="00B916EC">
        <w:t>UCI</w:t>
      </w:r>
      <w:r w:rsidR="00BA0BE3" w:rsidRPr="00B916EC">
        <w:t xml:space="preserve"> bits is more than 2</w:t>
      </w:r>
      <w:r w:rsidR="00326178">
        <w:rPr>
          <w:lang w:val="en-US"/>
        </w:rPr>
        <w:t>,</w:t>
      </w:r>
      <w:r w:rsidR="00BA0BE3" w:rsidRPr="00B916EC">
        <w:t xml:space="preserve"> </w:t>
      </w:r>
    </w:p>
    <w:p w14:paraId="4B126704" w14:textId="77777777" w:rsidR="00062E1B" w:rsidRPr="002C2A97" w:rsidRDefault="00062E1B" w:rsidP="00062E1B">
      <w:pPr>
        <w:ind w:left="851" w:hanging="284"/>
        <w:rPr>
          <w:lang w:val="en-US"/>
        </w:rPr>
      </w:pPr>
      <w:r w:rsidRPr="002C2A97">
        <w:rPr>
          <w:lang w:val="en-US"/>
        </w:rPr>
        <w:t>-</w:t>
      </w:r>
      <w:r w:rsidRPr="002C2A97">
        <w:rPr>
          <w:lang w:val="en-US"/>
        </w:rPr>
        <w:tab/>
        <w:t>the PUCCH resource does not include an orthogonal cover code</w:t>
      </w:r>
      <w:r>
        <w:rPr>
          <w:lang w:val="en-US"/>
        </w:rPr>
        <w:t>,</w:t>
      </w:r>
      <w:r w:rsidRPr="002C2A97">
        <w:rPr>
          <w:lang w:val="en-US"/>
        </w:rPr>
        <w:t xml:space="preserve"> or the UE is provided </w:t>
      </w:r>
      <w:r w:rsidRPr="002C2A97">
        <w:rPr>
          <w:i/>
          <w:iCs/>
          <w:lang w:val="en-US"/>
        </w:rPr>
        <w:t>useInterlacePUCCH-PUSCH</w:t>
      </w:r>
      <w:r w:rsidRPr="002C2A97">
        <w:rPr>
          <w:lang w:val="en-US"/>
        </w:rPr>
        <w:t xml:space="preserve"> in </w:t>
      </w:r>
      <w:r w:rsidRPr="002C2A97">
        <w:rPr>
          <w:i/>
        </w:rPr>
        <w:t>BWP-UplinkDedicated</w:t>
      </w:r>
    </w:p>
    <w:p w14:paraId="60887F65" w14:textId="77777777" w:rsidR="006B73A1" w:rsidRPr="00B916EC" w:rsidRDefault="003E4990" w:rsidP="003E4990">
      <w:pPr>
        <w:pStyle w:val="B1"/>
      </w:pPr>
      <w:r>
        <w:t>-</w:t>
      </w:r>
      <w:r>
        <w:tab/>
      </w:r>
      <w:r w:rsidR="006B73A1" w:rsidRPr="00B916EC">
        <w:t xml:space="preserve">PUCCH format </w:t>
      </w:r>
      <w:r w:rsidR="006B73A1" w:rsidRPr="00B916EC">
        <w:rPr>
          <w:lang w:val="en-US"/>
        </w:rPr>
        <w:t xml:space="preserve">4 if </w:t>
      </w:r>
    </w:p>
    <w:p w14:paraId="6F8C2586" w14:textId="77777777" w:rsidR="006B73A1" w:rsidRPr="00B916EC" w:rsidRDefault="003E4990" w:rsidP="003E4990">
      <w:pPr>
        <w:pStyle w:val="B2"/>
      </w:pPr>
      <w:r>
        <w:t>-</w:t>
      </w:r>
      <w:r>
        <w:tab/>
      </w:r>
      <w:r w:rsidR="006B73A1" w:rsidRPr="00B916EC">
        <w:t>the transmission is over 4 or more symbols,</w:t>
      </w:r>
    </w:p>
    <w:p w14:paraId="6E886BBB" w14:textId="77777777" w:rsidR="007B598B" w:rsidRPr="00B916EC" w:rsidRDefault="003E4990" w:rsidP="003E4990">
      <w:pPr>
        <w:pStyle w:val="B2"/>
      </w:pPr>
      <w:r>
        <w:t>-</w:t>
      </w:r>
      <w:r>
        <w:tab/>
      </w:r>
      <w:r w:rsidR="006B73A1" w:rsidRPr="00B916EC">
        <w:t>the number of UCI bits is more than 2</w:t>
      </w:r>
      <w:r w:rsidR="007B598B" w:rsidRPr="00B916EC">
        <w:t>,</w:t>
      </w:r>
    </w:p>
    <w:p w14:paraId="0299CE10" w14:textId="0D091C09" w:rsidR="00C979C2" w:rsidRDefault="003E4990" w:rsidP="00C979C2">
      <w:pPr>
        <w:pStyle w:val="B2"/>
      </w:pPr>
      <w:r>
        <w:t>-</w:t>
      </w:r>
      <w:r>
        <w:tab/>
      </w:r>
      <w:r w:rsidR="00326178">
        <w:rPr>
          <w:lang w:val="en-US"/>
        </w:rPr>
        <w:t>the</w:t>
      </w:r>
      <w:r w:rsidR="00326178" w:rsidRPr="00B916EC">
        <w:t xml:space="preserve"> </w:t>
      </w:r>
      <w:r w:rsidR="007B598B" w:rsidRPr="00B916EC">
        <w:t>PUCCH resource includes an orthogonal cover code</w:t>
      </w:r>
      <w:r w:rsidR="00BA0BE3" w:rsidRPr="00B916EC">
        <w:t xml:space="preserve"> </w:t>
      </w:r>
      <w:r w:rsidR="00062E1B" w:rsidRPr="002C2A97">
        <w:rPr>
          <w:lang w:val="en-US"/>
        </w:rPr>
        <w:t xml:space="preserve">and the UE is not provided </w:t>
      </w:r>
      <w:r w:rsidR="00062E1B" w:rsidRPr="002C2A97">
        <w:rPr>
          <w:i/>
          <w:iCs/>
          <w:lang w:val="en-US"/>
        </w:rPr>
        <w:t>useInterlacePUCCH-PUSCH</w:t>
      </w:r>
      <w:r w:rsidR="00062E1B" w:rsidRPr="002C2A97">
        <w:rPr>
          <w:lang w:val="en-US"/>
        </w:rPr>
        <w:t xml:space="preserve"> in </w:t>
      </w:r>
      <w:r w:rsidR="00062E1B" w:rsidRPr="002C2A97">
        <w:rPr>
          <w:i/>
        </w:rPr>
        <w:t>BWP-UplinkDedicated</w:t>
      </w:r>
    </w:p>
    <w:p w14:paraId="513F506E" w14:textId="77777777" w:rsidR="00E20158" w:rsidRDefault="00326178" w:rsidP="00326178">
      <w:r w:rsidRPr="00FA7D94">
        <w:t xml:space="preserve">A spatial setting </w:t>
      </w:r>
      <w:r w:rsidRPr="00FA7D94">
        <w:rPr>
          <w:lang w:val="en-US"/>
        </w:rPr>
        <w:t xml:space="preserve">for a PUCCH transmission </w:t>
      </w:r>
      <w:r w:rsidR="00E20158" w:rsidRPr="00F415B1">
        <w:rPr>
          <w:lang w:val="en-US"/>
        </w:rPr>
        <w:t xml:space="preserve">by a UE </w:t>
      </w:r>
      <w:r w:rsidRPr="00FA7D94">
        <w:rPr>
          <w:lang w:val="en-US"/>
        </w:rPr>
        <w:t xml:space="preserve">is provided </w:t>
      </w:r>
      <w:r w:rsidRPr="00FA7D94">
        <w:t>by</w:t>
      </w:r>
    </w:p>
    <w:p w14:paraId="3AA71629" w14:textId="157C48E0" w:rsidR="00E20158" w:rsidRPr="00F415B1" w:rsidRDefault="00E20158" w:rsidP="00E20158">
      <w:pPr>
        <w:pStyle w:val="B1"/>
      </w:pPr>
      <w:r>
        <w:rPr>
          <w:lang w:val="en-US"/>
        </w:rPr>
        <w:t>-</w:t>
      </w:r>
      <w:r>
        <w:rPr>
          <w:lang w:val="en-US"/>
        </w:rPr>
        <w:tab/>
        <w:t xml:space="preserve">an indicated </w:t>
      </w:r>
      <w:r w:rsidR="00CF2E09" w:rsidRPr="00037243">
        <w:rPr>
          <w:rFonts w:cs="Times"/>
          <w:i/>
          <w:iCs/>
          <w:szCs w:val="18"/>
          <w:lang w:eastAsia="zh-CN"/>
        </w:rPr>
        <w:t>TCI</w:t>
      </w:r>
      <w:r w:rsidR="00C63EB2">
        <w:rPr>
          <w:rFonts w:cs="Times"/>
          <w:i/>
          <w:iCs/>
          <w:szCs w:val="18"/>
          <w:lang w:val="en-GB" w:eastAsia="zh-CN"/>
        </w:rPr>
        <w:t>-</w:t>
      </w:r>
      <w:r w:rsidR="00CF2E09" w:rsidRPr="00037243">
        <w:rPr>
          <w:rFonts w:cs="Times"/>
          <w:i/>
          <w:iCs/>
          <w:szCs w:val="18"/>
          <w:lang w:eastAsia="zh-CN"/>
        </w:rPr>
        <w:t>State</w:t>
      </w:r>
      <w:r w:rsidR="00CF2E09" w:rsidRPr="00037243">
        <w:rPr>
          <w:rFonts w:cs="Times"/>
          <w:iCs/>
          <w:szCs w:val="18"/>
          <w:lang w:eastAsia="zh-CN"/>
        </w:rPr>
        <w:t xml:space="preserve"> </w:t>
      </w:r>
      <w:r w:rsidR="00CF2E09" w:rsidRPr="00037243">
        <w:rPr>
          <w:rFonts w:cs="Times"/>
          <w:iCs/>
          <w:szCs w:val="18"/>
          <w:lang w:val="en-US" w:eastAsia="zh-CN"/>
        </w:rPr>
        <w:t>or</w:t>
      </w:r>
      <w:r w:rsidR="00CF2E09" w:rsidRPr="00037243">
        <w:rPr>
          <w:lang w:val="en-US"/>
        </w:rPr>
        <w:t xml:space="preserve"> </w:t>
      </w:r>
      <w:r w:rsidR="00C63EB2" w:rsidRPr="00980D55">
        <w:rPr>
          <w:i/>
          <w:iCs/>
          <w:lang w:val="en-US"/>
        </w:rPr>
        <w:t>TCI-UL-State</w:t>
      </w:r>
      <w:r w:rsidRPr="00F415B1">
        <w:t>, if provided, as described in [6, TS 38.214];</w:t>
      </w:r>
    </w:p>
    <w:p w14:paraId="77668601" w14:textId="1139BE1D" w:rsidR="00E20158" w:rsidRDefault="00E20158" w:rsidP="00A55FCA">
      <w:pPr>
        <w:pStyle w:val="B1"/>
        <w:rPr>
          <w:lang w:val="en-US"/>
        </w:rPr>
      </w:pPr>
      <w:r>
        <w:t>-</w:t>
      </w:r>
      <w:r>
        <w:tab/>
      </w:r>
      <w:r w:rsidR="00326178" w:rsidRPr="00FA7D94">
        <w:rPr>
          <w:i/>
        </w:rPr>
        <w:t>PUCCH-Spatial</w:t>
      </w:r>
      <w:r w:rsidR="00326178">
        <w:rPr>
          <w:i/>
        </w:rPr>
        <w:t>R</w:t>
      </w:r>
      <w:r w:rsidR="00326178" w:rsidRPr="00FA7D94">
        <w:rPr>
          <w:i/>
        </w:rPr>
        <w:t>elation</w:t>
      </w:r>
      <w:r w:rsidR="00326178">
        <w:rPr>
          <w:i/>
        </w:rPr>
        <w:t>I</w:t>
      </w:r>
      <w:r w:rsidR="00326178" w:rsidRPr="00FA7D94">
        <w:rPr>
          <w:i/>
        </w:rPr>
        <w:t>nfo</w:t>
      </w:r>
      <w:r w:rsidR="00326178" w:rsidRPr="00FA7D94">
        <w:rPr>
          <w:lang w:val="en-US"/>
        </w:rPr>
        <w:t xml:space="preserve"> if the UE is </w:t>
      </w:r>
      <w:r w:rsidR="00326178" w:rsidRPr="008A2DE6">
        <w:rPr>
          <w:lang w:val="en-US"/>
        </w:rPr>
        <w:t>configured with</w:t>
      </w:r>
      <w:r w:rsidR="00326178" w:rsidRPr="009B4385">
        <w:rPr>
          <w:lang w:val="en-US"/>
        </w:rPr>
        <w:t xml:space="preserve"> a single</w:t>
      </w:r>
      <w:r w:rsidR="00326178" w:rsidRPr="00FA7D94">
        <w:rPr>
          <w:lang w:val="en-US"/>
        </w:rPr>
        <w:t xml:space="preserve"> value for </w:t>
      </w:r>
      <w:r w:rsidR="00326178" w:rsidRPr="00FA7D94">
        <w:rPr>
          <w:i/>
        </w:rPr>
        <w:t>pucch-Spatial</w:t>
      </w:r>
      <w:r w:rsidR="00326178">
        <w:rPr>
          <w:i/>
        </w:rPr>
        <w:t>R</w:t>
      </w:r>
      <w:r w:rsidR="00326178" w:rsidRPr="00FA7D94">
        <w:rPr>
          <w:i/>
        </w:rPr>
        <w:t>elation</w:t>
      </w:r>
      <w:r w:rsidR="00326178">
        <w:rPr>
          <w:i/>
        </w:rPr>
        <w:t>I</w:t>
      </w:r>
      <w:r w:rsidR="00326178" w:rsidRPr="00FA7D94">
        <w:rPr>
          <w:i/>
        </w:rPr>
        <w:t>nfo</w:t>
      </w:r>
      <w:r w:rsidR="00326178" w:rsidRPr="00FA7D94">
        <w:rPr>
          <w:i/>
          <w:lang w:val="en-US"/>
        </w:rPr>
        <w:t>Id</w:t>
      </w:r>
      <w:r w:rsidR="00326178" w:rsidRPr="00FA7D94">
        <w:rPr>
          <w:lang w:val="en-US"/>
        </w:rPr>
        <w:t xml:space="preserve">; </w:t>
      </w:r>
    </w:p>
    <w:p w14:paraId="6182E94B" w14:textId="31DEDAD6" w:rsidR="00326178" w:rsidRPr="00FA7D94" w:rsidRDefault="00E20158" w:rsidP="00A55FCA">
      <w:pPr>
        <w:pStyle w:val="B1"/>
      </w:pPr>
      <w:r>
        <w:rPr>
          <w:lang w:val="en-US"/>
        </w:rPr>
        <w:t>-</w:t>
      </w:r>
      <w:r>
        <w:rPr>
          <w:lang w:val="en-US"/>
        </w:rPr>
        <w:tab/>
      </w:r>
      <w:r w:rsidR="00631428" w:rsidRPr="00F415B1">
        <w:t>as described in</w:t>
      </w:r>
      <w:r w:rsidR="00631428" w:rsidRPr="00F415B1">
        <w:rPr>
          <w:iCs/>
          <w:lang w:val="en-US"/>
        </w:rPr>
        <w:t xml:space="preserve"> </w:t>
      </w:r>
      <w:r w:rsidR="00631428" w:rsidRPr="00F415B1">
        <w:t>[11, TS 38.321]</w:t>
      </w:r>
      <w:r w:rsidR="00326178" w:rsidRPr="00FA7D94">
        <w:rPr>
          <w:lang w:val="en-US"/>
        </w:rPr>
        <w:t xml:space="preserve">, </w:t>
      </w:r>
      <w:r w:rsidR="00326178">
        <w:rPr>
          <w:lang w:val="en-US"/>
        </w:rPr>
        <w:t xml:space="preserve">if the UE is provided multiple values for </w:t>
      </w:r>
      <w:r w:rsidR="00326178" w:rsidRPr="00FA7D94">
        <w:rPr>
          <w:i/>
          <w:iCs/>
        </w:rPr>
        <w:t>PUCCH-SpatialRelationInfo</w:t>
      </w:r>
      <w:r w:rsidR="00326178" w:rsidRPr="00FA7D94">
        <w:rPr>
          <w:lang w:val="en-US"/>
        </w:rPr>
        <w:t xml:space="preserve">. </w:t>
      </w:r>
      <w:r w:rsidR="00326178" w:rsidRPr="00FA7D94">
        <w:rPr>
          <w:bCs/>
          <w:lang w:val="en-US"/>
        </w:rPr>
        <w:t>The</w:t>
      </w:r>
      <w:r w:rsidR="00326178" w:rsidRPr="00FA7D94">
        <w:rPr>
          <w:bCs/>
        </w:rPr>
        <w:t xml:space="preserve"> </w:t>
      </w:r>
      <w:r w:rsidR="00326178" w:rsidRPr="00FA7D94">
        <w:rPr>
          <w:bCs/>
          <w:lang w:val="en-US"/>
        </w:rPr>
        <w:t xml:space="preserve">UE applies </w:t>
      </w:r>
      <w:r w:rsidR="00326178" w:rsidRPr="00FA7D94">
        <w:rPr>
          <w:bCs/>
        </w:rPr>
        <w:t>corresponding actions in [1</w:t>
      </w:r>
      <w:r w:rsidR="00326178">
        <w:rPr>
          <w:bCs/>
        </w:rPr>
        <w:t>1</w:t>
      </w:r>
      <w:r w:rsidR="00326178" w:rsidRPr="00FA7D94">
        <w:rPr>
          <w:bCs/>
        </w:rPr>
        <w:t xml:space="preserve">, TS 38.321] and </w:t>
      </w:r>
      <w:r w:rsidR="00326178" w:rsidRPr="00FA7D94">
        <w:rPr>
          <w:bCs/>
          <w:lang w:val="en-US"/>
        </w:rPr>
        <w:t>a corresponding</w:t>
      </w:r>
      <w:r w:rsidR="00326178" w:rsidRPr="00FA7D94">
        <w:rPr>
          <w:bCs/>
        </w:rPr>
        <w:t xml:space="preserve"> setting </w:t>
      </w:r>
      <w:r w:rsidR="00326178" w:rsidRPr="00FA7D94">
        <w:rPr>
          <w:bCs/>
          <w:lang w:val="en-US"/>
        </w:rPr>
        <w:t>for a spatial domain filter</w:t>
      </w:r>
      <w:r w:rsidR="00326178" w:rsidRPr="00FA7D94">
        <w:rPr>
          <w:bCs/>
        </w:rPr>
        <w:t xml:space="preserve"> </w:t>
      </w:r>
      <w:r w:rsidR="00326178" w:rsidRPr="00FA7D94">
        <w:rPr>
          <w:bCs/>
          <w:lang w:val="en-US"/>
        </w:rPr>
        <w:t xml:space="preserve">to </w:t>
      </w:r>
      <w:r w:rsidR="00326178" w:rsidRPr="00FA7D94">
        <w:rPr>
          <w:bCs/>
          <w:lang w:val="en-US"/>
        </w:rPr>
        <w:lastRenderedPageBreak/>
        <w:t xml:space="preserve">transmit </w:t>
      </w:r>
      <w:r w:rsidR="00326178" w:rsidRPr="00FA7D94">
        <w:rPr>
          <w:bCs/>
        </w:rPr>
        <w:t>PUC</w:t>
      </w:r>
      <w:r w:rsidR="00326178">
        <w:rPr>
          <w:bCs/>
        </w:rPr>
        <w:t>CH</w:t>
      </w:r>
      <w:r w:rsidR="00326178" w:rsidRPr="00FA7D94">
        <w:rPr>
          <w:bCs/>
        </w:rPr>
        <w:t xml:space="preserve"> </w:t>
      </w:r>
      <w:r w:rsidR="001F4042">
        <w:rPr>
          <w:lang w:val="en-US"/>
        </w:rPr>
        <w:t>in</w:t>
      </w:r>
      <w:r w:rsidR="001F4042">
        <w:t xml:space="preserve"> the first slot that is after slot </w:t>
      </w:r>
      <m:oMath>
        <m:r>
          <w:rPr>
            <w:rFonts w:ascii="Cambria Math" w:hAnsi="Cambria Math"/>
          </w:rPr>
          <m:t>k+3</m:t>
        </m:r>
        <m:r>
          <w:rPr>
            <w:rFonts w:ascii="Cambria Math" w:hAnsi="Cambria Math" w:cs="Cambria Math"/>
          </w:rPr>
          <m:t>⋅</m:t>
        </m:r>
        <m:sSubSup>
          <m:sSubSupPr>
            <m:ctrlPr>
              <w:rPr>
                <w:rFonts w:ascii="Cambria Math" w:hAnsi="Cambria Math"/>
                <w:i/>
              </w:rPr>
            </m:ctrlPr>
          </m:sSubSupPr>
          <m:e>
            <m:r>
              <w:rPr>
                <w:rFonts w:ascii="Cambria Math" w:hAnsi="Cambria Math"/>
              </w:rPr>
              <m:t>N</m:t>
            </m:r>
          </m:e>
          <m:sub>
            <m:r>
              <m:rPr>
                <m:nor/>
              </m:rPr>
              <m:t>s</m:t>
            </m:r>
            <m:r>
              <m:rPr>
                <m:nor/>
              </m:rPr>
              <w:rPr>
                <w:lang w:val="en-US"/>
              </w:rPr>
              <m:t>lot</m:t>
            </m:r>
            <m:ctrlPr>
              <w:rPr>
                <w:rFonts w:ascii="Cambria Math" w:hAnsi="Cambria Math"/>
              </w:rPr>
            </m:ctrlPr>
          </m:sub>
          <m:sup>
            <m:r>
              <m:rPr>
                <m:nor/>
              </m:rPr>
              <m:t>s</m:t>
            </m:r>
            <m:r>
              <m:rPr>
                <m:nor/>
              </m:rPr>
              <w:rPr>
                <w:lang w:val="en-US"/>
              </w:rPr>
              <m:t>ubframe,</m:t>
            </m:r>
            <m:r>
              <w:rPr>
                <w:rFonts w:ascii="Cambria Math" w:hAnsi="Cambria Math"/>
                <w:lang w:val="en-US"/>
              </w:rPr>
              <m:t>μ</m:t>
            </m:r>
            <m:ctrlPr>
              <w:rPr>
                <w:rFonts w:ascii="Cambria Math" w:hAnsi="Cambria Math"/>
              </w:rPr>
            </m:ctrlPr>
          </m:sup>
        </m:sSubSup>
      </m:oMath>
      <w:r w:rsidR="001F4042">
        <w:t xml:space="preserve"> where </w:t>
      </w:r>
      <m:oMath>
        <m:r>
          <w:rPr>
            <w:rFonts w:ascii="Cambria Math" w:hAnsi="Cambria Math"/>
            <w:lang w:val="en-US"/>
          </w:rPr>
          <m:t>k</m:t>
        </m:r>
      </m:oMath>
      <w:r w:rsidR="001F4042">
        <w:rPr>
          <w:lang w:val="en-US"/>
        </w:rPr>
        <w:t xml:space="preserve"> is the slot</w:t>
      </w:r>
      <w:r w:rsidR="00326178" w:rsidRPr="00FA7D94">
        <w:rPr>
          <w:bCs/>
          <w:lang w:val="en-US"/>
        </w:rPr>
        <w:t xml:space="preserve"> where the UE </w:t>
      </w:r>
      <w:r w:rsidR="00C44547">
        <w:rPr>
          <w:bCs/>
          <w:lang w:val="en-US"/>
        </w:rPr>
        <w:t xml:space="preserve">would </w:t>
      </w:r>
      <w:r w:rsidR="00326178" w:rsidRPr="00FA7D94">
        <w:rPr>
          <w:bCs/>
          <w:lang w:val="en-US"/>
        </w:rPr>
        <w:t xml:space="preserve">transmit </w:t>
      </w:r>
      <w:r w:rsidR="001F4042">
        <w:rPr>
          <w:bCs/>
          <w:lang w:val="en-US"/>
        </w:rPr>
        <w:t xml:space="preserve">a PUCCH with </w:t>
      </w:r>
      <w:r w:rsidR="00326178" w:rsidRPr="00FA7D94">
        <w:rPr>
          <w:bCs/>
        </w:rPr>
        <w:t xml:space="preserve">HARQ-ACK </w:t>
      </w:r>
      <w:r w:rsidR="00326178" w:rsidRPr="00FA7D94">
        <w:rPr>
          <w:bCs/>
          <w:lang w:val="en-US"/>
        </w:rPr>
        <w:t xml:space="preserve">information </w:t>
      </w:r>
      <w:r w:rsidR="00326178">
        <w:rPr>
          <w:bCs/>
          <w:lang w:val="en-US"/>
        </w:rPr>
        <w:t xml:space="preserve">with ACK value </w:t>
      </w:r>
      <w:r w:rsidR="00326178" w:rsidRPr="00FA7D94">
        <w:rPr>
          <w:bCs/>
        </w:rPr>
        <w:t xml:space="preserve">corresponding to </w:t>
      </w:r>
      <w:r w:rsidR="00326178" w:rsidRPr="00FA7D94">
        <w:rPr>
          <w:bCs/>
          <w:lang w:val="en-US"/>
        </w:rPr>
        <w:t xml:space="preserve">a </w:t>
      </w:r>
      <w:r w:rsidR="00326178" w:rsidRPr="00FA7D94">
        <w:rPr>
          <w:bCs/>
        </w:rPr>
        <w:t xml:space="preserve">PDSCH </w:t>
      </w:r>
      <w:r w:rsidR="00326178" w:rsidRPr="00FA7D94">
        <w:rPr>
          <w:bCs/>
          <w:lang w:val="en-US"/>
        </w:rPr>
        <w:t xml:space="preserve">reception </w:t>
      </w:r>
      <w:r w:rsidR="00326178" w:rsidRPr="00FA7D94">
        <w:rPr>
          <w:bCs/>
        </w:rPr>
        <w:t xml:space="preserve">providing the </w:t>
      </w:r>
      <w:r w:rsidR="00326178" w:rsidRPr="00FA7D94">
        <w:rPr>
          <w:bCs/>
          <w:i/>
          <w:iCs/>
        </w:rPr>
        <w:t>PUCCH-SpatialRelationInfo</w:t>
      </w:r>
      <w:r w:rsidR="00D91988" w:rsidRPr="00B55376">
        <w:rPr>
          <w:bCs/>
        </w:rPr>
        <w:t xml:space="preserve">, each slot </w:t>
      </w:r>
      <w:r w:rsidR="00D91988" w:rsidRPr="00B55376">
        <w:rPr>
          <w:szCs w:val="18"/>
        </w:rPr>
        <w:t xml:space="preserve">consists of </w:t>
      </w:r>
      <m:oMath>
        <m:sSubSup>
          <m:sSubSupPr>
            <m:ctrlPr>
              <w:rPr>
                <w:rFonts w:ascii="Cambria Math" w:hAnsi="Cambria Math"/>
                <w:i/>
              </w:rPr>
            </m:ctrlPr>
          </m:sSubSupPr>
          <m:e>
            <m:r>
              <w:rPr>
                <w:rFonts w:ascii="Cambria Math" w:hAnsi="Cambria Math"/>
              </w:rPr>
              <m:t>N</m:t>
            </m:r>
          </m:e>
          <m:sub>
            <m:r>
              <m:rPr>
                <m:nor/>
              </m:rPr>
              <m:t>symb</m:t>
            </m:r>
            <m:ctrlPr>
              <w:rPr>
                <w:rFonts w:ascii="Cambria Math" w:hAnsi="Cambria Math"/>
              </w:rPr>
            </m:ctrlPr>
          </m:sub>
          <m:sup>
            <m:r>
              <m:rPr>
                <m:nor/>
              </m:rPr>
              <m:t>slot</m:t>
            </m:r>
            <m:ctrlPr>
              <w:rPr>
                <w:rFonts w:ascii="Cambria Math" w:hAnsi="Cambria Math"/>
              </w:rPr>
            </m:ctrlPr>
          </m:sup>
        </m:sSubSup>
      </m:oMath>
      <w:r w:rsidR="00D91988" w:rsidRPr="00B55376">
        <w:t xml:space="preserve"> symbols</w:t>
      </w:r>
      <w:r w:rsidR="00D91988" w:rsidRPr="00B55376">
        <w:rPr>
          <w:bCs/>
        </w:rPr>
        <w:t xml:space="preserve"> </w:t>
      </w:r>
      <w:r w:rsidR="00D91988" w:rsidRPr="00B55376">
        <w:rPr>
          <w:rFonts w:ascii="Times" w:eastAsia="Batang" w:hAnsi="Times" w:cs="Times"/>
        </w:rPr>
        <w:t>as defined in [4, TS 38.211],</w:t>
      </w:r>
      <w:r w:rsidR="001F4042">
        <w:rPr>
          <w:bCs/>
          <w:i/>
          <w:iCs/>
        </w:rPr>
        <w:t xml:space="preserve"> </w:t>
      </w:r>
      <w:r w:rsidR="001F4042">
        <w:rPr>
          <w:lang w:val="en-US"/>
        </w:rPr>
        <w:t xml:space="preserve">and </w:t>
      </w:r>
      <m:oMath>
        <m:r>
          <w:rPr>
            <w:rFonts w:ascii="Cambria Math" w:hAnsi="Cambria Math"/>
            <w:lang w:val="en-US"/>
          </w:rPr>
          <m:t>μ</m:t>
        </m:r>
      </m:oMath>
      <w:r w:rsidR="001F4042" w:rsidRPr="0014499E">
        <w:t xml:space="preserve"> </w:t>
      </w:r>
      <w:r w:rsidR="001F4042">
        <w:t xml:space="preserve">is the SCS configuration for </w:t>
      </w:r>
      <w:r w:rsidR="001F4042">
        <w:rPr>
          <w:lang w:val="en-US"/>
        </w:rPr>
        <w:t xml:space="preserve">the </w:t>
      </w:r>
      <w:r w:rsidR="001F4042">
        <w:t>PUCCH</w:t>
      </w:r>
    </w:p>
    <w:p w14:paraId="763CC5E6" w14:textId="5C047DEF" w:rsidR="00326178" w:rsidRPr="00152826" w:rsidRDefault="00326178" w:rsidP="00A55FCA">
      <w:pPr>
        <w:pStyle w:val="B2"/>
        <w:rPr>
          <w:lang w:val="en-GB"/>
        </w:rPr>
      </w:pPr>
      <w:r w:rsidRPr="00152826">
        <w:t>-</w:t>
      </w:r>
      <w:r w:rsidRPr="00152826">
        <w:tab/>
      </w:r>
      <w:r w:rsidRPr="00152826">
        <w:rPr>
          <w:lang w:val="en-GB"/>
        </w:rPr>
        <w:t xml:space="preserve">If </w:t>
      </w:r>
      <w:r w:rsidRPr="00152826">
        <w:rPr>
          <w:i/>
          <w:iCs/>
        </w:rPr>
        <w:t>PUCCH-Spatial</w:t>
      </w:r>
      <w:r w:rsidRPr="00152826">
        <w:rPr>
          <w:i/>
          <w:iCs/>
          <w:lang w:val="en-US"/>
        </w:rPr>
        <w:t>R</w:t>
      </w:r>
      <w:r w:rsidRPr="00152826">
        <w:rPr>
          <w:i/>
          <w:iCs/>
        </w:rPr>
        <w:t>elation</w:t>
      </w:r>
      <w:r w:rsidRPr="00152826">
        <w:rPr>
          <w:i/>
          <w:iCs/>
          <w:lang w:val="en-US"/>
        </w:rPr>
        <w:t>I</w:t>
      </w:r>
      <w:r w:rsidRPr="00152826">
        <w:rPr>
          <w:i/>
          <w:iCs/>
        </w:rPr>
        <w:t>nfo</w:t>
      </w:r>
      <w:r w:rsidRPr="00152826">
        <w:t xml:space="preserve"> </w:t>
      </w:r>
      <w:r w:rsidR="00B526B5" w:rsidRPr="00F415B1">
        <w:rPr>
          <w:lang w:val="en-US"/>
        </w:rPr>
        <w:t>or</w:t>
      </w:r>
      <w:r w:rsidR="00B526B5">
        <w:rPr>
          <w:lang w:val="en-US"/>
        </w:rPr>
        <w:t xml:space="preserve"> the indicated</w:t>
      </w:r>
      <w:r w:rsidR="00B526B5" w:rsidRPr="00F415B1">
        <w:rPr>
          <w:lang w:val="en-US"/>
        </w:rPr>
        <w:t xml:space="preserve"> </w:t>
      </w:r>
      <w:r w:rsidR="00C63EB2" w:rsidRPr="00980D55">
        <w:rPr>
          <w:i/>
          <w:iCs/>
          <w:lang w:val="en-US"/>
        </w:rPr>
        <w:t>TCI-UL-State</w:t>
      </w:r>
      <w:r w:rsidR="00B526B5" w:rsidRPr="00F415B1">
        <w:rPr>
          <w:lang w:val="en-GB"/>
        </w:rPr>
        <w:t xml:space="preserve"> </w:t>
      </w:r>
      <w:r w:rsidRPr="00152826">
        <w:rPr>
          <w:lang w:val="en-US"/>
        </w:rPr>
        <w:t xml:space="preserve">provides </w:t>
      </w:r>
      <w:r w:rsidRPr="00152826">
        <w:rPr>
          <w:i/>
          <w:lang w:val="en-GB"/>
        </w:rPr>
        <w:t>ssb-Index</w:t>
      </w:r>
      <w:r w:rsidRPr="00152826">
        <w:t>, the UE transmit</w:t>
      </w:r>
      <w:r w:rsidRPr="00152826">
        <w:rPr>
          <w:lang w:val="en-US"/>
        </w:rPr>
        <w:t>s</w:t>
      </w:r>
      <w:r w:rsidRPr="00152826">
        <w:t xml:space="preserve"> the PUCCH using a same spatial domain filter as for a reception of a SS/PBCH block</w:t>
      </w:r>
      <w:r w:rsidRPr="00152826">
        <w:rPr>
          <w:lang w:val="en-US"/>
        </w:rPr>
        <w:t xml:space="preserve"> with index provided by </w:t>
      </w:r>
      <w:r w:rsidRPr="00152826">
        <w:rPr>
          <w:i/>
          <w:lang w:val="en-GB"/>
        </w:rPr>
        <w:t>ssb-Index</w:t>
      </w:r>
      <w:r w:rsidRPr="00152826">
        <w:rPr>
          <w:lang w:val="en-GB"/>
        </w:rPr>
        <w:t xml:space="preserve"> </w:t>
      </w:r>
      <w:r>
        <w:rPr>
          <w:lang w:val="en-GB"/>
        </w:rPr>
        <w:t>for</w:t>
      </w:r>
      <w:r w:rsidRPr="00152826">
        <w:rPr>
          <w:lang w:val="en-GB"/>
        </w:rPr>
        <w:t xml:space="preserve"> a </w:t>
      </w:r>
      <w:r>
        <w:rPr>
          <w:lang w:val="en-GB"/>
        </w:rPr>
        <w:t xml:space="preserve">same serving cell or, if </w:t>
      </w:r>
      <w:r w:rsidRPr="00152826">
        <w:rPr>
          <w:i/>
          <w:iCs/>
          <w:lang w:val="en-GB"/>
        </w:rPr>
        <w:t>servingCellId</w:t>
      </w:r>
      <w:r>
        <w:rPr>
          <w:lang w:val="en-GB"/>
        </w:rPr>
        <w:t xml:space="preserve"> is provided, for a </w:t>
      </w:r>
      <w:r w:rsidRPr="00152826">
        <w:rPr>
          <w:lang w:val="en-GB"/>
        </w:rPr>
        <w:t>serving cell indicated by</w:t>
      </w:r>
      <w:r>
        <w:rPr>
          <w:lang w:val="en-GB"/>
        </w:rPr>
        <w:t xml:space="preserve"> </w:t>
      </w:r>
      <w:r w:rsidRPr="00152826">
        <w:rPr>
          <w:i/>
          <w:iCs/>
          <w:lang w:val="en-GB"/>
        </w:rPr>
        <w:t>servingCellId</w:t>
      </w:r>
      <w:r w:rsidRPr="00152826">
        <w:rPr>
          <w:lang w:val="en-GB"/>
        </w:rPr>
        <w:t xml:space="preserve"> </w:t>
      </w:r>
    </w:p>
    <w:p w14:paraId="14810FBA" w14:textId="33601B62" w:rsidR="00326178" w:rsidRDefault="00326178" w:rsidP="00A55FCA">
      <w:pPr>
        <w:pStyle w:val="B2"/>
        <w:rPr>
          <w:lang w:val="en-GB"/>
        </w:rPr>
      </w:pPr>
      <w:r w:rsidRPr="00FA7D94">
        <w:t>-</w:t>
      </w:r>
      <w:r w:rsidRPr="00FA7D94">
        <w:tab/>
      </w:r>
      <w:r w:rsidRPr="00FA7D94">
        <w:rPr>
          <w:lang w:val="en-GB"/>
        </w:rPr>
        <w:t xml:space="preserve">else if </w:t>
      </w:r>
      <w:r w:rsidRPr="00FA7D94">
        <w:rPr>
          <w:i/>
          <w:iCs/>
        </w:rPr>
        <w:t>PUCCH-Spatial</w:t>
      </w:r>
      <w:r>
        <w:rPr>
          <w:i/>
          <w:iCs/>
          <w:lang w:val="en-US"/>
        </w:rPr>
        <w:t>R</w:t>
      </w:r>
      <w:r w:rsidRPr="00FA7D94">
        <w:rPr>
          <w:i/>
          <w:iCs/>
        </w:rPr>
        <w:t>elation</w:t>
      </w:r>
      <w:r>
        <w:rPr>
          <w:i/>
          <w:iCs/>
          <w:lang w:val="en-US"/>
        </w:rPr>
        <w:t>I</w:t>
      </w:r>
      <w:r w:rsidRPr="00FA7D94">
        <w:rPr>
          <w:i/>
          <w:iCs/>
        </w:rPr>
        <w:t>nfo</w:t>
      </w:r>
      <w:r w:rsidRPr="00FA7D94">
        <w:t xml:space="preserve"> </w:t>
      </w:r>
      <w:r w:rsidR="00B526B5" w:rsidRPr="00F415B1">
        <w:rPr>
          <w:lang w:val="en-US"/>
        </w:rPr>
        <w:t>or</w:t>
      </w:r>
      <w:r w:rsidR="00B526B5">
        <w:rPr>
          <w:lang w:val="en-US"/>
        </w:rPr>
        <w:t xml:space="preserve"> the indicated</w:t>
      </w:r>
      <w:r w:rsidR="00B526B5" w:rsidRPr="00F415B1">
        <w:rPr>
          <w:lang w:val="en-US"/>
        </w:rPr>
        <w:t xml:space="preserve"> </w:t>
      </w:r>
      <w:r w:rsidR="00C63EB2" w:rsidRPr="00980D55">
        <w:rPr>
          <w:i/>
          <w:iCs/>
          <w:lang w:val="en-US"/>
        </w:rPr>
        <w:t>TCI-UL-State</w:t>
      </w:r>
      <w:r w:rsidR="00B526B5" w:rsidRPr="00F415B1">
        <w:rPr>
          <w:lang w:val="en-GB"/>
        </w:rPr>
        <w:t xml:space="preserve"> </w:t>
      </w:r>
      <w:r w:rsidRPr="00FA7D94">
        <w:rPr>
          <w:lang w:val="en-US"/>
        </w:rPr>
        <w:t xml:space="preserve">provides </w:t>
      </w:r>
      <w:r w:rsidRPr="00FA7D94">
        <w:rPr>
          <w:i/>
          <w:lang w:val="en-GB"/>
        </w:rPr>
        <w:t>csi-RS-Index</w:t>
      </w:r>
      <w:r w:rsidRPr="00FA7D94">
        <w:t xml:space="preserve">, </w:t>
      </w:r>
      <w:r w:rsidR="00CF2E09">
        <w:rPr>
          <w:lang w:val="en-US"/>
        </w:rPr>
        <w:t xml:space="preserve">or the indicated </w:t>
      </w:r>
      <w:r w:rsidR="00CF2E09" w:rsidRPr="00037243">
        <w:rPr>
          <w:rFonts w:cs="Times"/>
          <w:i/>
          <w:iCs/>
          <w:szCs w:val="18"/>
          <w:lang w:eastAsia="zh-CN"/>
        </w:rPr>
        <w:t>TCI</w:t>
      </w:r>
      <w:r w:rsidR="00C63EB2">
        <w:rPr>
          <w:rFonts w:cs="Times"/>
          <w:i/>
          <w:iCs/>
          <w:szCs w:val="18"/>
          <w:lang w:val="en-GB" w:eastAsia="zh-CN"/>
        </w:rPr>
        <w:t>-</w:t>
      </w:r>
      <w:r w:rsidR="00CF2E09" w:rsidRPr="00037243">
        <w:rPr>
          <w:rFonts w:cs="Times"/>
          <w:i/>
          <w:iCs/>
          <w:szCs w:val="18"/>
          <w:lang w:eastAsia="zh-CN"/>
        </w:rPr>
        <w:t>State</w:t>
      </w:r>
      <w:r w:rsidR="00CF2E09" w:rsidRPr="00037243">
        <w:rPr>
          <w:rFonts w:cs="Times"/>
          <w:iCs/>
          <w:szCs w:val="18"/>
          <w:lang w:eastAsia="zh-CN"/>
        </w:rPr>
        <w:t xml:space="preserve"> </w:t>
      </w:r>
      <w:r w:rsidR="00CF2E09">
        <w:rPr>
          <w:rFonts w:cs="Times"/>
          <w:iCs/>
          <w:szCs w:val="18"/>
          <w:lang w:val="en-US" w:eastAsia="zh-CN"/>
        </w:rPr>
        <w:t xml:space="preserve">provides </w:t>
      </w:r>
      <w:r w:rsidR="00CF2E09" w:rsidRPr="002E6275">
        <w:rPr>
          <w:rFonts w:cs="Times"/>
          <w:i/>
          <w:szCs w:val="18"/>
          <w:lang w:val="en-US" w:eastAsia="zh-CN"/>
        </w:rPr>
        <w:t>csi-rs</w:t>
      </w:r>
      <w:r w:rsidR="00CF2E09">
        <w:rPr>
          <w:rFonts w:cs="Times"/>
          <w:iCs/>
          <w:szCs w:val="18"/>
          <w:lang w:val="en-US" w:eastAsia="zh-CN"/>
        </w:rPr>
        <w:t xml:space="preserve"> configured with </w:t>
      </w:r>
      <w:r w:rsidR="00CF2E09" w:rsidRPr="002E6275">
        <w:rPr>
          <w:rFonts w:cs="Times"/>
          <w:i/>
          <w:szCs w:val="18"/>
          <w:lang w:val="en-US" w:eastAsia="zh-CN"/>
        </w:rPr>
        <w:t>qcl-Type</w:t>
      </w:r>
      <w:r w:rsidR="00CF2E09">
        <w:rPr>
          <w:rFonts w:cs="Times"/>
          <w:iCs/>
          <w:szCs w:val="18"/>
          <w:lang w:val="en-US" w:eastAsia="zh-CN"/>
        </w:rPr>
        <w:t xml:space="preserve"> set to </w:t>
      </w:r>
      <w:r w:rsidR="00F22988">
        <w:rPr>
          <w:rFonts w:cs="Times"/>
          <w:iCs/>
          <w:szCs w:val="18"/>
          <w:lang w:val="en-US" w:eastAsia="zh-CN"/>
        </w:rPr>
        <w:t>'</w:t>
      </w:r>
      <w:r w:rsidR="00CF2E09">
        <w:rPr>
          <w:rFonts w:cs="Times"/>
          <w:iCs/>
          <w:szCs w:val="18"/>
          <w:lang w:val="en-US" w:eastAsia="zh-CN"/>
        </w:rPr>
        <w:t>typeD</w:t>
      </w:r>
      <w:r w:rsidR="00F22988">
        <w:rPr>
          <w:rFonts w:cs="Times"/>
          <w:iCs/>
          <w:szCs w:val="18"/>
          <w:lang w:val="en-US" w:eastAsia="zh-CN"/>
        </w:rPr>
        <w:t>'</w:t>
      </w:r>
      <w:r w:rsidR="00CF2E09">
        <w:rPr>
          <w:rFonts w:cs="Times"/>
          <w:iCs/>
          <w:szCs w:val="18"/>
          <w:lang w:val="en-US" w:eastAsia="zh-CN"/>
        </w:rPr>
        <w:t xml:space="preserve">, </w:t>
      </w:r>
      <w:r w:rsidRPr="00FA7D94">
        <w:t>the UE transmit</w:t>
      </w:r>
      <w:r w:rsidRPr="00FA7D94">
        <w:rPr>
          <w:lang w:val="en-US"/>
        </w:rPr>
        <w:t>s</w:t>
      </w:r>
      <w:r w:rsidRPr="00FA7D94">
        <w:t xml:space="preserve"> the PUCCH using a same spatial domain filter as for a reception of a CSI-RS</w:t>
      </w:r>
      <w:r w:rsidRPr="00FA7D94">
        <w:rPr>
          <w:lang w:val="en-US"/>
        </w:rPr>
        <w:t xml:space="preserve"> with resource index provided by </w:t>
      </w:r>
      <w:r w:rsidRPr="00FA7D94">
        <w:rPr>
          <w:i/>
          <w:lang w:val="en-GB"/>
        </w:rPr>
        <w:t>csi-RS-Index</w:t>
      </w:r>
      <w:r>
        <w:rPr>
          <w:lang w:val="en-GB"/>
        </w:rPr>
        <w:t xml:space="preserve"> </w:t>
      </w:r>
      <w:r w:rsidR="00CF2E09">
        <w:rPr>
          <w:lang w:val="en-GB"/>
        </w:rPr>
        <w:t xml:space="preserve">or csi-rs </w:t>
      </w:r>
      <w:r>
        <w:rPr>
          <w:lang w:val="en-GB"/>
        </w:rPr>
        <w:t>for</w:t>
      </w:r>
      <w:r w:rsidRPr="00152826">
        <w:rPr>
          <w:lang w:val="en-GB"/>
        </w:rPr>
        <w:t xml:space="preserve"> a </w:t>
      </w:r>
      <w:r>
        <w:rPr>
          <w:lang w:val="en-GB"/>
        </w:rPr>
        <w:t xml:space="preserve">same serving cell or, if </w:t>
      </w:r>
      <w:r w:rsidRPr="00152826">
        <w:rPr>
          <w:i/>
          <w:iCs/>
          <w:lang w:val="en-GB"/>
        </w:rPr>
        <w:t>servingCellId</w:t>
      </w:r>
      <w:r>
        <w:rPr>
          <w:lang w:val="en-GB"/>
        </w:rPr>
        <w:t xml:space="preserve"> </w:t>
      </w:r>
      <w:r w:rsidR="00CF2E09">
        <w:rPr>
          <w:lang w:val="en-GB"/>
        </w:rPr>
        <w:t xml:space="preserve">or </w:t>
      </w:r>
      <w:r w:rsidR="00CF2E09" w:rsidRPr="002E6275">
        <w:rPr>
          <w:i/>
          <w:iCs/>
          <w:lang w:val="en-GB"/>
        </w:rPr>
        <w:t>cell</w:t>
      </w:r>
      <w:r w:rsidR="00CF2E09">
        <w:rPr>
          <w:lang w:val="en-GB"/>
        </w:rPr>
        <w:t xml:space="preserve"> </w:t>
      </w:r>
      <w:r>
        <w:rPr>
          <w:lang w:val="en-GB"/>
        </w:rPr>
        <w:t xml:space="preserve">is provided, for a </w:t>
      </w:r>
      <w:r w:rsidRPr="00152826">
        <w:rPr>
          <w:lang w:val="en-GB"/>
        </w:rPr>
        <w:t>serving cell indicated by</w:t>
      </w:r>
      <w:r>
        <w:rPr>
          <w:lang w:val="en-GB"/>
        </w:rPr>
        <w:t xml:space="preserve"> </w:t>
      </w:r>
      <w:r w:rsidRPr="00152826">
        <w:rPr>
          <w:i/>
          <w:iCs/>
          <w:lang w:val="en-GB"/>
        </w:rPr>
        <w:t>servingCellId</w:t>
      </w:r>
      <w:r w:rsidR="00CF2E09">
        <w:rPr>
          <w:i/>
          <w:iCs/>
          <w:lang w:val="en-GB"/>
        </w:rPr>
        <w:t xml:space="preserve"> </w:t>
      </w:r>
      <w:r w:rsidR="00CF2E09">
        <w:rPr>
          <w:lang w:val="en-GB"/>
        </w:rPr>
        <w:t xml:space="preserve">or </w:t>
      </w:r>
      <w:r w:rsidR="00CF2E09" w:rsidRPr="002E6275">
        <w:rPr>
          <w:i/>
          <w:iCs/>
          <w:lang w:val="en-GB"/>
        </w:rPr>
        <w:t>cell</w:t>
      </w:r>
    </w:p>
    <w:p w14:paraId="3645201F" w14:textId="442BDB35" w:rsidR="00326178" w:rsidRPr="00F15C80" w:rsidRDefault="00326178" w:rsidP="00A55FCA">
      <w:pPr>
        <w:pStyle w:val="B2"/>
      </w:pPr>
      <w:r w:rsidRPr="00FA7D94">
        <w:t>-</w:t>
      </w:r>
      <w:r w:rsidRPr="00FA7D94">
        <w:tab/>
      </w:r>
      <w:r w:rsidRPr="00FA7D94">
        <w:rPr>
          <w:lang w:val="en-GB"/>
        </w:rPr>
        <w:t xml:space="preserve">else </w:t>
      </w:r>
      <w:r w:rsidRPr="00FA7D94">
        <w:rPr>
          <w:i/>
          <w:iCs/>
        </w:rPr>
        <w:t>PUCCH-Spatial</w:t>
      </w:r>
      <w:r>
        <w:rPr>
          <w:i/>
          <w:iCs/>
          <w:lang w:val="en-US"/>
        </w:rPr>
        <w:t>R</w:t>
      </w:r>
      <w:r w:rsidRPr="00FA7D94">
        <w:rPr>
          <w:i/>
          <w:iCs/>
        </w:rPr>
        <w:t>elation</w:t>
      </w:r>
      <w:r>
        <w:rPr>
          <w:i/>
          <w:iCs/>
          <w:lang w:val="en-US"/>
        </w:rPr>
        <w:t>I</w:t>
      </w:r>
      <w:r w:rsidRPr="00FA7D94">
        <w:rPr>
          <w:i/>
          <w:iCs/>
        </w:rPr>
        <w:t>nfo</w:t>
      </w:r>
      <w:r w:rsidRPr="00FA7D94">
        <w:t xml:space="preserve"> </w:t>
      </w:r>
      <w:r w:rsidR="00B526B5" w:rsidRPr="00F415B1">
        <w:rPr>
          <w:lang w:val="en-US"/>
        </w:rPr>
        <w:t>or</w:t>
      </w:r>
      <w:r w:rsidR="00B526B5">
        <w:rPr>
          <w:lang w:val="en-US"/>
        </w:rPr>
        <w:t xml:space="preserve"> the indicated</w:t>
      </w:r>
      <w:r w:rsidR="00B526B5" w:rsidRPr="00F415B1">
        <w:rPr>
          <w:lang w:val="en-US"/>
        </w:rPr>
        <w:t xml:space="preserve"> </w:t>
      </w:r>
      <w:r w:rsidR="00C63EB2" w:rsidRPr="00980D55">
        <w:rPr>
          <w:i/>
          <w:iCs/>
          <w:lang w:val="en-US"/>
        </w:rPr>
        <w:t>TCI-UL-State</w:t>
      </w:r>
      <w:r w:rsidR="00B526B5" w:rsidRPr="00F415B1">
        <w:rPr>
          <w:lang w:val="en-GB"/>
        </w:rPr>
        <w:t xml:space="preserve"> </w:t>
      </w:r>
      <w:r w:rsidRPr="00FA7D94">
        <w:rPr>
          <w:lang w:val="en-US"/>
        </w:rPr>
        <w:t xml:space="preserve">provides </w:t>
      </w:r>
      <w:r w:rsidRPr="00FA7D94">
        <w:rPr>
          <w:i/>
        </w:rPr>
        <w:t>srs</w:t>
      </w:r>
      <w:r w:rsidRPr="00FA7D94">
        <w:t>, the UE transmit</w:t>
      </w:r>
      <w:r w:rsidRPr="00FA7D94">
        <w:rPr>
          <w:lang w:val="en-US"/>
        </w:rPr>
        <w:t>s</w:t>
      </w:r>
      <w:r w:rsidRPr="00FA7D94">
        <w:t xml:space="preserve"> the PUCCH </w:t>
      </w:r>
      <w:r>
        <w:rPr>
          <w:lang w:val="en-US"/>
        </w:rPr>
        <w:t>using</w:t>
      </w:r>
      <w:r w:rsidRPr="00FA7D94">
        <w:t xml:space="preserve"> a same spatial domain filter </w:t>
      </w:r>
      <w:r w:rsidRPr="00FA7D94">
        <w:rPr>
          <w:lang w:val="en-US"/>
        </w:rPr>
        <w:t xml:space="preserve">as </w:t>
      </w:r>
      <w:r w:rsidRPr="00FA7D94">
        <w:t xml:space="preserve">for a transmission of </w:t>
      </w:r>
      <w:r w:rsidRPr="00FA7D94">
        <w:rPr>
          <w:lang w:val="en-US"/>
        </w:rPr>
        <w:t>a</w:t>
      </w:r>
      <w:r w:rsidR="009473AF">
        <w:rPr>
          <w:lang w:val="en-US"/>
        </w:rPr>
        <w:t>n</w:t>
      </w:r>
      <w:r w:rsidRPr="00FA7D94">
        <w:rPr>
          <w:lang w:val="en-US"/>
        </w:rPr>
        <w:t xml:space="preserve"> SRS with </w:t>
      </w:r>
      <w:r w:rsidRPr="00F15C80">
        <w:rPr>
          <w:lang w:val="en-US"/>
        </w:rPr>
        <w:t xml:space="preserve">resource index provided by </w:t>
      </w:r>
      <w:r w:rsidRPr="00F15C80">
        <w:rPr>
          <w:i/>
          <w:lang w:val="en-US"/>
        </w:rPr>
        <w:t>resource</w:t>
      </w:r>
      <w:r w:rsidRPr="00F15C80">
        <w:rPr>
          <w:lang w:val="en-US"/>
        </w:rPr>
        <w:t xml:space="preserve"> </w:t>
      </w:r>
      <w:r w:rsidRPr="00F15C80">
        <w:rPr>
          <w:lang w:val="en-GB"/>
        </w:rPr>
        <w:t xml:space="preserve">for a </w:t>
      </w:r>
      <w:r w:rsidRPr="00D52A1B">
        <w:rPr>
          <w:lang w:val="en-GB"/>
        </w:rPr>
        <w:t xml:space="preserve">same serving cell </w:t>
      </w:r>
      <w:r w:rsidRPr="00D52A1B">
        <w:rPr>
          <w:iCs/>
          <w:lang w:val="en-GB"/>
        </w:rPr>
        <w:t>and/or active UL BWP</w:t>
      </w:r>
      <w:r w:rsidRPr="00D52A1B">
        <w:rPr>
          <w:lang w:val="en-GB"/>
        </w:rPr>
        <w:t xml:space="preserve"> or, if </w:t>
      </w:r>
      <w:r w:rsidRPr="00F15C80">
        <w:rPr>
          <w:i/>
          <w:iCs/>
          <w:lang w:val="en-GB"/>
        </w:rPr>
        <w:t>servingCellId</w:t>
      </w:r>
      <w:r w:rsidRPr="00F15C80">
        <w:rPr>
          <w:lang w:val="en-GB"/>
        </w:rPr>
        <w:t xml:space="preserve"> and/or </w:t>
      </w:r>
      <w:r w:rsidRPr="00F15C80">
        <w:rPr>
          <w:i/>
          <w:iCs/>
          <w:lang w:val="en-GB"/>
        </w:rPr>
        <w:t>uplinkBWP</w:t>
      </w:r>
      <w:r w:rsidRPr="00F15C80">
        <w:rPr>
          <w:lang w:val="en-GB"/>
        </w:rPr>
        <w:t xml:space="preserve"> are provided, for a serving cell indicated by </w:t>
      </w:r>
      <w:r w:rsidRPr="00F15C80">
        <w:rPr>
          <w:i/>
          <w:iCs/>
          <w:lang w:val="en-GB"/>
        </w:rPr>
        <w:t>servingCellId</w:t>
      </w:r>
      <w:r w:rsidRPr="00D52A1B">
        <w:rPr>
          <w:iCs/>
          <w:lang w:val="en-GB"/>
        </w:rPr>
        <w:t xml:space="preserve"> and/or for an UL BWP indicated by </w:t>
      </w:r>
      <w:r w:rsidRPr="00F15C80">
        <w:rPr>
          <w:i/>
          <w:iCs/>
          <w:lang w:val="en-GB"/>
        </w:rPr>
        <w:t>uplinkBWP</w:t>
      </w:r>
    </w:p>
    <w:p w14:paraId="28476EE7" w14:textId="77777777" w:rsidR="009473AF" w:rsidRPr="009473AF" w:rsidRDefault="009473AF" w:rsidP="009473AF">
      <w:pPr>
        <w:pStyle w:val="B1"/>
      </w:pPr>
      <w:r w:rsidRPr="009473AF">
        <w:rPr>
          <w:lang w:val="en-US"/>
        </w:rPr>
        <w:t>-</w:t>
      </w:r>
      <w:r w:rsidRPr="009473AF">
        <w:rPr>
          <w:lang w:val="en-US"/>
        </w:rPr>
        <w:tab/>
        <w:t xml:space="preserve">an indicated </w:t>
      </w:r>
      <w:r w:rsidRPr="009473AF">
        <w:rPr>
          <w:rFonts w:cs="Times"/>
          <w:i/>
          <w:iCs/>
          <w:szCs w:val="18"/>
          <w:lang w:eastAsia="zh-CN"/>
        </w:rPr>
        <w:t>apply-IndicatedTCIState</w:t>
      </w:r>
      <w:r w:rsidRPr="009473AF">
        <w:t>, if provided</w:t>
      </w:r>
    </w:p>
    <w:p w14:paraId="57766151" w14:textId="7495EAF0" w:rsidR="009473AF" w:rsidRPr="009473AF" w:rsidRDefault="009473AF" w:rsidP="009473AF">
      <w:pPr>
        <w:pStyle w:val="B2"/>
      </w:pPr>
      <w:r w:rsidRPr="009473AF">
        <w:t>-</w:t>
      </w:r>
      <w:r w:rsidRPr="009473AF">
        <w:tab/>
        <w:t xml:space="preserve">if </w:t>
      </w:r>
      <w:r w:rsidRPr="009473AF">
        <w:rPr>
          <w:rFonts w:cs="Times"/>
          <w:i/>
          <w:iCs/>
          <w:szCs w:val="18"/>
          <w:lang w:eastAsia="zh-CN"/>
        </w:rPr>
        <w:t>apply-</w:t>
      </w:r>
      <w:r w:rsidRPr="009473AF">
        <w:rPr>
          <w:rFonts w:cs="Times"/>
          <w:i/>
          <w:iCs/>
          <w:lang w:eastAsia="zh-CN"/>
        </w:rPr>
        <w:t>IndicatedTCIState</w:t>
      </w:r>
      <w:r w:rsidRPr="009473AF">
        <w:t xml:space="preserve"> = </w:t>
      </w:r>
      <w:r w:rsidR="002D5F43">
        <w:t>'</w:t>
      </w:r>
      <w:r w:rsidRPr="009473AF">
        <w:t>first</w:t>
      </w:r>
      <w:r w:rsidR="002D5F43">
        <w:t>'</w:t>
      </w:r>
      <w:r w:rsidRPr="009473AF">
        <w:t xml:space="preserve">, the UE transmits a PUCCH using a spatial domain filter corresponding to a first </w:t>
      </w:r>
      <w:r w:rsidRPr="009473AF">
        <w:rPr>
          <w:i/>
          <w:iCs/>
          <w:lang w:val="en-US"/>
        </w:rPr>
        <w:t>TCI-State</w:t>
      </w:r>
      <w:r w:rsidRPr="009473AF">
        <w:rPr>
          <w:lang w:val="en-US"/>
        </w:rPr>
        <w:t xml:space="preserve"> or</w:t>
      </w:r>
      <w:r w:rsidRPr="009473AF">
        <w:rPr>
          <w:i/>
          <w:iCs/>
          <w:lang w:val="en-US"/>
        </w:rPr>
        <w:t xml:space="preserve"> TCI-UL-State</w:t>
      </w:r>
      <w:r w:rsidRPr="009473AF">
        <w:t xml:space="preserve"> </w:t>
      </w:r>
    </w:p>
    <w:p w14:paraId="7380529D" w14:textId="0D1A8DAF" w:rsidR="009473AF" w:rsidRPr="009473AF" w:rsidRDefault="009473AF" w:rsidP="009473AF">
      <w:pPr>
        <w:pStyle w:val="B2"/>
      </w:pPr>
      <w:r w:rsidRPr="009473AF">
        <w:t>-</w:t>
      </w:r>
      <w:r w:rsidRPr="009473AF">
        <w:tab/>
        <w:t xml:space="preserve">if </w:t>
      </w:r>
      <w:r w:rsidRPr="009473AF">
        <w:rPr>
          <w:rFonts w:cs="Times"/>
          <w:i/>
          <w:iCs/>
          <w:szCs w:val="18"/>
          <w:lang w:eastAsia="zh-CN"/>
        </w:rPr>
        <w:t>apply-IndicatedTCIState</w:t>
      </w:r>
      <w:r w:rsidRPr="009473AF">
        <w:t xml:space="preserve"> = </w:t>
      </w:r>
      <w:r w:rsidR="002D5F43">
        <w:t>'</w:t>
      </w:r>
      <w:r w:rsidRPr="009473AF">
        <w:t>second</w:t>
      </w:r>
      <w:r w:rsidR="002D5F43">
        <w:t>'</w:t>
      </w:r>
      <w:r w:rsidRPr="009473AF">
        <w:t xml:space="preserve">, the UE transmits a PUCCH using a spatial domain filter corresponding to second </w:t>
      </w:r>
      <w:r w:rsidRPr="009473AF">
        <w:rPr>
          <w:i/>
          <w:iCs/>
          <w:lang w:val="en-US"/>
        </w:rPr>
        <w:t>TCI-State</w:t>
      </w:r>
      <w:r w:rsidRPr="009473AF">
        <w:rPr>
          <w:lang w:val="en-US"/>
        </w:rPr>
        <w:t xml:space="preserve"> or</w:t>
      </w:r>
      <w:r w:rsidRPr="009473AF">
        <w:rPr>
          <w:i/>
          <w:iCs/>
          <w:lang w:val="en-US"/>
        </w:rPr>
        <w:t xml:space="preserve"> TCI-UL-State</w:t>
      </w:r>
      <w:r w:rsidRPr="009473AF">
        <w:t xml:space="preserve"> </w:t>
      </w:r>
    </w:p>
    <w:p w14:paraId="1CEE4A59" w14:textId="5632F3D1" w:rsidR="009473AF" w:rsidRPr="009473AF" w:rsidRDefault="009473AF" w:rsidP="009473AF">
      <w:pPr>
        <w:pStyle w:val="B2"/>
      </w:pPr>
      <w:r w:rsidRPr="009473AF">
        <w:t>-</w:t>
      </w:r>
      <w:r w:rsidRPr="009473AF">
        <w:tab/>
        <w:t xml:space="preserve">if </w:t>
      </w:r>
      <w:r w:rsidRPr="009473AF">
        <w:rPr>
          <w:rFonts w:cs="Times"/>
          <w:i/>
          <w:iCs/>
          <w:szCs w:val="18"/>
          <w:lang w:eastAsia="zh-CN"/>
        </w:rPr>
        <w:t>apply-IndicatedTCIState</w:t>
      </w:r>
      <w:r w:rsidRPr="009473AF">
        <w:t xml:space="preserve"> = </w:t>
      </w:r>
      <w:r w:rsidR="002D5F43">
        <w:t>'</w:t>
      </w:r>
      <w:r w:rsidRPr="009473AF">
        <w:t>both</w:t>
      </w:r>
      <w:r w:rsidR="002D5F43">
        <w:t>'</w:t>
      </w:r>
      <w:r w:rsidRPr="009473AF">
        <w:t xml:space="preserve">, the UE transmits a PUCCH using respective first and second spatial domain filters corresponding to the first and the second </w:t>
      </w:r>
      <w:r w:rsidRPr="009473AF">
        <w:rPr>
          <w:i/>
          <w:iCs/>
          <w:lang w:val="en-US"/>
        </w:rPr>
        <w:t>TCI-State</w:t>
      </w:r>
      <w:r w:rsidRPr="009473AF">
        <w:rPr>
          <w:lang w:val="en-US"/>
        </w:rPr>
        <w:t xml:space="preserve"> or</w:t>
      </w:r>
      <w:r w:rsidRPr="009473AF">
        <w:rPr>
          <w:i/>
          <w:iCs/>
          <w:lang w:val="en-US"/>
        </w:rPr>
        <w:t xml:space="preserve"> TCI-UL-State</w:t>
      </w:r>
      <w:r w:rsidRPr="009473AF">
        <w:t xml:space="preserve"> </w:t>
      </w:r>
    </w:p>
    <w:p w14:paraId="7CA6EECD" w14:textId="77777777" w:rsidR="009473AF" w:rsidRPr="009473AF" w:rsidRDefault="009473AF" w:rsidP="009473AF">
      <w:pPr>
        <w:pStyle w:val="B2"/>
        <w:rPr>
          <w:lang w:eastAsia="ko-KR"/>
        </w:rPr>
      </w:pPr>
      <w:r w:rsidRPr="009473AF">
        <w:rPr>
          <w:iCs/>
        </w:rPr>
        <w:t>I</w:t>
      </w:r>
      <w:r w:rsidRPr="009473AF">
        <w:rPr>
          <w:lang w:eastAsia="ko-KR"/>
        </w:rPr>
        <w:t>f the UE</w:t>
      </w:r>
    </w:p>
    <w:p w14:paraId="2B2430B3" w14:textId="77777777" w:rsidR="009473AF" w:rsidRPr="009473AF" w:rsidRDefault="009473AF" w:rsidP="009473AF">
      <w:pPr>
        <w:pStyle w:val="B2"/>
        <w:rPr>
          <w:rFonts w:cs="Calibri"/>
        </w:rPr>
      </w:pPr>
      <w:r w:rsidRPr="009473AF">
        <w:t>-</w:t>
      </w:r>
      <w:r w:rsidRPr="009473AF">
        <w:tab/>
      </w:r>
      <w:r w:rsidRPr="009473AF">
        <w:rPr>
          <w:lang w:eastAsia="ko-KR"/>
        </w:rPr>
        <w:t xml:space="preserve">is not provided </w:t>
      </w:r>
      <w:r w:rsidRPr="009473AF">
        <w:rPr>
          <w:rFonts w:cs="Calibri"/>
          <w:i/>
          <w:lang w:val="en-US"/>
        </w:rPr>
        <w:t>coreset</w:t>
      </w:r>
      <w:r w:rsidRPr="009473AF">
        <w:rPr>
          <w:rFonts w:cs="Calibri"/>
          <w:i/>
        </w:rPr>
        <w:t>PoolIndex</w:t>
      </w:r>
      <w:r w:rsidRPr="009473AF">
        <w:rPr>
          <w:rFonts w:cs="Calibri"/>
        </w:rPr>
        <w:t xml:space="preserve"> or is provided </w:t>
      </w:r>
      <w:r w:rsidRPr="009473AF">
        <w:rPr>
          <w:rFonts w:cs="Calibri"/>
          <w:i/>
          <w:lang w:val="en-US"/>
        </w:rPr>
        <w:t>coreset</w:t>
      </w:r>
      <w:r w:rsidRPr="009473AF">
        <w:rPr>
          <w:rFonts w:cs="Calibri"/>
          <w:i/>
        </w:rPr>
        <w:t>PoolIndex</w:t>
      </w:r>
      <w:r w:rsidRPr="009473AF">
        <w:rPr>
          <w:rFonts w:cs="Calibri"/>
        </w:rPr>
        <w:t xml:space="preserve"> with a value of 0 for first CORESETs on </w:t>
      </w:r>
      <w:r w:rsidRPr="009473AF">
        <w:rPr>
          <w:rFonts w:cs="Calibri"/>
          <w:lang w:val="en-US"/>
        </w:rPr>
        <w:t xml:space="preserve">an </w:t>
      </w:r>
      <w:r w:rsidRPr="009473AF">
        <w:rPr>
          <w:rFonts w:cs="Calibri"/>
        </w:rPr>
        <w:t xml:space="preserve">active DL BWP of </w:t>
      </w:r>
      <w:r w:rsidRPr="009473AF">
        <w:rPr>
          <w:rFonts w:cs="Calibri"/>
          <w:lang w:val="en-US"/>
        </w:rPr>
        <w:t xml:space="preserve">a </w:t>
      </w:r>
      <w:r w:rsidRPr="009473AF">
        <w:rPr>
          <w:rFonts w:cs="Calibri"/>
        </w:rPr>
        <w:t>serving cell, and</w:t>
      </w:r>
    </w:p>
    <w:p w14:paraId="266D112E" w14:textId="77777777" w:rsidR="009473AF" w:rsidRPr="009473AF" w:rsidRDefault="009473AF" w:rsidP="009473AF">
      <w:pPr>
        <w:pStyle w:val="B2"/>
        <w:rPr>
          <w:rFonts w:cs="Calibri"/>
        </w:rPr>
      </w:pPr>
      <w:r w:rsidRPr="009473AF">
        <w:t>-</w:t>
      </w:r>
      <w:r w:rsidRPr="009473AF">
        <w:tab/>
      </w:r>
      <w:r w:rsidRPr="009473AF">
        <w:rPr>
          <w:lang w:eastAsia="ko-KR"/>
        </w:rPr>
        <w:t xml:space="preserve">is provided </w:t>
      </w:r>
      <w:r w:rsidRPr="009473AF">
        <w:rPr>
          <w:rFonts w:cs="Calibri"/>
          <w:i/>
          <w:lang w:val="en-US"/>
        </w:rPr>
        <w:t>coreset</w:t>
      </w:r>
      <w:r w:rsidRPr="009473AF">
        <w:rPr>
          <w:rFonts w:cs="Calibri"/>
          <w:i/>
        </w:rPr>
        <w:t>PoolIndex</w:t>
      </w:r>
      <w:r w:rsidRPr="009473AF">
        <w:rPr>
          <w:rFonts w:cs="Calibri"/>
        </w:rPr>
        <w:t xml:space="preserve"> with a value of 1 for second CORESETs on </w:t>
      </w:r>
      <w:r w:rsidRPr="009473AF">
        <w:rPr>
          <w:rFonts w:cs="Calibri"/>
          <w:lang w:val="en-US"/>
        </w:rPr>
        <w:t xml:space="preserve">the </w:t>
      </w:r>
      <w:r w:rsidRPr="009473AF">
        <w:rPr>
          <w:rFonts w:cs="Calibri"/>
        </w:rPr>
        <w:t>active DL BWP of the serving cells,</w:t>
      </w:r>
    </w:p>
    <w:p w14:paraId="4138D67F" w14:textId="77777777" w:rsidR="009473AF" w:rsidRPr="009473AF" w:rsidRDefault="009473AF" w:rsidP="009473AF">
      <w:pPr>
        <w:pStyle w:val="B2"/>
        <w:rPr>
          <w:rFonts w:cs="Calibri"/>
        </w:rPr>
      </w:pPr>
      <w:r w:rsidRPr="009473AF">
        <w:t xml:space="preserve">the first and second </w:t>
      </w:r>
      <w:r w:rsidRPr="009473AF">
        <w:rPr>
          <w:i/>
          <w:iCs/>
          <w:lang w:val="en-US"/>
        </w:rPr>
        <w:t>TCI-State</w:t>
      </w:r>
      <w:r w:rsidRPr="009473AF">
        <w:rPr>
          <w:lang w:val="en-US"/>
        </w:rPr>
        <w:t xml:space="preserve"> or</w:t>
      </w:r>
      <w:r w:rsidRPr="009473AF">
        <w:rPr>
          <w:i/>
          <w:iCs/>
          <w:lang w:val="en-US"/>
        </w:rPr>
        <w:t xml:space="preserve"> TCI-UL-State</w:t>
      </w:r>
      <w:r w:rsidRPr="009473AF">
        <w:t xml:space="preserve"> are specific to the first and second CORESETs, respectively.</w:t>
      </w:r>
    </w:p>
    <w:p w14:paraId="5F6C3DF6" w14:textId="77777777" w:rsidR="00AB5299" w:rsidRDefault="00AB5299" w:rsidP="00AB5299">
      <w:pPr>
        <w:rPr>
          <w:lang w:eastAsia="zh-CN"/>
        </w:rPr>
      </w:pPr>
      <w:r w:rsidRPr="00E87085">
        <w:rPr>
          <w:lang w:eastAsia="zh-CN"/>
        </w:rPr>
        <w:t xml:space="preserve">If </w:t>
      </w:r>
      <w:r>
        <w:rPr>
          <w:lang w:eastAsia="zh-CN"/>
        </w:rPr>
        <w:t>a</w:t>
      </w:r>
      <w:r w:rsidRPr="00E87085">
        <w:rPr>
          <w:lang w:eastAsia="zh-CN"/>
        </w:rPr>
        <w:t xml:space="preserve"> UE</w:t>
      </w:r>
    </w:p>
    <w:p w14:paraId="36391895" w14:textId="77777777" w:rsidR="00AB5299" w:rsidRDefault="00AB5299" w:rsidP="00350DB1">
      <w:pPr>
        <w:pStyle w:val="B1"/>
        <w:rPr>
          <w:lang w:eastAsia="zh-CN"/>
        </w:rPr>
      </w:pPr>
      <w:r>
        <w:t>-</w:t>
      </w:r>
      <w:r>
        <w:tab/>
      </w:r>
      <w:r w:rsidRPr="00E87085">
        <w:rPr>
          <w:lang w:eastAsia="zh-CN"/>
        </w:rPr>
        <w:t>is not provided</w:t>
      </w:r>
      <w:r w:rsidRPr="00E87085">
        <w:rPr>
          <w:lang w:val="en-US" w:eastAsia="zh-CN"/>
        </w:rPr>
        <w:t xml:space="preserve"> </w:t>
      </w:r>
      <w:r w:rsidRPr="00E87085">
        <w:rPr>
          <w:i/>
        </w:rPr>
        <w:t>pathlossReferenceRSs</w:t>
      </w:r>
      <w:r w:rsidRPr="00E87085">
        <w:t xml:space="preserve"> </w:t>
      </w:r>
      <w:r w:rsidRPr="00E87085">
        <w:rPr>
          <w:lang w:val="en-US"/>
        </w:rPr>
        <w:t>in</w:t>
      </w:r>
      <w:r w:rsidRPr="00E87085">
        <w:rPr>
          <w:lang w:eastAsia="zh-CN"/>
        </w:rPr>
        <w:t xml:space="preserve"> </w:t>
      </w:r>
      <w:r w:rsidRPr="00E87085">
        <w:rPr>
          <w:i/>
          <w:iCs/>
          <w:lang w:eastAsia="zh-CN"/>
        </w:rPr>
        <w:t>PUCCH-PowerControl</w:t>
      </w:r>
      <w:r w:rsidRPr="00E87085">
        <w:rPr>
          <w:iCs/>
          <w:lang w:eastAsia="zh-CN"/>
        </w:rPr>
        <w:t>,</w:t>
      </w:r>
      <w:r w:rsidRPr="00E87085">
        <w:rPr>
          <w:lang w:eastAsia="zh-CN"/>
        </w:rPr>
        <w:t xml:space="preserve"> </w:t>
      </w:r>
    </w:p>
    <w:p w14:paraId="1B8A7DCF" w14:textId="5A7F81EF" w:rsidR="00BB6A95" w:rsidRDefault="00BB6A95" w:rsidP="00BB6A95">
      <w:pPr>
        <w:pStyle w:val="B1"/>
        <w:rPr>
          <w:lang w:eastAsia="zh-CN"/>
        </w:rPr>
      </w:pPr>
      <w:r>
        <w:t>-</w:t>
      </w:r>
      <w:r>
        <w:tab/>
        <w:t>i</w:t>
      </w:r>
      <w:r w:rsidRPr="00DF666D">
        <w:rPr>
          <w:color w:val="000000"/>
        </w:rPr>
        <w:t xml:space="preserve">s provided </w:t>
      </w:r>
      <w:r w:rsidRPr="00DF666D">
        <w:rPr>
          <w:i/>
          <w:color w:val="000000"/>
        </w:rPr>
        <w:t>enableDefaultBeamP</w:t>
      </w:r>
      <w:r>
        <w:rPr>
          <w:i/>
          <w:color w:val="000000"/>
          <w:lang w:val="en-US"/>
        </w:rPr>
        <w:t>L-</w:t>
      </w:r>
      <w:r w:rsidRPr="00DF666D">
        <w:rPr>
          <w:i/>
          <w:color w:val="000000"/>
        </w:rPr>
        <w:t>ForPUCCH</w:t>
      </w:r>
      <w:r>
        <w:rPr>
          <w:lang w:eastAsia="zh-CN"/>
        </w:rPr>
        <w:t xml:space="preserve">, </w:t>
      </w:r>
      <w:r w:rsidRPr="00E87085">
        <w:rPr>
          <w:lang w:eastAsia="zh-CN"/>
        </w:rPr>
        <w:t xml:space="preserve">and </w:t>
      </w:r>
    </w:p>
    <w:p w14:paraId="69798FD9" w14:textId="77777777" w:rsidR="005A0660" w:rsidRDefault="00AB5299" w:rsidP="005A0660">
      <w:pPr>
        <w:pStyle w:val="B1"/>
        <w:rPr>
          <w:iCs/>
          <w:lang w:val="en-US"/>
        </w:rPr>
      </w:pPr>
      <w:r>
        <w:t>-</w:t>
      </w:r>
      <w:r>
        <w:tab/>
        <w:t>i</w:t>
      </w:r>
      <w:r w:rsidRPr="00E87085">
        <w:rPr>
          <w:lang w:eastAsia="zh-CN"/>
        </w:rPr>
        <w:t>s not provided</w:t>
      </w:r>
      <w:r w:rsidRPr="00E87085">
        <w:rPr>
          <w:i/>
        </w:rPr>
        <w:t xml:space="preserve"> PUCCH-SpatialRelationInfo</w:t>
      </w:r>
      <w:r w:rsidRPr="00E87085">
        <w:rPr>
          <w:rFonts w:cstheme="minorHAnsi"/>
        </w:rPr>
        <w:t>,</w:t>
      </w:r>
      <w:r w:rsidRPr="00E87085">
        <w:rPr>
          <w:iCs/>
        </w:rPr>
        <w:t xml:space="preserve"> </w:t>
      </w:r>
      <w:r w:rsidR="005A0660">
        <w:rPr>
          <w:iCs/>
          <w:lang w:val="en-US"/>
        </w:rPr>
        <w:t>and</w:t>
      </w:r>
    </w:p>
    <w:p w14:paraId="4DB814DB" w14:textId="142AB314" w:rsidR="00AB5299" w:rsidRDefault="005A0660" w:rsidP="005A0660">
      <w:pPr>
        <w:pStyle w:val="B1"/>
        <w:rPr>
          <w:iCs/>
        </w:rPr>
      </w:pPr>
      <w:r>
        <w:t>-</w:t>
      </w:r>
      <w:r>
        <w:tab/>
      </w:r>
      <w:r w:rsidRPr="00CC04D1">
        <w:t>is not provided</w:t>
      </w:r>
      <w:r>
        <w:t xml:space="preserve"> </w:t>
      </w:r>
      <w:r w:rsidR="000D2AA3">
        <w:rPr>
          <w:rStyle w:val="Emphasis"/>
          <w:rFonts w:eastAsia="Batang"/>
          <w:lang w:val="en-US"/>
        </w:rPr>
        <w:t>coreset</w:t>
      </w:r>
      <w:r w:rsidRPr="00CC04D1">
        <w:rPr>
          <w:rStyle w:val="Emphasis"/>
          <w:rFonts w:eastAsia="Batang"/>
        </w:rPr>
        <w:t>PoolIndex</w:t>
      </w:r>
      <w:r>
        <w:rPr>
          <w:lang w:val="en-US"/>
        </w:rPr>
        <w:t xml:space="preserve"> </w:t>
      </w:r>
      <w:r>
        <w:t xml:space="preserve">value of 1 for any CORESET, or is provided </w:t>
      </w:r>
      <w:r w:rsidR="000D2AA3">
        <w:rPr>
          <w:rStyle w:val="Emphasis"/>
          <w:rFonts w:eastAsia="Batang"/>
          <w:lang w:val="en-US"/>
        </w:rPr>
        <w:t>coreset</w:t>
      </w:r>
      <w:r w:rsidRPr="00CC04D1">
        <w:rPr>
          <w:rStyle w:val="Emphasis"/>
          <w:rFonts w:eastAsia="Batang"/>
        </w:rPr>
        <w:t>PoolIndex</w:t>
      </w:r>
      <w:r>
        <w:rPr>
          <w:lang w:val="en-US"/>
        </w:rPr>
        <w:t xml:space="preserve"> </w:t>
      </w:r>
      <w:r>
        <w:t>value of 1 for all CORESETs,</w:t>
      </w:r>
      <w:r w:rsidRPr="00CC04D1">
        <w:t xml:space="preserve"> in</w:t>
      </w:r>
      <w:r>
        <w:rPr>
          <w:lang w:val="en-US"/>
        </w:rPr>
        <w:t xml:space="preserve"> </w:t>
      </w:r>
      <w:r w:rsidRPr="00CC04D1">
        <w:rPr>
          <w:rStyle w:val="Emphasis"/>
          <w:rFonts w:eastAsia="Batang"/>
        </w:rPr>
        <w:t>ControlResourceSet </w:t>
      </w:r>
      <w:r w:rsidRPr="00CC04D1">
        <w:t>and </w:t>
      </w:r>
      <w:r>
        <w:t>no</w:t>
      </w:r>
      <w:r w:rsidRPr="00CC04D1">
        <w:t xml:space="preserve"> codepoint </w:t>
      </w:r>
      <w:r>
        <w:t xml:space="preserve">of a TCI field, if any, in a DCI format of any search space set </w:t>
      </w:r>
      <w:r w:rsidRPr="00CC04D1">
        <w:t>map</w:t>
      </w:r>
      <w:r>
        <w:t>s to</w:t>
      </w:r>
      <w:r>
        <w:rPr>
          <w:lang w:val="en-US"/>
        </w:rPr>
        <w:t xml:space="preserve"> </w:t>
      </w:r>
      <w:r w:rsidRPr="00CC04D1">
        <w:t>two TCI states</w:t>
      </w:r>
      <w:r>
        <w:t xml:space="preserve"> [5, TS 38.212]</w:t>
      </w:r>
    </w:p>
    <w:p w14:paraId="2A04FA7D" w14:textId="3178981A" w:rsidR="00AB5299" w:rsidRPr="00E87085" w:rsidRDefault="00AB5299" w:rsidP="002474FC">
      <w:r w:rsidRPr="00E87085">
        <w:rPr>
          <w:iCs/>
        </w:rPr>
        <w:t xml:space="preserve">a spatial setting for a PUCCH transmission </w:t>
      </w:r>
      <w:r>
        <w:rPr>
          <w:iCs/>
        </w:rPr>
        <w:t xml:space="preserve">from the UE </w:t>
      </w:r>
      <w:r w:rsidRPr="00E87085">
        <w:rPr>
          <w:iCs/>
        </w:rPr>
        <w:t xml:space="preserve">is same as a </w:t>
      </w:r>
      <w:r w:rsidRPr="00E87085">
        <w:t xml:space="preserve">spatial setting </w:t>
      </w:r>
      <w:r w:rsidRPr="00E87085">
        <w:rPr>
          <w:lang w:val="en-US"/>
        </w:rPr>
        <w:t xml:space="preserve">for </w:t>
      </w:r>
      <w:r w:rsidRPr="00E87085">
        <w:rPr>
          <w:lang w:eastAsia="zh-CN"/>
        </w:rPr>
        <w:t xml:space="preserve">PDCCH receptions </w:t>
      </w:r>
      <w:r>
        <w:rPr>
          <w:lang w:eastAsia="zh-CN"/>
        </w:rPr>
        <w:t xml:space="preserve">by the UE </w:t>
      </w:r>
      <w:r w:rsidRPr="00E87085">
        <w:rPr>
          <w:lang w:eastAsia="zh-CN"/>
        </w:rPr>
        <w:t xml:space="preserve">in the CORESET with the lowest ID on the </w:t>
      </w:r>
      <w:r>
        <w:rPr>
          <w:lang w:eastAsia="zh-CN"/>
        </w:rPr>
        <w:t xml:space="preserve">active DL BWP of the </w:t>
      </w:r>
      <w:r w:rsidRPr="00E87085">
        <w:rPr>
          <w:lang w:eastAsia="zh-CN"/>
        </w:rPr>
        <w:t>PCell</w:t>
      </w:r>
      <w:r w:rsidR="00CF2E09">
        <w:rPr>
          <w:lang w:eastAsia="zh-CN"/>
        </w:rPr>
        <w:t xml:space="preserve"> </w:t>
      </w:r>
      <w:r w:rsidR="00CF2E09" w:rsidRPr="00037243">
        <w:rPr>
          <w:lang w:eastAsia="zh-CN"/>
        </w:rPr>
        <w:t>and</w:t>
      </w:r>
      <w:r w:rsidR="00CF2E09" w:rsidRPr="00037243">
        <w:rPr>
          <w:rFonts w:hint="eastAsia"/>
        </w:rPr>
        <w:t>, i</w:t>
      </w:r>
      <w:r w:rsidR="00CF2E09" w:rsidRPr="00037243">
        <w:t>f the CORESET has two activated TCI states as described in clause 10.1, the UE determines</w:t>
      </w:r>
      <w:r w:rsidR="00CF2E09" w:rsidRPr="00037243">
        <w:rPr>
          <w:rFonts w:hint="eastAsia"/>
        </w:rPr>
        <w:t xml:space="preserve"> the spatial setting</w:t>
      </w:r>
      <w:r w:rsidR="00CF2E09" w:rsidRPr="00037243">
        <w:t xml:space="preserve"> </w:t>
      </w:r>
      <w:r w:rsidR="00CF2E09" w:rsidRPr="00037243">
        <w:rPr>
          <w:iCs/>
        </w:rPr>
        <w:t xml:space="preserve">for the PUCCH transmission </w:t>
      </w:r>
      <w:r w:rsidR="00CF2E09" w:rsidRPr="00037243">
        <w:t>based on the first TCI state</w:t>
      </w:r>
      <w:r>
        <w:rPr>
          <w:lang w:eastAsia="zh-CN"/>
        </w:rPr>
        <w:t>.</w:t>
      </w:r>
      <w:r w:rsidR="005A0660">
        <w:rPr>
          <w:lang w:eastAsia="zh-CN"/>
        </w:rPr>
        <w:t xml:space="preserve"> </w:t>
      </w:r>
      <w:r w:rsidR="005A0660" w:rsidRPr="005A4B8D">
        <w:rPr>
          <w:rFonts w:hint="eastAsia"/>
          <w:lang w:val="x-none"/>
        </w:rPr>
        <w:t>For</w:t>
      </w:r>
      <w:r w:rsidR="005A0660">
        <w:rPr>
          <w:lang w:val="en-US"/>
        </w:rPr>
        <w:t xml:space="preserve"> a</w:t>
      </w:r>
      <w:r w:rsidR="005A0660" w:rsidRPr="005A4B8D">
        <w:rPr>
          <w:rFonts w:hint="eastAsia"/>
          <w:lang w:val="x-none"/>
        </w:rPr>
        <w:t xml:space="preserve"> PUCCH</w:t>
      </w:r>
      <w:r w:rsidR="005A0660">
        <w:rPr>
          <w:lang w:val="en-US"/>
        </w:rPr>
        <w:t xml:space="preserve"> transmission over multiple slots</w:t>
      </w:r>
      <w:r w:rsidR="005A0660" w:rsidRPr="005A4B8D">
        <w:rPr>
          <w:rFonts w:hint="eastAsia"/>
          <w:lang w:val="x-none"/>
        </w:rPr>
        <w:t xml:space="preserve">, </w:t>
      </w:r>
      <w:r w:rsidR="005A0660">
        <w:rPr>
          <w:lang w:val="en-US"/>
        </w:rPr>
        <w:t xml:space="preserve">a same spatial setting </w:t>
      </w:r>
      <w:r w:rsidR="005A0660" w:rsidRPr="005A4B8D">
        <w:rPr>
          <w:rFonts w:hint="eastAsia"/>
          <w:lang w:val="x-none"/>
        </w:rPr>
        <w:t xml:space="preserve">applies to </w:t>
      </w:r>
      <w:r w:rsidR="005A0660">
        <w:rPr>
          <w:lang w:val="en-US"/>
        </w:rPr>
        <w:t>the</w:t>
      </w:r>
      <w:r w:rsidR="005A0660" w:rsidRPr="005A4B8D">
        <w:rPr>
          <w:rFonts w:hint="eastAsia"/>
          <w:lang w:val="x-none"/>
        </w:rPr>
        <w:t xml:space="preserve"> PUCCH transmission</w:t>
      </w:r>
      <w:r w:rsidR="005A0660">
        <w:rPr>
          <w:lang w:val="en-US"/>
        </w:rPr>
        <w:t xml:space="preserve"> in each of the multiple slots.</w:t>
      </w:r>
    </w:p>
    <w:p w14:paraId="14EE1F07" w14:textId="77777777" w:rsidR="00C979C2" w:rsidRPr="00FA7D94" w:rsidRDefault="00C979C2" w:rsidP="001322F1">
      <w:pPr>
        <w:rPr>
          <w:lang w:val="en-US"/>
        </w:rPr>
      </w:pPr>
      <w:r w:rsidRPr="00FA7D94">
        <w:rPr>
          <w:lang w:val="en-US"/>
        </w:rPr>
        <w:t xml:space="preserve">A number of DMRS symbols for a PUCCH transmission using PUCCH format 3 or 4 is provided by </w:t>
      </w:r>
      <w:r w:rsidRPr="009B4385">
        <w:rPr>
          <w:i/>
        </w:rPr>
        <w:t>additionalDMRS</w:t>
      </w:r>
      <w:r w:rsidRPr="00FA7D94">
        <w:rPr>
          <w:lang w:val="en-US"/>
        </w:rPr>
        <w:t>.</w:t>
      </w:r>
      <w:r w:rsidRPr="00FA7D94">
        <w:t xml:space="preserve"> </w:t>
      </w:r>
    </w:p>
    <w:p w14:paraId="0E291A40" w14:textId="731BF146" w:rsidR="00BA0BE3" w:rsidRDefault="00C979C2" w:rsidP="001322F1">
      <w:pPr>
        <w:rPr>
          <w:lang w:val="en-US"/>
        </w:rPr>
      </w:pPr>
      <w:r w:rsidRPr="00FA7D94">
        <w:rPr>
          <w:lang w:val="en-US"/>
        </w:rPr>
        <w:t xml:space="preserve">Use of </w:t>
      </w:r>
      <w:r w:rsidRPr="00FA7D94">
        <w:rPr>
          <w:rFonts w:ascii="Symbol" w:hAnsi="Symbol"/>
          <w:lang w:val="en-US"/>
        </w:rPr>
        <w:t></w:t>
      </w:r>
      <w:r w:rsidRPr="00FA7D94">
        <w:rPr>
          <w:lang w:val="en-US"/>
        </w:rPr>
        <w:t>/2-</w:t>
      </w:r>
      <w:r w:rsidR="00A93253">
        <w:rPr>
          <w:lang w:val="en-US"/>
        </w:rPr>
        <w:t>BP</w:t>
      </w:r>
      <w:r w:rsidR="00A93253" w:rsidRPr="00FA7D94">
        <w:rPr>
          <w:lang w:val="en-US"/>
        </w:rPr>
        <w:t>SK</w:t>
      </w:r>
      <w:r w:rsidRPr="00FA7D94">
        <w:rPr>
          <w:lang w:val="en-US"/>
        </w:rPr>
        <w:t xml:space="preserve">, instead of QPSK, for a PUCCH transmission using PUCCH format 3 or 4 is indicated by </w:t>
      </w:r>
      <w:r w:rsidRPr="00FA7D94">
        <w:rPr>
          <w:i/>
          <w:lang w:val="en-US"/>
        </w:rPr>
        <w:t>pi2BPSK</w:t>
      </w:r>
      <w:r w:rsidR="00637612">
        <w:rPr>
          <w:lang w:val="en-US"/>
        </w:rPr>
        <w:t>.</w:t>
      </w:r>
    </w:p>
    <w:p w14:paraId="1F539CCC" w14:textId="77777777" w:rsidR="008158DA" w:rsidRPr="008158DA" w:rsidRDefault="008158DA" w:rsidP="008158DA">
      <w:r w:rsidRPr="008158DA">
        <w:t xml:space="preserve">A UE that has indicated a capability </w:t>
      </w:r>
      <w:r w:rsidRPr="008158DA">
        <w:rPr>
          <w:i/>
          <w:iCs/>
        </w:rPr>
        <w:t>beamCorrespondenceWithoutUL-BeamSweeping</w:t>
      </w:r>
      <w:r w:rsidRPr="008158DA">
        <w:t xml:space="preserve"> set to 'supported', as described in [18, TS 38.306], can determine a spatial domain filter to be used while performing the applicable channel access procedures described in [15, TS 37.213] prior to a PUCCH transmission as follows:</w:t>
      </w:r>
    </w:p>
    <w:p w14:paraId="65B31254" w14:textId="50ECECE5" w:rsidR="008158DA" w:rsidRPr="008158DA" w:rsidRDefault="008158DA" w:rsidP="008158DA">
      <w:pPr>
        <w:pStyle w:val="B1"/>
        <w:rPr>
          <w:lang w:eastAsia="ja-JP"/>
        </w:rPr>
      </w:pPr>
      <w:r>
        <w:lastRenderedPageBreak/>
        <w:t>-</w:t>
      </w:r>
      <w:r>
        <w:tab/>
      </w:r>
      <w:r w:rsidRPr="008158DA">
        <w:t xml:space="preserve">if UE is configured with a single value for </w:t>
      </w:r>
      <w:r w:rsidRPr="008158DA">
        <w:rPr>
          <w:i/>
          <w:iCs/>
        </w:rPr>
        <w:t>pucch-SpatialRelationInfoId</w:t>
      </w:r>
      <w:r w:rsidRPr="008158DA">
        <w:t xml:space="preserve"> for the UL transmission, </w:t>
      </w:r>
      <w:r w:rsidRPr="008158DA">
        <w:rPr>
          <w:rFonts w:hint="eastAsia"/>
          <w:lang w:eastAsia="ja-JP"/>
        </w:rPr>
        <w:t>t</w:t>
      </w:r>
      <w:r w:rsidRPr="008158DA">
        <w:rPr>
          <w:lang w:eastAsia="ja-JP"/>
        </w:rPr>
        <w:t xml:space="preserve">he UE may use a spatial domain filter that is same as the spatial domain filter associated with </w:t>
      </w:r>
      <w:r w:rsidRPr="008158DA">
        <w:rPr>
          <w:i/>
          <w:iCs/>
          <w:lang w:eastAsia="ja-JP"/>
        </w:rPr>
        <w:t>referenceSignal</w:t>
      </w:r>
      <w:r w:rsidRPr="008158DA">
        <w:rPr>
          <w:lang w:eastAsia="ja-JP"/>
        </w:rPr>
        <w:t xml:space="preserve"> in the corresponding </w:t>
      </w:r>
      <w:r w:rsidRPr="008158DA">
        <w:rPr>
          <w:i/>
          <w:iCs/>
          <w:lang w:eastAsia="ja-JP"/>
        </w:rPr>
        <w:t>pucch-SpatialRelationInfo</w:t>
      </w:r>
      <w:r w:rsidRPr="008158DA">
        <w:rPr>
          <w:lang w:eastAsia="ja-JP"/>
        </w:rPr>
        <w:t xml:space="preserve">, </w:t>
      </w:r>
    </w:p>
    <w:p w14:paraId="1204064A" w14:textId="393CF735" w:rsidR="008158DA" w:rsidRPr="008158DA" w:rsidRDefault="008158DA" w:rsidP="008158DA">
      <w:pPr>
        <w:pStyle w:val="B1"/>
        <w:rPr>
          <w:lang w:eastAsia="ja-JP"/>
        </w:rPr>
      </w:pPr>
      <w:r>
        <w:t>-</w:t>
      </w:r>
      <w:r>
        <w:tab/>
      </w:r>
      <w:r w:rsidRPr="008158DA">
        <w:t xml:space="preserve">if UE is configured with more than one value for </w:t>
      </w:r>
      <w:r w:rsidRPr="008158DA">
        <w:rPr>
          <w:i/>
          <w:iCs/>
        </w:rPr>
        <w:t>pucch-SpatialRelationInfoId</w:t>
      </w:r>
      <w:r w:rsidRPr="008158DA">
        <w:t xml:space="preserve"> for the UL transmission, </w:t>
      </w:r>
      <w:r w:rsidRPr="008158DA">
        <w:rPr>
          <w:rFonts w:hint="eastAsia"/>
          <w:lang w:eastAsia="ja-JP"/>
        </w:rPr>
        <w:t>t</w:t>
      </w:r>
      <w:r w:rsidRPr="008158DA">
        <w:rPr>
          <w:lang w:eastAsia="ja-JP"/>
        </w:rPr>
        <w:t xml:space="preserve">he UE may use a spatial domain filter that is same as the spatial domain filter associated with </w:t>
      </w:r>
      <w:r w:rsidRPr="008158DA">
        <w:rPr>
          <w:i/>
          <w:iCs/>
          <w:lang w:eastAsia="ja-JP"/>
        </w:rPr>
        <w:t>referenceSignal</w:t>
      </w:r>
      <w:r w:rsidRPr="008158DA">
        <w:rPr>
          <w:lang w:eastAsia="ja-JP"/>
        </w:rPr>
        <w:t xml:space="preserve"> in the activated </w:t>
      </w:r>
      <w:r w:rsidRPr="008158DA">
        <w:rPr>
          <w:i/>
          <w:iCs/>
          <w:lang w:eastAsia="ja-JP"/>
        </w:rPr>
        <w:t>pucch-SpatialRelationInfo</w:t>
      </w:r>
      <w:r w:rsidRPr="008158DA">
        <w:rPr>
          <w:lang w:eastAsia="ja-JP"/>
        </w:rPr>
        <w:t>.</w:t>
      </w:r>
    </w:p>
    <w:p w14:paraId="59E0C065" w14:textId="77777777" w:rsidR="00621303" w:rsidRPr="00B916EC" w:rsidRDefault="00EC68B7" w:rsidP="00A2764D">
      <w:pPr>
        <w:pStyle w:val="Heading3"/>
      </w:pPr>
      <w:bookmarkStart w:id="555" w:name="_Ref500241945"/>
      <w:bookmarkStart w:id="556" w:name="_Toc12021478"/>
      <w:bookmarkStart w:id="557" w:name="_Toc20311590"/>
      <w:bookmarkStart w:id="558" w:name="_Toc26719415"/>
      <w:bookmarkStart w:id="559" w:name="_Toc29894850"/>
      <w:bookmarkStart w:id="560" w:name="_Toc29899149"/>
      <w:bookmarkStart w:id="561" w:name="_Toc29899567"/>
      <w:bookmarkStart w:id="562" w:name="_Toc29917304"/>
      <w:bookmarkStart w:id="563" w:name="_Toc36498178"/>
      <w:bookmarkStart w:id="564" w:name="_Toc45699204"/>
      <w:bookmarkStart w:id="565" w:name="_Toc161999131"/>
      <w:r w:rsidRPr="00B916EC">
        <w:t>9.</w:t>
      </w:r>
      <w:r w:rsidR="008B1BCD" w:rsidRPr="00B916EC">
        <w:t>2.</w:t>
      </w:r>
      <w:r w:rsidR="006B73A1" w:rsidRPr="00B916EC">
        <w:t>3</w:t>
      </w:r>
      <w:r w:rsidRPr="00B916EC">
        <w:tab/>
      </w:r>
      <w:r w:rsidR="008B1BCD" w:rsidRPr="00B916EC">
        <w:t xml:space="preserve">UE procedure for reporting </w:t>
      </w:r>
      <w:r w:rsidR="00621303" w:rsidRPr="00B916EC">
        <w:t>HARQ-ACK</w:t>
      </w:r>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p>
    <w:p w14:paraId="698C2F2C" w14:textId="77777777" w:rsidR="0017268C" w:rsidRDefault="00B3736B" w:rsidP="00B3736B">
      <w:pPr>
        <w:rPr>
          <w:lang w:eastAsia="ko-KR"/>
        </w:rPr>
      </w:pPr>
      <w:r w:rsidRPr="00BD42B1">
        <w:rPr>
          <w:lang w:eastAsia="ko-KR"/>
        </w:rPr>
        <w:t xml:space="preserve">In this clause, </w:t>
      </w:r>
      <w:r>
        <w:rPr>
          <w:lang w:eastAsia="ko-KR"/>
        </w:rPr>
        <w:t xml:space="preserve">for the purpose of determining a PUCCH resource for a PUCCH transmission in a slot using a </w:t>
      </w:r>
      <w:r w:rsidRPr="00966530">
        <w:rPr>
          <w:lang w:eastAsia="zh-CN"/>
        </w:rPr>
        <w:t>PUCCH resource indicator</w:t>
      </w:r>
      <w:r w:rsidRPr="00966530">
        <w:t xml:space="preserve"> field</w:t>
      </w:r>
      <w:r>
        <w:t xml:space="preserve"> in a DCI format that schedules a PDSCH reception, and for the </w:t>
      </w:r>
      <w:r>
        <w:rPr>
          <w:lang w:eastAsia="ko-KR"/>
        </w:rPr>
        <w:t>purpose of determining the slot for the PUCCH transmission</w:t>
      </w:r>
    </w:p>
    <w:p w14:paraId="65E917E3" w14:textId="0A42ED49" w:rsidR="0017268C" w:rsidRDefault="0017268C" w:rsidP="0017268C">
      <w:pPr>
        <w:pStyle w:val="B1"/>
      </w:pPr>
      <w:r>
        <w:rPr>
          <w:lang w:eastAsia="ko-KR"/>
        </w:rPr>
        <w:t>-</w:t>
      </w:r>
      <w:r>
        <w:rPr>
          <w:lang w:eastAsia="ko-KR"/>
        </w:rPr>
        <w:tab/>
      </w:r>
      <w:r w:rsidR="00B3736B">
        <w:t xml:space="preserve">a UE is assumed to generate HARQ-ACK information regardless of whether or not the PDSCH reception provides a transport block for a HARQ process with disabled HARQ-ACK information as indicated by </w:t>
      </w:r>
      <w:r w:rsidR="00220390" w:rsidRPr="006D3267">
        <w:rPr>
          <w:i/>
          <w:iCs/>
        </w:rPr>
        <w:t>downlinkHARQ-FeedbackDisabled</w:t>
      </w:r>
      <w:r w:rsidR="00B3736B">
        <w:t>, if provided</w:t>
      </w:r>
    </w:p>
    <w:p w14:paraId="2DA6CC0A" w14:textId="71E604C9" w:rsidR="0017268C" w:rsidRPr="0017268C" w:rsidRDefault="0017268C" w:rsidP="0017268C">
      <w:pPr>
        <w:pStyle w:val="B1"/>
        <w:rPr>
          <w:lang w:val="en-US"/>
        </w:rPr>
      </w:pPr>
      <w:r>
        <w:t>-</w:t>
      </w:r>
      <w:r>
        <w:tab/>
        <w:t xml:space="preserve">a UE is assumed to </w:t>
      </w:r>
      <w:r>
        <w:rPr>
          <w:lang w:val="en-US"/>
        </w:rPr>
        <w:t xml:space="preserve">not </w:t>
      </w:r>
      <w:r>
        <w:t xml:space="preserve">generate HARQ-ACK information </w:t>
      </w:r>
      <w:r>
        <w:rPr>
          <w:lang w:val="en-US"/>
        </w:rPr>
        <w:t xml:space="preserve">associated with a G-RNTI </w:t>
      </w:r>
      <w:r w:rsidR="000033B1">
        <w:rPr>
          <w:lang w:val="en-US"/>
        </w:rPr>
        <w:t xml:space="preserve">for multicast </w:t>
      </w:r>
      <w:r>
        <w:rPr>
          <w:lang w:val="en-US"/>
        </w:rPr>
        <w:t>or a G-CS-RNTI with disabled HARQ-ACK information as described in clause 18</w:t>
      </w:r>
      <w:r w:rsidR="00B3736B">
        <w:t xml:space="preserve">. </w:t>
      </w:r>
    </w:p>
    <w:p w14:paraId="28D1D55B" w14:textId="2ABAE81C" w:rsidR="00B3736B" w:rsidRPr="009E1B56" w:rsidRDefault="00B3736B" w:rsidP="00B3736B">
      <w:r w:rsidRPr="009E1B56">
        <w:t xml:space="preserve">The UE determines a number of </w:t>
      </w:r>
      <w:r w:rsidRPr="009E1B56">
        <w:rPr>
          <w:lang w:val="en-US"/>
        </w:rPr>
        <w:t xml:space="preserve">HARQ-ACK information bits </w:t>
      </w:r>
      <m:oMath>
        <m:sSub>
          <m:sSubPr>
            <m:ctrlPr>
              <w:rPr>
                <w:rFonts w:ascii="Cambria Math" w:hAnsi="Cambria Math"/>
                <w:i/>
                <w:lang w:eastAsia="zh-CN"/>
              </w:rPr>
            </m:ctrlPr>
          </m:sSubPr>
          <m:e>
            <m:r>
              <w:rPr>
                <w:rFonts w:ascii="Cambria Math"/>
                <w:lang w:eastAsia="zh-CN"/>
              </w:rPr>
              <m:t>O</m:t>
            </m:r>
          </m:e>
          <m:sub>
            <m:r>
              <m:rPr>
                <m:nor/>
              </m:rPr>
              <w:rPr>
                <w:rFonts w:ascii="Cambria Math"/>
                <w:lang w:eastAsia="zh-CN"/>
              </w:rPr>
              <m:t>ACK</m:t>
            </m:r>
            <m:ctrlPr>
              <w:rPr>
                <w:rFonts w:ascii="Cambria Math" w:hAnsi="Cambria Math"/>
                <w:lang w:eastAsia="zh-CN"/>
              </w:rPr>
            </m:ctrlPr>
          </m:sub>
        </m:sSub>
      </m:oMath>
      <w:r w:rsidRPr="009E1B56">
        <w:rPr>
          <w:lang w:eastAsia="zh-CN"/>
        </w:rPr>
        <w:t xml:space="preserve"> as described in clauses 9.1 through 9.1.5 and a corresponding set of PUCCH resources as described in clause 9.2.1.</w:t>
      </w:r>
      <w:r w:rsidR="007242CB" w:rsidRPr="009E1B56">
        <w:rPr>
          <w:lang w:eastAsia="zh-CN"/>
        </w:rPr>
        <w:t xml:space="preserve"> </w:t>
      </w:r>
      <w:r w:rsidR="007242CB" w:rsidRPr="009E1B56">
        <w:t xml:space="preserve">If </w:t>
      </w:r>
      <m:oMath>
        <m:sSub>
          <m:sSubPr>
            <m:ctrlPr>
              <w:rPr>
                <w:rFonts w:ascii="Cambria Math" w:hAnsi="Cambria Math"/>
                <w:i/>
              </w:rPr>
            </m:ctrlPr>
          </m:sSubPr>
          <m:e>
            <m:r>
              <w:rPr>
                <w:rFonts w:ascii="Cambria Math" w:hAnsi="Cambria Math"/>
              </w:rPr>
              <m:t>O</m:t>
            </m:r>
          </m:e>
          <m:sub>
            <m:r>
              <m:rPr>
                <m:nor/>
              </m:rPr>
              <w:rPr>
                <w:rFonts w:ascii="Cambria Math" w:hAnsi="Cambria Math"/>
              </w:rPr>
              <m:t>ACK</m:t>
            </m:r>
            <m:ctrlPr>
              <w:rPr>
                <w:rFonts w:ascii="Cambria Math" w:hAnsi="Cambria Math"/>
              </w:rPr>
            </m:ctrlPr>
          </m:sub>
        </m:sSub>
        <m:r>
          <w:rPr>
            <w:rFonts w:ascii="Cambria Math" w:hAnsi="Cambria Math"/>
          </w:rPr>
          <m:t>=0</m:t>
        </m:r>
      </m:oMath>
      <w:r w:rsidR="007242CB" w:rsidRPr="009E1B56">
        <w:t>, the UE does not transmit a PUCCH that only includes HARQ-ACK information bits.</w:t>
      </w:r>
    </w:p>
    <w:p w14:paraId="1E41D6E8" w14:textId="64AE7B68" w:rsidR="001D40E2" w:rsidRPr="004455AE" w:rsidRDefault="001D40E2" w:rsidP="004455AE">
      <w:r w:rsidRPr="004455AE">
        <w:t>A UE does not expect to transmit more than one PUCCH with HARQ-ACK information in a slot</w:t>
      </w:r>
      <w:r w:rsidR="00502D4A" w:rsidRPr="004455AE">
        <w:t xml:space="preserve"> </w:t>
      </w:r>
      <w:r w:rsidR="00502D4A" w:rsidRPr="004455AE">
        <w:rPr>
          <w:rFonts w:hint="eastAsia"/>
          <w:lang w:eastAsia="zh-CN"/>
        </w:rPr>
        <w:t>per priority index</w:t>
      </w:r>
      <w:r w:rsidR="00EC079E" w:rsidRPr="004455AE">
        <w:rPr>
          <w:rFonts w:eastAsiaTheme="minorEastAsia" w:hint="eastAsia"/>
        </w:rPr>
        <w:t xml:space="preserve">, if the UE is not provided </w:t>
      </w:r>
      <w:r w:rsidR="00EC079E" w:rsidRPr="004455AE">
        <w:rPr>
          <w:rFonts w:eastAsiaTheme="minorEastAsia" w:hint="eastAsia"/>
          <w:i/>
        </w:rPr>
        <w:t>ackNackFeedbackMode = separate</w:t>
      </w:r>
      <w:r w:rsidRPr="004455AE">
        <w:t xml:space="preserve">. </w:t>
      </w:r>
    </w:p>
    <w:p w14:paraId="10942A2B" w14:textId="4916444A" w:rsidR="008A24DD" w:rsidRPr="00763141" w:rsidRDefault="001D40E2" w:rsidP="008A24DD">
      <w:r>
        <w:t>For DCI format 1_0, t</w:t>
      </w:r>
      <w:r w:rsidRPr="00B916EC">
        <w:t>he PDSCH-to-HARQ</w:t>
      </w:r>
      <w:r w:rsidR="00074311">
        <w:t xml:space="preserve">_feedback </w:t>
      </w:r>
      <w:r w:rsidRPr="00B916EC">
        <w:t>timing</w:t>
      </w:r>
      <w:r w:rsidR="00074311">
        <w:t xml:space="preserve"> </w:t>
      </w:r>
      <w:r w:rsidRPr="00B916EC">
        <w:t>indicator</w:t>
      </w:r>
      <w:r>
        <w:t xml:space="preserve"> field values map to </w:t>
      </w:r>
      <w:r w:rsidRPr="00011AF8">
        <w:t>{1,</w:t>
      </w:r>
      <w:r>
        <w:t xml:space="preserve"> </w:t>
      </w:r>
      <w:r w:rsidRPr="00011AF8">
        <w:t>2,</w:t>
      </w:r>
      <w:r>
        <w:t xml:space="preserve"> </w:t>
      </w:r>
      <w:r w:rsidRPr="00011AF8">
        <w:t>3,</w:t>
      </w:r>
      <w:r>
        <w:t xml:space="preserve"> </w:t>
      </w:r>
      <w:r w:rsidRPr="00011AF8">
        <w:t>4,</w:t>
      </w:r>
      <w:r>
        <w:t xml:space="preserve"> </w:t>
      </w:r>
      <w:r w:rsidRPr="00011AF8">
        <w:t>5,</w:t>
      </w:r>
      <w:r>
        <w:t xml:space="preserve"> </w:t>
      </w:r>
      <w:r w:rsidRPr="00011AF8">
        <w:t>6,</w:t>
      </w:r>
      <w:r>
        <w:t xml:space="preserve"> </w:t>
      </w:r>
      <w:r w:rsidRPr="00011AF8">
        <w:t>7,</w:t>
      </w:r>
      <w:r>
        <w:t xml:space="preserve"> </w:t>
      </w:r>
      <w:r w:rsidRPr="00011AF8">
        <w:t>8}</w:t>
      </w:r>
      <w:r w:rsidR="00FE4193">
        <w:t xml:space="preserve"> </w:t>
      </w:r>
      <w:r w:rsidR="00FE4193" w:rsidRPr="00B27E56">
        <w:rPr>
          <w:lang w:val="en-US" w:eastAsia="zh-CN"/>
        </w:rPr>
        <w:t>for SCS configuration</w:t>
      </w:r>
      <w:r w:rsidR="00FE4193">
        <w:rPr>
          <w:lang w:val="en-US" w:eastAsia="zh-CN"/>
        </w:rPr>
        <w:t xml:space="preserve"> of PUCCH transmission</w:t>
      </w:r>
      <w:r w:rsidR="00FE4193" w:rsidRPr="00B27E56">
        <w:rPr>
          <w:lang w:val="en-US" w:eastAsia="zh-CN"/>
        </w:rPr>
        <w:t xml:space="preserve"> </w:t>
      </w:r>
      <m:oMath>
        <m:r>
          <w:rPr>
            <w:rFonts w:ascii="Cambria Math" w:hAnsi="Cambria Math"/>
            <w:lang w:val="en-US" w:eastAsia="zh-CN"/>
          </w:rPr>
          <m:t>μ≤3</m:t>
        </m:r>
      </m:oMath>
      <w:r w:rsidR="00FE4193" w:rsidRPr="00B27E56">
        <w:rPr>
          <w:lang w:val="en-US" w:eastAsia="zh-CN"/>
        </w:rPr>
        <w:t xml:space="preserve">, </w:t>
      </w:r>
      <w:r w:rsidR="00FE4193">
        <w:rPr>
          <w:lang w:val="en-US" w:eastAsia="zh-CN"/>
        </w:rPr>
        <w:t xml:space="preserve">to </w:t>
      </w:r>
      <w:r w:rsidR="00FE4193" w:rsidRPr="00B27E56">
        <w:rPr>
          <w:lang w:val="en-US" w:eastAsia="zh-CN"/>
        </w:rPr>
        <w:t>{</w:t>
      </w:r>
      <w:r w:rsidR="00FE4193" w:rsidRPr="00B27E56">
        <w:rPr>
          <w:iCs/>
          <w:lang w:eastAsia="x-none"/>
        </w:rPr>
        <w:t xml:space="preserve">7, 8, 12, 16, 20, 24, 28, 32} for </w:t>
      </w:r>
      <m:oMath>
        <m:r>
          <w:rPr>
            <w:rFonts w:ascii="Cambria Math" w:hAnsi="Cambria Math"/>
            <w:lang w:val="en-US" w:eastAsia="zh-CN"/>
          </w:rPr>
          <m:t>μ=5</m:t>
        </m:r>
      </m:oMath>
      <w:r w:rsidR="00FE4193" w:rsidRPr="00B27E56">
        <w:rPr>
          <w:lang w:val="en-US" w:eastAsia="zh-CN"/>
        </w:rPr>
        <w:t xml:space="preserve">, and </w:t>
      </w:r>
      <w:r w:rsidR="00FE4193">
        <w:rPr>
          <w:lang w:val="en-US" w:eastAsia="zh-CN"/>
        </w:rPr>
        <w:t xml:space="preserve">to </w:t>
      </w:r>
      <w:r w:rsidR="00FE4193" w:rsidRPr="00B27E56">
        <w:rPr>
          <w:iCs/>
          <w:lang w:eastAsia="x-none"/>
        </w:rPr>
        <w:t>{13, 16, 24, 32, 40, 48, 56, 64}</w:t>
      </w:r>
      <w:r w:rsidR="00FE4193" w:rsidRPr="00B27E56">
        <w:rPr>
          <w:iCs/>
          <w:lang w:val="en-US" w:eastAsia="x-none"/>
        </w:rPr>
        <w:t xml:space="preserve"> for </w:t>
      </w:r>
      <m:oMath>
        <m:r>
          <w:rPr>
            <w:rFonts w:ascii="Cambria Math" w:hAnsi="Cambria Math"/>
            <w:lang w:val="en-US" w:eastAsia="zh-CN"/>
          </w:rPr>
          <m:t>μ=6</m:t>
        </m:r>
      </m:oMath>
      <w:r>
        <w:t xml:space="preserve">. For </w:t>
      </w:r>
      <w:r w:rsidR="00E1189A" w:rsidRPr="00EE027F">
        <w:t xml:space="preserve">a </w:t>
      </w:r>
      <w:r w:rsidR="00CB5FA5">
        <w:t xml:space="preserve">unicast </w:t>
      </w:r>
      <w:r w:rsidR="00E1189A" w:rsidRPr="00EE027F">
        <w:t xml:space="preserve">DCI format, other than </w:t>
      </w:r>
      <w:r>
        <w:t>DCI format 1_</w:t>
      </w:r>
      <w:r w:rsidR="00E1189A">
        <w:t>0</w:t>
      </w:r>
      <w:r>
        <w:t>, t</w:t>
      </w:r>
      <w:r w:rsidRPr="00B916EC">
        <w:t>he PDSCH-to-HARQ</w:t>
      </w:r>
      <w:r w:rsidR="00074311">
        <w:t xml:space="preserve">_feedback </w:t>
      </w:r>
      <w:r w:rsidRPr="00B916EC">
        <w:t>timing</w:t>
      </w:r>
      <w:r w:rsidR="00074311">
        <w:t xml:space="preserve"> </w:t>
      </w:r>
      <w:r w:rsidRPr="00B916EC">
        <w:t>indicator field values</w:t>
      </w:r>
      <w:r w:rsidR="00E1189A" w:rsidRPr="00EE027F">
        <w:t>, if present,</w:t>
      </w:r>
      <w:r w:rsidRPr="00B916EC">
        <w:t xml:space="preserve"> map to values for a </w:t>
      </w:r>
      <w:r>
        <w:t xml:space="preserve">set of </w:t>
      </w:r>
      <w:r w:rsidRPr="00B916EC">
        <w:t xml:space="preserve">number of slots </w:t>
      </w:r>
      <w:r>
        <w:t>provided</w:t>
      </w:r>
      <w:r w:rsidRPr="00B916EC">
        <w:t xml:space="preserve"> by </w:t>
      </w:r>
      <w:r w:rsidRPr="000D579D">
        <w:rPr>
          <w:i/>
        </w:rPr>
        <w:t>dl-DataToUL-ACK</w:t>
      </w:r>
      <w:r w:rsidR="00E1189A" w:rsidRPr="00877F01">
        <w:rPr>
          <w:iCs/>
        </w:rPr>
        <w:t xml:space="preserve">, </w:t>
      </w:r>
      <w:r w:rsidR="000D2AA3" w:rsidRPr="000D579D">
        <w:rPr>
          <w:i/>
        </w:rPr>
        <w:t>dl-DataToUL-ACK</w:t>
      </w:r>
      <w:r w:rsidR="000D2AA3">
        <w:rPr>
          <w:i/>
        </w:rPr>
        <w:t>-r16</w:t>
      </w:r>
      <w:r w:rsidR="000D2AA3" w:rsidRPr="00D05783">
        <w:rPr>
          <w:iCs/>
        </w:rPr>
        <w:t>,</w:t>
      </w:r>
      <w:r w:rsidR="000D2AA3">
        <w:rPr>
          <w:iCs/>
        </w:rPr>
        <w:t xml:space="preserve"> </w:t>
      </w:r>
      <w:r w:rsidR="00E1189A">
        <w:t xml:space="preserve">or </w:t>
      </w:r>
      <w:r w:rsidR="00106490" w:rsidRPr="000D579D">
        <w:rPr>
          <w:i/>
        </w:rPr>
        <w:t>dl-DataToUL-ACK</w:t>
      </w:r>
      <w:r w:rsidR="00106490">
        <w:rPr>
          <w:i/>
          <w:lang w:val="en-US"/>
        </w:rPr>
        <w:t>-DCI-1-2</w:t>
      </w:r>
      <w:r w:rsidR="00E1189A">
        <w:t>,</w:t>
      </w:r>
      <w:r w:rsidRPr="00B916EC">
        <w:t xml:space="preserve"> </w:t>
      </w:r>
      <w:r w:rsidR="00B3736B">
        <w:t xml:space="preserve">or </w:t>
      </w:r>
      <w:r w:rsidR="00B3736B" w:rsidRPr="00CD132F">
        <w:rPr>
          <w:i/>
          <w:iCs/>
        </w:rPr>
        <w:t>dl-DataToUL-ACK-r17</w:t>
      </w:r>
      <w:r w:rsidR="00220390">
        <w:rPr>
          <w:i/>
          <w:iCs/>
        </w:rPr>
        <w:t xml:space="preserve">, </w:t>
      </w:r>
      <w:r w:rsidR="00220390">
        <w:rPr>
          <w:rFonts w:eastAsia="Malgun Gothic"/>
          <w:lang w:val="en-US" w:eastAsia="zh-CN"/>
        </w:rPr>
        <w:t xml:space="preserve">or </w:t>
      </w:r>
      <w:r w:rsidR="00220390">
        <w:rPr>
          <w:rFonts w:eastAsia="Malgun Gothic"/>
          <w:i/>
        </w:rPr>
        <w:t>dl-DataToUL-ACK</w:t>
      </w:r>
      <w:r w:rsidR="00220390">
        <w:rPr>
          <w:rFonts w:eastAsia="Malgun Gothic"/>
          <w:i/>
          <w:lang w:val="en-US"/>
        </w:rPr>
        <w:t>-DCI-1-2</w:t>
      </w:r>
      <w:r w:rsidR="00220390">
        <w:rPr>
          <w:i/>
          <w:lang w:val="en-US"/>
        </w:rPr>
        <w:t>-r17</w:t>
      </w:r>
      <w:r w:rsidR="00AB7025">
        <w:t>,</w:t>
      </w:r>
      <w:r w:rsidR="00AB7025" w:rsidRPr="00B916EC">
        <w:t xml:space="preserve"> </w:t>
      </w:r>
      <w:r w:rsidR="00AB7025">
        <w:t xml:space="preserve">or </w:t>
      </w:r>
      <w:r w:rsidR="00AB7025" w:rsidRPr="00CD132F">
        <w:rPr>
          <w:i/>
          <w:iCs/>
        </w:rPr>
        <w:t>dl-DataToUL-ACK-</w:t>
      </w:r>
      <w:r w:rsidR="00AB7025">
        <w:rPr>
          <w:i/>
          <w:iCs/>
        </w:rPr>
        <w:t>v1700</w:t>
      </w:r>
      <w:r w:rsidR="00B3736B" w:rsidRPr="00CD132F">
        <w:t xml:space="preserve"> </w:t>
      </w:r>
      <w:r w:rsidRPr="00B916EC">
        <w:t>as defined in Table 9.2.</w:t>
      </w:r>
      <w:r>
        <w:t>3</w:t>
      </w:r>
      <w:r w:rsidRPr="00B916EC">
        <w:t xml:space="preserve">-1. </w:t>
      </w:r>
      <w:r w:rsidR="00C11741" w:rsidRPr="00111FF6">
        <w:t xml:space="preserve">If the DCI format indicates a cell for the PUCCH transmission, as described in clause 9.A, the PDSCH-to-HARQ_feedback timing indicator field value maps to slots of the active UL BWP of the cell; otherwise, the PDSCH-to-HARQ_feedback timing indicator field value maps to slots of the active UL BWP of the </w:t>
      </w:r>
      <w:r w:rsidR="008A67F3" w:rsidRPr="00111FF6">
        <w:t>P</w:t>
      </w:r>
      <w:r w:rsidR="008A67F3">
        <w:t>C</w:t>
      </w:r>
      <w:r w:rsidR="008A67F3" w:rsidRPr="00111FF6">
        <w:t>ell</w:t>
      </w:r>
      <w:r w:rsidR="00C11741" w:rsidRPr="00111FF6">
        <w:t>.</w:t>
      </w:r>
      <w:r w:rsidR="00CB5FA5">
        <w:t xml:space="preserve"> </w:t>
      </w:r>
      <w:r w:rsidR="00CB5FA5" w:rsidRPr="00B06CC2">
        <w:t>For DCI format</w:t>
      </w:r>
      <w:r w:rsidR="008A67F3">
        <w:t xml:space="preserve"> </w:t>
      </w:r>
      <w:r w:rsidR="008A67F3" w:rsidRPr="0088027F">
        <w:t>4_1</w:t>
      </w:r>
      <w:r w:rsidR="00CB5FA5" w:rsidRPr="00B06CC2">
        <w:t xml:space="preserve">, the PDSCH-to-HARQ_feedback timing indicator field values </w:t>
      </w:r>
      <w:r w:rsidR="00CB5FA5">
        <w:t xml:space="preserve">are provided by </w:t>
      </w:r>
      <w:r w:rsidR="00CB5FA5" w:rsidRPr="00D33B23">
        <w:rPr>
          <w:i/>
          <w:iCs/>
        </w:rPr>
        <w:t>dl-DataToUL-ACK-</w:t>
      </w:r>
      <w:r w:rsidR="000033B1" w:rsidRPr="00D33B23">
        <w:rPr>
          <w:i/>
          <w:iCs/>
        </w:rPr>
        <w:t>MulticastD</w:t>
      </w:r>
      <w:r w:rsidR="000033B1">
        <w:rPr>
          <w:i/>
          <w:iCs/>
        </w:rPr>
        <w:t>CI-</w:t>
      </w:r>
      <w:r w:rsidR="000033B1" w:rsidRPr="00D33B23">
        <w:rPr>
          <w:i/>
          <w:iCs/>
        </w:rPr>
        <w:t>Format4</w:t>
      </w:r>
      <w:r w:rsidR="000033B1">
        <w:rPr>
          <w:i/>
          <w:iCs/>
        </w:rPr>
        <w:t>-</w:t>
      </w:r>
      <w:r w:rsidR="00CB5FA5">
        <w:rPr>
          <w:i/>
          <w:iCs/>
        </w:rPr>
        <w:t>1</w:t>
      </w:r>
      <w:r w:rsidR="00CB5FA5">
        <w:t xml:space="preserve"> or, if </w:t>
      </w:r>
      <w:r w:rsidR="00CB5FA5" w:rsidRPr="00D33B23">
        <w:rPr>
          <w:i/>
          <w:iCs/>
        </w:rPr>
        <w:t>dl-DataToUL-ACK-</w:t>
      </w:r>
      <w:r w:rsidR="000033B1" w:rsidRPr="00D33B23">
        <w:rPr>
          <w:i/>
          <w:iCs/>
        </w:rPr>
        <w:t>MulticastD</w:t>
      </w:r>
      <w:r w:rsidR="000033B1">
        <w:rPr>
          <w:i/>
          <w:iCs/>
        </w:rPr>
        <w:t>CI-</w:t>
      </w:r>
      <w:r w:rsidR="000033B1" w:rsidRPr="00D33B23">
        <w:rPr>
          <w:i/>
          <w:iCs/>
        </w:rPr>
        <w:t>Format4</w:t>
      </w:r>
      <w:r w:rsidR="000033B1">
        <w:rPr>
          <w:i/>
          <w:iCs/>
        </w:rPr>
        <w:t>-</w:t>
      </w:r>
      <w:r w:rsidR="00CB5FA5">
        <w:rPr>
          <w:i/>
          <w:iCs/>
        </w:rPr>
        <w:t>1</w:t>
      </w:r>
      <w:r w:rsidR="00CB5FA5" w:rsidRPr="00D33B23">
        <w:t xml:space="preserve"> </w:t>
      </w:r>
      <w:r w:rsidR="00CB5FA5">
        <w:t>is not provided,</w:t>
      </w:r>
      <w:r w:rsidR="00CB5FA5" w:rsidRPr="00B06CC2">
        <w:t xml:space="preserve"> </w:t>
      </w:r>
      <w:r w:rsidR="00CB5FA5">
        <w:t>by</w:t>
      </w:r>
      <w:r w:rsidR="00CB5FA5" w:rsidRPr="00B06CC2">
        <w:t xml:space="preserve"> {1, 2, 3, 4, 5, 6, 7, 8}.</w:t>
      </w:r>
      <w:r w:rsidR="008A67F3">
        <w:t xml:space="preserve"> </w:t>
      </w:r>
      <w:r w:rsidR="008A67F3" w:rsidRPr="0088027F">
        <w:t>For DCI format 4_2, the PDSCH-to-HARQ_feedback timing indicator field values are provided by</w:t>
      </w:r>
      <w:r w:rsidR="008A67F3" w:rsidRPr="0088027F">
        <w:rPr>
          <w:i/>
        </w:rPr>
        <w:t xml:space="preserve"> dl-DataToUL-ACK </w:t>
      </w:r>
      <w:r w:rsidR="008A67F3" w:rsidRPr="0088027F">
        <w:t>from</w:t>
      </w:r>
      <w:r w:rsidR="008A67F3" w:rsidRPr="0088027F">
        <w:rPr>
          <w:i/>
        </w:rPr>
        <w:t xml:space="preserve"> </w:t>
      </w:r>
      <w:r w:rsidR="000033B1" w:rsidRPr="008D3624">
        <w:rPr>
          <w:i/>
          <w:iCs/>
        </w:rPr>
        <w:t>pucch-ConfigMulticast1</w:t>
      </w:r>
      <w:r w:rsidR="000033B1">
        <w:rPr>
          <w:i/>
          <w:iCs/>
        </w:rPr>
        <w:t>/</w:t>
      </w:r>
      <w:r w:rsidR="008A67F3" w:rsidRPr="0088027F">
        <w:rPr>
          <w:i/>
        </w:rPr>
        <w:t xml:space="preserve">pucch-ConfigurationListMulticast1 </w:t>
      </w:r>
      <w:r w:rsidR="008A67F3" w:rsidRPr="0088027F">
        <w:t>or</w:t>
      </w:r>
      <w:r w:rsidR="008A67F3" w:rsidRPr="0088027F">
        <w:rPr>
          <w:i/>
        </w:rPr>
        <w:t xml:space="preserve"> </w:t>
      </w:r>
      <w:r w:rsidR="000033B1" w:rsidRPr="008D3624">
        <w:rPr>
          <w:i/>
          <w:iCs/>
        </w:rPr>
        <w:t>pucch-ConfigMulticast</w:t>
      </w:r>
      <w:r w:rsidR="000033B1">
        <w:rPr>
          <w:i/>
          <w:iCs/>
        </w:rPr>
        <w:t>2/</w:t>
      </w:r>
      <w:r w:rsidR="008A67F3" w:rsidRPr="0088027F">
        <w:rPr>
          <w:i/>
        </w:rPr>
        <w:t>pucch-ConfigurationListMulticast2</w:t>
      </w:r>
      <w:r w:rsidR="00160293">
        <w:rPr>
          <w:i/>
        </w:rPr>
        <w:t xml:space="preserve"> </w:t>
      </w:r>
      <w:r w:rsidR="00160293" w:rsidRPr="004758B9">
        <w:t>if provided; otherwise, from</w:t>
      </w:r>
      <w:r w:rsidR="00160293">
        <w:rPr>
          <w:i/>
        </w:rPr>
        <w:t xml:space="preserve"> </w:t>
      </w:r>
      <w:r w:rsidR="00160293" w:rsidRPr="00F91B18">
        <w:rPr>
          <w:i/>
          <w:iCs/>
        </w:rPr>
        <w:t>pucch-Config/pucch-ConfigurationList</w:t>
      </w:r>
      <w:r w:rsidR="008A67F3" w:rsidRPr="0088027F">
        <w:rPr>
          <w:i/>
        </w:rPr>
        <w:t>.</w:t>
      </w:r>
    </w:p>
    <w:p w14:paraId="5EDE518E" w14:textId="77137C49" w:rsidR="001D40E2" w:rsidRDefault="00C338D1" w:rsidP="008A24DD">
      <w:r w:rsidRPr="00AD2B69">
        <w:t xml:space="preserve">The following apply to the PCell if the UE is provided </w:t>
      </w:r>
      <w:r w:rsidRPr="00AD2B69">
        <w:rPr>
          <w:i/>
          <w:iCs/>
        </w:rPr>
        <w:t>pucch-sSCellPattern</w:t>
      </w:r>
      <w:r w:rsidRPr="00AD2B69">
        <w:t xml:space="preserve">; otherwise, the following apply to the serving cell </w:t>
      </w:r>
      <w:r>
        <w:t xml:space="preserve">of </w:t>
      </w:r>
      <w:r w:rsidRPr="00AD2B69">
        <w:t xml:space="preserve">the PUCCH transmission. </w:t>
      </w:r>
      <w:r w:rsidR="008A24DD" w:rsidRPr="00763141">
        <w:t xml:space="preserve">If </w:t>
      </w:r>
      <w:r w:rsidR="008A24DD" w:rsidRPr="00763141">
        <w:rPr>
          <w:lang w:val="en-US"/>
        </w:rPr>
        <w:t xml:space="preserve">the UE is provided </w:t>
      </w:r>
      <w:r w:rsidR="008A24DD" w:rsidRPr="00763141">
        <w:rPr>
          <w:i/>
          <w:iCs/>
          <w:lang w:val="en-US"/>
        </w:rPr>
        <w:t>subslotLengthForPUCCH</w:t>
      </w:r>
      <w:r w:rsidR="008A24DD" w:rsidRPr="00763141">
        <w:rPr>
          <w:lang w:val="en-US"/>
        </w:rPr>
        <w:t xml:space="preserve">, </w:t>
      </w:r>
      <m:oMath>
        <m:r>
          <w:rPr>
            <w:rFonts w:ascii="Cambria Math" w:hAnsi="Cambria Math"/>
          </w:rPr>
          <m:t>n</m:t>
        </m:r>
      </m:oMath>
      <w:r w:rsidR="008A24DD" w:rsidRPr="00763141">
        <w:t xml:space="preserve"> is the last UL slot </w:t>
      </w:r>
      <w:r w:rsidR="00FE4193" w:rsidRPr="00B27E56">
        <w:t xml:space="preserve">for PUCCH transmission </w:t>
      </w:r>
      <w:r w:rsidR="008A24DD" w:rsidRPr="00763141">
        <w:t xml:space="preserve">that overlaps with </w:t>
      </w:r>
      <w:r w:rsidR="00D55B94">
        <w:t>a</w:t>
      </w:r>
      <w:r w:rsidR="00D55B94" w:rsidRPr="00763141">
        <w:t xml:space="preserve"> </w:t>
      </w:r>
      <w:r w:rsidR="008A24DD" w:rsidRPr="00763141">
        <w:t xml:space="preserve">PDSCH reception or with </w:t>
      </w:r>
      <w:r w:rsidR="00D55B94">
        <w:t>a</w:t>
      </w:r>
      <w:r w:rsidR="00D55B94" w:rsidRPr="00763141">
        <w:t xml:space="preserve"> </w:t>
      </w:r>
      <w:r w:rsidR="008A24DD" w:rsidRPr="00763141">
        <w:t>PDCCH reception</w:t>
      </w:r>
      <w:r w:rsidR="00D55B94">
        <w:t xml:space="preserve"> </w:t>
      </w:r>
      <w:r w:rsidR="00D55B94" w:rsidRPr="00F415B1">
        <w:t>providing a DCI format having associated HARQ-ACK information without scheduling a PDSCH reception</w:t>
      </w:r>
      <w:r w:rsidR="008A24DD" w:rsidRPr="00763141">
        <w:t xml:space="preserve">; otherwise, </w:t>
      </w:r>
      <m:oMath>
        <m:r>
          <w:rPr>
            <w:rFonts w:ascii="Cambria Math" w:hAnsi="Cambria Math"/>
          </w:rPr>
          <m:t>n</m:t>
        </m:r>
      </m:oMath>
      <w:r w:rsidR="008A24DD" w:rsidRPr="00763141">
        <w:t xml:space="preserve"> is the last UL slot </w:t>
      </w:r>
      <w:r w:rsidR="00FE4193" w:rsidRPr="00B27E56">
        <w:t xml:space="preserve">for PUCCH transmission </w:t>
      </w:r>
      <w:r w:rsidR="008A24DD" w:rsidRPr="00763141">
        <w:t xml:space="preserve">that overlaps with the DL slot </w:t>
      </w:r>
      <m:oMath>
        <m:sSub>
          <m:sSubPr>
            <m:ctrlPr>
              <w:rPr>
                <w:rFonts w:ascii="Cambria Math" w:hAnsi="Cambria Math"/>
                <w:i/>
                <w:lang w:val="x-none"/>
              </w:rPr>
            </m:ctrlPr>
          </m:sSubPr>
          <m:e>
            <m:r>
              <w:rPr>
                <w:rFonts w:ascii="Cambria Math" w:hAnsi="Cambria Math"/>
                <w:lang w:val="x-none"/>
              </w:rPr>
              <m:t>n</m:t>
            </m:r>
          </m:e>
          <m:sub>
            <m:r>
              <w:rPr>
                <w:rFonts w:ascii="Cambria Math" w:hAnsi="Cambria Math"/>
                <w:lang w:val="x-none"/>
              </w:rPr>
              <m:t>D</m:t>
            </m:r>
          </m:sub>
        </m:sSub>
      </m:oMath>
      <w:r w:rsidR="008A24DD" w:rsidRPr="00763141">
        <w:rPr>
          <w:lang w:val="en-US"/>
        </w:rPr>
        <w:t xml:space="preserve"> </w:t>
      </w:r>
      <w:r w:rsidR="008A24DD" w:rsidRPr="00763141">
        <w:t xml:space="preserve">for the PDSCH reception or with the DL slot </w:t>
      </w:r>
      <m:oMath>
        <m:sSub>
          <m:sSubPr>
            <m:ctrlPr>
              <w:rPr>
                <w:rFonts w:ascii="Cambria Math" w:hAnsi="Cambria Math"/>
                <w:i/>
                <w:lang w:val="x-none"/>
              </w:rPr>
            </m:ctrlPr>
          </m:sSubPr>
          <m:e>
            <m:r>
              <w:rPr>
                <w:rFonts w:ascii="Cambria Math" w:hAnsi="Cambria Math"/>
                <w:lang w:val="x-none"/>
              </w:rPr>
              <m:t>n</m:t>
            </m:r>
          </m:e>
          <m:sub>
            <m:r>
              <w:rPr>
                <w:rFonts w:ascii="Cambria Math" w:hAnsi="Cambria Math"/>
                <w:lang w:val="x-none"/>
              </w:rPr>
              <m:t>D</m:t>
            </m:r>
          </m:sub>
        </m:sSub>
        <m:r>
          <w:rPr>
            <w:rFonts w:ascii="Cambria Math" w:hAnsi="Cambria Math"/>
            <w:lang w:val="x-none"/>
          </w:rPr>
          <m:t xml:space="preserve"> </m:t>
        </m:r>
      </m:oMath>
      <w:r w:rsidR="008A24DD" w:rsidRPr="00763141">
        <w:t xml:space="preserve">for the PDCCH reception in case of </w:t>
      </w:r>
      <w:r w:rsidR="00C11741" w:rsidRPr="00111FF6">
        <w:t>a DCI format that triggers a HARQ-ACK information report</w:t>
      </w:r>
      <w:r w:rsidR="008A24DD" w:rsidRPr="00763141">
        <w:t xml:space="preserve"> and does not schedule a PDSCH reception.</w:t>
      </w:r>
    </w:p>
    <w:p w14:paraId="29F7588F" w14:textId="1DAA5C3B" w:rsidR="004E7BF4" w:rsidRDefault="00552DE9" w:rsidP="00552DE9">
      <w:r>
        <w:t>For a SPS PDSCH reception ending in</w:t>
      </w:r>
      <w:r w:rsidR="008A24DD">
        <w:t xml:space="preserve"> </w:t>
      </w:r>
      <w:r w:rsidR="008A24DD" w:rsidRPr="00763141">
        <w:t>DL</w:t>
      </w:r>
      <w:r>
        <w:t xml:space="preserve"> slot </w:t>
      </w:r>
      <m:oMath>
        <m:sSub>
          <m:sSubPr>
            <m:ctrlPr>
              <w:rPr>
                <w:rFonts w:ascii="Cambria Math" w:hAnsi="Cambria Math"/>
                <w:i/>
                <w:lang w:val="x-none"/>
              </w:rPr>
            </m:ctrlPr>
          </m:sSubPr>
          <m:e>
            <m:r>
              <w:rPr>
                <w:rFonts w:ascii="Cambria Math" w:hAnsi="Cambria Math"/>
                <w:lang w:val="x-none"/>
              </w:rPr>
              <m:t>n</m:t>
            </m:r>
          </m:e>
          <m:sub>
            <m:r>
              <w:rPr>
                <w:rFonts w:ascii="Cambria Math" w:hAnsi="Cambria Math"/>
                <w:lang w:val="x-none"/>
              </w:rPr>
              <m:t>D</m:t>
            </m:r>
          </m:sub>
        </m:sSub>
      </m:oMath>
      <w:r>
        <w:t>, the UE transmits the PUCCH in</w:t>
      </w:r>
      <w:r w:rsidR="008A24DD">
        <w:t xml:space="preserve"> UL</w:t>
      </w:r>
      <w:r>
        <w:t xml:space="preserve"> slot </w:t>
      </w:r>
      <m:oMath>
        <m:r>
          <w:rPr>
            <w:rFonts w:ascii="Cambria Math" w:hAnsi="Cambria Math"/>
          </w:rPr>
          <m:t>n+k</m:t>
        </m:r>
      </m:oMath>
      <w:r w:rsidR="00E1189A">
        <w:t xml:space="preserve"> </w:t>
      </w:r>
      <w:r>
        <w:rPr>
          <w:rFonts w:ascii="Times" w:hAnsi="Times" w:cs="Times"/>
        </w:rPr>
        <w:t>where</w:t>
      </w:r>
      <w:r w:rsidR="00FE4193">
        <w:rPr>
          <w:rFonts w:ascii="Times" w:hAnsi="Times" w:cs="Times"/>
        </w:rPr>
        <w:t xml:space="preserve"> </w:t>
      </w:r>
      <m:oMath>
        <m:r>
          <w:rPr>
            <w:rFonts w:ascii="Cambria Math" w:hAnsi="Cambria Math"/>
          </w:rPr>
          <m:t>k</m:t>
        </m:r>
      </m:oMath>
      <w:r>
        <w:rPr>
          <w:rFonts w:ascii="Times" w:hAnsi="Times" w:cs="Times"/>
        </w:rPr>
        <w:t xml:space="preserve"> is provided by the PDSCH-to-HARQ</w:t>
      </w:r>
      <w:r w:rsidR="00074311">
        <w:t xml:space="preserve">_feedback </w:t>
      </w:r>
      <w:r>
        <w:rPr>
          <w:rFonts w:ascii="Times" w:hAnsi="Times" w:cs="Times"/>
        </w:rPr>
        <w:t>timing</w:t>
      </w:r>
      <w:r w:rsidR="00074311">
        <w:rPr>
          <w:rFonts w:ascii="Times" w:hAnsi="Times" w:cs="Times"/>
        </w:rPr>
        <w:t xml:space="preserve"> </w:t>
      </w:r>
      <w:r>
        <w:rPr>
          <w:rFonts w:ascii="Times" w:hAnsi="Times" w:cs="Times"/>
        </w:rPr>
        <w:t xml:space="preserve">indicator field, if present, in </w:t>
      </w:r>
      <w:r w:rsidR="00E1189A">
        <w:rPr>
          <w:rFonts w:ascii="Times" w:hAnsi="Times" w:cs="Times"/>
        </w:rPr>
        <w:t xml:space="preserve">a </w:t>
      </w:r>
      <w:r>
        <w:rPr>
          <w:rFonts w:ascii="Times" w:hAnsi="Times" w:cs="Times"/>
        </w:rPr>
        <w:t>DCI format activating the SPS PDSCH reception</w:t>
      </w:r>
      <w:r>
        <w:t xml:space="preserve">. </w:t>
      </w:r>
    </w:p>
    <w:p w14:paraId="15C671A2" w14:textId="558BCA16" w:rsidR="00552DE9" w:rsidRDefault="00552DE9" w:rsidP="00552DE9">
      <w:r w:rsidRPr="00B916EC">
        <w:t>If the UE detects a DCI format</w:t>
      </w:r>
      <w:r>
        <w:t xml:space="preserve"> </w:t>
      </w:r>
      <w:r w:rsidRPr="00B916EC">
        <w:t>that does not include a PDSCH-to-HARQ</w:t>
      </w:r>
      <w:r w:rsidR="00074311">
        <w:t xml:space="preserve">_feedback </w:t>
      </w:r>
      <w:r w:rsidRPr="00B916EC">
        <w:t>timing</w:t>
      </w:r>
      <w:r w:rsidR="00074311">
        <w:t xml:space="preserve"> </w:t>
      </w:r>
      <w:r w:rsidRPr="00B916EC">
        <w:t xml:space="preserve">indicator field and schedules a PDSCH reception </w:t>
      </w:r>
      <w:r>
        <w:t>or activates a SPS PDSCH reception ending in</w:t>
      </w:r>
      <w:r w:rsidR="008A24DD">
        <w:t xml:space="preserve"> DL</w:t>
      </w:r>
      <w:r w:rsidRPr="00B916EC">
        <w:t xml:space="preserve"> slot </w:t>
      </w:r>
      <m:oMath>
        <m:sSub>
          <m:sSubPr>
            <m:ctrlPr>
              <w:rPr>
                <w:rFonts w:ascii="Cambria Math" w:hAnsi="Cambria Math"/>
                <w:i/>
                <w:lang w:val="x-none"/>
              </w:rPr>
            </m:ctrlPr>
          </m:sSubPr>
          <m:e>
            <m:r>
              <w:rPr>
                <w:rFonts w:ascii="Cambria Math" w:hAnsi="Cambria Math"/>
                <w:lang w:val="x-none"/>
              </w:rPr>
              <m:t>n</m:t>
            </m:r>
          </m:e>
          <m:sub>
            <m:r>
              <w:rPr>
                <w:rFonts w:ascii="Cambria Math" w:hAnsi="Cambria Math"/>
                <w:lang w:val="x-none"/>
              </w:rPr>
              <m:t>D</m:t>
            </m:r>
          </m:sub>
        </m:sSub>
      </m:oMath>
      <w:r w:rsidRPr="00B916EC">
        <w:t>, the UE provide</w:t>
      </w:r>
      <w:r>
        <w:t xml:space="preserve">s </w:t>
      </w:r>
      <w:r w:rsidRPr="00B916EC">
        <w:t xml:space="preserve">corresponding HARQ-ACK information in a PUCCH transmission within </w:t>
      </w:r>
      <w:r w:rsidR="008A24DD">
        <w:t xml:space="preserve">UL </w:t>
      </w:r>
      <w:r w:rsidRPr="00B916EC">
        <w:t xml:space="preserve">slot </w:t>
      </w:r>
      <m:oMath>
        <m:r>
          <w:rPr>
            <w:rFonts w:ascii="Cambria Math" w:hAnsi="Cambria Math"/>
          </w:rPr>
          <m:t>n+k</m:t>
        </m:r>
      </m:oMath>
      <w:r>
        <w:t xml:space="preserve"> where</w:t>
      </w:r>
      <w:r w:rsidR="00FE4193">
        <w:t xml:space="preserve"> </w:t>
      </w:r>
      <m:oMath>
        <m:r>
          <w:rPr>
            <w:rFonts w:ascii="Cambria Math" w:hAnsi="Cambria Math"/>
          </w:rPr>
          <m:t>k</m:t>
        </m:r>
      </m:oMath>
      <w:r>
        <w:t xml:space="preserve"> is provided by </w:t>
      </w:r>
      <w:r w:rsidRPr="000D579D">
        <w:rPr>
          <w:i/>
        </w:rPr>
        <w:t>dl-DataToUL-ACK</w:t>
      </w:r>
      <w:r w:rsidR="00E1189A">
        <w:t xml:space="preserve">, or </w:t>
      </w:r>
      <w:r w:rsidR="000D2AA3" w:rsidRPr="000D579D">
        <w:rPr>
          <w:i/>
        </w:rPr>
        <w:t>dl-DataToUL-ACK</w:t>
      </w:r>
      <w:r w:rsidR="000D2AA3">
        <w:rPr>
          <w:i/>
        </w:rPr>
        <w:t>-r16</w:t>
      </w:r>
      <w:r w:rsidR="000D2AA3" w:rsidRPr="00D05783">
        <w:rPr>
          <w:iCs/>
        </w:rPr>
        <w:t>,</w:t>
      </w:r>
      <w:r w:rsidR="000D2AA3">
        <w:rPr>
          <w:iCs/>
        </w:rPr>
        <w:t xml:space="preserve"> </w:t>
      </w:r>
      <w:r w:rsidR="000D2AA3">
        <w:t>or</w:t>
      </w:r>
      <w:r w:rsidR="00E1189A">
        <w:t xml:space="preserve"> </w:t>
      </w:r>
      <w:r w:rsidR="00106490" w:rsidRPr="000D579D">
        <w:rPr>
          <w:i/>
        </w:rPr>
        <w:t>dl-DataToUL-ACK</w:t>
      </w:r>
      <w:r w:rsidR="00106490">
        <w:rPr>
          <w:i/>
          <w:lang w:val="en-US"/>
        </w:rPr>
        <w:t>-DCI-1-2</w:t>
      </w:r>
      <w:r w:rsidR="00CB5FA5" w:rsidRPr="00B06CC2">
        <w:t>,</w:t>
      </w:r>
      <w:r w:rsidR="00B3736B">
        <w:rPr>
          <w:iCs/>
        </w:rPr>
        <w:t xml:space="preserve"> </w:t>
      </w:r>
      <w:r w:rsidR="00B3736B">
        <w:t xml:space="preserve">or </w:t>
      </w:r>
      <w:r w:rsidR="00B3736B" w:rsidRPr="00CD132F">
        <w:rPr>
          <w:i/>
          <w:iCs/>
        </w:rPr>
        <w:t>dl-DataToUL-ACK-r17</w:t>
      </w:r>
      <w:r w:rsidR="00B3736B">
        <w:rPr>
          <w:kern w:val="2"/>
        </w:rPr>
        <w:t xml:space="preserve">, </w:t>
      </w:r>
      <w:r w:rsidR="00220390">
        <w:rPr>
          <w:rFonts w:eastAsia="Malgun Gothic"/>
          <w:lang w:val="en-US" w:eastAsia="zh-CN"/>
        </w:rPr>
        <w:t xml:space="preserve">or </w:t>
      </w:r>
      <w:r w:rsidR="00220390">
        <w:rPr>
          <w:rFonts w:eastAsia="Malgun Gothic"/>
          <w:i/>
        </w:rPr>
        <w:t>dl-DataToUL-ACK</w:t>
      </w:r>
      <w:r w:rsidR="00220390">
        <w:rPr>
          <w:rFonts w:eastAsia="Malgun Gothic"/>
          <w:i/>
          <w:lang w:val="en-US"/>
        </w:rPr>
        <w:t>-DCI-1-2</w:t>
      </w:r>
      <w:r w:rsidR="00220390">
        <w:rPr>
          <w:i/>
          <w:lang w:val="en-US"/>
        </w:rPr>
        <w:t>-r17</w:t>
      </w:r>
      <w:r w:rsidR="00AB7025" w:rsidRPr="00B06CC2">
        <w:t>,</w:t>
      </w:r>
      <w:r w:rsidR="00AB7025">
        <w:rPr>
          <w:iCs/>
        </w:rPr>
        <w:t xml:space="preserve"> </w:t>
      </w:r>
      <w:r w:rsidR="00AB7025">
        <w:t xml:space="preserve">or </w:t>
      </w:r>
      <w:r w:rsidR="00AB7025" w:rsidRPr="00CD132F">
        <w:rPr>
          <w:i/>
          <w:iCs/>
        </w:rPr>
        <w:t>dl-DataToUL-ACK-</w:t>
      </w:r>
      <w:r w:rsidR="00AB7025">
        <w:rPr>
          <w:i/>
          <w:iCs/>
        </w:rPr>
        <w:t>v1700</w:t>
      </w:r>
      <w:r w:rsidRPr="00B916EC">
        <w:t>.</w:t>
      </w:r>
    </w:p>
    <w:p w14:paraId="3D15618C" w14:textId="01F4AA3E" w:rsidR="00885BAD" w:rsidRDefault="008A24DD" w:rsidP="001D40E2">
      <w:r>
        <w:t>I</w:t>
      </w:r>
      <w:r w:rsidR="001D40E2" w:rsidRPr="00B916EC">
        <w:t>f the UE detects a DCI format schedul</w:t>
      </w:r>
      <w:r w:rsidR="001D40E2">
        <w:t>ing</w:t>
      </w:r>
      <w:r w:rsidR="001D40E2" w:rsidRPr="00B916EC">
        <w:t xml:space="preserve"> a </w:t>
      </w:r>
      <w:r w:rsidR="009F18AE" w:rsidRPr="00B27E56">
        <w:t xml:space="preserve">number of </w:t>
      </w:r>
      <w:r w:rsidR="001D40E2" w:rsidRPr="00B916EC">
        <w:t>PDSCH reception</w:t>
      </w:r>
      <w:r w:rsidR="009F18AE" w:rsidRPr="00B27E56">
        <w:t>s</w:t>
      </w:r>
      <w:r w:rsidR="00AD7255" w:rsidRPr="00AD7255">
        <w:t xml:space="preserve"> </w:t>
      </w:r>
      <w:r w:rsidR="00AD7255">
        <w:t>ending</w:t>
      </w:r>
      <w:r w:rsidR="001D40E2" w:rsidRPr="00B916EC">
        <w:t xml:space="preserve"> </w:t>
      </w:r>
      <w:r w:rsidR="001D40E2">
        <w:t>in</w:t>
      </w:r>
      <w:r w:rsidR="00885BAD">
        <w:t xml:space="preserve"> DL</w:t>
      </w:r>
      <w:r w:rsidR="001D40E2">
        <w:t xml:space="preserve"> slot </w:t>
      </w:r>
      <w:bookmarkStart w:id="566" w:name="_Hlk39321600"/>
      <m:oMath>
        <m:sSub>
          <m:sSubPr>
            <m:ctrlPr>
              <w:rPr>
                <w:rFonts w:ascii="Cambria Math" w:hAnsi="Cambria Math"/>
                <w:i/>
                <w:lang w:val="x-none"/>
              </w:rPr>
            </m:ctrlPr>
          </m:sSubPr>
          <m:e>
            <m:r>
              <w:rPr>
                <w:rFonts w:ascii="Cambria Math" w:hAnsi="Cambria Math"/>
                <w:lang w:val="x-none"/>
              </w:rPr>
              <m:t>n</m:t>
            </m:r>
          </m:e>
          <m:sub>
            <m:r>
              <w:rPr>
                <w:rFonts w:ascii="Cambria Math" w:hAnsi="Cambria Math"/>
                <w:lang w:val="x-none"/>
              </w:rPr>
              <m:t>D</m:t>
            </m:r>
          </m:sub>
        </m:sSub>
      </m:oMath>
      <w:bookmarkEnd w:id="566"/>
      <w:r w:rsidR="001D40E2">
        <w:t xml:space="preserve"> </w:t>
      </w:r>
      <w:r w:rsidR="001D40E2" w:rsidRPr="00B916EC">
        <w:t xml:space="preserve">or </w:t>
      </w:r>
      <w:r w:rsidR="001D40E2">
        <w:t xml:space="preserve">if the UE detects a </w:t>
      </w:r>
      <w:r w:rsidR="001D40E2" w:rsidRPr="00B916EC">
        <w:t>DCI format</w:t>
      </w:r>
      <w:r w:rsidR="001D40E2">
        <w:t xml:space="preserve"> </w:t>
      </w:r>
      <w:r w:rsidR="00C11741" w:rsidRPr="00111FF6">
        <w:t>generating a HARQ-ACK information bit</w:t>
      </w:r>
      <w:r w:rsidR="00E175E6">
        <w:rPr>
          <w:rFonts w:hint="eastAsia"/>
          <w:lang w:val="en-US" w:eastAsia="zh-CN"/>
        </w:rPr>
        <w:t xml:space="preserve"> </w:t>
      </w:r>
      <w:r w:rsidR="00CB5FA5" w:rsidRPr="00B06CC2">
        <w:t>and does not schedule a PDSCH reception</w:t>
      </w:r>
      <w:r w:rsidR="00CB5FA5">
        <w:t xml:space="preserve"> </w:t>
      </w:r>
      <w:r w:rsidR="001D40E2">
        <w:t>through a PDCCH reception</w:t>
      </w:r>
      <w:r w:rsidR="00AD7255" w:rsidRPr="00AD7255">
        <w:t xml:space="preserve"> </w:t>
      </w:r>
      <w:r w:rsidR="00AD7255">
        <w:t>ending</w:t>
      </w:r>
      <w:r w:rsidR="001D40E2">
        <w:t xml:space="preserve"> in</w:t>
      </w:r>
      <w:r w:rsidR="00885BAD">
        <w:t xml:space="preserve"> DL</w:t>
      </w:r>
      <w:r w:rsidR="001D40E2" w:rsidRPr="00B916EC">
        <w:t xml:space="preserve"> slot </w:t>
      </w:r>
      <m:oMath>
        <m:sSub>
          <m:sSubPr>
            <m:ctrlPr>
              <w:rPr>
                <w:rFonts w:ascii="Cambria Math" w:hAnsi="Cambria Math"/>
                <w:i/>
                <w:lang w:val="x-none"/>
              </w:rPr>
            </m:ctrlPr>
          </m:sSubPr>
          <m:e>
            <m:r>
              <w:rPr>
                <w:rFonts w:ascii="Cambria Math" w:hAnsi="Cambria Math"/>
                <w:lang w:val="x-none"/>
              </w:rPr>
              <m:t>n</m:t>
            </m:r>
          </m:e>
          <m:sub>
            <m:r>
              <w:rPr>
                <w:rFonts w:ascii="Cambria Math" w:hAnsi="Cambria Math"/>
                <w:lang w:val="x-none"/>
              </w:rPr>
              <m:t>D</m:t>
            </m:r>
          </m:sub>
        </m:sSub>
      </m:oMath>
      <w:r w:rsidR="001D40E2" w:rsidRPr="00B916EC">
        <w:t>, the UE provide</w:t>
      </w:r>
      <w:r w:rsidR="001D40E2">
        <w:t>s</w:t>
      </w:r>
      <w:r w:rsidR="001D40E2" w:rsidRPr="00B916EC">
        <w:t xml:space="preserve"> corresponding HARQ-ACK information in a PUCCH transmission </w:t>
      </w:r>
      <w:r w:rsidR="001D40E2" w:rsidRPr="00B916EC">
        <w:lastRenderedPageBreak/>
        <w:t xml:space="preserve">within </w:t>
      </w:r>
      <w:r w:rsidR="00885BAD">
        <w:t xml:space="preserve">UL </w:t>
      </w:r>
      <w:r w:rsidR="001D40E2" w:rsidRPr="00B916EC">
        <w:t xml:space="preserve">slot </w:t>
      </w:r>
      <m:oMath>
        <m:r>
          <w:rPr>
            <w:rFonts w:ascii="Cambria Math" w:hAnsi="Cambria Math"/>
          </w:rPr>
          <m:t>n+k</m:t>
        </m:r>
      </m:oMath>
      <w:r w:rsidR="001D40E2" w:rsidRPr="00B916EC">
        <w:t>, where</w:t>
      </w:r>
      <w:r w:rsidR="009F18AE">
        <w:t xml:space="preserve"> </w:t>
      </w:r>
      <m:oMath>
        <m:r>
          <w:rPr>
            <w:rFonts w:ascii="Cambria Math" w:hAnsi="Cambria Math"/>
          </w:rPr>
          <m:t>k</m:t>
        </m:r>
      </m:oMath>
      <w:r w:rsidR="001D40E2" w:rsidRPr="00B916EC">
        <w:t xml:space="preserve"> is a number of slots and is indicated by the PDSCH-to-HARQ</w:t>
      </w:r>
      <w:r w:rsidR="00074311">
        <w:t xml:space="preserve">_feedback </w:t>
      </w:r>
      <w:r w:rsidR="001D40E2" w:rsidRPr="00B916EC">
        <w:t>timing</w:t>
      </w:r>
      <w:r w:rsidR="00074311">
        <w:t xml:space="preserve"> </w:t>
      </w:r>
      <w:r w:rsidR="001D40E2" w:rsidRPr="00B916EC">
        <w:t>indicator field in the DCI format</w:t>
      </w:r>
      <w:r w:rsidR="001D40E2">
        <w:t xml:space="preserve">, if present, or provided by </w:t>
      </w:r>
      <w:r w:rsidR="001D40E2" w:rsidRPr="000D579D">
        <w:rPr>
          <w:i/>
        </w:rPr>
        <w:t>dl-DataToUL-ACK</w:t>
      </w:r>
      <w:r w:rsidR="00E1189A">
        <w:t xml:space="preserve">, </w:t>
      </w:r>
      <w:r w:rsidR="000D2AA3" w:rsidRPr="000D579D">
        <w:rPr>
          <w:i/>
        </w:rPr>
        <w:t>dl-DataToUL-ACK</w:t>
      </w:r>
      <w:r w:rsidR="000D2AA3">
        <w:rPr>
          <w:i/>
        </w:rPr>
        <w:t>-r16</w:t>
      </w:r>
      <w:r w:rsidR="000D2AA3" w:rsidRPr="00D05783">
        <w:rPr>
          <w:iCs/>
        </w:rPr>
        <w:t>,</w:t>
      </w:r>
      <w:r w:rsidR="000D2AA3">
        <w:rPr>
          <w:iCs/>
        </w:rPr>
        <w:t xml:space="preserve"> </w:t>
      </w:r>
      <w:r w:rsidR="00E1189A">
        <w:t xml:space="preserve">or </w:t>
      </w:r>
      <w:r w:rsidR="00106490" w:rsidRPr="000D579D">
        <w:rPr>
          <w:i/>
        </w:rPr>
        <w:t>dl-DataToUL-ACK</w:t>
      </w:r>
      <w:r w:rsidR="00106490">
        <w:rPr>
          <w:i/>
          <w:lang w:val="en-US"/>
        </w:rPr>
        <w:t>-DCI-1-2</w:t>
      </w:r>
      <w:r w:rsidR="00CB5FA5" w:rsidRPr="00B06CC2">
        <w:t>,</w:t>
      </w:r>
      <w:r w:rsidR="00B3736B">
        <w:rPr>
          <w:iCs/>
        </w:rPr>
        <w:t xml:space="preserve"> </w:t>
      </w:r>
      <w:r w:rsidR="00B3736B">
        <w:t xml:space="preserve">or </w:t>
      </w:r>
      <w:r w:rsidR="00B3736B" w:rsidRPr="00CD132F">
        <w:rPr>
          <w:i/>
          <w:iCs/>
        </w:rPr>
        <w:t>dl-DataToUL-ACK-r17</w:t>
      </w:r>
      <w:r w:rsidR="00B3736B">
        <w:rPr>
          <w:kern w:val="2"/>
        </w:rPr>
        <w:t xml:space="preserve">, </w:t>
      </w:r>
      <w:r w:rsidR="00220390">
        <w:rPr>
          <w:rFonts w:eastAsia="Malgun Gothic"/>
          <w:lang w:val="en-US" w:eastAsia="zh-CN"/>
        </w:rPr>
        <w:t xml:space="preserve">or </w:t>
      </w:r>
      <w:r w:rsidR="00220390">
        <w:rPr>
          <w:rFonts w:eastAsia="Malgun Gothic"/>
          <w:i/>
        </w:rPr>
        <w:t>dl-DataToUL-ACK</w:t>
      </w:r>
      <w:r w:rsidR="00220390">
        <w:rPr>
          <w:rFonts w:eastAsia="Malgun Gothic"/>
          <w:i/>
          <w:lang w:val="en-US"/>
        </w:rPr>
        <w:t>-DCI-1-2</w:t>
      </w:r>
      <w:r w:rsidR="00220390">
        <w:rPr>
          <w:i/>
          <w:lang w:val="en-US"/>
        </w:rPr>
        <w:t>-r17</w:t>
      </w:r>
      <w:r w:rsidR="00AB7025" w:rsidRPr="00B06CC2">
        <w:t>,</w:t>
      </w:r>
      <w:r w:rsidR="00AB7025">
        <w:rPr>
          <w:iCs/>
        </w:rPr>
        <w:t xml:space="preserve"> </w:t>
      </w:r>
      <w:r w:rsidR="00AB7025">
        <w:t xml:space="preserve">or </w:t>
      </w:r>
      <w:r w:rsidR="00AB7025" w:rsidRPr="00CD132F">
        <w:rPr>
          <w:i/>
          <w:iCs/>
        </w:rPr>
        <w:t>dl-DataToUL-ACK-</w:t>
      </w:r>
      <w:r w:rsidR="00AB7025">
        <w:rPr>
          <w:i/>
          <w:iCs/>
        </w:rPr>
        <w:t>v1700</w:t>
      </w:r>
      <w:r w:rsidR="001D40E2">
        <w:t xml:space="preserve">. </w:t>
      </w:r>
    </w:p>
    <w:p w14:paraId="5FB75DFA" w14:textId="3C876008" w:rsidR="001D40E2" w:rsidRPr="008E26E3" w:rsidRDefault="00AD7255" w:rsidP="001D40E2">
      <w:r>
        <w:rPr>
          <w:lang w:val="en-US"/>
        </w:rPr>
        <w:t xml:space="preserve">A PUCCH transmission with </w:t>
      </w:r>
      <w:r w:rsidR="001D40E2">
        <w:rPr>
          <w:lang w:val="en-US"/>
        </w:rPr>
        <w:t>HARQ-ACK</w:t>
      </w:r>
      <w:r w:rsidR="001D40E2">
        <w:t xml:space="preserve"> information is subject to the limitations for UE transmissions described </w:t>
      </w:r>
      <w:r w:rsidR="006F5F9E">
        <w:t>in clause</w:t>
      </w:r>
      <w:r w:rsidR="001D40E2">
        <w:t xml:space="preserve"> 11.1</w:t>
      </w:r>
      <w:r w:rsidR="00944556">
        <w:t>,</w:t>
      </w:r>
      <w:r w:rsidR="001D40E2">
        <w:t xml:space="preserve"> </w:t>
      </w:r>
      <w:r w:rsidR="006F5F9E">
        <w:t>clause</w:t>
      </w:r>
      <w:r w:rsidR="001D40E2">
        <w:t xml:space="preserve"> 11.1.1</w:t>
      </w:r>
      <w:r w:rsidR="00944556">
        <w:rPr>
          <w:rFonts w:hint="eastAsia"/>
          <w:lang w:eastAsia="zh-CN"/>
        </w:rPr>
        <w:t xml:space="preserve"> and clause 17.2</w:t>
      </w:r>
      <w:r w:rsidR="001D40E2">
        <w:t xml:space="preserve">. </w:t>
      </w:r>
    </w:p>
    <w:p w14:paraId="189D280C" w14:textId="77777777" w:rsidR="00621303" w:rsidRPr="00B916EC" w:rsidRDefault="00621303" w:rsidP="00621303">
      <w:pPr>
        <w:pStyle w:val="TH"/>
        <w:rPr>
          <w:rFonts w:cs="Arial"/>
        </w:rPr>
      </w:pPr>
      <w:r w:rsidRPr="00B916EC">
        <w:rPr>
          <w:rFonts w:cs="Arial"/>
        </w:rPr>
        <w:t>Table 9.</w:t>
      </w:r>
      <w:r w:rsidR="004322CA" w:rsidRPr="00B916EC">
        <w:rPr>
          <w:rFonts w:cs="Arial"/>
        </w:rPr>
        <w:t>2</w:t>
      </w:r>
      <w:r w:rsidRPr="00B916EC">
        <w:rPr>
          <w:rFonts w:cs="Arial"/>
        </w:rPr>
        <w:t>.</w:t>
      </w:r>
      <w:r w:rsidR="00A2764D">
        <w:rPr>
          <w:rFonts w:cs="Arial"/>
        </w:rPr>
        <w:t>3</w:t>
      </w:r>
      <w:r w:rsidRPr="00B916EC">
        <w:rPr>
          <w:rFonts w:cs="Arial"/>
        </w:rPr>
        <w:t xml:space="preserve">-1: Mapping of </w:t>
      </w:r>
      <w:r w:rsidR="00193F12" w:rsidRPr="00B916EC">
        <w:rPr>
          <w:rFonts w:hint="eastAsia"/>
          <w:lang w:eastAsia="zh-CN"/>
        </w:rPr>
        <w:t>PDSCH-to-HARQ_feedback timing indicator</w:t>
      </w:r>
      <w:r w:rsidR="007D5A3F">
        <w:rPr>
          <w:szCs w:val="18"/>
        </w:rPr>
        <w:t xml:space="preserve"> </w:t>
      </w:r>
      <w:r w:rsidR="00CC232B" w:rsidRPr="00B916EC">
        <w:rPr>
          <w:rFonts w:cs="Arial"/>
        </w:rPr>
        <w:t xml:space="preserve">field </w:t>
      </w:r>
      <w:r w:rsidRPr="00B916EC">
        <w:rPr>
          <w:rFonts w:cs="Arial"/>
        </w:rPr>
        <w:t>values to numbers of slots</w:t>
      </w:r>
    </w:p>
    <w:tbl>
      <w:tblPr>
        <w:tblW w:w="9621"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1430"/>
        <w:gridCol w:w="1440"/>
        <w:gridCol w:w="1530"/>
        <w:gridCol w:w="5210"/>
        <w:gridCol w:w="11"/>
      </w:tblGrid>
      <w:tr w:rsidR="009F18AE" w:rsidRPr="0028542D" w14:paraId="15635963" w14:textId="77777777" w:rsidTr="00E71509">
        <w:trPr>
          <w:gridAfter w:val="1"/>
          <w:wAfter w:w="11" w:type="dxa"/>
          <w:cantSplit/>
          <w:jc w:val="center"/>
        </w:trPr>
        <w:tc>
          <w:tcPr>
            <w:tcW w:w="4400" w:type="dxa"/>
            <w:gridSpan w:val="3"/>
            <w:tcBorders>
              <w:top w:val="single" w:sz="8" w:space="0" w:color="auto"/>
              <w:left w:val="single" w:sz="8" w:space="0" w:color="auto"/>
              <w:bottom w:val="single" w:sz="8" w:space="0" w:color="auto"/>
              <w:right w:val="single" w:sz="8" w:space="0" w:color="auto"/>
            </w:tcBorders>
            <w:shd w:val="clear" w:color="auto" w:fill="E0E0E0"/>
            <w:vAlign w:val="center"/>
          </w:tcPr>
          <w:p w14:paraId="212C1BB2" w14:textId="77777777" w:rsidR="009F18AE" w:rsidRPr="0028542D" w:rsidRDefault="009F18AE" w:rsidP="009F18AE">
            <w:pPr>
              <w:pStyle w:val="TAH"/>
              <w:rPr>
                <w:lang w:eastAsia="zh-CN"/>
              </w:rPr>
            </w:pPr>
            <w:r w:rsidRPr="00B916EC">
              <w:rPr>
                <w:rFonts w:hint="eastAsia"/>
                <w:lang w:eastAsia="zh-CN"/>
              </w:rPr>
              <w:t>PDSCH-to-HARQ_feedback timing indicator</w:t>
            </w:r>
            <w:r w:rsidRPr="0028542D" w:rsidDel="000740B6">
              <w:rPr>
                <w:lang w:eastAsia="zh-CN"/>
              </w:rPr>
              <w:t xml:space="preserve"> </w:t>
            </w:r>
          </w:p>
        </w:tc>
        <w:tc>
          <w:tcPr>
            <w:tcW w:w="5210" w:type="dxa"/>
            <w:tcBorders>
              <w:top w:val="single" w:sz="8" w:space="0" w:color="auto"/>
              <w:left w:val="single" w:sz="8" w:space="0" w:color="auto"/>
              <w:bottom w:val="single" w:sz="8" w:space="0" w:color="auto"/>
              <w:right w:val="single" w:sz="8" w:space="0" w:color="auto"/>
            </w:tcBorders>
            <w:shd w:val="clear" w:color="auto" w:fill="E0E0E0"/>
            <w:vAlign w:val="center"/>
          </w:tcPr>
          <w:p w14:paraId="342F4B2A" w14:textId="3A77BAA2" w:rsidR="009F18AE" w:rsidRPr="0028542D" w:rsidRDefault="009F18AE" w:rsidP="009F18AE">
            <w:pPr>
              <w:pStyle w:val="TAH"/>
            </w:pPr>
            <w:r w:rsidRPr="00B27E56">
              <w:t xml:space="preserve">Number of slots </w:t>
            </w:r>
            <m:oMath>
              <m:r>
                <m:rPr>
                  <m:sty m:val="bi"/>
                </m:rPr>
                <w:rPr>
                  <w:rFonts w:ascii="Cambria Math" w:hAnsi="Cambria Math"/>
                </w:rPr>
                <m:t>k</m:t>
              </m:r>
            </m:oMath>
          </w:p>
        </w:tc>
      </w:tr>
      <w:tr w:rsidR="000D2AA3" w:rsidRPr="00B916EC" w14:paraId="18C09C88" w14:textId="77777777" w:rsidTr="00E71509">
        <w:trPr>
          <w:cantSplit/>
          <w:jc w:val="center"/>
        </w:trPr>
        <w:tc>
          <w:tcPr>
            <w:tcW w:w="1430" w:type="dxa"/>
          </w:tcPr>
          <w:p w14:paraId="1F68D740" w14:textId="77777777" w:rsidR="000D2AA3" w:rsidRPr="00B916EC" w:rsidRDefault="000D2AA3" w:rsidP="00932705">
            <w:pPr>
              <w:pStyle w:val="TAC"/>
            </w:pPr>
            <w:r>
              <w:t>1 bit</w:t>
            </w:r>
          </w:p>
        </w:tc>
        <w:tc>
          <w:tcPr>
            <w:tcW w:w="1440" w:type="dxa"/>
          </w:tcPr>
          <w:p w14:paraId="14167324" w14:textId="77777777" w:rsidR="000D2AA3" w:rsidRPr="00B916EC" w:rsidRDefault="000D2AA3" w:rsidP="00932705">
            <w:pPr>
              <w:pStyle w:val="TAC"/>
            </w:pPr>
            <w:r>
              <w:t>2 bits</w:t>
            </w:r>
          </w:p>
        </w:tc>
        <w:tc>
          <w:tcPr>
            <w:tcW w:w="1530" w:type="dxa"/>
            <w:vAlign w:val="center"/>
          </w:tcPr>
          <w:p w14:paraId="3C4BEB18" w14:textId="77777777" w:rsidR="000D2AA3" w:rsidRPr="00B916EC" w:rsidRDefault="000D2AA3" w:rsidP="00932705">
            <w:pPr>
              <w:pStyle w:val="TAC"/>
            </w:pPr>
            <w:r>
              <w:t>3 bits</w:t>
            </w:r>
          </w:p>
        </w:tc>
        <w:tc>
          <w:tcPr>
            <w:tcW w:w="5221" w:type="dxa"/>
            <w:gridSpan w:val="2"/>
            <w:vAlign w:val="center"/>
          </w:tcPr>
          <w:p w14:paraId="4786C857" w14:textId="77777777" w:rsidR="000D2AA3" w:rsidRPr="00B916EC" w:rsidRDefault="000D2AA3" w:rsidP="00932705">
            <w:pPr>
              <w:pStyle w:val="TAL"/>
              <w:jc w:val="center"/>
            </w:pPr>
          </w:p>
        </w:tc>
      </w:tr>
      <w:tr w:rsidR="00F70ED7" w:rsidRPr="00B916EC" w14:paraId="62945C49" w14:textId="77777777" w:rsidTr="00006E82">
        <w:trPr>
          <w:cantSplit/>
          <w:jc w:val="center"/>
        </w:trPr>
        <w:tc>
          <w:tcPr>
            <w:tcW w:w="1430" w:type="dxa"/>
            <w:vAlign w:val="center"/>
          </w:tcPr>
          <w:p w14:paraId="3041C89A" w14:textId="77777777" w:rsidR="00F70ED7" w:rsidRPr="00B916EC" w:rsidRDefault="00F70ED7" w:rsidP="00F70ED7">
            <w:pPr>
              <w:pStyle w:val="TAC"/>
            </w:pPr>
            <w:r>
              <w:t>'0'</w:t>
            </w:r>
          </w:p>
        </w:tc>
        <w:tc>
          <w:tcPr>
            <w:tcW w:w="1440" w:type="dxa"/>
            <w:vAlign w:val="center"/>
          </w:tcPr>
          <w:p w14:paraId="66B98273" w14:textId="77777777" w:rsidR="00F70ED7" w:rsidRPr="00B916EC" w:rsidRDefault="00F70ED7" w:rsidP="00F70ED7">
            <w:pPr>
              <w:pStyle w:val="TAC"/>
            </w:pPr>
            <w:r>
              <w:t>'00'</w:t>
            </w:r>
          </w:p>
        </w:tc>
        <w:tc>
          <w:tcPr>
            <w:tcW w:w="1530" w:type="dxa"/>
            <w:vAlign w:val="center"/>
          </w:tcPr>
          <w:p w14:paraId="75CE730E" w14:textId="77777777" w:rsidR="00F70ED7" w:rsidRPr="00B916EC" w:rsidRDefault="00F70ED7" w:rsidP="00F70ED7">
            <w:pPr>
              <w:pStyle w:val="TAC"/>
            </w:pPr>
            <w:r w:rsidRPr="00B916EC">
              <w:t>'000'</w:t>
            </w:r>
          </w:p>
        </w:tc>
        <w:tc>
          <w:tcPr>
            <w:tcW w:w="5221" w:type="dxa"/>
            <w:gridSpan w:val="2"/>
            <w:vAlign w:val="center"/>
          </w:tcPr>
          <w:p w14:paraId="0C20D4E7" w14:textId="45D34E3E" w:rsidR="00F70ED7" w:rsidRPr="00B916EC" w:rsidRDefault="00F70ED7" w:rsidP="00F70ED7">
            <w:pPr>
              <w:pStyle w:val="TAL"/>
              <w:jc w:val="center"/>
            </w:pPr>
            <w:r w:rsidRPr="00B06CC2">
              <w:t>1</w:t>
            </w:r>
            <w:r w:rsidRPr="00B06CC2">
              <w:rPr>
                <w:vertAlign w:val="superscript"/>
              </w:rPr>
              <w:t>st</w:t>
            </w:r>
            <w:r w:rsidRPr="00B06CC2">
              <w:t xml:space="preserve"> value provided by </w:t>
            </w:r>
            <w:r w:rsidRPr="00B06CC2">
              <w:rPr>
                <w:i/>
              </w:rPr>
              <w:t>dl-DataToUL-ACK</w:t>
            </w:r>
            <w:r w:rsidRPr="00B06CC2">
              <w:rPr>
                <w:iCs/>
              </w:rPr>
              <w:t xml:space="preserve">, </w:t>
            </w:r>
            <w:r w:rsidRPr="00B06CC2">
              <w:rPr>
                <w:i/>
              </w:rPr>
              <w:t>dl-DataToUL-ACK-r16</w:t>
            </w:r>
            <w:r w:rsidRPr="00B06CC2">
              <w:rPr>
                <w:iCs/>
              </w:rPr>
              <w:t>,</w:t>
            </w:r>
            <w:r w:rsidRPr="00B06CC2">
              <w:t xml:space="preserve"> </w:t>
            </w:r>
            <w:r w:rsidR="00106490">
              <w:rPr>
                <w:i/>
              </w:rPr>
              <w:t>dl-DataToUL-ACK-DCI-1-2</w:t>
            </w:r>
            <w:r w:rsidR="00B3736B" w:rsidRPr="00D05783">
              <w:rPr>
                <w:iCs/>
              </w:rPr>
              <w:t>,</w:t>
            </w:r>
            <w:r w:rsidR="00B3736B">
              <w:rPr>
                <w:iCs/>
              </w:rPr>
              <w:t xml:space="preserve"> </w:t>
            </w:r>
            <w:r w:rsidR="00B3736B" w:rsidRPr="00CD132F">
              <w:rPr>
                <w:i/>
                <w:iCs/>
              </w:rPr>
              <w:t>dl-DataToUL-ACK-r17</w:t>
            </w:r>
            <w:r w:rsidRPr="00B06CC2">
              <w:rPr>
                <w:rFonts w:cs="Arial"/>
                <w:iCs/>
                <w:szCs w:val="18"/>
              </w:rPr>
              <w:t xml:space="preserve">, </w:t>
            </w:r>
            <w:r w:rsidR="00220390">
              <w:rPr>
                <w:rFonts w:eastAsia="Malgun Gothic"/>
                <w:i/>
              </w:rPr>
              <w:t>dl-DataToUL-ACK-DCI-1-2-r17</w:t>
            </w:r>
            <w:r w:rsidR="00220390" w:rsidRPr="00AF44DC">
              <w:rPr>
                <w:iCs/>
                <w:lang w:val="en-US"/>
              </w:rPr>
              <w:t>,</w:t>
            </w:r>
            <w:r w:rsidR="00220390" w:rsidRPr="00AF44DC">
              <w:rPr>
                <w:rFonts w:eastAsia="Malgun Gothic"/>
                <w:iCs/>
                <w:lang w:val="en-US" w:eastAsia="zh-CN"/>
              </w:rPr>
              <w:t xml:space="preserve"> </w:t>
            </w:r>
            <w:r w:rsidR="00AB7025" w:rsidRPr="00CD132F">
              <w:rPr>
                <w:i/>
                <w:iCs/>
              </w:rPr>
              <w:t>dl-DataToUL-ACK-</w:t>
            </w:r>
            <w:r w:rsidR="00AB7025">
              <w:rPr>
                <w:i/>
                <w:iCs/>
              </w:rPr>
              <w:t>v1700</w:t>
            </w:r>
            <w:r w:rsidR="00AB7025" w:rsidRPr="00C40783">
              <w:rPr>
                <w:iCs/>
              </w:rPr>
              <w:t xml:space="preserve">, </w:t>
            </w:r>
            <w:r>
              <w:rPr>
                <w:rFonts w:cs="Arial"/>
                <w:iCs/>
                <w:szCs w:val="18"/>
              </w:rPr>
              <w:t xml:space="preserve">or </w:t>
            </w:r>
            <w:r w:rsidRPr="00B06CC2">
              <w:rPr>
                <w:rFonts w:cs="Arial"/>
                <w:i/>
                <w:iCs/>
                <w:szCs w:val="18"/>
              </w:rPr>
              <w:t>dl-DataToUL-ACK-</w:t>
            </w:r>
            <w:r w:rsidR="00E21296" w:rsidRPr="00B06CC2">
              <w:rPr>
                <w:rFonts w:cs="Arial"/>
                <w:i/>
                <w:iCs/>
                <w:szCs w:val="18"/>
              </w:rPr>
              <w:t>MulticastD</w:t>
            </w:r>
            <w:r w:rsidR="00E21296">
              <w:rPr>
                <w:rFonts w:cs="Arial"/>
                <w:i/>
                <w:iCs/>
                <w:szCs w:val="18"/>
              </w:rPr>
              <w:t>CI-</w:t>
            </w:r>
            <w:r w:rsidR="00E21296" w:rsidRPr="00B06CC2">
              <w:rPr>
                <w:rFonts w:cs="Arial"/>
                <w:i/>
                <w:iCs/>
                <w:szCs w:val="18"/>
              </w:rPr>
              <w:t>Format</w:t>
            </w:r>
            <w:r w:rsidR="00E21296">
              <w:rPr>
                <w:rFonts w:cs="Arial"/>
                <w:i/>
                <w:iCs/>
                <w:szCs w:val="18"/>
              </w:rPr>
              <w:t>4-</w:t>
            </w:r>
            <w:r>
              <w:rPr>
                <w:rFonts w:cs="Arial"/>
                <w:i/>
                <w:iCs/>
                <w:szCs w:val="18"/>
              </w:rPr>
              <w:t>1</w:t>
            </w:r>
          </w:p>
        </w:tc>
      </w:tr>
      <w:tr w:rsidR="00F70ED7" w:rsidRPr="00B916EC" w14:paraId="3211A4CB" w14:textId="77777777" w:rsidTr="00006E82">
        <w:trPr>
          <w:cantSplit/>
          <w:jc w:val="center"/>
        </w:trPr>
        <w:tc>
          <w:tcPr>
            <w:tcW w:w="1430" w:type="dxa"/>
            <w:vAlign w:val="center"/>
          </w:tcPr>
          <w:p w14:paraId="70A54976" w14:textId="77777777" w:rsidR="00F70ED7" w:rsidRPr="00B916EC" w:rsidRDefault="00F70ED7" w:rsidP="00F70ED7">
            <w:pPr>
              <w:pStyle w:val="TAC"/>
            </w:pPr>
            <w:r>
              <w:t>'1'</w:t>
            </w:r>
          </w:p>
        </w:tc>
        <w:tc>
          <w:tcPr>
            <w:tcW w:w="1440" w:type="dxa"/>
            <w:vAlign w:val="center"/>
          </w:tcPr>
          <w:p w14:paraId="1000381E" w14:textId="77777777" w:rsidR="00F70ED7" w:rsidRPr="00B916EC" w:rsidRDefault="00F70ED7" w:rsidP="00F70ED7">
            <w:pPr>
              <w:pStyle w:val="TAC"/>
            </w:pPr>
            <w:r>
              <w:t>'01'</w:t>
            </w:r>
          </w:p>
        </w:tc>
        <w:tc>
          <w:tcPr>
            <w:tcW w:w="1530" w:type="dxa"/>
            <w:vAlign w:val="center"/>
          </w:tcPr>
          <w:p w14:paraId="7375A14D" w14:textId="77777777" w:rsidR="00F70ED7" w:rsidRPr="00B916EC" w:rsidRDefault="00F70ED7" w:rsidP="00F70ED7">
            <w:pPr>
              <w:pStyle w:val="TAC"/>
            </w:pPr>
            <w:r w:rsidRPr="00B916EC">
              <w:t>'001'</w:t>
            </w:r>
          </w:p>
        </w:tc>
        <w:tc>
          <w:tcPr>
            <w:tcW w:w="5221" w:type="dxa"/>
            <w:gridSpan w:val="2"/>
            <w:vAlign w:val="center"/>
          </w:tcPr>
          <w:p w14:paraId="02B9EEFA" w14:textId="1216D0BD" w:rsidR="00F70ED7" w:rsidRPr="00B916EC" w:rsidRDefault="00F70ED7" w:rsidP="00F70ED7">
            <w:pPr>
              <w:pStyle w:val="TAL"/>
              <w:jc w:val="center"/>
            </w:pPr>
            <w:r w:rsidRPr="00B06CC2">
              <w:t>2</w:t>
            </w:r>
            <w:r w:rsidRPr="00B06CC2">
              <w:rPr>
                <w:vertAlign w:val="superscript"/>
              </w:rPr>
              <w:t>nd</w:t>
            </w:r>
            <w:r w:rsidRPr="00B06CC2">
              <w:t xml:space="preserve"> value provided by </w:t>
            </w:r>
            <w:r w:rsidRPr="00B06CC2">
              <w:rPr>
                <w:i/>
              </w:rPr>
              <w:t>dl-DataToUL-ACK</w:t>
            </w:r>
            <w:r w:rsidRPr="00B06CC2">
              <w:rPr>
                <w:iCs/>
              </w:rPr>
              <w:t xml:space="preserve">, </w:t>
            </w:r>
            <w:r w:rsidRPr="00B06CC2">
              <w:rPr>
                <w:i/>
              </w:rPr>
              <w:t>dl-DataToUL-ACK-r16</w:t>
            </w:r>
            <w:r w:rsidRPr="00B06CC2">
              <w:rPr>
                <w:iCs/>
              </w:rPr>
              <w:t>,</w:t>
            </w:r>
            <w:r w:rsidRPr="00B06CC2">
              <w:t xml:space="preserve"> </w:t>
            </w:r>
            <w:r w:rsidR="00106490">
              <w:rPr>
                <w:i/>
              </w:rPr>
              <w:t>dl-DataToUL-ACK-DCI-1-2</w:t>
            </w:r>
            <w:r w:rsidR="00B3736B" w:rsidRPr="00D05783">
              <w:rPr>
                <w:iCs/>
              </w:rPr>
              <w:t>,</w:t>
            </w:r>
            <w:r w:rsidR="00B3736B">
              <w:rPr>
                <w:iCs/>
              </w:rPr>
              <w:t xml:space="preserve"> </w:t>
            </w:r>
            <w:r w:rsidR="00B3736B" w:rsidRPr="00CD132F">
              <w:rPr>
                <w:i/>
                <w:iCs/>
              </w:rPr>
              <w:t>dl-DataToUL-ACK-r17</w:t>
            </w:r>
            <w:r w:rsidRPr="00B06CC2">
              <w:rPr>
                <w:iCs/>
              </w:rPr>
              <w:t>,</w:t>
            </w:r>
            <w:r>
              <w:rPr>
                <w:iCs/>
              </w:rPr>
              <w:t xml:space="preserve"> </w:t>
            </w:r>
            <w:r w:rsidR="009205F6">
              <w:rPr>
                <w:rFonts w:eastAsia="Malgun Gothic"/>
                <w:i/>
              </w:rPr>
              <w:t>dl-DataToUL-ACK-DCI-1-2-r17</w:t>
            </w:r>
            <w:r w:rsidR="009205F6" w:rsidRPr="00AF44DC">
              <w:rPr>
                <w:iCs/>
                <w:lang w:val="en-US"/>
              </w:rPr>
              <w:t>,</w:t>
            </w:r>
            <w:r w:rsidR="009205F6" w:rsidRPr="00AF44DC">
              <w:rPr>
                <w:rFonts w:eastAsia="Malgun Gothic"/>
                <w:iCs/>
                <w:lang w:val="en-US" w:eastAsia="zh-CN"/>
              </w:rPr>
              <w:t xml:space="preserve"> </w:t>
            </w:r>
            <w:r w:rsidR="00AB7025" w:rsidRPr="00CD132F">
              <w:rPr>
                <w:i/>
                <w:iCs/>
              </w:rPr>
              <w:t>dl-DataToUL-ACK-</w:t>
            </w:r>
            <w:r w:rsidR="00AB7025">
              <w:rPr>
                <w:i/>
                <w:iCs/>
              </w:rPr>
              <w:t>v1700</w:t>
            </w:r>
            <w:r w:rsidR="00AB7025" w:rsidRPr="00C40783">
              <w:rPr>
                <w:iCs/>
              </w:rPr>
              <w:t xml:space="preserve">, </w:t>
            </w:r>
            <w:r>
              <w:rPr>
                <w:iCs/>
              </w:rPr>
              <w:t>or</w:t>
            </w:r>
            <w:r w:rsidRPr="00B06CC2">
              <w:rPr>
                <w:rFonts w:cs="Arial"/>
                <w:i/>
                <w:iCs/>
                <w:szCs w:val="18"/>
              </w:rPr>
              <w:t xml:space="preserve"> dl-DataToUL-ACK-</w:t>
            </w:r>
            <w:r w:rsidR="00E21296" w:rsidRPr="00B06CC2">
              <w:rPr>
                <w:rFonts w:cs="Arial"/>
                <w:i/>
                <w:iCs/>
                <w:szCs w:val="18"/>
              </w:rPr>
              <w:t>MulticastD</w:t>
            </w:r>
            <w:r w:rsidR="00E21296">
              <w:rPr>
                <w:rFonts w:cs="Arial"/>
                <w:i/>
                <w:iCs/>
                <w:szCs w:val="18"/>
              </w:rPr>
              <w:t>CI-</w:t>
            </w:r>
            <w:r w:rsidR="00E21296" w:rsidRPr="00B06CC2">
              <w:rPr>
                <w:rFonts w:cs="Arial"/>
                <w:i/>
                <w:iCs/>
                <w:szCs w:val="18"/>
              </w:rPr>
              <w:t>Format</w:t>
            </w:r>
            <w:r w:rsidR="00E21296">
              <w:rPr>
                <w:rFonts w:cs="Arial"/>
                <w:i/>
                <w:iCs/>
                <w:szCs w:val="18"/>
              </w:rPr>
              <w:t>4-1</w:t>
            </w:r>
          </w:p>
        </w:tc>
      </w:tr>
      <w:tr w:rsidR="00F70ED7" w:rsidRPr="00B916EC" w14:paraId="55890800" w14:textId="77777777" w:rsidTr="00006E82">
        <w:trPr>
          <w:cantSplit/>
          <w:jc w:val="center"/>
        </w:trPr>
        <w:tc>
          <w:tcPr>
            <w:tcW w:w="1430" w:type="dxa"/>
            <w:vAlign w:val="center"/>
          </w:tcPr>
          <w:p w14:paraId="69EBCD86" w14:textId="77777777" w:rsidR="00F70ED7" w:rsidRPr="00B916EC" w:rsidRDefault="00F70ED7" w:rsidP="00F70ED7">
            <w:pPr>
              <w:pStyle w:val="TAC"/>
            </w:pPr>
          </w:p>
        </w:tc>
        <w:tc>
          <w:tcPr>
            <w:tcW w:w="1440" w:type="dxa"/>
            <w:vAlign w:val="center"/>
          </w:tcPr>
          <w:p w14:paraId="16386CFE" w14:textId="77777777" w:rsidR="00F70ED7" w:rsidRPr="00B916EC" w:rsidRDefault="00F70ED7" w:rsidP="00F70ED7">
            <w:pPr>
              <w:pStyle w:val="TAC"/>
            </w:pPr>
            <w:r>
              <w:t>'10'</w:t>
            </w:r>
          </w:p>
        </w:tc>
        <w:tc>
          <w:tcPr>
            <w:tcW w:w="1530" w:type="dxa"/>
            <w:vAlign w:val="center"/>
          </w:tcPr>
          <w:p w14:paraId="0DBA018D" w14:textId="77777777" w:rsidR="00F70ED7" w:rsidRPr="00B916EC" w:rsidRDefault="00F70ED7" w:rsidP="00F70ED7">
            <w:pPr>
              <w:pStyle w:val="TAC"/>
            </w:pPr>
            <w:r w:rsidRPr="00B916EC">
              <w:t>'010'</w:t>
            </w:r>
          </w:p>
        </w:tc>
        <w:tc>
          <w:tcPr>
            <w:tcW w:w="5221" w:type="dxa"/>
            <w:gridSpan w:val="2"/>
            <w:vAlign w:val="center"/>
          </w:tcPr>
          <w:p w14:paraId="33DA3752" w14:textId="41A1119A" w:rsidR="00F70ED7" w:rsidRPr="00B916EC" w:rsidRDefault="00F70ED7" w:rsidP="00F70ED7">
            <w:pPr>
              <w:pStyle w:val="TAL"/>
              <w:jc w:val="center"/>
            </w:pPr>
            <w:r w:rsidRPr="00B06CC2">
              <w:t>3</w:t>
            </w:r>
            <w:r w:rsidRPr="00B06CC2">
              <w:rPr>
                <w:vertAlign w:val="superscript"/>
              </w:rPr>
              <w:t>rd</w:t>
            </w:r>
            <w:r w:rsidRPr="00B06CC2">
              <w:t xml:space="preserve"> value provided by </w:t>
            </w:r>
            <w:r w:rsidRPr="00B06CC2">
              <w:rPr>
                <w:i/>
              </w:rPr>
              <w:t>dl-DataToUL-ACK</w:t>
            </w:r>
            <w:r w:rsidRPr="00B06CC2">
              <w:rPr>
                <w:iCs/>
              </w:rPr>
              <w:t xml:space="preserve">, </w:t>
            </w:r>
            <w:r w:rsidRPr="00B06CC2">
              <w:rPr>
                <w:i/>
              </w:rPr>
              <w:t>dl-DataToUL-ACK-r16</w:t>
            </w:r>
            <w:r w:rsidRPr="00B06CC2">
              <w:rPr>
                <w:iCs/>
              </w:rPr>
              <w:t>,</w:t>
            </w:r>
            <w:r w:rsidRPr="00B06CC2">
              <w:t xml:space="preserve"> </w:t>
            </w:r>
            <w:r w:rsidR="00106490">
              <w:rPr>
                <w:i/>
              </w:rPr>
              <w:t>dl-DataToUL-ACK-DCI-1-2</w:t>
            </w:r>
            <w:r w:rsidR="00B3736B" w:rsidRPr="00D05783">
              <w:rPr>
                <w:iCs/>
              </w:rPr>
              <w:t>,</w:t>
            </w:r>
            <w:r w:rsidR="00B3736B">
              <w:rPr>
                <w:iCs/>
              </w:rPr>
              <w:t xml:space="preserve"> </w:t>
            </w:r>
            <w:r w:rsidR="00B3736B" w:rsidRPr="00CD132F">
              <w:rPr>
                <w:i/>
                <w:iCs/>
              </w:rPr>
              <w:t>dl-DataToUL-ACK-r17</w:t>
            </w:r>
            <w:r w:rsidRPr="00B06CC2">
              <w:rPr>
                <w:iCs/>
              </w:rPr>
              <w:t>,</w:t>
            </w:r>
            <w:r>
              <w:rPr>
                <w:iCs/>
              </w:rPr>
              <w:t xml:space="preserve"> </w:t>
            </w:r>
            <w:r w:rsidR="009205F6">
              <w:rPr>
                <w:rFonts w:eastAsia="Malgun Gothic"/>
                <w:i/>
              </w:rPr>
              <w:t>dl-DataToUL-ACK-DCI-1-2-r17</w:t>
            </w:r>
            <w:r w:rsidR="009205F6" w:rsidRPr="00AF44DC">
              <w:rPr>
                <w:iCs/>
                <w:lang w:val="en-US"/>
              </w:rPr>
              <w:t>,</w:t>
            </w:r>
            <w:r w:rsidR="009205F6" w:rsidRPr="00AF44DC">
              <w:rPr>
                <w:rFonts w:eastAsia="Malgun Gothic"/>
                <w:iCs/>
                <w:lang w:val="en-US" w:eastAsia="zh-CN"/>
              </w:rPr>
              <w:t xml:space="preserve"> </w:t>
            </w:r>
            <w:r w:rsidR="00AB7025" w:rsidRPr="00CD132F">
              <w:rPr>
                <w:i/>
                <w:iCs/>
              </w:rPr>
              <w:t>dl-DataToUL-ACK-</w:t>
            </w:r>
            <w:r w:rsidR="00AB7025">
              <w:rPr>
                <w:i/>
                <w:iCs/>
              </w:rPr>
              <w:t>v1700</w:t>
            </w:r>
            <w:r w:rsidR="00AB7025" w:rsidRPr="00C40783">
              <w:rPr>
                <w:iCs/>
              </w:rPr>
              <w:t xml:space="preserve">, </w:t>
            </w:r>
            <w:r>
              <w:rPr>
                <w:iCs/>
              </w:rPr>
              <w:t>or</w:t>
            </w:r>
            <w:r w:rsidRPr="00B06CC2">
              <w:rPr>
                <w:rFonts w:cs="Arial"/>
                <w:i/>
                <w:iCs/>
                <w:szCs w:val="18"/>
              </w:rPr>
              <w:t xml:space="preserve"> dl-DataToUL-ACK-</w:t>
            </w:r>
            <w:r w:rsidR="00E21296" w:rsidRPr="00B06CC2">
              <w:rPr>
                <w:rFonts w:cs="Arial"/>
                <w:i/>
                <w:iCs/>
                <w:szCs w:val="18"/>
              </w:rPr>
              <w:t>MulticastD</w:t>
            </w:r>
            <w:r w:rsidR="00E21296">
              <w:rPr>
                <w:rFonts w:cs="Arial"/>
                <w:i/>
                <w:iCs/>
                <w:szCs w:val="18"/>
              </w:rPr>
              <w:t>CI-</w:t>
            </w:r>
            <w:r w:rsidR="00E21296" w:rsidRPr="00B06CC2">
              <w:rPr>
                <w:rFonts w:cs="Arial"/>
                <w:i/>
                <w:iCs/>
                <w:szCs w:val="18"/>
              </w:rPr>
              <w:t>Format</w:t>
            </w:r>
            <w:r w:rsidR="00E21296">
              <w:rPr>
                <w:rFonts w:cs="Arial"/>
                <w:i/>
                <w:iCs/>
                <w:szCs w:val="18"/>
              </w:rPr>
              <w:t>4-1</w:t>
            </w:r>
          </w:p>
        </w:tc>
      </w:tr>
      <w:tr w:rsidR="00F70ED7" w:rsidRPr="00B916EC" w14:paraId="09969E50" w14:textId="77777777" w:rsidTr="00006E82">
        <w:trPr>
          <w:cantSplit/>
          <w:jc w:val="center"/>
        </w:trPr>
        <w:tc>
          <w:tcPr>
            <w:tcW w:w="1430" w:type="dxa"/>
            <w:vAlign w:val="center"/>
          </w:tcPr>
          <w:p w14:paraId="0504BF38" w14:textId="77777777" w:rsidR="00F70ED7" w:rsidRPr="00B916EC" w:rsidRDefault="00F70ED7" w:rsidP="00F70ED7">
            <w:pPr>
              <w:pStyle w:val="TAC"/>
            </w:pPr>
          </w:p>
        </w:tc>
        <w:tc>
          <w:tcPr>
            <w:tcW w:w="1440" w:type="dxa"/>
            <w:vAlign w:val="center"/>
          </w:tcPr>
          <w:p w14:paraId="22288B4E" w14:textId="77777777" w:rsidR="00F70ED7" w:rsidRPr="00B916EC" w:rsidRDefault="00F70ED7" w:rsidP="00F70ED7">
            <w:pPr>
              <w:pStyle w:val="TAC"/>
            </w:pPr>
            <w:r>
              <w:t>'11'</w:t>
            </w:r>
          </w:p>
        </w:tc>
        <w:tc>
          <w:tcPr>
            <w:tcW w:w="1530" w:type="dxa"/>
            <w:vAlign w:val="center"/>
          </w:tcPr>
          <w:p w14:paraId="0874FF83" w14:textId="77777777" w:rsidR="00F70ED7" w:rsidRPr="00B916EC" w:rsidRDefault="00F70ED7" w:rsidP="00F70ED7">
            <w:pPr>
              <w:pStyle w:val="TAC"/>
            </w:pPr>
            <w:r w:rsidRPr="00B916EC">
              <w:t>'011'</w:t>
            </w:r>
          </w:p>
        </w:tc>
        <w:tc>
          <w:tcPr>
            <w:tcW w:w="5221" w:type="dxa"/>
            <w:gridSpan w:val="2"/>
            <w:vAlign w:val="center"/>
          </w:tcPr>
          <w:p w14:paraId="0B7B05B5" w14:textId="37E9FFCB" w:rsidR="00F70ED7" w:rsidRPr="00B916EC" w:rsidRDefault="00F70ED7" w:rsidP="00F70ED7">
            <w:pPr>
              <w:pStyle w:val="TAL"/>
              <w:jc w:val="center"/>
            </w:pPr>
            <w:r w:rsidRPr="00B06CC2">
              <w:t>4</w:t>
            </w:r>
            <w:r w:rsidRPr="00B06CC2">
              <w:rPr>
                <w:vertAlign w:val="superscript"/>
              </w:rPr>
              <w:t>th</w:t>
            </w:r>
            <w:r w:rsidRPr="00B06CC2">
              <w:t xml:space="preserve"> value provided by </w:t>
            </w:r>
            <w:r w:rsidRPr="00B06CC2">
              <w:rPr>
                <w:i/>
              </w:rPr>
              <w:t>dl-DataToUL-ACK</w:t>
            </w:r>
            <w:r w:rsidRPr="00B06CC2">
              <w:rPr>
                <w:iCs/>
              </w:rPr>
              <w:t xml:space="preserve">, </w:t>
            </w:r>
            <w:r w:rsidRPr="00B06CC2">
              <w:rPr>
                <w:i/>
              </w:rPr>
              <w:t>dl-DataToUL-ACK-r16</w:t>
            </w:r>
            <w:r w:rsidRPr="00B06CC2">
              <w:rPr>
                <w:iCs/>
              </w:rPr>
              <w:t>,</w:t>
            </w:r>
            <w:r w:rsidRPr="00B06CC2">
              <w:t xml:space="preserve"> </w:t>
            </w:r>
            <w:r w:rsidR="00106490">
              <w:rPr>
                <w:i/>
              </w:rPr>
              <w:t>dl-DataToUL-ACK-DCI-1-2</w:t>
            </w:r>
            <w:r w:rsidR="00B3736B" w:rsidRPr="00D05783">
              <w:rPr>
                <w:iCs/>
              </w:rPr>
              <w:t>,</w:t>
            </w:r>
            <w:r w:rsidR="00B3736B">
              <w:rPr>
                <w:iCs/>
              </w:rPr>
              <w:t xml:space="preserve"> </w:t>
            </w:r>
            <w:r w:rsidR="00B3736B" w:rsidRPr="00CD132F">
              <w:rPr>
                <w:i/>
                <w:iCs/>
              </w:rPr>
              <w:t>dl-DataToUL-ACK-r17</w:t>
            </w:r>
            <w:r w:rsidRPr="00B06CC2">
              <w:rPr>
                <w:iCs/>
              </w:rPr>
              <w:t>,</w:t>
            </w:r>
            <w:r w:rsidRPr="00B06CC2">
              <w:rPr>
                <w:rFonts w:cs="Arial"/>
                <w:i/>
                <w:iCs/>
                <w:szCs w:val="18"/>
              </w:rPr>
              <w:t xml:space="preserve"> </w:t>
            </w:r>
            <w:r w:rsidR="009205F6">
              <w:rPr>
                <w:rFonts w:eastAsia="Malgun Gothic"/>
                <w:i/>
              </w:rPr>
              <w:t>dl-DataToUL-ACK-DCI-1-2-r17</w:t>
            </w:r>
            <w:r w:rsidR="009205F6" w:rsidRPr="00AF44DC">
              <w:rPr>
                <w:iCs/>
                <w:lang w:val="en-US"/>
              </w:rPr>
              <w:t>,</w:t>
            </w:r>
            <w:r w:rsidR="009205F6" w:rsidRPr="00AF44DC">
              <w:rPr>
                <w:rFonts w:eastAsia="Malgun Gothic"/>
                <w:iCs/>
                <w:lang w:val="en-US" w:eastAsia="zh-CN"/>
              </w:rPr>
              <w:t xml:space="preserve"> </w:t>
            </w:r>
            <w:r w:rsidR="00AB7025" w:rsidRPr="00CD132F">
              <w:rPr>
                <w:i/>
                <w:iCs/>
              </w:rPr>
              <w:t>dl-DataToUL-ACK-</w:t>
            </w:r>
            <w:r w:rsidR="00AB7025">
              <w:rPr>
                <w:i/>
                <w:iCs/>
              </w:rPr>
              <w:t>v1700</w:t>
            </w:r>
            <w:r w:rsidR="00AB7025" w:rsidRPr="00C40783">
              <w:rPr>
                <w:iCs/>
              </w:rPr>
              <w:t xml:space="preserve">, </w:t>
            </w:r>
            <w:r w:rsidR="00A74FA7">
              <w:rPr>
                <w:iCs/>
              </w:rPr>
              <w:t xml:space="preserve">or </w:t>
            </w:r>
            <w:r w:rsidRPr="00B06CC2">
              <w:rPr>
                <w:rFonts w:cs="Arial"/>
                <w:i/>
                <w:iCs/>
                <w:szCs w:val="18"/>
              </w:rPr>
              <w:t>dl-DataToUL-ACK-</w:t>
            </w:r>
            <w:r w:rsidR="00E21296" w:rsidRPr="00B06CC2">
              <w:rPr>
                <w:rFonts w:cs="Arial"/>
                <w:i/>
                <w:iCs/>
                <w:szCs w:val="18"/>
              </w:rPr>
              <w:t>MulticastD</w:t>
            </w:r>
            <w:r w:rsidR="00E21296">
              <w:rPr>
                <w:rFonts w:cs="Arial"/>
                <w:i/>
                <w:iCs/>
                <w:szCs w:val="18"/>
              </w:rPr>
              <w:t>CI-</w:t>
            </w:r>
            <w:r w:rsidR="00E21296" w:rsidRPr="00B06CC2">
              <w:rPr>
                <w:rFonts w:cs="Arial"/>
                <w:i/>
                <w:iCs/>
                <w:szCs w:val="18"/>
              </w:rPr>
              <w:t>Format</w:t>
            </w:r>
            <w:r w:rsidR="00E21296">
              <w:rPr>
                <w:rFonts w:cs="Arial"/>
                <w:i/>
                <w:iCs/>
                <w:szCs w:val="18"/>
              </w:rPr>
              <w:t>4-1</w:t>
            </w:r>
          </w:p>
        </w:tc>
      </w:tr>
      <w:tr w:rsidR="00F70ED7" w:rsidRPr="00B916EC" w14:paraId="7E8581CB" w14:textId="77777777" w:rsidTr="00006E82">
        <w:trPr>
          <w:cantSplit/>
          <w:jc w:val="center"/>
        </w:trPr>
        <w:tc>
          <w:tcPr>
            <w:tcW w:w="1430" w:type="dxa"/>
            <w:vAlign w:val="center"/>
          </w:tcPr>
          <w:p w14:paraId="72442752" w14:textId="77777777" w:rsidR="00F70ED7" w:rsidRPr="00B916EC" w:rsidRDefault="00F70ED7" w:rsidP="00F70ED7">
            <w:pPr>
              <w:pStyle w:val="TAC"/>
            </w:pPr>
          </w:p>
        </w:tc>
        <w:tc>
          <w:tcPr>
            <w:tcW w:w="1440" w:type="dxa"/>
            <w:vAlign w:val="center"/>
          </w:tcPr>
          <w:p w14:paraId="3BA560D6" w14:textId="77777777" w:rsidR="00F70ED7" w:rsidRPr="00B916EC" w:rsidRDefault="00F70ED7" w:rsidP="00F70ED7">
            <w:pPr>
              <w:pStyle w:val="TAC"/>
            </w:pPr>
          </w:p>
        </w:tc>
        <w:tc>
          <w:tcPr>
            <w:tcW w:w="1530" w:type="dxa"/>
            <w:vAlign w:val="center"/>
          </w:tcPr>
          <w:p w14:paraId="5280C8E2" w14:textId="77777777" w:rsidR="00F70ED7" w:rsidRPr="00B916EC" w:rsidRDefault="00F70ED7" w:rsidP="00F70ED7">
            <w:pPr>
              <w:pStyle w:val="TAC"/>
            </w:pPr>
            <w:r w:rsidRPr="00B916EC">
              <w:t>'100'</w:t>
            </w:r>
          </w:p>
        </w:tc>
        <w:tc>
          <w:tcPr>
            <w:tcW w:w="5221" w:type="dxa"/>
            <w:gridSpan w:val="2"/>
            <w:vAlign w:val="center"/>
          </w:tcPr>
          <w:p w14:paraId="31A76975" w14:textId="3EF05CAB" w:rsidR="00F70ED7" w:rsidRPr="00B916EC" w:rsidRDefault="00F70ED7" w:rsidP="00F70ED7">
            <w:pPr>
              <w:pStyle w:val="TAL"/>
              <w:jc w:val="center"/>
            </w:pPr>
            <w:r w:rsidRPr="00B06CC2">
              <w:t>5</w:t>
            </w:r>
            <w:r w:rsidRPr="00B06CC2">
              <w:rPr>
                <w:vertAlign w:val="superscript"/>
              </w:rPr>
              <w:t>th</w:t>
            </w:r>
            <w:r w:rsidRPr="00B06CC2">
              <w:t xml:space="preserve"> value provided by </w:t>
            </w:r>
            <w:r w:rsidRPr="00B06CC2">
              <w:rPr>
                <w:i/>
              </w:rPr>
              <w:t>dl-DataToUL-ACK</w:t>
            </w:r>
            <w:r w:rsidRPr="00B06CC2">
              <w:rPr>
                <w:iCs/>
              </w:rPr>
              <w:t xml:space="preserve">, </w:t>
            </w:r>
            <w:r w:rsidRPr="00B06CC2">
              <w:rPr>
                <w:i/>
              </w:rPr>
              <w:t>dl-DataToUL-ACK-r16</w:t>
            </w:r>
            <w:r w:rsidRPr="00B06CC2">
              <w:rPr>
                <w:iCs/>
              </w:rPr>
              <w:t>,</w:t>
            </w:r>
            <w:r w:rsidRPr="00B06CC2">
              <w:t xml:space="preserve"> </w:t>
            </w:r>
            <w:r w:rsidR="00106490">
              <w:rPr>
                <w:i/>
              </w:rPr>
              <w:t>dl-DataToUL-ACK-DCI-1-2</w:t>
            </w:r>
            <w:r w:rsidR="00B3736B" w:rsidRPr="00D05783">
              <w:rPr>
                <w:iCs/>
              </w:rPr>
              <w:t>,</w:t>
            </w:r>
            <w:r w:rsidR="00B3736B">
              <w:rPr>
                <w:iCs/>
              </w:rPr>
              <w:t xml:space="preserve"> </w:t>
            </w:r>
            <w:r w:rsidR="00B3736B" w:rsidRPr="00CD132F">
              <w:rPr>
                <w:i/>
                <w:iCs/>
              </w:rPr>
              <w:t>dl-DataToUL-ACK-r17</w:t>
            </w:r>
            <w:r w:rsidRPr="00B06CC2">
              <w:rPr>
                <w:iCs/>
              </w:rPr>
              <w:t>,</w:t>
            </w:r>
            <w:r>
              <w:rPr>
                <w:iCs/>
              </w:rPr>
              <w:t xml:space="preserve"> </w:t>
            </w:r>
            <w:r w:rsidR="009205F6">
              <w:rPr>
                <w:rFonts w:eastAsia="Malgun Gothic"/>
                <w:i/>
              </w:rPr>
              <w:t>dl-DataToUL-ACK-DCI-1-2-r17</w:t>
            </w:r>
            <w:r w:rsidR="009205F6" w:rsidRPr="00AF44DC">
              <w:rPr>
                <w:iCs/>
                <w:lang w:val="en-US"/>
              </w:rPr>
              <w:t>,</w:t>
            </w:r>
            <w:r w:rsidR="009205F6" w:rsidRPr="00AF44DC">
              <w:rPr>
                <w:rFonts w:eastAsia="Malgun Gothic"/>
                <w:iCs/>
                <w:lang w:val="en-US" w:eastAsia="zh-CN"/>
              </w:rPr>
              <w:t xml:space="preserve"> </w:t>
            </w:r>
            <w:r w:rsidR="00AB7025" w:rsidRPr="00CD132F">
              <w:rPr>
                <w:i/>
                <w:iCs/>
              </w:rPr>
              <w:t>dl-DataToUL-ACK-</w:t>
            </w:r>
            <w:r w:rsidR="00AB7025">
              <w:rPr>
                <w:i/>
                <w:iCs/>
              </w:rPr>
              <w:t>v1700</w:t>
            </w:r>
            <w:r w:rsidR="00AB7025" w:rsidRPr="00C40783">
              <w:rPr>
                <w:iCs/>
              </w:rPr>
              <w:t xml:space="preserve">, </w:t>
            </w:r>
            <w:r>
              <w:rPr>
                <w:iCs/>
              </w:rPr>
              <w:t>or</w:t>
            </w:r>
            <w:r w:rsidRPr="00B06CC2">
              <w:rPr>
                <w:rFonts w:cs="Arial"/>
                <w:i/>
                <w:iCs/>
                <w:szCs w:val="18"/>
              </w:rPr>
              <w:t xml:space="preserve"> dl-DataToUL-ACK-</w:t>
            </w:r>
            <w:r w:rsidR="00E21296" w:rsidRPr="00B06CC2">
              <w:rPr>
                <w:rFonts w:cs="Arial"/>
                <w:i/>
                <w:iCs/>
                <w:szCs w:val="18"/>
              </w:rPr>
              <w:t>MulticastD</w:t>
            </w:r>
            <w:r w:rsidR="00E21296">
              <w:rPr>
                <w:rFonts w:cs="Arial"/>
                <w:i/>
                <w:iCs/>
                <w:szCs w:val="18"/>
              </w:rPr>
              <w:t>CI-</w:t>
            </w:r>
            <w:r w:rsidR="00E21296" w:rsidRPr="00B06CC2">
              <w:rPr>
                <w:rFonts w:cs="Arial"/>
                <w:i/>
                <w:iCs/>
                <w:szCs w:val="18"/>
              </w:rPr>
              <w:t>Format</w:t>
            </w:r>
            <w:r w:rsidR="00E21296">
              <w:rPr>
                <w:rFonts w:cs="Arial"/>
                <w:i/>
                <w:iCs/>
                <w:szCs w:val="18"/>
              </w:rPr>
              <w:t>4-1</w:t>
            </w:r>
          </w:p>
        </w:tc>
      </w:tr>
      <w:tr w:rsidR="00F70ED7" w:rsidRPr="00B916EC" w14:paraId="769F8A65" w14:textId="77777777" w:rsidTr="00006E82">
        <w:trPr>
          <w:cantSplit/>
          <w:jc w:val="center"/>
        </w:trPr>
        <w:tc>
          <w:tcPr>
            <w:tcW w:w="1430" w:type="dxa"/>
            <w:vAlign w:val="center"/>
          </w:tcPr>
          <w:p w14:paraId="62D15635" w14:textId="77777777" w:rsidR="00F70ED7" w:rsidRPr="00B916EC" w:rsidRDefault="00F70ED7" w:rsidP="00F70ED7">
            <w:pPr>
              <w:pStyle w:val="TAC"/>
            </w:pPr>
          </w:p>
        </w:tc>
        <w:tc>
          <w:tcPr>
            <w:tcW w:w="1440" w:type="dxa"/>
            <w:vAlign w:val="center"/>
          </w:tcPr>
          <w:p w14:paraId="13E52D10" w14:textId="77777777" w:rsidR="00F70ED7" w:rsidRPr="00B916EC" w:rsidRDefault="00F70ED7" w:rsidP="00F70ED7">
            <w:pPr>
              <w:pStyle w:val="TAC"/>
            </w:pPr>
          </w:p>
        </w:tc>
        <w:tc>
          <w:tcPr>
            <w:tcW w:w="1530" w:type="dxa"/>
            <w:vAlign w:val="center"/>
          </w:tcPr>
          <w:p w14:paraId="59FE7150" w14:textId="77777777" w:rsidR="00F70ED7" w:rsidRPr="00B916EC" w:rsidRDefault="00F70ED7" w:rsidP="00F70ED7">
            <w:pPr>
              <w:pStyle w:val="TAC"/>
            </w:pPr>
            <w:r w:rsidRPr="00B916EC">
              <w:t>'101'</w:t>
            </w:r>
          </w:p>
        </w:tc>
        <w:tc>
          <w:tcPr>
            <w:tcW w:w="5221" w:type="dxa"/>
            <w:gridSpan w:val="2"/>
            <w:vAlign w:val="center"/>
          </w:tcPr>
          <w:p w14:paraId="114DF43D" w14:textId="200A82DF" w:rsidR="00F70ED7" w:rsidRPr="00B916EC" w:rsidRDefault="00F70ED7" w:rsidP="00F70ED7">
            <w:pPr>
              <w:pStyle w:val="TAL"/>
              <w:jc w:val="center"/>
            </w:pPr>
            <w:r w:rsidRPr="00B06CC2">
              <w:t>6</w:t>
            </w:r>
            <w:r w:rsidRPr="00B06CC2">
              <w:rPr>
                <w:vertAlign w:val="superscript"/>
              </w:rPr>
              <w:t>th</w:t>
            </w:r>
            <w:r w:rsidRPr="00B06CC2">
              <w:t xml:space="preserve"> value provided by </w:t>
            </w:r>
            <w:r w:rsidRPr="00B06CC2">
              <w:rPr>
                <w:i/>
              </w:rPr>
              <w:t>dl-DataToUL-ACK</w:t>
            </w:r>
            <w:r w:rsidRPr="00B06CC2">
              <w:rPr>
                <w:iCs/>
              </w:rPr>
              <w:t xml:space="preserve">, </w:t>
            </w:r>
            <w:r w:rsidRPr="00B06CC2">
              <w:rPr>
                <w:i/>
              </w:rPr>
              <w:t>dl-DataToUL-ACK-r16</w:t>
            </w:r>
            <w:r w:rsidRPr="00B06CC2">
              <w:rPr>
                <w:iCs/>
              </w:rPr>
              <w:t>,</w:t>
            </w:r>
            <w:r w:rsidRPr="00B06CC2">
              <w:t xml:space="preserve"> </w:t>
            </w:r>
            <w:r w:rsidR="00106490">
              <w:rPr>
                <w:i/>
              </w:rPr>
              <w:t>dl-DataToUL-ACK-DCI-1-2</w:t>
            </w:r>
            <w:r w:rsidR="00B3736B" w:rsidRPr="00D05783">
              <w:rPr>
                <w:iCs/>
              </w:rPr>
              <w:t>,</w:t>
            </w:r>
            <w:r w:rsidR="00B3736B">
              <w:rPr>
                <w:iCs/>
              </w:rPr>
              <w:t xml:space="preserve"> </w:t>
            </w:r>
            <w:r w:rsidR="00B3736B" w:rsidRPr="00CD132F">
              <w:rPr>
                <w:i/>
                <w:iCs/>
              </w:rPr>
              <w:t>dl-DataToUL-ACK-r17</w:t>
            </w:r>
            <w:r w:rsidRPr="00B06CC2">
              <w:rPr>
                <w:iCs/>
              </w:rPr>
              <w:t>,</w:t>
            </w:r>
            <w:r>
              <w:rPr>
                <w:iCs/>
              </w:rPr>
              <w:t xml:space="preserve"> </w:t>
            </w:r>
            <w:r w:rsidR="009205F6">
              <w:rPr>
                <w:rFonts w:eastAsia="Malgun Gothic"/>
                <w:i/>
              </w:rPr>
              <w:t>dl-DataToUL-ACK-DCI-1-2-r17</w:t>
            </w:r>
            <w:r w:rsidR="009205F6" w:rsidRPr="00AF44DC">
              <w:rPr>
                <w:iCs/>
                <w:lang w:val="en-US"/>
              </w:rPr>
              <w:t>,</w:t>
            </w:r>
            <w:r w:rsidR="009205F6" w:rsidRPr="00AF44DC">
              <w:rPr>
                <w:rFonts w:eastAsia="Malgun Gothic"/>
                <w:iCs/>
                <w:lang w:val="en-US" w:eastAsia="zh-CN"/>
              </w:rPr>
              <w:t xml:space="preserve"> </w:t>
            </w:r>
            <w:r w:rsidR="00AB7025" w:rsidRPr="00CD132F">
              <w:rPr>
                <w:i/>
                <w:iCs/>
              </w:rPr>
              <w:t>dl-DataToUL-ACK-</w:t>
            </w:r>
            <w:r w:rsidR="00AB7025">
              <w:rPr>
                <w:i/>
                <w:iCs/>
              </w:rPr>
              <w:t>v1700</w:t>
            </w:r>
            <w:r w:rsidR="00AB7025" w:rsidRPr="00C40783">
              <w:rPr>
                <w:iCs/>
              </w:rPr>
              <w:t xml:space="preserve">, </w:t>
            </w:r>
            <w:r>
              <w:rPr>
                <w:iCs/>
              </w:rPr>
              <w:t>or</w:t>
            </w:r>
            <w:r w:rsidRPr="00B06CC2">
              <w:rPr>
                <w:rFonts w:cs="Arial"/>
                <w:i/>
                <w:iCs/>
                <w:szCs w:val="18"/>
              </w:rPr>
              <w:t xml:space="preserve"> dl-DataToUL-ACK-</w:t>
            </w:r>
            <w:r w:rsidR="00E21296" w:rsidRPr="00B06CC2">
              <w:rPr>
                <w:rFonts w:cs="Arial"/>
                <w:i/>
                <w:iCs/>
                <w:szCs w:val="18"/>
              </w:rPr>
              <w:t>MulticastD</w:t>
            </w:r>
            <w:r w:rsidR="00E21296">
              <w:rPr>
                <w:rFonts w:cs="Arial"/>
                <w:i/>
                <w:iCs/>
                <w:szCs w:val="18"/>
              </w:rPr>
              <w:t>CI-</w:t>
            </w:r>
            <w:r w:rsidR="00E21296" w:rsidRPr="00B06CC2">
              <w:rPr>
                <w:rFonts w:cs="Arial"/>
                <w:i/>
                <w:iCs/>
                <w:szCs w:val="18"/>
              </w:rPr>
              <w:t>Format</w:t>
            </w:r>
            <w:r w:rsidR="00E21296">
              <w:rPr>
                <w:rFonts w:cs="Arial"/>
                <w:i/>
                <w:iCs/>
                <w:szCs w:val="18"/>
              </w:rPr>
              <w:t>4-1</w:t>
            </w:r>
          </w:p>
        </w:tc>
      </w:tr>
      <w:tr w:rsidR="00F70ED7" w:rsidRPr="00B916EC" w14:paraId="7394F724" w14:textId="77777777" w:rsidTr="00006E82">
        <w:trPr>
          <w:cantSplit/>
          <w:jc w:val="center"/>
        </w:trPr>
        <w:tc>
          <w:tcPr>
            <w:tcW w:w="1430" w:type="dxa"/>
            <w:vAlign w:val="center"/>
          </w:tcPr>
          <w:p w14:paraId="618D3468" w14:textId="77777777" w:rsidR="00F70ED7" w:rsidRPr="00B916EC" w:rsidRDefault="00F70ED7" w:rsidP="00F70ED7">
            <w:pPr>
              <w:pStyle w:val="TAC"/>
            </w:pPr>
          </w:p>
        </w:tc>
        <w:tc>
          <w:tcPr>
            <w:tcW w:w="1440" w:type="dxa"/>
            <w:vAlign w:val="center"/>
          </w:tcPr>
          <w:p w14:paraId="01207365" w14:textId="77777777" w:rsidR="00F70ED7" w:rsidRPr="00B916EC" w:rsidRDefault="00F70ED7" w:rsidP="00F70ED7">
            <w:pPr>
              <w:pStyle w:val="TAC"/>
            </w:pPr>
          </w:p>
        </w:tc>
        <w:tc>
          <w:tcPr>
            <w:tcW w:w="1530" w:type="dxa"/>
            <w:vAlign w:val="center"/>
          </w:tcPr>
          <w:p w14:paraId="54F79599" w14:textId="77777777" w:rsidR="00F70ED7" w:rsidRPr="00B916EC" w:rsidRDefault="00F70ED7" w:rsidP="00F70ED7">
            <w:pPr>
              <w:pStyle w:val="TAC"/>
            </w:pPr>
            <w:r w:rsidRPr="00B916EC">
              <w:t>'110'</w:t>
            </w:r>
          </w:p>
        </w:tc>
        <w:tc>
          <w:tcPr>
            <w:tcW w:w="5221" w:type="dxa"/>
            <w:gridSpan w:val="2"/>
            <w:vAlign w:val="center"/>
          </w:tcPr>
          <w:p w14:paraId="3932F95B" w14:textId="6D274A0B" w:rsidR="00F70ED7" w:rsidRPr="00B916EC" w:rsidRDefault="00F70ED7" w:rsidP="00F70ED7">
            <w:pPr>
              <w:pStyle w:val="TAL"/>
              <w:jc w:val="center"/>
            </w:pPr>
            <w:r w:rsidRPr="00B06CC2">
              <w:t>7</w:t>
            </w:r>
            <w:r w:rsidRPr="00B06CC2">
              <w:rPr>
                <w:vertAlign w:val="superscript"/>
              </w:rPr>
              <w:t>th</w:t>
            </w:r>
            <w:r w:rsidRPr="00B06CC2">
              <w:t xml:space="preserve"> value provided by </w:t>
            </w:r>
            <w:r w:rsidRPr="00B06CC2">
              <w:rPr>
                <w:i/>
              </w:rPr>
              <w:t>dl-DataToUL-ACK</w:t>
            </w:r>
            <w:r w:rsidRPr="00B06CC2">
              <w:rPr>
                <w:iCs/>
              </w:rPr>
              <w:t xml:space="preserve">, </w:t>
            </w:r>
            <w:r w:rsidRPr="00B06CC2">
              <w:rPr>
                <w:i/>
              </w:rPr>
              <w:t>dl-DataToUL-ACK-r16</w:t>
            </w:r>
            <w:r w:rsidRPr="00B06CC2">
              <w:rPr>
                <w:iCs/>
              </w:rPr>
              <w:t>,</w:t>
            </w:r>
            <w:r w:rsidRPr="00B06CC2">
              <w:t xml:space="preserve"> </w:t>
            </w:r>
            <w:r w:rsidR="00106490">
              <w:rPr>
                <w:i/>
              </w:rPr>
              <w:t>dl-DataToUL-ACK-DCI-1-2</w:t>
            </w:r>
            <w:r w:rsidR="00B3736B" w:rsidRPr="00D05783">
              <w:rPr>
                <w:iCs/>
              </w:rPr>
              <w:t>,</w:t>
            </w:r>
            <w:r w:rsidR="00B3736B">
              <w:rPr>
                <w:iCs/>
              </w:rPr>
              <w:t xml:space="preserve"> </w:t>
            </w:r>
            <w:r w:rsidR="00B3736B" w:rsidRPr="00CD132F">
              <w:rPr>
                <w:i/>
                <w:iCs/>
              </w:rPr>
              <w:t>dl-DataToUL-ACK-r17</w:t>
            </w:r>
            <w:r w:rsidRPr="00B06CC2">
              <w:rPr>
                <w:iCs/>
              </w:rPr>
              <w:t>,</w:t>
            </w:r>
            <w:r>
              <w:rPr>
                <w:iCs/>
              </w:rPr>
              <w:t xml:space="preserve"> </w:t>
            </w:r>
            <w:r w:rsidR="009205F6">
              <w:rPr>
                <w:rFonts w:eastAsia="Malgun Gothic"/>
                <w:i/>
              </w:rPr>
              <w:t>dl-DataToUL-ACK-DCI-1-2-r17</w:t>
            </w:r>
            <w:r w:rsidR="009205F6" w:rsidRPr="00AF44DC">
              <w:rPr>
                <w:iCs/>
                <w:lang w:val="en-US"/>
              </w:rPr>
              <w:t>,</w:t>
            </w:r>
            <w:r w:rsidR="009205F6" w:rsidRPr="00AF44DC">
              <w:rPr>
                <w:rFonts w:eastAsia="Malgun Gothic"/>
                <w:iCs/>
                <w:lang w:val="en-US" w:eastAsia="zh-CN"/>
              </w:rPr>
              <w:t xml:space="preserve"> </w:t>
            </w:r>
            <w:r w:rsidR="00AB7025" w:rsidRPr="00CD132F">
              <w:rPr>
                <w:i/>
                <w:iCs/>
              </w:rPr>
              <w:t>dl-DataToUL-ACK-</w:t>
            </w:r>
            <w:r w:rsidR="00AB7025">
              <w:rPr>
                <w:i/>
                <w:iCs/>
              </w:rPr>
              <w:t>v1700</w:t>
            </w:r>
            <w:r w:rsidR="00AB7025" w:rsidRPr="00C40783">
              <w:rPr>
                <w:iCs/>
              </w:rPr>
              <w:t xml:space="preserve">, </w:t>
            </w:r>
            <w:r>
              <w:rPr>
                <w:iCs/>
              </w:rPr>
              <w:t>or</w:t>
            </w:r>
            <w:r w:rsidRPr="00B06CC2">
              <w:rPr>
                <w:rFonts w:cs="Arial"/>
                <w:i/>
                <w:iCs/>
                <w:szCs w:val="18"/>
              </w:rPr>
              <w:t xml:space="preserve"> dl-DataToUL-ACK-</w:t>
            </w:r>
            <w:r w:rsidR="00E21296" w:rsidRPr="00B06CC2">
              <w:rPr>
                <w:rFonts w:cs="Arial"/>
                <w:i/>
                <w:iCs/>
                <w:szCs w:val="18"/>
              </w:rPr>
              <w:t>MulticastD</w:t>
            </w:r>
            <w:r w:rsidR="00E21296">
              <w:rPr>
                <w:rFonts w:cs="Arial"/>
                <w:i/>
                <w:iCs/>
                <w:szCs w:val="18"/>
              </w:rPr>
              <w:t>CI-</w:t>
            </w:r>
            <w:r w:rsidR="00E21296" w:rsidRPr="00B06CC2">
              <w:rPr>
                <w:rFonts w:cs="Arial"/>
                <w:i/>
                <w:iCs/>
                <w:szCs w:val="18"/>
              </w:rPr>
              <w:t>Format</w:t>
            </w:r>
            <w:r w:rsidR="00E21296">
              <w:rPr>
                <w:rFonts w:cs="Arial"/>
                <w:i/>
                <w:iCs/>
                <w:szCs w:val="18"/>
              </w:rPr>
              <w:t>4-1</w:t>
            </w:r>
          </w:p>
        </w:tc>
      </w:tr>
      <w:tr w:rsidR="00F70ED7" w:rsidRPr="00B916EC" w14:paraId="5C2F1A62" w14:textId="77777777" w:rsidTr="00006E82">
        <w:trPr>
          <w:cantSplit/>
          <w:jc w:val="center"/>
        </w:trPr>
        <w:tc>
          <w:tcPr>
            <w:tcW w:w="1430" w:type="dxa"/>
            <w:vAlign w:val="center"/>
          </w:tcPr>
          <w:p w14:paraId="34DA0D2D" w14:textId="77777777" w:rsidR="00F70ED7" w:rsidRPr="00B916EC" w:rsidRDefault="00F70ED7" w:rsidP="00F70ED7">
            <w:pPr>
              <w:pStyle w:val="TAC"/>
            </w:pPr>
          </w:p>
        </w:tc>
        <w:tc>
          <w:tcPr>
            <w:tcW w:w="1440" w:type="dxa"/>
            <w:vAlign w:val="center"/>
          </w:tcPr>
          <w:p w14:paraId="2C383CCF" w14:textId="77777777" w:rsidR="00F70ED7" w:rsidRPr="00B916EC" w:rsidRDefault="00F70ED7" w:rsidP="00F70ED7">
            <w:pPr>
              <w:pStyle w:val="TAC"/>
            </w:pPr>
          </w:p>
        </w:tc>
        <w:tc>
          <w:tcPr>
            <w:tcW w:w="1530" w:type="dxa"/>
            <w:vAlign w:val="center"/>
          </w:tcPr>
          <w:p w14:paraId="0481934A" w14:textId="77777777" w:rsidR="00F70ED7" w:rsidRPr="00B916EC" w:rsidRDefault="00F70ED7" w:rsidP="00F70ED7">
            <w:pPr>
              <w:pStyle w:val="TAC"/>
            </w:pPr>
            <w:r w:rsidRPr="00B916EC">
              <w:t>'111'</w:t>
            </w:r>
          </w:p>
        </w:tc>
        <w:tc>
          <w:tcPr>
            <w:tcW w:w="5221" w:type="dxa"/>
            <w:gridSpan w:val="2"/>
            <w:vAlign w:val="center"/>
          </w:tcPr>
          <w:p w14:paraId="79FC394C" w14:textId="405C5E81" w:rsidR="00F70ED7" w:rsidRPr="00B916EC" w:rsidRDefault="00F70ED7" w:rsidP="00F70ED7">
            <w:pPr>
              <w:pStyle w:val="TAL"/>
              <w:jc w:val="center"/>
            </w:pPr>
            <w:r w:rsidRPr="00B06CC2">
              <w:t>8</w:t>
            </w:r>
            <w:r w:rsidRPr="00B06CC2">
              <w:rPr>
                <w:vertAlign w:val="superscript"/>
              </w:rPr>
              <w:t>th</w:t>
            </w:r>
            <w:r w:rsidRPr="00B06CC2">
              <w:t xml:space="preserve"> value provided by </w:t>
            </w:r>
            <w:r w:rsidRPr="00B06CC2">
              <w:rPr>
                <w:i/>
              </w:rPr>
              <w:t>dl-DataToUL-ACK</w:t>
            </w:r>
            <w:r w:rsidRPr="00B06CC2">
              <w:rPr>
                <w:iCs/>
              </w:rPr>
              <w:t xml:space="preserve">, </w:t>
            </w:r>
            <w:r w:rsidRPr="00B06CC2">
              <w:rPr>
                <w:i/>
              </w:rPr>
              <w:t>dl-DataToUL-ACK-r16</w:t>
            </w:r>
            <w:r w:rsidRPr="00B06CC2">
              <w:rPr>
                <w:iCs/>
              </w:rPr>
              <w:t>,</w:t>
            </w:r>
            <w:r w:rsidRPr="00B06CC2">
              <w:t xml:space="preserve"> </w:t>
            </w:r>
            <w:r w:rsidR="00106490">
              <w:rPr>
                <w:i/>
              </w:rPr>
              <w:t>dl-DataToUL-ACK-DCI-1-2</w:t>
            </w:r>
            <w:r w:rsidR="00B3736B" w:rsidRPr="00D05783">
              <w:rPr>
                <w:iCs/>
              </w:rPr>
              <w:t>,</w:t>
            </w:r>
            <w:r w:rsidR="00B3736B">
              <w:rPr>
                <w:iCs/>
              </w:rPr>
              <w:t xml:space="preserve"> </w:t>
            </w:r>
            <w:r w:rsidR="00B3736B" w:rsidRPr="00CD132F">
              <w:rPr>
                <w:i/>
                <w:iCs/>
              </w:rPr>
              <w:t>dl-DataToUL-ACK-r17</w:t>
            </w:r>
            <w:r w:rsidRPr="00B06CC2">
              <w:rPr>
                <w:iCs/>
              </w:rPr>
              <w:t>,</w:t>
            </w:r>
            <w:r>
              <w:rPr>
                <w:iCs/>
              </w:rPr>
              <w:t xml:space="preserve"> </w:t>
            </w:r>
            <w:r w:rsidR="009205F6">
              <w:rPr>
                <w:rFonts w:eastAsia="Malgun Gothic"/>
                <w:i/>
              </w:rPr>
              <w:t>dl-DataToUL-ACK-DCI-1-2-r17</w:t>
            </w:r>
            <w:r w:rsidR="009205F6" w:rsidRPr="00AF44DC">
              <w:rPr>
                <w:iCs/>
                <w:lang w:val="en-US"/>
              </w:rPr>
              <w:t>,</w:t>
            </w:r>
            <w:r w:rsidR="009205F6" w:rsidRPr="00AF44DC">
              <w:rPr>
                <w:rFonts w:eastAsia="Malgun Gothic"/>
                <w:iCs/>
                <w:lang w:val="en-US" w:eastAsia="zh-CN"/>
              </w:rPr>
              <w:t xml:space="preserve"> </w:t>
            </w:r>
            <w:r w:rsidR="00AB7025" w:rsidRPr="00CD132F">
              <w:rPr>
                <w:i/>
                <w:iCs/>
              </w:rPr>
              <w:t>dl-DataToUL-ACK-</w:t>
            </w:r>
            <w:r w:rsidR="00AB7025">
              <w:rPr>
                <w:i/>
                <w:iCs/>
              </w:rPr>
              <w:t>v1700</w:t>
            </w:r>
            <w:r w:rsidR="00AB7025" w:rsidRPr="00C40783">
              <w:rPr>
                <w:iCs/>
              </w:rPr>
              <w:t xml:space="preserve">, </w:t>
            </w:r>
            <w:r>
              <w:rPr>
                <w:iCs/>
              </w:rPr>
              <w:t>or</w:t>
            </w:r>
            <w:r w:rsidRPr="00B06CC2">
              <w:rPr>
                <w:rFonts w:cs="Arial"/>
                <w:i/>
                <w:iCs/>
                <w:szCs w:val="18"/>
              </w:rPr>
              <w:t xml:space="preserve"> dl-DataToUL-ACK-</w:t>
            </w:r>
            <w:r w:rsidR="00E21296" w:rsidRPr="00B06CC2">
              <w:rPr>
                <w:rFonts w:cs="Arial"/>
                <w:i/>
                <w:iCs/>
                <w:szCs w:val="18"/>
              </w:rPr>
              <w:t>MulticastD</w:t>
            </w:r>
            <w:r w:rsidR="00E21296">
              <w:rPr>
                <w:rFonts w:cs="Arial"/>
                <w:i/>
                <w:iCs/>
                <w:szCs w:val="18"/>
              </w:rPr>
              <w:t>CI-</w:t>
            </w:r>
            <w:r w:rsidR="00E21296" w:rsidRPr="00B06CC2">
              <w:rPr>
                <w:rFonts w:cs="Arial"/>
                <w:i/>
                <w:iCs/>
                <w:szCs w:val="18"/>
              </w:rPr>
              <w:t>Format</w:t>
            </w:r>
            <w:r w:rsidR="00E21296">
              <w:rPr>
                <w:rFonts w:cs="Arial"/>
                <w:i/>
                <w:iCs/>
                <w:szCs w:val="18"/>
              </w:rPr>
              <w:t>4-1</w:t>
            </w:r>
          </w:p>
        </w:tc>
      </w:tr>
    </w:tbl>
    <w:p w14:paraId="3E7ECA85" w14:textId="77777777" w:rsidR="000D2AA3" w:rsidRPr="003A061C" w:rsidRDefault="000D2AA3" w:rsidP="003E4990"/>
    <w:p w14:paraId="1D2F24EE" w14:textId="756FB0F0" w:rsidR="001D40E2" w:rsidRDefault="00A2764D" w:rsidP="00A2764D">
      <w:r w:rsidRPr="00B916EC">
        <w:rPr>
          <w:lang w:val="en-US"/>
        </w:rPr>
        <w:t xml:space="preserve">For </w:t>
      </w:r>
      <w:r w:rsidR="007E0F7D">
        <w:rPr>
          <w:lang w:val="en-US"/>
        </w:rPr>
        <w:t xml:space="preserve">a PUCCH </w:t>
      </w:r>
      <w:r w:rsidRPr="00B916EC">
        <w:rPr>
          <w:lang w:val="en-US"/>
        </w:rPr>
        <w:t xml:space="preserve">transmission </w:t>
      </w:r>
      <w:r w:rsidR="007E0F7D">
        <w:rPr>
          <w:lang w:val="en-US"/>
        </w:rPr>
        <w:t>with</w:t>
      </w:r>
      <w:r w:rsidR="007E0F7D" w:rsidRPr="00B916EC">
        <w:rPr>
          <w:lang w:val="en-US"/>
        </w:rPr>
        <w:t xml:space="preserve"> </w:t>
      </w:r>
      <w:r w:rsidRPr="00B916EC">
        <w:rPr>
          <w:lang w:val="en-US"/>
        </w:rPr>
        <w:t xml:space="preserve">HARQ-ACK information, </w:t>
      </w:r>
      <w:r w:rsidR="007E0F7D">
        <w:rPr>
          <w:lang w:val="en-US"/>
        </w:rPr>
        <w:t>a</w:t>
      </w:r>
      <w:r w:rsidR="007E0F7D" w:rsidRPr="00B916EC">
        <w:rPr>
          <w:lang w:val="en-US"/>
        </w:rPr>
        <w:t xml:space="preserve"> </w:t>
      </w:r>
      <w:r w:rsidRPr="00B916EC">
        <w:rPr>
          <w:lang w:val="en-US"/>
        </w:rPr>
        <w:t xml:space="preserve">UE determines a PUCCH resource </w:t>
      </w:r>
      <w:r w:rsidR="00E81742" w:rsidRPr="00111FF6">
        <w:rPr>
          <w:lang w:val="en-US"/>
        </w:rPr>
        <w:t xml:space="preserve">on the cell of the PUCCH transmission, as described in clause 9.A, </w:t>
      </w:r>
      <w:r w:rsidRPr="00B916EC">
        <w:rPr>
          <w:lang w:val="en-US"/>
        </w:rPr>
        <w:t>after determining a set of PUCCH resources</w:t>
      </w:r>
      <w:r>
        <w:rPr>
          <w:lang w:val="en-US"/>
        </w:rPr>
        <w:t xml:space="preserve"> </w:t>
      </w:r>
      <w:r w:rsidR="009F18AE" w:rsidRPr="00B27E56">
        <w:rPr>
          <w:lang w:val="en-US"/>
        </w:rPr>
        <w:t xml:space="preserve">for </w:t>
      </w:r>
      <m:oMath>
        <m:sSub>
          <m:sSubPr>
            <m:ctrlPr>
              <w:rPr>
                <w:rFonts w:ascii="Cambria Math" w:hAnsi="Cambria Math" w:cs="Arial"/>
                <w:i/>
                <w:lang w:eastAsia="zh-CN"/>
              </w:rPr>
            </m:ctrlPr>
          </m:sSubPr>
          <m:e>
            <m:r>
              <w:rPr>
                <w:rFonts w:ascii="Cambria Math" w:cs="Arial"/>
                <w:lang w:eastAsia="zh-CN"/>
              </w:rPr>
              <m:t>O</m:t>
            </m:r>
          </m:e>
          <m:sub>
            <m:r>
              <m:rPr>
                <m:nor/>
              </m:rPr>
              <w:rPr>
                <w:rFonts w:ascii="Cambria Math" w:cs="Arial"/>
                <w:lang w:eastAsia="zh-CN"/>
              </w:rPr>
              <m:t>UCI</m:t>
            </m:r>
            <m:ctrlPr>
              <w:rPr>
                <w:rFonts w:ascii="Cambria Math" w:hAnsi="Cambria Math" w:cs="Arial"/>
                <w:lang w:eastAsia="zh-CN"/>
              </w:rPr>
            </m:ctrlPr>
          </m:sub>
        </m:sSub>
      </m:oMath>
      <w:r w:rsidR="009F18AE" w:rsidRPr="00B27E56">
        <w:t xml:space="preserve"> HARQ-ACK</w:t>
      </w:r>
      <w:r>
        <w:t xml:space="preserve"> information bits</w:t>
      </w:r>
      <w:r w:rsidRPr="00B916EC">
        <w:rPr>
          <w:lang w:val="en-US"/>
        </w:rPr>
        <w:t xml:space="preserve">, as described </w:t>
      </w:r>
      <w:r w:rsidR="006F5F9E">
        <w:rPr>
          <w:lang w:val="en-US"/>
        </w:rPr>
        <w:t>in clause</w:t>
      </w:r>
      <w:r>
        <w:rPr>
          <w:lang w:val="en-US"/>
        </w:rPr>
        <w:t xml:space="preserve"> 9.2.1</w:t>
      </w:r>
      <w:r w:rsidRPr="00B916EC">
        <w:rPr>
          <w:lang w:val="en-US"/>
        </w:rPr>
        <w:t xml:space="preserve">. The PUCCH resource determination is based on a PUCCH resource indicator field </w:t>
      </w:r>
      <w:r w:rsidRPr="00B916EC">
        <w:t>[5, TS 38.212]</w:t>
      </w:r>
      <w:r w:rsidR="008B7519">
        <w:t>, if present,</w:t>
      </w:r>
      <w:r w:rsidRPr="00B916EC">
        <w:t xml:space="preserve"> in a last DCI format</w:t>
      </w:r>
      <w:r w:rsidR="00280145">
        <w:t>, excluding the SPS activation DCI</w:t>
      </w:r>
      <w:r w:rsidR="001D40E2">
        <w:t>, among the DCI formats that have a value of a PDSCH-to-HARQ_feedback timing indicator field</w:t>
      </w:r>
      <w:r w:rsidR="008B7519" w:rsidRPr="00EE027F">
        <w:t xml:space="preserve">, if present, or a value of </w:t>
      </w:r>
      <w:r w:rsidR="008B7519" w:rsidRPr="00EE027F">
        <w:rPr>
          <w:i/>
        </w:rPr>
        <w:t>dl-DataToUL-ACK</w:t>
      </w:r>
      <w:r w:rsidR="008B7519">
        <w:t xml:space="preserve">, </w:t>
      </w:r>
      <w:r w:rsidR="00C50893" w:rsidRPr="00B06CC2">
        <w:rPr>
          <w:iCs/>
        </w:rPr>
        <w:t xml:space="preserve">or </w:t>
      </w:r>
      <w:r w:rsidR="00C50893" w:rsidRPr="00B06CC2">
        <w:rPr>
          <w:i/>
        </w:rPr>
        <w:t>dl-DataToUL-ACK-r16</w:t>
      </w:r>
      <w:r w:rsidR="00C50893" w:rsidRPr="00B06CC2">
        <w:rPr>
          <w:iCs/>
        </w:rPr>
        <w:t>,</w:t>
      </w:r>
      <w:r w:rsidR="00C50893" w:rsidRPr="00B06CC2">
        <w:t xml:space="preserve"> or </w:t>
      </w:r>
      <w:r w:rsidR="00106490">
        <w:rPr>
          <w:i/>
        </w:rPr>
        <w:t>dl-DataToUL-ACK-DCI-1-2</w:t>
      </w:r>
      <w:r w:rsidR="00C50893" w:rsidRPr="00B06CC2">
        <w:t>,</w:t>
      </w:r>
      <w:r w:rsidR="00483314" w:rsidRPr="00483314">
        <w:t xml:space="preserve"> </w:t>
      </w:r>
      <w:r w:rsidR="00483314">
        <w:t xml:space="preserve">or </w:t>
      </w:r>
      <w:r w:rsidR="00483314" w:rsidRPr="00CD132F">
        <w:rPr>
          <w:i/>
          <w:iCs/>
        </w:rPr>
        <w:t>dl-DataToUL-ACK-r17</w:t>
      </w:r>
      <w:r w:rsidR="00483314">
        <w:rPr>
          <w:i/>
          <w:iCs/>
        </w:rPr>
        <w:t>,</w:t>
      </w:r>
      <w:r w:rsidR="00C50893" w:rsidRPr="00B06CC2">
        <w:t xml:space="preserve"> </w:t>
      </w:r>
      <w:r w:rsidR="000F4AD7">
        <w:rPr>
          <w:rFonts w:eastAsia="Malgun Gothic"/>
        </w:rPr>
        <w:t xml:space="preserve">or </w:t>
      </w:r>
      <w:r w:rsidR="000F4AD7">
        <w:rPr>
          <w:rFonts w:eastAsia="Malgun Gothic"/>
          <w:i/>
        </w:rPr>
        <w:t>dl-DataToUL-ACK-DCI-1-2-r17</w:t>
      </w:r>
      <w:r w:rsidR="000F4AD7" w:rsidRPr="00611C0B">
        <w:rPr>
          <w:rFonts w:eastAsia="Malgun Gothic"/>
          <w:iCs/>
        </w:rPr>
        <w:t xml:space="preserve">, </w:t>
      </w:r>
      <w:r w:rsidR="00C50893" w:rsidRPr="00B06CC2">
        <w:t xml:space="preserve">or </w:t>
      </w:r>
      <w:r w:rsidR="00C50893" w:rsidRPr="00B06CC2">
        <w:rPr>
          <w:i/>
          <w:iCs/>
        </w:rPr>
        <w:t>dl-DataToUL-ACK-</w:t>
      </w:r>
      <w:r w:rsidR="00BF312B" w:rsidRPr="00B06CC2">
        <w:rPr>
          <w:rFonts w:cs="Arial"/>
          <w:i/>
          <w:iCs/>
          <w:szCs w:val="18"/>
        </w:rPr>
        <w:t>MulticastD</w:t>
      </w:r>
      <w:r w:rsidR="00BF312B">
        <w:rPr>
          <w:rFonts w:cs="Arial"/>
          <w:i/>
          <w:iCs/>
          <w:szCs w:val="18"/>
        </w:rPr>
        <w:t>CI-</w:t>
      </w:r>
      <w:r w:rsidR="00BF312B" w:rsidRPr="00B06CC2">
        <w:rPr>
          <w:rFonts w:cs="Arial"/>
          <w:i/>
          <w:iCs/>
          <w:szCs w:val="18"/>
        </w:rPr>
        <w:t>Format</w:t>
      </w:r>
      <w:r w:rsidR="00BF312B">
        <w:rPr>
          <w:rFonts w:cs="Arial"/>
          <w:i/>
          <w:iCs/>
          <w:szCs w:val="18"/>
        </w:rPr>
        <w:t>4-1</w:t>
      </w:r>
      <w:r w:rsidR="00676EC0" w:rsidRPr="00B06CC2">
        <w:t>,</w:t>
      </w:r>
      <w:r w:rsidR="00676EC0">
        <w:rPr>
          <w:iCs/>
        </w:rPr>
        <w:t xml:space="preserve"> </w:t>
      </w:r>
      <w:r w:rsidR="00676EC0">
        <w:t xml:space="preserve">or </w:t>
      </w:r>
      <w:r w:rsidR="00676EC0" w:rsidRPr="00CD132F">
        <w:rPr>
          <w:i/>
          <w:iCs/>
        </w:rPr>
        <w:t>dl-DataToUL-ACK-</w:t>
      </w:r>
      <w:r w:rsidR="00676EC0">
        <w:rPr>
          <w:i/>
          <w:iCs/>
        </w:rPr>
        <w:t>v1700</w:t>
      </w:r>
      <w:r w:rsidR="00C50893" w:rsidRPr="00B06CC2">
        <w:t xml:space="preserve">, </w:t>
      </w:r>
      <w:r w:rsidR="001D40E2">
        <w:t>indicating a same slot for the PUCCH transmission,</w:t>
      </w:r>
      <w:r w:rsidRPr="00B916EC">
        <w:t xml:space="preserve"> that the UE detects and for which the UE transmits corresponding HARQ-ACK information in the PUCCH</w:t>
      </w:r>
      <w:r w:rsidR="00483314">
        <w:t>.</w:t>
      </w:r>
      <w:r w:rsidR="00483314" w:rsidRPr="00B916EC">
        <w:t xml:space="preserve"> </w:t>
      </w:r>
    </w:p>
    <w:p w14:paraId="34A876BC" w14:textId="449F5500" w:rsidR="00F555E0" w:rsidRPr="00B916EC" w:rsidRDefault="00F555E0" w:rsidP="00F555E0">
      <w:r w:rsidRPr="00B916EC">
        <w:t xml:space="preserve">The </w:t>
      </w:r>
      <w:r w:rsidRPr="00B916EC">
        <w:rPr>
          <w:lang w:val="en-US"/>
        </w:rPr>
        <w:t xml:space="preserve">PUCCH resource indicator </w:t>
      </w:r>
      <w:r w:rsidRPr="00B916EC">
        <w:t>field values map to values</w:t>
      </w:r>
      <w:r w:rsidRPr="001D40E2">
        <w:t xml:space="preserve"> </w:t>
      </w:r>
      <w:r>
        <w:t>of a set</w:t>
      </w:r>
      <w:r w:rsidRPr="00B916EC">
        <w:t xml:space="preserve"> of PUCCH resource indexes</w:t>
      </w:r>
      <w:r>
        <w:t>, as defined in Table 9.2.3</w:t>
      </w:r>
      <w:r w:rsidRPr="00B916EC">
        <w:t>-2</w:t>
      </w:r>
      <w:r w:rsidR="008B7519">
        <w:t xml:space="preserve"> for a PUCCH resource indicator field of 3 bits</w:t>
      </w:r>
      <w:r>
        <w:t>,</w:t>
      </w:r>
      <w:r w:rsidRPr="00B916EC">
        <w:t xml:space="preserve"> provided by </w:t>
      </w:r>
      <w:r w:rsidR="00074311">
        <w:rPr>
          <w:i/>
        </w:rPr>
        <w:t>r</w:t>
      </w:r>
      <w:r w:rsidR="00074311" w:rsidRPr="00B916EC">
        <w:rPr>
          <w:i/>
        </w:rPr>
        <w:t>esource</w:t>
      </w:r>
      <w:r w:rsidR="00074311">
        <w:rPr>
          <w:i/>
        </w:rPr>
        <w:t>List</w:t>
      </w:r>
      <w:r w:rsidR="00074311" w:rsidRPr="00B916EC">
        <w:t xml:space="preserve"> </w:t>
      </w:r>
      <w:r>
        <w:t>for PUCCH resources from a set of PUCCH resources</w:t>
      </w:r>
      <w:r w:rsidRPr="00B916EC">
        <w:t xml:space="preserve"> provided by </w:t>
      </w:r>
      <w:r w:rsidRPr="00B916EC">
        <w:rPr>
          <w:i/>
        </w:rPr>
        <w:t>PUCCH-</w:t>
      </w:r>
      <w:r>
        <w:rPr>
          <w:i/>
        </w:rPr>
        <w:t>R</w:t>
      </w:r>
      <w:r w:rsidRPr="00B916EC">
        <w:rPr>
          <w:i/>
        </w:rPr>
        <w:t>esource</w:t>
      </w:r>
      <w:r>
        <w:rPr>
          <w:i/>
        </w:rPr>
        <w:t>S</w:t>
      </w:r>
      <w:r w:rsidRPr="00B916EC">
        <w:rPr>
          <w:i/>
        </w:rPr>
        <w:t>et</w:t>
      </w:r>
      <w:r>
        <w:t xml:space="preserve"> with a maximum of eight PUCCH resources</w:t>
      </w:r>
      <w:r w:rsidRPr="00B916EC">
        <w:t xml:space="preserve">. </w:t>
      </w:r>
      <w:r w:rsidR="008B7519">
        <w:t xml:space="preserve">If the PUCCH resource indicator field includes 1 bit or 2 bits, the values map to the first </w:t>
      </w:r>
      <w:r w:rsidR="0046643B">
        <w:t xml:space="preserve">two </w:t>
      </w:r>
      <w:r w:rsidR="008B7519">
        <w:t>values or the first four values, respectively, of Table 9.2.3-2.</w:t>
      </w:r>
      <w:r w:rsidR="0046643B">
        <w:t xml:space="preserve"> If the last DCI format does not include a PUCCH resource indicator field, the first value of Table 9.2.3-2 is used. </w:t>
      </w:r>
    </w:p>
    <w:p w14:paraId="3DDFCD95" w14:textId="0772FBB6" w:rsidR="00F555E0" w:rsidRPr="00E26367" w:rsidRDefault="00F555E0" w:rsidP="00F555E0">
      <w:pPr>
        <w:rPr>
          <w:lang w:val="en-US"/>
        </w:rPr>
      </w:pPr>
      <w:r>
        <w:lastRenderedPageBreak/>
        <w:t>For the first set of PUCCH resources and when</w:t>
      </w:r>
      <w:r w:rsidRPr="00B916EC">
        <w:t xml:space="preserve"> the </w:t>
      </w:r>
      <w:r w:rsidR="009F18AE" w:rsidRPr="00B27E56">
        <w:t xml:space="preserve">size </w:t>
      </w:r>
      <m:oMath>
        <m:sSub>
          <m:sSubPr>
            <m:ctrlPr>
              <w:rPr>
                <w:rFonts w:ascii="Cambria Math" w:hAnsi="Cambria Math" w:cs="Arial"/>
                <w:i/>
                <w:lang w:eastAsia="zh-CN"/>
              </w:rPr>
            </m:ctrlPr>
          </m:sSubPr>
          <m:e>
            <m:r>
              <w:rPr>
                <w:rFonts w:ascii="Cambria Math" w:cs="Arial"/>
                <w:lang w:eastAsia="zh-CN"/>
              </w:rPr>
              <m:t>R</m:t>
            </m:r>
          </m:e>
          <m:sub>
            <m:r>
              <m:rPr>
                <m:nor/>
              </m:rPr>
              <w:rPr>
                <w:rFonts w:ascii="Cambria Math" w:cs="Arial"/>
                <w:lang w:eastAsia="zh-CN"/>
              </w:rPr>
              <m:t>PUCCH</m:t>
            </m:r>
            <m:ctrlPr>
              <w:rPr>
                <w:rFonts w:ascii="Cambria Math" w:hAnsi="Cambria Math" w:cs="Arial"/>
                <w:lang w:eastAsia="zh-CN"/>
              </w:rPr>
            </m:ctrlPr>
          </m:sub>
        </m:sSub>
      </m:oMath>
      <w:r w:rsidR="009F18AE" w:rsidRPr="00B27E56">
        <w:rPr>
          <w:lang w:eastAsia="zh-CN"/>
        </w:rPr>
        <w:t xml:space="preserve"> </w:t>
      </w:r>
      <w:r w:rsidR="009F18AE" w:rsidRPr="00B27E56">
        <w:t>of</w:t>
      </w:r>
      <w:r>
        <w:t xml:space="preserve"> </w:t>
      </w:r>
      <w:r>
        <w:rPr>
          <w:i/>
        </w:rPr>
        <w:t xml:space="preserve">resourceList </w:t>
      </w:r>
      <w:r w:rsidRPr="00B916EC">
        <w:t xml:space="preserve">is larger than </w:t>
      </w:r>
      <w:r>
        <w:t xml:space="preserve">eight, when a UE provides </w:t>
      </w:r>
      <w:r w:rsidRPr="006C71DF">
        <w:t>HARQ-ACK information in a PUCCH transmission in response to detecting a last DCI format</w:t>
      </w:r>
      <w:r w:rsidRPr="00E26367">
        <w:t xml:space="preserve"> in a PDCCH reception</w:t>
      </w:r>
      <w:r w:rsidRPr="00E26367">
        <w:rPr>
          <w:lang w:val="en-US"/>
        </w:rPr>
        <w:t xml:space="preserve">, </w:t>
      </w:r>
      <w:r w:rsidR="00B75E19">
        <w:rPr>
          <w:rFonts w:hint="eastAsia"/>
          <w:lang w:val="en-US" w:eastAsia="zh-CN"/>
        </w:rPr>
        <w:t xml:space="preserve">excluding the SPS activation DCI, </w:t>
      </w:r>
      <w:r w:rsidRPr="00E26367">
        <w:rPr>
          <w:lang w:val="en-US"/>
        </w:rPr>
        <w:t>among DCI formats with</w:t>
      </w:r>
      <w:r w:rsidRPr="00E26367">
        <w:rPr>
          <w:rFonts w:eastAsia="Yu Mincho"/>
        </w:rPr>
        <w:t xml:space="preserve"> a value of the PDSCH-to-HARQ_feedback timing indicator field</w:t>
      </w:r>
      <w:r w:rsidR="00E069D4" w:rsidRPr="00EE027F">
        <w:t xml:space="preserve">, if present, or a value of </w:t>
      </w:r>
      <w:r w:rsidR="00E069D4" w:rsidRPr="00EE027F">
        <w:rPr>
          <w:i/>
        </w:rPr>
        <w:t>dl-DataToUL-ACK</w:t>
      </w:r>
      <w:r w:rsidR="00E069D4">
        <w:rPr>
          <w:rFonts w:eastAsia="Yu Mincho"/>
        </w:rPr>
        <w:t xml:space="preserve">, </w:t>
      </w:r>
      <w:r w:rsidR="00C50893" w:rsidRPr="00B06CC2">
        <w:rPr>
          <w:iCs/>
        </w:rPr>
        <w:t xml:space="preserve">or </w:t>
      </w:r>
      <w:r w:rsidR="00C50893" w:rsidRPr="00B06CC2">
        <w:rPr>
          <w:i/>
        </w:rPr>
        <w:t>dl-DataToUL-ACK-r16</w:t>
      </w:r>
      <w:r w:rsidR="00C50893" w:rsidRPr="00B06CC2">
        <w:rPr>
          <w:iCs/>
        </w:rPr>
        <w:t>,</w:t>
      </w:r>
      <w:r w:rsidR="00C50893" w:rsidRPr="00B06CC2">
        <w:t xml:space="preserve"> or </w:t>
      </w:r>
      <w:r w:rsidR="00106490">
        <w:rPr>
          <w:i/>
        </w:rPr>
        <w:t>dl-DataToUL-ACK-DCI-1-2</w:t>
      </w:r>
      <w:r w:rsidR="00C50893" w:rsidRPr="00B06CC2">
        <w:t>,</w:t>
      </w:r>
      <w:r w:rsidR="00483314" w:rsidRPr="00483314">
        <w:t xml:space="preserve"> </w:t>
      </w:r>
      <w:r w:rsidR="00483314">
        <w:t xml:space="preserve">or </w:t>
      </w:r>
      <w:r w:rsidR="00483314" w:rsidRPr="00CD132F">
        <w:rPr>
          <w:i/>
          <w:iCs/>
        </w:rPr>
        <w:t>dl-DataToUL-ACK-r17</w:t>
      </w:r>
      <w:r w:rsidR="00483314">
        <w:rPr>
          <w:i/>
          <w:iCs/>
        </w:rPr>
        <w:t>,</w:t>
      </w:r>
      <w:r w:rsidR="00C50893" w:rsidRPr="00B06CC2">
        <w:t xml:space="preserve"> </w:t>
      </w:r>
      <w:r w:rsidR="000F4AD7">
        <w:rPr>
          <w:rFonts w:eastAsia="Malgun Gothic"/>
        </w:rPr>
        <w:t xml:space="preserve">or </w:t>
      </w:r>
      <w:r w:rsidR="000F4AD7">
        <w:rPr>
          <w:rFonts w:eastAsia="Malgun Gothic"/>
          <w:i/>
        </w:rPr>
        <w:t>dl-DataToUL-ACK-DCI-1-2-r17</w:t>
      </w:r>
      <w:r w:rsidR="000F4AD7">
        <w:rPr>
          <w:rFonts w:eastAsia="Malgun Gothic"/>
        </w:rPr>
        <w:t xml:space="preserve">, </w:t>
      </w:r>
      <w:r w:rsidR="00C50893" w:rsidRPr="00B06CC2">
        <w:t xml:space="preserve">or </w:t>
      </w:r>
      <w:r w:rsidR="00C50893" w:rsidRPr="00B06CC2">
        <w:rPr>
          <w:i/>
          <w:iCs/>
        </w:rPr>
        <w:t>dl-DataToUL-ACK-</w:t>
      </w:r>
      <w:r w:rsidR="00BF312B" w:rsidRPr="00B06CC2">
        <w:rPr>
          <w:rFonts w:cs="Arial"/>
          <w:i/>
          <w:iCs/>
          <w:szCs w:val="18"/>
        </w:rPr>
        <w:t>MulticastD</w:t>
      </w:r>
      <w:r w:rsidR="00BF312B">
        <w:rPr>
          <w:rFonts w:cs="Arial"/>
          <w:i/>
          <w:iCs/>
          <w:szCs w:val="18"/>
        </w:rPr>
        <w:t>CI-</w:t>
      </w:r>
      <w:r w:rsidR="00BF312B" w:rsidRPr="00B06CC2">
        <w:rPr>
          <w:rFonts w:cs="Arial"/>
          <w:i/>
          <w:iCs/>
          <w:szCs w:val="18"/>
        </w:rPr>
        <w:t>Format</w:t>
      </w:r>
      <w:r w:rsidR="00BF312B">
        <w:rPr>
          <w:rFonts w:cs="Arial"/>
          <w:i/>
          <w:iCs/>
          <w:szCs w:val="18"/>
        </w:rPr>
        <w:t>4-1</w:t>
      </w:r>
      <w:r w:rsidR="00676EC0" w:rsidRPr="00B06CC2">
        <w:t>,</w:t>
      </w:r>
      <w:r w:rsidR="00676EC0">
        <w:rPr>
          <w:iCs/>
        </w:rPr>
        <w:t xml:space="preserve"> </w:t>
      </w:r>
      <w:r w:rsidR="00676EC0">
        <w:t xml:space="preserve">or </w:t>
      </w:r>
      <w:r w:rsidR="00676EC0" w:rsidRPr="00CD132F">
        <w:rPr>
          <w:i/>
          <w:iCs/>
        </w:rPr>
        <w:t>dl-DataToUL-ACK-</w:t>
      </w:r>
      <w:r w:rsidR="00676EC0">
        <w:rPr>
          <w:i/>
          <w:iCs/>
        </w:rPr>
        <w:t>v1700</w:t>
      </w:r>
      <w:r w:rsidR="00C50893" w:rsidRPr="00B06CC2">
        <w:t xml:space="preserve">, </w:t>
      </w:r>
      <w:r w:rsidRPr="00E26367">
        <w:rPr>
          <w:rFonts w:eastAsia="Yu Mincho"/>
        </w:rPr>
        <w:t>indicating</w:t>
      </w:r>
      <w:r w:rsidRPr="00E26367">
        <w:rPr>
          <w:lang w:val="en-US"/>
        </w:rPr>
        <w:t xml:space="preserve"> a same slot for the PUCCH transmission, the UE determines a PUCCH resource with </w:t>
      </w:r>
      <w:r w:rsidR="009F18AE" w:rsidRPr="00B27E56">
        <w:rPr>
          <w:lang w:val="en-US"/>
        </w:rPr>
        <w:t xml:space="preserve">index </w:t>
      </w:r>
      <m:oMath>
        <m:sSub>
          <m:sSubPr>
            <m:ctrlPr>
              <w:rPr>
                <w:rFonts w:ascii="Cambria Math" w:hAnsi="Cambria Math" w:cs="Arial"/>
                <w:i/>
                <w:lang w:eastAsia="zh-CN"/>
              </w:rPr>
            </m:ctrlPr>
          </m:sSubPr>
          <m:e>
            <m:r>
              <w:rPr>
                <w:rFonts w:ascii="Cambria Math" w:cs="Arial"/>
                <w:lang w:eastAsia="zh-CN"/>
              </w:rPr>
              <m:t>r</m:t>
            </m:r>
          </m:e>
          <m:sub>
            <m:r>
              <m:rPr>
                <m:nor/>
              </m:rPr>
              <w:rPr>
                <w:rFonts w:ascii="Cambria Math" w:cs="Arial"/>
                <w:lang w:eastAsia="zh-CN"/>
              </w:rPr>
              <m:t>PUCCH</m:t>
            </m:r>
            <m:ctrlPr>
              <w:rPr>
                <w:rFonts w:ascii="Cambria Math" w:hAnsi="Cambria Math" w:cs="Arial"/>
                <w:lang w:eastAsia="zh-CN"/>
              </w:rPr>
            </m:ctrlPr>
          </m:sub>
        </m:sSub>
      </m:oMath>
      <w:r w:rsidR="009F18AE" w:rsidRPr="00B27E56">
        <w:t xml:space="preserve">, </w:t>
      </w:r>
      <m:oMath>
        <m:sSub>
          <m:sSubPr>
            <m:ctrlPr>
              <w:rPr>
                <w:rFonts w:ascii="Cambria Math" w:hAnsi="Cambria Math" w:cs="Arial"/>
                <w:i/>
                <w:lang w:eastAsia="zh-CN"/>
              </w:rPr>
            </m:ctrlPr>
          </m:sSubPr>
          <m:e>
            <m:r>
              <w:rPr>
                <w:rFonts w:ascii="Cambria Math" w:cs="Arial"/>
                <w:lang w:eastAsia="zh-CN"/>
              </w:rPr>
              <m:t>0</m:t>
            </m:r>
            <m:r>
              <w:rPr>
                <w:rFonts w:ascii="Cambria Math" w:cs="Arial"/>
                <w:lang w:eastAsia="zh-CN"/>
              </w:rPr>
              <m:t>≤</m:t>
            </m:r>
            <m:r>
              <w:rPr>
                <w:rFonts w:ascii="Cambria Math" w:cs="Arial"/>
                <w:lang w:eastAsia="zh-CN"/>
              </w:rPr>
              <m:t>r</m:t>
            </m:r>
          </m:e>
          <m:sub>
            <m:r>
              <m:rPr>
                <m:nor/>
              </m:rPr>
              <w:rPr>
                <w:rFonts w:ascii="Cambria Math" w:cs="Arial"/>
                <w:lang w:eastAsia="zh-CN"/>
              </w:rPr>
              <m:t>PUCCH</m:t>
            </m:r>
            <m:ctrlPr>
              <w:rPr>
                <w:rFonts w:ascii="Cambria Math" w:hAnsi="Cambria Math" w:cs="Arial"/>
                <w:lang w:eastAsia="zh-CN"/>
              </w:rPr>
            </m:ctrlPr>
          </m:sub>
        </m:sSub>
        <m:r>
          <w:rPr>
            <w:rFonts w:ascii="Cambria Math" w:hAnsi="Cambria Math"/>
          </w:rPr>
          <m:t>≤</m:t>
        </m:r>
        <m:sSub>
          <m:sSubPr>
            <m:ctrlPr>
              <w:rPr>
                <w:rFonts w:ascii="Cambria Math" w:hAnsi="Cambria Math" w:cs="Arial"/>
                <w:i/>
                <w:lang w:eastAsia="zh-CN"/>
              </w:rPr>
            </m:ctrlPr>
          </m:sSubPr>
          <m:e>
            <m:r>
              <w:rPr>
                <w:rFonts w:ascii="Cambria Math" w:cs="Arial"/>
                <w:lang w:eastAsia="zh-CN"/>
              </w:rPr>
              <m:t>R</m:t>
            </m:r>
          </m:e>
          <m:sub>
            <m:r>
              <m:rPr>
                <m:nor/>
              </m:rPr>
              <w:rPr>
                <w:rFonts w:ascii="Cambria Math" w:cs="Arial"/>
                <w:lang w:eastAsia="zh-CN"/>
              </w:rPr>
              <m:t>PUCCH</m:t>
            </m:r>
            <m:ctrlPr>
              <w:rPr>
                <w:rFonts w:ascii="Cambria Math" w:hAnsi="Cambria Math" w:cs="Arial"/>
                <w:lang w:eastAsia="zh-CN"/>
              </w:rPr>
            </m:ctrlPr>
          </m:sub>
        </m:sSub>
        <m:r>
          <w:rPr>
            <w:rFonts w:ascii="Cambria Math" w:hAnsi="Cambria Math" w:cs="Arial"/>
            <w:lang w:eastAsia="zh-CN"/>
          </w:rPr>
          <m:t>-1</m:t>
        </m:r>
      </m:oMath>
      <w:r w:rsidR="009F18AE" w:rsidRPr="00B27E56">
        <w:t>, as</w:t>
      </w:r>
    </w:p>
    <w:p w14:paraId="4DDEAB50" w14:textId="2231CACF" w:rsidR="00F555E0" w:rsidRDefault="00F555E0" w:rsidP="00F555E0">
      <w:pPr>
        <w:pStyle w:val="EQ"/>
      </w:pPr>
      <w:r>
        <w:tab/>
      </w:r>
      <w:r w:rsidR="00ED3701">
        <w:rPr>
          <w:position w:val="-68"/>
        </w:rPr>
        <w:drawing>
          <wp:inline distT="0" distB="0" distL="0" distR="0" wp14:anchorId="62EB4B32" wp14:editId="0435E228">
            <wp:extent cx="4476750" cy="819150"/>
            <wp:effectExtent l="0" t="0" r="0" b="0"/>
            <wp:docPr id="117"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76750" cy="819150"/>
                    </a:xfrm>
                    <a:prstGeom prst="rect">
                      <a:avLst/>
                    </a:prstGeom>
                    <a:noFill/>
                    <a:ln>
                      <a:noFill/>
                    </a:ln>
                  </pic:spPr>
                </pic:pic>
              </a:graphicData>
            </a:graphic>
          </wp:inline>
        </w:drawing>
      </w:r>
    </w:p>
    <w:p w14:paraId="7EB10FE0" w14:textId="2C198FAF" w:rsidR="00CF2E09" w:rsidRPr="00037243" w:rsidRDefault="0029558E" w:rsidP="00CF2E09">
      <w:pPr>
        <w:rPr>
          <w:lang w:eastAsia="ko-KR"/>
        </w:rPr>
      </w:pPr>
      <w:r w:rsidRPr="00B27E56">
        <w:rPr>
          <w:lang w:val="en-US"/>
        </w:rPr>
        <w:t xml:space="preserve">where </w:t>
      </w:r>
      <m:oMath>
        <m:sSub>
          <m:sSubPr>
            <m:ctrlPr>
              <w:rPr>
                <w:rFonts w:ascii="Cambria Math" w:hAnsi="Cambria Math" w:cs="Arial"/>
                <w:i/>
                <w:lang w:eastAsia="zh-CN"/>
              </w:rPr>
            </m:ctrlPr>
          </m:sSubPr>
          <m:e>
            <m:r>
              <w:rPr>
                <w:rFonts w:ascii="Cambria Math" w:cs="Arial"/>
                <w:lang w:eastAsia="zh-CN"/>
              </w:rPr>
              <m:t>N</m:t>
            </m:r>
          </m:e>
          <m:sub>
            <m:r>
              <m:rPr>
                <m:nor/>
              </m:rPr>
              <w:rPr>
                <w:rFonts w:ascii="Cambria Math" w:cs="Arial"/>
                <w:lang w:eastAsia="zh-CN"/>
              </w:rPr>
              <m:t>CCE,</m:t>
            </m:r>
            <m:r>
              <m:rPr>
                <m:nor/>
              </m:rPr>
              <w:rPr>
                <w:rFonts w:ascii="Cambria Math" w:cs="Arial"/>
                <w:i/>
                <w:iCs/>
                <w:lang w:eastAsia="zh-CN"/>
              </w:rPr>
              <m:t>p</m:t>
            </m:r>
            <m:ctrlPr>
              <w:rPr>
                <w:rFonts w:ascii="Cambria Math" w:hAnsi="Cambria Math" w:cs="Arial"/>
                <w:lang w:eastAsia="zh-CN"/>
              </w:rPr>
            </m:ctrlPr>
          </m:sub>
        </m:sSub>
      </m:oMath>
      <w:r w:rsidRPr="00B27E56">
        <w:t xml:space="preserve"> is a number of CCEs in CORESET </w:t>
      </w:r>
      <m:oMath>
        <m:r>
          <w:rPr>
            <w:rFonts w:ascii="Cambria Math" w:hAnsi="Cambria Math" w:cs="Arial"/>
            <w:lang w:eastAsia="zh-CN"/>
          </w:rPr>
          <m:t>p</m:t>
        </m:r>
      </m:oMath>
      <w:r w:rsidRPr="00B27E56">
        <w:t xml:space="preserve"> of the PDCCH reception for the DCI format as described in clause 10.1, </w:t>
      </w:r>
      <m:oMath>
        <m:sSub>
          <m:sSubPr>
            <m:ctrlPr>
              <w:rPr>
                <w:rFonts w:ascii="Cambria Math" w:hAnsi="Cambria Math" w:cs="Arial"/>
                <w:i/>
                <w:lang w:eastAsia="zh-CN"/>
              </w:rPr>
            </m:ctrlPr>
          </m:sSubPr>
          <m:e>
            <m:r>
              <w:rPr>
                <w:rFonts w:ascii="Cambria Math" w:cs="Arial"/>
                <w:lang w:eastAsia="zh-CN"/>
              </w:rPr>
              <m:t>n</m:t>
            </m:r>
          </m:e>
          <m:sub>
            <m:r>
              <m:rPr>
                <m:nor/>
              </m:rPr>
              <w:rPr>
                <w:rFonts w:ascii="Cambria Math" w:cs="Arial"/>
                <w:lang w:eastAsia="zh-CN"/>
              </w:rPr>
              <m:t>CCE,</m:t>
            </m:r>
            <m:r>
              <m:rPr>
                <m:nor/>
              </m:rPr>
              <w:rPr>
                <w:rFonts w:ascii="Cambria Math" w:cs="Arial"/>
                <w:i/>
                <w:iCs/>
                <w:lang w:eastAsia="zh-CN"/>
              </w:rPr>
              <m:t>p</m:t>
            </m:r>
            <m:ctrlPr>
              <w:rPr>
                <w:rFonts w:ascii="Cambria Math" w:hAnsi="Cambria Math" w:cs="Arial"/>
                <w:lang w:eastAsia="zh-CN"/>
              </w:rPr>
            </m:ctrlPr>
          </m:sub>
        </m:sSub>
      </m:oMath>
      <w:r w:rsidRPr="00B27E56">
        <w:t xml:space="preserve"> is the index of a first CCE for the PDCCH reception, and </w:t>
      </w:r>
      <m:oMath>
        <m:sSub>
          <m:sSubPr>
            <m:ctrlPr>
              <w:rPr>
                <w:rFonts w:ascii="Cambria Math" w:hAnsi="Cambria Math"/>
                <w:i/>
                <w:sz w:val="24"/>
                <w:szCs w:val="24"/>
              </w:rPr>
            </m:ctrlPr>
          </m:sSubPr>
          <m:e>
            <m:r>
              <w:rPr>
                <w:rFonts w:ascii="Cambria Math" w:hAnsi="Cambria Math"/>
              </w:rPr>
              <m:t>∆</m:t>
            </m:r>
          </m:e>
          <m:sub>
            <m:r>
              <m:rPr>
                <m:sty m:val="p"/>
              </m:rPr>
              <w:rPr>
                <w:rFonts w:ascii="Cambria Math" w:hAnsi="Cambria Math"/>
              </w:rPr>
              <m:t>PRI</m:t>
            </m:r>
          </m:sub>
        </m:sSub>
      </m:oMath>
      <w:r w:rsidRPr="00B27E56">
        <w:rPr>
          <w:lang w:eastAsia="zh-CN"/>
        </w:rPr>
        <w:t xml:space="preserve"> is a value of the PUCCH resource indicator</w:t>
      </w:r>
      <w:r w:rsidRPr="00B27E56">
        <w:t xml:space="preserve"> field in the DCI format. </w:t>
      </w:r>
      <w:r w:rsidR="004E7BF4" w:rsidRPr="00F415B1">
        <w:t xml:space="preserve">When the PDCCH </w:t>
      </w:r>
      <w:r w:rsidR="004E7BF4" w:rsidRPr="00F415B1">
        <w:rPr>
          <w:lang w:eastAsia="ko-KR"/>
        </w:rPr>
        <w:t xml:space="preserve">reception includes </w:t>
      </w:r>
      <w:r w:rsidR="00CF2E09" w:rsidRPr="00037243">
        <w:rPr>
          <w:lang w:eastAsia="ko-KR"/>
        </w:rPr>
        <w:t>first and second</w:t>
      </w:r>
      <w:r w:rsidR="004E7BF4" w:rsidRPr="00F415B1">
        <w:rPr>
          <w:lang w:eastAsia="ko-KR"/>
        </w:rPr>
        <w:t xml:space="preserve"> PDCCH candidates from respective</w:t>
      </w:r>
      <w:r w:rsidR="00CF2E09">
        <w:rPr>
          <w:lang w:eastAsia="ko-KR"/>
        </w:rPr>
        <w:t xml:space="preserve"> </w:t>
      </w:r>
      <w:r w:rsidR="00CF2E09" w:rsidRPr="00037243">
        <w:rPr>
          <w:lang w:eastAsia="ko-KR"/>
        </w:rPr>
        <w:t>first and second</w:t>
      </w:r>
      <w:r w:rsidR="004E7BF4" w:rsidRPr="00F415B1">
        <w:rPr>
          <w:lang w:eastAsia="ko-KR"/>
        </w:rPr>
        <w:t xml:space="preserve"> search space sets, as described in clause 10.1, the CORESET is associated with the search space set having the smaller index. </w:t>
      </w:r>
      <w:r w:rsidR="00CF2E09" w:rsidRPr="00037243">
        <w:rPr>
          <w:lang w:eastAsia="ko-KR"/>
        </w:rPr>
        <w:t>If</w:t>
      </w:r>
    </w:p>
    <w:p w14:paraId="69BAF3F1" w14:textId="2AE11779" w:rsidR="00CF2E09" w:rsidRPr="00037243" w:rsidRDefault="00CF2E09" w:rsidP="00CF2E09">
      <w:pPr>
        <w:pStyle w:val="B1"/>
      </w:pPr>
      <w:r>
        <w:t>-</w:t>
      </w:r>
      <w:r>
        <w:tab/>
      </w:r>
      <w:r w:rsidRPr="00037243">
        <w:t>the first search space set has larger index than the second search space set and includes the first PDCCH candidate and a third PDCCH candidate that have same first CCE index and CCE aggregation levels 8 and 16, or 16 and 8, respectively,</w:t>
      </w:r>
    </w:p>
    <w:p w14:paraId="442D5039" w14:textId="0C1D730F" w:rsidR="00CF2E09" w:rsidRPr="00037243" w:rsidRDefault="00CF2E09" w:rsidP="00CF2E09">
      <w:pPr>
        <w:pStyle w:val="B1"/>
      </w:pPr>
      <w:r>
        <w:t>-</w:t>
      </w:r>
      <w:r>
        <w:tab/>
      </w:r>
      <w:r w:rsidRPr="00037243">
        <w:t>the second search space set includes the second PDCCH candidate that has same index and same CCE aggregation level as the first PDCCH candidate, and a fourth PDCCH candidate that has same index and same CCE aggregation level as the third PDCCH candidate,</w:t>
      </w:r>
    </w:p>
    <w:p w14:paraId="196B7539" w14:textId="3514F055" w:rsidR="00CF2E09" w:rsidRPr="00037243" w:rsidRDefault="00CF2E09" w:rsidP="00CF2E09">
      <w:pPr>
        <w:pStyle w:val="B1"/>
      </w:pPr>
      <w:r>
        <w:t>-</w:t>
      </w:r>
      <w:r>
        <w:tab/>
      </w:r>
      <w:r w:rsidRPr="00037243">
        <w:t xml:space="preserve">the CORESET associated with the first search space set has </w:t>
      </w:r>
      <w:r w:rsidRPr="00037243">
        <w:rPr>
          <w:i/>
        </w:rPr>
        <w:t>cce-REG-MappingType</w:t>
      </w:r>
      <w:r w:rsidRPr="00037243">
        <w:t xml:space="preserve"> = '</w:t>
      </w:r>
      <w:r w:rsidRPr="00037243">
        <w:rPr>
          <w:i/>
        </w:rPr>
        <w:t>nonInterleaved</w:t>
      </w:r>
      <w:r w:rsidRPr="00037243">
        <w:t>' and has duration of one symbol, and</w:t>
      </w:r>
    </w:p>
    <w:p w14:paraId="4A7CCF5E" w14:textId="70168C82" w:rsidR="00CF2E09" w:rsidRPr="00037243" w:rsidRDefault="00CF2E09" w:rsidP="00CF2E09">
      <w:pPr>
        <w:pStyle w:val="B1"/>
      </w:pPr>
      <w:r>
        <w:t>-</w:t>
      </w:r>
      <w:r>
        <w:tab/>
      </w:r>
      <w:r w:rsidRPr="00037243">
        <w:t xml:space="preserve">the second PDCCH candidate has different first CCE index than the fourth PDCCH candidate </w:t>
      </w:r>
    </w:p>
    <w:p w14:paraId="3F0D4E40" w14:textId="77777777" w:rsidR="00CF2E09" w:rsidRDefault="00CF2E09" w:rsidP="00CF2E09">
      <w:pPr>
        <w:rPr>
          <w:lang w:val="en-US"/>
        </w:rPr>
      </w:pPr>
      <w:r w:rsidRPr="00037243">
        <w:rPr>
          <w:rFonts w:eastAsia="Calibri"/>
        </w:rPr>
        <w:t xml:space="preserve">the UE determines </w:t>
      </w:r>
      <m:oMath>
        <m:sSub>
          <m:sSubPr>
            <m:ctrlPr>
              <w:rPr>
                <w:rFonts w:ascii="Cambria Math" w:hAnsi="Cambria Math"/>
                <w:i/>
              </w:rPr>
            </m:ctrlPr>
          </m:sSubPr>
          <m:e>
            <m:r>
              <w:rPr>
                <w:rFonts w:ascii="Cambria Math" w:hAnsi="Cambria Math"/>
              </w:rPr>
              <m:t>n</m:t>
            </m:r>
          </m:e>
          <m:sub>
            <m:r>
              <m:rPr>
                <m:sty m:val="p"/>
              </m:rPr>
              <w:rPr>
                <w:rFonts w:ascii="Cambria Math" w:hAnsi="Cambria Math"/>
                <w:lang w:val="en-US"/>
              </w:rPr>
              <m:t>CCE,0</m:t>
            </m:r>
          </m:sub>
        </m:sSub>
      </m:oMath>
      <w:r w:rsidRPr="00037243">
        <w:rPr>
          <w:lang w:val="en-US"/>
        </w:rPr>
        <w:t xml:space="preserve"> from the PDCCH candidate with CCE aggregation level 16 among the second PDCCH candidate and the fourth PDCCH candidate.</w:t>
      </w:r>
    </w:p>
    <w:p w14:paraId="32A4467F" w14:textId="1AFEE113" w:rsidR="0029558E" w:rsidRPr="00B27E56" w:rsidRDefault="0029558E" w:rsidP="00CF2E09">
      <w:r w:rsidRPr="00B27E56">
        <w:t xml:space="preserve">If the DCI format does not include a PUCCH resource indicator field, </w:t>
      </w:r>
      <m:oMath>
        <m:sSub>
          <m:sSubPr>
            <m:ctrlPr>
              <w:rPr>
                <w:rFonts w:ascii="Cambria Math" w:hAnsi="Cambria Math"/>
                <w:i/>
                <w:sz w:val="24"/>
                <w:szCs w:val="24"/>
              </w:rPr>
            </m:ctrlPr>
          </m:sSubPr>
          <m:e>
            <m:r>
              <w:rPr>
                <w:rFonts w:ascii="Cambria Math" w:hAnsi="Cambria Math"/>
              </w:rPr>
              <m:t>∆</m:t>
            </m:r>
          </m:e>
          <m:sub>
            <m:r>
              <m:rPr>
                <m:sty m:val="p"/>
              </m:rPr>
              <w:rPr>
                <w:rFonts w:ascii="Cambria Math" w:hAnsi="Cambria Math"/>
              </w:rPr>
              <m:t>PRI</m:t>
            </m:r>
          </m:sub>
        </m:sSub>
        <m:r>
          <w:rPr>
            <w:rFonts w:ascii="Cambria Math" w:eastAsiaTheme="minorEastAsia" w:hAnsi="Cambria Math"/>
            <w:lang w:eastAsia="zh-CN"/>
          </w:rPr>
          <m:t>=0</m:t>
        </m:r>
      </m:oMath>
      <w:r w:rsidRPr="00B27E56">
        <w:t>.</w:t>
      </w:r>
    </w:p>
    <w:p w14:paraId="41E6BB40" w14:textId="1EA4A7BE" w:rsidR="00193F12" w:rsidRDefault="00193F12" w:rsidP="00193F12">
      <w:pPr>
        <w:pStyle w:val="TH"/>
        <w:rPr>
          <w:rFonts w:cs="Arial"/>
        </w:rPr>
      </w:pPr>
      <w:r w:rsidRPr="00B916EC">
        <w:rPr>
          <w:rFonts w:cs="Arial"/>
        </w:rPr>
        <w:t>Table 9.2.</w:t>
      </w:r>
      <w:r w:rsidR="00A2764D">
        <w:rPr>
          <w:rFonts w:cs="Arial"/>
        </w:rPr>
        <w:t>3</w:t>
      </w:r>
      <w:r w:rsidR="00F13A37" w:rsidRPr="00B916EC">
        <w:rPr>
          <w:rFonts w:cs="Arial"/>
        </w:rPr>
        <w:t>-2</w:t>
      </w:r>
      <w:r w:rsidRPr="00B916EC">
        <w:rPr>
          <w:rFonts w:cs="Arial"/>
        </w:rPr>
        <w:t xml:space="preserve">: Mapping of PUCCH resource indication field values to </w:t>
      </w:r>
      <w:r w:rsidR="006E70AF" w:rsidRPr="00B916EC">
        <w:rPr>
          <w:rFonts w:cs="Arial"/>
        </w:rPr>
        <w:t xml:space="preserve">a </w:t>
      </w:r>
      <w:r w:rsidR="00F33D0C" w:rsidRPr="00B916EC">
        <w:rPr>
          <w:rFonts w:cs="Arial"/>
        </w:rPr>
        <w:t>PUCCH resource</w:t>
      </w:r>
      <w:r w:rsidR="006E70AF" w:rsidRPr="00B916EC">
        <w:rPr>
          <w:rFonts w:cs="Arial"/>
        </w:rPr>
        <w:t xml:space="preserve"> in a PUCCH resource set</w:t>
      </w:r>
      <w:r w:rsidR="00A2764D">
        <w:rPr>
          <w:rFonts w:cs="Arial"/>
        </w:rPr>
        <w:t xml:space="preserve"> </w:t>
      </w:r>
      <w:r w:rsidR="001D40E2">
        <w:rPr>
          <w:rFonts w:cs="Arial"/>
        </w:rPr>
        <w:t>with maximum 8 PUCCH resources</w:t>
      </w:r>
    </w:p>
    <w:tbl>
      <w:tblPr>
        <w:tblW w:w="9621"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1340"/>
        <w:gridCol w:w="1260"/>
        <w:gridCol w:w="1350"/>
        <w:gridCol w:w="5626"/>
        <w:gridCol w:w="45"/>
      </w:tblGrid>
      <w:tr w:rsidR="00E069D4" w:rsidRPr="0028542D" w14:paraId="5AD124A2" w14:textId="77777777" w:rsidTr="00B25F5D">
        <w:trPr>
          <w:gridAfter w:val="1"/>
          <w:wAfter w:w="45" w:type="dxa"/>
          <w:cantSplit/>
          <w:jc w:val="center"/>
        </w:trPr>
        <w:tc>
          <w:tcPr>
            <w:tcW w:w="3950" w:type="dxa"/>
            <w:gridSpan w:val="3"/>
            <w:tcBorders>
              <w:top w:val="single" w:sz="8" w:space="0" w:color="auto"/>
              <w:left w:val="single" w:sz="8" w:space="0" w:color="auto"/>
              <w:bottom w:val="single" w:sz="8" w:space="0" w:color="auto"/>
              <w:right w:val="single" w:sz="8" w:space="0" w:color="auto"/>
            </w:tcBorders>
            <w:shd w:val="clear" w:color="auto" w:fill="E0E0E0"/>
            <w:vAlign w:val="center"/>
          </w:tcPr>
          <w:p w14:paraId="2CB72C7F" w14:textId="77777777" w:rsidR="00E069D4" w:rsidRPr="0028542D" w:rsidRDefault="00E069D4" w:rsidP="00B25F5D">
            <w:pPr>
              <w:pStyle w:val="TAH"/>
              <w:rPr>
                <w:lang w:eastAsia="zh-CN"/>
              </w:rPr>
            </w:pPr>
            <w:r w:rsidRPr="00B916EC">
              <w:rPr>
                <w:lang w:eastAsia="zh-CN"/>
              </w:rPr>
              <w:t>PUCCH resource</w:t>
            </w:r>
            <w:r w:rsidRPr="00B916EC">
              <w:rPr>
                <w:rFonts w:hint="eastAsia"/>
                <w:lang w:eastAsia="zh-CN"/>
              </w:rPr>
              <w:t xml:space="preserve"> indicator</w:t>
            </w:r>
            <w:r w:rsidRPr="00B916EC" w:rsidDel="000740B6">
              <w:rPr>
                <w:szCs w:val="18"/>
              </w:rPr>
              <w:t xml:space="preserve"> </w:t>
            </w:r>
          </w:p>
        </w:tc>
        <w:tc>
          <w:tcPr>
            <w:tcW w:w="5626" w:type="dxa"/>
            <w:tcBorders>
              <w:top w:val="single" w:sz="8" w:space="0" w:color="auto"/>
              <w:left w:val="single" w:sz="8" w:space="0" w:color="auto"/>
              <w:bottom w:val="single" w:sz="8" w:space="0" w:color="auto"/>
              <w:right w:val="single" w:sz="8" w:space="0" w:color="auto"/>
            </w:tcBorders>
            <w:shd w:val="clear" w:color="auto" w:fill="E0E0E0"/>
            <w:vAlign w:val="center"/>
          </w:tcPr>
          <w:p w14:paraId="0A32D2E4" w14:textId="77777777" w:rsidR="00E069D4" w:rsidRPr="0028542D" w:rsidRDefault="00E069D4" w:rsidP="00B25F5D">
            <w:pPr>
              <w:pStyle w:val="TAH"/>
            </w:pPr>
            <w:r w:rsidRPr="00B916EC">
              <w:rPr>
                <w:rFonts w:ascii="Times New Roman" w:hAnsi="Times New Roman"/>
                <w:sz w:val="20"/>
              </w:rPr>
              <w:t>PUCCH resource</w:t>
            </w:r>
          </w:p>
        </w:tc>
      </w:tr>
      <w:tr w:rsidR="00E069D4" w:rsidRPr="00B916EC" w14:paraId="6208BECC" w14:textId="77777777" w:rsidTr="00B25F5D">
        <w:trPr>
          <w:cantSplit/>
          <w:jc w:val="center"/>
        </w:trPr>
        <w:tc>
          <w:tcPr>
            <w:tcW w:w="1340" w:type="dxa"/>
          </w:tcPr>
          <w:p w14:paraId="24773059" w14:textId="77777777" w:rsidR="00E069D4" w:rsidRPr="00B916EC" w:rsidRDefault="00E069D4" w:rsidP="00B25F5D">
            <w:pPr>
              <w:pStyle w:val="TAC"/>
            </w:pPr>
            <w:r>
              <w:t>1 bit</w:t>
            </w:r>
          </w:p>
        </w:tc>
        <w:tc>
          <w:tcPr>
            <w:tcW w:w="1260" w:type="dxa"/>
          </w:tcPr>
          <w:p w14:paraId="0B86837A" w14:textId="77777777" w:rsidR="00E069D4" w:rsidRPr="00B916EC" w:rsidRDefault="00E069D4" w:rsidP="00B25F5D">
            <w:pPr>
              <w:pStyle w:val="TAC"/>
            </w:pPr>
            <w:r>
              <w:t>2 bits</w:t>
            </w:r>
          </w:p>
        </w:tc>
        <w:tc>
          <w:tcPr>
            <w:tcW w:w="1350" w:type="dxa"/>
            <w:vAlign w:val="center"/>
          </w:tcPr>
          <w:p w14:paraId="426E9B30" w14:textId="77777777" w:rsidR="00E069D4" w:rsidRPr="00B916EC" w:rsidRDefault="00E069D4" w:rsidP="00B25F5D">
            <w:pPr>
              <w:pStyle w:val="TAC"/>
            </w:pPr>
            <w:r>
              <w:t>3 bits</w:t>
            </w:r>
          </w:p>
        </w:tc>
        <w:tc>
          <w:tcPr>
            <w:tcW w:w="5671" w:type="dxa"/>
            <w:gridSpan w:val="2"/>
            <w:vAlign w:val="center"/>
          </w:tcPr>
          <w:p w14:paraId="28445F4C" w14:textId="77777777" w:rsidR="00E069D4" w:rsidRPr="00B916EC" w:rsidRDefault="00E069D4" w:rsidP="00B25F5D">
            <w:pPr>
              <w:pStyle w:val="TAL"/>
              <w:jc w:val="center"/>
            </w:pPr>
          </w:p>
        </w:tc>
      </w:tr>
      <w:tr w:rsidR="00E069D4" w:rsidRPr="00B916EC" w14:paraId="552AD387" w14:textId="77777777" w:rsidTr="00B25F5D">
        <w:trPr>
          <w:cantSplit/>
          <w:jc w:val="center"/>
        </w:trPr>
        <w:tc>
          <w:tcPr>
            <w:tcW w:w="1340" w:type="dxa"/>
          </w:tcPr>
          <w:p w14:paraId="048C904C" w14:textId="77777777" w:rsidR="00E069D4" w:rsidRPr="00B916EC" w:rsidRDefault="00E069D4" w:rsidP="00B25F5D">
            <w:pPr>
              <w:pStyle w:val="TAC"/>
            </w:pPr>
            <w:r>
              <w:t>'0'</w:t>
            </w:r>
          </w:p>
        </w:tc>
        <w:tc>
          <w:tcPr>
            <w:tcW w:w="1260" w:type="dxa"/>
          </w:tcPr>
          <w:p w14:paraId="1F887493" w14:textId="77777777" w:rsidR="00E069D4" w:rsidRPr="00B916EC" w:rsidRDefault="00E069D4" w:rsidP="00B25F5D">
            <w:pPr>
              <w:pStyle w:val="TAC"/>
            </w:pPr>
            <w:r>
              <w:t>'00'</w:t>
            </w:r>
          </w:p>
        </w:tc>
        <w:tc>
          <w:tcPr>
            <w:tcW w:w="1350" w:type="dxa"/>
            <w:vAlign w:val="center"/>
          </w:tcPr>
          <w:p w14:paraId="50ECF162" w14:textId="77777777" w:rsidR="00E069D4" w:rsidRPr="00B916EC" w:rsidRDefault="00E069D4" w:rsidP="00B25F5D">
            <w:pPr>
              <w:pStyle w:val="TAC"/>
            </w:pPr>
            <w:r w:rsidRPr="00B916EC">
              <w:t>'000'</w:t>
            </w:r>
          </w:p>
        </w:tc>
        <w:tc>
          <w:tcPr>
            <w:tcW w:w="5671" w:type="dxa"/>
            <w:gridSpan w:val="2"/>
            <w:vAlign w:val="center"/>
          </w:tcPr>
          <w:p w14:paraId="2CF52F78" w14:textId="77777777" w:rsidR="00E069D4" w:rsidRPr="00B916EC" w:rsidRDefault="00E069D4" w:rsidP="00B25F5D">
            <w:pPr>
              <w:pStyle w:val="TAL"/>
              <w:jc w:val="center"/>
            </w:pPr>
            <w:r w:rsidRPr="00B671B8">
              <w:rPr>
                <w:rFonts w:cs="Arial"/>
                <w:szCs w:val="18"/>
              </w:rPr>
              <w:t>1</w:t>
            </w:r>
            <w:r w:rsidRPr="00B671B8">
              <w:rPr>
                <w:rFonts w:cs="Arial"/>
                <w:szCs w:val="18"/>
                <w:vertAlign w:val="superscript"/>
              </w:rPr>
              <w:t>st</w:t>
            </w:r>
            <w:r w:rsidRPr="00B671B8">
              <w:rPr>
                <w:rFonts w:cs="Arial"/>
                <w:szCs w:val="18"/>
              </w:rPr>
              <w:t xml:space="preserve"> PUCCH resource provided by </w:t>
            </w:r>
            <w:r w:rsidRPr="00B671B8">
              <w:rPr>
                <w:rFonts w:cs="Arial"/>
                <w:i/>
                <w:szCs w:val="18"/>
              </w:rPr>
              <w:t xml:space="preserve">pucch-ResourceId </w:t>
            </w:r>
            <w:r w:rsidRPr="00B671B8">
              <w:rPr>
                <w:rFonts w:cs="Arial"/>
                <w:szCs w:val="18"/>
              </w:rPr>
              <w:t>obtained from the 1</w:t>
            </w:r>
            <w:r w:rsidRPr="00B671B8">
              <w:rPr>
                <w:rFonts w:cs="Arial"/>
                <w:szCs w:val="18"/>
                <w:vertAlign w:val="superscript"/>
              </w:rPr>
              <w:t>st</w:t>
            </w:r>
            <w:r w:rsidRPr="00B671B8">
              <w:rPr>
                <w:rFonts w:cs="Arial"/>
                <w:szCs w:val="18"/>
              </w:rPr>
              <w:t xml:space="preserve"> value of </w:t>
            </w:r>
            <w:r w:rsidRPr="00B671B8">
              <w:rPr>
                <w:rFonts w:cs="Arial"/>
                <w:i/>
                <w:szCs w:val="18"/>
              </w:rPr>
              <w:t>resourceList</w:t>
            </w:r>
          </w:p>
        </w:tc>
      </w:tr>
      <w:tr w:rsidR="00E069D4" w:rsidRPr="00B916EC" w14:paraId="7BC5BCDE" w14:textId="77777777" w:rsidTr="00B25F5D">
        <w:trPr>
          <w:cantSplit/>
          <w:jc w:val="center"/>
        </w:trPr>
        <w:tc>
          <w:tcPr>
            <w:tcW w:w="1340" w:type="dxa"/>
          </w:tcPr>
          <w:p w14:paraId="6701C013" w14:textId="77777777" w:rsidR="00E069D4" w:rsidRPr="00B916EC" w:rsidRDefault="00E069D4" w:rsidP="00B25F5D">
            <w:pPr>
              <w:pStyle w:val="TAC"/>
            </w:pPr>
            <w:r>
              <w:t>'1'</w:t>
            </w:r>
          </w:p>
        </w:tc>
        <w:tc>
          <w:tcPr>
            <w:tcW w:w="1260" w:type="dxa"/>
          </w:tcPr>
          <w:p w14:paraId="49329788" w14:textId="77777777" w:rsidR="00E069D4" w:rsidRPr="00B916EC" w:rsidRDefault="00E069D4" w:rsidP="00B25F5D">
            <w:pPr>
              <w:pStyle w:val="TAC"/>
            </w:pPr>
            <w:r>
              <w:t>'01'</w:t>
            </w:r>
          </w:p>
        </w:tc>
        <w:tc>
          <w:tcPr>
            <w:tcW w:w="1350" w:type="dxa"/>
            <w:vAlign w:val="center"/>
          </w:tcPr>
          <w:p w14:paraId="34EC1533" w14:textId="77777777" w:rsidR="00E069D4" w:rsidRPr="00B916EC" w:rsidRDefault="00E069D4" w:rsidP="00B25F5D">
            <w:pPr>
              <w:pStyle w:val="TAC"/>
            </w:pPr>
            <w:r w:rsidRPr="00B916EC">
              <w:t>'001'</w:t>
            </w:r>
          </w:p>
        </w:tc>
        <w:tc>
          <w:tcPr>
            <w:tcW w:w="5671" w:type="dxa"/>
            <w:gridSpan w:val="2"/>
            <w:vAlign w:val="center"/>
          </w:tcPr>
          <w:p w14:paraId="5FF6025E" w14:textId="77777777" w:rsidR="00E069D4" w:rsidRPr="00B916EC" w:rsidRDefault="00E069D4" w:rsidP="00B25F5D">
            <w:pPr>
              <w:pStyle w:val="TAL"/>
              <w:jc w:val="center"/>
            </w:pPr>
            <w:r w:rsidRPr="00B916EC">
              <w:t>2</w:t>
            </w:r>
            <w:r w:rsidRPr="00B916EC">
              <w:rPr>
                <w:vertAlign w:val="superscript"/>
              </w:rPr>
              <w:t>nd</w:t>
            </w:r>
            <w:r>
              <w:t xml:space="preserve"> PUCCH</w:t>
            </w:r>
            <w:r w:rsidRPr="00B916EC">
              <w:t xml:space="preserve"> resource provided by </w:t>
            </w:r>
            <w:r>
              <w:rPr>
                <w:rFonts w:ascii="Times New Roman" w:hAnsi="Times New Roman"/>
                <w:i/>
                <w:sz w:val="20"/>
              </w:rPr>
              <w:t>pucch</w:t>
            </w:r>
            <w:r w:rsidRPr="00B916EC">
              <w:rPr>
                <w:rFonts w:ascii="Times New Roman" w:hAnsi="Times New Roman"/>
                <w:i/>
                <w:sz w:val="20"/>
              </w:rPr>
              <w:t>-</w:t>
            </w:r>
            <w:r>
              <w:rPr>
                <w:rFonts w:ascii="Times New Roman" w:hAnsi="Times New Roman"/>
                <w:i/>
                <w:sz w:val="20"/>
              </w:rPr>
              <w:t>R</w:t>
            </w:r>
            <w:r w:rsidRPr="00B916EC">
              <w:rPr>
                <w:rFonts w:ascii="Times New Roman" w:hAnsi="Times New Roman"/>
                <w:i/>
                <w:sz w:val="20"/>
              </w:rPr>
              <w:t>esource</w:t>
            </w:r>
            <w:r>
              <w:rPr>
                <w:rFonts w:ascii="Times New Roman" w:hAnsi="Times New Roman"/>
                <w:i/>
                <w:sz w:val="20"/>
              </w:rPr>
              <w:t xml:space="preserve">Id </w:t>
            </w:r>
            <w:r>
              <w:rPr>
                <w:rFonts w:cs="Arial"/>
                <w:szCs w:val="18"/>
              </w:rPr>
              <w:t>obtained from the 2</w:t>
            </w:r>
            <w:r w:rsidRPr="00B671B8">
              <w:rPr>
                <w:rFonts w:cs="Arial"/>
                <w:szCs w:val="18"/>
                <w:vertAlign w:val="superscript"/>
              </w:rPr>
              <w:t>nd</w:t>
            </w:r>
            <w:r w:rsidRPr="00B671B8">
              <w:rPr>
                <w:rFonts w:cs="Arial"/>
                <w:szCs w:val="18"/>
              </w:rPr>
              <w:t xml:space="preserve"> value of </w:t>
            </w:r>
            <w:r w:rsidRPr="00B671B8">
              <w:rPr>
                <w:rFonts w:cs="Arial"/>
                <w:i/>
                <w:szCs w:val="18"/>
              </w:rPr>
              <w:t>resourceList</w:t>
            </w:r>
          </w:p>
        </w:tc>
      </w:tr>
      <w:tr w:rsidR="00E069D4" w:rsidRPr="00B916EC" w14:paraId="1CAF06F3" w14:textId="77777777" w:rsidTr="00B25F5D">
        <w:trPr>
          <w:cantSplit/>
          <w:jc w:val="center"/>
        </w:trPr>
        <w:tc>
          <w:tcPr>
            <w:tcW w:w="1340" w:type="dxa"/>
          </w:tcPr>
          <w:p w14:paraId="6BEB7FFD" w14:textId="77777777" w:rsidR="00E069D4" w:rsidRPr="00B916EC" w:rsidRDefault="00E069D4" w:rsidP="00B25F5D">
            <w:pPr>
              <w:pStyle w:val="TAC"/>
            </w:pPr>
          </w:p>
        </w:tc>
        <w:tc>
          <w:tcPr>
            <w:tcW w:w="1260" w:type="dxa"/>
          </w:tcPr>
          <w:p w14:paraId="449A0A1E" w14:textId="77777777" w:rsidR="00E069D4" w:rsidRPr="00B916EC" w:rsidRDefault="00E069D4" w:rsidP="00B25F5D">
            <w:pPr>
              <w:pStyle w:val="TAC"/>
            </w:pPr>
            <w:r>
              <w:t>'10'</w:t>
            </w:r>
          </w:p>
        </w:tc>
        <w:tc>
          <w:tcPr>
            <w:tcW w:w="1350" w:type="dxa"/>
            <w:vAlign w:val="center"/>
          </w:tcPr>
          <w:p w14:paraId="6482E874" w14:textId="77777777" w:rsidR="00E069D4" w:rsidRPr="00B916EC" w:rsidRDefault="00E069D4" w:rsidP="00B25F5D">
            <w:pPr>
              <w:pStyle w:val="TAC"/>
            </w:pPr>
            <w:r w:rsidRPr="00B916EC">
              <w:t>'010'</w:t>
            </w:r>
          </w:p>
        </w:tc>
        <w:tc>
          <w:tcPr>
            <w:tcW w:w="5671" w:type="dxa"/>
            <w:gridSpan w:val="2"/>
            <w:vAlign w:val="center"/>
          </w:tcPr>
          <w:p w14:paraId="0D1C95E4" w14:textId="77777777" w:rsidR="00E069D4" w:rsidRPr="00B916EC" w:rsidRDefault="00E069D4" w:rsidP="00B25F5D">
            <w:pPr>
              <w:pStyle w:val="TAL"/>
              <w:jc w:val="center"/>
            </w:pPr>
            <w:r w:rsidRPr="00B916EC">
              <w:t>3</w:t>
            </w:r>
            <w:r w:rsidRPr="00B916EC">
              <w:rPr>
                <w:vertAlign w:val="superscript"/>
              </w:rPr>
              <w:t>rd</w:t>
            </w:r>
            <w:r w:rsidRPr="00B916EC">
              <w:t xml:space="preserve"> </w:t>
            </w:r>
            <w:r>
              <w:t>PUCCH</w:t>
            </w:r>
            <w:r w:rsidRPr="00B916EC">
              <w:t xml:space="preserve"> resource provided by </w:t>
            </w:r>
            <w:r>
              <w:rPr>
                <w:rFonts w:ascii="Times New Roman" w:hAnsi="Times New Roman"/>
                <w:i/>
                <w:sz w:val="20"/>
              </w:rPr>
              <w:t>pucch</w:t>
            </w:r>
            <w:r w:rsidRPr="00B916EC">
              <w:rPr>
                <w:rFonts w:ascii="Times New Roman" w:hAnsi="Times New Roman"/>
                <w:i/>
                <w:sz w:val="20"/>
              </w:rPr>
              <w:t>-</w:t>
            </w:r>
            <w:r>
              <w:rPr>
                <w:rFonts w:ascii="Times New Roman" w:hAnsi="Times New Roman"/>
                <w:i/>
                <w:sz w:val="20"/>
              </w:rPr>
              <w:t>R</w:t>
            </w:r>
            <w:r w:rsidRPr="00B916EC">
              <w:rPr>
                <w:rFonts w:ascii="Times New Roman" w:hAnsi="Times New Roman"/>
                <w:i/>
                <w:sz w:val="20"/>
              </w:rPr>
              <w:t>esource</w:t>
            </w:r>
            <w:r>
              <w:rPr>
                <w:rFonts w:ascii="Times New Roman" w:hAnsi="Times New Roman"/>
                <w:i/>
                <w:sz w:val="20"/>
              </w:rPr>
              <w:t xml:space="preserve">Id </w:t>
            </w:r>
            <w:r>
              <w:rPr>
                <w:rFonts w:cs="Arial"/>
                <w:szCs w:val="18"/>
              </w:rPr>
              <w:t>obtained from the 3</w:t>
            </w:r>
            <w:r w:rsidRPr="00B671B8">
              <w:rPr>
                <w:rFonts w:cs="Arial"/>
                <w:szCs w:val="18"/>
                <w:vertAlign w:val="superscript"/>
              </w:rPr>
              <w:t>rd</w:t>
            </w:r>
            <w:r w:rsidRPr="00B671B8">
              <w:rPr>
                <w:rFonts w:cs="Arial"/>
                <w:szCs w:val="18"/>
              </w:rPr>
              <w:t xml:space="preserve"> value of </w:t>
            </w:r>
            <w:r w:rsidRPr="00B671B8">
              <w:rPr>
                <w:rFonts w:cs="Arial"/>
                <w:i/>
                <w:szCs w:val="18"/>
              </w:rPr>
              <w:t>resourceList</w:t>
            </w:r>
          </w:p>
        </w:tc>
      </w:tr>
      <w:tr w:rsidR="00E069D4" w:rsidRPr="00B916EC" w14:paraId="1E58ECC3" w14:textId="77777777" w:rsidTr="00B25F5D">
        <w:trPr>
          <w:cantSplit/>
          <w:jc w:val="center"/>
        </w:trPr>
        <w:tc>
          <w:tcPr>
            <w:tcW w:w="1340" w:type="dxa"/>
          </w:tcPr>
          <w:p w14:paraId="01AA57D2" w14:textId="77777777" w:rsidR="00E069D4" w:rsidRPr="00B916EC" w:rsidRDefault="00E069D4" w:rsidP="00B25F5D">
            <w:pPr>
              <w:pStyle w:val="TAC"/>
            </w:pPr>
          </w:p>
        </w:tc>
        <w:tc>
          <w:tcPr>
            <w:tcW w:w="1260" w:type="dxa"/>
          </w:tcPr>
          <w:p w14:paraId="7EF7C7F6" w14:textId="77777777" w:rsidR="00E069D4" w:rsidRPr="00B916EC" w:rsidRDefault="00E069D4" w:rsidP="00B25F5D">
            <w:pPr>
              <w:pStyle w:val="TAC"/>
            </w:pPr>
            <w:r>
              <w:t>'11'</w:t>
            </w:r>
          </w:p>
        </w:tc>
        <w:tc>
          <w:tcPr>
            <w:tcW w:w="1350" w:type="dxa"/>
            <w:vAlign w:val="center"/>
          </w:tcPr>
          <w:p w14:paraId="02BF1CD0" w14:textId="77777777" w:rsidR="00E069D4" w:rsidRPr="00B916EC" w:rsidRDefault="00E069D4" w:rsidP="00B25F5D">
            <w:pPr>
              <w:pStyle w:val="TAC"/>
            </w:pPr>
            <w:r w:rsidRPr="00B916EC">
              <w:t>'011'</w:t>
            </w:r>
          </w:p>
        </w:tc>
        <w:tc>
          <w:tcPr>
            <w:tcW w:w="5671" w:type="dxa"/>
            <w:gridSpan w:val="2"/>
            <w:vAlign w:val="center"/>
          </w:tcPr>
          <w:p w14:paraId="78C0FA8D" w14:textId="77777777" w:rsidR="00E069D4" w:rsidRPr="00B916EC" w:rsidRDefault="00E069D4" w:rsidP="00B25F5D">
            <w:pPr>
              <w:pStyle w:val="TAL"/>
              <w:jc w:val="center"/>
            </w:pPr>
            <w:r w:rsidRPr="00B916EC">
              <w:t>4</w:t>
            </w:r>
            <w:r w:rsidRPr="00B916EC">
              <w:rPr>
                <w:vertAlign w:val="superscript"/>
              </w:rPr>
              <w:t>th</w:t>
            </w:r>
            <w:r w:rsidRPr="00B916EC">
              <w:t xml:space="preserve"> </w:t>
            </w:r>
            <w:r>
              <w:t>PUCCH</w:t>
            </w:r>
            <w:r w:rsidRPr="00B916EC">
              <w:t xml:space="preserve"> resource provided by </w:t>
            </w:r>
            <w:r>
              <w:rPr>
                <w:rFonts w:ascii="Times New Roman" w:hAnsi="Times New Roman"/>
                <w:i/>
                <w:sz w:val="20"/>
              </w:rPr>
              <w:t>pucch</w:t>
            </w:r>
            <w:r w:rsidRPr="00B916EC">
              <w:rPr>
                <w:rFonts w:ascii="Times New Roman" w:hAnsi="Times New Roman"/>
                <w:i/>
                <w:sz w:val="20"/>
              </w:rPr>
              <w:t>-</w:t>
            </w:r>
            <w:r>
              <w:rPr>
                <w:rFonts w:ascii="Times New Roman" w:hAnsi="Times New Roman"/>
                <w:i/>
                <w:sz w:val="20"/>
              </w:rPr>
              <w:t>R</w:t>
            </w:r>
            <w:r w:rsidRPr="00B916EC">
              <w:rPr>
                <w:rFonts w:ascii="Times New Roman" w:hAnsi="Times New Roman"/>
                <w:i/>
                <w:sz w:val="20"/>
              </w:rPr>
              <w:t>esource</w:t>
            </w:r>
            <w:r>
              <w:rPr>
                <w:rFonts w:ascii="Times New Roman" w:hAnsi="Times New Roman"/>
                <w:i/>
                <w:sz w:val="20"/>
              </w:rPr>
              <w:t>Id</w:t>
            </w:r>
            <w:r>
              <w:rPr>
                <w:rFonts w:ascii="Times New Roman" w:hAnsi="Times New Roman"/>
                <w:sz w:val="20"/>
              </w:rPr>
              <w:t xml:space="preserve"> </w:t>
            </w:r>
            <w:r>
              <w:rPr>
                <w:rFonts w:cs="Arial"/>
                <w:szCs w:val="18"/>
              </w:rPr>
              <w:t>obtained from the 4</w:t>
            </w:r>
            <w:r w:rsidRPr="00B671B8">
              <w:rPr>
                <w:rFonts w:cs="Arial"/>
                <w:szCs w:val="18"/>
                <w:vertAlign w:val="superscript"/>
              </w:rPr>
              <w:t>th</w:t>
            </w:r>
            <w:r w:rsidRPr="00B671B8">
              <w:rPr>
                <w:rFonts w:cs="Arial"/>
                <w:szCs w:val="18"/>
              </w:rPr>
              <w:t xml:space="preserve"> value of </w:t>
            </w:r>
            <w:r w:rsidRPr="00B671B8">
              <w:rPr>
                <w:rFonts w:cs="Arial"/>
                <w:i/>
                <w:szCs w:val="18"/>
              </w:rPr>
              <w:t>resourceList</w:t>
            </w:r>
          </w:p>
        </w:tc>
      </w:tr>
      <w:tr w:rsidR="00E069D4" w:rsidRPr="00B916EC" w14:paraId="378537E5" w14:textId="77777777" w:rsidTr="00B25F5D">
        <w:trPr>
          <w:cantSplit/>
          <w:jc w:val="center"/>
        </w:trPr>
        <w:tc>
          <w:tcPr>
            <w:tcW w:w="1340" w:type="dxa"/>
          </w:tcPr>
          <w:p w14:paraId="547FB0DB" w14:textId="77777777" w:rsidR="00E069D4" w:rsidRPr="00B916EC" w:rsidRDefault="00E069D4" w:rsidP="00B25F5D">
            <w:pPr>
              <w:pStyle w:val="TAC"/>
            </w:pPr>
          </w:p>
        </w:tc>
        <w:tc>
          <w:tcPr>
            <w:tcW w:w="1260" w:type="dxa"/>
          </w:tcPr>
          <w:p w14:paraId="41B0AE5B" w14:textId="77777777" w:rsidR="00E069D4" w:rsidRPr="00B916EC" w:rsidRDefault="00E069D4" w:rsidP="00B25F5D">
            <w:pPr>
              <w:pStyle w:val="TAC"/>
            </w:pPr>
          </w:p>
        </w:tc>
        <w:tc>
          <w:tcPr>
            <w:tcW w:w="1350" w:type="dxa"/>
            <w:vAlign w:val="center"/>
          </w:tcPr>
          <w:p w14:paraId="321DA902" w14:textId="77777777" w:rsidR="00E069D4" w:rsidRPr="00B916EC" w:rsidRDefault="00E069D4" w:rsidP="00B25F5D">
            <w:pPr>
              <w:pStyle w:val="TAC"/>
            </w:pPr>
            <w:r w:rsidRPr="00B916EC">
              <w:t>'100'</w:t>
            </w:r>
          </w:p>
        </w:tc>
        <w:tc>
          <w:tcPr>
            <w:tcW w:w="5671" w:type="dxa"/>
            <w:gridSpan w:val="2"/>
            <w:vAlign w:val="center"/>
          </w:tcPr>
          <w:p w14:paraId="36E9844C" w14:textId="77777777" w:rsidR="00E069D4" w:rsidRPr="00B916EC" w:rsidRDefault="00E069D4" w:rsidP="00B25F5D">
            <w:pPr>
              <w:pStyle w:val="TAL"/>
              <w:jc w:val="center"/>
            </w:pPr>
            <w:r>
              <w:t>5</w:t>
            </w:r>
            <w:r w:rsidRPr="00370C5E">
              <w:rPr>
                <w:vertAlign w:val="superscript"/>
              </w:rPr>
              <w:t>th</w:t>
            </w:r>
            <w:r w:rsidRPr="00B916EC">
              <w:t xml:space="preserve"> </w:t>
            </w:r>
            <w:r>
              <w:t>PUCCH</w:t>
            </w:r>
            <w:r w:rsidRPr="00B916EC">
              <w:t xml:space="preserve"> resource provided by </w:t>
            </w:r>
            <w:r>
              <w:rPr>
                <w:rFonts w:ascii="Times New Roman" w:hAnsi="Times New Roman"/>
                <w:i/>
                <w:sz w:val="20"/>
              </w:rPr>
              <w:t>pucch</w:t>
            </w:r>
            <w:r w:rsidRPr="00B916EC">
              <w:rPr>
                <w:rFonts w:ascii="Times New Roman" w:hAnsi="Times New Roman"/>
                <w:i/>
                <w:sz w:val="20"/>
              </w:rPr>
              <w:t>-</w:t>
            </w:r>
            <w:r>
              <w:rPr>
                <w:rFonts w:ascii="Times New Roman" w:hAnsi="Times New Roman"/>
                <w:i/>
                <w:sz w:val="20"/>
              </w:rPr>
              <w:t>R</w:t>
            </w:r>
            <w:r w:rsidRPr="00B916EC">
              <w:rPr>
                <w:rFonts w:ascii="Times New Roman" w:hAnsi="Times New Roman"/>
                <w:i/>
                <w:sz w:val="20"/>
              </w:rPr>
              <w:t>esource</w:t>
            </w:r>
            <w:r>
              <w:rPr>
                <w:rFonts w:ascii="Times New Roman" w:hAnsi="Times New Roman"/>
                <w:i/>
                <w:sz w:val="20"/>
              </w:rPr>
              <w:t xml:space="preserve">Id </w:t>
            </w:r>
            <w:r>
              <w:rPr>
                <w:rFonts w:cs="Arial"/>
                <w:szCs w:val="18"/>
              </w:rPr>
              <w:t>obtained from the 5</w:t>
            </w:r>
            <w:r w:rsidRPr="00B671B8">
              <w:rPr>
                <w:rFonts w:cs="Arial"/>
                <w:szCs w:val="18"/>
                <w:vertAlign w:val="superscript"/>
              </w:rPr>
              <w:t>th</w:t>
            </w:r>
            <w:r w:rsidRPr="00B671B8">
              <w:rPr>
                <w:rFonts w:cs="Arial"/>
                <w:szCs w:val="18"/>
              </w:rPr>
              <w:t xml:space="preserve"> value of </w:t>
            </w:r>
            <w:r w:rsidRPr="00B671B8">
              <w:rPr>
                <w:rFonts w:cs="Arial"/>
                <w:i/>
                <w:szCs w:val="18"/>
              </w:rPr>
              <w:t>resourceList</w:t>
            </w:r>
          </w:p>
        </w:tc>
      </w:tr>
      <w:tr w:rsidR="00E069D4" w:rsidRPr="00B916EC" w14:paraId="35856A2A" w14:textId="77777777" w:rsidTr="00B25F5D">
        <w:trPr>
          <w:cantSplit/>
          <w:jc w:val="center"/>
        </w:trPr>
        <w:tc>
          <w:tcPr>
            <w:tcW w:w="1340" w:type="dxa"/>
          </w:tcPr>
          <w:p w14:paraId="0CBE0F55" w14:textId="77777777" w:rsidR="00E069D4" w:rsidRPr="00B916EC" w:rsidRDefault="00E069D4" w:rsidP="00B25F5D">
            <w:pPr>
              <w:pStyle w:val="TAC"/>
            </w:pPr>
          </w:p>
        </w:tc>
        <w:tc>
          <w:tcPr>
            <w:tcW w:w="1260" w:type="dxa"/>
          </w:tcPr>
          <w:p w14:paraId="725ED9C3" w14:textId="77777777" w:rsidR="00E069D4" w:rsidRPr="00B916EC" w:rsidRDefault="00E069D4" w:rsidP="00B25F5D">
            <w:pPr>
              <w:pStyle w:val="TAC"/>
            </w:pPr>
          </w:p>
        </w:tc>
        <w:tc>
          <w:tcPr>
            <w:tcW w:w="1350" w:type="dxa"/>
            <w:vAlign w:val="center"/>
          </w:tcPr>
          <w:p w14:paraId="3BD4FC49" w14:textId="77777777" w:rsidR="00E069D4" w:rsidRPr="00B916EC" w:rsidRDefault="00E069D4" w:rsidP="00B25F5D">
            <w:pPr>
              <w:pStyle w:val="TAC"/>
            </w:pPr>
            <w:r w:rsidRPr="00B916EC">
              <w:t>'101'</w:t>
            </w:r>
          </w:p>
        </w:tc>
        <w:tc>
          <w:tcPr>
            <w:tcW w:w="5671" w:type="dxa"/>
            <w:gridSpan w:val="2"/>
            <w:vAlign w:val="center"/>
          </w:tcPr>
          <w:p w14:paraId="74DF4C77" w14:textId="77777777" w:rsidR="00E069D4" w:rsidRPr="00B916EC" w:rsidRDefault="00E069D4" w:rsidP="00B25F5D">
            <w:pPr>
              <w:pStyle w:val="TAL"/>
              <w:jc w:val="center"/>
            </w:pPr>
            <w:r>
              <w:t>6</w:t>
            </w:r>
            <w:r w:rsidRPr="00370C5E">
              <w:rPr>
                <w:vertAlign w:val="superscript"/>
              </w:rPr>
              <w:t>th</w:t>
            </w:r>
            <w:r>
              <w:t xml:space="preserve"> PUCCH</w:t>
            </w:r>
            <w:r w:rsidRPr="00B916EC">
              <w:t xml:space="preserve"> resource provided by </w:t>
            </w:r>
            <w:r>
              <w:rPr>
                <w:rFonts w:ascii="Times New Roman" w:hAnsi="Times New Roman"/>
                <w:i/>
                <w:sz w:val="20"/>
              </w:rPr>
              <w:t>pucch</w:t>
            </w:r>
            <w:r w:rsidRPr="00B916EC">
              <w:rPr>
                <w:rFonts w:ascii="Times New Roman" w:hAnsi="Times New Roman"/>
                <w:i/>
                <w:sz w:val="20"/>
              </w:rPr>
              <w:t>-</w:t>
            </w:r>
            <w:r>
              <w:rPr>
                <w:rFonts w:ascii="Times New Roman" w:hAnsi="Times New Roman"/>
                <w:i/>
                <w:sz w:val="20"/>
              </w:rPr>
              <w:t>R</w:t>
            </w:r>
            <w:r w:rsidRPr="00B916EC">
              <w:rPr>
                <w:rFonts w:ascii="Times New Roman" w:hAnsi="Times New Roman"/>
                <w:i/>
                <w:sz w:val="20"/>
              </w:rPr>
              <w:t>esource</w:t>
            </w:r>
            <w:r>
              <w:rPr>
                <w:rFonts w:ascii="Times New Roman" w:hAnsi="Times New Roman"/>
                <w:i/>
                <w:sz w:val="20"/>
              </w:rPr>
              <w:t xml:space="preserve">Id </w:t>
            </w:r>
            <w:r>
              <w:rPr>
                <w:rFonts w:cs="Arial"/>
                <w:szCs w:val="18"/>
              </w:rPr>
              <w:t>obtained from the 6</w:t>
            </w:r>
            <w:r w:rsidRPr="00B671B8">
              <w:rPr>
                <w:rFonts w:cs="Arial"/>
                <w:szCs w:val="18"/>
                <w:vertAlign w:val="superscript"/>
              </w:rPr>
              <w:t>th</w:t>
            </w:r>
            <w:r w:rsidRPr="00B671B8">
              <w:rPr>
                <w:rFonts w:cs="Arial"/>
                <w:szCs w:val="18"/>
              </w:rPr>
              <w:t xml:space="preserve"> value of </w:t>
            </w:r>
            <w:r w:rsidRPr="00B671B8">
              <w:rPr>
                <w:rFonts w:cs="Arial"/>
                <w:i/>
                <w:szCs w:val="18"/>
              </w:rPr>
              <w:t>resourceList</w:t>
            </w:r>
          </w:p>
        </w:tc>
      </w:tr>
      <w:tr w:rsidR="00E069D4" w:rsidRPr="00B916EC" w14:paraId="5027D194" w14:textId="77777777" w:rsidTr="00B25F5D">
        <w:trPr>
          <w:cantSplit/>
          <w:jc w:val="center"/>
        </w:trPr>
        <w:tc>
          <w:tcPr>
            <w:tcW w:w="1340" w:type="dxa"/>
          </w:tcPr>
          <w:p w14:paraId="5A46ADB0" w14:textId="77777777" w:rsidR="00E069D4" w:rsidRPr="00B916EC" w:rsidRDefault="00E069D4" w:rsidP="00B25F5D">
            <w:pPr>
              <w:pStyle w:val="TAC"/>
            </w:pPr>
          </w:p>
        </w:tc>
        <w:tc>
          <w:tcPr>
            <w:tcW w:w="1260" w:type="dxa"/>
          </w:tcPr>
          <w:p w14:paraId="6482305F" w14:textId="77777777" w:rsidR="00E069D4" w:rsidRPr="00B916EC" w:rsidRDefault="00E069D4" w:rsidP="00B25F5D">
            <w:pPr>
              <w:pStyle w:val="TAC"/>
            </w:pPr>
          </w:p>
        </w:tc>
        <w:tc>
          <w:tcPr>
            <w:tcW w:w="1350" w:type="dxa"/>
            <w:vAlign w:val="center"/>
          </w:tcPr>
          <w:p w14:paraId="71869AE1" w14:textId="77777777" w:rsidR="00E069D4" w:rsidRPr="00B916EC" w:rsidRDefault="00E069D4" w:rsidP="00B25F5D">
            <w:pPr>
              <w:pStyle w:val="TAC"/>
            </w:pPr>
            <w:r w:rsidRPr="00B916EC">
              <w:t>'110'</w:t>
            </w:r>
          </w:p>
        </w:tc>
        <w:tc>
          <w:tcPr>
            <w:tcW w:w="5671" w:type="dxa"/>
            <w:gridSpan w:val="2"/>
            <w:vAlign w:val="center"/>
          </w:tcPr>
          <w:p w14:paraId="53F098EE" w14:textId="77777777" w:rsidR="00E069D4" w:rsidRPr="00B916EC" w:rsidRDefault="00E069D4" w:rsidP="00B25F5D">
            <w:pPr>
              <w:pStyle w:val="TAL"/>
              <w:jc w:val="center"/>
            </w:pPr>
            <w:r>
              <w:t>7</w:t>
            </w:r>
            <w:r w:rsidRPr="00370C5E">
              <w:rPr>
                <w:vertAlign w:val="superscript"/>
              </w:rPr>
              <w:t>th</w:t>
            </w:r>
            <w:r w:rsidRPr="00B916EC">
              <w:t xml:space="preserve"> </w:t>
            </w:r>
            <w:r>
              <w:t>PUCCH</w:t>
            </w:r>
            <w:r w:rsidRPr="00B916EC">
              <w:t xml:space="preserve"> resource provided by </w:t>
            </w:r>
            <w:r>
              <w:rPr>
                <w:rFonts w:ascii="Times New Roman" w:hAnsi="Times New Roman"/>
                <w:i/>
                <w:sz w:val="20"/>
              </w:rPr>
              <w:t>pucch</w:t>
            </w:r>
            <w:r w:rsidRPr="00B916EC">
              <w:rPr>
                <w:rFonts w:ascii="Times New Roman" w:hAnsi="Times New Roman"/>
                <w:i/>
                <w:sz w:val="20"/>
              </w:rPr>
              <w:t>-</w:t>
            </w:r>
            <w:r>
              <w:rPr>
                <w:rFonts w:ascii="Times New Roman" w:hAnsi="Times New Roman"/>
                <w:i/>
                <w:sz w:val="20"/>
              </w:rPr>
              <w:t>R</w:t>
            </w:r>
            <w:r w:rsidRPr="00B916EC">
              <w:rPr>
                <w:rFonts w:ascii="Times New Roman" w:hAnsi="Times New Roman"/>
                <w:i/>
                <w:sz w:val="20"/>
              </w:rPr>
              <w:t>esource</w:t>
            </w:r>
            <w:r>
              <w:rPr>
                <w:rFonts w:ascii="Times New Roman" w:hAnsi="Times New Roman"/>
                <w:i/>
                <w:sz w:val="20"/>
              </w:rPr>
              <w:t xml:space="preserve">Id </w:t>
            </w:r>
            <w:r>
              <w:rPr>
                <w:rFonts w:cs="Arial"/>
                <w:szCs w:val="18"/>
              </w:rPr>
              <w:t>obtained from the 7</w:t>
            </w:r>
            <w:r w:rsidRPr="00B671B8">
              <w:rPr>
                <w:rFonts w:cs="Arial"/>
                <w:szCs w:val="18"/>
                <w:vertAlign w:val="superscript"/>
              </w:rPr>
              <w:t>th</w:t>
            </w:r>
            <w:r w:rsidRPr="00B671B8">
              <w:rPr>
                <w:rFonts w:cs="Arial"/>
                <w:szCs w:val="18"/>
              </w:rPr>
              <w:t xml:space="preserve"> value of </w:t>
            </w:r>
            <w:r w:rsidRPr="00B671B8">
              <w:rPr>
                <w:rFonts w:cs="Arial"/>
                <w:i/>
                <w:szCs w:val="18"/>
              </w:rPr>
              <w:t>resourceList</w:t>
            </w:r>
          </w:p>
        </w:tc>
      </w:tr>
      <w:tr w:rsidR="00E069D4" w:rsidRPr="00B916EC" w14:paraId="1B360DB9" w14:textId="77777777" w:rsidTr="00B25F5D">
        <w:trPr>
          <w:cantSplit/>
          <w:jc w:val="center"/>
        </w:trPr>
        <w:tc>
          <w:tcPr>
            <w:tcW w:w="1340" w:type="dxa"/>
          </w:tcPr>
          <w:p w14:paraId="22A002EB" w14:textId="77777777" w:rsidR="00E069D4" w:rsidRPr="00B916EC" w:rsidRDefault="00E069D4" w:rsidP="00B25F5D">
            <w:pPr>
              <w:pStyle w:val="TAC"/>
            </w:pPr>
          </w:p>
        </w:tc>
        <w:tc>
          <w:tcPr>
            <w:tcW w:w="1260" w:type="dxa"/>
          </w:tcPr>
          <w:p w14:paraId="6F9CB747" w14:textId="77777777" w:rsidR="00E069D4" w:rsidRPr="00B916EC" w:rsidRDefault="00E069D4" w:rsidP="00B25F5D">
            <w:pPr>
              <w:pStyle w:val="TAC"/>
            </w:pPr>
          </w:p>
        </w:tc>
        <w:tc>
          <w:tcPr>
            <w:tcW w:w="1350" w:type="dxa"/>
            <w:vAlign w:val="center"/>
          </w:tcPr>
          <w:p w14:paraId="6A300AB0" w14:textId="77777777" w:rsidR="00E069D4" w:rsidRPr="00B916EC" w:rsidRDefault="00E069D4" w:rsidP="00B25F5D">
            <w:pPr>
              <w:pStyle w:val="TAC"/>
            </w:pPr>
            <w:r w:rsidRPr="00B916EC">
              <w:t>'111'</w:t>
            </w:r>
          </w:p>
        </w:tc>
        <w:tc>
          <w:tcPr>
            <w:tcW w:w="5671" w:type="dxa"/>
            <w:gridSpan w:val="2"/>
            <w:vAlign w:val="center"/>
          </w:tcPr>
          <w:p w14:paraId="5016F15B" w14:textId="77777777" w:rsidR="00E069D4" w:rsidRPr="00B916EC" w:rsidRDefault="00E069D4" w:rsidP="00B25F5D">
            <w:pPr>
              <w:pStyle w:val="TAL"/>
              <w:jc w:val="center"/>
            </w:pPr>
            <w:r>
              <w:t>8</w:t>
            </w:r>
            <w:r w:rsidRPr="00B916EC">
              <w:rPr>
                <w:vertAlign w:val="superscript"/>
              </w:rPr>
              <w:t>th</w:t>
            </w:r>
            <w:r w:rsidRPr="00B916EC">
              <w:t xml:space="preserve"> </w:t>
            </w:r>
            <w:r>
              <w:t>PUCCH</w:t>
            </w:r>
            <w:r w:rsidRPr="00B916EC">
              <w:t xml:space="preserve"> resource provided by </w:t>
            </w:r>
            <w:r>
              <w:rPr>
                <w:rFonts w:ascii="Times New Roman" w:hAnsi="Times New Roman"/>
                <w:i/>
                <w:sz w:val="20"/>
              </w:rPr>
              <w:t>pucch</w:t>
            </w:r>
            <w:r w:rsidRPr="00B916EC">
              <w:rPr>
                <w:rFonts w:ascii="Times New Roman" w:hAnsi="Times New Roman"/>
                <w:i/>
                <w:sz w:val="20"/>
              </w:rPr>
              <w:t>-</w:t>
            </w:r>
            <w:r>
              <w:rPr>
                <w:rFonts w:ascii="Times New Roman" w:hAnsi="Times New Roman"/>
                <w:i/>
                <w:sz w:val="20"/>
              </w:rPr>
              <w:t>R</w:t>
            </w:r>
            <w:r w:rsidRPr="00B916EC">
              <w:rPr>
                <w:rFonts w:ascii="Times New Roman" w:hAnsi="Times New Roman"/>
                <w:i/>
                <w:sz w:val="20"/>
              </w:rPr>
              <w:t>esource</w:t>
            </w:r>
            <w:r>
              <w:rPr>
                <w:rFonts w:ascii="Times New Roman" w:hAnsi="Times New Roman"/>
                <w:i/>
                <w:sz w:val="20"/>
              </w:rPr>
              <w:t>Id</w:t>
            </w:r>
            <w:r>
              <w:rPr>
                <w:rFonts w:ascii="Times New Roman" w:hAnsi="Times New Roman"/>
                <w:sz w:val="20"/>
              </w:rPr>
              <w:t xml:space="preserve"> </w:t>
            </w:r>
            <w:r>
              <w:rPr>
                <w:rFonts w:cs="Arial"/>
                <w:szCs w:val="18"/>
              </w:rPr>
              <w:t>obtained from the 8</w:t>
            </w:r>
            <w:r w:rsidRPr="00B671B8">
              <w:rPr>
                <w:rFonts w:cs="Arial"/>
                <w:szCs w:val="18"/>
                <w:vertAlign w:val="superscript"/>
              </w:rPr>
              <w:t>th</w:t>
            </w:r>
            <w:r w:rsidRPr="00B671B8">
              <w:rPr>
                <w:rFonts w:cs="Arial"/>
                <w:szCs w:val="18"/>
              </w:rPr>
              <w:t xml:space="preserve"> value of </w:t>
            </w:r>
            <w:r w:rsidRPr="00B671B8">
              <w:rPr>
                <w:rFonts w:cs="Arial"/>
                <w:i/>
                <w:szCs w:val="18"/>
              </w:rPr>
              <w:t>resourceList</w:t>
            </w:r>
          </w:p>
        </w:tc>
      </w:tr>
    </w:tbl>
    <w:p w14:paraId="03B927A3" w14:textId="77777777" w:rsidR="00E069D4" w:rsidRPr="003A061C" w:rsidRDefault="00E069D4" w:rsidP="00E069D4"/>
    <w:p w14:paraId="54059C9C" w14:textId="712A55FF" w:rsidR="007E0F7D" w:rsidRDefault="007E0F7D" w:rsidP="007E0F7D">
      <w:pPr>
        <w:rPr>
          <w:lang w:val="en-US"/>
        </w:rPr>
      </w:pPr>
      <w:r>
        <w:rPr>
          <w:lang w:val="en-US"/>
        </w:rPr>
        <w:t xml:space="preserve">If a UE </w:t>
      </w:r>
      <w:r w:rsidR="00BC196E" w:rsidRPr="00BB7956">
        <w:rPr>
          <w:rFonts w:hint="eastAsia"/>
          <w:lang w:val="en-US"/>
        </w:rPr>
        <w:t>determines a first resource for a PUCCH transmission with HARQ-ACK information</w:t>
      </w:r>
      <w:r w:rsidR="00BC196E" w:rsidRPr="00BB7956">
        <w:rPr>
          <w:lang w:val="en-US"/>
        </w:rPr>
        <w:t xml:space="preserve"> </w:t>
      </w:r>
      <w:r w:rsidR="00BC196E">
        <w:rPr>
          <w:lang w:val="en-US"/>
        </w:rPr>
        <w:t>corresponding only to</w:t>
      </w:r>
      <w:r w:rsidR="00BC196E" w:rsidRPr="00B916EC">
        <w:rPr>
          <w:lang w:val="en-US"/>
        </w:rPr>
        <w:t xml:space="preserve"> </w:t>
      </w:r>
      <w:r w:rsidR="00BC196E" w:rsidRPr="00B916EC">
        <w:t>a PDSCH</w:t>
      </w:r>
      <w:r w:rsidR="00BC196E" w:rsidRPr="001D40E2">
        <w:t xml:space="preserve"> </w:t>
      </w:r>
      <w:r w:rsidR="00BC196E">
        <w:t>reception</w:t>
      </w:r>
      <w:r w:rsidR="00BC196E" w:rsidRPr="00B916EC">
        <w:t xml:space="preserve"> </w:t>
      </w:r>
      <w:r w:rsidR="00BC196E" w:rsidRPr="00B916EC">
        <w:rPr>
          <w:rFonts w:hint="eastAsia"/>
          <w:lang w:eastAsia="zh-CN"/>
        </w:rPr>
        <w:t>without</w:t>
      </w:r>
      <w:r w:rsidR="00BC196E" w:rsidRPr="00B916EC">
        <w:t xml:space="preserve"> a corresponding PDCCH</w:t>
      </w:r>
      <w:r w:rsidR="00BC196E">
        <w:rPr>
          <w:rFonts w:hint="eastAsia"/>
          <w:lang w:val="en-US" w:eastAsia="zh-CN"/>
        </w:rPr>
        <w:t xml:space="preserve"> or </w:t>
      </w:r>
      <w:r>
        <w:rPr>
          <w:lang w:val="en-US"/>
        </w:rPr>
        <w:t xml:space="preserve">detects a first DCI format indicating a first resource for a </w:t>
      </w:r>
      <w:r>
        <w:rPr>
          <w:lang w:val="en-US"/>
        </w:rPr>
        <w:lastRenderedPageBreak/>
        <w:t xml:space="preserve">PUCCH transmission with corresponding HARQ-ACK information in a slot and also detects at a later time a second DCI format indicating a second resource for a PUCCH transmission with corresponding HARQ-ACK information in the slot, the UE does not expect to multiplex HARQ-ACK information corresponding to the second DCI format in a PUCCH resource in the slot if the PDCCH reception that includes the second DCI format is not earlier </w:t>
      </w:r>
      <w:r w:rsidR="00301C2F" w:rsidRPr="00B27E56">
        <w:rPr>
          <w:lang w:val="en-US"/>
        </w:rPr>
        <w:t xml:space="preserve">than </w:t>
      </w:r>
      <m:oMath>
        <m:sSub>
          <m:sSubPr>
            <m:ctrlPr>
              <w:rPr>
                <w:rFonts w:ascii="Cambria Math" w:hAnsi="Cambria Math" w:cs="Arial"/>
                <w:i/>
                <w:lang w:eastAsia="zh-CN"/>
              </w:rPr>
            </m:ctrlPr>
          </m:sSubPr>
          <m:e>
            <m:r>
              <w:rPr>
                <w:rFonts w:ascii="Cambria Math" w:hAnsi="Cambria Math" w:cs="Arial"/>
                <w:lang w:eastAsia="zh-CN"/>
              </w:rPr>
              <m:t>N</m:t>
            </m:r>
          </m:e>
          <m:sub>
            <m:r>
              <w:rPr>
                <w:rFonts w:ascii="Cambria Math" w:hAnsi="Cambria Math" w:cs="Arial"/>
                <w:lang w:eastAsia="zh-CN"/>
              </w:rPr>
              <m:t>3</m:t>
            </m:r>
          </m:sub>
        </m:sSub>
        <m:r>
          <w:rPr>
            <w:rFonts w:ascii="Cambria Math" w:hAnsi="Cambria Math"/>
            <w:lang w:val="zh-CN"/>
          </w:rPr>
          <m:t>∙</m:t>
        </m:r>
        <m:d>
          <m:dPr>
            <m:ctrlPr>
              <w:rPr>
                <w:rFonts w:ascii="Cambria Math" w:hAnsi="Cambria Math" w:cs="Arial"/>
                <w:i/>
                <w:lang w:eastAsia="zh-CN"/>
              </w:rPr>
            </m:ctrlPr>
          </m:dPr>
          <m:e>
            <m:r>
              <w:rPr>
                <w:rFonts w:ascii="Cambria Math" w:hAnsi="Cambria Math" w:cs="Arial"/>
                <w:lang w:eastAsia="zh-CN"/>
              </w:rPr>
              <m:t>2048+144</m:t>
            </m:r>
          </m:e>
        </m:d>
        <m:r>
          <w:rPr>
            <w:rFonts w:ascii="Cambria Math" w:hAnsi="Cambria Math"/>
            <w:lang w:val="zh-CN"/>
          </w:rPr>
          <m:t>∙</m:t>
        </m:r>
        <m:r>
          <w:rPr>
            <w:rFonts w:ascii="Cambria Math"/>
          </w:rPr>
          <m:t>κ</m:t>
        </m:r>
        <m:r>
          <w:rPr>
            <w:rFonts w:ascii="Cambria Math" w:hAnsi="Cambria Math"/>
            <w:lang w:val="zh-CN"/>
          </w:rPr>
          <m:t>∙</m:t>
        </m:r>
        <m:sSup>
          <m:sSupPr>
            <m:ctrlPr>
              <w:rPr>
                <w:rFonts w:ascii="Cambria Math" w:hAnsi="Cambria Math"/>
                <w:i/>
                <w:lang w:val="zh-CN"/>
              </w:rPr>
            </m:ctrlPr>
          </m:sSupPr>
          <m:e>
            <m:r>
              <w:rPr>
                <w:rFonts w:ascii="Cambria Math" w:hAnsi="Cambria Math"/>
                <w:lang w:val="zh-CN"/>
              </w:rPr>
              <m:t>2</m:t>
            </m:r>
          </m:e>
          <m:sup>
            <m:r>
              <w:rPr>
                <w:rFonts w:ascii="Cambria Math" w:hAnsi="Cambria Math"/>
                <w:lang w:val="zh-CN"/>
              </w:rPr>
              <m:t>-μ</m:t>
            </m:r>
          </m:sup>
        </m:sSup>
        <m:r>
          <w:rPr>
            <w:rFonts w:ascii="Cambria Math" w:hAnsi="Cambria Math"/>
            <w:lang w:val="zh-CN"/>
          </w:rPr>
          <m:t>∙</m:t>
        </m:r>
        <m:sSub>
          <m:sSubPr>
            <m:ctrlPr>
              <w:rPr>
                <w:rFonts w:ascii="Cambria Math" w:hAnsi="Cambria Math"/>
                <w:i/>
              </w:rPr>
            </m:ctrlPr>
          </m:sSubPr>
          <m:e>
            <m:r>
              <w:rPr>
                <w:rFonts w:ascii="Cambria Math" w:hAnsi="Cambria Math"/>
              </w:rPr>
              <m:t>T</m:t>
            </m:r>
          </m:e>
          <m:sub>
            <m:r>
              <w:rPr>
                <w:rFonts w:ascii="Cambria Math" w:hAnsi="Cambria Math"/>
              </w:rPr>
              <m:t>c</m:t>
            </m:r>
          </m:sub>
        </m:sSub>
      </m:oMath>
      <w:r w:rsidR="00301C2F" w:rsidRPr="00B27E56">
        <w:t xml:space="preserve"> from</w:t>
      </w:r>
      <w:r>
        <w:t xml:space="preserve"> </w:t>
      </w:r>
      <w:r w:rsidR="00A573ED">
        <w:t xml:space="preserve">the beginning of </w:t>
      </w:r>
      <w:r>
        <w:t>a first symbol of the first resource for PUCCH transmission in the slot where,</w:t>
      </w:r>
      <w:r w:rsidR="00A573ED">
        <w:t xml:space="preserve"> </w:t>
      </w:r>
      <m:oMath>
        <m:r>
          <w:rPr>
            <w:rFonts w:ascii="Cambria Math"/>
          </w:rPr>
          <m:t>κ</m:t>
        </m:r>
      </m:oMath>
      <w:r w:rsidR="00A573ED">
        <w:t xml:space="preserve"> and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A573ED">
        <w:t xml:space="preserve"> are defined in </w:t>
      </w:r>
      <w:r w:rsidR="00EE236C">
        <w:t>clause</w:t>
      </w:r>
      <w:r w:rsidR="00A573ED">
        <w:t xml:space="preserve"> 4.1 of [4, TS 38.211] and </w:t>
      </w:r>
      <m:oMath>
        <m:r>
          <w:rPr>
            <w:rFonts w:ascii="Cambria Math" w:hAnsi="Cambria Math" w:cs="Arial"/>
            <w:lang w:eastAsia="zh-CN"/>
          </w:rPr>
          <m:t>μ</m:t>
        </m:r>
      </m:oMath>
      <w:r w:rsidR="00A573ED" w:rsidRPr="00FF3E67">
        <w:rPr>
          <w:i/>
          <w:lang w:val="en-AU"/>
        </w:rPr>
        <w:t xml:space="preserve"> </w:t>
      </w:r>
      <w:r w:rsidR="00A573ED" w:rsidRPr="00FF3E67">
        <w:rPr>
          <w:lang w:val="en-AU"/>
        </w:rPr>
        <w:t xml:space="preserve">corresponds to the smallest </w:t>
      </w:r>
      <w:r w:rsidR="00A573ED">
        <w:rPr>
          <w:lang w:val="en-AU"/>
        </w:rPr>
        <w:t>SCS</w:t>
      </w:r>
      <w:r w:rsidR="00A573ED" w:rsidRPr="00FF3E67">
        <w:rPr>
          <w:lang w:val="en-AU"/>
        </w:rPr>
        <w:t xml:space="preserve"> </w:t>
      </w:r>
      <w:r w:rsidR="00A573ED">
        <w:rPr>
          <w:lang w:val="en-AU"/>
        </w:rPr>
        <w:t>configuration among</w:t>
      </w:r>
      <w:r w:rsidR="00A573ED" w:rsidRPr="00FF3E67">
        <w:rPr>
          <w:lang w:val="en-AU"/>
        </w:rPr>
        <w:t xml:space="preserve"> the </w:t>
      </w:r>
      <w:r w:rsidR="00A573ED">
        <w:rPr>
          <w:lang w:val="en-AU"/>
        </w:rPr>
        <w:t>SCS</w:t>
      </w:r>
      <w:r w:rsidR="00A573ED" w:rsidRPr="00FF3E67">
        <w:rPr>
          <w:lang w:val="en-AU"/>
        </w:rPr>
        <w:t xml:space="preserve"> </w:t>
      </w:r>
      <w:r w:rsidR="00A573ED">
        <w:rPr>
          <w:lang w:val="en-AU"/>
        </w:rPr>
        <w:t xml:space="preserve">configurations of the </w:t>
      </w:r>
      <w:r w:rsidR="00A573ED" w:rsidRPr="00FF3E67">
        <w:rPr>
          <w:lang w:val="en-AU"/>
        </w:rPr>
        <w:t>PDCCH</w:t>
      </w:r>
      <w:r w:rsidR="00A573ED">
        <w:rPr>
          <w:lang w:val="en-AU"/>
        </w:rPr>
        <w:t xml:space="preserve">s providing the DCI formats </w:t>
      </w:r>
      <w:r w:rsidR="00A573ED" w:rsidRPr="00FF3E67">
        <w:rPr>
          <w:lang w:val="en-AU"/>
        </w:rPr>
        <w:t xml:space="preserve">and the </w:t>
      </w:r>
      <w:r w:rsidR="00A573ED">
        <w:rPr>
          <w:lang w:val="en-AU"/>
        </w:rPr>
        <w:t>SCS</w:t>
      </w:r>
      <w:r w:rsidR="00A573ED" w:rsidRPr="00FF3E67">
        <w:rPr>
          <w:lang w:val="en-AU"/>
        </w:rPr>
        <w:t xml:space="preserve"> </w:t>
      </w:r>
      <w:r w:rsidR="00A573ED">
        <w:rPr>
          <w:lang w:val="en-AU"/>
        </w:rPr>
        <w:t>configuration of the</w:t>
      </w:r>
      <w:r w:rsidR="00A573ED" w:rsidRPr="00FF3E67">
        <w:rPr>
          <w:lang w:val="en-AU"/>
        </w:rPr>
        <w:t xml:space="preserve"> PUCCH</w:t>
      </w:r>
      <w:r w:rsidR="00A573ED">
        <w:t>. If</w:t>
      </w:r>
      <w:r w:rsidR="00A573ED">
        <w:rPr>
          <w:color w:val="000000" w:themeColor="text1"/>
          <w:lang w:eastAsia="ko-KR"/>
        </w:rPr>
        <w:t xml:space="preserve"> </w:t>
      </w:r>
      <w:r w:rsidR="00A573ED">
        <w:rPr>
          <w:i/>
          <w:color w:val="000000" w:themeColor="text1"/>
          <w:lang w:eastAsia="ko-KR"/>
        </w:rPr>
        <w:t>processingType2Enabled</w:t>
      </w:r>
      <w:r w:rsidR="00A573ED">
        <w:rPr>
          <w:color w:val="000000" w:themeColor="text1"/>
          <w:lang w:eastAsia="ko-KR"/>
        </w:rPr>
        <w:t xml:space="preserve"> of </w:t>
      </w:r>
      <w:r w:rsidR="00A573ED">
        <w:rPr>
          <w:i/>
          <w:color w:val="000000" w:themeColor="text1"/>
          <w:lang w:eastAsia="ko-KR"/>
        </w:rPr>
        <w:t>PDSCH-ServingCellConfig</w:t>
      </w:r>
      <w:r w:rsidR="00A573ED">
        <w:rPr>
          <w:color w:val="000000" w:themeColor="text1"/>
          <w:lang w:eastAsia="ko-KR"/>
        </w:rPr>
        <w:t xml:space="preserve"> is set to </w:t>
      </w:r>
      <w:r w:rsidR="00A573ED">
        <w:rPr>
          <w:i/>
          <w:color w:val="000000" w:themeColor="text1"/>
          <w:lang w:eastAsia="ko-KR"/>
        </w:rPr>
        <w:t xml:space="preserve">enable </w:t>
      </w:r>
      <w:r w:rsidR="00A573ED" w:rsidRPr="00F227EE">
        <w:rPr>
          <w:color w:val="000000" w:themeColor="text1"/>
          <w:lang w:eastAsia="ko-KR"/>
        </w:rPr>
        <w:t>for the serving cell with the second DCI format</w:t>
      </w:r>
      <w:r w:rsidR="00A573ED">
        <w:rPr>
          <w:color w:val="000000" w:themeColor="text1"/>
          <w:lang w:eastAsia="ko-KR"/>
        </w:rPr>
        <w:t xml:space="preserve"> and</w:t>
      </w:r>
      <w:r w:rsidR="00A573ED" w:rsidRPr="001B280F">
        <w:rPr>
          <w:color w:val="000000" w:themeColor="text1"/>
          <w:lang w:eastAsia="ko-KR"/>
        </w:rPr>
        <w:t xml:space="preserve"> </w:t>
      </w:r>
      <w:r w:rsidR="00A573ED">
        <w:rPr>
          <w:color w:val="000000" w:themeColor="text1"/>
          <w:lang w:eastAsia="ko-KR"/>
        </w:rPr>
        <w:t xml:space="preserve">for </w:t>
      </w:r>
      <w:r w:rsidR="00A573ED" w:rsidRPr="001B280F">
        <w:rPr>
          <w:color w:val="000000" w:themeColor="text1"/>
          <w:lang w:eastAsia="ko-KR"/>
        </w:rPr>
        <w:t xml:space="preserve">all serving cells </w:t>
      </w:r>
      <w:r w:rsidR="00A573ED" w:rsidRPr="00B7030D">
        <w:rPr>
          <w:color w:val="000000" w:themeColor="text1"/>
          <w:lang w:eastAsia="ko-KR"/>
        </w:rPr>
        <w:t xml:space="preserve">with corresponding HARQ-ACK information multiplexed in the PUCCH transmission in the </w:t>
      </w:r>
      <w:r w:rsidR="00300522" w:rsidRPr="00B27E56">
        <w:rPr>
          <w:lang w:eastAsia="ko-KR"/>
        </w:rPr>
        <w:t>slot</w:t>
      </w:r>
      <w:r w:rsidR="00300522" w:rsidRPr="00B27E56">
        <w:t>,</w:t>
      </w:r>
      <w:r w:rsidR="00300522" w:rsidRPr="00B27E56">
        <w:rPr>
          <w:rFonts w:ascii="Cambria Math" w:hAnsi="Cambria Math" w:cs="Arial"/>
          <w:i/>
          <w:lang w:eastAsia="zh-CN"/>
        </w:rPr>
        <w:t xml:space="preserve"> </w:t>
      </w:r>
      <m:oMath>
        <m:sSub>
          <m:sSubPr>
            <m:ctrlPr>
              <w:rPr>
                <w:rFonts w:ascii="Cambria Math" w:hAnsi="Cambria Math" w:cs="Arial"/>
                <w:i/>
                <w:lang w:eastAsia="zh-CN"/>
              </w:rPr>
            </m:ctrlPr>
          </m:sSubPr>
          <m:e>
            <m:r>
              <w:rPr>
                <w:rFonts w:ascii="Cambria Math" w:hAnsi="Cambria Math" w:cs="Arial"/>
                <w:lang w:eastAsia="zh-CN"/>
              </w:rPr>
              <m:t>N</m:t>
            </m:r>
          </m:e>
          <m:sub>
            <m:r>
              <w:rPr>
                <w:rFonts w:ascii="Cambria Math" w:hAnsi="Cambria Math" w:cs="Arial"/>
                <w:lang w:eastAsia="zh-CN"/>
              </w:rPr>
              <m:t>3</m:t>
            </m:r>
          </m:sub>
        </m:sSub>
        <m:r>
          <w:rPr>
            <w:rFonts w:ascii="Cambria Math" w:hAnsi="Cambria Math" w:cs="Arial"/>
            <w:lang w:eastAsia="zh-CN"/>
          </w:rPr>
          <m:t>=3</m:t>
        </m:r>
      </m:oMath>
      <w:r w:rsidR="00300522" w:rsidRPr="00B27E56">
        <w:t xml:space="preserve"> for </w:t>
      </w:r>
      <m:oMath>
        <m:r>
          <w:rPr>
            <w:rFonts w:ascii="Cambria Math" w:hAnsi="Cambria Math" w:cs="Arial"/>
            <w:lang w:eastAsia="zh-CN"/>
          </w:rPr>
          <m:t>μ=0</m:t>
        </m:r>
      </m:oMath>
      <w:r w:rsidR="00300522" w:rsidRPr="00B27E56">
        <w:t xml:space="preserve">, </w:t>
      </w:r>
      <m:oMath>
        <m:sSub>
          <m:sSubPr>
            <m:ctrlPr>
              <w:rPr>
                <w:rFonts w:ascii="Cambria Math" w:hAnsi="Cambria Math" w:cs="Arial"/>
                <w:i/>
                <w:lang w:eastAsia="zh-CN"/>
              </w:rPr>
            </m:ctrlPr>
          </m:sSubPr>
          <m:e>
            <m:r>
              <w:rPr>
                <w:rFonts w:ascii="Cambria Math" w:hAnsi="Cambria Math" w:cs="Arial"/>
                <w:lang w:eastAsia="zh-CN"/>
              </w:rPr>
              <m:t>N</m:t>
            </m:r>
          </m:e>
          <m:sub>
            <m:r>
              <w:rPr>
                <w:rFonts w:ascii="Cambria Math" w:hAnsi="Cambria Math" w:cs="Arial"/>
                <w:lang w:eastAsia="zh-CN"/>
              </w:rPr>
              <m:t>3</m:t>
            </m:r>
          </m:sub>
        </m:sSub>
        <m:r>
          <w:rPr>
            <w:rFonts w:ascii="Cambria Math" w:hAnsi="Cambria Math" w:cs="Arial"/>
            <w:lang w:eastAsia="zh-CN"/>
          </w:rPr>
          <m:t>=4.5</m:t>
        </m:r>
      </m:oMath>
      <w:r w:rsidR="00300522" w:rsidRPr="00B27E56">
        <w:t xml:space="preserve"> for </w:t>
      </w:r>
      <m:oMath>
        <m:r>
          <w:rPr>
            <w:rFonts w:ascii="Cambria Math" w:hAnsi="Cambria Math" w:cs="Arial"/>
            <w:lang w:eastAsia="zh-CN"/>
          </w:rPr>
          <m:t>μ=1</m:t>
        </m:r>
      </m:oMath>
      <w:r w:rsidR="00300522" w:rsidRPr="00B27E56">
        <w:t xml:space="preserve">, </w:t>
      </w:r>
      <m:oMath>
        <m:sSub>
          <m:sSubPr>
            <m:ctrlPr>
              <w:rPr>
                <w:rFonts w:ascii="Cambria Math" w:hAnsi="Cambria Math" w:cs="Arial"/>
                <w:i/>
                <w:lang w:eastAsia="zh-CN"/>
              </w:rPr>
            </m:ctrlPr>
          </m:sSubPr>
          <m:e>
            <m:r>
              <w:rPr>
                <w:rFonts w:ascii="Cambria Math" w:hAnsi="Cambria Math" w:cs="Arial"/>
                <w:lang w:eastAsia="zh-CN"/>
              </w:rPr>
              <m:t>N</m:t>
            </m:r>
          </m:e>
          <m:sub>
            <m:r>
              <w:rPr>
                <w:rFonts w:ascii="Cambria Math" w:hAnsi="Cambria Math" w:cs="Arial"/>
                <w:lang w:eastAsia="zh-CN"/>
              </w:rPr>
              <m:t>3</m:t>
            </m:r>
          </m:sub>
        </m:sSub>
        <m:r>
          <w:rPr>
            <w:rFonts w:ascii="Cambria Math" w:hAnsi="Cambria Math" w:cs="Arial"/>
            <w:lang w:eastAsia="zh-CN"/>
          </w:rPr>
          <m:t>=9</m:t>
        </m:r>
      </m:oMath>
      <w:r w:rsidR="00300522" w:rsidRPr="00B27E56">
        <w:t xml:space="preserve"> for </w:t>
      </w:r>
      <m:oMath>
        <m:r>
          <w:rPr>
            <w:rFonts w:ascii="Cambria Math" w:hAnsi="Cambria Math" w:cs="Arial"/>
            <w:lang w:eastAsia="zh-CN"/>
          </w:rPr>
          <m:t>μ=2</m:t>
        </m:r>
      </m:oMath>
      <w:r w:rsidR="00300522" w:rsidRPr="00B27E56">
        <w:t>; otherwise</w:t>
      </w:r>
      <w:r w:rsidR="00300522" w:rsidRPr="00B27E56">
        <w:rPr>
          <w:rFonts w:eastAsia="DengXian"/>
          <w:lang w:eastAsia="zh-CN"/>
        </w:rPr>
        <w:t xml:space="preserve">, </w:t>
      </w:r>
      <m:oMath>
        <m:sSub>
          <m:sSubPr>
            <m:ctrlPr>
              <w:rPr>
                <w:rFonts w:ascii="Cambria Math" w:hAnsi="Cambria Math" w:cs="Arial"/>
                <w:i/>
                <w:lang w:eastAsia="zh-CN"/>
              </w:rPr>
            </m:ctrlPr>
          </m:sSubPr>
          <m:e>
            <m:r>
              <w:rPr>
                <w:rFonts w:ascii="Cambria Math" w:hAnsi="Cambria Math" w:cs="Arial"/>
                <w:lang w:eastAsia="zh-CN"/>
              </w:rPr>
              <m:t>N</m:t>
            </m:r>
          </m:e>
          <m:sub>
            <m:r>
              <w:rPr>
                <w:rFonts w:ascii="Cambria Math" w:hAnsi="Cambria Math" w:cs="Arial"/>
                <w:lang w:eastAsia="zh-CN"/>
              </w:rPr>
              <m:t>3</m:t>
            </m:r>
          </m:sub>
        </m:sSub>
        <m:r>
          <w:rPr>
            <w:rFonts w:ascii="Cambria Math" w:hAnsi="Cambria Math" w:cs="Arial"/>
            <w:lang w:eastAsia="zh-CN"/>
          </w:rPr>
          <m:t>=8</m:t>
        </m:r>
      </m:oMath>
      <w:r w:rsidR="00300522" w:rsidRPr="00B27E56">
        <w:t xml:space="preserve"> for </w:t>
      </w:r>
      <m:oMath>
        <m:r>
          <w:rPr>
            <w:rFonts w:ascii="Cambria Math" w:hAnsi="Cambria Math" w:cs="Arial"/>
            <w:lang w:eastAsia="zh-CN"/>
          </w:rPr>
          <m:t>μ=0</m:t>
        </m:r>
      </m:oMath>
      <w:r w:rsidR="00300522" w:rsidRPr="00B27E56">
        <w:t xml:space="preserve">, </w:t>
      </w:r>
      <m:oMath>
        <m:sSub>
          <m:sSubPr>
            <m:ctrlPr>
              <w:rPr>
                <w:rFonts w:ascii="Cambria Math" w:hAnsi="Cambria Math" w:cs="Arial"/>
                <w:i/>
                <w:lang w:eastAsia="zh-CN"/>
              </w:rPr>
            </m:ctrlPr>
          </m:sSubPr>
          <m:e>
            <m:r>
              <w:rPr>
                <w:rFonts w:ascii="Cambria Math" w:hAnsi="Cambria Math" w:cs="Arial"/>
                <w:lang w:eastAsia="zh-CN"/>
              </w:rPr>
              <m:t>N</m:t>
            </m:r>
          </m:e>
          <m:sub>
            <m:r>
              <w:rPr>
                <w:rFonts w:ascii="Cambria Math" w:hAnsi="Cambria Math" w:cs="Arial"/>
                <w:lang w:eastAsia="zh-CN"/>
              </w:rPr>
              <m:t>3</m:t>
            </m:r>
          </m:sub>
        </m:sSub>
        <m:r>
          <w:rPr>
            <w:rFonts w:ascii="Cambria Math" w:hAnsi="Cambria Math" w:cs="Arial"/>
            <w:lang w:eastAsia="zh-CN"/>
          </w:rPr>
          <m:t>=10</m:t>
        </m:r>
      </m:oMath>
      <w:r w:rsidR="00300522" w:rsidRPr="00B27E56">
        <w:t xml:space="preserve"> for </w:t>
      </w:r>
      <m:oMath>
        <m:r>
          <w:rPr>
            <w:rFonts w:ascii="Cambria Math" w:hAnsi="Cambria Math" w:cs="Arial"/>
            <w:lang w:eastAsia="zh-CN"/>
          </w:rPr>
          <m:t>μ=1</m:t>
        </m:r>
      </m:oMath>
      <w:r w:rsidR="00300522" w:rsidRPr="00B27E56">
        <w:t xml:space="preserve">, </w:t>
      </w:r>
      <m:oMath>
        <m:sSub>
          <m:sSubPr>
            <m:ctrlPr>
              <w:rPr>
                <w:rFonts w:ascii="Cambria Math" w:hAnsi="Cambria Math" w:cs="Arial"/>
                <w:i/>
                <w:lang w:eastAsia="zh-CN"/>
              </w:rPr>
            </m:ctrlPr>
          </m:sSubPr>
          <m:e>
            <m:r>
              <w:rPr>
                <w:rFonts w:ascii="Cambria Math" w:hAnsi="Cambria Math" w:cs="Arial"/>
                <w:lang w:eastAsia="zh-CN"/>
              </w:rPr>
              <m:t>N</m:t>
            </m:r>
          </m:e>
          <m:sub>
            <m:r>
              <w:rPr>
                <w:rFonts w:ascii="Cambria Math" w:hAnsi="Cambria Math" w:cs="Arial"/>
                <w:lang w:eastAsia="zh-CN"/>
              </w:rPr>
              <m:t>3</m:t>
            </m:r>
          </m:sub>
        </m:sSub>
        <m:r>
          <w:rPr>
            <w:rFonts w:ascii="Cambria Math" w:hAnsi="Cambria Math" w:cs="Arial"/>
            <w:lang w:eastAsia="zh-CN"/>
          </w:rPr>
          <m:t>=17</m:t>
        </m:r>
      </m:oMath>
      <w:r w:rsidR="00300522" w:rsidRPr="00B27E56">
        <w:t xml:space="preserve"> for </w:t>
      </w:r>
      <m:oMath>
        <m:r>
          <w:rPr>
            <w:rFonts w:ascii="Cambria Math" w:hAnsi="Cambria Math" w:cs="Arial"/>
            <w:lang w:eastAsia="zh-CN"/>
          </w:rPr>
          <m:t>μ=2</m:t>
        </m:r>
      </m:oMath>
      <w:r w:rsidR="00300522" w:rsidRPr="00B27E56">
        <w:t xml:space="preserve">, </w:t>
      </w:r>
      <m:oMath>
        <m:sSub>
          <m:sSubPr>
            <m:ctrlPr>
              <w:rPr>
                <w:rFonts w:ascii="Cambria Math" w:hAnsi="Cambria Math" w:cs="Arial"/>
                <w:i/>
                <w:lang w:eastAsia="zh-CN"/>
              </w:rPr>
            </m:ctrlPr>
          </m:sSubPr>
          <m:e>
            <m:r>
              <w:rPr>
                <w:rFonts w:ascii="Cambria Math" w:hAnsi="Cambria Math" w:cs="Arial"/>
                <w:lang w:eastAsia="zh-CN"/>
              </w:rPr>
              <m:t>N</m:t>
            </m:r>
          </m:e>
          <m:sub>
            <m:r>
              <w:rPr>
                <w:rFonts w:ascii="Cambria Math" w:hAnsi="Cambria Math" w:cs="Arial"/>
                <w:lang w:eastAsia="zh-CN"/>
              </w:rPr>
              <m:t>3</m:t>
            </m:r>
          </m:sub>
        </m:sSub>
        <m:r>
          <w:rPr>
            <w:rFonts w:ascii="Cambria Math" w:hAnsi="Cambria Math" w:cs="Arial"/>
            <w:lang w:eastAsia="zh-CN"/>
          </w:rPr>
          <m:t>=20</m:t>
        </m:r>
      </m:oMath>
      <w:r w:rsidR="00300522" w:rsidRPr="00B27E56">
        <w:t xml:space="preserve"> for </w:t>
      </w:r>
      <m:oMath>
        <m:r>
          <w:rPr>
            <w:rFonts w:ascii="Cambria Math" w:hAnsi="Cambria Math" w:cs="Arial"/>
            <w:lang w:eastAsia="zh-CN"/>
          </w:rPr>
          <m:t>μ=3</m:t>
        </m:r>
      </m:oMath>
      <w:r w:rsidR="00300522" w:rsidRPr="00B27E56">
        <w:t xml:space="preserve">, </w:t>
      </w:r>
      <m:oMath>
        <m:sSub>
          <m:sSubPr>
            <m:ctrlPr>
              <w:rPr>
                <w:rFonts w:ascii="Cambria Math" w:hAnsi="Cambria Math" w:cs="Arial"/>
                <w:i/>
                <w:lang w:eastAsia="zh-CN"/>
              </w:rPr>
            </m:ctrlPr>
          </m:sSubPr>
          <m:e>
            <m:r>
              <w:rPr>
                <w:rFonts w:ascii="Cambria Math" w:hAnsi="Cambria Math" w:cs="Arial"/>
                <w:lang w:eastAsia="zh-CN"/>
              </w:rPr>
              <m:t>N</m:t>
            </m:r>
          </m:e>
          <m:sub>
            <m:r>
              <w:rPr>
                <w:rFonts w:ascii="Cambria Math" w:hAnsi="Cambria Math" w:cs="Arial"/>
                <w:lang w:eastAsia="zh-CN"/>
              </w:rPr>
              <m:t>3</m:t>
            </m:r>
          </m:sub>
        </m:sSub>
        <m:r>
          <w:rPr>
            <w:rFonts w:ascii="Cambria Math" w:hAnsi="Cambria Math" w:cs="Arial"/>
            <w:lang w:eastAsia="zh-CN"/>
          </w:rPr>
          <m:t>=80</m:t>
        </m:r>
      </m:oMath>
      <w:r w:rsidR="00300522" w:rsidRPr="00B27E56">
        <w:t xml:space="preserve"> for </w:t>
      </w:r>
      <m:oMath>
        <m:r>
          <w:rPr>
            <w:rFonts w:ascii="Cambria Math" w:hAnsi="Cambria Math" w:cs="Arial"/>
            <w:lang w:eastAsia="zh-CN"/>
          </w:rPr>
          <m:t>μ=5</m:t>
        </m:r>
      </m:oMath>
      <w:r w:rsidR="00300522" w:rsidRPr="00B27E56">
        <w:t xml:space="preserve">, and </w:t>
      </w:r>
      <m:oMath>
        <m:sSub>
          <m:sSubPr>
            <m:ctrlPr>
              <w:rPr>
                <w:rFonts w:ascii="Cambria Math" w:hAnsi="Cambria Math" w:cs="Arial"/>
                <w:i/>
                <w:lang w:eastAsia="zh-CN"/>
              </w:rPr>
            </m:ctrlPr>
          </m:sSubPr>
          <m:e>
            <m:r>
              <w:rPr>
                <w:rFonts w:ascii="Cambria Math" w:hAnsi="Cambria Math" w:cs="Arial"/>
                <w:lang w:eastAsia="zh-CN"/>
              </w:rPr>
              <m:t>N</m:t>
            </m:r>
          </m:e>
          <m:sub>
            <m:r>
              <w:rPr>
                <w:rFonts w:ascii="Cambria Math" w:hAnsi="Cambria Math" w:cs="Arial"/>
                <w:lang w:eastAsia="zh-CN"/>
              </w:rPr>
              <m:t>3</m:t>
            </m:r>
          </m:sub>
        </m:sSub>
        <m:r>
          <w:rPr>
            <w:rFonts w:ascii="Cambria Math" w:hAnsi="Cambria Math" w:cs="Arial"/>
            <w:lang w:eastAsia="zh-CN"/>
          </w:rPr>
          <m:t>=160</m:t>
        </m:r>
      </m:oMath>
      <w:r w:rsidR="00300522" w:rsidRPr="00B27E56">
        <w:t xml:space="preserve"> for </w:t>
      </w:r>
      <m:oMath>
        <m:r>
          <w:rPr>
            <w:rFonts w:ascii="Cambria Math" w:hAnsi="Cambria Math" w:cs="Arial"/>
            <w:lang w:eastAsia="zh-CN"/>
          </w:rPr>
          <m:t>μ=6</m:t>
        </m:r>
      </m:oMath>
      <w:r>
        <w:t xml:space="preserve">. </w:t>
      </w:r>
    </w:p>
    <w:p w14:paraId="7655F472" w14:textId="69545F5D" w:rsidR="00232E2C" w:rsidRPr="00B916EC" w:rsidRDefault="00232E2C" w:rsidP="00232E2C">
      <w:r w:rsidRPr="00B916EC">
        <w:rPr>
          <w:lang w:val="en-US"/>
        </w:rPr>
        <w:t xml:space="preserve">If a UE </w:t>
      </w:r>
      <w:r w:rsidR="00D42474" w:rsidRPr="00696CF8">
        <w:rPr>
          <w:iCs/>
        </w:rPr>
        <w:t xml:space="preserve">is </w:t>
      </w:r>
      <w:r w:rsidR="0085234B">
        <w:rPr>
          <w:iCs/>
        </w:rPr>
        <w:t xml:space="preserve">not </w:t>
      </w:r>
      <w:r w:rsidR="00D42474" w:rsidRPr="00696CF8">
        <w:rPr>
          <w:iCs/>
        </w:rPr>
        <w:t xml:space="preserve">provided </w:t>
      </w:r>
      <w:r w:rsidR="0085234B" w:rsidRPr="00841E4E">
        <w:rPr>
          <w:rFonts w:eastAsia="Gulim"/>
          <w:i/>
          <w:iCs/>
        </w:rPr>
        <w:t>SPS-PUCCH-AN-List</w:t>
      </w:r>
      <w:r w:rsidR="00D42474" w:rsidRPr="00696CF8">
        <w:rPr>
          <w:iCs/>
        </w:rPr>
        <w:t xml:space="preserve"> and </w:t>
      </w:r>
      <w:r w:rsidR="001D40E2">
        <w:rPr>
          <w:lang w:val="en-US"/>
        </w:rPr>
        <w:t xml:space="preserve">transmits </w:t>
      </w:r>
      <w:r w:rsidR="001D40E2" w:rsidRPr="00B916EC">
        <w:rPr>
          <w:lang w:val="en-US"/>
        </w:rPr>
        <w:t xml:space="preserve">HARQ-ACK </w:t>
      </w:r>
      <w:r w:rsidR="001D40E2">
        <w:rPr>
          <w:lang w:val="en-US"/>
        </w:rPr>
        <w:t>information corresponding only to</w:t>
      </w:r>
      <w:r w:rsidRPr="00B916EC">
        <w:rPr>
          <w:lang w:val="en-US"/>
        </w:rPr>
        <w:t xml:space="preserve"> </w:t>
      </w:r>
      <w:r w:rsidRPr="00B916EC">
        <w:t>a PDSCH</w:t>
      </w:r>
      <w:r w:rsidR="001D40E2" w:rsidRPr="001D40E2">
        <w:t xml:space="preserve"> </w:t>
      </w:r>
      <w:r w:rsidR="001D40E2">
        <w:t>reception</w:t>
      </w:r>
      <w:r w:rsidRPr="00B916EC">
        <w:t xml:space="preserve"> </w:t>
      </w:r>
      <w:r w:rsidRPr="00B916EC">
        <w:rPr>
          <w:rFonts w:hint="eastAsia"/>
          <w:lang w:eastAsia="zh-CN"/>
        </w:rPr>
        <w:t>without</w:t>
      </w:r>
      <w:r w:rsidRPr="00B916EC">
        <w:t xml:space="preserve"> a corresponding PDCCH, </w:t>
      </w:r>
      <w:r w:rsidR="00280145" w:rsidRPr="00383285">
        <w:t xml:space="preserve">which includes the first SPS PDSCH reception associated with the corresponding activation DCI, </w:t>
      </w:r>
      <w:r w:rsidRPr="00B916EC">
        <w:t xml:space="preserve">a PUCCH resource for corresponding </w:t>
      </w:r>
      <w:r w:rsidR="007E0F7D">
        <w:t xml:space="preserve">PUCCH transmission with </w:t>
      </w:r>
      <w:r w:rsidRPr="00B916EC">
        <w:t>HARQ-ACK</w:t>
      </w:r>
      <w:r w:rsidR="001D40E2">
        <w:t xml:space="preserve"> information</w:t>
      </w:r>
      <w:r w:rsidRPr="00B916EC">
        <w:t xml:space="preserve"> is provided by </w:t>
      </w:r>
      <w:r w:rsidRPr="00B916EC">
        <w:rPr>
          <w:i/>
        </w:rPr>
        <w:t>n1PUCCH-AN</w:t>
      </w:r>
      <w:r w:rsidRPr="00B916EC">
        <w:t>.</w:t>
      </w:r>
    </w:p>
    <w:p w14:paraId="5A8FA935" w14:textId="64CF914F" w:rsidR="00375708" w:rsidRPr="00B916EC" w:rsidRDefault="00375708" w:rsidP="00375708">
      <w:pPr>
        <w:rPr>
          <w:lang w:val="en-US"/>
        </w:rPr>
      </w:pPr>
      <w:r w:rsidRPr="00B916EC">
        <w:rPr>
          <w:lang w:val="en-US"/>
        </w:rPr>
        <w:t xml:space="preserve">If a UE transmits </w:t>
      </w:r>
      <w:r>
        <w:rPr>
          <w:lang w:val="en-US"/>
        </w:rPr>
        <w:t xml:space="preserve">a PUCCH with </w:t>
      </w:r>
      <w:r w:rsidRPr="00B916EC">
        <w:rPr>
          <w:lang w:val="en-US"/>
        </w:rPr>
        <w:t>HARQ-ACK</w:t>
      </w:r>
      <w:r>
        <w:t xml:space="preserve"> information</w:t>
      </w:r>
      <w:r w:rsidRPr="00B916EC">
        <w:rPr>
          <w:lang w:val="en-US"/>
        </w:rPr>
        <w:t xml:space="preserve"> using PUCCH format 0, the UE determines value</w:t>
      </w:r>
      <w:r>
        <w:rPr>
          <w:lang w:val="en-US"/>
        </w:rPr>
        <w:t xml:space="preserve">s </w:t>
      </w:r>
      <m:oMath>
        <m:sSub>
          <m:sSubPr>
            <m:ctrlPr>
              <w:rPr>
                <w:rFonts w:ascii="Cambria Math" w:hAnsi="Cambria Math"/>
                <w:i/>
                <w:lang w:val="en-US"/>
              </w:rPr>
            </m:ctrlPr>
          </m:sSubPr>
          <m:e>
            <m:r>
              <w:rPr>
                <w:rFonts w:ascii="Cambria Math" w:hAnsi="Cambria Math"/>
                <w:lang w:val="en-US"/>
              </w:rPr>
              <m:t>m</m:t>
            </m:r>
          </m:e>
          <m:sub>
            <m:r>
              <m:rPr>
                <m:sty m:val="p"/>
              </m:rPr>
              <w:rPr>
                <w:rFonts w:ascii="Cambria Math" w:hAnsi="Cambria Math"/>
                <w:lang w:val="en-US"/>
              </w:rPr>
              <m:t>0</m:t>
            </m:r>
          </m:sub>
        </m:sSub>
      </m:oMath>
      <w:r w:rsidRPr="0043290C">
        <w:t xml:space="preserve"> and</w:t>
      </w:r>
      <w:r w:rsidRPr="00B916EC">
        <w:rPr>
          <w:lang w:val="en-US"/>
        </w:rPr>
        <w:t xml:space="preserve"> </w:t>
      </w:r>
      <m:oMath>
        <m:sSub>
          <m:sSubPr>
            <m:ctrlPr>
              <w:rPr>
                <w:rFonts w:ascii="Cambria Math" w:hAnsi="Cambria Math"/>
                <w:i/>
                <w:lang w:val="en-US"/>
              </w:rPr>
            </m:ctrlPr>
          </m:sSubPr>
          <m:e>
            <m:r>
              <w:rPr>
                <w:rFonts w:ascii="Cambria Math" w:hAnsi="Cambria Math"/>
                <w:lang w:val="en-US"/>
              </w:rPr>
              <m:t>m</m:t>
            </m:r>
          </m:e>
          <m:sub>
            <m:r>
              <m:rPr>
                <m:sty m:val="p"/>
              </m:rPr>
              <w:rPr>
                <w:rFonts w:ascii="Cambria Math" w:hAnsi="Cambria Math"/>
                <w:lang w:val="en-US"/>
              </w:rPr>
              <m:t>CS</m:t>
            </m:r>
          </m:sub>
        </m:sSub>
      </m:oMath>
      <w:r w:rsidRPr="00B916EC">
        <w:t xml:space="preserve"> for computing a value of cyclic shift </w:t>
      </w:r>
      <m:oMath>
        <m:r>
          <w:rPr>
            <w:rFonts w:ascii="Cambria Math" w:hAnsi="Cambria Math"/>
          </w:rPr>
          <m:t>α</m:t>
        </m:r>
      </m:oMath>
      <w:r w:rsidRPr="00B916EC">
        <w:t xml:space="preserve"> [4, TS 38.211] where </w:t>
      </w:r>
      <m:oMath>
        <m:sSub>
          <m:sSubPr>
            <m:ctrlPr>
              <w:rPr>
                <w:rFonts w:ascii="Cambria Math" w:hAnsi="Cambria Math"/>
                <w:i/>
                <w:lang w:val="en-US"/>
              </w:rPr>
            </m:ctrlPr>
          </m:sSubPr>
          <m:e>
            <m:r>
              <w:rPr>
                <w:rFonts w:ascii="Cambria Math" w:hAnsi="Cambria Math"/>
                <w:lang w:val="en-US"/>
              </w:rPr>
              <m:t>m</m:t>
            </m:r>
          </m:e>
          <m:sub>
            <m:r>
              <m:rPr>
                <m:sty m:val="p"/>
              </m:rPr>
              <w:rPr>
                <w:rFonts w:ascii="Cambria Math" w:hAnsi="Cambria Math"/>
                <w:lang w:val="en-US"/>
              </w:rPr>
              <m:t>0</m:t>
            </m:r>
          </m:sub>
        </m:sSub>
      </m:oMath>
      <w:r>
        <w:t xml:space="preserve"> </w:t>
      </w:r>
      <w:r w:rsidRPr="00B916EC">
        <w:t xml:space="preserve">is provided by </w:t>
      </w:r>
      <w:r w:rsidRPr="00B916EC">
        <w:rPr>
          <w:i/>
          <w:lang w:val="en-US"/>
        </w:rPr>
        <w:t>initial</w:t>
      </w:r>
      <w:r>
        <w:rPr>
          <w:i/>
          <w:lang w:val="en-US"/>
        </w:rPr>
        <w:t>C</w:t>
      </w:r>
      <w:r w:rsidRPr="00B916EC">
        <w:rPr>
          <w:i/>
          <w:lang w:val="en-US"/>
        </w:rPr>
        <w:t>yclic</w:t>
      </w:r>
      <w:r>
        <w:rPr>
          <w:i/>
          <w:lang w:val="en-US"/>
        </w:rPr>
        <w:t>S</w:t>
      </w:r>
      <w:r w:rsidRPr="00B916EC">
        <w:rPr>
          <w:i/>
          <w:lang w:val="en-US"/>
        </w:rPr>
        <w:t>hift</w:t>
      </w:r>
      <w:r w:rsidRPr="00B916EC">
        <w:rPr>
          <w:lang w:val="en-US"/>
        </w:rPr>
        <w:t xml:space="preserve"> of </w:t>
      </w:r>
      <w:r w:rsidRPr="00FD417D">
        <w:rPr>
          <w:i/>
        </w:rPr>
        <w:t>PUCCH-format0</w:t>
      </w:r>
      <w:r w:rsidR="00432E4D">
        <w:t xml:space="preserve"> or</w:t>
      </w:r>
      <w:r w:rsidRPr="00B916EC">
        <w:t xml:space="preserve">, </w:t>
      </w:r>
      <w:r w:rsidR="00432E4D">
        <w:t xml:space="preserve">if </w:t>
      </w:r>
      <w:r w:rsidR="00432E4D">
        <w:rPr>
          <w:i/>
          <w:lang w:val="en-US"/>
        </w:rPr>
        <w:t>initialCyclicShift</w:t>
      </w:r>
      <w:r w:rsidR="00432E4D" w:rsidRPr="00376D4F">
        <w:t xml:space="preserve"> is </w:t>
      </w:r>
      <w:r w:rsidR="00432E4D">
        <w:t xml:space="preserve">not </w:t>
      </w:r>
      <w:r w:rsidR="00432E4D" w:rsidRPr="00376D4F">
        <w:t>provided</w:t>
      </w:r>
      <w:r w:rsidR="00432E4D">
        <w:t>,</w:t>
      </w:r>
      <w:r w:rsidR="00432E4D" w:rsidRPr="00376D4F">
        <w:t xml:space="preserve"> by the initi</w:t>
      </w:r>
      <w:r w:rsidR="00432E4D">
        <w:t xml:space="preserve">al cyclic shift index as described </w:t>
      </w:r>
      <w:r w:rsidR="006F5F9E">
        <w:t>in clause</w:t>
      </w:r>
      <w:r w:rsidR="00432E4D">
        <w:t xml:space="preserve"> 9.2.1</w:t>
      </w:r>
      <w:r w:rsidR="00432E4D" w:rsidRPr="00376D4F">
        <w:t xml:space="preserve"> </w:t>
      </w:r>
      <w:r w:rsidRPr="00B916EC">
        <w:t xml:space="preserve">and </w:t>
      </w:r>
      <m:oMath>
        <m:sSub>
          <m:sSubPr>
            <m:ctrlPr>
              <w:rPr>
                <w:rFonts w:ascii="Cambria Math" w:hAnsi="Cambria Math"/>
                <w:i/>
                <w:lang w:val="en-US"/>
              </w:rPr>
            </m:ctrlPr>
          </m:sSubPr>
          <m:e>
            <m:r>
              <w:rPr>
                <w:rFonts w:ascii="Cambria Math" w:hAnsi="Cambria Math"/>
                <w:lang w:val="en-US"/>
              </w:rPr>
              <m:t>m</m:t>
            </m:r>
          </m:e>
          <m:sub>
            <m:r>
              <m:rPr>
                <m:sty m:val="p"/>
              </m:rPr>
              <w:rPr>
                <w:rFonts w:ascii="Cambria Math" w:hAnsi="Cambria Math"/>
                <w:lang w:val="en-US"/>
              </w:rPr>
              <m:t>CS</m:t>
            </m:r>
          </m:sub>
        </m:sSub>
      </m:oMath>
      <w:r w:rsidRPr="00B916EC">
        <w:t xml:space="preserve"> is determined from the value of one HARQ-ACK</w:t>
      </w:r>
      <w:r>
        <w:t xml:space="preserve"> information</w:t>
      </w:r>
      <w:r w:rsidRPr="00B916EC">
        <w:t xml:space="preserve"> bit or from the values of two HARQ-ACK</w:t>
      </w:r>
      <w:r>
        <w:t xml:space="preserve"> information</w:t>
      </w:r>
      <w:r w:rsidRPr="00B916EC">
        <w:t xml:space="preserve"> bits</w:t>
      </w:r>
      <w:r w:rsidRPr="00B916EC">
        <w:rPr>
          <w:lang w:val="en-US"/>
        </w:rPr>
        <w:t xml:space="preserve"> as in </w:t>
      </w:r>
      <w:r w:rsidRPr="00B916EC">
        <w:t>Table 9.2.</w:t>
      </w:r>
      <w:r>
        <w:t>3</w:t>
      </w:r>
      <w:r w:rsidRPr="00B916EC">
        <w:t>-3 and Table 9.2.</w:t>
      </w:r>
      <w:r>
        <w:t>3</w:t>
      </w:r>
      <w:r w:rsidRPr="00B916EC">
        <w:t>-4, respectively.</w:t>
      </w:r>
      <w:r w:rsidRPr="00B916EC">
        <w:rPr>
          <w:lang w:val="en-US"/>
        </w:rPr>
        <w:t xml:space="preserve"> </w:t>
      </w:r>
    </w:p>
    <w:p w14:paraId="545B3064" w14:textId="77777777" w:rsidR="000A4E86" w:rsidRPr="00B916EC" w:rsidRDefault="000A4E86" w:rsidP="000A4E86">
      <w:pPr>
        <w:pStyle w:val="TH"/>
        <w:rPr>
          <w:rFonts w:cs="Arial"/>
        </w:rPr>
      </w:pPr>
      <w:r w:rsidRPr="00B916EC">
        <w:rPr>
          <w:rFonts w:cs="Arial"/>
        </w:rPr>
        <w:t>Table 9.2.</w:t>
      </w:r>
      <w:r w:rsidR="00234F5B">
        <w:rPr>
          <w:rFonts w:cs="Arial"/>
        </w:rPr>
        <w:t>3</w:t>
      </w:r>
      <w:r w:rsidR="00193F12" w:rsidRPr="00B916EC">
        <w:rPr>
          <w:rFonts w:cs="Arial"/>
        </w:rPr>
        <w:t>-3</w:t>
      </w:r>
      <w:r w:rsidRPr="00B916EC">
        <w:rPr>
          <w:rFonts w:cs="Arial"/>
        </w:rPr>
        <w:t xml:space="preserve">: Mapping of values </w:t>
      </w:r>
      <w:r w:rsidR="00670D4D" w:rsidRPr="00B916EC">
        <w:rPr>
          <w:rFonts w:cs="Arial"/>
        </w:rPr>
        <w:t>for one HARQ-ACK</w:t>
      </w:r>
      <w:r w:rsidR="001D40E2">
        <w:t xml:space="preserve"> information</w:t>
      </w:r>
      <w:r w:rsidR="00670D4D" w:rsidRPr="00B916EC">
        <w:rPr>
          <w:rFonts w:cs="Arial"/>
        </w:rPr>
        <w:t xml:space="preserve"> bit to sequences</w:t>
      </w:r>
      <w:r w:rsidR="000A6819">
        <w:rPr>
          <w:rFonts w:cs="Arial"/>
        </w:rPr>
        <w:t xml:space="preserve"> for PUCCH format 0</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2107"/>
        <w:gridCol w:w="1313"/>
        <w:gridCol w:w="1325"/>
      </w:tblGrid>
      <w:tr w:rsidR="006928FA" w:rsidRPr="00B916EC" w14:paraId="18A397C5" w14:textId="77777777" w:rsidTr="00670D4D">
        <w:trPr>
          <w:cantSplit/>
          <w:jc w:val="center"/>
        </w:trPr>
        <w:tc>
          <w:tcPr>
            <w:tcW w:w="2107" w:type="dxa"/>
            <w:shd w:val="clear" w:color="auto" w:fill="E0E0E0"/>
            <w:vAlign w:val="center"/>
          </w:tcPr>
          <w:p w14:paraId="495C59DF" w14:textId="77777777" w:rsidR="006928FA" w:rsidRPr="00B916EC" w:rsidRDefault="006928FA" w:rsidP="00DC4C38">
            <w:pPr>
              <w:pStyle w:val="TAH"/>
              <w:rPr>
                <w:rFonts w:ascii="Times New Roman" w:hAnsi="Times New Roman"/>
                <w:szCs w:val="18"/>
              </w:rPr>
            </w:pPr>
            <w:r w:rsidRPr="00B916EC">
              <w:rPr>
                <w:rFonts w:cs="Arial"/>
                <w:szCs w:val="18"/>
              </w:rPr>
              <w:t>HARQ-ACK Value</w:t>
            </w:r>
          </w:p>
        </w:tc>
        <w:tc>
          <w:tcPr>
            <w:tcW w:w="1313" w:type="dxa"/>
            <w:shd w:val="clear" w:color="auto" w:fill="E0E0E0"/>
            <w:vAlign w:val="center"/>
          </w:tcPr>
          <w:p w14:paraId="76F0AF47" w14:textId="77777777" w:rsidR="006928FA" w:rsidRPr="00B916EC" w:rsidRDefault="00A21F35" w:rsidP="00DC4C38">
            <w:pPr>
              <w:pStyle w:val="TAH"/>
              <w:rPr>
                <w:rFonts w:ascii="Times New Roman" w:hAnsi="Times New Roman"/>
                <w:sz w:val="20"/>
              </w:rPr>
            </w:pPr>
            <w:r w:rsidRPr="00B916EC">
              <w:rPr>
                <w:rFonts w:ascii="Times New Roman" w:hAnsi="Times New Roman"/>
                <w:sz w:val="20"/>
              </w:rPr>
              <w:t>0</w:t>
            </w:r>
          </w:p>
        </w:tc>
        <w:tc>
          <w:tcPr>
            <w:tcW w:w="1325" w:type="dxa"/>
            <w:shd w:val="clear" w:color="auto" w:fill="E0E0E0"/>
          </w:tcPr>
          <w:p w14:paraId="0A812CE2" w14:textId="77777777" w:rsidR="006928FA" w:rsidRPr="00B916EC" w:rsidRDefault="00A21F35" w:rsidP="00DC4C38">
            <w:pPr>
              <w:pStyle w:val="TAH"/>
              <w:rPr>
                <w:rFonts w:ascii="Times New Roman" w:hAnsi="Times New Roman"/>
                <w:sz w:val="20"/>
              </w:rPr>
            </w:pPr>
            <w:r w:rsidRPr="00B916EC">
              <w:rPr>
                <w:rFonts w:ascii="Times New Roman" w:hAnsi="Times New Roman"/>
                <w:sz w:val="20"/>
              </w:rPr>
              <w:t>1</w:t>
            </w:r>
          </w:p>
        </w:tc>
      </w:tr>
      <w:tr w:rsidR="00FB5A86" w:rsidRPr="00B916EC" w14:paraId="6DC3DAB5" w14:textId="77777777" w:rsidTr="00670D4D">
        <w:trPr>
          <w:cantSplit/>
          <w:jc w:val="center"/>
        </w:trPr>
        <w:tc>
          <w:tcPr>
            <w:tcW w:w="2107" w:type="dxa"/>
            <w:vAlign w:val="center"/>
          </w:tcPr>
          <w:p w14:paraId="570226D9" w14:textId="77777777" w:rsidR="00FB5A86" w:rsidRPr="00B916EC" w:rsidRDefault="00FB5A86" w:rsidP="00FB5A86">
            <w:pPr>
              <w:pStyle w:val="TAC"/>
              <w:rPr>
                <w:b/>
              </w:rPr>
            </w:pPr>
            <w:r w:rsidRPr="00B916EC">
              <w:rPr>
                <w:b/>
              </w:rPr>
              <w:t>Sequence cyclic shift</w:t>
            </w:r>
          </w:p>
        </w:tc>
        <w:tc>
          <w:tcPr>
            <w:tcW w:w="1313" w:type="dxa"/>
            <w:vAlign w:val="center"/>
          </w:tcPr>
          <w:p w14:paraId="08993B36" w14:textId="11B4D3D9" w:rsidR="00FB5A86" w:rsidRPr="007C626D" w:rsidRDefault="00000000" w:rsidP="00FB5A86">
            <w:pPr>
              <w:pStyle w:val="TAL"/>
              <w:jc w:val="center"/>
            </w:pPr>
            <m:oMathPara>
              <m:oMathParaPr>
                <m:jc m:val="center"/>
              </m:oMathParaPr>
              <m:oMath>
                <m:sSub>
                  <m:sSubPr>
                    <m:ctrlPr>
                      <w:rPr>
                        <w:rFonts w:ascii="Cambria Math" w:hAnsi="Cambria Math"/>
                        <w:i/>
                        <w:sz w:val="20"/>
                        <w:lang w:val="en-US"/>
                      </w:rPr>
                    </m:ctrlPr>
                  </m:sSubPr>
                  <m:e>
                    <m:r>
                      <w:rPr>
                        <w:rFonts w:ascii="Cambria Math" w:hAnsi="Cambria Math"/>
                        <w:lang w:val="en-US"/>
                      </w:rPr>
                      <m:t>m</m:t>
                    </m:r>
                  </m:e>
                  <m:sub>
                    <m:r>
                      <m:rPr>
                        <m:sty m:val="p"/>
                      </m:rPr>
                      <w:rPr>
                        <w:rFonts w:ascii="Cambria Math" w:hAnsi="Cambria Math"/>
                        <w:lang w:val="en-US"/>
                      </w:rPr>
                      <m:t>CS</m:t>
                    </m:r>
                  </m:sub>
                </m:sSub>
                <m:r>
                  <w:rPr>
                    <w:rFonts w:ascii="Cambria Math" w:hAnsi="Cambria Math"/>
                    <w:sz w:val="20"/>
                    <w:lang w:val="en-US"/>
                  </w:rPr>
                  <m:t>=0</m:t>
                </m:r>
              </m:oMath>
            </m:oMathPara>
          </w:p>
        </w:tc>
        <w:tc>
          <w:tcPr>
            <w:tcW w:w="1325" w:type="dxa"/>
          </w:tcPr>
          <w:p w14:paraId="79813B10" w14:textId="612FD4AB" w:rsidR="00FB5A86" w:rsidRPr="00B916EC" w:rsidRDefault="00000000" w:rsidP="00FB5A86">
            <w:pPr>
              <w:pStyle w:val="TAL"/>
              <w:jc w:val="center"/>
            </w:pPr>
            <m:oMathPara>
              <m:oMath>
                <m:sSub>
                  <m:sSubPr>
                    <m:ctrlPr>
                      <w:rPr>
                        <w:rFonts w:ascii="Cambria Math" w:hAnsi="Cambria Math"/>
                        <w:i/>
                        <w:sz w:val="20"/>
                        <w:lang w:val="en-US"/>
                      </w:rPr>
                    </m:ctrlPr>
                  </m:sSubPr>
                  <m:e>
                    <m:r>
                      <w:rPr>
                        <w:rFonts w:ascii="Cambria Math" w:hAnsi="Cambria Math"/>
                        <w:lang w:val="en-US"/>
                      </w:rPr>
                      <m:t>m</m:t>
                    </m:r>
                  </m:e>
                  <m:sub>
                    <m:r>
                      <m:rPr>
                        <m:sty m:val="p"/>
                      </m:rPr>
                      <w:rPr>
                        <w:rFonts w:ascii="Cambria Math" w:hAnsi="Cambria Math"/>
                        <w:lang w:val="en-US"/>
                      </w:rPr>
                      <m:t>CS</m:t>
                    </m:r>
                  </m:sub>
                </m:sSub>
                <m:r>
                  <w:rPr>
                    <w:rFonts w:ascii="Cambria Math" w:hAnsi="Cambria Math"/>
                    <w:sz w:val="20"/>
                    <w:lang w:val="en-US"/>
                  </w:rPr>
                  <m:t>=6</m:t>
                </m:r>
              </m:oMath>
            </m:oMathPara>
          </w:p>
        </w:tc>
      </w:tr>
    </w:tbl>
    <w:p w14:paraId="0DAA4260" w14:textId="77777777" w:rsidR="000A4E86" w:rsidRPr="00B916EC" w:rsidRDefault="000A4E86" w:rsidP="000A4E86">
      <w:pPr>
        <w:pStyle w:val="B1"/>
        <w:overflowPunct w:val="0"/>
        <w:autoSpaceDE w:val="0"/>
        <w:autoSpaceDN w:val="0"/>
        <w:adjustRightInd w:val="0"/>
        <w:ind w:left="0" w:firstLine="0"/>
        <w:textAlignment w:val="baseline"/>
        <w:rPr>
          <w:lang w:val="en-US"/>
        </w:rPr>
      </w:pPr>
    </w:p>
    <w:p w14:paraId="57C110A6" w14:textId="77777777" w:rsidR="00670D4D" w:rsidRPr="00B916EC" w:rsidRDefault="00670D4D" w:rsidP="00670D4D">
      <w:pPr>
        <w:pStyle w:val="TH"/>
        <w:rPr>
          <w:rFonts w:cs="Arial"/>
        </w:rPr>
      </w:pPr>
      <w:r w:rsidRPr="00B916EC">
        <w:rPr>
          <w:rFonts w:cs="Arial"/>
        </w:rPr>
        <w:t>Table 9.2.</w:t>
      </w:r>
      <w:r w:rsidR="00234F5B">
        <w:rPr>
          <w:rFonts w:cs="Arial"/>
        </w:rPr>
        <w:t>3</w:t>
      </w:r>
      <w:r w:rsidR="00193F12" w:rsidRPr="00B916EC">
        <w:rPr>
          <w:rFonts w:cs="Arial"/>
        </w:rPr>
        <w:t>-4</w:t>
      </w:r>
      <w:r w:rsidRPr="00B916EC">
        <w:rPr>
          <w:rFonts w:cs="Arial"/>
        </w:rPr>
        <w:t>: Mapping of values for two HARQ-ACK</w:t>
      </w:r>
      <w:r w:rsidR="001D40E2">
        <w:t xml:space="preserve"> information</w:t>
      </w:r>
      <w:r w:rsidRPr="00B916EC">
        <w:rPr>
          <w:rFonts w:cs="Arial"/>
        </w:rPr>
        <w:t xml:space="preserve"> bits to sequences</w:t>
      </w:r>
      <w:r w:rsidR="000A6819">
        <w:rPr>
          <w:rFonts w:cs="Arial"/>
        </w:rPr>
        <w:t xml:space="preserve"> for PUCCH format 0</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2102"/>
        <w:gridCol w:w="1752"/>
        <w:gridCol w:w="1620"/>
        <w:gridCol w:w="1710"/>
        <w:gridCol w:w="1620"/>
      </w:tblGrid>
      <w:tr w:rsidR="00670D4D" w:rsidRPr="00B916EC" w14:paraId="3E0BC1A7" w14:textId="77777777" w:rsidTr="00A21F35">
        <w:trPr>
          <w:cantSplit/>
          <w:jc w:val="center"/>
        </w:trPr>
        <w:tc>
          <w:tcPr>
            <w:tcW w:w="2102" w:type="dxa"/>
            <w:shd w:val="clear" w:color="auto" w:fill="E0E0E0"/>
            <w:vAlign w:val="center"/>
          </w:tcPr>
          <w:p w14:paraId="24A89DDA" w14:textId="77777777" w:rsidR="00670D4D" w:rsidRPr="00B916EC" w:rsidRDefault="00670D4D" w:rsidP="00670D4D">
            <w:pPr>
              <w:pStyle w:val="TAH"/>
              <w:rPr>
                <w:rFonts w:ascii="Times New Roman" w:hAnsi="Times New Roman"/>
                <w:szCs w:val="18"/>
              </w:rPr>
            </w:pPr>
            <w:r w:rsidRPr="00B916EC">
              <w:rPr>
                <w:rFonts w:cs="Arial"/>
                <w:szCs w:val="18"/>
              </w:rPr>
              <w:t>HARQ-ACK Value</w:t>
            </w:r>
          </w:p>
        </w:tc>
        <w:tc>
          <w:tcPr>
            <w:tcW w:w="1752" w:type="dxa"/>
            <w:shd w:val="clear" w:color="auto" w:fill="E0E0E0"/>
            <w:vAlign w:val="center"/>
          </w:tcPr>
          <w:p w14:paraId="73BC7D19" w14:textId="77777777" w:rsidR="00670D4D" w:rsidRPr="00B916EC" w:rsidRDefault="00670D4D" w:rsidP="00A21F35">
            <w:pPr>
              <w:pStyle w:val="TAH"/>
              <w:rPr>
                <w:rFonts w:ascii="Times New Roman" w:hAnsi="Times New Roman"/>
                <w:sz w:val="20"/>
              </w:rPr>
            </w:pPr>
            <w:r w:rsidRPr="00B916EC">
              <w:rPr>
                <w:rFonts w:ascii="Times New Roman" w:hAnsi="Times New Roman"/>
                <w:sz w:val="20"/>
              </w:rPr>
              <w:t>{</w:t>
            </w:r>
            <w:r w:rsidR="00A21F35" w:rsidRPr="00B916EC">
              <w:rPr>
                <w:rFonts w:ascii="Times New Roman" w:hAnsi="Times New Roman"/>
                <w:sz w:val="20"/>
              </w:rPr>
              <w:t>0</w:t>
            </w:r>
            <w:r w:rsidRPr="00B916EC">
              <w:rPr>
                <w:rFonts w:ascii="Times New Roman" w:hAnsi="Times New Roman"/>
                <w:sz w:val="20"/>
              </w:rPr>
              <w:t xml:space="preserve">, </w:t>
            </w:r>
            <w:r w:rsidR="00A21F35" w:rsidRPr="00B916EC">
              <w:rPr>
                <w:rFonts w:ascii="Times New Roman" w:hAnsi="Times New Roman"/>
                <w:sz w:val="20"/>
              </w:rPr>
              <w:t>0</w:t>
            </w:r>
            <w:r w:rsidRPr="00B916EC">
              <w:rPr>
                <w:rFonts w:ascii="Times New Roman" w:hAnsi="Times New Roman"/>
                <w:sz w:val="20"/>
              </w:rPr>
              <w:t>}</w:t>
            </w:r>
          </w:p>
        </w:tc>
        <w:tc>
          <w:tcPr>
            <w:tcW w:w="1620" w:type="dxa"/>
            <w:shd w:val="clear" w:color="auto" w:fill="E0E0E0"/>
          </w:tcPr>
          <w:p w14:paraId="21181E2C" w14:textId="77777777" w:rsidR="00670D4D" w:rsidRPr="00B916EC" w:rsidRDefault="00670D4D" w:rsidP="00A21F35">
            <w:pPr>
              <w:pStyle w:val="TAH"/>
              <w:rPr>
                <w:rFonts w:ascii="Times New Roman" w:hAnsi="Times New Roman"/>
                <w:sz w:val="20"/>
              </w:rPr>
            </w:pPr>
            <w:r w:rsidRPr="00B916EC">
              <w:rPr>
                <w:rFonts w:ascii="Times New Roman" w:hAnsi="Times New Roman"/>
                <w:sz w:val="20"/>
              </w:rPr>
              <w:t>{</w:t>
            </w:r>
            <w:r w:rsidR="00A21F35" w:rsidRPr="00B916EC">
              <w:rPr>
                <w:rFonts w:ascii="Times New Roman" w:hAnsi="Times New Roman"/>
                <w:sz w:val="20"/>
              </w:rPr>
              <w:t>0</w:t>
            </w:r>
            <w:r w:rsidRPr="00B916EC">
              <w:rPr>
                <w:rFonts w:ascii="Times New Roman" w:hAnsi="Times New Roman"/>
                <w:sz w:val="20"/>
              </w:rPr>
              <w:t xml:space="preserve">, </w:t>
            </w:r>
            <w:r w:rsidR="00A21F35" w:rsidRPr="00B916EC">
              <w:rPr>
                <w:rFonts w:ascii="Times New Roman" w:hAnsi="Times New Roman"/>
                <w:sz w:val="20"/>
              </w:rPr>
              <w:t>1</w:t>
            </w:r>
            <w:r w:rsidRPr="00B916EC">
              <w:rPr>
                <w:rFonts w:ascii="Times New Roman" w:hAnsi="Times New Roman"/>
                <w:sz w:val="20"/>
              </w:rPr>
              <w:t>}</w:t>
            </w:r>
          </w:p>
        </w:tc>
        <w:tc>
          <w:tcPr>
            <w:tcW w:w="1710" w:type="dxa"/>
            <w:shd w:val="clear" w:color="auto" w:fill="E0E0E0"/>
            <w:vAlign w:val="center"/>
          </w:tcPr>
          <w:p w14:paraId="354A3BA7" w14:textId="77777777" w:rsidR="00670D4D" w:rsidRPr="00B916EC" w:rsidRDefault="00670D4D" w:rsidP="00A21F35">
            <w:pPr>
              <w:pStyle w:val="TAH"/>
              <w:rPr>
                <w:rFonts w:ascii="Times New Roman" w:hAnsi="Times New Roman"/>
                <w:sz w:val="20"/>
              </w:rPr>
            </w:pPr>
            <w:r w:rsidRPr="00B916EC">
              <w:rPr>
                <w:rFonts w:ascii="Times New Roman" w:hAnsi="Times New Roman"/>
                <w:sz w:val="20"/>
              </w:rPr>
              <w:t>{</w:t>
            </w:r>
            <w:r w:rsidR="00A21F35" w:rsidRPr="00B916EC">
              <w:rPr>
                <w:rFonts w:ascii="Times New Roman" w:hAnsi="Times New Roman"/>
                <w:sz w:val="20"/>
              </w:rPr>
              <w:t>1</w:t>
            </w:r>
            <w:r w:rsidRPr="00B916EC">
              <w:rPr>
                <w:rFonts w:ascii="Times New Roman" w:hAnsi="Times New Roman"/>
                <w:sz w:val="20"/>
              </w:rPr>
              <w:t xml:space="preserve">, </w:t>
            </w:r>
            <w:r w:rsidR="00A21F35" w:rsidRPr="00B916EC">
              <w:rPr>
                <w:rFonts w:ascii="Times New Roman" w:hAnsi="Times New Roman"/>
                <w:sz w:val="20"/>
              </w:rPr>
              <w:t>1</w:t>
            </w:r>
            <w:r w:rsidRPr="00B916EC">
              <w:rPr>
                <w:rFonts w:ascii="Times New Roman" w:hAnsi="Times New Roman"/>
                <w:sz w:val="20"/>
              </w:rPr>
              <w:t>}</w:t>
            </w:r>
          </w:p>
        </w:tc>
        <w:tc>
          <w:tcPr>
            <w:tcW w:w="1620" w:type="dxa"/>
            <w:shd w:val="clear" w:color="auto" w:fill="E0E0E0"/>
          </w:tcPr>
          <w:p w14:paraId="7BDF3BF3" w14:textId="77777777" w:rsidR="00670D4D" w:rsidRPr="00B916EC" w:rsidRDefault="00670D4D" w:rsidP="00A21F35">
            <w:pPr>
              <w:pStyle w:val="TAH"/>
              <w:rPr>
                <w:rFonts w:ascii="Times New Roman" w:hAnsi="Times New Roman"/>
                <w:sz w:val="20"/>
              </w:rPr>
            </w:pPr>
            <w:r w:rsidRPr="00B916EC">
              <w:rPr>
                <w:rFonts w:ascii="Times New Roman" w:hAnsi="Times New Roman"/>
                <w:sz w:val="20"/>
              </w:rPr>
              <w:t>{</w:t>
            </w:r>
            <w:r w:rsidR="00A21F35" w:rsidRPr="00B916EC">
              <w:rPr>
                <w:rFonts w:ascii="Times New Roman" w:hAnsi="Times New Roman"/>
                <w:sz w:val="20"/>
              </w:rPr>
              <w:t>1</w:t>
            </w:r>
            <w:r w:rsidRPr="00B916EC">
              <w:rPr>
                <w:rFonts w:ascii="Times New Roman" w:hAnsi="Times New Roman"/>
                <w:sz w:val="20"/>
              </w:rPr>
              <w:t xml:space="preserve">, </w:t>
            </w:r>
            <w:r w:rsidR="00A21F35" w:rsidRPr="00B916EC">
              <w:rPr>
                <w:rFonts w:ascii="Times New Roman" w:hAnsi="Times New Roman"/>
                <w:sz w:val="20"/>
              </w:rPr>
              <w:t>0</w:t>
            </w:r>
            <w:r w:rsidRPr="00B916EC">
              <w:rPr>
                <w:rFonts w:ascii="Times New Roman" w:hAnsi="Times New Roman"/>
                <w:sz w:val="20"/>
              </w:rPr>
              <w:t>}</w:t>
            </w:r>
          </w:p>
        </w:tc>
      </w:tr>
      <w:tr w:rsidR="00FB5A86" w:rsidRPr="00B916EC" w14:paraId="2F7C30F0" w14:textId="77777777" w:rsidTr="00A21F35">
        <w:trPr>
          <w:cantSplit/>
          <w:jc w:val="center"/>
        </w:trPr>
        <w:tc>
          <w:tcPr>
            <w:tcW w:w="2102" w:type="dxa"/>
            <w:vAlign w:val="center"/>
          </w:tcPr>
          <w:p w14:paraId="6410FE8E" w14:textId="77777777" w:rsidR="00FB5A86" w:rsidRPr="00B916EC" w:rsidRDefault="00FB5A86" w:rsidP="00FB5A86">
            <w:pPr>
              <w:pStyle w:val="TAC"/>
              <w:rPr>
                <w:b/>
              </w:rPr>
            </w:pPr>
            <w:r w:rsidRPr="00B916EC">
              <w:rPr>
                <w:b/>
              </w:rPr>
              <w:t>Sequence cyclic shift</w:t>
            </w:r>
          </w:p>
        </w:tc>
        <w:tc>
          <w:tcPr>
            <w:tcW w:w="1752" w:type="dxa"/>
            <w:vAlign w:val="center"/>
          </w:tcPr>
          <w:p w14:paraId="7B027416" w14:textId="0F8EA482" w:rsidR="00FB5A86" w:rsidRPr="00B916EC" w:rsidRDefault="00000000" w:rsidP="00FB5A86">
            <w:pPr>
              <w:pStyle w:val="TAL"/>
              <w:jc w:val="center"/>
            </w:pPr>
            <m:oMathPara>
              <m:oMath>
                <m:sSub>
                  <m:sSubPr>
                    <m:ctrlPr>
                      <w:rPr>
                        <w:rFonts w:ascii="Cambria Math" w:hAnsi="Cambria Math"/>
                        <w:i/>
                        <w:sz w:val="20"/>
                        <w:lang w:val="en-US"/>
                      </w:rPr>
                    </m:ctrlPr>
                  </m:sSubPr>
                  <m:e>
                    <m:r>
                      <w:rPr>
                        <w:rFonts w:ascii="Cambria Math" w:hAnsi="Cambria Math"/>
                        <w:lang w:val="en-US"/>
                      </w:rPr>
                      <m:t>m</m:t>
                    </m:r>
                  </m:e>
                  <m:sub>
                    <m:r>
                      <m:rPr>
                        <m:sty m:val="p"/>
                      </m:rPr>
                      <w:rPr>
                        <w:rFonts w:ascii="Cambria Math" w:hAnsi="Cambria Math"/>
                        <w:lang w:val="en-US"/>
                      </w:rPr>
                      <m:t>CS</m:t>
                    </m:r>
                  </m:sub>
                </m:sSub>
                <m:r>
                  <w:rPr>
                    <w:rFonts w:ascii="Cambria Math" w:hAnsi="Cambria Math"/>
                    <w:sz w:val="20"/>
                    <w:lang w:val="en-US"/>
                  </w:rPr>
                  <m:t>=0</m:t>
                </m:r>
              </m:oMath>
            </m:oMathPara>
          </w:p>
        </w:tc>
        <w:tc>
          <w:tcPr>
            <w:tcW w:w="1620" w:type="dxa"/>
          </w:tcPr>
          <w:p w14:paraId="282C5C6A" w14:textId="6E49B882" w:rsidR="00FB5A86" w:rsidRPr="00B916EC" w:rsidRDefault="00000000" w:rsidP="00FB5A86">
            <w:pPr>
              <w:pStyle w:val="TAL"/>
              <w:jc w:val="center"/>
            </w:pPr>
            <m:oMathPara>
              <m:oMath>
                <m:sSub>
                  <m:sSubPr>
                    <m:ctrlPr>
                      <w:rPr>
                        <w:rFonts w:ascii="Cambria Math" w:hAnsi="Cambria Math"/>
                        <w:i/>
                        <w:sz w:val="20"/>
                        <w:lang w:val="en-US"/>
                      </w:rPr>
                    </m:ctrlPr>
                  </m:sSubPr>
                  <m:e>
                    <m:r>
                      <w:rPr>
                        <w:rFonts w:ascii="Cambria Math" w:hAnsi="Cambria Math"/>
                        <w:lang w:val="en-US"/>
                      </w:rPr>
                      <m:t>m</m:t>
                    </m:r>
                  </m:e>
                  <m:sub>
                    <m:r>
                      <m:rPr>
                        <m:sty m:val="p"/>
                      </m:rPr>
                      <w:rPr>
                        <w:rFonts w:ascii="Cambria Math" w:hAnsi="Cambria Math"/>
                        <w:lang w:val="en-US"/>
                      </w:rPr>
                      <m:t>CS</m:t>
                    </m:r>
                  </m:sub>
                </m:sSub>
                <m:r>
                  <w:rPr>
                    <w:rFonts w:ascii="Cambria Math" w:hAnsi="Cambria Math"/>
                    <w:sz w:val="20"/>
                    <w:lang w:val="en-US"/>
                  </w:rPr>
                  <m:t>=3</m:t>
                </m:r>
              </m:oMath>
            </m:oMathPara>
          </w:p>
        </w:tc>
        <w:tc>
          <w:tcPr>
            <w:tcW w:w="1710" w:type="dxa"/>
            <w:vAlign w:val="center"/>
          </w:tcPr>
          <w:p w14:paraId="48E2220D" w14:textId="1D3856A7" w:rsidR="00FB5A86" w:rsidRPr="00B916EC" w:rsidRDefault="00000000" w:rsidP="00FB5A86">
            <w:pPr>
              <w:pStyle w:val="TAL"/>
              <w:jc w:val="center"/>
            </w:pPr>
            <m:oMathPara>
              <m:oMath>
                <m:sSub>
                  <m:sSubPr>
                    <m:ctrlPr>
                      <w:rPr>
                        <w:rFonts w:ascii="Cambria Math" w:hAnsi="Cambria Math"/>
                        <w:i/>
                        <w:sz w:val="20"/>
                        <w:lang w:val="en-US"/>
                      </w:rPr>
                    </m:ctrlPr>
                  </m:sSubPr>
                  <m:e>
                    <m:r>
                      <w:rPr>
                        <w:rFonts w:ascii="Cambria Math" w:hAnsi="Cambria Math"/>
                        <w:lang w:val="en-US"/>
                      </w:rPr>
                      <m:t>m</m:t>
                    </m:r>
                  </m:e>
                  <m:sub>
                    <m:r>
                      <m:rPr>
                        <m:sty m:val="p"/>
                      </m:rPr>
                      <w:rPr>
                        <w:rFonts w:ascii="Cambria Math" w:hAnsi="Cambria Math"/>
                        <w:lang w:val="en-US"/>
                      </w:rPr>
                      <m:t>CS</m:t>
                    </m:r>
                  </m:sub>
                </m:sSub>
                <m:r>
                  <w:rPr>
                    <w:rFonts w:ascii="Cambria Math" w:hAnsi="Cambria Math"/>
                    <w:sz w:val="20"/>
                    <w:lang w:val="en-US"/>
                  </w:rPr>
                  <m:t>=6</m:t>
                </m:r>
              </m:oMath>
            </m:oMathPara>
          </w:p>
        </w:tc>
        <w:tc>
          <w:tcPr>
            <w:tcW w:w="1620" w:type="dxa"/>
          </w:tcPr>
          <w:p w14:paraId="26413ADE" w14:textId="15610F39" w:rsidR="00FB5A86" w:rsidRPr="00B916EC" w:rsidRDefault="00000000" w:rsidP="00FB5A86">
            <w:pPr>
              <w:pStyle w:val="TAL"/>
              <w:jc w:val="center"/>
            </w:pPr>
            <m:oMathPara>
              <m:oMath>
                <m:sSub>
                  <m:sSubPr>
                    <m:ctrlPr>
                      <w:rPr>
                        <w:rFonts w:ascii="Cambria Math" w:hAnsi="Cambria Math"/>
                        <w:i/>
                        <w:sz w:val="20"/>
                        <w:lang w:val="en-US"/>
                      </w:rPr>
                    </m:ctrlPr>
                  </m:sSubPr>
                  <m:e>
                    <m:r>
                      <w:rPr>
                        <w:rFonts w:ascii="Cambria Math" w:hAnsi="Cambria Math"/>
                        <w:lang w:val="en-US"/>
                      </w:rPr>
                      <m:t>m</m:t>
                    </m:r>
                  </m:e>
                  <m:sub>
                    <m:r>
                      <m:rPr>
                        <m:sty m:val="p"/>
                      </m:rPr>
                      <w:rPr>
                        <w:rFonts w:ascii="Cambria Math" w:hAnsi="Cambria Math"/>
                        <w:lang w:val="en-US"/>
                      </w:rPr>
                      <m:t>CS</m:t>
                    </m:r>
                  </m:sub>
                </m:sSub>
                <m:r>
                  <w:rPr>
                    <w:rFonts w:ascii="Cambria Math" w:hAnsi="Cambria Math"/>
                    <w:sz w:val="20"/>
                    <w:lang w:val="en-US"/>
                  </w:rPr>
                  <m:t>=9</m:t>
                </m:r>
              </m:oMath>
            </m:oMathPara>
          </w:p>
        </w:tc>
      </w:tr>
    </w:tbl>
    <w:p w14:paraId="4A6E3C4E" w14:textId="77777777" w:rsidR="001C3C91" w:rsidRPr="00B916EC" w:rsidRDefault="001C3C91" w:rsidP="003E4990">
      <w:pPr>
        <w:rPr>
          <w:lang w:val="en-US"/>
        </w:rPr>
      </w:pPr>
    </w:p>
    <w:p w14:paraId="020C635E" w14:textId="4D068580" w:rsidR="00375708" w:rsidRDefault="00375708" w:rsidP="00375708">
      <w:r w:rsidRPr="00B916EC">
        <w:rPr>
          <w:lang w:val="en-US"/>
        </w:rPr>
        <w:t>If a UE transmi</w:t>
      </w:r>
      <w:r>
        <w:rPr>
          <w:lang w:val="en-US"/>
        </w:rPr>
        <w:t>ts a PUCCH with HARQ-ACK information using PUCCH format 1</w:t>
      </w:r>
      <w:r w:rsidRPr="00B916EC">
        <w:rPr>
          <w:lang w:val="en-US"/>
        </w:rPr>
        <w:t xml:space="preserve">, </w:t>
      </w:r>
      <w:r>
        <w:rPr>
          <w:lang w:val="en-US"/>
        </w:rPr>
        <w:t>the UE is provided</w:t>
      </w:r>
      <w:r w:rsidRPr="00B916EC">
        <w:rPr>
          <w:lang w:val="en-US"/>
        </w:rPr>
        <w:t xml:space="preserve"> </w:t>
      </w:r>
      <w:r>
        <w:rPr>
          <w:lang w:val="en-US"/>
        </w:rPr>
        <w:t xml:space="preserve">a </w:t>
      </w:r>
      <w:r w:rsidRPr="00B916EC">
        <w:rPr>
          <w:lang w:val="en-US"/>
        </w:rPr>
        <w:t>value</w:t>
      </w:r>
      <w:r>
        <w:rPr>
          <w:lang w:val="en-US"/>
        </w:rPr>
        <w:t xml:space="preserve"> for </w:t>
      </w:r>
      <w:r w:rsidR="00ED3701">
        <w:rPr>
          <w:noProof/>
          <w:position w:val="-10"/>
        </w:rPr>
        <w:drawing>
          <wp:inline distT="0" distB="0" distL="0" distR="0" wp14:anchorId="2E713196" wp14:editId="6B30DFCC">
            <wp:extent cx="180975" cy="200025"/>
            <wp:effectExtent l="0" t="0" r="0" b="0"/>
            <wp:docPr id="118"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r>
        <w:t xml:space="preserve"> </w:t>
      </w:r>
      <w:r w:rsidRPr="00B916EC">
        <w:t xml:space="preserve">by </w:t>
      </w:r>
      <w:r w:rsidRPr="00B916EC">
        <w:rPr>
          <w:i/>
          <w:lang w:val="en-US"/>
        </w:rPr>
        <w:t>initial</w:t>
      </w:r>
      <w:r>
        <w:rPr>
          <w:i/>
          <w:lang w:val="en-US"/>
        </w:rPr>
        <w:t>C</w:t>
      </w:r>
      <w:r w:rsidRPr="00B916EC">
        <w:rPr>
          <w:i/>
          <w:lang w:val="en-US"/>
        </w:rPr>
        <w:t>yclic</w:t>
      </w:r>
      <w:r>
        <w:rPr>
          <w:i/>
          <w:lang w:val="en-US"/>
        </w:rPr>
        <w:t>S</w:t>
      </w:r>
      <w:r w:rsidRPr="00B916EC">
        <w:rPr>
          <w:i/>
          <w:lang w:val="en-US"/>
        </w:rPr>
        <w:t>hift</w:t>
      </w:r>
      <w:r w:rsidRPr="00B916EC">
        <w:rPr>
          <w:lang w:val="en-US"/>
        </w:rPr>
        <w:t xml:space="preserve"> of </w:t>
      </w:r>
      <w:r w:rsidRPr="00FD417D">
        <w:rPr>
          <w:i/>
        </w:rPr>
        <w:t>PUCCH-format</w:t>
      </w:r>
      <w:r>
        <w:rPr>
          <w:i/>
        </w:rPr>
        <w:t>1</w:t>
      </w:r>
      <w:r w:rsidR="00320B8D">
        <w:rPr>
          <w:i/>
        </w:rPr>
        <w:t xml:space="preserve"> </w:t>
      </w:r>
      <w:r w:rsidR="00320B8D">
        <w:t>or</w:t>
      </w:r>
      <w:r w:rsidR="00320B8D" w:rsidRPr="00B916EC">
        <w:t xml:space="preserve">, </w:t>
      </w:r>
      <w:r w:rsidR="00320B8D">
        <w:t xml:space="preserve">if </w:t>
      </w:r>
      <w:r w:rsidR="00320B8D">
        <w:rPr>
          <w:i/>
          <w:lang w:val="en-US"/>
        </w:rPr>
        <w:t>initialCyclicShift</w:t>
      </w:r>
      <w:r w:rsidR="00320B8D" w:rsidRPr="00376D4F">
        <w:t xml:space="preserve"> is </w:t>
      </w:r>
      <w:r w:rsidR="00320B8D">
        <w:t xml:space="preserve">not </w:t>
      </w:r>
      <w:r w:rsidR="00320B8D" w:rsidRPr="00376D4F">
        <w:t>provided</w:t>
      </w:r>
      <w:r w:rsidR="00320B8D">
        <w:t>,</w:t>
      </w:r>
      <w:r w:rsidR="00320B8D" w:rsidRPr="00376D4F">
        <w:t xml:space="preserve"> by the initi</w:t>
      </w:r>
      <w:r w:rsidR="00320B8D">
        <w:t xml:space="preserve">al cyclic shift index as described </w:t>
      </w:r>
      <w:r w:rsidR="006F5F9E">
        <w:t>in clause</w:t>
      </w:r>
      <w:r w:rsidR="00320B8D">
        <w:t xml:space="preserve"> 9.2.1</w:t>
      </w:r>
      <w:r w:rsidRPr="00897416">
        <w:t>.</w:t>
      </w:r>
    </w:p>
    <w:p w14:paraId="304CB742" w14:textId="7CE0445E" w:rsidR="00375708" w:rsidRDefault="00375708" w:rsidP="00375708">
      <w:pPr>
        <w:rPr>
          <w:lang w:val="en-US"/>
        </w:rPr>
      </w:pPr>
      <w:r w:rsidRPr="00B916EC">
        <w:rPr>
          <w:lang w:val="en-US"/>
        </w:rPr>
        <w:t>If a UE transmits</w:t>
      </w:r>
      <w:r>
        <w:rPr>
          <w:lang w:val="en-US"/>
        </w:rPr>
        <w:t xml:space="preserve"> a PUCCH with</w:t>
      </w:r>
      <w:r w:rsidRPr="00B916EC">
        <w:rPr>
          <w:lang w:val="en-US"/>
        </w:rPr>
        <w:t xml:space="preserve"> </w:t>
      </w:r>
      <m:oMath>
        <m:sSub>
          <m:sSubPr>
            <m:ctrlPr>
              <w:rPr>
                <w:rFonts w:ascii="Cambria Math" w:hAnsi="Cambria Math"/>
                <w:i/>
                <w:lang w:val="en-US"/>
              </w:rPr>
            </m:ctrlPr>
          </m:sSubPr>
          <m:e>
            <m:r>
              <w:rPr>
                <w:rFonts w:ascii="Cambria Math" w:hAnsi="Cambria Math"/>
                <w:lang w:val="en-US"/>
              </w:rPr>
              <m:t>O</m:t>
            </m:r>
          </m:e>
          <m:sub>
            <m:r>
              <m:rPr>
                <m:sty m:val="p"/>
              </m:rPr>
              <w:rPr>
                <w:rFonts w:ascii="Cambria Math" w:hAnsi="Cambria Math"/>
                <w:lang w:val="en-US"/>
              </w:rPr>
              <m:t>ACK</m:t>
            </m:r>
          </m:sub>
        </m:sSub>
      </m:oMath>
      <w:r>
        <w:t xml:space="preserve"> </w:t>
      </w:r>
      <w:r w:rsidRPr="00B916EC">
        <w:rPr>
          <w:lang w:val="en-US"/>
        </w:rPr>
        <w:t>HARQ-ACK</w:t>
      </w:r>
      <w:r w:rsidRPr="000A6819">
        <w:rPr>
          <w:lang w:val="en-US"/>
        </w:rPr>
        <w:t xml:space="preserve"> </w:t>
      </w:r>
      <w:r>
        <w:rPr>
          <w:lang w:val="en-US"/>
        </w:rPr>
        <w:t>information</w:t>
      </w:r>
      <w:r w:rsidRPr="00B916EC">
        <w:rPr>
          <w:lang w:val="en-US"/>
        </w:rPr>
        <w:t xml:space="preserve"> bits and </w:t>
      </w:r>
      <m:oMath>
        <m:sSub>
          <m:sSubPr>
            <m:ctrlPr>
              <w:rPr>
                <w:rFonts w:ascii="Cambria Math" w:hAnsi="Cambria Math"/>
                <w:i/>
                <w:lang w:val="en-US"/>
              </w:rPr>
            </m:ctrlPr>
          </m:sSubPr>
          <m:e>
            <m:r>
              <w:rPr>
                <w:rFonts w:ascii="Cambria Math" w:hAnsi="Cambria Math"/>
                <w:lang w:val="en-US"/>
              </w:rPr>
              <m:t>O</m:t>
            </m:r>
          </m:e>
          <m:sub>
            <m:r>
              <m:rPr>
                <m:sty m:val="p"/>
              </m:rPr>
              <w:rPr>
                <w:rFonts w:ascii="Cambria Math" w:hAnsi="Cambria Math"/>
                <w:lang w:val="en-US"/>
              </w:rPr>
              <m:t>CRC</m:t>
            </m:r>
          </m:sub>
        </m:sSub>
      </m:oMath>
      <w:r w:rsidRPr="00B916EC">
        <w:rPr>
          <w:lang w:val="en-US"/>
        </w:rPr>
        <w:t xml:space="preserve"> bits using PUCCH format 2 or PUCCH format 3</w:t>
      </w:r>
      <w:r>
        <w:rPr>
          <w:lang w:val="en-US"/>
        </w:rPr>
        <w:t xml:space="preserve"> in a PUCCH resource that includes </w:t>
      </w:r>
      <m:oMath>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t>
            </m:r>
          </m:sub>
          <m:sup>
            <m:r>
              <m:rPr>
                <m:nor/>
              </m:rPr>
              <w:rPr>
                <w:rFonts w:ascii="Cambria Math"/>
              </w:rPr>
              <m:t>PUCCH</m:t>
            </m:r>
          </m:sup>
        </m:sSubSup>
      </m:oMath>
      <w:r>
        <w:rPr>
          <w:lang w:val="en-US"/>
        </w:rPr>
        <w:t xml:space="preserve"> PRBs</w:t>
      </w:r>
      <w:r w:rsidRPr="00B916EC">
        <w:rPr>
          <w:lang w:val="en-US"/>
        </w:rPr>
        <w:t xml:space="preserve">, the UE determines a number of PRBs </w:t>
      </w:r>
      <m:oMath>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RB,min</m:t>
            </m:r>
          </m:sub>
          <m:sup>
            <m:r>
              <m:rPr>
                <m:nor/>
              </m:rPr>
              <w:rPr>
                <w:rFonts w:ascii="Cambria Math"/>
              </w:rPr>
              <m:t>PUCCH</m:t>
            </m:r>
          </m:sup>
        </m:sSubSup>
      </m:oMath>
      <w:r w:rsidRPr="00B916EC">
        <w:rPr>
          <w:lang w:val="en-US"/>
        </w:rPr>
        <w:t xml:space="preserve"> for the PUCCH transmission to be the minimum number of PRBs, that is smaller than or equal to a number of PRBs </w:t>
      </w:r>
      <m:oMath>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t>
            </m:r>
          </m:sub>
          <m:sup>
            <m:r>
              <m:rPr>
                <m:nor/>
              </m:rPr>
              <w:rPr>
                <w:rFonts w:ascii="Cambria Math"/>
              </w:rPr>
              <m:t>PUCCH</m:t>
            </m:r>
          </m:sup>
        </m:sSubSup>
      </m:oMath>
      <w:r>
        <w:t xml:space="preserve"> </w:t>
      </w:r>
      <w:r w:rsidRPr="00B916EC">
        <w:rPr>
          <w:lang w:val="en-US"/>
        </w:rPr>
        <w:t xml:space="preserve">provided respectively by </w:t>
      </w:r>
      <w:r w:rsidRPr="00FD417D">
        <w:rPr>
          <w:i/>
        </w:rPr>
        <w:t>nrofPRBs</w:t>
      </w:r>
      <w:r w:rsidRPr="00B916EC">
        <w:rPr>
          <w:lang w:val="en-US"/>
        </w:rPr>
        <w:t xml:space="preserve"> </w:t>
      </w:r>
      <w:r>
        <w:rPr>
          <w:lang w:val="en-US"/>
        </w:rPr>
        <w:t xml:space="preserve">of </w:t>
      </w:r>
      <w:r>
        <w:rPr>
          <w:i/>
        </w:rPr>
        <w:t xml:space="preserve">PUCCH-format2 </w:t>
      </w:r>
      <w:r w:rsidRPr="00B916EC">
        <w:rPr>
          <w:lang w:val="en-US"/>
        </w:rPr>
        <w:t xml:space="preserve">or </w:t>
      </w:r>
      <w:r w:rsidRPr="00FD417D">
        <w:rPr>
          <w:i/>
        </w:rPr>
        <w:t>nrofPRBs</w:t>
      </w:r>
      <w:r w:rsidRPr="00B916EC">
        <w:rPr>
          <w:lang w:val="en-US"/>
        </w:rPr>
        <w:t xml:space="preserve"> </w:t>
      </w:r>
      <w:r>
        <w:rPr>
          <w:lang w:val="en-US"/>
        </w:rPr>
        <w:t xml:space="preserve">of </w:t>
      </w:r>
      <w:r>
        <w:rPr>
          <w:i/>
        </w:rPr>
        <w:t>PUCCH-format3</w:t>
      </w:r>
      <w:r w:rsidRPr="00B916EC">
        <w:rPr>
          <w:lang w:val="en-US"/>
        </w:rPr>
        <w:t xml:space="preserve"> and start from the first PRB from the number of PRBs, that results to </w:t>
      </w:r>
      <m:oMath>
        <m:d>
          <m:dPr>
            <m:ctrlPr>
              <w:rPr>
                <w:rFonts w:ascii="Cambria Math" w:hAnsi="Cambria Math"/>
                <w:i/>
              </w:rPr>
            </m:ctrlPr>
          </m:dPr>
          <m:e>
            <m:sSub>
              <m:sSubPr>
                <m:ctrlPr>
                  <w:rPr>
                    <w:rFonts w:ascii="Cambria Math" w:hAnsi="Cambria Math"/>
                    <w:i/>
                  </w:rPr>
                </m:ctrlPr>
              </m:sSubPr>
              <m:e>
                <m:r>
                  <w:rPr>
                    <w:rFonts w:ascii="Cambria Math"/>
                  </w:rPr>
                  <m:t>O</m:t>
                </m:r>
              </m:e>
              <m:sub>
                <m:r>
                  <m:rPr>
                    <m:nor/>
                  </m:rPr>
                  <w:rPr>
                    <w:rFonts w:ascii="Cambria Math"/>
                  </w:rPr>
                  <m:t>ACK</m:t>
                </m:r>
                <m:ctrlPr>
                  <w:rPr>
                    <w:rFonts w:ascii="Cambria Math" w:hAnsi="Cambria Math"/>
                  </w:rPr>
                </m:ctrlPr>
              </m:sub>
            </m:sSub>
            <m:r>
              <w:rPr>
                <w:rFonts w:ascii="Cambria Math"/>
              </w:rPr>
              <m:t>+</m:t>
            </m:r>
            <m:sSub>
              <m:sSubPr>
                <m:ctrlPr>
                  <w:rPr>
                    <w:rFonts w:ascii="Cambria Math" w:hAnsi="Cambria Math"/>
                    <w:i/>
                  </w:rPr>
                </m:ctrlPr>
              </m:sSubPr>
              <m:e>
                <m:r>
                  <w:rPr>
                    <w:rFonts w:ascii="Cambria Math"/>
                  </w:rPr>
                  <m:t>O</m:t>
                </m:r>
              </m:e>
              <m:sub>
                <m:r>
                  <m:rPr>
                    <m:nor/>
                  </m:rPr>
                  <w:rPr>
                    <w:rFonts w:ascii="Cambria Math"/>
                  </w:rPr>
                  <m:t>CRC</m:t>
                </m:r>
                <m:ctrlPr>
                  <w:rPr>
                    <w:rFonts w:ascii="Cambria Math" w:hAnsi="Cambria Math"/>
                  </w:rPr>
                </m:ctrlPr>
              </m:sub>
            </m:sSub>
          </m:e>
        </m:d>
        <m:r>
          <w:rPr>
            <w:rFonts w:ascii="Cambria Math"/>
          </w:rPr>
          <m:t>≤</m:t>
        </m:r>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RB,min</m:t>
            </m:r>
          </m:sub>
          <m:sup>
            <m:r>
              <m:rPr>
                <m:nor/>
              </m:rPr>
              <w:rPr>
                <w:rFonts w:ascii="Cambria Math"/>
              </w:rPr>
              <m:t>PUCCH</m:t>
            </m:r>
          </m:sup>
        </m:sSubSup>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sc,ctrl</m:t>
            </m:r>
            <m:ctrlPr>
              <w:rPr>
                <w:rFonts w:ascii="Cambria Math" w:hAnsi="Cambria Math"/>
              </w:rPr>
            </m:ctrlPr>
          </m:sub>
          <m:sup>
            <m:r>
              <m:rPr>
                <m:nor/>
              </m:rPr>
              <w:rPr>
                <w:rFonts w:ascii="Cambria Math"/>
              </w:rPr>
              <m:t>RB</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symb-UCI</m:t>
            </m:r>
            <m:ctrlPr>
              <w:rPr>
                <w:rFonts w:ascii="Cambria Math" w:hAnsi="Cambria Math"/>
              </w:rPr>
            </m:ctrlPr>
          </m:sub>
          <m:sup>
            <m:r>
              <m:rPr>
                <m:nor/>
              </m:rPr>
              <w:rPr>
                <w:rFonts w:ascii="Cambria Math"/>
              </w:rPr>
              <m:t>PUCCH</m:t>
            </m:r>
            <m:ctrlPr>
              <w:rPr>
                <w:rFonts w:ascii="Cambria Math" w:hAnsi="Cambria Math"/>
              </w:rPr>
            </m:ctrlPr>
          </m:sup>
        </m:sSubSup>
        <m:r>
          <w:rPr>
            <w:rFonts w:ascii="Cambria Math" w:hAnsi="Cambria Math" w:cs="Cambria Math"/>
          </w:rPr>
          <m:t>⋅</m:t>
        </m:r>
        <m:sSub>
          <m:sSubPr>
            <m:ctrlPr>
              <w:rPr>
                <w:rFonts w:ascii="Cambria Math" w:hAnsi="Cambria Math"/>
                <w:i/>
              </w:rPr>
            </m:ctrlPr>
          </m:sSubPr>
          <m:e>
            <m:r>
              <w:rPr>
                <w:rFonts w:ascii="Cambria Math"/>
              </w:rPr>
              <m:t>Q</m:t>
            </m:r>
          </m:e>
          <m:sub>
            <m:r>
              <w:rPr>
                <w:rFonts w:ascii="Cambria Math"/>
              </w:rPr>
              <m:t>m</m:t>
            </m:r>
          </m:sub>
        </m:sSub>
        <m:r>
          <w:rPr>
            <w:rFonts w:ascii="Cambria Math" w:hAnsi="Cambria Math" w:cs="Cambria Math"/>
          </w:rPr>
          <m:t>⋅</m:t>
        </m:r>
        <m:r>
          <w:rPr>
            <w:rFonts w:ascii="Cambria Math"/>
          </w:rPr>
          <m:t>r</m:t>
        </m:r>
      </m:oMath>
      <w:r w:rsidRPr="00B916EC">
        <w:rPr>
          <w:lang w:val="en-US"/>
        </w:rPr>
        <w:t xml:space="preserve"> and, if </w:t>
      </w:r>
      <m:oMath>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t>
            </m:r>
          </m:sub>
          <m:sup>
            <m:r>
              <m:rPr>
                <m:nor/>
              </m:rPr>
              <w:rPr>
                <w:rFonts w:ascii="Cambria Math"/>
              </w:rPr>
              <m:t>PUCCH</m:t>
            </m:r>
          </m:sup>
        </m:sSubSup>
        <m:r>
          <w:rPr>
            <w:rFonts w:ascii="Cambria Math" w:hAnsi="Cambria Math"/>
            <w:lang w:val="en-US"/>
          </w:rPr>
          <m:t>&gt;1</m:t>
        </m:r>
      </m:oMath>
      <w:r w:rsidRPr="00B916EC">
        <w:rPr>
          <w:lang w:val="en-US"/>
        </w:rPr>
        <w:t xml:space="preserve">, </w:t>
      </w:r>
      <m:oMath>
        <m:d>
          <m:dPr>
            <m:ctrlPr>
              <w:rPr>
                <w:rFonts w:ascii="Cambria Math" w:hAnsi="Cambria Math"/>
                <w:i/>
              </w:rPr>
            </m:ctrlPr>
          </m:dPr>
          <m:e>
            <m:sSub>
              <m:sSubPr>
                <m:ctrlPr>
                  <w:rPr>
                    <w:rFonts w:ascii="Cambria Math" w:hAnsi="Cambria Math"/>
                    <w:i/>
                  </w:rPr>
                </m:ctrlPr>
              </m:sSubPr>
              <m:e>
                <m:r>
                  <w:rPr>
                    <w:rFonts w:ascii="Cambria Math"/>
                  </w:rPr>
                  <m:t>O</m:t>
                </m:r>
              </m:e>
              <m:sub>
                <m:r>
                  <m:rPr>
                    <m:nor/>
                  </m:rPr>
                  <w:rPr>
                    <w:rFonts w:ascii="Cambria Math"/>
                  </w:rPr>
                  <m:t>ACK</m:t>
                </m:r>
                <m:ctrlPr>
                  <w:rPr>
                    <w:rFonts w:ascii="Cambria Math" w:hAnsi="Cambria Math"/>
                  </w:rPr>
                </m:ctrlPr>
              </m:sub>
            </m:sSub>
            <m:r>
              <w:rPr>
                <w:rFonts w:ascii="Cambria Math"/>
              </w:rPr>
              <m:t>+</m:t>
            </m:r>
            <m:sSub>
              <m:sSubPr>
                <m:ctrlPr>
                  <w:rPr>
                    <w:rFonts w:ascii="Cambria Math" w:hAnsi="Cambria Math"/>
                    <w:i/>
                  </w:rPr>
                </m:ctrlPr>
              </m:sSubPr>
              <m:e>
                <m:r>
                  <w:rPr>
                    <w:rFonts w:ascii="Cambria Math"/>
                  </w:rPr>
                  <m:t>O</m:t>
                </m:r>
              </m:e>
              <m:sub>
                <m:r>
                  <m:rPr>
                    <m:nor/>
                  </m:rPr>
                  <w:rPr>
                    <w:rFonts w:ascii="Cambria Math"/>
                  </w:rPr>
                  <m:t>CRC</m:t>
                </m:r>
                <m:ctrlPr>
                  <w:rPr>
                    <w:rFonts w:ascii="Cambria Math" w:hAnsi="Cambria Math"/>
                  </w:rPr>
                </m:ctrlPr>
              </m:sub>
            </m:sSub>
          </m:e>
        </m:d>
        <m:r>
          <w:rPr>
            <w:rFonts w:ascii="Cambria Math"/>
          </w:rPr>
          <m:t>&gt;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RB,min</m:t>
                </m:r>
              </m:sub>
              <m:sup>
                <m:r>
                  <m:rPr>
                    <m:nor/>
                  </m:rPr>
                  <w:rPr>
                    <w:rFonts w:ascii="Cambria Math"/>
                  </w:rPr>
                  <m:t>PUCCH</m:t>
                </m:r>
              </m:sup>
            </m:sSubSup>
            <m:r>
              <w:rPr>
                <w:rFonts w:ascii="Cambria Math" w:hAnsi="Cambria Math"/>
                <w:lang w:val="en-US"/>
              </w:rPr>
              <m:t>-1</m:t>
            </m:r>
          </m:e>
        </m:d>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sc,ctrl</m:t>
            </m:r>
            <m:ctrlPr>
              <w:rPr>
                <w:rFonts w:ascii="Cambria Math" w:hAnsi="Cambria Math"/>
              </w:rPr>
            </m:ctrlPr>
          </m:sub>
          <m:sup>
            <m:r>
              <m:rPr>
                <m:nor/>
              </m:rPr>
              <w:rPr>
                <w:rFonts w:ascii="Cambria Math"/>
              </w:rPr>
              <m:t>RB</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symb-UCI</m:t>
            </m:r>
            <m:ctrlPr>
              <w:rPr>
                <w:rFonts w:ascii="Cambria Math" w:hAnsi="Cambria Math"/>
              </w:rPr>
            </m:ctrlPr>
          </m:sub>
          <m:sup>
            <m:r>
              <m:rPr>
                <m:nor/>
              </m:rPr>
              <w:rPr>
                <w:rFonts w:ascii="Cambria Math"/>
              </w:rPr>
              <m:t>PUCCH</m:t>
            </m:r>
            <m:ctrlPr>
              <w:rPr>
                <w:rFonts w:ascii="Cambria Math" w:hAnsi="Cambria Math"/>
              </w:rPr>
            </m:ctrlPr>
          </m:sup>
        </m:sSubSup>
        <m:r>
          <w:rPr>
            <w:rFonts w:ascii="Cambria Math" w:hAnsi="Cambria Math" w:cs="Cambria Math"/>
          </w:rPr>
          <m:t>⋅</m:t>
        </m:r>
        <m:sSub>
          <m:sSubPr>
            <m:ctrlPr>
              <w:rPr>
                <w:rFonts w:ascii="Cambria Math" w:hAnsi="Cambria Math"/>
                <w:i/>
              </w:rPr>
            </m:ctrlPr>
          </m:sSubPr>
          <m:e>
            <m:r>
              <w:rPr>
                <w:rFonts w:ascii="Cambria Math"/>
              </w:rPr>
              <m:t>Q</m:t>
            </m:r>
          </m:e>
          <m:sub>
            <m:r>
              <w:rPr>
                <w:rFonts w:ascii="Cambria Math"/>
              </w:rPr>
              <m:t>m</m:t>
            </m:r>
          </m:sub>
        </m:sSub>
        <m:r>
          <w:rPr>
            <w:rFonts w:ascii="Cambria Math" w:hAnsi="Cambria Math" w:cs="Cambria Math"/>
          </w:rPr>
          <m:t>⋅</m:t>
        </m:r>
        <m:r>
          <w:rPr>
            <w:rFonts w:ascii="Cambria Math"/>
          </w:rPr>
          <m:t>r</m:t>
        </m:r>
      </m:oMath>
      <w:r w:rsidRPr="00B916EC">
        <w:rPr>
          <w:lang w:val="en-US"/>
        </w:rPr>
        <w:t xml:space="preserve">, where </w:t>
      </w:r>
      <m:oMath>
        <m:sSubSup>
          <m:sSubSupPr>
            <m:ctrlPr>
              <w:rPr>
                <w:rFonts w:ascii="Cambria Math" w:hAnsi="Cambria Math"/>
                <w:i/>
              </w:rPr>
            </m:ctrlPr>
          </m:sSubSupPr>
          <m:e>
            <m:r>
              <w:rPr>
                <w:rFonts w:ascii="Cambria Math"/>
              </w:rPr>
              <m:t>N</m:t>
            </m:r>
          </m:e>
          <m:sub>
            <m:r>
              <m:rPr>
                <m:nor/>
              </m:rPr>
              <w:rPr>
                <w:rFonts w:ascii="Cambria Math"/>
              </w:rPr>
              <m:t>sc,ctrl</m:t>
            </m:r>
            <m:ctrlPr>
              <w:rPr>
                <w:rFonts w:ascii="Cambria Math" w:hAnsi="Cambria Math"/>
              </w:rPr>
            </m:ctrlPr>
          </m:sub>
          <m:sup>
            <m:r>
              <m:rPr>
                <m:nor/>
              </m:rPr>
              <w:rPr>
                <w:rFonts w:ascii="Cambria Math"/>
              </w:rPr>
              <m:t>RB</m:t>
            </m:r>
            <m:ctrlPr>
              <w:rPr>
                <w:rFonts w:ascii="Cambria Math" w:hAnsi="Cambria Math"/>
              </w:rPr>
            </m:ctrlPr>
          </m:sup>
        </m:sSubSup>
      </m:oMath>
      <w:r w:rsidRPr="00B916EC">
        <w:rPr>
          <w:lang w:val="en-US"/>
        </w:rPr>
        <w:t xml:space="preserve">, </w:t>
      </w:r>
      <m:oMath>
        <m:sSubSup>
          <m:sSubSupPr>
            <m:ctrlPr>
              <w:rPr>
                <w:rFonts w:ascii="Cambria Math" w:hAnsi="Cambria Math"/>
                <w:i/>
              </w:rPr>
            </m:ctrlPr>
          </m:sSubSupPr>
          <m:e>
            <m:r>
              <w:rPr>
                <w:rFonts w:ascii="Cambria Math"/>
              </w:rPr>
              <m:t>N</m:t>
            </m:r>
          </m:e>
          <m:sub>
            <m:r>
              <m:rPr>
                <m:nor/>
              </m:rPr>
              <w:rPr>
                <w:rFonts w:ascii="Cambria Math"/>
              </w:rPr>
              <m:t>symb-UCI</m:t>
            </m:r>
            <m:ctrlPr>
              <w:rPr>
                <w:rFonts w:ascii="Cambria Math" w:hAnsi="Cambria Math"/>
              </w:rPr>
            </m:ctrlPr>
          </m:sub>
          <m:sup>
            <m:r>
              <m:rPr>
                <m:nor/>
              </m:rPr>
              <w:rPr>
                <w:rFonts w:ascii="Cambria Math"/>
              </w:rPr>
              <m:t>PUCCH</m:t>
            </m:r>
            <m:ctrlPr>
              <w:rPr>
                <w:rFonts w:ascii="Cambria Math" w:hAnsi="Cambria Math"/>
              </w:rPr>
            </m:ctrlPr>
          </m:sup>
        </m:sSubSup>
      </m:oMath>
      <w:r w:rsidRPr="00B916EC">
        <w:rPr>
          <w:lang w:val="en-US"/>
        </w:rPr>
        <w:t xml:space="preserve">, </w:t>
      </w:r>
      <m:oMath>
        <m:sSub>
          <m:sSubPr>
            <m:ctrlPr>
              <w:rPr>
                <w:rFonts w:ascii="Cambria Math" w:hAnsi="Cambria Math"/>
                <w:i/>
              </w:rPr>
            </m:ctrlPr>
          </m:sSubPr>
          <m:e>
            <m:r>
              <w:rPr>
                <w:rFonts w:ascii="Cambria Math"/>
              </w:rPr>
              <m:t>Q</m:t>
            </m:r>
          </m:e>
          <m:sub>
            <m:r>
              <w:rPr>
                <w:rFonts w:ascii="Cambria Math"/>
              </w:rPr>
              <m:t>m</m:t>
            </m:r>
          </m:sub>
        </m:sSub>
      </m:oMath>
      <w:r w:rsidRPr="00B916EC">
        <w:rPr>
          <w:lang w:val="en-US"/>
        </w:rPr>
        <w:t xml:space="preserve">, and </w:t>
      </w:r>
      <m:oMath>
        <m:r>
          <w:rPr>
            <w:rFonts w:ascii="Cambria Math"/>
          </w:rPr>
          <m:t>r</m:t>
        </m:r>
      </m:oMath>
      <w:r w:rsidRPr="00B916EC">
        <w:rPr>
          <w:lang w:val="en-US"/>
        </w:rPr>
        <w:t xml:space="preserve"> are defined </w:t>
      </w:r>
      <w:r w:rsidR="006F5F9E">
        <w:rPr>
          <w:lang w:val="en-US"/>
        </w:rPr>
        <w:t>in clause</w:t>
      </w:r>
      <w:r w:rsidRPr="00B916EC">
        <w:rPr>
          <w:lang w:val="en-US"/>
        </w:rPr>
        <w:t xml:space="preserve"> </w:t>
      </w:r>
      <w:r>
        <w:rPr>
          <w:lang w:val="en-US"/>
        </w:rPr>
        <w:t>9.2.5.2</w:t>
      </w:r>
      <w:r w:rsidRPr="00B916EC">
        <w:rPr>
          <w:lang w:val="en-US"/>
        </w:rPr>
        <w:t xml:space="preserve">. </w:t>
      </w:r>
      <w:r w:rsidR="00C5287C" w:rsidRPr="008C0CFC">
        <w:rPr>
          <w:lang w:val="en-US"/>
        </w:rPr>
        <w:t>For PUCCH format 3,</w:t>
      </w:r>
      <w:r w:rsidR="00166C80">
        <w:rPr>
          <w:lang w:val="en-US"/>
        </w:rPr>
        <w:t xml:space="preserve"> if</w:t>
      </w:r>
      <w:r w:rsidR="00C5287C" w:rsidRPr="008C0CFC">
        <w:rPr>
          <w:lang w:val="en-US"/>
        </w:rPr>
        <w:t xml:space="preserve"> </w:t>
      </w:r>
      <m:oMath>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RB,min</m:t>
            </m:r>
          </m:sub>
          <m:sup>
            <m:r>
              <m:rPr>
                <m:nor/>
              </m:rPr>
              <w:rPr>
                <w:rFonts w:ascii="Cambria Math"/>
              </w:rPr>
              <m:t>PUCCH</m:t>
            </m:r>
          </m:sup>
        </m:sSubSup>
      </m:oMath>
      <w:r w:rsidR="00C5287C">
        <w:t xml:space="preserve"> </w:t>
      </w:r>
      <w:r w:rsidR="00C5287C" w:rsidRPr="008C0CFC">
        <w:rPr>
          <w:lang w:val="en-US"/>
        </w:rPr>
        <w:t xml:space="preserve">is not equal </w:t>
      </w:r>
      <m:oMath>
        <m:sSup>
          <m:sSupPr>
            <m:ctrlPr>
              <w:rPr>
                <w:rFonts w:ascii="Cambria Math" w:hAnsi="Cambria Math"/>
                <w:i/>
                <w:lang w:val="en-US"/>
              </w:rPr>
            </m:ctrlPr>
          </m:sSupPr>
          <m:e>
            <m:r>
              <w:rPr>
                <w:rFonts w:ascii="Cambria Math" w:hAnsi="Cambria Math"/>
                <w:lang w:val="en-US"/>
              </w:rPr>
              <m:t>2</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sup>
        </m:sSup>
        <m:r>
          <w:rPr>
            <w:rFonts w:ascii="Cambria Math" w:hAnsi="Cambria Math" w:cs="Cambria Math"/>
          </w:rPr>
          <m:t>⋅</m:t>
        </m:r>
        <m:sSup>
          <m:sSupPr>
            <m:ctrlPr>
              <w:rPr>
                <w:rFonts w:ascii="Cambria Math" w:hAnsi="Cambria Math"/>
                <w:i/>
                <w:lang w:val="en-US"/>
              </w:rPr>
            </m:ctrlPr>
          </m:sSupPr>
          <m:e>
            <m:r>
              <w:rPr>
                <w:rFonts w:ascii="Cambria Math" w:hAnsi="Cambria Math"/>
                <w:lang w:val="en-US"/>
              </w:rPr>
              <m:t>3</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3</m:t>
                </m:r>
              </m:sub>
            </m:sSub>
          </m:sup>
        </m:sSup>
        <m:r>
          <w:rPr>
            <w:rFonts w:ascii="Cambria Math" w:hAnsi="Cambria Math" w:cs="Cambria Math"/>
          </w:rPr>
          <m:t>⋅</m:t>
        </m:r>
        <m:sSup>
          <m:sSupPr>
            <m:ctrlPr>
              <w:rPr>
                <w:rFonts w:ascii="Cambria Math" w:hAnsi="Cambria Math"/>
                <w:i/>
                <w:lang w:val="en-US"/>
              </w:rPr>
            </m:ctrlPr>
          </m:sSupPr>
          <m:e>
            <m:r>
              <w:rPr>
                <w:rFonts w:ascii="Cambria Math" w:hAnsi="Cambria Math"/>
                <w:lang w:val="en-US"/>
              </w:rPr>
              <m:t>5</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5</m:t>
                </m:r>
              </m:sub>
            </m:sSub>
          </m:sup>
        </m:sSup>
      </m:oMath>
      <w:r w:rsidR="00C5287C">
        <w:rPr>
          <w:lang w:val="en-US"/>
        </w:rPr>
        <w:t xml:space="preserve"> </w:t>
      </w:r>
      <w:r w:rsidR="00C5287C" w:rsidRPr="008C0CFC">
        <w:rPr>
          <w:lang w:val="en-US"/>
        </w:rPr>
        <w:t xml:space="preserve">according to [4, TS 38.211], </w:t>
      </w:r>
      <m:oMath>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RB,min</m:t>
            </m:r>
          </m:sub>
          <m:sup>
            <m:r>
              <m:rPr>
                <m:nor/>
              </m:rPr>
              <w:rPr>
                <w:rFonts w:ascii="Cambria Math"/>
              </w:rPr>
              <m:t>PUCCH</m:t>
            </m:r>
          </m:sup>
        </m:sSubSup>
      </m:oMath>
      <w:r w:rsidR="00C5287C">
        <w:rPr>
          <w:lang w:val="en-US"/>
        </w:rPr>
        <w:t xml:space="preserve"> </w:t>
      </w:r>
      <w:r w:rsidR="00C5287C" w:rsidRPr="008C0CFC">
        <w:rPr>
          <w:lang w:val="en-US"/>
        </w:rPr>
        <w:t xml:space="preserve">is increased to the nearest allowed value of </w:t>
      </w:r>
      <w:r w:rsidR="00C5287C" w:rsidRPr="008C0CFC">
        <w:rPr>
          <w:i/>
          <w:iCs/>
          <w:lang w:val="en-US"/>
        </w:rPr>
        <w:t xml:space="preserve">nrofPRBs </w:t>
      </w:r>
      <w:r w:rsidR="00C5287C" w:rsidRPr="008C0CFC">
        <w:rPr>
          <w:lang w:val="en-US"/>
        </w:rPr>
        <w:t>[12, TS 38.331].</w:t>
      </w:r>
      <w:r w:rsidR="00C5287C">
        <w:rPr>
          <w:lang w:val="en-US"/>
        </w:rPr>
        <w:t xml:space="preserve"> </w:t>
      </w:r>
      <w:r>
        <w:rPr>
          <w:lang w:val="en-US"/>
        </w:rPr>
        <w:t xml:space="preserve">If </w:t>
      </w:r>
      <m:oMath>
        <m:d>
          <m:dPr>
            <m:ctrlPr>
              <w:rPr>
                <w:rFonts w:ascii="Cambria Math" w:hAnsi="Cambria Math"/>
                <w:i/>
              </w:rPr>
            </m:ctrlPr>
          </m:dPr>
          <m:e>
            <m:sSub>
              <m:sSubPr>
                <m:ctrlPr>
                  <w:rPr>
                    <w:rFonts w:ascii="Cambria Math" w:hAnsi="Cambria Math"/>
                    <w:i/>
                  </w:rPr>
                </m:ctrlPr>
              </m:sSubPr>
              <m:e>
                <m:r>
                  <w:rPr>
                    <w:rFonts w:ascii="Cambria Math"/>
                  </w:rPr>
                  <m:t>O</m:t>
                </m:r>
              </m:e>
              <m:sub>
                <m:r>
                  <m:rPr>
                    <m:nor/>
                  </m:rPr>
                  <w:rPr>
                    <w:rFonts w:ascii="Cambria Math"/>
                  </w:rPr>
                  <m:t>ACK</m:t>
                </m:r>
                <m:ctrlPr>
                  <w:rPr>
                    <w:rFonts w:ascii="Cambria Math" w:hAnsi="Cambria Math"/>
                  </w:rPr>
                </m:ctrlPr>
              </m:sub>
            </m:sSub>
            <m:r>
              <w:rPr>
                <w:rFonts w:ascii="Cambria Math"/>
              </w:rPr>
              <m:t>+</m:t>
            </m:r>
            <m:sSub>
              <m:sSubPr>
                <m:ctrlPr>
                  <w:rPr>
                    <w:rFonts w:ascii="Cambria Math" w:hAnsi="Cambria Math"/>
                    <w:i/>
                  </w:rPr>
                </m:ctrlPr>
              </m:sSubPr>
              <m:e>
                <m:r>
                  <w:rPr>
                    <w:rFonts w:ascii="Cambria Math"/>
                  </w:rPr>
                  <m:t>O</m:t>
                </m:r>
              </m:e>
              <m:sub>
                <m:r>
                  <m:rPr>
                    <m:nor/>
                  </m:rPr>
                  <w:rPr>
                    <w:rFonts w:ascii="Cambria Math"/>
                  </w:rPr>
                  <m:t>CRC</m:t>
                </m:r>
                <m:ctrlPr>
                  <w:rPr>
                    <w:rFonts w:ascii="Cambria Math" w:hAnsi="Cambria Math"/>
                  </w:rPr>
                </m:ctrlPr>
              </m:sub>
            </m:sSub>
          </m:e>
        </m:d>
        <m:r>
          <w:rPr>
            <w:rFonts w:ascii="Cambria Math"/>
          </w:rPr>
          <m:t>&gt;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t>
                </m:r>
              </m:sub>
              <m:sup>
                <m:r>
                  <m:rPr>
                    <m:nor/>
                  </m:rPr>
                  <w:rPr>
                    <w:rFonts w:ascii="Cambria Math"/>
                  </w:rPr>
                  <m:t>PUCCH</m:t>
                </m:r>
              </m:sup>
            </m:sSubSup>
            <m:r>
              <w:rPr>
                <w:rFonts w:ascii="Cambria Math" w:hAnsi="Cambria Math"/>
                <w:lang w:val="en-US"/>
              </w:rPr>
              <m:t>-1</m:t>
            </m:r>
          </m:e>
        </m:d>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sc,ctrl</m:t>
            </m:r>
            <m:ctrlPr>
              <w:rPr>
                <w:rFonts w:ascii="Cambria Math" w:hAnsi="Cambria Math"/>
              </w:rPr>
            </m:ctrlPr>
          </m:sub>
          <m:sup>
            <m:r>
              <m:rPr>
                <m:nor/>
              </m:rPr>
              <w:rPr>
                <w:rFonts w:ascii="Cambria Math"/>
              </w:rPr>
              <m:t>RB</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symb-UCI</m:t>
            </m:r>
            <m:ctrlPr>
              <w:rPr>
                <w:rFonts w:ascii="Cambria Math" w:hAnsi="Cambria Math"/>
              </w:rPr>
            </m:ctrlPr>
          </m:sub>
          <m:sup>
            <m:r>
              <m:rPr>
                <m:nor/>
              </m:rPr>
              <w:rPr>
                <w:rFonts w:ascii="Cambria Math"/>
              </w:rPr>
              <m:t>PUCCH</m:t>
            </m:r>
            <m:ctrlPr>
              <w:rPr>
                <w:rFonts w:ascii="Cambria Math" w:hAnsi="Cambria Math"/>
              </w:rPr>
            </m:ctrlPr>
          </m:sup>
        </m:sSubSup>
        <m:r>
          <w:rPr>
            <w:rFonts w:ascii="Cambria Math" w:hAnsi="Cambria Math" w:cs="Cambria Math"/>
          </w:rPr>
          <m:t>⋅</m:t>
        </m:r>
        <m:sSub>
          <m:sSubPr>
            <m:ctrlPr>
              <w:rPr>
                <w:rFonts w:ascii="Cambria Math" w:hAnsi="Cambria Math"/>
                <w:i/>
              </w:rPr>
            </m:ctrlPr>
          </m:sSubPr>
          <m:e>
            <m:r>
              <w:rPr>
                <w:rFonts w:ascii="Cambria Math"/>
              </w:rPr>
              <m:t>Q</m:t>
            </m:r>
          </m:e>
          <m:sub>
            <m:r>
              <w:rPr>
                <w:rFonts w:ascii="Cambria Math"/>
              </w:rPr>
              <m:t>m</m:t>
            </m:r>
          </m:sub>
        </m:sSub>
        <m:r>
          <w:rPr>
            <w:rFonts w:ascii="Cambria Math" w:hAnsi="Cambria Math" w:cs="Cambria Math"/>
          </w:rPr>
          <m:t>⋅</m:t>
        </m:r>
        <m:r>
          <w:rPr>
            <w:rFonts w:ascii="Cambria Math"/>
          </w:rPr>
          <m:t>r</m:t>
        </m:r>
      </m:oMath>
      <w:r>
        <w:rPr>
          <w:lang w:val="en-US"/>
        </w:rPr>
        <w:t xml:space="preserve">, the UE transmits the PUCCH over </w:t>
      </w:r>
      <m:oMath>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t>
            </m:r>
          </m:sub>
          <m:sup>
            <m:r>
              <m:rPr>
                <m:nor/>
              </m:rPr>
              <w:rPr>
                <w:rFonts w:ascii="Cambria Math"/>
              </w:rPr>
              <m:t>PUCCH</m:t>
            </m:r>
          </m:sup>
        </m:sSubSup>
      </m:oMath>
      <w:r>
        <w:rPr>
          <w:lang w:val="en-US"/>
        </w:rPr>
        <w:t xml:space="preserve"> PRBs.</w:t>
      </w:r>
    </w:p>
    <w:p w14:paraId="7AC11CD1" w14:textId="4284D426" w:rsidR="00940AB3" w:rsidRPr="00B916EC" w:rsidRDefault="00940AB3" w:rsidP="00375708">
      <w:pPr>
        <w:rPr>
          <w:lang w:val="en-US"/>
        </w:rPr>
      </w:pPr>
      <w:r w:rsidRPr="00B916EC">
        <w:rPr>
          <w:lang w:val="en-US"/>
        </w:rPr>
        <w:t xml:space="preserve">If a UE </w:t>
      </w:r>
      <w:r>
        <w:rPr>
          <w:lang w:val="en-US"/>
        </w:rPr>
        <w:t xml:space="preserve">is provided a first interlace of </w:t>
      </w:r>
      <m:oMath>
        <m:sSubSup>
          <m:sSubSupPr>
            <m:ctrlPr>
              <w:rPr>
                <w:rFonts w:ascii="Cambria Math" w:hAnsi="Cambria Math"/>
                <w:i/>
              </w:rPr>
            </m:ctrlPr>
          </m:sSubSupPr>
          <m:e>
            <m:r>
              <w:rPr>
                <w:rFonts w:ascii="Cambria Math"/>
              </w:rPr>
              <m:t>M</m:t>
            </m:r>
          </m:e>
          <m:sub>
            <m:r>
              <m:rPr>
                <m:nor/>
              </m:rPr>
              <w:rPr>
                <w:rFonts w:ascii="Cambria Math"/>
              </w:rPr>
              <m:t>Interlace,0</m:t>
            </m:r>
            <m:ctrlPr>
              <w:rPr>
                <w:rFonts w:ascii="Cambria Math" w:hAnsi="Cambria Math"/>
              </w:rPr>
            </m:ctrlPr>
          </m:sub>
          <m:sup>
            <m:r>
              <m:rPr>
                <m:nor/>
              </m:rPr>
              <w:rPr>
                <w:rFonts w:ascii="Cambria Math"/>
              </w:rPr>
              <m:t>PUCCH</m:t>
            </m:r>
            <m:ctrlPr>
              <w:rPr>
                <w:rFonts w:ascii="Cambria Math" w:hAnsi="Cambria Math"/>
              </w:rPr>
            </m:ctrlPr>
          </m:sup>
        </m:sSubSup>
      </m:oMath>
      <w:r>
        <w:t xml:space="preserve"> PRBs </w:t>
      </w:r>
      <w:r>
        <w:rPr>
          <w:lang w:val="en-US"/>
        </w:rPr>
        <w:t xml:space="preserve">by </w:t>
      </w:r>
      <w:r w:rsidRPr="00284693">
        <w:rPr>
          <w:i/>
        </w:rPr>
        <w:t>interlace0</w:t>
      </w:r>
      <w:r>
        <w:t xml:space="preserve"> in </w:t>
      </w:r>
      <w:r w:rsidRPr="00284693">
        <w:rPr>
          <w:i/>
        </w:rPr>
        <w:t>InterlaceAllocation</w:t>
      </w:r>
      <w:r w:rsidRPr="00DD0BB1">
        <w:t xml:space="preserve"> </w:t>
      </w:r>
      <w:r>
        <w:rPr>
          <w:lang w:val="en-US"/>
        </w:rPr>
        <w:t xml:space="preserve">and </w:t>
      </w:r>
      <w:r w:rsidRPr="00B916EC">
        <w:rPr>
          <w:lang w:val="en-US"/>
        </w:rPr>
        <w:t>transmits</w:t>
      </w:r>
      <w:r>
        <w:rPr>
          <w:lang w:val="en-US"/>
        </w:rPr>
        <w:t xml:space="preserve"> a PUCCH with</w:t>
      </w:r>
      <w:r w:rsidRPr="00B916EC">
        <w:rPr>
          <w:lang w:val="en-US"/>
        </w:rPr>
        <w:t xml:space="preserve"> </w:t>
      </w:r>
      <m:oMath>
        <m:sSub>
          <m:sSubPr>
            <m:ctrlPr>
              <w:rPr>
                <w:rFonts w:ascii="Cambria Math" w:hAnsi="Cambria Math"/>
                <w:i/>
              </w:rPr>
            </m:ctrlPr>
          </m:sSubPr>
          <m:e>
            <m:r>
              <w:rPr>
                <w:rFonts w:ascii="Cambria Math"/>
              </w:rPr>
              <m:t>O</m:t>
            </m:r>
          </m:e>
          <m:sub>
            <m:r>
              <m:rPr>
                <m:nor/>
              </m:rPr>
              <w:rPr>
                <w:rFonts w:ascii="Cambria Math"/>
              </w:rPr>
              <m:t>ACK</m:t>
            </m:r>
            <m:ctrlPr>
              <w:rPr>
                <w:rFonts w:ascii="Cambria Math" w:hAnsi="Cambria Math"/>
              </w:rPr>
            </m:ctrlPr>
          </m:sub>
        </m:sSub>
      </m:oMath>
      <w:r>
        <w:t xml:space="preserve"> </w:t>
      </w:r>
      <w:r w:rsidRPr="00B916EC">
        <w:rPr>
          <w:lang w:val="en-US"/>
        </w:rPr>
        <w:t>HARQ-ACK</w:t>
      </w:r>
      <w:r w:rsidRPr="000A6819">
        <w:rPr>
          <w:lang w:val="en-US"/>
        </w:rPr>
        <w:t xml:space="preserve"> </w:t>
      </w:r>
      <w:r>
        <w:rPr>
          <w:lang w:val="en-US"/>
        </w:rPr>
        <w:t>information</w:t>
      </w:r>
      <w:r w:rsidRPr="00B916EC">
        <w:rPr>
          <w:lang w:val="en-US"/>
        </w:rPr>
        <w:t xml:space="preserve"> bits and </w:t>
      </w:r>
      <m:oMath>
        <m:sSub>
          <m:sSubPr>
            <m:ctrlPr>
              <w:rPr>
                <w:rFonts w:ascii="Cambria Math" w:hAnsi="Cambria Math"/>
                <w:i/>
              </w:rPr>
            </m:ctrlPr>
          </m:sSubPr>
          <m:e>
            <m:r>
              <w:rPr>
                <w:rFonts w:ascii="Cambria Math"/>
              </w:rPr>
              <m:t>O</m:t>
            </m:r>
          </m:e>
          <m:sub>
            <m:r>
              <m:rPr>
                <m:nor/>
              </m:rPr>
              <w:rPr>
                <w:rFonts w:ascii="Cambria Math"/>
              </w:rPr>
              <m:t>CRC</m:t>
            </m:r>
            <m:ctrlPr>
              <w:rPr>
                <w:rFonts w:ascii="Cambria Math" w:hAnsi="Cambria Math"/>
              </w:rPr>
            </m:ctrlPr>
          </m:sub>
        </m:sSub>
      </m:oMath>
      <w:r w:rsidRPr="00B916EC">
        <w:rPr>
          <w:lang w:val="en-US"/>
        </w:rPr>
        <w:t xml:space="preserve"> bits using PUCCH format 2 or PUCCH format 3, </w:t>
      </w:r>
      <w:r>
        <w:rPr>
          <w:lang w:val="en-US"/>
        </w:rPr>
        <w:t xml:space="preserve">the UE transmits the PUCCH over the first interlace if </w:t>
      </w:r>
      <m:oMath>
        <m:d>
          <m:dPr>
            <m:ctrlPr>
              <w:rPr>
                <w:rFonts w:ascii="Cambria Math" w:hAnsi="Cambria Math"/>
                <w:i/>
              </w:rPr>
            </m:ctrlPr>
          </m:dPr>
          <m:e>
            <m:sSub>
              <m:sSubPr>
                <m:ctrlPr>
                  <w:rPr>
                    <w:rFonts w:ascii="Cambria Math" w:hAnsi="Cambria Math"/>
                    <w:i/>
                  </w:rPr>
                </m:ctrlPr>
              </m:sSubPr>
              <m:e>
                <m:r>
                  <w:rPr>
                    <w:rFonts w:ascii="Cambria Math"/>
                  </w:rPr>
                  <m:t>O</m:t>
                </m:r>
              </m:e>
              <m:sub>
                <m:r>
                  <m:rPr>
                    <m:nor/>
                  </m:rPr>
                  <w:rPr>
                    <w:rFonts w:ascii="Cambria Math"/>
                  </w:rPr>
                  <m:t>ACK</m:t>
                </m:r>
                <m:ctrlPr>
                  <w:rPr>
                    <w:rFonts w:ascii="Cambria Math" w:hAnsi="Cambria Math"/>
                  </w:rPr>
                </m:ctrlPr>
              </m:sub>
            </m:sSub>
            <m:r>
              <w:rPr>
                <w:rFonts w:ascii="Cambria Math"/>
              </w:rPr>
              <m:t>+</m:t>
            </m:r>
            <m:sSub>
              <m:sSubPr>
                <m:ctrlPr>
                  <w:rPr>
                    <w:rFonts w:ascii="Cambria Math" w:hAnsi="Cambria Math"/>
                    <w:i/>
                  </w:rPr>
                </m:ctrlPr>
              </m:sSubPr>
              <m:e>
                <m:r>
                  <w:rPr>
                    <w:rFonts w:ascii="Cambria Math"/>
                  </w:rPr>
                  <m:t>O</m:t>
                </m:r>
              </m:e>
              <m:sub>
                <m:r>
                  <m:rPr>
                    <m:nor/>
                  </m:rPr>
                  <w:rPr>
                    <w:rFonts w:ascii="Cambria Math"/>
                  </w:rPr>
                  <m:t>CRC</m:t>
                </m:r>
                <m:ctrlPr>
                  <w:rPr>
                    <w:rFonts w:ascii="Cambria Math" w:hAnsi="Cambria Math"/>
                  </w:rPr>
                </m:ctrlPr>
              </m:sub>
            </m:sSub>
          </m:e>
        </m:d>
        <m:r>
          <w:rPr>
            <w:rFonts w:ascii="Cambria Math"/>
          </w:rPr>
          <m:t>≤</m:t>
        </m:r>
        <m:sSubSup>
          <m:sSubSupPr>
            <m:ctrlPr>
              <w:rPr>
                <w:rFonts w:ascii="Cambria Math" w:hAnsi="Cambria Math"/>
                <w:i/>
              </w:rPr>
            </m:ctrlPr>
          </m:sSubSupPr>
          <m:e>
            <m:r>
              <w:rPr>
                <w:rFonts w:ascii="Cambria Math"/>
              </w:rPr>
              <m:t>M</m:t>
            </m:r>
          </m:e>
          <m:sub>
            <m:r>
              <m:rPr>
                <m:nor/>
              </m:rPr>
              <w:rPr>
                <w:rFonts w:ascii="Cambria Math"/>
              </w:rPr>
              <m:t>Interlace,0</m:t>
            </m:r>
            <m:ctrlPr>
              <w:rPr>
                <w:rFonts w:ascii="Cambria Math" w:hAnsi="Cambria Math"/>
              </w:rPr>
            </m:ctrlPr>
          </m:sub>
          <m:sup>
            <m:r>
              <m:rPr>
                <m:nor/>
              </m:rPr>
              <w:rPr>
                <w:rFonts w:ascii="Cambria Math"/>
              </w:rPr>
              <m:t>PUCCH</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sc,ctrl</m:t>
            </m:r>
            <m:ctrlPr>
              <w:rPr>
                <w:rFonts w:ascii="Cambria Math" w:hAnsi="Cambria Math"/>
              </w:rPr>
            </m:ctrlPr>
          </m:sub>
          <m:sup>
            <m:r>
              <m:rPr>
                <m:nor/>
              </m:rPr>
              <w:rPr>
                <w:rFonts w:ascii="Cambria Math"/>
              </w:rPr>
              <m:t>RB</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symb-UCI</m:t>
            </m:r>
            <m:ctrlPr>
              <w:rPr>
                <w:rFonts w:ascii="Cambria Math" w:hAnsi="Cambria Math"/>
              </w:rPr>
            </m:ctrlPr>
          </m:sub>
          <m:sup>
            <m:r>
              <m:rPr>
                <m:nor/>
              </m:rPr>
              <w:rPr>
                <w:rFonts w:ascii="Cambria Math"/>
              </w:rPr>
              <m:t>PUCCH</m:t>
            </m:r>
            <m:ctrlPr>
              <w:rPr>
                <w:rFonts w:ascii="Cambria Math" w:hAnsi="Cambria Math"/>
              </w:rPr>
            </m:ctrlPr>
          </m:sup>
        </m:sSubSup>
        <m:r>
          <w:rPr>
            <w:rFonts w:ascii="Cambria Math" w:hAnsi="Cambria Math" w:cs="Cambria Math"/>
          </w:rPr>
          <m:t>⋅</m:t>
        </m:r>
        <m:sSub>
          <m:sSubPr>
            <m:ctrlPr>
              <w:rPr>
                <w:rFonts w:ascii="Cambria Math" w:hAnsi="Cambria Math"/>
                <w:i/>
              </w:rPr>
            </m:ctrlPr>
          </m:sSubPr>
          <m:e>
            <m:r>
              <w:rPr>
                <w:rFonts w:ascii="Cambria Math"/>
              </w:rPr>
              <m:t>Q</m:t>
            </m:r>
          </m:e>
          <m:sub>
            <m:r>
              <w:rPr>
                <w:rFonts w:ascii="Cambria Math"/>
              </w:rPr>
              <m:t>m</m:t>
            </m:r>
          </m:sub>
        </m:sSub>
        <m:r>
          <w:rPr>
            <w:rFonts w:ascii="Cambria Math" w:hAnsi="Cambria Math" w:cs="Cambria Math"/>
          </w:rPr>
          <m:t>⋅</m:t>
        </m:r>
        <m:r>
          <w:rPr>
            <w:rFonts w:ascii="Cambria Math"/>
          </w:rPr>
          <m:t>r</m:t>
        </m:r>
      </m:oMath>
      <w:r>
        <w:rPr>
          <w:lang w:val="en-US"/>
        </w:rPr>
        <w:t xml:space="preserve">; otherwise, if the UE is provided a second interlace by </w:t>
      </w:r>
      <w:r w:rsidRPr="00284693">
        <w:rPr>
          <w:i/>
        </w:rPr>
        <w:t>interlace1</w:t>
      </w:r>
      <w:r>
        <w:t xml:space="preserve"> in </w:t>
      </w:r>
      <w:r w:rsidRPr="00284693">
        <w:rPr>
          <w:i/>
        </w:rPr>
        <w:t>PUCCH-format2</w:t>
      </w:r>
      <w:r w:rsidRPr="00284693">
        <w:t xml:space="preserve"> </w:t>
      </w:r>
      <w:r>
        <w:t>or</w:t>
      </w:r>
      <w:r w:rsidRPr="00284693">
        <w:t xml:space="preserve"> </w:t>
      </w:r>
      <w:r w:rsidRPr="00284693">
        <w:rPr>
          <w:i/>
        </w:rPr>
        <w:t>PUCCH-format3</w:t>
      </w:r>
      <w:r>
        <w:t xml:space="preserve">, </w:t>
      </w:r>
      <w:r>
        <w:rPr>
          <w:lang w:val="en-US"/>
        </w:rPr>
        <w:t>the UE transmits the PUCCH over the first and second interlaces.</w:t>
      </w:r>
    </w:p>
    <w:p w14:paraId="0A1F3BF8" w14:textId="77777777" w:rsidR="0047792D" w:rsidRPr="00B916EC" w:rsidRDefault="0047792D" w:rsidP="0047792D">
      <w:pPr>
        <w:pStyle w:val="Heading3"/>
      </w:pPr>
      <w:bookmarkStart w:id="567" w:name="_Toc12021479"/>
      <w:bookmarkStart w:id="568" w:name="_Toc20311591"/>
      <w:bookmarkStart w:id="569" w:name="_Toc26719416"/>
      <w:bookmarkStart w:id="570" w:name="_Toc29894851"/>
      <w:bookmarkStart w:id="571" w:name="_Toc29899150"/>
      <w:bookmarkStart w:id="572" w:name="_Toc29899568"/>
      <w:bookmarkStart w:id="573" w:name="_Toc29917305"/>
      <w:bookmarkStart w:id="574" w:name="_Toc36498179"/>
      <w:bookmarkStart w:id="575" w:name="_Toc45699205"/>
      <w:bookmarkStart w:id="576" w:name="_Toc161999132"/>
      <w:r w:rsidRPr="00B916EC">
        <w:t>9.2.</w:t>
      </w:r>
      <w:r w:rsidR="006B73A1" w:rsidRPr="00B916EC">
        <w:t>4</w:t>
      </w:r>
      <w:r w:rsidRPr="00B916EC">
        <w:tab/>
        <w:t>UE procedure for reporting SR</w:t>
      </w:r>
      <w:bookmarkEnd w:id="567"/>
      <w:bookmarkEnd w:id="568"/>
      <w:bookmarkEnd w:id="569"/>
      <w:bookmarkEnd w:id="570"/>
      <w:bookmarkEnd w:id="571"/>
      <w:bookmarkEnd w:id="572"/>
      <w:bookmarkEnd w:id="573"/>
      <w:bookmarkEnd w:id="574"/>
      <w:bookmarkEnd w:id="575"/>
      <w:bookmarkEnd w:id="576"/>
    </w:p>
    <w:p w14:paraId="530CBA51" w14:textId="3B3DE81E" w:rsidR="00535966" w:rsidRDefault="00FD531D" w:rsidP="00FD531D">
      <w:pPr>
        <w:rPr>
          <w:noProof/>
          <w:lang w:eastAsia="zh-CN"/>
        </w:rPr>
      </w:pPr>
      <w:r w:rsidRPr="00B916EC">
        <w:rPr>
          <w:noProof/>
          <w:lang w:eastAsia="zh-CN"/>
        </w:rPr>
        <w:t xml:space="preserve">A UE </w:t>
      </w:r>
      <w:r w:rsidR="002474FC">
        <w:rPr>
          <w:noProof/>
          <w:lang w:eastAsia="zh-CN"/>
        </w:rPr>
        <w:t>can be</w:t>
      </w:r>
      <w:r w:rsidRPr="00B916EC">
        <w:rPr>
          <w:noProof/>
          <w:lang w:eastAsia="zh-CN"/>
        </w:rPr>
        <w:t xml:space="preserve"> </w:t>
      </w:r>
      <w:r w:rsidR="00EA5807">
        <w:rPr>
          <w:noProof/>
          <w:lang w:eastAsia="zh-CN"/>
        </w:rPr>
        <w:t>provided</w:t>
      </w:r>
      <w:r w:rsidRPr="00B916EC">
        <w:rPr>
          <w:noProof/>
          <w:lang w:eastAsia="zh-CN"/>
        </w:rPr>
        <w:t xml:space="preserve"> by </w:t>
      </w:r>
      <w:r w:rsidRPr="00E2226C">
        <w:rPr>
          <w:i/>
          <w:noProof/>
          <w:lang w:eastAsia="zh-CN"/>
        </w:rPr>
        <w:t>SchedulingRequestResourceConfig</w:t>
      </w:r>
      <w:r w:rsidRPr="00B916EC">
        <w:rPr>
          <w:noProof/>
          <w:lang w:eastAsia="zh-CN"/>
        </w:rPr>
        <w:t xml:space="preserve"> a set of configurations for SR</w:t>
      </w:r>
      <w:r>
        <w:rPr>
          <w:noProof/>
          <w:lang w:eastAsia="zh-CN"/>
        </w:rPr>
        <w:t xml:space="preserve"> in a PUCCH transmission </w:t>
      </w:r>
      <w:r w:rsidRPr="00B916EC">
        <w:rPr>
          <w:noProof/>
          <w:lang w:eastAsia="zh-CN"/>
        </w:rPr>
        <w:t>using either PUCCH format 0 or PUCCH format 1.</w:t>
      </w:r>
      <w:r w:rsidR="002474FC">
        <w:rPr>
          <w:noProof/>
          <w:lang w:eastAsia="zh-CN"/>
        </w:rPr>
        <w:t xml:space="preserve"> </w:t>
      </w:r>
    </w:p>
    <w:p w14:paraId="294647D5" w14:textId="33A3E1DF" w:rsidR="00535966" w:rsidRPr="00F415B1" w:rsidRDefault="002474FC" w:rsidP="00535966">
      <w:pPr>
        <w:rPr>
          <w:noProof/>
          <w:lang w:eastAsia="zh-CN"/>
        </w:rPr>
      </w:pPr>
      <w:r w:rsidRPr="00B916EC">
        <w:rPr>
          <w:noProof/>
          <w:lang w:eastAsia="zh-CN"/>
        </w:rPr>
        <w:lastRenderedPageBreak/>
        <w:t xml:space="preserve">A UE </w:t>
      </w:r>
      <w:r>
        <w:rPr>
          <w:noProof/>
          <w:lang w:eastAsia="zh-CN"/>
        </w:rPr>
        <w:t>can be</w:t>
      </w:r>
      <w:r w:rsidRPr="00B916EC">
        <w:rPr>
          <w:noProof/>
          <w:lang w:eastAsia="zh-CN"/>
        </w:rPr>
        <w:t xml:space="preserve"> </w:t>
      </w:r>
      <w:r w:rsidR="00EA5807">
        <w:rPr>
          <w:noProof/>
          <w:lang w:eastAsia="zh-CN"/>
        </w:rPr>
        <w:t>provided</w:t>
      </w:r>
      <w:r w:rsidRPr="00B916EC">
        <w:rPr>
          <w:noProof/>
          <w:lang w:eastAsia="zh-CN"/>
        </w:rPr>
        <w:t xml:space="preserve"> by </w:t>
      </w:r>
      <w:r w:rsidR="00BF00CC" w:rsidRPr="0008351E">
        <w:rPr>
          <w:i/>
          <w:color w:val="000000"/>
        </w:rPr>
        <w:t>schedulingRequestID</w:t>
      </w:r>
      <w:r w:rsidR="00BF00CC">
        <w:rPr>
          <w:i/>
          <w:color w:val="000000"/>
        </w:rPr>
        <w:t>-</w:t>
      </w:r>
      <w:r w:rsidR="00BF00CC" w:rsidRPr="0008351E">
        <w:rPr>
          <w:i/>
          <w:color w:val="000000"/>
        </w:rPr>
        <w:t>BFR</w:t>
      </w:r>
      <w:r w:rsidR="00BF00CC">
        <w:rPr>
          <w:i/>
          <w:color w:val="000000"/>
        </w:rPr>
        <w:t>-SCell</w:t>
      </w:r>
      <w:r w:rsidRPr="00B916EC">
        <w:rPr>
          <w:noProof/>
          <w:lang w:eastAsia="zh-CN"/>
        </w:rPr>
        <w:t xml:space="preserve"> a configuration for </w:t>
      </w:r>
      <w:r>
        <w:rPr>
          <w:noProof/>
          <w:lang w:eastAsia="zh-CN"/>
        </w:rPr>
        <w:t xml:space="preserve">LRR in a PUCCH transmission </w:t>
      </w:r>
      <w:r w:rsidRPr="00B916EC">
        <w:rPr>
          <w:noProof/>
          <w:lang w:eastAsia="zh-CN"/>
        </w:rPr>
        <w:t>using either PUCCH format 0 or PUCCH format 1.</w:t>
      </w:r>
      <w:r w:rsidR="00FD531D">
        <w:rPr>
          <w:noProof/>
          <w:lang w:eastAsia="zh-CN"/>
        </w:rPr>
        <w:t xml:space="preserve"> </w:t>
      </w:r>
    </w:p>
    <w:p w14:paraId="3F9252A7" w14:textId="69A34A20" w:rsidR="00535966" w:rsidRDefault="00535966" w:rsidP="00FD531D">
      <w:pPr>
        <w:rPr>
          <w:noProof/>
        </w:rPr>
      </w:pPr>
      <w:r w:rsidRPr="00F415B1">
        <w:rPr>
          <w:noProof/>
        </w:rPr>
        <w:t xml:space="preserve">A UE can be </w:t>
      </w:r>
      <w:r w:rsidR="00EA5807">
        <w:rPr>
          <w:noProof/>
          <w:lang w:eastAsia="zh-CN"/>
        </w:rPr>
        <w:t>provided</w:t>
      </w:r>
      <w:r w:rsidRPr="00F415B1">
        <w:rPr>
          <w:noProof/>
        </w:rPr>
        <w:t xml:space="preserve"> by </w:t>
      </w:r>
      <w:r w:rsidRPr="00F415B1">
        <w:rPr>
          <w:i/>
          <w:noProof/>
        </w:rPr>
        <w:t>schedulingRequestID</w:t>
      </w:r>
      <w:r w:rsidR="00EA5807">
        <w:rPr>
          <w:i/>
          <w:noProof/>
        </w:rPr>
        <w:t>-</w:t>
      </w:r>
      <w:r w:rsidRPr="00F415B1">
        <w:rPr>
          <w:i/>
          <w:noProof/>
        </w:rPr>
        <w:t>BFR</w:t>
      </w:r>
      <w:r w:rsidRPr="00F415B1">
        <w:rPr>
          <w:noProof/>
        </w:rPr>
        <w:t xml:space="preserve"> a first configuration for LRR and, if the UE provides </w:t>
      </w:r>
      <w:r w:rsidRPr="00F415B1">
        <w:rPr>
          <w:i/>
          <w:noProof/>
        </w:rPr>
        <w:t>twoLRRcapability</w:t>
      </w:r>
      <w:r w:rsidRPr="00F415B1">
        <w:rPr>
          <w:noProof/>
        </w:rPr>
        <w:t xml:space="preserve">, </w:t>
      </w:r>
      <w:r w:rsidR="00EA5807" w:rsidRPr="00196686">
        <w:t xml:space="preserve">the UE can be provided by </w:t>
      </w:r>
      <w:r w:rsidR="00EA5807" w:rsidRPr="00196686">
        <w:rPr>
          <w:i/>
          <w:iCs/>
        </w:rPr>
        <w:t xml:space="preserve">schedulingRequestID-BFR2 </w:t>
      </w:r>
      <w:r w:rsidRPr="00F415B1">
        <w:rPr>
          <w:noProof/>
        </w:rPr>
        <w:t>a second configuration for LRR in a PUCCH transmission using either PUCCH format 0 or PUCCH format 1.</w:t>
      </w:r>
    </w:p>
    <w:p w14:paraId="6B4C4D2B" w14:textId="287819F1" w:rsidR="00FD531D" w:rsidRPr="00772875" w:rsidRDefault="00B833DB" w:rsidP="00FD531D">
      <w:pPr>
        <w:rPr>
          <w:lang w:val="en-US"/>
        </w:rPr>
      </w:pPr>
      <w:r>
        <w:rPr>
          <w:noProof/>
          <w:lang w:eastAsia="zh-CN"/>
        </w:rPr>
        <w:t xml:space="preserve">A UE can be </w:t>
      </w:r>
      <w:r w:rsidR="00EA5807">
        <w:rPr>
          <w:noProof/>
          <w:lang w:eastAsia="zh-CN"/>
        </w:rPr>
        <w:t>provided</w:t>
      </w:r>
      <w:r>
        <w:rPr>
          <w:noProof/>
          <w:lang w:eastAsia="zh-CN"/>
        </w:rPr>
        <w:t xml:space="preserve"> by </w:t>
      </w:r>
      <w:r>
        <w:rPr>
          <w:i/>
          <w:color w:val="000000"/>
        </w:rPr>
        <w:t>schedulingRequestID-LBT-SCell</w:t>
      </w:r>
      <w:r>
        <w:rPr>
          <w:noProof/>
          <w:lang w:eastAsia="zh-CN"/>
        </w:rPr>
        <w:t xml:space="preserve"> a configuration for </w:t>
      </w:r>
      <w:r>
        <w:rPr>
          <w:lang w:eastAsia="ko-KR"/>
        </w:rPr>
        <w:t>consistent LBT failure recovery,</w:t>
      </w:r>
      <w:r>
        <w:rPr>
          <w:noProof/>
          <w:lang w:eastAsia="zh-CN"/>
        </w:rPr>
        <w:t xml:space="preserve"> as</w:t>
      </w:r>
      <w:r>
        <w:rPr>
          <w:rFonts w:eastAsia="Malgun Gothic"/>
        </w:rPr>
        <w:t xml:space="preserve"> described in [11, TS 38.321],</w:t>
      </w:r>
      <w:r>
        <w:rPr>
          <w:noProof/>
          <w:lang w:eastAsia="zh-CN"/>
        </w:rPr>
        <w:t xml:space="preserve"> in a PUCCH transmission using either PUCCH format 0 or PUCCH format 1. </w:t>
      </w:r>
      <w:r w:rsidR="00E069D4" w:rsidRPr="00EE027F">
        <w:rPr>
          <w:noProof/>
          <w:lang w:eastAsia="zh-CN"/>
        </w:rPr>
        <w:t xml:space="preserve">The UE can be </w:t>
      </w:r>
      <w:r w:rsidR="00B17499">
        <w:rPr>
          <w:noProof/>
          <w:lang w:eastAsia="zh-CN"/>
        </w:rPr>
        <w:t>provided</w:t>
      </w:r>
      <w:r w:rsidR="00E069D4" w:rsidRPr="00EE027F">
        <w:rPr>
          <w:noProof/>
          <w:lang w:eastAsia="zh-CN"/>
        </w:rPr>
        <w:t xml:space="preserve">, by </w:t>
      </w:r>
      <w:r w:rsidR="00B17499">
        <w:rPr>
          <w:i/>
          <w:iCs/>
          <w:lang w:val="en-US"/>
        </w:rPr>
        <w:t>phy-PriorityIndex</w:t>
      </w:r>
      <w:r w:rsidR="00E069D4" w:rsidRPr="00EE027F">
        <w:rPr>
          <w:noProof/>
          <w:lang w:eastAsia="zh-CN"/>
        </w:rPr>
        <w:t xml:space="preserve"> in </w:t>
      </w:r>
      <w:r w:rsidR="00E069D4" w:rsidRPr="00EE027F">
        <w:rPr>
          <w:i/>
          <w:noProof/>
          <w:lang w:eastAsia="zh-CN"/>
        </w:rPr>
        <w:t>SchedulingRequestResourceConfig</w:t>
      </w:r>
      <w:r w:rsidR="00E069D4" w:rsidRPr="00EE027F">
        <w:rPr>
          <w:noProof/>
          <w:lang w:eastAsia="zh-CN"/>
        </w:rPr>
        <w:t xml:space="preserve">, a priority </w:t>
      </w:r>
      <w:r w:rsidR="00E069D4">
        <w:rPr>
          <w:noProof/>
          <w:lang w:eastAsia="zh-CN"/>
        </w:rPr>
        <w:t xml:space="preserve">index </w:t>
      </w:r>
      <w:r w:rsidR="00E069D4" w:rsidRPr="00EE027F">
        <w:rPr>
          <w:noProof/>
          <w:lang w:eastAsia="zh-CN"/>
        </w:rPr>
        <w:t xml:space="preserve">0 or </w:t>
      </w:r>
      <w:r w:rsidR="00E069D4">
        <w:rPr>
          <w:noProof/>
          <w:lang w:eastAsia="zh-CN"/>
        </w:rPr>
        <w:t xml:space="preserve">a </w:t>
      </w:r>
      <w:r w:rsidR="00E069D4" w:rsidRPr="00EE027F">
        <w:rPr>
          <w:noProof/>
          <w:lang w:eastAsia="zh-CN"/>
        </w:rPr>
        <w:t xml:space="preserve">priority </w:t>
      </w:r>
      <w:r w:rsidR="00E069D4">
        <w:rPr>
          <w:noProof/>
          <w:lang w:eastAsia="zh-CN"/>
        </w:rPr>
        <w:t xml:space="preserve">index </w:t>
      </w:r>
      <w:r w:rsidR="00E069D4" w:rsidRPr="00EE027F">
        <w:rPr>
          <w:noProof/>
          <w:lang w:eastAsia="zh-CN"/>
        </w:rPr>
        <w:t>1 for the SR.</w:t>
      </w:r>
      <w:r w:rsidR="00B17499">
        <w:rPr>
          <w:noProof/>
          <w:lang w:eastAsia="zh-CN"/>
        </w:rPr>
        <w:t xml:space="preserve"> If the UE is not provided a priority index for SR, the priority index is 0.</w:t>
      </w:r>
    </w:p>
    <w:p w14:paraId="69394DAD" w14:textId="4FF5F94F" w:rsidR="00FD531D" w:rsidRDefault="00FD531D" w:rsidP="00FD531D">
      <w:r>
        <w:rPr>
          <w:noProof/>
          <w:lang w:eastAsia="zh-CN"/>
        </w:rPr>
        <w:t xml:space="preserve">The UE is also </w:t>
      </w:r>
      <w:r w:rsidR="00EA5807">
        <w:rPr>
          <w:noProof/>
          <w:lang w:eastAsia="zh-CN"/>
        </w:rPr>
        <w:t>provided</w:t>
      </w:r>
      <w:r w:rsidRPr="00B916EC">
        <w:rPr>
          <w:lang w:eastAsia="zh-CN"/>
        </w:rPr>
        <w:t xml:space="preserve"> a periodicity </w:t>
      </w:r>
      <m:oMath>
        <m:sSub>
          <m:sSubPr>
            <m:ctrlPr>
              <w:rPr>
                <w:rFonts w:ascii="Cambria Math" w:hAnsi="Cambria Math"/>
                <w:i/>
                <w:lang w:eastAsia="zh-CN"/>
              </w:rPr>
            </m:ctrlPr>
          </m:sSubPr>
          <m:e>
            <m:r>
              <w:rPr>
                <w:rFonts w:ascii="Cambria Math" w:hAnsi="Cambria Math"/>
                <w:lang w:eastAsia="zh-CN"/>
              </w:rPr>
              <m:t>SR</m:t>
            </m:r>
          </m:e>
          <m:sub>
            <m:r>
              <m:rPr>
                <m:sty m:val="p"/>
              </m:rPr>
              <w:rPr>
                <w:rFonts w:ascii="Cambria Math" w:hAnsi="Cambria Math"/>
                <w:lang w:eastAsia="zh-CN"/>
              </w:rPr>
              <m:t>PERIODICITY</m:t>
            </m:r>
          </m:sub>
        </m:sSub>
      </m:oMath>
      <w:r>
        <w:t xml:space="preserve"> </w:t>
      </w:r>
      <w:r w:rsidRPr="00B916EC">
        <w:t xml:space="preserve">in symbols </w:t>
      </w:r>
      <w:r>
        <w:t xml:space="preserve">or slots </w:t>
      </w:r>
      <w:r>
        <w:rPr>
          <w:lang w:eastAsia="zh-CN"/>
        </w:rPr>
        <w:t xml:space="preserve">and </w:t>
      </w:r>
      <w:r w:rsidRPr="00B916EC">
        <w:rPr>
          <w:lang w:eastAsia="zh-CN"/>
        </w:rPr>
        <w:t xml:space="preserve">an offset </w:t>
      </w:r>
      <m:oMath>
        <m:sSub>
          <m:sSubPr>
            <m:ctrlPr>
              <w:rPr>
                <w:rFonts w:ascii="Cambria Math" w:hAnsi="Cambria Math"/>
                <w:i/>
                <w:lang w:eastAsia="zh-CN"/>
              </w:rPr>
            </m:ctrlPr>
          </m:sSubPr>
          <m:e>
            <m:r>
              <w:rPr>
                <w:rFonts w:ascii="Cambria Math" w:hAnsi="Cambria Math"/>
                <w:lang w:eastAsia="zh-CN"/>
              </w:rPr>
              <m:t>SR</m:t>
            </m:r>
          </m:e>
          <m:sub>
            <m:r>
              <m:rPr>
                <m:sty m:val="p"/>
              </m:rPr>
              <w:rPr>
                <w:rFonts w:ascii="Cambria Math" w:hAnsi="Cambria Math"/>
                <w:lang w:eastAsia="zh-CN"/>
              </w:rPr>
              <m:t>OFFSET</m:t>
            </m:r>
          </m:sub>
        </m:sSub>
      </m:oMath>
      <w:r w:rsidRPr="00B916EC">
        <w:t xml:space="preserve"> in </w:t>
      </w:r>
      <w:r>
        <w:t>slots</w:t>
      </w:r>
      <w:r w:rsidRPr="00B916EC">
        <w:t xml:space="preserve"> by </w:t>
      </w:r>
      <w:r w:rsidRPr="00F36AD1">
        <w:rPr>
          <w:i/>
        </w:rPr>
        <w:t>periodicityAndOffset</w:t>
      </w:r>
      <w:r w:rsidRPr="00B916EC">
        <w:rPr>
          <w:lang w:eastAsia="zh-CN"/>
        </w:rPr>
        <w:t xml:space="preserve"> </w:t>
      </w:r>
      <w:r w:rsidRPr="00B916EC">
        <w:t xml:space="preserve">for a PUCCH transmission conveying SR. </w:t>
      </w:r>
      <w:r>
        <w:t xml:space="preserve">If </w:t>
      </w:r>
      <m:oMath>
        <m:sSub>
          <m:sSubPr>
            <m:ctrlPr>
              <w:rPr>
                <w:rFonts w:ascii="Cambria Math" w:hAnsi="Cambria Math"/>
                <w:i/>
                <w:lang w:eastAsia="zh-CN"/>
              </w:rPr>
            </m:ctrlPr>
          </m:sSubPr>
          <m:e>
            <m:r>
              <w:rPr>
                <w:rFonts w:ascii="Cambria Math" w:hAnsi="Cambria Math"/>
                <w:lang w:eastAsia="zh-CN"/>
              </w:rPr>
              <m:t>SR</m:t>
            </m:r>
          </m:e>
          <m:sub>
            <m:r>
              <m:rPr>
                <m:sty m:val="p"/>
              </m:rPr>
              <w:rPr>
                <w:rFonts w:ascii="Cambria Math" w:hAnsi="Cambria Math"/>
                <w:lang w:eastAsia="zh-CN"/>
              </w:rPr>
              <m:t>PERIODICITY</m:t>
            </m:r>
          </m:sub>
        </m:sSub>
      </m:oMath>
      <w:r>
        <w:t xml:space="preserve"> is larger than one slot, the UE determines a </w:t>
      </w:r>
      <w:r w:rsidRPr="00605CE6">
        <w:t>SR transmission</w:t>
      </w:r>
      <w:r w:rsidRPr="000C6F83">
        <w:t xml:space="preserve"> occasion in a </w:t>
      </w:r>
      <w:r w:rsidRPr="00F94871">
        <w:t xml:space="preserve">PUCCH to be </w:t>
      </w:r>
      <w:r w:rsidRPr="00F94871">
        <w:rPr>
          <w:rFonts w:eastAsia="Yu Mincho"/>
        </w:rPr>
        <w:t>in a slot with numb</w:t>
      </w:r>
      <w:r w:rsidRPr="00F539E1">
        <w:rPr>
          <w:rFonts w:eastAsia="Yu Mincho"/>
        </w:rPr>
        <w:t xml:space="preserve">er </w:t>
      </w:r>
      <m:oMath>
        <m:sSubSup>
          <m:sSubSupPr>
            <m:ctrlPr>
              <w:rPr>
                <w:rFonts w:ascii="Cambria Math" w:eastAsia="Yu Mincho" w:hAnsi="Cambria Math"/>
                <w:i/>
              </w:rPr>
            </m:ctrlPr>
          </m:sSubSupPr>
          <m:e>
            <m:r>
              <w:rPr>
                <w:rFonts w:ascii="Cambria Math" w:eastAsia="Yu Mincho" w:hAnsi="Cambria Math"/>
              </w:rPr>
              <m:t>n</m:t>
            </m:r>
          </m:e>
          <m:sub>
            <m:r>
              <w:rPr>
                <w:rFonts w:ascii="Cambria Math" w:eastAsia="Yu Mincho" w:hAnsi="Cambria Math"/>
              </w:rPr>
              <m:t>s,f</m:t>
            </m:r>
          </m:sub>
          <m:sup>
            <m:r>
              <w:rPr>
                <w:rFonts w:ascii="Cambria Math" w:eastAsia="Yu Mincho" w:hAnsi="Cambria Math"/>
              </w:rPr>
              <m:t>μ</m:t>
            </m:r>
          </m:sup>
        </m:sSubSup>
      </m:oMath>
      <w:r w:rsidRPr="000C6F83">
        <w:t xml:space="preserve"> [4, TS 38.211] in a frame with number </w:t>
      </w:r>
      <m:oMath>
        <m:sSub>
          <m:sSubPr>
            <m:ctrlPr>
              <w:rPr>
                <w:rFonts w:ascii="Cambria Math" w:hAnsi="Cambria Math"/>
                <w:i/>
              </w:rPr>
            </m:ctrlPr>
          </m:sSubPr>
          <m:e>
            <m:r>
              <w:rPr>
                <w:rFonts w:ascii="Cambria Math" w:hAnsi="Cambria Math"/>
              </w:rPr>
              <m:t>n</m:t>
            </m:r>
          </m:e>
          <m:sub>
            <m:r>
              <w:rPr>
                <w:rFonts w:ascii="Cambria Math" w:hAnsi="Cambria Math"/>
              </w:rPr>
              <m:t>f</m:t>
            </m:r>
          </m:sub>
        </m:sSub>
      </m:oMath>
      <w:r w:rsidRPr="000C6F83">
        <w:t xml:space="preserve"> if </w:t>
      </w:r>
      <m:oMath>
        <m:d>
          <m:dPr>
            <m:ctrlPr>
              <w:rPr>
                <w:rFonts w:ascii="Cambria Math" w:hAnsi="Cambria Math"/>
                <w:i/>
              </w:rPr>
            </m:ctrlPr>
          </m:dPr>
          <m:e>
            <m:sSubSup>
              <m:sSubSupPr>
                <m:ctrlPr>
                  <w:rPr>
                    <w:rFonts w:ascii="Cambria Math" w:eastAsia="Yu Mincho" w:hAnsi="Cambria Math"/>
                    <w:i/>
                  </w:rPr>
                </m:ctrlPr>
              </m:sSubSupPr>
              <m:e>
                <m:sSub>
                  <m:sSubPr>
                    <m:ctrlPr>
                      <w:rPr>
                        <w:rFonts w:ascii="Cambria Math" w:hAnsi="Cambria Math"/>
                        <w:i/>
                      </w:rPr>
                    </m:ctrlPr>
                  </m:sSubPr>
                  <m:e>
                    <m:r>
                      <w:rPr>
                        <w:rFonts w:ascii="Cambria Math" w:hAnsi="Cambria Math"/>
                      </w:rPr>
                      <m:t>n</m:t>
                    </m:r>
                  </m:e>
                  <m:sub>
                    <m:r>
                      <w:rPr>
                        <w:rFonts w:ascii="Cambria Math" w:hAnsi="Cambria Math"/>
                      </w:rPr>
                      <m:t>f</m:t>
                    </m:r>
                  </m:sub>
                </m:sSub>
                <m:r>
                  <w:rPr>
                    <w:rFonts w:ascii="Cambria Math" w:hAnsi="Cambria Math" w:cs="Cambria Math"/>
                  </w:rPr>
                  <m:t>⋅</m:t>
                </m:r>
                <m:sSubSup>
                  <m:sSubSupPr>
                    <m:ctrlPr>
                      <w:rPr>
                        <w:rFonts w:ascii="Cambria Math" w:eastAsia="Yu Mincho" w:hAnsi="Cambria Math"/>
                        <w:i/>
                      </w:rPr>
                    </m:ctrlPr>
                  </m:sSubSupPr>
                  <m:e>
                    <m:r>
                      <w:rPr>
                        <w:rFonts w:ascii="Cambria Math" w:eastAsia="Yu Mincho" w:hAnsi="Cambria Math"/>
                      </w:rPr>
                      <m:t>N</m:t>
                    </m:r>
                  </m:e>
                  <m:sub>
                    <m:r>
                      <m:rPr>
                        <m:sty m:val="p"/>
                      </m:rPr>
                      <w:rPr>
                        <w:rFonts w:ascii="Cambria Math" w:eastAsia="Yu Mincho" w:hAnsi="Cambria Math"/>
                      </w:rPr>
                      <m:t>slot</m:t>
                    </m:r>
                  </m:sub>
                  <m:sup>
                    <m:r>
                      <m:rPr>
                        <m:sty m:val="p"/>
                      </m:rPr>
                      <w:rPr>
                        <w:rFonts w:ascii="Cambria Math" w:eastAsia="Yu Mincho" w:hAnsi="Cambria Math"/>
                      </w:rPr>
                      <m:t>frame</m:t>
                    </m:r>
                    <m:r>
                      <w:rPr>
                        <w:rFonts w:ascii="Cambria Math" w:eastAsia="Yu Mincho" w:hAnsi="Cambria Math"/>
                      </w:rPr>
                      <m:t>,μ</m:t>
                    </m:r>
                  </m:sup>
                </m:sSubSup>
                <m:r>
                  <w:rPr>
                    <w:rFonts w:ascii="Cambria Math" w:eastAsia="Yu Mincho" w:hAnsi="Cambria Math"/>
                  </w:rPr>
                  <m:t>+n</m:t>
                </m:r>
              </m:e>
              <m:sub>
                <m:r>
                  <w:rPr>
                    <w:rFonts w:ascii="Cambria Math" w:eastAsia="Yu Mincho" w:hAnsi="Cambria Math"/>
                  </w:rPr>
                  <m:t>s,f</m:t>
                </m:r>
              </m:sub>
              <m:sup>
                <m:r>
                  <w:rPr>
                    <w:rFonts w:ascii="Cambria Math" w:eastAsia="Yu Mincho" w:hAnsi="Cambria Math"/>
                  </w:rPr>
                  <m:t>μ</m:t>
                </m:r>
              </m:sup>
            </m:sSubSup>
            <m:r>
              <w:rPr>
                <w:rFonts w:ascii="Cambria Math" w:eastAsia="Yu Mincho" w:hAnsi="Cambria Math"/>
              </w:rPr>
              <m:t>-</m:t>
            </m:r>
            <m:sSub>
              <m:sSubPr>
                <m:ctrlPr>
                  <w:rPr>
                    <w:rFonts w:ascii="Cambria Math" w:hAnsi="Cambria Math"/>
                    <w:i/>
                    <w:lang w:eastAsia="zh-CN"/>
                  </w:rPr>
                </m:ctrlPr>
              </m:sSubPr>
              <m:e>
                <m:r>
                  <w:rPr>
                    <w:rFonts w:ascii="Cambria Math" w:hAnsi="Cambria Math"/>
                    <w:lang w:eastAsia="zh-CN"/>
                  </w:rPr>
                  <m:t>SR</m:t>
                </m:r>
              </m:e>
              <m:sub>
                <m:r>
                  <m:rPr>
                    <m:sty m:val="p"/>
                  </m:rPr>
                  <w:rPr>
                    <w:rFonts w:ascii="Cambria Math" w:hAnsi="Cambria Math"/>
                    <w:lang w:eastAsia="zh-CN"/>
                  </w:rPr>
                  <m:t>OFFSET</m:t>
                </m:r>
              </m:sub>
            </m:sSub>
          </m:e>
        </m:d>
        <m:r>
          <m:rPr>
            <m:sty m:val="p"/>
          </m:rPr>
          <w:rPr>
            <w:rFonts w:ascii="Cambria Math" w:hAnsi="Cambria Math"/>
          </w:rPr>
          <m:t>mod</m:t>
        </m:r>
        <m:sSub>
          <m:sSubPr>
            <m:ctrlPr>
              <w:rPr>
                <w:rFonts w:ascii="Cambria Math" w:hAnsi="Cambria Math"/>
                <w:i/>
                <w:lang w:eastAsia="zh-CN"/>
              </w:rPr>
            </m:ctrlPr>
          </m:sSubPr>
          <m:e>
            <m:r>
              <w:rPr>
                <w:rFonts w:ascii="Cambria Math" w:hAnsi="Cambria Math"/>
                <w:lang w:eastAsia="zh-CN"/>
              </w:rPr>
              <m:t>SR</m:t>
            </m:r>
          </m:e>
          <m:sub>
            <m:r>
              <m:rPr>
                <m:sty m:val="p"/>
              </m:rPr>
              <w:rPr>
                <w:rFonts w:ascii="Cambria Math" w:hAnsi="Cambria Math"/>
                <w:lang w:eastAsia="zh-CN"/>
              </w:rPr>
              <m:t>PERIODICITY</m:t>
            </m:r>
          </m:sub>
        </m:sSub>
        <m:r>
          <w:rPr>
            <w:rFonts w:ascii="Cambria Math" w:hAnsi="Cambria Math"/>
            <w:lang w:eastAsia="zh-CN"/>
          </w:rPr>
          <m:t>=0</m:t>
        </m:r>
      </m:oMath>
      <w:r>
        <w:t>.</w:t>
      </w:r>
    </w:p>
    <w:p w14:paraId="5665C4C8" w14:textId="4933205B" w:rsidR="00FD531D" w:rsidRDefault="00FD531D" w:rsidP="00FD531D">
      <w:r>
        <w:t xml:space="preserve">If </w:t>
      </w:r>
      <m:oMath>
        <m:sSub>
          <m:sSubPr>
            <m:ctrlPr>
              <w:rPr>
                <w:rFonts w:ascii="Cambria Math" w:hAnsi="Cambria Math"/>
                <w:i/>
                <w:lang w:eastAsia="zh-CN"/>
              </w:rPr>
            </m:ctrlPr>
          </m:sSubPr>
          <m:e>
            <m:r>
              <w:rPr>
                <w:rFonts w:ascii="Cambria Math" w:hAnsi="Cambria Math"/>
                <w:lang w:eastAsia="zh-CN"/>
              </w:rPr>
              <m:t>SR</m:t>
            </m:r>
          </m:e>
          <m:sub>
            <m:r>
              <m:rPr>
                <m:sty m:val="p"/>
              </m:rPr>
              <w:rPr>
                <w:rFonts w:ascii="Cambria Math" w:hAnsi="Cambria Math"/>
                <w:lang w:eastAsia="zh-CN"/>
              </w:rPr>
              <m:t>PERIODICITY</m:t>
            </m:r>
          </m:sub>
        </m:sSub>
      </m:oMath>
      <w:r w:rsidRPr="008F05BA">
        <w:t xml:space="preserve"> </w:t>
      </w:r>
      <w:r>
        <w:t xml:space="preserve">is one slot, the UE expects that </w:t>
      </w:r>
      <m:oMath>
        <m:sSub>
          <m:sSubPr>
            <m:ctrlPr>
              <w:rPr>
                <w:rFonts w:ascii="Cambria Math" w:hAnsi="Cambria Math"/>
                <w:i/>
                <w:lang w:eastAsia="zh-CN"/>
              </w:rPr>
            </m:ctrlPr>
          </m:sSubPr>
          <m:e>
            <m:r>
              <w:rPr>
                <w:rFonts w:ascii="Cambria Math" w:hAnsi="Cambria Math"/>
                <w:lang w:eastAsia="zh-CN"/>
              </w:rPr>
              <m:t>SR</m:t>
            </m:r>
          </m:e>
          <m:sub>
            <m:r>
              <m:rPr>
                <m:sty m:val="p"/>
              </m:rPr>
              <w:rPr>
                <w:rFonts w:ascii="Cambria Math" w:hAnsi="Cambria Math"/>
                <w:lang w:eastAsia="zh-CN"/>
              </w:rPr>
              <m:t>OFFSET</m:t>
            </m:r>
          </m:sub>
        </m:sSub>
        <m:r>
          <w:rPr>
            <w:rFonts w:ascii="Cambria Math" w:hAnsi="Cambria Math"/>
            <w:lang w:eastAsia="zh-CN"/>
          </w:rPr>
          <m:t>=0</m:t>
        </m:r>
      </m:oMath>
      <w:r>
        <w:t xml:space="preserve"> and every slot is a SR transmission occasion in a PUCCH. </w:t>
      </w:r>
    </w:p>
    <w:p w14:paraId="193B0BD1" w14:textId="5B4570C1" w:rsidR="00FD531D" w:rsidRDefault="00FD531D" w:rsidP="00FD531D">
      <w:r>
        <w:t xml:space="preserve">If </w:t>
      </w:r>
      <m:oMath>
        <m:sSub>
          <m:sSubPr>
            <m:ctrlPr>
              <w:rPr>
                <w:rFonts w:ascii="Cambria Math" w:hAnsi="Cambria Math"/>
                <w:i/>
                <w:lang w:eastAsia="zh-CN"/>
              </w:rPr>
            </m:ctrlPr>
          </m:sSubPr>
          <m:e>
            <m:r>
              <w:rPr>
                <w:rFonts w:ascii="Cambria Math" w:hAnsi="Cambria Math"/>
                <w:lang w:eastAsia="zh-CN"/>
              </w:rPr>
              <m:t>SR</m:t>
            </m:r>
          </m:e>
          <m:sub>
            <m:r>
              <m:rPr>
                <m:sty m:val="p"/>
              </m:rPr>
              <w:rPr>
                <w:rFonts w:ascii="Cambria Math" w:hAnsi="Cambria Math"/>
                <w:lang w:eastAsia="zh-CN"/>
              </w:rPr>
              <m:t>PERIODICITY</m:t>
            </m:r>
          </m:sub>
        </m:sSub>
      </m:oMath>
      <w:r>
        <w:t xml:space="preserve"> is smaller than one slot, the UE determines a SR transmission occasion </w:t>
      </w:r>
      <w:r w:rsidRPr="00F539E1">
        <w:t xml:space="preserve">in a PUCCH to start </w:t>
      </w:r>
      <w:r w:rsidRPr="004804E0">
        <w:rPr>
          <w:rFonts w:eastAsia="Yu Mincho"/>
        </w:rPr>
        <w:t xml:space="preserve">in a symbol with index </w:t>
      </w:r>
      <m:oMath>
        <m:r>
          <w:rPr>
            <w:rFonts w:ascii="Cambria Math" w:hAnsi="Cambria Math"/>
            <w:lang w:eastAsia="zh-CN"/>
          </w:rPr>
          <m:t>l</m:t>
        </m:r>
      </m:oMath>
      <w:r w:rsidRPr="00F539E1">
        <w:t xml:space="preserve"> [4, TS 38.211] if </w:t>
      </w:r>
      <m:oMath>
        <m:d>
          <m:dPr>
            <m:ctrlPr>
              <w:rPr>
                <w:rFonts w:ascii="Cambria Math" w:hAnsi="Cambria Math"/>
                <w:i/>
              </w:rPr>
            </m:ctrlPr>
          </m:dPr>
          <m:e>
            <m:r>
              <w:rPr>
                <w:rFonts w:ascii="Cambria Math" w:eastAsia="Yu Mincho" w:hAnsi="Cambria Math"/>
              </w:rPr>
              <m:t>l-</m:t>
            </m:r>
            <m:sSub>
              <m:sSubPr>
                <m:ctrlPr>
                  <w:rPr>
                    <w:rFonts w:ascii="Cambria Math" w:hAnsi="Cambria Math"/>
                    <w:i/>
                    <w:lang w:eastAsia="zh-CN"/>
                  </w:rPr>
                </m:ctrlPr>
              </m:sSubPr>
              <m:e>
                <m:r>
                  <w:rPr>
                    <w:rFonts w:ascii="Cambria Math" w:hAnsi="Cambria Math"/>
                    <w:lang w:eastAsia="zh-CN"/>
                  </w:rPr>
                  <m:t>l</m:t>
                </m:r>
              </m:e>
              <m:sub>
                <m:r>
                  <w:rPr>
                    <w:rFonts w:ascii="Cambria Math" w:hAnsi="Cambria Math"/>
                    <w:lang w:eastAsia="zh-CN"/>
                  </w:rPr>
                  <m:t>0</m:t>
                </m:r>
              </m:sub>
            </m:sSub>
            <m:r>
              <m:rPr>
                <m:sty m:val="p"/>
              </m:rPr>
              <w:rPr>
                <w:rFonts w:ascii="Cambria Math" w:hAnsi="Cambria Math"/>
              </w:rPr>
              <m:t>mod</m:t>
            </m:r>
            <m:sSub>
              <m:sSubPr>
                <m:ctrlPr>
                  <w:rPr>
                    <w:rFonts w:ascii="Cambria Math" w:hAnsi="Cambria Math"/>
                    <w:i/>
                    <w:lang w:eastAsia="zh-CN"/>
                  </w:rPr>
                </m:ctrlPr>
              </m:sSubPr>
              <m:e>
                <m:r>
                  <w:rPr>
                    <w:rFonts w:ascii="Cambria Math" w:hAnsi="Cambria Math"/>
                    <w:lang w:eastAsia="zh-CN"/>
                  </w:rPr>
                  <m:t>SR</m:t>
                </m:r>
              </m:e>
              <m:sub>
                <m:r>
                  <m:rPr>
                    <m:sty m:val="p"/>
                  </m:rPr>
                  <w:rPr>
                    <w:rFonts w:ascii="Cambria Math" w:hAnsi="Cambria Math"/>
                    <w:lang w:eastAsia="zh-CN"/>
                  </w:rPr>
                  <m:t>PERIODICITY</m:t>
                </m:r>
              </m:sub>
            </m:sSub>
          </m:e>
        </m:d>
        <m:r>
          <m:rPr>
            <m:sty m:val="p"/>
          </m:rPr>
          <w:rPr>
            <w:rFonts w:ascii="Cambria Math" w:hAnsi="Cambria Math"/>
          </w:rPr>
          <m:t>mod</m:t>
        </m:r>
        <m:sSub>
          <m:sSubPr>
            <m:ctrlPr>
              <w:rPr>
                <w:rFonts w:ascii="Cambria Math" w:hAnsi="Cambria Math"/>
                <w:i/>
                <w:lang w:eastAsia="zh-CN"/>
              </w:rPr>
            </m:ctrlPr>
          </m:sSubPr>
          <m:e>
            <m:r>
              <w:rPr>
                <w:rFonts w:ascii="Cambria Math" w:hAnsi="Cambria Math"/>
                <w:lang w:eastAsia="zh-CN"/>
              </w:rPr>
              <m:t>SR</m:t>
            </m:r>
          </m:e>
          <m:sub>
            <m:r>
              <m:rPr>
                <m:sty m:val="p"/>
              </m:rPr>
              <w:rPr>
                <w:rFonts w:ascii="Cambria Math" w:hAnsi="Cambria Math"/>
                <w:lang w:eastAsia="zh-CN"/>
              </w:rPr>
              <m:t>PERIODICITY</m:t>
            </m:r>
          </m:sub>
        </m:sSub>
        <m:r>
          <w:rPr>
            <w:rFonts w:ascii="Cambria Math" w:hAnsi="Cambria Math"/>
            <w:lang w:eastAsia="zh-CN"/>
          </w:rPr>
          <m:t>=0</m:t>
        </m:r>
      </m:oMath>
      <w:r w:rsidRPr="00F539E1">
        <w:t xml:space="preserve"> where </w:t>
      </w:r>
      <m:oMath>
        <m:sSub>
          <m:sSubPr>
            <m:ctrlPr>
              <w:rPr>
                <w:rFonts w:ascii="Cambria Math" w:hAnsi="Cambria Math"/>
                <w:i/>
                <w:lang w:eastAsia="zh-CN"/>
              </w:rPr>
            </m:ctrlPr>
          </m:sSubPr>
          <m:e>
            <m:r>
              <w:rPr>
                <w:rFonts w:ascii="Cambria Math" w:hAnsi="Cambria Math"/>
                <w:lang w:eastAsia="zh-CN"/>
              </w:rPr>
              <m:t>l</m:t>
            </m:r>
          </m:e>
          <m:sub>
            <m:r>
              <w:rPr>
                <w:rFonts w:ascii="Cambria Math" w:hAnsi="Cambria Math"/>
                <w:lang w:eastAsia="zh-CN"/>
              </w:rPr>
              <m:t>0</m:t>
            </m:r>
          </m:sub>
        </m:sSub>
      </m:oMath>
      <w:r w:rsidRPr="00F539E1">
        <w:t xml:space="preserve"> is the value</w:t>
      </w:r>
      <w:r>
        <w:t xml:space="preserve"> of </w:t>
      </w:r>
      <w:r w:rsidRPr="00344183">
        <w:rPr>
          <w:i/>
        </w:rPr>
        <w:t>start</w:t>
      </w:r>
      <w:r>
        <w:rPr>
          <w:i/>
        </w:rPr>
        <w:t>ing</w:t>
      </w:r>
      <w:r w:rsidRPr="00344183">
        <w:rPr>
          <w:i/>
        </w:rPr>
        <w:t>Symbol</w:t>
      </w:r>
      <w:r>
        <w:rPr>
          <w:i/>
        </w:rPr>
        <w:t>Index</w:t>
      </w:r>
      <w:r>
        <w:t>.</w:t>
      </w:r>
    </w:p>
    <w:p w14:paraId="09411EA1" w14:textId="77777777" w:rsidR="00FD531D" w:rsidRPr="009164E0" w:rsidRDefault="00FD531D" w:rsidP="00FD531D">
      <w:pPr>
        <w:rPr>
          <w:lang w:val="x-none"/>
        </w:rPr>
      </w:pPr>
      <w:r>
        <w:t xml:space="preserve">If the UE determines that, for a SR transmission occasion in a PUCCH, the number of symbols available for the PUCCH transmission in a slot is smaller than the value provided by </w:t>
      </w:r>
      <w:r w:rsidRPr="00344183">
        <w:rPr>
          <w:i/>
        </w:rPr>
        <w:t>nrofSymbols</w:t>
      </w:r>
      <w:r>
        <w:t xml:space="preserve">, the UE does not transmit the PUCCH in the slot. </w:t>
      </w:r>
    </w:p>
    <w:p w14:paraId="2240C7D4" w14:textId="114E39E5" w:rsidR="00FD531D" w:rsidRDefault="00FD531D" w:rsidP="00FD531D">
      <w:r>
        <w:t xml:space="preserve">SR transmission occasions in a PUCCH are subject to the limitations for UE transmissions described </w:t>
      </w:r>
      <w:r w:rsidR="006F5F9E">
        <w:t>in clause</w:t>
      </w:r>
      <w:r>
        <w:t xml:space="preserve"> 11.1</w:t>
      </w:r>
      <w:r w:rsidR="00944556">
        <w:t>,</w:t>
      </w:r>
      <w:r>
        <w:t xml:space="preserve"> </w:t>
      </w:r>
      <w:r w:rsidR="006F5F9E">
        <w:t>clause</w:t>
      </w:r>
      <w:r>
        <w:t xml:space="preserve"> 11.1.1</w:t>
      </w:r>
      <w:r w:rsidR="00944556">
        <w:rPr>
          <w:rFonts w:hint="eastAsia"/>
          <w:lang w:eastAsia="zh-CN"/>
        </w:rPr>
        <w:t xml:space="preserve"> and clause 17.2</w:t>
      </w:r>
      <w:r>
        <w:t xml:space="preserve">. </w:t>
      </w:r>
    </w:p>
    <w:p w14:paraId="2A3ED27B" w14:textId="02079F62" w:rsidR="00FD531D" w:rsidRPr="00B916EC" w:rsidRDefault="00FD531D" w:rsidP="00FD531D">
      <w:r>
        <w:t>The UE transmits a PUCCH in the PUCCH resource for the corresponding SR configuration only when the UE transmits a positive SR. For a positive SR transmission using PUCCH format 0, the UE transmits the PUCCH as described in [4, TS 38.211] by</w:t>
      </w:r>
      <w:r w:rsidRPr="00950B98">
        <w:t xml:space="preserve"> </w:t>
      </w:r>
      <w:r>
        <w:t xml:space="preserve">obtaining </w:t>
      </w:r>
      <m:oMath>
        <m:sSub>
          <m:sSubPr>
            <m:ctrlPr>
              <w:rPr>
                <w:rFonts w:ascii="Cambria Math" w:hAnsi="Cambria Math"/>
                <w:i/>
                <w:lang w:eastAsia="zh-CN"/>
              </w:rPr>
            </m:ctrlPr>
          </m:sSubPr>
          <m:e>
            <m:r>
              <w:rPr>
                <w:rFonts w:ascii="Cambria Math" w:hAnsi="Cambria Math"/>
                <w:lang w:eastAsia="zh-CN"/>
              </w:rPr>
              <m:t>m</m:t>
            </m:r>
          </m:e>
          <m:sub>
            <m:r>
              <w:rPr>
                <w:rFonts w:ascii="Cambria Math" w:hAnsi="Cambria Math"/>
                <w:lang w:eastAsia="zh-CN"/>
              </w:rPr>
              <m:t>0</m:t>
            </m:r>
          </m:sub>
        </m:sSub>
      </m:oMath>
      <w:r>
        <w:t xml:space="preserve"> as described for HARQ-ACK information </w:t>
      </w:r>
      <w:r w:rsidR="006F5F9E">
        <w:t>in clause</w:t>
      </w:r>
      <w:r>
        <w:t xml:space="preserve"> 9.2.3 and by setting </w:t>
      </w:r>
      <m:oMath>
        <m:sSub>
          <m:sSubPr>
            <m:ctrlPr>
              <w:rPr>
                <w:rFonts w:ascii="Cambria Math" w:hAnsi="Cambria Math"/>
                <w:i/>
                <w:lang w:eastAsia="zh-CN"/>
              </w:rPr>
            </m:ctrlPr>
          </m:sSubPr>
          <m:e>
            <m:r>
              <w:rPr>
                <w:rFonts w:ascii="Cambria Math" w:hAnsi="Cambria Math"/>
                <w:lang w:eastAsia="zh-CN"/>
              </w:rPr>
              <m:t>m</m:t>
            </m:r>
          </m:e>
          <m:sub>
            <m:r>
              <m:rPr>
                <m:sty m:val="p"/>
              </m:rPr>
              <w:rPr>
                <w:rFonts w:ascii="Cambria Math" w:hAnsi="Cambria Math"/>
                <w:lang w:eastAsia="zh-CN"/>
              </w:rPr>
              <m:t>cs</m:t>
            </m:r>
          </m:sub>
        </m:sSub>
        <m:r>
          <w:rPr>
            <w:rFonts w:ascii="Cambria Math" w:hAnsi="Cambria Math"/>
            <w:lang w:eastAsia="zh-CN"/>
          </w:rPr>
          <m:t>=0</m:t>
        </m:r>
      </m:oMath>
      <w:r>
        <w:t xml:space="preserve">. For a positive SR transmission using PUCCH format 1, the UE transmits the PUCCH as described in [4, TS 38.211] by setting </w:t>
      </w:r>
      <m:oMath>
        <m:r>
          <w:rPr>
            <w:rFonts w:ascii="Cambria Math" w:hAnsi="Cambria Math"/>
            <w:lang w:eastAsia="zh-CN"/>
          </w:rPr>
          <m:t>b</m:t>
        </m:r>
        <m:d>
          <m:dPr>
            <m:ctrlPr>
              <w:rPr>
                <w:rFonts w:ascii="Cambria Math" w:hAnsi="Cambria Math"/>
                <w:i/>
                <w:lang w:eastAsia="zh-CN"/>
              </w:rPr>
            </m:ctrlPr>
          </m:dPr>
          <m:e>
            <m:r>
              <w:rPr>
                <w:rFonts w:ascii="Cambria Math" w:hAnsi="Cambria Math"/>
                <w:lang w:eastAsia="zh-CN"/>
              </w:rPr>
              <m:t>0</m:t>
            </m:r>
          </m:e>
        </m:d>
        <m:r>
          <w:rPr>
            <w:rFonts w:ascii="Cambria Math" w:hAnsi="Cambria Math"/>
            <w:lang w:eastAsia="zh-CN"/>
          </w:rPr>
          <m:t>=0</m:t>
        </m:r>
      </m:oMath>
      <w:r>
        <w:t xml:space="preserve">. </w:t>
      </w:r>
    </w:p>
    <w:p w14:paraId="471D7094" w14:textId="77777777" w:rsidR="002B21F8" w:rsidRDefault="002B21F8" w:rsidP="002B21F8">
      <w:pPr>
        <w:pStyle w:val="Heading3"/>
      </w:pPr>
      <w:bookmarkStart w:id="577" w:name="_Toc12021480"/>
      <w:bookmarkStart w:id="578" w:name="_Toc20311592"/>
      <w:bookmarkStart w:id="579" w:name="_Toc26719417"/>
      <w:bookmarkStart w:id="580" w:name="_Toc29894852"/>
      <w:bookmarkStart w:id="581" w:name="_Toc29899151"/>
      <w:bookmarkStart w:id="582" w:name="_Toc29899569"/>
      <w:bookmarkStart w:id="583" w:name="_Toc29917306"/>
      <w:bookmarkStart w:id="584" w:name="_Toc36498180"/>
      <w:bookmarkStart w:id="585" w:name="_Toc45699206"/>
      <w:bookmarkStart w:id="586" w:name="_Toc161999133"/>
      <w:r w:rsidRPr="00B916EC">
        <w:t>9.2.</w:t>
      </w:r>
      <w:r w:rsidR="006B73A1" w:rsidRPr="00B916EC">
        <w:t>5</w:t>
      </w:r>
      <w:r w:rsidRPr="00B916EC">
        <w:tab/>
        <w:t>UE procedure for reporting multiple UCI types</w:t>
      </w:r>
      <w:bookmarkEnd w:id="577"/>
      <w:bookmarkEnd w:id="578"/>
      <w:bookmarkEnd w:id="579"/>
      <w:bookmarkEnd w:id="580"/>
      <w:bookmarkEnd w:id="581"/>
      <w:bookmarkEnd w:id="582"/>
      <w:bookmarkEnd w:id="583"/>
      <w:bookmarkEnd w:id="584"/>
      <w:bookmarkEnd w:id="585"/>
      <w:bookmarkEnd w:id="586"/>
    </w:p>
    <w:p w14:paraId="4F74CAEF" w14:textId="6D85FE2E" w:rsidR="00950B98" w:rsidRPr="007A3016" w:rsidRDefault="00F4011B" w:rsidP="00950B98">
      <w:r>
        <w:t xml:space="preserve">This </w:t>
      </w:r>
      <w:r w:rsidR="006F5F9E">
        <w:t>clause</w:t>
      </w:r>
      <w:r>
        <w:t xml:space="preserve"> is applicable to the case that a </w:t>
      </w:r>
      <w:r w:rsidR="00763494">
        <w:t xml:space="preserve">UE has resources for PUCCH transmissions or for PUCCH and PUSCH transmissions </w:t>
      </w:r>
      <w:r w:rsidR="002474FC">
        <w:t xml:space="preserve">that overlap in time </w:t>
      </w:r>
      <w:r w:rsidR="00763494">
        <w:t xml:space="preserve">and each </w:t>
      </w:r>
      <w:r>
        <w:t>PUCCH transmission is over a single slot</w:t>
      </w:r>
      <w:r w:rsidR="00763494">
        <w:t xml:space="preserve"> without repetition</w:t>
      </w:r>
      <w:r w:rsidR="00E069D4">
        <w:t>s</w:t>
      </w:r>
      <w:r>
        <w:t xml:space="preserve">. </w:t>
      </w:r>
      <w:r w:rsidR="00763494">
        <w:t xml:space="preserve">Any </w:t>
      </w:r>
      <w:r>
        <w:t xml:space="preserve">case that a PUCCH transmission is with repetitions over multiple slots is described </w:t>
      </w:r>
      <w:r w:rsidR="006F5F9E">
        <w:t>in clause</w:t>
      </w:r>
      <w:r>
        <w:t xml:space="preserve"> 9.2.6.</w:t>
      </w:r>
      <w:r w:rsidR="00763494">
        <w:t xml:space="preserve"> </w:t>
      </w:r>
      <w:r w:rsidR="00950B98">
        <w:t xml:space="preserve">If a UE is configured </w:t>
      </w:r>
      <w:r w:rsidR="00950B98" w:rsidRPr="007A3016">
        <w:t>with multiple PUCCH resources in a slot to transmit CSI reports</w:t>
      </w:r>
    </w:p>
    <w:p w14:paraId="4E9A259D" w14:textId="77777777" w:rsidR="00F4011B" w:rsidRDefault="00950B98" w:rsidP="00950B98">
      <w:pPr>
        <w:pStyle w:val="B1"/>
        <w:rPr>
          <w:lang w:val="en-US"/>
        </w:rPr>
      </w:pPr>
      <w:r w:rsidRPr="007A3016">
        <w:t>-</w:t>
      </w:r>
      <w:r w:rsidRPr="007A3016">
        <w:tab/>
      </w:r>
      <w:r w:rsidRPr="007A3016">
        <w:rPr>
          <w:lang w:val="en-US"/>
        </w:rPr>
        <w:t xml:space="preserve">if the UE is not provided </w:t>
      </w:r>
      <w:r w:rsidRPr="007A3016">
        <w:rPr>
          <w:i/>
        </w:rPr>
        <w:t>multi-CSI-PUCCH-ResourceList</w:t>
      </w:r>
      <w:r w:rsidR="00763494" w:rsidRPr="00885036">
        <w:rPr>
          <w:lang w:val="en-US"/>
        </w:rPr>
        <w:t xml:space="preserve"> </w:t>
      </w:r>
      <w:r w:rsidR="00763494" w:rsidRPr="007B02F8">
        <w:rPr>
          <w:lang w:eastAsia="zh-CN"/>
        </w:rPr>
        <w:t xml:space="preserve">or </w:t>
      </w:r>
      <w:r w:rsidR="00763494" w:rsidRPr="007B02F8">
        <w:t>if</w:t>
      </w:r>
      <w:r w:rsidR="00763494" w:rsidRPr="007B02F8">
        <w:rPr>
          <w:lang w:eastAsia="zh-CN"/>
        </w:rPr>
        <w:t xml:space="preserve"> </w:t>
      </w:r>
      <w:r w:rsidR="00763494" w:rsidRPr="007B02F8">
        <w:rPr>
          <w:lang w:val="en-US" w:eastAsia="zh-CN"/>
        </w:rPr>
        <w:t xml:space="preserve">PUCCH </w:t>
      </w:r>
      <w:r w:rsidR="00763494" w:rsidRPr="007B02F8">
        <w:rPr>
          <w:lang w:eastAsia="zh-CN"/>
        </w:rPr>
        <w:t>resources</w:t>
      </w:r>
      <w:r w:rsidR="00763494" w:rsidRPr="007B02F8">
        <w:rPr>
          <w:lang w:val="en-US" w:eastAsia="zh-CN"/>
        </w:rPr>
        <w:t xml:space="preserve"> for transmissions of CSI reports</w:t>
      </w:r>
      <w:r w:rsidR="00763494" w:rsidRPr="007B02F8">
        <w:rPr>
          <w:lang w:eastAsia="zh-CN"/>
        </w:rPr>
        <w:t xml:space="preserve"> </w:t>
      </w:r>
      <w:r w:rsidR="00763494" w:rsidRPr="007B02F8">
        <w:rPr>
          <w:lang w:val="en-US" w:eastAsia="zh-CN"/>
        </w:rPr>
        <w:t xml:space="preserve">do not </w:t>
      </w:r>
      <w:r w:rsidR="00763494" w:rsidRPr="007B02F8">
        <w:rPr>
          <w:lang w:eastAsia="zh-CN"/>
        </w:rPr>
        <w:t>overlap in the slot</w:t>
      </w:r>
      <w:r w:rsidRPr="007A3016">
        <w:rPr>
          <w:lang w:val="en-US" w:eastAsia="zh-CN"/>
        </w:rPr>
        <w:t xml:space="preserve">, </w:t>
      </w:r>
      <w:r w:rsidRPr="007A3016">
        <w:rPr>
          <w:lang w:val="en-US"/>
        </w:rPr>
        <w:t xml:space="preserve">the UE determines a </w:t>
      </w:r>
      <w:r>
        <w:rPr>
          <w:lang w:val="en-US"/>
        </w:rPr>
        <w:t xml:space="preserve">first </w:t>
      </w:r>
      <w:r w:rsidRPr="007A3016">
        <w:rPr>
          <w:lang w:val="en-US"/>
        </w:rPr>
        <w:t>resource corresponding to</w:t>
      </w:r>
      <w:r>
        <w:rPr>
          <w:lang w:val="en-US"/>
        </w:rPr>
        <w:t xml:space="preserve"> a CSI report with the highest priority</w:t>
      </w:r>
      <w:r w:rsidRPr="007A3016">
        <w:rPr>
          <w:lang w:val="en-US"/>
        </w:rPr>
        <w:t xml:space="preserve"> [6, TS</w:t>
      </w:r>
      <w:r w:rsidR="00763494">
        <w:rPr>
          <w:lang w:val="en-US"/>
        </w:rPr>
        <w:t xml:space="preserve"> </w:t>
      </w:r>
      <w:r w:rsidRPr="007A3016">
        <w:rPr>
          <w:lang w:val="en-US"/>
        </w:rPr>
        <w:t>38.214]</w:t>
      </w:r>
    </w:p>
    <w:p w14:paraId="0AA1DC5E" w14:textId="77777777" w:rsidR="00F4011B" w:rsidRDefault="00F4011B" w:rsidP="00F4011B">
      <w:pPr>
        <w:pStyle w:val="B2"/>
      </w:pPr>
      <w:r>
        <w:t>-</w:t>
      </w:r>
      <w:r>
        <w:tab/>
        <w:t>i</w:t>
      </w:r>
      <w:r w:rsidRPr="007A3016">
        <w:t xml:space="preserve">f </w:t>
      </w:r>
      <w:r w:rsidR="00950B98" w:rsidRPr="007A3016">
        <w:t>th</w:t>
      </w:r>
      <w:r w:rsidR="00950B98">
        <w:t>e first resource includes</w:t>
      </w:r>
      <w:r w:rsidR="00950B98" w:rsidRPr="007A3016">
        <w:t xml:space="preserve"> PUCCH format 2, an</w:t>
      </w:r>
      <w:r w:rsidR="00950B98">
        <w:t>d if there are remaining resources</w:t>
      </w:r>
      <w:r>
        <w:t xml:space="preserve"> in the slot</w:t>
      </w:r>
      <w:r w:rsidR="00950B98" w:rsidRPr="007A3016">
        <w:t xml:space="preserve"> </w:t>
      </w:r>
      <w:r w:rsidR="00950B98">
        <w:t>that do</w:t>
      </w:r>
      <w:r w:rsidR="00950B98" w:rsidRPr="007A3016">
        <w:t xml:space="preserve"> not ov</w:t>
      </w:r>
      <w:r w:rsidR="00950B98">
        <w:t>erlap with the first</w:t>
      </w:r>
      <w:r w:rsidR="00950B98" w:rsidRPr="007A3016">
        <w:t xml:space="preserve"> resource, </w:t>
      </w:r>
      <w:r w:rsidR="00950B98">
        <w:t>the UE determines a</w:t>
      </w:r>
      <w:r w:rsidR="00950B98" w:rsidRPr="007A3016">
        <w:t xml:space="preserve"> </w:t>
      </w:r>
      <w:r w:rsidR="00950B98">
        <w:t xml:space="preserve">CSI report with the </w:t>
      </w:r>
      <w:r w:rsidR="00950B98" w:rsidRPr="007A3016">
        <w:t>highe</w:t>
      </w:r>
      <w:r w:rsidR="00950B98">
        <w:t xml:space="preserve">st priority, among the CSI reports with corresponding resources from the </w:t>
      </w:r>
      <w:r w:rsidR="00950B98" w:rsidRPr="007A3016">
        <w:t>remaining resource</w:t>
      </w:r>
      <w:r w:rsidR="00950B98">
        <w:t>s, and a corresponding second resource</w:t>
      </w:r>
      <w:r w:rsidR="00950B98" w:rsidRPr="007A3016">
        <w:t xml:space="preserve"> </w:t>
      </w:r>
      <w:r w:rsidR="00950B98">
        <w:t xml:space="preserve">as </w:t>
      </w:r>
      <w:r w:rsidR="00950B98" w:rsidRPr="007A3016">
        <w:t>an a</w:t>
      </w:r>
      <w:r w:rsidR="00950B98">
        <w:t>dditional</w:t>
      </w:r>
      <w:r w:rsidR="00950B98" w:rsidRPr="007A3016">
        <w:t xml:space="preserve"> resource for CSI reporting</w:t>
      </w:r>
      <w:r w:rsidR="003915B7">
        <w:t xml:space="preserve"> </w:t>
      </w:r>
    </w:p>
    <w:p w14:paraId="7E8FBDF0" w14:textId="77777777" w:rsidR="00950B98" w:rsidRPr="007A3016" w:rsidRDefault="00F4011B" w:rsidP="00F1689E">
      <w:pPr>
        <w:pStyle w:val="B2"/>
      </w:pPr>
      <w:r>
        <w:t>-</w:t>
      </w:r>
      <w:r>
        <w:tab/>
        <w:t>i</w:t>
      </w:r>
      <w:r w:rsidRPr="007A3016">
        <w:t xml:space="preserve">f </w:t>
      </w:r>
      <w:r>
        <w:t>the first resource includes PUCCH format 3 or PUCCH format 4, and if there are remaining resources in the slot that include PUCCH format 2 and do not overlap with the first resource, the UE determines a CSI report with the highest priority, among the CSI reports with corresponding resources from the remaining resources, and a corresponding second resource as an additional resource for CSI reporting</w:t>
      </w:r>
    </w:p>
    <w:p w14:paraId="6B769E70" w14:textId="10D0B149" w:rsidR="00950B98" w:rsidRPr="007A3016" w:rsidRDefault="00950B98" w:rsidP="00950B98">
      <w:pPr>
        <w:pStyle w:val="B1"/>
        <w:rPr>
          <w:lang w:val="en-US" w:eastAsia="zh-CN"/>
        </w:rPr>
      </w:pPr>
      <w:r w:rsidRPr="002343F6">
        <w:t>-</w:t>
      </w:r>
      <w:r w:rsidRPr="002343F6">
        <w:tab/>
      </w:r>
      <w:r w:rsidRPr="00FC6A8D">
        <w:rPr>
          <w:lang w:val="en-US"/>
        </w:rPr>
        <w:t xml:space="preserve">if the UE is provided </w:t>
      </w:r>
      <w:r w:rsidRPr="007A3016">
        <w:rPr>
          <w:i/>
        </w:rPr>
        <w:t>multi-CSI-PUCCH-ResourceList</w:t>
      </w:r>
      <w:r w:rsidR="005D27A4" w:rsidRPr="00A22F52">
        <w:rPr>
          <w:lang w:val="en-US" w:eastAsia="zh-CN"/>
        </w:rPr>
        <w:t xml:space="preserve"> </w:t>
      </w:r>
      <w:r w:rsidR="005D27A4">
        <w:rPr>
          <w:lang w:val="en-US" w:eastAsia="zh-CN"/>
        </w:rPr>
        <w:t>and if any of the multiple PUCCH resources overlap</w:t>
      </w:r>
      <w:r w:rsidRPr="007A3016">
        <w:rPr>
          <w:lang w:val="en-US" w:eastAsia="zh-CN"/>
        </w:rPr>
        <w:t xml:space="preserve">, the UE multiplexes </w:t>
      </w:r>
      <w:r w:rsidR="005D27A4">
        <w:rPr>
          <w:lang w:val="en-US" w:eastAsia="zh-CN"/>
        </w:rPr>
        <w:t xml:space="preserve">all </w:t>
      </w:r>
      <w:r w:rsidRPr="007A3016">
        <w:rPr>
          <w:lang w:val="en-US" w:eastAsia="zh-CN"/>
        </w:rPr>
        <w:t xml:space="preserve">CSI reports in a resource from the resources </w:t>
      </w:r>
      <w:r w:rsidRPr="007A3016">
        <w:rPr>
          <w:lang w:val="en-US"/>
        </w:rPr>
        <w:t xml:space="preserve">provided </w:t>
      </w:r>
      <w:r w:rsidRPr="007A3016">
        <w:rPr>
          <w:lang w:val="en-US" w:eastAsia="zh-CN"/>
        </w:rPr>
        <w:t xml:space="preserve">by </w:t>
      </w:r>
      <w:r w:rsidRPr="007A3016">
        <w:rPr>
          <w:i/>
        </w:rPr>
        <w:t>multi-CSI-PUCCH-ResourceList</w:t>
      </w:r>
      <w:r w:rsidRPr="007A3016">
        <w:rPr>
          <w:lang w:val="en-US" w:eastAsia="zh-CN"/>
        </w:rPr>
        <w:t xml:space="preserve">, as described </w:t>
      </w:r>
      <w:r w:rsidR="006F5F9E">
        <w:rPr>
          <w:lang w:val="en-US" w:eastAsia="zh-CN"/>
        </w:rPr>
        <w:t>in clause</w:t>
      </w:r>
      <w:r w:rsidRPr="007A3016">
        <w:rPr>
          <w:lang w:val="en-US" w:eastAsia="zh-CN"/>
        </w:rPr>
        <w:t xml:space="preserve"> 9.2.5.2</w:t>
      </w:r>
      <w:r w:rsidR="00763494">
        <w:rPr>
          <w:lang w:val="en-US" w:eastAsia="zh-CN"/>
        </w:rPr>
        <w:t>.</w:t>
      </w:r>
      <w:r w:rsidRPr="007A3016">
        <w:rPr>
          <w:lang w:val="en-US" w:eastAsia="zh-CN"/>
        </w:rPr>
        <w:t xml:space="preserve"> </w:t>
      </w:r>
    </w:p>
    <w:p w14:paraId="40A93170" w14:textId="12F1492D" w:rsidR="00763494" w:rsidRDefault="00763494" w:rsidP="00763494">
      <w:pPr>
        <w:rPr>
          <w:lang w:eastAsia="zh-CN"/>
        </w:rPr>
      </w:pPr>
      <w:r>
        <w:rPr>
          <w:lang w:eastAsia="zh-CN"/>
        </w:rPr>
        <w:t xml:space="preserve">A UE multiplexes </w:t>
      </w:r>
      <w:r w:rsidR="00B16289">
        <w:rPr>
          <w:lang w:eastAsia="zh-CN"/>
        </w:rPr>
        <w:t xml:space="preserve">DL </w:t>
      </w:r>
      <w:r>
        <w:rPr>
          <w:lang w:eastAsia="zh-CN"/>
        </w:rPr>
        <w:t xml:space="preserve">HARQ-ACK information, with or without SR, and CSI report(s) in a same PUCCH if the UE is provided </w:t>
      </w:r>
      <w:r w:rsidRPr="00DD3BA7">
        <w:rPr>
          <w:i/>
        </w:rPr>
        <w:t>simultaneousHARQ-ACK-CSI</w:t>
      </w:r>
      <w:r>
        <w:rPr>
          <w:lang w:eastAsia="zh-CN"/>
        </w:rPr>
        <w:t xml:space="preserve">; </w:t>
      </w:r>
      <w:r w:rsidRPr="00B916EC">
        <w:rPr>
          <w:lang w:eastAsia="zh-CN"/>
        </w:rPr>
        <w:t xml:space="preserve">otherwise, the UE drops the CSI report(s) and </w:t>
      </w:r>
      <w:r>
        <w:rPr>
          <w:lang w:eastAsia="zh-CN"/>
        </w:rPr>
        <w:t xml:space="preserve">includes only </w:t>
      </w:r>
      <w:r w:rsidR="00B16289">
        <w:rPr>
          <w:lang w:eastAsia="zh-CN"/>
        </w:rPr>
        <w:t xml:space="preserve">DL </w:t>
      </w:r>
      <w:r>
        <w:rPr>
          <w:lang w:eastAsia="zh-CN"/>
        </w:rPr>
        <w:t xml:space="preserve">HARQ-ACK </w:t>
      </w:r>
      <w:r>
        <w:rPr>
          <w:lang w:eastAsia="zh-CN"/>
        </w:rPr>
        <w:lastRenderedPageBreak/>
        <w:t>information, with or without SR,</w:t>
      </w:r>
      <w:r w:rsidRPr="00B916EC">
        <w:rPr>
          <w:lang w:eastAsia="zh-CN"/>
        </w:rPr>
        <w:t xml:space="preserve"> in the PUCCH</w:t>
      </w:r>
      <w:r>
        <w:rPr>
          <w:lang w:eastAsia="zh-CN"/>
        </w:rPr>
        <w:t xml:space="preserve">. </w:t>
      </w:r>
      <w:r>
        <w:t>If the</w:t>
      </w:r>
      <w:r w:rsidRPr="00687DB5">
        <w:t xml:space="preserve"> UE would transmit multiple PUCCHs in a slot that include </w:t>
      </w:r>
      <w:r w:rsidR="00B16289">
        <w:t xml:space="preserve">DL </w:t>
      </w:r>
      <w:r w:rsidRPr="00687DB5">
        <w:t xml:space="preserve">HARQ-ACK information and CSI report(s), </w:t>
      </w:r>
      <w:r>
        <w:t xml:space="preserve">the UE expects to be provided a same configuration for </w:t>
      </w:r>
      <w:r w:rsidRPr="00DD3BA7">
        <w:rPr>
          <w:i/>
        </w:rPr>
        <w:t>simultaneousHARQ-ACK-CSI</w:t>
      </w:r>
      <w:r>
        <w:t xml:space="preserve"> each of</w:t>
      </w:r>
      <w:r w:rsidRPr="00687DB5">
        <w:t xml:space="preserve"> PUCCH format</w:t>
      </w:r>
      <w:r>
        <w:t>s</w:t>
      </w:r>
      <w:r w:rsidRPr="00687DB5">
        <w:t xml:space="preserve"> 2, 3, and 4. </w:t>
      </w:r>
    </w:p>
    <w:p w14:paraId="35DA6E2E" w14:textId="4527CDE6" w:rsidR="00763494" w:rsidRDefault="00763494" w:rsidP="00763494">
      <w:pPr>
        <w:rPr>
          <w:lang w:eastAsia="zh-CN"/>
        </w:rPr>
      </w:pPr>
      <w:r w:rsidRPr="00985DB3">
        <w:rPr>
          <w:lang w:eastAsia="zh-CN"/>
        </w:rPr>
        <w:t>If a UE</w:t>
      </w:r>
      <w:r>
        <w:rPr>
          <w:lang w:eastAsia="zh-CN"/>
        </w:rPr>
        <w:t xml:space="preserve"> would multiplex</w:t>
      </w:r>
      <w:r w:rsidRPr="00985DB3">
        <w:rPr>
          <w:lang w:eastAsia="zh-CN"/>
        </w:rPr>
        <w:t xml:space="preserve"> CSI reports that include Part 2 CSI reports</w:t>
      </w:r>
      <w:r>
        <w:rPr>
          <w:lang w:eastAsia="zh-CN"/>
        </w:rPr>
        <w:t xml:space="preserve"> in a PUCCH resource, the UE determines the</w:t>
      </w:r>
      <w:r w:rsidRPr="00985DB3">
        <w:rPr>
          <w:lang w:eastAsia="zh-CN"/>
        </w:rPr>
        <w:t xml:space="preserve"> PUCCH resource </w:t>
      </w:r>
      <w:r>
        <w:rPr>
          <w:lang w:eastAsia="zh-CN"/>
        </w:rPr>
        <w:t>and a number of PRBs for</w:t>
      </w:r>
      <w:r w:rsidRPr="00985DB3">
        <w:rPr>
          <w:lang w:eastAsia="zh-CN"/>
        </w:rPr>
        <w:t xml:space="preserve"> the PUCCH resource </w:t>
      </w:r>
      <w:r>
        <w:rPr>
          <w:lang w:eastAsia="zh-CN"/>
        </w:rPr>
        <w:t xml:space="preserve">or a number of Part 2 CSI reports </w:t>
      </w:r>
      <w:r w:rsidRPr="00985DB3">
        <w:rPr>
          <w:lang w:eastAsia="zh-CN"/>
        </w:rPr>
        <w:t xml:space="preserve">assuming that each of the CSI reports </w:t>
      </w:r>
      <w:r w:rsidR="002D5F43">
        <w:rPr>
          <w:lang w:eastAsia="zh-CN"/>
        </w:rPr>
        <w:t xml:space="preserve">and, if any, each CSI sub-report included in a CSI report, </w:t>
      </w:r>
      <w:r w:rsidRPr="00985DB3">
        <w:rPr>
          <w:lang w:eastAsia="zh-CN"/>
        </w:rPr>
        <w:t>indicates rank 1</w:t>
      </w:r>
      <w:r w:rsidR="003510BA">
        <w:rPr>
          <w:lang w:eastAsia="zh-CN"/>
        </w:rPr>
        <w:t>, or rank combination of {1, 1} if applicable</w:t>
      </w:r>
      <w:r w:rsidR="003510BA" w:rsidRPr="00985DB3">
        <w:rPr>
          <w:lang w:eastAsia="zh-CN"/>
        </w:rPr>
        <w:t>.</w:t>
      </w:r>
      <w:r w:rsidR="003510BA">
        <w:rPr>
          <w:lang w:eastAsia="zh-CN"/>
        </w:rPr>
        <w:t xml:space="preserve"> </w:t>
      </w:r>
      <w:r w:rsidR="003510BA">
        <w:t xml:space="preserve">If the higher layer parameter </w:t>
      </w:r>
      <w:r w:rsidR="003510BA">
        <w:rPr>
          <w:i/>
          <w:iCs/>
        </w:rPr>
        <w:t xml:space="preserve">csi-ReportMode </w:t>
      </w:r>
      <w:r w:rsidR="003510BA" w:rsidRPr="00CD37C8">
        <w:rPr>
          <w:iCs/>
        </w:rPr>
        <w:t>of CSI reports</w:t>
      </w:r>
      <w:r w:rsidR="003510BA" w:rsidRPr="00CD37C8">
        <w:t xml:space="preserve"> </w:t>
      </w:r>
      <w:r w:rsidR="003510BA">
        <w:t xml:space="preserve">is set to 'Mode2', the UE determines </w:t>
      </w:r>
      <w:r w:rsidR="003510BA">
        <w:rPr>
          <w:lang w:eastAsia="zh-CN"/>
        </w:rPr>
        <w:t>the</w:t>
      </w:r>
      <w:r w:rsidR="003510BA" w:rsidRPr="00985DB3">
        <w:rPr>
          <w:lang w:eastAsia="zh-CN"/>
        </w:rPr>
        <w:t xml:space="preserve"> PUCCH resource </w:t>
      </w:r>
      <w:r w:rsidR="003510BA">
        <w:rPr>
          <w:lang w:eastAsia="zh-CN"/>
        </w:rPr>
        <w:t>and a number of PRBs for</w:t>
      </w:r>
      <w:r w:rsidR="003510BA" w:rsidRPr="00985DB3">
        <w:rPr>
          <w:lang w:eastAsia="zh-CN"/>
        </w:rPr>
        <w:t xml:space="preserve"> the PUCCH resource </w:t>
      </w:r>
      <w:r w:rsidR="003510BA">
        <w:rPr>
          <w:lang w:eastAsia="zh-CN"/>
        </w:rPr>
        <w:t xml:space="preserve">or a number of Part 2 CSI reports </w:t>
      </w:r>
      <w:r w:rsidR="003510BA" w:rsidRPr="00985DB3">
        <w:rPr>
          <w:lang w:eastAsia="zh-CN"/>
        </w:rPr>
        <w:t>assuming that</w:t>
      </w:r>
      <w:r w:rsidR="003510BA">
        <w:rPr>
          <w:lang w:eastAsia="zh-CN"/>
        </w:rPr>
        <w:t xml:space="preserve"> each CRI in the CSI report is associated with a resource pair</w:t>
      </w:r>
      <w:r w:rsidRPr="00985DB3">
        <w:rPr>
          <w:lang w:eastAsia="zh-CN"/>
        </w:rPr>
        <w:t xml:space="preserve">. </w:t>
      </w:r>
    </w:p>
    <w:p w14:paraId="17C1A20C" w14:textId="39FE6D9B" w:rsidR="005D27A4" w:rsidRPr="00FF3E67" w:rsidRDefault="00950B98" w:rsidP="005D27A4">
      <w:r>
        <w:t xml:space="preserve">If a UE would transmit multiple overlapping PUCCHs </w:t>
      </w:r>
      <w:r w:rsidRPr="00C91777">
        <w:t>in a slot or overlapping PUCCH</w:t>
      </w:r>
      <w:r>
        <w:t>(</w:t>
      </w:r>
      <w:r w:rsidRPr="00C91777">
        <w:t>s</w:t>
      </w:r>
      <w:r>
        <w:t>)</w:t>
      </w:r>
      <w:r w:rsidRPr="00C91777">
        <w:t xml:space="preserve"> and PUSCH</w:t>
      </w:r>
      <w:r>
        <w:t>(</w:t>
      </w:r>
      <w:r w:rsidRPr="00C91777">
        <w:t>s</w:t>
      </w:r>
      <w:r>
        <w:t>)</w:t>
      </w:r>
      <w:r w:rsidRPr="00C91777">
        <w:t xml:space="preserve"> in a slot and, when applicable as described </w:t>
      </w:r>
      <w:r w:rsidR="006F5F9E">
        <w:t>in clause</w:t>
      </w:r>
      <w:r w:rsidRPr="00C91777">
        <w:t>s</w:t>
      </w:r>
      <w:r>
        <w:t xml:space="preserve"> 9.2.5.1</w:t>
      </w:r>
      <w:r w:rsidR="00FE2016">
        <w:t>,</w:t>
      </w:r>
      <w:r>
        <w:t xml:space="preserve"> 9.2.5.2</w:t>
      </w:r>
      <w:r w:rsidR="00E83236">
        <w:t>,</w:t>
      </w:r>
      <w:r w:rsidR="00FE2016" w:rsidRPr="00474A57">
        <w:t xml:space="preserve"> 9.2.5.</w:t>
      </w:r>
      <w:r w:rsidR="00FE2016">
        <w:t>3</w:t>
      </w:r>
      <w:r w:rsidR="00E83236">
        <w:t xml:space="preserve"> and 18</w:t>
      </w:r>
      <w:r>
        <w:t xml:space="preserve">, the UE is configured to multiplex different UCI types </w:t>
      </w:r>
      <w:r w:rsidR="00FE2016" w:rsidRPr="00474A57">
        <w:t xml:space="preserve">or UCI of different priority indexes </w:t>
      </w:r>
      <w:r>
        <w:t xml:space="preserve">in one PUCCH, and </w:t>
      </w:r>
      <w:r w:rsidR="005D27A4">
        <w:t xml:space="preserve">at least </w:t>
      </w:r>
      <w:r>
        <w:t>one of the multiple overlapping PUCCHs or PUSCHs is in response to a DCI format detection by the UE, the UE multiplexes all corresponding UCI types</w:t>
      </w:r>
      <w:r w:rsidR="00CB4690" w:rsidRPr="00CB4690">
        <w:rPr>
          <w:rFonts w:hint="eastAsia"/>
          <w:lang w:eastAsia="zh-CN"/>
        </w:rPr>
        <w:t xml:space="preserve"> </w:t>
      </w:r>
      <w:r w:rsidR="00CB4690">
        <w:rPr>
          <w:rFonts w:hint="eastAsia"/>
          <w:lang w:eastAsia="zh-CN"/>
        </w:rPr>
        <w:t>or UCI of different priority indexes</w:t>
      </w:r>
      <w:r>
        <w:t xml:space="preserve"> if the following conditions are met. </w:t>
      </w:r>
      <w:r w:rsidR="005D27A4" w:rsidRPr="00FF3E67">
        <w:t>If one of the PUCCH</w:t>
      </w:r>
      <w:r w:rsidR="00763494">
        <w:t xml:space="preserve"> transmission</w:t>
      </w:r>
      <w:r w:rsidR="005D27A4" w:rsidRPr="00FF3E67">
        <w:t>s or PUSCH</w:t>
      </w:r>
      <w:r w:rsidR="00763494">
        <w:t xml:space="preserve"> transmission</w:t>
      </w:r>
      <w:r w:rsidR="005D27A4" w:rsidRPr="00FF3E67">
        <w:t xml:space="preserve">s is in response to a DCI format detection by the UE, the UE expects that the first symbol </w:t>
      </w:r>
      <m:oMath>
        <m:sSub>
          <m:sSubPr>
            <m:ctrlPr>
              <w:rPr>
                <w:rFonts w:ascii="Cambria Math" w:hAnsi="Cambria Math"/>
                <w:i/>
                <w:sz w:val="24"/>
                <w:szCs w:val="24"/>
              </w:rPr>
            </m:ctrlPr>
          </m:sSubPr>
          <m:e>
            <m:r>
              <w:rPr>
                <w:rFonts w:ascii="Cambria Math"/>
              </w:rPr>
              <m:t>S</m:t>
            </m:r>
          </m:e>
          <m:sub>
            <m:r>
              <w:rPr>
                <w:rFonts w:ascii="Cambria Math"/>
              </w:rPr>
              <m:t>0</m:t>
            </m:r>
          </m:sub>
        </m:sSub>
      </m:oMath>
      <w:r w:rsidR="005D27A4">
        <w:t xml:space="preserve"> of the earliest PUCCH or PUSCH, among a group </w:t>
      </w:r>
      <w:r w:rsidR="005D27A4" w:rsidRPr="00FF3E67">
        <w:t>overlapping PUCCHs</w:t>
      </w:r>
      <w:r w:rsidR="005D27A4">
        <w:t xml:space="preserve"> and PUSCHs in the slot, satisfies</w:t>
      </w:r>
      <w:r w:rsidR="005D27A4" w:rsidRPr="00FF3E67">
        <w:t xml:space="preserve"> th</w:t>
      </w:r>
      <w:r w:rsidR="005D27A4">
        <w:t>e following timeline conditions</w:t>
      </w:r>
    </w:p>
    <w:p w14:paraId="7A7256D6" w14:textId="48C62A97" w:rsidR="005D27A4" w:rsidRDefault="005D27A4" w:rsidP="005D27A4">
      <w:pPr>
        <w:pStyle w:val="B1"/>
        <w:rPr>
          <w:lang w:val="en-AU"/>
        </w:rPr>
      </w:pPr>
      <w:r w:rsidRPr="00FF3E67">
        <w:t>-</w:t>
      </w:r>
      <w:r w:rsidRPr="00FF3E67">
        <w:tab/>
      </w:r>
      <m:oMath>
        <m:sSub>
          <m:sSubPr>
            <m:ctrlPr>
              <w:rPr>
                <w:rFonts w:ascii="Cambria Math" w:hAnsi="Cambria Math"/>
                <w:i/>
                <w:sz w:val="24"/>
                <w:szCs w:val="24"/>
              </w:rPr>
            </m:ctrlPr>
          </m:sSubPr>
          <m:e>
            <m:r>
              <w:rPr>
                <w:rFonts w:ascii="Cambria Math"/>
              </w:rPr>
              <m:t>S</m:t>
            </m:r>
          </m:e>
          <m:sub>
            <m:r>
              <w:rPr>
                <w:rFonts w:ascii="Cambria Math"/>
              </w:rPr>
              <m:t>0</m:t>
            </m:r>
          </m:sub>
        </m:sSub>
      </m:oMath>
      <w:r>
        <w:t xml:space="preserve"> is not before a symbol</w:t>
      </w:r>
      <w:r>
        <w:rPr>
          <w:lang w:val="en-US"/>
        </w:rPr>
        <w:t xml:space="preserve"> with</w:t>
      </w:r>
      <w:r w:rsidRPr="00FF3E67">
        <w:rPr>
          <w:lang w:val="en-AU"/>
        </w:rPr>
        <w:t xml:space="preserve"> CP starting after</w:t>
      </w:r>
      <w:r>
        <w:rPr>
          <w:lang w:val="en-AU"/>
        </w:rPr>
        <w:t xml:space="preserve"> </w:t>
      </w:r>
      <m:oMath>
        <m:sSubSup>
          <m:sSubSupPr>
            <m:ctrlPr>
              <w:rPr>
                <w:rFonts w:ascii="Cambria Math" w:hAnsi="Cambria Math"/>
                <w:i/>
                <w:sz w:val="24"/>
                <w:szCs w:val="24"/>
                <w:lang w:val="en-AU"/>
              </w:rPr>
            </m:ctrlPr>
          </m:sSubSupPr>
          <m:e>
            <m:r>
              <w:rPr>
                <w:rFonts w:ascii="Cambria Math"/>
                <w:lang w:val="en-AU"/>
              </w:rPr>
              <m:t>T</m:t>
            </m:r>
          </m:e>
          <m:sub>
            <m:r>
              <w:rPr>
                <w:rFonts w:ascii="Cambria Math"/>
                <w:lang w:val="en-AU"/>
              </w:rPr>
              <m:t>proc,1</m:t>
            </m:r>
          </m:sub>
          <m:sup>
            <m:r>
              <w:rPr>
                <w:rFonts w:ascii="Cambria Math"/>
                <w:lang w:val="en-AU"/>
              </w:rPr>
              <m:t>mux</m:t>
            </m:r>
          </m:sup>
        </m:sSubSup>
      </m:oMath>
      <w:r>
        <w:rPr>
          <w:lang w:val="en-US"/>
        </w:rPr>
        <w:t xml:space="preserve"> </w:t>
      </w:r>
      <w:r w:rsidRPr="00FF3E67">
        <w:t xml:space="preserve">after a last symbol of any corresponding PDSCH, </w:t>
      </w:r>
      <m:oMath>
        <m:sSubSup>
          <m:sSubSupPr>
            <m:ctrlPr>
              <w:rPr>
                <w:rFonts w:ascii="Cambria Math" w:hAnsi="Cambria Math"/>
                <w:i/>
                <w:sz w:val="24"/>
                <w:szCs w:val="24"/>
                <w:lang w:val="en-AU"/>
              </w:rPr>
            </m:ctrlPr>
          </m:sSubSupPr>
          <m:e>
            <m:r>
              <w:rPr>
                <w:rFonts w:ascii="Cambria Math"/>
                <w:lang w:val="en-AU"/>
              </w:rPr>
              <m:t>T</m:t>
            </m:r>
          </m:e>
          <m:sub>
            <m:r>
              <w:rPr>
                <w:rFonts w:ascii="Cambria Math"/>
                <w:lang w:val="en-AU"/>
              </w:rPr>
              <m:t>proc,1</m:t>
            </m:r>
          </m:sub>
          <m:sup>
            <m:r>
              <w:rPr>
                <w:rFonts w:ascii="Cambria Math"/>
                <w:lang w:val="en-AU"/>
              </w:rPr>
              <m:t>mux</m:t>
            </m:r>
          </m:sup>
        </m:sSubSup>
      </m:oMath>
      <w:r w:rsidR="00D621E7">
        <w:rPr>
          <w:sz w:val="24"/>
          <w:szCs w:val="24"/>
          <w:lang w:val="en-AU"/>
        </w:rPr>
        <w:t xml:space="preserve"> </w:t>
      </w:r>
      <w:r w:rsidR="00D621E7">
        <w:rPr>
          <w:lang w:val="en-AU"/>
        </w:rPr>
        <w:t xml:space="preserve">is given by maximum of </w:t>
      </w:r>
      <m:oMath>
        <m:d>
          <m:dPr>
            <m:begChr m:val="{"/>
            <m:endChr m:val="}"/>
            <m:ctrlPr>
              <w:rPr>
                <w:rFonts w:ascii="Cambria Math" w:hAnsi="Cambria Math"/>
                <w:i/>
                <w:sz w:val="24"/>
                <w:szCs w:val="24"/>
                <w:lang w:val="en-AU"/>
              </w:rPr>
            </m:ctrlPr>
          </m:dPr>
          <m:e>
            <m:sSubSup>
              <m:sSubSupPr>
                <m:ctrlPr>
                  <w:rPr>
                    <w:rFonts w:ascii="Cambria Math" w:hAnsi="Cambria Math"/>
                    <w:i/>
                    <w:sz w:val="24"/>
                    <w:szCs w:val="24"/>
                    <w:lang w:val="en-AU"/>
                  </w:rPr>
                </m:ctrlPr>
              </m:sSubSupPr>
              <m:e>
                <m:r>
                  <w:rPr>
                    <w:rFonts w:ascii="Cambria Math"/>
                    <w:lang w:val="en-AU"/>
                  </w:rPr>
                  <m:t>T</m:t>
                </m:r>
              </m:e>
              <m:sub>
                <m:r>
                  <w:rPr>
                    <w:rFonts w:ascii="Cambria Math"/>
                    <w:lang w:val="en-AU"/>
                  </w:rPr>
                  <m:t>proc,1</m:t>
                </m:r>
              </m:sub>
              <m:sup>
                <m:r>
                  <w:rPr>
                    <w:rFonts w:ascii="Cambria Math"/>
                    <w:lang w:val="en-AU"/>
                  </w:rPr>
                  <m:t>mux,1</m:t>
                </m:r>
              </m:sup>
            </m:sSubSup>
            <m:r>
              <w:rPr>
                <w:rFonts w:ascii="Cambria Math"/>
                <w:lang w:val="en-AU"/>
              </w:rPr>
              <m:t>,</m:t>
            </m:r>
            <m:r>
              <w:rPr>
                <w:rFonts w:ascii="Cambria Math" w:hAnsi="Cambria Math" w:cs="Cambria Math"/>
                <w:lang w:val="en-AU"/>
              </w:rPr>
              <m:t>⋯</m:t>
            </m:r>
            <m:r>
              <w:rPr>
                <w:rFonts w:ascii="Cambria Math"/>
                <w:lang w:val="en-AU"/>
              </w:rPr>
              <m:t>,</m:t>
            </m:r>
            <m:sSubSup>
              <m:sSubSupPr>
                <m:ctrlPr>
                  <w:rPr>
                    <w:rFonts w:ascii="Cambria Math" w:hAnsi="Cambria Math"/>
                    <w:i/>
                    <w:sz w:val="24"/>
                    <w:szCs w:val="24"/>
                    <w:lang w:val="en-AU"/>
                  </w:rPr>
                </m:ctrlPr>
              </m:sSubSupPr>
              <m:e>
                <m:r>
                  <w:rPr>
                    <w:rFonts w:ascii="Cambria Math"/>
                    <w:lang w:val="en-AU"/>
                  </w:rPr>
                  <m:t>T</m:t>
                </m:r>
              </m:e>
              <m:sub>
                <m:r>
                  <w:rPr>
                    <w:rFonts w:ascii="Cambria Math"/>
                    <w:lang w:val="en-AU"/>
                  </w:rPr>
                  <m:t>proc,1</m:t>
                </m:r>
              </m:sub>
              <m:sup>
                <m:r>
                  <w:rPr>
                    <w:rFonts w:ascii="Cambria Math"/>
                    <w:lang w:val="en-AU"/>
                  </w:rPr>
                  <m:t>mux,i</m:t>
                </m:r>
              </m:sup>
            </m:sSubSup>
            <m:r>
              <w:rPr>
                <w:rFonts w:ascii="Cambria Math"/>
                <w:lang w:val="en-AU"/>
              </w:rPr>
              <m:t>,</m:t>
            </m:r>
            <m:r>
              <w:rPr>
                <w:rFonts w:ascii="Cambria Math" w:hAnsi="Cambria Math" w:cs="Cambria Math"/>
                <w:lang w:val="en-AU"/>
              </w:rPr>
              <m:t>⋯</m:t>
            </m:r>
          </m:e>
        </m:d>
      </m:oMath>
      <w:r w:rsidR="00D621E7">
        <w:rPr>
          <w:sz w:val="24"/>
          <w:szCs w:val="24"/>
          <w:lang w:val="en-AU"/>
        </w:rPr>
        <w:t xml:space="preserve"> </w:t>
      </w:r>
      <w:r w:rsidR="00D621E7">
        <w:rPr>
          <w:lang w:val="en-AU"/>
        </w:rPr>
        <w:t xml:space="preserve">where for the i-th PDSCH </w:t>
      </w:r>
      <w:r w:rsidR="00D621E7">
        <w:rPr>
          <w:lang w:eastAsia="x-none"/>
        </w:rPr>
        <w:t xml:space="preserve">with corresponding HARQ-ACK transmission on a PUCCH which is in the group of </w:t>
      </w:r>
      <w:r w:rsidR="00D621E7">
        <w:t xml:space="preserve">overlapping PUCCHs and PUSCHs, </w:t>
      </w:r>
      <m:oMath>
        <m:sSubSup>
          <m:sSubSupPr>
            <m:ctrlPr>
              <w:rPr>
                <w:rFonts w:ascii="Cambria Math" w:hAnsi="Cambria Math"/>
                <w:i/>
                <w:sz w:val="24"/>
                <w:szCs w:val="24"/>
              </w:rPr>
            </m:ctrlPr>
          </m:sSubSupPr>
          <m:e>
            <m:r>
              <w:rPr>
                <w:rFonts w:ascii="Cambria Math"/>
              </w:rPr>
              <m:t>T</m:t>
            </m:r>
          </m:e>
          <m:sub>
            <m:r>
              <w:rPr>
                <w:rFonts w:ascii="Cambria Math"/>
              </w:rPr>
              <m:t>proc,1</m:t>
            </m:r>
          </m:sub>
          <m:sup>
            <m:r>
              <w:rPr>
                <w:rFonts w:ascii="Cambria Math"/>
              </w:rPr>
              <m:t>mux,i</m:t>
            </m:r>
          </m:sup>
        </m:sSubSup>
        <m:r>
          <w:rPr>
            <w:rFonts w:ascii="Cambria Math"/>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rPr>
                  <m:t>N</m:t>
                </m:r>
              </m:e>
              <m:sub>
                <m:r>
                  <w:rPr>
                    <w:rFonts w:ascii="Cambria Math"/>
                  </w:rPr>
                  <m:t>1</m:t>
                </m:r>
              </m:sub>
            </m:sSub>
            <m:r>
              <w:rPr>
                <w:rFonts w:ascii="Cambria Math"/>
              </w:rPr>
              <m:t>+</m:t>
            </m:r>
            <m:sSub>
              <m:sSubPr>
                <m:ctrlPr>
                  <w:rPr>
                    <w:rFonts w:ascii="Cambria Math" w:hAnsi="Cambria Math"/>
                    <w:i/>
                    <w:sz w:val="24"/>
                    <w:szCs w:val="24"/>
                  </w:rPr>
                </m:ctrlPr>
              </m:sSubPr>
              <m:e>
                <m:r>
                  <w:rPr>
                    <w:rFonts w:ascii="Cambria Math"/>
                  </w:rPr>
                  <m:t>d</m:t>
                </m:r>
              </m:e>
              <m:sub>
                <m:r>
                  <w:rPr>
                    <w:rFonts w:ascii="Cambria Math"/>
                  </w:rPr>
                  <m:t>1,1</m:t>
                </m:r>
              </m:sub>
            </m:sSub>
            <m:r>
              <w:rPr>
                <w:rFonts w:ascii="Cambria Math"/>
              </w:rPr>
              <m:t>+1</m:t>
            </m:r>
          </m:e>
        </m:d>
        <m:r>
          <w:rPr>
            <w:rFonts w:ascii="Cambria Math" w:hAnsi="Cambria Math" w:cs="Cambria Math"/>
          </w:rPr>
          <m:t>⋅</m:t>
        </m:r>
        <m:d>
          <m:dPr>
            <m:ctrlPr>
              <w:rPr>
                <w:rFonts w:ascii="Cambria Math" w:hAnsi="Cambria Math"/>
                <w:i/>
                <w:sz w:val="24"/>
                <w:szCs w:val="24"/>
              </w:rPr>
            </m:ctrlPr>
          </m:dPr>
          <m:e>
            <m:r>
              <w:rPr>
                <w:rFonts w:ascii="Cambria Math"/>
              </w:rPr>
              <m:t>2048+144</m:t>
            </m:r>
          </m:e>
        </m:d>
        <m:r>
          <w:rPr>
            <w:rFonts w:ascii="Cambria Math" w:hAnsi="Cambria Math" w:cs="Cambria Math"/>
          </w:rPr>
          <m:t>⋅</m:t>
        </m:r>
        <m:r>
          <w:rPr>
            <w:rFonts w:ascii="Cambria Math"/>
          </w:rPr>
          <m:t>κ</m:t>
        </m:r>
        <m:r>
          <w:rPr>
            <w:rFonts w:ascii="Cambria Math" w:hAnsi="Cambria Math" w:cs="Cambria Math"/>
          </w:rPr>
          <m:t>⋅</m:t>
        </m:r>
        <m:sSup>
          <m:sSupPr>
            <m:ctrlPr>
              <w:rPr>
                <w:rFonts w:ascii="Cambria Math" w:hAnsi="Cambria Math"/>
                <w:i/>
                <w:sz w:val="24"/>
                <w:szCs w:val="24"/>
              </w:rPr>
            </m:ctrlPr>
          </m:sSupPr>
          <m:e>
            <m:r>
              <w:rPr>
                <w:rFonts w:ascii="Cambria Math"/>
              </w:rPr>
              <m:t>2</m:t>
            </m:r>
          </m:e>
          <m:sup>
            <m:r>
              <w:rPr>
                <w:rFonts w:ascii="Cambria Math"/>
              </w:rPr>
              <m:t>-</m:t>
            </m:r>
            <m:r>
              <w:rPr>
                <w:rFonts w:ascii="Cambria Math"/>
              </w:rPr>
              <m:t>μ</m:t>
            </m:r>
          </m:sup>
        </m:sSup>
        <m:r>
          <w:rPr>
            <w:rFonts w:ascii="Cambria Math" w:hAnsi="Cambria Math" w:cs="Cambria Math"/>
          </w:rPr>
          <m:t>⋅</m:t>
        </m:r>
        <m:sSub>
          <m:sSubPr>
            <m:ctrlPr>
              <w:rPr>
                <w:rFonts w:ascii="Cambria Math" w:hAnsi="Cambria Math"/>
                <w:i/>
                <w:sz w:val="24"/>
                <w:szCs w:val="24"/>
              </w:rPr>
            </m:ctrlPr>
          </m:sSubPr>
          <m:e>
            <m:r>
              <w:rPr>
                <w:rFonts w:ascii="Cambria Math"/>
              </w:rPr>
              <m:t>T</m:t>
            </m:r>
          </m:e>
          <m:sub>
            <m:r>
              <w:rPr>
                <w:rFonts w:ascii="Cambria Math"/>
              </w:rPr>
              <m:t>C</m:t>
            </m:r>
          </m:sub>
        </m:sSub>
      </m:oMath>
      <w:r w:rsidR="00D621E7">
        <w:t xml:space="preserve">, </w:t>
      </w:r>
      <m:oMath>
        <m:sSub>
          <m:sSubPr>
            <m:ctrlPr>
              <w:rPr>
                <w:rFonts w:ascii="Cambria Math" w:hAnsi="Cambria Math"/>
                <w:i/>
                <w:sz w:val="24"/>
                <w:szCs w:val="24"/>
              </w:rPr>
            </m:ctrlPr>
          </m:sSubPr>
          <m:e>
            <m:r>
              <w:rPr>
                <w:rFonts w:ascii="Cambria Math"/>
              </w:rPr>
              <m:t>d</m:t>
            </m:r>
          </m:e>
          <m:sub>
            <m:r>
              <w:rPr>
                <w:rFonts w:ascii="Cambria Math"/>
              </w:rPr>
              <m:t>1,1</m:t>
            </m:r>
          </m:sub>
        </m:sSub>
      </m:oMath>
      <w:r w:rsidR="00D621E7">
        <w:rPr>
          <w:sz w:val="24"/>
          <w:szCs w:val="24"/>
          <w:lang w:val="en-US"/>
        </w:rPr>
        <w:t xml:space="preserve"> </w:t>
      </w:r>
      <w:r w:rsidR="00D621E7">
        <w:rPr>
          <w:lang w:val="en-AU"/>
        </w:rPr>
        <w:t xml:space="preserve">is selected for the i-th PDSCH </w:t>
      </w:r>
      <w:r w:rsidR="00D621E7">
        <w:rPr>
          <w:lang w:eastAsia="x-none"/>
        </w:rPr>
        <w:t xml:space="preserve">following </w:t>
      </w:r>
      <w:r w:rsidR="00D621E7">
        <w:t>[6, TS 38.214]</w:t>
      </w:r>
      <w:r w:rsidR="00D621E7">
        <w:rPr>
          <w:lang w:eastAsia="x-none"/>
        </w:rPr>
        <w:t xml:space="preserve">, </w:t>
      </w:r>
      <m:oMath>
        <m:sSub>
          <m:sSubPr>
            <m:ctrlPr>
              <w:rPr>
                <w:rFonts w:ascii="Cambria Math" w:hAnsi="Cambria Math"/>
                <w:i/>
                <w:sz w:val="24"/>
                <w:szCs w:val="24"/>
              </w:rPr>
            </m:ctrlPr>
          </m:sSubPr>
          <m:e>
            <m:r>
              <w:rPr>
                <w:rFonts w:ascii="Cambria Math"/>
              </w:rPr>
              <m:t>N</m:t>
            </m:r>
          </m:e>
          <m:sub>
            <m:r>
              <w:rPr>
                <w:rFonts w:ascii="Cambria Math"/>
              </w:rPr>
              <m:t>1</m:t>
            </m:r>
          </m:sub>
        </m:sSub>
      </m:oMath>
      <w:r w:rsidR="00D621E7">
        <w:t xml:space="preserve"> is selected based on the UE PDSCH processing capability</w:t>
      </w:r>
      <w:r w:rsidR="00D621E7">
        <w:rPr>
          <w:lang w:eastAsia="x-none"/>
        </w:rPr>
        <w:t xml:space="preserve"> of the i-th PDSCH and SCS configuration </w:t>
      </w:r>
      <m:oMath>
        <m:r>
          <w:rPr>
            <w:rFonts w:ascii="Cambria Math"/>
            <w:lang w:eastAsia="x-none"/>
          </w:rPr>
          <m:t>μ</m:t>
        </m:r>
      </m:oMath>
      <w:r w:rsidR="00D621E7">
        <w:rPr>
          <w:lang w:eastAsia="x-none"/>
        </w:rPr>
        <w:t xml:space="preserve">, where </w:t>
      </w:r>
      <m:oMath>
        <m:r>
          <w:rPr>
            <w:rFonts w:ascii="Cambria Math"/>
            <w:lang w:eastAsia="x-none"/>
          </w:rPr>
          <m:t>μ</m:t>
        </m:r>
      </m:oMath>
      <w:r w:rsidR="00D621E7">
        <w:rPr>
          <w:lang w:eastAsia="x-none"/>
        </w:rPr>
        <w:t xml:space="preserve"> corresponds to the smallest SCS configuration among the SCS configurations used for the PDCCH scheduling the i-th PDSCH</w:t>
      </w:r>
      <w:r w:rsidR="00B56C83">
        <w:rPr>
          <w:lang w:val="en-GB" w:eastAsia="x-none"/>
        </w:rPr>
        <w:t xml:space="preserve"> if any</w:t>
      </w:r>
      <w:r w:rsidR="00D621E7">
        <w:rPr>
          <w:lang w:eastAsia="x-none"/>
        </w:rPr>
        <w:t>, the i-th PDSCH, the PUCCH with corresponding HARQ-ACK transmission for</w:t>
      </w:r>
      <w:r w:rsidR="00C9450C">
        <w:rPr>
          <w:lang w:val="en-US" w:eastAsia="x-none"/>
        </w:rPr>
        <w:t xml:space="preserve"> the</w:t>
      </w:r>
      <w:r w:rsidR="00D621E7">
        <w:rPr>
          <w:lang w:eastAsia="x-none"/>
        </w:rPr>
        <w:t xml:space="preserve"> i-th PDSCH, and all PUSCHs in the group of overlapping PUCCHs and PUSCHs</w:t>
      </w:r>
      <w:r w:rsidR="00D621E7">
        <w:rPr>
          <w:lang w:val="en-US" w:eastAsia="x-none"/>
        </w:rPr>
        <w:t>.</w:t>
      </w:r>
      <w:r w:rsidRPr="00FF3E67">
        <w:rPr>
          <w:lang w:val="en-AU"/>
        </w:rPr>
        <w:t xml:space="preserve"> </w:t>
      </w:r>
    </w:p>
    <w:p w14:paraId="0F7A3D97" w14:textId="4559CF05" w:rsidR="005D27A4" w:rsidRDefault="005D27A4" w:rsidP="005D27A4">
      <w:pPr>
        <w:pStyle w:val="B1"/>
        <w:rPr>
          <w:lang w:val="en-AU"/>
        </w:rPr>
      </w:pPr>
      <w:r w:rsidRPr="00FF3E67">
        <w:t>-</w:t>
      </w:r>
      <w:r w:rsidRPr="00FF3E67">
        <w:tab/>
      </w:r>
      <m:oMath>
        <m:sSub>
          <m:sSubPr>
            <m:ctrlPr>
              <w:rPr>
                <w:rFonts w:ascii="Cambria Math" w:hAnsi="Cambria Math"/>
                <w:i/>
                <w:sz w:val="24"/>
                <w:szCs w:val="24"/>
              </w:rPr>
            </m:ctrlPr>
          </m:sSubPr>
          <m:e>
            <m:r>
              <w:rPr>
                <w:rFonts w:ascii="Cambria Math"/>
              </w:rPr>
              <m:t>S</m:t>
            </m:r>
          </m:e>
          <m:sub>
            <m:r>
              <w:rPr>
                <w:rFonts w:ascii="Cambria Math"/>
              </w:rPr>
              <m:t>0</m:t>
            </m:r>
          </m:sub>
        </m:sSub>
      </m:oMath>
      <w:r>
        <w:t xml:space="preserve"> is not before a symbol</w:t>
      </w:r>
      <w:r>
        <w:rPr>
          <w:lang w:val="en-US"/>
        </w:rPr>
        <w:t xml:space="preserve"> with</w:t>
      </w:r>
      <w:r w:rsidRPr="00FF3E67">
        <w:rPr>
          <w:lang w:val="en-AU"/>
        </w:rPr>
        <w:t xml:space="preserve"> CP starting after</w:t>
      </w:r>
      <w:r>
        <w:rPr>
          <w:lang w:val="en-AU"/>
        </w:rPr>
        <w:t xml:space="preserve"> </w:t>
      </w:r>
      <m:oMath>
        <m:sSubSup>
          <m:sSubSupPr>
            <m:ctrlPr>
              <w:rPr>
                <w:rFonts w:ascii="Cambria Math" w:hAnsi="Cambria Math"/>
                <w:i/>
                <w:sz w:val="24"/>
                <w:szCs w:val="24"/>
                <w:lang w:val="en-AU"/>
              </w:rPr>
            </m:ctrlPr>
          </m:sSubSupPr>
          <m:e>
            <m:r>
              <w:rPr>
                <w:rFonts w:ascii="Cambria Math"/>
                <w:lang w:val="en-AU"/>
              </w:rPr>
              <m:t>T</m:t>
            </m:r>
          </m:e>
          <m:sub>
            <m:r>
              <w:rPr>
                <w:rFonts w:ascii="Cambria Math"/>
                <w:lang w:val="en-AU"/>
              </w:rPr>
              <m:t>proc,release</m:t>
            </m:r>
          </m:sub>
          <m:sup>
            <m:r>
              <w:rPr>
                <w:rFonts w:ascii="Cambria Math"/>
                <w:lang w:val="en-AU"/>
              </w:rPr>
              <m:t>mux</m:t>
            </m:r>
          </m:sup>
        </m:sSubSup>
      </m:oMath>
      <w:r>
        <w:rPr>
          <w:lang w:val="en-US"/>
        </w:rPr>
        <w:t xml:space="preserve"> </w:t>
      </w:r>
      <w:r w:rsidRPr="00FF3E67">
        <w:t xml:space="preserve">after a last symbol of </w:t>
      </w:r>
      <w:r w:rsidR="00AE721C" w:rsidRPr="00111FF6">
        <w:rPr>
          <w:lang w:val="en-US"/>
        </w:rPr>
        <w:t xml:space="preserve">a PDCCH reception providing a DCI format </w:t>
      </w:r>
      <w:r w:rsidR="00535966">
        <w:rPr>
          <w:lang w:val="en-US"/>
        </w:rPr>
        <w:t xml:space="preserve">having </w:t>
      </w:r>
      <w:r w:rsidR="00AE721C" w:rsidRPr="00111FF6">
        <w:rPr>
          <w:lang w:val="en-US"/>
        </w:rPr>
        <w:t>associated HARQ-ACK information without scheduling a PDSCH reception</w:t>
      </w:r>
      <w:r w:rsidR="00D621E7">
        <w:t xml:space="preserve">. </w:t>
      </w:r>
      <m:oMath>
        <m:sSubSup>
          <m:sSubSupPr>
            <m:ctrlPr>
              <w:rPr>
                <w:rFonts w:ascii="Cambria Math" w:hAnsi="Cambria Math"/>
                <w:i/>
                <w:sz w:val="24"/>
                <w:szCs w:val="24"/>
                <w:lang w:val="en-AU"/>
              </w:rPr>
            </m:ctrlPr>
          </m:sSubSupPr>
          <m:e>
            <m:r>
              <w:rPr>
                <w:rFonts w:ascii="Cambria Math"/>
                <w:lang w:val="en-AU"/>
              </w:rPr>
              <m:t>T</m:t>
            </m:r>
          </m:e>
          <m:sub>
            <m:r>
              <w:rPr>
                <w:rFonts w:ascii="Cambria Math"/>
                <w:lang w:val="en-AU"/>
              </w:rPr>
              <m:t>proc,release</m:t>
            </m:r>
          </m:sub>
          <m:sup>
            <m:r>
              <w:rPr>
                <w:rFonts w:ascii="Cambria Math"/>
                <w:lang w:val="en-AU"/>
              </w:rPr>
              <m:t>mux</m:t>
            </m:r>
          </m:sup>
        </m:sSubSup>
      </m:oMath>
      <w:r w:rsidR="00D621E7">
        <w:rPr>
          <w:sz w:val="24"/>
          <w:szCs w:val="24"/>
          <w:lang w:val="en-AU"/>
        </w:rPr>
        <w:t xml:space="preserve"> </w:t>
      </w:r>
      <w:r w:rsidR="00D621E7">
        <w:rPr>
          <w:lang w:val="en-AU"/>
        </w:rPr>
        <w:t xml:space="preserve">is given by maximum of </w:t>
      </w:r>
      <m:oMath>
        <m:d>
          <m:dPr>
            <m:begChr m:val="{"/>
            <m:endChr m:val="}"/>
            <m:ctrlPr>
              <w:rPr>
                <w:rFonts w:ascii="Cambria Math" w:hAnsi="Cambria Math"/>
                <w:i/>
                <w:sz w:val="24"/>
                <w:szCs w:val="24"/>
                <w:lang w:val="en-AU"/>
              </w:rPr>
            </m:ctrlPr>
          </m:dPr>
          <m:e>
            <m:sSubSup>
              <m:sSubSupPr>
                <m:ctrlPr>
                  <w:rPr>
                    <w:rFonts w:ascii="Cambria Math" w:hAnsi="Cambria Math"/>
                    <w:i/>
                    <w:sz w:val="24"/>
                    <w:szCs w:val="24"/>
                    <w:lang w:val="en-AU"/>
                  </w:rPr>
                </m:ctrlPr>
              </m:sSubSupPr>
              <m:e>
                <m:r>
                  <w:rPr>
                    <w:rFonts w:ascii="Cambria Math"/>
                    <w:lang w:val="en-AU"/>
                  </w:rPr>
                  <m:t>T</m:t>
                </m:r>
              </m:e>
              <m:sub>
                <m:r>
                  <w:rPr>
                    <w:rFonts w:ascii="Cambria Math"/>
                    <w:lang w:val="en-AU"/>
                  </w:rPr>
                  <m:t>proc,release</m:t>
                </m:r>
              </m:sub>
              <m:sup>
                <m:r>
                  <w:rPr>
                    <w:rFonts w:ascii="Cambria Math"/>
                    <w:lang w:val="en-AU"/>
                  </w:rPr>
                  <m:t>mux,1</m:t>
                </m:r>
              </m:sup>
            </m:sSubSup>
            <m:r>
              <w:rPr>
                <w:rFonts w:ascii="Cambria Math"/>
                <w:lang w:val="en-AU"/>
              </w:rPr>
              <m:t>,</m:t>
            </m:r>
            <m:r>
              <w:rPr>
                <w:rFonts w:ascii="Cambria Math" w:hAnsi="Cambria Math" w:cs="Cambria Math"/>
                <w:lang w:val="en-AU"/>
              </w:rPr>
              <m:t>⋯</m:t>
            </m:r>
            <m:r>
              <w:rPr>
                <w:rFonts w:ascii="Cambria Math"/>
                <w:lang w:val="en-AU"/>
              </w:rPr>
              <m:t>,</m:t>
            </m:r>
            <m:sSubSup>
              <m:sSubSupPr>
                <m:ctrlPr>
                  <w:rPr>
                    <w:rFonts w:ascii="Cambria Math" w:hAnsi="Cambria Math"/>
                    <w:i/>
                    <w:sz w:val="24"/>
                    <w:szCs w:val="24"/>
                    <w:lang w:val="en-AU"/>
                  </w:rPr>
                </m:ctrlPr>
              </m:sSubSupPr>
              <m:e>
                <m:r>
                  <w:rPr>
                    <w:rFonts w:ascii="Cambria Math"/>
                    <w:lang w:val="en-AU"/>
                  </w:rPr>
                  <m:t>T</m:t>
                </m:r>
              </m:e>
              <m:sub>
                <m:r>
                  <w:rPr>
                    <w:rFonts w:ascii="Cambria Math"/>
                    <w:lang w:val="en-AU"/>
                  </w:rPr>
                  <m:t>proc,release</m:t>
                </m:r>
              </m:sub>
              <m:sup>
                <m:r>
                  <w:rPr>
                    <w:rFonts w:ascii="Cambria Math"/>
                    <w:lang w:val="en-AU"/>
                  </w:rPr>
                  <m:t>mux,i</m:t>
                </m:r>
              </m:sup>
            </m:sSubSup>
            <m:r>
              <w:rPr>
                <w:rFonts w:ascii="Cambria Math"/>
                <w:lang w:val="en-AU"/>
              </w:rPr>
              <m:t>,</m:t>
            </m:r>
            <m:r>
              <w:rPr>
                <w:rFonts w:ascii="Cambria Math" w:hAnsi="Cambria Math" w:cs="Cambria Math"/>
                <w:lang w:val="en-AU"/>
              </w:rPr>
              <m:t>⋯</m:t>
            </m:r>
          </m:e>
        </m:d>
      </m:oMath>
      <w:r w:rsidR="00D621E7">
        <w:rPr>
          <w:sz w:val="24"/>
          <w:szCs w:val="24"/>
          <w:lang w:val="en-AU"/>
        </w:rPr>
        <w:t xml:space="preserve"> </w:t>
      </w:r>
      <w:r w:rsidR="00D621E7">
        <w:rPr>
          <w:lang w:val="en-AU"/>
        </w:rPr>
        <w:t xml:space="preserve">where for the i-th PDCCH providing </w:t>
      </w:r>
      <w:r w:rsidR="00AE721C" w:rsidRPr="00111FF6">
        <w:rPr>
          <w:lang w:val="en-AU" w:eastAsia="x-none"/>
        </w:rPr>
        <w:t>the DCI format</w:t>
      </w:r>
      <w:r w:rsidR="00FA2B89">
        <w:rPr>
          <w:lang w:val="en-AU" w:eastAsia="x-none"/>
        </w:rPr>
        <w:t xml:space="preserve"> </w:t>
      </w:r>
      <w:r w:rsidR="00D621E7">
        <w:rPr>
          <w:lang w:eastAsia="x-none"/>
        </w:rPr>
        <w:t xml:space="preserve">with corresponding HARQ-ACK transmission on a PUCCH which is in the group of </w:t>
      </w:r>
      <w:r w:rsidR="00D621E7">
        <w:t xml:space="preserve">overlapping PUCCHs and PUSCHs, </w:t>
      </w:r>
      <m:oMath>
        <m:sSubSup>
          <m:sSubSupPr>
            <m:ctrlPr>
              <w:rPr>
                <w:rFonts w:ascii="Cambria Math" w:hAnsi="Cambria Math"/>
                <w:i/>
                <w:sz w:val="24"/>
                <w:szCs w:val="24"/>
                <w:lang w:val="en-AU"/>
              </w:rPr>
            </m:ctrlPr>
          </m:sSubSupPr>
          <m:e>
            <m:r>
              <w:rPr>
                <w:rFonts w:ascii="Cambria Math"/>
                <w:lang w:val="en-AU"/>
              </w:rPr>
              <m:t>T</m:t>
            </m:r>
          </m:e>
          <m:sub>
            <m:r>
              <w:rPr>
                <w:rFonts w:ascii="Cambria Math"/>
                <w:lang w:val="en-AU"/>
              </w:rPr>
              <m:t>proc,release</m:t>
            </m:r>
          </m:sub>
          <m:sup>
            <m:r>
              <w:rPr>
                <w:rFonts w:ascii="Cambria Math"/>
                <w:lang w:val="en-AU"/>
              </w:rPr>
              <m:t>mux,i</m:t>
            </m:r>
          </m:sup>
        </m:sSubSup>
        <m:r>
          <w:rPr>
            <w:rFonts w:ascii="Cambria Math"/>
            <w:lang w:val="en-AU"/>
          </w:rPr>
          <m:t>=</m:t>
        </m:r>
        <m:d>
          <m:dPr>
            <m:ctrlPr>
              <w:rPr>
                <w:rFonts w:ascii="Cambria Math" w:hAnsi="Cambria Math"/>
                <w:i/>
                <w:sz w:val="24"/>
                <w:szCs w:val="24"/>
                <w:lang w:val="en-AU"/>
              </w:rPr>
            </m:ctrlPr>
          </m:dPr>
          <m:e>
            <m:r>
              <w:rPr>
                <w:rFonts w:ascii="Cambria Math"/>
                <w:lang w:val="en-AU"/>
              </w:rPr>
              <m:t>N+1</m:t>
            </m:r>
          </m:e>
        </m:d>
        <m:r>
          <w:rPr>
            <w:rFonts w:ascii="Cambria Math" w:hAnsi="Cambria Math" w:cs="Cambria Math"/>
            <w:lang w:val="en-AU"/>
          </w:rPr>
          <m:t>⋅</m:t>
        </m:r>
        <m:d>
          <m:dPr>
            <m:ctrlPr>
              <w:rPr>
                <w:rFonts w:ascii="Cambria Math" w:hAnsi="Cambria Math"/>
                <w:i/>
                <w:sz w:val="24"/>
                <w:szCs w:val="24"/>
                <w:lang w:val="en-AU"/>
              </w:rPr>
            </m:ctrlPr>
          </m:dPr>
          <m:e>
            <m:r>
              <w:rPr>
                <w:rFonts w:ascii="Cambria Math"/>
                <w:lang w:val="en-AU"/>
              </w:rPr>
              <m:t>2048+144</m:t>
            </m:r>
          </m:e>
        </m:d>
        <m:r>
          <w:rPr>
            <w:rFonts w:ascii="Cambria Math" w:hAnsi="Cambria Math" w:cs="Cambria Math"/>
            <w:lang w:val="en-AU"/>
          </w:rPr>
          <m:t>⋅</m:t>
        </m:r>
        <m:r>
          <w:rPr>
            <w:rFonts w:ascii="Cambria Math"/>
            <w:lang w:val="en-AU"/>
          </w:rPr>
          <m:t>κ</m:t>
        </m:r>
        <m:r>
          <w:rPr>
            <w:rFonts w:ascii="Cambria Math" w:hAnsi="Cambria Math" w:cs="Cambria Math"/>
            <w:lang w:val="en-AU"/>
          </w:rPr>
          <m:t>⋅</m:t>
        </m:r>
        <m:sSup>
          <m:sSupPr>
            <m:ctrlPr>
              <w:rPr>
                <w:rFonts w:ascii="Cambria Math" w:hAnsi="Cambria Math"/>
                <w:i/>
                <w:sz w:val="24"/>
                <w:szCs w:val="24"/>
                <w:lang w:val="en-AU"/>
              </w:rPr>
            </m:ctrlPr>
          </m:sSupPr>
          <m:e>
            <m:r>
              <w:rPr>
                <w:rFonts w:ascii="Cambria Math"/>
                <w:lang w:val="en-AU"/>
              </w:rPr>
              <m:t>2</m:t>
            </m:r>
          </m:e>
          <m:sup>
            <m:r>
              <w:rPr>
                <w:rFonts w:ascii="Cambria Math"/>
                <w:lang w:val="en-AU"/>
              </w:rPr>
              <m:t>-</m:t>
            </m:r>
            <m:r>
              <w:rPr>
                <w:rFonts w:ascii="Cambria Math"/>
                <w:lang w:val="en-AU"/>
              </w:rPr>
              <m:t>μ</m:t>
            </m:r>
          </m:sup>
        </m:sSup>
        <m:r>
          <w:rPr>
            <w:rFonts w:ascii="Cambria Math" w:hAnsi="Cambria Math" w:cs="Cambria Math"/>
            <w:lang w:val="en-AU"/>
          </w:rPr>
          <m:t>⋅</m:t>
        </m:r>
        <m:sSub>
          <m:sSubPr>
            <m:ctrlPr>
              <w:rPr>
                <w:rFonts w:ascii="Cambria Math" w:hAnsi="Cambria Math"/>
                <w:i/>
                <w:sz w:val="24"/>
                <w:szCs w:val="24"/>
                <w:lang w:val="en-AU"/>
              </w:rPr>
            </m:ctrlPr>
          </m:sSubPr>
          <m:e>
            <m:r>
              <w:rPr>
                <w:rFonts w:ascii="Cambria Math"/>
                <w:lang w:val="en-AU"/>
              </w:rPr>
              <m:t>T</m:t>
            </m:r>
          </m:e>
          <m:sub>
            <m:r>
              <w:rPr>
                <w:rFonts w:ascii="Cambria Math"/>
                <w:lang w:val="en-AU"/>
              </w:rPr>
              <m:t>C</m:t>
            </m:r>
          </m:sub>
        </m:sSub>
      </m:oMath>
      <w:r w:rsidR="00D621E7">
        <w:rPr>
          <w:lang w:val="en-AU"/>
        </w:rPr>
        <w:t xml:space="preserve">, </w:t>
      </w:r>
      <m:oMath>
        <m:r>
          <w:rPr>
            <w:rFonts w:ascii="Cambria Math"/>
          </w:rPr>
          <m:t>N</m:t>
        </m:r>
      </m:oMath>
      <w:r w:rsidR="00D621E7">
        <w:t xml:space="preserve"> </w:t>
      </w:r>
      <w:r w:rsidR="00032BAD">
        <w:rPr>
          <w:lang w:val="en-US"/>
        </w:rPr>
        <w:t>a</w:t>
      </w:r>
      <w:r w:rsidR="00032BAD">
        <w:t xml:space="preserve">s </w:t>
      </w:r>
      <w:r w:rsidR="00D621E7">
        <w:t xml:space="preserve">described </w:t>
      </w:r>
      <w:r w:rsidR="006F5F9E">
        <w:t>in clause</w:t>
      </w:r>
      <w:r w:rsidR="00D621E7">
        <w:t xml:space="preserve"> 10.2</w:t>
      </w:r>
      <w:r w:rsidR="00032BAD" w:rsidRPr="00FB24EA">
        <w:rPr>
          <w:lang w:eastAsia="x-none"/>
        </w:rPr>
        <w:t xml:space="preserve">, </w:t>
      </w:r>
      <w:r w:rsidR="00D621E7">
        <w:rPr>
          <w:lang w:eastAsia="x-none"/>
        </w:rPr>
        <w:t xml:space="preserve">where </w:t>
      </w:r>
      <m:oMath>
        <m:r>
          <w:rPr>
            <w:rFonts w:ascii="Cambria Math"/>
            <w:lang w:eastAsia="x-none"/>
          </w:rPr>
          <m:t>μ</m:t>
        </m:r>
      </m:oMath>
      <w:r w:rsidR="00D621E7">
        <w:rPr>
          <w:lang w:eastAsia="x-none"/>
        </w:rPr>
        <w:t xml:space="preserve"> corresponds to the smallest SCS configuration among the SCS configurations used for the </w:t>
      </w:r>
      <w:r w:rsidR="00D621E7">
        <w:rPr>
          <w:lang w:val="en-AU"/>
        </w:rPr>
        <w:t>PDCCH</w:t>
      </w:r>
      <w:r w:rsidR="00D621E7">
        <w:rPr>
          <w:lang w:eastAsia="x-none"/>
        </w:rPr>
        <w:t xml:space="preserve">, the PUCCH with corresponding HARQ-ACK </w:t>
      </w:r>
      <w:r w:rsidR="00AE721C" w:rsidRPr="00111FF6">
        <w:rPr>
          <w:lang w:val="en-US" w:eastAsia="x-none"/>
        </w:rPr>
        <w:t>information</w:t>
      </w:r>
      <w:r w:rsidR="00D621E7">
        <w:rPr>
          <w:lang w:eastAsia="x-none"/>
        </w:rPr>
        <w:t>, and all PUSCHs in the group of overlapping PUCCHs and PUSCHs.</w:t>
      </w:r>
      <w:r w:rsidRPr="00FF3E67">
        <w:rPr>
          <w:lang w:val="en-AU"/>
        </w:rPr>
        <w:t xml:space="preserve"> </w:t>
      </w:r>
    </w:p>
    <w:p w14:paraId="5F99886B" w14:textId="083F6376" w:rsidR="003053CA" w:rsidRDefault="005D27A4" w:rsidP="005D27A4">
      <w:pPr>
        <w:pStyle w:val="B1"/>
      </w:pPr>
      <w:r w:rsidRPr="00FF3E67">
        <w:t>-</w:t>
      </w:r>
      <w:r w:rsidRPr="00FF3E67">
        <w:tab/>
      </w:r>
      <w:r>
        <w:t>i</w:t>
      </w:r>
      <w:r w:rsidRPr="00FF3E67">
        <w:t xml:space="preserve">f there is no </w:t>
      </w:r>
      <w:r>
        <w:rPr>
          <w:lang w:val="en-US"/>
        </w:rPr>
        <w:t xml:space="preserve">aperiodic </w:t>
      </w:r>
      <w:r w:rsidRPr="00FF3E67">
        <w:t xml:space="preserve">CSI report </w:t>
      </w:r>
      <w:r>
        <w:t>multiplexed i</w:t>
      </w:r>
      <w:r w:rsidRPr="00FF3E67">
        <w:t xml:space="preserve">n a PUSCH in </w:t>
      </w:r>
      <w:r>
        <w:t xml:space="preserve">the group of overlapping PUCCHs and </w:t>
      </w:r>
      <w:r w:rsidRPr="00FF3E67">
        <w:t xml:space="preserve">PUSCHs, </w:t>
      </w:r>
      <m:oMath>
        <m:sSub>
          <m:sSubPr>
            <m:ctrlPr>
              <w:rPr>
                <w:rFonts w:ascii="Cambria Math" w:hAnsi="Cambria Math"/>
                <w:i/>
                <w:sz w:val="24"/>
                <w:szCs w:val="24"/>
              </w:rPr>
            </m:ctrlPr>
          </m:sSubPr>
          <m:e>
            <m:r>
              <w:rPr>
                <w:rFonts w:ascii="Cambria Math"/>
              </w:rPr>
              <m:t>S</m:t>
            </m:r>
          </m:e>
          <m:sub>
            <m:r>
              <w:rPr>
                <w:rFonts w:ascii="Cambria Math"/>
              </w:rPr>
              <m:t>0</m:t>
            </m:r>
          </m:sub>
        </m:sSub>
      </m:oMath>
      <w:r w:rsidRPr="00FF3E67">
        <w:t xml:space="preserve"> is not before </w:t>
      </w:r>
      <w:r>
        <w:t>a symbol</w:t>
      </w:r>
      <w:r>
        <w:rPr>
          <w:lang w:val="en-US"/>
        </w:rPr>
        <w:t xml:space="preserve"> with</w:t>
      </w:r>
      <w:r w:rsidRPr="00FF3E67">
        <w:rPr>
          <w:lang w:val="en-AU"/>
        </w:rPr>
        <w:t xml:space="preserve"> CP starting after</w:t>
      </w:r>
      <w:r>
        <w:rPr>
          <w:lang w:val="en-AU"/>
        </w:rPr>
        <w:t xml:space="preserve"> </w:t>
      </w:r>
      <m:oMath>
        <m:sSubSup>
          <m:sSubSupPr>
            <m:ctrlPr>
              <w:rPr>
                <w:rFonts w:ascii="Cambria Math" w:hAnsi="Cambria Math"/>
                <w:i/>
                <w:sz w:val="24"/>
                <w:szCs w:val="24"/>
                <w:lang w:val="en-AU"/>
              </w:rPr>
            </m:ctrlPr>
          </m:sSubSupPr>
          <m:e>
            <m:r>
              <w:rPr>
                <w:rFonts w:ascii="Cambria Math"/>
                <w:lang w:val="en-AU"/>
              </w:rPr>
              <m:t>T</m:t>
            </m:r>
          </m:e>
          <m:sub>
            <m:r>
              <w:rPr>
                <w:rFonts w:ascii="Cambria Math"/>
                <w:lang w:val="en-AU"/>
              </w:rPr>
              <m:t>proc,2</m:t>
            </m:r>
          </m:sub>
          <m:sup>
            <m:r>
              <w:rPr>
                <w:rFonts w:ascii="Cambria Math"/>
                <w:lang w:val="en-AU"/>
              </w:rPr>
              <m:t>mux</m:t>
            </m:r>
          </m:sup>
        </m:sSubSup>
      </m:oMath>
      <w:r>
        <w:rPr>
          <w:lang w:val="en-AU"/>
        </w:rPr>
        <w:t xml:space="preserve"> </w:t>
      </w:r>
      <w:r w:rsidRPr="00FF3E67">
        <w:t xml:space="preserve">after </w:t>
      </w:r>
      <w:r>
        <w:t>a</w:t>
      </w:r>
      <w:r w:rsidRPr="00FF3E67">
        <w:t xml:space="preserve"> last symbol of </w:t>
      </w:r>
    </w:p>
    <w:p w14:paraId="2013646A" w14:textId="77777777" w:rsidR="003053CA" w:rsidRDefault="003053CA" w:rsidP="001B2CF0">
      <w:pPr>
        <w:pStyle w:val="B2"/>
      </w:pPr>
      <w:r>
        <w:rPr>
          <w:lang w:val="en-US"/>
        </w:rPr>
        <w:t>-</w:t>
      </w:r>
      <w:r>
        <w:rPr>
          <w:lang w:val="en-US"/>
        </w:rPr>
        <w:tab/>
      </w:r>
      <w:r w:rsidR="005D27A4">
        <w:t>a</w:t>
      </w:r>
      <w:r w:rsidR="00D621E7">
        <w:rPr>
          <w:lang w:val="en-US"/>
        </w:rPr>
        <w:t>ny</w:t>
      </w:r>
      <w:r w:rsidR="005D27A4" w:rsidRPr="00FF3E67">
        <w:t xml:space="preserve"> PDCCH</w:t>
      </w:r>
      <w:r w:rsidR="005D27A4">
        <w:rPr>
          <w:lang w:val="en-US"/>
        </w:rPr>
        <w:t xml:space="preserve"> </w:t>
      </w:r>
      <w:r w:rsidR="00674531">
        <w:rPr>
          <w:lang w:val="en-US"/>
        </w:rPr>
        <w:t xml:space="preserve">with the DCI format </w:t>
      </w:r>
      <w:r w:rsidR="005D27A4">
        <w:t xml:space="preserve">scheduling </w:t>
      </w:r>
      <w:r w:rsidR="00D621E7">
        <w:t>an overlapping</w:t>
      </w:r>
      <w:r w:rsidR="005D27A4">
        <w:t xml:space="preserve"> PUSCH</w:t>
      </w:r>
      <w:r w:rsidR="00674531">
        <w:rPr>
          <w:lang w:val="en-US"/>
        </w:rPr>
        <w:t>, and</w:t>
      </w:r>
      <w:r w:rsidR="005D27A4">
        <w:t xml:space="preserve"> </w:t>
      </w:r>
    </w:p>
    <w:p w14:paraId="5CE075E3" w14:textId="4EB825BB" w:rsidR="00AE721C" w:rsidRPr="00111FF6" w:rsidRDefault="00AE721C" w:rsidP="00AE721C">
      <w:pPr>
        <w:pStyle w:val="B2"/>
      </w:pPr>
      <w:r w:rsidRPr="00111FF6">
        <w:rPr>
          <w:lang w:val="en-US"/>
        </w:rPr>
        <w:t>-</w:t>
      </w:r>
      <w:r w:rsidRPr="00111FF6">
        <w:rPr>
          <w:lang w:val="en-US"/>
        </w:rPr>
        <w:tab/>
      </w:r>
      <w:r w:rsidRPr="00111FF6">
        <w:t xml:space="preserve">any </w:t>
      </w:r>
      <w:r w:rsidRPr="00111FF6">
        <w:rPr>
          <w:lang w:val="en-US"/>
        </w:rPr>
        <w:t>PDCCH providing a DCI format</w:t>
      </w:r>
      <w:r w:rsidRPr="00111FF6">
        <w:t xml:space="preserve"> </w:t>
      </w:r>
      <w:r w:rsidRPr="00111FF6">
        <w:rPr>
          <w:lang w:val="en-US"/>
        </w:rPr>
        <w:t>with corresponding HARQ-ACK information in an overlapping PUCCH in the slot</w:t>
      </w:r>
    </w:p>
    <w:p w14:paraId="4F447445" w14:textId="494CCF49" w:rsidR="00D621E7" w:rsidRDefault="00D621E7" w:rsidP="00D621E7">
      <w:pPr>
        <w:pStyle w:val="B2"/>
        <w:ind w:left="567" w:firstLine="0"/>
        <w:rPr>
          <w:lang w:eastAsia="x-none"/>
        </w:rPr>
      </w:pPr>
      <w:r>
        <w:rPr>
          <w:lang w:val="en-AU"/>
        </w:rPr>
        <w:t xml:space="preserve">If there is at least one PUSCH </w:t>
      </w:r>
      <w:r>
        <w:rPr>
          <w:lang w:eastAsia="x-none"/>
        </w:rPr>
        <w:t>in the group of overlapping PUCCHs and PUSCHs</w:t>
      </w:r>
      <w:r>
        <w:rPr>
          <w:lang w:val="en-AU"/>
        </w:rPr>
        <w:t xml:space="preserve">, </w:t>
      </w:r>
      <m:oMath>
        <m:sSubSup>
          <m:sSubSupPr>
            <m:ctrlPr>
              <w:rPr>
                <w:rFonts w:ascii="Cambria Math" w:hAnsi="Cambria Math"/>
                <w:i/>
                <w:lang w:val="en-AU"/>
              </w:rPr>
            </m:ctrlPr>
          </m:sSubSupPr>
          <m:e>
            <m:r>
              <w:rPr>
                <w:rFonts w:ascii="Cambria Math"/>
                <w:lang w:val="en-AU"/>
              </w:rPr>
              <m:t>T</m:t>
            </m:r>
          </m:e>
          <m:sub>
            <m:r>
              <w:rPr>
                <w:rFonts w:ascii="Cambria Math"/>
                <w:lang w:val="en-AU"/>
              </w:rPr>
              <m:t>proc,2</m:t>
            </m:r>
          </m:sub>
          <m:sup>
            <m:r>
              <w:rPr>
                <w:rFonts w:ascii="Cambria Math"/>
                <w:lang w:val="en-AU"/>
              </w:rPr>
              <m:t>mux</m:t>
            </m:r>
          </m:sup>
        </m:sSubSup>
      </m:oMath>
      <w:r w:rsidR="00AC1D73">
        <w:rPr>
          <w:lang w:val="en-AU"/>
        </w:rPr>
        <w:t xml:space="preserve"> </w:t>
      </w:r>
      <w:r>
        <w:rPr>
          <w:lang w:val="en-AU"/>
        </w:rPr>
        <w:t xml:space="preserve">is given by maximum of </w:t>
      </w:r>
      <m:oMath>
        <m:d>
          <m:dPr>
            <m:begChr m:val="{"/>
            <m:endChr m:val="}"/>
            <m:ctrlPr>
              <w:rPr>
                <w:rFonts w:ascii="Cambria Math" w:hAnsi="Cambria Math"/>
                <w:i/>
                <w:lang w:val="en-AU"/>
              </w:rPr>
            </m:ctrlPr>
          </m:dPr>
          <m:e>
            <m:sSubSup>
              <m:sSubSupPr>
                <m:ctrlPr>
                  <w:rPr>
                    <w:rFonts w:ascii="Cambria Math" w:hAnsi="Cambria Math"/>
                    <w:i/>
                    <w:lang w:val="en-AU"/>
                  </w:rPr>
                </m:ctrlPr>
              </m:sSubSupPr>
              <m:e>
                <m:r>
                  <w:rPr>
                    <w:rFonts w:ascii="Cambria Math"/>
                    <w:lang w:val="en-AU"/>
                  </w:rPr>
                  <m:t>T</m:t>
                </m:r>
              </m:e>
              <m:sub>
                <m:r>
                  <w:rPr>
                    <w:rFonts w:ascii="Cambria Math"/>
                    <w:lang w:val="en-AU"/>
                  </w:rPr>
                  <m:t>proc,2</m:t>
                </m:r>
              </m:sub>
              <m:sup>
                <m:r>
                  <w:rPr>
                    <w:rFonts w:ascii="Cambria Math"/>
                    <w:lang w:val="en-AU"/>
                  </w:rPr>
                  <m:t>mux,1</m:t>
                </m:r>
              </m:sup>
            </m:sSubSup>
            <m:r>
              <w:rPr>
                <w:rFonts w:ascii="Cambria Math"/>
                <w:lang w:val="en-AU"/>
              </w:rPr>
              <m:t>,</m:t>
            </m:r>
            <m:r>
              <w:rPr>
                <w:rFonts w:ascii="Cambria Math" w:hAnsi="Cambria Math" w:cs="Cambria Math"/>
                <w:lang w:val="en-AU"/>
              </w:rPr>
              <m:t>⋯</m:t>
            </m:r>
            <m:r>
              <w:rPr>
                <w:rFonts w:ascii="Cambria Math"/>
                <w:lang w:val="en-AU"/>
              </w:rPr>
              <m:t>,</m:t>
            </m:r>
            <m:sSubSup>
              <m:sSubSupPr>
                <m:ctrlPr>
                  <w:rPr>
                    <w:rFonts w:ascii="Cambria Math" w:hAnsi="Cambria Math"/>
                    <w:i/>
                    <w:lang w:val="en-AU"/>
                  </w:rPr>
                </m:ctrlPr>
              </m:sSubSupPr>
              <m:e>
                <m:r>
                  <w:rPr>
                    <w:rFonts w:ascii="Cambria Math"/>
                    <w:lang w:val="en-AU"/>
                  </w:rPr>
                  <m:t>T</m:t>
                </m:r>
              </m:e>
              <m:sub>
                <m:r>
                  <w:rPr>
                    <w:rFonts w:ascii="Cambria Math"/>
                    <w:lang w:val="en-AU"/>
                  </w:rPr>
                  <m:t>proc,2</m:t>
                </m:r>
              </m:sub>
              <m:sup>
                <m:r>
                  <w:rPr>
                    <w:rFonts w:ascii="Cambria Math"/>
                    <w:lang w:val="en-AU"/>
                  </w:rPr>
                  <m:t>mux,i</m:t>
                </m:r>
              </m:sup>
            </m:sSubSup>
            <m:r>
              <w:rPr>
                <w:rFonts w:ascii="Cambria Math"/>
                <w:lang w:val="en-AU"/>
              </w:rPr>
              <m:t>,</m:t>
            </m:r>
            <m:r>
              <w:rPr>
                <w:rFonts w:ascii="Cambria Math" w:hAnsi="Cambria Math" w:cs="Cambria Math"/>
                <w:lang w:val="en-AU"/>
              </w:rPr>
              <m:t>⋯</m:t>
            </m:r>
          </m:e>
        </m:d>
      </m:oMath>
      <w:r>
        <w:rPr>
          <w:lang w:val="en-AU"/>
        </w:rPr>
        <w:t xml:space="preserve"> where for the i-th PUSCH</w:t>
      </w:r>
      <w:r>
        <w:rPr>
          <w:lang w:val="en-AU" w:eastAsia="x-none"/>
        </w:rPr>
        <w:t xml:space="preserve"> </w:t>
      </w:r>
      <w:r>
        <w:rPr>
          <w:lang w:eastAsia="x-none"/>
        </w:rPr>
        <w:t xml:space="preserve">which is in the group of </w:t>
      </w:r>
      <w:r>
        <w:t xml:space="preserve">overlapping PUCCHs and PUSCHs, </w:t>
      </w:r>
      <m:oMath>
        <m:sSubSup>
          <m:sSubSupPr>
            <m:ctrlPr>
              <w:rPr>
                <w:rFonts w:ascii="Cambria Math" w:hAnsi="Cambria Math"/>
                <w:i/>
              </w:rPr>
            </m:ctrlPr>
          </m:sSubSupPr>
          <m:e>
            <m:r>
              <w:rPr>
                <w:rFonts w:ascii="Cambria Math"/>
              </w:rPr>
              <m:t>T</m:t>
            </m:r>
          </m:e>
          <m:sub>
            <m:r>
              <w:rPr>
                <w:rFonts w:ascii="Cambria Math"/>
              </w:rPr>
              <m:t>proc,2</m:t>
            </m:r>
          </m:sub>
          <m:sup>
            <m:r>
              <w:rPr>
                <w:rFonts w:ascii="Cambria Math"/>
              </w:rPr>
              <m:t>mux,i</m:t>
            </m:r>
          </m:sup>
        </m:sSubSup>
        <m:r>
          <w:rPr>
            <w:rFonts w:ascii="Cambria Math"/>
          </w:rPr>
          <m:t>=</m:t>
        </m:r>
        <m:func>
          <m:funcPr>
            <m:ctrlPr>
              <w:rPr>
                <w:rFonts w:ascii="Cambria Math" w:hAnsi="Cambria Math"/>
                <w:i/>
              </w:rPr>
            </m:ctrlPr>
          </m:funcPr>
          <m:fName>
            <m:r>
              <w:rPr>
                <w:rFonts w:ascii="Cambria Math"/>
              </w:rPr>
              <m:t>max</m:t>
            </m:r>
          </m:fName>
          <m:e>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rPr>
                          <m:t>N</m:t>
                        </m:r>
                      </m:e>
                      <m:sub>
                        <m:r>
                          <w:rPr>
                            <w:rFonts w:ascii="Cambria Math"/>
                          </w:rPr>
                          <m:t>2</m:t>
                        </m:r>
                      </m:sub>
                    </m:sSub>
                    <m:r>
                      <w:rPr>
                        <w:rFonts w:ascii="Cambria Math"/>
                      </w:rPr>
                      <m:t>+</m:t>
                    </m:r>
                    <m:sSub>
                      <m:sSubPr>
                        <m:ctrlPr>
                          <w:rPr>
                            <w:rFonts w:ascii="Cambria Math" w:hAnsi="Cambria Math"/>
                            <w:i/>
                          </w:rPr>
                        </m:ctrlPr>
                      </m:sSubPr>
                      <m:e>
                        <m:r>
                          <w:rPr>
                            <w:rFonts w:ascii="Cambria Math"/>
                          </w:rPr>
                          <m:t>d</m:t>
                        </m:r>
                      </m:e>
                      <m:sub>
                        <m:r>
                          <w:rPr>
                            <w:rFonts w:ascii="Cambria Math"/>
                          </w:rPr>
                          <m:t>2,1</m:t>
                        </m:r>
                      </m:sub>
                    </m:sSub>
                    <m:r>
                      <w:rPr>
                        <w:rFonts w:ascii="Cambria Math"/>
                      </w:rPr>
                      <m:t>+1</m:t>
                    </m:r>
                  </m:e>
                </m:d>
                <m:r>
                  <w:rPr>
                    <w:rFonts w:ascii="Cambria Math" w:hAnsi="Cambria Math" w:cs="Cambria Math"/>
                  </w:rPr>
                  <m:t>⋅</m:t>
                </m:r>
                <m:d>
                  <m:dPr>
                    <m:ctrlPr>
                      <w:rPr>
                        <w:rFonts w:ascii="Cambria Math" w:hAnsi="Cambria Math"/>
                        <w:i/>
                      </w:rPr>
                    </m:ctrlPr>
                  </m:dPr>
                  <m:e>
                    <m:r>
                      <w:rPr>
                        <w:rFonts w:ascii="Cambria Math"/>
                      </w:rPr>
                      <m:t>2048+144</m:t>
                    </m:r>
                  </m:e>
                </m:d>
                <m:r>
                  <w:rPr>
                    <w:rFonts w:ascii="Cambria Math" w:hAnsi="Cambria Math" w:cs="Cambria Math"/>
                  </w:rPr>
                  <m:t>⋅</m:t>
                </m:r>
                <m:r>
                  <w:rPr>
                    <w:rFonts w:ascii="Cambria Math"/>
                  </w:rPr>
                  <m:t>κ</m:t>
                </m:r>
                <m:r>
                  <w:rPr>
                    <w:rFonts w:ascii="Cambria Math" w:hAnsi="Cambria Math" w:cs="Cambria Math"/>
                  </w:rPr>
                  <m:t>⋅</m:t>
                </m:r>
                <m:sSup>
                  <m:sSupPr>
                    <m:ctrlPr>
                      <w:rPr>
                        <w:rFonts w:ascii="Cambria Math" w:hAnsi="Cambria Math"/>
                        <w:i/>
                      </w:rPr>
                    </m:ctrlPr>
                  </m:sSupPr>
                  <m:e>
                    <m:r>
                      <w:rPr>
                        <w:rFonts w:ascii="Cambria Math"/>
                      </w:rPr>
                      <m:t>2</m:t>
                    </m:r>
                  </m:e>
                  <m:sup>
                    <m:r>
                      <w:rPr>
                        <w:rFonts w:ascii="Cambria Math"/>
                      </w:rPr>
                      <m:t>-</m:t>
                    </m:r>
                    <m:r>
                      <w:rPr>
                        <w:rFonts w:ascii="Cambria Math"/>
                      </w:rPr>
                      <m:t>μ</m:t>
                    </m:r>
                  </m:sup>
                </m:sSup>
                <m:r>
                  <w:rPr>
                    <w:rFonts w:ascii="Cambria Math" w:hAnsi="Cambria Math" w:cs="Cambria Math"/>
                  </w:rPr>
                  <m:t>⋅</m:t>
                </m:r>
                <m:sSub>
                  <m:sSubPr>
                    <m:ctrlPr>
                      <w:rPr>
                        <w:rFonts w:ascii="Cambria Math" w:hAnsi="Cambria Math"/>
                        <w:i/>
                      </w:rPr>
                    </m:ctrlPr>
                  </m:sSubPr>
                  <m:e>
                    <m:r>
                      <w:rPr>
                        <w:rFonts w:ascii="Cambria Math"/>
                      </w:rPr>
                      <m:t>T</m:t>
                    </m:r>
                  </m:e>
                  <m:sub>
                    <m:r>
                      <w:rPr>
                        <w:rFonts w:ascii="Cambria Math"/>
                      </w:rPr>
                      <m:t>C</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switch</m:t>
                    </m:r>
                  </m:sub>
                </m:sSub>
                <m:r>
                  <w:rPr>
                    <w:rFonts w:ascii="Cambria Math"/>
                  </w:rPr>
                  <m:t>,</m:t>
                </m:r>
                <m:sSub>
                  <m:sSubPr>
                    <m:ctrlPr>
                      <w:rPr>
                        <w:rFonts w:ascii="Cambria Math" w:hAnsi="Cambria Math"/>
                        <w:i/>
                      </w:rPr>
                    </m:ctrlPr>
                  </m:sSubPr>
                  <m:e>
                    <m:r>
                      <w:rPr>
                        <w:rFonts w:ascii="Cambria Math"/>
                      </w:rPr>
                      <m:t>d</m:t>
                    </m:r>
                  </m:e>
                  <m:sub>
                    <m:r>
                      <w:rPr>
                        <w:rFonts w:ascii="Cambria Math"/>
                      </w:rPr>
                      <m:t>2,2</m:t>
                    </m:r>
                  </m:sub>
                </m:sSub>
              </m:e>
            </m:d>
          </m:e>
        </m:func>
      </m:oMath>
      <w:r>
        <w:t xml:space="preserve">, </w:t>
      </w:r>
      <m:oMath>
        <m:sSub>
          <m:sSubPr>
            <m:ctrlPr>
              <w:rPr>
                <w:rFonts w:ascii="Cambria Math" w:hAnsi="Cambria Math"/>
                <w:i/>
              </w:rPr>
            </m:ctrlPr>
          </m:sSubPr>
          <m:e>
            <m:r>
              <w:rPr>
                <w:rFonts w:ascii="Cambria Math"/>
              </w:rPr>
              <m:t>d</m:t>
            </m:r>
          </m:e>
          <m:sub>
            <m:r>
              <w:rPr>
                <w:rFonts w:ascii="Cambria Math"/>
              </w:rPr>
              <m:t>2,1</m:t>
            </m:r>
          </m:sub>
        </m:sSub>
      </m:oMath>
      <w:r w:rsidR="00AC1D73">
        <w:rPr>
          <w:lang w:val="en-US"/>
        </w:rPr>
        <w:t>,</w:t>
      </w:r>
      <w:r w:rsidR="00AC1D73">
        <w:t xml:space="preserve"> </w:t>
      </w:r>
      <m:oMath>
        <m:sSub>
          <m:sSubPr>
            <m:ctrlPr>
              <w:rPr>
                <w:rFonts w:ascii="Cambria Math" w:hAnsi="Cambria Math"/>
                <w:i/>
              </w:rPr>
            </m:ctrlPr>
          </m:sSubPr>
          <m:e>
            <m:r>
              <w:rPr>
                <w:rFonts w:ascii="Cambria Math"/>
              </w:rPr>
              <m:t>d</m:t>
            </m:r>
          </m:e>
          <m:sub>
            <m:r>
              <w:rPr>
                <w:rFonts w:ascii="Cambria Math"/>
              </w:rPr>
              <m:t>2,2</m:t>
            </m:r>
          </m:sub>
        </m:sSub>
      </m:oMath>
      <w:r w:rsidR="00AC1D73">
        <w:rPr>
          <w:lang w:val="en-US"/>
        </w:rPr>
        <w:t xml:space="preserve"> and </w:t>
      </w:r>
      <m:oMath>
        <m:sSub>
          <m:sSubPr>
            <m:ctrlPr>
              <w:rPr>
                <w:rFonts w:ascii="Cambria Math" w:hAnsi="Cambria Math"/>
                <w:i/>
              </w:rPr>
            </m:ctrlPr>
          </m:sSubPr>
          <m:e>
            <m:r>
              <w:rPr>
                <w:rFonts w:ascii="Cambria Math" w:hAnsi="Cambria Math"/>
              </w:rPr>
              <m:t>T</m:t>
            </m:r>
          </m:e>
          <m:sub>
            <m:r>
              <m:rPr>
                <m:sty m:val="p"/>
              </m:rPr>
              <w:rPr>
                <w:rFonts w:ascii="Cambria Math" w:hAnsi="Cambria Math"/>
              </w:rPr>
              <m:t>switch</m:t>
            </m:r>
          </m:sub>
        </m:sSub>
      </m:oMath>
      <w:r w:rsidR="00AC1D73">
        <w:rPr>
          <w:lang w:val="en-US"/>
        </w:rPr>
        <w:t xml:space="preserve"> </w:t>
      </w:r>
      <w:r>
        <w:rPr>
          <w:lang w:val="en-AU"/>
        </w:rPr>
        <w:t xml:space="preserve">are selected for the i-th PUSCH </w:t>
      </w:r>
      <w:r>
        <w:rPr>
          <w:lang w:eastAsia="x-none"/>
        </w:rPr>
        <w:t xml:space="preserve">following </w:t>
      </w:r>
      <w:r>
        <w:t>[6, TS 38.214]</w:t>
      </w:r>
      <w:r>
        <w:rPr>
          <w:lang w:eastAsia="x-none"/>
        </w:rPr>
        <w:t xml:space="preserve">, </w:t>
      </w:r>
      <m:oMath>
        <m:sSub>
          <m:sSubPr>
            <m:ctrlPr>
              <w:rPr>
                <w:rFonts w:ascii="Cambria Math" w:hAnsi="Cambria Math"/>
                <w:i/>
              </w:rPr>
            </m:ctrlPr>
          </m:sSubPr>
          <m:e>
            <m:r>
              <w:rPr>
                <w:rFonts w:ascii="Cambria Math"/>
              </w:rPr>
              <m:t>N</m:t>
            </m:r>
          </m:e>
          <m:sub>
            <m:r>
              <w:rPr>
                <w:rFonts w:ascii="Cambria Math"/>
              </w:rPr>
              <m:t>2</m:t>
            </m:r>
          </m:sub>
        </m:sSub>
      </m:oMath>
      <w:r>
        <w:t xml:space="preserve"> is selected based on the UE PUSCH processing capability</w:t>
      </w:r>
      <w:r>
        <w:rPr>
          <w:lang w:eastAsia="x-none"/>
        </w:rPr>
        <w:t xml:space="preserve"> of the i-th PUSCH and SCS configuration </w:t>
      </w:r>
      <m:oMath>
        <m:r>
          <w:rPr>
            <w:rFonts w:ascii="Cambria Math"/>
            <w:lang w:eastAsia="x-none"/>
          </w:rPr>
          <m:t>μ</m:t>
        </m:r>
      </m:oMath>
      <w:r>
        <w:rPr>
          <w:lang w:eastAsia="x-none"/>
        </w:rPr>
        <w:t xml:space="preserve">, where </w:t>
      </w:r>
      <w:bookmarkStart w:id="587" w:name="_Hlk14280248"/>
      <m:oMath>
        <m:r>
          <w:rPr>
            <w:rFonts w:ascii="Cambria Math"/>
            <w:lang w:eastAsia="x-none"/>
          </w:rPr>
          <m:t>μ</m:t>
        </m:r>
      </m:oMath>
      <w:bookmarkEnd w:id="587"/>
      <w:r>
        <w:rPr>
          <w:lang w:eastAsia="x-none"/>
        </w:rPr>
        <w:t xml:space="preserve"> corresponds to the smallest SCS configuration among the SCS configurations used for the PDCCH scheduling the i-th PUSCH, the PDCCHs scheduling the PDSCHs</w:t>
      </w:r>
      <w:r w:rsidR="00AE721C">
        <w:rPr>
          <w:lang w:val="en-GB" w:eastAsia="x-none"/>
        </w:rPr>
        <w:t>,</w:t>
      </w:r>
      <w:r>
        <w:rPr>
          <w:lang w:eastAsia="x-none"/>
        </w:rPr>
        <w:t xml:space="preserve"> </w:t>
      </w:r>
      <w:r w:rsidR="00C9450C" w:rsidRPr="001509D7">
        <w:rPr>
          <w:rFonts w:hint="eastAsia"/>
          <w:lang w:eastAsia="zh-CN"/>
        </w:rPr>
        <w:t xml:space="preserve">or </w:t>
      </w:r>
      <w:r w:rsidR="00C9450C" w:rsidRPr="001509D7">
        <w:rPr>
          <w:lang w:val="en-AU"/>
        </w:rPr>
        <w:t xml:space="preserve">providing the </w:t>
      </w:r>
      <w:r w:rsidR="00AE721C" w:rsidRPr="00111FF6">
        <w:rPr>
          <w:lang w:val="en-US" w:eastAsia="x-none"/>
        </w:rPr>
        <w:t>DCI formats without scheduling PDSCHs,</w:t>
      </w:r>
      <w:r w:rsidR="0047459B">
        <w:rPr>
          <w:lang w:eastAsia="x-none"/>
        </w:rPr>
        <w:t xml:space="preserve"> </w:t>
      </w:r>
      <w:r>
        <w:rPr>
          <w:lang w:eastAsia="x-none"/>
        </w:rPr>
        <w:t xml:space="preserve">with corresponding HARQ-ACK </w:t>
      </w:r>
      <w:r w:rsidR="00535966" w:rsidRPr="00F415B1">
        <w:rPr>
          <w:lang w:val="en-US" w:eastAsia="x-none"/>
        </w:rPr>
        <w:t>information</w:t>
      </w:r>
      <w:r>
        <w:rPr>
          <w:lang w:eastAsia="x-none"/>
        </w:rPr>
        <w:t xml:space="preserve"> on a PUCCH which is in the group of overlapping PUCCHs/PUSCHs, and all PUSCHs in the group of overlapping PUCCHs and PUSCHs.</w:t>
      </w:r>
    </w:p>
    <w:p w14:paraId="102D56B5" w14:textId="10599C19" w:rsidR="00D621E7" w:rsidRDefault="00D621E7" w:rsidP="00D621E7">
      <w:pPr>
        <w:pStyle w:val="B2"/>
        <w:ind w:left="567" w:firstLine="0"/>
      </w:pPr>
      <w:r>
        <w:rPr>
          <w:lang w:val="en-AU"/>
        </w:rPr>
        <w:t xml:space="preserve">If there is no PUSCH </w:t>
      </w:r>
      <w:r>
        <w:rPr>
          <w:lang w:eastAsia="x-none"/>
        </w:rPr>
        <w:t>in the group of overlapping PUCCHs and PUSCHs</w:t>
      </w:r>
      <w:r>
        <w:rPr>
          <w:lang w:val="en-AU"/>
        </w:rPr>
        <w:t xml:space="preserve">, </w:t>
      </w:r>
      <m:oMath>
        <m:sSubSup>
          <m:sSubSupPr>
            <m:ctrlPr>
              <w:rPr>
                <w:rFonts w:ascii="Cambria Math" w:hAnsi="Cambria Math"/>
                <w:i/>
                <w:lang w:val="en-AU"/>
              </w:rPr>
            </m:ctrlPr>
          </m:sSubSupPr>
          <m:e>
            <m:r>
              <w:rPr>
                <w:rFonts w:ascii="Cambria Math"/>
                <w:lang w:val="en-AU"/>
              </w:rPr>
              <m:t>T</m:t>
            </m:r>
          </m:e>
          <m:sub>
            <m:r>
              <w:rPr>
                <w:rFonts w:ascii="Cambria Math"/>
                <w:lang w:val="en-AU"/>
              </w:rPr>
              <m:t>proc,2</m:t>
            </m:r>
          </m:sub>
          <m:sup>
            <m:r>
              <w:rPr>
                <w:rFonts w:ascii="Cambria Math"/>
                <w:lang w:val="en-AU"/>
              </w:rPr>
              <m:t>mux</m:t>
            </m:r>
          </m:sup>
        </m:sSubSup>
      </m:oMath>
      <w:r w:rsidR="00AE721C">
        <w:rPr>
          <w:lang w:val="en-AU"/>
        </w:rPr>
        <w:t xml:space="preserve"> </w:t>
      </w:r>
      <w:r>
        <w:rPr>
          <w:lang w:val="en-AU"/>
        </w:rPr>
        <w:t xml:space="preserve">is given by maximum of </w:t>
      </w:r>
      <m:oMath>
        <m:d>
          <m:dPr>
            <m:begChr m:val="{"/>
            <m:endChr m:val="}"/>
            <m:ctrlPr>
              <w:rPr>
                <w:rFonts w:ascii="Cambria Math" w:hAnsi="Cambria Math"/>
                <w:i/>
                <w:lang w:val="en-AU"/>
              </w:rPr>
            </m:ctrlPr>
          </m:dPr>
          <m:e>
            <m:sSubSup>
              <m:sSubSupPr>
                <m:ctrlPr>
                  <w:rPr>
                    <w:rFonts w:ascii="Cambria Math" w:hAnsi="Cambria Math"/>
                    <w:i/>
                    <w:lang w:val="en-AU"/>
                  </w:rPr>
                </m:ctrlPr>
              </m:sSubSupPr>
              <m:e>
                <m:r>
                  <w:rPr>
                    <w:rFonts w:ascii="Cambria Math"/>
                    <w:lang w:val="en-AU"/>
                  </w:rPr>
                  <m:t>T</m:t>
                </m:r>
              </m:e>
              <m:sub>
                <m:r>
                  <w:rPr>
                    <w:rFonts w:ascii="Cambria Math"/>
                    <w:lang w:val="en-AU"/>
                  </w:rPr>
                  <m:t>proc,2</m:t>
                </m:r>
              </m:sub>
              <m:sup>
                <m:r>
                  <w:rPr>
                    <w:rFonts w:ascii="Cambria Math"/>
                    <w:lang w:val="en-AU"/>
                  </w:rPr>
                  <m:t>mux,1</m:t>
                </m:r>
              </m:sup>
            </m:sSubSup>
            <m:r>
              <w:rPr>
                <w:rFonts w:ascii="Cambria Math"/>
                <w:lang w:val="en-AU"/>
              </w:rPr>
              <m:t>,</m:t>
            </m:r>
            <m:r>
              <w:rPr>
                <w:rFonts w:ascii="Cambria Math" w:hAnsi="Cambria Math" w:cs="Cambria Math"/>
                <w:lang w:val="en-AU"/>
              </w:rPr>
              <m:t>⋯</m:t>
            </m:r>
            <m:r>
              <w:rPr>
                <w:rFonts w:ascii="Cambria Math"/>
                <w:lang w:val="en-AU"/>
              </w:rPr>
              <m:t>,</m:t>
            </m:r>
            <m:sSubSup>
              <m:sSubSupPr>
                <m:ctrlPr>
                  <w:rPr>
                    <w:rFonts w:ascii="Cambria Math" w:hAnsi="Cambria Math"/>
                    <w:i/>
                    <w:lang w:val="en-AU"/>
                  </w:rPr>
                </m:ctrlPr>
              </m:sSubSupPr>
              <m:e>
                <m:r>
                  <w:rPr>
                    <w:rFonts w:ascii="Cambria Math"/>
                    <w:lang w:val="en-AU"/>
                  </w:rPr>
                  <m:t>T</m:t>
                </m:r>
              </m:e>
              <m:sub>
                <m:r>
                  <w:rPr>
                    <w:rFonts w:ascii="Cambria Math"/>
                    <w:lang w:val="en-AU"/>
                  </w:rPr>
                  <m:t>proc,2</m:t>
                </m:r>
              </m:sub>
              <m:sup>
                <m:r>
                  <w:rPr>
                    <w:rFonts w:ascii="Cambria Math"/>
                    <w:lang w:val="en-AU"/>
                  </w:rPr>
                  <m:t>mux,i</m:t>
                </m:r>
              </m:sup>
            </m:sSubSup>
            <m:r>
              <w:rPr>
                <w:rFonts w:ascii="Cambria Math"/>
                <w:lang w:val="en-AU"/>
              </w:rPr>
              <m:t>,</m:t>
            </m:r>
            <m:r>
              <w:rPr>
                <w:rFonts w:ascii="Cambria Math" w:hAnsi="Cambria Math" w:cs="Cambria Math"/>
                <w:lang w:val="en-AU"/>
              </w:rPr>
              <m:t>⋯</m:t>
            </m:r>
          </m:e>
        </m:d>
      </m:oMath>
      <w:r>
        <w:rPr>
          <w:lang w:val="en-AU"/>
        </w:rPr>
        <w:t xml:space="preserve"> where for the i-th PDSCH</w:t>
      </w:r>
      <w:r w:rsidR="00AE721C">
        <w:rPr>
          <w:lang w:val="en-AU"/>
        </w:rPr>
        <w:t>,</w:t>
      </w:r>
      <w:r>
        <w:rPr>
          <w:lang w:val="en-AU" w:eastAsia="x-none"/>
        </w:rPr>
        <w:t xml:space="preserve"> </w:t>
      </w:r>
      <w:r w:rsidR="00C9450C">
        <w:rPr>
          <w:rFonts w:hint="eastAsia"/>
          <w:lang w:val="en-AU" w:eastAsia="zh-CN"/>
        </w:rPr>
        <w:t xml:space="preserve">or the i-th </w:t>
      </w:r>
      <w:r w:rsidR="00AE721C" w:rsidRPr="00111FF6">
        <w:rPr>
          <w:lang w:val="en-US"/>
        </w:rPr>
        <w:t>PDCCH providing a DCI format</w:t>
      </w:r>
      <w:r w:rsidR="0047459B">
        <w:t xml:space="preserve"> without scheduling PDSCH</w:t>
      </w:r>
      <w:r w:rsidR="00AE721C">
        <w:rPr>
          <w:lang w:val="en-GB"/>
        </w:rPr>
        <w:t>,</w:t>
      </w:r>
      <w:r w:rsidR="0047459B">
        <w:rPr>
          <w:lang w:eastAsia="x-none"/>
        </w:rPr>
        <w:t xml:space="preserve"> </w:t>
      </w:r>
      <w:r>
        <w:rPr>
          <w:lang w:eastAsia="x-none"/>
        </w:rPr>
        <w:t xml:space="preserve">with corresponding HARQ-ACK </w:t>
      </w:r>
      <w:r w:rsidR="00AE721C" w:rsidRPr="00111FF6">
        <w:rPr>
          <w:lang w:val="en-US" w:eastAsia="x-none"/>
        </w:rPr>
        <w:t>information</w:t>
      </w:r>
      <w:r>
        <w:rPr>
          <w:lang w:eastAsia="x-none"/>
        </w:rPr>
        <w:t xml:space="preserve"> on a PUCCH which is in the group of </w:t>
      </w:r>
      <w:r>
        <w:lastRenderedPageBreak/>
        <w:t xml:space="preserve">overlapping PUCCHs, </w:t>
      </w:r>
      <m:oMath>
        <m:sSubSup>
          <m:sSubSupPr>
            <m:ctrlPr>
              <w:rPr>
                <w:rFonts w:ascii="Cambria Math" w:hAnsi="Cambria Math"/>
                <w:i/>
              </w:rPr>
            </m:ctrlPr>
          </m:sSubSupPr>
          <m:e>
            <m:r>
              <w:rPr>
                <w:rFonts w:ascii="Cambria Math"/>
              </w:rPr>
              <m:t>T</m:t>
            </m:r>
          </m:e>
          <m:sub>
            <m:r>
              <w:rPr>
                <w:rFonts w:ascii="Cambria Math"/>
              </w:rPr>
              <m:t>proc,2</m:t>
            </m:r>
          </m:sub>
          <m:sup>
            <m:r>
              <w:rPr>
                <w:rFonts w:ascii="Cambria Math"/>
              </w:rPr>
              <m:t>mux,i</m:t>
            </m:r>
          </m:sup>
        </m:sSubSup>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N</m:t>
                </m:r>
              </m:e>
              <m:sub>
                <m:r>
                  <w:rPr>
                    <w:rFonts w:ascii="Cambria Math"/>
                  </w:rPr>
                  <m:t>2</m:t>
                </m:r>
              </m:sub>
            </m:sSub>
            <m:r>
              <w:rPr>
                <w:rFonts w:ascii="Cambria Math"/>
              </w:rPr>
              <m:t>+1</m:t>
            </m:r>
          </m:e>
        </m:d>
        <m:r>
          <w:rPr>
            <w:rFonts w:ascii="Cambria Math" w:hAnsi="Cambria Math" w:cs="Cambria Math"/>
          </w:rPr>
          <m:t>⋅</m:t>
        </m:r>
        <m:d>
          <m:dPr>
            <m:ctrlPr>
              <w:rPr>
                <w:rFonts w:ascii="Cambria Math" w:hAnsi="Cambria Math"/>
                <w:i/>
              </w:rPr>
            </m:ctrlPr>
          </m:dPr>
          <m:e>
            <m:r>
              <w:rPr>
                <w:rFonts w:ascii="Cambria Math"/>
              </w:rPr>
              <m:t>2048+144</m:t>
            </m:r>
          </m:e>
        </m:d>
        <m:r>
          <w:rPr>
            <w:rFonts w:ascii="Cambria Math" w:hAnsi="Cambria Math" w:cs="Cambria Math"/>
          </w:rPr>
          <m:t>⋅</m:t>
        </m:r>
        <m:r>
          <w:rPr>
            <w:rFonts w:ascii="Cambria Math"/>
          </w:rPr>
          <m:t>κ</m:t>
        </m:r>
        <m:r>
          <w:rPr>
            <w:rFonts w:ascii="Cambria Math" w:hAnsi="Cambria Math" w:cs="Cambria Math"/>
          </w:rPr>
          <m:t>⋅</m:t>
        </m:r>
        <m:sSup>
          <m:sSupPr>
            <m:ctrlPr>
              <w:rPr>
                <w:rFonts w:ascii="Cambria Math" w:hAnsi="Cambria Math"/>
                <w:i/>
              </w:rPr>
            </m:ctrlPr>
          </m:sSupPr>
          <m:e>
            <m:r>
              <w:rPr>
                <w:rFonts w:ascii="Cambria Math"/>
              </w:rPr>
              <m:t>2</m:t>
            </m:r>
          </m:e>
          <m:sup>
            <m:r>
              <w:rPr>
                <w:rFonts w:ascii="Cambria Math"/>
              </w:rPr>
              <m:t>-</m:t>
            </m:r>
            <m:r>
              <w:rPr>
                <w:rFonts w:ascii="Cambria Math"/>
              </w:rPr>
              <m:t>μ</m:t>
            </m:r>
          </m:sup>
        </m:sSup>
        <m:r>
          <w:rPr>
            <w:rFonts w:ascii="Cambria Math" w:hAnsi="Cambria Math" w:cs="Cambria Math"/>
          </w:rPr>
          <m:t>⋅</m:t>
        </m:r>
        <m:sSub>
          <m:sSubPr>
            <m:ctrlPr>
              <w:rPr>
                <w:rFonts w:ascii="Cambria Math" w:hAnsi="Cambria Math"/>
                <w:i/>
              </w:rPr>
            </m:ctrlPr>
          </m:sSubPr>
          <m:e>
            <m:r>
              <w:rPr>
                <w:rFonts w:ascii="Cambria Math"/>
              </w:rPr>
              <m:t>T</m:t>
            </m:r>
          </m:e>
          <m:sub>
            <m:r>
              <w:rPr>
                <w:rFonts w:ascii="Cambria Math"/>
              </w:rPr>
              <m:t>C</m:t>
            </m:r>
          </m:sub>
        </m:sSub>
      </m:oMath>
      <w:r>
        <w:t xml:space="preserve">, </w:t>
      </w:r>
      <m:oMath>
        <m:sSub>
          <m:sSubPr>
            <m:ctrlPr>
              <w:rPr>
                <w:rFonts w:ascii="Cambria Math" w:hAnsi="Cambria Math"/>
                <w:i/>
              </w:rPr>
            </m:ctrlPr>
          </m:sSubPr>
          <m:e>
            <m:r>
              <w:rPr>
                <w:rFonts w:ascii="Cambria Math"/>
              </w:rPr>
              <m:t>N</m:t>
            </m:r>
          </m:e>
          <m:sub>
            <m:r>
              <w:rPr>
                <w:rFonts w:ascii="Cambria Math"/>
              </w:rPr>
              <m:t>2</m:t>
            </m:r>
          </m:sub>
        </m:sSub>
        <m:r>
          <w:rPr>
            <w:rFonts w:ascii="Cambria Math" w:hAnsi="Cambria Math"/>
          </w:rPr>
          <m:t xml:space="preserve"> </m:t>
        </m:r>
      </m:oMath>
      <w:r w:rsidR="00FD5D5C">
        <w:rPr>
          <w:lang w:val="en-GB"/>
        </w:rPr>
        <w:t xml:space="preserve"> </w:t>
      </w:r>
      <w:r>
        <w:t>is selected based on the UE PUSCH processing capability</w:t>
      </w:r>
      <w:r>
        <w:rPr>
          <w:lang w:eastAsia="x-none"/>
        </w:rPr>
        <w:t xml:space="preserve"> of the PUCCH serving cell if configured. </w:t>
      </w:r>
      <m:oMath>
        <m:sSub>
          <m:sSubPr>
            <m:ctrlPr>
              <w:rPr>
                <w:rFonts w:ascii="Cambria Math" w:hAnsi="Cambria Math"/>
                <w:i/>
                <w:iCs/>
                <w:sz w:val="24"/>
                <w:szCs w:val="24"/>
              </w:rPr>
            </m:ctrlPr>
          </m:sSubPr>
          <m:e>
            <m:r>
              <w:rPr>
                <w:rFonts w:ascii="Cambria Math" w:hAnsi="Cambria Math"/>
              </w:rPr>
              <m:t>N</m:t>
            </m:r>
          </m:e>
          <m:sub>
            <m:r>
              <w:rPr>
                <w:rFonts w:ascii="Cambria Math" w:hAnsi="Cambria Math"/>
              </w:rPr>
              <m:t>2</m:t>
            </m:r>
          </m:sub>
        </m:sSub>
      </m:oMath>
      <w:r>
        <w:t xml:space="preserve"> is selected based on the UE PUSCH processing capability</w:t>
      </w:r>
      <w:r>
        <w:rPr>
          <w:lang w:eastAsia="x-none"/>
        </w:rPr>
        <w:t xml:space="preserve"> 1, if PUSCH processing capability is not configured for the PUCCH serving cell. </w:t>
      </w:r>
      <m:oMath>
        <m:r>
          <w:rPr>
            <w:rFonts w:ascii="Cambria Math"/>
            <w:lang w:eastAsia="x-none"/>
          </w:rPr>
          <m:t>μ</m:t>
        </m:r>
      </m:oMath>
      <w:r>
        <w:rPr>
          <w:lang w:eastAsia="x-none"/>
        </w:rPr>
        <w:t xml:space="preserve"> is selected based on the smallest SCS configuration between the SCS configuration used for the PDCCH scheduling the i-th PDSCH</w:t>
      </w:r>
      <w:r w:rsidR="000D3417">
        <w:rPr>
          <w:lang w:val="en-GB" w:eastAsia="x-none"/>
        </w:rPr>
        <w:t>,</w:t>
      </w:r>
      <w:r>
        <w:rPr>
          <w:lang w:eastAsia="x-none"/>
        </w:rPr>
        <w:t xml:space="preserve"> </w:t>
      </w:r>
      <w:r w:rsidR="00C9450C">
        <w:rPr>
          <w:rFonts w:hint="eastAsia"/>
          <w:lang w:eastAsia="zh-CN"/>
        </w:rPr>
        <w:t xml:space="preserve">or </w:t>
      </w:r>
      <w:r w:rsidR="00C9450C">
        <w:rPr>
          <w:lang w:val="en-AU"/>
        </w:rPr>
        <w:t xml:space="preserve">providing the </w:t>
      </w:r>
      <w:r w:rsidR="00C9450C">
        <w:rPr>
          <w:rFonts w:hint="eastAsia"/>
          <w:lang w:val="en-AU" w:eastAsia="zh-CN"/>
        </w:rPr>
        <w:t xml:space="preserve">i-th </w:t>
      </w:r>
      <w:r w:rsidR="000D3417" w:rsidRPr="00111FF6">
        <w:rPr>
          <w:lang w:val="en-AU"/>
        </w:rPr>
        <w:t>DCI format</w:t>
      </w:r>
      <w:r w:rsidR="0047459B">
        <w:t xml:space="preserve"> without scheduling PDSCH</w:t>
      </w:r>
      <w:r w:rsidR="000D3417">
        <w:rPr>
          <w:lang w:val="en-GB"/>
        </w:rPr>
        <w:t>,</w:t>
      </w:r>
      <w:r w:rsidR="0047459B">
        <w:rPr>
          <w:lang w:eastAsia="x-none"/>
        </w:rPr>
        <w:t xml:space="preserve"> </w:t>
      </w:r>
      <w:r>
        <w:rPr>
          <w:lang w:eastAsia="x-none"/>
        </w:rPr>
        <w:t xml:space="preserve">with corresponding HARQ-ACK </w:t>
      </w:r>
      <w:r w:rsidR="000D3417" w:rsidRPr="00111FF6">
        <w:rPr>
          <w:lang w:val="en-US" w:eastAsia="x-none"/>
        </w:rPr>
        <w:t>information</w:t>
      </w:r>
      <w:r>
        <w:rPr>
          <w:lang w:eastAsia="x-none"/>
        </w:rPr>
        <w:t xml:space="preserve"> on a PUCCH which is in the group of </w:t>
      </w:r>
      <w:r>
        <w:t>overlapping PUCCHs</w:t>
      </w:r>
      <w:r>
        <w:rPr>
          <w:lang w:eastAsia="x-none"/>
        </w:rPr>
        <w:t>, and the SCS configuration for the PUCCH serving cell</w:t>
      </w:r>
      <w:r>
        <w:rPr>
          <w:lang w:val="en-AU"/>
        </w:rPr>
        <w:t>.</w:t>
      </w:r>
    </w:p>
    <w:p w14:paraId="366416DA" w14:textId="498AF202" w:rsidR="00DA4FEB" w:rsidRDefault="005D27A4" w:rsidP="005D27A4">
      <w:pPr>
        <w:pStyle w:val="B1"/>
      </w:pPr>
      <w:r w:rsidRPr="00FF3E67">
        <w:t>-</w:t>
      </w:r>
      <w:r w:rsidRPr="00FF3E67">
        <w:tab/>
      </w:r>
      <w:r>
        <w:t>if there is</w:t>
      </w:r>
      <w:r>
        <w:rPr>
          <w:lang w:val="en-US"/>
        </w:rPr>
        <w:t xml:space="preserve"> an</w:t>
      </w:r>
      <w:r>
        <w:t xml:space="preserve"> </w:t>
      </w:r>
      <w:r>
        <w:rPr>
          <w:lang w:val="en-US"/>
        </w:rPr>
        <w:t xml:space="preserve">aperiodic </w:t>
      </w:r>
      <w:r>
        <w:t>CSI report</w:t>
      </w:r>
      <w:r w:rsidRPr="00FF3E67">
        <w:t xml:space="preserve"> </w:t>
      </w:r>
      <w:r>
        <w:t>multiplexed in</w:t>
      </w:r>
      <w:r w:rsidRPr="00FF3E67">
        <w:t xml:space="preserve"> </w:t>
      </w:r>
      <w:r>
        <w:rPr>
          <w:lang w:val="en-US"/>
        </w:rPr>
        <w:t xml:space="preserve">a </w:t>
      </w:r>
      <w:r w:rsidRPr="00FF3E67">
        <w:t xml:space="preserve">PUSCH in </w:t>
      </w:r>
      <w:r>
        <w:t xml:space="preserve">the group of overlapping PUCCHs and </w:t>
      </w:r>
      <w:r w:rsidRPr="00FF3E67">
        <w:t>PUSCHs</w:t>
      </w:r>
      <w:r>
        <w:t xml:space="preserve">, </w:t>
      </w:r>
      <m:oMath>
        <m:sSub>
          <m:sSubPr>
            <m:ctrlPr>
              <w:rPr>
                <w:rFonts w:ascii="Cambria Math" w:hAnsi="Cambria Math"/>
                <w:i/>
                <w:sz w:val="24"/>
                <w:szCs w:val="24"/>
              </w:rPr>
            </m:ctrlPr>
          </m:sSubPr>
          <m:e>
            <m:r>
              <w:rPr>
                <w:rFonts w:ascii="Cambria Math"/>
              </w:rPr>
              <m:t>S</m:t>
            </m:r>
          </m:e>
          <m:sub>
            <m:r>
              <w:rPr>
                <w:rFonts w:ascii="Cambria Math"/>
              </w:rPr>
              <m:t>0</m:t>
            </m:r>
          </m:sub>
        </m:sSub>
      </m:oMath>
      <w:r w:rsidRPr="00FF3E67">
        <w:t xml:space="preserve"> is not before </w:t>
      </w:r>
      <w:r>
        <w:t>a symbol</w:t>
      </w:r>
      <w:r>
        <w:rPr>
          <w:lang w:val="en-US"/>
        </w:rPr>
        <w:t xml:space="preserve"> with</w:t>
      </w:r>
      <w:r w:rsidRPr="00FF3E67">
        <w:rPr>
          <w:lang w:val="en-AU"/>
        </w:rPr>
        <w:t xml:space="preserve"> CP starting after</w:t>
      </w:r>
      <w:r>
        <w:rPr>
          <w:lang w:val="en-AU"/>
        </w:rPr>
        <w:t xml:space="preserve"> </w:t>
      </w:r>
      <m:oMath>
        <m:sSubSup>
          <m:sSubSupPr>
            <m:ctrlPr>
              <w:rPr>
                <w:rFonts w:ascii="Cambria Math" w:hAnsi="Cambria Math"/>
                <w:i/>
              </w:rPr>
            </m:ctrlPr>
          </m:sSubSupPr>
          <m:e>
            <m:r>
              <w:rPr>
                <w:rFonts w:ascii="Cambria Math"/>
              </w:rPr>
              <m:t>T</m:t>
            </m:r>
          </m:e>
          <m:sub>
            <m:r>
              <w:rPr>
                <w:rFonts w:ascii="Cambria Math"/>
              </w:rPr>
              <m:t>proc,CSI</m:t>
            </m:r>
          </m:sub>
          <m:sup>
            <m:r>
              <w:rPr>
                <w:rFonts w:ascii="Cambria Math"/>
              </w:rPr>
              <m:t>mux</m:t>
            </m:r>
          </m:sup>
        </m:sSubSup>
        <m:r>
          <w:rPr>
            <w:rFonts w:ascii="Cambria Math"/>
          </w:rPr>
          <m:t>=</m:t>
        </m:r>
        <m:func>
          <m:funcPr>
            <m:ctrlPr>
              <w:rPr>
                <w:rFonts w:ascii="Cambria Math" w:hAnsi="Cambria Math"/>
                <w:i/>
              </w:rPr>
            </m:ctrlPr>
          </m:funcPr>
          <m:fName>
            <m:r>
              <w:rPr>
                <w:rFonts w:ascii="Cambria Math"/>
              </w:rPr>
              <m:t>max</m:t>
            </m:r>
          </m:fName>
          <m:e>
            <m:d>
              <m:dPr>
                <m:ctrlPr>
                  <w:rPr>
                    <w:rFonts w:ascii="Cambria Math" w:hAnsi="Cambria Math"/>
                    <w:i/>
                  </w:rPr>
                </m:ctrlPr>
              </m:dPr>
              <m:e>
                <m:d>
                  <m:dPr>
                    <m:ctrlPr>
                      <w:rPr>
                        <w:rFonts w:ascii="Cambria Math" w:hAnsi="Cambria Math"/>
                        <w:i/>
                      </w:rPr>
                    </m:ctrlPr>
                  </m:dPr>
                  <m:e>
                    <m:r>
                      <w:rPr>
                        <w:rFonts w:ascii="Cambria Math" w:hAnsi="Cambria Math"/>
                      </w:rPr>
                      <m:t>Z</m:t>
                    </m:r>
                    <m:r>
                      <w:rPr>
                        <w:rFonts w:ascii="Cambria Math"/>
                      </w:rPr>
                      <m:t>+d</m:t>
                    </m:r>
                  </m:e>
                </m:d>
                <m:r>
                  <w:rPr>
                    <w:rFonts w:ascii="Cambria Math" w:hAnsi="Cambria Math" w:cs="Cambria Math"/>
                  </w:rPr>
                  <m:t>⋅</m:t>
                </m:r>
                <m:d>
                  <m:dPr>
                    <m:ctrlPr>
                      <w:rPr>
                        <w:rFonts w:ascii="Cambria Math" w:hAnsi="Cambria Math"/>
                        <w:i/>
                      </w:rPr>
                    </m:ctrlPr>
                  </m:dPr>
                  <m:e>
                    <m:r>
                      <w:rPr>
                        <w:rFonts w:ascii="Cambria Math"/>
                      </w:rPr>
                      <m:t>2048+144</m:t>
                    </m:r>
                  </m:e>
                </m:d>
                <m:r>
                  <w:rPr>
                    <w:rFonts w:ascii="Cambria Math" w:hAnsi="Cambria Math" w:cs="Cambria Math"/>
                  </w:rPr>
                  <m:t>⋅</m:t>
                </m:r>
                <m:r>
                  <w:rPr>
                    <w:rFonts w:ascii="Cambria Math"/>
                  </w:rPr>
                  <m:t>κ</m:t>
                </m:r>
                <m:r>
                  <w:rPr>
                    <w:rFonts w:ascii="Cambria Math" w:hAnsi="Cambria Math" w:cs="Cambria Math"/>
                  </w:rPr>
                  <m:t>⋅</m:t>
                </m:r>
                <m:sSup>
                  <m:sSupPr>
                    <m:ctrlPr>
                      <w:rPr>
                        <w:rFonts w:ascii="Cambria Math" w:hAnsi="Cambria Math"/>
                        <w:i/>
                      </w:rPr>
                    </m:ctrlPr>
                  </m:sSupPr>
                  <m:e>
                    <m:r>
                      <w:rPr>
                        <w:rFonts w:ascii="Cambria Math"/>
                      </w:rPr>
                      <m:t>2</m:t>
                    </m:r>
                  </m:e>
                  <m:sup>
                    <m:r>
                      <w:rPr>
                        <w:rFonts w:ascii="Cambria Math"/>
                      </w:rPr>
                      <m:t>-</m:t>
                    </m:r>
                    <m:r>
                      <w:rPr>
                        <w:rFonts w:ascii="Cambria Math"/>
                      </w:rPr>
                      <m:t>μ</m:t>
                    </m:r>
                  </m:sup>
                </m:sSup>
                <m:r>
                  <w:rPr>
                    <w:rFonts w:ascii="Cambria Math" w:hAnsi="Cambria Math" w:cs="Cambria Math"/>
                  </w:rPr>
                  <m:t>⋅</m:t>
                </m:r>
                <m:sSub>
                  <m:sSubPr>
                    <m:ctrlPr>
                      <w:rPr>
                        <w:rFonts w:ascii="Cambria Math" w:hAnsi="Cambria Math"/>
                        <w:i/>
                      </w:rPr>
                    </m:ctrlPr>
                  </m:sSubPr>
                  <m:e>
                    <m:r>
                      <w:rPr>
                        <w:rFonts w:ascii="Cambria Math"/>
                      </w:rPr>
                      <m:t>T</m:t>
                    </m:r>
                  </m:e>
                  <m:sub>
                    <m:r>
                      <w:rPr>
                        <w:rFonts w:ascii="Cambria Math"/>
                      </w:rPr>
                      <m:t>C</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switch</m:t>
                    </m:r>
                  </m:sub>
                </m:sSub>
                <m:r>
                  <w:rPr>
                    <w:rFonts w:ascii="Cambria Math"/>
                  </w:rPr>
                  <m:t>,</m:t>
                </m:r>
                <m:sSub>
                  <m:sSubPr>
                    <m:ctrlPr>
                      <w:rPr>
                        <w:rFonts w:ascii="Cambria Math" w:hAnsi="Cambria Math"/>
                        <w:i/>
                      </w:rPr>
                    </m:ctrlPr>
                  </m:sSubPr>
                  <m:e>
                    <m:r>
                      <w:rPr>
                        <w:rFonts w:ascii="Cambria Math"/>
                      </w:rPr>
                      <m:t>d</m:t>
                    </m:r>
                  </m:e>
                  <m:sub>
                    <m:r>
                      <w:rPr>
                        <w:rFonts w:ascii="Cambria Math"/>
                      </w:rPr>
                      <m:t>2,2</m:t>
                    </m:r>
                  </m:sub>
                </m:sSub>
              </m:e>
            </m:d>
          </m:e>
        </m:func>
      </m:oMath>
      <w:r>
        <w:rPr>
          <w:lang w:val="en-US"/>
        </w:rPr>
        <w:t xml:space="preserve"> </w:t>
      </w:r>
      <w:r w:rsidRPr="00FF3E67">
        <w:t xml:space="preserve">after </w:t>
      </w:r>
      <w:r>
        <w:t xml:space="preserve">a last symbol of </w:t>
      </w:r>
    </w:p>
    <w:p w14:paraId="38CD6C68" w14:textId="77777777" w:rsidR="00DA4FEB" w:rsidRPr="001B2CF0" w:rsidRDefault="00DA4FEB" w:rsidP="001B2CF0">
      <w:pPr>
        <w:pStyle w:val="B2"/>
        <w:rPr>
          <w:lang w:val="en-US"/>
        </w:rPr>
      </w:pPr>
      <w:r>
        <w:t>-</w:t>
      </w:r>
      <w:r>
        <w:tab/>
      </w:r>
      <w:r w:rsidR="005D27A4">
        <w:t>a</w:t>
      </w:r>
      <w:r w:rsidR="00D621E7">
        <w:rPr>
          <w:lang w:val="en-US"/>
        </w:rPr>
        <w:t>ny</w:t>
      </w:r>
      <w:r w:rsidR="005D27A4">
        <w:t xml:space="preserve"> </w:t>
      </w:r>
      <w:r w:rsidR="005D27A4" w:rsidRPr="00FF3E67">
        <w:t>PDCCH</w:t>
      </w:r>
      <w:r w:rsidR="005D27A4">
        <w:t xml:space="preserve"> with the DCI format scheduling </w:t>
      </w:r>
      <w:r w:rsidR="00D621E7">
        <w:t>an overlapping</w:t>
      </w:r>
      <w:r w:rsidR="005D27A4">
        <w:t xml:space="preserve"> PUSCH</w:t>
      </w:r>
      <w:r>
        <w:rPr>
          <w:lang w:val="en-US"/>
        </w:rPr>
        <w:t>, and</w:t>
      </w:r>
    </w:p>
    <w:p w14:paraId="3D44F631" w14:textId="5C33959B" w:rsidR="000D3417" w:rsidRPr="00111FF6" w:rsidRDefault="000D3417" w:rsidP="000D3417">
      <w:pPr>
        <w:pStyle w:val="B2"/>
      </w:pPr>
      <w:r w:rsidRPr="00111FF6">
        <w:t>-</w:t>
      </w:r>
      <w:r w:rsidRPr="00111FF6">
        <w:tab/>
        <w:t>any PDCCH scheduling a PDSCH</w:t>
      </w:r>
      <w:r w:rsidRPr="00111FF6">
        <w:rPr>
          <w:lang w:val="en-US"/>
        </w:rPr>
        <w:t>,</w:t>
      </w:r>
      <w:r w:rsidRPr="00111FF6">
        <w:t xml:space="preserve"> or </w:t>
      </w:r>
      <w:r w:rsidRPr="00111FF6">
        <w:rPr>
          <w:lang w:val="en-US"/>
        </w:rPr>
        <w:t>providing a DCI format ,</w:t>
      </w:r>
      <w:r w:rsidRPr="00111FF6">
        <w:t xml:space="preserve"> with corresponding HARQ-ACK information in an overlapping PUCCH in the slot</w:t>
      </w:r>
    </w:p>
    <w:p w14:paraId="2432C765" w14:textId="13E66583" w:rsidR="00AC1D73" w:rsidRPr="004455AE" w:rsidRDefault="00AC1D73" w:rsidP="00AC1D73">
      <w:pPr>
        <w:pStyle w:val="B2"/>
        <w:ind w:left="567" w:firstLine="0"/>
        <w:rPr>
          <w:lang w:val="en-US"/>
        </w:rPr>
      </w:pPr>
      <w:r w:rsidRPr="00FF3E67">
        <w:t xml:space="preserve">where </w:t>
      </w:r>
      <m:oMath>
        <m:r>
          <w:rPr>
            <w:rFonts w:ascii="Cambria Math"/>
            <w:lang w:eastAsia="x-none"/>
          </w:rPr>
          <m:t>μ</m:t>
        </m:r>
      </m:oMath>
      <w:r w:rsidRPr="00FF3E67">
        <w:rPr>
          <w:i/>
          <w:lang w:val="en-AU"/>
        </w:rPr>
        <w:t xml:space="preserve"> </w:t>
      </w:r>
      <w:r w:rsidRPr="00FF3E67">
        <w:rPr>
          <w:lang w:val="en-AU"/>
        </w:rPr>
        <w:t xml:space="preserve">corresponds to the smallest </w:t>
      </w:r>
      <w:r>
        <w:rPr>
          <w:lang w:val="en-AU"/>
        </w:rPr>
        <w:t>SCS</w:t>
      </w:r>
      <w:r w:rsidRPr="00FF3E67">
        <w:rPr>
          <w:lang w:val="en-AU"/>
        </w:rPr>
        <w:t xml:space="preserve"> </w:t>
      </w:r>
      <w:r>
        <w:rPr>
          <w:lang w:val="en-AU"/>
        </w:rPr>
        <w:t xml:space="preserve">configuration </w:t>
      </w:r>
      <w:r w:rsidRPr="00FF3E67">
        <w:rPr>
          <w:lang w:val="en-AU"/>
        </w:rPr>
        <w:t xml:space="preserve">among the </w:t>
      </w:r>
      <w:r>
        <w:rPr>
          <w:lang w:val="en-AU"/>
        </w:rPr>
        <w:t>SCS</w:t>
      </w:r>
      <w:r w:rsidRPr="00FF3E67">
        <w:rPr>
          <w:lang w:val="en-AU"/>
        </w:rPr>
        <w:t xml:space="preserve"> </w:t>
      </w:r>
      <w:r>
        <w:rPr>
          <w:lang w:val="en-AU"/>
        </w:rPr>
        <w:t>configuration of the PDCCHs</w:t>
      </w:r>
      <w:r w:rsidRPr="00FF3E67">
        <w:rPr>
          <w:lang w:val="en-AU"/>
        </w:rPr>
        <w:t xml:space="preserve">, the smallest </w:t>
      </w:r>
      <w:r>
        <w:rPr>
          <w:lang w:val="en-AU"/>
        </w:rPr>
        <w:t>SCS</w:t>
      </w:r>
      <w:r w:rsidRPr="00FF3E67">
        <w:rPr>
          <w:lang w:val="en-AU"/>
        </w:rPr>
        <w:t xml:space="preserve"> </w:t>
      </w:r>
      <w:r>
        <w:rPr>
          <w:lang w:val="en-AU"/>
        </w:rPr>
        <w:t xml:space="preserve">configuration for the group </w:t>
      </w:r>
      <w:r w:rsidRPr="00FF3E67">
        <w:rPr>
          <w:lang w:val="en-AU"/>
        </w:rPr>
        <w:t xml:space="preserve">of the overlapping PUSCHs, and </w:t>
      </w:r>
      <w:r>
        <w:rPr>
          <w:lang w:val="en-AU"/>
        </w:rPr>
        <w:t>the smallest</w:t>
      </w:r>
      <w:r w:rsidRPr="00FF3E67">
        <w:rPr>
          <w:lang w:val="en-AU"/>
        </w:rPr>
        <w:t xml:space="preserve"> </w:t>
      </w:r>
      <w:r>
        <w:rPr>
          <w:lang w:val="en-AU"/>
        </w:rPr>
        <w:t>SCS</w:t>
      </w:r>
      <w:r w:rsidRPr="00FF3E67">
        <w:rPr>
          <w:lang w:val="en-AU"/>
        </w:rPr>
        <w:t xml:space="preserve"> </w:t>
      </w:r>
      <w:r>
        <w:rPr>
          <w:lang w:val="en-AU"/>
        </w:rPr>
        <w:t>configuration of</w:t>
      </w:r>
      <w:r w:rsidRPr="00FF3E67">
        <w:rPr>
          <w:lang w:val="en-AU"/>
        </w:rPr>
        <w:t xml:space="preserve"> CSI-RS </w:t>
      </w:r>
      <w:r>
        <w:rPr>
          <w:lang w:val="en-AU"/>
        </w:rPr>
        <w:t>associated with the DCI format scheduling the PUSCH with the multiplexed aperiodic CSI report</w:t>
      </w:r>
      <w:r>
        <w:t>, and</w:t>
      </w:r>
      <w:r w:rsidRPr="00FF3E67">
        <w:t xml:space="preserve"> </w:t>
      </w:r>
      <m:oMath>
        <m:r>
          <w:rPr>
            <w:rFonts w:ascii="Cambria Math"/>
            <w:lang w:eastAsia="x-none"/>
          </w:rPr>
          <m:t>d=2</m:t>
        </m:r>
      </m:oMath>
      <w:r w:rsidRPr="00FF3E67">
        <w:rPr>
          <w:lang w:val="en-AU"/>
        </w:rPr>
        <w:t xml:space="preserve"> for </w:t>
      </w:r>
      <m:oMath>
        <m:r>
          <w:rPr>
            <w:rFonts w:ascii="Cambria Math"/>
            <w:lang w:eastAsia="x-none"/>
          </w:rPr>
          <m:t>μ=0,1</m:t>
        </m:r>
      </m:oMath>
      <w:r w:rsidRPr="00FF3E67">
        <w:rPr>
          <w:lang w:val="en-AU"/>
        </w:rPr>
        <w:t xml:space="preserve">, </w:t>
      </w:r>
      <m:oMath>
        <m:r>
          <w:rPr>
            <w:rFonts w:ascii="Cambria Math"/>
            <w:lang w:eastAsia="x-none"/>
          </w:rPr>
          <m:t>d=3</m:t>
        </m:r>
      </m:oMath>
      <w:r w:rsidRPr="00FF3E67">
        <w:rPr>
          <w:lang w:val="en-AU"/>
        </w:rPr>
        <w:t xml:space="preserve"> for </w:t>
      </w:r>
      <m:oMath>
        <m:r>
          <w:rPr>
            <w:rFonts w:ascii="Cambria Math"/>
            <w:lang w:eastAsia="x-none"/>
          </w:rPr>
          <m:t>μ=2</m:t>
        </m:r>
      </m:oMath>
      <w:r w:rsidR="008275E9">
        <w:rPr>
          <w:lang w:val="en-GB" w:eastAsia="x-none"/>
        </w:rPr>
        <w:t>,</w:t>
      </w:r>
      <w:r w:rsidRPr="00FF3E67">
        <w:rPr>
          <w:lang w:val="en-AU"/>
        </w:rPr>
        <w:t xml:space="preserve"> and </w:t>
      </w:r>
      <m:oMath>
        <m:r>
          <w:rPr>
            <w:rFonts w:ascii="Cambria Math"/>
            <w:lang w:eastAsia="x-none"/>
          </w:rPr>
          <m:t>d=4</m:t>
        </m:r>
      </m:oMath>
      <w:r>
        <w:rPr>
          <w:lang w:val="en-AU"/>
        </w:rPr>
        <w:t xml:space="preserve"> </w:t>
      </w:r>
      <w:r w:rsidRPr="00FF3E67">
        <w:rPr>
          <w:lang w:val="en-AU"/>
        </w:rPr>
        <w:t xml:space="preserve">for </w:t>
      </w:r>
      <m:oMath>
        <m:r>
          <w:rPr>
            <w:rFonts w:ascii="Cambria Math"/>
            <w:lang w:eastAsia="x-none"/>
          </w:rPr>
          <m:t>μ</m:t>
        </m:r>
        <m:r>
          <w:rPr>
            <w:rFonts w:ascii="Cambria Math"/>
            <w:lang w:val="en-US" w:eastAsia="x-none"/>
          </w:rPr>
          <m:t>≥</m:t>
        </m:r>
        <m:r>
          <w:rPr>
            <w:rFonts w:ascii="Cambria Math"/>
            <w:lang w:eastAsia="x-none"/>
          </w:rPr>
          <m:t>3</m:t>
        </m:r>
      </m:oMath>
      <w:r w:rsidR="00FF655D">
        <w:rPr>
          <w:rFonts w:hint="eastAsia"/>
          <w:lang w:eastAsia="zh-CN"/>
        </w:rPr>
        <w:t>.</w:t>
      </w:r>
      <w:r w:rsidR="00FF655D">
        <w:rPr>
          <w:lang w:eastAsia="zh-CN"/>
        </w:rPr>
        <w:t xml:space="preserve"> </w:t>
      </w:r>
      <m:oMath>
        <m:sSub>
          <m:sSubPr>
            <m:ctrlPr>
              <w:rPr>
                <w:rFonts w:ascii="Cambria Math" w:hAnsi="Cambria Math"/>
                <w:i/>
              </w:rPr>
            </m:ctrlPr>
          </m:sSubPr>
          <m:e>
            <m:r>
              <w:rPr>
                <w:rFonts w:ascii="Cambria Math" w:hAnsi="Cambria Math"/>
              </w:rPr>
              <m:t>T</m:t>
            </m:r>
          </m:e>
          <m:sub>
            <m:r>
              <m:rPr>
                <m:sty m:val="p"/>
              </m:rPr>
              <w:rPr>
                <w:rFonts w:ascii="Cambria Math" w:hAnsi="Cambria Math"/>
              </w:rPr>
              <m:t>switch</m:t>
            </m:r>
          </m:sub>
        </m:sSub>
      </m:oMath>
      <w:r w:rsidR="00FF655D">
        <w:rPr>
          <w:rFonts w:hint="eastAsia"/>
          <w:lang w:eastAsia="zh-CN"/>
        </w:rPr>
        <w:t xml:space="preserve"> </w:t>
      </w:r>
      <w:r w:rsidR="00FF655D">
        <w:rPr>
          <w:lang w:eastAsia="zh-CN"/>
        </w:rPr>
        <w:t xml:space="preserve">is defined in [6, TS 38.214] and it is applied only if </w:t>
      </w:r>
      <m:oMath>
        <m:sSub>
          <m:sSubPr>
            <m:ctrlPr>
              <w:rPr>
                <w:rFonts w:ascii="Cambria Math" w:hAnsi="Cambria Math"/>
                <w:lang w:eastAsia="zh-CN"/>
              </w:rPr>
            </m:ctrlPr>
          </m:sSubPr>
          <m:e>
            <m:r>
              <w:rPr>
                <w:rFonts w:ascii="Cambria Math" w:hAnsi="Cambria Math"/>
                <w:lang w:eastAsia="zh-CN"/>
              </w:rPr>
              <m:t>Z</m:t>
            </m:r>
          </m:e>
          <m:sub>
            <m:r>
              <w:rPr>
                <w:rFonts w:ascii="Cambria Math" w:hAnsi="Cambria Math"/>
                <w:lang w:eastAsia="zh-CN"/>
              </w:rPr>
              <m:t>1</m:t>
            </m:r>
          </m:sub>
        </m:sSub>
      </m:oMath>
      <w:r w:rsidR="00FF655D">
        <w:rPr>
          <w:rFonts w:hint="eastAsia"/>
          <w:lang w:eastAsia="zh-CN"/>
        </w:rPr>
        <w:t xml:space="preserve"> </w:t>
      </w:r>
      <w:r w:rsidR="00FF655D">
        <w:rPr>
          <w:lang w:eastAsia="zh-CN"/>
        </w:rPr>
        <w:t xml:space="preserve">of </w:t>
      </w:r>
      <w:r w:rsidR="009133F4">
        <w:rPr>
          <w:lang w:val="en-GB" w:eastAsia="zh-CN"/>
        </w:rPr>
        <w:t>T</w:t>
      </w:r>
      <w:r w:rsidR="009133F4">
        <w:rPr>
          <w:lang w:eastAsia="zh-CN"/>
        </w:rPr>
        <w:t xml:space="preserve">able </w:t>
      </w:r>
      <w:r w:rsidR="00FF655D">
        <w:rPr>
          <w:lang w:eastAsia="zh-CN"/>
        </w:rPr>
        <w:t xml:space="preserve">5.4-1 in [6, TS 38.214] is applied to the determination of </w:t>
      </w:r>
      <m:oMath>
        <m:r>
          <w:rPr>
            <w:rFonts w:ascii="Cambria Math" w:hAnsi="Cambria Math"/>
          </w:rPr>
          <m:t>Z</m:t>
        </m:r>
      </m:oMath>
      <w:r w:rsidR="00FF655D">
        <w:rPr>
          <w:lang w:eastAsia="zh-CN"/>
        </w:rPr>
        <w:t>.</w:t>
      </w:r>
    </w:p>
    <w:p w14:paraId="4B184668" w14:textId="034507FC" w:rsidR="00AC1D73" w:rsidRPr="002C28EA" w:rsidRDefault="00AC1D73" w:rsidP="00AC1D73">
      <w:pPr>
        <w:pStyle w:val="B1"/>
      </w:pPr>
      <w:r w:rsidRPr="00FF3E67">
        <w:t>-</w:t>
      </w:r>
      <w:r w:rsidRPr="00FF3E67">
        <w:tab/>
      </w:r>
      <m:oMath>
        <m:sSub>
          <m:sSubPr>
            <m:ctrlPr>
              <w:rPr>
                <w:rFonts w:ascii="Cambria Math" w:hAnsi="Cambria Math"/>
                <w:i/>
              </w:rPr>
            </m:ctrlPr>
          </m:sSubPr>
          <m:e>
            <m:r>
              <w:rPr>
                <w:rFonts w:ascii="Cambria Math"/>
              </w:rPr>
              <m:t>N</m:t>
            </m:r>
          </m:e>
          <m:sub>
            <m:r>
              <w:rPr>
                <w:rFonts w:ascii="Cambria Math"/>
              </w:rPr>
              <m:t>1</m:t>
            </m:r>
          </m:sub>
        </m:sSub>
      </m:oMath>
      <w:r w:rsidRPr="00FF3E67">
        <w:t>,</w:t>
      </w:r>
      <w:r>
        <w:rPr>
          <w:lang w:val="en-US"/>
        </w:rPr>
        <w:t xml:space="preserve"> </w:t>
      </w:r>
      <m:oMath>
        <m:sSub>
          <m:sSubPr>
            <m:ctrlPr>
              <w:rPr>
                <w:rFonts w:ascii="Cambria Math" w:hAnsi="Cambria Math"/>
                <w:i/>
              </w:rPr>
            </m:ctrlPr>
          </m:sSubPr>
          <m:e>
            <m:r>
              <w:rPr>
                <w:rFonts w:ascii="Cambria Math"/>
              </w:rPr>
              <m:t>N</m:t>
            </m:r>
          </m:e>
          <m:sub>
            <m:r>
              <w:rPr>
                <w:rFonts w:ascii="Cambria Math"/>
              </w:rPr>
              <m:t>2</m:t>
            </m:r>
          </m:sub>
        </m:sSub>
      </m:oMath>
      <w:r w:rsidRPr="00FF3E67">
        <w:t xml:space="preserve">, </w:t>
      </w:r>
      <m:oMath>
        <m:sSub>
          <m:sSubPr>
            <m:ctrlPr>
              <w:rPr>
                <w:rFonts w:ascii="Cambria Math" w:hAnsi="Cambria Math"/>
                <w:i/>
              </w:rPr>
            </m:ctrlPr>
          </m:sSubPr>
          <m:e>
            <m:r>
              <w:rPr>
                <w:rFonts w:ascii="Cambria Math"/>
              </w:rPr>
              <m:t>d</m:t>
            </m:r>
          </m:e>
          <m:sub>
            <m:r>
              <w:rPr>
                <w:rFonts w:ascii="Cambria Math"/>
              </w:rPr>
              <m:t>1,1</m:t>
            </m:r>
          </m:sub>
        </m:sSub>
      </m:oMath>
      <w:r w:rsidRPr="00FF3E67">
        <w:t xml:space="preserve">, </w:t>
      </w:r>
      <m:oMath>
        <m:sSub>
          <m:sSubPr>
            <m:ctrlPr>
              <w:rPr>
                <w:rFonts w:ascii="Cambria Math" w:hAnsi="Cambria Math"/>
                <w:i/>
              </w:rPr>
            </m:ctrlPr>
          </m:sSubPr>
          <m:e>
            <m:r>
              <w:rPr>
                <w:rFonts w:ascii="Cambria Math"/>
              </w:rPr>
              <m:t>d</m:t>
            </m:r>
          </m:e>
          <m:sub>
            <m:r>
              <w:rPr>
                <w:rFonts w:ascii="Cambria Math"/>
              </w:rPr>
              <m:t>2,1</m:t>
            </m:r>
          </m:sub>
        </m:sSub>
      </m:oMath>
      <w:r>
        <w:t xml:space="preserve">, </w:t>
      </w:r>
      <m:oMath>
        <m:sSub>
          <m:sSubPr>
            <m:ctrlPr>
              <w:rPr>
                <w:rFonts w:ascii="Cambria Math" w:hAnsi="Cambria Math"/>
                <w:i/>
              </w:rPr>
            </m:ctrlPr>
          </m:sSubPr>
          <m:e>
            <m:r>
              <w:rPr>
                <w:rFonts w:ascii="Cambria Math"/>
              </w:rPr>
              <m:t>d</m:t>
            </m:r>
          </m:e>
          <m:sub>
            <m:r>
              <w:rPr>
                <w:rFonts w:ascii="Cambria Math"/>
              </w:rPr>
              <m:t>2,2</m:t>
            </m:r>
          </m:sub>
        </m:sSub>
      </m:oMath>
      <w:r>
        <w:rPr>
          <w:lang w:val="en-US"/>
        </w:rPr>
        <w:t>,</w:t>
      </w:r>
      <w:r w:rsidR="00FF655D">
        <w:rPr>
          <w:lang w:val="en-US"/>
        </w:rPr>
        <w:t xml:space="preserve"> </w:t>
      </w:r>
      <w:r w:rsidR="00FF655D">
        <w:t>and</w:t>
      </w:r>
      <w:r>
        <w:rPr>
          <w:lang w:val="en-US"/>
        </w:rPr>
        <w:t xml:space="preserve"> </w:t>
      </w:r>
      <m:oMath>
        <m:r>
          <w:rPr>
            <w:rFonts w:ascii="Cambria Math" w:hAnsi="Cambria Math"/>
          </w:rPr>
          <m:t>Z</m:t>
        </m:r>
      </m:oMath>
      <w:r>
        <w:rPr>
          <w:lang w:val="en-US"/>
        </w:rPr>
        <w:t xml:space="preserve"> </w:t>
      </w:r>
      <m:oMath>
        <m:r>
          <m:rPr>
            <m:sty m:val="p"/>
          </m:rPr>
          <w:rPr>
            <w:rFonts w:ascii="Cambria Math" w:hAnsi="Cambria Math"/>
          </w:rPr>
          <m:t xml:space="preserve"> </m:t>
        </m:r>
      </m:oMath>
      <w:r>
        <w:rPr>
          <w:lang w:val="en-US"/>
        </w:rPr>
        <w:t>are defined</w:t>
      </w:r>
      <w:r>
        <w:t xml:space="preserve"> in [6, TS 38.214]</w:t>
      </w:r>
      <w:r w:rsidR="00951954">
        <w:t xml:space="preserve"> </w:t>
      </w:r>
      <w:r>
        <w:t xml:space="preserve">and </w:t>
      </w:r>
      <m:oMath>
        <m:r>
          <w:rPr>
            <w:rFonts w:ascii="Cambria Math"/>
          </w:rPr>
          <m:t>κ</m:t>
        </m:r>
      </m:oMath>
      <w:r>
        <w:rPr>
          <w:lang w:val="en-US"/>
        </w:rPr>
        <w:t xml:space="preserve"> and </w:t>
      </w:r>
      <m:oMath>
        <m:sSub>
          <m:sSubPr>
            <m:ctrlPr>
              <w:rPr>
                <w:rFonts w:ascii="Cambria Math" w:hAnsi="Cambria Math"/>
                <w:i/>
              </w:rPr>
            </m:ctrlPr>
          </m:sSubPr>
          <m:e>
            <m:r>
              <w:rPr>
                <w:rFonts w:ascii="Cambria Math"/>
              </w:rPr>
              <m:t>T</m:t>
            </m:r>
          </m:e>
          <m:sub>
            <m:r>
              <w:rPr>
                <w:rFonts w:ascii="Cambria Math"/>
              </w:rPr>
              <m:t>C</m:t>
            </m:r>
          </m:sub>
        </m:sSub>
      </m:oMath>
      <w:r>
        <w:rPr>
          <w:lang w:val="en-US"/>
        </w:rPr>
        <w:t xml:space="preserve"> are defined in </w:t>
      </w:r>
      <w:r>
        <w:t>[4, TS 38.211]</w:t>
      </w:r>
      <w:r w:rsidRPr="00FF3E67">
        <w:t xml:space="preserve">. </w:t>
      </w:r>
    </w:p>
    <w:p w14:paraId="1BB6D69D" w14:textId="7D6E935F" w:rsidR="005D27A4" w:rsidRDefault="005D27A4" w:rsidP="005D27A4">
      <w:r>
        <w:t xml:space="preserve">If a UE would transmit multiple overlapping PUCCHs </w:t>
      </w:r>
      <w:r w:rsidRPr="00C91777">
        <w:t>in a slot or overlapping PUCCH</w:t>
      </w:r>
      <w:r>
        <w:t>(</w:t>
      </w:r>
      <w:r w:rsidRPr="00C91777">
        <w:t>s</w:t>
      </w:r>
      <w:r>
        <w:t>)</w:t>
      </w:r>
      <w:r w:rsidRPr="00C91777">
        <w:t xml:space="preserve"> and PUSCH</w:t>
      </w:r>
      <w:r>
        <w:t>(</w:t>
      </w:r>
      <w:r w:rsidRPr="00C91777">
        <w:t>s</w:t>
      </w:r>
      <w:r>
        <w:t>) in a slot, one of the PUCCHs includes HARQ-ACK information in response to an SPS PDSCH reception, and any PUSCH is not in response to a DCI format detection, the UE</w:t>
      </w:r>
      <w:r w:rsidRPr="00FF3E67">
        <w:t xml:space="preserve"> expects that the first symbol </w:t>
      </w:r>
      <m:oMath>
        <m:sSub>
          <m:sSubPr>
            <m:ctrlPr>
              <w:rPr>
                <w:rFonts w:ascii="Cambria Math" w:hAnsi="Cambria Math"/>
                <w:i/>
                <w:sz w:val="24"/>
                <w:szCs w:val="24"/>
              </w:rPr>
            </m:ctrlPr>
          </m:sSubPr>
          <m:e>
            <m:r>
              <w:rPr>
                <w:rFonts w:ascii="Cambria Math"/>
              </w:rPr>
              <m:t>S</m:t>
            </m:r>
          </m:e>
          <m:sub>
            <m:r>
              <w:rPr>
                <w:rFonts w:ascii="Cambria Math"/>
              </w:rPr>
              <m:t>0</m:t>
            </m:r>
          </m:sub>
        </m:sSub>
      </m:oMath>
      <w:r>
        <w:t xml:space="preserve"> of the earliest PUCCH or PUSCH satisfies the first of the previous </w:t>
      </w:r>
      <w:r w:rsidRPr="00FF3E67">
        <w:t>timeline conditions</w:t>
      </w:r>
      <w:r>
        <w:t xml:space="preserve"> with the exception that components associated to a </w:t>
      </w:r>
      <w:r w:rsidR="00143099">
        <w:t>SCS</w:t>
      </w:r>
      <w:r>
        <w:t xml:space="preserve"> configuration for a PDCCH scheduling a PDSCH or a PUSCH are absent from the timeline conditions. </w:t>
      </w:r>
    </w:p>
    <w:p w14:paraId="50540996" w14:textId="77777777" w:rsidR="005D27A4" w:rsidRDefault="005D27A4" w:rsidP="005D27A4">
      <w:r w:rsidRPr="00D3237C">
        <w:t>A UE does not expect a PUCCH or a PUSCH that is in response to a DCI format detection to overlap with any other PUCCH or PUSCH that does not satisfy the above</w:t>
      </w:r>
      <w:r>
        <w:t xml:space="preserve"> </w:t>
      </w:r>
      <w:r w:rsidRPr="00D3237C">
        <w:t>timing conditions.</w:t>
      </w:r>
    </w:p>
    <w:p w14:paraId="1A1E7BF9" w14:textId="77777777" w:rsidR="007D51B7" w:rsidRDefault="007D51B7" w:rsidP="007D51B7">
      <w:r>
        <w:t>A UE that</w:t>
      </w:r>
    </w:p>
    <w:p w14:paraId="1E86B628" w14:textId="6AEF627B" w:rsidR="007D51B7" w:rsidRPr="0062743C" w:rsidRDefault="007D51B7" w:rsidP="007D51B7">
      <w:pPr>
        <w:pStyle w:val="B1"/>
        <w:rPr>
          <w:rFonts w:cstheme="minorHAnsi"/>
        </w:rPr>
      </w:pPr>
      <w:r>
        <w:t>-</w:t>
      </w:r>
      <w:r>
        <w:tab/>
      </w:r>
      <w:r>
        <w:rPr>
          <w:lang w:eastAsia="ko-KR"/>
        </w:rPr>
        <w:t xml:space="preserve">is not </w:t>
      </w:r>
      <w:r w:rsidRPr="0062743C">
        <w:rPr>
          <w:lang w:eastAsia="ko-KR"/>
        </w:rPr>
        <w:t xml:space="preserve">provided </w:t>
      </w:r>
      <w:r w:rsidR="002D5072">
        <w:rPr>
          <w:rFonts w:cstheme="minorHAnsi"/>
          <w:i/>
          <w:lang w:val="en-US"/>
        </w:rPr>
        <w:t>coreset</w:t>
      </w:r>
      <w:r w:rsidRPr="0062743C">
        <w:rPr>
          <w:rFonts w:cstheme="minorHAnsi"/>
          <w:i/>
        </w:rPr>
        <w:t>PoolIndex</w:t>
      </w:r>
      <w:r w:rsidRPr="0062743C">
        <w:rPr>
          <w:rFonts w:cstheme="minorHAnsi"/>
        </w:rPr>
        <w:t xml:space="preserve"> or is provided </w:t>
      </w:r>
      <w:r w:rsidR="002D5072">
        <w:rPr>
          <w:rFonts w:cstheme="minorHAnsi"/>
          <w:i/>
          <w:lang w:val="en-US"/>
        </w:rPr>
        <w:t>coreset</w:t>
      </w:r>
      <w:r w:rsidRPr="0062743C">
        <w:rPr>
          <w:rFonts w:cstheme="minorHAnsi"/>
          <w:i/>
        </w:rPr>
        <w:t>PoolIndex</w:t>
      </w:r>
      <w:r w:rsidRPr="0062743C">
        <w:rPr>
          <w:rFonts w:cstheme="minorHAnsi"/>
        </w:rPr>
        <w:t xml:space="preserve"> with a value of 0 for first CORESETs on active DL BWPs of serving cells, and</w:t>
      </w:r>
    </w:p>
    <w:p w14:paraId="3106E6F0" w14:textId="68B5B0EA" w:rsidR="007D51B7" w:rsidRPr="0062743C" w:rsidRDefault="007D51B7" w:rsidP="007D51B7">
      <w:pPr>
        <w:pStyle w:val="B1"/>
        <w:rPr>
          <w:rFonts w:cstheme="minorHAnsi"/>
        </w:rPr>
      </w:pPr>
      <w:r w:rsidRPr="0062743C">
        <w:t>-</w:t>
      </w:r>
      <w:r w:rsidRPr="0062743C">
        <w:tab/>
      </w:r>
      <w:r w:rsidRPr="0062743C">
        <w:rPr>
          <w:lang w:eastAsia="ko-KR"/>
        </w:rPr>
        <w:t xml:space="preserve">is provided </w:t>
      </w:r>
      <w:r w:rsidR="002D5072">
        <w:rPr>
          <w:rFonts w:cstheme="minorHAnsi"/>
          <w:i/>
          <w:lang w:val="en-US"/>
        </w:rPr>
        <w:t>coreset</w:t>
      </w:r>
      <w:r w:rsidRPr="0062743C">
        <w:rPr>
          <w:rFonts w:cstheme="minorHAnsi"/>
          <w:i/>
        </w:rPr>
        <w:t>PoolIndex</w:t>
      </w:r>
      <w:r w:rsidRPr="0062743C">
        <w:rPr>
          <w:rFonts w:cstheme="minorHAnsi"/>
        </w:rPr>
        <w:t xml:space="preserve"> with a value of 1 for second CORESETs on active DL BWPs of the serving cells, and</w:t>
      </w:r>
    </w:p>
    <w:p w14:paraId="70D646D2" w14:textId="051611A9" w:rsidR="007D51B7" w:rsidRDefault="007D51B7" w:rsidP="007D51B7">
      <w:pPr>
        <w:pStyle w:val="B1"/>
        <w:rPr>
          <w:rFonts w:cstheme="minorHAnsi"/>
        </w:rPr>
      </w:pPr>
      <w:r>
        <w:t>-</w:t>
      </w:r>
      <w:r>
        <w:tab/>
      </w:r>
      <w:r>
        <w:rPr>
          <w:lang w:eastAsia="ko-KR"/>
        </w:rPr>
        <w:t xml:space="preserve">is provided </w:t>
      </w:r>
      <w:r w:rsidR="002019A0" w:rsidRPr="007E07A0">
        <w:rPr>
          <w:i/>
        </w:rPr>
        <w:t>ackNackFeedbackMode</w:t>
      </w:r>
      <w:r w:rsidR="002019A0">
        <w:rPr>
          <w:i/>
          <w:iCs/>
        </w:rPr>
        <w:t xml:space="preserve"> </w:t>
      </w:r>
      <w:r w:rsidR="002019A0" w:rsidRPr="002712D0">
        <w:t>=</w:t>
      </w:r>
      <w:r w:rsidR="002019A0">
        <w:rPr>
          <w:i/>
          <w:iCs/>
        </w:rPr>
        <w:t xml:space="preserve"> separate</w:t>
      </w:r>
    </w:p>
    <w:p w14:paraId="303B8B8F" w14:textId="7ECCFCBB" w:rsidR="00C9450C" w:rsidRDefault="007D51B7" w:rsidP="00DA4FEB">
      <w:pPr>
        <w:rPr>
          <w:rFonts w:cstheme="minorHAnsi"/>
        </w:rPr>
      </w:pPr>
      <w:r w:rsidRPr="00436203">
        <w:t>does not expect</w:t>
      </w:r>
      <w:r>
        <w:t xml:space="preserve"> a PUCCH or a PUSCH transmission triggered by a detection of a DCI format in a PDCCH received in a CORESET from the first CORESETs</w:t>
      </w:r>
      <w:r>
        <w:rPr>
          <w:rFonts w:cstheme="minorHAnsi"/>
        </w:rPr>
        <w:t xml:space="preserve"> to overlap </w:t>
      </w:r>
      <w:r w:rsidR="002019A0">
        <w:rPr>
          <w:rFonts w:cstheme="minorHAnsi"/>
        </w:rPr>
        <w:t xml:space="preserve">in time </w:t>
      </w:r>
      <w:r>
        <w:rPr>
          <w:rFonts w:cstheme="minorHAnsi"/>
        </w:rPr>
        <w:t xml:space="preserve">with </w:t>
      </w:r>
      <w:r>
        <w:t>a PUCCH or a PUSCH transmission triggered by a detection of a DCI format in a PDCCH received in a CORESET from the second CORESETs</w:t>
      </w:r>
      <w:r w:rsidR="009473AF">
        <w:t xml:space="preserve"> if the UE is not provided</w:t>
      </w:r>
      <w:r w:rsidR="009473AF" w:rsidRPr="0067501E">
        <w:rPr>
          <w:i/>
          <w:iCs/>
          <w:lang w:val="en-US"/>
        </w:rPr>
        <w:t xml:space="preserve"> </w:t>
      </w:r>
      <w:r w:rsidR="009473AF" w:rsidRPr="00BF599C">
        <w:rPr>
          <w:i/>
          <w:iCs/>
          <w:lang w:val="en-US"/>
        </w:rPr>
        <w:t>enableSTx2P</w:t>
      </w:r>
      <w:r w:rsidR="009473AF">
        <w:rPr>
          <w:i/>
          <w:iCs/>
          <w:lang w:val="en-US"/>
        </w:rPr>
        <w:t>ofmDCI</w:t>
      </w:r>
      <w:r w:rsidR="009473AF">
        <w:rPr>
          <w:lang w:val="en-US"/>
        </w:rPr>
        <w:t>; else</w:t>
      </w:r>
      <w:r w:rsidR="009473AF" w:rsidRPr="0067501E">
        <w:rPr>
          <w:lang w:val="en-US"/>
        </w:rPr>
        <w:t xml:space="preserve">, </w:t>
      </w:r>
      <w:r w:rsidR="009473AF">
        <w:rPr>
          <w:lang w:val="en-US"/>
        </w:rPr>
        <w:t xml:space="preserve">if the UE is provided </w:t>
      </w:r>
      <w:r w:rsidR="009473AF" w:rsidRPr="00BF599C">
        <w:rPr>
          <w:i/>
          <w:iCs/>
          <w:lang w:val="en-US"/>
        </w:rPr>
        <w:t>enableSTx2P</w:t>
      </w:r>
      <w:r w:rsidR="009473AF">
        <w:rPr>
          <w:i/>
          <w:iCs/>
          <w:lang w:val="en-US"/>
        </w:rPr>
        <w:t>ofmDCI</w:t>
      </w:r>
      <w:r w:rsidR="009473AF">
        <w:rPr>
          <w:lang w:val="en-US"/>
        </w:rPr>
        <w:t xml:space="preserve">, </w:t>
      </w:r>
      <w:r w:rsidR="009473AF" w:rsidRPr="0067501E">
        <w:rPr>
          <w:lang w:val="en-CA"/>
        </w:rPr>
        <w:t xml:space="preserve">the UE does not expect </w:t>
      </w:r>
      <w:r w:rsidR="009473AF">
        <w:t>to transmit a</w:t>
      </w:r>
      <w:r w:rsidR="009473AF" w:rsidRPr="0067501E">
        <w:t xml:space="preserve"> PUCCH </w:t>
      </w:r>
      <w:r w:rsidR="009473AF">
        <w:t>that includes HARQ-ACK information and is associated with either the first or the second CORESETs</w:t>
      </w:r>
      <w:r w:rsidR="009473AF">
        <w:rPr>
          <w:lang w:val="en-CA"/>
        </w:rPr>
        <w:t xml:space="preserve"> </w:t>
      </w:r>
      <w:r w:rsidR="009473AF" w:rsidRPr="0067501E">
        <w:rPr>
          <w:lang w:val="en-CA"/>
        </w:rPr>
        <w:t xml:space="preserve">to overlap with </w:t>
      </w:r>
      <w:r w:rsidR="009473AF">
        <w:rPr>
          <w:lang w:val="en-CA"/>
        </w:rPr>
        <w:t xml:space="preserve">a </w:t>
      </w:r>
      <w:r w:rsidR="009473AF" w:rsidRPr="0067501E">
        <w:rPr>
          <w:lang w:val="en-CA"/>
        </w:rPr>
        <w:t>PUSCH</w:t>
      </w:r>
      <w:r w:rsidR="009473AF">
        <w:rPr>
          <w:lang w:val="en-CA"/>
        </w:rPr>
        <w:t xml:space="preserve"> transmission </w:t>
      </w:r>
      <w:r w:rsidR="009473AF">
        <w:t xml:space="preserve">associated </w:t>
      </w:r>
      <w:r w:rsidR="009473AF" w:rsidRPr="0067501E">
        <w:rPr>
          <w:lang w:val="en-CA"/>
        </w:rPr>
        <w:t xml:space="preserve">with </w:t>
      </w:r>
      <w:r w:rsidR="009473AF">
        <w:rPr>
          <w:lang w:val="en-CA"/>
        </w:rPr>
        <w:t>either the second or the first CORESETs and</w:t>
      </w:r>
      <w:r w:rsidR="009473AF" w:rsidRPr="0067501E">
        <w:rPr>
          <w:lang w:val="en-CA"/>
        </w:rPr>
        <w:t xml:space="preserve"> not overlap with a PUSCH </w:t>
      </w:r>
      <w:r w:rsidR="009473AF">
        <w:rPr>
          <w:lang w:val="en-CA"/>
        </w:rPr>
        <w:t xml:space="preserve">transmission </w:t>
      </w:r>
      <w:r w:rsidR="009473AF">
        <w:t xml:space="preserve">associated </w:t>
      </w:r>
      <w:r w:rsidR="009473AF" w:rsidRPr="0067501E">
        <w:rPr>
          <w:lang w:val="en-CA"/>
        </w:rPr>
        <w:t xml:space="preserve">with </w:t>
      </w:r>
      <w:r w:rsidR="009473AF">
        <w:rPr>
          <w:lang w:val="en-CA"/>
        </w:rPr>
        <w:t>either the first or the second CORESETs, respectively</w:t>
      </w:r>
      <w:r>
        <w:rPr>
          <w:rFonts w:cstheme="minorHAnsi"/>
        </w:rPr>
        <w:t xml:space="preserve">. </w:t>
      </w:r>
    </w:p>
    <w:p w14:paraId="430091CD" w14:textId="6B73553C" w:rsidR="00DA4FEB" w:rsidRDefault="00DA4FEB" w:rsidP="00DA4FEB">
      <w:r>
        <w:t>I</w:t>
      </w:r>
      <w:r w:rsidRPr="00FF3E67">
        <w:t xml:space="preserve">f there is </w:t>
      </w:r>
      <w:r>
        <w:t>one or more aperiodic CSI reports multiplexed on</w:t>
      </w:r>
      <w:r w:rsidRPr="00FF3E67">
        <w:t xml:space="preserve"> </w:t>
      </w:r>
      <w:r w:rsidR="00C9450C">
        <w:t xml:space="preserve">a </w:t>
      </w:r>
      <w:r w:rsidRPr="00FF3E67">
        <w:t xml:space="preserve">PUSCH in </w:t>
      </w:r>
      <w:r>
        <w:t xml:space="preserve">the group of overlapping PUCCHs and </w:t>
      </w:r>
      <w:r w:rsidRPr="00FF3E67">
        <w:t>PUSCHs</w:t>
      </w:r>
      <w:r>
        <w:t xml:space="preserve"> and i</w:t>
      </w:r>
      <w:r w:rsidRPr="00FF3E67">
        <w:t xml:space="preserve">f symbol </w:t>
      </w:r>
      <m:oMath>
        <m:sSub>
          <m:sSubPr>
            <m:ctrlPr>
              <w:rPr>
                <w:rFonts w:ascii="Cambria Math" w:hAnsi="Cambria Math"/>
                <w:i/>
                <w:sz w:val="24"/>
                <w:szCs w:val="24"/>
              </w:rPr>
            </m:ctrlPr>
          </m:sSubPr>
          <m:e>
            <m:r>
              <w:rPr>
                <w:rFonts w:ascii="Cambria Math"/>
              </w:rPr>
              <m:t>S</m:t>
            </m:r>
          </m:e>
          <m:sub>
            <m:r>
              <w:rPr>
                <w:rFonts w:ascii="Cambria Math"/>
              </w:rPr>
              <m:t>0</m:t>
            </m:r>
          </m:sub>
        </m:sSub>
      </m:oMath>
      <w:r w:rsidRPr="00FF3E67">
        <w:t xml:space="preserve"> is before symbol </w:t>
      </w:r>
      <m:oMath>
        <m:sSubSup>
          <m:sSubSupPr>
            <m:ctrlPr>
              <w:rPr>
                <w:rFonts w:ascii="Cambria Math" w:hAnsi="Cambria Math"/>
                <w:i/>
              </w:rPr>
            </m:ctrlPr>
          </m:sSubSupPr>
          <m:e>
            <m:r>
              <w:rPr>
                <w:rFonts w:ascii="Cambria Math"/>
              </w:rPr>
              <m:t>Z</m:t>
            </m:r>
            <m:r>
              <w:rPr>
                <w:rFonts w:ascii="Cambria Math"/>
              </w:rPr>
              <m:t>'</m:t>
            </m:r>
          </m:e>
          <m:sub>
            <m:r>
              <m:rPr>
                <m:sty m:val="p"/>
              </m:rPr>
              <w:rPr>
                <w:rFonts w:ascii="Cambria Math"/>
              </w:rPr>
              <m:t>ref</m:t>
            </m:r>
          </m:sub>
          <m:sup>
            <m:r>
              <m:rPr>
                <m:sty m:val="p"/>
              </m:rPr>
              <w:rPr>
                <w:rFonts w:ascii="Cambria Math"/>
              </w:rPr>
              <m:t xml:space="preserve"> mux</m:t>
            </m:r>
          </m:sup>
        </m:sSubSup>
      </m:oMath>
      <w:r w:rsidRPr="00FF3E67">
        <w:t xml:space="preserve"> </w:t>
      </w:r>
      <w:r>
        <w:t xml:space="preserve">that is a next uplink symbol with CP starting after </w:t>
      </w:r>
      <m:oMath>
        <m:sSubSup>
          <m:sSubSupPr>
            <m:ctrlPr>
              <w:rPr>
                <w:rFonts w:ascii="Cambria Math" w:hAnsi="Cambria Math"/>
                <w:i/>
              </w:rPr>
            </m:ctrlPr>
          </m:sSubSupPr>
          <m:e>
            <m:r>
              <w:rPr>
                <w:rFonts w:ascii="Cambria Math"/>
              </w:rPr>
              <m:t>Z</m:t>
            </m:r>
            <m:r>
              <w:rPr>
                <w:rFonts w:ascii="Cambria Math"/>
              </w:rPr>
              <m:t>'</m:t>
            </m:r>
          </m:e>
          <m:sub>
            <m:r>
              <m:rPr>
                <m:sty m:val="p"/>
              </m:rPr>
              <w:rPr>
                <w:rFonts w:ascii="Cambria Math"/>
              </w:rPr>
              <m:t>proc,CSI</m:t>
            </m:r>
          </m:sub>
          <m:sup>
            <m:r>
              <w:rPr>
                <w:rFonts w:ascii="Cambria Math"/>
              </w:rPr>
              <m:t xml:space="preserve"> </m:t>
            </m:r>
            <m:r>
              <m:rPr>
                <m:sty m:val="p"/>
              </m:rPr>
              <w:rPr>
                <w:rFonts w:ascii="Cambria Math"/>
              </w:rPr>
              <m:t>mux</m:t>
            </m:r>
          </m:sup>
        </m:sSubSup>
        <m:r>
          <w:rPr>
            <w:rFonts w:ascii="Cambria Math"/>
          </w:rPr>
          <m:t>=</m:t>
        </m:r>
        <m:d>
          <m:dPr>
            <m:ctrlPr>
              <w:rPr>
                <w:rFonts w:ascii="Cambria Math" w:hAnsi="Cambria Math"/>
                <w:i/>
              </w:rPr>
            </m:ctrlPr>
          </m:dPr>
          <m:e>
            <m:r>
              <w:rPr>
                <w:rFonts w:ascii="Cambria Math" w:hAnsi="Cambria Math"/>
              </w:rPr>
              <m:t>Z'</m:t>
            </m:r>
            <m:r>
              <w:rPr>
                <w:rFonts w:ascii="Cambria Math"/>
              </w:rPr>
              <m:t>+d</m:t>
            </m:r>
          </m:e>
        </m:d>
        <m:r>
          <w:rPr>
            <w:rFonts w:ascii="Cambria Math" w:hAnsi="Cambria Math" w:cs="Cambria Math"/>
          </w:rPr>
          <m:t>⋅</m:t>
        </m:r>
        <m:d>
          <m:dPr>
            <m:ctrlPr>
              <w:rPr>
                <w:rFonts w:ascii="Cambria Math" w:hAnsi="Cambria Math"/>
                <w:i/>
              </w:rPr>
            </m:ctrlPr>
          </m:dPr>
          <m:e>
            <m:r>
              <w:rPr>
                <w:rFonts w:ascii="Cambria Math"/>
              </w:rPr>
              <m:t>2048+144</m:t>
            </m:r>
          </m:e>
        </m:d>
        <m:r>
          <w:rPr>
            <w:rFonts w:ascii="Cambria Math" w:hAnsi="Cambria Math" w:cs="Cambria Math"/>
          </w:rPr>
          <m:t>⋅</m:t>
        </m:r>
        <m:r>
          <w:rPr>
            <w:rFonts w:ascii="Cambria Math"/>
          </w:rPr>
          <m:t>κ</m:t>
        </m:r>
        <m:r>
          <w:rPr>
            <w:rFonts w:ascii="Cambria Math" w:hAnsi="Cambria Math" w:cs="Cambria Math"/>
          </w:rPr>
          <m:t>⋅</m:t>
        </m:r>
        <m:sSup>
          <m:sSupPr>
            <m:ctrlPr>
              <w:rPr>
                <w:rFonts w:ascii="Cambria Math" w:hAnsi="Cambria Math"/>
                <w:i/>
              </w:rPr>
            </m:ctrlPr>
          </m:sSupPr>
          <m:e>
            <m:r>
              <w:rPr>
                <w:rFonts w:ascii="Cambria Math"/>
              </w:rPr>
              <m:t>2</m:t>
            </m:r>
          </m:e>
          <m:sup>
            <m:r>
              <w:rPr>
                <w:rFonts w:ascii="Cambria Math"/>
              </w:rPr>
              <m:t>-</m:t>
            </m:r>
            <m:r>
              <w:rPr>
                <w:rFonts w:ascii="Cambria Math"/>
              </w:rPr>
              <m:t>μ</m:t>
            </m:r>
          </m:sup>
        </m:sSup>
        <m:r>
          <w:rPr>
            <w:rFonts w:ascii="Cambria Math" w:hAnsi="Cambria Math" w:cs="Cambria Math"/>
          </w:rPr>
          <m:t>⋅</m:t>
        </m:r>
        <m:sSub>
          <m:sSubPr>
            <m:ctrlPr>
              <w:rPr>
                <w:rFonts w:ascii="Cambria Math" w:hAnsi="Cambria Math"/>
                <w:i/>
              </w:rPr>
            </m:ctrlPr>
          </m:sSubPr>
          <m:e>
            <m:r>
              <w:rPr>
                <w:rFonts w:ascii="Cambria Math"/>
              </w:rPr>
              <m:t>T</m:t>
            </m:r>
          </m:e>
          <m:sub>
            <m:r>
              <w:rPr>
                <w:rFonts w:ascii="Cambria Math"/>
              </w:rPr>
              <m:t>C</m:t>
            </m:r>
          </m:sub>
        </m:sSub>
      </m:oMath>
      <w:r w:rsidRPr="00FF3E67">
        <w:t xml:space="preserve"> after the en</w:t>
      </w:r>
      <w:r>
        <w:t>d of the last symbol of</w:t>
      </w:r>
      <w:r w:rsidRPr="00FF3E67">
        <w:t xml:space="preserve"> </w:t>
      </w:r>
    </w:p>
    <w:p w14:paraId="07E64097" w14:textId="77777777" w:rsidR="005D27A4" w:rsidRDefault="005D27A4" w:rsidP="005D27A4">
      <w:pPr>
        <w:pStyle w:val="B1"/>
      </w:pPr>
      <w:r w:rsidRPr="00FF3E67">
        <w:t>-</w:t>
      </w:r>
      <w:r w:rsidRPr="00FF3E67">
        <w:tab/>
        <w:t>the last symbol of aperiodic CSI-RS re</w:t>
      </w:r>
      <w:r>
        <w:t>source for channel measurements</w:t>
      </w:r>
      <w:r>
        <w:rPr>
          <w:lang w:val="en-US"/>
        </w:rPr>
        <w:t>, and</w:t>
      </w:r>
      <w:r w:rsidRPr="00FF3E67">
        <w:t xml:space="preserve"> </w:t>
      </w:r>
    </w:p>
    <w:p w14:paraId="27488F8A" w14:textId="77777777" w:rsidR="005D27A4" w:rsidRDefault="005D27A4" w:rsidP="005D27A4">
      <w:pPr>
        <w:pStyle w:val="B1"/>
      </w:pPr>
      <w:r w:rsidRPr="00FF3E67">
        <w:t>-</w:t>
      </w:r>
      <w:r w:rsidRPr="00FF3E67">
        <w:tab/>
        <w:t xml:space="preserve">the last symbol of aperiodic CSI-IM used for interference measurements, and </w:t>
      </w:r>
    </w:p>
    <w:p w14:paraId="25B75AD4" w14:textId="2AF1EC53" w:rsidR="005D27A4" w:rsidRPr="008275E9" w:rsidRDefault="005D27A4" w:rsidP="005D27A4">
      <w:pPr>
        <w:pStyle w:val="B1"/>
        <w:rPr>
          <w:i/>
          <w:lang w:val="en-GB"/>
        </w:rPr>
      </w:pPr>
      <w:r w:rsidRPr="00FF3E67">
        <w:t>-</w:t>
      </w:r>
      <w:r w:rsidRPr="00FF3E67">
        <w:tab/>
        <w:t>the last symbol of aperiodic NZP CSI-RS for interference measurement</w:t>
      </w:r>
      <w:r>
        <w:t>s</w:t>
      </w:r>
      <w:r w:rsidR="00B35D84">
        <w:rPr>
          <w:lang w:val="en-GB"/>
        </w:rPr>
        <w:t xml:space="preserve"> </w:t>
      </w:r>
      <w:r w:rsidR="00B35D84" w:rsidRPr="008B3A94">
        <w:t xml:space="preserve">for a </w:t>
      </w:r>
      <w:r w:rsidR="00B35D84" w:rsidRPr="008B3A94">
        <w:rPr>
          <w:i/>
          <w:iCs/>
        </w:rPr>
        <w:t>CSI-ReportConfig</w:t>
      </w:r>
      <w:r w:rsidR="00B35D84" w:rsidRPr="008B3A94">
        <w:t xml:space="preserve">, or for all triggered sub-configurations if </w:t>
      </w:r>
      <w:r w:rsidR="00B35D84" w:rsidRPr="008B3A94">
        <w:rPr>
          <w:i/>
          <w:iCs/>
        </w:rPr>
        <w:t>CSI-ReportConfig</w:t>
      </w:r>
      <w:r w:rsidR="00B35D84" w:rsidRPr="008B3A94">
        <w:t xml:space="preserve"> contains multiple sub-configurations</w:t>
      </w:r>
      <w:r w:rsidRPr="00FF3E67">
        <w:t xml:space="preserve">, when aperiodic CSI-RS is used for channel measurement for triggered CSI report </w:t>
      </w:r>
      <m:oMath>
        <m:r>
          <w:rPr>
            <w:rFonts w:ascii="Cambria Math" w:hAnsi="Cambria Math"/>
          </w:rPr>
          <m:t>n</m:t>
        </m:r>
      </m:oMath>
      <w:r w:rsidRPr="00FF3E67">
        <w:rPr>
          <w:i/>
        </w:rPr>
        <w:t xml:space="preserve"> </w:t>
      </w:r>
    </w:p>
    <w:p w14:paraId="06244B9D" w14:textId="5AFC43A3" w:rsidR="005D27A4" w:rsidRDefault="005D27A4" w:rsidP="005D27A4">
      <w:pPr>
        <w:pStyle w:val="B1"/>
        <w:ind w:left="0" w:firstLine="14"/>
      </w:pPr>
      <w:r w:rsidRPr="00FF3E67">
        <w:lastRenderedPageBreak/>
        <w:t xml:space="preserve">the UE is not required to update the CSI </w:t>
      </w:r>
      <w:r>
        <w:rPr>
          <w:lang w:val="en-US"/>
        </w:rPr>
        <w:t xml:space="preserve">report </w:t>
      </w:r>
      <w:r w:rsidRPr="00FF3E67">
        <w:t xml:space="preserve">for the triggered CSI report </w:t>
      </w:r>
      <m:oMath>
        <m:r>
          <w:rPr>
            <w:rFonts w:ascii="Cambria Math" w:hAnsi="Cambria Math"/>
          </w:rPr>
          <m:t>n</m:t>
        </m:r>
      </m:oMath>
      <w:r w:rsidRPr="00FF3E67">
        <w:rPr>
          <w:i/>
        </w:rPr>
        <w:t xml:space="preserve">. </w:t>
      </w:r>
      <m:oMath>
        <m:r>
          <w:rPr>
            <w:rFonts w:ascii="Cambria Math" w:hAnsi="Cambria Math"/>
          </w:rPr>
          <m:t>Z'</m:t>
        </m:r>
      </m:oMath>
      <w:r w:rsidR="008275E9">
        <w:rPr>
          <w:i/>
          <w:lang w:val="en-GB"/>
        </w:rPr>
        <w:t xml:space="preserve"> </w:t>
      </w:r>
      <w:r>
        <w:rPr>
          <w:lang w:val="en-US"/>
        </w:rPr>
        <w:t>is defined</w:t>
      </w:r>
      <w:r>
        <w:t xml:space="preserve"> in [6, TS 38.214] and</w:t>
      </w:r>
      <w:r w:rsidRPr="00FF3E67">
        <w:t xml:space="preserve"> </w:t>
      </w:r>
      <m:oMath>
        <m:r>
          <w:rPr>
            <w:rFonts w:ascii="Cambria Math"/>
            <w:lang w:eastAsia="x-none"/>
          </w:rPr>
          <m:t>μ</m:t>
        </m:r>
      </m:oMath>
      <w:r w:rsidRPr="00FF3E67">
        <w:rPr>
          <w:i/>
          <w:lang w:val="en-AU"/>
        </w:rPr>
        <w:t xml:space="preserve"> </w:t>
      </w:r>
      <w:r w:rsidRPr="00FF3E67">
        <w:rPr>
          <w:lang w:val="en-AU"/>
        </w:rPr>
        <w:t xml:space="preserve">corresponds to the </w:t>
      </w:r>
      <w:r>
        <w:rPr>
          <w:lang w:val="en-AU"/>
        </w:rPr>
        <w:t>smallest</w:t>
      </w:r>
      <w:r w:rsidRPr="00FF3E67">
        <w:rPr>
          <w:lang w:val="en-AU"/>
        </w:rPr>
        <w:t xml:space="preserve"> </w:t>
      </w:r>
      <w:r w:rsidR="00143099">
        <w:rPr>
          <w:lang w:val="en-AU"/>
        </w:rPr>
        <w:t>SCS</w:t>
      </w:r>
      <w:r w:rsidRPr="00FF3E67">
        <w:rPr>
          <w:lang w:val="en-AU"/>
        </w:rPr>
        <w:t xml:space="preserve"> </w:t>
      </w:r>
      <w:r>
        <w:rPr>
          <w:lang w:val="en-AU"/>
        </w:rPr>
        <w:t xml:space="preserve">configuration </w:t>
      </w:r>
      <w:r w:rsidRPr="00FF3E67">
        <w:rPr>
          <w:lang w:val="en-AU"/>
        </w:rPr>
        <w:t xml:space="preserve">among the </w:t>
      </w:r>
      <w:r w:rsidR="00143099">
        <w:rPr>
          <w:lang w:val="en-AU"/>
        </w:rPr>
        <w:t>SCS</w:t>
      </w:r>
      <w:r w:rsidRPr="00FF3E67">
        <w:rPr>
          <w:lang w:val="en-AU"/>
        </w:rPr>
        <w:t xml:space="preserve"> </w:t>
      </w:r>
      <w:r>
        <w:rPr>
          <w:lang w:val="en-AU"/>
        </w:rPr>
        <w:t xml:space="preserve">configurations </w:t>
      </w:r>
      <w:r w:rsidRPr="00FF3E67">
        <w:rPr>
          <w:lang w:val="en-AU"/>
        </w:rPr>
        <w:t>of the PDCCHs scheduling the PUSCHs</w:t>
      </w:r>
      <w:r>
        <w:rPr>
          <w:lang w:val="en-AU"/>
        </w:rPr>
        <w:t>, the smallest</w:t>
      </w:r>
      <w:r w:rsidRPr="00FF3E67">
        <w:rPr>
          <w:lang w:val="en-AU"/>
        </w:rPr>
        <w:t xml:space="preserve"> </w:t>
      </w:r>
      <w:r w:rsidR="00143099">
        <w:rPr>
          <w:lang w:val="en-AU"/>
        </w:rPr>
        <w:t>SCS</w:t>
      </w:r>
      <w:r w:rsidRPr="00FF3E67">
        <w:rPr>
          <w:lang w:val="en-AU"/>
        </w:rPr>
        <w:t xml:space="preserve"> </w:t>
      </w:r>
      <w:r>
        <w:rPr>
          <w:lang w:val="en-AU"/>
        </w:rPr>
        <w:t>configuration of</w:t>
      </w:r>
      <w:r w:rsidRPr="00FF3E67">
        <w:rPr>
          <w:lang w:val="en-AU"/>
        </w:rPr>
        <w:t xml:space="preserve"> aperiodic CSI-RS</w:t>
      </w:r>
      <w:r>
        <w:rPr>
          <w:lang w:val="en-AU"/>
        </w:rPr>
        <w:t>s</w:t>
      </w:r>
      <w:r w:rsidRPr="00FF3E67">
        <w:rPr>
          <w:lang w:val="en-AU"/>
        </w:rPr>
        <w:t xml:space="preserve"> </w:t>
      </w:r>
      <w:r>
        <w:rPr>
          <w:lang w:val="en-AU"/>
        </w:rPr>
        <w:t>associated with DCI formats provided by the PDCCHs triggering the aperiodic CSI reports</w:t>
      </w:r>
      <w:r w:rsidRPr="00FF3E67">
        <w:rPr>
          <w:lang w:val="en-AU"/>
        </w:rPr>
        <w:t xml:space="preserve">, and the smallest </w:t>
      </w:r>
      <w:r w:rsidR="00143099">
        <w:rPr>
          <w:lang w:val="en-AU"/>
        </w:rPr>
        <w:t>SCS</w:t>
      </w:r>
      <w:r w:rsidRPr="00FF3E67">
        <w:rPr>
          <w:lang w:val="en-AU"/>
        </w:rPr>
        <w:t xml:space="preserve"> </w:t>
      </w:r>
      <w:r>
        <w:rPr>
          <w:lang w:val="en-AU"/>
        </w:rPr>
        <w:t xml:space="preserve">configuration </w:t>
      </w:r>
      <w:r w:rsidRPr="00FF3E67">
        <w:rPr>
          <w:lang w:val="en-AU"/>
        </w:rPr>
        <w:t>of the overlapping PUCCHs and PUSCHs</w:t>
      </w:r>
      <w:r w:rsidRPr="00FF3E67">
        <w:t xml:space="preserve"> </w:t>
      </w:r>
      <w:r>
        <w:t>and</w:t>
      </w:r>
      <w:r w:rsidRPr="00FF3E67">
        <w:t xml:space="preserve"> </w:t>
      </w:r>
      <m:oMath>
        <m:r>
          <w:rPr>
            <w:rFonts w:ascii="Cambria Math"/>
            <w:lang w:eastAsia="x-none"/>
          </w:rPr>
          <m:t>d=2</m:t>
        </m:r>
      </m:oMath>
      <w:r w:rsidRPr="00FF3E67">
        <w:rPr>
          <w:lang w:val="en-AU"/>
        </w:rPr>
        <w:t xml:space="preserve"> for </w:t>
      </w:r>
      <m:oMath>
        <m:r>
          <w:rPr>
            <w:rFonts w:ascii="Cambria Math"/>
            <w:lang w:eastAsia="x-none"/>
          </w:rPr>
          <m:t>μ=0,1</m:t>
        </m:r>
      </m:oMath>
      <w:r w:rsidRPr="00FF3E67">
        <w:rPr>
          <w:lang w:val="en-AU"/>
        </w:rPr>
        <w:t xml:space="preserve">, </w:t>
      </w:r>
      <m:oMath>
        <m:r>
          <w:rPr>
            <w:rFonts w:ascii="Cambria Math"/>
            <w:lang w:eastAsia="x-none"/>
          </w:rPr>
          <m:t>d=3</m:t>
        </m:r>
      </m:oMath>
      <w:r w:rsidRPr="00FF3E67">
        <w:rPr>
          <w:lang w:val="en-AU"/>
        </w:rPr>
        <w:t xml:space="preserve"> for </w:t>
      </w:r>
      <m:oMath>
        <m:r>
          <w:rPr>
            <w:rFonts w:ascii="Cambria Math"/>
            <w:lang w:eastAsia="x-none"/>
          </w:rPr>
          <m:t>μ=2,</m:t>
        </m:r>
      </m:oMath>
      <w:r w:rsidRPr="00FF3E67">
        <w:rPr>
          <w:lang w:val="en-AU"/>
        </w:rPr>
        <w:t xml:space="preserve"> and </w:t>
      </w:r>
      <m:oMath>
        <m:r>
          <w:rPr>
            <w:rFonts w:ascii="Cambria Math"/>
            <w:lang w:eastAsia="x-none"/>
          </w:rPr>
          <m:t>d=4</m:t>
        </m:r>
      </m:oMath>
      <w:r w:rsidRPr="00FF3E67">
        <w:rPr>
          <w:lang w:val="en-AU"/>
        </w:rPr>
        <w:t xml:space="preserve"> for </w:t>
      </w:r>
      <m:oMath>
        <m:r>
          <w:rPr>
            <w:rFonts w:ascii="Cambria Math"/>
            <w:lang w:eastAsia="x-none"/>
          </w:rPr>
          <m:t>μ</m:t>
        </m:r>
        <m:r>
          <w:rPr>
            <w:rFonts w:ascii="Cambria Math"/>
            <w:lang w:val="en-US" w:eastAsia="x-none"/>
          </w:rPr>
          <m:t>≥</m:t>
        </m:r>
        <m:r>
          <w:rPr>
            <w:rFonts w:ascii="Cambria Math"/>
            <w:lang w:eastAsia="x-none"/>
          </w:rPr>
          <m:t>3</m:t>
        </m:r>
      </m:oMath>
      <w:r w:rsidRPr="00FF3E67">
        <w:rPr>
          <w:lang w:val="en-AU"/>
        </w:rPr>
        <w:t xml:space="preserve">. </w:t>
      </w:r>
    </w:p>
    <w:p w14:paraId="39757C49" w14:textId="09FB83D5" w:rsidR="0028526F" w:rsidRDefault="0028526F" w:rsidP="0028526F">
      <w:r>
        <w:t xml:space="preserve">If a UE would transmit multiple PUCCHs in a slot that include HARQ-ACK information, </w:t>
      </w:r>
      <w:r w:rsidR="007E7DE5">
        <w:t xml:space="preserve">and/or </w:t>
      </w:r>
      <w:r>
        <w:t>SR, and</w:t>
      </w:r>
      <w:r w:rsidR="007E7DE5">
        <w:t>/or</w:t>
      </w:r>
      <w:r>
        <w:t xml:space="preserve"> CSI reports and any PUCCH with HARQ-ACK information in the slot satisfies the above timing conditions and does not overlap with any other PUCCH or PUSCH in the slot that does not satisfy the above timing conditions, the UE multiplexes </w:t>
      </w:r>
      <w:r w:rsidR="007E7DE5">
        <w:t xml:space="preserve">the </w:t>
      </w:r>
      <w:r>
        <w:t xml:space="preserve">HARQ-ACK information, </w:t>
      </w:r>
      <w:r w:rsidR="007E7DE5">
        <w:t xml:space="preserve">and/or </w:t>
      </w:r>
      <w:r>
        <w:t>SR, and</w:t>
      </w:r>
      <w:r w:rsidR="007E7DE5">
        <w:t xml:space="preserve">/or </w:t>
      </w:r>
      <w:r>
        <w:t xml:space="preserve">CSI reports and determines corresponding PUCCH(s) for transmission in the slot according to the following pseudo-code. If the multiple PUCCHs do not include HARQ-ACK information and </w:t>
      </w:r>
      <w:r>
        <w:rPr>
          <w:lang w:val="en-US"/>
        </w:rPr>
        <w:t xml:space="preserve">do not overlap with any PUSCH transmission by the UE </w:t>
      </w:r>
      <w:r>
        <w:t xml:space="preserve">in response to a DCI format detection by the UE, the timing conditions do not apply. </w:t>
      </w:r>
    </w:p>
    <w:p w14:paraId="6B2DC379" w14:textId="77777777" w:rsidR="0028526F" w:rsidRDefault="0028526F" w:rsidP="0028526F">
      <w:pPr>
        <w:rPr>
          <w:lang w:val="en-US"/>
        </w:rPr>
      </w:pPr>
      <w:r>
        <w:rPr>
          <w:lang w:val="en-US"/>
        </w:rPr>
        <w:t xml:space="preserve">If </w:t>
      </w:r>
    </w:p>
    <w:p w14:paraId="55B0F9AF" w14:textId="77777777" w:rsidR="0028526F" w:rsidRDefault="0028526F" w:rsidP="0028526F">
      <w:pPr>
        <w:pStyle w:val="B1"/>
        <w:rPr>
          <w:lang w:val="en-US" w:eastAsia="zh-CN"/>
        </w:rPr>
      </w:pPr>
      <w:r w:rsidRPr="00FF3E67">
        <w:t>-</w:t>
      </w:r>
      <w:r w:rsidRPr="00FF3E67">
        <w:tab/>
      </w:r>
      <w:r>
        <w:rPr>
          <w:lang w:val="en-US"/>
        </w:rPr>
        <w:t>a</w:t>
      </w:r>
      <w:r w:rsidRPr="007A3016">
        <w:rPr>
          <w:lang w:val="en-US"/>
        </w:rPr>
        <w:t xml:space="preserve"> UE is not provided </w:t>
      </w:r>
      <w:r w:rsidRPr="007A3016">
        <w:rPr>
          <w:i/>
        </w:rPr>
        <w:t>multi-CSI-PUCCH-ResourceList</w:t>
      </w:r>
      <w:r w:rsidRPr="007A3016">
        <w:rPr>
          <w:lang w:val="en-US" w:eastAsia="zh-CN"/>
        </w:rPr>
        <w:t xml:space="preserve">, </w:t>
      </w:r>
      <w:r>
        <w:rPr>
          <w:lang w:val="en-US" w:eastAsia="zh-CN"/>
        </w:rPr>
        <w:t>and</w:t>
      </w:r>
    </w:p>
    <w:p w14:paraId="01678AD1" w14:textId="77777777" w:rsidR="0028526F" w:rsidRDefault="0028526F" w:rsidP="0028526F">
      <w:pPr>
        <w:pStyle w:val="B1"/>
        <w:rPr>
          <w:lang w:val="en-US" w:eastAsia="zh-CN"/>
        </w:rPr>
      </w:pPr>
      <w:r w:rsidRPr="00FF3E67">
        <w:t>-</w:t>
      </w:r>
      <w:r w:rsidRPr="00FF3E67">
        <w:tab/>
      </w:r>
      <w:r>
        <w:rPr>
          <w:lang w:val="en-US"/>
        </w:rPr>
        <w:t>a resource for a PUCCH transmission with HARQ-ACK information in response to SPS PDSCH reception and/or a resource for a PUCCH associated with a SR occasion overlap in time with two resources for respective PUCCH transmissions with two CSI reports</w:t>
      </w:r>
      <w:r w:rsidRPr="007A3016">
        <w:rPr>
          <w:lang w:val="en-US" w:eastAsia="zh-CN"/>
        </w:rPr>
        <w:t xml:space="preserve">, </w:t>
      </w:r>
      <w:r>
        <w:rPr>
          <w:lang w:val="en-US" w:eastAsia="zh-CN"/>
        </w:rPr>
        <w:t>and</w:t>
      </w:r>
    </w:p>
    <w:p w14:paraId="7C45180A" w14:textId="77777777" w:rsidR="0028526F" w:rsidRDefault="0028526F" w:rsidP="0028526F">
      <w:pPr>
        <w:pStyle w:val="B1"/>
        <w:rPr>
          <w:lang w:val="en-US" w:eastAsia="zh-CN"/>
        </w:rPr>
      </w:pPr>
      <w:r w:rsidRPr="00FF3E67">
        <w:t>-</w:t>
      </w:r>
      <w:r w:rsidRPr="00FF3E67">
        <w:tab/>
      </w:r>
      <w:r>
        <w:rPr>
          <w:lang w:val="en-US"/>
        </w:rPr>
        <w:t>there is no resource for a PUCCH transmission with HARQ-ACK information in response to a DCI format detection that overlaps in time with any of the previous resources</w:t>
      </w:r>
      <w:r w:rsidRPr="007A3016">
        <w:rPr>
          <w:lang w:val="en-US" w:eastAsia="zh-CN"/>
        </w:rPr>
        <w:t xml:space="preserve">, </w:t>
      </w:r>
      <w:r>
        <w:rPr>
          <w:lang w:val="en-US" w:eastAsia="zh-CN"/>
        </w:rPr>
        <w:t>and</w:t>
      </w:r>
    </w:p>
    <w:p w14:paraId="01B8269B" w14:textId="77777777" w:rsidR="0028526F" w:rsidRDefault="0028526F" w:rsidP="0028526F">
      <w:pPr>
        <w:pStyle w:val="B1"/>
        <w:rPr>
          <w:lang w:val="en-US" w:eastAsia="zh-CN"/>
        </w:rPr>
      </w:pPr>
      <w:r w:rsidRPr="00FF3E67">
        <w:t>-</w:t>
      </w:r>
      <w:r w:rsidRPr="00FF3E67">
        <w:tab/>
      </w:r>
      <w:r>
        <w:rPr>
          <w:lang w:val="en-US"/>
        </w:rPr>
        <w:t xml:space="preserve">the following pseudo code results to the </w:t>
      </w:r>
      <w:r w:rsidR="00CE7527">
        <w:rPr>
          <w:lang w:val="en-US"/>
        </w:rPr>
        <w:t xml:space="preserve">UE attempting to determine a single PUCCH resource from the </w:t>
      </w:r>
      <w:r>
        <w:rPr>
          <w:lang w:val="en-US"/>
        </w:rPr>
        <w:t xml:space="preserve">HARQ-ACK and/or the SR </w:t>
      </w:r>
      <w:r w:rsidR="00CE7527">
        <w:rPr>
          <w:lang w:val="en-US"/>
        </w:rPr>
        <w:t>resource</w:t>
      </w:r>
      <w:r w:rsidR="000E0630">
        <w:rPr>
          <w:lang w:val="en-US"/>
        </w:rPr>
        <w:t xml:space="preserve"> and the</w:t>
      </w:r>
      <w:r>
        <w:rPr>
          <w:lang w:val="en-US"/>
        </w:rPr>
        <w:t xml:space="preserve"> two PUCCH </w:t>
      </w:r>
      <w:r w:rsidR="000E0630">
        <w:rPr>
          <w:lang w:val="en-US"/>
        </w:rPr>
        <w:t>resources</w:t>
      </w:r>
      <w:r>
        <w:rPr>
          <w:lang w:val="en-US"/>
        </w:rPr>
        <w:t xml:space="preserve"> with CSI reports</w:t>
      </w:r>
    </w:p>
    <w:p w14:paraId="10ADC7C7" w14:textId="77777777" w:rsidR="0028526F" w:rsidRDefault="0028526F" w:rsidP="0028526F">
      <w:pPr>
        <w:rPr>
          <w:lang w:val="en-US"/>
        </w:rPr>
      </w:pPr>
      <w:r>
        <w:rPr>
          <w:lang w:val="en-US"/>
        </w:rPr>
        <w:t xml:space="preserve">the UE </w:t>
      </w:r>
    </w:p>
    <w:p w14:paraId="75D5CB00" w14:textId="77777777" w:rsidR="0028526F" w:rsidRDefault="00D65C13" w:rsidP="00D65C13">
      <w:pPr>
        <w:pStyle w:val="B1"/>
      </w:pPr>
      <w:r>
        <w:t>-</w:t>
      </w:r>
      <w:r>
        <w:tab/>
      </w:r>
      <w:r w:rsidR="0028526F">
        <w:t xml:space="preserve">multiplexes the HARQ-ACK information and/or the SR in the resource for the PUCCH transmission with the CSI report having the higher priority, and </w:t>
      </w:r>
    </w:p>
    <w:p w14:paraId="25D9A834" w14:textId="77777777" w:rsidR="00AB74A2" w:rsidRDefault="00D65C13" w:rsidP="00F1689E">
      <w:pPr>
        <w:pStyle w:val="B1"/>
      </w:pPr>
      <w:r>
        <w:t>-</w:t>
      </w:r>
      <w:r>
        <w:tab/>
      </w:r>
      <w:r w:rsidR="0028526F">
        <w:t xml:space="preserve">does not transmit the PUCCH with the CSI report having the lower priority </w:t>
      </w:r>
    </w:p>
    <w:p w14:paraId="2A168744" w14:textId="64346B94" w:rsidR="00950B98" w:rsidRDefault="00950B98" w:rsidP="00950B98">
      <w:pPr>
        <w:rPr>
          <w:lang w:eastAsia="zh-CN"/>
        </w:rPr>
      </w:pPr>
      <w:r>
        <w:rPr>
          <w:lang w:eastAsia="zh-CN"/>
        </w:rPr>
        <w:t xml:space="preserve">Set </w:t>
      </w:r>
      <m:oMath>
        <m:r>
          <w:rPr>
            <w:rFonts w:ascii="Cambria Math" w:hAnsi="Cambria Math"/>
            <w:lang w:eastAsia="zh-CN"/>
          </w:rPr>
          <m:t>Q</m:t>
        </m:r>
      </m:oMath>
      <w:r>
        <w:rPr>
          <w:lang w:eastAsia="zh-CN"/>
        </w:rPr>
        <w:t xml:space="preserve"> to the set of resources for transmission of corresponding PUCCHs in a </w:t>
      </w:r>
      <w:r w:rsidR="00DA4FEB">
        <w:rPr>
          <w:lang w:eastAsia="zh-CN"/>
        </w:rPr>
        <w:t>single slot without repetitions</w:t>
      </w:r>
      <w:r>
        <w:rPr>
          <w:lang w:eastAsia="zh-CN"/>
        </w:rPr>
        <w:t xml:space="preserve"> where</w:t>
      </w:r>
    </w:p>
    <w:p w14:paraId="3D501445" w14:textId="77777777" w:rsidR="00950B98" w:rsidRDefault="00950B98" w:rsidP="00950B98">
      <w:pPr>
        <w:pStyle w:val="B1"/>
        <w:rPr>
          <w:lang w:eastAsia="zh-CN"/>
        </w:rPr>
      </w:pPr>
      <w:r>
        <w:t>-</w:t>
      </w:r>
      <w:r>
        <w:tab/>
      </w:r>
      <w:r>
        <w:rPr>
          <w:lang w:eastAsia="zh-CN"/>
        </w:rPr>
        <w:t xml:space="preserve">a </w:t>
      </w:r>
      <w:r>
        <w:rPr>
          <w:lang w:val="en-US" w:eastAsia="zh-CN"/>
        </w:rPr>
        <w:t xml:space="preserve">resource </w:t>
      </w:r>
      <w:r>
        <w:rPr>
          <w:lang w:eastAsia="zh-CN"/>
        </w:rPr>
        <w:t xml:space="preserve">with earlier </w:t>
      </w:r>
      <w:r>
        <w:rPr>
          <w:lang w:val="en-US" w:eastAsia="zh-CN"/>
        </w:rPr>
        <w:t>first symbol</w:t>
      </w:r>
      <w:r>
        <w:rPr>
          <w:lang w:eastAsia="zh-CN"/>
        </w:rPr>
        <w:t xml:space="preserve"> is placed before a </w:t>
      </w:r>
      <w:r>
        <w:rPr>
          <w:lang w:val="en-US" w:eastAsia="zh-CN"/>
        </w:rPr>
        <w:t xml:space="preserve">resource </w:t>
      </w:r>
      <w:r>
        <w:rPr>
          <w:lang w:eastAsia="zh-CN"/>
        </w:rPr>
        <w:t>with later first symbol</w:t>
      </w:r>
    </w:p>
    <w:p w14:paraId="4426695E" w14:textId="77777777" w:rsidR="00950B98" w:rsidRPr="00046F55" w:rsidRDefault="00950B98" w:rsidP="00950B98">
      <w:pPr>
        <w:pStyle w:val="B1"/>
        <w:rPr>
          <w:lang w:eastAsia="zh-CN"/>
        </w:rPr>
      </w:pPr>
      <w:r>
        <w:t>-</w:t>
      </w:r>
      <w:r>
        <w:tab/>
      </w:r>
      <w:r>
        <w:rPr>
          <w:lang w:val="en-US"/>
        </w:rPr>
        <w:t xml:space="preserve">for two resources with same first symbol, </w:t>
      </w:r>
      <w:r>
        <w:rPr>
          <w:lang w:eastAsia="zh-CN"/>
        </w:rPr>
        <w:t xml:space="preserve">the resource with </w:t>
      </w:r>
      <w:r>
        <w:rPr>
          <w:lang w:val="en-US" w:eastAsia="zh-CN"/>
        </w:rPr>
        <w:t>longer duration</w:t>
      </w:r>
      <w:r>
        <w:rPr>
          <w:lang w:eastAsia="zh-CN"/>
        </w:rPr>
        <w:t xml:space="preserve"> is placed before the resource with shorter duration</w:t>
      </w:r>
    </w:p>
    <w:p w14:paraId="10A50DDF" w14:textId="77777777" w:rsidR="00950B98" w:rsidRDefault="00950B98" w:rsidP="00950B98">
      <w:pPr>
        <w:pStyle w:val="B1"/>
        <w:rPr>
          <w:lang w:val="en-US" w:eastAsia="zh-CN"/>
        </w:rPr>
      </w:pPr>
      <w:r>
        <w:t>-</w:t>
      </w:r>
      <w:r>
        <w:tab/>
      </w:r>
      <w:r>
        <w:rPr>
          <w:lang w:val="en-US"/>
        </w:rPr>
        <w:t xml:space="preserve">for two resources with same first symbol and same duration, </w:t>
      </w:r>
      <w:r>
        <w:rPr>
          <w:lang w:eastAsia="zh-CN"/>
        </w:rPr>
        <w:t xml:space="preserve">the </w:t>
      </w:r>
      <w:r>
        <w:rPr>
          <w:lang w:val="en-US" w:eastAsia="zh-CN"/>
        </w:rPr>
        <w:t>placement is arbitrary</w:t>
      </w:r>
    </w:p>
    <w:p w14:paraId="2711EBDF" w14:textId="60398C87" w:rsidR="00950B98" w:rsidRDefault="00950B98" w:rsidP="001322F1">
      <w:pPr>
        <w:pStyle w:val="B2"/>
      </w:pPr>
      <w:r>
        <w:t>-</w:t>
      </w:r>
      <w:r>
        <w:tab/>
        <w:t xml:space="preserve">the above three steps for the set </w:t>
      </w:r>
      <m:oMath>
        <m:r>
          <w:rPr>
            <w:rFonts w:ascii="Cambria Math" w:hAnsi="Cambria Math"/>
            <w:lang w:eastAsia="zh-CN"/>
          </w:rPr>
          <m:t>Q</m:t>
        </m:r>
      </m:oMath>
      <w:r>
        <w:t xml:space="preserve"> are according to a subsequent pseudo-code for a function </w:t>
      </w:r>
      <m:oMath>
        <m:r>
          <m:rPr>
            <m:sty m:val="p"/>
          </m:rPr>
          <w:rPr>
            <w:rFonts w:ascii="Cambria Math" w:hAnsi="Cambria Math"/>
          </w:rPr>
          <m:t>order</m:t>
        </m:r>
        <m:r>
          <w:rPr>
            <w:rFonts w:ascii="Cambria Math" w:hAnsi="Cambria Math"/>
          </w:rPr>
          <m:t>(</m:t>
        </m:r>
        <m:r>
          <w:rPr>
            <w:rFonts w:ascii="Cambria Math" w:hAnsi="Cambria Math"/>
            <w:lang w:eastAsia="zh-CN"/>
          </w:rPr>
          <m:t>Q)</m:t>
        </m:r>
      </m:oMath>
    </w:p>
    <w:p w14:paraId="759284E7" w14:textId="1AD11034" w:rsidR="00DA4FEB" w:rsidRPr="001B2CF0" w:rsidRDefault="00DA4FEB" w:rsidP="001B2CF0">
      <w:pPr>
        <w:pStyle w:val="B1"/>
        <w:rPr>
          <w:lang w:val="en-US" w:eastAsia="zh-CN"/>
        </w:rPr>
      </w:pPr>
      <w:r>
        <w:t>-</w:t>
      </w:r>
      <w:r>
        <w:tab/>
      </w:r>
      <w:r>
        <w:rPr>
          <w:lang w:val="en-US"/>
        </w:rPr>
        <w:t xml:space="preserve">a resource </w:t>
      </w:r>
      <w:r>
        <w:rPr>
          <w:lang w:val="en-US" w:eastAsia="zh-CN"/>
        </w:rPr>
        <w:t xml:space="preserve">for negative SR transmission that does not overlap with a resource for HARQ-ACK or CSI transmission is excluded from set </w:t>
      </w:r>
      <m:oMath>
        <m:r>
          <w:rPr>
            <w:rFonts w:ascii="Cambria Math" w:hAnsi="Cambria Math"/>
            <w:lang w:eastAsia="zh-CN"/>
          </w:rPr>
          <m:t>Q</m:t>
        </m:r>
      </m:oMath>
      <w:r>
        <w:rPr>
          <w:lang w:val="en-US" w:eastAsia="zh-CN"/>
        </w:rPr>
        <w:t xml:space="preserve"> </w:t>
      </w:r>
    </w:p>
    <w:p w14:paraId="11018948" w14:textId="616769B7" w:rsidR="00950B98" w:rsidRDefault="00950B98" w:rsidP="00950B98">
      <w:pPr>
        <w:pStyle w:val="B1"/>
        <w:rPr>
          <w:lang w:val="en-US"/>
        </w:rPr>
      </w:pPr>
      <w:r>
        <w:t>-</w:t>
      </w:r>
      <w:r>
        <w:tab/>
      </w:r>
      <w:r>
        <w:rPr>
          <w:lang w:val="en-US"/>
        </w:rPr>
        <w:t xml:space="preserve">if the UE is not provided </w:t>
      </w:r>
      <w:r w:rsidRPr="00DD3BA7">
        <w:rPr>
          <w:i/>
        </w:rPr>
        <w:t>simultaneousHARQ-ACK-CSI</w:t>
      </w:r>
      <w:r>
        <w:rPr>
          <w:lang w:val="en-US"/>
        </w:rPr>
        <w:t xml:space="preserve"> and resources for transmission of HARQ-ACK information include PUCCH format 0 or PUCCH format 2, resources that include PUCCH format 2, or PUCCH format 3, or PUCCH format 4 for transmission of CSI reports are excluded from the set </w:t>
      </w:r>
      <m:oMath>
        <m:r>
          <w:rPr>
            <w:rFonts w:ascii="Cambria Math" w:hAnsi="Cambria Math"/>
            <w:lang w:eastAsia="zh-CN"/>
          </w:rPr>
          <m:t>Q</m:t>
        </m:r>
      </m:oMath>
      <w:r>
        <w:rPr>
          <w:lang w:val="en-US"/>
        </w:rPr>
        <w:t xml:space="preserve"> if they overlap with any resource from the resources for transmission of HARQ-ACK information</w:t>
      </w:r>
    </w:p>
    <w:p w14:paraId="02FC5046" w14:textId="77777777" w:rsidR="00950B98" w:rsidRDefault="00950B98" w:rsidP="00950B98">
      <w:pPr>
        <w:pStyle w:val="B1"/>
        <w:rPr>
          <w:lang w:val="en-US"/>
        </w:rPr>
      </w:pPr>
      <w:r>
        <w:t>-</w:t>
      </w:r>
      <w:r>
        <w:tab/>
      </w:r>
      <w:r>
        <w:rPr>
          <w:lang w:val="en-US"/>
        </w:rPr>
        <w:t xml:space="preserve">if the UE is not provided </w:t>
      </w:r>
      <w:r w:rsidRPr="00DD3BA7">
        <w:rPr>
          <w:i/>
        </w:rPr>
        <w:t>simultaneousHARQ-ACK-CSI</w:t>
      </w:r>
      <w:r>
        <w:rPr>
          <w:lang w:val="en-US"/>
        </w:rPr>
        <w:t xml:space="preserve"> and at least one of the resources for transmission of HARQ-ACK information includes PUCCH format 1, PUCCH format 3, or PUCCH format 4</w:t>
      </w:r>
    </w:p>
    <w:p w14:paraId="24A03AFD" w14:textId="574F6E9E" w:rsidR="00950B98" w:rsidRDefault="00950B98" w:rsidP="001322F1">
      <w:pPr>
        <w:pStyle w:val="B2"/>
      </w:pPr>
      <w:r>
        <w:t>-</w:t>
      </w:r>
      <w:r>
        <w:tab/>
        <w:t xml:space="preserve">resources that include PUCCH format 3 or PUCCH format 4 for transmission of CSI reports are excluded from the set </w:t>
      </w:r>
      <m:oMath>
        <m:r>
          <w:rPr>
            <w:rFonts w:ascii="Cambria Math" w:hAnsi="Cambria Math"/>
            <w:lang w:eastAsia="zh-CN"/>
          </w:rPr>
          <m:t>Q</m:t>
        </m:r>
      </m:oMath>
    </w:p>
    <w:p w14:paraId="3203C02C" w14:textId="3082283C" w:rsidR="00950B98" w:rsidRPr="00E23C43" w:rsidRDefault="00950B98" w:rsidP="001322F1">
      <w:pPr>
        <w:pStyle w:val="B2"/>
      </w:pPr>
      <w:r>
        <w:t>-</w:t>
      </w:r>
      <w:r>
        <w:tab/>
        <w:t xml:space="preserve">resources that include PUCCH format 2 for transmission of CSI reports are excluded from the set </w:t>
      </w:r>
      <m:oMath>
        <m:r>
          <w:rPr>
            <w:rFonts w:ascii="Cambria Math" w:hAnsi="Cambria Math"/>
            <w:lang w:eastAsia="zh-CN"/>
          </w:rPr>
          <m:t>Q</m:t>
        </m:r>
      </m:oMath>
      <w:r>
        <w:t xml:space="preserve"> if they overlap with any resource from the resources for transmission of HARQ-ACK information</w:t>
      </w:r>
    </w:p>
    <w:p w14:paraId="54F034AB" w14:textId="7BCF2C95" w:rsidR="00950B98" w:rsidRDefault="00950B98" w:rsidP="001322F1">
      <w:pPr>
        <w:rPr>
          <w:lang w:eastAsia="zh-CN"/>
        </w:rPr>
      </w:pPr>
      <w:r>
        <w:rPr>
          <w:lang w:eastAsia="zh-CN"/>
        </w:rPr>
        <w:t xml:space="preserve">Set </w:t>
      </w:r>
      <m:oMath>
        <m:r>
          <m:rPr>
            <m:nor/>
          </m:rPr>
          <w:rPr>
            <w:rFonts w:ascii="Freestyle Script" w:hAnsi="Freestyle Script"/>
          </w:rPr>
          <m:t>C</m:t>
        </m:r>
        <m:d>
          <m:dPr>
            <m:ctrlPr>
              <w:rPr>
                <w:rFonts w:ascii="Cambria Math" w:hAnsi="Cambria Math" w:cs="Helvetica"/>
                <w:i/>
              </w:rPr>
            </m:ctrlPr>
          </m:dPr>
          <m:e>
            <m:r>
              <w:rPr>
                <w:rFonts w:ascii="Cambria Math" w:hAnsi="Cambria Math"/>
                <w:noProof/>
              </w:rPr>
              <m:t>Q</m:t>
            </m:r>
          </m:e>
        </m:d>
      </m:oMath>
      <w:r>
        <w:t xml:space="preserve"> to the cardinality of </w:t>
      </w:r>
      <m:oMath>
        <m:r>
          <w:rPr>
            <w:rFonts w:ascii="Cambria Math" w:hAnsi="Cambria Math"/>
            <w:lang w:eastAsia="zh-CN"/>
          </w:rPr>
          <m:t>Q</m:t>
        </m:r>
      </m:oMath>
    </w:p>
    <w:p w14:paraId="1E21786A" w14:textId="38419C53" w:rsidR="00950B98" w:rsidRPr="002922E2" w:rsidRDefault="00950B98" w:rsidP="001322F1">
      <w:pPr>
        <w:rPr>
          <w:lang w:val="en-US" w:eastAsia="zh-CN"/>
        </w:rPr>
      </w:pPr>
      <w:r>
        <w:rPr>
          <w:lang w:val="en-US" w:eastAsia="zh-CN"/>
        </w:rPr>
        <w:t>Set</w:t>
      </w:r>
      <w:r>
        <w:rPr>
          <w:rFonts w:hint="eastAsia"/>
          <w:lang w:eastAsia="zh-CN"/>
        </w:rPr>
        <w:t xml:space="preserve"> </w:t>
      </w:r>
      <m:oMath>
        <m:r>
          <w:rPr>
            <w:rFonts w:ascii="Cambria Math" w:hAnsi="Cambria Math"/>
            <w:lang w:eastAsia="zh-CN"/>
          </w:rPr>
          <m:t>Q(j,0)</m:t>
        </m:r>
      </m:oMath>
      <w:r>
        <w:rPr>
          <w:lang w:val="en-US" w:eastAsia="zh-CN"/>
        </w:rPr>
        <w:t xml:space="preserve">to be the first symbol of resource </w:t>
      </w:r>
      <m:oMath>
        <m:r>
          <w:rPr>
            <w:rFonts w:ascii="Cambria Math" w:hAnsi="Cambria Math"/>
            <w:lang w:eastAsia="zh-CN"/>
          </w:rPr>
          <m:t>Q(j)</m:t>
        </m:r>
      </m:oMath>
      <w:r>
        <w:rPr>
          <w:lang w:val="en-US" w:eastAsia="zh-CN"/>
        </w:rPr>
        <w:t xml:space="preserve"> in the slot</w:t>
      </w:r>
    </w:p>
    <w:p w14:paraId="05152A64" w14:textId="1C0BF5E1" w:rsidR="00950B98" w:rsidRPr="002922E2" w:rsidRDefault="00950B98" w:rsidP="001322F1">
      <w:pPr>
        <w:rPr>
          <w:lang w:val="en-US" w:eastAsia="zh-CN"/>
        </w:rPr>
      </w:pPr>
      <w:r>
        <w:rPr>
          <w:lang w:val="en-US" w:eastAsia="zh-CN"/>
        </w:rPr>
        <w:lastRenderedPageBreak/>
        <w:t xml:space="preserve">Set </w:t>
      </w:r>
      <m:oMath>
        <m:r>
          <w:rPr>
            <w:rFonts w:ascii="Cambria Math" w:hAnsi="Cambria Math"/>
            <w:lang w:val="en-US" w:eastAsia="zh-CN"/>
          </w:rPr>
          <m:t>L</m:t>
        </m:r>
        <m:d>
          <m:dPr>
            <m:ctrlPr>
              <w:rPr>
                <w:rFonts w:ascii="Cambria Math" w:hAnsi="Cambria Math"/>
                <w:i/>
                <w:lang w:eastAsia="zh-CN"/>
              </w:rPr>
            </m:ctrlPr>
          </m:dPr>
          <m:e>
            <m:r>
              <w:rPr>
                <w:rFonts w:ascii="Cambria Math" w:hAnsi="Cambria Math"/>
                <w:lang w:eastAsia="zh-CN"/>
              </w:rPr>
              <m:t>Q(j)</m:t>
            </m:r>
          </m:e>
        </m:d>
      </m:oMath>
      <w:r w:rsidR="003915B7">
        <w:rPr>
          <w:lang w:val="en-US" w:eastAsia="zh-CN"/>
        </w:rPr>
        <w:t xml:space="preserve"> </w:t>
      </w:r>
      <w:r>
        <w:rPr>
          <w:lang w:val="en-US"/>
        </w:rPr>
        <w:t>to be the number of symbols of</w:t>
      </w:r>
      <w:r>
        <w:rPr>
          <w:lang w:val="en-US" w:eastAsia="zh-CN"/>
        </w:rPr>
        <w:t xml:space="preserve"> resource </w:t>
      </w:r>
      <m:oMath>
        <m:r>
          <w:rPr>
            <w:rFonts w:ascii="Cambria Math" w:hAnsi="Cambria Math"/>
            <w:lang w:eastAsia="zh-CN"/>
          </w:rPr>
          <m:t>Q(j)</m:t>
        </m:r>
      </m:oMath>
      <w:r>
        <w:rPr>
          <w:lang w:val="en-US" w:eastAsia="zh-CN"/>
        </w:rPr>
        <w:t xml:space="preserve"> in the slot</w:t>
      </w:r>
    </w:p>
    <w:p w14:paraId="1807F46E" w14:textId="44164187" w:rsidR="00950BAB" w:rsidRDefault="00950BAB" w:rsidP="00950BAB">
      <w:pPr>
        <w:rPr>
          <w:lang w:eastAsia="zh-CN"/>
        </w:rPr>
      </w:pPr>
      <w:r w:rsidRPr="00C95508">
        <w:rPr>
          <w:rFonts w:hint="eastAsia"/>
          <w:lang w:eastAsia="zh-CN"/>
        </w:rPr>
        <w:t xml:space="preserve">Set </w:t>
      </w:r>
      <m:oMath>
        <m:r>
          <w:rPr>
            <w:rFonts w:ascii="Cambria Math" w:hAnsi="Cambria Math"/>
            <w:lang w:eastAsia="zh-CN"/>
          </w:rPr>
          <m:t>j=0</m:t>
        </m:r>
      </m:oMath>
      <w:r>
        <w:rPr>
          <w:rFonts w:cs="Arial"/>
          <w:lang w:eastAsia="zh-CN"/>
        </w:rPr>
        <w:t xml:space="preserve"> </w:t>
      </w:r>
      <w:r w:rsidRPr="00C95508">
        <w:t xml:space="preserve">- </w:t>
      </w:r>
      <w:r w:rsidRPr="00C95508">
        <w:rPr>
          <w:rFonts w:hint="eastAsia"/>
          <w:lang w:eastAsia="zh-CN"/>
        </w:rPr>
        <w:t xml:space="preserve">index of </w:t>
      </w:r>
      <w:r>
        <w:t xml:space="preserve">first resource in set </w:t>
      </w:r>
      <m:oMath>
        <m:r>
          <w:rPr>
            <w:rFonts w:ascii="Cambria Math" w:hAnsi="Cambria Math"/>
            <w:lang w:eastAsia="zh-CN"/>
          </w:rPr>
          <m:t>Q</m:t>
        </m:r>
      </m:oMath>
    </w:p>
    <w:p w14:paraId="0438D8FC" w14:textId="24DCC404" w:rsidR="00950BAB" w:rsidRDefault="00950BAB" w:rsidP="00950BAB">
      <w:pPr>
        <w:rPr>
          <w:lang w:eastAsia="zh-CN"/>
        </w:rPr>
      </w:pPr>
      <w:r w:rsidRPr="00C95508">
        <w:rPr>
          <w:rFonts w:hint="eastAsia"/>
          <w:lang w:eastAsia="zh-CN"/>
        </w:rPr>
        <w:t xml:space="preserve">Set </w:t>
      </w:r>
      <m:oMath>
        <m:r>
          <w:rPr>
            <w:rFonts w:ascii="Cambria Math" w:hAnsi="Cambria Math"/>
            <w:lang w:eastAsia="zh-CN"/>
          </w:rPr>
          <m:t>o=0</m:t>
        </m:r>
      </m:oMath>
      <w:r>
        <w:rPr>
          <w:rFonts w:cs="Arial"/>
          <w:lang w:eastAsia="zh-CN"/>
        </w:rPr>
        <w:t xml:space="preserve"> </w:t>
      </w:r>
      <w:r w:rsidRPr="00C95508">
        <w:t xml:space="preserve">- </w:t>
      </w:r>
      <w:r>
        <w:rPr>
          <w:lang w:eastAsia="zh-CN"/>
        </w:rPr>
        <w:t>counter of overlapped resources</w:t>
      </w:r>
    </w:p>
    <w:p w14:paraId="13E8F7CB" w14:textId="2BBCB49F" w:rsidR="00950B98" w:rsidRDefault="00950B98">
      <w:r>
        <w:rPr>
          <w:rFonts w:hint="eastAsia"/>
          <w:lang w:eastAsia="zh-CN"/>
        </w:rPr>
        <w:t xml:space="preserve">while </w:t>
      </w:r>
      <m:oMath>
        <m:r>
          <w:rPr>
            <w:rFonts w:ascii="Cambria Math" w:hAnsi="Cambria Math"/>
            <w:lang w:eastAsia="zh-CN"/>
          </w:rPr>
          <m:t>j≤</m:t>
        </m:r>
        <m:r>
          <m:rPr>
            <m:nor/>
          </m:rPr>
          <w:rPr>
            <w:rFonts w:ascii="Freestyle Script" w:hAnsi="Freestyle Script"/>
          </w:rPr>
          <m:t>C</m:t>
        </m:r>
        <m:d>
          <m:dPr>
            <m:ctrlPr>
              <w:rPr>
                <w:rFonts w:ascii="Cambria Math" w:hAnsi="Cambria Math" w:cs="Helvetica"/>
                <w:i/>
              </w:rPr>
            </m:ctrlPr>
          </m:dPr>
          <m:e>
            <m:r>
              <w:rPr>
                <w:rFonts w:ascii="Cambria Math" w:hAnsi="Cambria Math"/>
                <w:noProof/>
              </w:rPr>
              <m:t>Q</m:t>
            </m:r>
          </m:e>
        </m:d>
        <m:r>
          <w:rPr>
            <w:rFonts w:ascii="Cambria Math" w:hAnsi="Cambria Math" w:cs="Helvetica"/>
          </w:rPr>
          <m:t>-1</m:t>
        </m:r>
      </m:oMath>
    </w:p>
    <w:p w14:paraId="2E5A71E4" w14:textId="77777777" w:rsidR="00420B55" w:rsidRPr="00647C89" w:rsidRDefault="00420B55" w:rsidP="00420B55">
      <w:pPr>
        <w:pStyle w:val="B1"/>
      </w:pPr>
      <w:r w:rsidRPr="00647C89">
        <w:t xml:space="preserve">if </w:t>
      </w:r>
    </w:p>
    <w:p w14:paraId="5ECFF618" w14:textId="77777777" w:rsidR="00420B55" w:rsidRPr="00647C89" w:rsidRDefault="00420B55" w:rsidP="00420B55">
      <w:pPr>
        <w:pStyle w:val="B2"/>
      </w:pPr>
      <m:oMath>
        <m:r>
          <w:rPr>
            <w:rFonts w:ascii="Cambria Math" w:hAnsi="Cambria Math"/>
            <w:lang w:eastAsia="zh-CN"/>
          </w:rPr>
          <m:t>j&lt;</m:t>
        </m:r>
        <m:r>
          <m:rPr>
            <m:nor/>
          </m:rPr>
          <w:rPr>
            <w:rFonts w:ascii="Freestyle Script" w:hAnsi="Freestyle Script"/>
          </w:rPr>
          <m:t>C</m:t>
        </m:r>
        <m:d>
          <m:dPr>
            <m:ctrlPr>
              <w:rPr>
                <w:rFonts w:ascii="Cambria Math" w:hAnsi="Cambria Math" w:cs="Helvetica"/>
                <w:i/>
              </w:rPr>
            </m:ctrlPr>
          </m:dPr>
          <m:e>
            <m:r>
              <w:rPr>
                <w:rFonts w:ascii="Cambria Math" w:hAnsi="Cambria Math"/>
                <w:noProof/>
              </w:rPr>
              <m:t>Q</m:t>
            </m:r>
          </m:e>
        </m:d>
        <m:r>
          <w:rPr>
            <w:rFonts w:ascii="Cambria Math" w:hAnsi="Cambria Math" w:cs="Helvetica"/>
          </w:rPr>
          <m:t>-1</m:t>
        </m:r>
      </m:oMath>
      <w:r w:rsidRPr="00647C89">
        <w:t xml:space="preserve"> and resource </w:t>
      </w:r>
      <m:oMath>
        <m:r>
          <w:rPr>
            <w:rFonts w:ascii="Cambria Math" w:hAnsi="Cambria Math"/>
            <w:lang w:eastAsia="zh-CN"/>
          </w:rPr>
          <m:t>Q(j-o)</m:t>
        </m:r>
      </m:oMath>
      <w:r w:rsidRPr="00647C89">
        <w:rPr>
          <w:lang w:eastAsia="zh-CN"/>
        </w:rPr>
        <w:t xml:space="preserve"> overlaps with resource </w:t>
      </w:r>
      <m:oMath>
        <m:r>
          <w:rPr>
            <w:rFonts w:ascii="Cambria Math" w:hAnsi="Cambria Math"/>
            <w:lang w:eastAsia="zh-CN"/>
          </w:rPr>
          <m:t>Q(j+1)</m:t>
        </m:r>
      </m:oMath>
      <w:r w:rsidRPr="00647C89">
        <w:t xml:space="preserve"> and the resources in set </w:t>
      </w:r>
      <m:oMath>
        <m:r>
          <w:rPr>
            <w:rFonts w:ascii="Cambria Math" w:hAnsi="Cambria Math"/>
            <w:noProof/>
          </w:rPr>
          <m:t>Q</m:t>
        </m:r>
      </m:oMath>
      <w:r w:rsidRPr="00647C89">
        <w:t xml:space="preserve"> are of same priority index, or </w:t>
      </w:r>
    </w:p>
    <w:p w14:paraId="6B20CE62" w14:textId="5BEB20E1" w:rsidR="00420B55" w:rsidRPr="00647C89" w:rsidRDefault="00420B55" w:rsidP="00420B55">
      <w:pPr>
        <w:pStyle w:val="B2"/>
      </w:pPr>
      <m:oMath>
        <m:r>
          <w:rPr>
            <w:rFonts w:ascii="Cambria Math" w:hAnsi="Cambria Math"/>
            <w:lang w:eastAsia="zh-CN"/>
          </w:rPr>
          <m:t>j&lt;</m:t>
        </m:r>
        <m:r>
          <m:rPr>
            <m:nor/>
          </m:rPr>
          <w:rPr>
            <w:rFonts w:ascii="Freestyle Script" w:hAnsi="Freestyle Script"/>
          </w:rPr>
          <m:t>C</m:t>
        </m:r>
        <m:d>
          <m:dPr>
            <m:ctrlPr>
              <w:rPr>
                <w:rFonts w:ascii="Cambria Math" w:hAnsi="Cambria Math" w:cs="Helvetica"/>
                <w:i/>
              </w:rPr>
            </m:ctrlPr>
          </m:dPr>
          <m:e>
            <m:r>
              <w:rPr>
                <w:rFonts w:ascii="Cambria Math" w:hAnsi="Cambria Math"/>
                <w:noProof/>
              </w:rPr>
              <m:t>Q</m:t>
            </m:r>
          </m:e>
        </m:d>
        <m:r>
          <w:rPr>
            <w:rFonts w:ascii="Cambria Math" w:hAnsi="Cambria Math" w:cs="Helvetica"/>
          </w:rPr>
          <m:t>-1</m:t>
        </m:r>
      </m:oMath>
      <w:r w:rsidRPr="00647C89">
        <w:t xml:space="preserve"> and resource </w:t>
      </w:r>
      <m:oMath>
        <m:r>
          <w:rPr>
            <w:rFonts w:ascii="Cambria Math" w:hAnsi="Cambria Math"/>
            <w:lang w:eastAsia="zh-CN"/>
          </w:rPr>
          <m:t>Q(j-o)</m:t>
        </m:r>
      </m:oMath>
      <w:r w:rsidRPr="00647C89">
        <w:rPr>
          <w:lang w:eastAsia="zh-CN"/>
        </w:rPr>
        <w:t xml:space="preserve"> overlaps with resource </w:t>
      </w:r>
      <m:oMath>
        <m:r>
          <w:rPr>
            <w:rFonts w:ascii="Cambria Math" w:hAnsi="Cambria Math"/>
            <w:lang w:eastAsia="zh-CN"/>
          </w:rPr>
          <m:t>Q(j+1)</m:t>
        </m:r>
      </m:oMath>
      <w:r w:rsidRPr="00647C89">
        <w:t xml:space="preserve">, </w:t>
      </w:r>
      <m:oMath>
        <m:r>
          <w:rPr>
            <w:rFonts w:ascii="Cambria Math" w:hAnsi="Cambria Math"/>
            <w:lang w:eastAsia="zh-CN"/>
          </w:rPr>
          <m:t>o=0</m:t>
        </m:r>
      </m:oMath>
      <w:r w:rsidRPr="00647C89">
        <w:t xml:space="preserve">, the resources in set </w:t>
      </w:r>
      <m:oMath>
        <m:r>
          <w:rPr>
            <w:rFonts w:ascii="Cambria Math" w:hAnsi="Cambria Math"/>
            <w:lang w:eastAsia="zh-CN"/>
          </w:rPr>
          <m:t>Q</m:t>
        </m:r>
      </m:oMath>
      <w:r w:rsidRPr="00647C89">
        <w:t xml:space="preserve"> are of different priority indexes, and the UE is provided </w:t>
      </w:r>
      <w:r w:rsidR="00EA5807">
        <w:rPr>
          <w:i/>
          <w:iCs/>
          <w:lang w:val="en-US"/>
        </w:rPr>
        <w:t>uci</w:t>
      </w:r>
      <w:r w:rsidR="00EA5807" w:rsidRPr="00647C89">
        <w:rPr>
          <w:i/>
          <w:iCs/>
        </w:rPr>
        <w:t>-MuxWithDiffPrio</w:t>
      </w:r>
    </w:p>
    <w:p w14:paraId="649A735F" w14:textId="77777777" w:rsidR="00420B55" w:rsidRPr="00647C89" w:rsidRDefault="00420B55" w:rsidP="00420B55">
      <w:pPr>
        <w:pStyle w:val="B1"/>
        <w:rPr>
          <w:lang w:val="en-US"/>
        </w:rPr>
      </w:pPr>
      <w:r w:rsidRPr="00647C89">
        <w:rPr>
          <w:lang w:val="en-US"/>
        </w:rPr>
        <w:t>then</w:t>
      </w:r>
    </w:p>
    <w:p w14:paraId="1448E166" w14:textId="77777777" w:rsidR="00420B55" w:rsidRPr="00647C89" w:rsidRDefault="00420B55" w:rsidP="00420B55">
      <w:pPr>
        <w:pStyle w:val="B2"/>
        <w:rPr>
          <w:lang w:eastAsia="zh-CN"/>
        </w:rPr>
      </w:pPr>
      <m:oMath>
        <m:r>
          <w:rPr>
            <w:rFonts w:ascii="Cambria Math" w:hAnsi="Cambria Math"/>
            <w:lang w:eastAsia="zh-CN"/>
          </w:rPr>
          <m:t>o=</m:t>
        </m:r>
        <m:r>
          <w:rPr>
            <w:rFonts w:ascii="Cambria Math" w:hAnsi="Cambria Math"/>
            <w:noProof/>
            <w:lang w:eastAsia="zh-CN"/>
          </w:rPr>
          <m:t>o+1</m:t>
        </m:r>
      </m:oMath>
      <w:r>
        <w:rPr>
          <w:noProof/>
          <w:lang w:val="en-US" w:eastAsia="zh-CN"/>
        </w:rPr>
        <w:t>;</w:t>
      </w:r>
    </w:p>
    <w:p w14:paraId="4AFBD062" w14:textId="77777777" w:rsidR="00420B55" w:rsidRPr="00647C89" w:rsidRDefault="00420B55" w:rsidP="00420B55">
      <w:pPr>
        <w:pStyle w:val="B2"/>
        <w:rPr>
          <w:lang w:eastAsia="zh-CN"/>
        </w:rPr>
      </w:pPr>
      <m:oMath>
        <m:r>
          <w:rPr>
            <w:rFonts w:ascii="Cambria Math" w:hAnsi="Cambria Math"/>
            <w:lang w:eastAsia="zh-CN"/>
          </w:rPr>
          <m:t>j=j+1</m:t>
        </m:r>
      </m:oMath>
      <w:r>
        <w:rPr>
          <w:noProof/>
          <w:lang w:val="en-US" w:eastAsia="zh-CN"/>
        </w:rPr>
        <w:t>;</w:t>
      </w:r>
    </w:p>
    <w:p w14:paraId="14F30A83" w14:textId="77777777" w:rsidR="00950B98" w:rsidRDefault="00950B98" w:rsidP="001322F1">
      <w:pPr>
        <w:pStyle w:val="B1"/>
        <w:rPr>
          <w:lang w:eastAsia="zh-CN"/>
        </w:rPr>
      </w:pPr>
      <w:r>
        <w:rPr>
          <w:lang w:eastAsia="zh-CN"/>
        </w:rPr>
        <w:t>else</w:t>
      </w:r>
    </w:p>
    <w:p w14:paraId="4AE70D65" w14:textId="29F11B7F" w:rsidR="00950B98" w:rsidRDefault="00950B98" w:rsidP="001322F1">
      <w:pPr>
        <w:pStyle w:val="B2"/>
        <w:rPr>
          <w:lang w:eastAsia="zh-CN"/>
        </w:rPr>
      </w:pPr>
      <w:r>
        <w:rPr>
          <w:lang w:eastAsia="zh-CN"/>
        </w:rPr>
        <w:t xml:space="preserve">if </w:t>
      </w:r>
      <m:oMath>
        <m:r>
          <w:rPr>
            <w:rFonts w:ascii="Cambria Math" w:hAnsi="Cambria Math"/>
            <w:lang w:eastAsia="zh-CN"/>
          </w:rPr>
          <m:t>o&gt;0</m:t>
        </m:r>
      </m:oMath>
    </w:p>
    <w:p w14:paraId="1CF9C0AE" w14:textId="2D487777" w:rsidR="00950B98" w:rsidRDefault="00D23CE9" w:rsidP="001322F1">
      <w:pPr>
        <w:pStyle w:val="B3"/>
        <w:rPr>
          <w:lang w:eastAsia="zh-CN"/>
        </w:rPr>
      </w:pPr>
      <w:r>
        <w:rPr>
          <w:rFonts w:cs="Arial"/>
          <w:lang w:eastAsia="zh-CN"/>
        </w:rPr>
        <w:t xml:space="preserve">determine a single resource for </w:t>
      </w:r>
      <w:r w:rsidR="00950B98">
        <w:rPr>
          <w:rFonts w:cs="Arial"/>
          <w:lang w:eastAsia="zh-CN"/>
        </w:rPr>
        <w:t>multiplex</w:t>
      </w:r>
      <w:r>
        <w:rPr>
          <w:rFonts w:cs="Arial"/>
          <w:lang w:eastAsia="zh-CN"/>
        </w:rPr>
        <w:t>ing</w:t>
      </w:r>
      <w:r w:rsidR="00950B98">
        <w:rPr>
          <w:rFonts w:cs="Arial"/>
          <w:lang w:eastAsia="zh-CN"/>
        </w:rPr>
        <w:t xml:space="preserve"> UCI </w:t>
      </w:r>
      <w:r>
        <w:rPr>
          <w:rFonts w:cs="Arial"/>
          <w:lang w:eastAsia="zh-CN"/>
        </w:rPr>
        <w:t>associated with</w:t>
      </w:r>
      <w:r w:rsidR="00950B98">
        <w:rPr>
          <w:rFonts w:cs="Arial"/>
          <w:lang w:eastAsia="zh-CN"/>
        </w:rPr>
        <w:t xml:space="preserve"> resources </w:t>
      </w:r>
      <m:oMath>
        <m:d>
          <m:dPr>
            <m:begChr m:val="{"/>
            <m:endChr m:val="}"/>
            <m:ctrlPr>
              <w:rPr>
                <w:rFonts w:ascii="Cambria Math" w:hAnsi="Cambria Math" w:cs="Arial"/>
                <w:i/>
                <w:lang w:eastAsia="zh-CN"/>
              </w:rPr>
            </m:ctrlPr>
          </m:dPr>
          <m:e>
            <m:r>
              <w:rPr>
                <w:rFonts w:ascii="Cambria Math" w:hAnsi="Cambria Math" w:cs="Arial"/>
                <w:lang w:eastAsia="zh-CN"/>
              </w:rPr>
              <m:t>Q</m:t>
            </m:r>
            <m:d>
              <m:dPr>
                <m:ctrlPr>
                  <w:rPr>
                    <w:rFonts w:ascii="Cambria Math" w:hAnsi="Cambria Math" w:cs="Arial"/>
                    <w:i/>
                    <w:lang w:eastAsia="zh-CN"/>
                  </w:rPr>
                </m:ctrlPr>
              </m:dPr>
              <m:e>
                <m:r>
                  <w:rPr>
                    <w:rFonts w:ascii="Cambria Math" w:hAnsi="Cambria Math" w:cs="Arial"/>
                    <w:lang w:eastAsia="zh-CN"/>
                  </w:rPr>
                  <m:t>j-o</m:t>
                </m:r>
              </m:e>
            </m:d>
            <m:r>
              <w:rPr>
                <w:rFonts w:ascii="Cambria Math" w:hAnsi="Cambria Math" w:cs="Arial"/>
                <w:lang w:eastAsia="zh-CN"/>
              </w:rPr>
              <m:t>,Q</m:t>
            </m:r>
            <m:d>
              <m:dPr>
                <m:ctrlPr>
                  <w:rPr>
                    <w:rFonts w:ascii="Cambria Math" w:hAnsi="Cambria Math" w:cs="Arial"/>
                    <w:i/>
                    <w:lang w:eastAsia="zh-CN"/>
                  </w:rPr>
                </m:ctrlPr>
              </m:dPr>
              <m:e>
                <m:r>
                  <w:rPr>
                    <w:rFonts w:ascii="Cambria Math" w:hAnsi="Cambria Math" w:cs="Arial"/>
                    <w:lang w:eastAsia="zh-CN"/>
                  </w:rPr>
                  <m:t>j-o+1</m:t>
                </m:r>
              </m:e>
            </m:d>
            <m:r>
              <w:rPr>
                <w:rFonts w:ascii="Cambria Math" w:hAnsi="Cambria Math" w:cs="Arial"/>
                <w:lang w:eastAsia="zh-CN"/>
              </w:rPr>
              <m:t>,…,Q(j)</m:t>
            </m:r>
          </m:e>
        </m:d>
      </m:oMath>
      <w:r w:rsidR="00950B98">
        <w:rPr>
          <w:lang w:eastAsia="zh-CN"/>
        </w:rPr>
        <w:t xml:space="preserve"> as </w:t>
      </w:r>
      <w:r w:rsidR="00950B98" w:rsidRPr="00C91777">
        <w:t xml:space="preserve">described </w:t>
      </w:r>
      <w:r w:rsidR="006F5F9E">
        <w:t>in clause</w:t>
      </w:r>
      <w:r w:rsidR="00950B98" w:rsidRPr="00C91777">
        <w:t>s</w:t>
      </w:r>
      <w:r w:rsidR="00950B98">
        <w:t xml:space="preserve"> </w:t>
      </w:r>
      <w:r w:rsidR="008A749C">
        <w:t xml:space="preserve">9, </w:t>
      </w:r>
      <w:r w:rsidR="00B16289">
        <w:t xml:space="preserve">9.2.5.0, </w:t>
      </w:r>
      <w:r w:rsidR="00950B98">
        <w:t>9.2.5.1</w:t>
      </w:r>
      <w:r w:rsidR="008A749C">
        <w:t>,</w:t>
      </w:r>
      <w:r w:rsidR="00950B98">
        <w:t xml:space="preserve"> 9.2.5.2</w:t>
      </w:r>
      <w:r w:rsidR="008A749C" w:rsidRPr="00647C89">
        <w:t>, 9.2.5.3</w:t>
      </w:r>
      <w:r w:rsidR="00E83236">
        <w:t>, and 18</w:t>
      </w:r>
      <w:r w:rsidR="00950B98">
        <w:rPr>
          <w:lang w:eastAsia="zh-CN"/>
        </w:rPr>
        <w:t xml:space="preserve"> </w:t>
      </w:r>
    </w:p>
    <w:p w14:paraId="346188DC" w14:textId="5734601D" w:rsidR="00950B98" w:rsidRDefault="00950B98" w:rsidP="001322F1">
      <w:pPr>
        <w:pStyle w:val="B3"/>
        <w:rPr>
          <w:lang w:eastAsia="zh-CN"/>
        </w:rPr>
      </w:pPr>
      <w:r>
        <w:rPr>
          <w:lang w:eastAsia="zh-CN"/>
        </w:rPr>
        <w:t xml:space="preserve">set the index of the single resource to </w:t>
      </w:r>
      <m:oMath>
        <m:r>
          <w:rPr>
            <w:rFonts w:ascii="Cambria Math" w:hAnsi="Cambria Math"/>
            <w:lang w:eastAsia="zh-CN"/>
          </w:rPr>
          <m:t>j</m:t>
        </m:r>
      </m:oMath>
      <w:r w:rsidR="008A749C">
        <w:rPr>
          <w:noProof/>
          <w:position w:val="-10"/>
          <w:lang w:val="en-US"/>
        </w:rPr>
        <w:t xml:space="preserve"> </w:t>
      </w:r>
    </w:p>
    <w:p w14:paraId="1CCC3BDD" w14:textId="0F582DA7" w:rsidR="00950B98" w:rsidRDefault="008A749C" w:rsidP="001322F1">
      <w:pPr>
        <w:pStyle w:val="B3"/>
        <w:rPr>
          <w:lang w:eastAsia="zh-CN"/>
        </w:rPr>
      </w:pPr>
      <m:oMathPara>
        <m:oMath>
          <m:r>
            <w:rPr>
              <w:rFonts w:ascii="Cambria Math" w:hAnsi="Cambria Math"/>
              <w:lang w:eastAsia="zh-CN"/>
            </w:rPr>
            <m:t>Q=Q\</m:t>
          </m:r>
          <m:d>
            <m:dPr>
              <m:begChr m:val="{"/>
              <m:endChr m:val="}"/>
              <m:ctrlPr>
                <w:rPr>
                  <w:rFonts w:ascii="Cambria Math" w:hAnsi="Cambria Math"/>
                  <w:i/>
                  <w:lang w:eastAsia="zh-CN"/>
                </w:rPr>
              </m:ctrlPr>
            </m:dPr>
            <m:e>
              <m:r>
                <w:rPr>
                  <w:rFonts w:ascii="Cambria Math" w:hAnsi="Cambria Math" w:cs="Arial"/>
                  <w:lang w:eastAsia="zh-CN"/>
                </w:rPr>
                <m:t>Q</m:t>
              </m:r>
              <m:d>
                <m:dPr>
                  <m:ctrlPr>
                    <w:rPr>
                      <w:rFonts w:ascii="Cambria Math" w:hAnsi="Cambria Math" w:cs="Arial"/>
                      <w:i/>
                      <w:lang w:eastAsia="zh-CN"/>
                    </w:rPr>
                  </m:ctrlPr>
                </m:dPr>
                <m:e>
                  <m:r>
                    <w:rPr>
                      <w:rFonts w:ascii="Cambria Math" w:hAnsi="Cambria Math" w:cs="Arial"/>
                      <w:lang w:eastAsia="zh-CN"/>
                    </w:rPr>
                    <m:t>j-o</m:t>
                  </m:r>
                </m:e>
              </m:d>
              <m:r>
                <w:rPr>
                  <w:rFonts w:ascii="Cambria Math" w:hAnsi="Cambria Math" w:cs="Arial"/>
                  <w:lang w:eastAsia="zh-CN"/>
                </w:rPr>
                <m:t>,Q</m:t>
              </m:r>
              <m:d>
                <m:dPr>
                  <m:ctrlPr>
                    <w:rPr>
                      <w:rFonts w:ascii="Cambria Math" w:hAnsi="Cambria Math" w:cs="Arial"/>
                      <w:i/>
                      <w:lang w:eastAsia="zh-CN"/>
                    </w:rPr>
                  </m:ctrlPr>
                </m:dPr>
                <m:e>
                  <m:r>
                    <w:rPr>
                      <w:rFonts w:ascii="Cambria Math" w:hAnsi="Cambria Math" w:cs="Arial"/>
                      <w:lang w:eastAsia="zh-CN"/>
                    </w:rPr>
                    <m:t>j-o+1</m:t>
                  </m:r>
                </m:e>
              </m:d>
              <m:r>
                <w:rPr>
                  <w:rFonts w:ascii="Cambria Math" w:hAnsi="Cambria Math" w:cs="Arial"/>
                  <w:lang w:eastAsia="zh-CN"/>
                </w:rPr>
                <m:t>,…,Q(j-1)</m:t>
              </m:r>
            </m:e>
          </m:d>
        </m:oMath>
      </m:oMathPara>
    </w:p>
    <w:p w14:paraId="62213BE4" w14:textId="44DC0F79" w:rsidR="00950B98" w:rsidRDefault="008A749C" w:rsidP="001322F1">
      <w:pPr>
        <w:pStyle w:val="B3"/>
        <w:rPr>
          <w:lang w:eastAsia="zh-CN"/>
        </w:rPr>
      </w:pPr>
      <m:oMath>
        <m:r>
          <w:rPr>
            <w:rFonts w:ascii="Cambria Math" w:hAnsi="Cambria Math"/>
            <w:lang w:eastAsia="zh-CN"/>
          </w:rPr>
          <m:t>j=0</m:t>
        </m:r>
      </m:oMath>
      <w:r w:rsidR="003915B7">
        <w:t xml:space="preserve"> </w:t>
      </w:r>
      <w:r w:rsidR="00950B98">
        <w:t>% start from the beginning after reordering unmerged resources at next step</w:t>
      </w:r>
    </w:p>
    <w:p w14:paraId="300372EB" w14:textId="494A6A73" w:rsidR="00950B98" w:rsidRDefault="008A749C" w:rsidP="001322F1">
      <w:pPr>
        <w:pStyle w:val="B3"/>
        <w:rPr>
          <w:rFonts w:cs="Arial"/>
          <w:lang w:eastAsia="zh-CN"/>
        </w:rPr>
      </w:pPr>
      <m:oMath>
        <m:r>
          <w:rPr>
            <w:rFonts w:ascii="Cambria Math" w:hAnsi="Cambria Math"/>
            <w:lang w:eastAsia="zh-CN"/>
          </w:rPr>
          <m:t>o=0</m:t>
        </m:r>
      </m:oMath>
      <w:r>
        <w:rPr>
          <w:rFonts w:cs="Arial"/>
          <w:noProof/>
          <w:lang w:eastAsia="zh-CN"/>
        </w:rPr>
        <w:t>;</w:t>
      </w:r>
    </w:p>
    <w:p w14:paraId="0F5C7A17" w14:textId="7F522962" w:rsidR="00950B98" w:rsidRDefault="008A749C" w:rsidP="001322F1">
      <w:pPr>
        <w:pStyle w:val="B3"/>
      </w:pPr>
      <m:oMath>
        <m:r>
          <m:rPr>
            <m:sty m:val="p"/>
          </m:rPr>
          <w:rPr>
            <w:rFonts w:ascii="Cambria Math" w:hAnsi="Cambria Math"/>
          </w:rPr>
          <m:t>order</m:t>
        </m:r>
        <m:r>
          <w:rPr>
            <w:rFonts w:ascii="Cambria Math" w:hAnsi="Cambria Math"/>
          </w:rPr>
          <m:t>(</m:t>
        </m:r>
        <m:r>
          <w:rPr>
            <w:rFonts w:ascii="Cambria Math" w:hAnsi="Cambria Math"/>
            <w:lang w:eastAsia="zh-CN"/>
          </w:rPr>
          <m:t>Q)</m:t>
        </m:r>
      </m:oMath>
      <w:r w:rsidR="00950B98">
        <w:t xml:space="preserve"> % function that re-orders resources in current set </w:t>
      </w:r>
      <m:oMath>
        <m:r>
          <w:rPr>
            <w:rFonts w:ascii="Cambria Math" w:hAnsi="Cambria Math"/>
            <w:lang w:eastAsia="zh-CN"/>
          </w:rPr>
          <m:t>Q</m:t>
        </m:r>
      </m:oMath>
    </w:p>
    <w:p w14:paraId="69C47A3A" w14:textId="47BC0BFE" w:rsidR="00D23CE9" w:rsidRPr="00D23CE9" w:rsidRDefault="00D23CE9" w:rsidP="00D23CE9">
      <w:pPr>
        <w:pStyle w:val="B3"/>
        <w:rPr>
          <w:lang w:eastAsia="zh-CN"/>
        </w:rPr>
      </w:pPr>
      <w:r>
        <w:rPr>
          <w:lang w:eastAsia="zh-CN"/>
        </w:rPr>
        <w:t xml:space="preserve">Set </w:t>
      </w:r>
      <m:oMath>
        <m:r>
          <m:rPr>
            <m:nor/>
          </m:rPr>
          <w:rPr>
            <w:rFonts w:ascii="Freestyle Script" w:hAnsi="Freestyle Script"/>
          </w:rPr>
          <m:t>C</m:t>
        </m:r>
        <m:d>
          <m:dPr>
            <m:ctrlPr>
              <w:rPr>
                <w:rFonts w:ascii="Cambria Math" w:hAnsi="Cambria Math" w:cs="Helvetica"/>
                <w:i/>
              </w:rPr>
            </m:ctrlPr>
          </m:dPr>
          <m:e>
            <m:r>
              <w:rPr>
                <w:rFonts w:ascii="Cambria Math" w:hAnsi="Cambria Math"/>
                <w:noProof/>
              </w:rPr>
              <m:t>Q</m:t>
            </m:r>
          </m:e>
        </m:d>
      </m:oMath>
      <w:r>
        <w:t xml:space="preserve"> to the cardinality of </w:t>
      </w:r>
      <m:oMath>
        <m:r>
          <w:rPr>
            <w:rFonts w:ascii="Cambria Math" w:hAnsi="Cambria Math"/>
            <w:lang w:eastAsia="zh-CN"/>
          </w:rPr>
          <m:t>Q</m:t>
        </m:r>
      </m:oMath>
    </w:p>
    <w:p w14:paraId="3191F3EA" w14:textId="77777777" w:rsidR="00950B98" w:rsidRDefault="00950B98" w:rsidP="001322F1">
      <w:pPr>
        <w:pStyle w:val="B2"/>
      </w:pPr>
      <w:r>
        <w:rPr>
          <w:lang w:eastAsia="zh-CN"/>
        </w:rPr>
        <w:t>else</w:t>
      </w:r>
    </w:p>
    <w:p w14:paraId="4747209D" w14:textId="1424EF09" w:rsidR="00950B98" w:rsidRDefault="008A749C" w:rsidP="001322F1">
      <w:pPr>
        <w:pStyle w:val="B3"/>
        <w:rPr>
          <w:lang w:eastAsia="zh-CN"/>
        </w:rPr>
      </w:pPr>
      <m:oMath>
        <m:r>
          <w:rPr>
            <w:rFonts w:ascii="Cambria Math" w:hAnsi="Cambria Math"/>
            <w:lang w:eastAsia="zh-CN"/>
          </w:rPr>
          <m:t>j=j+1</m:t>
        </m:r>
      </m:oMath>
      <w:r>
        <w:rPr>
          <w:noProof/>
          <w:lang w:eastAsia="zh-CN"/>
        </w:rPr>
        <w:t>;</w:t>
      </w:r>
    </w:p>
    <w:p w14:paraId="0EBB0141" w14:textId="77777777" w:rsidR="00950B98" w:rsidRDefault="00950B98" w:rsidP="001322F1">
      <w:pPr>
        <w:pStyle w:val="B2"/>
        <w:rPr>
          <w:lang w:eastAsia="zh-CN"/>
        </w:rPr>
      </w:pPr>
      <w:r>
        <w:rPr>
          <w:lang w:eastAsia="zh-CN"/>
        </w:rPr>
        <w:t>end if</w:t>
      </w:r>
    </w:p>
    <w:p w14:paraId="372BC267" w14:textId="77777777" w:rsidR="00950B98" w:rsidRDefault="00950B98" w:rsidP="001322F1">
      <w:pPr>
        <w:pStyle w:val="B1"/>
        <w:rPr>
          <w:lang w:eastAsia="zh-CN"/>
        </w:rPr>
      </w:pPr>
      <w:r>
        <w:rPr>
          <w:lang w:eastAsia="zh-CN"/>
        </w:rPr>
        <w:t>end if</w:t>
      </w:r>
    </w:p>
    <w:p w14:paraId="24CDAE34" w14:textId="77777777" w:rsidR="00950B98" w:rsidRPr="00EC4418" w:rsidRDefault="00950B98" w:rsidP="00950B98">
      <w:pPr>
        <w:rPr>
          <w:rFonts w:cs="Arial"/>
          <w:lang w:eastAsia="zh-CN"/>
        </w:rPr>
      </w:pPr>
      <w:r>
        <w:rPr>
          <w:rFonts w:cs="Arial"/>
          <w:lang w:eastAsia="zh-CN"/>
        </w:rPr>
        <w:t>end while</w:t>
      </w:r>
    </w:p>
    <w:p w14:paraId="01A0D0FE" w14:textId="2FB4A1DE" w:rsidR="00950B98" w:rsidRDefault="00950B98" w:rsidP="00950B98">
      <w:r>
        <w:t xml:space="preserve">The function </w:t>
      </w:r>
      <m:oMath>
        <m:r>
          <m:rPr>
            <m:sty m:val="p"/>
          </m:rPr>
          <w:rPr>
            <w:rFonts w:ascii="Cambria Math" w:hAnsi="Cambria Math"/>
          </w:rPr>
          <m:t>order</m:t>
        </m:r>
        <m:r>
          <w:rPr>
            <w:rFonts w:ascii="Cambria Math" w:hAnsi="Cambria Math"/>
          </w:rPr>
          <m:t>(</m:t>
        </m:r>
        <m:r>
          <w:rPr>
            <w:rFonts w:ascii="Cambria Math" w:hAnsi="Cambria Math"/>
            <w:lang w:eastAsia="zh-CN"/>
          </w:rPr>
          <m:t>Q)</m:t>
        </m:r>
      </m:oMath>
      <w:r>
        <w:t xml:space="preserve"> performs the following pseudo-code</w:t>
      </w:r>
    </w:p>
    <w:p w14:paraId="07F97AF4" w14:textId="77777777" w:rsidR="008A749C" w:rsidRPr="00647C89" w:rsidRDefault="008A749C" w:rsidP="008A749C">
      <w:r w:rsidRPr="00647C89">
        <w:t>{</w:t>
      </w:r>
    </w:p>
    <w:p w14:paraId="08EEA2EF" w14:textId="77777777" w:rsidR="008A749C" w:rsidRPr="00647C89" w:rsidRDefault="008A749C" w:rsidP="008A749C">
      <w:pPr>
        <w:pStyle w:val="B1"/>
        <w:rPr>
          <w:lang w:eastAsia="zh-CN"/>
        </w:rPr>
      </w:pPr>
      <m:oMath>
        <m:r>
          <w:rPr>
            <w:rFonts w:ascii="Cambria Math" w:hAnsi="Cambria Math"/>
            <w:noProof/>
            <w:lang w:eastAsia="zh-CN"/>
          </w:rPr>
          <m:t>k=0</m:t>
        </m:r>
      </m:oMath>
      <w:r>
        <w:rPr>
          <w:noProof/>
          <w:lang w:val="en-US" w:eastAsia="zh-CN"/>
        </w:rPr>
        <w:t>;</w:t>
      </w:r>
    </w:p>
    <w:p w14:paraId="45ED5875" w14:textId="77777777" w:rsidR="008A749C" w:rsidRPr="00647C89" w:rsidRDefault="008A749C" w:rsidP="008A749C">
      <w:pPr>
        <w:pStyle w:val="B1"/>
        <w:rPr>
          <w:lang w:eastAsia="zh-CN"/>
        </w:rPr>
      </w:pPr>
      <w:r w:rsidRPr="00647C89">
        <w:rPr>
          <w:lang w:eastAsia="zh-CN"/>
        </w:rPr>
        <w:t xml:space="preserve">while </w:t>
      </w:r>
      <m:oMath>
        <m:r>
          <w:rPr>
            <w:rFonts w:ascii="Cambria Math" w:hAnsi="Cambria Math"/>
            <w:lang w:eastAsia="zh-CN"/>
          </w:rPr>
          <m:t>k&lt;</m:t>
        </m:r>
        <m:r>
          <m:rPr>
            <m:nor/>
          </m:rPr>
          <w:rPr>
            <w:rFonts w:ascii="Freestyle Script" w:hAnsi="Freestyle Script"/>
          </w:rPr>
          <m:t>C</m:t>
        </m:r>
        <m:d>
          <m:dPr>
            <m:ctrlPr>
              <w:rPr>
                <w:rFonts w:ascii="Cambria Math" w:hAnsi="Cambria Math" w:cs="Helvetica"/>
                <w:i/>
              </w:rPr>
            </m:ctrlPr>
          </m:dPr>
          <m:e>
            <m:r>
              <w:rPr>
                <w:rFonts w:ascii="Cambria Math" w:hAnsi="Cambria Math"/>
                <w:noProof/>
              </w:rPr>
              <m:t>Q</m:t>
            </m:r>
          </m:e>
        </m:d>
        <m:r>
          <w:rPr>
            <w:rFonts w:ascii="Cambria Math" w:hAnsi="Cambria Math" w:cs="Helvetica"/>
          </w:rPr>
          <m:t>-1</m:t>
        </m:r>
      </m:oMath>
      <w:r w:rsidRPr="00647C89">
        <w:rPr>
          <w:lang w:eastAsia="zh-CN"/>
        </w:rPr>
        <w:t xml:space="preserve"> % the next two while loops are to re-order the unmerged resources</w:t>
      </w:r>
    </w:p>
    <w:p w14:paraId="3D674BBB" w14:textId="77777777" w:rsidR="008A749C" w:rsidRPr="00647C89" w:rsidRDefault="008A749C" w:rsidP="008A749C">
      <w:pPr>
        <w:pStyle w:val="B2"/>
        <w:rPr>
          <w:lang w:eastAsia="zh-CN"/>
        </w:rPr>
      </w:pPr>
      <m:oMath>
        <m:r>
          <w:rPr>
            <w:rFonts w:ascii="Cambria Math" w:hAnsi="Cambria Math"/>
            <w:noProof/>
            <w:lang w:eastAsia="zh-CN"/>
          </w:rPr>
          <m:t>l=0</m:t>
        </m:r>
      </m:oMath>
      <w:r>
        <w:rPr>
          <w:noProof/>
          <w:lang w:val="en-US" w:eastAsia="zh-CN"/>
        </w:rPr>
        <w:t>;</w:t>
      </w:r>
    </w:p>
    <w:p w14:paraId="3ED12CDC" w14:textId="77777777" w:rsidR="008A749C" w:rsidRPr="00647C89" w:rsidRDefault="008A749C" w:rsidP="008A749C">
      <w:pPr>
        <w:pStyle w:val="B2"/>
        <w:rPr>
          <w:lang w:eastAsia="zh-CN"/>
        </w:rPr>
      </w:pPr>
      <w:r w:rsidRPr="00647C89">
        <w:rPr>
          <w:lang w:eastAsia="zh-CN"/>
        </w:rPr>
        <w:t xml:space="preserve">while </w:t>
      </w:r>
      <m:oMath>
        <m:r>
          <w:rPr>
            <w:rFonts w:ascii="Cambria Math" w:hAnsi="Cambria Math"/>
            <w:lang w:eastAsia="zh-CN"/>
          </w:rPr>
          <m:t>k&lt;</m:t>
        </m:r>
        <m:r>
          <m:rPr>
            <m:nor/>
          </m:rPr>
          <w:rPr>
            <w:rFonts w:ascii="Freestyle Script" w:hAnsi="Freestyle Script"/>
          </w:rPr>
          <m:t>C</m:t>
        </m:r>
        <m:d>
          <m:dPr>
            <m:ctrlPr>
              <w:rPr>
                <w:rFonts w:ascii="Cambria Math" w:hAnsi="Cambria Math" w:cs="Helvetica"/>
                <w:i/>
              </w:rPr>
            </m:ctrlPr>
          </m:dPr>
          <m:e>
            <m:r>
              <w:rPr>
                <w:rFonts w:ascii="Cambria Math" w:hAnsi="Cambria Math"/>
                <w:noProof/>
              </w:rPr>
              <m:t>Q</m:t>
            </m:r>
          </m:e>
        </m:d>
        <m:r>
          <w:rPr>
            <w:rFonts w:ascii="Cambria Math" w:hAnsi="Cambria Math" w:cs="Helvetica"/>
          </w:rPr>
          <m:t>-1-k</m:t>
        </m:r>
      </m:oMath>
      <w:r w:rsidRPr="00647C89">
        <w:rPr>
          <w:lang w:eastAsia="zh-CN"/>
        </w:rPr>
        <w:t xml:space="preserve"> </w:t>
      </w:r>
    </w:p>
    <w:p w14:paraId="79B2CB49" w14:textId="77777777" w:rsidR="008A749C" w:rsidRPr="00647C89" w:rsidRDefault="008A749C" w:rsidP="008A749C">
      <w:pPr>
        <w:pStyle w:val="B3"/>
        <w:rPr>
          <w:lang w:eastAsia="zh-CN"/>
        </w:rPr>
      </w:pPr>
      <w:r w:rsidRPr="00647C89">
        <w:rPr>
          <w:rFonts w:cs="Arial"/>
          <w:lang w:eastAsia="zh-CN"/>
        </w:rPr>
        <w:t xml:space="preserve">if </w:t>
      </w:r>
      <m:oMath>
        <m:r>
          <w:rPr>
            <w:rFonts w:ascii="Cambria Math" w:hAnsi="Cambria Math" w:cs="Arial"/>
            <w:lang w:eastAsia="zh-CN"/>
          </w:rPr>
          <m:t>Q</m:t>
        </m:r>
        <m:d>
          <m:dPr>
            <m:ctrlPr>
              <w:rPr>
                <w:rFonts w:ascii="Cambria Math" w:hAnsi="Cambria Math" w:cs="Arial"/>
                <w:i/>
                <w:lang w:eastAsia="zh-CN"/>
              </w:rPr>
            </m:ctrlPr>
          </m:dPr>
          <m:e>
            <m:r>
              <w:rPr>
                <w:rFonts w:ascii="Cambria Math" w:hAnsi="Cambria Math" w:cs="Arial"/>
                <w:lang w:eastAsia="zh-CN"/>
              </w:rPr>
              <m:t>l,0</m:t>
            </m:r>
          </m:e>
        </m:d>
        <m:r>
          <w:rPr>
            <w:rFonts w:ascii="Cambria Math" w:hAnsi="Cambria Math" w:cs="Arial"/>
            <w:lang w:eastAsia="zh-CN"/>
          </w:rPr>
          <m:t>&gt;Q(l+1,0)</m:t>
        </m:r>
      </m:oMath>
      <w:r w:rsidRPr="00647C89">
        <w:rPr>
          <w:lang w:eastAsia="zh-CN"/>
        </w:rPr>
        <w:t xml:space="preserve"> OR </w:t>
      </w:r>
      <m:oMath>
        <m:d>
          <m:dPr>
            <m:ctrlPr>
              <w:rPr>
                <w:rFonts w:ascii="Cambria Math" w:hAnsi="Cambria Math" w:cs="Arial"/>
                <w:i/>
                <w:lang w:eastAsia="zh-CN"/>
              </w:rPr>
            </m:ctrlPr>
          </m:dPr>
          <m:e>
            <m:r>
              <w:rPr>
                <w:rFonts w:ascii="Cambria Math" w:hAnsi="Cambria Math" w:cs="Arial"/>
                <w:lang w:eastAsia="zh-CN"/>
              </w:rPr>
              <m:t>Q</m:t>
            </m:r>
            <m:d>
              <m:dPr>
                <m:ctrlPr>
                  <w:rPr>
                    <w:rFonts w:ascii="Cambria Math" w:hAnsi="Cambria Math" w:cs="Arial"/>
                    <w:i/>
                    <w:lang w:eastAsia="zh-CN"/>
                  </w:rPr>
                </m:ctrlPr>
              </m:dPr>
              <m:e>
                <m:r>
                  <w:rPr>
                    <w:rFonts w:ascii="Cambria Math" w:hAnsi="Cambria Math" w:cs="Arial"/>
                    <w:lang w:eastAsia="zh-CN"/>
                  </w:rPr>
                  <m:t>l,0</m:t>
                </m:r>
              </m:e>
            </m:d>
            <m:r>
              <w:rPr>
                <w:rFonts w:ascii="Cambria Math" w:hAnsi="Cambria Math" w:cs="Arial"/>
                <w:lang w:eastAsia="zh-CN"/>
              </w:rPr>
              <m:t>=Q(l+1,0)&amp;L(Q</m:t>
            </m:r>
            <m:d>
              <m:dPr>
                <m:ctrlPr>
                  <w:rPr>
                    <w:rFonts w:ascii="Cambria Math" w:hAnsi="Cambria Math" w:cs="Arial"/>
                    <w:i/>
                    <w:lang w:eastAsia="zh-CN"/>
                  </w:rPr>
                </m:ctrlPr>
              </m:dPr>
              <m:e>
                <m:r>
                  <w:rPr>
                    <w:rFonts w:ascii="Cambria Math" w:hAnsi="Cambria Math" w:cs="Arial"/>
                    <w:lang w:eastAsia="zh-CN"/>
                  </w:rPr>
                  <m:t>l</m:t>
                </m:r>
              </m:e>
            </m:d>
            <m:r>
              <w:rPr>
                <w:rFonts w:ascii="Cambria Math" w:hAnsi="Cambria Math" w:cs="Arial"/>
                <w:lang w:eastAsia="zh-CN"/>
              </w:rPr>
              <m:t>)&lt;L(Q</m:t>
            </m:r>
            <m:d>
              <m:dPr>
                <m:ctrlPr>
                  <w:rPr>
                    <w:rFonts w:ascii="Cambria Math" w:hAnsi="Cambria Math" w:cs="Arial"/>
                    <w:i/>
                    <w:lang w:eastAsia="zh-CN"/>
                  </w:rPr>
                </m:ctrlPr>
              </m:dPr>
              <m:e>
                <m:r>
                  <w:rPr>
                    <w:rFonts w:ascii="Cambria Math" w:hAnsi="Cambria Math" w:cs="Arial"/>
                    <w:lang w:eastAsia="zh-CN"/>
                  </w:rPr>
                  <m:t>l+1</m:t>
                </m:r>
              </m:e>
            </m:d>
            <m:r>
              <w:rPr>
                <w:rFonts w:ascii="Cambria Math" w:hAnsi="Cambria Math" w:cs="Arial"/>
                <w:lang w:eastAsia="zh-CN"/>
              </w:rPr>
              <m:t>)</m:t>
            </m:r>
          </m:e>
        </m:d>
      </m:oMath>
    </w:p>
    <w:p w14:paraId="5B2DA7C7" w14:textId="77777777" w:rsidR="008A749C" w:rsidRPr="00647C89" w:rsidRDefault="008A749C" w:rsidP="008A749C">
      <w:pPr>
        <w:pStyle w:val="B3"/>
        <w:rPr>
          <w:lang w:eastAsia="zh-CN"/>
        </w:rPr>
      </w:pPr>
      <w:r w:rsidRPr="00647C89">
        <w:rPr>
          <w:lang w:eastAsia="zh-CN"/>
        </w:rPr>
        <w:tab/>
      </w:r>
      <m:oMath>
        <m:r>
          <m:rPr>
            <m:sty m:val="p"/>
          </m:rPr>
          <w:rPr>
            <w:rFonts w:ascii="Cambria Math" w:hAnsi="Cambria Math"/>
            <w:lang w:eastAsia="zh-CN"/>
          </w:rPr>
          <m:t>temp</m:t>
        </m:r>
        <m:r>
          <w:rPr>
            <w:rFonts w:ascii="Cambria Math" w:hAnsi="Cambria Math"/>
            <w:lang w:eastAsia="zh-CN"/>
          </w:rPr>
          <m:t>=Q(l)</m:t>
        </m:r>
      </m:oMath>
      <w:r>
        <w:rPr>
          <w:lang w:eastAsia="zh-CN"/>
        </w:rPr>
        <w:t>;</w:t>
      </w:r>
    </w:p>
    <w:p w14:paraId="018A6BAB" w14:textId="77777777" w:rsidR="008A749C" w:rsidRPr="00647C89" w:rsidRDefault="008A749C" w:rsidP="008A749C">
      <w:pPr>
        <w:pStyle w:val="B4"/>
        <w:rPr>
          <w:lang w:eastAsia="zh-CN"/>
        </w:rPr>
      </w:pPr>
      <m:oMath>
        <m:r>
          <w:rPr>
            <w:rFonts w:ascii="Cambria Math" w:hAnsi="Cambria Math"/>
            <w:lang w:eastAsia="zh-CN"/>
          </w:rPr>
          <m:t>Q</m:t>
        </m:r>
        <m:d>
          <m:dPr>
            <m:ctrlPr>
              <w:rPr>
                <w:rFonts w:ascii="Cambria Math" w:hAnsi="Cambria Math"/>
                <w:i/>
                <w:lang w:eastAsia="zh-CN"/>
              </w:rPr>
            </m:ctrlPr>
          </m:dPr>
          <m:e>
            <m:r>
              <w:rPr>
                <w:rFonts w:ascii="Cambria Math" w:hAnsi="Cambria Math"/>
                <w:lang w:eastAsia="zh-CN"/>
              </w:rPr>
              <m:t>l</m:t>
            </m:r>
          </m:e>
        </m:d>
        <m:r>
          <w:rPr>
            <w:rFonts w:ascii="Cambria Math" w:hAnsi="Cambria Math"/>
            <w:lang w:eastAsia="zh-CN"/>
          </w:rPr>
          <m:t>=Q(l+1)</m:t>
        </m:r>
      </m:oMath>
      <w:r>
        <w:rPr>
          <w:noProof/>
          <w:lang w:eastAsia="zh-CN"/>
        </w:rPr>
        <w:t>;</w:t>
      </w:r>
    </w:p>
    <w:p w14:paraId="36512197" w14:textId="77777777" w:rsidR="008A749C" w:rsidRPr="00647C89" w:rsidRDefault="008A749C" w:rsidP="008A749C">
      <w:pPr>
        <w:pStyle w:val="B4"/>
        <w:rPr>
          <w:lang w:eastAsia="zh-CN"/>
        </w:rPr>
      </w:pPr>
      <m:oMath>
        <m:r>
          <w:rPr>
            <w:rFonts w:ascii="Cambria Math" w:hAnsi="Cambria Math"/>
            <w:lang w:eastAsia="zh-CN"/>
          </w:rPr>
          <w:lastRenderedPageBreak/>
          <m:t>Q(l+1)=</m:t>
        </m:r>
        <m:r>
          <m:rPr>
            <m:sty m:val="p"/>
          </m:rPr>
          <w:rPr>
            <w:rFonts w:ascii="Cambria Math" w:hAnsi="Cambria Math"/>
            <w:lang w:eastAsia="zh-CN"/>
          </w:rPr>
          <m:t>temp</m:t>
        </m:r>
      </m:oMath>
      <w:r>
        <w:rPr>
          <w:noProof/>
          <w:lang w:eastAsia="zh-CN"/>
        </w:rPr>
        <w:t>;</w:t>
      </w:r>
    </w:p>
    <w:p w14:paraId="6182669C" w14:textId="77777777" w:rsidR="008A749C" w:rsidRPr="00647C89" w:rsidRDefault="008A749C" w:rsidP="008A749C">
      <w:pPr>
        <w:pStyle w:val="B3"/>
        <w:rPr>
          <w:lang w:eastAsia="zh-CN"/>
        </w:rPr>
      </w:pPr>
      <w:r w:rsidRPr="00647C89">
        <w:rPr>
          <w:lang w:eastAsia="zh-CN"/>
        </w:rPr>
        <w:t>end if</w:t>
      </w:r>
    </w:p>
    <w:p w14:paraId="62A76249" w14:textId="77777777" w:rsidR="008A749C" w:rsidRPr="00647C89" w:rsidRDefault="008A749C" w:rsidP="008A749C">
      <w:pPr>
        <w:pStyle w:val="B2"/>
        <w:rPr>
          <w:lang w:eastAsia="zh-CN"/>
        </w:rPr>
      </w:pPr>
      <m:oMath>
        <m:r>
          <w:rPr>
            <w:rFonts w:ascii="Cambria Math" w:hAnsi="Cambria Math"/>
            <w:lang w:eastAsia="zh-CN"/>
          </w:rPr>
          <m:t>l=l+1</m:t>
        </m:r>
      </m:oMath>
      <w:r>
        <w:rPr>
          <w:noProof/>
          <w:lang w:val="en-US" w:eastAsia="zh-CN"/>
        </w:rPr>
        <w:t>;</w:t>
      </w:r>
    </w:p>
    <w:p w14:paraId="4A726EC6" w14:textId="77777777" w:rsidR="008A749C" w:rsidRPr="00647C89" w:rsidRDefault="008A749C" w:rsidP="008A749C">
      <w:pPr>
        <w:pStyle w:val="B2"/>
        <w:rPr>
          <w:lang w:eastAsia="zh-CN"/>
        </w:rPr>
      </w:pPr>
      <w:r w:rsidRPr="00647C89">
        <w:rPr>
          <w:lang w:eastAsia="zh-CN"/>
        </w:rPr>
        <w:t>end while</w:t>
      </w:r>
    </w:p>
    <w:p w14:paraId="23107D1F" w14:textId="77777777" w:rsidR="008A749C" w:rsidRPr="00647C89" w:rsidRDefault="008A749C" w:rsidP="008A749C">
      <w:pPr>
        <w:pStyle w:val="B1"/>
        <w:rPr>
          <w:lang w:eastAsia="zh-CN"/>
        </w:rPr>
      </w:pPr>
      <m:oMath>
        <m:r>
          <w:rPr>
            <w:rFonts w:ascii="Cambria Math" w:hAnsi="Cambria Math"/>
            <w:lang w:eastAsia="zh-CN"/>
          </w:rPr>
          <m:t>k=k+1</m:t>
        </m:r>
      </m:oMath>
      <w:r>
        <w:rPr>
          <w:noProof/>
          <w:lang w:val="en-US" w:eastAsia="zh-CN"/>
        </w:rPr>
        <w:t>;</w:t>
      </w:r>
    </w:p>
    <w:p w14:paraId="4A9CC3E9" w14:textId="77777777" w:rsidR="008A749C" w:rsidRPr="00647C89" w:rsidRDefault="008A749C" w:rsidP="008A749C">
      <w:pPr>
        <w:pStyle w:val="B1"/>
        <w:rPr>
          <w:lang w:eastAsia="zh-CN"/>
        </w:rPr>
      </w:pPr>
      <w:r w:rsidRPr="00647C89">
        <w:rPr>
          <w:lang w:eastAsia="zh-CN"/>
        </w:rPr>
        <w:t>end while</w:t>
      </w:r>
    </w:p>
    <w:p w14:paraId="7B149D94" w14:textId="77777777" w:rsidR="008A749C" w:rsidRPr="00647C89" w:rsidRDefault="008A749C" w:rsidP="008A749C">
      <w:pPr>
        <w:rPr>
          <w:rFonts w:cs="Arial"/>
          <w:lang w:eastAsia="zh-CN"/>
        </w:rPr>
      </w:pPr>
      <w:r w:rsidRPr="00647C89">
        <w:rPr>
          <w:rFonts w:cs="Arial"/>
          <w:lang w:eastAsia="zh-CN"/>
        </w:rPr>
        <w:t>}</w:t>
      </w:r>
    </w:p>
    <w:p w14:paraId="60EE3219" w14:textId="77777777" w:rsidR="008A749C" w:rsidRPr="00647C89" w:rsidRDefault="008A749C" w:rsidP="008A749C">
      <w:r w:rsidRPr="00647C89">
        <w:t xml:space="preserve">For each PUCCH resource in the set </w:t>
      </w:r>
      <m:oMath>
        <m:r>
          <w:rPr>
            <w:rFonts w:ascii="Cambria Math" w:hAnsi="Cambria Math"/>
            <w:lang w:eastAsia="zh-CN"/>
          </w:rPr>
          <m:t>Q</m:t>
        </m:r>
      </m:oMath>
      <w:r w:rsidRPr="00647C89">
        <w:rPr>
          <w:lang w:eastAsia="zh-CN"/>
        </w:rPr>
        <w:t xml:space="preserve"> that satisfies the aforementioned </w:t>
      </w:r>
      <w:r w:rsidRPr="00647C89">
        <w:rPr>
          <w:lang w:val="en-US"/>
        </w:rPr>
        <w:t xml:space="preserve">timing </w:t>
      </w:r>
      <w:r w:rsidRPr="00647C89">
        <w:t>conditions, when applicable,</w:t>
      </w:r>
    </w:p>
    <w:p w14:paraId="5E3695B3" w14:textId="49D059B4" w:rsidR="00C54C45" w:rsidRPr="00E83236" w:rsidRDefault="00C54C45" w:rsidP="00C54C45">
      <w:pPr>
        <w:pStyle w:val="B1"/>
        <w:rPr>
          <w:lang w:val="en-GB"/>
        </w:rPr>
      </w:pPr>
      <w:r>
        <w:rPr>
          <w:lang w:val="en-US"/>
        </w:rPr>
        <w:t>-</w:t>
      </w:r>
      <w:r>
        <w:rPr>
          <w:lang w:val="en-US"/>
        </w:rPr>
        <w:tab/>
        <w:t>the UE transmits a PUCCH using the PUCCH resource if the PUCCH resource</w:t>
      </w:r>
      <w:r w:rsidRPr="001A63B6">
        <w:rPr>
          <w:lang w:val="en-US"/>
        </w:rPr>
        <w:t xml:space="preserve"> </w:t>
      </w:r>
      <w:r w:rsidRPr="001A63B6">
        <w:rPr>
          <w:lang w:eastAsia="zh-CN"/>
        </w:rPr>
        <w:t>does not o</w:t>
      </w:r>
      <w:r>
        <w:rPr>
          <w:lang w:eastAsia="zh-CN"/>
        </w:rPr>
        <w:t xml:space="preserve">verlap </w:t>
      </w:r>
      <w:r>
        <w:rPr>
          <w:lang w:val="en-US" w:eastAsia="zh-CN"/>
        </w:rPr>
        <w:t xml:space="preserve">in time </w:t>
      </w:r>
      <w:r>
        <w:rPr>
          <w:lang w:eastAsia="zh-CN"/>
        </w:rPr>
        <w:t>with a PUSCH</w:t>
      </w:r>
      <w:r>
        <w:rPr>
          <w:lang w:val="en-US" w:eastAsia="zh-CN"/>
        </w:rPr>
        <w:t xml:space="preserve"> transmission</w:t>
      </w:r>
      <w:r w:rsidR="00D23CE9">
        <w:rPr>
          <w:lang w:val="en-US" w:eastAsia="zh-CN"/>
        </w:rPr>
        <w:t xml:space="preserve"> after multiplexing UCI following the procedures described </w:t>
      </w:r>
      <w:r w:rsidR="006F5F9E">
        <w:rPr>
          <w:lang w:val="en-US" w:eastAsia="zh-CN"/>
        </w:rPr>
        <w:t>in clause</w:t>
      </w:r>
      <w:r w:rsidR="00D23CE9">
        <w:rPr>
          <w:lang w:val="en-US" w:eastAsia="zh-CN"/>
        </w:rPr>
        <w:t xml:space="preserve">s </w:t>
      </w:r>
      <w:r w:rsidR="00FE2016">
        <w:rPr>
          <w:lang w:eastAsia="zh-CN"/>
        </w:rPr>
        <w:t xml:space="preserve">9, </w:t>
      </w:r>
      <w:r w:rsidR="00D23CE9">
        <w:rPr>
          <w:lang w:val="en-US" w:eastAsia="zh-CN"/>
        </w:rPr>
        <w:t>9.2.5.1</w:t>
      </w:r>
      <w:r w:rsidR="00FE2016">
        <w:rPr>
          <w:lang w:val="en-US" w:eastAsia="zh-CN"/>
        </w:rPr>
        <w:t>,</w:t>
      </w:r>
      <w:r w:rsidR="00D23CE9">
        <w:rPr>
          <w:lang w:val="en-US" w:eastAsia="zh-CN"/>
        </w:rPr>
        <w:t xml:space="preserve"> 9.2.5.2</w:t>
      </w:r>
      <w:r w:rsidR="00E83236">
        <w:rPr>
          <w:lang w:val="en-US" w:eastAsia="zh-CN"/>
        </w:rPr>
        <w:t>,</w:t>
      </w:r>
      <w:r w:rsidR="00FE2016" w:rsidRPr="00474A57">
        <w:rPr>
          <w:lang w:val="en-US" w:eastAsia="zh-CN"/>
        </w:rPr>
        <w:t xml:space="preserve"> 9.2.5.</w:t>
      </w:r>
      <w:r w:rsidR="00FE2016">
        <w:rPr>
          <w:lang w:eastAsia="zh-CN"/>
        </w:rPr>
        <w:t>3</w:t>
      </w:r>
      <w:r w:rsidR="00E83236">
        <w:rPr>
          <w:lang w:val="en-GB" w:eastAsia="zh-CN"/>
        </w:rPr>
        <w:t xml:space="preserve"> and 18</w:t>
      </w:r>
    </w:p>
    <w:p w14:paraId="6F19E10C" w14:textId="15BA9897" w:rsidR="00D23CE9" w:rsidRDefault="00C54C45" w:rsidP="00D23CE9">
      <w:pPr>
        <w:pStyle w:val="B1"/>
        <w:rPr>
          <w:lang w:val="en-US"/>
        </w:rPr>
      </w:pPr>
      <w:r>
        <w:rPr>
          <w:lang w:val="en-US"/>
        </w:rPr>
        <w:t>-</w:t>
      </w:r>
      <w:r>
        <w:rPr>
          <w:lang w:val="en-US"/>
        </w:rPr>
        <w:tab/>
      </w:r>
      <w:r w:rsidRPr="001A63B6">
        <w:rPr>
          <w:lang w:val="en-US"/>
        </w:rPr>
        <w:t xml:space="preserve">the UE </w:t>
      </w:r>
      <w:r w:rsidRPr="001A63B6">
        <w:t xml:space="preserve">multiplexes HARQ-ACK </w:t>
      </w:r>
      <w:r>
        <w:t xml:space="preserve">information </w:t>
      </w:r>
      <w:r>
        <w:rPr>
          <w:lang w:val="en-US"/>
        </w:rPr>
        <w:t>and/</w:t>
      </w:r>
      <w:r>
        <w:t xml:space="preserve">or CSI </w:t>
      </w:r>
      <w:r>
        <w:rPr>
          <w:lang w:val="en-US"/>
        </w:rPr>
        <w:t xml:space="preserve">reports in a PUSCH </w:t>
      </w:r>
      <w:r>
        <w:t xml:space="preserve">if the </w:t>
      </w:r>
      <w:r>
        <w:rPr>
          <w:lang w:val="en-US"/>
        </w:rPr>
        <w:t>PUCCH resource</w:t>
      </w:r>
      <w:r w:rsidRPr="001A63B6">
        <w:t xml:space="preserve"> </w:t>
      </w:r>
      <w:r>
        <w:rPr>
          <w:lang w:val="en-US"/>
        </w:rPr>
        <w:t>overlaps</w:t>
      </w:r>
      <w:r w:rsidRPr="001A63B6">
        <w:rPr>
          <w:lang w:val="en-US"/>
        </w:rPr>
        <w:t xml:space="preserve"> </w:t>
      </w:r>
      <w:r>
        <w:rPr>
          <w:lang w:val="en-US"/>
        </w:rPr>
        <w:t xml:space="preserve">in time with a </w:t>
      </w:r>
      <w:r w:rsidRPr="001A63B6">
        <w:t>PUSCH</w:t>
      </w:r>
      <w:r>
        <w:rPr>
          <w:lang w:val="en-US"/>
        </w:rPr>
        <w:t xml:space="preserve"> transmission, as described </w:t>
      </w:r>
      <w:r w:rsidR="006F5F9E">
        <w:rPr>
          <w:lang w:val="en-US"/>
        </w:rPr>
        <w:t>in clause</w:t>
      </w:r>
      <w:r>
        <w:rPr>
          <w:lang w:val="en-US"/>
        </w:rPr>
        <w:t xml:space="preserve"> 9.3,</w:t>
      </w:r>
      <w:r w:rsidRPr="001A63B6">
        <w:t xml:space="preserve"> and does not transmit SR</w:t>
      </w:r>
      <w:r w:rsidRPr="001A63B6">
        <w:rPr>
          <w:lang w:val="en-US"/>
        </w:rPr>
        <w:t>.</w:t>
      </w:r>
      <w:r w:rsidRPr="001A63B6">
        <w:t xml:space="preserve"> In case </w:t>
      </w:r>
      <w:r>
        <w:rPr>
          <w:lang w:val="en-US"/>
        </w:rPr>
        <w:t>the PUCCH resource overlaps in time with</w:t>
      </w:r>
      <w:r w:rsidRPr="001A63B6">
        <w:t xml:space="preserve"> multiple PUSCH</w:t>
      </w:r>
      <w:r>
        <w:rPr>
          <w:lang w:val="en-US"/>
        </w:rPr>
        <w:t xml:space="preserve"> transmission</w:t>
      </w:r>
      <w:r w:rsidRPr="001A63B6">
        <w:t xml:space="preserve">s, the PUSCH </w:t>
      </w:r>
      <w:r>
        <w:rPr>
          <w:lang w:val="en-US"/>
        </w:rPr>
        <w:t xml:space="preserve">for multiplexing HARQ-ACK information and/or CSI </w:t>
      </w:r>
      <w:r w:rsidRPr="001A63B6">
        <w:t xml:space="preserve">is selected as described </w:t>
      </w:r>
      <w:r w:rsidR="006F5F9E">
        <w:t>in clause</w:t>
      </w:r>
      <w:r w:rsidRPr="001A63B6">
        <w:t xml:space="preserve"> 9.</w:t>
      </w:r>
      <w:r>
        <w:rPr>
          <w:lang w:val="en-US"/>
        </w:rPr>
        <w:t xml:space="preserve"> If the PUSCH transmission by the UE is not in response to a DCI format detection and the UE multiplexes only CSI reports, the timing conditions are not applicable</w:t>
      </w:r>
    </w:p>
    <w:p w14:paraId="4EDB6E36" w14:textId="590E2BAD" w:rsidR="00C54C45" w:rsidRPr="00E8364E" w:rsidRDefault="00D23CE9" w:rsidP="00D23CE9">
      <w:pPr>
        <w:pStyle w:val="B1"/>
        <w:rPr>
          <w:lang w:val="en-US"/>
        </w:rPr>
      </w:pPr>
      <w:r>
        <w:rPr>
          <w:lang w:val="en-US"/>
        </w:rPr>
        <w:t>-</w:t>
      </w:r>
      <w:r>
        <w:rPr>
          <w:lang w:val="en-US"/>
        </w:rPr>
        <w:tab/>
        <w:t xml:space="preserve">the UE does not expect the resource to overlap with a second resource of a PUCCH transmission over multiple slots if the resource is obtained from a </w:t>
      </w:r>
      <w:r>
        <w:t>group of resources</w:t>
      </w:r>
      <w:r w:rsidRPr="00EB475E">
        <w:t xml:space="preserve"> that do not overlap with </w:t>
      </w:r>
      <w:r>
        <w:rPr>
          <w:lang w:val="en-US"/>
        </w:rPr>
        <w:t>the second resource</w:t>
      </w:r>
      <w:r w:rsidR="00C54C45">
        <w:rPr>
          <w:lang w:val="en-US"/>
        </w:rPr>
        <w:t xml:space="preserve"> </w:t>
      </w:r>
    </w:p>
    <w:p w14:paraId="531FFA56" w14:textId="3151B92B" w:rsidR="00950B98" w:rsidRDefault="006F5F9E" w:rsidP="00950B98">
      <w:pPr>
        <w:rPr>
          <w:lang w:eastAsia="zh-CN"/>
        </w:rPr>
      </w:pPr>
      <w:r>
        <w:rPr>
          <w:lang w:eastAsia="zh-CN"/>
        </w:rPr>
        <w:t>clause</w:t>
      </w:r>
      <w:r w:rsidR="00950B98">
        <w:rPr>
          <w:lang w:eastAsia="zh-CN"/>
        </w:rPr>
        <w:t xml:space="preserve">s </w:t>
      </w:r>
      <w:r w:rsidR="00B16289">
        <w:t xml:space="preserve">9.2.5.0, </w:t>
      </w:r>
      <w:r w:rsidR="00950B98">
        <w:rPr>
          <w:lang w:eastAsia="zh-CN"/>
        </w:rPr>
        <w:t>9.2.5.1</w:t>
      </w:r>
      <w:r w:rsidR="00FE2016">
        <w:rPr>
          <w:lang w:eastAsia="zh-CN"/>
        </w:rPr>
        <w:t>,</w:t>
      </w:r>
      <w:r w:rsidR="00950B98">
        <w:rPr>
          <w:lang w:eastAsia="zh-CN"/>
        </w:rPr>
        <w:t xml:space="preserve"> 9.2.5.2</w:t>
      </w:r>
      <w:r w:rsidR="00E83236">
        <w:rPr>
          <w:lang w:eastAsia="zh-CN"/>
        </w:rPr>
        <w:t>,</w:t>
      </w:r>
      <w:r w:rsidR="00FE2016" w:rsidRPr="00474A57">
        <w:rPr>
          <w:lang w:val="en-US" w:eastAsia="zh-CN"/>
        </w:rPr>
        <w:t xml:space="preserve"> 9.2.5.</w:t>
      </w:r>
      <w:r w:rsidR="00FE2016">
        <w:rPr>
          <w:lang w:eastAsia="zh-CN"/>
        </w:rPr>
        <w:t xml:space="preserve">3 </w:t>
      </w:r>
      <w:r w:rsidR="00E83236">
        <w:rPr>
          <w:lang w:eastAsia="zh-CN"/>
        </w:rPr>
        <w:t xml:space="preserve">and 18 </w:t>
      </w:r>
      <w:r w:rsidR="00950B98">
        <w:rPr>
          <w:lang w:eastAsia="zh-CN"/>
        </w:rPr>
        <w:t>assume the following</w:t>
      </w:r>
    </w:p>
    <w:p w14:paraId="0CD3A497" w14:textId="77777777" w:rsidR="00950B98" w:rsidRDefault="00950B98" w:rsidP="00512365">
      <w:pPr>
        <w:pStyle w:val="B1"/>
        <w:rPr>
          <w:lang w:eastAsia="zh-CN"/>
        </w:rPr>
      </w:pPr>
      <w:r>
        <w:rPr>
          <w:lang w:eastAsia="zh-CN"/>
        </w:rPr>
        <w:t>-</w:t>
      </w:r>
      <w:r>
        <w:rPr>
          <w:lang w:eastAsia="zh-CN"/>
        </w:rPr>
        <w:tab/>
        <w:t xml:space="preserve">resources for </w:t>
      </w:r>
      <w:r w:rsidRPr="00B916EC">
        <w:rPr>
          <w:lang w:eastAsia="zh-CN"/>
        </w:rPr>
        <w:t>transmission</w:t>
      </w:r>
      <w:r>
        <w:rPr>
          <w:lang w:eastAsia="zh-CN"/>
        </w:rPr>
        <w:t>s</w:t>
      </w:r>
      <w:r w:rsidRPr="00B916EC">
        <w:rPr>
          <w:lang w:eastAsia="zh-CN"/>
        </w:rPr>
        <w:t xml:space="preserve"> </w:t>
      </w:r>
      <w:r>
        <w:rPr>
          <w:lang w:eastAsia="zh-CN"/>
        </w:rPr>
        <w:t>of UCI types, prior to multiplexing or dropping, overlap in a slot</w:t>
      </w:r>
    </w:p>
    <w:p w14:paraId="2E5DE530" w14:textId="77777777" w:rsidR="00950B98" w:rsidRDefault="00950B98" w:rsidP="00BC6BD6">
      <w:pPr>
        <w:pStyle w:val="B1"/>
        <w:rPr>
          <w:lang w:eastAsia="zh-CN"/>
        </w:rPr>
      </w:pPr>
      <w:r>
        <w:rPr>
          <w:lang w:eastAsia="zh-CN"/>
        </w:rPr>
        <w:t>-</w:t>
      </w:r>
      <w:r>
        <w:rPr>
          <w:lang w:eastAsia="zh-CN"/>
        </w:rPr>
        <w:tab/>
        <w:t xml:space="preserve">multiplexing conditions of corresponding UCI types in a single PUCCH are satisfied, and </w:t>
      </w:r>
    </w:p>
    <w:p w14:paraId="632E1BFB" w14:textId="24E1F8BE" w:rsidR="00950B98" w:rsidRDefault="00950B98" w:rsidP="003E4D5E">
      <w:pPr>
        <w:pStyle w:val="B1"/>
        <w:rPr>
          <w:lang w:eastAsia="zh-CN"/>
        </w:rPr>
      </w:pPr>
      <w:r>
        <w:rPr>
          <w:lang w:eastAsia="zh-CN"/>
        </w:rPr>
        <w:t>-</w:t>
      </w:r>
      <w:r>
        <w:rPr>
          <w:lang w:eastAsia="zh-CN"/>
        </w:rPr>
        <w:tab/>
        <w:t>the UE does not transmit any</w:t>
      </w:r>
      <w:r w:rsidR="00320B8D" w:rsidRPr="00320B8D">
        <w:rPr>
          <w:lang w:eastAsia="zh-CN"/>
        </w:rPr>
        <w:t xml:space="preserve"> </w:t>
      </w:r>
      <w:r w:rsidR="00320B8D">
        <w:rPr>
          <w:lang w:eastAsia="zh-CN"/>
        </w:rPr>
        <w:t>PUSCH</w:t>
      </w:r>
      <w:r>
        <w:rPr>
          <w:lang w:eastAsia="zh-CN"/>
        </w:rPr>
        <w:t xml:space="preserve"> </w:t>
      </w:r>
      <w:r w:rsidR="00C54C45">
        <w:rPr>
          <w:lang w:val="en-US" w:eastAsia="zh-CN"/>
        </w:rPr>
        <w:t>time-</w:t>
      </w:r>
      <w:r>
        <w:rPr>
          <w:lang w:eastAsia="zh-CN"/>
        </w:rPr>
        <w:t xml:space="preserve">overlapping </w:t>
      </w:r>
      <w:r w:rsidR="00320B8D">
        <w:rPr>
          <w:lang w:val="en-US" w:eastAsia="zh-CN"/>
        </w:rPr>
        <w:t xml:space="preserve">with </w:t>
      </w:r>
      <w:r w:rsidR="00320B8D">
        <w:rPr>
          <w:lang w:eastAsia="zh-CN"/>
        </w:rPr>
        <w:t>PU</w:t>
      </w:r>
      <w:r w:rsidR="00320B8D">
        <w:rPr>
          <w:lang w:val="en-US" w:eastAsia="zh-CN"/>
        </w:rPr>
        <w:t>C</w:t>
      </w:r>
      <w:r w:rsidR="00320B8D">
        <w:rPr>
          <w:lang w:eastAsia="zh-CN"/>
        </w:rPr>
        <w:t>CH</w:t>
      </w:r>
      <w:r w:rsidR="00320B8D">
        <w:rPr>
          <w:lang w:val="en-US" w:eastAsia="zh-CN"/>
        </w:rPr>
        <w:t xml:space="preserve"> </w:t>
      </w:r>
      <w:r>
        <w:rPr>
          <w:lang w:eastAsia="zh-CN"/>
        </w:rPr>
        <w:t>in the slot</w:t>
      </w:r>
      <w:r w:rsidR="00D23CE9">
        <w:rPr>
          <w:lang w:val="en-US" w:eastAsia="zh-CN"/>
        </w:rPr>
        <w:t>.</w:t>
      </w:r>
      <w:r>
        <w:rPr>
          <w:lang w:eastAsia="zh-CN"/>
        </w:rPr>
        <w:t xml:space="preserve"> </w:t>
      </w:r>
    </w:p>
    <w:p w14:paraId="4D407EF5" w14:textId="39035091" w:rsidR="00B16289" w:rsidRPr="00873922" w:rsidRDefault="00B16289" w:rsidP="00090D13">
      <w:pPr>
        <w:pStyle w:val="Heading4"/>
        <w:rPr>
          <w:rFonts w:eastAsia="Malgun Gothic"/>
        </w:rPr>
      </w:pPr>
      <w:bookmarkStart w:id="588" w:name="_Toc45699207"/>
      <w:bookmarkStart w:id="589" w:name="_Toc161999134"/>
      <w:r w:rsidRPr="00873922">
        <w:rPr>
          <w:rFonts w:eastAsia="Malgun Gothic"/>
        </w:rPr>
        <w:t>9</w:t>
      </w:r>
      <w:r w:rsidRPr="00873922">
        <w:rPr>
          <w:rFonts w:eastAsia="Malgun Gothic" w:hint="eastAsia"/>
        </w:rPr>
        <w:t>.</w:t>
      </w:r>
      <w:r w:rsidRPr="00873922">
        <w:rPr>
          <w:rFonts w:eastAsia="Malgun Gothic"/>
        </w:rPr>
        <w:t>2.5.0</w:t>
      </w:r>
      <w:r w:rsidRPr="00873922">
        <w:rPr>
          <w:rFonts w:eastAsia="Malgun Gothic" w:hint="eastAsia"/>
        </w:rPr>
        <w:tab/>
      </w:r>
      <w:r w:rsidRPr="00873922">
        <w:rPr>
          <w:rFonts w:eastAsia="Malgun Gothic"/>
        </w:rPr>
        <w:t xml:space="preserve">UE procedure for prioritization between SL HARQ-ACK </w:t>
      </w:r>
      <w:r>
        <w:rPr>
          <w:rFonts w:eastAsia="Malgun Gothic"/>
        </w:rPr>
        <w:t>information</w:t>
      </w:r>
      <w:r w:rsidRPr="00873922">
        <w:rPr>
          <w:rFonts w:eastAsia="Malgun Gothic"/>
        </w:rPr>
        <w:t xml:space="preserve"> in a PUCCH and </w:t>
      </w:r>
      <w:r w:rsidR="00BA27F0" w:rsidRPr="005E44CD">
        <w:rPr>
          <w:rFonts w:eastAsia="Malgun Gothic"/>
        </w:rPr>
        <w:t>DL HARQ-ACK or SR or CSI</w:t>
      </w:r>
      <w:r w:rsidRPr="00873922">
        <w:rPr>
          <w:rFonts w:eastAsia="Malgun Gothic"/>
        </w:rPr>
        <w:t xml:space="preserve"> in a PUCCH</w:t>
      </w:r>
      <w:bookmarkEnd w:id="588"/>
      <w:bookmarkEnd w:id="589"/>
    </w:p>
    <w:p w14:paraId="3E53524F" w14:textId="71764FA6" w:rsidR="00B16289" w:rsidRPr="00873922" w:rsidRDefault="00B16289" w:rsidP="00B16289">
      <w:pPr>
        <w:rPr>
          <w:lang w:eastAsia="zh-CN"/>
        </w:rPr>
      </w:pPr>
      <w:r w:rsidRPr="00873922">
        <w:rPr>
          <w:lang w:eastAsia="zh-CN"/>
        </w:rPr>
        <w:t xml:space="preserve">The priority value of </w:t>
      </w:r>
      <w:r>
        <w:rPr>
          <w:lang w:eastAsia="zh-CN"/>
        </w:rPr>
        <w:t xml:space="preserve">a </w:t>
      </w:r>
      <w:r w:rsidRPr="00873922">
        <w:rPr>
          <w:lang w:eastAsia="zh-CN"/>
        </w:rPr>
        <w:t xml:space="preserve">PUCCH transmission is as described </w:t>
      </w:r>
      <w:r w:rsidR="006F5F9E">
        <w:rPr>
          <w:lang w:eastAsia="zh-CN"/>
        </w:rPr>
        <w:t>in clause</w:t>
      </w:r>
      <w:r w:rsidRPr="00873922">
        <w:rPr>
          <w:lang w:eastAsia="zh-CN"/>
        </w:rPr>
        <w:t xml:space="preserve"> 16.2.4.3.1.</w:t>
      </w:r>
    </w:p>
    <w:p w14:paraId="1D898601" w14:textId="4F36A749" w:rsidR="00B16289" w:rsidRPr="00873922" w:rsidRDefault="00B16289" w:rsidP="00B16289">
      <w:pPr>
        <w:rPr>
          <w:rFonts w:eastAsia="Malgun Gothic"/>
        </w:rPr>
      </w:pPr>
      <w:r w:rsidRPr="00873922">
        <w:rPr>
          <w:rFonts w:eastAsia="Malgun Gothic" w:hint="eastAsia"/>
        </w:rPr>
        <w:t xml:space="preserve">For prioritization between </w:t>
      </w:r>
      <w:r w:rsidRPr="00873922">
        <w:rPr>
          <w:rFonts w:eastAsia="Malgun Gothic"/>
        </w:rPr>
        <w:t>SL HARQ</w:t>
      </w:r>
      <w:r>
        <w:rPr>
          <w:rFonts w:eastAsia="Malgun Gothic"/>
        </w:rPr>
        <w:t>-ACK</w:t>
      </w:r>
      <w:r w:rsidRPr="00873922">
        <w:rPr>
          <w:rFonts w:eastAsia="Malgun Gothic"/>
        </w:rPr>
        <w:t xml:space="preserve"> </w:t>
      </w:r>
      <w:r>
        <w:rPr>
          <w:rFonts w:eastAsia="Malgun Gothic"/>
        </w:rPr>
        <w:t>information</w:t>
      </w:r>
      <w:r w:rsidRPr="00873922">
        <w:rPr>
          <w:rFonts w:eastAsia="Malgun Gothic"/>
        </w:rPr>
        <w:t xml:space="preserve"> in a </w:t>
      </w:r>
      <w:r>
        <w:rPr>
          <w:rFonts w:eastAsia="Malgun Gothic"/>
        </w:rPr>
        <w:t xml:space="preserve">first </w:t>
      </w:r>
      <w:r w:rsidRPr="00873922">
        <w:rPr>
          <w:rFonts w:eastAsia="Malgun Gothic"/>
        </w:rPr>
        <w:t xml:space="preserve">PUCCH and </w:t>
      </w:r>
      <w:r w:rsidR="00CB655A" w:rsidRPr="005E44CD">
        <w:rPr>
          <w:rFonts w:ascii="Times" w:eastAsia="Malgun Gothic" w:hAnsi="Times" w:cs="Gulim"/>
          <w:lang w:eastAsia="zh-CN"/>
        </w:rPr>
        <w:t>DL HARQ-ACK or SR or CSI</w:t>
      </w:r>
      <w:r w:rsidRPr="00873922">
        <w:rPr>
          <w:rFonts w:eastAsia="Malgun Gothic"/>
        </w:rPr>
        <w:t xml:space="preserve"> in a </w:t>
      </w:r>
      <w:r>
        <w:rPr>
          <w:rFonts w:eastAsia="Malgun Gothic"/>
        </w:rPr>
        <w:t xml:space="preserve">second </w:t>
      </w:r>
      <w:r w:rsidRPr="00873922">
        <w:rPr>
          <w:rFonts w:eastAsia="Malgun Gothic"/>
        </w:rPr>
        <w:t>PUCCH</w:t>
      </w:r>
    </w:p>
    <w:p w14:paraId="3FE69E05" w14:textId="64C37AC3" w:rsidR="00B16289" w:rsidRPr="00873922" w:rsidRDefault="00B16289" w:rsidP="00090D13">
      <w:pPr>
        <w:pStyle w:val="B1"/>
        <w:rPr>
          <w:rFonts w:eastAsia="Malgun Gothic"/>
        </w:rPr>
      </w:pPr>
      <w:r>
        <w:rPr>
          <w:rFonts w:eastAsia="Malgun Gothic"/>
        </w:rPr>
        <w:t>-</w:t>
      </w:r>
      <w:r>
        <w:rPr>
          <w:rFonts w:eastAsia="Malgun Gothic"/>
        </w:rPr>
        <w:tab/>
      </w:r>
      <w:r w:rsidRPr="00873922">
        <w:rPr>
          <w:rFonts w:eastAsia="Malgun Gothic"/>
        </w:rPr>
        <w:t xml:space="preserve">if the </w:t>
      </w:r>
      <w:r>
        <w:rPr>
          <w:rFonts w:eastAsia="Malgun Gothic"/>
        </w:rPr>
        <w:t xml:space="preserve">second </w:t>
      </w:r>
      <w:r w:rsidRPr="00873922">
        <w:rPr>
          <w:rFonts w:eastAsia="Malgun Gothic"/>
        </w:rPr>
        <w:t xml:space="preserve">PUCCH </w:t>
      </w:r>
      <w:r>
        <w:rPr>
          <w:rFonts w:eastAsia="Malgun Gothic"/>
        </w:rPr>
        <w:t>has</w:t>
      </w:r>
      <w:r w:rsidRPr="00873922">
        <w:rPr>
          <w:rFonts w:eastAsia="Malgun Gothic"/>
        </w:rPr>
        <w:t xml:space="preserve"> priority index 1, </w:t>
      </w:r>
    </w:p>
    <w:p w14:paraId="0D48EE80" w14:textId="21FA6F0D" w:rsidR="00B16289" w:rsidRPr="00873922" w:rsidRDefault="00B16289" w:rsidP="00090D13">
      <w:pPr>
        <w:pStyle w:val="B2"/>
        <w:rPr>
          <w:rFonts w:eastAsia="MS Mincho"/>
        </w:rPr>
      </w:pPr>
      <w:r>
        <w:rPr>
          <w:rFonts w:eastAsia="Malgun Gothic"/>
        </w:rPr>
        <w:t>-</w:t>
      </w:r>
      <w:r>
        <w:rPr>
          <w:rFonts w:eastAsia="Malgun Gothic"/>
        </w:rPr>
        <w:tab/>
      </w:r>
      <w:r w:rsidRPr="00873922">
        <w:rPr>
          <w:rFonts w:eastAsia="Malgun Gothic"/>
        </w:rPr>
        <w:t xml:space="preserve">if </w:t>
      </w:r>
      <w:r w:rsidRPr="006C77E7">
        <w:rPr>
          <w:rFonts w:eastAsia="MS Mincho"/>
          <w:i/>
          <w:iCs/>
        </w:rPr>
        <w:t>sl-PriorityThreshold</w:t>
      </w:r>
      <w:r w:rsidR="002D5072">
        <w:rPr>
          <w:rFonts w:eastAsia="MS Mincho"/>
          <w:i/>
          <w:iCs/>
          <w:lang w:val="en-US"/>
        </w:rPr>
        <w:t>-</w:t>
      </w:r>
      <w:r w:rsidRPr="006C77E7">
        <w:rPr>
          <w:rFonts w:eastAsia="MS Mincho"/>
          <w:i/>
          <w:iCs/>
        </w:rPr>
        <w:t>UL</w:t>
      </w:r>
      <w:r w:rsidR="002D5072">
        <w:rPr>
          <w:rFonts w:eastAsia="MS Mincho"/>
          <w:i/>
          <w:iCs/>
          <w:lang w:val="en-US"/>
        </w:rPr>
        <w:t>-</w:t>
      </w:r>
      <w:r w:rsidRPr="006C77E7">
        <w:rPr>
          <w:rFonts w:eastAsia="MS Mincho"/>
          <w:i/>
          <w:iCs/>
        </w:rPr>
        <w:t>URLLC</w:t>
      </w:r>
      <w:r w:rsidRPr="00873922">
        <w:rPr>
          <w:rFonts w:eastAsia="MS Mincho"/>
        </w:rPr>
        <w:t xml:space="preserve"> is provided</w:t>
      </w:r>
    </w:p>
    <w:p w14:paraId="41F25F52" w14:textId="42CFE17E" w:rsidR="00B16289" w:rsidRPr="00873922" w:rsidRDefault="00B16289" w:rsidP="00090D13">
      <w:pPr>
        <w:pStyle w:val="B3"/>
        <w:rPr>
          <w:rFonts w:eastAsia="Malgun Gothic"/>
        </w:rPr>
      </w:pPr>
      <w:r>
        <w:rPr>
          <w:rFonts w:eastAsia="Malgun Gothic"/>
        </w:rPr>
        <w:t>-</w:t>
      </w:r>
      <w:r>
        <w:rPr>
          <w:rFonts w:eastAsia="Malgun Gothic"/>
        </w:rPr>
        <w:tab/>
      </w:r>
      <w:r w:rsidRPr="00873922">
        <w:rPr>
          <w:rFonts w:eastAsia="Malgun Gothic"/>
        </w:rPr>
        <w:t xml:space="preserve">the UE transmits the </w:t>
      </w:r>
      <w:r>
        <w:rPr>
          <w:rFonts w:eastAsia="Malgun Gothic"/>
        </w:rPr>
        <w:t xml:space="preserve">first </w:t>
      </w:r>
      <w:r w:rsidRPr="00873922">
        <w:rPr>
          <w:rFonts w:eastAsia="Malgun Gothic"/>
        </w:rPr>
        <w:t xml:space="preserve">PUCCH if a smallest priority value of the </w:t>
      </w:r>
      <w:r>
        <w:rPr>
          <w:rFonts w:eastAsia="Malgun Gothic"/>
        </w:rPr>
        <w:t xml:space="preserve">first </w:t>
      </w:r>
      <w:r w:rsidRPr="00873922">
        <w:rPr>
          <w:rFonts w:eastAsia="Malgun Gothic"/>
        </w:rPr>
        <w:t xml:space="preserve">PUCCH is smaller than </w:t>
      </w:r>
      <w:r w:rsidRPr="006C77E7">
        <w:rPr>
          <w:rFonts w:eastAsia="MS Mincho"/>
          <w:i/>
          <w:iCs/>
        </w:rPr>
        <w:t>sl-PriorityThreshold</w:t>
      </w:r>
      <w:r w:rsidR="002D5072">
        <w:rPr>
          <w:rFonts w:eastAsia="MS Mincho"/>
          <w:i/>
          <w:iCs/>
          <w:lang w:val="en-US"/>
        </w:rPr>
        <w:t>-</w:t>
      </w:r>
      <w:r w:rsidRPr="006C77E7">
        <w:rPr>
          <w:rFonts w:eastAsia="MS Mincho"/>
          <w:i/>
          <w:iCs/>
        </w:rPr>
        <w:t>UL</w:t>
      </w:r>
      <w:r w:rsidR="002D5072">
        <w:rPr>
          <w:rFonts w:eastAsia="MS Mincho"/>
          <w:i/>
          <w:iCs/>
          <w:lang w:val="en-US"/>
        </w:rPr>
        <w:t>-</w:t>
      </w:r>
      <w:r w:rsidRPr="006C77E7">
        <w:rPr>
          <w:rFonts w:eastAsia="MS Mincho"/>
          <w:i/>
          <w:iCs/>
        </w:rPr>
        <w:t>URLLC</w:t>
      </w:r>
      <w:r w:rsidRPr="00873922">
        <w:rPr>
          <w:rFonts w:eastAsia="MS Mincho"/>
          <w:iCs/>
        </w:rPr>
        <w:t>;</w:t>
      </w:r>
      <w:r w:rsidRPr="00873922">
        <w:rPr>
          <w:rFonts w:eastAsia="MS Mincho"/>
        </w:rPr>
        <w:t xml:space="preserve"> otherwise, the UE transmits the </w:t>
      </w:r>
      <w:r>
        <w:rPr>
          <w:rFonts w:eastAsia="MS Mincho"/>
        </w:rPr>
        <w:t xml:space="preserve">second </w:t>
      </w:r>
      <w:r w:rsidRPr="00873922">
        <w:rPr>
          <w:rFonts w:eastAsia="MS Mincho"/>
        </w:rPr>
        <w:t>PUCCH</w:t>
      </w:r>
    </w:p>
    <w:p w14:paraId="0A3F96D2" w14:textId="3584FDD8" w:rsidR="00B16289" w:rsidRPr="00873922" w:rsidRDefault="00B16289" w:rsidP="00090D13">
      <w:pPr>
        <w:pStyle w:val="B2"/>
        <w:rPr>
          <w:rFonts w:eastAsia="MS Mincho"/>
        </w:rPr>
      </w:pPr>
      <w:r>
        <w:rPr>
          <w:rFonts w:eastAsia="MS Mincho"/>
        </w:rPr>
        <w:t>-</w:t>
      </w:r>
      <w:r>
        <w:rPr>
          <w:rFonts w:eastAsia="MS Mincho"/>
        </w:rPr>
        <w:tab/>
      </w:r>
      <w:r w:rsidRPr="00873922">
        <w:rPr>
          <w:rFonts w:eastAsia="MS Mincho"/>
        </w:rPr>
        <w:t>else</w:t>
      </w:r>
    </w:p>
    <w:p w14:paraId="4489BB73" w14:textId="3E91612C" w:rsidR="00B16289" w:rsidRPr="00873922" w:rsidRDefault="00B16289" w:rsidP="00090D13">
      <w:pPr>
        <w:pStyle w:val="B3"/>
        <w:rPr>
          <w:rFonts w:eastAsia="MS Mincho"/>
        </w:rPr>
      </w:pPr>
      <w:r>
        <w:rPr>
          <w:rFonts w:eastAsia="MS Mincho"/>
        </w:rPr>
        <w:t>-</w:t>
      </w:r>
      <w:r>
        <w:rPr>
          <w:rFonts w:eastAsia="MS Mincho"/>
        </w:rPr>
        <w:tab/>
      </w:r>
      <w:r w:rsidRPr="00873922">
        <w:rPr>
          <w:rFonts w:eastAsia="MS Mincho"/>
        </w:rPr>
        <w:t xml:space="preserve">the UE transmits the </w:t>
      </w:r>
      <w:r>
        <w:rPr>
          <w:rFonts w:eastAsia="MS Mincho"/>
        </w:rPr>
        <w:t xml:space="preserve">second </w:t>
      </w:r>
      <w:r w:rsidRPr="00873922">
        <w:rPr>
          <w:rFonts w:eastAsia="MS Mincho"/>
        </w:rPr>
        <w:t>PUCCH</w:t>
      </w:r>
    </w:p>
    <w:p w14:paraId="72E8F75A" w14:textId="27AC4CF0" w:rsidR="00B16289" w:rsidRPr="00873922" w:rsidRDefault="00B16289" w:rsidP="00090D13">
      <w:pPr>
        <w:pStyle w:val="B1"/>
        <w:rPr>
          <w:rFonts w:eastAsia="MS Mincho"/>
        </w:rPr>
      </w:pPr>
      <w:r>
        <w:rPr>
          <w:rFonts w:eastAsia="MS Mincho"/>
        </w:rPr>
        <w:t>-</w:t>
      </w:r>
      <w:r>
        <w:rPr>
          <w:rFonts w:eastAsia="MS Mincho"/>
        </w:rPr>
        <w:tab/>
      </w:r>
      <w:r w:rsidRPr="00873922">
        <w:rPr>
          <w:rFonts w:eastAsia="MS Mincho"/>
        </w:rPr>
        <w:t>else</w:t>
      </w:r>
    </w:p>
    <w:p w14:paraId="6E6629F5" w14:textId="1F9BE632" w:rsidR="00B16289" w:rsidRPr="00873922" w:rsidRDefault="00B16289" w:rsidP="00090D13">
      <w:pPr>
        <w:pStyle w:val="B2"/>
        <w:rPr>
          <w:rFonts w:eastAsia="MS Mincho"/>
        </w:rPr>
      </w:pPr>
      <w:r>
        <w:rPr>
          <w:rFonts w:eastAsia="Malgun Gothic"/>
        </w:rPr>
        <w:t>-</w:t>
      </w:r>
      <w:r>
        <w:rPr>
          <w:rFonts w:eastAsia="Malgun Gothic"/>
        </w:rPr>
        <w:tab/>
      </w:r>
      <w:r w:rsidRPr="00873922">
        <w:rPr>
          <w:rFonts w:eastAsia="Malgun Gothic"/>
        </w:rPr>
        <w:t xml:space="preserve">the UE transmits the </w:t>
      </w:r>
      <w:r>
        <w:rPr>
          <w:rFonts w:eastAsia="Malgun Gothic"/>
        </w:rPr>
        <w:t xml:space="preserve">first </w:t>
      </w:r>
      <w:r w:rsidRPr="00873922">
        <w:rPr>
          <w:rFonts w:eastAsia="Malgun Gothic"/>
        </w:rPr>
        <w:t xml:space="preserve">PUCCH if the smallest priority value of the </w:t>
      </w:r>
      <w:r>
        <w:rPr>
          <w:rFonts w:eastAsia="Malgun Gothic"/>
        </w:rPr>
        <w:t xml:space="preserve">first </w:t>
      </w:r>
      <w:r w:rsidRPr="00873922">
        <w:rPr>
          <w:rFonts w:eastAsia="Malgun Gothic"/>
        </w:rPr>
        <w:t xml:space="preserve">PUCCH is smaller than </w:t>
      </w:r>
      <w:r w:rsidRPr="00873922">
        <w:rPr>
          <w:rFonts w:eastAsia="MS Mincho"/>
          <w:i/>
        </w:rPr>
        <w:t>sl-PriorityThreshold</w:t>
      </w:r>
      <w:r w:rsidRPr="00873922">
        <w:rPr>
          <w:rFonts w:eastAsia="MS Mincho"/>
          <w:iCs/>
        </w:rPr>
        <w:t>;</w:t>
      </w:r>
      <w:r w:rsidRPr="00873922">
        <w:rPr>
          <w:rFonts w:eastAsia="MS Mincho"/>
          <w:i/>
        </w:rPr>
        <w:t xml:space="preserve"> </w:t>
      </w:r>
      <w:r w:rsidRPr="00873922">
        <w:rPr>
          <w:rFonts w:eastAsia="MS Mincho"/>
        </w:rPr>
        <w:t xml:space="preserve">otherwise, the UE transmits the </w:t>
      </w:r>
      <w:r>
        <w:rPr>
          <w:rFonts w:eastAsia="MS Mincho"/>
        </w:rPr>
        <w:t xml:space="preserve">second </w:t>
      </w:r>
      <w:r w:rsidRPr="00873922">
        <w:rPr>
          <w:rFonts w:eastAsia="MS Mincho"/>
        </w:rPr>
        <w:t>PUCCH</w:t>
      </w:r>
    </w:p>
    <w:p w14:paraId="0C106732" w14:textId="744E8B82" w:rsidR="00B16289" w:rsidRPr="00090D13" w:rsidRDefault="00B16289" w:rsidP="00090D13">
      <w:pPr>
        <w:spacing w:after="160" w:line="259" w:lineRule="auto"/>
        <w:rPr>
          <w:rFonts w:asciiTheme="minorHAnsi" w:eastAsiaTheme="minorEastAsia" w:hAnsiTheme="minorHAnsi" w:cstheme="minorBidi"/>
        </w:rPr>
      </w:pPr>
      <w:r w:rsidRPr="00873922">
        <w:rPr>
          <w:rFonts w:eastAsia="MS Mincho"/>
        </w:rPr>
        <w:t xml:space="preserve">When </w:t>
      </w:r>
      <w:r>
        <w:rPr>
          <w:rFonts w:eastAsia="MS Mincho"/>
        </w:rPr>
        <w:t xml:space="preserve">the </w:t>
      </w:r>
      <w:r w:rsidRPr="00873922">
        <w:rPr>
          <w:rFonts w:eastAsia="MS Mincho"/>
        </w:rPr>
        <w:t xml:space="preserve">UE determines to transmit the </w:t>
      </w:r>
      <w:r>
        <w:rPr>
          <w:rFonts w:eastAsia="MS Mincho"/>
        </w:rPr>
        <w:t xml:space="preserve">second </w:t>
      </w:r>
      <w:r w:rsidRPr="00873922">
        <w:rPr>
          <w:rFonts w:eastAsia="MS Mincho"/>
        </w:rPr>
        <w:t xml:space="preserve">PUCCH, the UE determines a single resource for multiplexing UCI </w:t>
      </w:r>
      <w:r>
        <w:rPr>
          <w:rFonts w:eastAsia="MS Mincho"/>
        </w:rPr>
        <w:t xml:space="preserve">in the second PUCCH </w:t>
      </w:r>
      <w:r w:rsidRPr="00873922">
        <w:rPr>
          <w:rFonts w:eastAsia="MS Mincho"/>
        </w:rPr>
        <w:t xml:space="preserve">as described </w:t>
      </w:r>
      <w:r w:rsidR="006F5F9E">
        <w:rPr>
          <w:rFonts w:eastAsia="MS Mincho"/>
        </w:rPr>
        <w:t>in clause</w:t>
      </w:r>
      <w:r w:rsidRPr="00873922">
        <w:rPr>
          <w:rFonts w:eastAsia="MS Mincho"/>
        </w:rPr>
        <w:t>s 9.2.5.1 and 9.2.5.2</w:t>
      </w:r>
      <w:r>
        <w:rPr>
          <w:rFonts w:eastAsia="MS Mincho"/>
        </w:rPr>
        <w:t>.</w:t>
      </w:r>
      <w:r w:rsidRPr="00873922">
        <w:rPr>
          <w:lang w:eastAsia="zh-CN"/>
        </w:rPr>
        <w:t xml:space="preserve"> </w:t>
      </w:r>
    </w:p>
    <w:p w14:paraId="7AF45933" w14:textId="77777777" w:rsidR="00804F39" w:rsidRPr="00B916EC" w:rsidRDefault="00804F39" w:rsidP="00804F39">
      <w:pPr>
        <w:pStyle w:val="Heading4"/>
      </w:pPr>
      <w:bookmarkStart w:id="590" w:name="_Ref500749986"/>
      <w:bookmarkStart w:id="591" w:name="_Toc12021481"/>
      <w:bookmarkStart w:id="592" w:name="_Toc20311593"/>
      <w:bookmarkStart w:id="593" w:name="_Toc26719418"/>
      <w:bookmarkStart w:id="594" w:name="_Toc29894853"/>
      <w:bookmarkStart w:id="595" w:name="_Toc29899152"/>
      <w:bookmarkStart w:id="596" w:name="_Toc29899570"/>
      <w:bookmarkStart w:id="597" w:name="_Toc29917307"/>
      <w:bookmarkStart w:id="598" w:name="_Toc36498181"/>
      <w:bookmarkStart w:id="599" w:name="_Toc45699208"/>
      <w:bookmarkStart w:id="600" w:name="_Toc161999135"/>
      <w:r w:rsidRPr="00B916EC">
        <w:lastRenderedPageBreak/>
        <w:t>9</w:t>
      </w:r>
      <w:r w:rsidRPr="00B916EC">
        <w:rPr>
          <w:rFonts w:hint="eastAsia"/>
        </w:rPr>
        <w:t>.</w:t>
      </w:r>
      <w:r w:rsidR="00167E49" w:rsidRPr="00B916EC">
        <w:t>2</w:t>
      </w:r>
      <w:r w:rsidRPr="00B916EC">
        <w:t>.5.1</w:t>
      </w:r>
      <w:r w:rsidRPr="00B916EC">
        <w:rPr>
          <w:rFonts w:hint="eastAsia"/>
        </w:rPr>
        <w:tab/>
      </w:r>
      <w:r w:rsidRPr="00B916EC">
        <w:t xml:space="preserve">UE procedure for multiplexing HARQ-ACK </w:t>
      </w:r>
      <w:r w:rsidR="00CD7F81" w:rsidRPr="00B916EC">
        <w:t xml:space="preserve">or CSI </w:t>
      </w:r>
      <w:r w:rsidRPr="00B916EC">
        <w:t>and SR</w:t>
      </w:r>
      <w:bookmarkEnd w:id="590"/>
      <w:r w:rsidR="00512365">
        <w:t xml:space="preserve"> in a PUCCH</w:t>
      </w:r>
      <w:bookmarkEnd w:id="591"/>
      <w:bookmarkEnd w:id="592"/>
      <w:bookmarkEnd w:id="593"/>
      <w:bookmarkEnd w:id="594"/>
      <w:bookmarkEnd w:id="595"/>
      <w:bookmarkEnd w:id="596"/>
      <w:bookmarkEnd w:id="597"/>
      <w:bookmarkEnd w:id="598"/>
      <w:bookmarkEnd w:id="599"/>
      <w:bookmarkEnd w:id="600"/>
    </w:p>
    <w:p w14:paraId="0B0F04BF" w14:textId="38FA5B1C" w:rsidR="00D23CE9" w:rsidRDefault="00D23CE9" w:rsidP="00D23CE9">
      <w:pPr>
        <w:rPr>
          <w:lang w:eastAsia="zh-CN"/>
        </w:rPr>
      </w:pPr>
      <w:r>
        <w:rPr>
          <w:lang w:eastAsia="zh-CN"/>
        </w:rPr>
        <w:t xml:space="preserve">In the following, a </w:t>
      </w:r>
      <w:r>
        <w:t xml:space="preserve">UE is configured to transmit </w:t>
      </w:r>
      <m:oMath>
        <m:r>
          <w:rPr>
            <w:rFonts w:ascii="Cambria Math" w:hAnsi="Cambria Math"/>
          </w:rPr>
          <m:t>K</m:t>
        </m:r>
      </m:oMath>
      <w:r>
        <w:t xml:space="preserve"> PUCCHs for respective </w:t>
      </w:r>
      <m:oMath>
        <m:r>
          <w:rPr>
            <w:rFonts w:ascii="Cambria Math" w:hAnsi="Cambria Math"/>
          </w:rPr>
          <m:t>K</m:t>
        </m:r>
      </m:oMath>
      <w:r>
        <w:t xml:space="preserve"> SRs in a slot, as determined by a set of </w:t>
      </w:r>
      <w:r>
        <w:rPr>
          <w:i/>
        </w:rPr>
        <w:t>schedulingRequestResourceId</w:t>
      </w:r>
      <w:r w:rsidR="00B833DB">
        <w:t>,</w:t>
      </w:r>
      <w:r w:rsidR="002019A0">
        <w:t xml:space="preserve"> </w:t>
      </w:r>
      <w:r w:rsidR="002019A0" w:rsidRPr="00FC22FC">
        <w:t xml:space="preserve">a </w:t>
      </w:r>
      <w:r w:rsidR="002019A0" w:rsidRPr="00FC22FC">
        <w:rPr>
          <w:i/>
          <w:color w:val="000000"/>
        </w:rPr>
        <w:t xml:space="preserve">schedulingRequestResourceId </w:t>
      </w:r>
      <w:r w:rsidR="002019A0" w:rsidRPr="00FC22FC">
        <w:rPr>
          <w:iCs/>
          <w:color w:val="000000"/>
        </w:rPr>
        <w:t>associated with</w:t>
      </w:r>
      <w:r w:rsidR="00AF4AFA">
        <w:t xml:space="preserve"> </w:t>
      </w:r>
      <w:r w:rsidR="002019A0" w:rsidRPr="0008351E">
        <w:rPr>
          <w:i/>
          <w:color w:val="000000"/>
        </w:rPr>
        <w:t>schedulingRequestID</w:t>
      </w:r>
      <w:r w:rsidR="002019A0">
        <w:rPr>
          <w:i/>
          <w:color w:val="000000"/>
        </w:rPr>
        <w:t>-</w:t>
      </w:r>
      <w:r w:rsidR="002019A0" w:rsidRPr="0008351E">
        <w:rPr>
          <w:i/>
          <w:color w:val="000000"/>
        </w:rPr>
        <w:t>BFR</w:t>
      </w:r>
      <w:r w:rsidR="002019A0">
        <w:rPr>
          <w:i/>
          <w:color w:val="000000"/>
        </w:rPr>
        <w:t>-SCell</w:t>
      </w:r>
      <w:r>
        <w:t xml:space="preserve">, </w:t>
      </w:r>
      <w:r w:rsidR="005B0E0A" w:rsidRPr="00B97A79">
        <w:t xml:space="preserve">a </w:t>
      </w:r>
      <w:r w:rsidR="005B0E0A" w:rsidRPr="00B97A79">
        <w:rPr>
          <w:i/>
        </w:rPr>
        <w:t xml:space="preserve">schedulingRequestResourceId </w:t>
      </w:r>
      <w:r w:rsidR="005B0E0A" w:rsidRPr="00B97A79">
        <w:rPr>
          <w:iCs/>
        </w:rPr>
        <w:t>associated with</w:t>
      </w:r>
      <w:r w:rsidR="005B0E0A" w:rsidRPr="00B97A79">
        <w:t xml:space="preserve"> </w:t>
      </w:r>
      <w:r w:rsidR="005B0E0A" w:rsidRPr="00B97A79">
        <w:rPr>
          <w:i/>
        </w:rPr>
        <w:t>schedulingRequestID-BFR,</w:t>
      </w:r>
      <w:r w:rsidR="005B0E0A" w:rsidRPr="00B97A79">
        <w:t xml:space="preserve"> a </w:t>
      </w:r>
      <w:r w:rsidR="005B0E0A" w:rsidRPr="00B97A79">
        <w:rPr>
          <w:i/>
        </w:rPr>
        <w:t xml:space="preserve">schedulingRequestResourceId </w:t>
      </w:r>
      <w:r w:rsidR="005B0E0A" w:rsidRPr="00B97A79">
        <w:rPr>
          <w:iCs/>
        </w:rPr>
        <w:t>associated with</w:t>
      </w:r>
      <w:r w:rsidR="005B0E0A" w:rsidRPr="00B97A79">
        <w:t xml:space="preserve"> </w:t>
      </w:r>
      <w:r w:rsidR="005B0E0A" w:rsidRPr="00B97A79">
        <w:rPr>
          <w:i/>
        </w:rPr>
        <w:t>schedulingRequestID-BFR2</w:t>
      </w:r>
      <w:r w:rsidR="005B0E0A" w:rsidRPr="00B97A79">
        <w:rPr>
          <w:iCs/>
        </w:rPr>
        <w:t xml:space="preserve"> if the UE</w:t>
      </w:r>
      <w:r w:rsidR="005B0E0A" w:rsidRPr="00B97A79">
        <w:rPr>
          <w:i/>
        </w:rPr>
        <w:t xml:space="preserve"> </w:t>
      </w:r>
      <w:r w:rsidR="005B0E0A" w:rsidRPr="00B97A79">
        <w:t xml:space="preserve">provides </w:t>
      </w:r>
      <w:r w:rsidR="005B0E0A" w:rsidRPr="00B97A79">
        <w:rPr>
          <w:i/>
          <w:iCs/>
        </w:rPr>
        <w:t>twoLRRcapability</w:t>
      </w:r>
      <w:r w:rsidR="005B0E0A" w:rsidRPr="00B97A79">
        <w:t xml:space="preserve">, </w:t>
      </w:r>
      <w:r w:rsidR="00B833DB">
        <w:t xml:space="preserve">and a </w:t>
      </w:r>
      <w:r w:rsidR="00B833DB">
        <w:rPr>
          <w:i/>
          <w:color w:val="000000"/>
        </w:rPr>
        <w:t xml:space="preserve">schedulingRequestResourceId </w:t>
      </w:r>
      <w:r w:rsidR="00B833DB">
        <w:rPr>
          <w:iCs/>
          <w:color w:val="000000"/>
        </w:rPr>
        <w:t>associated with</w:t>
      </w:r>
      <w:r w:rsidR="00B833DB">
        <w:t xml:space="preserve"> </w:t>
      </w:r>
      <w:r w:rsidR="00B833DB">
        <w:rPr>
          <w:i/>
          <w:color w:val="000000"/>
        </w:rPr>
        <w:t>schedulingRequestID-LBT-SCell</w:t>
      </w:r>
      <w:r w:rsidR="00B833DB">
        <w:t xml:space="preserve">, </w:t>
      </w:r>
      <w:r>
        <w:t>with SR transmission occasions that would</w:t>
      </w:r>
      <w:r>
        <w:rPr>
          <w:lang w:eastAsia="zh-CN"/>
        </w:rPr>
        <w:t xml:space="preserve"> overlap with a transmission of a PUCCH with HARQ-ACK information from the UE in the slot or with a transmission of a PUCCH with CSI report(s) from the UE in the slot.</w:t>
      </w:r>
    </w:p>
    <w:p w14:paraId="5A35D9BE" w14:textId="420D65F9" w:rsidR="00D23CE9" w:rsidRPr="00B916EC" w:rsidRDefault="00D23CE9" w:rsidP="00D23CE9">
      <w:r w:rsidRPr="00B916EC">
        <w:rPr>
          <w:lang w:val="en-US"/>
        </w:rPr>
        <w:t xml:space="preserve">If a UE </w:t>
      </w:r>
      <w:r>
        <w:rPr>
          <w:lang w:val="en-US"/>
        </w:rPr>
        <w:t xml:space="preserve">would </w:t>
      </w:r>
      <w:r w:rsidRPr="00B916EC">
        <w:rPr>
          <w:lang w:val="en-US"/>
        </w:rPr>
        <w:t xml:space="preserve">transmit </w:t>
      </w:r>
      <w:r>
        <w:rPr>
          <w:lang w:val="en-US"/>
        </w:rPr>
        <w:t xml:space="preserve">a PUCCH with positive SR and </w:t>
      </w:r>
      <w:r>
        <w:t xml:space="preserve">at most two </w:t>
      </w:r>
      <w:r w:rsidRPr="00B916EC">
        <w:rPr>
          <w:lang w:val="en-US"/>
        </w:rPr>
        <w:t xml:space="preserve">HARQ-ACK </w:t>
      </w:r>
      <w:r>
        <w:rPr>
          <w:lang w:val="en-US"/>
        </w:rPr>
        <w:t>information bits</w:t>
      </w:r>
      <w:r w:rsidRPr="00E102CA">
        <w:rPr>
          <w:lang w:val="en-US"/>
        </w:rPr>
        <w:t xml:space="preserve"> </w:t>
      </w:r>
      <w:r>
        <w:rPr>
          <w:lang w:val="en-US"/>
        </w:rPr>
        <w:t>in a resource</w:t>
      </w:r>
      <w:r w:rsidRPr="00B916EC">
        <w:rPr>
          <w:lang w:val="en-US"/>
        </w:rPr>
        <w:t xml:space="preserve"> using PUCCH format 0, the UE transmits </w:t>
      </w:r>
      <w:r>
        <w:rPr>
          <w:lang w:val="en-US"/>
        </w:rPr>
        <w:t>the</w:t>
      </w:r>
      <w:r w:rsidRPr="00B916EC">
        <w:rPr>
          <w:lang w:val="en-US"/>
        </w:rPr>
        <w:t xml:space="preserve"> PUCCH</w:t>
      </w:r>
      <w:r w:rsidRPr="00E102CA">
        <w:rPr>
          <w:lang w:val="en-US"/>
        </w:rPr>
        <w:t xml:space="preserve"> </w:t>
      </w:r>
      <w:r>
        <w:rPr>
          <w:lang w:val="en-US"/>
        </w:rPr>
        <w:t>in the resource using PUCCH</w:t>
      </w:r>
      <w:r w:rsidRPr="00B916EC">
        <w:rPr>
          <w:lang w:val="en-US"/>
        </w:rPr>
        <w:t xml:space="preserve"> format 0 in PRB(s) for HARQ-ACK </w:t>
      </w:r>
      <w:r>
        <w:rPr>
          <w:lang w:val="en-US"/>
        </w:rPr>
        <w:t xml:space="preserve">information as described </w:t>
      </w:r>
      <w:r w:rsidR="006F5F9E">
        <w:rPr>
          <w:lang w:val="en-US"/>
        </w:rPr>
        <w:t>in clause</w:t>
      </w:r>
      <w:r>
        <w:rPr>
          <w:lang w:val="en-US"/>
        </w:rPr>
        <w:t xml:space="preserve"> 9.2.3</w:t>
      </w:r>
      <w:r w:rsidRPr="00B916EC">
        <w:rPr>
          <w:lang w:val="en-US"/>
        </w:rPr>
        <w:t xml:space="preserve">. The UE determines a value of </w:t>
      </w:r>
      <m:oMath>
        <m:sSub>
          <m:sSubPr>
            <m:ctrlPr>
              <w:rPr>
                <w:rFonts w:ascii="Cambria Math" w:hAnsi="Cambria Math"/>
                <w:i/>
                <w:lang w:val="en-US"/>
              </w:rPr>
            </m:ctrlPr>
          </m:sSubPr>
          <m:e>
            <m:r>
              <w:rPr>
                <w:rFonts w:ascii="Cambria Math" w:hAnsi="Cambria Math"/>
                <w:lang w:val="en-US"/>
              </w:rPr>
              <m:t>m</m:t>
            </m:r>
          </m:e>
          <m:sub>
            <m:r>
              <m:rPr>
                <m:sty m:val="p"/>
              </m:rPr>
              <w:rPr>
                <w:rFonts w:ascii="Cambria Math" w:hAnsi="Cambria Math"/>
                <w:lang w:val="en-US"/>
              </w:rPr>
              <m:t>0</m:t>
            </m:r>
          </m:sub>
        </m:sSub>
      </m:oMath>
      <w:r w:rsidRPr="0043290C">
        <w:t xml:space="preserve"> and</w:t>
      </w:r>
      <w:r w:rsidRPr="00B916EC">
        <w:rPr>
          <w:lang w:val="en-US"/>
        </w:rPr>
        <w:t xml:space="preserve"> </w:t>
      </w:r>
      <m:oMath>
        <m:sSub>
          <m:sSubPr>
            <m:ctrlPr>
              <w:rPr>
                <w:rFonts w:ascii="Cambria Math" w:hAnsi="Cambria Math"/>
                <w:i/>
                <w:lang w:val="en-US"/>
              </w:rPr>
            </m:ctrlPr>
          </m:sSubPr>
          <m:e>
            <m:r>
              <w:rPr>
                <w:rFonts w:ascii="Cambria Math" w:hAnsi="Cambria Math"/>
                <w:lang w:val="en-US"/>
              </w:rPr>
              <m:t>m</m:t>
            </m:r>
          </m:e>
          <m:sub>
            <m:r>
              <m:rPr>
                <m:sty m:val="p"/>
              </m:rPr>
              <w:rPr>
                <w:rFonts w:ascii="Cambria Math" w:hAnsi="Cambria Math"/>
                <w:lang w:val="en-US"/>
              </w:rPr>
              <m:t>CS</m:t>
            </m:r>
          </m:sub>
        </m:sSub>
      </m:oMath>
      <w:r w:rsidRPr="00B916EC">
        <w:t xml:space="preserve"> for computing a value of cyclic shift </w:t>
      </w:r>
      <m:oMath>
        <m:r>
          <w:rPr>
            <w:rFonts w:ascii="Cambria Math" w:hAnsi="Cambria Math"/>
            <w:lang w:val="en-US"/>
          </w:rPr>
          <m:t>α</m:t>
        </m:r>
      </m:oMath>
      <w:r>
        <w:t xml:space="preserve"> </w:t>
      </w:r>
      <w:r w:rsidRPr="00B916EC">
        <w:t xml:space="preserve">[4, TS 38.211] where </w:t>
      </w:r>
      <m:oMath>
        <m:sSub>
          <m:sSubPr>
            <m:ctrlPr>
              <w:rPr>
                <w:rFonts w:ascii="Cambria Math" w:hAnsi="Cambria Math"/>
                <w:i/>
                <w:lang w:val="en-US"/>
              </w:rPr>
            </m:ctrlPr>
          </m:sSubPr>
          <m:e>
            <m:r>
              <w:rPr>
                <w:rFonts w:ascii="Cambria Math" w:hAnsi="Cambria Math"/>
                <w:lang w:val="en-US"/>
              </w:rPr>
              <m:t>m</m:t>
            </m:r>
          </m:e>
          <m:sub>
            <m:r>
              <m:rPr>
                <m:sty m:val="p"/>
              </m:rPr>
              <w:rPr>
                <w:rFonts w:ascii="Cambria Math" w:hAnsi="Cambria Math"/>
                <w:lang w:val="en-US"/>
              </w:rPr>
              <m:t>0</m:t>
            </m:r>
          </m:sub>
        </m:sSub>
      </m:oMath>
      <w:r w:rsidRPr="00B916EC">
        <w:t xml:space="preserve"> is provided by </w:t>
      </w:r>
      <w:r w:rsidR="002D5072" w:rsidRPr="00B916EC">
        <w:rPr>
          <w:i/>
          <w:lang w:val="en-US"/>
        </w:rPr>
        <w:t>initial</w:t>
      </w:r>
      <w:r w:rsidR="002D5072">
        <w:rPr>
          <w:i/>
          <w:lang w:val="en-US"/>
        </w:rPr>
        <w:t>C</w:t>
      </w:r>
      <w:r w:rsidR="002D5072" w:rsidRPr="00B916EC">
        <w:rPr>
          <w:i/>
          <w:lang w:val="en-US"/>
        </w:rPr>
        <w:t>yclic</w:t>
      </w:r>
      <w:r w:rsidR="002D5072">
        <w:rPr>
          <w:i/>
          <w:lang w:val="en-US"/>
        </w:rPr>
        <w:t>S</w:t>
      </w:r>
      <w:r w:rsidR="002D5072" w:rsidRPr="00B916EC">
        <w:rPr>
          <w:i/>
          <w:lang w:val="en-US"/>
        </w:rPr>
        <w:t>hift</w:t>
      </w:r>
      <w:r>
        <w:rPr>
          <w:lang w:val="en-US"/>
        </w:rPr>
        <w:t xml:space="preserve"> of </w:t>
      </w:r>
      <w:r w:rsidRPr="00FD417D">
        <w:rPr>
          <w:i/>
        </w:rPr>
        <w:t>PUCCH-format0</w:t>
      </w:r>
      <w:r w:rsidRPr="00B916EC">
        <w:t xml:space="preserve">, and </w:t>
      </w:r>
      <m:oMath>
        <m:sSub>
          <m:sSubPr>
            <m:ctrlPr>
              <w:rPr>
                <w:rFonts w:ascii="Cambria Math" w:hAnsi="Cambria Math"/>
                <w:i/>
                <w:lang w:val="en-US"/>
              </w:rPr>
            </m:ctrlPr>
          </m:sSubPr>
          <m:e>
            <m:r>
              <w:rPr>
                <w:rFonts w:ascii="Cambria Math" w:hAnsi="Cambria Math"/>
                <w:lang w:val="en-US"/>
              </w:rPr>
              <m:t>m</m:t>
            </m:r>
          </m:e>
          <m:sub>
            <m:r>
              <m:rPr>
                <m:sty m:val="p"/>
              </m:rPr>
              <w:rPr>
                <w:rFonts w:ascii="Cambria Math" w:hAnsi="Cambria Math"/>
                <w:lang w:val="en-US"/>
              </w:rPr>
              <m:t>CS</m:t>
            </m:r>
          </m:sub>
        </m:sSub>
      </m:oMath>
      <w:r w:rsidRPr="00B916EC">
        <w:t xml:space="preserve"> is determined from the value of one HARQ-ACK</w:t>
      </w:r>
      <w:r w:rsidRPr="00E102CA">
        <w:t xml:space="preserve"> </w:t>
      </w:r>
      <w:r>
        <w:t>information</w:t>
      </w:r>
      <w:r w:rsidRPr="00B916EC">
        <w:t xml:space="preserve"> bit or from the values of two HARQ-ACK</w:t>
      </w:r>
      <w:r w:rsidRPr="00E102CA">
        <w:t xml:space="preserve"> </w:t>
      </w:r>
      <w:r>
        <w:t>information</w:t>
      </w:r>
      <w:r w:rsidRPr="00B916EC">
        <w:t xml:space="preserve"> bits</w:t>
      </w:r>
      <w:r w:rsidRPr="00B916EC">
        <w:rPr>
          <w:lang w:val="en-US"/>
        </w:rPr>
        <w:t xml:space="preserve"> as in </w:t>
      </w:r>
      <w:r w:rsidRPr="00B916EC">
        <w:t xml:space="preserve">Table 9.2.5-1 and Table 9.2.5-2, respectively. </w:t>
      </w:r>
    </w:p>
    <w:p w14:paraId="5EEF3D5E" w14:textId="385342C1" w:rsidR="00734A0F" w:rsidRPr="00B916EC" w:rsidRDefault="00734A0F" w:rsidP="00734A0F">
      <w:pPr>
        <w:rPr>
          <w:lang w:val="en-US"/>
        </w:rPr>
      </w:pPr>
      <w:r w:rsidRPr="00B916EC">
        <w:rPr>
          <w:lang w:val="en-US"/>
        </w:rPr>
        <w:t>If the UE</w:t>
      </w:r>
      <w:r w:rsidR="00E102CA" w:rsidRPr="00E102CA">
        <w:rPr>
          <w:lang w:val="en-US"/>
        </w:rPr>
        <w:t xml:space="preserve"> </w:t>
      </w:r>
      <w:r w:rsidR="00E102CA">
        <w:rPr>
          <w:lang w:val="en-US"/>
        </w:rPr>
        <w:t>would</w:t>
      </w:r>
      <w:r w:rsidRPr="00B916EC">
        <w:rPr>
          <w:lang w:val="en-US"/>
        </w:rPr>
        <w:t xml:space="preserve"> transmit </w:t>
      </w:r>
      <w:r>
        <w:rPr>
          <w:lang w:val="en-US"/>
        </w:rPr>
        <w:t xml:space="preserve">negative SR and </w:t>
      </w:r>
      <w:r w:rsidR="00B5030D">
        <w:rPr>
          <w:lang w:val="en-US"/>
        </w:rPr>
        <w:t xml:space="preserve">a PUCCH with </w:t>
      </w:r>
      <w:r w:rsidR="00E102CA">
        <w:t>at most two</w:t>
      </w:r>
      <w:r>
        <w:t xml:space="preserve"> </w:t>
      </w:r>
      <w:r w:rsidRPr="00B916EC">
        <w:rPr>
          <w:lang w:val="en-US"/>
        </w:rPr>
        <w:t xml:space="preserve">HARQ-ACK </w:t>
      </w:r>
      <w:r>
        <w:rPr>
          <w:lang w:val="en-US"/>
        </w:rPr>
        <w:t>information bits</w:t>
      </w:r>
      <w:r w:rsidR="00E102CA" w:rsidRPr="00E102CA">
        <w:rPr>
          <w:lang w:val="en-US"/>
        </w:rPr>
        <w:t xml:space="preserve"> </w:t>
      </w:r>
      <w:r w:rsidR="00E102CA">
        <w:rPr>
          <w:lang w:val="en-US"/>
        </w:rPr>
        <w:t>in a resource</w:t>
      </w:r>
      <w:r w:rsidRPr="00B916EC">
        <w:rPr>
          <w:lang w:val="en-US"/>
        </w:rPr>
        <w:t xml:space="preserve"> using PUCCH format 0, the UE transmits</w:t>
      </w:r>
      <w:r w:rsidR="00E102CA" w:rsidRPr="00E102CA">
        <w:rPr>
          <w:lang w:val="en-US"/>
        </w:rPr>
        <w:t xml:space="preserve"> </w:t>
      </w:r>
      <w:r w:rsidR="00B5030D">
        <w:rPr>
          <w:lang w:val="en-US"/>
        </w:rPr>
        <w:t xml:space="preserve">the </w:t>
      </w:r>
      <w:r w:rsidR="00E102CA">
        <w:rPr>
          <w:lang w:val="en-US"/>
        </w:rPr>
        <w:t>PUCCH in</w:t>
      </w:r>
      <w:r w:rsidRPr="00B916EC">
        <w:rPr>
          <w:lang w:val="en-US"/>
        </w:rPr>
        <w:t xml:space="preserve"> the</w:t>
      </w:r>
      <w:r w:rsidR="00E102CA" w:rsidRPr="00E102CA">
        <w:rPr>
          <w:lang w:val="en-US"/>
        </w:rPr>
        <w:t xml:space="preserve"> </w:t>
      </w:r>
      <w:r w:rsidR="00E102CA">
        <w:rPr>
          <w:lang w:val="en-US"/>
        </w:rPr>
        <w:t>resource using</w:t>
      </w:r>
      <w:r w:rsidRPr="00B916EC">
        <w:rPr>
          <w:lang w:val="en-US"/>
        </w:rPr>
        <w:t xml:space="preserve"> PUCCH format 0 for HARQ-ACK </w:t>
      </w:r>
      <w:r w:rsidR="00E102CA">
        <w:rPr>
          <w:lang w:val="en-US"/>
        </w:rPr>
        <w:t>information</w:t>
      </w:r>
      <w:r w:rsidRPr="00B916EC">
        <w:rPr>
          <w:lang w:val="en-US"/>
        </w:rPr>
        <w:t xml:space="preserve"> as described </w:t>
      </w:r>
      <w:r w:rsidR="006F5F9E">
        <w:rPr>
          <w:lang w:val="en-US"/>
        </w:rPr>
        <w:t>in clause</w:t>
      </w:r>
      <w:r>
        <w:rPr>
          <w:lang w:val="en-US"/>
        </w:rPr>
        <w:t xml:space="preserve"> 9.2.3</w:t>
      </w:r>
      <w:r w:rsidRPr="00B916EC">
        <w:rPr>
          <w:lang w:val="en-US"/>
        </w:rPr>
        <w:t>.</w:t>
      </w:r>
    </w:p>
    <w:p w14:paraId="4B35B247" w14:textId="77777777" w:rsidR="00E4257A" w:rsidRPr="00B27E56" w:rsidRDefault="00E4257A" w:rsidP="00E4257A">
      <w:pPr>
        <w:pStyle w:val="TH"/>
        <w:rPr>
          <w:rFonts w:cs="Arial"/>
        </w:rPr>
      </w:pPr>
      <w:r w:rsidRPr="00B27E56">
        <w:rPr>
          <w:rFonts w:cs="Arial"/>
        </w:rPr>
        <w:t>Table 9.2.5-1: Mapping of values for one HARQ-ACK</w:t>
      </w:r>
      <w:r w:rsidRPr="00B27E56">
        <w:rPr>
          <w:lang w:val="en-US"/>
        </w:rPr>
        <w:t xml:space="preserve"> information</w:t>
      </w:r>
      <w:r w:rsidRPr="00B27E56">
        <w:rPr>
          <w:rFonts w:cs="Arial"/>
        </w:rPr>
        <w:t xml:space="preserve"> bit and positive SR to sequences for PUCCH format 0</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2107"/>
        <w:gridCol w:w="1313"/>
        <w:gridCol w:w="1325"/>
      </w:tblGrid>
      <w:tr w:rsidR="00E4257A" w:rsidRPr="00B27E56" w14:paraId="39668347" w14:textId="77777777" w:rsidTr="00B272BA">
        <w:trPr>
          <w:cantSplit/>
          <w:jc w:val="center"/>
        </w:trPr>
        <w:tc>
          <w:tcPr>
            <w:tcW w:w="2107" w:type="dxa"/>
            <w:shd w:val="clear" w:color="auto" w:fill="E0E0E0"/>
            <w:vAlign w:val="center"/>
          </w:tcPr>
          <w:p w14:paraId="66052E13" w14:textId="77777777" w:rsidR="00E4257A" w:rsidRPr="00B27E56" w:rsidRDefault="00E4257A" w:rsidP="00B272BA">
            <w:pPr>
              <w:pStyle w:val="TAH"/>
              <w:rPr>
                <w:rFonts w:ascii="Times New Roman" w:hAnsi="Times New Roman"/>
                <w:szCs w:val="18"/>
              </w:rPr>
            </w:pPr>
            <w:r w:rsidRPr="00B27E56">
              <w:rPr>
                <w:rFonts w:cs="Arial"/>
                <w:szCs w:val="18"/>
              </w:rPr>
              <w:t>HARQ-ACK Value</w:t>
            </w:r>
          </w:p>
        </w:tc>
        <w:tc>
          <w:tcPr>
            <w:tcW w:w="1313" w:type="dxa"/>
            <w:shd w:val="clear" w:color="auto" w:fill="E0E0E0"/>
            <w:vAlign w:val="center"/>
          </w:tcPr>
          <w:p w14:paraId="6FC57866" w14:textId="77777777" w:rsidR="00E4257A" w:rsidRPr="00B27E56" w:rsidRDefault="00E4257A" w:rsidP="00B272BA">
            <w:pPr>
              <w:pStyle w:val="TAH"/>
              <w:rPr>
                <w:rFonts w:ascii="Times New Roman" w:hAnsi="Times New Roman"/>
                <w:sz w:val="20"/>
              </w:rPr>
            </w:pPr>
            <w:r w:rsidRPr="00B27E56">
              <w:rPr>
                <w:rFonts w:ascii="Times New Roman" w:hAnsi="Times New Roman"/>
                <w:sz w:val="20"/>
              </w:rPr>
              <w:t>0</w:t>
            </w:r>
          </w:p>
        </w:tc>
        <w:tc>
          <w:tcPr>
            <w:tcW w:w="1325" w:type="dxa"/>
            <w:shd w:val="clear" w:color="auto" w:fill="E0E0E0"/>
          </w:tcPr>
          <w:p w14:paraId="05A8D7AC" w14:textId="77777777" w:rsidR="00E4257A" w:rsidRPr="00B27E56" w:rsidRDefault="00E4257A" w:rsidP="00B272BA">
            <w:pPr>
              <w:pStyle w:val="TAH"/>
              <w:rPr>
                <w:rFonts w:ascii="Times New Roman" w:hAnsi="Times New Roman"/>
                <w:sz w:val="20"/>
              </w:rPr>
            </w:pPr>
            <w:r w:rsidRPr="00B27E56">
              <w:rPr>
                <w:rFonts w:ascii="Times New Roman" w:hAnsi="Times New Roman"/>
                <w:sz w:val="20"/>
              </w:rPr>
              <w:t>1</w:t>
            </w:r>
          </w:p>
        </w:tc>
      </w:tr>
      <w:tr w:rsidR="00E4257A" w:rsidRPr="00B27E56" w14:paraId="507C5A73" w14:textId="77777777" w:rsidTr="00B272BA">
        <w:trPr>
          <w:cantSplit/>
          <w:jc w:val="center"/>
        </w:trPr>
        <w:tc>
          <w:tcPr>
            <w:tcW w:w="2107" w:type="dxa"/>
            <w:vAlign w:val="center"/>
          </w:tcPr>
          <w:p w14:paraId="2CC71190" w14:textId="77777777" w:rsidR="00E4257A" w:rsidRPr="00B27E56" w:rsidRDefault="00E4257A" w:rsidP="00B272BA">
            <w:pPr>
              <w:pStyle w:val="TAC"/>
              <w:rPr>
                <w:b/>
              </w:rPr>
            </w:pPr>
            <w:r w:rsidRPr="00B27E56">
              <w:rPr>
                <w:b/>
              </w:rPr>
              <w:t>Sequence cyclic shift</w:t>
            </w:r>
          </w:p>
        </w:tc>
        <w:tc>
          <w:tcPr>
            <w:tcW w:w="1313" w:type="dxa"/>
            <w:vAlign w:val="center"/>
          </w:tcPr>
          <w:p w14:paraId="6BF981D3" w14:textId="05A98231" w:rsidR="00E4257A" w:rsidRPr="00B27E56" w:rsidRDefault="00000000" w:rsidP="00B272BA">
            <w:pPr>
              <w:pStyle w:val="TAL"/>
              <w:jc w:val="center"/>
            </w:pPr>
            <m:oMathPara>
              <m:oMath>
                <m:sSub>
                  <m:sSubPr>
                    <m:ctrlPr>
                      <w:rPr>
                        <w:rFonts w:ascii="Cambria Math" w:hAnsi="Cambria Math"/>
                        <w:i/>
                        <w:sz w:val="20"/>
                        <w:lang w:val="en-US"/>
                      </w:rPr>
                    </m:ctrlPr>
                  </m:sSubPr>
                  <m:e>
                    <m:r>
                      <w:rPr>
                        <w:rFonts w:ascii="Cambria Math" w:hAnsi="Cambria Math"/>
                        <w:lang w:val="en-US"/>
                      </w:rPr>
                      <m:t>m</m:t>
                    </m:r>
                  </m:e>
                  <m:sub>
                    <m:r>
                      <m:rPr>
                        <m:sty m:val="p"/>
                      </m:rPr>
                      <w:rPr>
                        <w:rFonts w:ascii="Cambria Math" w:hAnsi="Cambria Math"/>
                        <w:lang w:val="en-US"/>
                      </w:rPr>
                      <m:t>CS</m:t>
                    </m:r>
                  </m:sub>
                </m:sSub>
                <m:r>
                  <w:rPr>
                    <w:rFonts w:ascii="Cambria Math" w:hAnsi="Cambria Math"/>
                    <w:sz w:val="20"/>
                    <w:lang w:val="en-US"/>
                  </w:rPr>
                  <m:t>=3</m:t>
                </m:r>
              </m:oMath>
            </m:oMathPara>
          </w:p>
        </w:tc>
        <w:tc>
          <w:tcPr>
            <w:tcW w:w="1325" w:type="dxa"/>
          </w:tcPr>
          <w:p w14:paraId="5DF6648D" w14:textId="52F4474C" w:rsidR="00E4257A" w:rsidRPr="00B27E56" w:rsidRDefault="00000000" w:rsidP="00B272BA">
            <w:pPr>
              <w:pStyle w:val="TAL"/>
              <w:jc w:val="center"/>
            </w:pPr>
            <m:oMathPara>
              <m:oMath>
                <m:sSub>
                  <m:sSubPr>
                    <m:ctrlPr>
                      <w:rPr>
                        <w:rFonts w:ascii="Cambria Math" w:hAnsi="Cambria Math"/>
                        <w:i/>
                        <w:sz w:val="20"/>
                        <w:lang w:val="en-US"/>
                      </w:rPr>
                    </m:ctrlPr>
                  </m:sSubPr>
                  <m:e>
                    <m:r>
                      <w:rPr>
                        <w:rFonts w:ascii="Cambria Math" w:hAnsi="Cambria Math"/>
                        <w:lang w:val="en-US"/>
                      </w:rPr>
                      <m:t>m</m:t>
                    </m:r>
                  </m:e>
                  <m:sub>
                    <m:r>
                      <m:rPr>
                        <m:sty m:val="p"/>
                      </m:rPr>
                      <w:rPr>
                        <w:rFonts w:ascii="Cambria Math" w:hAnsi="Cambria Math"/>
                        <w:lang w:val="en-US"/>
                      </w:rPr>
                      <m:t>CS</m:t>
                    </m:r>
                  </m:sub>
                </m:sSub>
                <m:r>
                  <w:rPr>
                    <w:rFonts w:ascii="Cambria Math" w:hAnsi="Cambria Math"/>
                    <w:sz w:val="20"/>
                    <w:lang w:val="en-US"/>
                  </w:rPr>
                  <m:t>=9</m:t>
                </m:r>
              </m:oMath>
            </m:oMathPara>
          </w:p>
        </w:tc>
      </w:tr>
    </w:tbl>
    <w:p w14:paraId="4DA6D6D4" w14:textId="77777777" w:rsidR="00E4257A" w:rsidRPr="00B27E56" w:rsidRDefault="00E4257A" w:rsidP="00E4257A">
      <w:pPr>
        <w:rPr>
          <w:lang w:val="en-US"/>
        </w:rPr>
      </w:pPr>
    </w:p>
    <w:p w14:paraId="148C4FD2" w14:textId="77777777" w:rsidR="00E4257A" w:rsidRPr="00B27E56" w:rsidRDefault="00E4257A" w:rsidP="00E4257A">
      <w:pPr>
        <w:pStyle w:val="TH"/>
        <w:rPr>
          <w:rFonts w:cs="Arial"/>
        </w:rPr>
      </w:pPr>
      <w:r w:rsidRPr="00B27E56">
        <w:rPr>
          <w:rFonts w:cs="Arial"/>
        </w:rPr>
        <w:t>Table 9.2.5-2: Mapping of values for two HARQ-ACK</w:t>
      </w:r>
      <w:r w:rsidRPr="00B27E56">
        <w:rPr>
          <w:lang w:val="en-US"/>
        </w:rPr>
        <w:t xml:space="preserve"> information</w:t>
      </w:r>
      <w:r w:rsidRPr="00B27E56">
        <w:rPr>
          <w:rFonts w:cs="Arial"/>
        </w:rPr>
        <w:t xml:space="preserve"> bits and positive SR to sequences for PUCCH format 0</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2102"/>
        <w:gridCol w:w="1752"/>
        <w:gridCol w:w="1620"/>
        <w:gridCol w:w="1710"/>
        <w:gridCol w:w="1620"/>
      </w:tblGrid>
      <w:tr w:rsidR="00E4257A" w:rsidRPr="00B27E56" w14:paraId="52A94EB4" w14:textId="77777777" w:rsidTr="00B272BA">
        <w:trPr>
          <w:cantSplit/>
          <w:jc w:val="center"/>
        </w:trPr>
        <w:tc>
          <w:tcPr>
            <w:tcW w:w="2102" w:type="dxa"/>
            <w:shd w:val="clear" w:color="auto" w:fill="E0E0E0"/>
            <w:vAlign w:val="center"/>
          </w:tcPr>
          <w:p w14:paraId="65DEE5BB" w14:textId="77777777" w:rsidR="00E4257A" w:rsidRPr="00B27E56" w:rsidRDefault="00E4257A" w:rsidP="00B272BA">
            <w:pPr>
              <w:pStyle w:val="TAH"/>
              <w:rPr>
                <w:rFonts w:ascii="Times New Roman" w:hAnsi="Times New Roman"/>
                <w:szCs w:val="18"/>
              </w:rPr>
            </w:pPr>
            <w:r w:rsidRPr="00B27E56">
              <w:rPr>
                <w:rFonts w:cs="Arial"/>
                <w:szCs w:val="18"/>
              </w:rPr>
              <w:t>HARQ-ACK Value</w:t>
            </w:r>
          </w:p>
        </w:tc>
        <w:tc>
          <w:tcPr>
            <w:tcW w:w="1752" w:type="dxa"/>
            <w:shd w:val="clear" w:color="auto" w:fill="E0E0E0"/>
            <w:vAlign w:val="center"/>
          </w:tcPr>
          <w:p w14:paraId="33202AD9" w14:textId="77777777" w:rsidR="00E4257A" w:rsidRPr="00B27E56" w:rsidRDefault="00E4257A" w:rsidP="00B272BA">
            <w:pPr>
              <w:pStyle w:val="TAH"/>
              <w:rPr>
                <w:rFonts w:ascii="Times New Roman" w:hAnsi="Times New Roman"/>
                <w:sz w:val="20"/>
              </w:rPr>
            </w:pPr>
            <w:r w:rsidRPr="00B27E56">
              <w:rPr>
                <w:rFonts w:ascii="Times New Roman" w:hAnsi="Times New Roman"/>
                <w:sz w:val="20"/>
              </w:rPr>
              <w:t>{0, 0}</w:t>
            </w:r>
          </w:p>
        </w:tc>
        <w:tc>
          <w:tcPr>
            <w:tcW w:w="1620" w:type="dxa"/>
            <w:shd w:val="clear" w:color="auto" w:fill="E0E0E0"/>
          </w:tcPr>
          <w:p w14:paraId="7418A098" w14:textId="77777777" w:rsidR="00E4257A" w:rsidRPr="00B27E56" w:rsidRDefault="00E4257A" w:rsidP="00B272BA">
            <w:pPr>
              <w:pStyle w:val="TAH"/>
              <w:rPr>
                <w:rFonts w:ascii="Times New Roman" w:hAnsi="Times New Roman"/>
                <w:sz w:val="20"/>
              </w:rPr>
            </w:pPr>
            <w:r w:rsidRPr="00B27E56">
              <w:rPr>
                <w:rFonts w:ascii="Times New Roman" w:hAnsi="Times New Roman"/>
                <w:sz w:val="20"/>
              </w:rPr>
              <w:t>{0, 1}</w:t>
            </w:r>
          </w:p>
        </w:tc>
        <w:tc>
          <w:tcPr>
            <w:tcW w:w="1710" w:type="dxa"/>
            <w:shd w:val="clear" w:color="auto" w:fill="E0E0E0"/>
            <w:vAlign w:val="center"/>
          </w:tcPr>
          <w:p w14:paraId="6FD5D848" w14:textId="77777777" w:rsidR="00E4257A" w:rsidRPr="00B27E56" w:rsidRDefault="00E4257A" w:rsidP="00B272BA">
            <w:pPr>
              <w:pStyle w:val="TAH"/>
              <w:rPr>
                <w:rFonts w:ascii="Times New Roman" w:hAnsi="Times New Roman"/>
                <w:sz w:val="20"/>
              </w:rPr>
            </w:pPr>
            <w:r w:rsidRPr="00B27E56">
              <w:rPr>
                <w:rFonts w:ascii="Times New Roman" w:hAnsi="Times New Roman"/>
                <w:sz w:val="20"/>
              </w:rPr>
              <w:t>{1, 1}</w:t>
            </w:r>
          </w:p>
        </w:tc>
        <w:tc>
          <w:tcPr>
            <w:tcW w:w="1620" w:type="dxa"/>
            <w:shd w:val="clear" w:color="auto" w:fill="E0E0E0"/>
          </w:tcPr>
          <w:p w14:paraId="79D7461A" w14:textId="77777777" w:rsidR="00E4257A" w:rsidRPr="00B27E56" w:rsidRDefault="00E4257A" w:rsidP="00B272BA">
            <w:pPr>
              <w:pStyle w:val="TAH"/>
              <w:rPr>
                <w:rFonts w:ascii="Times New Roman" w:hAnsi="Times New Roman"/>
                <w:sz w:val="20"/>
              </w:rPr>
            </w:pPr>
            <w:r w:rsidRPr="00B27E56">
              <w:rPr>
                <w:rFonts w:ascii="Times New Roman" w:hAnsi="Times New Roman"/>
                <w:sz w:val="20"/>
              </w:rPr>
              <w:t>{1, 0}</w:t>
            </w:r>
          </w:p>
        </w:tc>
      </w:tr>
      <w:tr w:rsidR="00E4257A" w:rsidRPr="00B27E56" w14:paraId="0AE43610" w14:textId="77777777" w:rsidTr="00B272BA">
        <w:trPr>
          <w:cantSplit/>
          <w:jc w:val="center"/>
        </w:trPr>
        <w:tc>
          <w:tcPr>
            <w:tcW w:w="2102" w:type="dxa"/>
            <w:vAlign w:val="center"/>
          </w:tcPr>
          <w:p w14:paraId="443D2196" w14:textId="77777777" w:rsidR="00E4257A" w:rsidRPr="00B27E56" w:rsidRDefault="00E4257A" w:rsidP="00B272BA">
            <w:pPr>
              <w:pStyle w:val="TAC"/>
              <w:rPr>
                <w:b/>
              </w:rPr>
            </w:pPr>
            <w:r w:rsidRPr="00B27E56">
              <w:rPr>
                <w:b/>
              </w:rPr>
              <w:t>Sequence cyclic shift</w:t>
            </w:r>
          </w:p>
        </w:tc>
        <w:tc>
          <w:tcPr>
            <w:tcW w:w="1752" w:type="dxa"/>
            <w:vAlign w:val="center"/>
          </w:tcPr>
          <w:p w14:paraId="783E5B4B" w14:textId="006022FA" w:rsidR="00E4257A" w:rsidRPr="00B27E56" w:rsidRDefault="00000000" w:rsidP="00B272BA">
            <w:pPr>
              <w:pStyle w:val="TAL"/>
              <w:jc w:val="center"/>
            </w:pPr>
            <m:oMathPara>
              <m:oMath>
                <m:sSub>
                  <m:sSubPr>
                    <m:ctrlPr>
                      <w:rPr>
                        <w:rFonts w:ascii="Cambria Math" w:hAnsi="Cambria Math"/>
                        <w:i/>
                        <w:sz w:val="20"/>
                        <w:lang w:val="en-US"/>
                      </w:rPr>
                    </m:ctrlPr>
                  </m:sSubPr>
                  <m:e>
                    <m:r>
                      <w:rPr>
                        <w:rFonts w:ascii="Cambria Math" w:hAnsi="Cambria Math"/>
                        <w:lang w:val="en-US"/>
                      </w:rPr>
                      <m:t>m</m:t>
                    </m:r>
                  </m:e>
                  <m:sub>
                    <m:r>
                      <m:rPr>
                        <m:sty m:val="p"/>
                      </m:rPr>
                      <w:rPr>
                        <w:rFonts w:ascii="Cambria Math" w:hAnsi="Cambria Math"/>
                        <w:lang w:val="en-US"/>
                      </w:rPr>
                      <m:t>CS</m:t>
                    </m:r>
                  </m:sub>
                </m:sSub>
                <m:r>
                  <w:rPr>
                    <w:rFonts w:ascii="Cambria Math" w:hAnsi="Cambria Math"/>
                    <w:sz w:val="20"/>
                    <w:lang w:val="en-US"/>
                  </w:rPr>
                  <m:t>=1</m:t>
                </m:r>
              </m:oMath>
            </m:oMathPara>
          </w:p>
        </w:tc>
        <w:tc>
          <w:tcPr>
            <w:tcW w:w="1620" w:type="dxa"/>
          </w:tcPr>
          <w:p w14:paraId="0B414A5B" w14:textId="032A87AC" w:rsidR="00E4257A" w:rsidRPr="00B27E56" w:rsidRDefault="00000000" w:rsidP="00B272BA">
            <w:pPr>
              <w:pStyle w:val="TAL"/>
              <w:jc w:val="center"/>
            </w:pPr>
            <m:oMathPara>
              <m:oMath>
                <m:sSub>
                  <m:sSubPr>
                    <m:ctrlPr>
                      <w:rPr>
                        <w:rFonts w:ascii="Cambria Math" w:hAnsi="Cambria Math"/>
                        <w:i/>
                        <w:sz w:val="20"/>
                        <w:lang w:val="en-US"/>
                      </w:rPr>
                    </m:ctrlPr>
                  </m:sSubPr>
                  <m:e>
                    <m:r>
                      <w:rPr>
                        <w:rFonts w:ascii="Cambria Math" w:hAnsi="Cambria Math"/>
                        <w:lang w:val="en-US"/>
                      </w:rPr>
                      <m:t>m</m:t>
                    </m:r>
                  </m:e>
                  <m:sub>
                    <m:r>
                      <m:rPr>
                        <m:sty m:val="p"/>
                      </m:rPr>
                      <w:rPr>
                        <w:rFonts w:ascii="Cambria Math" w:hAnsi="Cambria Math"/>
                        <w:lang w:val="en-US"/>
                      </w:rPr>
                      <m:t>CS</m:t>
                    </m:r>
                  </m:sub>
                </m:sSub>
                <m:r>
                  <w:rPr>
                    <w:rFonts w:ascii="Cambria Math" w:hAnsi="Cambria Math"/>
                    <w:sz w:val="20"/>
                    <w:lang w:val="en-US"/>
                  </w:rPr>
                  <m:t>=4</m:t>
                </m:r>
              </m:oMath>
            </m:oMathPara>
          </w:p>
        </w:tc>
        <w:tc>
          <w:tcPr>
            <w:tcW w:w="1710" w:type="dxa"/>
            <w:vAlign w:val="center"/>
          </w:tcPr>
          <w:p w14:paraId="62CE2D25" w14:textId="11A38377" w:rsidR="00E4257A" w:rsidRPr="00B27E56" w:rsidRDefault="00000000" w:rsidP="00B272BA">
            <w:pPr>
              <w:pStyle w:val="TAL"/>
              <w:jc w:val="center"/>
            </w:pPr>
            <m:oMathPara>
              <m:oMath>
                <m:sSub>
                  <m:sSubPr>
                    <m:ctrlPr>
                      <w:rPr>
                        <w:rFonts w:ascii="Cambria Math" w:hAnsi="Cambria Math"/>
                        <w:i/>
                        <w:sz w:val="20"/>
                        <w:lang w:val="en-US"/>
                      </w:rPr>
                    </m:ctrlPr>
                  </m:sSubPr>
                  <m:e>
                    <m:r>
                      <w:rPr>
                        <w:rFonts w:ascii="Cambria Math" w:hAnsi="Cambria Math"/>
                        <w:lang w:val="en-US"/>
                      </w:rPr>
                      <m:t>m</m:t>
                    </m:r>
                  </m:e>
                  <m:sub>
                    <m:r>
                      <m:rPr>
                        <m:sty m:val="p"/>
                      </m:rPr>
                      <w:rPr>
                        <w:rFonts w:ascii="Cambria Math" w:hAnsi="Cambria Math"/>
                        <w:lang w:val="en-US"/>
                      </w:rPr>
                      <m:t>CS</m:t>
                    </m:r>
                  </m:sub>
                </m:sSub>
                <m:r>
                  <w:rPr>
                    <w:rFonts w:ascii="Cambria Math" w:hAnsi="Cambria Math"/>
                    <w:sz w:val="20"/>
                    <w:lang w:val="en-US"/>
                  </w:rPr>
                  <m:t>=7</m:t>
                </m:r>
              </m:oMath>
            </m:oMathPara>
          </w:p>
        </w:tc>
        <w:tc>
          <w:tcPr>
            <w:tcW w:w="1620" w:type="dxa"/>
          </w:tcPr>
          <w:p w14:paraId="1AA6C51A" w14:textId="48F73400" w:rsidR="00E4257A" w:rsidRPr="00B27E56" w:rsidRDefault="00000000" w:rsidP="00B272BA">
            <w:pPr>
              <w:pStyle w:val="TAL"/>
              <w:jc w:val="center"/>
            </w:pPr>
            <m:oMathPara>
              <m:oMath>
                <m:sSub>
                  <m:sSubPr>
                    <m:ctrlPr>
                      <w:rPr>
                        <w:rFonts w:ascii="Cambria Math" w:hAnsi="Cambria Math"/>
                        <w:i/>
                        <w:sz w:val="20"/>
                        <w:lang w:val="en-US"/>
                      </w:rPr>
                    </m:ctrlPr>
                  </m:sSubPr>
                  <m:e>
                    <m:r>
                      <w:rPr>
                        <w:rFonts w:ascii="Cambria Math" w:hAnsi="Cambria Math"/>
                        <w:lang w:val="en-US"/>
                      </w:rPr>
                      <m:t>m</m:t>
                    </m:r>
                  </m:e>
                  <m:sub>
                    <m:r>
                      <m:rPr>
                        <m:sty m:val="p"/>
                      </m:rPr>
                      <w:rPr>
                        <w:rFonts w:ascii="Cambria Math" w:hAnsi="Cambria Math"/>
                        <w:lang w:val="en-US"/>
                      </w:rPr>
                      <m:t>CS</m:t>
                    </m:r>
                  </m:sub>
                </m:sSub>
                <m:r>
                  <w:rPr>
                    <w:rFonts w:ascii="Cambria Math" w:hAnsi="Cambria Math"/>
                    <w:sz w:val="20"/>
                    <w:lang w:val="en-US"/>
                  </w:rPr>
                  <m:t>=10</m:t>
                </m:r>
              </m:oMath>
            </m:oMathPara>
          </w:p>
        </w:tc>
      </w:tr>
    </w:tbl>
    <w:p w14:paraId="6FFABF74" w14:textId="77777777" w:rsidR="00E4257A" w:rsidRPr="00B27E56" w:rsidRDefault="00E4257A" w:rsidP="00E4257A">
      <w:pPr>
        <w:rPr>
          <w:lang w:val="en-US"/>
        </w:rPr>
      </w:pPr>
    </w:p>
    <w:p w14:paraId="6F9D465A" w14:textId="1FDA9044" w:rsidR="00E102CA" w:rsidRDefault="00E102CA" w:rsidP="00E102CA">
      <w:pPr>
        <w:rPr>
          <w:lang w:val="en-US"/>
        </w:rPr>
      </w:pPr>
      <w:r>
        <w:rPr>
          <w:lang w:val="en-US"/>
        </w:rPr>
        <w:t>If a UE would transmit SR in a resource using PUCCH format 0 and HARQ-ACK information bits in a resource using PUCCH format 1</w:t>
      </w:r>
      <w:r w:rsidR="00B5030D">
        <w:rPr>
          <w:lang w:val="en-US"/>
        </w:rPr>
        <w:t xml:space="preserve"> in a slot</w:t>
      </w:r>
      <w:r>
        <w:rPr>
          <w:lang w:val="en-US"/>
        </w:rPr>
        <w:t>, the UE transmits only</w:t>
      </w:r>
      <w:r w:rsidR="00B5030D">
        <w:rPr>
          <w:lang w:val="en-US"/>
        </w:rPr>
        <w:t xml:space="preserve"> a PUCCH with</w:t>
      </w:r>
      <w:r>
        <w:rPr>
          <w:lang w:val="en-US"/>
        </w:rPr>
        <w:t xml:space="preserve"> the HARQ-ACK information bits in the resource using PUCCH format 1. </w:t>
      </w:r>
    </w:p>
    <w:p w14:paraId="7FA0E533" w14:textId="41E962A1" w:rsidR="00E102CA" w:rsidRPr="00B916EC" w:rsidRDefault="00E102CA" w:rsidP="00E102CA">
      <w:pPr>
        <w:rPr>
          <w:lang w:val="en-US"/>
        </w:rPr>
      </w:pPr>
      <w:r w:rsidRPr="00B916EC">
        <w:rPr>
          <w:lang w:val="en-US"/>
        </w:rPr>
        <w:t xml:space="preserve">If the UE </w:t>
      </w:r>
      <w:r>
        <w:rPr>
          <w:lang w:val="en-US"/>
        </w:rPr>
        <w:t xml:space="preserve">would </w:t>
      </w:r>
      <w:r w:rsidRPr="00B916EC">
        <w:rPr>
          <w:lang w:val="en-US"/>
        </w:rPr>
        <w:t xml:space="preserve">transmit </w:t>
      </w:r>
      <w:r>
        <w:rPr>
          <w:lang w:val="en-US"/>
        </w:rPr>
        <w:t xml:space="preserve">positive SR in a </w:t>
      </w:r>
      <w:r w:rsidR="00B5030D">
        <w:rPr>
          <w:lang w:val="en-US"/>
        </w:rPr>
        <w:t xml:space="preserve">first </w:t>
      </w:r>
      <w:r>
        <w:rPr>
          <w:lang w:val="en-US"/>
        </w:rPr>
        <w:t>resource using PUCCH format 1 and at most two</w:t>
      </w:r>
      <w:r>
        <w:t xml:space="preserve"> </w:t>
      </w:r>
      <w:r w:rsidRPr="00B916EC">
        <w:rPr>
          <w:lang w:val="en-US"/>
        </w:rPr>
        <w:t xml:space="preserve">HARQ-ACK </w:t>
      </w:r>
      <w:r>
        <w:rPr>
          <w:lang w:val="en-US"/>
        </w:rPr>
        <w:t>information bits</w:t>
      </w:r>
      <w:r w:rsidRPr="00B916EC">
        <w:rPr>
          <w:lang w:val="en-US"/>
        </w:rPr>
        <w:t xml:space="preserve"> </w:t>
      </w:r>
      <w:r>
        <w:rPr>
          <w:lang w:val="en-US"/>
        </w:rPr>
        <w:t xml:space="preserve">in a </w:t>
      </w:r>
      <w:r w:rsidR="00B5030D">
        <w:rPr>
          <w:lang w:val="en-US"/>
        </w:rPr>
        <w:t xml:space="preserve">second </w:t>
      </w:r>
      <w:r>
        <w:rPr>
          <w:lang w:val="en-US"/>
        </w:rPr>
        <w:t xml:space="preserve">resource </w:t>
      </w:r>
      <w:r w:rsidRPr="00B916EC">
        <w:rPr>
          <w:lang w:val="en-US"/>
        </w:rPr>
        <w:t>using PUCCH format 1</w:t>
      </w:r>
      <w:r>
        <w:rPr>
          <w:lang w:val="en-US"/>
        </w:rPr>
        <w:t xml:space="preserve"> in a slot</w:t>
      </w:r>
      <w:r w:rsidRPr="00B916EC">
        <w:rPr>
          <w:lang w:val="en-US"/>
        </w:rPr>
        <w:t xml:space="preserve">, the UE transmits </w:t>
      </w:r>
      <w:r>
        <w:rPr>
          <w:lang w:val="en-US"/>
        </w:rPr>
        <w:t xml:space="preserve">a PUCCH </w:t>
      </w:r>
      <w:r w:rsidR="00B5030D">
        <w:rPr>
          <w:lang w:val="en-US"/>
        </w:rPr>
        <w:t xml:space="preserve">with HARQ-ACK information bits </w:t>
      </w:r>
      <w:r>
        <w:rPr>
          <w:lang w:val="en-US"/>
        </w:rPr>
        <w:t xml:space="preserve">in the </w:t>
      </w:r>
      <w:r w:rsidR="00B5030D">
        <w:rPr>
          <w:lang w:val="en-US"/>
        </w:rPr>
        <w:t xml:space="preserve">first </w:t>
      </w:r>
      <w:r>
        <w:rPr>
          <w:lang w:val="en-US"/>
        </w:rPr>
        <w:t>resource using</w:t>
      </w:r>
      <w:r w:rsidRPr="00B916EC">
        <w:rPr>
          <w:lang w:val="en-US"/>
        </w:rPr>
        <w:t xml:space="preserve"> PUCCH format 1 </w:t>
      </w:r>
      <w:r>
        <w:rPr>
          <w:lang w:val="en-US"/>
        </w:rPr>
        <w:t xml:space="preserve">as described </w:t>
      </w:r>
      <w:r w:rsidR="006F5F9E">
        <w:rPr>
          <w:lang w:val="en-US"/>
        </w:rPr>
        <w:t>in clause</w:t>
      </w:r>
      <w:r>
        <w:rPr>
          <w:lang w:val="en-US"/>
        </w:rPr>
        <w:t xml:space="preserve"> 9.2.</w:t>
      </w:r>
      <w:r w:rsidR="00B5030D">
        <w:rPr>
          <w:lang w:val="en-US"/>
        </w:rPr>
        <w:t>3</w:t>
      </w:r>
      <w:r w:rsidRPr="00B916EC">
        <w:rPr>
          <w:lang w:val="en-US"/>
        </w:rPr>
        <w:t>.</w:t>
      </w:r>
      <w:r>
        <w:rPr>
          <w:lang w:val="en-US"/>
        </w:rPr>
        <w:t xml:space="preserve"> </w:t>
      </w:r>
      <w:r w:rsidRPr="00B916EC">
        <w:rPr>
          <w:lang w:val="en-US"/>
        </w:rPr>
        <w:t xml:space="preserve">If a UE </w:t>
      </w:r>
      <w:r>
        <w:rPr>
          <w:lang w:val="en-US"/>
        </w:rPr>
        <w:t>would</w:t>
      </w:r>
      <w:r w:rsidR="00C90582">
        <w:rPr>
          <w:lang w:val="en-US"/>
        </w:rPr>
        <w:t xml:space="preserve"> not</w:t>
      </w:r>
      <w:r>
        <w:rPr>
          <w:lang w:val="en-US"/>
        </w:rPr>
        <w:t xml:space="preserve"> </w:t>
      </w:r>
      <w:r w:rsidRPr="00B916EC">
        <w:rPr>
          <w:lang w:val="en-US"/>
        </w:rPr>
        <w:t xml:space="preserve">transmit </w:t>
      </w:r>
      <w:r w:rsidR="00C90582">
        <w:rPr>
          <w:lang w:val="en-US"/>
        </w:rPr>
        <w:t>a positive</w:t>
      </w:r>
      <w:r>
        <w:rPr>
          <w:lang w:val="en-US"/>
        </w:rPr>
        <w:t xml:space="preserve"> SR in a resource using PUCCH format 1 and </w:t>
      </w:r>
      <w:r w:rsidR="00C90582">
        <w:rPr>
          <w:lang w:val="en-US"/>
        </w:rPr>
        <w:t xml:space="preserve">would transmit </w:t>
      </w:r>
      <w:r>
        <w:t xml:space="preserve">at most two </w:t>
      </w:r>
      <w:r w:rsidRPr="00B916EC">
        <w:rPr>
          <w:lang w:val="en-US"/>
        </w:rPr>
        <w:t xml:space="preserve">HARQ-ACK </w:t>
      </w:r>
      <w:r>
        <w:rPr>
          <w:lang w:val="en-US"/>
        </w:rPr>
        <w:t>information bits</w:t>
      </w:r>
      <w:r w:rsidRPr="00B916EC">
        <w:rPr>
          <w:lang w:val="en-US"/>
        </w:rPr>
        <w:t xml:space="preserve"> </w:t>
      </w:r>
      <w:r>
        <w:rPr>
          <w:lang w:val="en-US"/>
        </w:rPr>
        <w:t xml:space="preserve">in a resource </w:t>
      </w:r>
      <w:r w:rsidRPr="00B916EC">
        <w:rPr>
          <w:lang w:val="en-US"/>
        </w:rPr>
        <w:t>using PUCCH format 1</w:t>
      </w:r>
      <w:r>
        <w:rPr>
          <w:lang w:val="en-US"/>
        </w:rPr>
        <w:t xml:space="preserve"> in a slot, the UE transmits a PUCCH in</w:t>
      </w:r>
      <w:r w:rsidRPr="00B916EC">
        <w:rPr>
          <w:lang w:val="en-US"/>
        </w:rPr>
        <w:t xml:space="preserve"> </w:t>
      </w:r>
      <w:r>
        <w:rPr>
          <w:lang w:val="en-US"/>
        </w:rPr>
        <w:t>the</w:t>
      </w:r>
      <w:r w:rsidRPr="00B916EC">
        <w:rPr>
          <w:lang w:val="en-US"/>
        </w:rPr>
        <w:t xml:space="preserve"> resource </w:t>
      </w:r>
      <w:r>
        <w:rPr>
          <w:lang w:val="en-US"/>
        </w:rPr>
        <w:t xml:space="preserve">using PUCCH format 1 </w:t>
      </w:r>
      <w:r w:rsidRPr="00B916EC">
        <w:rPr>
          <w:lang w:val="en-US"/>
        </w:rPr>
        <w:t xml:space="preserve">for HARQ-ACK </w:t>
      </w:r>
      <w:r>
        <w:rPr>
          <w:lang w:val="en-US"/>
        </w:rPr>
        <w:t xml:space="preserve">information as described </w:t>
      </w:r>
      <w:r w:rsidR="006F5F9E">
        <w:rPr>
          <w:lang w:val="en-US"/>
        </w:rPr>
        <w:t>in clause</w:t>
      </w:r>
      <w:r>
        <w:rPr>
          <w:lang w:val="en-US"/>
        </w:rPr>
        <w:t xml:space="preserve"> 9.2.3</w:t>
      </w:r>
      <w:r w:rsidRPr="00B916EC">
        <w:rPr>
          <w:lang w:val="en-US"/>
        </w:rPr>
        <w:t>.</w:t>
      </w:r>
    </w:p>
    <w:p w14:paraId="5A85D521" w14:textId="771BE700" w:rsidR="00E102CA" w:rsidRDefault="00E102CA" w:rsidP="00E102CA">
      <w:r w:rsidRPr="00B916EC">
        <w:t xml:space="preserve">If a UE </w:t>
      </w:r>
      <w:r>
        <w:t xml:space="preserve">would </w:t>
      </w:r>
      <w:r w:rsidRPr="00B916EC">
        <w:t xml:space="preserve">transmit </w:t>
      </w:r>
      <w:r w:rsidR="00B5030D">
        <w:t xml:space="preserve">a PUCCH with </w:t>
      </w:r>
      <m:oMath>
        <m:sSub>
          <m:sSubPr>
            <m:ctrlPr>
              <w:rPr>
                <w:rFonts w:ascii="Cambria Math" w:hAnsi="Cambria Math"/>
                <w:i/>
              </w:rPr>
            </m:ctrlPr>
          </m:sSubPr>
          <m:e>
            <m:r>
              <w:rPr>
                <w:rFonts w:ascii="Cambria Math"/>
              </w:rPr>
              <m:t>O</m:t>
            </m:r>
          </m:e>
          <m:sub>
            <m:r>
              <m:rPr>
                <m:nor/>
              </m:rPr>
              <w:rPr>
                <w:rFonts w:ascii="Cambria Math"/>
              </w:rPr>
              <m:t>ACK</m:t>
            </m:r>
            <m:ctrlPr>
              <w:rPr>
                <w:rFonts w:ascii="Cambria Math" w:hAnsi="Cambria Math"/>
              </w:rPr>
            </m:ctrlPr>
          </m:sub>
        </m:sSub>
      </m:oMath>
      <w:r w:rsidR="00D23CE9">
        <w:t xml:space="preserve"> </w:t>
      </w:r>
      <w:r w:rsidRPr="00B916EC">
        <w:t xml:space="preserve">HARQ-ACK </w:t>
      </w:r>
      <w:r>
        <w:t xml:space="preserve">information bits in a resource </w:t>
      </w:r>
      <w:r w:rsidRPr="00B916EC">
        <w:t>using PUCCH format 2 or PUCCH format 3 or PUCCH format 4</w:t>
      </w:r>
      <w:r>
        <w:t xml:space="preserve"> in a slot, </w:t>
      </w:r>
      <w:r>
        <w:rPr>
          <w:lang w:val="en-US"/>
        </w:rPr>
        <w:t xml:space="preserve">as described </w:t>
      </w:r>
      <w:r w:rsidR="006F5F9E">
        <w:rPr>
          <w:lang w:val="en-US"/>
        </w:rPr>
        <w:t>in clause</w:t>
      </w:r>
      <w:r w:rsidR="00C968B6">
        <w:rPr>
          <w:lang w:val="en-US"/>
        </w:rPr>
        <w:t>s 9.2.1 and</w:t>
      </w:r>
      <w:r>
        <w:rPr>
          <w:lang w:val="en-US"/>
        </w:rPr>
        <w:t xml:space="preserve"> 9.2.3, </w:t>
      </w:r>
      <m:oMath>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K+1</m:t>
                </m:r>
              </m:e>
            </m:d>
          </m:e>
        </m:d>
      </m:oMath>
      <w:r>
        <w:t xml:space="preserve"> bits representing a negative or positive SR, in ascending order of the values of </w:t>
      </w:r>
      <w:r>
        <w:rPr>
          <w:i/>
        </w:rPr>
        <w:t>schedulingRequestResourceId</w:t>
      </w:r>
      <w:r w:rsidR="00B833DB">
        <w:t>,</w:t>
      </w:r>
      <w:r w:rsidR="003A4C3D" w:rsidRPr="00D3157D">
        <w:rPr>
          <w:i/>
          <w:color w:val="000000"/>
        </w:rPr>
        <w:t xml:space="preserve"> </w:t>
      </w:r>
      <w:r w:rsidR="002019A0" w:rsidRPr="00FC22FC">
        <w:t xml:space="preserve">a </w:t>
      </w:r>
      <w:r w:rsidR="002019A0" w:rsidRPr="00FC22FC">
        <w:rPr>
          <w:i/>
          <w:color w:val="000000"/>
        </w:rPr>
        <w:t xml:space="preserve">schedulingRequestResourceId </w:t>
      </w:r>
      <w:r w:rsidR="002019A0" w:rsidRPr="00FC22FC">
        <w:rPr>
          <w:iCs/>
          <w:color w:val="000000"/>
        </w:rPr>
        <w:t xml:space="preserve">associated with </w:t>
      </w:r>
      <w:r w:rsidR="002019A0" w:rsidRPr="0008351E">
        <w:rPr>
          <w:i/>
          <w:color w:val="000000"/>
        </w:rPr>
        <w:t>schedulingRequestID</w:t>
      </w:r>
      <w:r w:rsidR="002019A0">
        <w:rPr>
          <w:i/>
          <w:color w:val="000000"/>
        </w:rPr>
        <w:t>-</w:t>
      </w:r>
      <w:r w:rsidR="002019A0" w:rsidRPr="0008351E">
        <w:rPr>
          <w:i/>
          <w:color w:val="000000"/>
        </w:rPr>
        <w:t>BFR</w:t>
      </w:r>
      <w:r w:rsidR="002019A0">
        <w:rPr>
          <w:i/>
          <w:color w:val="000000"/>
        </w:rPr>
        <w:t>-SCell</w:t>
      </w:r>
      <w:r>
        <w:t xml:space="preserve">, </w:t>
      </w:r>
      <w:r w:rsidR="005B0E0A" w:rsidRPr="00B97A79">
        <w:t xml:space="preserve">a </w:t>
      </w:r>
      <w:r w:rsidR="005B0E0A" w:rsidRPr="00B97A79">
        <w:rPr>
          <w:i/>
        </w:rPr>
        <w:t xml:space="preserve">schedulingRequestResourceId </w:t>
      </w:r>
      <w:r w:rsidR="005B0E0A" w:rsidRPr="00B97A79">
        <w:rPr>
          <w:iCs/>
        </w:rPr>
        <w:t>associated with</w:t>
      </w:r>
      <w:r w:rsidR="005B0E0A" w:rsidRPr="00B97A79">
        <w:t xml:space="preserve"> </w:t>
      </w:r>
      <w:r w:rsidR="005B0E0A" w:rsidRPr="00B97A79">
        <w:rPr>
          <w:i/>
        </w:rPr>
        <w:t>schedulingRequestID-BFR,</w:t>
      </w:r>
      <w:r w:rsidR="005B0E0A" w:rsidRPr="00B97A79">
        <w:t xml:space="preserve"> a </w:t>
      </w:r>
      <w:r w:rsidR="005B0E0A" w:rsidRPr="00B97A79">
        <w:rPr>
          <w:i/>
        </w:rPr>
        <w:t xml:space="preserve">schedulingRequestResourceId </w:t>
      </w:r>
      <w:r w:rsidR="005B0E0A" w:rsidRPr="00B97A79">
        <w:rPr>
          <w:iCs/>
        </w:rPr>
        <w:t>associated with</w:t>
      </w:r>
      <w:r w:rsidR="005B0E0A" w:rsidRPr="00B97A79">
        <w:t xml:space="preserve"> </w:t>
      </w:r>
      <w:r w:rsidR="005B0E0A" w:rsidRPr="00B97A79">
        <w:rPr>
          <w:i/>
        </w:rPr>
        <w:t>schedulingRequestID-BFR2</w:t>
      </w:r>
      <w:r w:rsidR="005B0E0A" w:rsidRPr="00B97A79">
        <w:rPr>
          <w:iCs/>
        </w:rPr>
        <w:t xml:space="preserve"> if the UE</w:t>
      </w:r>
      <w:r w:rsidR="005B0E0A" w:rsidRPr="00B97A79">
        <w:rPr>
          <w:i/>
        </w:rPr>
        <w:t xml:space="preserve"> </w:t>
      </w:r>
      <w:r w:rsidR="005B0E0A" w:rsidRPr="00B97A79">
        <w:t xml:space="preserve">provides </w:t>
      </w:r>
      <w:r w:rsidR="005B0E0A" w:rsidRPr="00B97A79">
        <w:rPr>
          <w:i/>
          <w:iCs/>
        </w:rPr>
        <w:t>twoLRRcapability</w:t>
      </w:r>
      <w:r w:rsidR="005B0E0A" w:rsidRPr="00B97A79">
        <w:t xml:space="preserve">, </w:t>
      </w:r>
      <w:r w:rsidR="00B833DB">
        <w:t xml:space="preserve">and a </w:t>
      </w:r>
      <w:r w:rsidR="00B833DB">
        <w:rPr>
          <w:i/>
          <w:color w:val="000000"/>
        </w:rPr>
        <w:t xml:space="preserve">schedulingRequestResourceId </w:t>
      </w:r>
      <w:r w:rsidR="00B833DB">
        <w:rPr>
          <w:iCs/>
          <w:color w:val="000000"/>
        </w:rPr>
        <w:t>associated with</w:t>
      </w:r>
      <w:r w:rsidR="00B833DB">
        <w:t xml:space="preserve"> </w:t>
      </w:r>
      <w:r w:rsidR="00B833DB">
        <w:rPr>
          <w:i/>
          <w:color w:val="000000"/>
        </w:rPr>
        <w:t>schedulingRequestID-LBT-SCell</w:t>
      </w:r>
      <w:r w:rsidR="00B833DB">
        <w:t xml:space="preserve">, </w:t>
      </w:r>
      <w:r>
        <w:t>are</w:t>
      </w:r>
      <w:r w:rsidRPr="00B916EC">
        <w:t xml:space="preserve"> appended to the HARQ-ACK </w:t>
      </w:r>
      <w:r>
        <w:t xml:space="preserve">information </w:t>
      </w:r>
      <w:r w:rsidRPr="00B916EC">
        <w:t>bits</w:t>
      </w:r>
      <w:r>
        <w:t xml:space="preserve"> and the UE transmits the combined </w:t>
      </w:r>
      <m:oMath>
        <m:sSub>
          <m:sSubPr>
            <m:ctrlPr>
              <w:rPr>
                <w:rFonts w:ascii="Cambria Math" w:hAnsi="Cambria Math"/>
                <w:i/>
              </w:rPr>
            </m:ctrlPr>
          </m:sSubPr>
          <m:e>
            <m:sSub>
              <m:sSubPr>
                <m:ctrlPr>
                  <w:rPr>
                    <w:rFonts w:ascii="Cambria Math" w:hAnsi="Cambria Math"/>
                    <w:i/>
                  </w:rPr>
                </m:ctrlPr>
              </m:sSubPr>
              <m:e>
                <m:r>
                  <w:rPr>
                    <w:rFonts w:ascii="Cambria Math"/>
                  </w:rPr>
                  <m:t>O</m:t>
                </m:r>
              </m:e>
              <m:sub>
                <m:r>
                  <m:rPr>
                    <m:nor/>
                  </m:rPr>
                  <w:rPr>
                    <w:rFonts w:ascii="Cambria Math"/>
                  </w:rPr>
                  <m:t>UCI</m:t>
                </m:r>
                <m:ctrlPr>
                  <w:rPr>
                    <w:rFonts w:ascii="Cambria Math" w:hAnsi="Cambria Math"/>
                  </w:rPr>
                </m:ctrlPr>
              </m:sub>
            </m:sSub>
            <m:r>
              <w:rPr>
                <w:rFonts w:ascii="Cambria Math"/>
              </w:rPr>
              <m:t>=O</m:t>
            </m:r>
          </m:e>
          <m:sub>
            <m:r>
              <m:rPr>
                <m:nor/>
              </m:rPr>
              <w:rPr>
                <w:rFonts w:ascii="Cambria Math"/>
              </w:rPr>
              <m:t>ACK</m:t>
            </m:r>
            <m:ctrlPr>
              <w:rPr>
                <w:rFonts w:ascii="Cambria Math" w:hAnsi="Cambria Math"/>
              </w:rPr>
            </m:ctrlP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K+1</m:t>
                </m:r>
              </m:e>
            </m:d>
          </m:e>
        </m:d>
      </m:oMath>
      <w:r w:rsidR="00D23CE9">
        <w:t xml:space="preserve"> </w:t>
      </w:r>
      <w:r>
        <w:t xml:space="preserve">UCI bits in a PUCCH </w:t>
      </w:r>
      <w:r w:rsidRPr="00B916EC">
        <w:t xml:space="preserve">using </w:t>
      </w:r>
      <w:r>
        <w:t xml:space="preserve">a resource with </w:t>
      </w:r>
      <w:r w:rsidRPr="00B916EC">
        <w:t>PUCCH format 2 or PUCCH format 3 or PUCCH format 4</w:t>
      </w:r>
      <w:r>
        <w:t xml:space="preserve"> </w:t>
      </w:r>
      <w:r w:rsidR="00D23CE9">
        <w:t xml:space="preserve">that the UE determines as described </w:t>
      </w:r>
      <w:r w:rsidR="006F5F9E">
        <w:t>in clause</w:t>
      </w:r>
      <w:r w:rsidR="00D23CE9">
        <w:t>s 9.2.1 and 9.2.3</w:t>
      </w:r>
      <w:r w:rsidRPr="00B916EC">
        <w:t>.</w:t>
      </w:r>
      <w:r>
        <w:t xml:space="preserve"> </w:t>
      </w:r>
      <w:r w:rsidR="003A4C3D" w:rsidRPr="00A736C5">
        <w:t xml:space="preserve">If one of the SRs is a positive LRR, the value of the </w:t>
      </w:r>
      <m:oMath>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K+1</m:t>
                </m:r>
              </m:e>
            </m:d>
          </m:e>
        </m:d>
      </m:oMath>
      <w:r w:rsidR="003A4C3D" w:rsidRPr="00A736C5">
        <w:t xml:space="preserve"> bits indicates the positive LRR.</w:t>
      </w:r>
      <w:r w:rsidR="003A4C3D">
        <w:t xml:space="preserve"> </w:t>
      </w:r>
      <w:r w:rsidR="00D23CE9">
        <w:t xml:space="preserve">An all-zero value for the </w:t>
      </w:r>
      <m:oMath>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K+1</m:t>
                </m:r>
              </m:e>
            </m:d>
          </m:e>
        </m:d>
      </m:oMath>
      <w:r w:rsidR="00D23CE9">
        <w:t xml:space="preserve"> bits represents a negative SR value across all </w:t>
      </w:r>
      <m:oMath>
        <m:r>
          <w:rPr>
            <w:rFonts w:ascii="Cambria Math" w:hAnsi="Cambria Math"/>
          </w:rPr>
          <m:t>K</m:t>
        </m:r>
      </m:oMath>
      <w:r w:rsidR="00D23CE9">
        <w:t xml:space="preserve"> SRs</w:t>
      </w:r>
      <w:r>
        <w:t>.</w:t>
      </w:r>
      <w:r w:rsidRPr="00B916EC">
        <w:t xml:space="preserve"> </w:t>
      </w:r>
    </w:p>
    <w:p w14:paraId="5B4E39B7" w14:textId="6661D4DA" w:rsidR="00D23CE9" w:rsidRPr="00BE74C0" w:rsidRDefault="00D23CE9" w:rsidP="00D23CE9">
      <w:r w:rsidRPr="00B916EC">
        <w:t xml:space="preserve">If a UE </w:t>
      </w:r>
      <w:r>
        <w:t xml:space="preserve">would </w:t>
      </w:r>
      <w:r w:rsidRPr="00B916EC">
        <w:t xml:space="preserve">transmit </w:t>
      </w:r>
      <w:r>
        <w:t xml:space="preserve">a PUCCH with </w:t>
      </w:r>
      <w:r w:rsidR="00ED3701">
        <w:rPr>
          <w:noProof/>
          <w:position w:val="-10"/>
        </w:rPr>
        <w:drawing>
          <wp:inline distT="0" distB="0" distL="0" distR="0" wp14:anchorId="24CE087A" wp14:editId="08956574">
            <wp:extent cx="200025" cy="190500"/>
            <wp:effectExtent l="0" t="0" r="0" b="0"/>
            <wp:docPr id="119"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t xml:space="preserve"> </w:t>
      </w:r>
      <w:r w:rsidRPr="00B916EC">
        <w:t xml:space="preserve">CSI </w:t>
      </w:r>
      <w:r>
        <w:t xml:space="preserve">report bits in a resource </w:t>
      </w:r>
      <w:r w:rsidRPr="00B916EC">
        <w:t xml:space="preserve">using PUCCH format 2 or PUCCH format 3 or PUCCH format 4 </w:t>
      </w:r>
      <w:r>
        <w:t>in a slot</w:t>
      </w:r>
      <w:r w:rsidRPr="00B916EC">
        <w:t xml:space="preserve">, </w:t>
      </w:r>
      <m:oMath>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K+1</m:t>
                </m:r>
              </m:e>
            </m:d>
          </m:e>
        </m:d>
      </m:oMath>
      <w:r>
        <w:t xml:space="preserve"> bits representing corresponding negative or positive SR, in ascending order of the values of </w:t>
      </w:r>
      <w:r>
        <w:rPr>
          <w:i/>
        </w:rPr>
        <w:t>schedulingRequestResourceId</w:t>
      </w:r>
      <w:r w:rsidR="00B833DB">
        <w:t>,</w:t>
      </w:r>
      <w:r w:rsidR="00935931">
        <w:t xml:space="preserve"> </w:t>
      </w:r>
      <w:r w:rsidR="002019A0" w:rsidRPr="00FC22FC">
        <w:t xml:space="preserve">a </w:t>
      </w:r>
      <w:r w:rsidR="002019A0" w:rsidRPr="00FC22FC">
        <w:rPr>
          <w:i/>
          <w:color w:val="000000"/>
        </w:rPr>
        <w:t xml:space="preserve">schedulingRequestResourceId </w:t>
      </w:r>
      <w:r w:rsidR="002019A0" w:rsidRPr="00FC22FC">
        <w:rPr>
          <w:iCs/>
          <w:color w:val="000000"/>
        </w:rPr>
        <w:t xml:space="preserve">associated with </w:t>
      </w:r>
      <w:r w:rsidR="002019A0" w:rsidRPr="0008351E">
        <w:rPr>
          <w:i/>
          <w:color w:val="000000"/>
        </w:rPr>
        <w:t>schedulingRequestID</w:t>
      </w:r>
      <w:r w:rsidR="002019A0">
        <w:rPr>
          <w:i/>
          <w:color w:val="000000"/>
        </w:rPr>
        <w:t>-</w:t>
      </w:r>
      <w:r w:rsidR="002019A0" w:rsidRPr="0008351E">
        <w:rPr>
          <w:i/>
          <w:color w:val="000000"/>
        </w:rPr>
        <w:t>BFR</w:t>
      </w:r>
      <w:r w:rsidR="002019A0">
        <w:rPr>
          <w:i/>
          <w:color w:val="000000"/>
        </w:rPr>
        <w:t>-SCell</w:t>
      </w:r>
      <w:r>
        <w:t xml:space="preserve">, </w:t>
      </w:r>
      <w:r w:rsidR="005B0E0A" w:rsidRPr="00B97A79">
        <w:t xml:space="preserve">a </w:t>
      </w:r>
      <w:r w:rsidR="005B0E0A" w:rsidRPr="00B97A79">
        <w:rPr>
          <w:i/>
        </w:rPr>
        <w:t xml:space="preserve">schedulingRequestResourceId </w:t>
      </w:r>
      <w:r w:rsidR="005B0E0A" w:rsidRPr="00B97A79">
        <w:rPr>
          <w:iCs/>
        </w:rPr>
        <w:t>associated with</w:t>
      </w:r>
      <w:r w:rsidR="005B0E0A" w:rsidRPr="00B97A79">
        <w:t xml:space="preserve"> </w:t>
      </w:r>
      <w:r w:rsidR="005B0E0A" w:rsidRPr="00B97A79">
        <w:rPr>
          <w:i/>
        </w:rPr>
        <w:t>schedulingRequestID-BFR,</w:t>
      </w:r>
      <w:r w:rsidR="005B0E0A" w:rsidRPr="00B97A79">
        <w:t xml:space="preserve"> a </w:t>
      </w:r>
      <w:r w:rsidR="005B0E0A" w:rsidRPr="00B97A79">
        <w:rPr>
          <w:i/>
        </w:rPr>
        <w:t xml:space="preserve">schedulingRequestResourceId </w:t>
      </w:r>
      <w:r w:rsidR="005B0E0A" w:rsidRPr="00B97A79">
        <w:rPr>
          <w:iCs/>
        </w:rPr>
        <w:t>associated with</w:t>
      </w:r>
      <w:r w:rsidR="005B0E0A" w:rsidRPr="00B97A79">
        <w:t xml:space="preserve"> </w:t>
      </w:r>
      <w:r w:rsidR="005B0E0A" w:rsidRPr="00B97A79">
        <w:rPr>
          <w:i/>
        </w:rPr>
        <w:t>schedulingRequestID-BFR2</w:t>
      </w:r>
      <w:r w:rsidR="005B0E0A" w:rsidRPr="00B97A79">
        <w:rPr>
          <w:iCs/>
        </w:rPr>
        <w:t xml:space="preserve"> if the UE</w:t>
      </w:r>
      <w:r w:rsidR="005B0E0A" w:rsidRPr="00B97A79">
        <w:rPr>
          <w:i/>
        </w:rPr>
        <w:t xml:space="preserve"> </w:t>
      </w:r>
      <w:r w:rsidR="005B0E0A" w:rsidRPr="00B97A79">
        <w:t xml:space="preserve">provides </w:t>
      </w:r>
      <w:r w:rsidR="005B0E0A" w:rsidRPr="00B97A79">
        <w:rPr>
          <w:i/>
          <w:iCs/>
        </w:rPr>
        <w:t>twoLRRcapability</w:t>
      </w:r>
      <w:r w:rsidR="005B0E0A" w:rsidRPr="00B97A79">
        <w:t xml:space="preserve">, </w:t>
      </w:r>
      <w:r w:rsidR="00B833DB">
        <w:t xml:space="preserve">and a </w:t>
      </w:r>
      <w:r w:rsidR="00B833DB">
        <w:rPr>
          <w:i/>
          <w:color w:val="000000"/>
        </w:rPr>
        <w:lastRenderedPageBreak/>
        <w:t xml:space="preserve">schedulingRequestResourceId </w:t>
      </w:r>
      <w:r w:rsidR="00B833DB">
        <w:rPr>
          <w:iCs/>
          <w:color w:val="000000"/>
        </w:rPr>
        <w:t>associated with</w:t>
      </w:r>
      <w:r w:rsidR="00B833DB">
        <w:t xml:space="preserve"> </w:t>
      </w:r>
      <w:r w:rsidR="00B833DB">
        <w:rPr>
          <w:i/>
          <w:color w:val="000000"/>
        </w:rPr>
        <w:t>schedulingRequestID-LBT-SCell</w:t>
      </w:r>
      <w:r w:rsidR="00B833DB">
        <w:t xml:space="preserve">, </w:t>
      </w:r>
      <w:r>
        <w:t>are</w:t>
      </w:r>
      <w:r w:rsidRPr="00B916EC">
        <w:t xml:space="preserve"> </w:t>
      </w:r>
      <w:r>
        <w:t>prepended</w:t>
      </w:r>
      <w:r w:rsidRPr="00B916EC">
        <w:t xml:space="preserve"> to the </w:t>
      </w:r>
      <w:r>
        <w:t>CSI information</w:t>
      </w:r>
      <w:r w:rsidRPr="00B916EC">
        <w:t xml:space="preserve"> bits as described </w:t>
      </w:r>
      <w:r w:rsidR="006F5F9E">
        <w:rPr>
          <w:lang w:val="en-US"/>
        </w:rPr>
        <w:t>in clause</w:t>
      </w:r>
      <w:r w:rsidRPr="00B916EC">
        <w:rPr>
          <w:lang w:val="en-US"/>
        </w:rPr>
        <w:t xml:space="preserve"> </w:t>
      </w:r>
      <w:r>
        <w:rPr>
          <w:lang w:val="en-US"/>
        </w:rPr>
        <w:t xml:space="preserve">9.2.5.2 </w:t>
      </w:r>
      <w:r>
        <w:t xml:space="preserve">and the UE transmits a PUCCH with the combined </w:t>
      </w:r>
      <m:oMath>
        <m:sSub>
          <m:sSubPr>
            <m:ctrlPr>
              <w:rPr>
                <w:rFonts w:ascii="Cambria Math" w:hAnsi="Cambria Math"/>
                <w:i/>
              </w:rPr>
            </m:ctrlPr>
          </m:sSubPr>
          <m:e>
            <m:r>
              <w:rPr>
                <w:rFonts w:ascii="Cambria Math"/>
              </w:rPr>
              <m:t>O</m:t>
            </m:r>
          </m:e>
          <m:sub>
            <m:r>
              <m:rPr>
                <m:nor/>
              </m:rPr>
              <w:rPr>
                <w:rFonts w:ascii="Cambria Math"/>
              </w:rPr>
              <m:t>UCI</m:t>
            </m:r>
            <m:ctrlPr>
              <w:rPr>
                <w:rFonts w:ascii="Cambria Math" w:hAnsi="Cambria Math"/>
              </w:rPr>
            </m:ctrlPr>
          </m:sub>
        </m:sSub>
        <m:r>
          <w:rPr>
            <w:rFonts w:ascii="Cambria Math"/>
          </w:rPr>
          <m:t>=</m:t>
        </m:r>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K+1</m:t>
                </m:r>
              </m:e>
            </m:d>
          </m:e>
        </m:d>
        <m:r>
          <w:rPr>
            <w:rFonts w:ascii="Cambria Math" w:hAnsi="Cambria Math"/>
          </w:rPr>
          <m:t>+</m:t>
        </m:r>
        <m:sSub>
          <m:sSubPr>
            <m:ctrlPr>
              <w:rPr>
                <w:rFonts w:ascii="Cambria Math" w:hAnsi="Cambria Math"/>
                <w:i/>
              </w:rPr>
            </m:ctrlPr>
          </m:sSubPr>
          <m:e>
            <m:r>
              <w:rPr>
                <w:rFonts w:ascii="Cambria Math"/>
              </w:rPr>
              <m:t>O</m:t>
            </m:r>
          </m:e>
          <m:sub>
            <m:r>
              <m:rPr>
                <m:nor/>
              </m:rPr>
              <w:rPr>
                <w:rFonts w:ascii="Cambria Math"/>
              </w:rPr>
              <m:t>CSI</m:t>
            </m:r>
            <m:ctrlPr>
              <w:rPr>
                <w:rFonts w:ascii="Cambria Math" w:hAnsi="Cambria Math"/>
              </w:rPr>
            </m:ctrlPr>
          </m:sub>
        </m:sSub>
      </m:oMath>
      <w:r>
        <w:t xml:space="preserve"> UCI bits in a resource </w:t>
      </w:r>
      <w:r w:rsidRPr="00B916EC">
        <w:t xml:space="preserve">using </w:t>
      </w:r>
      <w:r>
        <w:t xml:space="preserve">the </w:t>
      </w:r>
      <w:r w:rsidRPr="00B916EC">
        <w:t>PUCCH format 2 or PUCCH format 3 or PUCCH format 4</w:t>
      </w:r>
      <w:r>
        <w:t xml:space="preserve"> for CSI reporting</w:t>
      </w:r>
      <w:r w:rsidRPr="00B916EC">
        <w:t>.</w:t>
      </w:r>
      <w:r>
        <w:t xml:space="preserve"> </w:t>
      </w:r>
      <w:r w:rsidR="00935931" w:rsidRPr="00A736C5">
        <w:t xml:space="preserve">If one of the SRs is a positive LRR, the value of the </w:t>
      </w:r>
      <m:oMath>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K+1</m:t>
                </m:r>
              </m:e>
            </m:d>
          </m:e>
        </m:d>
      </m:oMath>
      <w:r w:rsidR="00935931" w:rsidRPr="00A736C5">
        <w:t xml:space="preserve"> bits indicates the positive LRR. </w:t>
      </w:r>
      <w:r>
        <w:t xml:space="preserve">An all-zero value for the </w:t>
      </w:r>
      <m:oMath>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K+1</m:t>
                </m:r>
              </m:e>
            </m:d>
          </m:e>
        </m:d>
      </m:oMath>
      <w:r>
        <w:t xml:space="preserve"> bits represents a negative SR value across all </w:t>
      </w:r>
      <m:oMath>
        <m:r>
          <w:rPr>
            <w:rFonts w:ascii="Cambria Math" w:hAnsi="Cambria Math"/>
          </w:rPr>
          <m:t>K</m:t>
        </m:r>
      </m:oMath>
      <w:r>
        <w:t xml:space="preserve"> SRs. </w:t>
      </w:r>
    </w:p>
    <w:p w14:paraId="6308FC71" w14:textId="1BE26C15" w:rsidR="00D23CE9" w:rsidRDefault="00D23CE9" w:rsidP="00D23CE9">
      <w:pPr>
        <w:rPr>
          <w:lang w:val="en-US"/>
        </w:rPr>
      </w:pPr>
      <w:r w:rsidRPr="00B916EC">
        <w:rPr>
          <w:lang w:val="en-US"/>
        </w:rPr>
        <w:t>If a UE transmits</w:t>
      </w:r>
      <w:r>
        <w:rPr>
          <w:lang w:val="en-US"/>
        </w:rPr>
        <w:t xml:space="preserve"> a PUCCH with</w:t>
      </w:r>
      <w:r w:rsidRPr="00B916EC">
        <w:rPr>
          <w:lang w:val="en-US"/>
        </w:rPr>
        <w:t xml:space="preserve"> </w:t>
      </w:r>
      <m:oMath>
        <m:sSub>
          <m:sSubPr>
            <m:ctrlPr>
              <w:rPr>
                <w:rFonts w:ascii="Cambria Math" w:hAnsi="Cambria Math"/>
                <w:i/>
              </w:rPr>
            </m:ctrlPr>
          </m:sSubPr>
          <m:e>
            <m:r>
              <w:rPr>
                <w:rFonts w:ascii="Cambria Math"/>
              </w:rPr>
              <m:t>O</m:t>
            </m:r>
          </m:e>
          <m:sub>
            <m:r>
              <m:rPr>
                <m:nor/>
              </m:rPr>
              <w:rPr>
                <w:rFonts w:ascii="Cambria Math"/>
              </w:rPr>
              <m:t>ACK</m:t>
            </m:r>
            <m:ctrlPr>
              <w:rPr>
                <w:rFonts w:ascii="Cambria Math" w:hAnsi="Cambria Math"/>
              </w:rPr>
            </m:ctrlPr>
          </m:sub>
        </m:sSub>
      </m:oMath>
      <w:r>
        <w:t xml:space="preserve"> </w:t>
      </w:r>
      <w:r w:rsidRPr="00B916EC">
        <w:rPr>
          <w:lang w:val="en-US"/>
        </w:rPr>
        <w:t>HARQ-ACK</w:t>
      </w:r>
      <w:r w:rsidRPr="00E102CA">
        <w:rPr>
          <w:lang w:val="en-US"/>
        </w:rPr>
        <w:t xml:space="preserve"> </w:t>
      </w:r>
      <w:r>
        <w:rPr>
          <w:lang w:val="en-US"/>
        </w:rPr>
        <w:t>information</w:t>
      </w:r>
      <w:r w:rsidRPr="00B916EC">
        <w:rPr>
          <w:lang w:val="en-US"/>
        </w:rPr>
        <w:t xml:space="preserve"> bits, </w:t>
      </w:r>
      <m:oMath>
        <m:sSub>
          <m:sSubPr>
            <m:ctrlPr>
              <w:rPr>
                <w:rFonts w:ascii="Cambria Math" w:hAnsi="Cambria Math"/>
                <w:i/>
                <w:lang w:val="en-US"/>
              </w:rPr>
            </m:ctrlPr>
          </m:sSubPr>
          <m:e>
            <m:r>
              <w:rPr>
                <w:rFonts w:ascii="Cambria Math" w:hAnsi="Cambria Math"/>
                <w:lang w:val="en-US"/>
              </w:rPr>
              <m:t>O</m:t>
            </m:r>
          </m:e>
          <m:sub>
            <m:r>
              <m:rPr>
                <m:sty m:val="p"/>
              </m:rPr>
              <w:rPr>
                <w:rFonts w:ascii="Cambria Math" w:hAnsi="Cambria Math"/>
                <w:lang w:val="en-US"/>
              </w:rPr>
              <m:t>SR</m:t>
            </m:r>
          </m:sub>
        </m:sSub>
        <m:r>
          <w:rPr>
            <w:rFonts w:ascii="Cambria Math" w:hAnsi="Cambria Math"/>
            <w:lang w:val="en-US"/>
          </w:rPr>
          <m:t>=</m:t>
        </m:r>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K+1</m:t>
                </m:r>
              </m:e>
            </m:d>
          </m:e>
        </m:d>
      </m:oMath>
      <w:r w:rsidRPr="00B916EC">
        <w:rPr>
          <w:lang w:val="en-US"/>
        </w:rPr>
        <w:t xml:space="preserve"> SR bit</w:t>
      </w:r>
      <w:r>
        <w:rPr>
          <w:lang w:val="en-US"/>
        </w:rPr>
        <w:t>s</w:t>
      </w:r>
      <w:r w:rsidRPr="00B916EC">
        <w:rPr>
          <w:lang w:val="en-US"/>
        </w:rPr>
        <w:t xml:space="preserve">, and </w:t>
      </w:r>
      <m:oMath>
        <m:sSub>
          <m:sSubPr>
            <m:ctrlPr>
              <w:rPr>
                <w:rFonts w:ascii="Cambria Math" w:hAnsi="Cambria Math"/>
                <w:i/>
              </w:rPr>
            </m:ctrlPr>
          </m:sSubPr>
          <m:e>
            <m:r>
              <w:rPr>
                <w:rFonts w:ascii="Cambria Math"/>
              </w:rPr>
              <m:t>O</m:t>
            </m:r>
          </m:e>
          <m:sub>
            <m:r>
              <m:rPr>
                <m:nor/>
              </m:rPr>
              <w:rPr>
                <w:rFonts w:ascii="Cambria Math"/>
              </w:rPr>
              <m:t>CRC</m:t>
            </m:r>
            <m:ctrlPr>
              <w:rPr>
                <w:rFonts w:ascii="Cambria Math" w:hAnsi="Cambria Math"/>
              </w:rPr>
            </m:ctrlPr>
          </m:sub>
        </m:sSub>
      </m:oMath>
      <w:r w:rsidRPr="00B916EC">
        <w:rPr>
          <w:lang w:val="en-US"/>
        </w:rPr>
        <w:t xml:space="preserve"> </w:t>
      </w:r>
      <w:r>
        <w:rPr>
          <w:lang w:val="en-US"/>
        </w:rPr>
        <w:t xml:space="preserve">CRC </w:t>
      </w:r>
      <w:r w:rsidRPr="00B916EC">
        <w:rPr>
          <w:lang w:val="en-US"/>
        </w:rPr>
        <w:t>bits using PUCCH format 2 or PUCCH format 3</w:t>
      </w:r>
      <w:r>
        <w:rPr>
          <w:lang w:val="en-US"/>
        </w:rPr>
        <w:t xml:space="preserve"> in a PUCCH resource that includes </w:t>
      </w:r>
      <m:oMath>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t>
            </m:r>
          </m:sub>
          <m:sup>
            <m:r>
              <m:rPr>
                <m:nor/>
              </m:rPr>
              <w:rPr>
                <w:rFonts w:ascii="Cambria Math"/>
              </w:rPr>
              <m:t>PUCCH</m:t>
            </m:r>
          </m:sup>
        </m:sSubSup>
      </m:oMath>
      <w:r>
        <w:rPr>
          <w:lang w:val="en-US"/>
        </w:rPr>
        <w:t xml:space="preserve"> PRBs</w:t>
      </w:r>
      <w:r w:rsidRPr="00B916EC">
        <w:rPr>
          <w:lang w:val="en-US"/>
        </w:rPr>
        <w:t xml:space="preserve">, the UE determines a number of PRBs </w:t>
      </w:r>
      <m:oMath>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RB,min</m:t>
            </m:r>
          </m:sub>
          <m:sup>
            <m:r>
              <m:rPr>
                <m:nor/>
              </m:rPr>
              <w:rPr>
                <w:rFonts w:ascii="Cambria Math"/>
              </w:rPr>
              <m:t>PUCCH</m:t>
            </m:r>
          </m:sup>
        </m:sSubSup>
      </m:oMath>
      <w:r w:rsidRPr="00B916EC">
        <w:rPr>
          <w:lang w:val="en-US"/>
        </w:rPr>
        <w:t xml:space="preserve"> for the PUCCH transmission to be the minimum number of PRBs, that is smaller than or equal to a number of PRBs provided by </w:t>
      </w:r>
      <w:r w:rsidRPr="00FD43DF">
        <w:rPr>
          <w:i/>
        </w:rPr>
        <w:t>nrofPRBs</w:t>
      </w:r>
      <w:r w:rsidRPr="00AB49CD">
        <w:t xml:space="preserve"> in</w:t>
      </w:r>
      <w:r>
        <w:rPr>
          <w:i/>
        </w:rPr>
        <w:t xml:space="preserve"> </w:t>
      </w:r>
      <w:r w:rsidRPr="00FD417D">
        <w:rPr>
          <w:i/>
        </w:rPr>
        <w:t>PUCCH-format</w:t>
      </w:r>
      <w:r>
        <w:rPr>
          <w:i/>
        </w:rPr>
        <w:t>2</w:t>
      </w:r>
      <w:r w:rsidRPr="00B916EC">
        <w:t xml:space="preserve"> </w:t>
      </w:r>
      <w:r w:rsidRPr="00B916EC">
        <w:rPr>
          <w:lang w:val="en-US"/>
        </w:rPr>
        <w:t xml:space="preserve">or </w:t>
      </w:r>
      <w:r w:rsidRPr="00FD43DF">
        <w:rPr>
          <w:i/>
        </w:rPr>
        <w:t>nrofPRBs</w:t>
      </w:r>
      <w:r w:rsidRPr="00AB49CD">
        <w:t xml:space="preserve"> in</w:t>
      </w:r>
      <w:r>
        <w:rPr>
          <w:i/>
        </w:rPr>
        <w:t xml:space="preserve"> PUCCH-format3</w:t>
      </w:r>
      <w:r w:rsidRPr="00B916EC">
        <w:rPr>
          <w:lang w:val="en-US"/>
        </w:rPr>
        <w:t xml:space="preserve"> and starts from the first PRB from the number of PRBs, that results to </w:t>
      </w:r>
      <m:oMath>
        <m:d>
          <m:dPr>
            <m:ctrlPr>
              <w:rPr>
                <w:rFonts w:ascii="Cambria Math" w:hAnsi="Cambria Math"/>
                <w:i/>
              </w:rPr>
            </m:ctrlPr>
          </m:dPr>
          <m:e>
            <m:sSub>
              <m:sSubPr>
                <m:ctrlPr>
                  <w:rPr>
                    <w:rFonts w:ascii="Cambria Math" w:hAnsi="Cambria Math"/>
                    <w:i/>
                  </w:rPr>
                </m:ctrlPr>
              </m:sSubPr>
              <m:e>
                <m:r>
                  <w:rPr>
                    <w:rFonts w:ascii="Cambria Math"/>
                  </w:rPr>
                  <m:t>O</m:t>
                </m:r>
              </m:e>
              <m:sub>
                <m:r>
                  <m:rPr>
                    <m:nor/>
                  </m:rPr>
                  <w:rPr>
                    <w:rFonts w:ascii="Cambria Math"/>
                  </w:rPr>
                  <m:t>ACK</m:t>
                </m:r>
                <m:ctrlPr>
                  <w:rPr>
                    <w:rFonts w:ascii="Cambria Math" w:hAnsi="Cambria Math"/>
                  </w:rPr>
                </m:ctrlPr>
              </m:sub>
            </m:sSub>
            <m:r>
              <w:rPr>
                <w:rFonts w:ascii="Cambria Math"/>
              </w:rPr>
              <m:t>+</m:t>
            </m:r>
            <m:sSub>
              <m:sSubPr>
                <m:ctrlPr>
                  <w:rPr>
                    <w:rFonts w:ascii="Cambria Math" w:hAnsi="Cambria Math"/>
                    <w:i/>
                  </w:rPr>
                </m:ctrlPr>
              </m:sSubPr>
              <m:e>
                <m:sSub>
                  <m:sSubPr>
                    <m:ctrlPr>
                      <w:rPr>
                        <w:rFonts w:ascii="Cambria Math" w:hAnsi="Cambria Math"/>
                        <w:i/>
                        <w:lang w:val="en-US"/>
                      </w:rPr>
                    </m:ctrlPr>
                  </m:sSubPr>
                  <m:e>
                    <m:r>
                      <w:rPr>
                        <w:rFonts w:ascii="Cambria Math" w:hAnsi="Cambria Math"/>
                        <w:lang w:val="en-US"/>
                      </w:rPr>
                      <m:t>O</m:t>
                    </m:r>
                  </m:e>
                  <m:sub>
                    <m:r>
                      <m:rPr>
                        <m:sty m:val="p"/>
                      </m:rPr>
                      <w:rPr>
                        <w:rFonts w:ascii="Cambria Math" w:hAnsi="Cambria Math"/>
                        <w:lang w:val="en-US"/>
                      </w:rPr>
                      <m:t>SR</m:t>
                    </m:r>
                  </m:sub>
                </m:sSub>
                <m:r>
                  <w:rPr>
                    <w:rFonts w:ascii="Cambria Math"/>
                  </w:rPr>
                  <m:t>+O</m:t>
                </m:r>
              </m:e>
              <m:sub>
                <m:r>
                  <m:rPr>
                    <m:nor/>
                  </m:rPr>
                  <w:rPr>
                    <w:rFonts w:ascii="Cambria Math"/>
                  </w:rPr>
                  <m:t>CRC</m:t>
                </m:r>
                <m:ctrlPr>
                  <w:rPr>
                    <w:rFonts w:ascii="Cambria Math" w:hAnsi="Cambria Math"/>
                  </w:rPr>
                </m:ctrlPr>
              </m:sub>
            </m:sSub>
          </m:e>
        </m:d>
        <m:r>
          <w:rPr>
            <w:rFonts w:ascii="Cambria Math"/>
          </w:rPr>
          <m:t>≤</m:t>
        </m:r>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RB,min</m:t>
            </m:r>
          </m:sub>
          <m:sup>
            <m:r>
              <m:rPr>
                <m:nor/>
              </m:rPr>
              <w:rPr>
                <w:rFonts w:ascii="Cambria Math"/>
              </w:rPr>
              <m:t>PUCCH</m:t>
            </m:r>
          </m:sup>
        </m:sSubSup>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sc,ctrl</m:t>
            </m:r>
            <m:ctrlPr>
              <w:rPr>
                <w:rFonts w:ascii="Cambria Math" w:hAnsi="Cambria Math"/>
              </w:rPr>
            </m:ctrlPr>
          </m:sub>
          <m:sup>
            <m:r>
              <m:rPr>
                <m:nor/>
              </m:rPr>
              <w:rPr>
                <w:rFonts w:ascii="Cambria Math"/>
              </w:rPr>
              <m:t>RB</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symb-UCI</m:t>
            </m:r>
            <m:ctrlPr>
              <w:rPr>
                <w:rFonts w:ascii="Cambria Math" w:hAnsi="Cambria Math"/>
              </w:rPr>
            </m:ctrlPr>
          </m:sub>
          <m:sup>
            <m:r>
              <m:rPr>
                <m:nor/>
              </m:rPr>
              <w:rPr>
                <w:rFonts w:ascii="Cambria Math"/>
              </w:rPr>
              <m:t>PUCCH</m:t>
            </m:r>
            <m:ctrlPr>
              <w:rPr>
                <w:rFonts w:ascii="Cambria Math" w:hAnsi="Cambria Math"/>
              </w:rPr>
            </m:ctrlPr>
          </m:sup>
        </m:sSubSup>
        <m:r>
          <w:rPr>
            <w:rFonts w:ascii="Cambria Math" w:hAnsi="Cambria Math" w:cs="Cambria Math"/>
          </w:rPr>
          <m:t>⋅</m:t>
        </m:r>
        <m:sSub>
          <m:sSubPr>
            <m:ctrlPr>
              <w:rPr>
                <w:rFonts w:ascii="Cambria Math" w:hAnsi="Cambria Math"/>
                <w:i/>
              </w:rPr>
            </m:ctrlPr>
          </m:sSubPr>
          <m:e>
            <m:r>
              <w:rPr>
                <w:rFonts w:ascii="Cambria Math"/>
              </w:rPr>
              <m:t>Q</m:t>
            </m:r>
          </m:e>
          <m:sub>
            <m:r>
              <w:rPr>
                <w:rFonts w:ascii="Cambria Math"/>
              </w:rPr>
              <m:t>m</m:t>
            </m:r>
          </m:sub>
        </m:sSub>
        <m:r>
          <w:rPr>
            <w:rFonts w:ascii="Cambria Math" w:hAnsi="Cambria Math" w:cs="Cambria Math"/>
          </w:rPr>
          <m:t>⋅</m:t>
        </m:r>
        <m:r>
          <w:rPr>
            <w:rFonts w:ascii="Cambria Math"/>
          </w:rPr>
          <m:t>r</m:t>
        </m:r>
      </m:oMath>
      <w:r w:rsidRPr="00B916EC">
        <w:rPr>
          <w:lang w:val="en-US"/>
        </w:rPr>
        <w:t xml:space="preserve"> and, if </w:t>
      </w:r>
      <m:oMath>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t>
            </m:r>
          </m:sub>
          <m:sup>
            <m:r>
              <m:rPr>
                <m:nor/>
              </m:rPr>
              <w:rPr>
                <w:rFonts w:ascii="Cambria Math"/>
              </w:rPr>
              <m:t>PUCCH</m:t>
            </m:r>
          </m:sup>
        </m:sSubSup>
        <m:r>
          <w:rPr>
            <w:rFonts w:ascii="Cambria Math" w:hAnsi="Cambria Math"/>
            <w:lang w:val="en-US"/>
          </w:rPr>
          <m:t>&gt;1</m:t>
        </m:r>
      </m:oMath>
      <w:r w:rsidRPr="00B916EC">
        <w:rPr>
          <w:lang w:val="en-US"/>
        </w:rPr>
        <w:t>,</w:t>
      </w:r>
      <w:r>
        <w:rPr>
          <w:lang w:val="en-US"/>
        </w:rPr>
        <w:t xml:space="preserve"> </w:t>
      </w:r>
      <m:oMath>
        <m:d>
          <m:dPr>
            <m:ctrlPr>
              <w:rPr>
                <w:rFonts w:ascii="Cambria Math" w:hAnsi="Cambria Math"/>
                <w:i/>
              </w:rPr>
            </m:ctrlPr>
          </m:dPr>
          <m:e>
            <m:sSub>
              <m:sSubPr>
                <m:ctrlPr>
                  <w:rPr>
                    <w:rFonts w:ascii="Cambria Math" w:hAnsi="Cambria Math"/>
                    <w:i/>
                  </w:rPr>
                </m:ctrlPr>
              </m:sSubPr>
              <m:e>
                <m:r>
                  <w:rPr>
                    <w:rFonts w:ascii="Cambria Math"/>
                  </w:rPr>
                  <m:t>O</m:t>
                </m:r>
              </m:e>
              <m:sub>
                <m:r>
                  <m:rPr>
                    <m:nor/>
                  </m:rPr>
                  <w:rPr>
                    <w:rFonts w:ascii="Cambria Math"/>
                  </w:rPr>
                  <m:t>ACK</m:t>
                </m:r>
                <m:ctrlPr>
                  <w:rPr>
                    <w:rFonts w:ascii="Cambria Math" w:hAnsi="Cambria Math"/>
                  </w:rPr>
                </m:ctrlPr>
              </m:sub>
            </m:sSub>
            <m:r>
              <w:rPr>
                <w:rFonts w:ascii="Cambria Math"/>
              </w:rPr>
              <m:t>+</m:t>
            </m:r>
            <m:sSub>
              <m:sSubPr>
                <m:ctrlPr>
                  <w:rPr>
                    <w:rFonts w:ascii="Cambria Math" w:hAnsi="Cambria Math"/>
                    <w:i/>
                  </w:rPr>
                </m:ctrlPr>
              </m:sSubPr>
              <m:e>
                <m:sSub>
                  <m:sSubPr>
                    <m:ctrlPr>
                      <w:rPr>
                        <w:rFonts w:ascii="Cambria Math" w:hAnsi="Cambria Math"/>
                        <w:i/>
                        <w:lang w:val="en-US"/>
                      </w:rPr>
                    </m:ctrlPr>
                  </m:sSubPr>
                  <m:e>
                    <m:r>
                      <w:rPr>
                        <w:rFonts w:ascii="Cambria Math" w:hAnsi="Cambria Math"/>
                        <w:lang w:val="en-US"/>
                      </w:rPr>
                      <m:t>O</m:t>
                    </m:r>
                  </m:e>
                  <m:sub>
                    <m:r>
                      <m:rPr>
                        <m:sty m:val="p"/>
                      </m:rPr>
                      <w:rPr>
                        <w:rFonts w:ascii="Cambria Math" w:hAnsi="Cambria Math"/>
                        <w:lang w:val="en-US"/>
                      </w:rPr>
                      <m:t>SR</m:t>
                    </m:r>
                  </m:sub>
                </m:sSub>
                <m:r>
                  <w:rPr>
                    <w:rFonts w:ascii="Cambria Math"/>
                  </w:rPr>
                  <m:t>+O</m:t>
                </m:r>
              </m:e>
              <m:sub>
                <m:r>
                  <m:rPr>
                    <m:nor/>
                  </m:rPr>
                  <w:rPr>
                    <w:rFonts w:ascii="Cambria Math"/>
                  </w:rPr>
                  <m:t>CRC</m:t>
                </m:r>
                <m:ctrlPr>
                  <w:rPr>
                    <w:rFonts w:ascii="Cambria Math" w:hAnsi="Cambria Math"/>
                  </w:rPr>
                </m:ctrlPr>
              </m:sub>
            </m:sSub>
          </m:e>
        </m:d>
        <m:r>
          <w:rPr>
            <w:rFonts w:ascii="Cambria Math"/>
          </w:rPr>
          <m:t>&gt;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RB,min</m:t>
                </m:r>
              </m:sub>
              <m:sup>
                <m:r>
                  <m:rPr>
                    <m:nor/>
                  </m:rPr>
                  <w:rPr>
                    <w:rFonts w:ascii="Cambria Math"/>
                  </w:rPr>
                  <m:t>PUCCH</m:t>
                </m:r>
              </m:sup>
            </m:sSubSup>
            <m:r>
              <w:rPr>
                <w:rFonts w:ascii="Cambria Math" w:hAnsi="Cambria Math"/>
                <w:lang w:val="en-US"/>
              </w:rPr>
              <m:t>-1</m:t>
            </m:r>
          </m:e>
        </m:d>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sc,ctrl</m:t>
            </m:r>
            <m:ctrlPr>
              <w:rPr>
                <w:rFonts w:ascii="Cambria Math" w:hAnsi="Cambria Math"/>
              </w:rPr>
            </m:ctrlPr>
          </m:sub>
          <m:sup>
            <m:r>
              <m:rPr>
                <m:nor/>
              </m:rPr>
              <w:rPr>
                <w:rFonts w:ascii="Cambria Math"/>
              </w:rPr>
              <m:t>RB</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symb-UCI</m:t>
            </m:r>
            <m:ctrlPr>
              <w:rPr>
                <w:rFonts w:ascii="Cambria Math" w:hAnsi="Cambria Math"/>
              </w:rPr>
            </m:ctrlPr>
          </m:sub>
          <m:sup>
            <m:r>
              <m:rPr>
                <m:nor/>
              </m:rPr>
              <w:rPr>
                <w:rFonts w:ascii="Cambria Math"/>
              </w:rPr>
              <m:t>PUCCH</m:t>
            </m:r>
            <m:ctrlPr>
              <w:rPr>
                <w:rFonts w:ascii="Cambria Math" w:hAnsi="Cambria Math"/>
              </w:rPr>
            </m:ctrlPr>
          </m:sup>
        </m:sSubSup>
        <m:r>
          <w:rPr>
            <w:rFonts w:ascii="Cambria Math" w:hAnsi="Cambria Math" w:cs="Cambria Math"/>
          </w:rPr>
          <m:t>⋅</m:t>
        </m:r>
        <m:sSub>
          <m:sSubPr>
            <m:ctrlPr>
              <w:rPr>
                <w:rFonts w:ascii="Cambria Math" w:hAnsi="Cambria Math"/>
                <w:i/>
              </w:rPr>
            </m:ctrlPr>
          </m:sSubPr>
          <m:e>
            <m:r>
              <w:rPr>
                <w:rFonts w:ascii="Cambria Math"/>
              </w:rPr>
              <m:t>Q</m:t>
            </m:r>
          </m:e>
          <m:sub>
            <m:r>
              <w:rPr>
                <w:rFonts w:ascii="Cambria Math"/>
              </w:rPr>
              <m:t>m</m:t>
            </m:r>
          </m:sub>
        </m:sSub>
        <m:r>
          <w:rPr>
            <w:rFonts w:ascii="Cambria Math" w:hAnsi="Cambria Math" w:cs="Cambria Math"/>
          </w:rPr>
          <m:t>⋅</m:t>
        </m:r>
        <m:r>
          <w:rPr>
            <w:rFonts w:ascii="Cambria Math"/>
          </w:rPr>
          <m:t>r</m:t>
        </m:r>
      </m:oMath>
      <w:r w:rsidRPr="00B916EC">
        <w:rPr>
          <w:lang w:val="en-US"/>
        </w:rPr>
        <w:t xml:space="preserve">, where </w:t>
      </w:r>
      <m:oMath>
        <m:sSubSup>
          <m:sSubSupPr>
            <m:ctrlPr>
              <w:rPr>
                <w:rFonts w:ascii="Cambria Math" w:hAnsi="Cambria Math"/>
                <w:i/>
              </w:rPr>
            </m:ctrlPr>
          </m:sSubSupPr>
          <m:e>
            <m:r>
              <w:rPr>
                <w:rFonts w:ascii="Cambria Math"/>
              </w:rPr>
              <m:t>N</m:t>
            </m:r>
          </m:e>
          <m:sub>
            <m:r>
              <m:rPr>
                <m:nor/>
              </m:rPr>
              <w:rPr>
                <w:rFonts w:ascii="Cambria Math"/>
              </w:rPr>
              <m:t>sc,ctrl</m:t>
            </m:r>
            <m:ctrlPr>
              <w:rPr>
                <w:rFonts w:ascii="Cambria Math" w:hAnsi="Cambria Math"/>
              </w:rPr>
            </m:ctrlPr>
          </m:sub>
          <m:sup>
            <m:r>
              <m:rPr>
                <m:nor/>
              </m:rPr>
              <w:rPr>
                <w:rFonts w:ascii="Cambria Math"/>
              </w:rPr>
              <m:t>RB</m:t>
            </m:r>
            <m:ctrlPr>
              <w:rPr>
                <w:rFonts w:ascii="Cambria Math" w:hAnsi="Cambria Math"/>
              </w:rPr>
            </m:ctrlPr>
          </m:sup>
        </m:sSubSup>
      </m:oMath>
      <w:r w:rsidRPr="00B916EC">
        <w:rPr>
          <w:lang w:val="en-US"/>
        </w:rPr>
        <w:t xml:space="preserve">, </w:t>
      </w:r>
      <m:oMath>
        <m:sSubSup>
          <m:sSubSupPr>
            <m:ctrlPr>
              <w:rPr>
                <w:rFonts w:ascii="Cambria Math" w:hAnsi="Cambria Math"/>
                <w:i/>
              </w:rPr>
            </m:ctrlPr>
          </m:sSubSupPr>
          <m:e>
            <m:r>
              <w:rPr>
                <w:rFonts w:ascii="Cambria Math"/>
              </w:rPr>
              <m:t>N</m:t>
            </m:r>
          </m:e>
          <m:sub>
            <m:r>
              <m:rPr>
                <m:nor/>
              </m:rPr>
              <w:rPr>
                <w:rFonts w:ascii="Cambria Math"/>
              </w:rPr>
              <m:t>symb-UCI</m:t>
            </m:r>
            <m:ctrlPr>
              <w:rPr>
                <w:rFonts w:ascii="Cambria Math" w:hAnsi="Cambria Math"/>
              </w:rPr>
            </m:ctrlPr>
          </m:sub>
          <m:sup>
            <m:r>
              <m:rPr>
                <m:nor/>
              </m:rPr>
              <w:rPr>
                <w:rFonts w:ascii="Cambria Math"/>
              </w:rPr>
              <m:t>PUCCH</m:t>
            </m:r>
            <m:ctrlPr>
              <w:rPr>
                <w:rFonts w:ascii="Cambria Math" w:hAnsi="Cambria Math"/>
              </w:rPr>
            </m:ctrlPr>
          </m:sup>
        </m:sSubSup>
      </m:oMath>
      <w:r w:rsidRPr="00B916EC">
        <w:rPr>
          <w:lang w:val="en-US"/>
        </w:rPr>
        <w:t xml:space="preserve">, </w:t>
      </w:r>
      <m:oMath>
        <m:sSub>
          <m:sSubPr>
            <m:ctrlPr>
              <w:rPr>
                <w:rFonts w:ascii="Cambria Math" w:hAnsi="Cambria Math"/>
                <w:i/>
              </w:rPr>
            </m:ctrlPr>
          </m:sSubPr>
          <m:e>
            <m:r>
              <w:rPr>
                <w:rFonts w:ascii="Cambria Math"/>
              </w:rPr>
              <m:t>Q</m:t>
            </m:r>
          </m:e>
          <m:sub>
            <m:r>
              <w:rPr>
                <w:rFonts w:ascii="Cambria Math"/>
              </w:rPr>
              <m:t>m</m:t>
            </m:r>
          </m:sub>
        </m:sSub>
      </m:oMath>
      <w:r w:rsidRPr="00B916EC">
        <w:rPr>
          <w:lang w:val="en-US"/>
        </w:rPr>
        <w:t xml:space="preserve">, and </w:t>
      </w:r>
      <m:oMath>
        <m:r>
          <w:rPr>
            <w:rFonts w:ascii="Cambria Math"/>
          </w:rPr>
          <m:t>r</m:t>
        </m:r>
      </m:oMath>
      <w:r w:rsidRPr="00B916EC">
        <w:rPr>
          <w:lang w:val="en-US"/>
        </w:rPr>
        <w:t xml:space="preserve"> are defined </w:t>
      </w:r>
      <w:r w:rsidR="006F5F9E">
        <w:rPr>
          <w:lang w:val="en-US"/>
        </w:rPr>
        <w:t>in clause</w:t>
      </w:r>
      <w:r>
        <w:rPr>
          <w:lang w:val="en-US"/>
        </w:rPr>
        <w:t xml:space="preserve"> 9.2.5.2</w:t>
      </w:r>
      <w:r w:rsidRPr="00B916EC">
        <w:rPr>
          <w:lang w:val="en-US"/>
        </w:rPr>
        <w:t>.</w:t>
      </w:r>
      <w:r w:rsidR="00C5287C" w:rsidRPr="00C5287C">
        <w:rPr>
          <w:lang w:val="en-US"/>
        </w:rPr>
        <w:t xml:space="preserve"> </w:t>
      </w:r>
      <w:r w:rsidR="00C5287C" w:rsidRPr="008C0CFC">
        <w:rPr>
          <w:lang w:val="en-US"/>
        </w:rPr>
        <w:t xml:space="preserve">For PUCCH format 3, if </w:t>
      </w:r>
      <m:oMath>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RB,min</m:t>
            </m:r>
          </m:sub>
          <m:sup>
            <m:r>
              <m:rPr>
                <m:nor/>
              </m:rPr>
              <w:rPr>
                <w:rFonts w:ascii="Cambria Math"/>
              </w:rPr>
              <m:t>PUCCH</m:t>
            </m:r>
          </m:sup>
        </m:sSubSup>
      </m:oMath>
      <w:r w:rsidR="00C5287C">
        <w:rPr>
          <w:lang w:val="en-US"/>
        </w:rPr>
        <w:t xml:space="preserve"> </w:t>
      </w:r>
      <w:r w:rsidR="00C5287C" w:rsidRPr="008C0CFC">
        <w:rPr>
          <w:lang w:val="en-US"/>
        </w:rPr>
        <w:t xml:space="preserve">is not equal </w:t>
      </w:r>
      <m:oMath>
        <m:sSup>
          <m:sSupPr>
            <m:ctrlPr>
              <w:rPr>
                <w:rFonts w:ascii="Cambria Math" w:hAnsi="Cambria Math"/>
                <w:i/>
                <w:lang w:val="en-US"/>
              </w:rPr>
            </m:ctrlPr>
          </m:sSupPr>
          <m:e>
            <m:r>
              <w:rPr>
                <w:rFonts w:ascii="Cambria Math" w:hAnsi="Cambria Math"/>
                <w:lang w:val="en-US"/>
              </w:rPr>
              <m:t>2</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sup>
        </m:sSup>
        <m:r>
          <w:rPr>
            <w:rFonts w:ascii="Cambria Math" w:hAnsi="Cambria Math" w:cs="Cambria Math"/>
          </w:rPr>
          <m:t>⋅</m:t>
        </m:r>
        <m:sSup>
          <m:sSupPr>
            <m:ctrlPr>
              <w:rPr>
                <w:rFonts w:ascii="Cambria Math" w:hAnsi="Cambria Math"/>
                <w:i/>
                <w:lang w:val="en-US"/>
              </w:rPr>
            </m:ctrlPr>
          </m:sSupPr>
          <m:e>
            <m:r>
              <w:rPr>
                <w:rFonts w:ascii="Cambria Math" w:hAnsi="Cambria Math"/>
                <w:lang w:val="en-US"/>
              </w:rPr>
              <m:t>3</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3</m:t>
                </m:r>
              </m:sub>
            </m:sSub>
          </m:sup>
        </m:sSup>
        <m:r>
          <w:rPr>
            <w:rFonts w:ascii="Cambria Math" w:hAnsi="Cambria Math" w:cs="Cambria Math"/>
          </w:rPr>
          <m:t>⋅</m:t>
        </m:r>
        <m:sSup>
          <m:sSupPr>
            <m:ctrlPr>
              <w:rPr>
                <w:rFonts w:ascii="Cambria Math" w:hAnsi="Cambria Math"/>
                <w:i/>
                <w:lang w:val="en-US"/>
              </w:rPr>
            </m:ctrlPr>
          </m:sSupPr>
          <m:e>
            <m:r>
              <w:rPr>
                <w:rFonts w:ascii="Cambria Math" w:hAnsi="Cambria Math"/>
                <w:lang w:val="en-US"/>
              </w:rPr>
              <m:t>5</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5</m:t>
                </m:r>
              </m:sub>
            </m:sSub>
          </m:sup>
        </m:sSup>
      </m:oMath>
      <w:r w:rsidR="00C5287C">
        <w:rPr>
          <w:lang w:val="en-US"/>
        </w:rPr>
        <w:t xml:space="preserve"> </w:t>
      </w:r>
      <w:r w:rsidR="00C5287C" w:rsidRPr="008C0CFC">
        <w:rPr>
          <w:lang w:val="en-US"/>
        </w:rPr>
        <w:t xml:space="preserve">according to [4, TS 38.211], </w:t>
      </w:r>
      <m:oMath>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RB,min</m:t>
            </m:r>
          </m:sub>
          <m:sup>
            <m:r>
              <m:rPr>
                <m:nor/>
              </m:rPr>
              <w:rPr>
                <w:rFonts w:ascii="Cambria Math"/>
              </w:rPr>
              <m:t>PUCCH</m:t>
            </m:r>
          </m:sup>
        </m:sSubSup>
      </m:oMath>
      <w:r w:rsidR="00C5287C">
        <w:rPr>
          <w:lang w:val="en-US"/>
        </w:rPr>
        <w:t xml:space="preserve"> </w:t>
      </w:r>
      <w:r w:rsidR="00C5287C" w:rsidRPr="008C0CFC">
        <w:rPr>
          <w:lang w:val="en-US"/>
        </w:rPr>
        <w:t xml:space="preserve">is increased to the nearest allowed value of </w:t>
      </w:r>
      <w:r w:rsidR="00C5287C" w:rsidRPr="008C0CFC">
        <w:rPr>
          <w:i/>
          <w:iCs/>
          <w:lang w:val="en-US"/>
        </w:rPr>
        <w:t xml:space="preserve">nrofPRBs </w:t>
      </w:r>
      <w:r w:rsidR="00C5287C" w:rsidRPr="008C0CFC">
        <w:rPr>
          <w:lang w:val="en-US"/>
        </w:rPr>
        <w:t>[12, TS 38.331].</w:t>
      </w:r>
      <w:r>
        <w:rPr>
          <w:lang w:val="en-US"/>
        </w:rPr>
        <w:t xml:space="preserve"> If </w:t>
      </w:r>
      <m:oMath>
        <m:d>
          <m:dPr>
            <m:ctrlPr>
              <w:rPr>
                <w:rFonts w:ascii="Cambria Math" w:hAnsi="Cambria Math"/>
                <w:i/>
              </w:rPr>
            </m:ctrlPr>
          </m:dPr>
          <m:e>
            <m:sSub>
              <m:sSubPr>
                <m:ctrlPr>
                  <w:rPr>
                    <w:rFonts w:ascii="Cambria Math" w:hAnsi="Cambria Math"/>
                    <w:i/>
                  </w:rPr>
                </m:ctrlPr>
              </m:sSubPr>
              <m:e>
                <m:r>
                  <w:rPr>
                    <w:rFonts w:ascii="Cambria Math"/>
                  </w:rPr>
                  <m:t>O</m:t>
                </m:r>
              </m:e>
              <m:sub>
                <m:r>
                  <m:rPr>
                    <m:nor/>
                  </m:rPr>
                  <w:rPr>
                    <w:rFonts w:ascii="Cambria Math"/>
                  </w:rPr>
                  <m:t>ACK</m:t>
                </m:r>
                <m:ctrlPr>
                  <w:rPr>
                    <w:rFonts w:ascii="Cambria Math" w:hAnsi="Cambria Math"/>
                  </w:rPr>
                </m:ctrlPr>
              </m:sub>
            </m:sSub>
            <m:r>
              <w:rPr>
                <w:rFonts w:ascii="Cambria Math"/>
              </w:rPr>
              <m:t>+</m:t>
            </m:r>
            <m:sSub>
              <m:sSubPr>
                <m:ctrlPr>
                  <w:rPr>
                    <w:rFonts w:ascii="Cambria Math" w:hAnsi="Cambria Math"/>
                    <w:i/>
                  </w:rPr>
                </m:ctrlPr>
              </m:sSubPr>
              <m:e>
                <m:sSub>
                  <m:sSubPr>
                    <m:ctrlPr>
                      <w:rPr>
                        <w:rFonts w:ascii="Cambria Math" w:hAnsi="Cambria Math"/>
                        <w:i/>
                        <w:lang w:val="en-US"/>
                      </w:rPr>
                    </m:ctrlPr>
                  </m:sSubPr>
                  <m:e>
                    <m:r>
                      <w:rPr>
                        <w:rFonts w:ascii="Cambria Math" w:hAnsi="Cambria Math"/>
                        <w:lang w:val="en-US"/>
                      </w:rPr>
                      <m:t>O</m:t>
                    </m:r>
                  </m:e>
                  <m:sub>
                    <m:r>
                      <m:rPr>
                        <m:sty m:val="p"/>
                      </m:rPr>
                      <w:rPr>
                        <w:rFonts w:ascii="Cambria Math" w:hAnsi="Cambria Math"/>
                        <w:lang w:val="en-US"/>
                      </w:rPr>
                      <m:t>SR</m:t>
                    </m:r>
                  </m:sub>
                </m:sSub>
                <m:r>
                  <w:rPr>
                    <w:rFonts w:ascii="Cambria Math"/>
                  </w:rPr>
                  <m:t>+O</m:t>
                </m:r>
              </m:e>
              <m:sub>
                <m:r>
                  <m:rPr>
                    <m:nor/>
                  </m:rPr>
                  <w:rPr>
                    <w:rFonts w:ascii="Cambria Math"/>
                  </w:rPr>
                  <m:t>CRC</m:t>
                </m:r>
                <m:ctrlPr>
                  <w:rPr>
                    <w:rFonts w:ascii="Cambria Math" w:hAnsi="Cambria Math"/>
                  </w:rPr>
                </m:ctrlPr>
              </m:sub>
            </m:sSub>
          </m:e>
        </m:d>
        <m:r>
          <w:rPr>
            <w:rFonts w:ascii="Cambria Math"/>
          </w:rPr>
          <m:t>&gt;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t>
                </m:r>
              </m:sub>
              <m:sup>
                <m:r>
                  <m:rPr>
                    <m:nor/>
                  </m:rPr>
                  <w:rPr>
                    <w:rFonts w:ascii="Cambria Math"/>
                  </w:rPr>
                  <m:t>PUCCH</m:t>
                </m:r>
              </m:sup>
            </m:sSubSup>
            <m:r>
              <w:rPr>
                <w:rFonts w:ascii="Cambria Math" w:hAnsi="Cambria Math"/>
                <w:lang w:val="en-US"/>
              </w:rPr>
              <m:t>-1</m:t>
            </m:r>
          </m:e>
        </m:d>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sc,ctrl</m:t>
            </m:r>
            <m:ctrlPr>
              <w:rPr>
                <w:rFonts w:ascii="Cambria Math" w:hAnsi="Cambria Math"/>
              </w:rPr>
            </m:ctrlPr>
          </m:sub>
          <m:sup>
            <m:r>
              <m:rPr>
                <m:nor/>
              </m:rPr>
              <w:rPr>
                <w:rFonts w:ascii="Cambria Math"/>
              </w:rPr>
              <m:t>RB</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symb-UCI</m:t>
            </m:r>
            <m:ctrlPr>
              <w:rPr>
                <w:rFonts w:ascii="Cambria Math" w:hAnsi="Cambria Math"/>
              </w:rPr>
            </m:ctrlPr>
          </m:sub>
          <m:sup>
            <m:r>
              <m:rPr>
                <m:nor/>
              </m:rPr>
              <w:rPr>
                <w:rFonts w:ascii="Cambria Math"/>
              </w:rPr>
              <m:t>PUCCH</m:t>
            </m:r>
            <m:ctrlPr>
              <w:rPr>
                <w:rFonts w:ascii="Cambria Math" w:hAnsi="Cambria Math"/>
              </w:rPr>
            </m:ctrlPr>
          </m:sup>
        </m:sSubSup>
        <m:r>
          <w:rPr>
            <w:rFonts w:ascii="Cambria Math" w:hAnsi="Cambria Math" w:cs="Cambria Math"/>
          </w:rPr>
          <m:t>⋅</m:t>
        </m:r>
        <m:sSub>
          <m:sSubPr>
            <m:ctrlPr>
              <w:rPr>
                <w:rFonts w:ascii="Cambria Math" w:hAnsi="Cambria Math"/>
                <w:i/>
              </w:rPr>
            </m:ctrlPr>
          </m:sSubPr>
          <m:e>
            <m:r>
              <w:rPr>
                <w:rFonts w:ascii="Cambria Math"/>
              </w:rPr>
              <m:t>Q</m:t>
            </m:r>
          </m:e>
          <m:sub>
            <m:r>
              <w:rPr>
                <w:rFonts w:ascii="Cambria Math"/>
              </w:rPr>
              <m:t>m</m:t>
            </m:r>
          </m:sub>
        </m:sSub>
        <m:r>
          <w:rPr>
            <w:rFonts w:ascii="Cambria Math" w:hAnsi="Cambria Math" w:cs="Cambria Math"/>
          </w:rPr>
          <m:t>⋅</m:t>
        </m:r>
        <m:r>
          <w:rPr>
            <w:rFonts w:ascii="Cambria Math"/>
          </w:rPr>
          <m:t>r</m:t>
        </m:r>
      </m:oMath>
      <w:r>
        <w:rPr>
          <w:lang w:val="en-US"/>
        </w:rPr>
        <w:t xml:space="preserve">, the UE transmits the PUCCH over the </w:t>
      </w:r>
      <m:oMath>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t>
            </m:r>
          </m:sub>
          <m:sup>
            <m:r>
              <m:rPr>
                <m:nor/>
              </m:rPr>
              <w:rPr>
                <w:rFonts w:ascii="Cambria Math"/>
              </w:rPr>
              <m:t>PUCCH</m:t>
            </m:r>
          </m:sup>
        </m:sSubSup>
      </m:oMath>
      <w:r>
        <w:rPr>
          <w:lang w:val="en-US"/>
        </w:rPr>
        <w:t xml:space="preserve"> PRBs.</w:t>
      </w:r>
    </w:p>
    <w:p w14:paraId="13A2C886" w14:textId="7401096D" w:rsidR="00940AB3" w:rsidRPr="00B916EC" w:rsidRDefault="00940AB3" w:rsidP="00D23CE9">
      <w:pPr>
        <w:rPr>
          <w:lang w:val="en-US"/>
        </w:rPr>
      </w:pPr>
      <w:r w:rsidRPr="00B916EC">
        <w:rPr>
          <w:lang w:val="en-US"/>
        </w:rPr>
        <w:t xml:space="preserve">If a UE </w:t>
      </w:r>
      <w:r>
        <w:rPr>
          <w:lang w:val="en-US"/>
        </w:rPr>
        <w:t xml:space="preserve">is provided a first interlace of </w:t>
      </w:r>
      <m:oMath>
        <m:sSubSup>
          <m:sSubSupPr>
            <m:ctrlPr>
              <w:rPr>
                <w:rFonts w:ascii="Cambria Math" w:hAnsi="Cambria Math"/>
                <w:i/>
              </w:rPr>
            </m:ctrlPr>
          </m:sSubSupPr>
          <m:e>
            <m:r>
              <w:rPr>
                <w:rFonts w:ascii="Cambria Math"/>
              </w:rPr>
              <m:t>M</m:t>
            </m:r>
          </m:e>
          <m:sub>
            <m:r>
              <m:rPr>
                <m:nor/>
              </m:rPr>
              <w:rPr>
                <w:rFonts w:ascii="Cambria Math"/>
              </w:rPr>
              <m:t>Interlace,0</m:t>
            </m:r>
            <m:ctrlPr>
              <w:rPr>
                <w:rFonts w:ascii="Cambria Math" w:hAnsi="Cambria Math"/>
              </w:rPr>
            </m:ctrlPr>
          </m:sub>
          <m:sup>
            <m:r>
              <m:rPr>
                <m:nor/>
              </m:rPr>
              <w:rPr>
                <w:rFonts w:ascii="Cambria Math"/>
              </w:rPr>
              <m:t>PUCCH</m:t>
            </m:r>
            <m:ctrlPr>
              <w:rPr>
                <w:rFonts w:ascii="Cambria Math" w:hAnsi="Cambria Math"/>
              </w:rPr>
            </m:ctrlPr>
          </m:sup>
        </m:sSubSup>
      </m:oMath>
      <w:r>
        <w:t xml:space="preserve"> PRBs </w:t>
      </w:r>
      <w:r>
        <w:rPr>
          <w:lang w:val="en-US"/>
        </w:rPr>
        <w:t xml:space="preserve">by </w:t>
      </w:r>
      <w:r w:rsidRPr="00284693">
        <w:rPr>
          <w:i/>
        </w:rPr>
        <w:t>interlace0</w:t>
      </w:r>
      <w:r>
        <w:t xml:space="preserve"> in </w:t>
      </w:r>
      <w:r w:rsidRPr="00284693">
        <w:rPr>
          <w:i/>
        </w:rPr>
        <w:t>InterlaceAllocation</w:t>
      </w:r>
      <w:r w:rsidRPr="00DD0BB1">
        <w:t xml:space="preserve"> </w:t>
      </w:r>
      <w:r>
        <w:rPr>
          <w:lang w:val="en-US"/>
        </w:rPr>
        <w:t xml:space="preserve">and </w:t>
      </w:r>
      <w:r w:rsidRPr="00B916EC">
        <w:rPr>
          <w:lang w:val="en-US"/>
        </w:rPr>
        <w:t>transmits</w:t>
      </w:r>
      <w:r>
        <w:rPr>
          <w:lang w:val="en-US"/>
        </w:rPr>
        <w:t xml:space="preserve"> a PUCCH with</w:t>
      </w:r>
      <w:r w:rsidRPr="00B916EC">
        <w:rPr>
          <w:lang w:val="en-US"/>
        </w:rPr>
        <w:t xml:space="preserve"> </w:t>
      </w:r>
      <m:oMath>
        <m:sSub>
          <m:sSubPr>
            <m:ctrlPr>
              <w:rPr>
                <w:rFonts w:ascii="Cambria Math" w:hAnsi="Cambria Math"/>
                <w:i/>
              </w:rPr>
            </m:ctrlPr>
          </m:sSubPr>
          <m:e>
            <m:r>
              <w:rPr>
                <w:rFonts w:ascii="Cambria Math"/>
              </w:rPr>
              <m:t>O</m:t>
            </m:r>
          </m:e>
          <m:sub>
            <m:r>
              <m:rPr>
                <m:nor/>
              </m:rPr>
              <w:rPr>
                <w:rFonts w:ascii="Cambria Math"/>
              </w:rPr>
              <m:t>ACK</m:t>
            </m:r>
            <m:ctrlPr>
              <w:rPr>
                <w:rFonts w:ascii="Cambria Math" w:hAnsi="Cambria Math"/>
              </w:rPr>
            </m:ctrlPr>
          </m:sub>
        </m:sSub>
      </m:oMath>
      <w:r>
        <w:t xml:space="preserve"> </w:t>
      </w:r>
      <w:r w:rsidRPr="00B916EC">
        <w:rPr>
          <w:lang w:val="en-US"/>
        </w:rPr>
        <w:t>HARQ-ACK</w:t>
      </w:r>
      <w:r w:rsidRPr="00E102CA">
        <w:rPr>
          <w:lang w:val="en-US"/>
        </w:rPr>
        <w:t xml:space="preserve"> </w:t>
      </w:r>
      <w:r>
        <w:rPr>
          <w:lang w:val="en-US"/>
        </w:rPr>
        <w:t>information</w:t>
      </w:r>
      <w:r w:rsidRPr="00B916EC">
        <w:rPr>
          <w:lang w:val="en-US"/>
        </w:rPr>
        <w:t xml:space="preserve"> bits, </w:t>
      </w:r>
      <m:oMath>
        <m:sSub>
          <m:sSubPr>
            <m:ctrlPr>
              <w:rPr>
                <w:rFonts w:ascii="Cambria Math" w:hAnsi="Cambria Math"/>
                <w:i/>
              </w:rPr>
            </m:ctrlPr>
          </m:sSubPr>
          <m:e>
            <m:r>
              <w:rPr>
                <w:rFonts w:ascii="Cambria Math"/>
              </w:rPr>
              <m:t>O</m:t>
            </m:r>
          </m:e>
          <m:sub>
            <m:r>
              <m:rPr>
                <m:nor/>
              </m:rPr>
              <w:rPr>
                <w:rFonts w:ascii="Cambria Math"/>
              </w:rPr>
              <m:t>SR</m:t>
            </m:r>
            <m:ctrlPr>
              <w:rPr>
                <w:rFonts w:ascii="Cambria Math" w:hAnsi="Cambria Math"/>
              </w:rPr>
            </m:ctrlPr>
          </m:sub>
        </m:sSub>
        <m:r>
          <w:rPr>
            <w:rFonts w:ascii="Cambria Math"/>
          </w:rPr>
          <m:t>=</m:t>
        </m:r>
        <m:d>
          <m:dPr>
            <m:begChr m:val="⌈"/>
            <m:endChr m:val="⌉"/>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w:rPr>
                        <w:rFonts w:ascii="Cambria Math"/>
                      </w:rPr>
                      <m:t>log</m:t>
                    </m:r>
                  </m:e>
                  <m:sub>
                    <m:r>
                      <w:rPr>
                        <w:rFonts w:ascii="Cambria Math"/>
                      </w:rPr>
                      <m:t>2</m:t>
                    </m:r>
                  </m:sub>
                </m:sSub>
              </m:fName>
              <m:e>
                <m:d>
                  <m:dPr>
                    <m:ctrlPr>
                      <w:rPr>
                        <w:rFonts w:ascii="Cambria Math" w:hAnsi="Cambria Math"/>
                        <w:i/>
                      </w:rPr>
                    </m:ctrlPr>
                  </m:dPr>
                  <m:e>
                    <m:r>
                      <w:rPr>
                        <w:rFonts w:ascii="Cambria Math"/>
                      </w:rPr>
                      <m:t>K+1</m:t>
                    </m:r>
                  </m:e>
                </m:d>
              </m:e>
            </m:func>
          </m:e>
        </m:d>
      </m:oMath>
      <w:r w:rsidRPr="00B916EC">
        <w:rPr>
          <w:lang w:val="en-US"/>
        </w:rPr>
        <w:t xml:space="preserve"> SR bit</w:t>
      </w:r>
      <w:r>
        <w:rPr>
          <w:lang w:val="en-US"/>
        </w:rPr>
        <w:t>s</w:t>
      </w:r>
      <w:r w:rsidRPr="00B916EC">
        <w:rPr>
          <w:lang w:val="en-US"/>
        </w:rPr>
        <w:t xml:space="preserve">, and </w:t>
      </w:r>
      <m:oMath>
        <m:sSub>
          <m:sSubPr>
            <m:ctrlPr>
              <w:rPr>
                <w:rFonts w:ascii="Cambria Math" w:hAnsi="Cambria Math"/>
                <w:i/>
              </w:rPr>
            </m:ctrlPr>
          </m:sSubPr>
          <m:e>
            <m:r>
              <w:rPr>
                <w:rFonts w:ascii="Cambria Math"/>
              </w:rPr>
              <m:t>O</m:t>
            </m:r>
          </m:e>
          <m:sub>
            <m:r>
              <m:rPr>
                <m:nor/>
              </m:rPr>
              <w:rPr>
                <w:rFonts w:ascii="Cambria Math"/>
              </w:rPr>
              <m:t>CRC</m:t>
            </m:r>
            <m:ctrlPr>
              <w:rPr>
                <w:rFonts w:ascii="Cambria Math" w:hAnsi="Cambria Math"/>
              </w:rPr>
            </m:ctrlPr>
          </m:sub>
        </m:sSub>
      </m:oMath>
      <w:r w:rsidRPr="00B916EC">
        <w:rPr>
          <w:lang w:val="en-US"/>
        </w:rPr>
        <w:t xml:space="preserve"> </w:t>
      </w:r>
      <w:r>
        <w:rPr>
          <w:lang w:val="en-US"/>
        </w:rPr>
        <w:t xml:space="preserve">CRC </w:t>
      </w:r>
      <w:r w:rsidRPr="00B916EC">
        <w:rPr>
          <w:lang w:val="en-US"/>
        </w:rPr>
        <w:t xml:space="preserve">bits using PUCCH format 2 or PUCCH format 3, </w:t>
      </w:r>
      <w:r>
        <w:rPr>
          <w:lang w:val="en-US"/>
        </w:rPr>
        <w:t xml:space="preserve">the UE transmits the PUCCH over the first interlace if </w:t>
      </w:r>
      <m:oMath>
        <m:d>
          <m:dPr>
            <m:ctrlPr>
              <w:rPr>
                <w:rFonts w:ascii="Cambria Math" w:hAnsi="Cambria Math"/>
                <w:i/>
              </w:rPr>
            </m:ctrlPr>
          </m:dPr>
          <m:e>
            <m:sSub>
              <m:sSubPr>
                <m:ctrlPr>
                  <w:rPr>
                    <w:rFonts w:ascii="Cambria Math" w:hAnsi="Cambria Math"/>
                    <w:i/>
                  </w:rPr>
                </m:ctrlPr>
              </m:sSubPr>
              <m:e>
                <m:r>
                  <w:rPr>
                    <w:rFonts w:ascii="Cambria Math"/>
                  </w:rPr>
                  <m:t>O</m:t>
                </m:r>
              </m:e>
              <m:sub>
                <m:r>
                  <m:rPr>
                    <m:nor/>
                  </m:rPr>
                  <w:rPr>
                    <w:rFonts w:ascii="Cambria Math"/>
                  </w:rPr>
                  <m:t>ACK</m:t>
                </m:r>
                <m:ctrlPr>
                  <w:rPr>
                    <w:rFonts w:ascii="Cambria Math" w:hAnsi="Cambria Math"/>
                  </w:rPr>
                </m:ctrlPr>
              </m:sub>
            </m:sSub>
            <m:r>
              <w:rPr>
                <w:rFonts w:ascii="Cambria Math"/>
              </w:rPr>
              <m:t>+</m:t>
            </m:r>
            <m:sSub>
              <m:sSubPr>
                <m:ctrlPr>
                  <w:rPr>
                    <w:rFonts w:ascii="Cambria Math" w:hAnsi="Cambria Math"/>
                    <w:i/>
                  </w:rPr>
                </m:ctrlPr>
              </m:sSubPr>
              <m:e>
                <m:r>
                  <w:rPr>
                    <w:rFonts w:ascii="Cambria Math"/>
                  </w:rPr>
                  <m:t>O</m:t>
                </m:r>
              </m:e>
              <m:sub>
                <m:r>
                  <m:rPr>
                    <m:nor/>
                  </m:rPr>
                  <w:rPr>
                    <w:rFonts w:ascii="Cambria Math"/>
                  </w:rPr>
                  <m:t>SR</m:t>
                </m:r>
                <m:ctrlPr>
                  <w:rPr>
                    <w:rFonts w:ascii="Cambria Math" w:hAnsi="Cambria Math"/>
                  </w:rPr>
                </m:ctrlPr>
              </m:sub>
            </m:sSub>
            <m:r>
              <w:rPr>
                <w:rFonts w:ascii="Cambria Math"/>
              </w:rPr>
              <m:t>+</m:t>
            </m:r>
            <m:sSub>
              <m:sSubPr>
                <m:ctrlPr>
                  <w:rPr>
                    <w:rFonts w:ascii="Cambria Math" w:hAnsi="Cambria Math"/>
                    <w:i/>
                  </w:rPr>
                </m:ctrlPr>
              </m:sSubPr>
              <m:e>
                <m:r>
                  <w:rPr>
                    <w:rFonts w:ascii="Cambria Math"/>
                  </w:rPr>
                  <m:t>O</m:t>
                </m:r>
              </m:e>
              <m:sub>
                <m:r>
                  <m:rPr>
                    <m:nor/>
                  </m:rPr>
                  <w:rPr>
                    <w:rFonts w:ascii="Cambria Math"/>
                  </w:rPr>
                  <m:t>CRC</m:t>
                </m:r>
                <m:ctrlPr>
                  <w:rPr>
                    <w:rFonts w:ascii="Cambria Math" w:hAnsi="Cambria Math"/>
                  </w:rPr>
                </m:ctrlPr>
              </m:sub>
            </m:sSub>
          </m:e>
        </m:d>
        <m:r>
          <w:rPr>
            <w:rFonts w:ascii="Cambria Math"/>
          </w:rPr>
          <m:t>≤</m:t>
        </m:r>
        <m:sSubSup>
          <m:sSubSupPr>
            <m:ctrlPr>
              <w:rPr>
                <w:rFonts w:ascii="Cambria Math" w:hAnsi="Cambria Math"/>
                <w:i/>
              </w:rPr>
            </m:ctrlPr>
          </m:sSubSupPr>
          <m:e>
            <m:r>
              <w:rPr>
                <w:rFonts w:ascii="Cambria Math"/>
              </w:rPr>
              <m:t>M</m:t>
            </m:r>
          </m:e>
          <m:sub>
            <m:r>
              <m:rPr>
                <m:nor/>
              </m:rPr>
              <w:rPr>
                <w:rFonts w:ascii="Cambria Math"/>
              </w:rPr>
              <m:t>Interlace,0</m:t>
            </m:r>
            <m:ctrlPr>
              <w:rPr>
                <w:rFonts w:ascii="Cambria Math" w:hAnsi="Cambria Math"/>
              </w:rPr>
            </m:ctrlPr>
          </m:sub>
          <m:sup>
            <m:r>
              <m:rPr>
                <m:nor/>
              </m:rPr>
              <w:rPr>
                <w:rFonts w:ascii="Cambria Math"/>
              </w:rPr>
              <m:t>PUCCH</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sc,ctrl</m:t>
            </m:r>
            <m:ctrlPr>
              <w:rPr>
                <w:rFonts w:ascii="Cambria Math" w:hAnsi="Cambria Math"/>
              </w:rPr>
            </m:ctrlPr>
          </m:sub>
          <m:sup>
            <m:r>
              <m:rPr>
                <m:nor/>
              </m:rPr>
              <w:rPr>
                <w:rFonts w:ascii="Cambria Math"/>
              </w:rPr>
              <m:t>RB</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symb-UCI</m:t>
            </m:r>
            <m:ctrlPr>
              <w:rPr>
                <w:rFonts w:ascii="Cambria Math" w:hAnsi="Cambria Math"/>
              </w:rPr>
            </m:ctrlPr>
          </m:sub>
          <m:sup>
            <m:r>
              <m:rPr>
                <m:nor/>
              </m:rPr>
              <w:rPr>
                <w:rFonts w:ascii="Cambria Math"/>
              </w:rPr>
              <m:t>PUCCH</m:t>
            </m:r>
            <m:ctrlPr>
              <w:rPr>
                <w:rFonts w:ascii="Cambria Math" w:hAnsi="Cambria Math"/>
              </w:rPr>
            </m:ctrlPr>
          </m:sup>
        </m:sSubSup>
        <m:r>
          <w:rPr>
            <w:rFonts w:ascii="Cambria Math" w:hAnsi="Cambria Math" w:cs="Cambria Math"/>
          </w:rPr>
          <m:t>⋅</m:t>
        </m:r>
        <m:sSub>
          <m:sSubPr>
            <m:ctrlPr>
              <w:rPr>
                <w:rFonts w:ascii="Cambria Math" w:hAnsi="Cambria Math"/>
                <w:i/>
              </w:rPr>
            </m:ctrlPr>
          </m:sSubPr>
          <m:e>
            <m:r>
              <w:rPr>
                <w:rFonts w:ascii="Cambria Math"/>
              </w:rPr>
              <m:t>Q</m:t>
            </m:r>
          </m:e>
          <m:sub>
            <m:r>
              <w:rPr>
                <w:rFonts w:ascii="Cambria Math"/>
              </w:rPr>
              <m:t>m</m:t>
            </m:r>
          </m:sub>
        </m:sSub>
        <m:r>
          <w:rPr>
            <w:rFonts w:ascii="Cambria Math" w:hAnsi="Cambria Math" w:cs="Cambria Math"/>
          </w:rPr>
          <m:t>⋅</m:t>
        </m:r>
        <m:r>
          <w:rPr>
            <w:rFonts w:ascii="Cambria Math"/>
          </w:rPr>
          <m:t>r</m:t>
        </m:r>
      </m:oMath>
      <w:r>
        <w:rPr>
          <w:lang w:val="en-US"/>
        </w:rPr>
        <w:t xml:space="preserve">; otherwise, if the UE is provided a second interlace by </w:t>
      </w:r>
      <w:r w:rsidRPr="00284693">
        <w:rPr>
          <w:i/>
        </w:rPr>
        <w:t>interlace1</w:t>
      </w:r>
      <w:r>
        <w:t xml:space="preserve"> in </w:t>
      </w:r>
      <w:r w:rsidRPr="00284693">
        <w:rPr>
          <w:i/>
        </w:rPr>
        <w:t>PUCCH-format2</w:t>
      </w:r>
      <w:r w:rsidRPr="00284693">
        <w:t xml:space="preserve"> </w:t>
      </w:r>
      <w:r>
        <w:t>or</w:t>
      </w:r>
      <w:r w:rsidRPr="00284693">
        <w:t xml:space="preserve"> </w:t>
      </w:r>
      <w:r w:rsidRPr="00284693">
        <w:rPr>
          <w:i/>
        </w:rPr>
        <w:t>PUCCH-format3</w:t>
      </w:r>
      <w:r>
        <w:t xml:space="preserve">, </w:t>
      </w:r>
      <w:r>
        <w:rPr>
          <w:lang w:val="en-US"/>
        </w:rPr>
        <w:t>the UE transmits the PUCCH over the first and second interlaces.</w:t>
      </w:r>
    </w:p>
    <w:p w14:paraId="6AC96885" w14:textId="77777777" w:rsidR="00804F39" w:rsidRPr="00B916EC" w:rsidRDefault="00804F39" w:rsidP="00804F39">
      <w:pPr>
        <w:pStyle w:val="Heading4"/>
      </w:pPr>
      <w:bookmarkStart w:id="601" w:name="_Ref500185963"/>
      <w:bookmarkStart w:id="602" w:name="_Toc12021482"/>
      <w:bookmarkStart w:id="603" w:name="_Toc20311594"/>
      <w:bookmarkStart w:id="604" w:name="_Toc26719419"/>
      <w:bookmarkStart w:id="605" w:name="_Toc29894854"/>
      <w:bookmarkStart w:id="606" w:name="_Toc29899153"/>
      <w:bookmarkStart w:id="607" w:name="_Toc29899571"/>
      <w:bookmarkStart w:id="608" w:name="_Toc29917308"/>
      <w:bookmarkStart w:id="609" w:name="_Toc36498182"/>
      <w:bookmarkStart w:id="610" w:name="_Toc45699209"/>
      <w:bookmarkStart w:id="611" w:name="_Toc161999136"/>
      <w:r w:rsidRPr="00B916EC">
        <w:t>9</w:t>
      </w:r>
      <w:r w:rsidRPr="00B916EC">
        <w:rPr>
          <w:rFonts w:hint="eastAsia"/>
        </w:rPr>
        <w:t>.</w:t>
      </w:r>
      <w:r w:rsidR="00167E49" w:rsidRPr="00B916EC">
        <w:t>2</w:t>
      </w:r>
      <w:r w:rsidRPr="00B916EC">
        <w:t>.5.2</w:t>
      </w:r>
      <w:r w:rsidRPr="00B916EC">
        <w:rPr>
          <w:rFonts w:hint="eastAsia"/>
        </w:rPr>
        <w:tab/>
      </w:r>
      <w:r w:rsidRPr="00B916EC">
        <w:t>UE procedure for multiplexing HARQ-ACK/SR</w:t>
      </w:r>
      <w:r w:rsidR="00BF4BF9">
        <w:t>/</w:t>
      </w:r>
      <w:r w:rsidRPr="00B916EC">
        <w:t>CSI</w:t>
      </w:r>
      <w:bookmarkEnd w:id="601"/>
      <w:r w:rsidR="00E102CA">
        <w:t xml:space="preserve"> in a PUCCH</w:t>
      </w:r>
      <w:bookmarkEnd w:id="602"/>
      <w:bookmarkEnd w:id="603"/>
      <w:bookmarkEnd w:id="604"/>
      <w:bookmarkEnd w:id="605"/>
      <w:bookmarkEnd w:id="606"/>
      <w:bookmarkEnd w:id="607"/>
      <w:bookmarkEnd w:id="608"/>
      <w:bookmarkEnd w:id="609"/>
      <w:bookmarkEnd w:id="610"/>
      <w:bookmarkEnd w:id="611"/>
    </w:p>
    <w:p w14:paraId="4BBB9E9E" w14:textId="425428CF" w:rsidR="000F4CCC" w:rsidRPr="00252631" w:rsidRDefault="000F4CCC" w:rsidP="00252631">
      <w:pPr>
        <w:jc w:val="both"/>
        <w:rPr>
          <w:rFonts w:eastAsia="Microsoft YaHei"/>
        </w:rPr>
      </w:pPr>
      <w:r w:rsidRPr="00252631">
        <w:rPr>
          <w:lang w:eastAsia="zh-CN"/>
        </w:rPr>
        <w:t xml:space="preserve">For a transmission occasion of </w:t>
      </w:r>
      <w:r w:rsidR="0072768D" w:rsidRPr="00252631">
        <w:rPr>
          <w:lang w:eastAsia="zh-CN"/>
        </w:rPr>
        <w:t xml:space="preserve">a single </w:t>
      </w:r>
      <w:r w:rsidRPr="00252631">
        <w:rPr>
          <w:lang w:eastAsia="zh-CN"/>
        </w:rPr>
        <w:t xml:space="preserve">CSI report, a PUCCH resource is provided by </w:t>
      </w:r>
      <w:r w:rsidRPr="00252631">
        <w:rPr>
          <w:i/>
          <w:lang w:eastAsia="zh-CN"/>
        </w:rPr>
        <w:t>pucch-CSI-ResourceList</w:t>
      </w:r>
      <w:r w:rsidRPr="00252631">
        <w:rPr>
          <w:lang w:eastAsia="zh-CN"/>
        </w:rPr>
        <w:t xml:space="preserve">. For </w:t>
      </w:r>
      <w:r w:rsidR="0072768D" w:rsidRPr="00252631">
        <w:rPr>
          <w:lang w:eastAsia="zh-CN"/>
        </w:rPr>
        <w:t>a</w:t>
      </w:r>
      <w:r w:rsidRPr="00252631">
        <w:rPr>
          <w:lang w:eastAsia="zh-CN"/>
        </w:rPr>
        <w:t xml:space="preserve"> transmission occasion of </w:t>
      </w:r>
      <w:r w:rsidR="00B97BD3" w:rsidRPr="00252631">
        <w:rPr>
          <w:lang w:eastAsia="zh-CN"/>
        </w:rPr>
        <w:t xml:space="preserve">multiple </w:t>
      </w:r>
      <w:r w:rsidRPr="00252631">
        <w:rPr>
          <w:lang w:eastAsia="zh-CN"/>
        </w:rPr>
        <w:t xml:space="preserve">CSI reports, corresponding PUCCH resources </w:t>
      </w:r>
      <w:r w:rsidR="006F698B" w:rsidRPr="00252631">
        <w:rPr>
          <w:lang w:eastAsia="zh-CN"/>
        </w:rPr>
        <w:t>can be</w:t>
      </w:r>
      <w:r w:rsidRPr="00252631">
        <w:rPr>
          <w:lang w:eastAsia="zh-CN"/>
        </w:rPr>
        <w:t xml:space="preserve"> provided by </w:t>
      </w:r>
      <w:r w:rsidRPr="00252631">
        <w:rPr>
          <w:i/>
          <w:lang w:eastAsia="zh-CN"/>
        </w:rPr>
        <w:t>multi-CSI-PUCCH-ResourceList</w:t>
      </w:r>
      <w:r w:rsidRPr="00252631">
        <w:rPr>
          <w:lang w:eastAsia="zh-CN"/>
        </w:rPr>
        <w:t>.</w:t>
      </w:r>
      <w:r w:rsidR="001A696E" w:rsidRPr="00252631">
        <w:rPr>
          <w:lang w:eastAsia="zh-CN"/>
        </w:rPr>
        <w:t xml:space="preserve"> If a UE is provided first and second </w:t>
      </w:r>
      <w:r w:rsidR="001A696E" w:rsidRPr="00252631">
        <w:rPr>
          <w:i/>
          <w:iCs/>
          <w:lang w:eastAsia="zh-CN"/>
        </w:rPr>
        <w:t>PUCCH-Config</w:t>
      </w:r>
      <w:r w:rsidR="001A696E" w:rsidRPr="00252631">
        <w:rPr>
          <w:lang w:eastAsia="zh-CN"/>
        </w:rPr>
        <w:t xml:space="preserve">, </w:t>
      </w:r>
      <w:r w:rsidR="001A696E" w:rsidRPr="00252631">
        <w:rPr>
          <w:i/>
          <w:iCs/>
          <w:lang w:eastAsia="zh-CN"/>
        </w:rPr>
        <w:t>multi-CSI-PUCCH-ResourceList</w:t>
      </w:r>
      <w:r w:rsidR="001A696E" w:rsidRPr="00252631">
        <w:rPr>
          <w:lang w:eastAsia="zh-CN"/>
        </w:rPr>
        <w:t xml:space="preserve"> is provided by the first </w:t>
      </w:r>
      <w:r w:rsidR="001A696E" w:rsidRPr="00252631">
        <w:rPr>
          <w:i/>
          <w:iCs/>
          <w:lang w:eastAsia="zh-CN"/>
        </w:rPr>
        <w:t>PUCCH-Config</w:t>
      </w:r>
      <w:r w:rsidR="001A696E" w:rsidRPr="00252631">
        <w:rPr>
          <w:lang w:eastAsia="zh-CN"/>
        </w:rPr>
        <w:t xml:space="preserve">, and </w:t>
      </w:r>
      <w:r w:rsidR="001A696E" w:rsidRPr="00252631">
        <w:rPr>
          <w:i/>
          <w:iCs/>
          <w:lang w:eastAsia="zh-CN"/>
        </w:rPr>
        <w:t>PUCCH-ResourceId</w:t>
      </w:r>
      <w:r w:rsidR="001A696E" w:rsidRPr="00252631">
        <w:rPr>
          <w:lang w:eastAsia="zh-CN"/>
        </w:rPr>
        <w:t xml:space="preserve"> in </w:t>
      </w:r>
      <w:r w:rsidR="001A696E" w:rsidRPr="00252631">
        <w:rPr>
          <w:i/>
          <w:iCs/>
          <w:lang w:eastAsia="zh-CN"/>
        </w:rPr>
        <w:t>pucch-CSI-ResourceList</w:t>
      </w:r>
      <w:r w:rsidR="001A696E" w:rsidRPr="00252631">
        <w:rPr>
          <w:lang w:eastAsia="zh-CN"/>
        </w:rPr>
        <w:t xml:space="preserve"> or </w:t>
      </w:r>
      <w:r w:rsidR="001A696E" w:rsidRPr="00252631">
        <w:rPr>
          <w:i/>
          <w:iCs/>
          <w:lang w:eastAsia="zh-CN"/>
        </w:rPr>
        <w:t>multi-CSI-PUCCH-ResourceList</w:t>
      </w:r>
      <w:r w:rsidR="001A696E" w:rsidRPr="00252631">
        <w:rPr>
          <w:lang w:eastAsia="zh-CN"/>
        </w:rPr>
        <w:t xml:space="preserve"> indicates a corresponding PUCCH resource in </w:t>
      </w:r>
      <w:r w:rsidR="001A696E" w:rsidRPr="00252631">
        <w:rPr>
          <w:i/>
          <w:iCs/>
          <w:lang w:eastAsia="zh-CN"/>
        </w:rPr>
        <w:t>PUCCH-Resource</w:t>
      </w:r>
      <w:r w:rsidR="001A696E" w:rsidRPr="00252631">
        <w:rPr>
          <w:lang w:eastAsia="zh-CN"/>
        </w:rPr>
        <w:t xml:space="preserve"> provided by the first </w:t>
      </w:r>
      <w:r w:rsidR="001A696E" w:rsidRPr="00252631">
        <w:rPr>
          <w:i/>
          <w:iCs/>
          <w:lang w:eastAsia="zh-CN"/>
        </w:rPr>
        <w:t>PUCCH-Config</w:t>
      </w:r>
      <w:r w:rsidR="001A696E" w:rsidRPr="00252631">
        <w:rPr>
          <w:lang w:eastAsia="zh-CN"/>
        </w:rPr>
        <w:t>.</w:t>
      </w:r>
    </w:p>
    <w:p w14:paraId="77C0E73D" w14:textId="4BFA7564" w:rsidR="000F4CCC" w:rsidRDefault="000F4CCC" w:rsidP="000F4CCC">
      <w:pPr>
        <w:rPr>
          <w:lang w:eastAsia="zh-CN"/>
        </w:rPr>
      </w:pPr>
      <w:r>
        <w:rPr>
          <w:lang w:eastAsia="zh-CN"/>
        </w:rPr>
        <w:t xml:space="preserve">If a UE is provided only one PUCCH resource set for transmission of HARQ-ACK information in response to PDSCH reception scheduled by a DCI format or </w:t>
      </w:r>
      <w:r w:rsidR="00D86E7C" w:rsidRPr="00B27E56">
        <w:rPr>
          <w:lang w:eastAsia="zh-CN"/>
        </w:rPr>
        <w:t xml:space="preserve">in response to a DCI format </w:t>
      </w:r>
      <w:r w:rsidR="00D86E7C">
        <w:rPr>
          <w:lang w:val="en-US" w:eastAsia="zh-CN"/>
        </w:rPr>
        <w:t>having associated</w:t>
      </w:r>
      <w:r w:rsidR="00D86E7C" w:rsidRPr="00B27E56">
        <w:rPr>
          <w:lang w:eastAsia="zh-CN"/>
        </w:rPr>
        <w:t xml:space="preserve"> HARQ-ACK information</w:t>
      </w:r>
      <w:r w:rsidR="00D86E7C">
        <w:rPr>
          <w:lang w:eastAsia="zh-CN"/>
        </w:rPr>
        <w:t xml:space="preserve"> without scheduling PDSCH reception</w:t>
      </w:r>
      <w:r w:rsidR="00D86E7C" w:rsidRPr="00B27E56">
        <w:rPr>
          <w:lang w:eastAsia="zh-CN"/>
        </w:rPr>
        <w:t>, the</w:t>
      </w:r>
      <w:r>
        <w:rPr>
          <w:lang w:eastAsia="zh-CN"/>
        </w:rPr>
        <w:t xml:space="preserve"> UE does not expect to be provided </w:t>
      </w:r>
      <w:r w:rsidRPr="00DD3BA7">
        <w:rPr>
          <w:i/>
        </w:rPr>
        <w:t>simultaneousHARQ-ACK-CSI</w:t>
      </w:r>
      <w:r>
        <w:rPr>
          <w:lang w:eastAsia="zh-CN"/>
        </w:rPr>
        <w:t>.</w:t>
      </w:r>
    </w:p>
    <w:p w14:paraId="3E74192E" w14:textId="77777777" w:rsidR="00B97BD3" w:rsidRPr="00B916EC" w:rsidRDefault="00B97BD3" w:rsidP="00B97BD3">
      <w:pPr>
        <w:rPr>
          <w:lang w:eastAsia="zh-CN"/>
        </w:rPr>
      </w:pPr>
      <w:r w:rsidRPr="00B916EC">
        <w:rPr>
          <w:lang w:eastAsia="zh-CN"/>
        </w:rPr>
        <w:t xml:space="preserve">A UE is configured by </w:t>
      </w:r>
      <w:r w:rsidRPr="00AB49CD">
        <w:rPr>
          <w:i/>
        </w:rPr>
        <w:t>maxCodeRate</w:t>
      </w:r>
      <w:r w:rsidRPr="00B916EC">
        <w:rPr>
          <w:lang w:eastAsia="zh-CN"/>
        </w:rPr>
        <w:t xml:space="preserve"> a code rate for </w:t>
      </w:r>
      <w:r>
        <w:rPr>
          <w:lang w:eastAsia="zh-CN"/>
        </w:rPr>
        <w:t>multiplexing</w:t>
      </w:r>
      <w:r w:rsidRPr="00B916EC">
        <w:rPr>
          <w:lang w:eastAsia="zh-CN"/>
        </w:rPr>
        <w:t xml:space="preserve"> HARQ-ACK</w:t>
      </w:r>
      <w:r>
        <w:rPr>
          <w:lang w:eastAsia="zh-CN"/>
        </w:rPr>
        <w:t xml:space="preserve">, </w:t>
      </w:r>
      <w:r w:rsidRPr="00B916EC">
        <w:rPr>
          <w:lang w:eastAsia="zh-CN"/>
        </w:rPr>
        <w:t>SR</w:t>
      </w:r>
      <w:r>
        <w:rPr>
          <w:lang w:eastAsia="zh-CN"/>
        </w:rPr>
        <w:t>,</w:t>
      </w:r>
      <w:r w:rsidRPr="00B916EC">
        <w:rPr>
          <w:lang w:eastAsia="zh-CN"/>
        </w:rPr>
        <w:t xml:space="preserve"> and CSI report(s) in </w:t>
      </w:r>
      <w:r>
        <w:rPr>
          <w:lang w:eastAsia="zh-CN"/>
        </w:rPr>
        <w:t xml:space="preserve">a PUCCH transmission using </w:t>
      </w:r>
      <w:r w:rsidRPr="00B916EC">
        <w:rPr>
          <w:lang w:eastAsia="zh-CN"/>
        </w:rPr>
        <w:t>PUCCH format 2</w:t>
      </w:r>
      <w:r>
        <w:rPr>
          <w:lang w:eastAsia="zh-CN"/>
        </w:rPr>
        <w:t xml:space="preserve">, </w:t>
      </w:r>
      <w:r w:rsidRPr="00B916EC">
        <w:rPr>
          <w:lang w:eastAsia="zh-CN"/>
        </w:rPr>
        <w:t>PUCCH format 3</w:t>
      </w:r>
      <w:r>
        <w:rPr>
          <w:lang w:eastAsia="zh-CN"/>
        </w:rPr>
        <w:t xml:space="preserve">, or </w:t>
      </w:r>
      <w:r w:rsidRPr="00B916EC">
        <w:rPr>
          <w:lang w:eastAsia="zh-CN"/>
        </w:rPr>
        <w:t xml:space="preserve">PUCCH format </w:t>
      </w:r>
      <w:r>
        <w:rPr>
          <w:lang w:eastAsia="zh-CN"/>
        </w:rPr>
        <w:t>4</w:t>
      </w:r>
      <w:r w:rsidRPr="00B916EC">
        <w:rPr>
          <w:lang w:eastAsia="zh-CN"/>
        </w:rPr>
        <w:t xml:space="preserve">. </w:t>
      </w:r>
    </w:p>
    <w:p w14:paraId="06F6C3AB" w14:textId="63483C9B" w:rsidR="000F4CCC" w:rsidRDefault="000F4CCC" w:rsidP="001322F1">
      <w:pPr>
        <w:rPr>
          <w:lang w:eastAsia="zh-CN"/>
        </w:rPr>
      </w:pPr>
      <w:r>
        <w:rPr>
          <w:lang w:eastAsia="zh-CN"/>
        </w:rPr>
        <w:t xml:space="preserve">If a UE transmits CSI reports using PUCCH format 2, the UE transmits only wideband CSI for each CSI report [6, TS 38.214]. In the following, a Part 1 CSI report refers either to a CSI report with only wideband CSI or to a Part 1 CSI report with wideband CSI and sub-band CSI. </w:t>
      </w:r>
      <w:r w:rsidR="00B35D84" w:rsidRPr="00452DC1">
        <w:rPr>
          <w:lang w:eastAsia="zh-CN"/>
        </w:rPr>
        <w:t xml:space="preserve">In the following, a Part 2 CSI report refers to a Part 2 CSI sub-report if </w:t>
      </w:r>
      <w:r w:rsidR="00B35D84" w:rsidRPr="00452DC1">
        <w:t xml:space="preserve">a CSI report configuration </w:t>
      </w:r>
      <w:r w:rsidR="00B35D84">
        <w:t>includes</w:t>
      </w:r>
      <w:r w:rsidR="00B35D84" w:rsidRPr="00452DC1">
        <w:t xml:space="preserve"> a list of sub-configurations provided by </w:t>
      </w:r>
      <w:r w:rsidR="00B35D84" w:rsidRPr="00452DC1">
        <w:rPr>
          <w:i/>
          <w:iCs/>
        </w:rPr>
        <w:t>csi-ReportSubConfigList</w:t>
      </w:r>
      <w:r w:rsidR="00B35D84" w:rsidRPr="00452DC1">
        <w:t xml:space="preserve"> for the Part 2 CSI report </w:t>
      </w:r>
      <w:r w:rsidR="00B35D84" w:rsidRPr="00452DC1">
        <w:rPr>
          <w:lang w:eastAsia="zh-CN"/>
        </w:rPr>
        <w:t>[6, TS 38.214].</w:t>
      </w:r>
    </w:p>
    <w:p w14:paraId="43BD3550" w14:textId="77777777" w:rsidR="000F4CCC" w:rsidRDefault="00B97BD3" w:rsidP="001322F1">
      <w:r>
        <w:rPr>
          <w:lang w:eastAsia="zh-CN"/>
        </w:rPr>
        <w:t>Denote as</w:t>
      </w:r>
    </w:p>
    <w:p w14:paraId="4CB30EC3" w14:textId="1C018AA1" w:rsidR="006F698B" w:rsidRDefault="006F698B" w:rsidP="006F698B">
      <w:pPr>
        <w:pStyle w:val="B1"/>
        <w:rPr>
          <w:lang w:eastAsia="zh-CN"/>
        </w:rPr>
      </w:pPr>
      <w:r>
        <w:t>-</w:t>
      </w:r>
      <w:r>
        <w:tab/>
      </w:r>
      <w:r w:rsidR="00ED3701">
        <w:rPr>
          <w:noProof/>
          <w:position w:val="-10"/>
        </w:rPr>
        <w:drawing>
          <wp:inline distT="0" distB="0" distL="0" distR="0" wp14:anchorId="37225BE7" wp14:editId="039F941B">
            <wp:extent cx="276225" cy="180975"/>
            <wp:effectExtent l="0" t="0" r="0" b="0"/>
            <wp:docPr id="120"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Pr>
          <w:rFonts w:hint="eastAsia"/>
          <w:lang w:eastAsia="zh-CN"/>
        </w:rPr>
        <w:t xml:space="preserve"> a</w:t>
      </w:r>
      <w:r w:rsidRPr="00B916EC">
        <w:rPr>
          <w:rFonts w:hint="eastAsia"/>
          <w:lang w:eastAsia="zh-CN"/>
        </w:rPr>
        <w:t xml:space="preserve"> total number of HARQ-ACK </w:t>
      </w:r>
      <w:r>
        <w:rPr>
          <w:lang w:val="en-US" w:eastAsia="zh-CN"/>
        </w:rPr>
        <w:t xml:space="preserve">information </w:t>
      </w:r>
      <w:r w:rsidRPr="00B916EC">
        <w:rPr>
          <w:rFonts w:hint="eastAsia"/>
          <w:lang w:eastAsia="zh-CN"/>
        </w:rPr>
        <w:t>bits</w:t>
      </w:r>
      <w:r>
        <w:rPr>
          <w:lang w:eastAsia="zh-CN"/>
        </w:rPr>
        <w:t>, if any</w:t>
      </w:r>
    </w:p>
    <w:p w14:paraId="0C4A1A5F" w14:textId="633EA7A1" w:rsidR="006F698B" w:rsidRDefault="006F698B" w:rsidP="006F698B">
      <w:pPr>
        <w:pStyle w:val="B1"/>
        <w:rPr>
          <w:lang w:eastAsia="zh-CN"/>
        </w:rPr>
      </w:pPr>
      <w:r>
        <w:t>-</w:t>
      </w:r>
      <w:r>
        <w:tab/>
      </w:r>
      <w:r w:rsidR="00ED3701">
        <w:rPr>
          <w:noProof/>
          <w:position w:val="-10"/>
        </w:rPr>
        <w:drawing>
          <wp:inline distT="0" distB="0" distL="0" distR="0" wp14:anchorId="3C2C81F6" wp14:editId="6604DA7C">
            <wp:extent cx="276225" cy="180975"/>
            <wp:effectExtent l="0" t="0" r="0" b="0"/>
            <wp:docPr id="121"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Pr>
          <w:rFonts w:hint="eastAsia"/>
          <w:lang w:eastAsia="zh-CN"/>
        </w:rPr>
        <w:t xml:space="preserve"> a</w:t>
      </w:r>
      <w:r w:rsidRPr="00B916EC">
        <w:rPr>
          <w:rFonts w:hint="eastAsia"/>
          <w:lang w:eastAsia="zh-CN"/>
        </w:rPr>
        <w:t xml:space="preserve"> total number of </w:t>
      </w:r>
      <w:r>
        <w:rPr>
          <w:lang w:val="en-US" w:eastAsia="zh-CN"/>
        </w:rPr>
        <w:t>SR</w:t>
      </w:r>
      <w:r w:rsidRPr="00B916EC">
        <w:rPr>
          <w:rFonts w:hint="eastAsia"/>
          <w:lang w:eastAsia="zh-CN"/>
        </w:rPr>
        <w:t xml:space="preserve"> bits</w:t>
      </w:r>
      <w:r>
        <w:rPr>
          <w:lang w:eastAsia="zh-CN"/>
        </w:rPr>
        <w:t>.</w:t>
      </w:r>
      <w:r w:rsidRPr="00B916EC">
        <w:t xml:space="preserve"> </w:t>
      </w:r>
      <w:r w:rsidR="00ED3701">
        <w:rPr>
          <w:noProof/>
          <w:position w:val="-10"/>
        </w:rPr>
        <w:drawing>
          <wp:inline distT="0" distB="0" distL="0" distR="0" wp14:anchorId="12829A6E" wp14:editId="1471EEAD">
            <wp:extent cx="466725" cy="180975"/>
            <wp:effectExtent l="0" t="0" r="0" b="0"/>
            <wp:docPr id="122"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6725" cy="180975"/>
                    </a:xfrm>
                    <a:prstGeom prst="rect">
                      <a:avLst/>
                    </a:prstGeom>
                    <a:noFill/>
                    <a:ln>
                      <a:noFill/>
                    </a:ln>
                  </pic:spPr>
                </pic:pic>
              </a:graphicData>
            </a:graphic>
          </wp:inline>
        </w:drawing>
      </w:r>
      <w:r w:rsidRPr="00B916EC">
        <w:t xml:space="preserve"> </w:t>
      </w:r>
      <w:r w:rsidRPr="00B916EC">
        <w:rPr>
          <w:rFonts w:hint="eastAsia"/>
          <w:lang w:eastAsia="zh-CN"/>
        </w:rPr>
        <w:t xml:space="preserve">if there </w:t>
      </w:r>
      <w:r w:rsidRPr="00B916EC">
        <w:rPr>
          <w:lang w:eastAsia="zh-CN"/>
        </w:rPr>
        <w:t xml:space="preserve">is </w:t>
      </w:r>
      <w:r w:rsidRPr="00B916EC">
        <w:rPr>
          <w:rFonts w:hint="eastAsia"/>
          <w:lang w:eastAsia="zh-CN"/>
        </w:rPr>
        <w:t>no scheduling request bit</w:t>
      </w:r>
      <w:r w:rsidRPr="00B916EC">
        <w:rPr>
          <w:lang w:eastAsia="zh-CN"/>
        </w:rPr>
        <w:t>; otherwise,</w:t>
      </w:r>
      <w:r w:rsidRPr="00B916EC">
        <w:rPr>
          <w:rFonts w:hint="eastAsia"/>
          <w:lang w:eastAsia="zh-CN"/>
        </w:rPr>
        <w:t xml:space="preserve"> </w:t>
      </w:r>
      <w:r w:rsidR="00ED3701">
        <w:rPr>
          <w:noProof/>
          <w:position w:val="-10"/>
        </w:rPr>
        <w:drawing>
          <wp:inline distT="0" distB="0" distL="0" distR="0" wp14:anchorId="376B1C31" wp14:editId="0229CCD6">
            <wp:extent cx="1009650" cy="180975"/>
            <wp:effectExtent l="0" t="0" r="0" b="0"/>
            <wp:docPr id="12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09650" cy="180975"/>
                    </a:xfrm>
                    <a:prstGeom prst="rect">
                      <a:avLst/>
                    </a:prstGeom>
                    <a:noFill/>
                    <a:ln>
                      <a:noFill/>
                    </a:ln>
                  </pic:spPr>
                </pic:pic>
              </a:graphicData>
            </a:graphic>
          </wp:inline>
        </w:drawing>
      </w:r>
      <w:r>
        <w:t xml:space="preserve"> </w:t>
      </w:r>
      <w:r w:rsidRPr="00DD6294">
        <w:t xml:space="preserve">as described </w:t>
      </w:r>
      <w:r w:rsidR="006F5F9E">
        <w:t>in clause</w:t>
      </w:r>
      <w:r w:rsidRPr="00DD6294">
        <w:t xml:space="preserve"> 9.2.5.1</w:t>
      </w:r>
    </w:p>
    <w:p w14:paraId="11E26596" w14:textId="518AC1BA" w:rsidR="006F698B" w:rsidRPr="007E24BA" w:rsidRDefault="006F698B" w:rsidP="006F698B">
      <w:pPr>
        <w:pStyle w:val="B1"/>
        <w:rPr>
          <w:lang w:val="en-US"/>
        </w:rPr>
      </w:pPr>
      <w:r>
        <w:rPr>
          <w:lang w:eastAsia="zh-CN"/>
        </w:rPr>
        <w:t>-</w:t>
      </w:r>
      <w:r>
        <w:rPr>
          <w:lang w:eastAsia="zh-CN"/>
        </w:rPr>
        <w:tab/>
      </w:r>
      <w:r w:rsidR="00ED3701">
        <w:rPr>
          <w:noProof/>
          <w:position w:val="-24"/>
        </w:rPr>
        <w:drawing>
          <wp:inline distT="0" distB="0" distL="0" distR="0" wp14:anchorId="2325606A" wp14:editId="0C7A7943">
            <wp:extent cx="1647825" cy="352425"/>
            <wp:effectExtent l="0" t="0" r="0" b="0"/>
            <wp:docPr id="124"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47825" cy="352425"/>
                    </a:xfrm>
                    <a:prstGeom prst="rect">
                      <a:avLst/>
                    </a:prstGeom>
                    <a:noFill/>
                    <a:ln>
                      <a:noFill/>
                    </a:ln>
                  </pic:spPr>
                </pic:pic>
              </a:graphicData>
            </a:graphic>
          </wp:inline>
        </w:drawing>
      </w:r>
      <w:r>
        <w:t xml:space="preserve">, </w:t>
      </w:r>
      <w:r>
        <w:rPr>
          <w:lang w:val="en-US"/>
        </w:rPr>
        <w:t xml:space="preserve">where </w:t>
      </w:r>
      <w:r w:rsidR="00ED3701">
        <w:rPr>
          <w:noProof/>
          <w:position w:val="-12"/>
        </w:rPr>
        <w:drawing>
          <wp:inline distT="0" distB="0" distL="0" distR="0" wp14:anchorId="6BF08976" wp14:editId="348CBCD4">
            <wp:extent cx="561975" cy="238125"/>
            <wp:effectExtent l="0" t="0" r="0" b="0"/>
            <wp:docPr id="125"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1975" cy="238125"/>
                    </a:xfrm>
                    <a:prstGeom prst="rect">
                      <a:avLst/>
                    </a:prstGeom>
                    <a:noFill/>
                    <a:ln>
                      <a:noFill/>
                    </a:ln>
                  </pic:spPr>
                </pic:pic>
              </a:graphicData>
            </a:graphic>
          </wp:inline>
        </w:drawing>
      </w:r>
      <w:r>
        <w:t xml:space="preserve"> is a number of </w:t>
      </w:r>
      <w:r>
        <w:rPr>
          <w:lang w:val="en-US"/>
        </w:rPr>
        <w:t>P</w:t>
      </w:r>
      <w:r>
        <w:t xml:space="preserve">art 1 </w:t>
      </w:r>
      <w:r>
        <w:rPr>
          <w:lang w:val="en-US"/>
        </w:rPr>
        <w:t xml:space="preserve">CSI report </w:t>
      </w:r>
      <w:r>
        <w:t xml:space="preserve">bits for CSI report with priority </w:t>
      </w:r>
      <w:r>
        <w:rPr>
          <w:lang w:val="en-US"/>
        </w:rPr>
        <w:t>value</w:t>
      </w:r>
      <w:r>
        <w:t xml:space="preserve"> </w:t>
      </w:r>
      <w:r w:rsidR="00ED3701">
        <w:rPr>
          <w:noProof/>
          <w:position w:val="-6"/>
        </w:rPr>
        <w:drawing>
          <wp:inline distT="0" distB="0" distL="0" distR="0" wp14:anchorId="05D67499" wp14:editId="0BE0E45C">
            <wp:extent cx="114300" cy="142875"/>
            <wp:effectExtent l="0" t="0" r="0" b="0"/>
            <wp:docPr id="126"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t xml:space="preserve">, </w:t>
      </w:r>
      <w:r w:rsidR="00ED3701">
        <w:rPr>
          <w:noProof/>
          <w:position w:val="-12"/>
        </w:rPr>
        <w:drawing>
          <wp:inline distT="0" distB="0" distL="0" distR="0" wp14:anchorId="0F43C775" wp14:editId="7CE511F4">
            <wp:extent cx="561975" cy="209550"/>
            <wp:effectExtent l="0" t="0" r="0" b="0"/>
            <wp:docPr id="127"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1975" cy="209550"/>
                    </a:xfrm>
                    <a:prstGeom prst="rect">
                      <a:avLst/>
                    </a:prstGeom>
                    <a:noFill/>
                    <a:ln>
                      <a:noFill/>
                    </a:ln>
                  </pic:spPr>
                </pic:pic>
              </a:graphicData>
            </a:graphic>
          </wp:inline>
        </w:drawing>
      </w:r>
      <w:r>
        <w:t xml:space="preserve"> is a number of </w:t>
      </w:r>
      <w:r>
        <w:rPr>
          <w:lang w:val="en-US"/>
        </w:rPr>
        <w:t xml:space="preserve">Part 2 </w:t>
      </w:r>
      <w:r>
        <w:t xml:space="preserve">CSI </w:t>
      </w:r>
      <w:r>
        <w:rPr>
          <w:lang w:val="en-US"/>
        </w:rPr>
        <w:t>report</w:t>
      </w:r>
      <w:r>
        <w:t xml:space="preserve"> bits, if any, for CSI report with priority </w:t>
      </w:r>
      <w:r>
        <w:rPr>
          <w:lang w:val="en-US"/>
        </w:rPr>
        <w:t>value</w:t>
      </w:r>
      <w:r>
        <w:t xml:space="preserve"> </w:t>
      </w:r>
      <w:r w:rsidR="00ED3701">
        <w:rPr>
          <w:noProof/>
          <w:position w:val="-6"/>
        </w:rPr>
        <w:drawing>
          <wp:inline distT="0" distB="0" distL="0" distR="0" wp14:anchorId="36479DFC" wp14:editId="2B040CAF">
            <wp:extent cx="114300" cy="142875"/>
            <wp:effectExtent l="0" t="0" r="0" b="0"/>
            <wp:docPr id="128"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rPr>
          <w:lang w:val="en-US"/>
        </w:rPr>
        <w:t xml:space="preserve"> [6, TS 38.214]</w:t>
      </w:r>
      <w:r>
        <w:t xml:space="preserve">, and </w:t>
      </w:r>
      <w:r w:rsidR="00ED3701">
        <w:rPr>
          <w:noProof/>
          <w:position w:val="-10"/>
        </w:rPr>
        <w:drawing>
          <wp:inline distT="0" distB="0" distL="0" distR="0" wp14:anchorId="74849526" wp14:editId="28DB928B">
            <wp:extent cx="295275" cy="238125"/>
            <wp:effectExtent l="0" t="0" r="0" b="0"/>
            <wp:docPr id="129"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95275" cy="238125"/>
                    </a:xfrm>
                    <a:prstGeom prst="rect">
                      <a:avLst/>
                    </a:prstGeom>
                    <a:noFill/>
                    <a:ln>
                      <a:noFill/>
                    </a:ln>
                  </pic:spPr>
                </pic:pic>
              </a:graphicData>
            </a:graphic>
          </wp:inline>
        </w:drawing>
      </w:r>
      <w:r>
        <w:t xml:space="preserve"> is a number of </w:t>
      </w:r>
      <w:r>
        <w:rPr>
          <w:lang w:val="en-US"/>
        </w:rPr>
        <w:t>CSI reports that include overlapping</w:t>
      </w:r>
      <w:r>
        <w:t xml:space="preserve"> CSI reports</w:t>
      </w:r>
    </w:p>
    <w:p w14:paraId="355FF260" w14:textId="07F21A1A" w:rsidR="006F698B" w:rsidRPr="00FB71F5" w:rsidRDefault="006F698B" w:rsidP="006F698B">
      <w:pPr>
        <w:pStyle w:val="B1"/>
        <w:rPr>
          <w:lang w:val="en-US"/>
        </w:rPr>
      </w:pPr>
      <w:r>
        <w:rPr>
          <w:lang w:eastAsia="zh-CN"/>
        </w:rPr>
        <w:t>-</w:t>
      </w:r>
      <w:r>
        <w:rPr>
          <w:lang w:eastAsia="zh-CN"/>
        </w:rPr>
        <w:tab/>
      </w:r>
      <w:r w:rsidR="00ED3701">
        <w:rPr>
          <w:noProof/>
          <w:position w:val="-12"/>
        </w:rPr>
        <w:drawing>
          <wp:inline distT="0" distB="0" distL="0" distR="0" wp14:anchorId="1D5AD362" wp14:editId="4CE4FE06">
            <wp:extent cx="1733550" cy="238125"/>
            <wp:effectExtent l="0" t="0" r="0" b="0"/>
            <wp:docPr id="130"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33550" cy="238125"/>
                    </a:xfrm>
                    <a:prstGeom prst="rect">
                      <a:avLst/>
                    </a:prstGeom>
                    <a:noFill/>
                    <a:ln>
                      <a:noFill/>
                    </a:ln>
                  </pic:spPr>
                </pic:pic>
              </a:graphicData>
            </a:graphic>
          </wp:inline>
        </w:drawing>
      </w:r>
      <w:r>
        <w:t xml:space="preserve">, </w:t>
      </w:r>
      <w:r>
        <w:rPr>
          <w:lang w:val="en-US"/>
        </w:rPr>
        <w:t xml:space="preserve">where </w:t>
      </w:r>
      <w:r w:rsidR="00ED3701">
        <w:rPr>
          <w:noProof/>
          <w:position w:val="-12"/>
        </w:rPr>
        <w:drawing>
          <wp:inline distT="0" distB="0" distL="0" distR="0" wp14:anchorId="406C24C1" wp14:editId="1F814D18">
            <wp:extent cx="638175" cy="209550"/>
            <wp:effectExtent l="0" t="0" r="0" b="0"/>
            <wp:docPr id="131"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38175" cy="209550"/>
                    </a:xfrm>
                    <a:prstGeom prst="rect">
                      <a:avLst/>
                    </a:prstGeom>
                    <a:noFill/>
                    <a:ln>
                      <a:noFill/>
                    </a:ln>
                  </pic:spPr>
                </pic:pic>
              </a:graphicData>
            </a:graphic>
          </wp:inline>
        </w:drawing>
      </w:r>
      <w:r>
        <w:t xml:space="preserve"> is a number of CRC bits, if any, for encoding HARQ-ACK</w:t>
      </w:r>
      <w:r>
        <w:rPr>
          <w:lang w:val="en-US"/>
        </w:rPr>
        <w:t xml:space="preserve">, </w:t>
      </w:r>
      <w:r>
        <w:t xml:space="preserve">SR and </w:t>
      </w:r>
      <w:r>
        <w:rPr>
          <w:lang w:val="en-US"/>
        </w:rPr>
        <w:t>P</w:t>
      </w:r>
      <w:r>
        <w:t>art 1</w:t>
      </w:r>
      <w:r>
        <w:rPr>
          <w:lang w:val="en-US"/>
        </w:rPr>
        <w:t xml:space="preserve"> CSI report bits</w:t>
      </w:r>
      <w:r>
        <w:t xml:space="preserve"> and </w:t>
      </w:r>
      <w:r w:rsidR="00ED3701">
        <w:rPr>
          <w:noProof/>
          <w:position w:val="-12"/>
        </w:rPr>
        <w:drawing>
          <wp:inline distT="0" distB="0" distL="0" distR="0" wp14:anchorId="0FCAC4E7" wp14:editId="6820C615">
            <wp:extent cx="638175" cy="209550"/>
            <wp:effectExtent l="0" t="0" r="0" b="0"/>
            <wp:docPr id="132"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38175" cy="209550"/>
                    </a:xfrm>
                    <a:prstGeom prst="rect">
                      <a:avLst/>
                    </a:prstGeom>
                    <a:noFill/>
                    <a:ln>
                      <a:noFill/>
                    </a:ln>
                  </pic:spPr>
                </pic:pic>
              </a:graphicData>
            </a:graphic>
          </wp:inline>
        </w:drawing>
      </w:r>
      <w:r>
        <w:t xml:space="preserve"> is a number of CRC bits, if any, for encoding </w:t>
      </w:r>
      <w:r>
        <w:rPr>
          <w:lang w:val="en-US"/>
        </w:rPr>
        <w:t xml:space="preserve">Part 2 </w:t>
      </w:r>
      <w:r>
        <w:t>CSI</w:t>
      </w:r>
      <w:r>
        <w:rPr>
          <w:lang w:val="en-US"/>
        </w:rPr>
        <w:t xml:space="preserve"> report bits</w:t>
      </w:r>
    </w:p>
    <w:p w14:paraId="3CE22045" w14:textId="77777777" w:rsidR="006F698B" w:rsidRDefault="006F698B" w:rsidP="006F698B">
      <w:pPr>
        <w:rPr>
          <w:lang w:eastAsia="zh-CN"/>
        </w:rPr>
      </w:pPr>
      <w:r>
        <w:rPr>
          <w:lang w:eastAsia="zh-CN"/>
        </w:rPr>
        <w:lastRenderedPageBreak/>
        <w:t>In the following</w:t>
      </w:r>
    </w:p>
    <w:p w14:paraId="49FCD746" w14:textId="117DEB7C" w:rsidR="006F698B" w:rsidRPr="00B916EC" w:rsidRDefault="006F698B" w:rsidP="006F698B">
      <w:pPr>
        <w:pStyle w:val="B1"/>
        <w:rPr>
          <w:lang w:val="en-US" w:eastAsia="zh-CN"/>
        </w:rPr>
      </w:pPr>
      <w:r>
        <w:t>-</w:t>
      </w:r>
      <w:r>
        <w:tab/>
      </w:r>
      <m:oMath>
        <m:r>
          <w:rPr>
            <w:rFonts w:ascii="Cambria Math"/>
          </w:rPr>
          <m:t>r</m:t>
        </m:r>
      </m:oMath>
      <w:r>
        <w:rPr>
          <w:rFonts w:hint="eastAsia"/>
          <w:lang w:eastAsia="zh-CN"/>
        </w:rPr>
        <w:t xml:space="preserve"> is a</w:t>
      </w:r>
      <w:r w:rsidRPr="00B916EC">
        <w:rPr>
          <w:rFonts w:hint="eastAsia"/>
          <w:lang w:eastAsia="zh-CN"/>
        </w:rPr>
        <w:t xml:space="preserve"> code rate given by </w:t>
      </w:r>
      <w:r w:rsidRPr="00AB49CD">
        <w:rPr>
          <w:i/>
        </w:rPr>
        <w:t>maxCodeRate</w:t>
      </w:r>
      <w:r w:rsidRPr="00B916EC">
        <w:rPr>
          <w:lang w:eastAsia="zh-CN"/>
        </w:rPr>
        <w:t xml:space="preserve"> as in Table 9.2.5.2-1.</w:t>
      </w:r>
    </w:p>
    <w:p w14:paraId="2ABB2BC1" w14:textId="2DB2DB0A" w:rsidR="00D86E7C" w:rsidRPr="00B27E56" w:rsidRDefault="00D86E7C" w:rsidP="00D86E7C">
      <w:pPr>
        <w:pStyle w:val="B1"/>
        <w:rPr>
          <w:lang w:val="en-US" w:eastAsia="zh-CN"/>
        </w:rPr>
      </w:pPr>
      <w:r w:rsidRPr="00B27E56">
        <w:t>-</w:t>
      </w:r>
      <w:r w:rsidRPr="00B27E56">
        <w:tab/>
      </w:r>
      <w:r>
        <w:rPr>
          <w:noProof/>
          <w:position w:val="-10"/>
        </w:rPr>
        <w:drawing>
          <wp:inline distT="0" distB="0" distL="0" distR="0" wp14:anchorId="186BAD9E" wp14:editId="3DC03A7C">
            <wp:extent cx="466725" cy="209550"/>
            <wp:effectExtent l="0" t="0" r="9525" b="0"/>
            <wp:docPr id="1014" name="Picture 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7"/>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66725" cy="209550"/>
                    </a:xfrm>
                    <a:prstGeom prst="rect">
                      <a:avLst/>
                    </a:prstGeom>
                    <a:noFill/>
                    <a:ln>
                      <a:noFill/>
                    </a:ln>
                  </pic:spPr>
                </pic:pic>
              </a:graphicData>
            </a:graphic>
          </wp:inline>
        </w:drawing>
      </w:r>
      <w:r w:rsidRPr="00B27E56">
        <w:t xml:space="preserve"> </w:t>
      </w:r>
      <w:r w:rsidRPr="00B27E56">
        <w:rPr>
          <w:rFonts w:hint="eastAsia"/>
          <w:lang w:eastAsia="zh-CN"/>
        </w:rPr>
        <w:t xml:space="preserve">is a number of PRBs </w:t>
      </w:r>
      <w:r w:rsidRPr="00B27E56">
        <w:t xml:space="preserve">provided by </w:t>
      </w:r>
      <w:r w:rsidRPr="00B27E56">
        <w:rPr>
          <w:i/>
        </w:rPr>
        <w:t>nrofPRBs</w:t>
      </w:r>
      <w:r w:rsidRPr="00B27E56">
        <w:rPr>
          <w:iCs/>
          <w:lang w:val="en-US"/>
        </w:rPr>
        <w:t xml:space="preserve">; otherwise, if </w:t>
      </w:r>
      <w:r w:rsidRPr="00B27E56">
        <w:rPr>
          <w:i/>
        </w:rPr>
        <w:t>nrofPRBs</w:t>
      </w:r>
      <w:r w:rsidRPr="00B27E56">
        <w:rPr>
          <w:iCs/>
          <w:lang w:val="en-US"/>
        </w:rPr>
        <w:t xml:space="preserve"> is not provided,</w:t>
      </w:r>
      <w:r w:rsidRPr="00B27E56">
        <w:t xml:space="preserve"> </w:t>
      </w:r>
      <w:r>
        <w:rPr>
          <w:noProof/>
          <w:position w:val="-10"/>
        </w:rPr>
        <w:drawing>
          <wp:inline distT="0" distB="0" distL="0" distR="0" wp14:anchorId="1D8FA50A" wp14:editId="5ECDB284">
            <wp:extent cx="561975" cy="209550"/>
            <wp:effectExtent l="0" t="0" r="9525" b="0"/>
            <wp:docPr id="1012" name="Picture 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9"/>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61975" cy="209550"/>
                    </a:xfrm>
                    <a:prstGeom prst="rect">
                      <a:avLst/>
                    </a:prstGeom>
                    <a:noFill/>
                    <a:ln>
                      <a:noFill/>
                    </a:ln>
                  </pic:spPr>
                </pic:pic>
              </a:graphicData>
            </a:graphic>
          </wp:inline>
        </w:drawing>
      </w:r>
    </w:p>
    <w:p w14:paraId="160903BD" w14:textId="2D266F4B" w:rsidR="006F698B" w:rsidRDefault="006F698B" w:rsidP="006F698B">
      <w:pPr>
        <w:pStyle w:val="B1"/>
        <w:rPr>
          <w:lang w:eastAsia="zh-CN"/>
        </w:rPr>
      </w:pPr>
      <w:r>
        <w:t>-</w:t>
      </w:r>
      <w:r>
        <w:tab/>
      </w:r>
      <w:r w:rsidR="00ED3701">
        <w:rPr>
          <w:noProof/>
          <w:position w:val="-12"/>
        </w:rPr>
        <w:drawing>
          <wp:inline distT="0" distB="0" distL="0" distR="0" wp14:anchorId="13CF7B30" wp14:editId="490A59DE">
            <wp:extent cx="914400" cy="238125"/>
            <wp:effectExtent l="0" t="0" r="0" b="0"/>
            <wp:docPr id="133"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14400" cy="238125"/>
                    </a:xfrm>
                    <a:prstGeom prst="rect">
                      <a:avLst/>
                    </a:prstGeom>
                    <a:noFill/>
                    <a:ln>
                      <a:noFill/>
                    </a:ln>
                  </pic:spPr>
                </pic:pic>
              </a:graphicData>
            </a:graphic>
          </wp:inline>
        </w:drawing>
      </w:r>
      <w:r>
        <w:t xml:space="preserve"> </w:t>
      </w:r>
      <w:r w:rsidRPr="00B916EC">
        <w:t>for PUCCH format 2</w:t>
      </w:r>
      <w:r w:rsidR="00D9666C">
        <w:rPr>
          <w:lang w:val="en-US"/>
        </w:rPr>
        <w:t xml:space="preserve"> </w:t>
      </w:r>
      <w:r w:rsidR="004F4935">
        <w:t xml:space="preserve">or, if the PUCCH resource with PUCCH format 2 includes an orthogonal cover code with length </w:t>
      </w:r>
      <w:r w:rsidR="00ED3701">
        <w:rPr>
          <w:noProof/>
          <w:position w:val="-10"/>
        </w:rPr>
        <w:drawing>
          <wp:inline distT="0" distB="0" distL="0" distR="0" wp14:anchorId="31E107C0" wp14:editId="6D18708F">
            <wp:extent cx="466725" cy="238125"/>
            <wp:effectExtent l="0" t="0" r="0" b="0"/>
            <wp:docPr id="134"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66725" cy="238125"/>
                    </a:xfrm>
                    <a:prstGeom prst="rect">
                      <a:avLst/>
                    </a:prstGeom>
                    <a:noFill/>
                    <a:ln>
                      <a:noFill/>
                    </a:ln>
                  </pic:spPr>
                </pic:pic>
              </a:graphicData>
            </a:graphic>
          </wp:inline>
        </w:drawing>
      </w:r>
      <w:r w:rsidR="004F4935">
        <w:t xml:space="preserve"> provided by </w:t>
      </w:r>
      <w:r w:rsidR="002D5072">
        <w:rPr>
          <w:i/>
          <w:lang w:val="en-US"/>
        </w:rPr>
        <w:t>occ</w:t>
      </w:r>
      <w:r w:rsidR="004F4935" w:rsidRPr="004B21D9">
        <w:rPr>
          <w:i/>
        </w:rPr>
        <w:t>-Length</w:t>
      </w:r>
      <w:r w:rsidR="004F4935">
        <w:t xml:space="preserve">, </w:t>
      </w:r>
      <w:r w:rsidR="00ED3701">
        <w:rPr>
          <w:noProof/>
          <w:position w:val="-12"/>
        </w:rPr>
        <w:drawing>
          <wp:inline distT="0" distB="0" distL="0" distR="0" wp14:anchorId="20F31C5B" wp14:editId="1711555D">
            <wp:extent cx="1409700" cy="238125"/>
            <wp:effectExtent l="0" t="0" r="0" b="0"/>
            <wp:docPr id="135"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409700" cy="238125"/>
                    </a:xfrm>
                    <a:prstGeom prst="rect">
                      <a:avLst/>
                    </a:prstGeom>
                    <a:noFill/>
                    <a:ln>
                      <a:noFill/>
                    </a:ln>
                  </pic:spPr>
                </pic:pic>
              </a:graphicData>
            </a:graphic>
          </wp:inline>
        </w:drawing>
      </w:r>
      <w:r>
        <w:t>,</w:t>
      </w:r>
      <w:r w:rsidRPr="00B916EC">
        <w:t xml:space="preserve"> </w:t>
      </w:r>
      <w:r w:rsidR="00ED3701">
        <w:rPr>
          <w:noProof/>
          <w:position w:val="-12"/>
        </w:rPr>
        <w:drawing>
          <wp:inline distT="0" distB="0" distL="0" distR="0" wp14:anchorId="19B5A5C0" wp14:editId="6D7D7327">
            <wp:extent cx="733425" cy="238125"/>
            <wp:effectExtent l="0" t="0" r="0" b="0"/>
            <wp:docPr id="136"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33425" cy="238125"/>
                    </a:xfrm>
                    <a:prstGeom prst="rect">
                      <a:avLst/>
                    </a:prstGeom>
                    <a:noFill/>
                    <a:ln>
                      <a:noFill/>
                    </a:ln>
                  </pic:spPr>
                </pic:pic>
              </a:graphicData>
            </a:graphic>
          </wp:inline>
        </w:drawing>
      </w:r>
      <w:r w:rsidRPr="00B916EC">
        <w:t xml:space="preserve"> for PUCCH format 3</w:t>
      </w:r>
      <w:r w:rsidR="004F4935">
        <w:rPr>
          <w:lang w:val="en-US"/>
        </w:rPr>
        <w:t xml:space="preserve"> </w:t>
      </w:r>
      <w:r w:rsidR="004F4935">
        <w:t xml:space="preserve">or, if the PUCCH resource with PUCCH format 3 includes an orthogonal cover code with length </w:t>
      </w:r>
      <w:r w:rsidR="00ED3701">
        <w:rPr>
          <w:noProof/>
          <w:position w:val="-10"/>
        </w:rPr>
        <w:drawing>
          <wp:inline distT="0" distB="0" distL="0" distR="0" wp14:anchorId="06D8167F" wp14:editId="6CA94AFD">
            <wp:extent cx="466725" cy="238125"/>
            <wp:effectExtent l="0" t="0" r="0" b="0"/>
            <wp:docPr id="137"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66725" cy="238125"/>
                    </a:xfrm>
                    <a:prstGeom prst="rect">
                      <a:avLst/>
                    </a:prstGeom>
                    <a:noFill/>
                    <a:ln>
                      <a:noFill/>
                    </a:ln>
                  </pic:spPr>
                </pic:pic>
              </a:graphicData>
            </a:graphic>
          </wp:inline>
        </w:drawing>
      </w:r>
      <w:r w:rsidR="004F4935">
        <w:t xml:space="preserve"> provided by </w:t>
      </w:r>
      <w:r w:rsidR="002D5072">
        <w:rPr>
          <w:i/>
          <w:lang w:val="en-US"/>
        </w:rPr>
        <w:t>occ</w:t>
      </w:r>
      <w:r w:rsidR="004F4935" w:rsidRPr="004B21D9">
        <w:rPr>
          <w:i/>
        </w:rPr>
        <w:t>-Length</w:t>
      </w:r>
      <w:r w:rsidR="004F4935">
        <w:t xml:space="preserve">, </w:t>
      </w:r>
      <w:r w:rsidR="00ED3701">
        <w:rPr>
          <w:noProof/>
          <w:position w:val="-12"/>
        </w:rPr>
        <w:drawing>
          <wp:inline distT="0" distB="0" distL="0" distR="0" wp14:anchorId="2AE3C2C1" wp14:editId="130E1CBF">
            <wp:extent cx="1171575" cy="238125"/>
            <wp:effectExtent l="0" t="0" r="0" b="0"/>
            <wp:docPr id="138"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171575" cy="238125"/>
                    </a:xfrm>
                    <a:prstGeom prst="rect">
                      <a:avLst/>
                    </a:prstGeom>
                    <a:noFill/>
                    <a:ln>
                      <a:noFill/>
                    </a:ln>
                  </pic:spPr>
                </pic:pic>
              </a:graphicData>
            </a:graphic>
          </wp:inline>
        </w:drawing>
      </w:r>
      <w:r>
        <w:t>,</w:t>
      </w:r>
      <w:r w:rsidRPr="00B916EC">
        <w:t xml:space="preserve"> and </w:t>
      </w:r>
      <w:r w:rsidR="00ED3701">
        <w:rPr>
          <w:noProof/>
          <w:position w:val="-12"/>
        </w:rPr>
        <w:drawing>
          <wp:inline distT="0" distB="0" distL="0" distR="0" wp14:anchorId="68A46AE6" wp14:editId="0785204F">
            <wp:extent cx="1190625" cy="238125"/>
            <wp:effectExtent l="0" t="0" r="0" b="0"/>
            <wp:docPr id="139"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190625" cy="238125"/>
                    </a:xfrm>
                    <a:prstGeom prst="rect">
                      <a:avLst/>
                    </a:prstGeom>
                    <a:noFill/>
                    <a:ln>
                      <a:noFill/>
                    </a:ln>
                  </pic:spPr>
                </pic:pic>
              </a:graphicData>
            </a:graphic>
          </wp:inline>
        </w:drawing>
      </w:r>
      <w:r w:rsidRPr="00B916EC">
        <w:t xml:space="preserve"> for PUCCH format 4</w:t>
      </w:r>
      <w:r w:rsidRPr="005B6D3F">
        <w:t xml:space="preserve">, where </w:t>
      </w:r>
      <w:r w:rsidR="00ED3701">
        <w:rPr>
          <w:noProof/>
          <w:position w:val="-10"/>
        </w:rPr>
        <w:drawing>
          <wp:inline distT="0" distB="0" distL="0" distR="0" wp14:anchorId="06A5E395" wp14:editId="36566BDF">
            <wp:extent cx="276225" cy="238125"/>
            <wp:effectExtent l="0" t="0" r="0" b="0"/>
            <wp:docPr id="140"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Pr="005B6D3F">
        <w:t xml:space="preserve"> is a number of subcarriers per resource block [4, TS 38.211]</w:t>
      </w:r>
    </w:p>
    <w:p w14:paraId="72E1315D" w14:textId="2E406BAB" w:rsidR="006F698B" w:rsidRPr="00B916EC" w:rsidRDefault="006F698B" w:rsidP="006F698B">
      <w:pPr>
        <w:pStyle w:val="B1"/>
        <w:rPr>
          <w:lang w:val="en-US" w:eastAsia="zh-CN"/>
        </w:rPr>
      </w:pPr>
      <w:r>
        <w:rPr>
          <w:lang w:val="en-US" w:eastAsia="zh-CN"/>
        </w:rPr>
        <w:t>-</w:t>
      </w:r>
      <w:r>
        <w:rPr>
          <w:lang w:val="en-US" w:eastAsia="zh-CN"/>
        </w:rPr>
        <w:tab/>
      </w:r>
      <w:r w:rsidR="00ED3701">
        <w:rPr>
          <w:noProof/>
          <w:position w:val="-12"/>
        </w:rPr>
        <w:drawing>
          <wp:inline distT="0" distB="0" distL="0" distR="0" wp14:anchorId="25187F6E" wp14:editId="308D0D35">
            <wp:extent cx="542925" cy="238125"/>
            <wp:effectExtent l="0" t="0" r="0" b="0"/>
            <wp:docPr id="141"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2925" cy="238125"/>
                    </a:xfrm>
                    <a:prstGeom prst="rect">
                      <a:avLst/>
                    </a:prstGeom>
                    <a:noFill/>
                    <a:ln>
                      <a:noFill/>
                    </a:ln>
                  </pic:spPr>
                </pic:pic>
              </a:graphicData>
            </a:graphic>
          </wp:inline>
        </w:drawing>
      </w:r>
      <w:r w:rsidRPr="00384961">
        <w:rPr>
          <w:rFonts w:hint="eastAsia"/>
          <w:lang w:eastAsia="zh-CN"/>
        </w:rPr>
        <w:t xml:space="preserve"> is </w:t>
      </w:r>
      <w:r>
        <w:rPr>
          <w:lang w:eastAsia="zh-CN"/>
        </w:rPr>
        <w:t xml:space="preserve">equal to </w:t>
      </w:r>
      <w:r>
        <w:rPr>
          <w:rFonts w:hint="eastAsia"/>
          <w:lang w:eastAsia="zh-CN"/>
        </w:rPr>
        <w:t>a</w:t>
      </w:r>
      <w:r w:rsidRPr="00384961">
        <w:rPr>
          <w:rFonts w:hint="eastAsia"/>
          <w:lang w:eastAsia="zh-CN"/>
        </w:rPr>
        <w:t xml:space="preserve"> number of </w:t>
      </w:r>
      <w:r>
        <w:rPr>
          <w:lang w:eastAsia="zh-CN"/>
        </w:rPr>
        <w:t xml:space="preserve">PUCCH </w:t>
      </w:r>
      <w:r w:rsidRPr="00384961">
        <w:rPr>
          <w:lang w:eastAsia="zh-CN"/>
        </w:rPr>
        <w:t>symbol</w:t>
      </w:r>
      <w:r w:rsidRPr="00384961">
        <w:rPr>
          <w:rFonts w:hint="eastAsia"/>
          <w:lang w:eastAsia="zh-CN"/>
        </w:rPr>
        <w:t xml:space="preserve">s </w:t>
      </w:r>
      <w:r w:rsidR="00ED3701">
        <w:rPr>
          <w:noProof/>
          <w:position w:val="-12"/>
        </w:rPr>
        <w:drawing>
          <wp:inline distT="0" distB="0" distL="0" distR="0" wp14:anchorId="37DD708F" wp14:editId="7F50C824">
            <wp:extent cx="466725" cy="238125"/>
            <wp:effectExtent l="0" t="0" r="0" b="0"/>
            <wp:docPr id="142"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66725" cy="238125"/>
                    </a:xfrm>
                    <a:prstGeom prst="rect">
                      <a:avLst/>
                    </a:prstGeom>
                    <a:noFill/>
                    <a:ln>
                      <a:noFill/>
                    </a:ln>
                  </pic:spPr>
                </pic:pic>
              </a:graphicData>
            </a:graphic>
          </wp:inline>
        </w:drawing>
      </w:r>
      <w:r>
        <w:t xml:space="preserve"> </w:t>
      </w:r>
      <w:r w:rsidRPr="00384961">
        <w:rPr>
          <w:rFonts w:hint="eastAsia"/>
          <w:lang w:eastAsia="zh-CN"/>
        </w:rPr>
        <w:t>for</w:t>
      </w:r>
      <w:r w:rsidRPr="00B916EC">
        <w:t xml:space="preserve"> </w:t>
      </w:r>
      <w:r w:rsidRPr="00384961">
        <w:rPr>
          <w:rFonts w:eastAsia="MS Mincho"/>
          <w:iCs/>
          <w:lang w:val="en-US" w:eastAsia="ja-JP"/>
        </w:rPr>
        <w:t xml:space="preserve">PUCCH format 2 </w:t>
      </w:r>
      <w:r w:rsidRPr="00B916EC">
        <w:t xml:space="preserve">provided by </w:t>
      </w:r>
      <w:r w:rsidRPr="009A765A">
        <w:rPr>
          <w:i/>
        </w:rPr>
        <w:t>nrofSymbols</w:t>
      </w:r>
      <w:r>
        <w:rPr>
          <w:lang w:val="en-US"/>
        </w:rPr>
        <w:t xml:space="preserve"> </w:t>
      </w:r>
      <w:r w:rsidRPr="00AB49CD">
        <w:t>in</w:t>
      </w:r>
      <w:r>
        <w:rPr>
          <w:i/>
        </w:rPr>
        <w:t xml:space="preserve"> </w:t>
      </w:r>
      <w:r w:rsidRPr="00FD417D">
        <w:rPr>
          <w:i/>
        </w:rPr>
        <w:t>PUCCH-format</w:t>
      </w:r>
      <w:r>
        <w:rPr>
          <w:i/>
        </w:rPr>
        <w:t>2</w:t>
      </w:r>
      <w:r>
        <w:rPr>
          <w:rFonts w:eastAsia="MS Mincho"/>
          <w:iCs/>
          <w:lang w:val="en-US" w:eastAsia="ja-JP"/>
        </w:rPr>
        <w:t>.</w:t>
      </w:r>
      <w:r w:rsidRPr="00384961">
        <w:rPr>
          <w:rFonts w:eastAsia="MS Mincho"/>
          <w:iCs/>
          <w:lang w:val="en-US" w:eastAsia="ja-JP"/>
        </w:rPr>
        <w:t xml:space="preserve"> </w:t>
      </w:r>
      <w:r>
        <w:rPr>
          <w:rFonts w:eastAsia="MS Mincho"/>
          <w:iCs/>
          <w:lang w:val="en-US" w:eastAsia="ja-JP"/>
        </w:rPr>
        <w:t xml:space="preserve">For PUCCH format 3 or for PUCCH format 4, </w:t>
      </w:r>
      <w:r w:rsidR="00ED3701">
        <w:rPr>
          <w:noProof/>
          <w:position w:val="-12"/>
        </w:rPr>
        <w:drawing>
          <wp:inline distT="0" distB="0" distL="0" distR="0" wp14:anchorId="4533F05F" wp14:editId="28555C62">
            <wp:extent cx="533400" cy="238125"/>
            <wp:effectExtent l="0" t="0" r="0" b="0"/>
            <wp:docPr id="143"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3400" cy="238125"/>
                    </a:xfrm>
                    <a:prstGeom prst="rect">
                      <a:avLst/>
                    </a:prstGeom>
                    <a:noFill/>
                    <a:ln>
                      <a:noFill/>
                    </a:ln>
                  </pic:spPr>
                </pic:pic>
              </a:graphicData>
            </a:graphic>
          </wp:inline>
        </w:drawing>
      </w:r>
      <w:r>
        <w:t xml:space="preserve"> </w:t>
      </w:r>
      <w:r>
        <w:rPr>
          <w:rFonts w:eastAsia="MS Mincho"/>
          <w:iCs/>
          <w:lang w:val="en-US" w:eastAsia="ja-JP"/>
        </w:rPr>
        <w:t xml:space="preserve">is equal to a number of PUCCH symbols </w:t>
      </w:r>
      <w:r w:rsidR="00ED3701">
        <w:rPr>
          <w:noProof/>
          <w:position w:val="-12"/>
        </w:rPr>
        <w:drawing>
          <wp:inline distT="0" distB="0" distL="0" distR="0" wp14:anchorId="74993EDB" wp14:editId="3EDD4870">
            <wp:extent cx="466725" cy="238125"/>
            <wp:effectExtent l="0" t="0" r="0" b="0"/>
            <wp:docPr id="144"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66725" cy="238125"/>
                    </a:xfrm>
                    <a:prstGeom prst="rect">
                      <a:avLst/>
                    </a:prstGeom>
                    <a:noFill/>
                    <a:ln>
                      <a:noFill/>
                    </a:ln>
                  </pic:spPr>
                </pic:pic>
              </a:graphicData>
            </a:graphic>
          </wp:inline>
        </w:drawing>
      </w:r>
      <w:r>
        <w:t xml:space="preserve"> f</w:t>
      </w:r>
      <w:r w:rsidRPr="00384961">
        <w:rPr>
          <w:rFonts w:eastAsia="MS Mincho"/>
          <w:iCs/>
          <w:lang w:val="en-US" w:eastAsia="ja-JP"/>
        </w:rPr>
        <w:t xml:space="preserve">or PUCCH format 3 </w:t>
      </w:r>
      <w:r>
        <w:rPr>
          <w:rFonts w:eastAsia="MS Mincho"/>
          <w:iCs/>
          <w:lang w:val="en-US" w:eastAsia="ja-JP"/>
        </w:rPr>
        <w:t xml:space="preserve">or equal to a number of PUCCH symbols </w:t>
      </w:r>
      <w:r w:rsidR="00ED3701">
        <w:rPr>
          <w:noProof/>
          <w:position w:val="-12"/>
        </w:rPr>
        <w:drawing>
          <wp:inline distT="0" distB="0" distL="0" distR="0" wp14:anchorId="360D494D" wp14:editId="2B738BA1">
            <wp:extent cx="485775" cy="238125"/>
            <wp:effectExtent l="0" t="0" r="0" b="0"/>
            <wp:docPr id="145"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85775" cy="238125"/>
                    </a:xfrm>
                    <a:prstGeom prst="rect">
                      <a:avLst/>
                    </a:prstGeom>
                    <a:noFill/>
                    <a:ln>
                      <a:noFill/>
                    </a:ln>
                  </pic:spPr>
                </pic:pic>
              </a:graphicData>
            </a:graphic>
          </wp:inline>
        </w:drawing>
      </w:r>
      <w:r>
        <w:t xml:space="preserve"> f</w:t>
      </w:r>
      <w:r w:rsidRPr="00384961">
        <w:rPr>
          <w:rFonts w:eastAsia="MS Mincho"/>
          <w:iCs/>
          <w:lang w:val="en-US" w:eastAsia="ja-JP"/>
        </w:rPr>
        <w:t xml:space="preserve">or PUCCH format 4 </w:t>
      </w:r>
      <w:r w:rsidRPr="00B916EC">
        <w:t xml:space="preserve">provided by </w:t>
      </w:r>
      <w:r w:rsidRPr="009A765A">
        <w:rPr>
          <w:i/>
        </w:rPr>
        <w:t>nrofSymbols</w:t>
      </w:r>
      <w:r>
        <w:rPr>
          <w:lang w:val="en-US"/>
        </w:rPr>
        <w:t xml:space="preserve"> </w:t>
      </w:r>
      <w:r w:rsidRPr="00AB49CD">
        <w:t>in</w:t>
      </w:r>
      <w:r>
        <w:rPr>
          <w:i/>
        </w:rPr>
        <w:t xml:space="preserve"> </w:t>
      </w:r>
      <w:r w:rsidRPr="00FD417D">
        <w:rPr>
          <w:i/>
        </w:rPr>
        <w:t>PUCCH-format</w:t>
      </w:r>
      <w:r>
        <w:rPr>
          <w:i/>
        </w:rPr>
        <w:t>3</w:t>
      </w:r>
      <w:r w:rsidRPr="00B916EC">
        <w:t xml:space="preserve"> or </w:t>
      </w:r>
      <w:r w:rsidRPr="009A765A">
        <w:rPr>
          <w:i/>
        </w:rPr>
        <w:t>nrofSymbols</w:t>
      </w:r>
      <w:r>
        <w:rPr>
          <w:lang w:val="en-US"/>
        </w:rPr>
        <w:t xml:space="preserve"> </w:t>
      </w:r>
      <w:r w:rsidRPr="00AB49CD">
        <w:t>in</w:t>
      </w:r>
      <w:r>
        <w:rPr>
          <w:i/>
        </w:rPr>
        <w:t xml:space="preserve"> </w:t>
      </w:r>
      <w:r w:rsidRPr="00FD417D">
        <w:rPr>
          <w:i/>
        </w:rPr>
        <w:t>PUCCH-format</w:t>
      </w:r>
      <w:r>
        <w:rPr>
          <w:i/>
        </w:rPr>
        <w:t>4</w:t>
      </w:r>
      <w:r>
        <w:t>,</w:t>
      </w:r>
      <w:r w:rsidRPr="00B916EC">
        <w:t xml:space="preserve"> </w:t>
      </w:r>
      <w:r>
        <w:t>respectively,</w:t>
      </w:r>
      <w:r w:rsidRPr="00B916EC">
        <w:t xml:space="preserve"> after excluding a number of symbols used for DM</w:t>
      </w:r>
      <w:r>
        <w:t>-</w:t>
      </w:r>
      <w:r w:rsidRPr="00B916EC">
        <w:t>RS transmission for PUCCH format 3 or for PUCCH format 4, respectively [4, TS 38.211]</w:t>
      </w:r>
    </w:p>
    <w:p w14:paraId="442FB678" w14:textId="583C96C7" w:rsidR="006F698B" w:rsidRPr="00B916EC" w:rsidRDefault="006F698B" w:rsidP="006F698B">
      <w:pPr>
        <w:pStyle w:val="B1"/>
        <w:rPr>
          <w:lang w:val="en-US" w:eastAsia="zh-CN"/>
        </w:rPr>
      </w:pPr>
      <w:r>
        <w:t>-</w:t>
      </w:r>
      <w:r>
        <w:tab/>
      </w:r>
      <w:r w:rsidR="00ED3701">
        <w:rPr>
          <w:noProof/>
          <w:position w:val="-10"/>
        </w:rPr>
        <w:drawing>
          <wp:inline distT="0" distB="0" distL="0" distR="0" wp14:anchorId="36C1DE9F" wp14:editId="53755B4E">
            <wp:extent cx="314325" cy="200025"/>
            <wp:effectExtent l="0" t="0" r="0" b="0"/>
            <wp:docPr id="146"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14325" cy="200025"/>
                    </a:xfrm>
                    <a:prstGeom prst="rect">
                      <a:avLst/>
                    </a:prstGeom>
                    <a:noFill/>
                    <a:ln>
                      <a:noFill/>
                    </a:ln>
                  </pic:spPr>
                </pic:pic>
              </a:graphicData>
            </a:graphic>
          </wp:inline>
        </w:drawing>
      </w:r>
      <w:r w:rsidRPr="00B916EC">
        <w:t xml:space="preserve"> if pi/2-BPSK is the modulation scheme and </w:t>
      </w:r>
      <w:r w:rsidR="00ED3701">
        <w:rPr>
          <w:noProof/>
          <w:position w:val="-10"/>
        </w:rPr>
        <w:drawing>
          <wp:inline distT="0" distB="0" distL="0" distR="0" wp14:anchorId="468656D3" wp14:editId="0C4897A9">
            <wp:extent cx="352425" cy="190500"/>
            <wp:effectExtent l="0" t="0" r="0" b="0"/>
            <wp:docPr id="147"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52425" cy="190500"/>
                    </a:xfrm>
                    <a:prstGeom prst="rect">
                      <a:avLst/>
                    </a:prstGeom>
                    <a:noFill/>
                    <a:ln>
                      <a:noFill/>
                    </a:ln>
                  </pic:spPr>
                </pic:pic>
              </a:graphicData>
            </a:graphic>
          </wp:inline>
        </w:drawing>
      </w:r>
      <w:r w:rsidRPr="00B916EC">
        <w:t xml:space="preserve"> if QPSK is the modulation scheme as indicated by </w:t>
      </w:r>
      <w:r w:rsidRPr="00B916EC">
        <w:rPr>
          <w:i/>
        </w:rPr>
        <w:t>pi2BPSK</w:t>
      </w:r>
      <w:r w:rsidRPr="00B916EC">
        <w:t xml:space="preserve"> for PUCCH format 3 or PUCCH format 4. For PUCCH format 2, </w:t>
      </w:r>
      <w:r w:rsidR="00ED3701">
        <w:rPr>
          <w:noProof/>
          <w:position w:val="-10"/>
        </w:rPr>
        <w:drawing>
          <wp:inline distT="0" distB="0" distL="0" distR="0" wp14:anchorId="2ABDA70F" wp14:editId="472B1373">
            <wp:extent cx="352425" cy="180975"/>
            <wp:effectExtent l="0" t="0" r="0" b="0"/>
            <wp:docPr id="148"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52425" cy="180975"/>
                    </a:xfrm>
                    <a:prstGeom prst="rect">
                      <a:avLst/>
                    </a:prstGeom>
                    <a:noFill/>
                    <a:ln>
                      <a:noFill/>
                    </a:ln>
                  </pic:spPr>
                </pic:pic>
              </a:graphicData>
            </a:graphic>
          </wp:inline>
        </w:drawing>
      </w:r>
    </w:p>
    <w:p w14:paraId="7577F2D5" w14:textId="77777777" w:rsidR="003E5718" w:rsidRDefault="003E5718" w:rsidP="003E5718">
      <w:pPr>
        <w:rPr>
          <w:lang w:eastAsia="zh-CN"/>
        </w:rPr>
      </w:pPr>
      <w:r w:rsidRPr="00B916EC">
        <w:rPr>
          <w:lang w:eastAsia="zh-CN"/>
        </w:rPr>
        <w:t>I</w:t>
      </w:r>
      <w:r w:rsidRPr="00B916EC">
        <w:rPr>
          <w:rFonts w:hint="eastAsia"/>
          <w:lang w:eastAsia="zh-CN"/>
        </w:rPr>
        <w:t xml:space="preserve">f </w:t>
      </w:r>
      <w:r w:rsidRPr="00B916EC">
        <w:rPr>
          <w:lang w:eastAsia="zh-CN"/>
        </w:rPr>
        <w:t xml:space="preserve">a UE has </w:t>
      </w:r>
      <w:r>
        <w:rPr>
          <w:lang w:eastAsia="zh-CN"/>
        </w:rPr>
        <w:t xml:space="preserve">one or more </w:t>
      </w:r>
      <w:r w:rsidRPr="00B916EC">
        <w:rPr>
          <w:lang w:eastAsia="zh-CN"/>
        </w:rPr>
        <w:t xml:space="preserve">CSI reports and </w:t>
      </w:r>
      <w:r>
        <w:rPr>
          <w:lang w:eastAsia="zh-CN"/>
        </w:rPr>
        <w:t xml:space="preserve">zero or more </w:t>
      </w:r>
      <w:r w:rsidRPr="00B916EC">
        <w:rPr>
          <w:lang w:eastAsia="zh-CN"/>
        </w:rPr>
        <w:t xml:space="preserve">HARQ-ACK/SR </w:t>
      </w:r>
      <w:r>
        <w:rPr>
          <w:lang w:eastAsia="zh-CN"/>
        </w:rPr>
        <w:t xml:space="preserve">information bits </w:t>
      </w:r>
      <w:r w:rsidRPr="00B916EC">
        <w:rPr>
          <w:lang w:eastAsia="zh-CN"/>
        </w:rPr>
        <w:t>to transmit in a PUCCH</w:t>
      </w:r>
      <w:r>
        <w:rPr>
          <w:lang w:eastAsia="zh-CN"/>
        </w:rPr>
        <w:t xml:space="preserve"> where the HARQ-ACK, if any, is in response to a PDSCH reception without a corresponding PDCCH</w:t>
      </w:r>
    </w:p>
    <w:p w14:paraId="15ABBC09" w14:textId="71CEA5AD" w:rsidR="003E5718" w:rsidRPr="0009732E" w:rsidRDefault="003E5718" w:rsidP="003E5718">
      <w:pPr>
        <w:pStyle w:val="B1"/>
        <w:rPr>
          <w:lang w:val="en-US" w:eastAsia="zh-CN"/>
        </w:rPr>
      </w:pPr>
      <w:r>
        <w:rPr>
          <w:lang w:eastAsia="zh-CN"/>
        </w:rPr>
        <w:t>-</w:t>
      </w:r>
      <w:r>
        <w:rPr>
          <w:lang w:eastAsia="zh-CN"/>
        </w:rPr>
        <w:tab/>
      </w:r>
      <w:r w:rsidRPr="00B916EC">
        <w:rPr>
          <w:rFonts w:hint="eastAsia"/>
          <w:lang w:eastAsia="zh-CN"/>
        </w:rPr>
        <w:t xml:space="preserve">if </w:t>
      </w:r>
      <w:r>
        <w:rPr>
          <w:lang w:val="en-US" w:eastAsia="zh-CN"/>
        </w:rPr>
        <w:t xml:space="preserve">any of </w:t>
      </w:r>
      <w:r w:rsidRPr="00B916EC">
        <w:rPr>
          <w:rFonts w:hint="eastAsia"/>
          <w:lang w:eastAsia="zh-CN"/>
        </w:rPr>
        <w:t xml:space="preserve">the </w:t>
      </w:r>
      <w:r>
        <w:rPr>
          <w:lang w:val="en-US" w:eastAsia="zh-CN"/>
        </w:rPr>
        <w:t xml:space="preserve">CSI reports are overlapping and the </w:t>
      </w:r>
      <w:r w:rsidRPr="00B916EC">
        <w:rPr>
          <w:rFonts w:hint="eastAsia"/>
          <w:lang w:eastAsia="zh-CN"/>
        </w:rPr>
        <w:t xml:space="preserve">UE is </w:t>
      </w:r>
      <w:r>
        <w:rPr>
          <w:lang w:val="en-US" w:eastAsia="zh-CN"/>
        </w:rPr>
        <w:t>provided</w:t>
      </w:r>
      <w:r>
        <w:rPr>
          <w:lang w:eastAsia="zh-CN"/>
        </w:rPr>
        <w:t xml:space="preserve"> by </w:t>
      </w:r>
      <w:r>
        <w:rPr>
          <w:i/>
        </w:rPr>
        <w:t>multi-CSI-PUCCH-ResourceList</w:t>
      </w:r>
      <w:r w:rsidRPr="00B916EC">
        <w:rPr>
          <w:rFonts w:hint="eastAsia"/>
          <w:lang w:eastAsia="zh-CN"/>
        </w:rPr>
        <w:t xml:space="preserve"> </w:t>
      </w:r>
      <w:r w:rsidRPr="00B916EC">
        <w:rPr>
          <w:lang w:eastAsia="zh-CN"/>
        </w:rPr>
        <w:t>with</w:t>
      </w:r>
      <w:r w:rsidRPr="00B916EC">
        <w:rPr>
          <w:rFonts w:hint="eastAsia"/>
          <w:lang w:eastAsia="zh-CN"/>
        </w:rPr>
        <w:t xml:space="preserve"> </w:t>
      </w:r>
      <w:r w:rsidR="00ED3701">
        <w:rPr>
          <w:noProof/>
          <w:position w:val="-6"/>
        </w:rPr>
        <w:drawing>
          <wp:inline distT="0" distB="0" distL="0" distR="0" wp14:anchorId="48BEAC16" wp14:editId="7F0EB1F9">
            <wp:extent cx="295275" cy="161925"/>
            <wp:effectExtent l="0" t="0" r="0" b="0"/>
            <wp:docPr id="149"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95275" cy="161925"/>
                    </a:xfrm>
                    <a:prstGeom prst="rect">
                      <a:avLst/>
                    </a:prstGeom>
                    <a:noFill/>
                    <a:ln>
                      <a:noFill/>
                    </a:ln>
                  </pic:spPr>
                </pic:pic>
              </a:graphicData>
            </a:graphic>
          </wp:inline>
        </w:drawing>
      </w:r>
      <w:r w:rsidRPr="00B916EC">
        <w:rPr>
          <w:rFonts w:hint="eastAsia"/>
          <w:lang w:eastAsia="zh-CN"/>
        </w:rPr>
        <w:t xml:space="preserve"> PUCCH resource</w:t>
      </w:r>
      <w:r w:rsidRPr="00B916EC">
        <w:rPr>
          <w:lang w:eastAsia="zh-CN"/>
        </w:rPr>
        <w:t>s</w:t>
      </w:r>
      <w:r>
        <w:rPr>
          <w:lang w:val="en-US" w:eastAsia="zh-CN"/>
        </w:rPr>
        <w:t xml:space="preserve"> in a slot</w:t>
      </w:r>
      <w:r w:rsidRPr="00B916EC">
        <w:rPr>
          <w:rFonts w:hint="eastAsia"/>
          <w:lang w:eastAsia="zh-CN"/>
        </w:rPr>
        <w:t xml:space="preserve">, </w:t>
      </w:r>
      <w:r>
        <w:rPr>
          <w:lang w:val="en-US" w:eastAsia="zh-CN"/>
        </w:rPr>
        <w:t>for PUCCH format 2 and/or</w:t>
      </w:r>
      <w:r w:rsidRPr="00B916EC">
        <w:rPr>
          <w:lang w:eastAsia="zh-CN"/>
        </w:rPr>
        <w:t xml:space="preserve"> </w:t>
      </w:r>
      <w:r w:rsidRPr="00B916EC">
        <w:rPr>
          <w:rFonts w:hint="eastAsia"/>
          <w:lang w:eastAsia="zh-CN"/>
        </w:rPr>
        <w:t xml:space="preserve">PUCCH format </w:t>
      </w:r>
      <w:r w:rsidRPr="00B916EC">
        <w:rPr>
          <w:lang w:eastAsia="zh-CN"/>
        </w:rPr>
        <w:t>3</w:t>
      </w:r>
      <w:r w:rsidRPr="00B916EC">
        <w:rPr>
          <w:rFonts w:hint="eastAsia"/>
          <w:lang w:eastAsia="zh-CN"/>
        </w:rPr>
        <w:t xml:space="preserve"> </w:t>
      </w:r>
      <w:r>
        <w:rPr>
          <w:lang w:val="en-US"/>
        </w:rPr>
        <w:t>and/</w:t>
      </w:r>
      <w:r w:rsidRPr="00B916EC">
        <w:t xml:space="preserve">or </w:t>
      </w:r>
      <w:r w:rsidRPr="00B916EC">
        <w:rPr>
          <w:rFonts w:hint="eastAsia"/>
          <w:lang w:eastAsia="zh-CN"/>
        </w:rPr>
        <w:t xml:space="preserve">PUCCH format </w:t>
      </w:r>
      <w:r w:rsidRPr="00B916EC">
        <w:rPr>
          <w:lang w:eastAsia="zh-CN"/>
        </w:rPr>
        <w:t>4</w:t>
      </w:r>
      <w:r w:rsidRPr="00B916EC">
        <w:t>,</w:t>
      </w:r>
      <w:r w:rsidRPr="00B916EC">
        <w:rPr>
          <w:lang w:eastAsia="zh-CN"/>
        </w:rPr>
        <w:t xml:space="preserve"> as described </w:t>
      </w:r>
      <w:r w:rsidR="006F5F9E">
        <w:rPr>
          <w:lang w:eastAsia="zh-CN"/>
        </w:rPr>
        <w:t>in clause</w:t>
      </w:r>
      <w:r>
        <w:rPr>
          <w:lang w:eastAsia="zh-CN"/>
        </w:rPr>
        <w:t xml:space="preserve"> 9.2.1</w:t>
      </w:r>
      <w:r w:rsidRPr="00B916EC">
        <w:rPr>
          <w:lang w:eastAsia="zh-CN"/>
        </w:rPr>
        <w:t xml:space="preserve">, where the resources are indexed according to an ascending order for </w:t>
      </w:r>
      <w:r>
        <w:rPr>
          <w:lang w:val="en-US" w:eastAsia="zh-CN"/>
        </w:rPr>
        <w:t xml:space="preserve">the product of </w:t>
      </w:r>
      <w:r w:rsidRPr="00B916EC">
        <w:rPr>
          <w:lang w:eastAsia="zh-CN"/>
        </w:rPr>
        <w:t xml:space="preserve">a number of corresponding REs, </w:t>
      </w:r>
      <w:r>
        <w:rPr>
          <w:lang w:eastAsia="zh-CN"/>
        </w:rPr>
        <w:t xml:space="preserve">modulation order </w:t>
      </w:r>
      <w:r w:rsidR="00ED3701">
        <w:rPr>
          <w:noProof/>
          <w:position w:val="-10"/>
        </w:rPr>
        <w:drawing>
          <wp:inline distT="0" distB="0" distL="0" distR="0" wp14:anchorId="55DCA653" wp14:editId="16943343">
            <wp:extent cx="180975" cy="180975"/>
            <wp:effectExtent l="0" t="0" r="0" b="0"/>
            <wp:docPr id="150"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lang w:eastAsia="zh-CN"/>
        </w:rPr>
        <w:t>, and configured code rate</w:t>
      </w:r>
      <w:r w:rsidRPr="00B916EC">
        <w:rPr>
          <w:lang w:eastAsia="zh-CN"/>
        </w:rPr>
        <w:t xml:space="preserve"> </w:t>
      </w:r>
      <w:r w:rsidR="00ED3701">
        <w:rPr>
          <w:noProof/>
          <w:position w:val="-4"/>
        </w:rPr>
        <w:drawing>
          <wp:inline distT="0" distB="0" distL="0" distR="0" wp14:anchorId="0CE5B24B" wp14:editId="41767F8E">
            <wp:extent cx="161925" cy="161925"/>
            <wp:effectExtent l="0" t="0" r="0" b="0"/>
            <wp:docPr id="151"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w:t>
      </w:r>
    </w:p>
    <w:p w14:paraId="7859530C" w14:textId="14C03D82" w:rsidR="003E5718" w:rsidRPr="00B916EC" w:rsidRDefault="003E5718" w:rsidP="003E5718">
      <w:pPr>
        <w:pStyle w:val="B2"/>
        <w:rPr>
          <w:lang w:eastAsia="zh-CN"/>
        </w:rPr>
      </w:pPr>
      <w:r>
        <w:rPr>
          <w:lang w:eastAsia="zh-CN"/>
        </w:rPr>
        <w:t>-</w:t>
      </w:r>
      <w:r>
        <w:rPr>
          <w:lang w:eastAsia="zh-CN"/>
        </w:rPr>
        <w:tab/>
      </w:r>
      <w:r w:rsidRPr="00B916EC">
        <w:rPr>
          <w:lang w:eastAsia="zh-CN"/>
        </w:rPr>
        <w:t xml:space="preserve">if </w:t>
      </w:r>
      <w:r w:rsidR="00ED3701">
        <w:rPr>
          <w:noProof/>
          <w:position w:val="-14"/>
        </w:rPr>
        <w:drawing>
          <wp:inline distT="0" distB="0" distL="0" distR="0" wp14:anchorId="62F5AF8D" wp14:editId="23A1E44E">
            <wp:extent cx="3305175" cy="238125"/>
            <wp:effectExtent l="0" t="0" r="0" b="0"/>
            <wp:docPr id="152"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305175" cy="238125"/>
                    </a:xfrm>
                    <a:prstGeom prst="rect">
                      <a:avLst/>
                    </a:prstGeom>
                    <a:noFill/>
                    <a:ln>
                      <a:noFill/>
                    </a:ln>
                  </pic:spPr>
                </pic:pic>
              </a:graphicData>
            </a:graphic>
          </wp:inline>
        </w:drawing>
      </w:r>
      <w:r w:rsidRPr="00B916EC">
        <w:t xml:space="preserve">, the </w:t>
      </w:r>
      <w:r>
        <w:rPr>
          <w:lang w:val="en-US"/>
        </w:rPr>
        <w:t>UE</w:t>
      </w:r>
      <w:r w:rsidRPr="00B916EC">
        <w:t xml:space="preserve"> uses </w:t>
      </w:r>
      <w:r w:rsidRPr="00B916EC">
        <w:rPr>
          <w:rFonts w:hint="eastAsia"/>
          <w:lang w:eastAsia="zh-CN"/>
        </w:rPr>
        <w:t xml:space="preserve">PUCCH format </w:t>
      </w:r>
      <w:r w:rsidRPr="00B916EC">
        <w:rPr>
          <w:lang w:eastAsia="zh-CN"/>
        </w:rPr>
        <w:t>2</w:t>
      </w:r>
      <w:r w:rsidRPr="00B916EC">
        <w:rPr>
          <w:rFonts w:hint="eastAsia"/>
          <w:lang w:eastAsia="zh-CN"/>
        </w:rPr>
        <w:t xml:space="preserve"> resource</w:t>
      </w:r>
      <w:r w:rsidRPr="00B916EC">
        <w:rPr>
          <w:lang w:eastAsia="zh-CN"/>
        </w:rPr>
        <w:t xml:space="preserve"> </w:t>
      </w:r>
      <w:r w:rsidR="00ED3701">
        <w:rPr>
          <w:noProof/>
          <w:position w:val="-6"/>
        </w:rPr>
        <w:drawing>
          <wp:inline distT="0" distB="0" distL="0" distR="0" wp14:anchorId="065C98EE" wp14:editId="071411F5">
            <wp:extent cx="180975" cy="180975"/>
            <wp:effectExtent l="0" t="0" r="0" b="0"/>
            <wp:docPr id="153"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B916EC">
        <w:rPr>
          <w:lang w:eastAsia="zh-CN"/>
        </w:rPr>
        <w:t xml:space="preserve">, or the </w:t>
      </w:r>
      <w:r w:rsidRPr="00B916EC">
        <w:rPr>
          <w:rFonts w:hint="eastAsia"/>
          <w:lang w:eastAsia="zh-CN"/>
        </w:rPr>
        <w:t xml:space="preserve">PUCCH format </w:t>
      </w:r>
      <w:r w:rsidRPr="00B916EC">
        <w:rPr>
          <w:lang w:eastAsia="zh-CN"/>
        </w:rPr>
        <w:t>3</w:t>
      </w:r>
      <w:r w:rsidRPr="00B916EC">
        <w:rPr>
          <w:rFonts w:hint="eastAsia"/>
          <w:lang w:eastAsia="zh-CN"/>
        </w:rPr>
        <w:t xml:space="preserve"> resource</w:t>
      </w:r>
      <w:r w:rsidRPr="00B916EC">
        <w:rPr>
          <w:lang w:eastAsia="zh-CN"/>
        </w:rPr>
        <w:t xml:space="preserve"> </w:t>
      </w:r>
      <w:r w:rsidR="00ED3701">
        <w:rPr>
          <w:noProof/>
          <w:position w:val="-6"/>
        </w:rPr>
        <w:drawing>
          <wp:inline distT="0" distB="0" distL="0" distR="0" wp14:anchorId="29639ABC" wp14:editId="5E655302">
            <wp:extent cx="180975" cy="180975"/>
            <wp:effectExtent l="0" t="0" r="0" b="0"/>
            <wp:docPr id="154"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B916EC">
        <w:rPr>
          <w:lang w:eastAsia="zh-CN"/>
        </w:rPr>
        <w:t xml:space="preserve">, or the </w:t>
      </w:r>
      <w:r w:rsidRPr="00B916EC">
        <w:rPr>
          <w:rFonts w:hint="eastAsia"/>
          <w:lang w:eastAsia="zh-CN"/>
        </w:rPr>
        <w:t xml:space="preserve">PUCCH format </w:t>
      </w:r>
      <w:r w:rsidRPr="00B916EC">
        <w:rPr>
          <w:lang w:eastAsia="zh-CN"/>
        </w:rPr>
        <w:t>4</w:t>
      </w:r>
      <w:r w:rsidRPr="00B916EC">
        <w:rPr>
          <w:rFonts w:hint="eastAsia"/>
          <w:lang w:eastAsia="zh-CN"/>
        </w:rPr>
        <w:t xml:space="preserve"> resource</w:t>
      </w:r>
      <w:r w:rsidRPr="00B916EC">
        <w:rPr>
          <w:lang w:eastAsia="zh-CN"/>
        </w:rPr>
        <w:t xml:space="preserve"> </w:t>
      </w:r>
      <w:r w:rsidR="00ED3701">
        <w:rPr>
          <w:noProof/>
          <w:position w:val="-6"/>
        </w:rPr>
        <w:drawing>
          <wp:inline distT="0" distB="0" distL="0" distR="0" wp14:anchorId="6D33E194" wp14:editId="2CBD9F09">
            <wp:extent cx="180975" cy="180975"/>
            <wp:effectExtent l="0" t="0" r="0" b="0"/>
            <wp:docPr id="155"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15D3F2E4" w14:textId="2C8050CD" w:rsidR="003E5718" w:rsidRPr="00B916EC" w:rsidRDefault="003E5718" w:rsidP="003E5718">
      <w:pPr>
        <w:pStyle w:val="B2"/>
        <w:rPr>
          <w:lang w:eastAsia="zh-CN"/>
        </w:rPr>
      </w:pPr>
      <w:r>
        <w:rPr>
          <w:lang w:eastAsia="zh-CN"/>
        </w:rPr>
        <w:t>-</w:t>
      </w:r>
      <w:r>
        <w:rPr>
          <w:lang w:eastAsia="zh-CN"/>
        </w:rPr>
        <w:tab/>
      </w:r>
      <w:r w:rsidRPr="00B916EC">
        <w:rPr>
          <w:lang w:eastAsia="zh-CN"/>
        </w:rPr>
        <w:t>else i</w:t>
      </w:r>
      <w:r w:rsidRPr="00B916EC">
        <w:rPr>
          <w:rFonts w:hint="eastAsia"/>
          <w:lang w:eastAsia="zh-CN"/>
        </w:rPr>
        <w:t>f</w:t>
      </w:r>
      <w:r w:rsidRPr="00B916EC">
        <w:rPr>
          <w:lang w:eastAsia="zh-CN"/>
        </w:rPr>
        <w:t xml:space="preserve"> </w:t>
      </w:r>
      <w:r w:rsidR="00ED3701">
        <w:rPr>
          <w:noProof/>
          <w:position w:val="-16"/>
        </w:rPr>
        <w:drawing>
          <wp:inline distT="0" distB="0" distL="0" distR="0" wp14:anchorId="7A61EF4F" wp14:editId="51C5CE18">
            <wp:extent cx="3305175" cy="257175"/>
            <wp:effectExtent l="0" t="0" r="0" b="0"/>
            <wp:docPr id="156"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305175" cy="257175"/>
                    </a:xfrm>
                    <a:prstGeom prst="rect">
                      <a:avLst/>
                    </a:prstGeom>
                    <a:noFill/>
                    <a:ln>
                      <a:noFill/>
                    </a:ln>
                  </pic:spPr>
                </pic:pic>
              </a:graphicData>
            </a:graphic>
          </wp:inline>
        </w:drawing>
      </w:r>
      <w:r w:rsidRPr="00B916EC">
        <w:t xml:space="preserve"> and </w:t>
      </w:r>
      <w:r w:rsidR="00ED3701">
        <w:rPr>
          <w:noProof/>
          <w:position w:val="-16"/>
        </w:rPr>
        <w:drawing>
          <wp:inline distT="0" distB="0" distL="0" distR="0" wp14:anchorId="1A26B658" wp14:editId="0BF4D99B">
            <wp:extent cx="3381375" cy="257175"/>
            <wp:effectExtent l="0" t="0" r="0" b="0"/>
            <wp:docPr id="157"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381375" cy="257175"/>
                    </a:xfrm>
                    <a:prstGeom prst="rect">
                      <a:avLst/>
                    </a:prstGeom>
                    <a:noFill/>
                    <a:ln>
                      <a:noFill/>
                    </a:ln>
                  </pic:spPr>
                </pic:pic>
              </a:graphicData>
            </a:graphic>
          </wp:inline>
        </w:drawing>
      </w:r>
      <w:r w:rsidRPr="00B916EC">
        <w:t xml:space="preserve">, </w:t>
      </w:r>
      <w:r w:rsidR="00ED3701">
        <w:rPr>
          <w:noProof/>
          <w:position w:val="-10"/>
        </w:rPr>
        <w:drawing>
          <wp:inline distT="0" distB="0" distL="0" distR="0" wp14:anchorId="5A2DFF32" wp14:editId="4DCA805E">
            <wp:extent cx="733425" cy="180975"/>
            <wp:effectExtent l="0" t="0" r="0" b="0"/>
            <wp:docPr id="158"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733425" cy="180975"/>
                    </a:xfrm>
                    <a:prstGeom prst="rect">
                      <a:avLst/>
                    </a:prstGeom>
                    <a:noFill/>
                    <a:ln>
                      <a:noFill/>
                    </a:ln>
                  </pic:spPr>
                </pic:pic>
              </a:graphicData>
            </a:graphic>
          </wp:inline>
        </w:drawing>
      </w:r>
      <w:r w:rsidRPr="00B916EC">
        <w:t xml:space="preserve">, the UE </w:t>
      </w:r>
      <w:r w:rsidRPr="00B916EC">
        <w:rPr>
          <w:lang w:eastAsia="zh-CN"/>
        </w:rPr>
        <w:t xml:space="preserve">transmits a PUCCH conveying </w:t>
      </w:r>
      <w:r w:rsidRPr="00B916EC">
        <w:rPr>
          <w:rFonts w:hint="eastAsia"/>
          <w:lang w:eastAsia="zh-CN"/>
        </w:rPr>
        <w:t>HARQ-ACK</w:t>
      </w:r>
      <w:r>
        <w:rPr>
          <w:lang w:val="en-US" w:eastAsia="zh-CN"/>
        </w:rPr>
        <w:t xml:space="preserve"> information, </w:t>
      </w:r>
      <w:r w:rsidRPr="00B916EC">
        <w:rPr>
          <w:rFonts w:hint="eastAsia"/>
          <w:lang w:eastAsia="zh-CN"/>
        </w:rPr>
        <w:t>SR and CSI report(s)</w:t>
      </w:r>
      <w:r w:rsidRPr="00B916EC">
        <w:rPr>
          <w:lang w:eastAsia="zh-CN"/>
        </w:rPr>
        <w:t xml:space="preserve"> in a respective PUCCH</w:t>
      </w:r>
      <w:r w:rsidRPr="00B916EC">
        <w:t xml:space="preserve"> </w:t>
      </w:r>
      <w:r w:rsidRPr="00B916EC">
        <w:rPr>
          <w:lang w:eastAsia="zh-CN"/>
        </w:rPr>
        <w:t xml:space="preserve">where the </w:t>
      </w:r>
      <w:r>
        <w:rPr>
          <w:lang w:val="en-US" w:eastAsia="zh-CN"/>
        </w:rPr>
        <w:t>UE</w:t>
      </w:r>
      <w:r w:rsidRPr="00B916EC">
        <w:rPr>
          <w:lang w:eastAsia="zh-CN"/>
        </w:rPr>
        <w:t xml:space="preserve"> uses </w:t>
      </w:r>
      <w:r>
        <w:rPr>
          <w:lang w:val="en-US" w:eastAsia="zh-CN"/>
        </w:rPr>
        <w:t xml:space="preserve">the </w:t>
      </w:r>
      <w:r w:rsidRPr="00B916EC">
        <w:rPr>
          <w:rFonts w:hint="eastAsia"/>
          <w:lang w:eastAsia="zh-CN"/>
        </w:rPr>
        <w:t xml:space="preserve">PUCCH format </w:t>
      </w:r>
      <w:r w:rsidRPr="00B916EC">
        <w:rPr>
          <w:lang w:eastAsia="zh-CN"/>
        </w:rPr>
        <w:t>2</w:t>
      </w:r>
      <w:r w:rsidRPr="00B916EC">
        <w:rPr>
          <w:rFonts w:hint="eastAsia"/>
          <w:lang w:eastAsia="zh-CN"/>
        </w:rPr>
        <w:t xml:space="preserve"> resource</w:t>
      </w:r>
      <w:r w:rsidRPr="00B916EC">
        <w:rPr>
          <w:lang w:eastAsia="zh-CN"/>
        </w:rPr>
        <w:t xml:space="preserve"> </w:t>
      </w:r>
      <w:r w:rsidR="00ED3701">
        <w:rPr>
          <w:noProof/>
          <w:position w:val="-10"/>
        </w:rPr>
        <w:drawing>
          <wp:inline distT="0" distB="0" distL="0" distR="0" wp14:anchorId="31A407F8" wp14:editId="118F71D7">
            <wp:extent cx="352425" cy="180975"/>
            <wp:effectExtent l="0" t="0" r="0" b="0"/>
            <wp:docPr id="159"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52425" cy="180975"/>
                    </a:xfrm>
                    <a:prstGeom prst="rect">
                      <a:avLst/>
                    </a:prstGeom>
                    <a:noFill/>
                    <a:ln>
                      <a:noFill/>
                    </a:ln>
                  </pic:spPr>
                </pic:pic>
              </a:graphicData>
            </a:graphic>
          </wp:inline>
        </w:drawing>
      </w:r>
      <w:r w:rsidRPr="00B916EC">
        <w:rPr>
          <w:lang w:eastAsia="zh-CN"/>
        </w:rPr>
        <w:t xml:space="preserve">, or the </w:t>
      </w:r>
      <w:r w:rsidRPr="00B916EC">
        <w:rPr>
          <w:rFonts w:hint="eastAsia"/>
          <w:lang w:eastAsia="zh-CN"/>
        </w:rPr>
        <w:t xml:space="preserve">PUCCH format </w:t>
      </w:r>
      <w:r w:rsidRPr="00B916EC">
        <w:rPr>
          <w:lang w:eastAsia="zh-CN"/>
        </w:rPr>
        <w:t>3</w:t>
      </w:r>
      <w:r w:rsidRPr="00B916EC">
        <w:rPr>
          <w:rFonts w:hint="eastAsia"/>
          <w:lang w:eastAsia="zh-CN"/>
        </w:rPr>
        <w:t xml:space="preserve"> resource</w:t>
      </w:r>
      <w:r w:rsidRPr="00B916EC">
        <w:rPr>
          <w:lang w:eastAsia="zh-CN"/>
        </w:rPr>
        <w:t xml:space="preserve"> </w:t>
      </w:r>
      <w:r w:rsidR="00ED3701">
        <w:rPr>
          <w:noProof/>
          <w:position w:val="-10"/>
        </w:rPr>
        <w:drawing>
          <wp:inline distT="0" distB="0" distL="0" distR="0" wp14:anchorId="7CD270A9" wp14:editId="5D386C4A">
            <wp:extent cx="352425" cy="180975"/>
            <wp:effectExtent l="0" t="0" r="0" b="0"/>
            <wp:docPr id="160"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52425" cy="180975"/>
                    </a:xfrm>
                    <a:prstGeom prst="rect">
                      <a:avLst/>
                    </a:prstGeom>
                    <a:noFill/>
                    <a:ln>
                      <a:noFill/>
                    </a:ln>
                  </pic:spPr>
                </pic:pic>
              </a:graphicData>
            </a:graphic>
          </wp:inline>
        </w:drawing>
      </w:r>
      <w:r w:rsidRPr="00B916EC">
        <w:rPr>
          <w:lang w:eastAsia="zh-CN"/>
        </w:rPr>
        <w:t xml:space="preserve">, or the </w:t>
      </w:r>
      <w:r w:rsidRPr="00B916EC">
        <w:rPr>
          <w:rFonts w:hint="eastAsia"/>
          <w:lang w:eastAsia="zh-CN"/>
        </w:rPr>
        <w:t xml:space="preserve">PUCCH format </w:t>
      </w:r>
      <w:r w:rsidRPr="00B916EC">
        <w:rPr>
          <w:lang w:eastAsia="zh-CN"/>
        </w:rPr>
        <w:t>4</w:t>
      </w:r>
      <w:r w:rsidRPr="00B916EC">
        <w:rPr>
          <w:rFonts w:hint="eastAsia"/>
          <w:lang w:eastAsia="zh-CN"/>
        </w:rPr>
        <w:t xml:space="preserve"> resource</w:t>
      </w:r>
      <w:r>
        <w:rPr>
          <w:lang w:val="en-US" w:eastAsia="zh-CN"/>
        </w:rPr>
        <w:t xml:space="preserve"> </w:t>
      </w:r>
      <w:r w:rsidR="00ED3701">
        <w:rPr>
          <w:noProof/>
          <w:position w:val="-10"/>
        </w:rPr>
        <w:drawing>
          <wp:inline distT="0" distB="0" distL="0" distR="0" wp14:anchorId="3038ECBF" wp14:editId="03AC8ACB">
            <wp:extent cx="352425" cy="180975"/>
            <wp:effectExtent l="0" t="0" r="0" b="0"/>
            <wp:docPr id="161"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52425" cy="180975"/>
                    </a:xfrm>
                    <a:prstGeom prst="rect">
                      <a:avLst/>
                    </a:prstGeom>
                    <a:noFill/>
                    <a:ln>
                      <a:noFill/>
                    </a:ln>
                  </pic:spPr>
                </pic:pic>
              </a:graphicData>
            </a:graphic>
          </wp:inline>
        </w:drawing>
      </w:r>
      <w:r w:rsidRPr="00B916EC">
        <w:t xml:space="preserve"> </w:t>
      </w:r>
    </w:p>
    <w:p w14:paraId="7F19CE4B" w14:textId="7B05E3BC" w:rsidR="003E5718" w:rsidRDefault="003E5718" w:rsidP="003E5718">
      <w:pPr>
        <w:pStyle w:val="B2"/>
      </w:pPr>
      <w:r>
        <w:t>-</w:t>
      </w:r>
      <w:r>
        <w:tab/>
      </w:r>
      <w:r w:rsidRPr="00B916EC">
        <w:t xml:space="preserve">else the </w:t>
      </w:r>
      <w:r>
        <w:rPr>
          <w:lang w:val="en-US"/>
        </w:rPr>
        <w:t>UE</w:t>
      </w:r>
      <w:r w:rsidRPr="00B916EC">
        <w:t xml:space="preserve"> uses </w:t>
      </w:r>
      <w:r>
        <w:rPr>
          <w:lang w:val="en-US"/>
        </w:rPr>
        <w:t xml:space="preserve">the </w:t>
      </w:r>
      <w:r w:rsidRPr="00B916EC">
        <w:rPr>
          <w:rFonts w:hint="eastAsia"/>
          <w:lang w:eastAsia="zh-CN"/>
        </w:rPr>
        <w:t xml:space="preserve">PUCCH format </w:t>
      </w:r>
      <w:r w:rsidRPr="00B916EC">
        <w:rPr>
          <w:lang w:eastAsia="zh-CN"/>
        </w:rPr>
        <w:t>2</w:t>
      </w:r>
      <w:r w:rsidRPr="00B916EC">
        <w:rPr>
          <w:rFonts w:hint="eastAsia"/>
          <w:lang w:eastAsia="zh-CN"/>
        </w:rPr>
        <w:t xml:space="preserve"> resource</w:t>
      </w:r>
      <w:r w:rsidRPr="00B916EC">
        <w:rPr>
          <w:lang w:eastAsia="zh-CN"/>
        </w:rPr>
        <w:t xml:space="preserve"> </w:t>
      </w:r>
      <w:r w:rsidR="00ED3701">
        <w:rPr>
          <w:noProof/>
          <w:position w:val="-6"/>
        </w:rPr>
        <w:drawing>
          <wp:inline distT="0" distB="0" distL="0" distR="0" wp14:anchorId="12DF1DDA" wp14:editId="232C715E">
            <wp:extent cx="276225" cy="161925"/>
            <wp:effectExtent l="0" t="0" r="0" b="0"/>
            <wp:docPr id="162"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76225" cy="161925"/>
                    </a:xfrm>
                    <a:prstGeom prst="rect">
                      <a:avLst/>
                    </a:prstGeom>
                    <a:noFill/>
                    <a:ln>
                      <a:noFill/>
                    </a:ln>
                  </pic:spPr>
                </pic:pic>
              </a:graphicData>
            </a:graphic>
          </wp:inline>
        </w:drawing>
      </w:r>
      <w:r w:rsidRPr="00B916EC">
        <w:rPr>
          <w:lang w:eastAsia="zh-CN"/>
        </w:rPr>
        <w:t xml:space="preserve">, or the </w:t>
      </w:r>
      <w:r w:rsidRPr="00B916EC">
        <w:rPr>
          <w:rFonts w:hint="eastAsia"/>
          <w:lang w:eastAsia="zh-CN"/>
        </w:rPr>
        <w:t xml:space="preserve">PUCCH format </w:t>
      </w:r>
      <w:r w:rsidRPr="00B916EC">
        <w:rPr>
          <w:lang w:eastAsia="zh-CN"/>
        </w:rPr>
        <w:t>3</w:t>
      </w:r>
      <w:r w:rsidRPr="00B916EC">
        <w:rPr>
          <w:rFonts w:hint="eastAsia"/>
          <w:lang w:eastAsia="zh-CN"/>
        </w:rPr>
        <w:t xml:space="preserve"> resource</w:t>
      </w:r>
      <w:r w:rsidRPr="00B916EC">
        <w:rPr>
          <w:lang w:eastAsia="zh-CN"/>
        </w:rPr>
        <w:t xml:space="preserve"> </w:t>
      </w:r>
      <w:r w:rsidR="00ED3701">
        <w:rPr>
          <w:noProof/>
          <w:position w:val="-6"/>
        </w:rPr>
        <w:drawing>
          <wp:inline distT="0" distB="0" distL="0" distR="0" wp14:anchorId="1488EC18" wp14:editId="7635328A">
            <wp:extent cx="276225" cy="161925"/>
            <wp:effectExtent l="0" t="0" r="0" b="0"/>
            <wp:docPr id="163"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76225" cy="161925"/>
                    </a:xfrm>
                    <a:prstGeom prst="rect">
                      <a:avLst/>
                    </a:prstGeom>
                    <a:noFill/>
                    <a:ln>
                      <a:noFill/>
                    </a:ln>
                  </pic:spPr>
                </pic:pic>
              </a:graphicData>
            </a:graphic>
          </wp:inline>
        </w:drawing>
      </w:r>
      <w:r w:rsidRPr="00B916EC">
        <w:rPr>
          <w:lang w:eastAsia="zh-CN"/>
        </w:rPr>
        <w:t xml:space="preserve">, or the </w:t>
      </w:r>
      <w:r w:rsidRPr="00B916EC">
        <w:rPr>
          <w:rFonts w:hint="eastAsia"/>
          <w:lang w:eastAsia="zh-CN"/>
        </w:rPr>
        <w:t xml:space="preserve">PUCCH format </w:t>
      </w:r>
      <w:r w:rsidRPr="00B916EC">
        <w:rPr>
          <w:lang w:eastAsia="zh-CN"/>
        </w:rPr>
        <w:t>4</w:t>
      </w:r>
      <w:r w:rsidRPr="00B916EC">
        <w:rPr>
          <w:rFonts w:hint="eastAsia"/>
          <w:lang w:eastAsia="zh-CN"/>
        </w:rPr>
        <w:t xml:space="preserve"> resource</w:t>
      </w:r>
      <w:r w:rsidRPr="00B916EC">
        <w:rPr>
          <w:lang w:eastAsia="zh-CN"/>
        </w:rPr>
        <w:t xml:space="preserve"> </w:t>
      </w:r>
      <w:r w:rsidR="00ED3701">
        <w:rPr>
          <w:noProof/>
          <w:position w:val="-6"/>
        </w:rPr>
        <w:drawing>
          <wp:inline distT="0" distB="0" distL="0" distR="0" wp14:anchorId="63D61B86" wp14:editId="275D821B">
            <wp:extent cx="276225" cy="161925"/>
            <wp:effectExtent l="0" t="0" r="0" b="0"/>
            <wp:docPr id="16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76225" cy="161925"/>
                    </a:xfrm>
                    <a:prstGeom prst="rect">
                      <a:avLst/>
                    </a:prstGeom>
                    <a:noFill/>
                    <a:ln>
                      <a:noFill/>
                    </a:ln>
                  </pic:spPr>
                </pic:pic>
              </a:graphicData>
            </a:graphic>
          </wp:inline>
        </w:drawing>
      </w:r>
      <w:r>
        <w:rPr>
          <w:lang w:val="en-US"/>
        </w:rPr>
        <w:t xml:space="preserve"> </w:t>
      </w:r>
      <w:r>
        <w:t xml:space="preserve">and </w:t>
      </w:r>
      <w:r w:rsidRPr="00B916EC">
        <w:rPr>
          <w:rFonts w:hint="eastAsia"/>
          <w:lang w:eastAsia="zh-CN"/>
        </w:rPr>
        <w:t>the UE select</w:t>
      </w:r>
      <w:r w:rsidRPr="00B916EC">
        <w:rPr>
          <w:lang w:eastAsia="zh-CN"/>
        </w:rPr>
        <w:t>s</w:t>
      </w:r>
      <w:r>
        <w:rPr>
          <w:lang w:val="en-US" w:eastAsia="zh-CN"/>
        </w:rPr>
        <w:t xml:space="preserve"> </w:t>
      </w:r>
      <w:r w:rsidR="00ED3701">
        <w:rPr>
          <w:noProof/>
          <w:position w:val="-10"/>
        </w:rPr>
        <w:drawing>
          <wp:inline distT="0" distB="0" distL="0" distR="0" wp14:anchorId="27EAD679" wp14:editId="7439A063">
            <wp:extent cx="466725" cy="238125"/>
            <wp:effectExtent l="0" t="0" r="0" b="0"/>
            <wp:docPr id="165"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66725" cy="238125"/>
                    </a:xfrm>
                    <a:prstGeom prst="rect">
                      <a:avLst/>
                    </a:prstGeom>
                    <a:noFill/>
                    <a:ln>
                      <a:noFill/>
                    </a:ln>
                  </pic:spPr>
                </pic:pic>
              </a:graphicData>
            </a:graphic>
          </wp:inline>
        </w:drawing>
      </w:r>
      <w:r w:rsidRPr="00B916EC">
        <w:rPr>
          <w:rFonts w:hint="eastAsia"/>
          <w:lang w:eastAsia="zh-CN"/>
        </w:rPr>
        <w:t xml:space="preserve"> CSI report(s) for transm</w:t>
      </w:r>
      <w:r>
        <w:rPr>
          <w:rFonts w:hint="eastAsia"/>
          <w:lang w:eastAsia="zh-CN"/>
        </w:rPr>
        <w:t>ission together with HARQ-ACK</w:t>
      </w:r>
      <w:r>
        <w:rPr>
          <w:lang w:val="en-US" w:eastAsia="zh-CN"/>
        </w:rPr>
        <w:t xml:space="preserve"> information and </w:t>
      </w:r>
      <w:r>
        <w:rPr>
          <w:lang w:eastAsia="zh-CN"/>
        </w:rPr>
        <w:t>SR, when any,</w:t>
      </w:r>
      <w:r w:rsidRPr="00B916EC">
        <w:rPr>
          <w:rFonts w:hint="eastAsia"/>
          <w:lang w:eastAsia="zh-CN"/>
        </w:rPr>
        <w:t xml:space="preserve"> in ascending </w:t>
      </w:r>
      <w:r>
        <w:rPr>
          <w:lang w:val="en-US" w:eastAsia="zh-CN"/>
        </w:rPr>
        <w:t xml:space="preserve">priority </w:t>
      </w:r>
      <w:r w:rsidR="008F0391">
        <w:rPr>
          <w:lang w:val="en-US" w:eastAsia="zh-CN"/>
        </w:rPr>
        <w:t>value</w:t>
      </w:r>
      <w:r>
        <w:rPr>
          <w:rFonts w:hint="eastAsia"/>
          <w:lang w:eastAsia="zh-CN"/>
        </w:rPr>
        <w:t xml:space="preserve"> as described in</w:t>
      </w:r>
      <w:r w:rsidRPr="00B916EC">
        <w:rPr>
          <w:rFonts w:hint="eastAsia"/>
          <w:lang w:eastAsia="zh-CN"/>
        </w:rPr>
        <w:t xml:space="preserve"> </w:t>
      </w:r>
      <w:r w:rsidRPr="00B916EC">
        <w:t>[6, TS 38.214]</w:t>
      </w:r>
      <w:r>
        <w:t xml:space="preserve"> </w:t>
      </w:r>
    </w:p>
    <w:p w14:paraId="1C0C1FAA" w14:textId="6ACFA08F" w:rsidR="008F0391" w:rsidRPr="00066945" w:rsidRDefault="008F0391" w:rsidP="008F0391">
      <w:pPr>
        <w:pStyle w:val="B1"/>
        <w:rPr>
          <w:lang w:val="en-US"/>
        </w:rPr>
      </w:pPr>
      <w:r>
        <w:rPr>
          <w:lang w:eastAsia="zh-CN"/>
        </w:rPr>
        <w:t>-</w:t>
      </w:r>
      <w:r>
        <w:rPr>
          <w:lang w:eastAsia="zh-CN"/>
        </w:rPr>
        <w:tab/>
      </w:r>
      <w:r>
        <w:rPr>
          <w:rFonts w:hint="eastAsia"/>
          <w:lang w:eastAsia="zh-CN"/>
        </w:rPr>
        <w:t xml:space="preserve">else, </w:t>
      </w:r>
      <w:r>
        <w:rPr>
          <w:lang w:val="en-US" w:eastAsia="zh-CN"/>
        </w:rPr>
        <w:t>the UE</w:t>
      </w:r>
      <w:r>
        <w:rPr>
          <w:lang w:val="en-US"/>
        </w:rPr>
        <w:t xml:space="preserve"> transmits the </w:t>
      </w:r>
      <w:bookmarkStart w:id="612" w:name="_Hlk534904159"/>
      <w:r w:rsidR="00ED3701">
        <w:rPr>
          <w:noProof/>
          <w:position w:val="-10"/>
        </w:rPr>
        <w:drawing>
          <wp:inline distT="0" distB="0" distL="0" distR="0" wp14:anchorId="77329DEB" wp14:editId="2880A892">
            <wp:extent cx="1190625" cy="209550"/>
            <wp:effectExtent l="0" t="0" r="0" b="0"/>
            <wp:docPr id="166"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190625" cy="209550"/>
                    </a:xfrm>
                    <a:prstGeom prst="rect">
                      <a:avLst/>
                    </a:prstGeom>
                    <a:noFill/>
                    <a:ln>
                      <a:noFill/>
                    </a:ln>
                  </pic:spPr>
                </pic:pic>
              </a:graphicData>
            </a:graphic>
          </wp:inline>
        </w:drawing>
      </w:r>
      <w:r>
        <w:rPr>
          <w:lang w:val="en-US"/>
        </w:rPr>
        <w:t xml:space="preserve"> bits in a PUCCH resource provided by </w:t>
      </w:r>
      <w:r w:rsidRPr="00DA7895">
        <w:rPr>
          <w:i/>
          <w:lang w:eastAsia="zh-CN"/>
        </w:rPr>
        <w:t>pucch-CSI-ResourceList</w:t>
      </w:r>
      <w:bookmarkEnd w:id="612"/>
      <w:r>
        <w:rPr>
          <w:lang w:val="en-US"/>
        </w:rPr>
        <w:t xml:space="preserve"> and determined as described </w:t>
      </w:r>
      <w:r w:rsidR="006F5F9E">
        <w:rPr>
          <w:lang w:val="en-US"/>
        </w:rPr>
        <w:t>in clause</w:t>
      </w:r>
      <w:r>
        <w:rPr>
          <w:lang w:val="en-US"/>
        </w:rPr>
        <w:t xml:space="preserve"> 9.2.5 </w:t>
      </w:r>
    </w:p>
    <w:p w14:paraId="18277F86" w14:textId="77777777" w:rsidR="00BC6BD6" w:rsidRDefault="00C638BD" w:rsidP="00BC6BD6">
      <w:pPr>
        <w:overflowPunct w:val="0"/>
        <w:autoSpaceDE w:val="0"/>
        <w:autoSpaceDN w:val="0"/>
        <w:adjustRightInd w:val="0"/>
        <w:textAlignment w:val="baseline"/>
        <w:rPr>
          <w:lang w:eastAsia="zh-CN"/>
        </w:rPr>
      </w:pPr>
      <w:r w:rsidRPr="00B916EC">
        <w:rPr>
          <w:lang w:eastAsia="zh-CN"/>
        </w:rPr>
        <w:t>I</w:t>
      </w:r>
      <w:r w:rsidRPr="00B916EC">
        <w:rPr>
          <w:rFonts w:hint="eastAsia"/>
          <w:lang w:eastAsia="zh-CN"/>
        </w:rPr>
        <w:t xml:space="preserve">f </w:t>
      </w:r>
      <w:r w:rsidR="00BC6BD6">
        <w:rPr>
          <w:lang w:val="en-US" w:eastAsia="zh-CN"/>
        </w:rPr>
        <w:t xml:space="preserve">a UE </w:t>
      </w:r>
      <w:r w:rsidR="00BC6BD6">
        <w:rPr>
          <w:lang w:eastAsia="zh-CN"/>
        </w:rPr>
        <w:t>has HARQ-ACK</w:t>
      </w:r>
      <w:r w:rsidR="009C7052">
        <w:rPr>
          <w:lang w:eastAsia="zh-CN"/>
        </w:rPr>
        <w:t xml:space="preserve">, </w:t>
      </w:r>
      <w:r w:rsidR="00BC6BD6">
        <w:rPr>
          <w:lang w:eastAsia="zh-CN"/>
        </w:rPr>
        <w:t>SR and wideband or sub-band CSI reports to transmit and the UE determines a PUCCH resource with PUCCH format 2, or the UE has HARQ-ACK</w:t>
      </w:r>
      <w:r w:rsidR="009C7052">
        <w:rPr>
          <w:lang w:eastAsia="zh-CN"/>
        </w:rPr>
        <w:t xml:space="preserve">, </w:t>
      </w:r>
      <w:r w:rsidR="00BC6BD6">
        <w:rPr>
          <w:lang w:eastAsia="zh-CN"/>
        </w:rPr>
        <w:t>SR and wideband CSI reports [6, TS</w:t>
      </w:r>
      <w:r w:rsidR="006F698B">
        <w:rPr>
          <w:lang w:eastAsia="zh-CN"/>
        </w:rPr>
        <w:t xml:space="preserve"> </w:t>
      </w:r>
      <w:r w:rsidR="00BC6BD6">
        <w:rPr>
          <w:lang w:eastAsia="zh-CN"/>
        </w:rPr>
        <w:t xml:space="preserve">38.214] to transmit and the UE determines a PUCCH resource with PUCCH format 3 or PUCCH format 4, where </w:t>
      </w:r>
    </w:p>
    <w:p w14:paraId="3E53E516" w14:textId="69A59EF6" w:rsidR="00BC6BD6" w:rsidRDefault="00BC6BD6" w:rsidP="00BC6BD6">
      <w:pPr>
        <w:pStyle w:val="B3"/>
        <w:ind w:left="540"/>
        <w:rPr>
          <w:lang w:val="en-US" w:eastAsia="zh-CN"/>
        </w:rPr>
      </w:pPr>
      <w:r>
        <w:t>-</w:t>
      </w:r>
      <w:r>
        <w:tab/>
      </w:r>
      <w:r>
        <w:rPr>
          <w:lang w:eastAsia="zh-CN"/>
        </w:rPr>
        <w:t xml:space="preserve">the UE determines the PUCCH resource </w:t>
      </w:r>
      <w:r>
        <w:t xml:space="preserve">using </w:t>
      </w:r>
      <w:r>
        <w:rPr>
          <w:lang w:eastAsia="zh-CN"/>
        </w:rPr>
        <w:t xml:space="preserve">the PUCCH resource indicator field [5, TS 38.212] in a last </w:t>
      </w:r>
      <w:r w:rsidR="004F4935">
        <w:rPr>
          <w:lang w:eastAsia="zh-CN"/>
        </w:rPr>
        <w:t xml:space="preserve">of a number of </w:t>
      </w:r>
      <w:r>
        <w:rPr>
          <w:lang w:eastAsia="zh-CN"/>
        </w:rPr>
        <w:t>DCI format</w:t>
      </w:r>
      <w:r w:rsidR="004F4935">
        <w:rPr>
          <w:lang w:eastAsia="zh-CN"/>
        </w:rPr>
        <w:t>s</w:t>
      </w:r>
      <w:r w:rsidR="00B75E19">
        <w:rPr>
          <w:rFonts w:hint="eastAsia"/>
          <w:lang w:eastAsia="zh-CN"/>
        </w:rPr>
        <w:t>, excluding the SPS activation DCI,</w:t>
      </w:r>
      <w:r>
        <w:t xml:space="preserve"> </w:t>
      </w:r>
      <w:r w:rsidR="004F4935">
        <w:t xml:space="preserve">with </w:t>
      </w:r>
      <w:r>
        <w:t>a value of a PDSCH-to-HARQ_feedback timing indicator field</w:t>
      </w:r>
      <w:r w:rsidR="007E7DE5" w:rsidRPr="00EE027F">
        <w:t xml:space="preserve">, if present, or a value of </w:t>
      </w:r>
      <w:r w:rsidR="007E7DE5" w:rsidRPr="00EE027F">
        <w:rPr>
          <w:i/>
        </w:rPr>
        <w:t>dl-DataToUL-ACK</w:t>
      </w:r>
      <w:r w:rsidR="007E7DE5">
        <w:t xml:space="preserve">, </w:t>
      </w:r>
      <w:r w:rsidR="002D5072">
        <w:t xml:space="preserve">or </w:t>
      </w:r>
      <w:r w:rsidR="002D5072" w:rsidRPr="00EE027F">
        <w:rPr>
          <w:i/>
        </w:rPr>
        <w:t>dl-DataToUL-ACK</w:t>
      </w:r>
      <w:r w:rsidR="002D5072">
        <w:rPr>
          <w:i/>
        </w:rPr>
        <w:t>-r16</w:t>
      </w:r>
      <w:r w:rsidR="002D5072">
        <w:rPr>
          <w:iCs/>
        </w:rPr>
        <w:t>,</w:t>
      </w:r>
      <w:r w:rsidR="002D5072">
        <w:t xml:space="preserve"> </w:t>
      </w:r>
      <w:r w:rsidR="007E7DE5">
        <w:t xml:space="preserve">or </w:t>
      </w:r>
      <w:r w:rsidR="00106490">
        <w:rPr>
          <w:i/>
        </w:rPr>
        <w:t>dl-DataToUL-ACK-DCI-1-2</w:t>
      </w:r>
      <w:r w:rsidR="007E7DE5">
        <w:t>,</w:t>
      </w:r>
      <w:r>
        <w:t xml:space="preserve"> </w:t>
      </w:r>
      <w:r w:rsidR="003F5C59">
        <w:rPr>
          <w:rFonts w:eastAsia="Malgun Gothic"/>
          <w:lang w:val="en-US" w:eastAsia="zh-CN"/>
        </w:rPr>
        <w:t xml:space="preserve">or </w:t>
      </w:r>
      <w:r w:rsidR="003F5C59">
        <w:rPr>
          <w:i/>
          <w:lang w:val="en-US"/>
        </w:rPr>
        <w:t>dl-DataToUL-ACK-r17</w:t>
      </w:r>
      <w:r w:rsidR="003F5C59" w:rsidRPr="00004767">
        <w:rPr>
          <w:iCs/>
          <w:lang w:val="en-US"/>
        </w:rPr>
        <w:t xml:space="preserve">, </w:t>
      </w:r>
      <w:r w:rsidR="00004767" w:rsidRPr="00F31F88">
        <w:rPr>
          <w:lang w:val="en-US"/>
        </w:rPr>
        <w:t xml:space="preserve">or </w:t>
      </w:r>
      <w:r w:rsidR="00004767" w:rsidRPr="006A74E7">
        <w:rPr>
          <w:i/>
          <w:lang w:val="en-US"/>
        </w:rPr>
        <w:t>dl-DataToUL-ACK-v1700</w:t>
      </w:r>
      <w:r w:rsidR="00004767">
        <w:rPr>
          <w:rFonts w:eastAsia="Malgun Gothic"/>
          <w:lang w:val="en-US" w:eastAsia="zh-CN"/>
        </w:rPr>
        <w:t xml:space="preserve">, </w:t>
      </w:r>
      <w:r w:rsidR="003F5C59">
        <w:rPr>
          <w:rFonts w:eastAsia="Malgun Gothic"/>
        </w:rPr>
        <w:t xml:space="preserve">or </w:t>
      </w:r>
      <w:r w:rsidR="003F5C59">
        <w:rPr>
          <w:rFonts w:eastAsia="Malgun Gothic"/>
          <w:i/>
        </w:rPr>
        <w:t>dl-DataToUL-ACK-DCI-1-2-r17</w:t>
      </w:r>
      <w:r w:rsidR="003F5C59">
        <w:rPr>
          <w:rFonts w:eastAsia="Malgun Gothic"/>
        </w:rPr>
        <w:t xml:space="preserve">, </w:t>
      </w:r>
      <w:r>
        <w:lastRenderedPageBreak/>
        <w:t>indicating a same slot for the PUCCH transmission,</w:t>
      </w:r>
      <w:r>
        <w:rPr>
          <w:lang w:val="en-US" w:eastAsia="zh-CN"/>
        </w:rPr>
        <w:t xml:space="preserve"> from a PUCCH resource set provided to the UE for HARQ-ACK transmission, and </w:t>
      </w:r>
    </w:p>
    <w:p w14:paraId="338859AE" w14:textId="5E5CF734" w:rsidR="00D53B7C" w:rsidRDefault="00D53B7C" w:rsidP="00D53B7C">
      <w:pPr>
        <w:pStyle w:val="B3"/>
        <w:ind w:left="540"/>
      </w:pPr>
      <w:r>
        <w:t>-</w:t>
      </w:r>
      <w:r>
        <w:tab/>
      </w:r>
      <w:r>
        <w:rPr>
          <w:lang w:val="en-US" w:eastAsia="zh-CN"/>
        </w:rPr>
        <w:t xml:space="preserve">the UE determines the PUCCH resource set as </w:t>
      </w:r>
      <w:r>
        <w:t xml:space="preserve">described </w:t>
      </w:r>
      <w:r w:rsidR="006F5F9E">
        <w:t>in clause</w:t>
      </w:r>
      <w:r>
        <w:t xml:space="preserve"> 9.2.1 and </w:t>
      </w:r>
      <w:r w:rsidR="006F5F9E">
        <w:t>clause</w:t>
      </w:r>
      <w:r>
        <w:t xml:space="preserve"> 9.2.3 for</w:t>
      </w:r>
      <w:r w:rsidR="00531807">
        <w:t xml:space="preserve"> </w:t>
      </w:r>
      <m:oMath>
        <m:sSub>
          <m:sSubPr>
            <m:ctrlPr>
              <w:rPr>
                <w:rFonts w:ascii="Cambria Math" w:hAnsi="Cambria Math"/>
                <w:i/>
              </w:rPr>
            </m:ctrlPr>
          </m:sSubPr>
          <m:e>
            <m:r>
              <w:rPr>
                <w:rFonts w:ascii="Cambria Math" w:hAnsi="Cambria Math"/>
              </w:rPr>
              <m:t>O</m:t>
            </m:r>
          </m:e>
          <m:sub>
            <m:r>
              <m:rPr>
                <m:nor/>
              </m:rPr>
              <m:t>UCI</m:t>
            </m:r>
            <m:ctrlPr>
              <w:rPr>
                <w:rFonts w:ascii="Cambria Math" w:hAnsi="Cambria Math"/>
              </w:rPr>
            </m:ctrlPr>
          </m:sub>
        </m:sSub>
      </m:oMath>
      <w:r>
        <w:t xml:space="preserve"> UCI bits</w:t>
      </w:r>
    </w:p>
    <w:p w14:paraId="10E53624" w14:textId="77777777" w:rsidR="00D53B7C" w:rsidRDefault="00D53B7C" w:rsidP="00D53B7C">
      <w:pPr>
        <w:pStyle w:val="B3"/>
        <w:ind w:left="0" w:firstLine="0"/>
        <w:rPr>
          <w:lang w:eastAsia="zh-CN"/>
        </w:rPr>
      </w:pPr>
      <w:r>
        <w:t>and</w:t>
      </w:r>
    </w:p>
    <w:p w14:paraId="0E1213D5" w14:textId="77777777" w:rsidR="00742E08" w:rsidRPr="00742E08" w:rsidRDefault="00742E08" w:rsidP="00742E08">
      <w:pPr>
        <w:ind w:left="568" w:hanging="284"/>
        <w:rPr>
          <w:rFonts w:eastAsia="Times New Roman"/>
          <w:lang w:eastAsia="zh-CN"/>
        </w:rPr>
      </w:pPr>
      <w:r w:rsidRPr="00742E08">
        <w:rPr>
          <w:rFonts w:eastAsia="Times New Roman"/>
          <w:lang w:eastAsia="zh-CN"/>
        </w:rPr>
        <w:t>-</w:t>
      </w:r>
      <w:r w:rsidRPr="00742E08">
        <w:rPr>
          <w:rFonts w:eastAsia="Times New Roman"/>
          <w:lang w:eastAsia="zh-CN"/>
        </w:rPr>
        <w:tab/>
      </w:r>
      <w:r w:rsidRPr="00742E08">
        <w:rPr>
          <w:rFonts w:eastAsia="Times New Roman" w:hint="eastAsia"/>
          <w:lang w:eastAsia="zh-CN"/>
        </w:rPr>
        <w:t xml:space="preserve">if </w:t>
      </w:r>
      <m:oMath>
        <m:d>
          <m:dPr>
            <m:ctrlPr>
              <w:rPr>
                <w:rFonts w:ascii="Cambria Math" w:eastAsia="Times New Roman" w:hAnsi="Cambria Math"/>
                <w:i/>
              </w:rPr>
            </m:ctrlPr>
          </m:dPr>
          <m:e>
            <m:sSub>
              <m:sSubPr>
                <m:ctrlPr>
                  <w:rPr>
                    <w:rFonts w:ascii="Cambria Math" w:eastAsia="Times New Roman" w:hAnsi="Cambria Math"/>
                    <w:i/>
                  </w:rPr>
                </m:ctrlPr>
              </m:sSubPr>
              <m:e>
                <m:r>
                  <w:rPr>
                    <w:rFonts w:ascii="Cambria Math" w:eastAsia="Times New Roman" w:hAnsi="Cambria Math"/>
                  </w:rPr>
                  <m:t>O</m:t>
                </m:r>
              </m:e>
              <m:sub>
                <m:r>
                  <m:rPr>
                    <m:nor/>
                  </m:rPr>
                  <w:rPr>
                    <w:rFonts w:eastAsia="Times New Roman"/>
                  </w:rPr>
                  <m:t>ACK</m:t>
                </m:r>
                <m:ctrlPr>
                  <w:rPr>
                    <w:rFonts w:ascii="Cambria Math" w:eastAsia="Times New Roman" w:hAnsi="Cambria Math"/>
                  </w:rPr>
                </m:ctrlP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O</m:t>
                </m:r>
              </m:e>
              <m:sub>
                <m:r>
                  <m:rPr>
                    <m:nor/>
                  </m:rPr>
                  <w:rPr>
                    <w:rFonts w:eastAsia="Times New Roman"/>
                  </w:rPr>
                  <m:t>SR</m:t>
                </m:r>
                <m:ctrlPr>
                  <w:rPr>
                    <w:rFonts w:ascii="Cambria Math" w:eastAsia="Times New Roman" w:hAnsi="Cambria Math"/>
                  </w:rPr>
                </m:ctrlP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O</m:t>
                </m:r>
              </m:e>
              <m:sub>
                <m:r>
                  <m:rPr>
                    <m:nor/>
                  </m:rPr>
                  <w:rPr>
                    <w:rFonts w:eastAsia="Times New Roman"/>
                  </w:rPr>
                  <m:t>CSI</m:t>
                </m:r>
                <m:r>
                  <m:rPr>
                    <m:sty m:val="p"/>
                  </m:rPr>
                  <w:rPr>
                    <w:rFonts w:ascii="Cambria Math" w:eastAsia="Times New Roman" w:hAnsi="Cambria Math"/>
                  </w:rPr>
                  <m:t>-</m:t>
                </m:r>
                <m:r>
                  <m:rPr>
                    <m:nor/>
                  </m:rPr>
                  <w:rPr>
                    <w:rFonts w:eastAsia="Times New Roman"/>
                  </w:rPr>
                  <m:t>part1</m:t>
                </m:r>
                <m:ctrlPr>
                  <w:rPr>
                    <w:rFonts w:ascii="Cambria Math" w:eastAsia="Times New Roman" w:hAnsi="Cambria Math"/>
                  </w:rPr>
                </m:ctrlP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O</m:t>
                </m:r>
              </m:e>
              <m:sub>
                <m:r>
                  <m:rPr>
                    <m:nor/>
                  </m:rPr>
                  <w:rPr>
                    <w:rFonts w:eastAsia="Times New Roman"/>
                  </w:rPr>
                  <m:t>CRC,CSI-part1</m:t>
                </m:r>
                <m:ctrlPr>
                  <w:rPr>
                    <w:rFonts w:ascii="Cambria Math" w:eastAsia="Times New Roman" w:hAnsi="Cambria Math"/>
                  </w:rPr>
                </m:ctrlPr>
              </m:sub>
            </m:sSub>
          </m:e>
        </m:d>
        <m:r>
          <w:rPr>
            <w:rFonts w:ascii="Cambria Math" w:eastAsia="Times New Roman" w:hAnsi="Cambria Math"/>
          </w:rPr>
          <m:t>≤</m:t>
        </m:r>
        <m:sSubSup>
          <m:sSubSupPr>
            <m:ctrlPr>
              <w:rPr>
                <w:rFonts w:ascii="Cambria Math" w:eastAsia="Times New Roman" w:hAnsi="Cambria Math"/>
                <w:i/>
              </w:rPr>
            </m:ctrlPr>
          </m:sSubSupPr>
          <m:e>
            <m:r>
              <w:rPr>
                <w:rFonts w:ascii="Cambria Math" w:eastAsia="Times New Roman" w:hAnsi="Cambria Math"/>
              </w:rPr>
              <m:t>M</m:t>
            </m:r>
          </m:e>
          <m:sub>
            <m:r>
              <m:rPr>
                <m:nor/>
              </m:rPr>
              <w:rPr>
                <w:rFonts w:ascii="Cambria Math" w:eastAsia="Times New Roman"/>
              </w:rPr>
              <m:t>RB</m:t>
            </m:r>
            <m:ctrlPr>
              <w:rPr>
                <w:rFonts w:ascii="Cambria Math" w:eastAsia="Times New Roman" w:hAnsi="Cambria Math"/>
              </w:rPr>
            </m:ctrlPr>
          </m:sub>
          <m:sup>
            <m:r>
              <m:rPr>
                <m:nor/>
              </m:rPr>
              <w:rPr>
                <w:rFonts w:eastAsia="Times New Roman"/>
              </w:rPr>
              <m:t>PUCCH</m:t>
            </m:r>
            <m:ctrlPr>
              <w:rPr>
                <w:rFonts w:ascii="Cambria Math" w:eastAsia="Times New Roman" w:hAnsi="Cambria Math"/>
              </w:rPr>
            </m:ctrlPr>
          </m:sup>
        </m:sSubSup>
        <m:r>
          <w:rPr>
            <w:rFonts w:ascii="Cambria Math" w:eastAsia="Times New Roman" w:hAnsi="Cambria Math" w:cs="Cambria Math"/>
          </w:rPr>
          <m:t>⋅</m:t>
        </m:r>
        <m:sSubSup>
          <m:sSubSupPr>
            <m:ctrlPr>
              <w:rPr>
                <w:rFonts w:ascii="Cambria Math" w:eastAsia="Times New Roman" w:hAnsi="Cambria Math"/>
                <w:i/>
              </w:rPr>
            </m:ctrlPr>
          </m:sSubSupPr>
          <m:e>
            <m:r>
              <w:rPr>
                <w:rFonts w:ascii="Cambria Math" w:eastAsia="Times New Roman" w:hAnsi="Cambria Math"/>
              </w:rPr>
              <m:t>N</m:t>
            </m:r>
          </m:e>
          <m:sub>
            <m:r>
              <m:rPr>
                <m:nor/>
              </m:rPr>
              <w:rPr>
                <w:rFonts w:eastAsia="Times New Roman"/>
              </w:rPr>
              <m:t>sc,ctrl</m:t>
            </m:r>
            <m:ctrlPr>
              <w:rPr>
                <w:rFonts w:ascii="Cambria Math" w:eastAsia="Times New Roman" w:hAnsi="Cambria Math"/>
              </w:rPr>
            </m:ctrlPr>
          </m:sub>
          <m:sup>
            <m:r>
              <m:rPr>
                <m:nor/>
              </m:rPr>
              <w:rPr>
                <w:rFonts w:eastAsia="Times New Roman"/>
              </w:rPr>
              <m:t>RB</m:t>
            </m:r>
            <m:ctrlPr>
              <w:rPr>
                <w:rFonts w:ascii="Cambria Math" w:eastAsia="Times New Roman" w:hAnsi="Cambria Math"/>
              </w:rPr>
            </m:ctrlPr>
          </m:sup>
        </m:sSubSup>
        <m:r>
          <w:rPr>
            <w:rFonts w:ascii="Cambria Math" w:eastAsia="Times New Roman" w:hAnsi="Cambria Math" w:cs="Cambria Math"/>
          </w:rPr>
          <m:t>⋅</m:t>
        </m:r>
        <m:sSubSup>
          <m:sSubSupPr>
            <m:ctrlPr>
              <w:rPr>
                <w:rFonts w:ascii="Cambria Math" w:eastAsia="Times New Roman" w:hAnsi="Cambria Math"/>
                <w:i/>
              </w:rPr>
            </m:ctrlPr>
          </m:sSubSupPr>
          <m:e>
            <m:r>
              <w:rPr>
                <w:rFonts w:ascii="Cambria Math" w:eastAsia="Times New Roman" w:hAnsi="Cambria Math"/>
              </w:rPr>
              <m:t>N</m:t>
            </m:r>
          </m:e>
          <m:sub>
            <m:r>
              <m:rPr>
                <m:nor/>
              </m:rPr>
              <w:rPr>
                <w:rFonts w:eastAsia="Times New Roman"/>
              </w:rPr>
              <m:t>symb-UCI</m:t>
            </m:r>
            <m:ctrlPr>
              <w:rPr>
                <w:rFonts w:ascii="Cambria Math" w:eastAsia="Times New Roman" w:hAnsi="Cambria Math"/>
              </w:rPr>
            </m:ctrlPr>
          </m:sub>
          <m:sup>
            <m:r>
              <m:rPr>
                <m:nor/>
              </m:rPr>
              <w:rPr>
                <w:rFonts w:eastAsia="Times New Roman"/>
              </w:rPr>
              <m:t>PUCCH</m:t>
            </m:r>
            <m:ctrlPr>
              <w:rPr>
                <w:rFonts w:ascii="Cambria Math" w:eastAsia="Times New Roman" w:hAnsi="Cambria Math"/>
              </w:rPr>
            </m:ctrlPr>
          </m:sup>
        </m:sSubSup>
        <m:r>
          <w:rPr>
            <w:rFonts w:ascii="Cambria Math" w:eastAsia="Times New Roman" w:hAnsi="Cambria Math" w:cs="Cambria Math"/>
          </w:rPr>
          <m:t>⋅</m:t>
        </m:r>
        <m:sSub>
          <m:sSubPr>
            <m:ctrlPr>
              <w:rPr>
                <w:rFonts w:ascii="Cambria Math" w:eastAsia="Times New Roman" w:hAnsi="Cambria Math"/>
                <w:i/>
              </w:rPr>
            </m:ctrlPr>
          </m:sSubPr>
          <m:e>
            <m:r>
              <w:rPr>
                <w:rFonts w:ascii="Cambria Math" w:eastAsia="Times New Roman" w:hAnsi="Cambria Math"/>
              </w:rPr>
              <m:t>Q</m:t>
            </m:r>
          </m:e>
          <m:sub>
            <m:r>
              <w:rPr>
                <w:rFonts w:ascii="Cambria Math" w:eastAsia="Times New Roman" w:hAnsi="Cambria Math"/>
              </w:rPr>
              <m:t>m</m:t>
            </m:r>
          </m:sub>
        </m:sSub>
        <m:r>
          <w:rPr>
            <w:rFonts w:ascii="Cambria Math" w:eastAsia="Times New Roman" w:hAnsi="Cambria Math" w:cs="Cambria Math"/>
          </w:rPr>
          <m:t>⋅</m:t>
        </m:r>
        <m:r>
          <w:rPr>
            <w:rFonts w:ascii="Cambria Math" w:eastAsia="Times New Roman" w:hAnsi="Cambria Math"/>
          </w:rPr>
          <m:t>r</m:t>
        </m:r>
      </m:oMath>
      <w:r w:rsidRPr="00742E08">
        <w:rPr>
          <w:rFonts w:eastAsia="Times New Roman"/>
          <w:noProof/>
          <w:position w:val="-12"/>
        </w:rPr>
        <w:t xml:space="preserve"> </w:t>
      </w:r>
      <w:r w:rsidRPr="00742E08">
        <w:rPr>
          <w:rFonts w:eastAsia="Times New Roman"/>
          <w:lang w:eastAsia="zh-CN"/>
        </w:rPr>
        <w:t xml:space="preserve">, </w:t>
      </w:r>
      <w:r w:rsidRPr="00742E08">
        <w:rPr>
          <w:rFonts w:eastAsia="Times New Roman" w:hint="eastAsia"/>
          <w:lang w:eastAsia="zh-CN"/>
        </w:rPr>
        <w:t>the UE transmit</w:t>
      </w:r>
      <w:r w:rsidRPr="00742E08">
        <w:rPr>
          <w:rFonts w:eastAsia="Times New Roman"/>
          <w:lang w:val="en-US" w:eastAsia="zh-CN"/>
        </w:rPr>
        <w:t>s</w:t>
      </w:r>
      <w:r w:rsidRPr="00742E08">
        <w:rPr>
          <w:rFonts w:eastAsia="Times New Roman" w:hint="eastAsia"/>
          <w:lang w:eastAsia="zh-CN"/>
        </w:rPr>
        <w:t xml:space="preserve"> the HARQ-ACK</w:t>
      </w:r>
      <w:r w:rsidRPr="00742E08">
        <w:rPr>
          <w:rFonts w:eastAsia="Times New Roman"/>
          <w:lang w:val="en-US" w:eastAsia="zh-CN"/>
        </w:rPr>
        <w:t xml:space="preserve">, </w:t>
      </w:r>
      <w:r w:rsidRPr="00742E08">
        <w:rPr>
          <w:rFonts w:eastAsia="Times New Roman" w:hint="eastAsia"/>
          <w:lang w:eastAsia="zh-CN"/>
        </w:rPr>
        <w:t>SR</w:t>
      </w:r>
      <w:r w:rsidRPr="00742E08">
        <w:rPr>
          <w:rFonts w:eastAsia="Times New Roman"/>
          <w:lang w:val="en-US" w:eastAsia="zh-CN"/>
        </w:rPr>
        <w:t>,</w:t>
      </w:r>
      <w:r w:rsidRPr="00742E08">
        <w:rPr>
          <w:rFonts w:eastAsia="Times New Roman" w:hint="eastAsia"/>
          <w:lang w:eastAsia="zh-CN"/>
        </w:rPr>
        <w:t xml:space="preserve"> and CSI </w:t>
      </w:r>
      <w:r w:rsidRPr="00742E08">
        <w:rPr>
          <w:rFonts w:eastAsia="Times New Roman"/>
          <w:lang w:val="en-US" w:eastAsia="zh-CN"/>
        </w:rPr>
        <w:t xml:space="preserve">reports </w:t>
      </w:r>
      <w:r w:rsidRPr="00742E08">
        <w:rPr>
          <w:rFonts w:eastAsia="Times New Roman" w:hint="eastAsia"/>
          <w:lang w:eastAsia="zh-CN"/>
        </w:rPr>
        <w:t xml:space="preserve">bits </w:t>
      </w:r>
      <w:r w:rsidRPr="00742E08">
        <w:rPr>
          <w:rFonts w:eastAsia="Times New Roman"/>
        </w:rPr>
        <w:t xml:space="preserve">by selecting the minimum number </w:t>
      </w:r>
      <m:oMath>
        <m:sSubSup>
          <m:sSubSupPr>
            <m:ctrlPr>
              <w:rPr>
                <w:rFonts w:ascii="Cambria Math" w:eastAsia="Times New Roman" w:hAnsi="Cambria Math"/>
                <w:i/>
              </w:rPr>
            </m:ctrlPr>
          </m:sSubSupPr>
          <m:e>
            <m:r>
              <w:rPr>
                <w:rFonts w:ascii="Cambria Math" w:eastAsia="Times New Roman" w:hAnsi="Cambria Math"/>
              </w:rPr>
              <m:t>M</m:t>
            </m:r>
          </m:e>
          <m:sub>
            <m:r>
              <m:rPr>
                <m:nor/>
              </m:rPr>
              <w:rPr>
                <w:rFonts w:ascii="Cambria Math" w:eastAsia="Times New Roman"/>
              </w:rPr>
              <m:t>RB,min</m:t>
            </m:r>
            <m:ctrlPr>
              <w:rPr>
                <w:rFonts w:ascii="Cambria Math" w:eastAsia="Times New Roman" w:hAnsi="Cambria Math"/>
              </w:rPr>
            </m:ctrlPr>
          </m:sub>
          <m:sup>
            <m:r>
              <m:rPr>
                <m:nor/>
              </m:rPr>
              <w:rPr>
                <w:rFonts w:eastAsia="Times New Roman"/>
              </w:rPr>
              <m:t>PUCCH</m:t>
            </m:r>
            <m:ctrlPr>
              <w:rPr>
                <w:rFonts w:ascii="Cambria Math" w:eastAsia="Times New Roman" w:hAnsi="Cambria Math"/>
              </w:rPr>
            </m:ctrlPr>
          </m:sup>
        </m:sSubSup>
      </m:oMath>
      <w:r w:rsidRPr="00742E08">
        <w:rPr>
          <w:rFonts w:eastAsia="Times New Roman"/>
        </w:rPr>
        <w:t xml:space="preserve"> of the </w:t>
      </w:r>
      <m:oMath>
        <m:sSubSup>
          <m:sSubSupPr>
            <m:ctrlPr>
              <w:rPr>
                <w:rFonts w:ascii="Cambria Math" w:eastAsia="Times New Roman" w:hAnsi="Cambria Math"/>
                <w:i/>
              </w:rPr>
            </m:ctrlPr>
          </m:sSubSupPr>
          <m:e>
            <m:r>
              <w:rPr>
                <w:rFonts w:ascii="Cambria Math" w:eastAsia="Times New Roman" w:hAnsi="Cambria Math"/>
              </w:rPr>
              <m:t>M</m:t>
            </m:r>
          </m:e>
          <m:sub>
            <m:r>
              <m:rPr>
                <m:nor/>
              </m:rPr>
              <w:rPr>
                <w:rFonts w:ascii="Cambria Math" w:eastAsia="Times New Roman"/>
              </w:rPr>
              <m:t>RB</m:t>
            </m:r>
            <m:ctrlPr>
              <w:rPr>
                <w:rFonts w:ascii="Cambria Math" w:eastAsia="Times New Roman" w:hAnsi="Cambria Math"/>
              </w:rPr>
            </m:ctrlPr>
          </m:sub>
          <m:sup>
            <m:r>
              <m:rPr>
                <m:nor/>
              </m:rPr>
              <w:rPr>
                <w:rFonts w:eastAsia="Times New Roman"/>
              </w:rPr>
              <m:t>PUCCH</m:t>
            </m:r>
            <m:ctrlPr>
              <w:rPr>
                <w:rFonts w:ascii="Cambria Math" w:eastAsia="Times New Roman" w:hAnsi="Cambria Math"/>
              </w:rPr>
            </m:ctrlPr>
          </m:sup>
        </m:sSubSup>
      </m:oMath>
      <w:r w:rsidRPr="00742E08">
        <w:rPr>
          <w:rFonts w:eastAsia="Times New Roman"/>
        </w:rPr>
        <w:t xml:space="preserve"> PRBs satisfying </w:t>
      </w:r>
      <m:oMath>
        <m:d>
          <m:dPr>
            <m:ctrlPr>
              <w:rPr>
                <w:rFonts w:ascii="Cambria Math" w:eastAsia="Times New Roman" w:hAnsi="Cambria Math"/>
                <w:i/>
              </w:rPr>
            </m:ctrlPr>
          </m:dPr>
          <m:e>
            <m:sSub>
              <m:sSubPr>
                <m:ctrlPr>
                  <w:rPr>
                    <w:rFonts w:ascii="Cambria Math" w:eastAsia="Times New Roman" w:hAnsi="Cambria Math"/>
                    <w:i/>
                  </w:rPr>
                </m:ctrlPr>
              </m:sSubPr>
              <m:e>
                <m:r>
                  <w:rPr>
                    <w:rFonts w:ascii="Cambria Math" w:eastAsia="Times New Roman" w:hAnsi="Cambria Math"/>
                  </w:rPr>
                  <m:t>O</m:t>
                </m:r>
              </m:e>
              <m:sub>
                <m:r>
                  <m:rPr>
                    <m:nor/>
                  </m:rPr>
                  <w:rPr>
                    <w:rFonts w:eastAsia="Times New Roman"/>
                  </w:rPr>
                  <m:t>ACK</m:t>
                </m:r>
                <m:ctrlPr>
                  <w:rPr>
                    <w:rFonts w:ascii="Cambria Math" w:eastAsia="Times New Roman" w:hAnsi="Cambria Math"/>
                  </w:rPr>
                </m:ctrlP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O</m:t>
                </m:r>
              </m:e>
              <m:sub>
                <m:r>
                  <m:rPr>
                    <m:nor/>
                  </m:rPr>
                  <w:rPr>
                    <w:rFonts w:eastAsia="Times New Roman"/>
                  </w:rPr>
                  <m:t>SR</m:t>
                </m:r>
                <m:ctrlPr>
                  <w:rPr>
                    <w:rFonts w:ascii="Cambria Math" w:eastAsia="Times New Roman" w:hAnsi="Cambria Math"/>
                  </w:rPr>
                </m:ctrlP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O</m:t>
                </m:r>
              </m:e>
              <m:sub>
                <m:r>
                  <m:rPr>
                    <m:nor/>
                  </m:rPr>
                  <w:rPr>
                    <w:rFonts w:eastAsia="Times New Roman"/>
                  </w:rPr>
                  <m:t>CSI</m:t>
                </m:r>
                <m:r>
                  <m:rPr>
                    <m:sty m:val="p"/>
                  </m:rPr>
                  <w:rPr>
                    <w:rFonts w:ascii="Cambria Math" w:eastAsia="Times New Roman" w:hAnsi="Cambria Math"/>
                  </w:rPr>
                  <m:t>-</m:t>
                </m:r>
                <m:r>
                  <m:rPr>
                    <m:nor/>
                  </m:rPr>
                  <w:rPr>
                    <w:rFonts w:eastAsia="Times New Roman"/>
                  </w:rPr>
                  <m:t>part1</m:t>
                </m:r>
                <m:ctrlPr>
                  <w:rPr>
                    <w:rFonts w:ascii="Cambria Math" w:eastAsia="Times New Roman" w:hAnsi="Cambria Math"/>
                  </w:rPr>
                </m:ctrlP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O</m:t>
                </m:r>
              </m:e>
              <m:sub>
                <m:r>
                  <m:rPr>
                    <m:nor/>
                  </m:rPr>
                  <w:rPr>
                    <w:rFonts w:eastAsia="Times New Roman"/>
                  </w:rPr>
                  <m:t>CRC,CSI-part1</m:t>
                </m:r>
                <m:ctrlPr>
                  <w:rPr>
                    <w:rFonts w:ascii="Cambria Math" w:eastAsia="Times New Roman" w:hAnsi="Cambria Math"/>
                  </w:rPr>
                </m:ctrlPr>
              </m:sub>
            </m:sSub>
          </m:e>
        </m:d>
        <m:r>
          <w:rPr>
            <w:rFonts w:ascii="Cambria Math" w:eastAsia="Times New Roman" w:hAnsi="Cambria Math"/>
          </w:rPr>
          <m:t>≤</m:t>
        </m:r>
        <m:sSubSup>
          <m:sSubSupPr>
            <m:ctrlPr>
              <w:rPr>
                <w:rFonts w:ascii="Cambria Math" w:eastAsia="Times New Roman" w:hAnsi="Cambria Math"/>
                <w:i/>
              </w:rPr>
            </m:ctrlPr>
          </m:sSubSupPr>
          <m:e>
            <m:r>
              <w:rPr>
                <w:rFonts w:ascii="Cambria Math" w:eastAsia="Times New Roman" w:hAnsi="Cambria Math"/>
              </w:rPr>
              <m:t>M</m:t>
            </m:r>
          </m:e>
          <m:sub>
            <m:r>
              <m:rPr>
                <m:nor/>
              </m:rPr>
              <w:rPr>
                <w:rFonts w:ascii="Cambria Math" w:eastAsia="Times New Roman"/>
              </w:rPr>
              <m:t>RB,min</m:t>
            </m:r>
            <m:ctrlPr>
              <w:rPr>
                <w:rFonts w:ascii="Cambria Math" w:eastAsia="Times New Roman" w:hAnsi="Cambria Math"/>
              </w:rPr>
            </m:ctrlPr>
          </m:sub>
          <m:sup>
            <m:r>
              <m:rPr>
                <m:nor/>
              </m:rPr>
              <w:rPr>
                <w:rFonts w:eastAsia="Times New Roman"/>
              </w:rPr>
              <m:t>PUCCH</m:t>
            </m:r>
            <m:ctrlPr>
              <w:rPr>
                <w:rFonts w:ascii="Cambria Math" w:eastAsia="Times New Roman" w:hAnsi="Cambria Math"/>
              </w:rPr>
            </m:ctrlPr>
          </m:sup>
        </m:sSubSup>
        <m:r>
          <w:rPr>
            <w:rFonts w:ascii="Cambria Math" w:eastAsia="Times New Roman" w:hAnsi="Cambria Math" w:cs="Cambria Math"/>
          </w:rPr>
          <m:t>⋅</m:t>
        </m:r>
        <m:sSubSup>
          <m:sSubSupPr>
            <m:ctrlPr>
              <w:rPr>
                <w:rFonts w:ascii="Cambria Math" w:eastAsia="Times New Roman" w:hAnsi="Cambria Math"/>
                <w:i/>
              </w:rPr>
            </m:ctrlPr>
          </m:sSubSupPr>
          <m:e>
            <m:r>
              <w:rPr>
                <w:rFonts w:ascii="Cambria Math" w:eastAsia="Times New Roman" w:hAnsi="Cambria Math"/>
              </w:rPr>
              <m:t>N</m:t>
            </m:r>
          </m:e>
          <m:sub>
            <m:r>
              <m:rPr>
                <m:nor/>
              </m:rPr>
              <w:rPr>
                <w:rFonts w:eastAsia="Times New Roman"/>
              </w:rPr>
              <m:t>sc,ctrl</m:t>
            </m:r>
            <m:ctrlPr>
              <w:rPr>
                <w:rFonts w:ascii="Cambria Math" w:eastAsia="Times New Roman" w:hAnsi="Cambria Math"/>
              </w:rPr>
            </m:ctrlPr>
          </m:sub>
          <m:sup>
            <m:r>
              <m:rPr>
                <m:nor/>
              </m:rPr>
              <w:rPr>
                <w:rFonts w:eastAsia="Times New Roman"/>
              </w:rPr>
              <m:t>RB</m:t>
            </m:r>
            <m:ctrlPr>
              <w:rPr>
                <w:rFonts w:ascii="Cambria Math" w:eastAsia="Times New Roman" w:hAnsi="Cambria Math"/>
              </w:rPr>
            </m:ctrlPr>
          </m:sup>
        </m:sSubSup>
        <m:r>
          <w:rPr>
            <w:rFonts w:ascii="Cambria Math" w:eastAsia="Times New Roman" w:hAnsi="Cambria Math" w:cs="Cambria Math"/>
          </w:rPr>
          <m:t>⋅</m:t>
        </m:r>
        <m:sSubSup>
          <m:sSubSupPr>
            <m:ctrlPr>
              <w:rPr>
                <w:rFonts w:ascii="Cambria Math" w:eastAsia="Times New Roman" w:hAnsi="Cambria Math"/>
                <w:i/>
              </w:rPr>
            </m:ctrlPr>
          </m:sSubSupPr>
          <m:e>
            <m:r>
              <w:rPr>
                <w:rFonts w:ascii="Cambria Math" w:eastAsia="Times New Roman" w:hAnsi="Cambria Math"/>
              </w:rPr>
              <m:t>N</m:t>
            </m:r>
          </m:e>
          <m:sub>
            <m:r>
              <m:rPr>
                <m:nor/>
              </m:rPr>
              <w:rPr>
                <w:rFonts w:eastAsia="Times New Roman"/>
              </w:rPr>
              <m:t>symb-UCI</m:t>
            </m:r>
            <m:ctrlPr>
              <w:rPr>
                <w:rFonts w:ascii="Cambria Math" w:eastAsia="Times New Roman" w:hAnsi="Cambria Math"/>
              </w:rPr>
            </m:ctrlPr>
          </m:sub>
          <m:sup>
            <m:r>
              <m:rPr>
                <m:nor/>
              </m:rPr>
              <w:rPr>
                <w:rFonts w:eastAsia="Times New Roman"/>
              </w:rPr>
              <m:t>PUCCH</m:t>
            </m:r>
            <m:ctrlPr>
              <w:rPr>
                <w:rFonts w:ascii="Cambria Math" w:eastAsia="Times New Roman" w:hAnsi="Cambria Math"/>
              </w:rPr>
            </m:ctrlPr>
          </m:sup>
        </m:sSubSup>
        <m:r>
          <w:rPr>
            <w:rFonts w:ascii="Cambria Math" w:eastAsia="Times New Roman" w:hAnsi="Cambria Math" w:cs="Cambria Math"/>
          </w:rPr>
          <m:t>⋅</m:t>
        </m:r>
        <m:sSub>
          <m:sSubPr>
            <m:ctrlPr>
              <w:rPr>
                <w:rFonts w:ascii="Cambria Math" w:eastAsia="Times New Roman" w:hAnsi="Cambria Math"/>
                <w:i/>
              </w:rPr>
            </m:ctrlPr>
          </m:sSubPr>
          <m:e>
            <m:r>
              <w:rPr>
                <w:rFonts w:ascii="Cambria Math" w:eastAsia="Times New Roman" w:hAnsi="Cambria Math"/>
              </w:rPr>
              <m:t>Q</m:t>
            </m:r>
          </m:e>
          <m:sub>
            <m:r>
              <w:rPr>
                <w:rFonts w:ascii="Cambria Math" w:eastAsia="Times New Roman" w:hAnsi="Cambria Math"/>
              </w:rPr>
              <m:t>m</m:t>
            </m:r>
          </m:sub>
        </m:sSub>
        <m:r>
          <w:rPr>
            <w:rFonts w:ascii="Cambria Math" w:eastAsia="Times New Roman" w:hAnsi="Cambria Math" w:cs="Cambria Math"/>
          </w:rPr>
          <m:t>⋅</m:t>
        </m:r>
        <m:r>
          <w:rPr>
            <w:rFonts w:ascii="Cambria Math" w:eastAsia="Times New Roman" w:hAnsi="Cambria Math"/>
          </w:rPr>
          <m:t>r</m:t>
        </m:r>
      </m:oMath>
      <w:r w:rsidRPr="00742E08">
        <w:rPr>
          <w:rFonts w:eastAsia="Times New Roman"/>
          <w:noProof/>
          <w:position w:val="-12"/>
        </w:rPr>
        <w:t xml:space="preserve"> </w:t>
      </w:r>
      <w:r w:rsidRPr="00742E08">
        <w:rPr>
          <w:rFonts w:eastAsia="Times New Roman"/>
        </w:rPr>
        <w:t xml:space="preserve"> as described in clauses 9.2.3 and 9.2.5.1</w:t>
      </w:r>
      <w:r w:rsidRPr="00742E08">
        <w:rPr>
          <w:rFonts w:eastAsia="Times New Roman"/>
          <w:lang w:eastAsia="zh-CN"/>
        </w:rPr>
        <w:t>;</w:t>
      </w:r>
    </w:p>
    <w:p w14:paraId="668F9177" w14:textId="77777777" w:rsidR="00742E08" w:rsidRPr="00742E08" w:rsidRDefault="00742E08" w:rsidP="00742E08">
      <w:pPr>
        <w:ind w:left="568" w:hanging="284"/>
        <w:rPr>
          <w:rFonts w:eastAsia="Times New Roman"/>
          <w:lang w:eastAsia="zh-CN"/>
        </w:rPr>
      </w:pPr>
      <w:r w:rsidRPr="00742E08">
        <w:rPr>
          <w:rFonts w:eastAsia="Times New Roman"/>
          <w:lang w:eastAsia="zh-CN"/>
        </w:rPr>
        <w:t>-</w:t>
      </w:r>
      <w:r w:rsidRPr="00742E08">
        <w:rPr>
          <w:rFonts w:eastAsia="Times New Roman"/>
          <w:lang w:eastAsia="zh-CN"/>
        </w:rPr>
        <w:tab/>
        <w:t>else</w:t>
      </w:r>
      <w:r w:rsidRPr="00742E08">
        <w:rPr>
          <w:rFonts w:eastAsia="Times New Roman" w:hint="eastAsia"/>
          <w:lang w:eastAsia="zh-CN"/>
        </w:rPr>
        <w:t>, the UE select</w:t>
      </w:r>
      <w:r w:rsidRPr="00742E08">
        <w:rPr>
          <w:rFonts w:eastAsia="Times New Roman"/>
          <w:lang w:eastAsia="zh-CN"/>
        </w:rPr>
        <w:t>s</w:t>
      </w:r>
      <w:r w:rsidRPr="00742E08">
        <w:rPr>
          <w:rFonts w:eastAsia="Times New Roman" w:hint="eastAsia"/>
          <w:lang w:eastAsia="zh-CN"/>
        </w:rPr>
        <w:t xml:space="preserve"> </w:t>
      </w:r>
      <m:oMath>
        <m:sSubSup>
          <m:sSubSupPr>
            <m:ctrlPr>
              <w:rPr>
                <w:rFonts w:ascii="Cambria Math" w:eastAsia="Times New Roman" w:hAnsi="Cambria Math"/>
                <w:i/>
              </w:rPr>
            </m:ctrlPr>
          </m:sSubSupPr>
          <m:e>
            <m:r>
              <w:rPr>
                <w:rFonts w:ascii="Cambria Math" w:eastAsia="Times New Roman" w:hAnsi="Cambria Math"/>
              </w:rPr>
              <m:t>N</m:t>
            </m:r>
          </m:e>
          <m:sub>
            <m:r>
              <m:rPr>
                <m:nor/>
              </m:rPr>
              <w:rPr>
                <w:rFonts w:ascii="Cambria Math" w:eastAsia="Times New Roman"/>
              </w:rPr>
              <m:t>CSI</m:t>
            </m:r>
            <m:ctrlPr>
              <w:rPr>
                <w:rFonts w:ascii="Cambria Math" w:eastAsia="Times New Roman" w:hAnsi="Cambria Math"/>
              </w:rPr>
            </m:ctrlPr>
          </m:sub>
          <m:sup>
            <m:r>
              <m:rPr>
                <m:nor/>
              </m:rPr>
              <w:rPr>
                <w:rFonts w:eastAsia="Times New Roman"/>
              </w:rPr>
              <m:t>reported</m:t>
            </m:r>
            <m:ctrlPr>
              <w:rPr>
                <w:rFonts w:ascii="Cambria Math" w:eastAsia="Times New Roman" w:hAnsi="Cambria Math"/>
              </w:rPr>
            </m:ctrlPr>
          </m:sup>
        </m:sSubSup>
      </m:oMath>
      <w:r w:rsidRPr="00742E08">
        <w:rPr>
          <w:rFonts w:eastAsia="Times New Roman" w:hint="eastAsia"/>
          <w:lang w:eastAsia="zh-CN"/>
        </w:rPr>
        <w:t xml:space="preserve"> CSI report(s)</w:t>
      </w:r>
      <w:r w:rsidRPr="00742E08">
        <w:rPr>
          <w:rFonts w:eastAsia="Times New Roman"/>
          <w:lang w:val="en-US" w:eastAsia="zh-CN"/>
        </w:rPr>
        <w:t>, from the</w:t>
      </w:r>
      <w:r w:rsidRPr="00742E08">
        <w:rPr>
          <w:rFonts w:eastAsia="Times New Roman" w:hint="eastAsia"/>
          <w:lang w:eastAsia="zh-CN"/>
        </w:rPr>
        <w:t xml:space="preserve"> </w:t>
      </w:r>
      <m:oMath>
        <m:sSubSup>
          <m:sSubSupPr>
            <m:ctrlPr>
              <w:rPr>
                <w:rFonts w:ascii="Cambria Math" w:eastAsia="Times New Roman" w:hAnsi="Cambria Math"/>
                <w:i/>
              </w:rPr>
            </m:ctrlPr>
          </m:sSubSupPr>
          <m:e>
            <m:r>
              <w:rPr>
                <w:rFonts w:ascii="Cambria Math" w:eastAsia="Times New Roman" w:hAnsi="Cambria Math"/>
              </w:rPr>
              <m:t>N</m:t>
            </m:r>
          </m:e>
          <m:sub>
            <m:r>
              <m:rPr>
                <m:nor/>
              </m:rPr>
              <w:rPr>
                <w:rFonts w:ascii="Cambria Math" w:eastAsia="Times New Roman"/>
              </w:rPr>
              <m:t>CSI</m:t>
            </m:r>
            <m:ctrlPr>
              <w:rPr>
                <w:rFonts w:ascii="Cambria Math" w:eastAsia="Times New Roman" w:hAnsi="Cambria Math"/>
              </w:rPr>
            </m:ctrlPr>
          </m:sub>
          <m:sup>
            <m:r>
              <m:rPr>
                <m:nor/>
              </m:rPr>
              <w:rPr>
                <w:rFonts w:eastAsia="Times New Roman"/>
              </w:rPr>
              <m:t>total</m:t>
            </m:r>
            <m:ctrlPr>
              <w:rPr>
                <w:rFonts w:ascii="Cambria Math" w:eastAsia="Times New Roman" w:hAnsi="Cambria Math"/>
              </w:rPr>
            </m:ctrlPr>
          </m:sup>
        </m:sSubSup>
      </m:oMath>
      <w:r w:rsidRPr="00742E08">
        <w:rPr>
          <w:rFonts w:eastAsia="Times New Roman"/>
          <w:lang w:val="en-US"/>
        </w:rPr>
        <w:t xml:space="preserve"> CSI reports, </w:t>
      </w:r>
      <w:r w:rsidRPr="00742E08">
        <w:rPr>
          <w:rFonts w:eastAsia="Times New Roman" w:hint="eastAsia"/>
          <w:lang w:eastAsia="zh-CN"/>
        </w:rPr>
        <w:t>for transmission together with HARQ-ACK</w:t>
      </w:r>
      <w:r w:rsidRPr="00742E08">
        <w:rPr>
          <w:rFonts w:eastAsia="Times New Roman"/>
          <w:lang w:val="en-US" w:eastAsia="zh-CN"/>
        </w:rPr>
        <w:t xml:space="preserve"> and </w:t>
      </w:r>
      <w:r w:rsidRPr="00742E08">
        <w:rPr>
          <w:rFonts w:eastAsia="Times New Roman" w:hint="eastAsia"/>
          <w:lang w:eastAsia="zh-CN"/>
        </w:rPr>
        <w:t xml:space="preserve">SR in ascending </w:t>
      </w:r>
      <w:r w:rsidRPr="00742E08">
        <w:rPr>
          <w:rFonts w:eastAsia="Times New Roman"/>
          <w:lang w:val="en-US" w:eastAsia="zh-CN"/>
        </w:rPr>
        <w:t>priority value [6, TS 38.214]</w:t>
      </w:r>
      <w:r w:rsidRPr="00742E08">
        <w:rPr>
          <w:rFonts w:eastAsia="Times New Roman" w:hint="eastAsia"/>
          <w:lang w:eastAsia="zh-CN"/>
        </w:rPr>
        <w:t xml:space="preserve">, where the value of </w:t>
      </w:r>
      <m:oMath>
        <m:sSubSup>
          <m:sSubSupPr>
            <m:ctrlPr>
              <w:rPr>
                <w:rFonts w:ascii="Cambria Math" w:eastAsia="Times New Roman" w:hAnsi="Cambria Math"/>
                <w:i/>
              </w:rPr>
            </m:ctrlPr>
          </m:sSubSupPr>
          <m:e>
            <m:r>
              <w:rPr>
                <w:rFonts w:ascii="Cambria Math" w:eastAsia="Times New Roman" w:hAnsi="Cambria Math"/>
              </w:rPr>
              <m:t>N</m:t>
            </m:r>
          </m:e>
          <m:sub>
            <m:r>
              <m:rPr>
                <m:nor/>
              </m:rPr>
              <w:rPr>
                <w:rFonts w:ascii="Cambria Math" w:eastAsia="Times New Roman"/>
              </w:rPr>
              <m:t>CSI</m:t>
            </m:r>
            <m:ctrlPr>
              <w:rPr>
                <w:rFonts w:ascii="Cambria Math" w:eastAsia="Times New Roman" w:hAnsi="Cambria Math"/>
              </w:rPr>
            </m:ctrlPr>
          </m:sub>
          <m:sup>
            <m:r>
              <m:rPr>
                <m:nor/>
              </m:rPr>
              <w:rPr>
                <w:rFonts w:eastAsia="Times New Roman"/>
              </w:rPr>
              <m:t>reported</m:t>
            </m:r>
            <m:ctrlPr>
              <w:rPr>
                <w:rFonts w:ascii="Cambria Math" w:eastAsia="Times New Roman" w:hAnsi="Cambria Math"/>
              </w:rPr>
            </m:ctrlPr>
          </m:sup>
        </m:sSubSup>
      </m:oMath>
      <w:r w:rsidRPr="00742E08">
        <w:rPr>
          <w:rFonts w:eastAsia="Times New Roman" w:hint="eastAsia"/>
          <w:lang w:eastAsia="zh-CN"/>
        </w:rPr>
        <w:t xml:space="preserve"> satisfies</w:t>
      </w:r>
      <w:r w:rsidRPr="00742E08">
        <w:rPr>
          <w:rFonts w:eastAsia="Times New Roman"/>
          <w:lang w:eastAsia="zh-CN"/>
        </w:rPr>
        <w:t xml:space="preserve"> </w:t>
      </w:r>
      <m:oMath>
        <m:d>
          <m:dPr>
            <m:ctrlPr>
              <w:rPr>
                <w:rFonts w:ascii="Cambria Math" w:eastAsia="Times New Roman" w:hAnsi="Cambria Math"/>
                <w:i/>
              </w:rPr>
            </m:ctrlPr>
          </m:dPr>
          <m:e>
            <m:sSub>
              <m:sSubPr>
                <m:ctrlPr>
                  <w:rPr>
                    <w:rFonts w:ascii="Cambria Math" w:eastAsia="Times New Roman" w:hAnsi="Cambria Math"/>
                    <w:i/>
                  </w:rPr>
                </m:ctrlPr>
              </m:sSubPr>
              <m:e>
                <m:r>
                  <w:rPr>
                    <w:rFonts w:ascii="Cambria Math" w:eastAsia="Times New Roman" w:hAnsi="Cambria Math"/>
                  </w:rPr>
                  <m:t>O</m:t>
                </m:r>
              </m:e>
              <m:sub>
                <m:r>
                  <m:rPr>
                    <m:nor/>
                  </m:rPr>
                  <w:rPr>
                    <w:rFonts w:eastAsia="Times New Roman"/>
                  </w:rPr>
                  <m:t>ACK</m:t>
                </m:r>
                <m:ctrlPr>
                  <w:rPr>
                    <w:rFonts w:ascii="Cambria Math" w:eastAsia="Times New Roman" w:hAnsi="Cambria Math"/>
                  </w:rPr>
                </m:ctrlP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O</m:t>
                </m:r>
              </m:e>
              <m:sub>
                <m:r>
                  <m:rPr>
                    <m:nor/>
                  </m:rPr>
                  <w:rPr>
                    <w:rFonts w:eastAsia="Times New Roman"/>
                  </w:rPr>
                  <m:t>SR</m:t>
                </m:r>
                <m:ctrlPr>
                  <w:rPr>
                    <w:rFonts w:ascii="Cambria Math" w:eastAsia="Times New Roman" w:hAnsi="Cambria Math"/>
                  </w:rPr>
                </m:ctrlPr>
              </m:sub>
            </m:sSub>
            <m:r>
              <w:rPr>
                <w:rFonts w:ascii="Cambria Math" w:eastAsia="Times New Roman" w:hAnsi="Cambria Math"/>
              </w:rPr>
              <m:t>+</m:t>
            </m:r>
            <m:nary>
              <m:naryPr>
                <m:chr m:val="∑"/>
                <m:limLoc m:val="undOvr"/>
                <m:ctrlPr>
                  <w:rPr>
                    <w:rFonts w:ascii="Cambria Math" w:eastAsia="Times New Roman" w:hAnsi="Cambria Math"/>
                    <w:i/>
                  </w:rPr>
                </m:ctrlPr>
              </m:naryPr>
              <m:sub>
                <m:r>
                  <w:rPr>
                    <w:rFonts w:ascii="Cambria Math" w:eastAsia="Times New Roman" w:hAnsi="Cambria Math"/>
                  </w:rPr>
                  <m:t>n=1</m:t>
                </m:r>
              </m:sub>
              <m:sup>
                <m:sSubSup>
                  <m:sSubSupPr>
                    <m:ctrlPr>
                      <w:rPr>
                        <w:rFonts w:ascii="Cambria Math" w:eastAsia="Times New Roman" w:hAnsi="Cambria Math"/>
                        <w:i/>
                      </w:rPr>
                    </m:ctrlPr>
                  </m:sSubSupPr>
                  <m:e>
                    <m:r>
                      <w:rPr>
                        <w:rFonts w:ascii="Cambria Math" w:eastAsia="Times New Roman" w:hAnsi="Cambria Math"/>
                      </w:rPr>
                      <m:t>N</m:t>
                    </m:r>
                  </m:e>
                  <m:sub>
                    <m:r>
                      <m:rPr>
                        <m:nor/>
                      </m:rPr>
                      <w:rPr>
                        <w:rFonts w:ascii="Cambria Math" w:eastAsia="Times New Roman"/>
                      </w:rPr>
                      <m:t>CSI</m:t>
                    </m:r>
                    <m:ctrlPr>
                      <w:rPr>
                        <w:rFonts w:ascii="Cambria Math" w:eastAsia="Times New Roman" w:hAnsi="Cambria Math"/>
                      </w:rPr>
                    </m:ctrlPr>
                  </m:sub>
                  <m:sup>
                    <m:r>
                      <m:rPr>
                        <m:nor/>
                      </m:rPr>
                      <w:rPr>
                        <w:rFonts w:eastAsia="Times New Roman"/>
                      </w:rPr>
                      <m:t>reported</m:t>
                    </m:r>
                    <m:ctrlPr>
                      <w:rPr>
                        <w:rFonts w:ascii="Cambria Math" w:eastAsia="Times New Roman" w:hAnsi="Cambria Math"/>
                      </w:rPr>
                    </m:ctrlPr>
                  </m:sup>
                </m:sSubSup>
              </m:sup>
              <m:e>
                <m:sSub>
                  <m:sSubPr>
                    <m:ctrlPr>
                      <w:rPr>
                        <w:rFonts w:ascii="Cambria Math" w:eastAsia="Times New Roman" w:hAnsi="Cambria Math"/>
                        <w:i/>
                      </w:rPr>
                    </m:ctrlPr>
                  </m:sSubPr>
                  <m:e>
                    <m:r>
                      <w:rPr>
                        <w:rFonts w:ascii="Cambria Math" w:eastAsia="Times New Roman" w:hAnsi="Cambria Math"/>
                      </w:rPr>
                      <m:t>O</m:t>
                    </m:r>
                  </m:e>
                  <m:sub>
                    <m:r>
                      <m:rPr>
                        <m:nor/>
                      </m:rPr>
                      <w:rPr>
                        <w:rFonts w:eastAsia="Times New Roman"/>
                      </w:rPr>
                      <m:t>CSI</m:t>
                    </m:r>
                    <m:r>
                      <m:rPr>
                        <m:sty m:val="p"/>
                      </m:rPr>
                      <w:rPr>
                        <w:rFonts w:ascii="Cambria Math" w:eastAsia="Times New Roman" w:hAnsi="Cambria Math"/>
                      </w:rPr>
                      <m:t>-</m:t>
                    </m:r>
                    <m:r>
                      <m:rPr>
                        <m:nor/>
                      </m:rPr>
                      <w:rPr>
                        <w:rFonts w:eastAsia="Times New Roman"/>
                      </w:rPr>
                      <m:t>part1</m:t>
                    </m:r>
                    <m:r>
                      <m:rPr>
                        <m:nor/>
                      </m:rPr>
                      <w:rPr>
                        <w:rFonts w:ascii="Cambria Math" w:eastAsia="Times New Roman"/>
                      </w:rPr>
                      <m:t>,</m:t>
                    </m:r>
                    <m:r>
                      <m:rPr>
                        <m:nor/>
                      </m:rPr>
                      <w:rPr>
                        <w:rFonts w:ascii="Cambria Math" w:eastAsia="Times New Roman"/>
                        <w:i/>
                        <w:iCs/>
                      </w:rPr>
                      <m:t>n</m:t>
                    </m:r>
                    <m:ctrlPr>
                      <w:rPr>
                        <w:rFonts w:ascii="Cambria Math" w:eastAsia="Times New Roman" w:hAnsi="Cambria Math"/>
                      </w:rPr>
                    </m:ctrlPr>
                  </m:sub>
                </m:sSub>
              </m:e>
            </m:nary>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O</m:t>
                </m:r>
              </m:e>
              <m:sub>
                <m:r>
                  <m:rPr>
                    <m:nor/>
                  </m:rPr>
                  <w:rPr>
                    <w:rFonts w:eastAsia="Times New Roman"/>
                  </w:rPr>
                  <m:t>CRC,CSI-part1</m:t>
                </m:r>
                <m:r>
                  <m:rPr>
                    <m:nor/>
                  </m:rPr>
                  <w:rPr>
                    <w:rFonts w:ascii="Cambria Math" w:eastAsia="Times New Roman"/>
                  </w:rPr>
                  <m:t>,</m:t>
                </m:r>
                <m:r>
                  <m:rPr>
                    <m:nor/>
                  </m:rPr>
                  <w:rPr>
                    <w:rFonts w:ascii="Cambria Math" w:eastAsia="Times New Roman"/>
                    <w:i/>
                    <w:iCs/>
                  </w:rPr>
                  <m:t>N</m:t>
                </m:r>
                <m:ctrlPr>
                  <w:rPr>
                    <w:rFonts w:ascii="Cambria Math" w:eastAsia="Times New Roman" w:hAnsi="Cambria Math"/>
                  </w:rPr>
                </m:ctrlPr>
              </m:sub>
            </m:sSub>
          </m:e>
        </m:d>
        <m:r>
          <w:rPr>
            <w:rFonts w:ascii="Cambria Math" w:eastAsia="Times New Roman" w:hAnsi="Cambria Math"/>
          </w:rPr>
          <m:t>≤</m:t>
        </m:r>
        <m:sSubSup>
          <m:sSubSupPr>
            <m:ctrlPr>
              <w:rPr>
                <w:rFonts w:ascii="Cambria Math" w:eastAsia="Times New Roman" w:hAnsi="Cambria Math"/>
                <w:i/>
              </w:rPr>
            </m:ctrlPr>
          </m:sSubSupPr>
          <m:e>
            <m:r>
              <w:rPr>
                <w:rFonts w:ascii="Cambria Math" w:eastAsia="Times New Roman" w:hAnsi="Cambria Math"/>
              </w:rPr>
              <m:t>M</m:t>
            </m:r>
          </m:e>
          <m:sub>
            <m:r>
              <m:rPr>
                <m:nor/>
              </m:rPr>
              <w:rPr>
                <w:rFonts w:ascii="Cambria Math" w:eastAsia="Times New Roman"/>
              </w:rPr>
              <m:t>RB</m:t>
            </m:r>
            <m:ctrlPr>
              <w:rPr>
                <w:rFonts w:ascii="Cambria Math" w:eastAsia="Times New Roman" w:hAnsi="Cambria Math"/>
              </w:rPr>
            </m:ctrlPr>
          </m:sub>
          <m:sup>
            <m:r>
              <m:rPr>
                <m:nor/>
              </m:rPr>
              <w:rPr>
                <w:rFonts w:eastAsia="Times New Roman"/>
              </w:rPr>
              <m:t>PUCCH</m:t>
            </m:r>
            <m:ctrlPr>
              <w:rPr>
                <w:rFonts w:ascii="Cambria Math" w:eastAsia="Times New Roman" w:hAnsi="Cambria Math"/>
              </w:rPr>
            </m:ctrlPr>
          </m:sup>
        </m:sSubSup>
        <m:r>
          <w:rPr>
            <w:rFonts w:ascii="Cambria Math" w:eastAsia="Times New Roman" w:hAnsi="Cambria Math" w:cs="Cambria Math"/>
          </w:rPr>
          <m:t>⋅</m:t>
        </m:r>
        <m:sSubSup>
          <m:sSubSupPr>
            <m:ctrlPr>
              <w:rPr>
                <w:rFonts w:ascii="Cambria Math" w:eastAsia="Times New Roman" w:hAnsi="Cambria Math"/>
                <w:i/>
              </w:rPr>
            </m:ctrlPr>
          </m:sSubSupPr>
          <m:e>
            <m:r>
              <w:rPr>
                <w:rFonts w:ascii="Cambria Math" w:eastAsia="Times New Roman" w:hAnsi="Cambria Math"/>
              </w:rPr>
              <m:t>N</m:t>
            </m:r>
          </m:e>
          <m:sub>
            <m:r>
              <m:rPr>
                <m:nor/>
              </m:rPr>
              <w:rPr>
                <w:rFonts w:eastAsia="Times New Roman"/>
              </w:rPr>
              <m:t>sc,ctrl</m:t>
            </m:r>
            <m:ctrlPr>
              <w:rPr>
                <w:rFonts w:ascii="Cambria Math" w:eastAsia="Times New Roman" w:hAnsi="Cambria Math"/>
              </w:rPr>
            </m:ctrlPr>
          </m:sub>
          <m:sup>
            <m:r>
              <m:rPr>
                <m:nor/>
              </m:rPr>
              <w:rPr>
                <w:rFonts w:eastAsia="Times New Roman"/>
              </w:rPr>
              <m:t>RB</m:t>
            </m:r>
            <m:ctrlPr>
              <w:rPr>
                <w:rFonts w:ascii="Cambria Math" w:eastAsia="Times New Roman" w:hAnsi="Cambria Math"/>
              </w:rPr>
            </m:ctrlPr>
          </m:sup>
        </m:sSubSup>
        <m:r>
          <w:rPr>
            <w:rFonts w:ascii="Cambria Math" w:eastAsia="Times New Roman" w:hAnsi="Cambria Math" w:cs="Cambria Math"/>
          </w:rPr>
          <m:t>⋅</m:t>
        </m:r>
        <m:sSubSup>
          <m:sSubSupPr>
            <m:ctrlPr>
              <w:rPr>
                <w:rFonts w:ascii="Cambria Math" w:eastAsia="Times New Roman" w:hAnsi="Cambria Math"/>
                <w:i/>
              </w:rPr>
            </m:ctrlPr>
          </m:sSubSupPr>
          <m:e>
            <m:r>
              <w:rPr>
                <w:rFonts w:ascii="Cambria Math" w:eastAsia="Times New Roman" w:hAnsi="Cambria Math"/>
              </w:rPr>
              <m:t>N</m:t>
            </m:r>
          </m:e>
          <m:sub>
            <m:r>
              <m:rPr>
                <m:nor/>
              </m:rPr>
              <w:rPr>
                <w:rFonts w:eastAsia="Times New Roman"/>
              </w:rPr>
              <m:t>symb-UCI</m:t>
            </m:r>
            <m:ctrlPr>
              <w:rPr>
                <w:rFonts w:ascii="Cambria Math" w:eastAsia="Times New Roman" w:hAnsi="Cambria Math"/>
              </w:rPr>
            </m:ctrlPr>
          </m:sub>
          <m:sup>
            <m:r>
              <m:rPr>
                <m:nor/>
              </m:rPr>
              <w:rPr>
                <w:rFonts w:eastAsia="Times New Roman"/>
              </w:rPr>
              <m:t>PUCCH</m:t>
            </m:r>
            <m:ctrlPr>
              <w:rPr>
                <w:rFonts w:ascii="Cambria Math" w:eastAsia="Times New Roman" w:hAnsi="Cambria Math"/>
              </w:rPr>
            </m:ctrlPr>
          </m:sup>
        </m:sSubSup>
        <m:r>
          <w:rPr>
            <w:rFonts w:ascii="Cambria Math" w:eastAsia="Times New Roman" w:hAnsi="Cambria Math" w:cs="Cambria Math"/>
          </w:rPr>
          <m:t>⋅</m:t>
        </m:r>
        <m:sSub>
          <m:sSubPr>
            <m:ctrlPr>
              <w:rPr>
                <w:rFonts w:ascii="Cambria Math" w:eastAsia="Times New Roman" w:hAnsi="Cambria Math"/>
                <w:i/>
              </w:rPr>
            </m:ctrlPr>
          </m:sSubPr>
          <m:e>
            <m:r>
              <w:rPr>
                <w:rFonts w:ascii="Cambria Math" w:eastAsia="Times New Roman" w:hAnsi="Cambria Math"/>
              </w:rPr>
              <m:t>Q</m:t>
            </m:r>
          </m:e>
          <m:sub>
            <m:r>
              <w:rPr>
                <w:rFonts w:ascii="Cambria Math" w:eastAsia="Times New Roman" w:hAnsi="Cambria Math"/>
              </w:rPr>
              <m:t>m</m:t>
            </m:r>
          </m:sub>
        </m:sSub>
        <m:r>
          <w:rPr>
            <w:rFonts w:ascii="Cambria Math" w:eastAsia="Times New Roman" w:hAnsi="Cambria Math" w:cs="Cambria Math"/>
          </w:rPr>
          <m:t>⋅</m:t>
        </m:r>
        <m:r>
          <w:rPr>
            <w:rFonts w:ascii="Cambria Math" w:eastAsia="Times New Roman" w:hAnsi="Cambria Math"/>
          </w:rPr>
          <m:t>r</m:t>
        </m:r>
      </m:oMath>
      <w:r w:rsidRPr="00742E08">
        <w:rPr>
          <w:rFonts w:eastAsia="Times New Roman"/>
          <w:noProof/>
          <w:position w:val="-12"/>
        </w:rPr>
        <w:t xml:space="preserve"> </w:t>
      </w:r>
      <w:r w:rsidRPr="00742E08">
        <w:rPr>
          <w:rFonts w:eastAsia="Times New Roman" w:hint="eastAsia"/>
          <w:lang w:eastAsia="zh-CN"/>
        </w:rPr>
        <w:t xml:space="preserve"> and </w:t>
      </w:r>
      <m:oMath>
        <m:d>
          <m:dPr>
            <m:ctrlPr>
              <w:rPr>
                <w:rFonts w:ascii="Cambria Math" w:eastAsia="Times New Roman" w:hAnsi="Cambria Math"/>
                <w:i/>
              </w:rPr>
            </m:ctrlPr>
          </m:dPr>
          <m:e>
            <m:sSub>
              <m:sSubPr>
                <m:ctrlPr>
                  <w:rPr>
                    <w:rFonts w:ascii="Cambria Math" w:eastAsia="Times New Roman" w:hAnsi="Cambria Math"/>
                    <w:i/>
                  </w:rPr>
                </m:ctrlPr>
              </m:sSubPr>
              <m:e>
                <m:r>
                  <w:rPr>
                    <w:rFonts w:ascii="Cambria Math" w:eastAsia="Times New Roman" w:hAnsi="Cambria Math"/>
                  </w:rPr>
                  <m:t>O</m:t>
                </m:r>
              </m:e>
              <m:sub>
                <m:r>
                  <m:rPr>
                    <m:nor/>
                  </m:rPr>
                  <w:rPr>
                    <w:rFonts w:eastAsia="Times New Roman"/>
                  </w:rPr>
                  <m:t>ACK</m:t>
                </m:r>
                <m:ctrlPr>
                  <w:rPr>
                    <w:rFonts w:ascii="Cambria Math" w:eastAsia="Times New Roman" w:hAnsi="Cambria Math"/>
                  </w:rPr>
                </m:ctrlP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O</m:t>
                </m:r>
              </m:e>
              <m:sub>
                <m:r>
                  <m:rPr>
                    <m:nor/>
                  </m:rPr>
                  <w:rPr>
                    <w:rFonts w:eastAsia="Times New Roman"/>
                  </w:rPr>
                  <m:t>SR</m:t>
                </m:r>
                <m:ctrlPr>
                  <w:rPr>
                    <w:rFonts w:ascii="Cambria Math" w:eastAsia="Times New Roman" w:hAnsi="Cambria Math"/>
                  </w:rPr>
                </m:ctrlPr>
              </m:sub>
            </m:sSub>
            <m:r>
              <w:rPr>
                <w:rFonts w:ascii="Cambria Math" w:eastAsia="Times New Roman" w:hAnsi="Cambria Math"/>
              </w:rPr>
              <m:t>+</m:t>
            </m:r>
            <m:nary>
              <m:naryPr>
                <m:chr m:val="∑"/>
                <m:limLoc m:val="undOvr"/>
                <m:ctrlPr>
                  <w:rPr>
                    <w:rFonts w:ascii="Cambria Math" w:eastAsia="Times New Roman" w:hAnsi="Cambria Math"/>
                    <w:i/>
                  </w:rPr>
                </m:ctrlPr>
              </m:naryPr>
              <m:sub>
                <m:r>
                  <w:rPr>
                    <w:rFonts w:ascii="Cambria Math" w:eastAsia="Times New Roman" w:hAnsi="Cambria Math"/>
                  </w:rPr>
                  <m:t>n=1</m:t>
                </m:r>
              </m:sub>
              <m:sup>
                <m:sSubSup>
                  <m:sSubSupPr>
                    <m:ctrlPr>
                      <w:rPr>
                        <w:rFonts w:ascii="Cambria Math" w:eastAsia="Times New Roman" w:hAnsi="Cambria Math"/>
                        <w:i/>
                      </w:rPr>
                    </m:ctrlPr>
                  </m:sSubSupPr>
                  <m:e>
                    <m:r>
                      <w:rPr>
                        <w:rFonts w:ascii="Cambria Math" w:eastAsia="Times New Roman" w:hAnsi="Cambria Math"/>
                      </w:rPr>
                      <m:t>N</m:t>
                    </m:r>
                  </m:e>
                  <m:sub>
                    <m:r>
                      <m:rPr>
                        <m:nor/>
                      </m:rPr>
                      <w:rPr>
                        <w:rFonts w:ascii="Cambria Math" w:eastAsia="Times New Roman"/>
                      </w:rPr>
                      <m:t>CSI</m:t>
                    </m:r>
                    <m:ctrlPr>
                      <w:rPr>
                        <w:rFonts w:ascii="Cambria Math" w:eastAsia="Times New Roman" w:hAnsi="Cambria Math"/>
                      </w:rPr>
                    </m:ctrlPr>
                  </m:sub>
                  <m:sup>
                    <m:r>
                      <m:rPr>
                        <m:nor/>
                      </m:rPr>
                      <w:rPr>
                        <w:rFonts w:eastAsia="Times New Roman"/>
                      </w:rPr>
                      <m:t>reported</m:t>
                    </m:r>
                    <m:ctrlPr>
                      <w:rPr>
                        <w:rFonts w:ascii="Cambria Math" w:eastAsia="Times New Roman" w:hAnsi="Cambria Math"/>
                      </w:rPr>
                    </m:ctrlPr>
                  </m:sup>
                </m:sSubSup>
                <m:r>
                  <w:rPr>
                    <w:rFonts w:ascii="Cambria Math" w:eastAsia="Times New Roman" w:hAnsi="Cambria Math"/>
                  </w:rPr>
                  <m:t>+1</m:t>
                </m:r>
              </m:sup>
              <m:e>
                <m:sSub>
                  <m:sSubPr>
                    <m:ctrlPr>
                      <w:rPr>
                        <w:rFonts w:ascii="Cambria Math" w:eastAsia="Times New Roman" w:hAnsi="Cambria Math"/>
                        <w:i/>
                      </w:rPr>
                    </m:ctrlPr>
                  </m:sSubPr>
                  <m:e>
                    <m:r>
                      <w:rPr>
                        <w:rFonts w:ascii="Cambria Math" w:eastAsia="Times New Roman" w:hAnsi="Cambria Math"/>
                      </w:rPr>
                      <m:t>O</m:t>
                    </m:r>
                  </m:e>
                  <m:sub>
                    <m:r>
                      <m:rPr>
                        <m:nor/>
                      </m:rPr>
                      <w:rPr>
                        <w:rFonts w:eastAsia="Times New Roman"/>
                      </w:rPr>
                      <m:t>CSI</m:t>
                    </m:r>
                    <m:r>
                      <m:rPr>
                        <m:sty m:val="p"/>
                      </m:rPr>
                      <w:rPr>
                        <w:rFonts w:ascii="Cambria Math" w:eastAsia="Times New Roman" w:hAnsi="Cambria Math"/>
                      </w:rPr>
                      <m:t>-</m:t>
                    </m:r>
                    <m:r>
                      <m:rPr>
                        <m:nor/>
                      </m:rPr>
                      <w:rPr>
                        <w:rFonts w:eastAsia="Times New Roman"/>
                      </w:rPr>
                      <m:t>part1</m:t>
                    </m:r>
                    <m:r>
                      <m:rPr>
                        <m:nor/>
                      </m:rPr>
                      <w:rPr>
                        <w:rFonts w:ascii="Cambria Math" w:eastAsia="Times New Roman"/>
                      </w:rPr>
                      <m:t>,</m:t>
                    </m:r>
                    <m:r>
                      <m:rPr>
                        <m:nor/>
                      </m:rPr>
                      <w:rPr>
                        <w:rFonts w:ascii="Cambria Math" w:eastAsia="Times New Roman"/>
                        <w:i/>
                        <w:iCs/>
                      </w:rPr>
                      <m:t>n</m:t>
                    </m:r>
                    <m:ctrlPr>
                      <w:rPr>
                        <w:rFonts w:ascii="Cambria Math" w:eastAsia="Times New Roman" w:hAnsi="Cambria Math"/>
                      </w:rPr>
                    </m:ctrlPr>
                  </m:sub>
                </m:sSub>
              </m:e>
            </m:nary>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O</m:t>
                </m:r>
              </m:e>
              <m:sub>
                <m:r>
                  <m:rPr>
                    <m:nor/>
                  </m:rPr>
                  <w:rPr>
                    <w:rFonts w:eastAsia="Times New Roman"/>
                  </w:rPr>
                  <m:t>CRC,CSI-part1</m:t>
                </m:r>
                <m:r>
                  <m:rPr>
                    <m:nor/>
                  </m:rPr>
                  <w:rPr>
                    <w:rFonts w:ascii="Cambria Math" w:eastAsia="Times New Roman"/>
                  </w:rPr>
                  <m:t>,</m:t>
                </m:r>
                <m:r>
                  <m:rPr>
                    <m:nor/>
                  </m:rPr>
                  <w:rPr>
                    <w:rFonts w:ascii="Cambria Math" w:eastAsia="Times New Roman"/>
                    <w:i/>
                    <w:iCs/>
                  </w:rPr>
                  <m:t>N</m:t>
                </m:r>
                <m:r>
                  <m:rPr>
                    <m:nor/>
                  </m:rPr>
                  <w:rPr>
                    <w:rFonts w:ascii="Cambria Math" w:eastAsia="Times New Roman"/>
                  </w:rPr>
                  <m:t>+1</m:t>
                </m:r>
                <m:ctrlPr>
                  <w:rPr>
                    <w:rFonts w:ascii="Cambria Math" w:eastAsia="Times New Roman" w:hAnsi="Cambria Math"/>
                  </w:rPr>
                </m:ctrlPr>
              </m:sub>
            </m:sSub>
          </m:e>
        </m:d>
        <m:r>
          <w:rPr>
            <w:rFonts w:ascii="Cambria Math" w:eastAsia="Times New Roman" w:hAnsi="Cambria Math"/>
          </w:rPr>
          <m:t>&gt;</m:t>
        </m:r>
        <m:sSubSup>
          <m:sSubSupPr>
            <m:ctrlPr>
              <w:rPr>
                <w:rFonts w:ascii="Cambria Math" w:eastAsia="Times New Roman" w:hAnsi="Cambria Math"/>
                <w:i/>
              </w:rPr>
            </m:ctrlPr>
          </m:sSubSupPr>
          <m:e>
            <m:r>
              <w:rPr>
                <w:rFonts w:ascii="Cambria Math" w:eastAsia="Times New Roman" w:hAnsi="Cambria Math"/>
              </w:rPr>
              <m:t>M</m:t>
            </m:r>
          </m:e>
          <m:sub>
            <m:r>
              <m:rPr>
                <m:nor/>
              </m:rPr>
              <w:rPr>
                <w:rFonts w:ascii="Cambria Math" w:eastAsia="Times New Roman"/>
              </w:rPr>
              <m:t>RB</m:t>
            </m:r>
            <m:ctrlPr>
              <w:rPr>
                <w:rFonts w:ascii="Cambria Math" w:eastAsia="Times New Roman" w:hAnsi="Cambria Math"/>
              </w:rPr>
            </m:ctrlPr>
          </m:sub>
          <m:sup>
            <m:r>
              <m:rPr>
                <m:nor/>
              </m:rPr>
              <w:rPr>
                <w:rFonts w:eastAsia="Times New Roman"/>
              </w:rPr>
              <m:t>PUCCH</m:t>
            </m:r>
            <m:ctrlPr>
              <w:rPr>
                <w:rFonts w:ascii="Cambria Math" w:eastAsia="Times New Roman" w:hAnsi="Cambria Math"/>
              </w:rPr>
            </m:ctrlPr>
          </m:sup>
        </m:sSubSup>
        <m:r>
          <w:rPr>
            <w:rFonts w:ascii="Cambria Math" w:eastAsia="Times New Roman" w:hAnsi="Cambria Math" w:cs="Cambria Math"/>
          </w:rPr>
          <m:t>⋅</m:t>
        </m:r>
        <m:sSubSup>
          <m:sSubSupPr>
            <m:ctrlPr>
              <w:rPr>
                <w:rFonts w:ascii="Cambria Math" w:eastAsia="Times New Roman" w:hAnsi="Cambria Math"/>
                <w:i/>
              </w:rPr>
            </m:ctrlPr>
          </m:sSubSupPr>
          <m:e>
            <m:r>
              <w:rPr>
                <w:rFonts w:ascii="Cambria Math" w:eastAsia="Times New Roman" w:hAnsi="Cambria Math"/>
              </w:rPr>
              <m:t>N</m:t>
            </m:r>
          </m:e>
          <m:sub>
            <m:r>
              <m:rPr>
                <m:nor/>
              </m:rPr>
              <w:rPr>
                <w:rFonts w:eastAsia="Times New Roman"/>
              </w:rPr>
              <m:t>sc,ctrl</m:t>
            </m:r>
            <m:ctrlPr>
              <w:rPr>
                <w:rFonts w:ascii="Cambria Math" w:eastAsia="Times New Roman" w:hAnsi="Cambria Math"/>
              </w:rPr>
            </m:ctrlPr>
          </m:sub>
          <m:sup>
            <m:r>
              <m:rPr>
                <m:nor/>
              </m:rPr>
              <w:rPr>
                <w:rFonts w:eastAsia="Times New Roman"/>
              </w:rPr>
              <m:t>RB</m:t>
            </m:r>
            <m:ctrlPr>
              <w:rPr>
                <w:rFonts w:ascii="Cambria Math" w:eastAsia="Times New Roman" w:hAnsi="Cambria Math"/>
              </w:rPr>
            </m:ctrlPr>
          </m:sup>
        </m:sSubSup>
        <m:r>
          <w:rPr>
            <w:rFonts w:ascii="Cambria Math" w:eastAsia="Times New Roman" w:hAnsi="Cambria Math" w:cs="Cambria Math"/>
          </w:rPr>
          <m:t>⋅</m:t>
        </m:r>
        <m:sSubSup>
          <m:sSubSupPr>
            <m:ctrlPr>
              <w:rPr>
                <w:rFonts w:ascii="Cambria Math" w:eastAsia="Times New Roman" w:hAnsi="Cambria Math"/>
                <w:i/>
              </w:rPr>
            </m:ctrlPr>
          </m:sSubSupPr>
          <m:e>
            <m:r>
              <w:rPr>
                <w:rFonts w:ascii="Cambria Math" w:eastAsia="Times New Roman" w:hAnsi="Cambria Math"/>
              </w:rPr>
              <m:t>N</m:t>
            </m:r>
          </m:e>
          <m:sub>
            <m:r>
              <m:rPr>
                <m:nor/>
              </m:rPr>
              <w:rPr>
                <w:rFonts w:eastAsia="Times New Roman"/>
              </w:rPr>
              <m:t>symb-UCI</m:t>
            </m:r>
            <m:ctrlPr>
              <w:rPr>
                <w:rFonts w:ascii="Cambria Math" w:eastAsia="Times New Roman" w:hAnsi="Cambria Math"/>
              </w:rPr>
            </m:ctrlPr>
          </m:sub>
          <m:sup>
            <m:r>
              <m:rPr>
                <m:nor/>
              </m:rPr>
              <w:rPr>
                <w:rFonts w:eastAsia="Times New Roman"/>
              </w:rPr>
              <m:t>PUCCH</m:t>
            </m:r>
            <m:ctrlPr>
              <w:rPr>
                <w:rFonts w:ascii="Cambria Math" w:eastAsia="Times New Roman" w:hAnsi="Cambria Math"/>
              </w:rPr>
            </m:ctrlPr>
          </m:sup>
        </m:sSubSup>
        <m:r>
          <w:rPr>
            <w:rFonts w:ascii="Cambria Math" w:eastAsia="Times New Roman" w:hAnsi="Cambria Math" w:cs="Cambria Math"/>
          </w:rPr>
          <m:t>⋅</m:t>
        </m:r>
        <m:sSub>
          <m:sSubPr>
            <m:ctrlPr>
              <w:rPr>
                <w:rFonts w:ascii="Cambria Math" w:eastAsia="Times New Roman" w:hAnsi="Cambria Math"/>
                <w:i/>
              </w:rPr>
            </m:ctrlPr>
          </m:sSubPr>
          <m:e>
            <m:r>
              <w:rPr>
                <w:rFonts w:ascii="Cambria Math" w:eastAsia="Times New Roman" w:hAnsi="Cambria Math"/>
              </w:rPr>
              <m:t>Q</m:t>
            </m:r>
          </m:e>
          <m:sub>
            <m:r>
              <w:rPr>
                <w:rFonts w:ascii="Cambria Math" w:eastAsia="Times New Roman" w:hAnsi="Cambria Math"/>
              </w:rPr>
              <m:t>m</m:t>
            </m:r>
          </m:sub>
        </m:sSub>
        <m:r>
          <w:rPr>
            <w:rFonts w:ascii="Cambria Math" w:eastAsia="Times New Roman" w:hAnsi="Cambria Math" w:cs="Cambria Math"/>
          </w:rPr>
          <m:t>⋅</m:t>
        </m:r>
        <m:r>
          <w:rPr>
            <w:rFonts w:ascii="Cambria Math" w:eastAsia="Times New Roman" w:hAnsi="Cambria Math"/>
          </w:rPr>
          <m:t>r</m:t>
        </m:r>
      </m:oMath>
      <w:r w:rsidRPr="00742E08">
        <w:rPr>
          <w:rFonts w:eastAsia="Times New Roman"/>
          <w:noProof/>
          <w:position w:val="-12"/>
        </w:rPr>
        <w:t xml:space="preserve"> </w:t>
      </w:r>
      <w:r w:rsidRPr="00742E08">
        <w:rPr>
          <w:rFonts w:eastAsia="Times New Roman" w:hint="eastAsia"/>
          <w:lang w:eastAsia="zh-CN"/>
        </w:rPr>
        <w:t xml:space="preserve">, </w:t>
      </w:r>
      <w:r w:rsidRPr="00742E08">
        <w:rPr>
          <w:rFonts w:eastAsia="Times New Roman"/>
          <w:lang w:eastAsia="zh-CN"/>
        </w:rPr>
        <w:t>where</w:t>
      </w:r>
      <w:r w:rsidRPr="00742E08">
        <w:rPr>
          <w:rFonts w:eastAsia="Times New Roman" w:hint="eastAsia"/>
          <w:lang w:eastAsia="zh-CN"/>
        </w:rPr>
        <w:t xml:space="preserve"> </w:t>
      </w:r>
      <m:oMath>
        <m:sSub>
          <m:sSubPr>
            <m:ctrlPr>
              <w:rPr>
                <w:rFonts w:ascii="Cambria Math" w:eastAsia="Times New Roman" w:hAnsi="Cambria Math"/>
                <w:i/>
              </w:rPr>
            </m:ctrlPr>
          </m:sSubPr>
          <m:e>
            <m:r>
              <w:rPr>
                <w:rFonts w:ascii="Cambria Math" w:eastAsia="Times New Roman" w:hAnsi="Cambria Math"/>
              </w:rPr>
              <m:t>O</m:t>
            </m:r>
          </m:e>
          <m:sub>
            <m:r>
              <m:rPr>
                <m:nor/>
              </m:rPr>
              <w:rPr>
                <w:rFonts w:eastAsia="Times New Roman"/>
              </w:rPr>
              <m:t>CRC,CSI-part1</m:t>
            </m:r>
            <m:r>
              <m:rPr>
                <m:nor/>
              </m:rPr>
              <w:rPr>
                <w:rFonts w:ascii="Cambria Math" w:eastAsia="Times New Roman"/>
              </w:rPr>
              <m:t>,</m:t>
            </m:r>
            <m:r>
              <m:rPr>
                <m:nor/>
              </m:rPr>
              <w:rPr>
                <w:rFonts w:ascii="Cambria Math" w:eastAsia="Times New Roman"/>
                <w:i/>
                <w:iCs/>
              </w:rPr>
              <m:t>N</m:t>
            </m:r>
            <m:ctrlPr>
              <w:rPr>
                <w:rFonts w:ascii="Cambria Math" w:eastAsia="Times New Roman" w:hAnsi="Cambria Math"/>
              </w:rPr>
            </m:ctrlPr>
          </m:sub>
        </m:sSub>
      </m:oMath>
      <w:r w:rsidRPr="00742E08">
        <w:rPr>
          <w:rFonts w:eastAsia="Times New Roman"/>
          <w:lang w:val="en-US"/>
        </w:rPr>
        <w:t xml:space="preserve"> is a </w:t>
      </w:r>
      <w:r w:rsidRPr="00742E08">
        <w:rPr>
          <w:rFonts w:eastAsia="Times New Roman"/>
          <w:lang w:eastAsia="zh-CN"/>
        </w:rPr>
        <w:t>number of CRC bits corresponding to</w:t>
      </w:r>
      <w:r w:rsidRPr="00742E08">
        <w:rPr>
          <w:rFonts w:eastAsia="Times New Roman"/>
          <w:lang w:val="en-US" w:eastAsia="zh-CN"/>
        </w:rPr>
        <w:t xml:space="preserve"> </w:t>
      </w:r>
      <m:oMath>
        <m:sSub>
          <m:sSubPr>
            <m:ctrlPr>
              <w:rPr>
                <w:rFonts w:ascii="Cambria Math" w:eastAsia="Times New Roman" w:hAnsi="Cambria Math"/>
                <w:i/>
              </w:rPr>
            </m:ctrlPr>
          </m:sSubPr>
          <m:e>
            <m:r>
              <w:rPr>
                <w:rFonts w:ascii="Cambria Math" w:eastAsia="Times New Roman" w:hAnsi="Cambria Math"/>
              </w:rPr>
              <m:t>O</m:t>
            </m:r>
          </m:e>
          <m:sub>
            <m:r>
              <m:rPr>
                <m:nor/>
              </m:rPr>
              <w:rPr>
                <w:rFonts w:eastAsia="Times New Roman"/>
              </w:rPr>
              <m:t>ACK</m:t>
            </m:r>
            <m:ctrlPr>
              <w:rPr>
                <w:rFonts w:ascii="Cambria Math" w:eastAsia="Times New Roman" w:hAnsi="Cambria Math"/>
              </w:rPr>
            </m:ctrlP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O</m:t>
            </m:r>
          </m:e>
          <m:sub>
            <m:r>
              <m:rPr>
                <m:nor/>
              </m:rPr>
              <w:rPr>
                <w:rFonts w:eastAsia="Times New Roman"/>
              </w:rPr>
              <m:t>SR</m:t>
            </m:r>
            <m:ctrlPr>
              <w:rPr>
                <w:rFonts w:ascii="Cambria Math" w:eastAsia="Times New Roman" w:hAnsi="Cambria Math"/>
              </w:rPr>
            </m:ctrlPr>
          </m:sub>
        </m:sSub>
        <m:r>
          <w:rPr>
            <w:rFonts w:ascii="Cambria Math" w:eastAsia="Times New Roman" w:hAnsi="Cambria Math"/>
          </w:rPr>
          <m:t>+</m:t>
        </m:r>
        <m:nary>
          <m:naryPr>
            <m:chr m:val="∑"/>
            <m:limLoc m:val="undOvr"/>
            <m:ctrlPr>
              <w:rPr>
                <w:rFonts w:ascii="Cambria Math" w:eastAsia="Times New Roman" w:hAnsi="Cambria Math"/>
                <w:i/>
              </w:rPr>
            </m:ctrlPr>
          </m:naryPr>
          <m:sub>
            <m:r>
              <w:rPr>
                <w:rFonts w:ascii="Cambria Math" w:eastAsia="Times New Roman" w:hAnsi="Cambria Math"/>
              </w:rPr>
              <m:t>n=1</m:t>
            </m:r>
          </m:sub>
          <m:sup>
            <m:sSubSup>
              <m:sSubSupPr>
                <m:ctrlPr>
                  <w:rPr>
                    <w:rFonts w:ascii="Cambria Math" w:eastAsia="Times New Roman" w:hAnsi="Cambria Math"/>
                    <w:i/>
                  </w:rPr>
                </m:ctrlPr>
              </m:sSubSupPr>
              <m:e>
                <m:r>
                  <w:rPr>
                    <w:rFonts w:ascii="Cambria Math" w:eastAsia="Times New Roman" w:hAnsi="Cambria Math"/>
                  </w:rPr>
                  <m:t>N</m:t>
                </m:r>
              </m:e>
              <m:sub>
                <m:r>
                  <m:rPr>
                    <m:nor/>
                  </m:rPr>
                  <w:rPr>
                    <w:rFonts w:ascii="Cambria Math" w:eastAsia="Times New Roman"/>
                  </w:rPr>
                  <m:t>CSI</m:t>
                </m:r>
                <m:ctrlPr>
                  <w:rPr>
                    <w:rFonts w:ascii="Cambria Math" w:eastAsia="Times New Roman" w:hAnsi="Cambria Math"/>
                  </w:rPr>
                </m:ctrlPr>
              </m:sub>
              <m:sup>
                <m:r>
                  <m:rPr>
                    <m:nor/>
                  </m:rPr>
                  <w:rPr>
                    <w:rFonts w:eastAsia="Times New Roman"/>
                  </w:rPr>
                  <m:t>reported</m:t>
                </m:r>
                <m:ctrlPr>
                  <w:rPr>
                    <w:rFonts w:ascii="Cambria Math" w:eastAsia="Times New Roman" w:hAnsi="Cambria Math"/>
                  </w:rPr>
                </m:ctrlPr>
              </m:sup>
            </m:sSubSup>
          </m:sup>
          <m:e>
            <m:sSub>
              <m:sSubPr>
                <m:ctrlPr>
                  <w:rPr>
                    <w:rFonts w:ascii="Cambria Math" w:eastAsia="Times New Roman" w:hAnsi="Cambria Math"/>
                    <w:i/>
                  </w:rPr>
                </m:ctrlPr>
              </m:sSubPr>
              <m:e>
                <m:r>
                  <w:rPr>
                    <w:rFonts w:ascii="Cambria Math" w:eastAsia="Times New Roman" w:hAnsi="Cambria Math"/>
                  </w:rPr>
                  <m:t>O</m:t>
                </m:r>
              </m:e>
              <m:sub>
                <m:r>
                  <m:rPr>
                    <m:nor/>
                  </m:rPr>
                  <w:rPr>
                    <w:rFonts w:eastAsia="Times New Roman"/>
                  </w:rPr>
                  <m:t>CSI</m:t>
                </m:r>
                <m:r>
                  <m:rPr>
                    <m:sty m:val="p"/>
                  </m:rPr>
                  <w:rPr>
                    <w:rFonts w:ascii="Cambria Math" w:eastAsia="Times New Roman" w:hAnsi="Cambria Math"/>
                  </w:rPr>
                  <m:t>-</m:t>
                </m:r>
                <m:r>
                  <m:rPr>
                    <m:nor/>
                  </m:rPr>
                  <w:rPr>
                    <w:rFonts w:eastAsia="Times New Roman"/>
                  </w:rPr>
                  <m:t>part1</m:t>
                </m:r>
                <m:r>
                  <m:rPr>
                    <m:nor/>
                  </m:rPr>
                  <w:rPr>
                    <w:rFonts w:ascii="Cambria Math" w:eastAsia="Times New Roman"/>
                  </w:rPr>
                  <m:t>,</m:t>
                </m:r>
                <m:r>
                  <m:rPr>
                    <m:nor/>
                  </m:rPr>
                  <w:rPr>
                    <w:rFonts w:ascii="Cambria Math" w:eastAsia="Times New Roman"/>
                    <w:i/>
                    <w:iCs/>
                  </w:rPr>
                  <m:t>n</m:t>
                </m:r>
                <m:ctrlPr>
                  <w:rPr>
                    <w:rFonts w:ascii="Cambria Math" w:eastAsia="Times New Roman" w:hAnsi="Cambria Math"/>
                  </w:rPr>
                </m:ctrlPr>
              </m:sub>
            </m:sSub>
          </m:e>
        </m:nary>
      </m:oMath>
      <w:r w:rsidRPr="00742E08">
        <w:rPr>
          <w:rFonts w:eastAsia="Times New Roman"/>
          <w:lang w:val="en-US"/>
        </w:rPr>
        <w:t xml:space="preserve"> UCI bits, and </w:t>
      </w:r>
      <m:oMath>
        <m:sSub>
          <m:sSubPr>
            <m:ctrlPr>
              <w:rPr>
                <w:rFonts w:ascii="Cambria Math" w:eastAsia="Times New Roman" w:hAnsi="Cambria Math"/>
                <w:i/>
              </w:rPr>
            </m:ctrlPr>
          </m:sSubPr>
          <m:e>
            <m:r>
              <w:rPr>
                <w:rFonts w:ascii="Cambria Math" w:eastAsia="Times New Roman" w:hAnsi="Cambria Math"/>
              </w:rPr>
              <m:t>O</m:t>
            </m:r>
          </m:e>
          <m:sub>
            <m:r>
              <m:rPr>
                <m:nor/>
              </m:rPr>
              <w:rPr>
                <w:rFonts w:eastAsia="Times New Roman"/>
              </w:rPr>
              <m:t>CRC,CSI-part1</m:t>
            </m:r>
            <m:r>
              <m:rPr>
                <m:nor/>
              </m:rPr>
              <w:rPr>
                <w:rFonts w:ascii="Cambria Math" w:eastAsia="Times New Roman"/>
              </w:rPr>
              <m:t>,</m:t>
            </m:r>
            <m:r>
              <m:rPr>
                <m:nor/>
              </m:rPr>
              <w:rPr>
                <w:rFonts w:ascii="Cambria Math" w:eastAsia="Times New Roman"/>
                <w:i/>
                <w:iCs/>
              </w:rPr>
              <m:t>N</m:t>
            </m:r>
            <m:r>
              <m:rPr>
                <m:nor/>
              </m:rPr>
              <w:rPr>
                <w:rFonts w:ascii="Cambria Math" w:eastAsia="Times New Roman"/>
              </w:rPr>
              <m:t>+1</m:t>
            </m:r>
            <m:ctrlPr>
              <w:rPr>
                <w:rFonts w:ascii="Cambria Math" w:eastAsia="Times New Roman" w:hAnsi="Cambria Math"/>
              </w:rPr>
            </m:ctrlPr>
          </m:sub>
        </m:sSub>
      </m:oMath>
      <w:r w:rsidRPr="00742E08">
        <w:rPr>
          <w:rFonts w:eastAsia="Times New Roman"/>
          <w:lang w:val="en-US"/>
        </w:rPr>
        <w:t xml:space="preserve"> is a </w:t>
      </w:r>
      <w:r w:rsidRPr="00742E08">
        <w:rPr>
          <w:rFonts w:eastAsia="Times New Roman"/>
          <w:lang w:eastAsia="zh-CN"/>
        </w:rPr>
        <w:t>number of CRC bits corresponding to</w:t>
      </w:r>
      <w:r w:rsidRPr="00742E08">
        <w:rPr>
          <w:rFonts w:eastAsia="Times New Roman"/>
          <w:lang w:val="en-US" w:eastAsia="zh-CN"/>
        </w:rPr>
        <w:t xml:space="preserve"> </w:t>
      </w:r>
      <m:oMath>
        <m:sSub>
          <m:sSubPr>
            <m:ctrlPr>
              <w:rPr>
                <w:rFonts w:ascii="Cambria Math" w:eastAsia="Times New Roman" w:hAnsi="Cambria Math"/>
                <w:i/>
              </w:rPr>
            </m:ctrlPr>
          </m:sSubPr>
          <m:e>
            <m:r>
              <w:rPr>
                <w:rFonts w:ascii="Cambria Math" w:eastAsia="Times New Roman" w:hAnsi="Cambria Math"/>
              </w:rPr>
              <m:t>O</m:t>
            </m:r>
          </m:e>
          <m:sub>
            <m:r>
              <m:rPr>
                <m:nor/>
              </m:rPr>
              <w:rPr>
                <w:rFonts w:eastAsia="Times New Roman"/>
              </w:rPr>
              <m:t>ACK</m:t>
            </m:r>
            <m:ctrlPr>
              <w:rPr>
                <w:rFonts w:ascii="Cambria Math" w:eastAsia="Times New Roman" w:hAnsi="Cambria Math"/>
              </w:rPr>
            </m:ctrlP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O</m:t>
            </m:r>
          </m:e>
          <m:sub>
            <m:r>
              <m:rPr>
                <m:nor/>
              </m:rPr>
              <w:rPr>
                <w:rFonts w:eastAsia="Times New Roman"/>
              </w:rPr>
              <m:t>SR</m:t>
            </m:r>
            <m:ctrlPr>
              <w:rPr>
                <w:rFonts w:ascii="Cambria Math" w:eastAsia="Times New Roman" w:hAnsi="Cambria Math"/>
              </w:rPr>
            </m:ctrlPr>
          </m:sub>
        </m:sSub>
        <m:r>
          <w:rPr>
            <w:rFonts w:ascii="Cambria Math" w:eastAsia="Times New Roman" w:hAnsi="Cambria Math"/>
          </w:rPr>
          <m:t>+</m:t>
        </m:r>
        <m:nary>
          <m:naryPr>
            <m:chr m:val="∑"/>
            <m:limLoc m:val="undOvr"/>
            <m:ctrlPr>
              <w:rPr>
                <w:rFonts w:ascii="Cambria Math" w:eastAsia="Times New Roman" w:hAnsi="Cambria Math"/>
                <w:i/>
              </w:rPr>
            </m:ctrlPr>
          </m:naryPr>
          <m:sub>
            <m:r>
              <w:rPr>
                <w:rFonts w:ascii="Cambria Math" w:eastAsia="Times New Roman" w:hAnsi="Cambria Math"/>
              </w:rPr>
              <m:t>n=1</m:t>
            </m:r>
          </m:sub>
          <m:sup>
            <m:sSubSup>
              <m:sSubSupPr>
                <m:ctrlPr>
                  <w:rPr>
                    <w:rFonts w:ascii="Cambria Math" w:eastAsia="Times New Roman" w:hAnsi="Cambria Math"/>
                    <w:i/>
                  </w:rPr>
                </m:ctrlPr>
              </m:sSubSupPr>
              <m:e>
                <m:r>
                  <w:rPr>
                    <w:rFonts w:ascii="Cambria Math" w:eastAsia="Times New Roman" w:hAnsi="Cambria Math"/>
                  </w:rPr>
                  <m:t>N</m:t>
                </m:r>
              </m:e>
              <m:sub>
                <m:r>
                  <m:rPr>
                    <m:nor/>
                  </m:rPr>
                  <w:rPr>
                    <w:rFonts w:ascii="Cambria Math" w:eastAsia="Times New Roman"/>
                  </w:rPr>
                  <m:t>CSI</m:t>
                </m:r>
                <m:ctrlPr>
                  <w:rPr>
                    <w:rFonts w:ascii="Cambria Math" w:eastAsia="Times New Roman" w:hAnsi="Cambria Math"/>
                  </w:rPr>
                </m:ctrlPr>
              </m:sub>
              <m:sup>
                <m:r>
                  <m:rPr>
                    <m:nor/>
                  </m:rPr>
                  <w:rPr>
                    <w:rFonts w:eastAsia="Times New Roman"/>
                  </w:rPr>
                  <m:t>reported</m:t>
                </m:r>
                <m:ctrlPr>
                  <w:rPr>
                    <w:rFonts w:ascii="Cambria Math" w:eastAsia="Times New Roman" w:hAnsi="Cambria Math"/>
                  </w:rPr>
                </m:ctrlPr>
              </m:sup>
            </m:sSubSup>
            <m:r>
              <w:rPr>
                <w:rFonts w:ascii="Cambria Math" w:eastAsia="Times New Roman" w:hAnsi="Cambria Math"/>
              </w:rPr>
              <m:t>+1</m:t>
            </m:r>
          </m:sup>
          <m:e>
            <m:sSub>
              <m:sSubPr>
                <m:ctrlPr>
                  <w:rPr>
                    <w:rFonts w:ascii="Cambria Math" w:eastAsia="Times New Roman" w:hAnsi="Cambria Math"/>
                    <w:i/>
                  </w:rPr>
                </m:ctrlPr>
              </m:sSubPr>
              <m:e>
                <m:r>
                  <w:rPr>
                    <w:rFonts w:ascii="Cambria Math" w:eastAsia="Times New Roman" w:hAnsi="Cambria Math"/>
                  </w:rPr>
                  <m:t>O</m:t>
                </m:r>
              </m:e>
              <m:sub>
                <m:r>
                  <m:rPr>
                    <m:nor/>
                  </m:rPr>
                  <w:rPr>
                    <w:rFonts w:eastAsia="Times New Roman"/>
                  </w:rPr>
                  <m:t>CSI</m:t>
                </m:r>
                <m:r>
                  <m:rPr>
                    <m:sty m:val="p"/>
                  </m:rPr>
                  <w:rPr>
                    <w:rFonts w:ascii="Cambria Math" w:eastAsia="Times New Roman" w:hAnsi="Cambria Math"/>
                  </w:rPr>
                  <m:t>-</m:t>
                </m:r>
                <m:r>
                  <m:rPr>
                    <m:nor/>
                  </m:rPr>
                  <w:rPr>
                    <w:rFonts w:eastAsia="Times New Roman"/>
                  </w:rPr>
                  <m:t>part1</m:t>
                </m:r>
                <m:r>
                  <m:rPr>
                    <m:nor/>
                  </m:rPr>
                  <w:rPr>
                    <w:rFonts w:ascii="Cambria Math" w:eastAsia="Times New Roman"/>
                  </w:rPr>
                  <m:t>,</m:t>
                </m:r>
                <m:r>
                  <m:rPr>
                    <m:nor/>
                  </m:rPr>
                  <w:rPr>
                    <w:rFonts w:ascii="Cambria Math" w:eastAsia="Times New Roman"/>
                    <w:i/>
                    <w:iCs/>
                  </w:rPr>
                  <m:t>n</m:t>
                </m:r>
                <m:ctrlPr>
                  <w:rPr>
                    <w:rFonts w:ascii="Cambria Math" w:eastAsia="Times New Roman" w:hAnsi="Cambria Math"/>
                  </w:rPr>
                </m:ctrlPr>
              </m:sub>
            </m:sSub>
          </m:e>
        </m:nary>
      </m:oMath>
      <w:r w:rsidRPr="00742E08">
        <w:rPr>
          <w:rFonts w:eastAsia="Times New Roman"/>
          <w:lang w:val="en-US"/>
        </w:rPr>
        <w:t xml:space="preserve"> UCI bits</w:t>
      </w:r>
      <w:r w:rsidRPr="00742E08">
        <w:rPr>
          <w:rFonts w:eastAsia="Times New Roman"/>
          <w:lang w:eastAsia="zh-CN"/>
        </w:rPr>
        <w:t>.</w:t>
      </w:r>
    </w:p>
    <w:p w14:paraId="7D1063C7" w14:textId="4BD2ECD4" w:rsidR="004F4935" w:rsidRDefault="004F4935" w:rsidP="004F4935">
      <w:pPr>
        <w:rPr>
          <w:lang w:eastAsia="zh-CN"/>
        </w:rPr>
      </w:pPr>
      <w:r w:rsidRPr="00B916EC">
        <w:rPr>
          <w:lang w:eastAsia="zh-CN"/>
        </w:rPr>
        <w:t>I</w:t>
      </w:r>
      <w:r w:rsidRPr="00B916EC">
        <w:rPr>
          <w:rFonts w:hint="eastAsia"/>
          <w:lang w:eastAsia="zh-CN"/>
        </w:rPr>
        <w:t xml:space="preserve">f </w:t>
      </w:r>
      <w:r>
        <w:rPr>
          <w:lang w:val="en-US" w:eastAsia="zh-CN"/>
        </w:rPr>
        <w:t xml:space="preserve">a UE </w:t>
      </w:r>
      <w:r>
        <w:rPr>
          <w:lang w:eastAsia="zh-CN"/>
        </w:rPr>
        <w:t xml:space="preserve">is provided </w:t>
      </w:r>
      <w:r>
        <w:rPr>
          <w:lang w:val="en-US"/>
        </w:rPr>
        <w:t xml:space="preserve">a first interlace of </w:t>
      </w:r>
      <m:oMath>
        <m:sSubSup>
          <m:sSubSupPr>
            <m:ctrlPr>
              <w:rPr>
                <w:rFonts w:ascii="Cambria Math" w:hAnsi="Cambria Math"/>
                <w:i/>
              </w:rPr>
            </m:ctrlPr>
          </m:sSubSupPr>
          <m:e>
            <m:r>
              <w:rPr>
                <w:rFonts w:ascii="Cambria Math"/>
              </w:rPr>
              <m:t>M</m:t>
            </m:r>
          </m:e>
          <m:sub>
            <m:r>
              <m:rPr>
                <m:nor/>
              </m:rPr>
              <w:rPr>
                <w:rFonts w:ascii="Cambria Math"/>
              </w:rPr>
              <m:t>Interlace,0</m:t>
            </m:r>
            <m:ctrlPr>
              <w:rPr>
                <w:rFonts w:ascii="Cambria Math" w:hAnsi="Cambria Math"/>
              </w:rPr>
            </m:ctrlPr>
          </m:sub>
          <m:sup>
            <m:r>
              <m:rPr>
                <m:nor/>
              </m:rPr>
              <w:rPr>
                <w:rFonts w:ascii="Cambria Math"/>
              </w:rPr>
              <m:t>PUCCH</m:t>
            </m:r>
            <m:ctrlPr>
              <w:rPr>
                <w:rFonts w:ascii="Cambria Math" w:hAnsi="Cambria Math"/>
              </w:rPr>
            </m:ctrlPr>
          </m:sup>
        </m:sSubSup>
      </m:oMath>
      <w:r>
        <w:t xml:space="preserve"> PRBs </w:t>
      </w:r>
      <w:r>
        <w:rPr>
          <w:lang w:val="en-US"/>
        </w:rPr>
        <w:t xml:space="preserve">by </w:t>
      </w:r>
      <w:r w:rsidRPr="00284693">
        <w:rPr>
          <w:i/>
        </w:rPr>
        <w:t>interlace0</w:t>
      </w:r>
      <w:r>
        <w:t xml:space="preserve"> in </w:t>
      </w:r>
      <w:r w:rsidRPr="00284693">
        <w:rPr>
          <w:i/>
        </w:rPr>
        <w:t>InterlaceAllocation</w:t>
      </w:r>
      <w:r>
        <w:t xml:space="preserve">, the UE </w:t>
      </w:r>
      <w:r w:rsidRPr="00324409">
        <w:rPr>
          <w:lang w:eastAsia="zh-CN"/>
        </w:rPr>
        <w:t>has</w:t>
      </w:r>
      <w:r>
        <w:rPr>
          <w:lang w:eastAsia="zh-CN"/>
        </w:rPr>
        <w:t xml:space="preserve"> HARQ-ACK, SR and wideband or sub-band CSI reports to transmit</w:t>
      </w:r>
      <w:r>
        <w:rPr>
          <w:iCs/>
        </w:rPr>
        <w:t>,</w:t>
      </w:r>
      <w:r>
        <w:rPr>
          <w:lang w:eastAsia="zh-CN"/>
        </w:rPr>
        <w:t xml:space="preserve"> and the UE determines a PUCCH resource with PUCCH format 2, or the UE has HARQ-ACK, SR and wideband CSI reports to transmit and the UE determines a PUCCH resource with PUCCH format 3, where </w:t>
      </w:r>
    </w:p>
    <w:p w14:paraId="78D0D1E2" w14:textId="4D64BB0F" w:rsidR="004F4935" w:rsidRDefault="004F4935" w:rsidP="00766039">
      <w:pPr>
        <w:pStyle w:val="B1"/>
        <w:rPr>
          <w:lang w:val="en-US" w:eastAsia="zh-CN"/>
        </w:rPr>
      </w:pPr>
      <w:r>
        <w:t>-</w:t>
      </w:r>
      <w:r>
        <w:tab/>
      </w:r>
      <w:r>
        <w:rPr>
          <w:lang w:eastAsia="zh-CN"/>
        </w:rPr>
        <w:t xml:space="preserve">the UE determines the PUCCH resource </w:t>
      </w:r>
      <w:r>
        <w:t xml:space="preserve">using </w:t>
      </w:r>
      <w:r>
        <w:rPr>
          <w:lang w:eastAsia="zh-CN"/>
        </w:rPr>
        <w:t>the PUCCH resource indicator field in a last of a number of DCI formats</w:t>
      </w:r>
      <w:r w:rsidR="00B75E19">
        <w:rPr>
          <w:rFonts w:hint="eastAsia"/>
          <w:lang w:eastAsia="zh-CN"/>
        </w:rPr>
        <w:t>, excluding the SPS activation DCI,</w:t>
      </w:r>
      <w:r>
        <w:rPr>
          <w:lang w:eastAsia="zh-CN"/>
        </w:rPr>
        <w:t xml:space="preserve"> with</w:t>
      </w:r>
      <w:r>
        <w:t xml:space="preserve"> a value of a PDSCH-to-HARQ_feedback timing indicator field</w:t>
      </w:r>
      <w:r w:rsidR="00893DC6" w:rsidRPr="00B27E56">
        <w:rPr>
          <w:lang w:val="en-US"/>
        </w:rPr>
        <w:t>,</w:t>
      </w:r>
      <w:r w:rsidR="00893DC6" w:rsidRPr="00B27E56">
        <w:rPr>
          <w:lang w:eastAsia="x-none"/>
        </w:rPr>
        <w:t xml:space="preserve"> or </w:t>
      </w:r>
      <w:r w:rsidR="00893DC6" w:rsidRPr="00B27E56">
        <w:rPr>
          <w:lang w:val="en-US" w:eastAsia="x-none"/>
        </w:rPr>
        <w:t>a value provided by</w:t>
      </w:r>
      <w:r w:rsidR="00893DC6" w:rsidRPr="00B27E56">
        <w:rPr>
          <w:lang w:eastAsia="x-none"/>
        </w:rPr>
        <w:t xml:space="preserve"> </w:t>
      </w:r>
      <w:r w:rsidR="00893DC6" w:rsidRPr="00B27E56">
        <w:rPr>
          <w:i/>
          <w:iCs/>
          <w:lang w:eastAsia="x-none"/>
        </w:rPr>
        <w:t xml:space="preserve">dl-DataToUL-ACK </w:t>
      </w:r>
      <w:r w:rsidR="00893DC6" w:rsidRPr="00B27E56">
        <w:rPr>
          <w:lang w:val="en-US" w:eastAsia="x-none"/>
        </w:rPr>
        <w:t xml:space="preserve">or </w:t>
      </w:r>
      <w:r w:rsidR="00893DC6" w:rsidRPr="00B27E56">
        <w:rPr>
          <w:i/>
          <w:iCs/>
          <w:lang w:eastAsia="x-none"/>
        </w:rPr>
        <w:t>dl-DataToUL-ACK</w:t>
      </w:r>
      <w:r w:rsidR="00893DC6" w:rsidRPr="00B27E56">
        <w:rPr>
          <w:i/>
          <w:iCs/>
          <w:lang w:val="en-US" w:eastAsia="x-none"/>
        </w:rPr>
        <w:t>-r16</w:t>
      </w:r>
      <w:r w:rsidR="00893DC6" w:rsidRPr="00B27E56">
        <w:rPr>
          <w:lang w:val="en-US" w:eastAsia="x-none"/>
        </w:rPr>
        <w:t xml:space="preserve"> or </w:t>
      </w:r>
      <w:r w:rsidR="00295E42" w:rsidRPr="00111FF6">
        <w:rPr>
          <w:i/>
        </w:rPr>
        <w:t>dl-DataToUL-ACK</w:t>
      </w:r>
      <w:r w:rsidR="00295E42" w:rsidRPr="00111FF6">
        <w:rPr>
          <w:i/>
          <w:lang w:val="en-US"/>
        </w:rPr>
        <w:t>-DCI-1-2</w:t>
      </w:r>
      <w:r w:rsidR="00893DC6" w:rsidRPr="00B27E56">
        <w:rPr>
          <w:rFonts w:hint="eastAsia"/>
          <w:lang w:val="en-US" w:eastAsia="zh-CN"/>
        </w:rPr>
        <w:t xml:space="preserve"> </w:t>
      </w:r>
      <w:r w:rsidR="00561433">
        <w:rPr>
          <w:rFonts w:eastAsia="Malgun Gothic"/>
          <w:lang w:val="en-US" w:eastAsia="zh-CN"/>
        </w:rPr>
        <w:t xml:space="preserve">or </w:t>
      </w:r>
      <w:r w:rsidR="00561433">
        <w:rPr>
          <w:i/>
          <w:lang w:val="en-US"/>
        </w:rPr>
        <w:t>dl-DataToUL-ACK-r17</w:t>
      </w:r>
      <w:r w:rsidR="00561433">
        <w:rPr>
          <w:rFonts w:eastAsia="Malgun Gothic"/>
          <w:lang w:val="en-US" w:eastAsia="zh-CN"/>
        </w:rPr>
        <w:t xml:space="preserve"> or </w:t>
      </w:r>
      <w:r w:rsidR="00561433">
        <w:rPr>
          <w:rFonts w:eastAsia="Malgun Gothic"/>
          <w:i/>
        </w:rPr>
        <w:t>dl-DataToUL-ACK</w:t>
      </w:r>
      <w:r w:rsidR="00561433">
        <w:rPr>
          <w:rFonts w:eastAsia="Malgun Gothic"/>
          <w:i/>
          <w:lang w:val="en-US"/>
        </w:rPr>
        <w:t>-DCI-1-2-r17</w:t>
      </w:r>
      <w:r w:rsidR="00561433">
        <w:rPr>
          <w:rFonts w:eastAsia="Malgun Gothic" w:hint="eastAsia"/>
          <w:lang w:val="en-US" w:eastAsia="zh-CN"/>
        </w:rPr>
        <w:t xml:space="preserve"> </w:t>
      </w:r>
      <w:r w:rsidR="00893DC6" w:rsidRPr="00B27E56">
        <w:rPr>
          <w:lang w:eastAsia="x-none"/>
        </w:rPr>
        <w:t xml:space="preserve">if the PDSCH-to-HARQ_feedback timing indicator field is not present in </w:t>
      </w:r>
      <w:r w:rsidR="00893DC6" w:rsidRPr="00B27E56">
        <w:rPr>
          <w:lang w:val="en-US" w:eastAsia="x-none"/>
        </w:rPr>
        <w:t>a</w:t>
      </w:r>
      <w:r w:rsidR="00893DC6" w:rsidRPr="00B27E56">
        <w:rPr>
          <w:lang w:eastAsia="x-none"/>
        </w:rPr>
        <w:t xml:space="preserve"> DCI format</w:t>
      </w:r>
      <w:r w:rsidR="00893DC6" w:rsidRPr="00B27E56">
        <w:rPr>
          <w:lang w:val="en-US" w:eastAsia="x-none"/>
        </w:rPr>
        <w:t>,</w:t>
      </w:r>
      <w:r>
        <w:t xml:space="preserve"> indicating a same slot for the PUCCH transmission,</w:t>
      </w:r>
      <w:r>
        <w:rPr>
          <w:lang w:val="en-US" w:eastAsia="zh-CN"/>
        </w:rPr>
        <w:t xml:space="preserve"> from a PUCCH resource set provided to the UE for HARQ-ACK transmission, and </w:t>
      </w:r>
    </w:p>
    <w:p w14:paraId="7E10D065" w14:textId="556A78EB" w:rsidR="004F4935" w:rsidRDefault="004F4935" w:rsidP="00766039">
      <w:pPr>
        <w:pStyle w:val="B1"/>
      </w:pPr>
      <w:r>
        <w:t>-</w:t>
      </w:r>
      <w:r>
        <w:tab/>
      </w:r>
      <w:r>
        <w:rPr>
          <w:lang w:val="en-US" w:eastAsia="zh-CN"/>
        </w:rPr>
        <w:t xml:space="preserve">the UE determines the PUCCH resource set as </w:t>
      </w:r>
      <w:r>
        <w:t xml:space="preserve">described </w:t>
      </w:r>
      <w:r w:rsidR="006F5F9E">
        <w:t>in clause</w:t>
      </w:r>
      <w:r>
        <w:t xml:space="preserve">s 9.2.1 and 9.2.3 for </w:t>
      </w:r>
      <m:oMath>
        <m:sSub>
          <m:sSubPr>
            <m:ctrlPr>
              <w:rPr>
                <w:rFonts w:ascii="Cambria Math" w:hAnsi="Cambria Math"/>
                <w:i/>
              </w:rPr>
            </m:ctrlPr>
          </m:sSubPr>
          <m:e>
            <m:r>
              <w:rPr>
                <w:rFonts w:ascii="Cambria Math"/>
              </w:rPr>
              <m:t>O</m:t>
            </m:r>
          </m:e>
          <m:sub>
            <m:r>
              <m:rPr>
                <m:nor/>
              </m:rPr>
              <w:rPr>
                <w:rFonts w:ascii="Cambria Math"/>
              </w:rPr>
              <m:t>UCI</m:t>
            </m:r>
            <m:ctrlPr>
              <w:rPr>
                <w:rFonts w:ascii="Cambria Math" w:hAnsi="Cambria Math"/>
              </w:rPr>
            </m:ctrlPr>
          </m:sub>
        </m:sSub>
      </m:oMath>
      <w:r>
        <w:t xml:space="preserve"> UCI bits</w:t>
      </w:r>
    </w:p>
    <w:p w14:paraId="6617B849" w14:textId="77777777" w:rsidR="004F4935" w:rsidRDefault="004F4935" w:rsidP="00766039">
      <w:pPr>
        <w:rPr>
          <w:lang w:eastAsia="zh-CN"/>
        </w:rPr>
      </w:pPr>
      <w:r>
        <w:t>and</w:t>
      </w:r>
    </w:p>
    <w:p w14:paraId="3705C3A1" w14:textId="77777777" w:rsidR="004F4935" w:rsidRPr="00B916EC" w:rsidRDefault="004F4935">
      <w:pPr>
        <w:pStyle w:val="B1"/>
        <w:rPr>
          <w:lang w:eastAsia="zh-CN"/>
        </w:rPr>
      </w:pPr>
      <w:r>
        <w:rPr>
          <w:lang w:eastAsia="zh-CN"/>
        </w:rPr>
        <w:t>-</w:t>
      </w:r>
      <w:r>
        <w:rPr>
          <w:lang w:eastAsia="zh-CN"/>
        </w:rPr>
        <w:tab/>
      </w:r>
      <w:r w:rsidRPr="00B916EC">
        <w:rPr>
          <w:rFonts w:hint="eastAsia"/>
          <w:lang w:eastAsia="zh-CN"/>
        </w:rPr>
        <w:t xml:space="preserve">if </w:t>
      </w:r>
      <m:oMath>
        <m:d>
          <m:dPr>
            <m:ctrlPr>
              <w:rPr>
                <w:rFonts w:ascii="Cambria Math" w:hAnsi="Cambria Math"/>
                <w:i/>
              </w:rPr>
            </m:ctrlPr>
          </m:dPr>
          <m:e>
            <m:sSub>
              <m:sSubPr>
                <m:ctrlPr>
                  <w:rPr>
                    <w:rFonts w:ascii="Cambria Math" w:hAnsi="Cambria Math"/>
                    <w:i/>
                  </w:rPr>
                </m:ctrlPr>
              </m:sSubPr>
              <m:e>
                <m:r>
                  <w:rPr>
                    <w:rFonts w:ascii="Cambria Math" w:hAnsi="Cambria Math"/>
                  </w:rPr>
                  <m:t>O</m:t>
                </m:r>
              </m:e>
              <m:sub>
                <m:r>
                  <m:rPr>
                    <m:nor/>
                  </m:rPr>
                  <m:t>ACK</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O</m:t>
                </m:r>
              </m:e>
              <m:sub>
                <m:r>
                  <m:rPr>
                    <m:nor/>
                  </m:rPr>
                  <m:t>SR</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O</m:t>
                </m:r>
              </m:e>
              <m:sub>
                <m:r>
                  <m:rPr>
                    <m:nor/>
                  </m:rPr>
                  <m:t>CSI</m:t>
                </m:r>
                <m:r>
                  <m:rPr>
                    <m:sty m:val="p"/>
                  </m:rPr>
                  <w:rPr>
                    <w:rFonts w:ascii="Cambria Math" w:hAnsi="Cambria Math"/>
                  </w:rPr>
                  <m:t>-</m:t>
                </m:r>
                <m:r>
                  <m:rPr>
                    <m:nor/>
                  </m:rPr>
                  <m:t>part1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O</m:t>
                </m:r>
              </m:e>
              <m:sub>
                <m:r>
                  <m:rPr>
                    <m:nor/>
                  </m:rPr>
                  <m:t>CRC,CSI-part1</m:t>
                </m:r>
                <m:ctrlPr>
                  <w:rPr>
                    <w:rFonts w:ascii="Cambria Math" w:hAnsi="Cambria Math"/>
                  </w:rPr>
                </m:ctrlPr>
              </m:sub>
            </m:sSub>
          </m:e>
        </m:d>
        <m:r>
          <w:rPr>
            <w:rFonts w:ascii="Cambria Math" w:hAnsi="Cambria Math"/>
          </w:rPr>
          <m:t>≤</m:t>
        </m:r>
        <m:sSubSup>
          <m:sSubSupPr>
            <m:ctrlPr>
              <w:rPr>
                <w:rFonts w:ascii="Cambria Math" w:hAnsi="Cambria Math"/>
                <w:i/>
              </w:rPr>
            </m:ctrlPr>
          </m:sSubSupPr>
          <m:e>
            <m:r>
              <w:rPr>
                <w:rFonts w:ascii="Cambria Math" w:hAnsi="Cambria Math"/>
              </w:rPr>
              <m:t>M</m:t>
            </m:r>
          </m:e>
          <m:sub>
            <m:r>
              <m:rPr>
                <m:nor/>
              </m:rPr>
              <m:t>Interlace,0</m:t>
            </m:r>
            <m:ctrlPr>
              <w:rPr>
                <w:rFonts w:ascii="Cambria Math" w:hAnsi="Cambria Math"/>
              </w:rPr>
            </m:ctrlPr>
          </m:sub>
          <m:sup>
            <m:r>
              <m:rPr>
                <m:nor/>
              </m:rPr>
              <m:t>PUCCH</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hAnsi="Cambria Math"/>
              </w:rPr>
              <m:t>N</m:t>
            </m:r>
          </m:e>
          <m:sub>
            <m:r>
              <m:rPr>
                <m:nor/>
              </m:rPr>
              <m:t>sc,ctrl</m:t>
            </m:r>
            <m:ctrlPr>
              <w:rPr>
                <w:rFonts w:ascii="Cambria Math" w:hAnsi="Cambria Math"/>
              </w:rPr>
            </m:ctrlPr>
          </m:sub>
          <m:sup>
            <m:r>
              <m:rPr>
                <m:nor/>
              </m:rPr>
              <m:t>RB</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hAnsi="Cambria Math"/>
              </w:rPr>
              <m:t>N</m:t>
            </m:r>
          </m:e>
          <m:sub>
            <m:r>
              <m:rPr>
                <m:nor/>
              </m:rPr>
              <m:t>symb-UCI</m:t>
            </m:r>
            <m:ctrlPr>
              <w:rPr>
                <w:rFonts w:ascii="Cambria Math" w:hAnsi="Cambria Math"/>
              </w:rPr>
            </m:ctrlPr>
          </m:sub>
          <m:sup>
            <m:r>
              <m:rPr>
                <m:nor/>
              </m:rPr>
              <m:t>PUCCH</m:t>
            </m:r>
            <m:ctrlPr>
              <w:rPr>
                <w:rFonts w:ascii="Cambria Math" w:hAnsi="Cambria Math"/>
              </w:rPr>
            </m:ctrlPr>
          </m:sup>
        </m:sSubSup>
        <m:r>
          <w:rPr>
            <w:rFonts w:ascii="Cambria Math" w:hAnsi="Cambria Math" w:cs="Cambria Math"/>
          </w:rPr>
          <m:t>⋅</m:t>
        </m:r>
        <m:sSub>
          <m:sSubPr>
            <m:ctrlPr>
              <w:rPr>
                <w:rFonts w:ascii="Cambria Math" w:hAnsi="Cambria Math"/>
                <w:i/>
              </w:rPr>
            </m:ctrlPr>
          </m:sSubPr>
          <m:e>
            <m:r>
              <w:rPr>
                <w:rFonts w:ascii="Cambria Math" w:hAnsi="Cambria Math"/>
              </w:rPr>
              <m:t>Q</m:t>
            </m:r>
          </m:e>
          <m:sub>
            <m:r>
              <w:rPr>
                <w:rFonts w:ascii="Cambria Math" w:hAnsi="Cambria Math"/>
              </w:rPr>
              <m:t>m</m:t>
            </m:r>
          </m:sub>
        </m:sSub>
        <m:r>
          <w:rPr>
            <w:rFonts w:ascii="Cambria Math" w:hAnsi="Cambria Math" w:cs="Cambria Math"/>
          </w:rPr>
          <m:t>⋅</m:t>
        </m:r>
        <m:r>
          <w:rPr>
            <w:rFonts w:ascii="Cambria Math" w:hAnsi="Cambria Math"/>
          </w:rPr>
          <m:t>r</m:t>
        </m:r>
      </m:oMath>
      <w:r w:rsidRPr="00B916EC">
        <w:rPr>
          <w:lang w:eastAsia="zh-CN"/>
        </w:rPr>
        <w:t xml:space="preserve">, </w:t>
      </w:r>
      <w:r w:rsidRPr="00B916EC">
        <w:rPr>
          <w:rFonts w:hint="eastAsia"/>
          <w:lang w:eastAsia="zh-CN"/>
        </w:rPr>
        <w:t>the UE transmit</w:t>
      </w:r>
      <w:r>
        <w:rPr>
          <w:lang w:val="en-US" w:eastAsia="zh-CN"/>
        </w:rPr>
        <w:t>s</w:t>
      </w:r>
      <w:r w:rsidRPr="00B916EC">
        <w:rPr>
          <w:rFonts w:hint="eastAsia"/>
          <w:lang w:eastAsia="zh-CN"/>
        </w:rPr>
        <w:t xml:space="preserve"> the HARQ-ACK</w:t>
      </w:r>
      <w:r>
        <w:rPr>
          <w:lang w:val="en-US" w:eastAsia="zh-CN"/>
        </w:rPr>
        <w:t xml:space="preserve">, </w:t>
      </w:r>
      <w:r w:rsidRPr="00B916EC">
        <w:rPr>
          <w:rFonts w:hint="eastAsia"/>
          <w:lang w:eastAsia="zh-CN"/>
        </w:rPr>
        <w:t>SR</w:t>
      </w:r>
      <w:r>
        <w:rPr>
          <w:lang w:val="en-US" w:eastAsia="zh-CN"/>
        </w:rPr>
        <w:t>,</w:t>
      </w:r>
      <w:r w:rsidRPr="00B916EC">
        <w:rPr>
          <w:rFonts w:hint="eastAsia"/>
          <w:lang w:eastAsia="zh-CN"/>
        </w:rPr>
        <w:t xml:space="preserve"> and CSI </w:t>
      </w:r>
      <w:r>
        <w:rPr>
          <w:lang w:val="en-US" w:eastAsia="zh-CN"/>
        </w:rPr>
        <w:t xml:space="preserve">reports </w:t>
      </w:r>
      <w:r w:rsidRPr="00B916EC">
        <w:rPr>
          <w:rFonts w:hint="eastAsia"/>
          <w:lang w:eastAsia="zh-CN"/>
        </w:rPr>
        <w:t xml:space="preserve">bits </w:t>
      </w:r>
      <w:r>
        <w:rPr>
          <w:lang w:eastAsia="zh-CN"/>
        </w:rPr>
        <w:t>in a PUCCH over the first interlace</w:t>
      </w:r>
    </w:p>
    <w:p w14:paraId="732EBBAC" w14:textId="205EBFFA" w:rsidR="004F4935" w:rsidRPr="00B916EC" w:rsidRDefault="004F4935">
      <w:pPr>
        <w:pStyle w:val="B1"/>
        <w:rPr>
          <w:lang w:eastAsia="zh-CN"/>
        </w:rPr>
      </w:pPr>
      <w:r>
        <w:rPr>
          <w:lang w:eastAsia="zh-CN"/>
        </w:rPr>
        <w:t>-</w:t>
      </w:r>
      <w:r>
        <w:rPr>
          <w:lang w:eastAsia="zh-CN"/>
        </w:rPr>
        <w:tab/>
        <w:t xml:space="preserve">else, </w:t>
      </w:r>
      <w:r w:rsidRPr="00B916EC">
        <w:rPr>
          <w:rFonts w:hint="eastAsia"/>
          <w:lang w:eastAsia="zh-CN"/>
        </w:rPr>
        <w:t>if</w:t>
      </w:r>
      <w:r>
        <w:rPr>
          <w:lang w:eastAsia="zh-CN"/>
        </w:rPr>
        <w:t xml:space="preserve"> the UE is provided </w:t>
      </w:r>
      <w:r>
        <w:rPr>
          <w:lang w:val="en-US"/>
        </w:rPr>
        <w:t xml:space="preserve">a second interlace of </w:t>
      </w:r>
      <m:oMath>
        <m:sSubSup>
          <m:sSubSupPr>
            <m:ctrlPr>
              <w:rPr>
                <w:rFonts w:ascii="Cambria Math" w:hAnsi="Cambria Math"/>
                <w:i/>
              </w:rPr>
            </m:ctrlPr>
          </m:sSubSupPr>
          <m:e>
            <m:r>
              <w:rPr>
                <w:rFonts w:ascii="Cambria Math" w:hAnsi="Cambria Math"/>
              </w:rPr>
              <m:t>M</m:t>
            </m:r>
          </m:e>
          <m:sub>
            <m:r>
              <m:rPr>
                <m:nor/>
              </m:rPr>
              <m:t>Interlace,1</m:t>
            </m:r>
            <m:ctrlPr>
              <w:rPr>
                <w:rFonts w:ascii="Cambria Math" w:hAnsi="Cambria Math"/>
              </w:rPr>
            </m:ctrlPr>
          </m:sub>
          <m:sup>
            <m:r>
              <m:rPr>
                <m:nor/>
              </m:rPr>
              <m:t>PUCCH</m:t>
            </m:r>
            <m:ctrlPr>
              <w:rPr>
                <w:rFonts w:ascii="Cambria Math" w:hAnsi="Cambria Math"/>
              </w:rPr>
            </m:ctrlPr>
          </m:sup>
        </m:sSubSup>
      </m:oMath>
      <w:r>
        <w:rPr>
          <w:lang w:eastAsia="zh-CN"/>
        </w:rPr>
        <w:t xml:space="preserve"> PRBs </w:t>
      </w:r>
      <w:r>
        <w:rPr>
          <w:lang w:val="en-US"/>
        </w:rPr>
        <w:t xml:space="preserve">by </w:t>
      </w:r>
      <w:r w:rsidRPr="00284693">
        <w:rPr>
          <w:i/>
        </w:rPr>
        <w:t>interlace1</w:t>
      </w:r>
      <w:r>
        <w:t xml:space="preserve"> and if</w:t>
      </w:r>
      <w:r w:rsidRPr="00B916EC">
        <w:rPr>
          <w:rFonts w:hint="eastAsia"/>
          <w:lang w:eastAsia="zh-CN"/>
        </w:rP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O</m:t>
                </m:r>
              </m:e>
              <m:sub>
                <m:r>
                  <m:rPr>
                    <m:nor/>
                  </m:rPr>
                  <m:t>ACK</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O</m:t>
                </m:r>
              </m:e>
              <m:sub>
                <m:r>
                  <m:rPr>
                    <m:nor/>
                  </m:rPr>
                  <m:t>SR</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O</m:t>
                </m:r>
              </m:e>
              <m:sub>
                <m:r>
                  <m:rPr>
                    <m:nor/>
                  </m:rPr>
                  <m:t>CSI</m:t>
                </m:r>
                <m:r>
                  <m:rPr>
                    <m:sty m:val="p"/>
                  </m:rPr>
                  <w:rPr>
                    <w:rFonts w:ascii="Cambria Math" w:hAnsi="Cambria Math"/>
                  </w:rPr>
                  <m:t>-</m:t>
                </m:r>
                <m:r>
                  <m:rPr>
                    <m:nor/>
                  </m:rPr>
                  <m:t>part1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O</m:t>
                </m:r>
              </m:e>
              <m:sub>
                <m:r>
                  <m:rPr>
                    <m:nor/>
                  </m:rPr>
                  <m:t>CRC,CSI-part1</m:t>
                </m:r>
                <m:ctrlPr>
                  <w:rPr>
                    <w:rFonts w:ascii="Cambria Math" w:hAnsi="Cambria Math"/>
                  </w:rPr>
                </m:ctrlPr>
              </m:sub>
            </m:sSub>
          </m:e>
        </m:d>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m:rPr>
                    <m:nor/>
                  </m:rPr>
                  <m:t>Interlace,0</m:t>
                </m:r>
                <m:ctrlPr>
                  <w:rPr>
                    <w:rFonts w:ascii="Cambria Math" w:hAnsi="Cambria Math"/>
                  </w:rPr>
                </m:ctrlPr>
              </m:sub>
              <m:sup>
                <m:r>
                  <m:rPr>
                    <m:nor/>
                  </m:rPr>
                  <m:t>PUCCH</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M</m:t>
                </m:r>
              </m:e>
              <m:sub>
                <m:r>
                  <m:rPr>
                    <m:nor/>
                  </m:rPr>
                  <m:t>Interlace,1</m:t>
                </m:r>
                <m:ctrlPr>
                  <w:rPr>
                    <w:rFonts w:ascii="Cambria Math" w:hAnsi="Cambria Math"/>
                  </w:rPr>
                </m:ctrlPr>
              </m:sub>
              <m:sup>
                <m:r>
                  <m:rPr>
                    <m:nor/>
                  </m:rPr>
                  <m:t>PUCCH</m:t>
                </m:r>
                <m:ctrlPr>
                  <w:rPr>
                    <w:rFonts w:ascii="Cambria Math" w:hAnsi="Cambria Math"/>
                  </w:rPr>
                </m:ctrlPr>
              </m:sup>
            </m:sSubSup>
          </m:e>
        </m:d>
        <m:r>
          <w:rPr>
            <w:rFonts w:ascii="Cambria Math" w:hAnsi="Cambria Math" w:cs="Cambria Math"/>
          </w:rPr>
          <m:t>⋅</m:t>
        </m:r>
        <m:sSubSup>
          <m:sSubSupPr>
            <m:ctrlPr>
              <w:rPr>
                <w:rFonts w:ascii="Cambria Math" w:hAnsi="Cambria Math"/>
                <w:i/>
              </w:rPr>
            </m:ctrlPr>
          </m:sSubSupPr>
          <m:e>
            <m:r>
              <w:rPr>
                <w:rFonts w:ascii="Cambria Math" w:hAnsi="Cambria Math"/>
              </w:rPr>
              <m:t>N</m:t>
            </m:r>
          </m:e>
          <m:sub>
            <m:r>
              <m:rPr>
                <m:nor/>
              </m:rPr>
              <m:t>sc,ctrl</m:t>
            </m:r>
            <m:ctrlPr>
              <w:rPr>
                <w:rFonts w:ascii="Cambria Math" w:hAnsi="Cambria Math"/>
              </w:rPr>
            </m:ctrlPr>
          </m:sub>
          <m:sup>
            <m:r>
              <m:rPr>
                <m:nor/>
              </m:rPr>
              <m:t>RB</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hAnsi="Cambria Math"/>
              </w:rPr>
              <m:t>N</m:t>
            </m:r>
          </m:e>
          <m:sub>
            <m:r>
              <m:rPr>
                <m:nor/>
              </m:rPr>
              <m:t>symb-UCI</m:t>
            </m:r>
            <m:ctrlPr>
              <w:rPr>
                <w:rFonts w:ascii="Cambria Math" w:hAnsi="Cambria Math"/>
              </w:rPr>
            </m:ctrlPr>
          </m:sub>
          <m:sup>
            <m:r>
              <m:rPr>
                <m:nor/>
              </m:rPr>
              <m:t>PUCCH</m:t>
            </m:r>
            <m:ctrlPr>
              <w:rPr>
                <w:rFonts w:ascii="Cambria Math" w:hAnsi="Cambria Math"/>
              </w:rPr>
            </m:ctrlPr>
          </m:sup>
        </m:sSubSup>
        <m:r>
          <w:rPr>
            <w:rFonts w:ascii="Cambria Math" w:hAnsi="Cambria Math" w:cs="Cambria Math"/>
          </w:rPr>
          <m:t>⋅</m:t>
        </m:r>
        <m:sSub>
          <m:sSubPr>
            <m:ctrlPr>
              <w:rPr>
                <w:rFonts w:ascii="Cambria Math" w:hAnsi="Cambria Math"/>
                <w:i/>
              </w:rPr>
            </m:ctrlPr>
          </m:sSubPr>
          <m:e>
            <m:r>
              <w:rPr>
                <w:rFonts w:ascii="Cambria Math" w:hAnsi="Cambria Math"/>
              </w:rPr>
              <m:t>Q</m:t>
            </m:r>
          </m:e>
          <m:sub>
            <m:r>
              <w:rPr>
                <w:rFonts w:ascii="Cambria Math" w:hAnsi="Cambria Math"/>
              </w:rPr>
              <m:t>m</m:t>
            </m:r>
          </m:sub>
        </m:sSub>
        <m:r>
          <w:rPr>
            <w:rFonts w:ascii="Cambria Math" w:hAnsi="Cambria Math" w:cs="Cambria Math"/>
          </w:rPr>
          <m:t>⋅</m:t>
        </m:r>
        <m:r>
          <w:rPr>
            <w:rFonts w:ascii="Cambria Math" w:hAnsi="Cambria Math"/>
          </w:rPr>
          <m:t>r</m:t>
        </m:r>
      </m:oMath>
      <w:r w:rsidRPr="00B916EC">
        <w:rPr>
          <w:lang w:eastAsia="zh-CN"/>
        </w:rPr>
        <w:t xml:space="preserve">, </w:t>
      </w:r>
      <w:r>
        <w:rPr>
          <w:lang w:eastAsia="zh-CN"/>
        </w:rPr>
        <w:t xml:space="preserve"> </w:t>
      </w:r>
      <w:r w:rsidRPr="00B916EC">
        <w:rPr>
          <w:rFonts w:hint="eastAsia"/>
          <w:lang w:eastAsia="zh-CN"/>
        </w:rPr>
        <w:t>the UE transmit</w:t>
      </w:r>
      <w:r>
        <w:rPr>
          <w:lang w:val="en-US" w:eastAsia="zh-CN"/>
        </w:rPr>
        <w:t>s</w:t>
      </w:r>
      <w:r w:rsidRPr="00B916EC">
        <w:rPr>
          <w:rFonts w:hint="eastAsia"/>
          <w:lang w:eastAsia="zh-CN"/>
        </w:rPr>
        <w:t xml:space="preserve"> the HARQ-ACK</w:t>
      </w:r>
      <w:r>
        <w:rPr>
          <w:lang w:val="en-US" w:eastAsia="zh-CN"/>
        </w:rPr>
        <w:t xml:space="preserve">, </w:t>
      </w:r>
      <w:r w:rsidRPr="00B916EC">
        <w:rPr>
          <w:rFonts w:hint="eastAsia"/>
          <w:lang w:eastAsia="zh-CN"/>
        </w:rPr>
        <w:t>SR</w:t>
      </w:r>
      <w:r>
        <w:rPr>
          <w:lang w:val="en-US" w:eastAsia="zh-CN"/>
        </w:rPr>
        <w:t>,</w:t>
      </w:r>
      <w:r w:rsidRPr="00B916EC">
        <w:rPr>
          <w:rFonts w:hint="eastAsia"/>
          <w:lang w:eastAsia="zh-CN"/>
        </w:rPr>
        <w:t xml:space="preserve"> and CSI </w:t>
      </w:r>
      <w:r>
        <w:rPr>
          <w:lang w:val="en-US" w:eastAsia="zh-CN"/>
        </w:rPr>
        <w:t xml:space="preserve">reports </w:t>
      </w:r>
      <w:r w:rsidRPr="00B916EC">
        <w:rPr>
          <w:rFonts w:hint="eastAsia"/>
          <w:lang w:eastAsia="zh-CN"/>
        </w:rPr>
        <w:t xml:space="preserve">bits </w:t>
      </w:r>
      <w:r>
        <w:rPr>
          <w:lang w:eastAsia="zh-CN"/>
        </w:rPr>
        <w:t>in a PUCCH over both the first and second interlace</w:t>
      </w:r>
      <w:r>
        <w:t>s</w:t>
      </w:r>
    </w:p>
    <w:p w14:paraId="62E29A90" w14:textId="4B1306DA" w:rsidR="004F4935" w:rsidRPr="00766039" w:rsidRDefault="004F4935">
      <w:pPr>
        <w:pStyle w:val="B1"/>
        <w:rPr>
          <w:lang w:val="en-US" w:eastAsia="zh-CN"/>
        </w:rPr>
      </w:pPr>
      <w:r>
        <w:rPr>
          <w:lang w:eastAsia="zh-CN"/>
        </w:rPr>
        <w:t>-</w:t>
      </w:r>
      <w:r>
        <w:rPr>
          <w:lang w:eastAsia="zh-CN"/>
        </w:rPr>
        <w:tab/>
      </w:r>
      <w:r w:rsidRPr="00B916EC">
        <w:rPr>
          <w:lang w:eastAsia="zh-CN"/>
        </w:rPr>
        <w:t>else</w:t>
      </w:r>
      <w:r w:rsidRPr="00B916EC">
        <w:rPr>
          <w:rFonts w:hint="eastAsia"/>
          <w:lang w:eastAsia="zh-CN"/>
        </w:rPr>
        <w:t xml:space="preserve">, </w:t>
      </w:r>
      <w:r>
        <w:rPr>
          <w:lang w:eastAsia="zh-CN"/>
        </w:rPr>
        <w:t xml:space="preserve">the procedure is same as the corresponding one when the UE is provided </w:t>
      </w:r>
      <w:r w:rsidRPr="00B916EC">
        <w:rPr>
          <w:i/>
        </w:rPr>
        <w:t>PUCCH-</w:t>
      </w:r>
      <w:r>
        <w:rPr>
          <w:i/>
        </w:rPr>
        <w:t>R</w:t>
      </w:r>
      <w:r w:rsidRPr="00B916EC">
        <w:rPr>
          <w:i/>
        </w:rPr>
        <w:t>esource</w:t>
      </w:r>
      <w:r>
        <w:rPr>
          <w:i/>
        </w:rPr>
        <w:t>S</w:t>
      </w:r>
      <w:r w:rsidRPr="00B916EC">
        <w:rPr>
          <w:i/>
        </w:rPr>
        <w:t>et</w:t>
      </w:r>
      <w:r>
        <w:rPr>
          <w:iCs/>
        </w:rPr>
        <w:t xml:space="preserve"> by replacing </w:t>
      </w:r>
      <m:oMath>
        <m:sSubSup>
          <m:sSubSupPr>
            <m:ctrlPr>
              <w:rPr>
                <w:rFonts w:ascii="Cambria Math" w:hAnsi="Cambria Math"/>
                <w:i/>
              </w:rPr>
            </m:ctrlPr>
          </m:sSubSupPr>
          <m:e>
            <m:r>
              <w:rPr>
                <w:rFonts w:ascii="Cambria Math" w:hAnsi="Cambria Math"/>
              </w:rPr>
              <m:t>M</m:t>
            </m:r>
          </m:e>
          <m:sub>
            <m:r>
              <m:rPr>
                <m:nor/>
              </m:rPr>
              <m:t>RB</m:t>
            </m:r>
            <m:ctrlPr>
              <w:rPr>
                <w:rFonts w:ascii="Cambria Math" w:hAnsi="Cambria Math"/>
              </w:rPr>
            </m:ctrlPr>
          </m:sub>
          <m:sup>
            <m:r>
              <m:rPr>
                <m:nor/>
              </m:rPr>
              <m:t>PUCCH</m:t>
            </m:r>
            <m:ctrlPr>
              <w:rPr>
                <w:rFonts w:ascii="Cambria Math" w:hAnsi="Cambria Math"/>
              </w:rPr>
            </m:ctrlPr>
          </m:sup>
        </m:sSubSup>
      </m:oMath>
      <w:r>
        <w:t xml:space="preserve"> with </w:t>
      </w:r>
      <m:oMath>
        <m:sSubSup>
          <m:sSubSupPr>
            <m:ctrlPr>
              <w:rPr>
                <w:rFonts w:ascii="Cambria Math" w:hAnsi="Cambria Math"/>
                <w:i/>
              </w:rPr>
            </m:ctrlPr>
          </m:sSubSupPr>
          <m:e>
            <m:r>
              <w:rPr>
                <w:rFonts w:ascii="Cambria Math" w:hAnsi="Cambria Math"/>
              </w:rPr>
              <m:t>M</m:t>
            </m:r>
          </m:e>
          <m:sub>
            <m:r>
              <m:rPr>
                <m:nor/>
              </m:rPr>
              <m:t>Interlace,0</m:t>
            </m:r>
            <m:ctrlPr>
              <w:rPr>
                <w:rFonts w:ascii="Cambria Math" w:hAnsi="Cambria Math"/>
              </w:rPr>
            </m:ctrlPr>
          </m:sub>
          <m:sup>
            <m:r>
              <m:rPr>
                <m:nor/>
              </m:rPr>
              <m:t>PUCCH</m:t>
            </m:r>
            <m:ctrlPr>
              <w:rPr>
                <w:rFonts w:ascii="Cambria Math" w:hAnsi="Cambria Math"/>
              </w:rPr>
            </m:ctrlPr>
          </m:sup>
        </m:sSubSup>
      </m:oMath>
      <w:r>
        <w:t xml:space="preserve">, or, if the UE is provided </w:t>
      </w:r>
      <w:r w:rsidRPr="00284693">
        <w:rPr>
          <w:i/>
        </w:rPr>
        <w:t>interlace1</w:t>
      </w:r>
      <w:r>
        <w:t xml:space="preserve">, by </w:t>
      </w:r>
      <m:oMath>
        <m:sSubSup>
          <m:sSubSupPr>
            <m:ctrlPr>
              <w:rPr>
                <w:rFonts w:ascii="Cambria Math" w:hAnsi="Cambria Math"/>
                <w:i/>
              </w:rPr>
            </m:ctrlPr>
          </m:sSubSupPr>
          <m:e>
            <m:r>
              <w:rPr>
                <w:rFonts w:ascii="Cambria Math" w:hAnsi="Cambria Math"/>
              </w:rPr>
              <m:t>M</m:t>
            </m:r>
          </m:e>
          <m:sub>
            <m:r>
              <m:rPr>
                <m:nor/>
              </m:rPr>
              <m:t>Interlace,0</m:t>
            </m:r>
            <m:ctrlPr>
              <w:rPr>
                <w:rFonts w:ascii="Cambria Math" w:hAnsi="Cambria Math"/>
              </w:rPr>
            </m:ctrlPr>
          </m:sub>
          <m:sup>
            <m:r>
              <m:rPr>
                <m:nor/>
              </m:rPr>
              <m:t>PUCCH</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M</m:t>
            </m:r>
          </m:e>
          <m:sub>
            <m:r>
              <m:rPr>
                <m:nor/>
              </m:rPr>
              <m:t>Interlace,1</m:t>
            </m:r>
            <m:ctrlPr>
              <w:rPr>
                <w:rFonts w:ascii="Cambria Math" w:hAnsi="Cambria Math"/>
              </w:rPr>
            </m:ctrlPr>
          </m:sub>
          <m:sup>
            <m:r>
              <m:rPr>
                <m:nor/>
              </m:rPr>
              <m:t>PUCCH</m:t>
            </m:r>
            <m:ctrlPr>
              <w:rPr>
                <w:rFonts w:ascii="Cambria Math" w:hAnsi="Cambria Math"/>
              </w:rPr>
            </m:ctrlPr>
          </m:sup>
        </m:sSubSup>
      </m:oMath>
      <w:r w:rsidR="003B1DCC">
        <w:rPr>
          <w:lang w:val="en-US"/>
        </w:rPr>
        <w:t>.</w:t>
      </w:r>
    </w:p>
    <w:p w14:paraId="4692DD9D" w14:textId="77777777" w:rsidR="00BC6BD6" w:rsidRDefault="00C638BD" w:rsidP="00BC6BD6">
      <w:pPr>
        <w:overflowPunct w:val="0"/>
        <w:autoSpaceDE w:val="0"/>
        <w:autoSpaceDN w:val="0"/>
        <w:adjustRightInd w:val="0"/>
        <w:textAlignment w:val="baseline"/>
        <w:rPr>
          <w:lang w:eastAsia="zh-CN"/>
        </w:rPr>
      </w:pPr>
      <w:r w:rsidRPr="00B916EC">
        <w:rPr>
          <w:lang w:eastAsia="zh-CN"/>
        </w:rPr>
        <w:t>I</w:t>
      </w:r>
      <w:r w:rsidRPr="00B916EC">
        <w:rPr>
          <w:rFonts w:hint="eastAsia"/>
          <w:lang w:eastAsia="zh-CN"/>
        </w:rPr>
        <w:t xml:space="preserve">f </w:t>
      </w:r>
      <w:r w:rsidR="00BC6BD6">
        <w:rPr>
          <w:lang w:val="en-US" w:eastAsia="zh-CN"/>
        </w:rPr>
        <w:t xml:space="preserve">a UE </w:t>
      </w:r>
      <w:r w:rsidR="00BC6BD6">
        <w:rPr>
          <w:lang w:eastAsia="zh-CN"/>
        </w:rPr>
        <w:t>has HARQ-ACK</w:t>
      </w:r>
      <w:r w:rsidR="009C7052">
        <w:rPr>
          <w:lang w:eastAsia="zh-CN"/>
        </w:rPr>
        <w:t xml:space="preserve">, </w:t>
      </w:r>
      <w:r w:rsidR="00BC6BD6">
        <w:rPr>
          <w:lang w:eastAsia="zh-CN"/>
        </w:rPr>
        <w:t xml:space="preserve">SR and sub-band CSI reports to transmit and the UE determines a PUCCH resource with PUCCH format 3 or PUCCH format 4, where </w:t>
      </w:r>
    </w:p>
    <w:p w14:paraId="0B4CB2A5" w14:textId="7ED83D61" w:rsidR="00BC6BD6" w:rsidRDefault="00BC6BD6" w:rsidP="00BC6BD6">
      <w:pPr>
        <w:pStyle w:val="B3"/>
        <w:ind w:left="540"/>
        <w:rPr>
          <w:lang w:val="en-US" w:eastAsia="zh-CN"/>
        </w:rPr>
      </w:pPr>
      <w:r>
        <w:t>-</w:t>
      </w:r>
      <w:r>
        <w:tab/>
      </w:r>
      <w:r>
        <w:rPr>
          <w:lang w:eastAsia="zh-CN"/>
        </w:rPr>
        <w:t xml:space="preserve">the UE determines the PUCCH resource </w:t>
      </w:r>
      <w:r>
        <w:t xml:space="preserve">using </w:t>
      </w:r>
      <w:r>
        <w:rPr>
          <w:lang w:eastAsia="zh-CN"/>
        </w:rPr>
        <w:t xml:space="preserve">the PUCCH resource indicator field [5, TS 38.212] in a last </w:t>
      </w:r>
      <w:r w:rsidR="004F4935">
        <w:rPr>
          <w:lang w:eastAsia="zh-CN"/>
        </w:rPr>
        <w:t xml:space="preserve">of a number of </w:t>
      </w:r>
      <w:r>
        <w:rPr>
          <w:lang w:eastAsia="zh-CN"/>
        </w:rPr>
        <w:t>DCI format</w:t>
      </w:r>
      <w:r w:rsidR="004F4935">
        <w:rPr>
          <w:lang w:eastAsia="zh-CN"/>
        </w:rPr>
        <w:t>s</w:t>
      </w:r>
      <w:r w:rsidR="00B75E19">
        <w:rPr>
          <w:rFonts w:hint="eastAsia"/>
          <w:lang w:eastAsia="zh-CN"/>
        </w:rPr>
        <w:t>, excluding the SPS activation DCI,</w:t>
      </w:r>
      <w:r>
        <w:t xml:space="preserve"> </w:t>
      </w:r>
      <w:r w:rsidR="004F4935">
        <w:t xml:space="preserve">with </w:t>
      </w:r>
      <w:r>
        <w:t>a value of a PDSCH-to-HARQ_feedback timing indicator field indicating a same slot for the PUCCH transmission,</w:t>
      </w:r>
      <w:r>
        <w:rPr>
          <w:lang w:val="en-US" w:eastAsia="zh-CN"/>
        </w:rPr>
        <w:t xml:space="preserve"> </w:t>
      </w:r>
      <w:r w:rsidR="00893DC6" w:rsidRPr="00B27E56">
        <w:rPr>
          <w:lang w:eastAsia="x-none"/>
        </w:rPr>
        <w:t xml:space="preserve">or by </w:t>
      </w:r>
      <w:r w:rsidR="00893DC6" w:rsidRPr="00B27E56">
        <w:rPr>
          <w:lang w:val="en-US" w:eastAsia="x-none"/>
        </w:rPr>
        <w:t>a value provided by</w:t>
      </w:r>
      <w:r w:rsidR="00893DC6" w:rsidRPr="00B27E56">
        <w:rPr>
          <w:lang w:eastAsia="x-none"/>
        </w:rPr>
        <w:t xml:space="preserve"> </w:t>
      </w:r>
      <w:r w:rsidR="00893DC6" w:rsidRPr="00B27E56">
        <w:rPr>
          <w:i/>
          <w:iCs/>
          <w:lang w:eastAsia="x-none"/>
        </w:rPr>
        <w:t xml:space="preserve">dl-DataToUL-ACK </w:t>
      </w:r>
      <w:r w:rsidR="00893DC6" w:rsidRPr="00B27E56">
        <w:rPr>
          <w:lang w:val="en-US" w:eastAsia="x-none"/>
        </w:rPr>
        <w:t xml:space="preserve">or </w:t>
      </w:r>
      <w:r w:rsidR="00893DC6" w:rsidRPr="00B27E56">
        <w:rPr>
          <w:i/>
          <w:iCs/>
          <w:lang w:eastAsia="x-none"/>
        </w:rPr>
        <w:t>dl-DataToUL-ACK</w:t>
      </w:r>
      <w:r w:rsidR="00893DC6" w:rsidRPr="00B27E56">
        <w:rPr>
          <w:i/>
          <w:iCs/>
          <w:lang w:val="en-US" w:eastAsia="x-none"/>
        </w:rPr>
        <w:t>-r16</w:t>
      </w:r>
      <w:r w:rsidR="00893DC6" w:rsidRPr="00B27E56">
        <w:rPr>
          <w:lang w:val="en-US" w:eastAsia="x-none"/>
        </w:rPr>
        <w:t xml:space="preserve"> or </w:t>
      </w:r>
      <w:r w:rsidR="00030B2A" w:rsidRPr="00111FF6">
        <w:rPr>
          <w:i/>
        </w:rPr>
        <w:t>dl-DataToUL-ACK</w:t>
      </w:r>
      <w:r w:rsidR="00030B2A" w:rsidRPr="00111FF6">
        <w:rPr>
          <w:i/>
          <w:lang w:val="en-US"/>
        </w:rPr>
        <w:t>-DCI-1-2</w:t>
      </w:r>
      <w:r w:rsidR="00893DC6" w:rsidRPr="00B27E56">
        <w:rPr>
          <w:rFonts w:hint="eastAsia"/>
          <w:lang w:val="en-US" w:eastAsia="zh-CN"/>
        </w:rPr>
        <w:t xml:space="preserve"> </w:t>
      </w:r>
      <w:r w:rsidR="00561433">
        <w:rPr>
          <w:rFonts w:eastAsia="Malgun Gothic"/>
          <w:lang w:val="en-US" w:eastAsia="zh-CN"/>
        </w:rPr>
        <w:t xml:space="preserve">or </w:t>
      </w:r>
      <w:r w:rsidR="00561433">
        <w:rPr>
          <w:i/>
          <w:lang w:val="en-US"/>
        </w:rPr>
        <w:t>dl-DataToUL-ACK-r17</w:t>
      </w:r>
      <w:r w:rsidR="00561433">
        <w:rPr>
          <w:rFonts w:eastAsia="Malgun Gothic"/>
          <w:lang w:val="en-US" w:eastAsia="zh-CN"/>
        </w:rPr>
        <w:t xml:space="preserve"> </w:t>
      </w:r>
      <w:r w:rsidR="00004767" w:rsidRPr="00F31F88">
        <w:rPr>
          <w:lang w:val="en-US"/>
        </w:rPr>
        <w:t xml:space="preserve">or </w:t>
      </w:r>
      <w:r w:rsidR="00004767" w:rsidRPr="006A74E7">
        <w:rPr>
          <w:i/>
          <w:lang w:val="en-US"/>
        </w:rPr>
        <w:t>dl-DataToUL-ACK-v1700</w:t>
      </w:r>
      <w:r w:rsidR="00004767" w:rsidRPr="00004767">
        <w:rPr>
          <w:iCs/>
          <w:lang w:val="en-US"/>
        </w:rPr>
        <w:t xml:space="preserve"> </w:t>
      </w:r>
      <w:r w:rsidR="00561433">
        <w:rPr>
          <w:rFonts w:eastAsia="Malgun Gothic"/>
          <w:lang w:val="en-US" w:eastAsia="zh-CN"/>
        </w:rPr>
        <w:t xml:space="preserve">or </w:t>
      </w:r>
      <w:r w:rsidR="00561433">
        <w:rPr>
          <w:rFonts w:eastAsia="Malgun Gothic"/>
          <w:i/>
        </w:rPr>
        <w:t>dl-DataToUL-ACK</w:t>
      </w:r>
      <w:r w:rsidR="00561433">
        <w:rPr>
          <w:rFonts w:eastAsia="Malgun Gothic"/>
          <w:i/>
          <w:lang w:val="en-US"/>
        </w:rPr>
        <w:t>-DCI-1-2-r17</w:t>
      </w:r>
      <w:r w:rsidR="00561433">
        <w:rPr>
          <w:rFonts w:eastAsia="Malgun Gothic" w:hint="eastAsia"/>
          <w:lang w:val="en-US" w:eastAsia="zh-CN"/>
        </w:rPr>
        <w:t xml:space="preserve"> </w:t>
      </w:r>
      <w:r w:rsidR="00893DC6" w:rsidRPr="00B27E56">
        <w:rPr>
          <w:lang w:eastAsia="x-none"/>
        </w:rPr>
        <w:t xml:space="preserve">if the PDSCH-to-HARQ_feedback timing indicator field is not present in </w:t>
      </w:r>
      <w:r w:rsidR="00893DC6" w:rsidRPr="00B27E56">
        <w:rPr>
          <w:lang w:val="en-US" w:eastAsia="x-none"/>
        </w:rPr>
        <w:t>the last</w:t>
      </w:r>
      <w:r w:rsidR="00893DC6" w:rsidRPr="00B27E56">
        <w:rPr>
          <w:lang w:eastAsia="x-none"/>
        </w:rPr>
        <w:t xml:space="preserve"> DCI format</w:t>
      </w:r>
      <w:r w:rsidR="00893DC6" w:rsidRPr="00B27E56">
        <w:rPr>
          <w:lang w:val="en-US" w:eastAsia="x-none"/>
        </w:rPr>
        <w:t>,</w:t>
      </w:r>
      <w:r w:rsidR="00893DC6">
        <w:rPr>
          <w:lang w:val="en-US" w:eastAsia="x-none"/>
        </w:rPr>
        <w:t xml:space="preserve"> </w:t>
      </w:r>
      <w:r>
        <w:rPr>
          <w:lang w:val="en-US" w:eastAsia="zh-CN"/>
        </w:rPr>
        <w:t xml:space="preserve">from a PUCCH resource set provided to the UE for HARQ-ACK transmission, and </w:t>
      </w:r>
    </w:p>
    <w:p w14:paraId="186E18EB" w14:textId="3D4ADD36" w:rsidR="00BC6BD6" w:rsidRPr="00577A1B" w:rsidRDefault="00BC6BD6" w:rsidP="00BC6BD6">
      <w:pPr>
        <w:pStyle w:val="B3"/>
        <w:ind w:left="540"/>
      </w:pPr>
      <w:r>
        <w:t>-</w:t>
      </w:r>
      <w:r>
        <w:tab/>
      </w:r>
      <w:r>
        <w:rPr>
          <w:lang w:val="en-US" w:eastAsia="zh-CN"/>
        </w:rPr>
        <w:t xml:space="preserve">the UE determines the PUCCH resource set as </w:t>
      </w:r>
      <w:r>
        <w:t xml:space="preserve">described </w:t>
      </w:r>
      <w:r w:rsidR="006F5F9E">
        <w:t>in clause</w:t>
      </w:r>
      <w:r>
        <w:t xml:space="preserve"> 9.2.1 and </w:t>
      </w:r>
      <w:r w:rsidR="006F5F9E">
        <w:t>clause</w:t>
      </w:r>
      <w:r>
        <w:t xml:space="preserve"> 9.2.3 for </w:t>
      </w:r>
      <m:oMath>
        <m:sSub>
          <m:sSubPr>
            <m:ctrlPr>
              <w:rPr>
                <w:rFonts w:ascii="Cambria Math" w:hAnsi="Cambria Math"/>
                <w:i/>
              </w:rPr>
            </m:ctrlPr>
          </m:sSubPr>
          <m:e>
            <m:r>
              <w:rPr>
                <w:rFonts w:ascii="Cambria Math" w:hAnsi="Cambria Math"/>
              </w:rPr>
              <m:t>O</m:t>
            </m:r>
          </m:e>
          <m:sub>
            <m:r>
              <m:rPr>
                <m:nor/>
              </m:rPr>
              <m:t>UCI</m:t>
            </m:r>
            <m:ctrlPr>
              <w:rPr>
                <w:rFonts w:ascii="Cambria Math" w:hAnsi="Cambria Math"/>
              </w:rPr>
            </m:ctrlPr>
          </m:sub>
        </m:sSub>
      </m:oMath>
      <w:r>
        <w:t xml:space="preserve"> UCI bits</w:t>
      </w:r>
    </w:p>
    <w:p w14:paraId="52BEB2F5" w14:textId="77777777" w:rsidR="00BC6BD6" w:rsidRDefault="00BC6BD6" w:rsidP="00BC6BD6">
      <w:pPr>
        <w:overflowPunct w:val="0"/>
        <w:autoSpaceDE w:val="0"/>
        <w:autoSpaceDN w:val="0"/>
        <w:adjustRightInd w:val="0"/>
        <w:textAlignment w:val="baseline"/>
        <w:rPr>
          <w:lang w:eastAsia="zh-CN"/>
        </w:rPr>
      </w:pPr>
      <w:r>
        <w:rPr>
          <w:lang w:eastAsia="zh-CN"/>
        </w:rPr>
        <w:t>and</w:t>
      </w:r>
    </w:p>
    <w:p w14:paraId="78E434B2" w14:textId="507F7DE4" w:rsidR="00385581" w:rsidRPr="00B916EC" w:rsidRDefault="00385581" w:rsidP="00385581">
      <w:pPr>
        <w:pStyle w:val="B1"/>
        <w:rPr>
          <w:lang w:eastAsia="zh-CN"/>
        </w:rPr>
      </w:pPr>
      <w:r>
        <w:rPr>
          <w:lang w:eastAsia="zh-CN"/>
        </w:rPr>
        <w:lastRenderedPageBreak/>
        <w:t>-</w:t>
      </w:r>
      <w:r>
        <w:rPr>
          <w:lang w:eastAsia="zh-CN"/>
        </w:rPr>
        <w:tab/>
      </w:r>
      <w:r w:rsidRPr="00B916EC">
        <w:rPr>
          <w:rFonts w:hint="eastAsia"/>
          <w:lang w:eastAsia="zh-CN"/>
        </w:rPr>
        <w:t xml:space="preserve">if </w:t>
      </w:r>
      <w:r>
        <w:rPr>
          <w:noProof/>
          <w:position w:val="-12"/>
          <w:lang w:val="en-US"/>
        </w:rPr>
        <w:drawing>
          <wp:inline distT="0" distB="0" distL="0" distR="0" wp14:anchorId="42687934" wp14:editId="3CFEA040">
            <wp:extent cx="3200400" cy="22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2"/>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3200400" cy="228600"/>
                    </a:xfrm>
                    <a:prstGeom prst="rect">
                      <a:avLst/>
                    </a:prstGeom>
                    <a:noFill/>
                    <a:ln>
                      <a:noFill/>
                    </a:ln>
                  </pic:spPr>
                </pic:pic>
              </a:graphicData>
            </a:graphic>
          </wp:inline>
        </w:drawing>
      </w:r>
      <w:r w:rsidRPr="00B916EC">
        <w:t xml:space="preserve">, </w:t>
      </w:r>
      <w:r w:rsidRPr="00B916EC">
        <w:rPr>
          <w:rFonts w:hint="eastAsia"/>
          <w:lang w:eastAsia="zh-CN"/>
        </w:rPr>
        <w:t>the UE transmit</w:t>
      </w:r>
      <w:r>
        <w:rPr>
          <w:lang w:val="en-US" w:eastAsia="zh-CN"/>
        </w:rPr>
        <w:t>s</w:t>
      </w:r>
      <w:r w:rsidRPr="00B916EC">
        <w:rPr>
          <w:rFonts w:hint="eastAsia"/>
          <w:lang w:eastAsia="zh-CN"/>
        </w:rPr>
        <w:t xml:space="preserve"> the HARQ-ACK</w:t>
      </w:r>
      <w:r>
        <w:rPr>
          <w:lang w:val="en-US" w:eastAsia="zh-CN"/>
        </w:rPr>
        <w:t xml:space="preserve">, </w:t>
      </w:r>
      <w:r w:rsidRPr="00B916EC">
        <w:rPr>
          <w:rFonts w:hint="eastAsia"/>
          <w:lang w:eastAsia="zh-CN"/>
        </w:rPr>
        <w:t xml:space="preserve">SR and </w:t>
      </w:r>
      <w:r w:rsidRPr="00B916EC">
        <w:t xml:space="preserve">the </w:t>
      </w:r>
      <w:r w:rsidR="00ED3701">
        <w:rPr>
          <w:noProof/>
          <w:position w:val="-10"/>
        </w:rPr>
        <w:drawing>
          <wp:inline distT="0" distB="0" distL="0" distR="0" wp14:anchorId="0D9E4CA9" wp14:editId="410DFBBE">
            <wp:extent cx="314325" cy="238125"/>
            <wp:effectExtent l="0" t="0" r="0" b="0"/>
            <wp:docPr id="167"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14325" cy="238125"/>
                    </a:xfrm>
                    <a:prstGeom prst="rect">
                      <a:avLst/>
                    </a:prstGeom>
                    <a:noFill/>
                    <a:ln>
                      <a:noFill/>
                    </a:ln>
                  </pic:spPr>
                </pic:pic>
              </a:graphicData>
            </a:graphic>
          </wp:inline>
        </w:drawing>
      </w:r>
      <w:r w:rsidRPr="00B916EC">
        <w:t xml:space="preserve"> </w:t>
      </w:r>
      <w:r w:rsidRPr="00B916EC">
        <w:rPr>
          <w:rFonts w:hint="eastAsia"/>
          <w:lang w:eastAsia="zh-CN"/>
        </w:rPr>
        <w:t xml:space="preserve">CSI </w:t>
      </w:r>
      <w:r w:rsidRPr="00B916EC">
        <w:rPr>
          <w:lang w:eastAsia="zh-CN"/>
        </w:rPr>
        <w:t>report bits</w:t>
      </w:r>
      <w:r w:rsidRPr="00B916EC">
        <w:rPr>
          <w:rFonts w:hint="eastAsia"/>
          <w:lang w:eastAsia="zh-CN"/>
        </w:rPr>
        <w:t xml:space="preserve"> </w:t>
      </w:r>
      <w:r>
        <w:t xml:space="preserve">by selecting the minimum number </w:t>
      </w:r>
      <w:r w:rsidR="00ED3701">
        <w:rPr>
          <w:noProof/>
          <w:position w:val="-12"/>
        </w:rPr>
        <w:drawing>
          <wp:inline distT="0" distB="0" distL="0" distR="0" wp14:anchorId="0CEFAB57" wp14:editId="374960DD">
            <wp:extent cx="466725" cy="238125"/>
            <wp:effectExtent l="0" t="0" r="0" b="0"/>
            <wp:docPr id="168"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66725" cy="238125"/>
                    </a:xfrm>
                    <a:prstGeom prst="rect">
                      <a:avLst/>
                    </a:prstGeom>
                    <a:noFill/>
                    <a:ln>
                      <a:noFill/>
                    </a:ln>
                  </pic:spPr>
                </pic:pic>
              </a:graphicData>
            </a:graphic>
          </wp:inline>
        </w:drawing>
      </w:r>
      <w:r>
        <w:t xml:space="preserve"> of PRBs from the </w:t>
      </w:r>
      <w:r w:rsidR="00ED3701">
        <w:rPr>
          <w:noProof/>
          <w:position w:val="-10"/>
        </w:rPr>
        <w:drawing>
          <wp:inline distT="0" distB="0" distL="0" distR="0" wp14:anchorId="618CE811" wp14:editId="71DD5254">
            <wp:extent cx="466725" cy="238125"/>
            <wp:effectExtent l="0" t="0" r="0" b="0"/>
            <wp:docPr id="169"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66725" cy="238125"/>
                    </a:xfrm>
                    <a:prstGeom prst="rect">
                      <a:avLst/>
                    </a:prstGeom>
                    <a:noFill/>
                    <a:ln>
                      <a:noFill/>
                    </a:ln>
                  </pic:spPr>
                </pic:pic>
              </a:graphicData>
            </a:graphic>
          </wp:inline>
        </w:drawing>
      </w:r>
      <w:r>
        <w:t xml:space="preserve"> PRBs satisfying </w:t>
      </w:r>
      <w:r w:rsidR="00ED3701">
        <w:rPr>
          <w:noProof/>
          <w:position w:val="-12"/>
        </w:rPr>
        <w:drawing>
          <wp:inline distT="0" distB="0" distL="0" distR="0" wp14:anchorId="75AFCE9B" wp14:editId="5C2C78C4">
            <wp:extent cx="3095625" cy="238125"/>
            <wp:effectExtent l="0" t="0" r="0" b="0"/>
            <wp:docPr id="170"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095625" cy="238125"/>
                    </a:xfrm>
                    <a:prstGeom prst="rect">
                      <a:avLst/>
                    </a:prstGeom>
                    <a:noFill/>
                    <a:ln>
                      <a:noFill/>
                    </a:ln>
                  </pic:spPr>
                </pic:pic>
              </a:graphicData>
            </a:graphic>
          </wp:inline>
        </w:drawing>
      </w:r>
      <w:r>
        <w:t xml:space="preserve"> as described </w:t>
      </w:r>
      <w:r w:rsidR="006F5F9E">
        <w:t>in clause</w:t>
      </w:r>
      <w:r>
        <w:t>s</w:t>
      </w:r>
      <w:r>
        <w:rPr>
          <w:lang w:val="en-US"/>
        </w:rPr>
        <w:t xml:space="preserve"> 9.2.3</w:t>
      </w:r>
      <w:r>
        <w:t xml:space="preserve"> and</w:t>
      </w:r>
      <w:r>
        <w:rPr>
          <w:lang w:val="en-US"/>
        </w:rPr>
        <w:t xml:space="preserve"> 9.2.5.1</w:t>
      </w:r>
    </w:p>
    <w:p w14:paraId="65C68CBE" w14:textId="77777777" w:rsidR="00385581" w:rsidRPr="00B916EC" w:rsidRDefault="00385581" w:rsidP="00385581">
      <w:pPr>
        <w:pStyle w:val="B1"/>
        <w:rPr>
          <w:lang w:eastAsia="zh-CN"/>
        </w:rPr>
      </w:pPr>
      <w:r>
        <w:rPr>
          <w:lang w:eastAsia="zh-CN"/>
        </w:rPr>
        <w:t>-</w:t>
      </w:r>
      <w:r>
        <w:rPr>
          <w:lang w:eastAsia="zh-CN"/>
        </w:rPr>
        <w:tab/>
      </w:r>
      <w:r w:rsidRPr="00B916EC">
        <w:rPr>
          <w:lang w:eastAsia="zh-CN"/>
        </w:rPr>
        <w:t>else</w:t>
      </w:r>
      <w:r w:rsidRPr="00B916EC">
        <w:rPr>
          <w:rFonts w:hint="eastAsia"/>
          <w:lang w:eastAsia="zh-CN"/>
        </w:rPr>
        <w:t xml:space="preserve">, </w:t>
      </w:r>
    </w:p>
    <w:p w14:paraId="0D124D70" w14:textId="4402FC06" w:rsidR="00385581" w:rsidRPr="00B916EC" w:rsidRDefault="00385581" w:rsidP="00385581">
      <w:pPr>
        <w:pStyle w:val="B2"/>
        <w:rPr>
          <w:lang w:eastAsia="zh-CN"/>
        </w:rPr>
      </w:pPr>
      <w:r>
        <w:rPr>
          <w:lang w:eastAsia="zh-CN"/>
        </w:rPr>
        <w:t>-</w:t>
      </w:r>
      <w:r>
        <w:rPr>
          <w:lang w:eastAsia="zh-CN"/>
        </w:rPr>
        <w:tab/>
      </w:r>
      <w:r w:rsidRPr="00B916EC">
        <w:rPr>
          <w:lang w:eastAsia="zh-CN"/>
        </w:rPr>
        <w:t xml:space="preserve">if for </w:t>
      </w:r>
      <w:r w:rsidR="00ED3701">
        <w:rPr>
          <w:noProof/>
          <w:position w:val="-12"/>
        </w:rPr>
        <w:drawing>
          <wp:inline distT="0" distB="0" distL="0" distR="0" wp14:anchorId="749608DE" wp14:editId="6D9D3B90">
            <wp:extent cx="676275" cy="238125"/>
            <wp:effectExtent l="0" t="0" r="0" b="0"/>
            <wp:docPr id="171"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76275" cy="238125"/>
                    </a:xfrm>
                    <a:prstGeom prst="rect">
                      <a:avLst/>
                    </a:prstGeom>
                    <a:noFill/>
                    <a:ln>
                      <a:noFill/>
                    </a:ln>
                  </pic:spPr>
                </pic:pic>
              </a:graphicData>
            </a:graphic>
          </wp:inline>
        </w:drawing>
      </w:r>
      <w:r w:rsidRPr="00B916EC">
        <w:rPr>
          <w:rFonts w:hint="eastAsia"/>
          <w:lang w:eastAsia="zh-CN"/>
        </w:rPr>
        <w:t xml:space="preserve"> </w:t>
      </w:r>
      <w:r>
        <w:rPr>
          <w:lang w:val="en-US" w:eastAsia="zh-CN"/>
        </w:rPr>
        <w:t xml:space="preserve">Part 2 </w:t>
      </w:r>
      <w:r w:rsidRPr="00B916EC">
        <w:rPr>
          <w:rFonts w:hint="eastAsia"/>
          <w:lang w:eastAsia="zh-CN"/>
        </w:rPr>
        <w:t>CSI</w:t>
      </w:r>
      <w:r w:rsidRPr="00B916EC">
        <w:rPr>
          <w:lang w:eastAsia="zh-CN"/>
        </w:rPr>
        <w:t xml:space="preserve"> </w:t>
      </w:r>
      <w:r w:rsidRPr="00B916EC">
        <w:rPr>
          <w:rFonts w:hint="eastAsia"/>
          <w:lang w:eastAsia="zh-CN"/>
        </w:rPr>
        <w:t>report</w:t>
      </w:r>
      <w:r>
        <w:rPr>
          <w:lang w:eastAsia="zh-CN"/>
        </w:rPr>
        <w:t xml:space="preserve"> priority </w:t>
      </w:r>
      <w:r>
        <w:rPr>
          <w:lang w:val="en-US" w:eastAsia="zh-CN"/>
        </w:rPr>
        <w:t>value</w:t>
      </w:r>
      <w:r w:rsidRPr="00B916EC">
        <w:rPr>
          <w:rFonts w:hint="eastAsia"/>
          <w:lang w:eastAsia="zh-CN"/>
        </w:rPr>
        <w:t>(s)</w:t>
      </w:r>
      <w:r w:rsidRPr="00B916EC">
        <w:rPr>
          <w:lang w:eastAsia="zh-CN"/>
        </w:rPr>
        <w:t>, it is</w:t>
      </w:r>
    </w:p>
    <w:p w14:paraId="12317132" w14:textId="092CA179" w:rsidR="00385581" w:rsidRPr="00B916EC" w:rsidRDefault="00ED3701" w:rsidP="00385581">
      <w:pPr>
        <w:pStyle w:val="B2"/>
        <w:ind w:firstLine="0"/>
        <w:rPr>
          <w:lang w:eastAsia="zh-CN"/>
        </w:rPr>
      </w:pPr>
      <w:r>
        <w:rPr>
          <w:noProof/>
          <w:position w:val="-34"/>
        </w:rPr>
        <w:drawing>
          <wp:inline distT="0" distB="0" distL="0" distR="0" wp14:anchorId="3ADF1087" wp14:editId="7C55F889">
            <wp:extent cx="5772150" cy="466725"/>
            <wp:effectExtent l="0" t="0" r="0" b="0"/>
            <wp:docPr id="172"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72150" cy="466725"/>
                    </a:xfrm>
                    <a:prstGeom prst="rect">
                      <a:avLst/>
                    </a:prstGeom>
                    <a:noFill/>
                    <a:ln>
                      <a:noFill/>
                    </a:ln>
                  </pic:spPr>
                </pic:pic>
              </a:graphicData>
            </a:graphic>
          </wp:inline>
        </w:drawing>
      </w:r>
      <w:r w:rsidR="00385581" w:rsidRPr="00B916EC">
        <w:rPr>
          <w:rFonts w:hint="eastAsia"/>
          <w:lang w:eastAsia="zh-CN"/>
        </w:rPr>
        <w:t xml:space="preserve"> and </w:t>
      </w:r>
    </w:p>
    <w:p w14:paraId="0DD044CA" w14:textId="02B52AE9" w:rsidR="00385581" w:rsidRPr="00B916EC" w:rsidRDefault="00ED3701" w:rsidP="00385581">
      <w:pPr>
        <w:pStyle w:val="B2"/>
        <w:ind w:firstLine="0"/>
        <w:rPr>
          <w:lang w:eastAsia="zh-CN"/>
        </w:rPr>
      </w:pPr>
      <w:r>
        <w:rPr>
          <w:noProof/>
          <w:position w:val="-34"/>
        </w:rPr>
        <w:drawing>
          <wp:inline distT="0" distB="0" distL="0" distR="0" wp14:anchorId="1A89E9D4" wp14:editId="7BB25008">
            <wp:extent cx="5648325" cy="466725"/>
            <wp:effectExtent l="0" t="0" r="0" b="0"/>
            <wp:docPr id="173"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648325" cy="466725"/>
                    </a:xfrm>
                    <a:prstGeom prst="rect">
                      <a:avLst/>
                    </a:prstGeom>
                    <a:noFill/>
                    <a:ln>
                      <a:noFill/>
                    </a:ln>
                  </pic:spPr>
                </pic:pic>
              </a:graphicData>
            </a:graphic>
          </wp:inline>
        </w:drawing>
      </w:r>
      <w:r w:rsidR="00385581" w:rsidRPr="00B916EC">
        <w:rPr>
          <w:rFonts w:hint="eastAsia"/>
          <w:lang w:eastAsia="zh-CN"/>
        </w:rPr>
        <w:t xml:space="preserve">, </w:t>
      </w:r>
    </w:p>
    <w:p w14:paraId="09EBA0A6" w14:textId="18269294" w:rsidR="00385581" w:rsidRPr="0009732E" w:rsidRDefault="00385581" w:rsidP="00385581">
      <w:pPr>
        <w:pStyle w:val="B2"/>
        <w:ind w:firstLine="0"/>
        <w:rPr>
          <w:lang w:val="en-US" w:eastAsia="zh-CN"/>
        </w:rPr>
      </w:pPr>
      <w:r w:rsidRPr="00B916EC">
        <w:rPr>
          <w:lang w:eastAsia="zh-CN"/>
        </w:rPr>
        <w:t>the UE selects</w:t>
      </w:r>
      <w:r>
        <w:rPr>
          <w:lang w:val="en-US" w:eastAsia="zh-CN"/>
        </w:rPr>
        <w:t xml:space="preserve"> the first</w:t>
      </w:r>
      <w:r w:rsidRPr="00B916EC">
        <w:rPr>
          <w:lang w:eastAsia="zh-CN"/>
        </w:rPr>
        <w:t xml:space="preserve"> </w:t>
      </w:r>
      <w:r w:rsidR="00ED3701">
        <w:rPr>
          <w:noProof/>
          <w:position w:val="-12"/>
        </w:rPr>
        <w:drawing>
          <wp:inline distT="0" distB="0" distL="0" distR="0" wp14:anchorId="37DC3B3D" wp14:editId="03D832EE">
            <wp:extent cx="466725" cy="238125"/>
            <wp:effectExtent l="0" t="0" r="0" b="0"/>
            <wp:docPr id="174"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66725" cy="238125"/>
                    </a:xfrm>
                    <a:prstGeom prst="rect">
                      <a:avLst/>
                    </a:prstGeom>
                    <a:noFill/>
                    <a:ln>
                      <a:noFill/>
                    </a:ln>
                  </pic:spPr>
                </pic:pic>
              </a:graphicData>
            </a:graphic>
          </wp:inline>
        </w:drawing>
      </w:r>
      <w:r w:rsidRPr="00B916EC">
        <w:rPr>
          <w:rFonts w:hint="eastAsia"/>
          <w:lang w:eastAsia="zh-CN"/>
        </w:rPr>
        <w:t xml:space="preserve"> </w:t>
      </w:r>
      <w:r>
        <w:rPr>
          <w:lang w:val="en-US" w:eastAsia="zh-CN"/>
        </w:rPr>
        <w:t xml:space="preserve">Part 2 </w:t>
      </w:r>
      <w:r w:rsidRPr="00B916EC">
        <w:rPr>
          <w:rFonts w:hint="eastAsia"/>
          <w:lang w:eastAsia="zh-CN"/>
        </w:rPr>
        <w:t>CSI</w:t>
      </w:r>
      <w:r w:rsidRPr="00B916EC">
        <w:rPr>
          <w:lang w:eastAsia="zh-CN"/>
        </w:rPr>
        <w:t xml:space="preserve"> </w:t>
      </w:r>
      <w:r w:rsidRPr="00B916EC">
        <w:rPr>
          <w:rFonts w:hint="eastAsia"/>
          <w:lang w:eastAsia="zh-CN"/>
        </w:rPr>
        <w:t>report</w:t>
      </w:r>
      <w:r>
        <w:rPr>
          <w:lang w:val="en-US" w:eastAsia="zh-CN"/>
        </w:rPr>
        <w:t>s,</w:t>
      </w:r>
      <w:r>
        <w:rPr>
          <w:lang w:eastAsia="zh-CN"/>
        </w:rPr>
        <w:t xml:space="preserve"> </w:t>
      </w:r>
      <w:r w:rsidRPr="00B916EC">
        <w:rPr>
          <w:rFonts w:hint="eastAsia"/>
          <w:lang w:eastAsia="zh-CN"/>
        </w:rPr>
        <w:t xml:space="preserve">according to </w:t>
      </w:r>
      <w:r>
        <w:rPr>
          <w:lang w:val="en-US" w:eastAsia="zh-CN"/>
        </w:rPr>
        <w:t xml:space="preserve">respective </w:t>
      </w:r>
      <w:r>
        <w:rPr>
          <w:lang w:eastAsia="zh-CN"/>
        </w:rPr>
        <w:t xml:space="preserve">priority </w:t>
      </w:r>
      <w:r>
        <w:rPr>
          <w:lang w:val="en-US" w:eastAsia="zh-CN"/>
        </w:rPr>
        <w:t>value</w:t>
      </w:r>
      <w:r w:rsidRPr="00B916EC">
        <w:rPr>
          <w:rFonts w:hint="eastAsia"/>
          <w:lang w:eastAsia="zh-CN"/>
        </w:rPr>
        <w:t>(s)</w:t>
      </w:r>
      <w:r w:rsidRPr="00B916EC">
        <w:rPr>
          <w:lang w:eastAsia="zh-CN"/>
        </w:rPr>
        <w:t xml:space="preserve"> </w:t>
      </w:r>
      <w:r w:rsidRPr="00B916EC">
        <w:t>[6, TS 38.214]</w:t>
      </w:r>
      <w:r w:rsidRPr="00B916EC">
        <w:rPr>
          <w:lang w:eastAsia="zh-CN"/>
        </w:rPr>
        <w:t xml:space="preserve">, </w:t>
      </w:r>
      <w:r w:rsidRPr="00B916EC">
        <w:rPr>
          <w:rFonts w:hint="eastAsia"/>
          <w:lang w:eastAsia="zh-CN"/>
        </w:rPr>
        <w:t xml:space="preserve">for transmission together with </w:t>
      </w:r>
      <w:r w:rsidRPr="00B916EC">
        <w:rPr>
          <w:lang w:eastAsia="zh-CN"/>
        </w:rPr>
        <w:t xml:space="preserve">the </w:t>
      </w:r>
      <w:r w:rsidRPr="00B916EC">
        <w:rPr>
          <w:rFonts w:hint="eastAsia"/>
          <w:lang w:eastAsia="zh-CN"/>
        </w:rPr>
        <w:t>HARQ-ACK</w:t>
      </w:r>
      <w:r>
        <w:rPr>
          <w:lang w:val="en-US" w:eastAsia="zh-CN"/>
        </w:rPr>
        <w:t xml:space="preserve">, </w:t>
      </w:r>
      <w:r w:rsidRPr="00B916EC">
        <w:rPr>
          <w:rFonts w:hint="eastAsia"/>
          <w:lang w:eastAsia="zh-CN"/>
        </w:rPr>
        <w:t xml:space="preserve">SR </w:t>
      </w:r>
      <w:r w:rsidRPr="00B916EC">
        <w:rPr>
          <w:lang w:eastAsia="zh-CN"/>
        </w:rPr>
        <w:t xml:space="preserve">and </w:t>
      </w:r>
      <w:r w:rsidR="00ED3701">
        <w:rPr>
          <w:noProof/>
          <w:position w:val="-10"/>
        </w:rPr>
        <w:drawing>
          <wp:inline distT="0" distB="0" distL="0" distR="0" wp14:anchorId="16D9691B" wp14:editId="06675C32">
            <wp:extent cx="276225" cy="238125"/>
            <wp:effectExtent l="0" t="0" r="0" b="0"/>
            <wp:docPr id="175"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Pr="00B916EC">
        <w:t xml:space="preserve"> </w:t>
      </w:r>
      <w:r>
        <w:rPr>
          <w:lang w:val="en-US"/>
        </w:rPr>
        <w:t xml:space="preserve">Part 1 </w:t>
      </w:r>
      <w:r w:rsidRPr="00B916EC">
        <w:t xml:space="preserve">CSI reports </w:t>
      </w:r>
      <w:r w:rsidRPr="00B916EC">
        <w:rPr>
          <w:lang w:eastAsia="zh-CN"/>
        </w:rPr>
        <w:t>, where</w:t>
      </w:r>
      <w:r w:rsidRPr="00B916EC">
        <w:rPr>
          <w:rFonts w:hint="eastAsia"/>
          <w:lang w:eastAsia="zh-CN"/>
        </w:rPr>
        <w:t xml:space="preserve"> </w:t>
      </w:r>
      <w:r w:rsidR="00ED3701">
        <w:rPr>
          <w:noProof/>
          <w:position w:val="-12"/>
        </w:rPr>
        <w:drawing>
          <wp:inline distT="0" distB="0" distL="0" distR="0" wp14:anchorId="2DA1F166" wp14:editId="599AF0D7">
            <wp:extent cx="561975" cy="209550"/>
            <wp:effectExtent l="0" t="0" r="0" b="0"/>
            <wp:docPr id="176"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61975" cy="209550"/>
                    </a:xfrm>
                    <a:prstGeom prst="rect">
                      <a:avLst/>
                    </a:prstGeom>
                    <a:noFill/>
                    <a:ln>
                      <a:noFill/>
                    </a:ln>
                  </pic:spPr>
                </pic:pic>
              </a:graphicData>
            </a:graphic>
          </wp:inline>
        </w:drawing>
      </w:r>
      <w:r w:rsidRPr="00B916EC">
        <w:rPr>
          <w:rFonts w:hint="eastAsia"/>
          <w:lang w:eastAsia="zh-CN"/>
        </w:rPr>
        <w:t xml:space="preserve"> is the number of </w:t>
      </w:r>
      <w:r>
        <w:rPr>
          <w:lang w:val="en-US" w:eastAsia="zh-CN"/>
        </w:rPr>
        <w:t xml:space="preserve">Part 1 </w:t>
      </w:r>
      <w:r w:rsidRPr="00B916EC">
        <w:rPr>
          <w:rFonts w:hint="eastAsia"/>
          <w:lang w:eastAsia="zh-CN"/>
        </w:rPr>
        <w:t xml:space="preserve">CSI report bits for the </w:t>
      </w:r>
      <w:r w:rsidR="00ED3701">
        <w:rPr>
          <w:noProof/>
          <w:position w:val="-10"/>
        </w:rPr>
        <w:drawing>
          <wp:inline distT="0" distB="0" distL="0" distR="0" wp14:anchorId="38B69F8F" wp14:editId="47E9A586">
            <wp:extent cx="180975" cy="190500"/>
            <wp:effectExtent l="0" t="0" r="0" b="0"/>
            <wp:docPr id="177"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B916EC">
        <w:rPr>
          <w:rFonts w:hint="eastAsia"/>
          <w:lang w:eastAsia="zh-CN"/>
        </w:rPr>
        <w:t xml:space="preserve"> CSI report</w:t>
      </w:r>
      <w:r w:rsidRPr="00B916EC">
        <w:rPr>
          <w:lang w:eastAsia="zh-CN"/>
        </w:rPr>
        <w:t xml:space="preserve"> and </w:t>
      </w:r>
      <w:r w:rsidR="00ED3701">
        <w:rPr>
          <w:noProof/>
          <w:position w:val="-12"/>
        </w:rPr>
        <w:drawing>
          <wp:inline distT="0" distB="0" distL="0" distR="0" wp14:anchorId="5114120E" wp14:editId="343C2381">
            <wp:extent cx="561975" cy="209550"/>
            <wp:effectExtent l="0" t="0" r="0" b="0"/>
            <wp:docPr id="178"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61975" cy="209550"/>
                    </a:xfrm>
                    <a:prstGeom prst="rect">
                      <a:avLst/>
                    </a:prstGeom>
                    <a:noFill/>
                    <a:ln>
                      <a:noFill/>
                    </a:ln>
                  </pic:spPr>
                </pic:pic>
              </a:graphicData>
            </a:graphic>
          </wp:inline>
        </w:drawing>
      </w:r>
      <w:r w:rsidRPr="00B916EC">
        <w:rPr>
          <w:rFonts w:hint="eastAsia"/>
          <w:lang w:eastAsia="zh-CN"/>
        </w:rPr>
        <w:t xml:space="preserve"> is the number of </w:t>
      </w:r>
      <w:r>
        <w:rPr>
          <w:lang w:val="en-US" w:eastAsia="zh-CN"/>
        </w:rPr>
        <w:t xml:space="preserve">Part 2 </w:t>
      </w:r>
      <w:r w:rsidRPr="00B916EC">
        <w:rPr>
          <w:rFonts w:hint="eastAsia"/>
          <w:lang w:eastAsia="zh-CN"/>
        </w:rPr>
        <w:t xml:space="preserve">CSI report bits for the </w:t>
      </w:r>
      <w:r w:rsidR="00ED3701">
        <w:rPr>
          <w:noProof/>
          <w:position w:val="-10"/>
        </w:rPr>
        <w:drawing>
          <wp:inline distT="0" distB="0" distL="0" distR="0" wp14:anchorId="0A058C83" wp14:editId="03910158">
            <wp:extent cx="180975" cy="190500"/>
            <wp:effectExtent l="0" t="0" r="0" b="0"/>
            <wp:docPr id="179"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Pr="00B916EC">
        <w:rPr>
          <w:rFonts w:hint="eastAsia"/>
          <w:lang w:eastAsia="zh-CN"/>
        </w:rPr>
        <w:t xml:space="preserve"> CSI report</w:t>
      </w:r>
      <w:r w:rsidRPr="00B916EC">
        <w:rPr>
          <w:lang w:eastAsia="zh-CN"/>
        </w:rPr>
        <w:t xml:space="preserve"> </w:t>
      </w:r>
      <w:r>
        <w:rPr>
          <w:lang w:eastAsia="zh-CN"/>
        </w:rPr>
        <w:t xml:space="preserve">priority </w:t>
      </w:r>
      <w:r>
        <w:rPr>
          <w:lang w:val="en-US" w:eastAsia="zh-CN"/>
        </w:rPr>
        <w:t>value</w:t>
      </w:r>
      <w:r w:rsidRPr="00B916EC">
        <w:t xml:space="preserve">, </w:t>
      </w:r>
      <w:r w:rsidR="00ED3701">
        <w:rPr>
          <w:noProof/>
          <w:position w:val="-12"/>
        </w:rPr>
        <w:drawing>
          <wp:inline distT="0" distB="0" distL="0" distR="0" wp14:anchorId="11EC46DF" wp14:editId="21268A6A">
            <wp:extent cx="733425" cy="209550"/>
            <wp:effectExtent l="0" t="0" r="0" b="0"/>
            <wp:docPr id="180"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733425" cy="209550"/>
                    </a:xfrm>
                    <a:prstGeom prst="rect">
                      <a:avLst/>
                    </a:prstGeom>
                    <a:noFill/>
                    <a:ln>
                      <a:noFill/>
                    </a:ln>
                  </pic:spPr>
                </pic:pic>
              </a:graphicData>
            </a:graphic>
          </wp:inline>
        </w:drawing>
      </w:r>
      <w:r>
        <w:rPr>
          <w:lang w:val="en-US"/>
        </w:rPr>
        <w:t xml:space="preserve"> </w:t>
      </w:r>
      <w:r w:rsidRPr="005B6D3F">
        <w:rPr>
          <w:lang w:val="en-US"/>
        </w:rPr>
        <w:t xml:space="preserve">is a number of CRC bits corresponding to </w:t>
      </w:r>
      <w:r w:rsidR="00ED3701">
        <w:rPr>
          <w:noProof/>
          <w:position w:val="-24"/>
        </w:rPr>
        <w:drawing>
          <wp:inline distT="0" distB="0" distL="0" distR="0" wp14:anchorId="3067A537" wp14:editId="4CE820BF">
            <wp:extent cx="638175" cy="381000"/>
            <wp:effectExtent l="0" t="0" r="0" b="0"/>
            <wp:docPr id="181"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38175" cy="381000"/>
                    </a:xfrm>
                    <a:prstGeom prst="rect">
                      <a:avLst/>
                    </a:prstGeom>
                    <a:noFill/>
                    <a:ln>
                      <a:noFill/>
                    </a:ln>
                  </pic:spPr>
                </pic:pic>
              </a:graphicData>
            </a:graphic>
          </wp:inline>
        </w:drawing>
      </w:r>
      <w:r w:rsidRPr="005B6D3F">
        <w:rPr>
          <w:lang w:val="en-US"/>
        </w:rPr>
        <w:t xml:space="preserve">, and </w:t>
      </w:r>
      <w:r w:rsidR="00ED3701">
        <w:rPr>
          <w:noProof/>
          <w:position w:val="-12"/>
        </w:rPr>
        <w:drawing>
          <wp:inline distT="0" distB="0" distL="0" distR="0" wp14:anchorId="1339FE68" wp14:editId="26643E40">
            <wp:extent cx="914400" cy="238125"/>
            <wp:effectExtent l="0" t="0" r="0" b="0"/>
            <wp:docPr id="182"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914400" cy="238125"/>
                    </a:xfrm>
                    <a:prstGeom prst="rect">
                      <a:avLst/>
                    </a:prstGeom>
                    <a:noFill/>
                    <a:ln>
                      <a:noFill/>
                    </a:ln>
                  </pic:spPr>
                </pic:pic>
              </a:graphicData>
            </a:graphic>
          </wp:inline>
        </w:drawing>
      </w:r>
      <w:r w:rsidRPr="005B6D3F">
        <w:rPr>
          <w:lang w:val="en-US"/>
        </w:rPr>
        <w:t xml:space="preserve"> is a number of CRC bits corresponding to </w:t>
      </w:r>
      <w:r w:rsidR="00ED3701">
        <w:rPr>
          <w:noProof/>
          <w:position w:val="-24"/>
        </w:rPr>
        <w:drawing>
          <wp:inline distT="0" distB="0" distL="0" distR="0" wp14:anchorId="32E1A3F0" wp14:editId="1E229F16">
            <wp:extent cx="733425" cy="381000"/>
            <wp:effectExtent l="0" t="0" r="0" b="0"/>
            <wp:docPr id="183"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733425" cy="381000"/>
                    </a:xfrm>
                    <a:prstGeom prst="rect">
                      <a:avLst/>
                    </a:prstGeom>
                    <a:noFill/>
                    <a:ln>
                      <a:noFill/>
                    </a:ln>
                  </pic:spPr>
                </pic:pic>
              </a:graphicData>
            </a:graphic>
          </wp:inline>
        </w:drawing>
      </w:r>
      <w:r>
        <w:rPr>
          <w:rFonts w:hint="eastAsia"/>
          <w:lang w:eastAsia="zh-CN"/>
        </w:rPr>
        <w:t xml:space="preserve"> </w:t>
      </w:r>
    </w:p>
    <w:p w14:paraId="2F7EBAAD" w14:textId="0F73A335" w:rsidR="00F35AD7" w:rsidRDefault="003C726F" w:rsidP="00630D94">
      <w:pPr>
        <w:pStyle w:val="B2"/>
        <w:rPr>
          <w:lang w:val="en-US"/>
        </w:rPr>
      </w:pPr>
      <w:r>
        <w:rPr>
          <w:lang w:eastAsia="zh-CN"/>
        </w:rPr>
        <w:t>-</w:t>
      </w:r>
      <w:r>
        <w:rPr>
          <w:lang w:eastAsia="zh-CN"/>
        </w:rPr>
        <w:tab/>
      </w:r>
      <w:r w:rsidR="00CE37A2" w:rsidRPr="00B916EC">
        <w:rPr>
          <w:lang w:eastAsia="zh-CN"/>
        </w:rPr>
        <w:t xml:space="preserve">else, </w:t>
      </w:r>
      <w:r w:rsidR="00CE37A2" w:rsidRPr="00B916EC">
        <w:rPr>
          <w:rFonts w:hint="eastAsia"/>
          <w:lang w:eastAsia="zh-CN"/>
        </w:rPr>
        <w:t xml:space="preserve">the UE </w:t>
      </w:r>
      <w:r w:rsidR="00CE37A2" w:rsidRPr="00B916EC">
        <w:rPr>
          <w:lang w:eastAsia="zh-CN"/>
        </w:rPr>
        <w:t xml:space="preserve">drops all </w:t>
      </w:r>
      <w:r w:rsidR="00A46294">
        <w:rPr>
          <w:lang w:eastAsia="zh-CN"/>
        </w:rPr>
        <w:t xml:space="preserve">Part 2 </w:t>
      </w:r>
      <w:r w:rsidR="00CE37A2" w:rsidRPr="00B916EC">
        <w:rPr>
          <w:lang w:eastAsia="zh-CN"/>
        </w:rPr>
        <w:t xml:space="preserve">CSI reports and </w:t>
      </w:r>
      <w:r w:rsidR="00CE37A2" w:rsidRPr="00B916EC">
        <w:rPr>
          <w:rFonts w:hint="eastAsia"/>
          <w:lang w:eastAsia="zh-CN"/>
        </w:rPr>
        <w:t>select</w:t>
      </w:r>
      <w:r w:rsidR="00CE37A2" w:rsidRPr="00B916EC">
        <w:rPr>
          <w:lang w:eastAsia="zh-CN"/>
        </w:rPr>
        <w:t>s</w:t>
      </w:r>
      <w:r w:rsidR="00CE37A2" w:rsidRPr="00B916EC">
        <w:rPr>
          <w:rFonts w:hint="eastAsia"/>
          <w:lang w:eastAsia="zh-CN"/>
        </w:rPr>
        <w:t xml:space="preserve"> </w:t>
      </w:r>
      <w:r w:rsidR="00ED3701">
        <w:rPr>
          <w:noProof/>
          <w:position w:val="-12"/>
        </w:rPr>
        <w:drawing>
          <wp:inline distT="0" distB="0" distL="0" distR="0" wp14:anchorId="155B04F5" wp14:editId="2365B23D">
            <wp:extent cx="466725" cy="238125"/>
            <wp:effectExtent l="0" t="0" r="0" b="0"/>
            <wp:docPr id="184"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66725" cy="238125"/>
                    </a:xfrm>
                    <a:prstGeom prst="rect">
                      <a:avLst/>
                    </a:prstGeom>
                    <a:noFill/>
                    <a:ln>
                      <a:noFill/>
                    </a:ln>
                  </pic:spPr>
                </pic:pic>
              </a:graphicData>
            </a:graphic>
          </wp:inline>
        </w:drawing>
      </w:r>
      <w:r w:rsidR="00CE37A2" w:rsidRPr="00B916EC">
        <w:rPr>
          <w:rFonts w:hint="eastAsia"/>
          <w:lang w:eastAsia="zh-CN"/>
        </w:rPr>
        <w:t xml:space="preserve"> </w:t>
      </w:r>
      <w:r w:rsidR="00F35AD7">
        <w:rPr>
          <w:lang w:eastAsia="zh-CN"/>
        </w:rPr>
        <w:t xml:space="preserve">Part 1 </w:t>
      </w:r>
      <w:r w:rsidR="00CE37A2" w:rsidRPr="00B916EC">
        <w:rPr>
          <w:rFonts w:hint="eastAsia"/>
          <w:lang w:eastAsia="zh-CN"/>
        </w:rPr>
        <w:t>CSI</w:t>
      </w:r>
      <w:r w:rsidR="00CE37A2" w:rsidRPr="00B916EC">
        <w:rPr>
          <w:lang w:eastAsia="zh-CN"/>
        </w:rPr>
        <w:t xml:space="preserve"> </w:t>
      </w:r>
      <w:r w:rsidR="00CE37A2" w:rsidRPr="00B916EC">
        <w:rPr>
          <w:rFonts w:hint="eastAsia"/>
          <w:lang w:eastAsia="zh-CN"/>
        </w:rPr>
        <w:t>report(s)</w:t>
      </w:r>
      <w:r w:rsidR="00CE37A2" w:rsidRPr="00B916EC">
        <w:rPr>
          <w:lang w:eastAsia="zh-CN"/>
        </w:rPr>
        <w:t>,</w:t>
      </w:r>
      <w:r w:rsidR="00CE37A2" w:rsidRPr="00B916EC">
        <w:rPr>
          <w:rFonts w:hint="eastAsia"/>
          <w:lang w:eastAsia="zh-CN"/>
        </w:rPr>
        <w:t xml:space="preserve"> </w:t>
      </w:r>
      <w:r w:rsidR="00F35AD7">
        <w:rPr>
          <w:lang w:val="en-US" w:eastAsia="zh-CN"/>
        </w:rPr>
        <w:t>from the</w:t>
      </w:r>
      <w:r w:rsidR="00F35AD7" w:rsidRPr="00B916EC">
        <w:rPr>
          <w:rFonts w:hint="eastAsia"/>
          <w:lang w:eastAsia="zh-CN"/>
        </w:rPr>
        <w:t xml:space="preserve"> </w:t>
      </w:r>
      <w:r w:rsidR="00ED3701">
        <w:rPr>
          <w:noProof/>
          <w:position w:val="-10"/>
        </w:rPr>
        <w:drawing>
          <wp:inline distT="0" distB="0" distL="0" distR="0" wp14:anchorId="5FD9EB84" wp14:editId="5C3CE86D">
            <wp:extent cx="276225" cy="238125"/>
            <wp:effectExtent l="0" t="0" r="0" b="0"/>
            <wp:docPr id="185"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00F35AD7">
        <w:rPr>
          <w:lang w:val="en-US"/>
        </w:rPr>
        <w:t xml:space="preserve"> CSI reports</w:t>
      </w:r>
      <w:r w:rsidR="00F35AD7" w:rsidRPr="00B916EC">
        <w:rPr>
          <w:rFonts w:hint="eastAsia"/>
          <w:lang w:eastAsia="zh-CN"/>
        </w:rPr>
        <w:t xml:space="preserve"> </w:t>
      </w:r>
      <w:r w:rsidR="00CE37A2" w:rsidRPr="00B916EC">
        <w:rPr>
          <w:rFonts w:hint="eastAsia"/>
          <w:lang w:eastAsia="zh-CN"/>
        </w:rPr>
        <w:t xml:space="preserve">in ascending </w:t>
      </w:r>
      <w:r w:rsidR="005F1FD6">
        <w:rPr>
          <w:lang w:eastAsia="zh-CN"/>
        </w:rPr>
        <w:t xml:space="preserve">priority </w:t>
      </w:r>
      <w:r w:rsidR="00F35AD7">
        <w:rPr>
          <w:lang w:eastAsia="zh-CN"/>
        </w:rPr>
        <w:t>value [6, TS 38.214]</w:t>
      </w:r>
      <w:r w:rsidR="005F1FD6" w:rsidRPr="00B916EC">
        <w:t xml:space="preserve">, </w:t>
      </w:r>
      <w:r w:rsidR="005F1FD6" w:rsidRPr="00B916EC">
        <w:rPr>
          <w:rFonts w:hint="eastAsia"/>
          <w:lang w:eastAsia="zh-CN"/>
        </w:rPr>
        <w:t xml:space="preserve">for transmission together with </w:t>
      </w:r>
      <w:r w:rsidR="005F1FD6" w:rsidRPr="00B916EC">
        <w:rPr>
          <w:lang w:eastAsia="zh-CN"/>
        </w:rPr>
        <w:t xml:space="preserve">the </w:t>
      </w:r>
      <w:r w:rsidR="005F1FD6" w:rsidRPr="00B916EC">
        <w:rPr>
          <w:rFonts w:hint="eastAsia"/>
          <w:lang w:eastAsia="zh-CN"/>
        </w:rPr>
        <w:t>HARQ-ACK</w:t>
      </w:r>
      <w:r w:rsidR="000219E8" w:rsidRPr="000219E8">
        <w:rPr>
          <w:lang w:eastAsia="zh-CN"/>
        </w:rPr>
        <w:t xml:space="preserve"> </w:t>
      </w:r>
      <w:r w:rsidR="000219E8">
        <w:rPr>
          <w:lang w:eastAsia="zh-CN"/>
        </w:rPr>
        <w:t xml:space="preserve">and </w:t>
      </w:r>
      <w:r w:rsidR="000219E8" w:rsidRPr="00B916EC">
        <w:rPr>
          <w:rFonts w:hint="eastAsia"/>
          <w:lang w:eastAsia="zh-CN"/>
        </w:rPr>
        <w:t>SR</w:t>
      </w:r>
      <w:r w:rsidR="000219E8" w:rsidRPr="00B916EC">
        <w:rPr>
          <w:lang w:eastAsia="zh-CN"/>
        </w:rPr>
        <w:t xml:space="preserve"> </w:t>
      </w:r>
      <w:r w:rsidR="000219E8">
        <w:rPr>
          <w:lang w:eastAsia="zh-CN"/>
        </w:rPr>
        <w:t>information</w:t>
      </w:r>
      <w:r w:rsidR="005F1FD6" w:rsidRPr="00B916EC">
        <w:rPr>
          <w:lang w:eastAsia="zh-CN"/>
        </w:rPr>
        <w:t xml:space="preserve"> bits where</w:t>
      </w:r>
      <w:r w:rsidR="005F1FD6" w:rsidRPr="00B916EC">
        <w:rPr>
          <w:rFonts w:hint="eastAsia"/>
          <w:lang w:eastAsia="zh-CN"/>
        </w:rPr>
        <w:t xml:space="preserve"> the value of </w:t>
      </w:r>
      <w:r w:rsidR="00ED3701">
        <w:rPr>
          <w:noProof/>
          <w:position w:val="-12"/>
        </w:rPr>
        <w:drawing>
          <wp:inline distT="0" distB="0" distL="0" distR="0" wp14:anchorId="462D0FDA" wp14:editId="6D3410BD">
            <wp:extent cx="466725" cy="238125"/>
            <wp:effectExtent l="0" t="0" r="0" b="0"/>
            <wp:docPr id="186"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66725" cy="238125"/>
                    </a:xfrm>
                    <a:prstGeom prst="rect">
                      <a:avLst/>
                    </a:prstGeom>
                    <a:noFill/>
                    <a:ln>
                      <a:noFill/>
                    </a:ln>
                  </pic:spPr>
                </pic:pic>
              </a:graphicData>
            </a:graphic>
          </wp:inline>
        </w:drawing>
      </w:r>
      <w:r w:rsidR="000219E8" w:rsidRPr="00B916EC">
        <w:rPr>
          <w:rFonts w:hint="eastAsia"/>
          <w:lang w:eastAsia="zh-CN"/>
        </w:rPr>
        <w:t xml:space="preserve"> </w:t>
      </w:r>
      <w:r w:rsidR="005F1FD6" w:rsidRPr="00B916EC">
        <w:rPr>
          <w:rFonts w:hint="eastAsia"/>
          <w:lang w:eastAsia="zh-CN"/>
        </w:rPr>
        <w:t>satisfies</w:t>
      </w:r>
      <w:r w:rsidR="005F1FD6" w:rsidRPr="00B916EC">
        <w:rPr>
          <w:lang w:eastAsia="zh-CN"/>
        </w:rPr>
        <w:t xml:space="preserve"> </w:t>
      </w:r>
      <w:r w:rsidR="00ED3701">
        <w:rPr>
          <w:noProof/>
          <w:position w:val="-36"/>
        </w:rPr>
        <w:drawing>
          <wp:inline distT="0" distB="0" distL="0" distR="0" wp14:anchorId="49C6036C" wp14:editId="3F7BA7A3">
            <wp:extent cx="4124325" cy="561975"/>
            <wp:effectExtent l="0" t="0" r="0" b="0"/>
            <wp:docPr id="187"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124325" cy="561975"/>
                    </a:xfrm>
                    <a:prstGeom prst="rect">
                      <a:avLst/>
                    </a:prstGeom>
                    <a:noFill/>
                    <a:ln>
                      <a:noFill/>
                    </a:ln>
                  </pic:spPr>
                </pic:pic>
              </a:graphicData>
            </a:graphic>
          </wp:inline>
        </w:drawing>
      </w:r>
      <w:r w:rsidR="00F35AD7" w:rsidRPr="00B916EC">
        <w:rPr>
          <w:rFonts w:hint="eastAsia"/>
          <w:lang w:eastAsia="zh-CN"/>
        </w:rPr>
        <w:t xml:space="preserve"> and</w:t>
      </w:r>
      <w:r w:rsidR="00F35AD7">
        <w:rPr>
          <w:rFonts w:hint="eastAsia"/>
          <w:lang w:eastAsia="zh-CN"/>
        </w:rPr>
        <w:t xml:space="preserve"> </w:t>
      </w:r>
      <w:r w:rsidR="00ED3701">
        <w:rPr>
          <w:noProof/>
          <w:position w:val="-36"/>
        </w:rPr>
        <w:drawing>
          <wp:inline distT="0" distB="0" distL="0" distR="0" wp14:anchorId="4C7E2F49" wp14:editId="6738C32E">
            <wp:extent cx="4314825" cy="561975"/>
            <wp:effectExtent l="0" t="0" r="0" b="0"/>
            <wp:docPr id="18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314825" cy="561975"/>
                    </a:xfrm>
                    <a:prstGeom prst="rect">
                      <a:avLst/>
                    </a:prstGeom>
                    <a:noFill/>
                    <a:ln>
                      <a:noFill/>
                    </a:ln>
                  </pic:spPr>
                </pic:pic>
              </a:graphicData>
            </a:graphic>
          </wp:inline>
        </w:drawing>
      </w:r>
      <w:r w:rsidR="00F35AD7" w:rsidRPr="00B916EC">
        <w:rPr>
          <w:rFonts w:hint="eastAsia"/>
          <w:lang w:eastAsia="zh-CN"/>
        </w:rPr>
        <w:t xml:space="preserve">, </w:t>
      </w:r>
      <w:r w:rsidR="00F35AD7" w:rsidRPr="00B916EC">
        <w:rPr>
          <w:lang w:eastAsia="zh-CN"/>
        </w:rPr>
        <w:t>where</w:t>
      </w:r>
      <w:r w:rsidR="00F35AD7" w:rsidRPr="00B916EC">
        <w:rPr>
          <w:rFonts w:hint="eastAsia"/>
          <w:lang w:eastAsia="zh-CN"/>
        </w:rPr>
        <w:t xml:space="preserve"> </w:t>
      </w:r>
      <w:r w:rsidR="00ED3701">
        <w:rPr>
          <w:noProof/>
          <w:position w:val="-12"/>
        </w:rPr>
        <w:drawing>
          <wp:inline distT="0" distB="0" distL="0" distR="0" wp14:anchorId="1FE8D053" wp14:editId="6966F468">
            <wp:extent cx="733425" cy="238125"/>
            <wp:effectExtent l="0" t="0" r="0" b="0"/>
            <wp:docPr id="18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733425" cy="238125"/>
                    </a:xfrm>
                    <a:prstGeom prst="rect">
                      <a:avLst/>
                    </a:prstGeom>
                    <a:noFill/>
                    <a:ln>
                      <a:noFill/>
                    </a:ln>
                  </pic:spPr>
                </pic:pic>
              </a:graphicData>
            </a:graphic>
          </wp:inline>
        </w:drawing>
      </w:r>
      <w:r w:rsidR="00F35AD7" w:rsidRPr="005B6D3F">
        <w:rPr>
          <w:lang w:val="en-US"/>
        </w:rPr>
        <w:t xml:space="preserve">is a number of CRC bits corresponding to </w:t>
      </w:r>
      <w:r w:rsidR="00ED3701">
        <w:rPr>
          <w:noProof/>
          <w:position w:val="-24"/>
        </w:rPr>
        <w:drawing>
          <wp:inline distT="0" distB="0" distL="0" distR="0" wp14:anchorId="418CBA99" wp14:editId="74953C4E">
            <wp:extent cx="1476375" cy="466725"/>
            <wp:effectExtent l="0" t="0" r="0" b="0"/>
            <wp:docPr id="190"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476375" cy="466725"/>
                    </a:xfrm>
                    <a:prstGeom prst="rect">
                      <a:avLst/>
                    </a:prstGeom>
                    <a:noFill/>
                    <a:ln>
                      <a:noFill/>
                    </a:ln>
                  </pic:spPr>
                </pic:pic>
              </a:graphicData>
            </a:graphic>
          </wp:inline>
        </w:drawing>
      </w:r>
      <w:r w:rsidR="00F35AD7">
        <w:t xml:space="preserve"> </w:t>
      </w:r>
      <w:r w:rsidR="00F35AD7">
        <w:rPr>
          <w:lang w:val="en-US"/>
        </w:rPr>
        <w:t>UCI bits,</w:t>
      </w:r>
      <w:r w:rsidR="00F35AD7" w:rsidRPr="005B6D3F">
        <w:rPr>
          <w:lang w:val="en-US"/>
        </w:rPr>
        <w:t xml:space="preserve"> and </w:t>
      </w:r>
      <w:r w:rsidR="00ED3701">
        <w:rPr>
          <w:noProof/>
          <w:position w:val="-12"/>
        </w:rPr>
        <w:drawing>
          <wp:inline distT="0" distB="0" distL="0" distR="0" wp14:anchorId="4EDF4D22" wp14:editId="55311ED0">
            <wp:extent cx="914400" cy="238125"/>
            <wp:effectExtent l="0" t="0" r="0" b="0"/>
            <wp:docPr id="191"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914400" cy="238125"/>
                    </a:xfrm>
                    <a:prstGeom prst="rect">
                      <a:avLst/>
                    </a:prstGeom>
                    <a:noFill/>
                    <a:ln>
                      <a:noFill/>
                    </a:ln>
                  </pic:spPr>
                </pic:pic>
              </a:graphicData>
            </a:graphic>
          </wp:inline>
        </w:drawing>
      </w:r>
      <w:r w:rsidR="00F35AD7" w:rsidRPr="005B6D3F">
        <w:rPr>
          <w:lang w:val="en-US"/>
        </w:rPr>
        <w:t xml:space="preserve"> is a number of CRC bits corresponding to </w:t>
      </w:r>
      <w:r w:rsidR="00ED3701">
        <w:rPr>
          <w:noProof/>
          <w:position w:val="-24"/>
        </w:rPr>
        <w:drawing>
          <wp:inline distT="0" distB="0" distL="0" distR="0" wp14:anchorId="679EEB1D" wp14:editId="67DB1324">
            <wp:extent cx="1476375" cy="466725"/>
            <wp:effectExtent l="0" t="0" r="0" b="0"/>
            <wp:docPr id="192"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476375" cy="466725"/>
                    </a:xfrm>
                    <a:prstGeom prst="rect">
                      <a:avLst/>
                    </a:prstGeom>
                    <a:noFill/>
                    <a:ln>
                      <a:noFill/>
                    </a:ln>
                  </pic:spPr>
                </pic:pic>
              </a:graphicData>
            </a:graphic>
          </wp:inline>
        </w:drawing>
      </w:r>
      <w:r w:rsidR="00F35AD7" w:rsidRPr="00617FCA">
        <w:rPr>
          <w:lang w:val="en-US"/>
        </w:rPr>
        <w:t xml:space="preserve"> </w:t>
      </w:r>
      <w:r w:rsidR="00F35AD7">
        <w:rPr>
          <w:lang w:val="en-US"/>
        </w:rPr>
        <w:t>UCI bits.</w:t>
      </w:r>
    </w:p>
    <w:p w14:paraId="7DFBAFF0" w14:textId="4832754B" w:rsidR="004F4935" w:rsidRDefault="004F4935" w:rsidP="004F4935">
      <w:pPr>
        <w:rPr>
          <w:lang w:eastAsia="zh-CN"/>
        </w:rPr>
      </w:pPr>
      <w:r w:rsidRPr="00B916EC">
        <w:rPr>
          <w:lang w:eastAsia="zh-CN"/>
        </w:rPr>
        <w:t>I</w:t>
      </w:r>
      <w:r w:rsidRPr="00B916EC">
        <w:rPr>
          <w:rFonts w:hint="eastAsia"/>
          <w:lang w:eastAsia="zh-CN"/>
        </w:rPr>
        <w:t xml:space="preserve">f </w:t>
      </w:r>
      <w:r>
        <w:rPr>
          <w:lang w:val="en-US" w:eastAsia="zh-CN"/>
        </w:rPr>
        <w:t xml:space="preserve">a UE </w:t>
      </w:r>
      <w:r>
        <w:rPr>
          <w:lang w:eastAsia="zh-CN"/>
        </w:rPr>
        <w:t xml:space="preserve">is provided </w:t>
      </w:r>
      <w:r>
        <w:rPr>
          <w:lang w:val="en-US"/>
        </w:rPr>
        <w:t xml:space="preserve">a first interlace of </w:t>
      </w:r>
      <m:oMath>
        <m:sSubSup>
          <m:sSubSupPr>
            <m:ctrlPr>
              <w:rPr>
                <w:rFonts w:ascii="Cambria Math" w:hAnsi="Cambria Math"/>
                <w:i/>
              </w:rPr>
            </m:ctrlPr>
          </m:sSubSupPr>
          <m:e>
            <m:r>
              <w:rPr>
                <w:rFonts w:ascii="Cambria Math"/>
              </w:rPr>
              <m:t>M</m:t>
            </m:r>
          </m:e>
          <m:sub>
            <m:r>
              <m:rPr>
                <m:nor/>
              </m:rPr>
              <w:rPr>
                <w:rFonts w:ascii="Cambria Math"/>
              </w:rPr>
              <m:t>Interlace,0</m:t>
            </m:r>
            <m:ctrlPr>
              <w:rPr>
                <w:rFonts w:ascii="Cambria Math" w:hAnsi="Cambria Math"/>
              </w:rPr>
            </m:ctrlPr>
          </m:sub>
          <m:sup>
            <m:r>
              <m:rPr>
                <m:nor/>
              </m:rPr>
              <w:rPr>
                <w:rFonts w:ascii="Cambria Math"/>
              </w:rPr>
              <m:t>PUCCH</m:t>
            </m:r>
            <m:ctrlPr>
              <w:rPr>
                <w:rFonts w:ascii="Cambria Math" w:hAnsi="Cambria Math"/>
              </w:rPr>
            </m:ctrlPr>
          </m:sup>
        </m:sSubSup>
      </m:oMath>
      <w:r>
        <w:t xml:space="preserve"> PRBs </w:t>
      </w:r>
      <w:r>
        <w:rPr>
          <w:lang w:val="en-US"/>
        </w:rPr>
        <w:t xml:space="preserve">by </w:t>
      </w:r>
      <w:r w:rsidRPr="00284693">
        <w:rPr>
          <w:i/>
        </w:rPr>
        <w:t>interlace0</w:t>
      </w:r>
      <w:r>
        <w:t xml:space="preserve"> in </w:t>
      </w:r>
      <w:r w:rsidRPr="00284693">
        <w:rPr>
          <w:i/>
        </w:rPr>
        <w:t>InterlaceAllocation</w:t>
      </w:r>
      <w:r>
        <w:t xml:space="preserve">, the UE </w:t>
      </w:r>
      <w:r w:rsidRPr="00324409">
        <w:rPr>
          <w:lang w:eastAsia="zh-CN"/>
        </w:rPr>
        <w:t>has</w:t>
      </w:r>
      <w:r>
        <w:rPr>
          <w:lang w:eastAsia="zh-CN"/>
        </w:rPr>
        <w:t xml:space="preserve"> HARQ-ACK, SR and sub-band CSI reports to transmit, and the UE determines a PUCCH resource with PUCCH format 3, where </w:t>
      </w:r>
    </w:p>
    <w:p w14:paraId="3B9992EF" w14:textId="31B46B7F" w:rsidR="004F4935" w:rsidRDefault="004F4935" w:rsidP="001C6B2D">
      <w:pPr>
        <w:pStyle w:val="B1"/>
        <w:rPr>
          <w:lang w:val="en-US" w:eastAsia="zh-CN"/>
        </w:rPr>
      </w:pPr>
      <w:r>
        <w:t>-</w:t>
      </w:r>
      <w:r>
        <w:tab/>
      </w:r>
      <w:r>
        <w:rPr>
          <w:lang w:eastAsia="zh-CN"/>
        </w:rPr>
        <w:t xml:space="preserve">the UE determines the PUCCH resource </w:t>
      </w:r>
      <w:r>
        <w:t xml:space="preserve">using </w:t>
      </w:r>
      <w:r>
        <w:rPr>
          <w:lang w:eastAsia="zh-CN"/>
        </w:rPr>
        <w:t>the PUCCH resource indicator field in a last of a number of DCI formats</w:t>
      </w:r>
      <w:r w:rsidR="00B75E19">
        <w:rPr>
          <w:rFonts w:hint="eastAsia"/>
          <w:lang w:eastAsia="zh-CN"/>
        </w:rPr>
        <w:t>, excluding the SPS activation DCI,</w:t>
      </w:r>
      <w:r>
        <w:rPr>
          <w:lang w:eastAsia="zh-CN"/>
        </w:rPr>
        <w:t xml:space="preserve"> </w:t>
      </w:r>
      <w:r>
        <w:t>that have a value of a PDSCH-to-HARQ_feedback timing indicator field indicating a same slot for the PUCCH transmission,</w:t>
      </w:r>
      <w:r>
        <w:rPr>
          <w:lang w:val="en-US" w:eastAsia="zh-CN"/>
        </w:rPr>
        <w:t xml:space="preserve"> </w:t>
      </w:r>
      <w:r w:rsidR="00893DC6" w:rsidRPr="00B27E56">
        <w:rPr>
          <w:lang w:eastAsia="x-none"/>
        </w:rPr>
        <w:t xml:space="preserve">or </w:t>
      </w:r>
      <w:r w:rsidR="00893DC6" w:rsidRPr="00B27E56">
        <w:rPr>
          <w:lang w:val="en-US" w:eastAsia="x-none"/>
        </w:rPr>
        <w:t>a value provided by</w:t>
      </w:r>
      <w:r w:rsidR="00893DC6" w:rsidRPr="00B27E56">
        <w:rPr>
          <w:lang w:eastAsia="x-none"/>
        </w:rPr>
        <w:t xml:space="preserve"> </w:t>
      </w:r>
      <w:r w:rsidR="00893DC6" w:rsidRPr="00B27E56">
        <w:rPr>
          <w:i/>
          <w:iCs/>
          <w:lang w:eastAsia="x-none"/>
        </w:rPr>
        <w:t xml:space="preserve">dl-DataToUL-ACK </w:t>
      </w:r>
      <w:r w:rsidR="00893DC6" w:rsidRPr="00B27E56">
        <w:rPr>
          <w:lang w:val="en-US" w:eastAsia="x-none"/>
        </w:rPr>
        <w:t xml:space="preserve">or </w:t>
      </w:r>
      <w:r w:rsidR="00893DC6" w:rsidRPr="00B27E56">
        <w:rPr>
          <w:i/>
          <w:iCs/>
          <w:lang w:eastAsia="x-none"/>
        </w:rPr>
        <w:t>dl-DataToUL-ACK</w:t>
      </w:r>
      <w:r w:rsidR="00893DC6" w:rsidRPr="00B27E56">
        <w:rPr>
          <w:i/>
          <w:iCs/>
          <w:lang w:val="en-US" w:eastAsia="x-none"/>
        </w:rPr>
        <w:t>-r16</w:t>
      </w:r>
      <w:r w:rsidR="00893DC6" w:rsidRPr="00B27E56">
        <w:rPr>
          <w:lang w:val="en-US" w:eastAsia="x-none"/>
        </w:rPr>
        <w:t xml:space="preserve"> or </w:t>
      </w:r>
      <w:r w:rsidR="00295E42" w:rsidRPr="00111FF6">
        <w:rPr>
          <w:i/>
        </w:rPr>
        <w:t>dl-DataToUL-ACK</w:t>
      </w:r>
      <w:r w:rsidR="00295E42" w:rsidRPr="00111FF6">
        <w:rPr>
          <w:i/>
          <w:lang w:val="en-US"/>
        </w:rPr>
        <w:t>-DCI-1-2</w:t>
      </w:r>
      <w:r w:rsidR="00893DC6" w:rsidRPr="00B27E56">
        <w:rPr>
          <w:rFonts w:hint="eastAsia"/>
          <w:lang w:val="en-US" w:eastAsia="zh-CN"/>
        </w:rPr>
        <w:t xml:space="preserve"> </w:t>
      </w:r>
      <w:r w:rsidR="00561433">
        <w:rPr>
          <w:rFonts w:eastAsia="Malgun Gothic"/>
          <w:lang w:val="en-US" w:eastAsia="zh-CN"/>
        </w:rPr>
        <w:t xml:space="preserve">or </w:t>
      </w:r>
      <w:r w:rsidR="00561433">
        <w:rPr>
          <w:i/>
          <w:lang w:val="en-US"/>
        </w:rPr>
        <w:t>dl-DataToUL-ACK-r17</w:t>
      </w:r>
      <w:r w:rsidR="00561433">
        <w:rPr>
          <w:rFonts w:eastAsia="Malgun Gothic"/>
          <w:lang w:val="en-US" w:eastAsia="zh-CN"/>
        </w:rPr>
        <w:t xml:space="preserve"> or </w:t>
      </w:r>
      <w:r w:rsidR="00561433">
        <w:rPr>
          <w:rFonts w:eastAsia="Malgun Gothic"/>
          <w:i/>
        </w:rPr>
        <w:t>dl-DataToUL-ACK</w:t>
      </w:r>
      <w:r w:rsidR="00561433">
        <w:rPr>
          <w:rFonts w:eastAsia="Malgun Gothic"/>
          <w:i/>
          <w:lang w:val="en-US"/>
        </w:rPr>
        <w:t>-DCI-1-2</w:t>
      </w:r>
      <w:r w:rsidR="00561433">
        <w:rPr>
          <w:rFonts w:eastAsia="Malgun Gothic"/>
          <w:i/>
          <w:lang w:val="en-US" w:eastAsia="zh-CN"/>
        </w:rPr>
        <w:t>-r17</w:t>
      </w:r>
      <w:r w:rsidR="00561433">
        <w:rPr>
          <w:rFonts w:eastAsia="Malgun Gothic" w:hint="eastAsia"/>
          <w:lang w:val="en-US" w:eastAsia="zh-CN"/>
        </w:rPr>
        <w:t xml:space="preserve"> </w:t>
      </w:r>
      <w:r w:rsidR="00893DC6" w:rsidRPr="00B27E56">
        <w:rPr>
          <w:lang w:eastAsia="x-none"/>
        </w:rPr>
        <w:t xml:space="preserve">if the PDSCH-to-HARQ_feedback timing indicator field is not present in </w:t>
      </w:r>
      <w:r w:rsidR="00893DC6" w:rsidRPr="00B27E56">
        <w:rPr>
          <w:lang w:val="en-US" w:eastAsia="x-none"/>
        </w:rPr>
        <w:t>the last</w:t>
      </w:r>
      <w:r w:rsidR="00893DC6" w:rsidRPr="00B27E56">
        <w:rPr>
          <w:lang w:eastAsia="x-none"/>
        </w:rPr>
        <w:t xml:space="preserve"> DCI format</w:t>
      </w:r>
      <w:r w:rsidR="00893DC6" w:rsidRPr="00B27E56">
        <w:rPr>
          <w:lang w:val="en-US" w:eastAsia="x-none"/>
        </w:rPr>
        <w:t xml:space="preserve">, </w:t>
      </w:r>
      <w:r>
        <w:rPr>
          <w:lang w:val="en-US" w:eastAsia="zh-CN"/>
        </w:rPr>
        <w:t xml:space="preserve">from a PUCCH resource set provided to the UE for HARQ-ACK transmission, and </w:t>
      </w:r>
    </w:p>
    <w:p w14:paraId="0DA6A156" w14:textId="16D2C5C9" w:rsidR="004F4935" w:rsidRPr="00577A1B" w:rsidRDefault="004F4935" w:rsidP="001C6B2D">
      <w:pPr>
        <w:pStyle w:val="B1"/>
      </w:pPr>
      <w:r>
        <w:t>-</w:t>
      </w:r>
      <w:r>
        <w:tab/>
      </w:r>
      <w:r>
        <w:rPr>
          <w:lang w:val="en-US" w:eastAsia="zh-CN"/>
        </w:rPr>
        <w:t xml:space="preserve">the UE determines the PUCCH resource set as </w:t>
      </w:r>
      <w:r>
        <w:t xml:space="preserve">described </w:t>
      </w:r>
      <w:r w:rsidR="006F5F9E">
        <w:t>in clause</w:t>
      </w:r>
      <w:r>
        <w:t xml:space="preserve">s 9.2.1 and 9.2.3 for </w:t>
      </w:r>
      <m:oMath>
        <m:sSub>
          <m:sSubPr>
            <m:ctrlPr>
              <w:rPr>
                <w:rFonts w:ascii="Cambria Math" w:hAnsi="Cambria Math"/>
                <w:i/>
              </w:rPr>
            </m:ctrlPr>
          </m:sSubPr>
          <m:e>
            <m:r>
              <w:rPr>
                <w:rFonts w:ascii="Cambria Math"/>
              </w:rPr>
              <m:t>O</m:t>
            </m:r>
          </m:e>
          <m:sub>
            <m:r>
              <m:rPr>
                <m:nor/>
              </m:rPr>
              <w:rPr>
                <w:rFonts w:ascii="Cambria Math"/>
              </w:rPr>
              <m:t>UCI</m:t>
            </m:r>
            <m:ctrlPr>
              <w:rPr>
                <w:rFonts w:ascii="Cambria Math" w:hAnsi="Cambria Math"/>
              </w:rPr>
            </m:ctrlPr>
          </m:sub>
        </m:sSub>
      </m:oMath>
      <w:r>
        <w:t xml:space="preserve"> UCI bits</w:t>
      </w:r>
    </w:p>
    <w:p w14:paraId="4C8810CC" w14:textId="77777777" w:rsidR="004F4935" w:rsidRDefault="004F4935" w:rsidP="004F4935">
      <w:pPr>
        <w:rPr>
          <w:lang w:eastAsia="zh-CN"/>
        </w:rPr>
      </w:pPr>
      <w:r>
        <w:rPr>
          <w:lang w:eastAsia="zh-CN"/>
        </w:rPr>
        <w:t>and</w:t>
      </w:r>
    </w:p>
    <w:p w14:paraId="1AF93090" w14:textId="77777777" w:rsidR="004F4935" w:rsidRPr="00B916EC" w:rsidRDefault="004F4935" w:rsidP="004F4935">
      <w:pPr>
        <w:pStyle w:val="B1"/>
        <w:rPr>
          <w:lang w:eastAsia="zh-CN"/>
        </w:rPr>
      </w:pPr>
      <w:r>
        <w:rPr>
          <w:lang w:eastAsia="zh-CN"/>
        </w:rPr>
        <w:lastRenderedPageBreak/>
        <w:t>-</w:t>
      </w:r>
      <w:r>
        <w:rPr>
          <w:lang w:eastAsia="zh-CN"/>
        </w:rPr>
        <w:tab/>
      </w:r>
      <w:r w:rsidRPr="00B916EC">
        <w:rPr>
          <w:rFonts w:hint="eastAsia"/>
          <w:lang w:eastAsia="zh-CN"/>
        </w:rPr>
        <w:t xml:space="preserve">if </w:t>
      </w:r>
      <m:oMath>
        <m:d>
          <m:dPr>
            <m:ctrlPr>
              <w:rPr>
                <w:rFonts w:ascii="Cambria Math" w:hAnsi="Cambria Math"/>
                <w:i/>
              </w:rPr>
            </m:ctrlPr>
          </m:dPr>
          <m:e>
            <m:sSub>
              <m:sSubPr>
                <m:ctrlPr>
                  <w:rPr>
                    <w:rFonts w:ascii="Cambria Math" w:hAnsi="Cambria Math"/>
                    <w:i/>
                  </w:rPr>
                </m:ctrlPr>
              </m:sSubPr>
              <m:e>
                <m:r>
                  <w:rPr>
                    <w:rFonts w:ascii="Cambria Math" w:hAnsi="Cambria Math"/>
                  </w:rPr>
                  <m:t>O</m:t>
                </m:r>
              </m:e>
              <m:sub>
                <m:r>
                  <m:rPr>
                    <m:nor/>
                  </m:rPr>
                  <m:t>ACK</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O</m:t>
                </m:r>
              </m:e>
              <m:sub>
                <m:r>
                  <m:rPr>
                    <m:nor/>
                  </m:rPr>
                  <m:t>SR</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O</m:t>
                </m:r>
              </m:e>
              <m:sub>
                <m:r>
                  <m:rPr>
                    <m:nor/>
                  </m:rPr>
                  <m:t>CSI</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O</m:t>
                </m:r>
              </m:e>
              <m:sub>
                <m:r>
                  <m:rPr>
                    <m:nor/>
                  </m:rPr>
                  <m:t>CRC</m:t>
                </m:r>
                <m:ctrlPr>
                  <w:rPr>
                    <w:rFonts w:ascii="Cambria Math" w:hAnsi="Cambria Math"/>
                  </w:rPr>
                </m:ctrlPr>
              </m:sub>
            </m:sSub>
          </m:e>
        </m:d>
        <m:r>
          <w:rPr>
            <w:rFonts w:ascii="Cambria Math" w:hAnsi="Cambria Math"/>
          </w:rPr>
          <m:t>≤</m:t>
        </m:r>
        <m:sSubSup>
          <m:sSubSupPr>
            <m:ctrlPr>
              <w:rPr>
                <w:rFonts w:ascii="Cambria Math" w:hAnsi="Cambria Math"/>
                <w:i/>
              </w:rPr>
            </m:ctrlPr>
          </m:sSubSupPr>
          <m:e>
            <m:r>
              <w:rPr>
                <w:rFonts w:ascii="Cambria Math" w:hAnsi="Cambria Math"/>
              </w:rPr>
              <m:t>M</m:t>
            </m:r>
          </m:e>
          <m:sub>
            <m:r>
              <m:rPr>
                <m:nor/>
              </m:rPr>
              <m:t>Interlace,0</m:t>
            </m:r>
            <m:ctrlPr>
              <w:rPr>
                <w:rFonts w:ascii="Cambria Math" w:hAnsi="Cambria Math"/>
              </w:rPr>
            </m:ctrlPr>
          </m:sub>
          <m:sup>
            <m:r>
              <m:rPr>
                <m:nor/>
              </m:rPr>
              <m:t>PUCCH</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hAnsi="Cambria Math"/>
              </w:rPr>
              <m:t>N</m:t>
            </m:r>
          </m:e>
          <m:sub>
            <m:r>
              <m:rPr>
                <m:nor/>
              </m:rPr>
              <m:t>sc,ctrl</m:t>
            </m:r>
            <m:ctrlPr>
              <w:rPr>
                <w:rFonts w:ascii="Cambria Math" w:hAnsi="Cambria Math"/>
              </w:rPr>
            </m:ctrlPr>
          </m:sub>
          <m:sup>
            <m:r>
              <m:rPr>
                <m:nor/>
              </m:rPr>
              <m:t>RB</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hAnsi="Cambria Math"/>
              </w:rPr>
              <m:t>N</m:t>
            </m:r>
          </m:e>
          <m:sub>
            <m:r>
              <m:rPr>
                <m:nor/>
              </m:rPr>
              <m:t>symb-UCI</m:t>
            </m:r>
            <m:ctrlPr>
              <w:rPr>
                <w:rFonts w:ascii="Cambria Math" w:hAnsi="Cambria Math"/>
              </w:rPr>
            </m:ctrlPr>
          </m:sub>
          <m:sup>
            <m:r>
              <m:rPr>
                <m:nor/>
              </m:rPr>
              <m:t>PUCCH</m:t>
            </m:r>
            <m:ctrlPr>
              <w:rPr>
                <w:rFonts w:ascii="Cambria Math" w:hAnsi="Cambria Math"/>
              </w:rPr>
            </m:ctrlPr>
          </m:sup>
        </m:sSubSup>
        <m:r>
          <w:rPr>
            <w:rFonts w:ascii="Cambria Math" w:hAnsi="Cambria Math" w:cs="Cambria Math"/>
          </w:rPr>
          <m:t>⋅</m:t>
        </m:r>
        <m:sSub>
          <m:sSubPr>
            <m:ctrlPr>
              <w:rPr>
                <w:rFonts w:ascii="Cambria Math" w:hAnsi="Cambria Math"/>
                <w:i/>
              </w:rPr>
            </m:ctrlPr>
          </m:sSubPr>
          <m:e>
            <m:r>
              <w:rPr>
                <w:rFonts w:ascii="Cambria Math" w:hAnsi="Cambria Math"/>
              </w:rPr>
              <m:t>Q</m:t>
            </m:r>
          </m:e>
          <m:sub>
            <m:r>
              <w:rPr>
                <w:rFonts w:ascii="Cambria Math" w:hAnsi="Cambria Math"/>
              </w:rPr>
              <m:t>m</m:t>
            </m:r>
          </m:sub>
        </m:sSub>
        <m:r>
          <w:rPr>
            <w:rFonts w:ascii="Cambria Math" w:hAnsi="Cambria Math" w:cs="Cambria Math"/>
          </w:rPr>
          <m:t>⋅</m:t>
        </m:r>
        <m:r>
          <w:rPr>
            <w:rFonts w:ascii="Cambria Math" w:hAnsi="Cambria Math"/>
          </w:rPr>
          <m:t>r</m:t>
        </m:r>
      </m:oMath>
      <w:r>
        <w:t>,</w:t>
      </w:r>
      <w:r w:rsidRPr="00B916EC">
        <w:t xml:space="preserve"> </w:t>
      </w:r>
      <w:r w:rsidRPr="00B916EC">
        <w:rPr>
          <w:rFonts w:hint="eastAsia"/>
          <w:lang w:eastAsia="zh-CN"/>
        </w:rPr>
        <w:t>the UE transmit</w:t>
      </w:r>
      <w:r>
        <w:rPr>
          <w:lang w:val="en-US" w:eastAsia="zh-CN"/>
        </w:rPr>
        <w:t>s</w:t>
      </w:r>
      <w:r w:rsidRPr="00B916EC">
        <w:rPr>
          <w:rFonts w:hint="eastAsia"/>
          <w:lang w:eastAsia="zh-CN"/>
        </w:rPr>
        <w:t xml:space="preserve"> the HARQ-ACK</w:t>
      </w:r>
      <w:r>
        <w:rPr>
          <w:lang w:val="en-US" w:eastAsia="zh-CN"/>
        </w:rPr>
        <w:t xml:space="preserve">, </w:t>
      </w:r>
      <w:r w:rsidRPr="00B916EC">
        <w:rPr>
          <w:rFonts w:hint="eastAsia"/>
          <w:lang w:eastAsia="zh-CN"/>
        </w:rPr>
        <w:t xml:space="preserve">SR and </w:t>
      </w:r>
      <w:r w:rsidRPr="00B916EC">
        <w:t xml:space="preserve">the </w:t>
      </w:r>
      <m:oMath>
        <m:sSubSup>
          <m:sSubSupPr>
            <m:ctrlPr>
              <w:rPr>
                <w:rFonts w:ascii="Cambria Math" w:hAnsi="Cambria Math"/>
                <w:i/>
              </w:rPr>
            </m:ctrlPr>
          </m:sSubSupPr>
          <m:e>
            <m:r>
              <w:rPr>
                <w:rFonts w:ascii="Cambria Math" w:hAnsi="Cambria Math"/>
              </w:rPr>
              <m:t>N</m:t>
            </m:r>
          </m:e>
          <m:sub>
            <m:r>
              <m:rPr>
                <m:nor/>
              </m:rPr>
              <m:t>CSI</m:t>
            </m:r>
            <m:ctrlPr>
              <w:rPr>
                <w:rFonts w:ascii="Cambria Math" w:hAnsi="Cambria Math"/>
              </w:rPr>
            </m:ctrlPr>
          </m:sub>
          <m:sup>
            <m:r>
              <m:rPr>
                <m:nor/>
              </m:rPr>
              <m:t>total</m:t>
            </m:r>
            <m:ctrlPr>
              <w:rPr>
                <w:rFonts w:ascii="Cambria Math" w:hAnsi="Cambria Math"/>
              </w:rPr>
            </m:ctrlPr>
          </m:sup>
        </m:sSubSup>
      </m:oMath>
      <w:r w:rsidRPr="00B916EC">
        <w:t xml:space="preserve"> </w:t>
      </w:r>
      <w:r w:rsidRPr="00B916EC">
        <w:rPr>
          <w:rFonts w:hint="eastAsia"/>
          <w:lang w:eastAsia="zh-CN"/>
        </w:rPr>
        <w:t xml:space="preserve">CSI </w:t>
      </w:r>
      <w:r w:rsidRPr="00B916EC">
        <w:rPr>
          <w:lang w:eastAsia="zh-CN"/>
        </w:rPr>
        <w:t>report bits</w:t>
      </w:r>
      <w:r w:rsidRPr="00B916EC">
        <w:rPr>
          <w:rFonts w:hint="eastAsia"/>
          <w:lang w:eastAsia="zh-CN"/>
        </w:rPr>
        <w:t xml:space="preserve"> </w:t>
      </w:r>
      <w:r>
        <w:rPr>
          <w:lang w:eastAsia="zh-CN"/>
        </w:rPr>
        <w:t>in a PUCCH over the first interlace</w:t>
      </w:r>
      <w:r>
        <w:t xml:space="preserve"> </w:t>
      </w:r>
    </w:p>
    <w:p w14:paraId="64C8BE9B" w14:textId="70371451" w:rsidR="004F4935" w:rsidRPr="00B916EC" w:rsidRDefault="004F4935" w:rsidP="003B1DCC">
      <w:pPr>
        <w:pStyle w:val="B1"/>
        <w:rPr>
          <w:lang w:eastAsia="zh-CN"/>
        </w:rPr>
      </w:pPr>
      <w:r>
        <w:rPr>
          <w:lang w:eastAsia="zh-CN"/>
        </w:rPr>
        <w:t>-</w:t>
      </w:r>
      <w:r>
        <w:rPr>
          <w:lang w:eastAsia="zh-CN"/>
        </w:rPr>
        <w:tab/>
        <w:t xml:space="preserve">else </w:t>
      </w:r>
      <w:r w:rsidRPr="00B916EC">
        <w:rPr>
          <w:rFonts w:hint="eastAsia"/>
          <w:lang w:eastAsia="zh-CN"/>
        </w:rPr>
        <w:t>if</w:t>
      </w:r>
      <w:r>
        <w:rPr>
          <w:lang w:eastAsia="zh-CN"/>
        </w:rPr>
        <w:t xml:space="preserve"> the UE is provided </w:t>
      </w:r>
      <w:r>
        <w:rPr>
          <w:lang w:val="en-US"/>
        </w:rPr>
        <w:t xml:space="preserve">a second interlace of </w:t>
      </w:r>
      <m:oMath>
        <m:sSubSup>
          <m:sSubSupPr>
            <m:ctrlPr>
              <w:rPr>
                <w:rFonts w:ascii="Cambria Math" w:hAnsi="Cambria Math"/>
                <w:i/>
              </w:rPr>
            </m:ctrlPr>
          </m:sSubSupPr>
          <m:e>
            <m:r>
              <w:rPr>
                <w:rFonts w:ascii="Cambria Math" w:hAnsi="Cambria Math"/>
              </w:rPr>
              <m:t>M</m:t>
            </m:r>
          </m:e>
          <m:sub>
            <m:r>
              <m:rPr>
                <m:nor/>
              </m:rPr>
              <m:t>Interlace,1</m:t>
            </m:r>
            <m:ctrlPr>
              <w:rPr>
                <w:rFonts w:ascii="Cambria Math" w:hAnsi="Cambria Math"/>
              </w:rPr>
            </m:ctrlPr>
          </m:sub>
          <m:sup>
            <m:r>
              <m:rPr>
                <m:nor/>
              </m:rPr>
              <m:t>PUCCH</m:t>
            </m:r>
            <m:ctrlPr>
              <w:rPr>
                <w:rFonts w:ascii="Cambria Math" w:hAnsi="Cambria Math"/>
              </w:rPr>
            </m:ctrlPr>
          </m:sup>
        </m:sSubSup>
      </m:oMath>
      <w:r>
        <w:rPr>
          <w:lang w:eastAsia="zh-CN"/>
        </w:rPr>
        <w:t xml:space="preserve"> PRBs </w:t>
      </w:r>
      <w:r>
        <w:rPr>
          <w:lang w:val="en-US"/>
        </w:rPr>
        <w:t xml:space="preserve">by </w:t>
      </w:r>
      <w:r w:rsidRPr="00284693">
        <w:rPr>
          <w:i/>
        </w:rPr>
        <w:t>interlace1</w:t>
      </w:r>
      <w:r>
        <w:t xml:space="preserve"> and </w:t>
      </w:r>
      <w:r w:rsidRPr="00B916EC">
        <w:rPr>
          <w:rFonts w:hint="eastAsia"/>
          <w:lang w:eastAsia="zh-CN"/>
        </w:rPr>
        <w:t>if</w:t>
      </w:r>
      <w:r>
        <w:rPr>
          <w:lang w:eastAsia="zh-CN"/>
        </w:rP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O</m:t>
                </m:r>
              </m:e>
              <m:sub>
                <m:r>
                  <m:rPr>
                    <m:nor/>
                  </m:rPr>
                  <m:t>ACK</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O</m:t>
                </m:r>
              </m:e>
              <m:sub>
                <m:r>
                  <m:rPr>
                    <m:nor/>
                  </m:rPr>
                  <m:t>SR</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O</m:t>
                </m:r>
              </m:e>
              <m:sub>
                <m:r>
                  <m:rPr>
                    <m:nor/>
                  </m:rPr>
                  <m:t>CSI</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O</m:t>
                </m:r>
              </m:e>
              <m:sub>
                <m:r>
                  <m:rPr>
                    <m:nor/>
                  </m:rPr>
                  <m:t>CRC</m:t>
                </m:r>
                <m:ctrlPr>
                  <w:rPr>
                    <w:rFonts w:ascii="Cambria Math" w:hAnsi="Cambria Math"/>
                  </w:rPr>
                </m:ctrlPr>
              </m:sub>
            </m:sSub>
          </m:e>
        </m:d>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m:rPr>
                    <m:nor/>
                  </m:rPr>
                  <m:t>Interlace,0</m:t>
                </m:r>
                <m:ctrlPr>
                  <w:rPr>
                    <w:rFonts w:ascii="Cambria Math" w:hAnsi="Cambria Math"/>
                  </w:rPr>
                </m:ctrlPr>
              </m:sub>
              <m:sup>
                <m:r>
                  <m:rPr>
                    <m:nor/>
                  </m:rPr>
                  <m:t>PUCCH</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M</m:t>
                </m:r>
              </m:e>
              <m:sub>
                <m:r>
                  <m:rPr>
                    <m:nor/>
                  </m:rPr>
                  <m:t>Interlace,1</m:t>
                </m:r>
                <m:ctrlPr>
                  <w:rPr>
                    <w:rFonts w:ascii="Cambria Math" w:hAnsi="Cambria Math"/>
                  </w:rPr>
                </m:ctrlPr>
              </m:sub>
              <m:sup>
                <m:r>
                  <m:rPr>
                    <m:nor/>
                  </m:rPr>
                  <m:t>PUCCH</m:t>
                </m:r>
                <m:ctrlPr>
                  <w:rPr>
                    <w:rFonts w:ascii="Cambria Math" w:hAnsi="Cambria Math"/>
                  </w:rPr>
                </m:ctrlPr>
              </m:sup>
            </m:sSubSup>
          </m:e>
        </m:d>
        <m:r>
          <w:rPr>
            <w:rFonts w:ascii="Cambria Math" w:hAnsi="Cambria Math" w:cs="Cambria Math"/>
          </w:rPr>
          <m:t>⋅</m:t>
        </m:r>
        <m:sSubSup>
          <m:sSubSupPr>
            <m:ctrlPr>
              <w:rPr>
                <w:rFonts w:ascii="Cambria Math" w:hAnsi="Cambria Math"/>
                <w:i/>
              </w:rPr>
            </m:ctrlPr>
          </m:sSubSupPr>
          <m:e>
            <m:r>
              <w:rPr>
                <w:rFonts w:ascii="Cambria Math" w:hAnsi="Cambria Math"/>
              </w:rPr>
              <m:t>N</m:t>
            </m:r>
          </m:e>
          <m:sub>
            <m:r>
              <m:rPr>
                <m:nor/>
              </m:rPr>
              <m:t>sc,ctrl</m:t>
            </m:r>
            <m:ctrlPr>
              <w:rPr>
                <w:rFonts w:ascii="Cambria Math" w:hAnsi="Cambria Math"/>
              </w:rPr>
            </m:ctrlPr>
          </m:sub>
          <m:sup>
            <m:r>
              <m:rPr>
                <m:nor/>
              </m:rPr>
              <m:t>RB</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hAnsi="Cambria Math"/>
              </w:rPr>
              <m:t>N</m:t>
            </m:r>
          </m:e>
          <m:sub>
            <m:r>
              <m:rPr>
                <m:nor/>
              </m:rPr>
              <m:t>symb-UCI</m:t>
            </m:r>
            <m:ctrlPr>
              <w:rPr>
                <w:rFonts w:ascii="Cambria Math" w:hAnsi="Cambria Math"/>
              </w:rPr>
            </m:ctrlPr>
          </m:sub>
          <m:sup>
            <m:r>
              <m:rPr>
                <m:nor/>
              </m:rPr>
              <m:t>PUCCH</m:t>
            </m:r>
            <m:ctrlPr>
              <w:rPr>
                <w:rFonts w:ascii="Cambria Math" w:hAnsi="Cambria Math"/>
              </w:rPr>
            </m:ctrlPr>
          </m:sup>
        </m:sSubSup>
        <m:r>
          <w:rPr>
            <w:rFonts w:ascii="Cambria Math" w:hAnsi="Cambria Math" w:cs="Cambria Math"/>
          </w:rPr>
          <m:t>⋅</m:t>
        </m:r>
        <m:sSub>
          <m:sSubPr>
            <m:ctrlPr>
              <w:rPr>
                <w:rFonts w:ascii="Cambria Math" w:hAnsi="Cambria Math"/>
                <w:i/>
              </w:rPr>
            </m:ctrlPr>
          </m:sSubPr>
          <m:e>
            <m:r>
              <w:rPr>
                <w:rFonts w:ascii="Cambria Math" w:hAnsi="Cambria Math"/>
              </w:rPr>
              <m:t>Q</m:t>
            </m:r>
          </m:e>
          <m:sub>
            <m:r>
              <w:rPr>
                <w:rFonts w:ascii="Cambria Math" w:hAnsi="Cambria Math"/>
              </w:rPr>
              <m:t>m</m:t>
            </m:r>
          </m:sub>
        </m:sSub>
        <m:r>
          <w:rPr>
            <w:rFonts w:ascii="Cambria Math" w:hAnsi="Cambria Math" w:cs="Cambria Math"/>
          </w:rPr>
          <m:t>⋅</m:t>
        </m:r>
        <m:r>
          <w:rPr>
            <w:rFonts w:ascii="Cambria Math" w:hAnsi="Cambria Math"/>
          </w:rPr>
          <m:t>r</m:t>
        </m:r>
      </m:oMath>
      <w:r>
        <w:rPr>
          <w:lang w:eastAsia="zh-CN"/>
        </w:rPr>
        <w:t xml:space="preserve">, </w:t>
      </w:r>
      <w:r w:rsidRPr="00B916EC">
        <w:rPr>
          <w:rFonts w:hint="eastAsia"/>
          <w:lang w:eastAsia="zh-CN"/>
        </w:rPr>
        <w:t>the UE transmit</w:t>
      </w:r>
      <w:r>
        <w:rPr>
          <w:lang w:val="en-US" w:eastAsia="zh-CN"/>
        </w:rPr>
        <w:t>s</w:t>
      </w:r>
      <w:r w:rsidRPr="00B916EC">
        <w:rPr>
          <w:rFonts w:hint="eastAsia"/>
          <w:lang w:eastAsia="zh-CN"/>
        </w:rPr>
        <w:t xml:space="preserve"> the HARQ-ACK</w:t>
      </w:r>
      <w:r>
        <w:rPr>
          <w:lang w:val="en-US" w:eastAsia="zh-CN"/>
        </w:rPr>
        <w:t xml:space="preserve">, </w:t>
      </w:r>
      <w:r w:rsidRPr="00B916EC">
        <w:rPr>
          <w:rFonts w:hint="eastAsia"/>
          <w:lang w:eastAsia="zh-CN"/>
        </w:rPr>
        <w:t>SR</w:t>
      </w:r>
      <w:r>
        <w:rPr>
          <w:lang w:val="en-US" w:eastAsia="zh-CN"/>
        </w:rPr>
        <w:t>,</w:t>
      </w:r>
      <w:r w:rsidRPr="00B916EC">
        <w:rPr>
          <w:rFonts w:hint="eastAsia"/>
          <w:lang w:eastAsia="zh-CN"/>
        </w:rPr>
        <w:t xml:space="preserve"> and CSI </w:t>
      </w:r>
      <w:r>
        <w:rPr>
          <w:lang w:val="en-US" w:eastAsia="zh-CN"/>
        </w:rPr>
        <w:t xml:space="preserve">reports </w:t>
      </w:r>
      <w:r w:rsidRPr="00B916EC">
        <w:rPr>
          <w:rFonts w:hint="eastAsia"/>
          <w:lang w:eastAsia="zh-CN"/>
        </w:rPr>
        <w:t xml:space="preserve">bits </w:t>
      </w:r>
      <w:r>
        <w:rPr>
          <w:lang w:eastAsia="zh-CN"/>
        </w:rPr>
        <w:t>in a PUCCH over both the first and second interlace</w:t>
      </w:r>
      <w:r>
        <w:t>s</w:t>
      </w:r>
    </w:p>
    <w:p w14:paraId="6BC56CB7" w14:textId="4B2FFBE2" w:rsidR="004F4935" w:rsidRPr="001C6B2D" w:rsidRDefault="004F4935" w:rsidP="001C6B2D">
      <w:pPr>
        <w:pStyle w:val="B1"/>
        <w:rPr>
          <w:lang w:val="en-US" w:eastAsia="zh-CN"/>
        </w:rPr>
      </w:pPr>
      <w:r w:rsidRPr="00276D17">
        <w:rPr>
          <w:lang w:eastAsia="zh-CN"/>
        </w:rPr>
        <w:t>-</w:t>
      </w:r>
      <w:r w:rsidRPr="00276D17">
        <w:rPr>
          <w:lang w:eastAsia="zh-CN"/>
        </w:rPr>
        <w:tab/>
        <w:t xml:space="preserve">else, the procedure is same as the corresponding one when the UE is provided </w:t>
      </w:r>
      <w:r w:rsidRPr="00276D17">
        <w:rPr>
          <w:i/>
        </w:rPr>
        <w:t>PUCCH-ResourceSet</w:t>
      </w:r>
      <w:r w:rsidRPr="00276D17">
        <w:rPr>
          <w:iCs/>
        </w:rPr>
        <w:t xml:space="preserve"> by replacing </w:t>
      </w:r>
      <m:oMath>
        <m:sSubSup>
          <m:sSubSupPr>
            <m:ctrlPr>
              <w:rPr>
                <w:rFonts w:ascii="Cambria Math" w:hAnsi="Cambria Math"/>
                <w:i/>
              </w:rPr>
            </m:ctrlPr>
          </m:sSubSupPr>
          <m:e>
            <m:r>
              <w:rPr>
                <w:rFonts w:ascii="Cambria Math" w:hAnsi="Cambria Math"/>
              </w:rPr>
              <m:t>M</m:t>
            </m:r>
          </m:e>
          <m:sub>
            <m:r>
              <m:rPr>
                <m:nor/>
              </m:rPr>
              <m:t>RB</m:t>
            </m:r>
            <m:ctrlPr>
              <w:rPr>
                <w:rFonts w:ascii="Cambria Math" w:hAnsi="Cambria Math"/>
              </w:rPr>
            </m:ctrlPr>
          </m:sub>
          <m:sup>
            <m:r>
              <m:rPr>
                <m:nor/>
              </m:rPr>
              <m:t>PUCCH</m:t>
            </m:r>
            <m:ctrlPr>
              <w:rPr>
                <w:rFonts w:ascii="Cambria Math" w:hAnsi="Cambria Math"/>
              </w:rPr>
            </m:ctrlPr>
          </m:sup>
        </m:sSubSup>
      </m:oMath>
      <w:r w:rsidRPr="00276D17">
        <w:t xml:space="preserve"> </w:t>
      </w:r>
      <w:r>
        <w:t xml:space="preserve">with </w:t>
      </w:r>
      <m:oMath>
        <m:sSubSup>
          <m:sSubSupPr>
            <m:ctrlPr>
              <w:rPr>
                <w:rFonts w:ascii="Cambria Math" w:hAnsi="Cambria Math"/>
                <w:i/>
              </w:rPr>
            </m:ctrlPr>
          </m:sSubSupPr>
          <m:e>
            <m:r>
              <w:rPr>
                <w:rFonts w:ascii="Cambria Math" w:hAnsi="Cambria Math"/>
              </w:rPr>
              <m:t>M</m:t>
            </m:r>
          </m:e>
          <m:sub>
            <m:r>
              <m:rPr>
                <m:nor/>
              </m:rPr>
              <m:t>Interlace,0</m:t>
            </m:r>
            <m:ctrlPr>
              <w:rPr>
                <w:rFonts w:ascii="Cambria Math" w:hAnsi="Cambria Math"/>
              </w:rPr>
            </m:ctrlPr>
          </m:sub>
          <m:sup>
            <m:r>
              <m:rPr>
                <m:nor/>
              </m:rPr>
              <m:t>PUCCH</m:t>
            </m:r>
            <m:ctrlPr>
              <w:rPr>
                <w:rFonts w:ascii="Cambria Math" w:hAnsi="Cambria Math"/>
              </w:rPr>
            </m:ctrlPr>
          </m:sup>
        </m:sSubSup>
      </m:oMath>
      <w:r>
        <w:t xml:space="preserve">, or, if the UE is provided </w:t>
      </w:r>
      <w:r w:rsidRPr="00284693">
        <w:rPr>
          <w:i/>
        </w:rPr>
        <w:t>interlace1</w:t>
      </w:r>
      <w:r>
        <w:t xml:space="preserve">, </w:t>
      </w:r>
      <w:r w:rsidRPr="00276D17">
        <w:t xml:space="preserve">with </w:t>
      </w:r>
      <m:oMath>
        <m:sSubSup>
          <m:sSubSupPr>
            <m:ctrlPr>
              <w:rPr>
                <w:rFonts w:ascii="Cambria Math" w:hAnsi="Cambria Math"/>
                <w:i/>
              </w:rPr>
            </m:ctrlPr>
          </m:sSubSupPr>
          <m:e>
            <m:r>
              <w:rPr>
                <w:rFonts w:ascii="Cambria Math" w:hAnsi="Cambria Math"/>
              </w:rPr>
              <m:t>M</m:t>
            </m:r>
          </m:e>
          <m:sub>
            <m:r>
              <m:rPr>
                <m:nor/>
              </m:rPr>
              <m:t>Interlace,0</m:t>
            </m:r>
            <m:ctrlPr>
              <w:rPr>
                <w:rFonts w:ascii="Cambria Math" w:hAnsi="Cambria Math"/>
              </w:rPr>
            </m:ctrlPr>
          </m:sub>
          <m:sup>
            <m:r>
              <m:rPr>
                <m:nor/>
              </m:rPr>
              <m:t>PUCCH</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M</m:t>
            </m:r>
          </m:e>
          <m:sub>
            <m:r>
              <m:rPr>
                <m:nor/>
              </m:rPr>
              <m:t>Interlace,1</m:t>
            </m:r>
            <m:ctrlPr>
              <w:rPr>
                <w:rFonts w:ascii="Cambria Math" w:hAnsi="Cambria Math"/>
              </w:rPr>
            </m:ctrlPr>
          </m:sub>
          <m:sup>
            <m:r>
              <m:rPr>
                <m:nor/>
              </m:rPr>
              <m:t>PUCCH</m:t>
            </m:r>
            <m:ctrlPr>
              <w:rPr>
                <w:rFonts w:ascii="Cambria Math" w:hAnsi="Cambria Math"/>
              </w:rPr>
            </m:ctrlPr>
          </m:sup>
        </m:sSubSup>
      </m:oMath>
      <w:r>
        <w:rPr>
          <w:lang w:val="en-US"/>
        </w:rPr>
        <w:t>.</w:t>
      </w:r>
    </w:p>
    <w:p w14:paraId="2BCC456F" w14:textId="52538F50" w:rsidR="003B48AB" w:rsidRPr="00B916EC" w:rsidRDefault="003B48AB" w:rsidP="0027125A">
      <w:pPr>
        <w:pStyle w:val="TH"/>
        <w:rPr>
          <w:lang w:eastAsia="zh-CN"/>
        </w:rPr>
      </w:pPr>
      <w:r w:rsidRPr="00B916EC">
        <w:t xml:space="preserve">Table </w:t>
      </w:r>
      <w:r w:rsidRPr="00B916EC">
        <w:rPr>
          <w:lang w:eastAsia="zh-CN"/>
        </w:rPr>
        <w:t>9.</w:t>
      </w:r>
      <w:r w:rsidR="00276A27" w:rsidRPr="00B916EC">
        <w:rPr>
          <w:lang w:eastAsia="zh-CN"/>
        </w:rPr>
        <w:t>2.</w:t>
      </w:r>
      <w:r w:rsidR="00167E49" w:rsidRPr="00B916EC">
        <w:rPr>
          <w:lang w:eastAsia="zh-CN"/>
        </w:rPr>
        <w:t>5.2</w:t>
      </w:r>
      <w:r w:rsidRPr="00B916EC">
        <w:t>-</w:t>
      </w:r>
      <w:r w:rsidR="001B4702" w:rsidRPr="00B916EC">
        <w:rPr>
          <w:lang w:eastAsia="zh-CN"/>
        </w:rPr>
        <w:t>1</w:t>
      </w:r>
      <w:r w:rsidRPr="00B916EC">
        <w:t xml:space="preserve">: </w:t>
      </w:r>
      <w:r w:rsidR="004452DE" w:rsidRPr="00B916EC">
        <w:rPr>
          <w:lang w:eastAsia="zh-CN"/>
        </w:rPr>
        <w:t>C</w:t>
      </w:r>
      <w:r w:rsidRPr="00B916EC">
        <w:rPr>
          <w:rFonts w:hint="eastAsia"/>
          <w:lang w:eastAsia="zh-CN"/>
        </w:rPr>
        <w:t xml:space="preserve">ode rate </w:t>
      </w:r>
      <m:oMath>
        <m:r>
          <m:rPr>
            <m:sty m:val="bi"/>
          </m:rPr>
          <w:rPr>
            <w:rFonts w:ascii="Cambria Math" w:hAnsi="Cambria Math"/>
          </w:rPr>
          <m:t>r</m:t>
        </m:r>
      </m:oMath>
      <w:r w:rsidRPr="00B916EC">
        <w:rPr>
          <w:rFonts w:hint="eastAsia"/>
          <w:sz w:val="18"/>
          <w:lang w:eastAsia="zh-CN"/>
        </w:rPr>
        <w:t xml:space="preserve"> </w:t>
      </w:r>
      <w:r w:rsidRPr="00B916EC">
        <w:rPr>
          <w:rFonts w:hint="eastAsia"/>
          <w:lang w:eastAsia="zh-CN"/>
        </w:rPr>
        <w:t xml:space="preserve">corresponding to </w:t>
      </w:r>
      <w:r w:rsidR="00F35AD7">
        <w:rPr>
          <w:lang w:eastAsia="zh-CN"/>
        </w:rPr>
        <w:t>value of</w:t>
      </w:r>
      <w:r w:rsidRPr="00B916EC">
        <w:rPr>
          <w:rFonts w:hint="eastAsia"/>
          <w:lang w:eastAsia="zh-CN"/>
        </w:rPr>
        <w:t xml:space="preserve"> </w:t>
      </w:r>
      <w:r w:rsidR="005F1FD6" w:rsidRPr="00E9524B">
        <w:rPr>
          <w:i/>
        </w:rPr>
        <w:t>maxCodeRate</w:t>
      </w:r>
    </w:p>
    <w:tbl>
      <w:tblPr>
        <w:tblW w:w="0" w:type="auto"/>
        <w:jc w:val="center"/>
        <w:tblLook w:val="0000" w:firstRow="0" w:lastRow="0" w:firstColumn="0" w:lastColumn="0" w:noHBand="0" w:noVBand="0"/>
      </w:tblPr>
      <w:tblGrid>
        <w:gridCol w:w="1338"/>
        <w:gridCol w:w="1244"/>
      </w:tblGrid>
      <w:tr w:rsidR="003B48AB" w:rsidRPr="00B916EC" w14:paraId="5FE7F2ED" w14:textId="77777777" w:rsidTr="0031120B">
        <w:trPr>
          <w:cantSplit/>
          <w:trHeight w:val="22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56906AD8" w14:textId="77777777" w:rsidR="003B48AB" w:rsidRPr="00B916EC" w:rsidRDefault="005F1FD6" w:rsidP="0031120B">
            <w:pPr>
              <w:keepNext/>
              <w:keepLines/>
              <w:spacing w:after="0"/>
              <w:jc w:val="center"/>
              <w:rPr>
                <w:rFonts w:ascii="Arial" w:hAnsi="Arial"/>
                <w:b/>
                <w:i/>
                <w:sz w:val="18"/>
              </w:rPr>
            </w:pPr>
            <w:r w:rsidRPr="00E9524B">
              <w:rPr>
                <w:i/>
              </w:rPr>
              <w:t>maxCodeRate</w:t>
            </w:r>
          </w:p>
        </w:tc>
        <w:tc>
          <w:tcPr>
            <w:tcW w:w="0" w:type="auto"/>
            <w:vMerge w:val="restart"/>
            <w:tcBorders>
              <w:top w:val="single" w:sz="4" w:space="0" w:color="auto"/>
              <w:left w:val="nil"/>
              <w:bottom w:val="single" w:sz="4" w:space="0" w:color="auto"/>
              <w:right w:val="single" w:sz="4" w:space="0" w:color="auto"/>
            </w:tcBorders>
            <w:shd w:val="clear" w:color="auto" w:fill="E0E0E0"/>
            <w:vAlign w:val="center"/>
          </w:tcPr>
          <w:p w14:paraId="7D5FD128" w14:textId="3C1B5418" w:rsidR="003B48AB" w:rsidRPr="00B916EC" w:rsidRDefault="003B48AB" w:rsidP="0031120B">
            <w:pPr>
              <w:keepNext/>
              <w:keepLines/>
              <w:spacing w:after="0"/>
              <w:jc w:val="center"/>
              <w:rPr>
                <w:rFonts w:ascii="Arial" w:hAnsi="Arial"/>
                <w:b/>
                <w:sz w:val="18"/>
              </w:rPr>
            </w:pPr>
            <w:r w:rsidRPr="00B916EC">
              <w:rPr>
                <w:rFonts w:ascii="Arial" w:hAnsi="Arial"/>
                <w:b/>
                <w:sz w:val="18"/>
                <w:lang w:eastAsia="zh-CN"/>
              </w:rPr>
              <w:t>C</w:t>
            </w:r>
            <w:r w:rsidRPr="00B916EC">
              <w:rPr>
                <w:rFonts w:ascii="Arial" w:hAnsi="Arial" w:hint="eastAsia"/>
                <w:b/>
                <w:sz w:val="18"/>
                <w:lang w:eastAsia="zh-CN"/>
              </w:rPr>
              <w:t xml:space="preserve">ode rate </w:t>
            </w:r>
            <m:oMath>
              <m:r>
                <m:rPr>
                  <m:sty m:val="bi"/>
                </m:rPr>
                <w:rPr>
                  <w:rFonts w:ascii="Cambria Math" w:hAnsi="Cambria Math"/>
                </w:rPr>
                <m:t>r</m:t>
              </m:r>
            </m:oMath>
            <w:r w:rsidRPr="00B916EC">
              <w:rPr>
                <w:rFonts w:ascii="Arial" w:hAnsi="Arial" w:hint="eastAsia"/>
                <w:b/>
                <w:sz w:val="18"/>
                <w:lang w:eastAsia="zh-CN"/>
              </w:rPr>
              <w:t xml:space="preserve"> </w:t>
            </w:r>
          </w:p>
        </w:tc>
      </w:tr>
      <w:tr w:rsidR="003B48AB" w:rsidRPr="00B916EC" w14:paraId="2CB833A1" w14:textId="77777777" w:rsidTr="0031120B">
        <w:trPr>
          <w:cantSplit/>
          <w:trHeight w:val="240"/>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605F50A0" w14:textId="77777777" w:rsidR="003B48AB" w:rsidRPr="00B916EC" w:rsidRDefault="003B48AB" w:rsidP="0031120B">
            <w:pPr>
              <w:spacing w:after="0"/>
              <w:rPr>
                <w:rFonts w:ascii="Arial" w:eastAsia="Batang" w:hAnsi="Arial" w:cs="Arial"/>
                <w:b/>
                <w:bCs/>
                <w:lang w:val="en-US"/>
              </w:rPr>
            </w:pPr>
          </w:p>
        </w:tc>
        <w:tc>
          <w:tcPr>
            <w:tcW w:w="0" w:type="auto"/>
            <w:vMerge/>
            <w:tcBorders>
              <w:top w:val="single" w:sz="4" w:space="0" w:color="auto"/>
              <w:left w:val="nil"/>
              <w:bottom w:val="single" w:sz="4" w:space="0" w:color="auto"/>
              <w:right w:val="single" w:sz="4" w:space="0" w:color="auto"/>
            </w:tcBorders>
            <w:shd w:val="clear" w:color="auto" w:fill="E0E0E0"/>
            <w:vAlign w:val="center"/>
          </w:tcPr>
          <w:p w14:paraId="43A504DC" w14:textId="77777777" w:rsidR="003B48AB" w:rsidRPr="00B916EC" w:rsidRDefault="003B48AB" w:rsidP="0031120B">
            <w:pPr>
              <w:spacing w:after="0"/>
              <w:rPr>
                <w:rFonts w:ascii="Arial" w:eastAsia="Batang" w:hAnsi="Arial" w:cs="Arial"/>
                <w:b/>
                <w:bCs/>
                <w:lang w:val="en-US"/>
              </w:rPr>
            </w:pPr>
          </w:p>
        </w:tc>
      </w:tr>
      <w:tr w:rsidR="003B48AB" w:rsidRPr="00B916EC" w14:paraId="31DC1F57" w14:textId="77777777" w:rsidTr="0031120B">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31A17ACF" w14:textId="77777777" w:rsidR="003B48AB" w:rsidRPr="00B916EC" w:rsidRDefault="003B48AB" w:rsidP="0031120B">
            <w:pPr>
              <w:keepNext/>
              <w:keepLines/>
              <w:spacing w:after="0"/>
              <w:jc w:val="center"/>
              <w:rPr>
                <w:rFonts w:ascii="Times" w:hAnsi="Times" w:cs="Arial"/>
                <w:b/>
                <w:bCs/>
                <w:sz w:val="18"/>
                <w:lang w:val="en-US" w:eastAsia="zh-CN"/>
              </w:rPr>
            </w:pPr>
            <w:r w:rsidRPr="00B916EC">
              <w:rPr>
                <w:rFonts w:ascii="Arial" w:hAnsi="Arial" w:hint="eastAsia"/>
                <w:sz w:val="18"/>
                <w:lang w:eastAsia="zh-CN"/>
              </w:rPr>
              <w:t>0</w:t>
            </w:r>
          </w:p>
        </w:tc>
        <w:tc>
          <w:tcPr>
            <w:tcW w:w="0" w:type="auto"/>
            <w:tcBorders>
              <w:top w:val="single" w:sz="4" w:space="0" w:color="auto"/>
              <w:left w:val="nil"/>
              <w:bottom w:val="single" w:sz="4" w:space="0" w:color="auto"/>
              <w:right w:val="single" w:sz="4" w:space="0" w:color="auto"/>
            </w:tcBorders>
            <w:vAlign w:val="center"/>
          </w:tcPr>
          <w:p w14:paraId="1AF13071" w14:textId="77777777" w:rsidR="003B48AB" w:rsidRPr="00B916EC" w:rsidRDefault="003B48AB" w:rsidP="0031120B">
            <w:pPr>
              <w:keepNext/>
              <w:keepLines/>
              <w:spacing w:after="0"/>
              <w:jc w:val="center"/>
              <w:rPr>
                <w:rFonts w:ascii="Arial" w:hAnsi="Arial"/>
                <w:sz w:val="18"/>
              </w:rPr>
            </w:pPr>
            <w:r w:rsidRPr="00B916EC">
              <w:rPr>
                <w:rFonts w:ascii="Arial" w:hAnsi="Arial"/>
                <w:sz w:val="18"/>
              </w:rPr>
              <w:t>0.08</w:t>
            </w:r>
          </w:p>
        </w:tc>
      </w:tr>
      <w:tr w:rsidR="003B48AB" w:rsidRPr="00B916EC" w14:paraId="0B31A2EA" w14:textId="77777777" w:rsidTr="0031120B">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4AB2099" w14:textId="77777777" w:rsidR="003B48AB" w:rsidRPr="00B916EC" w:rsidRDefault="003B48AB" w:rsidP="0031120B">
            <w:pPr>
              <w:keepNext/>
              <w:keepLines/>
              <w:spacing w:after="0"/>
              <w:jc w:val="center"/>
              <w:rPr>
                <w:rFonts w:ascii="Times" w:hAnsi="Times" w:cs="Arial"/>
                <w:b/>
                <w:bCs/>
                <w:sz w:val="18"/>
                <w:lang w:val="en-US" w:eastAsia="zh-CN"/>
              </w:rPr>
            </w:pPr>
            <w:r w:rsidRPr="00B916EC">
              <w:rPr>
                <w:rFonts w:ascii="Arial" w:hAnsi="Arial" w:hint="eastAsia"/>
                <w:sz w:val="18"/>
                <w:lang w:eastAsia="zh-CN"/>
              </w:rPr>
              <w:t>1</w:t>
            </w:r>
          </w:p>
        </w:tc>
        <w:tc>
          <w:tcPr>
            <w:tcW w:w="0" w:type="auto"/>
            <w:tcBorders>
              <w:top w:val="single" w:sz="4" w:space="0" w:color="auto"/>
              <w:left w:val="nil"/>
              <w:bottom w:val="single" w:sz="4" w:space="0" w:color="auto"/>
              <w:right w:val="single" w:sz="4" w:space="0" w:color="auto"/>
            </w:tcBorders>
            <w:vAlign w:val="center"/>
          </w:tcPr>
          <w:p w14:paraId="140E7F2D" w14:textId="77777777" w:rsidR="003B48AB" w:rsidRPr="00B916EC" w:rsidRDefault="003B48AB" w:rsidP="0031120B">
            <w:pPr>
              <w:keepNext/>
              <w:keepLines/>
              <w:spacing w:after="0"/>
              <w:jc w:val="center"/>
              <w:rPr>
                <w:rFonts w:ascii="Arial" w:hAnsi="Arial"/>
                <w:sz w:val="18"/>
              </w:rPr>
            </w:pPr>
            <w:r w:rsidRPr="00B916EC">
              <w:rPr>
                <w:rFonts w:ascii="Arial" w:hAnsi="Arial"/>
                <w:sz w:val="18"/>
              </w:rPr>
              <w:t>0.15</w:t>
            </w:r>
          </w:p>
        </w:tc>
      </w:tr>
      <w:tr w:rsidR="003B48AB" w:rsidRPr="00B916EC" w14:paraId="445DE1D7" w14:textId="77777777" w:rsidTr="0031120B">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0A439C04" w14:textId="77777777" w:rsidR="003B48AB" w:rsidRPr="00B916EC" w:rsidRDefault="003B48AB" w:rsidP="0031120B">
            <w:pPr>
              <w:keepNext/>
              <w:keepLines/>
              <w:spacing w:after="0"/>
              <w:jc w:val="center"/>
              <w:rPr>
                <w:rFonts w:ascii="Arial" w:hAnsi="Arial"/>
                <w:sz w:val="18"/>
                <w:lang w:eastAsia="zh-CN"/>
              </w:rPr>
            </w:pPr>
            <w:r w:rsidRPr="00B916EC">
              <w:rPr>
                <w:rFonts w:ascii="Arial" w:hAnsi="Arial" w:hint="eastAsia"/>
                <w:sz w:val="18"/>
                <w:lang w:eastAsia="zh-CN"/>
              </w:rPr>
              <w:t>2</w:t>
            </w:r>
          </w:p>
        </w:tc>
        <w:tc>
          <w:tcPr>
            <w:tcW w:w="0" w:type="auto"/>
            <w:tcBorders>
              <w:top w:val="single" w:sz="4" w:space="0" w:color="auto"/>
              <w:left w:val="nil"/>
              <w:bottom w:val="single" w:sz="4" w:space="0" w:color="auto"/>
              <w:right w:val="single" w:sz="4" w:space="0" w:color="auto"/>
            </w:tcBorders>
            <w:vAlign w:val="center"/>
          </w:tcPr>
          <w:p w14:paraId="5EC4F0FC" w14:textId="77777777" w:rsidR="003B48AB" w:rsidRPr="00B916EC" w:rsidRDefault="003B48AB" w:rsidP="0031120B">
            <w:pPr>
              <w:keepNext/>
              <w:keepLines/>
              <w:spacing w:after="0"/>
              <w:jc w:val="center"/>
              <w:rPr>
                <w:rFonts w:ascii="Arial" w:hAnsi="Arial"/>
                <w:sz w:val="18"/>
              </w:rPr>
            </w:pPr>
            <w:r w:rsidRPr="00B916EC">
              <w:rPr>
                <w:rFonts w:ascii="Arial" w:hAnsi="Arial"/>
                <w:sz w:val="18"/>
              </w:rPr>
              <w:t>0.25</w:t>
            </w:r>
          </w:p>
        </w:tc>
      </w:tr>
      <w:tr w:rsidR="003B48AB" w:rsidRPr="00B916EC" w14:paraId="65721DE3" w14:textId="77777777" w:rsidTr="0031120B">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0ADDD54" w14:textId="77777777" w:rsidR="003B48AB" w:rsidRPr="00B916EC" w:rsidRDefault="003B48AB" w:rsidP="0031120B">
            <w:pPr>
              <w:keepNext/>
              <w:keepLines/>
              <w:spacing w:after="0"/>
              <w:jc w:val="center"/>
              <w:rPr>
                <w:rFonts w:ascii="Arial" w:hAnsi="Arial"/>
                <w:sz w:val="18"/>
                <w:lang w:eastAsia="zh-CN"/>
              </w:rPr>
            </w:pPr>
            <w:r w:rsidRPr="00B916EC">
              <w:rPr>
                <w:rFonts w:ascii="Arial" w:hAnsi="Arial" w:hint="eastAsia"/>
                <w:sz w:val="18"/>
                <w:lang w:eastAsia="zh-CN"/>
              </w:rPr>
              <w:t>3</w:t>
            </w:r>
          </w:p>
        </w:tc>
        <w:tc>
          <w:tcPr>
            <w:tcW w:w="0" w:type="auto"/>
            <w:tcBorders>
              <w:top w:val="single" w:sz="4" w:space="0" w:color="auto"/>
              <w:left w:val="nil"/>
              <w:bottom w:val="single" w:sz="4" w:space="0" w:color="auto"/>
              <w:right w:val="single" w:sz="4" w:space="0" w:color="auto"/>
            </w:tcBorders>
            <w:vAlign w:val="center"/>
          </w:tcPr>
          <w:p w14:paraId="0910D2C2" w14:textId="77777777" w:rsidR="003B48AB" w:rsidRPr="00B916EC" w:rsidRDefault="003B48AB" w:rsidP="0031120B">
            <w:pPr>
              <w:keepNext/>
              <w:keepLines/>
              <w:spacing w:after="0"/>
              <w:jc w:val="center"/>
              <w:rPr>
                <w:rFonts w:ascii="Arial" w:hAnsi="Arial"/>
                <w:sz w:val="18"/>
              </w:rPr>
            </w:pPr>
            <w:r w:rsidRPr="00B916EC">
              <w:rPr>
                <w:rFonts w:ascii="Arial" w:hAnsi="Arial"/>
                <w:sz w:val="18"/>
              </w:rPr>
              <w:t>0.35</w:t>
            </w:r>
          </w:p>
        </w:tc>
      </w:tr>
      <w:tr w:rsidR="003B48AB" w:rsidRPr="00B916EC" w14:paraId="696C7114" w14:textId="77777777" w:rsidTr="0031120B">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5F17D42" w14:textId="77777777" w:rsidR="003B48AB" w:rsidRPr="00B916EC" w:rsidRDefault="003B48AB" w:rsidP="0031120B">
            <w:pPr>
              <w:keepNext/>
              <w:keepLines/>
              <w:spacing w:after="0"/>
              <w:jc w:val="center"/>
              <w:rPr>
                <w:rFonts w:ascii="Arial" w:hAnsi="Arial"/>
                <w:sz w:val="18"/>
                <w:lang w:eastAsia="zh-CN"/>
              </w:rPr>
            </w:pPr>
            <w:r w:rsidRPr="00B916EC">
              <w:rPr>
                <w:rFonts w:ascii="Arial" w:hAnsi="Arial" w:hint="eastAsia"/>
                <w:sz w:val="18"/>
                <w:lang w:eastAsia="zh-CN"/>
              </w:rPr>
              <w:t>4</w:t>
            </w:r>
          </w:p>
        </w:tc>
        <w:tc>
          <w:tcPr>
            <w:tcW w:w="0" w:type="auto"/>
            <w:tcBorders>
              <w:top w:val="single" w:sz="4" w:space="0" w:color="auto"/>
              <w:left w:val="nil"/>
              <w:bottom w:val="single" w:sz="4" w:space="0" w:color="auto"/>
              <w:right w:val="single" w:sz="4" w:space="0" w:color="auto"/>
            </w:tcBorders>
            <w:vAlign w:val="center"/>
          </w:tcPr>
          <w:p w14:paraId="7C5F271D" w14:textId="77777777" w:rsidR="003B48AB" w:rsidRPr="00B916EC" w:rsidRDefault="003B48AB" w:rsidP="0031120B">
            <w:pPr>
              <w:keepNext/>
              <w:keepLines/>
              <w:spacing w:after="0"/>
              <w:jc w:val="center"/>
              <w:rPr>
                <w:rFonts w:ascii="Arial" w:hAnsi="Arial"/>
                <w:sz w:val="18"/>
              </w:rPr>
            </w:pPr>
            <w:r w:rsidRPr="00B916EC">
              <w:rPr>
                <w:rFonts w:ascii="Arial" w:hAnsi="Arial"/>
                <w:sz w:val="18"/>
              </w:rPr>
              <w:t>0.45</w:t>
            </w:r>
          </w:p>
        </w:tc>
      </w:tr>
      <w:tr w:rsidR="003B48AB" w:rsidRPr="00B916EC" w14:paraId="44514796" w14:textId="77777777" w:rsidTr="0031120B">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003AFBB0" w14:textId="77777777" w:rsidR="003B48AB" w:rsidRPr="00B916EC" w:rsidRDefault="003B48AB" w:rsidP="0031120B">
            <w:pPr>
              <w:keepNext/>
              <w:keepLines/>
              <w:spacing w:after="0"/>
              <w:jc w:val="center"/>
              <w:rPr>
                <w:rFonts w:ascii="Arial" w:hAnsi="Arial"/>
                <w:sz w:val="18"/>
                <w:lang w:eastAsia="zh-CN"/>
              </w:rPr>
            </w:pPr>
            <w:r w:rsidRPr="00B916EC">
              <w:rPr>
                <w:rFonts w:ascii="Arial" w:hAnsi="Arial" w:hint="eastAsia"/>
                <w:sz w:val="18"/>
                <w:lang w:eastAsia="zh-CN"/>
              </w:rPr>
              <w:t>5</w:t>
            </w:r>
          </w:p>
        </w:tc>
        <w:tc>
          <w:tcPr>
            <w:tcW w:w="0" w:type="auto"/>
            <w:tcBorders>
              <w:top w:val="single" w:sz="4" w:space="0" w:color="auto"/>
              <w:left w:val="nil"/>
              <w:bottom w:val="single" w:sz="4" w:space="0" w:color="auto"/>
              <w:right w:val="single" w:sz="4" w:space="0" w:color="auto"/>
            </w:tcBorders>
            <w:vAlign w:val="center"/>
          </w:tcPr>
          <w:p w14:paraId="71D6463B" w14:textId="77777777" w:rsidR="003B48AB" w:rsidRPr="00B916EC" w:rsidRDefault="003B48AB" w:rsidP="0031120B">
            <w:pPr>
              <w:keepNext/>
              <w:keepLines/>
              <w:spacing w:after="0"/>
              <w:jc w:val="center"/>
              <w:rPr>
                <w:rFonts w:ascii="Arial" w:hAnsi="Arial"/>
                <w:sz w:val="18"/>
              </w:rPr>
            </w:pPr>
            <w:r w:rsidRPr="00B916EC">
              <w:rPr>
                <w:rFonts w:ascii="Arial" w:hAnsi="Arial"/>
                <w:sz w:val="18"/>
              </w:rPr>
              <w:t>0.60</w:t>
            </w:r>
          </w:p>
        </w:tc>
      </w:tr>
      <w:tr w:rsidR="003B48AB" w:rsidRPr="00B916EC" w14:paraId="2C59E9F5" w14:textId="77777777" w:rsidTr="0031120B">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7D341AFB" w14:textId="77777777" w:rsidR="003B48AB" w:rsidRPr="00B916EC" w:rsidRDefault="003B48AB" w:rsidP="0031120B">
            <w:pPr>
              <w:keepNext/>
              <w:keepLines/>
              <w:spacing w:after="0"/>
              <w:jc w:val="center"/>
              <w:rPr>
                <w:rFonts w:ascii="Arial" w:hAnsi="Arial"/>
                <w:sz w:val="18"/>
                <w:lang w:eastAsia="zh-CN"/>
              </w:rPr>
            </w:pPr>
            <w:r w:rsidRPr="00B916EC">
              <w:rPr>
                <w:rFonts w:ascii="Arial" w:hAnsi="Arial" w:hint="eastAsia"/>
                <w:sz w:val="18"/>
                <w:lang w:eastAsia="zh-CN"/>
              </w:rPr>
              <w:t>6</w:t>
            </w:r>
          </w:p>
        </w:tc>
        <w:tc>
          <w:tcPr>
            <w:tcW w:w="0" w:type="auto"/>
            <w:tcBorders>
              <w:top w:val="single" w:sz="4" w:space="0" w:color="auto"/>
              <w:left w:val="nil"/>
              <w:bottom w:val="single" w:sz="4" w:space="0" w:color="auto"/>
              <w:right w:val="single" w:sz="4" w:space="0" w:color="auto"/>
            </w:tcBorders>
            <w:vAlign w:val="center"/>
          </w:tcPr>
          <w:p w14:paraId="52FC190D" w14:textId="77777777" w:rsidR="003B48AB" w:rsidRPr="00B916EC" w:rsidRDefault="003B48AB" w:rsidP="0031120B">
            <w:pPr>
              <w:keepNext/>
              <w:keepLines/>
              <w:spacing w:after="0"/>
              <w:jc w:val="center"/>
              <w:rPr>
                <w:rFonts w:ascii="Arial" w:hAnsi="Arial"/>
                <w:sz w:val="18"/>
              </w:rPr>
            </w:pPr>
            <w:r w:rsidRPr="00B916EC">
              <w:rPr>
                <w:rFonts w:ascii="Arial" w:hAnsi="Arial"/>
                <w:sz w:val="18"/>
              </w:rPr>
              <w:t>0.80</w:t>
            </w:r>
          </w:p>
        </w:tc>
      </w:tr>
      <w:tr w:rsidR="003B48AB" w:rsidRPr="00B916EC" w14:paraId="073A3A20" w14:textId="77777777" w:rsidTr="0031120B">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10711481" w14:textId="77777777" w:rsidR="003B48AB" w:rsidRPr="00B916EC" w:rsidRDefault="003B48AB" w:rsidP="0031120B">
            <w:pPr>
              <w:keepNext/>
              <w:keepLines/>
              <w:spacing w:after="0"/>
              <w:jc w:val="center"/>
              <w:rPr>
                <w:rFonts w:ascii="Arial" w:hAnsi="Arial"/>
                <w:sz w:val="18"/>
                <w:lang w:eastAsia="zh-CN"/>
              </w:rPr>
            </w:pPr>
            <w:r w:rsidRPr="00B916EC">
              <w:rPr>
                <w:rFonts w:ascii="Arial" w:hAnsi="Arial" w:hint="eastAsia"/>
                <w:sz w:val="18"/>
                <w:lang w:eastAsia="zh-CN"/>
              </w:rPr>
              <w:t>7</w:t>
            </w:r>
          </w:p>
        </w:tc>
        <w:tc>
          <w:tcPr>
            <w:tcW w:w="0" w:type="auto"/>
            <w:tcBorders>
              <w:top w:val="single" w:sz="4" w:space="0" w:color="auto"/>
              <w:left w:val="nil"/>
              <w:bottom w:val="single" w:sz="4" w:space="0" w:color="auto"/>
              <w:right w:val="single" w:sz="4" w:space="0" w:color="auto"/>
            </w:tcBorders>
            <w:vAlign w:val="center"/>
          </w:tcPr>
          <w:p w14:paraId="5D2C4AB0" w14:textId="77777777" w:rsidR="003B48AB" w:rsidRPr="00B916EC" w:rsidRDefault="003B48AB" w:rsidP="0031120B">
            <w:pPr>
              <w:keepNext/>
              <w:keepLines/>
              <w:spacing w:after="0"/>
              <w:jc w:val="center"/>
              <w:rPr>
                <w:rFonts w:ascii="Arial" w:hAnsi="Arial"/>
                <w:sz w:val="18"/>
              </w:rPr>
            </w:pPr>
            <w:r w:rsidRPr="00B916EC">
              <w:rPr>
                <w:rFonts w:ascii="Arial" w:hAnsi="Arial"/>
                <w:sz w:val="18"/>
              </w:rPr>
              <w:t>Reserved</w:t>
            </w:r>
          </w:p>
        </w:tc>
      </w:tr>
    </w:tbl>
    <w:p w14:paraId="5FD49E96" w14:textId="7AB11846" w:rsidR="00A409D9" w:rsidRDefault="00A409D9" w:rsidP="00905C6C">
      <w:pPr>
        <w:rPr>
          <w:lang w:val="en-US"/>
        </w:rPr>
      </w:pPr>
    </w:p>
    <w:p w14:paraId="2E40165F" w14:textId="77777777" w:rsidR="00905C6C" w:rsidRPr="00111FF6" w:rsidRDefault="00905C6C" w:rsidP="002F14D6">
      <w:pPr>
        <w:pStyle w:val="Heading4"/>
      </w:pPr>
      <w:bookmarkStart w:id="613" w:name="_Toc161999137"/>
      <w:r w:rsidRPr="00111FF6">
        <w:t>9</w:t>
      </w:r>
      <w:r w:rsidRPr="00111FF6">
        <w:rPr>
          <w:rFonts w:hint="eastAsia"/>
        </w:rPr>
        <w:t>.</w:t>
      </w:r>
      <w:r w:rsidRPr="00111FF6">
        <w:t>2.5.3</w:t>
      </w:r>
      <w:r w:rsidRPr="00111FF6">
        <w:rPr>
          <w:rFonts w:hint="eastAsia"/>
        </w:rPr>
        <w:tab/>
      </w:r>
      <w:r w:rsidRPr="00111FF6">
        <w:t>UE procedure for reporting UCI of different priorities</w:t>
      </w:r>
      <w:bookmarkEnd w:id="613"/>
    </w:p>
    <w:p w14:paraId="6BA70F07" w14:textId="77777777" w:rsidR="00905C6C" w:rsidRPr="00111FF6" w:rsidRDefault="00905C6C" w:rsidP="00905C6C">
      <w:r w:rsidRPr="00111FF6">
        <w:t xml:space="preserve">If a UE </w:t>
      </w:r>
    </w:p>
    <w:p w14:paraId="02F87B8E" w14:textId="77777777" w:rsidR="00905C6C" w:rsidRPr="00111FF6" w:rsidRDefault="00905C6C" w:rsidP="00905C6C">
      <w:pPr>
        <w:pStyle w:val="B1"/>
        <w:rPr>
          <w:lang w:val="en-US"/>
        </w:rPr>
      </w:pPr>
      <w:r w:rsidRPr="00111FF6">
        <w:t>-</w:t>
      </w:r>
      <w:r w:rsidRPr="00111FF6">
        <w:tab/>
        <w:t xml:space="preserve">is provided </w:t>
      </w:r>
      <w:r w:rsidRPr="00111FF6">
        <w:rPr>
          <w:i/>
          <w:iCs/>
        </w:rPr>
        <w:t>PUCCH-Config</w:t>
      </w:r>
      <w:r w:rsidRPr="00111FF6">
        <w:rPr>
          <w:i/>
          <w:iCs/>
          <w:lang w:val="en-US"/>
        </w:rPr>
        <w:t>urationList</w:t>
      </w:r>
      <w:r w:rsidRPr="00111FF6">
        <w:t xml:space="preserve"> for PUCCH transmissions with priority 0 and 1</w:t>
      </w:r>
      <w:r w:rsidRPr="00111FF6">
        <w:rPr>
          <w:lang w:val="en-US"/>
        </w:rPr>
        <w:t>,</w:t>
      </w:r>
    </w:p>
    <w:p w14:paraId="11A89B61" w14:textId="3BEFFBC8" w:rsidR="00905C6C" w:rsidRPr="00111FF6" w:rsidRDefault="00905C6C" w:rsidP="00905C6C">
      <w:pPr>
        <w:pStyle w:val="B1"/>
      </w:pPr>
      <w:r w:rsidRPr="00111FF6">
        <w:t>-</w:t>
      </w:r>
      <w:r w:rsidRPr="00111FF6">
        <w:tab/>
        <w:t xml:space="preserve">is provided </w:t>
      </w:r>
      <w:r w:rsidR="00561433">
        <w:rPr>
          <w:i/>
          <w:iCs/>
          <w:lang w:val="en-US"/>
        </w:rPr>
        <w:t>uci</w:t>
      </w:r>
      <w:r w:rsidR="00561433" w:rsidRPr="00111FF6">
        <w:rPr>
          <w:i/>
          <w:iCs/>
        </w:rPr>
        <w:t>-MuxWithDiffPrio</w:t>
      </w:r>
      <w:r w:rsidRPr="00111FF6">
        <w:rPr>
          <w:lang w:val="en-US"/>
        </w:rPr>
        <w:t>, and</w:t>
      </w:r>
      <w:r w:rsidRPr="00111FF6">
        <w:t xml:space="preserve"> </w:t>
      </w:r>
    </w:p>
    <w:p w14:paraId="0C5D92D7" w14:textId="6D75F5C4" w:rsidR="00905C6C" w:rsidRPr="00111FF6" w:rsidRDefault="00905C6C" w:rsidP="00905C6C">
      <w:pPr>
        <w:pStyle w:val="B1"/>
        <w:rPr>
          <w:lang w:val="en-US"/>
        </w:rPr>
      </w:pPr>
      <w:r w:rsidRPr="00111FF6">
        <w:t>-</w:t>
      </w:r>
      <w:r w:rsidRPr="00111FF6">
        <w:tab/>
      </w:r>
      <w:r w:rsidRPr="00111FF6">
        <w:rPr>
          <w:lang w:val="en-US"/>
        </w:rPr>
        <w:t>would transmit</w:t>
      </w:r>
      <w:r w:rsidRPr="00111FF6">
        <w:t xml:space="preserve"> </w:t>
      </w:r>
      <w:r w:rsidRPr="00111FF6">
        <w:rPr>
          <w:lang w:val="en-US"/>
        </w:rPr>
        <w:t xml:space="preserve">overlapping PUCCHs that include a </w:t>
      </w:r>
      <w:r w:rsidR="008A749C" w:rsidRPr="00647C89">
        <w:rPr>
          <w:lang w:val="en-US"/>
        </w:rPr>
        <w:t xml:space="preserve">first </w:t>
      </w:r>
      <w:r w:rsidRPr="00111FF6">
        <w:rPr>
          <w:lang w:val="en-US"/>
        </w:rPr>
        <w:t xml:space="preserve">PUCCH with </w:t>
      </w:r>
      <m:oMath>
        <m:sSub>
          <m:sSubPr>
            <m:ctrlPr>
              <w:rPr>
                <w:rFonts w:ascii="Cambria Math" w:hAnsi="Cambria Math"/>
                <w:i/>
                <w:lang w:val="en-US"/>
              </w:rPr>
            </m:ctrlPr>
          </m:sSubPr>
          <m:e>
            <m:r>
              <w:rPr>
                <w:rFonts w:ascii="Cambria Math" w:hAnsi="Cambria Math"/>
                <w:lang w:val="en-US"/>
              </w:rPr>
              <m:t>O</m:t>
            </m:r>
          </m:e>
          <m:sub>
            <m:r>
              <m:rPr>
                <m:sty m:val="p"/>
              </m:rPr>
              <w:rPr>
                <w:rFonts w:ascii="Cambria Math" w:hAnsi="Cambria Math"/>
                <w:lang w:val="en-US"/>
              </w:rPr>
              <m:t>ACK,0</m:t>
            </m:r>
          </m:sub>
        </m:sSub>
      </m:oMath>
      <w:r w:rsidRPr="00111FF6">
        <w:rPr>
          <w:lang w:val="en-US"/>
        </w:rPr>
        <w:t xml:space="preserve"> </w:t>
      </w:r>
      <w:r w:rsidRPr="00111FF6">
        <w:t xml:space="preserve">HARQ-ACK information </w:t>
      </w:r>
      <w:r w:rsidRPr="00111FF6">
        <w:rPr>
          <w:lang w:val="en-US"/>
        </w:rPr>
        <w:t xml:space="preserve">bits </w:t>
      </w:r>
      <w:r w:rsidRPr="00111FF6">
        <w:t xml:space="preserve">of priority 0 </w:t>
      </w:r>
      <w:r w:rsidRPr="00111FF6">
        <w:rPr>
          <w:lang w:val="en-US"/>
        </w:rPr>
        <w:t xml:space="preserve">and a </w:t>
      </w:r>
      <w:r w:rsidR="008A749C">
        <w:rPr>
          <w:lang w:val="en-US"/>
        </w:rPr>
        <w:t xml:space="preserve">second </w:t>
      </w:r>
      <w:r w:rsidRPr="00111FF6">
        <w:rPr>
          <w:lang w:val="en-US"/>
        </w:rPr>
        <w:t xml:space="preserve">PUCCH with </w:t>
      </w:r>
      <m:oMath>
        <m:sSub>
          <m:sSubPr>
            <m:ctrlPr>
              <w:rPr>
                <w:rFonts w:ascii="Cambria Math" w:hAnsi="Cambria Math"/>
                <w:i/>
                <w:lang w:val="en-US"/>
              </w:rPr>
            </m:ctrlPr>
          </m:sSubPr>
          <m:e>
            <m:r>
              <w:rPr>
                <w:rFonts w:ascii="Cambria Math" w:hAnsi="Cambria Math"/>
                <w:lang w:val="en-US"/>
              </w:rPr>
              <m:t>O</m:t>
            </m:r>
          </m:e>
          <m:sub>
            <m:r>
              <m:rPr>
                <m:sty m:val="p"/>
              </m:rPr>
              <w:rPr>
                <w:rFonts w:ascii="Cambria Math" w:hAnsi="Cambria Math"/>
                <w:lang w:val="en-US"/>
              </w:rPr>
              <m:t>ACK,1</m:t>
            </m:r>
          </m:sub>
        </m:sSub>
      </m:oMath>
      <w:r w:rsidRPr="00111FF6">
        <w:rPr>
          <w:lang w:val="en-US"/>
        </w:rPr>
        <w:t xml:space="preserve"> </w:t>
      </w:r>
      <w:r w:rsidRPr="00111FF6">
        <w:t xml:space="preserve">HARQ-ACK information </w:t>
      </w:r>
      <w:r w:rsidRPr="00111FF6">
        <w:rPr>
          <w:lang w:val="en-US"/>
        </w:rPr>
        <w:t xml:space="preserve">bits </w:t>
      </w:r>
      <w:r w:rsidRPr="00111FF6">
        <w:t xml:space="preserve">of priority </w:t>
      </w:r>
      <w:r w:rsidRPr="00111FF6">
        <w:rPr>
          <w:lang w:val="en-US"/>
        </w:rPr>
        <w:t>1</w:t>
      </w:r>
    </w:p>
    <w:p w14:paraId="1FA535C3" w14:textId="77777777" w:rsidR="008A749C" w:rsidRPr="00647C89" w:rsidRDefault="008A749C" w:rsidP="008A749C">
      <w:pPr>
        <w:pStyle w:val="B2"/>
      </w:pPr>
      <w:r w:rsidRPr="00647C89">
        <w:t>-</w:t>
      </w:r>
      <w:r w:rsidRPr="00647C89">
        <w:tab/>
        <w:t xml:space="preserve">if the PUCCH resource for the second PUCCH includes PUCCH format 2, 3, or 4 and additionally includes </w:t>
      </w:r>
      <m:oMath>
        <m:sSub>
          <m:sSubPr>
            <m:ctrlPr>
              <w:rPr>
                <w:rFonts w:ascii="Cambria Math" w:hAnsi="Cambria Math"/>
                <w:i/>
              </w:rPr>
            </m:ctrlPr>
          </m:sSubPr>
          <m:e>
            <m:r>
              <w:rPr>
                <w:rFonts w:ascii="Cambria Math" w:hAnsi="Cambria Math"/>
              </w:rPr>
              <m:t>O</m:t>
            </m:r>
          </m:e>
          <m:sub>
            <m:r>
              <m:rPr>
                <m:sty m:val="p"/>
              </m:rPr>
              <w:rPr>
                <w:rFonts w:ascii="Cambria Math" w:hAnsi="Cambria Math"/>
              </w:rPr>
              <m:t>SR,1</m:t>
            </m:r>
          </m:sub>
        </m:sSub>
      </m:oMath>
      <w:r w:rsidRPr="00647C89">
        <w:t xml:space="preserve"> SR bits of priority 1, </w:t>
      </w:r>
      <m:oMath>
        <m:sSub>
          <m:sSubPr>
            <m:ctrlPr>
              <w:rPr>
                <w:rFonts w:ascii="Cambria Math" w:hAnsi="Cambria Math"/>
                <w:i/>
              </w:rPr>
            </m:ctrlPr>
          </m:sSubPr>
          <m:e>
            <m:r>
              <w:rPr>
                <w:rFonts w:ascii="Cambria Math" w:hAnsi="Cambria Math"/>
              </w:rPr>
              <m:t>O</m:t>
            </m:r>
          </m:e>
          <m:sub>
            <m:r>
              <m:rPr>
                <m:sty m:val="p"/>
              </m:rPr>
              <w:rPr>
                <w:rFonts w:ascii="Cambria Math" w:hAnsi="Cambria Math"/>
              </w:rPr>
              <m:t>ACK,1</m:t>
            </m:r>
          </m:sub>
        </m:sSub>
      </m:oMath>
      <w:r w:rsidRPr="00647C89">
        <w:rPr>
          <w:rFonts w:hint="eastAsia"/>
          <w:lang w:eastAsia="zh-CN"/>
        </w:rPr>
        <w:t xml:space="preserve"> </w:t>
      </w:r>
      <w:r w:rsidRPr="00647C89">
        <w:rPr>
          <w:lang w:eastAsia="zh-CN"/>
        </w:rPr>
        <w:t xml:space="preserve">is replaced by </w:t>
      </w:r>
      <m:oMath>
        <m:sSub>
          <m:sSubPr>
            <m:ctrlPr>
              <w:rPr>
                <w:rFonts w:ascii="Cambria Math" w:hAnsi="Cambria Math"/>
                <w:i/>
              </w:rPr>
            </m:ctrlPr>
          </m:sSubPr>
          <m:e>
            <m:r>
              <w:rPr>
                <w:rFonts w:ascii="Cambria Math" w:hAnsi="Cambria Math"/>
              </w:rPr>
              <m:t>O</m:t>
            </m:r>
          </m:e>
          <m:sub>
            <m:r>
              <m:rPr>
                <m:sty m:val="p"/>
              </m:rPr>
              <w:rPr>
                <w:rFonts w:ascii="Cambria Math" w:hAnsi="Cambria Math"/>
              </w:rPr>
              <m:t>ACK,1</m:t>
            </m:r>
          </m:sub>
        </m:sSub>
        <m:r>
          <w:rPr>
            <w:rFonts w:ascii="Cambria Math" w:hAnsi="Cambria Math"/>
          </w:rPr>
          <m:t>+</m:t>
        </m:r>
        <m:sSub>
          <m:sSubPr>
            <m:ctrlPr>
              <w:rPr>
                <w:rFonts w:ascii="Cambria Math" w:hAnsi="Cambria Math"/>
                <w:i/>
              </w:rPr>
            </m:ctrlPr>
          </m:sSubPr>
          <m:e>
            <m:r>
              <w:rPr>
                <w:rFonts w:ascii="Cambria Math" w:hAnsi="Cambria Math"/>
              </w:rPr>
              <m:t>O</m:t>
            </m:r>
          </m:e>
          <m:sub>
            <m:r>
              <m:rPr>
                <m:sty m:val="p"/>
              </m:rPr>
              <w:rPr>
                <w:rFonts w:ascii="Cambria Math" w:hAnsi="Cambria Math"/>
              </w:rPr>
              <m:t>SR,1</m:t>
            </m:r>
          </m:sub>
        </m:sSub>
      </m:oMath>
      <w:r w:rsidRPr="00647C89">
        <w:rPr>
          <w:rFonts w:hint="eastAsia"/>
          <w:lang w:eastAsia="zh-CN"/>
        </w:rPr>
        <w:t xml:space="preserve"> </w:t>
      </w:r>
      <w:r w:rsidRPr="00647C89">
        <w:rPr>
          <w:lang w:eastAsia="zh-CN"/>
        </w:rPr>
        <w:t xml:space="preserve">where </w:t>
      </w:r>
      <m:oMath>
        <m:sSub>
          <m:sSubPr>
            <m:ctrlPr>
              <w:rPr>
                <w:rFonts w:ascii="Cambria Math" w:hAnsi="Cambria Math"/>
                <w:i/>
              </w:rPr>
            </m:ctrlPr>
          </m:sSubPr>
          <m:e>
            <m:r>
              <w:rPr>
                <w:rFonts w:ascii="Cambria Math" w:hAnsi="Cambria Math"/>
              </w:rPr>
              <m:t>O</m:t>
            </m:r>
          </m:e>
          <m:sub>
            <m:r>
              <m:rPr>
                <m:sty m:val="p"/>
              </m:rPr>
              <w:rPr>
                <w:rFonts w:ascii="Cambria Math" w:hAnsi="Cambria Math"/>
              </w:rPr>
              <m:t>SR,1</m:t>
            </m:r>
          </m:sub>
        </m:sSub>
      </m:oMath>
      <w:r w:rsidRPr="00647C89">
        <w:rPr>
          <w:rFonts w:hint="eastAsia"/>
          <w:lang w:eastAsia="zh-CN"/>
        </w:rPr>
        <w:t xml:space="preserve"> i</w:t>
      </w:r>
      <w:r w:rsidRPr="00647C89">
        <w:rPr>
          <w:lang w:eastAsia="zh-CN"/>
        </w:rPr>
        <w:t>s determined according to clause 9.2.5.1</w:t>
      </w:r>
    </w:p>
    <w:p w14:paraId="7CD6E7DE" w14:textId="77777777" w:rsidR="00905C6C" w:rsidRPr="00111FF6" w:rsidRDefault="00905C6C" w:rsidP="002F14D6">
      <w:pPr>
        <w:rPr>
          <w:lang w:val="en-US"/>
        </w:rPr>
      </w:pPr>
      <w:r w:rsidRPr="00111FF6">
        <w:rPr>
          <w:lang w:val="en-US"/>
        </w:rPr>
        <w:t xml:space="preserve">the UE </w:t>
      </w:r>
    </w:p>
    <w:p w14:paraId="5B8A1E77" w14:textId="77777777" w:rsidR="00905C6C" w:rsidRPr="00111FF6" w:rsidRDefault="00905C6C" w:rsidP="002F14D6">
      <w:pPr>
        <w:pStyle w:val="B1"/>
      </w:pPr>
      <w:r w:rsidRPr="00111FF6">
        <w:t>-</w:t>
      </w:r>
      <w:r w:rsidRPr="00111FF6">
        <w:tab/>
        <w:t>determines</w:t>
      </w:r>
    </w:p>
    <w:p w14:paraId="5CBFADF2" w14:textId="77777777" w:rsidR="00905C6C" w:rsidRPr="00111FF6" w:rsidRDefault="00905C6C" w:rsidP="002F14D6">
      <w:pPr>
        <w:pStyle w:val="B2"/>
      </w:pPr>
      <w:r w:rsidRPr="00111FF6">
        <w:t>-</w:t>
      </w:r>
      <w:r w:rsidRPr="00111FF6">
        <w:tab/>
        <w:t xml:space="preserve">a PUCCH resource set from the second </w:t>
      </w:r>
      <w:r w:rsidRPr="00111FF6">
        <w:rPr>
          <w:i/>
          <w:iCs/>
        </w:rPr>
        <w:t>PUCCH-Config</w:t>
      </w:r>
      <w:r w:rsidRPr="00111FF6">
        <w:t xml:space="preserve"> using </w:t>
      </w:r>
      <m:oMath>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m:rPr>
                    <m:sty m:val="p"/>
                  </m:rPr>
                  <w:rPr>
                    <w:rFonts w:ascii="Cambria Math" w:hAnsi="Cambria Math"/>
                  </w:rPr>
                  <m:t>UCI</m:t>
                </m:r>
              </m:sub>
            </m:sSub>
            <m:r>
              <w:rPr>
                <w:rFonts w:ascii="Cambria Math" w:hAnsi="Cambria Math"/>
              </w:rPr>
              <m:t>=O</m:t>
            </m:r>
          </m:e>
          <m:sub>
            <m:r>
              <m:rPr>
                <m:sty m:val="p"/>
              </m:rPr>
              <w:rPr>
                <w:rFonts w:ascii="Cambria Math" w:hAnsi="Cambria Math"/>
              </w:rPr>
              <m:t>ACK,0</m:t>
            </m:r>
          </m:sub>
        </m:sSub>
        <m:r>
          <w:rPr>
            <w:rFonts w:ascii="Cambria Math" w:hAnsi="Cambria Math"/>
          </w:rPr>
          <m:t>+</m:t>
        </m:r>
        <m:sSub>
          <m:sSubPr>
            <m:ctrlPr>
              <w:rPr>
                <w:rFonts w:ascii="Cambria Math" w:hAnsi="Cambria Math"/>
                <w:i/>
              </w:rPr>
            </m:ctrlPr>
          </m:sSubPr>
          <m:e>
            <m:r>
              <w:rPr>
                <w:rFonts w:ascii="Cambria Math" w:hAnsi="Cambria Math"/>
              </w:rPr>
              <m:t>O</m:t>
            </m:r>
          </m:e>
          <m:sub>
            <m:r>
              <m:rPr>
                <m:sty m:val="p"/>
              </m:rPr>
              <w:rPr>
                <w:rFonts w:ascii="Cambria Math" w:hAnsi="Cambria Math"/>
              </w:rPr>
              <m:t>ACK,1</m:t>
            </m:r>
          </m:sub>
        </m:sSub>
      </m:oMath>
      <w:r w:rsidRPr="00111FF6">
        <w:t xml:space="preserve"> as described in clause 9.2.1, and a PUCCH resource from the PUCCH resource set as described in clause 9.2.3 where a DCI format, if any, triggers PUCCH transmission of priority 1, or</w:t>
      </w:r>
    </w:p>
    <w:p w14:paraId="4080FA46" w14:textId="77777777" w:rsidR="00905C6C" w:rsidRPr="00111FF6" w:rsidRDefault="00905C6C" w:rsidP="002F14D6">
      <w:pPr>
        <w:pStyle w:val="B2"/>
      </w:pPr>
      <w:r w:rsidRPr="00111FF6">
        <w:t>-</w:t>
      </w:r>
      <w:r w:rsidRPr="00111FF6">
        <w:tab/>
        <w:t xml:space="preserve">a PUCCH resource from the second </w:t>
      </w:r>
      <w:r w:rsidRPr="00111FF6">
        <w:rPr>
          <w:i/>
          <w:iCs/>
        </w:rPr>
        <w:t>sps</w:t>
      </w:r>
      <w:r w:rsidRPr="00111FF6">
        <w:rPr>
          <w:i/>
        </w:rPr>
        <w:t>-PUCCH-AN-List</w:t>
      </w:r>
      <w:r w:rsidRPr="00111FF6">
        <w:t xml:space="preserve"> using </w:t>
      </w:r>
      <m:oMath>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m:rPr>
                    <m:sty m:val="p"/>
                  </m:rPr>
                  <w:rPr>
                    <w:rFonts w:ascii="Cambria Math" w:hAnsi="Cambria Math"/>
                  </w:rPr>
                  <m:t>UCI</m:t>
                </m:r>
              </m:sub>
            </m:sSub>
            <m:r>
              <w:rPr>
                <w:rFonts w:ascii="Cambria Math" w:hAnsi="Cambria Math"/>
              </w:rPr>
              <m:t>=O</m:t>
            </m:r>
          </m:e>
          <m:sub>
            <m:r>
              <m:rPr>
                <m:sty m:val="p"/>
              </m:rPr>
              <w:rPr>
                <w:rFonts w:ascii="Cambria Math" w:hAnsi="Cambria Math"/>
              </w:rPr>
              <m:t>ACK,0</m:t>
            </m:r>
          </m:sub>
        </m:sSub>
        <m:r>
          <w:rPr>
            <w:rFonts w:ascii="Cambria Math" w:hAnsi="Cambria Math"/>
          </w:rPr>
          <m:t>+</m:t>
        </m:r>
        <m:sSub>
          <m:sSubPr>
            <m:ctrlPr>
              <w:rPr>
                <w:rFonts w:ascii="Cambria Math" w:hAnsi="Cambria Math"/>
                <w:i/>
              </w:rPr>
            </m:ctrlPr>
          </m:sSubPr>
          <m:e>
            <m:r>
              <w:rPr>
                <w:rFonts w:ascii="Cambria Math" w:hAnsi="Cambria Math"/>
              </w:rPr>
              <m:t>O</m:t>
            </m:r>
          </m:e>
          <m:sub>
            <m:r>
              <m:rPr>
                <m:sty m:val="p"/>
              </m:rPr>
              <w:rPr>
                <w:rFonts w:ascii="Cambria Math" w:hAnsi="Cambria Math"/>
              </w:rPr>
              <m:t>ACK,1</m:t>
            </m:r>
          </m:sub>
        </m:sSub>
      </m:oMath>
      <w:r w:rsidRPr="00111FF6">
        <w:t xml:space="preserve"> as described in clause 9.2.1, and </w:t>
      </w:r>
    </w:p>
    <w:p w14:paraId="2F0E35B5" w14:textId="77777777" w:rsidR="00905C6C" w:rsidRPr="00111FF6" w:rsidRDefault="00905C6C" w:rsidP="00905C6C">
      <w:pPr>
        <w:pStyle w:val="B1"/>
        <w:rPr>
          <w:lang w:val="en-US"/>
        </w:rPr>
      </w:pPr>
      <w:r w:rsidRPr="00111FF6">
        <w:t>-</w:t>
      </w:r>
      <w:r w:rsidRPr="00111FF6">
        <w:tab/>
        <w:t>multiplexes</w:t>
      </w:r>
      <w:r w:rsidRPr="00111FF6">
        <w:rPr>
          <w:lang w:val="en-US"/>
        </w:rPr>
        <w:t xml:space="preserve"> the </w:t>
      </w:r>
      <m:oMath>
        <m:sSub>
          <m:sSubPr>
            <m:ctrlPr>
              <w:rPr>
                <w:rFonts w:ascii="Cambria Math" w:hAnsi="Cambria Math"/>
                <w:i/>
                <w:lang w:val="en-US"/>
              </w:rPr>
            </m:ctrlPr>
          </m:sSubPr>
          <m:e>
            <m:r>
              <w:rPr>
                <w:rFonts w:ascii="Cambria Math" w:hAnsi="Cambria Math"/>
                <w:lang w:val="en-US"/>
              </w:rPr>
              <m:t>O</m:t>
            </m:r>
          </m:e>
          <m:sub>
            <m:r>
              <m:rPr>
                <m:sty m:val="p"/>
              </m:rPr>
              <w:rPr>
                <w:rFonts w:ascii="Cambria Math" w:hAnsi="Cambria Math"/>
                <w:lang w:val="en-US"/>
              </w:rPr>
              <m:t>ACK,0</m:t>
            </m:r>
          </m:sub>
        </m:sSub>
      </m:oMath>
      <w:r w:rsidRPr="00111FF6">
        <w:rPr>
          <w:lang w:val="en-US"/>
        </w:rPr>
        <w:t xml:space="preserve"> and </w:t>
      </w:r>
      <m:oMath>
        <m:sSub>
          <m:sSubPr>
            <m:ctrlPr>
              <w:rPr>
                <w:rFonts w:ascii="Cambria Math" w:hAnsi="Cambria Math"/>
                <w:i/>
                <w:lang w:val="en-US"/>
              </w:rPr>
            </m:ctrlPr>
          </m:sSubPr>
          <m:e>
            <m:r>
              <w:rPr>
                <w:rFonts w:ascii="Cambria Math" w:hAnsi="Cambria Math"/>
                <w:lang w:val="en-US"/>
              </w:rPr>
              <m:t>O</m:t>
            </m:r>
          </m:e>
          <m:sub>
            <m:r>
              <m:rPr>
                <m:sty m:val="p"/>
              </m:rPr>
              <w:rPr>
                <w:rFonts w:ascii="Cambria Math" w:hAnsi="Cambria Math"/>
                <w:lang w:val="en-US"/>
              </w:rPr>
              <m:t>ACK,1</m:t>
            </m:r>
          </m:sub>
        </m:sSub>
      </m:oMath>
      <w:r w:rsidRPr="00111FF6">
        <w:rPr>
          <w:lang w:val="en-US"/>
        </w:rPr>
        <w:t xml:space="preserve"> HARQ-ACK information bits</w:t>
      </w:r>
      <w:r w:rsidRPr="00111FF6">
        <w:t xml:space="preserve"> in a same PUCCH</w:t>
      </w:r>
      <w:r w:rsidRPr="00111FF6">
        <w:rPr>
          <w:lang w:val="en-US"/>
        </w:rPr>
        <w:t xml:space="preserve"> using the PUCCH resource.</w:t>
      </w:r>
    </w:p>
    <w:p w14:paraId="4F2F3845" w14:textId="260DB703" w:rsidR="00905C6C" w:rsidRPr="00111FF6" w:rsidRDefault="00905C6C" w:rsidP="002F14D6">
      <w:pPr>
        <w:rPr>
          <w:lang w:val="en-US"/>
        </w:rPr>
      </w:pPr>
      <w:r w:rsidRPr="00111FF6">
        <w:rPr>
          <w:lang w:val="en-US"/>
        </w:rPr>
        <w:t xml:space="preserve">If the PUCCH resource includes </w:t>
      </w:r>
      <w:r w:rsidR="008A749C" w:rsidRPr="00647C89">
        <w:rPr>
          <w:lang w:val="en-US"/>
        </w:rPr>
        <w:t xml:space="preserve">PUCCH format 2 or </w:t>
      </w:r>
      <w:r w:rsidRPr="00111FF6">
        <w:rPr>
          <w:lang w:val="en-US"/>
        </w:rPr>
        <w:t xml:space="preserve">PUCCH format 3 and </w:t>
      </w:r>
      <m:oMath>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t>
            </m:r>
          </m:sub>
          <m:sup>
            <m:r>
              <m:rPr>
                <m:nor/>
              </m:rPr>
              <w:rPr>
                <w:rFonts w:ascii="Cambria Math"/>
              </w:rPr>
              <m:t>PUCCH</m:t>
            </m:r>
          </m:sup>
        </m:sSubSup>
      </m:oMath>
      <w:r w:rsidRPr="00111FF6">
        <w:rPr>
          <w:lang w:val="en-US"/>
        </w:rPr>
        <w:t xml:space="preserve"> PRBs, the UE determines a number of </w:t>
      </w:r>
      <m:oMath>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RB,min</m:t>
            </m:r>
          </m:sub>
          <m:sup>
            <m:r>
              <m:rPr>
                <m:nor/>
              </m:rPr>
              <w:rPr>
                <w:rFonts w:ascii="Cambria Math"/>
              </w:rPr>
              <m:t>PUCCH</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t>
            </m:r>
          </m:sub>
          <m:sup>
            <m:r>
              <m:rPr>
                <m:nor/>
              </m:rPr>
              <w:rPr>
                <w:rFonts w:ascii="Cambria Math"/>
              </w:rPr>
              <m:t>PUCCH</m:t>
            </m:r>
          </m:sup>
        </m:sSubSup>
      </m:oMath>
      <w:r w:rsidRPr="00111FF6">
        <w:rPr>
          <w:lang w:val="en-US"/>
        </w:rPr>
        <w:t xml:space="preserve"> PRBs for the PUCCH transmission to be the minimum number of PRBs that starts from the first PRB from the </w:t>
      </w:r>
      <m:oMath>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t>
            </m:r>
          </m:sub>
          <m:sup>
            <m:r>
              <m:rPr>
                <m:nor/>
              </m:rPr>
              <w:rPr>
                <w:rFonts w:ascii="Cambria Math"/>
              </w:rPr>
              <m:t>PUCCH</m:t>
            </m:r>
          </m:sup>
        </m:sSubSup>
      </m:oMath>
      <w:r w:rsidRPr="00111FF6">
        <w:rPr>
          <w:lang w:val="en-US"/>
        </w:rPr>
        <w:t xml:space="preserve"> PRBs and results to</w:t>
      </w:r>
    </w:p>
    <w:p w14:paraId="618E8EE6" w14:textId="77777777" w:rsidR="00905C6C" w:rsidRPr="00111FF6" w:rsidRDefault="00000000" w:rsidP="002F14D6">
      <m:oMathPara>
        <m:oMath>
          <m:d>
            <m:dPr>
              <m:ctrlPr>
                <w:rPr>
                  <w:rFonts w:ascii="Cambria Math" w:hAnsi="Cambria Math"/>
                  <w:i/>
                </w:rPr>
              </m:ctrlPr>
            </m:dPr>
            <m:e>
              <m:sSub>
                <m:sSubPr>
                  <m:ctrlPr>
                    <w:rPr>
                      <w:rFonts w:ascii="Cambria Math" w:hAnsi="Cambria Math"/>
                      <w:i/>
                    </w:rPr>
                  </m:ctrlPr>
                </m:sSubPr>
                <m:e>
                  <m:r>
                    <w:rPr>
                      <w:rFonts w:ascii="Cambria Math"/>
                    </w:rPr>
                    <m:t>O</m:t>
                  </m:r>
                </m:e>
                <m:sub>
                  <m:r>
                    <m:rPr>
                      <m:nor/>
                    </m:rPr>
                    <w:rPr>
                      <w:rFonts w:ascii="Cambria Math"/>
                    </w:rPr>
                    <m:t>ACK</m:t>
                  </m:r>
                  <m:r>
                    <m:rPr>
                      <m:nor/>
                    </m:rPr>
                    <w:rPr>
                      <w:rFonts w:ascii="Cambria Math"/>
                      <w:lang w:val="en-US"/>
                    </w:rPr>
                    <m:t>,0</m:t>
                  </m:r>
                  <m:ctrlPr>
                    <w:rPr>
                      <w:rFonts w:ascii="Cambria Math" w:hAnsi="Cambria Math"/>
                    </w:rPr>
                  </m:ctrlPr>
                </m:sub>
              </m:sSub>
              <m:r>
                <w:rPr>
                  <w:rFonts w:ascii="Cambria Math"/>
                </w:rPr>
                <m:t>+</m:t>
              </m:r>
              <m:sSub>
                <m:sSubPr>
                  <m:ctrlPr>
                    <w:rPr>
                      <w:rFonts w:ascii="Cambria Math" w:hAnsi="Cambria Math"/>
                      <w:i/>
                    </w:rPr>
                  </m:ctrlPr>
                </m:sSubPr>
                <m:e>
                  <m:r>
                    <w:rPr>
                      <w:rFonts w:ascii="Cambria Math"/>
                    </w:rPr>
                    <m:t>O</m:t>
                  </m:r>
                </m:e>
                <m:sub>
                  <m:r>
                    <m:rPr>
                      <m:nor/>
                    </m:rPr>
                    <w:rPr>
                      <w:rFonts w:ascii="Cambria Math"/>
                    </w:rPr>
                    <m:t>CRC</m:t>
                  </m:r>
                  <m:r>
                    <m:rPr>
                      <m:nor/>
                    </m:rPr>
                    <w:rPr>
                      <w:rFonts w:ascii="Cambria Math"/>
                      <w:lang w:val="en-US"/>
                    </w:rPr>
                    <m:t>,0</m:t>
                  </m:r>
                  <m:ctrlPr>
                    <w:rPr>
                      <w:rFonts w:ascii="Cambria Math" w:hAnsi="Cambria Math"/>
                    </w:rPr>
                  </m:ctrlPr>
                </m:sub>
              </m:sSub>
            </m:e>
          </m:d>
          <m:r>
            <w:rPr>
              <w:rFonts w:ascii="Cambria Math" w:hAnsi="Cambria Math" w:cs="Cambria Math"/>
            </w:rPr>
            <m:t>⋅</m:t>
          </m:r>
          <m:sSub>
            <m:sSubPr>
              <m:ctrlPr>
                <w:rPr>
                  <w:rFonts w:ascii="Cambria Math" w:hAnsi="Cambria Math"/>
                  <w:i/>
                </w:rPr>
              </m:ctrlPr>
            </m:sSubPr>
            <m:e>
              <m:r>
                <w:rPr>
                  <w:rFonts w:ascii="Cambria Math"/>
                </w:rPr>
                <m:t>r</m:t>
              </m:r>
            </m:e>
            <m:sub>
              <m:r>
                <m:rPr>
                  <m:nor/>
                </m:rPr>
                <w:rPr>
                  <w:rFonts w:ascii="Cambria Math"/>
                  <w:lang w:val="en-US"/>
                </w:rPr>
                <m:t>1</m:t>
              </m:r>
              <m:ctrlPr>
                <w:rPr>
                  <w:rFonts w:ascii="Cambria Math" w:hAnsi="Cambria Math"/>
                </w:rPr>
              </m:ctrlPr>
            </m:sub>
          </m:sSub>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O</m:t>
                  </m:r>
                </m:e>
                <m:sub>
                  <m:r>
                    <m:rPr>
                      <m:nor/>
                    </m:rPr>
                    <w:rPr>
                      <w:rFonts w:ascii="Cambria Math"/>
                    </w:rPr>
                    <m:t>ACK</m:t>
                  </m:r>
                  <m:r>
                    <m:rPr>
                      <m:nor/>
                    </m:rPr>
                    <w:rPr>
                      <w:rFonts w:ascii="Cambria Math"/>
                      <w:lang w:val="en-US"/>
                    </w:rPr>
                    <m:t>,1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O</m:t>
                  </m:r>
                </m:e>
                <m:sub>
                  <m:r>
                    <m:rPr>
                      <m:nor/>
                    </m:rPr>
                    <w:rPr>
                      <w:rFonts w:ascii="Cambria Math"/>
                    </w:rPr>
                    <m:t>CRC</m:t>
                  </m:r>
                  <m:r>
                    <m:rPr>
                      <m:nor/>
                    </m:rPr>
                    <w:rPr>
                      <w:rFonts w:ascii="Cambria Math"/>
                      <w:lang w:val="en-US"/>
                    </w:rPr>
                    <m:t>,1</m:t>
                  </m:r>
                  <m:ctrlPr>
                    <w:rPr>
                      <w:rFonts w:ascii="Cambria Math" w:hAnsi="Cambria Math"/>
                    </w:rPr>
                  </m:ctrlPr>
                </m:sub>
              </m:sSub>
            </m:e>
          </m:d>
          <m:r>
            <w:rPr>
              <w:rFonts w:ascii="Cambria Math" w:hAnsi="Cambria Math" w:cs="Cambria Math"/>
            </w:rPr>
            <m:t>⋅</m:t>
          </m:r>
          <m:sSub>
            <m:sSubPr>
              <m:ctrlPr>
                <w:rPr>
                  <w:rFonts w:ascii="Cambria Math" w:hAnsi="Cambria Math"/>
                  <w:i/>
                </w:rPr>
              </m:ctrlPr>
            </m:sSubPr>
            <m:e>
              <m:r>
                <w:rPr>
                  <w:rFonts w:ascii="Cambria Math"/>
                </w:rPr>
                <m:t>r</m:t>
              </m:r>
            </m:e>
            <m:sub>
              <m:r>
                <m:rPr>
                  <m:nor/>
                </m:rPr>
                <w:rPr>
                  <w:rFonts w:ascii="Cambria Math"/>
                  <w:lang w:val="en-US"/>
                </w:rPr>
                <m:t>0</m:t>
              </m:r>
              <m:ctrlPr>
                <w:rPr>
                  <w:rFonts w:ascii="Cambria Math" w:hAnsi="Cambria Math"/>
                </w:rPr>
              </m:ctrlPr>
            </m:sub>
          </m:sSub>
          <m:r>
            <w:rPr>
              <w:rFonts w:ascii="Cambria Math"/>
            </w:rPr>
            <m:t>≤</m:t>
          </m:r>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RB,min</m:t>
              </m:r>
            </m:sub>
            <m:sup>
              <m:r>
                <m:rPr>
                  <m:nor/>
                </m:rPr>
                <w:rPr>
                  <w:rFonts w:ascii="Cambria Math"/>
                </w:rPr>
                <m:t>PUCCH</m:t>
              </m:r>
            </m:sup>
          </m:sSubSup>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sc,ctrl</m:t>
              </m:r>
              <m:ctrlPr>
                <w:rPr>
                  <w:rFonts w:ascii="Cambria Math" w:hAnsi="Cambria Math"/>
                </w:rPr>
              </m:ctrlPr>
            </m:sub>
            <m:sup>
              <m:r>
                <m:rPr>
                  <m:nor/>
                </m:rPr>
                <w:rPr>
                  <w:rFonts w:ascii="Cambria Math"/>
                </w:rPr>
                <m:t>RB</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symb-UCI</m:t>
              </m:r>
              <m:ctrlPr>
                <w:rPr>
                  <w:rFonts w:ascii="Cambria Math" w:hAnsi="Cambria Math"/>
                </w:rPr>
              </m:ctrlPr>
            </m:sub>
            <m:sup>
              <m:r>
                <m:rPr>
                  <m:nor/>
                </m:rPr>
                <w:rPr>
                  <w:rFonts w:ascii="Cambria Math"/>
                </w:rPr>
                <m:t>PUCCH</m:t>
              </m:r>
              <m:ctrlPr>
                <w:rPr>
                  <w:rFonts w:ascii="Cambria Math" w:hAnsi="Cambria Math"/>
                </w:rPr>
              </m:ctrlPr>
            </m:sup>
          </m:sSubSup>
          <m:r>
            <w:rPr>
              <w:rFonts w:ascii="Cambria Math" w:hAnsi="Cambria Math" w:cs="Cambria Math"/>
            </w:rPr>
            <m:t>⋅</m:t>
          </m:r>
          <m:sSub>
            <m:sSubPr>
              <m:ctrlPr>
                <w:rPr>
                  <w:rFonts w:ascii="Cambria Math" w:hAnsi="Cambria Math"/>
                  <w:i/>
                </w:rPr>
              </m:ctrlPr>
            </m:sSubPr>
            <m:e>
              <m:r>
                <w:rPr>
                  <w:rFonts w:ascii="Cambria Math"/>
                </w:rPr>
                <m:t>Q</m:t>
              </m:r>
            </m:e>
            <m:sub>
              <m:r>
                <w:rPr>
                  <w:rFonts w:ascii="Cambria Math"/>
                </w:rPr>
                <m:t>m</m:t>
              </m:r>
            </m:sub>
          </m:sSub>
          <m:r>
            <w:rPr>
              <w:rFonts w:ascii="Cambria Math" w:hAnsi="Cambria Math" w:cs="Cambria Math"/>
            </w:rPr>
            <m:t>⋅</m:t>
          </m:r>
          <m:sSub>
            <m:sSubPr>
              <m:ctrlPr>
                <w:rPr>
                  <w:rFonts w:ascii="Cambria Math" w:hAnsi="Cambria Math"/>
                  <w:i/>
                </w:rPr>
              </m:ctrlPr>
            </m:sSubPr>
            <m:e>
              <m:r>
                <w:rPr>
                  <w:rFonts w:ascii="Cambria Math"/>
                </w:rPr>
                <m:t>r</m:t>
              </m:r>
            </m:e>
            <m:sub>
              <m:r>
                <m:rPr>
                  <m:nor/>
                </m:rPr>
                <w:rPr>
                  <w:rFonts w:ascii="Cambria Math"/>
                  <w:lang w:val="en-US"/>
                </w:rPr>
                <m:t>0</m:t>
              </m:r>
              <m:ctrlPr>
                <w:rPr>
                  <w:rFonts w:ascii="Cambria Math" w:hAnsi="Cambria Math"/>
                </w:rPr>
              </m:ctrlPr>
            </m:sub>
          </m:sSub>
          <m:r>
            <w:rPr>
              <w:rFonts w:ascii="Cambria Math" w:hAnsi="Cambria Math" w:cs="Cambria Math"/>
            </w:rPr>
            <m:t>⋅</m:t>
          </m:r>
          <m:sSub>
            <m:sSubPr>
              <m:ctrlPr>
                <w:rPr>
                  <w:rFonts w:ascii="Cambria Math" w:hAnsi="Cambria Math"/>
                  <w:i/>
                </w:rPr>
              </m:ctrlPr>
            </m:sSubPr>
            <m:e>
              <m:r>
                <w:rPr>
                  <w:rFonts w:ascii="Cambria Math"/>
                </w:rPr>
                <m:t>r</m:t>
              </m:r>
            </m:e>
            <m:sub>
              <m:r>
                <m:rPr>
                  <m:nor/>
                </m:rPr>
                <w:rPr>
                  <w:rFonts w:ascii="Cambria Math"/>
                  <w:lang w:val="en-US"/>
                </w:rPr>
                <m:t>1</m:t>
              </m:r>
              <m:ctrlPr>
                <w:rPr>
                  <w:rFonts w:ascii="Cambria Math" w:hAnsi="Cambria Math"/>
                </w:rPr>
              </m:ctrlPr>
            </m:sub>
          </m:sSub>
        </m:oMath>
      </m:oMathPara>
    </w:p>
    <w:p w14:paraId="350CF39C" w14:textId="7A5792A8" w:rsidR="00905C6C" w:rsidRPr="00111FF6" w:rsidRDefault="00905C6C" w:rsidP="002F14D6">
      <w:pPr>
        <w:rPr>
          <w:lang w:val="en-US"/>
        </w:rPr>
      </w:pPr>
      <w:r w:rsidRPr="00111FF6">
        <w:rPr>
          <w:lang w:val="en-US"/>
        </w:rPr>
        <w:t xml:space="preserve">where </w:t>
      </w:r>
      <m:oMath>
        <m:sSub>
          <m:sSubPr>
            <m:ctrlPr>
              <w:rPr>
                <w:rFonts w:ascii="Cambria Math" w:hAnsi="Cambria Math"/>
                <w:i/>
              </w:rPr>
            </m:ctrlPr>
          </m:sSubPr>
          <m:e>
            <m:r>
              <w:rPr>
                <w:rFonts w:ascii="Cambria Math"/>
              </w:rPr>
              <m:t>O</m:t>
            </m:r>
          </m:e>
          <m:sub>
            <m:r>
              <m:rPr>
                <m:nor/>
              </m:rPr>
              <w:rPr>
                <w:rFonts w:ascii="Cambria Math"/>
              </w:rPr>
              <m:t>CRC</m:t>
            </m:r>
            <m:r>
              <m:rPr>
                <m:nor/>
              </m:rPr>
              <w:rPr>
                <w:rFonts w:ascii="Cambria Math"/>
                <w:lang w:val="en-US"/>
              </w:rPr>
              <m:t>,0</m:t>
            </m:r>
            <m:ctrlPr>
              <w:rPr>
                <w:rFonts w:ascii="Cambria Math" w:hAnsi="Cambria Math"/>
              </w:rPr>
            </m:ctrlPr>
          </m:sub>
        </m:sSub>
      </m:oMath>
      <w:r w:rsidRPr="00111FF6">
        <w:rPr>
          <w:lang w:val="en-US"/>
        </w:rPr>
        <w:t xml:space="preserve"> or </w:t>
      </w:r>
      <m:oMath>
        <m:sSub>
          <m:sSubPr>
            <m:ctrlPr>
              <w:rPr>
                <w:rFonts w:ascii="Cambria Math" w:hAnsi="Cambria Math"/>
                <w:i/>
              </w:rPr>
            </m:ctrlPr>
          </m:sSubPr>
          <m:e>
            <m:r>
              <w:rPr>
                <w:rFonts w:ascii="Cambria Math"/>
              </w:rPr>
              <m:t>O</m:t>
            </m:r>
          </m:e>
          <m:sub>
            <m:r>
              <m:rPr>
                <m:nor/>
              </m:rPr>
              <w:rPr>
                <w:rFonts w:ascii="Cambria Math"/>
              </w:rPr>
              <m:t>CRC</m:t>
            </m:r>
            <m:r>
              <m:rPr>
                <m:nor/>
              </m:rPr>
              <w:rPr>
                <w:rFonts w:ascii="Cambria Math"/>
                <w:lang w:val="en-US"/>
              </w:rPr>
              <m:t>,1</m:t>
            </m:r>
            <m:ctrlPr>
              <w:rPr>
                <w:rFonts w:ascii="Cambria Math" w:hAnsi="Cambria Math"/>
              </w:rPr>
            </m:ctrlPr>
          </m:sub>
        </m:sSub>
      </m:oMath>
      <w:r w:rsidRPr="00111FF6">
        <w:rPr>
          <w:lang w:val="en-US"/>
        </w:rPr>
        <w:t xml:space="preserve"> is a number of CRC bits, if any, for encoding the </w:t>
      </w:r>
      <m:oMath>
        <m:sSub>
          <m:sSubPr>
            <m:ctrlPr>
              <w:rPr>
                <w:rFonts w:ascii="Cambria Math" w:hAnsi="Cambria Math"/>
                <w:i/>
              </w:rPr>
            </m:ctrlPr>
          </m:sSubPr>
          <m:e>
            <m:r>
              <w:rPr>
                <w:rFonts w:ascii="Cambria Math"/>
              </w:rPr>
              <m:t>O</m:t>
            </m:r>
          </m:e>
          <m:sub>
            <m:r>
              <m:rPr>
                <m:nor/>
              </m:rPr>
              <w:rPr>
                <w:rFonts w:ascii="Cambria Math"/>
              </w:rPr>
              <m:t>ACK</m:t>
            </m:r>
            <m:r>
              <m:rPr>
                <m:nor/>
              </m:rPr>
              <w:rPr>
                <w:rFonts w:ascii="Cambria Math"/>
                <w:lang w:val="en-US"/>
              </w:rPr>
              <m:t>,0</m:t>
            </m:r>
            <m:ctrlPr>
              <w:rPr>
                <w:rFonts w:ascii="Cambria Math" w:hAnsi="Cambria Math"/>
              </w:rPr>
            </m:ctrlPr>
          </m:sub>
        </m:sSub>
      </m:oMath>
      <w:r w:rsidRPr="00111FF6">
        <w:rPr>
          <w:lang w:val="en-US"/>
        </w:rPr>
        <w:t xml:space="preserve"> or the </w:t>
      </w:r>
      <m:oMath>
        <m:sSub>
          <m:sSubPr>
            <m:ctrlPr>
              <w:rPr>
                <w:rFonts w:ascii="Cambria Math" w:hAnsi="Cambria Math"/>
                <w:i/>
              </w:rPr>
            </m:ctrlPr>
          </m:sSubPr>
          <m:e>
            <m:r>
              <w:rPr>
                <w:rFonts w:ascii="Cambria Math"/>
              </w:rPr>
              <m:t>O</m:t>
            </m:r>
          </m:e>
          <m:sub>
            <m:r>
              <m:rPr>
                <m:nor/>
              </m:rPr>
              <w:rPr>
                <w:rFonts w:ascii="Cambria Math"/>
              </w:rPr>
              <m:t>ACK</m:t>
            </m:r>
            <m:r>
              <m:rPr>
                <m:nor/>
              </m:rPr>
              <w:rPr>
                <w:rFonts w:ascii="Cambria Math"/>
                <w:lang w:val="en-US"/>
              </w:rPr>
              <m:t>,1</m:t>
            </m:r>
            <m:ctrlPr>
              <w:rPr>
                <w:rFonts w:ascii="Cambria Math" w:hAnsi="Cambria Math"/>
              </w:rPr>
            </m:ctrlPr>
          </m:sub>
        </m:sSub>
      </m:oMath>
      <w:r w:rsidRPr="00111FF6">
        <w:rPr>
          <w:lang w:val="en-US"/>
        </w:rPr>
        <w:t xml:space="preserve"> HARQ-ACK information bits, respectively, </w:t>
      </w:r>
      <m:oMath>
        <m:sSub>
          <m:sSubPr>
            <m:ctrlPr>
              <w:rPr>
                <w:rFonts w:ascii="Cambria Math" w:hAnsi="Cambria Math"/>
                <w:i/>
              </w:rPr>
            </m:ctrlPr>
          </m:sSubPr>
          <m:e>
            <m:r>
              <w:rPr>
                <w:rFonts w:ascii="Cambria Math"/>
              </w:rPr>
              <m:t>r</m:t>
            </m:r>
          </m:e>
          <m:sub>
            <m:r>
              <m:rPr>
                <m:nor/>
              </m:rPr>
              <w:rPr>
                <w:rFonts w:ascii="Cambria Math"/>
                <w:lang w:val="en-US"/>
              </w:rPr>
              <m:t>0</m:t>
            </m:r>
            <m:ctrlPr>
              <w:rPr>
                <w:rFonts w:ascii="Cambria Math" w:hAnsi="Cambria Math"/>
              </w:rPr>
            </m:ctrlPr>
          </m:sub>
        </m:sSub>
      </m:oMath>
      <w:r w:rsidRPr="00111FF6">
        <w:rPr>
          <w:lang w:val="en-US"/>
        </w:rPr>
        <w:t xml:space="preserve"> is provided by </w:t>
      </w:r>
      <w:r w:rsidRPr="00111FF6">
        <w:rPr>
          <w:i/>
          <w:iCs/>
          <w:lang w:val="en-US"/>
        </w:rPr>
        <w:t>maxCodeRateLP</w:t>
      </w:r>
      <w:r w:rsidRPr="00111FF6">
        <w:rPr>
          <w:lang w:val="en-US"/>
        </w:rPr>
        <w:t xml:space="preserve">, and the remaining parameters are as defined in clause 9.2.5.2 with </w:t>
      </w:r>
      <m:oMath>
        <m:sSub>
          <m:sSubPr>
            <m:ctrlPr>
              <w:rPr>
                <w:rFonts w:ascii="Cambria Math" w:hAnsi="Cambria Math"/>
                <w:i/>
              </w:rPr>
            </m:ctrlPr>
          </m:sSubPr>
          <m:e>
            <m:r>
              <w:rPr>
                <w:rFonts w:ascii="Cambria Math"/>
              </w:rPr>
              <m:t>r</m:t>
            </m:r>
          </m:e>
          <m:sub>
            <m:r>
              <m:rPr>
                <m:nor/>
              </m:rPr>
              <w:rPr>
                <w:rFonts w:ascii="Cambria Math"/>
                <w:lang w:val="en-US"/>
              </w:rPr>
              <m:t>1</m:t>
            </m:r>
            <m:ctrlPr>
              <w:rPr>
                <w:rFonts w:ascii="Cambria Math" w:hAnsi="Cambria Math"/>
              </w:rPr>
            </m:ctrlPr>
          </m:sub>
        </m:sSub>
        <m:r>
          <w:rPr>
            <w:rFonts w:ascii="Cambria Math" w:hAnsi="Cambria Math"/>
          </w:rPr>
          <m:t>=r</m:t>
        </m:r>
      </m:oMath>
      <w:r w:rsidRPr="00111FF6">
        <w:rPr>
          <w:lang w:val="en-US"/>
        </w:rPr>
        <w:t xml:space="preserve">. </w:t>
      </w:r>
      <w:r w:rsidR="008A749C" w:rsidRPr="00647C89">
        <w:rPr>
          <w:lang w:val="en-US"/>
        </w:rPr>
        <w:t>For PUCCH format 3, if</w:t>
      </w:r>
      <w:r w:rsidRPr="00111FF6">
        <w:rPr>
          <w:lang w:val="en-US"/>
        </w:rPr>
        <w:t xml:space="preserve"> </w:t>
      </w:r>
      <m:oMath>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RB,min</m:t>
            </m:r>
          </m:sub>
          <m:sup>
            <m:r>
              <m:rPr>
                <m:nor/>
              </m:rPr>
              <w:rPr>
                <w:rFonts w:ascii="Cambria Math"/>
              </w:rPr>
              <m:t>PUCCH</m:t>
            </m:r>
          </m:sup>
        </m:sSubSup>
      </m:oMath>
      <w:r w:rsidRPr="00111FF6">
        <w:t xml:space="preserve"> </w:t>
      </w:r>
      <w:r w:rsidRPr="00111FF6">
        <w:rPr>
          <w:lang w:val="en-US"/>
        </w:rPr>
        <w:t xml:space="preserve">is not equal to </w:t>
      </w:r>
      <m:oMath>
        <m:sSup>
          <m:sSupPr>
            <m:ctrlPr>
              <w:rPr>
                <w:rFonts w:ascii="Cambria Math" w:hAnsi="Cambria Math"/>
                <w:i/>
                <w:lang w:val="en-US"/>
              </w:rPr>
            </m:ctrlPr>
          </m:sSupPr>
          <m:e>
            <m:r>
              <w:rPr>
                <w:rFonts w:ascii="Cambria Math" w:hAnsi="Cambria Math"/>
                <w:lang w:val="en-US"/>
              </w:rPr>
              <m:t>2</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sup>
        </m:sSup>
        <m:r>
          <w:rPr>
            <w:rFonts w:ascii="Cambria Math" w:hAnsi="Cambria Math" w:cs="Cambria Math"/>
          </w:rPr>
          <m:t>⋅</m:t>
        </m:r>
        <m:sSup>
          <m:sSupPr>
            <m:ctrlPr>
              <w:rPr>
                <w:rFonts w:ascii="Cambria Math" w:hAnsi="Cambria Math"/>
                <w:i/>
                <w:lang w:val="en-US"/>
              </w:rPr>
            </m:ctrlPr>
          </m:sSupPr>
          <m:e>
            <m:r>
              <w:rPr>
                <w:rFonts w:ascii="Cambria Math" w:hAnsi="Cambria Math"/>
                <w:lang w:val="en-US"/>
              </w:rPr>
              <m:t>3</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3</m:t>
                </m:r>
              </m:sub>
            </m:sSub>
          </m:sup>
        </m:sSup>
        <m:r>
          <w:rPr>
            <w:rFonts w:ascii="Cambria Math" w:hAnsi="Cambria Math" w:cs="Cambria Math"/>
          </w:rPr>
          <m:t>⋅</m:t>
        </m:r>
        <m:sSup>
          <m:sSupPr>
            <m:ctrlPr>
              <w:rPr>
                <w:rFonts w:ascii="Cambria Math" w:hAnsi="Cambria Math"/>
                <w:i/>
                <w:lang w:val="en-US"/>
              </w:rPr>
            </m:ctrlPr>
          </m:sSupPr>
          <m:e>
            <m:r>
              <w:rPr>
                <w:rFonts w:ascii="Cambria Math" w:hAnsi="Cambria Math"/>
                <w:lang w:val="en-US"/>
              </w:rPr>
              <m:t>5</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5</m:t>
                </m:r>
              </m:sub>
            </m:sSub>
          </m:sup>
        </m:sSup>
      </m:oMath>
      <w:r w:rsidRPr="00111FF6">
        <w:rPr>
          <w:lang w:val="en-US"/>
        </w:rPr>
        <w:t xml:space="preserve"> [4, TS 38.211], </w:t>
      </w:r>
      <m:oMath>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RB,min</m:t>
            </m:r>
          </m:sub>
          <m:sup>
            <m:r>
              <m:rPr>
                <m:nor/>
              </m:rPr>
              <w:rPr>
                <w:rFonts w:ascii="Cambria Math"/>
              </w:rPr>
              <m:t>PUCCH</m:t>
            </m:r>
          </m:sup>
        </m:sSubSup>
      </m:oMath>
      <w:r w:rsidRPr="00111FF6">
        <w:rPr>
          <w:lang w:val="en-US"/>
        </w:rPr>
        <w:t xml:space="preserve"> is increased to a nearest value that is equal to </w:t>
      </w:r>
      <m:oMath>
        <m:sSup>
          <m:sSupPr>
            <m:ctrlPr>
              <w:rPr>
                <w:rFonts w:ascii="Cambria Math" w:hAnsi="Cambria Math"/>
                <w:i/>
                <w:lang w:val="en-US"/>
              </w:rPr>
            </m:ctrlPr>
          </m:sSupPr>
          <m:e>
            <m:r>
              <w:rPr>
                <w:rFonts w:ascii="Cambria Math" w:hAnsi="Cambria Math"/>
                <w:lang w:val="en-US"/>
              </w:rPr>
              <m:t>2</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sup>
        </m:sSup>
        <m:r>
          <w:rPr>
            <w:rFonts w:ascii="Cambria Math" w:hAnsi="Cambria Math" w:cs="Cambria Math"/>
          </w:rPr>
          <m:t>⋅</m:t>
        </m:r>
        <m:sSup>
          <m:sSupPr>
            <m:ctrlPr>
              <w:rPr>
                <w:rFonts w:ascii="Cambria Math" w:hAnsi="Cambria Math"/>
                <w:i/>
                <w:lang w:val="en-US"/>
              </w:rPr>
            </m:ctrlPr>
          </m:sSupPr>
          <m:e>
            <m:r>
              <w:rPr>
                <w:rFonts w:ascii="Cambria Math" w:hAnsi="Cambria Math"/>
                <w:lang w:val="en-US"/>
              </w:rPr>
              <m:t>3</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3</m:t>
                </m:r>
              </m:sub>
            </m:sSub>
          </m:sup>
        </m:sSup>
        <m:r>
          <w:rPr>
            <w:rFonts w:ascii="Cambria Math" w:hAnsi="Cambria Math" w:cs="Cambria Math"/>
          </w:rPr>
          <m:t>⋅</m:t>
        </m:r>
        <m:sSup>
          <m:sSupPr>
            <m:ctrlPr>
              <w:rPr>
                <w:rFonts w:ascii="Cambria Math" w:hAnsi="Cambria Math"/>
                <w:i/>
                <w:lang w:val="en-US"/>
              </w:rPr>
            </m:ctrlPr>
          </m:sSupPr>
          <m:e>
            <m:r>
              <w:rPr>
                <w:rFonts w:ascii="Cambria Math" w:hAnsi="Cambria Math"/>
                <w:lang w:val="en-US"/>
              </w:rPr>
              <m:t>5</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5</m:t>
                </m:r>
              </m:sub>
            </m:sSub>
          </m:sup>
        </m:sSup>
        <m:r>
          <w:rPr>
            <w:rFonts w:ascii="Cambria Math" w:hAnsi="Cambria Math"/>
            <w:lang w:val="en-US"/>
          </w:rPr>
          <m:t xml:space="preserve"> </m:t>
        </m:r>
      </m:oMath>
      <w:r w:rsidRPr="00111FF6">
        <w:rPr>
          <w:lang w:val="en-US"/>
        </w:rPr>
        <w:t xml:space="preserve">and does not exceed </w:t>
      </w:r>
      <w:r w:rsidRPr="00111FF6">
        <w:rPr>
          <w:i/>
          <w:iCs/>
          <w:lang w:val="en-US"/>
        </w:rPr>
        <w:t>nrofPRBs</w:t>
      </w:r>
      <w:r w:rsidRPr="00111FF6">
        <w:rPr>
          <w:lang w:val="en-US"/>
        </w:rPr>
        <w:t>.</w:t>
      </w:r>
    </w:p>
    <w:p w14:paraId="6F49E1B5" w14:textId="77777777" w:rsidR="00B92C2C" w:rsidRDefault="00905C6C" w:rsidP="002F14D6">
      <w:pPr>
        <w:rPr>
          <w:lang w:val="en-US"/>
        </w:rPr>
      </w:pPr>
      <w:r w:rsidRPr="00111FF6">
        <w:rPr>
          <w:lang w:val="en-US"/>
        </w:rPr>
        <w:lastRenderedPageBreak/>
        <w:t xml:space="preserve">If </w:t>
      </w:r>
      <m:oMath>
        <m:d>
          <m:dPr>
            <m:ctrlPr>
              <w:rPr>
                <w:rFonts w:ascii="Cambria Math" w:hAnsi="Cambria Math"/>
                <w:i/>
              </w:rPr>
            </m:ctrlPr>
          </m:dPr>
          <m:e>
            <m:sSub>
              <m:sSubPr>
                <m:ctrlPr>
                  <w:rPr>
                    <w:rFonts w:ascii="Cambria Math" w:hAnsi="Cambria Math"/>
                    <w:i/>
                  </w:rPr>
                </m:ctrlPr>
              </m:sSubPr>
              <m:e>
                <m:r>
                  <w:rPr>
                    <w:rFonts w:ascii="Cambria Math"/>
                  </w:rPr>
                  <m:t>O</m:t>
                </m:r>
              </m:e>
              <m:sub>
                <m:r>
                  <m:rPr>
                    <m:nor/>
                  </m:rPr>
                  <w:rPr>
                    <w:rFonts w:ascii="Cambria Math"/>
                  </w:rPr>
                  <m:t>ACK</m:t>
                </m:r>
                <m:r>
                  <m:rPr>
                    <m:nor/>
                  </m:rPr>
                  <w:rPr>
                    <w:rFonts w:ascii="Cambria Math"/>
                    <w:lang w:val="en-US"/>
                  </w:rPr>
                  <m:t>,0</m:t>
                </m:r>
                <m:ctrlPr>
                  <w:rPr>
                    <w:rFonts w:ascii="Cambria Math" w:hAnsi="Cambria Math"/>
                  </w:rPr>
                </m:ctrlPr>
              </m:sub>
            </m:sSub>
            <m:r>
              <w:rPr>
                <w:rFonts w:ascii="Cambria Math"/>
              </w:rPr>
              <m:t>+</m:t>
            </m:r>
            <m:sSub>
              <m:sSubPr>
                <m:ctrlPr>
                  <w:rPr>
                    <w:rFonts w:ascii="Cambria Math" w:hAnsi="Cambria Math"/>
                    <w:i/>
                  </w:rPr>
                </m:ctrlPr>
              </m:sSubPr>
              <m:e>
                <m:r>
                  <w:rPr>
                    <w:rFonts w:ascii="Cambria Math"/>
                  </w:rPr>
                  <m:t>O</m:t>
                </m:r>
              </m:e>
              <m:sub>
                <m:r>
                  <m:rPr>
                    <m:nor/>
                  </m:rPr>
                  <w:rPr>
                    <w:rFonts w:ascii="Cambria Math"/>
                  </w:rPr>
                  <m:t>CRC</m:t>
                </m:r>
                <m:r>
                  <m:rPr>
                    <m:nor/>
                  </m:rPr>
                  <w:rPr>
                    <w:rFonts w:ascii="Cambria Math"/>
                    <w:lang w:val="en-US"/>
                  </w:rPr>
                  <m:t>,0</m:t>
                </m:r>
                <m:ctrlPr>
                  <w:rPr>
                    <w:rFonts w:ascii="Cambria Math" w:hAnsi="Cambria Math"/>
                  </w:rPr>
                </m:ctrlPr>
              </m:sub>
            </m:sSub>
          </m:e>
        </m:d>
        <m:r>
          <w:rPr>
            <w:rFonts w:ascii="Cambria Math" w:hAnsi="Cambria Math" w:cs="Cambria Math"/>
          </w:rPr>
          <m:t>⋅</m:t>
        </m:r>
        <m:sSub>
          <m:sSubPr>
            <m:ctrlPr>
              <w:rPr>
                <w:rFonts w:ascii="Cambria Math" w:hAnsi="Cambria Math"/>
                <w:i/>
              </w:rPr>
            </m:ctrlPr>
          </m:sSubPr>
          <m:e>
            <m:r>
              <w:rPr>
                <w:rFonts w:ascii="Cambria Math"/>
              </w:rPr>
              <m:t>r</m:t>
            </m:r>
          </m:e>
          <m:sub>
            <m:r>
              <m:rPr>
                <m:nor/>
              </m:rPr>
              <w:rPr>
                <w:rFonts w:ascii="Cambria Math"/>
                <w:lang w:val="en-US"/>
              </w:rPr>
              <m:t>1</m:t>
            </m:r>
            <m:ctrlPr>
              <w:rPr>
                <w:rFonts w:ascii="Cambria Math" w:hAnsi="Cambria Math"/>
              </w:rPr>
            </m:ctrlPr>
          </m:sub>
        </m:sSub>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O</m:t>
                </m:r>
              </m:e>
              <m:sub>
                <m:r>
                  <m:rPr>
                    <m:nor/>
                  </m:rPr>
                  <w:rPr>
                    <w:rFonts w:ascii="Cambria Math"/>
                  </w:rPr>
                  <m:t>ACK</m:t>
                </m:r>
                <m:r>
                  <m:rPr>
                    <m:nor/>
                  </m:rPr>
                  <w:rPr>
                    <w:rFonts w:ascii="Cambria Math"/>
                    <w:lang w:val="en-US"/>
                  </w:rPr>
                  <m:t>,1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O</m:t>
                </m:r>
              </m:e>
              <m:sub>
                <m:r>
                  <m:rPr>
                    <m:nor/>
                  </m:rPr>
                  <w:rPr>
                    <w:rFonts w:ascii="Cambria Math"/>
                  </w:rPr>
                  <m:t>CRC</m:t>
                </m:r>
                <m:r>
                  <m:rPr>
                    <m:nor/>
                  </m:rPr>
                  <w:rPr>
                    <w:rFonts w:ascii="Cambria Math"/>
                    <w:lang w:val="en-US"/>
                  </w:rPr>
                  <m:t>,1</m:t>
                </m:r>
                <m:ctrlPr>
                  <w:rPr>
                    <w:rFonts w:ascii="Cambria Math" w:hAnsi="Cambria Math"/>
                  </w:rPr>
                </m:ctrlPr>
              </m:sub>
            </m:sSub>
          </m:e>
        </m:d>
        <m:r>
          <w:rPr>
            <w:rFonts w:ascii="Cambria Math" w:hAnsi="Cambria Math" w:cs="Cambria Math"/>
          </w:rPr>
          <m:t>⋅</m:t>
        </m:r>
        <m:sSub>
          <m:sSubPr>
            <m:ctrlPr>
              <w:rPr>
                <w:rFonts w:ascii="Cambria Math" w:hAnsi="Cambria Math"/>
                <w:i/>
              </w:rPr>
            </m:ctrlPr>
          </m:sSubPr>
          <m:e>
            <m:r>
              <w:rPr>
                <w:rFonts w:ascii="Cambria Math"/>
              </w:rPr>
              <m:t>r</m:t>
            </m:r>
          </m:e>
          <m:sub>
            <m:r>
              <m:rPr>
                <m:nor/>
              </m:rPr>
              <w:rPr>
                <w:rFonts w:ascii="Cambria Math"/>
                <w:lang w:val="en-US"/>
              </w:rPr>
              <m:t>0</m:t>
            </m:r>
            <m:ctrlPr>
              <w:rPr>
                <w:rFonts w:ascii="Cambria Math" w:hAnsi="Cambria Math"/>
              </w:rPr>
            </m:ctrlPr>
          </m:sub>
        </m:sSub>
        <m:r>
          <w:rPr>
            <w:rFonts w:ascii="Cambria Math"/>
          </w:rPr>
          <m:t>&gt;</m:t>
        </m:r>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t>
            </m:r>
          </m:sub>
          <m:sup>
            <m:r>
              <m:rPr>
                <m:nor/>
              </m:rPr>
              <w:rPr>
                <w:rFonts w:ascii="Cambria Math"/>
              </w:rPr>
              <m:t>PUCCH</m:t>
            </m:r>
          </m:sup>
        </m:sSubSup>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sc,ctrl</m:t>
            </m:r>
            <m:ctrlPr>
              <w:rPr>
                <w:rFonts w:ascii="Cambria Math" w:hAnsi="Cambria Math"/>
              </w:rPr>
            </m:ctrlPr>
          </m:sub>
          <m:sup>
            <m:r>
              <m:rPr>
                <m:nor/>
              </m:rPr>
              <w:rPr>
                <w:rFonts w:ascii="Cambria Math"/>
              </w:rPr>
              <m:t>RB</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symb-UCI</m:t>
            </m:r>
            <m:ctrlPr>
              <w:rPr>
                <w:rFonts w:ascii="Cambria Math" w:hAnsi="Cambria Math"/>
              </w:rPr>
            </m:ctrlPr>
          </m:sub>
          <m:sup>
            <m:r>
              <m:rPr>
                <m:nor/>
              </m:rPr>
              <w:rPr>
                <w:rFonts w:ascii="Cambria Math"/>
              </w:rPr>
              <m:t>PUCCH</m:t>
            </m:r>
            <m:ctrlPr>
              <w:rPr>
                <w:rFonts w:ascii="Cambria Math" w:hAnsi="Cambria Math"/>
              </w:rPr>
            </m:ctrlPr>
          </m:sup>
        </m:sSubSup>
        <m:r>
          <w:rPr>
            <w:rFonts w:ascii="Cambria Math" w:hAnsi="Cambria Math" w:cs="Cambria Math"/>
          </w:rPr>
          <m:t>⋅</m:t>
        </m:r>
        <m:sSub>
          <m:sSubPr>
            <m:ctrlPr>
              <w:rPr>
                <w:rFonts w:ascii="Cambria Math" w:hAnsi="Cambria Math"/>
                <w:i/>
              </w:rPr>
            </m:ctrlPr>
          </m:sSubPr>
          <m:e>
            <m:r>
              <w:rPr>
                <w:rFonts w:ascii="Cambria Math"/>
              </w:rPr>
              <m:t>Q</m:t>
            </m:r>
          </m:e>
          <m:sub>
            <m:r>
              <w:rPr>
                <w:rFonts w:ascii="Cambria Math"/>
              </w:rPr>
              <m:t>m</m:t>
            </m:r>
          </m:sub>
        </m:sSub>
        <m:r>
          <w:rPr>
            <w:rFonts w:ascii="Cambria Math" w:hAnsi="Cambria Math" w:cs="Cambria Math"/>
          </w:rPr>
          <m:t>⋅</m:t>
        </m:r>
        <m:sSub>
          <m:sSubPr>
            <m:ctrlPr>
              <w:rPr>
                <w:rFonts w:ascii="Cambria Math" w:hAnsi="Cambria Math"/>
                <w:i/>
              </w:rPr>
            </m:ctrlPr>
          </m:sSubPr>
          <m:e>
            <m:r>
              <w:rPr>
                <w:rFonts w:ascii="Cambria Math"/>
              </w:rPr>
              <m:t>r</m:t>
            </m:r>
          </m:e>
          <m:sub>
            <m:r>
              <m:rPr>
                <m:nor/>
              </m:rPr>
              <w:rPr>
                <w:rFonts w:ascii="Cambria Math"/>
                <w:lang w:val="en-US"/>
              </w:rPr>
              <m:t>0</m:t>
            </m:r>
            <m:ctrlPr>
              <w:rPr>
                <w:rFonts w:ascii="Cambria Math" w:hAnsi="Cambria Math"/>
              </w:rPr>
            </m:ctrlPr>
          </m:sub>
        </m:sSub>
        <m:r>
          <w:rPr>
            <w:rFonts w:ascii="Cambria Math" w:hAnsi="Cambria Math" w:cs="Cambria Math"/>
          </w:rPr>
          <m:t>⋅</m:t>
        </m:r>
        <m:sSub>
          <m:sSubPr>
            <m:ctrlPr>
              <w:rPr>
                <w:rFonts w:ascii="Cambria Math" w:hAnsi="Cambria Math"/>
                <w:i/>
              </w:rPr>
            </m:ctrlPr>
          </m:sSubPr>
          <m:e>
            <m:r>
              <w:rPr>
                <w:rFonts w:ascii="Cambria Math"/>
              </w:rPr>
              <m:t>r</m:t>
            </m:r>
          </m:e>
          <m:sub>
            <m:r>
              <m:rPr>
                <m:nor/>
              </m:rPr>
              <w:rPr>
                <w:rFonts w:ascii="Cambria Math"/>
                <w:lang w:val="en-US"/>
              </w:rPr>
              <m:t>1</m:t>
            </m:r>
            <m:ctrlPr>
              <w:rPr>
                <w:rFonts w:ascii="Cambria Math" w:hAnsi="Cambria Math"/>
              </w:rPr>
            </m:ctrlPr>
          </m:sub>
        </m:sSub>
      </m:oMath>
      <w:r w:rsidRPr="00111FF6">
        <w:rPr>
          <w:lang w:val="en-US"/>
        </w:rPr>
        <w:t xml:space="preserve">, the UE </w:t>
      </w:r>
      <w:r>
        <w:rPr>
          <w:lang w:val="en-US"/>
        </w:rPr>
        <w:t xml:space="preserve">transmits the PUCCH over the </w:t>
      </w:r>
      <m:oMath>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t>
            </m:r>
          </m:sub>
          <m:sup>
            <m:r>
              <m:rPr>
                <m:nor/>
              </m:rPr>
              <w:rPr>
                <w:rFonts w:ascii="Cambria Math"/>
              </w:rPr>
              <m:t>PUCCH</m:t>
            </m:r>
          </m:sup>
        </m:sSubSup>
      </m:oMath>
      <w:r w:rsidRPr="00111FF6">
        <w:rPr>
          <w:lang w:val="en-US"/>
        </w:rPr>
        <w:t xml:space="preserve"> PRBs</w:t>
      </w:r>
      <w:r>
        <w:rPr>
          <w:lang w:val="en-US"/>
        </w:rPr>
        <w:t xml:space="preserve">. </w:t>
      </w:r>
    </w:p>
    <w:p w14:paraId="545246CE" w14:textId="0D395B83" w:rsidR="00B92C2C" w:rsidRPr="00252055" w:rsidRDefault="00B92C2C" w:rsidP="00252055">
      <w:pPr>
        <w:rPr>
          <w:lang w:val="en-US"/>
        </w:rPr>
      </w:pPr>
      <w:r w:rsidRPr="00111FF6">
        <w:rPr>
          <w:lang w:val="en-US"/>
        </w:rPr>
        <w:t xml:space="preserve">If a UE transmits a PUCCH that includes </w:t>
      </w:r>
      <w:r w:rsidRPr="00111FF6">
        <w:t xml:space="preserve">HARQ-ACK information </w:t>
      </w:r>
      <w:r w:rsidRPr="00111FF6">
        <w:rPr>
          <w:lang w:val="en-US"/>
        </w:rPr>
        <w:t xml:space="preserve">bits </w:t>
      </w:r>
      <w:r w:rsidRPr="00111FF6">
        <w:t xml:space="preserve">of priority </w:t>
      </w:r>
      <w:r w:rsidRPr="00111FF6">
        <w:rPr>
          <w:lang w:val="en-US"/>
        </w:rPr>
        <w:t xml:space="preserve">0 and 1 using </w:t>
      </w:r>
      <w:r w:rsidRPr="00647C89">
        <w:rPr>
          <w:lang w:val="en-US"/>
        </w:rPr>
        <w:t xml:space="preserve">a PUCCH resource that includes </w:t>
      </w:r>
      <w:r w:rsidRPr="00111FF6">
        <w:rPr>
          <w:lang w:val="en-US"/>
        </w:rPr>
        <w:t xml:space="preserve">PUCCH format </w:t>
      </w:r>
      <w:r w:rsidRPr="00647C89">
        <w:rPr>
          <w:lang w:val="en-US"/>
        </w:rPr>
        <w:t xml:space="preserve">2, </w:t>
      </w:r>
      <w:r w:rsidRPr="00111FF6">
        <w:rPr>
          <w:lang w:val="en-US"/>
        </w:rPr>
        <w:t xml:space="preserve">3 or 4, the UE determines a power for the PUCCH transmission as described in clause 7.2.1 assuming that the PUCCH includes only </w:t>
      </w:r>
      <w:r>
        <w:rPr>
          <w:lang w:val="en-US"/>
        </w:rPr>
        <w:t>UCI</w:t>
      </w:r>
      <w:r w:rsidRPr="00111FF6">
        <w:t xml:space="preserve"> </w:t>
      </w:r>
      <w:r w:rsidRPr="00111FF6">
        <w:rPr>
          <w:lang w:val="en-US"/>
        </w:rPr>
        <w:t xml:space="preserve">bits </w:t>
      </w:r>
      <w:r w:rsidRPr="00111FF6">
        <w:t xml:space="preserve">of </w:t>
      </w:r>
      <w:r w:rsidRPr="00111FF6">
        <w:rPr>
          <w:lang w:val="en-US"/>
        </w:rPr>
        <w:t xml:space="preserve">priority 1, where </w:t>
      </w:r>
      <m:oMath>
        <m:sSub>
          <m:sSubPr>
            <m:ctrlPr>
              <w:rPr>
                <w:rFonts w:ascii="Cambria Math" w:hAnsi="Cambria Math"/>
                <w:i/>
                <w:lang w:val="en-US"/>
              </w:rPr>
            </m:ctrlPr>
          </m:sSubPr>
          <m:e>
            <m:r>
              <w:rPr>
                <w:rFonts w:ascii="Cambria Math" w:hAnsi="Cambria Math"/>
                <w:lang w:val="en-US"/>
              </w:rPr>
              <m:t>N</m:t>
            </m:r>
          </m:e>
          <m:sub>
            <m:r>
              <m:rPr>
                <m:sty m:val="p"/>
              </m:rPr>
              <w:rPr>
                <w:rFonts w:ascii="Cambria Math" w:hAnsi="Cambria Math"/>
                <w:lang w:val="en-US"/>
              </w:rPr>
              <m:t>RE</m:t>
            </m:r>
          </m:sub>
        </m:sSub>
        <m:r>
          <w:rPr>
            <w:rFonts w:ascii="Cambria Math" w:hAnsi="Cambria Math"/>
            <w:lang w:val="en-US"/>
          </w:rPr>
          <m:t>(i)=</m:t>
        </m:r>
        <m:r>
          <m:rPr>
            <m:sty m:val="p"/>
          </m:rPr>
          <w:rPr>
            <w:rFonts w:ascii="Cambria Math" w:hAnsi="Cambria Math"/>
            <w:lang w:val="en-US"/>
          </w:rPr>
          <m:t>min</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M</m:t>
                </m:r>
              </m:e>
              <m:sub>
                <m:r>
                  <m:rPr>
                    <m:sty m:val="p"/>
                  </m:rPr>
                  <w:rPr>
                    <w:rFonts w:ascii="Cambria Math" w:hAnsi="Cambria Math"/>
                    <w:lang w:val="en-US"/>
                  </w:rPr>
                  <m:t>RB</m:t>
                </m:r>
              </m:sub>
              <m:sup>
                <m:r>
                  <m:rPr>
                    <m:nor/>
                  </m:rPr>
                  <w:rPr>
                    <w:rFonts w:ascii="Cambria Math"/>
                  </w:rPr>
                  <m:t>PUCCH</m:t>
                </m:r>
              </m:sup>
            </m:sSubSup>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sc,ctrl</m:t>
                </m:r>
                <m:ctrlPr>
                  <w:rPr>
                    <w:rFonts w:ascii="Cambria Math" w:hAnsi="Cambria Math"/>
                  </w:rPr>
                </m:ctrlPr>
              </m:sub>
              <m:sup>
                <m:r>
                  <m:rPr>
                    <m:nor/>
                  </m:rPr>
                  <w:rPr>
                    <w:rFonts w:ascii="Cambria Math"/>
                  </w:rPr>
                  <m:t>RB</m:t>
                </m:r>
                <m:ctrlPr>
                  <w:rPr>
                    <w:rFonts w:ascii="Cambria Math" w:hAnsi="Cambria Math"/>
                  </w:rPr>
                </m:ctrlPr>
              </m:sup>
            </m:sSubSup>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symb-UCI</m:t>
                </m:r>
                <m:ctrlPr>
                  <w:rPr>
                    <w:rFonts w:ascii="Cambria Math" w:hAnsi="Cambria Math"/>
                  </w:rPr>
                </m:ctrlPr>
              </m:sub>
              <m:sup>
                <m:r>
                  <m:rPr>
                    <m:nor/>
                  </m:rPr>
                  <w:rPr>
                    <w:rFonts w:ascii="Cambria Math"/>
                  </w:rPr>
                  <m:t>PUCCH</m:t>
                </m:r>
                <m:ctrlPr>
                  <w:rPr>
                    <w:rFonts w:ascii="Cambria Math" w:hAnsi="Cambria Math"/>
                  </w:rPr>
                </m:ctrlPr>
              </m:sup>
            </m:sSubSup>
            <m:r>
              <w:rPr>
                <w:rFonts w:ascii="Cambria Math" w:hAnsi="Cambria Math"/>
              </w:rPr>
              <m:t>,</m:t>
            </m:r>
            <m:d>
              <m:dPr>
                <m:begChr m:val="⌈"/>
                <m:endChr m:val="⌉"/>
                <m:ctrlPr>
                  <w:rPr>
                    <w:rFonts w:ascii="Cambria Math" w:hAnsi="Cambria Math"/>
                    <w:i/>
                  </w:rPr>
                </m:ctrlPr>
              </m:dPr>
              <m:e>
                <m:f>
                  <m:fPr>
                    <m:type m:val="lin"/>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O</m:t>
                            </m:r>
                          </m:e>
                          <m:sub>
                            <m:r>
                              <m:rPr>
                                <m:nor/>
                              </m:rPr>
                              <w:rPr>
                                <w:rFonts w:ascii="Cambria Math"/>
                                <w:lang w:val="en-US"/>
                              </w:rPr>
                              <m:t>ACK,1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O</m:t>
                            </m:r>
                          </m:e>
                          <m:sub>
                            <m:r>
                              <m:rPr>
                                <m:nor/>
                              </m:rPr>
                              <w:rPr>
                                <w:rFonts w:ascii="Cambria Math"/>
                              </w:rPr>
                              <m:t>CRC</m:t>
                            </m:r>
                            <m:r>
                              <m:rPr>
                                <m:nor/>
                              </m:rPr>
                              <w:rPr>
                                <w:rFonts w:ascii="Cambria Math"/>
                                <w:lang w:val="en-US"/>
                              </w:rPr>
                              <m:t>,1</m:t>
                            </m:r>
                            <m:ctrlPr>
                              <w:rPr>
                                <w:rFonts w:ascii="Cambria Math" w:hAnsi="Cambria Math"/>
                              </w:rPr>
                            </m:ctrlPr>
                          </m:sub>
                        </m:sSub>
                      </m:e>
                    </m:d>
                  </m:num>
                  <m:den>
                    <m:d>
                      <m:dPr>
                        <m:ctrlPr>
                          <w:rPr>
                            <w:rFonts w:ascii="Cambria Math" w:hAnsi="Cambria Math"/>
                            <w:i/>
                          </w:rPr>
                        </m:ctrlPr>
                      </m:dPr>
                      <m:e>
                        <m:sSub>
                          <m:sSubPr>
                            <m:ctrlPr>
                              <w:rPr>
                                <w:rFonts w:ascii="Cambria Math" w:hAnsi="Cambria Math"/>
                                <w:i/>
                              </w:rPr>
                            </m:ctrlPr>
                          </m:sSubPr>
                          <m:e>
                            <m:r>
                              <w:rPr>
                                <w:rFonts w:ascii="Cambria Math"/>
                              </w:rPr>
                              <m:t>Q</m:t>
                            </m:r>
                          </m:e>
                          <m:sub>
                            <m:r>
                              <w:rPr>
                                <w:rFonts w:ascii="Cambria Math"/>
                              </w:rPr>
                              <m:t>m</m:t>
                            </m:r>
                          </m:sub>
                        </m:sSub>
                        <m:r>
                          <w:rPr>
                            <w:rFonts w:ascii="Cambria Math" w:hAnsi="Cambria Math" w:cs="Cambria Math"/>
                          </w:rPr>
                          <m:t>⋅</m:t>
                        </m:r>
                        <m:sSub>
                          <m:sSubPr>
                            <m:ctrlPr>
                              <w:rPr>
                                <w:rFonts w:ascii="Cambria Math" w:hAnsi="Cambria Math"/>
                                <w:i/>
                              </w:rPr>
                            </m:ctrlPr>
                          </m:sSubPr>
                          <m:e>
                            <m:r>
                              <w:rPr>
                                <w:rFonts w:ascii="Cambria Math"/>
                              </w:rPr>
                              <m:t>r</m:t>
                            </m:r>
                          </m:e>
                          <m:sub>
                            <m:r>
                              <m:rPr>
                                <m:nor/>
                              </m:rPr>
                              <w:rPr>
                                <w:rFonts w:ascii="Cambria Math"/>
                                <w:lang w:val="en-US"/>
                              </w:rPr>
                              <m:t>1</m:t>
                            </m:r>
                            <m:ctrlPr>
                              <w:rPr>
                                <w:rFonts w:ascii="Cambria Math" w:hAnsi="Cambria Math"/>
                              </w:rPr>
                            </m:ctrlPr>
                          </m:sub>
                        </m:sSub>
                      </m:e>
                    </m:d>
                  </m:den>
                </m:f>
              </m:e>
            </m:d>
          </m:e>
        </m:d>
      </m:oMath>
      <w:r w:rsidRPr="00111FF6">
        <w:rPr>
          <w:lang w:val="en-US"/>
        </w:rPr>
        <w:t>.</w:t>
      </w:r>
      <w:r w:rsidR="00252055" w:rsidRPr="00252055">
        <w:rPr>
          <w:lang w:val="en-US"/>
        </w:rPr>
        <w:t xml:space="preserve"> </w:t>
      </w:r>
      <w:r w:rsidR="00252055" w:rsidRPr="00252055">
        <w:t xml:space="preserve">If </w:t>
      </w:r>
      <m:oMath>
        <m:sSub>
          <m:sSubPr>
            <m:ctrlPr>
              <w:rPr>
                <w:rFonts w:ascii="Cambria Math" w:hAnsi="Cambria Math"/>
                <w:i/>
              </w:rPr>
            </m:ctrlPr>
          </m:sSubPr>
          <m:e>
            <m:r>
              <w:rPr>
                <w:rFonts w:ascii="Cambria Math" w:hAnsi="Cambria Math"/>
              </w:rPr>
              <m:t>O</m:t>
            </m:r>
          </m:e>
          <m:sub>
            <m:r>
              <w:rPr>
                <w:rFonts w:ascii="Cambria Math" w:hAnsi="Cambria Math"/>
              </w:rPr>
              <m:t>ACK</m:t>
            </m:r>
            <m:r>
              <m:rPr>
                <m:nor/>
              </m:rPr>
              <m:t>,1</m:t>
            </m:r>
            <m:ctrlPr>
              <w:rPr>
                <w:rFonts w:ascii="Cambria Math" w:hAnsi="Cambria Math"/>
              </w:rPr>
            </m:ctrlPr>
          </m:sub>
        </m:sSub>
        <m:r>
          <m:rPr>
            <m:sty m:val="p"/>
          </m:rPr>
          <w:rPr>
            <w:rFonts w:ascii="Cambria Math" w:hAnsi="Cambria Math"/>
          </w:rPr>
          <m:t xml:space="preserve">≤11 </m:t>
        </m:r>
      </m:oMath>
      <w:r w:rsidR="00252055" w:rsidRPr="00252055">
        <w:t xml:space="preserve">bits, </w:t>
      </w:r>
      <m:oMath>
        <m:sSub>
          <m:sSubPr>
            <m:ctrlPr>
              <w:rPr>
                <w:rFonts w:ascii="Cambria Math" w:eastAsiaTheme="minorEastAsia" w:hAnsi="Cambria Math"/>
              </w:rPr>
            </m:ctrlPr>
          </m:sSubPr>
          <m:e>
            <m:r>
              <w:rPr>
                <w:rFonts w:ascii="Cambria Math" w:hAnsi="Cambria Math"/>
              </w:rPr>
              <m:t>n</m:t>
            </m:r>
          </m:e>
          <m:sub>
            <m:r>
              <m:rPr>
                <m:sty m:val="p"/>
              </m:rPr>
              <w:rPr>
                <w:rFonts w:ascii="Cambria Math" w:hAnsi="Cambria Math"/>
              </w:rPr>
              <m:t>HARQ-ACK,1</m:t>
            </m:r>
          </m:sub>
        </m:sSub>
        <m:r>
          <w:rPr>
            <w:rFonts w:ascii="Cambria Math" w:hAnsi="Cambria Math"/>
          </w:rPr>
          <m:t>+</m:t>
        </m:r>
        <m:sSub>
          <m:sSubPr>
            <m:ctrlPr>
              <w:rPr>
                <w:rFonts w:ascii="Cambria Math" w:eastAsiaTheme="minorEastAsia" w:hAnsi="Cambria Math"/>
              </w:rPr>
            </m:ctrlPr>
          </m:sSubPr>
          <m:e>
            <m:r>
              <w:rPr>
                <w:rFonts w:ascii="Cambria Math" w:hAnsi="Cambria Math"/>
              </w:rPr>
              <m:t>O</m:t>
            </m:r>
          </m:e>
          <m:sub>
            <m:r>
              <m:rPr>
                <m:sty m:val="p"/>
              </m:rPr>
              <w:rPr>
                <w:rFonts w:ascii="Cambria Math" w:hAnsi="Cambria Math"/>
              </w:rPr>
              <m:t>SR,1</m:t>
            </m:r>
          </m:sub>
        </m:sSub>
      </m:oMath>
      <w:r w:rsidR="00252055" w:rsidRPr="00252055">
        <w:t xml:space="preserve"> replaces </w:t>
      </w:r>
      <m:oMath>
        <m:sSub>
          <m:sSubPr>
            <m:ctrlPr>
              <w:rPr>
                <w:rFonts w:ascii="Cambria Math" w:eastAsiaTheme="minorEastAsia" w:hAnsi="Cambria Math"/>
              </w:rPr>
            </m:ctrlPr>
          </m:sSubPr>
          <m:e>
            <m:r>
              <w:rPr>
                <w:rFonts w:ascii="Cambria Math" w:hAnsi="Cambria Math"/>
              </w:rPr>
              <m:t>n</m:t>
            </m:r>
          </m:e>
          <m:sub>
            <m:r>
              <m:rPr>
                <m:sty m:val="p"/>
              </m:rPr>
              <w:rPr>
                <w:rFonts w:ascii="Cambria Math" w:hAnsi="Cambria Math"/>
              </w:rPr>
              <m:t>HARQ-ACK</m:t>
            </m:r>
          </m:sub>
        </m:sSub>
        <m:d>
          <m:dPr>
            <m:ctrlPr>
              <w:rPr>
                <w:rFonts w:ascii="Cambria Math" w:eastAsiaTheme="minorEastAsia" w:hAnsi="Cambria Math"/>
              </w:rPr>
            </m:ctrlPr>
          </m:dPr>
          <m:e>
            <m:r>
              <m:rPr>
                <m:sty m:val="p"/>
              </m:rPr>
              <w:rPr>
                <w:rFonts w:ascii="Cambria Math" w:hAnsi="Cambria Math"/>
              </w:rPr>
              <m:t>i</m:t>
            </m:r>
          </m:e>
        </m:d>
        <m:r>
          <m:rPr>
            <m:sty m:val="p"/>
          </m:rPr>
          <w:rPr>
            <w:rFonts w:ascii="Cambria Math" w:hAnsi="Cambria Math"/>
          </w:rPr>
          <m:t>+</m:t>
        </m:r>
        <m:sSub>
          <m:sSubPr>
            <m:ctrlPr>
              <w:rPr>
                <w:rFonts w:ascii="Cambria Math" w:hAnsi="Cambria Math"/>
                <w:i/>
              </w:rPr>
            </m:ctrlPr>
          </m:sSubPr>
          <m:e>
            <m:r>
              <w:rPr>
                <w:rFonts w:ascii="Cambria Math" w:hAnsi="Cambria Math"/>
              </w:rPr>
              <m:t>O</m:t>
            </m:r>
          </m:e>
          <m:sub>
            <m:r>
              <m:rPr>
                <m:sty m:val="p"/>
              </m:rPr>
              <w:rPr>
                <w:rFonts w:ascii="Cambria Math" w:hAnsi="Cambria Math"/>
              </w:rPr>
              <m:t>SR</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O</m:t>
            </m:r>
          </m:e>
          <m:sub>
            <m:r>
              <m:rPr>
                <m:sty m:val="p"/>
              </m:rPr>
              <w:rPr>
                <w:rFonts w:ascii="Cambria Math" w:hAnsi="Cambria Math"/>
              </w:rPr>
              <m:t>CSI</m:t>
            </m:r>
          </m:sub>
        </m:sSub>
        <m:d>
          <m:dPr>
            <m:ctrlPr>
              <w:rPr>
                <w:rFonts w:ascii="Cambria Math" w:hAnsi="Cambria Math"/>
                <w:i/>
              </w:rPr>
            </m:ctrlPr>
          </m:dPr>
          <m:e>
            <m:r>
              <w:rPr>
                <w:rFonts w:ascii="Cambria Math" w:hAnsi="Cambria Math"/>
              </w:rPr>
              <m:t>i</m:t>
            </m:r>
          </m:e>
        </m:d>
      </m:oMath>
      <w:r w:rsidR="00252055" w:rsidRPr="00252055">
        <w:t xml:space="preserve"> in the </w:t>
      </w:r>
      <m:oMath>
        <m:sSub>
          <m:sSubPr>
            <m:ctrlPr>
              <w:rPr>
                <w:rFonts w:ascii="Cambria Math" w:eastAsiaTheme="minorEastAsia" w:hAnsi="Cambria Math"/>
                <w:i/>
                <w:iCs/>
              </w:rPr>
            </m:ctrlPr>
          </m:sSubPr>
          <m:e>
            <m:r>
              <w:rPr>
                <w:rFonts w:ascii="Cambria Math" w:hAnsi="Cambria Math"/>
              </w:rPr>
              <m:t>∆</m:t>
            </m:r>
          </m:e>
          <m:sub>
            <m:r>
              <m:rPr>
                <m:sty m:val="p"/>
              </m:rPr>
              <w:rPr>
                <w:rFonts w:ascii="Cambria Math" w:hAnsi="Cambria Math"/>
              </w:rPr>
              <m:t>TF</m:t>
            </m:r>
            <m:r>
              <w:rPr>
                <w:rFonts w:ascii="Cambria Math" w:hAnsi="Cambria Math"/>
              </w:rPr>
              <m:t>,b,f,c</m:t>
            </m:r>
          </m:sub>
        </m:sSub>
        <m:d>
          <m:dPr>
            <m:ctrlPr>
              <w:rPr>
                <w:rFonts w:ascii="Cambria Math" w:eastAsiaTheme="minorEastAsia" w:hAnsi="Cambria Math"/>
                <w:i/>
                <w:iCs/>
              </w:rPr>
            </m:ctrlPr>
          </m:dPr>
          <m:e>
            <m:r>
              <w:rPr>
                <w:rFonts w:ascii="Cambria Math" w:hAnsi="Cambria Math"/>
              </w:rPr>
              <m:t>i</m:t>
            </m:r>
          </m:e>
        </m:d>
      </m:oMath>
      <w:r w:rsidR="00252055" w:rsidRPr="00252055">
        <w:t xml:space="preserve"> calculation in clause 7.2.1; otherwise, </w:t>
      </w:r>
      <m:oMath>
        <m:sSub>
          <m:sSubPr>
            <m:ctrlPr>
              <w:rPr>
                <w:rFonts w:ascii="Cambria Math" w:eastAsiaTheme="minorEastAsia" w:hAnsi="Cambria Math"/>
              </w:rPr>
            </m:ctrlPr>
          </m:sSubPr>
          <m:e>
            <m:r>
              <w:rPr>
                <w:rFonts w:ascii="Cambria Math" w:hAnsi="Cambria Math"/>
              </w:rPr>
              <m:t>O</m:t>
            </m:r>
          </m:e>
          <m:sub>
            <m:r>
              <m:rPr>
                <m:sty m:val="p"/>
              </m:rPr>
              <w:rPr>
                <w:rFonts w:ascii="Cambria Math" w:hAnsi="Cambria Math"/>
              </w:rPr>
              <m:t>ACK,1</m:t>
            </m:r>
          </m:sub>
        </m:sSub>
        <m:r>
          <w:rPr>
            <w:rFonts w:ascii="Cambria Math" w:eastAsia="Times New Roman" w:hAnsi="Cambria Math"/>
          </w:rPr>
          <m:t>+</m:t>
        </m:r>
        <m:sSub>
          <m:sSubPr>
            <m:ctrlPr>
              <w:rPr>
                <w:rFonts w:ascii="Cambria Math" w:eastAsia="Times New Roman" w:hAnsi="Cambria Math"/>
              </w:rPr>
            </m:ctrlPr>
          </m:sSubPr>
          <m:e>
            <m:r>
              <w:rPr>
                <w:rFonts w:ascii="Cambria Math" w:hAnsi="Cambria Math"/>
              </w:rPr>
              <m:t>O</m:t>
            </m:r>
          </m:e>
          <m:sub>
            <m:r>
              <m:rPr>
                <m:sty m:val="p"/>
              </m:rPr>
              <w:rPr>
                <w:rFonts w:ascii="Cambria Math" w:hAnsi="Cambria Math"/>
              </w:rPr>
              <m:t>CRC,1</m:t>
            </m:r>
          </m:sub>
        </m:sSub>
      </m:oMath>
      <w:r w:rsidR="00252055" w:rsidRPr="00252055">
        <w:t xml:space="preserve"> replaces </w:t>
      </w:r>
      <m:oMath>
        <m:sSub>
          <m:sSubPr>
            <m:ctrlPr>
              <w:rPr>
                <w:rFonts w:ascii="Cambria Math" w:hAnsi="Cambria Math"/>
                <w:i/>
              </w:rPr>
            </m:ctrlPr>
          </m:sSubPr>
          <m:e>
            <m:r>
              <w:rPr>
                <w:rFonts w:ascii="Cambria Math" w:hAnsi="Cambria Math"/>
              </w:rPr>
              <m:t>O</m:t>
            </m:r>
          </m:e>
          <m:sub>
            <m:r>
              <m:rPr>
                <m:sty m:val="p"/>
              </m:rPr>
              <w:rPr>
                <w:rFonts w:ascii="Cambria Math" w:hAnsi="Cambria Math"/>
              </w:rPr>
              <m:t>ACK</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O</m:t>
            </m:r>
          </m:e>
          <m:sub>
            <m:r>
              <m:rPr>
                <m:sty m:val="p"/>
              </m:rPr>
              <w:rPr>
                <w:rFonts w:ascii="Cambria Math" w:hAnsi="Cambria Math"/>
              </w:rPr>
              <m:t>SR</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O</m:t>
            </m:r>
          </m:e>
          <m:sub>
            <m:r>
              <m:rPr>
                <m:sty m:val="p"/>
              </m:rPr>
              <w:rPr>
                <w:rFonts w:ascii="Cambria Math" w:hAnsi="Cambria Math"/>
              </w:rPr>
              <m:t>CSI</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O</m:t>
            </m:r>
          </m:e>
          <m:sub>
            <m:r>
              <m:rPr>
                <m:sty m:val="p"/>
              </m:rPr>
              <w:rPr>
                <w:rFonts w:ascii="Cambria Math" w:hAnsi="Cambria Math"/>
              </w:rPr>
              <m:t>CRC</m:t>
            </m:r>
          </m:sub>
        </m:sSub>
        <m:d>
          <m:dPr>
            <m:ctrlPr>
              <w:rPr>
                <w:rFonts w:ascii="Cambria Math" w:hAnsi="Cambria Math"/>
                <w:i/>
              </w:rPr>
            </m:ctrlPr>
          </m:dPr>
          <m:e>
            <m:r>
              <w:rPr>
                <w:rFonts w:ascii="Cambria Math" w:hAnsi="Cambria Math"/>
              </w:rPr>
              <m:t>i</m:t>
            </m:r>
          </m:e>
        </m:d>
      </m:oMath>
      <w:r w:rsidR="00252055" w:rsidRPr="00252055">
        <w:t xml:space="preserve"> in the</w:t>
      </w:r>
      <m:oMath>
        <m:r>
          <m:rPr>
            <m:sty m:val="p"/>
          </m:rPr>
          <w:rPr>
            <w:rFonts w:ascii="Cambria Math" w:hAnsi="Cambria Math"/>
          </w:rPr>
          <m:t xml:space="preserve"> BPRE(i)</m:t>
        </m:r>
      </m:oMath>
      <w:r w:rsidR="00252055" w:rsidRPr="00252055">
        <w:t xml:space="preserve"> calculation in clause 7.2.1.</w:t>
      </w:r>
    </w:p>
    <w:p w14:paraId="500D09A3" w14:textId="77777777" w:rsidR="008A749C" w:rsidRDefault="008A749C" w:rsidP="008A749C">
      <w:pPr>
        <w:rPr>
          <w:lang w:val="en-US"/>
        </w:rPr>
      </w:pPr>
      <w:r w:rsidRPr="00647C89">
        <w:rPr>
          <w:lang w:val="en-US"/>
        </w:rPr>
        <w:t xml:space="preserve">If a UE transmits a PUCCH that includes </w:t>
      </w:r>
      <w:r>
        <w:rPr>
          <w:lang w:val="en-US"/>
        </w:rPr>
        <w:t xml:space="preserve">one </w:t>
      </w:r>
      <w:r w:rsidRPr="00647C89">
        <w:t xml:space="preserve">HARQ-ACK information </w:t>
      </w:r>
      <w:r w:rsidRPr="00647C89">
        <w:rPr>
          <w:lang w:val="en-US"/>
        </w:rPr>
        <w:t xml:space="preserve">bit </w:t>
      </w:r>
      <w:r w:rsidRPr="00647C89">
        <w:t xml:space="preserve">of priority </w:t>
      </w:r>
      <w:r w:rsidRPr="00647C89">
        <w:rPr>
          <w:lang w:val="en-US"/>
        </w:rPr>
        <w:t xml:space="preserve">0 and </w:t>
      </w:r>
      <w:r>
        <w:rPr>
          <w:lang w:val="en-US"/>
        </w:rPr>
        <w:t xml:space="preserve">one </w:t>
      </w:r>
      <w:r w:rsidRPr="00647C89">
        <w:t xml:space="preserve">HARQ-ACK information </w:t>
      </w:r>
      <w:r w:rsidRPr="00647C89">
        <w:rPr>
          <w:lang w:val="en-US"/>
        </w:rPr>
        <w:t xml:space="preserve">bit </w:t>
      </w:r>
      <w:r w:rsidRPr="00647C89">
        <w:t>of priority</w:t>
      </w:r>
      <w:r>
        <w:t xml:space="preserve"> 1</w:t>
      </w:r>
    </w:p>
    <w:p w14:paraId="1F37A11C" w14:textId="77777777" w:rsidR="008A749C" w:rsidRPr="002967F6" w:rsidRDefault="008A749C" w:rsidP="008A749C">
      <w:pPr>
        <w:pStyle w:val="B1"/>
        <w:rPr>
          <w:lang w:val="en-US"/>
        </w:rPr>
      </w:pPr>
      <w:r w:rsidRPr="00647C89">
        <w:t>-</w:t>
      </w:r>
      <w:r w:rsidRPr="00647C89">
        <w:tab/>
      </w:r>
      <w:r>
        <w:rPr>
          <w:lang w:val="en-US"/>
        </w:rPr>
        <w:t xml:space="preserve">if the PUCCH transmission uses a resource that </w:t>
      </w:r>
      <w:r w:rsidRPr="00647C89">
        <w:rPr>
          <w:lang w:val="en-US"/>
        </w:rPr>
        <w:t xml:space="preserve">includes PUCCH format </w:t>
      </w:r>
      <w:r>
        <w:rPr>
          <w:lang w:val="en-US"/>
        </w:rPr>
        <w:t xml:space="preserve">0, the HARQ-ACK information bits of priority 1 and priority 0 are set as the first and second bits in Table 9.2.3-4, respectively, to derive the </w:t>
      </w:r>
      <m:oMath>
        <m:sSub>
          <m:sSubPr>
            <m:ctrlPr>
              <w:rPr>
                <w:rFonts w:ascii="Cambria Math" w:hAnsi="Cambria Math"/>
                <w:i/>
                <w:lang w:val="en-US"/>
              </w:rPr>
            </m:ctrlPr>
          </m:sSubPr>
          <m:e>
            <m:r>
              <w:rPr>
                <w:rFonts w:ascii="Cambria Math" w:hAnsi="Cambria Math"/>
                <w:lang w:val="en-US"/>
              </w:rPr>
              <m:t>m</m:t>
            </m:r>
          </m:e>
          <m:sub>
            <m:r>
              <m:rPr>
                <m:sty m:val="p"/>
              </m:rPr>
              <w:rPr>
                <w:rFonts w:ascii="Cambria Math" w:hAnsi="Cambria Math"/>
                <w:lang w:val="en-US"/>
              </w:rPr>
              <m:t>CS</m:t>
            </m:r>
          </m:sub>
        </m:sSub>
      </m:oMath>
      <w:r w:rsidRPr="00B916EC">
        <w:t xml:space="preserve"> </w:t>
      </w:r>
      <w:r>
        <w:rPr>
          <w:lang w:val="en-US"/>
        </w:rPr>
        <w:t>of the PUCCH transmission</w:t>
      </w:r>
    </w:p>
    <w:p w14:paraId="342C826B" w14:textId="77777777" w:rsidR="008A749C" w:rsidRDefault="008A749C" w:rsidP="008A749C">
      <w:pPr>
        <w:pStyle w:val="B1"/>
        <w:rPr>
          <w:lang w:val="en-US"/>
        </w:rPr>
      </w:pPr>
      <w:r w:rsidRPr="00647C89">
        <w:t>-</w:t>
      </w:r>
      <w:r w:rsidRPr="00647C89">
        <w:tab/>
      </w:r>
      <w:r>
        <w:rPr>
          <w:lang w:val="en-US"/>
        </w:rPr>
        <w:t xml:space="preserve">if the PUCCH transmission uses a resource that </w:t>
      </w:r>
      <w:r w:rsidRPr="00647C89">
        <w:rPr>
          <w:lang w:val="en-US"/>
        </w:rPr>
        <w:t xml:space="preserve">includes PUCCH format </w:t>
      </w:r>
      <w:r>
        <w:rPr>
          <w:lang w:val="en-US"/>
        </w:rPr>
        <w:t>1, the HARQ-ACK information bits of priority 1 and priority 0 are the first and second bits, respectively, of the QPSK modulated symbol for the PUCCH transmission</w:t>
      </w:r>
    </w:p>
    <w:p w14:paraId="6430067F" w14:textId="77777777" w:rsidR="00B92C2C" w:rsidRPr="00111FF6" w:rsidRDefault="00B92C2C" w:rsidP="00B92C2C">
      <w:pPr>
        <w:rPr>
          <w:lang w:val="en-US"/>
        </w:rPr>
      </w:pPr>
      <w:r w:rsidRPr="00111FF6">
        <w:rPr>
          <w:lang w:val="en-US"/>
        </w:rPr>
        <w:t xml:space="preserve">If a UE transmits a PUCCH that includes </w:t>
      </w:r>
      <w:r w:rsidRPr="00111FF6">
        <w:t xml:space="preserve">HARQ-ACK information </w:t>
      </w:r>
      <w:r w:rsidRPr="00111FF6">
        <w:rPr>
          <w:lang w:val="en-US"/>
        </w:rPr>
        <w:t xml:space="preserve">bits </w:t>
      </w:r>
      <w:r w:rsidRPr="00111FF6">
        <w:t xml:space="preserve">of priority </w:t>
      </w:r>
      <w:r w:rsidRPr="00111FF6">
        <w:rPr>
          <w:lang w:val="en-US"/>
        </w:rPr>
        <w:t xml:space="preserve">0 and 1 using PUCCH format 1, the UE determines a power for the PUCCH transmission as described in clause 7.2.1 assuming that all </w:t>
      </w:r>
      <w:r w:rsidRPr="00111FF6">
        <w:t xml:space="preserve">HARQ-ACK information </w:t>
      </w:r>
      <w:r w:rsidRPr="00111FF6">
        <w:rPr>
          <w:lang w:val="en-US"/>
        </w:rPr>
        <w:t>bits have</w:t>
      </w:r>
      <w:r w:rsidRPr="00111FF6">
        <w:t xml:space="preserve"> </w:t>
      </w:r>
      <w:r w:rsidRPr="00111FF6">
        <w:rPr>
          <w:lang w:val="en-US"/>
        </w:rPr>
        <w:t>priority 1.</w:t>
      </w:r>
    </w:p>
    <w:p w14:paraId="2176263B" w14:textId="77777777" w:rsidR="00B92C2C" w:rsidRPr="00F144B7" w:rsidRDefault="00B92C2C" w:rsidP="00B92C2C">
      <w:r w:rsidRPr="00F144B7">
        <w:rPr>
          <w:lang w:eastAsia="zh-CN"/>
        </w:rPr>
        <w:t xml:space="preserve">If a UE is provided </w:t>
      </w:r>
      <w:r w:rsidRPr="00F144B7">
        <w:t xml:space="preserve">a first interlace of </w:t>
      </w:r>
      <m:oMath>
        <m:sSubSup>
          <m:sSubSupPr>
            <m:ctrlPr>
              <w:rPr>
                <w:rFonts w:ascii="Cambria Math" w:hAnsi="Cambria Math"/>
                <w:i/>
              </w:rPr>
            </m:ctrlPr>
          </m:sSubSupPr>
          <m:e>
            <m:r>
              <w:rPr>
                <w:rFonts w:ascii="Cambria Math" w:hAnsi="Cambria Math"/>
              </w:rPr>
              <m:t>M</m:t>
            </m:r>
          </m:e>
          <m:sub>
            <m:r>
              <m:rPr>
                <m:nor/>
              </m:rPr>
              <m:t>Interlace,0</m:t>
            </m:r>
            <m:ctrlPr>
              <w:rPr>
                <w:rFonts w:ascii="Cambria Math" w:hAnsi="Cambria Math"/>
              </w:rPr>
            </m:ctrlPr>
          </m:sub>
          <m:sup>
            <m:r>
              <m:rPr>
                <m:nor/>
              </m:rPr>
              <m:t>PUCCH</m:t>
            </m:r>
            <m:ctrlPr>
              <w:rPr>
                <w:rFonts w:ascii="Cambria Math" w:hAnsi="Cambria Math"/>
              </w:rPr>
            </m:ctrlPr>
          </m:sup>
        </m:sSubSup>
      </m:oMath>
      <w:r w:rsidRPr="00F144B7">
        <w:t xml:space="preserve"> PRBs by </w:t>
      </w:r>
      <w:r w:rsidRPr="00F144B7">
        <w:rPr>
          <w:i/>
        </w:rPr>
        <w:t>interlace0</w:t>
      </w:r>
      <w:r w:rsidRPr="00F144B7">
        <w:t xml:space="preserve"> in </w:t>
      </w:r>
      <w:r w:rsidRPr="00F144B7">
        <w:rPr>
          <w:i/>
        </w:rPr>
        <w:t>InterlaceAllocation</w:t>
      </w:r>
    </w:p>
    <w:p w14:paraId="4CA57515" w14:textId="77777777" w:rsidR="00B92C2C" w:rsidRDefault="00B92C2C" w:rsidP="00B92C2C">
      <w:pPr>
        <w:pStyle w:val="B1"/>
      </w:pPr>
      <w:r w:rsidRPr="00111FF6">
        <w:t>-</w:t>
      </w:r>
      <w:r w:rsidRPr="00111FF6">
        <w:tab/>
      </w:r>
      <w:r>
        <w:rPr>
          <w:lang w:val="en-US"/>
        </w:rPr>
        <w:t>if</w:t>
      </w:r>
      <w:r w:rsidRPr="00F144B7">
        <w:rPr>
          <w:lang w:eastAsia="zh-CN"/>
        </w:rPr>
        <w:t xml:space="preserve"> the UE is provided</w:t>
      </w:r>
      <w:r w:rsidRPr="00F144B7">
        <w:t xml:space="preserve"> a second interlace of </w:t>
      </w:r>
      <m:oMath>
        <m:sSubSup>
          <m:sSubSupPr>
            <m:ctrlPr>
              <w:rPr>
                <w:rFonts w:ascii="Cambria Math" w:hAnsi="Cambria Math"/>
                <w:i/>
              </w:rPr>
            </m:ctrlPr>
          </m:sSubSupPr>
          <m:e>
            <m:r>
              <w:rPr>
                <w:rFonts w:ascii="Cambria Math" w:hAnsi="Cambria Math"/>
              </w:rPr>
              <m:t>M</m:t>
            </m:r>
          </m:e>
          <m:sub>
            <m:r>
              <m:rPr>
                <m:nor/>
              </m:rPr>
              <m:t>Interlace,1</m:t>
            </m:r>
            <m:ctrlPr>
              <w:rPr>
                <w:rFonts w:ascii="Cambria Math" w:hAnsi="Cambria Math"/>
              </w:rPr>
            </m:ctrlPr>
          </m:sub>
          <m:sup>
            <m:r>
              <m:rPr>
                <m:nor/>
              </m:rPr>
              <m:t>PUCCH</m:t>
            </m:r>
            <m:ctrlPr>
              <w:rPr>
                <w:rFonts w:ascii="Cambria Math" w:hAnsi="Cambria Math"/>
              </w:rPr>
            </m:ctrlPr>
          </m:sup>
        </m:sSubSup>
      </m:oMath>
      <w:r w:rsidRPr="00F144B7">
        <w:rPr>
          <w:lang w:eastAsia="zh-CN"/>
        </w:rPr>
        <w:t xml:space="preserve"> PRBs </w:t>
      </w:r>
      <w:r w:rsidRPr="00F144B7">
        <w:t xml:space="preserve">by </w:t>
      </w:r>
      <w:r w:rsidRPr="00F144B7">
        <w:rPr>
          <w:i/>
        </w:rPr>
        <w:t>interlace1</w:t>
      </w:r>
      <w:r w:rsidRPr="00F144B7">
        <w:t xml:space="preserve"> in </w:t>
      </w:r>
      <w:r w:rsidRPr="00F144B7">
        <w:rPr>
          <w:i/>
        </w:rPr>
        <w:t>InterlaceAllocation</w:t>
      </w:r>
    </w:p>
    <w:p w14:paraId="028983B2" w14:textId="77777777" w:rsidR="00B92C2C" w:rsidRDefault="00B92C2C" w:rsidP="00B92C2C">
      <w:pPr>
        <w:pStyle w:val="B2"/>
        <w:rPr>
          <w:lang w:eastAsia="zh-CN"/>
        </w:rPr>
      </w:pPr>
      <w:r w:rsidRPr="00111FF6">
        <w:t>-</w:t>
      </w:r>
      <w:r w:rsidRPr="00111FF6">
        <w:tab/>
      </w:r>
      <w:r w:rsidRPr="008B22A3">
        <w:rPr>
          <w:lang w:eastAsia="zh-CN"/>
        </w:rPr>
        <w:t>if</w:t>
      </w:r>
      <w:r w:rsidRPr="008B22A3">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O</m:t>
                </m:r>
              </m:e>
              <m:sub>
                <m:r>
                  <m:rPr>
                    <m:nor/>
                  </m:rPr>
                  <m:t>ACK,0</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O</m:t>
                </m:r>
              </m:e>
              <m:sub>
                <m:r>
                  <m:rPr>
                    <m:nor/>
                  </m:rPr>
                  <m:t>CRC,0</m:t>
                </m:r>
                <m:ctrlPr>
                  <w:rPr>
                    <w:rFonts w:ascii="Cambria Math" w:hAnsi="Cambria Math"/>
                  </w:rPr>
                </m:ctrlPr>
              </m:sub>
            </m:sSub>
          </m:e>
        </m:d>
        <m:r>
          <w:rPr>
            <w:rFonts w:ascii="Cambria Math" w:hAnsi="Cambria Math"/>
          </w:rPr>
          <m:t>⋅</m:t>
        </m:r>
        <m:sSub>
          <m:sSubPr>
            <m:ctrlPr>
              <w:rPr>
                <w:rFonts w:ascii="Cambria Math" w:hAnsi="Cambria Math"/>
                <w:i/>
              </w:rPr>
            </m:ctrlPr>
          </m:sSubPr>
          <m:e>
            <m:r>
              <w:rPr>
                <w:rFonts w:ascii="Cambria Math" w:hAnsi="Cambria Math"/>
              </w:rPr>
              <m:t>r</m:t>
            </m:r>
          </m:e>
          <m:sub>
            <m:r>
              <m:rPr>
                <m:nor/>
              </m:rPr>
              <m:t>1</m:t>
            </m:r>
            <m:ctrlPr>
              <w:rPr>
                <w:rFonts w:ascii="Cambria Math" w:hAnsi="Cambria Math"/>
              </w:rPr>
            </m:ctrlP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O</m:t>
                </m:r>
              </m:e>
              <m:sub>
                <m:r>
                  <m:rPr>
                    <m:nor/>
                  </m:rPr>
                  <m:t>ACK,1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O</m:t>
                </m:r>
              </m:e>
              <m:sub>
                <m:r>
                  <m:rPr>
                    <m:nor/>
                  </m:rPr>
                  <m:t>CRC,1</m:t>
                </m:r>
                <m:ctrlPr>
                  <w:rPr>
                    <w:rFonts w:ascii="Cambria Math" w:hAnsi="Cambria Math"/>
                  </w:rPr>
                </m:ctrlPr>
              </m:sub>
            </m:sSub>
          </m:e>
        </m:d>
        <m:r>
          <w:rPr>
            <w:rFonts w:ascii="Cambria Math" w:hAnsi="Cambria Math"/>
          </w:rPr>
          <m:t>⋅</m:t>
        </m:r>
        <m:sSub>
          <m:sSubPr>
            <m:ctrlPr>
              <w:rPr>
                <w:rFonts w:ascii="Cambria Math" w:hAnsi="Cambria Math"/>
                <w:i/>
              </w:rPr>
            </m:ctrlPr>
          </m:sSubPr>
          <m:e>
            <m:r>
              <w:rPr>
                <w:rFonts w:ascii="Cambria Math" w:hAnsi="Cambria Math"/>
              </w:rPr>
              <m:t>r</m:t>
            </m:r>
          </m:e>
          <m:sub>
            <m:r>
              <m:rPr>
                <m:nor/>
              </m:rPr>
              <m:t>0</m:t>
            </m:r>
            <m:ctrlPr>
              <w:rPr>
                <w:rFonts w:ascii="Cambria Math" w:hAnsi="Cambria Math"/>
              </w:rPr>
            </m:ctrlPr>
          </m:sub>
        </m:sSub>
        <m:r>
          <w:rPr>
            <w:rFonts w:ascii="Cambria Math" w:hAnsi="Cambria Math"/>
          </w:rPr>
          <m:t>≤</m:t>
        </m:r>
        <m:sSubSup>
          <m:sSubSupPr>
            <m:ctrlPr>
              <w:rPr>
                <w:rFonts w:ascii="Cambria Math" w:hAnsi="Cambria Math"/>
                <w:i/>
              </w:rPr>
            </m:ctrlPr>
          </m:sSubSupPr>
          <m:e>
            <m:r>
              <w:rPr>
                <w:rFonts w:ascii="Cambria Math" w:hAnsi="Cambria Math"/>
              </w:rPr>
              <m:t>M</m:t>
            </m:r>
          </m:e>
          <m:sub>
            <m:r>
              <m:rPr>
                <m:sty m:val="p"/>
              </m:rPr>
              <w:rPr>
                <w:rFonts w:ascii="Cambria Math" w:hAnsi="Cambria Math"/>
              </w:rPr>
              <m:t>Interlace,0</m:t>
            </m:r>
          </m:sub>
          <m:sup>
            <m:r>
              <m:rPr>
                <m:nor/>
              </m:rPr>
              <m:t>PUCCH</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nor/>
              </m:rPr>
              <m:t>sc,ctrl</m:t>
            </m:r>
            <m:ctrlPr>
              <w:rPr>
                <w:rFonts w:ascii="Cambria Math" w:hAnsi="Cambria Math"/>
              </w:rPr>
            </m:ctrlPr>
          </m:sub>
          <m:sup>
            <m:r>
              <m:rPr>
                <m:nor/>
              </m:rPr>
              <m:t>RB</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N</m:t>
            </m:r>
          </m:e>
          <m:sub>
            <m:r>
              <m:rPr>
                <m:nor/>
              </m:rPr>
              <m:t>symb-UCI</m:t>
            </m:r>
            <m:ctrlPr>
              <w:rPr>
                <w:rFonts w:ascii="Cambria Math" w:hAnsi="Cambria Math"/>
              </w:rPr>
            </m:ctrlPr>
          </m:sub>
          <m:sup>
            <m:r>
              <m:rPr>
                <m:nor/>
              </m:rPr>
              <m:t>PUCCH</m:t>
            </m:r>
            <m:ctrlPr>
              <w:rPr>
                <w:rFonts w:ascii="Cambria Math" w:hAnsi="Cambria Math"/>
              </w:rPr>
            </m:ctrlP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r</m:t>
            </m:r>
          </m:e>
          <m:sub>
            <m:r>
              <m:rPr>
                <m:nor/>
              </m:rPr>
              <m:t>0</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r</m:t>
            </m:r>
          </m:e>
          <m:sub>
            <m:r>
              <m:rPr>
                <m:nor/>
              </m:rPr>
              <m:t>1</m:t>
            </m:r>
            <m:ctrlPr>
              <w:rPr>
                <w:rFonts w:ascii="Cambria Math" w:hAnsi="Cambria Math"/>
              </w:rPr>
            </m:ctrlPr>
          </m:sub>
        </m:sSub>
      </m:oMath>
      <w:r w:rsidRPr="008B22A3">
        <w:t>,</w:t>
      </w:r>
      <w:r w:rsidRPr="008B22A3">
        <w:rPr>
          <w:lang w:eastAsia="zh-CN"/>
        </w:rPr>
        <w:t xml:space="preserve"> the UE transmits the PUCCH over the first interlace</w:t>
      </w:r>
    </w:p>
    <w:p w14:paraId="708DE7B4" w14:textId="77777777" w:rsidR="00B92C2C" w:rsidRPr="00F144B7" w:rsidRDefault="00B92C2C" w:rsidP="00B92C2C">
      <w:pPr>
        <w:pStyle w:val="B2"/>
      </w:pPr>
      <w:r w:rsidRPr="00111FF6">
        <w:t>-</w:t>
      </w:r>
      <w:r w:rsidRPr="00111FF6">
        <w:tab/>
      </w:r>
      <w:r w:rsidRPr="00F144B7">
        <w:rPr>
          <w:lang w:eastAsia="zh-CN"/>
        </w:rPr>
        <w:t>else</w:t>
      </w:r>
      <w:r>
        <w:rPr>
          <w:lang w:val="en-US" w:eastAsia="zh-CN"/>
        </w:rPr>
        <w:t>,</w:t>
      </w:r>
      <w:r w:rsidRPr="00F144B7">
        <w:rPr>
          <w:lang w:eastAsia="zh-CN"/>
        </w:rPr>
        <w:t xml:space="preserve"> the UE transmits the PUCCH over both the first and second interlace</w:t>
      </w:r>
      <w:r w:rsidRPr="00F144B7">
        <w:t>s</w:t>
      </w:r>
    </w:p>
    <w:p w14:paraId="0EFECC66" w14:textId="77777777" w:rsidR="00B92C2C" w:rsidRPr="00F144B7" w:rsidRDefault="00B92C2C" w:rsidP="00B92C2C">
      <w:pPr>
        <w:pStyle w:val="B1"/>
      </w:pPr>
      <w:r w:rsidRPr="00111FF6">
        <w:t>-</w:t>
      </w:r>
      <w:r w:rsidRPr="00111FF6">
        <w:tab/>
      </w:r>
      <w:r w:rsidRPr="00F144B7">
        <w:t>else the</w:t>
      </w:r>
      <w:r w:rsidRPr="00F144B7">
        <w:rPr>
          <w:lang w:eastAsia="zh-CN"/>
        </w:rPr>
        <w:t xml:space="preserve"> UE transmits the PUCCH over the first interlace</w:t>
      </w:r>
    </w:p>
    <w:p w14:paraId="5FF40DBD" w14:textId="45BDAE1C" w:rsidR="00B92C2C" w:rsidRPr="00622137" w:rsidRDefault="00B92C2C" w:rsidP="00B92C2C">
      <w:pPr>
        <w:rPr>
          <w:lang w:val="en-US"/>
        </w:rPr>
      </w:pPr>
      <w:r>
        <w:rPr>
          <w:lang w:val="en-US"/>
        </w:rPr>
        <w:t xml:space="preserve">If </w:t>
      </w:r>
      <w:r w:rsidRPr="00111FF6">
        <w:rPr>
          <w:lang w:val="en-US"/>
        </w:rPr>
        <w:t xml:space="preserve">the UE </w:t>
      </w:r>
      <w:r>
        <w:rPr>
          <w:lang w:val="en-US"/>
        </w:rPr>
        <w:t>trans</w:t>
      </w:r>
      <w:r w:rsidRPr="00622137">
        <w:rPr>
          <w:lang w:val="en-US"/>
        </w:rPr>
        <w:t xml:space="preserve">mits a PUCCH that includes </w:t>
      </w:r>
      <w:r w:rsidRPr="00622137">
        <w:t xml:space="preserve">HARQ-ACK information </w:t>
      </w:r>
      <w:r w:rsidRPr="00622137">
        <w:rPr>
          <w:lang w:val="en-US"/>
        </w:rPr>
        <w:t xml:space="preserve">bits </w:t>
      </w:r>
      <w:r w:rsidRPr="00622137">
        <w:t xml:space="preserve">of priority </w:t>
      </w:r>
      <w:r w:rsidRPr="00622137">
        <w:rPr>
          <w:lang w:val="en-US"/>
        </w:rPr>
        <w:t>0 and 1 over interlaces, the UE determines a power for the PUCCH transmission as described in clause 7.2.1 assuming that the PUCCH includes only UCI</w:t>
      </w:r>
      <w:r w:rsidRPr="00622137">
        <w:t xml:space="preserve"> </w:t>
      </w:r>
      <w:r w:rsidRPr="00622137">
        <w:rPr>
          <w:lang w:val="en-US"/>
        </w:rPr>
        <w:t xml:space="preserve">bits </w:t>
      </w:r>
      <w:r w:rsidRPr="00622137">
        <w:t xml:space="preserve">of </w:t>
      </w:r>
      <w:r w:rsidRPr="00622137">
        <w:rPr>
          <w:lang w:val="en-US"/>
        </w:rPr>
        <w:t>priority 1.</w:t>
      </w:r>
    </w:p>
    <w:p w14:paraId="020AB9A1" w14:textId="77777777" w:rsidR="00905C6C" w:rsidRPr="00111FF6" w:rsidRDefault="00905C6C" w:rsidP="002F14D6">
      <w:pPr>
        <w:pStyle w:val="Heading4"/>
      </w:pPr>
      <w:bookmarkStart w:id="614" w:name="_Toc161999138"/>
      <w:r w:rsidRPr="00111FF6">
        <w:t>9</w:t>
      </w:r>
      <w:r w:rsidRPr="00111FF6">
        <w:rPr>
          <w:rFonts w:hint="eastAsia"/>
        </w:rPr>
        <w:t>.</w:t>
      </w:r>
      <w:r w:rsidRPr="00111FF6">
        <w:t>2.5.4</w:t>
      </w:r>
      <w:r w:rsidRPr="00111FF6">
        <w:rPr>
          <w:rFonts w:hint="eastAsia"/>
        </w:rPr>
        <w:tab/>
      </w:r>
      <w:r w:rsidRPr="00111FF6">
        <w:t>UE procedure for deferring HARQ-ACK for SPS PDSCH</w:t>
      </w:r>
      <w:bookmarkEnd w:id="614"/>
      <w:r w:rsidRPr="00111FF6">
        <w:t xml:space="preserve"> </w:t>
      </w:r>
    </w:p>
    <w:p w14:paraId="707FFC4C" w14:textId="457F1B0C" w:rsidR="00905C6C" w:rsidRPr="00111FF6" w:rsidRDefault="00905C6C" w:rsidP="00905C6C">
      <w:pPr>
        <w:rPr>
          <w:lang w:eastAsia="zh-CN"/>
        </w:rPr>
      </w:pPr>
      <w:r w:rsidRPr="00111FF6">
        <w:rPr>
          <w:lang w:eastAsia="zh-CN"/>
        </w:rPr>
        <w:t xml:space="preserve">If a UE is provided </w:t>
      </w:r>
      <w:r w:rsidRPr="00111FF6">
        <w:rPr>
          <w:i/>
          <w:iCs/>
          <w:lang w:eastAsia="zh-CN"/>
        </w:rPr>
        <w:t>sps</w:t>
      </w:r>
      <w:r w:rsidR="00254F04">
        <w:rPr>
          <w:i/>
          <w:iCs/>
          <w:lang w:eastAsia="zh-CN"/>
        </w:rPr>
        <w:t>-</w:t>
      </w:r>
      <w:r w:rsidR="00254F04" w:rsidRPr="00111FF6">
        <w:rPr>
          <w:i/>
          <w:iCs/>
          <w:lang w:eastAsia="zh-CN"/>
        </w:rPr>
        <w:t>HARQ</w:t>
      </w:r>
      <w:r w:rsidR="00254F04">
        <w:rPr>
          <w:i/>
          <w:iCs/>
          <w:lang w:eastAsia="zh-CN"/>
        </w:rPr>
        <w:t>-D</w:t>
      </w:r>
      <w:r w:rsidR="00254F04" w:rsidRPr="00111FF6">
        <w:rPr>
          <w:i/>
          <w:iCs/>
          <w:lang w:eastAsia="zh-CN"/>
        </w:rPr>
        <w:t>eferral</w:t>
      </w:r>
      <w:r w:rsidR="00254F04" w:rsidRPr="00111FF6">
        <w:rPr>
          <w:lang w:eastAsia="zh-CN"/>
        </w:rPr>
        <w:t xml:space="preserve"> </w:t>
      </w:r>
      <w:r w:rsidRPr="00111FF6">
        <w:rPr>
          <w:lang w:eastAsia="zh-CN"/>
        </w:rPr>
        <w:t xml:space="preserve">and, after performing the procedures in clauses 9 and 9.2.5 to resolve overlapping among PUCCHs and PUSCHs in a first slot, </w:t>
      </w:r>
      <w:r w:rsidR="008A749C" w:rsidRPr="00647C89">
        <w:rPr>
          <w:lang w:eastAsia="zh-CN"/>
        </w:rPr>
        <w:t xml:space="preserve">if any, </w:t>
      </w:r>
      <w:r w:rsidRPr="00111FF6">
        <w:rPr>
          <w:lang w:eastAsia="zh-CN"/>
        </w:rPr>
        <w:t>the UE determines a PUCCH resource for a PUCCH transmission with first HARQ-ACK information bits for SPS PDSCH receptions that the UE would report for a first time, and the PUCCH resource</w:t>
      </w:r>
    </w:p>
    <w:p w14:paraId="78FEF342" w14:textId="7D90FFED" w:rsidR="00905C6C" w:rsidRDefault="00905C6C" w:rsidP="00905C6C">
      <w:pPr>
        <w:pStyle w:val="B1"/>
        <w:rPr>
          <w:lang w:val="de-AT"/>
        </w:rPr>
      </w:pPr>
      <w:r w:rsidRPr="00111FF6">
        <w:t>-</w:t>
      </w:r>
      <w:r w:rsidRPr="00111FF6">
        <w:tab/>
      </w:r>
      <w:r w:rsidRPr="00111FF6">
        <w:rPr>
          <w:lang w:val="en-US"/>
        </w:rPr>
        <w:t xml:space="preserve">is provided by </w:t>
      </w:r>
      <w:r w:rsidRPr="00111FF6">
        <w:rPr>
          <w:i/>
        </w:rPr>
        <w:t>SPS-PUCCH-AN-List</w:t>
      </w:r>
      <w:r w:rsidRPr="00111FF6">
        <w:rPr>
          <w:lang w:val="de-AT"/>
        </w:rPr>
        <w:t xml:space="preserve"> as described </w:t>
      </w:r>
      <w:r w:rsidRPr="00111FF6">
        <w:rPr>
          <w:lang w:val="de-AT" w:eastAsia="zh-CN"/>
        </w:rPr>
        <w:t>in</w:t>
      </w:r>
      <w:r w:rsidRPr="00111FF6">
        <w:t xml:space="preserve"> </w:t>
      </w:r>
      <w:r w:rsidRPr="00111FF6">
        <w:rPr>
          <w:lang w:val="en-US"/>
        </w:rPr>
        <w:t xml:space="preserve">clause </w:t>
      </w:r>
      <w:r w:rsidRPr="00111FF6">
        <w:t>9.2.1</w:t>
      </w:r>
      <w:r w:rsidRPr="00111FF6">
        <w:rPr>
          <w:lang w:val="en-US"/>
        </w:rPr>
        <w:t>,</w:t>
      </w:r>
      <w:r w:rsidRPr="00111FF6">
        <w:t xml:space="preserve"> </w:t>
      </w:r>
      <w:r w:rsidRPr="00111FF6">
        <w:rPr>
          <w:lang w:val="en-US"/>
        </w:rPr>
        <w:t xml:space="preserve">or by </w:t>
      </w:r>
      <w:r w:rsidRPr="00111FF6">
        <w:rPr>
          <w:i/>
        </w:rPr>
        <w:t>n1PUCCH-AN</w:t>
      </w:r>
      <w:r w:rsidRPr="00111FF6">
        <w:rPr>
          <w:lang w:val="en-US"/>
        </w:rPr>
        <w:t xml:space="preserve"> if </w:t>
      </w:r>
      <w:r w:rsidRPr="00111FF6">
        <w:rPr>
          <w:i/>
        </w:rPr>
        <w:t>SPS-PUCCH-AN-List</w:t>
      </w:r>
      <w:r w:rsidRPr="00111FF6">
        <w:rPr>
          <w:lang w:val="de-AT"/>
        </w:rPr>
        <w:t xml:space="preserve"> is not provided</w:t>
      </w:r>
    </w:p>
    <w:p w14:paraId="3EB733BD" w14:textId="5445F092" w:rsidR="00635A74" w:rsidRPr="00111FF6" w:rsidRDefault="00635A74" w:rsidP="00905C6C">
      <w:pPr>
        <w:pStyle w:val="B1"/>
        <w:rPr>
          <w:lang w:val="de-AT"/>
        </w:rPr>
      </w:pPr>
      <w:r w:rsidRPr="00647C89">
        <w:t>-</w:t>
      </w:r>
      <w:r w:rsidRPr="00647C89">
        <w:tab/>
      </w:r>
      <w:r w:rsidRPr="00647C89">
        <w:rPr>
          <w:lang w:val="en-US"/>
        </w:rPr>
        <w:t xml:space="preserve">is </w:t>
      </w:r>
      <w:r>
        <w:rPr>
          <w:lang w:val="en-US"/>
        </w:rPr>
        <w:t>not cancelled by an overlapping PUCCH or PUSCH transmission of larger priority index</w:t>
      </w:r>
    </w:p>
    <w:p w14:paraId="67C72149" w14:textId="77777777" w:rsidR="00905C6C" w:rsidRPr="00111FF6" w:rsidRDefault="00905C6C" w:rsidP="00905C6C">
      <w:pPr>
        <w:pStyle w:val="B1"/>
        <w:rPr>
          <w:lang w:val="de-AT"/>
        </w:rPr>
      </w:pPr>
      <w:r w:rsidRPr="00111FF6">
        <w:t>-</w:t>
      </w:r>
      <w:r w:rsidRPr="00111FF6">
        <w:tab/>
      </w:r>
      <w:r w:rsidRPr="00111FF6">
        <w:rPr>
          <w:lang w:val="en-US"/>
        </w:rPr>
        <w:t xml:space="preserve">overlaps with a symbol indicated as downlink by </w:t>
      </w:r>
      <w:r w:rsidRPr="00111FF6">
        <w:rPr>
          <w:i/>
          <w:iCs/>
          <w:lang w:val="en-US"/>
        </w:rPr>
        <w:t>tdd-UL-DL-ConfigurationCommon</w:t>
      </w:r>
      <w:r w:rsidRPr="00111FF6">
        <w:rPr>
          <w:lang w:val="en-US"/>
        </w:rPr>
        <w:t xml:space="preserve"> or </w:t>
      </w:r>
      <w:r w:rsidRPr="00111FF6">
        <w:rPr>
          <w:i/>
          <w:iCs/>
          <w:lang w:val="en-US"/>
        </w:rPr>
        <w:t>tdd-UL-DL-ConfigDedicated</w:t>
      </w:r>
      <w:r w:rsidRPr="00111FF6">
        <w:rPr>
          <w:lang w:val="en-US"/>
        </w:rPr>
        <w:t xml:space="preserve">, or indicated for a SS/PBCH block by </w:t>
      </w:r>
      <w:r w:rsidRPr="00111FF6">
        <w:rPr>
          <w:i/>
        </w:rPr>
        <w:t>ssb-PositionsInBurst</w:t>
      </w:r>
      <w:r w:rsidRPr="00111FF6">
        <w:rPr>
          <w:iCs/>
          <w:lang w:val="en-US"/>
        </w:rPr>
        <w:t>, or belong</w:t>
      </w:r>
      <w:r>
        <w:rPr>
          <w:iCs/>
          <w:lang w:val="en-US"/>
        </w:rPr>
        <w:t>ing</w:t>
      </w:r>
      <w:r w:rsidRPr="00111FF6">
        <w:rPr>
          <w:iCs/>
          <w:lang w:val="en-US"/>
        </w:rPr>
        <w:t xml:space="preserve"> to a CORESET associated with a Type0-PDCCH CSS set</w:t>
      </w:r>
      <w:r w:rsidRPr="00111FF6">
        <w:rPr>
          <w:lang w:val="en-US"/>
        </w:rPr>
        <w:t xml:space="preserve"> </w:t>
      </w:r>
    </w:p>
    <w:p w14:paraId="5D54E687" w14:textId="77777777" w:rsidR="00905C6C" w:rsidRPr="00111FF6" w:rsidRDefault="00905C6C" w:rsidP="002F14D6">
      <w:pPr>
        <w:rPr>
          <w:lang w:val="en-US"/>
        </w:rPr>
      </w:pPr>
      <w:r w:rsidRPr="00111FF6">
        <w:rPr>
          <w:lang w:val="en-US"/>
        </w:rPr>
        <w:t xml:space="preserve">the UE </w:t>
      </w:r>
    </w:p>
    <w:p w14:paraId="1D1CB04C" w14:textId="0A263B27" w:rsidR="00905C6C" w:rsidRPr="00111FF6" w:rsidRDefault="00905C6C" w:rsidP="00905C6C">
      <w:pPr>
        <w:pStyle w:val="B1"/>
        <w:rPr>
          <w:lang w:val="en-US"/>
        </w:rPr>
      </w:pPr>
      <w:r w:rsidRPr="00111FF6">
        <w:t>-</w:t>
      </w:r>
      <w:r w:rsidRPr="00111FF6">
        <w:tab/>
      </w:r>
      <w:r w:rsidRPr="00111FF6">
        <w:rPr>
          <w:lang w:val="en-US"/>
        </w:rPr>
        <w:t xml:space="preserve">determines an earliest second slot and, after </w:t>
      </w:r>
      <w:r w:rsidR="00B92C2C">
        <w:rPr>
          <w:lang w:val="en-US" w:eastAsia="zh-CN"/>
        </w:rPr>
        <w:t xml:space="preserve">performing the procedures in clauses 9.2.1 and 9.2.3 to determine a PUCCH with </w:t>
      </w:r>
      <w:r w:rsidR="00325506">
        <w:rPr>
          <w:lang w:val="en-US" w:eastAsia="zh-CN"/>
        </w:rPr>
        <w:t xml:space="preserve">third </w:t>
      </w:r>
      <w:r w:rsidR="00B92C2C">
        <w:rPr>
          <w:lang w:val="en-US" w:eastAsia="zh-CN"/>
        </w:rPr>
        <w:t xml:space="preserve">HARQ-ACK information bits including second HARQ-ACK information bits and then </w:t>
      </w:r>
      <w:r w:rsidRPr="00111FF6">
        <w:rPr>
          <w:lang w:val="en-US"/>
        </w:rPr>
        <w:t xml:space="preserve">performing </w:t>
      </w:r>
      <w:r w:rsidRPr="00111FF6">
        <w:rPr>
          <w:lang w:eastAsia="zh-CN"/>
        </w:rPr>
        <w:t xml:space="preserve">the procedures in clauses 9 and 9.2.5 </w:t>
      </w:r>
      <w:r w:rsidRPr="00111FF6">
        <w:rPr>
          <w:lang w:val="en-US" w:eastAsia="zh-CN"/>
        </w:rPr>
        <w:t>to</w:t>
      </w:r>
      <w:r w:rsidRPr="00111FF6">
        <w:rPr>
          <w:lang w:eastAsia="zh-CN"/>
        </w:rPr>
        <w:t xml:space="preserve"> resolv</w:t>
      </w:r>
      <w:r w:rsidRPr="00111FF6">
        <w:rPr>
          <w:lang w:val="en-US" w:eastAsia="zh-CN"/>
        </w:rPr>
        <w:t>e</w:t>
      </w:r>
      <w:r w:rsidRPr="00111FF6">
        <w:rPr>
          <w:lang w:eastAsia="zh-CN"/>
        </w:rPr>
        <w:t xml:space="preserve"> overlapping among PUCCHs and PUSCHs</w:t>
      </w:r>
      <w:r w:rsidRPr="00111FF6">
        <w:rPr>
          <w:lang w:val="en-US" w:eastAsia="zh-CN"/>
        </w:rPr>
        <w:t>,</w:t>
      </w:r>
      <w:r w:rsidRPr="00111FF6">
        <w:rPr>
          <w:lang w:val="en-US"/>
        </w:rPr>
        <w:t xml:space="preserve"> </w:t>
      </w:r>
      <w:r w:rsidR="00635A74" w:rsidRPr="00647C89">
        <w:rPr>
          <w:lang w:val="en-US"/>
        </w:rPr>
        <w:t xml:space="preserve">if any, </w:t>
      </w:r>
      <w:r w:rsidRPr="00111FF6">
        <w:rPr>
          <w:lang w:val="en-US" w:eastAsia="zh-CN"/>
        </w:rPr>
        <w:t xml:space="preserve">a PUSCH or a PUCCH in </w:t>
      </w:r>
      <w:r w:rsidRPr="00111FF6">
        <w:rPr>
          <w:lang w:val="en-US"/>
        </w:rPr>
        <w:t xml:space="preserve">the earliest second slot </w:t>
      </w:r>
      <w:r w:rsidRPr="00111FF6">
        <w:rPr>
          <w:lang w:val="en-US" w:eastAsia="zh-CN"/>
        </w:rPr>
        <w:t xml:space="preserve">to multiplex </w:t>
      </w:r>
      <w:r w:rsidR="00325506">
        <w:rPr>
          <w:lang w:val="en-US" w:eastAsia="zh-CN"/>
        </w:rPr>
        <w:t xml:space="preserve">the third </w:t>
      </w:r>
      <w:r w:rsidRPr="00111FF6">
        <w:rPr>
          <w:lang w:val="en-US" w:eastAsia="zh-CN"/>
        </w:rPr>
        <w:t xml:space="preserve">HARQ-ACK information bits that include </w:t>
      </w:r>
      <w:r w:rsidRPr="00111FF6">
        <w:rPr>
          <w:lang w:val="en-US"/>
        </w:rPr>
        <w:t>second HARQ-ACK information bits from the first HARQ-ACK information bits</w:t>
      </w:r>
      <w:r w:rsidR="00254F04">
        <w:rPr>
          <w:lang w:val="en-US"/>
        </w:rPr>
        <w:t xml:space="preserve"> </w:t>
      </w:r>
      <w:r w:rsidR="00254F04">
        <w:rPr>
          <w:rFonts w:hint="eastAsia"/>
          <w:lang w:val="en-US" w:eastAsia="zh-CN"/>
        </w:rPr>
        <w:t xml:space="preserve">, where the </w:t>
      </w:r>
      <w:r w:rsidR="00254F04" w:rsidRPr="003D3F5A">
        <w:t xml:space="preserve">second HARQ-ACK information bits correspond to SPS PDSCH configurations with </w:t>
      </w:r>
      <w:r w:rsidR="00254F04" w:rsidRPr="003D3F5A">
        <w:rPr>
          <w:i/>
          <w:iCs/>
        </w:rPr>
        <w:t>sps</w:t>
      </w:r>
      <w:r w:rsidR="00254F04">
        <w:rPr>
          <w:i/>
          <w:iCs/>
          <w:lang w:val="en-US"/>
        </w:rPr>
        <w:t>-</w:t>
      </w:r>
      <w:r w:rsidR="00254F04" w:rsidRPr="003D3F5A">
        <w:rPr>
          <w:i/>
          <w:iCs/>
        </w:rPr>
        <w:t>HARQ</w:t>
      </w:r>
      <w:r w:rsidR="00254F04">
        <w:rPr>
          <w:i/>
          <w:iCs/>
          <w:lang w:val="en-US"/>
        </w:rPr>
        <w:t>-D</w:t>
      </w:r>
      <w:r w:rsidR="00254F04" w:rsidRPr="003D3F5A">
        <w:rPr>
          <w:i/>
          <w:iCs/>
        </w:rPr>
        <w:t>eferral</w:t>
      </w:r>
      <w:r w:rsidR="00254F04" w:rsidRPr="003D3F5A">
        <w:t xml:space="preserve"> values that are larger </w:t>
      </w:r>
      <w:r w:rsidR="00254F04" w:rsidRPr="003D3F5A">
        <w:lastRenderedPageBreak/>
        <w:t>than or equal to a time difference, with reference to slots for PUCCH transmissions on the primary cell, between the second slot and the slot of the SPS PDSCH reception, if any</w:t>
      </w:r>
    </w:p>
    <w:p w14:paraId="70A4129F" w14:textId="234EFCBF" w:rsidR="00905C6C" w:rsidRPr="00111FF6" w:rsidRDefault="00905C6C" w:rsidP="002F14D6">
      <w:pPr>
        <w:pStyle w:val="B2"/>
      </w:pPr>
      <w:r w:rsidRPr="00111FF6">
        <w:t>-</w:t>
      </w:r>
      <w:r w:rsidRPr="00111FF6">
        <w:tab/>
        <w:t xml:space="preserve">if the UE detects a DCI format in a PDCCH reception that triggers a PUCCH transmission with a Type-3 HARQ-ACK codebook in </w:t>
      </w:r>
      <w:r>
        <w:t>a</w:t>
      </w:r>
      <w:r w:rsidRPr="00111FF6">
        <w:t xml:space="preserve"> slot as described in clause 9.1.4</w:t>
      </w:r>
      <w:r>
        <w:t>, the UE stops the procedure to determine the earliest second slot</w:t>
      </w:r>
      <w:r w:rsidR="00635A74" w:rsidRPr="00647C89">
        <w:rPr>
          <w:lang w:val="en-US"/>
        </w:rPr>
        <w:t xml:space="preserve"> in the slot</w:t>
      </w:r>
    </w:p>
    <w:p w14:paraId="616B54BF" w14:textId="7600A710" w:rsidR="00905C6C" w:rsidRDefault="00905C6C" w:rsidP="002F14D6">
      <w:pPr>
        <w:pStyle w:val="B2"/>
      </w:pPr>
      <w:r w:rsidRPr="00111FF6">
        <w:t>-</w:t>
      </w:r>
      <w:r w:rsidRPr="00111FF6">
        <w:tab/>
        <w:t xml:space="preserve">if the UE is provided a periodic cell switching pattern for PUCCH transmissions by </w:t>
      </w:r>
      <w:r w:rsidRPr="00111FF6">
        <w:rPr>
          <w:i/>
          <w:iCs/>
        </w:rPr>
        <w:t>pucch-sSCellPattern</w:t>
      </w:r>
      <w:r w:rsidRPr="00111FF6">
        <w:t>, the UE determines the earliest second slot and a corresponding cell based on the periodic cell switching pattern as described in clause 9.A</w:t>
      </w:r>
    </w:p>
    <w:p w14:paraId="21851C1C" w14:textId="77777777" w:rsidR="001D6349" w:rsidRDefault="001D6349" w:rsidP="001D6349">
      <w:pPr>
        <w:pStyle w:val="B2"/>
        <w:rPr>
          <w:iCs/>
          <w:lang w:val="en-US"/>
        </w:rPr>
      </w:pPr>
      <w:r w:rsidRPr="00647C89">
        <w:t>-</w:t>
      </w:r>
      <w:r w:rsidRPr="00647C89">
        <w:tab/>
        <w:t xml:space="preserve">if the UE </w:t>
      </w:r>
      <w:r>
        <w:rPr>
          <w:lang w:val="en-US"/>
        </w:rPr>
        <w:t xml:space="preserve">multiplexes the second HARQ-ACK information in a PUSCH, or in a PUCCH using a resource that is not from </w:t>
      </w:r>
      <w:r w:rsidRPr="00647C89">
        <w:rPr>
          <w:i/>
        </w:rPr>
        <w:t>SPS-PUCCH-AN-List</w:t>
      </w:r>
      <w:r>
        <w:rPr>
          <w:iCs/>
          <w:lang w:val="en-US"/>
        </w:rPr>
        <w:t xml:space="preserve">, or from </w:t>
      </w:r>
      <w:r w:rsidRPr="002501FF">
        <w:rPr>
          <w:i/>
          <w:lang w:val="en-US"/>
        </w:rPr>
        <w:t>n1PUCCH-AN</w:t>
      </w:r>
      <w:r w:rsidRPr="00F8704A">
        <w:rPr>
          <w:iCs/>
        </w:rPr>
        <w:t xml:space="preserve"> </w:t>
      </w:r>
      <w:r w:rsidRPr="00F8704A">
        <w:rPr>
          <w:iCs/>
          <w:lang w:val="en-US"/>
        </w:rPr>
        <w:t xml:space="preserve">if </w:t>
      </w:r>
      <w:r w:rsidRPr="00647C89">
        <w:rPr>
          <w:i/>
        </w:rPr>
        <w:t>SPS-PUCCH-AN-List</w:t>
      </w:r>
      <w:r>
        <w:rPr>
          <w:iCs/>
          <w:lang w:val="en-US"/>
        </w:rPr>
        <w:t xml:space="preserve"> is not provided, the UE stops the procedure to determine the earliest second slot in the slot</w:t>
      </w:r>
    </w:p>
    <w:p w14:paraId="1216070D" w14:textId="4E0C5CB9" w:rsidR="001D6349" w:rsidRPr="001D6349" w:rsidRDefault="001D6349" w:rsidP="002F14D6">
      <w:pPr>
        <w:pStyle w:val="B2"/>
        <w:rPr>
          <w:iCs/>
          <w:lang w:val="en-US"/>
        </w:rPr>
      </w:pPr>
      <w:r w:rsidRPr="00647C89">
        <w:t>-</w:t>
      </w:r>
      <w:r w:rsidRPr="00647C89">
        <w:tab/>
        <w:t xml:space="preserve">if the UE </w:t>
      </w:r>
      <w:r>
        <w:rPr>
          <w:lang w:val="en-US"/>
        </w:rPr>
        <w:t xml:space="preserve">multiplexes the second HARQ-ACK information in a first PUCCH using a resource provided by </w:t>
      </w:r>
      <w:r w:rsidRPr="00647C89">
        <w:rPr>
          <w:i/>
        </w:rPr>
        <w:t>SPS-PUCCH-AN-List</w:t>
      </w:r>
      <w:r>
        <w:rPr>
          <w:iCs/>
          <w:lang w:val="en-US"/>
        </w:rPr>
        <w:t xml:space="preserve">, or by </w:t>
      </w:r>
      <w:r w:rsidRPr="002501FF">
        <w:rPr>
          <w:i/>
          <w:lang w:val="en-US"/>
        </w:rPr>
        <w:t>n1PUCCH-AN</w:t>
      </w:r>
      <w:r w:rsidRPr="00F8704A">
        <w:rPr>
          <w:iCs/>
          <w:lang w:val="en-US"/>
        </w:rPr>
        <w:t xml:space="preserve"> if </w:t>
      </w:r>
      <w:r w:rsidRPr="00647C89">
        <w:rPr>
          <w:i/>
        </w:rPr>
        <w:t>SPS-PUCCH-AN-List</w:t>
      </w:r>
      <w:r>
        <w:rPr>
          <w:iCs/>
          <w:lang w:val="en-US"/>
        </w:rPr>
        <w:t xml:space="preserve"> is not provided</w:t>
      </w:r>
      <w:r>
        <w:rPr>
          <w:lang w:val="en-US"/>
        </w:rPr>
        <w:t>, of smaller priority index and the UE drops the first PUCCH transmission due to an overlapping with a second PUSCH or PUCCH transmission of larger priority index</w:t>
      </w:r>
      <w:r>
        <w:rPr>
          <w:iCs/>
          <w:lang w:val="en-US"/>
        </w:rPr>
        <w:t>, the UE stops the procedure to determine the earliest second slot in the slot</w:t>
      </w:r>
    </w:p>
    <w:p w14:paraId="037E250A" w14:textId="77777777" w:rsidR="001D6349" w:rsidRPr="00647C89" w:rsidRDefault="001D6349" w:rsidP="001D6349">
      <w:pPr>
        <w:pStyle w:val="B2"/>
        <w:rPr>
          <w:iCs/>
        </w:rPr>
      </w:pPr>
      <w:r w:rsidRPr="00647C89">
        <w:t>-</w:t>
      </w:r>
      <w:r w:rsidRPr="00647C89">
        <w:tab/>
        <w:t xml:space="preserve">if the UE </w:t>
      </w:r>
      <w:r>
        <w:t xml:space="preserve">multiplexes the second HARQ-ACK information in a first PUCCH using a resource provided by </w:t>
      </w:r>
      <w:r w:rsidRPr="00647C89">
        <w:rPr>
          <w:i/>
        </w:rPr>
        <w:t>SPS-PUCCH-AN-List</w:t>
      </w:r>
      <w:r>
        <w:rPr>
          <w:iCs/>
        </w:rPr>
        <w:t xml:space="preserve">, or by </w:t>
      </w:r>
      <w:r w:rsidRPr="002501FF">
        <w:rPr>
          <w:i/>
        </w:rPr>
        <w:t>n1PUCCH-AN</w:t>
      </w:r>
      <w:r w:rsidRPr="00F8704A">
        <w:rPr>
          <w:iCs/>
        </w:rPr>
        <w:t xml:space="preserve"> if </w:t>
      </w:r>
      <w:r w:rsidRPr="00647C89">
        <w:rPr>
          <w:i/>
        </w:rPr>
        <w:t>SPS-PUCCH-AN-List</w:t>
      </w:r>
      <w:r>
        <w:rPr>
          <w:iCs/>
        </w:rPr>
        <w:t xml:space="preserve"> is not provided</w:t>
      </w:r>
      <w:r>
        <w:t xml:space="preserve">, and </w:t>
      </w:r>
      <w:r w:rsidRPr="00647C89">
        <w:t xml:space="preserve">the PUCCH </w:t>
      </w:r>
      <w:r>
        <w:t xml:space="preserve">transmission is not dropped due to an overlapping with a PUSCH or PUCCH transmission of larger priority and </w:t>
      </w:r>
      <w:r w:rsidRPr="00647C89">
        <w:t xml:space="preserve">does not have any symbol that overlaps with a </w:t>
      </w:r>
      <w:r w:rsidRPr="00647C89">
        <w:rPr>
          <w:lang w:val="de-AT"/>
        </w:rPr>
        <w:t xml:space="preserve">symbol </w:t>
      </w:r>
      <w:r w:rsidRPr="00647C89">
        <w:t xml:space="preserve">indicated as downlink by </w:t>
      </w:r>
      <w:r w:rsidRPr="00647C89">
        <w:rPr>
          <w:i/>
          <w:iCs/>
        </w:rPr>
        <w:t>tdd-UL-DL-ConfigurationCommon</w:t>
      </w:r>
      <w:r w:rsidRPr="00647C89">
        <w:t xml:space="preserve"> or </w:t>
      </w:r>
      <w:r w:rsidRPr="00647C89">
        <w:rPr>
          <w:i/>
          <w:iCs/>
        </w:rPr>
        <w:t>tdd-UL-DL-ConfigDedicated</w:t>
      </w:r>
      <w:r w:rsidRPr="00647C89">
        <w:t xml:space="preserve">, or indicated for a SS/PBCH block by </w:t>
      </w:r>
      <w:r w:rsidRPr="00647C89">
        <w:rPr>
          <w:i/>
        </w:rPr>
        <w:t>ssb-PositionsInBurst</w:t>
      </w:r>
      <w:r w:rsidRPr="00647C89">
        <w:rPr>
          <w:iCs/>
        </w:rPr>
        <w:t xml:space="preserve">, or belonging to a CORESET associated with a Type0-PDCCH CSS set, </w:t>
      </w:r>
      <w:r>
        <w:rPr>
          <w:iCs/>
        </w:rPr>
        <w:t>the UE stops the procedure to determine the earliest second slot in the slot</w:t>
      </w:r>
    </w:p>
    <w:p w14:paraId="0F9980A3" w14:textId="344947F6" w:rsidR="00905C6C" w:rsidRPr="00111FF6" w:rsidRDefault="00905C6C" w:rsidP="00254F04">
      <w:pPr>
        <w:pStyle w:val="B2"/>
      </w:pPr>
      <w:r w:rsidRPr="00111FF6">
        <w:t>-</w:t>
      </w:r>
      <w:r w:rsidRPr="00111FF6">
        <w:tab/>
        <w:t>the second HARQ-ACK information bits</w:t>
      </w:r>
      <w:r>
        <w:t>, generated as described in clause 9.1.2,</w:t>
      </w:r>
      <w:r w:rsidRPr="00111FF6">
        <w:t xml:space="preserve"> are appended </w:t>
      </w:r>
      <w:r w:rsidR="00325506">
        <w:t>to fourth</w:t>
      </w:r>
      <w:r w:rsidRPr="00111FF6">
        <w:t xml:space="preserve"> HARQ-ACK </w:t>
      </w:r>
      <w:r w:rsidR="00325506">
        <w:t>information bits</w:t>
      </w:r>
      <w:r w:rsidRPr="00111FF6">
        <w:t xml:space="preserve"> the UE generates as described in clauses 9.1.2, 9.1.2.1, 9.1.3.1</w:t>
      </w:r>
      <w:r w:rsidR="001D6349">
        <w:rPr>
          <w:lang w:val="en-US"/>
        </w:rPr>
        <w:t>, or 9.1.5</w:t>
      </w:r>
    </w:p>
    <w:p w14:paraId="76FD33E8" w14:textId="5E926DBE" w:rsidR="00905C6C" w:rsidRDefault="00905C6C" w:rsidP="002F14D6">
      <w:pPr>
        <w:pStyle w:val="B2"/>
      </w:pPr>
      <w:r w:rsidRPr="00111FF6">
        <w:t>-</w:t>
      </w:r>
      <w:r w:rsidRPr="00111FF6">
        <w:tab/>
        <w:t>if the UE would receive a PDSCH providing a TB for a same HARQ process as a HARQ-ACK information bit from the second HARQ-ACK information bits prior to transmitting the PUCCH or the PUSCH, the UE does not include the</w:t>
      </w:r>
      <w:r w:rsidRPr="00111FF6">
        <w:rPr>
          <w:lang w:val="de-AT"/>
        </w:rPr>
        <w:t xml:space="preserve"> </w:t>
      </w:r>
      <w:r w:rsidRPr="00111FF6">
        <w:t>HARQ-ACK information bit in the</w:t>
      </w:r>
      <w:r w:rsidR="00325506">
        <w:rPr>
          <w:lang w:val="en-GB"/>
        </w:rPr>
        <w:t xml:space="preserve"> second</w:t>
      </w:r>
      <w:r w:rsidRPr="00111FF6">
        <w:t xml:space="preserve"> HARQ-ACK information bits.</w:t>
      </w:r>
    </w:p>
    <w:p w14:paraId="0CBA6778" w14:textId="0F2C520E" w:rsidR="001D6349" w:rsidRDefault="001D6349" w:rsidP="001D6349">
      <w:r w:rsidRPr="00647C89">
        <w:t>The UE does not expect to be provided both</w:t>
      </w:r>
      <w:r w:rsidRPr="00647C89">
        <w:rPr>
          <w:i/>
          <w:iCs/>
          <w:lang w:eastAsia="zh-CN"/>
        </w:rPr>
        <w:t xml:space="preserve"> sps</w:t>
      </w:r>
      <w:r w:rsidR="00254F04">
        <w:rPr>
          <w:i/>
          <w:iCs/>
          <w:lang w:eastAsia="zh-CN"/>
        </w:rPr>
        <w:t>-</w:t>
      </w:r>
      <w:r w:rsidRPr="00647C89">
        <w:rPr>
          <w:i/>
          <w:iCs/>
          <w:lang w:eastAsia="zh-CN"/>
        </w:rPr>
        <w:t>HARQ</w:t>
      </w:r>
      <w:r w:rsidR="00254F04">
        <w:rPr>
          <w:i/>
          <w:iCs/>
          <w:lang w:eastAsia="zh-CN"/>
        </w:rPr>
        <w:t>-D</w:t>
      </w:r>
      <w:r w:rsidR="00254F04" w:rsidRPr="00647C89">
        <w:rPr>
          <w:i/>
          <w:iCs/>
          <w:lang w:eastAsia="zh-CN"/>
        </w:rPr>
        <w:t>eferral</w:t>
      </w:r>
      <w:r w:rsidR="00254F04" w:rsidRPr="00647C89">
        <w:t xml:space="preserve"> </w:t>
      </w:r>
      <w:r w:rsidRPr="00647C89">
        <w:t xml:space="preserve">and </w:t>
      </w:r>
      <w:r w:rsidRPr="00647C89">
        <w:rPr>
          <w:i/>
          <w:iCs/>
        </w:rPr>
        <w:t>nrofSlots</w:t>
      </w:r>
      <w:r w:rsidRPr="00647C89">
        <w:t xml:space="preserve"> or </w:t>
      </w:r>
      <w:r w:rsidR="00254F04" w:rsidRPr="00DF5EA9">
        <w:rPr>
          <w:i/>
          <w:iCs/>
        </w:rPr>
        <w:t>pucch-RepetitionNrofSlots</w:t>
      </w:r>
      <w:r w:rsidRPr="00647C89">
        <w:t xml:space="preserve"> for any PUCCH resource of same priority.</w:t>
      </w:r>
    </w:p>
    <w:p w14:paraId="5D79593F" w14:textId="77777777" w:rsidR="00325506" w:rsidRPr="00325506" w:rsidRDefault="00000000" w:rsidP="00325506">
      <w:pPr>
        <w:rPr>
          <w:lang w:eastAsia="zh-CN"/>
        </w:rPr>
      </w:pPr>
      <m:oMath>
        <m:sSub>
          <m:sSubPr>
            <m:ctrlPr>
              <w:rPr>
                <w:rFonts w:ascii="Cambria Math" w:hAnsi="Cambria Math"/>
                <w:i/>
              </w:rPr>
            </m:ctrlPr>
          </m:sSubPr>
          <m:e>
            <m:r>
              <w:rPr>
                <w:rFonts w:ascii="Cambria Math" w:hAnsi="Cambria Math"/>
              </w:rPr>
              <m:t>O</m:t>
            </m:r>
          </m:e>
          <m:sub>
            <m:r>
              <m:rPr>
                <m:sty m:val="p"/>
              </m:rPr>
              <w:rPr>
                <w:rFonts w:ascii="Cambria Math" w:hAnsi="Cambria Math"/>
              </w:rPr>
              <m:t>ACK</m:t>
            </m:r>
          </m:sub>
        </m:sSub>
      </m:oMath>
      <w:r w:rsidR="00325506" w:rsidRPr="00325506">
        <w:rPr>
          <w:rFonts w:hint="eastAsia"/>
        </w:rPr>
        <w:t xml:space="preserve"> is the number of the </w:t>
      </w:r>
      <w:r w:rsidR="00325506" w:rsidRPr="00325506">
        <w:rPr>
          <w:rFonts w:hint="eastAsia"/>
          <w:lang w:eastAsia="zh-CN"/>
        </w:rPr>
        <w:t>third</w:t>
      </w:r>
      <w:r w:rsidR="00325506" w:rsidRPr="00325506">
        <w:t xml:space="preserve"> HARQ-ACK information</w:t>
      </w:r>
      <w:r w:rsidR="00325506" w:rsidRPr="00325506">
        <w:rPr>
          <w:rFonts w:hint="eastAsia"/>
        </w:rPr>
        <w:t xml:space="preserve"> bits</w:t>
      </w:r>
      <w:r w:rsidR="00325506" w:rsidRPr="00325506">
        <w:rPr>
          <w:rFonts w:hint="eastAsia"/>
          <w:lang w:eastAsia="zh-CN"/>
        </w:rPr>
        <w:t>.</w:t>
      </w:r>
    </w:p>
    <w:p w14:paraId="1361A20D" w14:textId="77777777" w:rsidR="00325506" w:rsidRPr="00325506" w:rsidRDefault="00325506" w:rsidP="00325506">
      <w:pPr>
        <w:rPr>
          <w:shd w:val="clear" w:color="auto" w:fill="EEECE1"/>
        </w:rPr>
      </w:pPr>
      <w:r w:rsidRPr="00325506">
        <w:t xml:space="preserve">If </w:t>
      </w:r>
      <m:oMath>
        <m:sSub>
          <m:sSubPr>
            <m:ctrlPr>
              <w:rPr>
                <w:rFonts w:ascii="Cambria Math" w:hAnsi="Cambria Math"/>
                <w:i/>
              </w:rPr>
            </m:ctrlPr>
          </m:sSubPr>
          <m:e>
            <m:r>
              <w:rPr>
                <w:rFonts w:ascii="Cambria Math" w:hAnsi="Cambria Math"/>
              </w:rPr>
              <m:t>O</m:t>
            </m:r>
          </m:e>
          <m:sub>
            <m:r>
              <m:rPr>
                <m:sty m:val="p"/>
              </m:rPr>
              <w:rPr>
                <w:rFonts w:ascii="Cambria Math" w:hAnsi="Cambria Math"/>
              </w:rPr>
              <m:t>ACK</m:t>
            </m:r>
          </m:sub>
        </m:sSub>
        <m:r>
          <w:rPr>
            <w:rFonts w:ascii="Cambria Math" w:hAnsi="Cambria Math"/>
          </w:rPr>
          <m:t>+</m:t>
        </m:r>
        <m:sSub>
          <m:sSubPr>
            <m:ctrlPr>
              <w:rPr>
                <w:rFonts w:ascii="Cambria Math" w:hAnsi="Cambria Math"/>
                <w:i/>
              </w:rPr>
            </m:ctrlPr>
          </m:sSubPr>
          <m:e>
            <m:r>
              <w:rPr>
                <w:rFonts w:ascii="Cambria Math" w:hAnsi="Cambria Math"/>
              </w:rPr>
              <m:t>O</m:t>
            </m:r>
          </m:e>
          <m:sub>
            <m:r>
              <m:rPr>
                <m:sty m:val="p"/>
              </m:rPr>
              <w:rPr>
                <w:rFonts w:ascii="Cambria Math" w:hAnsi="Cambria Math"/>
              </w:rPr>
              <m:t>SR</m:t>
            </m:r>
          </m:sub>
        </m:sSub>
        <m:r>
          <w:rPr>
            <w:rFonts w:ascii="Cambria Math" w:hAnsi="Cambria Math"/>
          </w:rPr>
          <m:t>+</m:t>
        </m:r>
        <m:sSub>
          <m:sSubPr>
            <m:ctrlPr>
              <w:rPr>
                <w:rFonts w:ascii="Cambria Math" w:hAnsi="Cambria Math"/>
                <w:i/>
              </w:rPr>
            </m:ctrlPr>
          </m:sSubPr>
          <m:e>
            <m:r>
              <w:rPr>
                <w:rFonts w:ascii="Cambria Math" w:hAnsi="Cambria Math"/>
              </w:rPr>
              <m:t>O</m:t>
            </m:r>
          </m:e>
          <m:sub>
            <m:r>
              <m:rPr>
                <m:sty m:val="p"/>
              </m:rPr>
              <w:rPr>
                <w:rFonts w:ascii="Cambria Math" w:hAnsi="Cambria Math"/>
              </w:rPr>
              <m:t>CSI</m:t>
            </m:r>
          </m:sub>
        </m:sSub>
        <m:r>
          <w:rPr>
            <w:rFonts w:ascii="Cambria Math" w:hAnsi="Cambria Math"/>
          </w:rPr>
          <m:t>≤11</m:t>
        </m:r>
      </m:oMath>
      <w:r w:rsidRPr="00325506">
        <w:t>, the UE determines a number of HARQ-ACK information bits for obtaining a transmission power for a PUCCH</w:t>
      </w:r>
      <w:r w:rsidRPr="00325506">
        <w:rPr>
          <w:rFonts w:hint="eastAsia"/>
          <w:lang w:eastAsia="zh-CN"/>
        </w:rPr>
        <w:t xml:space="preserve"> transmission in the second slot</w:t>
      </w:r>
      <w:r w:rsidRPr="00325506">
        <w:t xml:space="preserve">, as described in clause 7.2.1, as </w:t>
      </w:r>
      <m:oMath>
        <m:sSub>
          <m:sSubPr>
            <m:ctrlPr>
              <w:rPr>
                <w:rFonts w:ascii="Cambria Math" w:hAnsi="Cambria Math"/>
                <w:i/>
              </w:rPr>
            </m:ctrlPr>
          </m:sSubPr>
          <m:e>
            <m:r>
              <w:rPr>
                <w:rFonts w:ascii="Cambria Math" w:hAnsi="Cambria Math"/>
              </w:rPr>
              <m:t>n</m:t>
            </m:r>
          </m:e>
          <m:sub>
            <m:r>
              <m:rPr>
                <m:sty m:val="p"/>
              </m:rPr>
              <w:rPr>
                <w:rFonts w:ascii="Cambria Math" w:hAnsi="Cambria Math"/>
              </w:rPr>
              <m:t>HARQ-ACK</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m:rPr>
                <m:sty m:val="p"/>
              </m:rPr>
              <w:rPr>
                <w:rFonts w:ascii="Cambria Math" w:hAnsi="Cambria Math"/>
              </w:rPr>
              <m:t>HARQ-ACK,0</m:t>
            </m:r>
          </m:sub>
        </m:sSub>
        <m:r>
          <w:rPr>
            <w:rFonts w:ascii="Cambria Math" w:hAnsi="Cambria Math"/>
          </w:rPr>
          <m:t>+</m:t>
        </m:r>
        <m:sSub>
          <m:sSubPr>
            <m:ctrlPr>
              <w:rPr>
                <w:rFonts w:ascii="Cambria Math" w:hAnsi="Cambria Math"/>
                <w:i/>
              </w:rPr>
            </m:ctrlPr>
          </m:sSubPr>
          <m:e>
            <m:r>
              <w:rPr>
                <w:rFonts w:ascii="Cambria Math" w:hAnsi="Cambria Math"/>
              </w:rPr>
              <m:t>n</m:t>
            </m:r>
          </m:e>
          <m:sub>
            <m:r>
              <m:rPr>
                <m:sty m:val="p"/>
              </m:rPr>
              <w:rPr>
                <w:rFonts w:ascii="Cambria Math" w:hAnsi="Cambria Math"/>
              </w:rPr>
              <m:t>HARQ-ACK,1</m:t>
            </m:r>
          </m:sub>
        </m:sSub>
      </m:oMath>
      <w:r w:rsidRPr="00325506">
        <w:t xml:space="preserve"> where</w:t>
      </w:r>
    </w:p>
    <w:p w14:paraId="2392903C" w14:textId="2B15B2B4" w:rsidR="00325506" w:rsidRPr="00325506" w:rsidRDefault="00325506" w:rsidP="00325506">
      <w:pPr>
        <w:pStyle w:val="B1"/>
        <w:rPr>
          <w:lang w:eastAsia="zh-CN"/>
        </w:rPr>
      </w:pPr>
      <w:r w:rsidRPr="00325506">
        <w:rPr>
          <w:lang w:eastAsia="zh-CN"/>
        </w:rPr>
        <w:t>-</w:t>
      </w:r>
      <w:r w:rsidRPr="00325506">
        <w:rPr>
          <w:lang w:eastAsia="zh-CN"/>
        </w:rPr>
        <w:tab/>
      </w:r>
      <m:oMath>
        <m:sSub>
          <m:sSubPr>
            <m:ctrlPr>
              <w:rPr>
                <w:rFonts w:ascii="Cambria Math" w:hAnsi="Cambria Math"/>
                <w:i/>
              </w:rPr>
            </m:ctrlPr>
          </m:sSubPr>
          <m:e>
            <m:r>
              <w:rPr>
                <w:rFonts w:ascii="Cambria Math" w:hAnsi="Cambria Math"/>
              </w:rPr>
              <m:t>n</m:t>
            </m:r>
          </m:e>
          <m:sub>
            <m:r>
              <m:rPr>
                <m:sty m:val="p"/>
              </m:rPr>
              <w:rPr>
                <w:rFonts w:ascii="Cambria Math" w:hAnsi="Cambria Math"/>
              </w:rPr>
              <m:t>HARQ-ACK,0</m:t>
            </m:r>
          </m:sub>
        </m:sSub>
      </m:oMath>
      <w:r w:rsidRPr="00325506">
        <w:rPr>
          <w:lang w:eastAsia="zh-CN"/>
        </w:rPr>
        <w:t xml:space="preserve"> </w:t>
      </w:r>
      <w:r w:rsidRPr="00325506">
        <w:rPr>
          <w:rFonts w:hint="eastAsia"/>
          <w:lang w:eastAsia="zh-CN"/>
        </w:rPr>
        <w:t>is the</w:t>
      </w:r>
      <w:r w:rsidRPr="00325506">
        <w:rPr>
          <w:lang w:eastAsia="zh-CN"/>
        </w:rPr>
        <w:t xml:space="preserve"> number of </w:t>
      </w:r>
      <w:r w:rsidRPr="00325506">
        <w:t>HARQ-ACK information</w:t>
      </w:r>
      <w:r w:rsidRPr="00325506">
        <w:rPr>
          <w:lang w:eastAsia="zh-CN"/>
        </w:rPr>
        <w:t xml:space="preserve"> bits</w:t>
      </w:r>
      <w:r w:rsidRPr="00325506">
        <w:rPr>
          <w:rFonts w:hint="eastAsia"/>
          <w:lang w:eastAsia="zh-CN"/>
        </w:rPr>
        <w:t>, if any,</w:t>
      </w:r>
      <w:r w:rsidRPr="00325506">
        <w:rPr>
          <w:rFonts w:cs="Arial"/>
          <w:lang w:eastAsia="zh-CN"/>
        </w:rPr>
        <w:t xml:space="preserve"> </w:t>
      </w:r>
      <w:r w:rsidRPr="00325506">
        <w:rPr>
          <w:lang w:val="en-US"/>
        </w:rPr>
        <w:t xml:space="preserve">that the UE determines </w:t>
      </w:r>
      <w:r w:rsidRPr="00325506">
        <w:rPr>
          <w:rFonts w:cs="Arial"/>
          <w:lang w:eastAsia="zh-CN"/>
        </w:rPr>
        <w:t>as described in clause 9.1.</w:t>
      </w:r>
      <w:r w:rsidRPr="00325506">
        <w:rPr>
          <w:rFonts w:cs="Arial" w:hint="eastAsia"/>
          <w:lang w:eastAsia="zh-CN"/>
        </w:rPr>
        <w:t>2</w:t>
      </w:r>
      <w:r w:rsidRPr="00325506">
        <w:rPr>
          <w:rFonts w:cs="Arial"/>
          <w:lang w:eastAsia="zh-CN"/>
        </w:rPr>
        <w:t>.1</w:t>
      </w:r>
      <w:r w:rsidRPr="00325506">
        <w:rPr>
          <w:rFonts w:cs="Arial" w:hint="eastAsia"/>
          <w:lang w:eastAsia="zh-CN"/>
        </w:rPr>
        <w:t xml:space="preserve">, 9.1.3.1 or 9.1.5 for the fourth HARQ-ACK </w:t>
      </w:r>
      <w:r w:rsidRPr="00325506">
        <w:rPr>
          <w:rFonts w:cs="Arial"/>
          <w:lang w:eastAsia="zh-CN"/>
        </w:rPr>
        <w:t>information bits</w:t>
      </w:r>
      <w:r>
        <w:rPr>
          <w:rFonts w:cs="Arial"/>
          <w:lang w:eastAsia="zh-CN"/>
        </w:rPr>
        <w:t>,</w:t>
      </w:r>
    </w:p>
    <w:p w14:paraId="66E018AF" w14:textId="21AE6EF5" w:rsidR="00325506" w:rsidRPr="002F14D6" w:rsidRDefault="00325506" w:rsidP="00325506">
      <w:pPr>
        <w:pStyle w:val="B1"/>
      </w:pPr>
      <w:r w:rsidRPr="00325506">
        <w:rPr>
          <w:lang w:eastAsia="zh-CN"/>
        </w:rPr>
        <w:t>-</w:t>
      </w:r>
      <w:r w:rsidRPr="00325506">
        <w:rPr>
          <w:lang w:eastAsia="zh-CN"/>
        </w:rPr>
        <w:tab/>
      </w:r>
      <m:oMath>
        <m:sSub>
          <m:sSubPr>
            <m:ctrlPr>
              <w:rPr>
                <w:rFonts w:ascii="Cambria Math" w:hAnsi="Cambria Math"/>
                <w:i/>
              </w:rPr>
            </m:ctrlPr>
          </m:sSubPr>
          <m:e>
            <m:r>
              <w:rPr>
                <w:rFonts w:ascii="Cambria Math" w:hAnsi="Cambria Math"/>
              </w:rPr>
              <m:t>n</m:t>
            </m:r>
          </m:e>
          <m:sub>
            <m:r>
              <m:rPr>
                <m:sty m:val="p"/>
              </m:rPr>
              <w:rPr>
                <w:rFonts w:ascii="Cambria Math" w:hAnsi="Cambria Math"/>
              </w:rPr>
              <m:t>HARQ-ACK,1</m:t>
            </m:r>
          </m:sub>
        </m:sSub>
      </m:oMath>
      <w:r w:rsidRPr="00325506">
        <w:rPr>
          <w:lang w:eastAsia="zh-CN"/>
        </w:rPr>
        <w:t xml:space="preserve"> </w:t>
      </w:r>
      <w:r w:rsidRPr="00325506">
        <w:rPr>
          <w:rFonts w:hint="eastAsia"/>
          <w:lang w:eastAsia="zh-CN"/>
        </w:rPr>
        <w:t>is</w:t>
      </w:r>
      <w:r w:rsidRPr="00325506">
        <w:rPr>
          <w:rFonts w:hint="eastAsia"/>
          <w:lang w:val="en-US" w:eastAsia="zh-CN"/>
        </w:rPr>
        <w:t xml:space="preserve"> determined</w:t>
      </w:r>
      <w:r w:rsidRPr="00325506">
        <w:rPr>
          <w:rFonts w:cs="Arial"/>
          <w:lang w:eastAsia="zh-CN"/>
        </w:rPr>
        <w:t xml:space="preserve"> as described in clause 9.1.</w:t>
      </w:r>
      <w:r w:rsidRPr="00325506">
        <w:rPr>
          <w:rFonts w:cs="Arial" w:hint="eastAsia"/>
          <w:lang w:eastAsia="zh-CN"/>
        </w:rPr>
        <w:t>2</w:t>
      </w:r>
      <w:r w:rsidRPr="00325506">
        <w:rPr>
          <w:rFonts w:cs="Arial"/>
          <w:lang w:eastAsia="zh-CN"/>
        </w:rPr>
        <w:t>.1</w:t>
      </w:r>
      <w:r w:rsidRPr="00325506">
        <w:rPr>
          <w:rFonts w:cs="Arial" w:hint="eastAsia"/>
          <w:lang w:eastAsia="zh-CN"/>
        </w:rPr>
        <w:t xml:space="preserve"> or 9.1.3.1 for</w:t>
      </w:r>
      <w:r w:rsidRPr="00325506">
        <w:rPr>
          <w:rFonts w:hint="eastAsia"/>
          <w:lang w:val="en-US" w:eastAsia="zh-CN"/>
        </w:rPr>
        <w:t xml:space="preserve"> the second </w:t>
      </w:r>
      <w:r w:rsidRPr="00325506">
        <w:t xml:space="preserve">HARQ-ACK information </w:t>
      </w:r>
      <w:r w:rsidRPr="00325506">
        <w:rPr>
          <w:rFonts w:hint="eastAsia"/>
          <w:lang w:eastAsia="zh-CN"/>
        </w:rPr>
        <w:t>bits</w:t>
      </w:r>
      <w:r>
        <w:rPr>
          <w:lang w:eastAsia="zh-CN"/>
        </w:rPr>
        <w:t>.</w:t>
      </w:r>
    </w:p>
    <w:p w14:paraId="7AD4CCD6" w14:textId="77777777" w:rsidR="009A2ADE" w:rsidRPr="00B916EC" w:rsidRDefault="009A2ADE" w:rsidP="009A2ADE">
      <w:pPr>
        <w:pStyle w:val="Heading3"/>
      </w:pPr>
      <w:bookmarkStart w:id="615" w:name="_Toc12021483"/>
      <w:bookmarkStart w:id="616" w:name="_Toc20311595"/>
      <w:bookmarkStart w:id="617" w:name="_Toc26719420"/>
      <w:bookmarkStart w:id="618" w:name="_Toc29894855"/>
      <w:bookmarkStart w:id="619" w:name="_Toc29899154"/>
      <w:bookmarkStart w:id="620" w:name="_Toc29899572"/>
      <w:bookmarkStart w:id="621" w:name="_Toc29917309"/>
      <w:bookmarkStart w:id="622" w:name="_Toc36498183"/>
      <w:bookmarkStart w:id="623" w:name="_Toc45699210"/>
      <w:bookmarkStart w:id="624" w:name="_Toc161999139"/>
      <w:r w:rsidRPr="00B916EC">
        <w:t>9.2.</w:t>
      </w:r>
      <w:r w:rsidR="007074D9" w:rsidRPr="00B916EC">
        <w:t>6</w:t>
      </w:r>
      <w:r w:rsidRPr="00B916EC">
        <w:tab/>
      </w:r>
      <w:r w:rsidR="000219E8">
        <w:t>PUCCH</w:t>
      </w:r>
      <w:r w:rsidRPr="00B916EC">
        <w:t xml:space="preserve"> repetition procedure</w:t>
      </w:r>
      <w:bookmarkEnd w:id="615"/>
      <w:bookmarkEnd w:id="616"/>
      <w:bookmarkEnd w:id="617"/>
      <w:bookmarkEnd w:id="618"/>
      <w:bookmarkEnd w:id="619"/>
      <w:bookmarkEnd w:id="620"/>
      <w:bookmarkEnd w:id="621"/>
      <w:bookmarkEnd w:id="622"/>
      <w:bookmarkEnd w:id="623"/>
      <w:bookmarkEnd w:id="624"/>
    </w:p>
    <w:p w14:paraId="2BC8C6FE" w14:textId="24FEC667" w:rsidR="001A0F7C" w:rsidRPr="003577D4" w:rsidRDefault="001A0F7C" w:rsidP="001A0F7C">
      <w:pPr>
        <w:rPr>
          <w:noProof/>
          <w:lang w:eastAsia="zh-CN"/>
        </w:rPr>
      </w:pPr>
      <w:bookmarkStart w:id="625" w:name="_Hlk86776043"/>
      <w:r>
        <w:t xml:space="preserve">A UE that does not have </w:t>
      </w:r>
      <w:r w:rsidRPr="003577D4">
        <w:t>dedicated PUCCH resource configuration and indicates a capability to transmit with repetitions a PUCCH with HARQ-ACK information [11, TS 38.321]</w:t>
      </w:r>
      <w:r w:rsidRPr="003577D4">
        <w:rPr>
          <w:lang w:val="en-US"/>
        </w:rPr>
        <w:t xml:space="preserve">, determines a number of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sidRPr="003577D4">
        <w:t xml:space="preserve"> </w:t>
      </w:r>
      <w:r w:rsidRPr="003577D4">
        <w:rPr>
          <w:lang w:val="en-US"/>
        </w:rPr>
        <w:t xml:space="preserve">slots for repetitions of a PUCCH transmission with HARQ-ACK information based on an indication by </w:t>
      </w:r>
      <w:r w:rsidRPr="003577D4">
        <w:rPr>
          <w:i/>
          <w:lang w:eastAsia="zh-CN"/>
        </w:rPr>
        <w:t>numberOfPUCCHforMsg4HARQACK-RepetitionsList</w:t>
      </w:r>
      <w:r w:rsidRPr="003577D4">
        <w:rPr>
          <w:lang w:val="en-US"/>
        </w:rPr>
        <w:t xml:space="preserve">. If </w:t>
      </w:r>
      <w:r w:rsidRPr="003577D4">
        <w:rPr>
          <w:i/>
          <w:lang w:eastAsia="zh-CN"/>
        </w:rPr>
        <w:t>numberOfPUCCHforMsg4HARQACK-RepetitionsList</w:t>
      </w:r>
      <w:r w:rsidRPr="003577D4">
        <w:rPr>
          <w:lang w:val="en-US"/>
        </w:rPr>
        <w:t xml:space="preserve"> provides more than one values</w:t>
      </w:r>
      <w:r w:rsidRPr="003577D4">
        <w:t xml:space="preserve">, </w:t>
      </w:r>
      <w:r w:rsidRPr="003577D4">
        <w:rPr>
          <w:lang w:val="en-US"/>
        </w:rPr>
        <w:t xml:space="preserve">the DAI field in a DCI format 1_0 </w:t>
      </w:r>
      <w:r w:rsidRPr="003577D4">
        <w:t xml:space="preserve">with CRC scrambled by a TC-RNTI scheduling a PDSCH reception that includes a UE contention resolution identity indicates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sidRPr="003577D4">
        <w:t xml:space="preserve"> from the more than one values. </w:t>
      </w:r>
      <w:r w:rsidR="0068318C" w:rsidRPr="00494B18">
        <w:rPr>
          <w:lang w:val="en-US"/>
        </w:rPr>
        <w:t xml:space="preserve">The UE transmits any PUCCH with repetitions over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sidR="0068318C" w:rsidRPr="00494B18">
        <w:rPr>
          <w:lang w:val="en-US"/>
        </w:rPr>
        <w:t xml:space="preserve"> slots before dedicated PUCCH resource configuration is provided.</w:t>
      </w:r>
      <w:r w:rsidR="0068318C" w:rsidRPr="00494B18">
        <w:rPr>
          <w:lang w:val="en-US" w:eastAsia="zh-CN"/>
        </w:rPr>
        <w:t xml:space="preserve"> </w:t>
      </w:r>
      <w:r w:rsidRPr="003577D4">
        <w:t>The UE transmits each repetition of the PUCCH using frequency hopping as described in Clause 9.2.1.</w:t>
      </w:r>
      <w:r w:rsidRPr="003577D4">
        <w:rPr>
          <w:noProof/>
          <w:lang w:eastAsia="zh-CN"/>
        </w:rPr>
        <w:t xml:space="preserve"> </w:t>
      </w:r>
    </w:p>
    <w:p w14:paraId="5086D018" w14:textId="77777777" w:rsidR="001A0F7C" w:rsidRPr="003577D4" w:rsidRDefault="001A0F7C" w:rsidP="001A0F7C">
      <w:pPr>
        <w:rPr>
          <w:noProof/>
          <w:lang w:eastAsia="zh-CN"/>
        </w:rPr>
      </w:pPr>
      <w:r w:rsidRPr="003577D4">
        <w:rPr>
          <w:noProof/>
          <w:lang w:eastAsia="zh-CN"/>
        </w:rPr>
        <w:lastRenderedPageBreak/>
        <w:t xml:space="preserve">In the remaining of this clause, a </w:t>
      </w:r>
      <w:r w:rsidRPr="003577D4">
        <w:t xml:space="preserve">UE without dedicated PUCCH resource configuration determines a value of a parameter, if applicable, according to Table 9.2.1-1 </w:t>
      </w:r>
      <w:r>
        <w:t>and/</w:t>
      </w:r>
      <w:r w:rsidRPr="003577D4">
        <w:t>or as specified above in this clause for a PUCCH transmission with repetitions from the UE.</w:t>
      </w:r>
    </w:p>
    <w:p w14:paraId="437E5BEA" w14:textId="77777777" w:rsidR="00AA5B67" w:rsidRPr="005F7DE3" w:rsidRDefault="00AA5B67" w:rsidP="00AA5B67">
      <w:pPr>
        <w:rPr>
          <w:noProof/>
        </w:rPr>
      </w:pPr>
      <w:r w:rsidRPr="005F7DE3">
        <w:rPr>
          <w:noProof/>
          <w:lang w:eastAsia="zh-CN"/>
        </w:rPr>
        <w:t xml:space="preserve">A UE can be indicated to transmit a PUCCH over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sidRPr="005F7DE3">
        <w:rPr>
          <w:noProof/>
        </w:rPr>
        <w:t xml:space="preserve"> slots </w:t>
      </w:r>
      <w:r w:rsidRPr="005F7DE3">
        <w:rPr>
          <w:noProof/>
          <w:lang w:eastAsia="zh-CN"/>
        </w:rPr>
        <w:t>using a PUCCH resource</w:t>
      </w:r>
      <w:r w:rsidRPr="005F7DE3">
        <w:rPr>
          <w:noProof/>
        </w:rPr>
        <w:t>, where</w:t>
      </w:r>
    </w:p>
    <w:bookmarkEnd w:id="625"/>
    <w:p w14:paraId="619905D5" w14:textId="150C2D10" w:rsidR="00AA5B67" w:rsidRPr="005F7DE3" w:rsidRDefault="00AA5B67" w:rsidP="00AA5B67">
      <w:pPr>
        <w:pStyle w:val="B1"/>
        <w:rPr>
          <w:lang w:val="en-US"/>
        </w:rPr>
      </w:pPr>
      <w:r w:rsidRPr="005F7DE3">
        <w:rPr>
          <w:lang w:val="en-GB"/>
        </w:rPr>
        <w:t>-</w:t>
      </w:r>
      <w:r w:rsidRPr="005F7DE3">
        <w:rPr>
          <w:lang w:val="en-GB"/>
        </w:rPr>
        <w:tab/>
        <w:t xml:space="preserve">if the PUCCH resource is indicated by a DCI format and includes </w:t>
      </w:r>
      <w:r w:rsidR="00254F04" w:rsidRPr="00DF5EA9">
        <w:rPr>
          <w:i/>
          <w:iCs/>
        </w:rPr>
        <w:t>pucch-RepetitionNrofSlots</w:t>
      </w:r>
      <w:r w:rsidRPr="005F7DE3">
        <w:rPr>
          <w:lang w:val="en-US"/>
        </w:rPr>
        <w:t xml:space="preserve">,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sidRPr="005F7DE3">
        <w:rPr>
          <w:lang w:val="en-US"/>
        </w:rPr>
        <w:t xml:space="preserve"> is provided by </w:t>
      </w:r>
      <w:r w:rsidR="00254F04" w:rsidRPr="00DF5EA9">
        <w:rPr>
          <w:i/>
          <w:iCs/>
        </w:rPr>
        <w:t>pucch-RepetitionNrofSlots</w:t>
      </w:r>
    </w:p>
    <w:p w14:paraId="4681B6D0" w14:textId="77777777" w:rsidR="00AA5B67" w:rsidRPr="005F7DE3" w:rsidRDefault="00AA5B67" w:rsidP="00AA5B67">
      <w:pPr>
        <w:pStyle w:val="B1"/>
        <w:rPr>
          <w:lang w:val="en-US"/>
        </w:rPr>
      </w:pPr>
      <w:r w:rsidRPr="005F7DE3">
        <w:rPr>
          <w:lang w:val="en-GB"/>
        </w:rPr>
        <w:t>-</w:t>
      </w:r>
      <w:r w:rsidRPr="005F7DE3">
        <w:rPr>
          <w:lang w:val="en-GB"/>
        </w:rPr>
        <w:tab/>
        <w:t xml:space="preserve">otherwise,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sidRPr="005F7DE3">
        <w:rPr>
          <w:lang w:val="en-US"/>
        </w:rPr>
        <w:t xml:space="preserve"> is provided by </w:t>
      </w:r>
      <w:r w:rsidRPr="005F7DE3">
        <w:rPr>
          <w:i/>
        </w:rPr>
        <w:t>nrofSlots</w:t>
      </w:r>
    </w:p>
    <w:p w14:paraId="50C3209B" w14:textId="45BCFA0D" w:rsidR="00C626F6" w:rsidRPr="00B916EC" w:rsidRDefault="00146C42" w:rsidP="00C626F6">
      <w:pPr>
        <w:rPr>
          <w:noProof/>
          <w:lang w:eastAsia="zh-CN"/>
        </w:rPr>
      </w:pPr>
      <w:r>
        <w:rPr>
          <w:rFonts w:cs="Times"/>
        </w:rPr>
        <w:t xml:space="preserve">If the UE is provided </w:t>
      </w:r>
      <w:r w:rsidRPr="00F113E1">
        <w:rPr>
          <w:i/>
          <w:lang w:val="en-US"/>
        </w:rPr>
        <w:t>subslotLengthForPUCCH</w:t>
      </w:r>
      <w:r>
        <w:rPr>
          <w:iCs/>
          <w:lang w:val="en-US"/>
        </w:rPr>
        <w:t xml:space="preserve">, a slot for a PUCCH transmission with repetitions over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r>
          <w:rPr>
            <w:rFonts w:ascii="Cambria Math" w:hAnsi="Cambria Math"/>
          </w:rPr>
          <m:t>&gt;1</m:t>
        </m:r>
      </m:oMath>
      <w:r>
        <w:t xml:space="preserve"> slots includes a number of symbols indicated by </w:t>
      </w:r>
      <w:r w:rsidRPr="00F113E1">
        <w:rPr>
          <w:i/>
          <w:lang w:val="en-US"/>
        </w:rPr>
        <w:t>subslotLengthForPUCCH</w:t>
      </w:r>
      <w:r w:rsidR="00A93253" w:rsidRPr="006125A0">
        <w:rPr>
          <w:rFonts w:cs="Times"/>
        </w:rPr>
        <w:t>.</w:t>
      </w:r>
    </w:p>
    <w:p w14:paraId="68C6C5AE" w14:textId="18C77DE8" w:rsidR="00C626F6" w:rsidRPr="00B916EC" w:rsidRDefault="00C626F6" w:rsidP="00C626F6">
      <w:r w:rsidRPr="00B916EC">
        <w:rPr>
          <w:noProof/>
          <w:lang w:eastAsia="zh-CN"/>
        </w:rPr>
        <w:t xml:space="preserve">For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r>
          <w:rPr>
            <w:rFonts w:ascii="Cambria Math" w:hAnsi="Cambria Math"/>
          </w:rPr>
          <m:t>&gt;1</m:t>
        </m:r>
      </m:oMath>
      <w:r w:rsidRPr="00B916EC">
        <w:t xml:space="preserve">, </w:t>
      </w:r>
    </w:p>
    <w:p w14:paraId="410E0DCF" w14:textId="77777777" w:rsidR="00C80EBD" w:rsidRPr="00C80EBD" w:rsidRDefault="00C626F6" w:rsidP="00C80EBD">
      <w:pPr>
        <w:pStyle w:val="B1"/>
      </w:pPr>
      <w:r>
        <w:rPr>
          <w:lang w:val="en-GB"/>
        </w:rPr>
        <w:t>-</w:t>
      </w:r>
      <w:r>
        <w:rPr>
          <w:lang w:val="en-GB"/>
        </w:rPr>
        <w:tab/>
      </w:r>
      <w:r w:rsidRPr="00B916EC">
        <w:rPr>
          <w:lang w:val="en-GB"/>
        </w:rPr>
        <w:t>the</w:t>
      </w:r>
      <w:r w:rsidRPr="00B916EC">
        <w:t xml:space="preserve"> UE repeats</w:t>
      </w:r>
      <w:r w:rsidRPr="00B916EC">
        <w:rPr>
          <w:lang w:val="en-US"/>
        </w:rPr>
        <w:t xml:space="preserve"> the PUCCH </w:t>
      </w:r>
      <w:r w:rsidRPr="00B916EC">
        <w:t xml:space="preserve">transmission </w:t>
      </w:r>
      <w:r>
        <w:rPr>
          <w:lang w:val="en-US"/>
        </w:rPr>
        <w:t>with the UCI over</w:t>
      </w:r>
      <w:r w:rsidRPr="00B916EC">
        <w:t xml:space="preserve">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sidRPr="00B916EC">
        <w:t xml:space="preserve"> slots </w:t>
      </w:r>
    </w:p>
    <w:p w14:paraId="2C9A8937" w14:textId="121228C5" w:rsidR="00C626F6" w:rsidRPr="00B916EC" w:rsidRDefault="00C80EBD" w:rsidP="00C80EBD">
      <w:pPr>
        <w:pStyle w:val="B2"/>
      </w:pPr>
      <w:r w:rsidRPr="00C80EBD">
        <w:t>-</w:t>
      </w:r>
      <w:r w:rsidRPr="00C80EBD">
        <w:tab/>
        <w:t xml:space="preserve">if the UE is provided </w:t>
      </w:r>
      <w:r w:rsidR="00950A9B" w:rsidRPr="00C80EBD">
        <w:rPr>
          <w:i/>
          <w:iCs/>
        </w:rPr>
        <w:t>multipanelS</w:t>
      </w:r>
      <w:r w:rsidR="00950A9B">
        <w:rPr>
          <w:i/>
          <w:iCs/>
        </w:rPr>
        <w:t>FN-</w:t>
      </w:r>
      <w:r w:rsidR="00950A9B" w:rsidRPr="00C80EBD">
        <w:rPr>
          <w:i/>
          <w:iCs/>
        </w:rPr>
        <w:t>Scheme</w:t>
      </w:r>
      <w:r w:rsidRPr="00C80EBD">
        <w:t xml:space="preserve"> and </w:t>
      </w:r>
      <w:r w:rsidRPr="00C80EBD">
        <w:rPr>
          <w:rFonts w:cs="Times"/>
          <w:i/>
          <w:iCs/>
          <w:szCs w:val="18"/>
          <w:lang w:eastAsia="zh-CN"/>
        </w:rPr>
        <w:t>apply-IndicatedTCIState</w:t>
      </w:r>
      <w:r w:rsidRPr="00C80EBD">
        <w:rPr>
          <w:rFonts w:cs="Times"/>
          <w:szCs w:val="18"/>
          <w:lang w:eastAsia="zh-CN"/>
        </w:rPr>
        <w:t xml:space="preserve"> = </w:t>
      </w:r>
      <w:r w:rsidR="002D5F43">
        <w:rPr>
          <w:rFonts w:cs="Times"/>
          <w:szCs w:val="18"/>
          <w:lang w:eastAsia="zh-CN"/>
        </w:rPr>
        <w:t>'</w:t>
      </w:r>
      <w:r w:rsidRPr="00C80EBD">
        <w:rPr>
          <w:rFonts w:cs="Times"/>
          <w:szCs w:val="18"/>
          <w:lang w:eastAsia="zh-CN"/>
        </w:rPr>
        <w:t>both</w:t>
      </w:r>
      <w:r w:rsidR="002D5F43">
        <w:rPr>
          <w:rFonts w:cs="Times"/>
          <w:szCs w:val="18"/>
          <w:lang w:eastAsia="zh-CN"/>
        </w:rPr>
        <w:t>'</w:t>
      </w:r>
      <w:r w:rsidRPr="00C80EBD">
        <w:t xml:space="preserve">, a repetition of the PUCCH transmission </w:t>
      </w:r>
      <w:r w:rsidR="00950A9B">
        <w:t xml:space="preserve">simultaneously </w:t>
      </w:r>
      <w:r w:rsidRPr="00C80EBD">
        <w:t xml:space="preserve">uses first and second spatial domain filters corresponding to first and second </w:t>
      </w:r>
      <w:r w:rsidRPr="00C80EBD">
        <w:rPr>
          <w:i/>
          <w:iCs/>
          <w:lang w:val="en-US"/>
        </w:rPr>
        <w:t>TCI-State</w:t>
      </w:r>
      <w:r w:rsidRPr="00C80EBD">
        <w:rPr>
          <w:lang w:val="en-US"/>
        </w:rPr>
        <w:t xml:space="preserve"> or</w:t>
      </w:r>
      <w:r w:rsidRPr="00C80EBD">
        <w:rPr>
          <w:i/>
          <w:iCs/>
          <w:lang w:val="en-US"/>
        </w:rPr>
        <w:t xml:space="preserve"> TCI-UL-State</w:t>
      </w:r>
    </w:p>
    <w:p w14:paraId="3F8ED720" w14:textId="07353C5F" w:rsidR="00C626F6" w:rsidRPr="00B916EC" w:rsidRDefault="00C626F6" w:rsidP="00C626F6">
      <w:pPr>
        <w:pStyle w:val="B1"/>
      </w:pPr>
      <w:r>
        <w:rPr>
          <w:lang w:val="en-US"/>
        </w:rPr>
        <w:t>-</w:t>
      </w:r>
      <w:r>
        <w:rPr>
          <w:lang w:val="en-US"/>
        </w:rPr>
        <w:tab/>
      </w:r>
      <w:r w:rsidRPr="00B916EC">
        <w:rPr>
          <w:lang w:val="en-US"/>
        </w:rPr>
        <w:t xml:space="preserve">a </w:t>
      </w:r>
      <w:r w:rsidR="006F3D00" w:rsidRPr="007558B5">
        <w:rPr>
          <w:lang w:val="en-US"/>
        </w:rPr>
        <w:t xml:space="preserve">repetition of the </w:t>
      </w:r>
      <w:r w:rsidRPr="00B916EC">
        <w:rPr>
          <w:lang w:val="en-US"/>
        </w:rPr>
        <w:t xml:space="preserve">PUCCH transmission in each of the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sidRPr="00B916EC">
        <w:t xml:space="preserve"> slots</w:t>
      </w:r>
      <w:r w:rsidRPr="00B916EC">
        <w:rPr>
          <w:lang w:val="en-US"/>
        </w:rPr>
        <w:t xml:space="preserve"> has </w:t>
      </w:r>
      <w:r>
        <w:rPr>
          <w:lang w:val="en-US"/>
        </w:rPr>
        <w:t>a</w:t>
      </w:r>
      <w:r w:rsidRPr="00B916EC">
        <w:rPr>
          <w:lang w:val="en-US"/>
        </w:rPr>
        <w:t xml:space="preserve"> same number of consecutive symbol</w:t>
      </w:r>
      <w:r>
        <w:rPr>
          <w:lang w:val="en-US"/>
        </w:rPr>
        <w:t>s</w:t>
      </w:r>
      <w:r w:rsidRPr="00B916EC">
        <w:rPr>
          <w:lang w:val="en-US"/>
        </w:rPr>
        <w:t xml:space="preserve">, as provided by </w:t>
      </w:r>
      <w:r w:rsidRPr="009A765A">
        <w:rPr>
          <w:i/>
        </w:rPr>
        <w:t>nrofSymbols</w:t>
      </w:r>
    </w:p>
    <w:p w14:paraId="65DFBFCA" w14:textId="11CC14C3" w:rsidR="00C626F6" w:rsidRPr="00B916EC" w:rsidRDefault="00C626F6" w:rsidP="00C626F6">
      <w:pPr>
        <w:pStyle w:val="B1"/>
      </w:pPr>
      <w:r>
        <w:rPr>
          <w:lang w:val="en-US"/>
        </w:rPr>
        <w:t>-</w:t>
      </w:r>
      <w:r>
        <w:rPr>
          <w:lang w:val="en-US"/>
        </w:rPr>
        <w:tab/>
      </w:r>
      <w:r w:rsidRPr="00B916EC">
        <w:rPr>
          <w:lang w:val="en-US"/>
        </w:rPr>
        <w:t xml:space="preserve">a </w:t>
      </w:r>
      <w:r w:rsidR="006F3D00" w:rsidRPr="007558B5">
        <w:rPr>
          <w:lang w:val="en-US"/>
        </w:rPr>
        <w:t xml:space="preserve">repetition of the </w:t>
      </w:r>
      <w:r w:rsidRPr="00B916EC">
        <w:rPr>
          <w:lang w:val="en-US"/>
        </w:rPr>
        <w:t xml:space="preserve">PUCCH transmission in each of the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sidRPr="00B916EC">
        <w:t xml:space="preserve"> slots</w:t>
      </w:r>
      <w:r w:rsidRPr="00B916EC">
        <w:rPr>
          <w:lang w:val="en-US"/>
        </w:rPr>
        <w:t xml:space="preserve"> has a same </w:t>
      </w:r>
      <w:r>
        <w:rPr>
          <w:lang w:val="en-US"/>
        </w:rPr>
        <w:t>first</w:t>
      </w:r>
      <w:r w:rsidRPr="00B916EC">
        <w:rPr>
          <w:lang w:val="en-US"/>
        </w:rPr>
        <w:t xml:space="preserve"> symbol, as provided by </w:t>
      </w:r>
      <w:r w:rsidRPr="00037211">
        <w:rPr>
          <w:i/>
        </w:rPr>
        <w:t>startingSymbolIndex</w:t>
      </w:r>
      <w:r w:rsidR="00146C42">
        <w:rPr>
          <w:lang w:val="en-US"/>
        </w:rPr>
        <w:t xml:space="preserve"> </w:t>
      </w:r>
      <w:r w:rsidR="00146C42">
        <w:rPr>
          <w:iCs/>
          <w:lang w:val="en-US"/>
        </w:rPr>
        <w:t xml:space="preserve">if </w:t>
      </w:r>
      <w:r w:rsidR="00146C42" w:rsidRPr="00F113E1">
        <w:rPr>
          <w:i/>
          <w:lang w:val="en-US"/>
        </w:rPr>
        <w:t>subslotLengthForPUCCH</w:t>
      </w:r>
      <w:r w:rsidR="00146C42">
        <w:rPr>
          <w:iCs/>
          <w:lang w:val="en-US"/>
        </w:rPr>
        <w:t xml:space="preserve"> is not provided; otherwise mod(</w:t>
      </w:r>
      <w:r w:rsidR="00146C42" w:rsidRPr="00111FF6">
        <w:rPr>
          <w:i/>
        </w:rPr>
        <w:t>startingSymbolIndex</w:t>
      </w:r>
      <w:r w:rsidR="00146C42">
        <w:rPr>
          <w:iCs/>
          <w:lang w:val="en-US"/>
        </w:rPr>
        <w:t xml:space="preserve">, </w:t>
      </w:r>
      <w:r w:rsidR="00146C42" w:rsidRPr="00F113E1">
        <w:rPr>
          <w:i/>
          <w:lang w:val="en-US"/>
        </w:rPr>
        <w:t>subslotLengthForPUCCH</w:t>
      </w:r>
      <w:r w:rsidR="00146C42">
        <w:rPr>
          <w:iCs/>
          <w:lang w:val="en-US"/>
        </w:rPr>
        <w:t>)</w:t>
      </w:r>
    </w:p>
    <w:p w14:paraId="53CD8811" w14:textId="7DD1980A" w:rsidR="00C626F6" w:rsidRPr="00B916EC" w:rsidRDefault="00C626F6" w:rsidP="00C626F6">
      <w:pPr>
        <w:pStyle w:val="B1"/>
      </w:pPr>
      <w:r>
        <w:rPr>
          <w:lang w:val="en-US"/>
        </w:rPr>
        <w:t>-</w:t>
      </w:r>
      <w:r>
        <w:rPr>
          <w:lang w:val="en-US"/>
        </w:rPr>
        <w:tab/>
      </w:r>
      <w:r w:rsidRPr="00B916EC">
        <w:rPr>
          <w:lang w:val="en-US"/>
        </w:rPr>
        <w:t xml:space="preserve">the UE is configured by </w:t>
      </w:r>
      <w:r w:rsidRPr="00037211">
        <w:rPr>
          <w:i/>
        </w:rPr>
        <w:t>interslotFrequencyHopping</w:t>
      </w:r>
      <w:r w:rsidRPr="00B916EC">
        <w:rPr>
          <w:lang w:val="en-US"/>
        </w:rPr>
        <w:t xml:space="preserve"> whether or not to perform frequency hopping for </w:t>
      </w:r>
      <w:r w:rsidR="006F3D00" w:rsidRPr="007558B5">
        <w:rPr>
          <w:lang w:val="en-US"/>
        </w:rPr>
        <w:t xml:space="preserve">repetitions of the </w:t>
      </w:r>
      <w:r w:rsidRPr="00B916EC">
        <w:rPr>
          <w:lang w:val="en-US"/>
        </w:rPr>
        <w:t>PUCCH transmission in different slots</w:t>
      </w:r>
    </w:p>
    <w:p w14:paraId="0EE9CC4B" w14:textId="7B55217F" w:rsidR="00C626F6" w:rsidRPr="00B916EC" w:rsidRDefault="00C626F6" w:rsidP="00C626F6">
      <w:pPr>
        <w:pStyle w:val="B2"/>
      </w:pPr>
      <w:r>
        <w:t>-</w:t>
      </w:r>
      <w:r>
        <w:tab/>
      </w:r>
      <w:r w:rsidR="006F3D00">
        <w:rPr>
          <w:lang w:val="en-GB"/>
        </w:rPr>
        <w:t xml:space="preserve">if </w:t>
      </w:r>
      <w:r w:rsidRPr="00B916EC">
        <w:t xml:space="preserve">the UE is configured to perform frequency hopping for </w:t>
      </w:r>
      <w:r w:rsidR="006F3D00" w:rsidRPr="007558B5">
        <w:rPr>
          <w:lang w:val="en-US"/>
        </w:rPr>
        <w:t xml:space="preserve">repetitions of a </w:t>
      </w:r>
      <w:r w:rsidRPr="00B916EC">
        <w:t xml:space="preserve">PUCCH transmission </w:t>
      </w:r>
      <w:r>
        <w:rPr>
          <w:lang w:val="en-US"/>
        </w:rPr>
        <w:t>across</w:t>
      </w:r>
      <w:r w:rsidRPr="00B916EC">
        <w:t xml:space="preserve"> slots </w:t>
      </w:r>
      <w:r w:rsidR="006F3D00" w:rsidRPr="007558B5">
        <w:t xml:space="preserve">and the UE is not provided </w:t>
      </w:r>
      <w:r w:rsidR="00CB4690">
        <w:rPr>
          <w:i/>
          <w:iCs/>
          <w:lang w:val="en-US"/>
        </w:rPr>
        <w:t>pucch</w:t>
      </w:r>
      <w:r w:rsidR="006F3D00" w:rsidRPr="007558B5">
        <w:rPr>
          <w:i/>
          <w:iCs/>
        </w:rPr>
        <w:t>-DMRS-Bundling</w:t>
      </w:r>
      <w:r w:rsidR="006F3D00" w:rsidRPr="007558B5">
        <w:t xml:space="preserve"> = </w:t>
      </w:r>
      <w:r w:rsidR="006F3D00">
        <w:rPr>
          <w:lang w:val="en-GB"/>
        </w:rPr>
        <w:t>'</w:t>
      </w:r>
      <w:r w:rsidR="006F3D00" w:rsidRPr="007558B5">
        <w:t>enabled</w:t>
      </w:r>
      <w:r w:rsidR="006F3D00">
        <w:rPr>
          <w:lang w:val="en-GB"/>
        </w:rPr>
        <w:t>'</w:t>
      </w:r>
    </w:p>
    <w:p w14:paraId="3A4F241A" w14:textId="77777777" w:rsidR="00C626F6" w:rsidRPr="00E95E2D" w:rsidRDefault="00C626F6" w:rsidP="00C626F6">
      <w:pPr>
        <w:pStyle w:val="B3"/>
      </w:pPr>
      <w:r>
        <w:rPr>
          <w:lang w:val="en-US"/>
        </w:rPr>
        <w:t>-</w:t>
      </w:r>
      <w:r>
        <w:rPr>
          <w:lang w:val="en-US"/>
        </w:rPr>
        <w:tab/>
      </w:r>
      <w:r w:rsidRPr="00B916EC">
        <w:rPr>
          <w:lang w:val="en-US"/>
        </w:rPr>
        <w:t>the UE performs frequency hopping per slot</w:t>
      </w:r>
    </w:p>
    <w:p w14:paraId="0928BE88" w14:textId="60E972B7" w:rsidR="00C626F6" w:rsidRPr="00B916EC" w:rsidRDefault="00C626F6" w:rsidP="00C626F6">
      <w:pPr>
        <w:pStyle w:val="B3"/>
      </w:pPr>
      <w:r>
        <w:rPr>
          <w:lang w:val="en-US"/>
        </w:rPr>
        <w:t>-</w:t>
      </w:r>
      <w:r>
        <w:rPr>
          <w:lang w:val="en-US"/>
        </w:rPr>
        <w:tab/>
        <w:t xml:space="preserve">the UE transmits the PUCCH starting from a first PRB, provided by </w:t>
      </w:r>
      <w:r w:rsidRPr="00961945">
        <w:rPr>
          <w:i/>
          <w:lang w:val="en-US"/>
        </w:rPr>
        <w:t>startingPRB</w:t>
      </w:r>
      <w:r>
        <w:rPr>
          <w:lang w:val="en-US"/>
        </w:rPr>
        <w:t xml:space="preserve">, in slots with even number and starting from </w:t>
      </w:r>
      <w:r w:rsidR="006F3D00" w:rsidRPr="007558B5">
        <w:rPr>
          <w:lang w:val="en-US"/>
        </w:rPr>
        <w:t>a</w:t>
      </w:r>
      <w:r>
        <w:rPr>
          <w:lang w:val="en-US"/>
        </w:rPr>
        <w:t xml:space="preserve"> second PRB, provided by </w:t>
      </w:r>
      <w:r>
        <w:rPr>
          <w:i/>
          <w:lang w:val="en-US"/>
        </w:rPr>
        <w:t>secondHop</w:t>
      </w:r>
      <w:r w:rsidRPr="00961945">
        <w:rPr>
          <w:i/>
          <w:lang w:val="en-US"/>
        </w:rPr>
        <w:t>PRB</w:t>
      </w:r>
      <w:r>
        <w:rPr>
          <w:lang w:val="en-US"/>
        </w:rPr>
        <w:t xml:space="preserve">, in slots with odd number. The slot indicated to the UE for the first </w:t>
      </w:r>
      <w:r w:rsidR="006F3D00" w:rsidRPr="007558B5">
        <w:rPr>
          <w:lang w:val="en-US"/>
        </w:rPr>
        <w:t xml:space="preserve">repetition of the </w:t>
      </w:r>
      <w:r>
        <w:rPr>
          <w:lang w:val="en-US"/>
        </w:rPr>
        <w:t>PUCCH transmission has number 0 and each subsequent slot until the UE transmits the PUCCH in</w:t>
      </w:r>
      <w:r w:rsidR="00A93253">
        <w:rPr>
          <w:lang w:val="en-US"/>
        </w:rPr>
        <w:t xml:space="preserve">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Pr>
          <w:lang w:val="en-US"/>
        </w:rPr>
        <w:t xml:space="preserve"> slots is counted regardless of whether or not the UE transmits the PUCCH in the slot</w:t>
      </w:r>
    </w:p>
    <w:p w14:paraId="7B222D03" w14:textId="2205B08A" w:rsidR="00C626F6" w:rsidRDefault="00C626F6" w:rsidP="00C626F6">
      <w:pPr>
        <w:pStyle w:val="B3"/>
        <w:rPr>
          <w:lang w:val="en-US"/>
        </w:rPr>
      </w:pPr>
      <w:r>
        <w:rPr>
          <w:lang w:val="en-US"/>
        </w:rPr>
        <w:t>-</w:t>
      </w:r>
      <w:r>
        <w:rPr>
          <w:lang w:val="en-US"/>
        </w:rPr>
        <w:tab/>
      </w:r>
      <w:r w:rsidRPr="00B916EC">
        <w:rPr>
          <w:lang w:val="en-US"/>
        </w:rPr>
        <w:t xml:space="preserve">the UE </w:t>
      </w:r>
      <w:r>
        <w:rPr>
          <w:lang w:val="en-US"/>
        </w:rPr>
        <w:t>does</w:t>
      </w:r>
      <w:r w:rsidRPr="00B916EC">
        <w:rPr>
          <w:lang w:val="en-US"/>
        </w:rPr>
        <w:t xml:space="preserve"> not expect to be configured to perform frequency hopping for a </w:t>
      </w:r>
      <w:r w:rsidR="006F3D00" w:rsidRPr="007558B5">
        <w:rPr>
          <w:lang w:val="en-US"/>
        </w:rPr>
        <w:t xml:space="preserve">repetition of the </w:t>
      </w:r>
      <w:r w:rsidRPr="00B916EC">
        <w:rPr>
          <w:lang w:val="en-US"/>
        </w:rPr>
        <w:t>PUCCH transmission within a slot</w:t>
      </w:r>
    </w:p>
    <w:p w14:paraId="18E2851D" w14:textId="1B15FC92" w:rsidR="001F1430" w:rsidRPr="007558B5" w:rsidRDefault="001F1430" w:rsidP="001F1430">
      <w:pPr>
        <w:pStyle w:val="B2"/>
      </w:pPr>
      <w:r w:rsidRPr="007558B5">
        <w:t>-</w:t>
      </w:r>
      <w:r w:rsidRPr="007558B5">
        <w:tab/>
        <w:t xml:space="preserve">if the UE is configured to perform frequency hopping for repetitions of a PUCCH transmission across slots and </w:t>
      </w:r>
      <w:r w:rsidRPr="007558B5">
        <w:rPr>
          <w:lang w:val="en-US"/>
        </w:rPr>
        <w:t xml:space="preserve">the UE </w:t>
      </w:r>
      <w:r w:rsidRPr="007558B5">
        <w:t xml:space="preserve">is provided </w:t>
      </w:r>
      <w:r w:rsidR="00CB4690">
        <w:rPr>
          <w:i/>
          <w:iCs/>
          <w:lang w:val="en-US"/>
        </w:rPr>
        <w:t>pucch</w:t>
      </w:r>
      <w:r w:rsidRPr="007558B5">
        <w:rPr>
          <w:i/>
          <w:iCs/>
        </w:rPr>
        <w:t>-DMRS-Bundling</w:t>
      </w:r>
      <w:r w:rsidRPr="007558B5">
        <w:t xml:space="preserve"> = </w:t>
      </w:r>
      <w:r w:rsidR="00F22988">
        <w:t>'</w:t>
      </w:r>
      <w:r w:rsidRPr="007558B5">
        <w:t>enabled</w:t>
      </w:r>
      <w:r w:rsidR="00F22988">
        <w:t>'</w:t>
      </w:r>
      <w:r w:rsidRPr="007558B5">
        <w:t xml:space="preserve"> </w:t>
      </w:r>
    </w:p>
    <w:p w14:paraId="45196B19" w14:textId="0D8C0E41" w:rsidR="001F1430" w:rsidRPr="007558B5" w:rsidRDefault="001F1430" w:rsidP="001F1430">
      <w:pPr>
        <w:pStyle w:val="B3"/>
      </w:pPr>
      <w:r w:rsidRPr="007558B5">
        <w:t>-</w:t>
      </w:r>
      <w:r w:rsidRPr="007558B5">
        <w:tab/>
        <w:t xml:space="preserve">the UE performs frequency hopping per interval of </w:t>
      </w:r>
      <m:oMath>
        <m:sSubSup>
          <m:sSubSupPr>
            <m:ctrlPr>
              <w:rPr>
                <w:rFonts w:ascii="Cambria Math" w:hAnsi="Cambria Math"/>
              </w:rPr>
            </m:ctrlPr>
          </m:sSubSupPr>
          <m:e>
            <m:r>
              <w:rPr>
                <w:rFonts w:ascii="Cambria Math" w:hAnsi="Cambria Math"/>
              </w:rPr>
              <m:t>N</m:t>
            </m:r>
          </m:e>
          <m:sub>
            <m:r>
              <m:rPr>
                <m:nor/>
              </m:rPr>
              <m:t>PUCCH</m:t>
            </m:r>
          </m:sub>
          <m:sup>
            <m:r>
              <m:rPr>
                <m:nor/>
              </m:rPr>
              <m:t>interval</m:t>
            </m:r>
          </m:sup>
        </m:sSubSup>
      </m:oMath>
      <w:r w:rsidRPr="007558B5">
        <w:t xml:space="preserve"> consecutive slots, that start from a slot indicated to the UE and where the UE would transmit a first repetition of the PUCCH, where </w:t>
      </w:r>
      <m:oMath>
        <m:sSubSup>
          <m:sSubSupPr>
            <m:ctrlPr>
              <w:rPr>
                <w:rFonts w:ascii="Cambria Math" w:hAnsi="Cambria Math"/>
              </w:rPr>
            </m:ctrlPr>
          </m:sSubSupPr>
          <m:e>
            <m:r>
              <w:rPr>
                <w:rFonts w:ascii="Cambria Math" w:hAnsi="Cambria Math"/>
              </w:rPr>
              <m:t>N</m:t>
            </m:r>
          </m:e>
          <m:sub>
            <m:r>
              <m:rPr>
                <m:nor/>
              </m:rPr>
              <m:t>PUCCH</m:t>
            </m:r>
          </m:sub>
          <m:sup>
            <m:r>
              <m:rPr>
                <m:nor/>
              </m:rPr>
              <m:t>interval</m:t>
            </m:r>
          </m:sup>
        </m:sSubSup>
      </m:oMath>
      <w:r w:rsidRPr="007558B5">
        <w:t xml:space="preserve"> is the value of </w:t>
      </w:r>
      <w:r w:rsidR="00CB4690">
        <w:rPr>
          <w:i/>
          <w:iCs/>
          <w:lang w:val="en-US"/>
        </w:rPr>
        <w:t>pucch</w:t>
      </w:r>
      <w:r w:rsidRPr="007558B5">
        <w:rPr>
          <w:i/>
        </w:rPr>
        <w:t>-</w:t>
      </w:r>
      <w:r w:rsidR="00CB4690" w:rsidRPr="007558B5">
        <w:rPr>
          <w:i/>
        </w:rPr>
        <w:t>Frequency</w:t>
      </w:r>
      <w:r w:rsidR="00CB4690">
        <w:rPr>
          <w:i/>
        </w:rPr>
        <w:t>H</w:t>
      </w:r>
      <w:r w:rsidR="00CB4690" w:rsidRPr="007558B5">
        <w:rPr>
          <w:i/>
        </w:rPr>
        <w:t>opping</w:t>
      </w:r>
      <w:r w:rsidRPr="007558B5">
        <w:rPr>
          <w:i/>
        </w:rPr>
        <w:t>Interval</w:t>
      </w:r>
      <w:r w:rsidRPr="007558B5">
        <w:t xml:space="preserve">, if provided; otherwise, </w:t>
      </w:r>
      <m:oMath>
        <m:sSubSup>
          <m:sSubSupPr>
            <m:ctrlPr>
              <w:rPr>
                <w:rFonts w:ascii="Cambria Math" w:hAnsi="Cambria Math"/>
              </w:rPr>
            </m:ctrlPr>
          </m:sSubSupPr>
          <m:e>
            <m:r>
              <w:rPr>
                <w:rFonts w:ascii="Cambria Math" w:hAnsi="Cambria Math"/>
              </w:rPr>
              <m:t>N</m:t>
            </m:r>
          </m:e>
          <m:sub>
            <m:r>
              <m:rPr>
                <m:nor/>
              </m:rPr>
              <m:t>PUCCH</m:t>
            </m:r>
          </m:sub>
          <m:sup>
            <m:r>
              <m:rPr>
                <m:nor/>
              </m:rPr>
              <m:t>interval</m:t>
            </m:r>
          </m:sup>
        </m:sSubSup>
      </m:oMath>
      <w:r w:rsidRPr="007558B5">
        <w:t xml:space="preserve"> is the value of </w:t>
      </w:r>
      <w:r w:rsidR="00CB4690">
        <w:rPr>
          <w:i/>
          <w:iCs/>
          <w:lang w:val="en-US"/>
        </w:rPr>
        <w:t>pucch</w:t>
      </w:r>
      <w:r w:rsidRPr="007558B5">
        <w:rPr>
          <w:i/>
        </w:rPr>
        <w:t>-TimeDomainWindowLength</w:t>
      </w:r>
    </w:p>
    <w:p w14:paraId="7B2E7572" w14:textId="77777777" w:rsidR="001F1430" w:rsidRPr="007558B5" w:rsidRDefault="001F1430" w:rsidP="001F1430">
      <w:pPr>
        <w:pStyle w:val="B3"/>
      </w:pPr>
      <w:r w:rsidRPr="007558B5">
        <w:t>-</w:t>
      </w:r>
      <w:r w:rsidRPr="007558B5">
        <w:tab/>
        <w:t xml:space="preserve">the UE transmits the PUCCH over intervals until the UE transmits the PUCCH in </w:t>
      </w:r>
      <m:oMath>
        <m:sSubSup>
          <m:sSubSupPr>
            <m:ctrlPr>
              <w:rPr>
                <w:rFonts w:ascii="Cambria Math" w:hAnsi="Cambria Math"/>
              </w:rPr>
            </m:ctrlPr>
          </m:sSubSupPr>
          <m:e>
            <m:r>
              <w:rPr>
                <w:rFonts w:ascii="Cambria Math" w:hAnsi="Cambria Math"/>
              </w:rPr>
              <m:t>N</m:t>
            </m:r>
          </m:e>
          <m:sub>
            <m:r>
              <m:rPr>
                <m:nor/>
              </m:rPr>
              <m:t>PUCCH</m:t>
            </m:r>
          </m:sub>
          <m:sup>
            <m:r>
              <m:rPr>
                <m:nor/>
              </m:rPr>
              <m:t>repeat</m:t>
            </m:r>
          </m:sup>
        </m:sSubSup>
      </m:oMath>
      <w:r w:rsidRPr="007558B5">
        <w:t xml:space="preserve"> slots, where the first interval has number 0 and each subsequent interval is counted regardless of whether or not the UE transmits the PUCCH in a slot</w:t>
      </w:r>
    </w:p>
    <w:p w14:paraId="405C8EAD" w14:textId="77777777" w:rsidR="001F1430" w:rsidRPr="007558B5" w:rsidRDefault="001F1430" w:rsidP="001F1430">
      <w:pPr>
        <w:pStyle w:val="B3"/>
      </w:pPr>
      <w:r w:rsidRPr="007558B5">
        <w:t>-</w:t>
      </w:r>
      <w:r w:rsidRPr="007558B5">
        <w:tab/>
        <w:t xml:space="preserve">the UE transmits the PUCCH starting from a first PRB, provided by </w:t>
      </w:r>
      <w:r w:rsidRPr="007558B5">
        <w:rPr>
          <w:i/>
        </w:rPr>
        <w:t>startingPRB</w:t>
      </w:r>
      <w:r w:rsidRPr="007558B5">
        <w:t xml:space="preserve">, in intervals with even number and starting from a second PRB, provided by </w:t>
      </w:r>
      <w:r w:rsidRPr="007558B5">
        <w:rPr>
          <w:i/>
        </w:rPr>
        <w:t>secondHopPRB</w:t>
      </w:r>
      <w:r w:rsidRPr="007558B5">
        <w:t>, in intervals of frequency hopping intervals with odd number</w:t>
      </w:r>
    </w:p>
    <w:p w14:paraId="4F52664A" w14:textId="27062555" w:rsidR="001F1430" w:rsidRPr="001F1430" w:rsidRDefault="001F1430" w:rsidP="001F1430">
      <w:pPr>
        <w:pStyle w:val="B3"/>
        <w:rPr>
          <w:szCs w:val="22"/>
        </w:rPr>
      </w:pPr>
      <w:r w:rsidRPr="007558B5">
        <w:lastRenderedPageBreak/>
        <w:t>-</w:t>
      </w:r>
      <w:r w:rsidRPr="007558B5">
        <w:tab/>
        <w:t>the UE does not expect to be configured to perform frequency hopping for a repetition of the PUCCH transmission within a slot</w:t>
      </w:r>
    </w:p>
    <w:p w14:paraId="6925C279" w14:textId="02FC17FD" w:rsidR="00C626F6" w:rsidRPr="00B916EC" w:rsidRDefault="00C626F6" w:rsidP="00C626F6">
      <w:pPr>
        <w:pStyle w:val="B2"/>
      </w:pPr>
      <w:r>
        <w:t>-</w:t>
      </w:r>
      <w:r>
        <w:tab/>
      </w:r>
      <w:r w:rsidR="001F1430">
        <w:rPr>
          <w:lang w:val="en-GB"/>
        </w:rPr>
        <w:t>if</w:t>
      </w:r>
      <w:r w:rsidR="001F1430" w:rsidRPr="00B916EC">
        <w:t xml:space="preserve"> </w:t>
      </w:r>
      <w:r w:rsidRPr="00B916EC">
        <w:t xml:space="preserve">the UE is </w:t>
      </w:r>
      <w:r>
        <w:rPr>
          <w:lang w:val="en-US"/>
        </w:rPr>
        <w:t xml:space="preserve">not </w:t>
      </w:r>
      <w:r w:rsidRPr="00B916EC">
        <w:t xml:space="preserve">configured to perform frequency hopping for </w:t>
      </w:r>
      <w:r w:rsidR="001F1430" w:rsidRPr="007558B5">
        <w:rPr>
          <w:lang w:val="en-US"/>
        </w:rPr>
        <w:t xml:space="preserve">repetitions of a </w:t>
      </w:r>
      <w:r w:rsidRPr="00B916EC">
        <w:t xml:space="preserve">PUCCH transmission </w:t>
      </w:r>
      <w:r>
        <w:rPr>
          <w:lang w:val="en-US"/>
        </w:rPr>
        <w:t>across</w:t>
      </w:r>
      <w:r w:rsidRPr="00B916EC">
        <w:t xml:space="preserve"> slots </w:t>
      </w:r>
      <w:r>
        <w:rPr>
          <w:lang w:val="en-US"/>
        </w:rPr>
        <w:t xml:space="preserve">and </w:t>
      </w:r>
      <w:r w:rsidRPr="00B916EC">
        <w:t xml:space="preserve">the UE is configured to perform frequency hopping for </w:t>
      </w:r>
      <w:r w:rsidR="005C63A7">
        <w:rPr>
          <w:lang w:val="en-US"/>
        </w:rPr>
        <w:t>a</w:t>
      </w:r>
      <w:r w:rsidR="001F1430" w:rsidRPr="001F1430">
        <w:rPr>
          <w:lang w:val="en-US"/>
        </w:rPr>
        <w:t xml:space="preserve"> </w:t>
      </w:r>
      <w:r w:rsidR="001F1430" w:rsidRPr="007558B5">
        <w:rPr>
          <w:lang w:val="en-US"/>
        </w:rPr>
        <w:t>repetition of the</w:t>
      </w:r>
      <w:r w:rsidR="005C63A7">
        <w:rPr>
          <w:lang w:val="en-US"/>
        </w:rPr>
        <w:t xml:space="preserve"> </w:t>
      </w:r>
      <w:r w:rsidRPr="00B916EC">
        <w:t xml:space="preserve">PUCCH transmission </w:t>
      </w:r>
      <w:r>
        <w:t>within a slot</w:t>
      </w:r>
      <w:r w:rsidRPr="00B916EC">
        <w:t>,</w:t>
      </w:r>
      <w:r>
        <w:t xml:space="preserve"> </w:t>
      </w:r>
      <w:r w:rsidRPr="00B916EC">
        <w:t xml:space="preserve">the frequency hopping </w:t>
      </w:r>
      <w:r>
        <w:t>pattern between the first PRB and the second PRB is same within each</w:t>
      </w:r>
      <w:r w:rsidRPr="00B916EC">
        <w:t xml:space="preserve"> slot </w:t>
      </w:r>
    </w:p>
    <w:p w14:paraId="68A29BDC" w14:textId="66190132" w:rsidR="00C626F6" w:rsidRPr="0009732E" w:rsidRDefault="00C626F6" w:rsidP="00C626F6">
      <w:pPr>
        <w:rPr>
          <w:lang w:val="x-none"/>
        </w:rPr>
      </w:pPr>
      <w:r>
        <w:t xml:space="preserve">If the UE determines that, for a </w:t>
      </w:r>
      <w:r w:rsidR="001F1430" w:rsidRPr="007558B5">
        <w:t xml:space="preserve">repetition of a </w:t>
      </w:r>
      <w:r>
        <w:t xml:space="preserve">PUCCH transmission in a slot, the number of symbols available for the PUCCH transmission is smaller than the value provided by </w:t>
      </w:r>
      <w:r w:rsidRPr="00344183">
        <w:rPr>
          <w:i/>
        </w:rPr>
        <w:t>nrofSymbols</w:t>
      </w:r>
      <w:r>
        <w:t xml:space="preserve"> for the corresponding PUCCH format, the UE does not transmit the PUCCH</w:t>
      </w:r>
      <w:r w:rsidR="001F1430">
        <w:t xml:space="preserve"> repetition</w:t>
      </w:r>
      <w:r>
        <w:t xml:space="preserve"> in the slot. </w:t>
      </w:r>
    </w:p>
    <w:p w14:paraId="41422315" w14:textId="6AD32BB1" w:rsidR="00497046" w:rsidRPr="001B7F74" w:rsidRDefault="00497046" w:rsidP="002A7FFD">
      <w:pPr>
        <w:rPr>
          <w:lang w:val="en-US"/>
        </w:rPr>
      </w:pPr>
      <w:r>
        <w:rPr>
          <w:lang w:val="en-US"/>
        </w:rPr>
        <w:t xml:space="preserve">A SS/PBCH block symbol is a symbol </w:t>
      </w:r>
      <w:r w:rsidR="003B1DCC" w:rsidRPr="00403690">
        <w:rPr>
          <w:lang w:val="en-US"/>
        </w:rPr>
        <w:t xml:space="preserve">of an SS/PBCH block with </w:t>
      </w:r>
      <w:r w:rsidR="00062E1B">
        <w:rPr>
          <w:rFonts w:eastAsia="DengXian"/>
        </w:rPr>
        <w:t xml:space="preserve">candidate SS/PBCH block </w:t>
      </w:r>
      <w:r w:rsidR="00062E1B" w:rsidRPr="00DC7A0F">
        <w:rPr>
          <w:rFonts w:eastAsia="DengXian"/>
        </w:rPr>
        <w:t xml:space="preserve">index </w:t>
      </w:r>
      <w:r w:rsidR="00062E1B">
        <w:rPr>
          <w:rFonts w:eastAsia="DengXian"/>
        </w:rPr>
        <w:t xml:space="preserve">corresponding to the SS/PBCH block </w:t>
      </w:r>
      <w:r w:rsidR="003B1DCC" w:rsidRPr="00403690">
        <w:rPr>
          <w:lang w:val="en-US"/>
        </w:rPr>
        <w:t xml:space="preserve">index </w:t>
      </w:r>
      <w:r>
        <w:rPr>
          <w:lang w:val="en-US"/>
        </w:rPr>
        <w:t xml:space="preserve">indicated to a UE by </w:t>
      </w:r>
      <w:r w:rsidRPr="00326D6E">
        <w:rPr>
          <w:i/>
          <w:lang w:val="en-US"/>
        </w:rPr>
        <w:t>ssb-PositionsInBurst</w:t>
      </w:r>
      <w:r w:rsidRPr="00785CDA">
        <w:rPr>
          <w:lang w:val="en-US"/>
        </w:rPr>
        <w:t xml:space="preserve"> in</w:t>
      </w:r>
      <w:r>
        <w:rPr>
          <w:lang w:val="en-US"/>
        </w:rPr>
        <w:t xml:space="preserve"> </w:t>
      </w:r>
      <w:r w:rsidR="00432E4D" w:rsidRPr="00CC7631">
        <w:rPr>
          <w:i/>
          <w:lang w:val="en-US"/>
        </w:rPr>
        <w:t>SIB1</w:t>
      </w:r>
      <w:r w:rsidRPr="00785CDA">
        <w:rPr>
          <w:lang w:val="en-US"/>
        </w:rPr>
        <w:t xml:space="preserve"> or </w:t>
      </w:r>
      <w:r w:rsidRPr="00326D6E">
        <w:rPr>
          <w:i/>
          <w:lang w:val="en-US"/>
        </w:rPr>
        <w:t>ssb-PositionsInBurst</w:t>
      </w:r>
      <w:r w:rsidRPr="00785CDA">
        <w:rPr>
          <w:lang w:val="en-US"/>
        </w:rPr>
        <w:t xml:space="preserve"> in </w:t>
      </w:r>
      <w:r w:rsidRPr="00326D6E">
        <w:rPr>
          <w:i/>
          <w:lang w:val="en-US"/>
        </w:rPr>
        <w:t>ServingCellConfigCommon</w:t>
      </w:r>
      <w:r w:rsidR="00062E1B" w:rsidRPr="007139CF">
        <w:rPr>
          <w:iCs/>
          <w:lang w:val="en-US"/>
        </w:rPr>
        <w:t xml:space="preserve"> </w:t>
      </w:r>
      <w:r w:rsidR="00CF2E09" w:rsidRPr="00037243">
        <w:t xml:space="preserve">or, if the UE is not provided </w:t>
      </w:r>
      <w:r w:rsidR="00254F04" w:rsidRPr="00AB2FC0">
        <w:rPr>
          <w:rFonts w:cs="Times"/>
          <w:i/>
          <w:szCs w:val="18"/>
          <w:lang w:eastAsia="zh-CN"/>
        </w:rPr>
        <w:t>dl-OrJointTCI</w:t>
      </w:r>
      <w:r w:rsidR="00676EC0">
        <w:rPr>
          <w:rFonts w:cs="Times"/>
          <w:i/>
          <w:szCs w:val="18"/>
          <w:lang w:eastAsia="zh-CN"/>
        </w:rPr>
        <w:t>-</w:t>
      </w:r>
      <w:r w:rsidR="00254F04" w:rsidRPr="00AB2FC0">
        <w:rPr>
          <w:rFonts w:cs="Times"/>
          <w:i/>
          <w:szCs w:val="18"/>
          <w:lang w:eastAsia="zh-CN"/>
        </w:rPr>
        <w:t>StateList</w:t>
      </w:r>
      <w:r w:rsidR="00CF2E09" w:rsidRPr="00037243">
        <w:t xml:space="preserve">, by </w:t>
      </w:r>
      <w:r w:rsidR="00CF2E09" w:rsidRPr="00037243">
        <w:rPr>
          <w:i/>
        </w:rPr>
        <w:t>ssb-PositionsInBurst</w:t>
      </w:r>
      <w:r w:rsidR="00CF2E09" w:rsidRPr="00037243">
        <w:t xml:space="preserve"> </w:t>
      </w:r>
      <w:r w:rsidR="00CF2E09" w:rsidRPr="00037243">
        <w:rPr>
          <w:lang w:val="en-US"/>
        </w:rPr>
        <w:t xml:space="preserve">in </w:t>
      </w:r>
      <w:r w:rsidR="00CF2E09" w:rsidRPr="00037243">
        <w:rPr>
          <w:i/>
          <w:iCs/>
          <w:lang w:val="en-US"/>
        </w:rPr>
        <w:t>SSB-MTCAdditionalPCI</w:t>
      </w:r>
      <w:r w:rsidR="00CF2E09" w:rsidRPr="00037243">
        <w:t xml:space="preserve"> associated to physical cell ID with active TCI states</w:t>
      </w:r>
      <w:r w:rsidR="00F31BB9">
        <w:t xml:space="preserve"> </w:t>
      </w:r>
      <w:r w:rsidR="00F31BB9" w:rsidRPr="000C2077">
        <w:t>for PDCCH or PDSCH, or for a set of symbols of a slot corresponding to SS/PBCH blocks configured for L1 beam measurement/reporting</w:t>
      </w:r>
      <w:r w:rsidRPr="001B7F74">
        <w:rPr>
          <w:lang w:val="en-US"/>
        </w:rPr>
        <w:t>.</w:t>
      </w:r>
    </w:p>
    <w:p w14:paraId="2148C681" w14:textId="0C001E2F" w:rsidR="00363A21" w:rsidRDefault="00497046" w:rsidP="002A7FFD">
      <w:pPr>
        <w:rPr>
          <w:lang w:val="en-US"/>
        </w:rPr>
      </w:pPr>
      <w:r>
        <w:rPr>
          <w:lang w:val="en-US"/>
        </w:rPr>
        <w:t>For unpaired spectrum</w:t>
      </w:r>
      <w:r w:rsidR="00363A21">
        <w:rPr>
          <w:lang w:val="en-US"/>
        </w:rPr>
        <w:t xml:space="preserve">, the UE determines the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sidR="00363A21">
        <w:rPr>
          <w:lang w:val="en-US"/>
        </w:rPr>
        <w:t xml:space="preserve"> slots for a PUCCH transmission starting from a slot indicated to the UE as described </w:t>
      </w:r>
      <w:r w:rsidR="006F5F9E">
        <w:rPr>
          <w:lang w:val="en-US"/>
        </w:rPr>
        <w:t>in clause</w:t>
      </w:r>
      <w:r w:rsidR="00363A21">
        <w:rPr>
          <w:lang w:val="en-US"/>
        </w:rPr>
        <w:t xml:space="preserve"> 9.2.3 </w:t>
      </w:r>
      <w:r w:rsidR="005C63A7">
        <w:rPr>
          <w:rFonts w:hint="eastAsia"/>
          <w:lang w:val="en-US" w:eastAsia="zh-CN"/>
        </w:rPr>
        <w:t xml:space="preserve">for HARQ-ACK reporting, or a slot determined as described </w:t>
      </w:r>
      <w:r w:rsidR="006F5F9E">
        <w:rPr>
          <w:rFonts w:hint="eastAsia"/>
          <w:lang w:val="en-US" w:eastAsia="zh-CN"/>
        </w:rPr>
        <w:t>in clause</w:t>
      </w:r>
      <w:r w:rsidR="005C63A7">
        <w:rPr>
          <w:rFonts w:hint="eastAsia"/>
          <w:lang w:val="en-US" w:eastAsia="zh-CN"/>
        </w:rPr>
        <w:t xml:space="preserve"> 9.2.4</w:t>
      </w:r>
      <w:r w:rsidR="005C63A7" w:rsidRPr="00A5099F">
        <w:rPr>
          <w:rFonts w:hint="eastAsia"/>
          <w:lang w:val="en-US" w:eastAsia="zh-CN"/>
        </w:rPr>
        <w:t xml:space="preserve"> </w:t>
      </w:r>
      <w:r w:rsidR="005C63A7">
        <w:rPr>
          <w:rFonts w:hint="eastAsia"/>
          <w:lang w:val="en-US" w:eastAsia="zh-CN"/>
        </w:rPr>
        <w:t xml:space="preserve">for SR reporting or </w:t>
      </w:r>
      <w:r w:rsidR="006F5F9E">
        <w:rPr>
          <w:rFonts w:hint="eastAsia"/>
          <w:lang w:val="en-US" w:eastAsia="zh-CN"/>
        </w:rPr>
        <w:t>in clause</w:t>
      </w:r>
      <w:r w:rsidR="005C63A7">
        <w:rPr>
          <w:rFonts w:hint="eastAsia"/>
          <w:lang w:val="en-US" w:eastAsia="zh-CN"/>
        </w:rPr>
        <w:t xml:space="preserve"> 5.2.1.4 of</w:t>
      </w:r>
      <w:r w:rsidR="005C63A7" w:rsidRPr="007A3016">
        <w:rPr>
          <w:lang w:val="en-US"/>
        </w:rPr>
        <w:t xml:space="preserve"> </w:t>
      </w:r>
      <w:r w:rsidR="005C63A7">
        <w:rPr>
          <w:rFonts w:hint="eastAsia"/>
          <w:lang w:val="en-US" w:eastAsia="zh-CN"/>
        </w:rPr>
        <w:t xml:space="preserve">[6, </w:t>
      </w:r>
      <w:r w:rsidR="005C63A7" w:rsidRPr="007A3016">
        <w:rPr>
          <w:lang w:val="en-US"/>
        </w:rPr>
        <w:t>TS</w:t>
      </w:r>
      <w:r w:rsidR="005C63A7">
        <w:rPr>
          <w:lang w:val="en-US"/>
        </w:rPr>
        <w:t xml:space="preserve"> </w:t>
      </w:r>
      <w:r w:rsidR="005C63A7" w:rsidRPr="007A3016">
        <w:rPr>
          <w:lang w:val="en-US"/>
        </w:rPr>
        <w:t>38.214]</w:t>
      </w:r>
      <w:r w:rsidR="005C63A7">
        <w:rPr>
          <w:rFonts w:hint="eastAsia"/>
          <w:lang w:val="en-US" w:eastAsia="zh-CN"/>
        </w:rPr>
        <w:t xml:space="preserve"> for CSI reporting</w:t>
      </w:r>
      <w:r w:rsidR="005C63A7">
        <w:rPr>
          <w:lang w:val="en-US"/>
        </w:rPr>
        <w:t xml:space="preserve"> </w:t>
      </w:r>
      <w:r w:rsidR="00363A21">
        <w:rPr>
          <w:lang w:val="en-US"/>
        </w:rPr>
        <w:t>and having</w:t>
      </w:r>
    </w:p>
    <w:p w14:paraId="7FF40F96" w14:textId="65E2817B" w:rsidR="00363A21" w:rsidRPr="0052316B" w:rsidRDefault="00363A21" w:rsidP="00363A21">
      <w:pPr>
        <w:pStyle w:val="B1"/>
      </w:pPr>
      <w:r>
        <w:rPr>
          <w:lang w:val="en-GB"/>
        </w:rPr>
        <w:t>-</w:t>
      </w:r>
      <w:r>
        <w:rPr>
          <w:lang w:val="en-GB"/>
        </w:rPr>
        <w:tab/>
        <w:t>an UL symbol</w:t>
      </w:r>
      <w:r w:rsidR="00497046">
        <w:t xml:space="preserve">, as described </w:t>
      </w:r>
      <w:r w:rsidR="006F5F9E">
        <w:t>in clause</w:t>
      </w:r>
      <w:r w:rsidR="00497046">
        <w:t xml:space="preserve"> 11.1,</w:t>
      </w:r>
      <w:r>
        <w:rPr>
          <w:lang w:val="en-GB"/>
        </w:rPr>
        <w:t xml:space="preserve"> or flexible symbol </w:t>
      </w:r>
      <w:r w:rsidR="00497046">
        <w:t>that is not SS/PBCH block symbol</w:t>
      </w:r>
      <w:r w:rsidR="00497046" w:rsidRPr="003054B5">
        <w:t xml:space="preserve"> </w:t>
      </w:r>
      <w:r w:rsidRPr="00B916EC">
        <w:t xml:space="preserve">provided by </w:t>
      </w:r>
      <w:r w:rsidRPr="00B916EC">
        <w:rPr>
          <w:i/>
        </w:rPr>
        <w:t>starting</w:t>
      </w:r>
      <w:r>
        <w:rPr>
          <w:i/>
          <w:lang w:val="en-US"/>
        </w:rPr>
        <w:t>S</w:t>
      </w:r>
      <w:r w:rsidRPr="00B916EC">
        <w:rPr>
          <w:i/>
        </w:rPr>
        <w:t>ymbol</w:t>
      </w:r>
      <w:r>
        <w:rPr>
          <w:i/>
          <w:lang w:val="en-US"/>
        </w:rPr>
        <w:t>Index</w:t>
      </w:r>
      <w:r>
        <w:rPr>
          <w:lang w:val="en-US"/>
        </w:rPr>
        <w:t xml:space="preserve"> as a first</w:t>
      </w:r>
      <w:r>
        <w:t xml:space="preserve"> symbol, and</w:t>
      </w:r>
    </w:p>
    <w:p w14:paraId="5106EDB2" w14:textId="1050AD61" w:rsidR="00363A21" w:rsidRPr="00B916EC" w:rsidRDefault="00363A21" w:rsidP="00363A21">
      <w:pPr>
        <w:pStyle w:val="B1"/>
      </w:pPr>
      <w:r>
        <w:t>-</w:t>
      </w:r>
      <w:r>
        <w:tab/>
        <w:t>consecutive UL symbols</w:t>
      </w:r>
      <w:r w:rsidR="00497046">
        <w:t xml:space="preserve">, as described </w:t>
      </w:r>
      <w:r w:rsidR="006F5F9E">
        <w:t>in clause</w:t>
      </w:r>
      <w:r w:rsidR="00497046">
        <w:t xml:space="preserve"> 11.1,</w:t>
      </w:r>
      <w:r>
        <w:rPr>
          <w:lang w:val="en-US"/>
        </w:rPr>
        <w:t xml:space="preserve"> </w:t>
      </w:r>
      <w:r>
        <w:rPr>
          <w:lang w:val="en-GB"/>
        </w:rPr>
        <w:t>or flexible symbols</w:t>
      </w:r>
      <w:r w:rsidR="00497046">
        <w:rPr>
          <w:lang w:val="en-GB"/>
        </w:rPr>
        <w:t xml:space="preserve"> </w:t>
      </w:r>
      <w:r w:rsidR="00497046">
        <w:t>that are not SS/PBCH block symbol</w:t>
      </w:r>
      <w:r w:rsidR="00497046">
        <w:rPr>
          <w:lang w:val="en-US"/>
        </w:rPr>
        <w:t>s</w:t>
      </w:r>
      <w:r>
        <w:t xml:space="preserve">, starting from the </w:t>
      </w:r>
      <w:r>
        <w:rPr>
          <w:lang w:val="en-US"/>
        </w:rPr>
        <w:t xml:space="preserve">first </w:t>
      </w:r>
      <w:r>
        <w:t xml:space="preserve">symbol, equal to </w:t>
      </w:r>
      <w:r>
        <w:rPr>
          <w:lang w:val="en-US"/>
        </w:rPr>
        <w:t xml:space="preserve">or larger than </w:t>
      </w:r>
      <w:r>
        <w:t>a number of symbols provided</w:t>
      </w:r>
      <w:r w:rsidRPr="00B916EC">
        <w:t xml:space="preserve"> </w:t>
      </w:r>
      <w:r>
        <w:rPr>
          <w:lang w:val="en-US"/>
        </w:rPr>
        <w:t xml:space="preserve">by </w:t>
      </w:r>
      <w:r>
        <w:rPr>
          <w:i/>
          <w:lang w:val="en-US"/>
        </w:rPr>
        <w:t>nr</w:t>
      </w:r>
      <w:r w:rsidRPr="00B916EC">
        <w:rPr>
          <w:i/>
        </w:rPr>
        <w:t>ofsymbols</w:t>
      </w:r>
    </w:p>
    <w:p w14:paraId="11D9976A" w14:textId="3C7EF825" w:rsidR="00363A21" w:rsidRDefault="00497046" w:rsidP="002A7FFD">
      <w:pPr>
        <w:rPr>
          <w:lang w:val="en-US"/>
        </w:rPr>
      </w:pPr>
      <w:r>
        <w:rPr>
          <w:lang w:val="en-US"/>
        </w:rPr>
        <w:t>For paired spectrum</w:t>
      </w:r>
      <w:r w:rsidR="00391714">
        <w:rPr>
          <w:lang w:val="en-US"/>
        </w:rPr>
        <w:t xml:space="preserve"> </w:t>
      </w:r>
      <w:r w:rsidR="00391714">
        <w:rPr>
          <w:rFonts w:eastAsia="DengXian"/>
          <w:lang w:val="en-US"/>
        </w:rPr>
        <w:t>or supplementary uplink band</w:t>
      </w:r>
      <w:r w:rsidR="00363A21">
        <w:rPr>
          <w:lang w:val="en-US"/>
        </w:rPr>
        <w:t xml:space="preserve">, the UE determines the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sidR="00363A21">
        <w:rPr>
          <w:lang w:val="en-US"/>
        </w:rPr>
        <w:t xml:space="preserve"> slots for a PUCCH transmission as the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sidR="00363A21">
        <w:rPr>
          <w:lang w:val="en-US"/>
        </w:rPr>
        <w:t xml:space="preserve"> consecutive slots starting from a slot indicated to the UE as described </w:t>
      </w:r>
      <w:r w:rsidR="006F5F9E">
        <w:rPr>
          <w:lang w:val="en-US"/>
        </w:rPr>
        <w:t>in clause</w:t>
      </w:r>
      <w:r w:rsidR="00363A21">
        <w:rPr>
          <w:lang w:val="en-US"/>
        </w:rPr>
        <w:t xml:space="preserve"> 9.2.3</w:t>
      </w:r>
      <w:r w:rsidR="005C63A7" w:rsidRPr="00E32099">
        <w:rPr>
          <w:rFonts w:hint="eastAsia"/>
          <w:lang w:val="en-US" w:eastAsia="zh-CN"/>
        </w:rPr>
        <w:t xml:space="preserve"> </w:t>
      </w:r>
      <w:r w:rsidR="005C63A7">
        <w:rPr>
          <w:rFonts w:hint="eastAsia"/>
          <w:lang w:val="en-US" w:eastAsia="zh-CN"/>
        </w:rPr>
        <w:t xml:space="preserve">for HARQ-ACK reporting, or a slot determined as described </w:t>
      </w:r>
      <w:r w:rsidR="006F5F9E">
        <w:rPr>
          <w:rFonts w:hint="eastAsia"/>
          <w:lang w:val="en-US" w:eastAsia="zh-CN"/>
        </w:rPr>
        <w:t>in clause</w:t>
      </w:r>
      <w:r w:rsidR="005C63A7">
        <w:rPr>
          <w:rFonts w:hint="eastAsia"/>
          <w:lang w:val="en-US" w:eastAsia="zh-CN"/>
        </w:rPr>
        <w:t xml:space="preserve"> 9.2.4</w:t>
      </w:r>
      <w:r w:rsidR="005C63A7" w:rsidRPr="00A5099F">
        <w:rPr>
          <w:rFonts w:hint="eastAsia"/>
          <w:lang w:val="en-US" w:eastAsia="zh-CN"/>
        </w:rPr>
        <w:t xml:space="preserve"> </w:t>
      </w:r>
      <w:r w:rsidR="005C63A7">
        <w:rPr>
          <w:rFonts w:hint="eastAsia"/>
          <w:lang w:val="en-US" w:eastAsia="zh-CN"/>
        </w:rPr>
        <w:t xml:space="preserve">for SR reporting or </w:t>
      </w:r>
      <w:r w:rsidR="006F5F9E">
        <w:rPr>
          <w:rFonts w:hint="eastAsia"/>
          <w:lang w:val="en-US" w:eastAsia="zh-CN"/>
        </w:rPr>
        <w:t>in clause</w:t>
      </w:r>
      <w:r w:rsidR="005C63A7">
        <w:rPr>
          <w:rFonts w:hint="eastAsia"/>
          <w:lang w:val="en-US" w:eastAsia="zh-CN"/>
        </w:rPr>
        <w:t xml:space="preserve"> 5.2.1.4 of</w:t>
      </w:r>
      <w:r w:rsidR="005C63A7" w:rsidRPr="007A3016">
        <w:rPr>
          <w:lang w:val="en-US"/>
        </w:rPr>
        <w:t xml:space="preserve"> </w:t>
      </w:r>
      <w:r w:rsidR="005C63A7">
        <w:rPr>
          <w:rFonts w:hint="eastAsia"/>
          <w:lang w:val="en-US" w:eastAsia="zh-CN"/>
        </w:rPr>
        <w:t xml:space="preserve">[6, </w:t>
      </w:r>
      <w:r w:rsidR="005C63A7" w:rsidRPr="007A3016">
        <w:rPr>
          <w:lang w:val="en-US"/>
        </w:rPr>
        <w:t>TS</w:t>
      </w:r>
      <w:r w:rsidR="005C63A7">
        <w:rPr>
          <w:lang w:val="en-US"/>
        </w:rPr>
        <w:t xml:space="preserve"> </w:t>
      </w:r>
      <w:r w:rsidR="005C63A7" w:rsidRPr="007A3016">
        <w:rPr>
          <w:lang w:val="en-US"/>
        </w:rPr>
        <w:t>38.214]</w:t>
      </w:r>
      <w:r w:rsidR="005C63A7">
        <w:rPr>
          <w:rFonts w:hint="eastAsia"/>
          <w:lang w:val="en-US" w:eastAsia="zh-CN"/>
        </w:rPr>
        <w:t xml:space="preserve"> for CSI reporting</w:t>
      </w:r>
      <w:r w:rsidR="00363A21" w:rsidRPr="00B916EC">
        <w:rPr>
          <w:lang w:val="en-US"/>
        </w:rPr>
        <w:t xml:space="preserve">. </w:t>
      </w:r>
    </w:p>
    <w:p w14:paraId="63927780" w14:textId="1D47EC56" w:rsidR="00497046" w:rsidRDefault="00497046" w:rsidP="002A7FFD">
      <w:pPr>
        <w:rPr>
          <w:lang w:val="en-US"/>
        </w:rPr>
      </w:pPr>
      <w:r>
        <w:rPr>
          <w:lang w:val="en-US"/>
        </w:rPr>
        <w:t xml:space="preserve">If a UE would transmit a PUCCH over a first number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r>
          <w:rPr>
            <w:rFonts w:ascii="Cambria Math" w:hAnsi="Cambria Math"/>
          </w:rPr>
          <m:t>&gt;1</m:t>
        </m:r>
      </m:oMath>
      <w:r>
        <w:rPr>
          <w:lang w:val="en-US"/>
        </w:rPr>
        <w:t xml:space="preserve"> of slots and the UE would transmit a PUSCH </w:t>
      </w:r>
      <w:r w:rsidR="00B17499">
        <w:rPr>
          <w:lang w:val="en-US"/>
        </w:rPr>
        <w:t xml:space="preserve">with repetition Type A </w:t>
      </w:r>
      <w:r w:rsidR="001F1430" w:rsidRPr="007558B5">
        <w:rPr>
          <w:lang w:val="en-US"/>
        </w:rPr>
        <w:t xml:space="preserve">or with TB processing over multiple slots </w:t>
      </w:r>
      <w:r>
        <w:rPr>
          <w:lang w:val="en-US"/>
        </w:rPr>
        <w:t xml:space="preserve">over a second number of slots, and the PUCCH transmission would overlap with the PUSCH transmission in one or more slots, and the conditions </w:t>
      </w:r>
      <w:r w:rsidR="006F5F9E">
        <w:rPr>
          <w:lang w:val="en-US"/>
        </w:rPr>
        <w:t>in clause</w:t>
      </w:r>
      <w:r>
        <w:rPr>
          <w:lang w:val="en-US"/>
        </w:rPr>
        <w:t xml:space="preserve"> 9.2.5 for multiplexing the UCI in the PUSCH are satisfied in the overlapping slots, the UE transmits the PUCCH and does not transmit the PUSCH in the overlapping slots.</w:t>
      </w:r>
    </w:p>
    <w:p w14:paraId="37C60EF3" w14:textId="278AFF60" w:rsidR="00B17499" w:rsidRDefault="00B17499" w:rsidP="00B17499">
      <w:pPr>
        <w:rPr>
          <w:lang w:val="en-US"/>
        </w:rPr>
      </w:pPr>
      <w:r>
        <w:rPr>
          <w:lang w:val="en-US"/>
        </w:rPr>
        <w:t xml:space="preserve">If a UE would transmit a PUCCH over a first number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r>
          <w:rPr>
            <w:rFonts w:ascii="Cambria Math" w:hAnsi="Cambria Math"/>
          </w:rPr>
          <m:t>&gt;1</m:t>
        </m:r>
      </m:oMath>
      <w:r>
        <w:rPr>
          <w:lang w:val="en-US"/>
        </w:rPr>
        <w:t xml:space="preserve"> of slots and the UE would transmit a PUSCH with repetition Type B over a second number of slots, and the PUCCH transmission would overlap with actual PUSCH repetitions in one or more slots, and the conditions </w:t>
      </w:r>
      <w:r w:rsidR="006F5F9E">
        <w:rPr>
          <w:lang w:val="en-US"/>
        </w:rPr>
        <w:t>in clause</w:t>
      </w:r>
      <w:r>
        <w:rPr>
          <w:lang w:val="en-US"/>
        </w:rPr>
        <w:t xml:space="preserve"> 9.2.5 for multiplexing the UCI in the PUSCH are satisfied for the overlapping actual PUSCH repetitions, the UE transmits the PUCCH and does not transmit the overlapping actual PUSCH repetitions.</w:t>
      </w:r>
    </w:p>
    <w:p w14:paraId="04FF59F9" w14:textId="6EA859C3" w:rsidR="00497046" w:rsidRDefault="00497046" w:rsidP="002A7FFD">
      <w:pPr>
        <w:rPr>
          <w:lang w:val="en-US"/>
        </w:rPr>
      </w:pPr>
      <w:r>
        <w:rPr>
          <w:lang w:val="en-US"/>
        </w:rPr>
        <w:t xml:space="preserve">A UE does not multiplex different UCI types in a PUCCH transmission with repetitions over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r>
          <w:rPr>
            <w:rFonts w:ascii="Cambria Math" w:hAnsi="Cambria Math"/>
          </w:rPr>
          <m:t>&gt;1</m:t>
        </m:r>
      </m:oMath>
      <w:r>
        <w:rPr>
          <w:lang w:val="en-US"/>
        </w:rPr>
        <w:t xml:space="preserve"> slots.</w:t>
      </w:r>
      <w:r w:rsidR="007361D1">
        <w:rPr>
          <w:lang w:val="en-US"/>
        </w:rPr>
        <w:t xml:space="preserve"> </w:t>
      </w:r>
      <w:r>
        <w:rPr>
          <w:lang w:val="en-US"/>
        </w:rPr>
        <w:t xml:space="preserve">If a UE would transmit a first PUCCH over </w:t>
      </w:r>
      <w:r w:rsidR="00622CB1">
        <w:rPr>
          <w:lang w:val="en-US"/>
        </w:rPr>
        <w:t>more than one</w:t>
      </w:r>
      <w:r>
        <w:rPr>
          <w:lang w:val="en-US"/>
        </w:rPr>
        <w:t xml:space="preserve"> slot and at least a second PUCCH over one or more slots, and the transmissions of the first PUCCH and the second PUCCH would overlap in a number of slots then, for </w:t>
      </w:r>
      <w:r w:rsidR="00074311">
        <w:rPr>
          <w:rFonts w:eastAsia="DengXian"/>
          <w:lang w:val="en-US"/>
        </w:rPr>
        <w:t xml:space="preserve">each slot of </w:t>
      </w:r>
      <w:r>
        <w:rPr>
          <w:lang w:val="en-US"/>
        </w:rPr>
        <w:t>the number of slots and with UCI type priority of HARQ-ACK &gt; SR &gt; CSI with higher priority &gt; CSI with lower priority</w:t>
      </w:r>
      <w:r w:rsidR="00C17DE3" w:rsidRPr="005F1BE1">
        <w:t xml:space="preserve">, the UE determines an earliest first PUCCH in a slot </w:t>
      </w:r>
      <w:r w:rsidR="00C17DE3" w:rsidRPr="009D444E">
        <w:t xml:space="preserve">with the order of earliest </w:t>
      </w:r>
      <w:r w:rsidR="00C17DE3">
        <w:t xml:space="preserve">starting </w:t>
      </w:r>
      <w:r w:rsidR="00C17DE3" w:rsidRPr="009D444E">
        <w:t>symbol followed by longest duration</w:t>
      </w:r>
      <w:r w:rsidR="00C17DE3" w:rsidRPr="00416C13">
        <w:t xml:space="preserve"> </w:t>
      </w:r>
      <w:r w:rsidR="00C17DE3" w:rsidRPr="009D444E">
        <w:t>and the second PUCCHs overlapping with the earliest first PUCCH, and</w:t>
      </w:r>
      <w:r w:rsidR="00C17DE3">
        <w:t xml:space="preserve"> then performs the following</w:t>
      </w:r>
    </w:p>
    <w:p w14:paraId="532B4B38" w14:textId="7C56B92F" w:rsidR="00497046" w:rsidRPr="005466F1" w:rsidRDefault="00497046" w:rsidP="00497046">
      <w:pPr>
        <w:pStyle w:val="B1"/>
      </w:pPr>
      <w:r>
        <w:rPr>
          <w:lang w:val="en-GB"/>
        </w:rPr>
        <w:t>-</w:t>
      </w:r>
      <w:r>
        <w:rPr>
          <w:lang w:val="en-GB"/>
        </w:rPr>
        <w:tab/>
      </w:r>
      <w:r>
        <w:t xml:space="preserve">the </w:t>
      </w:r>
      <w:r>
        <w:rPr>
          <w:lang w:val="en-US"/>
        </w:rPr>
        <w:t xml:space="preserve">UE does not expect </w:t>
      </w:r>
      <w:r w:rsidR="00C17DE3" w:rsidRPr="005F1BE1">
        <w:t xml:space="preserve">more than one PUCCH from </w:t>
      </w:r>
      <w:r>
        <w:rPr>
          <w:lang w:val="en-US"/>
        </w:rPr>
        <w:t xml:space="preserve">the first PUCCH and the second </w:t>
      </w:r>
      <w:r w:rsidR="00622CB1">
        <w:rPr>
          <w:lang w:val="en-US"/>
        </w:rPr>
        <w:t xml:space="preserve">PUCCHs </w:t>
      </w:r>
      <w:r>
        <w:rPr>
          <w:lang w:val="en-US"/>
        </w:rPr>
        <w:t>to start at a same slot and include a UCI type with same priority</w:t>
      </w:r>
      <w:r>
        <w:t xml:space="preserve"> </w:t>
      </w:r>
    </w:p>
    <w:p w14:paraId="3EF1922A" w14:textId="272267C5" w:rsidR="00497046" w:rsidRPr="0052316B" w:rsidRDefault="00497046" w:rsidP="00497046">
      <w:pPr>
        <w:pStyle w:val="B1"/>
      </w:pPr>
      <w:r>
        <w:rPr>
          <w:lang w:val="en-GB"/>
        </w:rPr>
        <w:t>-</w:t>
      </w:r>
      <w:r>
        <w:rPr>
          <w:lang w:val="en-GB"/>
        </w:rPr>
        <w:tab/>
      </w:r>
      <w:r>
        <w:t xml:space="preserve">if </w:t>
      </w:r>
      <w:r w:rsidR="00C17DE3" w:rsidRPr="005F1BE1">
        <w:t xml:space="preserve">more than one PUCCH from </w:t>
      </w:r>
      <w:r>
        <w:t>the first PUCCH and the second</w:t>
      </w:r>
      <w:r>
        <w:rPr>
          <w:lang w:val="en-US"/>
        </w:rPr>
        <w:t xml:space="preserve"> PUCCH</w:t>
      </w:r>
      <w:r w:rsidR="00622CB1">
        <w:rPr>
          <w:lang w:val="en-US"/>
        </w:rPr>
        <w:t>s</w:t>
      </w:r>
      <w:r>
        <w:rPr>
          <w:lang w:val="en-US"/>
        </w:rPr>
        <w:t xml:space="preserve"> include a UCI type with </w:t>
      </w:r>
      <w:r w:rsidR="00C17DE3">
        <w:rPr>
          <w:lang w:val="en-US"/>
        </w:rPr>
        <w:t xml:space="preserve">the </w:t>
      </w:r>
      <w:r>
        <w:rPr>
          <w:lang w:val="en-US"/>
        </w:rPr>
        <w:t xml:space="preserve">same </w:t>
      </w:r>
      <w:r w:rsidR="00C17DE3" w:rsidRPr="005F1BE1">
        <w:t xml:space="preserve">highest </w:t>
      </w:r>
      <w:r>
        <w:rPr>
          <w:lang w:val="en-US"/>
        </w:rPr>
        <w:t xml:space="preserve">priority, </w:t>
      </w:r>
      <w:r>
        <w:t xml:space="preserve">the </w:t>
      </w:r>
      <w:r>
        <w:rPr>
          <w:lang w:val="en-US"/>
        </w:rPr>
        <w:t xml:space="preserve">UE transmits the </w:t>
      </w:r>
      <w:r>
        <w:t xml:space="preserve">PUCCH </w:t>
      </w:r>
      <w:r w:rsidR="00C17DE3" w:rsidRPr="005F1BE1">
        <w:t xml:space="preserve">with the highest priority </w:t>
      </w:r>
      <w:r>
        <w:rPr>
          <w:lang w:val="en-US"/>
        </w:rPr>
        <w:t xml:space="preserve">starting at an </w:t>
      </w:r>
      <w:r w:rsidR="00C17DE3" w:rsidRPr="005F1BE1">
        <w:t>earlie</w:t>
      </w:r>
      <w:r w:rsidR="00C17DE3">
        <w:t>st</w:t>
      </w:r>
      <w:r>
        <w:rPr>
          <w:lang w:val="en-US"/>
        </w:rPr>
        <w:t xml:space="preserve"> slot and does not transmit the </w:t>
      </w:r>
      <w:r w:rsidR="00C17DE3" w:rsidRPr="005F1BE1">
        <w:t xml:space="preserve">other </w:t>
      </w:r>
      <w:r>
        <w:rPr>
          <w:lang w:val="en-US"/>
        </w:rPr>
        <w:t>PUCCH</w:t>
      </w:r>
      <w:r w:rsidR="00C17DE3">
        <w:rPr>
          <w:lang w:val="en-US"/>
        </w:rPr>
        <w:t>s, otherwise,</w:t>
      </w:r>
    </w:p>
    <w:p w14:paraId="54812189" w14:textId="360ABCAF" w:rsidR="00497046" w:rsidRDefault="00497046" w:rsidP="00497046">
      <w:pPr>
        <w:pStyle w:val="B1"/>
      </w:pPr>
      <w:r>
        <w:rPr>
          <w:lang w:val="en-GB"/>
        </w:rPr>
        <w:t>-</w:t>
      </w:r>
      <w:r>
        <w:rPr>
          <w:lang w:val="en-GB"/>
        </w:rPr>
        <w:tab/>
      </w:r>
      <w:r>
        <w:t xml:space="preserve">the </w:t>
      </w:r>
      <w:r>
        <w:rPr>
          <w:lang w:val="en-US"/>
        </w:rPr>
        <w:t xml:space="preserve">UE transmits the </w:t>
      </w:r>
      <w:r>
        <w:t xml:space="preserve">PUCCH </w:t>
      </w:r>
      <w:r>
        <w:rPr>
          <w:lang w:val="en-US"/>
        </w:rPr>
        <w:t xml:space="preserve">that includes the UCI type with </w:t>
      </w:r>
      <w:r w:rsidR="00C17DE3">
        <w:rPr>
          <w:lang w:val="en-US"/>
        </w:rPr>
        <w:t xml:space="preserve">the </w:t>
      </w:r>
      <w:r w:rsidR="00C17DE3" w:rsidRPr="005F1BE1">
        <w:t>highest</w:t>
      </w:r>
      <w:r w:rsidR="00C17DE3">
        <w:rPr>
          <w:lang w:val="en-US"/>
        </w:rPr>
        <w:t xml:space="preserve"> </w:t>
      </w:r>
      <w:r>
        <w:rPr>
          <w:lang w:val="en-US"/>
        </w:rPr>
        <w:t>priority and does not transmit the PUCCH</w:t>
      </w:r>
      <w:r w:rsidR="00C17DE3">
        <w:rPr>
          <w:lang w:val="en-US"/>
        </w:rPr>
        <w:t>s</w:t>
      </w:r>
      <w:r>
        <w:rPr>
          <w:lang w:val="en-US"/>
        </w:rPr>
        <w:t xml:space="preserve"> that include the UCI type with lower priority </w:t>
      </w:r>
    </w:p>
    <w:p w14:paraId="5EA636AA" w14:textId="77777777" w:rsidR="00C17DE3" w:rsidRDefault="00C17DE3" w:rsidP="009133F4">
      <w:r w:rsidRPr="00E17739">
        <w:t xml:space="preserve">The UE repeats the above procedure </w:t>
      </w:r>
      <w:r w:rsidRPr="005F1BE1">
        <w:t>until there is no PUCCH overlapping with a</w:t>
      </w:r>
      <w:r>
        <w:t>ny</w:t>
      </w:r>
      <w:r w:rsidRPr="005F1BE1">
        <w:t xml:space="preserve"> PUCCH with repetitions in the slot</w:t>
      </w:r>
      <w:r>
        <w:t>.</w:t>
      </w:r>
    </w:p>
    <w:p w14:paraId="72BEBF28" w14:textId="77777777" w:rsidR="00C80EBD" w:rsidRDefault="009133F4" w:rsidP="009133F4">
      <w:r w:rsidRPr="00F415B1">
        <w:lastRenderedPageBreak/>
        <w:t xml:space="preserve">When a PUCCH resource used for repetitions of a PUCCH transmission by a UE includes </w:t>
      </w:r>
    </w:p>
    <w:p w14:paraId="2360B2D1" w14:textId="1086AD29" w:rsidR="00C80EBD" w:rsidRDefault="00C80EBD" w:rsidP="00C80EBD">
      <w:pPr>
        <w:pStyle w:val="B1"/>
      </w:pPr>
      <w:r>
        <w:t>-</w:t>
      </w:r>
      <w:r>
        <w:tab/>
      </w:r>
      <w:r w:rsidR="009133F4" w:rsidRPr="00F415B1">
        <w:t>first and second spatial settings, or first and second sets of power control parameters, as described in</w:t>
      </w:r>
      <w:r w:rsidR="009133F4" w:rsidRPr="00F415B1">
        <w:rPr>
          <w:iCs/>
          <w:lang w:val="en-US"/>
        </w:rPr>
        <w:t xml:space="preserve"> </w:t>
      </w:r>
      <w:r w:rsidR="009133F4" w:rsidRPr="00F415B1">
        <w:t>[11, TS 38.321] and in clause</w:t>
      </w:r>
      <w:r>
        <w:t>s 7 and</w:t>
      </w:r>
      <w:r w:rsidR="009133F4" w:rsidRPr="00F415B1">
        <w:t xml:space="preserve"> 7.2.1, </w:t>
      </w:r>
      <w:r>
        <w:t>or</w:t>
      </w:r>
    </w:p>
    <w:p w14:paraId="4D5D7242" w14:textId="2213B27C" w:rsidR="00950A9B" w:rsidRPr="00950A9B" w:rsidRDefault="00950A9B" w:rsidP="00950A9B">
      <w:pPr>
        <w:pStyle w:val="B1"/>
      </w:pPr>
      <w:r>
        <w:t>-</w:t>
      </w:r>
      <w:r>
        <w:tab/>
      </w:r>
      <w:r w:rsidRPr="00950A9B">
        <w:t xml:space="preserve">first and second </w:t>
      </w:r>
      <w:r w:rsidRPr="00950A9B">
        <w:rPr>
          <w:i/>
          <w:iCs/>
        </w:rPr>
        <w:t>TCI-State</w:t>
      </w:r>
      <w:r w:rsidRPr="00950A9B">
        <w:t xml:space="preserve"> or</w:t>
      </w:r>
      <w:r w:rsidRPr="00950A9B">
        <w:rPr>
          <w:i/>
          <w:iCs/>
        </w:rPr>
        <w:t xml:space="preserve"> TCI-UL-State </w:t>
      </w:r>
      <w:r w:rsidRPr="00950A9B">
        <w:t>and</w:t>
      </w:r>
      <w:r w:rsidRPr="00950A9B">
        <w:rPr>
          <w:i/>
          <w:iCs/>
        </w:rPr>
        <w:t xml:space="preserve"> apply-IndicatedTCIState</w:t>
      </w:r>
      <w:r w:rsidRPr="00950A9B">
        <w:t xml:space="preserve"> = 'both', and the PUCCH resource does not include </w:t>
      </w:r>
      <w:r w:rsidRPr="00950A9B">
        <w:rPr>
          <w:i/>
          <w:iCs/>
        </w:rPr>
        <w:t>multipanelSFN-Scheme</w:t>
      </w:r>
    </w:p>
    <w:p w14:paraId="3EEA9DCE" w14:textId="15817B37" w:rsidR="009133F4" w:rsidRPr="00F415B1" w:rsidRDefault="009133F4" w:rsidP="009133F4">
      <w:r w:rsidRPr="00F415B1">
        <w:t>the UE</w:t>
      </w:r>
    </w:p>
    <w:p w14:paraId="49B4C951" w14:textId="5F894A89" w:rsidR="009133F4" w:rsidRPr="00F415B1" w:rsidRDefault="009133F4" w:rsidP="009133F4">
      <w:pPr>
        <w:pStyle w:val="B1"/>
        <w:rPr>
          <w:lang w:val="en-US"/>
        </w:rPr>
      </w:pPr>
      <w:r w:rsidRPr="00F415B1">
        <w:rPr>
          <w:lang w:val="en-GB"/>
        </w:rPr>
        <w:t>-</w:t>
      </w:r>
      <w:r w:rsidRPr="00F415B1">
        <w:rPr>
          <w:lang w:val="en-GB"/>
        </w:rPr>
        <w:tab/>
      </w:r>
      <w:r w:rsidRPr="00F415B1">
        <w:rPr>
          <w:lang w:val="en-US"/>
        </w:rPr>
        <w:t>uses the first and second spatial settings</w:t>
      </w:r>
      <w:r w:rsidR="00C80EBD">
        <w:rPr>
          <w:lang w:val="en-US"/>
        </w:rPr>
        <w:t xml:space="preserve"> or the </w:t>
      </w:r>
      <w:r w:rsidR="00C80EBD" w:rsidRPr="00F415B1">
        <w:t>first and second</w:t>
      </w:r>
      <w:r w:rsidR="00C80EBD">
        <w:t xml:space="preserve"> indicated</w:t>
      </w:r>
      <w:r w:rsidR="00C80EBD" w:rsidRPr="00F415B1">
        <w:t xml:space="preserve"> </w:t>
      </w:r>
      <w:r w:rsidR="00C80EBD" w:rsidRPr="0031389C">
        <w:rPr>
          <w:i/>
          <w:iCs/>
          <w:lang w:val="en-US"/>
        </w:rPr>
        <w:t>TCI-State</w:t>
      </w:r>
      <w:r w:rsidR="00C80EBD" w:rsidRPr="00960C65">
        <w:rPr>
          <w:lang w:val="en-US"/>
        </w:rPr>
        <w:t xml:space="preserve"> or</w:t>
      </w:r>
      <w:r w:rsidR="00C80EBD">
        <w:rPr>
          <w:i/>
          <w:iCs/>
          <w:lang w:val="en-US"/>
        </w:rPr>
        <w:t xml:space="preserve"> </w:t>
      </w:r>
      <w:r w:rsidR="00C80EBD" w:rsidRPr="0031389C">
        <w:rPr>
          <w:i/>
          <w:iCs/>
          <w:lang w:val="en-US"/>
        </w:rPr>
        <w:t>TCI-UL-State</w:t>
      </w:r>
      <w:r w:rsidRPr="00F415B1">
        <w:rPr>
          <w:lang w:val="en-US"/>
        </w:rPr>
        <w:t xml:space="preserve">, or the </w:t>
      </w:r>
      <w:r w:rsidRPr="00F415B1">
        <w:t>first and second sets of power control parameters</w:t>
      </w:r>
      <w:r w:rsidRPr="00F415B1">
        <w:rPr>
          <w:lang w:val="en-US"/>
        </w:rPr>
        <w:t xml:space="preserve">, for first and second repetitions of the PUCCH transmission, respectively, when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r>
          <w:rPr>
            <w:rFonts w:ascii="Cambria Math" w:hAnsi="Cambria Math"/>
          </w:rPr>
          <m:t>=2</m:t>
        </m:r>
      </m:oMath>
      <w:r w:rsidRPr="00F415B1">
        <w:rPr>
          <w:lang w:val="en-US"/>
        </w:rPr>
        <w:t>,</w:t>
      </w:r>
    </w:p>
    <w:p w14:paraId="379C0E54" w14:textId="3A8846B7" w:rsidR="009133F4" w:rsidRPr="00F415B1" w:rsidRDefault="009133F4" w:rsidP="009133F4">
      <w:pPr>
        <w:pStyle w:val="B1"/>
        <w:rPr>
          <w:lang w:val="en-US"/>
        </w:rPr>
      </w:pPr>
      <w:r w:rsidRPr="00F415B1">
        <w:rPr>
          <w:lang w:val="en-GB"/>
        </w:rPr>
        <w:t>-</w:t>
      </w:r>
      <w:r w:rsidRPr="00F415B1">
        <w:rPr>
          <w:lang w:val="en-GB"/>
        </w:rPr>
        <w:tab/>
      </w:r>
      <w:r w:rsidRPr="00F415B1">
        <w:t>alternates between the first and second spatial setting</w:t>
      </w:r>
      <w:r w:rsidRPr="00F415B1">
        <w:rPr>
          <w:lang w:val="en-US"/>
        </w:rPr>
        <w:t>s</w:t>
      </w:r>
      <w:r w:rsidR="00C80EBD">
        <w:rPr>
          <w:lang w:val="en-US"/>
        </w:rPr>
        <w:t xml:space="preserve"> or between the </w:t>
      </w:r>
      <w:r w:rsidR="00C80EBD" w:rsidRPr="00F415B1">
        <w:t>first and second</w:t>
      </w:r>
      <w:r w:rsidR="00C80EBD">
        <w:t xml:space="preserve"> indicated</w:t>
      </w:r>
      <w:r w:rsidR="00C80EBD" w:rsidRPr="00F415B1">
        <w:t xml:space="preserve"> </w:t>
      </w:r>
      <w:r w:rsidR="00C80EBD" w:rsidRPr="0031389C">
        <w:rPr>
          <w:i/>
          <w:iCs/>
          <w:lang w:val="en-US"/>
        </w:rPr>
        <w:t>TCI-State</w:t>
      </w:r>
      <w:r w:rsidR="00C80EBD" w:rsidRPr="00960C65">
        <w:rPr>
          <w:lang w:val="en-US"/>
        </w:rPr>
        <w:t xml:space="preserve"> or</w:t>
      </w:r>
      <w:r w:rsidR="00C80EBD">
        <w:rPr>
          <w:i/>
          <w:iCs/>
          <w:lang w:val="en-US"/>
        </w:rPr>
        <w:t xml:space="preserve"> </w:t>
      </w:r>
      <w:r w:rsidR="00C80EBD" w:rsidRPr="0031389C">
        <w:rPr>
          <w:i/>
          <w:iCs/>
          <w:lang w:val="en-US"/>
        </w:rPr>
        <w:t>TCI-UL-State</w:t>
      </w:r>
      <w:r w:rsidRPr="00F415B1">
        <w:rPr>
          <w:lang w:val="en-US"/>
        </w:rPr>
        <w:t xml:space="preserve">, or between the </w:t>
      </w:r>
      <w:r w:rsidRPr="00F415B1">
        <w:t>first and second sets of power control parameters</w:t>
      </w:r>
      <w:r w:rsidRPr="00F415B1">
        <w:rPr>
          <w:lang w:val="en-US"/>
        </w:rPr>
        <w:t xml:space="preserve">, respectively, per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w:rPr>
                <w:lang w:val="en-US"/>
              </w:rPr>
              <m:t>switch</m:t>
            </m:r>
          </m:sup>
        </m:sSubSup>
      </m:oMath>
      <w:r w:rsidRPr="00F415B1">
        <w:rPr>
          <w:lang w:val="en-US"/>
        </w:rPr>
        <w:t xml:space="preserve"> repetitions of the PUCCH transmission, where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w:rPr>
                <w:lang w:val="en-US"/>
              </w:rPr>
              <m:t>switch</m:t>
            </m:r>
          </m:sup>
        </m:sSubSup>
        <m:r>
          <w:rPr>
            <w:rFonts w:ascii="Cambria Math" w:hAnsi="Cambria Math"/>
          </w:rPr>
          <m:t>=1</m:t>
        </m:r>
      </m:oMath>
      <w:r w:rsidRPr="00F415B1">
        <w:rPr>
          <w:lang w:val="en-US"/>
        </w:rPr>
        <w:t xml:space="preserve"> if </w:t>
      </w:r>
      <w:r w:rsidRPr="00F415B1">
        <w:rPr>
          <w:i/>
          <w:iCs/>
          <w:lang w:val="en-US"/>
        </w:rPr>
        <w:t>m</w:t>
      </w:r>
      <w:r w:rsidRPr="00F415B1">
        <w:rPr>
          <w:i/>
          <w:iCs/>
        </w:rPr>
        <w:t>apping</w:t>
      </w:r>
      <w:r w:rsidRPr="00F415B1">
        <w:rPr>
          <w:i/>
          <w:iCs/>
          <w:lang w:val="en-US"/>
        </w:rPr>
        <w:t>Pattern</w:t>
      </w:r>
      <w:r w:rsidRPr="00F415B1">
        <w:t xml:space="preserve"> = </w:t>
      </w:r>
      <w:r w:rsidR="005E3B15">
        <w:t>'</w:t>
      </w:r>
      <w:r w:rsidRPr="00F415B1">
        <w:t>cyclic</w:t>
      </w:r>
      <w:r w:rsidRPr="00F415B1">
        <w:rPr>
          <w:lang w:val="en-US"/>
        </w:rPr>
        <w:t>Mapping</w:t>
      </w:r>
      <w:r w:rsidR="005E3B15">
        <w:t>'</w:t>
      </w:r>
      <w:r w:rsidRPr="00F415B1">
        <w:rPr>
          <w:lang w:val="en-US"/>
        </w:rPr>
        <w:t xml:space="preserve">; else,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w:rPr>
                <w:lang w:val="en-US"/>
              </w:rPr>
              <m:t>switch</m:t>
            </m:r>
          </m:sup>
        </m:sSubSup>
        <m:r>
          <w:rPr>
            <w:rFonts w:ascii="Cambria Math" w:hAnsi="Cambria Math"/>
          </w:rPr>
          <m:t>=2</m:t>
        </m:r>
      </m:oMath>
      <w:r w:rsidRPr="00F415B1">
        <w:rPr>
          <w:lang w:val="en-US"/>
        </w:rPr>
        <w:t>.</w:t>
      </w:r>
    </w:p>
    <w:p w14:paraId="78F05B29" w14:textId="64FC3EF8" w:rsidR="00497046" w:rsidRDefault="00497046" w:rsidP="00497046">
      <w:r w:rsidRPr="00D3237C">
        <w:t>A UE does not expect a PU</w:t>
      </w:r>
      <w:r>
        <w:t>CCH</w:t>
      </w:r>
      <w:r w:rsidRPr="00D3237C">
        <w:t xml:space="preserve"> that is in response to a DCI format detection to overlap with any other PUCCH that does not satisfy the </w:t>
      </w:r>
      <w:r>
        <w:t xml:space="preserve">corresponding </w:t>
      </w:r>
      <w:r w:rsidRPr="00D3237C">
        <w:t>timing conditions</w:t>
      </w:r>
      <w:r>
        <w:t xml:space="preserve"> </w:t>
      </w:r>
      <w:r w:rsidR="006F5F9E">
        <w:t>in clause</w:t>
      </w:r>
      <w:r>
        <w:t xml:space="preserve"> 9.2.5</w:t>
      </w:r>
      <w:r w:rsidRPr="00D3237C">
        <w:t>.</w:t>
      </w:r>
    </w:p>
    <w:p w14:paraId="7CF7C86B" w14:textId="77777777" w:rsidR="00B51B2F" w:rsidRDefault="00497046" w:rsidP="00B51B2F">
      <w:pPr>
        <w:rPr>
          <w:lang w:val="en-US"/>
        </w:rPr>
      </w:pPr>
      <w:r>
        <w:rPr>
          <w:lang w:val="en-US"/>
        </w:rPr>
        <w:t xml:space="preserve">If a UE would transmit a PUCCH over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Pr>
          <w:lang w:val="en-US"/>
        </w:rPr>
        <w:t xml:space="preserve"> slots and the UE does not transmit the PUCCH in a slot from the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Pr>
          <w:lang w:val="en-US"/>
        </w:rPr>
        <w:t xml:space="preserve"> slots due to overlapping with another PUCCH transmission in the slot, the UE counts the slot in the number of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Pr>
          <w:lang w:val="en-US"/>
        </w:rPr>
        <w:t xml:space="preserve"> slots.</w:t>
      </w:r>
    </w:p>
    <w:p w14:paraId="37E61E4B" w14:textId="409CECB9" w:rsidR="00497046" w:rsidRDefault="00B51B2F" w:rsidP="00DE1E44">
      <w:pPr>
        <w:rPr>
          <w:lang w:val="en-US"/>
        </w:rPr>
      </w:pPr>
      <w:r>
        <w:rPr>
          <w:lang w:val="en-US"/>
        </w:rPr>
        <w:t xml:space="preserve">For DAPS operation, if a UE would transmit a PUCCH over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Pr>
          <w:lang w:val="en-US"/>
        </w:rPr>
        <w:t xml:space="preserve"> slots on</w:t>
      </w:r>
      <w:r w:rsidRPr="00C549EB">
        <w:t xml:space="preserve"> the source MCG and the UE does not transmit the PUCCH in a slot from</w:t>
      </w:r>
      <w:r>
        <w:t xml:space="preserve"> the</w:t>
      </w:r>
      <w:r w:rsidR="00C80EBD">
        <w:t xml:space="preserve">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sidRPr="00C549EB">
        <w:t xml:space="preserve"> slots due to overlapping in time with </w:t>
      </w:r>
      <w:r>
        <w:t>UE</w:t>
      </w:r>
      <w:r w:rsidRPr="00C549EB">
        <w:t xml:space="preserve"> transmission </w:t>
      </w:r>
      <w:r>
        <w:t>on</w:t>
      </w:r>
      <w:r w:rsidRPr="00C549EB">
        <w:t xml:space="preserve"> the target MCG in the slot</w:t>
      </w:r>
      <w:r>
        <w:t xml:space="preserve">, </w:t>
      </w:r>
      <w:r w:rsidRPr="00C549EB">
        <w:t xml:space="preserve">the UE counts the slot in the number of </w:t>
      </w:r>
      <m:oMath>
        <m:sSubSup>
          <m:sSubSupPr>
            <m:ctrlPr>
              <w:rPr>
                <w:rFonts w:ascii="Cambria Math" w:hAnsi="Cambria Math"/>
              </w:rPr>
            </m:ctrlPr>
          </m:sSubSupPr>
          <m:e>
            <m:r>
              <w:rPr>
                <w:rFonts w:ascii="Cambria Math" w:hAnsi="Cambria Math"/>
              </w:rPr>
              <m:t>N</m:t>
            </m:r>
          </m:e>
          <m:sub>
            <m:r>
              <m:rPr>
                <m:nor/>
              </m:rPr>
              <w:rPr>
                <w:rFonts w:ascii="Cambria Math"/>
              </w:rPr>
              <m:t>PUCCH</m:t>
            </m:r>
          </m:sub>
          <m:sup>
            <m:r>
              <m:rPr>
                <m:nor/>
              </m:rPr>
              <m:t>repeat</m:t>
            </m:r>
          </m:sup>
        </m:sSubSup>
      </m:oMath>
      <w:r w:rsidRPr="00C549EB">
        <w:t xml:space="preserve"> slots</w:t>
      </w:r>
      <w:r>
        <w:t>.</w:t>
      </w:r>
    </w:p>
    <w:p w14:paraId="1224FA64" w14:textId="77777777" w:rsidR="00F37E87" w:rsidRPr="00B916EC" w:rsidRDefault="00F37E87" w:rsidP="00F37E87">
      <w:pPr>
        <w:pStyle w:val="Heading2"/>
        <w:ind w:left="1136" w:hanging="1136"/>
        <w:rPr>
          <w:szCs w:val="32"/>
        </w:rPr>
      </w:pPr>
      <w:bookmarkStart w:id="626" w:name="_Ref497053963"/>
      <w:bookmarkStart w:id="627" w:name="_Toc12021484"/>
      <w:bookmarkStart w:id="628" w:name="_Toc20311596"/>
      <w:bookmarkStart w:id="629" w:name="_Toc26719421"/>
      <w:bookmarkStart w:id="630" w:name="_Toc29894856"/>
      <w:bookmarkStart w:id="631" w:name="_Toc29899155"/>
      <w:bookmarkStart w:id="632" w:name="_Toc29899573"/>
      <w:bookmarkStart w:id="633" w:name="_Toc29917310"/>
      <w:bookmarkStart w:id="634" w:name="_Toc36498184"/>
      <w:bookmarkStart w:id="635" w:name="_Toc45699211"/>
      <w:bookmarkStart w:id="636" w:name="_Toc161999140"/>
      <w:r w:rsidRPr="00B916EC">
        <w:t>9.</w:t>
      </w:r>
      <w:r w:rsidR="008B1BCD" w:rsidRPr="00B916EC">
        <w:t>3</w:t>
      </w:r>
      <w:r w:rsidRPr="00B916EC">
        <w:rPr>
          <w:rFonts w:hint="eastAsia"/>
        </w:rPr>
        <w:tab/>
      </w:r>
      <w:r w:rsidR="008B1BCD" w:rsidRPr="00B916EC">
        <w:rPr>
          <w:szCs w:val="32"/>
        </w:rPr>
        <w:t>UCI</w:t>
      </w:r>
      <w:r w:rsidRPr="00B916EC">
        <w:rPr>
          <w:szCs w:val="32"/>
        </w:rPr>
        <w:t xml:space="preserve"> reporting </w:t>
      </w:r>
      <w:r w:rsidR="008B1BCD" w:rsidRPr="00B916EC">
        <w:rPr>
          <w:szCs w:val="32"/>
        </w:rPr>
        <w:t>in physical uplink shared channel</w:t>
      </w:r>
      <w:bookmarkEnd w:id="626"/>
      <w:bookmarkEnd w:id="627"/>
      <w:bookmarkEnd w:id="628"/>
      <w:bookmarkEnd w:id="629"/>
      <w:bookmarkEnd w:id="630"/>
      <w:bookmarkEnd w:id="631"/>
      <w:bookmarkEnd w:id="632"/>
      <w:bookmarkEnd w:id="633"/>
      <w:bookmarkEnd w:id="634"/>
      <w:bookmarkEnd w:id="635"/>
      <w:bookmarkEnd w:id="636"/>
    </w:p>
    <w:p w14:paraId="2FA68B52" w14:textId="10D00518" w:rsidR="008B1BCD" w:rsidRPr="00B916EC" w:rsidRDefault="008B1BCD" w:rsidP="008B1BCD">
      <w:r w:rsidRPr="00B916EC">
        <w:t xml:space="preserve">Offset values are defined for </w:t>
      </w:r>
      <w:r w:rsidR="00FD31B1" w:rsidRPr="00B916EC">
        <w:t>a</w:t>
      </w:r>
      <w:r w:rsidRPr="00B916EC">
        <w:t xml:space="preserve"> UE to determine a number of resources for multiplexing HARQ-ACK</w:t>
      </w:r>
      <w:r w:rsidR="0063299D" w:rsidRPr="0063299D">
        <w:t xml:space="preserve"> </w:t>
      </w:r>
      <w:r w:rsidR="0063299D">
        <w:t>information</w:t>
      </w:r>
      <w:r w:rsidRPr="00B916EC">
        <w:t xml:space="preserve"> </w:t>
      </w:r>
      <w:r w:rsidR="00FD31B1" w:rsidRPr="00B916EC">
        <w:t>and for</w:t>
      </w:r>
      <w:r w:rsidRPr="00B916EC">
        <w:t xml:space="preserve"> multiplexing CSI</w:t>
      </w:r>
      <w:r w:rsidR="00F57B51" w:rsidRPr="00F57B51">
        <w:rPr>
          <w:lang w:eastAsia="zh-CN"/>
        </w:rPr>
        <w:t xml:space="preserve"> </w:t>
      </w:r>
      <w:r w:rsidR="00F57B51">
        <w:rPr>
          <w:lang w:eastAsia="zh-CN"/>
        </w:rPr>
        <w:t>reports</w:t>
      </w:r>
      <w:r w:rsidRPr="00B916EC">
        <w:t xml:space="preserve"> in a PUSCH. </w:t>
      </w:r>
      <w:r w:rsidR="003B1DCC">
        <w:t>Offset values are also defined for multiplexing CG-UCI</w:t>
      </w:r>
      <w:r w:rsidR="002435FA">
        <w:t xml:space="preserve"> or UTO-UCI</w:t>
      </w:r>
      <w:r w:rsidR="003B1DCC">
        <w:t xml:space="preserve"> [5, TS 38.212] in a CG-PUSCH. </w:t>
      </w:r>
      <w:r w:rsidRPr="00B916EC">
        <w:t>The offset values are signalled to a UE either by a DCI format scheduling the PUSCH transmission or by higher layers.</w:t>
      </w:r>
    </w:p>
    <w:p w14:paraId="233B9D16" w14:textId="59C87C94" w:rsidR="000F01B5" w:rsidRDefault="000F01B5" w:rsidP="000F01B5">
      <w:r w:rsidRPr="00B916EC">
        <w:t xml:space="preserve">If </w:t>
      </w:r>
      <w:r w:rsidR="007E7DE5">
        <w:t xml:space="preserve">a </w:t>
      </w:r>
      <w:r>
        <w:t>DCI format that does not include a beta_</w:t>
      </w:r>
      <w:r w:rsidRPr="00B916EC">
        <w:t>offset indicator field</w:t>
      </w:r>
      <w:r>
        <w:t xml:space="preserve"> schedules </w:t>
      </w:r>
      <w:r w:rsidRPr="00B916EC">
        <w:t xml:space="preserve">the PUSCH transmission </w:t>
      </w:r>
      <w:r>
        <w:t>from the UE</w:t>
      </w:r>
      <w:r w:rsidR="00074311">
        <w:t xml:space="preserve"> and the UE is provided </w:t>
      </w:r>
      <w:r w:rsidR="00074311">
        <w:rPr>
          <w:i/>
        </w:rPr>
        <w:t>betaOffsets</w:t>
      </w:r>
      <w:r w:rsidR="00074311">
        <w:rPr>
          <w:i/>
          <w:lang w:eastAsia="zh-CN"/>
        </w:rPr>
        <w:t xml:space="preserve"> = '</w:t>
      </w:r>
      <w:r w:rsidR="00074311">
        <w:rPr>
          <w:i/>
          <w:iCs/>
        </w:rPr>
        <w:t>semiStatic'</w:t>
      </w:r>
      <w:r w:rsidR="00664302" w:rsidRPr="00181701">
        <w:rPr>
          <w:rFonts w:hint="eastAsia"/>
          <w:iCs/>
          <w:lang w:eastAsia="zh-CN"/>
        </w:rPr>
        <w:t xml:space="preserve"> </w:t>
      </w:r>
      <w:r w:rsidR="00664302" w:rsidRPr="001A24A9">
        <w:rPr>
          <w:rFonts w:hint="eastAsia"/>
          <w:iCs/>
          <w:lang w:eastAsia="zh-CN"/>
        </w:rPr>
        <w:t xml:space="preserve">or </w:t>
      </w:r>
      <w:r w:rsidR="00664302">
        <w:rPr>
          <w:i/>
        </w:rPr>
        <w:t>betaOffsets</w:t>
      </w:r>
      <w:r w:rsidR="00664302" w:rsidRPr="00E63729">
        <w:rPr>
          <w:i/>
        </w:rPr>
        <w:t>DCI-0-2</w:t>
      </w:r>
      <w:r w:rsidR="00664302">
        <w:rPr>
          <w:i/>
          <w:lang w:eastAsia="zh-CN"/>
        </w:rPr>
        <w:t xml:space="preserve"> = '</w:t>
      </w:r>
      <w:r w:rsidR="00664302">
        <w:rPr>
          <w:i/>
          <w:iCs/>
        </w:rPr>
        <w:t>semiStatic</w:t>
      </w:r>
      <w:r w:rsidR="00664302" w:rsidRPr="00E63729">
        <w:rPr>
          <w:i/>
        </w:rPr>
        <w:t>DCI-0-2</w:t>
      </w:r>
      <w:r w:rsidR="00664302">
        <w:rPr>
          <w:i/>
          <w:iCs/>
        </w:rPr>
        <w:t>'</w:t>
      </w:r>
      <w:r w:rsidRPr="00B916EC">
        <w:t xml:space="preserve">, the UE applies the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HARQ-ACK</m:t>
            </m:r>
          </m:sup>
        </m:sSubSup>
      </m:oMath>
      <w:r>
        <w:t>,</w:t>
      </w:r>
      <w:r w:rsidRPr="00B916EC">
        <w:t xml:space="preserve">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CSI-1</m:t>
            </m:r>
          </m:sup>
        </m:sSubSup>
      </m:oMath>
      <w:r>
        <w:t>,</w:t>
      </w:r>
      <w:r w:rsidRPr="00B916EC">
        <w:t xml:space="preserve"> and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CSI-2</m:t>
            </m:r>
          </m:sup>
        </m:sSubSup>
      </m:oMath>
      <w:r w:rsidRPr="00B916EC">
        <w:t xml:space="preserve"> values that are </w:t>
      </w:r>
      <w:r w:rsidR="00074311">
        <w:t>provided</w:t>
      </w:r>
      <w:r w:rsidRPr="00B916EC">
        <w:t xml:space="preserve"> by </w:t>
      </w:r>
      <w:r w:rsidR="00074311">
        <w:rPr>
          <w:i/>
        </w:rPr>
        <w:t>betaOffsets</w:t>
      </w:r>
      <w:r w:rsidR="00074311">
        <w:rPr>
          <w:i/>
          <w:lang w:eastAsia="zh-CN"/>
        </w:rPr>
        <w:t xml:space="preserve"> = </w:t>
      </w:r>
      <w:r w:rsidR="00074311">
        <w:rPr>
          <w:i/>
          <w:iCs/>
          <w:lang w:eastAsia="zh-CN"/>
        </w:rPr>
        <w:t>'</w:t>
      </w:r>
      <w:r w:rsidR="00074311">
        <w:rPr>
          <w:i/>
          <w:iCs/>
        </w:rPr>
        <w:t>semiStatic</w:t>
      </w:r>
      <w:r w:rsidR="00074311">
        <w:rPr>
          <w:i/>
          <w:iCs/>
          <w:lang w:eastAsia="zh-CN"/>
        </w:rPr>
        <w:t>'</w:t>
      </w:r>
      <w:r w:rsidRPr="00B916EC">
        <w:t xml:space="preserve"> </w:t>
      </w:r>
      <w:r w:rsidR="00664302">
        <w:rPr>
          <w:rFonts w:hint="eastAsia"/>
          <w:lang w:eastAsia="zh-CN"/>
        </w:rPr>
        <w:t xml:space="preserve">for </w:t>
      </w:r>
      <w:r w:rsidR="00664302" w:rsidRPr="003A3AD4">
        <w:t>DCI formats 0_0/0_1</w:t>
      </w:r>
      <w:r w:rsidR="001E45F5">
        <w:t>/0_3</w:t>
      </w:r>
      <w:r w:rsidR="00664302" w:rsidRPr="003A3AD4">
        <w:t xml:space="preserve"> </w:t>
      </w:r>
      <w:r w:rsidR="00664302">
        <w:rPr>
          <w:rFonts w:hint="eastAsia"/>
          <w:lang w:eastAsia="zh-CN"/>
        </w:rPr>
        <w:t>or</w:t>
      </w:r>
      <w:r w:rsidR="00664302" w:rsidRPr="003A3AD4">
        <w:t xml:space="preserve"> by </w:t>
      </w:r>
      <w:r w:rsidR="00664302">
        <w:rPr>
          <w:i/>
        </w:rPr>
        <w:t>betaOffsets</w:t>
      </w:r>
      <w:r w:rsidR="00664302" w:rsidRPr="00E63729">
        <w:rPr>
          <w:i/>
        </w:rPr>
        <w:t>DCI-0-2</w:t>
      </w:r>
      <w:r w:rsidR="00664302">
        <w:rPr>
          <w:i/>
          <w:lang w:eastAsia="zh-CN"/>
        </w:rPr>
        <w:t xml:space="preserve"> = '</w:t>
      </w:r>
      <w:r w:rsidR="00664302">
        <w:rPr>
          <w:i/>
          <w:iCs/>
        </w:rPr>
        <w:t>semiStatic</w:t>
      </w:r>
      <w:r w:rsidR="00664302" w:rsidRPr="00E63729">
        <w:rPr>
          <w:i/>
        </w:rPr>
        <w:t>DCI-0-2</w:t>
      </w:r>
      <w:r w:rsidR="00664302">
        <w:rPr>
          <w:i/>
          <w:iCs/>
        </w:rPr>
        <w:t>'</w:t>
      </w:r>
      <w:r w:rsidR="00664302">
        <w:rPr>
          <w:rFonts w:hint="eastAsia"/>
          <w:i/>
          <w:iCs/>
          <w:lang w:eastAsia="zh-CN"/>
        </w:rPr>
        <w:t xml:space="preserve"> </w:t>
      </w:r>
      <w:r w:rsidR="00664302" w:rsidRPr="003A3AD4">
        <w:t>for DCI format 0_2</w:t>
      </w:r>
      <w:r w:rsidR="00664302">
        <w:rPr>
          <w:rFonts w:hint="eastAsia"/>
          <w:lang w:eastAsia="zh-CN"/>
        </w:rPr>
        <w:t xml:space="preserve"> </w:t>
      </w:r>
      <w:r w:rsidRPr="00B916EC">
        <w:t>for the corresponding HARQ-ACK</w:t>
      </w:r>
      <w:r w:rsidRPr="0063299D">
        <w:t xml:space="preserve"> </w:t>
      </w:r>
      <w:r>
        <w:t>information,</w:t>
      </w:r>
      <w:r w:rsidRPr="00B916EC">
        <w:t xml:space="preserve"> </w:t>
      </w:r>
      <w:r>
        <w:t xml:space="preserve">Part 1 </w:t>
      </w:r>
      <w:r w:rsidRPr="00B916EC">
        <w:t xml:space="preserve">CSI </w:t>
      </w:r>
      <w:r>
        <w:t xml:space="preserve">reports </w:t>
      </w:r>
      <w:r w:rsidRPr="00B916EC">
        <w:t xml:space="preserve">and </w:t>
      </w:r>
      <w:r>
        <w:t xml:space="preserve">Part 2 </w:t>
      </w:r>
      <w:r w:rsidRPr="00B916EC">
        <w:t xml:space="preserve">CSI </w:t>
      </w:r>
      <w:r>
        <w:t>reports</w:t>
      </w:r>
      <w:r w:rsidRPr="00B916EC">
        <w:t>.</w:t>
      </w:r>
      <w:r w:rsidR="00146C42">
        <w:t xml:space="preserve"> </w:t>
      </w:r>
      <w:r w:rsidR="00146C42" w:rsidRPr="00111FF6">
        <w:t xml:space="preserve">If the PUSCH transmission has priority 0 or priority 1 and the UE is configured by </w:t>
      </w:r>
      <w:r w:rsidR="00254F04">
        <w:rPr>
          <w:i/>
          <w:iCs/>
        </w:rPr>
        <w:t>uci</w:t>
      </w:r>
      <w:r w:rsidR="00254F04" w:rsidRPr="00111FF6">
        <w:rPr>
          <w:i/>
          <w:iCs/>
        </w:rPr>
        <w:t>-MuxWithDiffPrio</w:t>
      </w:r>
      <w:r w:rsidR="00146C42" w:rsidRPr="00111FF6">
        <w:t xml:space="preserve"> to multiplex HARQ-ACK information of priority 1 or priority 0, respectively, and if the UE multiplexes HARQ-ACK information of priority 1 or priority 0, the UE applies corresponding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HARQ-ACK,1</m:t>
            </m:r>
          </m:sup>
        </m:sSubSup>
      </m:oMath>
      <w:r w:rsidR="00146C42" w:rsidRPr="00111FF6">
        <w:t xml:space="preserve"> or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HARQ-ACK,0</m:t>
            </m:r>
          </m:sup>
        </m:sSubSup>
      </m:oMath>
      <w:r w:rsidR="00146C42" w:rsidRPr="00111FF6">
        <w:t xml:space="preserve"> provided by </w:t>
      </w:r>
      <w:r w:rsidR="00146C42" w:rsidRPr="00111FF6">
        <w:rPr>
          <w:i/>
          <w:iCs/>
        </w:rPr>
        <w:t>betaOffset</w:t>
      </w:r>
      <w:r w:rsidR="0056586A">
        <w:rPr>
          <w:i/>
          <w:iCs/>
        </w:rPr>
        <w:t>s</w:t>
      </w:r>
      <w:r w:rsidR="00146C42" w:rsidRPr="00111FF6">
        <w:rPr>
          <w:i/>
          <w:iCs/>
        </w:rPr>
        <w:t>CrossPri1</w:t>
      </w:r>
      <w:r w:rsidR="00146C42" w:rsidRPr="00111FF6">
        <w:t xml:space="preserve"> </w:t>
      </w:r>
      <w:r w:rsidR="00146C42" w:rsidRPr="00111FF6">
        <w:rPr>
          <w:i/>
          <w:lang w:eastAsia="zh-CN"/>
        </w:rPr>
        <w:t xml:space="preserve">= </w:t>
      </w:r>
      <w:r w:rsidR="00146C42" w:rsidRPr="00111FF6">
        <w:rPr>
          <w:i/>
          <w:iCs/>
          <w:lang w:eastAsia="zh-CN"/>
        </w:rPr>
        <w:t>'</w:t>
      </w:r>
      <w:r w:rsidR="00146C42" w:rsidRPr="00111FF6">
        <w:rPr>
          <w:i/>
          <w:iCs/>
        </w:rPr>
        <w:t>semiStatic</w:t>
      </w:r>
      <w:r w:rsidR="00146C42" w:rsidRPr="00111FF6">
        <w:rPr>
          <w:i/>
          <w:iCs/>
          <w:lang w:eastAsia="zh-CN"/>
        </w:rPr>
        <w:t>'</w:t>
      </w:r>
      <w:r w:rsidR="00146C42" w:rsidRPr="00111FF6">
        <w:rPr>
          <w:lang w:eastAsia="zh-CN"/>
        </w:rPr>
        <w:t xml:space="preserve"> </w:t>
      </w:r>
      <w:r w:rsidR="00B840E2" w:rsidRPr="003A3AD4">
        <w:t>for DCI formats 0_0/0_1</w:t>
      </w:r>
      <w:r w:rsidR="001E45F5">
        <w:t>/0_3</w:t>
      </w:r>
      <w:r w:rsidR="00B840E2" w:rsidRPr="003A3AD4">
        <w:t xml:space="preserve"> </w:t>
      </w:r>
      <w:r w:rsidR="001E45F5">
        <w:t xml:space="preserve">and </w:t>
      </w:r>
      <w:r w:rsidR="00B840E2" w:rsidRPr="003A3AD4">
        <w:t xml:space="preserve">by </w:t>
      </w:r>
      <w:r w:rsidR="00B840E2" w:rsidRPr="003A3AD4">
        <w:rPr>
          <w:i/>
          <w:iCs/>
        </w:rPr>
        <w:t>betaOffsetsCrossPri1DCI-0-2</w:t>
      </w:r>
      <w:r w:rsidR="00B840E2" w:rsidRPr="003A3AD4">
        <w:rPr>
          <w:i/>
        </w:rPr>
        <w:t xml:space="preserve">= </w:t>
      </w:r>
      <w:r w:rsidR="00B840E2" w:rsidRPr="003A3AD4">
        <w:rPr>
          <w:i/>
          <w:iCs/>
        </w:rPr>
        <w:t>'semiStatic'</w:t>
      </w:r>
      <w:r w:rsidR="00B840E2" w:rsidRPr="003A3AD4">
        <w:t xml:space="preserve"> for DCI format 0_2, or by </w:t>
      </w:r>
      <w:r w:rsidR="00B840E2" w:rsidRPr="003A3AD4">
        <w:rPr>
          <w:i/>
          <w:iCs/>
        </w:rPr>
        <w:t>betaOffset</w:t>
      </w:r>
      <w:r w:rsidR="0056586A">
        <w:rPr>
          <w:i/>
          <w:iCs/>
        </w:rPr>
        <w:t>s</w:t>
      </w:r>
      <w:r w:rsidR="00B840E2" w:rsidRPr="003A3AD4">
        <w:rPr>
          <w:i/>
          <w:iCs/>
        </w:rPr>
        <w:t xml:space="preserve">CrossPri0 </w:t>
      </w:r>
      <w:r w:rsidR="00B840E2" w:rsidRPr="003A3AD4">
        <w:rPr>
          <w:i/>
          <w:lang w:eastAsia="zh-CN"/>
        </w:rPr>
        <w:t xml:space="preserve">= </w:t>
      </w:r>
      <w:r w:rsidR="00B840E2" w:rsidRPr="003A3AD4">
        <w:rPr>
          <w:i/>
          <w:iCs/>
          <w:lang w:eastAsia="zh-CN"/>
        </w:rPr>
        <w:t>'</w:t>
      </w:r>
      <w:r w:rsidR="00B840E2" w:rsidRPr="003A3AD4">
        <w:rPr>
          <w:i/>
          <w:iCs/>
        </w:rPr>
        <w:t>semiStatic</w:t>
      </w:r>
      <w:r w:rsidR="00B840E2" w:rsidRPr="003A3AD4">
        <w:rPr>
          <w:i/>
          <w:iCs/>
          <w:lang w:eastAsia="zh-CN"/>
        </w:rPr>
        <w:t>'</w:t>
      </w:r>
      <w:r w:rsidR="00B840E2" w:rsidRPr="003A3AD4">
        <w:t xml:space="preserve"> for DCI format </w:t>
      </w:r>
      <w:r w:rsidR="00F5563A">
        <w:t>0_0/</w:t>
      </w:r>
      <w:r w:rsidR="00B840E2" w:rsidRPr="003A3AD4">
        <w:t>0</w:t>
      </w:r>
      <w:r w:rsidR="0056586A">
        <w:t>_</w:t>
      </w:r>
      <w:r w:rsidR="00B840E2" w:rsidRPr="003A3AD4">
        <w:t>1</w:t>
      </w:r>
      <w:r w:rsidR="001E45F5">
        <w:t>/0_3 and</w:t>
      </w:r>
      <w:r w:rsidR="00B840E2" w:rsidRPr="003A3AD4">
        <w:t xml:space="preserve"> by </w:t>
      </w:r>
      <w:r w:rsidR="00B840E2" w:rsidRPr="003A3AD4">
        <w:rPr>
          <w:i/>
          <w:iCs/>
        </w:rPr>
        <w:t>betaOffsetsCrossPri0DCI-0-2</w:t>
      </w:r>
      <w:r w:rsidR="00B840E2" w:rsidRPr="003A3AD4">
        <w:rPr>
          <w:i/>
        </w:rPr>
        <w:t xml:space="preserve">= </w:t>
      </w:r>
      <w:r w:rsidR="00B840E2" w:rsidRPr="003A3AD4">
        <w:rPr>
          <w:i/>
          <w:iCs/>
        </w:rPr>
        <w:t>'semiStatic'</w:t>
      </w:r>
      <w:r w:rsidR="00B840E2" w:rsidRPr="003A3AD4">
        <w:t xml:space="preserve"> for DCI format 0_2</w:t>
      </w:r>
      <w:r w:rsidR="00F5563A">
        <w:t xml:space="preserve">, </w:t>
      </w:r>
      <w:r w:rsidR="00146C42" w:rsidRPr="00111FF6">
        <w:t>respectively.</w:t>
      </w:r>
    </w:p>
    <w:p w14:paraId="410615BB" w14:textId="1119CCF0" w:rsidR="00320B8D" w:rsidRPr="00B916EC" w:rsidRDefault="00320B8D" w:rsidP="000F01B5">
      <w:r>
        <w:rPr>
          <w:lang w:val="en-US" w:eastAsia="zh-CN"/>
        </w:rPr>
        <w:t>If the PUSCH transmission is with a configured grant and the UE is provided</w:t>
      </w:r>
      <w:r>
        <w:rPr>
          <w:rFonts w:hint="eastAsia"/>
          <w:i/>
          <w:iCs/>
          <w:lang w:val="en-US" w:eastAsia="zh-CN"/>
        </w:rPr>
        <w:t xml:space="preserve"> C</w:t>
      </w:r>
      <w:r>
        <w:rPr>
          <w:i/>
          <w:iCs/>
        </w:rPr>
        <w:t>G-UCI-OnPUSCH</w:t>
      </w:r>
      <w:r>
        <w:rPr>
          <w:i/>
          <w:lang w:eastAsia="zh-CN"/>
        </w:rPr>
        <w:t xml:space="preserve">= </w:t>
      </w:r>
      <w:r w:rsidR="0042252E">
        <w:rPr>
          <w:i/>
          <w:iCs/>
          <w:lang w:eastAsia="zh-CN"/>
        </w:rPr>
        <w:t>'</w:t>
      </w:r>
      <w:r>
        <w:rPr>
          <w:i/>
          <w:iCs/>
        </w:rPr>
        <w:t>semiStatic</w:t>
      </w:r>
      <w:r w:rsidR="0042252E">
        <w:rPr>
          <w:i/>
          <w:iCs/>
          <w:lang w:eastAsia="zh-CN"/>
        </w:rPr>
        <w:t>'</w:t>
      </w:r>
      <w:r>
        <w:t xml:space="preserve">, the UE applies the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HARQ-ACK</m:t>
            </m:r>
          </m:sup>
        </m:sSubSup>
      </m:oMath>
      <w:r>
        <w:t xml:space="preserve">,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CSI-1</m:t>
            </m:r>
          </m:sup>
        </m:sSubSup>
      </m:oMath>
      <w:r>
        <w:t xml:space="preserve">, and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CSI-2</m:t>
            </m:r>
          </m:sup>
        </m:sSubSup>
      </m:oMath>
      <w:r>
        <w:t xml:space="preserve"> values that are provided by</w:t>
      </w:r>
      <w:r>
        <w:rPr>
          <w:lang w:eastAsia="zh-CN"/>
        </w:rPr>
        <w:t xml:space="preserve"> </w:t>
      </w:r>
      <w:r>
        <w:rPr>
          <w:i/>
          <w:iCs/>
        </w:rPr>
        <w:t>CG-UCI-OnPUSCH</w:t>
      </w:r>
      <w:r>
        <w:rPr>
          <w:i/>
          <w:iCs/>
          <w:lang w:val="en-US" w:eastAsia="zh-CN"/>
        </w:rPr>
        <w:t xml:space="preserve"> </w:t>
      </w:r>
      <w:r>
        <w:rPr>
          <w:i/>
          <w:lang w:eastAsia="zh-CN"/>
        </w:rPr>
        <w:t xml:space="preserve">= </w:t>
      </w:r>
      <w:r w:rsidR="0042252E">
        <w:rPr>
          <w:i/>
          <w:iCs/>
          <w:lang w:eastAsia="zh-CN"/>
        </w:rPr>
        <w:t>'</w:t>
      </w:r>
      <w:r>
        <w:rPr>
          <w:i/>
          <w:iCs/>
        </w:rPr>
        <w:t>semiStatic</w:t>
      </w:r>
      <w:r w:rsidR="0042252E">
        <w:rPr>
          <w:i/>
          <w:iCs/>
          <w:lang w:eastAsia="zh-CN"/>
        </w:rPr>
        <w:t>'</w:t>
      </w:r>
      <w:r>
        <w:rPr>
          <w:lang w:eastAsia="zh-CN"/>
        </w:rPr>
        <w:t xml:space="preserve"> </w:t>
      </w:r>
      <w:r>
        <w:t>for the corresponding HARQ-ACK information, Part 1 CSI reports and Part 2 CSI reports.</w:t>
      </w:r>
      <w:r w:rsidR="00FF61D7">
        <w:t xml:space="preserve"> </w:t>
      </w:r>
      <w:r w:rsidR="00FF61D7" w:rsidRPr="00111FF6">
        <w:t xml:space="preserve">If the PUSCH transmission has priority 0 or priority 1 and the UE is configured by </w:t>
      </w:r>
      <w:r w:rsidR="00254F04">
        <w:rPr>
          <w:i/>
          <w:iCs/>
        </w:rPr>
        <w:t>uci</w:t>
      </w:r>
      <w:r w:rsidR="00254F04" w:rsidRPr="00111FF6">
        <w:rPr>
          <w:i/>
          <w:iCs/>
        </w:rPr>
        <w:t>-MuxWithDiffPrio</w:t>
      </w:r>
      <w:r w:rsidR="00FF61D7" w:rsidRPr="00111FF6">
        <w:t xml:space="preserve"> to multiplex HARQ-ACK information of priority 1 or priority 0, respectively, and if the UE multiplexes HARQ-ACK information of priority 1 or priority 0, the UE applies corresponding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HARQ-ACK,1</m:t>
            </m:r>
          </m:sup>
        </m:sSubSup>
      </m:oMath>
      <w:r w:rsidR="00FF61D7" w:rsidRPr="00111FF6">
        <w:t xml:space="preserve"> or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HARQ-ACK,0</m:t>
            </m:r>
          </m:sup>
        </m:sSubSup>
      </m:oMath>
      <w:r w:rsidR="00FF61D7" w:rsidRPr="00111FF6">
        <w:t xml:space="preserve"> provided by </w:t>
      </w:r>
      <w:r w:rsidR="00254F04">
        <w:rPr>
          <w:i/>
          <w:iCs/>
        </w:rPr>
        <w:t>cg</w:t>
      </w:r>
      <w:r w:rsidR="00B840E2" w:rsidRPr="00C4143B">
        <w:rPr>
          <w:i/>
          <w:iCs/>
        </w:rPr>
        <w:t>-betaOffsetsCrossPri</w:t>
      </w:r>
      <w:r w:rsidR="00B840E2">
        <w:rPr>
          <w:i/>
          <w:iCs/>
        </w:rPr>
        <w:t>1</w:t>
      </w:r>
      <w:r w:rsidR="00B840E2" w:rsidRPr="00111FF6">
        <w:t xml:space="preserve"> </w:t>
      </w:r>
      <w:r w:rsidR="00B840E2" w:rsidRPr="00111FF6">
        <w:rPr>
          <w:i/>
          <w:lang w:eastAsia="zh-CN"/>
        </w:rPr>
        <w:t xml:space="preserve">= </w:t>
      </w:r>
      <w:r w:rsidR="00B840E2" w:rsidRPr="00111FF6">
        <w:rPr>
          <w:i/>
          <w:iCs/>
          <w:lang w:eastAsia="zh-CN"/>
        </w:rPr>
        <w:t>'</w:t>
      </w:r>
      <w:r w:rsidR="00B840E2" w:rsidRPr="00111FF6">
        <w:rPr>
          <w:i/>
          <w:iCs/>
        </w:rPr>
        <w:t>semiStatic</w:t>
      </w:r>
      <w:r w:rsidR="00B840E2" w:rsidRPr="00111FF6">
        <w:rPr>
          <w:i/>
          <w:iCs/>
          <w:lang w:eastAsia="zh-CN"/>
        </w:rPr>
        <w:t>'</w:t>
      </w:r>
      <w:r w:rsidR="00B840E2" w:rsidRPr="00111FF6">
        <w:rPr>
          <w:lang w:eastAsia="zh-CN"/>
        </w:rPr>
        <w:t xml:space="preserve"> </w:t>
      </w:r>
      <w:r w:rsidR="00B840E2" w:rsidRPr="00111FF6">
        <w:t xml:space="preserve">or </w:t>
      </w:r>
      <w:r w:rsidR="00254F04">
        <w:rPr>
          <w:i/>
          <w:iCs/>
        </w:rPr>
        <w:t>cg</w:t>
      </w:r>
      <w:r w:rsidR="00B840E2" w:rsidRPr="00C4143B">
        <w:rPr>
          <w:i/>
          <w:iCs/>
        </w:rPr>
        <w:t>-betaOffsetsCrossPri</w:t>
      </w:r>
      <w:r w:rsidR="00B840E2">
        <w:rPr>
          <w:i/>
          <w:iCs/>
        </w:rPr>
        <w:t>0</w:t>
      </w:r>
      <w:r w:rsidR="00FF61D7" w:rsidRPr="00111FF6">
        <w:rPr>
          <w:i/>
          <w:iCs/>
        </w:rPr>
        <w:t xml:space="preserve"> </w:t>
      </w:r>
      <w:r w:rsidR="00FF61D7" w:rsidRPr="00111FF6">
        <w:rPr>
          <w:i/>
          <w:lang w:eastAsia="zh-CN"/>
        </w:rPr>
        <w:t xml:space="preserve">= </w:t>
      </w:r>
      <w:r w:rsidR="00FF61D7" w:rsidRPr="00111FF6">
        <w:rPr>
          <w:i/>
          <w:iCs/>
          <w:lang w:eastAsia="zh-CN"/>
        </w:rPr>
        <w:t>'</w:t>
      </w:r>
      <w:r w:rsidR="00FF61D7" w:rsidRPr="00111FF6">
        <w:rPr>
          <w:i/>
          <w:iCs/>
        </w:rPr>
        <w:t>semiStatic</w:t>
      </w:r>
      <w:r w:rsidR="00FF61D7" w:rsidRPr="00111FF6">
        <w:rPr>
          <w:i/>
          <w:iCs/>
          <w:lang w:eastAsia="zh-CN"/>
        </w:rPr>
        <w:t>'</w:t>
      </w:r>
      <w:r w:rsidR="00FF61D7" w:rsidRPr="00111FF6">
        <w:t>, respectively.</w:t>
      </w:r>
    </w:p>
    <w:p w14:paraId="217C7E61" w14:textId="33B5D15B" w:rsidR="005F62B9" w:rsidRPr="00B840E2" w:rsidRDefault="005F62B9" w:rsidP="00B840E2">
      <w:pPr>
        <w:rPr>
          <w:lang w:eastAsia="zh-CN"/>
        </w:rPr>
      </w:pPr>
      <w:r w:rsidRPr="00B840E2">
        <w:rPr>
          <w:lang w:eastAsia="zh-CN"/>
        </w:rPr>
        <w:t xml:space="preserve">If the PUSCH </w:t>
      </w:r>
      <w:r w:rsidR="00FF61D7" w:rsidRPr="00B840E2">
        <w:rPr>
          <w:lang w:eastAsia="zh-CN"/>
        </w:rPr>
        <w:t xml:space="preserve">transmission </w:t>
      </w:r>
      <w:r w:rsidRPr="00B840E2">
        <w:rPr>
          <w:lang w:eastAsia="zh-CN"/>
        </w:rPr>
        <w:t>is scheduled by DCI format 0_0</w:t>
      </w:r>
      <w:r w:rsidRPr="00B840E2">
        <w:rPr>
          <w:rFonts w:hint="eastAsia"/>
          <w:lang w:val="en-US" w:eastAsia="zh-CN"/>
        </w:rPr>
        <w:t xml:space="preserve"> </w:t>
      </w:r>
      <w:r w:rsidRPr="00B840E2">
        <w:t>and the UE is provided</w:t>
      </w:r>
      <w:r w:rsidRPr="00B840E2">
        <w:rPr>
          <w:lang w:eastAsia="zh-CN"/>
        </w:rPr>
        <w:t xml:space="preserve"> </w:t>
      </w:r>
      <w:r w:rsidRPr="00B840E2">
        <w:rPr>
          <w:i/>
        </w:rPr>
        <w:t>betaOffsets</w:t>
      </w:r>
      <w:r w:rsidRPr="00B840E2">
        <w:rPr>
          <w:rFonts w:hint="eastAsia"/>
          <w:i/>
          <w:lang w:eastAsia="zh-CN"/>
        </w:rPr>
        <w:t xml:space="preserve"> </w:t>
      </w:r>
      <w:r w:rsidRPr="00B840E2">
        <w:rPr>
          <w:i/>
          <w:iCs/>
          <w:lang w:eastAsia="zh-CN"/>
        </w:rPr>
        <w:t xml:space="preserve">= </w:t>
      </w:r>
      <w:r w:rsidR="0042252E" w:rsidRPr="00B840E2">
        <w:rPr>
          <w:i/>
          <w:iCs/>
          <w:lang w:eastAsia="zh-CN"/>
        </w:rPr>
        <w:t>'</w:t>
      </w:r>
      <w:r w:rsidRPr="00B840E2">
        <w:rPr>
          <w:i/>
          <w:iCs/>
        </w:rPr>
        <w:t>dynamic</w:t>
      </w:r>
      <w:r w:rsidR="0042252E" w:rsidRPr="00B840E2">
        <w:rPr>
          <w:i/>
          <w:iCs/>
          <w:lang w:eastAsia="zh-CN"/>
        </w:rPr>
        <w:t>'</w:t>
      </w:r>
      <w:r w:rsidRPr="00B840E2">
        <w:t>, the UE applies the</w:t>
      </w:r>
      <w:r w:rsidRPr="00B840E2">
        <w:rPr>
          <w:lang w:eastAsia="zh-CN"/>
        </w:rPr>
        <w:t xml:space="preserve">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HARQ-ACK</m:t>
            </m:r>
          </m:sup>
        </m:sSubSup>
      </m:oMath>
      <w:r w:rsidRPr="00B840E2">
        <w:t xml:space="preserve">,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CSI-1</m:t>
            </m:r>
          </m:sup>
        </m:sSubSup>
      </m:oMath>
      <w:r w:rsidRPr="00B840E2">
        <w:t xml:space="preserve">, and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CSI-2</m:t>
            </m:r>
          </m:sup>
        </m:sSubSup>
      </m:oMath>
      <w:r w:rsidRPr="00B840E2">
        <w:rPr>
          <w:rFonts w:hint="eastAsia"/>
          <w:lang w:eastAsia="zh-CN"/>
        </w:rPr>
        <w:t xml:space="preserve"> values </w:t>
      </w:r>
      <w:r w:rsidRPr="00B840E2">
        <w:t>that are determined from the first value of</w:t>
      </w:r>
      <w:r w:rsidRPr="00B840E2">
        <w:rPr>
          <w:rFonts w:hint="eastAsia"/>
          <w:lang w:val="en-US" w:eastAsia="zh-CN"/>
        </w:rPr>
        <w:t xml:space="preserve"> </w:t>
      </w:r>
      <w:r w:rsidRPr="00B840E2">
        <w:rPr>
          <w:i/>
          <w:iCs/>
        </w:rPr>
        <w:t>b</w:t>
      </w:r>
      <w:r w:rsidRPr="00B840E2">
        <w:rPr>
          <w:i/>
        </w:rPr>
        <w:t>etaOffsets</w:t>
      </w:r>
      <w:r w:rsidRPr="00B840E2">
        <w:rPr>
          <w:rFonts w:hint="eastAsia"/>
          <w:i/>
          <w:lang w:eastAsia="zh-CN"/>
        </w:rPr>
        <w:t xml:space="preserve"> </w:t>
      </w:r>
      <w:r w:rsidRPr="00B840E2">
        <w:rPr>
          <w:i/>
          <w:iCs/>
          <w:lang w:eastAsia="zh-CN"/>
        </w:rPr>
        <w:t xml:space="preserve">= </w:t>
      </w:r>
      <w:r w:rsidR="0042252E" w:rsidRPr="00B840E2">
        <w:rPr>
          <w:i/>
          <w:iCs/>
          <w:lang w:eastAsia="zh-CN"/>
        </w:rPr>
        <w:t>'</w:t>
      </w:r>
      <w:r w:rsidRPr="00B840E2">
        <w:rPr>
          <w:i/>
          <w:iCs/>
        </w:rPr>
        <w:t>dynamic</w:t>
      </w:r>
      <w:r w:rsidR="0042252E" w:rsidRPr="00B840E2">
        <w:rPr>
          <w:i/>
          <w:iCs/>
          <w:lang w:eastAsia="zh-CN"/>
        </w:rPr>
        <w:t>'</w:t>
      </w:r>
      <w:r w:rsidRPr="00B840E2">
        <w:rPr>
          <w:lang w:eastAsia="zh-CN"/>
        </w:rPr>
        <w:t>.</w:t>
      </w:r>
      <w:r w:rsidR="00FF61D7" w:rsidRPr="00B840E2">
        <w:rPr>
          <w:lang w:eastAsia="zh-CN"/>
        </w:rPr>
        <w:t xml:space="preserve"> </w:t>
      </w:r>
      <w:r w:rsidR="00FF61D7" w:rsidRPr="00B840E2">
        <w:t xml:space="preserve">If the UE is configured by </w:t>
      </w:r>
      <w:r w:rsidR="00254F04">
        <w:rPr>
          <w:i/>
          <w:iCs/>
        </w:rPr>
        <w:t>uci</w:t>
      </w:r>
      <w:r w:rsidR="00254F04" w:rsidRPr="00111FF6">
        <w:rPr>
          <w:i/>
          <w:iCs/>
        </w:rPr>
        <w:t>-MuxWithDiffPrio</w:t>
      </w:r>
      <w:r w:rsidR="00FF61D7" w:rsidRPr="00B840E2">
        <w:t xml:space="preserve"> to multiplex HARQ-ACK information of priority 1, the UE applies corresponding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HARQ-ACK,1</m:t>
            </m:r>
          </m:sup>
        </m:sSubSup>
      </m:oMath>
      <w:r w:rsidR="00FF61D7" w:rsidRPr="00B840E2">
        <w:t xml:space="preserve"> provided by the first value of </w:t>
      </w:r>
      <w:r w:rsidR="00FF61D7" w:rsidRPr="00B840E2">
        <w:rPr>
          <w:i/>
          <w:iCs/>
        </w:rPr>
        <w:t>betaOffset</w:t>
      </w:r>
      <w:r w:rsidR="0056586A">
        <w:rPr>
          <w:i/>
          <w:iCs/>
        </w:rPr>
        <w:t>s</w:t>
      </w:r>
      <w:r w:rsidR="00FF61D7" w:rsidRPr="00B840E2">
        <w:rPr>
          <w:i/>
          <w:iCs/>
        </w:rPr>
        <w:t>CrossPri1</w:t>
      </w:r>
      <w:r w:rsidR="00FF61D7" w:rsidRPr="00B840E2">
        <w:t xml:space="preserve"> </w:t>
      </w:r>
      <w:r w:rsidR="00FF61D7" w:rsidRPr="00B840E2">
        <w:rPr>
          <w:i/>
          <w:iCs/>
          <w:lang w:eastAsia="zh-CN"/>
        </w:rPr>
        <w:t>= '</w:t>
      </w:r>
      <w:r w:rsidR="00FF61D7" w:rsidRPr="00B840E2">
        <w:rPr>
          <w:i/>
          <w:iCs/>
        </w:rPr>
        <w:t>dynamic</w:t>
      </w:r>
      <w:r w:rsidR="00FF61D7" w:rsidRPr="00B840E2">
        <w:rPr>
          <w:i/>
          <w:iCs/>
          <w:lang w:eastAsia="zh-CN"/>
        </w:rPr>
        <w:t>'</w:t>
      </w:r>
      <w:r w:rsidR="00FF61D7" w:rsidRPr="00B840E2">
        <w:t>.</w:t>
      </w:r>
    </w:p>
    <w:p w14:paraId="400901BE" w14:textId="6A6657A9" w:rsidR="005F62B9" w:rsidRPr="00B840E2" w:rsidRDefault="005F62B9" w:rsidP="005F62B9">
      <w:r w:rsidRPr="00B840E2">
        <w:rPr>
          <w:lang w:eastAsia="zh-CN"/>
        </w:rPr>
        <w:lastRenderedPageBreak/>
        <w:t xml:space="preserve">If the PUSCH </w:t>
      </w:r>
      <w:r w:rsidR="00FF61D7" w:rsidRPr="00B840E2">
        <w:rPr>
          <w:lang w:eastAsia="zh-CN"/>
        </w:rPr>
        <w:t xml:space="preserve">transmission </w:t>
      </w:r>
      <w:r w:rsidRPr="00B840E2">
        <w:rPr>
          <w:lang w:eastAsia="zh-CN"/>
        </w:rPr>
        <w:t>is a configured grant Type 2 PUSCH and the UE is provided</w:t>
      </w:r>
      <w:r w:rsidRPr="00B840E2">
        <w:rPr>
          <w:rFonts w:hint="eastAsia"/>
          <w:lang w:val="en-US" w:eastAsia="zh-CN"/>
        </w:rPr>
        <w:t xml:space="preserve"> </w:t>
      </w:r>
      <w:r w:rsidRPr="00B840E2">
        <w:rPr>
          <w:i/>
          <w:iCs/>
        </w:rPr>
        <w:t>CG-UCI-OnPUSCH</w:t>
      </w:r>
      <w:r w:rsidRPr="00B840E2">
        <w:rPr>
          <w:lang w:eastAsia="zh-CN"/>
        </w:rPr>
        <w:t xml:space="preserve"> =</w:t>
      </w:r>
      <w:r w:rsidR="0042252E" w:rsidRPr="00B840E2">
        <w:rPr>
          <w:i/>
          <w:iCs/>
          <w:lang w:eastAsia="zh-CN"/>
        </w:rPr>
        <w:t>'</w:t>
      </w:r>
      <w:r w:rsidRPr="00B840E2">
        <w:rPr>
          <w:i/>
          <w:iCs/>
        </w:rPr>
        <w:t>dynamic</w:t>
      </w:r>
      <w:r w:rsidR="0042252E" w:rsidRPr="00B840E2">
        <w:rPr>
          <w:i/>
          <w:iCs/>
          <w:lang w:eastAsia="zh-CN"/>
        </w:rPr>
        <w:t>'</w:t>
      </w:r>
      <w:r w:rsidRPr="00B840E2">
        <w:rPr>
          <w:rFonts w:hint="eastAsia"/>
          <w:lang w:eastAsia="zh-CN"/>
        </w:rPr>
        <w:t xml:space="preserve">, </w:t>
      </w:r>
      <w:r w:rsidRPr="00B840E2">
        <w:t>the UE applies the</w:t>
      </w:r>
      <w:r w:rsidRPr="00B840E2">
        <w:rPr>
          <w:lang w:eastAsia="zh-CN"/>
        </w:rPr>
        <w:t xml:space="preserve">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HARQ-ACK</m:t>
            </m:r>
          </m:sup>
        </m:sSubSup>
      </m:oMath>
      <w:r w:rsidRPr="00B840E2">
        <w:t xml:space="preserve">,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CSI-1</m:t>
            </m:r>
          </m:sup>
        </m:sSubSup>
      </m:oMath>
      <w:r w:rsidRPr="00B840E2">
        <w:t xml:space="preserve">, and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CSI-2</m:t>
            </m:r>
          </m:sup>
        </m:sSubSup>
      </m:oMath>
      <w:r w:rsidRPr="00B840E2">
        <w:rPr>
          <w:rFonts w:hint="eastAsia"/>
          <w:lang w:eastAsia="zh-CN"/>
        </w:rPr>
        <w:t xml:space="preserve"> values </w:t>
      </w:r>
      <w:r w:rsidRPr="00B840E2">
        <w:t>that are determined from the first value of</w:t>
      </w:r>
      <w:r w:rsidRPr="00B840E2">
        <w:rPr>
          <w:rFonts w:hint="eastAsia"/>
          <w:lang w:val="en-US" w:eastAsia="zh-CN"/>
        </w:rPr>
        <w:t xml:space="preserve"> </w:t>
      </w:r>
      <w:r w:rsidRPr="00B840E2">
        <w:rPr>
          <w:i/>
          <w:iCs/>
        </w:rPr>
        <w:t>CG-UCI-OnPUSCH</w:t>
      </w:r>
      <w:r w:rsidRPr="00B840E2">
        <w:rPr>
          <w:rFonts w:hint="eastAsia"/>
          <w:i/>
          <w:lang w:eastAsia="zh-CN"/>
        </w:rPr>
        <w:t xml:space="preserve"> </w:t>
      </w:r>
      <w:r w:rsidRPr="00B840E2">
        <w:rPr>
          <w:i/>
          <w:iCs/>
          <w:lang w:eastAsia="zh-CN"/>
        </w:rPr>
        <w:t xml:space="preserve">= </w:t>
      </w:r>
      <w:r w:rsidR="0042252E" w:rsidRPr="00B840E2">
        <w:rPr>
          <w:i/>
          <w:iCs/>
          <w:lang w:eastAsia="zh-CN"/>
        </w:rPr>
        <w:t>'</w:t>
      </w:r>
      <w:r w:rsidRPr="00B840E2">
        <w:rPr>
          <w:i/>
          <w:iCs/>
        </w:rPr>
        <w:t>dynamic</w:t>
      </w:r>
      <w:r w:rsidR="0042252E" w:rsidRPr="00B840E2">
        <w:rPr>
          <w:i/>
          <w:iCs/>
          <w:lang w:eastAsia="zh-CN"/>
        </w:rPr>
        <w:t>'</w:t>
      </w:r>
      <w:r w:rsidRPr="00B840E2">
        <w:rPr>
          <w:lang w:eastAsia="zh-CN"/>
        </w:rPr>
        <w:t>.</w:t>
      </w:r>
      <w:r w:rsidR="00FF61D7" w:rsidRPr="00B840E2">
        <w:rPr>
          <w:lang w:eastAsia="zh-CN"/>
        </w:rPr>
        <w:t xml:space="preserve"> </w:t>
      </w:r>
      <w:r w:rsidR="00FF61D7" w:rsidRPr="00B840E2">
        <w:t xml:space="preserve">If the PUSCH transmission has priority 0 or priority 1 and the UE is configured by </w:t>
      </w:r>
      <w:r w:rsidR="00254F04">
        <w:rPr>
          <w:i/>
          <w:iCs/>
        </w:rPr>
        <w:t>uci</w:t>
      </w:r>
      <w:r w:rsidR="00254F04" w:rsidRPr="00111FF6">
        <w:rPr>
          <w:i/>
          <w:iCs/>
        </w:rPr>
        <w:t>-MuxWithDiffPrio</w:t>
      </w:r>
      <w:r w:rsidR="00FF61D7" w:rsidRPr="00B840E2">
        <w:t xml:space="preserve"> to multiplex HARQ-ACK information of priority 1 or priority 0, respectively, and if the UE multiplexes HARQ-ACK information of priority 1 or priority 0, the UE applies corresponding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HARQ-ACK,1</m:t>
            </m:r>
          </m:sup>
        </m:sSubSup>
      </m:oMath>
      <w:r w:rsidR="00FF61D7" w:rsidRPr="00B840E2">
        <w:t xml:space="preserve"> or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HARQ-ACK,0</m:t>
            </m:r>
          </m:sup>
        </m:sSubSup>
      </m:oMath>
      <w:r w:rsidR="00FF61D7" w:rsidRPr="00B840E2">
        <w:t xml:space="preserve"> provided by the first value of </w:t>
      </w:r>
      <w:r w:rsidR="00254F04">
        <w:rPr>
          <w:i/>
          <w:iCs/>
        </w:rPr>
        <w:t>cg</w:t>
      </w:r>
      <w:r w:rsidR="00624E99" w:rsidRPr="00D3548D">
        <w:rPr>
          <w:i/>
          <w:iCs/>
        </w:rPr>
        <w:t>-betaOffsetsCrossPri1</w:t>
      </w:r>
      <w:r w:rsidR="00FF61D7" w:rsidRPr="00B840E2">
        <w:t xml:space="preserve"> </w:t>
      </w:r>
      <w:r w:rsidR="00FF61D7" w:rsidRPr="00B840E2">
        <w:rPr>
          <w:i/>
          <w:iCs/>
          <w:lang w:eastAsia="zh-CN"/>
        </w:rPr>
        <w:t>= '</w:t>
      </w:r>
      <w:r w:rsidR="00FF61D7" w:rsidRPr="00B840E2">
        <w:rPr>
          <w:i/>
          <w:iCs/>
        </w:rPr>
        <w:t>dynamic</w:t>
      </w:r>
      <w:r w:rsidR="00FF61D7" w:rsidRPr="00B840E2">
        <w:rPr>
          <w:i/>
          <w:iCs/>
          <w:lang w:eastAsia="zh-CN"/>
        </w:rPr>
        <w:t xml:space="preserve">' </w:t>
      </w:r>
      <w:r w:rsidR="00FF61D7" w:rsidRPr="00B840E2">
        <w:t xml:space="preserve">or </w:t>
      </w:r>
      <w:r w:rsidR="00254F04">
        <w:rPr>
          <w:i/>
          <w:iCs/>
        </w:rPr>
        <w:t>cg</w:t>
      </w:r>
      <w:r w:rsidR="00624E99" w:rsidRPr="00D3548D">
        <w:rPr>
          <w:i/>
          <w:iCs/>
        </w:rPr>
        <w:t>-betaOffsetsCrossPri0</w:t>
      </w:r>
      <w:r w:rsidR="00FF61D7" w:rsidRPr="00B840E2">
        <w:t xml:space="preserve"> </w:t>
      </w:r>
      <w:r w:rsidR="00FF61D7" w:rsidRPr="00B840E2">
        <w:rPr>
          <w:i/>
          <w:iCs/>
          <w:lang w:eastAsia="zh-CN"/>
        </w:rPr>
        <w:t>= '</w:t>
      </w:r>
      <w:r w:rsidR="00FF61D7" w:rsidRPr="00B840E2">
        <w:rPr>
          <w:i/>
          <w:iCs/>
        </w:rPr>
        <w:t>dynamic</w:t>
      </w:r>
      <w:r w:rsidR="00FF61D7" w:rsidRPr="00B840E2">
        <w:rPr>
          <w:i/>
          <w:iCs/>
          <w:lang w:eastAsia="zh-CN"/>
        </w:rPr>
        <w:t>'</w:t>
      </w:r>
      <w:r w:rsidR="00FF61D7" w:rsidRPr="00B840E2">
        <w:t>, respectively.</w:t>
      </w:r>
    </w:p>
    <w:p w14:paraId="349499D6" w14:textId="7F6FD7FC" w:rsidR="000F01B5" w:rsidRPr="00B916EC" w:rsidRDefault="000F01B5" w:rsidP="000F01B5">
      <w:r>
        <w:t>HARQ-ACK</w:t>
      </w:r>
      <w:r w:rsidRPr="0063299D">
        <w:t xml:space="preserve"> </w:t>
      </w:r>
      <w:r>
        <w:t>information</w:t>
      </w:r>
      <w:r w:rsidRPr="00B916EC">
        <w:t xml:space="preserve"> offsets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HARQ-ACK</m:t>
            </m:r>
          </m:sup>
        </m:sSubSup>
      </m:oMath>
      <w:r w:rsidRPr="00B916EC">
        <w:t xml:space="preserve"> </w:t>
      </w:r>
      <w:r>
        <w:rPr>
          <w:lang w:val="en-US"/>
        </w:rPr>
        <w:t>are</w:t>
      </w:r>
      <w:r w:rsidRPr="00B916EC">
        <w:rPr>
          <w:rFonts w:hint="eastAsia"/>
          <w:lang w:val="en-US"/>
        </w:rPr>
        <w:t xml:space="preserve"> configured to values according to Table </w:t>
      </w:r>
      <w:r w:rsidRPr="00B916EC">
        <w:rPr>
          <w:lang w:val="en-US"/>
        </w:rPr>
        <w:t>9</w:t>
      </w:r>
      <w:r w:rsidRPr="00B916EC">
        <w:rPr>
          <w:rFonts w:hint="eastAsia"/>
          <w:lang w:val="en-US"/>
        </w:rPr>
        <w:t>.</w:t>
      </w:r>
      <w:r w:rsidRPr="00B916EC">
        <w:rPr>
          <w:lang w:val="en-US"/>
        </w:rPr>
        <w:t>3</w:t>
      </w:r>
      <w:r w:rsidRPr="00B916EC">
        <w:rPr>
          <w:rFonts w:hint="eastAsia"/>
          <w:lang w:val="en-US"/>
        </w:rPr>
        <w:t>-1</w:t>
      </w:r>
      <w:r>
        <w:rPr>
          <w:lang w:val="en-US"/>
        </w:rPr>
        <w:t>.</w:t>
      </w:r>
      <w:r w:rsidRPr="00B916EC">
        <w:rPr>
          <w:lang w:val="en-US"/>
        </w:rPr>
        <w:t xml:space="preserve"> </w:t>
      </w:r>
      <w:r>
        <w:rPr>
          <w:lang w:val="en-US"/>
        </w:rPr>
        <w:t>T</w:t>
      </w:r>
      <w:r w:rsidRPr="00B916EC">
        <w:rPr>
          <w:rFonts w:hint="eastAsia"/>
          <w:lang w:val="en-US"/>
        </w:rPr>
        <w:t xml:space="preserve">he </w:t>
      </w:r>
      <w:r w:rsidRPr="003F427C">
        <w:rPr>
          <w:i/>
        </w:rPr>
        <w:t>betaOffsetACK-Index</w:t>
      </w:r>
      <w:r>
        <w:rPr>
          <w:i/>
        </w:rPr>
        <w:t>1</w:t>
      </w:r>
      <w:r>
        <w:t xml:space="preserve">, </w:t>
      </w:r>
      <w:r w:rsidRPr="003F427C">
        <w:rPr>
          <w:i/>
        </w:rPr>
        <w:t>betaOffsetACK-Index</w:t>
      </w:r>
      <w:r>
        <w:rPr>
          <w:i/>
        </w:rPr>
        <w:t>2</w:t>
      </w:r>
      <w:r>
        <w:t xml:space="preserve">, and </w:t>
      </w:r>
      <w:r w:rsidRPr="003F427C">
        <w:rPr>
          <w:i/>
        </w:rPr>
        <w:t>betaOffsetACK-Index</w:t>
      </w:r>
      <w:r>
        <w:rPr>
          <w:i/>
        </w:rPr>
        <w:t>3</w:t>
      </w:r>
      <w:r>
        <w:t xml:space="preserve"> respectively provide</w:t>
      </w:r>
      <w:r w:rsidRPr="00B916EC">
        <w:t xml:space="preserve"> index</w:t>
      </w:r>
      <w:r>
        <w:t>es</w:t>
      </w:r>
      <w:r w:rsidRPr="00B916EC">
        <w:rPr>
          <w:rFonts w:hint="eastAsia"/>
          <w:lang w:val="en-US"/>
        </w:rPr>
        <w:t xml:space="preserve"> </w:t>
      </w:r>
      <m:oMath>
        <m:sSubSup>
          <m:sSubSupPr>
            <m:ctrlPr>
              <w:rPr>
                <w:rFonts w:ascii="Cambria Math" w:hAnsi="Cambria Math"/>
                <w:i/>
              </w:rPr>
            </m:ctrlPr>
          </m:sSubSupPr>
          <m:e>
            <m:r>
              <w:rPr>
                <w:rFonts w:ascii="Cambria Math" w:hAnsi="Cambria Math"/>
              </w:rPr>
              <m:t>I</m:t>
            </m:r>
          </m:e>
          <m:sub>
            <m:r>
              <m:rPr>
                <m:sty m:val="p"/>
              </m:rPr>
              <w:rPr>
                <w:rFonts w:ascii="Cambria Math" w:hAnsi="Cambria Math"/>
              </w:rPr>
              <m:t>offset,0</m:t>
            </m:r>
          </m:sub>
          <m:sup>
            <m:r>
              <m:rPr>
                <m:sty m:val="p"/>
              </m:rPr>
              <w:rPr>
                <w:rFonts w:ascii="Cambria Math" w:hAnsi="Cambria Math"/>
              </w:rPr>
              <m:t>HARQ-ACK</m:t>
            </m:r>
          </m:sup>
        </m:sSubSup>
      </m:oMath>
      <w:r>
        <w:t xml:space="preserve">, </w:t>
      </w:r>
      <m:oMath>
        <m:sSubSup>
          <m:sSubSupPr>
            <m:ctrlPr>
              <w:rPr>
                <w:rFonts w:ascii="Cambria Math" w:hAnsi="Cambria Math"/>
                <w:i/>
              </w:rPr>
            </m:ctrlPr>
          </m:sSubSupPr>
          <m:e>
            <m:r>
              <w:rPr>
                <w:rFonts w:ascii="Cambria Math" w:hAnsi="Cambria Math"/>
              </w:rPr>
              <m:t>I</m:t>
            </m:r>
          </m:e>
          <m:sub>
            <m:r>
              <m:rPr>
                <m:sty m:val="p"/>
              </m:rPr>
              <w:rPr>
                <w:rFonts w:ascii="Cambria Math" w:hAnsi="Cambria Math"/>
              </w:rPr>
              <m:t>offset,1</m:t>
            </m:r>
          </m:sub>
          <m:sup>
            <m:r>
              <m:rPr>
                <m:sty m:val="p"/>
              </m:rPr>
              <w:rPr>
                <w:rFonts w:ascii="Cambria Math" w:hAnsi="Cambria Math"/>
              </w:rPr>
              <m:t>HARQ-ACK</m:t>
            </m:r>
          </m:sup>
        </m:sSubSup>
      </m:oMath>
      <w:r>
        <w:t xml:space="preserve">, and </w:t>
      </w:r>
      <m:oMath>
        <m:sSubSup>
          <m:sSubSupPr>
            <m:ctrlPr>
              <w:rPr>
                <w:rFonts w:ascii="Cambria Math" w:hAnsi="Cambria Math"/>
                <w:i/>
              </w:rPr>
            </m:ctrlPr>
          </m:sSubSupPr>
          <m:e>
            <m:r>
              <w:rPr>
                <w:rFonts w:ascii="Cambria Math" w:hAnsi="Cambria Math"/>
              </w:rPr>
              <m:t>I</m:t>
            </m:r>
          </m:e>
          <m:sub>
            <m:r>
              <m:rPr>
                <m:sty m:val="p"/>
              </m:rPr>
              <w:rPr>
                <w:rFonts w:ascii="Cambria Math" w:hAnsi="Cambria Math"/>
              </w:rPr>
              <m:t>offset,2</m:t>
            </m:r>
          </m:sub>
          <m:sup>
            <m:r>
              <m:rPr>
                <m:sty m:val="p"/>
              </m:rPr>
              <w:rPr>
                <w:rFonts w:ascii="Cambria Math" w:hAnsi="Cambria Math"/>
              </w:rPr>
              <m:t>HARQ-ACK</m:t>
            </m:r>
          </m:sup>
        </m:sSubSup>
      </m:oMath>
      <w:r>
        <w:t xml:space="preserve"> for the UE to use </w:t>
      </w:r>
      <w:r w:rsidRPr="00B916EC">
        <w:t xml:space="preserve">if the UE </w:t>
      </w:r>
      <w:r>
        <w:t>multiplexes</w:t>
      </w:r>
      <w:r w:rsidRPr="00B916EC">
        <w:t xml:space="preserve"> up to 2 HARQ-ACK</w:t>
      </w:r>
      <w:r w:rsidRPr="0063299D">
        <w:t xml:space="preserve"> </w:t>
      </w:r>
      <w:r>
        <w:t>information</w:t>
      </w:r>
      <w:r w:rsidRPr="00B916EC">
        <w:t xml:space="preserve"> bits</w:t>
      </w:r>
      <w:r>
        <w:t>,</w:t>
      </w:r>
      <w:r w:rsidRPr="00B916EC">
        <w:t xml:space="preserve"> more than 2 and up to 11 HARQ-ACK</w:t>
      </w:r>
      <w:r w:rsidRPr="0063299D">
        <w:t xml:space="preserve"> </w:t>
      </w:r>
      <w:r>
        <w:t>information</w:t>
      </w:r>
      <w:r w:rsidRPr="00B916EC">
        <w:t xml:space="preserve"> bits</w:t>
      </w:r>
      <w:r>
        <w:t>, and more than 11 bits</w:t>
      </w:r>
      <w:r w:rsidRPr="00B916EC">
        <w:t xml:space="preserve"> </w:t>
      </w:r>
      <w:r>
        <w:t>in</w:t>
      </w:r>
      <w:r w:rsidRPr="00B916EC">
        <w:t xml:space="preserve"> </w:t>
      </w:r>
      <w:r>
        <w:t>the</w:t>
      </w:r>
      <w:r w:rsidRPr="00B916EC">
        <w:t xml:space="preserve"> PUSCH,</w:t>
      </w:r>
      <w:r>
        <w:t xml:space="preserve"> respectively.</w:t>
      </w:r>
    </w:p>
    <w:p w14:paraId="035D8598" w14:textId="120B8B0E" w:rsidR="00FF61D7" w:rsidRPr="00111FF6" w:rsidRDefault="00FF61D7" w:rsidP="00FF61D7">
      <w:pPr>
        <w:rPr>
          <w:lang w:val="en-US"/>
        </w:rPr>
      </w:pPr>
      <w:r w:rsidRPr="00111FF6">
        <w:t xml:space="preserve">Offsets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HARQ-ACK,0</m:t>
            </m:r>
          </m:sup>
        </m:sSubSup>
      </m:oMath>
      <w:r w:rsidRPr="00111FF6">
        <w:t xml:space="preserve"> for multiplexing HARQ-ACK information with priority 0 in a PUSCH transmission with priority 1 </w:t>
      </w:r>
      <w:r w:rsidRPr="00111FF6">
        <w:rPr>
          <w:lang w:val="en-US"/>
        </w:rPr>
        <w:t>are</w:t>
      </w:r>
      <w:r w:rsidRPr="00111FF6">
        <w:rPr>
          <w:rFonts w:hint="eastAsia"/>
          <w:lang w:val="en-US"/>
        </w:rPr>
        <w:t xml:space="preserve"> configured to values according to Table </w:t>
      </w:r>
      <w:r w:rsidRPr="00111FF6">
        <w:rPr>
          <w:lang w:val="en-US"/>
        </w:rPr>
        <w:t>9</w:t>
      </w:r>
      <w:r w:rsidRPr="00111FF6">
        <w:rPr>
          <w:rFonts w:hint="eastAsia"/>
          <w:lang w:val="en-US"/>
        </w:rPr>
        <w:t>.</w:t>
      </w:r>
      <w:r w:rsidRPr="00111FF6">
        <w:rPr>
          <w:lang w:val="en-US"/>
        </w:rPr>
        <w:t>3</w:t>
      </w:r>
      <w:r w:rsidRPr="00111FF6">
        <w:rPr>
          <w:rFonts w:hint="eastAsia"/>
          <w:lang w:val="en-US"/>
        </w:rPr>
        <w:t>-1</w:t>
      </w:r>
      <w:r w:rsidRPr="00111FF6">
        <w:rPr>
          <w:lang w:val="en-US"/>
        </w:rPr>
        <w:t>. T</w:t>
      </w:r>
      <w:r w:rsidRPr="00111FF6">
        <w:rPr>
          <w:rFonts w:hint="eastAsia"/>
          <w:lang w:val="en-US"/>
        </w:rPr>
        <w:t>he</w:t>
      </w:r>
      <w:r w:rsidR="00B911F1" w:rsidRPr="00B911F1">
        <w:rPr>
          <w:lang w:val="en-US"/>
        </w:rPr>
        <w:t xml:space="preserve"> </w:t>
      </w:r>
      <w:r w:rsidR="00B911F1" w:rsidRPr="00E15ECC">
        <w:rPr>
          <w:lang w:val="en-US"/>
        </w:rPr>
        <w:t xml:space="preserve">first, second and third values </w:t>
      </w:r>
      <w:r w:rsidR="00B911F1" w:rsidRPr="00E15ECC">
        <w:t>provided by any of</w:t>
      </w:r>
      <w:r w:rsidR="00B911F1" w:rsidRPr="00E15ECC">
        <w:rPr>
          <w:i/>
        </w:rPr>
        <w:t xml:space="preserve"> </w:t>
      </w:r>
      <w:r w:rsidR="0056586A">
        <w:rPr>
          <w:i/>
        </w:rPr>
        <w:t>b</w:t>
      </w:r>
      <w:r w:rsidR="0056586A" w:rsidRPr="00E15ECC">
        <w:rPr>
          <w:i/>
        </w:rPr>
        <w:t>etaOffsetsCrossPri0</w:t>
      </w:r>
      <w:r w:rsidR="00B911F1" w:rsidRPr="001E45F5">
        <w:rPr>
          <w:iCs/>
        </w:rPr>
        <w:t xml:space="preserve">, </w:t>
      </w:r>
      <w:r w:rsidR="00B911F1" w:rsidRPr="00E15ECC">
        <w:rPr>
          <w:i/>
        </w:rPr>
        <w:t>betaOffsetsCrossPri0DCI-0-2</w:t>
      </w:r>
      <w:r w:rsidR="00E00F29" w:rsidRPr="00E00F29">
        <w:rPr>
          <w:iCs/>
        </w:rPr>
        <w:t>,</w:t>
      </w:r>
      <w:r w:rsidR="00B911F1" w:rsidRPr="00E00F29">
        <w:rPr>
          <w:iCs/>
        </w:rPr>
        <w:t xml:space="preserve"> or </w:t>
      </w:r>
      <w:r w:rsidR="00B911F1" w:rsidRPr="00E15ECC">
        <w:rPr>
          <w:i/>
        </w:rPr>
        <w:t>cg-betaOffsetsCrossPri0</w:t>
      </w:r>
      <w:r w:rsidRPr="00111FF6">
        <w:t xml:space="preserve"> respectively provide indexes</w:t>
      </w:r>
      <w:r w:rsidRPr="00111FF6">
        <w:rPr>
          <w:rFonts w:hint="eastAsia"/>
          <w:lang w:val="en-US"/>
        </w:rPr>
        <w:t xml:space="preserve"> </w:t>
      </w:r>
      <m:oMath>
        <m:sSubSup>
          <m:sSubSupPr>
            <m:ctrlPr>
              <w:rPr>
                <w:rFonts w:ascii="Cambria Math" w:hAnsi="Cambria Math"/>
                <w:i/>
              </w:rPr>
            </m:ctrlPr>
          </m:sSubSupPr>
          <m:e>
            <m:r>
              <w:rPr>
                <w:rFonts w:ascii="Cambria Math" w:hAnsi="Cambria Math"/>
              </w:rPr>
              <m:t>I</m:t>
            </m:r>
          </m:e>
          <m:sub>
            <m:r>
              <m:rPr>
                <m:sty m:val="p"/>
              </m:rPr>
              <w:rPr>
                <w:rFonts w:ascii="Cambria Math" w:hAnsi="Cambria Math"/>
              </w:rPr>
              <m:t>offset,0</m:t>
            </m:r>
          </m:sub>
          <m:sup>
            <m:r>
              <m:rPr>
                <m:sty m:val="p"/>
              </m:rPr>
              <w:rPr>
                <w:rFonts w:ascii="Cambria Math" w:hAnsi="Cambria Math"/>
              </w:rPr>
              <m:t>HARQ-ACK,0</m:t>
            </m:r>
          </m:sup>
        </m:sSubSup>
      </m:oMath>
      <w:r w:rsidRPr="00111FF6">
        <w:t xml:space="preserve">, </w:t>
      </w:r>
      <m:oMath>
        <m:sSubSup>
          <m:sSubSupPr>
            <m:ctrlPr>
              <w:rPr>
                <w:rFonts w:ascii="Cambria Math" w:hAnsi="Cambria Math"/>
                <w:i/>
              </w:rPr>
            </m:ctrlPr>
          </m:sSubSupPr>
          <m:e>
            <m:r>
              <w:rPr>
                <w:rFonts w:ascii="Cambria Math" w:hAnsi="Cambria Math"/>
              </w:rPr>
              <m:t>I</m:t>
            </m:r>
          </m:e>
          <m:sub>
            <m:r>
              <m:rPr>
                <m:sty m:val="p"/>
              </m:rPr>
              <w:rPr>
                <w:rFonts w:ascii="Cambria Math" w:hAnsi="Cambria Math"/>
              </w:rPr>
              <m:t>offset,1</m:t>
            </m:r>
          </m:sub>
          <m:sup>
            <m:r>
              <m:rPr>
                <m:sty m:val="p"/>
              </m:rPr>
              <w:rPr>
                <w:rFonts w:ascii="Cambria Math" w:hAnsi="Cambria Math"/>
              </w:rPr>
              <m:t>HARQ-ACK,0</m:t>
            </m:r>
          </m:sup>
        </m:sSubSup>
      </m:oMath>
      <w:r w:rsidRPr="00111FF6">
        <w:t xml:space="preserve">, and </w:t>
      </w:r>
      <m:oMath>
        <m:sSubSup>
          <m:sSubSupPr>
            <m:ctrlPr>
              <w:rPr>
                <w:rFonts w:ascii="Cambria Math" w:hAnsi="Cambria Math"/>
                <w:i/>
              </w:rPr>
            </m:ctrlPr>
          </m:sSubSupPr>
          <m:e>
            <m:r>
              <w:rPr>
                <w:rFonts w:ascii="Cambria Math" w:hAnsi="Cambria Math"/>
              </w:rPr>
              <m:t>I</m:t>
            </m:r>
          </m:e>
          <m:sub>
            <m:r>
              <m:rPr>
                <m:sty m:val="p"/>
              </m:rPr>
              <w:rPr>
                <w:rFonts w:ascii="Cambria Math" w:hAnsi="Cambria Math"/>
              </w:rPr>
              <m:t>offset,2</m:t>
            </m:r>
          </m:sub>
          <m:sup>
            <m:r>
              <m:rPr>
                <m:sty m:val="p"/>
              </m:rPr>
              <w:rPr>
                <w:rFonts w:ascii="Cambria Math" w:hAnsi="Cambria Math"/>
              </w:rPr>
              <m:t>HARQ-ACK,0</m:t>
            </m:r>
          </m:sup>
        </m:sSubSup>
      </m:oMath>
      <w:r w:rsidRPr="00111FF6">
        <w:t xml:space="preserve"> for the UE to use if the UE multiplexes up to 2 bits, more than 2 and up to 11 bits, and more than 11 bits of HARQ-ACK information with priority 0 in the PUSCH transmission with priority 1, respectively.</w:t>
      </w:r>
    </w:p>
    <w:p w14:paraId="35DABAE9" w14:textId="5D7BE4D0" w:rsidR="00FF61D7" w:rsidRPr="00111FF6" w:rsidRDefault="00FF61D7" w:rsidP="00FF61D7">
      <w:pPr>
        <w:rPr>
          <w:lang w:val="en-US"/>
        </w:rPr>
      </w:pPr>
      <w:r w:rsidRPr="00111FF6">
        <w:t xml:space="preserve">Offsets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HARQ-ACK,1</m:t>
            </m:r>
          </m:sup>
        </m:sSubSup>
      </m:oMath>
      <w:r w:rsidRPr="00111FF6">
        <w:t xml:space="preserve"> for multiplexing HARQ-ACK information with priority 1 in a PUSCH transmission with priority 0 </w:t>
      </w:r>
      <w:r w:rsidRPr="00111FF6">
        <w:rPr>
          <w:lang w:val="en-US"/>
        </w:rPr>
        <w:t>are</w:t>
      </w:r>
      <w:r w:rsidRPr="00111FF6">
        <w:rPr>
          <w:rFonts w:hint="eastAsia"/>
          <w:lang w:val="en-US"/>
        </w:rPr>
        <w:t xml:space="preserve"> configured to values according to Table </w:t>
      </w:r>
      <w:r w:rsidRPr="00111FF6">
        <w:rPr>
          <w:lang w:val="en-US"/>
        </w:rPr>
        <w:t>9</w:t>
      </w:r>
      <w:r w:rsidRPr="00111FF6">
        <w:rPr>
          <w:rFonts w:hint="eastAsia"/>
          <w:lang w:val="en-US"/>
        </w:rPr>
        <w:t>.</w:t>
      </w:r>
      <w:r w:rsidRPr="00111FF6">
        <w:rPr>
          <w:lang w:val="en-US"/>
        </w:rPr>
        <w:t>3</w:t>
      </w:r>
      <w:r w:rsidRPr="00111FF6">
        <w:rPr>
          <w:rFonts w:hint="eastAsia"/>
          <w:lang w:val="en-US"/>
        </w:rPr>
        <w:t>-1</w:t>
      </w:r>
      <w:r w:rsidRPr="00111FF6">
        <w:rPr>
          <w:lang w:val="en-US"/>
        </w:rPr>
        <w:t>. T</w:t>
      </w:r>
      <w:r w:rsidRPr="00111FF6">
        <w:rPr>
          <w:rFonts w:hint="eastAsia"/>
          <w:lang w:val="en-US"/>
        </w:rPr>
        <w:t>he</w:t>
      </w:r>
      <w:r w:rsidR="00B911F1" w:rsidRPr="00B911F1">
        <w:rPr>
          <w:lang w:val="en-US"/>
        </w:rPr>
        <w:t xml:space="preserve"> </w:t>
      </w:r>
      <w:r w:rsidR="00B911F1" w:rsidRPr="00E15ECC">
        <w:rPr>
          <w:lang w:val="en-US"/>
        </w:rPr>
        <w:t xml:space="preserve">first, second and third values </w:t>
      </w:r>
      <w:r w:rsidR="00B911F1" w:rsidRPr="00E15ECC">
        <w:t>provided by any of</w:t>
      </w:r>
      <w:r w:rsidR="00B911F1" w:rsidRPr="00E15ECC">
        <w:rPr>
          <w:i/>
        </w:rPr>
        <w:t xml:space="preserve"> </w:t>
      </w:r>
      <w:r w:rsidR="0056586A">
        <w:rPr>
          <w:i/>
        </w:rPr>
        <w:t>b</w:t>
      </w:r>
      <w:r w:rsidR="0056586A" w:rsidRPr="00E15ECC">
        <w:rPr>
          <w:i/>
        </w:rPr>
        <w:t>etaOffsetsCrossPri</w:t>
      </w:r>
      <w:r w:rsidR="0056586A">
        <w:rPr>
          <w:i/>
        </w:rPr>
        <w:t>1</w:t>
      </w:r>
      <w:r w:rsidR="00B911F1" w:rsidRPr="00E15ECC">
        <w:rPr>
          <w:i/>
        </w:rPr>
        <w:t>, betaOffsetsCrossPri</w:t>
      </w:r>
      <w:r w:rsidR="00B911F1">
        <w:rPr>
          <w:i/>
        </w:rPr>
        <w:t>1</w:t>
      </w:r>
      <w:r w:rsidR="00B911F1" w:rsidRPr="00E15ECC">
        <w:rPr>
          <w:i/>
        </w:rPr>
        <w:t>DCI-0-2, or</w:t>
      </w:r>
      <w:r w:rsidR="00B911F1" w:rsidRPr="00E15ECC">
        <w:t xml:space="preserve"> </w:t>
      </w:r>
      <w:r w:rsidR="00B911F1" w:rsidRPr="00E15ECC">
        <w:rPr>
          <w:i/>
        </w:rPr>
        <w:t>cg-betaOffsetsCrossPri</w:t>
      </w:r>
      <w:r w:rsidR="00B911F1">
        <w:rPr>
          <w:i/>
        </w:rPr>
        <w:t>1</w:t>
      </w:r>
      <w:r w:rsidRPr="00111FF6">
        <w:t xml:space="preserve"> respectively provide indexes</w:t>
      </w:r>
      <w:r w:rsidRPr="00111FF6">
        <w:rPr>
          <w:rFonts w:hint="eastAsia"/>
          <w:lang w:val="en-US"/>
        </w:rPr>
        <w:t xml:space="preserve"> </w:t>
      </w:r>
      <m:oMath>
        <m:sSubSup>
          <m:sSubSupPr>
            <m:ctrlPr>
              <w:rPr>
                <w:rFonts w:ascii="Cambria Math" w:hAnsi="Cambria Math"/>
                <w:i/>
              </w:rPr>
            </m:ctrlPr>
          </m:sSubSupPr>
          <m:e>
            <m:r>
              <w:rPr>
                <w:rFonts w:ascii="Cambria Math" w:hAnsi="Cambria Math"/>
              </w:rPr>
              <m:t>I</m:t>
            </m:r>
          </m:e>
          <m:sub>
            <m:r>
              <m:rPr>
                <m:sty m:val="p"/>
              </m:rPr>
              <w:rPr>
                <w:rFonts w:ascii="Cambria Math" w:hAnsi="Cambria Math"/>
              </w:rPr>
              <m:t>offset,0</m:t>
            </m:r>
          </m:sub>
          <m:sup>
            <m:r>
              <m:rPr>
                <m:sty m:val="p"/>
              </m:rPr>
              <w:rPr>
                <w:rFonts w:ascii="Cambria Math" w:hAnsi="Cambria Math"/>
              </w:rPr>
              <m:t>HARQ-ACK,1</m:t>
            </m:r>
          </m:sup>
        </m:sSubSup>
      </m:oMath>
      <w:r w:rsidRPr="00111FF6">
        <w:t xml:space="preserve">, </w:t>
      </w:r>
      <m:oMath>
        <m:sSubSup>
          <m:sSubSupPr>
            <m:ctrlPr>
              <w:rPr>
                <w:rFonts w:ascii="Cambria Math" w:hAnsi="Cambria Math"/>
                <w:i/>
              </w:rPr>
            </m:ctrlPr>
          </m:sSubSupPr>
          <m:e>
            <m:r>
              <w:rPr>
                <w:rFonts w:ascii="Cambria Math" w:hAnsi="Cambria Math"/>
              </w:rPr>
              <m:t>I</m:t>
            </m:r>
          </m:e>
          <m:sub>
            <m:r>
              <m:rPr>
                <m:sty m:val="p"/>
              </m:rPr>
              <w:rPr>
                <w:rFonts w:ascii="Cambria Math" w:hAnsi="Cambria Math"/>
              </w:rPr>
              <m:t>offset,1</m:t>
            </m:r>
          </m:sub>
          <m:sup>
            <m:r>
              <m:rPr>
                <m:sty m:val="p"/>
              </m:rPr>
              <w:rPr>
                <w:rFonts w:ascii="Cambria Math" w:hAnsi="Cambria Math"/>
              </w:rPr>
              <m:t>HARQ-ACK,1</m:t>
            </m:r>
          </m:sup>
        </m:sSubSup>
      </m:oMath>
      <w:r w:rsidRPr="00111FF6">
        <w:t xml:space="preserve">, and </w:t>
      </w:r>
      <m:oMath>
        <m:sSubSup>
          <m:sSubSupPr>
            <m:ctrlPr>
              <w:rPr>
                <w:rFonts w:ascii="Cambria Math" w:hAnsi="Cambria Math"/>
                <w:i/>
              </w:rPr>
            </m:ctrlPr>
          </m:sSubSupPr>
          <m:e>
            <m:r>
              <w:rPr>
                <w:rFonts w:ascii="Cambria Math" w:hAnsi="Cambria Math"/>
              </w:rPr>
              <m:t>I</m:t>
            </m:r>
          </m:e>
          <m:sub>
            <m:r>
              <m:rPr>
                <m:sty m:val="p"/>
              </m:rPr>
              <w:rPr>
                <w:rFonts w:ascii="Cambria Math" w:hAnsi="Cambria Math"/>
              </w:rPr>
              <m:t>offset,2</m:t>
            </m:r>
          </m:sub>
          <m:sup>
            <m:r>
              <m:rPr>
                <m:sty m:val="p"/>
              </m:rPr>
              <w:rPr>
                <w:rFonts w:ascii="Cambria Math" w:hAnsi="Cambria Math"/>
              </w:rPr>
              <m:t>HARQ-ACK,1</m:t>
            </m:r>
          </m:sup>
        </m:sSubSup>
      </m:oMath>
      <w:r w:rsidRPr="00111FF6">
        <w:t xml:space="preserve"> for the UE to use if the UE multiplexes up to 2 bits, more than 2 and up to 11 bits, and more than 11 bits of HARQ-ACK information with priority 1 in the PUSCH transmission with priority 0, respectively.</w:t>
      </w:r>
    </w:p>
    <w:p w14:paraId="43DE68FB" w14:textId="7DFA64BA" w:rsidR="000F01B5" w:rsidRPr="00B916EC" w:rsidRDefault="000F01B5" w:rsidP="000F01B5">
      <w:pPr>
        <w:rPr>
          <w:lang w:eastAsia="zh-CN"/>
        </w:rPr>
      </w:pPr>
      <w:r>
        <w:t>Part 1 CSI report and Part 2 CSI</w:t>
      </w:r>
      <w:r w:rsidRPr="00B916EC">
        <w:t xml:space="preserve"> </w:t>
      </w:r>
      <w:r>
        <w:t xml:space="preserve">report </w:t>
      </w:r>
      <w:r w:rsidRPr="00B916EC">
        <w:t xml:space="preserve">offsets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CSI-1</m:t>
            </m:r>
          </m:sup>
        </m:sSubSup>
      </m:oMath>
      <w:r w:rsidRPr="00B916EC">
        <w:t xml:space="preserve"> and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CSI-2</m:t>
            </m:r>
          </m:sup>
        </m:sSubSup>
      </m:oMath>
      <w:r>
        <w:t>, respectively,</w:t>
      </w:r>
      <w:r w:rsidRPr="00B916EC">
        <w:t xml:space="preserve"> </w:t>
      </w:r>
      <w:r>
        <w:rPr>
          <w:lang w:val="en-US"/>
        </w:rPr>
        <w:t>are</w:t>
      </w:r>
      <w:r w:rsidRPr="00B916EC">
        <w:rPr>
          <w:rFonts w:hint="eastAsia"/>
          <w:lang w:val="en-US"/>
        </w:rPr>
        <w:t xml:space="preserve"> configured to values according to Table </w:t>
      </w:r>
      <w:r w:rsidRPr="00B916EC">
        <w:rPr>
          <w:lang w:val="en-US"/>
        </w:rPr>
        <w:t>9</w:t>
      </w:r>
      <w:r w:rsidRPr="00B916EC">
        <w:rPr>
          <w:rFonts w:hint="eastAsia"/>
          <w:lang w:val="en-US"/>
        </w:rPr>
        <w:t>.</w:t>
      </w:r>
      <w:r w:rsidRPr="00B916EC">
        <w:rPr>
          <w:lang w:val="en-US"/>
        </w:rPr>
        <w:t>3</w:t>
      </w:r>
      <w:r w:rsidRPr="00B916EC">
        <w:rPr>
          <w:rFonts w:hint="eastAsia"/>
          <w:lang w:val="en-US"/>
        </w:rPr>
        <w:t>-2</w:t>
      </w:r>
      <w:r>
        <w:rPr>
          <w:lang w:val="en-US"/>
        </w:rPr>
        <w:t>.</w:t>
      </w:r>
      <w:r w:rsidRPr="00B916EC">
        <w:rPr>
          <w:rFonts w:hint="eastAsia"/>
          <w:lang w:val="en-US"/>
        </w:rPr>
        <w:t xml:space="preserve"> </w:t>
      </w:r>
      <w:r>
        <w:t xml:space="preserve">The </w:t>
      </w:r>
      <w:r w:rsidRPr="003F427C">
        <w:rPr>
          <w:i/>
        </w:rPr>
        <w:t>betaOffsetCSI</w:t>
      </w:r>
      <w:r>
        <w:rPr>
          <w:i/>
        </w:rPr>
        <w:t>-</w:t>
      </w:r>
      <w:r w:rsidRPr="003F427C">
        <w:rPr>
          <w:i/>
        </w:rPr>
        <w:t>Part1-Index</w:t>
      </w:r>
      <w:r>
        <w:rPr>
          <w:i/>
        </w:rPr>
        <w:t xml:space="preserve">1 </w:t>
      </w:r>
      <w:r>
        <w:t xml:space="preserve">and </w:t>
      </w:r>
      <w:r w:rsidRPr="003F427C">
        <w:rPr>
          <w:i/>
        </w:rPr>
        <w:t>betaOffsetCSI</w:t>
      </w:r>
      <w:r>
        <w:rPr>
          <w:i/>
        </w:rPr>
        <w:t>-</w:t>
      </w:r>
      <w:r w:rsidRPr="003F427C">
        <w:rPr>
          <w:i/>
        </w:rPr>
        <w:t>Part2-Index</w:t>
      </w:r>
      <w:r>
        <w:rPr>
          <w:i/>
        </w:rPr>
        <w:t>1</w:t>
      </w:r>
      <w:r>
        <w:t xml:space="preserve"> respectively provide</w:t>
      </w:r>
      <w:r w:rsidRPr="00B916EC">
        <w:t xml:space="preserve"> index</w:t>
      </w:r>
      <w:r w:rsidRPr="00B916EC">
        <w:rPr>
          <w:rFonts w:hint="eastAsia"/>
        </w:rPr>
        <w:t>es</w:t>
      </w:r>
      <w:r w:rsidRPr="00B916EC">
        <w:rPr>
          <w:rFonts w:hint="eastAsia"/>
          <w:lang w:val="en-US"/>
        </w:rPr>
        <w:t xml:space="preserve"> </w:t>
      </w:r>
      <m:oMath>
        <m:sSubSup>
          <m:sSubSupPr>
            <m:ctrlPr>
              <w:rPr>
                <w:rFonts w:ascii="Cambria Math" w:hAnsi="Cambria Math"/>
                <w:i/>
              </w:rPr>
            </m:ctrlPr>
          </m:sSubSupPr>
          <m:e>
            <m:r>
              <w:rPr>
                <w:rFonts w:ascii="Cambria Math" w:hAnsi="Cambria Math"/>
              </w:rPr>
              <m:t>I</m:t>
            </m:r>
          </m:e>
          <m:sub>
            <m:r>
              <m:rPr>
                <m:sty m:val="p"/>
              </m:rPr>
              <w:rPr>
                <w:rFonts w:ascii="Cambria Math" w:hAnsi="Cambria Math"/>
              </w:rPr>
              <m:t>offset,0</m:t>
            </m:r>
          </m:sub>
          <m:sup>
            <m:r>
              <m:rPr>
                <m:sty m:val="p"/>
              </m:rPr>
              <w:rPr>
                <w:rFonts w:ascii="Cambria Math" w:hAnsi="Cambria Math"/>
              </w:rPr>
              <m:t>CSI-1</m:t>
            </m:r>
          </m:sup>
        </m:sSubSup>
      </m:oMath>
      <w:r w:rsidRPr="00B916EC">
        <w:rPr>
          <w:rFonts w:hint="eastAsia"/>
        </w:rPr>
        <w:t xml:space="preserve"> </w:t>
      </w:r>
      <w:r>
        <w:t>and</w:t>
      </w:r>
      <w:r w:rsidRPr="00B916EC">
        <w:rPr>
          <w:rFonts w:hint="eastAsia"/>
        </w:rPr>
        <w:t xml:space="preserve"> </w:t>
      </w:r>
      <m:oMath>
        <m:sSubSup>
          <m:sSubSupPr>
            <m:ctrlPr>
              <w:rPr>
                <w:rFonts w:ascii="Cambria Math" w:hAnsi="Cambria Math"/>
                <w:i/>
              </w:rPr>
            </m:ctrlPr>
          </m:sSubSupPr>
          <m:e>
            <m:r>
              <w:rPr>
                <w:rFonts w:ascii="Cambria Math" w:hAnsi="Cambria Math"/>
              </w:rPr>
              <m:t>I</m:t>
            </m:r>
          </m:e>
          <m:sub>
            <m:r>
              <m:rPr>
                <m:sty m:val="p"/>
              </m:rPr>
              <w:rPr>
                <w:rFonts w:ascii="Cambria Math" w:hAnsi="Cambria Math"/>
              </w:rPr>
              <m:t>offset,0</m:t>
            </m:r>
          </m:sub>
          <m:sup>
            <m:r>
              <m:rPr>
                <m:sty m:val="p"/>
              </m:rPr>
              <w:rPr>
                <w:rFonts w:ascii="Cambria Math" w:hAnsi="Cambria Math"/>
              </w:rPr>
              <m:t>CSI-2</m:t>
            </m:r>
          </m:sup>
        </m:sSubSup>
      </m:oMath>
      <w:r w:rsidRPr="00B916EC">
        <w:t xml:space="preserve"> </w:t>
      </w:r>
      <w:r>
        <w:t xml:space="preserve">for the UE to use </w:t>
      </w:r>
      <w:r w:rsidRPr="00B916EC">
        <w:t xml:space="preserve">if the UE </w:t>
      </w:r>
      <w:r>
        <w:t>multiplexes</w:t>
      </w:r>
      <w:r w:rsidRPr="00B916EC">
        <w:t xml:space="preserve"> up to 11 bits for </w:t>
      </w:r>
      <w:r>
        <w:t xml:space="preserve">Part 1 </w:t>
      </w:r>
      <w:r w:rsidRPr="00B916EC">
        <w:t xml:space="preserve">CSI </w:t>
      </w:r>
      <w:r>
        <w:t xml:space="preserve">reports </w:t>
      </w:r>
      <w:r w:rsidRPr="00B916EC">
        <w:t xml:space="preserve">or </w:t>
      </w:r>
      <w:r>
        <w:t xml:space="preserve">Part 2 </w:t>
      </w:r>
      <w:r w:rsidRPr="00B916EC">
        <w:t xml:space="preserve">CSI </w:t>
      </w:r>
      <w:r>
        <w:t>reports in</w:t>
      </w:r>
      <w:r w:rsidRPr="00B916EC">
        <w:t xml:space="preserve"> </w:t>
      </w:r>
      <w:r>
        <w:t>the</w:t>
      </w:r>
      <w:r w:rsidRPr="00B916EC">
        <w:t xml:space="preserve"> PUSCH</w:t>
      </w:r>
      <w:r>
        <w:t>.</w:t>
      </w:r>
      <w:r w:rsidRPr="00B916EC">
        <w:rPr>
          <w:rFonts w:hint="eastAsia"/>
        </w:rPr>
        <w:t xml:space="preserve"> </w:t>
      </w:r>
      <w:r>
        <w:t xml:space="preserve">The </w:t>
      </w:r>
      <w:r w:rsidRPr="003F427C">
        <w:rPr>
          <w:i/>
        </w:rPr>
        <w:t>betaOffsetCSI</w:t>
      </w:r>
      <w:r>
        <w:rPr>
          <w:i/>
        </w:rPr>
        <w:t>-</w:t>
      </w:r>
      <w:r w:rsidRPr="003F427C">
        <w:rPr>
          <w:i/>
        </w:rPr>
        <w:t>Part1-Index</w:t>
      </w:r>
      <w:r>
        <w:rPr>
          <w:i/>
        </w:rPr>
        <w:t>2</w:t>
      </w:r>
      <w:r>
        <w:t xml:space="preserve"> and </w:t>
      </w:r>
      <w:r w:rsidRPr="003F427C">
        <w:rPr>
          <w:i/>
        </w:rPr>
        <w:t>betaOffsetCSI</w:t>
      </w:r>
      <w:r>
        <w:rPr>
          <w:i/>
        </w:rPr>
        <w:t>-</w:t>
      </w:r>
      <w:r w:rsidRPr="003F427C">
        <w:rPr>
          <w:i/>
        </w:rPr>
        <w:t>Part2-Index</w:t>
      </w:r>
      <w:r>
        <w:rPr>
          <w:i/>
        </w:rPr>
        <w:t>2</w:t>
      </w:r>
      <w:r>
        <w:t xml:space="preserve"> respectively provide</w:t>
      </w:r>
      <w:r w:rsidRPr="00B916EC">
        <w:t xml:space="preserve"> index</w:t>
      </w:r>
      <w:r w:rsidRPr="00B916EC">
        <w:rPr>
          <w:rFonts w:hint="eastAsia"/>
        </w:rPr>
        <w:t>es</w:t>
      </w:r>
      <w:r w:rsidRPr="00B916EC">
        <w:rPr>
          <w:rFonts w:hint="eastAsia"/>
          <w:lang w:val="en-US"/>
        </w:rPr>
        <w:t xml:space="preserve"> </w:t>
      </w:r>
      <m:oMath>
        <m:sSubSup>
          <m:sSubSupPr>
            <m:ctrlPr>
              <w:rPr>
                <w:rFonts w:ascii="Cambria Math" w:hAnsi="Cambria Math"/>
                <w:i/>
              </w:rPr>
            </m:ctrlPr>
          </m:sSubSupPr>
          <m:e>
            <m:r>
              <w:rPr>
                <w:rFonts w:ascii="Cambria Math" w:hAnsi="Cambria Math"/>
              </w:rPr>
              <m:t>I</m:t>
            </m:r>
          </m:e>
          <m:sub>
            <m:r>
              <m:rPr>
                <m:sty m:val="p"/>
              </m:rPr>
              <w:rPr>
                <w:rFonts w:ascii="Cambria Math" w:hAnsi="Cambria Math"/>
              </w:rPr>
              <m:t>offset,1</m:t>
            </m:r>
          </m:sub>
          <m:sup>
            <m:r>
              <m:rPr>
                <m:sty m:val="p"/>
              </m:rPr>
              <w:rPr>
                <w:rFonts w:ascii="Cambria Math" w:hAnsi="Cambria Math"/>
              </w:rPr>
              <m:t>CSI-1</m:t>
            </m:r>
          </m:sup>
        </m:sSubSup>
      </m:oMath>
      <w:r w:rsidRPr="00B916EC">
        <w:rPr>
          <w:rFonts w:hint="eastAsia"/>
        </w:rPr>
        <w:t xml:space="preserve"> or </w:t>
      </w:r>
      <m:oMath>
        <m:sSubSup>
          <m:sSubSupPr>
            <m:ctrlPr>
              <w:rPr>
                <w:rFonts w:ascii="Cambria Math" w:hAnsi="Cambria Math"/>
                <w:i/>
              </w:rPr>
            </m:ctrlPr>
          </m:sSubSupPr>
          <m:e>
            <m:r>
              <w:rPr>
                <w:rFonts w:ascii="Cambria Math" w:hAnsi="Cambria Math"/>
              </w:rPr>
              <m:t>I</m:t>
            </m:r>
          </m:e>
          <m:sub>
            <m:r>
              <m:rPr>
                <m:sty m:val="p"/>
              </m:rPr>
              <w:rPr>
                <w:rFonts w:ascii="Cambria Math" w:hAnsi="Cambria Math"/>
              </w:rPr>
              <m:t>offset,1</m:t>
            </m:r>
          </m:sub>
          <m:sup>
            <m:r>
              <m:rPr>
                <m:sty m:val="p"/>
              </m:rPr>
              <w:rPr>
                <w:rFonts w:ascii="Cambria Math" w:hAnsi="Cambria Math"/>
              </w:rPr>
              <m:t>CSI-2</m:t>
            </m:r>
          </m:sup>
        </m:sSubSup>
      </m:oMath>
      <w:r>
        <w:t xml:space="preserve"> for the UE to use </w:t>
      </w:r>
      <w:r w:rsidRPr="00B916EC">
        <w:t xml:space="preserve">if the UE </w:t>
      </w:r>
      <w:r>
        <w:t>multiplexes</w:t>
      </w:r>
      <w:r w:rsidRPr="00B916EC">
        <w:t xml:space="preserve"> more than 11 bits for </w:t>
      </w:r>
      <w:r>
        <w:t xml:space="preserve">Part 1 </w:t>
      </w:r>
      <w:r w:rsidRPr="00B916EC">
        <w:t xml:space="preserve">CSI </w:t>
      </w:r>
      <w:r>
        <w:t xml:space="preserve">reports </w:t>
      </w:r>
      <w:r w:rsidRPr="00B916EC">
        <w:t xml:space="preserve">or </w:t>
      </w:r>
      <w:r>
        <w:t xml:space="preserve">Part 2 </w:t>
      </w:r>
      <w:r w:rsidRPr="00B916EC">
        <w:t xml:space="preserve">CSI </w:t>
      </w:r>
      <w:r>
        <w:t>reports in</w:t>
      </w:r>
      <w:r w:rsidRPr="00B916EC">
        <w:t xml:space="preserve"> </w:t>
      </w:r>
      <w:r>
        <w:t>the</w:t>
      </w:r>
      <w:r w:rsidRPr="00B916EC">
        <w:t xml:space="preserve"> PUSCH.</w:t>
      </w:r>
    </w:p>
    <w:p w14:paraId="466E2E8A" w14:textId="7A253A4F" w:rsidR="000F01B5" w:rsidRDefault="000F01B5" w:rsidP="000F01B5">
      <w:r w:rsidRPr="00B916EC">
        <w:t xml:space="preserve">If </w:t>
      </w:r>
      <w:r>
        <w:t xml:space="preserve">a </w:t>
      </w:r>
      <w:r w:rsidRPr="00B916EC">
        <w:t xml:space="preserve">DCI format </w:t>
      </w:r>
      <w:r w:rsidR="007E7DE5">
        <w:t>that</w:t>
      </w:r>
      <w:r>
        <w:t xml:space="preserve"> </w:t>
      </w:r>
      <w:r w:rsidRPr="00B916EC">
        <w:t xml:space="preserve">includes a </w:t>
      </w:r>
      <w:r>
        <w:t>beta_</w:t>
      </w:r>
      <w:r w:rsidRPr="00B916EC">
        <w:t>offset indicator field</w:t>
      </w:r>
      <w:r w:rsidR="007E7DE5" w:rsidRPr="00EE027F">
        <w:t xml:space="preserve"> with one bit or two bits</w:t>
      </w:r>
      <w:r w:rsidRPr="00B916EC">
        <w:t xml:space="preserve">, </w:t>
      </w:r>
      <w:r>
        <w:t xml:space="preserve">as configured by </w:t>
      </w:r>
      <w:r w:rsidR="00664302" w:rsidRPr="001074E1">
        <w:rPr>
          <w:i/>
        </w:rPr>
        <w:t>UCI-OnPUSCH</w:t>
      </w:r>
      <w:r w:rsidR="00664302" w:rsidRPr="00324DED">
        <w:t xml:space="preserve"> </w:t>
      </w:r>
      <w:r w:rsidR="00664302">
        <w:rPr>
          <w:rFonts w:hint="eastAsia"/>
          <w:lang w:eastAsia="zh-CN"/>
        </w:rPr>
        <w:t xml:space="preserve">for </w:t>
      </w:r>
      <w:r w:rsidR="00664302" w:rsidRPr="003A3AD4">
        <w:t>DCI format 0_1</w:t>
      </w:r>
      <w:r w:rsidR="00624E99" w:rsidRPr="00620294">
        <w:rPr>
          <w:iCs/>
        </w:rPr>
        <w:t xml:space="preserve"> </w:t>
      </w:r>
      <w:r w:rsidR="00624E99">
        <w:rPr>
          <w:iCs/>
        </w:rPr>
        <w:t>or</w:t>
      </w:r>
      <w:r w:rsidR="00664302">
        <w:rPr>
          <w:iCs/>
        </w:rPr>
        <w:t xml:space="preserve"> </w:t>
      </w:r>
      <w:r w:rsidR="00624E99" w:rsidRPr="00BD5A9F">
        <w:rPr>
          <w:i/>
        </w:rPr>
        <w:t>UCI-OnPUSCH-DCI-0-2</w:t>
      </w:r>
      <w:r w:rsidR="00664302" w:rsidRPr="00181701">
        <w:rPr>
          <w:rFonts w:hint="eastAsia"/>
          <w:lang w:eastAsia="zh-CN"/>
        </w:rPr>
        <w:t xml:space="preserve"> </w:t>
      </w:r>
      <w:r w:rsidR="00664302">
        <w:rPr>
          <w:rFonts w:hint="eastAsia"/>
          <w:lang w:eastAsia="zh-CN"/>
        </w:rPr>
        <w:t xml:space="preserve">for </w:t>
      </w:r>
      <w:r w:rsidR="00664302" w:rsidRPr="003A3AD4">
        <w:t>DCI format 0_</w:t>
      </w:r>
      <w:r w:rsidR="00664302">
        <w:rPr>
          <w:rFonts w:hint="eastAsia"/>
          <w:lang w:eastAsia="zh-CN"/>
        </w:rPr>
        <w:t>2</w:t>
      </w:r>
      <w:r w:rsidR="00E00F29">
        <w:rPr>
          <w:lang w:eastAsia="zh-CN"/>
        </w:rPr>
        <w:t xml:space="preserve"> </w:t>
      </w:r>
      <w:r w:rsidR="00E00F29">
        <w:rPr>
          <w:iCs/>
        </w:rPr>
        <w:t xml:space="preserve">or </w:t>
      </w:r>
      <w:r w:rsidR="00E00F29" w:rsidRPr="00BD5A9F">
        <w:rPr>
          <w:i/>
        </w:rPr>
        <w:t>UCI-OnPUSCH-DCI-0-</w:t>
      </w:r>
      <w:r w:rsidR="00E00F29">
        <w:rPr>
          <w:i/>
        </w:rPr>
        <w:t>3</w:t>
      </w:r>
      <w:r w:rsidR="00C91011" w:rsidRPr="00EE027F">
        <w:t>, schedules the PUSCH transmission from the UE</w:t>
      </w:r>
      <w:r>
        <w:t>,</w:t>
      </w:r>
      <w:r w:rsidRPr="00B916EC">
        <w:t xml:space="preserve"> the UE </w:t>
      </w:r>
      <w:r>
        <w:t>is provided by each of {</w:t>
      </w:r>
      <w:r w:rsidRPr="003F427C">
        <w:rPr>
          <w:i/>
        </w:rPr>
        <w:t>betaOffsetACK-Index</w:t>
      </w:r>
      <w:r>
        <w:rPr>
          <w:i/>
        </w:rPr>
        <w:t>1</w:t>
      </w:r>
      <w:r>
        <w:t>,</w:t>
      </w:r>
      <w:r w:rsidRPr="00B916EC">
        <w:t xml:space="preserve"> </w:t>
      </w:r>
      <w:r w:rsidRPr="003F427C">
        <w:rPr>
          <w:i/>
        </w:rPr>
        <w:t>betaOffsetACK-Index</w:t>
      </w:r>
      <w:r>
        <w:rPr>
          <w:i/>
        </w:rPr>
        <w:t>2</w:t>
      </w:r>
      <w:r>
        <w:t xml:space="preserve">, </w:t>
      </w:r>
      <w:r w:rsidRPr="003F427C">
        <w:rPr>
          <w:i/>
        </w:rPr>
        <w:t>betaOffsetACK-Index</w:t>
      </w:r>
      <w:r>
        <w:rPr>
          <w:i/>
        </w:rPr>
        <w:t>3</w:t>
      </w:r>
      <w:r>
        <w:t>}</w:t>
      </w:r>
      <w:r w:rsidR="00EA04C3" w:rsidRPr="00111FF6">
        <w:t xml:space="preserve">, </w:t>
      </w:r>
      <w:r w:rsidR="00B911F1">
        <w:t xml:space="preserve">the {first, second, third} values </w:t>
      </w:r>
      <w:r w:rsidR="00B911F1" w:rsidRPr="00A643B5">
        <w:t xml:space="preserve">provided by </w:t>
      </w:r>
      <w:r w:rsidR="0056586A">
        <w:rPr>
          <w:i/>
        </w:rPr>
        <w:t>b</w:t>
      </w:r>
      <w:r w:rsidR="0056586A" w:rsidRPr="00422F93">
        <w:rPr>
          <w:i/>
        </w:rPr>
        <w:t>etaOffsetsCrossPri</w:t>
      </w:r>
      <w:r w:rsidR="0056586A">
        <w:rPr>
          <w:i/>
        </w:rPr>
        <w:t>0</w:t>
      </w:r>
      <w:r w:rsidR="00B911F1" w:rsidRPr="00E00F29">
        <w:rPr>
          <w:iCs/>
        </w:rPr>
        <w:t xml:space="preserve">, or </w:t>
      </w:r>
      <w:r w:rsidR="00B911F1" w:rsidRPr="00C421E3">
        <w:rPr>
          <w:i/>
        </w:rPr>
        <w:t>betaOffsetsCrossPri0DCI-0-2</w:t>
      </w:r>
      <w:r w:rsidR="00B911F1">
        <w:rPr>
          <w:i/>
        </w:rPr>
        <w:t xml:space="preserve">, </w:t>
      </w:r>
      <w:r w:rsidR="00B911F1" w:rsidRPr="006C34AA">
        <w:t>and</w:t>
      </w:r>
      <w:r w:rsidR="00B911F1">
        <w:t xml:space="preserve"> the {first, second, third} values </w:t>
      </w:r>
      <w:r w:rsidR="00B911F1" w:rsidRPr="00A643B5">
        <w:t>provided by</w:t>
      </w:r>
      <w:r w:rsidR="00B911F1">
        <w:t xml:space="preserve"> </w:t>
      </w:r>
      <w:r w:rsidR="0056586A">
        <w:rPr>
          <w:i/>
        </w:rPr>
        <w:t>b</w:t>
      </w:r>
      <w:r w:rsidR="0056586A" w:rsidRPr="00422F93">
        <w:rPr>
          <w:i/>
        </w:rPr>
        <w:t>etaOffsetsCrossPri</w:t>
      </w:r>
      <w:r w:rsidR="0056586A">
        <w:rPr>
          <w:i/>
        </w:rPr>
        <w:t>1</w:t>
      </w:r>
      <w:r w:rsidR="00B911F1" w:rsidRPr="00E00F29">
        <w:rPr>
          <w:iCs/>
        </w:rPr>
        <w:t xml:space="preserve">, or </w:t>
      </w:r>
      <w:r w:rsidR="00B911F1" w:rsidRPr="00C421E3">
        <w:rPr>
          <w:i/>
        </w:rPr>
        <w:t>betaOffsetsCrossPri</w:t>
      </w:r>
      <w:r w:rsidR="00B911F1">
        <w:rPr>
          <w:i/>
        </w:rPr>
        <w:t>1</w:t>
      </w:r>
      <w:r w:rsidR="00B911F1" w:rsidRPr="00C421E3">
        <w:rPr>
          <w:i/>
        </w:rPr>
        <w:t>DCI-0-2</w:t>
      </w:r>
      <w:r w:rsidR="00E00F29" w:rsidRPr="00E00F29">
        <w:rPr>
          <w:iCs/>
        </w:rPr>
        <w:t>,</w:t>
      </w:r>
      <w:r w:rsidRPr="00B916EC">
        <w:t xml:space="preserve"> a set of </w:t>
      </w:r>
      <w:r w:rsidR="00C91011" w:rsidRPr="00EE027F">
        <w:t xml:space="preserve">two or </w:t>
      </w:r>
      <w:r w:rsidRPr="00B916EC">
        <w:t xml:space="preserve">four </w:t>
      </w:r>
      <m:oMath>
        <m:sSubSup>
          <m:sSubSupPr>
            <m:ctrlPr>
              <w:rPr>
                <w:rFonts w:ascii="Cambria Math" w:hAnsi="Cambria Math"/>
                <w:i/>
              </w:rPr>
            </m:ctrlPr>
          </m:sSubSupPr>
          <m:e>
            <m:r>
              <w:rPr>
                <w:rFonts w:ascii="Cambria Math" w:hAnsi="Cambria Math"/>
              </w:rPr>
              <m:t>I</m:t>
            </m:r>
          </m:e>
          <m:sub>
            <m:r>
              <m:rPr>
                <m:sty m:val="p"/>
              </m:rPr>
              <w:rPr>
                <w:rFonts w:ascii="Cambria Math" w:hAnsi="Cambria Math"/>
              </w:rPr>
              <m:t>offset</m:t>
            </m:r>
          </m:sub>
          <m:sup>
            <m:r>
              <m:rPr>
                <m:sty m:val="p"/>
              </m:rPr>
              <w:rPr>
                <w:rFonts w:ascii="Cambria Math" w:hAnsi="Cambria Math"/>
              </w:rPr>
              <m:t>HARQ-ACK</m:t>
            </m:r>
          </m:sup>
        </m:sSubSup>
        <m:r>
          <m:rPr>
            <m:sty m:val="p"/>
          </m:rPr>
          <w:rPr>
            <w:rFonts w:ascii="Cambria Math" w:hAnsi="Cambria Math"/>
          </w:rPr>
          <m:t xml:space="preserve">, </m:t>
        </m:r>
        <m:sSubSup>
          <m:sSubSupPr>
            <m:ctrlPr>
              <w:rPr>
                <w:rFonts w:ascii="Cambria Math" w:hAnsi="Cambria Math"/>
                <w:i/>
              </w:rPr>
            </m:ctrlPr>
          </m:sSubSupPr>
          <m:e>
            <m:r>
              <w:rPr>
                <w:rFonts w:ascii="Cambria Math" w:hAnsi="Cambria Math"/>
              </w:rPr>
              <m:t>I</m:t>
            </m:r>
          </m:e>
          <m:sub>
            <m:r>
              <m:rPr>
                <m:sty m:val="p"/>
              </m:rPr>
              <w:rPr>
                <w:rFonts w:ascii="Cambria Math" w:hAnsi="Cambria Math"/>
              </w:rPr>
              <m:t>offset</m:t>
            </m:r>
          </m:sub>
          <m:sup>
            <m:r>
              <m:rPr>
                <m:sty m:val="p"/>
              </m:rPr>
              <w:rPr>
                <w:rFonts w:ascii="Cambria Math" w:hAnsi="Cambria Math"/>
              </w:rPr>
              <m:t>HARQ-ACK,0</m:t>
            </m:r>
          </m:sup>
        </m:sSubSup>
        <m:r>
          <m:rPr>
            <m:sty m:val="p"/>
          </m:rPr>
          <w:rPr>
            <w:rFonts w:ascii="Cambria Math" w:hAnsi="Cambria Math"/>
          </w:rPr>
          <m:t xml:space="preserve">, and </m:t>
        </m:r>
        <m:sSubSup>
          <m:sSubSupPr>
            <m:ctrlPr>
              <w:rPr>
                <w:rFonts w:ascii="Cambria Math" w:hAnsi="Cambria Math"/>
                <w:i/>
              </w:rPr>
            </m:ctrlPr>
          </m:sSubSupPr>
          <m:e>
            <m:r>
              <w:rPr>
                <w:rFonts w:ascii="Cambria Math" w:hAnsi="Cambria Math"/>
              </w:rPr>
              <m:t>I</m:t>
            </m:r>
          </m:e>
          <m:sub>
            <m:r>
              <m:rPr>
                <m:sty m:val="p"/>
              </m:rPr>
              <w:rPr>
                <w:rFonts w:ascii="Cambria Math" w:hAnsi="Cambria Math"/>
              </w:rPr>
              <m:t>offset</m:t>
            </m:r>
          </m:sub>
          <m:sup>
            <m:r>
              <m:rPr>
                <m:sty m:val="p"/>
              </m:rPr>
              <w:rPr>
                <w:rFonts w:ascii="Cambria Math" w:hAnsi="Cambria Math"/>
              </w:rPr>
              <m:t>HARQ-ACK,1</m:t>
            </m:r>
          </m:sup>
        </m:sSubSup>
        <m:r>
          <m:rPr>
            <m:sty m:val="p"/>
          </m:rPr>
          <w:rPr>
            <w:rFonts w:ascii="Cambria Math" w:hAnsi="Cambria Math"/>
          </w:rPr>
          <m:t xml:space="preserve"> </m:t>
        </m:r>
      </m:oMath>
      <w:r w:rsidRPr="00B916EC">
        <w:t xml:space="preserve"> indexes</w:t>
      </w:r>
      <w:r w:rsidR="00EA04C3" w:rsidRPr="00111FF6">
        <w:t xml:space="preserve"> </w:t>
      </w:r>
      <w:r w:rsidR="00EA04C3" w:rsidRPr="00111FF6">
        <w:rPr>
          <w:lang w:val="en-US"/>
        </w:rPr>
        <w:t>from</w:t>
      </w:r>
      <w:r w:rsidR="00EA04C3" w:rsidRPr="00111FF6">
        <w:rPr>
          <w:rFonts w:hint="eastAsia"/>
          <w:lang w:val="en-US"/>
        </w:rPr>
        <w:t xml:space="preserve"> Table </w:t>
      </w:r>
      <w:r w:rsidR="00EA04C3" w:rsidRPr="00111FF6">
        <w:rPr>
          <w:lang w:val="en-US"/>
        </w:rPr>
        <w:t>9.3</w:t>
      </w:r>
      <w:r w:rsidR="00EA04C3" w:rsidRPr="00111FF6">
        <w:rPr>
          <w:rFonts w:hint="eastAsia"/>
          <w:lang w:val="en-US"/>
        </w:rPr>
        <w:t>-1</w:t>
      </w:r>
      <w:r w:rsidR="00EA04C3" w:rsidRPr="00111FF6">
        <w:t xml:space="preserve"> </w:t>
      </w:r>
      <w:r w:rsidR="00EA04C3" w:rsidRPr="00111FF6">
        <w:rPr>
          <w:lang w:val="en-US"/>
        </w:rPr>
        <w:t>for multiplexing HARQ-ACK information</w:t>
      </w:r>
      <w:r w:rsidR="00EA04C3" w:rsidRPr="00111FF6">
        <w:t xml:space="preserve"> in the PUSCH transmission and</w:t>
      </w:r>
      <w:r w:rsidRPr="00B916EC">
        <w:rPr>
          <w:rFonts w:hint="eastAsia"/>
        </w:rPr>
        <w:t xml:space="preserve"> </w:t>
      </w:r>
      <w:r>
        <w:t>by each of {</w:t>
      </w:r>
      <w:r w:rsidRPr="003F427C">
        <w:rPr>
          <w:i/>
        </w:rPr>
        <w:t>betaOffsetCSI</w:t>
      </w:r>
      <w:r>
        <w:rPr>
          <w:i/>
        </w:rPr>
        <w:t>-</w:t>
      </w:r>
      <w:r w:rsidRPr="003F427C">
        <w:rPr>
          <w:i/>
        </w:rPr>
        <w:t>Part1-Index</w:t>
      </w:r>
      <w:r>
        <w:rPr>
          <w:i/>
        </w:rPr>
        <w:t>1</w:t>
      </w:r>
      <w:r>
        <w:t>,</w:t>
      </w:r>
      <w:r w:rsidRPr="00B916EC">
        <w:t xml:space="preserve"> </w:t>
      </w:r>
      <w:r w:rsidRPr="003F427C">
        <w:rPr>
          <w:i/>
        </w:rPr>
        <w:t>betaOffsetCSI</w:t>
      </w:r>
      <w:r>
        <w:rPr>
          <w:i/>
        </w:rPr>
        <w:t>-</w:t>
      </w:r>
      <w:r w:rsidRPr="003F427C">
        <w:rPr>
          <w:i/>
        </w:rPr>
        <w:t>Part1-Index</w:t>
      </w:r>
      <w:r>
        <w:rPr>
          <w:i/>
        </w:rPr>
        <w:t>2</w:t>
      </w:r>
      <w:r>
        <w:t>}</w:t>
      </w:r>
      <w:r w:rsidRPr="00B916EC">
        <w:t xml:space="preserve"> a set of </w:t>
      </w:r>
      <w:r w:rsidR="00C91011" w:rsidRPr="00EE027F">
        <w:t xml:space="preserve">two or </w:t>
      </w:r>
      <w:r w:rsidRPr="00B916EC">
        <w:t xml:space="preserve">four </w:t>
      </w:r>
      <m:oMath>
        <m:sSubSup>
          <m:sSubSupPr>
            <m:ctrlPr>
              <w:rPr>
                <w:rFonts w:ascii="Cambria Math" w:hAnsi="Cambria Math"/>
                <w:i/>
              </w:rPr>
            </m:ctrlPr>
          </m:sSubSupPr>
          <m:e>
            <m:r>
              <w:rPr>
                <w:rFonts w:ascii="Cambria Math" w:hAnsi="Cambria Math"/>
              </w:rPr>
              <m:t>I</m:t>
            </m:r>
          </m:e>
          <m:sub>
            <m:r>
              <m:rPr>
                <m:sty m:val="p"/>
              </m:rPr>
              <w:rPr>
                <w:rFonts w:ascii="Cambria Math" w:hAnsi="Cambria Math"/>
              </w:rPr>
              <m:t>offset</m:t>
            </m:r>
          </m:sub>
          <m:sup>
            <m:r>
              <m:rPr>
                <m:sty m:val="p"/>
              </m:rPr>
              <w:rPr>
                <w:rFonts w:ascii="Cambria Math" w:hAnsi="Cambria Math"/>
              </w:rPr>
              <m:t>CSI-1</m:t>
            </m:r>
          </m:sup>
        </m:sSubSup>
      </m:oMath>
      <w:r w:rsidRPr="00B916EC">
        <w:t xml:space="preserve"> indexes</w:t>
      </w:r>
      <w:r w:rsidR="00C91011">
        <w:t>,</w:t>
      </w:r>
      <w:r w:rsidRPr="00B916EC">
        <w:t xml:space="preserve"> and </w:t>
      </w:r>
      <w:r>
        <w:t>by each of {</w:t>
      </w:r>
      <w:r w:rsidRPr="003F427C">
        <w:rPr>
          <w:i/>
        </w:rPr>
        <w:t>betaOffsetCSI</w:t>
      </w:r>
      <w:r>
        <w:rPr>
          <w:i/>
        </w:rPr>
        <w:t>-</w:t>
      </w:r>
      <w:r w:rsidRPr="003F427C">
        <w:rPr>
          <w:i/>
        </w:rPr>
        <w:t>Part2-Index</w:t>
      </w:r>
      <w:r>
        <w:rPr>
          <w:i/>
        </w:rPr>
        <w:t>1</w:t>
      </w:r>
      <w:r>
        <w:t>,</w:t>
      </w:r>
      <w:r w:rsidRPr="00B916EC">
        <w:t xml:space="preserve"> </w:t>
      </w:r>
      <w:r w:rsidRPr="003F427C">
        <w:rPr>
          <w:i/>
        </w:rPr>
        <w:t>betaOffsetCSI</w:t>
      </w:r>
      <w:r>
        <w:rPr>
          <w:i/>
        </w:rPr>
        <w:t>-</w:t>
      </w:r>
      <w:r w:rsidRPr="003F427C">
        <w:rPr>
          <w:i/>
        </w:rPr>
        <w:t>Part2-Index</w:t>
      </w:r>
      <w:r>
        <w:rPr>
          <w:i/>
        </w:rPr>
        <w:t>2</w:t>
      </w:r>
      <w:r>
        <w:t>}</w:t>
      </w:r>
      <w:r w:rsidRPr="00B916EC">
        <w:t xml:space="preserve"> a set of </w:t>
      </w:r>
      <w:r w:rsidR="00C91011" w:rsidRPr="00EE027F">
        <w:t xml:space="preserve">two or </w:t>
      </w:r>
      <w:r w:rsidRPr="00B916EC">
        <w:t>four</w:t>
      </w:r>
      <w:r w:rsidRPr="00B916EC">
        <w:rPr>
          <w:rFonts w:hint="eastAsia"/>
        </w:rPr>
        <w:t xml:space="preserve"> </w:t>
      </w:r>
      <m:oMath>
        <m:sSubSup>
          <m:sSubSupPr>
            <m:ctrlPr>
              <w:rPr>
                <w:rFonts w:ascii="Cambria Math" w:hAnsi="Cambria Math"/>
                <w:i/>
              </w:rPr>
            </m:ctrlPr>
          </m:sSubSupPr>
          <m:e>
            <m:r>
              <w:rPr>
                <w:rFonts w:ascii="Cambria Math" w:hAnsi="Cambria Math"/>
              </w:rPr>
              <m:t>I</m:t>
            </m:r>
          </m:e>
          <m:sub>
            <m:r>
              <m:rPr>
                <m:sty m:val="p"/>
              </m:rPr>
              <w:rPr>
                <w:rFonts w:ascii="Cambria Math" w:hAnsi="Cambria Math"/>
              </w:rPr>
              <m:t>offset</m:t>
            </m:r>
          </m:sub>
          <m:sup>
            <m:r>
              <m:rPr>
                <m:sty m:val="p"/>
              </m:rPr>
              <w:rPr>
                <w:rFonts w:ascii="Cambria Math" w:hAnsi="Cambria Math"/>
              </w:rPr>
              <m:t>CSI-2</m:t>
            </m:r>
          </m:sup>
        </m:sSubSup>
      </m:oMath>
      <w:r w:rsidRPr="00B916EC">
        <w:t xml:space="preserve"> indexes </w:t>
      </w:r>
      <w:r w:rsidRPr="00B916EC">
        <w:rPr>
          <w:lang w:val="en-US"/>
        </w:rPr>
        <w:t>from</w:t>
      </w:r>
      <w:r w:rsidRPr="00B916EC">
        <w:rPr>
          <w:rFonts w:hint="eastAsia"/>
          <w:lang w:val="en-US"/>
        </w:rPr>
        <w:t xml:space="preserve"> </w:t>
      </w:r>
      <w:r w:rsidR="00EA04C3" w:rsidRPr="00111FF6">
        <w:rPr>
          <w:rFonts w:hint="eastAsia"/>
          <w:lang w:val="en-US"/>
        </w:rPr>
        <w:t xml:space="preserve">Table </w:t>
      </w:r>
      <w:r w:rsidRPr="00B916EC">
        <w:rPr>
          <w:lang w:val="en-US"/>
        </w:rPr>
        <w:t xml:space="preserve"> 9.3-</w:t>
      </w:r>
      <w:r w:rsidRPr="00B916EC">
        <w:rPr>
          <w:rFonts w:hint="eastAsia"/>
          <w:lang w:val="en-US"/>
        </w:rPr>
        <w:t>2</w:t>
      </w:r>
      <w:r w:rsidRPr="00B916EC">
        <w:rPr>
          <w:lang w:val="en-US"/>
        </w:rPr>
        <w:t xml:space="preserve">, respectively, for </w:t>
      </w:r>
      <w:r>
        <w:rPr>
          <w:lang w:val="en-US"/>
        </w:rPr>
        <w:t>multiplexing</w:t>
      </w:r>
      <w:r w:rsidRPr="00B916EC">
        <w:rPr>
          <w:lang w:val="en-US"/>
        </w:rPr>
        <w:t xml:space="preserve"> </w:t>
      </w:r>
      <w:r>
        <w:rPr>
          <w:lang w:val="en-US"/>
        </w:rPr>
        <w:t xml:space="preserve">Part 1 </w:t>
      </w:r>
      <w:r w:rsidRPr="00B916EC">
        <w:rPr>
          <w:lang w:val="en-US"/>
        </w:rPr>
        <w:t xml:space="preserve">CSI </w:t>
      </w:r>
      <w:r>
        <w:rPr>
          <w:lang w:val="en-US"/>
        </w:rPr>
        <w:t>reports</w:t>
      </w:r>
      <w:r w:rsidRPr="00B916EC">
        <w:rPr>
          <w:lang w:val="en-US"/>
        </w:rPr>
        <w:t xml:space="preserve"> and </w:t>
      </w:r>
      <w:r>
        <w:rPr>
          <w:lang w:val="en-US"/>
        </w:rPr>
        <w:t xml:space="preserve">Part 2 </w:t>
      </w:r>
      <w:r w:rsidRPr="00B916EC">
        <w:rPr>
          <w:lang w:val="en-US"/>
        </w:rPr>
        <w:t xml:space="preserve">CSI </w:t>
      </w:r>
      <w:r>
        <w:rPr>
          <w:lang w:val="en-US"/>
        </w:rPr>
        <w:t>reports</w:t>
      </w:r>
      <w:r w:rsidRPr="00B916EC">
        <w:rPr>
          <w:lang w:val="en-US"/>
        </w:rPr>
        <w:t xml:space="preserve">, respectively, in the </w:t>
      </w:r>
      <w:r w:rsidRPr="00B916EC">
        <w:t xml:space="preserve">PUSCH transmission. The </w:t>
      </w:r>
      <w:r>
        <w:t>beta_</w:t>
      </w:r>
      <w:r w:rsidRPr="00B916EC">
        <w:t xml:space="preserve">offset indicator field indicates a </w:t>
      </w:r>
      <m:oMath>
        <m:sSubSup>
          <m:sSubSupPr>
            <m:ctrlPr>
              <w:rPr>
                <w:rFonts w:ascii="Cambria Math" w:hAnsi="Cambria Math"/>
                <w:i/>
              </w:rPr>
            </m:ctrlPr>
          </m:sSubSupPr>
          <m:e>
            <m:r>
              <w:rPr>
                <w:rFonts w:ascii="Cambria Math" w:hAnsi="Cambria Math"/>
              </w:rPr>
              <m:t>I</m:t>
            </m:r>
          </m:e>
          <m:sub>
            <m:r>
              <m:rPr>
                <m:sty m:val="p"/>
              </m:rPr>
              <w:rPr>
                <w:rFonts w:ascii="Cambria Math" w:hAnsi="Cambria Math"/>
              </w:rPr>
              <m:t>offset</m:t>
            </m:r>
          </m:sub>
          <m:sup>
            <m:r>
              <m:rPr>
                <m:sty m:val="p"/>
              </m:rPr>
              <w:rPr>
                <w:rFonts w:ascii="Cambria Math" w:hAnsi="Cambria Math"/>
              </w:rPr>
              <m:t>HARQ-ACK</m:t>
            </m:r>
          </m:sup>
        </m:sSubSup>
      </m:oMath>
      <w:r w:rsidRPr="00B916EC">
        <w:t xml:space="preserve"> value</w:t>
      </w:r>
      <w:r w:rsidR="00EA04C3" w:rsidRPr="00111FF6">
        <w:t xml:space="preserve"> and/or a </w:t>
      </w:r>
      <m:oMath>
        <m:sSubSup>
          <m:sSubSupPr>
            <m:ctrlPr>
              <w:rPr>
                <w:rFonts w:ascii="Cambria Math" w:hAnsi="Cambria Math"/>
                <w:i/>
              </w:rPr>
            </m:ctrlPr>
          </m:sSubSupPr>
          <m:e>
            <m:r>
              <w:rPr>
                <w:rFonts w:ascii="Cambria Math" w:hAnsi="Cambria Math"/>
              </w:rPr>
              <m:t>I</m:t>
            </m:r>
          </m:e>
          <m:sub>
            <m:r>
              <m:rPr>
                <m:sty m:val="p"/>
              </m:rPr>
              <w:rPr>
                <w:rFonts w:ascii="Cambria Math" w:hAnsi="Cambria Math"/>
              </w:rPr>
              <m:t>offset</m:t>
            </m:r>
          </m:sub>
          <m:sup>
            <m:r>
              <m:rPr>
                <m:sty m:val="p"/>
              </m:rPr>
              <w:rPr>
                <w:rFonts w:ascii="Cambria Math" w:hAnsi="Cambria Math"/>
              </w:rPr>
              <m:t>HARQ-ACK,0</m:t>
            </m:r>
          </m:sup>
        </m:sSubSup>
      </m:oMath>
      <w:r w:rsidR="00EA04C3" w:rsidRPr="00111FF6">
        <w:t xml:space="preserve"> value, and/or a </w:t>
      </w:r>
      <m:oMath>
        <m:sSubSup>
          <m:sSubSupPr>
            <m:ctrlPr>
              <w:rPr>
                <w:rFonts w:ascii="Cambria Math" w:hAnsi="Cambria Math"/>
                <w:i/>
              </w:rPr>
            </m:ctrlPr>
          </m:sSubSupPr>
          <m:e>
            <m:r>
              <w:rPr>
                <w:rFonts w:ascii="Cambria Math" w:hAnsi="Cambria Math"/>
              </w:rPr>
              <m:t>I</m:t>
            </m:r>
          </m:e>
          <m:sub>
            <m:r>
              <m:rPr>
                <m:sty m:val="p"/>
              </m:rPr>
              <w:rPr>
                <w:rFonts w:ascii="Cambria Math" w:hAnsi="Cambria Math"/>
              </w:rPr>
              <m:t>offset</m:t>
            </m:r>
          </m:sub>
          <m:sup>
            <m:r>
              <m:rPr>
                <m:sty m:val="p"/>
              </m:rPr>
              <w:rPr>
                <w:rFonts w:ascii="Cambria Math" w:hAnsi="Cambria Math"/>
              </w:rPr>
              <m:t>HARQ-ACK,1</m:t>
            </m:r>
          </m:sup>
        </m:sSubSup>
      </m:oMath>
      <w:r w:rsidR="00EA04C3" w:rsidRPr="00111FF6">
        <w:t xml:space="preserve"> value</w:t>
      </w:r>
      <w:r w:rsidRPr="00B916EC">
        <w:t xml:space="preserve">, a </w:t>
      </w:r>
      <m:oMath>
        <m:sSubSup>
          <m:sSubSupPr>
            <m:ctrlPr>
              <w:rPr>
                <w:rFonts w:ascii="Cambria Math" w:hAnsi="Cambria Math"/>
                <w:i/>
              </w:rPr>
            </m:ctrlPr>
          </m:sSubSupPr>
          <m:e>
            <m:r>
              <w:rPr>
                <w:rFonts w:ascii="Cambria Math" w:hAnsi="Cambria Math"/>
              </w:rPr>
              <m:t>I</m:t>
            </m:r>
          </m:e>
          <m:sub>
            <m:r>
              <m:rPr>
                <m:sty m:val="p"/>
              </m:rPr>
              <w:rPr>
                <w:rFonts w:ascii="Cambria Math" w:hAnsi="Cambria Math"/>
              </w:rPr>
              <m:t>offset</m:t>
            </m:r>
          </m:sub>
          <m:sup>
            <m:r>
              <m:rPr>
                <m:sty m:val="p"/>
              </m:rPr>
              <w:rPr>
                <w:rFonts w:ascii="Cambria Math" w:hAnsi="Cambria Math"/>
              </w:rPr>
              <m:t>CSI-1</m:t>
            </m:r>
          </m:sup>
        </m:sSubSup>
      </m:oMath>
      <w:r w:rsidRPr="00B916EC">
        <w:t xml:space="preserve"> value and a </w:t>
      </w:r>
      <m:oMath>
        <m:sSubSup>
          <m:sSubSupPr>
            <m:ctrlPr>
              <w:rPr>
                <w:rFonts w:ascii="Cambria Math" w:hAnsi="Cambria Math"/>
                <w:i/>
              </w:rPr>
            </m:ctrlPr>
          </m:sSubSupPr>
          <m:e>
            <m:r>
              <w:rPr>
                <w:rFonts w:ascii="Cambria Math" w:hAnsi="Cambria Math"/>
              </w:rPr>
              <m:t>I</m:t>
            </m:r>
          </m:e>
          <m:sub>
            <m:r>
              <m:rPr>
                <m:sty m:val="p"/>
              </m:rPr>
              <w:rPr>
                <w:rFonts w:ascii="Cambria Math" w:hAnsi="Cambria Math"/>
              </w:rPr>
              <m:t>offset</m:t>
            </m:r>
          </m:sub>
          <m:sup>
            <m:r>
              <m:rPr>
                <m:sty m:val="p"/>
              </m:rPr>
              <w:rPr>
                <w:rFonts w:ascii="Cambria Math" w:hAnsi="Cambria Math"/>
              </w:rPr>
              <m:t>CSI-2</m:t>
            </m:r>
          </m:sup>
        </m:sSubSup>
      </m:oMath>
      <w:r w:rsidRPr="00B916EC">
        <w:t xml:space="preserve"> value from the respective sets of values, with the mapping defined in Table 9.3-3</w:t>
      </w:r>
      <w:r w:rsidR="00C91011" w:rsidRPr="00EE027F">
        <w:t xml:space="preserve"> and in Table 9.3-3A</w:t>
      </w:r>
      <w:r w:rsidRPr="00B916EC">
        <w:t xml:space="preserve">. </w:t>
      </w:r>
      <w:r w:rsidR="00624E99" w:rsidRPr="00A643B5">
        <w:t>If the PUSCH transmission has priority 0 or priority 1</w:t>
      </w:r>
      <w:r w:rsidR="00624E99">
        <w:t>,</w:t>
      </w:r>
      <w:r w:rsidR="00624E99" w:rsidRPr="00A643B5">
        <w:t xml:space="preserve"> </w:t>
      </w:r>
      <w:r w:rsidR="00624E99">
        <w:t xml:space="preserve">and </w:t>
      </w:r>
      <w:r w:rsidR="00624E99" w:rsidRPr="00A643B5">
        <w:t xml:space="preserve">the UE is </w:t>
      </w:r>
      <w:r w:rsidR="00624E99">
        <w:t>provided</w:t>
      </w:r>
      <w:r w:rsidR="00624E99" w:rsidRPr="00A643B5">
        <w:t xml:space="preserve"> </w:t>
      </w:r>
      <w:r w:rsidR="00254F04">
        <w:rPr>
          <w:i/>
          <w:iCs/>
        </w:rPr>
        <w:t>uci</w:t>
      </w:r>
      <w:r w:rsidR="00254F04" w:rsidRPr="00A643B5">
        <w:rPr>
          <w:i/>
          <w:iCs/>
        </w:rPr>
        <w:t>-MuxWithDiffPrio</w:t>
      </w:r>
      <w:r w:rsidR="00624E99" w:rsidRPr="00A643B5">
        <w:t>, and the UE multiplexes HARQ-ACK information of priority 1 or priority 0</w:t>
      </w:r>
      <w:r w:rsidR="00624E99">
        <w:t xml:space="preserve"> in the PUSCH</w:t>
      </w:r>
      <w:r w:rsidR="00624E99" w:rsidRPr="00A643B5">
        <w:t>, the UE applies</w:t>
      </w:r>
      <w:r w:rsidR="00B911F1">
        <w:t xml:space="preserve"> the {first, second, third} values</w:t>
      </w:r>
      <w:r w:rsidR="00624E99" w:rsidRPr="00BD5A9F">
        <w:t xml:space="preserve"> </w:t>
      </w:r>
      <w:r w:rsidR="00624E99" w:rsidRPr="00A643B5">
        <w:t xml:space="preserve">provided by </w:t>
      </w:r>
      <w:r w:rsidR="00624E99" w:rsidRPr="00A643B5">
        <w:rPr>
          <w:i/>
          <w:iCs/>
        </w:rPr>
        <w:t>betaOffset</w:t>
      </w:r>
      <w:r w:rsidR="003154D5">
        <w:rPr>
          <w:i/>
          <w:iCs/>
        </w:rPr>
        <w:t>s</w:t>
      </w:r>
      <w:r w:rsidR="00624E99" w:rsidRPr="00A643B5">
        <w:rPr>
          <w:i/>
          <w:iCs/>
        </w:rPr>
        <w:t>CrossPri1</w:t>
      </w:r>
      <w:r w:rsidR="00624E99" w:rsidRPr="00A643B5">
        <w:t xml:space="preserve"> </w:t>
      </w:r>
      <w:r w:rsidR="00624E99" w:rsidRPr="00A643B5">
        <w:rPr>
          <w:i/>
        </w:rPr>
        <w:t xml:space="preserve">= </w:t>
      </w:r>
      <w:r w:rsidR="00624E99" w:rsidRPr="00A643B5">
        <w:rPr>
          <w:i/>
          <w:iCs/>
        </w:rPr>
        <w:t>'</w:t>
      </w:r>
      <w:r w:rsidR="00624E99">
        <w:rPr>
          <w:i/>
          <w:iCs/>
        </w:rPr>
        <w:t>dynamic</w:t>
      </w:r>
      <w:r w:rsidR="00624E99" w:rsidRPr="00A643B5">
        <w:rPr>
          <w:i/>
          <w:iCs/>
        </w:rPr>
        <w:t>'</w:t>
      </w:r>
      <w:r w:rsidR="00624E99">
        <w:t xml:space="preserve"> for DCI format 0_1</w:t>
      </w:r>
      <w:r w:rsidR="001E45F5">
        <w:t>/0_3</w:t>
      </w:r>
      <w:r w:rsidR="00624E99">
        <w:t xml:space="preserve">, </w:t>
      </w:r>
      <w:r w:rsidR="00624E99" w:rsidRPr="00C4143B">
        <w:rPr>
          <w:i/>
          <w:iCs/>
        </w:rPr>
        <w:t>betaOffsetsCrossPri1DCI-0-2</w:t>
      </w:r>
      <w:r w:rsidR="00624E99" w:rsidRPr="00A643B5">
        <w:rPr>
          <w:i/>
        </w:rPr>
        <w:t xml:space="preserve">= </w:t>
      </w:r>
      <w:r w:rsidR="00624E99" w:rsidRPr="00A643B5">
        <w:rPr>
          <w:i/>
          <w:iCs/>
        </w:rPr>
        <w:t>'</w:t>
      </w:r>
      <w:r w:rsidR="00624E99">
        <w:rPr>
          <w:i/>
          <w:iCs/>
        </w:rPr>
        <w:t>dynamic</w:t>
      </w:r>
      <w:r w:rsidR="00624E99" w:rsidRPr="00A643B5">
        <w:rPr>
          <w:i/>
          <w:iCs/>
        </w:rPr>
        <w:t>'</w:t>
      </w:r>
      <w:r w:rsidR="00624E99">
        <w:t xml:space="preserve"> for DCI format 0_2,</w:t>
      </w:r>
      <w:r w:rsidR="00624E99" w:rsidRPr="00A643B5">
        <w:t xml:space="preserve"> or</w:t>
      </w:r>
      <w:r w:rsidR="00B911F1">
        <w:t xml:space="preserve"> </w:t>
      </w:r>
      <w:r w:rsidR="00B911F1" w:rsidRPr="00A643B5">
        <w:t>applies</w:t>
      </w:r>
      <w:r w:rsidR="00B911F1">
        <w:t xml:space="preserve"> the {first, second, third} values provided by</w:t>
      </w:r>
      <w:r w:rsidR="00624E99" w:rsidRPr="00A643B5">
        <w:t xml:space="preserve"> </w:t>
      </w:r>
      <w:r w:rsidR="00624E99" w:rsidRPr="00A643B5">
        <w:rPr>
          <w:i/>
          <w:iCs/>
        </w:rPr>
        <w:t>betaOffset</w:t>
      </w:r>
      <w:r w:rsidR="003154D5">
        <w:rPr>
          <w:i/>
          <w:iCs/>
        </w:rPr>
        <w:t>s</w:t>
      </w:r>
      <w:r w:rsidR="00624E99" w:rsidRPr="00A643B5">
        <w:rPr>
          <w:i/>
          <w:iCs/>
        </w:rPr>
        <w:t xml:space="preserve">CrossPri0 </w:t>
      </w:r>
      <w:r w:rsidR="00624E99" w:rsidRPr="00A643B5">
        <w:rPr>
          <w:i/>
        </w:rPr>
        <w:t xml:space="preserve">= </w:t>
      </w:r>
      <w:r w:rsidR="00624E99" w:rsidRPr="00A643B5">
        <w:rPr>
          <w:i/>
          <w:iCs/>
        </w:rPr>
        <w:t>'</w:t>
      </w:r>
      <w:r w:rsidR="00624E99">
        <w:rPr>
          <w:i/>
          <w:iCs/>
        </w:rPr>
        <w:t>dynamic</w:t>
      </w:r>
      <w:r w:rsidR="00624E99" w:rsidRPr="00A643B5">
        <w:rPr>
          <w:i/>
          <w:iCs/>
        </w:rPr>
        <w:t>'</w:t>
      </w:r>
      <w:r w:rsidR="00624E99">
        <w:t xml:space="preserve"> for DCI format 0_1</w:t>
      </w:r>
      <w:r w:rsidR="001E45F5">
        <w:t>/0_3</w:t>
      </w:r>
      <w:r w:rsidR="00624E99">
        <w:t xml:space="preserve">, </w:t>
      </w:r>
      <w:r w:rsidR="00624E99" w:rsidRPr="00C157CC">
        <w:rPr>
          <w:i/>
          <w:iCs/>
        </w:rPr>
        <w:t>betaOffsetsCrossPri</w:t>
      </w:r>
      <w:r w:rsidR="00624E99">
        <w:rPr>
          <w:i/>
          <w:iCs/>
        </w:rPr>
        <w:t>0</w:t>
      </w:r>
      <w:r w:rsidR="00624E99" w:rsidRPr="00C157CC">
        <w:rPr>
          <w:i/>
          <w:iCs/>
        </w:rPr>
        <w:t>DCI-0-2</w:t>
      </w:r>
      <w:r w:rsidR="00624E99" w:rsidRPr="00A643B5">
        <w:rPr>
          <w:i/>
        </w:rPr>
        <w:t xml:space="preserve">= </w:t>
      </w:r>
      <w:r w:rsidR="00624E99" w:rsidRPr="00A643B5">
        <w:rPr>
          <w:i/>
          <w:iCs/>
        </w:rPr>
        <w:t>'</w:t>
      </w:r>
      <w:r w:rsidR="00624E99">
        <w:rPr>
          <w:i/>
          <w:iCs/>
        </w:rPr>
        <w:t>dynamic</w:t>
      </w:r>
      <w:r w:rsidR="00624E99" w:rsidRPr="00A643B5">
        <w:rPr>
          <w:i/>
          <w:iCs/>
        </w:rPr>
        <w:t>'</w:t>
      </w:r>
      <w:r w:rsidR="00624E99">
        <w:t xml:space="preserve"> for DCI format 0_2</w:t>
      </w:r>
      <w:r w:rsidR="00624E99" w:rsidRPr="00A643B5">
        <w:t>.</w:t>
      </w:r>
    </w:p>
    <w:p w14:paraId="3E9D1DB1" w14:textId="67A4D4F7" w:rsidR="002435FA" w:rsidRDefault="003B1DCC" w:rsidP="002435FA">
      <w:r>
        <w:t xml:space="preserve">For a PUSCH transmission that is </w:t>
      </w:r>
      <w:r w:rsidRPr="009D5B6D">
        <w:t xml:space="preserve">configured by </w:t>
      </w:r>
      <w:r>
        <w:t xml:space="preserve">a </w:t>
      </w:r>
      <w:r w:rsidRPr="009D5B6D">
        <w:rPr>
          <w:i/>
          <w:iCs/>
        </w:rPr>
        <w:t>ConfiguredGrantConfig</w:t>
      </w:r>
      <w:r>
        <w:t xml:space="preserve"> and includes CG-UCI, the UE </w:t>
      </w:r>
      <w:r w:rsidR="00062E1B">
        <w:t>multiplexes</w:t>
      </w:r>
      <w:r w:rsidR="002435FA">
        <w:t xml:space="preserve"> the</w:t>
      </w:r>
      <w:r w:rsidR="00062E1B">
        <w:t xml:space="preserve"> CG-UCI in the PUSCH transmission </w:t>
      </w:r>
      <w:r w:rsidR="002435FA">
        <w:t xml:space="preserve">using a </w:t>
      </w:r>
      <m:oMath>
        <m:sSubSup>
          <m:sSubSupPr>
            <m:ctrlPr>
              <w:rPr>
                <w:rFonts w:ascii="Cambria Math" w:hAnsi="Cambria Math"/>
                <w:i/>
              </w:rPr>
            </m:ctrlPr>
          </m:sSubSupPr>
          <m:e>
            <m:r>
              <w:rPr>
                <w:rFonts w:ascii="Cambria Math"/>
              </w:rPr>
              <m:t>I</m:t>
            </m:r>
          </m:e>
          <m:sub>
            <m:r>
              <m:rPr>
                <m:nor/>
              </m:rPr>
              <w:rPr>
                <w:rFonts w:ascii="Cambria Math"/>
              </w:rPr>
              <m:t>offset</m:t>
            </m:r>
            <m:ctrlPr>
              <w:rPr>
                <w:rFonts w:ascii="Cambria Math" w:hAnsi="Cambria Math"/>
              </w:rPr>
            </m:ctrlPr>
          </m:sub>
          <m:sup>
            <m:r>
              <m:rPr>
                <m:nor/>
              </m:rPr>
              <w:rPr>
                <w:rFonts w:ascii="Cambria Math"/>
              </w:rPr>
              <m:t>CG-UCI</m:t>
            </m:r>
            <m:ctrlPr>
              <w:rPr>
                <w:rFonts w:ascii="Cambria Math" w:hAnsi="Cambria Math"/>
              </w:rPr>
            </m:ctrlPr>
          </m:sup>
        </m:sSubSup>
      </m:oMath>
      <w:r w:rsidR="002435FA" w:rsidRPr="00B916EC">
        <w:t xml:space="preserve"> value</w:t>
      </w:r>
      <w:r>
        <w:t xml:space="preserve"> </w:t>
      </w:r>
      <w:r w:rsidRPr="004A14DF">
        <w:t>provided</w:t>
      </w:r>
      <w:r>
        <w:t xml:space="preserve"> by</w:t>
      </w:r>
      <w:r w:rsidRPr="004A14DF">
        <w:t xml:space="preserve"> </w:t>
      </w:r>
      <w:r w:rsidRPr="004A14DF">
        <w:rPr>
          <w:i/>
          <w:iCs/>
          <w:color w:val="000000"/>
        </w:rPr>
        <w:t>betaOffsetCG-UCI</w:t>
      </w:r>
      <w:r w:rsidRPr="00B916EC">
        <w:t xml:space="preserve"> with the mapping defined in Table 9.3-</w:t>
      </w:r>
      <w:r w:rsidR="00075372">
        <w:t>1</w:t>
      </w:r>
      <w:r w:rsidRPr="00B916EC">
        <w:t>.</w:t>
      </w:r>
      <w:r>
        <w:t xml:space="preserve"> </w:t>
      </w:r>
      <w:r w:rsidR="002435FA">
        <w:t xml:space="preserve">The CG-UCI has same priority value as the PUSCH. </w:t>
      </w:r>
      <w:r>
        <w:t xml:space="preserve">If the UE </w:t>
      </w:r>
      <w:r w:rsidR="00EA04C3" w:rsidRPr="00111FF6">
        <w:t xml:space="preserve">is provided </w:t>
      </w:r>
      <w:r w:rsidR="00EA04C3" w:rsidRPr="00111FF6">
        <w:rPr>
          <w:i/>
          <w:iCs/>
        </w:rPr>
        <w:t>cg-UCI-Multiplexing</w:t>
      </w:r>
      <w:r w:rsidR="00EA04C3" w:rsidRPr="00111FF6">
        <w:t xml:space="preserve"> and </w:t>
      </w:r>
      <w:r>
        <w:t xml:space="preserve">multiplexes HARQ-ACK information </w:t>
      </w:r>
      <w:r w:rsidR="002435FA">
        <w:t xml:space="preserve">of same priority value as the CG-UCI </w:t>
      </w:r>
      <w:r>
        <w:t xml:space="preserve">in the PUSCH transmission, as described </w:t>
      </w:r>
      <w:r w:rsidR="006F5F9E">
        <w:t xml:space="preserve">in </w:t>
      </w:r>
      <w:r w:rsidR="00EA04C3" w:rsidRPr="00111FF6">
        <w:t>clauses 9 and</w:t>
      </w:r>
      <w:r>
        <w:t xml:space="preserve"> 9.2.5, the UE jointly encodes the HARQ-ACK information and the CG-UCI [5, TS 38.212] and determines a </w:t>
      </w:r>
      <w:r w:rsidR="00075372" w:rsidRPr="00B916EC">
        <w:t>number of resources for multiplexing</w:t>
      </w:r>
      <w:r w:rsidR="00075372">
        <w:t xml:space="preserve"> the combined information in a PUSCH using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HARQ-ACK</m:t>
            </m:r>
          </m:sup>
        </m:sSubSup>
      </m:oMath>
      <w:r w:rsidR="00062E1B" w:rsidRPr="00062E1B">
        <w:rPr>
          <w:rFonts w:eastAsia="Malgun Gothic"/>
          <w:lang w:eastAsia="ko-KR"/>
        </w:rPr>
        <w:t xml:space="preserve"> </w:t>
      </w:r>
      <w:r w:rsidR="00062E1B" w:rsidRPr="003F5B8A">
        <w:rPr>
          <w:rFonts w:eastAsia="Malgun Gothic"/>
          <w:lang w:eastAsia="ko-KR"/>
        </w:rPr>
        <w:lastRenderedPageBreak/>
        <w:t xml:space="preserve">which provides indexes </w:t>
      </w:r>
      <m:oMath>
        <m:sSubSup>
          <m:sSubSupPr>
            <m:ctrlPr>
              <w:rPr>
                <w:rFonts w:ascii="Cambria Math" w:eastAsia="Gulim" w:hAnsi="Cambria Math"/>
                <w:i/>
                <w:iCs/>
              </w:rPr>
            </m:ctrlPr>
          </m:sSubSupPr>
          <m:e>
            <m:r>
              <w:rPr>
                <w:rFonts w:ascii="Cambria Math" w:hAnsi="Cambria Math"/>
              </w:rPr>
              <m:t>I</m:t>
            </m:r>
          </m:e>
          <m:sub>
            <m:r>
              <m:rPr>
                <m:sty m:val="p"/>
              </m:rPr>
              <w:rPr>
                <w:rFonts w:ascii="Cambria Math" w:hAnsi="Cambria Math"/>
              </w:rPr>
              <m:t>offset,1</m:t>
            </m:r>
          </m:sub>
          <m:sup>
            <m:r>
              <m:rPr>
                <m:sty m:val="p"/>
              </m:rPr>
              <w:rPr>
                <w:rFonts w:ascii="Cambria Math" w:hAnsi="Cambria Math"/>
              </w:rPr>
              <m:t>HARQ-ACK</m:t>
            </m:r>
          </m:sup>
        </m:sSubSup>
      </m:oMath>
      <w:r w:rsidR="00062E1B" w:rsidRPr="003F5B8A">
        <w:rPr>
          <w:rFonts w:eastAsia="Malgun Gothic"/>
        </w:rPr>
        <w:t xml:space="preserve"> and </w:t>
      </w:r>
      <m:oMath>
        <m:sSubSup>
          <m:sSubSupPr>
            <m:ctrlPr>
              <w:rPr>
                <w:rFonts w:ascii="Cambria Math" w:eastAsia="Gulim" w:hAnsi="Cambria Math"/>
                <w:i/>
                <w:iCs/>
              </w:rPr>
            </m:ctrlPr>
          </m:sSubSupPr>
          <m:e>
            <m:r>
              <w:rPr>
                <w:rFonts w:ascii="Cambria Math" w:hAnsi="Cambria Math"/>
              </w:rPr>
              <m:t>I</m:t>
            </m:r>
          </m:e>
          <m:sub>
            <m:r>
              <m:rPr>
                <m:sty m:val="p"/>
              </m:rPr>
              <w:rPr>
                <w:rFonts w:ascii="Cambria Math" w:hAnsi="Cambria Math"/>
              </w:rPr>
              <m:t>offset,2</m:t>
            </m:r>
          </m:sub>
          <m:sup>
            <m:r>
              <m:rPr>
                <m:sty m:val="p"/>
              </m:rPr>
              <w:rPr>
                <w:rFonts w:ascii="Cambria Math" w:hAnsi="Cambria Math"/>
              </w:rPr>
              <m:t>HARQ-ACK</m:t>
            </m:r>
          </m:sup>
        </m:sSubSup>
      </m:oMath>
      <w:r w:rsidR="00062E1B" w:rsidRPr="003F5B8A">
        <w:rPr>
          <w:rFonts w:eastAsia="Malgun Gothic"/>
        </w:rPr>
        <w:t xml:space="preserve"> for the UE to use if the UE multiplexes </w:t>
      </w:r>
      <w:r w:rsidR="00062E1B" w:rsidRPr="003F5B8A">
        <w:rPr>
          <w:rFonts w:eastAsia="Malgun Gothic"/>
          <w:lang w:eastAsia="ko-KR"/>
        </w:rPr>
        <w:t xml:space="preserve">up to 11, and more than 11 </w:t>
      </w:r>
      <w:r w:rsidR="00062E1B">
        <w:rPr>
          <w:rFonts w:eastAsia="Malgun Gothic"/>
          <w:lang w:eastAsia="ko-KR"/>
        </w:rPr>
        <w:t>combined</w:t>
      </w:r>
      <w:r w:rsidR="00062E1B" w:rsidRPr="003F5B8A">
        <w:rPr>
          <w:rFonts w:eastAsia="Malgun Gothic"/>
          <w:lang w:eastAsia="ko-KR"/>
        </w:rPr>
        <w:t xml:space="preserve"> information bits, respectively</w:t>
      </w:r>
      <w:r>
        <w:t>.</w:t>
      </w:r>
      <w:r w:rsidR="002435FA">
        <w:t xml:space="preserve"> </w:t>
      </w:r>
    </w:p>
    <w:p w14:paraId="35481D54" w14:textId="15F3F08F" w:rsidR="003B1DCC" w:rsidRDefault="002435FA" w:rsidP="003B1DCC">
      <w:pPr>
        <w:rPr>
          <w:lang w:eastAsia="zh-CN"/>
        </w:rPr>
      </w:pPr>
      <w:r>
        <w:t xml:space="preserve">For a PUSCH transmission that is </w:t>
      </w:r>
      <w:r w:rsidRPr="009D5B6D">
        <w:t xml:space="preserve">configured by </w:t>
      </w:r>
      <w:r>
        <w:t xml:space="preserve">a </w:t>
      </w:r>
      <w:r w:rsidRPr="009D5B6D">
        <w:rPr>
          <w:i/>
          <w:iCs/>
        </w:rPr>
        <w:t>ConfiguredGrantConfig</w:t>
      </w:r>
      <w:r>
        <w:t xml:space="preserve"> and includes UTO-UCI, the UE multiplexes the UTO-UCI in the PUSCH transmission using a </w:t>
      </w:r>
      <m:oMath>
        <m:sSubSup>
          <m:sSubSupPr>
            <m:ctrlPr>
              <w:rPr>
                <w:rFonts w:ascii="Cambria Math" w:hAnsi="Cambria Math"/>
                <w:i/>
              </w:rPr>
            </m:ctrlPr>
          </m:sSubSupPr>
          <m:e>
            <m:r>
              <w:rPr>
                <w:rFonts w:ascii="Cambria Math"/>
              </w:rPr>
              <m:t>I</m:t>
            </m:r>
          </m:e>
          <m:sub>
            <m:r>
              <m:rPr>
                <m:nor/>
              </m:rPr>
              <w:rPr>
                <w:rFonts w:ascii="Cambria Math"/>
              </w:rPr>
              <m:t>offset</m:t>
            </m:r>
            <m:ctrlPr>
              <w:rPr>
                <w:rFonts w:ascii="Cambria Math" w:hAnsi="Cambria Math"/>
              </w:rPr>
            </m:ctrlPr>
          </m:sub>
          <m:sup>
            <m:r>
              <m:rPr>
                <m:nor/>
              </m:rPr>
              <w:rPr>
                <w:rFonts w:ascii="Cambria Math"/>
              </w:rPr>
              <m:t>UTO-UCI</m:t>
            </m:r>
            <m:ctrlPr>
              <w:rPr>
                <w:rFonts w:ascii="Cambria Math" w:hAnsi="Cambria Math"/>
              </w:rPr>
            </m:ctrlPr>
          </m:sup>
        </m:sSubSup>
      </m:oMath>
      <w:r w:rsidRPr="00B916EC">
        <w:t xml:space="preserve"> value</w:t>
      </w:r>
      <w:r>
        <w:t xml:space="preserve"> </w:t>
      </w:r>
      <w:r w:rsidRPr="004A14DF">
        <w:t>provided</w:t>
      </w:r>
      <w:r>
        <w:t xml:space="preserve"> by </w:t>
      </w:r>
      <w:r w:rsidRPr="004A14DF">
        <w:rPr>
          <w:i/>
          <w:iCs/>
          <w:color w:val="000000"/>
        </w:rPr>
        <w:t>betaOffset</w:t>
      </w:r>
      <w:r>
        <w:rPr>
          <w:i/>
          <w:iCs/>
          <w:color w:val="000000"/>
        </w:rPr>
        <w:t>UTO-U</w:t>
      </w:r>
      <w:r w:rsidRPr="004A14DF">
        <w:rPr>
          <w:i/>
          <w:iCs/>
          <w:color w:val="000000"/>
        </w:rPr>
        <w:t>CI</w:t>
      </w:r>
      <w:r w:rsidRPr="00B916EC">
        <w:t xml:space="preserve"> with the mapping defined in Table 9.3-</w:t>
      </w:r>
      <w:r>
        <w:t>1</w:t>
      </w:r>
      <w:r w:rsidRPr="00B916EC">
        <w:t>.</w:t>
      </w:r>
      <w:r>
        <w:t xml:space="preserve"> The UTO-UCI has same priority value as the PUSCH. If the UE multiplexes HARQ-ACK information of same priority value as the UTO-UCI in the PUSCH transmission, as described in </w:t>
      </w:r>
      <w:r w:rsidRPr="00111FF6">
        <w:t>clauses 9 and</w:t>
      </w:r>
      <w:r>
        <w:t xml:space="preserve"> 9.2.5, the UE jointly encodes the HARQ-ACK information and the UTO-UCI and determines a </w:t>
      </w:r>
      <w:r w:rsidRPr="00B916EC">
        <w:t>number of resources for multiplexing</w:t>
      </w:r>
      <w:r>
        <w:t xml:space="preserve"> the combined information in the PUSCH using </w:t>
      </w:r>
      <m:oMath>
        <m:sSubSup>
          <m:sSubSupPr>
            <m:ctrlPr>
              <w:rPr>
                <w:rFonts w:ascii="Cambria Math" w:hAnsi="Cambria Math"/>
                <w:i/>
              </w:rPr>
            </m:ctrlPr>
          </m:sSubSupPr>
          <m:e>
            <m:r>
              <w:rPr>
                <w:rFonts w:ascii="Cambria Math" w:hAnsi="Cambria Math"/>
              </w:rPr>
              <m:t>β</m:t>
            </m:r>
          </m:e>
          <m:sub>
            <m:r>
              <m:rPr>
                <m:sty m:val="p"/>
              </m:rPr>
              <w:rPr>
                <w:rFonts w:ascii="Cambria Math" w:hAnsi="Cambria Math"/>
              </w:rPr>
              <m:t>offset</m:t>
            </m:r>
          </m:sub>
          <m:sup>
            <m:r>
              <m:rPr>
                <m:sty m:val="p"/>
              </m:rPr>
              <w:rPr>
                <w:rFonts w:ascii="Cambria Math" w:hAnsi="Cambria Math"/>
              </w:rPr>
              <m:t>HARQ-ACK</m:t>
            </m:r>
          </m:sup>
        </m:sSubSup>
      </m:oMath>
      <w:r w:rsidRPr="00062E1B">
        <w:rPr>
          <w:rFonts w:eastAsia="Malgun Gothic"/>
          <w:lang w:eastAsia="ko-KR"/>
        </w:rPr>
        <w:t xml:space="preserve"> </w:t>
      </w:r>
      <w:r w:rsidRPr="003F5B8A">
        <w:rPr>
          <w:rFonts w:eastAsia="Malgun Gothic"/>
          <w:lang w:eastAsia="ko-KR"/>
        </w:rPr>
        <w:t xml:space="preserve">which provides indexes </w:t>
      </w:r>
      <m:oMath>
        <m:sSubSup>
          <m:sSubSupPr>
            <m:ctrlPr>
              <w:rPr>
                <w:rFonts w:ascii="Cambria Math" w:eastAsia="Gulim" w:hAnsi="Cambria Math"/>
                <w:i/>
                <w:iCs/>
              </w:rPr>
            </m:ctrlPr>
          </m:sSubSupPr>
          <m:e>
            <m:r>
              <w:rPr>
                <w:rFonts w:ascii="Cambria Math" w:hAnsi="Cambria Math"/>
              </w:rPr>
              <m:t>I</m:t>
            </m:r>
          </m:e>
          <m:sub>
            <m:r>
              <m:rPr>
                <m:sty m:val="p"/>
              </m:rPr>
              <w:rPr>
                <w:rFonts w:ascii="Cambria Math" w:hAnsi="Cambria Math"/>
              </w:rPr>
              <m:t>offset,1</m:t>
            </m:r>
          </m:sub>
          <m:sup>
            <m:r>
              <m:rPr>
                <m:sty m:val="p"/>
              </m:rPr>
              <w:rPr>
                <w:rFonts w:ascii="Cambria Math" w:hAnsi="Cambria Math"/>
              </w:rPr>
              <m:t>HARQ-ACK</m:t>
            </m:r>
          </m:sup>
        </m:sSubSup>
      </m:oMath>
      <w:r w:rsidRPr="003F5B8A">
        <w:rPr>
          <w:rFonts w:eastAsia="Malgun Gothic"/>
        </w:rPr>
        <w:t xml:space="preserve"> and </w:t>
      </w:r>
      <m:oMath>
        <m:sSubSup>
          <m:sSubSupPr>
            <m:ctrlPr>
              <w:rPr>
                <w:rFonts w:ascii="Cambria Math" w:eastAsia="Gulim" w:hAnsi="Cambria Math"/>
                <w:i/>
                <w:iCs/>
              </w:rPr>
            </m:ctrlPr>
          </m:sSubSupPr>
          <m:e>
            <m:r>
              <w:rPr>
                <w:rFonts w:ascii="Cambria Math" w:hAnsi="Cambria Math"/>
              </w:rPr>
              <m:t>I</m:t>
            </m:r>
          </m:e>
          <m:sub>
            <m:r>
              <m:rPr>
                <m:sty m:val="p"/>
              </m:rPr>
              <w:rPr>
                <w:rFonts w:ascii="Cambria Math" w:hAnsi="Cambria Math"/>
              </w:rPr>
              <m:t>offset,2</m:t>
            </m:r>
          </m:sub>
          <m:sup>
            <m:r>
              <m:rPr>
                <m:sty m:val="p"/>
              </m:rPr>
              <w:rPr>
                <w:rFonts w:ascii="Cambria Math" w:hAnsi="Cambria Math"/>
              </w:rPr>
              <m:t>HARQ-ACK</m:t>
            </m:r>
          </m:sup>
        </m:sSubSup>
      </m:oMath>
      <w:r w:rsidRPr="003F5B8A">
        <w:rPr>
          <w:rFonts w:eastAsia="Malgun Gothic"/>
        </w:rPr>
        <w:t xml:space="preserve"> for the UE to use if the UE multiplexes </w:t>
      </w:r>
      <w:r w:rsidRPr="003F5B8A">
        <w:rPr>
          <w:rFonts w:eastAsia="Malgun Gothic"/>
          <w:lang w:eastAsia="ko-KR"/>
        </w:rPr>
        <w:t xml:space="preserve">up to 11, and more than 11 </w:t>
      </w:r>
      <w:r>
        <w:rPr>
          <w:rFonts w:eastAsia="Malgun Gothic"/>
          <w:lang w:eastAsia="ko-KR"/>
        </w:rPr>
        <w:t>combined</w:t>
      </w:r>
      <w:r w:rsidRPr="003F5B8A">
        <w:rPr>
          <w:rFonts w:eastAsia="Malgun Gothic"/>
          <w:lang w:eastAsia="ko-KR"/>
        </w:rPr>
        <w:t xml:space="preserve"> information bits, respectively</w:t>
      </w:r>
      <w:r>
        <w:t>.</w:t>
      </w:r>
    </w:p>
    <w:p w14:paraId="65E276A3" w14:textId="2135C19E" w:rsidR="008B1BCD" w:rsidRPr="00B916EC" w:rsidRDefault="008B1BCD" w:rsidP="008B1BCD">
      <w:pPr>
        <w:pStyle w:val="TH"/>
      </w:pPr>
      <w:r w:rsidRPr="00B916EC">
        <w:lastRenderedPageBreak/>
        <w:t>Table 9</w:t>
      </w:r>
      <w:r w:rsidRPr="00B916EC">
        <w:rPr>
          <w:rFonts w:hint="eastAsia"/>
        </w:rPr>
        <w:t>.</w:t>
      </w:r>
      <w:r w:rsidR="001A73F4" w:rsidRPr="00B916EC">
        <w:t>3</w:t>
      </w:r>
      <w:r w:rsidRPr="00B916EC">
        <w:rPr>
          <w:rFonts w:hint="eastAsia"/>
        </w:rPr>
        <w:t xml:space="preserve">-1: Mapping of </w:t>
      </w:r>
      <w:r w:rsidR="0045409B">
        <w:t>beta_</w:t>
      </w:r>
      <w:r w:rsidRPr="00B916EC">
        <w:rPr>
          <w:rFonts w:hint="eastAsia"/>
        </w:rPr>
        <w:t xml:space="preserve">offset values </w:t>
      </w:r>
      <w:r w:rsidR="0045409B">
        <w:t>for HARQ-ACK</w:t>
      </w:r>
      <w:r w:rsidR="00F23D23">
        <w:rPr>
          <w:lang w:val="en-US"/>
        </w:rPr>
        <w:t xml:space="preserve"> information</w:t>
      </w:r>
      <w:r w:rsidR="002435FA">
        <w:t>,</w:t>
      </w:r>
      <w:r w:rsidR="00075372">
        <w:t xml:space="preserve"> CG-UCI</w:t>
      </w:r>
      <w:r w:rsidR="002435FA">
        <w:t>, or UTO-UCI</w:t>
      </w:r>
      <w:r w:rsidR="00075372">
        <w:t xml:space="preserve"> </w:t>
      </w:r>
      <w:r w:rsidRPr="00B916EC">
        <w:rPr>
          <w:rFonts w:hint="eastAsia"/>
        </w:rPr>
        <w:t xml:space="preserve">and the index </w:t>
      </w:r>
      <w:r w:rsidRPr="00B916EC">
        <w:t>signalled</w:t>
      </w:r>
      <w:r w:rsidRPr="00B916EC">
        <w:rPr>
          <w:rFonts w:hint="eastAsia"/>
        </w:rPr>
        <w:t xml:space="preserve"> by higher layers</w:t>
      </w:r>
    </w:p>
    <w:tbl>
      <w:tblPr>
        <w:tblW w:w="0" w:type="auto"/>
        <w:jc w:val="center"/>
        <w:tblCellMar>
          <w:left w:w="0" w:type="dxa"/>
          <w:right w:w="0" w:type="dxa"/>
        </w:tblCellMar>
        <w:tblLook w:val="04A0" w:firstRow="1" w:lastRow="0" w:firstColumn="1" w:lastColumn="0" w:noHBand="0" w:noVBand="1"/>
      </w:tblPr>
      <w:tblGrid>
        <w:gridCol w:w="6184"/>
        <w:gridCol w:w="3437"/>
      </w:tblGrid>
      <w:tr w:rsidR="00EA04C3" w:rsidRPr="00B916EC" w14:paraId="2BE73625"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E0E0E0"/>
            <w:tcMar>
              <w:top w:w="72" w:type="dxa"/>
              <w:left w:w="144" w:type="dxa"/>
              <w:bottom w:w="72" w:type="dxa"/>
              <w:right w:w="144" w:type="dxa"/>
            </w:tcMar>
            <w:vAlign w:val="center"/>
          </w:tcPr>
          <w:p w14:paraId="3BEE3A1C" w14:textId="0FCF570D" w:rsidR="00EA04C3" w:rsidRPr="00B916EC" w:rsidRDefault="00000000" w:rsidP="00624E99">
            <w:pPr>
              <w:pStyle w:val="TAH"/>
              <w:rPr>
                <w:lang w:val="en-US"/>
              </w:rPr>
            </w:pPr>
            <m:oMath>
              <m:sSubSup>
                <m:sSubSupPr>
                  <m:ctrlPr>
                    <w:rPr>
                      <w:rFonts w:ascii="Cambria Math" w:hAnsi="Cambria Math"/>
                      <w:bCs/>
                      <w:i/>
                    </w:rPr>
                  </m:ctrlPr>
                </m:sSubSupPr>
                <m:e>
                  <m:r>
                    <m:rPr>
                      <m:sty m:val="bi"/>
                    </m:rPr>
                    <w:rPr>
                      <w:rFonts w:ascii="Cambria Math"/>
                    </w:rPr>
                    <m:t>I</m:t>
                  </m:r>
                </m:e>
                <m:sub>
                  <m:r>
                    <m:rPr>
                      <m:nor/>
                    </m:rPr>
                    <w:rPr>
                      <w:rFonts w:ascii="Cambria Math"/>
                      <w:bCs/>
                    </w:rPr>
                    <m:t>offset,0</m:t>
                  </m:r>
                  <m:ctrlPr>
                    <w:rPr>
                      <w:rFonts w:ascii="Cambria Math" w:hAnsi="Cambria Math"/>
                      <w:bCs/>
                    </w:rPr>
                  </m:ctrlPr>
                </m:sub>
                <m:sup>
                  <m:r>
                    <m:rPr>
                      <m:nor/>
                    </m:rPr>
                    <w:rPr>
                      <w:rFonts w:ascii="Cambria Math"/>
                      <w:bCs/>
                    </w:rPr>
                    <m:t>HARQ-ACK</m:t>
                  </m:r>
                  <m:ctrlPr>
                    <w:rPr>
                      <w:rFonts w:ascii="Cambria Math" w:hAnsi="Cambria Math"/>
                      <w:bCs/>
                    </w:rPr>
                  </m:ctrlPr>
                </m:sup>
              </m:sSubSup>
            </m:oMath>
            <w:r w:rsidR="00EA04C3" w:rsidRPr="00111FF6">
              <w:t xml:space="preserve"> or </w:t>
            </w:r>
            <m:oMath>
              <m:sSubSup>
                <m:sSubSupPr>
                  <m:ctrlPr>
                    <w:rPr>
                      <w:rFonts w:ascii="Cambria Math" w:hAnsi="Cambria Math"/>
                      <w:bCs/>
                      <w:i/>
                    </w:rPr>
                  </m:ctrlPr>
                </m:sSubSupPr>
                <m:e>
                  <m:r>
                    <m:rPr>
                      <m:sty m:val="bi"/>
                    </m:rPr>
                    <w:rPr>
                      <w:rFonts w:ascii="Cambria Math"/>
                    </w:rPr>
                    <m:t>I</m:t>
                  </m:r>
                </m:e>
                <m:sub>
                  <m:r>
                    <m:rPr>
                      <m:nor/>
                    </m:rPr>
                    <w:rPr>
                      <w:rFonts w:ascii="Cambria Math"/>
                      <w:bCs/>
                    </w:rPr>
                    <m:t>offset,1</m:t>
                  </m:r>
                  <m:ctrlPr>
                    <w:rPr>
                      <w:rFonts w:ascii="Cambria Math" w:hAnsi="Cambria Math"/>
                      <w:bCs/>
                    </w:rPr>
                  </m:ctrlPr>
                </m:sub>
                <m:sup>
                  <m:r>
                    <m:rPr>
                      <m:nor/>
                    </m:rPr>
                    <w:rPr>
                      <w:rFonts w:ascii="Cambria Math"/>
                      <w:bCs/>
                    </w:rPr>
                    <m:t>HARQ-ACK</m:t>
                  </m:r>
                  <m:ctrlPr>
                    <w:rPr>
                      <w:rFonts w:ascii="Cambria Math" w:hAnsi="Cambria Math"/>
                      <w:bCs/>
                    </w:rPr>
                  </m:ctrlPr>
                </m:sup>
              </m:sSubSup>
            </m:oMath>
            <w:r w:rsidR="00EA04C3" w:rsidRPr="00111FF6">
              <w:t xml:space="preserve"> or </w:t>
            </w:r>
            <m:oMath>
              <m:sSubSup>
                <m:sSubSupPr>
                  <m:ctrlPr>
                    <w:rPr>
                      <w:rFonts w:ascii="Cambria Math" w:hAnsi="Cambria Math"/>
                      <w:bCs/>
                      <w:i/>
                    </w:rPr>
                  </m:ctrlPr>
                </m:sSubSupPr>
                <m:e>
                  <m:r>
                    <m:rPr>
                      <m:sty m:val="bi"/>
                    </m:rPr>
                    <w:rPr>
                      <w:rFonts w:ascii="Cambria Math"/>
                    </w:rPr>
                    <m:t>I</m:t>
                  </m:r>
                </m:e>
                <m:sub>
                  <m:r>
                    <m:rPr>
                      <m:nor/>
                    </m:rPr>
                    <w:rPr>
                      <w:rFonts w:ascii="Cambria Math"/>
                      <w:bCs/>
                    </w:rPr>
                    <m:t>offset,2</m:t>
                  </m:r>
                  <m:ctrlPr>
                    <w:rPr>
                      <w:rFonts w:ascii="Cambria Math" w:hAnsi="Cambria Math"/>
                      <w:bCs/>
                    </w:rPr>
                  </m:ctrlPr>
                </m:sub>
                <m:sup>
                  <m:r>
                    <m:rPr>
                      <m:nor/>
                    </m:rPr>
                    <w:rPr>
                      <w:rFonts w:ascii="Cambria Math"/>
                      <w:bCs/>
                    </w:rPr>
                    <m:t>HARQ-ACK</m:t>
                  </m:r>
                  <m:ctrlPr>
                    <w:rPr>
                      <w:rFonts w:ascii="Cambria Math" w:hAnsi="Cambria Math"/>
                      <w:bCs/>
                    </w:rPr>
                  </m:ctrlPr>
                </m:sup>
              </m:sSubSup>
            </m:oMath>
            <w:r w:rsidR="00EA04C3" w:rsidRPr="00111FF6">
              <w:t xml:space="preserve"> or </w:t>
            </w:r>
            <m:oMath>
              <m:sSubSup>
                <m:sSubSupPr>
                  <m:ctrlPr>
                    <w:rPr>
                      <w:rFonts w:ascii="Cambria Math" w:hAnsi="Cambria Math"/>
                      <w:bCs/>
                      <w:i/>
                    </w:rPr>
                  </m:ctrlPr>
                </m:sSubSupPr>
                <m:e>
                  <m:r>
                    <m:rPr>
                      <m:sty m:val="bi"/>
                    </m:rPr>
                    <w:rPr>
                      <w:rFonts w:ascii="Cambria Math"/>
                    </w:rPr>
                    <m:t>I</m:t>
                  </m:r>
                </m:e>
                <m:sub>
                  <m:r>
                    <m:rPr>
                      <m:nor/>
                    </m:rPr>
                    <w:rPr>
                      <w:rFonts w:ascii="Cambria Math"/>
                      <w:bCs/>
                    </w:rPr>
                    <m:t>offset</m:t>
                  </m:r>
                  <m:ctrlPr>
                    <w:rPr>
                      <w:rFonts w:ascii="Cambria Math" w:hAnsi="Cambria Math"/>
                      <w:bCs/>
                    </w:rPr>
                  </m:ctrlPr>
                </m:sub>
                <m:sup>
                  <m:r>
                    <m:rPr>
                      <m:nor/>
                    </m:rPr>
                    <w:rPr>
                      <w:rFonts w:ascii="Cambria Math"/>
                      <w:bCs/>
                    </w:rPr>
                    <m:t>CG-UCI</m:t>
                  </m:r>
                  <m:ctrlPr>
                    <w:rPr>
                      <w:rFonts w:ascii="Cambria Math" w:hAnsi="Cambria Math"/>
                      <w:bCs/>
                    </w:rPr>
                  </m:ctrlPr>
                </m:sup>
              </m:sSubSup>
            </m:oMath>
            <w:r w:rsidR="00EA04C3" w:rsidRPr="00111FF6">
              <w:rPr>
                <w:bCs/>
              </w:rPr>
              <w:t xml:space="preserve"> </w:t>
            </w:r>
            <w:r w:rsidR="002435FA">
              <w:rPr>
                <w:bCs/>
              </w:rPr>
              <w:t>or</w:t>
            </w:r>
            <w:r w:rsidR="002435FA" w:rsidRPr="00111FF6">
              <w:t xml:space="preserve"> </w:t>
            </w:r>
            <m:oMath>
              <m:sSubSup>
                <m:sSubSupPr>
                  <m:ctrlPr>
                    <w:rPr>
                      <w:rFonts w:ascii="Cambria Math" w:hAnsi="Cambria Math"/>
                      <w:bCs/>
                      <w:i/>
                    </w:rPr>
                  </m:ctrlPr>
                </m:sSubSupPr>
                <m:e>
                  <m:r>
                    <m:rPr>
                      <m:sty m:val="bi"/>
                    </m:rPr>
                    <w:rPr>
                      <w:rFonts w:ascii="Cambria Math"/>
                    </w:rPr>
                    <m:t>I</m:t>
                  </m:r>
                </m:e>
                <m:sub>
                  <m:r>
                    <m:rPr>
                      <m:nor/>
                    </m:rPr>
                    <w:rPr>
                      <w:rFonts w:ascii="Cambria Math"/>
                      <w:bCs/>
                    </w:rPr>
                    <m:t>offset</m:t>
                  </m:r>
                  <m:ctrlPr>
                    <w:rPr>
                      <w:rFonts w:ascii="Cambria Math" w:hAnsi="Cambria Math"/>
                      <w:bCs/>
                    </w:rPr>
                  </m:ctrlPr>
                </m:sub>
                <m:sup>
                  <m:r>
                    <m:rPr>
                      <m:nor/>
                    </m:rPr>
                    <w:rPr>
                      <w:rFonts w:ascii="Cambria Math"/>
                      <w:bCs/>
                    </w:rPr>
                    <m:t>UTO-UCI</m:t>
                  </m:r>
                  <m:ctrlPr>
                    <w:rPr>
                      <w:rFonts w:ascii="Cambria Math" w:hAnsi="Cambria Math"/>
                      <w:bCs/>
                    </w:rPr>
                  </m:ctrlPr>
                </m:sup>
              </m:sSubSup>
            </m:oMath>
            <w:r w:rsidR="00190DD5">
              <w:rPr>
                <w:lang w:val="en-US"/>
              </w:rPr>
              <w:t xml:space="preserve"> </w:t>
            </w:r>
            <w:r w:rsidR="00624E99">
              <w:rPr>
                <w:lang w:val="en-US"/>
              </w:rPr>
              <w:t xml:space="preserve">or </w:t>
            </w:r>
            <m:oMath>
              <m:sSubSup>
                <m:sSubSupPr>
                  <m:ctrlPr>
                    <w:rPr>
                      <w:rFonts w:ascii="Cambria Math" w:hAnsi="Cambria Math"/>
                      <w:bCs/>
                      <w:i/>
                    </w:rPr>
                  </m:ctrlPr>
                </m:sSubSupPr>
                <m:e>
                  <m:r>
                    <m:rPr>
                      <m:sty m:val="bi"/>
                    </m:rPr>
                    <w:rPr>
                      <w:rFonts w:ascii="Cambria Math"/>
                    </w:rPr>
                    <m:t>I</m:t>
                  </m:r>
                </m:e>
                <m:sub>
                  <m:r>
                    <m:rPr>
                      <m:nor/>
                    </m:rPr>
                    <w:rPr>
                      <w:rFonts w:ascii="Cambria Math"/>
                      <w:bCs/>
                    </w:rPr>
                    <m:t>offset,0</m:t>
                  </m:r>
                  <m:ctrlPr>
                    <w:rPr>
                      <w:rFonts w:ascii="Cambria Math" w:hAnsi="Cambria Math"/>
                      <w:bCs/>
                    </w:rPr>
                  </m:ctrlPr>
                </m:sub>
                <m:sup>
                  <m:r>
                    <m:rPr>
                      <m:nor/>
                    </m:rPr>
                    <w:rPr>
                      <w:rFonts w:ascii="Cambria Math"/>
                      <w:bCs/>
                    </w:rPr>
                    <m:t>HARQ-ACK,0</m:t>
                  </m:r>
                  <m:ctrlPr>
                    <w:rPr>
                      <w:rFonts w:ascii="Cambria Math" w:hAnsi="Cambria Math"/>
                      <w:bCs/>
                    </w:rPr>
                  </m:ctrlPr>
                </m:sup>
              </m:sSubSup>
            </m:oMath>
            <w:r w:rsidR="00624E99" w:rsidRPr="00111FF6">
              <w:t xml:space="preserve"> or </w:t>
            </w:r>
            <m:oMath>
              <m:sSubSup>
                <m:sSubSupPr>
                  <m:ctrlPr>
                    <w:rPr>
                      <w:rFonts w:ascii="Cambria Math" w:hAnsi="Cambria Math"/>
                      <w:bCs/>
                      <w:i/>
                    </w:rPr>
                  </m:ctrlPr>
                </m:sSubSupPr>
                <m:e>
                  <m:r>
                    <m:rPr>
                      <m:sty m:val="bi"/>
                    </m:rPr>
                    <w:rPr>
                      <w:rFonts w:ascii="Cambria Math"/>
                    </w:rPr>
                    <m:t>I</m:t>
                  </m:r>
                </m:e>
                <m:sub>
                  <m:r>
                    <m:rPr>
                      <m:nor/>
                    </m:rPr>
                    <w:rPr>
                      <w:rFonts w:ascii="Cambria Math"/>
                      <w:bCs/>
                    </w:rPr>
                    <m:t>offset,1</m:t>
                  </m:r>
                  <m:ctrlPr>
                    <w:rPr>
                      <w:rFonts w:ascii="Cambria Math" w:hAnsi="Cambria Math"/>
                      <w:bCs/>
                    </w:rPr>
                  </m:ctrlPr>
                </m:sub>
                <m:sup>
                  <m:r>
                    <m:rPr>
                      <m:nor/>
                    </m:rPr>
                    <w:rPr>
                      <w:rFonts w:ascii="Cambria Math"/>
                      <w:bCs/>
                    </w:rPr>
                    <m:t>HARQ-ACK,0</m:t>
                  </m:r>
                  <m:ctrlPr>
                    <w:rPr>
                      <w:rFonts w:ascii="Cambria Math" w:hAnsi="Cambria Math"/>
                      <w:bCs/>
                    </w:rPr>
                  </m:ctrlPr>
                </m:sup>
              </m:sSubSup>
            </m:oMath>
            <w:r w:rsidR="00624E99" w:rsidRPr="00111FF6">
              <w:t xml:space="preserve"> or </w:t>
            </w:r>
            <m:oMath>
              <m:sSubSup>
                <m:sSubSupPr>
                  <m:ctrlPr>
                    <w:rPr>
                      <w:rFonts w:ascii="Cambria Math" w:hAnsi="Cambria Math"/>
                      <w:bCs/>
                      <w:i/>
                    </w:rPr>
                  </m:ctrlPr>
                </m:sSubSupPr>
                <m:e>
                  <m:r>
                    <m:rPr>
                      <m:sty m:val="bi"/>
                    </m:rPr>
                    <w:rPr>
                      <w:rFonts w:ascii="Cambria Math"/>
                    </w:rPr>
                    <m:t>I</m:t>
                  </m:r>
                </m:e>
                <m:sub>
                  <m:r>
                    <m:rPr>
                      <m:nor/>
                    </m:rPr>
                    <w:rPr>
                      <w:rFonts w:ascii="Cambria Math"/>
                      <w:bCs/>
                    </w:rPr>
                    <m:t>offset,2</m:t>
                  </m:r>
                  <m:ctrlPr>
                    <w:rPr>
                      <w:rFonts w:ascii="Cambria Math" w:hAnsi="Cambria Math"/>
                      <w:bCs/>
                    </w:rPr>
                  </m:ctrlPr>
                </m:sub>
                <m:sup>
                  <m:r>
                    <m:rPr>
                      <m:nor/>
                    </m:rPr>
                    <w:rPr>
                      <w:rFonts w:ascii="Cambria Math"/>
                      <w:bCs/>
                    </w:rPr>
                    <m:t>HARQ-ACK,0</m:t>
                  </m:r>
                  <m:ctrlPr>
                    <w:rPr>
                      <w:rFonts w:ascii="Cambria Math" w:hAnsi="Cambria Math"/>
                      <w:bCs/>
                    </w:rPr>
                  </m:ctrlPr>
                </m:sup>
              </m:sSubSup>
            </m:oMath>
            <w:r w:rsidR="00B42F8C">
              <w:rPr>
                <w:bCs/>
              </w:rPr>
              <w:t xml:space="preserve"> </w:t>
            </w:r>
            <w:r w:rsidR="00624E99">
              <w:rPr>
                <w:bCs/>
              </w:rPr>
              <w:t xml:space="preserve">or </w:t>
            </w:r>
            <m:oMath>
              <m:sSubSup>
                <m:sSubSupPr>
                  <m:ctrlPr>
                    <w:rPr>
                      <w:rFonts w:ascii="Cambria Math" w:hAnsi="Cambria Math"/>
                      <w:bCs/>
                      <w:i/>
                    </w:rPr>
                  </m:ctrlPr>
                </m:sSubSupPr>
                <m:e>
                  <m:r>
                    <m:rPr>
                      <m:sty m:val="bi"/>
                    </m:rPr>
                    <w:rPr>
                      <w:rFonts w:ascii="Cambria Math"/>
                    </w:rPr>
                    <m:t>I</m:t>
                  </m:r>
                </m:e>
                <m:sub>
                  <m:r>
                    <m:rPr>
                      <m:nor/>
                    </m:rPr>
                    <w:rPr>
                      <w:rFonts w:ascii="Cambria Math"/>
                      <w:bCs/>
                    </w:rPr>
                    <m:t>offset,0</m:t>
                  </m:r>
                  <m:ctrlPr>
                    <w:rPr>
                      <w:rFonts w:ascii="Cambria Math" w:hAnsi="Cambria Math"/>
                      <w:bCs/>
                    </w:rPr>
                  </m:ctrlPr>
                </m:sub>
                <m:sup>
                  <m:r>
                    <m:rPr>
                      <m:nor/>
                    </m:rPr>
                    <w:rPr>
                      <w:rFonts w:ascii="Cambria Math"/>
                      <w:bCs/>
                    </w:rPr>
                    <m:t>HARQ-ACK,1</m:t>
                  </m:r>
                  <m:ctrlPr>
                    <w:rPr>
                      <w:rFonts w:ascii="Cambria Math" w:hAnsi="Cambria Math"/>
                      <w:bCs/>
                    </w:rPr>
                  </m:ctrlPr>
                </m:sup>
              </m:sSubSup>
            </m:oMath>
            <w:r w:rsidR="00624E99" w:rsidRPr="00111FF6">
              <w:t xml:space="preserve"> or </w:t>
            </w:r>
            <m:oMath>
              <m:sSubSup>
                <m:sSubSupPr>
                  <m:ctrlPr>
                    <w:rPr>
                      <w:rFonts w:ascii="Cambria Math" w:hAnsi="Cambria Math"/>
                      <w:bCs/>
                      <w:i/>
                    </w:rPr>
                  </m:ctrlPr>
                </m:sSubSupPr>
                <m:e>
                  <m:r>
                    <m:rPr>
                      <m:sty m:val="bi"/>
                    </m:rPr>
                    <w:rPr>
                      <w:rFonts w:ascii="Cambria Math"/>
                    </w:rPr>
                    <m:t>I</m:t>
                  </m:r>
                </m:e>
                <m:sub>
                  <m:r>
                    <m:rPr>
                      <m:nor/>
                    </m:rPr>
                    <w:rPr>
                      <w:rFonts w:ascii="Cambria Math"/>
                      <w:bCs/>
                    </w:rPr>
                    <m:t>offset,1</m:t>
                  </m:r>
                  <m:ctrlPr>
                    <w:rPr>
                      <w:rFonts w:ascii="Cambria Math" w:hAnsi="Cambria Math"/>
                      <w:bCs/>
                    </w:rPr>
                  </m:ctrlPr>
                </m:sub>
                <m:sup>
                  <m:r>
                    <m:rPr>
                      <m:nor/>
                    </m:rPr>
                    <w:rPr>
                      <w:rFonts w:ascii="Cambria Math"/>
                      <w:bCs/>
                    </w:rPr>
                    <m:t>HARQ-ACK,1</m:t>
                  </m:r>
                  <m:ctrlPr>
                    <w:rPr>
                      <w:rFonts w:ascii="Cambria Math" w:hAnsi="Cambria Math"/>
                      <w:bCs/>
                    </w:rPr>
                  </m:ctrlPr>
                </m:sup>
              </m:sSubSup>
            </m:oMath>
            <w:r w:rsidR="00624E99" w:rsidRPr="00111FF6">
              <w:t xml:space="preserve"> or </w:t>
            </w:r>
            <m:oMath>
              <m:sSubSup>
                <m:sSubSupPr>
                  <m:ctrlPr>
                    <w:rPr>
                      <w:rFonts w:ascii="Cambria Math" w:hAnsi="Cambria Math"/>
                      <w:bCs/>
                      <w:i/>
                    </w:rPr>
                  </m:ctrlPr>
                </m:sSubSupPr>
                <m:e>
                  <m:r>
                    <m:rPr>
                      <m:sty m:val="bi"/>
                    </m:rPr>
                    <w:rPr>
                      <w:rFonts w:ascii="Cambria Math"/>
                    </w:rPr>
                    <m:t>I</m:t>
                  </m:r>
                </m:e>
                <m:sub>
                  <m:r>
                    <m:rPr>
                      <m:nor/>
                    </m:rPr>
                    <w:rPr>
                      <w:rFonts w:ascii="Cambria Math"/>
                      <w:bCs/>
                    </w:rPr>
                    <m:t>offset,2</m:t>
                  </m:r>
                  <m:ctrlPr>
                    <w:rPr>
                      <w:rFonts w:ascii="Cambria Math" w:hAnsi="Cambria Math"/>
                      <w:bCs/>
                    </w:rPr>
                  </m:ctrlPr>
                </m:sub>
                <m:sup>
                  <m:r>
                    <m:rPr>
                      <m:nor/>
                    </m:rPr>
                    <w:rPr>
                      <w:rFonts w:ascii="Cambria Math"/>
                      <w:bCs/>
                    </w:rPr>
                    <m:t>HARQ-ACK,1</m:t>
                  </m:r>
                  <m:ctrlPr>
                    <w:rPr>
                      <w:rFonts w:ascii="Cambria Math" w:hAnsi="Cambria Math"/>
                      <w:bCs/>
                    </w:rPr>
                  </m:ctrlPr>
                </m:sup>
              </m:sSubSup>
            </m:oMath>
          </w:p>
        </w:tc>
        <w:tc>
          <w:tcPr>
            <w:tcW w:w="0" w:type="auto"/>
            <w:tcBorders>
              <w:top w:val="single" w:sz="8" w:space="0" w:color="000000"/>
              <w:left w:val="single" w:sz="8" w:space="0" w:color="000000"/>
              <w:bottom w:val="single" w:sz="8" w:space="0" w:color="000000"/>
              <w:right w:val="single" w:sz="8" w:space="0" w:color="000000"/>
            </w:tcBorders>
            <w:shd w:val="clear" w:color="auto" w:fill="E0E0E0"/>
            <w:tcMar>
              <w:top w:w="72" w:type="dxa"/>
              <w:left w:w="144" w:type="dxa"/>
              <w:bottom w:w="72" w:type="dxa"/>
              <w:right w:w="144" w:type="dxa"/>
            </w:tcMar>
            <w:vAlign w:val="center"/>
          </w:tcPr>
          <w:p w14:paraId="3D38176B" w14:textId="4B444154" w:rsidR="00EA04C3" w:rsidRPr="002725DE" w:rsidRDefault="00000000" w:rsidP="00624E99">
            <w:pPr>
              <w:pStyle w:val="TAH"/>
              <w:rPr>
                <w:lang w:val="en-US"/>
              </w:rPr>
            </w:pPr>
            <m:oMath>
              <m:sSubSup>
                <m:sSubSupPr>
                  <m:ctrlPr>
                    <w:rPr>
                      <w:rFonts w:ascii="Cambria Math" w:hAnsi="Cambria Math"/>
                      <w:i/>
                    </w:rPr>
                  </m:ctrlPr>
                </m:sSubSupPr>
                <m:e>
                  <m:r>
                    <m:rPr>
                      <m:sty m:val="bi"/>
                    </m:rPr>
                    <w:rPr>
                      <w:rFonts w:ascii="Cambria Math" w:hAnsi="Cambria Math"/>
                    </w:rPr>
                    <m:t>β</m:t>
                  </m:r>
                </m:e>
                <m:sub>
                  <m:r>
                    <m:rPr>
                      <m:sty m:val="b"/>
                    </m:rPr>
                    <w:rPr>
                      <w:rFonts w:ascii="Cambria Math" w:hAnsi="Cambria Math"/>
                    </w:rPr>
                    <m:t>offset</m:t>
                  </m:r>
                </m:sub>
                <m:sup>
                  <m:r>
                    <m:rPr>
                      <m:sty m:val="b"/>
                    </m:rPr>
                    <w:rPr>
                      <w:rFonts w:ascii="Cambria Math" w:hAnsi="Cambria Math"/>
                    </w:rPr>
                    <m:t>HARQ-ACK</m:t>
                  </m:r>
                </m:sup>
              </m:sSubSup>
            </m:oMath>
            <w:r w:rsidR="00EA04C3" w:rsidRPr="002725DE">
              <w:rPr>
                <w:lang w:val="en-US"/>
              </w:rPr>
              <w:t xml:space="preserve"> or </w:t>
            </w:r>
            <m:oMath>
              <m:sSubSup>
                <m:sSubSupPr>
                  <m:ctrlPr>
                    <w:rPr>
                      <w:rFonts w:ascii="Cambria Math" w:hAnsi="Cambria Math"/>
                      <w:i/>
                      <w:sz w:val="20"/>
                    </w:rPr>
                  </m:ctrlPr>
                </m:sSubSupPr>
                <m:e>
                  <m:r>
                    <m:rPr>
                      <m:sty m:val="bi"/>
                    </m:rPr>
                    <w:rPr>
                      <w:rFonts w:ascii="Cambria Math" w:hAnsi="Cambria Math"/>
                      <w:sz w:val="20"/>
                    </w:rPr>
                    <m:t>β</m:t>
                  </m:r>
                </m:e>
                <m:sub>
                  <m:r>
                    <m:rPr>
                      <m:sty m:val="b"/>
                    </m:rPr>
                    <w:rPr>
                      <w:rFonts w:ascii="Cambria Math" w:hAnsi="Cambria Math"/>
                      <w:sz w:val="20"/>
                    </w:rPr>
                    <m:t>offset</m:t>
                  </m:r>
                </m:sub>
                <m:sup>
                  <m:r>
                    <m:rPr>
                      <m:sty m:val="b"/>
                    </m:rPr>
                    <w:rPr>
                      <w:rFonts w:ascii="Cambria Math" w:hAnsi="Cambria Math"/>
                      <w:sz w:val="20"/>
                    </w:rPr>
                    <m:t>CG-UCI</m:t>
                  </m:r>
                </m:sup>
              </m:sSubSup>
            </m:oMath>
            <w:r w:rsidR="002435FA" w:rsidRPr="00BA5C93">
              <w:rPr>
                <w:szCs w:val="18"/>
              </w:rPr>
              <w:t xml:space="preserve"> or </w:t>
            </w:r>
            <m:oMath>
              <m:sSubSup>
                <m:sSubSupPr>
                  <m:ctrlPr>
                    <w:rPr>
                      <w:rFonts w:ascii="Cambria Math" w:hAnsi="Cambria Math"/>
                      <w:i/>
                      <w:sz w:val="20"/>
                    </w:rPr>
                  </m:ctrlPr>
                </m:sSubSupPr>
                <m:e>
                  <m:r>
                    <m:rPr>
                      <m:sty m:val="bi"/>
                    </m:rPr>
                    <w:rPr>
                      <w:rFonts w:ascii="Cambria Math" w:hAnsi="Cambria Math"/>
                      <w:sz w:val="20"/>
                    </w:rPr>
                    <m:t>β</m:t>
                  </m:r>
                </m:e>
                <m:sub>
                  <m:r>
                    <m:rPr>
                      <m:sty m:val="b"/>
                    </m:rPr>
                    <w:rPr>
                      <w:rFonts w:ascii="Cambria Math" w:hAnsi="Cambria Math"/>
                      <w:sz w:val="20"/>
                    </w:rPr>
                    <m:t>offset</m:t>
                  </m:r>
                </m:sub>
                <m:sup>
                  <m:r>
                    <m:rPr>
                      <m:sty m:val="b"/>
                    </m:rPr>
                    <w:rPr>
                      <w:rFonts w:ascii="Cambria Math" w:hAnsi="Cambria Math"/>
                      <w:sz w:val="20"/>
                    </w:rPr>
                    <m:t>UTO-UCI</m:t>
                  </m:r>
                </m:sup>
              </m:sSubSup>
            </m:oMath>
            <w:r w:rsidR="00190DD5">
              <w:t xml:space="preserve"> </w:t>
            </w:r>
            <w:r w:rsidR="00624E99">
              <w:t xml:space="preserve">or </w:t>
            </w:r>
            <m:oMath>
              <m:sSubSup>
                <m:sSubSupPr>
                  <m:ctrlPr>
                    <w:rPr>
                      <w:rFonts w:ascii="Cambria Math" w:hAnsi="Cambria Math"/>
                      <w:i/>
                    </w:rPr>
                  </m:ctrlPr>
                </m:sSubSupPr>
                <m:e>
                  <m:r>
                    <m:rPr>
                      <m:sty m:val="bi"/>
                    </m:rPr>
                    <w:rPr>
                      <w:rFonts w:ascii="Cambria Math" w:hAnsi="Cambria Math"/>
                    </w:rPr>
                    <m:t>β</m:t>
                  </m:r>
                </m:e>
                <m:sub>
                  <m:r>
                    <m:rPr>
                      <m:sty m:val="b"/>
                    </m:rPr>
                    <w:rPr>
                      <w:rFonts w:ascii="Cambria Math" w:hAnsi="Cambria Math"/>
                    </w:rPr>
                    <m:t>offset</m:t>
                  </m:r>
                </m:sub>
                <m:sup>
                  <m:r>
                    <m:rPr>
                      <m:sty m:val="b"/>
                    </m:rPr>
                    <w:rPr>
                      <w:rFonts w:ascii="Cambria Math" w:hAnsi="Cambria Math"/>
                    </w:rPr>
                    <m:t>HARQ-ACK,0</m:t>
                  </m:r>
                </m:sup>
              </m:sSubSup>
            </m:oMath>
            <w:r w:rsidR="00624E99">
              <w:t xml:space="preserve"> or </w:t>
            </w:r>
            <m:oMath>
              <m:sSubSup>
                <m:sSubSupPr>
                  <m:ctrlPr>
                    <w:rPr>
                      <w:rFonts w:ascii="Cambria Math" w:hAnsi="Cambria Math"/>
                      <w:i/>
                    </w:rPr>
                  </m:ctrlPr>
                </m:sSubSupPr>
                <m:e>
                  <m:r>
                    <m:rPr>
                      <m:sty m:val="bi"/>
                    </m:rPr>
                    <w:rPr>
                      <w:rFonts w:ascii="Cambria Math" w:hAnsi="Cambria Math"/>
                    </w:rPr>
                    <m:t>β</m:t>
                  </m:r>
                </m:e>
                <m:sub>
                  <m:r>
                    <m:rPr>
                      <m:sty m:val="b"/>
                    </m:rPr>
                    <w:rPr>
                      <w:rFonts w:ascii="Cambria Math" w:hAnsi="Cambria Math"/>
                    </w:rPr>
                    <m:t>offset</m:t>
                  </m:r>
                </m:sub>
                <m:sup>
                  <m:r>
                    <m:rPr>
                      <m:sty m:val="b"/>
                    </m:rPr>
                    <w:rPr>
                      <w:rFonts w:ascii="Cambria Math" w:hAnsi="Cambria Math"/>
                    </w:rPr>
                    <m:t>HARQ-ACK,1</m:t>
                  </m:r>
                </m:sup>
              </m:sSubSup>
            </m:oMath>
          </w:p>
        </w:tc>
      </w:tr>
      <w:tr w:rsidR="008B1BCD" w:rsidRPr="00B916EC" w14:paraId="71CDFBAC"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014EDD9" w14:textId="77777777" w:rsidR="008B1BCD" w:rsidRPr="00B916EC" w:rsidRDefault="008B1BCD" w:rsidP="003C726F">
            <w:pPr>
              <w:pStyle w:val="TAC"/>
              <w:rPr>
                <w:lang w:val="en-US"/>
              </w:rPr>
            </w:pPr>
            <w:r w:rsidRPr="00B916EC">
              <w:rPr>
                <w:lang w:val="en-US"/>
              </w:rPr>
              <w:t>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DF597D1" w14:textId="77777777" w:rsidR="008B1BCD" w:rsidRPr="00B916EC" w:rsidRDefault="008B1BCD" w:rsidP="003C726F">
            <w:pPr>
              <w:pStyle w:val="TAC"/>
            </w:pPr>
            <w:r w:rsidRPr="00B916EC">
              <w:t>1.000</w:t>
            </w:r>
          </w:p>
        </w:tc>
      </w:tr>
      <w:tr w:rsidR="008B1BCD" w:rsidRPr="00B916EC" w14:paraId="5FEFDF29"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63CF205" w14:textId="77777777" w:rsidR="008B1BCD" w:rsidRPr="00B916EC" w:rsidRDefault="008B1BCD" w:rsidP="009A2ADE">
            <w:pPr>
              <w:pStyle w:val="TAC"/>
              <w:rPr>
                <w:lang w:val="en-US"/>
              </w:rPr>
            </w:pPr>
            <w:r w:rsidRPr="00B916EC">
              <w:rPr>
                <w:lang w:val="en-US"/>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B1D5918" w14:textId="77777777" w:rsidR="008B1BCD" w:rsidRPr="00B916EC" w:rsidRDefault="008B1BCD" w:rsidP="009A2ADE">
            <w:pPr>
              <w:pStyle w:val="TAC"/>
              <w:rPr>
                <w:lang w:val="en-US"/>
              </w:rPr>
            </w:pPr>
            <w:r w:rsidRPr="00B916EC">
              <w:rPr>
                <w:rFonts w:hint="eastAsia"/>
              </w:rPr>
              <w:t>2.000</w:t>
            </w:r>
          </w:p>
        </w:tc>
      </w:tr>
      <w:tr w:rsidR="008B1BCD" w:rsidRPr="00B916EC" w14:paraId="24145D0C"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0510209" w14:textId="77777777" w:rsidR="008B1BCD" w:rsidRPr="00B916EC" w:rsidRDefault="008B1BCD" w:rsidP="009A2ADE">
            <w:pPr>
              <w:pStyle w:val="TAC"/>
              <w:rPr>
                <w:lang w:val="en-US"/>
              </w:rPr>
            </w:pPr>
            <w:r w:rsidRPr="00B916EC">
              <w:rPr>
                <w:lang w:val="en-US"/>
              </w:rPr>
              <w:t>2</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EC7DA74" w14:textId="77777777" w:rsidR="008B1BCD" w:rsidRPr="00B916EC" w:rsidRDefault="008B1BCD" w:rsidP="009A2ADE">
            <w:pPr>
              <w:pStyle w:val="TAC"/>
              <w:rPr>
                <w:lang w:val="en-US"/>
              </w:rPr>
            </w:pPr>
            <w:r w:rsidRPr="00B916EC">
              <w:t>2.5</w:t>
            </w:r>
            <w:r w:rsidRPr="00B916EC">
              <w:rPr>
                <w:rFonts w:hint="eastAsia"/>
              </w:rPr>
              <w:t>00</w:t>
            </w:r>
          </w:p>
        </w:tc>
      </w:tr>
      <w:tr w:rsidR="008B1BCD" w:rsidRPr="00B916EC" w14:paraId="0101ABAE"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C426515" w14:textId="77777777" w:rsidR="008B1BCD" w:rsidRPr="00B916EC" w:rsidRDefault="008B1BCD" w:rsidP="009A2ADE">
            <w:pPr>
              <w:pStyle w:val="TAC"/>
              <w:rPr>
                <w:lang w:val="en-US"/>
              </w:rPr>
            </w:pPr>
            <w:r w:rsidRPr="00B916EC">
              <w:rPr>
                <w:lang w:val="en-US"/>
              </w:rPr>
              <w:t>3</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A2CBAA8" w14:textId="77777777" w:rsidR="008B1BCD" w:rsidRPr="00B916EC" w:rsidRDefault="008B1BCD" w:rsidP="009A2ADE">
            <w:pPr>
              <w:pStyle w:val="TAC"/>
              <w:rPr>
                <w:lang w:val="en-US"/>
              </w:rPr>
            </w:pPr>
            <w:r w:rsidRPr="00B916EC">
              <w:t>3.125</w:t>
            </w:r>
          </w:p>
        </w:tc>
      </w:tr>
      <w:tr w:rsidR="008B1BCD" w:rsidRPr="00B916EC" w14:paraId="4A431E50"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823F439" w14:textId="77777777" w:rsidR="008B1BCD" w:rsidRPr="00B916EC" w:rsidRDefault="008B1BCD" w:rsidP="009A2ADE">
            <w:pPr>
              <w:pStyle w:val="TAC"/>
              <w:rPr>
                <w:lang w:val="en-US"/>
              </w:rPr>
            </w:pPr>
            <w:r w:rsidRPr="00B916EC">
              <w:rPr>
                <w:lang w:val="en-US"/>
              </w:rPr>
              <w:t>4</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65D0985" w14:textId="77777777" w:rsidR="008B1BCD" w:rsidRPr="00B916EC" w:rsidRDefault="008B1BCD" w:rsidP="009A2ADE">
            <w:pPr>
              <w:pStyle w:val="TAC"/>
              <w:rPr>
                <w:lang w:val="en-US"/>
              </w:rPr>
            </w:pPr>
            <w:r w:rsidRPr="00B916EC">
              <w:rPr>
                <w:rFonts w:hint="eastAsia"/>
              </w:rPr>
              <w:t>4.000</w:t>
            </w:r>
          </w:p>
        </w:tc>
      </w:tr>
      <w:tr w:rsidR="008B1BCD" w:rsidRPr="00B916EC" w14:paraId="56FF7BD0"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BEECB97" w14:textId="77777777" w:rsidR="008B1BCD" w:rsidRPr="00B916EC" w:rsidRDefault="008B1BCD" w:rsidP="009A2ADE">
            <w:pPr>
              <w:pStyle w:val="TAC"/>
              <w:rPr>
                <w:lang w:val="en-US"/>
              </w:rPr>
            </w:pPr>
            <w:r w:rsidRPr="00B916EC">
              <w:rPr>
                <w:lang w:val="en-US"/>
              </w:rPr>
              <w:t>5</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305223D" w14:textId="77777777" w:rsidR="008B1BCD" w:rsidRPr="00B916EC" w:rsidRDefault="008B1BCD" w:rsidP="009A2ADE">
            <w:pPr>
              <w:pStyle w:val="TAC"/>
              <w:rPr>
                <w:lang w:val="en-US"/>
              </w:rPr>
            </w:pPr>
            <w:r w:rsidRPr="00B916EC">
              <w:t>5</w:t>
            </w:r>
            <w:r w:rsidRPr="00B916EC">
              <w:rPr>
                <w:rFonts w:hint="eastAsia"/>
              </w:rPr>
              <w:t>.000</w:t>
            </w:r>
          </w:p>
        </w:tc>
      </w:tr>
      <w:tr w:rsidR="008B1BCD" w:rsidRPr="00B916EC" w14:paraId="3667B486"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23DCBDB" w14:textId="77777777" w:rsidR="008B1BCD" w:rsidRPr="00B916EC" w:rsidRDefault="008B1BCD" w:rsidP="009A2ADE">
            <w:pPr>
              <w:pStyle w:val="TAC"/>
              <w:rPr>
                <w:lang w:val="en-US"/>
              </w:rPr>
            </w:pPr>
            <w:r w:rsidRPr="00B916EC">
              <w:rPr>
                <w:lang w:val="en-US"/>
              </w:rPr>
              <w:t>6</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7C25C9D" w14:textId="77777777" w:rsidR="008B1BCD" w:rsidRPr="00B916EC" w:rsidRDefault="008B1BCD" w:rsidP="009A2ADE">
            <w:pPr>
              <w:pStyle w:val="TAC"/>
              <w:rPr>
                <w:lang w:val="en-US"/>
              </w:rPr>
            </w:pPr>
            <w:r w:rsidRPr="00B916EC">
              <w:t>6.25</w:t>
            </w:r>
            <w:r w:rsidRPr="00B916EC">
              <w:rPr>
                <w:rFonts w:hint="eastAsia"/>
              </w:rPr>
              <w:t>0</w:t>
            </w:r>
          </w:p>
        </w:tc>
      </w:tr>
      <w:tr w:rsidR="008B1BCD" w:rsidRPr="00B916EC" w14:paraId="2B016A14"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3854914" w14:textId="77777777" w:rsidR="008B1BCD" w:rsidRPr="00B916EC" w:rsidRDefault="008B1BCD" w:rsidP="009A2ADE">
            <w:pPr>
              <w:pStyle w:val="TAC"/>
              <w:rPr>
                <w:lang w:val="en-US"/>
              </w:rPr>
            </w:pPr>
            <w:r w:rsidRPr="00B916EC">
              <w:rPr>
                <w:lang w:val="en-US"/>
              </w:rPr>
              <w:t>7</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B515A48" w14:textId="77777777" w:rsidR="008B1BCD" w:rsidRPr="00B916EC" w:rsidRDefault="008B1BCD" w:rsidP="009A2ADE">
            <w:pPr>
              <w:pStyle w:val="TAC"/>
              <w:rPr>
                <w:lang w:val="en-US"/>
              </w:rPr>
            </w:pPr>
            <w:r w:rsidRPr="00B916EC">
              <w:rPr>
                <w:rFonts w:hint="eastAsia"/>
              </w:rPr>
              <w:t>8.000</w:t>
            </w:r>
          </w:p>
        </w:tc>
      </w:tr>
      <w:tr w:rsidR="008B1BCD" w:rsidRPr="00B916EC" w14:paraId="6FBA81F6"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04F46B9" w14:textId="77777777" w:rsidR="008B1BCD" w:rsidRPr="00B916EC" w:rsidRDefault="008B1BCD" w:rsidP="009A2ADE">
            <w:pPr>
              <w:pStyle w:val="TAC"/>
              <w:rPr>
                <w:lang w:val="en-US"/>
              </w:rPr>
            </w:pPr>
            <w:r w:rsidRPr="00B916EC">
              <w:rPr>
                <w:lang w:val="en-US"/>
              </w:rPr>
              <w:t>8</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C590FA9" w14:textId="77777777" w:rsidR="008B1BCD" w:rsidRPr="00B916EC" w:rsidRDefault="008B1BCD" w:rsidP="009A2ADE">
            <w:pPr>
              <w:pStyle w:val="TAC"/>
              <w:rPr>
                <w:lang w:val="en-US"/>
              </w:rPr>
            </w:pPr>
            <w:r w:rsidRPr="00B916EC">
              <w:t>10</w:t>
            </w:r>
            <w:r w:rsidRPr="00B916EC">
              <w:rPr>
                <w:rFonts w:hint="eastAsia"/>
              </w:rPr>
              <w:t>.000</w:t>
            </w:r>
          </w:p>
        </w:tc>
      </w:tr>
      <w:tr w:rsidR="008B1BCD" w:rsidRPr="00B916EC" w14:paraId="7F0C6A98"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118A3B7" w14:textId="77777777" w:rsidR="008B1BCD" w:rsidRPr="00B916EC" w:rsidRDefault="008B1BCD" w:rsidP="009A2ADE">
            <w:pPr>
              <w:pStyle w:val="TAC"/>
              <w:rPr>
                <w:lang w:val="en-US"/>
              </w:rPr>
            </w:pPr>
            <w:r w:rsidRPr="00B916EC">
              <w:rPr>
                <w:lang w:val="en-US"/>
              </w:rPr>
              <w:t>9</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94D8C4F" w14:textId="77777777" w:rsidR="008B1BCD" w:rsidRPr="00B916EC" w:rsidRDefault="008B1BCD" w:rsidP="009A2ADE">
            <w:pPr>
              <w:pStyle w:val="TAC"/>
              <w:rPr>
                <w:lang w:val="en-US"/>
              </w:rPr>
            </w:pPr>
            <w:r w:rsidRPr="00B916EC">
              <w:t>12.</w:t>
            </w:r>
            <w:r w:rsidRPr="00B916EC">
              <w:rPr>
                <w:rFonts w:hint="eastAsia"/>
              </w:rPr>
              <w:t>625</w:t>
            </w:r>
          </w:p>
        </w:tc>
      </w:tr>
      <w:tr w:rsidR="008B1BCD" w:rsidRPr="00B916EC" w14:paraId="16EEBE51"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A623664" w14:textId="77777777" w:rsidR="008B1BCD" w:rsidRPr="00B916EC" w:rsidRDefault="008B1BCD" w:rsidP="009A2ADE">
            <w:pPr>
              <w:pStyle w:val="TAC"/>
              <w:rPr>
                <w:lang w:val="en-US"/>
              </w:rPr>
            </w:pPr>
            <w:r w:rsidRPr="00B916EC">
              <w:rPr>
                <w:lang w:val="en-US"/>
              </w:rPr>
              <w:t>10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4CD66D4" w14:textId="77777777" w:rsidR="008B1BCD" w:rsidRPr="00B916EC" w:rsidRDefault="008B1BCD" w:rsidP="009A2ADE">
            <w:pPr>
              <w:pStyle w:val="TAC"/>
              <w:rPr>
                <w:lang w:val="en-US"/>
              </w:rPr>
            </w:pPr>
            <w:r w:rsidRPr="00B916EC">
              <w:t>15.8</w:t>
            </w:r>
            <w:r w:rsidRPr="00B916EC">
              <w:rPr>
                <w:rFonts w:hint="eastAsia"/>
              </w:rPr>
              <w:t>75</w:t>
            </w:r>
          </w:p>
        </w:tc>
      </w:tr>
      <w:tr w:rsidR="008B1BCD" w:rsidRPr="00B916EC" w14:paraId="7CD7B31E"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007E119" w14:textId="77777777" w:rsidR="008B1BCD" w:rsidRPr="00B916EC" w:rsidRDefault="008B1BCD" w:rsidP="009A2ADE">
            <w:pPr>
              <w:pStyle w:val="TAC"/>
              <w:rPr>
                <w:lang w:val="en-US"/>
              </w:rPr>
            </w:pPr>
            <w:r w:rsidRPr="00B916EC">
              <w:rPr>
                <w:lang w:val="en-US"/>
              </w:rPr>
              <w:t>11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9535459" w14:textId="77777777" w:rsidR="008B1BCD" w:rsidRPr="00B916EC" w:rsidRDefault="008B1BCD" w:rsidP="009A2ADE">
            <w:pPr>
              <w:pStyle w:val="TAC"/>
              <w:rPr>
                <w:lang w:val="en-US"/>
              </w:rPr>
            </w:pPr>
            <w:r w:rsidRPr="00B916EC">
              <w:rPr>
                <w:rFonts w:hint="eastAsia"/>
              </w:rPr>
              <w:t>20.000</w:t>
            </w:r>
          </w:p>
        </w:tc>
      </w:tr>
      <w:tr w:rsidR="008B1BCD" w:rsidRPr="00B916EC" w14:paraId="2D3DBDB2"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9FF8F77" w14:textId="77777777" w:rsidR="008B1BCD" w:rsidRPr="00B916EC" w:rsidRDefault="008B1BCD" w:rsidP="009A2ADE">
            <w:pPr>
              <w:pStyle w:val="TAC"/>
              <w:rPr>
                <w:lang w:val="en-US"/>
              </w:rPr>
            </w:pPr>
            <w:r w:rsidRPr="00B916EC">
              <w:rPr>
                <w:lang w:val="en-US"/>
              </w:rPr>
              <w:t>12</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C2FB4F3" w14:textId="77777777" w:rsidR="008B1BCD" w:rsidRPr="00B916EC" w:rsidRDefault="008B1BCD" w:rsidP="009A2ADE">
            <w:pPr>
              <w:pStyle w:val="TAC"/>
              <w:rPr>
                <w:lang w:val="en-US"/>
              </w:rPr>
            </w:pPr>
            <w:r w:rsidRPr="00B916EC">
              <w:rPr>
                <w:lang w:val="en-US"/>
              </w:rPr>
              <w:t>31.000</w:t>
            </w:r>
          </w:p>
        </w:tc>
      </w:tr>
      <w:tr w:rsidR="008B1BCD" w:rsidRPr="00B916EC" w14:paraId="124D2E96"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4A33353" w14:textId="77777777" w:rsidR="008B1BCD" w:rsidRPr="00B916EC" w:rsidRDefault="008B1BCD" w:rsidP="009A2ADE">
            <w:pPr>
              <w:pStyle w:val="TAC"/>
              <w:rPr>
                <w:lang w:val="en-US"/>
              </w:rPr>
            </w:pPr>
            <w:r w:rsidRPr="00B916EC">
              <w:rPr>
                <w:lang w:val="en-US"/>
              </w:rPr>
              <w:t>13</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3F4D2F0" w14:textId="77777777" w:rsidR="008B1BCD" w:rsidRPr="00B916EC" w:rsidRDefault="008B1BCD" w:rsidP="009A2ADE">
            <w:pPr>
              <w:pStyle w:val="TAC"/>
              <w:rPr>
                <w:lang w:val="en-US"/>
              </w:rPr>
            </w:pPr>
            <w:r w:rsidRPr="00B916EC">
              <w:rPr>
                <w:lang w:val="en-US"/>
              </w:rPr>
              <w:t>50.000</w:t>
            </w:r>
          </w:p>
        </w:tc>
      </w:tr>
      <w:tr w:rsidR="008B1BCD" w:rsidRPr="00B916EC" w14:paraId="665EFFA8"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600EB76" w14:textId="77777777" w:rsidR="008B1BCD" w:rsidRPr="00B916EC" w:rsidRDefault="008B1BCD" w:rsidP="009A2ADE">
            <w:pPr>
              <w:pStyle w:val="TAC"/>
              <w:rPr>
                <w:lang w:val="en-US"/>
              </w:rPr>
            </w:pPr>
            <w:r w:rsidRPr="00B916EC">
              <w:rPr>
                <w:lang w:val="en-US"/>
              </w:rPr>
              <w:t>14</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C55E5D5" w14:textId="77777777" w:rsidR="008B1BCD" w:rsidRPr="00B916EC" w:rsidRDefault="008B1BCD" w:rsidP="009A2ADE">
            <w:pPr>
              <w:pStyle w:val="TAC"/>
              <w:rPr>
                <w:lang w:val="en-US"/>
              </w:rPr>
            </w:pPr>
            <w:r w:rsidRPr="00B916EC">
              <w:rPr>
                <w:lang w:val="en-US"/>
              </w:rPr>
              <w:t>80.000</w:t>
            </w:r>
          </w:p>
        </w:tc>
      </w:tr>
      <w:tr w:rsidR="008B1BCD" w:rsidRPr="00B916EC" w14:paraId="361B443E"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582C3B8" w14:textId="77777777" w:rsidR="008B1BCD" w:rsidRPr="00B916EC" w:rsidRDefault="008B1BCD" w:rsidP="009A2ADE">
            <w:pPr>
              <w:pStyle w:val="TAC"/>
              <w:rPr>
                <w:lang w:val="en-US"/>
              </w:rPr>
            </w:pPr>
            <w:r w:rsidRPr="00B916EC">
              <w:rPr>
                <w:lang w:val="en-US"/>
              </w:rPr>
              <w:t>15</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49B5510" w14:textId="77777777" w:rsidR="008B1BCD" w:rsidRPr="00B916EC" w:rsidRDefault="008B1BCD" w:rsidP="009A2ADE">
            <w:pPr>
              <w:pStyle w:val="TAC"/>
              <w:rPr>
                <w:lang w:val="en-US"/>
              </w:rPr>
            </w:pPr>
            <w:r w:rsidRPr="00B916EC">
              <w:rPr>
                <w:lang w:val="en-US"/>
              </w:rPr>
              <w:t>126.000</w:t>
            </w:r>
          </w:p>
        </w:tc>
      </w:tr>
      <w:tr w:rsidR="00624E99" w:rsidRPr="00B916EC" w14:paraId="7275272C"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F15DAE9" w14:textId="77777777" w:rsidR="00624E99" w:rsidRPr="00B916EC" w:rsidRDefault="00624E99" w:rsidP="00624E99">
            <w:pPr>
              <w:pStyle w:val="TAC"/>
              <w:rPr>
                <w:lang w:val="en-US"/>
              </w:rPr>
            </w:pPr>
            <w:r w:rsidRPr="00B916EC">
              <w:rPr>
                <w:lang w:val="en-US"/>
              </w:rPr>
              <w:t>16</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47BF510" w14:textId="7288B28A" w:rsidR="00624E99" w:rsidRPr="00B916EC" w:rsidRDefault="00624E99" w:rsidP="00624E99">
            <w:pPr>
              <w:pStyle w:val="TAC"/>
              <w:rPr>
                <w:lang w:val="en-US"/>
              </w:rPr>
            </w:pPr>
            <w:r>
              <w:rPr>
                <w:lang w:val="en-US"/>
              </w:rPr>
              <w:t>0.6</w:t>
            </w:r>
          </w:p>
        </w:tc>
      </w:tr>
      <w:tr w:rsidR="00624E99" w:rsidRPr="00B916EC" w14:paraId="694A31A9"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36CC450" w14:textId="77777777" w:rsidR="00624E99" w:rsidRPr="00B916EC" w:rsidRDefault="00624E99" w:rsidP="00624E99">
            <w:pPr>
              <w:pStyle w:val="TAC"/>
              <w:rPr>
                <w:lang w:val="en-US"/>
              </w:rPr>
            </w:pPr>
            <w:r w:rsidRPr="00B916EC">
              <w:rPr>
                <w:lang w:val="en-US"/>
              </w:rPr>
              <w:t>17</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EB3F852" w14:textId="01365C4F" w:rsidR="00624E99" w:rsidRPr="00B916EC" w:rsidRDefault="00624E99" w:rsidP="00624E99">
            <w:pPr>
              <w:pStyle w:val="TAC"/>
              <w:rPr>
                <w:lang w:val="en-US"/>
              </w:rPr>
            </w:pPr>
            <w:r>
              <w:rPr>
                <w:lang w:val="en-US"/>
              </w:rPr>
              <w:t>0.4</w:t>
            </w:r>
          </w:p>
        </w:tc>
      </w:tr>
      <w:tr w:rsidR="00624E99" w:rsidRPr="00B916EC" w14:paraId="5E4382C6"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E60125C" w14:textId="77777777" w:rsidR="00624E99" w:rsidRPr="00B916EC" w:rsidRDefault="00624E99" w:rsidP="00624E99">
            <w:pPr>
              <w:pStyle w:val="TAC"/>
              <w:rPr>
                <w:lang w:val="en-US"/>
              </w:rPr>
            </w:pPr>
            <w:r w:rsidRPr="00B916EC">
              <w:rPr>
                <w:lang w:val="en-US"/>
              </w:rPr>
              <w:t>18</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6AD37D4" w14:textId="1D800610" w:rsidR="00624E99" w:rsidRPr="00B916EC" w:rsidRDefault="00624E99" w:rsidP="00624E99">
            <w:pPr>
              <w:pStyle w:val="TAC"/>
              <w:rPr>
                <w:lang w:val="en-US"/>
              </w:rPr>
            </w:pPr>
            <w:r>
              <w:rPr>
                <w:lang w:val="en-US"/>
              </w:rPr>
              <w:t>0.2</w:t>
            </w:r>
          </w:p>
        </w:tc>
      </w:tr>
      <w:tr w:rsidR="00624E99" w:rsidRPr="00B916EC" w14:paraId="1962D66E"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EFCE010" w14:textId="77777777" w:rsidR="00624E99" w:rsidRPr="00B916EC" w:rsidRDefault="00624E99" w:rsidP="00624E99">
            <w:pPr>
              <w:pStyle w:val="TAC"/>
              <w:rPr>
                <w:lang w:val="en-US"/>
              </w:rPr>
            </w:pPr>
            <w:r w:rsidRPr="00B916EC">
              <w:rPr>
                <w:lang w:val="en-US"/>
              </w:rPr>
              <w:t>19</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62CA280" w14:textId="5375529A" w:rsidR="00624E99" w:rsidRPr="00B916EC" w:rsidRDefault="00624E99" w:rsidP="00624E99">
            <w:pPr>
              <w:pStyle w:val="TAC"/>
              <w:rPr>
                <w:lang w:val="en-US"/>
              </w:rPr>
            </w:pPr>
            <w:r>
              <w:rPr>
                <w:lang w:val="en-US"/>
              </w:rPr>
              <w:t>0.1</w:t>
            </w:r>
          </w:p>
        </w:tc>
      </w:tr>
      <w:tr w:rsidR="00624E99" w:rsidRPr="00B916EC" w14:paraId="2B3ECF36"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FC8E9D6" w14:textId="77777777" w:rsidR="00624E99" w:rsidRPr="00B916EC" w:rsidRDefault="00624E99" w:rsidP="00624E99">
            <w:pPr>
              <w:pStyle w:val="TAC"/>
              <w:rPr>
                <w:lang w:val="en-US"/>
              </w:rPr>
            </w:pPr>
            <w:r w:rsidRPr="00B916EC">
              <w:rPr>
                <w:lang w:val="en-US"/>
              </w:rPr>
              <w:t>20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9BFB991" w14:textId="56EECB87" w:rsidR="00624E99" w:rsidRPr="00B916EC" w:rsidRDefault="00624E99" w:rsidP="00624E99">
            <w:pPr>
              <w:pStyle w:val="TAC"/>
              <w:rPr>
                <w:lang w:val="en-US"/>
              </w:rPr>
            </w:pPr>
            <w:r>
              <w:rPr>
                <w:lang w:val="en-US"/>
              </w:rPr>
              <w:t>0.05</w:t>
            </w:r>
          </w:p>
        </w:tc>
      </w:tr>
      <w:tr w:rsidR="00075EC9" w:rsidRPr="00B916EC" w14:paraId="7E4A1A96"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3A014CC" w14:textId="77777777" w:rsidR="00075EC9" w:rsidRPr="00B916EC" w:rsidRDefault="00075EC9" w:rsidP="00075EC9">
            <w:pPr>
              <w:pStyle w:val="TAC"/>
              <w:rPr>
                <w:lang w:val="en-US"/>
              </w:rPr>
            </w:pPr>
            <w:r w:rsidRPr="00B916EC">
              <w:rPr>
                <w:lang w:val="en-US"/>
              </w:rPr>
              <w:t>21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F4AA934" w14:textId="77777777" w:rsidR="00075EC9" w:rsidRPr="00B916EC" w:rsidRDefault="00075EC9" w:rsidP="00075EC9">
            <w:pPr>
              <w:pStyle w:val="TAC"/>
              <w:rPr>
                <w:lang w:val="en-US"/>
              </w:rPr>
            </w:pPr>
            <w:r w:rsidRPr="00B916EC">
              <w:rPr>
                <w:lang w:val="en-US"/>
              </w:rPr>
              <w:t>Reserved</w:t>
            </w:r>
          </w:p>
        </w:tc>
      </w:tr>
      <w:tr w:rsidR="00075EC9" w:rsidRPr="00B916EC" w14:paraId="546FE1D2"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BEADF81" w14:textId="77777777" w:rsidR="00075EC9" w:rsidRPr="00B916EC" w:rsidRDefault="00075EC9" w:rsidP="00075EC9">
            <w:pPr>
              <w:pStyle w:val="TAC"/>
              <w:rPr>
                <w:lang w:val="en-US"/>
              </w:rPr>
            </w:pPr>
            <w:r w:rsidRPr="00B916EC">
              <w:rPr>
                <w:lang w:val="en-US"/>
              </w:rPr>
              <w:t>22</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C8D512B" w14:textId="77777777" w:rsidR="00075EC9" w:rsidRPr="00B916EC" w:rsidRDefault="00075EC9" w:rsidP="00075EC9">
            <w:pPr>
              <w:pStyle w:val="TAC"/>
              <w:rPr>
                <w:lang w:val="en-US"/>
              </w:rPr>
            </w:pPr>
            <w:r w:rsidRPr="00B916EC">
              <w:rPr>
                <w:lang w:val="en-US"/>
              </w:rPr>
              <w:t>Reserved</w:t>
            </w:r>
          </w:p>
        </w:tc>
      </w:tr>
      <w:tr w:rsidR="00075EC9" w:rsidRPr="00B916EC" w14:paraId="608D5FB9"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3371139" w14:textId="77777777" w:rsidR="00075EC9" w:rsidRPr="00B916EC" w:rsidRDefault="00075EC9" w:rsidP="00075EC9">
            <w:pPr>
              <w:pStyle w:val="TAC"/>
              <w:rPr>
                <w:lang w:val="en-US"/>
              </w:rPr>
            </w:pPr>
            <w:r w:rsidRPr="00B916EC">
              <w:rPr>
                <w:lang w:val="en-US"/>
              </w:rPr>
              <w:t>23</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29CB30A" w14:textId="77777777" w:rsidR="00075EC9" w:rsidRPr="00B916EC" w:rsidRDefault="00075EC9" w:rsidP="00075EC9">
            <w:pPr>
              <w:pStyle w:val="TAC"/>
              <w:rPr>
                <w:lang w:val="en-US"/>
              </w:rPr>
            </w:pPr>
            <w:r w:rsidRPr="00B916EC">
              <w:rPr>
                <w:lang w:val="en-US"/>
              </w:rPr>
              <w:t>Reserved</w:t>
            </w:r>
          </w:p>
        </w:tc>
      </w:tr>
      <w:tr w:rsidR="00075EC9" w:rsidRPr="00B916EC" w14:paraId="3B0E83F0"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A9E14EC" w14:textId="77777777" w:rsidR="00075EC9" w:rsidRPr="00B916EC" w:rsidRDefault="00075EC9" w:rsidP="00075EC9">
            <w:pPr>
              <w:pStyle w:val="TAC"/>
              <w:rPr>
                <w:lang w:val="en-US"/>
              </w:rPr>
            </w:pPr>
            <w:r w:rsidRPr="00B916EC">
              <w:rPr>
                <w:lang w:val="en-US"/>
              </w:rPr>
              <w:t>24</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D957DF9" w14:textId="77777777" w:rsidR="00075EC9" w:rsidRPr="00B916EC" w:rsidRDefault="00075EC9" w:rsidP="00075EC9">
            <w:pPr>
              <w:pStyle w:val="TAC"/>
              <w:rPr>
                <w:lang w:val="en-US"/>
              </w:rPr>
            </w:pPr>
            <w:r w:rsidRPr="00B916EC">
              <w:rPr>
                <w:lang w:val="en-US"/>
              </w:rPr>
              <w:t>Reserved</w:t>
            </w:r>
          </w:p>
        </w:tc>
      </w:tr>
      <w:tr w:rsidR="007B7A55" w:rsidRPr="00B916EC" w14:paraId="34114285"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6E856CB" w14:textId="77777777" w:rsidR="007B7A55" w:rsidRPr="00B916EC" w:rsidRDefault="007B7A55" w:rsidP="007B7A55">
            <w:pPr>
              <w:pStyle w:val="TAC"/>
              <w:rPr>
                <w:lang w:val="en-US"/>
              </w:rPr>
            </w:pPr>
            <w:r w:rsidRPr="00B916EC">
              <w:rPr>
                <w:lang w:val="en-US"/>
              </w:rPr>
              <w:t>25</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A5683F7" w14:textId="77777777" w:rsidR="007B7A55" w:rsidRPr="00B916EC" w:rsidRDefault="007B7A55" w:rsidP="007B7A55">
            <w:pPr>
              <w:pStyle w:val="TAC"/>
              <w:rPr>
                <w:lang w:val="en-US"/>
              </w:rPr>
            </w:pPr>
            <w:r w:rsidRPr="00B916EC">
              <w:rPr>
                <w:lang w:val="en-US"/>
              </w:rPr>
              <w:t>Reserved</w:t>
            </w:r>
          </w:p>
        </w:tc>
      </w:tr>
      <w:tr w:rsidR="007B7A55" w:rsidRPr="00B916EC" w14:paraId="4ECB4B01"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531AD1B" w14:textId="77777777" w:rsidR="007B7A55" w:rsidRPr="00B916EC" w:rsidRDefault="007B7A55" w:rsidP="007B7A55">
            <w:pPr>
              <w:pStyle w:val="TAC"/>
              <w:rPr>
                <w:lang w:val="en-US"/>
              </w:rPr>
            </w:pPr>
            <w:r w:rsidRPr="00B916EC">
              <w:rPr>
                <w:lang w:val="en-US"/>
              </w:rPr>
              <w:t>26</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DCA8E8C" w14:textId="77777777" w:rsidR="007B7A55" w:rsidRPr="00B916EC" w:rsidRDefault="007B7A55" w:rsidP="007B7A55">
            <w:pPr>
              <w:pStyle w:val="TAC"/>
              <w:rPr>
                <w:lang w:val="en-US"/>
              </w:rPr>
            </w:pPr>
            <w:r w:rsidRPr="00B916EC">
              <w:rPr>
                <w:lang w:val="en-US"/>
              </w:rPr>
              <w:t>Reserved</w:t>
            </w:r>
          </w:p>
        </w:tc>
      </w:tr>
      <w:tr w:rsidR="007B7A55" w:rsidRPr="00B916EC" w14:paraId="2DF2A354"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8093D67" w14:textId="77777777" w:rsidR="007B7A55" w:rsidRPr="00B916EC" w:rsidRDefault="007B7A55" w:rsidP="007B7A55">
            <w:pPr>
              <w:pStyle w:val="TAC"/>
              <w:rPr>
                <w:lang w:val="en-US"/>
              </w:rPr>
            </w:pPr>
            <w:r w:rsidRPr="00B916EC">
              <w:rPr>
                <w:lang w:val="en-US"/>
              </w:rPr>
              <w:t>27</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58582AB" w14:textId="77777777" w:rsidR="007B7A55" w:rsidRPr="00B916EC" w:rsidRDefault="007B7A55" w:rsidP="007B7A55">
            <w:pPr>
              <w:pStyle w:val="TAC"/>
              <w:rPr>
                <w:lang w:val="en-US"/>
              </w:rPr>
            </w:pPr>
            <w:r w:rsidRPr="00B916EC">
              <w:rPr>
                <w:lang w:val="en-US"/>
              </w:rPr>
              <w:t>Reserved</w:t>
            </w:r>
          </w:p>
        </w:tc>
      </w:tr>
      <w:tr w:rsidR="007B7A55" w:rsidRPr="00B916EC" w14:paraId="58176264"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07092C0" w14:textId="77777777" w:rsidR="007B7A55" w:rsidRPr="00B916EC" w:rsidRDefault="007B7A55" w:rsidP="007B7A55">
            <w:pPr>
              <w:pStyle w:val="TAC"/>
              <w:rPr>
                <w:lang w:val="en-US"/>
              </w:rPr>
            </w:pPr>
            <w:r w:rsidRPr="00B916EC">
              <w:rPr>
                <w:lang w:val="en-US"/>
              </w:rPr>
              <w:t>28</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9BAA34C" w14:textId="77777777" w:rsidR="007B7A55" w:rsidRPr="00B916EC" w:rsidRDefault="007B7A55" w:rsidP="007B7A55">
            <w:pPr>
              <w:pStyle w:val="TAC"/>
              <w:rPr>
                <w:lang w:val="en-US"/>
              </w:rPr>
            </w:pPr>
            <w:r w:rsidRPr="00B916EC">
              <w:rPr>
                <w:lang w:val="en-US"/>
              </w:rPr>
              <w:t>Reserved</w:t>
            </w:r>
          </w:p>
        </w:tc>
      </w:tr>
      <w:tr w:rsidR="007B7A55" w:rsidRPr="00B916EC" w14:paraId="258DD8FB"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426709F" w14:textId="77777777" w:rsidR="007B7A55" w:rsidRPr="00B916EC" w:rsidRDefault="007B7A55" w:rsidP="007B7A55">
            <w:pPr>
              <w:pStyle w:val="TAC"/>
              <w:rPr>
                <w:lang w:val="en-US"/>
              </w:rPr>
            </w:pPr>
            <w:r w:rsidRPr="00B916EC">
              <w:rPr>
                <w:lang w:val="en-US"/>
              </w:rPr>
              <w:t>29</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1BB3285" w14:textId="77777777" w:rsidR="007B7A55" w:rsidRPr="00B916EC" w:rsidRDefault="007B7A55" w:rsidP="007B7A55">
            <w:pPr>
              <w:pStyle w:val="TAC"/>
              <w:rPr>
                <w:lang w:val="en-US"/>
              </w:rPr>
            </w:pPr>
            <w:r w:rsidRPr="00B916EC">
              <w:rPr>
                <w:lang w:val="en-US"/>
              </w:rPr>
              <w:t>Reserved</w:t>
            </w:r>
          </w:p>
        </w:tc>
      </w:tr>
      <w:tr w:rsidR="007B7A55" w:rsidRPr="00B916EC" w14:paraId="19F0F241"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DC9E5A8" w14:textId="77777777" w:rsidR="007B7A55" w:rsidRPr="00B916EC" w:rsidRDefault="007B7A55" w:rsidP="007B7A55">
            <w:pPr>
              <w:pStyle w:val="TAC"/>
              <w:rPr>
                <w:lang w:val="en-US"/>
              </w:rPr>
            </w:pPr>
            <w:r w:rsidRPr="00B916EC">
              <w:rPr>
                <w:lang w:val="en-US"/>
              </w:rPr>
              <w:t>30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57C3B04" w14:textId="77777777" w:rsidR="007B7A55" w:rsidRPr="00B916EC" w:rsidRDefault="007B7A55" w:rsidP="007B7A55">
            <w:pPr>
              <w:pStyle w:val="TAC"/>
              <w:rPr>
                <w:lang w:val="en-US"/>
              </w:rPr>
            </w:pPr>
            <w:r w:rsidRPr="00B916EC">
              <w:rPr>
                <w:lang w:val="en-US"/>
              </w:rPr>
              <w:t>Reserved</w:t>
            </w:r>
          </w:p>
        </w:tc>
      </w:tr>
      <w:tr w:rsidR="007B7A55" w:rsidRPr="00B916EC" w14:paraId="4EFBFA41"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B8A6D5F" w14:textId="77777777" w:rsidR="007B7A55" w:rsidRPr="00B916EC" w:rsidRDefault="007B7A55" w:rsidP="007B7A55">
            <w:pPr>
              <w:pStyle w:val="TAC"/>
              <w:rPr>
                <w:lang w:val="en-US"/>
              </w:rPr>
            </w:pPr>
            <w:r w:rsidRPr="00B916EC">
              <w:rPr>
                <w:lang w:val="en-US"/>
              </w:rPr>
              <w:t>31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892B379" w14:textId="77777777" w:rsidR="007B7A55" w:rsidRPr="00B916EC" w:rsidRDefault="007B7A55" w:rsidP="007B7A55">
            <w:pPr>
              <w:pStyle w:val="TAC"/>
              <w:rPr>
                <w:lang w:val="en-US"/>
              </w:rPr>
            </w:pPr>
            <w:r w:rsidRPr="00B916EC">
              <w:rPr>
                <w:lang w:val="en-US"/>
              </w:rPr>
              <w:t>Reserved</w:t>
            </w:r>
          </w:p>
        </w:tc>
      </w:tr>
    </w:tbl>
    <w:p w14:paraId="49C57529" w14:textId="77777777" w:rsidR="00B134C9" w:rsidRPr="00111FF6" w:rsidRDefault="00B134C9" w:rsidP="00B134C9"/>
    <w:p w14:paraId="5E9C3382" w14:textId="77777777" w:rsidR="008B1BCD" w:rsidRPr="00B916EC" w:rsidRDefault="008B1BCD" w:rsidP="008B1BCD">
      <w:pPr>
        <w:pStyle w:val="TH"/>
      </w:pPr>
      <w:r w:rsidRPr="00B916EC">
        <w:lastRenderedPageBreak/>
        <w:t>Table 9</w:t>
      </w:r>
      <w:r w:rsidRPr="00B916EC">
        <w:rPr>
          <w:rFonts w:hint="eastAsia"/>
        </w:rPr>
        <w:t>.</w:t>
      </w:r>
      <w:r w:rsidR="001A73F4" w:rsidRPr="00B916EC">
        <w:t>3</w:t>
      </w:r>
      <w:r w:rsidRPr="00B916EC">
        <w:rPr>
          <w:rFonts w:hint="eastAsia"/>
        </w:rPr>
        <w:t>-</w:t>
      </w:r>
      <w:r w:rsidRPr="00B916EC">
        <w:t>2</w:t>
      </w:r>
      <w:r w:rsidRPr="00B916EC">
        <w:rPr>
          <w:rFonts w:hint="eastAsia"/>
        </w:rPr>
        <w:t xml:space="preserve">: Mapping of </w:t>
      </w:r>
      <w:r w:rsidR="0045409B">
        <w:t>beta_</w:t>
      </w:r>
      <w:r w:rsidRPr="00B916EC">
        <w:rPr>
          <w:rFonts w:hint="eastAsia"/>
        </w:rPr>
        <w:t xml:space="preserve">offset values </w:t>
      </w:r>
      <w:r w:rsidR="0045409B">
        <w:t xml:space="preserve">for CSI </w:t>
      </w:r>
      <w:r w:rsidRPr="00B916EC">
        <w:rPr>
          <w:rFonts w:hint="eastAsia"/>
        </w:rPr>
        <w:t xml:space="preserve">and the index </w:t>
      </w:r>
      <w:r w:rsidRPr="00B916EC">
        <w:t>signalled</w:t>
      </w:r>
      <w:r w:rsidRPr="00B916EC">
        <w:rPr>
          <w:rFonts w:hint="eastAsia"/>
        </w:rPr>
        <w:t xml:space="preserve"> by higher layers</w:t>
      </w:r>
    </w:p>
    <w:tbl>
      <w:tblPr>
        <w:tblW w:w="0" w:type="auto"/>
        <w:jc w:val="center"/>
        <w:tblCellMar>
          <w:left w:w="0" w:type="dxa"/>
          <w:right w:w="0" w:type="dxa"/>
        </w:tblCellMar>
        <w:tblLook w:val="04A0" w:firstRow="1" w:lastRow="0" w:firstColumn="1" w:lastColumn="0" w:noHBand="0" w:noVBand="1"/>
      </w:tblPr>
      <w:tblGrid>
        <w:gridCol w:w="1641"/>
        <w:gridCol w:w="1059"/>
      </w:tblGrid>
      <w:tr w:rsidR="00AB0C62" w:rsidRPr="00B916EC" w14:paraId="3E7E5AE8"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E0E0E0"/>
            <w:tcMar>
              <w:top w:w="72" w:type="dxa"/>
              <w:left w:w="144" w:type="dxa"/>
              <w:bottom w:w="72" w:type="dxa"/>
              <w:right w:w="144" w:type="dxa"/>
            </w:tcMar>
            <w:vAlign w:val="center"/>
          </w:tcPr>
          <w:p w14:paraId="160A97C4" w14:textId="1FBCA9D6" w:rsidR="00AB0C62" w:rsidRPr="00111FF6" w:rsidRDefault="00000000" w:rsidP="00AB0C62">
            <w:pPr>
              <w:pStyle w:val="TAH"/>
            </w:pPr>
            <m:oMath>
              <m:sSubSup>
                <m:sSubSupPr>
                  <m:ctrlPr>
                    <w:rPr>
                      <w:rFonts w:ascii="Cambria Math" w:hAnsi="Cambria Math"/>
                      <w:bCs/>
                      <w:i/>
                    </w:rPr>
                  </m:ctrlPr>
                </m:sSubSupPr>
                <m:e>
                  <m:r>
                    <m:rPr>
                      <m:sty m:val="bi"/>
                    </m:rPr>
                    <w:rPr>
                      <w:rFonts w:ascii="Cambria Math"/>
                    </w:rPr>
                    <m:t>I</m:t>
                  </m:r>
                </m:e>
                <m:sub>
                  <m:r>
                    <m:rPr>
                      <m:nor/>
                    </m:rPr>
                    <w:rPr>
                      <w:rFonts w:ascii="Cambria Math"/>
                      <w:bCs/>
                    </w:rPr>
                    <m:t>offset,0</m:t>
                  </m:r>
                  <m:ctrlPr>
                    <w:rPr>
                      <w:rFonts w:ascii="Cambria Math" w:hAnsi="Cambria Math"/>
                      <w:bCs/>
                    </w:rPr>
                  </m:ctrlPr>
                </m:sub>
                <m:sup>
                  <m:r>
                    <m:rPr>
                      <m:nor/>
                    </m:rPr>
                    <w:rPr>
                      <w:rFonts w:ascii="Cambria Math"/>
                      <w:bCs/>
                    </w:rPr>
                    <m:t>CSI-1</m:t>
                  </m:r>
                  <m:ctrlPr>
                    <w:rPr>
                      <w:rFonts w:ascii="Cambria Math" w:hAnsi="Cambria Math"/>
                      <w:bCs/>
                    </w:rPr>
                  </m:ctrlPr>
                </m:sup>
              </m:sSubSup>
            </m:oMath>
            <w:r w:rsidR="00AB0C62" w:rsidRPr="00111FF6">
              <w:t xml:space="preserve"> or </w:t>
            </w:r>
            <m:oMath>
              <m:sSubSup>
                <m:sSubSupPr>
                  <m:ctrlPr>
                    <w:rPr>
                      <w:rFonts w:ascii="Cambria Math" w:hAnsi="Cambria Math"/>
                      <w:bCs/>
                      <w:i/>
                    </w:rPr>
                  </m:ctrlPr>
                </m:sSubSupPr>
                <m:e>
                  <m:r>
                    <m:rPr>
                      <m:sty m:val="bi"/>
                    </m:rPr>
                    <w:rPr>
                      <w:rFonts w:ascii="Cambria Math"/>
                    </w:rPr>
                    <m:t>I</m:t>
                  </m:r>
                </m:e>
                <m:sub>
                  <m:r>
                    <m:rPr>
                      <m:nor/>
                    </m:rPr>
                    <w:rPr>
                      <w:rFonts w:ascii="Cambria Math"/>
                      <w:bCs/>
                    </w:rPr>
                    <m:t>offset,1</m:t>
                  </m:r>
                  <m:ctrlPr>
                    <w:rPr>
                      <w:rFonts w:ascii="Cambria Math" w:hAnsi="Cambria Math"/>
                      <w:bCs/>
                    </w:rPr>
                  </m:ctrlPr>
                </m:sub>
                <m:sup>
                  <m:r>
                    <m:rPr>
                      <m:nor/>
                    </m:rPr>
                    <w:rPr>
                      <w:rFonts w:ascii="Cambria Math"/>
                      <w:bCs/>
                    </w:rPr>
                    <m:t>CSI-1</m:t>
                  </m:r>
                  <m:ctrlPr>
                    <w:rPr>
                      <w:rFonts w:ascii="Cambria Math" w:hAnsi="Cambria Math"/>
                      <w:bCs/>
                    </w:rPr>
                  </m:ctrlPr>
                </m:sup>
              </m:sSubSup>
            </m:oMath>
            <w:r w:rsidR="00AB0C62" w:rsidRPr="00111FF6">
              <w:t xml:space="preserve"> </w:t>
            </w:r>
          </w:p>
          <w:p w14:paraId="6D12C32D" w14:textId="2B23D520" w:rsidR="00AB0C62" w:rsidRPr="00B916EC" w:rsidRDefault="00000000" w:rsidP="00AB0C62">
            <w:pPr>
              <w:pStyle w:val="TAH"/>
            </w:pPr>
            <m:oMath>
              <m:sSubSup>
                <m:sSubSupPr>
                  <m:ctrlPr>
                    <w:rPr>
                      <w:rFonts w:ascii="Cambria Math" w:hAnsi="Cambria Math"/>
                      <w:bCs/>
                      <w:i/>
                    </w:rPr>
                  </m:ctrlPr>
                </m:sSubSupPr>
                <m:e>
                  <m:r>
                    <m:rPr>
                      <m:sty m:val="bi"/>
                    </m:rPr>
                    <w:rPr>
                      <w:rFonts w:ascii="Cambria Math"/>
                    </w:rPr>
                    <m:t>I</m:t>
                  </m:r>
                </m:e>
                <m:sub>
                  <m:r>
                    <m:rPr>
                      <m:nor/>
                    </m:rPr>
                    <w:rPr>
                      <w:rFonts w:ascii="Cambria Math"/>
                      <w:bCs/>
                    </w:rPr>
                    <m:t>offset,0</m:t>
                  </m:r>
                  <m:ctrlPr>
                    <w:rPr>
                      <w:rFonts w:ascii="Cambria Math" w:hAnsi="Cambria Math"/>
                      <w:bCs/>
                    </w:rPr>
                  </m:ctrlPr>
                </m:sub>
                <m:sup>
                  <m:r>
                    <m:rPr>
                      <m:nor/>
                    </m:rPr>
                    <w:rPr>
                      <w:rFonts w:ascii="Cambria Math"/>
                      <w:bCs/>
                    </w:rPr>
                    <m:t>CSI-2</m:t>
                  </m:r>
                  <m:ctrlPr>
                    <w:rPr>
                      <w:rFonts w:ascii="Cambria Math" w:hAnsi="Cambria Math"/>
                      <w:bCs/>
                    </w:rPr>
                  </m:ctrlPr>
                </m:sup>
              </m:sSubSup>
            </m:oMath>
            <w:r w:rsidR="00AB0C62" w:rsidRPr="00111FF6">
              <w:t xml:space="preserve"> or </w:t>
            </w:r>
            <m:oMath>
              <m:sSubSup>
                <m:sSubSupPr>
                  <m:ctrlPr>
                    <w:rPr>
                      <w:rFonts w:ascii="Cambria Math" w:hAnsi="Cambria Math"/>
                      <w:bCs/>
                      <w:i/>
                    </w:rPr>
                  </m:ctrlPr>
                </m:sSubSupPr>
                <m:e>
                  <m:r>
                    <m:rPr>
                      <m:sty m:val="bi"/>
                    </m:rPr>
                    <w:rPr>
                      <w:rFonts w:ascii="Cambria Math"/>
                    </w:rPr>
                    <m:t>I</m:t>
                  </m:r>
                </m:e>
                <m:sub>
                  <m:r>
                    <m:rPr>
                      <m:nor/>
                    </m:rPr>
                    <w:rPr>
                      <w:rFonts w:ascii="Cambria Math"/>
                      <w:bCs/>
                    </w:rPr>
                    <m:t>offset,1</m:t>
                  </m:r>
                  <m:ctrlPr>
                    <w:rPr>
                      <w:rFonts w:ascii="Cambria Math" w:hAnsi="Cambria Math"/>
                      <w:bCs/>
                    </w:rPr>
                  </m:ctrlPr>
                </m:sub>
                <m:sup>
                  <m:r>
                    <m:rPr>
                      <m:nor/>
                    </m:rPr>
                    <w:rPr>
                      <w:rFonts w:ascii="Cambria Math"/>
                      <w:bCs/>
                    </w:rPr>
                    <m:t>CSI-2</m:t>
                  </m:r>
                  <m:ctrlPr>
                    <w:rPr>
                      <w:rFonts w:ascii="Cambria Math" w:hAnsi="Cambria Math"/>
                      <w:bCs/>
                    </w:rPr>
                  </m:ctrlPr>
                </m:sup>
              </m:sSubSup>
            </m:oMath>
          </w:p>
        </w:tc>
        <w:tc>
          <w:tcPr>
            <w:tcW w:w="0" w:type="auto"/>
            <w:tcBorders>
              <w:top w:val="single" w:sz="8" w:space="0" w:color="000000"/>
              <w:left w:val="single" w:sz="8" w:space="0" w:color="000000"/>
              <w:bottom w:val="single" w:sz="8" w:space="0" w:color="000000"/>
              <w:right w:val="single" w:sz="8" w:space="0" w:color="000000"/>
            </w:tcBorders>
            <w:shd w:val="clear" w:color="auto" w:fill="E0E0E0"/>
            <w:tcMar>
              <w:top w:w="72" w:type="dxa"/>
              <w:left w:w="144" w:type="dxa"/>
              <w:bottom w:w="72" w:type="dxa"/>
              <w:right w:w="144" w:type="dxa"/>
            </w:tcMar>
            <w:vAlign w:val="center"/>
          </w:tcPr>
          <w:p w14:paraId="4E3FCD96" w14:textId="4B5FE409" w:rsidR="00AB0C62" w:rsidRPr="00111FF6" w:rsidRDefault="00000000" w:rsidP="00AB0C62">
            <w:pPr>
              <w:pStyle w:val="TAH"/>
              <w:rPr>
                <w:b w:val="0"/>
                <w:bCs/>
              </w:rPr>
            </w:pPr>
            <m:oMathPara>
              <m:oMath>
                <m:sSubSup>
                  <m:sSubSupPr>
                    <m:ctrlPr>
                      <w:rPr>
                        <w:rFonts w:ascii="Cambria Math" w:hAnsi="Cambria Math"/>
                        <w:i/>
                      </w:rPr>
                    </m:ctrlPr>
                  </m:sSubSupPr>
                  <m:e>
                    <m:r>
                      <m:rPr>
                        <m:sty m:val="bi"/>
                      </m:rPr>
                      <w:rPr>
                        <w:rFonts w:ascii="Cambria Math" w:hAnsi="Cambria Math"/>
                      </w:rPr>
                      <m:t>β</m:t>
                    </m:r>
                  </m:e>
                  <m:sub>
                    <m:r>
                      <m:rPr>
                        <m:sty m:val="b"/>
                      </m:rPr>
                      <w:rPr>
                        <w:rFonts w:ascii="Cambria Math" w:hAnsi="Cambria Math"/>
                      </w:rPr>
                      <m:t>offset</m:t>
                    </m:r>
                  </m:sub>
                  <m:sup>
                    <m:r>
                      <m:rPr>
                        <m:sty m:val="b"/>
                      </m:rPr>
                      <w:rPr>
                        <w:rFonts w:ascii="Cambria Math" w:hAnsi="Cambria Math"/>
                      </w:rPr>
                      <m:t>CSI-1</m:t>
                    </m:r>
                  </m:sup>
                </m:sSubSup>
              </m:oMath>
            </m:oMathPara>
          </w:p>
          <w:p w14:paraId="59737C8F" w14:textId="48AFE77A" w:rsidR="00AB0C62" w:rsidRPr="00B916EC" w:rsidRDefault="00000000" w:rsidP="00AB0C62">
            <w:pPr>
              <w:pStyle w:val="TAH"/>
              <w:rPr>
                <w:lang w:val="en-US"/>
              </w:rPr>
            </w:pPr>
            <m:oMathPara>
              <m:oMath>
                <m:sSubSup>
                  <m:sSubSupPr>
                    <m:ctrlPr>
                      <w:rPr>
                        <w:rFonts w:ascii="Cambria Math" w:hAnsi="Cambria Math"/>
                        <w:i/>
                      </w:rPr>
                    </m:ctrlPr>
                  </m:sSubSupPr>
                  <m:e>
                    <m:r>
                      <m:rPr>
                        <m:sty m:val="bi"/>
                      </m:rPr>
                      <w:rPr>
                        <w:rFonts w:ascii="Cambria Math" w:hAnsi="Cambria Math"/>
                      </w:rPr>
                      <m:t>β</m:t>
                    </m:r>
                  </m:e>
                  <m:sub>
                    <m:r>
                      <m:rPr>
                        <m:sty m:val="b"/>
                      </m:rPr>
                      <w:rPr>
                        <w:rFonts w:ascii="Cambria Math" w:hAnsi="Cambria Math"/>
                      </w:rPr>
                      <m:t>offset</m:t>
                    </m:r>
                  </m:sub>
                  <m:sup>
                    <m:r>
                      <m:rPr>
                        <m:sty m:val="b"/>
                      </m:rPr>
                      <w:rPr>
                        <w:rFonts w:ascii="Cambria Math" w:hAnsi="Cambria Math"/>
                      </w:rPr>
                      <m:t>CSI-2</m:t>
                    </m:r>
                  </m:sup>
                </m:sSubSup>
              </m:oMath>
            </m:oMathPara>
          </w:p>
        </w:tc>
      </w:tr>
      <w:tr w:rsidR="007B7A55" w:rsidRPr="00B916EC" w14:paraId="00EA71D0"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07251C6" w14:textId="77777777" w:rsidR="007B7A55" w:rsidRPr="00B916EC" w:rsidRDefault="007B7A55" w:rsidP="00EA0F17">
            <w:pPr>
              <w:pStyle w:val="TAC"/>
              <w:rPr>
                <w:lang w:val="en-US"/>
              </w:rPr>
            </w:pPr>
            <w:r w:rsidRPr="00B916EC">
              <w:rPr>
                <w:lang w:val="en-US"/>
              </w:rPr>
              <w:t>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CB7C418" w14:textId="77777777" w:rsidR="007B7A55" w:rsidRPr="00B916EC" w:rsidRDefault="007B7A55" w:rsidP="00EA0F17">
            <w:pPr>
              <w:pStyle w:val="TAC"/>
              <w:rPr>
                <w:lang w:val="en-US"/>
              </w:rPr>
            </w:pPr>
            <w:r w:rsidRPr="00B916EC">
              <w:rPr>
                <w:rFonts w:hint="eastAsia"/>
              </w:rPr>
              <w:t>1.125</w:t>
            </w:r>
          </w:p>
        </w:tc>
      </w:tr>
      <w:tr w:rsidR="007B7A55" w:rsidRPr="00B916EC" w14:paraId="16E2B11D"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D1CE8AB" w14:textId="77777777" w:rsidR="007B7A55" w:rsidRPr="00B916EC" w:rsidRDefault="007B7A55" w:rsidP="00EA0F17">
            <w:pPr>
              <w:pStyle w:val="TAC"/>
              <w:rPr>
                <w:lang w:val="en-US"/>
              </w:rPr>
            </w:pPr>
            <w:r w:rsidRPr="00B916EC">
              <w:rPr>
                <w:lang w:val="en-US"/>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916B321" w14:textId="77777777" w:rsidR="007B7A55" w:rsidRPr="00B916EC" w:rsidRDefault="007B7A55" w:rsidP="00EA0F17">
            <w:pPr>
              <w:pStyle w:val="TAC"/>
              <w:rPr>
                <w:lang w:val="en-US"/>
              </w:rPr>
            </w:pPr>
            <w:r w:rsidRPr="00B916EC">
              <w:t>1.25</w:t>
            </w:r>
            <w:r w:rsidRPr="00B916EC">
              <w:rPr>
                <w:rFonts w:hint="eastAsia"/>
              </w:rPr>
              <w:t>0</w:t>
            </w:r>
          </w:p>
        </w:tc>
      </w:tr>
      <w:tr w:rsidR="007B7A55" w:rsidRPr="00B916EC" w14:paraId="65E7FE7E"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1B15AE3" w14:textId="77777777" w:rsidR="007B7A55" w:rsidRPr="00B916EC" w:rsidRDefault="007B7A55" w:rsidP="00EA0F17">
            <w:pPr>
              <w:pStyle w:val="TAC"/>
              <w:rPr>
                <w:lang w:val="en-US"/>
              </w:rPr>
            </w:pPr>
            <w:r w:rsidRPr="00B916EC">
              <w:rPr>
                <w:lang w:val="en-US"/>
              </w:rPr>
              <w:t>2</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BF87687" w14:textId="77777777" w:rsidR="007B7A55" w:rsidRPr="00B916EC" w:rsidRDefault="007B7A55" w:rsidP="00EA0F17">
            <w:pPr>
              <w:pStyle w:val="TAC"/>
              <w:rPr>
                <w:lang w:val="en-US"/>
              </w:rPr>
            </w:pPr>
            <w:r w:rsidRPr="00B916EC">
              <w:t>1.375</w:t>
            </w:r>
          </w:p>
        </w:tc>
      </w:tr>
      <w:tr w:rsidR="007B7A55" w:rsidRPr="00B916EC" w14:paraId="50F01971"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01B25BB" w14:textId="77777777" w:rsidR="007B7A55" w:rsidRPr="00B916EC" w:rsidRDefault="007B7A55" w:rsidP="00EA0F17">
            <w:pPr>
              <w:pStyle w:val="TAC"/>
              <w:rPr>
                <w:lang w:val="en-US"/>
              </w:rPr>
            </w:pPr>
            <w:r w:rsidRPr="00B916EC">
              <w:rPr>
                <w:lang w:val="en-US"/>
              </w:rPr>
              <w:t>3</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C83375E" w14:textId="77777777" w:rsidR="007B7A55" w:rsidRPr="00B916EC" w:rsidRDefault="007B7A55" w:rsidP="00EA0F17">
            <w:pPr>
              <w:pStyle w:val="TAC"/>
              <w:rPr>
                <w:lang w:val="en-US"/>
              </w:rPr>
            </w:pPr>
            <w:r w:rsidRPr="00B916EC">
              <w:t>1.</w:t>
            </w:r>
            <w:r w:rsidRPr="00B916EC">
              <w:rPr>
                <w:rFonts w:hint="eastAsia"/>
              </w:rPr>
              <w:t>625</w:t>
            </w:r>
          </w:p>
        </w:tc>
      </w:tr>
      <w:tr w:rsidR="007B7A55" w:rsidRPr="00B916EC" w14:paraId="50122226"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60CED7A" w14:textId="77777777" w:rsidR="007B7A55" w:rsidRPr="00B916EC" w:rsidRDefault="007B7A55" w:rsidP="00EA0F17">
            <w:pPr>
              <w:pStyle w:val="TAC"/>
              <w:rPr>
                <w:lang w:val="en-US"/>
              </w:rPr>
            </w:pPr>
            <w:r w:rsidRPr="00B916EC">
              <w:rPr>
                <w:lang w:val="en-US"/>
              </w:rPr>
              <w:t>4</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8FF2A99" w14:textId="77777777" w:rsidR="007B7A55" w:rsidRPr="00B916EC" w:rsidRDefault="007B7A55" w:rsidP="00EA0F17">
            <w:pPr>
              <w:pStyle w:val="TAC"/>
              <w:rPr>
                <w:lang w:val="en-US"/>
              </w:rPr>
            </w:pPr>
            <w:r w:rsidRPr="00B916EC">
              <w:t>1.75</w:t>
            </w:r>
            <w:r w:rsidRPr="00B916EC">
              <w:rPr>
                <w:rFonts w:hint="eastAsia"/>
              </w:rPr>
              <w:t>0</w:t>
            </w:r>
          </w:p>
        </w:tc>
      </w:tr>
      <w:tr w:rsidR="007B7A55" w:rsidRPr="00B916EC" w14:paraId="12472DA0"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2B4DB3A" w14:textId="77777777" w:rsidR="007B7A55" w:rsidRPr="00B916EC" w:rsidRDefault="007B7A55" w:rsidP="00EA0F17">
            <w:pPr>
              <w:pStyle w:val="TAC"/>
              <w:rPr>
                <w:lang w:val="en-US"/>
              </w:rPr>
            </w:pPr>
            <w:r w:rsidRPr="00B916EC">
              <w:rPr>
                <w:lang w:val="en-US"/>
              </w:rPr>
              <w:t>5</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F4B2E97" w14:textId="77777777" w:rsidR="007B7A55" w:rsidRPr="00B916EC" w:rsidRDefault="007B7A55" w:rsidP="00EA0F17">
            <w:pPr>
              <w:pStyle w:val="TAC"/>
              <w:rPr>
                <w:lang w:val="en-US"/>
              </w:rPr>
            </w:pPr>
            <w:r w:rsidRPr="00B916EC">
              <w:rPr>
                <w:rFonts w:hint="eastAsia"/>
              </w:rPr>
              <w:t>2.000</w:t>
            </w:r>
          </w:p>
        </w:tc>
      </w:tr>
      <w:tr w:rsidR="007B7A55" w:rsidRPr="00B916EC" w14:paraId="431966C3"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FAE13A3" w14:textId="77777777" w:rsidR="007B7A55" w:rsidRPr="00B916EC" w:rsidRDefault="007B7A55" w:rsidP="00EA0F17">
            <w:pPr>
              <w:pStyle w:val="TAC"/>
              <w:rPr>
                <w:lang w:val="en-US"/>
              </w:rPr>
            </w:pPr>
            <w:r w:rsidRPr="00B916EC">
              <w:rPr>
                <w:lang w:val="en-US"/>
              </w:rPr>
              <w:t>6</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4343D1D" w14:textId="77777777" w:rsidR="007B7A55" w:rsidRPr="00B916EC" w:rsidRDefault="007B7A55" w:rsidP="00EA0F17">
            <w:pPr>
              <w:pStyle w:val="TAC"/>
              <w:rPr>
                <w:lang w:val="en-US"/>
              </w:rPr>
            </w:pPr>
            <w:r w:rsidRPr="00B916EC">
              <w:rPr>
                <w:rFonts w:hint="eastAsia"/>
              </w:rPr>
              <w:t>2.250</w:t>
            </w:r>
          </w:p>
        </w:tc>
      </w:tr>
      <w:tr w:rsidR="007B7A55" w:rsidRPr="00B916EC" w14:paraId="3A7EA34C"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0882FE4" w14:textId="77777777" w:rsidR="007B7A55" w:rsidRPr="00B916EC" w:rsidRDefault="007B7A55" w:rsidP="00EA0F17">
            <w:pPr>
              <w:pStyle w:val="TAC"/>
              <w:rPr>
                <w:lang w:val="en-US"/>
              </w:rPr>
            </w:pPr>
            <w:r w:rsidRPr="00B916EC">
              <w:rPr>
                <w:lang w:val="en-US"/>
              </w:rPr>
              <w:t>7</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3A20AA1" w14:textId="77777777" w:rsidR="007B7A55" w:rsidRPr="00B916EC" w:rsidRDefault="007B7A55" w:rsidP="00EA0F17">
            <w:pPr>
              <w:pStyle w:val="TAC"/>
              <w:rPr>
                <w:lang w:val="en-US"/>
              </w:rPr>
            </w:pPr>
            <w:r w:rsidRPr="00B916EC">
              <w:t>2.5</w:t>
            </w:r>
            <w:r w:rsidRPr="00B916EC">
              <w:rPr>
                <w:rFonts w:hint="eastAsia"/>
              </w:rPr>
              <w:t>00</w:t>
            </w:r>
          </w:p>
        </w:tc>
      </w:tr>
      <w:tr w:rsidR="007B7A55" w:rsidRPr="00B916EC" w14:paraId="60BD0C19"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74B6829" w14:textId="77777777" w:rsidR="007B7A55" w:rsidRPr="00B916EC" w:rsidRDefault="007B7A55" w:rsidP="00EA0F17">
            <w:pPr>
              <w:pStyle w:val="TAC"/>
              <w:rPr>
                <w:lang w:val="en-US"/>
              </w:rPr>
            </w:pPr>
            <w:r w:rsidRPr="00B916EC">
              <w:rPr>
                <w:lang w:val="en-US"/>
              </w:rPr>
              <w:t>8</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2E7C6A9" w14:textId="77777777" w:rsidR="007B7A55" w:rsidRPr="00B916EC" w:rsidRDefault="007B7A55" w:rsidP="00EA0F17">
            <w:pPr>
              <w:pStyle w:val="TAC"/>
              <w:rPr>
                <w:lang w:val="en-US"/>
              </w:rPr>
            </w:pPr>
            <w:r w:rsidRPr="00B916EC">
              <w:t>2.8</w:t>
            </w:r>
            <w:r w:rsidRPr="00B916EC">
              <w:rPr>
                <w:rFonts w:hint="eastAsia"/>
              </w:rPr>
              <w:t>75</w:t>
            </w:r>
          </w:p>
        </w:tc>
      </w:tr>
      <w:tr w:rsidR="007B7A55" w:rsidRPr="00B916EC" w14:paraId="1F625AD1"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F85F898" w14:textId="77777777" w:rsidR="007B7A55" w:rsidRPr="00B916EC" w:rsidRDefault="007B7A55" w:rsidP="00EA0F17">
            <w:pPr>
              <w:pStyle w:val="TAC"/>
              <w:rPr>
                <w:lang w:val="en-US"/>
              </w:rPr>
            </w:pPr>
            <w:r w:rsidRPr="00B916EC">
              <w:rPr>
                <w:lang w:val="en-US"/>
              </w:rPr>
              <w:t>9</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19EAD11" w14:textId="77777777" w:rsidR="007B7A55" w:rsidRPr="00B916EC" w:rsidRDefault="007B7A55" w:rsidP="00EA0F17">
            <w:pPr>
              <w:pStyle w:val="TAC"/>
              <w:rPr>
                <w:lang w:val="en-US"/>
              </w:rPr>
            </w:pPr>
            <w:r w:rsidRPr="00B916EC">
              <w:t>3.125</w:t>
            </w:r>
          </w:p>
        </w:tc>
      </w:tr>
      <w:tr w:rsidR="007B7A55" w:rsidRPr="00B916EC" w14:paraId="1C37D1E8"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B42BE26" w14:textId="77777777" w:rsidR="007B7A55" w:rsidRPr="00B916EC" w:rsidRDefault="007B7A55" w:rsidP="00EA0F17">
            <w:pPr>
              <w:pStyle w:val="TAC"/>
              <w:rPr>
                <w:lang w:val="en-US"/>
              </w:rPr>
            </w:pPr>
            <w:r w:rsidRPr="00B916EC">
              <w:rPr>
                <w:lang w:val="en-US"/>
              </w:rPr>
              <w:t>10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A857073" w14:textId="77777777" w:rsidR="007B7A55" w:rsidRPr="00B916EC" w:rsidRDefault="007B7A55" w:rsidP="00EA0F17">
            <w:pPr>
              <w:pStyle w:val="TAC"/>
              <w:rPr>
                <w:lang w:val="en-US"/>
              </w:rPr>
            </w:pPr>
            <w:r w:rsidRPr="00B916EC">
              <w:t>3.5</w:t>
            </w:r>
            <w:r w:rsidRPr="00B916EC">
              <w:rPr>
                <w:rFonts w:hint="eastAsia"/>
              </w:rPr>
              <w:t>00</w:t>
            </w:r>
          </w:p>
        </w:tc>
      </w:tr>
      <w:tr w:rsidR="007B7A55" w:rsidRPr="00B916EC" w14:paraId="5BC4E8F0"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47C7ADD" w14:textId="77777777" w:rsidR="007B7A55" w:rsidRPr="00B916EC" w:rsidRDefault="007B7A55" w:rsidP="00EA0F17">
            <w:pPr>
              <w:pStyle w:val="TAC"/>
              <w:rPr>
                <w:lang w:val="en-US"/>
              </w:rPr>
            </w:pPr>
            <w:r w:rsidRPr="00B916EC">
              <w:rPr>
                <w:lang w:val="en-US"/>
              </w:rPr>
              <w:t>11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68231FF" w14:textId="77777777" w:rsidR="007B7A55" w:rsidRPr="00B916EC" w:rsidRDefault="007B7A55" w:rsidP="00EA0F17">
            <w:pPr>
              <w:pStyle w:val="TAC"/>
              <w:rPr>
                <w:lang w:val="en-US"/>
              </w:rPr>
            </w:pPr>
            <w:r w:rsidRPr="00B916EC">
              <w:rPr>
                <w:rFonts w:hint="eastAsia"/>
              </w:rPr>
              <w:t>4.000</w:t>
            </w:r>
          </w:p>
        </w:tc>
      </w:tr>
      <w:tr w:rsidR="007B7A55" w:rsidRPr="00B916EC" w14:paraId="2A36CE02"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C292F35" w14:textId="77777777" w:rsidR="007B7A55" w:rsidRPr="00B916EC" w:rsidRDefault="007B7A55" w:rsidP="00EA0F17">
            <w:pPr>
              <w:pStyle w:val="TAC"/>
              <w:rPr>
                <w:lang w:val="en-US"/>
              </w:rPr>
            </w:pPr>
            <w:r w:rsidRPr="00B916EC">
              <w:rPr>
                <w:lang w:val="en-US"/>
              </w:rPr>
              <w:t>12</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304CCEF" w14:textId="77777777" w:rsidR="007B7A55" w:rsidRPr="00B916EC" w:rsidRDefault="007B7A55" w:rsidP="00EA0F17">
            <w:pPr>
              <w:pStyle w:val="TAC"/>
              <w:rPr>
                <w:lang w:val="en-US"/>
              </w:rPr>
            </w:pPr>
            <w:r w:rsidRPr="00B916EC">
              <w:t>5</w:t>
            </w:r>
            <w:r w:rsidRPr="00B916EC">
              <w:rPr>
                <w:rFonts w:hint="eastAsia"/>
              </w:rPr>
              <w:t>.000</w:t>
            </w:r>
          </w:p>
        </w:tc>
      </w:tr>
      <w:tr w:rsidR="007B7A55" w:rsidRPr="00B916EC" w14:paraId="6DC8A0CA"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389ECC2" w14:textId="77777777" w:rsidR="007B7A55" w:rsidRPr="00B916EC" w:rsidRDefault="007B7A55" w:rsidP="00EA0F17">
            <w:pPr>
              <w:pStyle w:val="TAC"/>
              <w:rPr>
                <w:lang w:val="en-US"/>
              </w:rPr>
            </w:pPr>
            <w:r w:rsidRPr="00B916EC">
              <w:rPr>
                <w:lang w:val="en-US"/>
              </w:rPr>
              <w:t>13</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D4C93A3" w14:textId="77777777" w:rsidR="007B7A55" w:rsidRPr="00B916EC" w:rsidRDefault="007B7A55" w:rsidP="00EA0F17">
            <w:pPr>
              <w:pStyle w:val="TAC"/>
              <w:rPr>
                <w:lang w:val="en-US"/>
              </w:rPr>
            </w:pPr>
            <w:r w:rsidRPr="00B916EC">
              <w:t>6.25</w:t>
            </w:r>
            <w:r w:rsidRPr="00B916EC">
              <w:rPr>
                <w:rFonts w:hint="eastAsia"/>
              </w:rPr>
              <w:t>0</w:t>
            </w:r>
          </w:p>
        </w:tc>
      </w:tr>
      <w:tr w:rsidR="00990560" w:rsidRPr="00B916EC" w14:paraId="18DCFDDB"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4CD57A6" w14:textId="77777777" w:rsidR="00990560" w:rsidRPr="00B916EC" w:rsidRDefault="00990560" w:rsidP="00EA0F17">
            <w:pPr>
              <w:pStyle w:val="TAC"/>
              <w:rPr>
                <w:lang w:val="en-US"/>
              </w:rPr>
            </w:pPr>
            <w:r w:rsidRPr="00B916EC">
              <w:rPr>
                <w:lang w:val="en-US"/>
              </w:rPr>
              <w:t>14</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4A8554C" w14:textId="77777777" w:rsidR="00990560" w:rsidRPr="00B916EC" w:rsidRDefault="007B7A55" w:rsidP="00EA0F17">
            <w:pPr>
              <w:pStyle w:val="TAC"/>
              <w:rPr>
                <w:lang w:val="en-US"/>
              </w:rPr>
            </w:pPr>
            <w:r w:rsidRPr="00B916EC">
              <w:t>8.000</w:t>
            </w:r>
          </w:p>
        </w:tc>
      </w:tr>
      <w:tr w:rsidR="00990560" w:rsidRPr="00B916EC" w14:paraId="746563CA"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1038BB4" w14:textId="77777777" w:rsidR="00990560" w:rsidRPr="00B916EC" w:rsidRDefault="00990560" w:rsidP="00EA0F17">
            <w:pPr>
              <w:pStyle w:val="TAC"/>
              <w:rPr>
                <w:lang w:val="en-US"/>
              </w:rPr>
            </w:pPr>
            <w:r w:rsidRPr="00B916EC">
              <w:rPr>
                <w:lang w:val="en-US"/>
              </w:rPr>
              <w:t>15</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0136DBB" w14:textId="77777777" w:rsidR="00990560" w:rsidRPr="00B916EC" w:rsidRDefault="007B7A55" w:rsidP="00EA0F17">
            <w:pPr>
              <w:pStyle w:val="TAC"/>
              <w:rPr>
                <w:lang w:val="en-US"/>
              </w:rPr>
            </w:pPr>
            <w:r w:rsidRPr="00B916EC">
              <w:t>10.000</w:t>
            </w:r>
          </w:p>
        </w:tc>
      </w:tr>
      <w:tr w:rsidR="00075EC9" w:rsidRPr="00B916EC" w14:paraId="1A434E83"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0B239CF" w14:textId="77777777" w:rsidR="00075EC9" w:rsidRPr="00B916EC" w:rsidRDefault="007B7A55" w:rsidP="00EA0F17">
            <w:pPr>
              <w:pStyle w:val="TAC"/>
              <w:rPr>
                <w:lang w:val="en-US"/>
              </w:rPr>
            </w:pPr>
            <w:r w:rsidRPr="00B916EC">
              <w:rPr>
                <w:lang w:val="en-US"/>
              </w:rPr>
              <w:t>16</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060BD1A" w14:textId="77777777" w:rsidR="00075EC9" w:rsidRPr="00B916EC" w:rsidRDefault="0045409B" w:rsidP="00EA0F17">
            <w:pPr>
              <w:pStyle w:val="TAC"/>
            </w:pPr>
            <w:r>
              <w:t>12.625</w:t>
            </w:r>
          </w:p>
        </w:tc>
      </w:tr>
      <w:tr w:rsidR="00075EC9" w:rsidRPr="00B916EC" w14:paraId="76BDB67E"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327B6AF" w14:textId="77777777" w:rsidR="00075EC9" w:rsidRPr="00B916EC" w:rsidRDefault="007B7A55" w:rsidP="00EA0F17">
            <w:pPr>
              <w:pStyle w:val="TAC"/>
              <w:rPr>
                <w:lang w:val="en-US"/>
              </w:rPr>
            </w:pPr>
            <w:r w:rsidRPr="00B916EC">
              <w:rPr>
                <w:lang w:val="en-US"/>
              </w:rPr>
              <w:t>17</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598172B" w14:textId="77777777" w:rsidR="00075EC9" w:rsidRPr="00B916EC" w:rsidRDefault="0045409B" w:rsidP="00630DAD">
            <w:pPr>
              <w:pStyle w:val="TAC"/>
            </w:pPr>
            <w:r w:rsidRPr="00B916EC">
              <w:t>15.875</w:t>
            </w:r>
          </w:p>
        </w:tc>
      </w:tr>
      <w:tr w:rsidR="0045409B" w:rsidRPr="00B916EC" w14:paraId="4EFAB74C" w14:textId="77777777" w:rsidTr="0009732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14:paraId="670EF2DC" w14:textId="77777777" w:rsidR="0045409B" w:rsidRPr="00B916EC" w:rsidRDefault="00F23D23" w:rsidP="00EA0F17">
            <w:pPr>
              <w:pStyle w:val="TAC"/>
              <w:rPr>
                <w:lang w:val="en-US"/>
              </w:rPr>
            </w:pPr>
            <w:r>
              <w:t>18</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14:paraId="4387E220" w14:textId="77777777" w:rsidR="0045409B" w:rsidRPr="00B916EC" w:rsidRDefault="0045409B" w:rsidP="00630DAD">
            <w:pPr>
              <w:pStyle w:val="TAC"/>
            </w:pPr>
            <w:r w:rsidRPr="000D2FD0">
              <w:t>20.000</w:t>
            </w:r>
          </w:p>
        </w:tc>
      </w:tr>
      <w:tr w:rsidR="007B7A55" w:rsidRPr="00B916EC" w14:paraId="423ECAD3"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356B801" w14:textId="77777777" w:rsidR="007B7A55" w:rsidRPr="00B916EC" w:rsidRDefault="007B7A55" w:rsidP="00EA0F17">
            <w:pPr>
              <w:pStyle w:val="TAC"/>
              <w:rPr>
                <w:lang w:val="en-US"/>
              </w:rPr>
            </w:pPr>
            <w:r w:rsidRPr="00B916EC">
              <w:rPr>
                <w:lang w:val="en-US"/>
              </w:rPr>
              <w:t>19</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0DDA63A" w14:textId="77777777" w:rsidR="007B7A55" w:rsidRPr="00B916EC" w:rsidRDefault="007B7A55" w:rsidP="00630DAD">
            <w:pPr>
              <w:pStyle w:val="TAC"/>
            </w:pPr>
            <w:r w:rsidRPr="00B916EC">
              <w:rPr>
                <w:lang w:val="en-US"/>
              </w:rPr>
              <w:t>Reserved</w:t>
            </w:r>
          </w:p>
        </w:tc>
      </w:tr>
      <w:tr w:rsidR="007B7A55" w:rsidRPr="00B916EC" w14:paraId="02DD9A1C"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DF7CCA0" w14:textId="77777777" w:rsidR="007B7A55" w:rsidRPr="00B916EC" w:rsidRDefault="007B7A55" w:rsidP="00EA0F17">
            <w:pPr>
              <w:pStyle w:val="TAC"/>
              <w:rPr>
                <w:lang w:val="en-US"/>
              </w:rPr>
            </w:pPr>
            <w:r w:rsidRPr="00B916EC">
              <w:rPr>
                <w:lang w:val="en-US"/>
              </w:rPr>
              <w:t>20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6721D5F" w14:textId="77777777" w:rsidR="007B7A55" w:rsidRPr="00B916EC" w:rsidRDefault="007B7A55" w:rsidP="00630DAD">
            <w:pPr>
              <w:pStyle w:val="TAC"/>
            </w:pPr>
            <w:r w:rsidRPr="00B916EC">
              <w:rPr>
                <w:lang w:val="en-US"/>
              </w:rPr>
              <w:t>Reserved</w:t>
            </w:r>
          </w:p>
        </w:tc>
      </w:tr>
      <w:tr w:rsidR="007B7A55" w:rsidRPr="00B916EC" w14:paraId="314FD129"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A6DDA6C" w14:textId="77777777" w:rsidR="007B7A55" w:rsidRPr="00B916EC" w:rsidRDefault="007B7A55" w:rsidP="00EA0F17">
            <w:pPr>
              <w:pStyle w:val="TAC"/>
              <w:rPr>
                <w:lang w:val="en-US"/>
              </w:rPr>
            </w:pPr>
            <w:r w:rsidRPr="00B916EC">
              <w:rPr>
                <w:lang w:val="en-US"/>
              </w:rPr>
              <w:t>21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3612832" w14:textId="77777777" w:rsidR="007B7A55" w:rsidRPr="00B916EC" w:rsidRDefault="007B7A55" w:rsidP="00630DAD">
            <w:pPr>
              <w:pStyle w:val="TAC"/>
            </w:pPr>
            <w:r w:rsidRPr="00B916EC">
              <w:rPr>
                <w:lang w:val="en-US"/>
              </w:rPr>
              <w:t>Reserved</w:t>
            </w:r>
          </w:p>
        </w:tc>
      </w:tr>
      <w:tr w:rsidR="007B7A55" w:rsidRPr="00B916EC" w14:paraId="10E99EA6"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E17D5AA" w14:textId="77777777" w:rsidR="007B7A55" w:rsidRPr="00B916EC" w:rsidRDefault="007B7A55" w:rsidP="00EA0F17">
            <w:pPr>
              <w:pStyle w:val="TAC"/>
              <w:rPr>
                <w:lang w:val="en-US"/>
              </w:rPr>
            </w:pPr>
            <w:r w:rsidRPr="00B916EC">
              <w:rPr>
                <w:lang w:val="en-US"/>
              </w:rPr>
              <w:t>22</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36CD30E" w14:textId="77777777" w:rsidR="007B7A55" w:rsidRPr="00B916EC" w:rsidRDefault="007B7A55" w:rsidP="00630DAD">
            <w:pPr>
              <w:pStyle w:val="TAC"/>
            </w:pPr>
            <w:r w:rsidRPr="00B916EC">
              <w:rPr>
                <w:lang w:val="en-US"/>
              </w:rPr>
              <w:t>Reserved</w:t>
            </w:r>
          </w:p>
        </w:tc>
      </w:tr>
      <w:tr w:rsidR="007B7A55" w:rsidRPr="00B916EC" w14:paraId="751D2200"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D78029F" w14:textId="77777777" w:rsidR="007B7A55" w:rsidRPr="00B916EC" w:rsidRDefault="007B7A55" w:rsidP="00EA0F17">
            <w:pPr>
              <w:pStyle w:val="TAC"/>
              <w:rPr>
                <w:lang w:val="en-US"/>
              </w:rPr>
            </w:pPr>
            <w:r w:rsidRPr="00B916EC">
              <w:rPr>
                <w:lang w:val="en-US"/>
              </w:rPr>
              <w:t>23</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0097012" w14:textId="77777777" w:rsidR="007B7A55" w:rsidRPr="00B916EC" w:rsidRDefault="007B7A55" w:rsidP="00630DAD">
            <w:pPr>
              <w:pStyle w:val="TAC"/>
            </w:pPr>
            <w:r w:rsidRPr="00B916EC">
              <w:rPr>
                <w:lang w:val="en-US"/>
              </w:rPr>
              <w:t>Reserved</w:t>
            </w:r>
          </w:p>
        </w:tc>
      </w:tr>
      <w:tr w:rsidR="007B7A55" w:rsidRPr="00B916EC" w14:paraId="3DF5A9F0"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9AE546E" w14:textId="77777777" w:rsidR="007B7A55" w:rsidRPr="00B916EC" w:rsidRDefault="007B7A55" w:rsidP="00EA0F17">
            <w:pPr>
              <w:pStyle w:val="TAC"/>
              <w:rPr>
                <w:lang w:val="en-US"/>
              </w:rPr>
            </w:pPr>
            <w:r w:rsidRPr="00B916EC">
              <w:rPr>
                <w:lang w:val="en-US"/>
              </w:rPr>
              <w:t>24</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FE9F8AC" w14:textId="77777777" w:rsidR="007B7A55" w:rsidRPr="00B916EC" w:rsidRDefault="007B7A55" w:rsidP="00630DAD">
            <w:pPr>
              <w:pStyle w:val="TAC"/>
            </w:pPr>
            <w:r w:rsidRPr="00B916EC">
              <w:rPr>
                <w:lang w:val="en-US"/>
              </w:rPr>
              <w:t>Reserved</w:t>
            </w:r>
          </w:p>
        </w:tc>
      </w:tr>
      <w:tr w:rsidR="007B7A55" w:rsidRPr="00B916EC" w14:paraId="5B27864A"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48532A8" w14:textId="77777777" w:rsidR="007B7A55" w:rsidRPr="00B916EC" w:rsidRDefault="007B7A55" w:rsidP="00EA0F17">
            <w:pPr>
              <w:pStyle w:val="TAC"/>
              <w:rPr>
                <w:lang w:val="en-US"/>
              </w:rPr>
            </w:pPr>
            <w:r w:rsidRPr="00B916EC">
              <w:rPr>
                <w:lang w:val="en-US"/>
              </w:rPr>
              <w:t>25</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4F52209" w14:textId="77777777" w:rsidR="007B7A55" w:rsidRPr="00B916EC" w:rsidRDefault="007B7A55" w:rsidP="00630DAD">
            <w:pPr>
              <w:pStyle w:val="TAC"/>
            </w:pPr>
            <w:r w:rsidRPr="00B916EC">
              <w:rPr>
                <w:lang w:val="en-US"/>
              </w:rPr>
              <w:t>Reserved</w:t>
            </w:r>
          </w:p>
        </w:tc>
      </w:tr>
      <w:tr w:rsidR="007B7A55" w:rsidRPr="00B916EC" w14:paraId="76245AB1"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657A89E" w14:textId="77777777" w:rsidR="007B7A55" w:rsidRPr="00B916EC" w:rsidRDefault="007B7A55" w:rsidP="00EA0F17">
            <w:pPr>
              <w:pStyle w:val="TAC"/>
              <w:rPr>
                <w:lang w:val="en-US"/>
              </w:rPr>
            </w:pPr>
            <w:r w:rsidRPr="00B916EC">
              <w:rPr>
                <w:lang w:val="en-US"/>
              </w:rPr>
              <w:t>26</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BEC5FCF" w14:textId="77777777" w:rsidR="007B7A55" w:rsidRPr="00B916EC" w:rsidRDefault="007B7A55" w:rsidP="00630DAD">
            <w:pPr>
              <w:pStyle w:val="TAC"/>
            </w:pPr>
            <w:r w:rsidRPr="00B916EC">
              <w:rPr>
                <w:lang w:val="en-US"/>
              </w:rPr>
              <w:t>Reserved</w:t>
            </w:r>
          </w:p>
        </w:tc>
      </w:tr>
      <w:tr w:rsidR="007B7A55" w:rsidRPr="00B916EC" w14:paraId="14824201"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BB837FA" w14:textId="77777777" w:rsidR="007B7A55" w:rsidRPr="00B916EC" w:rsidRDefault="007B7A55" w:rsidP="00EA0F17">
            <w:pPr>
              <w:pStyle w:val="TAC"/>
              <w:rPr>
                <w:lang w:val="en-US"/>
              </w:rPr>
            </w:pPr>
            <w:r w:rsidRPr="00B916EC">
              <w:rPr>
                <w:lang w:val="en-US"/>
              </w:rPr>
              <w:t>27</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5485F71" w14:textId="77777777" w:rsidR="007B7A55" w:rsidRPr="00B916EC" w:rsidRDefault="007B7A55" w:rsidP="00630DAD">
            <w:pPr>
              <w:pStyle w:val="TAC"/>
            </w:pPr>
            <w:r w:rsidRPr="00B916EC">
              <w:rPr>
                <w:lang w:val="en-US"/>
              </w:rPr>
              <w:t>Reserved</w:t>
            </w:r>
          </w:p>
        </w:tc>
      </w:tr>
      <w:tr w:rsidR="007B7A55" w:rsidRPr="00B916EC" w14:paraId="11957C4B"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42ACC92" w14:textId="77777777" w:rsidR="007B7A55" w:rsidRPr="00B916EC" w:rsidRDefault="007B7A55" w:rsidP="00EA0F17">
            <w:pPr>
              <w:pStyle w:val="TAC"/>
              <w:rPr>
                <w:lang w:val="en-US"/>
              </w:rPr>
            </w:pPr>
            <w:r w:rsidRPr="00B916EC">
              <w:rPr>
                <w:lang w:val="en-US"/>
              </w:rPr>
              <w:t>28</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8F6DD52" w14:textId="77777777" w:rsidR="007B7A55" w:rsidRPr="00B916EC" w:rsidRDefault="007B7A55" w:rsidP="00630DAD">
            <w:pPr>
              <w:pStyle w:val="TAC"/>
            </w:pPr>
            <w:r w:rsidRPr="00B916EC">
              <w:rPr>
                <w:lang w:val="en-US"/>
              </w:rPr>
              <w:t>Reserved</w:t>
            </w:r>
          </w:p>
        </w:tc>
      </w:tr>
      <w:tr w:rsidR="007B7A55" w:rsidRPr="00B916EC" w14:paraId="30F69D20"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ECDF322" w14:textId="77777777" w:rsidR="007B7A55" w:rsidRPr="00B916EC" w:rsidRDefault="007B7A55" w:rsidP="00EA0F17">
            <w:pPr>
              <w:pStyle w:val="TAC"/>
              <w:rPr>
                <w:lang w:val="en-US"/>
              </w:rPr>
            </w:pPr>
            <w:r w:rsidRPr="00B916EC">
              <w:rPr>
                <w:lang w:val="en-US"/>
              </w:rPr>
              <w:t>29</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DF5276F" w14:textId="77777777" w:rsidR="007B7A55" w:rsidRPr="00B916EC" w:rsidRDefault="007B7A55" w:rsidP="00630DAD">
            <w:pPr>
              <w:pStyle w:val="TAC"/>
            </w:pPr>
            <w:r w:rsidRPr="00B916EC">
              <w:rPr>
                <w:lang w:val="en-US"/>
              </w:rPr>
              <w:t>Reserved</w:t>
            </w:r>
          </w:p>
        </w:tc>
      </w:tr>
      <w:tr w:rsidR="007B7A55" w:rsidRPr="00B916EC" w14:paraId="03435454"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FF69941" w14:textId="77777777" w:rsidR="007B7A55" w:rsidRPr="00B916EC" w:rsidRDefault="007B7A55" w:rsidP="00EA0F17">
            <w:pPr>
              <w:pStyle w:val="TAC"/>
              <w:rPr>
                <w:lang w:val="en-US"/>
              </w:rPr>
            </w:pPr>
            <w:r w:rsidRPr="00B916EC">
              <w:rPr>
                <w:lang w:val="en-US"/>
              </w:rPr>
              <w:t>30</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2626181" w14:textId="77777777" w:rsidR="007B7A55" w:rsidRPr="00B916EC" w:rsidRDefault="007B7A55" w:rsidP="00630DAD">
            <w:pPr>
              <w:pStyle w:val="TAC"/>
            </w:pPr>
            <w:r w:rsidRPr="00B916EC">
              <w:rPr>
                <w:lang w:val="en-US"/>
              </w:rPr>
              <w:t>Reserved</w:t>
            </w:r>
          </w:p>
        </w:tc>
      </w:tr>
      <w:tr w:rsidR="007B7A55" w:rsidRPr="00B916EC" w14:paraId="42FD4DDB" w14:textId="77777777" w:rsidTr="009A2ADE">
        <w:trPr>
          <w:cantSplit/>
          <w:jc w:val="center"/>
        </w:trPr>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906D269" w14:textId="77777777" w:rsidR="007B7A55" w:rsidRPr="00B916EC" w:rsidRDefault="007B7A55" w:rsidP="00EA0F17">
            <w:pPr>
              <w:pStyle w:val="TAC"/>
              <w:rPr>
                <w:lang w:val="en-US"/>
              </w:rPr>
            </w:pPr>
            <w:r w:rsidRPr="00B916EC">
              <w:rPr>
                <w:lang w:val="en-US"/>
              </w:rPr>
              <w:t>31</w:t>
            </w:r>
          </w:p>
        </w:tc>
        <w:tc>
          <w:tcPr>
            <w:tcW w:w="0" w:type="auto"/>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5C2F352" w14:textId="77777777" w:rsidR="007B7A55" w:rsidRPr="00B916EC" w:rsidRDefault="007B7A55" w:rsidP="00630DAD">
            <w:pPr>
              <w:pStyle w:val="TAC"/>
            </w:pPr>
            <w:r w:rsidRPr="00B916EC">
              <w:rPr>
                <w:lang w:val="en-US"/>
              </w:rPr>
              <w:t>Reserved</w:t>
            </w:r>
          </w:p>
        </w:tc>
      </w:tr>
    </w:tbl>
    <w:p w14:paraId="0AA0A5D3" w14:textId="77777777" w:rsidR="007B7A55" w:rsidRPr="00B916EC" w:rsidRDefault="007B7A55" w:rsidP="008B1BCD"/>
    <w:p w14:paraId="50064C45" w14:textId="49CFE86F" w:rsidR="008B1BCD" w:rsidRPr="00B916EC" w:rsidRDefault="008B1BCD" w:rsidP="008B1BCD">
      <w:pPr>
        <w:pStyle w:val="TH"/>
      </w:pPr>
      <w:r w:rsidRPr="00B916EC">
        <w:lastRenderedPageBreak/>
        <w:t>Table 9.</w:t>
      </w:r>
      <w:r w:rsidR="001A73F4" w:rsidRPr="00B916EC">
        <w:t>3</w:t>
      </w:r>
      <w:r w:rsidRPr="00B916EC">
        <w:t xml:space="preserve">-3: Mapping of </w:t>
      </w:r>
      <w:r w:rsidR="00C91011">
        <w:t xml:space="preserve">four </w:t>
      </w:r>
      <w:r w:rsidR="00EA0F17">
        <w:rPr>
          <w:rFonts w:cs="Arial"/>
        </w:rPr>
        <w:t>beta_</w:t>
      </w:r>
      <w:r w:rsidRPr="00B916EC">
        <w:rPr>
          <w:rFonts w:cs="Arial"/>
        </w:rPr>
        <w:t xml:space="preserve">offset indicator </w:t>
      </w:r>
      <w:r w:rsidRPr="00B916EC">
        <w:t>values to offset indexes</w:t>
      </w:r>
    </w:p>
    <w:tbl>
      <w:tblPr>
        <w:tblW w:w="0" w:type="auto"/>
        <w:jc w:val="center"/>
        <w:tblCellMar>
          <w:left w:w="0" w:type="dxa"/>
          <w:right w:w="0" w:type="dxa"/>
        </w:tblCellMar>
        <w:tblLook w:val="0000" w:firstRow="0" w:lastRow="0" w:firstColumn="0" w:lastColumn="0" w:noHBand="0" w:noVBand="0"/>
      </w:tblPr>
      <w:tblGrid>
        <w:gridCol w:w="1791"/>
        <w:gridCol w:w="6790"/>
      </w:tblGrid>
      <w:tr w:rsidR="00AB0C62" w:rsidRPr="00B916EC" w14:paraId="3D4F8BFC" w14:textId="77777777" w:rsidTr="009A2ADE">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1CA8CAE3" w14:textId="77777777" w:rsidR="00AB0C62" w:rsidRPr="00B916EC" w:rsidRDefault="00AB0C62" w:rsidP="00AB0C62">
            <w:pPr>
              <w:pStyle w:val="TAH"/>
              <w:rPr>
                <w:rFonts w:ascii="Times New Roman" w:hAnsi="Times New Roman"/>
                <w:sz w:val="20"/>
              </w:rPr>
            </w:pPr>
            <w:r>
              <w:rPr>
                <w:rFonts w:cs="Arial"/>
              </w:rPr>
              <w:t>beta_</w:t>
            </w:r>
            <w:r w:rsidRPr="00B916EC">
              <w:rPr>
                <w:rFonts w:cs="Arial"/>
              </w:rPr>
              <w:t>offset indicator</w:t>
            </w:r>
          </w:p>
        </w:tc>
        <w:tc>
          <w:tcPr>
            <w:tcW w:w="6790" w:type="dxa"/>
            <w:tcBorders>
              <w:top w:val="single" w:sz="8" w:space="0" w:color="auto"/>
              <w:left w:val="single" w:sz="8" w:space="0" w:color="auto"/>
              <w:bottom w:val="single" w:sz="8" w:space="0" w:color="auto"/>
              <w:right w:val="single" w:sz="8" w:space="0" w:color="auto"/>
            </w:tcBorders>
            <w:shd w:val="clear" w:color="auto" w:fill="E0E0E0"/>
            <w:vAlign w:val="center"/>
          </w:tcPr>
          <w:p w14:paraId="78AC5AFB" w14:textId="727B06CB" w:rsidR="00AB0C62" w:rsidRPr="00111FF6" w:rsidRDefault="00AB0C62" w:rsidP="00AB0C62">
            <w:pPr>
              <w:pStyle w:val="TAH"/>
            </w:pPr>
            <w:r w:rsidRPr="00111FF6">
              <w:t>(</w:t>
            </w:r>
            <m:oMath>
              <m:sSubSup>
                <m:sSubSupPr>
                  <m:ctrlPr>
                    <w:rPr>
                      <w:rFonts w:ascii="Cambria Math" w:hAnsi="Cambria Math"/>
                      <w:bCs/>
                      <w:i/>
                    </w:rPr>
                  </m:ctrlPr>
                </m:sSubSupPr>
                <m:e>
                  <m:r>
                    <m:rPr>
                      <m:sty m:val="bi"/>
                    </m:rPr>
                    <w:rPr>
                      <w:rFonts w:ascii="Cambria Math"/>
                    </w:rPr>
                    <m:t>I</m:t>
                  </m:r>
                </m:e>
                <m:sub>
                  <m:r>
                    <m:rPr>
                      <m:nor/>
                    </m:rPr>
                    <w:rPr>
                      <w:rFonts w:ascii="Cambria Math"/>
                      <w:bCs/>
                    </w:rPr>
                    <m:t>offset,0</m:t>
                  </m:r>
                  <m:ctrlPr>
                    <w:rPr>
                      <w:rFonts w:ascii="Cambria Math" w:hAnsi="Cambria Math"/>
                      <w:bCs/>
                    </w:rPr>
                  </m:ctrlPr>
                </m:sub>
                <m:sup>
                  <m:r>
                    <m:rPr>
                      <m:nor/>
                    </m:rPr>
                    <w:rPr>
                      <w:rFonts w:ascii="Cambria Math"/>
                      <w:bCs/>
                    </w:rPr>
                    <m:t>HARQ-ACK</m:t>
                  </m:r>
                  <m:ctrlPr>
                    <w:rPr>
                      <w:rFonts w:ascii="Cambria Math" w:hAnsi="Cambria Math"/>
                      <w:bCs/>
                    </w:rPr>
                  </m:ctrlPr>
                </m:sup>
              </m:sSubSup>
            </m:oMath>
            <w:r w:rsidRPr="00111FF6">
              <w:t xml:space="preserve"> or </w:t>
            </w:r>
            <m:oMath>
              <m:sSubSup>
                <m:sSubSupPr>
                  <m:ctrlPr>
                    <w:rPr>
                      <w:rFonts w:ascii="Cambria Math" w:hAnsi="Cambria Math"/>
                      <w:bCs/>
                      <w:i/>
                    </w:rPr>
                  </m:ctrlPr>
                </m:sSubSupPr>
                <m:e>
                  <m:r>
                    <m:rPr>
                      <m:sty m:val="bi"/>
                    </m:rPr>
                    <w:rPr>
                      <w:rFonts w:ascii="Cambria Math"/>
                    </w:rPr>
                    <m:t>I</m:t>
                  </m:r>
                </m:e>
                <m:sub>
                  <m:r>
                    <m:rPr>
                      <m:nor/>
                    </m:rPr>
                    <w:rPr>
                      <w:rFonts w:ascii="Cambria Math"/>
                      <w:bCs/>
                    </w:rPr>
                    <m:t>offset,1</m:t>
                  </m:r>
                  <m:ctrlPr>
                    <w:rPr>
                      <w:rFonts w:ascii="Cambria Math" w:hAnsi="Cambria Math"/>
                      <w:bCs/>
                    </w:rPr>
                  </m:ctrlPr>
                </m:sub>
                <m:sup>
                  <m:r>
                    <m:rPr>
                      <m:nor/>
                    </m:rPr>
                    <w:rPr>
                      <w:rFonts w:ascii="Cambria Math"/>
                      <w:bCs/>
                    </w:rPr>
                    <m:t>HARQ-ACK</m:t>
                  </m:r>
                  <m:ctrlPr>
                    <w:rPr>
                      <w:rFonts w:ascii="Cambria Math" w:hAnsi="Cambria Math"/>
                      <w:bCs/>
                    </w:rPr>
                  </m:ctrlPr>
                </m:sup>
              </m:sSubSup>
            </m:oMath>
            <w:r w:rsidRPr="00111FF6">
              <w:t xml:space="preserve"> or </w:t>
            </w:r>
            <m:oMath>
              <m:sSubSup>
                <m:sSubSupPr>
                  <m:ctrlPr>
                    <w:rPr>
                      <w:rFonts w:ascii="Cambria Math" w:hAnsi="Cambria Math"/>
                      <w:bCs/>
                      <w:i/>
                    </w:rPr>
                  </m:ctrlPr>
                </m:sSubSupPr>
                <m:e>
                  <m:r>
                    <m:rPr>
                      <m:sty m:val="bi"/>
                    </m:rPr>
                    <w:rPr>
                      <w:rFonts w:ascii="Cambria Math"/>
                    </w:rPr>
                    <m:t>I</m:t>
                  </m:r>
                </m:e>
                <m:sub>
                  <m:r>
                    <m:rPr>
                      <m:nor/>
                    </m:rPr>
                    <w:rPr>
                      <w:rFonts w:ascii="Cambria Math"/>
                      <w:bCs/>
                    </w:rPr>
                    <m:t>offset,2</m:t>
                  </m:r>
                  <m:ctrlPr>
                    <w:rPr>
                      <w:rFonts w:ascii="Cambria Math" w:hAnsi="Cambria Math"/>
                      <w:bCs/>
                    </w:rPr>
                  </m:ctrlPr>
                </m:sub>
                <m:sup>
                  <m:r>
                    <m:rPr>
                      <m:nor/>
                    </m:rPr>
                    <w:rPr>
                      <w:rFonts w:ascii="Cambria Math"/>
                      <w:bCs/>
                    </w:rPr>
                    <m:t>HARQ-ACK</m:t>
                  </m:r>
                  <m:ctrlPr>
                    <w:rPr>
                      <w:rFonts w:ascii="Cambria Math" w:hAnsi="Cambria Math"/>
                      <w:bCs/>
                    </w:rPr>
                  </m:ctrlPr>
                </m:sup>
              </m:sSubSup>
            </m:oMath>
            <w:r w:rsidRPr="00111FF6">
              <w:t xml:space="preserve">), </w:t>
            </w:r>
          </w:p>
          <w:p w14:paraId="072B3B4F" w14:textId="77777777" w:rsidR="00AB0C62" w:rsidRPr="00111FF6" w:rsidRDefault="00AB0C62" w:rsidP="00AB0C62">
            <w:pPr>
              <w:pStyle w:val="TAH"/>
            </w:pPr>
            <w:r w:rsidRPr="00111FF6">
              <w:t>(</w:t>
            </w:r>
            <m:oMath>
              <m:sSubSup>
                <m:sSubSupPr>
                  <m:ctrlPr>
                    <w:rPr>
                      <w:rFonts w:ascii="Cambria Math" w:hAnsi="Cambria Math"/>
                      <w:bCs/>
                      <w:i/>
                    </w:rPr>
                  </m:ctrlPr>
                </m:sSubSupPr>
                <m:e>
                  <m:r>
                    <m:rPr>
                      <m:sty m:val="bi"/>
                    </m:rPr>
                    <w:rPr>
                      <w:rFonts w:ascii="Cambria Math"/>
                    </w:rPr>
                    <m:t>I</m:t>
                  </m:r>
                </m:e>
                <m:sub>
                  <m:r>
                    <m:rPr>
                      <m:nor/>
                    </m:rPr>
                    <w:rPr>
                      <w:rFonts w:ascii="Cambria Math"/>
                      <w:bCs/>
                    </w:rPr>
                    <m:t>offset,0</m:t>
                  </m:r>
                  <m:ctrlPr>
                    <w:rPr>
                      <w:rFonts w:ascii="Cambria Math" w:hAnsi="Cambria Math"/>
                      <w:bCs/>
                    </w:rPr>
                  </m:ctrlPr>
                </m:sub>
                <m:sup>
                  <m:r>
                    <m:rPr>
                      <m:nor/>
                    </m:rPr>
                    <w:rPr>
                      <w:rFonts w:ascii="Cambria Math"/>
                      <w:bCs/>
                    </w:rPr>
                    <m:t>HARQ-ACK,0</m:t>
                  </m:r>
                  <m:ctrlPr>
                    <w:rPr>
                      <w:rFonts w:ascii="Cambria Math" w:hAnsi="Cambria Math"/>
                      <w:bCs/>
                    </w:rPr>
                  </m:ctrlPr>
                </m:sup>
              </m:sSubSup>
            </m:oMath>
            <w:r w:rsidRPr="00111FF6">
              <w:t xml:space="preserve"> or </w:t>
            </w:r>
            <m:oMath>
              <m:sSubSup>
                <m:sSubSupPr>
                  <m:ctrlPr>
                    <w:rPr>
                      <w:rFonts w:ascii="Cambria Math" w:hAnsi="Cambria Math"/>
                      <w:bCs/>
                      <w:i/>
                    </w:rPr>
                  </m:ctrlPr>
                </m:sSubSupPr>
                <m:e>
                  <m:r>
                    <m:rPr>
                      <m:sty m:val="bi"/>
                    </m:rPr>
                    <w:rPr>
                      <w:rFonts w:ascii="Cambria Math"/>
                    </w:rPr>
                    <m:t>I</m:t>
                  </m:r>
                </m:e>
                <m:sub>
                  <m:r>
                    <m:rPr>
                      <m:nor/>
                    </m:rPr>
                    <w:rPr>
                      <w:rFonts w:ascii="Cambria Math"/>
                      <w:bCs/>
                    </w:rPr>
                    <m:t>offset,1</m:t>
                  </m:r>
                  <m:ctrlPr>
                    <w:rPr>
                      <w:rFonts w:ascii="Cambria Math" w:hAnsi="Cambria Math"/>
                      <w:bCs/>
                    </w:rPr>
                  </m:ctrlPr>
                </m:sub>
                <m:sup>
                  <m:r>
                    <m:rPr>
                      <m:nor/>
                    </m:rPr>
                    <w:rPr>
                      <w:rFonts w:ascii="Cambria Math"/>
                      <w:bCs/>
                    </w:rPr>
                    <m:t>HARQ-ACK,0</m:t>
                  </m:r>
                  <m:ctrlPr>
                    <w:rPr>
                      <w:rFonts w:ascii="Cambria Math" w:hAnsi="Cambria Math"/>
                      <w:bCs/>
                    </w:rPr>
                  </m:ctrlPr>
                </m:sup>
              </m:sSubSup>
            </m:oMath>
            <w:r w:rsidRPr="00111FF6">
              <w:t xml:space="preserve"> or </w:t>
            </w:r>
            <m:oMath>
              <m:sSubSup>
                <m:sSubSupPr>
                  <m:ctrlPr>
                    <w:rPr>
                      <w:rFonts w:ascii="Cambria Math" w:hAnsi="Cambria Math"/>
                      <w:bCs/>
                      <w:i/>
                    </w:rPr>
                  </m:ctrlPr>
                </m:sSubSupPr>
                <m:e>
                  <m:r>
                    <m:rPr>
                      <m:sty m:val="bi"/>
                    </m:rPr>
                    <w:rPr>
                      <w:rFonts w:ascii="Cambria Math"/>
                    </w:rPr>
                    <m:t>I</m:t>
                  </m:r>
                </m:e>
                <m:sub>
                  <m:r>
                    <m:rPr>
                      <m:nor/>
                    </m:rPr>
                    <w:rPr>
                      <w:rFonts w:ascii="Cambria Math"/>
                      <w:bCs/>
                    </w:rPr>
                    <m:t>offset,2</m:t>
                  </m:r>
                  <m:ctrlPr>
                    <w:rPr>
                      <w:rFonts w:ascii="Cambria Math" w:hAnsi="Cambria Math"/>
                      <w:bCs/>
                    </w:rPr>
                  </m:ctrlPr>
                </m:sub>
                <m:sup>
                  <m:r>
                    <m:rPr>
                      <m:nor/>
                    </m:rPr>
                    <w:rPr>
                      <w:rFonts w:ascii="Cambria Math"/>
                      <w:bCs/>
                    </w:rPr>
                    <m:t>HARQ-ACK,0</m:t>
                  </m:r>
                  <m:ctrlPr>
                    <w:rPr>
                      <w:rFonts w:ascii="Cambria Math" w:hAnsi="Cambria Math"/>
                      <w:bCs/>
                    </w:rPr>
                  </m:ctrlPr>
                </m:sup>
              </m:sSubSup>
            </m:oMath>
            <w:r w:rsidRPr="00111FF6">
              <w:t xml:space="preserve">), </w:t>
            </w:r>
          </w:p>
          <w:p w14:paraId="208EFD60" w14:textId="77777777" w:rsidR="00AB0C62" w:rsidRPr="00111FF6" w:rsidRDefault="00AB0C62" w:rsidP="00AB0C62">
            <w:pPr>
              <w:pStyle w:val="TAH"/>
            </w:pPr>
            <w:r w:rsidRPr="00111FF6">
              <w:t>(</w:t>
            </w:r>
            <m:oMath>
              <m:sSubSup>
                <m:sSubSupPr>
                  <m:ctrlPr>
                    <w:rPr>
                      <w:rFonts w:ascii="Cambria Math" w:hAnsi="Cambria Math"/>
                      <w:bCs/>
                      <w:i/>
                    </w:rPr>
                  </m:ctrlPr>
                </m:sSubSupPr>
                <m:e>
                  <m:r>
                    <m:rPr>
                      <m:sty m:val="bi"/>
                    </m:rPr>
                    <w:rPr>
                      <w:rFonts w:ascii="Cambria Math"/>
                    </w:rPr>
                    <m:t>I</m:t>
                  </m:r>
                </m:e>
                <m:sub>
                  <m:r>
                    <m:rPr>
                      <m:nor/>
                    </m:rPr>
                    <w:rPr>
                      <w:rFonts w:ascii="Cambria Math"/>
                      <w:bCs/>
                    </w:rPr>
                    <m:t>offset,0</m:t>
                  </m:r>
                  <m:ctrlPr>
                    <w:rPr>
                      <w:rFonts w:ascii="Cambria Math" w:hAnsi="Cambria Math"/>
                      <w:bCs/>
                    </w:rPr>
                  </m:ctrlPr>
                </m:sub>
                <m:sup>
                  <m:r>
                    <m:rPr>
                      <m:nor/>
                    </m:rPr>
                    <w:rPr>
                      <w:rFonts w:ascii="Cambria Math"/>
                      <w:bCs/>
                    </w:rPr>
                    <m:t>HARQ-ACK,1</m:t>
                  </m:r>
                  <m:ctrlPr>
                    <w:rPr>
                      <w:rFonts w:ascii="Cambria Math" w:hAnsi="Cambria Math"/>
                      <w:bCs/>
                    </w:rPr>
                  </m:ctrlPr>
                </m:sup>
              </m:sSubSup>
            </m:oMath>
            <w:r w:rsidRPr="00111FF6">
              <w:t xml:space="preserve"> or </w:t>
            </w:r>
            <m:oMath>
              <m:sSubSup>
                <m:sSubSupPr>
                  <m:ctrlPr>
                    <w:rPr>
                      <w:rFonts w:ascii="Cambria Math" w:hAnsi="Cambria Math"/>
                      <w:bCs/>
                      <w:i/>
                    </w:rPr>
                  </m:ctrlPr>
                </m:sSubSupPr>
                <m:e>
                  <m:r>
                    <m:rPr>
                      <m:sty m:val="bi"/>
                    </m:rPr>
                    <w:rPr>
                      <w:rFonts w:ascii="Cambria Math"/>
                    </w:rPr>
                    <m:t>I</m:t>
                  </m:r>
                </m:e>
                <m:sub>
                  <m:r>
                    <m:rPr>
                      <m:nor/>
                    </m:rPr>
                    <w:rPr>
                      <w:rFonts w:ascii="Cambria Math"/>
                      <w:bCs/>
                    </w:rPr>
                    <m:t>offset,1</m:t>
                  </m:r>
                  <m:ctrlPr>
                    <w:rPr>
                      <w:rFonts w:ascii="Cambria Math" w:hAnsi="Cambria Math"/>
                      <w:bCs/>
                    </w:rPr>
                  </m:ctrlPr>
                </m:sub>
                <m:sup>
                  <m:r>
                    <m:rPr>
                      <m:nor/>
                    </m:rPr>
                    <w:rPr>
                      <w:rFonts w:ascii="Cambria Math"/>
                      <w:bCs/>
                    </w:rPr>
                    <m:t>HARQ-ACK,1</m:t>
                  </m:r>
                  <m:ctrlPr>
                    <w:rPr>
                      <w:rFonts w:ascii="Cambria Math" w:hAnsi="Cambria Math"/>
                      <w:bCs/>
                    </w:rPr>
                  </m:ctrlPr>
                </m:sup>
              </m:sSubSup>
            </m:oMath>
            <w:r w:rsidRPr="00111FF6">
              <w:t xml:space="preserve"> or </w:t>
            </w:r>
            <m:oMath>
              <m:sSubSup>
                <m:sSubSupPr>
                  <m:ctrlPr>
                    <w:rPr>
                      <w:rFonts w:ascii="Cambria Math" w:hAnsi="Cambria Math"/>
                      <w:bCs/>
                      <w:i/>
                    </w:rPr>
                  </m:ctrlPr>
                </m:sSubSupPr>
                <m:e>
                  <m:r>
                    <m:rPr>
                      <m:sty m:val="bi"/>
                    </m:rPr>
                    <w:rPr>
                      <w:rFonts w:ascii="Cambria Math"/>
                    </w:rPr>
                    <m:t>I</m:t>
                  </m:r>
                </m:e>
                <m:sub>
                  <m:r>
                    <m:rPr>
                      <m:nor/>
                    </m:rPr>
                    <w:rPr>
                      <w:rFonts w:ascii="Cambria Math"/>
                      <w:bCs/>
                    </w:rPr>
                    <m:t>offset,2</m:t>
                  </m:r>
                  <m:ctrlPr>
                    <w:rPr>
                      <w:rFonts w:ascii="Cambria Math" w:hAnsi="Cambria Math"/>
                      <w:bCs/>
                    </w:rPr>
                  </m:ctrlPr>
                </m:sub>
                <m:sup>
                  <m:r>
                    <m:rPr>
                      <m:nor/>
                    </m:rPr>
                    <w:rPr>
                      <w:rFonts w:ascii="Cambria Math"/>
                      <w:bCs/>
                    </w:rPr>
                    <m:t>HARQ-ACK,1</m:t>
                  </m:r>
                  <m:ctrlPr>
                    <w:rPr>
                      <w:rFonts w:ascii="Cambria Math" w:hAnsi="Cambria Math"/>
                      <w:bCs/>
                    </w:rPr>
                  </m:ctrlPr>
                </m:sup>
              </m:sSubSup>
            </m:oMath>
            <w:r w:rsidRPr="00111FF6">
              <w:t xml:space="preserve">), </w:t>
            </w:r>
          </w:p>
          <w:p w14:paraId="127C1573" w14:textId="65FE4A2A" w:rsidR="00AB0C62" w:rsidRPr="00B916EC" w:rsidRDefault="00AB0C62" w:rsidP="00AB0C62">
            <w:pPr>
              <w:pStyle w:val="TAH"/>
            </w:pPr>
            <w:r w:rsidRPr="00111FF6">
              <w:t>(</w:t>
            </w:r>
            <m:oMath>
              <m:sSubSup>
                <m:sSubSupPr>
                  <m:ctrlPr>
                    <w:rPr>
                      <w:rFonts w:ascii="Cambria Math" w:hAnsi="Cambria Math"/>
                      <w:bCs/>
                      <w:i/>
                    </w:rPr>
                  </m:ctrlPr>
                </m:sSubSupPr>
                <m:e>
                  <m:r>
                    <m:rPr>
                      <m:sty m:val="bi"/>
                    </m:rPr>
                    <w:rPr>
                      <w:rFonts w:ascii="Cambria Math"/>
                    </w:rPr>
                    <m:t>I</m:t>
                  </m:r>
                </m:e>
                <m:sub>
                  <m:r>
                    <m:rPr>
                      <m:nor/>
                    </m:rPr>
                    <w:rPr>
                      <w:rFonts w:ascii="Cambria Math"/>
                      <w:bCs/>
                    </w:rPr>
                    <m:t>offset,0</m:t>
                  </m:r>
                  <m:ctrlPr>
                    <w:rPr>
                      <w:rFonts w:ascii="Cambria Math" w:hAnsi="Cambria Math"/>
                      <w:bCs/>
                    </w:rPr>
                  </m:ctrlPr>
                </m:sub>
                <m:sup>
                  <m:r>
                    <m:rPr>
                      <m:nor/>
                    </m:rPr>
                    <w:rPr>
                      <w:rFonts w:ascii="Cambria Math"/>
                      <w:bCs/>
                    </w:rPr>
                    <m:t>CSI-1</m:t>
                  </m:r>
                  <m:ctrlPr>
                    <w:rPr>
                      <w:rFonts w:ascii="Cambria Math" w:hAnsi="Cambria Math"/>
                      <w:bCs/>
                    </w:rPr>
                  </m:ctrlPr>
                </m:sup>
              </m:sSubSup>
            </m:oMath>
            <w:r w:rsidRPr="00111FF6">
              <w:t xml:space="preserve"> or </w:t>
            </w:r>
            <m:oMath>
              <m:sSubSup>
                <m:sSubSupPr>
                  <m:ctrlPr>
                    <w:rPr>
                      <w:rFonts w:ascii="Cambria Math" w:hAnsi="Cambria Math"/>
                      <w:bCs/>
                      <w:i/>
                    </w:rPr>
                  </m:ctrlPr>
                </m:sSubSupPr>
                <m:e>
                  <m:r>
                    <m:rPr>
                      <m:sty m:val="bi"/>
                    </m:rPr>
                    <w:rPr>
                      <w:rFonts w:ascii="Cambria Math"/>
                    </w:rPr>
                    <m:t>I</m:t>
                  </m:r>
                </m:e>
                <m:sub>
                  <m:r>
                    <m:rPr>
                      <m:nor/>
                    </m:rPr>
                    <w:rPr>
                      <w:rFonts w:ascii="Cambria Math"/>
                      <w:bCs/>
                    </w:rPr>
                    <m:t>offset,0</m:t>
                  </m:r>
                  <m:ctrlPr>
                    <w:rPr>
                      <w:rFonts w:ascii="Cambria Math" w:hAnsi="Cambria Math"/>
                      <w:bCs/>
                    </w:rPr>
                  </m:ctrlPr>
                </m:sub>
                <m:sup>
                  <m:r>
                    <m:rPr>
                      <m:nor/>
                    </m:rPr>
                    <w:rPr>
                      <w:rFonts w:ascii="Cambria Math"/>
                      <w:bCs/>
                    </w:rPr>
                    <m:t>CSI-2</m:t>
                  </m:r>
                  <m:ctrlPr>
                    <w:rPr>
                      <w:rFonts w:ascii="Cambria Math" w:hAnsi="Cambria Math"/>
                      <w:bCs/>
                    </w:rPr>
                  </m:ctrlPr>
                </m:sup>
              </m:sSubSup>
            </m:oMath>
            <w:r w:rsidRPr="00111FF6">
              <w:t>), (</w:t>
            </w:r>
            <m:oMath>
              <m:sSubSup>
                <m:sSubSupPr>
                  <m:ctrlPr>
                    <w:rPr>
                      <w:rFonts w:ascii="Cambria Math" w:hAnsi="Cambria Math"/>
                      <w:bCs/>
                      <w:i/>
                    </w:rPr>
                  </m:ctrlPr>
                </m:sSubSupPr>
                <m:e>
                  <m:r>
                    <m:rPr>
                      <m:sty m:val="bi"/>
                    </m:rPr>
                    <w:rPr>
                      <w:rFonts w:ascii="Cambria Math"/>
                    </w:rPr>
                    <m:t>I</m:t>
                  </m:r>
                </m:e>
                <m:sub>
                  <m:r>
                    <m:rPr>
                      <m:nor/>
                    </m:rPr>
                    <w:rPr>
                      <w:rFonts w:ascii="Cambria Math"/>
                      <w:bCs/>
                    </w:rPr>
                    <m:t>offset,1</m:t>
                  </m:r>
                  <m:ctrlPr>
                    <w:rPr>
                      <w:rFonts w:ascii="Cambria Math" w:hAnsi="Cambria Math"/>
                      <w:bCs/>
                    </w:rPr>
                  </m:ctrlPr>
                </m:sub>
                <m:sup>
                  <m:r>
                    <m:rPr>
                      <m:nor/>
                    </m:rPr>
                    <w:rPr>
                      <w:rFonts w:ascii="Cambria Math"/>
                      <w:bCs/>
                    </w:rPr>
                    <m:t>CSI-1</m:t>
                  </m:r>
                  <m:ctrlPr>
                    <w:rPr>
                      <w:rFonts w:ascii="Cambria Math" w:hAnsi="Cambria Math"/>
                      <w:bCs/>
                    </w:rPr>
                  </m:ctrlPr>
                </m:sup>
              </m:sSubSup>
            </m:oMath>
            <w:r w:rsidRPr="00111FF6">
              <w:t xml:space="preserve"> or </w:t>
            </w:r>
            <m:oMath>
              <m:sSubSup>
                <m:sSubSupPr>
                  <m:ctrlPr>
                    <w:rPr>
                      <w:rFonts w:ascii="Cambria Math" w:hAnsi="Cambria Math"/>
                      <w:bCs/>
                      <w:i/>
                    </w:rPr>
                  </m:ctrlPr>
                </m:sSubSupPr>
                <m:e>
                  <m:r>
                    <m:rPr>
                      <m:sty m:val="bi"/>
                    </m:rPr>
                    <w:rPr>
                      <w:rFonts w:ascii="Cambria Math"/>
                    </w:rPr>
                    <m:t>I</m:t>
                  </m:r>
                </m:e>
                <m:sub>
                  <m:r>
                    <m:rPr>
                      <m:nor/>
                    </m:rPr>
                    <w:rPr>
                      <w:rFonts w:ascii="Cambria Math"/>
                      <w:bCs/>
                    </w:rPr>
                    <m:t>offset,1</m:t>
                  </m:r>
                  <m:ctrlPr>
                    <w:rPr>
                      <w:rFonts w:ascii="Cambria Math" w:hAnsi="Cambria Math"/>
                      <w:bCs/>
                    </w:rPr>
                  </m:ctrlPr>
                </m:sub>
                <m:sup>
                  <m:r>
                    <m:rPr>
                      <m:nor/>
                    </m:rPr>
                    <w:rPr>
                      <w:rFonts w:ascii="Cambria Math"/>
                      <w:bCs/>
                    </w:rPr>
                    <m:t>CSI-2</m:t>
                  </m:r>
                  <m:ctrlPr>
                    <w:rPr>
                      <w:rFonts w:ascii="Cambria Math" w:hAnsi="Cambria Math"/>
                      <w:bCs/>
                    </w:rPr>
                  </m:ctrlPr>
                </m:sup>
              </m:sSubSup>
            </m:oMath>
            <w:r w:rsidRPr="00111FF6">
              <w:t>)</w:t>
            </w:r>
          </w:p>
        </w:tc>
      </w:tr>
      <w:tr w:rsidR="008B1BCD" w:rsidRPr="00B916EC" w14:paraId="6702F94F" w14:textId="77777777" w:rsidTr="009A2ADE">
        <w:trPr>
          <w:cantSplit/>
          <w:jc w:val="center"/>
        </w:trPr>
        <w:tc>
          <w:tcPr>
            <w:tcW w:w="0" w:type="auto"/>
            <w:tcBorders>
              <w:top w:val="nil"/>
              <w:left w:val="single" w:sz="8" w:space="0" w:color="auto"/>
              <w:bottom w:val="single" w:sz="8" w:space="0" w:color="auto"/>
              <w:right w:val="single" w:sz="8" w:space="0" w:color="auto"/>
            </w:tcBorders>
            <w:vAlign w:val="center"/>
          </w:tcPr>
          <w:p w14:paraId="2FBA06A8" w14:textId="77777777" w:rsidR="008B1BCD" w:rsidRPr="00B916EC" w:rsidRDefault="008B1BCD" w:rsidP="009A2ADE">
            <w:pPr>
              <w:pStyle w:val="TAC"/>
            </w:pPr>
            <w:r w:rsidRPr="00B916EC">
              <w:t>'00'</w:t>
            </w:r>
          </w:p>
        </w:tc>
        <w:tc>
          <w:tcPr>
            <w:tcW w:w="6790" w:type="dxa"/>
            <w:tcBorders>
              <w:top w:val="nil"/>
              <w:left w:val="single" w:sz="8" w:space="0" w:color="auto"/>
              <w:bottom w:val="single" w:sz="8" w:space="0" w:color="auto"/>
              <w:right w:val="single" w:sz="8" w:space="0" w:color="auto"/>
            </w:tcBorders>
            <w:vAlign w:val="center"/>
          </w:tcPr>
          <w:p w14:paraId="0E9E3925" w14:textId="77777777" w:rsidR="008B1BCD" w:rsidRPr="00B916EC" w:rsidRDefault="008B1BCD" w:rsidP="006D1AC2">
            <w:pPr>
              <w:pStyle w:val="TAL"/>
              <w:jc w:val="center"/>
            </w:pPr>
            <w:r w:rsidRPr="00B916EC">
              <w:t>1</w:t>
            </w:r>
            <w:r w:rsidRPr="00B916EC">
              <w:rPr>
                <w:vertAlign w:val="superscript"/>
              </w:rPr>
              <w:t>st</w:t>
            </w:r>
            <w:r w:rsidRPr="00B916EC">
              <w:t xml:space="preserve"> offset index </w:t>
            </w:r>
            <w:r w:rsidR="00EA0F17">
              <w:t>provided by higher layers</w:t>
            </w:r>
          </w:p>
        </w:tc>
      </w:tr>
      <w:tr w:rsidR="008B1BCD" w:rsidRPr="00B916EC" w14:paraId="23F325DE" w14:textId="77777777" w:rsidTr="009A2ADE">
        <w:trPr>
          <w:cantSplit/>
          <w:jc w:val="center"/>
        </w:trPr>
        <w:tc>
          <w:tcPr>
            <w:tcW w:w="0" w:type="auto"/>
            <w:tcBorders>
              <w:top w:val="nil"/>
              <w:left w:val="single" w:sz="8" w:space="0" w:color="auto"/>
              <w:bottom w:val="single" w:sz="8" w:space="0" w:color="auto"/>
              <w:right w:val="single" w:sz="8" w:space="0" w:color="auto"/>
            </w:tcBorders>
            <w:vAlign w:val="center"/>
          </w:tcPr>
          <w:p w14:paraId="782346BA" w14:textId="77777777" w:rsidR="008B1BCD" w:rsidRPr="00B916EC" w:rsidRDefault="008B1BCD" w:rsidP="009A2ADE">
            <w:pPr>
              <w:pStyle w:val="TAC"/>
            </w:pPr>
            <w:r w:rsidRPr="00B916EC">
              <w:t>'01'</w:t>
            </w:r>
          </w:p>
        </w:tc>
        <w:tc>
          <w:tcPr>
            <w:tcW w:w="6790" w:type="dxa"/>
            <w:tcBorders>
              <w:top w:val="nil"/>
              <w:left w:val="single" w:sz="8" w:space="0" w:color="auto"/>
              <w:bottom w:val="single" w:sz="8" w:space="0" w:color="auto"/>
              <w:right w:val="single" w:sz="8" w:space="0" w:color="auto"/>
            </w:tcBorders>
            <w:vAlign w:val="center"/>
          </w:tcPr>
          <w:p w14:paraId="7C5D5783" w14:textId="77777777" w:rsidR="008B1BCD" w:rsidRPr="00B916EC" w:rsidRDefault="008B1BCD" w:rsidP="006D1AC2">
            <w:pPr>
              <w:pStyle w:val="TAL"/>
              <w:jc w:val="center"/>
            </w:pPr>
            <w:r w:rsidRPr="00B916EC">
              <w:t>2</w:t>
            </w:r>
            <w:r w:rsidRPr="00B916EC">
              <w:rPr>
                <w:vertAlign w:val="superscript"/>
              </w:rPr>
              <w:t>nd</w:t>
            </w:r>
            <w:r w:rsidRPr="00B916EC">
              <w:t xml:space="preserve"> offset index </w:t>
            </w:r>
            <w:r w:rsidR="00EA0F17">
              <w:t>provided by higher layers</w:t>
            </w:r>
          </w:p>
        </w:tc>
      </w:tr>
      <w:tr w:rsidR="008B1BCD" w:rsidRPr="00B916EC" w14:paraId="2DCB8F69" w14:textId="77777777" w:rsidTr="009A2ADE">
        <w:trPr>
          <w:cantSplit/>
          <w:jc w:val="center"/>
        </w:trPr>
        <w:tc>
          <w:tcPr>
            <w:tcW w:w="0" w:type="auto"/>
            <w:tcBorders>
              <w:top w:val="nil"/>
              <w:left w:val="single" w:sz="8" w:space="0" w:color="auto"/>
              <w:bottom w:val="single" w:sz="8" w:space="0" w:color="auto"/>
              <w:right w:val="single" w:sz="8" w:space="0" w:color="auto"/>
            </w:tcBorders>
            <w:vAlign w:val="center"/>
          </w:tcPr>
          <w:p w14:paraId="42007111" w14:textId="77777777" w:rsidR="008B1BCD" w:rsidRPr="00B916EC" w:rsidRDefault="008B1BCD" w:rsidP="009A2ADE">
            <w:pPr>
              <w:pStyle w:val="TAC"/>
            </w:pPr>
            <w:r w:rsidRPr="00B916EC">
              <w:t>'10'</w:t>
            </w:r>
          </w:p>
        </w:tc>
        <w:tc>
          <w:tcPr>
            <w:tcW w:w="6790" w:type="dxa"/>
            <w:tcBorders>
              <w:top w:val="nil"/>
              <w:left w:val="single" w:sz="8" w:space="0" w:color="auto"/>
              <w:bottom w:val="single" w:sz="8" w:space="0" w:color="auto"/>
              <w:right w:val="single" w:sz="8" w:space="0" w:color="auto"/>
            </w:tcBorders>
            <w:vAlign w:val="center"/>
          </w:tcPr>
          <w:p w14:paraId="25FE7497" w14:textId="77777777" w:rsidR="008B1BCD" w:rsidRPr="00B916EC" w:rsidRDefault="008B1BCD" w:rsidP="006D1AC2">
            <w:pPr>
              <w:pStyle w:val="TAL"/>
              <w:jc w:val="center"/>
            </w:pPr>
            <w:r w:rsidRPr="00B916EC">
              <w:t>3</w:t>
            </w:r>
            <w:r w:rsidRPr="00B916EC">
              <w:rPr>
                <w:vertAlign w:val="superscript"/>
              </w:rPr>
              <w:t>rd</w:t>
            </w:r>
            <w:r w:rsidRPr="00B916EC">
              <w:t xml:space="preserve"> offset index </w:t>
            </w:r>
            <w:r w:rsidR="00EA0F17">
              <w:t>provided by higher layers</w:t>
            </w:r>
          </w:p>
        </w:tc>
      </w:tr>
      <w:tr w:rsidR="008B1BCD" w:rsidRPr="00B916EC" w14:paraId="53087BC9" w14:textId="77777777" w:rsidTr="009A2ADE">
        <w:trPr>
          <w:cantSplit/>
          <w:jc w:val="center"/>
        </w:trPr>
        <w:tc>
          <w:tcPr>
            <w:tcW w:w="0" w:type="auto"/>
            <w:tcBorders>
              <w:top w:val="nil"/>
              <w:left w:val="single" w:sz="8" w:space="0" w:color="auto"/>
              <w:bottom w:val="single" w:sz="8" w:space="0" w:color="auto"/>
              <w:right w:val="single" w:sz="8" w:space="0" w:color="auto"/>
            </w:tcBorders>
            <w:vAlign w:val="center"/>
          </w:tcPr>
          <w:p w14:paraId="75497EB7" w14:textId="77777777" w:rsidR="008B1BCD" w:rsidRPr="00B916EC" w:rsidRDefault="008B1BCD" w:rsidP="009A2ADE">
            <w:pPr>
              <w:pStyle w:val="TAC"/>
            </w:pPr>
            <w:r w:rsidRPr="00B916EC">
              <w:t>'11'</w:t>
            </w:r>
          </w:p>
        </w:tc>
        <w:tc>
          <w:tcPr>
            <w:tcW w:w="6790" w:type="dxa"/>
            <w:tcBorders>
              <w:top w:val="nil"/>
              <w:left w:val="single" w:sz="8" w:space="0" w:color="auto"/>
              <w:bottom w:val="single" w:sz="8" w:space="0" w:color="auto"/>
              <w:right w:val="single" w:sz="8" w:space="0" w:color="auto"/>
            </w:tcBorders>
            <w:vAlign w:val="center"/>
          </w:tcPr>
          <w:p w14:paraId="1F8F2EF0" w14:textId="77777777" w:rsidR="008B1BCD" w:rsidRPr="00B916EC" w:rsidRDefault="008B1BCD" w:rsidP="006D1AC2">
            <w:pPr>
              <w:pStyle w:val="TAL"/>
              <w:jc w:val="center"/>
            </w:pPr>
            <w:r w:rsidRPr="00B916EC">
              <w:t>4</w:t>
            </w:r>
            <w:r w:rsidRPr="00B916EC">
              <w:rPr>
                <w:vertAlign w:val="superscript"/>
              </w:rPr>
              <w:t>th</w:t>
            </w:r>
            <w:r w:rsidRPr="00B916EC">
              <w:t xml:space="preserve"> offset index </w:t>
            </w:r>
            <w:r w:rsidR="00EA0F17">
              <w:t>provided by higher layers</w:t>
            </w:r>
          </w:p>
        </w:tc>
      </w:tr>
    </w:tbl>
    <w:p w14:paraId="6A80BE14" w14:textId="77777777" w:rsidR="00C91011" w:rsidRPr="00EE027F" w:rsidRDefault="00C91011" w:rsidP="00C91011"/>
    <w:p w14:paraId="6808E5BB" w14:textId="77777777" w:rsidR="00C91011" w:rsidRPr="00EE027F" w:rsidRDefault="00C91011" w:rsidP="001C6B2D">
      <w:pPr>
        <w:pStyle w:val="TH"/>
      </w:pPr>
      <w:r w:rsidRPr="00EE027F">
        <w:t xml:space="preserve">Table 9.3-3A: Mapping of two </w:t>
      </w:r>
      <w:r w:rsidRPr="00EE027F">
        <w:rPr>
          <w:rFonts w:cs="Arial"/>
        </w:rPr>
        <w:t xml:space="preserve">beta_offset indicator </w:t>
      </w:r>
      <w:r w:rsidRPr="00EE027F">
        <w:t>values to offset indexes</w:t>
      </w:r>
    </w:p>
    <w:tbl>
      <w:tblPr>
        <w:tblW w:w="0" w:type="auto"/>
        <w:jc w:val="center"/>
        <w:tblCellMar>
          <w:left w:w="0" w:type="dxa"/>
          <w:right w:w="0" w:type="dxa"/>
        </w:tblCellMar>
        <w:tblLook w:val="0000" w:firstRow="0" w:lastRow="0" w:firstColumn="0" w:lastColumn="0" w:noHBand="0" w:noVBand="0"/>
      </w:tblPr>
      <w:tblGrid>
        <w:gridCol w:w="1791"/>
        <w:gridCol w:w="6790"/>
      </w:tblGrid>
      <w:tr w:rsidR="00AB0C62" w:rsidRPr="00EE027F" w14:paraId="507BA195" w14:textId="77777777" w:rsidTr="00B25F5D">
        <w:trPr>
          <w:cantSplit/>
          <w:jc w:val="center"/>
        </w:trPr>
        <w:tc>
          <w:tcPr>
            <w:tcW w:w="0" w:type="auto"/>
            <w:tcBorders>
              <w:top w:val="single" w:sz="8" w:space="0" w:color="auto"/>
              <w:left w:val="single" w:sz="8" w:space="0" w:color="auto"/>
              <w:bottom w:val="single" w:sz="8" w:space="0" w:color="auto"/>
              <w:right w:val="single" w:sz="8" w:space="0" w:color="auto"/>
            </w:tcBorders>
            <w:shd w:val="clear" w:color="auto" w:fill="E0E0E0"/>
            <w:vAlign w:val="center"/>
          </w:tcPr>
          <w:p w14:paraId="38622E12" w14:textId="77777777" w:rsidR="00AB0C62" w:rsidRPr="00EE027F" w:rsidRDefault="00AB0C62" w:rsidP="00AB0C62">
            <w:pPr>
              <w:keepNext/>
              <w:keepLines/>
              <w:spacing w:after="0"/>
              <w:jc w:val="center"/>
              <w:rPr>
                <w:b/>
              </w:rPr>
            </w:pPr>
            <w:r w:rsidRPr="00EE027F">
              <w:rPr>
                <w:rFonts w:ascii="Arial" w:hAnsi="Arial" w:cs="Arial"/>
                <w:b/>
                <w:sz w:val="18"/>
              </w:rPr>
              <w:t>beta_offset indicator</w:t>
            </w:r>
          </w:p>
        </w:tc>
        <w:tc>
          <w:tcPr>
            <w:tcW w:w="6790" w:type="dxa"/>
            <w:tcBorders>
              <w:top w:val="single" w:sz="8" w:space="0" w:color="auto"/>
              <w:left w:val="single" w:sz="8" w:space="0" w:color="auto"/>
              <w:bottom w:val="single" w:sz="8" w:space="0" w:color="auto"/>
              <w:right w:val="single" w:sz="8" w:space="0" w:color="auto"/>
            </w:tcBorders>
            <w:shd w:val="clear" w:color="auto" w:fill="E0E0E0"/>
            <w:vAlign w:val="center"/>
          </w:tcPr>
          <w:p w14:paraId="69F78176" w14:textId="3CEF5216" w:rsidR="00AB0C62" w:rsidRPr="00111FF6" w:rsidRDefault="00AB0C62" w:rsidP="00AB0C62">
            <w:pPr>
              <w:keepNext/>
              <w:keepLines/>
              <w:spacing w:after="0"/>
              <w:jc w:val="center"/>
              <w:rPr>
                <w:rFonts w:ascii="Arial" w:hAnsi="Arial"/>
                <w:b/>
                <w:sz w:val="18"/>
              </w:rPr>
            </w:pPr>
            <w:r w:rsidRPr="00111FF6">
              <w:rPr>
                <w:rFonts w:ascii="Arial" w:hAnsi="Arial"/>
                <w:b/>
                <w:sz w:val="18"/>
              </w:rPr>
              <w:t>(</w:t>
            </w:r>
            <m:oMath>
              <m:sSubSup>
                <m:sSubSupPr>
                  <m:ctrlPr>
                    <w:rPr>
                      <w:rFonts w:ascii="Cambria Math" w:hAnsi="Cambria Math"/>
                      <w:b/>
                      <w:i/>
                    </w:rPr>
                  </m:ctrlPr>
                </m:sSubSupPr>
                <m:e>
                  <m:r>
                    <m:rPr>
                      <m:sty m:val="bi"/>
                    </m:rPr>
                    <w:rPr>
                      <w:rFonts w:ascii="Cambria Math"/>
                    </w:rPr>
                    <m:t>I</m:t>
                  </m:r>
                </m:e>
                <m:sub>
                  <m:r>
                    <m:rPr>
                      <m:nor/>
                    </m:rPr>
                    <w:rPr>
                      <w:rFonts w:ascii="Cambria Math"/>
                      <w:b/>
                    </w:rPr>
                    <m:t>offset,0</m:t>
                  </m:r>
                  <m:ctrlPr>
                    <w:rPr>
                      <w:rFonts w:ascii="Cambria Math" w:hAnsi="Cambria Math"/>
                      <w:b/>
                    </w:rPr>
                  </m:ctrlPr>
                </m:sub>
                <m:sup>
                  <m:r>
                    <m:rPr>
                      <m:nor/>
                    </m:rPr>
                    <w:rPr>
                      <w:rFonts w:ascii="Cambria Math"/>
                      <w:b/>
                    </w:rPr>
                    <m:t>HARQ-ACK</m:t>
                  </m:r>
                  <m:ctrlPr>
                    <w:rPr>
                      <w:rFonts w:ascii="Cambria Math" w:hAnsi="Cambria Math"/>
                      <w:b/>
                    </w:rPr>
                  </m:ctrlPr>
                </m:sup>
              </m:sSubSup>
            </m:oMath>
            <w:r w:rsidRPr="00111FF6">
              <w:rPr>
                <w:rFonts w:ascii="Arial" w:hAnsi="Arial"/>
                <w:b/>
                <w:sz w:val="18"/>
              </w:rPr>
              <w:t xml:space="preserve"> or </w:t>
            </w:r>
            <m:oMath>
              <m:sSubSup>
                <m:sSubSupPr>
                  <m:ctrlPr>
                    <w:rPr>
                      <w:rFonts w:ascii="Cambria Math" w:hAnsi="Cambria Math"/>
                      <w:b/>
                      <w:i/>
                    </w:rPr>
                  </m:ctrlPr>
                </m:sSubSupPr>
                <m:e>
                  <m:r>
                    <m:rPr>
                      <m:sty m:val="bi"/>
                    </m:rPr>
                    <w:rPr>
                      <w:rFonts w:ascii="Cambria Math"/>
                    </w:rPr>
                    <m:t>I</m:t>
                  </m:r>
                </m:e>
                <m:sub>
                  <m:r>
                    <m:rPr>
                      <m:nor/>
                    </m:rPr>
                    <w:rPr>
                      <w:rFonts w:ascii="Cambria Math"/>
                      <w:b/>
                    </w:rPr>
                    <m:t>offset,1</m:t>
                  </m:r>
                  <m:ctrlPr>
                    <w:rPr>
                      <w:rFonts w:ascii="Cambria Math" w:hAnsi="Cambria Math"/>
                      <w:b/>
                    </w:rPr>
                  </m:ctrlPr>
                </m:sub>
                <m:sup>
                  <m:r>
                    <m:rPr>
                      <m:nor/>
                    </m:rPr>
                    <w:rPr>
                      <w:rFonts w:ascii="Cambria Math"/>
                      <w:b/>
                    </w:rPr>
                    <m:t>HARQ-ACK</m:t>
                  </m:r>
                  <m:ctrlPr>
                    <w:rPr>
                      <w:rFonts w:ascii="Cambria Math" w:hAnsi="Cambria Math"/>
                      <w:b/>
                    </w:rPr>
                  </m:ctrlPr>
                </m:sup>
              </m:sSubSup>
            </m:oMath>
            <w:r w:rsidRPr="00111FF6">
              <w:rPr>
                <w:rFonts w:ascii="Arial" w:hAnsi="Arial"/>
                <w:b/>
                <w:sz w:val="18"/>
              </w:rPr>
              <w:t xml:space="preserve"> or </w:t>
            </w:r>
            <m:oMath>
              <m:sSubSup>
                <m:sSubSupPr>
                  <m:ctrlPr>
                    <w:rPr>
                      <w:rFonts w:ascii="Cambria Math" w:hAnsi="Cambria Math"/>
                      <w:b/>
                      <w:i/>
                    </w:rPr>
                  </m:ctrlPr>
                </m:sSubSupPr>
                <m:e>
                  <m:r>
                    <m:rPr>
                      <m:sty m:val="bi"/>
                    </m:rPr>
                    <w:rPr>
                      <w:rFonts w:ascii="Cambria Math"/>
                    </w:rPr>
                    <m:t>I</m:t>
                  </m:r>
                </m:e>
                <m:sub>
                  <m:r>
                    <m:rPr>
                      <m:nor/>
                    </m:rPr>
                    <w:rPr>
                      <w:rFonts w:ascii="Cambria Math"/>
                      <w:b/>
                    </w:rPr>
                    <m:t>offset,2</m:t>
                  </m:r>
                  <m:ctrlPr>
                    <w:rPr>
                      <w:rFonts w:ascii="Cambria Math" w:hAnsi="Cambria Math"/>
                      <w:b/>
                    </w:rPr>
                  </m:ctrlPr>
                </m:sub>
                <m:sup>
                  <m:r>
                    <m:rPr>
                      <m:nor/>
                    </m:rPr>
                    <w:rPr>
                      <w:rFonts w:ascii="Cambria Math"/>
                      <w:b/>
                    </w:rPr>
                    <m:t>HARQ-ACK</m:t>
                  </m:r>
                  <m:ctrlPr>
                    <w:rPr>
                      <w:rFonts w:ascii="Cambria Math" w:hAnsi="Cambria Math"/>
                      <w:b/>
                    </w:rPr>
                  </m:ctrlPr>
                </m:sup>
              </m:sSubSup>
            </m:oMath>
            <w:r w:rsidRPr="00111FF6">
              <w:rPr>
                <w:rFonts w:ascii="Arial" w:hAnsi="Arial"/>
                <w:b/>
                <w:sz w:val="18"/>
              </w:rPr>
              <w:t xml:space="preserve">), </w:t>
            </w:r>
          </w:p>
          <w:p w14:paraId="572E760A" w14:textId="77777777" w:rsidR="00AB0C62" w:rsidRPr="00111FF6" w:rsidRDefault="00AB0C62" w:rsidP="00AB0C62">
            <w:pPr>
              <w:pStyle w:val="TAH"/>
            </w:pPr>
            <w:r w:rsidRPr="00111FF6">
              <w:t>(</w:t>
            </w:r>
            <m:oMath>
              <m:sSubSup>
                <m:sSubSupPr>
                  <m:ctrlPr>
                    <w:rPr>
                      <w:rFonts w:ascii="Cambria Math" w:hAnsi="Cambria Math"/>
                      <w:bCs/>
                      <w:i/>
                    </w:rPr>
                  </m:ctrlPr>
                </m:sSubSupPr>
                <m:e>
                  <m:r>
                    <m:rPr>
                      <m:sty m:val="bi"/>
                    </m:rPr>
                    <w:rPr>
                      <w:rFonts w:ascii="Cambria Math"/>
                    </w:rPr>
                    <m:t>I</m:t>
                  </m:r>
                </m:e>
                <m:sub>
                  <m:r>
                    <m:rPr>
                      <m:nor/>
                    </m:rPr>
                    <w:rPr>
                      <w:rFonts w:ascii="Cambria Math"/>
                      <w:bCs/>
                    </w:rPr>
                    <m:t>offset,0</m:t>
                  </m:r>
                  <m:ctrlPr>
                    <w:rPr>
                      <w:rFonts w:ascii="Cambria Math" w:hAnsi="Cambria Math"/>
                      <w:bCs/>
                    </w:rPr>
                  </m:ctrlPr>
                </m:sub>
                <m:sup>
                  <m:r>
                    <m:rPr>
                      <m:nor/>
                    </m:rPr>
                    <w:rPr>
                      <w:rFonts w:ascii="Cambria Math"/>
                      <w:bCs/>
                    </w:rPr>
                    <m:t>HARQ-ACK,0</m:t>
                  </m:r>
                  <m:ctrlPr>
                    <w:rPr>
                      <w:rFonts w:ascii="Cambria Math" w:hAnsi="Cambria Math"/>
                      <w:bCs/>
                    </w:rPr>
                  </m:ctrlPr>
                </m:sup>
              </m:sSubSup>
            </m:oMath>
            <w:r w:rsidRPr="00111FF6">
              <w:t xml:space="preserve"> or </w:t>
            </w:r>
            <m:oMath>
              <m:sSubSup>
                <m:sSubSupPr>
                  <m:ctrlPr>
                    <w:rPr>
                      <w:rFonts w:ascii="Cambria Math" w:hAnsi="Cambria Math"/>
                      <w:bCs/>
                      <w:i/>
                    </w:rPr>
                  </m:ctrlPr>
                </m:sSubSupPr>
                <m:e>
                  <m:r>
                    <m:rPr>
                      <m:sty m:val="bi"/>
                    </m:rPr>
                    <w:rPr>
                      <w:rFonts w:ascii="Cambria Math"/>
                    </w:rPr>
                    <m:t>I</m:t>
                  </m:r>
                </m:e>
                <m:sub>
                  <m:r>
                    <m:rPr>
                      <m:nor/>
                    </m:rPr>
                    <w:rPr>
                      <w:rFonts w:ascii="Cambria Math"/>
                      <w:bCs/>
                    </w:rPr>
                    <m:t>offset,1</m:t>
                  </m:r>
                  <m:ctrlPr>
                    <w:rPr>
                      <w:rFonts w:ascii="Cambria Math" w:hAnsi="Cambria Math"/>
                      <w:bCs/>
                    </w:rPr>
                  </m:ctrlPr>
                </m:sub>
                <m:sup>
                  <m:r>
                    <m:rPr>
                      <m:nor/>
                    </m:rPr>
                    <w:rPr>
                      <w:rFonts w:ascii="Cambria Math"/>
                      <w:bCs/>
                    </w:rPr>
                    <m:t>HARQ-ACK,0</m:t>
                  </m:r>
                  <m:ctrlPr>
                    <w:rPr>
                      <w:rFonts w:ascii="Cambria Math" w:hAnsi="Cambria Math"/>
                      <w:bCs/>
                    </w:rPr>
                  </m:ctrlPr>
                </m:sup>
              </m:sSubSup>
            </m:oMath>
            <w:r w:rsidRPr="00111FF6">
              <w:t xml:space="preserve"> or </w:t>
            </w:r>
            <m:oMath>
              <m:sSubSup>
                <m:sSubSupPr>
                  <m:ctrlPr>
                    <w:rPr>
                      <w:rFonts w:ascii="Cambria Math" w:hAnsi="Cambria Math"/>
                      <w:bCs/>
                      <w:i/>
                    </w:rPr>
                  </m:ctrlPr>
                </m:sSubSupPr>
                <m:e>
                  <m:r>
                    <m:rPr>
                      <m:sty m:val="bi"/>
                    </m:rPr>
                    <w:rPr>
                      <w:rFonts w:ascii="Cambria Math"/>
                    </w:rPr>
                    <m:t>I</m:t>
                  </m:r>
                </m:e>
                <m:sub>
                  <m:r>
                    <m:rPr>
                      <m:nor/>
                    </m:rPr>
                    <w:rPr>
                      <w:rFonts w:ascii="Cambria Math"/>
                      <w:bCs/>
                    </w:rPr>
                    <m:t>offset,2</m:t>
                  </m:r>
                  <m:ctrlPr>
                    <w:rPr>
                      <w:rFonts w:ascii="Cambria Math" w:hAnsi="Cambria Math"/>
                      <w:bCs/>
                    </w:rPr>
                  </m:ctrlPr>
                </m:sub>
                <m:sup>
                  <m:r>
                    <m:rPr>
                      <m:nor/>
                    </m:rPr>
                    <w:rPr>
                      <w:rFonts w:ascii="Cambria Math"/>
                      <w:bCs/>
                    </w:rPr>
                    <m:t>HARQ-ACK,0</m:t>
                  </m:r>
                  <m:ctrlPr>
                    <w:rPr>
                      <w:rFonts w:ascii="Cambria Math" w:hAnsi="Cambria Math"/>
                      <w:bCs/>
                    </w:rPr>
                  </m:ctrlPr>
                </m:sup>
              </m:sSubSup>
            </m:oMath>
            <w:r w:rsidRPr="00111FF6">
              <w:t xml:space="preserve">), </w:t>
            </w:r>
          </w:p>
          <w:p w14:paraId="2C73463C" w14:textId="77777777" w:rsidR="00AB0C62" w:rsidRPr="00111FF6" w:rsidRDefault="00AB0C62" w:rsidP="00AB0C62">
            <w:pPr>
              <w:pStyle w:val="TAH"/>
            </w:pPr>
            <w:r w:rsidRPr="00111FF6">
              <w:t>(</w:t>
            </w:r>
            <m:oMath>
              <m:sSubSup>
                <m:sSubSupPr>
                  <m:ctrlPr>
                    <w:rPr>
                      <w:rFonts w:ascii="Cambria Math" w:hAnsi="Cambria Math"/>
                      <w:bCs/>
                      <w:i/>
                    </w:rPr>
                  </m:ctrlPr>
                </m:sSubSupPr>
                <m:e>
                  <m:r>
                    <m:rPr>
                      <m:sty m:val="bi"/>
                    </m:rPr>
                    <w:rPr>
                      <w:rFonts w:ascii="Cambria Math"/>
                    </w:rPr>
                    <m:t>I</m:t>
                  </m:r>
                </m:e>
                <m:sub>
                  <m:r>
                    <m:rPr>
                      <m:nor/>
                    </m:rPr>
                    <w:rPr>
                      <w:rFonts w:ascii="Cambria Math"/>
                      <w:bCs/>
                    </w:rPr>
                    <m:t>offset,0</m:t>
                  </m:r>
                  <m:ctrlPr>
                    <w:rPr>
                      <w:rFonts w:ascii="Cambria Math" w:hAnsi="Cambria Math"/>
                      <w:bCs/>
                    </w:rPr>
                  </m:ctrlPr>
                </m:sub>
                <m:sup>
                  <m:r>
                    <m:rPr>
                      <m:nor/>
                    </m:rPr>
                    <w:rPr>
                      <w:rFonts w:ascii="Cambria Math"/>
                      <w:bCs/>
                    </w:rPr>
                    <m:t>HARQ-ACK,1</m:t>
                  </m:r>
                  <m:ctrlPr>
                    <w:rPr>
                      <w:rFonts w:ascii="Cambria Math" w:hAnsi="Cambria Math"/>
                      <w:bCs/>
                    </w:rPr>
                  </m:ctrlPr>
                </m:sup>
              </m:sSubSup>
            </m:oMath>
            <w:r w:rsidRPr="00111FF6">
              <w:t xml:space="preserve"> or </w:t>
            </w:r>
            <m:oMath>
              <m:sSubSup>
                <m:sSubSupPr>
                  <m:ctrlPr>
                    <w:rPr>
                      <w:rFonts w:ascii="Cambria Math" w:hAnsi="Cambria Math"/>
                      <w:bCs/>
                      <w:i/>
                    </w:rPr>
                  </m:ctrlPr>
                </m:sSubSupPr>
                <m:e>
                  <m:r>
                    <m:rPr>
                      <m:sty m:val="bi"/>
                    </m:rPr>
                    <w:rPr>
                      <w:rFonts w:ascii="Cambria Math"/>
                    </w:rPr>
                    <m:t>I</m:t>
                  </m:r>
                </m:e>
                <m:sub>
                  <m:r>
                    <m:rPr>
                      <m:nor/>
                    </m:rPr>
                    <w:rPr>
                      <w:rFonts w:ascii="Cambria Math"/>
                      <w:bCs/>
                    </w:rPr>
                    <m:t>offset,1</m:t>
                  </m:r>
                  <m:ctrlPr>
                    <w:rPr>
                      <w:rFonts w:ascii="Cambria Math" w:hAnsi="Cambria Math"/>
                      <w:bCs/>
                    </w:rPr>
                  </m:ctrlPr>
                </m:sub>
                <m:sup>
                  <m:r>
                    <m:rPr>
                      <m:nor/>
                    </m:rPr>
                    <w:rPr>
                      <w:rFonts w:ascii="Cambria Math"/>
                      <w:bCs/>
                    </w:rPr>
                    <m:t>HARQ-ACK,1</m:t>
                  </m:r>
                  <m:ctrlPr>
                    <w:rPr>
                      <w:rFonts w:ascii="Cambria Math" w:hAnsi="Cambria Math"/>
                      <w:bCs/>
                    </w:rPr>
                  </m:ctrlPr>
                </m:sup>
              </m:sSubSup>
            </m:oMath>
            <w:r w:rsidRPr="00111FF6">
              <w:t xml:space="preserve"> or </w:t>
            </w:r>
            <m:oMath>
              <m:sSubSup>
                <m:sSubSupPr>
                  <m:ctrlPr>
                    <w:rPr>
                      <w:rFonts w:ascii="Cambria Math" w:hAnsi="Cambria Math"/>
                      <w:bCs/>
                      <w:i/>
                    </w:rPr>
                  </m:ctrlPr>
                </m:sSubSupPr>
                <m:e>
                  <m:r>
                    <m:rPr>
                      <m:sty m:val="bi"/>
                    </m:rPr>
                    <w:rPr>
                      <w:rFonts w:ascii="Cambria Math"/>
                    </w:rPr>
                    <m:t>I</m:t>
                  </m:r>
                </m:e>
                <m:sub>
                  <m:r>
                    <m:rPr>
                      <m:nor/>
                    </m:rPr>
                    <w:rPr>
                      <w:rFonts w:ascii="Cambria Math"/>
                      <w:bCs/>
                    </w:rPr>
                    <m:t>offset,2</m:t>
                  </m:r>
                  <m:ctrlPr>
                    <w:rPr>
                      <w:rFonts w:ascii="Cambria Math" w:hAnsi="Cambria Math"/>
                      <w:bCs/>
                    </w:rPr>
                  </m:ctrlPr>
                </m:sub>
                <m:sup>
                  <m:r>
                    <m:rPr>
                      <m:nor/>
                    </m:rPr>
                    <w:rPr>
                      <w:rFonts w:ascii="Cambria Math"/>
                      <w:bCs/>
                    </w:rPr>
                    <m:t>HARQ-ACK,1</m:t>
                  </m:r>
                  <m:ctrlPr>
                    <w:rPr>
                      <w:rFonts w:ascii="Cambria Math" w:hAnsi="Cambria Math"/>
                      <w:bCs/>
                    </w:rPr>
                  </m:ctrlPr>
                </m:sup>
              </m:sSubSup>
            </m:oMath>
            <w:r w:rsidRPr="00111FF6">
              <w:t xml:space="preserve">), </w:t>
            </w:r>
          </w:p>
          <w:p w14:paraId="298E3B09" w14:textId="60F28961" w:rsidR="00AB0C62" w:rsidRPr="00EE027F" w:rsidRDefault="00AB0C62" w:rsidP="00AB0C62">
            <w:pPr>
              <w:keepNext/>
              <w:keepLines/>
              <w:spacing w:after="0"/>
              <w:jc w:val="center"/>
              <w:rPr>
                <w:rFonts w:ascii="Arial" w:hAnsi="Arial"/>
                <w:b/>
                <w:sz w:val="18"/>
              </w:rPr>
            </w:pPr>
            <w:r w:rsidRPr="00111FF6">
              <w:rPr>
                <w:rFonts w:ascii="Arial" w:hAnsi="Arial"/>
                <w:b/>
                <w:sz w:val="18"/>
              </w:rPr>
              <w:t>(</w:t>
            </w:r>
            <m:oMath>
              <m:sSubSup>
                <m:sSubSupPr>
                  <m:ctrlPr>
                    <w:rPr>
                      <w:rFonts w:ascii="Cambria Math" w:hAnsi="Cambria Math"/>
                      <w:b/>
                      <w:i/>
                    </w:rPr>
                  </m:ctrlPr>
                </m:sSubSupPr>
                <m:e>
                  <m:r>
                    <m:rPr>
                      <m:sty m:val="bi"/>
                    </m:rPr>
                    <w:rPr>
                      <w:rFonts w:ascii="Cambria Math"/>
                    </w:rPr>
                    <m:t>I</m:t>
                  </m:r>
                </m:e>
                <m:sub>
                  <m:r>
                    <m:rPr>
                      <m:nor/>
                    </m:rPr>
                    <w:rPr>
                      <w:rFonts w:ascii="Cambria Math"/>
                      <w:b/>
                    </w:rPr>
                    <m:t>offset,0</m:t>
                  </m:r>
                  <m:ctrlPr>
                    <w:rPr>
                      <w:rFonts w:ascii="Cambria Math" w:hAnsi="Cambria Math"/>
                      <w:b/>
                    </w:rPr>
                  </m:ctrlPr>
                </m:sub>
                <m:sup>
                  <m:r>
                    <m:rPr>
                      <m:nor/>
                    </m:rPr>
                    <w:rPr>
                      <w:rFonts w:ascii="Cambria Math"/>
                      <w:b/>
                    </w:rPr>
                    <m:t>CSI-1</m:t>
                  </m:r>
                  <m:ctrlPr>
                    <w:rPr>
                      <w:rFonts w:ascii="Cambria Math" w:hAnsi="Cambria Math"/>
                      <w:b/>
                    </w:rPr>
                  </m:ctrlPr>
                </m:sup>
              </m:sSubSup>
            </m:oMath>
            <w:r w:rsidRPr="00111FF6">
              <w:rPr>
                <w:rFonts w:ascii="Arial" w:hAnsi="Arial"/>
                <w:b/>
                <w:sz w:val="18"/>
              </w:rPr>
              <w:t xml:space="preserve"> or </w:t>
            </w:r>
            <m:oMath>
              <m:sSubSup>
                <m:sSubSupPr>
                  <m:ctrlPr>
                    <w:rPr>
                      <w:rFonts w:ascii="Cambria Math" w:hAnsi="Cambria Math"/>
                      <w:b/>
                      <w:i/>
                    </w:rPr>
                  </m:ctrlPr>
                </m:sSubSupPr>
                <m:e>
                  <m:r>
                    <m:rPr>
                      <m:sty m:val="bi"/>
                    </m:rPr>
                    <w:rPr>
                      <w:rFonts w:ascii="Cambria Math"/>
                    </w:rPr>
                    <m:t>I</m:t>
                  </m:r>
                </m:e>
                <m:sub>
                  <m:r>
                    <m:rPr>
                      <m:nor/>
                    </m:rPr>
                    <w:rPr>
                      <w:rFonts w:ascii="Cambria Math"/>
                      <w:b/>
                    </w:rPr>
                    <m:t>offset,0</m:t>
                  </m:r>
                  <m:ctrlPr>
                    <w:rPr>
                      <w:rFonts w:ascii="Cambria Math" w:hAnsi="Cambria Math"/>
                      <w:b/>
                    </w:rPr>
                  </m:ctrlPr>
                </m:sub>
                <m:sup>
                  <m:r>
                    <m:rPr>
                      <m:nor/>
                    </m:rPr>
                    <w:rPr>
                      <w:rFonts w:ascii="Cambria Math"/>
                      <w:b/>
                    </w:rPr>
                    <m:t>CSI-2</m:t>
                  </m:r>
                  <m:ctrlPr>
                    <w:rPr>
                      <w:rFonts w:ascii="Cambria Math" w:hAnsi="Cambria Math"/>
                      <w:b/>
                    </w:rPr>
                  </m:ctrlPr>
                </m:sup>
              </m:sSubSup>
            </m:oMath>
            <w:r w:rsidRPr="00111FF6">
              <w:rPr>
                <w:rFonts w:ascii="Arial" w:hAnsi="Arial"/>
                <w:b/>
                <w:sz w:val="18"/>
              </w:rPr>
              <w:t>), (</w:t>
            </w:r>
            <m:oMath>
              <m:sSubSup>
                <m:sSubSupPr>
                  <m:ctrlPr>
                    <w:rPr>
                      <w:rFonts w:ascii="Cambria Math" w:hAnsi="Cambria Math"/>
                      <w:b/>
                      <w:i/>
                    </w:rPr>
                  </m:ctrlPr>
                </m:sSubSupPr>
                <m:e>
                  <m:r>
                    <m:rPr>
                      <m:sty m:val="bi"/>
                    </m:rPr>
                    <w:rPr>
                      <w:rFonts w:ascii="Cambria Math"/>
                    </w:rPr>
                    <m:t>I</m:t>
                  </m:r>
                </m:e>
                <m:sub>
                  <m:r>
                    <m:rPr>
                      <m:nor/>
                    </m:rPr>
                    <w:rPr>
                      <w:rFonts w:ascii="Cambria Math"/>
                      <w:b/>
                    </w:rPr>
                    <m:t>offset,1</m:t>
                  </m:r>
                  <m:ctrlPr>
                    <w:rPr>
                      <w:rFonts w:ascii="Cambria Math" w:hAnsi="Cambria Math"/>
                      <w:b/>
                    </w:rPr>
                  </m:ctrlPr>
                </m:sub>
                <m:sup>
                  <m:r>
                    <m:rPr>
                      <m:nor/>
                    </m:rPr>
                    <w:rPr>
                      <w:rFonts w:ascii="Cambria Math"/>
                      <w:b/>
                    </w:rPr>
                    <m:t>CSI-1</m:t>
                  </m:r>
                  <m:ctrlPr>
                    <w:rPr>
                      <w:rFonts w:ascii="Cambria Math" w:hAnsi="Cambria Math"/>
                      <w:b/>
                    </w:rPr>
                  </m:ctrlPr>
                </m:sup>
              </m:sSubSup>
            </m:oMath>
            <w:r w:rsidRPr="00111FF6">
              <w:rPr>
                <w:rFonts w:ascii="Arial" w:hAnsi="Arial"/>
                <w:b/>
                <w:sz w:val="18"/>
              </w:rPr>
              <w:t xml:space="preserve"> or </w:t>
            </w:r>
            <m:oMath>
              <m:sSubSup>
                <m:sSubSupPr>
                  <m:ctrlPr>
                    <w:rPr>
                      <w:rFonts w:ascii="Cambria Math" w:hAnsi="Cambria Math"/>
                      <w:b/>
                      <w:i/>
                    </w:rPr>
                  </m:ctrlPr>
                </m:sSubSupPr>
                <m:e>
                  <m:r>
                    <m:rPr>
                      <m:sty m:val="bi"/>
                    </m:rPr>
                    <w:rPr>
                      <w:rFonts w:ascii="Cambria Math"/>
                    </w:rPr>
                    <m:t>I</m:t>
                  </m:r>
                </m:e>
                <m:sub>
                  <m:r>
                    <m:rPr>
                      <m:nor/>
                    </m:rPr>
                    <w:rPr>
                      <w:rFonts w:ascii="Cambria Math"/>
                      <w:b/>
                    </w:rPr>
                    <m:t>offset,1</m:t>
                  </m:r>
                  <m:ctrlPr>
                    <w:rPr>
                      <w:rFonts w:ascii="Cambria Math" w:hAnsi="Cambria Math"/>
                      <w:b/>
                    </w:rPr>
                  </m:ctrlPr>
                </m:sub>
                <m:sup>
                  <m:r>
                    <m:rPr>
                      <m:nor/>
                    </m:rPr>
                    <w:rPr>
                      <w:rFonts w:ascii="Cambria Math"/>
                      <w:b/>
                    </w:rPr>
                    <m:t>CSI-2</m:t>
                  </m:r>
                  <m:ctrlPr>
                    <w:rPr>
                      <w:rFonts w:ascii="Cambria Math" w:hAnsi="Cambria Math"/>
                      <w:b/>
                    </w:rPr>
                  </m:ctrlPr>
                </m:sup>
              </m:sSubSup>
            </m:oMath>
            <w:r w:rsidRPr="00111FF6">
              <w:rPr>
                <w:rFonts w:ascii="Arial" w:hAnsi="Arial"/>
                <w:b/>
                <w:sz w:val="18"/>
              </w:rPr>
              <w:t>)</w:t>
            </w:r>
          </w:p>
        </w:tc>
      </w:tr>
      <w:tr w:rsidR="00C91011" w:rsidRPr="00EE027F" w14:paraId="553B14BA" w14:textId="77777777" w:rsidTr="00B25F5D">
        <w:trPr>
          <w:cantSplit/>
          <w:jc w:val="center"/>
        </w:trPr>
        <w:tc>
          <w:tcPr>
            <w:tcW w:w="0" w:type="auto"/>
            <w:tcBorders>
              <w:top w:val="nil"/>
              <w:left w:val="single" w:sz="8" w:space="0" w:color="auto"/>
              <w:bottom w:val="single" w:sz="8" w:space="0" w:color="auto"/>
              <w:right w:val="single" w:sz="8" w:space="0" w:color="auto"/>
            </w:tcBorders>
            <w:vAlign w:val="center"/>
          </w:tcPr>
          <w:p w14:paraId="31F2BEC0" w14:textId="77777777" w:rsidR="00C91011" w:rsidRPr="00EE027F" w:rsidRDefault="00C91011" w:rsidP="00B25F5D">
            <w:pPr>
              <w:keepNext/>
              <w:keepLines/>
              <w:spacing w:after="0"/>
              <w:jc w:val="center"/>
              <w:rPr>
                <w:rFonts w:ascii="Arial" w:hAnsi="Arial"/>
                <w:sz w:val="18"/>
              </w:rPr>
            </w:pPr>
            <w:r w:rsidRPr="00EE027F">
              <w:rPr>
                <w:rFonts w:ascii="Arial" w:hAnsi="Arial"/>
                <w:sz w:val="18"/>
              </w:rPr>
              <w:t>'0'</w:t>
            </w:r>
          </w:p>
        </w:tc>
        <w:tc>
          <w:tcPr>
            <w:tcW w:w="6790" w:type="dxa"/>
            <w:tcBorders>
              <w:top w:val="nil"/>
              <w:left w:val="single" w:sz="8" w:space="0" w:color="auto"/>
              <w:bottom w:val="single" w:sz="8" w:space="0" w:color="auto"/>
              <w:right w:val="single" w:sz="8" w:space="0" w:color="auto"/>
            </w:tcBorders>
            <w:vAlign w:val="center"/>
          </w:tcPr>
          <w:p w14:paraId="488C9BA0" w14:textId="77777777" w:rsidR="00C91011" w:rsidRPr="00EE027F" w:rsidRDefault="00C91011" w:rsidP="00B25F5D">
            <w:pPr>
              <w:keepNext/>
              <w:keepLines/>
              <w:spacing w:after="0"/>
              <w:jc w:val="center"/>
              <w:rPr>
                <w:rFonts w:ascii="Arial" w:hAnsi="Arial"/>
                <w:sz w:val="18"/>
              </w:rPr>
            </w:pPr>
            <w:r w:rsidRPr="00EE027F">
              <w:rPr>
                <w:rFonts w:ascii="Arial" w:hAnsi="Arial"/>
                <w:sz w:val="18"/>
              </w:rPr>
              <w:t>1</w:t>
            </w:r>
            <w:r w:rsidRPr="00EE027F">
              <w:rPr>
                <w:rFonts w:ascii="Arial" w:hAnsi="Arial"/>
                <w:sz w:val="18"/>
                <w:vertAlign w:val="superscript"/>
              </w:rPr>
              <w:t>st</w:t>
            </w:r>
            <w:r w:rsidRPr="00EE027F">
              <w:rPr>
                <w:rFonts w:ascii="Arial" w:hAnsi="Arial"/>
                <w:sz w:val="18"/>
              </w:rPr>
              <w:t xml:space="preserve"> offset index provided by higher layers</w:t>
            </w:r>
          </w:p>
        </w:tc>
      </w:tr>
      <w:tr w:rsidR="00C91011" w:rsidRPr="00EE027F" w14:paraId="26975BE7" w14:textId="77777777" w:rsidTr="00B25F5D">
        <w:trPr>
          <w:cantSplit/>
          <w:jc w:val="center"/>
        </w:trPr>
        <w:tc>
          <w:tcPr>
            <w:tcW w:w="0" w:type="auto"/>
            <w:tcBorders>
              <w:top w:val="nil"/>
              <w:left w:val="single" w:sz="8" w:space="0" w:color="auto"/>
              <w:bottom w:val="single" w:sz="8" w:space="0" w:color="auto"/>
              <w:right w:val="single" w:sz="8" w:space="0" w:color="auto"/>
            </w:tcBorders>
            <w:vAlign w:val="center"/>
          </w:tcPr>
          <w:p w14:paraId="569707F9" w14:textId="77777777" w:rsidR="00C91011" w:rsidRPr="00EE027F" w:rsidRDefault="00C91011" w:rsidP="00B25F5D">
            <w:pPr>
              <w:keepNext/>
              <w:keepLines/>
              <w:spacing w:after="0"/>
              <w:jc w:val="center"/>
              <w:rPr>
                <w:rFonts w:ascii="Arial" w:hAnsi="Arial"/>
                <w:sz w:val="18"/>
              </w:rPr>
            </w:pPr>
            <w:r w:rsidRPr="00EE027F">
              <w:rPr>
                <w:rFonts w:ascii="Arial" w:hAnsi="Arial"/>
                <w:sz w:val="18"/>
              </w:rPr>
              <w:t>'1'</w:t>
            </w:r>
          </w:p>
        </w:tc>
        <w:tc>
          <w:tcPr>
            <w:tcW w:w="6790" w:type="dxa"/>
            <w:tcBorders>
              <w:top w:val="nil"/>
              <w:left w:val="single" w:sz="8" w:space="0" w:color="auto"/>
              <w:bottom w:val="single" w:sz="8" w:space="0" w:color="auto"/>
              <w:right w:val="single" w:sz="8" w:space="0" w:color="auto"/>
            </w:tcBorders>
            <w:vAlign w:val="center"/>
          </w:tcPr>
          <w:p w14:paraId="7B19C494" w14:textId="77777777" w:rsidR="00C91011" w:rsidRPr="00EE027F" w:rsidRDefault="00C91011" w:rsidP="00B25F5D">
            <w:pPr>
              <w:keepNext/>
              <w:keepLines/>
              <w:spacing w:after="0"/>
              <w:jc w:val="center"/>
              <w:rPr>
                <w:rFonts w:ascii="Arial" w:hAnsi="Arial"/>
                <w:sz w:val="18"/>
              </w:rPr>
            </w:pPr>
            <w:r w:rsidRPr="00EE027F">
              <w:rPr>
                <w:rFonts w:ascii="Arial" w:hAnsi="Arial"/>
                <w:sz w:val="18"/>
              </w:rPr>
              <w:t>2</w:t>
            </w:r>
            <w:r w:rsidRPr="00EE027F">
              <w:rPr>
                <w:rFonts w:ascii="Arial" w:hAnsi="Arial"/>
                <w:sz w:val="18"/>
                <w:vertAlign w:val="superscript"/>
              </w:rPr>
              <w:t>nd</w:t>
            </w:r>
            <w:r w:rsidRPr="00EE027F">
              <w:rPr>
                <w:rFonts w:ascii="Arial" w:hAnsi="Arial"/>
                <w:sz w:val="18"/>
              </w:rPr>
              <w:t xml:space="preserve"> offset index provided by higher layers</w:t>
            </w:r>
          </w:p>
        </w:tc>
      </w:tr>
    </w:tbl>
    <w:p w14:paraId="0781BC9E" w14:textId="77777777" w:rsidR="00F37E87" w:rsidRDefault="00F37E87" w:rsidP="00E36011"/>
    <w:p w14:paraId="5C45F37A" w14:textId="77777777" w:rsidR="00190DD5" w:rsidRPr="00B916EC" w:rsidRDefault="00190DD5" w:rsidP="00190DD5">
      <w:pPr>
        <w:pStyle w:val="Heading3"/>
      </w:pPr>
      <w:bookmarkStart w:id="637" w:name="_Toc137056387"/>
      <w:bookmarkStart w:id="638" w:name="_Toc161999141"/>
      <w:r w:rsidRPr="00B916EC">
        <w:t>9.</w:t>
      </w:r>
      <w:r>
        <w:t>3</w:t>
      </w:r>
      <w:r w:rsidRPr="00B916EC">
        <w:t>.1</w:t>
      </w:r>
      <w:r w:rsidRPr="00B916EC">
        <w:tab/>
      </w:r>
      <w:r>
        <w:t>UE procedure for reporting</w:t>
      </w:r>
      <w:r w:rsidRPr="00B916EC">
        <w:t xml:space="preserve"> </w:t>
      </w:r>
      <w:bookmarkEnd w:id="637"/>
      <w:r>
        <w:t>UTO-UCI</w:t>
      </w:r>
      <w:bookmarkEnd w:id="638"/>
    </w:p>
    <w:p w14:paraId="7D16A9A5" w14:textId="34DA01F9" w:rsidR="00190DD5" w:rsidRDefault="00190DD5" w:rsidP="00190DD5">
      <w:r>
        <w:t xml:space="preserve">If the UE is provided </w:t>
      </w:r>
      <w:r w:rsidR="00925C2C" w:rsidRPr="00F2295B">
        <w:rPr>
          <w:i/>
          <w:iCs/>
        </w:rPr>
        <w:t>nrofBitsInUTO-UCI</w:t>
      </w:r>
      <w:r>
        <w:t xml:space="preserve"> with value equal to </w:t>
      </w:r>
      <m:oMath>
        <m:sSup>
          <m:sSupPr>
            <m:ctrlPr>
              <w:rPr>
                <w:rFonts w:ascii="Cambria Math" w:hAnsi="Cambria Math"/>
              </w:rPr>
            </m:ctrlPr>
          </m:sSupPr>
          <m:e>
            <m:r>
              <w:rPr>
                <w:rFonts w:ascii="Cambria Math" w:hAnsi="Cambria Math"/>
                <w:lang w:eastAsia="zh-CN"/>
              </w:rPr>
              <m:t>O</m:t>
            </m:r>
          </m:e>
          <m:sup>
            <m:r>
              <w:rPr>
                <w:rFonts w:ascii="Cambria Math" w:hAnsi="Cambria Math"/>
                <w:lang w:eastAsia="zh-CN"/>
              </w:rPr>
              <m:t>UTO</m:t>
            </m:r>
            <m:r>
              <m:rPr>
                <m:sty m:val="p"/>
              </m:rPr>
              <w:rPr>
                <w:rFonts w:ascii="Cambria Math" w:hAnsi="Cambria Math"/>
                <w:lang w:eastAsia="zh-CN"/>
              </w:rPr>
              <m:t>-</m:t>
            </m:r>
            <m:r>
              <w:rPr>
                <w:rFonts w:ascii="Cambria Math" w:hAnsi="Cambria Math"/>
                <w:lang w:eastAsia="zh-CN"/>
              </w:rPr>
              <m:t>UCI</m:t>
            </m:r>
          </m:sup>
        </m:sSup>
      </m:oMath>
      <w:r w:rsidRPr="00FA0758">
        <w:t xml:space="preserve"> </w:t>
      </w:r>
      <w:r>
        <w:t xml:space="preserve">in </w:t>
      </w:r>
      <w:r w:rsidRPr="005E3F46">
        <w:rPr>
          <w:i/>
          <w:iCs/>
        </w:rPr>
        <w:t>configuredGrantConfig</w:t>
      </w:r>
      <w:r w:rsidRPr="00FA0758">
        <w:t xml:space="preserve"> </w:t>
      </w:r>
      <w:r>
        <w:t xml:space="preserve">of a CG-PUSCH configuration, the UE multiplexes UTO-UCI represented by a bitmap of </w:t>
      </w:r>
      <m:oMath>
        <m:sSup>
          <m:sSupPr>
            <m:ctrlPr>
              <w:rPr>
                <w:rFonts w:ascii="Cambria Math" w:hAnsi="Cambria Math"/>
              </w:rPr>
            </m:ctrlPr>
          </m:sSupPr>
          <m:e>
            <m:r>
              <w:rPr>
                <w:rFonts w:ascii="Cambria Math" w:hAnsi="Cambria Math"/>
                <w:lang w:eastAsia="zh-CN"/>
              </w:rPr>
              <m:t>O</m:t>
            </m:r>
          </m:e>
          <m:sup>
            <m:r>
              <w:rPr>
                <w:rFonts w:ascii="Cambria Math" w:hAnsi="Cambria Math"/>
                <w:lang w:eastAsia="zh-CN"/>
              </w:rPr>
              <m:t>UTO</m:t>
            </m:r>
            <m:r>
              <m:rPr>
                <m:sty m:val="p"/>
              </m:rPr>
              <w:rPr>
                <w:rFonts w:ascii="Cambria Math" w:hAnsi="Cambria Math"/>
                <w:lang w:eastAsia="zh-CN"/>
              </w:rPr>
              <m:t>-</m:t>
            </m:r>
            <m:r>
              <w:rPr>
                <w:rFonts w:ascii="Cambria Math" w:hAnsi="Cambria Math"/>
                <w:lang w:eastAsia="zh-CN"/>
              </w:rPr>
              <m:t>UCI</m:t>
            </m:r>
          </m:sup>
        </m:sSup>
      </m:oMath>
      <w:r>
        <w:t xml:space="preserve"> bits in each CG-PUSCH transmission for the CG-PUSCH configuration. The </w:t>
      </w:r>
      <m:oMath>
        <m:sSup>
          <m:sSupPr>
            <m:ctrlPr>
              <w:rPr>
                <w:rFonts w:ascii="Cambria Math" w:hAnsi="Cambria Math"/>
              </w:rPr>
            </m:ctrlPr>
          </m:sSupPr>
          <m:e>
            <m:r>
              <w:rPr>
                <w:rFonts w:ascii="Cambria Math" w:hAnsi="Cambria Math"/>
                <w:lang w:eastAsia="zh-CN"/>
              </w:rPr>
              <m:t>O</m:t>
            </m:r>
          </m:e>
          <m:sup>
            <m:r>
              <w:rPr>
                <w:rFonts w:ascii="Cambria Math" w:hAnsi="Cambria Math"/>
                <w:lang w:eastAsia="zh-CN"/>
              </w:rPr>
              <m:t>UTO</m:t>
            </m:r>
            <m:r>
              <m:rPr>
                <m:sty m:val="p"/>
              </m:rPr>
              <w:rPr>
                <w:rFonts w:ascii="Cambria Math" w:hAnsi="Cambria Math"/>
                <w:lang w:eastAsia="zh-CN"/>
              </w:rPr>
              <m:t>-</m:t>
            </m:r>
            <m:r>
              <w:rPr>
                <w:rFonts w:ascii="Cambria Math" w:hAnsi="Cambria Math"/>
                <w:lang w:eastAsia="zh-CN"/>
              </w:rPr>
              <m:t>UCI</m:t>
            </m:r>
          </m:sup>
        </m:sSup>
      </m:oMath>
      <w:r>
        <w:t xml:space="preserve"> bits of UTO-UCI, </w:t>
      </w:r>
      <m:oMath>
        <m:sSubSup>
          <m:sSubSupPr>
            <m:ctrlPr>
              <w:rPr>
                <w:rFonts w:ascii="Cambria Math" w:hAnsi="Cambria Math"/>
              </w:rPr>
            </m:ctrlPr>
          </m:sSubSupPr>
          <m:e>
            <m:acc>
              <m:accPr>
                <m:chr m:val="̃"/>
                <m:ctrlPr>
                  <w:rPr>
                    <w:rFonts w:ascii="Cambria Math" w:hAnsi="Cambria Math"/>
                  </w:rPr>
                </m:ctrlPr>
              </m:accPr>
              <m:e>
                <m:r>
                  <w:rPr>
                    <w:rFonts w:ascii="Cambria Math" w:hAnsi="Cambria Math"/>
                    <w:lang w:eastAsia="zh-CN"/>
                  </w:rPr>
                  <m:t>o</m:t>
                </m:r>
              </m:e>
            </m:acc>
          </m:e>
          <m:sub>
            <m:r>
              <m:rPr>
                <m:sty m:val="p"/>
              </m:rPr>
              <w:rPr>
                <w:rFonts w:ascii="Cambria Math" w:hAnsi="Cambria Math"/>
                <w:lang w:eastAsia="zh-CN"/>
              </w:rPr>
              <m:t>0</m:t>
            </m:r>
          </m:sub>
          <m:sup>
            <m:r>
              <w:rPr>
                <w:rFonts w:ascii="Cambria Math" w:hAnsi="Cambria Math"/>
                <w:lang w:eastAsia="zh-CN"/>
              </w:rPr>
              <m:t>UTO</m:t>
            </m:r>
            <m:r>
              <m:rPr>
                <m:sty m:val="p"/>
              </m:rPr>
              <w:rPr>
                <w:rFonts w:ascii="Cambria Math" w:hAnsi="Cambria Math"/>
                <w:lang w:eastAsia="zh-CN"/>
              </w:rPr>
              <m:t>-</m:t>
            </m:r>
            <m:r>
              <w:rPr>
                <w:rFonts w:ascii="Cambria Math" w:hAnsi="Cambria Math"/>
                <w:lang w:eastAsia="zh-CN"/>
              </w:rPr>
              <m:t>UCI</m:t>
            </m:r>
          </m:sup>
        </m:sSubSup>
        <m:r>
          <m:rPr>
            <m:sty m:val="p"/>
          </m:rPr>
          <w:rPr>
            <w:rFonts w:ascii="Cambria Math" w:hAnsi="Cambria Math"/>
            <w:lang w:eastAsia="zh-CN"/>
          </w:rPr>
          <m:t xml:space="preserve">, </m:t>
        </m:r>
        <m:sSubSup>
          <m:sSubSupPr>
            <m:ctrlPr>
              <w:rPr>
                <w:rFonts w:ascii="Cambria Math" w:hAnsi="Cambria Math"/>
              </w:rPr>
            </m:ctrlPr>
          </m:sSubSupPr>
          <m:e>
            <m:acc>
              <m:accPr>
                <m:chr m:val="̃"/>
                <m:ctrlPr>
                  <w:rPr>
                    <w:rFonts w:ascii="Cambria Math" w:hAnsi="Cambria Math"/>
                  </w:rPr>
                </m:ctrlPr>
              </m:accPr>
              <m:e>
                <m:r>
                  <w:rPr>
                    <w:rFonts w:ascii="Cambria Math" w:hAnsi="Cambria Math"/>
                    <w:lang w:eastAsia="zh-CN"/>
                  </w:rPr>
                  <m:t>o</m:t>
                </m:r>
              </m:e>
            </m:acc>
          </m:e>
          <m:sub>
            <m:r>
              <m:rPr>
                <m:sty m:val="p"/>
              </m:rPr>
              <w:rPr>
                <w:rFonts w:ascii="Cambria Math" w:hAnsi="Cambria Math"/>
                <w:lang w:eastAsia="zh-CN"/>
              </w:rPr>
              <m:t>1</m:t>
            </m:r>
          </m:sub>
          <m:sup>
            <m:r>
              <w:rPr>
                <w:rFonts w:ascii="Cambria Math" w:hAnsi="Cambria Math"/>
                <w:lang w:eastAsia="zh-CN"/>
              </w:rPr>
              <m:t>UTO</m:t>
            </m:r>
            <m:r>
              <m:rPr>
                <m:sty m:val="p"/>
              </m:rPr>
              <w:rPr>
                <w:rFonts w:ascii="Cambria Math" w:hAnsi="Cambria Math"/>
                <w:lang w:eastAsia="zh-CN"/>
              </w:rPr>
              <m:t>-</m:t>
            </m:r>
            <m:r>
              <w:rPr>
                <w:rFonts w:ascii="Cambria Math" w:hAnsi="Cambria Math"/>
                <w:lang w:eastAsia="zh-CN"/>
              </w:rPr>
              <m:t>UCI</m:t>
            </m:r>
          </m:sup>
        </m:sSubSup>
        <m:r>
          <m:rPr>
            <m:sty m:val="p"/>
          </m:rPr>
          <w:rPr>
            <w:rFonts w:ascii="Cambria Math" w:hAnsi="Cambria Math"/>
            <w:lang w:eastAsia="zh-CN"/>
          </w:rPr>
          <m:t xml:space="preserve">, …, </m:t>
        </m:r>
        <m:sSubSup>
          <m:sSubSupPr>
            <m:ctrlPr>
              <w:rPr>
                <w:rFonts w:ascii="Cambria Math" w:hAnsi="Cambria Math"/>
              </w:rPr>
            </m:ctrlPr>
          </m:sSubSupPr>
          <m:e>
            <m:acc>
              <m:accPr>
                <m:chr m:val="̃"/>
                <m:ctrlPr>
                  <w:rPr>
                    <w:rFonts w:ascii="Cambria Math" w:hAnsi="Cambria Math"/>
                  </w:rPr>
                </m:ctrlPr>
              </m:accPr>
              <m:e>
                <m:r>
                  <w:rPr>
                    <w:rFonts w:ascii="Cambria Math" w:hAnsi="Cambria Math"/>
                    <w:lang w:eastAsia="zh-CN"/>
                  </w:rPr>
                  <m:t>o</m:t>
                </m:r>
              </m:e>
            </m:acc>
          </m:e>
          <m:sub>
            <m:sSup>
              <m:sSupPr>
                <m:ctrlPr>
                  <w:rPr>
                    <w:rFonts w:ascii="Cambria Math" w:hAnsi="Cambria Math"/>
                  </w:rPr>
                </m:ctrlPr>
              </m:sSupPr>
              <m:e>
                <m:r>
                  <w:rPr>
                    <w:rFonts w:ascii="Cambria Math" w:hAnsi="Cambria Math"/>
                    <w:lang w:eastAsia="zh-CN"/>
                  </w:rPr>
                  <m:t>O</m:t>
                </m:r>
              </m:e>
              <m:sup>
                <m:r>
                  <w:rPr>
                    <w:rFonts w:ascii="Cambria Math" w:hAnsi="Cambria Math"/>
                    <w:lang w:eastAsia="zh-CN"/>
                  </w:rPr>
                  <m:t>UTO</m:t>
                </m:r>
                <m:r>
                  <m:rPr>
                    <m:sty m:val="p"/>
                  </m:rPr>
                  <w:rPr>
                    <w:rFonts w:ascii="Cambria Math" w:hAnsi="Cambria Math"/>
                    <w:lang w:eastAsia="zh-CN"/>
                  </w:rPr>
                  <m:t>-</m:t>
                </m:r>
                <m:r>
                  <w:rPr>
                    <w:rFonts w:ascii="Cambria Math" w:hAnsi="Cambria Math"/>
                    <w:lang w:eastAsia="zh-CN"/>
                  </w:rPr>
                  <m:t>UCI</m:t>
                </m:r>
              </m:sup>
            </m:sSup>
            <m:r>
              <m:rPr>
                <m:sty m:val="p"/>
              </m:rPr>
              <w:rPr>
                <w:rFonts w:ascii="Cambria Math" w:hAnsi="Cambria Math"/>
                <w:lang w:eastAsia="zh-CN"/>
              </w:rPr>
              <m:t>-1</m:t>
            </m:r>
          </m:sub>
          <m:sup>
            <m:r>
              <w:rPr>
                <w:rFonts w:ascii="Cambria Math" w:hAnsi="Cambria Math"/>
                <w:lang w:eastAsia="zh-CN"/>
              </w:rPr>
              <m:t>UTO</m:t>
            </m:r>
            <m:r>
              <m:rPr>
                <m:sty m:val="p"/>
              </m:rPr>
              <w:rPr>
                <w:rFonts w:ascii="Cambria Math" w:hAnsi="Cambria Math"/>
                <w:lang w:eastAsia="zh-CN"/>
              </w:rPr>
              <m:t>-</m:t>
            </m:r>
            <m:r>
              <w:rPr>
                <w:rFonts w:ascii="Cambria Math" w:hAnsi="Cambria Math"/>
                <w:lang w:eastAsia="zh-CN"/>
              </w:rPr>
              <m:t>UCI</m:t>
            </m:r>
          </m:sup>
        </m:sSubSup>
      </m:oMath>
      <w:r>
        <w:t xml:space="preserve">, have a one-to-one mapping to </w:t>
      </w:r>
      <m:oMath>
        <m:sSup>
          <m:sSupPr>
            <m:ctrlPr>
              <w:rPr>
                <w:rFonts w:ascii="Cambria Math" w:hAnsi="Cambria Math"/>
              </w:rPr>
            </m:ctrlPr>
          </m:sSupPr>
          <m:e>
            <m:r>
              <w:rPr>
                <w:rFonts w:ascii="Cambria Math" w:hAnsi="Cambria Math"/>
                <w:lang w:eastAsia="zh-CN"/>
              </w:rPr>
              <m:t>O</m:t>
            </m:r>
          </m:e>
          <m:sup>
            <m:r>
              <w:rPr>
                <w:rFonts w:ascii="Cambria Math" w:hAnsi="Cambria Math"/>
                <w:lang w:eastAsia="zh-CN"/>
              </w:rPr>
              <m:t>UTO</m:t>
            </m:r>
            <m:r>
              <m:rPr>
                <m:sty m:val="p"/>
              </m:rPr>
              <w:rPr>
                <w:rFonts w:ascii="Cambria Math" w:hAnsi="Cambria Math"/>
                <w:lang w:eastAsia="zh-CN"/>
              </w:rPr>
              <m:t>-</m:t>
            </m:r>
            <m:r>
              <w:rPr>
                <w:rFonts w:ascii="Cambria Math" w:hAnsi="Cambria Math"/>
                <w:lang w:eastAsia="zh-CN"/>
              </w:rPr>
              <m:t>UCI</m:t>
            </m:r>
          </m:sup>
        </m:sSup>
      </m:oMath>
      <w:r>
        <w:t xml:space="preserve"> subsequent CG-PUSCH TOs </w:t>
      </w:r>
      <w:r w:rsidR="00925C2C">
        <w:t xml:space="preserve">of the CG-PUSCH configuration </w:t>
      </w:r>
      <w:r>
        <w:t xml:space="preserve">in ascending order of start time. For unpaired spectrum operation, the </w:t>
      </w:r>
      <m:oMath>
        <m:sSup>
          <m:sSupPr>
            <m:ctrlPr>
              <w:rPr>
                <w:rFonts w:ascii="Cambria Math" w:hAnsi="Cambria Math"/>
              </w:rPr>
            </m:ctrlPr>
          </m:sSupPr>
          <m:e>
            <m:r>
              <w:rPr>
                <w:rFonts w:ascii="Cambria Math" w:hAnsi="Cambria Math"/>
                <w:lang w:eastAsia="zh-CN"/>
              </w:rPr>
              <m:t>O</m:t>
            </m:r>
          </m:e>
          <m:sup>
            <m:r>
              <w:rPr>
                <w:rFonts w:ascii="Cambria Math" w:hAnsi="Cambria Math"/>
                <w:lang w:eastAsia="zh-CN"/>
              </w:rPr>
              <m:t>UTO</m:t>
            </m:r>
            <m:r>
              <m:rPr>
                <m:sty m:val="p"/>
              </m:rPr>
              <w:rPr>
                <w:rFonts w:ascii="Cambria Math" w:hAnsi="Cambria Math"/>
                <w:lang w:eastAsia="zh-CN"/>
              </w:rPr>
              <m:t>-</m:t>
            </m:r>
            <m:r>
              <w:rPr>
                <w:rFonts w:ascii="Cambria Math" w:hAnsi="Cambria Math"/>
                <w:lang w:eastAsia="zh-CN"/>
              </w:rPr>
              <m:t>UCI</m:t>
            </m:r>
          </m:sup>
        </m:sSup>
      </m:oMath>
      <w:r>
        <w:t xml:space="preserve"> subsequent CG-PUSCH TOs exclude invalid ones where a UE does not transmit a PUSCH </w:t>
      </w:r>
      <w:r w:rsidR="004F1F38" w:rsidRPr="0058363D">
        <w:t>due to collision of the PUSCH with DL symbol</w:t>
      </w:r>
      <w:r w:rsidR="004F1F38">
        <w:t>(s)</w:t>
      </w:r>
      <w:r w:rsidR="004F1F38" w:rsidRPr="0058363D">
        <w:t xml:space="preserve"> indicated by </w:t>
      </w:r>
      <w:r w:rsidR="004F1F38" w:rsidRPr="0058363D">
        <w:rPr>
          <w:i/>
        </w:rPr>
        <w:t>tdd-UL-DL-ConfigurationCommon</w:t>
      </w:r>
      <w:r w:rsidR="004F1F38" w:rsidRPr="0058363D">
        <w:t xml:space="preserve"> or </w:t>
      </w:r>
      <w:r w:rsidR="004F1F38" w:rsidRPr="0058363D">
        <w:rPr>
          <w:i/>
        </w:rPr>
        <w:t>tdd-UL-DL-ConfigurationDedicated</w:t>
      </w:r>
      <w:r w:rsidR="004F1F38" w:rsidRPr="0058363D">
        <w:t xml:space="preserve"> if provided, or </w:t>
      </w:r>
      <w:r w:rsidR="004F1F38">
        <w:t xml:space="preserve">with </w:t>
      </w:r>
      <w:r w:rsidR="004F1F38" w:rsidRPr="0058363D">
        <w:t xml:space="preserve">symbol(s) of an SS/PBCH block with index provided by </w:t>
      </w:r>
      <w:r w:rsidR="004F1F38" w:rsidRPr="0058363D">
        <w:rPr>
          <w:i/>
        </w:rPr>
        <w:t>ssb-PositionsInBurst</w:t>
      </w:r>
      <w:r w:rsidR="004F1F38" w:rsidRPr="00FD56D2">
        <w:t>,</w:t>
      </w:r>
      <w:r w:rsidR="004F1F38" w:rsidRPr="0058363D">
        <w:rPr>
          <w:u w:val="single"/>
        </w:rPr>
        <w:t xml:space="preserve"> </w:t>
      </w:r>
      <w:r>
        <w:t xml:space="preserve">based on the procedures in Clause 11.1. A bit value of </w:t>
      </w:r>
      <w:r w:rsidR="002D5F43">
        <w:t>'</w:t>
      </w:r>
      <w:r>
        <w:t>0</w:t>
      </w:r>
      <w:r w:rsidR="002D5F43">
        <w:t>'</w:t>
      </w:r>
      <w:r>
        <w:t xml:space="preserve"> indicates that the UE may transmit CG-PUSCH, and a bit value of </w:t>
      </w:r>
      <w:r w:rsidR="002D5F43">
        <w:t>'</w:t>
      </w:r>
      <w:r>
        <w:t>1</w:t>
      </w:r>
      <w:r w:rsidR="002D5F43">
        <w:t>'</w:t>
      </w:r>
      <w:r>
        <w:t xml:space="preserve"> indicates that the UE will not transmit CG-PUSCH, in a corresponding CG-PUSCH TO. When the UE indicates by UTO-UCI a value of </w:t>
      </w:r>
      <w:r w:rsidR="002D5F43">
        <w:t>'</w:t>
      </w:r>
      <w:r>
        <w:t>1</w:t>
      </w:r>
      <w:r w:rsidR="002D5F43">
        <w:t>'</w:t>
      </w:r>
      <w:r>
        <w:t xml:space="preserve"> for a CG-PUSCH TO, the UE continues to indicate the value of </w:t>
      </w:r>
      <w:r w:rsidR="002D5F43">
        <w:t>'</w:t>
      </w:r>
      <w:r>
        <w:t>1</w:t>
      </w:r>
      <w:r w:rsidR="002D5F43">
        <w:t>'</w:t>
      </w:r>
      <w:r>
        <w:t xml:space="preserve"> for the CG-PUSCH TO by UTO-UCI multiplexed in subsequent CG-PUSCH transmissions, and the UE does not transmit CG-PUSCH in the CG-PUSCH TO.</w:t>
      </w:r>
    </w:p>
    <w:p w14:paraId="7D168B89" w14:textId="77777777" w:rsidR="00190DD5" w:rsidRPr="00B916EC" w:rsidRDefault="00190DD5" w:rsidP="00E36011"/>
    <w:p w14:paraId="172DB0C6" w14:textId="77777777" w:rsidR="006F2814" w:rsidRPr="00B916EC" w:rsidRDefault="00FC73F9" w:rsidP="006F2814">
      <w:pPr>
        <w:pStyle w:val="Heading1"/>
        <w:tabs>
          <w:tab w:val="left" w:pos="1134"/>
        </w:tabs>
      </w:pPr>
      <w:bookmarkStart w:id="639" w:name="_Toc12021485"/>
      <w:bookmarkStart w:id="640" w:name="_Toc20311597"/>
      <w:bookmarkStart w:id="641" w:name="_Toc26719422"/>
      <w:bookmarkStart w:id="642" w:name="_Toc29894857"/>
      <w:bookmarkStart w:id="643" w:name="_Toc29899156"/>
      <w:bookmarkStart w:id="644" w:name="_Toc29899574"/>
      <w:bookmarkStart w:id="645" w:name="_Toc29917311"/>
      <w:bookmarkStart w:id="646" w:name="_Toc36498185"/>
      <w:bookmarkStart w:id="647" w:name="_Toc45699212"/>
      <w:bookmarkStart w:id="648" w:name="_Toc161999142"/>
      <w:r w:rsidRPr="00B916EC">
        <w:t>10</w:t>
      </w:r>
      <w:r w:rsidR="006F2814" w:rsidRPr="00B916EC">
        <w:rPr>
          <w:rFonts w:hint="eastAsia"/>
        </w:rPr>
        <w:tab/>
      </w:r>
      <w:r w:rsidR="00AB23A2" w:rsidRPr="00B916EC">
        <w:t>UE procedure for receiving</w:t>
      </w:r>
      <w:r w:rsidR="00981C76" w:rsidRPr="00B916EC">
        <w:t xml:space="preserve"> control </w:t>
      </w:r>
      <w:r w:rsidR="00AB23A2" w:rsidRPr="00B916EC">
        <w:t>information</w:t>
      </w:r>
      <w:bookmarkEnd w:id="639"/>
      <w:bookmarkEnd w:id="640"/>
      <w:bookmarkEnd w:id="641"/>
      <w:bookmarkEnd w:id="642"/>
      <w:bookmarkEnd w:id="643"/>
      <w:bookmarkEnd w:id="644"/>
      <w:bookmarkEnd w:id="645"/>
      <w:bookmarkEnd w:id="646"/>
      <w:bookmarkEnd w:id="647"/>
      <w:bookmarkEnd w:id="648"/>
    </w:p>
    <w:p w14:paraId="4EE35852" w14:textId="54A1C8FD" w:rsidR="00621303" w:rsidRPr="00B916EC" w:rsidRDefault="00621303" w:rsidP="00F57B51">
      <w:r w:rsidRPr="00B916EC">
        <w:t>If the UE is configured with a SCG, the UE shall apply the procedures described in this clause for both MCG and SCG</w:t>
      </w:r>
      <w:r w:rsidR="00F57B51">
        <w:t xml:space="preserve"> </w:t>
      </w:r>
      <w:r w:rsidR="00F57B51" w:rsidRPr="00D807A8">
        <w:rPr>
          <w:rFonts w:eastAsia="Yu Mincho"/>
        </w:rPr>
        <w:t>except for PDCCH monitoring in Type0/0A</w:t>
      </w:r>
      <w:r w:rsidR="00E83236">
        <w:rPr>
          <w:rFonts w:eastAsia="Yu Mincho"/>
        </w:rPr>
        <w:t>/0B</w:t>
      </w:r>
      <w:r w:rsidR="00F57B51" w:rsidRPr="00D807A8">
        <w:rPr>
          <w:rFonts w:eastAsia="Yu Mincho"/>
        </w:rPr>
        <w:t>/2</w:t>
      </w:r>
      <w:r w:rsidR="00012A94" w:rsidRPr="007B7CF1">
        <w:rPr>
          <w:rFonts w:eastAsia="Yu Mincho"/>
        </w:rPr>
        <w:t>/2A</w:t>
      </w:r>
      <w:r w:rsidR="00012A94" w:rsidRPr="00D807A8">
        <w:rPr>
          <w:rFonts w:eastAsia="Yu Mincho"/>
        </w:rPr>
        <w:t xml:space="preserve"> </w:t>
      </w:r>
      <w:r w:rsidR="00F57B51" w:rsidRPr="00D807A8">
        <w:rPr>
          <w:rFonts w:eastAsia="Yu Mincho"/>
        </w:rPr>
        <w:t xml:space="preserve">-PDCCH </w:t>
      </w:r>
      <w:r w:rsidR="00A54F7F">
        <w:rPr>
          <w:rFonts w:eastAsia="Yu Mincho"/>
        </w:rPr>
        <w:t>CSS set</w:t>
      </w:r>
      <w:r w:rsidR="00F57B51" w:rsidRPr="00D807A8">
        <w:rPr>
          <w:rFonts w:eastAsia="Yu Mincho"/>
        </w:rPr>
        <w:t>s where the UE is not required to apply the procedures in this clause for the SCG</w:t>
      </w:r>
    </w:p>
    <w:p w14:paraId="02C02B11" w14:textId="77777777" w:rsidR="00621303" w:rsidRPr="00B916EC" w:rsidRDefault="003C726F" w:rsidP="003C726F">
      <w:pPr>
        <w:pStyle w:val="B1"/>
      </w:pPr>
      <w:r>
        <w:t>-</w:t>
      </w:r>
      <w:r>
        <w:tab/>
      </w:r>
      <w:r w:rsidR="00621303" w:rsidRPr="00B916EC">
        <w:t xml:space="preserve">When the procedures are applied for MCG, the terms </w:t>
      </w:r>
      <w:r w:rsidR="002A01CD">
        <w:rPr>
          <w:lang w:val="en-US"/>
        </w:rPr>
        <w:t>'</w:t>
      </w:r>
      <w:r w:rsidR="00621303" w:rsidRPr="00B916EC">
        <w:rPr>
          <w:lang w:val="en-US"/>
        </w:rPr>
        <w:t>secondary cell</w:t>
      </w:r>
      <w:r w:rsidR="002A01CD">
        <w:rPr>
          <w:lang w:val="en-US"/>
        </w:rPr>
        <w:t>'</w:t>
      </w:r>
      <w:r w:rsidR="00621303" w:rsidRPr="00B916EC">
        <w:rPr>
          <w:lang w:val="en-US"/>
        </w:rPr>
        <w:t xml:space="preserve">, </w:t>
      </w:r>
      <w:r w:rsidR="002A01CD">
        <w:rPr>
          <w:lang w:val="en-US"/>
        </w:rPr>
        <w:t>'</w:t>
      </w:r>
      <w:r w:rsidR="00621303" w:rsidRPr="00B916EC">
        <w:rPr>
          <w:lang w:val="en-US"/>
        </w:rPr>
        <w:t>secondary cells</w:t>
      </w:r>
      <w:r w:rsidR="002A01CD">
        <w:rPr>
          <w:lang w:val="en-US"/>
        </w:rPr>
        <w:t>'</w:t>
      </w:r>
      <w:r w:rsidR="00621303" w:rsidRPr="00B916EC">
        <w:t xml:space="preserve"> </w:t>
      </w:r>
      <w:r w:rsidR="00621303" w:rsidRPr="00B916EC">
        <w:rPr>
          <w:lang w:val="en-US"/>
        </w:rPr>
        <w:t xml:space="preserve">, </w:t>
      </w:r>
      <w:r w:rsidR="002A01CD">
        <w:t>'</w:t>
      </w:r>
      <w:r w:rsidR="00621303" w:rsidRPr="00B916EC">
        <w:t>serving cell</w:t>
      </w:r>
      <w:r w:rsidR="002A01CD">
        <w:t>'</w:t>
      </w:r>
      <w:r w:rsidR="00621303" w:rsidRPr="00B916EC">
        <w:rPr>
          <w:lang w:val="en-US"/>
        </w:rPr>
        <w:t xml:space="preserve">, </w:t>
      </w:r>
      <w:r w:rsidR="002A01CD">
        <w:t>'</w:t>
      </w:r>
      <w:r w:rsidR="00621303" w:rsidRPr="00B916EC">
        <w:t>serving cells</w:t>
      </w:r>
      <w:r w:rsidR="002A01CD">
        <w:t>'</w:t>
      </w:r>
      <w:r w:rsidR="00621303" w:rsidRPr="00B916EC">
        <w:t xml:space="preserve"> in this clause refer to </w:t>
      </w:r>
      <w:r w:rsidR="00621303" w:rsidRPr="00B916EC">
        <w:rPr>
          <w:lang w:val="en-US"/>
        </w:rPr>
        <w:t xml:space="preserve">secondary cell, secondary cells, </w:t>
      </w:r>
      <w:r w:rsidR="00621303" w:rsidRPr="00B916EC">
        <w:t>serving cell</w:t>
      </w:r>
      <w:r w:rsidR="00621303" w:rsidRPr="00B916EC">
        <w:rPr>
          <w:lang w:val="en-US"/>
        </w:rPr>
        <w:t xml:space="preserve">, </w:t>
      </w:r>
      <w:r w:rsidR="00621303" w:rsidRPr="00B916EC">
        <w:t>serving cells belonging to the MCG</w:t>
      </w:r>
      <w:r w:rsidR="00621303" w:rsidRPr="00B916EC">
        <w:rPr>
          <w:lang w:val="en-US"/>
        </w:rPr>
        <w:t xml:space="preserve"> respectively</w:t>
      </w:r>
      <w:r w:rsidR="00621303" w:rsidRPr="00B916EC">
        <w:t>.</w:t>
      </w:r>
    </w:p>
    <w:p w14:paraId="2140E685" w14:textId="77777777" w:rsidR="00621303" w:rsidRPr="00B916EC" w:rsidRDefault="003C726F" w:rsidP="003C726F">
      <w:pPr>
        <w:pStyle w:val="B1"/>
      </w:pPr>
      <w:r>
        <w:t>-</w:t>
      </w:r>
      <w:r>
        <w:tab/>
      </w:r>
      <w:r w:rsidR="00621303" w:rsidRPr="00B916EC">
        <w:t xml:space="preserve">When the procedures are applied for SCG, the terms </w:t>
      </w:r>
      <w:r w:rsidR="002A01CD">
        <w:rPr>
          <w:lang w:val="en-US"/>
        </w:rPr>
        <w:t>'</w:t>
      </w:r>
      <w:r w:rsidR="00621303" w:rsidRPr="00B916EC">
        <w:rPr>
          <w:lang w:val="en-US"/>
        </w:rPr>
        <w:t>secondary cell</w:t>
      </w:r>
      <w:r w:rsidR="002A01CD">
        <w:rPr>
          <w:lang w:val="en-US"/>
        </w:rPr>
        <w:t>'</w:t>
      </w:r>
      <w:r w:rsidR="00621303" w:rsidRPr="00B916EC">
        <w:rPr>
          <w:lang w:val="en-US"/>
        </w:rPr>
        <w:t xml:space="preserve">, </w:t>
      </w:r>
      <w:r w:rsidR="002A01CD">
        <w:rPr>
          <w:lang w:val="en-US"/>
        </w:rPr>
        <w:t>'</w:t>
      </w:r>
      <w:r w:rsidR="00621303" w:rsidRPr="00B916EC">
        <w:rPr>
          <w:lang w:val="en-US"/>
        </w:rPr>
        <w:t>secondary cells</w:t>
      </w:r>
      <w:r w:rsidR="002A01CD">
        <w:rPr>
          <w:lang w:val="en-US"/>
        </w:rPr>
        <w:t>'</w:t>
      </w:r>
      <w:r w:rsidR="00621303" w:rsidRPr="00B916EC">
        <w:rPr>
          <w:lang w:val="en-US"/>
        </w:rPr>
        <w:t>,</w:t>
      </w:r>
      <w:r w:rsidR="00621303" w:rsidRPr="00B916EC">
        <w:t xml:space="preserve"> </w:t>
      </w:r>
      <w:r w:rsidR="002A01CD">
        <w:t>'</w:t>
      </w:r>
      <w:r w:rsidR="00621303" w:rsidRPr="00B916EC">
        <w:t>serving cell</w:t>
      </w:r>
      <w:r w:rsidR="002A01CD">
        <w:t>'</w:t>
      </w:r>
      <w:r w:rsidR="00621303" w:rsidRPr="00B916EC">
        <w:rPr>
          <w:lang w:val="en-US"/>
        </w:rPr>
        <w:t xml:space="preserve">, </w:t>
      </w:r>
      <w:r w:rsidR="002A01CD">
        <w:t>'</w:t>
      </w:r>
      <w:r w:rsidR="00621303" w:rsidRPr="00B916EC">
        <w:t>serving cells</w:t>
      </w:r>
      <w:r w:rsidR="002A01CD">
        <w:t>'</w:t>
      </w:r>
      <w:r w:rsidR="00621303" w:rsidRPr="00B916EC">
        <w:t xml:space="preserve"> in this clause refer to </w:t>
      </w:r>
      <w:r w:rsidR="00621303" w:rsidRPr="00B916EC">
        <w:rPr>
          <w:lang w:val="en-US"/>
        </w:rPr>
        <w:t xml:space="preserve">secondary cell, secondary cells (not including PSCell), </w:t>
      </w:r>
      <w:r w:rsidR="00621303" w:rsidRPr="00B916EC">
        <w:t>serving cell</w:t>
      </w:r>
      <w:r w:rsidR="00621303" w:rsidRPr="00B916EC">
        <w:rPr>
          <w:lang w:val="en-US"/>
        </w:rPr>
        <w:t xml:space="preserve">, </w:t>
      </w:r>
      <w:r w:rsidR="00621303" w:rsidRPr="00B916EC">
        <w:t>serving cells belonging to the SCG</w:t>
      </w:r>
      <w:r w:rsidR="00621303" w:rsidRPr="00B916EC">
        <w:rPr>
          <w:lang w:val="en-US"/>
        </w:rPr>
        <w:t xml:space="preserve"> respectively</w:t>
      </w:r>
      <w:r w:rsidR="00621303" w:rsidRPr="00B916EC">
        <w:t xml:space="preserve">. The term </w:t>
      </w:r>
      <w:r w:rsidR="002A01CD">
        <w:t>'</w:t>
      </w:r>
      <w:r w:rsidR="00621303" w:rsidRPr="00B916EC">
        <w:t>primary cell</w:t>
      </w:r>
      <w:r w:rsidR="002A01CD">
        <w:t>'</w:t>
      </w:r>
      <w:r w:rsidR="00621303" w:rsidRPr="00B916EC">
        <w:t xml:space="preserve"> in this clause refers to the PSCell of the SCG.</w:t>
      </w:r>
    </w:p>
    <w:p w14:paraId="51D850C3" w14:textId="6D6DF2EE" w:rsidR="00621303" w:rsidRDefault="00621303" w:rsidP="00621303">
      <w:r w:rsidRPr="00B916EC">
        <w:t>A UE monitor</w:t>
      </w:r>
      <w:r w:rsidR="00F23D23">
        <w:t>s</w:t>
      </w:r>
      <w:r w:rsidRPr="00B916EC">
        <w:t xml:space="preserve"> a set of PDCCH candidates in one or more </w:t>
      </w:r>
      <w:r w:rsidR="00C76664">
        <w:t>CORESET</w:t>
      </w:r>
      <w:r w:rsidRPr="00B916EC">
        <w:t xml:space="preserve">s on </w:t>
      </w:r>
      <w:r w:rsidR="00A25560" w:rsidRPr="00B916EC">
        <w:t>the</w:t>
      </w:r>
      <w:r w:rsidRPr="00B916EC">
        <w:t xml:space="preserve"> activ</w:t>
      </w:r>
      <w:r w:rsidR="00D74FC0">
        <w:t>e</w:t>
      </w:r>
      <w:r w:rsidRPr="00B916EC">
        <w:t xml:space="preserve"> </w:t>
      </w:r>
      <w:r w:rsidR="00DE3F58" w:rsidRPr="00B916EC">
        <w:t xml:space="preserve">DL BWP on </w:t>
      </w:r>
      <w:r w:rsidR="00A25560" w:rsidRPr="00B916EC">
        <w:t>each</w:t>
      </w:r>
      <w:r w:rsidR="00DE3F58" w:rsidRPr="00B916EC">
        <w:t xml:space="preserve"> activated </w:t>
      </w:r>
      <w:r w:rsidRPr="00B916EC">
        <w:t>serving cell</w:t>
      </w:r>
      <w:r w:rsidR="00905607" w:rsidRPr="00905607">
        <w:t xml:space="preserve"> </w:t>
      </w:r>
      <w:r w:rsidR="00905607">
        <w:t>configured with PDCCH monitoring</w:t>
      </w:r>
      <w:r w:rsidRPr="00B916EC">
        <w:t xml:space="preserve"> according to corresponding search space</w:t>
      </w:r>
      <w:r w:rsidR="00905607">
        <w:t xml:space="preserve"> </w:t>
      </w:r>
      <w:r w:rsidRPr="00B916EC">
        <w:t>s</w:t>
      </w:r>
      <w:r w:rsidR="00905607">
        <w:t>ets</w:t>
      </w:r>
      <w:r w:rsidRPr="00B916EC">
        <w:t xml:space="preserve"> where monitoring implies </w:t>
      </w:r>
      <w:r w:rsidR="001C1D7C" w:rsidRPr="00F415B1">
        <w:t>receiving</w:t>
      </w:r>
      <w:r w:rsidRPr="00B916EC">
        <w:t xml:space="preserve"> each PDCCH candidate </w:t>
      </w:r>
      <w:r w:rsidR="001C1D7C" w:rsidRPr="00F415B1">
        <w:t xml:space="preserve">and decoding </w:t>
      </w:r>
      <w:r w:rsidRPr="00B916EC">
        <w:t>according to the monitored DCI formats.</w:t>
      </w:r>
    </w:p>
    <w:p w14:paraId="35853AFF" w14:textId="77777777" w:rsidR="001C1D7C" w:rsidRPr="00F415B1" w:rsidRDefault="001C1D7C" w:rsidP="001C1D7C">
      <w:pPr>
        <w:rPr>
          <w:lang w:eastAsia="ko-KR"/>
        </w:rPr>
      </w:pPr>
      <w:r w:rsidRPr="00F415B1">
        <w:rPr>
          <w:lang w:eastAsia="ko-KR"/>
        </w:rPr>
        <w:t>In the remaining of this clause, when a PDCCH reception by a UE includes two PDCCH candidates from corresponding search space sets, as described in clause 10.1</w:t>
      </w:r>
    </w:p>
    <w:p w14:paraId="5335149D" w14:textId="45AE1649" w:rsidR="001C1D7C" w:rsidRPr="00F415B1" w:rsidRDefault="001C1D7C" w:rsidP="001C1D7C">
      <w:pPr>
        <w:pStyle w:val="B1"/>
        <w:rPr>
          <w:rFonts w:cstheme="minorHAnsi"/>
        </w:rPr>
      </w:pPr>
      <w:r>
        <w:rPr>
          <w:lang w:eastAsia="ko-KR"/>
        </w:rPr>
        <w:lastRenderedPageBreak/>
        <w:t>-</w:t>
      </w:r>
      <w:r>
        <w:rPr>
          <w:lang w:eastAsia="ko-KR"/>
        </w:rPr>
        <w:tab/>
      </w:r>
      <w:r w:rsidRPr="00F415B1">
        <w:rPr>
          <w:lang w:eastAsia="ko-KR"/>
        </w:rPr>
        <w:t>a PDCCH monitoring occasion is the union of the PDCCH monitoring occasions for the two PDCCH candidates</w:t>
      </w:r>
    </w:p>
    <w:p w14:paraId="3664ABEB" w14:textId="58512E51" w:rsidR="001C1D7C" w:rsidRPr="005A07B6" w:rsidRDefault="001C1D7C" w:rsidP="00D42639">
      <w:pPr>
        <w:pStyle w:val="B1"/>
        <w:rPr>
          <w:rFonts w:cstheme="minorHAnsi"/>
        </w:rPr>
      </w:pPr>
      <w:r>
        <w:rPr>
          <w:lang w:eastAsia="ko-KR"/>
        </w:rPr>
        <w:t>-</w:t>
      </w:r>
      <w:r>
        <w:rPr>
          <w:lang w:eastAsia="ko-KR"/>
        </w:rPr>
        <w:tab/>
      </w:r>
      <w:r w:rsidRPr="00F415B1">
        <w:rPr>
          <w:lang w:eastAsia="ko-KR"/>
        </w:rPr>
        <w:t>the start of the PDCCH reception is the start of the earlier PDCCH candidate</w:t>
      </w:r>
    </w:p>
    <w:p w14:paraId="4F242AE4" w14:textId="1622963C" w:rsidR="001C1D7C" w:rsidRPr="005A07B6" w:rsidRDefault="001C1D7C" w:rsidP="00C8195E">
      <w:pPr>
        <w:pStyle w:val="B1"/>
        <w:rPr>
          <w:rFonts w:cstheme="minorHAnsi"/>
        </w:rPr>
      </w:pPr>
      <w:r>
        <w:rPr>
          <w:lang w:eastAsia="ko-KR"/>
        </w:rPr>
        <w:t>-</w:t>
      </w:r>
      <w:r>
        <w:rPr>
          <w:lang w:eastAsia="ko-KR"/>
        </w:rPr>
        <w:tab/>
      </w:r>
      <w:r w:rsidRPr="00F415B1">
        <w:rPr>
          <w:lang w:eastAsia="ko-KR"/>
        </w:rPr>
        <w:t>the end of the PDCCH reception is the end of the PDCCH candidate</w:t>
      </w:r>
      <w:r>
        <w:rPr>
          <w:lang w:eastAsia="ko-KR"/>
        </w:rPr>
        <w:t xml:space="preserve"> that ends later</w:t>
      </w:r>
    </w:p>
    <w:p w14:paraId="398E4279" w14:textId="6BE4EC8F" w:rsidR="001C1D7C" w:rsidRPr="00F415B1" w:rsidRDefault="001C1D7C" w:rsidP="00AF62F5">
      <w:pPr>
        <w:rPr>
          <w:lang w:eastAsia="ko-KR"/>
        </w:rPr>
      </w:pPr>
      <w:r w:rsidRPr="00F415B1">
        <w:rPr>
          <w:lang w:eastAsia="ko-KR"/>
        </w:rPr>
        <w:t xml:space="preserve">The PDCCH reception includes the two PDCCH candidates also when </w:t>
      </w:r>
      <w:r w:rsidRPr="00F415B1">
        <w:rPr>
          <w:lang w:eastAsia="zh-CN"/>
        </w:rPr>
        <w:t>the UE is not required to monitor one of the two PDCCH candidates as described in clauses 10</w:t>
      </w:r>
      <w:r w:rsidR="00FF6F03">
        <w:rPr>
          <w:iCs/>
          <w:lang w:eastAsia="zh-CN"/>
        </w:rPr>
        <w:t xml:space="preserve"> </w:t>
      </w:r>
      <w:r w:rsidR="00FF6F03" w:rsidRPr="001948BB">
        <w:rPr>
          <w:iCs/>
          <w:lang w:eastAsia="zh-CN"/>
        </w:rPr>
        <w:t>(except clause 10.4)</w:t>
      </w:r>
      <w:r w:rsidRPr="00F415B1">
        <w:rPr>
          <w:lang w:eastAsia="zh-CN"/>
        </w:rPr>
        <w:t>, 11.1, 11.1.1</w:t>
      </w:r>
      <w:r w:rsidR="00944556">
        <w:rPr>
          <w:rFonts w:hint="eastAsia"/>
          <w:lang w:eastAsia="zh-CN"/>
        </w:rPr>
        <w:t xml:space="preserve"> and 17.2</w:t>
      </w:r>
      <w:r w:rsidRPr="00F415B1">
        <w:rPr>
          <w:lang w:eastAsia="zh-CN"/>
        </w:rPr>
        <w:t xml:space="preserve">. </w:t>
      </w:r>
    </w:p>
    <w:p w14:paraId="3A0CB85C" w14:textId="63C0D1C0" w:rsidR="00D92D37" w:rsidRPr="007D5B32" w:rsidRDefault="00121FE4" w:rsidP="001C6B2D">
      <w:pPr>
        <w:rPr>
          <w:lang w:val="en-US"/>
        </w:rPr>
      </w:pPr>
      <w:r>
        <w:t xml:space="preserve">If a UE is provided </w:t>
      </w:r>
      <w:r>
        <w:rPr>
          <w:i/>
          <w:iCs/>
        </w:rPr>
        <w:t>monitoringCapabilityConfig</w:t>
      </w:r>
      <w:r>
        <w:t xml:space="preserve"> for a serving cell, the</w:t>
      </w:r>
      <w:r w:rsidR="00D92D37" w:rsidRPr="007D5B32">
        <w:rPr>
          <w:lang w:val="en-US"/>
        </w:rPr>
        <w:t xml:space="preserve"> UE obtains an indication to monitor PDCCH on </w:t>
      </w:r>
      <w:r w:rsidR="005B6D9C">
        <w:rPr>
          <w:lang w:val="en-US"/>
        </w:rPr>
        <w:t xml:space="preserve">the active DL BWP of </w:t>
      </w:r>
      <w:r w:rsidR="00D92D37" w:rsidRPr="007D5B32">
        <w:rPr>
          <w:lang w:val="en-US"/>
        </w:rPr>
        <w:t xml:space="preserve">the serving cell for a maximum number of PDCCH candidates and non-overlapping CCEs </w:t>
      </w:r>
    </w:p>
    <w:p w14:paraId="15097A37" w14:textId="38C11F75" w:rsidR="00D92D37" w:rsidRPr="007D5B32" w:rsidRDefault="00D92D37" w:rsidP="00D92D37">
      <w:pPr>
        <w:pStyle w:val="B1"/>
        <w:rPr>
          <w:lang w:val="en-US"/>
        </w:rPr>
      </w:pPr>
      <w:r w:rsidRPr="007D5B32">
        <w:t>-</w:t>
      </w:r>
      <w:r w:rsidRPr="007D5B32">
        <w:tab/>
      </w:r>
      <w:r w:rsidRPr="007D5B32">
        <w:rPr>
          <w:lang w:val="en-US"/>
        </w:rPr>
        <w:t xml:space="preserve">per slot, as in Tables 10.1-2 and 10.1-3, </w:t>
      </w:r>
      <w:r w:rsidRPr="007D5B32">
        <w:rPr>
          <w:szCs w:val="22"/>
        </w:rPr>
        <w:t xml:space="preserve">if </w:t>
      </w:r>
      <w:r w:rsidR="00847143">
        <w:rPr>
          <w:i/>
          <w:lang w:val="en-US"/>
        </w:rPr>
        <w:t>m</w:t>
      </w:r>
      <w:r w:rsidR="00847143" w:rsidRPr="007D5B32">
        <w:rPr>
          <w:i/>
          <w:lang w:val="en-US"/>
        </w:rPr>
        <w:t>onitoringCapabilityConfig</w:t>
      </w:r>
      <w:r w:rsidRPr="007D5B32">
        <w:rPr>
          <w:szCs w:val="22"/>
        </w:rPr>
        <w:t xml:space="preserve"> </w:t>
      </w:r>
      <w:r w:rsidRPr="007D5B32">
        <w:rPr>
          <w:szCs w:val="22"/>
          <w:lang w:val="en-US"/>
        </w:rPr>
        <w:t>=</w:t>
      </w:r>
      <w:r w:rsidRPr="007D5B32">
        <w:rPr>
          <w:szCs w:val="22"/>
        </w:rPr>
        <w:t xml:space="preserve"> </w:t>
      </w:r>
      <w:r w:rsidR="00847143">
        <w:rPr>
          <w:i/>
        </w:rPr>
        <w:t>r1</w:t>
      </w:r>
      <w:r w:rsidR="00847143">
        <w:rPr>
          <w:i/>
          <w:lang w:val="en-US"/>
        </w:rPr>
        <w:t>5</w:t>
      </w:r>
      <w:r w:rsidR="00847143">
        <w:rPr>
          <w:i/>
        </w:rPr>
        <w:t>monitoringcapability</w:t>
      </w:r>
      <w:r w:rsidRPr="007D5B32">
        <w:rPr>
          <w:szCs w:val="22"/>
          <w:lang w:val="en-US"/>
        </w:rPr>
        <w:t xml:space="preserve">, </w:t>
      </w:r>
      <w:r w:rsidRPr="007D5B32">
        <w:rPr>
          <w:lang w:val="en-US"/>
        </w:rPr>
        <w:t xml:space="preserve">or </w:t>
      </w:r>
    </w:p>
    <w:p w14:paraId="27A24CD3" w14:textId="4B4016C8" w:rsidR="00D92D37" w:rsidRPr="007D5B32" w:rsidRDefault="00D92D37" w:rsidP="00D92D37">
      <w:pPr>
        <w:pStyle w:val="B1"/>
        <w:rPr>
          <w:lang w:val="en-US"/>
        </w:rPr>
      </w:pPr>
      <w:r w:rsidRPr="007D5B32">
        <w:t>-</w:t>
      </w:r>
      <w:r w:rsidRPr="007D5B32">
        <w:tab/>
      </w:r>
      <w:r w:rsidRPr="007D5B32">
        <w:rPr>
          <w:lang w:val="en-US"/>
        </w:rPr>
        <w:t xml:space="preserve">per span, as in Tables 10.1-2A and 10.1-3A, </w:t>
      </w:r>
      <w:r w:rsidRPr="007D5B32">
        <w:rPr>
          <w:szCs w:val="22"/>
        </w:rPr>
        <w:t xml:space="preserve">if </w:t>
      </w:r>
      <w:r w:rsidR="00847143">
        <w:rPr>
          <w:i/>
          <w:lang w:val="en-US"/>
        </w:rPr>
        <w:t>m</w:t>
      </w:r>
      <w:r w:rsidR="00847143" w:rsidRPr="007D5B32">
        <w:rPr>
          <w:i/>
          <w:lang w:val="en-US"/>
        </w:rPr>
        <w:t>onitoringCapabilityConfig</w:t>
      </w:r>
      <w:r w:rsidRPr="007D5B32">
        <w:rPr>
          <w:szCs w:val="22"/>
        </w:rPr>
        <w:t xml:space="preserve"> </w:t>
      </w:r>
      <w:r w:rsidRPr="007D5B32">
        <w:rPr>
          <w:szCs w:val="22"/>
          <w:lang w:val="en-US"/>
        </w:rPr>
        <w:t>=</w:t>
      </w:r>
      <w:r w:rsidRPr="007D5B32">
        <w:rPr>
          <w:szCs w:val="22"/>
        </w:rPr>
        <w:t xml:space="preserve"> </w:t>
      </w:r>
      <w:r w:rsidR="00847143">
        <w:rPr>
          <w:i/>
        </w:rPr>
        <w:t>r16monitoringcapability</w:t>
      </w:r>
      <w:r w:rsidR="005B6D9C">
        <w:rPr>
          <w:iCs/>
          <w:lang w:val="en-US"/>
        </w:rPr>
        <w:t>, or</w:t>
      </w:r>
    </w:p>
    <w:p w14:paraId="3BFC66DC" w14:textId="02035292" w:rsidR="00893DC6" w:rsidRPr="00B27E56" w:rsidRDefault="00893DC6" w:rsidP="00893DC6">
      <w:pPr>
        <w:pStyle w:val="B1"/>
        <w:rPr>
          <w:lang w:val="en-US"/>
        </w:rPr>
      </w:pPr>
      <w:r w:rsidRPr="00B27E56">
        <w:t>-</w:t>
      </w:r>
      <w:r w:rsidRPr="00B27E56">
        <w:tab/>
      </w:r>
      <w:r w:rsidRPr="00B27E56">
        <w:rPr>
          <w:lang w:val="en-US"/>
        </w:rPr>
        <w:t xml:space="preserve">per group </w:t>
      </w:r>
      <w:r w:rsidRPr="00B27E56">
        <w:rPr>
          <w:lang w:eastAsia="zh-CN"/>
        </w:rPr>
        <w:t xml:space="preserve">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sidRPr="00B27E56">
        <w:rPr>
          <w:lang w:eastAsia="zh-CN"/>
        </w:rPr>
        <w:t xml:space="preserve"> slots</w:t>
      </w:r>
      <w:r w:rsidRPr="00B27E56">
        <w:rPr>
          <w:lang w:val="en-US"/>
        </w:rPr>
        <w:t xml:space="preserve"> </w:t>
      </w:r>
      <w:r w:rsidRPr="00B27E56">
        <w:rPr>
          <w:lang w:eastAsia="zh-CN"/>
        </w:rPr>
        <w:t xml:space="preserve">according to combination </w:t>
      </w:r>
      <m:oMath>
        <m:d>
          <m:dPr>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e>
        </m:d>
      </m:oMath>
      <w:r w:rsidRPr="00B27E56">
        <w:rPr>
          <w:lang w:val="en-US"/>
        </w:rPr>
        <w:t>, as in Tables 10.1-2</w:t>
      </w:r>
      <w:r>
        <w:rPr>
          <w:lang w:val="en-US"/>
        </w:rPr>
        <w:t>B</w:t>
      </w:r>
      <w:r w:rsidRPr="00B27E56">
        <w:rPr>
          <w:lang w:val="en-US"/>
        </w:rPr>
        <w:t xml:space="preserve"> and 10.1-3</w:t>
      </w:r>
      <w:r>
        <w:rPr>
          <w:lang w:val="en-US"/>
        </w:rPr>
        <w:t>B</w:t>
      </w:r>
      <w:r w:rsidRPr="00B27E56">
        <w:rPr>
          <w:lang w:val="en-US"/>
        </w:rPr>
        <w:t xml:space="preserve">, </w:t>
      </w:r>
      <w:r w:rsidRPr="00B27E56">
        <w:rPr>
          <w:szCs w:val="22"/>
        </w:rPr>
        <w:t xml:space="preserve">if </w:t>
      </w:r>
      <w:r w:rsidRPr="00B27E56">
        <w:rPr>
          <w:i/>
          <w:lang w:val="en-US"/>
        </w:rPr>
        <w:t>monitoringCapabilityConfig</w:t>
      </w:r>
      <w:r w:rsidRPr="00B27E56">
        <w:rPr>
          <w:szCs w:val="22"/>
        </w:rPr>
        <w:t xml:space="preserve"> </w:t>
      </w:r>
      <w:r w:rsidRPr="00B27E56">
        <w:rPr>
          <w:szCs w:val="22"/>
          <w:lang w:val="en-US"/>
        </w:rPr>
        <w:t>=</w:t>
      </w:r>
      <w:r w:rsidRPr="00B27E56">
        <w:rPr>
          <w:szCs w:val="22"/>
        </w:rPr>
        <w:t xml:space="preserve"> </w:t>
      </w:r>
      <w:r w:rsidRPr="00B27E56">
        <w:rPr>
          <w:i/>
        </w:rPr>
        <w:t>r1</w:t>
      </w:r>
      <w:r>
        <w:rPr>
          <w:i/>
          <w:lang w:val="en-US"/>
        </w:rPr>
        <w:t>7</w:t>
      </w:r>
      <w:r w:rsidRPr="00B27E56">
        <w:rPr>
          <w:i/>
        </w:rPr>
        <w:t>monitoringcapability</w:t>
      </w:r>
      <w:r w:rsidR="005B6D9C">
        <w:rPr>
          <w:iCs/>
          <w:lang w:val="en-US"/>
        </w:rPr>
        <w:t xml:space="preserve"> </w:t>
      </w:r>
    </w:p>
    <w:p w14:paraId="2D74BDA3" w14:textId="77777777" w:rsidR="0015025F" w:rsidRPr="009A22FB" w:rsidRDefault="0015025F" w:rsidP="0015025F">
      <w:pPr>
        <w:autoSpaceDE w:val="0"/>
        <w:autoSpaceDN w:val="0"/>
        <w:rPr>
          <w:iCs/>
          <w:lang w:val="en-US"/>
        </w:rPr>
      </w:pPr>
      <w:r>
        <w:rPr>
          <w:lang w:val="en-US"/>
        </w:rPr>
        <w:t xml:space="preserve">The remaining of this clause, including clause 10.1, considers that a UE is provided </w:t>
      </w:r>
      <w:r>
        <w:rPr>
          <w:i/>
          <w:lang w:val="en-US"/>
        </w:rPr>
        <w:t>monitoringCapabilityConfig</w:t>
      </w:r>
      <w:r>
        <w:rPr>
          <w:iCs/>
          <w:lang w:val="en-US"/>
        </w:rPr>
        <w:t xml:space="preserve"> for a serving cell</w:t>
      </w:r>
      <w:r>
        <w:rPr>
          <w:szCs w:val="22"/>
          <w:lang w:val="en-US"/>
        </w:rPr>
        <w:t xml:space="preserve">. </w:t>
      </w:r>
      <w:r>
        <w:rPr>
          <w:lang w:val="en-US"/>
        </w:rPr>
        <w:t xml:space="preserve">If the UE is not provided </w:t>
      </w:r>
      <w:r>
        <w:rPr>
          <w:i/>
          <w:lang w:val="en-US"/>
        </w:rPr>
        <w:t>monitoringCapabilityConfig</w:t>
      </w:r>
      <w:r>
        <w:rPr>
          <w:iCs/>
          <w:lang w:val="en-US"/>
        </w:rPr>
        <w:t xml:space="preserve"> for the serving cell, corresponding statements that the UE is provided </w:t>
      </w:r>
      <w:r>
        <w:rPr>
          <w:i/>
          <w:lang w:val="en-US"/>
        </w:rPr>
        <w:t>monitoringCapabilityConfig</w:t>
      </w:r>
      <w:r>
        <w:rPr>
          <w:iCs/>
          <w:lang w:val="en-US"/>
        </w:rPr>
        <w:t xml:space="preserve"> for the serving cell are substituted as follows</w:t>
      </w:r>
    </w:p>
    <w:p w14:paraId="729BD84D" w14:textId="77777777" w:rsidR="0015025F" w:rsidRDefault="0015025F" w:rsidP="0015025F">
      <w:pPr>
        <w:pStyle w:val="B1"/>
        <w:rPr>
          <w:lang w:val="en-US"/>
        </w:rPr>
      </w:pPr>
      <w:r>
        <w:t>-</w:t>
      </w:r>
      <w:r>
        <w:tab/>
      </w:r>
      <w:r w:rsidRPr="00086C24">
        <w:rPr>
          <w:iCs/>
          <w:lang w:val="en-US"/>
        </w:rPr>
        <w:t>for</w:t>
      </w:r>
      <w:r>
        <w:rPr>
          <w:iCs/>
          <w:lang w:val="en-US"/>
        </w:rPr>
        <w:t xml:space="preserve"> SCS configuration</w:t>
      </w:r>
      <w:r w:rsidRPr="00086C24">
        <w:rPr>
          <w:iCs/>
          <w:lang w:val="en-US"/>
        </w:rPr>
        <w:t xml:space="preserve"> </w:t>
      </w:r>
      <m:oMath>
        <m:r>
          <w:rPr>
            <w:rFonts w:ascii="Cambria Math" w:hAnsi="Cambria Math"/>
            <w:lang w:eastAsia="zh-CN"/>
          </w:rPr>
          <m:t>μ∈</m:t>
        </m:r>
        <m:d>
          <m:dPr>
            <m:begChr m:val="{"/>
            <m:endChr m:val="}"/>
            <m:ctrlPr>
              <w:rPr>
                <w:rFonts w:ascii="Cambria Math" w:hAnsi="Cambria Math"/>
                <w:i/>
                <w:sz w:val="24"/>
                <w:szCs w:val="24"/>
                <w:lang w:eastAsia="zh-CN"/>
              </w:rPr>
            </m:ctrlPr>
          </m:dPr>
          <m:e>
            <m:r>
              <w:rPr>
                <w:rFonts w:ascii="Cambria Math" w:hAnsi="Cambria Math"/>
                <w:lang w:eastAsia="zh-CN"/>
              </w:rPr>
              <m:t>0, 1, 2, 3</m:t>
            </m:r>
          </m:e>
        </m:d>
      </m:oMath>
      <w:r>
        <w:rPr>
          <w:lang w:val="en-US"/>
        </w:rPr>
        <w:t xml:space="preserve">, the UE monitors PDCCH on the active DL BWP of the serving cell for maximum numbers of PDCCH candidates and non-overlapping CCEs per slot </w:t>
      </w:r>
      <w:r w:rsidRPr="00BC58F5">
        <w:t>as in Tables 10.1-2 and 10.1-3</w:t>
      </w:r>
      <w:r>
        <w:rPr>
          <w:lang w:val="en-US"/>
        </w:rPr>
        <w:t xml:space="preserve">. </w:t>
      </w:r>
    </w:p>
    <w:p w14:paraId="5FC5E3C1" w14:textId="77777777" w:rsidR="0015025F" w:rsidRDefault="0015025F" w:rsidP="0015025F">
      <w:pPr>
        <w:pStyle w:val="B1"/>
      </w:pPr>
      <w:r>
        <w:t>-</w:t>
      </w:r>
      <w:r>
        <w:tab/>
      </w:r>
      <w:r w:rsidRPr="00BC58F5">
        <w:t>for</w:t>
      </w:r>
      <w:r w:rsidRPr="00BC58F5">
        <w:rPr>
          <w:iCs/>
          <w:lang w:val="en-US"/>
        </w:rPr>
        <w:t xml:space="preserve"> SCS configuration</w:t>
      </w:r>
      <w:r w:rsidRPr="00BC58F5">
        <w:t xml:space="preserve"> </w:t>
      </w:r>
      <m:oMath>
        <m:r>
          <w:rPr>
            <w:rFonts w:ascii="Cambria Math" w:hAnsi="Cambria Math"/>
            <w:lang w:eastAsia="zh-CN"/>
          </w:rPr>
          <m:t>μ∈</m:t>
        </m:r>
        <m:d>
          <m:dPr>
            <m:begChr m:val="{"/>
            <m:endChr m:val="}"/>
            <m:ctrlPr>
              <w:rPr>
                <w:rFonts w:ascii="Cambria Math" w:hAnsi="Cambria Math"/>
                <w:i/>
                <w:sz w:val="24"/>
                <w:szCs w:val="24"/>
                <w:lang w:eastAsia="zh-CN"/>
              </w:rPr>
            </m:ctrlPr>
          </m:dPr>
          <m:e>
            <m:r>
              <w:rPr>
                <w:rFonts w:ascii="Cambria Math" w:hAnsi="Cambria Math"/>
                <w:lang w:eastAsia="zh-CN"/>
              </w:rPr>
              <m:t>5, 6</m:t>
            </m:r>
          </m:e>
        </m:d>
      </m:oMath>
      <w:r w:rsidRPr="00BC58F5">
        <w:t>, the UE monitors PDCCH on the active DL BWP of the serving cell for maximum number</w:t>
      </w:r>
      <w:r>
        <w:t>s</w:t>
      </w:r>
      <w:r w:rsidRPr="00BC58F5">
        <w:t xml:space="preserve"> of PDCCH candidates and non-overlapping CCEs per group of </w:t>
      </w:r>
      <m:oMath>
        <m:sSub>
          <m:sSubPr>
            <m:ctrlPr>
              <w:rPr>
                <w:rFonts w:ascii="Cambria Math" w:hAnsi="Cambria Math"/>
              </w:rPr>
            </m:ctrlPr>
          </m:sSubPr>
          <m:e>
            <m:r>
              <w:rPr>
                <w:rFonts w:ascii="Cambria Math" w:hAnsi="Cambria Math"/>
              </w:rPr>
              <m:t>X</m:t>
            </m:r>
          </m:e>
          <m:sub>
            <m:r>
              <w:rPr>
                <w:rFonts w:ascii="Cambria Math" w:hAnsi="Cambria Math"/>
              </w:rPr>
              <m:t>s</m:t>
            </m:r>
          </m:sub>
        </m:sSub>
      </m:oMath>
      <w:r w:rsidRPr="00BC58F5">
        <w:t xml:space="preserve"> slots according to combination </w:t>
      </w: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s</m:t>
                </m:r>
              </m:sub>
            </m:sSub>
          </m:e>
        </m:d>
        <m:r>
          <m:rPr>
            <m:sty m:val="p"/>
          </m:rPr>
          <w:rPr>
            <w:rFonts w:ascii="Cambria Math" w:hAnsi="Cambria Math"/>
          </w:rPr>
          <m:t>=(4, 1)</m:t>
        </m:r>
      </m:oMath>
      <w:r w:rsidRPr="00BC58F5">
        <w:t xml:space="preserve"> for </w:t>
      </w:r>
      <m:oMath>
        <m:r>
          <w:rPr>
            <w:rFonts w:ascii="Cambria Math" w:hAnsi="Cambria Math"/>
            <w:lang w:eastAsia="zh-CN"/>
          </w:rPr>
          <m:t>μ=5</m:t>
        </m:r>
      </m:oMath>
      <w:r w:rsidRPr="00BC58F5">
        <w:t xml:space="preserve"> and </w:t>
      </w: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s</m:t>
                </m:r>
              </m:sub>
            </m:sSub>
          </m:e>
        </m:d>
        <m:r>
          <m:rPr>
            <m:sty m:val="p"/>
          </m:rPr>
          <w:rPr>
            <w:rFonts w:ascii="Cambria Math" w:hAnsi="Cambria Math"/>
          </w:rPr>
          <m:t>=(8, 1)</m:t>
        </m:r>
      </m:oMath>
      <w:r w:rsidRPr="00BC58F5">
        <w:t xml:space="preserve"> for </w:t>
      </w:r>
      <m:oMath>
        <m:r>
          <w:rPr>
            <w:rFonts w:ascii="Cambria Math" w:hAnsi="Cambria Math"/>
            <w:lang w:eastAsia="zh-CN"/>
          </w:rPr>
          <m:t>μ=6</m:t>
        </m:r>
      </m:oMath>
      <w:r w:rsidRPr="00BC58F5">
        <w:t xml:space="preserve"> as in Tables 10.1-2B and 10.1-3B.</w:t>
      </w:r>
    </w:p>
    <w:p w14:paraId="45BF3E9A" w14:textId="77777777" w:rsidR="0015025F" w:rsidRPr="00BC58F5" w:rsidRDefault="0015025F" w:rsidP="0015025F">
      <w:pPr>
        <w:autoSpaceDE w:val="0"/>
        <w:autoSpaceDN w:val="0"/>
      </w:pPr>
      <w:r w:rsidRPr="00BC58F5">
        <w:t xml:space="preserve">The UE does not expect to monitor PDCCH with SCS configuration </w:t>
      </w:r>
      <m:oMath>
        <m:r>
          <w:rPr>
            <w:rFonts w:ascii="Cambria Math" w:hAnsi="Cambria Math"/>
            <w:lang w:eastAsia="zh-CN"/>
          </w:rPr>
          <m:t>μ=6</m:t>
        </m:r>
      </m:oMath>
      <w:r w:rsidRPr="00BC58F5">
        <w:t xml:space="preserve"> before the UE is provided dedicated higher layer parameters.</w:t>
      </w:r>
    </w:p>
    <w:p w14:paraId="032BDD81" w14:textId="523F80CD" w:rsidR="00847143" w:rsidRDefault="00847143" w:rsidP="00847143">
      <w:r>
        <w:rPr>
          <w:lang w:eastAsia="ko-KR"/>
        </w:rPr>
        <w:t xml:space="preserve">A UE can indicate a capability to monitor PDCCH according to one or more of the combinations </w:t>
      </w:r>
      <m:oMath>
        <m:d>
          <m:dPr>
            <m:ctrlPr>
              <w:rPr>
                <w:rFonts w:ascii="Cambria Math" w:hAnsi="Cambria Math"/>
                <w:lang w:eastAsia="zh-CN"/>
              </w:rPr>
            </m:ctrlPr>
          </m:dPr>
          <m:e>
            <m:r>
              <m:rPr>
                <m:sty m:val="p"/>
              </m:rPr>
              <w:rPr>
                <w:rFonts w:ascii="Cambria Math" w:hAnsi="Cambria Math"/>
                <w:lang w:eastAsia="zh-CN"/>
              </w:rPr>
              <m:t>X,Y</m:t>
            </m:r>
          </m:e>
        </m:d>
      </m:oMath>
      <w:r>
        <w:rPr>
          <w:lang w:eastAsia="ko-KR"/>
        </w:rPr>
        <w:t xml:space="preserve"> = (2, 2), (4, 3), and (7, 3) per SCS configuration of </w:t>
      </w:r>
      <m:oMath>
        <m:r>
          <w:rPr>
            <w:rFonts w:ascii="Cambria Math" w:hAnsi="Cambria Math"/>
            <w:lang w:eastAsia="zh-CN"/>
          </w:rPr>
          <m:t>μ=0</m:t>
        </m:r>
      </m:oMath>
      <w:r>
        <w:rPr>
          <w:lang w:eastAsia="zh-CN"/>
        </w:rPr>
        <w:t xml:space="preserve"> and </w:t>
      </w:r>
      <m:oMath>
        <m:r>
          <w:rPr>
            <w:rFonts w:ascii="Cambria Math" w:hAnsi="Cambria Math"/>
            <w:lang w:eastAsia="zh-CN"/>
          </w:rPr>
          <m:t>μ=1</m:t>
        </m:r>
      </m:oMath>
      <w:r>
        <w:rPr>
          <w:lang w:eastAsia="zh-CN"/>
        </w:rPr>
        <w:t xml:space="preserve">. </w:t>
      </w:r>
      <w:r>
        <w:rPr>
          <w:rFonts w:eastAsiaTheme="minorEastAsia"/>
        </w:rPr>
        <w:t xml:space="preserve">A span is a number of consecutive symbols in a slot where the UE is configured to monitor PDCCH. </w:t>
      </w:r>
      <w:r>
        <w:t>Each PDCCH monitoring occasion is within one span</w:t>
      </w:r>
      <w:r>
        <w:rPr>
          <w:rFonts w:eastAsiaTheme="minorEastAsia"/>
        </w:rPr>
        <w:t xml:space="preserve">. </w:t>
      </w:r>
      <w:r>
        <w:t xml:space="preserve">If a UE monitors PDCCH on a cell according to </w:t>
      </w:r>
      <w:r>
        <w:rPr>
          <w:lang w:eastAsia="ko-KR"/>
        </w:rPr>
        <w:t xml:space="preserve">combination </w:t>
      </w:r>
      <m:oMath>
        <m:d>
          <m:dPr>
            <m:ctrlPr>
              <w:rPr>
                <w:rFonts w:ascii="Cambria Math" w:hAnsi="Cambria Math"/>
                <w:lang w:eastAsia="zh-CN"/>
              </w:rPr>
            </m:ctrlPr>
          </m:dPr>
          <m:e>
            <m:r>
              <m:rPr>
                <m:sty m:val="p"/>
              </m:rPr>
              <w:rPr>
                <w:rFonts w:ascii="Cambria Math" w:hAnsi="Cambria Math"/>
                <w:lang w:eastAsia="zh-CN"/>
              </w:rPr>
              <m:t>X,Y</m:t>
            </m:r>
          </m:e>
        </m:d>
      </m:oMath>
      <w:r>
        <w:rPr>
          <w:lang w:eastAsia="zh-CN"/>
        </w:rPr>
        <w:t xml:space="preserve">, </w:t>
      </w:r>
      <w:r>
        <w:t xml:space="preserve">the UE supports PDCCH monitoring occasions in any symbol of a slot with minimum time separation of </w:t>
      </w:r>
      <m:oMath>
        <m:r>
          <w:rPr>
            <w:rFonts w:ascii="Cambria Math" w:hAnsi="Cambria Math"/>
            <w:lang w:eastAsia="zh-CN"/>
          </w:rPr>
          <m:t>X</m:t>
        </m:r>
      </m:oMath>
      <w:r>
        <w:t xml:space="preserve"> symbols between the first symbol of two consecutive spans, including across slots. </w:t>
      </w:r>
      <w:r>
        <w:rPr>
          <w:color w:val="000000" w:themeColor="text1"/>
        </w:rPr>
        <w:t xml:space="preserve">A span starts at a first symbol where a PDCCH monitoring occasion starts and ends at a last symbol where a PDCCH monitoring occasion ends, where the number of symbols of the span is up to </w:t>
      </w:r>
      <m:oMath>
        <m:r>
          <w:rPr>
            <w:rFonts w:ascii="Cambria Math" w:hAnsi="Cambria Math"/>
            <w:color w:val="000000" w:themeColor="text1"/>
          </w:rPr>
          <m:t>Y</m:t>
        </m:r>
      </m:oMath>
      <w:r>
        <w:rPr>
          <w:color w:val="000000" w:themeColor="text1"/>
        </w:rPr>
        <w:t>.</w:t>
      </w:r>
      <w:r>
        <w:t xml:space="preserve"> </w:t>
      </w:r>
    </w:p>
    <w:p w14:paraId="44DD578F" w14:textId="33CB5049" w:rsidR="00847143" w:rsidRDefault="00847143" w:rsidP="00847143">
      <w:pPr>
        <w:rPr>
          <w:lang w:eastAsia="zh-CN"/>
        </w:rPr>
      </w:pPr>
      <w:r>
        <w:rPr>
          <w:lang w:eastAsia="zh-CN"/>
        </w:rPr>
        <w:t>If a UE indicates a capability to</w:t>
      </w:r>
      <w:r>
        <w:rPr>
          <w:lang w:eastAsia="ko-KR"/>
        </w:rPr>
        <w:t xml:space="preserve"> monitor PDCCH according to multiple </w:t>
      </w:r>
      <m:oMath>
        <m:d>
          <m:dPr>
            <m:ctrlPr>
              <w:rPr>
                <w:rFonts w:ascii="Cambria Math" w:hAnsi="Cambria Math"/>
                <w:lang w:eastAsia="zh-CN"/>
              </w:rPr>
            </m:ctrlPr>
          </m:dPr>
          <m:e>
            <m:r>
              <m:rPr>
                <m:sty m:val="p"/>
              </m:rPr>
              <w:rPr>
                <w:rFonts w:ascii="Cambria Math" w:hAnsi="Cambria Math"/>
                <w:lang w:eastAsia="zh-CN"/>
              </w:rPr>
              <m:t>X,Y</m:t>
            </m:r>
          </m:e>
        </m:d>
      </m:oMath>
      <w:r>
        <w:rPr>
          <w:lang w:eastAsia="zh-CN"/>
        </w:rPr>
        <w:t xml:space="preserve"> combinations</w:t>
      </w:r>
      <w:r>
        <w:rPr>
          <w:lang w:eastAsia="ko-KR"/>
        </w:rPr>
        <w:t xml:space="preserve"> and a configuration of search space sets to the UE for PDCCH monitoring on a cell results to a separation of every two consecutive PDCCH monitoring spans</w:t>
      </w:r>
      <w:r>
        <w:t xml:space="preserve"> that is equal to or larger than the value of </w:t>
      </w:r>
      <m:oMath>
        <m:r>
          <w:rPr>
            <w:rFonts w:ascii="Cambria Math" w:hAnsi="Cambria Math"/>
          </w:rPr>
          <m:t>X</m:t>
        </m:r>
      </m:oMath>
      <w:r>
        <w:t xml:space="preserve"> for more</w:t>
      </w:r>
      <w:r w:rsidR="00182320">
        <w:t xml:space="preserve"> than one</w:t>
      </w:r>
      <w:r>
        <w:t xml:space="preserve"> of the multiple </w:t>
      </w:r>
      <w:r>
        <w:rPr>
          <w:lang w:eastAsia="ko-KR"/>
        </w:rPr>
        <w:t xml:space="preserve">combinations </w:t>
      </w:r>
      <m:oMath>
        <m:d>
          <m:dPr>
            <m:ctrlPr>
              <w:rPr>
                <w:rFonts w:ascii="Cambria Math" w:hAnsi="Cambria Math"/>
                <w:lang w:eastAsia="zh-CN"/>
              </w:rPr>
            </m:ctrlPr>
          </m:dPr>
          <m:e>
            <m:r>
              <m:rPr>
                <m:sty m:val="p"/>
              </m:rPr>
              <w:rPr>
                <w:rFonts w:ascii="Cambria Math" w:hAnsi="Cambria Math"/>
                <w:lang w:eastAsia="zh-CN"/>
              </w:rPr>
              <m:t>X,Y</m:t>
            </m:r>
          </m:e>
        </m:d>
      </m:oMath>
      <w:r>
        <w:t xml:space="preserve">, the UE monitors PDCCH on the cell according to the </w:t>
      </w:r>
      <w:r>
        <w:rPr>
          <w:lang w:eastAsia="ko-KR"/>
        </w:rPr>
        <w:t xml:space="preserve">combination </w:t>
      </w:r>
      <m:oMath>
        <m:d>
          <m:dPr>
            <m:ctrlPr>
              <w:rPr>
                <w:rFonts w:ascii="Cambria Math" w:hAnsi="Cambria Math"/>
                <w:lang w:eastAsia="zh-CN"/>
              </w:rPr>
            </m:ctrlPr>
          </m:dPr>
          <m:e>
            <m:r>
              <m:rPr>
                <m:sty m:val="p"/>
              </m:rPr>
              <w:rPr>
                <w:rFonts w:ascii="Cambria Math" w:hAnsi="Cambria Math"/>
                <w:lang w:eastAsia="zh-CN"/>
              </w:rPr>
              <m:t>X,Y</m:t>
            </m:r>
          </m:e>
        </m:d>
      </m:oMath>
      <w:r>
        <w:rPr>
          <w:lang w:eastAsia="zh-CN"/>
        </w:rPr>
        <w:t>,</w:t>
      </w:r>
      <w:r>
        <w:t xml:space="preserve"> from the more </w:t>
      </w:r>
      <w:r w:rsidR="00182320">
        <w:t xml:space="preserve">than one </w:t>
      </w:r>
      <w:r>
        <w:rPr>
          <w:lang w:eastAsia="ko-KR"/>
        </w:rPr>
        <w:t xml:space="preserve">combinations </w:t>
      </w:r>
      <m:oMath>
        <m:d>
          <m:dPr>
            <m:ctrlPr>
              <w:rPr>
                <w:rFonts w:ascii="Cambria Math" w:hAnsi="Cambria Math"/>
                <w:lang w:eastAsia="zh-CN"/>
              </w:rPr>
            </m:ctrlPr>
          </m:dPr>
          <m:e>
            <m:r>
              <m:rPr>
                <m:sty m:val="p"/>
              </m:rPr>
              <w:rPr>
                <w:rFonts w:ascii="Cambria Math" w:hAnsi="Cambria Math"/>
                <w:lang w:eastAsia="zh-CN"/>
              </w:rPr>
              <m:t>X,Y</m:t>
            </m:r>
          </m:e>
        </m:d>
      </m:oMath>
      <w:r>
        <w:rPr>
          <w:lang w:eastAsia="zh-CN"/>
        </w:rPr>
        <w:t>,</w:t>
      </w:r>
      <w:r>
        <w:t xml:space="preserve"> that is associated with the largest maximum number of </w:t>
      </w:r>
      <m:oMath>
        <m:sSubSup>
          <m:sSubSupPr>
            <m:ctrlPr>
              <w:rPr>
                <w:rFonts w:ascii="Cambria Math" w:hAnsi="Cambria Math"/>
                <w:i/>
                <w:lang w:eastAsia="zh-CN"/>
              </w:rPr>
            </m:ctrlPr>
          </m:sSubSupPr>
          <m:e>
            <m:r>
              <w:rPr>
                <w:rFonts w:ascii="Cambria Math" w:hAnsi="Cambria Math"/>
                <w:lang w:eastAsia="zh-CN"/>
              </w:rPr>
              <m:t>M</m:t>
            </m:r>
          </m:e>
          <m:sub>
            <m:r>
              <m:rPr>
                <m:sty m:val="p"/>
              </m:rPr>
              <w:rPr>
                <w:rFonts w:ascii="Cambria Math" w:hAnsi="Cambria Math"/>
                <w:lang w:eastAsia="zh-CN"/>
              </w:rPr>
              <m:t>PDCCH</m:t>
            </m:r>
          </m:sub>
          <m:sup>
            <m:r>
              <w:rPr>
                <w:rFonts w:ascii="Cambria Math" w:hAnsi="Cambria Math"/>
                <w:lang w:eastAsia="zh-CN"/>
              </w:rPr>
              <m:t>max,</m:t>
            </m:r>
            <m:d>
              <m:dPr>
                <m:ctrlPr>
                  <w:rPr>
                    <w:rFonts w:ascii="Cambria Math" w:hAnsi="Cambria Math"/>
                    <w:i/>
                    <w:lang w:eastAsia="zh-CN"/>
                  </w:rPr>
                </m:ctrlPr>
              </m:dPr>
              <m:e>
                <m:r>
                  <w:rPr>
                    <w:rFonts w:ascii="Cambria Math" w:hAnsi="Cambria Math"/>
                    <w:lang w:eastAsia="zh-CN"/>
                  </w:rPr>
                  <m:t>X,Y</m:t>
                </m:r>
              </m:e>
            </m:d>
            <m:r>
              <w:rPr>
                <w:rFonts w:ascii="Cambria Math" w:hAnsi="Cambria Math"/>
                <w:lang w:eastAsia="zh-CN"/>
              </w:rPr>
              <m:t>,μ</m:t>
            </m:r>
          </m:sup>
        </m:sSubSup>
      </m:oMath>
      <w:r w:rsidR="0069666C">
        <w:rPr>
          <w:lang w:eastAsia="zh-CN"/>
        </w:rPr>
        <w:t xml:space="preserve"> and </w:t>
      </w:r>
      <m:oMath>
        <m:sSubSup>
          <m:sSubSupPr>
            <m:ctrlPr>
              <w:rPr>
                <w:rFonts w:ascii="Cambria Math" w:hAnsi="Cambria Math"/>
                <w:i/>
                <w:lang w:eastAsia="zh-CN"/>
              </w:rPr>
            </m:ctrlPr>
          </m:sSubSupPr>
          <m:e>
            <m:r>
              <w:rPr>
                <w:rFonts w:ascii="Cambria Math" w:hAnsi="Cambria Math"/>
                <w:lang w:eastAsia="zh-CN"/>
              </w:rPr>
              <m:t>C</m:t>
            </m:r>
          </m:e>
          <m:sub>
            <m:r>
              <m:rPr>
                <m:sty m:val="p"/>
              </m:rPr>
              <w:rPr>
                <w:rFonts w:ascii="Cambria Math" w:hAnsi="Cambria Math"/>
                <w:lang w:eastAsia="zh-CN"/>
              </w:rPr>
              <m:t>PDCCH</m:t>
            </m:r>
          </m:sub>
          <m:sup>
            <m:r>
              <w:rPr>
                <w:rFonts w:ascii="Cambria Math" w:hAnsi="Cambria Math"/>
                <w:lang w:eastAsia="zh-CN"/>
              </w:rPr>
              <m:t>max,</m:t>
            </m:r>
            <m:d>
              <m:dPr>
                <m:ctrlPr>
                  <w:rPr>
                    <w:rFonts w:ascii="Cambria Math" w:hAnsi="Cambria Math"/>
                    <w:i/>
                    <w:lang w:eastAsia="zh-CN"/>
                  </w:rPr>
                </m:ctrlPr>
              </m:dPr>
              <m:e>
                <m:r>
                  <w:rPr>
                    <w:rFonts w:ascii="Cambria Math" w:hAnsi="Cambria Math"/>
                    <w:lang w:eastAsia="zh-CN"/>
                  </w:rPr>
                  <m:t>X,Y</m:t>
                </m:r>
              </m:e>
            </m:d>
            <m:r>
              <w:rPr>
                <w:rFonts w:ascii="Cambria Math" w:hAnsi="Cambria Math"/>
                <w:lang w:eastAsia="zh-CN"/>
              </w:rPr>
              <m:t>,μ</m:t>
            </m:r>
          </m:sup>
        </m:sSubSup>
      </m:oMath>
      <w:r w:rsidR="0069666C">
        <w:rPr>
          <w:lang w:eastAsia="zh-CN"/>
        </w:rPr>
        <w:t xml:space="preserve"> defined in </w:t>
      </w:r>
      <w:r w:rsidR="0069666C">
        <w:t>Table 10.1-2A and</w:t>
      </w:r>
      <w:r w:rsidR="0069666C">
        <w:rPr>
          <w:lang w:eastAsia="zh-CN"/>
        </w:rPr>
        <w:t xml:space="preserve"> </w:t>
      </w:r>
      <w:r w:rsidR="0069666C">
        <w:t>Table 10.1-3A</w:t>
      </w:r>
      <w:r w:rsidR="0069666C">
        <w:rPr>
          <w:lang w:eastAsia="zh-CN"/>
        </w:rPr>
        <w:t xml:space="preserve">. </w:t>
      </w:r>
      <w:r w:rsidR="0069666C" w:rsidRPr="002F69F4">
        <w:rPr>
          <w:color w:val="000000" w:themeColor="text1"/>
          <w:lang w:eastAsia="zh-CN"/>
        </w:rPr>
        <w:t>The UE expects t</w:t>
      </w:r>
      <w:r w:rsidR="0069666C">
        <w:rPr>
          <w:color w:val="000000" w:themeColor="text1"/>
          <w:lang w:eastAsia="zh-CN"/>
        </w:rPr>
        <w:t>o monitor PDCCH according to the</w:t>
      </w:r>
      <w:r w:rsidR="0069666C" w:rsidRPr="002F69F4">
        <w:rPr>
          <w:color w:val="000000" w:themeColor="text1"/>
          <w:lang w:eastAsia="zh-CN"/>
        </w:rPr>
        <w:t xml:space="preserve"> </w:t>
      </w:r>
      <w:r w:rsidR="0069666C">
        <w:rPr>
          <w:color w:val="000000" w:themeColor="text1"/>
          <w:lang w:eastAsia="zh-CN"/>
        </w:rPr>
        <w:t xml:space="preserve">same </w:t>
      </w:r>
      <w:r w:rsidR="0069666C">
        <w:rPr>
          <w:lang w:eastAsia="ko-KR"/>
        </w:rPr>
        <w:t xml:space="preserve">combination </w:t>
      </w:r>
      <m:oMath>
        <m:d>
          <m:dPr>
            <m:ctrlPr>
              <w:rPr>
                <w:rFonts w:ascii="Cambria Math" w:hAnsi="Cambria Math"/>
                <w:lang w:eastAsia="zh-CN"/>
              </w:rPr>
            </m:ctrlPr>
          </m:dPr>
          <m:e>
            <m:r>
              <m:rPr>
                <m:sty m:val="p"/>
              </m:rPr>
              <w:rPr>
                <w:rFonts w:ascii="Cambria Math" w:hAnsi="Cambria Math"/>
                <w:lang w:eastAsia="zh-CN"/>
              </w:rPr>
              <m:t>X,Y</m:t>
            </m:r>
          </m:e>
        </m:d>
      </m:oMath>
      <w:r w:rsidR="0069666C" w:rsidRPr="002F69F4">
        <w:rPr>
          <w:color w:val="000000" w:themeColor="text1"/>
          <w:lang w:eastAsia="zh-CN"/>
        </w:rPr>
        <w:t xml:space="preserve"> in every slot on the active DL BWP of a cell</w:t>
      </w:r>
      <w:r>
        <w:rPr>
          <w:lang w:eastAsia="zh-CN"/>
        </w:rPr>
        <w:t>.</w:t>
      </w:r>
    </w:p>
    <w:p w14:paraId="5023873C" w14:textId="7318917F" w:rsidR="00893DC6" w:rsidRPr="00B27E56" w:rsidRDefault="00893DC6" w:rsidP="00893DC6">
      <w:pPr>
        <w:rPr>
          <w:lang w:eastAsia="zh-CN"/>
        </w:rPr>
      </w:pPr>
      <w:r w:rsidRPr="00B27E56">
        <w:rPr>
          <w:lang w:eastAsia="zh-CN"/>
        </w:rPr>
        <w:t xml:space="preserve">For SCS configuration </w:t>
      </w:r>
      <m:oMath>
        <m:r>
          <w:rPr>
            <w:rFonts w:ascii="Cambria Math" w:hAnsi="Cambria Math"/>
            <w:lang w:eastAsia="zh-CN"/>
          </w:rPr>
          <m:t>μ=5</m:t>
        </m:r>
      </m:oMath>
      <w:r w:rsidRPr="00B27E56">
        <w:rPr>
          <w:lang w:eastAsia="zh-CN"/>
        </w:rPr>
        <w:t xml:space="preserve"> or </w:t>
      </w:r>
      <m:oMath>
        <m:r>
          <w:rPr>
            <w:rFonts w:ascii="Cambria Math" w:hAnsi="Cambria Math"/>
            <w:lang w:eastAsia="zh-CN"/>
          </w:rPr>
          <m:t>μ=6</m:t>
        </m:r>
      </m:oMath>
      <w:r w:rsidRPr="00B27E56">
        <w:rPr>
          <w:lang w:eastAsia="zh-CN"/>
        </w:rPr>
        <w:t xml:space="preserve">, a UE can indicate a capability to monitor PDCCH according to one or more combinations </w:t>
      </w:r>
      <m:oMath>
        <m:d>
          <m:dPr>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e>
        </m:d>
      </m:oMath>
      <w:r w:rsidRPr="00B27E56">
        <w:rPr>
          <w:lang w:eastAsia="zh-CN"/>
        </w:rPr>
        <w:t xml:space="preserve">, where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sidRPr="00B27E56">
        <w:rPr>
          <w:lang w:eastAsia="zh-CN"/>
        </w:rPr>
        <w:t xml:space="preserve"> and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oMath>
      <w:r w:rsidRPr="00B27E56">
        <w:rPr>
          <w:lang w:eastAsia="zh-CN"/>
        </w:rPr>
        <w:t xml:space="preserve"> are numbers of consecutive slots</w:t>
      </w:r>
      <w:r w:rsidR="002616B2">
        <w:rPr>
          <w:lang w:eastAsia="zh-CN"/>
        </w:rPr>
        <w:t>.</w:t>
      </w:r>
      <w:r w:rsidRPr="00B27E56">
        <w:rPr>
          <w:lang w:eastAsia="zh-CN"/>
        </w:rPr>
        <w:t xml:space="preserve"> </w:t>
      </w:r>
      <w:r w:rsidR="002616B2">
        <w:rPr>
          <w:lang w:eastAsia="zh-CN"/>
        </w:rPr>
        <w:t>G</w:t>
      </w:r>
      <w:r w:rsidR="002616B2" w:rsidRPr="00B27E56">
        <w:rPr>
          <w:lang w:eastAsia="zh-CN"/>
        </w:rPr>
        <w:t xml:space="preserve">roups </w:t>
      </w:r>
      <w:r w:rsidRPr="00B27E56">
        <w:rPr>
          <w:lang w:eastAsia="zh-CN"/>
        </w:rPr>
        <w:t xml:space="preserve">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sidRPr="00B27E56">
        <w:rPr>
          <w:lang w:eastAsia="zh-CN"/>
        </w:rPr>
        <w:t xml:space="preserve"> slots are </w:t>
      </w:r>
      <w:r>
        <w:rPr>
          <w:lang w:eastAsia="zh-CN"/>
        </w:rPr>
        <w:t xml:space="preserve">consecutive and </w:t>
      </w:r>
      <w:r w:rsidRPr="00B27E56">
        <w:rPr>
          <w:lang w:eastAsia="zh-CN"/>
        </w:rPr>
        <w:t xml:space="preserve">non-overlapping and the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oMath>
      <w:r w:rsidRPr="00B27E56">
        <w:rPr>
          <w:lang w:eastAsia="zh-CN"/>
        </w:rPr>
        <w:t xml:space="preserve"> slots are within the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sidRPr="00B27E56">
        <w:rPr>
          <w:lang w:eastAsia="zh-CN"/>
        </w:rPr>
        <w:t xml:space="preserve"> slots. The first 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sidRPr="00B27E56">
        <w:rPr>
          <w:lang w:eastAsia="zh-CN"/>
        </w:rPr>
        <w:t xml:space="preserve"> slots starts from the beginning of a subframe. T</w:t>
      </w:r>
      <w:r>
        <w:rPr>
          <w:lang w:eastAsia="zh-CN"/>
        </w:rPr>
        <w:t>he start of t</w:t>
      </w:r>
      <w:r w:rsidRPr="00B27E56">
        <w:rPr>
          <w:lang w:eastAsia="zh-CN"/>
        </w:rPr>
        <w:t xml:space="preserve">wo consecutive groups of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oMath>
      <w:r w:rsidRPr="00B27E56">
        <w:rPr>
          <w:lang w:eastAsia="zh-CN"/>
        </w:rPr>
        <w:t xml:space="preserve"> slots </w:t>
      </w:r>
      <w:r>
        <w:rPr>
          <w:lang w:eastAsia="zh-CN"/>
        </w:rPr>
        <w:t>is</w:t>
      </w:r>
      <w:r w:rsidRPr="00B27E56">
        <w:rPr>
          <w:lang w:eastAsia="zh-CN"/>
        </w:rPr>
        <w:t xml:space="preserve"> separated by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sidRPr="00B27E56">
        <w:rPr>
          <w:lang w:eastAsia="zh-CN"/>
        </w:rPr>
        <w:t xml:space="preserve"> slots. </w:t>
      </w:r>
    </w:p>
    <w:p w14:paraId="7E07EB40" w14:textId="77777777" w:rsidR="00893DC6" w:rsidRPr="00B27E56" w:rsidRDefault="00893DC6" w:rsidP="00893DC6">
      <w:pPr>
        <w:rPr>
          <w:lang w:eastAsia="zh-CN"/>
        </w:rPr>
      </w:pPr>
      <w:r w:rsidRPr="00B27E56">
        <w:rPr>
          <w:lang w:eastAsia="zh-CN"/>
        </w:rPr>
        <w:t xml:space="preserve">If a UE monitors PDCCH on a cell according to combination </w:t>
      </w:r>
      <m:oMath>
        <m:d>
          <m:dPr>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e>
        </m:d>
      </m:oMath>
      <w:r w:rsidRPr="00B27E56">
        <w:rPr>
          <w:lang w:eastAsia="zh-CN"/>
        </w:rPr>
        <w:t xml:space="preserve">, the UE can monitor PDCCH for Type1-PDCCH CSS set provided by dedicated higher layer signalling, Type3-PDCCH CSS sets, and USS sets in any slot of the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oMath>
      <w:r w:rsidRPr="00B27E56">
        <w:rPr>
          <w:lang w:eastAsia="zh-CN"/>
        </w:rPr>
        <w:t xml:space="preserve"> slots, and the UE can monitor PDCCH for Type0/0A/2-PDCCH CSS set and Type1-PDCCH CSS set provided in </w:t>
      </w:r>
      <w:r w:rsidRPr="00B27E56">
        <w:rPr>
          <w:i/>
          <w:iCs/>
          <w:lang w:eastAsia="zh-CN"/>
        </w:rPr>
        <w:t>SIB1</w:t>
      </w:r>
      <w:r w:rsidRPr="00B27E56">
        <w:rPr>
          <w:lang w:eastAsia="zh-CN"/>
        </w:rPr>
        <w:t xml:space="preserve"> in any slot of the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sidRPr="00B27E56">
        <w:rPr>
          <w:lang w:eastAsia="zh-CN"/>
        </w:rPr>
        <w:t xml:space="preserve"> slots. The UE determines the number of monitored PDCCH candidates and </w:t>
      </w:r>
      <w:r w:rsidRPr="00B27E56">
        <w:t>the number of non-overlapped CCEs for</w:t>
      </w:r>
      <w:r w:rsidRPr="00B27E56">
        <w:rPr>
          <w:lang w:eastAsia="zh-CN"/>
        </w:rPr>
        <w:t xml:space="preserve"> combination </w:t>
      </w:r>
      <m:oMath>
        <m:d>
          <m:dPr>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e>
        </m:d>
      </m:oMath>
      <w:r w:rsidRPr="00B27E56">
        <w:rPr>
          <w:lang w:eastAsia="zh-CN"/>
        </w:rPr>
        <w:t xml:space="preserve"> based on all search space sets within the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sidRPr="00B27E56">
        <w:rPr>
          <w:lang w:eastAsia="zh-CN"/>
        </w:rPr>
        <w:t xml:space="preserve"> slots, as applicable according to the search space set</w:t>
      </w:r>
      <w:r>
        <w:rPr>
          <w:lang w:eastAsia="zh-CN"/>
        </w:rPr>
        <w:t xml:space="preserve"> configurations</w:t>
      </w:r>
      <w:r w:rsidRPr="00B27E56">
        <w:rPr>
          <w:lang w:eastAsia="zh-CN"/>
        </w:rPr>
        <w:t xml:space="preserve">, and maximum corresponding values are provided in Table 10.1-2B and </w:t>
      </w:r>
      <w:r w:rsidRPr="00B27E56">
        <w:t xml:space="preserve">Table 10.1-3B, respectively. </w:t>
      </w:r>
    </w:p>
    <w:p w14:paraId="3386EE35" w14:textId="77777777" w:rsidR="00CC62CF" w:rsidRDefault="00CC62CF" w:rsidP="00CC62CF">
      <w:r>
        <w:rPr>
          <w:lang w:eastAsia="zh-CN"/>
        </w:rPr>
        <w:t xml:space="preserve">For </w:t>
      </w:r>
      <m:oMath>
        <m:r>
          <w:rPr>
            <w:rFonts w:ascii="Cambria Math" w:hAnsi="Cambria Math"/>
            <w:lang w:eastAsia="zh-CN"/>
          </w:rPr>
          <m:t>μ=6</m:t>
        </m:r>
      </m:oMath>
      <w:r>
        <w:rPr>
          <w:lang w:eastAsia="zh-CN"/>
        </w:rPr>
        <w:t>, if the UE indicates a capability to</w:t>
      </w:r>
      <w:r>
        <w:rPr>
          <w:lang w:eastAsia="ko-KR"/>
        </w:rPr>
        <w:t xml:space="preserve"> monitor PDCCH according to multiple combinations </w:t>
      </w:r>
      <m:oMath>
        <m:d>
          <m:dPr>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e>
        </m:d>
      </m:oMath>
      <w:r>
        <w:rPr>
          <w:lang w:eastAsia="zh-CN"/>
        </w:rPr>
        <w:t xml:space="preserve"> and</w:t>
      </w:r>
      <w:r>
        <w:rPr>
          <w:lang w:eastAsia="ko-KR"/>
        </w:rPr>
        <w:t xml:space="preserve"> a configuration of search space sets to the UE for PDCCH monitoring on a serving cell results to a separation of every </w:t>
      </w:r>
      <w:r>
        <w:rPr>
          <w:lang w:eastAsia="ko-KR"/>
        </w:rPr>
        <w:lastRenderedPageBreak/>
        <w:t xml:space="preserve">two consecutive groups of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oMath>
      <w:r>
        <w:t xml:space="preserve"> slots that is not smaller than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Pr>
          <w:lang w:eastAsia="zh-CN"/>
        </w:rPr>
        <w:t xml:space="preserve"> </w:t>
      </w:r>
      <w:r>
        <w:t xml:space="preserve">for more than one combinations </w:t>
      </w:r>
      <m:oMath>
        <m:d>
          <m:dPr>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e>
        </m:d>
      </m:oMath>
      <w:r>
        <w:rPr>
          <w:lang w:eastAsia="zh-CN"/>
        </w:rPr>
        <w:t xml:space="preserve">, </w:t>
      </w:r>
      <w:r>
        <w:t xml:space="preserve">of the multiple </w:t>
      </w:r>
      <w:r>
        <w:rPr>
          <w:lang w:eastAsia="ko-KR"/>
        </w:rPr>
        <w:t xml:space="preserve">combinations </w:t>
      </w:r>
      <m:oMath>
        <m:d>
          <m:dPr>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e>
        </m:d>
      </m:oMath>
      <w:r>
        <w:t xml:space="preserve">, the UE monitors PDCCH on the cell according to the </w:t>
      </w:r>
      <w:r>
        <w:rPr>
          <w:lang w:eastAsia="ko-KR"/>
        </w:rPr>
        <w:t xml:space="preserve">combination </w:t>
      </w:r>
      <m:oMath>
        <m:d>
          <m:dPr>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e>
        </m:d>
      </m:oMath>
      <w:r>
        <w:rPr>
          <w:lang w:eastAsia="zh-CN"/>
        </w:rPr>
        <w:t>,</w:t>
      </w:r>
      <w:r>
        <w:t xml:space="preserve"> from the more than one </w:t>
      </w:r>
      <w:r>
        <w:rPr>
          <w:lang w:eastAsia="ko-KR"/>
        </w:rPr>
        <w:t xml:space="preserve">combinations </w:t>
      </w:r>
      <m:oMath>
        <m:d>
          <m:dPr>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e>
        </m:d>
      </m:oMath>
      <w:r>
        <w:rPr>
          <w:lang w:eastAsia="zh-CN"/>
        </w:rPr>
        <w:t>,</w:t>
      </w:r>
      <w:r>
        <w:t xml:space="preserve"> that is associated with the largest maximum number of </w:t>
      </w:r>
      <m:oMath>
        <m:sSubSup>
          <m:sSubSupPr>
            <m:ctrlPr>
              <w:rPr>
                <w:rFonts w:ascii="Cambria Math" w:hAnsi="Cambria Math"/>
                <w:i/>
              </w:rPr>
            </m:ctrlPr>
          </m:sSubSupPr>
          <m:e>
            <m:r>
              <w:rPr>
                <w:rFonts w:ascii="Cambria Math" w:hAnsi="Cambria Math"/>
              </w:rPr>
              <m:t>M</m:t>
            </m:r>
          </m:e>
          <m:sub>
            <m:r>
              <m:rPr>
                <m:sty m:val="p"/>
              </m:rPr>
              <w:rPr>
                <w:rFonts w:ascii="Cambria Math" w:hAnsi="Cambria Math"/>
              </w:rPr>
              <m:t>PDCCH</m:t>
            </m:r>
            <m:ctrlPr>
              <w:rPr>
                <w:rFonts w:ascii="Cambria Math" w:hAnsi="Cambria Math"/>
              </w:rPr>
            </m:ctrlPr>
          </m:sub>
          <m:sup>
            <m:r>
              <m:rPr>
                <m:sty m:val="p"/>
              </m:rPr>
              <w:rPr>
                <w:rFonts w:ascii="Cambria Math" w:hAnsi="Cambria Math"/>
              </w:rPr>
              <m:t>max,</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m:rPr>
                <m:sty m:val="p"/>
              </m:rPr>
              <w:rPr>
                <w:rFonts w:ascii="Cambria Math" w:hAnsi="Cambria Math"/>
              </w:rPr>
              <m:t>,</m:t>
            </m:r>
            <m:r>
              <w:rPr>
                <w:rFonts w:ascii="Cambria Math" w:hAnsi="Cambria Math"/>
              </w:rPr>
              <m:t>μ</m:t>
            </m:r>
            <m:ctrlPr>
              <w:rPr>
                <w:rFonts w:ascii="Cambria Math" w:hAnsi="Cambria Math"/>
              </w:rPr>
            </m:ctrlPr>
          </m:sup>
        </m:sSubSup>
      </m:oMath>
      <w:r>
        <w:rPr>
          <w:lang w:eastAsia="zh-CN"/>
        </w:rPr>
        <w:t xml:space="preserve"> and </w:t>
      </w:r>
      <m:oMath>
        <m:sSubSup>
          <m:sSubSupPr>
            <m:ctrlPr>
              <w:rPr>
                <w:rFonts w:ascii="Cambria Math" w:hAnsi="Cambria Math"/>
                <w:i/>
              </w:rPr>
            </m:ctrlPr>
          </m:sSubSupPr>
          <m:e>
            <m:r>
              <w:rPr>
                <w:rFonts w:ascii="Cambria Math" w:hAnsi="Cambria Math"/>
              </w:rPr>
              <m:t>C</m:t>
            </m:r>
          </m:e>
          <m:sub>
            <m:r>
              <m:rPr>
                <m:sty m:val="p"/>
              </m:rPr>
              <w:rPr>
                <w:rFonts w:ascii="Cambria Math" w:hAnsi="Cambria Math"/>
              </w:rPr>
              <m:t>PDCCH</m:t>
            </m:r>
            <m:ctrlPr>
              <w:rPr>
                <w:rFonts w:ascii="Cambria Math" w:hAnsi="Cambria Math"/>
              </w:rPr>
            </m:ctrlPr>
          </m:sub>
          <m:sup>
            <m:r>
              <m:rPr>
                <m:sty m:val="p"/>
              </m:rPr>
              <w:rPr>
                <w:rFonts w:ascii="Cambria Math" w:hAnsi="Cambria Math"/>
              </w:rPr>
              <m:t>max,</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m:rPr>
                <m:sty m:val="p"/>
              </m:rPr>
              <w:rPr>
                <w:rFonts w:ascii="Cambria Math" w:hAnsi="Cambria Math"/>
              </w:rPr>
              <m:t>,</m:t>
            </m:r>
            <m:r>
              <w:rPr>
                <w:rFonts w:ascii="Cambria Math" w:hAnsi="Cambria Math"/>
              </w:rPr>
              <m:t>μ</m:t>
            </m:r>
            <m:ctrlPr>
              <w:rPr>
                <w:rFonts w:ascii="Cambria Math" w:hAnsi="Cambria Math"/>
              </w:rPr>
            </m:ctrlPr>
          </m:sup>
        </m:sSubSup>
      </m:oMath>
      <w:r>
        <w:rPr>
          <w:lang w:eastAsia="zh-CN"/>
        </w:rPr>
        <w:t xml:space="preserve"> defined in </w:t>
      </w:r>
      <w:r>
        <w:t>Table 10.1-2B and</w:t>
      </w:r>
      <w:r>
        <w:rPr>
          <w:lang w:eastAsia="zh-CN"/>
        </w:rPr>
        <w:t xml:space="preserve"> </w:t>
      </w:r>
      <w:r>
        <w:t>Table 10.1-3B.</w:t>
      </w:r>
    </w:p>
    <w:p w14:paraId="0F87DFEE" w14:textId="444AA669" w:rsidR="00D92D37" w:rsidRPr="001C6B2D" w:rsidRDefault="00D92D37" w:rsidP="00D92D37">
      <w:pPr>
        <w:rPr>
          <w:lang w:val="en-US"/>
        </w:rPr>
      </w:pPr>
      <w:r>
        <w:t xml:space="preserve">A UE capability for PDCCH monitoring </w:t>
      </w:r>
      <w:r>
        <w:rPr>
          <w:lang w:val="en-US"/>
        </w:rPr>
        <w:t>per slot</w:t>
      </w:r>
      <w:r w:rsidR="00893DC6" w:rsidRPr="00B27E56">
        <w:rPr>
          <w:lang w:val="en-US"/>
        </w:rPr>
        <w:t xml:space="preserve">, or per group </w:t>
      </w:r>
      <w:r w:rsidR="00893DC6" w:rsidRPr="00B27E56">
        <w:rPr>
          <w:lang w:eastAsia="zh-CN"/>
        </w:rPr>
        <w:t xml:space="preserve">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sidR="00893DC6" w:rsidRPr="00B27E56">
        <w:rPr>
          <w:lang w:eastAsia="zh-CN"/>
        </w:rPr>
        <w:t xml:space="preserve"> slots</w:t>
      </w:r>
      <w:r w:rsidR="00893DC6" w:rsidRPr="00B27E56">
        <w:rPr>
          <w:lang w:val="en-US"/>
        </w:rPr>
        <w:t xml:space="preserve"> </w:t>
      </w:r>
      <w:r w:rsidR="00893DC6" w:rsidRPr="00B27E56">
        <w:rPr>
          <w:lang w:eastAsia="zh-CN"/>
        </w:rPr>
        <w:t xml:space="preserve">according to combination </w:t>
      </w:r>
      <m:oMath>
        <m:d>
          <m:dPr>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e>
        </m:d>
      </m:oMath>
      <w:r w:rsidR="00893DC6" w:rsidRPr="00B27E56">
        <w:rPr>
          <w:lang w:eastAsia="zh-CN"/>
        </w:rPr>
        <w:t>,</w:t>
      </w:r>
      <w:r>
        <w:rPr>
          <w:lang w:val="en-US"/>
        </w:rPr>
        <w:t xml:space="preserve"> or per span </w:t>
      </w:r>
      <w:r>
        <w:t>on an active DL BWP of a serving cell</w:t>
      </w:r>
      <w:r>
        <w:rPr>
          <w:lang w:val="en-US"/>
        </w:rPr>
        <w:t xml:space="preserve"> </w:t>
      </w:r>
      <w:r>
        <w:t xml:space="preserve">is defined by a maximum number of PDCCH candidates and non-overlapped CCEs the UE can monitor </w:t>
      </w:r>
      <w:r>
        <w:rPr>
          <w:lang w:val="en-US"/>
        </w:rPr>
        <w:t>per slot</w:t>
      </w:r>
      <w:r w:rsidR="00893DC6" w:rsidRPr="00B27E56">
        <w:rPr>
          <w:lang w:val="en-US"/>
        </w:rPr>
        <w:t xml:space="preserve">, or per group </w:t>
      </w:r>
      <w:r w:rsidR="00893DC6" w:rsidRPr="00B27E56">
        <w:rPr>
          <w:lang w:eastAsia="zh-CN"/>
        </w:rPr>
        <w:t xml:space="preserve">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sidR="00893DC6" w:rsidRPr="00B27E56">
        <w:rPr>
          <w:lang w:eastAsia="zh-CN"/>
        </w:rPr>
        <w:t xml:space="preserve"> slots</w:t>
      </w:r>
      <w:r w:rsidR="00893DC6" w:rsidRPr="00B27E56">
        <w:rPr>
          <w:lang w:val="en-US"/>
        </w:rPr>
        <w:t xml:space="preserve"> </w:t>
      </w:r>
      <w:r w:rsidR="00893DC6" w:rsidRPr="00B27E56">
        <w:rPr>
          <w:lang w:eastAsia="zh-CN"/>
        </w:rPr>
        <w:t xml:space="preserve">according to combination </w:t>
      </w:r>
      <m:oMath>
        <m:d>
          <m:dPr>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e>
        </m:d>
      </m:oMath>
      <w:r w:rsidR="00893DC6" w:rsidRPr="00B27E56">
        <w:rPr>
          <w:lang w:eastAsia="zh-CN"/>
        </w:rPr>
        <w:t>,</w:t>
      </w:r>
      <w:r>
        <w:rPr>
          <w:lang w:val="en-US"/>
        </w:rPr>
        <w:t xml:space="preserve"> or per span, respectively, on the active DL BWP of the serving cell</w:t>
      </w:r>
      <w:r>
        <w:t>.</w:t>
      </w:r>
      <w:r>
        <w:rPr>
          <w:lang w:val="en-US"/>
        </w:rPr>
        <w:t xml:space="preserve"> </w:t>
      </w:r>
    </w:p>
    <w:p w14:paraId="729F2E84" w14:textId="7896FECF" w:rsidR="00630DAD" w:rsidRPr="00681B65" w:rsidRDefault="00630DAD" w:rsidP="00630DAD">
      <w:pPr>
        <w:jc w:val="both"/>
      </w:pPr>
      <w:r>
        <w:t xml:space="preserve">For monitoring of a PDCCH candidate </w:t>
      </w:r>
      <w:r w:rsidR="001A2A41" w:rsidRPr="00D26445">
        <w:t>by a UE, if the UE</w:t>
      </w:r>
    </w:p>
    <w:p w14:paraId="07AFC8E9" w14:textId="58106F8E" w:rsidR="001A2A41" w:rsidRDefault="00905607" w:rsidP="00905607">
      <w:pPr>
        <w:pStyle w:val="B1"/>
      </w:pPr>
      <w:r>
        <w:t>-</w:t>
      </w:r>
      <w:r>
        <w:tab/>
      </w:r>
      <w:r w:rsidRPr="00B916EC">
        <w:t xml:space="preserve">has received </w:t>
      </w:r>
      <w:r w:rsidRPr="00301521">
        <w:rPr>
          <w:i/>
        </w:rPr>
        <w:t>ssb-PositionsInBurst</w:t>
      </w:r>
      <w:r w:rsidRPr="00B916EC">
        <w:t xml:space="preserve"> </w:t>
      </w:r>
      <w:r>
        <w:rPr>
          <w:lang w:val="en-US"/>
        </w:rPr>
        <w:t xml:space="preserve">in </w:t>
      </w:r>
      <w:r w:rsidR="00432E4D">
        <w:rPr>
          <w:i/>
          <w:lang w:val="en-US"/>
        </w:rPr>
        <w:t>SIB1</w:t>
      </w:r>
      <w:r w:rsidRPr="00A94818">
        <w:rPr>
          <w:lang w:val="en-GB"/>
        </w:rPr>
        <w:t xml:space="preserve"> </w:t>
      </w:r>
      <w:r w:rsidRPr="00B916EC">
        <w:t xml:space="preserve">and has not received </w:t>
      </w:r>
      <w:bookmarkStart w:id="649" w:name="_Hlk493885951"/>
      <w:r w:rsidRPr="00301521">
        <w:rPr>
          <w:i/>
        </w:rPr>
        <w:t>ssb-PositionsInBurst</w:t>
      </w:r>
      <w:bookmarkEnd w:id="649"/>
      <w:r w:rsidRPr="00B916EC">
        <w:t xml:space="preserve"> </w:t>
      </w:r>
      <w:r>
        <w:rPr>
          <w:lang w:val="en-US"/>
        </w:rPr>
        <w:t xml:space="preserve">in </w:t>
      </w:r>
      <w:r w:rsidRPr="00A94818">
        <w:rPr>
          <w:i/>
        </w:rPr>
        <w:t>ServingCellConfigCommon</w:t>
      </w:r>
      <w:r>
        <w:rPr>
          <w:lang w:val="en-US"/>
        </w:rPr>
        <w:t xml:space="preserve"> </w:t>
      </w:r>
      <w:r>
        <w:t xml:space="preserve">for </w:t>
      </w:r>
      <w:r>
        <w:rPr>
          <w:lang w:val="en-US"/>
        </w:rPr>
        <w:t>a</w:t>
      </w:r>
      <w:r>
        <w:t xml:space="preserve"> serving cell</w:t>
      </w:r>
      <w:r w:rsidR="001A2A41">
        <w:rPr>
          <w:lang w:val="en-US"/>
        </w:rPr>
        <w:t>,</w:t>
      </w:r>
      <w:r>
        <w:t xml:space="preserve"> </w:t>
      </w:r>
      <w:r w:rsidRPr="00B916EC">
        <w:t>and</w:t>
      </w:r>
    </w:p>
    <w:p w14:paraId="202B2406" w14:textId="1E9C07BC" w:rsidR="001A2A41" w:rsidRDefault="001A2A41" w:rsidP="00905607">
      <w:pPr>
        <w:pStyle w:val="B1"/>
        <w:rPr>
          <w:lang w:val="en-US" w:eastAsia="zh-CN"/>
        </w:rPr>
      </w:pPr>
      <w:r>
        <w:rPr>
          <w:lang w:val="en-US"/>
        </w:rPr>
        <w:t>-</w:t>
      </w:r>
      <w:r>
        <w:rPr>
          <w:lang w:val="en-US"/>
        </w:rPr>
        <w:tab/>
      </w:r>
      <w:r w:rsidR="00905607">
        <w:rPr>
          <w:lang w:val="en-US" w:eastAsia="zh-CN"/>
        </w:rPr>
        <w:t xml:space="preserve">does not monitor PDCCH candidates in a Type0-PDCCH </w:t>
      </w:r>
      <w:r w:rsidR="00A54F7F">
        <w:rPr>
          <w:lang w:val="en-US" w:eastAsia="zh-CN"/>
        </w:rPr>
        <w:t>CSS set</w:t>
      </w:r>
      <w:r>
        <w:rPr>
          <w:lang w:val="en-US" w:eastAsia="zh-CN"/>
        </w:rPr>
        <w:t>,</w:t>
      </w:r>
      <w:r w:rsidR="00905607">
        <w:rPr>
          <w:lang w:val="en-US" w:eastAsia="zh-CN"/>
        </w:rPr>
        <w:t xml:space="preserve"> and </w:t>
      </w:r>
    </w:p>
    <w:p w14:paraId="68D595A0" w14:textId="71E3B9C2" w:rsidR="001A2A41" w:rsidRDefault="001A2A41" w:rsidP="00905607">
      <w:pPr>
        <w:pStyle w:val="B1"/>
        <w:rPr>
          <w:lang w:eastAsia="zh-CN"/>
        </w:rPr>
      </w:pPr>
      <w:r>
        <w:rPr>
          <w:lang w:val="en-US"/>
        </w:rPr>
        <w:t>-</w:t>
      </w:r>
      <w:r>
        <w:rPr>
          <w:lang w:val="en-US"/>
        </w:rPr>
        <w:tab/>
      </w:r>
      <w:r w:rsidR="00905607">
        <w:rPr>
          <w:lang w:val="en-US" w:eastAsia="zh-CN"/>
        </w:rPr>
        <w:t xml:space="preserve">at least one </w:t>
      </w:r>
      <w:r w:rsidR="00905607" w:rsidRPr="00B916EC">
        <w:rPr>
          <w:lang w:eastAsia="zh-CN"/>
        </w:rPr>
        <w:t>RE for</w:t>
      </w:r>
      <w:r w:rsidR="00905607">
        <w:rPr>
          <w:lang w:eastAsia="zh-CN"/>
        </w:rPr>
        <w:t xml:space="preserve"> </w:t>
      </w:r>
      <w:r w:rsidR="00905607" w:rsidRPr="00B916EC">
        <w:rPr>
          <w:lang w:eastAsia="zh-CN"/>
        </w:rPr>
        <w:t xml:space="preserve">a PDCCH </w:t>
      </w:r>
      <w:r w:rsidR="00905607">
        <w:rPr>
          <w:lang w:eastAsia="zh-CN"/>
        </w:rPr>
        <w:t>candidate</w:t>
      </w:r>
      <w:r w:rsidR="00905607" w:rsidRPr="00B916EC">
        <w:rPr>
          <w:lang w:eastAsia="zh-CN"/>
        </w:rPr>
        <w:t xml:space="preserve"> overlap</w:t>
      </w:r>
      <w:r w:rsidR="00905607">
        <w:rPr>
          <w:lang w:val="en-US" w:eastAsia="zh-CN"/>
        </w:rPr>
        <w:t>s</w:t>
      </w:r>
      <w:r w:rsidR="00905607" w:rsidRPr="00B916EC">
        <w:rPr>
          <w:lang w:eastAsia="zh-CN"/>
        </w:rPr>
        <w:t xml:space="preserve"> with </w:t>
      </w:r>
      <w:r w:rsidR="00905607">
        <w:rPr>
          <w:lang w:val="en-US" w:eastAsia="zh-CN"/>
        </w:rPr>
        <w:t xml:space="preserve">at least one </w:t>
      </w:r>
      <w:r w:rsidR="00905607" w:rsidRPr="00B916EC">
        <w:rPr>
          <w:lang w:eastAsia="zh-CN"/>
        </w:rPr>
        <w:t xml:space="preserve">RE </w:t>
      </w:r>
      <w:r w:rsidR="00CA776E">
        <w:rPr>
          <w:lang w:val="en-US" w:eastAsia="zh-CN"/>
        </w:rPr>
        <w:t>of a candidate SS/PBCH block</w:t>
      </w:r>
      <w:r w:rsidR="00ED4966">
        <w:rPr>
          <w:lang w:val="en-US" w:eastAsia="zh-CN" w:bidi="ar"/>
        </w:rPr>
        <w:t>, after puncturing if applicable,</w:t>
      </w:r>
      <w:r w:rsidR="00CA776E">
        <w:rPr>
          <w:lang w:val="en-US" w:eastAsia="zh-CN"/>
        </w:rPr>
        <w:t xml:space="preserve"> </w:t>
      </w:r>
      <w:r w:rsidR="00905607" w:rsidRPr="00B916EC">
        <w:rPr>
          <w:lang w:eastAsia="zh-CN"/>
        </w:rPr>
        <w:t xml:space="preserve">corresponding to </w:t>
      </w:r>
      <w:r w:rsidR="00905607">
        <w:rPr>
          <w:lang w:eastAsia="zh-CN"/>
        </w:rPr>
        <w:t xml:space="preserve">a </w:t>
      </w:r>
      <w:r w:rsidR="00905607" w:rsidRPr="00B916EC">
        <w:rPr>
          <w:lang w:eastAsia="zh-CN"/>
        </w:rPr>
        <w:t xml:space="preserve">SS/PBCH block index </w:t>
      </w:r>
      <w:r w:rsidR="00905607">
        <w:rPr>
          <w:lang w:eastAsia="zh-CN"/>
        </w:rPr>
        <w:t>provided</w:t>
      </w:r>
      <w:r w:rsidR="00905607" w:rsidRPr="00B916EC">
        <w:rPr>
          <w:lang w:eastAsia="zh-CN"/>
        </w:rPr>
        <w:t xml:space="preserve"> by </w:t>
      </w:r>
      <w:r w:rsidR="00905607" w:rsidRPr="00301521">
        <w:rPr>
          <w:i/>
        </w:rPr>
        <w:t>ssb-PositionsInBurst</w:t>
      </w:r>
      <w:r w:rsidR="00905607" w:rsidRPr="00B916EC">
        <w:t xml:space="preserve"> </w:t>
      </w:r>
      <w:r w:rsidR="00905607">
        <w:rPr>
          <w:lang w:val="en-US"/>
        </w:rPr>
        <w:t xml:space="preserve">in </w:t>
      </w:r>
      <w:r w:rsidR="00432E4D">
        <w:rPr>
          <w:i/>
          <w:lang w:val="en-US"/>
        </w:rPr>
        <w:t>SIB1</w:t>
      </w:r>
      <w:r w:rsidR="00905607" w:rsidRPr="00B916EC">
        <w:rPr>
          <w:lang w:eastAsia="zh-CN"/>
        </w:rPr>
        <w:t xml:space="preserve">, </w:t>
      </w:r>
    </w:p>
    <w:p w14:paraId="5FC86A73" w14:textId="0495BACD" w:rsidR="00905607" w:rsidRDefault="00905607" w:rsidP="001A2A41">
      <w:pPr>
        <w:rPr>
          <w:lang w:eastAsia="zh-CN"/>
        </w:rPr>
      </w:pPr>
      <w:r w:rsidRPr="00B916EC">
        <w:rPr>
          <w:lang w:eastAsia="zh-CN"/>
        </w:rPr>
        <w:t xml:space="preserve">the UE </w:t>
      </w:r>
      <w:r>
        <w:rPr>
          <w:lang w:eastAsia="zh-CN"/>
        </w:rPr>
        <w:t>is not required to monitor</w:t>
      </w:r>
      <w:r w:rsidRPr="00B916EC">
        <w:rPr>
          <w:lang w:eastAsia="zh-CN"/>
        </w:rPr>
        <w:t xml:space="preserve"> the PDCCH </w:t>
      </w:r>
      <w:r>
        <w:rPr>
          <w:lang w:eastAsia="zh-CN"/>
        </w:rPr>
        <w:t>candidate</w:t>
      </w:r>
      <w:r w:rsidRPr="00B916EC">
        <w:rPr>
          <w:lang w:eastAsia="zh-CN"/>
        </w:rPr>
        <w:t>.</w:t>
      </w:r>
    </w:p>
    <w:p w14:paraId="7F2BF1F5" w14:textId="29568959" w:rsidR="001A2A41" w:rsidRPr="001C6B2D" w:rsidRDefault="001A2A41" w:rsidP="001C6B2D">
      <w:pPr>
        <w:jc w:val="both"/>
      </w:pPr>
      <w:r w:rsidRPr="00D26445">
        <w:t>For monitoring of a PDCCH candidate by a UE, if the UE</w:t>
      </w:r>
    </w:p>
    <w:p w14:paraId="0E735D45" w14:textId="3CA4FF0D" w:rsidR="001A2A41" w:rsidRDefault="00905607" w:rsidP="00905607">
      <w:pPr>
        <w:pStyle w:val="B1"/>
      </w:pPr>
      <w:r>
        <w:t>-</w:t>
      </w:r>
      <w:r>
        <w:tab/>
      </w:r>
      <w:r w:rsidRPr="00B916EC">
        <w:t xml:space="preserve">has received </w:t>
      </w:r>
      <w:r w:rsidRPr="00301521">
        <w:rPr>
          <w:i/>
        </w:rPr>
        <w:t>ssb-PositionsInBurst</w:t>
      </w:r>
      <w:r w:rsidRPr="00B916EC">
        <w:t xml:space="preserve"> </w:t>
      </w:r>
      <w:r>
        <w:rPr>
          <w:lang w:val="en-US"/>
        </w:rPr>
        <w:t xml:space="preserve">in </w:t>
      </w:r>
      <w:r w:rsidRPr="00A94818">
        <w:rPr>
          <w:i/>
        </w:rPr>
        <w:t>ServingCellConfigCommon</w:t>
      </w:r>
      <w:r>
        <w:rPr>
          <w:lang w:val="en-US"/>
        </w:rPr>
        <w:t xml:space="preserve"> </w:t>
      </w:r>
      <w:r>
        <w:t xml:space="preserve">for </w:t>
      </w:r>
      <w:r>
        <w:rPr>
          <w:lang w:val="en-US"/>
        </w:rPr>
        <w:t>a</w:t>
      </w:r>
      <w:r>
        <w:t xml:space="preserve"> serving cell</w:t>
      </w:r>
      <w:r w:rsidR="001A2A41">
        <w:rPr>
          <w:lang w:val="en-US"/>
        </w:rPr>
        <w:t>,</w:t>
      </w:r>
      <w:r>
        <w:t xml:space="preserve"> </w:t>
      </w:r>
      <w:r w:rsidRPr="00B916EC">
        <w:t>and</w:t>
      </w:r>
    </w:p>
    <w:p w14:paraId="46E5DAF1" w14:textId="2D924021" w:rsidR="001A2A41" w:rsidRDefault="001A2A41" w:rsidP="00905607">
      <w:pPr>
        <w:pStyle w:val="B1"/>
        <w:rPr>
          <w:lang w:val="en-US" w:eastAsia="zh-CN"/>
        </w:rPr>
      </w:pPr>
      <w:r>
        <w:rPr>
          <w:lang w:val="en-US"/>
        </w:rPr>
        <w:t>-</w:t>
      </w:r>
      <w:r>
        <w:rPr>
          <w:lang w:val="en-US"/>
        </w:rPr>
        <w:tab/>
      </w:r>
      <w:r w:rsidR="00905607">
        <w:rPr>
          <w:lang w:val="en-US" w:eastAsia="zh-CN"/>
        </w:rPr>
        <w:t xml:space="preserve">does not monitor PDCCH candidates in a Type0-PDCCH </w:t>
      </w:r>
      <w:r w:rsidR="00A54F7F">
        <w:rPr>
          <w:lang w:val="en-US" w:eastAsia="zh-CN"/>
        </w:rPr>
        <w:t>CSS set</w:t>
      </w:r>
      <w:r>
        <w:rPr>
          <w:lang w:val="en-US" w:eastAsia="zh-CN"/>
        </w:rPr>
        <w:t>,</w:t>
      </w:r>
      <w:r w:rsidR="00905607">
        <w:rPr>
          <w:lang w:val="en-US" w:eastAsia="zh-CN"/>
        </w:rPr>
        <w:t xml:space="preserve"> and </w:t>
      </w:r>
    </w:p>
    <w:p w14:paraId="590B3E3D" w14:textId="729126F4" w:rsidR="001A2A41" w:rsidRDefault="001A2A41" w:rsidP="00905607">
      <w:pPr>
        <w:pStyle w:val="B1"/>
        <w:rPr>
          <w:lang w:eastAsia="zh-CN"/>
        </w:rPr>
      </w:pPr>
      <w:r>
        <w:rPr>
          <w:lang w:val="en-US"/>
        </w:rPr>
        <w:t>-</w:t>
      </w:r>
      <w:r>
        <w:rPr>
          <w:lang w:val="en-US"/>
        </w:rPr>
        <w:tab/>
      </w:r>
      <w:r w:rsidR="00905607">
        <w:rPr>
          <w:lang w:val="en-US" w:eastAsia="zh-CN"/>
        </w:rPr>
        <w:t xml:space="preserve">at least one </w:t>
      </w:r>
      <w:r w:rsidR="00905607" w:rsidRPr="00B916EC">
        <w:rPr>
          <w:lang w:eastAsia="zh-CN"/>
        </w:rPr>
        <w:t>RE for</w:t>
      </w:r>
      <w:r w:rsidR="00905607">
        <w:rPr>
          <w:lang w:eastAsia="zh-CN"/>
        </w:rPr>
        <w:t xml:space="preserve"> </w:t>
      </w:r>
      <w:r w:rsidR="00905607" w:rsidRPr="00B916EC">
        <w:rPr>
          <w:lang w:eastAsia="zh-CN"/>
        </w:rPr>
        <w:t xml:space="preserve">a PDCCH </w:t>
      </w:r>
      <w:r w:rsidR="00905607">
        <w:rPr>
          <w:lang w:eastAsia="zh-CN"/>
        </w:rPr>
        <w:t>candidate</w:t>
      </w:r>
      <w:r w:rsidR="00905607" w:rsidRPr="00B916EC">
        <w:rPr>
          <w:lang w:eastAsia="zh-CN"/>
        </w:rPr>
        <w:t xml:space="preserve"> overlap</w:t>
      </w:r>
      <w:r w:rsidR="00905607">
        <w:rPr>
          <w:lang w:val="en-US" w:eastAsia="zh-CN"/>
        </w:rPr>
        <w:t>s</w:t>
      </w:r>
      <w:r w:rsidR="00905607" w:rsidRPr="00B916EC">
        <w:rPr>
          <w:lang w:eastAsia="zh-CN"/>
        </w:rPr>
        <w:t xml:space="preserve"> with </w:t>
      </w:r>
      <w:r w:rsidR="00905607">
        <w:rPr>
          <w:lang w:val="en-US" w:eastAsia="zh-CN"/>
        </w:rPr>
        <w:t xml:space="preserve">at least one </w:t>
      </w:r>
      <w:r w:rsidR="00905607" w:rsidRPr="00B916EC">
        <w:rPr>
          <w:lang w:eastAsia="zh-CN"/>
        </w:rPr>
        <w:t xml:space="preserve">RE </w:t>
      </w:r>
      <w:r w:rsidR="00CA776E" w:rsidRPr="00370E38">
        <w:rPr>
          <w:lang w:val="en-US" w:eastAsia="zh-CN"/>
        </w:rPr>
        <w:t>of a candidate SS/PBCH block</w:t>
      </w:r>
      <w:r w:rsidR="00ED4966">
        <w:rPr>
          <w:lang w:val="en-US" w:eastAsia="zh-CN" w:bidi="ar"/>
        </w:rPr>
        <w:t>, after puncturing if applicable,</w:t>
      </w:r>
      <w:r w:rsidR="00CA776E" w:rsidRPr="00370E38">
        <w:rPr>
          <w:lang w:val="en-US" w:eastAsia="zh-CN"/>
        </w:rPr>
        <w:t xml:space="preserve"> </w:t>
      </w:r>
      <w:r w:rsidR="00905607" w:rsidRPr="00B916EC">
        <w:rPr>
          <w:lang w:eastAsia="zh-CN"/>
        </w:rPr>
        <w:t xml:space="preserve">corresponding to </w:t>
      </w:r>
      <w:r w:rsidR="00905607">
        <w:rPr>
          <w:lang w:eastAsia="zh-CN"/>
        </w:rPr>
        <w:t xml:space="preserve">a </w:t>
      </w:r>
      <w:r w:rsidR="00905607" w:rsidRPr="00B916EC">
        <w:rPr>
          <w:lang w:eastAsia="zh-CN"/>
        </w:rPr>
        <w:t xml:space="preserve">SS/PBCH block index </w:t>
      </w:r>
      <w:r w:rsidR="00905607">
        <w:rPr>
          <w:lang w:eastAsia="zh-CN"/>
        </w:rPr>
        <w:t>provided</w:t>
      </w:r>
      <w:r w:rsidR="00905607" w:rsidRPr="00B916EC">
        <w:rPr>
          <w:lang w:eastAsia="zh-CN"/>
        </w:rPr>
        <w:t xml:space="preserve"> by </w:t>
      </w:r>
      <w:r w:rsidR="00905607" w:rsidRPr="00301521">
        <w:rPr>
          <w:i/>
        </w:rPr>
        <w:t>ssb-PositionsInBurst</w:t>
      </w:r>
      <w:r w:rsidR="00905607">
        <w:rPr>
          <w:iCs/>
          <w:lang w:val="en-US"/>
        </w:rPr>
        <w:t xml:space="preserve"> </w:t>
      </w:r>
      <w:r w:rsidR="00905607">
        <w:rPr>
          <w:lang w:val="en-US"/>
        </w:rPr>
        <w:t xml:space="preserve">in </w:t>
      </w:r>
      <w:r w:rsidR="00905607" w:rsidRPr="00A94818">
        <w:rPr>
          <w:i/>
        </w:rPr>
        <w:t>ServingCellConfigCommon</w:t>
      </w:r>
      <w:r w:rsidR="00905607" w:rsidRPr="00B916EC">
        <w:rPr>
          <w:lang w:eastAsia="zh-CN"/>
        </w:rPr>
        <w:t xml:space="preserve">, </w:t>
      </w:r>
    </w:p>
    <w:p w14:paraId="26A89838" w14:textId="14D8B7AE" w:rsidR="00905607" w:rsidRDefault="00905607" w:rsidP="001C6B2D">
      <w:pPr>
        <w:rPr>
          <w:lang w:val="en-US" w:eastAsia="zh-CN"/>
        </w:rPr>
      </w:pPr>
      <w:r w:rsidRPr="00B916EC">
        <w:rPr>
          <w:lang w:eastAsia="zh-CN"/>
        </w:rPr>
        <w:t xml:space="preserve">the UE </w:t>
      </w:r>
      <w:r>
        <w:rPr>
          <w:lang w:eastAsia="zh-CN"/>
        </w:rPr>
        <w:t>is not required to monitor</w:t>
      </w:r>
      <w:r w:rsidRPr="00B916EC">
        <w:rPr>
          <w:lang w:eastAsia="zh-CN"/>
        </w:rPr>
        <w:t xml:space="preserve"> the PDCCH </w:t>
      </w:r>
      <w:r>
        <w:rPr>
          <w:lang w:eastAsia="zh-CN"/>
        </w:rPr>
        <w:t>candidate</w:t>
      </w:r>
      <w:r w:rsidRPr="00B916EC">
        <w:rPr>
          <w:lang w:eastAsia="zh-CN"/>
        </w:rPr>
        <w:t>.</w:t>
      </w:r>
    </w:p>
    <w:p w14:paraId="19F91A5B" w14:textId="77777777" w:rsidR="00FC18A9" w:rsidRPr="00F415B1" w:rsidRDefault="00FC18A9" w:rsidP="00FC18A9">
      <w:pPr>
        <w:jc w:val="both"/>
      </w:pPr>
      <w:r w:rsidRPr="00F415B1">
        <w:t>For monitoring of a PDCCH candidate by a UE, if the UE</w:t>
      </w:r>
    </w:p>
    <w:p w14:paraId="0474C3F8" w14:textId="593C3632" w:rsidR="00FC18A9" w:rsidRPr="00F415B1" w:rsidRDefault="00FC18A9" w:rsidP="00FC18A9">
      <w:pPr>
        <w:pStyle w:val="B1"/>
      </w:pPr>
      <w:r w:rsidRPr="00F415B1">
        <w:t>-</w:t>
      </w:r>
      <w:r w:rsidRPr="00F415B1">
        <w:tab/>
        <w:t xml:space="preserve">has received </w:t>
      </w:r>
      <w:r w:rsidRPr="00F415B1">
        <w:rPr>
          <w:i/>
        </w:rPr>
        <w:t>ssb-PositionsInBurst</w:t>
      </w:r>
      <w:r w:rsidRPr="00F415B1">
        <w:t xml:space="preserve"> </w:t>
      </w:r>
      <w:r w:rsidRPr="00F415B1">
        <w:rPr>
          <w:lang w:val="en-US"/>
        </w:rPr>
        <w:t xml:space="preserve">in </w:t>
      </w:r>
      <w:r w:rsidR="00F472C8" w:rsidRPr="00037243">
        <w:rPr>
          <w:i/>
          <w:iCs/>
          <w:lang w:val="en-US"/>
        </w:rPr>
        <w:t>SSB-MTC</w:t>
      </w:r>
      <w:r w:rsidRPr="00F415B1">
        <w:rPr>
          <w:i/>
          <w:iCs/>
          <w:lang w:val="en-US"/>
        </w:rPr>
        <w:t>AdditionalPCI</w:t>
      </w:r>
      <w:r w:rsidRPr="00F415B1">
        <w:rPr>
          <w:lang w:val="en-US"/>
        </w:rPr>
        <w:t xml:space="preserve"> </w:t>
      </w:r>
      <w:r w:rsidRPr="00F415B1">
        <w:t xml:space="preserve">for </w:t>
      </w:r>
      <w:r w:rsidRPr="00F415B1">
        <w:rPr>
          <w:lang w:val="en-US"/>
        </w:rPr>
        <w:t>a</w:t>
      </w:r>
      <w:r w:rsidRPr="00F415B1">
        <w:t xml:space="preserve"> serving cell</w:t>
      </w:r>
      <w:r w:rsidRPr="00F415B1">
        <w:rPr>
          <w:lang w:val="en-US"/>
        </w:rPr>
        <w:t>,</w:t>
      </w:r>
      <w:r w:rsidRPr="00F415B1">
        <w:t xml:space="preserve"> and</w:t>
      </w:r>
    </w:p>
    <w:p w14:paraId="0E8EA955" w14:textId="4C115DE7" w:rsidR="00FC18A9" w:rsidRPr="00F415B1" w:rsidRDefault="00FC18A9" w:rsidP="00FC18A9">
      <w:pPr>
        <w:pStyle w:val="B1"/>
        <w:rPr>
          <w:lang w:eastAsia="zh-CN"/>
        </w:rPr>
      </w:pPr>
      <w:r w:rsidRPr="00F415B1">
        <w:rPr>
          <w:lang w:val="en-US"/>
        </w:rPr>
        <w:t>-</w:t>
      </w:r>
      <w:r w:rsidRPr="00F415B1">
        <w:rPr>
          <w:lang w:val="en-US"/>
        </w:rPr>
        <w:tab/>
      </w:r>
      <w:r w:rsidRPr="00F415B1">
        <w:rPr>
          <w:lang w:val="en-US" w:eastAsia="zh-CN"/>
        </w:rPr>
        <w:t xml:space="preserve">at least one </w:t>
      </w:r>
      <w:r w:rsidRPr="00F415B1">
        <w:rPr>
          <w:lang w:eastAsia="zh-CN"/>
        </w:rPr>
        <w:t>RE for a PDCCH candidate overlap</w:t>
      </w:r>
      <w:r w:rsidRPr="00F415B1">
        <w:rPr>
          <w:lang w:val="en-US" w:eastAsia="zh-CN"/>
        </w:rPr>
        <w:t>s</w:t>
      </w:r>
      <w:r w:rsidRPr="00F415B1">
        <w:rPr>
          <w:lang w:eastAsia="zh-CN"/>
        </w:rPr>
        <w:t xml:space="preserve"> with </w:t>
      </w:r>
      <w:r w:rsidRPr="00F415B1">
        <w:rPr>
          <w:lang w:val="en-US" w:eastAsia="zh-CN"/>
        </w:rPr>
        <w:t xml:space="preserve">at least one </w:t>
      </w:r>
      <w:r w:rsidRPr="00F415B1">
        <w:rPr>
          <w:lang w:eastAsia="zh-CN"/>
        </w:rPr>
        <w:t xml:space="preserve">RE </w:t>
      </w:r>
      <w:r w:rsidRPr="00F415B1">
        <w:rPr>
          <w:lang w:val="en-US" w:eastAsia="zh-CN"/>
        </w:rPr>
        <w:t>of a candidate SS/PBCH block</w:t>
      </w:r>
      <w:r w:rsidR="00ED4966">
        <w:rPr>
          <w:lang w:val="en-US" w:eastAsia="zh-CN" w:bidi="ar"/>
        </w:rPr>
        <w:t>, after puncturing if applicable,</w:t>
      </w:r>
      <w:r w:rsidRPr="00F415B1">
        <w:rPr>
          <w:lang w:val="en-US" w:eastAsia="zh-CN"/>
        </w:rPr>
        <w:t xml:space="preserve"> </w:t>
      </w:r>
      <w:r w:rsidRPr="00F415B1">
        <w:rPr>
          <w:lang w:eastAsia="zh-CN"/>
        </w:rPr>
        <w:t xml:space="preserve">corresponding to a SS/PBCH block index provided by </w:t>
      </w:r>
      <w:r w:rsidRPr="00F415B1">
        <w:rPr>
          <w:i/>
        </w:rPr>
        <w:t>ssb-PositionsInBurst</w:t>
      </w:r>
      <w:r w:rsidRPr="00F415B1">
        <w:rPr>
          <w:iCs/>
          <w:lang w:val="en-US"/>
        </w:rPr>
        <w:t xml:space="preserve"> </w:t>
      </w:r>
      <w:r w:rsidRPr="00F415B1">
        <w:rPr>
          <w:lang w:val="en-US"/>
        </w:rPr>
        <w:t xml:space="preserve">in </w:t>
      </w:r>
      <w:r w:rsidR="00F472C8" w:rsidRPr="00037243">
        <w:rPr>
          <w:i/>
          <w:iCs/>
          <w:lang w:val="en-US"/>
        </w:rPr>
        <w:t>SSB-MTC</w:t>
      </w:r>
      <w:r w:rsidRPr="00F415B1">
        <w:rPr>
          <w:i/>
          <w:iCs/>
          <w:lang w:val="en-US"/>
        </w:rPr>
        <w:t>AdditionalPCI</w:t>
      </w:r>
      <w:r w:rsidRPr="00F415B1">
        <w:rPr>
          <w:lang w:val="en-US"/>
        </w:rPr>
        <w:t xml:space="preserve"> with same physical cell identity as the one associated with a RS having same quasi-collocation properties as a CORESET for the PDCCH candidate</w:t>
      </w:r>
      <w:r>
        <w:rPr>
          <w:lang w:val="en-US"/>
        </w:rPr>
        <w:t>,</w:t>
      </w:r>
      <w:r w:rsidRPr="00F415B1">
        <w:rPr>
          <w:lang w:eastAsia="zh-CN"/>
        </w:rPr>
        <w:t xml:space="preserve"> </w:t>
      </w:r>
    </w:p>
    <w:p w14:paraId="1202EA1D" w14:textId="77777777" w:rsidR="00FC18A9" w:rsidRPr="00F415B1" w:rsidRDefault="00FC18A9" w:rsidP="00FC18A9">
      <w:pPr>
        <w:rPr>
          <w:lang w:val="en-US" w:eastAsia="zh-CN"/>
        </w:rPr>
      </w:pPr>
      <w:r w:rsidRPr="00F415B1">
        <w:rPr>
          <w:lang w:eastAsia="zh-CN"/>
        </w:rPr>
        <w:t>the UE is not required to monitor the PDCCH candidate.</w:t>
      </w:r>
    </w:p>
    <w:p w14:paraId="73A1040B" w14:textId="4B774719" w:rsidR="00FC18A9" w:rsidRPr="00357D46" w:rsidRDefault="00F472C8" w:rsidP="00FC18A9">
      <w:pPr>
        <w:rPr>
          <w:lang w:eastAsia="zh-CN"/>
        </w:rPr>
      </w:pPr>
      <w:r w:rsidRPr="00037243">
        <w:rPr>
          <w:lang w:eastAsia="zh-CN"/>
        </w:rPr>
        <w:t>A</w:t>
      </w:r>
      <w:r w:rsidR="00FC18A9">
        <w:rPr>
          <w:lang w:eastAsia="zh-CN"/>
        </w:rPr>
        <w:t xml:space="preserve"> UE is not required </w:t>
      </w:r>
      <w:r w:rsidR="00FC18A9" w:rsidRPr="00F415B1">
        <w:rPr>
          <w:lang w:eastAsia="zh-CN"/>
        </w:rPr>
        <w:t>to monitor PDCCH candidate</w:t>
      </w:r>
      <w:r w:rsidR="00FC18A9">
        <w:rPr>
          <w:lang w:eastAsia="zh-CN"/>
        </w:rPr>
        <w:t>s for a Type0/0A/</w:t>
      </w:r>
      <w:r w:rsidR="00B06EE0">
        <w:rPr>
          <w:lang w:eastAsia="zh-CN"/>
        </w:rPr>
        <w:t>0B/</w:t>
      </w:r>
      <w:r w:rsidR="00FC18A9">
        <w:rPr>
          <w:lang w:eastAsia="zh-CN"/>
        </w:rPr>
        <w:t>1</w:t>
      </w:r>
      <w:r w:rsidR="00B06EE0">
        <w:rPr>
          <w:lang w:eastAsia="zh-CN"/>
        </w:rPr>
        <w:t>/1A</w:t>
      </w:r>
      <w:r w:rsidR="00B06EE0" w:rsidRPr="00037243">
        <w:rPr>
          <w:lang w:eastAsia="zh-CN"/>
        </w:rPr>
        <w:t xml:space="preserve"> </w:t>
      </w:r>
      <w:r w:rsidRPr="00037243">
        <w:rPr>
          <w:lang w:eastAsia="zh-CN"/>
        </w:rPr>
        <w:t>/2</w:t>
      </w:r>
      <w:r w:rsidR="00B06EE0">
        <w:rPr>
          <w:lang w:eastAsia="zh-CN"/>
        </w:rPr>
        <w:t xml:space="preserve">/2A </w:t>
      </w:r>
      <w:r w:rsidR="00FC18A9">
        <w:rPr>
          <w:lang w:eastAsia="zh-CN"/>
        </w:rPr>
        <w:t xml:space="preserve">-PDCCH CSS set when the active TCI state for a corresponding CORESET is not associated with </w:t>
      </w:r>
      <w:r w:rsidR="00FC18A9" w:rsidRPr="00A82703">
        <w:rPr>
          <w:i/>
          <w:iCs/>
          <w:lang w:eastAsia="zh-CN"/>
        </w:rPr>
        <w:t>physCellId</w:t>
      </w:r>
      <w:r w:rsidR="00FC18A9">
        <w:rPr>
          <w:lang w:eastAsia="zh-CN"/>
        </w:rPr>
        <w:t xml:space="preserve"> in </w:t>
      </w:r>
      <w:r w:rsidR="00FC18A9" w:rsidRPr="00A82703">
        <w:rPr>
          <w:i/>
          <w:iCs/>
          <w:lang w:eastAsia="zh-CN"/>
        </w:rPr>
        <w:t>ServingCellConfigCommon</w:t>
      </w:r>
      <w:r w:rsidR="00FC18A9" w:rsidRPr="00357D46">
        <w:rPr>
          <w:lang w:eastAsia="zh-CN"/>
        </w:rPr>
        <w:t>.</w:t>
      </w:r>
    </w:p>
    <w:p w14:paraId="2CE4590A" w14:textId="396F085F" w:rsidR="00905607" w:rsidRDefault="00630DAD" w:rsidP="00FC18A9">
      <w:pPr>
        <w:rPr>
          <w:lang w:val="en-US" w:eastAsia="zh-CN"/>
        </w:rPr>
      </w:pPr>
      <w:r>
        <w:rPr>
          <w:lang w:eastAsia="zh-CN"/>
        </w:rPr>
        <w:t xml:space="preserve">If </w:t>
      </w:r>
      <w:r w:rsidR="001A2A41">
        <w:rPr>
          <w:lang w:eastAsia="zh-CN"/>
        </w:rPr>
        <w:t>a</w:t>
      </w:r>
      <w:r w:rsidRPr="00681B65">
        <w:rPr>
          <w:lang w:val="en-US" w:eastAsia="zh-CN"/>
        </w:rPr>
        <w:t xml:space="preserve"> UE monitors </w:t>
      </w:r>
      <w:r>
        <w:rPr>
          <w:lang w:val="en-US" w:eastAsia="zh-CN"/>
        </w:rPr>
        <w:t xml:space="preserve">the PDCCH candidate for a </w:t>
      </w:r>
      <w:r w:rsidRPr="00681B65">
        <w:rPr>
          <w:lang w:val="en-US" w:eastAsia="zh-CN"/>
        </w:rPr>
        <w:t xml:space="preserve">Type0-PDCCH </w:t>
      </w:r>
      <w:r w:rsidR="00A54F7F">
        <w:rPr>
          <w:lang w:val="en-US" w:eastAsia="zh-CN"/>
        </w:rPr>
        <w:t>CSS set</w:t>
      </w:r>
      <w:r w:rsidRPr="00681B65">
        <w:rPr>
          <w:lang w:val="en-US" w:eastAsia="zh-CN"/>
        </w:rPr>
        <w:t xml:space="preserve"> </w:t>
      </w:r>
      <w:r>
        <w:rPr>
          <w:lang w:val="en-US" w:eastAsia="zh-CN"/>
        </w:rPr>
        <w:t>on the</w:t>
      </w:r>
      <w:r w:rsidRPr="00681B65">
        <w:rPr>
          <w:lang w:val="en-US" w:eastAsia="zh-CN"/>
        </w:rPr>
        <w:t xml:space="preserve"> serving cell according to the procedure described </w:t>
      </w:r>
      <w:r w:rsidR="006F5F9E">
        <w:rPr>
          <w:lang w:val="en-US" w:eastAsia="zh-CN"/>
        </w:rPr>
        <w:t>in clause</w:t>
      </w:r>
      <w:r>
        <w:rPr>
          <w:lang w:val="en-US"/>
        </w:rPr>
        <w:t xml:space="preserve"> 13</w:t>
      </w:r>
      <w:r w:rsidRPr="00681B65">
        <w:rPr>
          <w:lang w:val="en-US" w:eastAsia="zh-CN"/>
        </w:rPr>
        <w:t xml:space="preserve">, the UE may assume that no SS/PBCH block is transmitted in REs used for </w:t>
      </w:r>
      <w:r>
        <w:rPr>
          <w:lang w:val="en-US" w:eastAsia="zh-CN"/>
        </w:rPr>
        <w:t xml:space="preserve">monitoring the </w:t>
      </w:r>
      <w:r w:rsidRPr="00681B65">
        <w:rPr>
          <w:lang w:val="en-US" w:eastAsia="zh-CN"/>
        </w:rPr>
        <w:t xml:space="preserve">PDCCH </w:t>
      </w:r>
      <w:r>
        <w:rPr>
          <w:lang w:val="en-US" w:eastAsia="zh-CN"/>
        </w:rPr>
        <w:t xml:space="preserve">candidate </w:t>
      </w:r>
      <w:r w:rsidRPr="00681B65">
        <w:rPr>
          <w:lang w:val="en-US" w:eastAsia="zh-CN"/>
        </w:rPr>
        <w:t>on the serving cell.</w:t>
      </w:r>
      <w:r w:rsidR="00905607" w:rsidRPr="00905607">
        <w:rPr>
          <w:lang w:val="en-US" w:eastAsia="zh-CN"/>
        </w:rPr>
        <w:t xml:space="preserve"> </w:t>
      </w:r>
    </w:p>
    <w:p w14:paraId="3DC29F1D" w14:textId="5B439315" w:rsidR="004660AA" w:rsidRDefault="00905607" w:rsidP="001C6B2D">
      <w:pPr>
        <w:rPr>
          <w:iCs/>
          <w:lang w:eastAsia="zh-CN"/>
        </w:rPr>
      </w:pPr>
      <w:r w:rsidRPr="00E251BD">
        <w:rPr>
          <w:lang w:eastAsia="zh-CN"/>
        </w:rPr>
        <w:t>If</w:t>
      </w:r>
      <w:r w:rsidRPr="00E251BD">
        <w:rPr>
          <w:iCs/>
          <w:lang w:eastAsia="zh-CN"/>
        </w:rPr>
        <w:t xml:space="preserve"> at least one RE of </w:t>
      </w:r>
      <w:r w:rsidRPr="00E251BD">
        <w:rPr>
          <w:iCs/>
          <w:lang w:val="en-US" w:eastAsia="zh-CN"/>
        </w:rPr>
        <w:t>a</w:t>
      </w:r>
      <w:r w:rsidRPr="00E251BD">
        <w:rPr>
          <w:iCs/>
          <w:lang w:eastAsia="zh-CN"/>
        </w:rPr>
        <w:t xml:space="preserve"> PDCCH candidate </w:t>
      </w:r>
      <w:r w:rsidR="001A2A41">
        <w:rPr>
          <w:iCs/>
          <w:lang w:eastAsia="zh-CN"/>
        </w:rPr>
        <w:t xml:space="preserve">for a UE </w:t>
      </w:r>
      <w:r w:rsidRPr="00E251BD">
        <w:rPr>
          <w:iCs/>
          <w:lang w:eastAsia="zh-CN"/>
        </w:rPr>
        <w:t xml:space="preserve">on the serving cell overlaps with at least one RE of </w:t>
      </w:r>
      <w:r w:rsidRPr="00E251BD">
        <w:rPr>
          <w:i/>
          <w:iCs/>
        </w:rPr>
        <w:t>lte-CRS-ToMatchAround</w:t>
      </w:r>
      <w:r w:rsidR="007547AA">
        <w:rPr>
          <w:iCs/>
        </w:rPr>
        <w:t xml:space="preserve"> or </w:t>
      </w:r>
      <w:r w:rsidR="007547AA">
        <w:t>of</w:t>
      </w:r>
      <w:r w:rsidR="007547AA" w:rsidRPr="001D63E8">
        <w:rPr>
          <w:i/>
        </w:rPr>
        <w:t xml:space="preserve"> LTE-CRS-PatternList</w:t>
      </w:r>
      <w:r w:rsidRPr="00E251BD">
        <w:t xml:space="preserve">, </w:t>
      </w:r>
      <w:r w:rsidRPr="00E251BD">
        <w:rPr>
          <w:iCs/>
          <w:lang w:eastAsia="zh-CN"/>
        </w:rPr>
        <w:t xml:space="preserve">the UE </w:t>
      </w:r>
    </w:p>
    <w:p w14:paraId="449522F2" w14:textId="77777777" w:rsidR="004660AA" w:rsidRPr="004660AA" w:rsidRDefault="004660AA" w:rsidP="004660AA">
      <w:pPr>
        <w:pStyle w:val="B1"/>
        <w:rPr>
          <w:lang w:eastAsia="zh-CN"/>
        </w:rPr>
      </w:pPr>
      <w:r>
        <w:rPr>
          <w:lang w:eastAsia="zh-CN"/>
        </w:rPr>
        <w:t>-</w:t>
      </w:r>
      <w:r>
        <w:rPr>
          <w:lang w:eastAsia="zh-CN"/>
        </w:rPr>
        <w:tab/>
      </w:r>
      <w:r w:rsidR="00905607" w:rsidRPr="00E251BD">
        <w:rPr>
          <w:lang w:eastAsia="zh-CN"/>
        </w:rPr>
        <w:t>is not required to monitor the PDCCH candidate</w:t>
      </w:r>
      <w:r w:rsidRPr="004660AA">
        <w:rPr>
          <w:lang w:eastAsia="zh-CN"/>
        </w:rPr>
        <w:t xml:space="preserve"> if the UE is not provided </w:t>
      </w:r>
      <w:r w:rsidRPr="004660AA">
        <w:rPr>
          <w:i/>
          <w:lang w:eastAsia="zh-CN"/>
        </w:rPr>
        <w:t>pdcchCandidateReception-WithCRSOverlap</w:t>
      </w:r>
      <w:r w:rsidRPr="004660AA">
        <w:rPr>
          <w:lang w:eastAsia="zh-CN"/>
        </w:rPr>
        <w:t>,</w:t>
      </w:r>
    </w:p>
    <w:p w14:paraId="4F388D0E" w14:textId="45D1EE08" w:rsidR="00630DAD" w:rsidRPr="004660AA" w:rsidRDefault="004660AA" w:rsidP="004660AA">
      <w:pPr>
        <w:pStyle w:val="B1"/>
        <w:rPr>
          <w:lang w:val="en-US" w:eastAsia="zh-CN"/>
        </w:rPr>
      </w:pPr>
      <w:r w:rsidRPr="004660AA">
        <w:rPr>
          <w:lang w:val="en-US"/>
        </w:rPr>
        <w:t>-</w:t>
      </w:r>
      <w:r w:rsidRPr="004660AA">
        <w:rPr>
          <w:lang w:val="en-US"/>
        </w:rPr>
        <w:tab/>
      </w:r>
      <w:r w:rsidRPr="004660AA">
        <w:rPr>
          <w:lang w:eastAsia="zh-CN"/>
        </w:rPr>
        <w:t xml:space="preserve">monitors the PDCCH candidate if the UE is provided </w:t>
      </w:r>
      <w:r w:rsidRPr="004660AA">
        <w:rPr>
          <w:i/>
          <w:lang w:eastAsia="zh-CN"/>
        </w:rPr>
        <w:t>pdcchCandidateReception-WithCRSOverlap</w:t>
      </w:r>
      <w:r w:rsidRPr="004660AA">
        <w:rPr>
          <w:lang w:eastAsia="zh-CN"/>
        </w:rPr>
        <w:t xml:space="preserve"> and the UE indicates an associated capability corresponding to the configuration of </w:t>
      </w:r>
      <w:r w:rsidRPr="004660AA">
        <w:rPr>
          <w:i/>
        </w:rPr>
        <w:t>lte-CRS-ToMatchAround</w:t>
      </w:r>
      <w:r w:rsidRPr="004660AA">
        <w:t xml:space="preserve"> or of</w:t>
      </w:r>
      <w:r w:rsidRPr="004660AA">
        <w:rPr>
          <w:lang w:eastAsia="zh-CN"/>
        </w:rPr>
        <w:t xml:space="preserve"> </w:t>
      </w:r>
      <w:r w:rsidRPr="004660AA">
        <w:rPr>
          <w:i/>
        </w:rPr>
        <w:t>LTE-CRS-PatternList</w:t>
      </w:r>
      <w:r w:rsidRPr="004660AA">
        <w:t xml:space="preserve"> [18, TS 38.306]</w:t>
      </w:r>
      <w:r w:rsidR="00905607" w:rsidRPr="00E251BD">
        <w:rPr>
          <w:lang w:val="en-US" w:eastAsia="zh-CN"/>
        </w:rPr>
        <w:t>.</w:t>
      </w:r>
    </w:p>
    <w:p w14:paraId="4AC97384" w14:textId="4AB61F2D" w:rsidR="00CA776E" w:rsidRPr="00370E38" w:rsidRDefault="00CA776E" w:rsidP="00CA776E">
      <w:r w:rsidRPr="00370E38">
        <w:t>I</w:t>
      </w:r>
      <w:r w:rsidRPr="00370E38">
        <w:rPr>
          <w:rFonts w:hint="eastAsia"/>
        </w:rPr>
        <w:t>f a UE is provided</w:t>
      </w:r>
      <w:r w:rsidRPr="00370E38">
        <w:rPr>
          <w:rFonts w:hint="eastAsia"/>
          <w:lang w:eastAsia="ko-KR"/>
        </w:rPr>
        <w:t xml:space="preserve"> </w:t>
      </w:r>
      <w:r w:rsidRPr="00370E38">
        <w:rPr>
          <w:rFonts w:hint="eastAsia"/>
          <w:i/>
          <w:iCs/>
          <w:lang w:eastAsia="ko-KR"/>
        </w:rPr>
        <w:t>availableRB-Set</w:t>
      </w:r>
      <w:r w:rsidR="003009BF">
        <w:rPr>
          <w:i/>
          <w:iCs/>
          <w:lang w:eastAsia="ko-KR"/>
        </w:rPr>
        <w:t>s</w:t>
      </w:r>
      <w:r w:rsidRPr="00370E38">
        <w:rPr>
          <w:rFonts w:hint="eastAsia"/>
          <w:i/>
          <w:iCs/>
          <w:lang w:eastAsia="ko-KR"/>
        </w:rPr>
        <w:t>PerCell,</w:t>
      </w:r>
      <w:r w:rsidRPr="00370E38">
        <w:rPr>
          <w:rFonts w:hint="eastAsia"/>
          <w:lang w:eastAsia="ko-KR"/>
        </w:rPr>
        <w:t xml:space="preserve"> </w:t>
      </w:r>
      <w:r w:rsidRPr="00370E38">
        <w:rPr>
          <w:rFonts w:hint="eastAsia"/>
        </w:rPr>
        <w:t xml:space="preserve">the UE is not required to monitor PDCCH candidates that overlap with any RB from </w:t>
      </w:r>
      <w:r w:rsidRPr="00370E38">
        <w:t>RB</w:t>
      </w:r>
      <w:r w:rsidRPr="00370E38">
        <w:rPr>
          <w:rFonts w:hint="eastAsia"/>
        </w:rPr>
        <w:t xml:space="preserve"> set</w:t>
      </w:r>
      <w:r w:rsidRPr="00370E38">
        <w:t>s</w:t>
      </w:r>
      <w:r w:rsidRPr="00370E38">
        <w:rPr>
          <w:rFonts w:hint="eastAsia"/>
        </w:rPr>
        <w:t xml:space="preserve"> that are indicated as unavailable for reception</w:t>
      </w:r>
      <w:r w:rsidRPr="00370E38">
        <w:t>s</w:t>
      </w:r>
      <w:r w:rsidRPr="00370E38">
        <w:rPr>
          <w:rFonts w:hint="eastAsia"/>
        </w:rPr>
        <w:t xml:space="preserve"> by </w:t>
      </w:r>
      <w:r w:rsidR="00ED6E36">
        <w:t xml:space="preserve">an available RB set indicator field in </w:t>
      </w:r>
      <w:r w:rsidRPr="00370E38">
        <w:rPr>
          <w:rFonts w:hint="eastAsia"/>
        </w:rPr>
        <w:t xml:space="preserve">DCI format 2_0 as described </w:t>
      </w:r>
      <w:r w:rsidR="006F5F9E">
        <w:rPr>
          <w:rFonts w:hint="eastAsia"/>
        </w:rPr>
        <w:t>in clause</w:t>
      </w:r>
      <w:r w:rsidRPr="00370E38">
        <w:rPr>
          <w:rFonts w:hint="eastAsia"/>
        </w:rPr>
        <w:t xml:space="preserve"> 11.1.1.</w:t>
      </w:r>
      <w:r w:rsidR="00ED6E36">
        <w:t xml:space="preserve"> </w:t>
      </w:r>
      <w:r w:rsidR="00ED6E36" w:rsidRPr="004112AA">
        <w:t xml:space="preserve">If </w:t>
      </w:r>
      <w:r w:rsidR="00ED6E36">
        <w:t>the</w:t>
      </w:r>
      <w:r w:rsidR="00ED6E36" w:rsidRPr="004112AA">
        <w:t xml:space="preserve"> UE does not </w:t>
      </w:r>
      <w:r w:rsidR="00ED6E36">
        <w:t>obtain</w:t>
      </w:r>
      <w:r w:rsidR="00ED6E36" w:rsidRPr="004112AA">
        <w:t xml:space="preserve"> </w:t>
      </w:r>
      <w:r w:rsidR="00ED6E36">
        <w:t xml:space="preserve">the </w:t>
      </w:r>
      <w:r w:rsidR="00ED6E36" w:rsidRPr="004112AA">
        <w:t>available RB set indicator for a symbol, the UE monitor</w:t>
      </w:r>
      <w:r w:rsidR="00ED6E36">
        <w:t>s</w:t>
      </w:r>
      <w:r w:rsidR="00ED6E36" w:rsidRPr="004112AA">
        <w:t xml:space="preserve"> PDCCH candidates on all RB sets in the symbol.</w:t>
      </w:r>
    </w:p>
    <w:p w14:paraId="4428D0C2" w14:textId="77777777" w:rsidR="00935931" w:rsidRDefault="00935931" w:rsidP="00935931">
      <w:pPr>
        <w:rPr>
          <w:lang w:eastAsia="ko-KR"/>
        </w:rPr>
      </w:pPr>
      <w:r>
        <w:rPr>
          <w:lang w:eastAsia="ko-KR"/>
        </w:rPr>
        <w:lastRenderedPageBreak/>
        <w:t>If a UE can support</w:t>
      </w:r>
    </w:p>
    <w:p w14:paraId="6CDD8C0D" w14:textId="57B87FE1" w:rsidR="00935931" w:rsidRPr="0062743C" w:rsidRDefault="00935931" w:rsidP="00935931">
      <w:pPr>
        <w:pStyle w:val="B1"/>
      </w:pPr>
      <w:r>
        <w:t>-</w:t>
      </w:r>
      <w:r>
        <w:tab/>
        <w:t xml:space="preserve">a first set of </w:t>
      </w:r>
      <m:oMath>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ctrlPr>
              <w:rPr>
                <w:rFonts w:ascii="Cambria Math" w:hAnsi="Cambria Math"/>
              </w:rPr>
            </m:ctrlPr>
          </m:sup>
        </m:sSubSup>
      </m:oMath>
      <w:r>
        <w:t xml:space="preserve"> serving </w:t>
      </w:r>
      <w:r w:rsidRPr="0062743C">
        <w:t>cells</w:t>
      </w:r>
      <w:r w:rsidRPr="0062743C">
        <w:rPr>
          <w:lang w:eastAsia="ko-KR"/>
        </w:rPr>
        <w:t xml:space="preserve"> where the UE is either not provided </w:t>
      </w:r>
      <w:r w:rsidR="003009BF">
        <w:rPr>
          <w:i/>
          <w:lang w:val="en-US"/>
        </w:rPr>
        <w:t>coreset</w:t>
      </w:r>
      <w:r w:rsidRPr="0062743C">
        <w:rPr>
          <w:i/>
        </w:rPr>
        <w:t>PoolIndex</w:t>
      </w:r>
      <w:r w:rsidRPr="0062743C">
        <w:t xml:space="preserve"> or is provided </w:t>
      </w:r>
      <w:r w:rsidR="003009BF">
        <w:rPr>
          <w:i/>
          <w:lang w:val="en-US"/>
        </w:rPr>
        <w:t>coreset</w:t>
      </w:r>
      <w:r w:rsidRPr="0062743C">
        <w:rPr>
          <w:i/>
        </w:rPr>
        <w:t>PoolIndex</w:t>
      </w:r>
      <w:r w:rsidRPr="0062743C">
        <w:t xml:space="preserve"> with a </w:t>
      </w:r>
      <w:r>
        <w:t>single</w:t>
      </w:r>
      <w:r w:rsidRPr="0062743C">
        <w:t xml:space="preserve"> value for all CORESETs on </w:t>
      </w:r>
      <w:r>
        <w:t>all</w:t>
      </w:r>
      <w:r w:rsidRPr="0062743C">
        <w:t xml:space="preserve"> DL BWPs of each </w:t>
      </w:r>
      <w:r w:rsidR="00792E98">
        <w:rPr>
          <w:lang w:val="en-US"/>
        </w:rPr>
        <w:t>scheduling</w:t>
      </w:r>
      <w:r w:rsidRPr="0062743C">
        <w:t xml:space="preserve"> cell from the first set of serving cells, and</w:t>
      </w:r>
    </w:p>
    <w:p w14:paraId="0A52BCF2" w14:textId="6B48B0D5" w:rsidR="00935931" w:rsidRDefault="00935931" w:rsidP="00CB3DE4">
      <w:pPr>
        <w:pStyle w:val="B1"/>
      </w:pPr>
      <w:r w:rsidRPr="0062743C">
        <w:t>-</w:t>
      </w:r>
      <w:r w:rsidRPr="0062743C">
        <w:tab/>
        <w:t xml:space="preserve">a second set of </w:t>
      </w:r>
      <m:oMath>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ctrlPr>
              <w:rPr>
                <w:rFonts w:ascii="Cambria Math" w:hAnsi="Cambria Math"/>
              </w:rPr>
            </m:ctrlPr>
          </m:sup>
        </m:sSubSup>
      </m:oMath>
      <w:r w:rsidRPr="0062743C">
        <w:t xml:space="preserve"> serving cells</w:t>
      </w:r>
      <w:r w:rsidRPr="0062743C">
        <w:rPr>
          <w:lang w:eastAsia="ko-KR"/>
        </w:rPr>
        <w:t xml:space="preserve"> where the UE </w:t>
      </w:r>
      <w:r w:rsidR="002019A0" w:rsidRPr="0062743C">
        <w:rPr>
          <w:lang w:eastAsia="ko-KR"/>
        </w:rPr>
        <w:t xml:space="preserve">is not provided </w:t>
      </w:r>
      <w:r w:rsidR="003009BF">
        <w:rPr>
          <w:i/>
          <w:lang w:val="en-US"/>
        </w:rPr>
        <w:t>coreset</w:t>
      </w:r>
      <w:r w:rsidR="002019A0" w:rsidRPr="0062743C">
        <w:rPr>
          <w:i/>
        </w:rPr>
        <w:t>PoolIndex</w:t>
      </w:r>
      <w:r w:rsidR="002019A0" w:rsidRPr="0062743C">
        <w:t xml:space="preserve"> or</w:t>
      </w:r>
      <w:r w:rsidR="002019A0" w:rsidRPr="0062743C">
        <w:rPr>
          <w:lang w:eastAsia="ko-KR"/>
        </w:rPr>
        <w:t xml:space="preserve"> </w:t>
      </w:r>
      <w:r w:rsidRPr="0062743C">
        <w:rPr>
          <w:lang w:eastAsia="ko-KR"/>
        </w:rPr>
        <w:t xml:space="preserve">is provided </w:t>
      </w:r>
      <w:r w:rsidR="003009BF">
        <w:rPr>
          <w:i/>
          <w:lang w:val="en-US"/>
        </w:rPr>
        <w:t>coreset</w:t>
      </w:r>
      <w:r w:rsidRPr="0062743C">
        <w:rPr>
          <w:i/>
        </w:rPr>
        <w:t>PoolIndex</w:t>
      </w:r>
      <w:r w:rsidRPr="0062743C">
        <w:t xml:space="preserve"> with a value 0 for a first CORESET</w:t>
      </w:r>
      <w:r w:rsidR="002019A0">
        <w:rPr>
          <w:lang w:val="en-US"/>
        </w:rPr>
        <w:t>,</w:t>
      </w:r>
      <w:r w:rsidRPr="0062743C">
        <w:t xml:space="preserve"> and with</w:t>
      </w:r>
      <w:r>
        <w:t xml:space="preserve"> a value 1 for a second CORESET on any DL BWP of each </w:t>
      </w:r>
      <w:r w:rsidR="00792E98">
        <w:rPr>
          <w:lang w:val="en-US"/>
        </w:rPr>
        <w:t>scheduling</w:t>
      </w:r>
      <w:r>
        <w:t xml:space="preserve"> cell from the second set of serving cells</w:t>
      </w:r>
    </w:p>
    <w:p w14:paraId="23274AE2" w14:textId="74806775" w:rsidR="00935931" w:rsidRDefault="00935931" w:rsidP="00935931">
      <w:pPr>
        <w:rPr>
          <w:lang w:eastAsia="ko-KR"/>
        </w:rPr>
      </w:pPr>
      <w:r>
        <w:rPr>
          <w:rFonts w:cstheme="minorHAnsi"/>
        </w:rPr>
        <w:t xml:space="preserve">the UE determines, for the purpose of reporting </w:t>
      </w:r>
      <w:r w:rsidRPr="002128CC">
        <w:rPr>
          <w:i/>
        </w:rPr>
        <w:t>pdcch-BlindDetectionCA</w:t>
      </w:r>
      <w:r>
        <w:rPr>
          <w:lang w:eastAsia="ko-KR"/>
        </w:rPr>
        <w:t xml:space="preserve">, </w:t>
      </w:r>
      <w:r w:rsidR="00121FE4" w:rsidRPr="00A51D05">
        <w:rPr>
          <w:i/>
        </w:rPr>
        <w:t>pdcch-BlindDetectionCA</w:t>
      </w:r>
      <w:r w:rsidR="00121FE4">
        <w:rPr>
          <w:i/>
        </w:rPr>
        <w:t>1</w:t>
      </w:r>
      <w:r w:rsidR="00121FE4" w:rsidRPr="00A51D05">
        <w:rPr>
          <w:lang w:eastAsia="ko-KR"/>
        </w:rPr>
        <w:t xml:space="preserve">, </w:t>
      </w:r>
      <w:r w:rsidR="00121FE4" w:rsidRPr="00A51D05">
        <w:rPr>
          <w:iCs/>
        </w:rPr>
        <w:t>and</w:t>
      </w:r>
      <w:r w:rsidR="00121FE4" w:rsidRPr="00A51D05">
        <w:rPr>
          <w:i/>
        </w:rPr>
        <w:t xml:space="preserve"> </w:t>
      </w:r>
      <w:r w:rsidR="00121FE4" w:rsidRPr="00A51D05">
        <w:rPr>
          <w:i/>
          <w:lang w:val="x-none"/>
        </w:rPr>
        <w:t>pdcch-BlindDetectionCA</w:t>
      </w:r>
      <w:r w:rsidR="00121FE4">
        <w:rPr>
          <w:i/>
          <w:lang w:val="en-US"/>
        </w:rPr>
        <w:t>3</w:t>
      </w:r>
      <w:r w:rsidR="00121FE4">
        <w:rPr>
          <w:lang w:eastAsia="ko-KR"/>
        </w:rPr>
        <w:t xml:space="preserve">, </w:t>
      </w:r>
      <w:r>
        <w:rPr>
          <w:lang w:eastAsia="ko-KR"/>
        </w:rPr>
        <w:t xml:space="preserve">a number of serving cells as </w:t>
      </w:r>
      <m:oMath>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ctrlPr>
              <w:rPr>
                <w:rFonts w:ascii="Cambria Math" w:hAnsi="Cambria Math"/>
              </w:rPr>
            </m:ctrlPr>
          </m:sup>
        </m:sSubSup>
        <m:r>
          <w:rPr>
            <w:rFonts w:ascii="Cambria Math" w:hAnsi="Cambria Math"/>
          </w:rPr>
          <m:t>+R</m:t>
        </m:r>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ctrlPr>
              <w:rPr>
                <w:rFonts w:ascii="Cambria Math" w:hAnsi="Cambria Math"/>
              </w:rPr>
            </m:ctrlPr>
          </m:sup>
        </m:sSubSup>
      </m:oMath>
      <w:r>
        <w:rPr>
          <w:rFonts w:cstheme="minorHAnsi"/>
        </w:rPr>
        <w:t xml:space="preserve"> where </w:t>
      </w:r>
      <m:oMath>
        <m:r>
          <w:rPr>
            <w:rFonts w:ascii="Cambria Math" w:hAnsi="Cambria Math"/>
          </w:rPr>
          <m:t>R</m:t>
        </m:r>
      </m:oMath>
      <w:r>
        <w:rPr>
          <w:rFonts w:cstheme="minorHAnsi"/>
        </w:rPr>
        <w:t xml:space="preserve"> is a value reported by the UE. </w:t>
      </w:r>
    </w:p>
    <w:p w14:paraId="4788234F" w14:textId="1A72DD70" w:rsidR="000902DA" w:rsidRDefault="008F41C7" w:rsidP="000902DA">
      <w:pPr>
        <w:rPr>
          <w:lang w:eastAsia="ko-KR"/>
        </w:rPr>
      </w:pPr>
      <w:r w:rsidRPr="00B916EC">
        <w:rPr>
          <w:lang w:eastAsia="ko-KR"/>
        </w:rPr>
        <w:t>If a</w:t>
      </w:r>
      <w:r w:rsidR="00905607" w:rsidRPr="00905607">
        <w:rPr>
          <w:lang w:eastAsia="ko-KR"/>
        </w:rPr>
        <w:t xml:space="preserve"> </w:t>
      </w:r>
      <w:r w:rsidR="00905607">
        <w:rPr>
          <w:lang w:eastAsia="ko-KR"/>
        </w:rPr>
        <w:t xml:space="preserve">UE indicates </w:t>
      </w:r>
      <w:r w:rsidR="00905607" w:rsidRPr="00B916EC">
        <w:rPr>
          <w:lang w:eastAsia="ko-KR"/>
        </w:rPr>
        <w:t xml:space="preserve">in </w:t>
      </w:r>
      <w:r w:rsidR="00905607" w:rsidRPr="00B916EC">
        <w:rPr>
          <w:i/>
          <w:iCs/>
        </w:rPr>
        <w:t>UE-NR-Capability</w:t>
      </w:r>
      <w:r w:rsidR="00905607" w:rsidRPr="00B916EC">
        <w:rPr>
          <w:lang w:eastAsia="ko-KR"/>
        </w:rPr>
        <w:t xml:space="preserve"> </w:t>
      </w:r>
      <w:r w:rsidR="00905607">
        <w:rPr>
          <w:lang w:eastAsia="ko-KR"/>
        </w:rPr>
        <w:t>a</w:t>
      </w:r>
      <w:r w:rsidRPr="00B916EC">
        <w:rPr>
          <w:lang w:eastAsia="ko-KR"/>
        </w:rPr>
        <w:t xml:space="preserve"> carrier aggregation capability larger than </w:t>
      </w:r>
      <w:r w:rsidR="00630DAD">
        <w:rPr>
          <w:lang w:eastAsia="ko-KR"/>
        </w:rPr>
        <w:t>4</w:t>
      </w:r>
      <w:r w:rsidR="00905607">
        <w:rPr>
          <w:lang w:eastAsia="ko-KR"/>
        </w:rPr>
        <w:t xml:space="preserve"> serving cells</w:t>
      </w:r>
      <w:r w:rsidR="00DB0DAD">
        <w:rPr>
          <w:lang w:eastAsia="ko-KR"/>
        </w:rPr>
        <w:t xml:space="preserve"> </w:t>
      </w:r>
      <w:r w:rsidR="00DB0DAD" w:rsidRPr="004A3CA7">
        <w:rPr>
          <w:lang w:eastAsia="ko-KR"/>
        </w:rPr>
        <w:t xml:space="preserve">and the UE is not provided </w:t>
      </w:r>
      <w:r w:rsidR="00847143">
        <w:rPr>
          <w:i/>
          <w:lang w:val="en-US"/>
        </w:rPr>
        <w:t>m</w:t>
      </w:r>
      <w:r w:rsidR="00847143" w:rsidRPr="007D5B32">
        <w:rPr>
          <w:i/>
          <w:lang w:val="en-US"/>
        </w:rPr>
        <w:t>onitoringCapabilityConfig</w:t>
      </w:r>
      <w:r w:rsidR="00DB0DAD" w:rsidRPr="004A3CA7">
        <w:rPr>
          <w:lang w:val="en-US"/>
        </w:rPr>
        <w:t xml:space="preserve"> for any </w:t>
      </w:r>
      <w:r w:rsidR="00DB0DAD">
        <w:rPr>
          <w:lang w:val="en-US"/>
        </w:rPr>
        <w:t>downlink</w:t>
      </w:r>
      <w:r w:rsidR="00DB0DAD" w:rsidRPr="004A3CA7">
        <w:rPr>
          <w:lang w:val="en-US"/>
        </w:rPr>
        <w:t xml:space="preserve"> cell or if the UE is </w:t>
      </w:r>
      <w:r w:rsidR="00DB0DAD" w:rsidRPr="004A3CA7">
        <w:rPr>
          <w:lang w:eastAsia="ko-KR"/>
        </w:rPr>
        <w:t xml:space="preserve">provided </w:t>
      </w:r>
      <w:r w:rsidR="00847143">
        <w:rPr>
          <w:i/>
          <w:lang w:val="en-US"/>
        </w:rPr>
        <w:t>m</w:t>
      </w:r>
      <w:r w:rsidR="00847143" w:rsidRPr="007D5B32">
        <w:rPr>
          <w:i/>
          <w:lang w:val="en-US"/>
        </w:rPr>
        <w:t>onitoringCapabilityConfig</w:t>
      </w:r>
      <w:r w:rsidR="00DB0DAD">
        <w:rPr>
          <w:lang w:val="en-US"/>
        </w:rPr>
        <w:t xml:space="preserve"> =</w:t>
      </w:r>
      <w:r w:rsidR="00DB0DAD" w:rsidRPr="004A3CA7">
        <w:rPr>
          <w:lang w:val="en-US"/>
        </w:rPr>
        <w:t xml:space="preserve"> </w:t>
      </w:r>
      <w:r w:rsidR="00847143">
        <w:rPr>
          <w:i/>
        </w:rPr>
        <w:t>r15monitoringcapability</w:t>
      </w:r>
      <w:r w:rsidR="00DB0DAD" w:rsidRPr="004A3CA7">
        <w:rPr>
          <w:lang w:val="en-US"/>
        </w:rPr>
        <w:t xml:space="preserve"> for all </w:t>
      </w:r>
      <w:r w:rsidR="00DB0DAD">
        <w:rPr>
          <w:lang w:val="en-US"/>
        </w:rPr>
        <w:t>downlink</w:t>
      </w:r>
      <w:r w:rsidR="00DB0DAD" w:rsidRPr="004A3CA7">
        <w:rPr>
          <w:lang w:val="en-US"/>
        </w:rPr>
        <w:t xml:space="preserve"> cells where the UE monitors PDCCH</w:t>
      </w:r>
      <w:r w:rsidR="002F563D" w:rsidRPr="00B916EC">
        <w:rPr>
          <w:lang w:eastAsia="ko-KR"/>
        </w:rPr>
        <w:t>, the UE include</w:t>
      </w:r>
      <w:r w:rsidRPr="00B916EC">
        <w:rPr>
          <w:lang w:eastAsia="ko-KR"/>
        </w:rPr>
        <w:t xml:space="preserve">s </w:t>
      </w:r>
      <w:r w:rsidR="002F563D" w:rsidRPr="00B916EC">
        <w:rPr>
          <w:lang w:eastAsia="ko-KR"/>
        </w:rPr>
        <w:t xml:space="preserve">in </w:t>
      </w:r>
      <w:r w:rsidR="002F563D" w:rsidRPr="00B916EC">
        <w:rPr>
          <w:i/>
          <w:iCs/>
        </w:rPr>
        <w:t>UE-NR-Capability</w:t>
      </w:r>
      <w:r w:rsidR="002F563D" w:rsidRPr="00B916EC">
        <w:rPr>
          <w:lang w:eastAsia="ko-KR"/>
        </w:rPr>
        <w:t xml:space="preserve"> an indication </w:t>
      </w:r>
      <w:r w:rsidRPr="00B916EC">
        <w:rPr>
          <w:lang w:eastAsia="ko-KR"/>
        </w:rPr>
        <w:t xml:space="preserve">for a maximum number of PDCCH candidates </w:t>
      </w:r>
      <w:r w:rsidR="00DB0DAD" w:rsidRPr="004A3CA7">
        <w:rPr>
          <w:lang w:eastAsia="ko-KR"/>
        </w:rPr>
        <w:t xml:space="preserve">and for a maximum number of non-overlapped CCEs </w:t>
      </w:r>
      <w:r w:rsidRPr="00B916EC">
        <w:rPr>
          <w:lang w:eastAsia="ko-KR"/>
        </w:rPr>
        <w:t>the UE can monitor per slot</w:t>
      </w:r>
      <w:r w:rsidR="001A6E6C" w:rsidRPr="00B916EC">
        <w:rPr>
          <w:lang w:eastAsia="ko-KR"/>
        </w:rPr>
        <w:t xml:space="preserve"> when the UE is configured for carrier aggregation operation over more than </w:t>
      </w:r>
      <w:r w:rsidR="00630DAD">
        <w:rPr>
          <w:lang w:eastAsia="ko-KR"/>
        </w:rPr>
        <w:t>4</w:t>
      </w:r>
      <w:r w:rsidR="00630DAD" w:rsidRPr="00B916EC">
        <w:rPr>
          <w:lang w:eastAsia="ko-KR"/>
        </w:rPr>
        <w:t xml:space="preserve"> </w:t>
      </w:r>
      <w:r w:rsidR="001A6E6C" w:rsidRPr="00B916EC">
        <w:rPr>
          <w:lang w:eastAsia="ko-KR"/>
        </w:rPr>
        <w:t xml:space="preserve">cells. </w:t>
      </w:r>
      <w:r w:rsidR="000902DA">
        <w:rPr>
          <w:lang w:eastAsia="ko-KR"/>
        </w:rPr>
        <w:t xml:space="preserve">When a UE is not configured for NR-DC operation, </w:t>
      </w:r>
      <w:r w:rsidR="000902DA">
        <w:t>the UE determines</w:t>
      </w:r>
      <w:r w:rsidR="000902DA">
        <w:rPr>
          <w:lang w:eastAsia="ko-KR"/>
        </w:rPr>
        <w:t xml:space="preserve"> a capability to monitor a maximum number of PDCCH candidates</w:t>
      </w:r>
      <w:r w:rsidR="00DB0DAD" w:rsidRPr="00DB0DAD">
        <w:rPr>
          <w:lang w:eastAsia="ko-KR"/>
        </w:rPr>
        <w:t xml:space="preserve"> </w:t>
      </w:r>
      <w:r w:rsidR="00DB0DAD" w:rsidRPr="004A3CA7">
        <w:rPr>
          <w:lang w:eastAsia="ko-KR"/>
        </w:rPr>
        <w:t>and a maximum number of non-overlapped CCEs</w:t>
      </w:r>
      <w:r w:rsidR="000902DA">
        <w:rPr>
          <w:lang w:eastAsia="ko-KR"/>
        </w:rPr>
        <w:t xml:space="preserve"> per slot that corresponds to </w:t>
      </w:r>
      <m:oMath>
        <m:sSubSup>
          <m:sSubSupPr>
            <m:ctrlPr>
              <w:rPr>
                <w:rFonts w:ascii="Cambria Math" w:hAnsi="Cambria Math"/>
                <w:i/>
                <w:sz w:val="24"/>
                <w:szCs w:val="24"/>
              </w:rPr>
            </m:ctrlPr>
          </m:sSubSupPr>
          <m:e>
            <m:r>
              <w:rPr>
                <w:rFonts w:ascii="Cambria Math"/>
              </w:rPr>
              <m:t>N</m:t>
            </m:r>
          </m:e>
          <m:sub>
            <m:r>
              <m:rPr>
                <m:nor/>
              </m:rPr>
              <w:rPr>
                <w:rFonts w:ascii="Cambria Math"/>
              </w:rPr>
              <m:t>cells</m:t>
            </m:r>
            <m:ctrlPr>
              <w:rPr>
                <w:rFonts w:ascii="Cambria Math" w:hAnsi="Cambria Math"/>
                <w:sz w:val="24"/>
                <w:szCs w:val="24"/>
              </w:rPr>
            </m:ctrlPr>
          </m:sub>
          <m:sup>
            <m:r>
              <m:rPr>
                <m:nor/>
              </m:rPr>
              <w:rPr>
                <w:rFonts w:ascii="Cambria Math"/>
              </w:rPr>
              <m:t>cap</m:t>
            </m:r>
            <m:ctrlPr>
              <w:rPr>
                <w:rFonts w:ascii="Cambria Math" w:hAnsi="Cambria Math"/>
                <w:sz w:val="24"/>
                <w:szCs w:val="24"/>
              </w:rPr>
            </m:ctrlPr>
          </m:sup>
        </m:sSubSup>
      </m:oMath>
      <w:r w:rsidR="000902DA">
        <w:t xml:space="preserve"> downlink cells, where</w:t>
      </w:r>
    </w:p>
    <w:p w14:paraId="4CBF63A4" w14:textId="08216487" w:rsidR="000902DA" w:rsidRPr="00D10A31" w:rsidRDefault="000902DA" w:rsidP="00A00BD5">
      <w:pPr>
        <w:pStyle w:val="B1"/>
        <w:rPr>
          <w:lang w:eastAsia="ko-KR"/>
        </w:rPr>
      </w:pPr>
      <w:r>
        <w:t>-</w:t>
      </w:r>
      <w:r>
        <w:tab/>
      </w:r>
      <m:oMath>
        <m:sSubSup>
          <m:sSubSupPr>
            <m:ctrlPr>
              <w:rPr>
                <w:rFonts w:ascii="Cambria Math" w:hAnsi="Cambria Math"/>
                <w:i/>
                <w:sz w:val="24"/>
                <w:szCs w:val="24"/>
              </w:rPr>
            </m:ctrlPr>
          </m:sSubSupPr>
          <m:e>
            <m:r>
              <w:rPr>
                <w:rFonts w:ascii="Cambria Math"/>
              </w:rPr>
              <m:t>N</m:t>
            </m:r>
          </m:e>
          <m:sub>
            <m:r>
              <m:rPr>
                <m:nor/>
              </m:rPr>
              <w:rPr>
                <w:rFonts w:ascii="Cambria Math"/>
              </w:rPr>
              <m:t>cells</m:t>
            </m:r>
            <m:ctrlPr>
              <w:rPr>
                <w:rFonts w:ascii="Cambria Math" w:hAnsi="Cambria Math"/>
                <w:sz w:val="24"/>
                <w:szCs w:val="24"/>
              </w:rPr>
            </m:ctrlPr>
          </m:sub>
          <m:sup>
            <m:r>
              <m:rPr>
                <m:nor/>
              </m:rPr>
              <w:rPr>
                <w:rFonts w:ascii="Cambria Math"/>
              </w:rPr>
              <m:t>cap</m:t>
            </m:r>
            <m:ctrlPr>
              <w:rPr>
                <w:rFonts w:ascii="Cambria Math" w:hAnsi="Cambria Math"/>
                <w:sz w:val="24"/>
                <w:szCs w:val="24"/>
              </w:rPr>
            </m:ctrlPr>
          </m:sup>
        </m:sSubSup>
      </m:oMath>
      <w:r>
        <w:t xml:space="preserve"> </w:t>
      </w:r>
      <w:r>
        <w:rPr>
          <w:lang w:eastAsia="ko-KR"/>
        </w:rPr>
        <w:t xml:space="preserve">is </w:t>
      </w:r>
      <m:oMath>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ctrlPr>
              <w:rPr>
                <w:rFonts w:ascii="Cambria Math" w:hAnsi="Cambria Math"/>
              </w:rPr>
            </m:ctrlPr>
          </m:sup>
        </m:sSubSup>
        <m:r>
          <w:rPr>
            <w:rFonts w:ascii="Cambria Math" w:hAnsi="Cambria Math"/>
          </w:rPr>
          <m:t>+R</m:t>
        </m:r>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ctrlPr>
              <w:rPr>
                <w:rFonts w:ascii="Cambria Math" w:hAnsi="Cambria Math"/>
              </w:rPr>
            </m:ctrlPr>
          </m:sup>
        </m:sSubSup>
      </m:oMath>
      <w:r>
        <w:rPr>
          <w:lang w:eastAsia="ko-KR"/>
        </w:rPr>
        <w:t xml:space="preserve"> if</w:t>
      </w:r>
      <w:r w:rsidRPr="008F5160">
        <w:rPr>
          <w:lang w:eastAsia="ko-KR"/>
        </w:rPr>
        <w:t xml:space="preserve"> the UE </w:t>
      </w:r>
      <w:r>
        <w:rPr>
          <w:lang w:eastAsia="ko-KR"/>
        </w:rPr>
        <w:t xml:space="preserve">does not provide </w:t>
      </w:r>
      <w:r w:rsidRPr="00F723E2">
        <w:rPr>
          <w:i/>
        </w:rPr>
        <w:t>pdcch-BlindDetectionCA</w:t>
      </w:r>
      <w:r w:rsidR="0019139F">
        <w:t xml:space="preserve"> where</w:t>
      </w:r>
      <w:r w:rsidR="0019139F">
        <w:rPr>
          <w:lang w:eastAsia="ko-KR"/>
        </w:rPr>
        <w:t xml:space="preserve"> </w:t>
      </w:r>
      <m:oMath>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ctrlPr>
              <w:rPr>
                <w:rFonts w:ascii="Cambria Math" w:hAnsi="Cambria Math"/>
              </w:rPr>
            </m:ctrlPr>
          </m:sup>
        </m:sSubSup>
      </m:oMath>
      <w:r w:rsidR="0019139F">
        <w:t xml:space="preserve"> is the number of configured downlink </w:t>
      </w:r>
      <w:r w:rsidR="0019139F">
        <w:rPr>
          <w:rFonts w:cstheme="minorHAnsi"/>
        </w:rPr>
        <w:t>serving cells</w:t>
      </w:r>
    </w:p>
    <w:p w14:paraId="655E7187" w14:textId="041A43DF" w:rsidR="000902DA" w:rsidRDefault="000902DA" w:rsidP="00A00BD5">
      <w:pPr>
        <w:pStyle w:val="B1"/>
        <w:rPr>
          <w:lang w:eastAsia="ko-KR"/>
        </w:rPr>
      </w:pPr>
      <w:r>
        <w:t>-</w:t>
      </w:r>
      <w:r>
        <w:tab/>
      </w:r>
      <w:r w:rsidRPr="002128CC">
        <w:t xml:space="preserve">otherwise, </w:t>
      </w:r>
      <m:oMath>
        <m:sSubSup>
          <m:sSubSupPr>
            <m:ctrlPr>
              <w:rPr>
                <w:rFonts w:ascii="Cambria Math" w:hAnsi="Cambria Math"/>
                <w:i/>
                <w:sz w:val="24"/>
                <w:szCs w:val="24"/>
              </w:rPr>
            </m:ctrlPr>
          </m:sSubSupPr>
          <m:e>
            <m:r>
              <w:rPr>
                <w:rFonts w:ascii="Cambria Math"/>
              </w:rPr>
              <m:t>N</m:t>
            </m:r>
          </m:e>
          <m:sub>
            <m:r>
              <m:rPr>
                <m:nor/>
              </m:rPr>
              <w:rPr>
                <w:rFonts w:ascii="Cambria Math"/>
              </w:rPr>
              <m:t>cells</m:t>
            </m:r>
            <m:ctrlPr>
              <w:rPr>
                <w:rFonts w:ascii="Cambria Math" w:hAnsi="Cambria Math"/>
                <w:sz w:val="24"/>
                <w:szCs w:val="24"/>
              </w:rPr>
            </m:ctrlPr>
          </m:sub>
          <m:sup>
            <m:r>
              <m:rPr>
                <m:nor/>
              </m:rPr>
              <w:rPr>
                <w:rFonts w:ascii="Cambria Math"/>
              </w:rPr>
              <m:t>cap</m:t>
            </m:r>
            <m:ctrlPr>
              <w:rPr>
                <w:rFonts w:ascii="Cambria Math" w:hAnsi="Cambria Math"/>
                <w:sz w:val="24"/>
                <w:szCs w:val="24"/>
              </w:rPr>
            </m:ctrlPr>
          </m:sup>
        </m:sSubSup>
      </m:oMath>
      <w:r w:rsidRPr="00D20E88">
        <w:t xml:space="preserve"> </w:t>
      </w:r>
      <w:r w:rsidRPr="002128CC">
        <w:t xml:space="preserve">is the value of </w:t>
      </w:r>
      <w:r w:rsidRPr="002128CC">
        <w:rPr>
          <w:i/>
        </w:rPr>
        <w:t>pdcch-BlindDetectionCA</w:t>
      </w:r>
      <w:r w:rsidRPr="002128CC">
        <w:rPr>
          <w:lang w:eastAsia="ko-KR"/>
        </w:rPr>
        <w:t xml:space="preserve"> </w:t>
      </w:r>
    </w:p>
    <w:p w14:paraId="733637E8" w14:textId="73653435" w:rsidR="000902DA" w:rsidRDefault="000902DA" w:rsidP="000902DA">
      <w:pPr>
        <w:rPr>
          <w:lang w:eastAsia="ko-KR"/>
        </w:rPr>
      </w:pPr>
      <w:r>
        <w:rPr>
          <w:lang w:eastAsia="ko-KR"/>
        </w:rPr>
        <w:t xml:space="preserve">When a UE is configured for NR-DC operation, </w:t>
      </w:r>
      <w:r>
        <w:t>the UE determines</w:t>
      </w:r>
      <w:r>
        <w:rPr>
          <w:lang w:eastAsia="ko-KR"/>
        </w:rPr>
        <w:t xml:space="preserve"> a capability </w:t>
      </w:r>
      <w:r>
        <w:t xml:space="preserve">to </w:t>
      </w:r>
      <w:r>
        <w:rPr>
          <w:lang w:eastAsia="ko-KR"/>
        </w:rPr>
        <w:t xml:space="preserve">monitor a maximum number of PDCCH candidates </w:t>
      </w:r>
      <w:r w:rsidR="00DB0DAD">
        <w:rPr>
          <w:lang w:eastAsia="ko-KR"/>
        </w:rPr>
        <w:t xml:space="preserve">and a maximum number of non-overlapped CCEs </w:t>
      </w:r>
      <w:r>
        <w:rPr>
          <w:lang w:eastAsia="ko-KR"/>
        </w:rPr>
        <w:t xml:space="preserve">per slot that corresponds to </w:t>
      </w:r>
      <m:oMath>
        <m:sSubSup>
          <m:sSubSupPr>
            <m:ctrlPr>
              <w:rPr>
                <w:rFonts w:ascii="Cambria Math" w:hAnsi="Cambria Math"/>
                <w:i/>
                <w:sz w:val="24"/>
                <w:szCs w:val="24"/>
              </w:rPr>
            </m:ctrlPr>
          </m:sSubSupPr>
          <m:e>
            <m:r>
              <w:rPr>
                <w:rFonts w:ascii="Cambria Math"/>
              </w:rPr>
              <m:t>N</m:t>
            </m:r>
          </m:e>
          <m:sub>
            <m:r>
              <m:rPr>
                <m:nor/>
              </m:rPr>
              <w:rPr>
                <w:rFonts w:ascii="Cambria Math"/>
              </w:rPr>
              <m:t>cells</m:t>
            </m:r>
            <m:ctrlPr>
              <w:rPr>
                <w:rFonts w:ascii="Cambria Math" w:hAnsi="Cambria Math"/>
                <w:sz w:val="24"/>
                <w:szCs w:val="24"/>
              </w:rPr>
            </m:ctrlPr>
          </m:sub>
          <m:sup>
            <m:r>
              <m:rPr>
                <m:nor/>
              </m:rPr>
              <w:rPr>
                <w:rFonts w:ascii="Cambria Math"/>
              </w:rPr>
              <m:t>cap</m:t>
            </m:r>
            <m:ctrlPr>
              <w:rPr>
                <w:rFonts w:ascii="Cambria Math" w:hAnsi="Cambria Math"/>
                <w:sz w:val="24"/>
                <w:szCs w:val="24"/>
              </w:rPr>
            </m:ctrlPr>
          </m:sup>
        </m:sSubSup>
        <m:r>
          <w:rPr>
            <w:rFonts w:ascii="Cambria Math" w:hAnsi="Cambria Math"/>
          </w:rPr>
          <m:t>=</m:t>
        </m:r>
        <m:sSubSup>
          <m:sSubSupPr>
            <m:ctrlPr>
              <w:rPr>
                <w:rFonts w:ascii="Cambria Math" w:hAnsi="Cambria Math"/>
                <w:i/>
                <w:sz w:val="24"/>
                <w:szCs w:val="24"/>
              </w:rPr>
            </m:ctrlPr>
          </m:sSubSupPr>
          <m:e>
            <m:r>
              <w:rPr>
                <w:rFonts w:ascii="Cambria Math"/>
              </w:rPr>
              <m:t>N</m:t>
            </m:r>
          </m:e>
          <m:sub>
            <m:r>
              <m:rPr>
                <m:nor/>
              </m:rPr>
              <w:rPr>
                <w:rFonts w:ascii="Cambria Math"/>
              </w:rPr>
              <m:t>cells</m:t>
            </m:r>
            <m:ctrlPr>
              <w:rPr>
                <w:rFonts w:ascii="Cambria Math" w:hAnsi="Cambria Math"/>
                <w:sz w:val="24"/>
                <w:szCs w:val="24"/>
              </w:rPr>
            </m:ctrlPr>
          </m:sub>
          <m:sup>
            <m:r>
              <m:rPr>
                <m:nor/>
              </m:rPr>
              <w:rPr>
                <w:rFonts w:ascii="Cambria Math"/>
              </w:rPr>
              <m:t>MCG</m:t>
            </m:r>
            <m:ctrlPr>
              <w:rPr>
                <w:rFonts w:ascii="Cambria Math" w:hAnsi="Cambria Math"/>
                <w:sz w:val="24"/>
                <w:szCs w:val="24"/>
              </w:rPr>
            </m:ctrlPr>
          </m:sup>
        </m:sSubSup>
      </m:oMath>
      <w:r w:rsidRPr="00D20E88">
        <w:t xml:space="preserve"> downlink cells</w:t>
      </w:r>
      <w:r>
        <w:t xml:space="preserve"> for the MCG where </w:t>
      </w:r>
      <m:oMath>
        <m:sSubSup>
          <m:sSubSupPr>
            <m:ctrlPr>
              <w:rPr>
                <w:rFonts w:ascii="Cambria Math" w:hAnsi="Cambria Math"/>
                <w:i/>
                <w:sz w:val="24"/>
                <w:szCs w:val="24"/>
              </w:rPr>
            </m:ctrlPr>
          </m:sSubSupPr>
          <m:e>
            <m:r>
              <w:rPr>
                <w:rFonts w:ascii="Cambria Math"/>
              </w:rPr>
              <m:t>N</m:t>
            </m:r>
          </m:e>
          <m:sub>
            <m:r>
              <m:rPr>
                <m:nor/>
              </m:rPr>
              <w:rPr>
                <w:rFonts w:ascii="Cambria Math"/>
              </w:rPr>
              <m:t>cells</m:t>
            </m:r>
            <m:ctrlPr>
              <w:rPr>
                <w:rFonts w:ascii="Cambria Math" w:hAnsi="Cambria Math"/>
                <w:sz w:val="24"/>
                <w:szCs w:val="24"/>
              </w:rPr>
            </m:ctrlPr>
          </m:sub>
          <m:sup>
            <m:r>
              <m:rPr>
                <m:nor/>
              </m:rPr>
              <w:rPr>
                <w:rFonts w:ascii="Cambria Math"/>
              </w:rPr>
              <m:t>MCG</m:t>
            </m:r>
            <m:ctrlPr>
              <w:rPr>
                <w:rFonts w:ascii="Cambria Math" w:hAnsi="Cambria Math"/>
                <w:sz w:val="24"/>
                <w:szCs w:val="24"/>
              </w:rPr>
            </m:ctrlPr>
          </m:sup>
        </m:sSubSup>
      </m:oMath>
      <w:r>
        <w:t xml:space="preserve"> is</w:t>
      </w:r>
      <w:r>
        <w:rPr>
          <w:lang w:eastAsia="ko-KR"/>
        </w:rPr>
        <w:t xml:space="preserve"> provided by </w:t>
      </w:r>
      <w:r>
        <w:rPr>
          <w:i/>
        </w:rPr>
        <w:t>pdcch-BlindDetection</w:t>
      </w:r>
      <w:r>
        <w:t xml:space="preserve"> </w:t>
      </w:r>
      <w:r w:rsidR="00ED0329">
        <w:t xml:space="preserve">for the MCG </w:t>
      </w:r>
      <w:r>
        <w:rPr>
          <w:lang w:eastAsia="ko-KR"/>
        </w:rPr>
        <w:t xml:space="preserve">and </w:t>
      </w:r>
      <w:r>
        <w:t>determines</w:t>
      </w:r>
      <w:r>
        <w:rPr>
          <w:lang w:eastAsia="ko-KR"/>
        </w:rPr>
        <w:t xml:space="preserve"> a capability</w:t>
      </w:r>
      <w:r>
        <w:t xml:space="preserve"> to </w:t>
      </w:r>
      <w:r>
        <w:rPr>
          <w:lang w:eastAsia="ko-KR"/>
        </w:rPr>
        <w:t xml:space="preserve">monitor a maximum number of PDCCH candidates </w:t>
      </w:r>
      <w:r w:rsidR="00DB0DAD">
        <w:rPr>
          <w:lang w:eastAsia="ko-KR"/>
        </w:rPr>
        <w:t xml:space="preserve">and a maximum number of non-overlapped CCEs </w:t>
      </w:r>
      <w:r>
        <w:rPr>
          <w:lang w:eastAsia="ko-KR"/>
        </w:rPr>
        <w:t xml:space="preserve">per slot that corresponds to </w:t>
      </w:r>
      <m:oMath>
        <m:sSubSup>
          <m:sSubSupPr>
            <m:ctrlPr>
              <w:rPr>
                <w:rFonts w:ascii="Cambria Math" w:hAnsi="Cambria Math"/>
                <w:i/>
                <w:sz w:val="24"/>
                <w:szCs w:val="24"/>
              </w:rPr>
            </m:ctrlPr>
          </m:sSubSupPr>
          <m:e>
            <m:r>
              <w:rPr>
                <w:rFonts w:ascii="Cambria Math"/>
              </w:rPr>
              <m:t>N</m:t>
            </m:r>
          </m:e>
          <m:sub>
            <m:r>
              <m:rPr>
                <m:nor/>
              </m:rPr>
              <w:rPr>
                <w:rFonts w:ascii="Cambria Math"/>
              </w:rPr>
              <m:t>cells</m:t>
            </m:r>
            <m:ctrlPr>
              <w:rPr>
                <w:rFonts w:ascii="Cambria Math" w:hAnsi="Cambria Math"/>
                <w:sz w:val="24"/>
                <w:szCs w:val="24"/>
              </w:rPr>
            </m:ctrlPr>
          </m:sub>
          <m:sup>
            <m:r>
              <m:rPr>
                <m:nor/>
              </m:rPr>
              <w:rPr>
                <w:rFonts w:ascii="Cambria Math"/>
              </w:rPr>
              <m:t>cap</m:t>
            </m:r>
            <m:ctrlPr>
              <w:rPr>
                <w:rFonts w:ascii="Cambria Math" w:hAnsi="Cambria Math"/>
                <w:sz w:val="24"/>
                <w:szCs w:val="24"/>
              </w:rPr>
            </m:ctrlPr>
          </m:sup>
        </m:sSubSup>
        <m:r>
          <w:rPr>
            <w:rFonts w:ascii="Cambria Math" w:hAnsi="Cambria Math"/>
          </w:rPr>
          <m:t>=</m:t>
        </m:r>
        <m:sSubSup>
          <m:sSubSupPr>
            <m:ctrlPr>
              <w:rPr>
                <w:rFonts w:ascii="Cambria Math" w:hAnsi="Cambria Math"/>
                <w:i/>
                <w:sz w:val="24"/>
                <w:szCs w:val="24"/>
              </w:rPr>
            </m:ctrlPr>
          </m:sSubSupPr>
          <m:e>
            <m:r>
              <w:rPr>
                <w:rFonts w:ascii="Cambria Math"/>
              </w:rPr>
              <m:t>N</m:t>
            </m:r>
          </m:e>
          <m:sub>
            <m:r>
              <m:rPr>
                <m:nor/>
              </m:rPr>
              <w:rPr>
                <w:rFonts w:ascii="Cambria Math"/>
              </w:rPr>
              <m:t>cells</m:t>
            </m:r>
            <m:ctrlPr>
              <w:rPr>
                <w:rFonts w:ascii="Cambria Math" w:hAnsi="Cambria Math"/>
                <w:sz w:val="24"/>
                <w:szCs w:val="24"/>
              </w:rPr>
            </m:ctrlPr>
          </m:sub>
          <m:sup>
            <m:r>
              <m:rPr>
                <m:nor/>
              </m:rPr>
              <w:rPr>
                <w:rFonts w:ascii="Cambria Math"/>
              </w:rPr>
              <m:t>SCG</m:t>
            </m:r>
            <m:ctrlPr>
              <w:rPr>
                <w:rFonts w:ascii="Cambria Math" w:hAnsi="Cambria Math"/>
                <w:sz w:val="24"/>
                <w:szCs w:val="24"/>
              </w:rPr>
            </m:ctrlPr>
          </m:sup>
        </m:sSubSup>
      </m:oMath>
      <w:r w:rsidRPr="00D20E88">
        <w:t xml:space="preserve"> downlink cells</w:t>
      </w:r>
      <w:r>
        <w:t xml:space="preserve"> for the SCG where </w:t>
      </w:r>
      <m:oMath>
        <m:sSubSup>
          <m:sSubSupPr>
            <m:ctrlPr>
              <w:rPr>
                <w:rFonts w:ascii="Cambria Math" w:hAnsi="Cambria Math"/>
                <w:i/>
                <w:sz w:val="24"/>
                <w:szCs w:val="24"/>
              </w:rPr>
            </m:ctrlPr>
          </m:sSubSupPr>
          <m:e>
            <m:r>
              <w:rPr>
                <w:rFonts w:ascii="Cambria Math"/>
              </w:rPr>
              <m:t>N</m:t>
            </m:r>
          </m:e>
          <m:sub>
            <m:r>
              <m:rPr>
                <m:nor/>
              </m:rPr>
              <w:rPr>
                <w:rFonts w:ascii="Cambria Math"/>
              </w:rPr>
              <m:t>cells</m:t>
            </m:r>
            <m:ctrlPr>
              <w:rPr>
                <w:rFonts w:ascii="Cambria Math" w:hAnsi="Cambria Math"/>
                <w:sz w:val="24"/>
                <w:szCs w:val="24"/>
              </w:rPr>
            </m:ctrlPr>
          </m:sub>
          <m:sup>
            <m:r>
              <m:rPr>
                <m:nor/>
              </m:rPr>
              <w:rPr>
                <w:rFonts w:ascii="Cambria Math"/>
              </w:rPr>
              <m:t>SCG</m:t>
            </m:r>
            <m:ctrlPr>
              <w:rPr>
                <w:rFonts w:ascii="Cambria Math" w:hAnsi="Cambria Math"/>
                <w:sz w:val="24"/>
                <w:szCs w:val="24"/>
              </w:rPr>
            </m:ctrlPr>
          </m:sup>
        </m:sSubSup>
      </m:oMath>
      <w:r>
        <w:t xml:space="preserve"> is</w:t>
      </w:r>
      <w:r>
        <w:rPr>
          <w:lang w:eastAsia="ko-KR"/>
        </w:rPr>
        <w:t xml:space="preserve"> provided by </w:t>
      </w:r>
      <w:r>
        <w:rPr>
          <w:i/>
        </w:rPr>
        <w:t>pdcch-BlindDetection</w:t>
      </w:r>
      <w:r w:rsidR="00490958">
        <w:t xml:space="preserve"> for the SCG</w:t>
      </w:r>
      <w:r>
        <w:rPr>
          <w:lang w:eastAsia="ko-KR"/>
        </w:rPr>
        <w:t xml:space="preserve">. </w:t>
      </w:r>
      <w:r w:rsidRPr="00B916EC">
        <w:rPr>
          <w:lang w:eastAsia="ko-KR"/>
        </w:rPr>
        <w:t xml:space="preserve">When the UE is configured for carrier aggregation operation over more than </w:t>
      </w:r>
      <w:r>
        <w:rPr>
          <w:lang w:eastAsia="ko-KR"/>
        </w:rPr>
        <w:t>4</w:t>
      </w:r>
      <w:r w:rsidRPr="00B916EC">
        <w:rPr>
          <w:lang w:eastAsia="ko-KR"/>
        </w:rPr>
        <w:t xml:space="preserve"> cells</w:t>
      </w:r>
      <w:r>
        <w:rPr>
          <w:lang w:eastAsia="ko-KR"/>
        </w:rPr>
        <w:t>, or for a cell group when the UE is configured for NR-DC operation</w:t>
      </w:r>
      <w:r w:rsidRPr="00B916EC">
        <w:rPr>
          <w:lang w:eastAsia="ko-KR"/>
        </w:rPr>
        <w:t xml:space="preserve">, the UE </w:t>
      </w:r>
      <w:r>
        <w:rPr>
          <w:lang w:eastAsia="ko-KR"/>
        </w:rPr>
        <w:t>does</w:t>
      </w:r>
      <w:r w:rsidRPr="00B916EC">
        <w:rPr>
          <w:lang w:eastAsia="ko-KR"/>
        </w:rPr>
        <w:t xml:space="preserve"> not expect to </w:t>
      </w:r>
      <w:r>
        <w:rPr>
          <w:lang w:eastAsia="ko-KR"/>
        </w:rPr>
        <w:t>monitor per slot</w:t>
      </w:r>
      <w:r w:rsidRPr="00B916EC">
        <w:rPr>
          <w:lang w:eastAsia="ko-KR"/>
        </w:rPr>
        <w:t xml:space="preserve"> a number of PDCCH candidates </w:t>
      </w:r>
      <w:r w:rsidR="00DB0DAD">
        <w:rPr>
          <w:lang w:eastAsia="ko-KR"/>
        </w:rPr>
        <w:t xml:space="preserve">or a number of non-overlapped CCEs </w:t>
      </w:r>
      <w:r w:rsidRPr="00B916EC">
        <w:rPr>
          <w:lang w:eastAsia="ko-KR"/>
        </w:rPr>
        <w:t>that is larger than the maximum number</w:t>
      </w:r>
      <w:r w:rsidRPr="00A67A74">
        <w:rPr>
          <w:lang w:eastAsia="ko-KR"/>
        </w:rPr>
        <w:t xml:space="preserve"> </w:t>
      </w:r>
      <w:r>
        <w:rPr>
          <w:lang w:eastAsia="ko-KR"/>
        </w:rPr>
        <w:t xml:space="preserve">as derived from </w:t>
      </w:r>
      <w:r>
        <w:rPr>
          <w:rFonts w:hint="eastAsia"/>
          <w:lang w:eastAsia="ja-JP"/>
        </w:rPr>
        <w:t>t</w:t>
      </w:r>
      <w:r>
        <w:rPr>
          <w:lang w:eastAsia="ja-JP"/>
        </w:rPr>
        <w:t xml:space="preserve">he corresponding value of </w:t>
      </w:r>
      <m:oMath>
        <m:sSubSup>
          <m:sSubSupPr>
            <m:ctrlPr>
              <w:rPr>
                <w:rFonts w:ascii="Cambria Math" w:hAnsi="Cambria Math"/>
                <w:i/>
                <w:sz w:val="24"/>
                <w:szCs w:val="24"/>
              </w:rPr>
            </m:ctrlPr>
          </m:sSubSupPr>
          <m:e>
            <m:r>
              <w:rPr>
                <w:rFonts w:ascii="Cambria Math"/>
              </w:rPr>
              <m:t>N</m:t>
            </m:r>
          </m:e>
          <m:sub>
            <m:r>
              <m:rPr>
                <m:nor/>
              </m:rPr>
              <w:rPr>
                <w:rFonts w:ascii="Cambria Math"/>
              </w:rPr>
              <m:t>cells</m:t>
            </m:r>
            <m:ctrlPr>
              <w:rPr>
                <w:rFonts w:ascii="Cambria Math" w:hAnsi="Cambria Math"/>
                <w:sz w:val="24"/>
                <w:szCs w:val="24"/>
              </w:rPr>
            </m:ctrlPr>
          </m:sub>
          <m:sup>
            <m:r>
              <m:rPr>
                <m:nor/>
              </m:rPr>
              <w:rPr>
                <w:rFonts w:ascii="Cambria Math"/>
              </w:rPr>
              <m:t>cap</m:t>
            </m:r>
            <m:ctrlPr>
              <w:rPr>
                <w:rFonts w:ascii="Cambria Math" w:hAnsi="Cambria Math"/>
                <w:sz w:val="24"/>
                <w:szCs w:val="24"/>
              </w:rPr>
            </m:ctrlPr>
          </m:sup>
        </m:sSubSup>
      </m:oMath>
      <w:r w:rsidRPr="00B916EC">
        <w:rPr>
          <w:lang w:eastAsia="ko-KR"/>
        </w:rPr>
        <w:t>.</w:t>
      </w:r>
      <w:r>
        <w:rPr>
          <w:lang w:eastAsia="ko-KR"/>
        </w:rPr>
        <w:t xml:space="preserve"> </w:t>
      </w:r>
    </w:p>
    <w:p w14:paraId="020BC6C1" w14:textId="0C90D41C" w:rsidR="000902DA" w:rsidRDefault="000902DA" w:rsidP="000902DA">
      <w:pPr>
        <w:rPr>
          <w:lang w:eastAsia="ko-KR"/>
        </w:rPr>
      </w:pPr>
      <w:r>
        <w:rPr>
          <w:lang w:eastAsia="ko-KR"/>
        </w:rPr>
        <w:t>When a UE is configured for NR-DC operation with a total of</w:t>
      </w:r>
      <w:r w:rsidR="00847143">
        <w:rPr>
          <w:lang w:eastAsia="ko-KR"/>
        </w:rPr>
        <w:t xml:space="preserve"> </w:t>
      </w:r>
      <m:oMath>
        <m:sSubSup>
          <m:sSubSupPr>
            <m:ctrlPr>
              <w:rPr>
                <w:rFonts w:ascii="Cambria Math" w:hAnsi="Cambria Math"/>
                <w:iCs/>
                <w:sz w:val="24"/>
                <w:szCs w:val="24"/>
                <w:lang w:eastAsia="zh-CN"/>
              </w:rPr>
            </m:ctrlPr>
          </m:sSubSupPr>
          <m:e>
            <m:r>
              <w:rPr>
                <w:rFonts w:ascii="Cambria Math" w:hAnsi="Cambria Math"/>
                <w:lang w:eastAsia="zh-CN"/>
              </w:rPr>
              <m:t>N</m:t>
            </m:r>
          </m:e>
          <m:sub>
            <m:r>
              <m:rPr>
                <m:sty m:val="p"/>
              </m:rPr>
              <w:rPr>
                <w:rFonts w:ascii="Cambria Math" w:hAnsi="Cambria Math"/>
                <w:lang w:eastAsia="zh-CN"/>
              </w:rPr>
              <m:t>NR-DC</m:t>
            </m:r>
          </m:sub>
          <m:sup>
            <m:r>
              <m:rPr>
                <m:sty m:val="p"/>
              </m:rPr>
              <w:rPr>
                <w:rFonts w:ascii="Cambria Math" w:hAnsi="Cambria Math"/>
                <w:lang w:eastAsia="zh-CN"/>
              </w:rPr>
              <m:t>DL,cells</m:t>
            </m:r>
          </m:sup>
        </m:sSubSup>
      </m:oMath>
      <w:r>
        <w:t xml:space="preserve"> downlink cells on both the MCG and the SCG</w:t>
      </w:r>
      <w:r>
        <w:rPr>
          <w:lang w:eastAsia="ko-KR"/>
        </w:rPr>
        <w:t xml:space="preserve">, the UE expects to be provided </w:t>
      </w:r>
      <w:r w:rsidRPr="00FC1D12">
        <w:rPr>
          <w:i/>
          <w:lang w:eastAsia="ja-JP"/>
        </w:rPr>
        <w:t>pdcch-BlindDetection</w:t>
      </w:r>
      <w:r w:rsidRPr="00FC1D12">
        <w:rPr>
          <w:lang w:eastAsia="ja-JP"/>
        </w:rPr>
        <w:t xml:space="preserve"> </w:t>
      </w:r>
      <w:r w:rsidR="00490958">
        <w:rPr>
          <w:lang w:eastAsia="ja-JP"/>
        </w:rPr>
        <w:t xml:space="preserve">for the MCG </w:t>
      </w:r>
      <w:r>
        <w:rPr>
          <w:lang w:eastAsia="ja-JP"/>
        </w:rPr>
        <w:t>and</w:t>
      </w:r>
      <w:r w:rsidRPr="00FC1D12">
        <w:rPr>
          <w:lang w:eastAsia="ja-JP"/>
        </w:rPr>
        <w:t xml:space="preserve"> </w:t>
      </w:r>
      <w:r w:rsidRPr="00FC1D12">
        <w:rPr>
          <w:i/>
          <w:lang w:eastAsia="ja-JP"/>
        </w:rPr>
        <w:t>pdcch-BlindDetection</w:t>
      </w:r>
      <w:r>
        <w:rPr>
          <w:lang w:eastAsia="ko-KR"/>
        </w:rPr>
        <w:t xml:space="preserve"> </w:t>
      </w:r>
      <w:r w:rsidR="00490958">
        <w:rPr>
          <w:lang w:eastAsia="ko-KR"/>
        </w:rPr>
        <w:t xml:space="preserve">for the SCG </w:t>
      </w:r>
      <w:r>
        <w:rPr>
          <w:lang w:eastAsia="ko-KR"/>
        </w:rPr>
        <w:t xml:space="preserve">with values that satisfy </w:t>
      </w:r>
    </w:p>
    <w:p w14:paraId="18D49D2D" w14:textId="77777777" w:rsidR="000902DA" w:rsidRDefault="000902DA" w:rsidP="00A00BD5">
      <w:pPr>
        <w:pStyle w:val="B1"/>
        <w:rPr>
          <w:iCs/>
          <w:lang w:eastAsia="ja-JP"/>
        </w:rPr>
      </w:pPr>
      <w:r>
        <w:rPr>
          <w:lang w:eastAsia="ja-JP"/>
        </w:rPr>
        <w:t>-</w:t>
      </w:r>
      <w:r>
        <w:rPr>
          <w:lang w:eastAsia="ja-JP"/>
        </w:rPr>
        <w:tab/>
      </w:r>
      <w:r w:rsidRPr="000600E8">
        <w:rPr>
          <w:i/>
          <w:lang w:eastAsia="ja-JP"/>
        </w:rPr>
        <w:t>pdcch-BlindDetection</w:t>
      </w:r>
      <w:r w:rsidRPr="00FC1D12">
        <w:rPr>
          <w:lang w:eastAsia="ja-JP"/>
        </w:rPr>
        <w:t xml:space="preserve"> </w:t>
      </w:r>
      <w:r w:rsidR="00490958">
        <w:rPr>
          <w:lang w:eastAsia="ja-JP"/>
        </w:rPr>
        <w:t xml:space="preserve">for the MCG </w:t>
      </w:r>
      <w:r w:rsidRPr="00FC1D12">
        <w:rPr>
          <w:lang w:eastAsia="ja-JP"/>
        </w:rPr>
        <w:t xml:space="preserve">+ </w:t>
      </w:r>
      <w:r w:rsidRPr="000600E8">
        <w:rPr>
          <w:i/>
          <w:lang w:eastAsia="ja-JP"/>
        </w:rPr>
        <w:t>pdcch-BlindDetection</w:t>
      </w:r>
      <w:r w:rsidRPr="00FC1D12">
        <w:rPr>
          <w:lang w:eastAsia="ja-JP"/>
        </w:rPr>
        <w:t xml:space="preserve"> </w:t>
      </w:r>
      <w:r w:rsidR="00490958">
        <w:rPr>
          <w:lang w:eastAsia="ko-KR"/>
        </w:rPr>
        <w:t xml:space="preserve">for the SCG </w:t>
      </w:r>
      <w:r w:rsidRPr="00FC1D12">
        <w:rPr>
          <w:lang w:eastAsia="ja-JP"/>
        </w:rPr>
        <w:t xml:space="preserve">&lt;= </w:t>
      </w:r>
      <w:r w:rsidRPr="000600E8">
        <w:rPr>
          <w:i/>
          <w:lang w:eastAsia="ja-JP"/>
        </w:rPr>
        <w:t>pdcch-BlindDetectionCA</w:t>
      </w:r>
      <w:r>
        <w:rPr>
          <w:lang w:eastAsia="ja-JP"/>
        </w:rPr>
        <w:t>,</w:t>
      </w:r>
      <w:r w:rsidRPr="00FC1D12">
        <w:rPr>
          <w:lang w:eastAsia="ja-JP"/>
        </w:rPr>
        <w:t xml:space="preserve"> if the UE reports </w:t>
      </w:r>
      <w:r w:rsidRPr="000600E8">
        <w:rPr>
          <w:i/>
          <w:iCs/>
          <w:lang w:eastAsia="ja-JP"/>
        </w:rPr>
        <w:t>pdcch-BlindDetectionCA</w:t>
      </w:r>
      <w:r w:rsidRPr="00FC1D12">
        <w:rPr>
          <w:iCs/>
          <w:lang w:eastAsia="ja-JP"/>
        </w:rPr>
        <w:t xml:space="preserve">, </w:t>
      </w:r>
      <w:r>
        <w:rPr>
          <w:iCs/>
          <w:lang w:eastAsia="ja-JP"/>
        </w:rPr>
        <w:t>or</w:t>
      </w:r>
    </w:p>
    <w:p w14:paraId="2F9E90A2" w14:textId="2B25FD95" w:rsidR="000902DA" w:rsidRDefault="000902DA" w:rsidP="00A00BD5">
      <w:pPr>
        <w:pStyle w:val="B1"/>
        <w:rPr>
          <w:iCs/>
          <w:lang w:eastAsia="ja-JP"/>
        </w:rPr>
      </w:pPr>
      <w:r>
        <w:rPr>
          <w:lang w:eastAsia="ja-JP"/>
        </w:rPr>
        <w:t>-</w:t>
      </w:r>
      <w:r>
        <w:rPr>
          <w:lang w:eastAsia="ja-JP"/>
        </w:rPr>
        <w:tab/>
      </w:r>
      <w:r w:rsidRPr="000600E8">
        <w:rPr>
          <w:i/>
          <w:lang w:eastAsia="ja-JP"/>
        </w:rPr>
        <w:t>pdcch-BlindDetection</w:t>
      </w:r>
      <w:r w:rsidRPr="00FC1D12">
        <w:rPr>
          <w:lang w:eastAsia="ja-JP"/>
        </w:rPr>
        <w:t xml:space="preserve"> </w:t>
      </w:r>
      <w:r w:rsidR="00490958">
        <w:rPr>
          <w:lang w:eastAsia="ja-JP"/>
        </w:rPr>
        <w:t xml:space="preserve">for the MCG </w:t>
      </w:r>
      <w:r w:rsidRPr="00FC1D12">
        <w:rPr>
          <w:lang w:eastAsia="ja-JP"/>
        </w:rPr>
        <w:t xml:space="preserve">+ </w:t>
      </w:r>
      <w:r w:rsidRPr="000600E8">
        <w:rPr>
          <w:i/>
          <w:lang w:eastAsia="ja-JP"/>
        </w:rPr>
        <w:t>pdcch-BlindDetection</w:t>
      </w:r>
      <w:r w:rsidRPr="00FC1D12">
        <w:rPr>
          <w:lang w:eastAsia="ja-JP"/>
        </w:rPr>
        <w:t xml:space="preserve"> </w:t>
      </w:r>
      <w:r w:rsidR="00490958">
        <w:rPr>
          <w:lang w:eastAsia="ko-KR"/>
        </w:rPr>
        <w:t xml:space="preserve">for the SCG </w:t>
      </w:r>
      <w:r w:rsidRPr="00FC1D12">
        <w:rPr>
          <w:lang w:eastAsia="ja-JP"/>
        </w:rPr>
        <w:t xml:space="preserve">&lt;= </w:t>
      </w:r>
      <m:oMath>
        <m:sSubSup>
          <m:sSubSupPr>
            <m:ctrlPr>
              <w:rPr>
                <w:rFonts w:ascii="Cambria Math" w:hAnsi="Cambria Math"/>
                <w:iCs/>
                <w:sz w:val="24"/>
                <w:szCs w:val="24"/>
                <w:lang w:eastAsia="zh-CN"/>
              </w:rPr>
            </m:ctrlPr>
          </m:sSubSupPr>
          <m:e>
            <m:r>
              <w:rPr>
                <w:rFonts w:ascii="Cambria Math" w:hAnsi="Cambria Math"/>
                <w:lang w:eastAsia="zh-CN"/>
              </w:rPr>
              <m:t>N</m:t>
            </m:r>
          </m:e>
          <m:sub>
            <m:r>
              <m:rPr>
                <m:sty m:val="p"/>
              </m:rPr>
              <w:rPr>
                <w:rFonts w:ascii="Cambria Math" w:hAnsi="Cambria Math"/>
                <w:lang w:eastAsia="zh-CN"/>
              </w:rPr>
              <m:t>NR-DC</m:t>
            </m:r>
          </m:sub>
          <m:sup>
            <m:r>
              <m:rPr>
                <m:sty m:val="p"/>
              </m:rPr>
              <w:rPr>
                <w:rFonts w:ascii="Cambria Math" w:hAnsi="Cambria Math"/>
                <w:lang w:eastAsia="zh-CN"/>
              </w:rPr>
              <m:t>DL,cells</m:t>
            </m:r>
          </m:sup>
        </m:sSubSup>
      </m:oMath>
      <w:r>
        <w:rPr>
          <w:lang w:eastAsia="ja-JP"/>
        </w:rPr>
        <w:t>,</w:t>
      </w:r>
      <w:r w:rsidRPr="00FC1D12">
        <w:rPr>
          <w:lang w:eastAsia="ja-JP"/>
        </w:rPr>
        <w:t xml:space="preserve"> if the UE does not report </w:t>
      </w:r>
      <w:r w:rsidRPr="000600E8">
        <w:rPr>
          <w:i/>
          <w:iCs/>
          <w:lang w:eastAsia="ja-JP"/>
        </w:rPr>
        <w:t>pdcch-BlindDetectionCA</w:t>
      </w:r>
      <w:r>
        <w:rPr>
          <w:iCs/>
          <w:lang w:eastAsia="ja-JP"/>
        </w:rPr>
        <w:t>.</w:t>
      </w:r>
    </w:p>
    <w:p w14:paraId="711F53B1" w14:textId="77777777" w:rsidR="00490958" w:rsidRDefault="00490958" w:rsidP="000902DA">
      <w:pPr>
        <w:rPr>
          <w:iCs/>
          <w:lang w:eastAsia="ja-JP"/>
        </w:rPr>
      </w:pPr>
      <w:r>
        <w:rPr>
          <w:lang w:eastAsia="ko-KR"/>
        </w:rPr>
        <w:t>F</w:t>
      </w:r>
      <w:r w:rsidRPr="00A00BD5">
        <w:rPr>
          <w:lang w:eastAsia="ko-KR"/>
        </w:rPr>
        <w:t xml:space="preserve">or </w:t>
      </w:r>
      <w:r w:rsidR="000902DA" w:rsidRPr="00A00BD5">
        <w:rPr>
          <w:lang w:eastAsia="ko-KR"/>
        </w:rPr>
        <w:t xml:space="preserve">NR-DC operation, </w:t>
      </w:r>
      <w:r w:rsidR="000902DA" w:rsidRPr="00A00BD5">
        <w:t xml:space="preserve">the UE may indicate, through </w:t>
      </w:r>
      <w:r w:rsidR="000902DA" w:rsidRPr="00A00BD5">
        <w:rPr>
          <w:i/>
        </w:rPr>
        <w:t>pdcch-</w:t>
      </w:r>
      <w:r w:rsidR="000902DA" w:rsidRPr="00A00BD5">
        <w:rPr>
          <w:i/>
          <w:iCs/>
          <w:lang w:eastAsia="ja-JP"/>
        </w:rPr>
        <w:t>BlindDetectionMCG-UE</w:t>
      </w:r>
      <w:r w:rsidR="000902DA" w:rsidRPr="00A00BD5">
        <w:rPr>
          <w:lang w:eastAsia="ja-JP"/>
        </w:rPr>
        <w:t xml:space="preserve"> and </w:t>
      </w:r>
      <w:r w:rsidR="000902DA" w:rsidRPr="00A00BD5">
        <w:rPr>
          <w:i/>
          <w:iCs/>
          <w:lang w:eastAsia="ja-JP"/>
        </w:rPr>
        <w:t>pdcch-BlindDetectionSCG-UE</w:t>
      </w:r>
      <w:r w:rsidR="000902DA" w:rsidRPr="00A00BD5">
        <w:rPr>
          <w:lang w:eastAsia="ja-JP"/>
        </w:rPr>
        <w:t xml:space="preserve">, respective maximum values for </w:t>
      </w:r>
      <w:r w:rsidR="000902DA" w:rsidRPr="00A00BD5">
        <w:rPr>
          <w:i/>
          <w:iCs/>
          <w:lang w:eastAsia="ja-JP"/>
        </w:rPr>
        <w:t>pdcch-BlindDetection</w:t>
      </w:r>
      <w:r w:rsidR="000902DA" w:rsidRPr="00A00BD5">
        <w:rPr>
          <w:lang w:eastAsia="ja-JP"/>
        </w:rPr>
        <w:t xml:space="preserve"> </w:t>
      </w:r>
      <w:r>
        <w:rPr>
          <w:lang w:eastAsia="ja-JP"/>
        </w:rPr>
        <w:t xml:space="preserve">for the MCG </w:t>
      </w:r>
      <w:r w:rsidR="000902DA" w:rsidRPr="00A00BD5">
        <w:rPr>
          <w:lang w:eastAsia="ja-JP"/>
        </w:rPr>
        <w:t xml:space="preserve">and </w:t>
      </w:r>
      <w:r w:rsidR="000902DA" w:rsidRPr="00A00BD5">
        <w:rPr>
          <w:i/>
          <w:iCs/>
          <w:lang w:eastAsia="ja-JP"/>
        </w:rPr>
        <w:t>pdcch-BlindDetection</w:t>
      </w:r>
      <w:r>
        <w:rPr>
          <w:iCs/>
          <w:lang w:eastAsia="ja-JP"/>
        </w:rPr>
        <w:t xml:space="preserve"> for the SCG</w:t>
      </w:r>
      <w:r w:rsidR="000902DA" w:rsidRPr="00A00BD5">
        <w:rPr>
          <w:iCs/>
          <w:lang w:eastAsia="ja-JP"/>
        </w:rPr>
        <w:t xml:space="preserve">. </w:t>
      </w:r>
    </w:p>
    <w:p w14:paraId="59DA9A05" w14:textId="77777777" w:rsidR="000902DA" w:rsidRPr="00A00BD5" w:rsidRDefault="000902DA" w:rsidP="000902DA">
      <w:pPr>
        <w:rPr>
          <w:iCs/>
          <w:lang w:eastAsia="ja-JP"/>
        </w:rPr>
      </w:pPr>
      <w:r w:rsidRPr="00A00BD5">
        <w:rPr>
          <w:lang w:eastAsia="ja-JP"/>
        </w:rPr>
        <w:t xml:space="preserve">If the UE reports </w:t>
      </w:r>
      <w:r w:rsidRPr="00A00BD5">
        <w:rPr>
          <w:i/>
          <w:iCs/>
          <w:lang w:eastAsia="ja-JP"/>
        </w:rPr>
        <w:t>pdcch-BlindDetectionCA</w:t>
      </w:r>
      <w:r w:rsidRPr="00A00BD5">
        <w:rPr>
          <w:iCs/>
          <w:lang w:eastAsia="ja-JP"/>
        </w:rPr>
        <w:t xml:space="preserve">, </w:t>
      </w:r>
    </w:p>
    <w:p w14:paraId="3253A13C" w14:textId="77777777" w:rsidR="000902DA" w:rsidRPr="00A00BD5" w:rsidRDefault="000902DA" w:rsidP="00A00BD5">
      <w:pPr>
        <w:pStyle w:val="B1"/>
        <w:rPr>
          <w:lang w:eastAsia="ja-JP"/>
        </w:rPr>
      </w:pPr>
      <w:r w:rsidRPr="00A00BD5">
        <w:rPr>
          <w:lang w:eastAsia="ja-JP"/>
        </w:rPr>
        <w:t>-</w:t>
      </w:r>
      <w:r w:rsidRPr="00A00BD5">
        <w:rPr>
          <w:lang w:eastAsia="ja-JP"/>
        </w:rPr>
        <w:tab/>
        <w:t xml:space="preserve">the value range of </w:t>
      </w:r>
      <w:r w:rsidRPr="000600E8">
        <w:rPr>
          <w:rFonts w:eastAsia="DengXian"/>
          <w:i/>
          <w:lang w:eastAsia="ja-JP"/>
        </w:rPr>
        <w:t>pdcch-BlindDetectionMCG-UE</w:t>
      </w:r>
      <w:r w:rsidRPr="00A00BD5">
        <w:rPr>
          <w:rFonts w:eastAsia="DengXian"/>
          <w:lang w:eastAsia="ja-JP"/>
        </w:rPr>
        <w:t xml:space="preserve"> or of </w:t>
      </w:r>
      <w:r w:rsidRPr="000600E8">
        <w:rPr>
          <w:rFonts w:eastAsia="DengXian"/>
          <w:i/>
          <w:lang w:eastAsia="ja-JP"/>
        </w:rPr>
        <w:t>pdcch-BlindDetectionSCG-UE</w:t>
      </w:r>
      <w:r w:rsidRPr="00A00BD5">
        <w:rPr>
          <w:lang w:eastAsia="ja-JP"/>
        </w:rPr>
        <w:t xml:space="preserve"> is [1, …, </w:t>
      </w:r>
      <w:r w:rsidRPr="000600E8">
        <w:rPr>
          <w:i/>
          <w:iCs/>
          <w:lang w:eastAsia="ja-JP"/>
        </w:rPr>
        <w:t>pdcch-BlindDetectionCA</w:t>
      </w:r>
      <w:r w:rsidRPr="00A00BD5">
        <w:rPr>
          <w:iCs/>
          <w:lang w:eastAsia="ja-JP"/>
        </w:rPr>
        <w:t>-</w:t>
      </w:r>
      <w:r w:rsidRPr="00A00BD5">
        <w:rPr>
          <w:lang w:eastAsia="ja-JP"/>
        </w:rPr>
        <w:t xml:space="preserve">1], and </w:t>
      </w:r>
    </w:p>
    <w:p w14:paraId="4D5D5875" w14:textId="77777777" w:rsidR="000902DA" w:rsidRPr="00A00BD5" w:rsidRDefault="000902DA" w:rsidP="00A00BD5">
      <w:pPr>
        <w:pStyle w:val="B1"/>
        <w:rPr>
          <w:iCs/>
          <w:lang w:eastAsia="ja-JP"/>
        </w:rPr>
      </w:pPr>
      <w:r w:rsidRPr="00A00BD5">
        <w:rPr>
          <w:iCs/>
          <w:lang w:eastAsia="ja-JP"/>
        </w:rPr>
        <w:t>-</w:t>
      </w:r>
      <w:r w:rsidRPr="00A00BD5">
        <w:rPr>
          <w:iCs/>
          <w:lang w:eastAsia="ja-JP"/>
        </w:rPr>
        <w:tab/>
      </w:r>
      <w:r w:rsidRPr="000600E8">
        <w:rPr>
          <w:i/>
          <w:iCs/>
          <w:lang w:eastAsia="ja-JP"/>
        </w:rPr>
        <w:t>pdcch-BlindDetectionMCG-UE</w:t>
      </w:r>
      <w:r w:rsidRPr="00A00BD5">
        <w:rPr>
          <w:lang w:eastAsia="ja-JP"/>
        </w:rPr>
        <w:t xml:space="preserve"> + </w:t>
      </w:r>
      <w:r w:rsidRPr="000600E8">
        <w:rPr>
          <w:i/>
          <w:iCs/>
          <w:lang w:eastAsia="ja-JP"/>
        </w:rPr>
        <w:t>pdcch-BlindDetectionSCG-UE</w:t>
      </w:r>
      <w:r w:rsidRPr="00A00BD5">
        <w:rPr>
          <w:iCs/>
          <w:lang w:eastAsia="ja-JP"/>
        </w:rPr>
        <w:t xml:space="preserve"> &gt;= </w:t>
      </w:r>
      <w:r w:rsidRPr="000600E8">
        <w:rPr>
          <w:i/>
          <w:iCs/>
          <w:lang w:eastAsia="ja-JP"/>
        </w:rPr>
        <w:t>pdcch-BlindDetectionCA</w:t>
      </w:r>
      <w:r w:rsidRPr="00A00BD5">
        <w:rPr>
          <w:iCs/>
          <w:lang w:eastAsia="ja-JP"/>
        </w:rPr>
        <w:t xml:space="preserve">. </w:t>
      </w:r>
    </w:p>
    <w:p w14:paraId="11175C4B" w14:textId="3258A505" w:rsidR="000902DA" w:rsidRPr="00A00BD5" w:rsidRDefault="000902DA" w:rsidP="000902DA">
      <w:pPr>
        <w:rPr>
          <w:iCs/>
          <w:lang w:eastAsia="ja-JP"/>
        </w:rPr>
      </w:pPr>
      <w:r w:rsidRPr="00A00BD5">
        <w:rPr>
          <w:iCs/>
          <w:lang w:eastAsia="ja-JP"/>
        </w:rPr>
        <w:t>Otherwise,</w:t>
      </w:r>
      <w:r w:rsidRPr="00A00BD5">
        <w:t xml:space="preserve"> if </w:t>
      </w:r>
      <m:oMath>
        <m:sSubSup>
          <m:sSubSupPr>
            <m:ctrlPr>
              <w:rPr>
                <w:rFonts w:ascii="Cambria Math" w:hAnsi="Cambria Math"/>
                <w:iCs/>
                <w:sz w:val="24"/>
                <w:szCs w:val="24"/>
                <w:lang w:eastAsia="zh-CN"/>
              </w:rPr>
            </m:ctrlPr>
          </m:sSubSupPr>
          <m:e>
            <m:r>
              <w:rPr>
                <w:rFonts w:ascii="Cambria Math" w:hAnsi="Cambria Math"/>
                <w:lang w:eastAsia="zh-CN"/>
              </w:rPr>
              <m:t>N</m:t>
            </m:r>
          </m:e>
          <m:sub>
            <m:r>
              <m:rPr>
                <m:sty m:val="p"/>
              </m:rPr>
              <w:rPr>
                <w:rFonts w:ascii="Cambria Math" w:hAnsi="Cambria Math"/>
                <w:lang w:eastAsia="zh-CN"/>
              </w:rPr>
              <m:t>NR-DC,max</m:t>
            </m:r>
          </m:sub>
          <m:sup>
            <m:r>
              <m:rPr>
                <m:sty m:val="p"/>
              </m:rPr>
              <w:rPr>
                <w:rFonts w:ascii="Cambria Math" w:hAnsi="Cambria Math"/>
                <w:lang w:eastAsia="zh-CN"/>
              </w:rPr>
              <m:t>DL,cells</m:t>
            </m:r>
          </m:sup>
        </m:sSubSup>
      </m:oMath>
      <w:r w:rsidRPr="00A00BD5">
        <w:t xml:space="preserve"> is a maximum total number of downlink cells that the UE can be configured on both the MCG and the SCG </w:t>
      </w:r>
      <w:r w:rsidR="000130C0">
        <w:t>for NR-DC</w:t>
      </w:r>
      <w:r w:rsidR="000130C0" w:rsidRPr="00A00BD5">
        <w:t xml:space="preserve"> as </w:t>
      </w:r>
      <w:r w:rsidR="000130C0">
        <w:t xml:space="preserve">indicated </w:t>
      </w:r>
      <w:r w:rsidR="000130C0" w:rsidRPr="00B916EC">
        <w:rPr>
          <w:lang w:eastAsia="ko-KR"/>
        </w:rPr>
        <w:t xml:space="preserve">in </w:t>
      </w:r>
      <w:r w:rsidR="000130C0" w:rsidRPr="00B916EC">
        <w:rPr>
          <w:i/>
          <w:iCs/>
        </w:rPr>
        <w:t>UE-</w:t>
      </w:r>
      <w:r w:rsidR="000130C0">
        <w:rPr>
          <w:i/>
          <w:iCs/>
        </w:rPr>
        <w:t>NR</w:t>
      </w:r>
      <w:r w:rsidR="000130C0" w:rsidRPr="00B916EC">
        <w:rPr>
          <w:i/>
          <w:iCs/>
        </w:rPr>
        <w:t>-Capability</w:t>
      </w:r>
      <w:r w:rsidRPr="00A00BD5">
        <w:t>,</w:t>
      </w:r>
    </w:p>
    <w:p w14:paraId="483C7047" w14:textId="3369A8E2" w:rsidR="000902DA" w:rsidRPr="00090D13" w:rsidRDefault="000902DA" w:rsidP="00A00BD5">
      <w:pPr>
        <w:pStyle w:val="B1"/>
        <w:rPr>
          <w:lang w:val="en-US" w:eastAsia="ja-JP"/>
        </w:rPr>
      </w:pPr>
      <w:r w:rsidRPr="00A00BD5">
        <w:rPr>
          <w:lang w:eastAsia="ja-JP"/>
        </w:rPr>
        <w:t>-</w:t>
      </w:r>
      <w:r w:rsidRPr="00A00BD5">
        <w:rPr>
          <w:lang w:eastAsia="ja-JP"/>
        </w:rPr>
        <w:tab/>
        <w:t xml:space="preserve">the value range of </w:t>
      </w:r>
      <w:r w:rsidRPr="000600E8">
        <w:rPr>
          <w:rFonts w:eastAsia="DengXian"/>
          <w:i/>
          <w:lang w:eastAsia="ja-JP"/>
        </w:rPr>
        <w:t>pdcch-BlindDetectionMCG-UE</w:t>
      </w:r>
      <w:r w:rsidRPr="00A00BD5">
        <w:rPr>
          <w:rFonts w:eastAsia="DengXian"/>
          <w:lang w:eastAsia="ja-JP"/>
        </w:rPr>
        <w:t xml:space="preserve"> or of </w:t>
      </w:r>
      <w:r w:rsidRPr="000600E8">
        <w:rPr>
          <w:rFonts w:eastAsia="DengXian"/>
          <w:i/>
          <w:lang w:eastAsia="ja-JP"/>
        </w:rPr>
        <w:t>pdcch-BlindDetectionSCG-UE</w:t>
      </w:r>
      <w:r w:rsidRPr="00A00BD5">
        <w:rPr>
          <w:lang w:eastAsia="ja-JP"/>
        </w:rPr>
        <w:t xml:space="preserve"> is [1, 2, 3],</w:t>
      </w:r>
      <w:r w:rsidR="000130C0">
        <w:rPr>
          <w:lang w:val="en-US" w:eastAsia="ja-JP"/>
        </w:rPr>
        <w:t xml:space="preserve"> and</w:t>
      </w:r>
    </w:p>
    <w:p w14:paraId="51AC3520" w14:textId="0DBF912D" w:rsidR="000902DA" w:rsidRDefault="000902DA" w:rsidP="00A00BD5">
      <w:pPr>
        <w:pStyle w:val="B1"/>
      </w:pPr>
      <w:r w:rsidRPr="00A00BD5">
        <w:rPr>
          <w:iCs/>
          <w:lang w:eastAsia="ja-JP"/>
        </w:rPr>
        <w:t>-</w:t>
      </w:r>
      <w:r w:rsidRPr="00A00BD5">
        <w:rPr>
          <w:iCs/>
          <w:lang w:eastAsia="ja-JP"/>
        </w:rPr>
        <w:tab/>
      </w:r>
      <w:r w:rsidRPr="000600E8">
        <w:rPr>
          <w:i/>
          <w:iCs/>
          <w:lang w:eastAsia="ja-JP"/>
        </w:rPr>
        <w:t>pdcch-BlindDetectionMCG-UE</w:t>
      </w:r>
      <w:r w:rsidRPr="00A00BD5">
        <w:rPr>
          <w:lang w:eastAsia="ja-JP"/>
        </w:rPr>
        <w:t xml:space="preserve"> + </w:t>
      </w:r>
      <w:r w:rsidRPr="000600E8">
        <w:rPr>
          <w:i/>
          <w:iCs/>
          <w:lang w:eastAsia="ja-JP"/>
        </w:rPr>
        <w:t>pdcch-BlindDetectionSCG-UE</w:t>
      </w:r>
      <w:r w:rsidRPr="00A00BD5">
        <w:rPr>
          <w:iCs/>
          <w:lang w:eastAsia="ja-JP"/>
        </w:rPr>
        <w:t xml:space="preserve"> &gt;= </w:t>
      </w:r>
      <m:oMath>
        <m:sSubSup>
          <m:sSubSupPr>
            <m:ctrlPr>
              <w:rPr>
                <w:rFonts w:ascii="Cambria Math" w:hAnsi="Cambria Math"/>
                <w:iCs/>
                <w:sz w:val="24"/>
                <w:szCs w:val="24"/>
                <w:lang w:eastAsia="zh-CN"/>
              </w:rPr>
            </m:ctrlPr>
          </m:sSubSupPr>
          <m:e>
            <m:r>
              <w:rPr>
                <w:rFonts w:ascii="Cambria Math" w:hAnsi="Cambria Math"/>
                <w:lang w:eastAsia="zh-CN"/>
              </w:rPr>
              <m:t>N</m:t>
            </m:r>
          </m:e>
          <m:sub>
            <m:r>
              <m:rPr>
                <m:sty m:val="p"/>
              </m:rPr>
              <w:rPr>
                <w:rFonts w:ascii="Cambria Math" w:hAnsi="Cambria Math"/>
                <w:lang w:eastAsia="zh-CN"/>
              </w:rPr>
              <m:t>NR-DC,max</m:t>
            </m:r>
          </m:sub>
          <m:sup>
            <m:r>
              <m:rPr>
                <m:sty m:val="p"/>
              </m:rPr>
              <w:rPr>
                <w:rFonts w:ascii="Cambria Math" w:hAnsi="Cambria Math"/>
                <w:lang w:eastAsia="zh-CN"/>
              </w:rPr>
              <m:t>DL,cells</m:t>
            </m:r>
          </m:sup>
        </m:sSubSup>
      </m:oMath>
      <w:r w:rsidRPr="00A00BD5">
        <w:t>.</w:t>
      </w:r>
    </w:p>
    <w:p w14:paraId="1AAE6734" w14:textId="05D6FFDB" w:rsidR="000A1DFE" w:rsidRDefault="000A1DFE" w:rsidP="000A1DFE">
      <w:pPr>
        <w:rPr>
          <w:lang w:eastAsia="ko-KR"/>
        </w:rPr>
      </w:pPr>
      <w:r w:rsidRPr="00B916EC">
        <w:rPr>
          <w:lang w:eastAsia="ko-KR"/>
        </w:rPr>
        <w:lastRenderedPageBreak/>
        <w:t>If a</w:t>
      </w:r>
      <w:r w:rsidRPr="00905607">
        <w:rPr>
          <w:lang w:eastAsia="ko-KR"/>
        </w:rPr>
        <w:t xml:space="preserve"> </w:t>
      </w:r>
      <w:r>
        <w:rPr>
          <w:lang w:eastAsia="ko-KR"/>
        </w:rPr>
        <w:t xml:space="preserve">UE indicates </w:t>
      </w:r>
      <w:r w:rsidRPr="00B916EC">
        <w:rPr>
          <w:lang w:eastAsia="ko-KR"/>
        </w:rPr>
        <w:t xml:space="preserve">in </w:t>
      </w:r>
      <w:r w:rsidRPr="00B916EC">
        <w:rPr>
          <w:i/>
          <w:iCs/>
        </w:rPr>
        <w:t>UE-NR-Capability</w:t>
      </w:r>
      <w:r w:rsidRPr="00B916EC">
        <w:rPr>
          <w:lang w:eastAsia="ko-KR"/>
        </w:rPr>
        <w:t xml:space="preserve"> </w:t>
      </w:r>
      <w:r>
        <w:rPr>
          <w:lang w:eastAsia="ko-KR"/>
        </w:rPr>
        <w:t>a</w:t>
      </w:r>
      <w:r w:rsidRPr="00B916EC">
        <w:rPr>
          <w:lang w:eastAsia="ko-KR"/>
        </w:rPr>
        <w:t xml:space="preserve"> carrier aggregation capability larger than </w:t>
      </w:r>
      <w:r w:rsidR="00A67487">
        <w:rPr>
          <w:lang w:eastAsia="ko-KR"/>
        </w:rPr>
        <w:t xml:space="preserve">two </w:t>
      </w:r>
      <w:r>
        <w:rPr>
          <w:lang w:eastAsia="ko-KR"/>
        </w:rPr>
        <w:t>downlink cells</w:t>
      </w:r>
      <w:r w:rsidRPr="00B916EC">
        <w:rPr>
          <w:lang w:eastAsia="ko-KR"/>
        </w:rPr>
        <w:t xml:space="preserve">, the UE includes in </w:t>
      </w:r>
      <w:r w:rsidRPr="00B916EC">
        <w:rPr>
          <w:i/>
          <w:iCs/>
        </w:rPr>
        <w:t>UE-NR-Capability</w:t>
      </w:r>
      <w:r w:rsidRPr="00B916EC">
        <w:rPr>
          <w:lang w:eastAsia="ko-KR"/>
        </w:rPr>
        <w:t xml:space="preserve"> an indication for a maximum number of PDCCH candidates </w:t>
      </w:r>
      <w:r>
        <w:rPr>
          <w:lang w:eastAsia="ko-KR"/>
        </w:rPr>
        <w:t xml:space="preserve">and a maximum number of non-overlapped CCEs that </w:t>
      </w:r>
      <w:r w:rsidRPr="00B916EC">
        <w:rPr>
          <w:lang w:eastAsia="ko-KR"/>
        </w:rPr>
        <w:t xml:space="preserve">the UE can monitor per </w:t>
      </w:r>
      <w:r>
        <w:rPr>
          <w:lang w:eastAsia="ko-KR"/>
        </w:rPr>
        <w:t xml:space="preserve">span </w:t>
      </w:r>
      <w:r w:rsidRPr="00B916EC">
        <w:rPr>
          <w:lang w:eastAsia="ko-KR"/>
        </w:rPr>
        <w:t xml:space="preserve">when the UE is configured for carrier aggregation operation over more than </w:t>
      </w:r>
      <w:r w:rsidR="00A67487">
        <w:rPr>
          <w:lang w:eastAsia="ko-KR"/>
        </w:rPr>
        <w:t>two</w:t>
      </w:r>
      <w:r w:rsidR="00A67487" w:rsidRPr="00B916EC">
        <w:rPr>
          <w:lang w:eastAsia="ko-KR"/>
        </w:rPr>
        <w:t xml:space="preserve"> </w:t>
      </w:r>
      <w:r>
        <w:rPr>
          <w:lang w:eastAsia="ko-KR"/>
        </w:rPr>
        <w:t xml:space="preserve">downlink </w:t>
      </w:r>
      <w:r w:rsidRPr="00B916EC">
        <w:rPr>
          <w:lang w:eastAsia="ko-KR"/>
        </w:rPr>
        <w:t>cells</w:t>
      </w:r>
      <w:r w:rsidR="00A67487" w:rsidRPr="00A67487">
        <w:rPr>
          <w:lang w:eastAsia="ko-KR"/>
        </w:rPr>
        <w:t xml:space="preserve"> </w:t>
      </w:r>
      <w:r w:rsidR="00A67487">
        <w:rPr>
          <w:lang w:eastAsia="ko-KR"/>
        </w:rPr>
        <w:t xml:space="preserve">with </w:t>
      </w:r>
      <w:r w:rsidR="00A67487">
        <w:rPr>
          <w:i/>
          <w:lang w:val="en-US"/>
        </w:rPr>
        <w:t>monitoringCapabilityConfig</w:t>
      </w:r>
      <w:r w:rsidR="00A67487">
        <w:rPr>
          <w:lang w:val="en-US"/>
        </w:rPr>
        <w:t xml:space="preserve"> = </w:t>
      </w:r>
      <w:bookmarkStart w:id="650" w:name="_Hlk42271659"/>
      <w:r w:rsidR="00A67487">
        <w:rPr>
          <w:i/>
        </w:rPr>
        <w:t>r16monitoringcapability</w:t>
      </w:r>
      <w:bookmarkEnd w:id="650"/>
      <w:r w:rsidRPr="00B916EC">
        <w:rPr>
          <w:lang w:eastAsia="ko-KR"/>
        </w:rPr>
        <w:t xml:space="preserve">. </w:t>
      </w:r>
      <w:r>
        <w:rPr>
          <w:lang w:eastAsia="ko-KR"/>
        </w:rPr>
        <w:t xml:space="preserve">When a UE is not configured for NR-DC operation and the UE is provided </w:t>
      </w:r>
      <w:r w:rsidR="00A67487">
        <w:rPr>
          <w:i/>
          <w:lang w:val="en-US"/>
        </w:rPr>
        <w:t>monitoringCapabilityConfig</w:t>
      </w:r>
      <w:r w:rsidR="00A67487">
        <w:rPr>
          <w:lang w:val="en-US"/>
        </w:rPr>
        <w:t xml:space="preserve"> = </w:t>
      </w:r>
      <w:r w:rsidR="00A67487">
        <w:rPr>
          <w:i/>
        </w:rPr>
        <w:t>r16monitoringcapability</w:t>
      </w:r>
      <w:r>
        <w:rPr>
          <w:lang w:val="en-US"/>
        </w:rPr>
        <w:t xml:space="preserve"> for all downlink cell</w:t>
      </w:r>
      <w:r w:rsidR="003815C2">
        <w:rPr>
          <w:lang w:val="en-US"/>
        </w:rPr>
        <w:t>s</w:t>
      </w:r>
      <w:r>
        <w:rPr>
          <w:lang w:val="en-US"/>
        </w:rPr>
        <w:t xml:space="preserve"> where the UE monitors PDCCH</w:t>
      </w:r>
      <w:r>
        <w:rPr>
          <w:lang w:eastAsia="ko-KR"/>
        </w:rPr>
        <w:t xml:space="preserve">, </w:t>
      </w:r>
      <w:r>
        <w:t>the UE determines</w:t>
      </w:r>
      <w:r>
        <w:rPr>
          <w:lang w:eastAsia="ko-KR"/>
        </w:rPr>
        <w:t xml:space="preserve"> a capability to monitor a maximum number of PDCCH candidates and a maximum number of non-overlapped CCEs per span that corresponds to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m:t>
            </m:r>
          </m:sub>
          <m:sup>
            <m:r>
              <w:rPr>
                <w:rFonts w:ascii="Cambria Math"/>
                <w:lang w:eastAsia="zh-CN"/>
              </w:rPr>
              <m:t>cap</m:t>
            </m:r>
            <m:r>
              <w:rPr>
                <w:rFonts w:ascii="Cambria Math"/>
                <w:lang w:eastAsia="zh-CN"/>
              </w:rPr>
              <m:t>-</m:t>
            </m:r>
            <m:r>
              <w:rPr>
                <w:rFonts w:ascii="Cambria Math"/>
                <w:lang w:eastAsia="zh-CN"/>
              </w:rPr>
              <m:t>r16</m:t>
            </m:r>
          </m:sup>
        </m:sSubSup>
      </m:oMath>
      <w:r>
        <w:t xml:space="preserve"> downlink cells, where</w:t>
      </w:r>
    </w:p>
    <w:p w14:paraId="2FB9EF23" w14:textId="327809B0" w:rsidR="000A1DFE" w:rsidRPr="00996B83" w:rsidRDefault="000A1DFE" w:rsidP="000A1DFE">
      <w:pPr>
        <w:pStyle w:val="B1"/>
        <w:rPr>
          <w:lang w:val="en-US" w:eastAsia="ko-KR"/>
        </w:rPr>
      </w:pPr>
      <w:r>
        <w:t>-</w:t>
      </w:r>
      <w:r>
        <w:tab/>
      </w:r>
      <m:oMath>
        <m:sSubSup>
          <m:sSubSupPr>
            <m:ctrlPr>
              <w:rPr>
                <w:rFonts w:ascii="Cambria Math" w:hAnsi="Cambria Math"/>
                <w:i/>
                <w:lang w:val="en-GB" w:eastAsia="zh-CN"/>
              </w:rPr>
            </m:ctrlPr>
          </m:sSubSupPr>
          <m:e>
            <m:r>
              <w:rPr>
                <w:rFonts w:ascii="Cambria Math"/>
                <w:lang w:eastAsia="zh-CN"/>
              </w:rPr>
              <m:t>N</m:t>
            </m:r>
          </m:e>
          <m:sub>
            <m:r>
              <w:rPr>
                <w:rFonts w:ascii="Cambria Math"/>
                <w:lang w:eastAsia="zh-CN"/>
              </w:rPr>
              <m:t>cells</m:t>
            </m:r>
          </m:sub>
          <m:sup>
            <m:r>
              <w:rPr>
                <w:rFonts w:ascii="Cambria Math"/>
                <w:lang w:eastAsia="zh-CN"/>
              </w:rPr>
              <m:t>cap</m:t>
            </m:r>
            <m:r>
              <w:rPr>
                <w:rFonts w:ascii="Cambria Math"/>
                <w:lang w:eastAsia="zh-CN"/>
              </w:rPr>
              <m:t>-</m:t>
            </m:r>
            <m:r>
              <w:rPr>
                <w:rFonts w:ascii="Cambria Math"/>
                <w:lang w:eastAsia="zh-CN"/>
              </w:rPr>
              <m:t>r16</m:t>
            </m:r>
          </m:sup>
        </m:sSubSup>
      </m:oMath>
      <w:r>
        <w:t xml:space="preserve"> </w:t>
      </w:r>
      <w:r>
        <w:rPr>
          <w:lang w:eastAsia="ko-KR"/>
        </w:rPr>
        <w:t>is the number of configured downlink cells if</w:t>
      </w:r>
      <w:r w:rsidRPr="008F5160">
        <w:rPr>
          <w:lang w:eastAsia="ko-KR"/>
        </w:rPr>
        <w:t xml:space="preserve"> the UE </w:t>
      </w:r>
      <w:r>
        <w:rPr>
          <w:lang w:eastAsia="ko-KR"/>
        </w:rPr>
        <w:t xml:space="preserve">does not provide </w:t>
      </w:r>
      <w:r w:rsidR="003009BF" w:rsidRPr="00F723E2">
        <w:rPr>
          <w:i/>
        </w:rPr>
        <w:t>pdcch-</w:t>
      </w:r>
      <w:r w:rsidR="003009BF">
        <w:rPr>
          <w:i/>
          <w:lang w:val="en-US"/>
        </w:rPr>
        <w:t>Monitoring</w:t>
      </w:r>
      <w:r w:rsidR="003009BF" w:rsidRPr="00F723E2">
        <w:rPr>
          <w:i/>
        </w:rPr>
        <w:t>CA</w:t>
      </w:r>
    </w:p>
    <w:p w14:paraId="0B17E2DE" w14:textId="17C691BD" w:rsidR="000A1DFE" w:rsidRDefault="000A1DFE" w:rsidP="000A1DFE">
      <w:pPr>
        <w:pStyle w:val="B1"/>
        <w:rPr>
          <w:lang w:val="en-US"/>
        </w:rPr>
      </w:pPr>
      <w:r>
        <w:t>-</w:t>
      </w:r>
      <w:r>
        <w:tab/>
      </w:r>
      <w:r w:rsidRPr="002128CC">
        <w:t xml:space="preserve">otherwise, </w:t>
      </w:r>
      <m:oMath>
        <m:sSubSup>
          <m:sSubSupPr>
            <m:ctrlPr>
              <w:rPr>
                <w:rFonts w:ascii="Cambria Math" w:hAnsi="Cambria Math"/>
                <w:i/>
                <w:lang w:val="en-GB" w:eastAsia="zh-CN"/>
              </w:rPr>
            </m:ctrlPr>
          </m:sSubSupPr>
          <m:e>
            <m:r>
              <w:rPr>
                <w:rFonts w:ascii="Cambria Math"/>
                <w:lang w:eastAsia="zh-CN"/>
              </w:rPr>
              <m:t>N</m:t>
            </m:r>
          </m:e>
          <m:sub>
            <m:r>
              <w:rPr>
                <w:rFonts w:ascii="Cambria Math"/>
                <w:lang w:eastAsia="zh-CN"/>
              </w:rPr>
              <m:t>cells</m:t>
            </m:r>
          </m:sub>
          <m:sup>
            <m:r>
              <w:rPr>
                <w:rFonts w:ascii="Cambria Math"/>
                <w:lang w:eastAsia="zh-CN"/>
              </w:rPr>
              <m:t>cap</m:t>
            </m:r>
            <m:r>
              <w:rPr>
                <w:rFonts w:ascii="Cambria Math"/>
                <w:lang w:eastAsia="zh-CN"/>
              </w:rPr>
              <m:t>-</m:t>
            </m:r>
            <m:r>
              <w:rPr>
                <w:rFonts w:ascii="Cambria Math"/>
                <w:lang w:eastAsia="zh-CN"/>
              </w:rPr>
              <m:t>r16</m:t>
            </m:r>
          </m:sup>
        </m:sSubSup>
      </m:oMath>
      <w:r w:rsidRPr="00D20E88">
        <w:t xml:space="preserve"> </w:t>
      </w:r>
      <w:r w:rsidRPr="002128CC">
        <w:t xml:space="preserve">is the value of </w:t>
      </w:r>
      <w:r w:rsidR="003009BF" w:rsidRPr="00F723E2">
        <w:rPr>
          <w:i/>
        </w:rPr>
        <w:t>pdcch-</w:t>
      </w:r>
      <w:r w:rsidR="003009BF">
        <w:rPr>
          <w:i/>
          <w:lang w:val="en-US"/>
        </w:rPr>
        <w:t>Monitoring</w:t>
      </w:r>
      <w:r w:rsidR="003009BF" w:rsidRPr="00F723E2">
        <w:rPr>
          <w:i/>
        </w:rPr>
        <w:t>CA</w:t>
      </w:r>
    </w:p>
    <w:p w14:paraId="5DB821E2" w14:textId="37521B97" w:rsidR="00A67487" w:rsidRDefault="00A67487" w:rsidP="00A67487">
      <w:pPr>
        <w:rPr>
          <w:lang w:eastAsia="ko-KR"/>
        </w:rPr>
      </w:pPr>
      <w:r>
        <w:rPr>
          <w:lang w:eastAsia="ko-KR"/>
        </w:rPr>
        <w:t xml:space="preserve">When a UE is configured for NR-DC operation and the UE is provided </w:t>
      </w:r>
      <w:r>
        <w:rPr>
          <w:i/>
          <w:lang w:val="en-US"/>
        </w:rPr>
        <w:t>monitoringCapabilityConfig</w:t>
      </w:r>
      <w:r>
        <w:t xml:space="preserve"> = </w:t>
      </w:r>
      <w:r>
        <w:rPr>
          <w:i/>
        </w:rPr>
        <w:t>r16monitoringcapability</w:t>
      </w:r>
      <w:r>
        <w:rPr>
          <w:iCs/>
        </w:rPr>
        <w:t xml:space="preserve"> </w:t>
      </w:r>
      <w:r>
        <w:t>for all downlink cells where the UE monitors PDCCH</w:t>
      </w:r>
      <w:r>
        <w:rPr>
          <w:lang w:eastAsia="ko-KR"/>
        </w:rPr>
        <w:t xml:space="preserve">, </w:t>
      </w:r>
      <w:r>
        <w:t>the UE determines</w:t>
      </w:r>
      <w:r>
        <w:rPr>
          <w:lang w:eastAsia="ko-KR"/>
        </w:rPr>
        <w:t xml:space="preserve"> a capability </w:t>
      </w:r>
      <w:r>
        <w:t xml:space="preserve">to </w:t>
      </w:r>
      <w:r>
        <w:rPr>
          <w:lang w:eastAsia="ko-KR"/>
        </w:rPr>
        <w:t>monitor a maximum number of PDCCH candidates and a maximum number of non-overlapped CCEs per span that corresponds to</w:t>
      </w:r>
    </w:p>
    <w:p w14:paraId="7BF8BE87" w14:textId="6CDEB2FC" w:rsidR="00A67487" w:rsidRDefault="00A67487" w:rsidP="00A67487">
      <w:pPr>
        <w:pStyle w:val="B1"/>
        <w:rPr>
          <w:lang w:eastAsia="ko-KR"/>
        </w:rPr>
      </w:pPr>
      <w:r>
        <w:t>-</w:t>
      </w:r>
      <w:r>
        <w:tab/>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m:t>
            </m:r>
          </m:sub>
          <m:sup>
            <m:r>
              <m:rPr>
                <m:sty m:val="p"/>
              </m:rPr>
              <w:rPr>
                <w:rFonts w:ascii="Cambria Math" w:hAnsi="Cambria Math"/>
                <w:lang w:eastAsia="zh-CN"/>
              </w:rPr>
              <m:t>cap-r16</m:t>
            </m:r>
          </m:sup>
        </m:sSubSup>
        <m:r>
          <w:rPr>
            <w:rFonts w:ascii="Cambria Math" w:hAnsi="Cambria Math"/>
            <w:lang w:eastAsia="zh-CN"/>
          </w:rPr>
          <m:t>=</m:t>
        </m:r>
        <m:r>
          <m:rPr>
            <m:sty m:val="p"/>
          </m:rPr>
          <w:rPr>
            <w:rFonts w:ascii="Cambria Math" w:hAnsi="Cambria Math"/>
            <w:lang w:eastAsia="ko-KR"/>
          </w:rPr>
          <m:t xml:space="preserve"> </m:t>
        </m:r>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 r16</m:t>
            </m:r>
          </m:sub>
          <m:sup>
            <m:r>
              <m:rPr>
                <m:sty m:val="p"/>
              </m:rPr>
              <w:rPr>
                <w:rFonts w:ascii="Cambria Math" w:hAnsi="Cambria Math"/>
                <w:lang w:eastAsia="zh-CN"/>
              </w:rPr>
              <m:t>MCG</m:t>
            </m:r>
          </m:sup>
        </m:sSubSup>
      </m:oMath>
      <w:r>
        <w:rPr>
          <w:lang w:eastAsia="zh-CN"/>
        </w:rPr>
        <w:t xml:space="preserve"> </w:t>
      </w:r>
      <w:r>
        <w:t xml:space="preserve">downlink cells for the MCG where </w:t>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 r16</m:t>
            </m:r>
          </m:sub>
          <m:sup>
            <m:r>
              <m:rPr>
                <m:sty m:val="p"/>
              </m:rPr>
              <w:rPr>
                <w:rFonts w:ascii="Cambria Math" w:hAnsi="Cambria Math"/>
                <w:lang w:eastAsia="zh-CN"/>
              </w:rPr>
              <m:t>MCG</m:t>
            </m:r>
          </m:sup>
        </m:sSubSup>
      </m:oMath>
      <w:r>
        <w:t xml:space="preserve"> is</w:t>
      </w:r>
      <w:r>
        <w:rPr>
          <w:lang w:eastAsia="ko-KR"/>
        </w:rPr>
        <w:t xml:space="preserve"> provided by </w:t>
      </w:r>
      <w:r>
        <w:rPr>
          <w:i/>
          <w:iCs/>
          <w:lang w:eastAsia="ja-JP"/>
        </w:rPr>
        <w:t>pdcch-BlindDetection</w:t>
      </w:r>
      <w:r w:rsidR="00977E26">
        <w:rPr>
          <w:i/>
          <w:iCs/>
          <w:lang w:val="en-US" w:eastAsia="ja-JP"/>
        </w:rPr>
        <w:t>2</w:t>
      </w:r>
      <w:r>
        <w:t xml:space="preserve"> for the MCG, </w:t>
      </w:r>
      <w:r>
        <w:rPr>
          <w:lang w:eastAsia="ko-KR"/>
        </w:rPr>
        <w:t xml:space="preserve">and </w:t>
      </w:r>
    </w:p>
    <w:p w14:paraId="10B242AC" w14:textId="7D28EAD4" w:rsidR="00A67487" w:rsidRDefault="00A67487" w:rsidP="00A67487">
      <w:pPr>
        <w:pStyle w:val="B1"/>
        <w:rPr>
          <w:lang w:eastAsia="ko-KR"/>
        </w:rPr>
      </w:pPr>
      <w:r>
        <w:t>-</w:t>
      </w:r>
      <w:r>
        <w:tab/>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m:t>
            </m:r>
          </m:sub>
          <m:sup>
            <m:r>
              <m:rPr>
                <m:sty m:val="p"/>
              </m:rPr>
              <w:rPr>
                <w:rFonts w:ascii="Cambria Math" w:hAnsi="Cambria Math"/>
                <w:lang w:eastAsia="zh-CN"/>
              </w:rPr>
              <m:t>cap-r16</m:t>
            </m:r>
          </m:sup>
        </m:sSubSup>
        <m:r>
          <w:rPr>
            <w:rFonts w:ascii="Cambria Math" w:hAnsi="Cambria Math"/>
            <w:lang w:eastAsia="zh-CN"/>
          </w:rPr>
          <m:t>=</m:t>
        </m:r>
        <m:r>
          <m:rPr>
            <m:sty m:val="p"/>
          </m:rPr>
          <w:rPr>
            <w:rFonts w:ascii="Cambria Math" w:hAnsi="Cambria Math"/>
            <w:lang w:eastAsia="ko-KR"/>
          </w:rPr>
          <m:t xml:space="preserve"> </m:t>
        </m:r>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 r16</m:t>
            </m:r>
          </m:sub>
          <m:sup>
            <m:r>
              <m:rPr>
                <m:sty m:val="p"/>
              </m:rPr>
              <w:rPr>
                <w:rFonts w:ascii="Cambria Math" w:hAnsi="Cambria Math"/>
                <w:lang w:eastAsia="zh-CN"/>
              </w:rPr>
              <m:t>SCG</m:t>
            </m:r>
          </m:sup>
        </m:sSubSup>
      </m:oMath>
      <w:r>
        <w:rPr>
          <w:lang w:eastAsia="zh-CN"/>
        </w:rPr>
        <w:t xml:space="preserve"> </w:t>
      </w:r>
      <w:r>
        <w:t xml:space="preserve">downlink cells for the SCG where </w:t>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 r16</m:t>
            </m:r>
          </m:sub>
          <m:sup>
            <m:r>
              <m:rPr>
                <m:sty m:val="p"/>
              </m:rPr>
              <w:rPr>
                <w:rFonts w:ascii="Cambria Math" w:hAnsi="Cambria Math"/>
                <w:lang w:eastAsia="zh-CN"/>
              </w:rPr>
              <m:t>SCG</m:t>
            </m:r>
          </m:sup>
        </m:sSubSup>
      </m:oMath>
      <w:r>
        <w:t xml:space="preserve"> is</w:t>
      </w:r>
      <w:r>
        <w:rPr>
          <w:lang w:eastAsia="ko-KR"/>
        </w:rPr>
        <w:t xml:space="preserve"> provided by </w:t>
      </w:r>
      <w:r>
        <w:rPr>
          <w:i/>
          <w:iCs/>
          <w:lang w:eastAsia="ja-JP"/>
        </w:rPr>
        <w:t>pdcch-BlindDetection</w:t>
      </w:r>
      <w:r w:rsidR="00977E26">
        <w:rPr>
          <w:i/>
          <w:iCs/>
          <w:lang w:val="en-US" w:eastAsia="ja-JP"/>
        </w:rPr>
        <w:t>2</w:t>
      </w:r>
      <w:r>
        <w:t xml:space="preserve"> for the SCG</w:t>
      </w:r>
    </w:p>
    <w:p w14:paraId="21B47D41" w14:textId="77777777" w:rsidR="00A67487" w:rsidRDefault="00A67487" w:rsidP="00090D13">
      <w:pPr>
        <w:rPr>
          <w:lang w:val="en-US" w:eastAsia="ko-KR"/>
        </w:rPr>
      </w:pPr>
      <w:r>
        <w:rPr>
          <w:lang w:eastAsia="ko-KR"/>
        </w:rPr>
        <w:t xml:space="preserve">When the UE is configured for carrier aggregation operation over more than 2 cells, or for a cell group when the UE is configured for NR-DC operation, the UE does not expect to monitor per span a number of PDCCH candidates or a number of non-overlapped CCEs that is larger than the maximum number as derived from </w:t>
      </w:r>
      <w:r>
        <w:rPr>
          <w:lang w:eastAsia="ja-JP"/>
        </w:rPr>
        <w:t xml:space="preserve">the corresponding value of </w:t>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m:t>
            </m:r>
          </m:sub>
          <m:sup>
            <m:r>
              <m:rPr>
                <m:sty m:val="p"/>
              </m:rPr>
              <w:rPr>
                <w:rFonts w:ascii="Cambria Math" w:hAnsi="Cambria Math"/>
                <w:lang w:eastAsia="zh-CN"/>
              </w:rPr>
              <m:t>cap-r16</m:t>
            </m:r>
          </m:sup>
        </m:sSubSup>
      </m:oMath>
      <w:r>
        <w:rPr>
          <w:lang w:eastAsia="ko-KR"/>
        </w:rPr>
        <w:t xml:space="preserve">. </w:t>
      </w:r>
    </w:p>
    <w:p w14:paraId="2435E601" w14:textId="545A2136" w:rsidR="00A67487" w:rsidRDefault="00A67487" w:rsidP="00A67487">
      <w:pPr>
        <w:rPr>
          <w:rFonts w:eastAsia="DengXian"/>
          <w:lang w:eastAsia="ko-KR"/>
        </w:rPr>
      </w:pPr>
      <w:r>
        <w:rPr>
          <w:rFonts w:eastAsia="DengXian"/>
          <w:lang w:eastAsia="ko-KR"/>
        </w:rPr>
        <w:t xml:space="preserve">When a UE is configured for NR-DC operation with a total of </w:t>
      </w:r>
      <m:oMath>
        <m:sSubSup>
          <m:sSubSupPr>
            <m:ctrlPr>
              <w:rPr>
                <w:rFonts w:ascii="Cambria Math" w:hAnsi="Cambria Math"/>
                <w:i/>
                <w:lang w:eastAsia="zh-CN"/>
              </w:rPr>
            </m:ctrlPr>
          </m:sSubSupPr>
          <m:e>
            <m:r>
              <w:rPr>
                <w:rFonts w:ascii="Cambria Math" w:hAnsi="Cambria Math"/>
                <w:lang w:eastAsia="zh-CN"/>
              </w:rPr>
              <m:t>N</m:t>
            </m:r>
          </m:e>
          <m:sub>
            <m:r>
              <m:rPr>
                <m:sty m:val="p"/>
              </m:rPr>
              <w:rPr>
                <w:rFonts w:ascii="Cambria Math" w:hAnsi="Cambria Math"/>
                <w:lang w:eastAsia="zh-CN"/>
              </w:rPr>
              <m:t>NR-DC</m:t>
            </m:r>
          </m:sub>
          <m:sup>
            <m:r>
              <m:rPr>
                <m:sty m:val="p"/>
              </m:rPr>
              <w:rPr>
                <w:rFonts w:ascii="Cambria Math" w:hAnsi="Cambria Math"/>
                <w:lang w:eastAsia="zh-CN"/>
              </w:rPr>
              <m:t>DL,cells</m:t>
            </m:r>
          </m:sup>
        </m:sSubSup>
      </m:oMath>
      <w:r>
        <w:rPr>
          <w:rFonts w:eastAsia="DengXian"/>
        </w:rPr>
        <w:t xml:space="preserve"> downlink cells on both the MCG and the SCG and </w:t>
      </w:r>
      <w:r>
        <w:rPr>
          <w:lang w:eastAsia="ko-KR"/>
        </w:rPr>
        <w:t xml:space="preserve">the UE is provided </w:t>
      </w:r>
      <w:r>
        <w:rPr>
          <w:i/>
          <w:lang w:val="en-US"/>
        </w:rPr>
        <w:t>monitoringCapabilityConfig</w:t>
      </w:r>
      <w:r>
        <w:t xml:space="preserve"> = </w:t>
      </w:r>
      <w:r>
        <w:rPr>
          <w:i/>
        </w:rPr>
        <w:t>r16monitoringcapability</w:t>
      </w:r>
      <w:r>
        <w:t xml:space="preserve"> for all downlink cells where the UE monitors PDCCH</w:t>
      </w:r>
      <w:r>
        <w:rPr>
          <w:rFonts w:eastAsia="DengXian"/>
          <w:lang w:eastAsia="ko-KR"/>
        </w:rPr>
        <w:t xml:space="preserve">, the UE expects to be provided </w:t>
      </w:r>
      <w:r w:rsidR="00514000">
        <w:rPr>
          <w:i/>
          <w:iCs/>
          <w:lang w:eastAsia="ja-JP"/>
        </w:rPr>
        <w:t>pdcch-BlindDetection2</w:t>
      </w:r>
      <w:r>
        <w:rPr>
          <w:rFonts w:eastAsia="DengXian"/>
          <w:lang w:eastAsia="ja-JP"/>
        </w:rPr>
        <w:t xml:space="preserve"> for the MCG and </w:t>
      </w:r>
      <w:r w:rsidR="00514000">
        <w:rPr>
          <w:i/>
          <w:iCs/>
          <w:lang w:eastAsia="ja-JP"/>
        </w:rPr>
        <w:t>pdcch-BlindDetection2</w:t>
      </w:r>
      <w:r>
        <w:rPr>
          <w:rFonts w:eastAsia="DengXian"/>
          <w:lang w:eastAsia="ko-KR"/>
        </w:rPr>
        <w:t xml:space="preserve"> for the SCG with values that satisfy </w:t>
      </w:r>
    </w:p>
    <w:p w14:paraId="42C58177" w14:textId="03E1A67E" w:rsidR="00A67487" w:rsidRDefault="00A67487" w:rsidP="00090D13">
      <w:pPr>
        <w:pStyle w:val="B1"/>
        <w:rPr>
          <w:rFonts w:eastAsia="DengXian"/>
          <w:lang w:eastAsia="ja-JP"/>
        </w:rPr>
      </w:pPr>
      <w:r>
        <w:rPr>
          <w:rFonts w:eastAsia="DengXian"/>
          <w:lang w:eastAsia="ja-JP"/>
        </w:rPr>
        <w:t>-</w:t>
      </w:r>
      <w:r>
        <w:rPr>
          <w:rFonts w:eastAsia="DengXian"/>
          <w:lang w:eastAsia="ja-JP"/>
        </w:rPr>
        <w:tab/>
      </w:r>
      <w:r w:rsidRPr="00822011">
        <w:rPr>
          <w:i/>
          <w:iCs/>
          <w:lang w:eastAsia="ja-JP"/>
        </w:rPr>
        <w:t>pdcch-BlindDetection</w:t>
      </w:r>
      <w:r w:rsidR="00977E26" w:rsidRPr="00977E26">
        <w:rPr>
          <w:i/>
          <w:iCs/>
          <w:lang w:val="en-US" w:eastAsia="ja-JP"/>
        </w:rPr>
        <w:t>2</w:t>
      </w:r>
      <w:r>
        <w:rPr>
          <w:rFonts w:eastAsia="DengXian"/>
          <w:lang w:eastAsia="ja-JP"/>
        </w:rPr>
        <w:t xml:space="preserve"> for the MCG + </w:t>
      </w:r>
      <w:r w:rsidRPr="00822011">
        <w:rPr>
          <w:i/>
          <w:iCs/>
          <w:lang w:eastAsia="ja-JP"/>
        </w:rPr>
        <w:t>pdcch-BlindDetection</w:t>
      </w:r>
      <w:r w:rsidR="00977E26" w:rsidRPr="00977E26">
        <w:rPr>
          <w:i/>
          <w:iCs/>
          <w:lang w:val="en-US" w:eastAsia="ja-JP"/>
        </w:rPr>
        <w:t>2</w:t>
      </w:r>
      <w:r>
        <w:rPr>
          <w:rFonts w:eastAsia="DengXian"/>
          <w:lang w:eastAsia="ja-JP"/>
        </w:rPr>
        <w:t xml:space="preserve"> </w:t>
      </w:r>
      <w:r>
        <w:rPr>
          <w:rFonts w:eastAsia="DengXian"/>
          <w:lang w:eastAsia="ko-KR"/>
        </w:rPr>
        <w:t xml:space="preserve">for the SCG </w:t>
      </w:r>
      <w:r>
        <w:rPr>
          <w:rFonts w:eastAsia="DengXian"/>
          <w:lang w:eastAsia="ja-JP"/>
        </w:rPr>
        <w:t xml:space="preserve">&lt;= </w:t>
      </w:r>
      <w:r w:rsidR="00977E26" w:rsidRPr="004C6474">
        <w:rPr>
          <w:rFonts w:eastAsia="DengXian"/>
          <w:i/>
          <w:iCs/>
          <w:lang w:eastAsia="ja-JP"/>
        </w:rPr>
        <w:t>pdcch-</w:t>
      </w:r>
      <w:r w:rsidR="00977E26">
        <w:rPr>
          <w:rFonts w:eastAsia="DengXian"/>
          <w:i/>
          <w:iCs/>
          <w:lang w:val="en-US" w:eastAsia="ja-JP"/>
        </w:rPr>
        <w:t>Monitoring</w:t>
      </w:r>
      <w:r w:rsidR="00977E26" w:rsidRPr="004C6474">
        <w:rPr>
          <w:rFonts w:eastAsia="DengXian"/>
          <w:i/>
          <w:iCs/>
          <w:lang w:eastAsia="ja-JP"/>
        </w:rPr>
        <w:t>CA</w:t>
      </w:r>
      <w:r>
        <w:rPr>
          <w:rFonts w:eastAsia="DengXian"/>
          <w:lang w:eastAsia="ja-JP"/>
        </w:rPr>
        <w:t xml:space="preserve">, if the UE reports </w:t>
      </w:r>
      <w:r w:rsidR="00977E26" w:rsidRPr="004C6474">
        <w:rPr>
          <w:rFonts w:eastAsia="DengXian"/>
          <w:i/>
          <w:iCs/>
          <w:lang w:eastAsia="ja-JP"/>
        </w:rPr>
        <w:t>pdcch-</w:t>
      </w:r>
      <w:r w:rsidR="00977E26">
        <w:rPr>
          <w:rFonts w:eastAsia="DengXian"/>
          <w:i/>
          <w:iCs/>
          <w:lang w:val="en-US" w:eastAsia="ja-JP"/>
        </w:rPr>
        <w:t>Monitoring</w:t>
      </w:r>
      <w:r w:rsidR="00977E26" w:rsidRPr="004C6474">
        <w:rPr>
          <w:rFonts w:eastAsia="DengXian"/>
          <w:i/>
          <w:iCs/>
          <w:lang w:eastAsia="ja-JP"/>
        </w:rPr>
        <w:t>CA</w:t>
      </w:r>
      <w:r>
        <w:rPr>
          <w:rFonts w:eastAsia="DengXian"/>
          <w:lang w:eastAsia="ja-JP"/>
        </w:rPr>
        <w:t>, or</w:t>
      </w:r>
    </w:p>
    <w:p w14:paraId="2E04888D" w14:textId="7DBBC943" w:rsidR="00A67487" w:rsidRDefault="00A67487" w:rsidP="00090D13">
      <w:pPr>
        <w:pStyle w:val="B1"/>
        <w:rPr>
          <w:rFonts w:eastAsia="DengXian"/>
          <w:lang w:eastAsia="ja-JP"/>
        </w:rPr>
      </w:pPr>
      <w:r>
        <w:rPr>
          <w:rFonts w:eastAsia="DengXian"/>
          <w:lang w:eastAsia="ja-JP"/>
        </w:rPr>
        <w:t>-</w:t>
      </w:r>
      <w:r>
        <w:rPr>
          <w:rFonts w:eastAsia="DengXian"/>
          <w:lang w:eastAsia="ja-JP"/>
        </w:rPr>
        <w:tab/>
      </w:r>
      <w:r w:rsidRPr="00822011">
        <w:rPr>
          <w:i/>
          <w:iCs/>
          <w:lang w:eastAsia="ja-JP"/>
        </w:rPr>
        <w:t>pdcch-BlindDetection</w:t>
      </w:r>
      <w:r w:rsidR="00977E26" w:rsidRPr="00977E26">
        <w:rPr>
          <w:i/>
          <w:iCs/>
          <w:lang w:val="en-US" w:eastAsia="ja-JP"/>
        </w:rPr>
        <w:t>2</w:t>
      </w:r>
      <w:r>
        <w:rPr>
          <w:rFonts w:eastAsia="DengXian"/>
          <w:lang w:eastAsia="ja-JP"/>
        </w:rPr>
        <w:t xml:space="preserve"> for the MCG + </w:t>
      </w:r>
      <w:r w:rsidRPr="00822011">
        <w:rPr>
          <w:i/>
          <w:iCs/>
          <w:lang w:eastAsia="ja-JP"/>
        </w:rPr>
        <w:t>pdcch-BlindDetection</w:t>
      </w:r>
      <w:r w:rsidR="00977E26" w:rsidRPr="00977E26">
        <w:rPr>
          <w:i/>
          <w:iCs/>
          <w:lang w:val="en-US" w:eastAsia="ja-JP"/>
        </w:rPr>
        <w:t>2</w:t>
      </w:r>
      <w:r>
        <w:rPr>
          <w:rFonts w:eastAsia="DengXian"/>
          <w:lang w:eastAsia="ja-JP"/>
        </w:rPr>
        <w:t xml:space="preserve"> </w:t>
      </w:r>
      <w:r>
        <w:rPr>
          <w:rFonts w:eastAsia="DengXian"/>
          <w:lang w:eastAsia="ko-KR"/>
        </w:rPr>
        <w:t xml:space="preserve">for the SCG </w:t>
      </w:r>
      <w:r>
        <w:rPr>
          <w:rFonts w:eastAsia="DengXian"/>
          <w:lang w:eastAsia="ja-JP"/>
        </w:rPr>
        <w:t xml:space="preserve">&lt;= </w:t>
      </w:r>
      <m:oMath>
        <m:sSubSup>
          <m:sSubSupPr>
            <m:ctrlPr>
              <w:rPr>
                <w:rFonts w:ascii="Cambria Math" w:hAnsi="Cambria Math"/>
                <w:lang w:eastAsia="zh-CN"/>
              </w:rPr>
            </m:ctrlPr>
          </m:sSubSupPr>
          <m:e>
            <m:r>
              <w:rPr>
                <w:rFonts w:ascii="Cambria Math" w:hAnsi="Cambria Math"/>
                <w:lang w:eastAsia="zh-CN"/>
              </w:rPr>
              <m:t>N</m:t>
            </m:r>
          </m:e>
          <m:sub>
            <m:r>
              <m:rPr>
                <m:sty m:val="p"/>
              </m:rPr>
              <w:rPr>
                <w:rFonts w:ascii="Cambria Math" w:hAnsi="Cambria Math"/>
                <w:lang w:eastAsia="zh-CN"/>
              </w:rPr>
              <m:t>NR-DC</m:t>
            </m:r>
          </m:sub>
          <m:sup>
            <m:r>
              <m:rPr>
                <m:sty m:val="p"/>
              </m:rPr>
              <w:rPr>
                <w:rFonts w:ascii="Cambria Math" w:hAnsi="Cambria Math"/>
                <w:lang w:eastAsia="zh-CN"/>
              </w:rPr>
              <m:t>DL,cells</m:t>
            </m:r>
          </m:sup>
        </m:sSubSup>
      </m:oMath>
      <w:r>
        <w:rPr>
          <w:rFonts w:eastAsia="DengXian"/>
          <w:lang w:eastAsia="ja-JP"/>
        </w:rPr>
        <w:t xml:space="preserve">, if the UE does not report </w:t>
      </w:r>
      <w:r w:rsidR="00977E26" w:rsidRPr="004C6474">
        <w:rPr>
          <w:rFonts w:eastAsia="DengXian"/>
          <w:i/>
          <w:iCs/>
          <w:lang w:eastAsia="ja-JP"/>
        </w:rPr>
        <w:t>pdcch-</w:t>
      </w:r>
      <w:r w:rsidR="00977E26">
        <w:rPr>
          <w:rFonts w:eastAsia="DengXian"/>
          <w:i/>
          <w:iCs/>
          <w:lang w:val="en-US" w:eastAsia="ja-JP"/>
        </w:rPr>
        <w:t>Monitoring</w:t>
      </w:r>
      <w:r w:rsidR="00977E26" w:rsidRPr="004C6474">
        <w:rPr>
          <w:rFonts w:eastAsia="DengXian"/>
          <w:i/>
          <w:iCs/>
          <w:lang w:eastAsia="ja-JP"/>
        </w:rPr>
        <w:t>CA</w:t>
      </w:r>
    </w:p>
    <w:p w14:paraId="7EF74649" w14:textId="46480B16" w:rsidR="00A67487" w:rsidRDefault="00A67487" w:rsidP="00A67487">
      <w:pPr>
        <w:rPr>
          <w:iCs/>
          <w:color w:val="000000" w:themeColor="text1"/>
          <w:lang w:eastAsia="ja-JP"/>
        </w:rPr>
      </w:pPr>
      <w:r>
        <w:rPr>
          <w:lang w:eastAsia="ko-KR"/>
        </w:rPr>
        <w:t xml:space="preserve">When a UE is configured for NR-DC operation and the UE is provided </w:t>
      </w:r>
      <w:r>
        <w:rPr>
          <w:i/>
          <w:lang w:val="en-US"/>
        </w:rPr>
        <w:t>monitoringCapabilityConfig</w:t>
      </w:r>
      <w:r>
        <w:t xml:space="preserve"> = </w:t>
      </w:r>
      <w:r>
        <w:rPr>
          <w:i/>
        </w:rPr>
        <w:t>r16monitoringcapability</w:t>
      </w:r>
      <w:r>
        <w:t xml:space="preserve"> for all downlink cells where the UE monitors PDCCH</w:t>
      </w:r>
      <w:r>
        <w:rPr>
          <w:color w:val="000000" w:themeColor="text1"/>
          <w:lang w:eastAsia="ko-KR"/>
        </w:rPr>
        <w:t xml:space="preserve">, </w:t>
      </w:r>
      <w:r>
        <w:rPr>
          <w:color w:val="000000" w:themeColor="text1"/>
        </w:rPr>
        <w:t xml:space="preserve">the UE may indicate, through </w:t>
      </w:r>
      <w:r>
        <w:rPr>
          <w:i/>
          <w:color w:val="000000" w:themeColor="text1"/>
        </w:rPr>
        <w:t>pdcch-</w:t>
      </w:r>
      <w:r>
        <w:rPr>
          <w:i/>
          <w:iCs/>
          <w:color w:val="000000" w:themeColor="text1"/>
          <w:lang w:eastAsia="ja-JP"/>
        </w:rPr>
        <w:t>BlindDetectionMCG-UE-r16</w:t>
      </w:r>
      <w:r>
        <w:rPr>
          <w:color w:val="000000" w:themeColor="text1"/>
          <w:lang w:eastAsia="ja-JP"/>
        </w:rPr>
        <w:t xml:space="preserve"> and </w:t>
      </w:r>
      <w:r>
        <w:rPr>
          <w:i/>
          <w:iCs/>
          <w:color w:val="000000" w:themeColor="text1"/>
          <w:lang w:eastAsia="ja-JP"/>
        </w:rPr>
        <w:t>pdcch-BlindDetectionSCG-UE-r16</w:t>
      </w:r>
      <w:r>
        <w:rPr>
          <w:color w:val="000000" w:themeColor="text1"/>
          <w:lang w:eastAsia="ja-JP"/>
        </w:rPr>
        <w:t xml:space="preserve">, respective maximum values for </w:t>
      </w:r>
      <w:r>
        <w:rPr>
          <w:i/>
          <w:iCs/>
          <w:color w:val="000000" w:themeColor="text1"/>
          <w:lang w:eastAsia="ja-JP"/>
        </w:rPr>
        <w:t>pdcch-BlindDetection</w:t>
      </w:r>
      <w:r>
        <w:rPr>
          <w:color w:val="000000" w:themeColor="text1"/>
          <w:lang w:eastAsia="ja-JP"/>
        </w:rPr>
        <w:t xml:space="preserve"> for the MCG and </w:t>
      </w:r>
      <w:r>
        <w:rPr>
          <w:i/>
          <w:iCs/>
          <w:color w:val="000000" w:themeColor="text1"/>
          <w:lang w:eastAsia="ja-JP"/>
        </w:rPr>
        <w:t>pdcch-BlindDetection</w:t>
      </w:r>
      <w:r>
        <w:rPr>
          <w:iCs/>
          <w:color w:val="000000" w:themeColor="text1"/>
          <w:lang w:eastAsia="ja-JP"/>
        </w:rPr>
        <w:t xml:space="preserve"> for the SCG. </w:t>
      </w:r>
    </w:p>
    <w:p w14:paraId="6F506025" w14:textId="6891188D" w:rsidR="00A67487" w:rsidRDefault="00A67487" w:rsidP="00A67487">
      <w:pPr>
        <w:rPr>
          <w:iCs/>
          <w:color w:val="000000" w:themeColor="text1"/>
          <w:lang w:eastAsia="ja-JP"/>
        </w:rPr>
      </w:pPr>
      <w:r>
        <w:rPr>
          <w:color w:val="000000" w:themeColor="text1"/>
          <w:lang w:eastAsia="ja-JP"/>
        </w:rPr>
        <w:t xml:space="preserve">If the UE reports </w:t>
      </w:r>
      <w:r w:rsidR="00977E26">
        <w:rPr>
          <w:i/>
          <w:iCs/>
          <w:color w:val="000000" w:themeColor="text1"/>
          <w:lang w:eastAsia="ja-JP"/>
        </w:rPr>
        <w:t>pdcch-MonitoringCA</w:t>
      </w:r>
      <w:r>
        <w:rPr>
          <w:iCs/>
          <w:color w:val="000000" w:themeColor="text1"/>
          <w:lang w:eastAsia="ja-JP"/>
        </w:rPr>
        <w:t xml:space="preserve">, </w:t>
      </w:r>
    </w:p>
    <w:p w14:paraId="79854E91" w14:textId="2167BB75" w:rsidR="00A67487" w:rsidRDefault="00A67487" w:rsidP="00A67487">
      <w:pPr>
        <w:pStyle w:val="B1"/>
        <w:rPr>
          <w:color w:val="000000" w:themeColor="text1"/>
          <w:lang w:eastAsia="ja-JP"/>
        </w:rPr>
      </w:pPr>
      <w:r>
        <w:rPr>
          <w:color w:val="000000" w:themeColor="text1"/>
          <w:lang w:eastAsia="ja-JP"/>
        </w:rPr>
        <w:t>-</w:t>
      </w:r>
      <w:r>
        <w:rPr>
          <w:color w:val="000000" w:themeColor="text1"/>
          <w:lang w:eastAsia="ja-JP"/>
        </w:rPr>
        <w:tab/>
        <w:t xml:space="preserve">the value range of </w:t>
      </w:r>
      <w:r>
        <w:rPr>
          <w:rFonts w:eastAsia="DengXian"/>
          <w:i/>
          <w:color w:val="000000" w:themeColor="text1"/>
          <w:lang w:eastAsia="ja-JP"/>
        </w:rPr>
        <w:t>pdcch-BlindDetectionMCG-UE</w:t>
      </w:r>
      <w:r>
        <w:rPr>
          <w:i/>
          <w:iCs/>
          <w:color w:val="000000" w:themeColor="text1"/>
          <w:lang w:eastAsia="ja-JP"/>
        </w:rPr>
        <w:t>-r16</w:t>
      </w:r>
      <w:r>
        <w:rPr>
          <w:rFonts w:eastAsia="DengXian"/>
          <w:color w:val="000000" w:themeColor="text1"/>
          <w:lang w:eastAsia="ja-JP"/>
        </w:rPr>
        <w:t xml:space="preserve"> or of </w:t>
      </w:r>
      <w:r>
        <w:rPr>
          <w:rFonts w:eastAsia="DengXian"/>
          <w:i/>
          <w:color w:val="000000" w:themeColor="text1"/>
          <w:lang w:eastAsia="ja-JP"/>
        </w:rPr>
        <w:t>pdcch-BlindDetectionSCG-UE</w:t>
      </w:r>
      <w:r>
        <w:rPr>
          <w:i/>
          <w:iCs/>
          <w:color w:val="000000" w:themeColor="text1"/>
          <w:lang w:eastAsia="ja-JP"/>
        </w:rPr>
        <w:t>-r16</w:t>
      </w:r>
      <w:r>
        <w:rPr>
          <w:color w:val="000000" w:themeColor="text1"/>
          <w:lang w:eastAsia="ja-JP"/>
        </w:rPr>
        <w:t xml:space="preserve"> is [1, …, </w:t>
      </w:r>
      <w:r w:rsidR="00EA514A">
        <w:rPr>
          <w:i/>
          <w:iCs/>
          <w:color w:val="000000" w:themeColor="text1"/>
          <w:lang w:eastAsia="ja-JP"/>
        </w:rPr>
        <w:t>pdcch-MonitoringCA</w:t>
      </w:r>
      <w:r>
        <w:rPr>
          <w:iCs/>
          <w:color w:val="000000" w:themeColor="text1"/>
          <w:lang w:eastAsia="ja-JP"/>
        </w:rPr>
        <w:t>-</w:t>
      </w:r>
      <w:r>
        <w:rPr>
          <w:color w:val="000000" w:themeColor="text1"/>
          <w:lang w:eastAsia="ja-JP"/>
        </w:rPr>
        <w:t xml:space="preserve">1], and </w:t>
      </w:r>
    </w:p>
    <w:p w14:paraId="0A241CDF" w14:textId="238F3000" w:rsidR="00A67487" w:rsidRDefault="00A67487" w:rsidP="00A67487">
      <w:pPr>
        <w:pStyle w:val="B1"/>
        <w:rPr>
          <w:iCs/>
          <w:color w:val="000000" w:themeColor="text1"/>
          <w:lang w:val="en-US" w:eastAsia="ja-JP"/>
        </w:rPr>
      </w:pPr>
      <w:r>
        <w:rPr>
          <w:iCs/>
          <w:color w:val="000000" w:themeColor="text1"/>
          <w:lang w:eastAsia="ja-JP"/>
        </w:rPr>
        <w:t>-</w:t>
      </w:r>
      <w:r>
        <w:rPr>
          <w:iCs/>
          <w:color w:val="000000" w:themeColor="text1"/>
          <w:lang w:eastAsia="ja-JP"/>
        </w:rPr>
        <w:tab/>
      </w:r>
      <w:r>
        <w:rPr>
          <w:i/>
          <w:iCs/>
          <w:color w:val="000000" w:themeColor="text1"/>
          <w:lang w:eastAsia="ja-JP"/>
        </w:rPr>
        <w:t>pdcch-BlindDetectionMCG-UE-r16</w:t>
      </w:r>
      <w:r>
        <w:rPr>
          <w:color w:val="000000" w:themeColor="text1"/>
          <w:lang w:eastAsia="ja-JP"/>
        </w:rPr>
        <w:t xml:space="preserve"> + </w:t>
      </w:r>
      <w:r>
        <w:rPr>
          <w:i/>
          <w:iCs/>
          <w:color w:val="000000" w:themeColor="text1"/>
          <w:lang w:eastAsia="ja-JP"/>
        </w:rPr>
        <w:t>pdcch-BlindDetectionSCG-UE-r16</w:t>
      </w:r>
      <w:r>
        <w:rPr>
          <w:iCs/>
          <w:color w:val="000000" w:themeColor="text1"/>
          <w:lang w:eastAsia="ja-JP"/>
        </w:rPr>
        <w:t xml:space="preserve"> &gt;= </w:t>
      </w:r>
      <w:r w:rsidR="00977E26">
        <w:rPr>
          <w:i/>
          <w:iCs/>
          <w:color w:val="000000" w:themeColor="text1"/>
          <w:lang w:eastAsia="ja-JP"/>
        </w:rPr>
        <w:t>pdcch-MonitoringCA</w:t>
      </w:r>
      <w:r>
        <w:rPr>
          <w:i/>
          <w:iCs/>
          <w:color w:val="000000" w:themeColor="text1"/>
          <w:lang w:val="en-US" w:eastAsia="ja-JP"/>
        </w:rPr>
        <w:t>.</w:t>
      </w:r>
    </w:p>
    <w:p w14:paraId="267444CB" w14:textId="47314831" w:rsidR="00A67487" w:rsidRDefault="00A67487" w:rsidP="00A67487">
      <w:pPr>
        <w:rPr>
          <w:iCs/>
          <w:color w:val="000000" w:themeColor="text1"/>
          <w:lang w:eastAsia="ja-JP"/>
        </w:rPr>
      </w:pPr>
      <w:r>
        <w:rPr>
          <w:iCs/>
          <w:color w:val="000000" w:themeColor="text1"/>
          <w:lang w:eastAsia="ja-JP"/>
        </w:rPr>
        <w:t>Otherwise,</w:t>
      </w:r>
      <w:r>
        <w:rPr>
          <w:color w:val="000000" w:themeColor="text1"/>
        </w:rPr>
        <w:t xml:space="preserve"> if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r16</m:t>
            </m:r>
          </m:sub>
          <m:sup>
            <m:r>
              <m:rPr>
                <m:sty m:val="p"/>
              </m:rPr>
              <w:rPr>
                <w:rFonts w:ascii="Cambria Math" w:hAnsi="Cambria Math"/>
                <w:color w:val="000000" w:themeColor="text1"/>
                <w:lang w:eastAsia="zh-CN"/>
              </w:rPr>
              <m:t>DL,cells</m:t>
            </m:r>
          </m:sup>
        </m:sSubSup>
      </m:oMath>
      <w:r>
        <w:rPr>
          <w:color w:val="000000" w:themeColor="text1"/>
        </w:rPr>
        <w:t xml:space="preserve"> is a maximum total number of downlink cells for which the UE is provided </w:t>
      </w:r>
      <w:r>
        <w:rPr>
          <w:i/>
        </w:rPr>
        <w:t>monitoringCapabilityConfig</w:t>
      </w:r>
      <w:r>
        <w:t xml:space="preserve"> = </w:t>
      </w:r>
      <w:r>
        <w:rPr>
          <w:i/>
        </w:rPr>
        <w:t>r16monitoringcapability</w:t>
      </w:r>
      <w:r>
        <w:t xml:space="preserve"> and</w:t>
      </w:r>
      <w:r>
        <w:rPr>
          <w:color w:val="000000" w:themeColor="text1"/>
        </w:rPr>
        <w:t xml:space="preserve"> the UE is configured on both the MCG and the SCG for NR-DC as indicated in </w:t>
      </w:r>
      <w:r>
        <w:rPr>
          <w:i/>
          <w:iCs/>
          <w:color w:val="000000" w:themeColor="text1"/>
        </w:rPr>
        <w:t>UE-NR-Capability</w:t>
      </w:r>
    </w:p>
    <w:p w14:paraId="557FF8E9" w14:textId="77777777" w:rsidR="00A67487" w:rsidRDefault="00A67487" w:rsidP="00A67487">
      <w:pPr>
        <w:pStyle w:val="B1"/>
        <w:rPr>
          <w:color w:val="000000" w:themeColor="text1"/>
          <w:lang w:eastAsia="ja-JP"/>
        </w:rPr>
      </w:pPr>
      <w:r>
        <w:rPr>
          <w:color w:val="000000" w:themeColor="text1"/>
          <w:lang w:eastAsia="ja-JP"/>
        </w:rPr>
        <w:t>-</w:t>
      </w:r>
      <w:r>
        <w:rPr>
          <w:color w:val="000000" w:themeColor="text1"/>
          <w:lang w:eastAsia="ja-JP"/>
        </w:rPr>
        <w:tab/>
        <w:t xml:space="preserve">the value of </w:t>
      </w:r>
      <w:r>
        <w:rPr>
          <w:rFonts w:eastAsia="DengXian"/>
          <w:i/>
          <w:color w:val="000000" w:themeColor="text1"/>
          <w:lang w:eastAsia="ja-JP"/>
        </w:rPr>
        <w:t>pdcch-BlindDetectionMCG-UE</w:t>
      </w:r>
      <w:r>
        <w:rPr>
          <w:i/>
          <w:iCs/>
          <w:color w:val="000000" w:themeColor="text1"/>
          <w:lang w:eastAsia="ja-JP"/>
        </w:rPr>
        <w:t>-r16</w:t>
      </w:r>
      <w:r>
        <w:rPr>
          <w:rFonts w:eastAsia="DengXian"/>
          <w:color w:val="000000" w:themeColor="text1"/>
          <w:lang w:eastAsia="ja-JP"/>
        </w:rPr>
        <w:t xml:space="preserve"> or of </w:t>
      </w:r>
      <w:r>
        <w:rPr>
          <w:rFonts w:eastAsia="DengXian"/>
          <w:i/>
          <w:color w:val="000000" w:themeColor="text1"/>
          <w:lang w:eastAsia="ja-JP"/>
        </w:rPr>
        <w:t>pdcch-BlindDetectionSCG-UE</w:t>
      </w:r>
      <w:r>
        <w:rPr>
          <w:i/>
          <w:iCs/>
          <w:color w:val="000000" w:themeColor="text1"/>
          <w:lang w:eastAsia="ja-JP"/>
        </w:rPr>
        <w:t>-r16</w:t>
      </w:r>
      <w:r>
        <w:rPr>
          <w:color w:val="000000" w:themeColor="text1"/>
          <w:lang w:eastAsia="ja-JP"/>
        </w:rPr>
        <w:t xml:space="preserve"> is 1,</w:t>
      </w:r>
    </w:p>
    <w:p w14:paraId="297CE254" w14:textId="77777777" w:rsidR="00A67487" w:rsidRDefault="00A67487" w:rsidP="00A67487">
      <w:pPr>
        <w:pStyle w:val="B1"/>
        <w:rPr>
          <w:color w:val="000000" w:themeColor="text1"/>
          <w:lang w:val="en-GB" w:eastAsia="en-GB"/>
        </w:rPr>
      </w:pPr>
      <w:r>
        <w:rPr>
          <w:iCs/>
          <w:color w:val="000000" w:themeColor="text1"/>
          <w:lang w:val="en-GB" w:eastAsia="ja-JP"/>
        </w:rPr>
        <w:t>-</w:t>
      </w:r>
      <w:r>
        <w:rPr>
          <w:iCs/>
          <w:color w:val="000000" w:themeColor="text1"/>
          <w:lang w:val="en-GB" w:eastAsia="ja-JP"/>
        </w:rPr>
        <w:tab/>
      </w:r>
      <w:r>
        <w:rPr>
          <w:i/>
          <w:iCs/>
          <w:color w:val="000000" w:themeColor="text1"/>
          <w:lang w:val="en-GB" w:eastAsia="ja-JP"/>
        </w:rPr>
        <w:t>pdcch-BlindDetectionMCG-UE-r16</w:t>
      </w:r>
      <w:r>
        <w:rPr>
          <w:color w:val="000000" w:themeColor="text1"/>
          <w:lang w:val="en-GB" w:eastAsia="ja-JP"/>
        </w:rPr>
        <w:t xml:space="preserve"> + </w:t>
      </w:r>
      <w:r>
        <w:rPr>
          <w:i/>
          <w:iCs/>
          <w:color w:val="000000" w:themeColor="text1"/>
          <w:lang w:val="en-GB" w:eastAsia="ja-JP"/>
        </w:rPr>
        <w:t>pdcch-BlindDetectionSCG-UE-r16</w:t>
      </w:r>
      <w:r>
        <w:rPr>
          <w:iCs/>
          <w:color w:val="000000" w:themeColor="text1"/>
          <w:lang w:val="en-GB" w:eastAsia="ja-JP"/>
        </w:rPr>
        <w:t xml:space="preserve"> &gt;=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r16</m:t>
            </m:r>
          </m:sub>
          <m:sup>
            <m:r>
              <m:rPr>
                <m:sty m:val="p"/>
              </m:rPr>
              <w:rPr>
                <w:rFonts w:ascii="Cambria Math" w:hAnsi="Cambria Math"/>
                <w:color w:val="000000" w:themeColor="text1"/>
                <w:lang w:eastAsia="zh-CN"/>
              </w:rPr>
              <m:t>DL,cells</m:t>
            </m:r>
          </m:sup>
        </m:sSubSup>
      </m:oMath>
      <w:r>
        <w:rPr>
          <w:color w:val="000000" w:themeColor="text1"/>
          <w:lang w:val="en-GB" w:eastAsia="zh-CN"/>
        </w:rPr>
        <w:t>.</w:t>
      </w:r>
    </w:p>
    <w:p w14:paraId="6507BB26" w14:textId="28A2B68A" w:rsidR="003815C2" w:rsidRDefault="003815C2" w:rsidP="003815C2">
      <w:pPr>
        <w:rPr>
          <w:lang w:eastAsia="ko-KR"/>
        </w:rPr>
      </w:pPr>
      <w:r w:rsidRPr="00B916EC">
        <w:rPr>
          <w:lang w:eastAsia="ko-KR"/>
        </w:rPr>
        <w:t>If a</w:t>
      </w:r>
      <w:r w:rsidRPr="00905607">
        <w:rPr>
          <w:lang w:eastAsia="ko-KR"/>
        </w:rPr>
        <w:t xml:space="preserve"> </w:t>
      </w:r>
      <w:r>
        <w:rPr>
          <w:lang w:eastAsia="ko-KR"/>
        </w:rPr>
        <w:t xml:space="preserve">UE indicates </w:t>
      </w:r>
      <w:r w:rsidRPr="00B916EC">
        <w:rPr>
          <w:lang w:eastAsia="ko-KR"/>
        </w:rPr>
        <w:t xml:space="preserve">in </w:t>
      </w:r>
      <w:r w:rsidRPr="00B916EC">
        <w:rPr>
          <w:i/>
          <w:iCs/>
        </w:rPr>
        <w:t>UE-NR-Capability</w:t>
      </w:r>
      <w:r w:rsidRPr="00B916EC">
        <w:rPr>
          <w:lang w:eastAsia="ko-KR"/>
        </w:rPr>
        <w:t xml:space="preserve"> </w:t>
      </w:r>
      <w:r>
        <w:rPr>
          <w:lang w:eastAsia="ko-KR"/>
        </w:rPr>
        <w:t>a</w:t>
      </w:r>
      <w:r w:rsidRPr="00B916EC">
        <w:rPr>
          <w:lang w:eastAsia="ko-KR"/>
        </w:rPr>
        <w:t xml:space="preserve"> carrier aggregation capability larger than </w:t>
      </w:r>
      <w:r>
        <w:rPr>
          <w:lang w:eastAsia="ko-KR"/>
        </w:rPr>
        <w:t>four downlink cells</w:t>
      </w:r>
      <w:r w:rsidRPr="00B916EC">
        <w:rPr>
          <w:lang w:eastAsia="ko-KR"/>
        </w:rPr>
        <w:t xml:space="preserve">, the UE includes in </w:t>
      </w:r>
      <w:r w:rsidRPr="00B916EC">
        <w:rPr>
          <w:i/>
          <w:iCs/>
        </w:rPr>
        <w:t>UE-NR-Capability</w:t>
      </w:r>
      <w:r w:rsidRPr="00B916EC">
        <w:rPr>
          <w:lang w:eastAsia="ko-KR"/>
        </w:rPr>
        <w:t xml:space="preserve"> an indication for a maximum number of PDCCH candidates </w:t>
      </w:r>
      <w:r>
        <w:rPr>
          <w:lang w:eastAsia="ko-KR"/>
        </w:rPr>
        <w:t xml:space="preserve">and a maximum number of non-overlapped CCEs that </w:t>
      </w:r>
      <w:r w:rsidRPr="00B916EC">
        <w:rPr>
          <w:lang w:eastAsia="ko-KR"/>
        </w:rPr>
        <w:t xml:space="preserve">the UE can monitor per </w:t>
      </w:r>
      <w:r>
        <w:rPr>
          <w:lang w:eastAsia="ko-KR"/>
        </w:rPr>
        <w:t xml:space="preserve">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Pr>
          <w:lang w:eastAsia="zh-CN"/>
        </w:rPr>
        <w:t xml:space="preserve"> </w:t>
      </w:r>
      <w:r>
        <w:rPr>
          <w:lang w:eastAsia="ko-KR"/>
        </w:rPr>
        <w:t xml:space="preserve">slots </w:t>
      </w:r>
      <w:r w:rsidRPr="00B916EC">
        <w:rPr>
          <w:lang w:eastAsia="ko-KR"/>
        </w:rPr>
        <w:t xml:space="preserve">when the UE is configured for carrier aggregation </w:t>
      </w:r>
      <w:r w:rsidRPr="00B916EC">
        <w:rPr>
          <w:lang w:eastAsia="ko-KR"/>
        </w:rPr>
        <w:lastRenderedPageBreak/>
        <w:t xml:space="preserve">operation over more than </w:t>
      </w:r>
      <w:r>
        <w:rPr>
          <w:lang w:eastAsia="ko-KR"/>
        </w:rPr>
        <w:t>four</w:t>
      </w:r>
      <w:r w:rsidRPr="00B916EC">
        <w:rPr>
          <w:lang w:eastAsia="ko-KR"/>
        </w:rPr>
        <w:t xml:space="preserve"> </w:t>
      </w:r>
      <w:r>
        <w:rPr>
          <w:lang w:eastAsia="ko-KR"/>
        </w:rPr>
        <w:t xml:space="preserve">downlink </w:t>
      </w:r>
      <w:r w:rsidRPr="00B916EC">
        <w:rPr>
          <w:lang w:eastAsia="ko-KR"/>
        </w:rPr>
        <w:t>cells</w:t>
      </w:r>
      <w:r w:rsidRPr="00A67487">
        <w:rPr>
          <w:lang w:eastAsia="ko-KR"/>
        </w:rPr>
        <w:t xml:space="preserve"> </w:t>
      </w:r>
      <w:r w:rsidR="00121FE4" w:rsidRPr="00A51D05">
        <w:rPr>
          <w:rFonts w:eastAsia="Times New Roman"/>
          <w:iCs/>
        </w:rPr>
        <w:t xml:space="preserve">for which the UE is provided </w:t>
      </w:r>
      <w:r w:rsidR="00121FE4" w:rsidRPr="00A51D05">
        <w:rPr>
          <w:rFonts w:eastAsia="Times New Roman"/>
          <w:i/>
        </w:rPr>
        <w:t>monitoringCapabilityConfig</w:t>
      </w:r>
      <w:r w:rsidR="00121FE4" w:rsidRPr="00A51D05">
        <w:rPr>
          <w:rFonts w:eastAsia="Times New Roman"/>
        </w:rPr>
        <w:t xml:space="preserve"> = </w:t>
      </w:r>
      <w:r w:rsidR="00121FE4" w:rsidRPr="00A51D05">
        <w:rPr>
          <w:rFonts w:eastAsia="Times New Roman"/>
          <w:i/>
        </w:rPr>
        <w:t>r17monitoringcapability</w:t>
      </w:r>
      <w:r w:rsidRPr="00B916EC">
        <w:rPr>
          <w:lang w:eastAsia="ko-KR"/>
        </w:rPr>
        <w:t xml:space="preserve">. </w:t>
      </w:r>
      <w:r>
        <w:rPr>
          <w:lang w:eastAsia="ko-KR"/>
        </w:rPr>
        <w:t xml:space="preserve">When a UE is not configured for NR-DC operation </w:t>
      </w:r>
      <w:r>
        <w:rPr>
          <w:lang w:val="en-US"/>
        </w:rPr>
        <w:t>for all downlink cells where the UE monitors PDCCH</w:t>
      </w:r>
      <w:r>
        <w:rPr>
          <w:lang w:eastAsia="ko-KR"/>
        </w:rPr>
        <w:t xml:space="preserve">, </w:t>
      </w:r>
      <w:r>
        <w:t>the UE determines</w:t>
      </w:r>
      <w:r>
        <w:rPr>
          <w:lang w:eastAsia="ko-KR"/>
        </w:rPr>
        <w:t xml:space="preserve"> a capability to monitor a maximum number of PDCCH candidates and a maximum number of non-overlapped CCEs </w:t>
      </w:r>
      <w:r w:rsidRPr="00B916EC">
        <w:rPr>
          <w:lang w:eastAsia="ko-KR"/>
        </w:rPr>
        <w:t xml:space="preserve">per </w:t>
      </w:r>
      <w:r>
        <w:rPr>
          <w:lang w:eastAsia="ko-KR"/>
        </w:rPr>
        <w:t xml:space="preserve">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Pr>
          <w:lang w:eastAsia="zh-CN"/>
        </w:rPr>
        <w:t xml:space="preserve"> </w:t>
      </w:r>
      <w:r>
        <w:rPr>
          <w:lang w:eastAsia="ko-KR"/>
        </w:rPr>
        <w:t xml:space="preserve">slots that corresponds to </w:t>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m:t>
            </m:r>
          </m:sub>
          <m:sup>
            <m:r>
              <m:rPr>
                <m:sty m:val="p"/>
              </m:rPr>
              <w:rPr>
                <w:rFonts w:ascii="Cambria Math" w:hAnsi="Cambria Math"/>
                <w:lang w:eastAsia="zh-CN"/>
              </w:rPr>
              <m:t>cap-r17</m:t>
            </m:r>
          </m:sup>
        </m:sSubSup>
      </m:oMath>
      <w:r>
        <w:t xml:space="preserve"> downlink cells, where</w:t>
      </w:r>
    </w:p>
    <w:p w14:paraId="7D8F9B7C" w14:textId="545698EF" w:rsidR="00121FE4" w:rsidRPr="001F3B4C" w:rsidRDefault="00121FE4" w:rsidP="00121FE4">
      <w:pPr>
        <w:pStyle w:val="B1"/>
        <w:rPr>
          <w:lang w:val="en-US" w:eastAsia="ko-KR"/>
        </w:rPr>
      </w:pPr>
      <w:r>
        <w:t>-</w:t>
      </w:r>
      <w:r>
        <w:tab/>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m:t>
            </m:r>
          </m:sub>
          <m:sup>
            <m:r>
              <m:rPr>
                <m:sty m:val="p"/>
              </m:rPr>
              <w:rPr>
                <w:rFonts w:ascii="Cambria Math" w:hAnsi="Cambria Math"/>
                <w:lang w:eastAsia="zh-CN"/>
              </w:rPr>
              <m:t>cap-r17</m:t>
            </m:r>
          </m:sup>
        </m:sSubSup>
      </m:oMath>
      <w:r>
        <w:t xml:space="preserve"> </w:t>
      </w:r>
      <w:r>
        <w:rPr>
          <w:lang w:eastAsia="ko-KR"/>
        </w:rPr>
        <w:t xml:space="preserve">is </w:t>
      </w:r>
      <m:oMath>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ctrlPr>
              <w:rPr>
                <w:rFonts w:ascii="Cambria Math" w:hAnsi="Cambria Math"/>
              </w:rPr>
            </m:ctrlPr>
          </m:sup>
        </m:sSubSup>
        <m:r>
          <w:rPr>
            <w:rFonts w:ascii="Cambria Math" w:hAnsi="Cambria Math"/>
          </w:rPr>
          <m:t>+R</m:t>
        </m:r>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ctrlPr>
              <w:rPr>
                <w:rFonts w:ascii="Cambria Math" w:hAnsi="Cambria Math"/>
              </w:rPr>
            </m:ctrlPr>
          </m:sup>
        </m:sSubSup>
      </m:oMath>
      <w:r>
        <w:rPr>
          <w:lang w:eastAsia="ko-KR"/>
        </w:rPr>
        <w:t>if</w:t>
      </w:r>
      <w:r w:rsidRPr="008F5160">
        <w:rPr>
          <w:lang w:eastAsia="ko-KR"/>
        </w:rPr>
        <w:t xml:space="preserve"> the UE </w:t>
      </w:r>
      <w:r>
        <w:rPr>
          <w:lang w:eastAsia="ko-KR"/>
        </w:rPr>
        <w:t xml:space="preserve">does not provide </w:t>
      </w:r>
      <w:r w:rsidR="0006598A" w:rsidRPr="007F2AD6">
        <w:rPr>
          <w:i/>
        </w:rPr>
        <w:t>pdcch-MonitoringCA-r17</w:t>
      </w:r>
      <w:r w:rsidRPr="001F386C">
        <w:rPr>
          <w:iCs/>
        </w:rPr>
        <w:t xml:space="preserve"> </w:t>
      </w:r>
      <w:r w:rsidRPr="00A51D05">
        <w:rPr>
          <w:iCs/>
        </w:rPr>
        <w:t xml:space="preserve">where </w:t>
      </w:r>
      <m:oMath>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ctrlPr>
              <w:rPr>
                <w:rFonts w:ascii="Cambria Math" w:hAnsi="Cambria Math"/>
              </w:rPr>
            </m:ctrlPr>
          </m:sup>
        </m:sSubSup>
      </m:oMath>
      <w:r w:rsidRPr="00A51D05">
        <w:t xml:space="preserve"> is the number of configured downlink </w:t>
      </w:r>
      <w:r w:rsidRPr="00A51D05">
        <w:rPr>
          <w:rFonts w:cs="Calibri"/>
        </w:rPr>
        <w:t>serving cells</w:t>
      </w:r>
    </w:p>
    <w:p w14:paraId="094CE920" w14:textId="743C4778" w:rsidR="00121FE4" w:rsidRPr="001F3B4C" w:rsidRDefault="00121FE4" w:rsidP="00121FE4">
      <w:pPr>
        <w:pStyle w:val="B1"/>
        <w:rPr>
          <w:lang w:val="en-US"/>
        </w:rPr>
      </w:pPr>
      <w:r>
        <w:t>-</w:t>
      </w:r>
      <w:r>
        <w:tab/>
      </w:r>
      <w:r w:rsidRPr="002128CC">
        <w:t xml:space="preserve">otherwise, </w:t>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m:t>
            </m:r>
          </m:sub>
          <m:sup>
            <m:r>
              <m:rPr>
                <m:sty m:val="p"/>
              </m:rPr>
              <w:rPr>
                <w:rFonts w:ascii="Cambria Math" w:hAnsi="Cambria Math"/>
                <w:lang w:eastAsia="zh-CN"/>
              </w:rPr>
              <m:t>cap-r17</m:t>
            </m:r>
          </m:sup>
        </m:sSubSup>
      </m:oMath>
      <w:r w:rsidRPr="00D20E88">
        <w:t xml:space="preserve"> </w:t>
      </w:r>
      <w:r w:rsidRPr="002128CC">
        <w:t xml:space="preserve">is the value of </w:t>
      </w:r>
      <w:r w:rsidR="0006598A" w:rsidRPr="007F2AD6">
        <w:rPr>
          <w:i/>
        </w:rPr>
        <w:t>pdcch-MonitoringCA-r17</w:t>
      </w:r>
    </w:p>
    <w:p w14:paraId="792AB89C" w14:textId="77777777" w:rsidR="003815C2" w:rsidRDefault="003815C2" w:rsidP="003815C2">
      <w:pPr>
        <w:rPr>
          <w:lang w:val="en-US" w:eastAsia="ko-KR"/>
        </w:rPr>
      </w:pPr>
      <w:r>
        <w:rPr>
          <w:lang w:eastAsia="ko-KR"/>
        </w:rPr>
        <w:t xml:space="preserve">When the UE is configured for carrier aggregation operation over more than 4 cells, the UE does not expect to monitor per 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Pr>
          <w:lang w:eastAsia="zh-CN"/>
        </w:rPr>
        <w:t xml:space="preserve"> </w:t>
      </w:r>
      <w:r>
        <w:rPr>
          <w:lang w:eastAsia="ko-KR"/>
        </w:rPr>
        <w:t xml:space="preserve">slots a number of PDCCH candidates or a number of non-overlapped CCEs that is larger than the maximum number as derived from </w:t>
      </w:r>
      <w:r>
        <w:rPr>
          <w:lang w:eastAsia="ja-JP"/>
        </w:rPr>
        <w:t xml:space="preserve">the corresponding value of </w:t>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m:t>
            </m:r>
          </m:sub>
          <m:sup>
            <m:r>
              <m:rPr>
                <m:sty m:val="p"/>
              </m:rPr>
              <w:rPr>
                <w:rFonts w:ascii="Cambria Math" w:hAnsi="Cambria Math"/>
                <w:lang w:eastAsia="zh-CN"/>
              </w:rPr>
              <m:t>cap-r17</m:t>
            </m:r>
          </m:sup>
        </m:sSubSup>
      </m:oMath>
      <w:r>
        <w:rPr>
          <w:lang w:eastAsia="ko-KR"/>
        </w:rPr>
        <w:t>.</w:t>
      </w:r>
    </w:p>
    <w:p w14:paraId="36159E43" w14:textId="77777777" w:rsidR="00121FE4" w:rsidRDefault="00121FE4" w:rsidP="00121FE4">
      <w:pPr>
        <w:rPr>
          <w:lang w:eastAsia="ko-KR"/>
        </w:rPr>
      </w:pPr>
      <w:r>
        <w:rPr>
          <w:lang w:eastAsia="ko-KR"/>
        </w:rPr>
        <w:t xml:space="preserve">When a UE is configured for NR-DC operation and the UE is provided </w:t>
      </w:r>
      <w:r>
        <w:rPr>
          <w:i/>
          <w:lang w:val="en-US"/>
        </w:rPr>
        <w:t>monitoringCapabilityConfig</w:t>
      </w:r>
      <w:r>
        <w:t xml:space="preserve"> = </w:t>
      </w:r>
      <w:r>
        <w:rPr>
          <w:i/>
        </w:rPr>
        <w:t>r17monitoringcapability</w:t>
      </w:r>
      <w:r>
        <w:rPr>
          <w:iCs/>
        </w:rPr>
        <w:t xml:space="preserve"> </w:t>
      </w:r>
      <w:r>
        <w:t>for all downlink cells where the UE monitors PDCCH</w:t>
      </w:r>
      <w:r>
        <w:rPr>
          <w:lang w:eastAsia="ko-KR"/>
        </w:rPr>
        <w:t xml:space="preserve">, </w:t>
      </w:r>
      <w:r>
        <w:t>the UE determines</w:t>
      </w:r>
      <w:r>
        <w:rPr>
          <w:lang w:eastAsia="ko-KR"/>
        </w:rPr>
        <w:t xml:space="preserve"> a capability </w:t>
      </w:r>
      <w:r>
        <w:t xml:space="preserve">to </w:t>
      </w:r>
      <w:r>
        <w:rPr>
          <w:lang w:eastAsia="ko-KR"/>
        </w:rPr>
        <w:t xml:space="preserve">monitor a maximum number of PDCCH candidates and a maximum number of non-overlapped CCEs per 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Pr>
          <w:lang w:eastAsia="zh-CN"/>
        </w:rPr>
        <w:t xml:space="preserve"> </w:t>
      </w:r>
      <w:r>
        <w:rPr>
          <w:lang w:eastAsia="ko-KR"/>
        </w:rPr>
        <w:t>slots that corresponds to</w:t>
      </w:r>
    </w:p>
    <w:p w14:paraId="76654CCC" w14:textId="77777777" w:rsidR="00121FE4" w:rsidRDefault="00121FE4" w:rsidP="00121FE4">
      <w:pPr>
        <w:pStyle w:val="B1"/>
        <w:rPr>
          <w:lang w:eastAsia="ko-KR"/>
        </w:rPr>
      </w:pPr>
      <w:r>
        <w:t>-</w:t>
      </w:r>
      <w:r>
        <w:tab/>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m:t>
            </m:r>
          </m:sub>
          <m:sup>
            <m:r>
              <m:rPr>
                <m:sty m:val="p"/>
              </m:rPr>
              <w:rPr>
                <w:rFonts w:ascii="Cambria Math" w:hAnsi="Cambria Math"/>
                <w:lang w:eastAsia="zh-CN"/>
              </w:rPr>
              <m:t>cap-r17</m:t>
            </m:r>
          </m:sup>
        </m:sSubSup>
        <m:r>
          <w:rPr>
            <w:rFonts w:ascii="Cambria Math" w:hAnsi="Cambria Math"/>
            <w:lang w:eastAsia="zh-CN"/>
          </w:rPr>
          <m:t>=</m:t>
        </m:r>
        <m:r>
          <m:rPr>
            <m:sty m:val="p"/>
          </m:rPr>
          <w:rPr>
            <w:rFonts w:ascii="Cambria Math" w:hAnsi="Cambria Math"/>
            <w:lang w:eastAsia="ko-KR"/>
          </w:rPr>
          <m:t xml:space="preserve"> </m:t>
        </m:r>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 r17</m:t>
            </m:r>
          </m:sub>
          <m:sup>
            <m:r>
              <m:rPr>
                <m:sty m:val="p"/>
              </m:rPr>
              <w:rPr>
                <w:rFonts w:ascii="Cambria Math" w:hAnsi="Cambria Math"/>
                <w:lang w:eastAsia="zh-CN"/>
              </w:rPr>
              <m:t>MCG</m:t>
            </m:r>
          </m:sup>
        </m:sSubSup>
      </m:oMath>
      <w:r>
        <w:rPr>
          <w:lang w:eastAsia="zh-CN"/>
        </w:rPr>
        <w:t xml:space="preserve"> </w:t>
      </w:r>
      <w:r>
        <w:t xml:space="preserve">downlink cells for the MCG where </w:t>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 r17</m:t>
            </m:r>
          </m:sub>
          <m:sup>
            <m:r>
              <m:rPr>
                <m:sty m:val="p"/>
              </m:rPr>
              <w:rPr>
                <w:rFonts w:ascii="Cambria Math" w:hAnsi="Cambria Math"/>
                <w:lang w:eastAsia="zh-CN"/>
              </w:rPr>
              <m:t>MCG</m:t>
            </m:r>
          </m:sup>
        </m:sSubSup>
      </m:oMath>
      <w:r>
        <w:t xml:space="preserve"> is</w:t>
      </w:r>
      <w:r>
        <w:rPr>
          <w:lang w:eastAsia="ko-KR"/>
        </w:rPr>
        <w:t xml:space="preserve"> provided by </w:t>
      </w:r>
      <w:r>
        <w:rPr>
          <w:i/>
          <w:iCs/>
          <w:lang w:eastAsia="ja-JP"/>
        </w:rPr>
        <w:t>pdcch-BlindDetection</w:t>
      </w:r>
      <w:r>
        <w:rPr>
          <w:i/>
          <w:iCs/>
          <w:lang w:val="en-US" w:eastAsia="ja-JP"/>
        </w:rPr>
        <w:t>4</w:t>
      </w:r>
      <w:r>
        <w:t xml:space="preserve"> for the MCG, </w:t>
      </w:r>
      <w:r>
        <w:rPr>
          <w:lang w:eastAsia="ko-KR"/>
        </w:rPr>
        <w:t xml:space="preserve">and </w:t>
      </w:r>
    </w:p>
    <w:p w14:paraId="274033DC" w14:textId="77777777" w:rsidR="00121FE4" w:rsidRDefault="00121FE4" w:rsidP="00121FE4">
      <w:pPr>
        <w:pStyle w:val="B1"/>
        <w:rPr>
          <w:lang w:eastAsia="ko-KR"/>
        </w:rPr>
      </w:pPr>
      <w:r>
        <w:t>-</w:t>
      </w:r>
      <w:r>
        <w:tab/>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m:t>
            </m:r>
          </m:sub>
          <m:sup>
            <m:r>
              <m:rPr>
                <m:sty m:val="p"/>
              </m:rPr>
              <w:rPr>
                <w:rFonts w:ascii="Cambria Math" w:hAnsi="Cambria Math"/>
                <w:lang w:eastAsia="zh-CN"/>
              </w:rPr>
              <m:t>cap-r17</m:t>
            </m:r>
          </m:sup>
        </m:sSubSup>
        <m:r>
          <w:rPr>
            <w:rFonts w:ascii="Cambria Math" w:hAnsi="Cambria Math"/>
            <w:lang w:eastAsia="zh-CN"/>
          </w:rPr>
          <m:t>=</m:t>
        </m:r>
        <m:r>
          <m:rPr>
            <m:sty m:val="p"/>
          </m:rPr>
          <w:rPr>
            <w:rFonts w:ascii="Cambria Math" w:hAnsi="Cambria Math"/>
            <w:lang w:eastAsia="ko-KR"/>
          </w:rPr>
          <m:t xml:space="preserve"> </m:t>
        </m:r>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 r17</m:t>
            </m:r>
          </m:sub>
          <m:sup>
            <m:r>
              <m:rPr>
                <m:sty m:val="p"/>
              </m:rPr>
              <w:rPr>
                <w:rFonts w:ascii="Cambria Math" w:hAnsi="Cambria Math"/>
                <w:lang w:eastAsia="zh-CN"/>
              </w:rPr>
              <m:t>SCG</m:t>
            </m:r>
          </m:sup>
        </m:sSubSup>
      </m:oMath>
      <w:r>
        <w:rPr>
          <w:lang w:eastAsia="zh-CN"/>
        </w:rPr>
        <w:t xml:space="preserve"> </w:t>
      </w:r>
      <w:r>
        <w:t xml:space="preserve">downlink cells for the SCG where </w:t>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 r17</m:t>
            </m:r>
          </m:sub>
          <m:sup>
            <m:r>
              <m:rPr>
                <m:sty m:val="p"/>
              </m:rPr>
              <w:rPr>
                <w:rFonts w:ascii="Cambria Math" w:hAnsi="Cambria Math"/>
                <w:lang w:eastAsia="zh-CN"/>
              </w:rPr>
              <m:t>SCG</m:t>
            </m:r>
          </m:sup>
        </m:sSubSup>
      </m:oMath>
      <w:r>
        <w:t xml:space="preserve"> is</w:t>
      </w:r>
      <w:r>
        <w:rPr>
          <w:lang w:eastAsia="ko-KR"/>
        </w:rPr>
        <w:t xml:space="preserve"> provided by </w:t>
      </w:r>
      <w:r>
        <w:rPr>
          <w:i/>
          <w:iCs/>
          <w:lang w:eastAsia="ja-JP"/>
        </w:rPr>
        <w:t>pdcch-BlindDetection</w:t>
      </w:r>
      <w:r>
        <w:rPr>
          <w:i/>
          <w:iCs/>
          <w:lang w:val="en-US" w:eastAsia="ja-JP"/>
        </w:rPr>
        <w:t>4</w:t>
      </w:r>
      <w:r>
        <w:t xml:space="preserve"> for the SCG</w:t>
      </w:r>
    </w:p>
    <w:p w14:paraId="65123B3D" w14:textId="77777777" w:rsidR="00121FE4" w:rsidRDefault="00121FE4" w:rsidP="00121FE4">
      <w:pPr>
        <w:rPr>
          <w:rFonts w:eastAsia="DengXian"/>
          <w:lang w:eastAsia="ko-KR"/>
        </w:rPr>
      </w:pPr>
      <w:r>
        <w:rPr>
          <w:rFonts w:eastAsia="DengXian"/>
          <w:lang w:eastAsia="ko-KR"/>
        </w:rPr>
        <w:t xml:space="preserve">When a UE is configured for NR-DC operation with a total of </w:t>
      </w:r>
      <m:oMath>
        <m:sSubSup>
          <m:sSubSupPr>
            <m:ctrlPr>
              <w:rPr>
                <w:rFonts w:ascii="Cambria Math" w:hAnsi="Cambria Math"/>
                <w:i/>
                <w:lang w:eastAsia="zh-CN"/>
              </w:rPr>
            </m:ctrlPr>
          </m:sSubSupPr>
          <m:e>
            <m:r>
              <w:rPr>
                <w:rFonts w:ascii="Cambria Math" w:hAnsi="Cambria Math"/>
                <w:lang w:eastAsia="zh-CN"/>
              </w:rPr>
              <m:t>N</m:t>
            </m:r>
          </m:e>
          <m:sub>
            <m:r>
              <m:rPr>
                <m:sty m:val="p"/>
              </m:rPr>
              <w:rPr>
                <w:rFonts w:ascii="Cambria Math" w:hAnsi="Cambria Math"/>
                <w:lang w:eastAsia="zh-CN"/>
              </w:rPr>
              <m:t>NR-DC</m:t>
            </m:r>
          </m:sub>
          <m:sup>
            <m:r>
              <m:rPr>
                <m:sty m:val="p"/>
              </m:rPr>
              <w:rPr>
                <w:rFonts w:ascii="Cambria Math" w:hAnsi="Cambria Math"/>
                <w:lang w:eastAsia="zh-CN"/>
              </w:rPr>
              <m:t>DL,cells</m:t>
            </m:r>
          </m:sup>
        </m:sSubSup>
      </m:oMath>
      <w:r>
        <w:rPr>
          <w:rFonts w:eastAsia="DengXian"/>
        </w:rPr>
        <w:t xml:space="preserve"> downlink cells on both the MCG and the SCG and </w:t>
      </w:r>
      <w:r>
        <w:rPr>
          <w:lang w:eastAsia="ko-KR"/>
        </w:rPr>
        <w:t xml:space="preserve">the UE is provided </w:t>
      </w:r>
      <w:r>
        <w:rPr>
          <w:i/>
          <w:lang w:val="en-US"/>
        </w:rPr>
        <w:t>monitoringCapabilityConfig</w:t>
      </w:r>
      <w:r>
        <w:t xml:space="preserve"> = </w:t>
      </w:r>
      <w:r>
        <w:rPr>
          <w:i/>
        </w:rPr>
        <w:t>r17monitoringcapability</w:t>
      </w:r>
      <w:r>
        <w:t xml:space="preserve"> for all downlink cells where the UE monitors PDCCH</w:t>
      </w:r>
      <w:r>
        <w:rPr>
          <w:rFonts w:eastAsia="DengXian"/>
          <w:lang w:eastAsia="ko-KR"/>
        </w:rPr>
        <w:t xml:space="preserve">, the UE expects to be provided </w:t>
      </w:r>
      <w:r>
        <w:rPr>
          <w:i/>
          <w:iCs/>
          <w:lang w:eastAsia="ja-JP"/>
        </w:rPr>
        <w:t>pdcch-BlindDetection4</w:t>
      </w:r>
      <w:r>
        <w:rPr>
          <w:rFonts w:eastAsia="DengXian"/>
          <w:lang w:eastAsia="ja-JP"/>
        </w:rPr>
        <w:t xml:space="preserve"> for the MCG and </w:t>
      </w:r>
      <w:r>
        <w:rPr>
          <w:i/>
          <w:iCs/>
          <w:lang w:eastAsia="ja-JP"/>
        </w:rPr>
        <w:t>pdcch-BlindDetection4</w:t>
      </w:r>
      <w:r>
        <w:rPr>
          <w:rFonts w:eastAsia="DengXian"/>
          <w:lang w:eastAsia="ko-KR"/>
        </w:rPr>
        <w:t xml:space="preserve"> for the SCG with values that satisfy </w:t>
      </w:r>
    </w:p>
    <w:p w14:paraId="07777578" w14:textId="6012062E" w:rsidR="00121FE4" w:rsidRDefault="00121FE4" w:rsidP="00121FE4">
      <w:pPr>
        <w:pStyle w:val="B1"/>
        <w:rPr>
          <w:rFonts w:eastAsia="DengXian"/>
          <w:lang w:eastAsia="ja-JP"/>
        </w:rPr>
      </w:pPr>
      <w:r>
        <w:rPr>
          <w:rFonts w:eastAsia="DengXian"/>
          <w:lang w:eastAsia="ja-JP"/>
        </w:rPr>
        <w:t>-</w:t>
      </w:r>
      <w:r>
        <w:rPr>
          <w:rFonts w:eastAsia="DengXian"/>
          <w:lang w:eastAsia="ja-JP"/>
        </w:rPr>
        <w:tab/>
      </w:r>
      <w:r w:rsidRPr="00822011">
        <w:rPr>
          <w:i/>
          <w:iCs/>
          <w:lang w:eastAsia="ja-JP"/>
        </w:rPr>
        <w:t>pdcch-BlindDetection</w:t>
      </w:r>
      <w:r>
        <w:rPr>
          <w:i/>
          <w:iCs/>
          <w:lang w:val="en-US" w:eastAsia="ja-JP"/>
        </w:rPr>
        <w:t>4</w:t>
      </w:r>
      <w:r>
        <w:rPr>
          <w:rFonts w:eastAsia="DengXian"/>
          <w:lang w:eastAsia="ja-JP"/>
        </w:rPr>
        <w:t xml:space="preserve"> for the MCG + </w:t>
      </w:r>
      <w:r w:rsidRPr="00822011">
        <w:rPr>
          <w:i/>
          <w:iCs/>
          <w:lang w:eastAsia="ja-JP"/>
        </w:rPr>
        <w:t>pdcch-BlindDetection</w:t>
      </w:r>
      <w:r>
        <w:rPr>
          <w:i/>
          <w:iCs/>
          <w:lang w:val="en-US" w:eastAsia="ja-JP"/>
        </w:rPr>
        <w:t>4</w:t>
      </w:r>
      <w:r>
        <w:rPr>
          <w:rFonts w:eastAsia="DengXian"/>
          <w:lang w:eastAsia="ja-JP"/>
        </w:rPr>
        <w:t xml:space="preserve"> </w:t>
      </w:r>
      <w:r>
        <w:rPr>
          <w:rFonts w:eastAsia="DengXian"/>
          <w:lang w:eastAsia="ko-KR"/>
        </w:rPr>
        <w:t xml:space="preserve">for the SCG </w:t>
      </w:r>
      <w:r>
        <w:rPr>
          <w:rFonts w:eastAsia="DengXian"/>
          <w:lang w:eastAsia="ja-JP"/>
        </w:rPr>
        <w:t xml:space="preserve">&lt;= </w:t>
      </w:r>
      <w:r w:rsidR="0006598A" w:rsidRPr="007F2AD6">
        <w:rPr>
          <w:i/>
        </w:rPr>
        <w:t>pdcch-MonitoringCA-r17</w:t>
      </w:r>
      <w:r>
        <w:rPr>
          <w:rFonts w:eastAsia="DengXian"/>
          <w:lang w:eastAsia="ja-JP"/>
        </w:rPr>
        <w:t xml:space="preserve">, if the UE reports </w:t>
      </w:r>
      <w:r w:rsidR="0006598A" w:rsidRPr="007F2AD6">
        <w:rPr>
          <w:i/>
        </w:rPr>
        <w:t>pdcch-MonitoringCA-r17</w:t>
      </w:r>
      <w:r>
        <w:rPr>
          <w:rFonts w:eastAsia="DengXian"/>
          <w:lang w:eastAsia="ja-JP"/>
        </w:rPr>
        <w:t>, or</w:t>
      </w:r>
    </w:p>
    <w:p w14:paraId="0CE23C10" w14:textId="0F4FCBD3" w:rsidR="00121FE4" w:rsidRPr="00953FE9" w:rsidRDefault="00121FE4" w:rsidP="00121FE4">
      <w:pPr>
        <w:pStyle w:val="B1"/>
        <w:rPr>
          <w:rFonts w:eastAsia="DengXian"/>
          <w:lang w:val="en-US" w:eastAsia="ja-JP"/>
        </w:rPr>
      </w:pPr>
      <w:r>
        <w:rPr>
          <w:rFonts w:eastAsia="DengXian"/>
          <w:lang w:eastAsia="ja-JP"/>
        </w:rPr>
        <w:t>-</w:t>
      </w:r>
      <w:r>
        <w:rPr>
          <w:rFonts w:eastAsia="DengXian"/>
          <w:lang w:eastAsia="ja-JP"/>
        </w:rPr>
        <w:tab/>
      </w:r>
      <w:r w:rsidRPr="00822011">
        <w:rPr>
          <w:i/>
          <w:iCs/>
          <w:lang w:eastAsia="ja-JP"/>
        </w:rPr>
        <w:t>pdcch-BlindDetection</w:t>
      </w:r>
      <w:r>
        <w:rPr>
          <w:i/>
          <w:iCs/>
          <w:lang w:val="en-US" w:eastAsia="ja-JP"/>
        </w:rPr>
        <w:t>4</w:t>
      </w:r>
      <w:r>
        <w:rPr>
          <w:rFonts w:eastAsia="DengXian"/>
          <w:lang w:eastAsia="ja-JP"/>
        </w:rPr>
        <w:t xml:space="preserve"> for the MCG + </w:t>
      </w:r>
      <w:r w:rsidRPr="00822011">
        <w:rPr>
          <w:i/>
          <w:iCs/>
          <w:lang w:eastAsia="ja-JP"/>
        </w:rPr>
        <w:t>pdcch-BlindDetection</w:t>
      </w:r>
      <w:r>
        <w:rPr>
          <w:i/>
          <w:iCs/>
          <w:lang w:val="en-US" w:eastAsia="ja-JP"/>
        </w:rPr>
        <w:t>4</w:t>
      </w:r>
      <w:r>
        <w:rPr>
          <w:rFonts w:eastAsia="DengXian"/>
          <w:lang w:eastAsia="ja-JP"/>
        </w:rPr>
        <w:t xml:space="preserve"> </w:t>
      </w:r>
      <w:r>
        <w:rPr>
          <w:rFonts w:eastAsia="DengXian"/>
          <w:lang w:eastAsia="ko-KR"/>
        </w:rPr>
        <w:t xml:space="preserve">for the SCG </w:t>
      </w:r>
      <w:r>
        <w:rPr>
          <w:rFonts w:eastAsia="DengXian"/>
          <w:lang w:eastAsia="ja-JP"/>
        </w:rPr>
        <w:t xml:space="preserve">&lt;= </w:t>
      </w:r>
      <m:oMath>
        <m:sSubSup>
          <m:sSubSupPr>
            <m:ctrlPr>
              <w:rPr>
                <w:rFonts w:ascii="Cambria Math" w:hAnsi="Cambria Math"/>
                <w:lang w:eastAsia="zh-CN"/>
              </w:rPr>
            </m:ctrlPr>
          </m:sSubSupPr>
          <m:e>
            <m:r>
              <w:rPr>
                <w:rFonts w:ascii="Cambria Math" w:hAnsi="Cambria Math"/>
                <w:lang w:eastAsia="zh-CN"/>
              </w:rPr>
              <m:t>N</m:t>
            </m:r>
          </m:e>
          <m:sub>
            <m:r>
              <m:rPr>
                <m:sty m:val="p"/>
              </m:rPr>
              <w:rPr>
                <w:rFonts w:ascii="Cambria Math" w:hAnsi="Cambria Math"/>
                <w:lang w:eastAsia="zh-CN"/>
              </w:rPr>
              <m:t>NR-DC</m:t>
            </m:r>
          </m:sub>
          <m:sup>
            <m:r>
              <m:rPr>
                <m:sty m:val="p"/>
              </m:rPr>
              <w:rPr>
                <w:rFonts w:ascii="Cambria Math" w:hAnsi="Cambria Math"/>
                <w:lang w:eastAsia="zh-CN"/>
              </w:rPr>
              <m:t>DL,cells</m:t>
            </m:r>
          </m:sup>
        </m:sSubSup>
      </m:oMath>
      <w:r>
        <w:rPr>
          <w:rFonts w:eastAsia="DengXian"/>
          <w:lang w:eastAsia="ja-JP"/>
        </w:rPr>
        <w:t xml:space="preserve">, if the UE does not report </w:t>
      </w:r>
      <w:r w:rsidR="0006598A" w:rsidRPr="007F2AD6">
        <w:rPr>
          <w:i/>
        </w:rPr>
        <w:t>pdcch-MonitoringCA-r17</w:t>
      </w:r>
    </w:p>
    <w:p w14:paraId="5E26DF84" w14:textId="6B2EDE7E" w:rsidR="00121FE4" w:rsidRDefault="00121FE4" w:rsidP="00121FE4">
      <w:pPr>
        <w:rPr>
          <w:iCs/>
          <w:color w:val="000000" w:themeColor="text1"/>
          <w:lang w:eastAsia="ja-JP"/>
        </w:rPr>
      </w:pPr>
      <w:r>
        <w:rPr>
          <w:lang w:eastAsia="ko-KR"/>
        </w:rPr>
        <w:t xml:space="preserve">When a UE is configured for NR-DC operation and the UE is provided </w:t>
      </w:r>
      <w:r>
        <w:rPr>
          <w:i/>
          <w:lang w:val="en-US"/>
        </w:rPr>
        <w:t>monitoringCapabilityConfig</w:t>
      </w:r>
      <w:r>
        <w:t xml:space="preserve"> = </w:t>
      </w:r>
      <w:r>
        <w:rPr>
          <w:i/>
        </w:rPr>
        <w:t>r17monitoringcapability</w:t>
      </w:r>
      <w:r>
        <w:t xml:space="preserve"> for all downlink cells where the UE monitors PDCCH</w:t>
      </w:r>
      <w:r>
        <w:rPr>
          <w:color w:val="000000" w:themeColor="text1"/>
          <w:lang w:eastAsia="ko-KR"/>
        </w:rPr>
        <w:t xml:space="preserve">, </w:t>
      </w:r>
      <w:r>
        <w:rPr>
          <w:color w:val="000000" w:themeColor="text1"/>
        </w:rPr>
        <w:t xml:space="preserve">the UE may indicate, through </w:t>
      </w:r>
      <w:r w:rsidR="001C0CD7">
        <w:rPr>
          <w:i/>
          <w:color w:val="000000" w:themeColor="text1"/>
        </w:rPr>
        <w:t>pdcch-</w:t>
      </w:r>
      <w:r w:rsidR="001C0CD7">
        <w:rPr>
          <w:i/>
          <w:iCs/>
          <w:color w:val="000000" w:themeColor="text1"/>
          <w:lang w:eastAsia="ja-JP"/>
        </w:rPr>
        <w:t>BlindDetectionMCG-UE</w:t>
      </w:r>
      <w:r w:rsidR="0006598A">
        <w:rPr>
          <w:i/>
          <w:iCs/>
          <w:color w:val="000000" w:themeColor="text1"/>
          <w:lang w:eastAsia="ja-JP"/>
        </w:rPr>
        <w:t>-r17</w:t>
      </w:r>
      <w:r>
        <w:rPr>
          <w:color w:val="000000" w:themeColor="text1"/>
          <w:lang w:eastAsia="ja-JP"/>
        </w:rPr>
        <w:t xml:space="preserve"> and </w:t>
      </w:r>
      <w:r w:rsidR="001C0CD7">
        <w:rPr>
          <w:i/>
          <w:iCs/>
          <w:color w:val="000000" w:themeColor="text1"/>
          <w:lang w:eastAsia="ja-JP"/>
        </w:rPr>
        <w:t>pdcch-BlindDetectionSCG-UE</w:t>
      </w:r>
      <w:r w:rsidR="0006598A">
        <w:rPr>
          <w:i/>
          <w:iCs/>
          <w:color w:val="000000" w:themeColor="text1"/>
          <w:lang w:eastAsia="ja-JP"/>
        </w:rPr>
        <w:t>-r17</w:t>
      </w:r>
      <w:r>
        <w:rPr>
          <w:color w:val="000000" w:themeColor="text1"/>
          <w:lang w:eastAsia="ja-JP"/>
        </w:rPr>
        <w:t xml:space="preserve">, respective maximum values for </w:t>
      </w:r>
      <w:r>
        <w:rPr>
          <w:i/>
          <w:iCs/>
          <w:color w:val="000000" w:themeColor="text1"/>
          <w:lang w:eastAsia="ja-JP"/>
        </w:rPr>
        <w:t>pdcch-BlindDetection</w:t>
      </w:r>
      <w:r w:rsidR="0006598A">
        <w:rPr>
          <w:i/>
          <w:iCs/>
          <w:color w:val="000000" w:themeColor="text1"/>
          <w:lang w:eastAsia="ja-JP"/>
        </w:rPr>
        <w:t>4</w:t>
      </w:r>
      <w:r>
        <w:rPr>
          <w:color w:val="000000" w:themeColor="text1"/>
          <w:lang w:eastAsia="ja-JP"/>
        </w:rPr>
        <w:t xml:space="preserve"> for the MCG and </w:t>
      </w:r>
      <w:r>
        <w:rPr>
          <w:i/>
          <w:iCs/>
          <w:color w:val="000000" w:themeColor="text1"/>
          <w:lang w:eastAsia="ja-JP"/>
        </w:rPr>
        <w:t>pdcch-BlindDetection</w:t>
      </w:r>
      <w:r w:rsidR="0006598A">
        <w:rPr>
          <w:i/>
          <w:iCs/>
          <w:color w:val="000000" w:themeColor="text1"/>
          <w:lang w:eastAsia="ja-JP"/>
        </w:rPr>
        <w:t>4</w:t>
      </w:r>
      <w:r>
        <w:rPr>
          <w:iCs/>
          <w:color w:val="000000" w:themeColor="text1"/>
          <w:lang w:eastAsia="ja-JP"/>
        </w:rPr>
        <w:t xml:space="preserve"> for the SCG. </w:t>
      </w:r>
    </w:p>
    <w:p w14:paraId="1459C384" w14:textId="52FFF873" w:rsidR="00121FE4" w:rsidRDefault="00121FE4" w:rsidP="00121FE4">
      <w:pPr>
        <w:rPr>
          <w:iCs/>
          <w:color w:val="000000" w:themeColor="text1"/>
          <w:lang w:eastAsia="ja-JP"/>
        </w:rPr>
      </w:pPr>
      <w:r>
        <w:rPr>
          <w:color w:val="000000" w:themeColor="text1"/>
          <w:lang w:eastAsia="ja-JP"/>
        </w:rPr>
        <w:t xml:space="preserve">If the UE reports </w:t>
      </w:r>
      <w:r w:rsidR="0006598A" w:rsidRPr="007F2AD6">
        <w:rPr>
          <w:i/>
        </w:rPr>
        <w:t>pdcch-MonitoringCA-r17</w:t>
      </w:r>
      <w:r>
        <w:rPr>
          <w:iCs/>
          <w:color w:val="000000" w:themeColor="text1"/>
          <w:lang w:eastAsia="ja-JP"/>
        </w:rPr>
        <w:t xml:space="preserve">, </w:t>
      </w:r>
    </w:p>
    <w:p w14:paraId="52AE5C65" w14:textId="32002CE1" w:rsidR="00121FE4" w:rsidRDefault="00121FE4" w:rsidP="00121FE4">
      <w:pPr>
        <w:pStyle w:val="B1"/>
        <w:rPr>
          <w:color w:val="000000" w:themeColor="text1"/>
          <w:lang w:eastAsia="ja-JP"/>
        </w:rPr>
      </w:pPr>
      <w:r>
        <w:rPr>
          <w:color w:val="000000" w:themeColor="text1"/>
          <w:lang w:eastAsia="ja-JP"/>
        </w:rPr>
        <w:t>-</w:t>
      </w:r>
      <w:r>
        <w:rPr>
          <w:color w:val="000000" w:themeColor="text1"/>
          <w:lang w:eastAsia="ja-JP"/>
        </w:rPr>
        <w:tab/>
        <w:t xml:space="preserve">the value range of </w:t>
      </w:r>
      <w:r w:rsidR="001C0CD7" w:rsidRPr="000E4E89">
        <w:rPr>
          <w:i/>
          <w:iCs/>
          <w:color w:val="000000"/>
          <w:lang w:eastAsia="ja-JP"/>
        </w:rPr>
        <w:t>pdcch-BlindDetectionMCG-UE</w:t>
      </w:r>
      <w:r w:rsidR="000E7959">
        <w:rPr>
          <w:i/>
          <w:iCs/>
          <w:color w:val="000000"/>
          <w:lang w:eastAsia="ja-JP"/>
        </w:rPr>
        <w:t>-r17</w:t>
      </w:r>
      <w:r>
        <w:rPr>
          <w:rFonts w:eastAsia="DengXian"/>
          <w:color w:val="000000" w:themeColor="text1"/>
          <w:lang w:eastAsia="ja-JP"/>
        </w:rPr>
        <w:t xml:space="preserve"> or of </w:t>
      </w:r>
      <w:r w:rsidR="001C0CD7">
        <w:rPr>
          <w:i/>
          <w:iCs/>
          <w:color w:val="000000" w:themeColor="text1"/>
          <w:lang w:eastAsia="ja-JP"/>
        </w:rPr>
        <w:t>pdcch-BlindDetectionSCG-UE</w:t>
      </w:r>
      <w:r w:rsidR="000E7959">
        <w:rPr>
          <w:i/>
          <w:iCs/>
          <w:color w:val="000000"/>
          <w:lang w:eastAsia="ja-JP"/>
        </w:rPr>
        <w:t>-r17</w:t>
      </w:r>
      <w:r>
        <w:rPr>
          <w:color w:val="000000" w:themeColor="text1"/>
          <w:lang w:eastAsia="ja-JP"/>
        </w:rPr>
        <w:t xml:space="preserve"> is [1, …, </w:t>
      </w:r>
      <w:r w:rsidR="0006598A" w:rsidRPr="007F2AD6">
        <w:rPr>
          <w:i/>
        </w:rPr>
        <w:t>pdcch-MonitoringCA-r17</w:t>
      </w:r>
      <w:r w:rsidR="001C0CD7">
        <w:rPr>
          <w:iCs/>
          <w:color w:val="000000" w:themeColor="text1"/>
          <w:lang w:eastAsia="ja-JP"/>
        </w:rPr>
        <w:t>-</w:t>
      </w:r>
      <w:r w:rsidR="001C0CD7">
        <w:rPr>
          <w:color w:val="000000" w:themeColor="text1"/>
          <w:lang w:eastAsia="ja-JP"/>
        </w:rPr>
        <w:t>1</w:t>
      </w:r>
      <w:r>
        <w:rPr>
          <w:color w:val="000000" w:themeColor="text1"/>
          <w:lang w:eastAsia="ja-JP"/>
        </w:rPr>
        <w:t xml:space="preserve">], and </w:t>
      </w:r>
    </w:p>
    <w:p w14:paraId="28897D27" w14:textId="2489036F" w:rsidR="001C0CD7" w:rsidRDefault="001C0CD7" w:rsidP="001C0CD7">
      <w:pPr>
        <w:pStyle w:val="B1"/>
        <w:rPr>
          <w:iCs/>
          <w:color w:val="000000" w:themeColor="text1"/>
          <w:lang w:val="en-US" w:eastAsia="ja-JP"/>
        </w:rPr>
      </w:pPr>
      <w:r>
        <w:rPr>
          <w:iCs/>
          <w:color w:val="000000" w:themeColor="text1"/>
          <w:lang w:eastAsia="ja-JP"/>
        </w:rPr>
        <w:t>-</w:t>
      </w:r>
      <w:r>
        <w:rPr>
          <w:iCs/>
          <w:color w:val="000000" w:themeColor="text1"/>
          <w:lang w:eastAsia="ja-JP"/>
        </w:rPr>
        <w:tab/>
      </w:r>
      <w:r w:rsidRPr="000E4E89">
        <w:rPr>
          <w:i/>
          <w:iCs/>
          <w:color w:val="000000"/>
          <w:lang w:eastAsia="ja-JP"/>
        </w:rPr>
        <w:t>pdcch-BlindDetectionMCG-UE</w:t>
      </w:r>
      <w:r w:rsidR="000E7959">
        <w:rPr>
          <w:i/>
          <w:iCs/>
          <w:color w:val="000000"/>
          <w:lang w:eastAsia="ja-JP"/>
        </w:rPr>
        <w:t>-r17</w:t>
      </w:r>
      <w:r>
        <w:rPr>
          <w:color w:val="000000" w:themeColor="text1"/>
          <w:lang w:eastAsia="ja-JP"/>
        </w:rPr>
        <w:t xml:space="preserve"> + </w:t>
      </w:r>
      <w:r>
        <w:rPr>
          <w:i/>
          <w:iCs/>
          <w:color w:val="000000" w:themeColor="text1"/>
          <w:lang w:eastAsia="ja-JP"/>
        </w:rPr>
        <w:t>pdcch-BlindDetectionSCG-UE</w:t>
      </w:r>
      <w:r w:rsidR="000E7959">
        <w:rPr>
          <w:i/>
          <w:iCs/>
          <w:color w:val="000000"/>
          <w:lang w:eastAsia="ja-JP"/>
        </w:rPr>
        <w:t>-r17</w:t>
      </w:r>
      <w:r>
        <w:rPr>
          <w:iCs/>
          <w:color w:val="000000" w:themeColor="text1"/>
          <w:lang w:eastAsia="ja-JP"/>
        </w:rPr>
        <w:t xml:space="preserve"> &gt;= </w:t>
      </w:r>
      <w:r w:rsidR="0006598A" w:rsidRPr="007F2AD6">
        <w:rPr>
          <w:i/>
        </w:rPr>
        <w:t>pdcch-MonitoringCA-r17</w:t>
      </w:r>
      <w:r>
        <w:rPr>
          <w:i/>
          <w:iCs/>
          <w:color w:val="000000" w:themeColor="text1"/>
          <w:lang w:val="en-US" w:eastAsia="ja-JP"/>
        </w:rPr>
        <w:t>.</w:t>
      </w:r>
    </w:p>
    <w:p w14:paraId="64357EB3" w14:textId="77777777" w:rsidR="00121FE4" w:rsidRDefault="00121FE4" w:rsidP="00121FE4">
      <w:pPr>
        <w:rPr>
          <w:iCs/>
          <w:color w:val="000000" w:themeColor="text1"/>
          <w:lang w:eastAsia="ja-JP"/>
        </w:rPr>
      </w:pPr>
      <w:r>
        <w:rPr>
          <w:iCs/>
          <w:color w:val="000000" w:themeColor="text1"/>
          <w:lang w:eastAsia="ja-JP"/>
        </w:rPr>
        <w:t>Otherwise,</w:t>
      </w:r>
      <w:r>
        <w:rPr>
          <w:color w:val="000000" w:themeColor="text1"/>
        </w:rPr>
        <w:t xml:space="preserve"> if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r17</m:t>
            </m:r>
          </m:sub>
          <m:sup>
            <m:r>
              <m:rPr>
                <m:sty m:val="p"/>
              </m:rPr>
              <w:rPr>
                <w:rFonts w:ascii="Cambria Math" w:hAnsi="Cambria Math"/>
                <w:color w:val="000000" w:themeColor="text1"/>
                <w:lang w:eastAsia="zh-CN"/>
              </w:rPr>
              <m:t>DL,cells</m:t>
            </m:r>
          </m:sup>
        </m:sSubSup>
      </m:oMath>
      <w:r>
        <w:rPr>
          <w:color w:val="000000" w:themeColor="text1"/>
        </w:rPr>
        <w:t xml:space="preserve"> is a maximum total number of downlink cells for which the UE is provided </w:t>
      </w:r>
      <w:r>
        <w:rPr>
          <w:i/>
        </w:rPr>
        <w:t>monitoringCapabilityConfig</w:t>
      </w:r>
      <w:r>
        <w:t xml:space="preserve"> = </w:t>
      </w:r>
      <w:r>
        <w:rPr>
          <w:i/>
        </w:rPr>
        <w:t>r17monitoringcapability</w:t>
      </w:r>
      <w:r>
        <w:t xml:space="preserve"> and</w:t>
      </w:r>
      <w:r>
        <w:rPr>
          <w:color w:val="000000" w:themeColor="text1"/>
        </w:rPr>
        <w:t xml:space="preserve"> the UE is configured on both the MCG and the SCG for NR-DC as indicated in </w:t>
      </w:r>
      <w:r>
        <w:rPr>
          <w:i/>
          <w:iCs/>
          <w:color w:val="000000" w:themeColor="text1"/>
        </w:rPr>
        <w:t>UE-NR-Capability</w:t>
      </w:r>
    </w:p>
    <w:p w14:paraId="734A72B7" w14:textId="38A80239" w:rsidR="00121FE4" w:rsidRPr="00090D13" w:rsidRDefault="00121FE4" w:rsidP="00121FE4">
      <w:pPr>
        <w:pStyle w:val="B1"/>
        <w:rPr>
          <w:lang w:val="en-US" w:eastAsia="ja-JP"/>
        </w:rPr>
      </w:pPr>
      <w:r w:rsidRPr="00A00BD5">
        <w:rPr>
          <w:lang w:eastAsia="ja-JP"/>
        </w:rPr>
        <w:t>-</w:t>
      </w:r>
      <w:r w:rsidRPr="00A00BD5">
        <w:rPr>
          <w:lang w:eastAsia="ja-JP"/>
        </w:rPr>
        <w:tab/>
        <w:t xml:space="preserve">the value range of </w:t>
      </w:r>
      <w:r w:rsidR="001C0CD7" w:rsidRPr="000E4E89">
        <w:rPr>
          <w:i/>
          <w:iCs/>
          <w:color w:val="000000"/>
          <w:lang w:eastAsia="ja-JP"/>
        </w:rPr>
        <w:t>pdcch-BlindDetectionMCG-UE</w:t>
      </w:r>
      <w:r w:rsidR="000E7959">
        <w:rPr>
          <w:i/>
          <w:iCs/>
          <w:color w:val="000000"/>
          <w:lang w:eastAsia="ja-JP"/>
        </w:rPr>
        <w:t>-r17</w:t>
      </w:r>
      <w:r w:rsidRPr="00A00BD5">
        <w:rPr>
          <w:rFonts w:eastAsia="DengXian"/>
          <w:lang w:eastAsia="ja-JP"/>
        </w:rPr>
        <w:t xml:space="preserve"> or of </w:t>
      </w:r>
      <w:r w:rsidR="001C0CD7">
        <w:rPr>
          <w:i/>
          <w:iCs/>
          <w:color w:val="000000" w:themeColor="text1"/>
          <w:lang w:eastAsia="ja-JP"/>
        </w:rPr>
        <w:t>pdcch-BlindDetectionSCG-UE</w:t>
      </w:r>
      <w:r w:rsidR="000E7959">
        <w:rPr>
          <w:i/>
          <w:iCs/>
          <w:color w:val="000000"/>
          <w:lang w:eastAsia="ja-JP"/>
        </w:rPr>
        <w:t>-r17</w:t>
      </w:r>
      <w:r w:rsidRPr="00A00BD5">
        <w:rPr>
          <w:lang w:eastAsia="ja-JP"/>
        </w:rPr>
        <w:t xml:space="preserve"> is [1, 2, 3],</w:t>
      </w:r>
      <w:r>
        <w:rPr>
          <w:lang w:val="en-US" w:eastAsia="ja-JP"/>
        </w:rPr>
        <w:t xml:space="preserve"> and</w:t>
      </w:r>
    </w:p>
    <w:p w14:paraId="0BBB938A" w14:textId="1041FDC6" w:rsidR="001C0CD7" w:rsidRDefault="001C0CD7" w:rsidP="001C0CD7">
      <w:pPr>
        <w:pStyle w:val="B1"/>
        <w:rPr>
          <w:color w:val="000000" w:themeColor="text1"/>
          <w:lang w:val="en-GB" w:eastAsia="en-GB"/>
        </w:rPr>
      </w:pPr>
      <w:r>
        <w:rPr>
          <w:iCs/>
          <w:color w:val="000000" w:themeColor="text1"/>
          <w:lang w:val="en-GB" w:eastAsia="ja-JP"/>
        </w:rPr>
        <w:t>-</w:t>
      </w:r>
      <w:r>
        <w:rPr>
          <w:iCs/>
          <w:color w:val="000000" w:themeColor="text1"/>
          <w:lang w:val="en-GB" w:eastAsia="ja-JP"/>
        </w:rPr>
        <w:tab/>
      </w:r>
      <w:r w:rsidRPr="000E4E89">
        <w:rPr>
          <w:i/>
          <w:iCs/>
          <w:color w:val="000000"/>
          <w:lang w:eastAsia="ja-JP"/>
        </w:rPr>
        <w:t>pdcch-BlindDetectionMCG-UE</w:t>
      </w:r>
      <w:r w:rsidR="000E7959">
        <w:rPr>
          <w:i/>
          <w:iCs/>
          <w:color w:val="000000"/>
          <w:lang w:eastAsia="ja-JP"/>
        </w:rPr>
        <w:t>-r17</w:t>
      </w:r>
      <w:r>
        <w:rPr>
          <w:color w:val="000000" w:themeColor="text1"/>
          <w:lang w:val="en-GB" w:eastAsia="ja-JP"/>
        </w:rPr>
        <w:t xml:space="preserve"> + </w:t>
      </w:r>
      <w:r>
        <w:rPr>
          <w:i/>
          <w:iCs/>
          <w:color w:val="000000" w:themeColor="text1"/>
          <w:lang w:eastAsia="ja-JP"/>
        </w:rPr>
        <w:t>pdcch-BlindDetectionSCG-UE</w:t>
      </w:r>
      <w:r w:rsidR="000E7959">
        <w:rPr>
          <w:i/>
          <w:iCs/>
          <w:color w:val="000000"/>
          <w:lang w:eastAsia="ja-JP"/>
        </w:rPr>
        <w:t>-r17</w:t>
      </w:r>
      <w:r>
        <w:rPr>
          <w:iCs/>
          <w:color w:val="000000" w:themeColor="text1"/>
          <w:lang w:val="en-GB" w:eastAsia="ja-JP"/>
        </w:rPr>
        <w:t xml:space="preserve"> &gt;=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r17</m:t>
            </m:r>
          </m:sub>
          <m:sup>
            <m:r>
              <m:rPr>
                <m:sty m:val="p"/>
              </m:rPr>
              <w:rPr>
                <w:rFonts w:ascii="Cambria Math" w:hAnsi="Cambria Math"/>
                <w:color w:val="000000" w:themeColor="text1"/>
                <w:lang w:eastAsia="zh-CN"/>
              </w:rPr>
              <m:t>DL,cells</m:t>
            </m:r>
          </m:sup>
        </m:sSubSup>
      </m:oMath>
      <w:r>
        <w:rPr>
          <w:color w:val="000000" w:themeColor="text1"/>
          <w:lang w:val="en-GB" w:eastAsia="zh-CN"/>
        </w:rPr>
        <w:t>.</w:t>
      </w:r>
    </w:p>
    <w:p w14:paraId="2E670743" w14:textId="1AC77D84" w:rsidR="000A1DFE" w:rsidRDefault="00A67487" w:rsidP="000A1DFE">
      <w:pPr>
        <w:tabs>
          <w:tab w:val="left" w:pos="360"/>
        </w:tabs>
        <w:rPr>
          <w:lang w:eastAsia="ko-KR"/>
        </w:rPr>
      </w:pPr>
      <w:r>
        <w:rPr>
          <w:lang w:eastAsia="ko-KR"/>
        </w:rPr>
        <w:t xml:space="preserve">If a UE indicates in </w:t>
      </w:r>
      <w:r>
        <w:rPr>
          <w:i/>
          <w:iCs/>
        </w:rPr>
        <w:t>UE-NR-Capability</w:t>
      </w:r>
      <w:r>
        <w:rPr>
          <w:lang w:eastAsia="ko-KR"/>
        </w:rPr>
        <w:t xml:space="preserve"> a carrier aggregation capability larger than one downlink cell with </w:t>
      </w:r>
      <w:r>
        <w:rPr>
          <w:i/>
          <w:lang w:val="en-US"/>
        </w:rPr>
        <w:t>monitoringCapabilityConfig</w:t>
      </w:r>
      <w:r>
        <w:rPr>
          <w:lang w:val="en-US"/>
        </w:rPr>
        <w:t xml:space="preserve"> = </w:t>
      </w:r>
      <w:r>
        <w:rPr>
          <w:i/>
        </w:rPr>
        <w:t>r15monitoringcapability</w:t>
      </w:r>
      <w:r>
        <w:rPr>
          <w:lang w:eastAsia="ko-KR"/>
        </w:rPr>
        <w:t xml:space="preserve"> or larger than one downlink cell with </w:t>
      </w:r>
      <w:r>
        <w:rPr>
          <w:i/>
          <w:lang w:val="en-US"/>
        </w:rPr>
        <w:t>monitoringCapabilityConfig</w:t>
      </w:r>
      <w:r>
        <w:rPr>
          <w:lang w:val="en-US"/>
        </w:rPr>
        <w:t xml:space="preserve"> = </w:t>
      </w:r>
      <w:r>
        <w:rPr>
          <w:i/>
        </w:rPr>
        <w:t>r16monitoringcapability</w:t>
      </w:r>
      <w:r>
        <w:rPr>
          <w:lang w:eastAsia="ko-KR"/>
        </w:rPr>
        <w:t xml:space="preserve">, the UE includes in </w:t>
      </w:r>
      <w:r>
        <w:rPr>
          <w:i/>
          <w:iCs/>
        </w:rPr>
        <w:t>UE-NR-Capability</w:t>
      </w:r>
      <w:r>
        <w:rPr>
          <w:lang w:eastAsia="ko-KR"/>
        </w:rPr>
        <w:t xml:space="preserve"> an indication for a maximum number of PDCCH candidates and a maximum number of non-overlapped CCEs the UE can monitor for downlink cells with </w:t>
      </w:r>
      <w:r>
        <w:rPr>
          <w:i/>
          <w:lang w:val="en-US"/>
        </w:rPr>
        <w:t>monitoringCapabilityConfig</w:t>
      </w:r>
      <w:r>
        <w:rPr>
          <w:lang w:val="en-US"/>
        </w:rPr>
        <w:t xml:space="preserve"> = </w:t>
      </w:r>
      <w:r>
        <w:rPr>
          <w:i/>
        </w:rPr>
        <w:t>r15monitoringcapability</w:t>
      </w:r>
      <w:r w:rsidR="00EA514A">
        <w:rPr>
          <w:i/>
        </w:rPr>
        <w:t xml:space="preserve"> </w:t>
      </w:r>
      <w:r>
        <w:rPr>
          <w:lang w:eastAsia="ko-KR"/>
        </w:rPr>
        <w:t xml:space="preserve">or for downlink cells with </w:t>
      </w:r>
      <w:r>
        <w:rPr>
          <w:i/>
          <w:lang w:val="en-US"/>
        </w:rPr>
        <w:t>monitoringCapabilityConfig</w:t>
      </w:r>
      <w:r>
        <w:rPr>
          <w:lang w:val="en-US"/>
        </w:rPr>
        <w:t xml:space="preserve"> = </w:t>
      </w:r>
      <w:r>
        <w:rPr>
          <w:i/>
        </w:rPr>
        <w:t>r16monitoringcapability</w:t>
      </w:r>
      <w:r>
        <w:t xml:space="preserve"> </w:t>
      </w:r>
      <w:r>
        <w:rPr>
          <w:lang w:eastAsia="ko-KR"/>
        </w:rPr>
        <w:t xml:space="preserve">when the UE is configured for carrier aggregation operation over more than two downlink cells with at least one downlink cell with </w:t>
      </w:r>
      <w:r>
        <w:rPr>
          <w:i/>
          <w:lang w:val="en-US"/>
        </w:rPr>
        <w:t>monitoringCapabilityConfig</w:t>
      </w:r>
      <w:r>
        <w:rPr>
          <w:lang w:val="en-US"/>
        </w:rPr>
        <w:t xml:space="preserve"> = </w:t>
      </w:r>
      <w:r>
        <w:rPr>
          <w:i/>
        </w:rPr>
        <w:lastRenderedPageBreak/>
        <w:t>r15monitoringcapability</w:t>
      </w:r>
      <w:r>
        <w:rPr>
          <w:lang w:eastAsia="ko-KR"/>
        </w:rPr>
        <w:t xml:space="preserve"> and at least one downlink cell with </w:t>
      </w:r>
      <w:r>
        <w:rPr>
          <w:i/>
          <w:lang w:val="en-US"/>
        </w:rPr>
        <w:t>monitoringCapabilityConfig</w:t>
      </w:r>
      <w:r>
        <w:rPr>
          <w:lang w:val="en-US"/>
        </w:rPr>
        <w:t xml:space="preserve"> = </w:t>
      </w:r>
      <w:r>
        <w:rPr>
          <w:i/>
        </w:rPr>
        <w:t>r16monitoringcapability</w:t>
      </w:r>
      <w:r>
        <w:rPr>
          <w:lang w:eastAsia="ko-KR"/>
        </w:rPr>
        <w:t xml:space="preserve">. </w:t>
      </w:r>
      <w:r w:rsidR="000A1DFE">
        <w:rPr>
          <w:lang w:eastAsia="ko-KR"/>
        </w:rPr>
        <w:t xml:space="preserve">When a UE is not configured for NR-DC operation, </w:t>
      </w:r>
      <w:r w:rsidR="000A1DFE">
        <w:t>the UE determines</w:t>
      </w:r>
      <w:r w:rsidR="000A1DFE">
        <w:rPr>
          <w:lang w:eastAsia="ko-KR"/>
        </w:rPr>
        <w:t xml:space="preserve"> a capability to monitor a maximum number of PDCCH candidates and a maximum number of non-overlapped CCEs per slot or per span that corresponds to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cells,r15</m:t>
            </m:r>
          </m:sub>
          <m:sup>
            <m:r>
              <w:rPr>
                <w:rFonts w:ascii="Cambria Math"/>
                <w:lang w:eastAsia="zh-CN"/>
              </w:rPr>
              <m:t>cap</m:t>
            </m:r>
            <m:r>
              <w:rPr>
                <w:rFonts w:ascii="Cambria Math"/>
                <w:lang w:eastAsia="zh-CN"/>
              </w:rPr>
              <m:t>-</m:t>
            </m:r>
            <m:r>
              <w:rPr>
                <w:rFonts w:ascii="Cambria Math"/>
                <w:lang w:eastAsia="zh-CN"/>
              </w:rPr>
              <m:t>r16</m:t>
            </m:r>
          </m:sup>
        </m:sSubSup>
      </m:oMath>
      <w:r w:rsidR="000A1DFE">
        <w:t xml:space="preserve"> downlink cells or to</w:t>
      </w:r>
      <w:r w:rsidR="000A1DFE">
        <w:rPr>
          <w:lang w:eastAsia="ko-KR"/>
        </w:rPr>
        <w:t xml:space="preserve">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cells,r16</m:t>
            </m:r>
          </m:sub>
          <m:sup>
            <m:r>
              <w:rPr>
                <w:rFonts w:ascii="Cambria Math"/>
                <w:lang w:eastAsia="zh-CN"/>
              </w:rPr>
              <m:t>cap</m:t>
            </m:r>
            <m:r>
              <w:rPr>
                <w:rFonts w:ascii="Cambria Math"/>
                <w:lang w:eastAsia="zh-CN"/>
              </w:rPr>
              <m:t>-</m:t>
            </m:r>
            <m:r>
              <w:rPr>
                <w:rFonts w:ascii="Cambria Math"/>
                <w:lang w:eastAsia="zh-CN"/>
              </w:rPr>
              <m:t>r16</m:t>
            </m:r>
          </m:sup>
        </m:sSubSup>
      </m:oMath>
      <w:r w:rsidR="000A1DFE">
        <w:t xml:space="preserve"> downlink cells, respectively, where</w:t>
      </w:r>
    </w:p>
    <w:p w14:paraId="418E5A0D" w14:textId="24429342" w:rsidR="000A1DFE" w:rsidRPr="00996B83" w:rsidRDefault="000A1DFE" w:rsidP="000A1DFE">
      <w:pPr>
        <w:pStyle w:val="B1"/>
        <w:rPr>
          <w:lang w:val="en-US" w:eastAsia="ko-KR"/>
        </w:rPr>
      </w:pPr>
      <w:r>
        <w:t>-</w:t>
      </w:r>
      <w:r>
        <w:tab/>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cells,r15</m:t>
            </m:r>
          </m:sub>
          <m:sup>
            <m:r>
              <w:rPr>
                <w:rFonts w:ascii="Cambria Math"/>
                <w:lang w:eastAsia="zh-CN"/>
              </w:rPr>
              <m:t>cap</m:t>
            </m:r>
            <m:r>
              <w:rPr>
                <w:rFonts w:ascii="Cambria Math"/>
                <w:lang w:eastAsia="zh-CN"/>
              </w:rPr>
              <m:t>-</m:t>
            </m:r>
            <m:r>
              <w:rPr>
                <w:rFonts w:ascii="Cambria Math"/>
                <w:lang w:eastAsia="zh-CN"/>
              </w:rPr>
              <m:t>r16</m:t>
            </m:r>
          </m:sup>
        </m:sSubSup>
      </m:oMath>
      <w:r>
        <w:t xml:space="preserve"> </w:t>
      </w:r>
      <w:r>
        <w:rPr>
          <w:lang w:eastAsia="ko-KR"/>
        </w:rPr>
        <w:t>is the number of configured downlink cells if</w:t>
      </w:r>
      <w:r w:rsidRPr="008F5160">
        <w:rPr>
          <w:lang w:eastAsia="ko-KR"/>
        </w:rPr>
        <w:t xml:space="preserve"> the UE </w:t>
      </w:r>
      <w:r>
        <w:rPr>
          <w:lang w:eastAsia="ko-KR"/>
        </w:rPr>
        <w:t xml:space="preserve">does not provide </w:t>
      </w:r>
      <w:r w:rsidRPr="00F723E2">
        <w:rPr>
          <w:i/>
        </w:rPr>
        <w:t>pdcch-BlindDetectionCA</w:t>
      </w:r>
      <w:r w:rsidR="00EA514A">
        <w:rPr>
          <w:i/>
          <w:lang w:val="en-US"/>
        </w:rPr>
        <w:t>1</w:t>
      </w:r>
    </w:p>
    <w:p w14:paraId="280FD061" w14:textId="77777777" w:rsidR="00A67487" w:rsidRDefault="000A1DFE" w:rsidP="000A1DFE">
      <w:pPr>
        <w:pStyle w:val="B1"/>
      </w:pPr>
      <w:r>
        <w:t>-</w:t>
      </w:r>
      <w:r>
        <w:tab/>
      </w:r>
      <w:r w:rsidRPr="002128CC">
        <w:t xml:space="preserve">otherwise, </w:t>
      </w:r>
    </w:p>
    <w:p w14:paraId="3E6C831B" w14:textId="116545AC" w:rsidR="00A67487" w:rsidRDefault="00A67487" w:rsidP="00A67487">
      <w:pPr>
        <w:pStyle w:val="B2"/>
        <w:rPr>
          <w:i/>
          <w:lang w:val="en-US"/>
        </w:rPr>
      </w:pPr>
      <w:r>
        <w:rPr>
          <w:lang w:val="en-US"/>
        </w:rPr>
        <w:t>-</w:t>
      </w:r>
      <w:r>
        <w:rPr>
          <w:lang w:val="en-US"/>
        </w:rPr>
        <w:tab/>
      </w:r>
      <w:r>
        <w:t xml:space="preserve">if the </w:t>
      </w:r>
      <w:r>
        <w:rPr>
          <w:rFonts w:eastAsia="DengXian"/>
          <w:lang w:eastAsia="ko-KR"/>
        </w:rPr>
        <w:t>UE reports only one combination of (</w:t>
      </w:r>
      <w:r w:rsidRPr="00D429F6">
        <w:rPr>
          <w:rFonts w:eastAsia="DengXian"/>
          <w:i/>
          <w:iCs/>
        </w:rPr>
        <w:t>pdcch-BlindDetectionCA</w:t>
      </w:r>
      <w:r w:rsidR="00EA514A" w:rsidRPr="00EA514A">
        <w:rPr>
          <w:i/>
          <w:iCs/>
          <w:lang w:val="en-US"/>
        </w:rPr>
        <w:t>1</w:t>
      </w:r>
      <w:r>
        <w:rPr>
          <w:rFonts w:eastAsia="DengXian"/>
        </w:rPr>
        <w:t xml:space="preserve">, </w:t>
      </w:r>
      <w:r w:rsidRPr="00D429F6">
        <w:rPr>
          <w:rFonts w:eastAsia="DengXian"/>
          <w:i/>
          <w:iCs/>
        </w:rPr>
        <w:t>pdcch-BlindDetectionCA</w:t>
      </w:r>
      <w:r w:rsidR="00EA514A" w:rsidRPr="00EA514A">
        <w:rPr>
          <w:rFonts w:eastAsia="DengXian"/>
          <w:i/>
          <w:iCs/>
          <w:lang w:val="en-US"/>
        </w:rPr>
        <w:t>2</w:t>
      </w:r>
      <w:r>
        <w:rPr>
          <w:rFonts w:eastAsia="DengXian"/>
          <w:lang w:eastAsia="ko-KR"/>
        </w:rPr>
        <w:t>)</w:t>
      </w:r>
      <w:r>
        <w:rPr>
          <w:rFonts w:eastAsia="DengXian"/>
          <w:lang w:val="en-US" w:eastAsia="ko-KR"/>
        </w:rPr>
        <w:t xml:space="preserve">, </w:t>
      </w:r>
      <m:oMath>
        <m:sSubSup>
          <m:sSubSupPr>
            <m:ctrlPr>
              <w:rPr>
                <w:rFonts w:ascii="Cambria Math" w:hAnsi="Cambria Math"/>
                <w:lang w:eastAsia="zh-CN"/>
              </w:rPr>
            </m:ctrlPr>
          </m:sSubSupPr>
          <m:e>
            <m:r>
              <w:rPr>
                <w:rFonts w:ascii="Cambria Math"/>
                <w:lang w:eastAsia="zh-CN"/>
              </w:rPr>
              <m:t>N</m:t>
            </m:r>
          </m:e>
          <m:sub>
            <m:r>
              <w:rPr>
                <w:rFonts w:ascii="Cambria Math"/>
                <w:lang w:eastAsia="zh-CN"/>
              </w:rPr>
              <m:t>cells</m:t>
            </m:r>
            <m:r>
              <m:rPr>
                <m:sty m:val="p"/>
              </m:rPr>
              <w:rPr>
                <w:rFonts w:ascii="Cambria Math"/>
                <w:lang w:eastAsia="zh-CN"/>
              </w:rPr>
              <m:t>,</m:t>
            </m:r>
            <m:r>
              <w:rPr>
                <w:rFonts w:ascii="Cambria Math"/>
                <w:lang w:eastAsia="zh-CN"/>
              </w:rPr>
              <m:t>r</m:t>
            </m:r>
            <m:r>
              <m:rPr>
                <m:sty m:val="p"/>
              </m:rPr>
              <w:rPr>
                <w:rFonts w:ascii="Cambria Math"/>
                <w:lang w:eastAsia="zh-CN"/>
              </w:rPr>
              <m:t>15</m:t>
            </m:r>
          </m:sub>
          <m:sup>
            <m:r>
              <w:rPr>
                <w:rFonts w:ascii="Cambria Math"/>
                <w:lang w:eastAsia="zh-CN"/>
              </w:rPr>
              <m:t>cap</m:t>
            </m:r>
            <m:r>
              <m:rPr>
                <m:sty m:val="p"/>
              </m:rPr>
              <w:rPr>
                <w:rFonts w:ascii="Cambria Math"/>
                <w:lang w:eastAsia="zh-CN"/>
              </w:rPr>
              <m:t>-</m:t>
            </m:r>
            <m:r>
              <w:rPr>
                <w:rFonts w:ascii="Cambria Math"/>
                <w:lang w:eastAsia="zh-CN"/>
              </w:rPr>
              <m:t>r</m:t>
            </m:r>
            <m:r>
              <m:rPr>
                <m:sty m:val="p"/>
              </m:rPr>
              <w:rPr>
                <w:rFonts w:ascii="Cambria Math"/>
                <w:lang w:eastAsia="zh-CN"/>
              </w:rPr>
              <m:t>16</m:t>
            </m:r>
          </m:sup>
        </m:sSubSup>
      </m:oMath>
      <w:r w:rsidR="000A1DFE" w:rsidRPr="00D20E88">
        <w:t xml:space="preserve"> </w:t>
      </w:r>
      <w:r w:rsidR="000A1DFE" w:rsidRPr="002128CC">
        <w:t xml:space="preserve">is the value of </w:t>
      </w:r>
      <w:r w:rsidR="000A1DFE" w:rsidRPr="00D429F6">
        <w:rPr>
          <w:i/>
          <w:iCs/>
        </w:rPr>
        <w:t>pdcch-BlindDetectionCA</w:t>
      </w:r>
      <w:r w:rsidR="00EA514A" w:rsidRPr="00D429F6">
        <w:rPr>
          <w:i/>
          <w:iCs/>
          <w:lang w:val="en-US"/>
        </w:rPr>
        <w:t>1</w:t>
      </w:r>
      <w:r w:rsidRPr="00A67487">
        <w:rPr>
          <w:i/>
          <w:lang w:val="en-US"/>
        </w:rPr>
        <w:t xml:space="preserve"> </w:t>
      </w:r>
    </w:p>
    <w:p w14:paraId="0D216DDB" w14:textId="3D780CD7" w:rsidR="000A1DFE" w:rsidRPr="001C49CC" w:rsidRDefault="00A67487" w:rsidP="001C49CC">
      <w:pPr>
        <w:pStyle w:val="B2"/>
        <w:rPr>
          <w:lang w:val="en-GB"/>
        </w:rPr>
      </w:pPr>
      <w:r>
        <w:t>-</w:t>
      </w:r>
      <w:r>
        <w:tab/>
        <w:t xml:space="preserve">else, </w:t>
      </w:r>
      <m:oMath>
        <m:sSubSup>
          <m:sSubSupPr>
            <m:ctrlPr>
              <w:rPr>
                <w:rFonts w:ascii="Cambria Math" w:hAnsi="Cambria Math"/>
                <w:iCs/>
                <w:lang w:eastAsia="zh-CN"/>
              </w:rPr>
            </m:ctrlPr>
          </m:sSubSupPr>
          <m:e>
            <m:r>
              <w:rPr>
                <w:rFonts w:ascii="Cambria Math"/>
                <w:lang w:eastAsia="zh-CN"/>
              </w:rPr>
              <m:t>N</m:t>
            </m:r>
          </m:e>
          <m:sub>
            <m:r>
              <m:rPr>
                <m:sty m:val="p"/>
              </m:rPr>
              <w:rPr>
                <w:rFonts w:ascii="Cambria Math"/>
                <w:lang w:eastAsia="zh-CN"/>
              </w:rPr>
              <m:t>cells,r15</m:t>
            </m:r>
          </m:sub>
          <m:sup>
            <m:r>
              <m:rPr>
                <m:sty m:val="p"/>
              </m:rPr>
              <w:rPr>
                <w:rFonts w:ascii="Cambria Math"/>
                <w:lang w:eastAsia="zh-CN"/>
              </w:rPr>
              <m:t>cap</m:t>
            </m:r>
            <m:r>
              <m:rPr>
                <m:sty m:val="p"/>
              </m:rPr>
              <w:rPr>
                <w:rFonts w:ascii="Cambria Math"/>
                <w:lang w:eastAsia="zh-CN"/>
              </w:rPr>
              <m:t>-</m:t>
            </m:r>
            <m:r>
              <m:rPr>
                <m:sty m:val="p"/>
              </m:rPr>
              <w:rPr>
                <w:rFonts w:ascii="Cambria Math"/>
                <w:lang w:eastAsia="zh-CN"/>
              </w:rPr>
              <m:t>r16</m:t>
            </m:r>
          </m:sup>
        </m:sSubSup>
      </m:oMath>
      <w:r>
        <w:t xml:space="preserve"> is the value of </w:t>
      </w:r>
      <w:r>
        <w:rPr>
          <w:i/>
        </w:rPr>
        <w:t>pdcch-BlindDetectionCA</w:t>
      </w:r>
      <w:r w:rsidR="00EA514A">
        <w:rPr>
          <w:i/>
          <w:lang w:val="en-US"/>
        </w:rPr>
        <w:t>1</w:t>
      </w:r>
      <w:r>
        <w:rPr>
          <w:i/>
          <w:lang w:val="en-US"/>
        </w:rPr>
        <w:t xml:space="preserve"> </w:t>
      </w:r>
      <w:r>
        <w:rPr>
          <w:rFonts w:eastAsia="DengXian"/>
        </w:rPr>
        <w:t xml:space="preserve">from </w:t>
      </w:r>
      <w:r>
        <w:rPr>
          <w:rFonts w:eastAsia="DengXian"/>
          <w:lang w:val="en-US"/>
        </w:rPr>
        <w:t>a</w:t>
      </w:r>
      <w:r>
        <w:rPr>
          <w:rFonts w:eastAsia="DengXian"/>
        </w:rPr>
        <w:t xml:space="preserve"> combination of </w:t>
      </w:r>
      <w:r>
        <w:rPr>
          <w:rFonts w:eastAsia="DengXian"/>
          <w:lang w:eastAsia="ko-KR"/>
        </w:rPr>
        <w:t>(</w:t>
      </w:r>
      <w:r>
        <w:rPr>
          <w:rFonts w:eastAsia="DengXian"/>
          <w:i/>
        </w:rPr>
        <w:t>pdcch-BlindDetectionCA</w:t>
      </w:r>
      <w:r w:rsidR="00EA514A">
        <w:rPr>
          <w:i/>
          <w:lang w:val="en-US"/>
        </w:rPr>
        <w:t>1</w:t>
      </w:r>
      <w:r>
        <w:rPr>
          <w:rFonts w:eastAsia="DengXian"/>
          <w:i/>
        </w:rPr>
        <w:t>, pdcch-BlindDetectionCA</w:t>
      </w:r>
      <w:r w:rsidR="00EA514A">
        <w:rPr>
          <w:rFonts w:eastAsia="DengXian"/>
          <w:i/>
          <w:lang w:val="en-US"/>
        </w:rPr>
        <w:t>2</w:t>
      </w:r>
      <w:r>
        <w:rPr>
          <w:rFonts w:eastAsia="DengXian"/>
          <w:lang w:eastAsia="ko-KR"/>
        </w:rPr>
        <w:t>)</w:t>
      </w:r>
      <w:r>
        <w:rPr>
          <w:rFonts w:eastAsia="DengXian"/>
        </w:rPr>
        <w:t xml:space="preserve"> </w:t>
      </w:r>
      <w:r>
        <w:rPr>
          <w:rFonts w:eastAsia="DengXian"/>
          <w:lang w:val="en-US"/>
        </w:rPr>
        <w:t>that is provided</w:t>
      </w:r>
      <w:r>
        <w:rPr>
          <w:rFonts w:eastAsia="DengXian"/>
        </w:rPr>
        <w:t xml:space="preserve"> by </w:t>
      </w:r>
      <w:r>
        <w:rPr>
          <w:rFonts w:eastAsia="DengXian"/>
          <w:i/>
        </w:rPr>
        <w:t>pdcch-BlindDetectionCA</w:t>
      </w:r>
      <w:r w:rsidR="00EA514A">
        <w:rPr>
          <w:rFonts w:eastAsia="DengXian"/>
          <w:i/>
          <w:lang w:val="en-US"/>
        </w:rPr>
        <w:t>-</w:t>
      </w:r>
      <w:r>
        <w:rPr>
          <w:rFonts w:eastAsia="DengXian"/>
          <w:i/>
        </w:rPr>
        <w:t>Comb</w:t>
      </w:r>
      <w:r w:rsidR="00EA514A">
        <w:rPr>
          <w:rFonts w:eastAsia="DengXian"/>
          <w:i/>
          <w:lang w:val="en-US"/>
        </w:rPr>
        <w:t>I</w:t>
      </w:r>
      <w:r w:rsidR="00EA514A">
        <w:rPr>
          <w:rFonts w:eastAsia="DengXian"/>
          <w:i/>
        </w:rPr>
        <w:t>ndicator</w:t>
      </w:r>
    </w:p>
    <w:p w14:paraId="568028D3" w14:textId="77777777" w:rsidR="000A1DFE" w:rsidRDefault="000A1DFE" w:rsidP="00CB7579">
      <w:pPr>
        <w:rPr>
          <w:lang w:val="en-US"/>
        </w:rPr>
      </w:pPr>
      <w:r>
        <w:rPr>
          <w:lang w:val="en-US"/>
        </w:rPr>
        <w:t>and</w:t>
      </w:r>
    </w:p>
    <w:p w14:paraId="0DAAFE52" w14:textId="41915AC3" w:rsidR="000A1DFE" w:rsidRPr="00996B83" w:rsidRDefault="000A1DFE" w:rsidP="000A1DFE">
      <w:pPr>
        <w:pStyle w:val="B1"/>
        <w:rPr>
          <w:lang w:val="en-US" w:eastAsia="ko-KR"/>
        </w:rPr>
      </w:pPr>
      <w:r>
        <w:t>-</w:t>
      </w:r>
      <w:r>
        <w:tab/>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cells,r16</m:t>
            </m:r>
          </m:sub>
          <m:sup>
            <m:r>
              <w:rPr>
                <w:rFonts w:ascii="Cambria Math"/>
                <w:lang w:eastAsia="zh-CN"/>
              </w:rPr>
              <m:t>cap</m:t>
            </m:r>
            <m:r>
              <w:rPr>
                <w:rFonts w:ascii="Cambria Math"/>
                <w:lang w:eastAsia="zh-CN"/>
              </w:rPr>
              <m:t>-</m:t>
            </m:r>
            <m:r>
              <w:rPr>
                <w:rFonts w:ascii="Cambria Math"/>
                <w:lang w:eastAsia="zh-CN"/>
              </w:rPr>
              <m:t>r16</m:t>
            </m:r>
          </m:sup>
        </m:sSubSup>
      </m:oMath>
      <w:r>
        <w:t xml:space="preserve"> </w:t>
      </w:r>
      <w:r>
        <w:rPr>
          <w:lang w:eastAsia="ko-KR"/>
        </w:rPr>
        <w:t>is the number of configured downlink cells if</w:t>
      </w:r>
      <w:r w:rsidRPr="008F5160">
        <w:rPr>
          <w:lang w:eastAsia="ko-KR"/>
        </w:rPr>
        <w:t xml:space="preserve"> the UE </w:t>
      </w:r>
      <w:r>
        <w:rPr>
          <w:lang w:eastAsia="ko-KR"/>
        </w:rPr>
        <w:t xml:space="preserve">does not provide </w:t>
      </w:r>
      <w:r w:rsidRPr="00F723E2">
        <w:rPr>
          <w:i/>
        </w:rPr>
        <w:t>pdcch-BlindDetectionCA</w:t>
      </w:r>
      <w:r w:rsidR="00EA514A">
        <w:rPr>
          <w:i/>
          <w:lang w:val="en-US"/>
        </w:rPr>
        <w:t>2</w:t>
      </w:r>
    </w:p>
    <w:p w14:paraId="2D4B4614" w14:textId="384AFDB5" w:rsidR="00A67487" w:rsidRDefault="000A1DFE" w:rsidP="00A00BD5">
      <w:pPr>
        <w:pStyle w:val="B1"/>
      </w:pPr>
      <w:r>
        <w:t>-</w:t>
      </w:r>
      <w:r>
        <w:tab/>
      </w:r>
      <w:r w:rsidRPr="002128CC">
        <w:t xml:space="preserve">otherwise, </w:t>
      </w:r>
    </w:p>
    <w:p w14:paraId="60AB8B97" w14:textId="660F3D6B" w:rsidR="00A67487" w:rsidRDefault="00A67487" w:rsidP="00A67487">
      <w:pPr>
        <w:pStyle w:val="B2"/>
        <w:rPr>
          <w:i/>
          <w:lang w:val="en-US"/>
        </w:rPr>
      </w:pPr>
      <w:r>
        <w:t>-</w:t>
      </w:r>
      <w:r>
        <w:tab/>
        <w:t xml:space="preserve">if the </w:t>
      </w:r>
      <w:r>
        <w:rPr>
          <w:rFonts w:eastAsia="DengXian"/>
          <w:lang w:eastAsia="ko-KR"/>
        </w:rPr>
        <w:t>UE reports only one combination of (</w:t>
      </w:r>
      <w:r>
        <w:rPr>
          <w:rFonts w:eastAsia="DengXian"/>
          <w:i/>
        </w:rPr>
        <w:t>pdcch-BlindDetectionCA</w:t>
      </w:r>
      <w:r w:rsidR="00EA514A">
        <w:rPr>
          <w:rFonts w:eastAsia="DengXian"/>
          <w:i/>
          <w:lang w:val="en-US"/>
        </w:rPr>
        <w:t>1</w:t>
      </w:r>
      <w:r>
        <w:rPr>
          <w:rFonts w:eastAsia="DengXian"/>
          <w:i/>
        </w:rPr>
        <w:t>, pdcch-BlindDetectionCA</w:t>
      </w:r>
      <w:r w:rsidR="00EA514A">
        <w:rPr>
          <w:i/>
          <w:lang w:val="en-US"/>
        </w:rPr>
        <w:t>2</w:t>
      </w:r>
      <w:r>
        <w:rPr>
          <w:rFonts w:eastAsia="DengXian"/>
          <w:lang w:val="en-US" w:eastAsia="ko-KR"/>
        </w:rPr>
        <w:t xml:space="preserve">),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cells,r16</m:t>
            </m:r>
          </m:sub>
          <m:sup>
            <m:r>
              <w:rPr>
                <w:rFonts w:ascii="Cambria Math"/>
                <w:lang w:eastAsia="zh-CN"/>
              </w:rPr>
              <m:t>cap</m:t>
            </m:r>
            <m:r>
              <w:rPr>
                <w:rFonts w:ascii="Cambria Math"/>
                <w:lang w:eastAsia="zh-CN"/>
              </w:rPr>
              <m:t>-</m:t>
            </m:r>
            <m:r>
              <w:rPr>
                <w:rFonts w:ascii="Cambria Math"/>
                <w:lang w:eastAsia="zh-CN"/>
              </w:rPr>
              <m:t>r16</m:t>
            </m:r>
          </m:sup>
        </m:sSubSup>
      </m:oMath>
      <w:r w:rsidR="000A1DFE" w:rsidRPr="00D20E88">
        <w:t xml:space="preserve"> </w:t>
      </w:r>
      <w:r w:rsidR="000A1DFE" w:rsidRPr="002128CC">
        <w:t xml:space="preserve">is the value of </w:t>
      </w:r>
      <w:r w:rsidR="000A1DFE" w:rsidRPr="002128CC">
        <w:rPr>
          <w:i/>
        </w:rPr>
        <w:t>pdcch-BlindDetectionCA</w:t>
      </w:r>
      <w:r w:rsidR="00EA514A">
        <w:rPr>
          <w:i/>
          <w:lang w:val="en-US"/>
        </w:rPr>
        <w:t>2</w:t>
      </w:r>
      <w:r w:rsidRPr="00A67487">
        <w:rPr>
          <w:i/>
          <w:lang w:val="en-US"/>
        </w:rPr>
        <w:t xml:space="preserve"> </w:t>
      </w:r>
    </w:p>
    <w:p w14:paraId="30171173" w14:textId="4060DA9E" w:rsidR="00A67487" w:rsidRDefault="00A67487" w:rsidP="00A67487">
      <w:pPr>
        <w:pStyle w:val="B2"/>
        <w:rPr>
          <w:rFonts w:eastAsia="DengXian"/>
          <w:iCs/>
        </w:rPr>
      </w:pPr>
      <w:r>
        <w:t>-</w:t>
      </w:r>
      <w:r>
        <w:tab/>
        <w:t xml:space="preserve">else, </w:t>
      </w:r>
      <m:oMath>
        <m:sSubSup>
          <m:sSubSupPr>
            <m:ctrlPr>
              <w:rPr>
                <w:rFonts w:ascii="Cambria Math" w:hAnsi="Cambria Math"/>
                <w:iCs/>
                <w:lang w:eastAsia="zh-CN"/>
              </w:rPr>
            </m:ctrlPr>
          </m:sSubSupPr>
          <m:e>
            <m:r>
              <w:rPr>
                <w:rFonts w:ascii="Cambria Math"/>
                <w:lang w:eastAsia="zh-CN"/>
              </w:rPr>
              <m:t>N</m:t>
            </m:r>
          </m:e>
          <m:sub>
            <m:r>
              <m:rPr>
                <m:sty m:val="p"/>
              </m:rPr>
              <w:rPr>
                <w:rFonts w:ascii="Cambria Math"/>
                <w:lang w:eastAsia="zh-CN"/>
              </w:rPr>
              <m:t>cells,r16</m:t>
            </m:r>
          </m:sub>
          <m:sup>
            <m:r>
              <m:rPr>
                <m:sty m:val="p"/>
              </m:rPr>
              <w:rPr>
                <w:rFonts w:ascii="Cambria Math"/>
                <w:lang w:eastAsia="zh-CN"/>
              </w:rPr>
              <m:t>cap</m:t>
            </m:r>
            <m:r>
              <m:rPr>
                <m:sty m:val="p"/>
              </m:rPr>
              <w:rPr>
                <w:rFonts w:ascii="Cambria Math"/>
                <w:lang w:eastAsia="zh-CN"/>
              </w:rPr>
              <m:t>-</m:t>
            </m:r>
            <m:r>
              <m:rPr>
                <m:sty m:val="p"/>
              </m:rPr>
              <w:rPr>
                <w:rFonts w:ascii="Cambria Math"/>
                <w:lang w:eastAsia="zh-CN"/>
              </w:rPr>
              <m:t>r16</m:t>
            </m:r>
          </m:sup>
        </m:sSubSup>
      </m:oMath>
      <w:r>
        <w:t xml:space="preserve"> is the value of </w:t>
      </w:r>
      <w:r>
        <w:rPr>
          <w:i/>
        </w:rPr>
        <w:t>pdcch-BlindDetectionCA</w:t>
      </w:r>
      <w:r w:rsidR="00EA514A">
        <w:rPr>
          <w:i/>
          <w:lang w:val="en-US"/>
        </w:rPr>
        <w:t>2</w:t>
      </w:r>
      <w:r>
        <w:rPr>
          <w:i/>
          <w:lang w:val="en-US"/>
        </w:rPr>
        <w:t xml:space="preserve"> </w:t>
      </w:r>
      <w:r>
        <w:rPr>
          <w:rFonts w:eastAsia="DengXian"/>
        </w:rPr>
        <w:t xml:space="preserve">from </w:t>
      </w:r>
      <w:r>
        <w:rPr>
          <w:rFonts w:eastAsia="DengXian"/>
          <w:lang w:val="en-US"/>
        </w:rPr>
        <w:t>a</w:t>
      </w:r>
      <w:r>
        <w:rPr>
          <w:rFonts w:eastAsia="DengXian"/>
        </w:rPr>
        <w:t xml:space="preserve"> combination of </w:t>
      </w:r>
      <w:r>
        <w:rPr>
          <w:rFonts w:eastAsia="DengXian"/>
          <w:lang w:eastAsia="ko-KR"/>
        </w:rPr>
        <w:t>(</w:t>
      </w:r>
      <w:r>
        <w:rPr>
          <w:rFonts w:eastAsia="DengXian"/>
          <w:i/>
        </w:rPr>
        <w:t>pdcch-BlindDetectionCA</w:t>
      </w:r>
      <w:r w:rsidR="0053078C">
        <w:rPr>
          <w:rFonts w:eastAsia="DengXian"/>
          <w:i/>
          <w:lang w:val="en-US"/>
        </w:rPr>
        <w:t>1</w:t>
      </w:r>
      <w:r>
        <w:rPr>
          <w:rFonts w:eastAsia="DengXian"/>
          <w:i/>
        </w:rPr>
        <w:t>, pdcch-BlindDetectionCA</w:t>
      </w:r>
      <w:r w:rsidR="0053078C">
        <w:rPr>
          <w:rFonts w:eastAsia="DengXian"/>
          <w:i/>
          <w:lang w:val="en-US"/>
        </w:rPr>
        <w:t>2</w:t>
      </w:r>
      <w:r>
        <w:rPr>
          <w:rFonts w:eastAsia="DengXian"/>
          <w:lang w:eastAsia="ko-KR"/>
        </w:rPr>
        <w:t>)</w:t>
      </w:r>
      <w:r>
        <w:rPr>
          <w:rFonts w:eastAsia="DengXian"/>
        </w:rPr>
        <w:t xml:space="preserve"> </w:t>
      </w:r>
      <w:r>
        <w:rPr>
          <w:rFonts w:eastAsia="DengXian"/>
          <w:lang w:val="en-US"/>
        </w:rPr>
        <w:t>that is provided</w:t>
      </w:r>
      <w:r>
        <w:rPr>
          <w:rFonts w:eastAsia="DengXian"/>
        </w:rPr>
        <w:t xml:space="preserve"> by </w:t>
      </w:r>
      <w:r>
        <w:rPr>
          <w:rFonts w:eastAsia="DengXian"/>
          <w:i/>
        </w:rPr>
        <w:t>pdcch-BlindDetectionCA</w:t>
      </w:r>
      <w:r w:rsidR="00130949">
        <w:rPr>
          <w:rFonts w:eastAsia="DengXian"/>
          <w:i/>
          <w:lang w:val="en-US"/>
        </w:rPr>
        <w:t>-</w:t>
      </w:r>
      <w:r>
        <w:rPr>
          <w:rFonts w:eastAsia="DengXian"/>
          <w:i/>
        </w:rPr>
        <w:t>Comb</w:t>
      </w:r>
      <w:r w:rsidR="00130949">
        <w:rPr>
          <w:rFonts w:eastAsia="DengXian"/>
          <w:i/>
          <w:lang w:val="en-US"/>
        </w:rPr>
        <w:t>I</w:t>
      </w:r>
      <w:r>
        <w:rPr>
          <w:rFonts w:eastAsia="DengXian"/>
          <w:i/>
        </w:rPr>
        <w:t>ndicator</w:t>
      </w:r>
    </w:p>
    <w:p w14:paraId="6A933788" w14:textId="7F044646" w:rsidR="00210B0F" w:rsidRDefault="00210B0F" w:rsidP="00210B0F">
      <w:pPr>
        <w:tabs>
          <w:tab w:val="left" w:pos="360"/>
        </w:tabs>
        <w:rPr>
          <w:lang w:eastAsia="ko-KR"/>
        </w:rPr>
      </w:pPr>
      <w:r>
        <w:rPr>
          <w:lang w:eastAsia="ko-KR"/>
        </w:rPr>
        <w:t xml:space="preserve">If a UE indicates in </w:t>
      </w:r>
      <w:r>
        <w:rPr>
          <w:i/>
          <w:iCs/>
        </w:rPr>
        <w:t>UE-NR-Capability</w:t>
      </w:r>
      <w:r>
        <w:rPr>
          <w:lang w:eastAsia="ko-KR"/>
        </w:rPr>
        <w:t xml:space="preserve"> a carrier aggregation capability larger than one downlink cell with </w:t>
      </w:r>
      <w:r>
        <w:rPr>
          <w:i/>
          <w:lang w:val="en-US"/>
        </w:rPr>
        <w:t>monitoringCapabilityConfig</w:t>
      </w:r>
      <w:r>
        <w:rPr>
          <w:lang w:val="en-US"/>
        </w:rPr>
        <w:t xml:space="preserve"> = </w:t>
      </w:r>
      <w:r>
        <w:rPr>
          <w:i/>
        </w:rPr>
        <w:t>r15monitoringcapability</w:t>
      </w:r>
      <w:r>
        <w:rPr>
          <w:lang w:eastAsia="ko-KR"/>
        </w:rPr>
        <w:t xml:space="preserve"> or larger than one downlink cell with </w:t>
      </w:r>
      <w:r>
        <w:rPr>
          <w:i/>
          <w:lang w:val="en-US"/>
        </w:rPr>
        <w:t>monitoringCapabilityConfig</w:t>
      </w:r>
      <w:r>
        <w:rPr>
          <w:lang w:val="en-US"/>
        </w:rPr>
        <w:t xml:space="preserve"> = </w:t>
      </w:r>
      <w:r>
        <w:rPr>
          <w:i/>
        </w:rPr>
        <w:t>r17monitoringcapability</w:t>
      </w:r>
      <w:r>
        <w:rPr>
          <w:lang w:eastAsia="ko-KR"/>
        </w:rPr>
        <w:t xml:space="preserve">, the UE includes in </w:t>
      </w:r>
      <w:r>
        <w:rPr>
          <w:i/>
          <w:iCs/>
        </w:rPr>
        <w:t>UE-NR-Capability</w:t>
      </w:r>
      <w:r>
        <w:rPr>
          <w:lang w:eastAsia="ko-KR"/>
        </w:rPr>
        <w:t xml:space="preserve"> an indication for a maximum number of PDCCH candidates and a maximum number of non-overlapped CCEs the UE can monitor for downlink cells with </w:t>
      </w:r>
      <w:r>
        <w:rPr>
          <w:i/>
          <w:lang w:val="en-US"/>
        </w:rPr>
        <w:t>monitoringCapabilityConfig</w:t>
      </w:r>
      <w:r>
        <w:rPr>
          <w:lang w:val="en-US"/>
        </w:rPr>
        <w:t xml:space="preserve"> = </w:t>
      </w:r>
      <w:r>
        <w:rPr>
          <w:i/>
        </w:rPr>
        <w:t xml:space="preserve">r15monitoringcapability </w:t>
      </w:r>
      <w:r>
        <w:rPr>
          <w:lang w:eastAsia="ko-KR"/>
        </w:rPr>
        <w:t xml:space="preserve">or for downlink cells with </w:t>
      </w:r>
      <w:r>
        <w:rPr>
          <w:i/>
          <w:lang w:val="en-US"/>
        </w:rPr>
        <w:t>monitoringCapabilityConfig</w:t>
      </w:r>
      <w:r>
        <w:rPr>
          <w:lang w:val="en-US"/>
        </w:rPr>
        <w:t xml:space="preserve"> = </w:t>
      </w:r>
      <w:r>
        <w:rPr>
          <w:i/>
        </w:rPr>
        <w:t>r17monitoringcapability</w:t>
      </w:r>
      <w:r>
        <w:t xml:space="preserve"> </w:t>
      </w:r>
      <w:r>
        <w:rPr>
          <w:lang w:eastAsia="ko-KR"/>
        </w:rPr>
        <w:t xml:space="preserve">when the UE is configured for carrier aggregation operation over more than two downlink cells with at least one downlink cell with </w:t>
      </w:r>
      <w:r>
        <w:rPr>
          <w:i/>
          <w:lang w:val="en-US"/>
        </w:rPr>
        <w:t>monitoringCapabilityConfig</w:t>
      </w:r>
      <w:r>
        <w:rPr>
          <w:lang w:val="en-US"/>
        </w:rPr>
        <w:t xml:space="preserve"> = </w:t>
      </w:r>
      <w:r>
        <w:rPr>
          <w:i/>
        </w:rPr>
        <w:t>r15monitoringcapability</w:t>
      </w:r>
      <w:r>
        <w:rPr>
          <w:lang w:eastAsia="ko-KR"/>
        </w:rPr>
        <w:t xml:space="preserve"> and at least one downlink cell </w:t>
      </w:r>
      <w:r w:rsidR="00CD6E7F" w:rsidRPr="00A51D05">
        <w:rPr>
          <w:lang w:eastAsia="ko-KR"/>
        </w:rPr>
        <w:t xml:space="preserve">with </w:t>
      </w:r>
      <w:r w:rsidR="00CD6E7F" w:rsidRPr="00A51D05">
        <w:rPr>
          <w:i/>
        </w:rPr>
        <w:t>monitoringCapabilityConfig</w:t>
      </w:r>
      <w:r w:rsidR="00CD6E7F" w:rsidRPr="00A51D05">
        <w:t xml:space="preserve"> = </w:t>
      </w:r>
      <w:r w:rsidR="00CD6E7F" w:rsidRPr="00A51D05">
        <w:rPr>
          <w:i/>
        </w:rPr>
        <w:t>r17monitoringcapability</w:t>
      </w:r>
      <w:r>
        <w:rPr>
          <w:lang w:eastAsia="ko-KR"/>
        </w:rPr>
        <w:t xml:space="preserve">. When a UE is not configured for NR-DC operation, </w:t>
      </w:r>
      <w:r>
        <w:t>the UE determines</w:t>
      </w:r>
      <w:r>
        <w:rPr>
          <w:lang w:eastAsia="ko-KR"/>
        </w:rPr>
        <w:t xml:space="preserve"> a capability to monitor a maximum number of PDCCH candidates and a maximum number of non-overlapped CCEs per slot or per 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Pr>
          <w:lang w:eastAsia="zh-CN"/>
        </w:rPr>
        <w:t xml:space="preserve"> </w:t>
      </w:r>
      <w:r>
        <w:rPr>
          <w:lang w:eastAsia="ko-KR"/>
        </w:rPr>
        <w:t xml:space="preserve">slots that corresponds to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cells,r15/r17</m:t>
            </m:r>
          </m:sub>
          <m:sup>
            <m:r>
              <w:rPr>
                <w:rFonts w:ascii="Cambria Math"/>
                <w:lang w:eastAsia="zh-CN"/>
              </w:rPr>
              <m:t>cap</m:t>
            </m:r>
            <m:r>
              <w:rPr>
                <w:rFonts w:ascii="Cambria Math"/>
                <w:lang w:eastAsia="zh-CN"/>
              </w:rPr>
              <m:t>-</m:t>
            </m:r>
            <m:r>
              <w:rPr>
                <w:rFonts w:ascii="Cambria Math"/>
                <w:lang w:eastAsia="zh-CN"/>
              </w:rPr>
              <m:t>r17</m:t>
            </m:r>
          </m:sup>
        </m:sSubSup>
      </m:oMath>
      <w:r>
        <w:t xml:space="preserve"> downlink cells or to</w:t>
      </w:r>
      <w:r>
        <w:rPr>
          <w:lang w:eastAsia="ko-KR"/>
        </w:rPr>
        <w:t xml:space="preserve">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cells,r17/r15</m:t>
            </m:r>
          </m:sub>
          <m:sup>
            <m:r>
              <w:rPr>
                <w:rFonts w:ascii="Cambria Math"/>
                <w:lang w:eastAsia="zh-CN"/>
              </w:rPr>
              <m:t>cap</m:t>
            </m:r>
            <m:r>
              <w:rPr>
                <w:rFonts w:ascii="Cambria Math"/>
                <w:lang w:eastAsia="zh-CN"/>
              </w:rPr>
              <m:t>-</m:t>
            </m:r>
            <m:r>
              <w:rPr>
                <w:rFonts w:ascii="Cambria Math"/>
                <w:lang w:eastAsia="zh-CN"/>
              </w:rPr>
              <m:t>r17</m:t>
            </m:r>
          </m:sup>
        </m:sSubSup>
      </m:oMath>
      <w:r>
        <w:t xml:space="preserve"> downlink cells, respectively, where</w:t>
      </w:r>
    </w:p>
    <w:p w14:paraId="2A0F1F7E" w14:textId="41C0C091" w:rsidR="00CD6E7F" w:rsidRPr="00996B83" w:rsidRDefault="00CD6E7F" w:rsidP="00CD6E7F">
      <w:pPr>
        <w:pStyle w:val="B1"/>
        <w:rPr>
          <w:lang w:val="en-US" w:eastAsia="ko-KR"/>
        </w:rPr>
      </w:pPr>
      <w:r>
        <w:t>-</w:t>
      </w:r>
      <w:r>
        <w:tab/>
      </w:r>
      <m:oMath>
        <m:sSubSup>
          <m:sSubSupPr>
            <m:ctrlPr>
              <w:rPr>
                <w:rFonts w:ascii="Cambria Math" w:hAnsi="Cambria Math"/>
                <w:iCs/>
                <w:lang w:eastAsia="zh-CN"/>
              </w:rPr>
            </m:ctrlPr>
          </m:sSubSupPr>
          <m:e>
            <m:r>
              <w:rPr>
                <w:rFonts w:ascii="Cambria Math"/>
                <w:lang w:eastAsia="zh-CN"/>
              </w:rPr>
              <m:t>N</m:t>
            </m:r>
          </m:e>
          <m:sub>
            <m:r>
              <m:rPr>
                <m:sty m:val="p"/>
              </m:rPr>
              <w:rPr>
                <w:rFonts w:ascii="Cambria Math"/>
                <w:lang w:eastAsia="zh-CN"/>
              </w:rPr>
              <m:t>cells,r15/r17</m:t>
            </m:r>
          </m:sub>
          <m:sup>
            <m:r>
              <m:rPr>
                <m:sty m:val="p"/>
              </m:rPr>
              <w:rPr>
                <w:rFonts w:ascii="Cambria Math"/>
                <w:lang w:eastAsia="zh-CN"/>
              </w:rPr>
              <m:t>cap</m:t>
            </m:r>
            <m:r>
              <m:rPr>
                <m:sty m:val="p"/>
              </m:rPr>
              <w:rPr>
                <w:rFonts w:ascii="Cambria Math"/>
                <w:lang w:eastAsia="zh-CN"/>
              </w:rPr>
              <m:t>-</m:t>
            </m:r>
            <m:r>
              <m:rPr>
                <m:sty m:val="p"/>
              </m:rPr>
              <w:rPr>
                <w:rFonts w:ascii="Cambria Math"/>
                <w:lang w:eastAsia="zh-CN"/>
              </w:rPr>
              <m:t>r17</m:t>
            </m:r>
          </m:sup>
        </m:sSubSup>
      </m:oMath>
      <w:r>
        <w:t xml:space="preserve"> </w:t>
      </w:r>
      <w:r>
        <w:rPr>
          <w:lang w:eastAsia="ko-KR"/>
        </w:rPr>
        <w:t xml:space="preserve">is </w:t>
      </w:r>
      <m:oMath>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ctrlPr>
              <w:rPr>
                <w:rFonts w:ascii="Cambria Math" w:hAnsi="Cambria Math"/>
              </w:rPr>
            </m:ctrlPr>
          </m:sup>
        </m:sSubSup>
        <m:r>
          <w:rPr>
            <w:rFonts w:ascii="Cambria Math" w:hAnsi="Cambria Math"/>
          </w:rPr>
          <m:t>+R</m:t>
        </m:r>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ctrlPr>
              <w:rPr>
                <w:rFonts w:ascii="Cambria Math" w:hAnsi="Cambria Math"/>
              </w:rPr>
            </m:ctrlPr>
          </m:sup>
        </m:sSubSup>
      </m:oMath>
      <w:r>
        <w:rPr>
          <w:lang w:eastAsia="ko-KR"/>
        </w:rPr>
        <w:t xml:space="preserve"> if</w:t>
      </w:r>
      <w:r w:rsidRPr="008F5160">
        <w:rPr>
          <w:lang w:eastAsia="ko-KR"/>
        </w:rPr>
        <w:t xml:space="preserve"> the UE </w:t>
      </w:r>
      <w:r>
        <w:rPr>
          <w:lang w:eastAsia="ko-KR"/>
        </w:rPr>
        <w:t xml:space="preserve">does not provide </w:t>
      </w:r>
      <w:r w:rsidRPr="00F723E2">
        <w:rPr>
          <w:i/>
        </w:rPr>
        <w:t>pdcch-BlindDetectionCA</w:t>
      </w:r>
      <w:r>
        <w:rPr>
          <w:i/>
          <w:lang w:val="en-US"/>
        </w:rPr>
        <w:t>1</w:t>
      </w:r>
      <w:r w:rsidR="00183A46">
        <w:rPr>
          <w:i/>
          <w:lang w:val="en-US"/>
        </w:rPr>
        <w:t xml:space="preserve"> </w:t>
      </w:r>
      <w:r w:rsidR="00183A46" w:rsidRPr="003F6436">
        <w:rPr>
          <w:lang w:val="en-US"/>
        </w:rPr>
        <w:t>in</w:t>
      </w:r>
      <w:r w:rsidR="00183A46">
        <w:rPr>
          <w:lang w:val="en-US"/>
        </w:rPr>
        <w:t xml:space="preserve"> </w:t>
      </w:r>
      <w:r w:rsidR="00183A46" w:rsidRPr="00044175">
        <w:rPr>
          <w:i/>
        </w:rPr>
        <w:t>pdcch-BlindDetectionMixedList1</w:t>
      </w:r>
      <w:r w:rsidRPr="00A51D05">
        <w:rPr>
          <w:iCs/>
        </w:rPr>
        <w:t xml:space="preserve">, where </w:t>
      </w:r>
      <m:oMath>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ctrlPr>
              <w:rPr>
                <w:rFonts w:ascii="Cambria Math" w:hAnsi="Cambria Math"/>
              </w:rPr>
            </m:ctrlPr>
          </m:sup>
        </m:sSubSup>
      </m:oMath>
      <w:r w:rsidRPr="00A51D05">
        <w:t xml:space="preserve"> is the number of configured downlink </w:t>
      </w:r>
      <w:r w:rsidRPr="00A51D05">
        <w:rPr>
          <w:rFonts w:cs="Calibri"/>
        </w:rPr>
        <w:t>serving cells</w:t>
      </w:r>
    </w:p>
    <w:p w14:paraId="4E353CDD" w14:textId="77777777" w:rsidR="00210B0F" w:rsidRDefault="00210B0F" w:rsidP="00210B0F">
      <w:pPr>
        <w:pStyle w:val="B1"/>
      </w:pPr>
      <w:r>
        <w:t>-</w:t>
      </w:r>
      <w:r>
        <w:tab/>
      </w:r>
      <w:r w:rsidRPr="002128CC">
        <w:t xml:space="preserve">otherwise, </w:t>
      </w:r>
    </w:p>
    <w:p w14:paraId="6B6CD129" w14:textId="2B71351A" w:rsidR="00210B0F" w:rsidRDefault="00210B0F" w:rsidP="00210B0F">
      <w:pPr>
        <w:pStyle w:val="B2"/>
        <w:rPr>
          <w:i/>
          <w:lang w:val="en-US"/>
        </w:rPr>
      </w:pPr>
      <w:r>
        <w:rPr>
          <w:lang w:val="en-US"/>
        </w:rPr>
        <w:t>-</w:t>
      </w:r>
      <w:r>
        <w:rPr>
          <w:lang w:val="en-US"/>
        </w:rPr>
        <w:tab/>
      </w:r>
      <w:r>
        <w:t xml:space="preserve">if the </w:t>
      </w:r>
      <w:r>
        <w:rPr>
          <w:rFonts w:eastAsia="DengXian"/>
          <w:lang w:eastAsia="ko-KR"/>
        </w:rPr>
        <w:t>UE reports only one combination of (</w:t>
      </w:r>
      <w:r w:rsidRPr="00D429F6">
        <w:rPr>
          <w:rFonts w:eastAsia="DengXian"/>
          <w:i/>
          <w:iCs/>
        </w:rPr>
        <w:t>pdcch-BlindDetectionCA</w:t>
      </w:r>
      <w:r w:rsidR="00CD6E7F">
        <w:rPr>
          <w:i/>
          <w:iCs/>
          <w:lang w:val="en-US"/>
        </w:rPr>
        <w:t>1</w:t>
      </w:r>
      <w:r>
        <w:rPr>
          <w:rFonts w:eastAsia="DengXian"/>
        </w:rPr>
        <w:t xml:space="preserve">, </w:t>
      </w:r>
      <w:r w:rsidRPr="00D429F6">
        <w:rPr>
          <w:rFonts w:eastAsia="DengXian"/>
          <w:i/>
          <w:iCs/>
        </w:rPr>
        <w:t>pdcch-</w:t>
      </w:r>
      <w:r w:rsidR="00183A46" w:rsidRPr="00D429F6">
        <w:rPr>
          <w:rFonts w:eastAsia="DengXian"/>
          <w:i/>
          <w:iCs/>
        </w:rPr>
        <w:t>BlindDetectionCA</w:t>
      </w:r>
      <w:r w:rsidR="00183A46">
        <w:rPr>
          <w:rFonts w:eastAsia="DengXian"/>
          <w:i/>
          <w:iCs/>
          <w:lang w:val="en-US"/>
        </w:rPr>
        <w:t>2</w:t>
      </w:r>
      <w:r>
        <w:rPr>
          <w:rFonts w:eastAsia="DengXian"/>
          <w:lang w:eastAsia="ko-KR"/>
        </w:rPr>
        <w:t>)</w:t>
      </w:r>
      <w:r w:rsidR="00183A46">
        <w:rPr>
          <w:rFonts w:eastAsia="DengXian"/>
          <w:lang w:val="en-GB" w:eastAsia="ko-KR"/>
        </w:rPr>
        <w:t xml:space="preserve"> </w:t>
      </w:r>
      <w:r w:rsidR="00183A46">
        <w:rPr>
          <w:rFonts w:eastAsia="DengXian"/>
          <w:lang w:eastAsia="ko-KR"/>
        </w:rPr>
        <w:t>in</w:t>
      </w:r>
      <w:r w:rsidR="00183A46" w:rsidRPr="00044175">
        <w:rPr>
          <w:rFonts w:eastAsia="DengXian"/>
          <w:lang w:eastAsia="ko-KR"/>
        </w:rPr>
        <w:t xml:space="preserve"> </w:t>
      </w:r>
      <w:r w:rsidR="00183A46" w:rsidRPr="00044175">
        <w:rPr>
          <w:i/>
        </w:rPr>
        <w:t>pdcch-BlindDetectionMixedList1</w:t>
      </w:r>
      <w:r>
        <w:rPr>
          <w:rFonts w:eastAsia="DengXian"/>
          <w:lang w:val="en-US" w:eastAsia="ko-KR"/>
        </w:rPr>
        <w:t xml:space="preserve">,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cells,r15/r17</m:t>
            </m:r>
          </m:sub>
          <m:sup>
            <m:r>
              <w:rPr>
                <w:rFonts w:ascii="Cambria Math"/>
                <w:lang w:eastAsia="zh-CN"/>
              </w:rPr>
              <m:t>cap</m:t>
            </m:r>
            <m:r>
              <w:rPr>
                <w:rFonts w:ascii="Cambria Math"/>
                <w:lang w:eastAsia="zh-CN"/>
              </w:rPr>
              <m:t>-</m:t>
            </m:r>
            <m:r>
              <w:rPr>
                <w:rFonts w:ascii="Cambria Math"/>
                <w:lang w:eastAsia="zh-CN"/>
              </w:rPr>
              <m:t>r17</m:t>
            </m:r>
          </m:sup>
        </m:sSubSup>
      </m:oMath>
      <w:r w:rsidRPr="00D20E88">
        <w:t xml:space="preserve"> </w:t>
      </w:r>
      <w:r w:rsidRPr="002128CC">
        <w:t xml:space="preserve">is the value of </w:t>
      </w:r>
      <w:r w:rsidRPr="00D429F6">
        <w:rPr>
          <w:i/>
          <w:iCs/>
        </w:rPr>
        <w:t>pdcch-</w:t>
      </w:r>
      <w:r w:rsidR="00F66694" w:rsidRPr="00D429F6">
        <w:rPr>
          <w:i/>
          <w:iCs/>
        </w:rPr>
        <w:t>BlindDetectionCA</w:t>
      </w:r>
      <w:r w:rsidR="00F66694">
        <w:rPr>
          <w:i/>
          <w:iCs/>
          <w:lang w:val="en-US"/>
        </w:rPr>
        <w:t>1</w:t>
      </w:r>
      <w:r w:rsidR="00F66694" w:rsidRPr="00A67487">
        <w:rPr>
          <w:i/>
          <w:lang w:val="en-US"/>
        </w:rPr>
        <w:t xml:space="preserve"> </w:t>
      </w:r>
    </w:p>
    <w:p w14:paraId="48A0FACB" w14:textId="4F920E5D" w:rsidR="00210B0F" w:rsidRPr="00066F8E" w:rsidRDefault="00210B0F" w:rsidP="00210B0F">
      <w:pPr>
        <w:pStyle w:val="B2"/>
        <w:rPr>
          <w:lang w:val="en-US"/>
        </w:rPr>
      </w:pPr>
      <w:r>
        <w:t>-</w:t>
      </w:r>
      <w:r>
        <w:tab/>
        <w:t xml:space="preserve">else,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cells,r15/r17</m:t>
            </m:r>
          </m:sub>
          <m:sup>
            <m:r>
              <w:rPr>
                <w:rFonts w:ascii="Cambria Math"/>
                <w:lang w:eastAsia="zh-CN"/>
              </w:rPr>
              <m:t>cap</m:t>
            </m:r>
            <m:r>
              <w:rPr>
                <w:rFonts w:ascii="Cambria Math"/>
                <w:lang w:eastAsia="zh-CN"/>
              </w:rPr>
              <m:t>-</m:t>
            </m:r>
            <m:r>
              <w:rPr>
                <w:rFonts w:ascii="Cambria Math"/>
                <w:lang w:eastAsia="zh-CN"/>
              </w:rPr>
              <m:t>r17</m:t>
            </m:r>
          </m:sup>
        </m:sSubSup>
      </m:oMath>
      <w:r>
        <w:t xml:space="preserve"> is the value of </w:t>
      </w:r>
      <w:r>
        <w:rPr>
          <w:i/>
        </w:rPr>
        <w:t>pdcch-</w:t>
      </w:r>
      <w:r w:rsidR="00F66694">
        <w:rPr>
          <w:i/>
        </w:rPr>
        <w:t>BlindDetectionCA</w:t>
      </w:r>
      <w:r w:rsidR="00F66694">
        <w:rPr>
          <w:i/>
          <w:lang w:val="en-US"/>
        </w:rPr>
        <w:t xml:space="preserve">1 </w:t>
      </w:r>
      <w:r>
        <w:rPr>
          <w:rFonts w:eastAsia="DengXian"/>
        </w:rPr>
        <w:t xml:space="preserve">from </w:t>
      </w:r>
      <w:r>
        <w:rPr>
          <w:rFonts w:eastAsia="DengXian"/>
          <w:lang w:val="en-US"/>
        </w:rPr>
        <w:t>a</w:t>
      </w:r>
      <w:r>
        <w:rPr>
          <w:rFonts w:eastAsia="DengXian"/>
        </w:rPr>
        <w:t xml:space="preserve"> combination of </w:t>
      </w:r>
      <w:r>
        <w:rPr>
          <w:rFonts w:eastAsia="DengXian"/>
          <w:lang w:eastAsia="ko-KR"/>
        </w:rPr>
        <w:t>(</w:t>
      </w:r>
      <w:r>
        <w:rPr>
          <w:rFonts w:eastAsia="DengXian"/>
          <w:i/>
        </w:rPr>
        <w:t>pdcch-</w:t>
      </w:r>
      <w:r w:rsidR="00F66694">
        <w:rPr>
          <w:rFonts w:eastAsia="DengXian"/>
          <w:i/>
        </w:rPr>
        <w:t>BlindDetectionCA</w:t>
      </w:r>
      <w:r w:rsidR="00F66694">
        <w:rPr>
          <w:i/>
          <w:lang w:val="en-US"/>
        </w:rPr>
        <w:t>1</w:t>
      </w:r>
      <w:r>
        <w:rPr>
          <w:rFonts w:eastAsia="DengXian"/>
          <w:i/>
        </w:rPr>
        <w:t>, pdcch-</w:t>
      </w:r>
      <w:r w:rsidR="00F66694">
        <w:rPr>
          <w:rFonts w:eastAsia="DengXian"/>
          <w:i/>
        </w:rPr>
        <w:t>BlindDetectionCA</w:t>
      </w:r>
      <w:r w:rsidR="00F66694">
        <w:rPr>
          <w:rFonts w:eastAsia="DengXian"/>
          <w:i/>
          <w:lang w:val="en-US"/>
        </w:rPr>
        <w:t>3</w:t>
      </w:r>
      <w:r>
        <w:rPr>
          <w:rFonts w:eastAsia="DengXian"/>
          <w:lang w:eastAsia="ko-KR"/>
        </w:rPr>
        <w:t>)</w:t>
      </w:r>
      <w:r>
        <w:rPr>
          <w:rFonts w:eastAsia="DengXian"/>
        </w:rPr>
        <w:t xml:space="preserve"> </w:t>
      </w:r>
      <w:r>
        <w:rPr>
          <w:rFonts w:eastAsia="DengXian"/>
          <w:lang w:val="en-US"/>
        </w:rPr>
        <w:t>that is provided</w:t>
      </w:r>
      <w:r>
        <w:rPr>
          <w:rFonts w:eastAsia="DengXian"/>
        </w:rPr>
        <w:t xml:space="preserve"> by </w:t>
      </w:r>
      <w:r>
        <w:rPr>
          <w:rFonts w:eastAsia="DengXian"/>
          <w:i/>
        </w:rPr>
        <w:t>pdcch-BlindDetectionCA</w:t>
      </w:r>
      <w:r>
        <w:rPr>
          <w:rFonts w:eastAsia="DengXian"/>
          <w:i/>
          <w:lang w:val="en-US"/>
        </w:rPr>
        <w:t>-</w:t>
      </w:r>
      <w:r>
        <w:rPr>
          <w:rFonts w:eastAsia="DengXian"/>
          <w:i/>
        </w:rPr>
        <w:t>Comb</w:t>
      </w:r>
      <w:r>
        <w:rPr>
          <w:rFonts w:eastAsia="DengXian"/>
          <w:i/>
          <w:lang w:val="en-US"/>
        </w:rPr>
        <w:t>I</w:t>
      </w:r>
      <w:r>
        <w:rPr>
          <w:rFonts w:eastAsia="DengXian"/>
          <w:i/>
        </w:rPr>
        <w:t>ndicator</w:t>
      </w:r>
      <w:r>
        <w:rPr>
          <w:rFonts w:eastAsia="DengXian"/>
          <w:i/>
          <w:lang w:val="en-US"/>
        </w:rPr>
        <w:t>-r17</w:t>
      </w:r>
    </w:p>
    <w:p w14:paraId="62C222F9" w14:textId="77777777" w:rsidR="00210B0F" w:rsidRDefault="00210B0F" w:rsidP="00210B0F">
      <w:pPr>
        <w:rPr>
          <w:lang w:val="en-US"/>
        </w:rPr>
      </w:pPr>
      <w:r>
        <w:rPr>
          <w:lang w:val="en-US"/>
        </w:rPr>
        <w:t>and</w:t>
      </w:r>
    </w:p>
    <w:p w14:paraId="05C285FA" w14:textId="610F223A" w:rsidR="00F66694" w:rsidRPr="00996B83" w:rsidRDefault="00F66694" w:rsidP="00F66694">
      <w:pPr>
        <w:pStyle w:val="B1"/>
        <w:rPr>
          <w:lang w:val="en-US" w:eastAsia="ko-KR"/>
        </w:rPr>
      </w:pPr>
      <w:r>
        <w:t>-</w:t>
      </w:r>
      <w:r>
        <w:tab/>
      </w:r>
      <m:oMath>
        <m:sSubSup>
          <m:sSubSupPr>
            <m:ctrlPr>
              <w:rPr>
                <w:rFonts w:ascii="Cambria Math" w:hAnsi="Cambria Math"/>
                <w:iCs/>
                <w:lang w:eastAsia="zh-CN"/>
              </w:rPr>
            </m:ctrlPr>
          </m:sSubSupPr>
          <m:e>
            <m:r>
              <w:rPr>
                <w:rFonts w:ascii="Cambria Math"/>
                <w:lang w:eastAsia="zh-CN"/>
              </w:rPr>
              <m:t>N</m:t>
            </m:r>
          </m:e>
          <m:sub>
            <m:r>
              <m:rPr>
                <m:sty m:val="p"/>
              </m:rPr>
              <w:rPr>
                <w:rFonts w:ascii="Cambria Math"/>
                <w:lang w:eastAsia="zh-CN"/>
              </w:rPr>
              <m:t>cells,r17/r15</m:t>
            </m:r>
          </m:sub>
          <m:sup>
            <m:r>
              <m:rPr>
                <m:sty m:val="p"/>
              </m:rPr>
              <w:rPr>
                <w:rFonts w:ascii="Cambria Math"/>
                <w:lang w:eastAsia="zh-CN"/>
              </w:rPr>
              <m:t>cap</m:t>
            </m:r>
            <m:r>
              <m:rPr>
                <m:sty m:val="p"/>
              </m:rPr>
              <w:rPr>
                <w:rFonts w:ascii="Cambria Math"/>
                <w:lang w:eastAsia="zh-CN"/>
              </w:rPr>
              <m:t>-</m:t>
            </m:r>
            <m:r>
              <m:rPr>
                <m:sty m:val="p"/>
              </m:rPr>
              <w:rPr>
                <w:rFonts w:ascii="Cambria Math"/>
                <w:lang w:eastAsia="zh-CN"/>
              </w:rPr>
              <m:t>r17</m:t>
            </m:r>
          </m:sup>
        </m:sSubSup>
      </m:oMath>
      <w:r>
        <w:t xml:space="preserve"> </w:t>
      </w:r>
      <w:r>
        <w:rPr>
          <w:lang w:eastAsia="ko-KR"/>
        </w:rPr>
        <w:t xml:space="preserve">is </w:t>
      </w:r>
      <m:oMath>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ctrlPr>
              <w:rPr>
                <w:rFonts w:ascii="Cambria Math" w:hAnsi="Cambria Math"/>
              </w:rPr>
            </m:ctrlPr>
          </m:sup>
        </m:sSubSup>
        <m:r>
          <w:rPr>
            <w:rFonts w:ascii="Cambria Math" w:hAnsi="Cambria Math"/>
          </w:rPr>
          <m:t>+R</m:t>
        </m:r>
        <m:r>
          <w:rPr>
            <w:rFonts w:ascii="Cambria Math" w:hAnsi="Cambria Math" w:cs="Cambria Math"/>
          </w:rPr>
          <m:t>⋅</m:t>
        </m:r>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ctrlPr>
              <w:rPr>
                <w:rFonts w:ascii="Cambria Math" w:hAnsi="Cambria Math"/>
              </w:rPr>
            </m:ctrlPr>
          </m:sup>
        </m:sSubSup>
      </m:oMath>
      <w:r>
        <w:rPr>
          <w:lang w:eastAsia="ko-KR"/>
        </w:rPr>
        <w:t xml:space="preserve"> if</w:t>
      </w:r>
      <w:r w:rsidRPr="008F5160">
        <w:rPr>
          <w:lang w:eastAsia="ko-KR"/>
        </w:rPr>
        <w:t xml:space="preserve"> the UE </w:t>
      </w:r>
      <w:r>
        <w:rPr>
          <w:lang w:val="en-US" w:eastAsia="ko-KR"/>
        </w:rPr>
        <w:t>does</w:t>
      </w:r>
      <w:r>
        <w:rPr>
          <w:lang w:eastAsia="ko-KR"/>
        </w:rPr>
        <w:t xml:space="preserve"> not provide </w:t>
      </w:r>
      <w:r w:rsidRPr="00F723E2">
        <w:rPr>
          <w:i/>
        </w:rPr>
        <w:t>pdcch-BlindDetectionCA</w:t>
      </w:r>
      <w:r w:rsidR="00183A46">
        <w:rPr>
          <w:i/>
          <w:lang w:val="en-US"/>
        </w:rPr>
        <w:t xml:space="preserve">2 </w:t>
      </w:r>
      <w:r w:rsidR="00183A46" w:rsidRPr="003F6436">
        <w:rPr>
          <w:lang w:val="en-US"/>
        </w:rPr>
        <w:t>in</w:t>
      </w:r>
      <w:r w:rsidR="00183A46">
        <w:rPr>
          <w:lang w:val="en-US"/>
        </w:rPr>
        <w:t xml:space="preserve"> </w:t>
      </w:r>
      <w:r w:rsidR="00183A46" w:rsidRPr="00044175">
        <w:rPr>
          <w:i/>
        </w:rPr>
        <w:t>pdcch-BlindDetectionMixedList1</w:t>
      </w:r>
      <w:r w:rsidRPr="00A51D05">
        <w:rPr>
          <w:iCs/>
        </w:rPr>
        <w:t xml:space="preserve">, where </w:t>
      </w:r>
      <m:oMath>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ctrlPr>
              <w:rPr>
                <w:rFonts w:ascii="Cambria Math" w:hAnsi="Cambria Math"/>
              </w:rPr>
            </m:ctrlPr>
          </m:sup>
        </m:sSubSup>
      </m:oMath>
      <w:r w:rsidRPr="00A51D05">
        <w:t xml:space="preserve"> is the number of configured downlink </w:t>
      </w:r>
      <w:r w:rsidRPr="00A51D05">
        <w:rPr>
          <w:rFonts w:cs="Calibri"/>
        </w:rPr>
        <w:t>serving cells</w:t>
      </w:r>
    </w:p>
    <w:p w14:paraId="2C5BAF08" w14:textId="77777777" w:rsidR="00210B0F" w:rsidRDefault="00210B0F" w:rsidP="00210B0F">
      <w:pPr>
        <w:pStyle w:val="B1"/>
      </w:pPr>
      <w:r>
        <w:t>-</w:t>
      </w:r>
      <w:r>
        <w:tab/>
      </w:r>
      <w:r w:rsidRPr="002128CC">
        <w:t xml:space="preserve">otherwise, </w:t>
      </w:r>
    </w:p>
    <w:p w14:paraId="54568059" w14:textId="70D98FE3" w:rsidR="00210B0F" w:rsidRDefault="00210B0F" w:rsidP="00210B0F">
      <w:pPr>
        <w:pStyle w:val="B2"/>
        <w:rPr>
          <w:i/>
          <w:lang w:val="en-US"/>
        </w:rPr>
      </w:pPr>
      <w:r>
        <w:t>-</w:t>
      </w:r>
      <w:r>
        <w:tab/>
        <w:t xml:space="preserve">if the </w:t>
      </w:r>
      <w:r>
        <w:rPr>
          <w:rFonts w:eastAsia="DengXian"/>
          <w:lang w:eastAsia="ko-KR"/>
        </w:rPr>
        <w:t>UE reports only one combination of (</w:t>
      </w:r>
      <w:r>
        <w:rPr>
          <w:rFonts w:eastAsia="DengXian"/>
          <w:i/>
        </w:rPr>
        <w:t>pdcch-BlindDetectionCA</w:t>
      </w:r>
      <w:r w:rsidR="00771270">
        <w:rPr>
          <w:rFonts w:eastAsia="DengXian"/>
          <w:i/>
          <w:lang w:val="en-US"/>
        </w:rPr>
        <w:t>1</w:t>
      </w:r>
      <w:r>
        <w:rPr>
          <w:rFonts w:eastAsia="DengXian"/>
          <w:i/>
        </w:rPr>
        <w:t>, pdcch-</w:t>
      </w:r>
      <w:r w:rsidR="00183A46">
        <w:rPr>
          <w:rFonts w:eastAsia="DengXian"/>
          <w:i/>
        </w:rPr>
        <w:t>BlindDetectionCA</w:t>
      </w:r>
      <w:r w:rsidR="00183A46">
        <w:rPr>
          <w:i/>
          <w:lang w:val="en-US"/>
        </w:rPr>
        <w:t>2</w:t>
      </w:r>
      <w:r>
        <w:rPr>
          <w:rFonts w:eastAsia="DengXian"/>
          <w:lang w:val="en-US" w:eastAsia="ko-KR"/>
        </w:rPr>
        <w:t>)</w:t>
      </w:r>
      <w:r w:rsidR="00183A46">
        <w:rPr>
          <w:rFonts w:eastAsia="DengXian"/>
          <w:lang w:val="en-US" w:eastAsia="ko-KR"/>
        </w:rPr>
        <w:t xml:space="preserve"> </w:t>
      </w:r>
      <w:r w:rsidR="00183A46">
        <w:rPr>
          <w:rFonts w:eastAsia="DengXian"/>
          <w:lang w:eastAsia="ko-KR"/>
        </w:rPr>
        <w:t>in</w:t>
      </w:r>
      <w:r w:rsidR="00183A46" w:rsidRPr="00044175">
        <w:rPr>
          <w:rFonts w:eastAsia="DengXian"/>
          <w:lang w:eastAsia="ko-KR"/>
        </w:rPr>
        <w:t xml:space="preserve"> </w:t>
      </w:r>
      <w:r w:rsidR="00183A46" w:rsidRPr="00044175">
        <w:rPr>
          <w:i/>
        </w:rPr>
        <w:t>pdcch-BlindDetectionMixedList1</w:t>
      </w:r>
      <w:r>
        <w:rPr>
          <w:rFonts w:eastAsia="DengXian"/>
          <w:lang w:val="en-US" w:eastAsia="ko-KR"/>
        </w:rPr>
        <w:t xml:space="preserve">,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cells,r17/r15</m:t>
            </m:r>
          </m:sub>
          <m:sup>
            <m:r>
              <w:rPr>
                <w:rFonts w:ascii="Cambria Math"/>
                <w:lang w:eastAsia="zh-CN"/>
              </w:rPr>
              <m:t>cap</m:t>
            </m:r>
            <m:r>
              <w:rPr>
                <w:rFonts w:ascii="Cambria Math"/>
                <w:lang w:eastAsia="zh-CN"/>
              </w:rPr>
              <m:t>-</m:t>
            </m:r>
            <m:r>
              <w:rPr>
                <w:rFonts w:ascii="Cambria Math"/>
                <w:lang w:eastAsia="zh-CN"/>
              </w:rPr>
              <m:t>r17</m:t>
            </m:r>
          </m:sup>
        </m:sSubSup>
      </m:oMath>
      <w:r w:rsidRPr="00D20E88">
        <w:t xml:space="preserve"> </w:t>
      </w:r>
      <w:r w:rsidRPr="002128CC">
        <w:t xml:space="preserve">is the value of </w:t>
      </w:r>
      <w:r w:rsidRPr="002128CC">
        <w:rPr>
          <w:i/>
        </w:rPr>
        <w:t>pdcch-BlindDetectionCA</w:t>
      </w:r>
      <w:r w:rsidR="00183A46">
        <w:rPr>
          <w:i/>
          <w:lang w:val="en-GB"/>
        </w:rPr>
        <w:t>2</w:t>
      </w:r>
      <w:r w:rsidRPr="00A67487">
        <w:rPr>
          <w:i/>
          <w:lang w:val="en-US"/>
        </w:rPr>
        <w:t xml:space="preserve"> </w:t>
      </w:r>
    </w:p>
    <w:p w14:paraId="1586CA40" w14:textId="08A086E4" w:rsidR="00210B0F" w:rsidRPr="00066F8E" w:rsidRDefault="00210B0F" w:rsidP="00210B0F">
      <w:pPr>
        <w:pStyle w:val="B2"/>
        <w:rPr>
          <w:rFonts w:eastAsia="DengXian"/>
          <w:iCs/>
          <w:lang w:val="en-US"/>
        </w:rPr>
      </w:pPr>
      <w:r>
        <w:lastRenderedPageBreak/>
        <w:t>-</w:t>
      </w:r>
      <w:r>
        <w:tab/>
        <w:t xml:space="preserve">else,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cells,r17/r15</m:t>
            </m:r>
          </m:sub>
          <m:sup>
            <m:r>
              <w:rPr>
                <w:rFonts w:ascii="Cambria Math"/>
                <w:lang w:eastAsia="zh-CN"/>
              </w:rPr>
              <m:t>cap</m:t>
            </m:r>
            <m:r>
              <w:rPr>
                <w:rFonts w:ascii="Cambria Math"/>
                <w:lang w:eastAsia="zh-CN"/>
              </w:rPr>
              <m:t>-</m:t>
            </m:r>
            <m:r>
              <w:rPr>
                <w:rFonts w:ascii="Cambria Math"/>
                <w:lang w:eastAsia="zh-CN"/>
              </w:rPr>
              <m:t>r17</m:t>
            </m:r>
          </m:sup>
        </m:sSubSup>
      </m:oMath>
      <w:r>
        <w:t xml:space="preserve"> is the value of </w:t>
      </w:r>
      <w:r>
        <w:rPr>
          <w:i/>
        </w:rPr>
        <w:t>pdcch-BlindDetectionCA</w:t>
      </w:r>
      <w:r w:rsidR="00771270">
        <w:rPr>
          <w:i/>
          <w:lang w:val="en-US"/>
        </w:rPr>
        <w:t>3</w:t>
      </w:r>
      <w:r>
        <w:rPr>
          <w:i/>
          <w:lang w:val="en-US"/>
        </w:rPr>
        <w:t xml:space="preserve"> </w:t>
      </w:r>
      <w:r>
        <w:rPr>
          <w:rFonts w:eastAsia="DengXian"/>
        </w:rPr>
        <w:t xml:space="preserve">from </w:t>
      </w:r>
      <w:r>
        <w:rPr>
          <w:rFonts w:eastAsia="DengXian"/>
          <w:lang w:val="en-US"/>
        </w:rPr>
        <w:t>a</w:t>
      </w:r>
      <w:r>
        <w:rPr>
          <w:rFonts w:eastAsia="DengXian"/>
        </w:rPr>
        <w:t xml:space="preserve"> combination of </w:t>
      </w:r>
      <w:r>
        <w:rPr>
          <w:rFonts w:eastAsia="DengXian"/>
          <w:lang w:eastAsia="ko-KR"/>
        </w:rPr>
        <w:t>(</w:t>
      </w:r>
      <w:r>
        <w:rPr>
          <w:rFonts w:eastAsia="DengXian"/>
          <w:i/>
        </w:rPr>
        <w:t>pdcch-BlindDetectionCA</w:t>
      </w:r>
      <w:r w:rsidR="00771270">
        <w:rPr>
          <w:rFonts w:eastAsia="DengXian"/>
          <w:i/>
          <w:lang w:val="en-US"/>
        </w:rPr>
        <w:t>1</w:t>
      </w:r>
      <w:r>
        <w:rPr>
          <w:rFonts w:eastAsia="DengXian"/>
          <w:i/>
        </w:rPr>
        <w:t>, pdcch-BlindDetectionCA</w:t>
      </w:r>
      <w:r w:rsidR="00771270">
        <w:rPr>
          <w:i/>
          <w:lang w:val="en-US"/>
        </w:rPr>
        <w:t>3</w:t>
      </w:r>
      <w:r>
        <w:rPr>
          <w:rFonts w:eastAsia="DengXian"/>
          <w:lang w:eastAsia="ko-KR"/>
        </w:rPr>
        <w:t>)</w:t>
      </w:r>
      <w:r>
        <w:rPr>
          <w:rFonts w:eastAsia="DengXian"/>
        </w:rPr>
        <w:t xml:space="preserve"> </w:t>
      </w:r>
      <w:r>
        <w:rPr>
          <w:rFonts w:eastAsia="DengXian"/>
          <w:lang w:val="en-US"/>
        </w:rPr>
        <w:t>that is provided</w:t>
      </w:r>
      <w:r>
        <w:rPr>
          <w:rFonts w:eastAsia="DengXian"/>
        </w:rPr>
        <w:t xml:space="preserve"> by </w:t>
      </w:r>
      <w:r>
        <w:rPr>
          <w:rFonts w:eastAsia="DengXian"/>
          <w:i/>
        </w:rPr>
        <w:t>pdcch-BlindDetectionCA</w:t>
      </w:r>
      <w:r>
        <w:rPr>
          <w:rFonts w:eastAsia="DengXian"/>
          <w:i/>
          <w:lang w:val="en-US"/>
        </w:rPr>
        <w:t>-</w:t>
      </w:r>
      <w:r>
        <w:rPr>
          <w:rFonts w:eastAsia="DengXian"/>
          <w:i/>
        </w:rPr>
        <w:t>Comb</w:t>
      </w:r>
      <w:r>
        <w:rPr>
          <w:rFonts w:eastAsia="DengXian"/>
          <w:i/>
          <w:lang w:val="en-US"/>
        </w:rPr>
        <w:t>I</w:t>
      </w:r>
      <w:r>
        <w:rPr>
          <w:rFonts w:eastAsia="DengXian"/>
          <w:i/>
        </w:rPr>
        <w:t>ndicator</w:t>
      </w:r>
      <w:r>
        <w:rPr>
          <w:rFonts w:eastAsia="DengXian"/>
          <w:i/>
          <w:lang w:val="en-US"/>
        </w:rPr>
        <w:t>-r17</w:t>
      </w:r>
    </w:p>
    <w:p w14:paraId="6F09ACA6" w14:textId="77777777" w:rsidR="00210B0F" w:rsidRDefault="00210B0F" w:rsidP="00210B0F">
      <w:pPr>
        <w:tabs>
          <w:tab w:val="left" w:pos="360"/>
        </w:tabs>
        <w:rPr>
          <w:lang w:eastAsia="ko-KR"/>
        </w:rPr>
      </w:pPr>
      <w:r>
        <w:rPr>
          <w:lang w:eastAsia="ko-KR"/>
        </w:rPr>
        <w:t xml:space="preserve">If a UE indicates in </w:t>
      </w:r>
      <w:r>
        <w:rPr>
          <w:i/>
          <w:iCs/>
        </w:rPr>
        <w:t>UE-NR-Capability</w:t>
      </w:r>
      <w:r>
        <w:rPr>
          <w:lang w:eastAsia="ko-KR"/>
        </w:rPr>
        <w:t xml:space="preserve"> a carrier aggregation capability larger than one downlink cell with </w:t>
      </w:r>
      <w:r>
        <w:rPr>
          <w:i/>
          <w:lang w:val="en-US"/>
        </w:rPr>
        <w:t>monitoringCapabilityConfig</w:t>
      </w:r>
      <w:r>
        <w:rPr>
          <w:lang w:val="en-US"/>
        </w:rPr>
        <w:t xml:space="preserve"> = </w:t>
      </w:r>
      <w:r>
        <w:rPr>
          <w:i/>
        </w:rPr>
        <w:t>r16monitoringcapability</w:t>
      </w:r>
      <w:r>
        <w:rPr>
          <w:lang w:eastAsia="ko-KR"/>
        </w:rPr>
        <w:t xml:space="preserve"> or larger than one downlink cell with </w:t>
      </w:r>
      <w:r>
        <w:rPr>
          <w:i/>
          <w:lang w:val="en-US"/>
        </w:rPr>
        <w:t>monitoringCapabilityConfig</w:t>
      </w:r>
      <w:r>
        <w:rPr>
          <w:lang w:val="en-US"/>
        </w:rPr>
        <w:t xml:space="preserve"> = </w:t>
      </w:r>
      <w:r>
        <w:rPr>
          <w:i/>
        </w:rPr>
        <w:t>r17monitoringcapability</w:t>
      </w:r>
      <w:r>
        <w:rPr>
          <w:lang w:eastAsia="ko-KR"/>
        </w:rPr>
        <w:t xml:space="preserve">, the UE includes in </w:t>
      </w:r>
      <w:r>
        <w:rPr>
          <w:i/>
          <w:iCs/>
        </w:rPr>
        <w:t>UE-NR-Capability</w:t>
      </w:r>
      <w:r>
        <w:rPr>
          <w:lang w:eastAsia="ko-KR"/>
        </w:rPr>
        <w:t xml:space="preserve"> an indication for a maximum number of PDCCH candidates and a maximum number of non-overlapped CCEs the UE can monitor for downlink cells with </w:t>
      </w:r>
      <w:r>
        <w:rPr>
          <w:i/>
          <w:lang w:val="en-US"/>
        </w:rPr>
        <w:t>monitoringCapabilityConfig</w:t>
      </w:r>
      <w:r>
        <w:rPr>
          <w:lang w:val="en-US"/>
        </w:rPr>
        <w:t xml:space="preserve"> = </w:t>
      </w:r>
      <w:r>
        <w:rPr>
          <w:i/>
        </w:rPr>
        <w:t xml:space="preserve">r16monitoringcapability </w:t>
      </w:r>
      <w:r>
        <w:rPr>
          <w:lang w:eastAsia="ko-KR"/>
        </w:rPr>
        <w:t xml:space="preserve">or for downlink cells with </w:t>
      </w:r>
      <w:r>
        <w:rPr>
          <w:i/>
          <w:lang w:val="en-US"/>
        </w:rPr>
        <w:t>monitoringCapabilityConfig</w:t>
      </w:r>
      <w:r>
        <w:rPr>
          <w:lang w:val="en-US"/>
        </w:rPr>
        <w:t xml:space="preserve"> = </w:t>
      </w:r>
      <w:r>
        <w:rPr>
          <w:i/>
        </w:rPr>
        <w:t>r17monitoringcapability</w:t>
      </w:r>
      <w:r>
        <w:t xml:space="preserve"> </w:t>
      </w:r>
      <w:r>
        <w:rPr>
          <w:lang w:eastAsia="ko-KR"/>
        </w:rPr>
        <w:t xml:space="preserve">when the UE is configured for carrier aggregation operation over more than two downlink cells with at least one downlink cell with </w:t>
      </w:r>
      <w:r>
        <w:rPr>
          <w:i/>
          <w:lang w:val="en-US"/>
        </w:rPr>
        <w:t>monitoringCapabilityConfig</w:t>
      </w:r>
      <w:r>
        <w:rPr>
          <w:lang w:val="en-US"/>
        </w:rPr>
        <w:t xml:space="preserve"> = </w:t>
      </w:r>
      <w:r>
        <w:rPr>
          <w:i/>
        </w:rPr>
        <w:t>r16monitoringcapability</w:t>
      </w:r>
      <w:r>
        <w:rPr>
          <w:lang w:eastAsia="ko-KR"/>
        </w:rPr>
        <w:t xml:space="preserve"> and with at least one downlink cell with </w:t>
      </w:r>
      <w:r>
        <w:rPr>
          <w:i/>
          <w:lang w:val="en-US"/>
        </w:rPr>
        <w:t>monitoringCapabilityConfig</w:t>
      </w:r>
      <w:r>
        <w:rPr>
          <w:lang w:val="en-US"/>
        </w:rPr>
        <w:t xml:space="preserve"> = </w:t>
      </w:r>
      <w:r>
        <w:rPr>
          <w:i/>
        </w:rPr>
        <w:t>r17monitoringcapability</w:t>
      </w:r>
      <w:r>
        <w:rPr>
          <w:lang w:eastAsia="ko-KR"/>
        </w:rPr>
        <w:t xml:space="preserve">. When a UE is not configured for NR-DC operation, </w:t>
      </w:r>
      <w:r>
        <w:t>the UE determines</w:t>
      </w:r>
      <w:r>
        <w:rPr>
          <w:lang w:eastAsia="ko-KR"/>
        </w:rPr>
        <w:t xml:space="preserve"> a capability to monitor a maximum number of PDCCH candidates and a maximum number of non-overlapped CCEs per span or per 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Pr>
          <w:lang w:eastAsia="zh-CN"/>
        </w:rPr>
        <w:t xml:space="preserve"> </w:t>
      </w:r>
      <w:r>
        <w:rPr>
          <w:lang w:eastAsia="ko-KR"/>
        </w:rPr>
        <w:t xml:space="preserve">slots that corresponds to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cells,r16/r17</m:t>
            </m:r>
          </m:sub>
          <m:sup>
            <m:r>
              <w:rPr>
                <w:rFonts w:ascii="Cambria Math"/>
                <w:lang w:eastAsia="zh-CN"/>
              </w:rPr>
              <m:t>cap</m:t>
            </m:r>
            <m:r>
              <w:rPr>
                <w:rFonts w:ascii="Cambria Math"/>
                <w:lang w:eastAsia="zh-CN"/>
              </w:rPr>
              <m:t>-</m:t>
            </m:r>
            <m:r>
              <w:rPr>
                <w:rFonts w:ascii="Cambria Math"/>
                <w:lang w:eastAsia="zh-CN"/>
              </w:rPr>
              <m:t>r17</m:t>
            </m:r>
          </m:sup>
        </m:sSubSup>
      </m:oMath>
      <w:r>
        <w:t xml:space="preserve"> downlink cells or to</w:t>
      </w:r>
      <w:r>
        <w:rPr>
          <w:lang w:eastAsia="ko-KR"/>
        </w:rPr>
        <w:t xml:space="preserve">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cells,r17/r16</m:t>
            </m:r>
          </m:sub>
          <m:sup>
            <m:r>
              <w:rPr>
                <w:rFonts w:ascii="Cambria Math"/>
                <w:lang w:eastAsia="zh-CN"/>
              </w:rPr>
              <m:t>cap</m:t>
            </m:r>
            <m:r>
              <w:rPr>
                <w:rFonts w:ascii="Cambria Math"/>
                <w:lang w:eastAsia="zh-CN"/>
              </w:rPr>
              <m:t>-</m:t>
            </m:r>
            <m:r>
              <w:rPr>
                <w:rFonts w:ascii="Cambria Math"/>
                <w:lang w:eastAsia="zh-CN"/>
              </w:rPr>
              <m:t>r17</m:t>
            </m:r>
          </m:sup>
        </m:sSubSup>
      </m:oMath>
      <w:r>
        <w:t xml:space="preserve"> downlink cells, respectively, where</w:t>
      </w:r>
    </w:p>
    <w:p w14:paraId="61314D5F" w14:textId="6327FDB6" w:rsidR="00210B0F" w:rsidRPr="00996B83" w:rsidRDefault="00210B0F" w:rsidP="00210B0F">
      <w:pPr>
        <w:pStyle w:val="B1"/>
        <w:rPr>
          <w:lang w:val="en-US" w:eastAsia="ko-KR"/>
        </w:rPr>
      </w:pPr>
      <w:r>
        <w:t>-</w:t>
      </w:r>
      <w:r>
        <w:tab/>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cells,r16/r17</m:t>
            </m:r>
          </m:sub>
          <m:sup>
            <m:r>
              <w:rPr>
                <w:rFonts w:ascii="Cambria Math"/>
                <w:lang w:eastAsia="zh-CN"/>
              </w:rPr>
              <m:t>cap</m:t>
            </m:r>
            <m:r>
              <w:rPr>
                <w:rFonts w:ascii="Cambria Math"/>
                <w:lang w:eastAsia="zh-CN"/>
              </w:rPr>
              <m:t>-</m:t>
            </m:r>
            <m:r>
              <w:rPr>
                <w:rFonts w:ascii="Cambria Math"/>
                <w:lang w:eastAsia="zh-CN"/>
              </w:rPr>
              <m:t>r17</m:t>
            </m:r>
          </m:sup>
        </m:sSubSup>
      </m:oMath>
      <w:r>
        <w:t xml:space="preserve"> </w:t>
      </w:r>
      <w:r>
        <w:rPr>
          <w:lang w:eastAsia="ko-KR"/>
        </w:rPr>
        <w:t>is the number of configured downlink cells if</w:t>
      </w:r>
      <w:r w:rsidRPr="008F5160">
        <w:rPr>
          <w:lang w:eastAsia="ko-KR"/>
        </w:rPr>
        <w:t xml:space="preserve"> the UE </w:t>
      </w:r>
      <w:r>
        <w:rPr>
          <w:lang w:eastAsia="ko-KR"/>
        </w:rPr>
        <w:t xml:space="preserve">does not provide </w:t>
      </w:r>
      <w:r w:rsidRPr="00F723E2">
        <w:rPr>
          <w:i/>
        </w:rPr>
        <w:t>pdcch-BlindDetectionCA</w:t>
      </w:r>
      <w:r w:rsidR="00183A46">
        <w:rPr>
          <w:i/>
          <w:lang w:val="en-US"/>
        </w:rPr>
        <w:t xml:space="preserve">1 </w:t>
      </w:r>
      <w:r w:rsidR="00183A46" w:rsidRPr="00044175">
        <w:rPr>
          <w:lang w:val="en-US"/>
        </w:rPr>
        <w:t>in</w:t>
      </w:r>
      <w:r w:rsidR="00183A46">
        <w:rPr>
          <w:i/>
          <w:lang w:val="en-US"/>
        </w:rPr>
        <w:t xml:space="preserve"> </w:t>
      </w:r>
      <w:r w:rsidR="00183A46" w:rsidRPr="00044175">
        <w:rPr>
          <w:i/>
          <w:lang w:val="en-US"/>
        </w:rPr>
        <w:t>pdcch-BlindDetectionMixedList2</w:t>
      </w:r>
    </w:p>
    <w:p w14:paraId="3B721319" w14:textId="77777777" w:rsidR="00210B0F" w:rsidRDefault="00210B0F" w:rsidP="00210B0F">
      <w:pPr>
        <w:pStyle w:val="B1"/>
      </w:pPr>
      <w:r>
        <w:t>-</w:t>
      </w:r>
      <w:r>
        <w:tab/>
      </w:r>
      <w:r w:rsidRPr="002128CC">
        <w:t xml:space="preserve">otherwise, </w:t>
      </w:r>
    </w:p>
    <w:p w14:paraId="22537AE7" w14:textId="4F4DD0C8" w:rsidR="00210B0F" w:rsidRDefault="00210B0F" w:rsidP="00210B0F">
      <w:pPr>
        <w:pStyle w:val="B2"/>
        <w:rPr>
          <w:i/>
          <w:lang w:val="en-US"/>
        </w:rPr>
      </w:pPr>
      <w:r>
        <w:rPr>
          <w:lang w:val="en-US"/>
        </w:rPr>
        <w:t>-</w:t>
      </w:r>
      <w:r>
        <w:rPr>
          <w:lang w:val="en-US"/>
        </w:rPr>
        <w:tab/>
      </w:r>
      <w:r>
        <w:t xml:space="preserve">if the </w:t>
      </w:r>
      <w:r>
        <w:rPr>
          <w:rFonts w:eastAsia="DengXian"/>
          <w:lang w:eastAsia="ko-KR"/>
        </w:rPr>
        <w:t>UE reports only one combination of (</w:t>
      </w:r>
      <w:r w:rsidRPr="00D429F6">
        <w:rPr>
          <w:rFonts w:eastAsia="DengXian"/>
          <w:i/>
          <w:iCs/>
        </w:rPr>
        <w:t>pdcch-</w:t>
      </w:r>
      <w:r w:rsidR="00793E20" w:rsidRPr="00D429F6">
        <w:rPr>
          <w:rFonts w:eastAsia="DengXian"/>
          <w:i/>
          <w:iCs/>
        </w:rPr>
        <w:t>BlindDetectionCA</w:t>
      </w:r>
      <w:r w:rsidR="00793E20">
        <w:rPr>
          <w:i/>
          <w:lang w:val="en-US"/>
        </w:rPr>
        <w:t>1</w:t>
      </w:r>
      <w:r>
        <w:rPr>
          <w:rFonts w:eastAsia="DengXian"/>
        </w:rPr>
        <w:t xml:space="preserve">, </w:t>
      </w:r>
      <w:r w:rsidRPr="00D429F6">
        <w:rPr>
          <w:rFonts w:eastAsia="DengXian"/>
          <w:i/>
          <w:iCs/>
        </w:rPr>
        <w:t>pdcch-</w:t>
      </w:r>
      <w:r w:rsidR="00793E20" w:rsidRPr="00D429F6">
        <w:rPr>
          <w:rFonts w:eastAsia="DengXian"/>
          <w:i/>
          <w:iCs/>
        </w:rPr>
        <w:t>BlindDetectionCA</w:t>
      </w:r>
      <w:r w:rsidR="00793E20">
        <w:rPr>
          <w:rFonts w:eastAsia="DengXian"/>
          <w:i/>
          <w:iCs/>
          <w:lang w:val="en-US"/>
        </w:rPr>
        <w:t>2</w:t>
      </w:r>
      <w:r>
        <w:rPr>
          <w:rFonts w:eastAsia="DengXian"/>
          <w:lang w:eastAsia="ko-KR"/>
        </w:rPr>
        <w:t>)</w:t>
      </w:r>
      <w:r w:rsidR="00793E20">
        <w:rPr>
          <w:rFonts w:eastAsia="DengXian"/>
          <w:lang w:val="en-GB" w:eastAsia="ko-KR"/>
        </w:rPr>
        <w:t xml:space="preserve"> </w:t>
      </w:r>
      <w:r w:rsidR="00793E20">
        <w:rPr>
          <w:rFonts w:eastAsia="DengXian"/>
          <w:lang w:eastAsia="ko-KR"/>
        </w:rPr>
        <w:t xml:space="preserve">in </w:t>
      </w:r>
      <w:r w:rsidR="00793E20" w:rsidRPr="00044175">
        <w:rPr>
          <w:rFonts w:eastAsia="DengXian"/>
          <w:i/>
          <w:lang w:eastAsia="ko-KR"/>
        </w:rPr>
        <w:t>pdcch-BlindDetectionMixedList2</w:t>
      </w:r>
      <w:r>
        <w:rPr>
          <w:rFonts w:eastAsia="DengXian"/>
          <w:lang w:val="en-US" w:eastAsia="ko-KR"/>
        </w:rPr>
        <w:t xml:space="preserve">,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cells,r16/r17</m:t>
            </m:r>
          </m:sub>
          <m:sup>
            <m:r>
              <w:rPr>
                <w:rFonts w:ascii="Cambria Math"/>
                <w:lang w:eastAsia="zh-CN"/>
              </w:rPr>
              <m:t>cap</m:t>
            </m:r>
            <m:r>
              <w:rPr>
                <w:rFonts w:ascii="Cambria Math"/>
                <w:lang w:eastAsia="zh-CN"/>
              </w:rPr>
              <m:t>-</m:t>
            </m:r>
            <m:r>
              <w:rPr>
                <w:rFonts w:ascii="Cambria Math"/>
                <w:lang w:eastAsia="zh-CN"/>
              </w:rPr>
              <m:t>r17</m:t>
            </m:r>
          </m:sup>
        </m:sSubSup>
      </m:oMath>
      <w:r w:rsidRPr="00D20E88">
        <w:t xml:space="preserve"> </w:t>
      </w:r>
      <w:r w:rsidRPr="002128CC">
        <w:t xml:space="preserve">is the value of </w:t>
      </w:r>
      <w:r w:rsidRPr="00D429F6">
        <w:rPr>
          <w:i/>
          <w:iCs/>
        </w:rPr>
        <w:t>pdcch-</w:t>
      </w:r>
      <w:r w:rsidR="00793E20" w:rsidRPr="00D429F6">
        <w:rPr>
          <w:i/>
          <w:iCs/>
        </w:rPr>
        <w:t>BlindDetectionCA</w:t>
      </w:r>
      <w:r w:rsidR="00793E20">
        <w:rPr>
          <w:i/>
          <w:lang w:val="en-US"/>
        </w:rPr>
        <w:t>1</w:t>
      </w:r>
      <w:r w:rsidR="00793E20" w:rsidRPr="00A67487">
        <w:rPr>
          <w:i/>
          <w:lang w:val="en-US"/>
        </w:rPr>
        <w:t xml:space="preserve"> </w:t>
      </w:r>
    </w:p>
    <w:p w14:paraId="779EBB11" w14:textId="6FF307A5" w:rsidR="00210B0F" w:rsidRPr="00066F8E" w:rsidRDefault="00210B0F" w:rsidP="00210B0F">
      <w:pPr>
        <w:pStyle w:val="B2"/>
        <w:rPr>
          <w:lang w:val="en-US"/>
        </w:rPr>
      </w:pPr>
      <w:r>
        <w:t>-</w:t>
      </w:r>
      <w:r>
        <w:tab/>
        <w:t xml:space="preserve">else,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cells,r16/r17</m:t>
            </m:r>
          </m:sub>
          <m:sup>
            <m:r>
              <w:rPr>
                <w:rFonts w:ascii="Cambria Math"/>
                <w:lang w:eastAsia="zh-CN"/>
              </w:rPr>
              <m:t>cap</m:t>
            </m:r>
            <m:r>
              <w:rPr>
                <w:rFonts w:ascii="Cambria Math"/>
                <w:lang w:eastAsia="zh-CN"/>
              </w:rPr>
              <m:t>-</m:t>
            </m:r>
            <m:r>
              <w:rPr>
                <w:rFonts w:ascii="Cambria Math"/>
                <w:lang w:eastAsia="zh-CN"/>
              </w:rPr>
              <m:t>r17</m:t>
            </m:r>
          </m:sup>
        </m:sSubSup>
      </m:oMath>
      <w:r>
        <w:t xml:space="preserve"> is the value of </w:t>
      </w:r>
      <w:r>
        <w:rPr>
          <w:i/>
        </w:rPr>
        <w:t>pdcch-BlindDetectionCA</w:t>
      </w:r>
      <w:r w:rsidR="00771270">
        <w:rPr>
          <w:i/>
          <w:lang w:val="en-US"/>
        </w:rPr>
        <w:t>2</w:t>
      </w:r>
      <w:r>
        <w:rPr>
          <w:i/>
          <w:lang w:val="en-US"/>
        </w:rPr>
        <w:t xml:space="preserve"> </w:t>
      </w:r>
      <w:r>
        <w:rPr>
          <w:rFonts w:eastAsia="DengXian"/>
        </w:rPr>
        <w:t xml:space="preserve">from </w:t>
      </w:r>
      <w:r>
        <w:rPr>
          <w:rFonts w:eastAsia="DengXian"/>
          <w:lang w:val="en-US"/>
        </w:rPr>
        <w:t>a</w:t>
      </w:r>
      <w:r>
        <w:rPr>
          <w:rFonts w:eastAsia="DengXian"/>
        </w:rPr>
        <w:t xml:space="preserve"> combination of </w:t>
      </w:r>
      <w:r>
        <w:rPr>
          <w:rFonts w:eastAsia="DengXian"/>
          <w:lang w:eastAsia="ko-KR"/>
        </w:rPr>
        <w:t>(</w:t>
      </w:r>
      <w:r>
        <w:rPr>
          <w:rFonts w:eastAsia="DengXian"/>
          <w:i/>
        </w:rPr>
        <w:t>pdcch-BlindDetectionCA</w:t>
      </w:r>
      <w:r w:rsidR="00771270">
        <w:rPr>
          <w:i/>
          <w:lang w:val="en-US"/>
        </w:rPr>
        <w:t>2</w:t>
      </w:r>
      <w:r>
        <w:rPr>
          <w:rFonts w:eastAsia="DengXian"/>
          <w:i/>
        </w:rPr>
        <w:t>, pdcch-BlindDetectionCA</w:t>
      </w:r>
      <w:r w:rsidR="00771270">
        <w:rPr>
          <w:rFonts w:eastAsia="DengXian"/>
          <w:i/>
          <w:iCs/>
          <w:lang w:val="en-US"/>
        </w:rPr>
        <w:t>3</w:t>
      </w:r>
      <w:r>
        <w:rPr>
          <w:rFonts w:eastAsia="DengXian"/>
          <w:lang w:eastAsia="ko-KR"/>
        </w:rPr>
        <w:t>)</w:t>
      </w:r>
      <w:r>
        <w:rPr>
          <w:rFonts w:eastAsia="DengXian"/>
        </w:rPr>
        <w:t xml:space="preserve"> </w:t>
      </w:r>
      <w:r>
        <w:rPr>
          <w:rFonts w:eastAsia="DengXian"/>
          <w:lang w:val="en-US"/>
        </w:rPr>
        <w:t>that is provided</w:t>
      </w:r>
      <w:r>
        <w:rPr>
          <w:rFonts w:eastAsia="DengXian"/>
        </w:rPr>
        <w:t xml:space="preserve"> by </w:t>
      </w:r>
      <w:r>
        <w:rPr>
          <w:rFonts w:eastAsia="DengXian"/>
          <w:i/>
        </w:rPr>
        <w:t>pdcch-BlindDetectionCA</w:t>
      </w:r>
      <w:r>
        <w:rPr>
          <w:rFonts w:eastAsia="DengXian"/>
          <w:i/>
          <w:lang w:val="en-US"/>
        </w:rPr>
        <w:t>-</w:t>
      </w:r>
      <w:r>
        <w:rPr>
          <w:rFonts w:eastAsia="DengXian"/>
          <w:i/>
        </w:rPr>
        <w:t>Comb</w:t>
      </w:r>
      <w:r>
        <w:rPr>
          <w:rFonts w:eastAsia="DengXian"/>
          <w:i/>
          <w:lang w:val="en-US"/>
        </w:rPr>
        <w:t>I</w:t>
      </w:r>
      <w:r>
        <w:rPr>
          <w:rFonts w:eastAsia="DengXian"/>
          <w:i/>
        </w:rPr>
        <w:t>ndicator</w:t>
      </w:r>
      <w:r>
        <w:rPr>
          <w:rFonts w:eastAsia="DengXian"/>
          <w:i/>
          <w:lang w:val="en-US"/>
        </w:rPr>
        <w:t>-r17</w:t>
      </w:r>
    </w:p>
    <w:p w14:paraId="1F7B8280" w14:textId="77777777" w:rsidR="00210B0F" w:rsidRDefault="00210B0F" w:rsidP="00210B0F">
      <w:pPr>
        <w:rPr>
          <w:lang w:val="en-US"/>
        </w:rPr>
      </w:pPr>
      <w:r>
        <w:rPr>
          <w:lang w:val="en-US"/>
        </w:rPr>
        <w:t>and</w:t>
      </w:r>
    </w:p>
    <w:p w14:paraId="604A1DC6" w14:textId="5AF2E28B" w:rsidR="00210B0F" w:rsidRPr="00996B83" w:rsidRDefault="00210B0F" w:rsidP="00210B0F">
      <w:pPr>
        <w:pStyle w:val="B1"/>
        <w:rPr>
          <w:lang w:val="en-US" w:eastAsia="ko-KR"/>
        </w:rPr>
      </w:pPr>
      <w:r>
        <w:t>-</w:t>
      </w:r>
      <w:r>
        <w:tab/>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cells,r17/r16</m:t>
            </m:r>
          </m:sub>
          <m:sup>
            <m:r>
              <w:rPr>
                <w:rFonts w:ascii="Cambria Math"/>
                <w:lang w:eastAsia="zh-CN"/>
              </w:rPr>
              <m:t>cap</m:t>
            </m:r>
            <m:r>
              <w:rPr>
                <w:rFonts w:ascii="Cambria Math"/>
                <w:lang w:eastAsia="zh-CN"/>
              </w:rPr>
              <m:t>-</m:t>
            </m:r>
            <m:r>
              <w:rPr>
                <w:rFonts w:ascii="Cambria Math"/>
                <w:lang w:eastAsia="zh-CN"/>
              </w:rPr>
              <m:t>r17</m:t>
            </m:r>
          </m:sup>
        </m:sSubSup>
      </m:oMath>
      <w:r>
        <w:t xml:space="preserve"> </w:t>
      </w:r>
      <w:r>
        <w:rPr>
          <w:lang w:eastAsia="ko-KR"/>
        </w:rPr>
        <w:t>is the number of configured downlink cells if</w:t>
      </w:r>
      <w:r w:rsidRPr="008F5160">
        <w:rPr>
          <w:lang w:eastAsia="ko-KR"/>
        </w:rPr>
        <w:t xml:space="preserve"> the UE </w:t>
      </w:r>
      <w:r>
        <w:rPr>
          <w:lang w:eastAsia="ko-KR"/>
        </w:rPr>
        <w:t xml:space="preserve">does not provide </w:t>
      </w:r>
      <w:r w:rsidRPr="00F723E2">
        <w:rPr>
          <w:i/>
        </w:rPr>
        <w:t>pdcch-BlindDetectionCA</w:t>
      </w:r>
      <w:r w:rsidR="00793E20">
        <w:rPr>
          <w:rFonts w:eastAsia="DengXian"/>
          <w:i/>
          <w:iCs/>
          <w:lang w:val="en-US"/>
        </w:rPr>
        <w:t xml:space="preserve">2 </w:t>
      </w:r>
      <w:r w:rsidR="00793E20" w:rsidRPr="00044175">
        <w:rPr>
          <w:lang w:val="en-US"/>
        </w:rPr>
        <w:t>in</w:t>
      </w:r>
      <w:r w:rsidR="00793E20">
        <w:rPr>
          <w:i/>
          <w:lang w:val="en-US"/>
        </w:rPr>
        <w:t xml:space="preserve"> </w:t>
      </w:r>
      <w:r w:rsidR="00793E20" w:rsidRPr="00044175">
        <w:rPr>
          <w:i/>
          <w:lang w:val="en-US"/>
        </w:rPr>
        <w:t>pdcch-BlindDetectionMixedList2</w:t>
      </w:r>
    </w:p>
    <w:p w14:paraId="16651464" w14:textId="77777777" w:rsidR="00210B0F" w:rsidRDefault="00210B0F" w:rsidP="00210B0F">
      <w:pPr>
        <w:pStyle w:val="B1"/>
      </w:pPr>
      <w:r>
        <w:t>-</w:t>
      </w:r>
      <w:r>
        <w:tab/>
      </w:r>
      <w:r w:rsidRPr="002128CC">
        <w:t xml:space="preserve">otherwise, </w:t>
      </w:r>
    </w:p>
    <w:p w14:paraId="3ECC038A" w14:textId="4211F300" w:rsidR="00210B0F" w:rsidRDefault="00210B0F" w:rsidP="00210B0F">
      <w:pPr>
        <w:pStyle w:val="B2"/>
        <w:rPr>
          <w:i/>
          <w:lang w:val="en-US"/>
        </w:rPr>
      </w:pPr>
      <w:r>
        <w:t>-</w:t>
      </w:r>
      <w:r>
        <w:tab/>
        <w:t xml:space="preserve">if the </w:t>
      </w:r>
      <w:r>
        <w:rPr>
          <w:rFonts w:eastAsia="DengXian"/>
          <w:lang w:eastAsia="ko-KR"/>
        </w:rPr>
        <w:t>UE reports only one combination of (</w:t>
      </w:r>
      <w:r>
        <w:rPr>
          <w:rFonts w:eastAsia="DengXian"/>
          <w:i/>
        </w:rPr>
        <w:t>pdcch-</w:t>
      </w:r>
      <w:r w:rsidR="00793E20">
        <w:rPr>
          <w:rFonts w:eastAsia="DengXian"/>
          <w:i/>
        </w:rPr>
        <w:t>BlindDetectionCA</w:t>
      </w:r>
      <w:r w:rsidR="00793E20">
        <w:rPr>
          <w:rFonts w:eastAsia="DengXian"/>
          <w:i/>
          <w:lang w:val="en-US"/>
        </w:rPr>
        <w:t>1</w:t>
      </w:r>
      <w:r>
        <w:rPr>
          <w:rFonts w:eastAsia="DengXian"/>
          <w:i/>
        </w:rPr>
        <w:t>, pdcch-</w:t>
      </w:r>
      <w:r w:rsidR="00793E20">
        <w:rPr>
          <w:rFonts w:eastAsia="DengXian"/>
          <w:i/>
        </w:rPr>
        <w:t>BlindDetectionCA</w:t>
      </w:r>
      <w:r w:rsidR="00793E20">
        <w:rPr>
          <w:rFonts w:eastAsia="DengXian"/>
          <w:i/>
          <w:iCs/>
          <w:lang w:val="en-US"/>
        </w:rPr>
        <w:t>2</w:t>
      </w:r>
      <w:r>
        <w:rPr>
          <w:rFonts w:eastAsia="DengXian"/>
          <w:lang w:val="en-US" w:eastAsia="ko-KR"/>
        </w:rPr>
        <w:t>)</w:t>
      </w:r>
      <w:r w:rsidR="00793E20">
        <w:rPr>
          <w:rFonts w:eastAsia="DengXian"/>
          <w:lang w:val="en-US" w:eastAsia="ko-KR"/>
        </w:rPr>
        <w:t xml:space="preserve"> </w:t>
      </w:r>
      <w:r w:rsidR="00793E20">
        <w:rPr>
          <w:rFonts w:eastAsia="DengXian"/>
          <w:lang w:eastAsia="ko-KR"/>
        </w:rPr>
        <w:t xml:space="preserve">in </w:t>
      </w:r>
      <w:r w:rsidR="00793E20" w:rsidRPr="00044175">
        <w:rPr>
          <w:rFonts w:eastAsia="DengXian"/>
          <w:i/>
          <w:lang w:eastAsia="ko-KR"/>
        </w:rPr>
        <w:t>pdcch-BlindDetectionMixedList2</w:t>
      </w:r>
      <w:r>
        <w:rPr>
          <w:rFonts w:eastAsia="DengXian"/>
          <w:lang w:val="en-US" w:eastAsia="ko-KR"/>
        </w:rPr>
        <w:t xml:space="preserve">,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cells,r17/r16</m:t>
            </m:r>
          </m:sub>
          <m:sup>
            <m:r>
              <w:rPr>
                <w:rFonts w:ascii="Cambria Math"/>
                <w:lang w:eastAsia="zh-CN"/>
              </w:rPr>
              <m:t>cap</m:t>
            </m:r>
            <m:r>
              <w:rPr>
                <w:rFonts w:ascii="Cambria Math"/>
                <w:lang w:eastAsia="zh-CN"/>
              </w:rPr>
              <m:t>-</m:t>
            </m:r>
            <m:r>
              <w:rPr>
                <w:rFonts w:ascii="Cambria Math"/>
                <w:lang w:eastAsia="zh-CN"/>
              </w:rPr>
              <m:t>r17</m:t>
            </m:r>
          </m:sup>
        </m:sSubSup>
      </m:oMath>
      <w:r w:rsidRPr="00D20E88">
        <w:t xml:space="preserve"> </w:t>
      </w:r>
      <w:r w:rsidRPr="002128CC">
        <w:t xml:space="preserve">is the value of </w:t>
      </w:r>
      <w:r w:rsidRPr="002128CC">
        <w:rPr>
          <w:i/>
        </w:rPr>
        <w:t>pdcch-</w:t>
      </w:r>
      <w:r w:rsidR="00793E20" w:rsidRPr="002128CC">
        <w:rPr>
          <w:i/>
        </w:rPr>
        <w:t>BlindDetectionCA</w:t>
      </w:r>
      <w:r w:rsidR="00793E20">
        <w:rPr>
          <w:rFonts w:eastAsia="DengXian"/>
          <w:i/>
          <w:iCs/>
          <w:lang w:val="en-US"/>
        </w:rPr>
        <w:t>2</w:t>
      </w:r>
    </w:p>
    <w:p w14:paraId="33B09C5A" w14:textId="33EAE648" w:rsidR="00210B0F" w:rsidRDefault="00210B0F" w:rsidP="00210B0F">
      <w:pPr>
        <w:pStyle w:val="B2"/>
        <w:rPr>
          <w:rFonts w:eastAsia="DengXian"/>
          <w:i/>
          <w:lang w:val="en-US"/>
        </w:rPr>
      </w:pPr>
      <w:r>
        <w:t>-</w:t>
      </w:r>
      <w:r>
        <w:tab/>
        <w:t xml:space="preserve">else,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cells,r17/r16</m:t>
            </m:r>
          </m:sub>
          <m:sup>
            <m:r>
              <w:rPr>
                <w:rFonts w:ascii="Cambria Math"/>
                <w:lang w:eastAsia="zh-CN"/>
              </w:rPr>
              <m:t>cap</m:t>
            </m:r>
            <m:r>
              <w:rPr>
                <w:rFonts w:ascii="Cambria Math"/>
                <w:lang w:eastAsia="zh-CN"/>
              </w:rPr>
              <m:t>-</m:t>
            </m:r>
            <m:r>
              <w:rPr>
                <w:rFonts w:ascii="Cambria Math"/>
                <w:lang w:eastAsia="zh-CN"/>
              </w:rPr>
              <m:t>r17</m:t>
            </m:r>
          </m:sup>
        </m:sSubSup>
      </m:oMath>
      <w:r>
        <w:t xml:space="preserve"> is the value of </w:t>
      </w:r>
      <w:r>
        <w:rPr>
          <w:i/>
        </w:rPr>
        <w:t>pdcch-BlindDetectionCA</w:t>
      </w:r>
      <w:r w:rsidR="00771270">
        <w:rPr>
          <w:rFonts w:eastAsia="DengXian"/>
          <w:i/>
          <w:iCs/>
          <w:lang w:val="en-US"/>
        </w:rPr>
        <w:t>3</w:t>
      </w:r>
      <w:r>
        <w:rPr>
          <w:i/>
          <w:lang w:val="en-US"/>
        </w:rPr>
        <w:t xml:space="preserve"> </w:t>
      </w:r>
      <w:r>
        <w:rPr>
          <w:rFonts w:eastAsia="DengXian"/>
        </w:rPr>
        <w:t xml:space="preserve">from </w:t>
      </w:r>
      <w:r>
        <w:rPr>
          <w:rFonts w:eastAsia="DengXian"/>
          <w:lang w:val="en-US"/>
        </w:rPr>
        <w:t>a</w:t>
      </w:r>
      <w:r>
        <w:rPr>
          <w:rFonts w:eastAsia="DengXian"/>
        </w:rPr>
        <w:t xml:space="preserve"> combination of </w:t>
      </w:r>
      <w:r>
        <w:rPr>
          <w:rFonts w:eastAsia="DengXian"/>
          <w:lang w:eastAsia="ko-KR"/>
        </w:rPr>
        <w:t>(</w:t>
      </w:r>
      <w:r>
        <w:rPr>
          <w:rFonts w:eastAsia="DengXian"/>
          <w:i/>
        </w:rPr>
        <w:t>pdcch-BlindDetectionCA</w:t>
      </w:r>
      <w:r w:rsidR="00771270">
        <w:rPr>
          <w:rFonts w:eastAsia="DengXian"/>
          <w:i/>
          <w:lang w:val="en-US"/>
        </w:rPr>
        <w:t>2</w:t>
      </w:r>
      <w:r>
        <w:rPr>
          <w:rFonts w:eastAsia="DengXian"/>
          <w:i/>
        </w:rPr>
        <w:t>, pdcch-BlindDetectionCA</w:t>
      </w:r>
      <w:r w:rsidR="00771270">
        <w:rPr>
          <w:rFonts w:eastAsia="DengXian"/>
          <w:i/>
          <w:iCs/>
          <w:lang w:val="en-US"/>
        </w:rPr>
        <w:t>3</w:t>
      </w:r>
      <w:r>
        <w:rPr>
          <w:rFonts w:eastAsia="DengXian"/>
          <w:lang w:eastAsia="ko-KR"/>
        </w:rPr>
        <w:t>)</w:t>
      </w:r>
      <w:r>
        <w:rPr>
          <w:rFonts w:eastAsia="DengXian"/>
        </w:rPr>
        <w:t xml:space="preserve"> </w:t>
      </w:r>
      <w:r>
        <w:rPr>
          <w:rFonts w:eastAsia="DengXian"/>
          <w:lang w:val="en-US"/>
        </w:rPr>
        <w:t>that is provided</w:t>
      </w:r>
      <w:r>
        <w:rPr>
          <w:rFonts w:eastAsia="DengXian"/>
        </w:rPr>
        <w:t xml:space="preserve"> by </w:t>
      </w:r>
      <w:r>
        <w:rPr>
          <w:rFonts w:eastAsia="DengXian"/>
          <w:i/>
        </w:rPr>
        <w:t>pdcch-BlindDetectionCA</w:t>
      </w:r>
      <w:r>
        <w:rPr>
          <w:rFonts w:eastAsia="DengXian"/>
          <w:i/>
          <w:lang w:val="en-US"/>
        </w:rPr>
        <w:t>-</w:t>
      </w:r>
      <w:r>
        <w:rPr>
          <w:rFonts w:eastAsia="DengXian"/>
          <w:i/>
        </w:rPr>
        <w:t>Comb</w:t>
      </w:r>
      <w:r>
        <w:rPr>
          <w:rFonts w:eastAsia="DengXian"/>
          <w:i/>
          <w:lang w:val="en-US"/>
        </w:rPr>
        <w:t>I</w:t>
      </w:r>
      <w:r>
        <w:rPr>
          <w:rFonts w:eastAsia="DengXian"/>
          <w:i/>
        </w:rPr>
        <w:t>ndicator</w:t>
      </w:r>
      <w:r>
        <w:rPr>
          <w:rFonts w:eastAsia="DengXian"/>
          <w:i/>
          <w:lang w:val="en-US"/>
        </w:rPr>
        <w:t>-r17</w:t>
      </w:r>
    </w:p>
    <w:p w14:paraId="196AECA8" w14:textId="77777777" w:rsidR="00210B0F" w:rsidRDefault="00210B0F" w:rsidP="00210B0F">
      <w:pPr>
        <w:tabs>
          <w:tab w:val="left" w:pos="360"/>
        </w:tabs>
        <w:rPr>
          <w:lang w:eastAsia="ko-KR"/>
        </w:rPr>
      </w:pPr>
      <w:r>
        <w:rPr>
          <w:lang w:eastAsia="ko-KR"/>
        </w:rPr>
        <w:t xml:space="preserve">If a UE indicates in </w:t>
      </w:r>
      <w:r>
        <w:rPr>
          <w:i/>
          <w:iCs/>
        </w:rPr>
        <w:t>UE-NR-Capability</w:t>
      </w:r>
      <w:r>
        <w:rPr>
          <w:lang w:eastAsia="ko-KR"/>
        </w:rPr>
        <w:t xml:space="preserve"> a carrier aggregation capability larger than one downlink cell with </w:t>
      </w:r>
      <w:r>
        <w:rPr>
          <w:i/>
          <w:lang w:val="en-US"/>
        </w:rPr>
        <w:t>monitoringCapabilityConfig</w:t>
      </w:r>
      <w:r>
        <w:rPr>
          <w:lang w:val="en-US"/>
        </w:rPr>
        <w:t xml:space="preserve"> = </w:t>
      </w:r>
      <w:r>
        <w:rPr>
          <w:i/>
        </w:rPr>
        <w:t>r15monitoringcapability</w:t>
      </w:r>
      <w:r>
        <w:rPr>
          <w:lang w:eastAsia="ko-KR"/>
        </w:rPr>
        <w:t>, or larger than one downlink cell with</w:t>
      </w:r>
      <w:r>
        <w:rPr>
          <w:i/>
          <w:lang w:val="en-US"/>
        </w:rPr>
        <w:t xml:space="preserve"> monitoringCapabilityConfig</w:t>
      </w:r>
      <w:r>
        <w:rPr>
          <w:lang w:val="en-US"/>
        </w:rPr>
        <w:t xml:space="preserve"> = </w:t>
      </w:r>
      <w:r>
        <w:rPr>
          <w:i/>
        </w:rPr>
        <w:t>r16monitoringcapability</w:t>
      </w:r>
      <w:r>
        <w:rPr>
          <w:lang w:eastAsia="ko-KR"/>
        </w:rPr>
        <w:t xml:space="preserve">, or larger than one downlink cell with </w:t>
      </w:r>
      <w:r>
        <w:rPr>
          <w:i/>
          <w:lang w:val="en-US"/>
        </w:rPr>
        <w:t>monitoringCapabilityConfig</w:t>
      </w:r>
      <w:r>
        <w:rPr>
          <w:lang w:val="en-US"/>
        </w:rPr>
        <w:t xml:space="preserve"> = </w:t>
      </w:r>
      <w:r>
        <w:rPr>
          <w:i/>
        </w:rPr>
        <w:t>r17monitoringcapability</w:t>
      </w:r>
      <w:r>
        <w:rPr>
          <w:lang w:eastAsia="ko-KR"/>
        </w:rPr>
        <w:t xml:space="preserve">, the UE includes in </w:t>
      </w:r>
      <w:r>
        <w:rPr>
          <w:i/>
          <w:iCs/>
        </w:rPr>
        <w:t>UE-NR-Capability</w:t>
      </w:r>
      <w:r>
        <w:rPr>
          <w:lang w:eastAsia="ko-KR"/>
        </w:rPr>
        <w:t xml:space="preserve"> an indication for a maximum number of PDCCH candidates and a maximum number of non-overlapped CCEs the UE can monitor for downlink cells with </w:t>
      </w:r>
      <w:r>
        <w:rPr>
          <w:i/>
          <w:lang w:val="en-US"/>
        </w:rPr>
        <w:t>monitoringCapabilityConfig</w:t>
      </w:r>
      <w:r>
        <w:rPr>
          <w:lang w:val="en-US"/>
        </w:rPr>
        <w:t xml:space="preserve"> = </w:t>
      </w:r>
      <w:r>
        <w:rPr>
          <w:i/>
        </w:rPr>
        <w:t>r15monitoringcapability</w:t>
      </w:r>
      <w:r>
        <w:rPr>
          <w:lang w:eastAsia="ko-KR"/>
        </w:rPr>
        <w:t xml:space="preserve">, or for downlink cells with </w:t>
      </w:r>
      <w:r>
        <w:rPr>
          <w:i/>
          <w:lang w:val="en-US"/>
        </w:rPr>
        <w:t>monitoringCapabilityConfig</w:t>
      </w:r>
      <w:r>
        <w:rPr>
          <w:lang w:val="en-US"/>
        </w:rPr>
        <w:t xml:space="preserve"> = </w:t>
      </w:r>
      <w:r>
        <w:rPr>
          <w:i/>
        </w:rPr>
        <w:t>r16monitoringcapability</w:t>
      </w:r>
      <w:r>
        <w:rPr>
          <w:lang w:eastAsia="ko-KR"/>
        </w:rPr>
        <w:t xml:space="preserve">, or for downlink cells with </w:t>
      </w:r>
      <w:r>
        <w:rPr>
          <w:i/>
          <w:lang w:val="en-US"/>
        </w:rPr>
        <w:t>monitoringCapabilityConfig</w:t>
      </w:r>
      <w:r>
        <w:rPr>
          <w:lang w:val="en-US"/>
        </w:rPr>
        <w:t xml:space="preserve"> = </w:t>
      </w:r>
      <w:r>
        <w:rPr>
          <w:i/>
        </w:rPr>
        <w:t>r17monitoringcapability</w:t>
      </w:r>
      <w:r>
        <w:t xml:space="preserve"> </w:t>
      </w:r>
      <w:r>
        <w:rPr>
          <w:lang w:eastAsia="ko-KR"/>
        </w:rPr>
        <w:t xml:space="preserve">when the UE is configured for carrier aggregation operation over more than three downlink cells with at least one downlink cell with </w:t>
      </w:r>
      <w:r>
        <w:rPr>
          <w:i/>
          <w:lang w:val="en-US"/>
        </w:rPr>
        <w:t>monitoringCapabilityConfig</w:t>
      </w:r>
      <w:r>
        <w:rPr>
          <w:lang w:val="en-US"/>
        </w:rPr>
        <w:t xml:space="preserve"> = </w:t>
      </w:r>
      <w:r>
        <w:rPr>
          <w:i/>
        </w:rPr>
        <w:t>r15monitoringcapability</w:t>
      </w:r>
      <w:r>
        <w:rPr>
          <w:lang w:eastAsia="ko-KR"/>
        </w:rPr>
        <w:t xml:space="preserve">, at least one downlink cell with </w:t>
      </w:r>
      <w:r>
        <w:rPr>
          <w:i/>
          <w:lang w:val="en-US"/>
        </w:rPr>
        <w:t>monitoringCapabilityConfig</w:t>
      </w:r>
      <w:r>
        <w:rPr>
          <w:lang w:val="en-US"/>
        </w:rPr>
        <w:t xml:space="preserve"> = </w:t>
      </w:r>
      <w:r>
        <w:rPr>
          <w:i/>
        </w:rPr>
        <w:t>r16monitoringcapability</w:t>
      </w:r>
      <w:r>
        <w:rPr>
          <w:lang w:eastAsia="ko-KR"/>
        </w:rPr>
        <w:t xml:space="preserve"> and at least one downlink cell with </w:t>
      </w:r>
      <w:r>
        <w:rPr>
          <w:i/>
          <w:lang w:val="en-US"/>
        </w:rPr>
        <w:t>monitoringCapabilityConfig</w:t>
      </w:r>
      <w:r>
        <w:rPr>
          <w:lang w:val="en-US"/>
        </w:rPr>
        <w:t xml:space="preserve"> = </w:t>
      </w:r>
      <w:r>
        <w:rPr>
          <w:i/>
        </w:rPr>
        <w:t>r17monitoringcapability</w:t>
      </w:r>
      <w:r>
        <w:rPr>
          <w:lang w:eastAsia="ko-KR"/>
        </w:rPr>
        <w:t xml:space="preserve">. When a UE is not configured for NR-DC operation, </w:t>
      </w:r>
      <w:r>
        <w:t>the UE determines</w:t>
      </w:r>
      <w:r>
        <w:rPr>
          <w:lang w:eastAsia="ko-KR"/>
        </w:rPr>
        <w:t xml:space="preserve"> a capability to monitor a maximum number of PDCCH candidates and a maximum number of non-overlapped CCEs per slot or per span or per 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Pr>
          <w:lang w:eastAsia="zh-CN"/>
        </w:rPr>
        <w:t xml:space="preserve"> </w:t>
      </w:r>
      <w:r>
        <w:rPr>
          <w:lang w:eastAsia="ko-KR"/>
        </w:rPr>
        <w:t xml:space="preserve">slots that corresponds to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cells,r15/{r16,r17}</m:t>
            </m:r>
          </m:sub>
          <m:sup>
            <m:r>
              <w:rPr>
                <w:rFonts w:ascii="Cambria Math"/>
                <w:lang w:eastAsia="zh-CN"/>
              </w:rPr>
              <m:t>cap</m:t>
            </m:r>
            <m:r>
              <w:rPr>
                <w:rFonts w:ascii="Cambria Math"/>
                <w:lang w:eastAsia="zh-CN"/>
              </w:rPr>
              <m:t>-</m:t>
            </m:r>
            <m:r>
              <w:rPr>
                <w:rFonts w:ascii="Cambria Math"/>
                <w:lang w:eastAsia="zh-CN"/>
              </w:rPr>
              <m:t>r17</m:t>
            </m:r>
          </m:sup>
        </m:sSubSup>
      </m:oMath>
      <w:r>
        <w:t xml:space="preserve"> downlink cells or to</w:t>
      </w:r>
      <w:r>
        <w:rPr>
          <w:lang w:eastAsia="ko-KR"/>
        </w:rPr>
        <w:t xml:space="preserve">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cells,r16/{r15,r17}</m:t>
            </m:r>
          </m:sub>
          <m:sup>
            <m:r>
              <w:rPr>
                <w:rFonts w:ascii="Cambria Math"/>
                <w:lang w:eastAsia="zh-CN"/>
              </w:rPr>
              <m:t>cap</m:t>
            </m:r>
            <m:r>
              <w:rPr>
                <w:rFonts w:ascii="Cambria Math"/>
                <w:lang w:eastAsia="zh-CN"/>
              </w:rPr>
              <m:t>-</m:t>
            </m:r>
            <m:r>
              <w:rPr>
                <w:rFonts w:ascii="Cambria Math"/>
                <w:lang w:eastAsia="zh-CN"/>
              </w:rPr>
              <m:t>r17</m:t>
            </m:r>
          </m:sup>
        </m:sSubSup>
      </m:oMath>
      <w:r>
        <w:t xml:space="preserve"> downlink cells or to</w:t>
      </w:r>
      <w:r>
        <w:rPr>
          <w:lang w:eastAsia="ko-KR"/>
        </w:rPr>
        <w:t xml:space="preserve">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cells,r17/{r15,r16}</m:t>
            </m:r>
          </m:sub>
          <m:sup>
            <m:r>
              <w:rPr>
                <w:rFonts w:ascii="Cambria Math"/>
                <w:lang w:eastAsia="zh-CN"/>
              </w:rPr>
              <m:t>cap</m:t>
            </m:r>
            <m:r>
              <w:rPr>
                <w:rFonts w:ascii="Cambria Math"/>
                <w:lang w:eastAsia="zh-CN"/>
              </w:rPr>
              <m:t>-</m:t>
            </m:r>
            <m:r>
              <w:rPr>
                <w:rFonts w:ascii="Cambria Math"/>
                <w:lang w:eastAsia="zh-CN"/>
              </w:rPr>
              <m:t>r17</m:t>
            </m:r>
          </m:sup>
        </m:sSubSup>
      </m:oMath>
      <w:r>
        <w:t xml:space="preserve"> downlink cells, respectively, where</w:t>
      </w:r>
    </w:p>
    <w:p w14:paraId="3605B935" w14:textId="71A42AC3" w:rsidR="00210B0F" w:rsidRPr="00996B83" w:rsidRDefault="00210B0F" w:rsidP="00210B0F">
      <w:pPr>
        <w:pStyle w:val="B1"/>
        <w:rPr>
          <w:lang w:val="en-US" w:eastAsia="ko-KR"/>
        </w:rPr>
      </w:pPr>
      <w:r>
        <w:t>-</w:t>
      </w:r>
      <w:r>
        <w:tab/>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cells,r15/{r16,r17}</m:t>
            </m:r>
          </m:sub>
          <m:sup>
            <m:r>
              <w:rPr>
                <w:rFonts w:ascii="Cambria Math"/>
                <w:lang w:eastAsia="zh-CN"/>
              </w:rPr>
              <m:t>cap</m:t>
            </m:r>
            <m:r>
              <w:rPr>
                <w:rFonts w:ascii="Cambria Math"/>
                <w:lang w:eastAsia="zh-CN"/>
              </w:rPr>
              <m:t>-</m:t>
            </m:r>
            <m:r>
              <w:rPr>
                <w:rFonts w:ascii="Cambria Math"/>
                <w:lang w:eastAsia="zh-CN"/>
              </w:rPr>
              <m:t>r17</m:t>
            </m:r>
          </m:sup>
        </m:sSubSup>
      </m:oMath>
      <w:r>
        <w:t xml:space="preserve"> </w:t>
      </w:r>
      <w:r>
        <w:rPr>
          <w:lang w:eastAsia="ko-KR"/>
        </w:rPr>
        <w:t>is the number of configured downlink cells if</w:t>
      </w:r>
      <w:r w:rsidRPr="008F5160">
        <w:rPr>
          <w:lang w:eastAsia="ko-KR"/>
        </w:rPr>
        <w:t xml:space="preserve"> the UE </w:t>
      </w:r>
      <w:r>
        <w:rPr>
          <w:lang w:eastAsia="ko-KR"/>
        </w:rPr>
        <w:t xml:space="preserve">does not provide </w:t>
      </w:r>
      <w:r w:rsidR="001C0CD7" w:rsidRPr="00D429F6">
        <w:rPr>
          <w:rFonts w:eastAsia="DengXian"/>
          <w:i/>
          <w:iCs/>
        </w:rPr>
        <w:t>pdcch-BlindDetectionCA</w:t>
      </w:r>
      <w:r w:rsidR="001C0CD7">
        <w:rPr>
          <w:i/>
          <w:iCs/>
          <w:lang w:val="en-US"/>
        </w:rPr>
        <w:t>1</w:t>
      </w:r>
      <w:r w:rsidR="00793E20">
        <w:rPr>
          <w:i/>
          <w:iCs/>
          <w:lang w:val="en-US"/>
        </w:rPr>
        <w:t xml:space="preserve"> </w:t>
      </w:r>
      <w:r w:rsidR="00793E20" w:rsidRPr="00260D82">
        <w:rPr>
          <w:iCs/>
          <w:lang w:val="en-US"/>
        </w:rPr>
        <w:t>in</w:t>
      </w:r>
      <w:r w:rsidR="00793E20">
        <w:rPr>
          <w:i/>
          <w:iCs/>
          <w:lang w:val="en-US"/>
        </w:rPr>
        <w:t xml:space="preserve"> </w:t>
      </w:r>
      <w:r w:rsidR="00793E20" w:rsidRPr="00260D82">
        <w:rPr>
          <w:i/>
          <w:iCs/>
          <w:lang w:val="en-US"/>
        </w:rPr>
        <w:t>pdcch-BlindDetectionMixedList3</w:t>
      </w:r>
    </w:p>
    <w:p w14:paraId="149EE75F" w14:textId="77777777" w:rsidR="00210B0F" w:rsidRDefault="00210B0F" w:rsidP="00210B0F">
      <w:pPr>
        <w:pStyle w:val="B1"/>
      </w:pPr>
      <w:r>
        <w:t>-</w:t>
      </w:r>
      <w:r>
        <w:tab/>
      </w:r>
      <w:r w:rsidRPr="002128CC">
        <w:t xml:space="preserve">otherwise, </w:t>
      </w:r>
    </w:p>
    <w:p w14:paraId="2F1ED512" w14:textId="28348CCD" w:rsidR="00210B0F" w:rsidRDefault="00210B0F" w:rsidP="00210B0F">
      <w:pPr>
        <w:pStyle w:val="B2"/>
        <w:rPr>
          <w:i/>
          <w:lang w:val="en-US"/>
        </w:rPr>
      </w:pPr>
      <w:r>
        <w:rPr>
          <w:lang w:val="en-US"/>
        </w:rPr>
        <w:lastRenderedPageBreak/>
        <w:t>-</w:t>
      </w:r>
      <w:r>
        <w:rPr>
          <w:lang w:val="en-US"/>
        </w:rPr>
        <w:tab/>
      </w:r>
      <w:r>
        <w:t xml:space="preserve">if the </w:t>
      </w:r>
      <w:r>
        <w:rPr>
          <w:rFonts w:eastAsia="DengXian"/>
          <w:lang w:eastAsia="ko-KR"/>
        </w:rPr>
        <w:t>UE reports only one combination of (</w:t>
      </w:r>
      <w:r w:rsidRPr="00D429F6">
        <w:rPr>
          <w:rFonts w:eastAsia="DengXian"/>
          <w:i/>
          <w:iCs/>
        </w:rPr>
        <w:t>pdcch-BlindDetectionCA</w:t>
      </w:r>
      <w:r w:rsidR="00086805">
        <w:rPr>
          <w:i/>
          <w:iCs/>
          <w:lang w:val="en-US"/>
        </w:rPr>
        <w:t>1</w:t>
      </w:r>
      <w:r>
        <w:rPr>
          <w:rFonts w:eastAsia="DengXian"/>
        </w:rPr>
        <w:t xml:space="preserve">, </w:t>
      </w:r>
      <w:r w:rsidRPr="00D429F6">
        <w:rPr>
          <w:rFonts w:eastAsia="DengXian"/>
          <w:i/>
          <w:iCs/>
        </w:rPr>
        <w:t>pdcch-BlindDetectionCA</w:t>
      </w:r>
      <w:r w:rsidR="00086805">
        <w:rPr>
          <w:i/>
          <w:iCs/>
          <w:lang w:val="en-US"/>
        </w:rPr>
        <w:t>2</w:t>
      </w:r>
      <w:r>
        <w:rPr>
          <w:rFonts w:eastAsia="DengXian"/>
        </w:rPr>
        <w:t xml:space="preserve">, </w:t>
      </w:r>
      <w:r w:rsidRPr="00D429F6">
        <w:rPr>
          <w:rFonts w:eastAsia="DengXian"/>
          <w:i/>
          <w:iCs/>
        </w:rPr>
        <w:t>pdcch-BlindDetectionCA</w:t>
      </w:r>
      <w:r w:rsidR="00086805">
        <w:rPr>
          <w:rFonts w:eastAsia="DengXian"/>
          <w:i/>
          <w:iCs/>
          <w:lang w:val="en-US"/>
        </w:rPr>
        <w:t>3</w:t>
      </w:r>
      <w:r>
        <w:rPr>
          <w:rFonts w:eastAsia="DengXian"/>
          <w:lang w:eastAsia="ko-KR"/>
        </w:rPr>
        <w:t>)</w:t>
      </w:r>
      <w:r w:rsidR="00793E20">
        <w:rPr>
          <w:rFonts w:eastAsia="DengXian"/>
          <w:lang w:val="en-GB" w:eastAsia="ko-KR"/>
        </w:rPr>
        <w:t xml:space="preserve"> </w:t>
      </w:r>
      <w:r w:rsidR="00793E20" w:rsidRPr="00260D82">
        <w:rPr>
          <w:iCs/>
          <w:lang w:val="en-US"/>
        </w:rPr>
        <w:t>in</w:t>
      </w:r>
      <w:r w:rsidR="00793E20">
        <w:rPr>
          <w:i/>
          <w:iCs/>
          <w:lang w:val="en-US"/>
        </w:rPr>
        <w:t xml:space="preserve"> </w:t>
      </w:r>
      <w:r w:rsidR="00793E20" w:rsidRPr="00260D82">
        <w:rPr>
          <w:i/>
          <w:iCs/>
          <w:lang w:val="en-US"/>
        </w:rPr>
        <w:t>pdcch-BlindDetectionMixedList3</w:t>
      </w:r>
      <w:r>
        <w:rPr>
          <w:rFonts w:eastAsia="DengXian"/>
          <w:lang w:val="en-US" w:eastAsia="ko-KR"/>
        </w:rPr>
        <w:t xml:space="preserve">,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cells,r15/{r16,r17}</m:t>
            </m:r>
          </m:sub>
          <m:sup>
            <m:r>
              <w:rPr>
                <w:rFonts w:ascii="Cambria Math"/>
                <w:lang w:eastAsia="zh-CN"/>
              </w:rPr>
              <m:t>cap</m:t>
            </m:r>
            <m:r>
              <w:rPr>
                <w:rFonts w:ascii="Cambria Math"/>
                <w:lang w:eastAsia="zh-CN"/>
              </w:rPr>
              <m:t>-</m:t>
            </m:r>
            <m:r>
              <w:rPr>
                <w:rFonts w:ascii="Cambria Math"/>
                <w:lang w:eastAsia="zh-CN"/>
              </w:rPr>
              <m:t>r17</m:t>
            </m:r>
          </m:sup>
        </m:sSubSup>
      </m:oMath>
      <w:r w:rsidRPr="00D20E88">
        <w:t xml:space="preserve"> </w:t>
      </w:r>
      <w:r w:rsidRPr="002128CC">
        <w:t xml:space="preserve">is the value of </w:t>
      </w:r>
      <w:r w:rsidR="001C0CD7" w:rsidRPr="00D429F6">
        <w:rPr>
          <w:rFonts w:eastAsia="DengXian"/>
          <w:i/>
          <w:iCs/>
        </w:rPr>
        <w:t>pdcch-BlindDetectionCA</w:t>
      </w:r>
      <w:r w:rsidR="001C0CD7">
        <w:rPr>
          <w:i/>
          <w:iCs/>
          <w:lang w:val="en-US"/>
        </w:rPr>
        <w:t>1</w:t>
      </w:r>
      <w:r w:rsidRPr="00A67487">
        <w:rPr>
          <w:i/>
          <w:lang w:val="en-US"/>
        </w:rPr>
        <w:t xml:space="preserve"> </w:t>
      </w:r>
    </w:p>
    <w:p w14:paraId="4CE0D7CC" w14:textId="19BBC4AF" w:rsidR="00210B0F" w:rsidRPr="00066F8E" w:rsidRDefault="00210B0F" w:rsidP="00210B0F">
      <w:pPr>
        <w:pStyle w:val="B2"/>
        <w:rPr>
          <w:lang w:val="en-US"/>
        </w:rPr>
      </w:pPr>
      <w:r>
        <w:t>-</w:t>
      </w:r>
      <w:r>
        <w:tab/>
        <w:t xml:space="preserve">else,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cells,r15/{r16,r17}</m:t>
            </m:r>
          </m:sub>
          <m:sup>
            <m:r>
              <w:rPr>
                <w:rFonts w:ascii="Cambria Math"/>
                <w:lang w:eastAsia="zh-CN"/>
              </w:rPr>
              <m:t>cap</m:t>
            </m:r>
            <m:r>
              <w:rPr>
                <w:rFonts w:ascii="Cambria Math"/>
                <w:lang w:eastAsia="zh-CN"/>
              </w:rPr>
              <m:t>-</m:t>
            </m:r>
            <m:r>
              <w:rPr>
                <w:rFonts w:ascii="Cambria Math"/>
                <w:lang w:eastAsia="zh-CN"/>
              </w:rPr>
              <m:t>r17</m:t>
            </m:r>
          </m:sup>
        </m:sSubSup>
      </m:oMath>
      <w:r>
        <w:t xml:space="preserve"> is the value of </w:t>
      </w:r>
      <w:r w:rsidR="001C0CD7" w:rsidRPr="00D429F6">
        <w:rPr>
          <w:rFonts w:eastAsia="DengXian"/>
          <w:i/>
          <w:iCs/>
        </w:rPr>
        <w:t>pdcch-BlindDetectionCA</w:t>
      </w:r>
      <w:r w:rsidR="001C0CD7">
        <w:rPr>
          <w:i/>
          <w:iCs/>
          <w:lang w:val="en-US"/>
        </w:rPr>
        <w:t>1</w:t>
      </w:r>
      <w:r>
        <w:rPr>
          <w:i/>
          <w:lang w:val="en-US"/>
        </w:rPr>
        <w:t xml:space="preserve"> </w:t>
      </w:r>
      <w:r>
        <w:rPr>
          <w:rFonts w:eastAsia="DengXian"/>
        </w:rPr>
        <w:t xml:space="preserve">from </w:t>
      </w:r>
      <w:r>
        <w:rPr>
          <w:rFonts w:eastAsia="DengXian"/>
          <w:lang w:val="en-US"/>
        </w:rPr>
        <w:t>a</w:t>
      </w:r>
      <w:r>
        <w:rPr>
          <w:rFonts w:eastAsia="DengXian"/>
        </w:rPr>
        <w:t xml:space="preserve"> combination of </w:t>
      </w:r>
      <w:r>
        <w:rPr>
          <w:rFonts w:eastAsia="DengXian"/>
          <w:lang w:eastAsia="ko-KR"/>
        </w:rPr>
        <w:t>(</w:t>
      </w:r>
      <w:r w:rsidRPr="00D429F6">
        <w:rPr>
          <w:rFonts w:eastAsia="DengXian"/>
          <w:i/>
          <w:iCs/>
        </w:rPr>
        <w:t>pdcch-BlindDetectionCA</w:t>
      </w:r>
      <w:r w:rsidR="00086805">
        <w:rPr>
          <w:i/>
          <w:iCs/>
          <w:lang w:val="en-US"/>
        </w:rPr>
        <w:t>1</w:t>
      </w:r>
      <w:r>
        <w:rPr>
          <w:rFonts w:eastAsia="DengXian"/>
        </w:rPr>
        <w:t xml:space="preserve">, </w:t>
      </w:r>
      <w:r>
        <w:rPr>
          <w:rFonts w:eastAsia="DengXian"/>
          <w:i/>
        </w:rPr>
        <w:t>pdcch-BlindDetectionCA</w:t>
      </w:r>
      <w:r w:rsidR="00086805">
        <w:rPr>
          <w:i/>
          <w:iCs/>
          <w:lang w:val="en-US"/>
        </w:rPr>
        <w:t>2</w:t>
      </w:r>
      <w:r>
        <w:rPr>
          <w:rFonts w:eastAsia="DengXian"/>
          <w:i/>
        </w:rPr>
        <w:t>, pdcch-BlindDetectionCA</w:t>
      </w:r>
      <w:r w:rsidR="00086805">
        <w:rPr>
          <w:rFonts w:eastAsia="DengXian"/>
          <w:i/>
          <w:iCs/>
          <w:lang w:val="en-US"/>
        </w:rPr>
        <w:t>3</w:t>
      </w:r>
      <w:r>
        <w:rPr>
          <w:rFonts w:eastAsia="DengXian"/>
          <w:lang w:eastAsia="ko-KR"/>
        </w:rPr>
        <w:t>)</w:t>
      </w:r>
      <w:r>
        <w:rPr>
          <w:rFonts w:eastAsia="DengXian"/>
        </w:rPr>
        <w:t xml:space="preserve"> </w:t>
      </w:r>
      <w:r>
        <w:rPr>
          <w:rFonts w:eastAsia="DengXian"/>
          <w:lang w:val="en-US"/>
        </w:rPr>
        <w:t>that is provided</w:t>
      </w:r>
      <w:r>
        <w:rPr>
          <w:rFonts w:eastAsia="DengXian"/>
        </w:rPr>
        <w:t xml:space="preserve"> by </w:t>
      </w:r>
      <w:r>
        <w:rPr>
          <w:rFonts w:eastAsia="DengXian"/>
          <w:i/>
        </w:rPr>
        <w:t>pdcch-BlindDetectionCA</w:t>
      </w:r>
      <w:r>
        <w:rPr>
          <w:rFonts w:eastAsia="DengXian"/>
          <w:i/>
          <w:lang w:val="en-US"/>
        </w:rPr>
        <w:t>-</w:t>
      </w:r>
      <w:r>
        <w:rPr>
          <w:rFonts w:eastAsia="DengXian"/>
          <w:i/>
        </w:rPr>
        <w:t>Comb</w:t>
      </w:r>
      <w:r>
        <w:rPr>
          <w:rFonts w:eastAsia="DengXian"/>
          <w:i/>
          <w:lang w:val="en-US"/>
        </w:rPr>
        <w:t>I</w:t>
      </w:r>
      <w:r>
        <w:rPr>
          <w:rFonts w:eastAsia="DengXian"/>
          <w:i/>
        </w:rPr>
        <w:t>ndicator</w:t>
      </w:r>
      <w:r>
        <w:rPr>
          <w:rFonts w:eastAsia="DengXian"/>
          <w:i/>
          <w:lang w:val="en-US"/>
        </w:rPr>
        <w:t>-r17</w:t>
      </w:r>
    </w:p>
    <w:p w14:paraId="68C39927" w14:textId="1D4B977C" w:rsidR="00210B0F" w:rsidRPr="00996B83" w:rsidRDefault="00210B0F" w:rsidP="00210B0F">
      <w:pPr>
        <w:pStyle w:val="B1"/>
        <w:rPr>
          <w:lang w:val="en-US" w:eastAsia="ko-KR"/>
        </w:rPr>
      </w:pPr>
      <w:r>
        <w:t>-</w:t>
      </w:r>
      <w:r>
        <w:tab/>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cells,r16/{r15,r17}</m:t>
            </m:r>
          </m:sub>
          <m:sup>
            <m:r>
              <w:rPr>
                <w:rFonts w:ascii="Cambria Math"/>
                <w:lang w:eastAsia="zh-CN"/>
              </w:rPr>
              <m:t>cap</m:t>
            </m:r>
            <m:r>
              <w:rPr>
                <w:rFonts w:ascii="Cambria Math"/>
                <w:lang w:eastAsia="zh-CN"/>
              </w:rPr>
              <m:t>-</m:t>
            </m:r>
            <m:r>
              <w:rPr>
                <w:rFonts w:ascii="Cambria Math"/>
                <w:lang w:eastAsia="zh-CN"/>
              </w:rPr>
              <m:t>r17</m:t>
            </m:r>
          </m:sup>
        </m:sSubSup>
      </m:oMath>
      <w:r>
        <w:t xml:space="preserve"> </w:t>
      </w:r>
      <w:r>
        <w:rPr>
          <w:lang w:eastAsia="ko-KR"/>
        </w:rPr>
        <w:t>is the number of configured downlink cells if</w:t>
      </w:r>
      <w:r w:rsidRPr="008F5160">
        <w:rPr>
          <w:lang w:eastAsia="ko-KR"/>
        </w:rPr>
        <w:t xml:space="preserve"> the UE </w:t>
      </w:r>
      <w:r>
        <w:rPr>
          <w:lang w:eastAsia="ko-KR"/>
        </w:rPr>
        <w:t xml:space="preserve">does not provide </w:t>
      </w:r>
      <w:r w:rsidRPr="00F723E2">
        <w:rPr>
          <w:i/>
        </w:rPr>
        <w:t>pdcch-BlindDetectionCA</w:t>
      </w:r>
      <w:r w:rsidR="00086805">
        <w:rPr>
          <w:i/>
          <w:iCs/>
          <w:lang w:val="en-US"/>
        </w:rPr>
        <w:t>2</w:t>
      </w:r>
      <w:r w:rsidR="00793E20">
        <w:rPr>
          <w:i/>
          <w:iCs/>
          <w:lang w:val="en-US"/>
        </w:rPr>
        <w:t xml:space="preserve"> </w:t>
      </w:r>
      <w:r w:rsidR="00793E20" w:rsidRPr="00260D82">
        <w:rPr>
          <w:iCs/>
          <w:lang w:val="en-US"/>
        </w:rPr>
        <w:t>in</w:t>
      </w:r>
      <w:r w:rsidR="00793E20">
        <w:rPr>
          <w:i/>
          <w:iCs/>
          <w:lang w:val="en-US"/>
        </w:rPr>
        <w:t xml:space="preserve"> </w:t>
      </w:r>
      <w:r w:rsidR="00793E20" w:rsidRPr="00260D82">
        <w:rPr>
          <w:i/>
          <w:iCs/>
          <w:lang w:val="en-US"/>
        </w:rPr>
        <w:t>pdcch-BlindDetectionMixedList3</w:t>
      </w:r>
    </w:p>
    <w:p w14:paraId="32D76A86" w14:textId="77777777" w:rsidR="00210B0F" w:rsidRDefault="00210B0F" w:rsidP="00210B0F">
      <w:pPr>
        <w:pStyle w:val="B1"/>
      </w:pPr>
      <w:r>
        <w:t>-</w:t>
      </w:r>
      <w:r>
        <w:tab/>
      </w:r>
      <w:r w:rsidRPr="002128CC">
        <w:t xml:space="preserve">otherwise, </w:t>
      </w:r>
    </w:p>
    <w:p w14:paraId="0D1E6C1A" w14:textId="47E39005" w:rsidR="00210B0F" w:rsidRDefault="00210B0F" w:rsidP="00210B0F">
      <w:pPr>
        <w:pStyle w:val="B2"/>
        <w:rPr>
          <w:i/>
          <w:lang w:val="en-US"/>
        </w:rPr>
      </w:pPr>
      <w:r>
        <w:rPr>
          <w:lang w:val="en-US"/>
        </w:rPr>
        <w:t>-</w:t>
      </w:r>
      <w:r>
        <w:rPr>
          <w:lang w:val="en-US"/>
        </w:rPr>
        <w:tab/>
      </w:r>
      <w:r>
        <w:t xml:space="preserve">if the </w:t>
      </w:r>
      <w:r>
        <w:rPr>
          <w:rFonts w:eastAsia="DengXian"/>
          <w:lang w:eastAsia="ko-KR"/>
        </w:rPr>
        <w:t>UE reports only one combination of (</w:t>
      </w:r>
      <w:r w:rsidRPr="00D429F6">
        <w:rPr>
          <w:rFonts w:eastAsia="DengXian"/>
          <w:i/>
          <w:iCs/>
        </w:rPr>
        <w:t>pdcch-BlindDetectionCA</w:t>
      </w:r>
      <w:r w:rsidR="00086805">
        <w:rPr>
          <w:i/>
          <w:iCs/>
          <w:lang w:val="en-US"/>
        </w:rPr>
        <w:t>1</w:t>
      </w:r>
      <w:r>
        <w:rPr>
          <w:rFonts w:eastAsia="DengXian"/>
        </w:rPr>
        <w:t xml:space="preserve">, </w:t>
      </w:r>
      <w:r w:rsidRPr="00D429F6">
        <w:rPr>
          <w:rFonts w:eastAsia="DengXian"/>
          <w:i/>
          <w:iCs/>
        </w:rPr>
        <w:t>pdcch-BlindDetectionCA</w:t>
      </w:r>
      <w:r w:rsidR="00086805">
        <w:rPr>
          <w:i/>
          <w:iCs/>
          <w:lang w:val="en-US"/>
        </w:rPr>
        <w:t>2</w:t>
      </w:r>
      <w:r>
        <w:rPr>
          <w:rFonts w:eastAsia="DengXian"/>
        </w:rPr>
        <w:t xml:space="preserve">, </w:t>
      </w:r>
      <w:r w:rsidRPr="00D429F6">
        <w:rPr>
          <w:rFonts w:eastAsia="DengXian"/>
          <w:i/>
          <w:iCs/>
        </w:rPr>
        <w:t>pdcch-</w:t>
      </w:r>
      <w:r w:rsidR="00086805" w:rsidRPr="00D429F6">
        <w:rPr>
          <w:rFonts w:eastAsia="DengXian"/>
          <w:i/>
          <w:iCs/>
        </w:rPr>
        <w:t>BlindDetectionCA</w:t>
      </w:r>
      <w:r w:rsidR="00086805">
        <w:rPr>
          <w:rFonts w:eastAsia="DengXian"/>
          <w:i/>
          <w:iCs/>
          <w:lang w:val="en-US"/>
        </w:rPr>
        <w:t>3</w:t>
      </w:r>
      <w:r>
        <w:rPr>
          <w:rFonts w:eastAsia="DengXian"/>
          <w:lang w:eastAsia="ko-KR"/>
        </w:rPr>
        <w:t>)</w:t>
      </w:r>
      <w:r w:rsidR="00793E20">
        <w:rPr>
          <w:rFonts w:eastAsia="DengXian"/>
          <w:lang w:val="en-GB" w:eastAsia="ko-KR"/>
        </w:rPr>
        <w:t xml:space="preserve"> </w:t>
      </w:r>
      <w:r w:rsidR="00793E20" w:rsidRPr="00260D82">
        <w:rPr>
          <w:iCs/>
          <w:lang w:val="en-US"/>
        </w:rPr>
        <w:t>in</w:t>
      </w:r>
      <w:r w:rsidR="00793E20">
        <w:rPr>
          <w:i/>
          <w:iCs/>
          <w:lang w:val="en-US"/>
        </w:rPr>
        <w:t xml:space="preserve"> </w:t>
      </w:r>
      <w:r w:rsidR="00793E20" w:rsidRPr="00260D82">
        <w:rPr>
          <w:i/>
          <w:iCs/>
          <w:lang w:val="en-US"/>
        </w:rPr>
        <w:t>pdcch-BlindDetectionMixedList3</w:t>
      </w:r>
      <w:r>
        <w:rPr>
          <w:rFonts w:eastAsia="DengXian"/>
          <w:lang w:val="en-US" w:eastAsia="ko-KR"/>
        </w:rPr>
        <w:t xml:space="preserve">,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cells,r16/{r15,r17}</m:t>
            </m:r>
          </m:sub>
          <m:sup>
            <m:r>
              <w:rPr>
                <w:rFonts w:ascii="Cambria Math"/>
                <w:lang w:eastAsia="zh-CN"/>
              </w:rPr>
              <m:t>cap</m:t>
            </m:r>
            <m:r>
              <w:rPr>
                <w:rFonts w:ascii="Cambria Math"/>
                <w:lang w:eastAsia="zh-CN"/>
              </w:rPr>
              <m:t>-</m:t>
            </m:r>
            <m:r>
              <w:rPr>
                <w:rFonts w:ascii="Cambria Math"/>
                <w:lang w:eastAsia="zh-CN"/>
              </w:rPr>
              <m:t>r17</m:t>
            </m:r>
          </m:sup>
        </m:sSubSup>
      </m:oMath>
      <w:r w:rsidRPr="00D20E88">
        <w:t xml:space="preserve"> </w:t>
      </w:r>
      <w:r w:rsidRPr="002128CC">
        <w:t xml:space="preserve">is the value of </w:t>
      </w:r>
      <w:r w:rsidRPr="00D429F6">
        <w:rPr>
          <w:i/>
          <w:iCs/>
        </w:rPr>
        <w:t>pdcch-</w:t>
      </w:r>
      <w:r w:rsidR="00D1421F" w:rsidRPr="00D429F6">
        <w:rPr>
          <w:i/>
          <w:iCs/>
        </w:rPr>
        <w:t>BlindDetectionCA</w:t>
      </w:r>
      <w:r w:rsidR="00D1421F">
        <w:rPr>
          <w:i/>
          <w:iCs/>
          <w:lang w:val="en-US"/>
        </w:rPr>
        <w:t>2</w:t>
      </w:r>
      <w:r w:rsidR="00D1421F" w:rsidRPr="00A67487">
        <w:rPr>
          <w:i/>
          <w:lang w:val="en-US"/>
        </w:rPr>
        <w:t xml:space="preserve"> </w:t>
      </w:r>
    </w:p>
    <w:p w14:paraId="6325D79E" w14:textId="723B1021" w:rsidR="00210B0F" w:rsidRPr="00066F8E" w:rsidRDefault="00210B0F" w:rsidP="00210B0F">
      <w:pPr>
        <w:pStyle w:val="B2"/>
        <w:rPr>
          <w:lang w:val="en-US"/>
        </w:rPr>
      </w:pPr>
      <w:r>
        <w:t>-</w:t>
      </w:r>
      <w:r>
        <w:tab/>
        <w:t xml:space="preserve">else,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cells,r16/{r15,r17}</m:t>
            </m:r>
          </m:sub>
          <m:sup>
            <m:r>
              <w:rPr>
                <w:rFonts w:ascii="Cambria Math"/>
                <w:lang w:eastAsia="zh-CN"/>
              </w:rPr>
              <m:t>cap</m:t>
            </m:r>
            <m:r>
              <w:rPr>
                <w:rFonts w:ascii="Cambria Math"/>
                <w:lang w:eastAsia="zh-CN"/>
              </w:rPr>
              <m:t>-</m:t>
            </m:r>
            <m:r>
              <w:rPr>
                <w:rFonts w:ascii="Cambria Math"/>
                <w:lang w:eastAsia="zh-CN"/>
              </w:rPr>
              <m:t>r17</m:t>
            </m:r>
          </m:sup>
        </m:sSubSup>
      </m:oMath>
      <w:r>
        <w:t xml:space="preserve"> is the value of </w:t>
      </w:r>
      <w:r>
        <w:rPr>
          <w:i/>
        </w:rPr>
        <w:t>pdcch-</w:t>
      </w:r>
      <w:r w:rsidR="00D1421F">
        <w:rPr>
          <w:i/>
        </w:rPr>
        <w:t>BlindDetectionCA</w:t>
      </w:r>
      <w:r w:rsidR="00D1421F">
        <w:rPr>
          <w:i/>
          <w:lang w:val="en-US"/>
        </w:rPr>
        <w:t xml:space="preserve">2 </w:t>
      </w:r>
      <w:r>
        <w:rPr>
          <w:rFonts w:eastAsia="DengXian"/>
        </w:rPr>
        <w:t xml:space="preserve">from </w:t>
      </w:r>
      <w:r>
        <w:rPr>
          <w:rFonts w:eastAsia="DengXian"/>
          <w:lang w:val="en-US"/>
        </w:rPr>
        <w:t>a</w:t>
      </w:r>
      <w:r>
        <w:rPr>
          <w:rFonts w:eastAsia="DengXian"/>
        </w:rPr>
        <w:t xml:space="preserve"> combination of </w:t>
      </w:r>
      <w:r>
        <w:rPr>
          <w:rFonts w:eastAsia="DengXian"/>
          <w:lang w:eastAsia="ko-KR"/>
        </w:rPr>
        <w:t>(</w:t>
      </w:r>
      <w:r w:rsidRPr="00D429F6">
        <w:rPr>
          <w:rFonts w:eastAsia="DengXian"/>
          <w:i/>
          <w:iCs/>
        </w:rPr>
        <w:t>pdcch-BlindDetectionCA</w:t>
      </w:r>
      <w:r w:rsidR="00086805">
        <w:rPr>
          <w:i/>
          <w:iCs/>
          <w:lang w:val="en-US"/>
        </w:rPr>
        <w:t>1</w:t>
      </w:r>
      <w:r>
        <w:rPr>
          <w:rFonts w:eastAsia="DengXian"/>
        </w:rPr>
        <w:t xml:space="preserve">, </w:t>
      </w:r>
      <w:r>
        <w:rPr>
          <w:rFonts w:eastAsia="DengXian"/>
          <w:i/>
        </w:rPr>
        <w:t>pdcch-</w:t>
      </w:r>
      <w:r w:rsidR="00D1421F">
        <w:rPr>
          <w:rFonts w:eastAsia="DengXian"/>
          <w:i/>
        </w:rPr>
        <w:t>BlindDetectionCA</w:t>
      </w:r>
      <w:r w:rsidR="00D1421F">
        <w:rPr>
          <w:i/>
          <w:lang w:val="en-US"/>
        </w:rPr>
        <w:t>2</w:t>
      </w:r>
      <w:r>
        <w:rPr>
          <w:rFonts w:eastAsia="DengXian"/>
          <w:i/>
        </w:rPr>
        <w:t>, pdcch-</w:t>
      </w:r>
      <w:r w:rsidR="00D1421F">
        <w:rPr>
          <w:rFonts w:eastAsia="DengXian"/>
          <w:i/>
        </w:rPr>
        <w:t>BlindDetectionCA</w:t>
      </w:r>
      <w:r w:rsidR="00D1421F">
        <w:rPr>
          <w:rFonts w:eastAsia="DengXian"/>
          <w:i/>
          <w:lang w:val="en-US"/>
        </w:rPr>
        <w:t>3</w:t>
      </w:r>
      <w:r>
        <w:rPr>
          <w:rFonts w:eastAsia="DengXian"/>
          <w:lang w:eastAsia="ko-KR"/>
        </w:rPr>
        <w:t>)</w:t>
      </w:r>
      <w:r>
        <w:rPr>
          <w:rFonts w:eastAsia="DengXian"/>
        </w:rPr>
        <w:t xml:space="preserve"> </w:t>
      </w:r>
      <w:r>
        <w:rPr>
          <w:rFonts w:eastAsia="DengXian"/>
          <w:lang w:val="en-US"/>
        </w:rPr>
        <w:t>that is provided</w:t>
      </w:r>
      <w:r>
        <w:rPr>
          <w:rFonts w:eastAsia="DengXian"/>
        </w:rPr>
        <w:t xml:space="preserve"> by </w:t>
      </w:r>
      <w:r>
        <w:rPr>
          <w:rFonts w:eastAsia="DengXian"/>
          <w:i/>
        </w:rPr>
        <w:t>pdcch-BlindDetectionCA</w:t>
      </w:r>
      <w:r>
        <w:rPr>
          <w:rFonts w:eastAsia="DengXian"/>
          <w:i/>
          <w:lang w:val="en-US"/>
        </w:rPr>
        <w:t>-</w:t>
      </w:r>
      <w:r>
        <w:rPr>
          <w:rFonts w:eastAsia="DengXian"/>
          <w:i/>
        </w:rPr>
        <w:t>Comb</w:t>
      </w:r>
      <w:r>
        <w:rPr>
          <w:rFonts w:eastAsia="DengXian"/>
          <w:i/>
          <w:lang w:val="en-US"/>
        </w:rPr>
        <w:t>I</w:t>
      </w:r>
      <w:r>
        <w:rPr>
          <w:rFonts w:eastAsia="DengXian"/>
          <w:i/>
        </w:rPr>
        <w:t>ndicator</w:t>
      </w:r>
      <w:r>
        <w:rPr>
          <w:rFonts w:eastAsia="DengXian"/>
          <w:i/>
          <w:lang w:val="en-US"/>
        </w:rPr>
        <w:t>-r17</w:t>
      </w:r>
    </w:p>
    <w:p w14:paraId="3DCDAEC0" w14:textId="77777777" w:rsidR="00210B0F" w:rsidRDefault="00210B0F" w:rsidP="00210B0F">
      <w:pPr>
        <w:rPr>
          <w:lang w:val="en-US"/>
        </w:rPr>
      </w:pPr>
      <w:r>
        <w:rPr>
          <w:lang w:val="en-US"/>
        </w:rPr>
        <w:t>and</w:t>
      </w:r>
    </w:p>
    <w:p w14:paraId="16B5DA3D" w14:textId="4D62897F" w:rsidR="00210B0F" w:rsidRPr="00996B83" w:rsidRDefault="00210B0F" w:rsidP="00210B0F">
      <w:pPr>
        <w:pStyle w:val="B1"/>
        <w:rPr>
          <w:lang w:val="en-US" w:eastAsia="ko-KR"/>
        </w:rPr>
      </w:pPr>
      <w:r>
        <w:t>-</w:t>
      </w:r>
      <w:r>
        <w:tab/>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cells,r17/{r15,r16}</m:t>
            </m:r>
          </m:sub>
          <m:sup>
            <m:r>
              <w:rPr>
                <w:rFonts w:ascii="Cambria Math"/>
                <w:lang w:eastAsia="zh-CN"/>
              </w:rPr>
              <m:t>cap</m:t>
            </m:r>
            <m:r>
              <w:rPr>
                <w:rFonts w:ascii="Cambria Math"/>
                <w:lang w:eastAsia="zh-CN"/>
              </w:rPr>
              <m:t>-</m:t>
            </m:r>
            <m:r>
              <w:rPr>
                <w:rFonts w:ascii="Cambria Math"/>
                <w:lang w:eastAsia="zh-CN"/>
              </w:rPr>
              <m:t>r17</m:t>
            </m:r>
          </m:sup>
        </m:sSubSup>
      </m:oMath>
      <w:r>
        <w:t xml:space="preserve"> </w:t>
      </w:r>
      <w:r>
        <w:rPr>
          <w:lang w:eastAsia="ko-KR"/>
        </w:rPr>
        <w:t>is the number of configured downlink cells if</w:t>
      </w:r>
      <w:r w:rsidRPr="008F5160">
        <w:rPr>
          <w:lang w:eastAsia="ko-KR"/>
        </w:rPr>
        <w:t xml:space="preserve"> the UE </w:t>
      </w:r>
      <w:r>
        <w:rPr>
          <w:lang w:eastAsia="ko-KR"/>
        </w:rPr>
        <w:t xml:space="preserve">does not provide </w:t>
      </w:r>
      <w:r w:rsidRPr="00F723E2">
        <w:rPr>
          <w:i/>
        </w:rPr>
        <w:t>pdcch-</w:t>
      </w:r>
      <w:r w:rsidR="00FD0F2F" w:rsidRPr="00F723E2">
        <w:rPr>
          <w:i/>
        </w:rPr>
        <w:t>BlindDetectionCA</w:t>
      </w:r>
      <w:r w:rsidR="00FD0F2F">
        <w:rPr>
          <w:i/>
          <w:lang w:val="en-US"/>
        </w:rPr>
        <w:t>3</w:t>
      </w:r>
      <w:r w:rsidR="00793E20">
        <w:rPr>
          <w:i/>
          <w:lang w:val="en-US"/>
        </w:rPr>
        <w:t xml:space="preserve"> </w:t>
      </w:r>
      <w:r w:rsidR="00793E20" w:rsidRPr="00260D82">
        <w:rPr>
          <w:iCs/>
          <w:lang w:val="en-US"/>
        </w:rPr>
        <w:t>in</w:t>
      </w:r>
      <w:r w:rsidR="00793E20">
        <w:rPr>
          <w:i/>
          <w:iCs/>
          <w:lang w:val="en-US"/>
        </w:rPr>
        <w:t xml:space="preserve"> </w:t>
      </w:r>
      <w:r w:rsidR="00793E20" w:rsidRPr="00260D82">
        <w:rPr>
          <w:i/>
          <w:iCs/>
          <w:lang w:val="en-US"/>
        </w:rPr>
        <w:t>pdcch-BlindDetectionMixedList3</w:t>
      </w:r>
    </w:p>
    <w:p w14:paraId="59820B82" w14:textId="77777777" w:rsidR="00210B0F" w:rsidRDefault="00210B0F" w:rsidP="00210B0F">
      <w:pPr>
        <w:pStyle w:val="B1"/>
      </w:pPr>
      <w:r>
        <w:t>-</w:t>
      </w:r>
      <w:r>
        <w:tab/>
      </w:r>
      <w:r w:rsidRPr="002128CC">
        <w:t xml:space="preserve">otherwise, </w:t>
      </w:r>
    </w:p>
    <w:p w14:paraId="6D0060A7" w14:textId="4121F6F5" w:rsidR="00210B0F" w:rsidRDefault="00210B0F" w:rsidP="00210B0F">
      <w:pPr>
        <w:pStyle w:val="B2"/>
        <w:rPr>
          <w:i/>
          <w:lang w:val="en-US"/>
        </w:rPr>
      </w:pPr>
      <w:r>
        <w:t>-</w:t>
      </w:r>
      <w:r>
        <w:tab/>
        <w:t xml:space="preserve">if the </w:t>
      </w:r>
      <w:r>
        <w:rPr>
          <w:rFonts w:eastAsia="DengXian"/>
          <w:lang w:eastAsia="ko-KR"/>
        </w:rPr>
        <w:t>UE reports only one combination of (</w:t>
      </w:r>
      <w:r w:rsidRPr="00D429F6">
        <w:rPr>
          <w:rFonts w:eastAsia="DengXian"/>
          <w:i/>
          <w:iCs/>
        </w:rPr>
        <w:t>pdcch-</w:t>
      </w:r>
      <w:r w:rsidR="00FD0F2F" w:rsidRPr="00D429F6">
        <w:rPr>
          <w:rFonts w:eastAsia="DengXian"/>
          <w:i/>
          <w:iCs/>
        </w:rPr>
        <w:t>BlindDetectionCA</w:t>
      </w:r>
      <w:r w:rsidR="00FD0F2F">
        <w:rPr>
          <w:i/>
          <w:iCs/>
          <w:lang w:val="en-US"/>
        </w:rPr>
        <w:t>1</w:t>
      </w:r>
      <w:r>
        <w:rPr>
          <w:rFonts w:eastAsia="DengXian"/>
        </w:rPr>
        <w:t>,</w:t>
      </w:r>
      <w:r>
        <w:rPr>
          <w:rFonts w:eastAsia="DengXian"/>
          <w:lang w:val="en-US"/>
        </w:rPr>
        <w:t xml:space="preserve"> </w:t>
      </w:r>
      <w:r>
        <w:rPr>
          <w:rFonts w:eastAsia="DengXian"/>
          <w:i/>
        </w:rPr>
        <w:t>pdcch-</w:t>
      </w:r>
      <w:r w:rsidR="00FD0F2F">
        <w:rPr>
          <w:rFonts w:eastAsia="DengXian"/>
          <w:i/>
        </w:rPr>
        <w:t>BlindDetectionCA</w:t>
      </w:r>
      <w:r w:rsidR="00FD0F2F">
        <w:rPr>
          <w:rFonts w:eastAsia="DengXian"/>
          <w:i/>
          <w:lang w:val="en-US"/>
        </w:rPr>
        <w:t>2</w:t>
      </w:r>
      <w:r>
        <w:rPr>
          <w:rFonts w:eastAsia="DengXian"/>
          <w:i/>
        </w:rPr>
        <w:t>, pdcch-</w:t>
      </w:r>
      <w:r w:rsidR="00FD0F2F">
        <w:rPr>
          <w:rFonts w:eastAsia="DengXian"/>
          <w:i/>
        </w:rPr>
        <w:t>BlindDetectionCA</w:t>
      </w:r>
      <w:r w:rsidR="00FD0F2F">
        <w:rPr>
          <w:i/>
          <w:lang w:val="en-US"/>
        </w:rPr>
        <w:t>3</w:t>
      </w:r>
      <w:r>
        <w:rPr>
          <w:rFonts w:eastAsia="DengXian"/>
          <w:lang w:val="en-US" w:eastAsia="ko-KR"/>
        </w:rPr>
        <w:t>)</w:t>
      </w:r>
      <w:r w:rsidR="00793E20">
        <w:rPr>
          <w:rFonts w:eastAsia="DengXian"/>
          <w:lang w:val="en-US" w:eastAsia="ko-KR"/>
        </w:rPr>
        <w:t xml:space="preserve"> </w:t>
      </w:r>
      <w:r w:rsidR="00793E20" w:rsidRPr="00260D82">
        <w:rPr>
          <w:iCs/>
          <w:lang w:val="en-US"/>
        </w:rPr>
        <w:t>in</w:t>
      </w:r>
      <w:r w:rsidR="00793E20">
        <w:rPr>
          <w:i/>
          <w:iCs/>
          <w:lang w:val="en-US"/>
        </w:rPr>
        <w:t xml:space="preserve"> </w:t>
      </w:r>
      <w:r w:rsidR="00793E20" w:rsidRPr="00260D82">
        <w:rPr>
          <w:i/>
          <w:iCs/>
          <w:lang w:val="en-US"/>
        </w:rPr>
        <w:t>pdcch-BlindDetectionMixedList3</w:t>
      </w:r>
      <w:r>
        <w:rPr>
          <w:rFonts w:eastAsia="DengXian"/>
          <w:lang w:val="en-US" w:eastAsia="ko-KR"/>
        </w:rPr>
        <w:t xml:space="preserve">,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cells,r17/{r15,r16}</m:t>
            </m:r>
          </m:sub>
          <m:sup>
            <m:r>
              <w:rPr>
                <w:rFonts w:ascii="Cambria Math"/>
                <w:lang w:eastAsia="zh-CN"/>
              </w:rPr>
              <m:t>cap</m:t>
            </m:r>
            <m:r>
              <w:rPr>
                <w:rFonts w:ascii="Cambria Math"/>
                <w:lang w:eastAsia="zh-CN"/>
              </w:rPr>
              <m:t>-</m:t>
            </m:r>
            <m:r>
              <w:rPr>
                <w:rFonts w:ascii="Cambria Math"/>
                <w:lang w:eastAsia="zh-CN"/>
              </w:rPr>
              <m:t>r17</m:t>
            </m:r>
          </m:sup>
        </m:sSubSup>
      </m:oMath>
      <w:r w:rsidRPr="00D20E88">
        <w:t xml:space="preserve"> </w:t>
      </w:r>
      <w:r w:rsidRPr="002128CC">
        <w:t xml:space="preserve">is the value of </w:t>
      </w:r>
      <w:r w:rsidRPr="002128CC">
        <w:rPr>
          <w:i/>
        </w:rPr>
        <w:t>pdcch-</w:t>
      </w:r>
      <w:r w:rsidR="00FD0F2F" w:rsidRPr="002128CC">
        <w:rPr>
          <w:i/>
        </w:rPr>
        <w:t>BlindDetectionCA</w:t>
      </w:r>
      <w:r w:rsidR="00FD0F2F">
        <w:rPr>
          <w:i/>
          <w:lang w:val="en-US"/>
        </w:rPr>
        <w:t>3</w:t>
      </w:r>
      <w:r w:rsidR="00FD0F2F" w:rsidRPr="00A67487">
        <w:rPr>
          <w:i/>
          <w:lang w:val="en-US"/>
        </w:rPr>
        <w:t xml:space="preserve"> </w:t>
      </w:r>
    </w:p>
    <w:p w14:paraId="4288CC1F" w14:textId="276F4AC5" w:rsidR="00210B0F" w:rsidRPr="00066F8E" w:rsidRDefault="00210B0F" w:rsidP="00210B0F">
      <w:pPr>
        <w:pStyle w:val="B2"/>
        <w:rPr>
          <w:lang w:val="en-US"/>
        </w:rPr>
      </w:pPr>
      <w:r>
        <w:t>-</w:t>
      </w:r>
      <w:r>
        <w:tab/>
        <w:t xml:space="preserve">else,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cells,r17/{r15,r16}</m:t>
            </m:r>
          </m:sub>
          <m:sup>
            <m:r>
              <w:rPr>
                <w:rFonts w:ascii="Cambria Math"/>
                <w:lang w:eastAsia="zh-CN"/>
              </w:rPr>
              <m:t>cap</m:t>
            </m:r>
            <m:r>
              <w:rPr>
                <w:rFonts w:ascii="Cambria Math"/>
                <w:lang w:eastAsia="zh-CN"/>
              </w:rPr>
              <m:t>-</m:t>
            </m:r>
            <m:r>
              <w:rPr>
                <w:rFonts w:ascii="Cambria Math"/>
                <w:lang w:eastAsia="zh-CN"/>
              </w:rPr>
              <m:t>r17</m:t>
            </m:r>
          </m:sup>
        </m:sSubSup>
      </m:oMath>
      <w:r>
        <w:t xml:space="preserve"> is the value of </w:t>
      </w:r>
      <w:r>
        <w:rPr>
          <w:i/>
        </w:rPr>
        <w:t>pdcch-</w:t>
      </w:r>
      <w:r w:rsidR="00FD0F2F">
        <w:rPr>
          <w:i/>
        </w:rPr>
        <w:t>BlindDetectionCA</w:t>
      </w:r>
      <w:r w:rsidR="00FD0F2F">
        <w:rPr>
          <w:i/>
          <w:lang w:val="en-US"/>
        </w:rPr>
        <w:t xml:space="preserve">3 </w:t>
      </w:r>
      <w:r>
        <w:rPr>
          <w:rFonts w:eastAsia="DengXian"/>
        </w:rPr>
        <w:t xml:space="preserve">from </w:t>
      </w:r>
      <w:r>
        <w:rPr>
          <w:rFonts w:eastAsia="DengXian"/>
          <w:lang w:val="en-US"/>
        </w:rPr>
        <w:t>a</w:t>
      </w:r>
      <w:r>
        <w:rPr>
          <w:rFonts w:eastAsia="DengXian"/>
        </w:rPr>
        <w:t xml:space="preserve"> combination of </w:t>
      </w:r>
      <w:r>
        <w:rPr>
          <w:rFonts w:eastAsia="DengXian"/>
          <w:lang w:eastAsia="ko-KR"/>
        </w:rPr>
        <w:t>(</w:t>
      </w:r>
      <w:r w:rsidRPr="00D429F6">
        <w:rPr>
          <w:rFonts w:eastAsia="DengXian"/>
          <w:i/>
          <w:iCs/>
        </w:rPr>
        <w:t>pdcch-</w:t>
      </w:r>
      <w:r w:rsidR="00FD0F2F" w:rsidRPr="00D429F6">
        <w:rPr>
          <w:rFonts w:eastAsia="DengXian"/>
          <w:i/>
          <w:iCs/>
        </w:rPr>
        <w:t>BlindDetectionCA</w:t>
      </w:r>
      <w:r w:rsidR="00FD0F2F">
        <w:rPr>
          <w:i/>
          <w:iCs/>
          <w:lang w:val="en-US"/>
        </w:rPr>
        <w:t>1</w:t>
      </w:r>
      <w:r>
        <w:rPr>
          <w:rFonts w:eastAsia="DengXian"/>
        </w:rPr>
        <w:t xml:space="preserve">, </w:t>
      </w:r>
      <w:r>
        <w:rPr>
          <w:rFonts w:eastAsia="DengXian"/>
          <w:i/>
        </w:rPr>
        <w:t>pdcch-</w:t>
      </w:r>
      <w:r w:rsidR="00FD0F2F">
        <w:rPr>
          <w:rFonts w:eastAsia="DengXian"/>
          <w:i/>
        </w:rPr>
        <w:t>BlindDetectionCA</w:t>
      </w:r>
      <w:r w:rsidR="00FD0F2F">
        <w:rPr>
          <w:i/>
          <w:lang w:val="en-US"/>
        </w:rPr>
        <w:t>2</w:t>
      </w:r>
      <w:r>
        <w:rPr>
          <w:rFonts w:eastAsia="DengXian"/>
          <w:i/>
        </w:rPr>
        <w:t>, pdcch-</w:t>
      </w:r>
      <w:r w:rsidR="00FD0F2F">
        <w:rPr>
          <w:rFonts w:eastAsia="DengXian"/>
          <w:i/>
        </w:rPr>
        <w:t>BlindDetectionCA</w:t>
      </w:r>
      <w:r w:rsidR="00FD0F2F">
        <w:rPr>
          <w:rFonts w:eastAsia="DengXian"/>
          <w:i/>
          <w:lang w:val="en-US"/>
        </w:rPr>
        <w:t>3</w:t>
      </w:r>
      <w:r>
        <w:rPr>
          <w:rFonts w:eastAsia="DengXian"/>
          <w:lang w:eastAsia="ko-KR"/>
        </w:rPr>
        <w:t>)</w:t>
      </w:r>
      <w:r>
        <w:rPr>
          <w:rFonts w:eastAsia="DengXian"/>
        </w:rPr>
        <w:t xml:space="preserve"> </w:t>
      </w:r>
      <w:r>
        <w:rPr>
          <w:rFonts w:eastAsia="DengXian"/>
          <w:lang w:val="en-US"/>
        </w:rPr>
        <w:t>that is provided</w:t>
      </w:r>
      <w:r>
        <w:rPr>
          <w:rFonts w:eastAsia="DengXian"/>
        </w:rPr>
        <w:t xml:space="preserve"> by </w:t>
      </w:r>
      <w:r>
        <w:rPr>
          <w:rFonts w:eastAsia="DengXian"/>
          <w:i/>
        </w:rPr>
        <w:t>pdcch-BlindDetectionCA</w:t>
      </w:r>
      <w:r>
        <w:rPr>
          <w:rFonts w:eastAsia="DengXian"/>
          <w:i/>
          <w:lang w:val="en-US"/>
        </w:rPr>
        <w:t>-</w:t>
      </w:r>
      <w:r>
        <w:rPr>
          <w:rFonts w:eastAsia="DengXian"/>
          <w:i/>
        </w:rPr>
        <w:t>Comb</w:t>
      </w:r>
      <w:r>
        <w:rPr>
          <w:rFonts w:eastAsia="DengXian"/>
          <w:i/>
          <w:lang w:val="en-US"/>
        </w:rPr>
        <w:t>I</w:t>
      </w:r>
      <w:r>
        <w:rPr>
          <w:rFonts w:eastAsia="DengXian"/>
          <w:i/>
        </w:rPr>
        <w:t>ndicator</w:t>
      </w:r>
      <w:r>
        <w:rPr>
          <w:rFonts w:eastAsia="DengXian"/>
          <w:i/>
          <w:lang w:val="en-US"/>
        </w:rPr>
        <w:t>-r17</w:t>
      </w:r>
    </w:p>
    <w:p w14:paraId="00052A58" w14:textId="13CD0894" w:rsidR="00A67487" w:rsidRDefault="00A67487" w:rsidP="00A67487">
      <w:pPr>
        <w:rPr>
          <w:lang w:eastAsia="ko-KR"/>
        </w:rPr>
      </w:pPr>
      <w:r>
        <w:rPr>
          <w:lang w:eastAsia="ko-KR"/>
        </w:rPr>
        <w:t xml:space="preserve">When a UE is configured for NR-DC operation and is provided </w:t>
      </w:r>
      <w:r>
        <w:rPr>
          <w:i/>
        </w:rPr>
        <w:t>monitoringCapabilityConfig</w:t>
      </w:r>
      <w:r>
        <w:t xml:space="preserve"> = </w:t>
      </w:r>
      <w:r>
        <w:rPr>
          <w:i/>
        </w:rPr>
        <w:t>r15monitoringcapability</w:t>
      </w:r>
      <w:r>
        <w:t xml:space="preserve"> for </w:t>
      </w:r>
      <w:r>
        <w:rPr>
          <w:lang w:eastAsia="ko-KR"/>
        </w:rPr>
        <w:t xml:space="preserve">at least one downlink cell and </w:t>
      </w:r>
      <w:r>
        <w:rPr>
          <w:i/>
        </w:rPr>
        <w:t>monitoringCapabilityConfig</w:t>
      </w:r>
      <w:r>
        <w:t xml:space="preserve"> = </w:t>
      </w:r>
      <w:r>
        <w:rPr>
          <w:i/>
        </w:rPr>
        <w:t xml:space="preserve">r16monitoringcapability </w:t>
      </w:r>
      <w:r>
        <w:t xml:space="preserve">for </w:t>
      </w:r>
      <w:r>
        <w:rPr>
          <w:lang w:eastAsia="ko-KR"/>
        </w:rPr>
        <w:t xml:space="preserve">at least one downlink cell </w:t>
      </w:r>
      <w:r>
        <w:t>where the UE monitors PDCCH</w:t>
      </w:r>
      <w:r>
        <w:rPr>
          <w:lang w:eastAsia="ko-KR"/>
        </w:rPr>
        <w:t xml:space="preserve">, </w:t>
      </w:r>
      <w:r>
        <w:t>the UE determines</w:t>
      </w:r>
      <w:r>
        <w:rPr>
          <w:lang w:eastAsia="ko-KR"/>
        </w:rPr>
        <w:t xml:space="preserve"> a capability </w:t>
      </w:r>
      <w:r>
        <w:t xml:space="preserve">to </w:t>
      </w:r>
      <w:r>
        <w:rPr>
          <w:lang w:eastAsia="ko-KR"/>
        </w:rPr>
        <w:t>monitor a maximum number of PDCCH candidates and a maximum number of non-overlapped CCEs that corresponds to</w:t>
      </w:r>
    </w:p>
    <w:p w14:paraId="613622F8" w14:textId="0B0A7329" w:rsidR="00A67487" w:rsidRDefault="00A67487" w:rsidP="00A67487">
      <w:pPr>
        <w:pStyle w:val="B1"/>
        <w:rPr>
          <w:lang w:eastAsia="ko-KR"/>
        </w:rPr>
      </w:pPr>
      <w:r>
        <w:t>-</w:t>
      </w:r>
      <w:r>
        <w:tab/>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cells,r15</m:t>
            </m:r>
          </m:sub>
          <m:sup>
            <m:r>
              <m:rPr>
                <m:sty m:val="p"/>
              </m:rPr>
              <w:rPr>
                <w:rFonts w:ascii="Cambria Math" w:hAnsi="Cambria Math"/>
                <w:lang w:eastAsia="zh-CN"/>
              </w:rPr>
              <m:t>cap-r16</m:t>
            </m:r>
          </m:sup>
        </m:sSubSup>
        <m:r>
          <m:rPr>
            <m:sty m:val="p"/>
          </m:rPr>
          <w:rPr>
            <w:rFonts w:ascii="Cambria Math" w:hAnsi="Cambria Math"/>
            <w:lang w:eastAsia="zh-CN"/>
          </w:rPr>
          <m:t>=</m:t>
        </m:r>
        <m:r>
          <m:rPr>
            <m:sty m:val="p"/>
          </m:rPr>
          <w:rPr>
            <w:rFonts w:ascii="Cambria Math" w:hAnsi="Cambria Math"/>
            <w:lang w:eastAsia="ko-KR"/>
          </w:rPr>
          <m:t xml:space="preserve"> </m:t>
        </m:r>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 r15</m:t>
            </m:r>
          </m:sub>
          <m:sup>
            <m:r>
              <m:rPr>
                <m:sty m:val="p"/>
              </m:rPr>
              <w:rPr>
                <w:rFonts w:ascii="Cambria Math" w:hAnsi="Cambria Math"/>
                <w:lang w:eastAsia="zh-CN"/>
              </w:rPr>
              <m:t>MCG</m:t>
            </m:r>
          </m:sup>
        </m:sSubSup>
      </m:oMath>
      <w:r>
        <w:rPr>
          <w:lang w:val="en-US" w:eastAsia="zh-CN"/>
        </w:rPr>
        <w:t xml:space="preserve"> </w:t>
      </w:r>
      <w:r>
        <w:t xml:space="preserve">downlink cells for the MCG where </w:t>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 r15</m:t>
            </m:r>
          </m:sub>
          <m:sup>
            <m:r>
              <m:rPr>
                <m:sty m:val="p"/>
              </m:rPr>
              <w:rPr>
                <w:rFonts w:ascii="Cambria Math" w:hAnsi="Cambria Math"/>
                <w:lang w:eastAsia="zh-CN"/>
              </w:rPr>
              <m:t>MCG</m:t>
            </m:r>
          </m:sup>
        </m:sSubSup>
      </m:oMath>
      <w:r>
        <w:t xml:space="preserve"> is</w:t>
      </w:r>
      <w:r>
        <w:rPr>
          <w:lang w:eastAsia="ko-KR"/>
        </w:rPr>
        <w:t xml:space="preserve"> provided by </w:t>
      </w:r>
      <w:r>
        <w:rPr>
          <w:i/>
          <w:iCs/>
          <w:lang w:eastAsia="ja-JP"/>
        </w:rPr>
        <w:t>pdcch-BlindDetection</w:t>
      </w:r>
      <w:r w:rsidR="00130949">
        <w:rPr>
          <w:i/>
          <w:iCs/>
          <w:lang w:val="en-US" w:eastAsia="ja-JP"/>
        </w:rPr>
        <w:t>3</w:t>
      </w:r>
      <w:r>
        <w:t xml:space="preserve"> for the MCG,</w:t>
      </w:r>
    </w:p>
    <w:p w14:paraId="74E87C5A" w14:textId="6AA921FE" w:rsidR="00A67487" w:rsidRDefault="00A67487" w:rsidP="00A67487">
      <w:pPr>
        <w:pStyle w:val="B1"/>
        <w:rPr>
          <w:lang w:val="en-US" w:eastAsia="ko-KR"/>
        </w:rPr>
      </w:pPr>
      <w:r>
        <w:t>-</w:t>
      </w:r>
      <w:r>
        <w:tab/>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cells,r15</m:t>
            </m:r>
          </m:sub>
          <m:sup>
            <m:r>
              <m:rPr>
                <m:sty m:val="p"/>
              </m:rPr>
              <w:rPr>
                <w:rFonts w:ascii="Cambria Math" w:hAnsi="Cambria Math"/>
                <w:lang w:eastAsia="zh-CN"/>
              </w:rPr>
              <m:t>cap-r16</m:t>
            </m:r>
          </m:sup>
        </m:sSubSup>
        <m:r>
          <m:rPr>
            <m:sty m:val="p"/>
          </m:rPr>
          <w:rPr>
            <w:rFonts w:ascii="Cambria Math" w:hAnsi="Cambria Math"/>
            <w:lang w:eastAsia="zh-CN"/>
          </w:rPr>
          <m:t>=</m:t>
        </m:r>
        <m:r>
          <m:rPr>
            <m:sty m:val="p"/>
          </m:rPr>
          <w:rPr>
            <w:rFonts w:ascii="Cambria Math" w:hAnsi="Cambria Math"/>
            <w:lang w:eastAsia="ko-KR"/>
          </w:rPr>
          <m:t xml:space="preserve"> </m:t>
        </m:r>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 r15</m:t>
            </m:r>
          </m:sub>
          <m:sup>
            <m:r>
              <m:rPr>
                <m:sty m:val="p"/>
              </m:rPr>
              <w:rPr>
                <w:rFonts w:ascii="Cambria Math" w:hAnsi="Cambria Math"/>
                <w:lang w:eastAsia="zh-CN"/>
              </w:rPr>
              <m:t>SCG</m:t>
            </m:r>
          </m:sup>
        </m:sSubSup>
      </m:oMath>
      <w:r>
        <w:rPr>
          <w:lang w:val="en-US" w:eastAsia="zh-CN"/>
        </w:rPr>
        <w:t xml:space="preserve"> </w:t>
      </w:r>
      <w:r>
        <w:t xml:space="preserve">downlink cells for the </w:t>
      </w:r>
      <w:r>
        <w:rPr>
          <w:lang w:val="en-US"/>
        </w:rPr>
        <w:t>S</w:t>
      </w:r>
      <w:r>
        <w:t xml:space="preserve">CG where </w:t>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 r15</m:t>
            </m:r>
          </m:sub>
          <m:sup>
            <m:r>
              <m:rPr>
                <m:sty m:val="p"/>
              </m:rPr>
              <w:rPr>
                <w:rFonts w:ascii="Cambria Math" w:hAnsi="Cambria Math"/>
                <w:lang w:eastAsia="zh-CN"/>
              </w:rPr>
              <m:t>SCG</m:t>
            </m:r>
          </m:sup>
        </m:sSubSup>
      </m:oMath>
      <w:r>
        <w:t xml:space="preserve"> is</w:t>
      </w:r>
      <w:r>
        <w:rPr>
          <w:lang w:eastAsia="ko-KR"/>
        </w:rPr>
        <w:t xml:space="preserve"> provided by </w:t>
      </w:r>
      <w:r>
        <w:rPr>
          <w:i/>
          <w:iCs/>
          <w:lang w:eastAsia="ja-JP"/>
        </w:rPr>
        <w:t>pdcch-BlindDetection</w:t>
      </w:r>
      <w:r w:rsidR="00130949">
        <w:rPr>
          <w:i/>
          <w:iCs/>
          <w:lang w:val="en-US" w:eastAsia="ja-JP"/>
        </w:rPr>
        <w:t>3</w:t>
      </w:r>
      <w:r>
        <w:t xml:space="preserve"> for the </w:t>
      </w:r>
      <w:r>
        <w:rPr>
          <w:lang w:val="en-US"/>
        </w:rPr>
        <w:t>S</w:t>
      </w:r>
      <w:r>
        <w:t>CG,</w:t>
      </w:r>
      <w:r>
        <w:rPr>
          <w:lang w:val="en-US"/>
        </w:rPr>
        <w:t xml:space="preserve"> and</w:t>
      </w:r>
    </w:p>
    <w:p w14:paraId="15F784DB" w14:textId="31B493C7" w:rsidR="00A67487" w:rsidRDefault="00A67487" w:rsidP="00A67487">
      <w:pPr>
        <w:pStyle w:val="B1"/>
      </w:pPr>
      <w:r>
        <w:t>-</w:t>
      </w:r>
      <w:r>
        <w:tab/>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cells,r16</m:t>
            </m:r>
          </m:sub>
          <m:sup>
            <m:r>
              <m:rPr>
                <m:sty m:val="p"/>
              </m:rPr>
              <w:rPr>
                <w:rFonts w:ascii="Cambria Math" w:hAnsi="Cambria Math"/>
                <w:lang w:eastAsia="zh-CN"/>
              </w:rPr>
              <m:t>cap-r16</m:t>
            </m:r>
          </m:sup>
        </m:sSubSup>
        <m:r>
          <m:rPr>
            <m:sty m:val="p"/>
          </m:rPr>
          <w:rPr>
            <w:rFonts w:ascii="Cambria Math" w:hAnsi="Cambria Math"/>
            <w:lang w:eastAsia="zh-CN"/>
          </w:rPr>
          <m:t>=</m:t>
        </m:r>
        <m:r>
          <m:rPr>
            <m:sty m:val="p"/>
          </m:rPr>
          <w:rPr>
            <w:rFonts w:ascii="Cambria Math" w:hAnsi="Cambria Math"/>
            <w:lang w:eastAsia="ko-KR"/>
          </w:rPr>
          <m:t xml:space="preserve"> </m:t>
        </m:r>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 r16</m:t>
            </m:r>
          </m:sub>
          <m:sup>
            <m:r>
              <m:rPr>
                <m:sty m:val="p"/>
              </m:rPr>
              <w:rPr>
                <w:rFonts w:ascii="Cambria Math" w:hAnsi="Cambria Math"/>
                <w:lang w:eastAsia="zh-CN"/>
              </w:rPr>
              <m:t>MCG</m:t>
            </m:r>
          </m:sup>
        </m:sSubSup>
      </m:oMath>
      <w:r>
        <w:rPr>
          <w:lang w:val="en-US" w:eastAsia="zh-CN"/>
        </w:rPr>
        <w:t xml:space="preserve"> </w:t>
      </w:r>
      <w:r>
        <w:t xml:space="preserve">downlink cells for the MCG where </w:t>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m:t>
            </m:r>
            <m:r>
              <w:rPr>
                <w:rFonts w:ascii="Cambria Math" w:hAnsi="Cambria Math"/>
                <w:lang w:eastAsia="zh-CN"/>
              </w:rPr>
              <m:t>,</m:t>
            </m:r>
            <m:r>
              <m:rPr>
                <m:sty m:val="p"/>
              </m:rPr>
              <w:rPr>
                <w:rFonts w:ascii="Cambria Math" w:hAnsi="Cambria Math"/>
                <w:lang w:eastAsia="zh-CN"/>
              </w:rPr>
              <m:t xml:space="preserve"> r1</m:t>
            </m:r>
            <m:r>
              <w:rPr>
                <w:rFonts w:ascii="Cambria Math" w:hAnsi="Cambria Math"/>
                <w:lang w:eastAsia="zh-CN"/>
              </w:rPr>
              <m:t>6</m:t>
            </m:r>
          </m:sub>
          <m:sup>
            <m:r>
              <m:rPr>
                <m:sty m:val="p"/>
              </m:rPr>
              <w:rPr>
                <w:rFonts w:ascii="Cambria Math" w:hAnsi="Cambria Math"/>
                <w:lang w:eastAsia="zh-CN"/>
              </w:rPr>
              <m:t>MCG</m:t>
            </m:r>
          </m:sup>
        </m:sSubSup>
      </m:oMath>
      <w:r>
        <w:t xml:space="preserve"> is</w:t>
      </w:r>
      <w:r>
        <w:rPr>
          <w:lang w:eastAsia="ko-KR"/>
        </w:rPr>
        <w:t xml:space="preserve"> provided by </w:t>
      </w:r>
      <w:r>
        <w:rPr>
          <w:i/>
          <w:iCs/>
          <w:lang w:eastAsia="ja-JP"/>
        </w:rPr>
        <w:t>pdcch-BlindDetection</w:t>
      </w:r>
      <w:r w:rsidR="00130949">
        <w:rPr>
          <w:i/>
          <w:iCs/>
          <w:lang w:val="en-US" w:eastAsia="ja-JP"/>
        </w:rPr>
        <w:t>2</w:t>
      </w:r>
      <w:r>
        <w:t xml:space="preserve"> for the MCG,</w:t>
      </w:r>
    </w:p>
    <w:p w14:paraId="53B07849" w14:textId="6BABE045" w:rsidR="00A67487" w:rsidRDefault="00A67487" w:rsidP="00A67487">
      <w:pPr>
        <w:pStyle w:val="B1"/>
        <w:rPr>
          <w:lang w:eastAsia="ko-KR"/>
        </w:rPr>
      </w:pPr>
      <w:r>
        <w:t>-</w:t>
      </w:r>
      <w:r>
        <w:tab/>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cells,r16</m:t>
            </m:r>
          </m:sub>
          <m:sup>
            <m:r>
              <m:rPr>
                <m:sty m:val="p"/>
              </m:rPr>
              <w:rPr>
                <w:rFonts w:ascii="Cambria Math" w:hAnsi="Cambria Math"/>
                <w:lang w:eastAsia="zh-CN"/>
              </w:rPr>
              <m:t>cap-r16</m:t>
            </m:r>
          </m:sup>
        </m:sSubSup>
        <m:r>
          <m:rPr>
            <m:sty m:val="p"/>
          </m:rPr>
          <w:rPr>
            <w:rFonts w:ascii="Cambria Math" w:hAnsi="Cambria Math"/>
            <w:lang w:eastAsia="zh-CN"/>
          </w:rPr>
          <m:t>=</m:t>
        </m:r>
        <m:r>
          <m:rPr>
            <m:sty m:val="p"/>
          </m:rPr>
          <w:rPr>
            <w:rFonts w:ascii="Cambria Math" w:hAnsi="Cambria Math"/>
            <w:lang w:eastAsia="ko-KR"/>
          </w:rPr>
          <m:t xml:space="preserve"> </m:t>
        </m:r>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 r16</m:t>
            </m:r>
          </m:sub>
          <m:sup>
            <m:r>
              <m:rPr>
                <m:sty m:val="p"/>
              </m:rPr>
              <w:rPr>
                <w:rFonts w:ascii="Cambria Math" w:hAnsi="Cambria Math"/>
                <w:lang w:eastAsia="zh-CN"/>
              </w:rPr>
              <m:t>SCG</m:t>
            </m:r>
          </m:sup>
        </m:sSubSup>
      </m:oMath>
      <w:r>
        <w:rPr>
          <w:lang w:val="en-US" w:eastAsia="zh-CN"/>
        </w:rPr>
        <w:t xml:space="preserve"> </w:t>
      </w:r>
      <w:r>
        <w:t xml:space="preserve">downlink cells for the </w:t>
      </w:r>
      <w:r>
        <w:rPr>
          <w:lang w:val="en-US"/>
        </w:rPr>
        <w:t>S</w:t>
      </w:r>
      <w:r>
        <w:t xml:space="preserve">CG where </w:t>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 r16</m:t>
            </m:r>
          </m:sub>
          <m:sup>
            <m:r>
              <m:rPr>
                <m:sty m:val="p"/>
              </m:rPr>
              <w:rPr>
                <w:rFonts w:ascii="Cambria Math" w:hAnsi="Cambria Math"/>
                <w:lang w:eastAsia="zh-CN"/>
              </w:rPr>
              <m:t>SCG</m:t>
            </m:r>
          </m:sup>
        </m:sSubSup>
      </m:oMath>
      <w:r>
        <w:t xml:space="preserve"> is</w:t>
      </w:r>
      <w:r>
        <w:rPr>
          <w:lang w:eastAsia="ko-KR"/>
        </w:rPr>
        <w:t xml:space="preserve"> provided by </w:t>
      </w:r>
      <w:r>
        <w:rPr>
          <w:i/>
          <w:iCs/>
          <w:lang w:eastAsia="ja-JP"/>
        </w:rPr>
        <w:t>pdcch-BlindDetection</w:t>
      </w:r>
      <w:r w:rsidR="00130949">
        <w:rPr>
          <w:i/>
          <w:iCs/>
          <w:lang w:val="en-US" w:eastAsia="ja-JP"/>
        </w:rPr>
        <w:t>2</w:t>
      </w:r>
      <w:r>
        <w:t xml:space="preserve"> for the </w:t>
      </w:r>
      <w:r>
        <w:rPr>
          <w:lang w:val="en-US"/>
        </w:rPr>
        <w:t>S</w:t>
      </w:r>
      <w:r>
        <w:t>CG</w:t>
      </w:r>
      <w:r>
        <w:rPr>
          <w:lang w:eastAsia="ko-KR"/>
        </w:rPr>
        <w:t xml:space="preserve"> </w:t>
      </w:r>
    </w:p>
    <w:p w14:paraId="3403613C" w14:textId="018E65F7" w:rsidR="00A67487" w:rsidRDefault="00A67487" w:rsidP="00A67487">
      <w:pPr>
        <w:rPr>
          <w:lang w:eastAsia="ko-KR"/>
        </w:rPr>
      </w:pPr>
      <w:r>
        <w:rPr>
          <w:lang w:eastAsia="ko-KR"/>
        </w:rPr>
        <w:t xml:space="preserve">When </w:t>
      </w:r>
      <w:r w:rsidR="00EA3E77">
        <w:rPr>
          <w:lang w:eastAsia="ko-KR"/>
        </w:rPr>
        <w:t xml:space="preserve">a </w:t>
      </w:r>
      <w:r>
        <w:rPr>
          <w:lang w:eastAsia="ko-KR"/>
        </w:rPr>
        <w:t xml:space="preserve">UE is configured for carrier aggregation operation over more than two downlink cells with at least one downlink cell with </w:t>
      </w:r>
      <w:r>
        <w:rPr>
          <w:i/>
        </w:rPr>
        <w:t>monitoringCapabilityConfig</w:t>
      </w:r>
      <w:r>
        <w:t xml:space="preserve"> = </w:t>
      </w:r>
      <w:r>
        <w:rPr>
          <w:i/>
        </w:rPr>
        <w:t>r15monitoringcapability</w:t>
      </w:r>
      <w:r w:rsidR="00EA3E77">
        <w:rPr>
          <w:lang w:eastAsia="ko-KR"/>
        </w:rPr>
        <w:t>,</w:t>
      </w:r>
      <w:r>
        <w:rPr>
          <w:lang w:eastAsia="ko-KR"/>
        </w:rPr>
        <w:t xml:space="preserve"> at least one downlink cell with </w:t>
      </w:r>
      <w:r>
        <w:rPr>
          <w:i/>
        </w:rPr>
        <w:t>monitoringCapabilityConfig</w:t>
      </w:r>
      <w:r>
        <w:t xml:space="preserve"> = </w:t>
      </w:r>
      <w:r>
        <w:rPr>
          <w:i/>
        </w:rPr>
        <w:t>r16monitoringcapability</w:t>
      </w:r>
      <w:r>
        <w:rPr>
          <w:rFonts w:eastAsia="Malgun Gothic"/>
          <w:lang w:eastAsia="ko-KR"/>
        </w:rPr>
        <w:t xml:space="preserve">, </w:t>
      </w:r>
      <w:r w:rsidR="00EA3E77">
        <w:rPr>
          <w:rFonts w:eastAsia="Malgun Gothic"/>
          <w:lang w:eastAsia="ko-KR"/>
        </w:rPr>
        <w:t xml:space="preserve">and no </w:t>
      </w:r>
      <w:r w:rsidR="00EA3E77">
        <w:rPr>
          <w:lang w:eastAsia="ko-KR"/>
        </w:rPr>
        <w:t>downlink cell has</w:t>
      </w:r>
      <w:r w:rsidR="00EA3E77" w:rsidRPr="00EC1625">
        <w:rPr>
          <w:lang w:val="en-US" w:eastAsia="ja-JP"/>
        </w:rPr>
        <w:t xml:space="preserve"> SCS configuration</w:t>
      </w:r>
      <w:r w:rsidR="00EA3E77">
        <w:rPr>
          <w:lang w:val="en-US" w:eastAsia="ja-JP"/>
        </w:rPr>
        <w:t xml:space="preserve"> </w:t>
      </w:r>
      <m:oMath>
        <m:r>
          <w:rPr>
            <w:rFonts w:ascii="Cambria Math" w:hAnsi="Cambria Math"/>
            <w:lang w:eastAsia="zh-CN"/>
          </w:rPr>
          <m:t>μ∈</m:t>
        </m:r>
        <m:d>
          <m:dPr>
            <m:begChr m:val="{"/>
            <m:endChr m:val="}"/>
            <m:ctrlPr>
              <w:rPr>
                <w:rFonts w:ascii="Cambria Math" w:hAnsi="Cambria Math"/>
                <w:bCs/>
                <w:i/>
                <w:lang w:eastAsia="zh-CN"/>
              </w:rPr>
            </m:ctrlPr>
          </m:dPr>
          <m:e>
            <m:r>
              <w:rPr>
                <w:rFonts w:ascii="Cambria Math" w:hAnsi="Cambria Math"/>
                <w:lang w:eastAsia="zh-CN"/>
              </w:rPr>
              <m:t>5, 6</m:t>
            </m:r>
          </m:e>
        </m:d>
      </m:oMath>
      <w:r w:rsidR="00EA3E77">
        <w:rPr>
          <w:lang w:eastAsia="ko-KR"/>
        </w:rPr>
        <w:t xml:space="preserve">, </w:t>
      </w:r>
      <w:r>
        <w:rPr>
          <w:lang w:eastAsia="ko-KR"/>
        </w:rPr>
        <w:t xml:space="preserve">or for a cell group when the UE is configured for NR-DC operation, the UE does not expect to </w:t>
      </w:r>
    </w:p>
    <w:p w14:paraId="00B6170A" w14:textId="77777777" w:rsidR="00A67487" w:rsidRDefault="00A67487" w:rsidP="00A67487">
      <w:pPr>
        <w:pStyle w:val="B1"/>
        <w:rPr>
          <w:lang w:eastAsia="ko-KR"/>
        </w:rPr>
      </w:pPr>
      <w:r>
        <w:t>-</w:t>
      </w:r>
      <w:r>
        <w:tab/>
      </w:r>
      <w:r>
        <w:rPr>
          <w:lang w:eastAsia="ko-KR"/>
        </w:rPr>
        <w:t xml:space="preserve">monitor per slot a number of PDCCH candidates or a number of non-overlapped CCEs that is larger than the maximum number as derived from </w:t>
      </w:r>
      <w:r>
        <w:rPr>
          <w:lang w:eastAsia="ja-JP"/>
        </w:rPr>
        <w:t xml:space="preserve">the corresponding value of </w:t>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cells,r15</m:t>
            </m:r>
          </m:sub>
          <m:sup>
            <m:r>
              <m:rPr>
                <m:sty m:val="p"/>
              </m:rPr>
              <w:rPr>
                <w:rFonts w:ascii="Cambria Math" w:hAnsi="Cambria Math"/>
                <w:lang w:eastAsia="zh-CN"/>
              </w:rPr>
              <m:t>cap-r16</m:t>
            </m:r>
          </m:sup>
        </m:sSubSup>
      </m:oMath>
      <w:r>
        <w:rPr>
          <w:lang w:val="en-US" w:eastAsia="ko-KR"/>
        </w:rPr>
        <w:t xml:space="preserve">, </w:t>
      </w:r>
      <w:r>
        <w:rPr>
          <w:lang w:eastAsia="ko-KR"/>
        </w:rPr>
        <w:t xml:space="preserve">and </w:t>
      </w:r>
    </w:p>
    <w:p w14:paraId="649E7EBF" w14:textId="77777777" w:rsidR="00A67487" w:rsidRDefault="00A67487" w:rsidP="00A67487">
      <w:pPr>
        <w:pStyle w:val="B1"/>
        <w:rPr>
          <w:lang w:eastAsia="ko-KR"/>
        </w:rPr>
      </w:pPr>
      <w:r>
        <w:lastRenderedPageBreak/>
        <w:t>-</w:t>
      </w:r>
      <w:r>
        <w:tab/>
      </w:r>
      <w:r>
        <w:rPr>
          <w:lang w:eastAsia="ko-KR"/>
        </w:rPr>
        <w:t xml:space="preserve">monitor per span a number of PDCCH candidates or a number of non-overlapped CCEs that is larger than the maximum number as derived from </w:t>
      </w:r>
      <w:r>
        <w:rPr>
          <w:lang w:eastAsia="ja-JP"/>
        </w:rPr>
        <w:t xml:space="preserve">the corresponding value of </w:t>
      </w:r>
      <m:oMath>
        <m:sSubSup>
          <m:sSubSupPr>
            <m:ctrlPr>
              <w:rPr>
                <w:rFonts w:ascii="Cambria Math" w:hAnsi="Cambria Math"/>
                <w:iCs/>
                <w:lang w:eastAsia="zh-CN"/>
              </w:rPr>
            </m:ctrlPr>
          </m:sSubSupPr>
          <m:e>
            <m:r>
              <w:rPr>
                <w:rFonts w:ascii="Cambria Math" w:hAnsi="Cambria Math"/>
                <w:lang w:eastAsia="zh-CN"/>
              </w:rPr>
              <m:t>N</m:t>
            </m:r>
          </m:e>
          <m:sub>
            <m:r>
              <m:rPr>
                <m:sty m:val="p"/>
              </m:rPr>
              <w:rPr>
                <w:rFonts w:ascii="Cambria Math" w:hAnsi="Cambria Math"/>
                <w:lang w:eastAsia="zh-CN"/>
              </w:rPr>
              <m:t>cells,r16</m:t>
            </m:r>
          </m:sub>
          <m:sup>
            <m:r>
              <m:rPr>
                <m:sty m:val="p"/>
              </m:rPr>
              <w:rPr>
                <w:rFonts w:ascii="Cambria Math" w:hAnsi="Cambria Math"/>
                <w:lang w:eastAsia="zh-CN"/>
              </w:rPr>
              <m:t>cap-r16</m:t>
            </m:r>
          </m:sup>
        </m:sSubSup>
      </m:oMath>
      <w:r>
        <w:rPr>
          <w:lang w:eastAsia="ko-KR"/>
        </w:rPr>
        <w:t xml:space="preserve"> </w:t>
      </w:r>
    </w:p>
    <w:p w14:paraId="491167C7" w14:textId="77777777" w:rsidR="00524E6C" w:rsidRDefault="00524E6C" w:rsidP="00524E6C">
      <w:pPr>
        <w:rPr>
          <w:lang w:eastAsia="ko-KR"/>
        </w:rPr>
      </w:pPr>
      <w:r>
        <w:rPr>
          <w:lang w:eastAsia="ko-KR"/>
        </w:rPr>
        <w:t xml:space="preserve">When the UE is configured for carrier aggregation operation over more than two downlink cells with at least one downlink cell with </w:t>
      </w:r>
      <w:r>
        <w:rPr>
          <w:i/>
        </w:rPr>
        <w:t>monitoringCapabilityConfig</w:t>
      </w:r>
      <w:r>
        <w:t xml:space="preserve"> = </w:t>
      </w:r>
      <w:r>
        <w:rPr>
          <w:i/>
        </w:rPr>
        <w:t>r15monitoringcapability</w:t>
      </w:r>
      <w:r>
        <w:rPr>
          <w:lang w:eastAsia="ko-KR"/>
        </w:rPr>
        <w:t xml:space="preserve">, at least one downlink cell </w:t>
      </w:r>
      <w:r w:rsidRPr="00EC1625">
        <w:rPr>
          <w:lang w:val="en-US" w:eastAsia="ja-JP"/>
        </w:rPr>
        <w:t xml:space="preserve">with </w:t>
      </w:r>
      <w:r>
        <w:rPr>
          <w:i/>
          <w:lang w:val="en-US"/>
        </w:rPr>
        <w:t>monitoringCapabilityConfig</w:t>
      </w:r>
      <w:r>
        <w:rPr>
          <w:lang w:val="en-US"/>
        </w:rPr>
        <w:t xml:space="preserve"> = </w:t>
      </w:r>
      <w:r>
        <w:rPr>
          <w:i/>
        </w:rPr>
        <w:t>r17monitoringcapability</w:t>
      </w:r>
      <w:r>
        <w:rPr>
          <w:rFonts w:eastAsia="Malgun Gothic"/>
          <w:lang w:eastAsia="ko-KR"/>
        </w:rPr>
        <w:t xml:space="preserve">, and no </w:t>
      </w:r>
      <w:r>
        <w:rPr>
          <w:lang w:eastAsia="ko-KR"/>
        </w:rPr>
        <w:t xml:space="preserve">downlink cell with </w:t>
      </w:r>
      <w:r>
        <w:rPr>
          <w:i/>
        </w:rPr>
        <w:t>monitoringCapabilityConfig</w:t>
      </w:r>
      <w:r>
        <w:t xml:space="preserve"> = </w:t>
      </w:r>
      <w:r>
        <w:rPr>
          <w:i/>
        </w:rPr>
        <w:t>r16monitoringcapability</w:t>
      </w:r>
      <w:r>
        <w:rPr>
          <w:lang w:eastAsia="ko-KR"/>
        </w:rPr>
        <w:t xml:space="preserve">, the UE does not expect to </w:t>
      </w:r>
    </w:p>
    <w:p w14:paraId="3BC706CC" w14:textId="77777777" w:rsidR="00524E6C" w:rsidRDefault="00524E6C" w:rsidP="00524E6C">
      <w:pPr>
        <w:pStyle w:val="B1"/>
        <w:rPr>
          <w:lang w:eastAsia="ko-KR"/>
        </w:rPr>
      </w:pPr>
      <w:r>
        <w:t>-</w:t>
      </w:r>
      <w:r>
        <w:tab/>
      </w:r>
      <w:r>
        <w:rPr>
          <w:lang w:eastAsia="ko-KR"/>
        </w:rPr>
        <w:t xml:space="preserve">monitor per slot a number of PDCCH candidates or a number of non-overlapped CCEs that is larger than the maximum number as derived from </w:t>
      </w:r>
      <w:r>
        <w:rPr>
          <w:lang w:eastAsia="ja-JP"/>
        </w:rPr>
        <w:t xml:space="preserve">the corresponding value of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cells,r15/r17</m:t>
            </m:r>
          </m:sub>
          <m:sup>
            <m:r>
              <w:rPr>
                <w:rFonts w:ascii="Cambria Math"/>
                <w:lang w:eastAsia="zh-CN"/>
              </w:rPr>
              <m:t>cap</m:t>
            </m:r>
            <m:r>
              <w:rPr>
                <w:rFonts w:ascii="Cambria Math"/>
                <w:lang w:eastAsia="zh-CN"/>
              </w:rPr>
              <m:t>-</m:t>
            </m:r>
            <m:r>
              <w:rPr>
                <w:rFonts w:ascii="Cambria Math"/>
                <w:lang w:eastAsia="zh-CN"/>
              </w:rPr>
              <m:t>r17</m:t>
            </m:r>
          </m:sup>
        </m:sSubSup>
      </m:oMath>
      <w:r>
        <w:rPr>
          <w:lang w:val="en-US" w:eastAsia="ko-KR"/>
        </w:rPr>
        <w:t xml:space="preserve">, </w:t>
      </w:r>
      <w:r>
        <w:rPr>
          <w:lang w:eastAsia="ko-KR"/>
        </w:rPr>
        <w:t xml:space="preserve">and </w:t>
      </w:r>
    </w:p>
    <w:p w14:paraId="5D5CA137" w14:textId="77777777" w:rsidR="00524E6C" w:rsidRDefault="00524E6C" w:rsidP="00524E6C">
      <w:pPr>
        <w:pStyle w:val="B1"/>
        <w:rPr>
          <w:lang w:eastAsia="ko-KR"/>
        </w:rPr>
      </w:pPr>
      <w:r>
        <w:t>-</w:t>
      </w:r>
      <w:r>
        <w:tab/>
      </w:r>
      <w:r>
        <w:rPr>
          <w:lang w:eastAsia="ko-KR"/>
        </w:rPr>
        <w:t xml:space="preserve">monitor per </w:t>
      </w:r>
      <w:r>
        <w:rPr>
          <w:lang w:val="en-US" w:eastAsia="ko-KR"/>
        </w:rPr>
        <w:t xml:space="preserve">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Pr>
          <w:lang w:val="en-US" w:eastAsia="zh-CN"/>
        </w:rPr>
        <w:t xml:space="preserve"> </w:t>
      </w:r>
      <w:r>
        <w:rPr>
          <w:lang w:val="en-US" w:eastAsia="ko-KR"/>
        </w:rPr>
        <w:t>slots</w:t>
      </w:r>
      <w:r>
        <w:rPr>
          <w:lang w:eastAsia="ko-KR"/>
        </w:rPr>
        <w:t xml:space="preserve"> a number of PDCCH candidates or a number of non-overlapped CCEs that is larger than the maximum number as derived from </w:t>
      </w:r>
      <w:r>
        <w:rPr>
          <w:lang w:eastAsia="ja-JP"/>
        </w:rPr>
        <w:t xml:space="preserve">the corresponding value of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cells,r17/r15</m:t>
            </m:r>
          </m:sub>
          <m:sup>
            <m:r>
              <w:rPr>
                <w:rFonts w:ascii="Cambria Math"/>
                <w:lang w:eastAsia="zh-CN"/>
              </w:rPr>
              <m:t>cap</m:t>
            </m:r>
            <m:r>
              <w:rPr>
                <w:rFonts w:ascii="Cambria Math"/>
                <w:lang w:eastAsia="zh-CN"/>
              </w:rPr>
              <m:t>-</m:t>
            </m:r>
            <m:r>
              <w:rPr>
                <w:rFonts w:ascii="Cambria Math"/>
                <w:lang w:eastAsia="zh-CN"/>
              </w:rPr>
              <m:t>r17</m:t>
            </m:r>
          </m:sup>
        </m:sSubSup>
      </m:oMath>
    </w:p>
    <w:p w14:paraId="45A1A468" w14:textId="77777777" w:rsidR="00524E6C" w:rsidRDefault="00524E6C" w:rsidP="00524E6C">
      <w:pPr>
        <w:rPr>
          <w:lang w:eastAsia="ko-KR"/>
        </w:rPr>
      </w:pPr>
      <w:r>
        <w:rPr>
          <w:lang w:eastAsia="ko-KR"/>
        </w:rPr>
        <w:t xml:space="preserve">When the UE is configured for carrier aggregation operation over more than two downlink cells with at least one downlink cell with </w:t>
      </w:r>
      <w:r>
        <w:rPr>
          <w:i/>
        </w:rPr>
        <w:t>monitoringCapabilityConfig</w:t>
      </w:r>
      <w:r>
        <w:t xml:space="preserve"> = </w:t>
      </w:r>
      <w:r>
        <w:rPr>
          <w:i/>
        </w:rPr>
        <w:t>r16monitoringcapability</w:t>
      </w:r>
      <w:r>
        <w:rPr>
          <w:lang w:eastAsia="ko-KR"/>
        </w:rPr>
        <w:t xml:space="preserve">, at least one downlink cell </w:t>
      </w:r>
      <w:r w:rsidRPr="00EC1625">
        <w:rPr>
          <w:lang w:val="en-US" w:eastAsia="ja-JP"/>
        </w:rPr>
        <w:t xml:space="preserve">with </w:t>
      </w:r>
      <w:r>
        <w:rPr>
          <w:i/>
          <w:lang w:val="en-US"/>
        </w:rPr>
        <w:t>monitoringCapabilityConfig</w:t>
      </w:r>
      <w:r>
        <w:rPr>
          <w:lang w:val="en-US"/>
        </w:rPr>
        <w:t xml:space="preserve"> = </w:t>
      </w:r>
      <w:r>
        <w:rPr>
          <w:i/>
        </w:rPr>
        <w:t>r17monitoringcapability</w:t>
      </w:r>
      <w:r>
        <w:rPr>
          <w:rFonts w:eastAsia="Malgun Gothic"/>
          <w:lang w:eastAsia="ko-KR"/>
        </w:rPr>
        <w:t xml:space="preserve">, and no </w:t>
      </w:r>
      <w:r>
        <w:rPr>
          <w:lang w:eastAsia="ko-KR"/>
        </w:rPr>
        <w:t xml:space="preserve">downlink cell with </w:t>
      </w:r>
      <w:r>
        <w:rPr>
          <w:i/>
        </w:rPr>
        <w:t>monitoringCapabilityConfig</w:t>
      </w:r>
      <w:r>
        <w:t xml:space="preserve"> = </w:t>
      </w:r>
      <w:r>
        <w:rPr>
          <w:i/>
        </w:rPr>
        <w:t>r15monitoringcapability</w:t>
      </w:r>
      <w:r>
        <w:rPr>
          <w:lang w:eastAsia="ko-KR"/>
        </w:rPr>
        <w:t xml:space="preserve">, the UE does not expect to </w:t>
      </w:r>
    </w:p>
    <w:p w14:paraId="652CF30F" w14:textId="77777777" w:rsidR="00524E6C" w:rsidRDefault="00524E6C" w:rsidP="00524E6C">
      <w:pPr>
        <w:pStyle w:val="B1"/>
        <w:rPr>
          <w:lang w:eastAsia="ko-KR"/>
        </w:rPr>
      </w:pPr>
      <w:r>
        <w:t>-</w:t>
      </w:r>
      <w:r>
        <w:tab/>
      </w:r>
      <w:r>
        <w:rPr>
          <w:lang w:eastAsia="ko-KR"/>
        </w:rPr>
        <w:t xml:space="preserve">monitor per </w:t>
      </w:r>
      <w:r>
        <w:rPr>
          <w:lang w:val="en-US" w:eastAsia="ko-KR"/>
        </w:rPr>
        <w:t>span</w:t>
      </w:r>
      <w:r>
        <w:rPr>
          <w:lang w:eastAsia="ko-KR"/>
        </w:rPr>
        <w:t xml:space="preserve"> a number of PDCCH candidates or a number of non-overlapped CCEs that is larger than the maximum number as derived from </w:t>
      </w:r>
      <w:r>
        <w:rPr>
          <w:lang w:eastAsia="ja-JP"/>
        </w:rPr>
        <w:t xml:space="preserve">the corresponding value of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cells,r16/r17</m:t>
            </m:r>
          </m:sub>
          <m:sup>
            <m:r>
              <w:rPr>
                <w:rFonts w:ascii="Cambria Math"/>
                <w:lang w:eastAsia="zh-CN"/>
              </w:rPr>
              <m:t>cap</m:t>
            </m:r>
            <m:r>
              <w:rPr>
                <w:rFonts w:ascii="Cambria Math"/>
                <w:lang w:eastAsia="zh-CN"/>
              </w:rPr>
              <m:t>-</m:t>
            </m:r>
            <m:r>
              <w:rPr>
                <w:rFonts w:ascii="Cambria Math"/>
                <w:lang w:eastAsia="zh-CN"/>
              </w:rPr>
              <m:t>r17</m:t>
            </m:r>
          </m:sup>
        </m:sSubSup>
      </m:oMath>
      <w:r>
        <w:rPr>
          <w:lang w:val="en-US" w:eastAsia="ko-KR"/>
        </w:rPr>
        <w:t xml:space="preserve">, </w:t>
      </w:r>
      <w:r>
        <w:rPr>
          <w:lang w:eastAsia="ko-KR"/>
        </w:rPr>
        <w:t xml:space="preserve">and </w:t>
      </w:r>
    </w:p>
    <w:p w14:paraId="08757905" w14:textId="77777777" w:rsidR="00524E6C" w:rsidRDefault="00524E6C" w:rsidP="00524E6C">
      <w:pPr>
        <w:pStyle w:val="B1"/>
        <w:rPr>
          <w:lang w:eastAsia="zh-CN"/>
        </w:rPr>
      </w:pPr>
      <w:r>
        <w:t>-</w:t>
      </w:r>
      <w:r>
        <w:tab/>
      </w:r>
      <w:r>
        <w:rPr>
          <w:lang w:eastAsia="ko-KR"/>
        </w:rPr>
        <w:t xml:space="preserve">monitor per </w:t>
      </w:r>
      <w:r>
        <w:rPr>
          <w:lang w:val="en-US" w:eastAsia="ko-KR"/>
        </w:rPr>
        <w:t xml:space="preserve">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Pr>
          <w:lang w:val="en-US" w:eastAsia="zh-CN"/>
        </w:rPr>
        <w:t xml:space="preserve"> </w:t>
      </w:r>
      <w:r>
        <w:rPr>
          <w:lang w:val="en-US" w:eastAsia="ko-KR"/>
        </w:rPr>
        <w:t>slots</w:t>
      </w:r>
      <w:r>
        <w:rPr>
          <w:lang w:eastAsia="ko-KR"/>
        </w:rPr>
        <w:t xml:space="preserve"> a number of PDCCH candidates or a number of non-overlapped CCEs that is larger than the maximum number as derived from </w:t>
      </w:r>
      <w:r>
        <w:rPr>
          <w:lang w:eastAsia="ja-JP"/>
        </w:rPr>
        <w:t xml:space="preserve">the corresponding value of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cells,r17/r16</m:t>
            </m:r>
          </m:sub>
          <m:sup>
            <m:r>
              <w:rPr>
                <w:rFonts w:ascii="Cambria Math"/>
                <w:lang w:eastAsia="zh-CN"/>
              </w:rPr>
              <m:t>cap</m:t>
            </m:r>
            <m:r>
              <w:rPr>
                <w:rFonts w:ascii="Cambria Math"/>
                <w:lang w:eastAsia="zh-CN"/>
              </w:rPr>
              <m:t>-</m:t>
            </m:r>
            <m:r>
              <w:rPr>
                <w:rFonts w:ascii="Cambria Math"/>
                <w:lang w:eastAsia="zh-CN"/>
              </w:rPr>
              <m:t>r17</m:t>
            </m:r>
          </m:sup>
        </m:sSubSup>
      </m:oMath>
    </w:p>
    <w:p w14:paraId="1DB05DE1" w14:textId="77777777" w:rsidR="00524E6C" w:rsidRDefault="00524E6C" w:rsidP="00524E6C">
      <w:pPr>
        <w:rPr>
          <w:lang w:eastAsia="ko-KR"/>
        </w:rPr>
      </w:pPr>
      <w:r>
        <w:rPr>
          <w:lang w:eastAsia="ko-KR"/>
        </w:rPr>
        <w:t xml:space="preserve">When the UE is configured for carrier aggregation operation over more than three downlink cells with at least one downlink cell with </w:t>
      </w:r>
      <w:r>
        <w:rPr>
          <w:i/>
        </w:rPr>
        <w:t>monitoringCapabilityConfig</w:t>
      </w:r>
      <w:r>
        <w:t xml:space="preserve"> = </w:t>
      </w:r>
      <w:r>
        <w:rPr>
          <w:i/>
        </w:rPr>
        <w:t>r15monitoringcapability</w:t>
      </w:r>
      <w:r>
        <w:rPr>
          <w:lang w:eastAsia="ko-KR"/>
        </w:rPr>
        <w:t xml:space="preserve">, at least one downlink cell with </w:t>
      </w:r>
      <w:r>
        <w:rPr>
          <w:i/>
        </w:rPr>
        <w:t>monitoringCapabilityConfig</w:t>
      </w:r>
      <w:r>
        <w:t xml:space="preserve"> = </w:t>
      </w:r>
      <w:r>
        <w:rPr>
          <w:i/>
        </w:rPr>
        <w:t>r16monitoringcapability</w:t>
      </w:r>
      <w:r>
        <w:rPr>
          <w:rFonts w:eastAsia="Malgun Gothic"/>
          <w:lang w:eastAsia="ko-KR"/>
        </w:rPr>
        <w:t xml:space="preserve">, and at least one </w:t>
      </w:r>
      <w:r>
        <w:rPr>
          <w:lang w:eastAsia="ko-KR"/>
        </w:rPr>
        <w:t xml:space="preserve">downlink cell </w:t>
      </w:r>
      <w:r w:rsidRPr="00EC1625">
        <w:rPr>
          <w:lang w:val="en-US" w:eastAsia="ja-JP"/>
        </w:rPr>
        <w:t xml:space="preserve">with </w:t>
      </w:r>
      <w:r>
        <w:rPr>
          <w:i/>
          <w:lang w:val="en-US"/>
        </w:rPr>
        <w:t>monitoringCapabilityConfig</w:t>
      </w:r>
      <w:r>
        <w:rPr>
          <w:lang w:val="en-US"/>
        </w:rPr>
        <w:t xml:space="preserve"> = </w:t>
      </w:r>
      <w:r>
        <w:rPr>
          <w:i/>
        </w:rPr>
        <w:t>r17monitoringcapability</w:t>
      </w:r>
      <w:r>
        <w:rPr>
          <w:lang w:eastAsia="ko-KR"/>
        </w:rPr>
        <w:t xml:space="preserve">, the UE does not expect to </w:t>
      </w:r>
    </w:p>
    <w:p w14:paraId="120E48E6" w14:textId="77777777" w:rsidR="00524E6C" w:rsidRDefault="00524E6C" w:rsidP="00524E6C">
      <w:pPr>
        <w:pStyle w:val="B1"/>
        <w:rPr>
          <w:lang w:eastAsia="ko-KR"/>
        </w:rPr>
      </w:pPr>
      <w:r>
        <w:t>-</w:t>
      </w:r>
      <w:r>
        <w:tab/>
      </w:r>
      <w:r>
        <w:rPr>
          <w:lang w:eastAsia="ko-KR"/>
        </w:rPr>
        <w:t xml:space="preserve">monitor per slot a number of PDCCH candidates or a number of non-overlapped CCEs that is larger than the maximum number as derived from </w:t>
      </w:r>
      <w:r>
        <w:rPr>
          <w:lang w:eastAsia="ja-JP"/>
        </w:rPr>
        <w:t xml:space="preserve">the corresponding value of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cells,r15/{r16,r17}</m:t>
            </m:r>
          </m:sub>
          <m:sup>
            <m:r>
              <w:rPr>
                <w:rFonts w:ascii="Cambria Math"/>
                <w:lang w:eastAsia="zh-CN"/>
              </w:rPr>
              <m:t>cap</m:t>
            </m:r>
            <m:r>
              <w:rPr>
                <w:rFonts w:ascii="Cambria Math"/>
                <w:lang w:eastAsia="zh-CN"/>
              </w:rPr>
              <m:t>-</m:t>
            </m:r>
            <m:r>
              <w:rPr>
                <w:rFonts w:ascii="Cambria Math"/>
                <w:lang w:eastAsia="zh-CN"/>
              </w:rPr>
              <m:t>r17</m:t>
            </m:r>
          </m:sup>
        </m:sSubSup>
      </m:oMath>
      <w:r>
        <w:rPr>
          <w:lang w:val="en-US" w:eastAsia="ko-KR"/>
        </w:rPr>
        <w:t xml:space="preserve">, </w:t>
      </w:r>
      <w:r>
        <w:rPr>
          <w:lang w:eastAsia="ko-KR"/>
        </w:rPr>
        <w:t xml:space="preserve">and </w:t>
      </w:r>
    </w:p>
    <w:p w14:paraId="490F4FF5" w14:textId="77777777" w:rsidR="00524E6C" w:rsidRDefault="00524E6C" w:rsidP="00524E6C">
      <w:pPr>
        <w:pStyle w:val="B1"/>
        <w:rPr>
          <w:lang w:eastAsia="ko-KR"/>
        </w:rPr>
      </w:pPr>
      <w:r>
        <w:t>-</w:t>
      </w:r>
      <w:r>
        <w:tab/>
      </w:r>
      <w:r>
        <w:rPr>
          <w:lang w:eastAsia="ko-KR"/>
        </w:rPr>
        <w:t xml:space="preserve">monitor per </w:t>
      </w:r>
      <w:r>
        <w:rPr>
          <w:lang w:val="en-US" w:eastAsia="ko-KR"/>
        </w:rPr>
        <w:t>span</w:t>
      </w:r>
      <w:r>
        <w:rPr>
          <w:lang w:eastAsia="ko-KR"/>
        </w:rPr>
        <w:t xml:space="preserve"> a number of PDCCH candidates or a number of non-overlapped CCEs that is larger than the maximum number as derived from </w:t>
      </w:r>
      <w:r>
        <w:rPr>
          <w:lang w:eastAsia="ja-JP"/>
        </w:rPr>
        <w:t xml:space="preserve">the corresponding value of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cells,r16/{r15,r17}</m:t>
            </m:r>
          </m:sub>
          <m:sup>
            <m:r>
              <w:rPr>
                <w:rFonts w:ascii="Cambria Math"/>
                <w:lang w:eastAsia="zh-CN"/>
              </w:rPr>
              <m:t>cap</m:t>
            </m:r>
            <m:r>
              <w:rPr>
                <w:rFonts w:ascii="Cambria Math"/>
                <w:lang w:eastAsia="zh-CN"/>
              </w:rPr>
              <m:t>-</m:t>
            </m:r>
            <m:r>
              <w:rPr>
                <w:rFonts w:ascii="Cambria Math"/>
                <w:lang w:eastAsia="zh-CN"/>
              </w:rPr>
              <m:t>r17</m:t>
            </m:r>
          </m:sup>
        </m:sSubSup>
      </m:oMath>
      <w:r>
        <w:rPr>
          <w:lang w:val="en-US" w:eastAsia="ko-KR"/>
        </w:rPr>
        <w:t xml:space="preserve">, </w:t>
      </w:r>
      <w:r>
        <w:rPr>
          <w:lang w:eastAsia="ko-KR"/>
        </w:rPr>
        <w:t xml:space="preserve">and </w:t>
      </w:r>
    </w:p>
    <w:p w14:paraId="6B7B50E1" w14:textId="77777777" w:rsidR="00524E6C" w:rsidRDefault="00524E6C" w:rsidP="00524E6C">
      <w:pPr>
        <w:pStyle w:val="B1"/>
        <w:rPr>
          <w:lang w:eastAsia="zh-CN"/>
        </w:rPr>
      </w:pPr>
      <w:r>
        <w:t>-</w:t>
      </w:r>
      <w:r>
        <w:tab/>
      </w:r>
      <w:r>
        <w:rPr>
          <w:lang w:eastAsia="ko-KR"/>
        </w:rPr>
        <w:t xml:space="preserve">monitor per </w:t>
      </w:r>
      <w:r>
        <w:rPr>
          <w:lang w:val="en-US" w:eastAsia="ko-KR"/>
        </w:rPr>
        <w:t xml:space="preserve">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Pr>
          <w:lang w:val="en-US" w:eastAsia="zh-CN"/>
        </w:rPr>
        <w:t xml:space="preserve"> </w:t>
      </w:r>
      <w:r>
        <w:rPr>
          <w:lang w:val="en-US" w:eastAsia="ko-KR"/>
        </w:rPr>
        <w:t>slots</w:t>
      </w:r>
      <w:r>
        <w:rPr>
          <w:lang w:eastAsia="ko-KR"/>
        </w:rPr>
        <w:t xml:space="preserve"> a number of PDCCH candidates or a number of non-overlapped CCEs that is larger than the maximum number as derived from </w:t>
      </w:r>
      <w:r>
        <w:rPr>
          <w:lang w:eastAsia="ja-JP"/>
        </w:rPr>
        <w:t xml:space="preserve">the corresponding value of </w:t>
      </w:r>
      <m:oMath>
        <m:sSubSup>
          <m:sSubSupPr>
            <m:ctrlPr>
              <w:rPr>
                <w:rFonts w:ascii="Cambria Math" w:hAnsi="Cambria Math"/>
                <w:i/>
                <w:lang w:eastAsia="zh-CN"/>
              </w:rPr>
            </m:ctrlPr>
          </m:sSubSupPr>
          <m:e>
            <m:r>
              <w:rPr>
                <w:rFonts w:ascii="Cambria Math"/>
                <w:lang w:eastAsia="zh-CN"/>
              </w:rPr>
              <m:t>N</m:t>
            </m:r>
          </m:e>
          <m:sub>
            <m:r>
              <w:rPr>
                <w:rFonts w:ascii="Cambria Math"/>
                <w:lang w:eastAsia="zh-CN"/>
              </w:rPr>
              <m:t>cells,r17/{r15,r16}</m:t>
            </m:r>
          </m:sub>
          <m:sup>
            <m:r>
              <w:rPr>
                <w:rFonts w:ascii="Cambria Math"/>
                <w:lang w:eastAsia="zh-CN"/>
              </w:rPr>
              <m:t>cap</m:t>
            </m:r>
            <m:r>
              <w:rPr>
                <w:rFonts w:ascii="Cambria Math"/>
                <w:lang w:eastAsia="zh-CN"/>
              </w:rPr>
              <m:t>-</m:t>
            </m:r>
            <m:r>
              <w:rPr>
                <w:rFonts w:ascii="Cambria Math"/>
                <w:lang w:eastAsia="zh-CN"/>
              </w:rPr>
              <m:t>r17</m:t>
            </m:r>
          </m:sup>
        </m:sSubSup>
      </m:oMath>
    </w:p>
    <w:p w14:paraId="2F71545C" w14:textId="16932039" w:rsidR="00A67487" w:rsidRDefault="00A67487" w:rsidP="00A67487">
      <w:pPr>
        <w:rPr>
          <w:rFonts w:eastAsia="DengXian"/>
          <w:lang w:eastAsia="ko-KR"/>
        </w:rPr>
      </w:pPr>
      <w:r>
        <w:rPr>
          <w:rFonts w:eastAsia="DengXian"/>
          <w:lang w:eastAsia="ko-KR"/>
        </w:rPr>
        <w:t xml:space="preserve">When a UE is configured for NR-DC operation with a total of </w:t>
      </w:r>
      <m:oMath>
        <m:sSubSup>
          <m:sSubSupPr>
            <m:ctrlPr>
              <w:rPr>
                <w:rFonts w:ascii="Cambria Math" w:hAnsi="Cambria Math"/>
                <w:color w:val="FF0000"/>
              </w:rPr>
            </m:ctrlPr>
          </m:sSubSupPr>
          <m:e>
            <m:r>
              <w:rPr>
                <w:rFonts w:ascii="Cambria Math" w:hAnsi="Cambria Math"/>
              </w:rPr>
              <m:t>N</m:t>
            </m:r>
          </m:e>
          <m:sub>
            <m:r>
              <m:rPr>
                <m:sty m:val="p"/>
              </m:rPr>
              <w:rPr>
                <w:rFonts w:ascii="Cambria Math" w:hAnsi="Cambria Math"/>
              </w:rPr>
              <m:t>NR-DC</m:t>
            </m:r>
          </m:sub>
          <m:sup>
            <m:r>
              <m:rPr>
                <m:sty m:val="p"/>
              </m:rPr>
              <w:rPr>
                <w:rFonts w:ascii="Cambria Math" w:hAnsi="Cambria Math"/>
              </w:rPr>
              <m:t>DL,cells</m:t>
            </m:r>
          </m:sup>
        </m:sSubSup>
      </m:oMath>
      <w:r>
        <w:rPr>
          <w:rFonts w:eastAsia="DengXian"/>
        </w:rPr>
        <w:t xml:space="preserve"> downlink cells on both the MCG and the SCG and </w:t>
      </w:r>
      <w:r>
        <w:rPr>
          <w:lang w:eastAsia="ko-KR"/>
        </w:rPr>
        <w:t xml:space="preserve">the UE is provided </w:t>
      </w:r>
      <w:r>
        <w:rPr>
          <w:i/>
        </w:rPr>
        <w:t>monitoringCapabilityConfig</w:t>
      </w:r>
      <w:r>
        <w:t xml:space="preserve"> = </w:t>
      </w:r>
      <w:r>
        <w:rPr>
          <w:i/>
        </w:rPr>
        <w:t xml:space="preserve">r15monitoringcapability </w:t>
      </w:r>
      <w:r>
        <w:t>for</w:t>
      </w:r>
      <w:r>
        <w:rPr>
          <w:i/>
          <w:iCs/>
          <w:lang w:eastAsia="ja-JP"/>
        </w:rPr>
        <w:t> </w:t>
      </w:r>
      <m:oMath>
        <m:sSubSup>
          <m:sSubSupPr>
            <m:ctrlPr>
              <w:rPr>
                <w:rFonts w:ascii="Cambria Math" w:hAnsi="Cambria Math"/>
                <w:color w:val="000000" w:themeColor="text1"/>
              </w:rPr>
            </m:ctrlPr>
          </m:sSubSupPr>
          <m:e>
            <m:r>
              <w:rPr>
                <w:rFonts w:ascii="Cambria Math" w:hAnsi="Cambria Math"/>
                <w:color w:val="000000" w:themeColor="text1"/>
              </w:rPr>
              <m:t>N</m:t>
            </m:r>
          </m:e>
          <m:sub>
            <m:r>
              <m:rPr>
                <m:sty m:val="p"/>
              </m:rPr>
              <w:rPr>
                <w:rFonts w:ascii="Cambria Math" w:hAnsi="Cambria Math"/>
                <w:color w:val="000000" w:themeColor="text1"/>
              </w:rPr>
              <m:t>NR-DC,r15</m:t>
            </m:r>
          </m:sub>
          <m:sup>
            <m:r>
              <m:rPr>
                <m:sty m:val="p"/>
              </m:rPr>
              <w:rPr>
                <w:rFonts w:ascii="Cambria Math" w:hAnsi="Cambria Math"/>
                <w:color w:val="000000" w:themeColor="text1"/>
              </w:rPr>
              <m:t>DL,cells</m:t>
            </m:r>
          </m:sup>
        </m:sSubSup>
      </m:oMath>
      <w:r>
        <w:rPr>
          <w:color w:val="000000" w:themeColor="text1"/>
          <w:lang w:eastAsia="ko-KR"/>
        </w:rPr>
        <w:t xml:space="preserve"> </w:t>
      </w:r>
      <w:r>
        <w:rPr>
          <w:rFonts w:eastAsia="DengXian"/>
          <w:color w:val="000000" w:themeColor="text1"/>
        </w:rPr>
        <w:t>downlink cells</w:t>
      </w:r>
      <w:r>
        <w:rPr>
          <w:color w:val="000000" w:themeColor="text1"/>
          <w:lang w:eastAsia="ko-KR"/>
        </w:rPr>
        <w:t xml:space="preserve"> and </w:t>
      </w:r>
      <w:r>
        <w:rPr>
          <w:i/>
        </w:rPr>
        <w:t>monitoringCapabilityConfig</w:t>
      </w:r>
      <w:r>
        <w:t xml:space="preserve"> = </w:t>
      </w:r>
      <w:r>
        <w:rPr>
          <w:i/>
        </w:rPr>
        <w:t>r16monitoringcapability</w:t>
      </w:r>
      <w:r>
        <w:rPr>
          <w:i/>
          <w:color w:val="000000" w:themeColor="text1"/>
        </w:rPr>
        <w:t xml:space="preserve"> </w:t>
      </w:r>
      <w:r>
        <w:rPr>
          <w:color w:val="000000" w:themeColor="text1"/>
        </w:rPr>
        <w:t xml:space="preserve">for </w:t>
      </w:r>
      <m:oMath>
        <m:sSubSup>
          <m:sSubSupPr>
            <m:ctrlPr>
              <w:rPr>
                <w:rFonts w:ascii="Cambria Math" w:hAnsi="Cambria Math"/>
                <w:color w:val="000000" w:themeColor="text1"/>
              </w:rPr>
            </m:ctrlPr>
          </m:sSubSupPr>
          <m:e>
            <m:r>
              <w:rPr>
                <w:rFonts w:ascii="Cambria Math" w:hAnsi="Cambria Math"/>
                <w:color w:val="000000" w:themeColor="text1"/>
              </w:rPr>
              <m:t>N</m:t>
            </m:r>
          </m:e>
          <m:sub>
            <m:r>
              <m:rPr>
                <m:sty m:val="p"/>
              </m:rPr>
              <w:rPr>
                <w:rFonts w:ascii="Cambria Math" w:hAnsi="Cambria Math"/>
                <w:color w:val="000000" w:themeColor="text1"/>
              </w:rPr>
              <m:t>NR-DC,r16</m:t>
            </m:r>
          </m:sub>
          <m:sup>
            <m:r>
              <m:rPr>
                <m:sty m:val="p"/>
              </m:rPr>
              <w:rPr>
                <w:rFonts w:ascii="Cambria Math" w:hAnsi="Cambria Math"/>
                <w:color w:val="000000" w:themeColor="text1"/>
              </w:rPr>
              <m:t>DL,cells</m:t>
            </m:r>
          </m:sup>
        </m:sSubSup>
      </m:oMath>
      <w:r>
        <w:rPr>
          <w:color w:val="000000" w:themeColor="text1"/>
          <w:lang w:eastAsia="ko-KR"/>
        </w:rPr>
        <w:t xml:space="preserve"> </w:t>
      </w:r>
      <w:r>
        <w:rPr>
          <w:rFonts w:eastAsia="DengXian"/>
          <w:color w:val="000000" w:themeColor="text1"/>
        </w:rPr>
        <w:t>downlink cells where the UE monitors PDCCH</w:t>
      </w:r>
      <w:r>
        <w:rPr>
          <w:rFonts w:eastAsia="DengXian"/>
          <w:color w:val="000000" w:themeColor="text1"/>
          <w:lang w:eastAsia="ko-KR"/>
        </w:rPr>
        <w:t xml:space="preserve">, the UE expects to be provided </w:t>
      </w:r>
      <w:r>
        <w:rPr>
          <w:i/>
          <w:iCs/>
          <w:color w:val="000000" w:themeColor="text1"/>
          <w:lang w:eastAsia="ja-JP"/>
        </w:rPr>
        <w:t>pdcch-BlindDetection</w:t>
      </w:r>
      <w:r w:rsidR="00130949">
        <w:rPr>
          <w:i/>
          <w:iCs/>
          <w:color w:val="000000" w:themeColor="text1"/>
          <w:lang w:eastAsia="ja-JP"/>
        </w:rPr>
        <w:t>3</w:t>
      </w:r>
      <w:r>
        <w:rPr>
          <w:i/>
          <w:iCs/>
          <w:color w:val="000000" w:themeColor="text1"/>
          <w:lang w:eastAsia="ja-JP"/>
        </w:rPr>
        <w:t xml:space="preserve"> </w:t>
      </w:r>
      <w:r>
        <w:rPr>
          <w:iCs/>
          <w:color w:val="000000" w:themeColor="text1"/>
          <w:lang w:eastAsia="ja-JP"/>
        </w:rPr>
        <w:t>and</w:t>
      </w:r>
      <w:r>
        <w:rPr>
          <w:i/>
          <w:iCs/>
          <w:color w:val="000000" w:themeColor="text1"/>
          <w:lang w:eastAsia="ja-JP"/>
        </w:rPr>
        <w:t xml:space="preserve"> pdcch-BlindDetection</w:t>
      </w:r>
      <w:r w:rsidR="00130949">
        <w:rPr>
          <w:i/>
          <w:iCs/>
          <w:color w:val="000000" w:themeColor="text1"/>
          <w:lang w:eastAsia="ja-JP"/>
        </w:rPr>
        <w:t>2</w:t>
      </w:r>
      <w:r>
        <w:rPr>
          <w:rFonts w:eastAsia="DengXian"/>
          <w:color w:val="000000" w:themeColor="text1"/>
          <w:lang w:eastAsia="ja-JP"/>
        </w:rPr>
        <w:t xml:space="preserve"> for the MCG, and </w:t>
      </w:r>
      <w:r>
        <w:rPr>
          <w:i/>
          <w:iCs/>
          <w:color w:val="000000" w:themeColor="text1"/>
          <w:lang w:eastAsia="ja-JP"/>
        </w:rPr>
        <w:t>pdcch-BlindDetection</w:t>
      </w:r>
      <w:r w:rsidR="00130949">
        <w:rPr>
          <w:i/>
          <w:iCs/>
          <w:color w:val="000000" w:themeColor="text1"/>
          <w:lang w:eastAsia="ja-JP"/>
        </w:rPr>
        <w:t>3</w:t>
      </w:r>
      <w:r>
        <w:rPr>
          <w:i/>
          <w:iCs/>
          <w:color w:val="000000" w:themeColor="text1"/>
          <w:lang w:eastAsia="ja-JP"/>
        </w:rPr>
        <w:t xml:space="preserve"> </w:t>
      </w:r>
      <w:r>
        <w:rPr>
          <w:iCs/>
          <w:color w:val="000000" w:themeColor="text1"/>
          <w:lang w:eastAsia="ja-JP"/>
        </w:rPr>
        <w:t>and</w:t>
      </w:r>
      <w:r>
        <w:rPr>
          <w:i/>
          <w:iCs/>
          <w:color w:val="000000" w:themeColor="text1"/>
          <w:lang w:eastAsia="ja-JP"/>
        </w:rPr>
        <w:t xml:space="preserve"> pdcch-BlindDetection</w:t>
      </w:r>
      <w:r w:rsidR="00130949">
        <w:rPr>
          <w:i/>
          <w:iCs/>
          <w:color w:val="000000" w:themeColor="text1"/>
          <w:lang w:eastAsia="ja-JP"/>
        </w:rPr>
        <w:t>2</w:t>
      </w:r>
      <w:r>
        <w:rPr>
          <w:i/>
          <w:iCs/>
          <w:color w:val="000000" w:themeColor="text1"/>
          <w:lang w:eastAsia="ja-JP"/>
        </w:rPr>
        <w:t xml:space="preserve"> </w:t>
      </w:r>
      <w:r>
        <w:rPr>
          <w:rFonts w:eastAsia="DengXian"/>
          <w:color w:val="000000" w:themeColor="text1"/>
          <w:lang w:eastAsia="ko-KR"/>
        </w:rPr>
        <w:t xml:space="preserve">for the SCG with values that satisfy </w:t>
      </w:r>
    </w:p>
    <w:p w14:paraId="29BE0CBD" w14:textId="0460248A" w:rsidR="00A67487" w:rsidRPr="00F56BF9" w:rsidRDefault="00A67487" w:rsidP="001C49CC">
      <w:pPr>
        <w:pStyle w:val="B1"/>
        <w:rPr>
          <w:rFonts w:eastAsia="DengXian"/>
          <w:lang w:eastAsia="ja-JP"/>
        </w:rPr>
      </w:pPr>
      <w:r w:rsidRPr="00F56BF9">
        <w:rPr>
          <w:rFonts w:eastAsia="DengXian"/>
          <w:lang w:eastAsia="ja-JP"/>
        </w:rPr>
        <w:t>-</w:t>
      </w:r>
      <w:r w:rsidRPr="00F56BF9">
        <w:rPr>
          <w:rFonts w:eastAsia="DengXian"/>
          <w:lang w:eastAsia="ja-JP"/>
        </w:rPr>
        <w:tab/>
      </w:r>
      <w:r w:rsidRPr="00F56BF9">
        <w:rPr>
          <w:i/>
          <w:iCs/>
          <w:lang w:eastAsia="ja-JP"/>
        </w:rPr>
        <w:t>pdcch-BlindDetection</w:t>
      </w:r>
      <w:r w:rsidR="00130949" w:rsidRPr="00F56BF9">
        <w:rPr>
          <w:i/>
          <w:iCs/>
          <w:lang w:val="en-US" w:eastAsia="ja-JP"/>
        </w:rPr>
        <w:t>3</w:t>
      </w:r>
      <w:r w:rsidRPr="00F56BF9">
        <w:rPr>
          <w:rFonts w:eastAsia="DengXian"/>
          <w:lang w:eastAsia="ja-JP"/>
        </w:rPr>
        <w:t xml:space="preserve"> for the MCG + </w:t>
      </w:r>
      <w:r w:rsidRPr="00F56BF9">
        <w:rPr>
          <w:i/>
          <w:iCs/>
          <w:lang w:eastAsia="ja-JP"/>
        </w:rPr>
        <w:t>pdcch-BlindDetection</w:t>
      </w:r>
      <w:r w:rsidR="00130949" w:rsidRPr="00F56BF9">
        <w:rPr>
          <w:i/>
          <w:iCs/>
          <w:lang w:val="en-US" w:eastAsia="ja-JP"/>
        </w:rPr>
        <w:t>3</w:t>
      </w:r>
      <w:r w:rsidRPr="00F56BF9">
        <w:rPr>
          <w:rFonts w:eastAsia="DengXian"/>
          <w:lang w:eastAsia="ja-JP"/>
        </w:rPr>
        <w:t xml:space="preserve"> </w:t>
      </w:r>
      <w:r w:rsidRPr="00F56BF9">
        <w:rPr>
          <w:rFonts w:eastAsia="DengXian"/>
          <w:lang w:eastAsia="ko-KR"/>
        </w:rPr>
        <w:t xml:space="preserve">for the SCG </w:t>
      </w:r>
      <w:r w:rsidRPr="00F56BF9">
        <w:rPr>
          <w:rFonts w:eastAsia="DengXian"/>
          <w:lang w:eastAsia="ja-JP"/>
        </w:rPr>
        <w:t xml:space="preserve">&lt;= </w:t>
      </w:r>
      <w:r w:rsidR="00B64EAE" w:rsidRPr="00F56BF9">
        <w:rPr>
          <w:rFonts w:eastAsia="DengXian"/>
          <w:i/>
          <w:iCs/>
          <w:lang w:eastAsia="ja-JP"/>
        </w:rPr>
        <w:t>pdcch-BlindDetectionCA</w:t>
      </w:r>
      <w:r w:rsidR="00B64EAE" w:rsidRPr="00F56BF9">
        <w:rPr>
          <w:rFonts w:eastAsia="DengXian"/>
          <w:i/>
          <w:iCs/>
          <w:lang w:val="en-US" w:eastAsia="ja-JP"/>
        </w:rPr>
        <w:t>1</w:t>
      </w:r>
      <w:r w:rsidRPr="00F56BF9">
        <w:rPr>
          <w:rFonts w:eastAsia="DengXian"/>
          <w:lang w:eastAsia="ja-JP"/>
        </w:rPr>
        <w:t xml:space="preserve">, if the UE reports </w:t>
      </w:r>
      <w:r w:rsidRPr="00F56BF9">
        <w:rPr>
          <w:rFonts w:eastAsia="DengXian"/>
          <w:i/>
          <w:iCs/>
          <w:lang w:eastAsia="ja-JP"/>
        </w:rPr>
        <w:t>pdcch-BlindDetectionCA</w:t>
      </w:r>
      <w:r w:rsidR="00130949" w:rsidRPr="00F56BF9">
        <w:rPr>
          <w:rFonts w:eastAsia="DengXian"/>
          <w:i/>
          <w:iCs/>
          <w:lang w:val="en-US" w:eastAsia="ja-JP"/>
        </w:rPr>
        <w:t>1</w:t>
      </w:r>
      <w:r w:rsidRPr="00F56BF9">
        <w:rPr>
          <w:rFonts w:eastAsia="DengXian"/>
          <w:lang w:eastAsia="ja-JP"/>
        </w:rPr>
        <w:t>, or</w:t>
      </w:r>
    </w:p>
    <w:p w14:paraId="7AFB74CA" w14:textId="26D32B62" w:rsidR="00A67487" w:rsidRDefault="00A67487" w:rsidP="001C49CC">
      <w:pPr>
        <w:pStyle w:val="B1"/>
        <w:rPr>
          <w:rFonts w:eastAsia="DengXian"/>
          <w:lang w:eastAsia="ja-JP"/>
        </w:rPr>
      </w:pPr>
      <w:r>
        <w:rPr>
          <w:rFonts w:eastAsia="DengXian"/>
          <w:lang w:eastAsia="ja-JP"/>
        </w:rPr>
        <w:t>-</w:t>
      </w:r>
      <w:r>
        <w:rPr>
          <w:rFonts w:eastAsia="DengXian"/>
          <w:lang w:eastAsia="ja-JP"/>
        </w:rPr>
        <w:tab/>
      </w:r>
      <w:r w:rsidRPr="00D429F6">
        <w:rPr>
          <w:i/>
          <w:iCs/>
          <w:lang w:eastAsia="ja-JP"/>
        </w:rPr>
        <w:t>pdcch-BlindDetection</w:t>
      </w:r>
      <w:r w:rsidR="00130949" w:rsidRPr="00130949">
        <w:rPr>
          <w:i/>
          <w:iCs/>
          <w:lang w:val="en-US" w:eastAsia="ja-JP"/>
        </w:rPr>
        <w:t>3</w:t>
      </w:r>
      <w:r>
        <w:rPr>
          <w:rFonts w:eastAsia="DengXian"/>
          <w:lang w:eastAsia="ja-JP"/>
        </w:rPr>
        <w:t xml:space="preserve"> for the MCG + </w:t>
      </w:r>
      <w:r w:rsidRPr="00D429F6">
        <w:rPr>
          <w:i/>
          <w:iCs/>
          <w:lang w:eastAsia="ja-JP"/>
        </w:rPr>
        <w:t>pdcch-BlindDetection</w:t>
      </w:r>
      <w:r w:rsidR="00130949" w:rsidRPr="00130949">
        <w:rPr>
          <w:i/>
          <w:iCs/>
          <w:lang w:val="en-US" w:eastAsia="ja-JP"/>
        </w:rPr>
        <w:t>3</w:t>
      </w:r>
      <w:r>
        <w:rPr>
          <w:rFonts w:eastAsia="DengXian"/>
          <w:lang w:eastAsia="ja-JP"/>
        </w:rPr>
        <w:t xml:space="preserve"> </w:t>
      </w:r>
      <w:r>
        <w:rPr>
          <w:rFonts w:eastAsia="DengXian"/>
          <w:lang w:eastAsia="ko-KR"/>
        </w:rPr>
        <w:t xml:space="preserve">for the SCG </w:t>
      </w:r>
      <w:r>
        <w:rPr>
          <w:rFonts w:eastAsia="DengXian"/>
          <w:lang w:eastAsia="ja-JP"/>
        </w:rPr>
        <w:t xml:space="preserve">&lt;= </w:t>
      </w:r>
      <m:oMath>
        <m:sSubSup>
          <m:sSubSupPr>
            <m:ctrlPr>
              <w:rPr>
                <w:rFonts w:ascii="Cambria Math" w:hAnsi="Cambria Math"/>
              </w:rPr>
            </m:ctrlPr>
          </m:sSubSupPr>
          <m:e>
            <m:r>
              <w:rPr>
                <w:rFonts w:ascii="Cambria Math" w:hAnsi="Cambria Math"/>
              </w:rPr>
              <m:t>N</m:t>
            </m:r>
          </m:e>
          <m:sub>
            <m:r>
              <m:rPr>
                <m:sty m:val="p"/>
              </m:rPr>
              <w:rPr>
                <w:rFonts w:ascii="Cambria Math" w:hAnsi="Cambria Math"/>
              </w:rPr>
              <m:t>NR-DC,r15</m:t>
            </m:r>
          </m:sub>
          <m:sup>
            <m:r>
              <m:rPr>
                <m:sty m:val="p"/>
              </m:rPr>
              <w:rPr>
                <w:rFonts w:ascii="Cambria Math" w:hAnsi="Cambria Math"/>
              </w:rPr>
              <m:t>DL,cells</m:t>
            </m:r>
          </m:sup>
        </m:sSubSup>
      </m:oMath>
      <w:r>
        <w:rPr>
          <w:rFonts w:eastAsia="DengXian"/>
          <w:lang w:eastAsia="ja-JP"/>
        </w:rPr>
        <w:t xml:space="preserve">, if the UE does not report </w:t>
      </w:r>
      <w:r w:rsidRPr="00D429F6">
        <w:rPr>
          <w:rFonts w:eastAsia="DengXian"/>
          <w:i/>
          <w:iCs/>
          <w:lang w:eastAsia="ja-JP"/>
        </w:rPr>
        <w:t>pdcch-BlindDetectionCA</w:t>
      </w:r>
      <w:r w:rsidR="00130949" w:rsidRPr="00130949">
        <w:rPr>
          <w:rFonts w:eastAsia="DengXian"/>
          <w:i/>
          <w:iCs/>
          <w:lang w:val="en-US" w:eastAsia="ja-JP"/>
        </w:rPr>
        <w:t>1</w:t>
      </w:r>
    </w:p>
    <w:p w14:paraId="1BBC6A30" w14:textId="77777777" w:rsidR="00A67487" w:rsidRDefault="00A67487" w:rsidP="00A67487">
      <w:pPr>
        <w:rPr>
          <w:rFonts w:eastAsia="DengXian"/>
          <w:iCs/>
          <w:lang w:val="x-none" w:eastAsia="ja-JP"/>
        </w:rPr>
      </w:pPr>
      <w:r>
        <w:rPr>
          <w:rFonts w:eastAsia="DengXian"/>
          <w:lang w:val="x-none" w:eastAsia="ja-JP"/>
        </w:rPr>
        <w:t>and</w:t>
      </w:r>
    </w:p>
    <w:p w14:paraId="26427035" w14:textId="57C533DA" w:rsidR="00A67487" w:rsidRDefault="00A67487" w:rsidP="001C49CC">
      <w:pPr>
        <w:pStyle w:val="B1"/>
        <w:rPr>
          <w:rFonts w:eastAsia="DengXian"/>
          <w:lang w:eastAsia="ja-JP"/>
        </w:rPr>
      </w:pPr>
      <w:r>
        <w:rPr>
          <w:rFonts w:eastAsia="DengXian"/>
          <w:lang w:eastAsia="ja-JP"/>
        </w:rPr>
        <w:t>-</w:t>
      </w:r>
      <w:r>
        <w:rPr>
          <w:rFonts w:eastAsia="DengXian"/>
          <w:lang w:eastAsia="ja-JP"/>
        </w:rPr>
        <w:tab/>
      </w:r>
      <w:r w:rsidRPr="00D429F6">
        <w:rPr>
          <w:i/>
          <w:iCs/>
          <w:lang w:eastAsia="ja-JP"/>
        </w:rPr>
        <w:t>pdcch-BlindDetection</w:t>
      </w:r>
      <w:r w:rsidR="00130949" w:rsidRPr="00130949">
        <w:rPr>
          <w:i/>
          <w:iCs/>
          <w:lang w:val="en-US" w:eastAsia="ja-JP"/>
        </w:rPr>
        <w:t>2</w:t>
      </w:r>
      <w:r>
        <w:rPr>
          <w:rFonts w:eastAsia="DengXian"/>
          <w:lang w:eastAsia="ja-JP"/>
        </w:rPr>
        <w:t xml:space="preserve"> for the MCG + </w:t>
      </w:r>
      <w:r w:rsidRPr="00D429F6">
        <w:rPr>
          <w:i/>
          <w:iCs/>
          <w:lang w:eastAsia="ja-JP"/>
        </w:rPr>
        <w:t>pdcch-BlindDetection</w:t>
      </w:r>
      <w:r w:rsidR="00AA18C0" w:rsidRPr="00AA18C0">
        <w:rPr>
          <w:i/>
          <w:iCs/>
          <w:lang w:val="en-US" w:eastAsia="ja-JP"/>
        </w:rPr>
        <w:t>2</w:t>
      </w:r>
      <w:r>
        <w:rPr>
          <w:rFonts w:eastAsia="DengXian"/>
          <w:lang w:eastAsia="ja-JP"/>
        </w:rPr>
        <w:t xml:space="preserve"> </w:t>
      </w:r>
      <w:r>
        <w:rPr>
          <w:rFonts w:eastAsia="DengXian"/>
          <w:lang w:eastAsia="ko-KR"/>
        </w:rPr>
        <w:t xml:space="preserve">for the SCG </w:t>
      </w:r>
      <w:r>
        <w:rPr>
          <w:rFonts w:eastAsia="DengXian"/>
          <w:lang w:eastAsia="ja-JP"/>
        </w:rPr>
        <w:t xml:space="preserve">&lt;= </w:t>
      </w:r>
      <w:r w:rsidRPr="00D429F6">
        <w:rPr>
          <w:rFonts w:eastAsia="DengXian"/>
          <w:i/>
          <w:iCs/>
          <w:lang w:eastAsia="ja-JP"/>
        </w:rPr>
        <w:t>pdcch-BlindDetectionCA</w:t>
      </w:r>
      <w:r w:rsidR="00AA18C0">
        <w:rPr>
          <w:i/>
          <w:iCs/>
          <w:lang w:val="en-US" w:eastAsia="ja-JP"/>
        </w:rPr>
        <w:t>2</w:t>
      </w:r>
      <w:r>
        <w:rPr>
          <w:rFonts w:eastAsia="DengXian"/>
          <w:lang w:eastAsia="ja-JP"/>
        </w:rPr>
        <w:t xml:space="preserve">, if the UE reports </w:t>
      </w:r>
      <w:r w:rsidRPr="00D429F6">
        <w:rPr>
          <w:rFonts w:eastAsia="DengXian"/>
          <w:i/>
          <w:iCs/>
          <w:lang w:eastAsia="ja-JP"/>
        </w:rPr>
        <w:t>pdcch-BlindDetectionCA</w:t>
      </w:r>
      <w:r w:rsidR="00AA18C0" w:rsidRPr="00AA18C0">
        <w:rPr>
          <w:i/>
          <w:iCs/>
          <w:lang w:val="en-US" w:eastAsia="ja-JP"/>
        </w:rPr>
        <w:t>2</w:t>
      </w:r>
      <w:r>
        <w:rPr>
          <w:rFonts w:eastAsia="DengXian"/>
          <w:lang w:eastAsia="ja-JP"/>
        </w:rPr>
        <w:t>, or</w:t>
      </w:r>
    </w:p>
    <w:p w14:paraId="5DD760A4" w14:textId="5C3100C8" w:rsidR="00A67487" w:rsidRDefault="00A67487" w:rsidP="001C49CC">
      <w:pPr>
        <w:pStyle w:val="B1"/>
        <w:rPr>
          <w:rFonts w:eastAsia="DengXian"/>
          <w:lang w:eastAsia="ja-JP"/>
        </w:rPr>
      </w:pPr>
      <w:r>
        <w:rPr>
          <w:rFonts w:eastAsia="DengXian"/>
          <w:lang w:eastAsia="ja-JP"/>
        </w:rPr>
        <w:t>-</w:t>
      </w:r>
      <w:r>
        <w:rPr>
          <w:rFonts w:eastAsia="DengXian"/>
          <w:lang w:eastAsia="ja-JP"/>
        </w:rPr>
        <w:tab/>
      </w:r>
      <w:r w:rsidRPr="00D429F6">
        <w:rPr>
          <w:i/>
          <w:iCs/>
          <w:lang w:eastAsia="ja-JP"/>
        </w:rPr>
        <w:t>pdcch-BlindDetection</w:t>
      </w:r>
      <w:r w:rsidR="00130949" w:rsidRPr="00130949">
        <w:rPr>
          <w:i/>
          <w:iCs/>
          <w:lang w:val="en-US" w:eastAsia="ja-JP"/>
        </w:rPr>
        <w:t>2</w:t>
      </w:r>
      <w:r>
        <w:rPr>
          <w:rFonts w:eastAsia="DengXian"/>
          <w:lang w:eastAsia="ja-JP"/>
        </w:rPr>
        <w:t xml:space="preserve"> for the MCG + </w:t>
      </w:r>
      <w:r w:rsidRPr="00D429F6">
        <w:rPr>
          <w:i/>
          <w:iCs/>
          <w:lang w:eastAsia="ja-JP"/>
        </w:rPr>
        <w:t>pdcch-BlindDetection</w:t>
      </w:r>
      <w:r w:rsidR="00AA18C0" w:rsidRPr="00AA18C0">
        <w:rPr>
          <w:i/>
          <w:iCs/>
          <w:lang w:val="en-US" w:eastAsia="ja-JP"/>
        </w:rPr>
        <w:t>2</w:t>
      </w:r>
      <w:r>
        <w:rPr>
          <w:rFonts w:eastAsia="DengXian"/>
          <w:lang w:eastAsia="ja-JP"/>
        </w:rPr>
        <w:t xml:space="preserve"> </w:t>
      </w:r>
      <w:r>
        <w:rPr>
          <w:rFonts w:eastAsia="DengXian"/>
          <w:lang w:eastAsia="ko-KR"/>
        </w:rPr>
        <w:t xml:space="preserve">for the SCG </w:t>
      </w:r>
      <w:r>
        <w:rPr>
          <w:rFonts w:eastAsia="DengXian"/>
          <w:lang w:eastAsia="ja-JP"/>
        </w:rPr>
        <w:t xml:space="preserve">&lt;= </w:t>
      </w:r>
      <m:oMath>
        <m:sSubSup>
          <m:sSubSupPr>
            <m:ctrlPr>
              <w:rPr>
                <w:rFonts w:ascii="Cambria Math" w:hAnsi="Cambria Math"/>
              </w:rPr>
            </m:ctrlPr>
          </m:sSubSupPr>
          <m:e>
            <m:r>
              <m:rPr>
                <m:sty m:val="p"/>
              </m:rPr>
              <w:rPr>
                <w:rFonts w:ascii="Cambria Math" w:hAnsi="Cambria Math"/>
              </w:rPr>
              <m:t>N</m:t>
            </m:r>
          </m:e>
          <m:sub>
            <m:r>
              <m:rPr>
                <m:sty m:val="p"/>
              </m:rPr>
              <w:rPr>
                <w:rFonts w:ascii="Cambria Math" w:hAnsi="Cambria Math"/>
              </w:rPr>
              <m:t>NR-DC,r16</m:t>
            </m:r>
          </m:sub>
          <m:sup>
            <m:r>
              <m:rPr>
                <m:sty m:val="p"/>
              </m:rPr>
              <w:rPr>
                <w:rFonts w:ascii="Cambria Math" w:hAnsi="Cambria Math"/>
              </w:rPr>
              <m:t>DL,cells</m:t>
            </m:r>
          </m:sup>
        </m:sSubSup>
      </m:oMath>
      <w:r>
        <w:rPr>
          <w:rFonts w:eastAsia="DengXian"/>
          <w:lang w:eastAsia="ja-JP"/>
        </w:rPr>
        <w:t xml:space="preserve">, if the UE does not report </w:t>
      </w:r>
      <w:r w:rsidRPr="00D429F6">
        <w:rPr>
          <w:rFonts w:eastAsia="DengXian"/>
          <w:i/>
          <w:iCs/>
          <w:lang w:eastAsia="ja-JP"/>
        </w:rPr>
        <w:t>pdcch-BlindDetectionCA</w:t>
      </w:r>
      <w:r w:rsidR="00AA18C0" w:rsidRPr="00AA18C0">
        <w:rPr>
          <w:i/>
          <w:iCs/>
          <w:lang w:val="en-US" w:eastAsia="ja-JP"/>
        </w:rPr>
        <w:t>2</w:t>
      </w:r>
    </w:p>
    <w:p w14:paraId="2AA3670B" w14:textId="5EBFF6FB" w:rsidR="00A67487" w:rsidRDefault="00A67487" w:rsidP="00A67487">
      <w:pPr>
        <w:rPr>
          <w:lang w:eastAsia="ko-KR"/>
        </w:rPr>
      </w:pPr>
      <w:r>
        <w:rPr>
          <w:lang w:eastAsia="ko-KR"/>
        </w:rPr>
        <w:t xml:space="preserve">When a UE is configured for NR-DC operation and is provided </w:t>
      </w:r>
      <w:r>
        <w:rPr>
          <w:i/>
        </w:rPr>
        <w:t>monitoringCapabilityConfig</w:t>
      </w:r>
      <w:r>
        <w:t xml:space="preserve"> = </w:t>
      </w:r>
      <w:r>
        <w:rPr>
          <w:i/>
        </w:rPr>
        <w:t>r15monitoringcapability</w:t>
      </w:r>
      <w:r>
        <w:t xml:space="preserve"> for </w:t>
      </w:r>
      <w:r>
        <w:rPr>
          <w:lang w:eastAsia="ko-KR"/>
        </w:rPr>
        <w:t xml:space="preserve">at least one downlink cell and </w:t>
      </w:r>
      <w:r>
        <w:rPr>
          <w:i/>
        </w:rPr>
        <w:t>monitoringCapabilityConfig</w:t>
      </w:r>
      <w:r>
        <w:t xml:space="preserve"> = </w:t>
      </w:r>
      <w:r>
        <w:rPr>
          <w:i/>
        </w:rPr>
        <w:t xml:space="preserve">r16monitoringcapability </w:t>
      </w:r>
      <w:r>
        <w:t xml:space="preserve">for </w:t>
      </w:r>
      <w:r>
        <w:rPr>
          <w:lang w:eastAsia="ko-KR"/>
        </w:rPr>
        <w:t xml:space="preserve">at least one downlink cell </w:t>
      </w:r>
      <w:r>
        <w:lastRenderedPageBreak/>
        <w:t>where the UE monitors PDCCH</w:t>
      </w:r>
      <w:r>
        <w:rPr>
          <w:color w:val="000000" w:themeColor="text1"/>
          <w:lang w:eastAsia="ko-KR"/>
        </w:rPr>
        <w:t xml:space="preserve">, </w:t>
      </w:r>
      <w:r>
        <w:rPr>
          <w:color w:val="000000" w:themeColor="text1"/>
        </w:rPr>
        <w:t xml:space="preserve">the UE may indicate, through </w:t>
      </w:r>
      <w:r>
        <w:rPr>
          <w:i/>
          <w:color w:val="000000" w:themeColor="text1"/>
        </w:rPr>
        <w:t>pdcch-</w:t>
      </w:r>
      <w:r>
        <w:rPr>
          <w:i/>
          <w:iCs/>
          <w:color w:val="000000" w:themeColor="text1"/>
          <w:lang w:eastAsia="ja-JP"/>
        </w:rPr>
        <w:t>BlindDetectionMCG-UE</w:t>
      </w:r>
      <w:r w:rsidR="00DE072D">
        <w:rPr>
          <w:i/>
          <w:iCs/>
          <w:color w:val="000000" w:themeColor="text1"/>
          <w:lang w:eastAsia="ja-JP"/>
        </w:rPr>
        <w:t>1</w:t>
      </w:r>
      <w:r>
        <w:rPr>
          <w:color w:val="000000" w:themeColor="text1"/>
          <w:lang w:eastAsia="ja-JP"/>
        </w:rPr>
        <w:t xml:space="preserve"> and </w:t>
      </w:r>
      <w:r>
        <w:rPr>
          <w:i/>
          <w:iCs/>
          <w:color w:val="000000" w:themeColor="text1"/>
          <w:lang w:eastAsia="ja-JP"/>
        </w:rPr>
        <w:t>pdcch-BlindDetectionSCG-UE</w:t>
      </w:r>
      <w:r w:rsidR="00DE072D">
        <w:rPr>
          <w:i/>
          <w:iCs/>
          <w:color w:val="000000" w:themeColor="text1"/>
          <w:lang w:eastAsia="ja-JP"/>
        </w:rPr>
        <w:t>1</w:t>
      </w:r>
      <w:r>
        <w:rPr>
          <w:color w:val="000000" w:themeColor="text1"/>
          <w:lang w:eastAsia="ja-JP"/>
        </w:rPr>
        <w:t xml:space="preserve">, respective maximum values for </w:t>
      </w:r>
      <w:r>
        <w:rPr>
          <w:i/>
          <w:iCs/>
          <w:color w:val="000000" w:themeColor="text1"/>
          <w:lang w:eastAsia="ja-JP"/>
        </w:rPr>
        <w:t>pdcch-BlindDetection</w:t>
      </w:r>
      <w:r w:rsidR="00DE072D">
        <w:rPr>
          <w:i/>
          <w:iCs/>
          <w:color w:val="000000" w:themeColor="text1"/>
          <w:lang w:eastAsia="ja-JP"/>
        </w:rPr>
        <w:t>3</w:t>
      </w:r>
      <w:r>
        <w:rPr>
          <w:color w:val="000000" w:themeColor="text1"/>
          <w:lang w:eastAsia="ja-JP"/>
        </w:rPr>
        <w:t xml:space="preserve"> for the MCG and </w:t>
      </w:r>
      <w:r>
        <w:rPr>
          <w:i/>
          <w:iCs/>
          <w:color w:val="000000" w:themeColor="text1"/>
          <w:lang w:eastAsia="ja-JP"/>
        </w:rPr>
        <w:t>pdcch-BlindDetection</w:t>
      </w:r>
      <w:r w:rsidR="00DE072D">
        <w:rPr>
          <w:i/>
          <w:iCs/>
          <w:color w:val="000000" w:themeColor="text1"/>
          <w:lang w:eastAsia="ja-JP"/>
        </w:rPr>
        <w:t>3</w:t>
      </w:r>
      <w:r>
        <w:rPr>
          <w:iCs/>
          <w:color w:val="000000" w:themeColor="text1"/>
          <w:lang w:eastAsia="ja-JP"/>
        </w:rPr>
        <w:t xml:space="preserve"> for the SCG, and </w:t>
      </w:r>
      <w:r>
        <w:rPr>
          <w:color w:val="000000" w:themeColor="text1"/>
        </w:rPr>
        <w:t xml:space="preserve">through </w:t>
      </w:r>
      <w:r>
        <w:rPr>
          <w:i/>
          <w:color w:val="000000" w:themeColor="text1"/>
        </w:rPr>
        <w:t>pdcch-</w:t>
      </w:r>
      <w:r>
        <w:rPr>
          <w:i/>
          <w:iCs/>
          <w:color w:val="000000" w:themeColor="text1"/>
          <w:lang w:eastAsia="ja-JP"/>
        </w:rPr>
        <w:t>BlindDetectionMCG-UE</w:t>
      </w:r>
      <w:r w:rsidR="00DE072D">
        <w:rPr>
          <w:i/>
          <w:iCs/>
          <w:color w:val="000000" w:themeColor="text1"/>
          <w:lang w:eastAsia="ja-JP"/>
        </w:rPr>
        <w:t>2</w:t>
      </w:r>
      <w:r>
        <w:rPr>
          <w:color w:val="000000" w:themeColor="text1"/>
          <w:lang w:eastAsia="ja-JP"/>
        </w:rPr>
        <w:t xml:space="preserve"> and </w:t>
      </w:r>
      <w:r>
        <w:rPr>
          <w:i/>
          <w:iCs/>
          <w:color w:val="000000" w:themeColor="text1"/>
          <w:lang w:eastAsia="ja-JP"/>
        </w:rPr>
        <w:t>pdcch-BlindDetectionSCG-UE</w:t>
      </w:r>
      <w:r w:rsidR="00DE072D">
        <w:rPr>
          <w:i/>
          <w:iCs/>
          <w:color w:val="000000" w:themeColor="text1"/>
          <w:lang w:eastAsia="ja-JP"/>
        </w:rPr>
        <w:t>2</w:t>
      </w:r>
      <w:r>
        <w:rPr>
          <w:color w:val="000000" w:themeColor="text1"/>
          <w:lang w:eastAsia="ja-JP"/>
        </w:rPr>
        <w:t xml:space="preserve"> respective maximum values for </w:t>
      </w:r>
      <w:r>
        <w:rPr>
          <w:i/>
          <w:iCs/>
          <w:color w:val="000000" w:themeColor="text1"/>
          <w:lang w:eastAsia="ja-JP"/>
        </w:rPr>
        <w:t>pdcch-BlindDetection</w:t>
      </w:r>
      <w:r w:rsidR="00DE072D">
        <w:rPr>
          <w:i/>
          <w:iCs/>
          <w:color w:val="000000" w:themeColor="text1"/>
          <w:lang w:eastAsia="ja-JP"/>
        </w:rPr>
        <w:t>2</w:t>
      </w:r>
      <w:r>
        <w:rPr>
          <w:color w:val="000000" w:themeColor="text1"/>
          <w:lang w:eastAsia="ja-JP"/>
        </w:rPr>
        <w:t xml:space="preserve"> for the MCG and </w:t>
      </w:r>
      <w:r>
        <w:rPr>
          <w:i/>
          <w:iCs/>
          <w:color w:val="000000" w:themeColor="text1"/>
          <w:lang w:eastAsia="ja-JP"/>
        </w:rPr>
        <w:t>pdcch-BlindDetection</w:t>
      </w:r>
      <w:r w:rsidR="00DE072D">
        <w:rPr>
          <w:i/>
          <w:iCs/>
          <w:color w:val="000000" w:themeColor="text1"/>
          <w:lang w:eastAsia="ja-JP"/>
        </w:rPr>
        <w:t>2</w:t>
      </w:r>
      <w:r>
        <w:rPr>
          <w:iCs/>
          <w:color w:val="000000" w:themeColor="text1"/>
          <w:lang w:eastAsia="ja-JP"/>
        </w:rPr>
        <w:t xml:space="preserve"> for the SCG. </w:t>
      </w:r>
    </w:p>
    <w:p w14:paraId="59B4E750" w14:textId="41849B67" w:rsidR="00A67487" w:rsidRDefault="00A67487" w:rsidP="00A67487">
      <w:pPr>
        <w:rPr>
          <w:iCs/>
          <w:color w:val="000000" w:themeColor="text1"/>
          <w:lang w:eastAsia="ja-JP"/>
        </w:rPr>
      </w:pPr>
      <w:r>
        <w:rPr>
          <w:color w:val="000000" w:themeColor="text1"/>
          <w:lang w:eastAsia="ja-JP"/>
        </w:rPr>
        <w:t xml:space="preserve">If the UE reports </w:t>
      </w:r>
      <w:r>
        <w:rPr>
          <w:i/>
          <w:iCs/>
          <w:color w:val="000000" w:themeColor="text1"/>
          <w:lang w:eastAsia="ja-JP"/>
        </w:rPr>
        <w:t>pdcch-BlindDetectionCA</w:t>
      </w:r>
      <w:r w:rsidR="00DE072D">
        <w:rPr>
          <w:i/>
          <w:iCs/>
          <w:color w:val="000000" w:themeColor="text1"/>
          <w:lang w:eastAsia="ja-JP"/>
        </w:rPr>
        <w:t>1</w:t>
      </w:r>
      <w:r>
        <w:rPr>
          <w:iCs/>
          <w:color w:val="000000" w:themeColor="text1"/>
          <w:lang w:eastAsia="ja-JP"/>
        </w:rPr>
        <w:t xml:space="preserve">, </w:t>
      </w:r>
    </w:p>
    <w:p w14:paraId="0C1ACB7F" w14:textId="5AE9F192" w:rsidR="00A67487" w:rsidRDefault="00A67487" w:rsidP="00A67487">
      <w:pPr>
        <w:pStyle w:val="B1"/>
        <w:rPr>
          <w:color w:val="000000" w:themeColor="text1"/>
          <w:lang w:eastAsia="ja-JP"/>
        </w:rPr>
      </w:pPr>
      <w:r>
        <w:rPr>
          <w:color w:val="000000" w:themeColor="text1"/>
          <w:lang w:eastAsia="ja-JP"/>
        </w:rPr>
        <w:t>-</w:t>
      </w:r>
      <w:r>
        <w:rPr>
          <w:color w:val="000000" w:themeColor="text1"/>
          <w:lang w:eastAsia="ja-JP"/>
        </w:rPr>
        <w:tab/>
        <w:t xml:space="preserve">the value range of </w:t>
      </w:r>
      <w:r>
        <w:rPr>
          <w:rFonts w:eastAsia="DengXian"/>
          <w:i/>
          <w:color w:val="000000" w:themeColor="text1"/>
          <w:lang w:eastAsia="ja-JP"/>
        </w:rPr>
        <w:t>pdcch-BlindDetectionMCG-UE</w:t>
      </w:r>
      <w:r w:rsidR="00DE072D">
        <w:rPr>
          <w:i/>
          <w:iCs/>
          <w:color w:val="000000" w:themeColor="text1"/>
          <w:lang w:eastAsia="ja-JP"/>
        </w:rPr>
        <w:t>1</w:t>
      </w:r>
      <w:r>
        <w:rPr>
          <w:rFonts w:eastAsia="DengXian"/>
          <w:color w:val="000000" w:themeColor="text1"/>
          <w:lang w:eastAsia="ja-JP"/>
        </w:rPr>
        <w:t xml:space="preserve"> or of </w:t>
      </w:r>
      <w:r>
        <w:rPr>
          <w:rFonts w:eastAsia="DengXian"/>
          <w:i/>
          <w:color w:val="000000" w:themeColor="text1"/>
          <w:lang w:eastAsia="ja-JP"/>
        </w:rPr>
        <w:t>pdcch-BlindDetectionSCG-UE</w:t>
      </w:r>
      <w:r w:rsidR="00DE072D">
        <w:rPr>
          <w:i/>
          <w:iCs/>
          <w:color w:val="000000" w:themeColor="text1"/>
          <w:lang w:eastAsia="ja-JP"/>
        </w:rPr>
        <w:t>1</w:t>
      </w:r>
      <w:r>
        <w:rPr>
          <w:color w:val="000000" w:themeColor="text1"/>
          <w:lang w:eastAsia="ja-JP"/>
        </w:rPr>
        <w:t xml:space="preserve"> is [0, 1, …, </w:t>
      </w:r>
      <w:r>
        <w:rPr>
          <w:i/>
          <w:iCs/>
          <w:color w:val="000000" w:themeColor="text1"/>
          <w:lang w:eastAsia="ja-JP"/>
        </w:rPr>
        <w:t>pdcch-BlindDetectionCA</w:t>
      </w:r>
      <w:r w:rsidR="00DE072D">
        <w:rPr>
          <w:i/>
          <w:iCs/>
          <w:color w:val="000000" w:themeColor="text1"/>
          <w:lang w:eastAsia="ja-JP"/>
        </w:rPr>
        <w:t>1</w:t>
      </w:r>
      <w:r>
        <w:rPr>
          <w:color w:val="000000" w:themeColor="text1"/>
          <w:lang w:eastAsia="ja-JP"/>
        </w:rPr>
        <w:t xml:space="preserve">], and </w:t>
      </w:r>
    </w:p>
    <w:p w14:paraId="7AFD7C08" w14:textId="5C6A93B5" w:rsidR="00A67487" w:rsidRDefault="00A67487" w:rsidP="00A67487">
      <w:pPr>
        <w:pStyle w:val="B1"/>
        <w:rPr>
          <w:iCs/>
          <w:color w:val="000000" w:themeColor="text1"/>
          <w:lang w:eastAsia="ja-JP"/>
        </w:rPr>
      </w:pPr>
      <w:r>
        <w:rPr>
          <w:iCs/>
          <w:color w:val="000000" w:themeColor="text1"/>
          <w:lang w:eastAsia="ja-JP"/>
        </w:rPr>
        <w:t>-</w:t>
      </w:r>
      <w:r>
        <w:rPr>
          <w:iCs/>
          <w:color w:val="000000" w:themeColor="text1"/>
          <w:lang w:eastAsia="ja-JP"/>
        </w:rPr>
        <w:tab/>
      </w:r>
      <w:r>
        <w:rPr>
          <w:i/>
          <w:iCs/>
          <w:color w:val="000000" w:themeColor="text1"/>
          <w:lang w:eastAsia="ja-JP"/>
        </w:rPr>
        <w:t>pdcch-BlindDetectionMCG-UE</w:t>
      </w:r>
      <w:r w:rsidR="00DE072D">
        <w:rPr>
          <w:i/>
          <w:iCs/>
          <w:color w:val="000000" w:themeColor="text1"/>
          <w:lang w:eastAsia="ja-JP"/>
        </w:rPr>
        <w:t>1</w:t>
      </w:r>
      <w:r>
        <w:rPr>
          <w:color w:val="000000" w:themeColor="text1"/>
          <w:lang w:eastAsia="ja-JP"/>
        </w:rPr>
        <w:t xml:space="preserve"> + </w:t>
      </w:r>
      <w:r>
        <w:rPr>
          <w:i/>
          <w:iCs/>
          <w:color w:val="000000" w:themeColor="text1"/>
          <w:lang w:eastAsia="ja-JP"/>
        </w:rPr>
        <w:t>pdcch-BlindDetectionSCG-UE</w:t>
      </w:r>
      <w:r w:rsidR="00DE072D">
        <w:rPr>
          <w:i/>
          <w:iCs/>
          <w:color w:val="000000" w:themeColor="text1"/>
          <w:lang w:eastAsia="ja-JP"/>
        </w:rPr>
        <w:t>1</w:t>
      </w:r>
      <w:r w:rsidR="00DE072D">
        <w:rPr>
          <w:i/>
          <w:iCs/>
          <w:color w:val="000000" w:themeColor="text1"/>
          <w:lang w:val="en-US" w:eastAsia="ja-JP"/>
        </w:rPr>
        <w:t xml:space="preserve"> </w:t>
      </w:r>
      <w:r>
        <w:rPr>
          <w:iCs/>
          <w:color w:val="000000" w:themeColor="text1"/>
          <w:lang w:eastAsia="ja-JP"/>
        </w:rPr>
        <w:t xml:space="preserve">&gt;= </w:t>
      </w:r>
      <w:r>
        <w:rPr>
          <w:i/>
          <w:iCs/>
          <w:color w:val="000000" w:themeColor="text1"/>
          <w:lang w:eastAsia="ja-JP"/>
        </w:rPr>
        <w:t>pdcch-BlindDetectionCA</w:t>
      </w:r>
      <w:r w:rsidR="00DE072D">
        <w:rPr>
          <w:i/>
          <w:iCs/>
          <w:color w:val="000000" w:themeColor="text1"/>
          <w:lang w:eastAsia="ja-JP"/>
        </w:rPr>
        <w:t>1</w:t>
      </w:r>
      <w:r>
        <w:rPr>
          <w:iCs/>
          <w:color w:val="000000" w:themeColor="text1"/>
          <w:lang w:eastAsia="ja-JP"/>
        </w:rPr>
        <w:t xml:space="preserve">. </w:t>
      </w:r>
    </w:p>
    <w:p w14:paraId="698C483F" w14:textId="7FB16217" w:rsidR="00A67487" w:rsidRDefault="00A67487" w:rsidP="00A67487">
      <w:pPr>
        <w:rPr>
          <w:iCs/>
          <w:color w:val="000000" w:themeColor="text1"/>
          <w:lang w:eastAsia="ja-JP"/>
        </w:rPr>
      </w:pPr>
      <w:r>
        <w:rPr>
          <w:iCs/>
          <w:color w:val="000000" w:themeColor="text1"/>
          <w:lang w:eastAsia="ja-JP"/>
        </w:rPr>
        <w:t>Otherwise,</w:t>
      </w:r>
      <w:r>
        <w:rPr>
          <w:color w:val="000000" w:themeColor="text1"/>
        </w:rPr>
        <w:t xml:space="preserve"> if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r15</m:t>
            </m:r>
          </m:sub>
          <m:sup>
            <m:r>
              <m:rPr>
                <m:sty m:val="p"/>
              </m:rPr>
              <w:rPr>
                <w:rFonts w:ascii="Cambria Math" w:hAnsi="Cambria Math"/>
                <w:color w:val="000000" w:themeColor="text1"/>
                <w:lang w:eastAsia="zh-CN"/>
              </w:rPr>
              <m:t>DL,cells</m:t>
            </m:r>
          </m:sup>
        </m:sSubSup>
      </m:oMath>
      <w:r>
        <w:rPr>
          <w:color w:val="000000" w:themeColor="text1"/>
        </w:rPr>
        <w:t xml:space="preserve"> is a maximum total number of downlink cells for which the UE is provided </w:t>
      </w:r>
      <w:r>
        <w:rPr>
          <w:i/>
        </w:rPr>
        <w:t>monitoringCapabilityConfig</w:t>
      </w:r>
      <w:r>
        <w:t xml:space="preserve"> = </w:t>
      </w:r>
      <w:r>
        <w:rPr>
          <w:i/>
        </w:rPr>
        <w:t>r15monitoringcapability</w:t>
      </w:r>
      <w:r>
        <w:t xml:space="preserve"> and</w:t>
      </w:r>
      <w:r>
        <w:rPr>
          <w:color w:val="000000" w:themeColor="text1"/>
        </w:rPr>
        <w:t xml:space="preserve"> the UE is configured on both the MCG and the SCG for NR-DC as indicated in </w:t>
      </w:r>
      <w:r>
        <w:rPr>
          <w:i/>
          <w:iCs/>
          <w:color w:val="000000" w:themeColor="text1"/>
        </w:rPr>
        <w:t>UE-NR-Capability</w:t>
      </w:r>
    </w:p>
    <w:p w14:paraId="45BC9724" w14:textId="3351E22F" w:rsidR="00A67487" w:rsidRDefault="00A67487" w:rsidP="00A67487">
      <w:pPr>
        <w:pStyle w:val="B1"/>
        <w:rPr>
          <w:color w:val="000000" w:themeColor="text1"/>
          <w:lang w:eastAsia="ja-JP"/>
        </w:rPr>
      </w:pPr>
      <w:r>
        <w:rPr>
          <w:color w:val="000000" w:themeColor="text1"/>
          <w:lang w:eastAsia="ja-JP"/>
        </w:rPr>
        <w:t>-</w:t>
      </w:r>
      <w:r>
        <w:rPr>
          <w:color w:val="000000" w:themeColor="text1"/>
          <w:lang w:eastAsia="ja-JP"/>
        </w:rPr>
        <w:tab/>
        <w:t xml:space="preserve">the value range of </w:t>
      </w:r>
      <w:r>
        <w:rPr>
          <w:rFonts w:eastAsia="DengXian"/>
          <w:i/>
          <w:color w:val="000000" w:themeColor="text1"/>
          <w:lang w:eastAsia="ja-JP"/>
        </w:rPr>
        <w:t>pdcch-BlindDetectionMCG-UE</w:t>
      </w:r>
      <w:r w:rsidR="00DE072D">
        <w:rPr>
          <w:i/>
          <w:iCs/>
          <w:color w:val="000000" w:themeColor="text1"/>
          <w:lang w:eastAsia="ja-JP"/>
        </w:rPr>
        <w:t>1</w:t>
      </w:r>
      <w:r>
        <w:rPr>
          <w:rFonts w:eastAsia="DengXian"/>
          <w:color w:val="000000" w:themeColor="text1"/>
          <w:lang w:eastAsia="ja-JP"/>
        </w:rPr>
        <w:t xml:space="preserve"> or of </w:t>
      </w:r>
      <w:r>
        <w:rPr>
          <w:rFonts w:eastAsia="DengXian"/>
          <w:i/>
          <w:color w:val="000000" w:themeColor="text1"/>
          <w:lang w:eastAsia="ja-JP"/>
        </w:rPr>
        <w:t>pdcch-BlindDetectionSCG-UE</w:t>
      </w:r>
      <w:r w:rsidR="00DE072D">
        <w:rPr>
          <w:i/>
          <w:iCs/>
          <w:color w:val="000000" w:themeColor="text1"/>
          <w:lang w:eastAsia="ja-JP"/>
        </w:rPr>
        <w:t>1</w:t>
      </w:r>
      <w:r>
        <w:rPr>
          <w:color w:val="000000" w:themeColor="text1"/>
          <w:lang w:eastAsia="ja-JP"/>
        </w:rPr>
        <w:t xml:space="preserve"> is [0, 1, 2],</w:t>
      </w:r>
    </w:p>
    <w:p w14:paraId="6EFF1C63" w14:textId="3E1EF9F4" w:rsidR="00A67487" w:rsidRDefault="00A67487" w:rsidP="00A67487">
      <w:pPr>
        <w:pStyle w:val="B1"/>
        <w:rPr>
          <w:color w:val="000000" w:themeColor="text1"/>
          <w:lang w:eastAsia="zh-CN"/>
        </w:rPr>
      </w:pPr>
      <w:r>
        <w:rPr>
          <w:iCs/>
          <w:color w:val="000000" w:themeColor="text1"/>
          <w:lang w:eastAsia="ja-JP"/>
        </w:rPr>
        <w:t>-</w:t>
      </w:r>
      <w:r>
        <w:rPr>
          <w:iCs/>
          <w:color w:val="000000" w:themeColor="text1"/>
          <w:lang w:eastAsia="ja-JP"/>
        </w:rPr>
        <w:tab/>
      </w:r>
      <w:r>
        <w:rPr>
          <w:i/>
          <w:iCs/>
          <w:color w:val="000000" w:themeColor="text1"/>
          <w:lang w:eastAsia="ja-JP"/>
        </w:rPr>
        <w:t>pdcch-BlindDetectionMCG-UE</w:t>
      </w:r>
      <w:r w:rsidR="00DE072D">
        <w:rPr>
          <w:i/>
          <w:iCs/>
          <w:color w:val="000000" w:themeColor="text1"/>
          <w:lang w:eastAsia="ja-JP"/>
        </w:rPr>
        <w:t>1</w:t>
      </w:r>
      <w:r>
        <w:rPr>
          <w:color w:val="000000" w:themeColor="text1"/>
          <w:lang w:eastAsia="ja-JP"/>
        </w:rPr>
        <w:t xml:space="preserve"> + </w:t>
      </w:r>
      <w:r>
        <w:rPr>
          <w:i/>
          <w:iCs/>
          <w:color w:val="000000" w:themeColor="text1"/>
          <w:lang w:eastAsia="ja-JP"/>
        </w:rPr>
        <w:t>pdcch-BlindDetectionSCG-UE</w:t>
      </w:r>
      <w:r w:rsidR="00DE072D">
        <w:rPr>
          <w:i/>
          <w:iCs/>
          <w:color w:val="000000" w:themeColor="text1"/>
          <w:lang w:eastAsia="ja-JP"/>
        </w:rPr>
        <w:t>1</w:t>
      </w:r>
      <w:r>
        <w:rPr>
          <w:iCs/>
          <w:color w:val="000000" w:themeColor="text1"/>
          <w:lang w:eastAsia="ja-JP"/>
        </w:rPr>
        <w:t xml:space="preserve"> &gt;=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r15</m:t>
            </m:r>
          </m:sub>
          <m:sup>
            <m:r>
              <m:rPr>
                <m:sty m:val="p"/>
              </m:rPr>
              <w:rPr>
                <w:rFonts w:ascii="Cambria Math" w:hAnsi="Cambria Math"/>
                <w:color w:val="000000" w:themeColor="text1"/>
                <w:lang w:eastAsia="zh-CN"/>
              </w:rPr>
              <m:t>DL,cells</m:t>
            </m:r>
          </m:sup>
        </m:sSubSup>
      </m:oMath>
      <w:r>
        <w:rPr>
          <w:color w:val="000000" w:themeColor="text1"/>
          <w:lang w:eastAsia="zh-CN"/>
        </w:rPr>
        <w:t>.</w:t>
      </w:r>
    </w:p>
    <w:p w14:paraId="4BF0F9C6" w14:textId="4567DC42" w:rsidR="00A67487" w:rsidRDefault="00A67487" w:rsidP="00A67487">
      <w:pPr>
        <w:rPr>
          <w:iCs/>
          <w:color w:val="000000" w:themeColor="text1"/>
          <w:lang w:eastAsia="ja-JP"/>
        </w:rPr>
      </w:pPr>
      <w:r>
        <w:rPr>
          <w:color w:val="000000" w:themeColor="text1"/>
          <w:lang w:eastAsia="ja-JP"/>
        </w:rPr>
        <w:t xml:space="preserve">If the UE reports </w:t>
      </w:r>
      <w:r>
        <w:rPr>
          <w:i/>
          <w:iCs/>
          <w:color w:val="000000" w:themeColor="text1"/>
          <w:lang w:eastAsia="ja-JP"/>
        </w:rPr>
        <w:t>pdcch-BlindDetectionCA</w:t>
      </w:r>
      <w:r w:rsidR="00DE072D">
        <w:rPr>
          <w:i/>
          <w:iCs/>
          <w:color w:val="000000" w:themeColor="text1"/>
          <w:lang w:eastAsia="ja-JP"/>
        </w:rPr>
        <w:t>2</w:t>
      </w:r>
      <w:r>
        <w:rPr>
          <w:iCs/>
          <w:color w:val="000000" w:themeColor="text1"/>
          <w:lang w:eastAsia="ja-JP"/>
        </w:rPr>
        <w:t xml:space="preserve"> </w:t>
      </w:r>
    </w:p>
    <w:p w14:paraId="76AB0BD9" w14:textId="405C3849" w:rsidR="00A67487" w:rsidRDefault="00A67487" w:rsidP="00A67487">
      <w:pPr>
        <w:pStyle w:val="B1"/>
        <w:rPr>
          <w:color w:val="000000" w:themeColor="text1"/>
          <w:lang w:eastAsia="ja-JP"/>
        </w:rPr>
      </w:pPr>
      <w:r>
        <w:rPr>
          <w:color w:val="000000" w:themeColor="text1"/>
          <w:lang w:eastAsia="ja-JP"/>
        </w:rPr>
        <w:t>-</w:t>
      </w:r>
      <w:r>
        <w:rPr>
          <w:color w:val="000000" w:themeColor="text1"/>
          <w:lang w:eastAsia="ja-JP"/>
        </w:rPr>
        <w:tab/>
        <w:t xml:space="preserve">the value range of </w:t>
      </w:r>
      <w:r>
        <w:rPr>
          <w:rFonts w:eastAsia="DengXian"/>
          <w:i/>
          <w:color w:val="000000" w:themeColor="text1"/>
          <w:lang w:eastAsia="ja-JP"/>
        </w:rPr>
        <w:t>pdcch-BlindDetectionMCG-UE</w:t>
      </w:r>
      <w:r w:rsidR="00B16E56">
        <w:rPr>
          <w:i/>
          <w:iCs/>
          <w:color w:val="000000" w:themeColor="text1"/>
          <w:lang w:eastAsia="ja-JP"/>
        </w:rPr>
        <w:t>2</w:t>
      </w:r>
      <w:r>
        <w:rPr>
          <w:rFonts w:eastAsia="DengXian"/>
          <w:color w:val="000000" w:themeColor="text1"/>
          <w:lang w:eastAsia="ja-JP"/>
        </w:rPr>
        <w:t xml:space="preserve"> or of </w:t>
      </w:r>
      <w:r>
        <w:rPr>
          <w:rFonts w:eastAsia="DengXian"/>
          <w:i/>
          <w:color w:val="000000" w:themeColor="text1"/>
          <w:lang w:eastAsia="ja-JP"/>
        </w:rPr>
        <w:t>pdcch-BlindDetectionSCG-UE</w:t>
      </w:r>
      <w:r w:rsidR="00B16E56">
        <w:rPr>
          <w:i/>
          <w:iCs/>
          <w:color w:val="000000" w:themeColor="text1"/>
          <w:lang w:eastAsia="ja-JP"/>
        </w:rPr>
        <w:t>2</w:t>
      </w:r>
      <w:r>
        <w:rPr>
          <w:color w:val="000000" w:themeColor="text1"/>
          <w:lang w:eastAsia="ja-JP"/>
        </w:rPr>
        <w:t xml:space="preserve"> is [0, 1, …, </w:t>
      </w:r>
      <w:r>
        <w:rPr>
          <w:i/>
          <w:iCs/>
          <w:color w:val="000000" w:themeColor="text1"/>
          <w:lang w:eastAsia="ja-JP"/>
        </w:rPr>
        <w:t>pdcch-BlindDetectionCA</w:t>
      </w:r>
      <w:r w:rsidR="00B16E56">
        <w:rPr>
          <w:i/>
          <w:iCs/>
          <w:color w:val="000000" w:themeColor="text1"/>
          <w:lang w:eastAsia="ja-JP"/>
        </w:rPr>
        <w:t>2</w:t>
      </w:r>
      <w:r>
        <w:rPr>
          <w:color w:val="000000" w:themeColor="text1"/>
          <w:lang w:eastAsia="ja-JP"/>
        </w:rPr>
        <w:t xml:space="preserve">], and </w:t>
      </w:r>
    </w:p>
    <w:p w14:paraId="1AF28BC1" w14:textId="4AF6849E" w:rsidR="00A67487" w:rsidRDefault="00A67487" w:rsidP="00A67487">
      <w:pPr>
        <w:pStyle w:val="B1"/>
        <w:rPr>
          <w:iCs/>
          <w:color w:val="000000" w:themeColor="text1"/>
          <w:lang w:eastAsia="ja-JP"/>
        </w:rPr>
      </w:pPr>
      <w:r>
        <w:rPr>
          <w:iCs/>
          <w:color w:val="000000" w:themeColor="text1"/>
          <w:lang w:eastAsia="ja-JP"/>
        </w:rPr>
        <w:t>-</w:t>
      </w:r>
      <w:r>
        <w:rPr>
          <w:iCs/>
          <w:color w:val="000000" w:themeColor="text1"/>
          <w:lang w:eastAsia="ja-JP"/>
        </w:rPr>
        <w:tab/>
      </w:r>
      <w:r>
        <w:rPr>
          <w:i/>
          <w:iCs/>
          <w:color w:val="000000" w:themeColor="text1"/>
          <w:lang w:eastAsia="ja-JP"/>
        </w:rPr>
        <w:t>pdcch-BlindDetectionMCG-UE</w:t>
      </w:r>
      <w:r w:rsidR="00B16E56">
        <w:rPr>
          <w:i/>
          <w:iCs/>
          <w:color w:val="000000" w:themeColor="text1"/>
          <w:lang w:eastAsia="ja-JP"/>
        </w:rPr>
        <w:t>2</w:t>
      </w:r>
      <w:r>
        <w:rPr>
          <w:color w:val="000000" w:themeColor="text1"/>
          <w:lang w:eastAsia="ja-JP"/>
        </w:rPr>
        <w:t xml:space="preserve"> + </w:t>
      </w:r>
      <w:r>
        <w:rPr>
          <w:i/>
          <w:iCs/>
          <w:color w:val="000000" w:themeColor="text1"/>
          <w:lang w:eastAsia="ja-JP"/>
        </w:rPr>
        <w:t>pdcch-BlindDetectionSCG-UE</w:t>
      </w:r>
      <w:r w:rsidR="00B16E56">
        <w:rPr>
          <w:i/>
          <w:iCs/>
          <w:color w:val="000000" w:themeColor="text1"/>
          <w:lang w:eastAsia="ja-JP"/>
        </w:rPr>
        <w:t>2</w:t>
      </w:r>
      <w:r>
        <w:rPr>
          <w:iCs/>
          <w:color w:val="000000" w:themeColor="text1"/>
          <w:lang w:eastAsia="ja-JP"/>
        </w:rPr>
        <w:t xml:space="preserve"> &gt;= </w:t>
      </w:r>
      <w:r>
        <w:rPr>
          <w:i/>
          <w:iCs/>
          <w:color w:val="000000" w:themeColor="text1"/>
          <w:lang w:eastAsia="ja-JP"/>
        </w:rPr>
        <w:t>pdcch-BlindDetectionCA</w:t>
      </w:r>
      <w:r w:rsidR="00B16E56">
        <w:rPr>
          <w:i/>
          <w:iCs/>
          <w:color w:val="000000" w:themeColor="text1"/>
          <w:lang w:eastAsia="ja-JP"/>
        </w:rPr>
        <w:t>2</w:t>
      </w:r>
      <w:r>
        <w:rPr>
          <w:i/>
          <w:iCs/>
          <w:color w:val="000000" w:themeColor="text1"/>
          <w:lang w:val="en-US" w:eastAsia="ja-JP"/>
        </w:rPr>
        <w:t>.</w:t>
      </w:r>
      <w:r>
        <w:rPr>
          <w:iCs/>
          <w:color w:val="000000" w:themeColor="text1"/>
          <w:lang w:val="en-US" w:eastAsia="ja-JP"/>
        </w:rPr>
        <w:t xml:space="preserve"> </w:t>
      </w:r>
    </w:p>
    <w:p w14:paraId="65E831C5" w14:textId="6E4A6BCD" w:rsidR="00A67487" w:rsidRDefault="00A67487" w:rsidP="00A67487">
      <w:pPr>
        <w:rPr>
          <w:iCs/>
          <w:color w:val="000000" w:themeColor="text1"/>
          <w:lang w:eastAsia="ja-JP"/>
        </w:rPr>
      </w:pPr>
      <w:r>
        <w:rPr>
          <w:iCs/>
          <w:color w:val="000000" w:themeColor="text1"/>
          <w:lang w:eastAsia="ja-JP"/>
        </w:rPr>
        <w:t>Otherwise,</w:t>
      </w:r>
      <w:r>
        <w:rPr>
          <w:color w:val="000000" w:themeColor="text1"/>
        </w:rPr>
        <w:t xml:space="preserve"> if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r16</m:t>
            </m:r>
          </m:sub>
          <m:sup>
            <m:r>
              <m:rPr>
                <m:sty m:val="p"/>
              </m:rPr>
              <w:rPr>
                <w:rFonts w:ascii="Cambria Math" w:hAnsi="Cambria Math"/>
                <w:color w:val="000000" w:themeColor="text1"/>
                <w:lang w:eastAsia="zh-CN"/>
              </w:rPr>
              <m:t>DL,cells</m:t>
            </m:r>
          </m:sup>
        </m:sSubSup>
      </m:oMath>
      <w:r>
        <w:rPr>
          <w:color w:val="000000" w:themeColor="text1"/>
        </w:rPr>
        <w:t xml:space="preserve"> is a maximum total number of downlink cells for which the UE is provided </w:t>
      </w:r>
      <w:r>
        <w:rPr>
          <w:i/>
        </w:rPr>
        <w:t>monitoringCapabilityConfig</w:t>
      </w:r>
      <w:r>
        <w:t xml:space="preserve"> = </w:t>
      </w:r>
      <w:r>
        <w:rPr>
          <w:i/>
        </w:rPr>
        <w:t>r16monitoringcapability</w:t>
      </w:r>
      <w:r>
        <w:t xml:space="preserve"> and</w:t>
      </w:r>
      <w:r>
        <w:rPr>
          <w:color w:val="000000" w:themeColor="text1"/>
        </w:rPr>
        <w:t xml:space="preserve"> the UE is configured on both the MCG and the SCG for NR-DC as indicated in </w:t>
      </w:r>
      <w:r>
        <w:rPr>
          <w:i/>
          <w:iCs/>
          <w:color w:val="000000" w:themeColor="text1"/>
        </w:rPr>
        <w:t>UE-NR-Capability</w:t>
      </w:r>
    </w:p>
    <w:p w14:paraId="17CA376C" w14:textId="5225234A" w:rsidR="00A67487" w:rsidRDefault="00A67487" w:rsidP="00A67487">
      <w:pPr>
        <w:pStyle w:val="B1"/>
        <w:rPr>
          <w:color w:val="000000" w:themeColor="text1"/>
          <w:lang w:eastAsia="ja-JP"/>
        </w:rPr>
      </w:pPr>
      <w:r>
        <w:rPr>
          <w:color w:val="000000" w:themeColor="text1"/>
          <w:lang w:eastAsia="ja-JP"/>
        </w:rPr>
        <w:t>-</w:t>
      </w:r>
      <w:r>
        <w:rPr>
          <w:color w:val="000000" w:themeColor="text1"/>
          <w:lang w:eastAsia="ja-JP"/>
        </w:rPr>
        <w:tab/>
        <w:t xml:space="preserve">the value range of </w:t>
      </w:r>
      <w:r>
        <w:rPr>
          <w:rFonts w:eastAsia="DengXian"/>
          <w:i/>
          <w:color w:val="000000" w:themeColor="text1"/>
          <w:lang w:eastAsia="ja-JP"/>
        </w:rPr>
        <w:t>pdcch-BlindDetectionMCG-UE</w:t>
      </w:r>
      <w:r w:rsidR="00B16E56">
        <w:rPr>
          <w:i/>
          <w:iCs/>
          <w:color w:val="000000" w:themeColor="text1"/>
          <w:lang w:eastAsia="ja-JP"/>
        </w:rPr>
        <w:t>2</w:t>
      </w:r>
      <w:r>
        <w:rPr>
          <w:rFonts w:eastAsia="DengXian"/>
          <w:color w:val="000000" w:themeColor="text1"/>
          <w:lang w:eastAsia="ja-JP"/>
        </w:rPr>
        <w:t xml:space="preserve"> or of </w:t>
      </w:r>
      <w:r>
        <w:rPr>
          <w:rFonts w:eastAsia="DengXian"/>
          <w:i/>
          <w:color w:val="000000" w:themeColor="text1"/>
          <w:lang w:eastAsia="ja-JP"/>
        </w:rPr>
        <w:t>pdcch-BlindDetectionSCG-UE</w:t>
      </w:r>
      <w:r w:rsidR="00B16E56">
        <w:rPr>
          <w:i/>
          <w:iCs/>
          <w:color w:val="000000" w:themeColor="text1"/>
          <w:lang w:eastAsia="ja-JP"/>
        </w:rPr>
        <w:t>2</w:t>
      </w:r>
      <w:r>
        <w:rPr>
          <w:color w:val="000000" w:themeColor="text1"/>
          <w:lang w:eastAsia="ja-JP"/>
        </w:rPr>
        <w:t xml:space="preserve"> is [0, 1],</w:t>
      </w:r>
    </w:p>
    <w:p w14:paraId="2800DE96" w14:textId="48677705" w:rsidR="000A1DFE" w:rsidRDefault="00A67487" w:rsidP="00810527">
      <w:pPr>
        <w:pStyle w:val="B1"/>
        <w:rPr>
          <w:color w:val="000000" w:themeColor="text1"/>
          <w:lang w:eastAsia="zh-CN"/>
        </w:rPr>
      </w:pPr>
      <w:r>
        <w:rPr>
          <w:iCs/>
          <w:color w:val="000000" w:themeColor="text1"/>
          <w:lang w:eastAsia="ja-JP"/>
        </w:rPr>
        <w:t>-</w:t>
      </w:r>
      <w:r>
        <w:rPr>
          <w:iCs/>
          <w:color w:val="000000" w:themeColor="text1"/>
          <w:lang w:eastAsia="ja-JP"/>
        </w:rPr>
        <w:tab/>
      </w:r>
      <w:r>
        <w:rPr>
          <w:i/>
          <w:iCs/>
          <w:color w:val="000000" w:themeColor="text1"/>
          <w:lang w:eastAsia="ja-JP"/>
        </w:rPr>
        <w:t>pdcch-BlindDetectionMCG-UE</w:t>
      </w:r>
      <w:r w:rsidR="00B16E56">
        <w:rPr>
          <w:i/>
          <w:iCs/>
          <w:color w:val="000000" w:themeColor="text1"/>
          <w:lang w:eastAsia="ja-JP"/>
        </w:rPr>
        <w:t>2</w:t>
      </w:r>
      <w:r>
        <w:rPr>
          <w:color w:val="000000" w:themeColor="text1"/>
          <w:lang w:eastAsia="ja-JP"/>
        </w:rPr>
        <w:t xml:space="preserve"> + </w:t>
      </w:r>
      <w:r>
        <w:rPr>
          <w:i/>
          <w:iCs/>
          <w:color w:val="000000" w:themeColor="text1"/>
          <w:lang w:eastAsia="ja-JP"/>
        </w:rPr>
        <w:t>pdcch-BlindDetectionSCG-UE</w:t>
      </w:r>
      <w:r w:rsidR="00B16E56">
        <w:rPr>
          <w:i/>
          <w:iCs/>
          <w:color w:val="000000" w:themeColor="text1"/>
          <w:lang w:eastAsia="ja-JP"/>
        </w:rPr>
        <w:t>2</w:t>
      </w:r>
      <w:r>
        <w:rPr>
          <w:iCs/>
          <w:color w:val="000000" w:themeColor="text1"/>
          <w:lang w:eastAsia="ja-JP"/>
        </w:rPr>
        <w:t xml:space="preserve"> &gt;=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r16</m:t>
            </m:r>
          </m:sub>
          <m:sup>
            <m:r>
              <m:rPr>
                <m:sty m:val="p"/>
              </m:rPr>
              <w:rPr>
                <w:rFonts w:ascii="Cambria Math" w:hAnsi="Cambria Math"/>
                <w:color w:val="000000" w:themeColor="text1"/>
                <w:lang w:eastAsia="zh-CN"/>
              </w:rPr>
              <m:t>DL,cells</m:t>
            </m:r>
          </m:sup>
        </m:sSubSup>
      </m:oMath>
      <w:r>
        <w:rPr>
          <w:color w:val="000000" w:themeColor="text1"/>
          <w:lang w:eastAsia="zh-CN"/>
        </w:rPr>
        <w:t>.</w:t>
      </w:r>
    </w:p>
    <w:p w14:paraId="50DEE2AF" w14:textId="77777777" w:rsidR="00BC0B43" w:rsidRDefault="00BC0B43" w:rsidP="00BC0B43">
      <w:pPr>
        <w:rPr>
          <w:rFonts w:eastAsia="DengXian"/>
          <w:lang w:eastAsia="ko-KR"/>
        </w:rPr>
      </w:pPr>
      <w:r>
        <w:rPr>
          <w:rFonts w:eastAsia="DengXian"/>
          <w:lang w:eastAsia="ko-KR"/>
        </w:rPr>
        <w:t xml:space="preserve">When a UE is configured for NR-DC operation with a total of </w:t>
      </w:r>
      <m:oMath>
        <m:sSubSup>
          <m:sSubSupPr>
            <m:ctrlPr>
              <w:rPr>
                <w:rFonts w:ascii="Cambria Math" w:hAnsi="Cambria Math"/>
                <w:color w:val="FF0000"/>
              </w:rPr>
            </m:ctrlPr>
          </m:sSubSupPr>
          <m:e>
            <m:r>
              <w:rPr>
                <w:rFonts w:ascii="Cambria Math" w:hAnsi="Cambria Math"/>
              </w:rPr>
              <m:t>N</m:t>
            </m:r>
          </m:e>
          <m:sub>
            <m:r>
              <m:rPr>
                <m:sty m:val="p"/>
              </m:rPr>
              <w:rPr>
                <w:rFonts w:ascii="Cambria Math" w:hAnsi="Cambria Math"/>
              </w:rPr>
              <m:t>NR-DC</m:t>
            </m:r>
          </m:sub>
          <m:sup>
            <m:r>
              <m:rPr>
                <m:sty m:val="p"/>
              </m:rPr>
              <w:rPr>
                <w:rFonts w:ascii="Cambria Math" w:hAnsi="Cambria Math"/>
              </w:rPr>
              <m:t>DL,cells</m:t>
            </m:r>
          </m:sup>
        </m:sSubSup>
      </m:oMath>
      <w:r>
        <w:rPr>
          <w:rFonts w:eastAsia="DengXian"/>
        </w:rPr>
        <w:t xml:space="preserve"> downlink cells on both the MCG and the SCG and </w:t>
      </w:r>
      <w:r>
        <w:rPr>
          <w:lang w:eastAsia="ko-KR"/>
        </w:rPr>
        <w:t xml:space="preserve">the UE is provided </w:t>
      </w:r>
      <w:r>
        <w:rPr>
          <w:i/>
        </w:rPr>
        <w:t>monitoringCapabilityConfig</w:t>
      </w:r>
      <w:r>
        <w:t xml:space="preserve"> = </w:t>
      </w:r>
      <w:r>
        <w:rPr>
          <w:i/>
        </w:rPr>
        <w:t xml:space="preserve">r15monitoringcapability </w:t>
      </w:r>
      <w:r>
        <w:t>for</w:t>
      </w:r>
      <w:r>
        <w:rPr>
          <w:i/>
          <w:iCs/>
          <w:lang w:eastAsia="ja-JP"/>
        </w:rPr>
        <w:t> </w:t>
      </w:r>
      <m:oMath>
        <m:sSubSup>
          <m:sSubSupPr>
            <m:ctrlPr>
              <w:rPr>
                <w:rFonts w:ascii="Cambria Math" w:hAnsi="Cambria Math"/>
                <w:color w:val="000000" w:themeColor="text1"/>
              </w:rPr>
            </m:ctrlPr>
          </m:sSubSupPr>
          <m:e>
            <m:r>
              <w:rPr>
                <w:rFonts w:ascii="Cambria Math" w:hAnsi="Cambria Math"/>
                <w:color w:val="000000" w:themeColor="text1"/>
              </w:rPr>
              <m:t>N</m:t>
            </m:r>
          </m:e>
          <m:sub>
            <m:r>
              <m:rPr>
                <m:sty m:val="p"/>
              </m:rPr>
              <w:rPr>
                <w:rFonts w:ascii="Cambria Math" w:hAnsi="Cambria Math"/>
                <w:color w:val="000000" w:themeColor="text1"/>
              </w:rPr>
              <m:t>NR-DC,r15</m:t>
            </m:r>
          </m:sub>
          <m:sup>
            <m:r>
              <m:rPr>
                <m:sty m:val="p"/>
              </m:rPr>
              <w:rPr>
                <w:rFonts w:ascii="Cambria Math" w:hAnsi="Cambria Math"/>
                <w:color w:val="000000" w:themeColor="text1"/>
              </w:rPr>
              <m:t>DL,cells</m:t>
            </m:r>
          </m:sup>
        </m:sSubSup>
      </m:oMath>
      <w:r>
        <w:rPr>
          <w:color w:val="000000" w:themeColor="text1"/>
          <w:lang w:eastAsia="ko-KR"/>
        </w:rPr>
        <w:t xml:space="preserve"> </w:t>
      </w:r>
      <w:r>
        <w:rPr>
          <w:rFonts w:eastAsia="DengXian"/>
          <w:color w:val="000000" w:themeColor="text1"/>
        </w:rPr>
        <w:t>downlink cells</w:t>
      </w:r>
      <w:r>
        <w:rPr>
          <w:color w:val="000000" w:themeColor="text1"/>
          <w:lang w:eastAsia="ko-KR"/>
        </w:rPr>
        <w:t xml:space="preserve"> and </w:t>
      </w:r>
      <w:r>
        <w:rPr>
          <w:i/>
        </w:rPr>
        <w:t>monitoringCapabilityConfig</w:t>
      </w:r>
      <w:r>
        <w:t xml:space="preserve"> = </w:t>
      </w:r>
      <w:r>
        <w:rPr>
          <w:i/>
        </w:rPr>
        <w:t>r17monitoringcapability</w:t>
      </w:r>
      <w:r>
        <w:rPr>
          <w:i/>
          <w:color w:val="000000" w:themeColor="text1"/>
        </w:rPr>
        <w:t xml:space="preserve"> </w:t>
      </w:r>
      <w:r>
        <w:rPr>
          <w:color w:val="000000" w:themeColor="text1"/>
        </w:rPr>
        <w:t xml:space="preserve">for </w:t>
      </w:r>
      <m:oMath>
        <m:sSubSup>
          <m:sSubSupPr>
            <m:ctrlPr>
              <w:rPr>
                <w:rFonts w:ascii="Cambria Math" w:hAnsi="Cambria Math"/>
                <w:color w:val="000000" w:themeColor="text1"/>
              </w:rPr>
            </m:ctrlPr>
          </m:sSubSupPr>
          <m:e>
            <m:r>
              <w:rPr>
                <w:rFonts w:ascii="Cambria Math" w:hAnsi="Cambria Math"/>
                <w:color w:val="000000" w:themeColor="text1"/>
              </w:rPr>
              <m:t>N</m:t>
            </m:r>
          </m:e>
          <m:sub>
            <m:r>
              <m:rPr>
                <m:sty m:val="p"/>
              </m:rPr>
              <w:rPr>
                <w:rFonts w:ascii="Cambria Math" w:hAnsi="Cambria Math"/>
                <w:color w:val="000000" w:themeColor="text1"/>
              </w:rPr>
              <m:t>NR-DC,r17</m:t>
            </m:r>
          </m:sub>
          <m:sup>
            <m:r>
              <m:rPr>
                <m:sty m:val="p"/>
              </m:rPr>
              <w:rPr>
                <w:rFonts w:ascii="Cambria Math" w:hAnsi="Cambria Math"/>
                <w:color w:val="000000" w:themeColor="text1"/>
              </w:rPr>
              <m:t>DL,cells</m:t>
            </m:r>
          </m:sup>
        </m:sSubSup>
      </m:oMath>
      <w:r>
        <w:rPr>
          <w:color w:val="000000" w:themeColor="text1"/>
          <w:lang w:eastAsia="ko-KR"/>
        </w:rPr>
        <w:t xml:space="preserve"> </w:t>
      </w:r>
      <w:r>
        <w:rPr>
          <w:rFonts w:eastAsia="DengXian"/>
          <w:color w:val="000000" w:themeColor="text1"/>
        </w:rPr>
        <w:t>downlink cells where the UE monitors PDCCH</w:t>
      </w:r>
      <w:r>
        <w:rPr>
          <w:rFonts w:eastAsia="DengXian"/>
          <w:color w:val="000000" w:themeColor="text1"/>
          <w:lang w:eastAsia="ko-KR"/>
        </w:rPr>
        <w:t xml:space="preserve">, the UE expects to be provided </w:t>
      </w:r>
      <w:r>
        <w:rPr>
          <w:i/>
          <w:iCs/>
          <w:color w:val="000000" w:themeColor="text1"/>
          <w:lang w:eastAsia="ja-JP"/>
        </w:rPr>
        <w:t xml:space="preserve">pdcch-BlindDetection3 </w:t>
      </w:r>
      <w:r>
        <w:rPr>
          <w:iCs/>
          <w:color w:val="000000" w:themeColor="text1"/>
          <w:lang w:eastAsia="ja-JP"/>
        </w:rPr>
        <w:t>and</w:t>
      </w:r>
      <w:r>
        <w:rPr>
          <w:i/>
          <w:iCs/>
          <w:color w:val="000000" w:themeColor="text1"/>
          <w:lang w:eastAsia="ja-JP"/>
        </w:rPr>
        <w:t xml:space="preserve"> pdcch-BlindDetection4</w:t>
      </w:r>
      <w:r>
        <w:rPr>
          <w:rFonts w:eastAsia="DengXian"/>
          <w:color w:val="000000" w:themeColor="text1"/>
          <w:lang w:eastAsia="ja-JP"/>
        </w:rPr>
        <w:t xml:space="preserve"> for the MCG, and </w:t>
      </w:r>
      <w:r>
        <w:rPr>
          <w:i/>
          <w:iCs/>
          <w:color w:val="000000" w:themeColor="text1"/>
          <w:lang w:eastAsia="ja-JP"/>
        </w:rPr>
        <w:t xml:space="preserve">pdcch-BlindDetection3 </w:t>
      </w:r>
      <w:r>
        <w:rPr>
          <w:iCs/>
          <w:color w:val="000000" w:themeColor="text1"/>
          <w:lang w:eastAsia="ja-JP"/>
        </w:rPr>
        <w:t>and</w:t>
      </w:r>
      <w:r>
        <w:rPr>
          <w:i/>
          <w:iCs/>
          <w:color w:val="000000" w:themeColor="text1"/>
          <w:lang w:eastAsia="ja-JP"/>
        </w:rPr>
        <w:t xml:space="preserve"> pdcch-BlindDetection4 </w:t>
      </w:r>
      <w:r>
        <w:rPr>
          <w:rFonts w:eastAsia="DengXian"/>
          <w:color w:val="000000" w:themeColor="text1"/>
          <w:lang w:eastAsia="ko-KR"/>
        </w:rPr>
        <w:t xml:space="preserve">for the SCG with values that satisfy </w:t>
      </w:r>
    </w:p>
    <w:p w14:paraId="11AB27F2" w14:textId="16B11498" w:rsidR="00BC0B43" w:rsidRPr="00F56BF9" w:rsidRDefault="00BC0B43" w:rsidP="00BC0B43">
      <w:pPr>
        <w:pStyle w:val="B1"/>
        <w:rPr>
          <w:rFonts w:eastAsia="DengXian"/>
          <w:lang w:eastAsia="ja-JP"/>
        </w:rPr>
      </w:pPr>
      <w:r w:rsidRPr="00F56BF9">
        <w:rPr>
          <w:rFonts w:eastAsia="DengXian"/>
          <w:lang w:eastAsia="ja-JP"/>
        </w:rPr>
        <w:t>-</w:t>
      </w:r>
      <w:r w:rsidRPr="00F56BF9">
        <w:rPr>
          <w:rFonts w:eastAsia="DengXian"/>
          <w:lang w:eastAsia="ja-JP"/>
        </w:rPr>
        <w:tab/>
      </w:r>
      <w:r w:rsidRPr="00F56BF9">
        <w:rPr>
          <w:i/>
          <w:iCs/>
          <w:lang w:eastAsia="ja-JP"/>
        </w:rPr>
        <w:t>pdcch-BlindDetection</w:t>
      </w:r>
      <w:r w:rsidRPr="00F56BF9">
        <w:rPr>
          <w:i/>
          <w:iCs/>
          <w:lang w:val="en-US" w:eastAsia="ja-JP"/>
        </w:rPr>
        <w:t>3</w:t>
      </w:r>
      <w:r w:rsidRPr="00F56BF9">
        <w:rPr>
          <w:rFonts w:eastAsia="DengXian"/>
          <w:lang w:eastAsia="ja-JP"/>
        </w:rPr>
        <w:t xml:space="preserve"> for the MCG + </w:t>
      </w:r>
      <w:r w:rsidRPr="00F56BF9">
        <w:rPr>
          <w:i/>
          <w:iCs/>
          <w:lang w:eastAsia="ja-JP"/>
        </w:rPr>
        <w:t>pdcch-BlindDetection</w:t>
      </w:r>
      <w:r w:rsidRPr="00F56BF9">
        <w:rPr>
          <w:i/>
          <w:iCs/>
          <w:lang w:val="en-US" w:eastAsia="ja-JP"/>
        </w:rPr>
        <w:t>3</w:t>
      </w:r>
      <w:r w:rsidRPr="00F56BF9">
        <w:rPr>
          <w:rFonts w:eastAsia="DengXian"/>
          <w:lang w:eastAsia="ja-JP"/>
        </w:rPr>
        <w:t xml:space="preserve"> </w:t>
      </w:r>
      <w:r w:rsidRPr="00F56BF9">
        <w:rPr>
          <w:rFonts w:eastAsia="DengXian"/>
          <w:lang w:eastAsia="ko-KR"/>
        </w:rPr>
        <w:t xml:space="preserve">for the SCG </w:t>
      </w:r>
      <w:r w:rsidRPr="00F56BF9">
        <w:rPr>
          <w:rFonts w:eastAsia="DengXian"/>
          <w:lang w:eastAsia="ja-JP"/>
        </w:rPr>
        <w:t xml:space="preserve">&lt;= </w:t>
      </w:r>
      <w:r w:rsidRPr="00F56BF9">
        <w:rPr>
          <w:rFonts w:eastAsia="DengXian"/>
          <w:i/>
          <w:iCs/>
          <w:lang w:eastAsia="ja-JP"/>
        </w:rPr>
        <w:t>pdcch-BlindDetectionCA</w:t>
      </w:r>
      <w:r w:rsidRPr="00F56BF9">
        <w:rPr>
          <w:rFonts w:eastAsia="DengXian"/>
          <w:i/>
          <w:iCs/>
          <w:lang w:val="en-US" w:eastAsia="ja-JP"/>
        </w:rPr>
        <w:t>1</w:t>
      </w:r>
      <w:r w:rsidRPr="00F56BF9">
        <w:rPr>
          <w:rFonts w:eastAsia="DengXian"/>
          <w:lang w:eastAsia="ja-JP"/>
        </w:rPr>
        <w:t xml:space="preserve">, if the UE reports </w:t>
      </w:r>
      <w:r w:rsidRPr="00F56BF9">
        <w:rPr>
          <w:rFonts w:eastAsia="DengXian"/>
          <w:i/>
          <w:iCs/>
          <w:lang w:eastAsia="ja-JP"/>
        </w:rPr>
        <w:t>pdcch-BlindDetectionCA</w:t>
      </w:r>
      <w:r w:rsidRPr="00F56BF9">
        <w:rPr>
          <w:rFonts w:eastAsia="DengXian"/>
          <w:i/>
          <w:iCs/>
          <w:lang w:val="en-US" w:eastAsia="ja-JP"/>
        </w:rPr>
        <w:t>1</w:t>
      </w:r>
      <w:r w:rsidR="00793E20">
        <w:rPr>
          <w:rFonts w:eastAsia="DengXian"/>
          <w:i/>
          <w:iCs/>
          <w:lang w:val="en-US" w:eastAsia="ja-JP"/>
        </w:rPr>
        <w:t xml:space="preserve"> </w:t>
      </w:r>
      <w:r w:rsidR="00793E20">
        <w:rPr>
          <w:rFonts w:eastAsia="DengXian"/>
          <w:lang w:eastAsia="ko-KR"/>
        </w:rPr>
        <w:t>in</w:t>
      </w:r>
      <w:r w:rsidR="00793E20" w:rsidRPr="00044175">
        <w:rPr>
          <w:rFonts w:eastAsia="DengXian"/>
          <w:lang w:eastAsia="ko-KR"/>
        </w:rPr>
        <w:t xml:space="preserve"> </w:t>
      </w:r>
      <w:r w:rsidR="00793E20" w:rsidRPr="00044175">
        <w:rPr>
          <w:i/>
        </w:rPr>
        <w:t>pdcch-BlindDetectionMixedList1</w:t>
      </w:r>
      <w:r w:rsidRPr="00F56BF9">
        <w:rPr>
          <w:rFonts w:eastAsia="DengXian"/>
          <w:lang w:eastAsia="ja-JP"/>
        </w:rPr>
        <w:t>, or</w:t>
      </w:r>
    </w:p>
    <w:p w14:paraId="6E28369E" w14:textId="516B92DB" w:rsidR="00BC0B43" w:rsidRDefault="00BC0B43" w:rsidP="00BC0B43">
      <w:pPr>
        <w:pStyle w:val="B1"/>
        <w:rPr>
          <w:rFonts w:eastAsia="DengXian"/>
          <w:lang w:eastAsia="ja-JP"/>
        </w:rPr>
      </w:pPr>
      <w:r>
        <w:rPr>
          <w:rFonts w:eastAsia="DengXian"/>
          <w:lang w:eastAsia="ja-JP"/>
        </w:rPr>
        <w:t>-</w:t>
      </w:r>
      <w:r>
        <w:rPr>
          <w:rFonts w:eastAsia="DengXian"/>
          <w:lang w:eastAsia="ja-JP"/>
        </w:rPr>
        <w:tab/>
      </w:r>
      <w:r w:rsidRPr="00D429F6">
        <w:rPr>
          <w:i/>
          <w:iCs/>
          <w:lang w:eastAsia="ja-JP"/>
        </w:rPr>
        <w:t>pdcch-BlindDetection</w:t>
      </w:r>
      <w:r w:rsidRPr="00130949">
        <w:rPr>
          <w:i/>
          <w:iCs/>
          <w:lang w:val="en-US" w:eastAsia="ja-JP"/>
        </w:rPr>
        <w:t>3</w:t>
      </w:r>
      <w:r>
        <w:rPr>
          <w:rFonts w:eastAsia="DengXian"/>
          <w:lang w:eastAsia="ja-JP"/>
        </w:rPr>
        <w:t xml:space="preserve"> for the MCG + </w:t>
      </w:r>
      <w:r w:rsidRPr="00D429F6">
        <w:rPr>
          <w:i/>
          <w:iCs/>
          <w:lang w:eastAsia="ja-JP"/>
        </w:rPr>
        <w:t>pdcch-BlindDetection</w:t>
      </w:r>
      <w:r w:rsidRPr="00130949">
        <w:rPr>
          <w:i/>
          <w:iCs/>
          <w:lang w:val="en-US" w:eastAsia="ja-JP"/>
        </w:rPr>
        <w:t>3</w:t>
      </w:r>
      <w:r>
        <w:rPr>
          <w:rFonts w:eastAsia="DengXian"/>
          <w:lang w:eastAsia="ja-JP"/>
        </w:rPr>
        <w:t xml:space="preserve"> </w:t>
      </w:r>
      <w:r>
        <w:rPr>
          <w:rFonts w:eastAsia="DengXian"/>
          <w:lang w:eastAsia="ko-KR"/>
        </w:rPr>
        <w:t xml:space="preserve">for the SCG </w:t>
      </w:r>
      <w:r>
        <w:rPr>
          <w:rFonts w:eastAsia="DengXian"/>
          <w:lang w:eastAsia="ja-JP"/>
        </w:rPr>
        <w:t xml:space="preserve">&lt;= </w:t>
      </w:r>
      <m:oMath>
        <m:sSubSup>
          <m:sSubSupPr>
            <m:ctrlPr>
              <w:rPr>
                <w:rFonts w:ascii="Cambria Math" w:hAnsi="Cambria Math"/>
              </w:rPr>
            </m:ctrlPr>
          </m:sSubSupPr>
          <m:e>
            <m:r>
              <w:rPr>
                <w:rFonts w:ascii="Cambria Math" w:hAnsi="Cambria Math"/>
              </w:rPr>
              <m:t>N</m:t>
            </m:r>
          </m:e>
          <m:sub>
            <m:r>
              <m:rPr>
                <m:sty m:val="p"/>
              </m:rPr>
              <w:rPr>
                <w:rFonts w:ascii="Cambria Math" w:hAnsi="Cambria Math"/>
              </w:rPr>
              <m:t>NR-DC,r15</m:t>
            </m:r>
          </m:sub>
          <m:sup>
            <m:r>
              <m:rPr>
                <m:sty m:val="p"/>
              </m:rPr>
              <w:rPr>
                <w:rFonts w:ascii="Cambria Math" w:hAnsi="Cambria Math"/>
              </w:rPr>
              <m:t>DL,cells</m:t>
            </m:r>
          </m:sup>
        </m:sSubSup>
      </m:oMath>
      <w:r>
        <w:rPr>
          <w:rFonts w:eastAsia="DengXian"/>
          <w:lang w:eastAsia="ja-JP"/>
        </w:rPr>
        <w:t xml:space="preserve">, if the UE does not report </w:t>
      </w:r>
      <w:r w:rsidRPr="00D429F6">
        <w:rPr>
          <w:rFonts w:eastAsia="DengXian"/>
          <w:i/>
          <w:iCs/>
          <w:lang w:eastAsia="ja-JP"/>
        </w:rPr>
        <w:t>pdcch-BlindDetectionCA</w:t>
      </w:r>
      <w:r w:rsidRPr="00130949">
        <w:rPr>
          <w:rFonts w:eastAsia="DengXian"/>
          <w:i/>
          <w:iCs/>
          <w:lang w:val="en-US" w:eastAsia="ja-JP"/>
        </w:rPr>
        <w:t>1</w:t>
      </w:r>
      <w:r w:rsidR="00793E20">
        <w:rPr>
          <w:rFonts w:eastAsia="DengXian"/>
          <w:i/>
          <w:iCs/>
          <w:lang w:val="en-US" w:eastAsia="ja-JP"/>
        </w:rPr>
        <w:t xml:space="preserve"> </w:t>
      </w:r>
      <w:r w:rsidR="00793E20">
        <w:rPr>
          <w:rFonts w:eastAsia="DengXian"/>
          <w:lang w:eastAsia="ko-KR"/>
        </w:rPr>
        <w:t>in</w:t>
      </w:r>
      <w:r w:rsidR="00793E20" w:rsidRPr="00044175">
        <w:rPr>
          <w:rFonts w:eastAsia="DengXian"/>
          <w:lang w:eastAsia="ko-KR"/>
        </w:rPr>
        <w:t xml:space="preserve"> </w:t>
      </w:r>
      <w:r w:rsidR="00793E20" w:rsidRPr="00044175">
        <w:rPr>
          <w:i/>
        </w:rPr>
        <w:t>pdcch-BlindDetectionMixedList1</w:t>
      </w:r>
    </w:p>
    <w:p w14:paraId="17C44516" w14:textId="77777777" w:rsidR="00BC0B43" w:rsidRDefault="00BC0B43" w:rsidP="00BC0B43">
      <w:pPr>
        <w:rPr>
          <w:rFonts w:eastAsia="DengXian"/>
          <w:iCs/>
          <w:lang w:val="x-none" w:eastAsia="ja-JP"/>
        </w:rPr>
      </w:pPr>
      <w:r>
        <w:rPr>
          <w:rFonts w:eastAsia="DengXian"/>
          <w:lang w:val="x-none" w:eastAsia="ja-JP"/>
        </w:rPr>
        <w:t>and</w:t>
      </w:r>
    </w:p>
    <w:p w14:paraId="5F9B0FDE" w14:textId="7F290237" w:rsidR="00BC0B43" w:rsidRDefault="00BC0B43" w:rsidP="00BC0B43">
      <w:pPr>
        <w:pStyle w:val="B1"/>
        <w:rPr>
          <w:rFonts w:eastAsia="DengXian"/>
          <w:lang w:eastAsia="ja-JP"/>
        </w:rPr>
      </w:pPr>
      <w:r>
        <w:rPr>
          <w:rFonts w:eastAsia="DengXian"/>
          <w:lang w:eastAsia="ja-JP"/>
        </w:rPr>
        <w:t>-</w:t>
      </w:r>
      <w:r>
        <w:rPr>
          <w:rFonts w:eastAsia="DengXian"/>
          <w:lang w:eastAsia="ja-JP"/>
        </w:rPr>
        <w:tab/>
      </w:r>
      <w:r w:rsidRPr="00D429F6">
        <w:rPr>
          <w:i/>
          <w:iCs/>
          <w:lang w:eastAsia="ja-JP"/>
        </w:rPr>
        <w:t>pdcch-BlindDetection</w:t>
      </w:r>
      <w:r>
        <w:rPr>
          <w:i/>
          <w:iCs/>
          <w:lang w:val="en-US" w:eastAsia="ja-JP"/>
        </w:rPr>
        <w:t>4</w:t>
      </w:r>
      <w:r>
        <w:rPr>
          <w:rFonts w:eastAsia="DengXian"/>
          <w:lang w:eastAsia="ja-JP"/>
        </w:rPr>
        <w:t xml:space="preserve"> for the MCG + </w:t>
      </w:r>
      <w:r w:rsidRPr="00D429F6">
        <w:rPr>
          <w:i/>
          <w:iCs/>
          <w:lang w:eastAsia="ja-JP"/>
        </w:rPr>
        <w:t>pdcch-BlindDetection</w:t>
      </w:r>
      <w:r>
        <w:rPr>
          <w:i/>
          <w:iCs/>
          <w:lang w:val="en-US" w:eastAsia="ja-JP"/>
        </w:rPr>
        <w:t>4</w:t>
      </w:r>
      <w:r>
        <w:rPr>
          <w:rFonts w:eastAsia="DengXian"/>
          <w:lang w:eastAsia="ja-JP"/>
        </w:rPr>
        <w:t xml:space="preserve"> </w:t>
      </w:r>
      <w:r>
        <w:rPr>
          <w:rFonts w:eastAsia="DengXian"/>
          <w:lang w:eastAsia="ko-KR"/>
        </w:rPr>
        <w:t xml:space="preserve">for the SCG </w:t>
      </w:r>
      <w:r>
        <w:rPr>
          <w:rFonts w:eastAsia="DengXian"/>
          <w:lang w:eastAsia="ja-JP"/>
        </w:rPr>
        <w:t xml:space="preserve">&lt;= </w:t>
      </w:r>
      <w:r w:rsidRPr="00D429F6">
        <w:rPr>
          <w:rFonts w:eastAsia="DengXian"/>
          <w:i/>
          <w:iCs/>
          <w:lang w:eastAsia="ja-JP"/>
        </w:rPr>
        <w:t>pdcch-</w:t>
      </w:r>
      <w:r w:rsidR="00793E20" w:rsidRPr="00D429F6">
        <w:rPr>
          <w:rFonts w:eastAsia="DengXian"/>
          <w:i/>
          <w:iCs/>
          <w:lang w:eastAsia="ja-JP"/>
        </w:rPr>
        <w:t>BlindDetectionCA</w:t>
      </w:r>
      <w:r w:rsidR="00793E20">
        <w:rPr>
          <w:i/>
          <w:iCs/>
          <w:lang w:val="en-US" w:eastAsia="ja-JP"/>
        </w:rPr>
        <w:t>2</w:t>
      </w:r>
      <w:r>
        <w:rPr>
          <w:rFonts w:eastAsia="DengXian"/>
          <w:lang w:eastAsia="ja-JP"/>
        </w:rPr>
        <w:t xml:space="preserve">, if the UE reports </w:t>
      </w:r>
      <w:r w:rsidRPr="00D429F6">
        <w:rPr>
          <w:rFonts w:eastAsia="DengXian"/>
          <w:i/>
          <w:iCs/>
          <w:lang w:eastAsia="ja-JP"/>
        </w:rPr>
        <w:t>pdcch-BlindDetectionCA</w:t>
      </w:r>
      <w:r w:rsidR="00793E20">
        <w:rPr>
          <w:i/>
          <w:iCs/>
          <w:lang w:val="en-US" w:eastAsia="ja-JP"/>
        </w:rPr>
        <w:t xml:space="preserve">2 </w:t>
      </w:r>
      <w:r w:rsidR="00793E20" w:rsidRPr="000210AA">
        <w:rPr>
          <w:iCs/>
          <w:lang w:val="en-US" w:eastAsia="ja-JP"/>
        </w:rPr>
        <w:t>in</w:t>
      </w:r>
      <w:r w:rsidR="00793E20">
        <w:rPr>
          <w:i/>
          <w:iCs/>
          <w:lang w:val="en-US" w:eastAsia="ja-JP"/>
        </w:rPr>
        <w:t xml:space="preserve"> </w:t>
      </w:r>
      <w:r w:rsidR="00793E20" w:rsidRPr="000210AA">
        <w:rPr>
          <w:i/>
          <w:iCs/>
          <w:lang w:val="en-US" w:eastAsia="ja-JP"/>
        </w:rPr>
        <w:t>pdcch-BlindDetectionMixedList1</w:t>
      </w:r>
      <w:r>
        <w:rPr>
          <w:rFonts w:eastAsia="DengXian"/>
          <w:lang w:eastAsia="ja-JP"/>
        </w:rPr>
        <w:t>, or</w:t>
      </w:r>
    </w:p>
    <w:p w14:paraId="5ABC9E4D" w14:textId="293EAD18" w:rsidR="00BC0B43" w:rsidRDefault="00BC0B43" w:rsidP="00BC0B43">
      <w:pPr>
        <w:pStyle w:val="B1"/>
        <w:rPr>
          <w:rFonts w:eastAsia="DengXian"/>
          <w:lang w:eastAsia="ja-JP"/>
        </w:rPr>
      </w:pPr>
      <w:r>
        <w:rPr>
          <w:rFonts w:eastAsia="DengXian"/>
          <w:lang w:eastAsia="ja-JP"/>
        </w:rPr>
        <w:t>-</w:t>
      </w:r>
      <w:r>
        <w:rPr>
          <w:rFonts w:eastAsia="DengXian"/>
          <w:lang w:eastAsia="ja-JP"/>
        </w:rPr>
        <w:tab/>
      </w:r>
      <w:r w:rsidRPr="00D429F6">
        <w:rPr>
          <w:i/>
          <w:iCs/>
          <w:lang w:eastAsia="ja-JP"/>
        </w:rPr>
        <w:t>pdcch-BlindDetection</w:t>
      </w:r>
      <w:r>
        <w:rPr>
          <w:i/>
          <w:iCs/>
          <w:lang w:val="en-US" w:eastAsia="ja-JP"/>
        </w:rPr>
        <w:t>4</w:t>
      </w:r>
      <w:r>
        <w:rPr>
          <w:rFonts w:eastAsia="DengXian"/>
          <w:lang w:eastAsia="ja-JP"/>
        </w:rPr>
        <w:t xml:space="preserve"> for the MCG + </w:t>
      </w:r>
      <w:r w:rsidRPr="00D429F6">
        <w:rPr>
          <w:i/>
          <w:iCs/>
          <w:lang w:eastAsia="ja-JP"/>
        </w:rPr>
        <w:t>pdcch-BlindDetection</w:t>
      </w:r>
      <w:r>
        <w:rPr>
          <w:i/>
          <w:iCs/>
          <w:lang w:val="en-US" w:eastAsia="ja-JP"/>
        </w:rPr>
        <w:t>4</w:t>
      </w:r>
      <w:r>
        <w:rPr>
          <w:rFonts w:eastAsia="DengXian"/>
          <w:lang w:eastAsia="ja-JP"/>
        </w:rPr>
        <w:t xml:space="preserve"> </w:t>
      </w:r>
      <w:r>
        <w:rPr>
          <w:rFonts w:eastAsia="DengXian"/>
          <w:lang w:eastAsia="ko-KR"/>
        </w:rPr>
        <w:t xml:space="preserve">for the SCG </w:t>
      </w:r>
      <w:r>
        <w:rPr>
          <w:rFonts w:eastAsia="DengXian"/>
          <w:lang w:eastAsia="ja-JP"/>
        </w:rPr>
        <w:t xml:space="preserve">&lt;= </w:t>
      </w:r>
      <m:oMath>
        <m:sSubSup>
          <m:sSubSupPr>
            <m:ctrlPr>
              <w:rPr>
                <w:rFonts w:ascii="Cambria Math" w:hAnsi="Cambria Math"/>
              </w:rPr>
            </m:ctrlPr>
          </m:sSubSupPr>
          <m:e>
            <m:r>
              <m:rPr>
                <m:sty m:val="p"/>
              </m:rPr>
              <w:rPr>
                <w:rFonts w:ascii="Cambria Math" w:hAnsi="Cambria Math"/>
              </w:rPr>
              <m:t>N</m:t>
            </m:r>
          </m:e>
          <m:sub>
            <m:r>
              <m:rPr>
                <m:sty m:val="p"/>
              </m:rPr>
              <w:rPr>
                <w:rFonts w:ascii="Cambria Math" w:hAnsi="Cambria Math"/>
              </w:rPr>
              <m:t>NR-DC,r17</m:t>
            </m:r>
          </m:sub>
          <m:sup>
            <m:r>
              <m:rPr>
                <m:sty m:val="p"/>
              </m:rPr>
              <w:rPr>
                <w:rFonts w:ascii="Cambria Math" w:hAnsi="Cambria Math"/>
              </w:rPr>
              <m:t>DL,cells</m:t>
            </m:r>
          </m:sup>
        </m:sSubSup>
      </m:oMath>
      <w:r>
        <w:rPr>
          <w:rFonts w:eastAsia="DengXian"/>
          <w:lang w:eastAsia="ja-JP"/>
        </w:rPr>
        <w:t xml:space="preserve">, if the UE does not report </w:t>
      </w:r>
      <w:r w:rsidRPr="00D429F6">
        <w:rPr>
          <w:rFonts w:eastAsia="DengXian"/>
          <w:i/>
          <w:iCs/>
          <w:lang w:eastAsia="ja-JP"/>
        </w:rPr>
        <w:t>pdcch-BlindDetectionCA</w:t>
      </w:r>
      <w:r w:rsidR="00793E20">
        <w:rPr>
          <w:i/>
          <w:iCs/>
          <w:lang w:val="en-US" w:eastAsia="ja-JP"/>
        </w:rPr>
        <w:t xml:space="preserve">2 </w:t>
      </w:r>
      <w:r w:rsidR="00793E20" w:rsidRPr="000210AA">
        <w:rPr>
          <w:iCs/>
          <w:lang w:val="en-US" w:eastAsia="ja-JP"/>
        </w:rPr>
        <w:t>in</w:t>
      </w:r>
      <w:r w:rsidR="00793E20">
        <w:rPr>
          <w:i/>
          <w:iCs/>
          <w:lang w:val="en-US" w:eastAsia="ja-JP"/>
        </w:rPr>
        <w:t xml:space="preserve"> </w:t>
      </w:r>
      <w:r w:rsidR="00793E20" w:rsidRPr="000210AA">
        <w:rPr>
          <w:i/>
          <w:iCs/>
          <w:lang w:val="en-US" w:eastAsia="ja-JP"/>
        </w:rPr>
        <w:t>pdcch-BlindDetectionMixedList1</w:t>
      </w:r>
    </w:p>
    <w:p w14:paraId="1111C3F8" w14:textId="37B3AE97" w:rsidR="00BC0B43" w:rsidRDefault="00BC0B43" w:rsidP="00BC0B43">
      <w:pPr>
        <w:rPr>
          <w:lang w:eastAsia="ko-KR"/>
        </w:rPr>
      </w:pPr>
      <w:r>
        <w:rPr>
          <w:lang w:eastAsia="ko-KR"/>
        </w:rPr>
        <w:t xml:space="preserve">When a UE is configured for NR-DC operation and is provided </w:t>
      </w:r>
      <w:r>
        <w:rPr>
          <w:i/>
        </w:rPr>
        <w:t>monitoringCapabilityConfig</w:t>
      </w:r>
      <w:r>
        <w:t xml:space="preserve"> = </w:t>
      </w:r>
      <w:r>
        <w:rPr>
          <w:i/>
        </w:rPr>
        <w:t>r15monitoringcapability</w:t>
      </w:r>
      <w:r>
        <w:t xml:space="preserve"> for </w:t>
      </w:r>
      <w:r>
        <w:rPr>
          <w:lang w:eastAsia="ko-KR"/>
        </w:rPr>
        <w:t xml:space="preserve">at least one downlink cell and </w:t>
      </w:r>
      <w:r>
        <w:rPr>
          <w:i/>
        </w:rPr>
        <w:t>monitoringCapabilityConfig</w:t>
      </w:r>
      <w:r>
        <w:t xml:space="preserve"> = </w:t>
      </w:r>
      <w:r>
        <w:rPr>
          <w:i/>
        </w:rPr>
        <w:t xml:space="preserve">r17monitoringcapability </w:t>
      </w:r>
      <w:r>
        <w:t xml:space="preserve">for </w:t>
      </w:r>
      <w:r>
        <w:rPr>
          <w:lang w:eastAsia="ko-KR"/>
        </w:rPr>
        <w:t xml:space="preserve">at least one downlink cell </w:t>
      </w:r>
      <w:r>
        <w:t>where the UE monitors PDCCH</w:t>
      </w:r>
      <w:r>
        <w:rPr>
          <w:color w:val="000000" w:themeColor="text1"/>
          <w:lang w:eastAsia="ko-KR"/>
        </w:rPr>
        <w:t xml:space="preserve">, </w:t>
      </w:r>
      <w:r>
        <w:rPr>
          <w:color w:val="000000" w:themeColor="text1"/>
        </w:rPr>
        <w:t xml:space="preserve">the UE may indicate, through </w:t>
      </w:r>
      <w:r>
        <w:rPr>
          <w:i/>
          <w:color w:val="000000" w:themeColor="text1"/>
        </w:rPr>
        <w:t>pdcch-</w:t>
      </w:r>
      <w:r w:rsidR="00793E20">
        <w:rPr>
          <w:i/>
          <w:iCs/>
          <w:color w:val="000000" w:themeColor="text1"/>
          <w:lang w:eastAsia="ja-JP"/>
        </w:rPr>
        <w:t>BlindDetectionCG</w:t>
      </w:r>
      <w:r>
        <w:rPr>
          <w:i/>
          <w:iCs/>
          <w:color w:val="000000" w:themeColor="text1"/>
          <w:lang w:eastAsia="ja-JP"/>
        </w:rPr>
        <w:t>-UE1</w:t>
      </w:r>
      <w:r>
        <w:rPr>
          <w:color w:val="000000" w:themeColor="text1"/>
          <w:lang w:eastAsia="ja-JP"/>
        </w:rPr>
        <w:t xml:space="preserve"> </w:t>
      </w:r>
      <w:r w:rsidR="00793E20">
        <w:rPr>
          <w:color w:val="000000" w:themeColor="text1"/>
          <w:lang w:eastAsia="ja-JP"/>
        </w:rPr>
        <w:t xml:space="preserve">in </w:t>
      </w:r>
      <w:r w:rsidR="00793E20" w:rsidRPr="00567D08">
        <w:rPr>
          <w:i/>
        </w:rPr>
        <w:t>pdcch-BlindDetectionMCG-UE-Mixed</w:t>
      </w:r>
      <w:r w:rsidR="00793E20">
        <w:rPr>
          <w:i/>
        </w:rPr>
        <w:t xml:space="preserve"> </w:t>
      </w:r>
      <w:r>
        <w:rPr>
          <w:color w:val="000000" w:themeColor="text1"/>
          <w:lang w:eastAsia="ja-JP"/>
        </w:rPr>
        <w:t xml:space="preserve">and </w:t>
      </w:r>
      <w:r>
        <w:rPr>
          <w:i/>
          <w:iCs/>
          <w:color w:val="000000" w:themeColor="text1"/>
          <w:lang w:eastAsia="ja-JP"/>
        </w:rPr>
        <w:t>pdcch-</w:t>
      </w:r>
      <w:r w:rsidR="00793E20">
        <w:rPr>
          <w:i/>
          <w:iCs/>
          <w:color w:val="000000" w:themeColor="text1"/>
          <w:lang w:eastAsia="ja-JP"/>
        </w:rPr>
        <w:t>BlindDetectionCG</w:t>
      </w:r>
      <w:r>
        <w:rPr>
          <w:i/>
          <w:iCs/>
          <w:color w:val="000000" w:themeColor="text1"/>
          <w:lang w:eastAsia="ja-JP"/>
        </w:rPr>
        <w:t>-UE1</w:t>
      </w:r>
      <w:r w:rsidR="00793E20">
        <w:rPr>
          <w:i/>
          <w:iCs/>
          <w:color w:val="000000" w:themeColor="text1"/>
          <w:lang w:eastAsia="ja-JP"/>
        </w:rPr>
        <w:t xml:space="preserve"> </w:t>
      </w:r>
      <w:r w:rsidR="00793E20" w:rsidRPr="00567D08">
        <w:rPr>
          <w:iCs/>
          <w:color w:val="000000" w:themeColor="text1"/>
          <w:lang w:eastAsia="ja-JP"/>
        </w:rPr>
        <w:t>in</w:t>
      </w:r>
      <w:r w:rsidR="00793E20">
        <w:rPr>
          <w:iCs/>
          <w:color w:val="000000" w:themeColor="text1"/>
          <w:lang w:eastAsia="ja-JP"/>
        </w:rPr>
        <w:t xml:space="preserve"> </w:t>
      </w:r>
      <w:r w:rsidR="00793E20" w:rsidRPr="00567D08">
        <w:rPr>
          <w:i/>
        </w:rPr>
        <w:t>pdcch-BlindDetection</w:t>
      </w:r>
      <w:r w:rsidR="00793E20">
        <w:rPr>
          <w:i/>
        </w:rPr>
        <w:t>S</w:t>
      </w:r>
      <w:r w:rsidR="00793E20" w:rsidRPr="00567D08">
        <w:rPr>
          <w:i/>
        </w:rPr>
        <w:t>CG-UE-Mixed</w:t>
      </w:r>
      <w:r>
        <w:rPr>
          <w:color w:val="000000" w:themeColor="text1"/>
          <w:lang w:eastAsia="ja-JP"/>
        </w:rPr>
        <w:t xml:space="preserve">, respective maximum values for </w:t>
      </w:r>
      <w:r>
        <w:rPr>
          <w:i/>
          <w:iCs/>
          <w:color w:val="000000" w:themeColor="text1"/>
          <w:lang w:eastAsia="ja-JP"/>
        </w:rPr>
        <w:t>pdcch-BlindDetection3</w:t>
      </w:r>
      <w:r>
        <w:rPr>
          <w:color w:val="000000" w:themeColor="text1"/>
          <w:lang w:eastAsia="ja-JP"/>
        </w:rPr>
        <w:t xml:space="preserve"> for the MCG and </w:t>
      </w:r>
      <w:r>
        <w:rPr>
          <w:i/>
          <w:iCs/>
          <w:color w:val="000000" w:themeColor="text1"/>
          <w:lang w:eastAsia="ja-JP"/>
        </w:rPr>
        <w:t>pdcch-BlindDetection3</w:t>
      </w:r>
      <w:r>
        <w:rPr>
          <w:iCs/>
          <w:color w:val="000000" w:themeColor="text1"/>
          <w:lang w:eastAsia="ja-JP"/>
        </w:rPr>
        <w:t xml:space="preserve"> for the SCG, and </w:t>
      </w:r>
      <w:r>
        <w:rPr>
          <w:color w:val="000000" w:themeColor="text1"/>
        </w:rPr>
        <w:t xml:space="preserve">through </w:t>
      </w:r>
      <w:r>
        <w:rPr>
          <w:i/>
          <w:color w:val="000000" w:themeColor="text1"/>
        </w:rPr>
        <w:t>pdcch-</w:t>
      </w:r>
      <w:r>
        <w:rPr>
          <w:i/>
          <w:iCs/>
          <w:color w:val="000000" w:themeColor="text1"/>
          <w:lang w:eastAsia="ja-JP"/>
        </w:rPr>
        <w:t>BlindDetectionCG-</w:t>
      </w:r>
      <w:r w:rsidR="00793E20">
        <w:rPr>
          <w:i/>
          <w:iCs/>
          <w:color w:val="000000" w:themeColor="text1"/>
          <w:lang w:eastAsia="ja-JP"/>
        </w:rPr>
        <w:t>UE2</w:t>
      </w:r>
      <w:r w:rsidR="00793E20">
        <w:rPr>
          <w:color w:val="000000" w:themeColor="text1"/>
          <w:lang w:eastAsia="ja-JP"/>
        </w:rPr>
        <w:t xml:space="preserve"> </w:t>
      </w:r>
      <w:r w:rsidR="00B0713A">
        <w:rPr>
          <w:color w:val="000000" w:themeColor="text1"/>
          <w:lang w:eastAsia="ja-JP"/>
        </w:rPr>
        <w:t xml:space="preserve">in </w:t>
      </w:r>
      <w:r w:rsidR="00B0713A" w:rsidRPr="00567D08">
        <w:rPr>
          <w:i/>
        </w:rPr>
        <w:t>pdcch-BlindDetectionMCG-UE-Mixed</w:t>
      </w:r>
      <w:r w:rsidR="00B0713A">
        <w:rPr>
          <w:color w:val="000000" w:themeColor="text1"/>
          <w:lang w:eastAsia="ja-JP"/>
        </w:rPr>
        <w:t xml:space="preserve"> </w:t>
      </w:r>
      <w:r>
        <w:rPr>
          <w:color w:val="000000" w:themeColor="text1"/>
          <w:lang w:eastAsia="ja-JP"/>
        </w:rPr>
        <w:t xml:space="preserve">and </w:t>
      </w:r>
      <w:r>
        <w:rPr>
          <w:i/>
          <w:iCs/>
          <w:color w:val="000000" w:themeColor="text1"/>
          <w:lang w:eastAsia="ja-JP"/>
        </w:rPr>
        <w:t>pdcch-BlindDetectionCG-UE</w:t>
      </w:r>
      <w:r w:rsidR="00B0713A">
        <w:rPr>
          <w:i/>
          <w:iCs/>
          <w:color w:val="000000" w:themeColor="text1"/>
          <w:lang w:eastAsia="ja-JP"/>
        </w:rPr>
        <w:t>2</w:t>
      </w:r>
      <w:r>
        <w:rPr>
          <w:color w:val="000000" w:themeColor="text1"/>
          <w:lang w:eastAsia="ja-JP"/>
        </w:rPr>
        <w:t xml:space="preserve"> </w:t>
      </w:r>
      <w:r w:rsidR="00B0713A">
        <w:rPr>
          <w:color w:val="000000" w:themeColor="text1"/>
          <w:lang w:eastAsia="ja-JP"/>
        </w:rPr>
        <w:t xml:space="preserve">in </w:t>
      </w:r>
      <w:r w:rsidR="00B0713A" w:rsidRPr="00567D08">
        <w:rPr>
          <w:i/>
        </w:rPr>
        <w:t>pdcch-BlindDetection</w:t>
      </w:r>
      <w:r w:rsidR="00B0713A">
        <w:rPr>
          <w:i/>
        </w:rPr>
        <w:t>S</w:t>
      </w:r>
      <w:r w:rsidR="00B0713A" w:rsidRPr="00567D08">
        <w:rPr>
          <w:i/>
        </w:rPr>
        <w:t>CG-UE-Mixed</w:t>
      </w:r>
      <w:r w:rsidR="00B0713A" w:rsidRPr="00B0713A">
        <w:rPr>
          <w:iCs/>
        </w:rPr>
        <w:t>,</w:t>
      </w:r>
      <w:r w:rsidR="00B0713A" w:rsidRPr="00B0713A">
        <w:rPr>
          <w:iCs/>
          <w:color w:val="000000" w:themeColor="text1"/>
          <w:lang w:eastAsia="ja-JP"/>
        </w:rPr>
        <w:t xml:space="preserve"> </w:t>
      </w:r>
      <w:r>
        <w:rPr>
          <w:color w:val="000000" w:themeColor="text1"/>
          <w:lang w:eastAsia="ja-JP"/>
        </w:rPr>
        <w:t xml:space="preserve">respective maximum values for </w:t>
      </w:r>
      <w:r>
        <w:rPr>
          <w:i/>
          <w:iCs/>
          <w:color w:val="000000" w:themeColor="text1"/>
          <w:lang w:eastAsia="ja-JP"/>
        </w:rPr>
        <w:t>pdcch-</w:t>
      </w:r>
      <w:r w:rsidR="00B0713A">
        <w:rPr>
          <w:i/>
          <w:iCs/>
          <w:color w:val="000000" w:themeColor="text1"/>
          <w:lang w:eastAsia="ja-JP"/>
        </w:rPr>
        <w:t>BlindDetection4</w:t>
      </w:r>
      <w:r w:rsidR="00B0713A">
        <w:rPr>
          <w:color w:val="000000" w:themeColor="text1"/>
          <w:lang w:eastAsia="ja-JP"/>
        </w:rPr>
        <w:t xml:space="preserve"> </w:t>
      </w:r>
      <w:r>
        <w:rPr>
          <w:color w:val="000000" w:themeColor="text1"/>
          <w:lang w:eastAsia="ja-JP"/>
        </w:rPr>
        <w:t xml:space="preserve">for the MCG and </w:t>
      </w:r>
      <w:r>
        <w:rPr>
          <w:i/>
          <w:iCs/>
          <w:color w:val="000000" w:themeColor="text1"/>
          <w:lang w:eastAsia="ja-JP"/>
        </w:rPr>
        <w:t>pdcch-</w:t>
      </w:r>
      <w:r w:rsidR="00B0713A">
        <w:rPr>
          <w:i/>
          <w:iCs/>
          <w:color w:val="000000" w:themeColor="text1"/>
          <w:lang w:eastAsia="ja-JP"/>
        </w:rPr>
        <w:t>BlindDetection4</w:t>
      </w:r>
      <w:r w:rsidR="00B0713A">
        <w:rPr>
          <w:iCs/>
          <w:color w:val="000000" w:themeColor="text1"/>
          <w:lang w:eastAsia="ja-JP"/>
        </w:rPr>
        <w:t xml:space="preserve"> </w:t>
      </w:r>
      <w:r>
        <w:rPr>
          <w:iCs/>
          <w:color w:val="000000" w:themeColor="text1"/>
          <w:lang w:eastAsia="ja-JP"/>
        </w:rPr>
        <w:t xml:space="preserve">for the SCG. </w:t>
      </w:r>
    </w:p>
    <w:p w14:paraId="7197CC52" w14:textId="5E325FB1" w:rsidR="00BC0B43" w:rsidRDefault="00BC0B43" w:rsidP="00BC0B43">
      <w:pPr>
        <w:rPr>
          <w:iCs/>
          <w:color w:val="000000" w:themeColor="text1"/>
          <w:lang w:eastAsia="ja-JP"/>
        </w:rPr>
      </w:pPr>
      <w:r>
        <w:rPr>
          <w:color w:val="000000" w:themeColor="text1"/>
          <w:lang w:eastAsia="ja-JP"/>
        </w:rPr>
        <w:lastRenderedPageBreak/>
        <w:t xml:space="preserve">If the UE reports </w:t>
      </w:r>
      <w:r>
        <w:rPr>
          <w:i/>
          <w:iCs/>
          <w:color w:val="000000" w:themeColor="text1"/>
          <w:lang w:eastAsia="ja-JP"/>
        </w:rPr>
        <w:t>pdcch-BlindDetectionCA1</w:t>
      </w:r>
      <w:r w:rsidR="00B0713A" w:rsidRPr="009032F5">
        <w:rPr>
          <w:iCs/>
          <w:color w:val="000000" w:themeColor="text1"/>
          <w:lang w:eastAsia="ja-JP"/>
        </w:rPr>
        <w:t xml:space="preserve"> </w:t>
      </w:r>
      <w:r w:rsidR="00B0713A" w:rsidRPr="000210AA">
        <w:rPr>
          <w:iCs/>
          <w:color w:val="000000" w:themeColor="text1"/>
          <w:lang w:eastAsia="ja-JP"/>
        </w:rPr>
        <w:t>in</w:t>
      </w:r>
      <w:r w:rsidR="00B0713A">
        <w:rPr>
          <w:i/>
          <w:iCs/>
          <w:color w:val="000000" w:themeColor="text1"/>
          <w:lang w:eastAsia="ja-JP"/>
        </w:rPr>
        <w:t xml:space="preserve"> </w:t>
      </w:r>
      <w:r w:rsidR="00B0713A" w:rsidRPr="000210AA">
        <w:rPr>
          <w:i/>
          <w:iCs/>
          <w:color w:val="000000" w:themeColor="text1"/>
          <w:lang w:eastAsia="ja-JP"/>
        </w:rPr>
        <w:t>pdcch-BlindDetectionMixedList1</w:t>
      </w:r>
      <w:r>
        <w:rPr>
          <w:iCs/>
          <w:color w:val="000000" w:themeColor="text1"/>
          <w:lang w:eastAsia="ja-JP"/>
        </w:rPr>
        <w:t>,</w:t>
      </w:r>
    </w:p>
    <w:p w14:paraId="67864DB6" w14:textId="47CF3284" w:rsidR="00BC0B43" w:rsidRDefault="00BC0B43" w:rsidP="00BC0B43">
      <w:pPr>
        <w:pStyle w:val="B1"/>
        <w:rPr>
          <w:color w:val="000000" w:themeColor="text1"/>
          <w:lang w:eastAsia="ja-JP"/>
        </w:rPr>
      </w:pPr>
      <w:r>
        <w:rPr>
          <w:color w:val="000000" w:themeColor="text1"/>
          <w:lang w:eastAsia="ja-JP"/>
        </w:rPr>
        <w:t>-</w:t>
      </w:r>
      <w:r>
        <w:rPr>
          <w:color w:val="000000" w:themeColor="text1"/>
          <w:lang w:eastAsia="ja-JP"/>
        </w:rPr>
        <w:tab/>
        <w:t xml:space="preserve">the value range of </w:t>
      </w:r>
      <w:r>
        <w:rPr>
          <w:rFonts w:eastAsia="DengXian"/>
          <w:i/>
          <w:color w:val="000000" w:themeColor="text1"/>
          <w:lang w:eastAsia="ja-JP"/>
        </w:rPr>
        <w:t>pdcch-BlindDetectionCG-UE</w:t>
      </w:r>
      <w:r>
        <w:rPr>
          <w:i/>
          <w:iCs/>
          <w:color w:val="000000" w:themeColor="text1"/>
          <w:lang w:eastAsia="ja-JP"/>
        </w:rPr>
        <w:t>1</w:t>
      </w:r>
      <w:r>
        <w:rPr>
          <w:rFonts w:eastAsia="DengXian"/>
          <w:color w:val="000000" w:themeColor="text1"/>
          <w:lang w:eastAsia="ja-JP"/>
        </w:rPr>
        <w:t xml:space="preserve"> </w:t>
      </w:r>
      <w:r w:rsidR="00C33F29">
        <w:rPr>
          <w:rFonts w:eastAsia="DengXian"/>
          <w:color w:val="000000" w:themeColor="text1"/>
          <w:lang w:eastAsia="ja-JP"/>
        </w:rPr>
        <w:t xml:space="preserve">for the MCG </w:t>
      </w:r>
      <w:r>
        <w:rPr>
          <w:rFonts w:eastAsia="DengXian"/>
          <w:color w:val="000000" w:themeColor="text1"/>
          <w:lang w:eastAsia="ja-JP"/>
        </w:rPr>
        <w:t xml:space="preserve">or of </w:t>
      </w:r>
      <w:r>
        <w:rPr>
          <w:rFonts w:eastAsia="DengXian"/>
          <w:i/>
          <w:color w:val="000000" w:themeColor="text1"/>
          <w:lang w:eastAsia="ja-JP"/>
        </w:rPr>
        <w:t>pdcch-BlindDetectionCG-UE</w:t>
      </w:r>
      <w:r>
        <w:rPr>
          <w:i/>
          <w:iCs/>
          <w:color w:val="000000" w:themeColor="text1"/>
          <w:lang w:eastAsia="ja-JP"/>
        </w:rPr>
        <w:t>1</w:t>
      </w:r>
      <w:r>
        <w:rPr>
          <w:color w:val="000000" w:themeColor="text1"/>
          <w:lang w:eastAsia="ja-JP"/>
        </w:rPr>
        <w:t xml:space="preserve"> </w:t>
      </w:r>
      <w:r w:rsidR="00C33F29">
        <w:rPr>
          <w:rFonts w:eastAsia="DengXian"/>
          <w:color w:val="000000" w:themeColor="text1"/>
          <w:lang w:eastAsia="ja-JP"/>
        </w:rPr>
        <w:t xml:space="preserve">for the </w:t>
      </w:r>
      <w:r w:rsidR="00C33F29">
        <w:rPr>
          <w:rFonts w:eastAsia="DengXian"/>
          <w:color w:val="000000" w:themeColor="text1"/>
          <w:lang w:val="en-GB" w:eastAsia="ja-JP"/>
        </w:rPr>
        <w:t>S</w:t>
      </w:r>
      <w:r w:rsidR="00C33F29">
        <w:rPr>
          <w:rFonts w:eastAsia="DengXian"/>
          <w:color w:val="000000" w:themeColor="text1"/>
          <w:lang w:eastAsia="ja-JP"/>
        </w:rPr>
        <w:t xml:space="preserve">CG </w:t>
      </w:r>
      <w:r>
        <w:rPr>
          <w:color w:val="000000" w:themeColor="text1"/>
          <w:lang w:eastAsia="ja-JP"/>
        </w:rPr>
        <w:t xml:space="preserve">is [0, 1, …, </w:t>
      </w:r>
      <w:r>
        <w:rPr>
          <w:i/>
          <w:iCs/>
          <w:color w:val="000000" w:themeColor="text1"/>
          <w:lang w:eastAsia="ja-JP"/>
        </w:rPr>
        <w:t>pdcch-BlindDetectionCA1</w:t>
      </w:r>
      <w:r>
        <w:rPr>
          <w:color w:val="000000" w:themeColor="text1"/>
          <w:lang w:eastAsia="ja-JP"/>
        </w:rPr>
        <w:t xml:space="preserve">], and </w:t>
      </w:r>
    </w:p>
    <w:p w14:paraId="26603CEC" w14:textId="74C08536" w:rsidR="00BC0B43" w:rsidRDefault="00BC0B43" w:rsidP="00BC0B43">
      <w:pPr>
        <w:pStyle w:val="B1"/>
        <w:rPr>
          <w:iCs/>
          <w:color w:val="000000" w:themeColor="text1"/>
          <w:lang w:eastAsia="ja-JP"/>
        </w:rPr>
      </w:pPr>
      <w:r>
        <w:rPr>
          <w:iCs/>
          <w:color w:val="000000" w:themeColor="text1"/>
          <w:lang w:eastAsia="ja-JP"/>
        </w:rPr>
        <w:t>-</w:t>
      </w:r>
      <w:r>
        <w:rPr>
          <w:iCs/>
          <w:color w:val="000000" w:themeColor="text1"/>
          <w:lang w:eastAsia="ja-JP"/>
        </w:rPr>
        <w:tab/>
      </w:r>
      <w:r>
        <w:rPr>
          <w:i/>
          <w:iCs/>
          <w:color w:val="000000" w:themeColor="text1"/>
          <w:lang w:eastAsia="ja-JP"/>
        </w:rPr>
        <w:t>pdcch-BlindDetectionCG-UE1</w:t>
      </w:r>
      <w:r>
        <w:rPr>
          <w:color w:val="000000" w:themeColor="text1"/>
          <w:lang w:eastAsia="ja-JP"/>
        </w:rPr>
        <w:t xml:space="preserve"> </w:t>
      </w:r>
      <w:r w:rsidR="00C33F29">
        <w:rPr>
          <w:rFonts w:eastAsia="DengXian"/>
          <w:color w:val="000000" w:themeColor="text1"/>
          <w:lang w:eastAsia="ja-JP"/>
        </w:rPr>
        <w:t xml:space="preserve">for the MCG </w:t>
      </w:r>
      <w:r>
        <w:rPr>
          <w:color w:val="000000" w:themeColor="text1"/>
          <w:lang w:eastAsia="ja-JP"/>
        </w:rPr>
        <w:t xml:space="preserve">+ </w:t>
      </w:r>
      <w:r>
        <w:rPr>
          <w:i/>
          <w:iCs/>
          <w:color w:val="000000" w:themeColor="text1"/>
          <w:lang w:eastAsia="ja-JP"/>
        </w:rPr>
        <w:t>pdcch-BlindDetectionCG-UE1</w:t>
      </w:r>
      <w:r>
        <w:rPr>
          <w:i/>
          <w:iCs/>
          <w:color w:val="000000" w:themeColor="text1"/>
          <w:lang w:val="en-US" w:eastAsia="ja-JP"/>
        </w:rPr>
        <w:t xml:space="preserve"> </w:t>
      </w:r>
      <w:r w:rsidR="00C33F29">
        <w:rPr>
          <w:rFonts w:eastAsia="DengXian"/>
          <w:color w:val="000000" w:themeColor="text1"/>
          <w:lang w:eastAsia="ja-JP"/>
        </w:rPr>
        <w:t xml:space="preserve">for the </w:t>
      </w:r>
      <w:r w:rsidR="00C33F29">
        <w:rPr>
          <w:rFonts w:eastAsia="DengXian"/>
          <w:color w:val="000000" w:themeColor="text1"/>
          <w:lang w:val="en-GB" w:eastAsia="ja-JP"/>
        </w:rPr>
        <w:t>S</w:t>
      </w:r>
      <w:r w:rsidR="00C33F29">
        <w:rPr>
          <w:rFonts w:eastAsia="DengXian"/>
          <w:color w:val="000000" w:themeColor="text1"/>
          <w:lang w:eastAsia="ja-JP"/>
        </w:rPr>
        <w:t xml:space="preserve">CG </w:t>
      </w:r>
      <w:r>
        <w:rPr>
          <w:iCs/>
          <w:color w:val="000000" w:themeColor="text1"/>
          <w:lang w:eastAsia="ja-JP"/>
        </w:rPr>
        <w:t xml:space="preserve">&gt;= </w:t>
      </w:r>
      <w:r>
        <w:rPr>
          <w:i/>
          <w:iCs/>
          <w:color w:val="000000" w:themeColor="text1"/>
          <w:lang w:eastAsia="ja-JP"/>
        </w:rPr>
        <w:t>pdcch-BlindDetectionCA1</w:t>
      </w:r>
      <w:r>
        <w:rPr>
          <w:iCs/>
          <w:color w:val="000000" w:themeColor="text1"/>
          <w:lang w:eastAsia="ja-JP"/>
        </w:rPr>
        <w:t xml:space="preserve">. </w:t>
      </w:r>
    </w:p>
    <w:p w14:paraId="550E0299" w14:textId="77777777" w:rsidR="00BC0B43" w:rsidRDefault="00BC0B43" w:rsidP="00BC0B43">
      <w:pPr>
        <w:rPr>
          <w:iCs/>
          <w:color w:val="000000" w:themeColor="text1"/>
          <w:lang w:eastAsia="ja-JP"/>
        </w:rPr>
      </w:pPr>
      <w:r>
        <w:rPr>
          <w:iCs/>
          <w:color w:val="000000" w:themeColor="text1"/>
          <w:lang w:eastAsia="ja-JP"/>
        </w:rPr>
        <w:t>Otherwise,</w:t>
      </w:r>
      <w:r>
        <w:rPr>
          <w:color w:val="000000" w:themeColor="text1"/>
        </w:rPr>
        <w:t xml:space="preserve"> if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r15</m:t>
            </m:r>
          </m:sub>
          <m:sup>
            <m:r>
              <m:rPr>
                <m:sty m:val="p"/>
              </m:rPr>
              <w:rPr>
                <w:rFonts w:ascii="Cambria Math" w:hAnsi="Cambria Math"/>
                <w:color w:val="000000" w:themeColor="text1"/>
                <w:lang w:eastAsia="zh-CN"/>
              </w:rPr>
              <m:t>DL,cells</m:t>
            </m:r>
          </m:sup>
        </m:sSubSup>
      </m:oMath>
      <w:r>
        <w:rPr>
          <w:color w:val="000000" w:themeColor="text1"/>
        </w:rPr>
        <w:t xml:space="preserve"> is a maximum total number of downlink cells for which the UE is provided </w:t>
      </w:r>
      <w:r>
        <w:rPr>
          <w:i/>
        </w:rPr>
        <w:t>monitoringCapabilityConfig</w:t>
      </w:r>
      <w:r>
        <w:t xml:space="preserve"> = </w:t>
      </w:r>
      <w:r>
        <w:rPr>
          <w:i/>
        </w:rPr>
        <w:t>r15monitoringcapability</w:t>
      </w:r>
      <w:r>
        <w:t xml:space="preserve"> and</w:t>
      </w:r>
      <w:r>
        <w:rPr>
          <w:color w:val="000000" w:themeColor="text1"/>
        </w:rPr>
        <w:t xml:space="preserve"> the UE is configured on both the MCG and the SCG for NR-DC as indicated in </w:t>
      </w:r>
      <w:r>
        <w:rPr>
          <w:i/>
          <w:iCs/>
          <w:color w:val="000000" w:themeColor="text1"/>
        </w:rPr>
        <w:t>UE-NR-Capability</w:t>
      </w:r>
    </w:p>
    <w:p w14:paraId="158691C2" w14:textId="178E4099" w:rsidR="00BC0B43" w:rsidRDefault="00BC0B43" w:rsidP="00BC0B43">
      <w:pPr>
        <w:pStyle w:val="B1"/>
        <w:rPr>
          <w:color w:val="000000" w:themeColor="text1"/>
          <w:lang w:eastAsia="ja-JP"/>
        </w:rPr>
      </w:pPr>
      <w:r>
        <w:rPr>
          <w:color w:val="000000" w:themeColor="text1"/>
          <w:lang w:eastAsia="ja-JP"/>
        </w:rPr>
        <w:t>-</w:t>
      </w:r>
      <w:r>
        <w:rPr>
          <w:color w:val="000000" w:themeColor="text1"/>
          <w:lang w:eastAsia="ja-JP"/>
        </w:rPr>
        <w:tab/>
        <w:t xml:space="preserve">the value range of </w:t>
      </w:r>
      <w:r>
        <w:rPr>
          <w:rFonts w:eastAsia="DengXian"/>
          <w:i/>
          <w:color w:val="000000" w:themeColor="text1"/>
          <w:lang w:eastAsia="ja-JP"/>
        </w:rPr>
        <w:t>pdcch-BlindDetectionCG-UE</w:t>
      </w:r>
      <w:r>
        <w:rPr>
          <w:i/>
          <w:iCs/>
          <w:color w:val="000000" w:themeColor="text1"/>
          <w:lang w:eastAsia="ja-JP"/>
        </w:rPr>
        <w:t>1</w:t>
      </w:r>
      <w:r>
        <w:rPr>
          <w:rFonts w:eastAsia="DengXian"/>
          <w:color w:val="000000" w:themeColor="text1"/>
          <w:lang w:eastAsia="ja-JP"/>
        </w:rPr>
        <w:t xml:space="preserve"> </w:t>
      </w:r>
      <w:r w:rsidR="00C33F29">
        <w:rPr>
          <w:rFonts w:eastAsia="DengXian"/>
          <w:color w:val="000000" w:themeColor="text1"/>
          <w:lang w:eastAsia="ja-JP"/>
        </w:rPr>
        <w:t xml:space="preserve">for the MCG </w:t>
      </w:r>
      <w:r>
        <w:rPr>
          <w:rFonts w:eastAsia="DengXian"/>
          <w:color w:val="000000" w:themeColor="text1"/>
          <w:lang w:eastAsia="ja-JP"/>
        </w:rPr>
        <w:t xml:space="preserve">or of </w:t>
      </w:r>
      <w:r>
        <w:rPr>
          <w:rFonts w:eastAsia="DengXian"/>
          <w:i/>
          <w:color w:val="000000" w:themeColor="text1"/>
          <w:lang w:eastAsia="ja-JP"/>
        </w:rPr>
        <w:t>pdcch-BlindDetectionCG-UE</w:t>
      </w:r>
      <w:r>
        <w:rPr>
          <w:i/>
          <w:iCs/>
          <w:color w:val="000000" w:themeColor="text1"/>
          <w:lang w:eastAsia="ja-JP"/>
        </w:rPr>
        <w:t>1</w:t>
      </w:r>
      <w:r>
        <w:rPr>
          <w:color w:val="000000" w:themeColor="text1"/>
          <w:lang w:eastAsia="ja-JP"/>
        </w:rPr>
        <w:t xml:space="preserve"> </w:t>
      </w:r>
      <w:r w:rsidR="00C33F29">
        <w:rPr>
          <w:rFonts w:eastAsia="DengXian"/>
          <w:color w:val="000000" w:themeColor="text1"/>
          <w:lang w:eastAsia="ja-JP"/>
        </w:rPr>
        <w:t xml:space="preserve">for the </w:t>
      </w:r>
      <w:r w:rsidR="00C33F29">
        <w:rPr>
          <w:rFonts w:eastAsia="DengXian"/>
          <w:color w:val="000000" w:themeColor="text1"/>
          <w:lang w:val="en-GB" w:eastAsia="ja-JP"/>
        </w:rPr>
        <w:t>S</w:t>
      </w:r>
      <w:r w:rsidR="00C33F29">
        <w:rPr>
          <w:rFonts w:eastAsia="DengXian"/>
          <w:color w:val="000000" w:themeColor="text1"/>
          <w:lang w:eastAsia="ja-JP"/>
        </w:rPr>
        <w:t xml:space="preserve">CG </w:t>
      </w:r>
      <w:r>
        <w:rPr>
          <w:color w:val="000000" w:themeColor="text1"/>
          <w:lang w:eastAsia="ja-JP"/>
        </w:rPr>
        <w:t>is [0, 1, 2],</w:t>
      </w:r>
    </w:p>
    <w:p w14:paraId="669281B6" w14:textId="4750DAFD" w:rsidR="00BC0B43" w:rsidRDefault="00BC0B43" w:rsidP="00BC0B43">
      <w:pPr>
        <w:pStyle w:val="B1"/>
        <w:rPr>
          <w:color w:val="000000" w:themeColor="text1"/>
          <w:lang w:eastAsia="zh-CN"/>
        </w:rPr>
      </w:pPr>
      <w:r>
        <w:rPr>
          <w:iCs/>
          <w:color w:val="000000" w:themeColor="text1"/>
          <w:lang w:eastAsia="ja-JP"/>
        </w:rPr>
        <w:t>-</w:t>
      </w:r>
      <w:r>
        <w:rPr>
          <w:iCs/>
          <w:color w:val="000000" w:themeColor="text1"/>
          <w:lang w:eastAsia="ja-JP"/>
        </w:rPr>
        <w:tab/>
      </w:r>
      <w:r>
        <w:rPr>
          <w:i/>
          <w:iCs/>
          <w:color w:val="000000" w:themeColor="text1"/>
          <w:lang w:eastAsia="ja-JP"/>
        </w:rPr>
        <w:t>pdcch-BlindDetectionCG-UE1</w:t>
      </w:r>
      <w:r>
        <w:rPr>
          <w:color w:val="000000" w:themeColor="text1"/>
          <w:lang w:eastAsia="ja-JP"/>
        </w:rPr>
        <w:t xml:space="preserve"> </w:t>
      </w:r>
      <w:r w:rsidR="00C33F29">
        <w:rPr>
          <w:rFonts w:eastAsia="DengXian"/>
          <w:color w:val="000000" w:themeColor="text1"/>
          <w:lang w:eastAsia="ja-JP"/>
        </w:rPr>
        <w:t xml:space="preserve">for the MCG </w:t>
      </w:r>
      <w:r>
        <w:rPr>
          <w:color w:val="000000" w:themeColor="text1"/>
          <w:lang w:eastAsia="ja-JP"/>
        </w:rPr>
        <w:t xml:space="preserve">+ </w:t>
      </w:r>
      <w:r>
        <w:rPr>
          <w:i/>
          <w:iCs/>
          <w:color w:val="000000" w:themeColor="text1"/>
          <w:lang w:eastAsia="ja-JP"/>
        </w:rPr>
        <w:t>pdcch-BlindDetectionSCG-UE1</w:t>
      </w:r>
      <w:r>
        <w:rPr>
          <w:iCs/>
          <w:color w:val="000000" w:themeColor="text1"/>
          <w:lang w:eastAsia="ja-JP"/>
        </w:rPr>
        <w:t xml:space="preserve"> </w:t>
      </w:r>
      <w:r w:rsidR="00C33F29">
        <w:rPr>
          <w:rFonts w:eastAsia="DengXian"/>
          <w:color w:val="000000" w:themeColor="text1"/>
          <w:lang w:eastAsia="ja-JP"/>
        </w:rPr>
        <w:t xml:space="preserve">for the </w:t>
      </w:r>
      <w:r w:rsidR="00C33F29">
        <w:rPr>
          <w:rFonts w:eastAsia="DengXian"/>
          <w:color w:val="000000" w:themeColor="text1"/>
          <w:lang w:val="en-GB" w:eastAsia="ja-JP"/>
        </w:rPr>
        <w:t>S</w:t>
      </w:r>
      <w:r w:rsidR="00C33F29">
        <w:rPr>
          <w:rFonts w:eastAsia="DengXian"/>
          <w:color w:val="000000" w:themeColor="text1"/>
          <w:lang w:eastAsia="ja-JP"/>
        </w:rPr>
        <w:t xml:space="preserve">CG </w:t>
      </w:r>
      <w:r>
        <w:rPr>
          <w:iCs/>
          <w:color w:val="000000" w:themeColor="text1"/>
          <w:lang w:eastAsia="ja-JP"/>
        </w:rPr>
        <w:t xml:space="preserve">&gt;=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r15</m:t>
            </m:r>
          </m:sub>
          <m:sup>
            <m:r>
              <m:rPr>
                <m:sty m:val="p"/>
              </m:rPr>
              <w:rPr>
                <w:rFonts w:ascii="Cambria Math" w:hAnsi="Cambria Math"/>
                <w:color w:val="000000" w:themeColor="text1"/>
                <w:lang w:eastAsia="zh-CN"/>
              </w:rPr>
              <m:t>DL,cells</m:t>
            </m:r>
          </m:sup>
        </m:sSubSup>
      </m:oMath>
      <w:r>
        <w:rPr>
          <w:color w:val="000000" w:themeColor="text1"/>
          <w:lang w:eastAsia="zh-CN"/>
        </w:rPr>
        <w:t>.</w:t>
      </w:r>
    </w:p>
    <w:p w14:paraId="1D8712D6" w14:textId="5B66D382" w:rsidR="00BC0B43" w:rsidRDefault="00BC0B43" w:rsidP="00BC0B43">
      <w:pPr>
        <w:rPr>
          <w:iCs/>
          <w:color w:val="000000" w:themeColor="text1"/>
          <w:lang w:eastAsia="ja-JP"/>
        </w:rPr>
      </w:pPr>
      <w:r>
        <w:rPr>
          <w:color w:val="000000" w:themeColor="text1"/>
          <w:lang w:eastAsia="ja-JP"/>
        </w:rPr>
        <w:t xml:space="preserve">If the UE reports </w:t>
      </w:r>
      <w:r>
        <w:rPr>
          <w:i/>
          <w:iCs/>
          <w:color w:val="000000" w:themeColor="text1"/>
          <w:lang w:eastAsia="ja-JP"/>
        </w:rPr>
        <w:t>pdcch-</w:t>
      </w:r>
      <w:r w:rsidR="00C33F29">
        <w:rPr>
          <w:i/>
          <w:iCs/>
          <w:color w:val="000000" w:themeColor="text1"/>
          <w:lang w:eastAsia="ja-JP"/>
        </w:rPr>
        <w:t>BlindDetectionCA2</w:t>
      </w:r>
      <w:r w:rsidR="00C33F29">
        <w:rPr>
          <w:iCs/>
          <w:color w:val="000000" w:themeColor="text1"/>
          <w:lang w:eastAsia="ja-JP"/>
        </w:rPr>
        <w:t xml:space="preserve"> </w:t>
      </w:r>
      <w:r w:rsidR="00C33F29" w:rsidRPr="000210AA">
        <w:rPr>
          <w:iCs/>
          <w:color w:val="000000" w:themeColor="text1"/>
          <w:lang w:eastAsia="ja-JP"/>
        </w:rPr>
        <w:t>in</w:t>
      </w:r>
      <w:r w:rsidR="00C33F29">
        <w:rPr>
          <w:i/>
          <w:iCs/>
          <w:color w:val="000000" w:themeColor="text1"/>
          <w:lang w:eastAsia="ja-JP"/>
        </w:rPr>
        <w:t xml:space="preserve"> </w:t>
      </w:r>
      <w:r w:rsidR="00C33F29" w:rsidRPr="000210AA">
        <w:rPr>
          <w:i/>
          <w:iCs/>
          <w:color w:val="000000" w:themeColor="text1"/>
          <w:lang w:eastAsia="ja-JP"/>
        </w:rPr>
        <w:t>pdcch-BlindDetectionMixedList1</w:t>
      </w:r>
    </w:p>
    <w:p w14:paraId="61EA6EE9" w14:textId="5519AD7E" w:rsidR="00BC0B43" w:rsidRDefault="00BC0B43" w:rsidP="00BC0B43">
      <w:pPr>
        <w:pStyle w:val="B1"/>
        <w:rPr>
          <w:color w:val="000000" w:themeColor="text1"/>
          <w:lang w:eastAsia="ja-JP"/>
        </w:rPr>
      </w:pPr>
      <w:r>
        <w:rPr>
          <w:color w:val="000000" w:themeColor="text1"/>
          <w:lang w:eastAsia="ja-JP"/>
        </w:rPr>
        <w:t>-</w:t>
      </w:r>
      <w:r>
        <w:rPr>
          <w:color w:val="000000" w:themeColor="text1"/>
          <w:lang w:eastAsia="ja-JP"/>
        </w:rPr>
        <w:tab/>
        <w:t xml:space="preserve">the value range of </w:t>
      </w:r>
      <w:r>
        <w:rPr>
          <w:rFonts w:eastAsia="DengXian"/>
          <w:i/>
          <w:color w:val="000000" w:themeColor="text1"/>
          <w:lang w:eastAsia="ja-JP"/>
        </w:rPr>
        <w:t>pdcch-BlindDetectionCG-</w:t>
      </w:r>
      <w:r w:rsidR="007E7683">
        <w:rPr>
          <w:rFonts w:eastAsia="DengXian"/>
          <w:i/>
          <w:color w:val="000000" w:themeColor="text1"/>
          <w:lang w:eastAsia="ja-JP"/>
        </w:rPr>
        <w:t>UE</w:t>
      </w:r>
      <w:r w:rsidR="007E7683">
        <w:rPr>
          <w:i/>
          <w:iCs/>
          <w:color w:val="000000" w:themeColor="text1"/>
          <w:lang w:val="en-US" w:eastAsia="ja-JP"/>
        </w:rPr>
        <w:t>2</w:t>
      </w:r>
      <w:r w:rsidR="007E7683">
        <w:rPr>
          <w:rFonts w:eastAsia="DengXian"/>
          <w:color w:val="000000" w:themeColor="text1"/>
          <w:lang w:eastAsia="ja-JP"/>
        </w:rPr>
        <w:t xml:space="preserve"> for the MCG </w:t>
      </w:r>
      <w:r>
        <w:rPr>
          <w:rFonts w:eastAsia="DengXian"/>
          <w:color w:val="000000" w:themeColor="text1"/>
          <w:lang w:eastAsia="ja-JP"/>
        </w:rPr>
        <w:t xml:space="preserve">or of </w:t>
      </w:r>
      <w:r>
        <w:rPr>
          <w:rFonts w:eastAsia="DengXian"/>
          <w:i/>
          <w:color w:val="000000" w:themeColor="text1"/>
          <w:lang w:eastAsia="ja-JP"/>
        </w:rPr>
        <w:t>pdcch-BlindDetectionCG-</w:t>
      </w:r>
      <w:r w:rsidR="007E7683">
        <w:rPr>
          <w:rFonts w:eastAsia="DengXian"/>
          <w:i/>
          <w:color w:val="000000" w:themeColor="text1"/>
          <w:lang w:eastAsia="ja-JP"/>
        </w:rPr>
        <w:t>UE</w:t>
      </w:r>
      <w:r w:rsidR="007E7683">
        <w:rPr>
          <w:i/>
          <w:iCs/>
          <w:color w:val="000000" w:themeColor="text1"/>
          <w:lang w:val="en-US" w:eastAsia="ja-JP"/>
        </w:rPr>
        <w:t>2</w:t>
      </w:r>
      <w:r w:rsidR="007E7683">
        <w:rPr>
          <w:color w:val="000000" w:themeColor="text1"/>
          <w:lang w:eastAsia="ja-JP"/>
        </w:rPr>
        <w:t xml:space="preserve"> </w:t>
      </w:r>
      <w:r w:rsidR="007E7683">
        <w:rPr>
          <w:rFonts w:eastAsia="DengXian"/>
          <w:color w:val="000000" w:themeColor="text1"/>
          <w:lang w:eastAsia="ja-JP"/>
        </w:rPr>
        <w:t xml:space="preserve">for the </w:t>
      </w:r>
      <w:r w:rsidR="007E7683">
        <w:rPr>
          <w:rFonts w:eastAsia="DengXian"/>
          <w:color w:val="000000" w:themeColor="text1"/>
          <w:lang w:val="en-GB" w:eastAsia="ja-JP"/>
        </w:rPr>
        <w:t>S</w:t>
      </w:r>
      <w:r w:rsidR="007E7683">
        <w:rPr>
          <w:rFonts w:eastAsia="DengXian"/>
          <w:color w:val="000000" w:themeColor="text1"/>
          <w:lang w:eastAsia="ja-JP"/>
        </w:rPr>
        <w:t xml:space="preserve">CG </w:t>
      </w:r>
      <w:r>
        <w:rPr>
          <w:color w:val="000000" w:themeColor="text1"/>
          <w:lang w:eastAsia="ja-JP"/>
        </w:rPr>
        <w:t xml:space="preserve">is [0, 1, …, </w:t>
      </w:r>
      <w:r>
        <w:rPr>
          <w:i/>
          <w:iCs/>
          <w:color w:val="000000" w:themeColor="text1"/>
          <w:lang w:eastAsia="ja-JP"/>
        </w:rPr>
        <w:t>pdcch-BlindDetectionCA</w:t>
      </w:r>
      <w:r>
        <w:rPr>
          <w:i/>
          <w:iCs/>
          <w:color w:val="000000" w:themeColor="text1"/>
          <w:lang w:val="en-US" w:eastAsia="ja-JP"/>
        </w:rPr>
        <w:t>3</w:t>
      </w:r>
      <w:r>
        <w:rPr>
          <w:color w:val="000000" w:themeColor="text1"/>
          <w:lang w:eastAsia="ja-JP"/>
        </w:rPr>
        <w:t xml:space="preserve">], and </w:t>
      </w:r>
    </w:p>
    <w:p w14:paraId="79ADD24F" w14:textId="3E97482C" w:rsidR="00BC0B43" w:rsidRDefault="00BC0B43" w:rsidP="00BC0B43">
      <w:pPr>
        <w:pStyle w:val="B1"/>
        <w:rPr>
          <w:iCs/>
          <w:color w:val="000000" w:themeColor="text1"/>
          <w:lang w:eastAsia="ja-JP"/>
        </w:rPr>
      </w:pPr>
      <w:r>
        <w:rPr>
          <w:iCs/>
          <w:color w:val="000000" w:themeColor="text1"/>
          <w:lang w:eastAsia="ja-JP"/>
        </w:rPr>
        <w:t>-</w:t>
      </w:r>
      <w:r>
        <w:rPr>
          <w:iCs/>
          <w:color w:val="000000" w:themeColor="text1"/>
          <w:lang w:eastAsia="ja-JP"/>
        </w:rPr>
        <w:tab/>
      </w:r>
      <w:r>
        <w:rPr>
          <w:i/>
          <w:iCs/>
          <w:color w:val="000000" w:themeColor="text1"/>
          <w:lang w:eastAsia="ja-JP"/>
        </w:rPr>
        <w:t>pdcch-BlindDetectionCG-</w:t>
      </w:r>
      <w:r w:rsidR="007E7683">
        <w:rPr>
          <w:i/>
          <w:iCs/>
          <w:color w:val="000000" w:themeColor="text1"/>
          <w:lang w:eastAsia="ja-JP"/>
        </w:rPr>
        <w:t>UE</w:t>
      </w:r>
      <w:r w:rsidR="007E7683">
        <w:rPr>
          <w:i/>
          <w:iCs/>
          <w:color w:val="000000" w:themeColor="text1"/>
          <w:lang w:val="en-US" w:eastAsia="ja-JP"/>
        </w:rPr>
        <w:t>2</w:t>
      </w:r>
      <w:r w:rsidR="007E7683">
        <w:rPr>
          <w:color w:val="000000" w:themeColor="text1"/>
          <w:lang w:eastAsia="ja-JP"/>
        </w:rPr>
        <w:t xml:space="preserve"> </w:t>
      </w:r>
      <w:r w:rsidR="007E7683">
        <w:rPr>
          <w:rFonts w:eastAsia="DengXian"/>
          <w:color w:val="000000" w:themeColor="text1"/>
          <w:lang w:eastAsia="ja-JP"/>
        </w:rPr>
        <w:t xml:space="preserve">for the MCG </w:t>
      </w:r>
      <w:r>
        <w:rPr>
          <w:color w:val="000000" w:themeColor="text1"/>
          <w:lang w:eastAsia="ja-JP"/>
        </w:rPr>
        <w:t xml:space="preserve">+ </w:t>
      </w:r>
      <w:r>
        <w:rPr>
          <w:i/>
          <w:iCs/>
          <w:color w:val="000000" w:themeColor="text1"/>
          <w:lang w:eastAsia="ja-JP"/>
        </w:rPr>
        <w:t>pdcch-BlindDetectionCG-</w:t>
      </w:r>
      <w:r w:rsidR="007E7683">
        <w:rPr>
          <w:i/>
          <w:iCs/>
          <w:color w:val="000000" w:themeColor="text1"/>
          <w:lang w:eastAsia="ja-JP"/>
        </w:rPr>
        <w:t>UE</w:t>
      </w:r>
      <w:r w:rsidR="007E7683">
        <w:rPr>
          <w:i/>
          <w:iCs/>
          <w:color w:val="000000" w:themeColor="text1"/>
          <w:lang w:val="en-US" w:eastAsia="ja-JP"/>
        </w:rPr>
        <w:t>2</w:t>
      </w:r>
      <w:r w:rsidR="007E7683">
        <w:rPr>
          <w:iCs/>
          <w:color w:val="000000" w:themeColor="text1"/>
          <w:lang w:eastAsia="ja-JP"/>
        </w:rPr>
        <w:t xml:space="preserve"> </w:t>
      </w:r>
      <w:r w:rsidR="007E7683">
        <w:rPr>
          <w:rFonts w:eastAsia="DengXian"/>
          <w:color w:val="000000" w:themeColor="text1"/>
          <w:lang w:eastAsia="ja-JP"/>
        </w:rPr>
        <w:t xml:space="preserve">for the </w:t>
      </w:r>
      <w:r w:rsidR="007E7683">
        <w:rPr>
          <w:rFonts w:eastAsia="DengXian"/>
          <w:color w:val="000000" w:themeColor="text1"/>
          <w:lang w:val="en-GB" w:eastAsia="ja-JP"/>
        </w:rPr>
        <w:t>S</w:t>
      </w:r>
      <w:r w:rsidR="007E7683">
        <w:rPr>
          <w:rFonts w:eastAsia="DengXian"/>
          <w:color w:val="000000" w:themeColor="text1"/>
          <w:lang w:eastAsia="ja-JP"/>
        </w:rPr>
        <w:t xml:space="preserve">CG </w:t>
      </w:r>
      <w:r>
        <w:rPr>
          <w:iCs/>
          <w:color w:val="000000" w:themeColor="text1"/>
          <w:lang w:eastAsia="ja-JP"/>
        </w:rPr>
        <w:t xml:space="preserve">&gt;= </w:t>
      </w:r>
      <w:r>
        <w:rPr>
          <w:i/>
          <w:iCs/>
          <w:color w:val="000000" w:themeColor="text1"/>
          <w:lang w:eastAsia="ja-JP"/>
        </w:rPr>
        <w:t>pdcch-</w:t>
      </w:r>
      <w:r w:rsidR="007E7683">
        <w:rPr>
          <w:i/>
          <w:iCs/>
          <w:color w:val="000000" w:themeColor="text1"/>
          <w:lang w:eastAsia="ja-JP"/>
        </w:rPr>
        <w:t>BlindDetectionCA</w:t>
      </w:r>
      <w:r w:rsidR="007E7683">
        <w:rPr>
          <w:i/>
          <w:iCs/>
          <w:color w:val="000000" w:themeColor="text1"/>
          <w:lang w:val="en-US" w:eastAsia="ja-JP"/>
        </w:rPr>
        <w:t>2</w:t>
      </w:r>
      <w:r>
        <w:rPr>
          <w:i/>
          <w:iCs/>
          <w:color w:val="000000" w:themeColor="text1"/>
          <w:lang w:val="en-US" w:eastAsia="ja-JP"/>
        </w:rPr>
        <w:t>.</w:t>
      </w:r>
      <w:r>
        <w:rPr>
          <w:iCs/>
          <w:color w:val="000000" w:themeColor="text1"/>
          <w:lang w:val="en-US" w:eastAsia="ja-JP"/>
        </w:rPr>
        <w:t xml:space="preserve"> </w:t>
      </w:r>
    </w:p>
    <w:p w14:paraId="1C6A0F98" w14:textId="77777777" w:rsidR="00BC0B43" w:rsidRDefault="00BC0B43" w:rsidP="00BC0B43">
      <w:pPr>
        <w:rPr>
          <w:iCs/>
          <w:color w:val="000000" w:themeColor="text1"/>
          <w:lang w:eastAsia="ja-JP"/>
        </w:rPr>
      </w:pPr>
      <w:r>
        <w:rPr>
          <w:iCs/>
          <w:color w:val="000000" w:themeColor="text1"/>
          <w:lang w:eastAsia="ja-JP"/>
        </w:rPr>
        <w:t>Otherwise,</w:t>
      </w:r>
      <w:r>
        <w:rPr>
          <w:color w:val="000000" w:themeColor="text1"/>
        </w:rPr>
        <w:t xml:space="preserve"> if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r17</m:t>
            </m:r>
          </m:sub>
          <m:sup>
            <m:r>
              <m:rPr>
                <m:sty m:val="p"/>
              </m:rPr>
              <w:rPr>
                <w:rFonts w:ascii="Cambria Math" w:hAnsi="Cambria Math"/>
                <w:color w:val="000000" w:themeColor="text1"/>
                <w:lang w:eastAsia="zh-CN"/>
              </w:rPr>
              <m:t>DL,cells</m:t>
            </m:r>
          </m:sup>
        </m:sSubSup>
      </m:oMath>
      <w:r>
        <w:rPr>
          <w:color w:val="000000" w:themeColor="text1"/>
        </w:rPr>
        <w:t xml:space="preserve"> is a maximum total number of downlink cells for which the UE is provided </w:t>
      </w:r>
      <w:r>
        <w:rPr>
          <w:i/>
        </w:rPr>
        <w:t>monitoringCapabilityConfig</w:t>
      </w:r>
      <w:r>
        <w:t xml:space="preserve"> = </w:t>
      </w:r>
      <w:r>
        <w:rPr>
          <w:i/>
        </w:rPr>
        <w:t>r17monitoringcapability</w:t>
      </w:r>
      <w:r>
        <w:t xml:space="preserve"> and</w:t>
      </w:r>
      <w:r>
        <w:rPr>
          <w:color w:val="000000" w:themeColor="text1"/>
        </w:rPr>
        <w:t xml:space="preserve"> the UE is configured on both the MCG and the SCG for NR-DC as indicated in </w:t>
      </w:r>
      <w:r>
        <w:rPr>
          <w:i/>
          <w:iCs/>
          <w:color w:val="000000" w:themeColor="text1"/>
        </w:rPr>
        <w:t>UE-NR-Capability</w:t>
      </w:r>
    </w:p>
    <w:p w14:paraId="2BE50D77" w14:textId="2D9466DD" w:rsidR="00BC0B43" w:rsidRDefault="00BC0B43" w:rsidP="00BC0B43">
      <w:pPr>
        <w:pStyle w:val="B1"/>
        <w:rPr>
          <w:color w:val="000000" w:themeColor="text1"/>
          <w:lang w:eastAsia="ja-JP"/>
        </w:rPr>
      </w:pPr>
      <w:r>
        <w:rPr>
          <w:color w:val="000000" w:themeColor="text1"/>
          <w:lang w:eastAsia="ja-JP"/>
        </w:rPr>
        <w:t>-</w:t>
      </w:r>
      <w:r>
        <w:rPr>
          <w:color w:val="000000" w:themeColor="text1"/>
          <w:lang w:eastAsia="ja-JP"/>
        </w:rPr>
        <w:tab/>
        <w:t xml:space="preserve">the value range of </w:t>
      </w:r>
      <w:r>
        <w:rPr>
          <w:rFonts w:eastAsia="DengXian"/>
          <w:i/>
          <w:color w:val="000000" w:themeColor="text1"/>
          <w:lang w:eastAsia="ja-JP"/>
        </w:rPr>
        <w:t>pdcch-BlindDetectionCG-</w:t>
      </w:r>
      <w:r w:rsidR="00C33F29">
        <w:rPr>
          <w:rFonts w:eastAsia="DengXian"/>
          <w:i/>
          <w:color w:val="000000" w:themeColor="text1"/>
          <w:lang w:eastAsia="ja-JP"/>
        </w:rPr>
        <w:t>UE</w:t>
      </w:r>
      <w:r w:rsidR="00C33F29">
        <w:rPr>
          <w:i/>
          <w:iCs/>
          <w:color w:val="000000" w:themeColor="text1"/>
          <w:lang w:val="en-US" w:eastAsia="ja-JP"/>
        </w:rPr>
        <w:t>2</w:t>
      </w:r>
      <w:r w:rsidR="00C33F29">
        <w:rPr>
          <w:rFonts w:eastAsia="DengXian"/>
          <w:color w:val="000000" w:themeColor="text1"/>
          <w:lang w:eastAsia="ja-JP"/>
        </w:rPr>
        <w:t xml:space="preserve"> for the MCG </w:t>
      </w:r>
      <w:r>
        <w:rPr>
          <w:rFonts w:eastAsia="DengXian"/>
          <w:color w:val="000000" w:themeColor="text1"/>
          <w:lang w:eastAsia="ja-JP"/>
        </w:rPr>
        <w:t xml:space="preserve">or of </w:t>
      </w:r>
      <w:r>
        <w:rPr>
          <w:rFonts w:eastAsia="DengXian"/>
          <w:i/>
          <w:color w:val="000000" w:themeColor="text1"/>
          <w:lang w:eastAsia="ja-JP"/>
        </w:rPr>
        <w:t>pdcch-BlindDetectionCG-</w:t>
      </w:r>
      <w:r w:rsidR="00C33F29">
        <w:rPr>
          <w:rFonts w:eastAsia="DengXian"/>
          <w:i/>
          <w:color w:val="000000" w:themeColor="text1"/>
          <w:lang w:eastAsia="ja-JP"/>
        </w:rPr>
        <w:t>UE</w:t>
      </w:r>
      <w:r w:rsidR="00C33F29">
        <w:rPr>
          <w:i/>
          <w:iCs/>
          <w:color w:val="000000" w:themeColor="text1"/>
          <w:lang w:val="en-US" w:eastAsia="ja-JP"/>
        </w:rPr>
        <w:t>2</w:t>
      </w:r>
      <w:r w:rsidR="00C33F29">
        <w:rPr>
          <w:color w:val="000000" w:themeColor="text1"/>
          <w:lang w:eastAsia="ja-JP"/>
        </w:rPr>
        <w:t xml:space="preserve"> for the SCG </w:t>
      </w:r>
      <w:r>
        <w:rPr>
          <w:color w:val="000000" w:themeColor="text1"/>
          <w:lang w:eastAsia="ja-JP"/>
        </w:rPr>
        <w:t>is [0, 1</w:t>
      </w:r>
      <w:r>
        <w:rPr>
          <w:color w:val="000000" w:themeColor="text1"/>
          <w:lang w:val="en-US" w:eastAsia="ja-JP"/>
        </w:rPr>
        <w:t>, 2</w:t>
      </w:r>
      <w:r>
        <w:rPr>
          <w:color w:val="000000" w:themeColor="text1"/>
          <w:lang w:eastAsia="ja-JP"/>
        </w:rPr>
        <w:t>],</w:t>
      </w:r>
    </w:p>
    <w:p w14:paraId="0D426081" w14:textId="1C0A1493" w:rsidR="00BC0B43" w:rsidRPr="001738FA" w:rsidRDefault="00BC0B43" w:rsidP="00BC0B43">
      <w:pPr>
        <w:pStyle w:val="B1"/>
        <w:rPr>
          <w:color w:val="000000" w:themeColor="text1"/>
          <w:lang w:eastAsia="zh-CN"/>
        </w:rPr>
      </w:pPr>
      <w:r>
        <w:rPr>
          <w:iCs/>
          <w:color w:val="000000" w:themeColor="text1"/>
          <w:lang w:eastAsia="ja-JP"/>
        </w:rPr>
        <w:t>-</w:t>
      </w:r>
      <w:r>
        <w:rPr>
          <w:iCs/>
          <w:color w:val="000000" w:themeColor="text1"/>
          <w:lang w:eastAsia="ja-JP"/>
        </w:rPr>
        <w:tab/>
      </w:r>
      <w:r>
        <w:rPr>
          <w:i/>
          <w:iCs/>
          <w:color w:val="000000" w:themeColor="text1"/>
          <w:lang w:eastAsia="ja-JP"/>
        </w:rPr>
        <w:t>pdcch-BlindDetectionCG-UE</w:t>
      </w:r>
      <w:r w:rsidR="007E7683">
        <w:rPr>
          <w:i/>
          <w:iCs/>
          <w:color w:val="000000" w:themeColor="text1"/>
          <w:lang w:val="en-US" w:eastAsia="ja-JP"/>
        </w:rPr>
        <w:t xml:space="preserve">2 </w:t>
      </w:r>
      <w:r w:rsidR="007E7683" w:rsidRPr="00290207">
        <w:rPr>
          <w:iCs/>
          <w:color w:val="000000" w:themeColor="text1"/>
          <w:lang w:val="en-US" w:eastAsia="ja-JP"/>
        </w:rPr>
        <w:t xml:space="preserve">for </w:t>
      </w:r>
      <w:r w:rsidR="007E7683">
        <w:rPr>
          <w:iCs/>
          <w:color w:val="000000" w:themeColor="text1"/>
          <w:lang w:val="en-US" w:eastAsia="ja-JP"/>
        </w:rPr>
        <w:t xml:space="preserve">the </w:t>
      </w:r>
      <w:r w:rsidR="007E7683" w:rsidRPr="00290207">
        <w:rPr>
          <w:iCs/>
          <w:color w:val="000000" w:themeColor="text1"/>
          <w:lang w:val="en-US" w:eastAsia="ja-JP"/>
        </w:rPr>
        <w:t>MCG</w:t>
      </w:r>
      <w:r>
        <w:rPr>
          <w:color w:val="000000" w:themeColor="text1"/>
          <w:lang w:eastAsia="ja-JP"/>
        </w:rPr>
        <w:t xml:space="preserve"> + </w:t>
      </w:r>
      <w:r>
        <w:rPr>
          <w:i/>
          <w:iCs/>
          <w:color w:val="000000" w:themeColor="text1"/>
          <w:lang w:eastAsia="ja-JP"/>
        </w:rPr>
        <w:t>pdcch-BlindDetectionCG-</w:t>
      </w:r>
      <w:r w:rsidR="007E7683">
        <w:rPr>
          <w:i/>
          <w:iCs/>
          <w:color w:val="000000" w:themeColor="text1"/>
          <w:lang w:eastAsia="ja-JP"/>
        </w:rPr>
        <w:t>UE</w:t>
      </w:r>
      <w:r w:rsidR="007E7683">
        <w:rPr>
          <w:i/>
          <w:iCs/>
          <w:color w:val="000000" w:themeColor="text1"/>
          <w:lang w:val="en-US" w:eastAsia="ja-JP"/>
        </w:rPr>
        <w:t>2</w:t>
      </w:r>
      <w:r w:rsidR="007E7683">
        <w:rPr>
          <w:iCs/>
          <w:color w:val="000000" w:themeColor="text1"/>
          <w:lang w:eastAsia="ja-JP"/>
        </w:rPr>
        <w:t xml:space="preserve"> for the SCG </w:t>
      </w:r>
      <w:r>
        <w:rPr>
          <w:iCs/>
          <w:color w:val="000000" w:themeColor="text1"/>
          <w:lang w:eastAsia="ja-JP"/>
        </w:rPr>
        <w:t xml:space="preserve">&gt;=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r17</m:t>
            </m:r>
          </m:sub>
          <m:sup>
            <m:r>
              <m:rPr>
                <m:sty m:val="p"/>
              </m:rPr>
              <w:rPr>
                <w:rFonts w:ascii="Cambria Math" w:hAnsi="Cambria Math"/>
                <w:color w:val="000000" w:themeColor="text1"/>
                <w:lang w:eastAsia="zh-CN"/>
              </w:rPr>
              <m:t>DL,cells</m:t>
            </m:r>
          </m:sup>
        </m:sSubSup>
      </m:oMath>
      <w:r>
        <w:rPr>
          <w:color w:val="000000" w:themeColor="text1"/>
          <w:lang w:eastAsia="zh-CN"/>
        </w:rPr>
        <w:t>.</w:t>
      </w:r>
    </w:p>
    <w:p w14:paraId="467CF946" w14:textId="77777777" w:rsidR="00BC0B43" w:rsidRDefault="00BC0B43" w:rsidP="00BC0B43">
      <w:pPr>
        <w:rPr>
          <w:rFonts w:eastAsia="DengXian"/>
          <w:lang w:eastAsia="ko-KR"/>
        </w:rPr>
      </w:pPr>
      <w:r>
        <w:rPr>
          <w:rFonts w:eastAsia="DengXian"/>
          <w:lang w:eastAsia="ko-KR"/>
        </w:rPr>
        <w:t xml:space="preserve">When a UE is configured for NR-DC operation with a total of </w:t>
      </w:r>
      <m:oMath>
        <m:sSubSup>
          <m:sSubSupPr>
            <m:ctrlPr>
              <w:rPr>
                <w:rFonts w:ascii="Cambria Math" w:hAnsi="Cambria Math"/>
                <w:color w:val="FF0000"/>
              </w:rPr>
            </m:ctrlPr>
          </m:sSubSupPr>
          <m:e>
            <m:r>
              <w:rPr>
                <w:rFonts w:ascii="Cambria Math" w:hAnsi="Cambria Math"/>
              </w:rPr>
              <m:t>N</m:t>
            </m:r>
          </m:e>
          <m:sub>
            <m:r>
              <m:rPr>
                <m:sty m:val="p"/>
              </m:rPr>
              <w:rPr>
                <w:rFonts w:ascii="Cambria Math" w:hAnsi="Cambria Math"/>
              </w:rPr>
              <m:t>NR-DC</m:t>
            </m:r>
          </m:sub>
          <m:sup>
            <m:r>
              <m:rPr>
                <m:sty m:val="p"/>
              </m:rPr>
              <w:rPr>
                <w:rFonts w:ascii="Cambria Math" w:hAnsi="Cambria Math"/>
              </w:rPr>
              <m:t>DL,cells</m:t>
            </m:r>
          </m:sup>
        </m:sSubSup>
      </m:oMath>
      <w:r>
        <w:rPr>
          <w:rFonts w:eastAsia="DengXian"/>
        </w:rPr>
        <w:t xml:space="preserve"> downlink cells on both the MCG and the SCG and </w:t>
      </w:r>
      <w:r>
        <w:rPr>
          <w:lang w:eastAsia="ko-KR"/>
        </w:rPr>
        <w:t xml:space="preserve">the UE is provided </w:t>
      </w:r>
      <w:r>
        <w:rPr>
          <w:i/>
        </w:rPr>
        <w:t>monitoringCapabilityConfig</w:t>
      </w:r>
      <w:r>
        <w:t xml:space="preserve"> = </w:t>
      </w:r>
      <w:r>
        <w:rPr>
          <w:i/>
        </w:rPr>
        <w:t xml:space="preserve">r16monitoringcapability </w:t>
      </w:r>
      <w:r>
        <w:t>for</w:t>
      </w:r>
      <w:r>
        <w:rPr>
          <w:i/>
          <w:iCs/>
          <w:lang w:eastAsia="ja-JP"/>
        </w:rPr>
        <w:t> </w:t>
      </w:r>
      <m:oMath>
        <m:sSubSup>
          <m:sSubSupPr>
            <m:ctrlPr>
              <w:rPr>
                <w:rFonts w:ascii="Cambria Math" w:hAnsi="Cambria Math"/>
                <w:color w:val="000000" w:themeColor="text1"/>
              </w:rPr>
            </m:ctrlPr>
          </m:sSubSupPr>
          <m:e>
            <m:r>
              <w:rPr>
                <w:rFonts w:ascii="Cambria Math" w:hAnsi="Cambria Math"/>
                <w:color w:val="000000" w:themeColor="text1"/>
              </w:rPr>
              <m:t>N</m:t>
            </m:r>
          </m:e>
          <m:sub>
            <m:r>
              <m:rPr>
                <m:sty m:val="p"/>
              </m:rPr>
              <w:rPr>
                <w:rFonts w:ascii="Cambria Math" w:hAnsi="Cambria Math"/>
                <w:color w:val="000000" w:themeColor="text1"/>
              </w:rPr>
              <m:t>NR-DC,r16</m:t>
            </m:r>
          </m:sub>
          <m:sup>
            <m:r>
              <m:rPr>
                <m:sty m:val="p"/>
              </m:rPr>
              <w:rPr>
                <w:rFonts w:ascii="Cambria Math" w:hAnsi="Cambria Math"/>
                <w:color w:val="000000" w:themeColor="text1"/>
              </w:rPr>
              <m:t>DL,cells</m:t>
            </m:r>
          </m:sup>
        </m:sSubSup>
      </m:oMath>
      <w:r>
        <w:rPr>
          <w:color w:val="000000" w:themeColor="text1"/>
          <w:lang w:eastAsia="ko-KR"/>
        </w:rPr>
        <w:t xml:space="preserve"> </w:t>
      </w:r>
      <w:r>
        <w:rPr>
          <w:rFonts w:eastAsia="DengXian"/>
          <w:color w:val="000000" w:themeColor="text1"/>
        </w:rPr>
        <w:t>downlink cells</w:t>
      </w:r>
      <w:r>
        <w:rPr>
          <w:color w:val="000000" w:themeColor="text1"/>
          <w:lang w:eastAsia="ko-KR"/>
        </w:rPr>
        <w:t xml:space="preserve"> and </w:t>
      </w:r>
      <w:r>
        <w:rPr>
          <w:i/>
        </w:rPr>
        <w:t>monitoringCapabilityConfig</w:t>
      </w:r>
      <w:r>
        <w:t xml:space="preserve"> = </w:t>
      </w:r>
      <w:r>
        <w:rPr>
          <w:i/>
        </w:rPr>
        <w:t>r17monitoringcapability</w:t>
      </w:r>
      <w:r>
        <w:rPr>
          <w:i/>
          <w:color w:val="000000" w:themeColor="text1"/>
        </w:rPr>
        <w:t xml:space="preserve"> </w:t>
      </w:r>
      <w:r>
        <w:rPr>
          <w:color w:val="000000" w:themeColor="text1"/>
        </w:rPr>
        <w:t xml:space="preserve">for </w:t>
      </w:r>
      <m:oMath>
        <m:sSubSup>
          <m:sSubSupPr>
            <m:ctrlPr>
              <w:rPr>
                <w:rFonts w:ascii="Cambria Math" w:hAnsi="Cambria Math"/>
                <w:color w:val="000000" w:themeColor="text1"/>
              </w:rPr>
            </m:ctrlPr>
          </m:sSubSupPr>
          <m:e>
            <m:r>
              <w:rPr>
                <w:rFonts w:ascii="Cambria Math" w:hAnsi="Cambria Math"/>
                <w:color w:val="000000" w:themeColor="text1"/>
              </w:rPr>
              <m:t>N</m:t>
            </m:r>
          </m:e>
          <m:sub>
            <m:r>
              <m:rPr>
                <m:sty m:val="p"/>
              </m:rPr>
              <w:rPr>
                <w:rFonts w:ascii="Cambria Math" w:hAnsi="Cambria Math"/>
                <w:color w:val="000000" w:themeColor="text1"/>
              </w:rPr>
              <m:t>NR-DC,r17</m:t>
            </m:r>
          </m:sub>
          <m:sup>
            <m:r>
              <m:rPr>
                <m:sty m:val="p"/>
              </m:rPr>
              <w:rPr>
                <w:rFonts w:ascii="Cambria Math" w:hAnsi="Cambria Math"/>
                <w:color w:val="000000" w:themeColor="text1"/>
              </w:rPr>
              <m:t>DL,cells</m:t>
            </m:r>
          </m:sup>
        </m:sSubSup>
      </m:oMath>
      <w:r>
        <w:rPr>
          <w:color w:val="000000" w:themeColor="text1"/>
          <w:lang w:eastAsia="ko-KR"/>
        </w:rPr>
        <w:t xml:space="preserve"> </w:t>
      </w:r>
      <w:r>
        <w:rPr>
          <w:rFonts w:eastAsia="DengXian"/>
          <w:color w:val="000000" w:themeColor="text1"/>
        </w:rPr>
        <w:t>downlink cells where the UE monitors PDCCH</w:t>
      </w:r>
      <w:r>
        <w:rPr>
          <w:rFonts w:eastAsia="DengXian"/>
          <w:color w:val="000000" w:themeColor="text1"/>
          <w:lang w:eastAsia="ko-KR"/>
        </w:rPr>
        <w:t xml:space="preserve">, the UE expects to be provided </w:t>
      </w:r>
      <w:r>
        <w:rPr>
          <w:i/>
          <w:iCs/>
          <w:color w:val="000000" w:themeColor="text1"/>
          <w:lang w:eastAsia="ja-JP"/>
        </w:rPr>
        <w:t xml:space="preserve">pdcch-BlindDetection2 </w:t>
      </w:r>
      <w:r>
        <w:rPr>
          <w:iCs/>
          <w:color w:val="000000" w:themeColor="text1"/>
          <w:lang w:eastAsia="ja-JP"/>
        </w:rPr>
        <w:t>and</w:t>
      </w:r>
      <w:r>
        <w:rPr>
          <w:i/>
          <w:iCs/>
          <w:color w:val="000000" w:themeColor="text1"/>
          <w:lang w:eastAsia="ja-JP"/>
        </w:rPr>
        <w:t xml:space="preserve"> pdcch-BlindDetection4</w:t>
      </w:r>
      <w:r>
        <w:rPr>
          <w:rFonts w:eastAsia="DengXian"/>
          <w:color w:val="000000" w:themeColor="text1"/>
          <w:lang w:eastAsia="ja-JP"/>
        </w:rPr>
        <w:t xml:space="preserve"> for the MCG, and </w:t>
      </w:r>
      <w:r>
        <w:rPr>
          <w:i/>
          <w:iCs/>
          <w:color w:val="000000" w:themeColor="text1"/>
          <w:lang w:eastAsia="ja-JP"/>
        </w:rPr>
        <w:t xml:space="preserve">pdcch-BlindDetection2 </w:t>
      </w:r>
      <w:r>
        <w:rPr>
          <w:iCs/>
          <w:color w:val="000000" w:themeColor="text1"/>
          <w:lang w:eastAsia="ja-JP"/>
        </w:rPr>
        <w:t>and</w:t>
      </w:r>
      <w:r>
        <w:rPr>
          <w:i/>
          <w:iCs/>
          <w:color w:val="000000" w:themeColor="text1"/>
          <w:lang w:eastAsia="ja-JP"/>
        </w:rPr>
        <w:t xml:space="preserve"> pdcch-BlindDetection4 </w:t>
      </w:r>
      <w:r>
        <w:rPr>
          <w:rFonts w:eastAsia="DengXian"/>
          <w:color w:val="000000" w:themeColor="text1"/>
          <w:lang w:eastAsia="ko-KR"/>
        </w:rPr>
        <w:t xml:space="preserve">for the SCG with values that satisfy </w:t>
      </w:r>
    </w:p>
    <w:p w14:paraId="4373C60D" w14:textId="55DF0B04" w:rsidR="00BC0B43" w:rsidRPr="00F56BF9" w:rsidRDefault="00BC0B43" w:rsidP="00BC0B43">
      <w:pPr>
        <w:pStyle w:val="B1"/>
        <w:rPr>
          <w:rFonts w:eastAsia="DengXian"/>
          <w:lang w:eastAsia="ja-JP"/>
        </w:rPr>
      </w:pPr>
      <w:r w:rsidRPr="00F56BF9">
        <w:rPr>
          <w:rFonts w:eastAsia="DengXian"/>
          <w:lang w:eastAsia="ja-JP"/>
        </w:rPr>
        <w:t>-</w:t>
      </w:r>
      <w:r w:rsidRPr="00F56BF9">
        <w:rPr>
          <w:rFonts w:eastAsia="DengXian"/>
          <w:lang w:eastAsia="ja-JP"/>
        </w:rPr>
        <w:tab/>
      </w:r>
      <w:r w:rsidRPr="00F56BF9">
        <w:rPr>
          <w:i/>
          <w:iCs/>
          <w:lang w:eastAsia="ja-JP"/>
        </w:rPr>
        <w:t>pdcch-BlindDetection</w:t>
      </w:r>
      <w:r>
        <w:rPr>
          <w:i/>
          <w:iCs/>
          <w:lang w:val="en-US" w:eastAsia="ja-JP"/>
        </w:rPr>
        <w:t>2</w:t>
      </w:r>
      <w:r w:rsidRPr="00F56BF9">
        <w:rPr>
          <w:rFonts w:eastAsia="DengXian"/>
          <w:lang w:eastAsia="ja-JP"/>
        </w:rPr>
        <w:t xml:space="preserve"> for the MCG + </w:t>
      </w:r>
      <w:r w:rsidRPr="00F56BF9">
        <w:rPr>
          <w:i/>
          <w:iCs/>
          <w:lang w:eastAsia="ja-JP"/>
        </w:rPr>
        <w:t>pdcch-BlindDetection</w:t>
      </w:r>
      <w:r>
        <w:rPr>
          <w:i/>
          <w:iCs/>
          <w:lang w:val="en-US" w:eastAsia="ja-JP"/>
        </w:rPr>
        <w:t>2</w:t>
      </w:r>
      <w:r w:rsidRPr="00F56BF9">
        <w:rPr>
          <w:rFonts w:eastAsia="DengXian"/>
          <w:lang w:eastAsia="ja-JP"/>
        </w:rPr>
        <w:t xml:space="preserve"> </w:t>
      </w:r>
      <w:r w:rsidRPr="00F56BF9">
        <w:rPr>
          <w:rFonts w:eastAsia="DengXian"/>
          <w:lang w:eastAsia="ko-KR"/>
        </w:rPr>
        <w:t xml:space="preserve">for the SCG </w:t>
      </w:r>
      <w:r w:rsidRPr="00F56BF9">
        <w:rPr>
          <w:rFonts w:eastAsia="DengXian"/>
          <w:lang w:eastAsia="ja-JP"/>
        </w:rPr>
        <w:t xml:space="preserve">&lt;= </w:t>
      </w:r>
      <w:r w:rsidRPr="00F56BF9">
        <w:rPr>
          <w:rFonts w:eastAsia="DengXian"/>
          <w:i/>
          <w:iCs/>
          <w:lang w:eastAsia="ja-JP"/>
        </w:rPr>
        <w:t>pdcch-</w:t>
      </w:r>
      <w:r w:rsidR="007E7683" w:rsidRPr="00F56BF9">
        <w:rPr>
          <w:rFonts w:eastAsia="DengXian"/>
          <w:i/>
          <w:iCs/>
          <w:lang w:eastAsia="ja-JP"/>
        </w:rPr>
        <w:t>BlindDetectionCA</w:t>
      </w:r>
      <w:r w:rsidR="007E7683">
        <w:rPr>
          <w:rFonts w:eastAsia="DengXian"/>
          <w:i/>
          <w:iCs/>
          <w:lang w:val="en-US" w:eastAsia="ja-JP"/>
        </w:rPr>
        <w:t>1</w:t>
      </w:r>
      <w:r w:rsidRPr="00F56BF9">
        <w:rPr>
          <w:rFonts w:eastAsia="DengXian"/>
          <w:lang w:eastAsia="ja-JP"/>
        </w:rPr>
        <w:t xml:space="preserve">, if the UE reports </w:t>
      </w:r>
      <w:r w:rsidRPr="00F56BF9">
        <w:rPr>
          <w:rFonts w:eastAsia="DengXian"/>
          <w:i/>
          <w:iCs/>
          <w:lang w:eastAsia="ja-JP"/>
        </w:rPr>
        <w:t>pdcch-</w:t>
      </w:r>
      <w:r w:rsidR="007E7683" w:rsidRPr="00F56BF9">
        <w:rPr>
          <w:rFonts w:eastAsia="DengXian"/>
          <w:i/>
          <w:iCs/>
          <w:lang w:eastAsia="ja-JP"/>
        </w:rPr>
        <w:t>BlindDetectionCA</w:t>
      </w:r>
      <w:r w:rsidR="007E7683">
        <w:rPr>
          <w:rFonts w:eastAsia="DengXian"/>
          <w:i/>
          <w:iCs/>
          <w:lang w:val="en-US" w:eastAsia="ja-JP"/>
        </w:rPr>
        <w:t>1</w:t>
      </w:r>
      <w:r w:rsidR="007E7683" w:rsidRPr="009032F5">
        <w:rPr>
          <w:iCs/>
          <w:color w:val="000000" w:themeColor="text1"/>
          <w:lang w:eastAsia="ja-JP"/>
        </w:rPr>
        <w:t xml:space="preserve"> </w:t>
      </w:r>
      <w:r w:rsidR="007E7683" w:rsidRPr="000210AA">
        <w:rPr>
          <w:iCs/>
          <w:color w:val="000000" w:themeColor="text1"/>
          <w:lang w:eastAsia="ja-JP"/>
        </w:rPr>
        <w:t>in</w:t>
      </w:r>
      <w:r w:rsidR="007E7683">
        <w:rPr>
          <w:i/>
          <w:iCs/>
          <w:color w:val="000000" w:themeColor="text1"/>
          <w:lang w:eastAsia="ja-JP"/>
        </w:rPr>
        <w:t xml:space="preserve"> </w:t>
      </w:r>
      <w:r w:rsidR="007E7683" w:rsidRPr="000210AA">
        <w:rPr>
          <w:i/>
          <w:iCs/>
          <w:color w:val="000000" w:themeColor="text1"/>
          <w:lang w:eastAsia="ja-JP"/>
        </w:rPr>
        <w:t>pdcch-BlindDetectionMixedList</w:t>
      </w:r>
      <w:r w:rsidR="007E7683">
        <w:rPr>
          <w:i/>
          <w:iCs/>
          <w:color w:val="000000" w:themeColor="text1"/>
          <w:lang w:eastAsia="ja-JP"/>
        </w:rPr>
        <w:t>2</w:t>
      </w:r>
      <w:r w:rsidRPr="00F56BF9">
        <w:rPr>
          <w:rFonts w:eastAsia="DengXian"/>
          <w:lang w:eastAsia="ja-JP"/>
        </w:rPr>
        <w:t>, or</w:t>
      </w:r>
    </w:p>
    <w:p w14:paraId="4B81AF79" w14:textId="68B67D3B" w:rsidR="00BC0B43" w:rsidRDefault="00BC0B43" w:rsidP="00BC0B43">
      <w:pPr>
        <w:pStyle w:val="B1"/>
        <w:rPr>
          <w:rFonts w:eastAsia="DengXian"/>
          <w:lang w:eastAsia="ja-JP"/>
        </w:rPr>
      </w:pPr>
      <w:r>
        <w:rPr>
          <w:rFonts w:eastAsia="DengXian"/>
          <w:lang w:eastAsia="ja-JP"/>
        </w:rPr>
        <w:t>-</w:t>
      </w:r>
      <w:r>
        <w:rPr>
          <w:rFonts w:eastAsia="DengXian"/>
          <w:lang w:eastAsia="ja-JP"/>
        </w:rPr>
        <w:tab/>
      </w:r>
      <w:r w:rsidRPr="00D429F6">
        <w:rPr>
          <w:i/>
          <w:iCs/>
          <w:lang w:eastAsia="ja-JP"/>
        </w:rPr>
        <w:t>pdcch-BlindDetection</w:t>
      </w:r>
      <w:r>
        <w:rPr>
          <w:i/>
          <w:iCs/>
          <w:lang w:val="en-US" w:eastAsia="ja-JP"/>
        </w:rPr>
        <w:t>2</w:t>
      </w:r>
      <w:r>
        <w:rPr>
          <w:rFonts w:eastAsia="DengXian"/>
          <w:lang w:eastAsia="ja-JP"/>
        </w:rPr>
        <w:t xml:space="preserve"> for the MCG + </w:t>
      </w:r>
      <w:r w:rsidRPr="00D429F6">
        <w:rPr>
          <w:i/>
          <w:iCs/>
          <w:lang w:eastAsia="ja-JP"/>
        </w:rPr>
        <w:t>pdcch-BlindDetection</w:t>
      </w:r>
      <w:r>
        <w:rPr>
          <w:i/>
          <w:iCs/>
          <w:lang w:val="en-US" w:eastAsia="ja-JP"/>
        </w:rPr>
        <w:t>2</w:t>
      </w:r>
      <w:r>
        <w:rPr>
          <w:rFonts w:eastAsia="DengXian"/>
          <w:lang w:eastAsia="ja-JP"/>
        </w:rPr>
        <w:t xml:space="preserve"> </w:t>
      </w:r>
      <w:r>
        <w:rPr>
          <w:rFonts w:eastAsia="DengXian"/>
          <w:lang w:eastAsia="ko-KR"/>
        </w:rPr>
        <w:t xml:space="preserve">for the SCG </w:t>
      </w:r>
      <w:r>
        <w:rPr>
          <w:rFonts w:eastAsia="DengXian"/>
          <w:lang w:eastAsia="ja-JP"/>
        </w:rPr>
        <w:t xml:space="preserve">&lt;= </w:t>
      </w:r>
      <m:oMath>
        <m:sSubSup>
          <m:sSubSupPr>
            <m:ctrlPr>
              <w:rPr>
                <w:rFonts w:ascii="Cambria Math" w:hAnsi="Cambria Math"/>
              </w:rPr>
            </m:ctrlPr>
          </m:sSubSupPr>
          <m:e>
            <m:r>
              <w:rPr>
                <w:rFonts w:ascii="Cambria Math" w:hAnsi="Cambria Math"/>
              </w:rPr>
              <m:t>N</m:t>
            </m:r>
          </m:e>
          <m:sub>
            <m:r>
              <m:rPr>
                <m:sty m:val="p"/>
              </m:rPr>
              <w:rPr>
                <w:rFonts w:ascii="Cambria Math" w:hAnsi="Cambria Math"/>
              </w:rPr>
              <m:t>NR-DC,r16</m:t>
            </m:r>
          </m:sub>
          <m:sup>
            <m:r>
              <m:rPr>
                <m:sty m:val="p"/>
              </m:rPr>
              <w:rPr>
                <w:rFonts w:ascii="Cambria Math" w:hAnsi="Cambria Math"/>
              </w:rPr>
              <m:t>DL,cells</m:t>
            </m:r>
          </m:sup>
        </m:sSubSup>
      </m:oMath>
      <w:r>
        <w:rPr>
          <w:rFonts w:eastAsia="DengXian"/>
          <w:lang w:eastAsia="ja-JP"/>
        </w:rPr>
        <w:t xml:space="preserve">, if the UE does not report </w:t>
      </w:r>
      <w:r w:rsidRPr="00D429F6">
        <w:rPr>
          <w:rFonts w:eastAsia="DengXian"/>
          <w:i/>
          <w:iCs/>
          <w:lang w:eastAsia="ja-JP"/>
        </w:rPr>
        <w:t>pdcch-BlindDetectionCA</w:t>
      </w:r>
      <w:r w:rsidR="007E7683">
        <w:rPr>
          <w:rFonts w:eastAsia="DengXian"/>
          <w:i/>
          <w:iCs/>
          <w:lang w:val="en-US" w:eastAsia="ja-JP"/>
        </w:rPr>
        <w:t>1</w:t>
      </w:r>
      <w:r w:rsidR="007E7683" w:rsidRPr="009032F5">
        <w:rPr>
          <w:iCs/>
          <w:color w:val="000000" w:themeColor="text1"/>
          <w:lang w:eastAsia="ja-JP"/>
        </w:rPr>
        <w:t xml:space="preserve"> </w:t>
      </w:r>
      <w:r w:rsidR="007E7683" w:rsidRPr="000210AA">
        <w:rPr>
          <w:iCs/>
          <w:color w:val="000000" w:themeColor="text1"/>
          <w:lang w:eastAsia="ja-JP"/>
        </w:rPr>
        <w:t>in</w:t>
      </w:r>
      <w:r w:rsidR="007E7683">
        <w:rPr>
          <w:i/>
          <w:iCs/>
          <w:color w:val="000000" w:themeColor="text1"/>
          <w:lang w:eastAsia="ja-JP"/>
        </w:rPr>
        <w:t xml:space="preserve"> </w:t>
      </w:r>
      <w:r w:rsidR="007E7683" w:rsidRPr="000210AA">
        <w:rPr>
          <w:i/>
          <w:iCs/>
          <w:color w:val="000000" w:themeColor="text1"/>
          <w:lang w:eastAsia="ja-JP"/>
        </w:rPr>
        <w:t>pdcch-BlindDetectionMixedList</w:t>
      </w:r>
      <w:r w:rsidR="007E7683">
        <w:rPr>
          <w:i/>
          <w:iCs/>
          <w:color w:val="000000" w:themeColor="text1"/>
          <w:lang w:eastAsia="ja-JP"/>
        </w:rPr>
        <w:t>2</w:t>
      </w:r>
    </w:p>
    <w:p w14:paraId="49358B20" w14:textId="77777777" w:rsidR="00BC0B43" w:rsidRDefault="00BC0B43" w:rsidP="00BC0B43">
      <w:pPr>
        <w:rPr>
          <w:rFonts w:eastAsia="DengXian"/>
          <w:iCs/>
          <w:lang w:val="x-none" w:eastAsia="ja-JP"/>
        </w:rPr>
      </w:pPr>
      <w:r>
        <w:rPr>
          <w:rFonts w:eastAsia="DengXian"/>
          <w:lang w:val="x-none" w:eastAsia="ja-JP"/>
        </w:rPr>
        <w:t>and</w:t>
      </w:r>
    </w:p>
    <w:p w14:paraId="2627201F" w14:textId="045ECCAC" w:rsidR="00BC0B43" w:rsidRDefault="00BC0B43" w:rsidP="00BC0B43">
      <w:pPr>
        <w:pStyle w:val="B1"/>
        <w:rPr>
          <w:rFonts w:eastAsia="DengXian"/>
          <w:lang w:eastAsia="ja-JP"/>
        </w:rPr>
      </w:pPr>
      <w:r>
        <w:rPr>
          <w:rFonts w:eastAsia="DengXian"/>
          <w:lang w:eastAsia="ja-JP"/>
        </w:rPr>
        <w:t>-</w:t>
      </w:r>
      <w:r>
        <w:rPr>
          <w:rFonts w:eastAsia="DengXian"/>
          <w:lang w:eastAsia="ja-JP"/>
        </w:rPr>
        <w:tab/>
      </w:r>
      <w:r w:rsidRPr="00D429F6">
        <w:rPr>
          <w:i/>
          <w:iCs/>
          <w:lang w:eastAsia="ja-JP"/>
        </w:rPr>
        <w:t>pdcch-BlindDetection</w:t>
      </w:r>
      <w:r>
        <w:rPr>
          <w:i/>
          <w:iCs/>
          <w:lang w:val="en-US" w:eastAsia="ja-JP"/>
        </w:rPr>
        <w:t>4</w:t>
      </w:r>
      <w:r>
        <w:rPr>
          <w:rFonts w:eastAsia="DengXian"/>
          <w:lang w:eastAsia="ja-JP"/>
        </w:rPr>
        <w:t xml:space="preserve"> for the MCG + </w:t>
      </w:r>
      <w:r w:rsidRPr="00D429F6">
        <w:rPr>
          <w:i/>
          <w:iCs/>
          <w:lang w:eastAsia="ja-JP"/>
        </w:rPr>
        <w:t>pdcch-BlindDetection</w:t>
      </w:r>
      <w:r>
        <w:rPr>
          <w:i/>
          <w:iCs/>
          <w:lang w:val="en-US" w:eastAsia="ja-JP"/>
        </w:rPr>
        <w:t>4</w:t>
      </w:r>
      <w:r>
        <w:rPr>
          <w:rFonts w:eastAsia="DengXian"/>
          <w:lang w:eastAsia="ja-JP"/>
        </w:rPr>
        <w:t xml:space="preserve"> </w:t>
      </w:r>
      <w:r>
        <w:rPr>
          <w:rFonts w:eastAsia="DengXian"/>
          <w:lang w:eastAsia="ko-KR"/>
        </w:rPr>
        <w:t xml:space="preserve">for the SCG </w:t>
      </w:r>
      <w:r>
        <w:rPr>
          <w:rFonts w:eastAsia="DengXian"/>
          <w:lang w:eastAsia="ja-JP"/>
        </w:rPr>
        <w:t xml:space="preserve">&lt;= </w:t>
      </w:r>
      <w:r w:rsidRPr="00D429F6">
        <w:rPr>
          <w:rFonts w:eastAsia="DengXian"/>
          <w:i/>
          <w:iCs/>
          <w:lang w:eastAsia="ja-JP"/>
        </w:rPr>
        <w:t>pdcch-</w:t>
      </w:r>
      <w:r w:rsidR="007E7683" w:rsidRPr="00D429F6">
        <w:rPr>
          <w:rFonts w:eastAsia="DengXian"/>
          <w:i/>
          <w:iCs/>
          <w:lang w:eastAsia="ja-JP"/>
        </w:rPr>
        <w:t>BlindDetectionCA</w:t>
      </w:r>
      <w:r w:rsidR="007E7683">
        <w:rPr>
          <w:i/>
          <w:iCs/>
          <w:lang w:val="en-US" w:eastAsia="ja-JP"/>
        </w:rPr>
        <w:t>2</w:t>
      </w:r>
      <w:r>
        <w:rPr>
          <w:rFonts w:eastAsia="DengXian"/>
          <w:lang w:eastAsia="ja-JP"/>
        </w:rPr>
        <w:t xml:space="preserve">, if the UE reports </w:t>
      </w:r>
      <w:r w:rsidRPr="00D429F6">
        <w:rPr>
          <w:rFonts w:eastAsia="DengXian"/>
          <w:i/>
          <w:iCs/>
          <w:lang w:eastAsia="ja-JP"/>
        </w:rPr>
        <w:t>pdcch-BlindDetectionCA</w:t>
      </w:r>
      <w:r w:rsidR="007E7683">
        <w:rPr>
          <w:i/>
          <w:iCs/>
          <w:lang w:val="en-US" w:eastAsia="ja-JP"/>
        </w:rPr>
        <w:t xml:space="preserve">2 </w:t>
      </w:r>
      <w:r w:rsidR="007E7683" w:rsidRPr="000210AA">
        <w:rPr>
          <w:iCs/>
          <w:color w:val="000000" w:themeColor="text1"/>
          <w:lang w:eastAsia="ja-JP"/>
        </w:rPr>
        <w:t>in</w:t>
      </w:r>
      <w:r w:rsidR="007E7683">
        <w:rPr>
          <w:i/>
          <w:iCs/>
          <w:color w:val="000000" w:themeColor="text1"/>
          <w:lang w:eastAsia="ja-JP"/>
        </w:rPr>
        <w:t xml:space="preserve"> </w:t>
      </w:r>
      <w:r w:rsidR="007E7683" w:rsidRPr="000210AA">
        <w:rPr>
          <w:i/>
          <w:iCs/>
          <w:color w:val="000000" w:themeColor="text1"/>
          <w:lang w:eastAsia="ja-JP"/>
        </w:rPr>
        <w:t>pdcch-BlindDetectionMixedList</w:t>
      </w:r>
      <w:r w:rsidR="007E7683">
        <w:rPr>
          <w:i/>
          <w:iCs/>
          <w:color w:val="000000" w:themeColor="text1"/>
          <w:lang w:eastAsia="ja-JP"/>
        </w:rPr>
        <w:t>2</w:t>
      </w:r>
      <w:r>
        <w:rPr>
          <w:rFonts w:eastAsia="DengXian"/>
          <w:lang w:eastAsia="ja-JP"/>
        </w:rPr>
        <w:t>, or</w:t>
      </w:r>
    </w:p>
    <w:p w14:paraId="46080267" w14:textId="43DE9ECD" w:rsidR="00BC0B43" w:rsidRDefault="00BC0B43" w:rsidP="00BC0B43">
      <w:pPr>
        <w:pStyle w:val="B1"/>
        <w:rPr>
          <w:rFonts w:eastAsia="DengXian"/>
          <w:lang w:eastAsia="ja-JP"/>
        </w:rPr>
      </w:pPr>
      <w:r>
        <w:rPr>
          <w:rFonts w:eastAsia="DengXian"/>
          <w:lang w:eastAsia="ja-JP"/>
        </w:rPr>
        <w:t>-</w:t>
      </w:r>
      <w:r>
        <w:rPr>
          <w:rFonts w:eastAsia="DengXian"/>
          <w:lang w:eastAsia="ja-JP"/>
        </w:rPr>
        <w:tab/>
      </w:r>
      <w:r w:rsidRPr="00D429F6">
        <w:rPr>
          <w:i/>
          <w:iCs/>
          <w:lang w:eastAsia="ja-JP"/>
        </w:rPr>
        <w:t>pdcch-BlindDetection</w:t>
      </w:r>
      <w:r>
        <w:rPr>
          <w:i/>
          <w:iCs/>
          <w:lang w:val="en-US" w:eastAsia="ja-JP"/>
        </w:rPr>
        <w:t>4</w:t>
      </w:r>
      <w:r>
        <w:rPr>
          <w:rFonts w:eastAsia="DengXian"/>
          <w:lang w:eastAsia="ja-JP"/>
        </w:rPr>
        <w:t xml:space="preserve"> for the MCG + </w:t>
      </w:r>
      <w:r w:rsidRPr="00D429F6">
        <w:rPr>
          <w:i/>
          <w:iCs/>
          <w:lang w:eastAsia="ja-JP"/>
        </w:rPr>
        <w:t>pdcch-BlindDetection</w:t>
      </w:r>
      <w:r>
        <w:rPr>
          <w:i/>
          <w:iCs/>
          <w:lang w:val="en-US" w:eastAsia="ja-JP"/>
        </w:rPr>
        <w:t>4</w:t>
      </w:r>
      <w:r>
        <w:rPr>
          <w:rFonts w:eastAsia="DengXian"/>
          <w:lang w:eastAsia="ja-JP"/>
        </w:rPr>
        <w:t xml:space="preserve"> </w:t>
      </w:r>
      <w:r>
        <w:rPr>
          <w:rFonts w:eastAsia="DengXian"/>
          <w:lang w:eastAsia="ko-KR"/>
        </w:rPr>
        <w:t xml:space="preserve">for the SCG </w:t>
      </w:r>
      <w:r>
        <w:rPr>
          <w:rFonts w:eastAsia="DengXian"/>
          <w:lang w:eastAsia="ja-JP"/>
        </w:rPr>
        <w:t xml:space="preserve">&lt;= </w:t>
      </w:r>
      <m:oMath>
        <m:sSubSup>
          <m:sSubSupPr>
            <m:ctrlPr>
              <w:rPr>
                <w:rFonts w:ascii="Cambria Math" w:hAnsi="Cambria Math"/>
              </w:rPr>
            </m:ctrlPr>
          </m:sSubSupPr>
          <m:e>
            <m:r>
              <m:rPr>
                <m:sty m:val="p"/>
              </m:rPr>
              <w:rPr>
                <w:rFonts w:ascii="Cambria Math" w:hAnsi="Cambria Math"/>
              </w:rPr>
              <m:t>N</m:t>
            </m:r>
          </m:e>
          <m:sub>
            <m:r>
              <m:rPr>
                <m:sty m:val="p"/>
              </m:rPr>
              <w:rPr>
                <w:rFonts w:ascii="Cambria Math" w:hAnsi="Cambria Math"/>
              </w:rPr>
              <m:t>NR-DC,r17</m:t>
            </m:r>
          </m:sub>
          <m:sup>
            <m:r>
              <m:rPr>
                <m:sty m:val="p"/>
              </m:rPr>
              <w:rPr>
                <w:rFonts w:ascii="Cambria Math" w:hAnsi="Cambria Math"/>
              </w:rPr>
              <m:t>DL,cells</m:t>
            </m:r>
          </m:sup>
        </m:sSubSup>
      </m:oMath>
      <w:r>
        <w:rPr>
          <w:rFonts w:eastAsia="DengXian"/>
          <w:lang w:eastAsia="ja-JP"/>
        </w:rPr>
        <w:t xml:space="preserve">, if the UE does not report </w:t>
      </w:r>
      <w:r w:rsidRPr="00D429F6">
        <w:rPr>
          <w:rFonts w:eastAsia="DengXian"/>
          <w:i/>
          <w:iCs/>
          <w:lang w:eastAsia="ja-JP"/>
        </w:rPr>
        <w:t>pdcch-BlindDetectionCA</w:t>
      </w:r>
      <w:r w:rsidR="007E7683">
        <w:rPr>
          <w:i/>
          <w:iCs/>
          <w:lang w:val="en-US" w:eastAsia="ja-JP"/>
        </w:rPr>
        <w:t xml:space="preserve">2 </w:t>
      </w:r>
      <w:r w:rsidR="007E7683" w:rsidRPr="000210AA">
        <w:rPr>
          <w:iCs/>
          <w:color w:val="000000" w:themeColor="text1"/>
          <w:lang w:eastAsia="ja-JP"/>
        </w:rPr>
        <w:t>in</w:t>
      </w:r>
      <w:r w:rsidR="007E7683">
        <w:rPr>
          <w:i/>
          <w:iCs/>
          <w:color w:val="000000" w:themeColor="text1"/>
          <w:lang w:eastAsia="ja-JP"/>
        </w:rPr>
        <w:t xml:space="preserve"> </w:t>
      </w:r>
      <w:r w:rsidR="007E7683" w:rsidRPr="000210AA">
        <w:rPr>
          <w:i/>
          <w:iCs/>
          <w:color w:val="000000" w:themeColor="text1"/>
          <w:lang w:eastAsia="ja-JP"/>
        </w:rPr>
        <w:t>pdcch-BlindDetectionMixedList</w:t>
      </w:r>
      <w:r w:rsidR="007E7683">
        <w:rPr>
          <w:i/>
          <w:iCs/>
          <w:color w:val="000000" w:themeColor="text1"/>
          <w:lang w:eastAsia="ja-JP"/>
        </w:rPr>
        <w:t>2</w:t>
      </w:r>
    </w:p>
    <w:p w14:paraId="3C510BA6" w14:textId="2E8282E0" w:rsidR="00BC0B43" w:rsidRDefault="00BC0B43" w:rsidP="00BC0B43">
      <w:pPr>
        <w:rPr>
          <w:lang w:eastAsia="ko-KR"/>
        </w:rPr>
      </w:pPr>
      <w:r>
        <w:rPr>
          <w:lang w:eastAsia="ko-KR"/>
        </w:rPr>
        <w:t xml:space="preserve">When a UE is configured for NR-DC operation and is provided </w:t>
      </w:r>
      <w:r>
        <w:rPr>
          <w:i/>
        </w:rPr>
        <w:t>monitoringCapabilityConfig</w:t>
      </w:r>
      <w:r>
        <w:t xml:space="preserve"> = </w:t>
      </w:r>
      <w:r>
        <w:rPr>
          <w:i/>
        </w:rPr>
        <w:t>r16monitoringcapability</w:t>
      </w:r>
      <w:r>
        <w:t xml:space="preserve"> for </w:t>
      </w:r>
      <w:r>
        <w:rPr>
          <w:lang w:eastAsia="ko-KR"/>
        </w:rPr>
        <w:t xml:space="preserve">at least one downlink cell and </w:t>
      </w:r>
      <w:r>
        <w:rPr>
          <w:i/>
        </w:rPr>
        <w:t>monitoringCapabilityConfig</w:t>
      </w:r>
      <w:r>
        <w:t xml:space="preserve"> = </w:t>
      </w:r>
      <w:r>
        <w:rPr>
          <w:i/>
        </w:rPr>
        <w:t xml:space="preserve">r17monitoringcapability </w:t>
      </w:r>
      <w:r>
        <w:t xml:space="preserve">for </w:t>
      </w:r>
      <w:r>
        <w:rPr>
          <w:lang w:eastAsia="ko-KR"/>
        </w:rPr>
        <w:t xml:space="preserve">at least one downlink cell </w:t>
      </w:r>
      <w:r>
        <w:t>where the UE monitors PDCCH</w:t>
      </w:r>
      <w:r>
        <w:rPr>
          <w:color w:val="000000" w:themeColor="text1"/>
          <w:lang w:eastAsia="ko-KR"/>
        </w:rPr>
        <w:t xml:space="preserve">, </w:t>
      </w:r>
      <w:r>
        <w:rPr>
          <w:color w:val="000000" w:themeColor="text1"/>
        </w:rPr>
        <w:t xml:space="preserve">the UE may indicate, through </w:t>
      </w:r>
      <w:r>
        <w:rPr>
          <w:i/>
          <w:color w:val="000000" w:themeColor="text1"/>
        </w:rPr>
        <w:t>pdcch-</w:t>
      </w:r>
      <w:r>
        <w:rPr>
          <w:i/>
          <w:iCs/>
          <w:color w:val="000000" w:themeColor="text1"/>
          <w:lang w:eastAsia="ja-JP"/>
        </w:rPr>
        <w:t>BlindDetectionCG-</w:t>
      </w:r>
      <w:r w:rsidR="007E7683">
        <w:rPr>
          <w:i/>
          <w:iCs/>
          <w:color w:val="000000" w:themeColor="text1"/>
          <w:lang w:eastAsia="ja-JP"/>
        </w:rPr>
        <w:t>UE1</w:t>
      </w:r>
      <w:r w:rsidR="007E7683">
        <w:rPr>
          <w:color w:val="000000" w:themeColor="text1"/>
          <w:lang w:eastAsia="ja-JP"/>
        </w:rPr>
        <w:t xml:space="preserve"> in </w:t>
      </w:r>
      <w:r w:rsidR="007E7683" w:rsidRPr="00567D08">
        <w:rPr>
          <w:i/>
        </w:rPr>
        <w:t>pdcch-BlindDetectionMCG-UE-Mixed</w:t>
      </w:r>
      <w:r w:rsidR="007E7683">
        <w:rPr>
          <w:i/>
          <w:iCs/>
          <w:color w:val="000000" w:themeColor="text1"/>
          <w:lang w:eastAsia="ja-JP"/>
        </w:rPr>
        <w:t xml:space="preserve"> </w:t>
      </w:r>
      <w:r>
        <w:rPr>
          <w:color w:val="000000" w:themeColor="text1"/>
          <w:lang w:eastAsia="ja-JP"/>
        </w:rPr>
        <w:t xml:space="preserve">and </w:t>
      </w:r>
      <w:r>
        <w:rPr>
          <w:i/>
          <w:iCs/>
          <w:color w:val="000000" w:themeColor="text1"/>
          <w:lang w:eastAsia="ja-JP"/>
        </w:rPr>
        <w:t>pdcch-BlindDetectionCG-UE</w:t>
      </w:r>
      <w:r w:rsidR="007E7683">
        <w:rPr>
          <w:i/>
          <w:iCs/>
          <w:color w:val="000000" w:themeColor="text1"/>
          <w:lang w:eastAsia="ja-JP"/>
        </w:rPr>
        <w:t>1</w:t>
      </w:r>
      <w:r w:rsidR="007E7683" w:rsidRPr="008D32C1">
        <w:rPr>
          <w:color w:val="000000" w:themeColor="text1"/>
          <w:lang w:eastAsia="ja-JP"/>
        </w:rPr>
        <w:t xml:space="preserve"> </w:t>
      </w:r>
      <w:r w:rsidR="007E7683">
        <w:rPr>
          <w:color w:val="000000" w:themeColor="text1"/>
          <w:lang w:eastAsia="ja-JP"/>
        </w:rPr>
        <w:t xml:space="preserve">in </w:t>
      </w:r>
      <w:r w:rsidR="007E7683" w:rsidRPr="00567D08">
        <w:rPr>
          <w:i/>
        </w:rPr>
        <w:t>pdcch-BlindDetection</w:t>
      </w:r>
      <w:r w:rsidR="007E7683">
        <w:rPr>
          <w:i/>
        </w:rPr>
        <w:t>S</w:t>
      </w:r>
      <w:r w:rsidR="007E7683" w:rsidRPr="00567D08">
        <w:rPr>
          <w:i/>
        </w:rPr>
        <w:t>CG-UE-Mixed</w:t>
      </w:r>
      <w:r>
        <w:rPr>
          <w:color w:val="000000" w:themeColor="text1"/>
          <w:lang w:eastAsia="ja-JP"/>
        </w:rPr>
        <w:t xml:space="preserve">, respective maximum values for </w:t>
      </w:r>
      <w:r>
        <w:rPr>
          <w:i/>
          <w:iCs/>
          <w:color w:val="000000" w:themeColor="text1"/>
          <w:lang w:eastAsia="ja-JP"/>
        </w:rPr>
        <w:t>pdcch-BlindDetection2</w:t>
      </w:r>
      <w:r>
        <w:rPr>
          <w:color w:val="000000" w:themeColor="text1"/>
          <w:lang w:eastAsia="ja-JP"/>
        </w:rPr>
        <w:t xml:space="preserve"> for the MCG and </w:t>
      </w:r>
      <w:r>
        <w:rPr>
          <w:i/>
          <w:iCs/>
          <w:color w:val="000000" w:themeColor="text1"/>
          <w:lang w:eastAsia="ja-JP"/>
        </w:rPr>
        <w:t>pdcch-BlindDetection2</w:t>
      </w:r>
      <w:r>
        <w:rPr>
          <w:iCs/>
          <w:color w:val="000000" w:themeColor="text1"/>
          <w:lang w:eastAsia="ja-JP"/>
        </w:rPr>
        <w:t xml:space="preserve"> for the SCG, and </w:t>
      </w:r>
      <w:r>
        <w:rPr>
          <w:color w:val="000000" w:themeColor="text1"/>
        </w:rPr>
        <w:t xml:space="preserve">through </w:t>
      </w:r>
      <w:r>
        <w:rPr>
          <w:i/>
          <w:color w:val="000000" w:themeColor="text1"/>
        </w:rPr>
        <w:t>pdcch-</w:t>
      </w:r>
      <w:r>
        <w:rPr>
          <w:i/>
          <w:iCs/>
          <w:color w:val="000000" w:themeColor="text1"/>
          <w:lang w:eastAsia="ja-JP"/>
        </w:rPr>
        <w:t>BlindDetectionCG-</w:t>
      </w:r>
      <w:r w:rsidR="007E7683">
        <w:rPr>
          <w:i/>
          <w:iCs/>
          <w:color w:val="000000" w:themeColor="text1"/>
          <w:lang w:eastAsia="ja-JP"/>
        </w:rPr>
        <w:t>UE2</w:t>
      </w:r>
      <w:r w:rsidR="007E7683">
        <w:rPr>
          <w:color w:val="000000" w:themeColor="text1"/>
          <w:lang w:eastAsia="ja-JP"/>
        </w:rPr>
        <w:t xml:space="preserve"> in </w:t>
      </w:r>
      <w:r w:rsidR="007E7683" w:rsidRPr="00567D08">
        <w:rPr>
          <w:i/>
        </w:rPr>
        <w:t>pdcch-BlindDetectionMCG-UE-Mixed</w:t>
      </w:r>
      <w:r w:rsidR="007E7683">
        <w:rPr>
          <w:color w:val="000000" w:themeColor="text1"/>
          <w:lang w:eastAsia="ja-JP"/>
        </w:rPr>
        <w:t xml:space="preserve"> </w:t>
      </w:r>
      <w:r>
        <w:rPr>
          <w:color w:val="000000" w:themeColor="text1"/>
          <w:lang w:eastAsia="ja-JP"/>
        </w:rPr>
        <w:t xml:space="preserve">and </w:t>
      </w:r>
      <w:r>
        <w:rPr>
          <w:i/>
          <w:iCs/>
          <w:color w:val="000000" w:themeColor="text1"/>
          <w:lang w:eastAsia="ja-JP"/>
        </w:rPr>
        <w:t>pdcch-BlindDetectionCG-</w:t>
      </w:r>
      <w:r w:rsidR="007E7683">
        <w:rPr>
          <w:i/>
          <w:iCs/>
          <w:color w:val="000000" w:themeColor="text1"/>
          <w:lang w:eastAsia="ja-JP"/>
        </w:rPr>
        <w:t>UE2</w:t>
      </w:r>
      <w:r w:rsidR="007E7683">
        <w:rPr>
          <w:color w:val="000000" w:themeColor="text1"/>
          <w:lang w:eastAsia="ja-JP"/>
        </w:rPr>
        <w:t xml:space="preserve"> in </w:t>
      </w:r>
      <w:r w:rsidR="007E7683" w:rsidRPr="00567D08">
        <w:rPr>
          <w:i/>
        </w:rPr>
        <w:t>pdcch-BlindDetection</w:t>
      </w:r>
      <w:r w:rsidR="007E7683">
        <w:rPr>
          <w:i/>
        </w:rPr>
        <w:t>S</w:t>
      </w:r>
      <w:r w:rsidR="007E7683" w:rsidRPr="00567D08">
        <w:rPr>
          <w:i/>
        </w:rPr>
        <w:t>CG-UE-Mixed</w:t>
      </w:r>
      <w:r w:rsidR="007E7683" w:rsidRPr="007E7683">
        <w:rPr>
          <w:iCs/>
        </w:rPr>
        <w:t>,</w:t>
      </w:r>
      <w:r w:rsidR="007E7683" w:rsidRPr="007E7683">
        <w:rPr>
          <w:iCs/>
          <w:color w:val="000000" w:themeColor="text1"/>
          <w:lang w:eastAsia="ja-JP"/>
        </w:rPr>
        <w:t xml:space="preserve"> </w:t>
      </w:r>
      <w:r>
        <w:rPr>
          <w:color w:val="000000" w:themeColor="text1"/>
          <w:lang w:eastAsia="ja-JP"/>
        </w:rPr>
        <w:t xml:space="preserve">respective maximum values for </w:t>
      </w:r>
      <w:r>
        <w:rPr>
          <w:i/>
          <w:iCs/>
          <w:color w:val="000000" w:themeColor="text1"/>
          <w:lang w:eastAsia="ja-JP"/>
        </w:rPr>
        <w:t>pdcch-</w:t>
      </w:r>
      <w:r w:rsidR="007E7683">
        <w:rPr>
          <w:i/>
          <w:iCs/>
          <w:color w:val="000000" w:themeColor="text1"/>
          <w:lang w:eastAsia="ja-JP"/>
        </w:rPr>
        <w:t>BlindDetection4</w:t>
      </w:r>
      <w:r w:rsidR="007E7683">
        <w:rPr>
          <w:color w:val="000000" w:themeColor="text1"/>
          <w:lang w:eastAsia="ja-JP"/>
        </w:rPr>
        <w:t xml:space="preserve"> </w:t>
      </w:r>
      <w:r>
        <w:rPr>
          <w:color w:val="000000" w:themeColor="text1"/>
          <w:lang w:eastAsia="ja-JP"/>
        </w:rPr>
        <w:t xml:space="preserve">for the MCG and </w:t>
      </w:r>
      <w:r>
        <w:rPr>
          <w:i/>
          <w:iCs/>
          <w:color w:val="000000" w:themeColor="text1"/>
          <w:lang w:eastAsia="ja-JP"/>
        </w:rPr>
        <w:t>pdcch-</w:t>
      </w:r>
      <w:r w:rsidR="007E7683">
        <w:rPr>
          <w:i/>
          <w:iCs/>
          <w:color w:val="000000" w:themeColor="text1"/>
          <w:lang w:eastAsia="ja-JP"/>
        </w:rPr>
        <w:t>BlindDetection4</w:t>
      </w:r>
      <w:r w:rsidR="007E7683">
        <w:rPr>
          <w:iCs/>
          <w:color w:val="000000" w:themeColor="text1"/>
          <w:lang w:eastAsia="ja-JP"/>
        </w:rPr>
        <w:t xml:space="preserve"> </w:t>
      </w:r>
      <w:r>
        <w:rPr>
          <w:iCs/>
          <w:color w:val="000000" w:themeColor="text1"/>
          <w:lang w:eastAsia="ja-JP"/>
        </w:rPr>
        <w:t xml:space="preserve">for the SCG. </w:t>
      </w:r>
    </w:p>
    <w:p w14:paraId="0C38BE2B" w14:textId="5FE38E6F" w:rsidR="00BC0B43" w:rsidRDefault="00BC0B43" w:rsidP="00BC0B43">
      <w:pPr>
        <w:rPr>
          <w:iCs/>
          <w:color w:val="000000" w:themeColor="text1"/>
          <w:lang w:eastAsia="ja-JP"/>
        </w:rPr>
      </w:pPr>
      <w:r>
        <w:rPr>
          <w:color w:val="000000" w:themeColor="text1"/>
          <w:lang w:eastAsia="ja-JP"/>
        </w:rPr>
        <w:lastRenderedPageBreak/>
        <w:t xml:space="preserve">If the UE reports </w:t>
      </w:r>
      <w:r>
        <w:rPr>
          <w:i/>
          <w:iCs/>
          <w:color w:val="000000" w:themeColor="text1"/>
          <w:lang w:eastAsia="ja-JP"/>
        </w:rPr>
        <w:t>pdcch-</w:t>
      </w:r>
      <w:r w:rsidR="007E7683">
        <w:rPr>
          <w:i/>
          <w:iCs/>
          <w:color w:val="000000" w:themeColor="text1"/>
          <w:lang w:eastAsia="ja-JP"/>
        </w:rPr>
        <w:t xml:space="preserve">BlindDetectionCA1 </w:t>
      </w:r>
      <w:r w:rsidR="007E7683" w:rsidRPr="000210AA">
        <w:rPr>
          <w:iCs/>
          <w:color w:val="000000" w:themeColor="text1"/>
          <w:lang w:eastAsia="ja-JP"/>
        </w:rPr>
        <w:t>in</w:t>
      </w:r>
      <w:r w:rsidR="007E7683">
        <w:rPr>
          <w:i/>
          <w:iCs/>
          <w:color w:val="000000" w:themeColor="text1"/>
          <w:lang w:eastAsia="ja-JP"/>
        </w:rPr>
        <w:t xml:space="preserve"> </w:t>
      </w:r>
      <w:r w:rsidR="007E7683" w:rsidRPr="000210AA">
        <w:rPr>
          <w:i/>
          <w:iCs/>
          <w:color w:val="000000" w:themeColor="text1"/>
          <w:lang w:eastAsia="ja-JP"/>
        </w:rPr>
        <w:t>pdcch-BlindDetectionMixedList</w:t>
      </w:r>
      <w:r w:rsidR="007E7683">
        <w:rPr>
          <w:i/>
          <w:iCs/>
          <w:color w:val="000000" w:themeColor="text1"/>
          <w:lang w:eastAsia="ja-JP"/>
        </w:rPr>
        <w:t>2</w:t>
      </w:r>
      <w:r>
        <w:rPr>
          <w:iCs/>
          <w:color w:val="000000" w:themeColor="text1"/>
          <w:lang w:eastAsia="ja-JP"/>
        </w:rPr>
        <w:t>,</w:t>
      </w:r>
    </w:p>
    <w:p w14:paraId="77E42972" w14:textId="3F7B5B4B" w:rsidR="00BC0B43" w:rsidRDefault="00BC0B43" w:rsidP="00BC0B43">
      <w:pPr>
        <w:pStyle w:val="B1"/>
        <w:rPr>
          <w:color w:val="000000" w:themeColor="text1"/>
          <w:lang w:eastAsia="ja-JP"/>
        </w:rPr>
      </w:pPr>
      <w:r>
        <w:rPr>
          <w:color w:val="000000" w:themeColor="text1"/>
          <w:lang w:eastAsia="ja-JP"/>
        </w:rPr>
        <w:t>-</w:t>
      </w:r>
      <w:r>
        <w:rPr>
          <w:color w:val="000000" w:themeColor="text1"/>
          <w:lang w:eastAsia="ja-JP"/>
        </w:rPr>
        <w:tab/>
        <w:t xml:space="preserve">the value range of </w:t>
      </w:r>
      <w:r>
        <w:rPr>
          <w:rFonts w:eastAsia="DengXian"/>
          <w:i/>
          <w:color w:val="000000" w:themeColor="text1"/>
          <w:lang w:eastAsia="ja-JP"/>
        </w:rPr>
        <w:t>pdcch-BlindDetectionCG-</w:t>
      </w:r>
      <w:r w:rsidR="007E7683">
        <w:rPr>
          <w:rFonts w:eastAsia="DengXian"/>
          <w:i/>
          <w:color w:val="000000" w:themeColor="text1"/>
          <w:lang w:eastAsia="ja-JP"/>
        </w:rPr>
        <w:t>UE</w:t>
      </w:r>
      <w:r w:rsidR="007E7683">
        <w:rPr>
          <w:i/>
          <w:iCs/>
          <w:color w:val="000000" w:themeColor="text1"/>
          <w:lang w:val="en-US" w:eastAsia="ja-JP"/>
        </w:rPr>
        <w:t>1</w:t>
      </w:r>
      <w:r w:rsidR="007E7683">
        <w:rPr>
          <w:rFonts w:eastAsia="DengXian"/>
          <w:color w:val="000000" w:themeColor="text1"/>
          <w:lang w:eastAsia="ja-JP"/>
        </w:rPr>
        <w:t xml:space="preserve"> for the MCG </w:t>
      </w:r>
      <w:r>
        <w:rPr>
          <w:rFonts w:eastAsia="DengXian"/>
          <w:color w:val="000000" w:themeColor="text1"/>
          <w:lang w:eastAsia="ja-JP"/>
        </w:rPr>
        <w:t xml:space="preserve">or of </w:t>
      </w:r>
      <w:r>
        <w:rPr>
          <w:rFonts w:eastAsia="DengXian"/>
          <w:i/>
          <w:color w:val="000000" w:themeColor="text1"/>
          <w:lang w:eastAsia="ja-JP"/>
        </w:rPr>
        <w:t>pdcch-BlindDetectionCG-UE</w:t>
      </w:r>
      <w:r>
        <w:rPr>
          <w:i/>
          <w:iCs/>
          <w:color w:val="000000" w:themeColor="text1"/>
          <w:lang w:eastAsia="ja-JP"/>
        </w:rPr>
        <w:t>1</w:t>
      </w:r>
      <w:r>
        <w:rPr>
          <w:color w:val="000000" w:themeColor="text1"/>
          <w:lang w:eastAsia="ja-JP"/>
        </w:rPr>
        <w:t xml:space="preserve"> </w:t>
      </w:r>
      <w:r w:rsidR="00F529C9">
        <w:rPr>
          <w:color w:val="000000" w:themeColor="text1"/>
          <w:lang w:eastAsia="ja-JP"/>
        </w:rPr>
        <w:t xml:space="preserve">for the SCG </w:t>
      </w:r>
      <w:r>
        <w:rPr>
          <w:color w:val="000000" w:themeColor="text1"/>
          <w:lang w:eastAsia="ja-JP"/>
        </w:rPr>
        <w:t xml:space="preserve">is [0, 1, …, </w:t>
      </w:r>
      <w:r>
        <w:rPr>
          <w:i/>
          <w:iCs/>
          <w:color w:val="000000" w:themeColor="text1"/>
          <w:lang w:eastAsia="ja-JP"/>
        </w:rPr>
        <w:t>pdcch-</w:t>
      </w:r>
      <w:r w:rsidR="00F529C9">
        <w:rPr>
          <w:i/>
          <w:iCs/>
          <w:color w:val="000000" w:themeColor="text1"/>
          <w:lang w:eastAsia="ja-JP"/>
        </w:rPr>
        <w:t>BlindDetectionCA</w:t>
      </w:r>
      <w:r w:rsidR="00F529C9">
        <w:rPr>
          <w:i/>
          <w:iCs/>
          <w:color w:val="000000" w:themeColor="text1"/>
          <w:lang w:val="en-US" w:eastAsia="ja-JP"/>
        </w:rPr>
        <w:t>1</w:t>
      </w:r>
      <w:r>
        <w:rPr>
          <w:color w:val="000000" w:themeColor="text1"/>
          <w:lang w:eastAsia="ja-JP"/>
        </w:rPr>
        <w:t xml:space="preserve">], and </w:t>
      </w:r>
    </w:p>
    <w:p w14:paraId="0716F29A" w14:textId="1BA8EB14" w:rsidR="00BC0B43" w:rsidRDefault="00BC0B43" w:rsidP="00BC0B43">
      <w:pPr>
        <w:pStyle w:val="B1"/>
        <w:rPr>
          <w:iCs/>
          <w:color w:val="000000" w:themeColor="text1"/>
          <w:lang w:eastAsia="ja-JP"/>
        </w:rPr>
      </w:pPr>
      <w:r>
        <w:rPr>
          <w:iCs/>
          <w:color w:val="000000" w:themeColor="text1"/>
          <w:lang w:eastAsia="ja-JP"/>
        </w:rPr>
        <w:t>-</w:t>
      </w:r>
      <w:r>
        <w:rPr>
          <w:iCs/>
          <w:color w:val="000000" w:themeColor="text1"/>
          <w:lang w:eastAsia="ja-JP"/>
        </w:rPr>
        <w:tab/>
      </w:r>
      <w:r>
        <w:rPr>
          <w:i/>
          <w:iCs/>
          <w:color w:val="000000" w:themeColor="text1"/>
          <w:lang w:eastAsia="ja-JP"/>
        </w:rPr>
        <w:t>pdcch-BlindDetectionCG-</w:t>
      </w:r>
      <w:r w:rsidR="00F529C9">
        <w:rPr>
          <w:i/>
          <w:iCs/>
          <w:color w:val="000000" w:themeColor="text1"/>
          <w:lang w:eastAsia="ja-JP"/>
        </w:rPr>
        <w:t>UE</w:t>
      </w:r>
      <w:r w:rsidR="00F529C9">
        <w:rPr>
          <w:i/>
          <w:iCs/>
          <w:color w:val="000000" w:themeColor="text1"/>
          <w:lang w:val="en-US" w:eastAsia="ja-JP"/>
        </w:rPr>
        <w:t>1</w:t>
      </w:r>
      <w:r w:rsidR="00F529C9">
        <w:rPr>
          <w:color w:val="000000" w:themeColor="text1"/>
          <w:lang w:eastAsia="ja-JP"/>
        </w:rPr>
        <w:t xml:space="preserve"> </w:t>
      </w:r>
      <w:r w:rsidR="00F529C9" w:rsidRPr="00EC661E">
        <w:rPr>
          <w:iCs/>
          <w:color w:val="000000" w:themeColor="text1"/>
          <w:lang w:val="en-US" w:eastAsia="ja-JP"/>
        </w:rPr>
        <w:t>for the MCG</w:t>
      </w:r>
      <w:r w:rsidR="00F529C9">
        <w:rPr>
          <w:color w:val="000000" w:themeColor="text1"/>
          <w:lang w:eastAsia="ja-JP"/>
        </w:rPr>
        <w:t xml:space="preserve"> </w:t>
      </w:r>
      <w:r>
        <w:rPr>
          <w:color w:val="000000" w:themeColor="text1"/>
          <w:lang w:eastAsia="ja-JP"/>
        </w:rPr>
        <w:t xml:space="preserve">+ </w:t>
      </w:r>
      <w:r>
        <w:rPr>
          <w:i/>
          <w:iCs/>
          <w:color w:val="000000" w:themeColor="text1"/>
          <w:lang w:eastAsia="ja-JP"/>
        </w:rPr>
        <w:t>pdcch-BlindDetectionCG-</w:t>
      </w:r>
      <w:r w:rsidR="00F529C9">
        <w:rPr>
          <w:i/>
          <w:iCs/>
          <w:color w:val="000000" w:themeColor="text1"/>
          <w:lang w:eastAsia="ja-JP"/>
        </w:rPr>
        <w:t>UE</w:t>
      </w:r>
      <w:r w:rsidR="00F529C9">
        <w:rPr>
          <w:i/>
          <w:iCs/>
          <w:color w:val="000000" w:themeColor="text1"/>
          <w:lang w:val="en-US" w:eastAsia="ja-JP"/>
        </w:rPr>
        <w:t xml:space="preserve">1 </w:t>
      </w:r>
      <w:r w:rsidR="00F529C9" w:rsidRPr="00EC661E">
        <w:rPr>
          <w:iCs/>
          <w:color w:val="000000" w:themeColor="text1"/>
          <w:lang w:val="en-US" w:eastAsia="ja-JP"/>
        </w:rPr>
        <w:t xml:space="preserve">for the </w:t>
      </w:r>
      <w:r w:rsidR="00F529C9">
        <w:rPr>
          <w:iCs/>
          <w:color w:val="000000" w:themeColor="text1"/>
          <w:lang w:val="en-US" w:eastAsia="ja-JP"/>
        </w:rPr>
        <w:t>S</w:t>
      </w:r>
      <w:r w:rsidR="00F529C9" w:rsidRPr="00EC661E">
        <w:rPr>
          <w:iCs/>
          <w:color w:val="000000" w:themeColor="text1"/>
          <w:lang w:val="en-US" w:eastAsia="ja-JP"/>
        </w:rPr>
        <w:t>CG</w:t>
      </w:r>
      <w:r w:rsidR="00F529C9">
        <w:rPr>
          <w:iCs/>
          <w:color w:val="000000" w:themeColor="text1"/>
          <w:lang w:eastAsia="ja-JP"/>
        </w:rPr>
        <w:t xml:space="preserve"> </w:t>
      </w:r>
      <w:r>
        <w:rPr>
          <w:iCs/>
          <w:color w:val="000000" w:themeColor="text1"/>
          <w:lang w:eastAsia="ja-JP"/>
        </w:rPr>
        <w:t xml:space="preserve">&gt;= </w:t>
      </w:r>
      <w:r>
        <w:rPr>
          <w:i/>
          <w:iCs/>
          <w:color w:val="000000" w:themeColor="text1"/>
          <w:lang w:eastAsia="ja-JP"/>
        </w:rPr>
        <w:t>pdcch-</w:t>
      </w:r>
      <w:r w:rsidR="00F529C9">
        <w:rPr>
          <w:i/>
          <w:iCs/>
          <w:color w:val="000000" w:themeColor="text1"/>
          <w:lang w:eastAsia="ja-JP"/>
        </w:rPr>
        <w:t>BlindDetectionCA</w:t>
      </w:r>
      <w:r w:rsidR="00F529C9">
        <w:rPr>
          <w:i/>
          <w:iCs/>
          <w:color w:val="000000" w:themeColor="text1"/>
          <w:lang w:val="en-US" w:eastAsia="ja-JP"/>
        </w:rPr>
        <w:t>1</w:t>
      </w:r>
      <w:r>
        <w:rPr>
          <w:iCs/>
          <w:color w:val="000000" w:themeColor="text1"/>
          <w:lang w:eastAsia="ja-JP"/>
        </w:rPr>
        <w:t xml:space="preserve">. </w:t>
      </w:r>
    </w:p>
    <w:p w14:paraId="1665BEE9" w14:textId="77777777" w:rsidR="00BC0B43" w:rsidRDefault="00BC0B43" w:rsidP="00BC0B43">
      <w:pPr>
        <w:rPr>
          <w:iCs/>
          <w:color w:val="000000" w:themeColor="text1"/>
          <w:lang w:eastAsia="ja-JP"/>
        </w:rPr>
      </w:pPr>
      <w:r>
        <w:rPr>
          <w:iCs/>
          <w:color w:val="000000" w:themeColor="text1"/>
          <w:lang w:eastAsia="ja-JP"/>
        </w:rPr>
        <w:t>Otherwise,</w:t>
      </w:r>
      <w:r>
        <w:rPr>
          <w:color w:val="000000" w:themeColor="text1"/>
        </w:rPr>
        <w:t xml:space="preserve"> if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r16</m:t>
            </m:r>
          </m:sub>
          <m:sup>
            <m:r>
              <m:rPr>
                <m:sty m:val="p"/>
              </m:rPr>
              <w:rPr>
                <w:rFonts w:ascii="Cambria Math" w:hAnsi="Cambria Math"/>
                <w:color w:val="000000" w:themeColor="text1"/>
                <w:lang w:eastAsia="zh-CN"/>
              </w:rPr>
              <m:t>DL,cells</m:t>
            </m:r>
          </m:sup>
        </m:sSubSup>
      </m:oMath>
      <w:r>
        <w:rPr>
          <w:color w:val="000000" w:themeColor="text1"/>
        </w:rPr>
        <w:t xml:space="preserve"> is a maximum total number of downlink cells for which the UE is provided </w:t>
      </w:r>
      <w:r>
        <w:rPr>
          <w:i/>
        </w:rPr>
        <w:t>monitoringCapabilityConfig</w:t>
      </w:r>
      <w:r>
        <w:t xml:space="preserve"> = </w:t>
      </w:r>
      <w:r>
        <w:rPr>
          <w:i/>
        </w:rPr>
        <w:t>r16monitoringcapability</w:t>
      </w:r>
      <w:r>
        <w:t xml:space="preserve"> and</w:t>
      </w:r>
      <w:r>
        <w:rPr>
          <w:color w:val="000000" w:themeColor="text1"/>
        </w:rPr>
        <w:t xml:space="preserve"> the UE is configured on both the MCG and the SCG for NR-DC as indicated in </w:t>
      </w:r>
      <w:r>
        <w:rPr>
          <w:i/>
          <w:iCs/>
          <w:color w:val="000000" w:themeColor="text1"/>
        </w:rPr>
        <w:t>UE-NR-Capability</w:t>
      </w:r>
    </w:p>
    <w:p w14:paraId="5859B6A0" w14:textId="4F6780D9" w:rsidR="00BC0B43" w:rsidRDefault="00BC0B43" w:rsidP="00BC0B43">
      <w:pPr>
        <w:pStyle w:val="B1"/>
        <w:rPr>
          <w:color w:val="000000" w:themeColor="text1"/>
          <w:lang w:eastAsia="ja-JP"/>
        </w:rPr>
      </w:pPr>
      <w:r>
        <w:rPr>
          <w:color w:val="000000" w:themeColor="text1"/>
          <w:lang w:eastAsia="ja-JP"/>
        </w:rPr>
        <w:t>-</w:t>
      </w:r>
      <w:r>
        <w:rPr>
          <w:color w:val="000000" w:themeColor="text1"/>
          <w:lang w:eastAsia="ja-JP"/>
        </w:rPr>
        <w:tab/>
        <w:t xml:space="preserve">the value range of </w:t>
      </w:r>
      <w:r>
        <w:rPr>
          <w:rFonts w:eastAsia="DengXian"/>
          <w:i/>
          <w:color w:val="000000" w:themeColor="text1"/>
          <w:lang w:eastAsia="ja-JP"/>
        </w:rPr>
        <w:t>pdcch-BlindDetectionCG-</w:t>
      </w:r>
      <w:r w:rsidR="00F529C9">
        <w:rPr>
          <w:rFonts w:eastAsia="DengXian"/>
          <w:i/>
          <w:color w:val="000000" w:themeColor="text1"/>
          <w:lang w:eastAsia="ja-JP"/>
        </w:rPr>
        <w:t>UE</w:t>
      </w:r>
      <w:r w:rsidR="00F529C9">
        <w:rPr>
          <w:i/>
          <w:iCs/>
          <w:color w:val="000000" w:themeColor="text1"/>
          <w:lang w:val="en-US" w:eastAsia="ja-JP"/>
        </w:rPr>
        <w:t>1</w:t>
      </w:r>
      <w:r w:rsidR="00F529C9">
        <w:rPr>
          <w:rFonts w:eastAsia="DengXian"/>
          <w:color w:val="000000" w:themeColor="text1"/>
          <w:lang w:eastAsia="ja-JP"/>
        </w:rPr>
        <w:t xml:space="preserve"> for the MCG </w:t>
      </w:r>
      <w:r>
        <w:rPr>
          <w:rFonts w:eastAsia="DengXian"/>
          <w:color w:val="000000" w:themeColor="text1"/>
          <w:lang w:eastAsia="ja-JP"/>
        </w:rPr>
        <w:t xml:space="preserve">or of </w:t>
      </w:r>
      <w:r>
        <w:rPr>
          <w:rFonts w:eastAsia="DengXian"/>
          <w:i/>
          <w:color w:val="000000" w:themeColor="text1"/>
          <w:lang w:eastAsia="ja-JP"/>
        </w:rPr>
        <w:t>pdcch-BlindDetectionCG-</w:t>
      </w:r>
      <w:r w:rsidR="00F529C9">
        <w:rPr>
          <w:rFonts w:eastAsia="DengXian"/>
          <w:i/>
          <w:color w:val="000000" w:themeColor="text1"/>
          <w:lang w:eastAsia="ja-JP"/>
        </w:rPr>
        <w:t>UE</w:t>
      </w:r>
      <w:r w:rsidR="00F529C9">
        <w:rPr>
          <w:i/>
          <w:iCs/>
          <w:color w:val="000000" w:themeColor="text1"/>
          <w:lang w:val="en-US" w:eastAsia="ja-JP"/>
        </w:rPr>
        <w:t>1</w:t>
      </w:r>
      <w:r w:rsidR="00F529C9">
        <w:rPr>
          <w:color w:val="000000" w:themeColor="text1"/>
          <w:lang w:eastAsia="ja-JP"/>
        </w:rPr>
        <w:t xml:space="preserve"> </w:t>
      </w:r>
      <w:r w:rsidR="00F529C9">
        <w:rPr>
          <w:rFonts w:eastAsia="DengXian"/>
          <w:color w:val="000000" w:themeColor="text1"/>
          <w:lang w:eastAsia="ja-JP"/>
        </w:rPr>
        <w:t xml:space="preserve">for the </w:t>
      </w:r>
      <w:r w:rsidR="00F529C9">
        <w:rPr>
          <w:rFonts w:eastAsia="DengXian"/>
          <w:color w:val="000000" w:themeColor="text1"/>
          <w:lang w:val="en-GB" w:eastAsia="ja-JP"/>
        </w:rPr>
        <w:t>S</w:t>
      </w:r>
      <w:r w:rsidR="00F529C9">
        <w:rPr>
          <w:rFonts w:eastAsia="DengXian"/>
          <w:color w:val="000000" w:themeColor="text1"/>
          <w:lang w:eastAsia="ja-JP"/>
        </w:rPr>
        <w:t xml:space="preserve">CG </w:t>
      </w:r>
      <w:r>
        <w:rPr>
          <w:color w:val="000000" w:themeColor="text1"/>
          <w:lang w:eastAsia="ja-JP"/>
        </w:rPr>
        <w:t>is [0, 1],</w:t>
      </w:r>
    </w:p>
    <w:p w14:paraId="04C00AFE" w14:textId="60833E34" w:rsidR="00BC0B43" w:rsidRDefault="00BC0B43" w:rsidP="00BC0B43">
      <w:pPr>
        <w:pStyle w:val="B1"/>
        <w:rPr>
          <w:color w:val="000000" w:themeColor="text1"/>
          <w:lang w:eastAsia="zh-CN"/>
        </w:rPr>
      </w:pPr>
      <w:r>
        <w:rPr>
          <w:iCs/>
          <w:color w:val="000000" w:themeColor="text1"/>
          <w:lang w:eastAsia="ja-JP"/>
        </w:rPr>
        <w:t>-</w:t>
      </w:r>
      <w:r>
        <w:rPr>
          <w:iCs/>
          <w:color w:val="000000" w:themeColor="text1"/>
          <w:lang w:eastAsia="ja-JP"/>
        </w:rPr>
        <w:tab/>
      </w:r>
      <w:r>
        <w:rPr>
          <w:i/>
          <w:iCs/>
          <w:color w:val="000000" w:themeColor="text1"/>
          <w:lang w:eastAsia="ja-JP"/>
        </w:rPr>
        <w:t>pdcch-BlindDetectionCG-</w:t>
      </w:r>
      <w:r w:rsidR="00F529C9">
        <w:rPr>
          <w:i/>
          <w:iCs/>
          <w:color w:val="000000" w:themeColor="text1"/>
          <w:lang w:eastAsia="ja-JP"/>
        </w:rPr>
        <w:t>UE</w:t>
      </w:r>
      <w:r w:rsidR="00F529C9">
        <w:rPr>
          <w:i/>
          <w:iCs/>
          <w:color w:val="000000" w:themeColor="text1"/>
          <w:lang w:val="en-US" w:eastAsia="ja-JP"/>
        </w:rPr>
        <w:t>1</w:t>
      </w:r>
      <w:r w:rsidR="00F529C9">
        <w:rPr>
          <w:color w:val="000000" w:themeColor="text1"/>
          <w:lang w:eastAsia="ja-JP"/>
        </w:rPr>
        <w:t xml:space="preserve"> </w:t>
      </w:r>
      <w:r w:rsidR="00F529C9">
        <w:rPr>
          <w:rFonts w:eastAsia="DengXian"/>
          <w:color w:val="000000" w:themeColor="text1"/>
          <w:lang w:eastAsia="ja-JP"/>
        </w:rPr>
        <w:t xml:space="preserve">for the MCG </w:t>
      </w:r>
      <w:r>
        <w:rPr>
          <w:color w:val="000000" w:themeColor="text1"/>
          <w:lang w:eastAsia="ja-JP"/>
        </w:rPr>
        <w:t xml:space="preserve">+ </w:t>
      </w:r>
      <w:r>
        <w:rPr>
          <w:i/>
          <w:iCs/>
          <w:color w:val="000000" w:themeColor="text1"/>
          <w:lang w:eastAsia="ja-JP"/>
        </w:rPr>
        <w:t>pdcch-BlindDetectionCG-</w:t>
      </w:r>
      <w:r w:rsidR="00F529C9">
        <w:rPr>
          <w:i/>
          <w:iCs/>
          <w:color w:val="000000" w:themeColor="text1"/>
          <w:lang w:eastAsia="ja-JP"/>
        </w:rPr>
        <w:t>UE</w:t>
      </w:r>
      <w:r w:rsidR="00F529C9">
        <w:rPr>
          <w:i/>
          <w:iCs/>
          <w:color w:val="000000" w:themeColor="text1"/>
          <w:lang w:val="en-US" w:eastAsia="ja-JP"/>
        </w:rPr>
        <w:t>1</w:t>
      </w:r>
      <w:r w:rsidR="00F529C9">
        <w:rPr>
          <w:iCs/>
          <w:color w:val="000000" w:themeColor="text1"/>
          <w:lang w:eastAsia="ja-JP"/>
        </w:rPr>
        <w:t xml:space="preserve"> </w:t>
      </w:r>
      <w:r w:rsidR="00F529C9">
        <w:rPr>
          <w:rFonts w:eastAsia="DengXian"/>
          <w:color w:val="000000" w:themeColor="text1"/>
          <w:lang w:eastAsia="ja-JP"/>
        </w:rPr>
        <w:t xml:space="preserve">for the </w:t>
      </w:r>
      <w:r w:rsidR="00F529C9">
        <w:rPr>
          <w:rFonts w:eastAsia="DengXian"/>
          <w:color w:val="000000" w:themeColor="text1"/>
          <w:lang w:val="en-GB" w:eastAsia="ja-JP"/>
        </w:rPr>
        <w:t>S</w:t>
      </w:r>
      <w:r w:rsidR="00F529C9">
        <w:rPr>
          <w:rFonts w:eastAsia="DengXian"/>
          <w:color w:val="000000" w:themeColor="text1"/>
          <w:lang w:eastAsia="ja-JP"/>
        </w:rPr>
        <w:t xml:space="preserve">CG </w:t>
      </w:r>
      <w:r>
        <w:rPr>
          <w:iCs/>
          <w:color w:val="000000" w:themeColor="text1"/>
          <w:lang w:eastAsia="ja-JP"/>
        </w:rPr>
        <w:t xml:space="preserve">&gt;=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r16</m:t>
            </m:r>
          </m:sub>
          <m:sup>
            <m:r>
              <m:rPr>
                <m:sty m:val="p"/>
              </m:rPr>
              <w:rPr>
                <w:rFonts w:ascii="Cambria Math" w:hAnsi="Cambria Math"/>
                <w:color w:val="000000" w:themeColor="text1"/>
                <w:lang w:eastAsia="zh-CN"/>
              </w:rPr>
              <m:t>DL,cells</m:t>
            </m:r>
          </m:sup>
        </m:sSubSup>
      </m:oMath>
      <w:r>
        <w:rPr>
          <w:color w:val="000000" w:themeColor="text1"/>
          <w:lang w:eastAsia="zh-CN"/>
        </w:rPr>
        <w:t>.</w:t>
      </w:r>
    </w:p>
    <w:p w14:paraId="56727735" w14:textId="1E0D313F" w:rsidR="00BC0B43" w:rsidRDefault="00BC0B43" w:rsidP="00BC0B43">
      <w:pPr>
        <w:rPr>
          <w:iCs/>
          <w:color w:val="000000" w:themeColor="text1"/>
          <w:lang w:eastAsia="ja-JP"/>
        </w:rPr>
      </w:pPr>
      <w:r>
        <w:rPr>
          <w:color w:val="000000" w:themeColor="text1"/>
          <w:lang w:eastAsia="ja-JP"/>
        </w:rPr>
        <w:t xml:space="preserve">If the UE reports </w:t>
      </w:r>
      <w:r>
        <w:rPr>
          <w:i/>
          <w:iCs/>
          <w:color w:val="000000" w:themeColor="text1"/>
          <w:lang w:eastAsia="ja-JP"/>
        </w:rPr>
        <w:t>pdcch-</w:t>
      </w:r>
      <w:r w:rsidR="00F529C9">
        <w:rPr>
          <w:i/>
          <w:iCs/>
          <w:color w:val="000000" w:themeColor="text1"/>
          <w:lang w:eastAsia="ja-JP"/>
        </w:rPr>
        <w:t>BlindDetectionCA2</w:t>
      </w:r>
      <w:r w:rsidR="00F529C9">
        <w:rPr>
          <w:iCs/>
          <w:color w:val="000000" w:themeColor="text1"/>
          <w:lang w:eastAsia="ja-JP"/>
        </w:rPr>
        <w:t xml:space="preserve"> </w:t>
      </w:r>
      <w:r w:rsidR="00F529C9" w:rsidRPr="000210AA">
        <w:rPr>
          <w:iCs/>
          <w:color w:val="000000" w:themeColor="text1"/>
          <w:lang w:eastAsia="ja-JP"/>
        </w:rPr>
        <w:t>in</w:t>
      </w:r>
      <w:r w:rsidR="00F529C9">
        <w:rPr>
          <w:i/>
          <w:iCs/>
          <w:color w:val="000000" w:themeColor="text1"/>
          <w:lang w:eastAsia="ja-JP"/>
        </w:rPr>
        <w:t xml:space="preserve"> </w:t>
      </w:r>
      <w:r w:rsidR="00F529C9" w:rsidRPr="000210AA">
        <w:rPr>
          <w:i/>
          <w:iCs/>
          <w:color w:val="000000" w:themeColor="text1"/>
          <w:lang w:eastAsia="ja-JP"/>
        </w:rPr>
        <w:t>pdcch-BlindDetectionMixedList</w:t>
      </w:r>
      <w:r w:rsidR="00F529C9">
        <w:rPr>
          <w:i/>
          <w:iCs/>
          <w:color w:val="000000" w:themeColor="text1"/>
          <w:lang w:eastAsia="ja-JP"/>
        </w:rPr>
        <w:t>2</w:t>
      </w:r>
    </w:p>
    <w:p w14:paraId="00540A4B" w14:textId="1185E3BC" w:rsidR="00BC0B43" w:rsidRDefault="00BC0B43" w:rsidP="00BC0B43">
      <w:pPr>
        <w:pStyle w:val="B1"/>
        <w:rPr>
          <w:color w:val="000000" w:themeColor="text1"/>
          <w:lang w:eastAsia="ja-JP"/>
        </w:rPr>
      </w:pPr>
      <w:r>
        <w:rPr>
          <w:color w:val="000000" w:themeColor="text1"/>
          <w:lang w:eastAsia="ja-JP"/>
        </w:rPr>
        <w:t>-</w:t>
      </w:r>
      <w:r>
        <w:rPr>
          <w:color w:val="000000" w:themeColor="text1"/>
          <w:lang w:eastAsia="ja-JP"/>
        </w:rPr>
        <w:tab/>
        <w:t xml:space="preserve">the value range of </w:t>
      </w:r>
      <w:r>
        <w:rPr>
          <w:rFonts w:eastAsia="DengXian"/>
          <w:i/>
          <w:color w:val="000000" w:themeColor="text1"/>
          <w:lang w:eastAsia="ja-JP"/>
        </w:rPr>
        <w:t>pdcch-BlindDetectionCG-</w:t>
      </w:r>
      <w:r w:rsidR="00D7585E">
        <w:rPr>
          <w:rFonts w:eastAsia="DengXian"/>
          <w:i/>
          <w:color w:val="000000" w:themeColor="text1"/>
          <w:lang w:eastAsia="ja-JP"/>
        </w:rPr>
        <w:t>UE</w:t>
      </w:r>
      <w:r w:rsidR="00D7585E">
        <w:rPr>
          <w:i/>
          <w:iCs/>
          <w:color w:val="000000" w:themeColor="text1"/>
          <w:lang w:val="en-US" w:eastAsia="ja-JP"/>
        </w:rPr>
        <w:t>2</w:t>
      </w:r>
      <w:r w:rsidR="00D7585E">
        <w:rPr>
          <w:rFonts w:eastAsia="DengXian"/>
          <w:color w:val="000000" w:themeColor="text1"/>
          <w:lang w:eastAsia="ja-JP"/>
        </w:rPr>
        <w:t xml:space="preserve"> for the MCG </w:t>
      </w:r>
      <w:r>
        <w:rPr>
          <w:rFonts w:eastAsia="DengXian"/>
          <w:color w:val="000000" w:themeColor="text1"/>
          <w:lang w:eastAsia="ja-JP"/>
        </w:rPr>
        <w:t xml:space="preserve">or of </w:t>
      </w:r>
      <w:r>
        <w:rPr>
          <w:rFonts w:eastAsia="DengXian"/>
          <w:i/>
          <w:color w:val="000000" w:themeColor="text1"/>
          <w:lang w:eastAsia="ja-JP"/>
        </w:rPr>
        <w:t>pdcch-BlindDetectionCG-</w:t>
      </w:r>
      <w:r w:rsidR="00D7585E">
        <w:rPr>
          <w:rFonts w:eastAsia="DengXian"/>
          <w:i/>
          <w:color w:val="000000" w:themeColor="text1"/>
          <w:lang w:eastAsia="ja-JP"/>
        </w:rPr>
        <w:t>UE</w:t>
      </w:r>
      <w:r w:rsidR="00D7585E">
        <w:rPr>
          <w:i/>
          <w:iCs/>
          <w:color w:val="000000" w:themeColor="text1"/>
          <w:lang w:val="en-US" w:eastAsia="ja-JP"/>
        </w:rPr>
        <w:t>2</w:t>
      </w:r>
      <w:r w:rsidR="00D7585E">
        <w:rPr>
          <w:color w:val="000000" w:themeColor="text1"/>
          <w:lang w:eastAsia="ja-JP"/>
        </w:rPr>
        <w:t xml:space="preserve"> </w:t>
      </w:r>
      <w:r w:rsidR="00D7585E">
        <w:rPr>
          <w:rFonts w:eastAsia="DengXian"/>
          <w:color w:val="000000" w:themeColor="text1"/>
          <w:lang w:eastAsia="ja-JP"/>
        </w:rPr>
        <w:t xml:space="preserve">for the </w:t>
      </w:r>
      <w:r w:rsidR="00D7585E">
        <w:rPr>
          <w:rFonts w:eastAsia="DengXian"/>
          <w:color w:val="000000" w:themeColor="text1"/>
          <w:lang w:val="en-GB" w:eastAsia="ja-JP"/>
        </w:rPr>
        <w:t>S</w:t>
      </w:r>
      <w:r w:rsidR="00D7585E">
        <w:rPr>
          <w:rFonts w:eastAsia="DengXian"/>
          <w:color w:val="000000" w:themeColor="text1"/>
          <w:lang w:eastAsia="ja-JP"/>
        </w:rPr>
        <w:t xml:space="preserve">CG </w:t>
      </w:r>
      <w:r>
        <w:rPr>
          <w:color w:val="000000" w:themeColor="text1"/>
          <w:lang w:eastAsia="ja-JP"/>
        </w:rPr>
        <w:t xml:space="preserve">is [0, 1, …, </w:t>
      </w:r>
      <w:r>
        <w:rPr>
          <w:i/>
          <w:iCs/>
          <w:color w:val="000000" w:themeColor="text1"/>
          <w:lang w:eastAsia="ja-JP"/>
        </w:rPr>
        <w:t>pdcch-</w:t>
      </w:r>
      <w:r w:rsidR="00D7585E">
        <w:rPr>
          <w:i/>
          <w:iCs/>
          <w:color w:val="000000" w:themeColor="text1"/>
          <w:lang w:eastAsia="ja-JP"/>
        </w:rPr>
        <w:t>BlindDetectionCA</w:t>
      </w:r>
      <w:r w:rsidR="00D7585E">
        <w:rPr>
          <w:i/>
          <w:iCs/>
          <w:color w:val="000000" w:themeColor="text1"/>
          <w:lang w:val="en-US" w:eastAsia="ja-JP"/>
        </w:rPr>
        <w:t>2</w:t>
      </w:r>
      <w:r>
        <w:rPr>
          <w:color w:val="000000" w:themeColor="text1"/>
          <w:lang w:eastAsia="ja-JP"/>
        </w:rPr>
        <w:t xml:space="preserve">], and </w:t>
      </w:r>
    </w:p>
    <w:p w14:paraId="331B9126" w14:textId="28F350FB" w:rsidR="00BC0B43" w:rsidRDefault="00BC0B43" w:rsidP="00BC0B43">
      <w:pPr>
        <w:pStyle w:val="B1"/>
        <w:rPr>
          <w:iCs/>
          <w:color w:val="000000" w:themeColor="text1"/>
          <w:lang w:eastAsia="ja-JP"/>
        </w:rPr>
      </w:pPr>
      <w:r>
        <w:rPr>
          <w:iCs/>
          <w:color w:val="000000" w:themeColor="text1"/>
          <w:lang w:eastAsia="ja-JP"/>
        </w:rPr>
        <w:t>-</w:t>
      </w:r>
      <w:r>
        <w:rPr>
          <w:iCs/>
          <w:color w:val="000000" w:themeColor="text1"/>
          <w:lang w:eastAsia="ja-JP"/>
        </w:rPr>
        <w:tab/>
      </w:r>
      <w:r>
        <w:rPr>
          <w:i/>
          <w:iCs/>
          <w:color w:val="000000" w:themeColor="text1"/>
          <w:lang w:eastAsia="ja-JP"/>
        </w:rPr>
        <w:t>pdcch-BlindDetectionCG-</w:t>
      </w:r>
      <w:r w:rsidR="00D7585E">
        <w:rPr>
          <w:i/>
          <w:iCs/>
          <w:color w:val="000000" w:themeColor="text1"/>
          <w:lang w:eastAsia="ja-JP"/>
        </w:rPr>
        <w:t>UE</w:t>
      </w:r>
      <w:r w:rsidR="00D7585E">
        <w:rPr>
          <w:i/>
          <w:iCs/>
          <w:color w:val="000000" w:themeColor="text1"/>
          <w:lang w:val="en-US" w:eastAsia="ja-JP"/>
        </w:rPr>
        <w:t>2</w:t>
      </w:r>
      <w:r w:rsidR="00D7585E">
        <w:rPr>
          <w:color w:val="000000" w:themeColor="text1"/>
          <w:lang w:eastAsia="ja-JP"/>
        </w:rPr>
        <w:t xml:space="preserve"> for the MCG </w:t>
      </w:r>
      <w:r>
        <w:rPr>
          <w:color w:val="000000" w:themeColor="text1"/>
          <w:lang w:eastAsia="ja-JP"/>
        </w:rPr>
        <w:t xml:space="preserve">+ </w:t>
      </w:r>
      <w:r>
        <w:rPr>
          <w:i/>
          <w:iCs/>
          <w:color w:val="000000" w:themeColor="text1"/>
          <w:lang w:eastAsia="ja-JP"/>
        </w:rPr>
        <w:t>pdcch-BlindDetectionCG-</w:t>
      </w:r>
      <w:r w:rsidR="00D7585E">
        <w:rPr>
          <w:i/>
          <w:iCs/>
          <w:color w:val="000000" w:themeColor="text1"/>
          <w:lang w:eastAsia="ja-JP"/>
        </w:rPr>
        <w:t>UE</w:t>
      </w:r>
      <w:r w:rsidR="00D7585E">
        <w:rPr>
          <w:i/>
          <w:iCs/>
          <w:color w:val="000000" w:themeColor="text1"/>
          <w:lang w:val="en-US" w:eastAsia="ja-JP"/>
        </w:rPr>
        <w:t>2</w:t>
      </w:r>
      <w:r w:rsidR="00D7585E">
        <w:rPr>
          <w:iCs/>
          <w:color w:val="000000" w:themeColor="text1"/>
          <w:lang w:eastAsia="ja-JP"/>
        </w:rPr>
        <w:t xml:space="preserve"> </w:t>
      </w:r>
      <w:r w:rsidR="00D7585E">
        <w:rPr>
          <w:color w:val="000000" w:themeColor="text1"/>
          <w:lang w:eastAsia="ja-JP"/>
        </w:rPr>
        <w:t xml:space="preserve">for the </w:t>
      </w:r>
      <w:r w:rsidR="00D7585E">
        <w:rPr>
          <w:color w:val="000000" w:themeColor="text1"/>
          <w:lang w:val="en-GB" w:eastAsia="ja-JP"/>
        </w:rPr>
        <w:t>S</w:t>
      </w:r>
      <w:r w:rsidR="00D7585E">
        <w:rPr>
          <w:color w:val="000000" w:themeColor="text1"/>
          <w:lang w:eastAsia="ja-JP"/>
        </w:rPr>
        <w:t xml:space="preserve">CG </w:t>
      </w:r>
      <w:r>
        <w:rPr>
          <w:iCs/>
          <w:color w:val="000000" w:themeColor="text1"/>
          <w:lang w:eastAsia="ja-JP"/>
        </w:rPr>
        <w:t xml:space="preserve">&gt;= </w:t>
      </w:r>
      <w:r>
        <w:rPr>
          <w:i/>
          <w:iCs/>
          <w:color w:val="000000" w:themeColor="text1"/>
          <w:lang w:eastAsia="ja-JP"/>
        </w:rPr>
        <w:t>pdcch-</w:t>
      </w:r>
      <w:r w:rsidR="00D7585E">
        <w:rPr>
          <w:i/>
          <w:iCs/>
          <w:color w:val="000000" w:themeColor="text1"/>
          <w:lang w:eastAsia="ja-JP"/>
        </w:rPr>
        <w:t>BlindDetectionCA</w:t>
      </w:r>
      <w:r w:rsidR="00D7585E">
        <w:rPr>
          <w:i/>
          <w:iCs/>
          <w:color w:val="000000" w:themeColor="text1"/>
          <w:lang w:val="en-US" w:eastAsia="ja-JP"/>
        </w:rPr>
        <w:t>2</w:t>
      </w:r>
      <w:r>
        <w:rPr>
          <w:i/>
          <w:iCs/>
          <w:color w:val="000000" w:themeColor="text1"/>
          <w:lang w:val="en-US" w:eastAsia="ja-JP"/>
        </w:rPr>
        <w:t>.</w:t>
      </w:r>
      <w:r>
        <w:rPr>
          <w:iCs/>
          <w:color w:val="000000" w:themeColor="text1"/>
          <w:lang w:val="en-US" w:eastAsia="ja-JP"/>
        </w:rPr>
        <w:t xml:space="preserve"> </w:t>
      </w:r>
    </w:p>
    <w:p w14:paraId="439C3799" w14:textId="77777777" w:rsidR="00BC0B43" w:rsidRDefault="00BC0B43" w:rsidP="00BC0B43">
      <w:pPr>
        <w:rPr>
          <w:iCs/>
          <w:color w:val="000000" w:themeColor="text1"/>
          <w:lang w:eastAsia="ja-JP"/>
        </w:rPr>
      </w:pPr>
      <w:r>
        <w:rPr>
          <w:iCs/>
          <w:color w:val="000000" w:themeColor="text1"/>
          <w:lang w:eastAsia="ja-JP"/>
        </w:rPr>
        <w:t>Otherwise,</w:t>
      </w:r>
      <w:r>
        <w:rPr>
          <w:color w:val="000000" w:themeColor="text1"/>
        </w:rPr>
        <w:t xml:space="preserve"> if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r17</m:t>
            </m:r>
          </m:sub>
          <m:sup>
            <m:r>
              <m:rPr>
                <m:sty m:val="p"/>
              </m:rPr>
              <w:rPr>
                <w:rFonts w:ascii="Cambria Math" w:hAnsi="Cambria Math"/>
                <w:color w:val="000000" w:themeColor="text1"/>
                <w:lang w:eastAsia="zh-CN"/>
              </w:rPr>
              <m:t>DL,cells</m:t>
            </m:r>
          </m:sup>
        </m:sSubSup>
      </m:oMath>
      <w:r>
        <w:rPr>
          <w:color w:val="000000" w:themeColor="text1"/>
        </w:rPr>
        <w:t xml:space="preserve"> is a maximum total number of downlink cells for which the UE is provided </w:t>
      </w:r>
      <w:r>
        <w:rPr>
          <w:i/>
        </w:rPr>
        <w:t>monitoringCapabilityConfig</w:t>
      </w:r>
      <w:r>
        <w:t xml:space="preserve"> = </w:t>
      </w:r>
      <w:r>
        <w:rPr>
          <w:i/>
        </w:rPr>
        <w:t>r17monitoringcapability</w:t>
      </w:r>
      <w:r>
        <w:t xml:space="preserve"> and</w:t>
      </w:r>
      <w:r>
        <w:rPr>
          <w:color w:val="000000" w:themeColor="text1"/>
        </w:rPr>
        <w:t xml:space="preserve"> the UE is configured on both the MCG and the SCG for NR-DC as indicated in </w:t>
      </w:r>
      <w:r>
        <w:rPr>
          <w:i/>
          <w:iCs/>
          <w:color w:val="000000" w:themeColor="text1"/>
        </w:rPr>
        <w:t>UE-NR-Capability</w:t>
      </w:r>
    </w:p>
    <w:p w14:paraId="5B0DB3CF" w14:textId="28893497" w:rsidR="00BC0B43" w:rsidRDefault="00BC0B43" w:rsidP="00BC0B43">
      <w:pPr>
        <w:pStyle w:val="B1"/>
        <w:rPr>
          <w:color w:val="000000" w:themeColor="text1"/>
          <w:lang w:eastAsia="ja-JP"/>
        </w:rPr>
      </w:pPr>
      <w:r>
        <w:rPr>
          <w:color w:val="000000" w:themeColor="text1"/>
          <w:lang w:eastAsia="ja-JP"/>
        </w:rPr>
        <w:t>-</w:t>
      </w:r>
      <w:r>
        <w:rPr>
          <w:color w:val="000000" w:themeColor="text1"/>
          <w:lang w:eastAsia="ja-JP"/>
        </w:rPr>
        <w:tab/>
        <w:t xml:space="preserve">the value range of </w:t>
      </w:r>
      <w:r>
        <w:rPr>
          <w:rFonts w:eastAsia="DengXian"/>
          <w:i/>
          <w:color w:val="000000" w:themeColor="text1"/>
          <w:lang w:eastAsia="ja-JP"/>
        </w:rPr>
        <w:t>pdcch-BlindDetectionCG-</w:t>
      </w:r>
      <w:r w:rsidR="00D7585E">
        <w:rPr>
          <w:rFonts w:eastAsia="DengXian"/>
          <w:i/>
          <w:color w:val="000000" w:themeColor="text1"/>
          <w:lang w:eastAsia="ja-JP"/>
        </w:rPr>
        <w:t>UE</w:t>
      </w:r>
      <w:r w:rsidR="00D7585E">
        <w:rPr>
          <w:i/>
          <w:iCs/>
          <w:color w:val="000000" w:themeColor="text1"/>
          <w:lang w:val="en-US" w:eastAsia="ja-JP"/>
        </w:rPr>
        <w:t>2</w:t>
      </w:r>
      <w:r w:rsidR="00D7585E">
        <w:rPr>
          <w:rFonts w:eastAsia="DengXian"/>
          <w:color w:val="000000" w:themeColor="text1"/>
          <w:lang w:eastAsia="ja-JP"/>
        </w:rPr>
        <w:t xml:space="preserve"> for the MCG </w:t>
      </w:r>
      <w:r>
        <w:rPr>
          <w:rFonts w:eastAsia="DengXian"/>
          <w:color w:val="000000" w:themeColor="text1"/>
          <w:lang w:eastAsia="ja-JP"/>
        </w:rPr>
        <w:t xml:space="preserve">or of </w:t>
      </w:r>
      <w:r>
        <w:rPr>
          <w:rFonts w:eastAsia="DengXian"/>
          <w:i/>
          <w:color w:val="000000" w:themeColor="text1"/>
          <w:lang w:eastAsia="ja-JP"/>
        </w:rPr>
        <w:t>pdcch-BlindDetectionCG-</w:t>
      </w:r>
      <w:r w:rsidR="00D7585E">
        <w:rPr>
          <w:rFonts w:eastAsia="DengXian"/>
          <w:i/>
          <w:color w:val="000000" w:themeColor="text1"/>
          <w:lang w:eastAsia="ja-JP"/>
        </w:rPr>
        <w:t>UE</w:t>
      </w:r>
      <w:r w:rsidR="00D7585E">
        <w:rPr>
          <w:i/>
          <w:iCs/>
          <w:color w:val="000000" w:themeColor="text1"/>
          <w:lang w:val="en-US" w:eastAsia="ja-JP"/>
        </w:rPr>
        <w:t>2</w:t>
      </w:r>
      <w:r w:rsidR="00D7585E">
        <w:rPr>
          <w:color w:val="000000" w:themeColor="text1"/>
          <w:lang w:eastAsia="ja-JP"/>
        </w:rPr>
        <w:t xml:space="preserve"> </w:t>
      </w:r>
      <w:r w:rsidR="00D7585E">
        <w:rPr>
          <w:rFonts w:eastAsia="DengXian"/>
          <w:color w:val="000000" w:themeColor="text1"/>
          <w:lang w:eastAsia="ja-JP"/>
        </w:rPr>
        <w:t xml:space="preserve">for the </w:t>
      </w:r>
      <w:r w:rsidR="00D7585E">
        <w:rPr>
          <w:rFonts w:eastAsia="DengXian"/>
          <w:color w:val="000000" w:themeColor="text1"/>
          <w:lang w:val="en-GB" w:eastAsia="ja-JP"/>
        </w:rPr>
        <w:t>S</w:t>
      </w:r>
      <w:r w:rsidR="00D7585E">
        <w:rPr>
          <w:rFonts w:eastAsia="DengXian"/>
          <w:color w:val="000000" w:themeColor="text1"/>
          <w:lang w:eastAsia="ja-JP"/>
        </w:rPr>
        <w:t xml:space="preserve">CG </w:t>
      </w:r>
      <w:r>
        <w:rPr>
          <w:color w:val="000000" w:themeColor="text1"/>
          <w:lang w:eastAsia="ja-JP"/>
        </w:rPr>
        <w:t>is [0, 1</w:t>
      </w:r>
      <w:r>
        <w:rPr>
          <w:color w:val="000000" w:themeColor="text1"/>
          <w:lang w:val="en-US" w:eastAsia="ja-JP"/>
        </w:rPr>
        <w:t>, 2</w:t>
      </w:r>
      <w:r>
        <w:rPr>
          <w:color w:val="000000" w:themeColor="text1"/>
          <w:lang w:eastAsia="ja-JP"/>
        </w:rPr>
        <w:t>],</w:t>
      </w:r>
    </w:p>
    <w:p w14:paraId="37B7F420" w14:textId="1E2FDF54" w:rsidR="00BC0B43" w:rsidRPr="00943F1D" w:rsidRDefault="00BC0B43" w:rsidP="00BC0B43">
      <w:pPr>
        <w:pStyle w:val="B1"/>
        <w:rPr>
          <w:color w:val="000000" w:themeColor="text1"/>
          <w:lang w:eastAsia="zh-CN"/>
        </w:rPr>
      </w:pPr>
      <w:r>
        <w:rPr>
          <w:iCs/>
          <w:color w:val="000000" w:themeColor="text1"/>
          <w:lang w:eastAsia="ja-JP"/>
        </w:rPr>
        <w:t>-</w:t>
      </w:r>
      <w:r>
        <w:rPr>
          <w:iCs/>
          <w:color w:val="000000" w:themeColor="text1"/>
          <w:lang w:eastAsia="ja-JP"/>
        </w:rPr>
        <w:tab/>
      </w:r>
      <w:r>
        <w:rPr>
          <w:i/>
          <w:iCs/>
          <w:color w:val="000000" w:themeColor="text1"/>
          <w:lang w:eastAsia="ja-JP"/>
        </w:rPr>
        <w:t>pdcch-BlindDetectionCG-</w:t>
      </w:r>
      <w:r w:rsidR="00D7585E">
        <w:rPr>
          <w:i/>
          <w:iCs/>
          <w:color w:val="000000" w:themeColor="text1"/>
          <w:lang w:eastAsia="ja-JP"/>
        </w:rPr>
        <w:t>UE</w:t>
      </w:r>
      <w:r w:rsidR="00D7585E">
        <w:rPr>
          <w:i/>
          <w:iCs/>
          <w:color w:val="000000" w:themeColor="text1"/>
          <w:lang w:val="en-US" w:eastAsia="ja-JP"/>
        </w:rPr>
        <w:t>2</w:t>
      </w:r>
      <w:r w:rsidR="00D7585E">
        <w:rPr>
          <w:color w:val="000000" w:themeColor="text1"/>
          <w:lang w:eastAsia="ja-JP"/>
        </w:rPr>
        <w:t xml:space="preserve"> </w:t>
      </w:r>
      <w:r w:rsidR="00D7585E">
        <w:rPr>
          <w:rFonts w:eastAsia="DengXian"/>
          <w:color w:val="000000" w:themeColor="text1"/>
          <w:lang w:eastAsia="ja-JP"/>
        </w:rPr>
        <w:t xml:space="preserve">for the MCG </w:t>
      </w:r>
      <w:r>
        <w:rPr>
          <w:color w:val="000000" w:themeColor="text1"/>
          <w:lang w:eastAsia="ja-JP"/>
        </w:rPr>
        <w:t xml:space="preserve">+ </w:t>
      </w:r>
      <w:r>
        <w:rPr>
          <w:i/>
          <w:iCs/>
          <w:color w:val="000000" w:themeColor="text1"/>
          <w:lang w:eastAsia="ja-JP"/>
        </w:rPr>
        <w:t>pdcch-BlindDetectionCG-</w:t>
      </w:r>
      <w:r w:rsidR="00D7585E">
        <w:rPr>
          <w:i/>
          <w:iCs/>
          <w:color w:val="000000" w:themeColor="text1"/>
          <w:lang w:eastAsia="ja-JP"/>
        </w:rPr>
        <w:t>UE</w:t>
      </w:r>
      <w:r w:rsidR="00D7585E">
        <w:rPr>
          <w:i/>
          <w:iCs/>
          <w:color w:val="000000" w:themeColor="text1"/>
          <w:lang w:val="en-US" w:eastAsia="ja-JP"/>
        </w:rPr>
        <w:t>2</w:t>
      </w:r>
      <w:r w:rsidR="00D7585E">
        <w:rPr>
          <w:iCs/>
          <w:color w:val="000000" w:themeColor="text1"/>
          <w:lang w:eastAsia="ja-JP"/>
        </w:rPr>
        <w:t xml:space="preserve"> </w:t>
      </w:r>
      <w:r w:rsidR="00D7585E">
        <w:rPr>
          <w:rFonts w:eastAsia="DengXian"/>
          <w:color w:val="000000" w:themeColor="text1"/>
          <w:lang w:eastAsia="ja-JP"/>
        </w:rPr>
        <w:t xml:space="preserve">for the </w:t>
      </w:r>
      <w:r w:rsidR="00D7585E">
        <w:rPr>
          <w:rFonts w:eastAsia="DengXian"/>
          <w:color w:val="000000" w:themeColor="text1"/>
          <w:lang w:val="en-GB" w:eastAsia="ja-JP"/>
        </w:rPr>
        <w:t>S</w:t>
      </w:r>
      <w:r w:rsidR="00D7585E">
        <w:rPr>
          <w:rFonts w:eastAsia="DengXian"/>
          <w:color w:val="000000" w:themeColor="text1"/>
          <w:lang w:eastAsia="ja-JP"/>
        </w:rPr>
        <w:t xml:space="preserve">CG </w:t>
      </w:r>
      <w:r>
        <w:rPr>
          <w:iCs/>
          <w:color w:val="000000" w:themeColor="text1"/>
          <w:lang w:eastAsia="ja-JP"/>
        </w:rPr>
        <w:t xml:space="preserve">&gt;=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r17</m:t>
            </m:r>
          </m:sub>
          <m:sup>
            <m:r>
              <m:rPr>
                <m:sty m:val="p"/>
              </m:rPr>
              <w:rPr>
                <w:rFonts w:ascii="Cambria Math" w:hAnsi="Cambria Math"/>
                <w:color w:val="000000" w:themeColor="text1"/>
                <w:lang w:eastAsia="zh-CN"/>
              </w:rPr>
              <m:t>DL,cells</m:t>
            </m:r>
          </m:sup>
        </m:sSubSup>
      </m:oMath>
      <w:r>
        <w:rPr>
          <w:color w:val="000000" w:themeColor="text1"/>
          <w:lang w:eastAsia="zh-CN"/>
        </w:rPr>
        <w:t>.</w:t>
      </w:r>
    </w:p>
    <w:p w14:paraId="271D46FE" w14:textId="77777777" w:rsidR="00BC0B43" w:rsidRDefault="00BC0B43" w:rsidP="00BC0B43">
      <w:pPr>
        <w:rPr>
          <w:rFonts w:eastAsia="DengXian"/>
          <w:lang w:eastAsia="ko-KR"/>
        </w:rPr>
      </w:pPr>
      <w:r>
        <w:rPr>
          <w:rFonts w:eastAsia="DengXian"/>
          <w:lang w:eastAsia="ko-KR"/>
        </w:rPr>
        <w:t xml:space="preserve">When a UE is configured for NR-DC operation with a total of </w:t>
      </w:r>
      <m:oMath>
        <m:sSubSup>
          <m:sSubSupPr>
            <m:ctrlPr>
              <w:rPr>
                <w:rFonts w:ascii="Cambria Math" w:hAnsi="Cambria Math"/>
                <w:color w:val="FF0000"/>
              </w:rPr>
            </m:ctrlPr>
          </m:sSubSupPr>
          <m:e>
            <m:r>
              <w:rPr>
                <w:rFonts w:ascii="Cambria Math" w:hAnsi="Cambria Math"/>
              </w:rPr>
              <m:t>N</m:t>
            </m:r>
          </m:e>
          <m:sub>
            <m:r>
              <m:rPr>
                <m:sty m:val="p"/>
              </m:rPr>
              <w:rPr>
                <w:rFonts w:ascii="Cambria Math" w:hAnsi="Cambria Math"/>
              </w:rPr>
              <m:t>NR-DC</m:t>
            </m:r>
          </m:sub>
          <m:sup>
            <m:r>
              <m:rPr>
                <m:sty m:val="p"/>
              </m:rPr>
              <w:rPr>
                <w:rFonts w:ascii="Cambria Math" w:hAnsi="Cambria Math"/>
              </w:rPr>
              <m:t>DL,cells</m:t>
            </m:r>
          </m:sup>
        </m:sSubSup>
      </m:oMath>
      <w:r>
        <w:rPr>
          <w:rFonts w:eastAsia="DengXian"/>
        </w:rPr>
        <w:t xml:space="preserve"> downlink cells on both the MCG and the SCG and </w:t>
      </w:r>
      <w:r>
        <w:rPr>
          <w:lang w:eastAsia="ko-KR"/>
        </w:rPr>
        <w:t xml:space="preserve">the UE is provided </w:t>
      </w:r>
      <w:r>
        <w:rPr>
          <w:i/>
        </w:rPr>
        <w:t>monitoringCapabilityConfig</w:t>
      </w:r>
      <w:r>
        <w:t xml:space="preserve"> = </w:t>
      </w:r>
      <w:r>
        <w:rPr>
          <w:i/>
        </w:rPr>
        <w:t xml:space="preserve">r15monitoringcapability </w:t>
      </w:r>
      <w:r>
        <w:t>for</w:t>
      </w:r>
      <w:r>
        <w:rPr>
          <w:i/>
          <w:iCs/>
          <w:lang w:eastAsia="ja-JP"/>
        </w:rPr>
        <w:t> </w:t>
      </w:r>
      <m:oMath>
        <m:sSubSup>
          <m:sSubSupPr>
            <m:ctrlPr>
              <w:rPr>
                <w:rFonts w:ascii="Cambria Math" w:hAnsi="Cambria Math"/>
                <w:color w:val="000000" w:themeColor="text1"/>
              </w:rPr>
            </m:ctrlPr>
          </m:sSubSupPr>
          <m:e>
            <m:r>
              <w:rPr>
                <w:rFonts w:ascii="Cambria Math" w:hAnsi="Cambria Math"/>
                <w:color w:val="000000" w:themeColor="text1"/>
              </w:rPr>
              <m:t>N</m:t>
            </m:r>
          </m:e>
          <m:sub>
            <m:r>
              <m:rPr>
                <m:sty m:val="p"/>
              </m:rPr>
              <w:rPr>
                <w:rFonts w:ascii="Cambria Math" w:hAnsi="Cambria Math"/>
                <w:color w:val="000000" w:themeColor="text1"/>
              </w:rPr>
              <m:t>NR-DC,r15</m:t>
            </m:r>
          </m:sub>
          <m:sup>
            <m:r>
              <m:rPr>
                <m:sty m:val="p"/>
              </m:rPr>
              <w:rPr>
                <w:rFonts w:ascii="Cambria Math" w:hAnsi="Cambria Math"/>
                <w:color w:val="000000" w:themeColor="text1"/>
              </w:rPr>
              <m:t>DL,cells</m:t>
            </m:r>
          </m:sup>
        </m:sSubSup>
      </m:oMath>
      <w:r>
        <w:rPr>
          <w:color w:val="000000" w:themeColor="text1"/>
          <w:lang w:eastAsia="ko-KR"/>
        </w:rPr>
        <w:t xml:space="preserve"> </w:t>
      </w:r>
      <w:r>
        <w:rPr>
          <w:rFonts w:eastAsia="DengXian"/>
          <w:color w:val="000000" w:themeColor="text1"/>
        </w:rPr>
        <w:t xml:space="preserve">downlink cells, </w:t>
      </w:r>
      <w:r>
        <w:rPr>
          <w:i/>
        </w:rPr>
        <w:t>monitoringCapabilityConfig</w:t>
      </w:r>
      <w:r>
        <w:t xml:space="preserve"> = </w:t>
      </w:r>
      <w:r>
        <w:rPr>
          <w:i/>
        </w:rPr>
        <w:t xml:space="preserve">r16monitoringcapability </w:t>
      </w:r>
      <w:r>
        <w:t>for</w:t>
      </w:r>
      <w:r>
        <w:rPr>
          <w:i/>
          <w:iCs/>
          <w:lang w:eastAsia="ja-JP"/>
        </w:rPr>
        <w:t> </w:t>
      </w:r>
      <m:oMath>
        <m:sSubSup>
          <m:sSubSupPr>
            <m:ctrlPr>
              <w:rPr>
                <w:rFonts w:ascii="Cambria Math" w:hAnsi="Cambria Math"/>
                <w:color w:val="000000" w:themeColor="text1"/>
              </w:rPr>
            </m:ctrlPr>
          </m:sSubSupPr>
          <m:e>
            <m:r>
              <w:rPr>
                <w:rFonts w:ascii="Cambria Math" w:hAnsi="Cambria Math"/>
                <w:color w:val="000000" w:themeColor="text1"/>
              </w:rPr>
              <m:t>N</m:t>
            </m:r>
          </m:e>
          <m:sub>
            <m:r>
              <m:rPr>
                <m:sty m:val="p"/>
              </m:rPr>
              <w:rPr>
                <w:rFonts w:ascii="Cambria Math" w:hAnsi="Cambria Math"/>
                <w:color w:val="000000" w:themeColor="text1"/>
              </w:rPr>
              <m:t>NR-DC,r16</m:t>
            </m:r>
          </m:sub>
          <m:sup>
            <m:r>
              <m:rPr>
                <m:sty m:val="p"/>
              </m:rPr>
              <w:rPr>
                <w:rFonts w:ascii="Cambria Math" w:hAnsi="Cambria Math"/>
                <w:color w:val="000000" w:themeColor="text1"/>
              </w:rPr>
              <m:t>DL,cells</m:t>
            </m:r>
          </m:sup>
        </m:sSubSup>
      </m:oMath>
      <w:r>
        <w:rPr>
          <w:color w:val="000000" w:themeColor="text1"/>
          <w:lang w:eastAsia="ko-KR"/>
        </w:rPr>
        <w:t xml:space="preserve"> </w:t>
      </w:r>
      <w:r>
        <w:rPr>
          <w:rFonts w:eastAsia="DengXian"/>
          <w:color w:val="000000" w:themeColor="text1"/>
        </w:rPr>
        <w:t>downlink cells,</w:t>
      </w:r>
      <w:r>
        <w:rPr>
          <w:color w:val="000000" w:themeColor="text1"/>
          <w:lang w:eastAsia="ko-KR"/>
        </w:rPr>
        <w:t xml:space="preserve"> and </w:t>
      </w:r>
      <w:r>
        <w:rPr>
          <w:i/>
        </w:rPr>
        <w:t>monitoringCapabilityConfig</w:t>
      </w:r>
      <w:r>
        <w:t xml:space="preserve"> = </w:t>
      </w:r>
      <w:r>
        <w:rPr>
          <w:i/>
        </w:rPr>
        <w:t>r17monitoringcapability</w:t>
      </w:r>
      <w:r>
        <w:rPr>
          <w:i/>
          <w:color w:val="000000" w:themeColor="text1"/>
        </w:rPr>
        <w:t xml:space="preserve"> </w:t>
      </w:r>
      <w:r>
        <w:rPr>
          <w:color w:val="000000" w:themeColor="text1"/>
        </w:rPr>
        <w:t xml:space="preserve">for </w:t>
      </w:r>
      <m:oMath>
        <m:sSubSup>
          <m:sSubSupPr>
            <m:ctrlPr>
              <w:rPr>
                <w:rFonts w:ascii="Cambria Math" w:hAnsi="Cambria Math"/>
                <w:color w:val="000000" w:themeColor="text1"/>
              </w:rPr>
            </m:ctrlPr>
          </m:sSubSupPr>
          <m:e>
            <m:r>
              <w:rPr>
                <w:rFonts w:ascii="Cambria Math" w:hAnsi="Cambria Math"/>
                <w:color w:val="000000" w:themeColor="text1"/>
              </w:rPr>
              <m:t>N</m:t>
            </m:r>
          </m:e>
          <m:sub>
            <m:r>
              <m:rPr>
                <m:sty m:val="p"/>
              </m:rPr>
              <w:rPr>
                <w:rFonts w:ascii="Cambria Math" w:hAnsi="Cambria Math"/>
                <w:color w:val="000000" w:themeColor="text1"/>
              </w:rPr>
              <m:t>NR-DC,r17</m:t>
            </m:r>
          </m:sub>
          <m:sup>
            <m:r>
              <m:rPr>
                <m:sty m:val="p"/>
              </m:rPr>
              <w:rPr>
                <w:rFonts w:ascii="Cambria Math" w:hAnsi="Cambria Math"/>
                <w:color w:val="000000" w:themeColor="text1"/>
              </w:rPr>
              <m:t>DL,cells</m:t>
            </m:r>
          </m:sup>
        </m:sSubSup>
      </m:oMath>
      <w:r>
        <w:rPr>
          <w:color w:val="000000" w:themeColor="text1"/>
          <w:lang w:eastAsia="ko-KR"/>
        </w:rPr>
        <w:t xml:space="preserve"> </w:t>
      </w:r>
      <w:r>
        <w:rPr>
          <w:rFonts w:eastAsia="DengXian"/>
          <w:color w:val="000000" w:themeColor="text1"/>
        </w:rPr>
        <w:t>downlink cells where the UE monitors PDCCH</w:t>
      </w:r>
      <w:r>
        <w:rPr>
          <w:rFonts w:eastAsia="DengXian"/>
          <w:color w:val="000000" w:themeColor="text1"/>
          <w:lang w:eastAsia="ko-KR"/>
        </w:rPr>
        <w:t xml:space="preserve">, the UE expects to be provided </w:t>
      </w:r>
      <w:r>
        <w:rPr>
          <w:i/>
          <w:iCs/>
          <w:color w:val="000000" w:themeColor="text1"/>
          <w:lang w:eastAsia="ja-JP"/>
        </w:rPr>
        <w:t>pdcch-BlindDetection3</w:t>
      </w:r>
      <w:r w:rsidRPr="00A96EDB">
        <w:rPr>
          <w:color w:val="000000" w:themeColor="text1"/>
          <w:lang w:eastAsia="ja-JP"/>
        </w:rPr>
        <w:t xml:space="preserve">, </w:t>
      </w:r>
      <w:r>
        <w:rPr>
          <w:i/>
          <w:iCs/>
          <w:color w:val="000000" w:themeColor="text1"/>
          <w:lang w:eastAsia="ja-JP"/>
        </w:rPr>
        <w:t>pdcch-BlindDetection2</w:t>
      </w:r>
      <w:r w:rsidRPr="00A96EDB">
        <w:rPr>
          <w:color w:val="000000" w:themeColor="text1"/>
          <w:lang w:eastAsia="ja-JP"/>
        </w:rPr>
        <w:t xml:space="preserve">, </w:t>
      </w:r>
      <w:r>
        <w:rPr>
          <w:iCs/>
          <w:color w:val="000000" w:themeColor="text1"/>
          <w:lang w:eastAsia="ja-JP"/>
        </w:rPr>
        <w:t>and</w:t>
      </w:r>
      <w:r>
        <w:rPr>
          <w:i/>
          <w:iCs/>
          <w:color w:val="000000" w:themeColor="text1"/>
          <w:lang w:eastAsia="ja-JP"/>
        </w:rPr>
        <w:t xml:space="preserve"> pdcch-BlindDetection4</w:t>
      </w:r>
      <w:r>
        <w:rPr>
          <w:rFonts w:eastAsia="DengXian"/>
          <w:color w:val="000000" w:themeColor="text1"/>
          <w:lang w:eastAsia="ja-JP"/>
        </w:rPr>
        <w:t xml:space="preserve"> for the MCG, and </w:t>
      </w:r>
      <w:r>
        <w:rPr>
          <w:i/>
          <w:iCs/>
          <w:color w:val="000000" w:themeColor="text1"/>
          <w:lang w:eastAsia="ja-JP"/>
        </w:rPr>
        <w:t>pdcch-BlindDetection3</w:t>
      </w:r>
      <w:r w:rsidRPr="00A96EDB">
        <w:rPr>
          <w:color w:val="000000" w:themeColor="text1"/>
          <w:lang w:eastAsia="ja-JP"/>
        </w:rPr>
        <w:t xml:space="preserve">, </w:t>
      </w:r>
      <w:r>
        <w:rPr>
          <w:i/>
          <w:iCs/>
          <w:color w:val="000000" w:themeColor="text1"/>
          <w:lang w:eastAsia="ja-JP"/>
        </w:rPr>
        <w:t>pdcch-BlindDetection2</w:t>
      </w:r>
      <w:r w:rsidRPr="00A96EDB">
        <w:rPr>
          <w:color w:val="000000" w:themeColor="text1"/>
          <w:lang w:eastAsia="ja-JP"/>
        </w:rPr>
        <w:t xml:space="preserve">, </w:t>
      </w:r>
      <w:r>
        <w:rPr>
          <w:iCs/>
          <w:color w:val="000000" w:themeColor="text1"/>
          <w:lang w:eastAsia="ja-JP"/>
        </w:rPr>
        <w:t>and</w:t>
      </w:r>
      <w:r>
        <w:rPr>
          <w:i/>
          <w:iCs/>
          <w:color w:val="000000" w:themeColor="text1"/>
          <w:lang w:eastAsia="ja-JP"/>
        </w:rPr>
        <w:t xml:space="preserve"> pdcch-BlindDetection4</w:t>
      </w:r>
      <w:r>
        <w:rPr>
          <w:rFonts w:eastAsia="DengXian"/>
          <w:color w:val="000000" w:themeColor="text1"/>
          <w:lang w:eastAsia="ja-JP"/>
        </w:rPr>
        <w:t xml:space="preserve"> </w:t>
      </w:r>
      <w:r>
        <w:rPr>
          <w:rFonts w:eastAsia="DengXian"/>
          <w:color w:val="000000" w:themeColor="text1"/>
          <w:lang w:eastAsia="ko-KR"/>
        </w:rPr>
        <w:t xml:space="preserve">for the SCG with values that satisfy </w:t>
      </w:r>
    </w:p>
    <w:p w14:paraId="2939502C" w14:textId="3BF7891D" w:rsidR="00BC0B43" w:rsidRPr="00F56BF9" w:rsidRDefault="00BC0B43" w:rsidP="00BC0B43">
      <w:pPr>
        <w:pStyle w:val="B1"/>
        <w:rPr>
          <w:rFonts w:eastAsia="DengXian"/>
          <w:lang w:eastAsia="ja-JP"/>
        </w:rPr>
      </w:pPr>
      <w:r w:rsidRPr="00F56BF9">
        <w:rPr>
          <w:rFonts w:eastAsia="DengXian"/>
          <w:lang w:eastAsia="ja-JP"/>
        </w:rPr>
        <w:t>-</w:t>
      </w:r>
      <w:r w:rsidRPr="00F56BF9">
        <w:rPr>
          <w:rFonts w:eastAsia="DengXian"/>
          <w:lang w:eastAsia="ja-JP"/>
        </w:rPr>
        <w:tab/>
      </w:r>
      <w:r w:rsidRPr="00F56BF9">
        <w:rPr>
          <w:i/>
          <w:iCs/>
          <w:lang w:eastAsia="ja-JP"/>
        </w:rPr>
        <w:t>pdcch-BlindDetection</w:t>
      </w:r>
      <w:r w:rsidRPr="00F56BF9">
        <w:rPr>
          <w:i/>
          <w:iCs/>
          <w:lang w:val="en-US" w:eastAsia="ja-JP"/>
        </w:rPr>
        <w:t>3</w:t>
      </w:r>
      <w:r w:rsidRPr="00F56BF9">
        <w:rPr>
          <w:rFonts w:eastAsia="DengXian"/>
          <w:lang w:eastAsia="ja-JP"/>
        </w:rPr>
        <w:t xml:space="preserve"> for the MCG + </w:t>
      </w:r>
      <w:r w:rsidRPr="00F56BF9">
        <w:rPr>
          <w:i/>
          <w:iCs/>
          <w:lang w:eastAsia="ja-JP"/>
        </w:rPr>
        <w:t>pdcch-BlindDetection</w:t>
      </w:r>
      <w:r w:rsidRPr="00F56BF9">
        <w:rPr>
          <w:i/>
          <w:iCs/>
          <w:lang w:val="en-US" w:eastAsia="ja-JP"/>
        </w:rPr>
        <w:t>3</w:t>
      </w:r>
      <w:r w:rsidRPr="00F56BF9">
        <w:rPr>
          <w:rFonts w:eastAsia="DengXian"/>
          <w:lang w:eastAsia="ja-JP"/>
        </w:rPr>
        <w:t xml:space="preserve"> </w:t>
      </w:r>
      <w:r w:rsidRPr="00F56BF9">
        <w:rPr>
          <w:rFonts w:eastAsia="DengXian"/>
          <w:lang w:eastAsia="ko-KR"/>
        </w:rPr>
        <w:t xml:space="preserve">for the SCG </w:t>
      </w:r>
      <w:r w:rsidRPr="00F56BF9">
        <w:rPr>
          <w:rFonts w:eastAsia="DengXian"/>
          <w:lang w:eastAsia="ja-JP"/>
        </w:rPr>
        <w:t xml:space="preserve">&lt;= </w:t>
      </w:r>
      <w:r w:rsidRPr="00F56BF9">
        <w:rPr>
          <w:rFonts w:eastAsia="DengXian"/>
          <w:i/>
          <w:iCs/>
          <w:lang w:eastAsia="ja-JP"/>
        </w:rPr>
        <w:t>pdcch-BlindDetectionCA</w:t>
      </w:r>
      <w:r w:rsidRPr="00F56BF9">
        <w:rPr>
          <w:rFonts w:eastAsia="DengXian"/>
          <w:i/>
          <w:iCs/>
          <w:lang w:val="en-US" w:eastAsia="ja-JP"/>
        </w:rPr>
        <w:t>1</w:t>
      </w:r>
      <w:r w:rsidRPr="00F56BF9">
        <w:rPr>
          <w:rFonts w:eastAsia="DengXian"/>
          <w:lang w:eastAsia="ja-JP"/>
        </w:rPr>
        <w:t xml:space="preserve">, if the UE reports </w:t>
      </w:r>
      <w:r w:rsidRPr="00F56BF9">
        <w:rPr>
          <w:rFonts w:eastAsia="DengXian"/>
          <w:i/>
          <w:iCs/>
          <w:lang w:eastAsia="ja-JP"/>
        </w:rPr>
        <w:t>pdcch-BlindDetectionCA</w:t>
      </w:r>
      <w:r w:rsidRPr="00F56BF9">
        <w:rPr>
          <w:rFonts w:eastAsia="DengXian"/>
          <w:i/>
          <w:iCs/>
          <w:lang w:val="en-US" w:eastAsia="ja-JP"/>
        </w:rPr>
        <w:t>1</w:t>
      </w:r>
      <w:r w:rsidR="000C71A0">
        <w:rPr>
          <w:rFonts w:eastAsia="DengXian"/>
          <w:i/>
          <w:iCs/>
          <w:lang w:val="en-US" w:eastAsia="ja-JP"/>
        </w:rPr>
        <w:t xml:space="preserve"> </w:t>
      </w:r>
      <w:r w:rsidR="000C71A0">
        <w:rPr>
          <w:rFonts w:eastAsia="DengXian"/>
          <w:lang w:eastAsia="ko-KR"/>
        </w:rPr>
        <w:t>in</w:t>
      </w:r>
      <w:r w:rsidR="000C71A0" w:rsidRPr="00044175">
        <w:rPr>
          <w:rFonts w:eastAsia="DengXian"/>
          <w:lang w:eastAsia="ko-KR"/>
        </w:rPr>
        <w:t xml:space="preserve"> </w:t>
      </w:r>
      <w:r w:rsidR="000C71A0" w:rsidRPr="00044175">
        <w:rPr>
          <w:i/>
        </w:rPr>
        <w:t>pdcch-BlindDetectionMixedList</w:t>
      </w:r>
      <w:r w:rsidR="000C71A0">
        <w:rPr>
          <w:i/>
        </w:rPr>
        <w:t>3</w:t>
      </w:r>
      <w:r w:rsidRPr="00F56BF9">
        <w:rPr>
          <w:rFonts w:eastAsia="DengXian"/>
          <w:lang w:eastAsia="ja-JP"/>
        </w:rPr>
        <w:t>, or</w:t>
      </w:r>
    </w:p>
    <w:p w14:paraId="16C56FEB" w14:textId="0667D50A" w:rsidR="00BC0B43" w:rsidRDefault="00BC0B43" w:rsidP="00BC0B43">
      <w:pPr>
        <w:pStyle w:val="B1"/>
        <w:rPr>
          <w:rFonts w:eastAsia="DengXian"/>
          <w:lang w:eastAsia="ja-JP"/>
        </w:rPr>
      </w:pPr>
      <w:r>
        <w:rPr>
          <w:rFonts w:eastAsia="DengXian"/>
          <w:lang w:eastAsia="ja-JP"/>
        </w:rPr>
        <w:t>-</w:t>
      </w:r>
      <w:r>
        <w:rPr>
          <w:rFonts w:eastAsia="DengXian"/>
          <w:lang w:eastAsia="ja-JP"/>
        </w:rPr>
        <w:tab/>
      </w:r>
      <w:r w:rsidRPr="00D429F6">
        <w:rPr>
          <w:i/>
          <w:iCs/>
          <w:lang w:eastAsia="ja-JP"/>
        </w:rPr>
        <w:t>pdcch-BlindDetection</w:t>
      </w:r>
      <w:r w:rsidRPr="00130949">
        <w:rPr>
          <w:i/>
          <w:iCs/>
          <w:lang w:val="en-US" w:eastAsia="ja-JP"/>
        </w:rPr>
        <w:t>3</w:t>
      </w:r>
      <w:r>
        <w:rPr>
          <w:rFonts w:eastAsia="DengXian"/>
          <w:lang w:eastAsia="ja-JP"/>
        </w:rPr>
        <w:t xml:space="preserve"> for the MCG + </w:t>
      </w:r>
      <w:r w:rsidRPr="00D429F6">
        <w:rPr>
          <w:i/>
          <w:iCs/>
          <w:lang w:eastAsia="ja-JP"/>
        </w:rPr>
        <w:t>pdcch-BlindDetection</w:t>
      </w:r>
      <w:r w:rsidRPr="00130949">
        <w:rPr>
          <w:i/>
          <w:iCs/>
          <w:lang w:val="en-US" w:eastAsia="ja-JP"/>
        </w:rPr>
        <w:t>3</w:t>
      </w:r>
      <w:r>
        <w:rPr>
          <w:rFonts w:eastAsia="DengXian"/>
          <w:lang w:eastAsia="ja-JP"/>
        </w:rPr>
        <w:t xml:space="preserve"> </w:t>
      </w:r>
      <w:r>
        <w:rPr>
          <w:rFonts w:eastAsia="DengXian"/>
          <w:lang w:eastAsia="ko-KR"/>
        </w:rPr>
        <w:t xml:space="preserve">for the SCG </w:t>
      </w:r>
      <w:r>
        <w:rPr>
          <w:rFonts w:eastAsia="DengXian"/>
          <w:lang w:eastAsia="ja-JP"/>
        </w:rPr>
        <w:t xml:space="preserve">&lt;= </w:t>
      </w:r>
      <m:oMath>
        <m:sSubSup>
          <m:sSubSupPr>
            <m:ctrlPr>
              <w:rPr>
                <w:rFonts w:ascii="Cambria Math" w:hAnsi="Cambria Math"/>
              </w:rPr>
            </m:ctrlPr>
          </m:sSubSupPr>
          <m:e>
            <m:r>
              <w:rPr>
                <w:rFonts w:ascii="Cambria Math" w:hAnsi="Cambria Math"/>
              </w:rPr>
              <m:t>N</m:t>
            </m:r>
          </m:e>
          <m:sub>
            <m:r>
              <m:rPr>
                <m:sty m:val="p"/>
              </m:rPr>
              <w:rPr>
                <w:rFonts w:ascii="Cambria Math" w:hAnsi="Cambria Math"/>
              </w:rPr>
              <m:t>NR-DC,r15</m:t>
            </m:r>
          </m:sub>
          <m:sup>
            <m:r>
              <m:rPr>
                <m:sty m:val="p"/>
              </m:rPr>
              <w:rPr>
                <w:rFonts w:ascii="Cambria Math" w:hAnsi="Cambria Math"/>
              </w:rPr>
              <m:t>DL,cells</m:t>
            </m:r>
          </m:sup>
        </m:sSubSup>
      </m:oMath>
      <w:r>
        <w:rPr>
          <w:rFonts w:eastAsia="DengXian"/>
          <w:lang w:eastAsia="ja-JP"/>
        </w:rPr>
        <w:t xml:space="preserve">, if the UE does not report </w:t>
      </w:r>
      <w:r w:rsidRPr="00D429F6">
        <w:rPr>
          <w:rFonts w:eastAsia="DengXian"/>
          <w:i/>
          <w:iCs/>
          <w:lang w:eastAsia="ja-JP"/>
        </w:rPr>
        <w:t>pdcch-BlindDetectionCA</w:t>
      </w:r>
      <w:r w:rsidRPr="00130949">
        <w:rPr>
          <w:rFonts w:eastAsia="DengXian"/>
          <w:i/>
          <w:iCs/>
          <w:lang w:val="en-US" w:eastAsia="ja-JP"/>
        </w:rPr>
        <w:t>1</w:t>
      </w:r>
      <w:r w:rsidR="000C71A0">
        <w:rPr>
          <w:rFonts w:eastAsia="DengXian"/>
          <w:i/>
          <w:iCs/>
          <w:lang w:val="en-US" w:eastAsia="ja-JP"/>
        </w:rPr>
        <w:t xml:space="preserve"> </w:t>
      </w:r>
      <w:r w:rsidR="000C71A0">
        <w:rPr>
          <w:rFonts w:eastAsia="DengXian"/>
          <w:lang w:eastAsia="ko-KR"/>
        </w:rPr>
        <w:t>in</w:t>
      </w:r>
      <w:r w:rsidR="000C71A0" w:rsidRPr="00044175">
        <w:rPr>
          <w:rFonts w:eastAsia="DengXian"/>
          <w:lang w:eastAsia="ko-KR"/>
        </w:rPr>
        <w:t xml:space="preserve"> </w:t>
      </w:r>
      <w:r w:rsidR="000C71A0" w:rsidRPr="00044175">
        <w:rPr>
          <w:i/>
        </w:rPr>
        <w:t>pdcch-BlindDetectionMixedList</w:t>
      </w:r>
      <w:r w:rsidR="000C71A0">
        <w:rPr>
          <w:i/>
        </w:rPr>
        <w:t>3</w:t>
      </w:r>
    </w:p>
    <w:p w14:paraId="2F634C3C" w14:textId="77777777" w:rsidR="00BC0B43" w:rsidRDefault="00BC0B43" w:rsidP="00BC0B43">
      <w:pPr>
        <w:rPr>
          <w:rFonts w:eastAsia="DengXian"/>
          <w:lang w:val="x-none" w:eastAsia="ja-JP"/>
        </w:rPr>
      </w:pPr>
      <w:r>
        <w:rPr>
          <w:rFonts w:eastAsia="DengXian"/>
          <w:lang w:val="en-US" w:eastAsia="ja-JP"/>
        </w:rPr>
        <w:t>a</w:t>
      </w:r>
      <w:r>
        <w:rPr>
          <w:rFonts w:eastAsia="DengXian"/>
          <w:lang w:val="x-none" w:eastAsia="ja-JP"/>
        </w:rPr>
        <w:t>nd</w:t>
      </w:r>
    </w:p>
    <w:p w14:paraId="0F7066AD" w14:textId="17FE3155" w:rsidR="00BC0B43" w:rsidRPr="00F56BF9" w:rsidRDefault="00BC0B43" w:rsidP="00BC0B43">
      <w:pPr>
        <w:pStyle w:val="B1"/>
        <w:rPr>
          <w:rFonts w:eastAsia="DengXian"/>
          <w:lang w:eastAsia="ja-JP"/>
        </w:rPr>
      </w:pPr>
      <w:r w:rsidRPr="00F56BF9">
        <w:rPr>
          <w:rFonts w:eastAsia="DengXian"/>
          <w:lang w:eastAsia="ja-JP"/>
        </w:rPr>
        <w:t>-</w:t>
      </w:r>
      <w:r w:rsidRPr="00F56BF9">
        <w:rPr>
          <w:rFonts w:eastAsia="DengXian"/>
          <w:lang w:eastAsia="ja-JP"/>
        </w:rPr>
        <w:tab/>
      </w:r>
      <w:r w:rsidRPr="00F56BF9">
        <w:rPr>
          <w:i/>
          <w:iCs/>
          <w:lang w:eastAsia="ja-JP"/>
        </w:rPr>
        <w:t>pdcch-BlindDetection</w:t>
      </w:r>
      <w:r>
        <w:rPr>
          <w:i/>
          <w:iCs/>
          <w:lang w:val="en-US" w:eastAsia="ja-JP"/>
        </w:rPr>
        <w:t>2</w:t>
      </w:r>
      <w:r w:rsidRPr="00F56BF9">
        <w:rPr>
          <w:rFonts w:eastAsia="DengXian"/>
          <w:lang w:eastAsia="ja-JP"/>
        </w:rPr>
        <w:t xml:space="preserve"> for the MCG + </w:t>
      </w:r>
      <w:r w:rsidRPr="00F56BF9">
        <w:rPr>
          <w:i/>
          <w:iCs/>
          <w:lang w:eastAsia="ja-JP"/>
        </w:rPr>
        <w:t>pdcch-BlindDetection</w:t>
      </w:r>
      <w:r>
        <w:rPr>
          <w:i/>
          <w:iCs/>
          <w:lang w:val="en-US" w:eastAsia="ja-JP"/>
        </w:rPr>
        <w:t>2</w:t>
      </w:r>
      <w:r w:rsidRPr="00F56BF9">
        <w:rPr>
          <w:rFonts w:eastAsia="DengXian"/>
          <w:lang w:eastAsia="ja-JP"/>
        </w:rPr>
        <w:t xml:space="preserve"> </w:t>
      </w:r>
      <w:r w:rsidRPr="00F56BF9">
        <w:rPr>
          <w:rFonts w:eastAsia="DengXian"/>
          <w:lang w:eastAsia="ko-KR"/>
        </w:rPr>
        <w:t xml:space="preserve">for the SCG </w:t>
      </w:r>
      <w:r w:rsidRPr="00F56BF9">
        <w:rPr>
          <w:rFonts w:eastAsia="DengXian"/>
          <w:lang w:eastAsia="ja-JP"/>
        </w:rPr>
        <w:t xml:space="preserve">&lt;= </w:t>
      </w:r>
      <w:r w:rsidRPr="00F56BF9">
        <w:rPr>
          <w:rFonts w:eastAsia="DengXian"/>
          <w:i/>
          <w:iCs/>
          <w:lang w:eastAsia="ja-JP"/>
        </w:rPr>
        <w:t>pdcch-BlindDetectionCA</w:t>
      </w:r>
      <w:r>
        <w:rPr>
          <w:rFonts w:eastAsia="DengXian"/>
          <w:i/>
          <w:iCs/>
          <w:lang w:val="en-US" w:eastAsia="ja-JP"/>
        </w:rPr>
        <w:t>2</w:t>
      </w:r>
      <w:r w:rsidRPr="00F56BF9">
        <w:rPr>
          <w:rFonts w:eastAsia="DengXian"/>
          <w:lang w:eastAsia="ja-JP"/>
        </w:rPr>
        <w:t xml:space="preserve">, if the UE reports </w:t>
      </w:r>
      <w:r w:rsidRPr="00F56BF9">
        <w:rPr>
          <w:rFonts w:eastAsia="DengXian"/>
          <w:i/>
          <w:iCs/>
          <w:lang w:eastAsia="ja-JP"/>
        </w:rPr>
        <w:t>pdcch-BlindDetectionCA</w:t>
      </w:r>
      <w:r>
        <w:rPr>
          <w:rFonts w:eastAsia="DengXian"/>
          <w:i/>
          <w:iCs/>
          <w:lang w:val="en-US" w:eastAsia="ja-JP"/>
        </w:rPr>
        <w:t>2</w:t>
      </w:r>
      <w:r w:rsidR="000C71A0">
        <w:rPr>
          <w:rFonts w:eastAsia="DengXian"/>
          <w:i/>
          <w:iCs/>
          <w:lang w:val="en-US" w:eastAsia="ja-JP"/>
        </w:rPr>
        <w:t xml:space="preserve"> </w:t>
      </w:r>
      <w:r w:rsidR="000C71A0">
        <w:rPr>
          <w:rFonts w:eastAsia="DengXian"/>
          <w:lang w:eastAsia="ko-KR"/>
        </w:rPr>
        <w:t>in</w:t>
      </w:r>
      <w:r w:rsidR="000C71A0" w:rsidRPr="00044175">
        <w:rPr>
          <w:rFonts w:eastAsia="DengXian"/>
          <w:lang w:eastAsia="ko-KR"/>
        </w:rPr>
        <w:t xml:space="preserve"> </w:t>
      </w:r>
      <w:r w:rsidR="000C71A0" w:rsidRPr="00044175">
        <w:rPr>
          <w:i/>
        </w:rPr>
        <w:t>pdcch-BlindDetectionMixedList</w:t>
      </w:r>
      <w:r w:rsidR="000C71A0">
        <w:rPr>
          <w:i/>
        </w:rPr>
        <w:t>3</w:t>
      </w:r>
      <w:r w:rsidRPr="00F56BF9">
        <w:rPr>
          <w:rFonts w:eastAsia="DengXian"/>
          <w:lang w:eastAsia="ja-JP"/>
        </w:rPr>
        <w:t>, or</w:t>
      </w:r>
    </w:p>
    <w:p w14:paraId="661FBC42" w14:textId="5F1B6515" w:rsidR="00BC0B43" w:rsidRDefault="00BC0B43" w:rsidP="00BC0B43">
      <w:pPr>
        <w:pStyle w:val="B1"/>
        <w:rPr>
          <w:rFonts w:eastAsia="DengXian"/>
          <w:lang w:eastAsia="ja-JP"/>
        </w:rPr>
      </w:pPr>
      <w:r>
        <w:rPr>
          <w:rFonts w:eastAsia="DengXian"/>
          <w:lang w:eastAsia="ja-JP"/>
        </w:rPr>
        <w:t>-</w:t>
      </w:r>
      <w:r>
        <w:rPr>
          <w:rFonts w:eastAsia="DengXian"/>
          <w:lang w:eastAsia="ja-JP"/>
        </w:rPr>
        <w:tab/>
      </w:r>
      <w:r w:rsidRPr="00D429F6">
        <w:rPr>
          <w:i/>
          <w:iCs/>
          <w:lang w:eastAsia="ja-JP"/>
        </w:rPr>
        <w:t>pdcch-BlindDetection</w:t>
      </w:r>
      <w:r>
        <w:rPr>
          <w:i/>
          <w:iCs/>
          <w:lang w:val="en-US" w:eastAsia="ja-JP"/>
        </w:rPr>
        <w:t>2</w:t>
      </w:r>
      <w:r>
        <w:rPr>
          <w:rFonts w:eastAsia="DengXian"/>
          <w:lang w:eastAsia="ja-JP"/>
        </w:rPr>
        <w:t xml:space="preserve"> for the MCG + </w:t>
      </w:r>
      <w:r w:rsidRPr="00D429F6">
        <w:rPr>
          <w:i/>
          <w:iCs/>
          <w:lang w:eastAsia="ja-JP"/>
        </w:rPr>
        <w:t>pdcch-BlindDetection</w:t>
      </w:r>
      <w:r>
        <w:rPr>
          <w:i/>
          <w:iCs/>
          <w:lang w:val="en-US" w:eastAsia="ja-JP"/>
        </w:rPr>
        <w:t>2</w:t>
      </w:r>
      <w:r>
        <w:rPr>
          <w:rFonts w:eastAsia="DengXian"/>
          <w:lang w:eastAsia="ja-JP"/>
        </w:rPr>
        <w:t xml:space="preserve"> </w:t>
      </w:r>
      <w:r>
        <w:rPr>
          <w:rFonts w:eastAsia="DengXian"/>
          <w:lang w:eastAsia="ko-KR"/>
        </w:rPr>
        <w:t xml:space="preserve">for the SCG </w:t>
      </w:r>
      <w:r>
        <w:rPr>
          <w:rFonts w:eastAsia="DengXian"/>
          <w:lang w:eastAsia="ja-JP"/>
        </w:rPr>
        <w:t xml:space="preserve">&lt;= </w:t>
      </w:r>
      <m:oMath>
        <m:sSubSup>
          <m:sSubSupPr>
            <m:ctrlPr>
              <w:rPr>
                <w:rFonts w:ascii="Cambria Math" w:hAnsi="Cambria Math"/>
              </w:rPr>
            </m:ctrlPr>
          </m:sSubSupPr>
          <m:e>
            <m:r>
              <w:rPr>
                <w:rFonts w:ascii="Cambria Math" w:hAnsi="Cambria Math"/>
              </w:rPr>
              <m:t>N</m:t>
            </m:r>
          </m:e>
          <m:sub>
            <m:r>
              <m:rPr>
                <m:sty m:val="p"/>
              </m:rPr>
              <w:rPr>
                <w:rFonts w:ascii="Cambria Math" w:hAnsi="Cambria Math"/>
              </w:rPr>
              <m:t>NR-DC,r16</m:t>
            </m:r>
          </m:sub>
          <m:sup>
            <m:r>
              <m:rPr>
                <m:sty m:val="p"/>
              </m:rPr>
              <w:rPr>
                <w:rFonts w:ascii="Cambria Math" w:hAnsi="Cambria Math"/>
              </w:rPr>
              <m:t>DL,cells</m:t>
            </m:r>
          </m:sup>
        </m:sSubSup>
      </m:oMath>
      <w:r>
        <w:rPr>
          <w:rFonts w:eastAsia="DengXian"/>
          <w:lang w:eastAsia="ja-JP"/>
        </w:rPr>
        <w:t xml:space="preserve">, if the UE does not report </w:t>
      </w:r>
      <w:r w:rsidRPr="00D429F6">
        <w:rPr>
          <w:rFonts w:eastAsia="DengXian"/>
          <w:i/>
          <w:iCs/>
          <w:lang w:eastAsia="ja-JP"/>
        </w:rPr>
        <w:t>pdcch-BlindDetectionCA</w:t>
      </w:r>
      <w:r>
        <w:rPr>
          <w:rFonts w:eastAsia="DengXian"/>
          <w:i/>
          <w:iCs/>
          <w:lang w:val="en-US" w:eastAsia="ja-JP"/>
        </w:rPr>
        <w:t>2</w:t>
      </w:r>
      <w:r w:rsidR="000C71A0">
        <w:rPr>
          <w:rFonts w:eastAsia="DengXian"/>
          <w:i/>
          <w:iCs/>
          <w:lang w:val="en-US" w:eastAsia="ja-JP"/>
        </w:rPr>
        <w:t xml:space="preserve"> </w:t>
      </w:r>
      <w:r w:rsidR="000C71A0">
        <w:rPr>
          <w:rFonts w:eastAsia="DengXian"/>
          <w:lang w:eastAsia="ko-KR"/>
        </w:rPr>
        <w:t>in</w:t>
      </w:r>
      <w:r w:rsidR="000C71A0" w:rsidRPr="00044175">
        <w:rPr>
          <w:rFonts w:eastAsia="DengXian"/>
          <w:lang w:eastAsia="ko-KR"/>
        </w:rPr>
        <w:t xml:space="preserve"> </w:t>
      </w:r>
      <w:r w:rsidR="000C71A0" w:rsidRPr="00044175">
        <w:rPr>
          <w:i/>
        </w:rPr>
        <w:t>pdcch-BlindDetectionMixedList</w:t>
      </w:r>
      <w:r w:rsidR="000C71A0">
        <w:rPr>
          <w:i/>
        </w:rPr>
        <w:t>3</w:t>
      </w:r>
    </w:p>
    <w:p w14:paraId="6A861FC4" w14:textId="77777777" w:rsidR="00BC0B43" w:rsidRDefault="00BC0B43" w:rsidP="00BC0B43">
      <w:pPr>
        <w:rPr>
          <w:rFonts w:eastAsia="DengXian"/>
          <w:iCs/>
          <w:lang w:val="x-none" w:eastAsia="ja-JP"/>
        </w:rPr>
      </w:pPr>
      <w:r>
        <w:rPr>
          <w:rFonts w:eastAsia="DengXian"/>
          <w:lang w:val="x-none" w:eastAsia="ja-JP"/>
        </w:rPr>
        <w:t>and</w:t>
      </w:r>
    </w:p>
    <w:p w14:paraId="367DA2B5" w14:textId="58B55327" w:rsidR="00BC0B43" w:rsidRDefault="00BC0B43" w:rsidP="00BC0B43">
      <w:pPr>
        <w:pStyle w:val="B1"/>
        <w:rPr>
          <w:rFonts w:eastAsia="DengXian"/>
          <w:lang w:eastAsia="ja-JP"/>
        </w:rPr>
      </w:pPr>
      <w:r>
        <w:rPr>
          <w:rFonts w:eastAsia="DengXian"/>
          <w:lang w:eastAsia="ja-JP"/>
        </w:rPr>
        <w:t>-</w:t>
      </w:r>
      <w:r>
        <w:rPr>
          <w:rFonts w:eastAsia="DengXian"/>
          <w:lang w:eastAsia="ja-JP"/>
        </w:rPr>
        <w:tab/>
      </w:r>
      <w:r w:rsidRPr="00D429F6">
        <w:rPr>
          <w:i/>
          <w:iCs/>
          <w:lang w:eastAsia="ja-JP"/>
        </w:rPr>
        <w:t>pdcch-BlindDetection</w:t>
      </w:r>
      <w:r>
        <w:rPr>
          <w:i/>
          <w:iCs/>
          <w:lang w:val="en-US" w:eastAsia="ja-JP"/>
        </w:rPr>
        <w:t>4</w:t>
      </w:r>
      <w:r>
        <w:rPr>
          <w:rFonts w:eastAsia="DengXian"/>
          <w:lang w:eastAsia="ja-JP"/>
        </w:rPr>
        <w:t xml:space="preserve"> for the MCG + </w:t>
      </w:r>
      <w:r w:rsidRPr="00D429F6">
        <w:rPr>
          <w:i/>
          <w:iCs/>
          <w:lang w:eastAsia="ja-JP"/>
        </w:rPr>
        <w:t>pdcch-BlindDetection</w:t>
      </w:r>
      <w:r>
        <w:rPr>
          <w:i/>
          <w:iCs/>
          <w:lang w:val="en-US" w:eastAsia="ja-JP"/>
        </w:rPr>
        <w:t>4</w:t>
      </w:r>
      <w:r>
        <w:rPr>
          <w:rFonts w:eastAsia="DengXian"/>
          <w:lang w:eastAsia="ja-JP"/>
        </w:rPr>
        <w:t xml:space="preserve"> </w:t>
      </w:r>
      <w:r>
        <w:rPr>
          <w:rFonts w:eastAsia="DengXian"/>
          <w:lang w:eastAsia="ko-KR"/>
        </w:rPr>
        <w:t xml:space="preserve">for the SCG </w:t>
      </w:r>
      <w:r>
        <w:rPr>
          <w:rFonts w:eastAsia="DengXian"/>
          <w:lang w:eastAsia="ja-JP"/>
        </w:rPr>
        <w:t xml:space="preserve">&lt;= </w:t>
      </w:r>
      <w:r w:rsidRPr="00D429F6">
        <w:rPr>
          <w:rFonts w:eastAsia="DengXian"/>
          <w:i/>
          <w:iCs/>
          <w:lang w:eastAsia="ja-JP"/>
        </w:rPr>
        <w:t>pdcch-BlindDetectionCA</w:t>
      </w:r>
      <w:r>
        <w:rPr>
          <w:i/>
          <w:iCs/>
          <w:lang w:val="en-US" w:eastAsia="ja-JP"/>
        </w:rPr>
        <w:t>3</w:t>
      </w:r>
      <w:r>
        <w:rPr>
          <w:rFonts w:eastAsia="DengXian"/>
          <w:lang w:eastAsia="ja-JP"/>
        </w:rPr>
        <w:t xml:space="preserve">, if the UE reports </w:t>
      </w:r>
      <w:r w:rsidRPr="00D429F6">
        <w:rPr>
          <w:rFonts w:eastAsia="DengXian"/>
          <w:i/>
          <w:iCs/>
          <w:lang w:eastAsia="ja-JP"/>
        </w:rPr>
        <w:t>pdcch-BlindDetectionCA</w:t>
      </w:r>
      <w:r>
        <w:rPr>
          <w:i/>
          <w:iCs/>
          <w:lang w:val="en-US" w:eastAsia="ja-JP"/>
        </w:rPr>
        <w:t>3</w:t>
      </w:r>
      <w:r w:rsidR="000C71A0">
        <w:rPr>
          <w:i/>
          <w:iCs/>
          <w:lang w:val="en-US" w:eastAsia="ja-JP"/>
        </w:rPr>
        <w:t xml:space="preserve"> </w:t>
      </w:r>
      <w:r w:rsidR="000C71A0">
        <w:rPr>
          <w:rFonts w:eastAsia="DengXian"/>
          <w:lang w:eastAsia="ko-KR"/>
        </w:rPr>
        <w:t>in</w:t>
      </w:r>
      <w:r w:rsidR="000C71A0" w:rsidRPr="00044175">
        <w:rPr>
          <w:rFonts w:eastAsia="DengXian"/>
          <w:lang w:eastAsia="ko-KR"/>
        </w:rPr>
        <w:t xml:space="preserve"> </w:t>
      </w:r>
      <w:r w:rsidR="000C71A0" w:rsidRPr="00044175">
        <w:rPr>
          <w:i/>
        </w:rPr>
        <w:t>pdcch-BlindDetectionMixedList</w:t>
      </w:r>
      <w:r w:rsidR="000C71A0">
        <w:rPr>
          <w:i/>
        </w:rPr>
        <w:t>3</w:t>
      </w:r>
      <w:r>
        <w:rPr>
          <w:rFonts w:eastAsia="DengXian"/>
          <w:lang w:eastAsia="ja-JP"/>
        </w:rPr>
        <w:t>, or</w:t>
      </w:r>
    </w:p>
    <w:p w14:paraId="0CD7C0F0" w14:textId="450F16E6" w:rsidR="00BC0B43" w:rsidRDefault="00BC0B43" w:rsidP="00BC0B43">
      <w:pPr>
        <w:pStyle w:val="B1"/>
        <w:rPr>
          <w:rFonts w:eastAsia="DengXian"/>
          <w:lang w:eastAsia="ja-JP"/>
        </w:rPr>
      </w:pPr>
      <w:r>
        <w:rPr>
          <w:rFonts w:eastAsia="DengXian"/>
          <w:lang w:eastAsia="ja-JP"/>
        </w:rPr>
        <w:t>-</w:t>
      </w:r>
      <w:r>
        <w:rPr>
          <w:rFonts w:eastAsia="DengXian"/>
          <w:lang w:eastAsia="ja-JP"/>
        </w:rPr>
        <w:tab/>
      </w:r>
      <w:r w:rsidRPr="00D429F6">
        <w:rPr>
          <w:i/>
          <w:iCs/>
          <w:lang w:eastAsia="ja-JP"/>
        </w:rPr>
        <w:t>pdcch-BlindDetection</w:t>
      </w:r>
      <w:r>
        <w:rPr>
          <w:i/>
          <w:iCs/>
          <w:lang w:val="en-US" w:eastAsia="ja-JP"/>
        </w:rPr>
        <w:t>4</w:t>
      </w:r>
      <w:r>
        <w:rPr>
          <w:rFonts w:eastAsia="DengXian"/>
          <w:lang w:eastAsia="ja-JP"/>
        </w:rPr>
        <w:t xml:space="preserve"> for the MCG + </w:t>
      </w:r>
      <w:r w:rsidRPr="00D429F6">
        <w:rPr>
          <w:i/>
          <w:iCs/>
          <w:lang w:eastAsia="ja-JP"/>
        </w:rPr>
        <w:t>pdcch-BlindDetection</w:t>
      </w:r>
      <w:r>
        <w:rPr>
          <w:i/>
          <w:iCs/>
          <w:lang w:val="en-US" w:eastAsia="ja-JP"/>
        </w:rPr>
        <w:t>4</w:t>
      </w:r>
      <w:r>
        <w:rPr>
          <w:rFonts w:eastAsia="DengXian"/>
          <w:lang w:eastAsia="ja-JP"/>
        </w:rPr>
        <w:t xml:space="preserve"> </w:t>
      </w:r>
      <w:r>
        <w:rPr>
          <w:rFonts w:eastAsia="DengXian"/>
          <w:lang w:eastAsia="ko-KR"/>
        </w:rPr>
        <w:t xml:space="preserve">for the SCG </w:t>
      </w:r>
      <w:r>
        <w:rPr>
          <w:rFonts w:eastAsia="DengXian"/>
          <w:lang w:eastAsia="ja-JP"/>
        </w:rPr>
        <w:t xml:space="preserve">&lt;= </w:t>
      </w:r>
      <m:oMath>
        <m:sSubSup>
          <m:sSubSupPr>
            <m:ctrlPr>
              <w:rPr>
                <w:rFonts w:ascii="Cambria Math" w:hAnsi="Cambria Math"/>
              </w:rPr>
            </m:ctrlPr>
          </m:sSubSupPr>
          <m:e>
            <m:r>
              <m:rPr>
                <m:sty m:val="p"/>
              </m:rPr>
              <w:rPr>
                <w:rFonts w:ascii="Cambria Math" w:hAnsi="Cambria Math"/>
              </w:rPr>
              <m:t>N</m:t>
            </m:r>
          </m:e>
          <m:sub>
            <m:r>
              <m:rPr>
                <m:sty m:val="p"/>
              </m:rPr>
              <w:rPr>
                <w:rFonts w:ascii="Cambria Math" w:hAnsi="Cambria Math"/>
              </w:rPr>
              <m:t>NR-DC,r17</m:t>
            </m:r>
          </m:sub>
          <m:sup>
            <m:r>
              <m:rPr>
                <m:sty m:val="p"/>
              </m:rPr>
              <w:rPr>
                <w:rFonts w:ascii="Cambria Math" w:hAnsi="Cambria Math"/>
              </w:rPr>
              <m:t>DL,cells</m:t>
            </m:r>
          </m:sup>
        </m:sSubSup>
      </m:oMath>
      <w:r>
        <w:rPr>
          <w:rFonts w:eastAsia="DengXian"/>
          <w:lang w:eastAsia="ja-JP"/>
        </w:rPr>
        <w:t xml:space="preserve">, if the UE does not report </w:t>
      </w:r>
      <w:r w:rsidRPr="00D429F6">
        <w:rPr>
          <w:rFonts w:eastAsia="DengXian"/>
          <w:i/>
          <w:iCs/>
          <w:lang w:eastAsia="ja-JP"/>
        </w:rPr>
        <w:t>pdcch-BlindDetectionCA</w:t>
      </w:r>
      <w:r>
        <w:rPr>
          <w:i/>
          <w:iCs/>
          <w:lang w:val="en-US" w:eastAsia="ja-JP"/>
        </w:rPr>
        <w:t>3</w:t>
      </w:r>
      <w:r w:rsidR="000C71A0">
        <w:rPr>
          <w:i/>
          <w:iCs/>
          <w:lang w:val="en-US" w:eastAsia="ja-JP"/>
        </w:rPr>
        <w:t xml:space="preserve"> </w:t>
      </w:r>
      <w:r w:rsidR="000C71A0">
        <w:rPr>
          <w:rFonts w:eastAsia="DengXian"/>
          <w:lang w:eastAsia="ko-KR"/>
        </w:rPr>
        <w:t>in</w:t>
      </w:r>
      <w:r w:rsidR="000C71A0" w:rsidRPr="00044175">
        <w:rPr>
          <w:rFonts w:eastAsia="DengXian"/>
          <w:lang w:eastAsia="ko-KR"/>
        </w:rPr>
        <w:t xml:space="preserve"> </w:t>
      </w:r>
      <w:r w:rsidR="000C71A0" w:rsidRPr="00044175">
        <w:rPr>
          <w:i/>
        </w:rPr>
        <w:t>pdcch-BlindDetectionMixedList</w:t>
      </w:r>
      <w:r w:rsidR="000C71A0">
        <w:rPr>
          <w:i/>
        </w:rPr>
        <w:t>3</w:t>
      </w:r>
    </w:p>
    <w:p w14:paraId="4C118018" w14:textId="4A111093" w:rsidR="00BC0B43" w:rsidRDefault="00BC0B43" w:rsidP="00BC0B43">
      <w:pPr>
        <w:rPr>
          <w:lang w:eastAsia="ko-KR"/>
        </w:rPr>
      </w:pPr>
      <w:r w:rsidRPr="00943F1D">
        <w:rPr>
          <w:lang w:eastAsia="ko-KR"/>
        </w:rPr>
        <w:lastRenderedPageBreak/>
        <w:t xml:space="preserve">When a UE is configured for NR-DC operation and is provided </w:t>
      </w:r>
      <w:r w:rsidRPr="00943F1D">
        <w:rPr>
          <w:i/>
        </w:rPr>
        <w:t>monitoringCapabilityConfig</w:t>
      </w:r>
      <w:r w:rsidRPr="00943F1D">
        <w:t xml:space="preserve"> = </w:t>
      </w:r>
      <w:r w:rsidRPr="00943F1D">
        <w:rPr>
          <w:i/>
        </w:rPr>
        <w:t>r15monitoringcapability</w:t>
      </w:r>
      <w:r w:rsidRPr="00943F1D">
        <w:t xml:space="preserve"> for </w:t>
      </w:r>
      <w:r w:rsidRPr="00943F1D">
        <w:rPr>
          <w:lang w:eastAsia="ko-KR"/>
        </w:rPr>
        <w:t xml:space="preserve">at least one downlink cell, </w:t>
      </w:r>
      <w:r w:rsidRPr="00943F1D">
        <w:rPr>
          <w:i/>
        </w:rPr>
        <w:t>monitoringCapabilityConfig</w:t>
      </w:r>
      <w:r w:rsidRPr="00943F1D">
        <w:t xml:space="preserve"> = </w:t>
      </w:r>
      <w:r w:rsidRPr="00943F1D">
        <w:rPr>
          <w:i/>
        </w:rPr>
        <w:t>r16monitoringcapability</w:t>
      </w:r>
      <w:r w:rsidRPr="00943F1D">
        <w:t xml:space="preserve"> for </w:t>
      </w:r>
      <w:r w:rsidRPr="00943F1D">
        <w:rPr>
          <w:lang w:eastAsia="ko-KR"/>
        </w:rPr>
        <w:t xml:space="preserve">at least one downlink cell, and </w:t>
      </w:r>
      <w:r w:rsidRPr="00943F1D">
        <w:rPr>
          <w:i/>
        </w:rPr>
        <w:t>monitoringCapabilityConfig</w:t>
      </w:r>
      <w:r w:rsidRPr="00943F1D">
        <w:t xml:space="preserve"> = </w:t>
      </w:r>
      <w:r w:rsidRPr="00943F1D">
        <w:rPr>
          <w:i/>
        </w:rPr>
        <w:t xml:space="preserve">r17monitoringcapability </w:t>
      </w:r>
      <w:r w:rsidRPr="00943F1D">
        <w:t xml:space="preserve">for </w:t>
      </w:r>
      <w:r w:rsidRPr="00943F1D">
        <w:rPr>
          <w:lang w:eastAsia="ko-KR"/>
        </w:rPr>
        <w:t xml:space="preserve">at least one downlink cell </w:t>
      </w:r>
      <w:r w:rsidRPr="00943F1D">
        <w:t>where the UE monitors PDCCH</w:t>
      </w:r>
      <w:r w:rsidRPr="00943F1D">
        <w:rPr>
          <w:color w:val="000000" w:themeColor="text1"/>
          <w:lang w:eastAsia="ko-KR"/>
        </w:rPr>
        <w:t xml:space="preserve">, </w:t>
      </w:r>
      <w:r w:rsidRPr="00943F1D">
        <w:rPr>
          <w:color w:val="000000" w:themeColor="text1"/>
        </w:rPr>
        <w:t xml:space="preserve">the UE may indicate, through </w:t>
      </w:r>
      <w:r w:rsidRPr="00943F1D">
        <w:rPr>
          <w:i/>
          <w:color w:val="000000" w:themeColor="text1"/>
        </w:rPr>
        <w:t>pdcch-</w:t>
      </w:r>
      <w:r w:rsidRPr="00943F1D">
        <w:rPr>
          <w:i/>
          <w:iCs/>
          <w:color w:val="000000" w:themeColor="text1"/>
          <w:lang w:eastAsia="ja-JP"/>
        </w:rPr>
        <w:t>BlindDetectionCG-UE1</w:t>
      </w:r>
      <w:r w:rsidRPr="00943F1D">
        <w:rPr>
          <w:color w:val="000000" w:themeColor="text1"/>
          <w:lang w:eastAsia="ja-JP"/>
        </w:rPr>
        <w:t xml:space="preserve"> </w:t>
      </w:r>
      <w:r w:rsidR="000C71A0">
        <w:rPr>
          <w:color w:val="000000" w:themeColor="text1"/>
          <w:lang w:eastAsia="ja-JP"/>
        </w:rPr>
        <w:t xml:space="preserve">in </w:t>
      </w:r>
      <w:r w:rsidR="000C71A0" w:rsidRPr="00EC661E">
        <w:rPr>
          <w:i/>
        </w:rPr>
        <w:t>pdcch-BlindDetectionMCG-UE-Mixed1</w:t>
      </w:r>
      <w:r w:rsidR="000C71A0">
        <w:rPr>
          <w:i/>
        </w:rPr>
        <w:t xml:space="preserve"> </w:t>
      </w:r>
      <w:r w:rsidRPr="00943F1D">
        <w:rPr>
          <w:color w:val="000000" w:themeColor="text1"/>
          <w:lang w:eastAsia="ja-JP"/>
        </w:rPr>
        <w:t xml:space="preserve">and </w:t>
      </w:r>
      <w:r w:rsidRPr="00943F1D">
        <w:rPr>
          <w:i/>
          <w:iCs/>
          <w:color w:val="000000" w:themeColor="text1"/>
          <w:lang w:eastAsia="ja-JP"/>
        </w:rPr>
        <w:t>pdcch-BlindDetectionCG-UE1</w:t>
      </w:r>
      <w:r w:rsidRPr="00943F1D">
        <w:rPr>
          <w:color w:val="000000" w:themeColor="text1"/>
          <w:lang w:eastAsia="ja-JP"/>
        </w:rPr>
        <w:t xml:space="preserve"> </w:t>
      </w:r>
      <w:r w:rsidR="000C71A0">
        <w:rPr>
          <w:color w:val="000000" w:themeColor="text1"/>
          <w:lang w:eastAsia="ja-JP"/>
        </w:rPr>
        <w:t xml:space="preserve">in </w:t>
      </w:r>
      <w:r w:rsidR="000C71A0" w:rsidRPr="00EC661E">
        <w:rPr>
          <w:i/>
        </w:rPr>
        <w:t>pdcch-BlindDetection</w:t>
      </w:r>
      <w:r w:rsidR="000C71A0">
        <w:rPr>
          <w:i/>
        </w:rPr>
        <w:t>S</w:t>
      </w:r>
      <w:r w:rsidR="000C71A0" w:rsidRPr="00EC661E">
        <w:rPr>
          <w:i/>
        </w:rPr>
        <w:t>CG-UE-Mixed1</w:t>
      </w:r>
      <w:r w:rsidR="000C71A0">
        <w:rPr>
          <w:i/>
        </w:rPr>
        <w:t xml:space="preserve"> </w:t>
      </w:r>
      <w:r w:rsidRPr="00943F1D">
        <w:rPr>
          <w:color w:val="000000" w:themeColor="text1"/>
          <w:lang w:eastAsia="ja-JP"/>
        </w:rPr>
        <w:t xml:space="preserve">respective maximum values for </w:t>
      </w:r>
      <w:r w:rsidRPr="00943F1D">
        <w:rPr>
          <w:i/>
          <w:iCs/>
          <w:color w:val="000000" w:themeColor="text1"/>
          <w:lang w:eastAsia="ja-JP"/>
        </w:rPr>
        <w:t>pdcch-BlindDetection3</w:t>
      </w:r>
      <w:r w:rsidRPr="00943F1D">
        <w:rPr>
          <w:color w:val="000000" w:themeColor="text1"/>
          <w:lang w:eastAsia="ja-JP"/>
        </w:rPr>
        <w:t xml:space="preserve"> for the MCG and </w:t>
      </w:r>
      <w:r w:rsidRPr="00943F1D">
        <w:rPr>
          <w:i/>
          <w:iCs/>
          <w:color w:val="000000" w:themeColor="text1"/>
          <w:lang w:eastAsia="ja-JP"/>
        </w:rPr>
        <w:t>pdcch-BlindDetection3</w:t>
      </w:r>
      <w:r w:rsidRPr="00943F1D">
        <w:rPr>
          <w:iCs/>
          <w:color w:val="000000" w:themeColor="text1"/>
          <w:lang w:eastAsia="ja-JP"/>
        </w:rPr>
        <w:t xml:space="preserve"> for the SCG, </w:t>
      </w:r>
      <w:r w:rsidRPr="00943F1D">
        <w:rPr>
          <w:color w:val="000000" w:themeColor="text1"/>
        </w:rPr>
        <w:t xml:space="preserve">through </w:t>
      </w:r>
      <w:r w:rsidRPr="00943F1D">
        <w:rPr>
          <w:i/>
          <w:color w:val="000000" w:themeColor="text1"/>
        </w:rPr>
        <w:t>pdcch-</w:t>
      </w:r>
      <w:r w:rsidRPr="00943F1D">
        <w:rPr>
          <w:i/>
          <w:iCs/>
          <w:color w:val="000000" w:themeColor="text1"/>
          <w:lang w:eastAsia="ja-JP"/>
        </w:rPr>
        <w:t>BlindDetectionCG-UE2</w:t>
      </w:r>
      <w:r w:rsidRPr="00943F1D">
        <w:rPr>
          <w:color w:val="000000" w:themeColor="text1"/>
          <w:lang w:eastAsia="ja-JP"/>
        </w:rPr>
        <w:t xml:space="preserve"> </w:t>
      </w:r>
      <w:r w:rsidR="000C71A0">
        <w:rPr>
          <w:color w:val="000000" w:themeColor="text1"/>
          <w:lang w:eastAsia="ja-JP"/>
        </w:rPr>
        <w:t xml:space="preserve">in </w:t>
      </w:r>
      <w:r w:rsidR="000C71A0" w:rsidRPr="00EC661E">
        <w:rPr>
          <w:i/>
        </w:rPr>
        <w:t>pdcch-BlindDetectionMCG-UE-Mixed1</w:t>
      </w:r>
      <w:r w:rsidR="000C71A0">
        <w:rPr>
          <w:i/>
        </w:rPr>
        <w:t xml:space="preserve"> </w:t>
      </w:r>
      <w:r w:rsidRPr="00943F1D">
        <w:rPr>
          <w:color w:val="000000" w:themeColor="text1"/>
          <w:lang w:eastAsia="ja-JP"/>
        </w:rPr>
        <w:t xml:space="preserve">and </w:t>
      </w:r>
      <w:r w:rsidRPr="00943F1D">
        <w:rPr>
          <w:i/>
          <w:iCs/>
          <w:color w:val="000000" w:themeColor="text1"/>
          <w:lang w:eastAsia="ja-JP"/>
        </w:rPr>
        <w:t>pdcch-BlindDetectionCG-UE2</w:t>
      </w:r>
      <w:r w:rsidRPr="00943F1D">
        <w:rPr>
          <w:color w:val="000000" w:themeColor="text1"/>
          <w:lang w:eastAsia="ja-JP"/>
        </w:rPr>
        <w:t xml:space="preserve"> </w:t>
      </w:r>
      <w:r w:rsidR="000C71A0">
        <w:rPr>
          <w:color w:val="000000" w:themeColor="text1"/>
          <w:lang w:eastAsia="ja-JP"/>
        </w:rPr>
        <w:t xml:space="preserve">in </w:t>
      </w:r>
      <w:r w:rsidR="000C71A0" w:rsidRPr="00EC661E">
        <w:rPr>
          <w:i/>
        </w:rPr>
        <w:t>pdcch-BlindDetection</w:t>
      </w:r>
      <w:r w:rsidR="000C71A0">
        <w:rPr>
          <w:i/>
        </w:rPr>
        <w:t>S</w:t>
      </w:r>
      <w:r w:rsidR="000C71A0" w:rsidRPr="00EC661E">
        <w:rPr>
          <w:i/>
        </w:rPr>
        <w:t>CG-UE-Mixed1</w:t>
      </w:r>
      <w:r w:rsidR="000C71A0">
        <w:rPr>
          <w:i/>
        </w:rPr>
        <w:t xml:space="preserve"> </w:t>
      </w:r>
      <w:r w:rsidRPr="00943F1D">
        <w:rPr>
          <w:color w:val="000000" w:themeColor="text1"/>
          <w:lang w:eastAsia="ja-JP"/>
        </w:rPr>
        <w:t xml:space="preserve">respective maximum values for </w:t>
      </w:r>
      <w:r w:rsidRPr="00943F1D">
        <w:rPr>
          <w:i/>
          <w:iCs/>
          <w:color w:val="000000" w:themeColor="text1"/>
          <w:lang w:eastAsia="ja-JP"/>
        </w:rPr>
        <w:t>pdcch-BlindDetection2</w:t>
      </w:r>
      <w:r w:rsidRPr="00943F1D">
        <w:rPr>
          <w:color w:val="000000" w:themeColor="text1"/>
          <w:lang w:eastAsia="ja-JP"/>
        </w:rPr>
        <w:t xml:space="preserve"> for the MCG and </w:t>
      </w:r>
      <w:r w:rsidRPr="00943F1D">
        <w:rPr>
          <w:i/>
          <w:iCs/>
          <w:color w:val="000000" w:themeColor="text1"/>
          <w:lang w:eastAsia="ja-JP"/>
        </w:rPr>
        <w:t>pdcch-BlindDetection2</w:t>
      </w:r>
      <w:r w:rsidRPr="00943F1D">
        <w:rPr>
          <w:iCs/>
          <w:color w:val="000000" w:themeColor="text1"/>
          <w:lang w:eastAsia="ja-JP"/>
        </w:rPr>
        <w:t xml:space="preserve"> for the SCG, and </w:t>
      </w:r>
      <w:r w:rsidRPr="00943F1D">
        <w:rPr>
          <w:color w:val="000000" w:themeColor="text1"/>
        </w:rPr>
        <w:t xml:space="preserve">through </w:t>
      </w:r>
      <w:r w:rsidRPr="00943F1D">
        <w:rPr>
          <w:i/>
          <w:color w:val="000000" w:themeColor="text1"/>
        </w:rPr>
        <w:t>pdcch-</w:t>
      </w:r>
      <w:r w:rsidRPr="00943F1D">
        <w:rPr>
          <w:i/>
          <w:iCs/>
          <w:color w:val="000000" w:themeColor="text1"/>
          <w:lang w:eastAsia="ja-JP"/>
        </w:rPr>
        <w:t>BlindDetectionCG-UE3</w:t>
      </w:r>
      <w:r w:rsidRPr="00943F1D">
        <w:rPr>
          <w:color w:val="000000" w:themeColor="text1"/>
          <w:lang w:eastAsia="ja-JP"/>
        </w:rPr>
        <w:t xml:space="preserve"> </w:t>
      </w:r>
      <w:r w:rsidR="000C71A0">
        <w:rPr>
          <w:color w:val="000000" w:themeColor="text1"/>
          <w:lang w:eastAsia="ja-JP"/>
        </w:rPr>
        <w:t xml:space="preserve">in </w:t>
      </w:r>
      <w:r w:rsidR="000C71A0" w:rsidRPr="00EC661E">
        <w:rPr>
          <w:i/>
        </w:rPr>
        <w:t>pdcch-BlindDetectionMCG-UE-Mixed1</w:t>
      </w:r>
      <w:r w:rsidR="000C71A0">
        <w:rPr>
          <w:i/>
        </w:rPr>
        <w:t xml:space="preserve"> </w:t>
      </w:r>
      <w:r w:rsidRPr="00943F1D">
        <w:rPr>
          <w:color w:val="000000" w:themeColor="text1"/>
          <w:lang w:eastAsia="ja-JP"/>
        </w:rPr>
        <w:t xml:space="preserve">and </w:t>
      </w:r>
      <w:r w:rsidRPr="00943F1D">
        <w:rPr>
          <w:i/>
          <w:iCs/>
          <w:color w:val="000000" w:themeColor="text1"/>
          <w:lang w:eastAsia="ja-JP"/>
        </w:rPr>
        <w:t>pdcch-BlindDetectionCG-UE3</w:t>
      </w:r>
      <w:r w:rsidRPr="00943F1D">
        <w:rPr>
          <w:color w:val="000000" w:themeColor="text1"/>
          <w:lang w:eastAsia="ja-JP"/>
        </w:rPr>
        <w:t xml:space="preserve"> </w:t>
      </w:r>
      <w:r w:rsidR="000C71A0">
        <w:rPr>
          <w:color w:val="000000" w:themeColor="text1"/>
          <w:lang w:eastAsia="ja-JP"/>
        </w:rPr>
        <w:t xml:space="preserve">in </w:t>
      </w:r>
      <w:r w:rsidR="000C71A0" w:rsidRPr="00EC661E">
        <w:rPr>
          <w:i/>
        </w:rPr>
        <w:t>pdcch-BlindDetection</w:t>
      </w:r>
      <w:r w:rsidR="000C71A0">
        <w:rPr>
          <w:i/>
        </w:rPr>
        <w:t>S</w:t>
      </w:r>
      <w:r w:rsidR="000C71A0" w:rsidRPr="00EC661E">
        <w:rPr>
          <w:i/>
        </w:rPr>
        <w:t>CG-UE-Mixed1</w:t>
      </w:r>
      <w:r w:rsidR="000C71A0">
        <w:rPr>
          <w:i/>
        </w:rPr>
        <w:t xml:space="preserve"> </w:t>
      </w:r>
      <w:r w:rsidRPr="00943F1D">
        <w:rPr>
          <w:color w:val="000000" w:themeColor="text1"/>
          <w:lang w:eastAsia="ja-JP"/>
        </w:rPr>
        <w:t xml:space="preserve">respective maximum values for </w:t>
      </w:r>
      <w:r w:rsidRPr="00943F1D">
        <w:rPr>
          <w:i/>
          <w:iCs/>
          <w:color w:val="000000" w:themeColor="text1"/>
          <w:lang w:eastAsia="ja-JP"/>
        </w:rPr>
        <w:t>pdcch-BlindDetection4</w:t>
      </w:r>
      <w:r w:rsidRPr="00943F1D">
        <w:rPr>
          <w:color w:val="000000" w:themeColor="text1"/>
          <w:lang w:eastAsia="ja-JP"/>
        </w:rPr>
        <w:t xml:space="preserve"> for the MCG and </w:t>
      </w:r>
      <w:r w:rsidRPr="00943F1D">
        <w:rPr>
          <w:i/>
          <w:iCs/>
          <w:color w:val="000000" w:themeColor="text1"/>
          <w:lang w:eastAsia="ja-JP"/>
        </w:rPr>
        <w:t>pdcch-BlindDetection4</w:t>
      </w:r>
      <w:r w:rsidRPr="00943F1D">
        <w:rPr>
          <w:iCs/>
          <w:color w:val="000000" w:themeColor="text1"/>
          <w:lang w:eastAsia="ja-JP"/>
        </w:rPr>
        <w:t xml:space="preserve"> for the SCG.</w:t>
      </w:r>
      <w:r>
        <w:rPr>
          <w:iCs/>
          <w:color w:val="000000" w:themeColor="text1"/>
          <w:lang w:eastAsia="ja-JP"/>
        </w:rPr>
        <w:t xml:space="preserve"> </w:t>
      </w:r>
    </w:p>
    <w:p w14:paraId="566BE871" w14:textId="19FA0A34" w:rsidR="00BC0B43" w:rsidRDefault="00BC0B43" w:rsidP="00BC0B43">
      <w:pPr>
        <w:rPr>
          <w:iCs/>
          <w:color w:val="000000" w:themeColor="text1"/>
          <w:lang w:eastAsia="ja-JP"/>
        </w:rPr>
      </w:pPr>
      <w:r>
        <w:rPr>
          <w:color w:val="000000" w:themeColor="text1"/>
          <w:lang w:eastAsia="ja-JP"/>
        </w:rPr>
        <w:t xml:space="preserve">If the UE reports </w:t>
      </w:r>
      <w:r>
        <w:rPr>
          <w:i/>
          <w:iCs/>
          <w:color w:val="000000" w:themeColor="text1"/>
          <w:lang w:eastAsia="ja-JP"/>
        </w:rPr>
        <w:t>pdcch-BlindDetectionCA1</w:t>
      </w:r>
      <w:r w:rsidR="000C71A0">
        <w:rPr>
          <w:i/>
          <w:iCs/>
          <w:color w:val="000000" w:themeColor="text1"/>
          <w:lang w:eastAsia="ja-JP"/>
        </w:rPr>
        <w:t xml:space="preserve"> </w:t>
      </w:r>
      <w:r w:rsidR="000C71A0">
        <w:rPr>
          <w:rFonts w:eastAsia="DengXian"/>
          <w:lang w:eastAsia="ko-KR"/>
        </w:rPr>
        <w:t>in</w:t>
      </w:r>
      <w:r w:rsidR="000C71A0" w:rsidRPr="00044175">
        <w:rPr>
          <w:rFonts w:eastAsia="DengXian"/>
          <w:lang w:eastAsia="ko-KR"/>
        </w:rPr>
        <w:t xml:space="preserve"> </w:t>
      </w:r>
      <w:r w:rsidR="000C71A0" w:rsidRPr="00044175">
        <w:rPr>
          <w:i/>
        </w:rPr>
        <w:t>pdcch-BlindDetectionMixedList</w:t>
      </w:r>
      <w:r w:rsidR="000C71A0">
        <w:rPr>
          <w:i/>
        </w:rPr>
        <w:t>3</w:t>
      </w:r>
      <w:r>
        <w:rPr>
          <w:iCs/>
          <w:color w:val="000000" w:themeColor="text1"/>
          <w:lang w:eastAsia="ja-JP"/>
        </w:rPr>
        <w:t>,</w:t>
      </w:r>
    </w:p>
    <w:p w14:paraId="04C11B16" w14:textId="55CD58A4" w:rsidR="00BC0B43" w:rsidRDefault="00BC0B43" w:rsidP="00BC0B43">
      <w:pPr>
        <w:pStyle w:val="B1"/>
        <w:rPr>
          <w:color w:val="000000" w:themeColor="text1"/>
          <w:lang w:eastAsia="ja-JP"/>
        </w:rPr>
      </w:pPr>
      <w:r>
        <w:rPr>
          <w:color w:val="000000" w:themeColor="text1"/>
          <w:lang w:eastAsia="ja-JP"/>
        </w:rPr>
        <w:t>-</w:t>
      </w:r>
      <w:r>
        <w:rPr>
          <w:color w:val="000000" w:themeColor="text1"/>
          <w:lang w:eastAsia="ja-JP"/>
        </w:rPr>
        <w:tab/>
        <w:t xml:space="preserve">the value range of </w:t>
      </w:r>
      <w:r>
        <w:rPr>
          <w:rFonts w:eastAsia="DengXian"/>
          <w:i/>
          <w:color w:val="000000" w:themeColor="text1"/>
          <w:lang w:eastAsia="ja-JP"/>
        </w:rPr>
        <w:t>pdcch-BlindDetectionCG-UE</w:t>
      </w:r>
      <w:r>
        <w:rPr>
          <w:i/>
          <w:iCs/>
          <w:color w:val="000000" w:themeColor="text1"/>
          <w:lang w:eastAsia="ja-JP"/>
        </w:rPr>
        <w:t>1</w:t>
      </w:r>
      <w:r>
        <w:rPr>
          <w:rFonts w:eastAsia="DengXian"/>
          <w:color w:val="000000" w:themeColor="text1"/>
          <w:lang w:eastAsia="ja-JP"/>
        </w:rPr>
        <w:t xml:space="preserve"> </w:t>
      </w:r>
      <w:r w:rsidR="005C773B">
        <w:rPr>
          <w:rFonts w:eastAsia="DengXian"/>
          <w:color w:val="000000" w:themeColor="text1"/>
          <w:lang w:eastAsia="ja-JP"/>
        </w:rPr>
        <w:t xml:space="preserve">for the MCG </w:t>
      </w:r>
      <w:r>
        <w:rPr>
          <w:rFonts w:eastAsia="DengXian"/>
          <w:color w:val="000000" w:themeColor="text1"/>
          <w:lang w:eastAsia="ja-JP"/>
        </w:rPr>
        <w:t xml:space="preserve">or of </w:t>
      </w:r>
      <w:r>
        <w:rPr>
          <w:rFonts w:eastAsia="DengXian"/>
          <w:i/>
          <w:color w:val="000000" w:themeColor="text1"/>
          <w:lang w:eastAsia="ja-JP"/>
        </w:rPr>
        <w:t>pdcch-BlindDetectionCG-UE</w:t>
      </w:r>
      <w:r>
        <w:rPr>
          <w:i/>
          <w:iCs/>
          <w:color w:val="000000" w:themeColor="text1"/>
          <w:lang w:eastAsia="ja-JP"/>
        </w:rPr>
        <w:t>1</w:t>
      </w:r>
      <w:r>
        <w:rPr>
          <w:color w:val="000000" w:themeColor="text1"/>
          <w:lang w:eastAsia="ja-JP"/>
        </w:rPr>
        <w:t xml:space="preserve"> </w:t>
      </w:r>
      <w:r w:rsidR="005C773B">
        <w:rPr>
          <w:rFonts w:eastAsia="DengXian"/>
          <w:color w:val="000000" w:themeColor="text1"/>
          <w:lang w:eastAsia="ja-JP"/>
        </w:rPr>
        <w:t xml:space="preserve">for the </w:t>
      </w:r>
      <w:r w:rsidR="005C773B">
        <w:rPr>
          <w:rFonts w:eastAsia="DengXian"/>
          <w:color w:val="000000" w:themeColor="text1"/>
          <w:lang w:val="en-GB" w:eastAsia="ja-JP"/>
        </w:rPr>
        <w:t>S</w:t>
      </w:r>
      <w:r w:rsidR="005C773B">
        <w:rPr>
          <w:rFonts w:eastAsia="DengXian"/>
          <w:color w:val="000000" w:themeColor="text1"/>
          <w:lang w:eastAsia="ja-JP"/>
        </w:rPr>
        <w:t xml:space="preserve">CG </w:t>
      </w:r>
      <w:r>
        <w:rPr>
          <w:color w:val="000000" w:themeColor="text1"/>
          <w:lang w:eastAsia="ja-JP"/>
        </w:rPr>
        <w:t xml:space="preserve">is [0, 1, …, </w:t>
      </w:r>
      <w:r>
        <w:rPr>
          <w:i/>
          <w:iCs/>
          <w:color w:val="000000" w:themeColor="text1"/>
          <w:lang w:eastAsia="ja-JP"/>
        </w:rPr>
        <w:t>pdcch-BlindDetectionCA1</w:t>
      </w:r>
      <w:r>
        <w:rPr>
          <w:color w:val="000000" w:themeColor="text1"/>
          <w:lang w:eastAsia="ja-JP"/>
        </w:rPr>
        <w:t xml:space="preserve">], and </w:t>
      </w:r>
    </w:p>
    <w:p w14:paraId="7F38BAE8" w14:textId="27743BC4" w:rsidR="00BC0B43" w:rsidRDefault="00BC0B43" w:rsidP="00BC0B43">
      <w:pPr>
        <w:pStyle w:val="B1"/>
        <w:rPr>
          <w:iCs/>
          <w:color w:val="000000" w:themeColor="text1"/>
          <w:lang w:eastAsia="ja-JP"/>
        </w:rPr>
      </w:pPr>
      <w:r>
        <w:rPr>
          <w:iCs/>
          <w:color w:val="000000" w:themeColor="text1"/>
          <w:lang w:eastAsia="ja-JP"/>
        </w:rPr>
        <w:t>-</w:t>
      </w:r>
      <w:r>
        <w:rPr>
          <w:iCs/>
          <w:color w:val="000000" w:themeColor="text1"/>
          <w:lang w:eastAsia="ja-JP"/>
        </w:rPr>
        <w:tab/>
      </w:r>
      <w:r>
        <w:rPr>
          <w:i/>
          <w:iCs/>
          <w:color w:val="000000" w:themeColor="text1"/>
          <w:lang w:eastAsia="ja-JP"/>
        </w:rPr>
        <w:t>pdcch-BlindDetectionCG-UE1</w:t>
      </w:r>
      <w:r>
        <w:rPr>
          <w:color w:val="000000" w:themeColor="text1"/>
          <w:lang w:eastAsia="ja-JP"/>
        </w:rPr>
        <w:t xml:space="preserve"> </w:t>
      </w:r>
      <w:r w:rsidR="005C773B">
        <w:rPr>
          <w:rFonts w:eastAsia="DengXian"/>
          <w:color w:val="000000" w:themeColor="text1"/>
          <w:lang w:eastAsia="ja-JP"/>
        </w:rPr>
        <w:t xml:space="preserve">for the MCG </w:t>
      </w:r>
      <w:r>
        <w:rPr>
          <w:color w:val="000000" w:themeColor="text1"/>
          <w:lang w:eastAsia="ja-JP"/>
        </w:rPr>
        <w:t xml:space="preserve">+ </w:t>
      </w:r>
      <w:r>
        <w:rPr>
          <w:i/>
          <w:iCs/>
          <w:color w:val="000000" w:themeColor="text1"/>
          <w:lang w:eastAsia="ja-JP"/>
        </w:rPr>
        <w:t>pdcch-BlindDetectionCG-UE1</w:t>
      </w:r>
      <w:r>
        <w:rPr>
          <w:i/>
          <w:iCs/>
          <w:color w:val="000000" w:themeColor="text1"/>
          <w:lang w:val="en-US" w:eastAsia="ja-JP"/>
        </w:rPr>
        <w:t xml:space="preserve"> </w:t>
      </w:r>
      <w:r w:rsidR="005C773B">
        <w:rPr>
          <w:rFonts w:eastAsia="DengXian"/>
          <w:color w:val="000000" w:themeColor="text1"/>
          <w:lang w:eastAsia="ja-JP"/>
        </w:rPr>
        <w:t xml:space="preserve">for the </w:t>
      </w:r>
      <w:r w:rsidR="005C773B">
        <w:rPr>
          <w:rFonts w:eastAsia="DengXian"/>
          <w:color w:val="000000" w:themeColor="text1"/>
          <w:lang w:val="en-GB" w:eastAsia="ja-JP"/>
        </w:rPr>
        <w:t>S</w:t>
      </w:r>
      <w:r w:rsidR="005C773B">
        <w:rPr>
          <w:rFonts w:eastAsia="DengXian"/>
          <w:color w:val="000000" w:themeColor="text1"/>
          <w:lang w:eastAsia="ja-JP"/>
        </w:rPr>
        <w:t xml:space="preserve">CG </w:t>
      </w:r>
      <w:r>
        <w:rPr>
          <w:iCs/>
          <w:color w:val="000000" w:themeColor="text1"/>
          <w:lang w:eastAsia="ja-JP"/>
        </w:rPr>
        <w:t xml:space="preserve">&gt;= </w:t>
      </w:r>
      <w:r>
        <w:rPr>
          <w:i/>
          <w:iCs/>
          <w:color w:val="000000" w:themeColor="text1"/>
          <w:lang w:eastAsia="ja-JP"/>
        </w:rPr>
        <w:t>pdcch-BlindDetectionCA1</w:t>
      </w:r>
      <w:r>
        <w:rPr>
          <w:iCs/>
          <w:color w:val="000000" w:themeColor="text1"/>
          <w:lang w:eastAsia="ja-JP"/>
        </w:rPr>
        <w:t xml:space="preserve">. </w:t>
      </w:r>
    </w:p>
    <w:p w14:paraId="3E676505" w14:textId="77777777" w:rsidR="00BC0B43" w:rsidRDefault="00BC0B43" w:rsidP="00BC0B43">
      <w:pPr>
        <w:rPr>
          <w:iCs/>
          <w:color w:val="000000" w:themeColor="text1"/>
          <w:lang w:eastAsia="ja-JP"/>
        </w:rPr>
      </w:pPr>
      <w:r>
        <w:rPr>
          <w:iCs/>
          <w:color w:val="000000" w:themeColor="text1"/>
          <w:lang w:eastAsia="ja-JP"/>
        </w:rPr>
        <w:t>Otherwise,</w:t>
      </w:r>
      <w:r>
        <w:rPr>
          <w:color w:val="000000" w:themeColor="text1"/>
        </w:rPr>
        <w:t xml:space="preserve"> if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r15</m:t>
            </m:r>
          </m:sub>
          <m:sup>
            <m:r>
              <m:rPr>
                <m:sty m:val="p"/>
              </m:rPr>
              <w:rPr>
                <w:rFonts w:ascii="Cambria Math" w:hAnsi="Cambria Math"/>
                <w:color w:val="000000" w:themeColor="text1"/>
                <w:lang w:eastAsia="zh-CN"/>
              </w:rPr>
              <m:t>DL,cells</m:t>
            </m:r>
          </m:sup>
        </m:sSubSup>
      </m:oMath>
      <w:r>
        <w:rPr>
          <w:color w:val="000000" w:themeColor="text1"/>
        </w:rPr>
        <w:t xml:space="preserve"> is a maximum total number of downlink cells for which the UE is provided </w:t>
      </w:r>
      <w:r>
        <w:rPr>
          <w:i/>
        </w:rPr>
        <w:t>monitoringCapabilityConfig</w:t>
      </w:r>
      <w:r>
        <w:t xml:space="preserve"> = </w:t>
      </w:r>
      <w:r>
        <w:rPr>
          <w:i/>
        </w:rPr>
        <w:t>r15monitoringcapability</w:t>
      </w:r>
      <w:r>
        <w:t xml:space="preserve"> and</w:t>
      </w:r>
      <w:r>
        <w:rPr>
          <w:color w:val="000000" w:themeColor="text1"/>
        </w:rPr>
        <w:t xml:space="preserve"> the UE is configured on both the MCG and the SCG for NR-DC as indicated in </w:t>
      </w:r>
      <w:r>
        <w:rPr>
          <w:i/>
          <w:iCs/>
          <w:color w:val="000000" w:themeColor="text1"/>
        </w:rPr>
        <w:t>UE-NR-Capability</w:t>
      </w:r>
    </w:p>
    <w:p w14:paraId="1F9B4BB5" w14:textId="0C00076E" w:rsidR="00BC0B43" w:rsidRDefault="00BC0B43" w:rsidP="00BC0B43">
      <w:pPr>
        <w:pStyle w:val="B1"/>
        <w:rPr>
          <w:color w:val="000000" w:themeColor="text1"/>
          <w:lang w:eastAsia="ja-JP"/>
        </w:rPr>
      </w:pPr>
      <w:r>
        <w:rPr>
          <w:color w:val="000000" w:themeColor="text1"/>
          <w:lang w:eastAsia="ja-JP"/>
        </w:rPr>
        <w:t>-</w:t>
      </w:r>
      <w:r>
        <w:rPr>
          <w:color w:val="000000" w:themeColor="text1"/>
          <w:lang w:eastAsia="ja-JP"/>
        </w:rPr>
        <w:tab/>
        <w:t xml:space="preserve">the value range of </w:t>
      </w:r>
      <w:r>
        <w:rPr>
          <w:rFonts w:eastAsia="DengXian"/>
          <w:i/>
          <w:color w:val="000000" w:themeColor="text1"/>
          <w:lang w:eastAsia="ja-JP"/>
        </w:rPr>
        <w:t>pdcch-BlindDetectionCG-UE</w:t>
      </w:r>
      <w:r>
        <w:rPr>
          <w:i/>
          <w:iCs/>
          <w:color w:val="000000" w:themeColor="text1"/>
          <w:lang w:eastAsia="ja-JP"/>
        </w:rPr>
        <w:t>1</w:t>
      </w:r>
      <w:r>
        <w:rPr>
          <w:rFonts w:eastAsia="DengXian"/>
          <w:color w:val="000000" w:themeColor="text1"/>
          <w:lang w:eastAsia="ja-JP"/>
        </w:rPr>
        <w:t xml:space="preserve"> </w:t>
      </w:r>
      <w:r w:rsidR="005C773B">
        <w:rPr>
          <w:rFonts w:eastAsia="DengXian"/>
          <w:color w:val="000000" w:themeColor="text1"/>
          <w:lang w:eastAsia="ja-JP"/>
        </w:rPr>
        <w:t xml:space="preserve">for the MCG </w:t>
      </w:r>
      <w:r>
        <w:rPr>
          <w:rFonts w:eastAsia="DengXian"/>
          <w:color w:val="000000" w:themeColor="text1"/>
          <w:lang w:eastAsia="ja-JP"/>
        </w:rPr>
        <w:t xml:space="preserve">or of </w:t>
      </w:r>
      <w:r>
        <w:rPr>
          <w:rFonts w:eastAsia="DengXian"/>
          <w:i/>
          <w:color w:val="000000" w:themeColor="text1"/>
          <w:lang w:eastAsia="ja-JP"/>
        </w:rPr>
        <w:t>pdcch-BlindDetectionCG-UE</w:t>
      </w:r>
      <w:r>
        <w:rPr>
          <w:i/>
          <w:iCs/>
          <w:color w:val="000000" w:themeColor="text1"/>
          <w:lang w:eastAsia="ja-JP"/>
        </w:rPr>
        <w:t>1</w:t>
      </w:r>
      <w:r>
        <w:rPr>
          <w:color w:val="000000" w:themeColor="text1"/>
          <w:lang w:eastAsia="ja-JP"/>
        </w:rPr>
        <w:t xml:space="preserve"> </w:t>
      </w:r>
      <w:r w:rsidR="005C773B">
        <w:rPr>
          <w:rFonts w:eastAsia="DengXian"/>
          <w:color w:val="000000" w:themeColor="text1"/>
          <w:lang w:eastAsia="ja-JP"/>
        </w:rPr>
        <w:t xml:space="preserve">for the </w:t>
      </w:r>
      <w:r w:rsidR="005C773B">
        <w:rPr>
          <w:rFonts w:eastAsia="DengXian"/>
          <w:color w:val="000000" w:themeColor="text1"/>
          <w:lang w:val="en-GB" w:eastAsia="ja-JP"/>
        </w:rPr>
        <w:t>S</w:t>
      </w:r>
      <w:r w:rsidR="005C773B">
        <w:rPr>
          <w:rFonts w:eastAsia="DengXian"/>
          <w:color w:val="000000" w:themeColor="text1"/>
          <w:lang w:eastAsia="ja-JP"/>
        </w:rPr>
        <w:t xml:space="preserve">CG </w:t>
      </w:r>
      <w:r>
        <w:rPr>
          <w:color w:val="000000" w:themeColor="text1"/>
          <w:lang w:eastAsia="ja-JP"/>
        </w:rPr>
        <w:t>is [0, 1, 2],</w:t>
      </w:r>
    </w:p>
    <w:p w14:paraId="23B41EE5" w14:textId="76604FA5" w:rsidR="00BC0B43" w:rsidRDefault="00BC0B43" w:rsidP="00BC0B43">
      <w:pPr>
        <w:pStyle w:val="B1"/>
        <w:rPr>
          <w:color w:val="000000" w:themeColor="text1"/>
          <w:lang w:eastAsia="zh-CN"/>
        </w:rPr>
      </w:pPr>
      <w:r>
        <w:rPr>
          <w:iCs/>
          <w:color w:val="000000" w:themeColor="text1"/>
          <w:lang w:eastAsia="ja-JP"/>
        </w:rPr>
        <w:t>-</w:t>
      </w:r>
      <w:r>
        <w:rPr>
          <w:iCs/>
          <w:color w:val="000000" w:themeColor="text1"/>
          <w:lang w:eastAsia="ja-JP"/>
        </w:rPr>
        <w:tab/>
      </w:r>
      <w:r>
        <w:rPr>
          <w:i/>
          <w:iCs/>
          <w:color w:val="000000" w:themeColor="text1"/>
          <w:lang w:eastAsia="ja-JP"/>
        </w:rPr>
        <w:t>pdcch-BlindDetectionCG-UE1</w:t>
      </w:r>
      <w:r>
        <w:rPr>
          <w:color w:val="000000" w:themeColor="text1"/>
          <w:lang w:eastAsia="ja-JP"/>
        </w:rPr>
        <w:t xml:space="preserve"> </w:t>
      </w:r>
      <w:r w:rsidR="005C773B">
        <w:rPr>
          <w:rFonts w:eastAsia="DengXian"/>
          <w:color w:val="000000" w:themeColor="text1"/>
          <w:lang w:eastAsia="ja-JP"/>
        </w:rPr>
        <w:t xml:space="preserve">for the MCG </w:t>
      </w:r>
      <w:r>
        <w:rPr>
          <w:color w:val="000000" w:themeColor="text1"/>
          <w:lang w:eastAsia="ja-JP"/>
        </w:rPr>
        <w:t xml:space="preserve">+ </w:t>
      </w:r>
      <w:r>
        <w:rPr>
          <w:i/>
          <w:iCs/>
          <w:color w:val="000000" w:themeColor="text1"/>
          <w:lang w:eastAsia="ja-JP"/>
        </w:rPr>
        <w:t>pdcch-BlindDetectionCG-UE1</w:t>
      </w:r>
      <w:r>
        <w:rPr>
          <w:iCs/>
          <w:color w:val="000000" w:themeColor="text1"/>
          <w:lang w:eastAsia="ja-JP"/>
        </w:rPr>
        <w:t xml:space="preserve"> </w:t>
      </w:r>
      <w:r w:rsidR="005C773B">
        <w:rPr>
          <w:rFonts w:eastAsia="DengXian"/>
          <w:color w:val="000000" w:themeColor="text1"/>
          <w:lang w:eastAsia="ja-JP"/>
        </w:rPr>
        <w:t xml:space="preserve">for the </w:t>
      </w:r>
      <w:r w:rsidR="005C773B">
        <w:rPr>
          <w:rFonts w:eastAsia="DengXian"/>
          <w:color w:val="000000" w:themeColor="text1"/>
          <w:lang w:val="en-GB" w:eastAsia="ja-JP"/>
        </w:rPr>
        <w:t>S</w:t>
      </w:r>
      <w:r w:rsidR="005C773B">
        <w:rPr>
          <w:rFonts w:eastAsia="DengXian"/>
          <w:color w:val="000000" w:themeColor="text1"/>
          <w:lang w:eastAsia="ja-JP"/>
        </w:rPr>
        <w:t xml:space="preserve">CG </w:t>
      </w:r>
      <w:r>
        <w:rPr>
          <w:iCs/>
          <w:color w:val="000000" w:themeColor="text1"/>
          <w:lang w:eastAsia="ja-JP"/>
        </w:rPr>
        <w:t xml:space="preserve">&gt;=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r15</m:t>
            </m:r>
          </m:sub>
          <m:sup>
            <m:r>
              <m:rPr>
                <m:sty m:val="p"/>
              </m:rPr>
              <w:rPr>
                <w:rFonts w:ascii="Cambria Math" w:hAnsi="Cambria Math"/>
                <w:color w:val="000000" w:themeColor="text1"/>
                <w:lang w:eastAsia="zh-CN"/>
              </w:rPr>
              <m:t>DL,cells</m:t>
            </m:r>
          </m:sup>
        </m:sSubSup>
      </m:oMath>
      <w:r>
        <w:rPr>
          <w:color w:val="000000" w:themeColor="text1"/>
          <w:lang w:eastAsia="zh-CN"/>
        </w:rPr>
        <w:t>.</w:t>
      </w:r>
    </w:p>
    <w:p w14:paraId="5011FD40" w14:textId="5D610E67" w:rsidR="00BC0B43" w:rsidRDefault="00BC0B43" w:rsidP="00BC0B43">
      <w:pPr>
        <w:rPr>
          <w:iCs/>
          <w:color w:val="000000" w:themeColor="text1"/>
          <w:lang w:eastAsia="ja-JP"/>
        </w:rPr>
      </w:pPr>
      <w:r>
        <w:rPr>
          <w:color w:val="000000" w:themeColor="text1"/>
          <w:lang w:eastAsia="ja-JP"/>
        </w:rPr>
        <w:t xml:space="preserve">If the UE reports </w:t>
      </w:r>
      <w:r>
        <w:rPr>
          <w:i/>
          <w:iCs/>
          <w:color w:val="000000" w:themeColor="text1"/>
          <w:lang w:eastAsia="ja-JP"/>
        </w:rPr>
        <w:t>pdcch-BlindDetectionCA2</w:t>
      </w:r>
      <w:r w:rsidR="005C773B">
        <w:rPr>
          <w:i/>
          <w:iCs/>
          <w:color w:val="000000" w:themeColor="text1"/>
          <w:lang w:eastAsia="ja-JP"/>
        </w:rPr>
        <w:t xml:space="preserve"> </w:t>
      </w:r>
      <w:r w:rsidR="005C773B">
        <w:rPr>
          <w:rFonts w:eastAsia="DengXian"/>
          <w:lang w:eastAsia="ko-KR"/>
        </w:rPr>
        <w:t>in</w:t>
      </w:r>
      <w:r w:rsidR="005C773B" w:rsidRPr="00044175">
        <w:rPr>
          <w:rFonts w:eastAsia="DengXian"/>
          <w:lang w:eastAsia="ko-KR"/>
        </w:rPr>
        <w:t xml:space="preserve"> </w:t>
      </w:r>
      <w:r w:rsidR="005C773B" w:rsidRPr="00044175">
        <w:rPr>
          <w:i/>
        </w:rPr>
        <w:t>pdcch-BlindDetectionMixedList</w:t>
      </w:r>
      <w:r w:rsidR="005C773B">
        <w:rPr>
          <w:i/>
        </w:rPr>
        <w:t>3</w:t>
      </w:r>
      <w:r>
        <w:rPr>
          <w:iCs/>
          <w:color w:val="000000" w:themeColor="text1"/>
          <w:lang w:eastAsia="ja-JP"/>
        </w:rPr>
        <w:t>,</w:t>
      </w:r>
    </w:p>
    <w:p w14:paraId="5D2D53B8" w14:textId="2ADC2FAD" w:rsidR="00BC0B43" w:rsidRDefault="00BC0B43" w:rsidP="00BC0B43">
      <w:pPr>
        <w:pStyle w:val="B1"/>
        <w:rPr>
          <w:color w:val="000000" w:themeColor="text1"/>
          <w:lang w:eastAsia="ja-JP"/>
        </w:rPr>
      </w:pPr>
      <w:r>
        <w:rPr>
          <w:color w:val="000000" w:themeColor="text1"/>
          <w:lang w:eastAsia="ja-JP"/>
        </w:rPr>
        <w:t>-</w:t>
      </w:r>
      <w:r>
        <w:rPr>
          <w:color w:val="000000" w:themeColor="text1"/>
          <w:lang w:eastAsia="ja-JP"/>
        </w:rPr>
        <w:tab/>
        <w:t xml:space="preserve">the value range of </w:t>
      </w:r>
      <w:r>
        <w:rPr>
          <w:rFonts w:eastAsia="DengXian"/>
          <w:i/>
          <w:color w:val="000000" w:themeColor="text1"/>
          <w:lang w:eastAsia="ja-JP"/>
        </w:rPr>
        <w:t>pdcch-BlindDetectionCG-UE</w:t>
      </w:r>
      <w:r>
        <w:rPr>
          <w:i/>
          <w:iCs/>
          <w:color w:val="000000" w:themeColor="text1"/>
          <w:lang w:val="en-US" w:eastAsia="ja-JP"/>
        </w:rPr>
        <w:t>2</w:t>
      </w:r>
      <w:r>
        <w:rPr>
          <w:rFonts w:eastAsia="DengXian"/>
          <w:color w:val="000000" w:themeColor="text1"/>
          <w:lang w:eastAsia="ja-JP"/>
        </w:rPr>
        <w:t xml:space="preserve"> </w:t>
      </w:r>
      <w:r w:rsidR="005C773B">
        <w:rPr>
          <w:rFonts w:eastAsia="DengXian"/>
          <w:color w:val="000000" w:themeColor="text1"/>
          <w:lang w:eastAsia="ja-JP"/>
        </w:rPr>
        <w:t xml:space="preserve">for the MCG </w:t>
      </w:r>
      <w:r>
        <w:rPr>
          <w:rFonts w:eastAsia="DengXian"/>
          <w:color w:val="000000" w:themeColor="text1"/>
          <w:lang w:eastAsia="ja-JP"/>
        </w:rPr>
        <w:t xml:space="preserve">or of </w:t>
      </w:r>
      <w:r>
        <w:rPr>
          <w:rFonts w:eastAsia="DengXian"/>
          <w:i/>
          <w:color w:val="000000" w:themeColor="text1"/>
          <w:lang w:eastAsia="ja-JP"/>
        </w:rPr>
        <w:t>pdcch-BlindDetectionCG-</w:t>
      </w:r>
      <w:r w:rsidR="005C773B">
        <w:rPr>
          <w:rFonts w:eastAsia="DengXian"/>
          <w:i/>
          <w:color w:val="000000" w:themeColor="text1"/>
          <w:lang w:eastAsia="ja-JP"/>
        </w:rPr>
        <w:t>UE</w:t>
      </w:r>
      <w:r w:rsidR="005C773B">
        <w:rPr>
          <w:i/>
          <w:iCs/>
          <w:color w:val="000000" w:themeColor="text1"/>
          <w:lang w:val="en-GB" w:eastAsia="ja-JP"/>
        </w:rPr>
        <w:t>2</w:t>
      </w:r>
      <w:r w:rsidR="005C773B">
        <w:rPr>
          <w:color w:val="000000" w:themeColor="text1"/>
          <w:lang w:eastAsia="ja-JP"/>
        </w:rPr>
        <w:t xml:space="preserve"> </w:t>
      </w:r>
      <w:r w:rsidR="005C773B">
        <w:rPr>
          <w:rFonts w:eastAsia="DengXian"/>
          <w:color w:val="000000" w:themeColor="text1"/>
          <w:lang w:eastAsia="ja-JP"/>
        </w:rPr>
        <w:t xml:space="preserve">for the </w:t>
      </w:r>
      <w:r w:rsidR="005C773B">
        <w:rPr>
          <w:rFonts w:eastAsia="DengXian"/>
          <w:color w:val="000000" w:themeColor="text1"/>
          <w:lang w:val="en-GB" w:eastAsia="ja-JP"/>
        </w:rPr>
        <w:t>S</w:t>
      </w:r>
      <w:r w:rsidR="005C773B">
        <w:rPr>
          <w:rFonts w:eastAsia="DengXian"/>
          <w:color w:val="000000" w:themeColor="text1"/>
          <w:lang w:eastAsia="ja-JP"/>
        </w:rPr>
        <w:t xml:space="preserve">CG </w:t>
      </w:r>
      <w:r>
        <w:rPr>
          <w:color w:val="000000" w:themeColor="text1"/>
          <w:lang w:eastAsia="ja-JP"/>
        </w:rPr>
        <w:t xml:space="preserve">is [0, 1, …, </w:t>
      </w:r>
      <w:r>
        <w:rPr>
          <w:i/>
          <w:iCs/>
          <w:color w:val="000000" w:themeColor="text1"/>
          <w:lang w:eastAsia="ja-JP"/>
        </w:rPr>
        <w:t>pdcch-BlindDetectionCA</w:t>
      </w:r>
      <w:r>
        <w:rPr>
          <w:i/>
          <w:iCs/>
          <w:color w:val="000000" w:themeColor="text1"/>
          <w:lang w:val="en-US" w:eastAsia="ja-JP"/>
        </w:rPr>
        <w:t>2</w:t>
      </w:r>
      <w:r>
        <w:rPr>
          <w:color w:val="000000" w:themeColor="text1"/>
          <w:lang w:eastAsia="ja-JP"/>
        </w:rPr>
        <w:t xml:space="preserve">], and </w:t>
      </w:r>
    </w:p>
    <w:p w14:paraId="2EF1A105" w14:textId="7F7D0EE2" w:rsidR="00BC0B43" w:rsidRDefault="00BC0B43" w:rsidP="00BC0B43">
      <w:pPr>
        <w:pStyle w:val="B1"/>
        <w:rPr>
          <w:iCs/>
          <w:color w:val="000000" w:themeColor="text1"/>
          <w:lang w:eastAsia="ja-JP"/>
        </w:rPr>
      </w:pPr>
      <w:r>
        <w:rPr>
          <w:iCs/>
          <w:color w:val="000000" w:themeColor="text1"/>
          <w:lang w:eastAsia="ja-JP"/>
        </w:rPr>
        <w:t>-</w:t>
      </w:r>
      <w:r>
        <w:rPr>
          <w:iCs/>
          <w:color w:val="000000" w:themeColor="text1"/>
          <w:lang w:eastAsia="ja-JP"/>
        </w:rPr>
        <w:tab/>
      </w:r>
      <w:r>
        <w:rPr>
          <w:i/>
          <w:iCs/>
          <w:color w:val="000000" w:themeColor="text1"/>
          <w:lang w:eastAsia="ja-JP"/>
        </w:rPr>
        <w:t>pdcch-BlindDetectionCG-UE</w:t>
      </w:r>
      <w:r>
        <w:rPr>
          <w:i/>
          <w:iCs/>
          <w:color w:val="000000" w:themeColor="text1"/>
          <w:lang w:val="en-US" w:eastAsia="ja-JP"/>
        </w:rPr>
        <w:t>2</w:t>
      </w:r>
      <w:r>
        <w:rPr>
          <w:color w:val="000000" w:themeColor="text1"/>
          <w:lang w:eastAsia="ja-JP"/>
        </w:rPr>
        <w:t xml:space="preserve"> </w:t>
      </w:r>
      <w:r w:rsidR="005C773B">
        <w:rPr>
          <w:rFonts w:eastAsia="DengXian"/>
          <w:color w:val="000000" w:themeColor="text1"/>
          <w:lang w:eastAsia="ja-JP"/>
        </w:rPr>
        <w:t xml:space="preserve">for the MCG </w:t>
      </w:r>
      <w:r>
        <w:rPr>
          <w:color w:val="000000" w:themeColor="text1"/>
          <w:lang w:eastAsia="ja-JP"/>
        </w:rPr>
        <w:t xml:space="preserve">+ </w:t>
      </w:r>
      <w:r>
        <w:rPr>
          <w:i/>
          <w:iCs/>
          <w:color w:val="000000" w:themeColor="text1"/>
          <w:lang w:eastAsia="ja-JP"/>
        </w:rPr>
        <w:t>pdcch-BlindDetectionCG-UE</w:t>
      </w:r>
      <w:r>
        <w:rPr>
          <w:i/>
          <w:iCs/>
          <w:color w:val="000000" w:themeColor="text1"/>
          <w:lang w:val="en-US" w:eastAsia="ja-JP"/>
        </w:rPr>
        <w:t xml:space="preserve">2 </w:t>
      </w:r>
      <w:r w:rsidR="005C773B">
        <w:rPr>
          <w:rFonts w:eastAsia="DengXian"/>
          <w:color w:val="000000" w:themeColor="text1"/>
          <w:lang w:eastAsia="ja-JP"/>
        </w:rPr>
        <w:t xml:space="preserve">for the </w:t>
      </w:r>
      <w:r w:rsidR="005C773B">
        <w:rPr>
          <w:rFonts w:eastAsia="DengXian"/>
          <w:color w:val="000000" w:themeColor="text1"/>
          <w:lang w:val="en-GB" w:eastAsia="ja-JP"/>
        </w:rPr>
        <w:t>S</w:t>
      </w:r>
      <w:r w:rsidR="005C773B">
        <w:rPr>
          <w:rFonts w:eastAsia="DengXian"/>
          <w:color w:val="000000" w:themeColor="text1"/>
          <w:lang w:eastAsia="ja-JP"/>
        </w:rPr>
        <w:t xml:space="preserve">CG </w:t>
      </w:r>
      <w:r>
        <w:rPr>
          <w:iCs/>
          <w:color w:val="000000" w:themeColor="text1"/>
          <w:lang w:eastAsia="ja-JP"/>
        </w:rPr>
        <w:t xml:space="preserve">&gt;= </w:t>
      </w:r>
      <w:r>
        <w:rPr>
          <w:i/>
          <w:iCs/>
          <w:color w:val="000000" w:themeColor="text1"/>
          <w:lang w:eastAsia="ja-JP"/>
        </w:rPr>
        <w:t>pdcch-BlindDetectionCA</w:t>
      </w:r>
      <w:r>
        <w:rPr>
          <w:i/>
          <w:iCs/>
          <w:color w:val="000000" w:themeColor="text1"/>
          <w:lang w:val="en-US" w:eastAsia="ja-JP"/>
        </w:rPr>
        <w:t>2</w:t>
      </w:r>
      <w:r>
        <w:rPr>
          <w:iCs/>
          <w:color w:val="000000" w:themeColor="text1"/>
          <w:lang w:eastAsia="ja-JP"/>
        </w:rPr>
        <w:t xml:space="preserve">. </w:t>
      </w:r>
    </w:p>
    <w:p w14:paraId="06BB1B3B" w14:textId="77777777" w:rsidR="00BC0B43" w:rsidRDefault="00BC0B43" w:rsidP="00BC0B43">
      <w:pPr>
        <w:rPr>
          <w:iCs/>
          <w:color w:val="000000" w:themeColor="text1"/>
          <w:lang w:eastAsia="ja-JP"/>
        </w:rPr>
      </w:pPr>
      <w:r>
        <w:rPr>
          <w:iCs/>
          <w:color w:val="000000" w:themeColor="text1"/>
          <w:lang w:eastAsia="ja-JP"/>
        </w:rPr>
        <w:t>Otherwise,</w:t>
      </w:r>
      <w:r>
        <w:rPr>
          <w:color w:val="000000" w:themeColor="text1"/>
        </w:rPr>
        <w:t xml:space="preserve"> if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r16</m:t>
            </m:r>
          </m:sub>
          <m:sup>
            <m:r>
              <m:rPr>
                <m:sty m:val="p"/>
              </m:rPr>
              <w:rPr>
                <w:rFonts w:ascii="Cambria Math" w:hAnsi="Cambria Math"/>
                <w:color w:val="000000" w:themeColor="text1"/>
                <w:lang w:eastAsia="zh-CN"/>
              </w:rPr>
              <m:t>DL,cells</m:t>
            </m:r>
          </m:sup>
        </m:sSubSup>
      </m:oMath>
      <w:r>
        <w:rPr>
          <w:color w:val="000000" w:themeColor="text1"/>
        </w:rPr>
        <w:t xml:space="preserve"> is a maximum total number of downlink cells for which the UE is provided </w:t>
      </w:r>
      <w:r>
        <w:rPr>
          <w:i/>
        </w:rPr>
        <w:t>monitoringCapabilityConfig</w:t>
      </w:r>
      <w:r>
        <w:t xml:space="preserve"> = </w:t>
      </w:r>
      <w:r>
        <w:rPr>
          <w:i/>
        </w:rPr>
        <w:t>r16monitoringcapability</w:t>
      </w:r>
      <w:r>
        <w:t xml:space="preserve"> and</w:t>
      </w:r>
      <w:r>
        <w:rPr>
          <w:color w:val="000000" w:themeColor="text1"/>
        </w:rPr>
        <w:t xml:space="preserve"> the UE is configured on both the MCG and the SCG for NR-DC as indicated in </w:t>
      </w:r>
      <w:r>
        <w:rPr>
          <w:i/>
          <w:iCs/>
          <w:color w:val="000000" w:themeColor="text1"/>
        </w:rPr>
        <w:t>UE-NR-Capability</w:t>
      </w:r>
    </w:p>
    <w:p w14:paraId="531054D0" w14:textId="4DCFEF23" w:rsidR="00BC0B43" w:rsidRDefault="00BC0B43" w:rsidP="00BC0B43">
      <w:pPr>
        <w:pStyle w:val="B1"/>
        <w:rPr>
          <w:color w:val="000000" w:themeColor="text1"/>
          <w:lang w:eastAsia="ja-JP"/>
        </w:rPr>
      </w:pPr>
      <w:r>
        <w:rPr>
          <w:color w:val="000000" w:themeColor="text1"/>
          <w:lang w:eastAsia="ja-JP"/>
        </w:rPr>
        <w:t>-</w:t>
      </w:r>
      <w:r>
        <w:rPr>
          <w:color w:val="000000" w:themeColor="text1"/>
          <w:lang w:eastAsia="ja-JP"/>
        </w:rPr>
        <w:tab/>
        <w:t xml:space="preserve">the value range of </w:t>
      </w:r>
      <w:r>
        <w:rPr>
          <w:rFonts w:eastAsia="DengXian"/>
          <w:i/>
          <w:color w:val="000000" w:themeColor="text1"/>
          <w:lang w:eastAsia="ja-JP"/>
        </w:rPr>
        <w:t>pdcch-BlindDetectionCG-UE</w:t>
      </w:r>
      <w:r>
        <w:rPr>
          <w:i/>
          <w:iCs/>
          <w:color w:val="000000" w:themeColor="text1"/>
          <w:lang w:val="en-US" w:eastAsia="ja-JP"/>
        </w:rPr>
        <w:t>2</w:t>
      </w:r>
      <w:r>
        <w:rPr>
          <w:rFonts w:eastAsia="DengXian"/>
          <w:color w:val="000000" w:themeColor="text1"/>
          <w:lang w:eastAsia="ja-JP"/>
        </w:rPr>
        <w:t xml:space="preserve"> </w:t>
      </w:r>
      <w:r w:rsidR="008C18EF">
        <w:rPr>
          <w:rFonts w:eastAsia="DengXian"/>
          <w:color w:val="000000" w:themeColor="text1"/>
          <w:lang w:eastAsia="ja-JP"/>
        </w:rPr>
        <w:t xml:space="preserve">for the MCG </w:t>
      </w:r>
      <w:r>
        <w:rPr>
          <w:rFonts w:eastAsia="DengXian"/>
          <w:color w:val="000000" w:themeColor="text1"/>
          <w:lang w:eastAsia="ja-JP"/>
        </w:rPr>
        <w:t xml:space="preserve">or of </w:t>
      </w:r>
      <w:r>
        <w:rPr>
          <w:rFonts w:eastAsia="DengXian"/>
          <w:i/>
          <w:color w:val="000000" w:themeColor="text1"/>
          <w:lang w:eastAsia="ja-JP"/>
        </w:rPr>
        <w:t>pdcch-BlindDetectionCG-UE</w:t>
      </w:r>
      <w:r>
        <w:rPr>
          <w:i/>
          <w:iCs/>
          <w:color w:val="000000" w:themeColor="text1"/>
          <w:lang w:val="en-US" w:eastAsia="ja-JP"/>
        </w:rPr>
        <w:t>2</w:t>
      </w:r>
      <w:r>
        <w:rPr>
          <w:color w:val="000000" w:themeColor="text1"/>
          <w:lang w:eastAsia="ja-JP"/>
        </w:rPr>
        <w:t xml:space="preserve"> </w:t>
      </w:r>
      <w:r w:rsidR="008C18EF">
        <w:rPr>
          <w:rFonts w:eastAsia="DengXian"/>
          <w:color w:val="000000" w:themeColor="text1"/>
          <w:lang w:eastAsia="ja-JP"/>
        </w:rPr>
        <w:t xml:space="preserve">for the </w:t>
      </w:r>
      <w:r w:rsidR="008C18EF">
        <w:rPr>
          <w:rFonts w:eastAsia="DengXian"/>
          <w:color w:val="000000" w:themeColor="text1"/>
          <w:lang w:val="en-GB" w:eastAsia="ja-JP"/>
        </w:rPr>
        <w:t>S</w:t>
      </w:r>
      <w:r w:rsidR="008C18EF">
        <w:rPr>
          <w:rFonts w:eastAsia="DengXian"/>
          <w:color w:val="000000" w:themeColor="text1"/>
          <w:lang w:eastAsia="ja-JP"/>
        </w:rPr>
        <w:t xml:space="preserve">CG </w:t>
      </w:r>
      <w:r>
        <w:rPr>
          <w:color w:val="000000" w:themeColor="text1"/>
          <w:lang w:eastAsia="ja-JP"/>
        </w:rPr>
        <w:t>is [0, 1],</w:t>
      </w:r>
    </w:p>
    <w:p w14:paraId="34929A1D" w14:textId="0B344CB2" w:rsidR="00BC0B43" w:rsidRDefault="00BC0B43" w:rsidP="00BC0B43">
      <w:pPr>
        <w:pStyle w:val="B1"/>
        <w:rPr>
          <w:color w:val="000000" w:themeColor="text1"/>
          <w:lang w:eastAsia="zh-CN"/>
        </w:rPr>
      </w:pPr>
      <w:r>
        <w:rPr>
          <w:iCs/>
          <w:color w:val="000000" w:themeColor="text1"/>
          <w:lang w:eastAsia="ja-JP"/>
        </w:rPr>
        <w:t>-</w:t>
      </w:r>
      <w:r>
        <w:rPr>
          <w:iCs/>
          <w:color w:val="000000" w:themeColor="text1"/>
          <w:lang w:eastAsia="ja-JP"/>
        </w:rPr>
        <w:tab/>
      </w:r>
      <w:r>
        <w:rPr>
          <w:i/>
          <w:iCs/>
          <w:color w:val="000000" w:themeColor="text1"/>
          <w:lang w:eastAsia="ja-JP"/>
        </w:rPr>
        <w:t>pdcch-BlindDetectionCG-UE</w:t>
      </w:r>
      <w:r>
        <w:rPr>
          <w:i/>
          <w:iCs/>
          <w:color w:val="000000" w:themeColor="text1"/>
          <w:lang w:val="en-US" w:eastAsia="ja-JP"/>
        </w:rPr>
        <w:t>2</w:t>
      </w:r>
      <w:r>
        <w:rPr>
          <w:color w:val="000000" w:themeColor="text1"/>
          <w:lang w:eastAsia="ja-JP"/>
        </w:rPr>
        <w:t xml:space="preserve"> </w:t>
      </w:r>
      <w:r w:rsidR="008C18EF">
        <w:rPr>
          <w:rFonts w:eastAsia="DengXian"/>
          <w:color w:val="000000" w:themeColor="text1"/>
          <w:lang w:eastAsia="ja-JP"/>
        </w:rPr>
        <w:t xml:space="preserve">for the MCG </w:t>
      </w:r>
      <w:r>
        <w:rPr>
          <w:color w:val="000000" w:themeColor="text1"/>
          <w:lang w:eastAsia="ja-JP"/>
        </w:rPr>
        <w:t xml:space="preserve">+ </w:t>
      </w:r>
      <w:r>
        <w:rPr>
          <w:i/>
          <w:iCs/>
          <w:color w:val="000000" w:themeColor="text1"/>
          <w:lang w:eastAsia="ja-JP"/>
        </w:rPr>
        <w:t>pdcch-BlindDetectionCG-UE</w:t>
      </w:r>
      <w:r>
        <w:rPr>
          <w:i/>
          <w:iCs/>
          <w:color w:val="000000" w:themeColor="text1"/>
          <w:lang w:val="en-US" w:eastAsia="ja-JP"/>
        </w:rPr>
        <w:t>2</w:t>
      </w:r>
      <w:r>
        <w:rPr>
          <w:iCs/>
          <w:color w:val="000000" w:themeColor="text1"/>
          <w:lang w:eastAsia="ja-JP"/>
        </w:rPr>
        <w:t xml:space="preserve"> </w:t>
      </w:r>
      <w:r w:rsidR="008C18EF">
        <w:rPr>
          <w:rFonts w:eastAsia="DengXian"/>
          <w:color w:val="000000" w:themeColor="text1"/>
          <w:lang w:eastAsia="ja-JP"/>
        </w:rPr>
        <w:t xml:space="preserve">for the </w:t>
      </w:r>
      <w:r w:rsidR="008C18EF">
        <w:rPr>
          <w:rFonts w:eastAsia="DengXian"/>
          <w:color w:val="000000" w:themeColor="text1"/>
          <w:lang w:val="en-GB" w:eastAsia="ja-JP"/>
        </w:rPr>
        <w:t>S</w:t>
      </w:r>
      <w:r w:rsidR="008C18EF">
        <w:rPr>
          <w:rFonts w:eastAsia="DengXian"/>
          <w:color w:val="000000" w:themeColor="text1"/>
          <w:lang w:eastAsia="ja-JP"/>
        </w:rPr>
        <w:t xml:space="preserve">CG </w:t>
      </w:r>
      <w:r>
        <w:rPr>
          <w:iCs/>
          <w:color w:val="000000" w:themeColor="text1"/>
          <w:lang w:eastAsia="ja-JP"/>
        </w:rPr>
        <w:t xml:space="preserve">&gt;=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r16</m:t>
            </m:r>
          </m:sub>
          <m:sup>
            <m:r>
              <m:rPr>
                <m:sty m:val="p"/>
              </m:rPr>
              <w:rPr>
                <w:rFonts w:ascii="Cambria Math" w:hAnsi="Cambria Math"/>
                <w:color w:val="000000" w:themeColor="text1"/>
                <w:lang w:eastAsia="zh-CN"/>
              </w:rPr>
              <m:t>DL,cells</m:t>
            </m:r>
          </m:sup>
        </m:sSubSup>
      </m:oMath>
      <w:r>
        <w:rPr>
          <w:color w:val="000000" w:themeColor="text1"/>
          <w:lang w:eastAsia="zh-CN"/>
        </w:rPr>
        <w:t>.</w:t>
      </w:r>
    </w:p>
    <w:p w14:paraId="772F093F" w14:textId="5F3360D8" w:rsidR="00BC0B43" w:rsidRDefault="00BC0B43" w:rsidP="00BC0B43">
      <w:pPr>
        <w:rPr>
          <w:iCs/>
          <w:color w:val="000000" w:themeColor="text1"/>
          <w:lang w:eastAsia="ja-JP"/>
        </w:rPr>
      </w:pPr>
      <w:r>
        <w:rPr>
          <w:color w:val="000000" w:themeColor="text1"/>
          <w:lang w:eastAsia="ja-JP"/>
        </w:rPr>
        <w:t xml:space="preserve">If the UE reports </w:t>
      </w:r>
      <w:r>
        <w:rPr>
          <w:i/>
          <w:iCs/>
          <w:color w:val="000000" w:themeColor="text1"/>
          <w:lang w:eastAsia="ja-JP"/>
        </w:rPr>
        <w:t>pdcch-BlindDetectionCA3</w:t>
      </w:r>
      <w:r>
        <w:rPr>
          <w:iCs/>
          <w:color w:val="000000" w:themeColor="text1"/>
          <w:lang w:eastAsia="ja-JP"/>
        </w:rPr>
        <w:t xml:space="preserve"> </w:t>
      </w:r>
      <w:r w:rsidR="005C773B">
        <w:rPr>
          <w:rFonts w:eastAsia="DengXian"/>
          <w:lang w:eastAsia="ko-KR"/>
        </w:rPr>
        <w:t>in</w:t>
      </w:r>
      <w:r w:rsidR="005C773B" w:rsidRPr="00044175">
        <w:rPr>
          <w:rFonts w:eastAsia="DengXian"/>
          <w:lang w:eastAsia="ko-KR"/>
        </w:rPr>
        <w:t xml:space="preserve"> </w:t>
      </w:r>
      <w:r w:rsidR="005C773B" w:rsidRPr="00044175">
        <w:rPr>
          <w:i/>
        </w:rPr>
        <w:t>pdcch-BlindDetectionMixedList</w:t>
      </w:r>
      <w:r w:rsidR="005C773B">
        <w:rPr>
          <w:i/>
        </w:rPr>
        <w:t>3</w:t>
      </w:r>
    </w:p>
    <w:p w14:paraId="6282B75C" w14:textId="6C924556" w:rsidR="00BC0B43" w:rsidRDefault="00BC0B43" w:rsidP="00BC0B43">
      <w:pPr>
        <w:pStyle w:val="B1"/>
        <w:rPr>
          <w:color w:val="000000" w:themeColor="text1"/>
          <w:lang w:eastAsia="ja-JP"/>
        </w:rPr>
      </w:pPr>
      <w:r>
        <w:rPr>
          <w:color w:val="000000" w:themeColor="text1"/>
          <w:lang w:eastAsia="ja-JP"/>
        </w:rPr>
        <w:t>-</w:t>
      </w:r>
      <w:r>
        <w:rPr>
          <w:color w:val="000000" w:themeColor="text1"/>
          <w:lang w:eastAsia="ja-JP"/>
        </w:rPr>
        <w:tab/>
        <w:t xml:space="preserve">the value range of </w:t>
      </w:r>
      <w:r>
        <w:rPr>
          <w:rFonts w:eastAsia="DengXian"/>
          <w:i/>
          <w:color w:val="000000" w:themeColor="text1"/>
          <w:lang w:eastAsia="ja-JP"/>
        </w:rPr>
        <w:t>pdcch-BlindDetectionCG-UE</w:t>
      </w:r>
      <w:r>
        <w:rPr>
          <w:i/>
          <w:iCs/>
          <w:color w:val="000000" w:themeColor="text1"/>
          <w:lang w:val="en-US" w:eastAsia="ja-JP"/>
        </w:rPr>
        <w:t>3</w:t>
      </w:r>
      <w:r>
        <w:rPr>
          <w:rFonts w:eastAsia="DengXian"/>
          <w:color w:val="000000" w:themeColor="text1"/>
          <w:lang w:eastAsia="ja-JP"/>
        </w:rPr>
        <w:t xml:space="preserve"> </w:t>
      </w:r>
      <w:r w:rsidR="008C18EF">
        <w:rPr>
          <w:rFonts w:eastAsia="DengXian"/>
          <w:color w:val="000000" w:themeColor="text1"/>
          <w:lang w:eastAsia="ja-JP"/>
        </w:rPr>
        <w:t xml:space="preserve">for the MCG </w:t>
      </w:r>
      <w:r>
        <w:rPr>
          <w:rFonts w:eastAsia="DengXian"/>
          <w:color w:val="000000" w:themeColor="text1"/>
          <w:lang w:eastAsia="ja-JP"/>
        </w:rPr>
        <w:t xml:space="preserve">or of </w:t>
      </w:r>
      <w:r>
        <w:rPr>
          <w:rFonts w:eastAsia="DengXian"/>
          <w:i/>
          <w:color w:val="000000" w:themeColor="text1"/>
          <w:lang w:eastAsia="ja-JP"/>
        </w:rPr>
        <w:t>pdcch-BlindDetectionCG-UE</w:t>
      </w:r>
      <w:r>
        <w:rPr>
          <w:i/>
          <w:iCs/>
          <w:color w:val="000000" w:themeColor="text1"/>
          <w:lang w:val="en-US" w:eastAsia="ja-JP"/>
        </w:rPr>
        <w:t>3</w:t>
      </w:r>
      <w:r>
        <w:rPr>
          <w:color w:val="000000" w:themeColor="text1"/>
          <w:lang w:eastAsia="ja-JP"/>
        </w:rPr>
        <w:t xml:space="preserve"> </w:t>
      </w:r>
      <w:r w:rsidR="008C18EF">
        <w:rPr>
          <w:rFonts w:eastAsia="DengXian"/>
          <w:color w:val="000000" w:themeColor="text1"/>
          <w:lang w:eastAsia="ja-JP"/>
        </w:rPr>
        <w:t xml:space="preserve">for the </w:t>
      </w:r>
      <w:r w:rsidR="008C18EF">
        <w:rPr>
          <w:rFonts w:eastAsia="DengXian"/>
          <w:color w:val="000000" w:themeColor="text1"/>
          <w:lang w:val="en-GB" w:eastAsia="ja-JP"/>
        </w:rPr>
        <w:t>S</w:t>
      </w:r>
      <w:r w:rsidR="008C18EF">
        <w:rPr>
          <w:rFonts w:eastAsia="DengXian"/>
          <w:color w:val="000000" w:themeColor="text1"/>
          <w:lang w:eastAsia="ja-JP"/>
        </w:rPr>
        <w:t xml:space="preserve">CG </w:t>
      </w:r>
      <w:r>
        <w:rPr>
          <w:color w:val="000000" w:themeColor="text1"/>
          <w:lang w:eastAsia="ja-JP"/>
        </w:rPr>
        <w:t xml:space="preserve">is [0, 1, …, </w:t>
      </w:r>
      <w:r>
        <w:rPr>
          <w:i/>
          <w:iCs/>
          <w:color w:val="000000" w:themeColor="text1"/>
          <w:lang w:eastAsia="ja-JP"/>
        </w:rPr>
        <w:t>pdcch-BlindDetectionCA</w:t>
      </w:r>
      <w:r>
        <w:rPr>
          <w:i/>
          <w:iCs/>
          <w:color w:val="000000" w:themeColor="text1"/>
          <w:lang w:val="en-US" w:eastAsia="ja-JP"/>
        </w:rPr>
        <w:t>3</w:t>
      </w:r>
      <w:r>
        <w:rPr>
          <w:color w:val="000000" w:themeColor="text1"/>
          <w:lang w:eastAsia="ja-JP"/>
        </w:rPr>
        <w:t xml:space="preserve">], and </w:t>
      </w:r>
    </w:p>
    <w:p w14:paraId="4BC13FD4" w14:textId="7D0FC410" w:rsidR="00BC0B43" w:rsidRDefault="00BC0B43" w:rsidP="00BC0B43">
      <w:pPr>
        <w:pStyle w:val="B1"/>
        <w:rPr>
          <w:iCs/>
          <w:color w:val="000000" w:themeColor="text1"/>
          <w:lang w:eastAsia="ja-JP"/>
        </w:rPr>
      </w:pPr>
      <w:r>
        <w:rPr>
          <w:iCs/>
          <w:color w:val="000000" w:themeColor="text1"/>
          <w:lang w:eastAsia="ja-JP"/>
        </w:rPr>
        <w:t>-</w:t>
      </w:r>
      <w:r>
        <w:rPr>
          <w:iCs/>
          <w:color w:val="000000" w:themeColor="text1"/>
          <w:lang w:eastAsia="ja-JP"/>
        </w:rPr>
        <w:tab/>
      </w:r>
      <w:r>
        <w:rPr>
          <w:i/>
          <w:iCs/>
          <w:color w:val="000000" w:themeColor="text1"/>
          <w:lang w:eastAsia="ja-JP"/>
        </w:rPr>
        <w:t>pdcch-BlindDetectionCG-UE</w:t>
      </w:r>
      <w:r>
        <w:rPr>
          <w:i/>
          <w:iCs/>
          <w:color w:val="000000" w:themeColor="text1"/>
          <w:lang w:val="en-US" w:eastAsia="ja-JP"/>
        </w:rPr>
        <w:t>3</w:t>
      </w:r>
      <w:r>
        <w:rPr>
          <w:color w:val="000000" w:themeColor="text1"/>
          <w:lang w:eastAsia="ja-JP"/>
        </w:rPr>
        <w:t xml:space="preserve"> </w:t>
      </w:r>
      <w:r w:rsidR="008C18EF">
        <w:rPr>
          <w:rFonts w:eastAsia="DengXian"/>
          <w:color w:val="000000" w:themeColor="text1"/>
          <w:lang w:eastAsia="ja-JP"/>
        </w:rPr>
        <w:t xml:space="preserve">for the MCG </w:t>
      </w:r>
      <w:r>
        <w:rPr>
          <w:color w:val="000000" w:themeColor="text1"/>
          <w:lang w:eastAsia="ja-JP"/>
        </w:rPr>
        <w:t xml:space="preserve">+ </w:t>
      </w:r>
      <w:r>
        <w:rPr>
          <w:i/>
          <w:iCs/>
          <w:color w:val="000000" w:themeColor="text1"/>
          <w:lang w:eastAsia="ja-JP"/>
        </w:rPr>
        <w:t>pdcch-BlindDetectionCG-UE</w:t>
      </w:r>
      <w:r>
        <w:rPr>
          <w:i/>
          <w:iCs/>
          <w:color w:val="000000" w:themeColor="text1"/>
          <w:lang w:val="en-US" w:eastAsia="ja-JP"/>
        </w:rPr>
        <w:t>3</w:t>
      </w:r>
      <w:r>
        <w:rPr>
          <w:iCs/>
          <w:color w:val="000000" w:themeColor="text1"/>
          <w:lang w:eastAsia="ja-JP"/>
        </w:rPr>
        <w:t xml:space="preserve"> </w:t>
      </w:r>
      <w:r w:rsidR="008C18EF">
        <w:rPr>
          <w:rFonts w:eastAsia="DengXian"/>
          <w:color w:val="000000" w:themeColor="text1"/>
          <w:lang w:eastAsia="ja-JP"/>
        </w:rPr>
        <w:t xml:space="preserve">for the </w:t>
      </w:r>
      <w:r w:rsidR="008C18EF">
        <w:rPr>
          <w:rFonts w:eastAsia="DengXian"/>
          <w:color w:val="000000" w:themeColor="text1"/>
          <w:lang w:val="en-GB" w:eastAsia="ja-JP"/>
        </w:rPr>
        <w:t>S</w:t>
      </w:r>
      <w:r w:rsidR="008C18EF">
        <w:rPr>
          <w:rFonts w:eastAsia="DengXian"/>
          <w:color w:val="000000" w:themeColor="text1"/>
          <w:lang w:eastAsia="ja-JP"/>
        </w:rPr>
        <w:t xml:space="preserve">CG </w:t>
      </w:r>
      <w:r>
        <w:rPr>
          <w:iCs/>
          <w:color w:val="000000" w:themeColor="text1"/>
          <w:lang w:eastAsia="ja-JP"/>
        </w:rPr>
        <w:t xml:space="preserve">&gt;= </w:t>
      </w:r>
      <w:r>
        <w:rPr>
          <w:i/>
          <w:iCs/>
          <w:color w:val="000000" w:themeColor="text1"/>
          <w:lang w:eastAsia="ja-JP"/>
        </w:rPr>
        <w:t>pdcch-BlindDetectionCA</w:t>
      </w:r>
      <w:r>
        <w:rPr>
          <w:i/>
          <w:iCs/>
          <w:color w:val="000000" w:themeColor="text1"/>
          <w:lang w:val="en-US" w:eastAsia="ja-JP"/>
        </w:rPr>
        <w:t>3.</w:t>
      </w:r>
      <w:r>
        <w:rPr>
          <w:iCs/>
          <w:color w:val="000000" w:themeColor="text1"/>
          <w:lang w:val="en-US" w:eastAsia="ja-JP"/>
        </w:rPr>
        <w:t xml:space="preserve"> </w:t>
      </w:r>
    </w:p>
    <w:p w14:paraId="4FBA8813" w14:textId="77777777" w:rsidR="00BC0B43" w:rsidRDefault="00BC0B43" w:rsidP="00BC0B43">
      <w:pPr>
        <w:rPr>
          <w:iCs/>
          <w:color w:val="000000" w:themeColor="text1"/>
          <w:lang w:eastAsia="ja-JP"/>
        </w:rPr>
      </w:pPr>
      <w:r>
        <w:rPr>
          <w:iCs/>
          <w:color w:val="000000" w:themeColor="text1"/>
          <w:lang w:eastAsia="ja-JP"/>
        </w:rPr>
        <w:t>Otherwise,</w:t>
      </w:r>
      <w:r>
        <w:rPr>
          <w:color w:val="000000" w:themeColor="text1"/>
        </w:rPr>
        <w:t xml:space="preserve"> if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r17</m:t>
            </m:r>
          </m:sub>
          <m:sup>
            <m:r>
              <m:rPr>
                <m:sty m:val="p"/>
              </m:rPr>
              <w:rPr>
                <w:rFonts w:ascii="Cambria Math" w:hAnsi="Cambria Math"/>
                <w:color w:val="000000" w:themeColor="text1"/>
                <w:lang w:eastAsia="zh-CN"/>
              </w:rPr>
              <m:t>DL,cells</m:t>
            </m:r>
          </m:sup>
        </m:sSubSup>
      </m:oMath>
      <w:r>
        <w:rPr>
          <w:color w:val="000000" w:themeColor="text1"/>
        </w:rPr>
        <w:t xml:space="preserve"> is a maximum total number of downlink cells for which the UE is provided </w:t>
      </w:r>
      <w:r>
        <w:rPr>
          <w:i/>
        </w:rPr>
        <w:t>monitoringCapabilityConfig</w:t>
      </w:r>
      <w:r>
        <w:t xml:space="preserve"> = </w:t>
      </w:r>
      <w:r>
        <w:rPr>
          <w:i/>
        </w:rPr>
        <w:t>r17monitoringcapability</w:t>
      </w:r>
      <w:r>
        <w:t xml:space="preserve"> and</w:t>
      </w:r>
      <w:r>
        <w:rPr>
          <w:color w:val="000000" w:themeColor="text1"/>
        </w:rPr>
        <w:t xml:space="preserve"> the UE is configured on both the MCG and the SCG for NR-DC as indicated in </w:t>
      </w:r>
      <w:r>
        <w:rPr>
          <w:i/>
          <w:iCs/>
          <w:color w:val="000000" w:themeColor="text1"/>
        </w:rPr>
        <w:t>UE-NR-Capability</w:t>
      </w:r>
    </w:p>
    <w:p w14:paraId="4203157F" w14:textId="6FD74F4C" w:rsidR="00BC0B43" w:rsidRDefault="00BC0B43" w:rsidP="00BC0B43">
      <w:pPr>
        <w:pStyle w:val="B1"/>
        <w:rPr>
          <w:color w:val="000000" w:themeColor="text1"/>
          <w:lang w:eastAsia="ja-JP"/>
        </w:rPr>
      </w:pPr>
      <w:r>
        <w:rPr>
          <w:color w:val="000000" w:themeColor="text1"/>
          <w:lang w:eastAsia="ja-JP"/>
        </w:rPr>
        <w:t>-</w:t>
      </w:r>
      <w:r>
        <w:rPr>
          <w:color w:val="000000" w:themeColor="text1"/>
          <w:lang w:eastAsia="ja-JP"/>
        </w:rPr>
        <w:tab/>
        <w:t xml:space="preserve">the value range of </w:t>
      </w:r>
      <w:r>
        <w:rPr>
          <w:rFonts w:eastAsia="DengXian"/>
          <w:i/>
          <w:color w:val="000000" w:themeColor="text1"/>
          <w:lang w:eastAsia="ja-JP"/>
        </w:rPr>
        <w:t>pdcch-BlindDetectionCG-UE</w:t>
      </w:r>
      <w:r>
        <w:rPr>
          <w:i/>
          <w:iCs/>
          <w:color w:val="000000" w:themeColor="text1"/>
          <w:lang w:val="en-US" w:eastAsia="ja-JP"/>
        </w:rPr>
        <w:t>3</w:t>
      </w:r>
      <w:r>
        <w:rPr>
          <w:rFonts w:eastAsia="DengXian"/>
          <w:color w:val="000000" w:themeColor="text1"/>
          <w:lang w:eastAsia="ja-JP"/>
        </w:rPr>
        <w:t xml:space="preserve"> </w:t>
      </w:r>
      <w:r w:rsidR="008C18EF">
        <w:rPr>
          <w:rFonts w:eastAsia="DengXian"/>
          <w:color w:val="000000" w:themeColor="text1"/>
          <w:lang w:eastAsia="ja-JP"/>
        </w:rPr>
        <w:t xml:space="preserve">for the MCG </w:t>
      </w:r>
      <w:r>
        <w:rPr>
          <w:rFonts w:eastAsia="DengXian"/>
          <w:color w:val="000000" w:themeColor="text1"/>
          <w:lang w:eastAsia="ja-JP"/>
        </w:rPr>
        <w:t xml:space="preserve">or of </w:t>
      </w:r>
      <w:r>
        <w:rPr>
          <w:rFonts w:eastAsia="DengXian"/>
          <w:i/>
          <w:color w:val="000000" w:themeColor="text1"/>
          <w:lang w:eastAsia="ja-JP"/>
        </w:rPr>
        <w:t>pdcch-BlindDetectionCG-UE</w:t>
      </w:r>
      <w:r>
        <w:rPr>
          <w:i/>
          <w:iCs/>
          <w:color w:val="000000" w:themeColor="text1"/>
          <w:lang w:val="en-US" w:eastAsia="ja-JP"/>
        </w:rPr>
        <w:t>3</w:t>
      </w:r>
      <w:r>
        <w:rPr>
          <w:color w:val="000000" w:themeColor="text1"/>
          <w:lang w:eastAsia="ja-JP"/>
        </w:rPr>
        <w:t xml:space="preserve"> </w:t>
      </w:r>
      <w:r w:rsidR="008C18EF">
        <w:rPr>
          <w:rFonts w:eastAsia="DengXian"/>
          <w:color w:val="000000" w:themeColor="text1"/>
          <w:lang w:eastAsia="ja-JP"/>
        </w:rPr>
        <w:t xml:space="preserve">for the </w:t>
      </w:r>
      <w:r w:rsidR="008C18EF">
        <w:rPr>
          <w:rFonts w:eastAsia="DengXian"/>
          <w:color w:val="000000" w:themeColor="text1"/>
          <w:lang w:val="en-GB" w:eastAsia="ja-JP"/>
        </w:rPr>
        <w:t>S</w:t>
      </w:r>
      <w:r w:rsidR="008C18EF">
        <w:rPr>
          <w:rFonts w:eastAsia="DengXian"/>
          <w:color w:val="000000" w:themeColor="text1"/>
          <w:lang w:eastAsia="ja-JP"/>
        </w:rPr>
        <w:t xml:space="preserve">CG </w:t>
      </w:r>
      <w:r>
        <w:rPr>
          <w:color w:val="000000" w:themeColor="text1"/>
          <w:lang w:eastAsia="ja-JP"/>
        </w:rPr>
        <w:t>is [0, 1</w:t>
      </w:r>
      <w:r>
        <w:rPr>
          <w:color w:val="000000" w:themeColor="text1"/>
          <w:lang w:val="en-US" w:eastAsia="ja-JP"/>
        </w:rPr>
        <w:t>, 2</w:t>
      </w:r>
      <w:r>
        <w:rPr>
          <w:color w:val="000000" w:themeColor="text1"/>
          <w:lang w:eastAsia="ja-JP"/>
        </w:rPr>
        <w:t>],</w:t>
      </w:r>
    </w:p>
    <w:p w14:paraId="444DD794" w14:textId="1E891B73" w:rsidR="00FD0F2F" w:rsidRPr="00BC0B43" w:rsidRDefault="00BC0B43" w:rsidP="00BC0B43">
      <w:pPr>
        <w:pStyle w:val="B1"/>
        <w:rPr>
          <w:color w:val="000000" w:themeColor="text1"/>
          <w:lang w:eastAsia="zh-CN"/>
        </w:rPr>
      </w:pPr>
      <w:r>
        <w:rPr>
          <w:iCs/>
          <w:color w:val="000000" w:themeColor="text1"/>
          <w:lang w:eastAsia="ja-JP"/>
        </w:rPr>
        <w:t>-</w:t>
      </w:r>
      <w:r>
        <w:rPr>
          <w:iCs/>
          <w:color w:val="000000" w:themeColor="text1"/>
          <w:lang w:eastAsia="ja-JP"/>
        </w:rPr>
        <w:tab/>
      </w:r>
      <w:r>
        <w:rPr>
          <w:i/>
          <w:iCs/>
          <w:color w:val="000000" w:themeColor="text1"/>
          <w:lang w:eastAsia="ja-JP"/>
        </w:rPr>
        <w:t>pdcch-BlindDetectionCG-UE</w:t>
      </w:r>
      <w:r>
        <w:rPr>
          <w:i/>
          <w:iCs/>
          <w:color w:val="000000" w:themeColor="text1"/>
          <w:lang w:val="en-US" w:eastAsia="ja-JP"/>
        </w:rPr>
        <w:t>3</w:t>
      </w:r>
      <w:r>
        <w:rPr>
          <w:color w:val="000000" w:themeColor="text1"/>
          <w:lang w:eastAsia="ja-JP"/>
        </w:rPr>
        <w:t xml:space="preserve"> </w:t>
      </w:r>
      <w:r w:rsidR="008C18EF">
        <w:rPr>
          <w:rFonts w:eastAsia="DengXian"/>
          <w:color w:val="000000" w:themeColor="text1"/>
          <w:lang w:eastAsia="ja-JP"/>
        </w:rPr>
        <w:t xml:space="preserve">for the MCG </w:t>
      </w:r>
      <w:r>
        <w:rPr>
          <w:color w:val="000000" w:themeColor="text1"/>
          <w:lang w:eastAsia="ja-JP"/>
        </w:rPr>
        <w:t xml:space="preserve">+ </w:t>
      </w:r>
      <w:r>
        <w:rPr>
          <w:i/>
          <w:iCs/>
          <w:color w:val="000000" w:themeColor="text1"/>
          <w:lang w:eastAsia="ja-JP"/>
        </w:rPr>
        <w:t>pdcch-BlindDetectionCG-UE</w:t>
      </w:r>
      <w:r>
        <w:rPr>
          <w:i/>
          <w:iCs/>
          <w:color w:val="000000" w:themeColor="text1"/>
          <w:lang w:val="en-US" w:eastAsia="ja-JP"/>
        </w:rPr>
        <w:t>3</w:t>
      </w:r>
      <w:r>
        <w:rPr>
          <w:iCs/>
          <w:color w:val="000000" w:themeColor="text1"/>
          <w:lang w:eastAsia="ja-JP"/>
        </w:rPr>
        <w:t xml:space="preserve"> </w:t>
      </w:r>
      <w:r w:rsidR="008C18EF">
        <w:rPr>
          <w:rFonts w:eastAsia="DengXian"/>
          <w:color w:val="000000" w:themeColor="text1"/>
          <w:lang w:eastAsia="ja-JP"/>
        </w:rPr>
        <w:t xml:space="preserve">for the </w:t>
      </w:r>
      <w:r w:rsidR="008C18EF">
        <w:rPr>
          <w:rFonts w:eastAsia="DengXian"/>
          <w:color w:val="000000" w:themeColor="text1"/>
          <w:lang w:val="en-GB" w:eastAsia="ja-JP"/>
        </w:rPr>
        <w:t>S</w:t>
      </w:r>
      <w:r w:rsidR="008C18EF">
        <w:rPr>
          <w:rFonts w:eastAsia="DengXian"/>
          <w:color w:val="000000" w:themeColor="text1"/>
          <w:lang w:eastAsia="ja-JP"/>
        </w:rPr>
        <w:t xml:space="preserve">CG </w:t>
      </w:r>
      <w:r>
        <w:rPr>
          <w:iCs/>
          <w:color w:val="000000" w:themeColor="text1"/>
          <w:lang w:eastAsia="ja-JP"/>
        </w:rPr>
        <w:t xml:space="preserve">&gt;= </w:t>
      </w:r>
      <m:oMath>
        <m:sSubSup>
          <m:sSubSupPr>
            <m:ctrlPr>
              <w:rPr>
                <w:rFonts w:ascii="Cambria Math" w:hAnsi="Cambria Math"/>
                <w:iCs/>
                <w:color w:val="000000" w:themeColor="text1"/>
                <w:lang w:eastAsia="zh-CN"/>
              </w:rPr>
            </m:ctrlPr>
          </m:sSubSupPr>
          <m:e>
            <m:r>
              <w:rPr>
                <w:rFonts w:ascii="Cambria Math" w:hAnsi="Cambria Math"/>
                <w:color w:val="000000" w:themeColor="text1"/>
                <w:lang w:eastAsia="zh-CN"/>
              </w:rPr>
              <m:t>N</m:t>
            </m:r>
          </m:e>
          <m:sub>
            <m:r>
              <m:rPr>
                <m:sty m:val="p"/>
              </m:rPr>
              <w:rPr>
                <w:rFonts w:ascii="Cambria Math" w:hAnsi="Cambria Math"/>
                <w:color w:val="000000" w:themeColor="text1"/>
                <w:lang w:eastAsia="zh-CN"/>
              </w:rPr>
              <m:t>NR-DC,  max, r17</m:t>
            </m:r>
          </m:sub>
          <m:sup>
            <m:r>
              <m:rPr>
                <m:sty m:val="p"/>
              </m:rPr>
              <w:rPr>
                <w:rFonts w:ascii="Cambria Math" w:hAnsi="Cambria Math"/>
                <w:color w:val="000000" w:themeColor="text1"/>
                <w:lang w:eastAsia="zh-CN"/>
              </w:rPr>
              <m:t>DL,cells</m:t>
            </m:r>
          </m:sup>
        </m:sSubSup>
      </m:oMath>
      <w:r>
        <w:rPr>
          <w:color w:val="000000" w:themeColor="text1"/>
          <w:lang w:eastAsia="zh-CN"/>
        </w:rPr>
        <w:t>.</w:t>
      </w:r>
    </w:p>
    <w:p w14:paraId="567EE497" w14:textId="77777777" w:rsidR="00621303" w:rsidRPr="00B916EC" w:rsidRDefault="00621303" w:rsidP="00621303">
      <w:pPr>
        <w:pStyle w:val="Heading2"/>
        <w:ind w:left="850" w:hanging="850"/>
      </w:pPr>
      <w:bookmarkStart w:id="651" w:name="_Toc12021486"/>
      <w:bookmarkStart w:id="652" w:name="_Toc20311598"/>
      <w:bookmarkStart w:id="653" w:name="_Toc26719423"/>
      <w:bookmarkStart w:id="654" w:name="_Toc29894858"/>
      <w:bookmarkStart w:id="655" w:name="_Toc29899157"/>
      <w:bookmarkStart w:id="656" w:name="_Toc29899575"/>
      <w:bookmarkStart w:id="657" w:name="_Toc29917312"/>
      <w:bookmarkStart w:id="658" w:name="_Toc36498186"/>
      <w:bookmarkStart w:id="659" w:name="_Toc45699213"/>
      <w:bookmarkStart w:id="660" w:name="_Toc161999143"/>
      <w:bookmarkStart w:id="661" w:name="_Ref491451763"/>
      <w:bookmarkStart w:id="662" w:name="_Ref491466492"/>
      <w:r w:rsidRPr="00B916EC">
        <w:lastRenderedPageBreak/>
        <w:t>10</w:t>
      </w:r>
      <w:r w:rsidRPr="00B916EC">
        <w:rPr>
          <w:rFonts w:hint="eastAsia"/>
        </w:rPr>
        <w:t>.1</w:t>
      </w:r>
      <w:r w:rsidRPr="00B916EC">
        <w:rPr>
          <w:rFonts w:hint="eastAsia"/>
        </w:rPr>
        <w:tab/>
      </w:r>
      <w:r w:rsidRPr="00B916EC">
        <w:t>UE procedure for determining physical downlink control channel assignment</w:t>
      </w:r>
      <w:bookmarkEnd w:id="651"/>
      <w:bookmarkEnd w:id="652"/>
      <w:bookmarkEnd w:id="653"/>
      <w:bookmarkEnd w:id="654"/>
      <w:bookmarkEnd w:id="655"/>
      <w:bookmarkEnd w:id="656"/>
      <w:bookmarkEnd w:id="657"/>
      <w:bookmarkEnd w:id="658"/>
      <w:bookmarkEnd w:id="659"/>
      <w:bookmarkEnd w:id="660"/>
      <w:r w:rsidRPr="00B916EC">
        <w:t xml:space="preserve"> </w:t>
      </w:r>
      <w:bookmarkEnd w:id="661"/>
      <w:bookmarkEnd w:id="662"/>
    </w:p>
    <w:p w14:paraId="5D145822" w14:textId="77777777" w:rsidR="00905607" w:rsidRPr="00B916EC" w:rsidRDefault="00905607" w:rsidP="00905607">
      <w:r w:rsidRPr="00B916EC">
        <w:t>A set of PDCCH candidates for a UE to monitor is defined in terms of PDCCH search space</w:t>
      </w:r>
      <w:r>
        <w:t xml:space="preserve"> sets</w:t>
      </w:r>
      <w:r w:rsidRPr="00B916EC">
        <w:t xml:space="preserve">. A search space </w:t>
      </w:r>
      <w:r>
        <w:t xml:space="preserve">set </w:t>
      </w:r>
      <w:r w:rsidRPr="00B916EC">
        <w:t xml:space="preserve">can be a </w:t>
      </w:r>
      <w:r w:rsidR="00A54F7F">
        <w:t>CSS</w:t>
      </w:r>
      <w:r w:rsidRPr="00B916EC">
        <w:t xml:space="preserve"> </w:t>
      </w:r>
      <w:r>
        <w:t xml:space="preserve">set </w:t>
      </w:r>
      <w:r w:rsidRPr="00B916EC">
        <w:t xml:space="preserve">or a </w:t>
      </w:r>
      <w:r w:rsidR="00A54F7F">
        <w:t>USS</w:t>
      </w:r>
      <w:r>
        <w:t xml:space="preserve"> set</w:t>
      </w:r>
      <w:r w:rsidRPr="00B916EC">
        <w:t>. A UE monitor</w:t>
      </w:r>
      <w:r>
        <w:t>s</w:t>
      </w:r>
      <w:r w:rsidRPr="00B916EC">
        <w:t xml:space="preserve"> PDCCH candidates in one or more of the following search spaces</w:t>
      </w:r>
      <w:r>
        <w:t xml:space="preserve"> sets</w:t>
      </w:r>
    </w:p>
    <w:p w14:paraId="6883B6D4" w14:textId="77777777" w:rsidR="008A67F3" w:rsidRDefault="00905607" w:rsidP="00905607">
      <w:pPr>
        <w:pStyle w:val="B1"/>
        <w:rPr>
          <w:lang w:val="en-US" w:eastAsia="x-none"/>
        </w:rPr>
      </w:pPr>
      <w:r>
        <w:t>-</w:t>
      </w:r>
      <w:r>
        <w:tab/>
      </w:r>
      <w:r w:rsidRPr="00B916EC">
        <w:t xml:space="preserve">a Type0-PDCCH </w:t>
      </w:r>
      <w:r w:rsidR="00A54F7F">
        <w:t>CSS</w:t>
      </w:r>
      <w:r w:rsidRPr="00B916EC">
        <w:t xml:space="preserve"> </w:t>
      </w:r>
      <w:r>
        <w:rPr>
          <w:lang w:val="en-US"/>
        </w:rPr>
        <w:t xml:space="preserve">set </w:t>
      </w:r>
      <w:r w:rsidR="008A67F3" w:rsidRPr="0088027F">
        <w:t xml:space="preserve">on </w:t>
      </w:r>
      <w:r w:rsidR="008A67F3" w:rsidRPr="0088027F">
        <w:rPr>
          <w:lang w:val="en-US"/>
        </w:rPr>
        <w:t>the</w:t>
      </w:r>
      <w:r w:rsidR="008A67F3" w:rsidRPr="0088027F">
        <w:t xml:space="preserve"> primary cell</w:t>
      </w:r>
      <w:r w:rsidR="008A67F3" w:rsidRPr="0088027F">
        <w:rPr>
          <w:lang w:val="en-US"/>
        </w:rPr>
        <w:t xml:space="preserve"> of the MCG</w:t>
      </w:r>
      <w:r w:rsidR="008A67F3" w:rsidRPr="0088027F">
        <w:rPr>
          <w:lang w:val="en-US" w:eastAsia="x-none"/>
        </w:rPr>
        <w:t xml:space="preserve"> </w:t>
      </w:r>
      <w:r>
        <w:rPr>
          <w:lang w:val="en-US" w:eastAsia="x-none"/>
        </w:rPr>
        <w:t xml:space="preserve">configured </w:t>
      </w:r>
      <w:r w:rsidRPr="007B5F66">
        <w:rPr>
          <w:lang w:val="en-US" w:eastAsia="x-none"/>
        </w:rPr>
        <w:t xml:space="preserve">by </w:t>
      </w:r>
    </w:p>
    <w:p w14:paraId="0093B40E" w14:textId="0C3DAE76" w:rsidR="008A67F3" w:rsidRDefault="008A67F3" w:rsidP="008A67F3">
      <w:pPr>
        <w:pStyle w:val="B2"/>
      </w:pPr>
      <w:r>
        <w:t>-</w:t>
      </w:r>
      <w:r>
        <w:tab/>
      </w:r>
      <w:r w:rsidR="006D7A16" w:rsidRPr="005A0526">
        <w:rPr>
          <w:i/>
          <w:iCs/>
        </w:rPr>
        <w:t>pdcch-ConfigSIB1</w:t>
      </w:r>
      <w:r w:rsidR="00905607">
        <w:t xml:space="preserve"> </w:t>
      </w:r>
      <w:r w:rsidR="00905607">
        <w:rPr>
          <w:rFonts w:eastAsia="MS Mincho"/>
        </w:rPr>
        <w:t>in</w:t>
      </w:r>
      <w:r w:rsidR="00905607" w:rsidRPr="00B916EC">
        <w:rPr>
          <w:rFonts w:eastAsia="MS Mincho"/>
        </w:rPr>
        <w:t xml:space="preserve"> </w:t>
      </w:r>
      <w:r w:rsidR="00A54F7F">
        <w:t>MIB</w:t>
      </w:r>
      <w:r w:rsidR="00905607">
        <w:rPr>
          <w:lang w:eastAsia="x-none"/>
        </w:rPr>
        <w:t xml:space="preserve"> or by</w:t>
      </w:r>
      <w:r w:rsidR="00905607" w:rsidRPr="007B5F66">
        <w:rPr>
          <w:lang w:eastAsia="x-none"/>
        </w:rPr>
        <w:t xml:space="preserve"> </w:t>
      </w:r>
      <w:r w:rsidR="00905607" w:rsidRPr="005A0526">
        <w:rPr>
          <w:i/>
          <w:lang w:eastAsia="x-none"/>
        </w:rPr>
        <w:t>searchSpaceSIB1</w:t>
      </w:r>
      <w:r w:rsidR="00905607">
        <w:rPr>
          <w:iCs/>
          <w:lang w:eastAsia="x-none"/>
        </w:rPr>
        <w:t xml:space="preserve"> in </w:t>
      </w:r>
      <w:r w:rsidR="00905607" w:rsidRPr="005A0526">
        <w:rPr>
          <w:i/>
          <w:lang w:eastAsia="x-none"/>
        </w:rPr>
        <w:t>PDCCH-ConfigCommon</w:t>
      </w:r>
      <w:r w:rsidR="00905607" w:rsidRPr="00B916EC">
        <w:t xml:space="preserve"> </w:t>
      </w:r>
      <w:r w:rsidR="006D7A16" w:rsidRPr="00271065">
        <w:t xml:space="preserve">or by </w:t>
      </w:r>
      <w:r w:rsidR="006D7A16" w:rsidRPr="005A0526">
        <w:rPr>
          <w:i/>
          <w:iCs/>
          <w:lang w:eastAsia="x-none"/>
        </w:rPr>
        <w:t>searchSpaceZero</w:t>
      </w:r>
      <w:r w:rsidR="006D7A16" w:rsidRPr="001A6FE9">
        <w:t xml:space="preserve"> </w:t>
      </w:r>
      <w:r w:rsidR="006D7A16" w:rsidRPr="0003597C">
        <w:rPr>
          <w:iCs/>
          <w:lang w:eastAsia="x-none"/>
        </w:rPr>
        <w:t xml:space="preserve">in </w:t>
      </w:r>
      <w:r w:rsidR="006D7A16" w:rsidRPr="005A0526">
        <w:rPr>
          <w:i/>
          <w:lang w:eastAsia="x-none"/>
        </w:rPr>
        <w:t>PDCCH-ConfigCommon</w:t>
      </w:r>
      <w:r w:rsidR="006D7A16" w:rsidRPr="0028542D">
        <w:t xml:space="preserve"> </w:t>
      </w:r>
      <w:r w:rsidR="00905607" w:rsidRPr="00B916EC">
        <w:t xml:space="preserve">for a DCI format </w:t>
      </w:r>
      <w:r w:rsidR="00860BAC" w:rsidRPr="00686F3E">
        <w:t xml:space="preserve">1_0 </w:t>
      </w:r>
      <w:r w:rsidR="00905607" w:rsidRPr="00B916EC">
        <w:t>with CRC scrambled by a SI-RNTI</w:t>
      </w:r>
      <w:r w:rsidR="00411A05" w:rsidRPr="00B06CC2">
        <w:t xml:space="preserve">, or </w:t>
      </w:r>
    </w:p>
    <w:p w14:paraId="7086040A" w14:textId="1F5A641B" w:rsidR="00905607" w:rsidRDefault="008A67F3" w:rsidP="008A67F3">
      <w:pPr>
        <w:pStyle w:val="B2"/>
        <w:rPr>
          <w:lang w:val="en-GB"/>
        </w:rPr>
      </w:pPr>
      <w:r>
        <w:t>-</w:t>
      </w:r>
      <w:r>
        <w:tab/>
      </w:r>
      <w:r w:rsidR="00411A05" w:rsidRPr="005A0526">
        <w:rPr>
          <w:i/>
          <w:iCs/>
          <w:lang w:eastAsia="x-none"/>
        </w:rPr>
        <w:t>searchSpaceZero</w:t>
      </w:r>
      <w:r w:rsidR="00411A05" w:rsidRPr="00B06CC2">
        <w:t xml:space="preserve"> </w:t>
      </w:r>
      <w:r w:rsidR="00BC0321" w:rsidRPr="00FB004D">
        <w:t xml:space="preserve">by </w:t>
      </w:r>
      <w:r w:rsidR="00BC0321">
        <w:rPr>
          <w:rFonts w:hint="eastAsia"/>
          <w:lang w:eastAsia="zh-CN"/>
        </w:rPr>
        <w:t>providing</w:t>
      </w:r>
      <w:r w:rsidR="00BC0321" w:rsidRPr="00FB004D">
        <w:t xml:space="preserve"> </w:t>
      </w:r>
      <w:r w:rsidR="00BC0321" w:rsidRPr="003B2230">
        <w:rPr>
          <w:i/>
          <w:iCs/>
        </w:rPr>
        <w:t>searchSpaceID</w:t>
      </w:r>
      <w:r w:rsidR="00BC0321" w:rsidRPr="00FB004D">
        <w:t>=0</w:t>
      </w:r>
      <w:r w:rsidR="00BC0321" w:rsidRPr="00FB004D">
        <w:rPr>
          <w:color w:val="FF0000"/>
        </w:rPr>
        <w:t xml:space="preserve"> </w:t>
      </w:r>
      <w:r w:rsidR="00BC0321" w:rsidRPr="00FB004D">
        <w:t>for</w:t>
      </w:r>
      <w:r w:rsidR="00411A05" w:rsidRPr="00B06CC2">
        <w:t xml:space="preserve"> </w:t>
      </w:r>
      <w:r w:rsidR="00A837FE" w:rsidRPr="00497077">
        <w:rPr>
          <w:i/>
          <w:iCs/>
        </w:rPr>
        <w:t>searchSpaceM</w:t>
      </w:r>
      <w:r w:rsidR="00A837FE" w:rsidRPr="00497077">
        <w:rPr>
          <w:i/>
          <w:iCs/>
          <w:lang w:val="en-US"/>
        </w:rPr>
        <w:t>C</w:t>
      </w:r>
      <w:r w:rsidR="00A837FE" w:rsidRPr="00497077">
        <w:rPr>
          <w:i/>
          <w:iCs/>
        </w:rPr>
        <w:t>CH</w:t>
      </w:r>
      <w:r w:rsidR="00411A05" w:rsidRPr="00B06CC2">
        <w:t xml:space="preserve"> </w:t>
      </w:r>
      <w:r w:rsidR="00BC0321">
        <w:rPr>
          <w:lang w:val="en-GB"/>
        </w:rPr>
        <w:t>or</w:t>
      </w:r>
      <w:r w:rsidR="00BC0321">
        <w:t xml:space="preserve"> </w:t>
      </w:r>
      <w:r w:rsidR="00A837FE" w:rsidRPr="00497077">
        <w:rPr>
          <w:i/>
          <w:iCs/>
        </w:rPr>
        <w:t>searchSpaceM</w:t>
      </w:r>
      <w:r w:rsidR="00A837FE" w:rsidRPr="00497077">
        <w:rPr>
          <w:i/>
          <w:iCs/>
          <w:lang w:val="en-US"/>
        </w:rPr>
        <w:t>T</w:t>
      </w:r>
      <w:r w:rsidR="00A837FE" w:rsidRPr="00497077">
        <w:rPr>
          <w:i/>
          <w:iCs/>
        </w:rPr>
        <w:t>CH</w:t>
      </w:r>
      <w:r w:rsidR="005A0526" w:rsidRPr="00D72DE4">
        <w:rPr>
          <w:iCs/>
        </w:rPr>
        <w:t xml:space="preserve"> </w:t>
      </w:r>
      <w:r w:rsidR="00411A05" w:rsidRPr="00B06CC2">
        <w:t xml:space="preserve">for a DCI format </w:t>
      </w:r>
      <w:r w:rsidR="005A0526" w:rsidRPr="0088027F">
        <w:rPr>
          <w:lang w:val="en-US"/>
        </w:rPr>
        <w:t xml:space="preserve">4_0 </w:t>
      </w:r>
      <w:r w:rsidR="00411A05" w:rsidRPr="00B06CC2">
        <w:t>with CRC scrambled by a MCCH-RNTI or a G-RNTI</w:t>
      </w:r>
      <w:r w:rsidR="00BC0321">
        <w:t xml:space="preserve"> for broadcast</w:t>
      </w:r>
      <w:r w:rsidR="004F1F38">
        <w:rPr>
          <w:lang w:val="en-GB"/>
        </w:rPr>
        <w:t>, or</w:t>
      </w:r>
    </w:p>
    <w:p w14:paraId="0891F11B" w14:textId="767BB5B7" w:rsidR="004F1F38" w:rsidRPr="004F1F38" w:rsidRDefault="004F1F38" w:rsidP="004F1F38">
      <w:pPr>
        <w:pStyle w:val="B2"/>
        <w:rPr>
          <w:lang w:val="en-GB"/>
        </w:rPr>
      </w:pPr>
      <w:r w:rsidRPr="00D041B0">
        <w:t>-</w:t>
      </w:r>
      <w:r>
        <w:tab/>
      </w:r>
      <w:r w:rsidRPr="00333E49">
        <w:rPr>
          <w:i/>
          <w:iCs/>
        </w:rPr>
        <w:t>searchSpaceZero</w:t>
      </w:r>
      <w:r w:rsidRPr="00154DBF">
        <w:t xml:space="preserve"> by </w:t>
      </w:r>
      <w:r w:rsidRPr="00154DBF">
        <w:rPr>
          <w:rFonts w:hint="eastAsia"/>
        </w:rPr>
        <w:t>providing</w:t>
      </w:r>
      <w:r w:rsidRPr="00154DBF">
        <w:t xml:space="preserve"> </w:t>
      </w:r>
      <w:r w:rsidRPr="00333E49">
        <w:rPr>
          <w:i/>
          <w:iCs/>
        </w:rPr>
        <w:t>searchSpaceID</w:t>
      </w:r>
      <w:r w:rsidRPr="00154DBF">
        <w:t>=0</w:t>
      </w:r>
      <w:r w:rsidRPr="00D041B0">
        <w:t xml:space="preserve"> </w:t>
      </w:r>
      <w:r w:rsidRPr="00154DBF">
        <w:t xml:space="preserve">for </w:t>
      </w:r>
      <w:r w:rsidRPr="00D041B0">
        <w:rPr>
          <w:i/>
          <w:iCs/>
        </w:rPr>
        <w:t xml:space="preserve">searchspaceMulticastMCCH </w:t>
      </w:r>
      <w:r w:rsidRPr="00154DBF">
        <w:t xml:space="preserve">for a DCI format </w:t>
      </w:r>
      <w:r w:rsidRPr="00D041B0">
        <w:t xml:space="preserve">4_0 </w:t>
      </w:r>
      <w:r w:rsidRPr="00154DBF">
        <w:t>with CRC scrambled by a multicast-MCCH-RNTI</w:t>
      </w:r>
      <w:r>
        <w:rPr>
          <w:lang w:val="en-US"/>
        </w:rPr>
        <w:t>,</w:t>
      </w:r>
      <w:r w:rsidRPr="00D041B0">
        <w:t xml:space="preserve"> or</w:t>
      </w:r>
      <w:r w:rsidRPr="00154DBF">
        <w:t xml:space="preserve"> </w:t>
      </w:r>
      <w:r>
        <w:rPr>
          <w:lang w:val="en-US"/>
        </w:rPr>
        <w:t>by</w:t>
      </w:r>
      <w:r w:rsidRPr="00154DBF">
        <w:t xml:space="preserve"> </w:t>
      </w:r>
      <w:r w:rsidRPr="00154DBF">
        <w:rPr>
          <w:i/>
          <w:iCs/>
        </w:rPr>
        <w:t>searchSpaceMulticastM</w:t>
      </w:r>
      <w:r w:rsidRPr="00D041B0">
        <w:rPr>
          <w:i/>
          <w:iCs/>
        </w:rPr>
        <w:t>T</w:t>
      </w:r>
      <w:r w:rsidRPr="00154DBF">
        <w:rPr>
          <w:i/>
          <w:iCs/>
        </w:rPr>
        <w:t>CH</w:t>
      </w:r>
      <w:r w:rsidRPr="00154DBF">
        <w:t xml:space="preserve"> for a DCI format </w:t>
      </w:r>
      <w:r w:rsidRPr="00D041B0">
        <w:t xml:space="preserve">4_1 </w:t>
      </w:r>
      <w:r w:rsidRPr="00154DBF">
        <w:t xml:space="preserve">with CRC scrambled by a G-RNTI for </w:t>
      </w:r>
      <w:r>
        <w:rPr>
          <w:lang w:val="en-US"/>
        </w:rPr>
        <w:t>multicast</w:t>
      </w:r>
      <w:r>
        <w:t xml:space="preserve"> in RRC_INACTIVE state</w:t>
      </w:r>
    </w:p>
    <w:p w14:paraId="6055DEDB" w14:textId="278A188B" w:rsidR="00905607" w:rsidRDefault="00905607" w:rsidP="003E4D5E">
      <w:pPr>
        <w:pStyle w:val="B1"/>
        <w:rPr>
          <w:lang w:val="en-US"/>
        </w:rPr>
      </w:pPr>
      <w:r>
        <w:t>-</w:t>
      </w:r>
      <w:r>
        <w:tab/>
      </w:r>
      <w:r w:rsidRPr="00B916EC">
        <w:t xml:space="preserve">a Type0A-PDCCH </w:t>
      </w:r>
      <w:r w:rsidR="00A54F7F">
        <w:t>CSS</w:t>
      </w:r>
      <w:r w:rsidRPr="00B916EC">
        <w:t xml:space="preserve"> </w:t>
      </w:r>
      <w:r>
        <w:rPr>
          <w:lang w:val="en-US"/>
        </w:rPr>
        <w:t xml:space="preserve">set </w:t>
      </w:r>
      <w:r w:rsidRPr="007B5F66">
        <w:rPr>
          <w:lang w:val="en-US" w:eastAsia="x-none"/>
        </w:rPr>
        <w:t xml:space="preserve">configured by </w:t>
      </w:r>
      <w:r w:rsidRPr="007B5F66">
        <w:rPr>
          <w:i/>
          <w:iCs/>
          <w:lang w:val="en-US" w:eastAsia="x-none"/>
        </w:rPr>
        <w:t>searchSpace</w:t>
      </w:r>
      <w:r w:rsidR="006D7A16" w:rsidRPr="00F14CB5">
        <w:rPr>
          <w:i/>
          <w:iCs/>
          <w:lang w:val="en-US" w:eastAsia="x-none"/>
        </w:rPr>
        <w:t>OtherSystemInformation</w:t>
      </w:r>
      <w:r w:rsidRPr="007B5F66">
        <w:rPr>
          <w:lang w:val="en-US" w:eastAsia="x-none"/>
        </w:rPr>
        <w:t xml:space="preserve"> </w:t>
      </w:r>
      <w:r>
        <w:rPr>
          <w:iCs/>
          <w:lang w:val="en-US" w:eastAsia="x-none"/>
        </w:rPr>
        <w:t xml:space="preserve">in </w:t>
      </w:r>
      <w:r w:rsidRPr="007B5F66">
        <w:rPr>
          <w:i/>
          <w:iCs/>
          <w:lang w:val="en-US" w:eastAsia="x-none"/>
        </w:rPr>
        <w:t>PDCCH-ConfigCommon</w:t>
      </w:r>
      <w:r w:rsidRPr="00B916EC">
        <w:t xml:space="preserve"> for a DCI format </w:t>
      </w:r>
      <w:r w:rsidR="00860BAC" w:rsidRPr="00686F3E">
        <w:rPr>
          <w:lang w:val="en-US"/>
        </w:rPr>
        <w:t xml:space="preserve">1_0 </w:t>
      </w:r>
      <w:r w:rsidRPr="00B916EC">
        <w:t xml:space="preserve">with CRC scrambled by a SI-RNTI on </w:t>
      </w:r>
      <w:r w:rsidR="006D7A16">
        <w:rPr>
          <w:lang w:val="en-US"/>
        </w:rPr>
        <w:t>the</w:t>
      </w:r>
      <w:r w:rsidR="006D7A16" w:rsidRPr="00B916EC">
        <w:t xml:space="preserve"> </w:t>
      </w:r>
      <w:r w:rsidRPr="00B916EC">
        <w:t>primary cell</w:t>
      </w:r>
      <w:r w:rsidR="00A54F7F">
        <w:rPr>
          <w:lang w:val="en-US"/>
        </w:rPr>
        <w:t xml:space="preserve"> of the MCG</w:t>
      </w:r>
    </w:p>
    <w:p w14:paraId="25ADAD12" w14:textId="77777777" w:rsidR="004F1F38" w:rsidRDefault="00411A05" w:rsidP="003E4D5E">
      <w:pPr>
        <w:pStyle w:val="B1"/>
        <w:rPr>
          <w:lang w:val="en-US" w:eastAsia="x-none"/>
        </w:rPr>
      </w:pPr>
      <w:r w:rsidRPr="00B06CC2">
        <w:t>-</w:t>
      </w:r>
      <w:r w:rsidRPr="00B06CC2">
        <w:tab/>
        <w:t>a Type0</w:t>
      </w:r>
      <w:r w:rsidRPr="00B06CC2">
        <w:rPr>
          <w:lang w:val="en-US"/>
        </w:rPr>
        <w:t>B</w:t>
      </w:r>
      <w:r w:rsidRPr="00B06CC2">
        <w:t xml:space="preserve">-PDCCH CSS </w:t>
      </w:r>
      <w:r w:rsidRPr="00B06CC2">
        <w:rPr>
          <w:lang w:val="en-US"/>
        </w:rPr>
        <w:t xml:space="preserve">set </w:t>
      </w:r>
      <w:r w:rsidRPr="00B06CC2">
        <w:rPr>
          <w:lang w:val="en-US" w:eastAsia="x-none"/>
        </w:rPr>
        <w:t xml:space="preserve">configured by </w:t>
      </w:r>
    </w:p>
    <w:p w14:paraId="77DC56BF" w14:textId="35DFF3DB" w:rsidR="00411A05" w:rsidRDefault="004F1F38" w:rsidP="004F1F38">
      <w:pPr>
        <w:pStyle w:val="B2"/>
        <w:rPr>
          <w:lang w:val="en-US"/>
        </w:rPr>
      </w:pPr>
      <w:r>
        <w:rPr>
          <w:lang w:val="en-US" w:eastAsia="x-none"/>
        </w:rPr>
        <w:t>-</w:t>
      </w:r>
      <w:r>
        <w:rPr>
          <w:lang w:val="en-US" w:eastAsia="x-none"/>
        </w:rPr>
        <w:tab/>
      </w:r>
      <w:r w:rsidR="00A837FE" w:rsidRPr="00497077">
        <w:rPr>
          <w:i/>
          <w:iCs/>
        </w:rPr>
        <w:t>searchSpaceM</w:t>
      </w:r>
      <w:r w:rsidR="00A837FE" w:rsidRPr="00497077">
        <w:rPr>
          <w:i/>
          <w:iCs/>
          <w:lang w:val="en-US"/>
        </w:rPr>
        <w:t>C</w:t>
      </w:r>
      <w:r w:rsidR="00A837FE" w:rsidRPr="00497077">
        <w:rPr>
          <w:i/>
          <w:iCs/>
        </w:rPr>
        <w:t>CH</w:t>
      </w:r>
      <w:r w:rsidR="00411A05" w:rsidRPr="00B06CC2">
        <w:rPr>
          <w:iCs/>
          <w:lang w:val="en-US" w:eastAsia="x-none"/>
        </w:rPr>
        <w:t xml:space="preserve"> </w:t>
      </w:r>
      <w:r w:rsidR="00411A05">
        <w:rPr>
          <w:iCs/>
          <w:lang w:val="en-US" w:eastAsia="x-none"/>
        </w:rPr>
        <w:t xml:space="preserve">and </w:t>
      </w:r>
      <w:r w:rsidR="00CF01B5" w:rsidRPr="00497077">
        <w:rPr>
          <w:i/>
          <w:iCs/>
        </w:rPr>
        <w:t>searchSpaceM</w:t>
      </w:r>
      <w:r w:rsidR="00CF01B5">
        <w:rPr>
          <w:i/>
          <w:iCs/>
          <w:lang w:val="en-US"/>
        </w:rPr>
        <w:t>T</w:t>
      </w:r>
      <w:r w:rsidR="00CF01B5" w:rsidRPr="00497077">
        <w:rPr>
          <w:i/>
          <w:iCs/>
        </w:rPr>
        <w:t>CH</w:t>
      </w:r>
      <w:r w:rsidR="00CF01B5">
        <w:rPr>
          <w:iCs/>
          <w:lang w:val="en-US" w:eastAsia="x-none"/>
        </w:rPr>
        <w:t xml:space="preserve"> </w:t>
      </w:r>
      <w:r w:rsidR="00411A05" w:rsidRPr="00B06CC2">
        <w:rPr>
          <w:iCs/>
          <w:lang w:val="en-US" w:eastAsia="x-none"/>
        </w:rPr>
        <w:t xml:space="preserve">for </w:t>
      </w:r>
      <w:r w:rsidR="00411A05" w:rsidRPr="00B06CC2">
        <w:t>a DCI format</w:t>
      </w:r>
      <w:r w:rsidR="00BC0321">
        <w:rPr>
          <w:lang w:val="en-GB"/>
        </w:rPr>
        <w:t xml:space="preserve"> </w:t>
      </w:r>
      <w:r w:rsidR="00BC0321" w:rsidRPr="00887A8E">
        <w:rPr>
          <w:lang w:val="en-US"/>
        </w:rPr>
        <w:t>4_0</w:t>
      </w:r>
      <w:r w:rsidR="00411A05" w:rsidRPr="00B06CC2">
        <w:t xml:space="preserve"> with CRC scrambled by </w:t>
      </w:r>
      <w:r w:rsidR="00411A05" w:rsidRPr="00B06CC2">
        <w:rPr>
          <w:lang w:val="en-US"/>
        </w:rPr>
        <w:t xml:space="preserve">a MCCH-RNTI or </w:t>
      </w:r>
      <w:r w:rsidR="00411A05" w:rsidRPr="00B06CC2">
        <w:t xml:space="preserve">a </w:t>
      </w:r>
      <w:r w:rsidR="00411A05" w:rsidRPr="00B06CC2">
        <w:rPr>
          <w:lang w:val="en-US"/>
        </w:rPr>
        <w:t>G</w:t>
      </w:r>
      <w:r w:rsidR="00411A05" w:rsidRPr="00B06CC2">
        <w:t>-RNTI</w:t>
      </w:r>
      <w:r w:rsidR="00CF01B5">
        <w:rPr>
          <w:lang w:val="en-US"/>
        </w:rPr>
        <w:t xml:space="preserve"> for </w:t>
      </w:r>
      <w:r w:rsidR="009225B9">
        <w:rPr>
          <w:lang w:val="en-US"/>
        </w:rPr>
        <w:t>broadcast</w:t>
      </w:r>
      <w:r w:rsidR="00411A05" w:rsidRPr="00B06CC2">
        <w:rPr>
          <w:lang w:val="en-US"/>
        </w:rPr>
        <w:t>,</w:t>
      </w:r>
      <w:r w:rsidR="00411A05" w:rsidRPr="00B06CC2">
        <w:t xml:space="preserve"> on </w:t>
      </w:r>
      <w:r w:rsidR="00411A05" w:rsidRPr="00B06CC2">
        <w:rPr>
          <w:lang w:val="en-US"/>
        </w:rPr>
        <w:t>the</w:t>
      </w:r>
      <w:r w:rsidR="00411A05" w:rsidRPr="00B06CC2">
        <w:t xml:space="preserve"> primary cell</w:t>
      </w:r>
      <w:r w:rsidR="00411A05" w:rsidRPr="00B06CC2">
        <w:rPr>
          <w:lang w:val="en-US"/>
        </w:rPr>
        <w:t xml:space="preserve"> of the MCG</w:t>
      </w:r>
    </w:p>
    <w:p w14:paraId="1ED444AF" w14:textId="4969D2D9" w:rsidR="004F1F38" w:rsidRPr="00B916EC" w:rsidRDefault="004F1F38" w:rsidP="004F1F38">
      <w:pPr>
        <w:pStyle w:val="B2"/>
      </w:pPr>
      <w:r>
        <w:rPr>
          <w:lang w:val="en-US" w:eastAsia="x-none"/>
        </w:rPr>
        <w:t>-</w:t>
      </w:r>
      <w:r>
        <w:rPr>
          <w:lang w:val="en-US" w:eastAsia="x-none"/>
        </w:rPr>
        <w:tab/>
      </w:r>
      <w:r w:rsidRPr="00154DBF">
        <w:rPr>
          <w:i/>
          <w:iCs/>
        </w:rPr>
        <w:t>searchspaceMulticastMCC</w:t>
      </w:r>
      <w:r w:rsidRPr="00154DBF">
        <w:t>H for a DCI format 4_0 with CRC scrambled by a multicast-MCCH-RNTI</w:t>
      </w:r>
      <w:r>
        <w:rPr>
          <w:lang w:val="en-US"/>
        </w:rPr>
        <w:t>,</w:t>
      </w:r>
      <w:r w:rsidRPr="00154DBF">
        <w:t xml:space="preserve"> or </w:t>
      </w:r>
      <w:r>
        <w:rPr>
          <w:lang w:val="en-US"/>
        </w:rPr>
        <w:t>by</w:t>
      </w:r>
      <w:r w:rsidRPr="00154DBF">
        <w:t xml:space="preserve"> </w:t>
      </w:r>
      <w:r w:rsidRPr="00154DBF">
        <w:rPr>
          <w:i/>
          <w:iCs/>
        </w:rPr>
        <w:t>searchSpaceMulticastMTCH</w:t>
      </w:r>
      <w:r w:rsidRPr="00154DBF">
        <w:t xml:space="preserve"> for a DCI format 4_1 with CRC scrambled by a G-RNTI for </w:t>
      </w:r>
      <w:r>
        <w:rPr>
          <w:lang w:val="en-US"/>
        </w:rPr>
        <w:t>PDCCH</w:t>
      </w:r>
      <w:r>
        <w:t xml:space="preserve"> receptions in RRC_INACTIVE state</w:t>
      </w:r>
    </w:p>
    <w:p w14:paraId="59534EB3" w14:textId="6DF60A8C" w:rsidR="00905607" w:rsidRDefault="00905607" w:rsidP="004F21B6">
      <w:pPr>
        <w:pStyle w:val="B1"/>
      </w:pPr>
      <w:r>
        <w:t>-</w:t>
      </w:r>
      <w:r>
        <w:tab/>
      </w:r>
      <w:r w:rsidRPr="00B916EC">
        <w:t xml:space="preserve">a Type1-PDCCH </w:t>
      </w:r>
      <w:r w:rsidR="00A54F7F">
        <w:t>CSS</w:t>
      </w:r>
      <w:r w:rsidRPr="00B916EC">
        <w:t xml:space="preserve"> </w:t>
      </w:r>
      <w:r>
        <w:rPr>
          <w:lang w:val="en-US"/>
        </w:rPr>
        <w:t xml:space="preserve">set </w:t>
      </w:r>
      <w:r w:rsidRPr="007B5F66">
        <w:rPr>
          <w:lang w:val="en-US" w:eastAsia="x-none"/>
        </w:rPr>
        <w:t xml:space="preserve">configured by </w:t>
      </w:r>
      <w:r w:rsidRPr="007B5F66">
        <w:rPr>
          <w:i/>
          <w:iCs/>
          <w:lang w:val="en-US" w:eastAsia="x-none"/>
        </w:rPr>
        <w:t>ra-SearchSpace</w:t>
      </w:r>
      <w:r w:rsidRPr="007B5F66">
        <w:rPr>
          <w:lang w:val="en-US" w:eastAsia="x-none"/>
        </w:rPr>
        <w:t xml:space="preserve"> </w:t>
      </w:r>
      <w:r>
        <w:rPr>
          <w:iCs/>
          <w:lang w:val="en-US" w:eastAsia="x-none"/>
        </w:rPr>
        <w:t xml:space="preserve">in </w:t>
      </w:r>
      <w:r w:rsidRPr="007B5F66">
        <w:rPr>
          <w:i/>
          <w:iCs/>
          <w:lang w:val="en-US" w:eastAsia="x-none"/>
        </w:rPr>
        <w:t>PDCCH-ConfigCommon</w:t>
      </w:r>
      <w:r w:rsidRPr="00B916EC">
        <w:t xml:space="preserve"> for a DCI format with CRC scrambled by a RA-RNTI</w:t>
      </w:r>
      <w:r w:rsidR="00216B48">
        <w:t>, a MsgB-RNTI,</w:t>
      </w:r>
      <w:r w:rsidRPr="00B916EC">
        <w:t xml:space="preserve"> or a TC-RNTI on </w:t>
      </w:r>
      <w:r w:rsidR="006D7A16">
        <w:rPr>
          <w:lang w:val="en-US"/>
        </w:rPr>
        <w:t>the</w:t>
      </w:r>
      <w:r w:rsidR="006D7A16" w:rsidRPr="00B916EC">
        <w:t xml:space="preserve"> </w:t>
      </w:r>
      <w:r w:rsidRPr="00B916EC">
        <w:t>primary cell</w:t>
      </w:r>
    </w:p>
    <w:p w14:paraId="173AD6FC" w14:textId="62222CA2" w:rsidR="00A66624" w:rsidRPr="00A66624" w:rsidRDefault="00A66624" w:rsidP="004F21B6">
      <w:pPr>
        <w:pStyle w:val="B1"/>
        <w:rPr>
          <w:lang w:val="en-US"/>
        </w:rPr>
      </w:pPr>
      <w:r>
        <w:t>-</w:t>
      </w:r>
      <w:r>
        <w:tab/>
      </w:r>
      <w:r w:rsidRPr="00B916EC">
        <w:t>a Type1</w:t>
      </w:r>
      <w:r>
        <w:rPr>
          <w:lang w:val="en-US"/>
        </w:rPr>
        <w:t>A</w:t>
      </w:r>
      <w:r w:rsidRPr="00B916EC">
        <w:t xml:space="preserve">-PDCCH </w:t>
      </w:r>
      <w:r>
        <w:t>CSS</w:t>
      </w:r>
      <w:r w:rsidRPr="00B916EC">
        <w:t xml:space="preserve"> </w:t>
      </w:r>
      <w:r>
        <w:rPr>
          <w:lang w:val="en-US"/>
        </w:rPr>
        <w:t xml:space="preserve">set </w:t>
      </w:r>
      <w:r w:rsidRPr="007B5F66">
        <w:rPr>
          <w:lang w:val="en-US" w:eastAsia="x-none"/>
        </w:rPr>
        <w:t xml:space="preserve">configured by </w:t>
      </w:r>
      <w:r>
        <w:rPr>
          <w:i/>
          <w:iCs/>
          <w:lang w:val="en-US" w:eastAsia="x-none"/>
        </w:rPr>
        <w:t>sdt-S</w:t>
      </w:r>
      <w:r w:rsidRPr="007B5F66">
        <w:rPr>
          <w:i/>
          <w:iCs/>
          <w:lang w:val="en-US" w:eastAsia="x-none"/>
        </w:rPr>
        <w:t>earchSpace</w:t>
      </w:r>
      <w:r w:rsidRPr="007B5F66">
        <w:rPr>
          <w:lang w:val="en-US" w:eastAsia="x-none"/>
        </w:rPr>
        <w:t xml:space="preserve"> </w:t>
      </w:r>
      <w:r>
        <w:rPr>
          <w:iCs/>
          <w:lang w:val="en-US" w:eastAsia="x-none"/>
        </w:rPr>
        <w:t xml:space="preserve">in </w:t>
      </w:r>
      <w:r w:rsidRPr="007B5F66">
        <w:rPr>
          <w:i/>
          <w:iCs/>
          <w:lang w:val="en-US" w:eastAsia="x-none"/>
        </w:rPr>
        <w:t>PDCCH-ConfigCommon</w:t>
      </w:r>
      <w:r w:rsidRPr="00B916EC">
        <w:t xml:space="preserve"> for a DCI format with CRC scrambled by a </w:t>
      </w:r>
      <w:r>
        <w:rPr>
          <w:lang w:val="en-US"/>
        </w:rPr>
        <w:t>C</w:t>
      </w:r>
      <w:r w:rsidRPr="00B916EC">
        <w:t>-RNTI</w:t>
      </w:r>
      <w:r>
        <w:t xml:space="preserve"> </w:t>
      </w:r>
      <w:r>
        <w:rPr>
          <w:lang w:val="en-US"/>
        </w:rPr>
        <w:t xml:space="preserve">or a CS-RNTI </w:t>
      </w:r>
      <w:r w:rsidRPr="00B916EC">
        <w:t xml:space="preserve">on </w:t>
      </w:r>
      <w:r>
        <w:rPr>
          <w:lang w:val="en-US"/>
        </w:rPr>
        <w:t>the</w:t>
      </w:r>
      <w:r w:rsidRPr="00B916EC">
        <w:t xml:space="preserve"> primary cell</w:t>
      </w:r>
      <w:r>
        <w:rPr>
          <w:lang w:val="en-US"/>
        </w:rPr>
        <w:t xml:space="preserve"> as described in clause 19.1</w:t>
      </w:r>
    </w:p>
    <w:p w14:paraId="6BFF0C61" w14:textId="6B06BD35" w:rsidR="00905607" w:rsidRDefault="00905607" w:rsidP="00F95BA6">
      <w:pPr>
        <w:pStyle w:val="B1"/>
        <w:rPr>
          <w:lang w:val="en-US"/>
        </w:rPr>
      </w:pPr>
      <w:r>
        <w:t>-</w:t>
      </w:r>
      <w:r>
        <w:tab/>
      </w:r>
      <w:r w:rsidRPr="00B916EC">
        <w:t xml:space="preserve">a Type2-PDCCH </w:t>
      </w:r>
      <w:r w:rsidR="00A54F7F">
        <w:t>CSS</w:t>
      </w:r>
      <w:r w:rsidRPr="00B916EC">
        <w:t xml:space="preserve"> </w:t>
      </w:r>
      <w:r>
        <w:rPr>
          <w:lang w:val="en-US"/>
        </w:rPr>
        <w:t xml:space="preserve">set </w:t>
      </w:r>
      <w:r w:rsidRPr="007B5F66">
        <w:rPr>
          <w:lang w:val="en-US" w:eastAsia="x-none"/>
        </w:rPr>
        <w:t xml:space="preserve">configured by </w:t>
      </w:r>
      <w:r w:rsidRPr="007B5F66">
        <w:rPr>
          <w:i/>
          <w:iCs/>
          <w:lang w:val="en-US" w:eastAsia="x-none"/>
        </w:rPr>
        <w:t>pagingSearchSpace</w:t>
      </w:r>
      <w:r w:rsidRPr="00B916EC">
        <w:t xml:space="preserve"> </w:t>
      </w:r>
      <w:r>
        <w:rPr>
          <w:iCs/>
          <w:lang w:val="en-US" w:eastAsia="x-none"/>
        </w:rPr>
        <w:t xml:space="preserve">in </w:t>
      </w:r>
      <w:r w:rsidRPr="007B5F66">
        <w:rPr>
          <w:i/>
          <w:iCs/>
          <w:lang w:val="en-US" w:eastAsia="x-none"/>
        </w:rPr>
        <w:t>PDCCH-ConfigCommon</w:t>
      </w:r>
      <w:r w:rsidRPr="00B916EC">
        <w:t xml:space="preserve"> for a DCI format </w:t>
      </w:r>
      <w:r w:rsidR="00860BAC" w:rsidRPr="00686F3E">
        <w:rPr>
          <w:lang w:val="en-US"/>
        </w:rPr>
        <w:t xml:space="preserve">1_0 </w:t>
      </w:r>
      <w:r w:rsidRPr="00B916EC">
        <w:t xml:space="preserve">with CRC scrambled by a P-RNTI on </w:t>
      </w:r>
      <w:r w:rsidR="006D7A16">
        <w:rPr>
          <w:lang w:val="en-US"/>
        </w:rPr>
        <w:t>the</w:t>
      </w:r>
      <w:r w:rsidR="006D7A16" w:rsidRPr="00B916EC">
        <w:t xml:space="preserve"> </w:t>
      </w:r>
      <w:r w:rsidRPr="00B916EC">
        <w:t>primary cell</w:t>
      </w:r>
      <w:r w:rsidR="00A54F7F">
        <w:rPr>
          <w:lang w:val="en-US"/>
        </w:rPr>
        <w:t xml:space="preserve"> of the MCG</w:t>
      </w:r>
    </w:p>
    <w:p w14:paraId="7C9581A7" w14:textId="66BAF95E" w:rsidR="00860BAC" w:rsidRPr="00B916EC" w:rsidRDefault="00860BAC" w:rsidP="00F95BA6">
      <w:pPr>
        <w:pStyle w:val="B1"/>
      </w:pPr>
      <w:r w:rsidRPr="00686F3E">
        <w:t>-</w:t>
      </w:r>
      <w:r w:rsidRPr="00686F3E">
        <w:tab/>
        <w:t>a Type2</w:t>
      </w:r>
      <w:r w:rsidRPr="00686F3E">
        <w:rPr>
          <w:lang w:val="en-US"/>
        </w:rPr>
        <w:t>A</w:t>
      </w:r>
      <w:r w:rsidRPr="00686F3E">
        <w:t xml:space="preserve">-PDCCH CSS </w:t>
      </w:r>
      <w:r w:rsidRPr="00686F3E">
        <w:rPr>
          <w:lang w:val="en-US"/>
        </w:rPr>
        <w:t xml:space="preserve">set </w:t>
      </w:r>
      <w:r w:rsidRPr="00686F3E">
        <w:rPr>
          <w:lang w:val="en-US" w:eastAsia="x-none"/>
        </w:rPr>
        <w:t xml:space="preserve">configured </w:t>
      </w:r>
      <w:r w:rsidRPr="009225B9">
        <w:rPr>
          <w:lang w:val="en-US" w:eastAsia="x-none"/>
        </w:rPr>
        <w:t xml:space="preserve">by </w:t>
      </w:r>
      <w:r w:rsidRPr="009225B9">
        <w:rPr>
          <w:i/>
          <w:iCs/>
          <w:lang w:eastAsia="zh-CN"/>
        </w:rPr>
        <w:t>pei</w:t>
      </w:r>
      <w:r w:rsidR="009225B9" w:rsidRPr="009225B9">
        <w:rPr>
          <w:i/>
          <w:iCs/>
          <w:lang w:val="en-GB" w:eastAsia="zh-CN"/>
        </w:rPr>
        <w:t>-</w:t>
      </w:r>
      <w:r w:rsidRPr="009225B9">
        <w:rPr>
          <w:i/>
          <w:iCs/>
          <w:lang w:eastAsia="zh-CN"/>
        </w:rPr>
        <w:t>SearchSpace</w:t>
      </w:r>
      <w:r w:rsidRPr="009225B9">
        <w:t xml:space="preserve"> </w:t>
      </w:r>
      <w:r w:rsidRPr="009225B9">
        <w:rPr>
          <w:iCs/>
          <w:lang w:val="en-US" w:eastAsia="x-none"/>
        </w:rPr>
        <w:t>in</w:t>
      </w:r>
      <w:r w:rsidRPr="00686F3E">
        <w:rPr>
          <w:iCs/>
          <w:lang w:val="en-US" w:eastAsia="x-none"/>
        </w:rPr>
        <w:t xml:space="preserve"> </w:t>
      </w:r>
      <w:r w:rsidR="009225B9">
        <w:rPr>
          <w:i/>
          <w:iCs/>
          <w:lang w:val="en-US" w:eastAsia="x-none"/>
        </w:rPr>
        <w:t>pei-ConfigBWP</w:t>
      </w:r>
      <w:r w:rsidRPr="00686F3E">
        <w:t xml:space="preserve"> for a DCI format </w:t>
      </w:r>
      <w:r w:rsidRPr="00686F3E">
        <w:rPr>
          <w:lang w:val="en-US"/>
        </w:rPr>
        <w:t xml:space="preserve">2_7 </w:t>
      </w:r>
      <w:r w:rsidRPr="00686F3E">
        <w:t xml:space="preserve">with CRC scrambled by a </w:t>
      </w:r>
      <w:r w:rsidR="00012A94" w:rsidRPr="007B7CF1">
        <w:rPr>
          <w:lang w:val="en-US"/>
        </w:rPr>
        <w:t>PEI-</w:t>
      </w:r>
      <w:r w:rsidRPr="00686F3E">
        <w:t xml:space="preserve">RNTI on </w:t>
      </w:r>
      <w:r w:rsidRPr="00686F3E">
        <w:rPr>
          <w:lang w:val="en-US"/>
        </w:rPr>
        <w:t>the</w:t>
      </w:r>
      <w:r w:rsidRPr="00686F3E">
        <w:t xml:space="preserve"> primary cell</w:t>
      </w:r>
      <w:r w:rsidRPr="00686F3E">
        <w:rPr>
          <w:lang w:val="en-US"/>
        </w:rPr>
        <w:t xml:space="preserve"> of the MCG</w:t>
      </w:r>
    </w:p>
    <w:p w14:paraId="475D7F32" w14:textId="77777777" w:rsidR="00DB4346" w:rsidRDefault="00905607" w:rsidP="00F95BA6">
      <w:pPr>
        <w:pStyle w:val="B1"/>
        <w:rPr>
          <w:lang w:val="en-US" w:eastAsia="x-none"/>
        </w:rPr>
      </w:pPr>
      <w:r>
        <w:t>-</w:t>
      </w:r>
      <w:r>
        <w:tab/>
      </w:r>
      <w:r w:rsidRPr="00B916EC">
        <w:t xml:space="preserve">a Type3-PDCCH </w:t>
      </w:r>
      <w:r w:rsidR="00A54F7F">
        <w:t>CSS</w:t>
      </w:r>
      <w:r w:rsidRPr="00B916EC">
        <w:t xml:space="preserve"> </w:t>
      </w:r>
      <w:r>
        <w:rPr>
          <w:lang w:val="en-US"/>
        </w:rPr>
        <w:t xml:space="preserve">set </w:t>
      </w:r>
      <w:r>
        <w:rPr>
          <w:lang w:val="en-US" w:eastAsia="x-none"/>
        </w:rPr>
        <w:t>configured by</w:t>
      </w:r>
      <w:r w:rsidRPr="007B5F66">
        <w:rPr>
          <w:lang w:val="en-US" w:eastAsia="x-none"/>
        </w:rPr>
        <w:t xml:space="preserve"> </w:t>
      </w:r>
    </w:p>
    <w:p w14:paraId="441096F2" w14:textId="1E084036" w:rsidR="00DB4346" w:rsidRDefault="00DB4346" w:rsidP="00DB4346">
      <w:pPr>
        <w:pStyle w:val="B2"/>
        <w:rPr>
          <w:lang w:val="en-US"/>
        </w:rPr>
      </w:pPr>
      <w:r>
        <w:rPr>
          <w:lang w:val="en-US" w:eastAsia="x-none"/>
        </w:rPr>
        <w:t>-</w:t>
      </w:r>
      <w:r>
        <w:rPr>
          <w:lang w:val="en-US" w:eastAsia="x-none"/>
        </w:rPr>
        <w:tab/>
      </w:r>
      <w:r w:rsidR="00905607" w:rsidRPr="007B5F66">
        <w:rPr>
          <w:i/>
          <w:iCs/>
          <w:lang w:val="en-US" w:eastAsia="x-none"/>
        </w:rPr>
        <w:t>SearchSpace</w:t>
      </w:r>
      <w:r w:rsidR="00905607" w:rsidRPr="007B5F66">
        <w:rPr>
          <w:lang w:val="en-US" w:eastAsia="x-none"/>
        </w:rPr>
        <w:t xml:space="preserve"> </w:t>
      </w:r>
      <w:r w:rsidR="00905607">
        <w:rPr>
          <w:lang w:val="en-US" w:eastAsia="x-none"/>
        </w:rPr>
        <w:t xml:space="preserve">in </w:t>
      </w:r>
      <w:r w:rsidR="00905607" w:rsidRPr="007B5F66">
        <w:rPr>
          <w:i/>
          <w:iCs/>
          <w:lang w:val="en-US" w:eastAsia="x-none"/>
        </w:rPr>
        <w:t>PDCCH-Config</w:t>
      </w:r>
      <w:r w:rsidR="00905607" w:rsidRPr="007B5F66">
        <w:rPr>
          <w:lang w:val="en-US" w:eastAsia="x-none"/>
        </w:rPr>
        <w:t xml:space="preserve"> </w:t>
      </w:r>
      <w:r w:rsidR="00905607">
        <w:rPr>
          <w:lang w:val="en-US" w:eastAsia="x-none"/>
        </w:rPr>
        <w:t>with</w:t>
      </w:r>
      <w:r w:rsidR="00905607" w:rsidRPr="007B5F66">
        <w:rPr>
          <w:lang w:val="en-US" w:eastAsia="x-none"/>
        </w:rPr>
        <w:t xml:space="preserve"> </w:t>
      </w:r>
      <w:r w:rsidR="00905607" w:rsidRPr="007B5F66">
        <w:rPr>
          <w:i/>
          <w:iCs/>
          <w:lang w:val="en-US" w:eastAsia="x-none"/>
        </w:rPr>
        <w:t>searchSpaceType</w:t>
      </w:r>
      <w:r w:rsidR="00905607">
        <w:rPr>
          <w:lang w:val="en-US" w:eastAsia="x-none"/>
        </w:rPr>
        <w:t xml:space="preserve"> = </w:t>
      </w:r>
      <w:r w:rsidR="00905607" w:rsidRPr="007B5F66">
        <w:rPr>
          <w:i/>
          <w:iCs/>
          <w:lang w:val="en-US" w:eastAsia="x-none"/>
        </w:rPr>
        <w:t>common</w:t>
      </w:r>
      <w:r w:rsidR="00905607">
        <w:rPr>
          <w:lang w:val="en-US" w:eastAsia="x-none"/>
        </w:rPr>
        <w:t xml:space="preserve"> </w:t>
      </w:r>
      <w:r w:rsidR="00905607" w:rsidRPr="00B916EC">
        <w:t>for DCI format</w:t>
      </w:r>
      <w:r w:rsidR="00905607">
        <w:rPr>
          <w:lang w:val="en-US"/>
        </w:rPr>
        <w:t>s</w:t>
      </w:r>
      <w:r w:rsidR="00905607" w:rsidRPr="00B916EC">
        <w:t xml:space="preserve"> with CRC scrambled by INT-RNTI, SFI-RNTI, TPC-PUSCH-RNTI, TPC-PUCCH-RNTI, TPC-SRS-RNTI</w:t>
      </w:r>
      <w:r w:rsidR="00B57182">
        <w:rPr>
          <w:lang w:val="en-US"/>
        </w:rPr>
        <w:t>, CI-RNTI</w:t>
      </w:r>
      <w:r w:rsidR="005366F8">
        <w:rPr>
          <w:lang w:val="en-US"/>
        </w:rPr>
        <w:t xml:space="preserve">, or </w:t>
      </w:r>
      <w:r w:rsidR="00B35D84">
        <w:rPr>
          <w:lang w:val="en-US"/>
        </w:rPr>
        <w:t>cellDTRX</w:t>
      </w:r>
      <w:r w:rsidR="005366F8">
        <w:rPr>
          <w:lang w:val="en-US"/>
        </w:rPr>
        <w:t>-RNTI</w:t>
      </w:r>
      <w:r w:rsidR="00905607">
        <w:rPr>
          <w:lang w:val="en-US"/>
        </w:rPr>
        <w:t xml:space="preserve"> and</w:t>
      </w:r>
      <w:r w:rsidR="00905607" w:rsidRPr="00B916EC">
        <w:t xml:space="preserve">, </w:t>
      </w:r>
      <w:r w:rsidR="00905607">
        <w:rPr>
          <w:lang w:val="en-US"/>
        </w:rPr>
        <w:t>only for the primary cell,</w:t>
      </w:r>
      <w:r w:rsidR="00905607">
        <w:t xml:space="preserve"> C-RNTI, </w:t>
      </w:r>
      <w:r w:rsidR="006D7A16">
        <w:rPr>
          <w:lang w:val="en-US"/>
        </w:rPr>
        <w:t xml:space="preserve">MCS-C-RNTI, </w:t>
      </w:r>
      <w:r w:rsidR="00905607">
        <w:t>CS</w:t>
      </w:r>
      <w:r w:rsidR="00905607" w:rsidRPr="00B916EC">
        <w:t>-RNTI(s)</w:t>
      </w:r>
      <w:r w:rsidR="00A54F7F">
        <w:rPr>
          <w:lang w:val="en-US"/>
        </w:rPr>
        <w:t>,</w:t>
      </w:r>
      <w:r w:rsidR="00905607" w:rsidRPr="00B916EC">
        <w:t xml:space="preserve"> </w:t>
      </w:r>
      <w:r w:rsidR="00BF5894" w:rsidRPr="00AF1409">
        <w:t>or PS-RNTI</w:t>
      </w:r>
      <w:r w:rsidR="00411A05" w:rsidRPr="00B06CC2">
        <w:rPr>
          <w:lang w:val="en-US"/>
        </w:rPr>
        <w:t>, or</w:t>
      </w:r>
      <w:r w:rsidR="00411A05">
        <w:rPr>
          <w:lang w:val="en-US"/>
        </w:rPr>
        <w:t xml:space="preserve"> </w:t>
      </w:r>
    </w:p>
    <w:p w14:paraId="7CBCD9A0" w14:textId="2DFD7147" w:rsidR="00DB4346" w:rsidRPr="0088027F" w:rsidRDefault="00DB4346" w:rsidP="00DB4346">
      <w:pPr>
        <w:pStyle w:val="B2"/>
        <w:rPr>
          <w:lang w:val="en-US"/>
        </w:rPr>
      </w:pPr>
      <w:r>
        <w:rPr>
          <w:lang w:val="en-US" w:eastAsia="x-none"/>
        </w:rPr>
        <w:t>-</w:t>
      </w:r>
      <w:r>
        <w:rPr>
          <w:lang w:val="en-US" w:eastAsia="x-none"/>
        </w:rPr>
        <w:tab/>
      </w:r>
      <w:r w:rsidR="00411A05" w:rsidRPr="00B06CC2">
        <w:rPr>
          <w:i/>
          <w:iCs/>
          <w:lang w:val="en-US" w:eastAsia="x-none"/>
        </w:rPr>
        <w:t>SearchSpace</w:t>
      </w:r>
      <w:r w:rsidR="00411A05" w:rsidRPr="00B06CC2">
        <w:rPr>
          <w:lang w:val="en-US" w:eastAsia="x-none"/>
        </w:rPr>
        <w:t xml:space="preserve"> in </w:t>
      </w:r>
      <w:r w:rsidR="00255A5F">
        <w:rPr>
          <w:i/>
          <w:iCs/>
          <w:lang w:val="en-US" w:eastAsia="x-none"/>
        </w:rPr>
        <w:t>pdcch</w:t>
      </w:r>
      <w:r w:rsidR="00411A05" w:rsidRPr="00B06CC2">
        <w:rPr>
          <w:i/>
          <w:iCs/>
          <w:lang w:val="en-US" w:eastAsia="x-none"/>
        </w:rPr>
        <w:t>-Config</w:t>
      </w:r>
      <w:r w:rsidR="00411A05">
        <w:rPr>
          <w:i/>
          <w:iCs/>
          <w:lang w:val="en-US" w:eastAsia="x-none"/>
        </w:rPr>
        <w:t>Multicast</w:t>
      </w:r>
      <w:r w:rsidR="00411A05" w:rsidRPr="00B06CC2">
        <w:rPr>
          <w:lang w:val="en-US"/>
        </w:rPr>
        <w:t xml:space="preserve"> </w:t>
      </w:r>
      <w:r w:rsidR="00411A05">
        <w:rPr>
          <w:lang w:val="en-US"/>
        </w:rPr>
        <w:t xml:space="preserve">for DCI formats with CRC scrambled by </w:t>
      </w:r>
      <w:r w:rsidR="00411A05" w:rsidRPr="00B06CC2">
        <w:rPr>
          <w:lang w:val="en-US"/>
        </w:rPr>
        <w:t>G-RNTI, or G-CS-RNTI</w:t>
      </w:r>
      <w:r w:rsidRPr="0088027F">
        <w:rPr>
          <w:lang w:val="en-US"/>
        </w:rPr>
        <w:t>, or</w:t>
      </w:r>
    </w:p>
    <w:p w14:paraId="328ADFE6" w14:textId="7E8303A8" w:rsidR="00905607" w:rsidRPr="00B916EC" w:rsidRDefault="00DB4346" w:rsidP="00DB4346">
      <w:pPr>
        <w:pStyle w:val="B2"/>
      </w:pPr>
      <w:r w:rsidRPr="0088027F">
        <w:t>-</w:t>
      </w:r>
      <w:r w:rsidRPr="0088027F">
        <w:tab/>
      </w:r>
      <w:r w:rsidRPr="0088027F">
        <w:rPr>
          <w:i/>
          <w:iCs/>
        </w:rPr>
        <w:t>searchSpace</w:t>
      </w:r>
      <w:r w:rsidR="00A837FE" w:rsidRPr="00497077">
        <w:rPr>
          <w:i/>
          <w:iCs/>
          <w:lang w:val="en-US"/>
        </w:rPr>
        <w:t>MCCH</w:t>
      </w:r>
      <w:r w:rsidRPr="0088027F">
        <w:rPr>
          <w:iCs/>
          <w:lang w:val="en-US" w:eastAsia="x-none"/>
        </w:rPr>
        <w:t xml:space="preserve"> and </w:t>
      </w:r>
      <w:r w:rsidR="00A837FE" w:rsidRPr="00497077">
        <w:rPr>
          <w:i/>
          <w:iCs/>
        </w:rPr>
        <w:t>searchSpace</w:t>
      </w:r>
      <w:r w:rsidR="00A837FE" w:rsidRPr="00497077">
        <w:rPr>
          <w:i/>
          <w:iCs/>
          <w:lang w:val="en-US"/>
        </w:rPr>
        <w:t>MTCH</w:t>
      </w:r>
      <w:r w:rsidRPr="0088027F">
        <w:rPr>
          <w:iCs/>
          <w:lang w:val="en-US" w:eastAsia="x-none"/>
        </w:rPr>
        <w:t xml:space="preserve"> on a secondary cell for</w:t>
      </w:r>
      <w:r w:rsidRPr="0088027F">
        <w:t xml:space="preserve"> </w:t>
      </w:r>
      <w:r w:rsidRPr="0088027F">
        <w:rPr>
          <w:lang w:val="en-US"/>
        </w:rPr>
        <w:t xml:space="preserve">a </w:t>
      </w:r>
      <w:r w:rsidRPr="0088027F">
        <w:t>DCI format</w:t>
      </w:r>
      <w:r w:rsidRPr="0088027F">
        <w:rPr>
          <w:lang w:val="en-US"/>
        </w:rPr>
        <w:t xml:space="preserve"> 4_0</w:t>
      </w:r>
      <w:r w:rsidRPr="0088027F">
        <w:t xml:space="preserve"> with CRC scrambled by </w:t>
      </w:r>
      <w:r w:rsidRPr="0088027F">
        <w:rPr>
          <w:lang w:val="en-US"/>
        </w:rPr>
        <w:t xml:space="preserve">a MCCH-RNTI or </w:t>
      </w:r>
      <w:r w:rsidRPr="0088027F">
        <w:t xml:space="preserve">a </w:t>
      </w:r>
      <w:r w:rsidRPr="0088027F">
        <w:rPr>
          <w:lang w:val="en-US"/>
        </w:rPr>
        <w:t>G</w:t>
      </w:r>
      <w:r w:rsidRPr="0088027F">
        <w:t>-RNTI</w:t>
      </w:r>
      <w:r w:rsidR="00BC0321">
        <w:rPr>
          <w:lang w:val="en-GB"/>
        </w:rPr>
        <w:t xml:space="preserve"> </w:t>
      </w:r>
      <w:r w:rsidR="00BC0321">
        <w:t>for broadcast</w:t>
      </w:r>
      <w:r w:rsidRPr="0088027F">
        <w:rPr>
          <w:lang w:val="en-US"/>
        </w:rPr>
        <w:t>,</w:t>
      </w:r>
      <w:r w:rsidR="00BF5894" w:rsidRPr="00AF1409">
        <w:t xml:space="preserve"> </w:t>
      </w:r>
      <w:r w:rsidR="00905607" w:rsidRPr="00B916EC">
        <w:t>and</w:t>
      </w:r>
    </w:p>
    <w:p w14:paraId="5D3886C3" w14:textId="77777777" w:rsidR="00DB4346" w:rsidRDefault="00905607" w:rsidP="00BE5555">
      <w:pPr>
        <w:pStyle w:val="B1"/>
        <w:rPr>
          <w:lang w:val="en-US" w:eastAsia="x-none"/>
        </w:rPr>
      </w:pPr>
      <w:r>
        <w:t>-</w:t>
      </w:r>
      <w:r>
        <w:tab/>
      </w:r>
      <w:r w:rsidRPr="00B916EC">
        <w:t xml:space="preserve">a </w:t>
      </w:r>
      <w:r w:rsidR="00A54F7F">
        <w:t>USS</w:t>
      </w:r>
      <w:r w:rsidRPr="00B916EC">
        <w:t xml:space="preserve"> </w:t>
      </w:r>
      <w:r>
        <w:rPr>
          <w:lang w:val="en-US"/>
        </w:rPr>
        <w:t xml:space="preserve">set </w:t>
      </w:r>
      <w:r>
        <w:rPr>
          <w:lang w:val="en-US" w:eastAsia="x-none"/>
        </w:rPr>
        <w:t>configured by</w:t>
      </w:r>
      <w:r w:rsidRPr="007B5F66">
        <w:rPr>
          <w:lang w:val="en-US" w:eastAsia="x-none"/>
        </w:rPr>
        <w:t xml:space="preserve"> </w:t>
      </w:r>
    </w:p>
    <w:p w14:paraId="119AE161" w14:textId="492B87CA" w:rsidR="00DB4346" w:rsidRDefault="00DB4346" w:rsidP="00DB4346">
      <w:pPr>
        <w:pStyle w:val="B2"/>
        <w:rPr>
          <w:lang w:val="en-US"/>
        </w:rPr>
      </w:pPr>
      <w:r>
        <w:rPr>
          <w:lang w:val="en-US" w:eastAsia="x-none"/>
        </w:rPr>
        <w:t>-</w:t>
      </w:r>
      <w:r>
        <w:rPr>
          <w:lang w:val="en-US" w:eastAsia="x-none"/>
        </w:rPr>
        <w:tab/>
      </w:r>
      <w:r w:rsidR="00905607" w:rsidRPr="007B5F66">
        <w:rPr>
          <w:i/>
          <w:iCs/>
          <w:lang w:val="en-US" w:eastAsia="x-none"/>
        </w:rPr>
        <w:t>SearchSpace</w:t>
      </w:r>
      <w:r w:rsidR="00905607" w:rsidRPr="007B5F66">
        <w:rPr>
          <w:lang w:val="en-US" w:eastAsia="x-none"/>
        </w:rPr>
        <w:t xml:space="preserve"> </w:t>
      </w:r>
      <w:r w:rsidR="00905607">
        <w:rPr>
          <w:lang w:val="en-US" w:eastAsia="x-none"/>
        </w:rPr>
        <w:t xml:space="preserve">in </w:t>
      </w:r>
      <w:r w:rsidR="00905607" w:rsidRPr="007B5F66">
        <w:rPr>
          <w:i/>
          <w:iCs/>
          <w:lang w:val="en-US" w:eastAsia="x-none"/>
        </w:rPr>
        <w:t>PDCCH-Config</w:t>
      </w:r>
      <w:r w:rsidR="00905607" w:rsidRPr="007B5F66">
        <w:rPr>
          <w:lang w:val="en-US" w:eastAsia="x-none"/>
        </w:rPr>
        <w:t xml:space="preserve"> </w:t>
      </w:r>
      <w:r w:rsidR="00905607">
        <w:rPr>
          <w:lang w:val="en-US" w:eastAsia="x-none"/>
        </w:rPr>
        <w:t>with</w:t>
      </w:r>
      <w:r w:rsidR="00905607" w:rsidRPr="007B5F66">
        <w:rPr>
          <w:lang w:val="en-US" w:eastAsia="x-none"/>
        </w:rPr>
        <w:t xml:space="preserve"> </w:t>
      </w:r>
      <w:r w:rsidR="00905607" w:rsidRPr="007B5F66">
        <w:rPr>
          <w:i/>
          <w:iCs/>
          <w:lang w:val="en-US" w:eastAsia="x-none"/>
        </w:rPr>
        <w:t>searchSpaceType</w:t>
      </w:r>
      <w:r w:rsidR="00905607">
        <w:rPr>
          <w:lang w:val="en-US" w:eastAsia="x-none"/>
        </w:rPr>
        <w:t xml:space="preserve"> = </w:t>
      </w:r>
      <w:r w:rsidR="00905607" w:rsidRPr="002C439D">
        <w:rPr>
          <w:i/>
        </w:rPr>
        <w:t>ue-Specific</w:t>
      </w:r>
      <w:r w:rsidR="00905607">
        <w:rPr>
          <w:lang w:val="en-US" w:eastAsia="x-none"/>
        </w:rPr>
        <w:t xml:space="preserve"> </w:t>
      </w:r>
      <w:r w:rsidR="00905607" w:rsidRPr="00B916EC">
        <w:t>for DCI format</w:t>
      </w:r>
      <w:r w:rsidR="00905607">
        <w:rPr>
          <w:lang w:val="en-US"/>
        </w:rPr>
        <w:t>s</w:t>
      </w:r>
      <w:r w:rsidR="00905607" w:rsidRPr="00B916EC">
        <w:t xml:space="preserve"> with CRC scrambled by C-RNTI</w:t>
      </w:r>
      <w:r w:rsidR="00905607">
        <w:rPr>
          <w:lang w:val="en-US"/>
        </w:rPr>
        <w:t>,</w:t>
      </w:r>
      <w:r w:rsidR="00905607" w:rsidRPr="00B916EC">
        <w:t xml:space="preserve"> </w:t>
      </w:r>
      <w:r w:rsidR="006D7A16">
        <w:rPr>
          <w:lang w:val="en-US"/>
        </w:rPr>
        <w:t xml:space="preserve">MCS-C-RNTI, </w:t>
      </w:r>
      <w:r w:rsidR="009E4A5E">
        <w:rPr>
          <w:lang w:val="en-US"/>
        </w:rPr>
        <w:t xml:space="preserve">SP-CSI-RNTI, </w:t>
      </w:r>
      <w:r w:rsidR="00905607">
        <w:t>CS-</w:t>
      </w:r>
      <w:r w:rsidR="00905607" w:rsidRPr="00B916EC">
        <w:t>RNTI(s)</w:t>
      </w:r>
      <w:r w:rsidR="00650C22">
        <w:rPr>
          <w:lang w:val="en-US"/>
        </w:rPr>
        <w:t>,</w:t>
      </w:r>
      <w:r w:rsidR="00650C22" w:rsidRPr="00A67E84">
        <w:rPr>
          <w:lang w:eastAsia="zh-CN"/>
        </w:rPr>
        <w:t xml:space="preserve"> </w:t>
      </w:r>
      <w:r w:rsidR="00650C22">
        <w:rPr>
          <w:lang w:eastAsia="zh-CN"/>
        </w:rPr>
        <w:t>SL</w:t>
      </w:r>
      <w:r w:rsidR="00650C22" w:rsidRPr="002625EB">
        <w:rPr>
          <w:rFonts w:hint="eastAsia"/>
          <w:lang w:eastAsia="zh-CN"/>
        </w:rPr>
        <w:t>-RNTI</w:t>
      </w:r>
      <w:r w:rsidR="00650C22">
        <w:rPr>
          <w:lang w:eastAsia="zh-CN"/>
        </w:rPr>
        <w:t xml:space="preserve">, </w:t>
      </w:r>
      <w:r w:rsidR="00650C22">
        <w:t>SL-CS-RNTI</w:t>
      </w:r>
      <w:r w:rsidR="00650C22">
        <w:rPr>
          <w:lang w:val="en-US"/>
        </w:rPr>
        <w:t xml:space="preserve">, </w:t>
      </w:r>
      <w:r w:rsidR="00BE3B40" w:rsidRPr="00D429F6">
        <w:t>SL Semi-Persistent Scheduling V-RNTI</w:t>
      </w:r>
      <w:r w:rsidR="00DB7D93">
        <w:t>, or NCR-RNTI</w:t>
      </w:r>
      <w:r w:rsidR="00A66624">
        <w:rPr>
          <w:lang w:val="en-US"/>
        </w:rPr>
        <w:t xml:space="preserve"> </w:t>
      </w:r>
    </w:p>
    <w:p w14:paraId="07AF6AEF" w14:textId="25187DF4" w:rsidR="00411A05" w:rsidRPr="00B06CC2" w:rsidRDefault="00411A05" w:rsidP="00411A05">
      <w:pPr>
        <w:rPr>
          <w:lang w:eastAsia="zh-CN"/>
        </w:rPr>
      </w:pPr>
      <w:r w:rsidRPr="00B06CC2">
        <w:t xml:space="preserve">In the following, DCI formats with CRC scrambled by C-RNTI or CS-RNTI or MCS-C-RNTI are also referred to as unicast DCI formats, DCI formats with CRC scrambled by G-RNTI </w:t>
      </w:r>
      <w:r w:rsidR="00255A5F">
        <w:t xml:space="preserve">for multicast </w:t>
      </w:r>
      <w:r w:rsidRPr="00B06CC2">
        <w:t xml:space="preserve">or G-CS-RNTI are also referred to as multicast DCI formats, and DCI formats with CRC scrambled by MCCH-RNTI or G-RNTI for </w:t>
      </w:r>
      <w:r w:rsidR="00255A5F">
        <w:t>broadcast</w:t>
      </w:r>
      <w:r w:rsidR="00255A5F" w:rsidRPr="00B06CC2">
        <w:t xml:space="preserve"> </w:t>
      </w:r>
      <w:r w:rsidRPr="00B06CC2">
        <w:t>scheduling PDSCH receptions are also referred to as broadcast DCI formats</w:t>
      </w:r>
      <w:r w:rsidR="004F1F38">
        <w:t xml:space="preserve">, </w:t>
      </w:r>
      <w:r w:rsidR="004F1F38" w:rsidRPr="00562174">
        <w:t xml:space="preserve">and DCI formats with CRC scrambled by multicast-MCCH-RNTI or G-RNTI for </w:t>
      </w:r>
      <w:r w:rsidR="004F1F38">
        <w:t xml:space="preserve">multicast </w:t>
      </w:r>
      <w:r w:rsidR="004F1F38" w:rsidRPr="00562174">
        <w:t xml:space="preserve">scheduling PDSCH receptions in RRC_INACTIVE state are also referred as multicast DCI formats </w:t>
      </w:r>
      <w:r w:rsidR="004F1F38">
        <w:t>for</w:t>
      </w:r>
      <w:r w:rsidR="004F1F38" w:rsidRPr="00562174">
        <w:t xml:space="preserve"> RRC_INACTIVE state</w:t>
      </w:r>
      <w:r w:rsidRPr="00B06CC2">
        <w:t>.</w:t>
      </w:r>
    </w:p>
    <w:p w14:paraId="7230053C" w14:textId="77777777" w:rsidR="00DB4346" w:rsidRDefault="000C6759" w:rsidP="000C6759">
      <w:r w:rsidRPr="00D20E88">
        <w:rPr>
          <w:lang w:val="en-US"/>
        </w:rPr>
        <w:lastRenderedPageBreak/>
        <w:t xml:space="preserve">For a DL BWP, if a UE is not provided </w:t>
      </w:r>
      <w:r w:rsidRPr="00D20E88">
        <w:rPr>
          <w:i/>
          <w:iCs/>
          <w:lang w:val="en-US" w:eastAsia="x-none"/>
        </w:rPr>
        <w:t>searchSpaceSIB1</w:t>
      </w:r>
      <w:r w:rsidRPr="00D20E88">
        <w:rPr>
          <w:lang w:val="en-US"/>
        </w:rPr>
        <w:t xml:space="preserve"> for Type0-PDCCH CSS set </w:t>
      </w:r>
      <w:r w:rsidRPr="00D20E88">
        <w:rPr>
          <w:rFonts w:eastAsia="Yu Mincho"/>
        </w:rPr>
        <w:t xml:space="preserve">by </w:t>
      </w:r>
      <w:r w:rsidRPr="00D20E88">
        <w:rPr>
          <w:rFonts w:eastAsia="Yu Mincho"/>
          <w:i/>
        </w:rPr>
        <w:t>PDCCH-ConfigCommon</w:t>
      </w:r>
      <w:r w:rsidRPr="00D20E88">
        <w:rPr>
          <w:lang w:val="en-US"/>
        </w:rPr>
        <w:t xml:space="preserve">, the UE </w:t>
      </w:r>
      <w:r w:rsidRPr="00D20E88">
        <w:rPr>
          <w:rFonts w:eastAsia="Yu Mincho"/>
        </w:rPr>
        <w:t xml:space="preserve">does not monitor PDCCH candidates for a Type0-PDCCH CSS set on the </w:t>
      </w:r>
      <w:r>
        <w:rPr>
          <w:rFonts w:eastAsia="Yu Mincho"/>
        </w:rPr>
        <w:t xml:space="preserve">DL </w:t>
      </w:r>
      <w:r w:rsidRPr="00D20E88">
        <w:rPr>
          <w:rFonts w:eastAsia="Yu Mincho"/>
        </w:rPr>
        <w:t>BWP</w:t>
      </w:r>
      <w:r w:rsidRPr="00D20E88">
        <w:t xml:space="preserve">. The Type0-PDCCH CSS set is defined by the CCE aggregation levels and the number of PDCCH candidates per CCE aggregation level given in Table 10.1-1. </w:t>
      </w:r>
    </w:p>
    <w:p w14:paraId="143E6390" w14:textId="3BA21AEB" w:rsidR="000C6759" w:rsidRPr="00D20E88" w:rsidRDefault="000C6759" w:rsidP="000C6759">
      <w:r>
        <w:t>If the active DL BWP and the initial DL</w:t>
      </w:r>
      <w:r w:rsidRPr="00076AB5">
        <w:t xml:space="preserve"> BWP </w:t>
      </w:r>
      <w:r w:rsidR="00DB4346" w:rsidRPr="0088027F">
        <w:t xml:space="preserve">for a UE </w:t>
      </w:r>
      <w:r w:rsidRPr="00076AB5">
        <w:t xml:space="preserve">have same SCS and same CP length and the active </w:t>
      </w:r>
      <w:r>
        <w:t>D</w:t>
      </w:r>
      <w:r w:rsidRPr="00076AB5">
        <w:t>L BWP includes all RBs o</w:t>
      </w:r>
      <w:r>
        <w:t xml:space="preserve">f the </w:t>
      </w:r>
      <w:r w:rsidR="003C5338">
        <w:rPr>
          <w:rFonts w:eastAsia="DengXian"/>
        </w:rPr>
        <w:t>CORESET with index 0</w:t>
      </w:r>
      <w:r>
        <w:t>, or the active DL BWP is the initial DL</w:t>
      </w:r>
      <w:r w:rsidRPr="00076AB5">
        <w:t xml:space="preserve"> BWP</w:t>
      </w:r>
      <w:r>
        <w:t xml:space="preserve">, </w:t>
      </w:r>
      <w:r w:rsidR="00DB4346" w:rsidRPr="0088027F">
        <w:t xml:space="preserve">or the active DL BWP includes all RBs of an MBS frequency resource provided by </w:t>
      </w:r>
      <w:r w:rsidR="00DB4346" w:rsidRPr="0088027F">
        <w:rPr>
          <w:i/>
          <w:iCs/>
          <w:lang w:eastAsia="zh-CN"/>
        </w:rPr>
        <w:t>cfr-ConfigMCCH-MTCH</w:t>
      </w:r>
      <w:r w:rsidR="00DB4346" w:rsidRPr="0088027F">
        <w:rPr>
          <w:lang w:eastAsia="zh-CN"/>
        </w:rPr>
        <w:t xml:space="preserve"> </w:t>
      </w:r>
      <w:r w:rsidR="00B731F1" w:rsidRPr="009D4A53">
        <w:rPr>
          <w:rFonts w:hint="eastAsia"/>
          <w:lang w:eastAsia="zh-CN"/>
        </w:rPr>
        <w:t xml:space="preserve">or </w:t>
      </w:r>
      <w:r w:rsidR="00B731F1" w:rsidRPr="009D4A53">
        <w:rPr>
          <w:rFonts w:hint="eastAsia"/>
          <w:i/>
          <w:iCs/>
          <w:lang w:eastAsia="zh-CN"/>
        </w:rPr>
        <w:t>cfr-ConfigMCCH-MTCH-RedCap</w:t>
      </w:r>
      <w:r w:rsidR="00B731F1" w:rsidRPr="009D4A53">
        <w:rPr>
          <w:lang w:eastAsia="zh-CN"/>
        </w:rPr>
        <w:t xml:space="preserve"> </w:t>
      </w:r>
      <w:r w:rsidR="00DB4346" w:rsidRPr="0088027F">
        <w:rPr>
          <w:lang w:eastAsia="zh-CN"/>
        </w:rPr>
        <w:t>as described in clause 18</w:t>
      </w:r>
      <w:r w:rsidR="00DB4346" w:rsidRPr="0088027F">
        <w:t xml:space="preserve">, </w:t>
      </w:r>
      <w:r>
        <w:t>t</w:t>
      </w:r>
      <w:r w:rsidRPr="00D20E88">
        <w:t xml:space="preserve">he </w:t>
      </w:r>
      <w:r w:rsidRPr="00D20E88">
        <w:rPr>
          <w:lang w:val="en-US"/>
        </w:rPr>
        <w:t>CORESET configured for Type0-PDCCH CSS set has CORESET index 0</w:t>
      </w:r>
      <w:r>
        <w:rPr>
          <w:lang w:val="en-US"/>
        </w:rPr>
        <w:t xml:space="preserve"> and</w:t>
      </w:r>
      <w:r w:rsidRPr="00D20E88">
        <w:rPr>
          <w:lang w:val="en-US"/>
        </w:rPr>
        <w:t xml:space="preserve"> </w:t>
      </w:r>
      <w:r>
        <w:t>t</w:t>
      </w:r>
      <w:r w:rsidRPr="00D20E88">
        <w:t>he Type0-PDCCH CSS</w:t>
      </w:r>
      <w:r w:rsidRPr="00D20E88">
        <w:rPr>
          <w:lang w:val="en-US"/>
        </w:rPr>
        <w:t xml:space="preserve"> set has search space set index 0.</w:t>
      </w:r>
      <w:r w:rsidRPr="00D20E88">
        <w:t xml:space="preserve"> </w:t>
      </w:r>
    </w:p>
    <w:p w14:paraId="00C0EF65" w14:textId="7C7A6D7E" w:rsidR="00DB4346" w:rsidRPr="0088027F" w:rsidRDefault="00DB4346" w:rsidP="00DB4346">
      <w:r w:rsidRPr="0088027F">
        <w:t xml:space="preserve">If the active DL BWP and an MBS frequency resource provided by </w:t>
      </w:r>
      <w:r w:rsidRPr="0088027F">
        <w:rPr>
          <w:i/>
          <w:iCs/>
          <w:lang w:eastAsia="zh-CN"/>
        </w:rPr>
        <w:t>cfr-ConfigMCCH-MTCH</w:t>
      </w:r>
      <w:r w:rsidRPr="0088027F">
        <w:t xml:space="preserve"> </w:t>
      </w:r>
      <w:r w:rsidR="00B731F1" w:rsidRPr="009D4A53">
        <w:rPr>
          <w:rFonts w:hint="eastAsia"/>
          <w:lang w:eastAsia="zh-CN"/>
        </w:rPr>
        <w:t xml:space="preserve">or </w:t>
      </w:r>
      <w:r w:rsidR="00B731F1" w:rsidRPr="009D4A53">
        <w:rPr>
          <w:rFonts w:hint="eastAsia"/>
          <w:i/>
          <w:iCs/>
          <w:lang w:eastAsia="zh-CN"/>
        </w:rPr>
        <w:t>cfr-ConfigMCCH-MTCH-RedCap</w:t>
      </w:r>
      <w:r w:rsidR="00B731F1" w:rsidRPr="009D4A53">
        <w:rPr>
          <w:lang w:val="en-US" w:eastAsia="zh-CN"/>
        </w:rPr>
        <w:t xml:space="preserve"> </w:t>
      </w:r>
      <w:r w:rsidR="0006598A" w:rsidRPr="00BD7198">
        <w:rPr>
          <w:lang w:val="en-US" w:eastAsia="zh-CN"/>
        </w:rPr>
        <w:t xml:space="preserve">or determined by CORESET with index 0 when </w:t>
      </w:r>
      <w:r w:rsidR="0006598A" w:rsidRPr="00BD7198">
        <w:rPr>
          <w:i/>
          <w:lang w:val="en-US" w:eastAsia="zh-CN"/>
        </w:rPr>
        <w:t>cfr-ConfigMCCH-MTCH</w:t>
      </w:r>
      <w:r w:rsidR="0006598A" w:rsidRPr="00BD7198">
        <w:rPr>
          <w:lang w:val="en-US" w:eastAsia="zh-CN"/>
        </w:rPr>
        <w:t xml:space="preserve"> </w:t>
      </w:r>
      <w:r w:rsidR="00B731F1" w:rsidRPr="009D4A53">
        <w:rPr>
          <w:rFonts w:hint="eastAsia"/>
          <w:lang w:eastAsia="zh-CN"/>
        </w:rPr>
        <w:t xml:space="preserve">or </w:t>
      </w:r>
      <w:r w:rsidR="00B731F1" w:rsidRPr="009D4A53">
        <w:rPr>
          <w:rFonts w:hint="eastAsia"/>
          <w:i/>
          <w:iCs/>
          <w:lang w:eastAsia="zh-CN"/>
        </w:rPr>
        <w:t>cfr-ConfigMCCH-MTCH-RedCap</w:t>
      </w:r>
      <w:r w:rsidR="00B731F1" w:rsidRPr="009D4A53">
        <w:rPr>
          <w:lang w:val="en-US" w:eastAsia="zh-CN"/>
        </w:rPr>
        <w:t xml:space="preserve"> </w:t>
      </w:r>
      <w:r w:rsidR="0006598A" w:rsidRPr="00BD7198">
        <w:rPr>
          <w:lang w:val="en-US" w:eastAsia="zh-CN"/>
        </w:rPr>
        <w:t>is not provided</w:t>
      </w:r>
      <w:r w:rsidR="0006598A">
        <w:t xml:space="preserve"> </w:t>
      </w:r>
      <w:r w:rsidRPr="0088027F">
        <w:t xml:space="preserve">for a UE have same SCS and same CP length and the active DL BWP includes all RBs of the MBS frequency resource, and if the UE is provided </w:t>
      </w:r>
      <w:r w:rsidR="00A837FE" w:rsidRPr="00497077">
        <w:rPr>
          <w:i/>
          <w:iCs/>
        </w:rPr>
        <w:t>searchSpaceMCCH</w:t>
      </w:r>
      <w:r w:rsidR="00A837FE" w:rsidRPr="00497077">
        <w:t xml:space="preserve"> or</w:t>
      </w:r>
      <w:r w:rsidR="00A837FE" w:rsidRPr="00497077">
        <w:rPr>
          <w:i/>
          <w:iCs/>
        </w:rPr>
        <w:t xml:space="preserve"> searchSpaceMTCH</w:t>
      </w:r>
      <w:r w:rsidRPr="0088027F">
        <w:t xml:space="preserve"> for </w:t>
      </w:r>
      <w:r w:rsidRPr="0088027F">
        <w:rPr>
          <w:lang w:val="en-US"/>
        </w:rPr>
        <w:t>Type0B-PDCCH CSS set on the primary cell or for Type3-PDCCH CSS set on a secondary cell, the UE monitors PDCCH for detection of broadcast DCI formats, as described in clause 18, on the active DL BWP.</w:t>
      </w:r>
    </w:p>
    <w:p w14:paraId="387E39B2" w14:textId="77777777" w:rsidR="000C6759" w:rsidRPr="00D20E88" w:rsidRDefault="000C6759" w:rsidP="000C6759">
      <w:pPr>
        <w:rPr>
          <w:lang w:val="en-US"/>
        </w:rPr>
      </w:pPr>
      <w:r>
        <w:rPr>
          <w:lang w:val="en-US"/>
        </w:rPr>
        <w:t xml:space="preserve">For a DL BWP, </w:t>
      </w:r>
      <w:r>
        <w:t>i</w:t>
      </w:r>
      <w:r w:rsidRPr="00D20E88">
        <w:t xml:space="preserve">f </w:t>
      </w:r>
      <w:r w:rsidR="00A84AF9">
        <w:t>a</w:t>
      </w:r>
      <w:r w:rsidRPr="00D20E88">
        <w:t xml:space="preserve"> UE is not provided </w:t>
      </w:r>
      <w:r w:rsidRPr="00D20E88">
        <w:rPr>
          <w:i/>
        </w:rPr>
        <w:t>searchSpaceOtherSystemInformation</w:t>
      </w:r>
      <w:r w:rsidRPr="00D20E88">
        <w:t xml:space="preserve"> for Type0A-PDCCH CSS set, the </w:t>
      </w:r>
      <w:r>
        <w:t>UE does not monitor PDCCH for Type0A-PDCCH CSS set on the DL BWP</w:t>
      </w:r>
      <w:r w:rsidRPr="00D20E88">
        <w:t xml:space="preserve">. The CCE aggregation levels and </w:t>
      </w:r>
      <w:r w:rsidRPr="00D20E88">
        <w:rPr>
          <w:rFonts w:hint="eastAsia"/>
          <w:lang w:eastAsia="ko-KR"/>
        </w:rPr>
        <w:t xml:space="preserve">the </w:t>
      </w:r>
      <w:r w:rsidRPr="00D20E88">
        <w:t xml:space="preserve">number of PDCCH candidates per CCE aggregation level for </w:t>
      </w:r>
      <w:r w:rsidRPr="00D20E88">
        <w:rPr>
          <w:lang w:val="en-US"/>
        </w:rPr>
        <w:t xml:space="preserve">Type0A-PDCCH CSS set </w:t>
      </w:r>
      <w:r w:rsidRPr="00D20E88">
        <w:rPr>
          <w:rFonts w:hint="eastAsia"/>
          <w:lang w:eastAsia="ko-KR"/>
        </w:rPr>
        <w:t xml:space="preserve">are </w:t>
      </w:r>
      <w:r w:rsidRPr="00D20E88">
        <w:t>given in Table 10.1-1.</w:t>
      </w:r>
    </w:p>
    <w:p w14:paraId="5D7825D9" w14:textId="635E11AE" w:rsidR="000C6759" w:rsidRPr="00D20E88" w:rsidRDefault="000C6759" w:rsidP="000C6759">
      <w:pPr>
        <w:rPr>
          <w:lang w:val="en-US"/>
        </w:rPr>
      </w:pPr>
      <w:r w:rsidRPr="00D20E88">
        <w:rPr>
          <w:lang w:val="en-US"/>
        </w:rPr>
        <w:t xml:space="preserve">For </w:t>
      </w:r>
      <w:r>
        <w:rPr>
          <w:lang w:val="en-US"/>
        </w:rPr>
        <w:t>a DL BWP</w:t>
      </w:r>
      <w:r w:rsidR="00A84AF9" w:rsidRPr="001B7EA4">
        <w:rPr>
          <w:lang w:val="en-US"/>
        </w:rPr>
        <w:t xml:space="preserve">, </w:t>
      </w:r>
      <w:r w:rsidR="00A84AF9" w:rsidRPr="001B7EA4">
        <w:t xml:space="preserve">if a UE is not provided </w:t>
      </w:r>
      <w:r w:rsidR="00A84AF9" w:rsidRPr="001B7EA4">
        <w:rPr>
          <w:i/>
        </w:rPr>
        <w:t>ra-SearchSpace</w:t>
      </w:r>
      <w:r w:rsidR="00A84AF9" w:rsidRPr="001B7EA4">
        <w:t xml:space="preserve"> for Type1-PDCCH CSS set, the UE does not monitor PDCCH for Type1-PDCCH CSS set on the DL BWP</w:t>
      </w:r>
      <w:r w:rsidRPr="00D20E88">
        <w:rPr>
          <w:iCs/>
          <w:lang w:eastAsia="zh-CN"/>
        </w:rPr>
        <w:t xml:space="preserve">. </w:t>
      </w:r>
      <w:r w:rsidRPr="00D20E88">
        <w:rPr>
          <w:lang w:eastAsia="ja-JP"/>
        </w:rPr>
        <w:t>If the UE has not been provided a Type3-PDCCH CSS set</w:t>
      </w:r>
      <w:r w:rsidR="00DF3985" w:rsidRPr="00B310B2">
        <w:rPr>
          <w:lang w:eastAsia="ja-JP"/>
        </w:rPr>
        <w:t>, or a Type1A-PDCCH CSS set,</w:t>
      </w:r>
      <w:r w:rsidRPr="00D20E88">
        <w:rPr>
          <w:lang w:eastAsia="ja-JP"/>
        </w:rPr>
        <w:t xml:space="preserve"> or a USS set and the UE has received a C-RNTI</w:t>
      </w:r>
      <w:r w:rsidR="00A84AF9" w:rsidRPr="001B7EA4">
        <w:rPr>
          <w:lang w:eastAsia="ja-JP"/>
        </w:rPr>
        <w:t xml:space="preserve"> and has been provided a Type1-PDCCH CSS set</w:t>
      </w:r>
      <w:r w:rsidRPr="00D20E88">
        <w:rPr>
          <w:lang w:eastAsia="ja-JP"/>
        </w:rPr>
        <w:t xml:space="preserve">, the UE monitors PDCCH candidates for DCI format 0_0 and DCI format 1_0 with CRC scrambled by </w:t>
      </w:r>
      <w:r>
        <w:rPr>
          <w:lang w:eastAsia="ja-JP"/>
        </w:rPr>
        <w:t>the C-RNTI in the Type</w:t>
      </w:r>
      <w:r w:rsidRPr="00D20E88">
        <w:rPr>
          <w:lang w:eastAsia="ja-JP"/>
        </w:rPr>
        <w:t>1</w:t>
      </w:r>
      <w:r>
        <w:rPr>
          <w:lang w:eastAsia="ja-JP"/>
        </w:rPr>
        <w:t>-PDCCH</w:t>
      </w:r>
      <w:r w:rsidRPr="00D20E88">
        <w:rPr>
          <w:lang w:eastAsia="ja-JP"/>
        </w:rPr>
        <w:t xml:space="preserve"> CSS set.</w:t>
      </w:r>
      <w:r w:rsidR="00A66624">
        <w:rPr>
          <w:lang w:eastAsia="ja-JP"/>
        </w:rPr>
        <w:t xml:space="preserve"> </w:t>
      </w:r>
    </w:p>
    <w:p w14:paraId="6550DAE9" w14:textId="77777777" w:rsidR="000C6759" w:rsidRPr="00D20E88" w:rsidRDefault="000C6759" w:rsidP="000C6759">
      <w:r w:rsidRPr="00D20E88">
        <w:t xml:space="preserve">If a UE is not provided </w:t>
      </w:r>
      <w:r w:rsidRPr="00D20E88">
        <w:rPr>
          <w:i/>
          <w:lang w:val="en-US"/>
        </w:rPr>
        <w:t>pagingSearchSpace</w:t>
      </w:r>
      <w:r w:rsidRPr="00D20E88">
        <w:t xml:space="preserve"> for Type2-PDCCH CSS set, the </w:t>
      </w:r>
      <w:r>
        <w:t>UE does not monitor PDCCH for Type2-PDCCH CSS set on the DL BWP</w:t>
      </w:r>
      <w:r w:rsidRPr="00D20E88">
        <w:t xml:space="preserve">. The CCE aggregation levels and </w:t>
      </w:r>
      <w:r w:rsidRPr="00D20E88">
        <w:rPr>
          <w:lang w:eastAsia="ko-KR"/>
        </w:rPr>
        <w:t xml:space="preserve">the </w:t>
      </w:r>
      <w:r w:rsidRPr="00D20E88">
        <w:t xml:space="preserve">number of PDCCH candidates per CCE aggregation level for </w:t>
      </w:r>
      <w:r w:rsidRPr="00D20E88">
        <w:rPr>
          <w:lang w:val="en-US"/>
        </w:rPr>
        <w:t xml:space="preserve">Type2-PDCCH CSS set </w:t>
      </w:r>
      <w:r w:rsidRPr="00D20E88">
        <w:rPr>
          <w:lang w:eastAsia="ko-KR"/>
        </w:rPr>
        <w:t xml:space="preserve">are </w:t>
      </w:r>
      <w:r w:rsidRPr="00D20E88">
        <w:t>given in Table 10.1-1.</w:t>
      </w:r>
    </w:p>
    <w:p w14:paraId="5D242BBF" w14:textId="655D573A" w:rsidR="00860BAC" w:rsidRPr="00DB4346" w:rsidRDefault="00860BAC" w:rsidP="00860BAC">
      <w:r w:rsidRPr="00DB4346">
        <w:t xml:space="preserve">If a UE is not provided </w:t>
      </w:r>
      <w:r w:rsidRPr="00DB4346">
        <w:rPr>
          <w:i/>
          <w:iCs/>
          <w:lang w:eastAsia="zh-CN"/>
        </w:rPr>
        <w:t>pei</w:t>
      </w:r>
      <w:r w:rsidR="002F0030">
        <w:rPr>
          <w:i/>
          <w:iCs/>
          <w:lang w:eastAsia="zh-CN"/>
        </w:rPr>
        <w:t>-</w:t>
      </w:r>
      <w:r w:rsidRPr="00DB4346">
        <w:rPr>
          <w:i/>
          <w:iCs/>
          <w:lang w:eastAsia="zh-CN"/>
        </w:rPr>
        <w:t>SearchSpace</w:t>
      </w:r>
      <w:r w:rsidRPr="00DB4346">
        <w:t xml:space="preserve"> for Type2A-PDCCH CSS set, the UE does not monitor PDCCH for Type2A-PDCCH CSS set on the DL BWP. The CCE aggregation levels and </w:t>
      </w:r>
      <w:r w:rsidRPr="00DB4346">
        <w:rPr>
          <w:lang w:eastAsia="ko-KR"/>
        </w:rPr>
        <w:t xml:space="preserve">the maximum </w:t>
      </w:r>
      <w:r w:rsidRPr="00DB4346">
        <w:t xml:space="preserve">number of PDCCH candidates per CCE aggregation level for </w:t>
      </w:r>
      <w:r w:rsidRPr="00DB4346">
        <w:rPr>
          <w:lang w:val="en-US"/>
        </w:rPr>
        <w:t xml:space="preserve">Type2A-PDCCH CSS set </w:t>
      </w:r>
      <w:r w:rsidRPr="00DB4346">
        <w:rPr>
          <w:lang w:eastAsia="ko-KR"/>
        </w:rPr>
        <w:t xml:space="preserve">are </w:t>
      </w:r>
      <w:r w:rsidRPr="00DB4346">
        <w:t>given in Table 10.1-1.</w:t>
      </w:r>
      <w:r w:rsidR="00012A94">
        <w:t xml:space="preserve"> </w:t>
      </w:r>
      <w:r w:rsidR="00012A94" w:rsidRPr="007B7CF1">
        <w:t>If the UE is provided</w:t>
      </w:r>
      <w:r w:rsidR="00012A94" w:rsidRPr="007B7CF1">
        <w:rPr>
          <w:i/>
          <w:iCs/>
          <w:lang w:eastAsia="zh-CN"/>
        </w:rPr>
        <w:t xml:space="preserve"> pei</w:t>
      </w:r>
      <w:r w:rsidR="002F0030">
        <w:rPr>
          <w:i/>
          <w:iCs/>
          <w:lang w:eastAsia="zh-CN"/>
        </w:rPr>
        <w:t>-</w:t>
      </w:r>
      <w:r w:rsidR="00012A94" w:rsidRPr="007B7CF1">
        <w:rPr>
          <w:i/>
          <w:iCs/>
          <w:lang w:eastAsia="zh-CN"/>
        </w:rPr>
        <w:t>SearchSpace</w:t>
      </w:r>
      <w:r w:rsidR="00012A94" w:rsidRPr="007B7CF1">
        <w:t xml:space="preserve"> with zero value for the Type2A-PDCCH CSS set index, and for the SS/PBCH block and CORESET multiplexing patterns 2 and 3, the UE determines PDCCH monitoring occasions as described in clause 13</w:t>
      </w:r>
      <w:r w:rsidR="002F0030">
        <w:t xml:space="preserve"> and the </w:t>
      </w:r>
      <w:r w:rsidR="002F0030" w:rsidRPr="00DB4346">
        <w:t xml:space="preserve">CCE aggregation levels and </w:t>
      </w:r>
      <w:r w:rsidR="002F0030" w:rsidRPr="00DB4346">
        <w:rPr>
          <w:lang w:eastAsia="ko-KR"/>
        </w:rPr>
        <w:t xml:space="preserve">the </w:t>
      </w:r>
      <w:r w:rsidR="002F0030" w:rsidRPr="00DB4346">
        <w:t xml:space="preserve">number of PDCCH candidates per CCE aggregation level for </w:t>
      </w:r>
      <w:r w:rsidR="002F0030" w:rsidRPr="00DB4346">
        <w:rPr>
          <w:lang w:val="en-US"/>
        </w:rPr>
        <w:t xml:space="preserve">Type2A-PDCCH CSS set </w:t>
      </w:r>
      <w:r w:rsidR="002F0030" w:rsidRPr="00DB4346">
        <w:rPr>
          <w:lang w:eastAsia="ko-KR"/>
        </w:rPr>
        <w:t xml:space="preserve">are </w:t>
      </w:r>
      <w:r w:rsidR="002F0030" w:rsidRPr="00DB4346">
        <w:t>given in Table 10.1-1</w:t>
      </w:r>
      <w:r w:rsidR="00012A94" w:rsidRPr="007B7CF1">
        <w:t>.</w:t>
      </w:r>
    </w:p>
    <w:p w14:paraId="69EAF7C1" w14:textId="202FB7A7" w:rsidR="000C6759" w:rsidRPr="00326D6E" w:rsidRDefault="000C6759" w:rsidP="000C6759">
      <w:r w:rsidRPr="00326D6E">
        <w:t xml:space="preserve">If a UE is provided a zero value for </w:t>
      </w:r>
      <w:r w:rsidRPr="00326D6E">
        <w:rPr>
          <w:i/>
          <w:iCs/>
          <w:lang w:val="en-US" w:eastAsia="x-none"/>
        </w:rPr>
        <w:t>searchSpaceID</w:t>
      </w:r>
      <w:r w:rsidRPr="00326D6E">
        <w:rPr>
          <w:iCs/>
          <w:lang w:val="en-US" w:eastAsia="x-none"/>
        </w:rPr>
        <w:t xml:space="preserve"> in </w:t>
      </w:r>
      <w:r w:rsidRPr="00326D6E">
        <w:rPr>
          <w:i/>
        </w:rPr>
        <w:t>PDCCH-ConfigCommon</w:t>
      </w:r>
      <w:r w:rsidRPr="00326D6E">
        <w:t xml:space="preserve"> </w:t>
      </w:r>
      <w:r w:rsidRPr="00326D6E">
        <w:rPr>
          <w:iCs/>
          <w:lang w:val="en-US" w:eastAsia="x-none"/>
        </w:rPr>
        <w:t>for</w:t>
      </w:r>
      <w:r w:rsidRPr="00326D6E">
        <w:t xml:space="preserve"> a Type0/0A</w:t>
      </w:r>
      <w:r w:rsidR="00303C1B">
        <w:t>/1A</w:t>
      </w:r>
      <w:r w:rsidRPr="00326D6E">
        <w:t>/2-PDCCH CSS set, the UE determines monitoring occasions for PDCCH candidates of the Type0/0A</w:t>
      </w:r>
      <w:r w:rsidR="00303C1B">
        <w:t>/1A</w:t>
      </w:r>
      <w:r w:rsidRPr="00326D6E">
        <w:t xml:space="preserve">/2-PDCCH CSS set as described </w:t>
      </w:r>
      <w:r w:rsidR="006F5F9E">
        <w:t>in clause</w:t>
      </w:r>
      <w:r w:rsidRPr="00326D6E">
        <w:t xml:space="preserve"> 13</w:t>
      </w:r>
      <w:r w:rsidR="00490958">
        <w:t>, and the UE is provided</w:t>
      </w:r>
      <w:r w:rsidRPr="00326D6E">
        <w:t xml:space="preserve"> a C-RNTI, the UE monitors PDCCH candidates only at monitoring occasions associated with a SS/PBCH block, where the </w:t>
      </w:r>
      <w:r w:rsidR="00242121" w:rsidRPr="00326D6E">
        <w:t>SS/PBCH block</w:t>
      </w:r>
      <w:r w:rsidRPr="00326D6E">
        <w:t xml:space="preserve"> is determined by the most recent of </w:t>
      </w:r>
    </w:p>
    <w:p w14:paraId="762FA284" w14:textId="77777777" w:rsidR="000C6759" w:rsidRPr="00326D6E" w:rsidRDefault="000C6759" w:rsidP="000C6759">
      <w:pPr>
        <w:pStyle w:val="B1"/>
      </w:pPr>
      <w:r w:rsidRPr="00326D6E">
        <w:t>-</w:t>
      </w:r>
      <w:r w:rsidRPr="00326D6E">
        <w:tab/>
        <w:t>a MAC CE activation command</w:t>
      </w:r>
      <w:r w:rsidR="00242121" w:rsidRPr="00326D6E">
        <w:rPr>
          <w:lang w:val="en-US"/>
        </w:rPr>
        <w:t xml:space="preserve"> indicating a TCI state </w:t>
      </w:r>
      <w:r w:rsidR="00242121" w:rsidRPr="00326D6E">
        <w:t>of the active BWP that includes a CORESET with index 0, as described in [6, TS 38.214], where the TCI-state</w:t>
      </w:r>
      <w:r w:rsidR="00242121" w:rsidRPr="00326D6E">
        <w:rPr>
          <w:lang w:val="en-US"/>
        </w:rPr>
        <w:t xml:space="preserve"> includes a CSI-RS which is quasi-co-located with the SS/PBCH block</w:t>
      </w:r>
      <w:r w:rsidRPr="00326D6E">
        <w:rPr>
          <w:lang w:val="en-US"/>
        </w:rPr>
        <w:t>,</w:t>
      </w:r>
      <w:r w:rsidRPr="00326D6E">
        <w:t xml:space="preserve"> or </w:t>
      </w:r>
    </w:p>
    <w:p w14:paraId="1C7AA861" w14:textId="24D7133A" w:rsidR="000C6759" w:rsidRDefault="000C6759" w:rsidP="000C6759">
      <w:pPr>
        <w:pStyle w:val="B1"/>
        <w:rPr>
          <w:lang w:val="en-GB"/>
        </w:rPr>
      </w:pPr>
      <w:r w:rsidRPr="00D20E88">
        <w:t>-</w:t>
      </w:r>
      <w:r w:rsidRPr="00D20E88">
        <w:tab/>
      </w:r>
      <w:r>
        <w:t>a</w:t>
      </w:r>
      <w:r w:rsidRPr="00667F85">
        <w:t xml:space="preserve"> random access procedure </w:t>
      </w:r>
      <w:r>
        <w:t xml:space="preserve">that is </w:t>
      </w:r>
      <w:r w:rsidRPr="00667F85">
        <w:t>not initiated by a PDCCH order that triggers a contention</w:t>
      </w:r>
      <w:r w:rsidR="002B5188">
        <w:rPr>
          <w:lang w:val="en-US"/>
        </w:rPr>
        <w:t>-free</w:t>
      </w:r>
      <w:r w:rsidRPr="00667F85">
        <w:t xml:space="preserve"> random access proced</w:t>
      </w:r>
      <w:r>
        <w:t>ure</w:t>
      </w:r>
      <w:r w:rsidR="00303C1B">
        <w:rPr>
          <w:lang w:val="en-GB"/>
        </w:rPr>
        <w:t xml:space="preserve">, or </w:t>
      </w:r>
    </w:p>
    <w:p w14:paraId="6F2875D4" w14:textId="6E071414" w:rsidR="00303C1B" w:rsidRPr="00303C1B" w:rsidRDefault="00303C1B" w:rsidP="00303C1B">
      <w:pPr>
        <w:pStyle w:val="B1"/>
        <w:rPr>
          <w:lang w:val="en-GB"/>
        </w:rPr>
      </w:pPr>
      <w:r>
        <w:rPr>
          <w:lang w:val="en-GB"/>
        </w:rPr>
        <w:t>-</w:t>
      </w:r>
      <w:r>
        <w:rPr>
          <w:lang w:val="en-GB"/>
        </w:rPr>
        <w:tab/>
      </w:r>
      <w:r w:rsidRPr="00303C1B">
        <w:t>configured-grant based PUSCH transmission in RRC_INACTIVE state as described in clause 19.1</w:t>
      </w:r>
      <w:r>
        <w:rPr>
          <w:lang w:val="en-GB"/>
        </w:rPr>
        <w:t>.</w:t>
      </w:r>
    </w:p>
    <w:p w14:paraId="289A3F9F" w14:textId="1D3078DF" w:rsidR="000C6759" w:rsidRPr="00C22B3B" w:rsidRDefault="000C6759" w:rsidP="000C6759">
      <w:pPr>
        <w:rPr>
          <w:lang w:eastAsia="zh-CN"/>
        </w:rPr>
      </w:pPr>
      <w:r>
        <w:t xml:space="preserve">If a UE monitors PDCCH candidates for DCI formats with CRC scrambled by a C-RNTI and the UE is provided a non-zero value for </w:t>
      </w:r>
      <w:r>
        <w:rPr>
          <w:i/>
          <w:iCs/>
          <w:lang w:val="en-US" w:eastAsia="x-none"/>
        </w:rPr>
        <w:t xml:space="preserve">searchSpaceID </w:t>
      </w:r>
      <w:r>
        <w:rPr>
          <w:iCs/>
          <w:lang w:val="en-US" w:eastAsia="x-none"/>
        </w:rPr>
        <w:t xml:space="preserve">in </w:t>
      </w:r>
      <w:r w:rsidRPr="007B4AE3">
        <w:rPr>
          <w:i/>
        </w:rPr>
        <w:t>PDCCH-ConfigCommon</w:t>
      </w:r>
      <w:r w:rsidRPr="00A470D9">
        <w:t xml:space="preserve"> </w:t>
      </w:r>
      <w:r>
        <w:rPr>
          <w:iCs/>
          <w:lang w:val="en-US" w:eastAsia="x-none"/>
        </w:rPr>
        <w:t>for</w:t>
      </w:r>
      <w:r>
        <w:t xml:space="preserve"> a Type0/0A</w:t>
      </w:r>
      <w:r w:rsidR="00303C1B">
        <w:t>/1A</w:t>
      </w:r>
      <w:r>
        <w:t>/2</w:t>
      </w:r>
      <w:r w:rsidRPr="00325043">
        <w:t xml:space="preserve">-PDCCH </w:t>
      </w:r>
      <w:r>
        <w:t>CSS</w:t>
      </w:r>
      <w:r w:rsidRPr="008048F8">
        <w:t xml:space="preserve"> </w:t>
      </w:r>
      <w:r>
        <w:t xml:space="preserve">set, </w:t>
      </w:r>
      <w:r w:rsidR="00595CCE" w:rsidRPr="00B06CC2">
        <w:t xml:space="preserve">or monitors PDCCH candidates for DCI formats with CRC scrambled by a MCCH-RNTI or a G-RNTI </w:t>
      </w:r>
      <w:r w:rsidR="00255A5F">
        <w:t xml:space="preserve">for broadcast </w:t>
      </w:r>
      <w:r w:rsidR="00595CCE" w:rsidRPr="00B06CC2">
        <w:t xml:space="preserve">and the UE is provided a non-zero value for </w:t>
      </w:r>
      <w:r w:rsidR="00CF01B5" w:rsidRPr="00255A5F">
        <w:rPr>
          <w:i/>
          <w:iCs/>
        </w:rPr>
        <w:t>searchSpaceMCCH</w:t>
      </w:r>
      <w:r w:rsidR="00CF01B5" w:rsidRPr="00255A5F">
        <w:t xml:space="preserve"> and </w:t>
      </w:r>
      <w:r w:rsidR="00CF01B5" w:rsidRPr="00255A5F">
        <w:rPr>
          <w:i/>
          <w:iCs/>
        </w:rPr>
        <w:t>searchSpaceMTCH</w:t>
      </w:r>
      <w:r w:rsidR="00595CCE" w:rsidRPr="00B06CC2">
        <w:rPr>
          <w:i/>
          <w:iCs/>
          <w:lang w:val="en-US" w:eastAsia="x-none"/>
        </w:rPr>
        <w:t xml:space="preserve"> </w:t>
      </w:r>
      <w:r w:rsidR="00595CCE" w:rsidRPr="00B06CC2">
        <w:rPr>
          <w:iCs/>
          <w:lang w:val="en-US" w:eastAsia="x-none"/>
        </w:rPr>
        <w:t xml:space="preserve">in </w:t>
      </w:r>
      <w:r w:rsidR="00CF01B5" w:rsidRPr="00E22B07">
        <w:rPr>
          <w:i/>
          <w:szCs w:val="16"/>
        </w:rPr>
        <w:t>PDCCH-ConfigCommon</w:t>
      </w:r>
      <w:r w:rsidR="00595CCE" w:rsidRPr="00B06CC2" w:rsidDel="00563DC0">
        <w:rPr>
          <w:i/>
          <w:iCs/>
          <w:lang w:val="en-US" w:eastAsia="x-none"/>
        </w:rPr>
        <w:t xml:space="preserve"> </w:t>
      </w:r>
      <w:r w:rsidR="00595CCE" w:rsidRPr="00B06CC2">
        <w:rPr>
          <w:lang w:val="en-US" w:eastAsia="x-none"/>
        </w:rPr>
        <w:t>for a Type0B-PDCCH CSS set</w:t>
      </w:r>
      <w:r w:rsidR="00595CCE" w:rsidRPr="00B06CC2">
        <w:rPr>
          <w:iCs/>
          <w:lang w:val="en-US" w:eastAsia="x-none"/>
        </w:rPr>
        <w:t>,</w:t>
      </w:r>
      <w:r w:rsidR="00595CCE" w:rsidRPr="00B06CC2">
        <w:t xml:space="preserve"> </w:t>
      </w:r>
      <w:r w:rsidR="004F1F38" w:rsidRPr="00154DBF">
        <w:t xml:space="preserve">or monitors PDCCH candidates for DCI formats with CRC scrambled by a </w:t>
      </w:r>
      <w:r w:rsidR="004F1F38" w:rsidRPr="00154DBF">
        <w:rPr>
          <w:lang w:val="x-none"/>
        </w:rPr>
        <w:t>multicast-</w:t>
      </w:r>
      <w:r w:rsidR="004F1F38" w:rsidRPr="00154DBF">
        <w:t xml:space="preserve">MCCH-RNTI or a G-RNTI </w:t>
      </w:r>
      <w:r w:rsidR="004F1F38">
        <w:t xml:space="preserve">for multicast </w:t>
      </w:r>
      <w:r w:rsidR="004F1F38" w:rsidRPr="00154DBF">
        <w:t xml:space="preserve">in RRC_INACTIVE state and the UE is provided a non-zero value for </w:t>
      </w:r>
      <w:r w:rsidR="004F1F38" w:rsidRPr="00154DBF">
        <w:rPr>
          <w:i/>
          <w:iCs/>
          <w:lang w:val="x-none"/>
        </w:rPr>
        <w:t>search</w:t>
      </w:r>
      <w:r w:rsidR="004F1F38">
        <w:rPr>
          <w:i/>
          <w:iCs/>
        </w:rPr>
        <w:t>S</w:t>
      </w:r>
      <w:r w:rsidR="004F1F38" w:rsidRPr="00154DBF">
        <w:rPr>
          <w:i/>
          <w:iCs/>
          <w:lang w:val="x-none"/>
        </w:rPr>
        <w:t>paceMulticastMCCH</w:t>
      </w:r>
      <w:r w:rsidR="004F1F38" w:rsidRPr="00154DBF">
        <w:rPr>
          <w:lang w:val="x-none"/>
        </w:rPr>
        <w:t xml:space="preserve"> </w:t>
      </w:r>
      <w:r w:rsidR="004F1F38" w:rsidRPr="00154DBF">
        <w:t xml:space="preserve">and </w:t>
      </w:r>
      <w:r w:rsidR="004F1F38" w:rsidRPr="00154DBF">
        <w:rPr>
          <w:i/>
          <w:iCs/>
          <w:lang w:val="x-none"/>
        </w:rPr>
        <w:t>search</w:t>
      </w:r>
      <w:r w:rsidR="004F1F38">
        <w:rPr>
          <w:i/>
          <w:iCs/>
        </w:rPr>
        <w:t>S</w:t>
      </w:r>
      <w:r w:rsidR="004F1F38" w:rsidRPr="00154DBF">
        <w:rPr>
          <w:i/>
          <w:iCs/>
          <w:lang w:val="x-none"/>
        </w:rPr>
        <w:t>paceMulticastM</w:t>
      </w:r>
      <w:r w:rsidR="004F1F38">
        <w:rPr>
          <w:i/>
          <w:iCs/>
        </w:rPr>
        <w:t>T</w:t>
      </w:r>
      <w:r w:rsidR="004F1F38" w:rsidRPr="00154DBF">
        <w:rPr>
          <w:i/>
          <w:iCs/>
          <w:lang w:val="x-none"/>
        </w:rPr>
        <w:t>CH</w:t>
      </w:r>
      <w:r w:rsidR="004F1F38" w:rsidRPr="00154DBF" w:rsidDel="00E30F41">
        <w:rPr>
          <w:i/>
          <w:iCs/>
        </w:rPr>
        <w:t xml:space="preserve"> </w:t>
      </w:r>
      <w:r w:rsidR="004F1F38" w:rsidRPr="00154DBF">
        <w:rPr>
          <w:iCs/>
          <w:lang w:eastAsia="x-none"/>
        </w:rPr>
        <w:t xml:space="preserve">in </w:t>
      </w:r>
      <w:r w:rsidR="004F1F38" w:rsidRPr="00154DBF">
        <w:rPr>
          <w:i/>
        </w:rPr>
        <w:t>PDCCH-ConfigCommon</w:t>
      </w:r>
      <w:r w:rsidR="004F1F38" w:rsidRPr="00154DBF" w:rsidDel="00563DC0">
        <w:rPr>
          <w:i/>
          <w:iCs/>
          <w:lang w:eastAsia="x-none"/>
        </w:rPr>
        <w:t xml:space="preserve"> </w:t>
      </w:r>
      <w:r w:rsidR="004F1F38" w:rsidRPr="00154DBF">
        <w:rPr>
          <w:lang w:eastAsia="x-none"/>
        </w:rPr>
        <w:t>for a Type0B-PDCCH CSS set</w:t>
      </w:r>
      <w:r w:rsidR="004F1F38" w:rsidRPr="00154DBF">
        <w:rPr>
          <w:iCs/>
          <w:lang w:eastAsia="x-none"/>
        </w:rPr>
        <w:t>,</w:t>
      </w:r>
      <w:r w:rsidR="004F1F38">
        <w:rPr>
          <w:iCs/>
        </w:rPr>
        <w:t xml:space="preserve"> </w:t>
      </w:r>
      <w:r>
        <w:t>the UE determines monitoring occasions for PDCCH candidates of the Type0/0A</w:t>
      </w:r>
      <w:r w:rsidR="00303C1B">
        <w:t>/1A</w:t>
      </w:r>
      <w:r>
        <w:t>/2</w:t>
      </w:r>
      <w:r w:rsidRPr="00325043">
        <w:t xml:space="preserve">-PDCCH </w:t>
      </w:r>
      <w:r>
        <w:t>CSS</w:t>
      </w:r>
      <w:r w:rsidRPr="008048F8">
        <w:t xml:space="preserve"> </w:t>
      </w:r>
      <w:r>
        <w:t>set</w:t>
      </w:r>
      <w:r w:rsidR="00595CCE" w:rsidRPr="00B06CC2">
        <w:t xml:space="preserve">, or of the Type0B-PDCCH </w:t>
      </w:r>
      <w:r w:rsidR="004F1F38">
        <w:t xml:space="preserve">CSS </w:t>
      </w:r>
      <w:r w:rsidR="00595CCE" w:rsidRPr="00B06CC2">
        <w:t>set, respectively,</w:t>
      </w:r>
      <w:r>
        <w:t xml:space="preserve"> based on the search space set associated with the value of </w:t>
      </w:r>
      <w:r>
        <w:rPr>
          <w:i/>
          <w:iCs/>
          <w:lang w:val="en-US" w:eastAsia="x-none"/>
        </w:rPr>
        <w:t>searchSpaceID</w:t>
      </w:r>
      <w:r>
        <w:t xml:space="preserve">. </w:t>
      </w:r>
    </w:p>
    <w:p w14:paraId="40877AF2" w14:textId="18EE3642" w:rsidR="00BC25DE" w:rsidRDefault="00BC25DE" w:rsidP="00BC25DE">
      <w:r w:rsidRPr="00B916EC">
        <w:lastRenderedPageBreak/>
        <w:t>The UE may assume that the DM</w:t>
      </w:r>
      <w:r>
        <w:t>-</w:t>
      </w:r>
      <w:r w:rsidRPr="00B916EC">
        <w:t>RS antenna port associated with PDCCH reception</w:t>
      </w:r>
      <w:r>
        <w:t>s</w:t>
      </w:r>
      <w:r w:rsidRPr="00B916EC">
        <w:t xml:space="preserve"> in </w:t>
      </w:r>
      <w:r>
        <w:t xml:space="preserve">the CORESET configured by </w:t>
      </w:r>
      <w:r w:rsidRPr="00547509">
        <w:rPr>
          <w:i/>
        </w:rPr>
        <w:t>pdcch-ConfigSIB1</w:t>
      </w:r>
      <w:r>
        <w:rPr>
          <w:lang w:val="en-US"/>
        </w:rPr>
        <w:t xml:space="preserve"> </w:t>
      </w:r>
      <w:r>
        <w:rPr>
          <w:rFonts w:eastAsia="MS Mincho"/>
        </w:rPr>
        <w:t>in</w:t>
      </w:r>
      <w:r w:rsidRPr="00B916EC">
        <w:rPr>
          <w:rFonts w:eastAsia="MS Mincho"/>
        </w:rPr>
        <w:t xml:space="preserve"> </w:t>
      </w:r>
      <w:r>
        <w:rPr>
          <w:i/>
        </w:rPr>
        <w:t>MIB</w:t>
      </w:r>
      <w:r w:rsidR="00220007" w:rsidRPr="00F1578C">
        <w:rPr>
          <w:iCs/>
        </w:rPr>
        <w:t>, the DM-RS antenna port associated with</w:t>
      </w:r>
      <w:r w:rsidRPr="00B916EC">
        <w:t xml:space="preserve"> corresponding PDSCH receptions, and the </w:t>
      </w:r>
      <w:r>
        <w:t>corresponding SS/</w:t>
      </w:r>
      <w:r w:rsidRPr="00B916EC">
        <w:t xml:space="preserve">PBCH </w:t>
      </w:r>
      <w:r>
        <w:t>block</w:t>
      </w:r>
      <w:r w:rsidRPr="00B916EC">
        <w:t xml:space="preserve"> are quasi</w:t>
      </w:r>
      <w:r>
        <w:t xml:space="preserve"> </w:t>
      </w:r>
      <w:r w:rsidRPr="00B916EC">
        <w:t>co</w:t>
      </w:r>
      <w:r>
        <w:t>-</w:t>
      </w:r>
      <w:r w:rsidRPr="00B916EC">
        <w:t xml:space="preserve">located with respect to </w:t>
      </w:r>
      <w:r>
        <w:t xml:space="preserve">average gain, </w:t>
      </w:r>
      <w:r w:rsidR="00BE3B40">
        <w:t>quasi co-location 't</w:t>
      </w:r>
      <w:r>
        <w:t>ypeA</w:t>
      </w:r>
      <w:r w:rsidR="00BE3B40">
        <w:t xml:space="preserve">' </w:t>
      </w:r>
      <w:r>
        <w:t xml:space="preserve">and </w:t>
      </w:r>
      <w:r w:rsidR="00BE3B40">
        <w:t>'t</w:t>
      </w:r>
      <w:r>
        <w:t>ypeD</w:t>
      </w:r>
      <w:r w:rsidR="00BE3B40">
        <w:t>'</w:t>
      </w:r>
      <w:r>
        <w:t xml:space="preserve"> properties, when applicable</w:t>
      </w:r>
      <w:r>
        <w:rPr>
          <w:kern w:val="2"/>
          <w:lang w:eastAsia="zh-CN"/>
        </w:rPr>
        <w:t xml:space="preserve"> [6, TS 38.214], </w:t>
      </w:r>
      <w:r w:rsidRPr="00667F85">
        <w:rPr>
          <w:kern w:val="2"/>
          <w:lang w:eastAsia="zh-CN"/>
        </w:rPr>
        <w:t xml:space="preserve">if </w:t>
      </w:r>
      <w:r>
        <w:rPr>
          <w:kern w:val="2"/>
          <w:lang w:eastAsia="zh-CN"/>
        </w:rPr>
        <w:t xml:space="preserve">the UE is not provided a </w:t>
      </w:r>
      <w:r w:rsidRPr="00667F85">
        <w:rPr>
          <w:kern w:val="2"/>
          <w:lang w:eastAsia="zh-CN"/>
        </w:rPr>
        <w:t>TCI stat</w:t>
      </w:r>
      <w:r>
        <w:rPr>
          <w:kern w:val="2"/>
          <w:lang w:eastAsia="zh-CN"/>
        </w:rPr>
        <w:t xml:space="preserve">e indicating </w:t>
      </w:r>
      <w:r w:rsidRPr="00221024">
        <w:t>quasi co-location information of the DM-RS antenna port for PDCCH reception</w:t>
      </w:r>
      <w:r>
        <w:rPr>
          <w:lang w:val="en-US"/>
        </w:rPr>
        <w:t xml:space="preserve"> in the</w:t>
      </w:r>
      <w:r w:rsidRPr="00857581">
        <w:rPr>
          <w:lang w:val="en-US"/>
        </w:rPr>
        <w:t xml:space="preserve"> </w:t>
      </w:r>
      <w:r>
        <w:rPr>
          <w:lang w:val="en-US"/>
        </w:rPr>
        <w:t>CORESET</w:t>
      </w:r>
      <w:r w:rsidRPr="00B916EC">
        <w:t>.</w:t>
      </w:r>
      <w:r w:rsidRPr="00B916EC">
        <w:rPr>
          <w:lang w:val="en-US"/>
        </w:rPr>
        <w:t xml:space="preserve"> The value for the </w:t>
      </w:r>
      <w:r w:rsidRPr="00B916EC">
        <w:t>DM</w:t>
      </w:r>
      <w:r>
        <w:t>-</w:t>
      </w:r>
      <w:r w:rsidRPr="00B916EC">
        <w:t>RS scrambling sequence initialization is the cell ID.</w:t>
      </w:r>
      <w:r>
        <w:t xml:space="preserve"> </w:t>
      </w:r>
      <w:r w:rsidR="00514000">
        <w:t>For operation without shared spectrum channel access</w:t>
      </w:r>
      <w:r w:rsidR="008550ED" w:rsidRPr="00B27E56">
        <w:t xml:space="preserve"> in FR1 and FR2-1</w:t>
      </w:r>
      <w:r w:rsidR="00514000">
        <w:t>, a</w:t>
      </w:r>
      <w:r>
        <w:t xml:space="preserve"> SCS is provided by </w:t>
      </w:r>
      <w:r w:rsidRPr="00543F29">
        <w:rPr>
          <w:i/>
        </w:rPr>
        <w:t>subCarrierSpacingCommon</w:t>
      </w:r>
      <w:r>
        <w:t xml:space="preserve"> </w:t>
      </w:r>
      <w:r>
        <w:rPr>
          <w:rFonts w:eastAsia="MS Mincho"/>
        </w:rPr>
        <w:t>in</w:t>
      </w:r>
      <w:r w:rsidRPr="00B916EC">
        <w:rPr>
          <w:rFonts w:eastAsia="MS Mincho"/>
        </w:rPr>
        <w:t xml:space="preserve"> </w:t>
      </w:r>
      <w:r>
        <w:rPr>
          <w:i/>
        </w:rPr>
        <w:t>MIB</w:t>
      </w:r>
      <w:r w:rsidR="00514000">
        <w:t>. For operation with shared spectrum channel access</w:t>
      </w:r>
      <w:r w:rsidR="008550ED">
        <w:t xml:space="preserve"> </w:t>
      </w:r>
      <w:r w:rsidR="008550ED" w:rsidRPr="00B27E56">
        <w:t>in FR1 and for operation in FR2-2</w:t>
      </w:r>
      <w:r w:rsidR="00514000">
        <w:t>, a SCS is same as the SCS of a corresponding SS/PBCH block</w:t>
      </w:r>
      <w:r>
        <w:t>.</w:t>
      </w:r>
    </w:p>
    <w:p w14:paraId="28847AFE" w14:textId="5CE81FBB" w:rsidR="00BC25DE" w:rsidRPr="00D20E88" w:rsidRDefault="00BC25DE" w:rsidP="00BC25DE">
      <w:pPr>
        <w:rPr>
          <w:lang w:val="en-US"/>
        </w:rPr>
      </w:pPr>
      <w:r>
        <w:rPr>
          <w:lang w:val="en-US"/>
        </w:rPr>
        <w:t xml:space="preserve">For single </w:t>
      </w:r>
      <w:r w:rsidRPr="00412E6D">
        <w:rPr>
          <w:lang w:val="en-US"/>
        </w:rPr>
        <w:t xml:space="preserve">cell operation or for operation with carrier </w:t>
      </w:r>
      <w:r w:rsidRPr="00D20E88">
        <w:rPr>
          <w:lang w:val="en-US"/>
        </w:rPr>
        <w:t>aggregation in a same frequency band, a</w:t>
      </w:r>
      <w:r w:rsidRPr="00D20E88">
        <w:t xml:space="preserve"> UE does not expect to monitor a PDCCH in a Type0/0A/</w:t>
      </w:r>
      <w:r w:rsidR="00DB4346" w:rsidRPr="0088027F">
        <w:t>0B/</w:t>
      </w:r>
      <w:r w:rsidRPr="00D20E88">
        <w:t xml:space="preserve">2/3-PDCCH CSS set or in a USS set if </w:t>
      </w:r>
      <w:r>
        <w:rPr>
          <w:rFonts w:eastAsia="MS Mincho" w:hint="eastAsia"/>
          <w:lang w:eastAsia="ja-JP"/>
        </w:rPr>
        <w:t>a DM-RS for monitoring a PDCCH in a Type1-PDCCH CSS set</w:t>
      </w:r>
      <w:r w:rsidRPr="00D20E88">
        <w:t xml:space="preserve"> </w:t>
      </w:r>
      <w:r w:rsidR="00BE3B40">
        <w:t>is not configured with</w:t>
      </w:r>
      <w:r w:rsidRPr="00D20E88">
        <w:t xml:space="preserve"> same </w:t>
      </w:r>
      <w:r w:rsidR="00BE3B40">
        <w:rPr>
          <w:i/>
        </w:rPr>
        <w:t>qcl-Type</w:t>
      </w:r>
      <w:r w:rsidR="00BE3B40">
        <w:t xml:space="preserve"> set to 't</w:t>
      </w:r>
      <w:r w:rsidRPr="00D20E88">
        <w:t>ypeD</w:t>
      </w:r>
      <w:r w:rsidR="00BE3B40">
        <w:t>'</w:t>
      </w:r>
      <w:r w:rsidRPr="00D20E88">
        <w:t xml:space="preserve"> </w:t>
      </w:r>
      <w:r>
        <w:t xml:space="preserve">properties </w:t>
      </w:r>
      <w:r w:rsidRPr="00D20E88">
        <w:t>[6, TS 38.214] with a DM-RS for monitoring the PDCCH</w:t>
      </w:r>
      <w:r>
        <w:t xml:space="preserve"> in the </w:t>
      </w:r>
      <w:r w:rsidRPr="00D20E88">
        <w:t>Ty</w:t>
      </w:r>
      <w:r>
        <w:t>pe0/0A/</w:t>
      </w:r>
      <w:r w:rsidR="00DB4346" w:rsidRPr="0088027F">
        <w:t>0B/</w:t>
      </w:r>
      <w:r>
        <w:t>2/3-PDCCH CSS set or in the</w:t>
      </w:r>
      <w:r w:rsidRPr="00D20E88">
        <w:t xml:space="preserve"> USS set, and if the PDCCH or an associated PDSCH overlaps in at least one symbol with a PDCCH the UE monitors in a Type1-PDCCH CSS set or with an associated PDSCH. </w:t>
      </w:r>
    </w:p>
    <w:p w14:paraId="7D6F3D62" w14:textId="77777777" w:rsidR="00BC25DE" w:rsidRDefault="00905607" w:rsidP="00905607">
      <w:pPr>
        <w:rPr>
          <w:lang w:val="en-US"/>
        </w:rPr>
      </w:pPr>
      <w:r>
        <w:rPr>
          <w:lang w:val="en-US"/>
        </w:rPr>
        <w:t xml:space="preserve">If a UE is </w:t>
      </w:r>
      <w:r w:rsidRPr="00B916EC">
        <w:rPr>
          <w:lang w:val="en-US"/>
        </w:rPr>
        <w:t>provided</w:t>
      </w:r>
      <w:r>
        <w:rPr>
          <w:lang w:val="en-US"/>
        </w:rPr>
        <w:t xml:space="preserve"> </w:t>
      </w:r>
    </w:p>
    <w:p w14:paraId="2F92D403" w14:textId="77777777" w:rsidR="00BC25DE" w:rsidRDefault="00BC25DE" w:rsidP="00DE1E44">
      <w:pPr>
        <w:pStyle w:val="B1"/>
      </w:pPr>
      <w:r>
        <w:t>-</w:t>
      </w:r>
      <w:r>
        <w:tab/>
      </w:r>
      <w:r w:rsidR="00905607">
        <w:t xml:space="preserve">one or more search space sets by corresponding one or more </w:t>
      </w:r>
      <w:r>
        <w:rPr>
          <w:lang w:val="en-US"/>
        </w:rPr>
        <w:t>of</w:t>
      </w:r>
      <w:r w:rsidR="00905607" w:rsidRPr="00B916EC">
        <w:t xml:space="preserve"> </w:t>
      </w:r>
      <w:r w:rsidR="00905607" w:rsidRPr="00154CC0">
        <w:rPr>
          <w:i/>
          <w:lang w:eastAsia="x-none"/>
        </w:rPr>
        <w:t>searchSpaceZero</w:t>
      </w:r>
      <w:r w:rsidR="00905607">
        <w:rPr>
          <w:i/>
          <w:iCs/>
          <w:lang w:eastAsia="x-none"/>
        </w:rPr>
        <w:t xml:space="preserve">, </w:t>
      </w:r>
      <w:r w:rsidR="00905607" w:rsidRPr="007B5F66">
        <w:rPr>
          <w:i/>
          <w:iCs/>
          <w:lang w:eastAsia="x-none"/>
        </w:rPr>
        <w:t>searchSpaceSIB1</w:t>
      </w:r>
      <w:r w:rsidR="00905607">
        <w:rPr>
          <w:iCs/>
          <w:lang w:eastAsia="x-none"/>
        </w:rPr>
        <w:t xml:space="preserve">, </w:t>
      </w:r>
      <w:r w:rsidR="00905607" w:rsidRPr="007678DB">
        <w:rPr>
          <w:i/>
        </w:rPr>
        <w:t>searchSpaceOtherSystemInformation</w:t>
      </w:r>
      <w:r w:rsidR="00905607">
        <w:t>,</w:t>
      </w:r>
      <w:r w:rsidR="00905607" w:rsidRPr="007678DB">
        <w:t xml:space="preserve"> </w:t>
      </w:r>
      <w:r w:rsidR="00905607" w:rsidRPr="007678DB">
        <w:rPr>
          <w:i/>
        </w:rPr>
        <w:t>pagingSearchSpace</w:t>
      </w:r>
      <w:r w:rsidR="00905607">
        <w:t>,</w:t>
      </w:r>
      <w:r w:rsidR="00905607" w:rsidRPr="007678DB">
        <w:t xml:space="preserve"> </w:t>
      </w:r>
      <w:r w:rsidR="00905607">
        <w:rPr>
          <w:i/>
        </w:rPr>
        <w:t>ra-</w:t>
      </w:r>
      <w:r w:rsidR="00905607" w:rsidRPr="007678DB">
        <w:rPr>
          <w:i/>
        </w:rPr>
        <w:t>SearchSpace</w:t>
      </w:r>
      <w:r w:rsidR="00905607" w:rsidRPr="007678DB">
        <w:t xml:space="preserve">, </w:t>
      </w:r>
      <w:r w:rsidR="00905607">
        <w:t xml:space="preserve">and </w:t>
      </w:r>
    </w:p>
    <w:p w14:paraId="2EDC30DC" w14:textId="79C330E8" w:rsidR="00BC25DE" w:rsidRPr="00D429F6" w:rsidRDefault="00BC25DE" w:rsidP="00DE1E44">
      <w:pPr>
        <w:pStyle w:val="B1"/>
      </w:pPr>
      <w:r w:rsidRPr="00D429F6">
        <w:t>-</w:t>
      </w:r>
      <w:r w:rsidRPr="00D429F6">
        <w:tab/>
      </w:r>
      <w:r w:rsidR="00905607" w:rsidRPr="00D429F6">
        <w:t>a C-RNTI</w:t>
      </w:r>
      <w:r w:rsidR="006D7A16" w:rsidRPr="00D429F6">
        <w:t>, an MCS-C-RNTI,</w:t>
      </w:r>
      <w:r w:rsidR="00905607" w:rsidRPr="00D429F6">
        <w:t xml:space="preserve"> </w:t>
      </w:r>
      <w:r w:rsidR="005644CA">
        <w:rPr>
          <w:lang w:val="en-US"/>
        </w:rPr>
        <w:t xml:space="preserve">or </w:t>
      </w:r>
      <w:r w:rsidR="00905607" w:rsidRPr="00D429F6">
        <w:t>a CS-RNTI</w:t>
      </w:r>
    </w:p>
    <w:p w14:paraId="504B437C" w14:textId="64F55E80" w:rsidR="00BC25DE" w:rsidRDefault="00905607" w:rsidP="00905607">
      <w:pPr>
        <w:rPr>
          <w:lang w:val="en-US"/>
        </w:rPr>
      </w:pPr>
      <w:r>
        <w:rPr>
          <w:lang w:val="en-US"/>
        </w:rPr>
        <w:t xml:space="preserve">the UE monitors PDCCH candidates for DCI format 0_0 and DCI format 1_0 with </w:t>
      </w:r>
      <w:r w:rsidR="00BC25DE" w:rsidRPr="00D20E88">
        <w:rPr>
          <w:lang w:val="en-US"/>
        </w:rPr>
        <w:t xml:space="preserve">CRC scrambled by </w:t>
      </w:r>
      <w:r>
        <w:rPr>
          <w:lang w:val="en-US"/>
        </w:rPr>
        <w:t>the C-RNTI</w:t>
      </w:r>
      <w:r w:rsidR="006D7A16">
        <w:rPr>
          <w:lang w:val="en-US"/>
        </w:rPr>
        <w:t>, the MCS-C-RNTI,</w:t>
      </w:r>
      <w:r>
        <w:rPr>
          <w:lang w:val="en-US"/>
        </w:rPr>
        <w:t xml:space="preserve"> or the CS-RNTI in the one or more search space sets</w:t>
      </w:r>
      <w:r w:rsidR="00BC25DE" w:rsidRPr="00D20E88">
        <w:rPr>
          <w:lang w:val="en-US"/>
        </w:rPr>
        <w:t xml:space="preserve"> </w:t>
      </w:r>
      <w:r w:rsidR="00BC25DE" w:rsidRPr="00D20E88">
        <w:rPr>
          <w:rFonts w:eastAsia="MS PGothic"/>
          <w:lang w:eastAsia="ja-JP"/>
        </w:rPr>
        <w:t>in a slot where the UE monitors PDCCH candidates for at least a DCI format 0_0 or a DCI format 1_0 with CRC scrambled by SI-RNTI, RA-RNTI</w:t>
      </w:r>
      <w:r w:rsidR="00D673F9">
        <w:rPr>
          <w:rFonts w:eastAsia="MS PGothic"/>
          <w:lang w:eastAsia="ja-JP"/>
        </w:rPr>
        <w:t>, MsgB-RNTI,</w:t>
      </w:r>
      <w:r w:rsidR="00BC25DE" w:rsidRPr="00D20E88">
        <w:rPr>
          <w:rFonts w:eastAsia="MS PGothic"/>
          <w:lang w:eastAsia="ja-JP"/>
        </w:rPr>
        <w:t xml:space="preserve"> or P-RNTI</w:t>
      </w:r>
      <w:r>
        <w:rPr>
          <w:lang w:val="en-US"/>
        </w:rPr>
        <w:t>.</w:t>
      </w:r>
    </w:p>
    <w:p w14:paraId="7268C489" w14:textId="77777777" w:rsidR="00BC25DE" w:rsidRDefault="00BC25DE" w:rsidP="00BC25DE">
      <w:r>
        <w:t xml:space="preserve">If a UE is </w:t>
      </w:r>
      <w:r w:rsidRPr="00B916EC">
        <w:t>provided</w:t>
      </w:r>
      <w:r>
        <w:t xml:space="preserve"> </w:t>
      </w:r>
    </w:p>
    <w:p w14:paraId="3848A977" w14:textId="4BC98293" w:rsidR="00BC25DE" w:rsidRDefault="00BC25DE" w:rsidP="00BC25DE">
      <w:pPr>
        <w:pStyle w:val="B1"/>
      </w:pPr>
      <w:r w:rsidRPr="00D20E88">
        <w:t>-</w:t>
      </w:r>
      <w:r w:rsidRPr="00D20E88">
        <w:tab/>
      </w:r>
      <w:r>
        <w:t>one or more search space sets by</w:t>
      </w:r>
      <w:r>
        <w:rPr>
          <w:lang w:val="en-US"/>
        </w:rPr>
        <w:t xml:space="preserve"> </w:t>
      </w:r>
      <w:r w:rsidRPr="00D20E88">
        <w:rPr>
          <w:lang w:val="en-US"/>
        </w:rPr>
        <w:t>corresponding</w:t>
      </w:r>
      <w:r>
        <w:rPr>
          <w:lang w:val="en-US"/>
        </w:rPr>
        <w:t xml:space="preserve"> one or more of</w:t>
      </w:r>
      <w:r>
        <w:t xml:space="preserve"> </w:t>
      </w:r>
      <w:r w:rsidRPr="00154CC0">
        <w:rPr>
          <w:i/>
          <w:lang w:eastAsia="x-none"/>
        </w:rPr>
        <w:t>searchSpaceZero</w:t>
      </w:r>
      <w:r>
        <w:rPr>
          <w:i/>
          <w:iCs/>
          <w:lang w:eastAsia="x-none"/>
        </w:rPr>
        <w:t xml:space="preserve">, </w:t>
      </w:r>
      <w:r w:rsidRPr="007B5F66">
        <w:rPr>
          <w:i/>
          <w:iCs/>
          <w:lang w:eastAsia="x-none"/>
        </w:rPr>
        <w:t>searchSpaceSIB1</w:t>
      </w:r>
      <w:r>
        <w:rPr>
          <w:iCs/>
          <w:lang w:eastAsia="x-none"/>
        </w:rPr>
        <w:t xml:space="preserve">, </w:t>
      </w:r>
      <w:r w:rsidRPr="007678DB">
        <w:rPr>
          <w:i/>
        </w:rPr>
        <w:t>searchSpaceOtherSystemInformation</w:t>
      </w:r>
      <w:r>
        <w:t>,</w:t>
      </w:r>
      <w:r w:rsidRPr="007678DB">
        <w:t xml:space="preserve"> </w:t>
      </w:r>
      <w:r w:rsidRPr="007678DB">
        <w:rPr>
          <w:i/>
        </w:rPr>
        <w:t>pagingSearchSpace</w:t>
      </w:r>
      <w:r>
        <w:t>,</w:t>
      </w:r>
      <w:r w:rsidRPr="007678DB">
        <w:t xml:space="preserve"> </w:t>
      </w:r>
      <w:r w:rsidR="00012A94" w:rsidRPr="007B7CF1">
        <w:rPr>
          <w:i/>
          <w:iCs/>
        </w:rPr>
        <w:t>pei</w:t>
      </w:r>
      <w:r w:rsidR="00255A5F">
        <w:rPr>
          <w:i/>
          <w:iCs/>
          <w:lang w:val="en-GB"/>
        </w:rPr>
        <w:t>-</w:t>
      </w:r>
      <w:r w:rsidR="00012A94" w:rsidRPr="007B7CF1">
        <w:rPr>
          <w:i/>
          <w:iCs/>
        </w:rPr>
        <w:t>SearchSpace,</w:t>
      </w:r>
      <w:r w:rsidR="00012A94">
        <w:rPr>
          <w:rStyle w:val="apple-converted-space"/>
          <w:i/>
          <w:iCs/>
          <w:lang w:val="en-GB"/>
        </w:rPr>
        <w:t xml:space="preserve"> </w:t>
      </w:r>
      <w:r>
        <w:rPr>
          <w:i/>
        </w:rPr>
        <w:t>ra-</w:t>
      </w:r>
      <w:r w:rsidRPr="007678DB">
        <w:rPr>
          <w:i/>
        </w:rPr>
        <w:t>SearchSpace</w:t>
      </w:r>
      <w:r w:rsidRPr="007678DB">
        <w:t xml:space="preserve">, </w:t>
      </w:r>
      <w:r>
        <w:t xml:space="preserve">or a CSS set by </w:t>
      </w:r>
      <w:r>
        <w:rPr>
          <w:i/>
        </w:rPr>
        <w:t>PDCCH-Config</w:t>
      </w:r>
      <w:r>
        <w:t xml:space="preserve">, and </w:t>
      </w:r>
    </w:p>
    <w:p w14:paraId="569A1112" w14:textId="3F4D4B4C" w:rsidR="00BC25DE" w:rsidRPr="008703F6" w:rsidRDefault="00BC25DE" w:rsidP="00BC25DE">
      <w:pPr>
        <w:pStyle w:val="B1"/>
        <w:rPr>
          <w:lang w:val="en-US"/>
        </w:rPr>
      </w:pPr>
      <w:r w:rsidRPr="00D20E88">
        <w:t>-</w:t>
      </w:r>
      <w:r w:rsidRPr="00D20E88">
        <w:tab/>
      </w:r>
      <w:r>
        <w:t xml:space="preserve">a SI-RNTI, a P-RNTI, </w:t>
      </w:r>
      <w:r w:rsidR="00012A94" w:rsidRPr="007B7CF1">
        <w:rPr>
          <w:lang w:val="en-US"/>
        </w:rPr>
        <w:t xml:space="preserve">a PEI-RNTI, </w:t>
      </w:r>
      <w:r>
        <w:t xml:space="preserve">a RA-RNTI, </w:t>
      </w:r>
      <w:r w:rsidR="00D673F9">
        <w:t xml:space="preserve">a MsgB-RNTI, </w:t>
      </w:r>
      <w:r>
        <w:t>a SFI-RNTI, an INT-RNTI, a TPC-PUSCH-RNTI, a TPC-PUCCH-RNTI, or a TPC-SRS-RNTI</w:t>
      </w:r>
    </w:p>
    <w:p w14:paraId="6F8DCD62" w14:textId="77777777" w:rsidR="00BC25DE" w:rsidRPr="00DE1E44" w:rsidRDefault="00BC25DE" w:rsidP="00DE1E44">
      <w:pPr>
        <w:pStyle w:val="B1"/>
        <w:ind w:left="0" w:firstLine="0"/>
      </w:pPr>
      <w:r>
        <w:rPr>
          <w:lang w:val="en-US"/>
        </w:rPr>
        <w:t xml:space="preserve">then, for a RNTI from any of these RNTIs, </w:t>
      </w:r>
      <w:r>
        <w:t>the UE does not expect to process information from more than one DCI format with CRC scrambled with</w:t>
      </w:r>
      <w:r>
        <w:rPr>
          <w:lang w:val="en-US"/>
        </w:rPr>
        <w:t xml:space="preserve"> </w:t>
      </w:r>
      <w:r>
        <w:t>the RNTI per slot.</w:t>
      </w:r>
    </w:p>
    <w:p w14:paraId="2E0D0D62" w14:textId="77777777" w:rsidR="0070469C" w:rsidRPr="00B916EC" w:rsidRDefault="0070469C" w:rsidP="0070469C">
      <w:pPr>
        <w:pStyle w:val="TH"/>
      </w:pPr>
      <w:r w:rsidRPr="00B916EC">
        <w:t xml:space="preserve">Table 10.1-1: CCE aggregation levels and </w:t>
      </w:r>
      <w:r w:rsidR="005C6ABA">
        <w:t xml:space="preserve">maximum </w:t>
      </w:r>
      <w:r w:rsidRPr="00B916EC">
        <w:t xml:space="preserve">number of </w:t>
      </w:r>
      <w:r w:rsidR="005C6ABA">
        <w:t xml:space="preserve">PDCCH </w:t>
      </w:r>
      <w:r w:rsidRPr="00B916EC">
        <w:t xml:space="preserve">candidates per CCE aggregation level for </w:t>
      </w:r>
      <w:r w:rsidR="00A54F7F">
        <w:t>CSS</w:t>
      </w:r>
      <w:r w:rsidR="00905607" w:rsidRPr="00B31155">
        <w:t xml:space="preserve"> </w:t>
      </w:r>
      <w:r w:rsidR="00905607">
        <w:t xml:space="preserve">sets </w:t>
      </w:r>
      <w:r w:rsidR="00905607" w:rsidRPr="00371C83">
        <w:rPr>
          <w:rFonts w:eastAsia="Yu Mincho"/>
        </w:rPr>
        <w:t xml:space="preserve">configured by </w:t>
      </w:r>
      <w:r w:rsidR="00905607" w:rsidRPr="007B5F66">
        <w:rPr>
          <w:i/>
          <w:iCs/>
          <w:lang w:val="en-US" w:eastAsia="x-none"/>
        </w:rPr>
        <w:t>searchSpaceSIB1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995"/>
        <w:gridCol w:w="3096"/>
      </w:tblGrid>
      <w:tr w:rsidR="0070469C" w:rsidRPr="00B916EC" w14:paraId="0545B74E" w14:textId="77777777" w:rsidTr="0070469C">
        <w:trPr>
          <w:cantSplit/>
          <w:jc w:val="center"/>
        </w:trPr>
        <w:tc>
          <w:tcPr>
            <w:tcW w:w="2995" w:type="dxa"/>
            <w:shd w:val="clear" w:color="auto" w:fill="E0E0E0"/>
            <w:vAlign w:val="center"/>
          </w:tcPr>
          <w:p w14:paraId="45C727EA" w14:textId="77777777" w:rsidR="0070469C" w:rsidRPr="00B916EC" w:rsidRDefault="0070469C" w:rsidP="00100531">
            <w:pPr>
              <w:pStyle w:val="TAH"/>
              <w:rPr>
                <w:rFonts w:ascii="Times New Roman" w:hAnsi="Times New Roman"/>
                <w:sz w:val="20"/>
              </w:rPr>
            </w:pPr>
            <w:r w:rsidRPr="00B916EC">
              <w:t>CCE Aggregation Level</w:t>
            </w:r>
          </w:p>
        </w:tc>
        <w:tc>
          <w:tcPr>
            <w:tcW w:w="3096" w:type="dxa"/>
            <w:shd w:val="clear" w:color="auto" w:fill="E0E0E0"/>
            <w:vAlign w:val="center"/>
          </w:tcPr>
          <w:p w14:paraId="04532882" w14:textId="77777777" w:rsidR="0070469C" w:rsidRPr="00B916EC" w:rsidRDefault="0070469C" w:rsidP="00100531">
            <w:pPr>
              <w:pStyle w:val="TAH"/>
              <w:rPr>
                <w:rFonts w:ascii="Times New Roman" w:hAnsi="Times New Roman"/>
                <w:sz w:val="20"/>
              </w:rPr>
            </w:pPr>
            <w:r w:rsidRPr="00B916EC">
              <w:t>Number of Candidates</w:t>
            </w:r>
          </w:p>
        </w:tc>
      </w:tr>
      <w:tr w:rsidR="0070469C" w:rsidRPr="00B916EC" w14:paraId="0804EEBE" w14:textId="77777777" w:rsidTr="0070469C">
        <w:trPr>
          <w:cantSplit/>
          <w:jc w:val="center"/>
        </w:trPr>
        <w:tc>
          <w:tcPr>
            <w:tcW w:w="2995" w:type="dxa"/>
            <w:vAlign w:val="center"/>
          </w:tcPr>
          <w:p w14:paraId="5E95E807" w14:textId="77777777" w:rsidR="0070469C" w:rsidRPr="00B916EC" w:rsidRDefault="0070469C" w:rsidP="00100531">
            <w:pPr>
              <w:pStyle w:val="TAC"/>
            </w:pPr>
            <w:r w:rsidRPr="00B916EC">
              <w:t>4</w:t>
            </w:r>
          </w:p>
        </w:tc>
        <w:tc>
          <w:tcPr>
            <w:tcW w:w="3096" w:type="dxa"/>
            <w:vAlign w:val="center"/>
          </w:tcPr>
          <w:p w14:paraId="37F33354" w14:textId="77777777" w:rsidR="0070469C" w:rsidRPr="00B916EC" w:rsidRDefault="00050324" w:rsidP="00100531">
            <w:pPr>
              <w:pStyle w:val="TAC"/>
            </w:pPr>
            <w:r w:rsidRPr="00B916EC">
              <w:t>4</w:t>
            </w:r>
          </w:p>
        </w:tc>
      </w:tr>
      <w:tr w:rsidR="0070469C" w:rsidRPr="00B916EC" w14:paraId="083E2110" w14:textId="77777777" w:rsidTr="0070469C">
        <w:trPr>
          <w:cantSplit/>
          <w:jc w:val="center"/>
        </w:trPr>
        <w:tc>
          <w:tcPr>
            <w:tcW w:w="2995" w:type="dxa"/>
            <w:vAlign w:val="center"/>
          </w:tcPr>
          <w:p w14:paraId="40479E9A" w14:textId="77777777" w:rsidR="0070469C" w:rsidRPr="00B916EC" w:rsidRDefault="0070469C" w:rsidP="00100531">
            <w:pPr>
              <w:pStyle w:val="TAC"/>
            </w:pPr>
            <w:r w:rsidRPr="00B916EC">
              <w:t>8</w:t>
            </w:r>
          </w:p>
        </w:tc>
        <w:tc>
          <w:tcPr>
            <w:tcW w:w="3096" w:type="dxa"/>
            <w:vAlign w:val="center"/>
          </w:tcPr>
          <w:p w14:paraId="169C60E6" w14:textId="77777777" w:rsidR="0070469C" w:rsidRPr="00B916EC" w:rsidRDefault="00050324" w:rsidP="00100531">
            <w:pPr>
              <w:pStyle w:val="TAC"/>
            </w:pPr>
            <w:r w:rsidRPr="00B916EC">
              <w:t>2</w:t>
            </w:r>
          </w:p>
        </w:tc>
      </w:tr>
      <w:tr w:rsidR="0070469C" w:rsidRPr="00B916EC" w14:paraId="393DCE5F" w14:textId="77777777" w:rsidTr="0070469C">
        <w:trPr>
          <w:cantSplit/>
          <w:jc w:val="center"/>
        </w:trPr>
        <w:tc>
          <w:tcPr>
            <w:tcW w:w="2995" w:type="dxa"/>
            <w:vAlign w:val="center"/>
          </w:tcPr>
          <w:p w14:paraId="52871D8E" w14:textId="77777777" w:rsidR="0070469C" w:rsidRPr="00B916EC" w:rsidRDefault="00050324" w:rsidP="00100531">
            <w:pPr>
              <w:pStyle w:val="TAC"/>
            </w:pPr>
            <w:r w:rsidRPr="00B916EC">
              <w:t>16</w:t>
            </w:r>
          </w:p>
        </w:tc>
        <w:tc>
          <w:tcPr>
            <w:tcW w:w="3096" w:type="dxa"/>
            <w:vAlign w:val="center"/>
          </w:tcPr>
          <w:p w14:paraId="2485BA03" w14:textId="77777777" w:rsidR="0070469C" w:rsidRPr="00B916EC" w:rsidRDefault="005C6ABA" w:rsidP="00100531">
            <w:pPr>
              <w:pStyle w:val="TAC"/>
            </w:pPr>
            <w:r>
              <w:t>1</w:t>
            </w:r>
          </w:p>
        </w:tc>
      </w:tr>
    </w:tbl>
    <w:p w14:paraId="1322DEB8" w14:textId="77777777" w:rsidR="00AB2707" w:rsidRPr="00B916EC" w:rsidRDefault="00AB2707" w:rsidP="00954A88">
      <w:bookmarkStart w:id="663" w:name="_Ref491599615"/>
    </w:p>
    <w:bookmarkEnd w:id="663"/>
    <w:p w14:paraId="19464990" w14:textId="443AD877" w:rsidR="00CB3DE4" w:rsidRDefault="004D1774" w:rsidP="004D1774">
      <w:r w:rsidRPr="00B916EC">
        <w:t xml:space="preserve">For </w:t>
      </w:r>
      <w:r>
        <w:t xml:space="preserve">each DL BWP configured to a UE in </w:t>
      </w:r>
      <w:r w:rsidRPr="00B916EC">
        <w:t xml:space="preserve">a serving cell, </w:t>
      </w:r>
      <w:r w:rsidR="00CB3DE4">
        <w:t xml:space="preserve">the </w:t>
      </w:r>
      <w:r>
        <w:t xml:space="preserve">UE can be provided by </w:t>
      </w:r>
      <w:r w:rsidRPr="00B916EC">
        <w:t xml:space="preserve">higher layer signalling with </w:t>
      </w:r>
    </w:p>
    <w:p w14:paraId="7D01A6D5" w14:textId="711B0CC7" w:rsidR="00CB3DE4" w:rsidRDefault="00CB3DE4" w:rsidP="00CB3DE4">
      <w:pPr>
        <w:pStyle w:val="B1"/>
      </w:pPr>
      <w:r>
        <w:t>-</w:t>
      </w:r>
      <w:r>
        <w:tab/>
      </w:r>
      <m:oMath>
        <m:r>
          <w:rPr>
            <w:rFonts w:ascii="Cambria Math"/>
          </w:rPr>
          <m:t>P</m:t>
        </m:r>
        <m:r>
          <w:rPr>
            <w:rFonts w:ascii="Cambria Math"/>
          </w:rPr>
          <m:t>≤</m:t>
        </m:r>
        <m:r>
          <w:rPr>
            <w:rFonts w:ascii="Cambria Math"/>
          </w:rPr>
          <m:t>3</m:t>
        </m:r>
      </m:oMath>
      <w:r w:rsidRPr="0062743C">
        <w:t xml:space="preserve"> CORESETs</w:t>
      </w:r>
      <w:r w:rsidRPr="00D20E88">
        <w:t xml:space="preserve"> </w:t>
      </w:r>
      <w:r>
        <w:t xml:space="preserve">if </w:t>
      </w:r>
      <w:r w:rsidR="00BE3B40">
        <w:rPr>
          <w:i/>
          <w:lang w:val="en-US"/>
        </w:rPr>
        <w:t>coreset</w:t>
      </w:r>
      <w:r w:rsidRPr="00E707D9">
        <w:rPr>
          <w:i/>
        </w:rPr>
        <w:t>PoolIndex</w:t>
      </w:r>
      <w:r>
        <w:t xml:space="preserve"> is </w:t>
      </w:r>
      <w:r w:rsidRPr="00E707D9">
        <w:t>not</w:t>
      </w:r>
      <w:r>
        <w:t xml:space="preserve"> provided, or if a value of </w:t>
      </w:r>
      <w:r w:rsidR="00BE3B40">
        <w:rPr>
          <w:i/>
          <w:lang w:val="en-US"/>
        </w:rPr>
        <w:t>coreset</w:t>
      </w:r>
      <w:r w:rsidRPr="0062743C">
        <w:rPr>
          <w:i/>
        </w:rPr>
        <w:t>PoolIndex</w:t>
      </w:r>
      <w:r>
        <w:t xml:space="preserve"> is same for all CORESETs if </w:t>
      </w:r>
      <w:r w:rsidR="00BE3B40">
        <w:rPr>
          <w:i/>
          <w:lang w:val="en-US"/>
        </w:rPr>
        <w:t>coreset</w:t>
      </w:r>
      <w:r w:rsidRPr="00E707D9">
        <w:rPr>
          <w:i/>
        </w:rPr>
        <w:t>PoolIndex</w:t>
      </w:r>
      <w:r>
        <w:t xml:space="preserve"> is provided</w:t>
      </w:r>
    </w:p>
    <w:p w14:paraId="436A3F5A" w14:textId="44C2C09F" w:rsidR="00CB3DE4" w:rsidRPr="00A10F71" w:rsidRDefault="00CB3DE4" w:rsidP="00CB3DE4">
      <w:pPr>
        <w:pStyle w:val="B1"/>
        <w:rPr>
          <w:lang w:val="en-US"/>
        </w:rPr>
      </w:pPr>
      <w:r>
        <w:rPr>
          <w:lang w:val="en-US"/>
        </w:rPr>
        <w:t>-</w:t>
      </w:r>
      <w:r w:rsidR="00D93480">
        <w:rPr>
          <w:lang w:val="en-US"/>
        </w:rPr>
        <w:tab/>
      </w:r>
      <m:oMath>
        <m:r>
          <w:rPr>
            <w:rFonts w:ascii="Cambria Math"/>
          </w:rPr>
          <m:t>P</m:t>
        </m:r>
        <m:r>
          <w:rPr>
            <w:rFonts w:ascii="Cambria Math"/>
          </w:rPr>
          <m:t>≤</m:t>
        </m:r>
        <m:r>
          <w:rPr>
            <w:rFonts w:ascii="Cambria Math"/>
          </w:rPr>
          <m:t>5</m:t>
        </m:r>
      </m:oMath>
      <w:r w:rsidRPr="0062743C">
        <w:t xml:space="preserve"> CORESETs if</w:t>
      </w:r>
      <w:r w:rsidRPr="0062743C">
        <w:rPr>
          <w:lang w:eastAsia="ko-KR"/>
        </w:rPr>
        <w:t xml:space="preserve"> </w:t>
      </w:r>
      <w:r w:rsidR="00BE3B40">
        <w:rPr>
          <w:i/>
          <w:lang w:val="en-US"/>
        </w:rPr>
        <w:t>coreset</w:t>
      </w:r>
      <w:r w:rsidRPr="0062743C">
        <w:rPr>
          <w:i/>
        </w:rPr>
        <w:t>PoolIndex</w:t>
      </w:r>
      <w:r w:rsidRPr="0062743C">
        <w:t xml:space="preserve"> </w:t>
      </w:r>
      <w:r>
        <w:t>is not provided for a first CORESET, or is provided and has</w:t>
      </w:r>
      <w:r w:rsidRPr="0062743C">
        <w:t xml:space="preserve"> a value 0 for a first CORESET</w:t>
      </w:r>
      <w:r>
        <w:t>,</w:t>
      </w:r>
      <w:r w:rsidRPr="0062743C">
        <w:t xml:space="preserve"> and </w:t>
      </w:r>
      <w:r>
        <w:t>is provided and has a</w:t>
      </w:r>
      <w:r w:rsidRPr="0062743C">
        <w:t xml:space="preserve"> value 1 for a second</w:t>
      </w:r>
      <w:r>
        <w:t xml:space="preserve"> CORESET</w:t>
      </w:r>
    </w:p>
    <w:p w14:paraId="3BC6E1E8" w14:textId="6E3FE6B6" w:rsidR="004D1774" w:rsidRPr="00FA7D94" w:rsidRDefault="004D1774" w:rsidP="004D1774">
      <w:r w:rsidRPr="00FA7D94">
        <w:t xml:space="preserve">For each </w:t>
      </w:r>
      <w:r w:rsidR="00C76664">
        <w:t>CORESET</w:t>
      </w:r>
      <w:r w:rsidRPr="00FA7D94">
        <w:t xml:space="preserve">, the UE is provided the following by </w:t>
      </w:r>
      <w:r w:rsidRPr="00FA7D94">
        <w:rPr>
          <w:i/>
          <w:iCs/>
        </w:rPr>
        <w:t>ControlResourceSet</w:t>
      </w:r>
      <w:r w:rsidRPr="00FA7D94">
        <w:t>:</w:t>
      </w:r>
    </w:p>
    <w:p w14:paraId="1B03D68A" w14:textId="6E44A7E2" w:rsidR="00CB3DE4" w:rsidRDefault="004D1774" w:rsidP="00CB3DE4">
      <w:pPr>
        <w:pStyle w:val="B1"/>
      </w:pPr>
      <w:r>
        <w:t>-</w:t>
      </w:r>
      <w:r>
        <w:tab/>
      </w:r>
      <w:r w:rsidRPr="00B916EC">
        <w:t xml:space="preserve">a </w:t>
      </w:r>
      <w:r w:rsidR="00C76664">
        <w:t>CORESET</w:t>
      </w:r>
      <w:r w:rsidRPr="00B916EC">
        <w:t xml:space="preserve"> index </w:t>
      </w:r>
      <m:oMath>
        <m:r>
          <w:rPr>
            <w:rFonts w:ascii="Cambria Math" w:hAnsi="Cambria Math"/>
          </w:rPr>
          <m:t>p</m:t>
        </m:r>
      </m:oMath>
      <w:r>
        <w:rPr>
          <w:lang w:val="en-US"/>
        </w:rPr>
        <w:t xml:space="preserve">, </w:t>
      </w:r>
      <w:r w:rsidRPr="00B916EC">
        <w:t xml:space="preserve">by </w:t>
      </w:r>
      <w:r w:rsidRPr="00063F39">
        <w:rPr>
          <w:i/>
        </w:rPr>
        <w:t>controlResourceSetId</w:t>
      </w:r>
      <w:r w:rsidR="00BE3B40">
        <w:rPr>
          <w:i/>
          <w:lang w:val="en-US"/>
        </w:rPr>
        <w:t xml:space="preserve"> </w:t>
      </w:r>
      <w:r w:rsidR="00BE3B40">
        <w:rPr>
          <w:iCs/>
          <w:lang w:val="en-US"/>
        </w:rPr>
        <w:t xml:space="preserve"> or by </w:t>
      </w:r>
      <w:r w:rsidR="00BE3B40">
        <w:rPr>
          <w:i/>
          <w:iCs/>
        </w:rPr>
        <w:t>controlResourceSetId-v1610</w:t>
      </w:r>
      <w:r w:rsidR="00CB3DE4">
        <w:t xml:space="preserve">, where </w:t>
      </w:r>
    </w:p>
    <w:p w14:paraId="7D4A3DCD" w14:textId="6D61B144" w:rsidR="00CB3DE4" w:rsidRDefault="00CB3DE4" w:rsidP="00A10F71">
      <w:pPr>
        <w:pStyle w:val="B2"/>
      </w:pPr>
      <w:r>
        <w:t>-</w:t>
      </w:r>
      <w:r>
        <w:tab/>
      </w:r>
      <m:oMath>
        <m:r>
          <w:rPr>
            <w:rFonts w:ascii="Cambria Math" w:hAnsi="Cambria Math"/>
          </w:rPr>
          <m:t>0&lt;</m:t>
        </m:r>
        <m:r>
          <w:rPr>
            <w:rFonts w:ascii="Cambria Math"/>
          </w:rPr>
          <m:t>p&lt;12</m:t>
        </m:r>
      </m:oMath>
      <w:r>
        <w:t xml:space="preserve"> if </w:t>
      </w:r>
      <w:r w:rsidR="00BE3B40">
        <w:rPr>
          <w:i/>
          <w:lang w:val="en-US"/>
        </w:rPr>
        <w:t>coreset</w:t>
      </w:r>
      <w:r w:rsidRPr="00E707D9">
        <w:rPr>
          <w:i/>
        </w:rPr>
        <w:t>PoolIndex</w:t>
      </w:r>
      <w:r>
        <w:t xml:space="preserve"> is </w:t>
      </w:r>
      <w:r w:rsidRPr="00E707D9">
        <w:t>not</w:t>
      </w:r>
      <w:r>
        <w:t xml:space="preserve"> provided, or if a value of </w:t>
      </w:r>
      <w:r w:rsidR="00BE3B40">
        <w:rPr>
          <w:i/>
          <w:lang w:val="en-US"/>
        </w:rPr>
        <w:t>coreset</w:t>
      </w:r>
      <w:r w:rsidRPr="0062743C">
        <w:rPr>
          <w:i/>
        </w:rPr>
        <w:t>PoolIndex</w:t>
      </w:r>
      <w:r>
        <w:t xml:space="preserve"> is same for all CORESETs if </w:t>
      </w:r>
      <w:r w:rsidR="00BE3B40">
        <w:rPr>
          <w:i/>
          <w:lang w:val="en-US"/>
        </w:rPr>
        <w:t>coreset</w:t>
      </w:r>
      <w:r w:rsidRPr="00E707D9">
        <w:rPr>
          <w:i/>
        </w:rPr>
        <w:t>PoolIndex</w:t>
      </w:r>
      <w:r>
        <w:t xml:space="preserve"> is provided</w:t>
      </w:r>
      <w:r>
        <w:rPr>
          <w:lang w:val="en-US"/>
        </w:rPr>
        <w:t>;</w:t>
      </w:r>
    </w:p>
    <w:p w14:paraId="57D54970" w14:textId="29CE8E93" w:rsidR="004D1774" w:rsidRPr="00B916EC" w:rsidRDefault="00CB3DE4" w:rsidP="00A10F71">
      <w:pPr>
        <w:pStyle w:val="B2"/>
      </w:pPr>
      <w:r>
        <w:t>-</w:t>
      </w:r>
      <w:r>
        <w:tab/>
      </w:r>
      <m:oMath>
        <m:r>
          <w:rPr>
            <w:rFonts w:ascii="Cambria Math" w:hAnsi="Cambria Math"/>
          </w:rPr>
          <m:t>0&lt;</m:t>
        </m:r>
        <m:r>
          <w:rPr>
            <w:rFonts w:ascii="Cambria Math"/>
          </w:rPr>
          <m:t>p&lt;16</m:t>
        </m:r>
      </m:oMath>
      <w:r>
        <w:t xml:space="preserve"> if </w:t>
      </w:r>
      <w:r w:rsidR="00BE3B40">
        <w:rPr>
          <w:i/>
          <w:lang w:val="en-US"/>
        </w:rPr>
        <w:t>coreset</w:t>
      </w:r>
      <w:r w:rsidRPr="0062743C">
        <w:rPr>
          <w:i/>
        </w:rPr>
        <w:t>PoolIndex</w:t>
      </w:r>
      <w:r w:rsidRPr="0062743C">
        <w:t xml:space="preserve"> </w:t>
      </w:r>
      <w:r>
        <w:t>is not provided for a first CORESET, or is provided and has</w:t>
      </w:r>
      <w:r w:rsidRPr="0062743C">
        <w:t xml:space="preserve"> a value 0 for a first CORESET</w:t>
      </w:r>
      <w:r>
        <w:t>,</w:t>
      </w:r>
      <w:r w:rsidRPr="0062743C">
        <w:t xml:space="preserve"> and </w:t>
      </w:r>
      <w:r>
        <w:t>is provided and has a</w:t>
      </w:r>
      <w:r w:rsidRPr="0062743C">
        <w:t xml:space="preserve"> value 1 for a second</w:t>
      </w:r>
      <w:r>
        <w:t xml:space="preserve"> CORESET</w:t>
      </w:r>
      <w:r w:rsidR="004D1774" w:rsidRPr="00B916EC">
        <w:t>;</w:t>
      </w:r>
    </w:p>
    <w:p w14:paraId="2C6F2475" w14:textId="77777777" w:rsidR="004D1774" w:rsidRDefault="004D1774" w:rsidP="004D1774">
      <w:pPr>
        <w:pStyle w:val="B1"/>
      </w:pPr>
      <w:r>
        <w:lastRenderedPageBreak/>
        <w:t>-</w:t>
      </w:r>
      <w:r>
        <w:tab/>
      </w:r>
      <w:r w:rsidRPr="00B916EC">
        <w:t>a DM</w:t>
      </w:r>
      <w:r>
        <w:t>-</w:t>
      </w:r>
      <w:r w:rsidRPr="00B916EC">
        <w:t xml:space="preserve">RS scrambling sequence initialization value by </w:t>
      </w:r>
      <w:r>
        <w:rPr>
          <w:i/>
          <w:lang w:val="en-US"/>
        </w:rPr>
        <w:t>pdcch</w:t>
      </w:r>
      <w:r w:rsidRPr="00B916EC">
        <w:rPr>
          <w:i/>
        </w:rPr>
        <w:t>-DMRS-ScramblingID</w:t>
      </w:r>
      <w:r w:rsidRPr="00B916EC">
        <w:t>;</w:t>
      </w:r>
    </w:p>
    <w:p w14:paraId="3ED65D04" w14:textId="77777777" w:rsidR="004D1774" w:rsidRPr="00B916EC" w:rsidRDefault="004D1774" w:rsidP="004D1774">
      <w:pPr>
        <w:pStyle w:val="B1"/>
      </w:pPr>
      <w:r>
        <w:t>-</w:t>
      </w:r>
      <w:r>
        <w:tab/>
      </w:r>
      <w:r w:rsidRPr="00B916EC">
        <w:t xml:space="preserve">a </w:t>
      </w:r>
      <w:r>
        <w:rPr>
          <w:lang w:val="en-US"/>
        </w:rPr>
        <w:t>precoder granularity</w:t>
      </w:r>
      <w:r w:rsidRPr="00B916EC">
        <w:t xml:space="preserve"> </w:t>
      </w:r>
      <w:r>
        <w:rPr>
          <w:lang w:val="en-US"/>
        </w:rPr>
        <w:t xml:space="preserve">for a number of </w:t>
      </w:r>
      <w:r>
        <w:t xml:space="preserve">REGs in the frequency domain where the UE can assume use of a same </w:t>
      </w:r>
      <w:r>
        <w:rPr>
          <w:lang w:val="en-US"/>
        </w:rPr>
        <w:t xml:space="preserve">DM-RS </w:t>
      </w:r>
      <w:r>
        <w:t xml:space="preserve">precoder </w:t>
      </w:r>
      <w:r w:rsidRPr="00B916EC">
        <w:t xml:space="preserve">by </w:t>
      </w:r>
      <w:r w:rsidRPr="00083860">
        <w:rPr>
          <w:i/>
        </w:rPr>
        <w:t>precoderGranularity</w:t>
      </w:r>
      <w:r w:rsidRPr="00B916EC">
        <w:t>;</w:t>
      </w:r>
    </w:p>
    <w:p w14:paraId="40BB4B5A" w14:textId="77777777" w:rsidR="004D1774" w:rsidRPr="00B916EC" w:rsidRDefault="004D1774" w:rsidP="004D1774">
      <w:pPr>
        <w:pStyle w:val="B1"/>
      </w:pPr>
      <w:r>
        <w:t>-</w:t>
      </w:r>
      <w:r>
        <w:tab/>
      </w:r>
      <w:r w:rsidRPr="00B916EC">
        <w:t xml:space="preserve">a number of consecutive symbols provided by </w:t>
      </w:r>
      <w:r w:rsidRPr="00B916EC">
        <w:rPr>
          <w:i/>
        </w:rPr>
        <w:t>duration</w:t>
      </w:r>
      <w:r w:rsidRPr="00B916EC">
        <w:t xml:space="preserve">; </w:t>
      </w:r>
    </w:p>
    <w:p w14:paraId="6C46A0EC" w14:textId="77777777" w:rsidR="004D1774" w:rsidRPr="00B916EC" w:rsidRDefault="004D1774" w:rsidP="004D1774">
      <w:pPr>
        <w:pStyle w:val="B1"/>
      </w:pPr>
      <w:r>
        <w:t>-</w:t>
      </w:r>
      <w:r>
        <w:tab/>
      </w:r>
      <w:r w:rsidRPr="00B916EC">
        <w:t xml:space="preserve">a set of resource blocks provided by </w:t>
      </w:r>
      <w:bookmarkStart w:id="664" w:name="_Hlk504372411"/>
      <w:r w:rsidRPr="00063F39">
        <w:rPr>
          <w:i/>
        </w:rPr>
        <w:t>frequencyDomainResources</w:t>
      </w:r>
      <w:bookmarkEnd w:id="664"/>
      <w:r w:rsidRPr="00B916EC">
        <w:t>;</w:t>
      </w:r>
    </w:p>
    <w:p w14:paraId="6C9866C8" w14:textId="77777777" w:rsidR="004D1774" w:rsidRPr="00B916EC" w:rsidRDefault="004D1774" w:rsidP="004D1774">
      <w:pPr>
        <w:pStyle w:val="B1"/>
      </w:pPr>
      <w:r>
        <w:t>-</w:t>
      </w:r>
      <w:r>
        <w:tab/>
      </w:r>
      <w:r w:rsidRPr="00B916EC">
        <w:t xml:space="preserve">CCE-to-REG mapping </w:t>
      </w:r>
      <w:r>
        <w:rPr>
          <w:lang w:val="en-US"/>
        </w:rPr>
        <w:t xml:space="preserve">parameters </w:t>
      </w:r>
      <w:r w:rsidRPr="00B916EC">
        <w:t xml:space="preserve">provided by </w:t>
      </w:r>
      <w:r>
        <w:rPr>
          <w:i/>
          <w:lang w:val="en-US"/>
        </w:rPr>
        <w:t>cce</w:t>
      </w:r>
      <w:r w:rsidRPr="00B916EC">
        <w:rPr>
          <w:i/>
        </w:rPr>
        <w:t>-REG-</w:t>
      </w:r>
      <w:r>
        <w:rPr>
          <w:i/>
          <w:lang w:val="en-US"/>
        </w:rPr>
        <w:t>M</w:t>
      </w:r>
      <w:r w:rsidRPr="00B916EC">
        <w:rPr>
          <w:i/>
        </w:rPr>
        <w:t>apping</w:t>
      </w:r>
      <w:r>
        <w:rPr>
          <w:i/>
          <w:lang w:val="en-US"/>
        </w:rPr>
        <w:t>T</w:t>
      </w:r>
      <w:r w:rsidRPr="00B916EC">
        <w:rPr>
          <w:i/>
        </w:rPr>
        <w:t>ype</w:t>
      </w:r>
      <w:r w:rsidRPr="00B916EC">
        <w:t>;</w:t>
      </w:r>
    </w:p>
    <w:p w14:paraId="2DABF9F9" w14:textId="3218B0A7" w:rsidR="004D1774" w:rsidRDefault="004D1774" w:rsidP="004D1774">
      <w:pPr>
        <w:pStyle w:val="B1"/>
      </w:pPr>
      <w:r>
        <w:t>-</w:t>
      </w:r>
      <w:r>
        <w:tab/>
      </w:r>
      <w:r w:rsidRPr="00C22B3B">
        <w:t xml:space="preserve">an antenna port quasi co-location, from a set of antenna port quasi co-locations provided by </w:t>
      </w:r>
      <w:r w:rsidRPr="00C22B3B">
        <w:rPr>
          <w:i/>
        </w:rPr>
        <w:t>TCI-State</w:t>
      </w:r>
      <w:r w:rsidRPr="00C22B3B">
        <w:t>, indicating</w:t>
      </w:r>
      <w:r>
        <w:t xml:space="preserve"> quasi co-location information of the DM-RS antenna port for PDCCH reception</w:t>
      </w:r>
      <w:r w:rsidRPr="00B916EC">
        <w:t>;</w:t>
      </w:r>
    </w:p>
    <w:p w14:paraId="39A18DEA" w14:textId="2102B8B5" w:rsidR="004D1774" w:rsidRPr="00B3239C" w:rsidRDefault="004D1774" w:rsidP="004D1774">
      <w:pPr>
        <w:pStyle w:val="B1"/>
      </w:pPr>
      <w:r>
        <w:rPr>
          <w:rFonts w:eastAsia="MS Mincho"/>
        </w:rPr>
        <w:t>-</w:t>
      </w:r>
      <w:r>
        <w:rPr>
          <w:rFonts w:eastAsia="MS Mincho"/>
        </w:rPr>
        <w:tab/>
      </w:r>
      <w:r w:rsidRPr="00B916EC">
        <w:rPr>
          <w:rFonts w:eastAsia="MS Mincho"/>
        </w:rPr>
        <w:t xml:space="preserve">an indication for a presence or absence of a </w:t>
      </w:r>
      <w:r w:rsidRPr="00C22B3B">
        <w:rPr>
          <w:rFonts w:eastAsia="MS Mincho"/>
        </w:rPr>
        <w:t xml:space="preserve">transmission configuration indication (TCI) field for </w:t>
      </w:r>
      <w:r w:rsidR="00B57182" w:rsidRPr="00B43F25">
        <w:rPr>
          <w:rFonts w:eastAsia="MS Mincho"/>
          <w:lang w:val="en-US"/>
        </w:rPr>
        <w:t xml:space="preserve">a </w:t>
      </w:r>
      <w:r w:rsidR="00B57182" w:rsidRPr="00B43F25">
        <w:rPr>
          <w:rFonts w:eastAsia="MS Mincho"/>
        </w:rPr>
        <w:t>DCI format</w:t>
      </w:r>
      <w:r w:rsidR="00B57182" w:rsidRPr="00B43F25">
        <w:rPr>
          <w:rFonts w:eastAsia="MS Mincho"/>
          <w:lang w:val="en-US"/>
        </w:rPr>
        <w:t xml:space="preserve">, other than DCI format 1_0, that schedules PDSCH receptions or </w:t>
      </w:r>
      <w:r w:rsidR="00D42639">
        <w:rPr>
          <w:rFonts w:eastAsia="MS Mincho"/>
          <w:lang w:val="en-US"/>
        </w:rPr>
        <w:t>has associated</w:t>
      </w:r>
      <w:r w:rsidR="00954A88" w:rsidRPr="00B27E56">
        <w:rPr>
          <w:rFonts w:eastAsia="MS Mincho"/>
          <w:lang w:val="en-US"/>
        </w:rPr>
        <w:t xml:space="preserve"> HARQ-ACK information</w:t>
      </w:r>
      <w:r w:rsidR="001648EA">
        <w:t xml:space="preserve"> without scheduling PDSCH</w:t>
      </w:r>
      <w:r w:rsidR="00E175E6">
        <w:rPr>
          <w:rFonts w:hint="eastAsia"/>
          <w:lang w:val="en-US" w:eastAsia="zh-CN"/>
        </w:rPr>
        <w:t xml:space="preserve"> </w:t>
      </w:r>
      <w:r w:rsidR="00B57182" w:rsidRPr="00B43F25">
        <w:rPr>
          <w:rFonts w:eastAsia="MS Mincho"/>
          <w:lang w:val="en-US"/>
        </w:rPr>
        <w:t>and is</w:t>
      </w:r>
      <w:r w:rsidRPr="00C22B3B">
        <w:rPr>
          <w:rFonts w:eastAsia="MS Mincho"/>
        </w:rPr>
        <w:t xml:space="preserve"> </w:t>
      </w:r>
      <w:r w:rsidR="00D42639" w:rsidRPr="00F415B1">
        <w:rPr>
          <w:rFonts w:eastAsia="MS Mincho"/>
          <w:lang w:val="en-US"/>
        </w:rPr>
        <w:t>provided</w:t>
      </w:r>
      <w:r w:rsidRPr="00C22B3B">
        <w:rPr>
          <w:rFonts w:eastAsia="MS Mincho"/>
        </w:rPr>
        <w:t xml:space="preserve"> by a PDCCH in </w:t>
      </w:r>
      <w:r w:rsidR="00C76664">
        <w:rPr>
          <w:rFonts w:eastAsia="MS Mincho"/>
        </w:rPr>
        <w:t>CORESET</w:t>
      </w:r>
      <w:r w:rsidRPr="00C22B3B">
        <w:rPr>
          <w:rFonts w:eastAsia="MS Mincho"/>
        </w:rPr>
        <w:t xml:space="preserve"> </w:t>
      </w:r>
      <m:oMath>
        <m:r>
          <w:rPr>
            <w:rFonts w:ascii="Cambria Math" w:hAnsi="Cambria Math"/>
          </w:rPr>
          <m:t>p</m:t>
        </m:r>
      </m:oMath>
      <w:r w:rsidRPr="00C22B3B">
        <w:t xml:space="preserve">, </w:t>
      </w:r>
      <w:r w:rsidRPr="00C22B3B">
        <w:rPr>
          <w:rFonts w:eastAsia="MS Mincho"/>
        </w:rPr>
        <w:t xml:space="preserve">by </w:t>
      </w:r>
      <w:r w:rsidR="002B5188">
        <w:rPr>
          <w:rFonts w:eastAsia="MS Mincho"/>
          <w:i/>
          <w:lang w:val="en-US"/>
        </w:rPr>
        <w:t>tci</w:t>
      </w:r>
      <w:r w:rsidRPr="00C22B3B">
        <w:rPr>
          <w:rFonts w:eastAsia="MS Mincho"/>
          <w:i/>
        </w:rPr>
        <w:t>-PresentInDCI</w:t>
      </w:r>
      <w:r w:rsidR="00B57182" w:rsidRPr="006D7497">
        <w:rPr>
          <w:rFonts w:eastAsia="MS Mincho"/>
          <w:lang w:val="en-US"/>
        </w:rPr>
        <w:t xml:space="preserve"> </w:t>
      </w:r>
      <w:r w:rsidR="00B57182" w:rsidRPr="00B43F25">
        <w:rPr>
          <w:rFonts w:eastAsia="MS Mincho"/>
          <w:lang w:val="en-US"/>
        </w:rPr>
        <w:t>or</w:t>
      </w:r>
      <w:r w:rsidR="00B57182" w:rsidRPr="00810527">
        <w:rPr>
          <w:rFonts w:eastAsia="MS Mincho"/>
          <w:lang w:val="en-US"/>
        </w:rPr>
        <w:t xml:space="preserve"> </w:t>
      </w:r>
      <w:r w:rsidR="002F7D9D">
        <w:rPr>
          <w:rStyle w:val="Emphasis"/>
        </w:rPr>
        <w:t>tci-PresentDCI-1</w:t>
      </w:r>
      <w:r w:rsidR="002F7D9D">
        <w:rPr>
          <w:rStyle w:val="Emphasis"/>
          <w:lang w:val="en-US"/>
        </w:rPr>
        <w:t>-</w:t>
      </w:r>
      <w:r w:rsidR="002F7D9D">
        <w:rPr>
          <w:rStyle w:val="Emphasis"/>
        </w:rPr>
        <w:t>2</w:t>
      </w:r>
      <w:r w:rsidRPr="00810527">
        <w:rPr>
          <w:rFonts w:eastAsia="MS Mincho"/>
        </w:rPr>
        <w:t>.</w:t>
      </w:r>
    </w:p>
    <w:p w14:paraId="05CE164A" w14:textId="77777777" w:rsidR="00560DF8" w:rsidRDefault="004D1774" w:rsidP="004D1774">
      <w:r>
        <w:t xml:space="preserve">When </w:t>
      </w:r>
      <w:r w:rsidRPr="00083860">
        <w:rPr>
          <w:i/>
        </w:rPr>
        <w:t>precoderGranularity</w:t>
      </w:r>
      <w:r>
        <w:t xml:space="preserve"> = </w:t>
      </w:r>
      <w:r w:rsidRPr="00F22965">
        <w:rPr>
          <w:i/>
        </w:rPr>
        <w:t>allContiguousRBs</w:t>
      </w:r>
      <w:r>
        <w:t xml:space="preserve">, a UE does not expect </w:t>
      </w:r>
    </w:p>
    <w:p w14:paraId="4E39C4E9" w14:textId="77777777" w:rsidR="00560DF8" w:rsidRPr="00D20E88" w:rsidRDefault="00560DF8" w:rsidP="00560DF8">
      <w:pPr>
        <w:pStyle w:val="B1"/>
      </w:pPr>
      <w:r>
        <w:t>-</w:t>
      </w:r>
      <w:r>
        <w:tab/>
      </w:r>
      <w:r w:rsidR="004D1774">
        <w:t xml:space="preserve">to be configured </w:t>
      </w:r>
      <w:r w:rsidR="004D1774" w:rsidRPr="00B916EC">
        <w:t>a set of resource blocks</w:t>
      </w:r>
      <w:r w:rsidR="004D1774">
        <w:t xml:space="preserve"> of a </w:t>
      </w:r>
      <w:r w:rsidR="00C76664">
        <w:t>CORESET</w:t>
      </w:r>
      <w:r w:rsidR="004D1774">
        <w:t xml:space="preserve"> that includes more than four sub-sets of resource blocks that are not contiguous in frequency</w:t>
      </w:r>
    </w:p>
    <w:p w14:paraId="54C6785C" w14:textId="77777777" w:rsidR="004660AA" w:rsidRDefault="00560DF8" w:rsidP="00DE1E44">
      <w:pPr>
        <w:pStyle w:val="B1"/>
        <w:rPr>
          <w:iCs/>
          <w:lang w:eastAsia="zh-CN"/>
        </w:rPr>
      </w:pPr>
      <w:r>
        <w:rPr>
          <w:lang w:val="en-US"/>
        </w:rPr>
        <w:t>-</w:t>
      </w:r>
      <w:r>
        <w:rPr>
          <w:lang w:val="en-US"/>
        </w:rPr>
        <w:tab/>
      </w:r>
      <w:r w:rsidRPr="00D20E88">
        <w:rPr>
          <w:lang w:val="en-US"/>
        </w:rPr>
        <w:t>any RE of a CORESET to overlap with any RE determined from</w:t>
      </w:r>
      <w:r w:rsidRPr="00D20E88">
        <w:rPr>
          <w:iCs/>
          <w:lang w:eastAsia="zh-CN"/>
        </w:rPr>
        <w:t xml:space="preserve"> </w:t>
      </w:r>
    </w:p>
    <w:p w14:paraId="1CDC1D9B" w14:textId="75B4C266" w:rsidR="004660AA" w:rsidRDefault="004660AA" w:rsidP="004660AA">
      <w:pPr>
        <w:pStyle w:val="B2"/>
        <w:rPr>
          <w:lang w:val="en-US"/>
        </w:rPr>
      </w:pPr>
      <w:r>
        <w:rPr>
          <w:lang w:val="en-GB" w:eastAsia="zh-CN"/>
        </w:rPr>
        <w:t>-</w:t>
      </w:r>
      <w:r>
        <w:rPr>
          <w:lang w:val="en-GB" w:eastAsia="zh-CN"/>
        </w:rPr>
        <w:tab/>
      </w:r>
      <w:r w:rsidR="00560DF8" w:rsidRPr="00D20E88">
        <w:rPr>
          <w:i/>
        </w:rPr>
        <w:t>lte-CRS-ToMatchAround</w:t>
      </w:r>
      <w:r w:rsidR="007547AA">
        <w:t xml:space="preserve"> or </w:t>
      </w:r>
      <w:r w:rsidR="007547AA" w:rsidRPr="001D63E8">
        <w:rPr>
          <w:i/>
        </w:rPr>
        <w:t>LTE-CRS-PatternList</w:t>
      </w:r>
      <w:r w:rsidR="007547AA">
        <w:t>,</w:t>
      </w:r>
      <w:r w:rsidR="00560DF8" w:rsidRPr="00D20E88">
        <w:rPr>
          <w:lang w:val="en-US"/>
        </w:rPr>
        <w:t xml:space="preserve"> </w:t>
      </w:r>
      <w:r>
        <w:rPr>
          <w:lang w:eastAsia="zh-CN"/>
        </w:rPr>
        <w:t xml:space="preserve">if the UE is not provided </w:t>
      </w:r>
      <w:r w:rsidRPr="00FD6654">
        <w:rPr>
          <w:i/>
          <w:lang w:eastAsia="zh-CN"/>
        </w:rPr>
        <w:t>pdcchCandidateReception-WithCRSOverlap</w:t>
      </w:r>
      <w:r>
        <w:rPr>
          <w:lang w:val="en-US"/>
        </w:rPr>
        <w:t xml:space="preserve">, </w:t>
      </w:r>
      <w:r w:rsidR="00560DF8" w:rsidRPr="00D20E88">
        <w:rPr>
          <w:lang w:val="en-US"/>
        </w:rPr>
        <w:t xml:space="preserve">or </w:t>
      </w:r>
    </w:p>
    <w:p w14:paraId="1944090C" w14:textId="3A357E49" w:rsidR="004D1774" w:rsidRDefault="004660AA" w:rsidP="004660AA">
      <w:pPr>
        <w:pStyle w:val="B2"/>
      </w:pPr>
      <w:r>
        <w:rPr>
          <w:lang w:val="en-US"/>
        </w:rPr>
        <w:t>-</w:t>
      </w:r>
      <w:r>
        <w:rPr>
          <w:lang w:val="en-US"/>
        </w:rPr>
        <w:tab/>
      </w:r>
      <w:r w:rsidR="00560DF8" w:rsidRPr="00D20E88">
        <w:rPr>
          <w:lang w:val="en-US"/>
        </w:rPr>
        <w:t>a SS/PBCH block</w:t>
      </w:r>
      <w:r w:rsidR="004D1774">
        <w:t>.</w:t>
      </w:r>
    </w:p>
    <w:p w14:paraId="0E567A93" w14:textId="77777777" w:rsidR="00D42639" w:rsidRPr="00F415B1" w:rsidRDefault="00D42639" w:rsidP="00D42639">
      <w:r w:rsidRPr="00F415B1">
        <w:t xml:space="preserve">If a UE is provided two TCI states indicating quasi co-location information of the DM-RS antenna port for PDCCH reception in a CORESET associated with a Type3-PDCCH CSS set, the UE may assume the quasi co-location information indicated in </w:t>
      </w:r>
      <w:r>
        <w:t>both</w:t>
      </w:r>
      <w:r w:rsidRPr="00F415B1">
        <w:t xml:space="preserve"> of the two TCI states for the PDCCH reception in the CORESET.</w:t>
      </w:r>
    </w:p>
    <w:p w14:paraId="46BF0436" w14:textId="0F3F20D0" w:rsidR="00CA776E" w:rsidRDefault="00865923" w:rsidP="00A36687">
      <w:r>
        <w:t xml:space="preserve">For </w:t>
      </w:r>
      <w:r w:rsidR="00FB3893">
        <w:t xml:space="preserve">each </w:t>
      </w:r>
      <w:r w:rsidR="00C76664">
        <w:t>CORESET</w:t>
      </w:r>
      <w:r w:rsidR="00FB3893">
        <w:t xml:space="preserve"> in </w:t>
      </w:r>
      <w:r>
        <w:t xml:space="preserve">a DL BWP </w:t>
      </w:r>
      <w:r w:rsidR="00FB3893">
        <w:t xml:space="preserve">of </w:t>
      </w:r>
      <w:r>
        <w:t xml:space="preserve">a serving cell, </w:t>
      </w:r>
      <w:r w:rsidR="00FB3893">
        <w:t xml:space="preserve">a respective </w:t>
      </w:r>
      <w:r w:rsidR="00DF37E5" w:rsidRPr="00063F39">
        <w:rPr>
          <w:i/>
        </w:rPr>
        <w:t>frequencyDomainResources</w:t>
      </w:r>
      <w:r w:rsidR="00FB3893">
        <w:t xml:space="preserve"> provides a bitmap </w:t>
      </w:r>
    </w:p>
    <w:p w14:paraId="1EDE738A" w14:textId="1D188D11" w:rsidR="00CA776E" w:rsidRPr="00370E38" w:rsidRDefault="00CA776E" w:rsidP="00DA4DCE">
      <w:pPr>
        <w:pStyle w:val="B1"/>
      </w:pPr>
      <w:r w:rsidRPr="00370E38">
        <w:t>-</w:t>
      </w:r>
      <w:r w:rsidRPr="00370E38">
        <w:tab/>
        <w:t xml:space="preserve">if a CORESET is not associated with any search space set configured with </w:t>
      </w:r>
      <w:r w:rsidRPr="00370E38">
        <w:rPr>
          <w:i/>
        </w:rPr>
        <w:t>freqMonitorLocation</w:t>
      </w:r>
      <w:r w:rsidR="00C35265">
        <w:rPr>
          <w:i/>
          <w:lang w:val="en-US"/>
        </w:rPr>
        <w:t>s</w:t>
      </w:r>
      <w:r w:rsidRPr="00370E38">
        <w:t xml:space="preserve">, the bits of the bitmap have a one-to-one mapping with non-overlapping groups of 6 consecutive PRBs, in ascending order of the PRB index in the DL BWP bandwidth of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RB</m:t>
            </m:r>
          </m:sub>
          <m:sup>
            <m:r>
              <m:rPr>
                <m:sty m:val="p"/>
              </m:rPr>
              <w:rPr>
                <w:rFonts w:ascii="Cambria Math" w:hAnsi="Cambria Math"/>
              </w:rPr>
              <m:t>BWP</m:t>
            </m:r>
          </m:sup>
        </m:sSubSup>
      </m:oMath>
      <w:r w:rsidRPr="00370E38">
        <w:t xml:space="preserve"> PRBs with starting common RB position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BWP</m:t>
            </m:r>
          </m:sub>
          <m:sup>
            <m:r>
              <m:rPr>
                <m:sty m:val="p"/>
              </m:rPr>
              <w:rPr>
                <w:rFonts w:ascii="Cambria Math" w:hAnsi="Cambria Math"/>
              </w:rPr>
              <m:t>start</m:t>
            </m:r>
          </m:sup>
        </m:sSubSup>
      </m:oMath>
      <w:r w:rsidRPr="00370E38">
        <w:t xml:space="preserve">, where the first common RB of the first group of 6 PRBs has common RB index </w:t>
      </w:r>
      <m:oMath>
        <m:r>
          <w:rPr>
            <w:rFonts w:ascii="Cambria Math" w:hAnsi="Cambria Math"/>
          </w:rPr>
          <m:t>6⋅</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N</m:t>
                </m:r>
              </m:e>
              <m:sub>
                <m:r>
                  <m:rPr>
                    <m:sty m:val="p"/>
                  </m:rPr>
                  <w:rPr>
                    <w:rFonts w:ascii="Cambria Math" w:hAnsi="Cambria Math"/>
                  </w:rPr>
                  <m:t>BWP</m:t>
                </m:r>
              </m:sub>
              <m:sup>
                <m:r>
                  <m:rPr>
                    <m:sty m:val="p"/>
                  </m:rPr>
                  <w:rPr>
                    <w:rFonts w:ascii="Cambria Math" w:hAnsi="Cambria Math"/>
                  </w:rPr>
                  <m:t>start</m:t>
                </m:r>
              </m:sup>
            </m:sSubSup>
            <m:r>
              <w:rPr>
                <w:rFonts w:ascii="Cambria Math" w:hAnsi="Cambria Math"/>
              </w:rPr>
              <m:t>/6</m:t>
            </m:r>
          </m:e>
        </m:d>
      </m:oMath>
      <w:r w:rsidRPr="00370E38">
        <w:t xml:space="preserve"> if </w:t>
      </w:r>
      <w:r w:rsidRPr="00370E38">
        <w:rPr>
          <w:i/>
        </w:rPr>
        <w:t>rb-</w:t>
      </w:r>
      <w:r w:rsidR="00062E1B">
        <w:rPr>
          <w:i/>
          <w:lang w:val="en-US"/>
        </w:rPr>
        <w:t>O</w:t>
      </w:r>
      <w:r w:rsidR="00062E1B" w:rsidRPr="00370E38">
        <w:rPr>
          <w:i/>
        </w:rPr>
        <w:t>ffset</w:t>
      </w:r>
      <w:r w:rsidR="00062E1B" w:rsidRPr="00370E38">
        <w:t xml:space="preserve"> </w:t>
      </w:r>
      <w:r w:rsidRPr="00370E38">
        <w:t xml:space="preserve">is not provided, or the first common RB of the first group of 6 PRBs has common RB index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BWP</m:t>
            </m:r>
          </m:sub>
          <m:sup>
            <m:r>
              <m:rPr>
                <m:sty m:val="p"/>
              </m:rPr>
              <w:rPr>
                <w:rFonts w:ascii="Cambria Math" w:hAnsi="Cambria Math"/>
              </w:rPr>
              <m:t>start</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RB</m:t>
            </m:r>
          </m:sub>
          <m:sup>
            <m:r>
              <m:rPr>
                <m:sty m:val="p"/>
              </m:rPr>
              <w:rPr>
                <w:rFonts w:ascii="Cambria Math" w:hAnsi="Cambria Math"/>
              </w:rPr>
              <m:t>offset</m:t>
            </m:r>
          </m:sup>
        </m:sSubSup>
      </m:oMath>
      <w:r w:rsidRPr="00370E38">
        <w:t xml:space="preserve"> where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RB</m:t>
            </m:r>
          </m:sub>
          <m:sup>
            <m:r>
              <m:rPr>
                <m:sty m:val="p"/>
              </m:rPr>
              <w:rPr>
                <w:rFonts w:ascii="Cambria Math" w:hAnsi="Cambria Math"/>
              </w:rPr>
              <m:t>offset</m:t>
            </m:r>
          </m:sup>
        </m:sSubSup>
      </m:oMath>
      <w:r w:rsidRPr="00370E38">
        <w:t xml:space="preserve"> is provided by </w:t>
      </w:r>
      <w:r w:rsidR="007561A2" w:rsidRPr="00370E38">
        <w:rPr>
          <w:i/>
        </w:rPr>
        <w:t>rb-</w:t>
      </w:r>
      <w:r w:rsidR="007561A2">
        <w:rPr>
          <w:i/>
          <w:lang w:val="en-US"/>
        </w:rPr>
        <w:t>O</w:t>
      </w:r>
      <w:r w:rsidR="007561A2" w:rsidRPr="00370E38">
        <w:rPr>
          <w:i/>
        </w:rPr>
        <w:t>ffset</w:t>
      </w:r>
      <w:r w:rsidRPr="00370E38">
        <w:rPr>
          <w:i/>
        </w:rPr>
        <w:t>.</w:t>
      </w:r>
      <w:r w:rsidRPr="00370E38">
        <w:t xml:space="preserve"> </w:t>
      </w:r>
    </w:p>
    <w:p w14:paraId="57033412" w14:textId="22DFCBB0" w:rsidR="00CA776E" w:rsidRPr="00370E38" w:rsidRDefault="00CA776E" w:rsidP="00DA4DCE">
      <w:pPr>
        <w:pStyle w:val="B1"/>
      </w:pPr>
      <w:r w:rsidRPr="00370E38">
        <w:t>-</w:t>
      </w:r>
      <w:r w:rsidRPr="00370E38">
        <w:tab/>
        <w:t xml:space="preserve">if a CORESET is associated with at least one search space set configured with </w:t>
      </w:r>
      <w:r w:rsidRPr="00370E38">
        <w:rPr>
          <w:i/>
        </w:rPr>
        <w:t>freqMonitorLocation</w:t>
      </w:r>
      <w:r w:rsidR="00C35265">
        <w:rPr>
          <w:i/>
          <w:lang w:val="en-US"/>
        </w:rPr>
        <w:t>s</w:t>
      </w:r>
      <w:r w:rsidRPr="00370E38">
        <w:t xml:space="preserve">, the first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RBG,set0</m:t>
            </m:r>
          </m:sub>
          <m:sup>
            <m:r>
              <m:rPr>
                <m:sty m:val="p"/>
              </m:rPr>
              <w:rPr>
                <w:rFonts w:ascii="Cambria Math" w:hAnsi="Cambria Math"/>
              </w:rPr>
              <m:t>size</m:t>
            </m:r>
          </m:sup>
        </m:sSubSup>
      </m:oMath>
      <w:r w:rsidRPr="00370E38">
        <w:t xml:space="preserve">  bits of the bitmap have a one-to-one mapping with non-overlapping groups of 6 consecutive PRBs, in ascending order of the PRB index </w:t>
      </w:r>
      <w:r w:rsidR="007561A2" w:rsidRPr="00411B36">
        <w:rPr>
          <w:rFonts w:eastAsia="Malgun Gothic"/>
          <w:lang w:val="en-US"/>
        </w:rPr>
        <w:t xml:space="preserve">in each RB set </w:t>
      </w:r>
      <m:oMath>
        <m:r>
          <w:rPr>
            <w:rFonts w:ascii="Cambria Math" w:hAnsi="Cambria Math"/>
          </w:rPr>
          <m:t>k</m:t>
        </m:r>
      </m:oMath>
      <w:r w:rsidR="007561A2" w:rsidRPr="00411B36">
        <w:rPr>
          <w:rFonts w:eastAsia="Malgun Gothic"/>
          <w:lang w:val="en-US"/>
        </w:rPr>
        <w:t xml:space="preserve"> </w:t>
      </w:r>
      <w:r w:rsidRPr="00370E38">
        <w:t xml:space="preserve">in the DL BWP bandwidth of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RB</m:t>
            </m:r>
          </m:sub>
          <m:sup>
            <m:r>
              <m:rPr>
                <m:sty m:val="p"/>
              </m:rPr>
              <w:rPr>
                <w:rFonts w:ascii="Cambria Math" w:hAnsi="Cambria Math"/>
              </w:rPr>
              <m:t>BWP</m:t>
            </m:r>
          </m:sup>
        </m:sSubSup>
      </m:oMath>
      <w:r w:rsidRPr="00370E38">
        <w:t xml:space="preserve"> PRBs with starting common RB position</w:t>
      </w:r>
      <w:r w:rsidR="007561A2">
        <w:rPr>
          <w:lang w:val="en-US"/>
        </w:rPr>
        <w:t xml:space="preserve"> </w:t>
      </w:r>
      <m:oMath>
        <m:sSubSup>
          <m:sSubSupPr>
            <m:ctrlPr>
              <w:rPr>
                <w:rFonts w:ascii="Cambria Math" w:eastAsia="Malgun Gothic" w:hAnsi="Cambria Math"/>
                <w:lang w:val="zh-CN"/>
              </w:rPr>
            </m:ctrlPr>
          </m:sSubSupPr>
          <m:e>
            <m:r>
              <w:rPr>
                <w:rFonts w:ascii="Cambria Math" w:eastAsia="Malgun Gothic" w:hAnsi="Cambria Math"/>
                <w:lang w:val="zh-CN"/>
              </w:rPr>
              <m:t>RB</m:t>
            </m:r>
          </m:e>
          <m:sub>
            <m:r>
              <w:rPr>
                <w:rFonts w:ascii="Cambria Math" w:eastAsia="Malgun Gothic" w:hAnsi="Cambria Math"/>
                <w:lang w:val="zh-CN"/>
              </w:rPr>
              <m:t>s0+k</m:t>
            </m:r>
            <m:r>
              <m:rPr>
                <m:sty m:val="p"/>
              </m:rPr>
              <w:rPr>
                <w:rFonts w:ascii="Cambria Math" w:eastAsia="Malgun Gothic" w:hAnsi="Cambria Math"/>
                <w:lang w:val="en-US"/>
              </w:rPr>
              <m:t>,DL</m:t>
            </m:r>
          </m:sub>
          <m:sup>
            <m:r>
              <m:rPr>
                <m:sty m:val="p"/>
              </m:rPr>
              <w:rPr>
                <w:rFonts w:ascii="Cambria Math" w:eastAsia="Malgun Gothic" w:hAnsi="Cambria Math"/>
                <w:lang w:val="en-US"/>
              </w:rPr>
              <m:t>start</m:t>
            </m:r>
            <m:r>
              <w:rPr>
                <w:rFonts w:ascii="Cambria Math" w:eastAsia="Malgun Gothic" w:hAnsi="Cambria Math"/>
              </w:rPr>
              <m:t>,μ</m:t>
            </m:r>
          </m:sup>
        </m:sSubSup>
        <m:r>
          <w:rPr>
            <w:rFonts w:ascii="Cambria Math" w:eastAsia="Malgun Gothic" w:hAnsi="Cambria Math"/>
            <w:lang w:val="zh-CN"/>
          </w:rPr>
          <m:t xml:space="preserve"> </m:t>
        </m:r>
      </m:oMath>
      <w:r w:rsidR="007561A2">
        <w:rPr>
          <w:lang w:val="en-US"/>
        </w:rPr>
        <w:t xml:space="preserve"> [6, TS 38.214]</w:t>
      </w:r>
      <w:r w:rsidRPr="00370E38">
        <w:t xml:space="preserve">, where the first common RB of the first group of 6 PRBs has common RB index </w:t>
      </w:r>
      <m:oMath>
        <m:sSubSup>
          <m:sSubSupPr>
            <m:ctrlPr>
              <w:rPr>
                <w:rFonts w:ascii="Cambria Math" w:eastAsia="Malgun Gothic" w:hAnsi="Cambria Math"/>
                <w:lang w:val="zh-CN"/>
              </w:rPr>
            </m:ctrlPr>
          </m:sSubSupPr>
          <m:e>
            <m:r>
              <w:rPr>
                <w:rFonts w:ascii="Cambria Math" w:eastAsia="Malgun Gothic" w:hAnsi="Cambria Math"/>
                <w:lang w:val="zh-CN"/>
              </w:rPr>
              <m:t>RB</m:t>
            </m:r>
          </m:e>
          <m:sub>
            <m:r>
              <w:rPr>
                <w:rFonts w:ascii="Cambria Math" w:eastAsia="Malgun Gothic" w:hAnsi="Cambria Math"/>
                <w:lang w:val="zh-CN"/>
              </w:rPr>
              <m:t>s0+k</m:t>
            </m:r>
            <m:r>
              <m:rPr>
                <m:sty m:val="p"/>
              </m:rPr>
              <w:rPr>
                <w:rFonts w:ascii="Cambria Math" w:eastAsia="Malgun Gothic" w:hAnsi="Cambria Math"/>
                <w:lang w:val="en-US"/>
              </w:rPr>
              <m:t>,DL</m:t>
            </m:r>
          </m:sub>
          <m:sup>
            <m:r>
              <m:rPr>
                <m:sty m:val="p"/>
              </m:rPr>
              <w:rPr>
                <w:rFonts w:ascii="Cambria Math" w:eastAsia="Malgun Gothic" w:hAnsi="Cambria Math"/>
                <w:lang w:val="en-US"/>
              </w:rPr>
              <m:t>start</m:t>
            </m:r>
            <m:r>
              <w:rPr>
                <w:rFonts w:ascii="Cambria Math" w:eastAsia="Malgun Gothic" w:hAnsi="Cambria Math"/>
              </w:rPr>
              <m:t>,μ</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RB</m:t>
            </m:r>
          </m:sub>
          <m:sup>
            <m:r>
              <m:rPr>
                <m:sty m:val="p"/>
              </m:rPr>
              <w:rPr>
                <w:rFonts w:ascii="Cambria Math" w:hAnsi="Cambria Math"/>
              </w:rPr>
              <m:t>offset</m:t>
            </m:r>
          </m:sup>
        </m:sSubSup>
      </m:oMath>
      <w:r w:rsidR="007561A2">
        <w:rPr>
          <w:lang w:val="en-US"/>
        </w:rPr>
        <w:t xml:space="preserve"> </w:t>
      </w:r>
      <w:r w:rsidR="007561A2" w:rsidRPr="00411B36">
        <w:rPr>
          <w:rFonts w:eastAsia="Malgun Gothic" w:hint="eastAsia"/>
          <w:lang w:val="en-US" w:eastAsia="ko-KR"/>
        </w:rPr>
        <w:t xml:space="preserve">and </w:t>
      </w:r>
      <w:r w:rsidR="007561A2" w:rsidRPr="00411B36">
        <w:rPr>
          <w:rFonts w:eastAsia="Malgun Gothic"/>
          <w:i/>
          <w:lang w:val="en-US" w:eastAsia="ko-KR"/>
        </w:rPr>
        <w:t>k</w:t>
      </w:r>
      <w:r w:rsidR="007561A2" w:rsidRPr="00411B36">
        <w:rPr>
          <w:rFonts w:eastAsia="Malgun Gothic"/>
          <w:lang w:val="en-US" w:eastAsia="ko-KR"/>
        </w:rPr>
        <w:t xml:space="preserve"> is </w:t>
      </w:r>
      <w:r w:rsidR="007561A2">
        <w:rPr>
          <w:rFonts w:eastAsia="Malgun Gothic"/>
          <w:lang w:val="en-US" w:eastAsia="ko-KR"/>
        </w:rPr>
        <w:t>indicat</w:t>
      </w:r>
      <w:r w:rsidR="007561A2" w:rsidRPr="00411B36">
        <w:rPr>
          <w:rFonts w:eastAsia="Malgun Gothic"/>
          <w:lang w:val="en-US" w:eastAsia="ko-KR"/>
        </w:rPr>
        <w:t xml:space="preserve">ed </w:t>
      </w:r>
      <w:r w:rsidR="007561A2">
        <w:rPr>
          <w:rFonts w:eastAsia="Malgun Gothic"/>
          <w:lang w:val="en-US" w:eastAsia="ko-KR"/>
        </w:rPr>
        <w:t>by</w:t>
      </w:r>
      <w:r w:rsidR="007561A2" w:rsidRPr="00411B36">
        <w:rPr>
          <w:rFonts w:eastAsia="Malgun Gothic"/>
          <w:lang w:val="en-US" w:eastAsia="ko-KR"/>
        </w:rPr>
        <w:t xml:space="preserve"> </w:t>
      </w:r>
      <w:r w:rsidR="007561A2">
        <w:rPr>
          <w:rFonts w:eastAsia="Malgun Gothic"/>
          <w:i/>
          <w:kern w:val="2"/>
          <w:lang w:val="en-US" w:eastAsia="ko-KR"/>
        </w:rPr>
        <w:t>freqMonitorLocations</w:t>
      </w:r>
      <w:r w:rsidR="007561A2">
        <w:rPr>
          <w:rFonts w:eastAsia="Malgun Gothic"/>
          <w:kern w:val="2"/>
          <w:lang w:val="en-US" w:eastAsia="ko-KR"/>
        </w:rPr>
        <w:t xml:space="preserve"> if provided for a search space set; otherwise, </w:t>
      </w:r>
      <m:oMath>
        <m:r>
          <w:rPr>
            <w:rFonts w:ascii="Cambria Math" w:eastAsia="Malgun Gothic" w:hAnsi="Cambria Math"/>
            <w:kern w:val="2"/>
            <w:lang w:val="en-US" w:eastAsia="ko-KR"/>
          </w:rPr>
          <m:t>k=0</m:t>
        </m:r>
      </m:oMath>
      <w:r w:rsidRPr="00370E38">
        <w:t xml:space="preserv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RBG,set0</m:t>
            </m:r>
          </m:sub>
          <m:sup>
            <m:r>
              <m:rPr>
                <m:sty m:val="p"/>
              </m:rPr>
              <w:rPr>
                <w:rFonts w:ascii="Cambria Math" w:hAnsi="Cambria Math"/>
              </w:rPr>
              <m:t>size</m:t>
            </m:r>
          </m:sup>
        </m:sSub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(N</m:t>
                </m:r>
              </m:e>
              <m:sub>
                <m:r>
                  <m:rPr>
                    <m:sty m:val="p"/>
                  </m:rPr>
                  <w:rPr>
                    <w:rFonts w:ascii="Cambria Math" w:hAnsi="Cambria Math"/>
                  </w:rPr>
                  <m:t>RB,set0</m:t>
                </m:r>
              </m:sub>
              <m:sup>
                <m:r>
                  <m:rPr>
                    <m:sty m:val="p"/>
                  </m:rPr>
                  <w:rPr>
                    <w:rFonts w:ascii="Cambria Math" w:hAnsi="Cambria Math"/>
                  </w:rPr>
                  <m:t>size</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RB</m:t>
                </m:r>
              </m:sub>
              <m:sup>
                <m:r>
                  <m:rPr>
                    <m:sty m:val="p"/>
                  </m:rPr>
                  <w:rPr>
                    <w:rFonts w:ascii="Cambria Math" w:hAnsi="Cambria Math"/>
                  </w:rPr>
                  <m:t>offset</m:t>
                </m:r>
              </m:sup>
            </m:sSubSup>
            <m:r>
              <w:rPr>
                <w:rFonts w:ascii="Cambria Math" w:hAnsi="Cambria Math"/>
              </w:rPr>
              <m:t>)/6</m:t>
            </m:r>
          </m:e>
        </m:d>
      </m:oMath>
      <w:r w:rsidRPr="00370E38">
        <w:t xml:space="preserv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RB,set0</m:t>
            </m:r>
          </m:sub>
          <m:sup>
            <m:r>
              <m:rPr>
                <m:sty m:val="p"/>
              </m:rPr>
              <w:rPr>
                <w:rFonts w:ascii="Cambria Math" w:hAnsi="Cambria Math"/>
              </w:rPr>
              <m:t>size</m:t>
            </m:r>
          </m:sup>
        </m:sSubSup>
      </m:oMath>
      <w:r w:rsidRPr="00370E38">
        <w:t xml:space="preserve"> is a number of available PRBs in the RB set 0 for the DL BWP, and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RB</m:t>
            </m:r>
          </m:sub>
          <m:sup>
            <m:r>
              <m:rPr>
                <m:sty m:val="p"/>
              </m:rPr>
              <w:rPr>
                <w:rFonts w:ascii="Cambria Math" w:hAnsi="Cambria Math"/>
              </w:rPr>
              <m:t>offset</m:t>
            </m:r>
          </m:sup>
        </m:sSubSup>
      </m:oMath>
      <w:r w:rsidRPr="00370E38">
        <w:t xml:space="preserve"> is provided by </w:t>
      </w:r>
      <w:r w:rsidR="007561A2" w:rsidRPr="00370E38">
        <w:rPr>
          <w:i/>
        </w:rPr>
        <w:t>rb-</w:t>
      </w:r>
      <w:r w:rsidR="007561A2">
        <w:rPr>
          <w:i/>
          <w:lang w:val="en-US"/>
        </w:rPr>
        <w:t>O</w:t>
      </w:r>
      <w:r w:rsidR="007561A2" w:rsidRPr="00370E38">
        <w:rPr>
          <w:i/>
        </w:rPr>
        <w:t>ffset</w:t>
      </w:r>
      <w:r w:rsidRPr="00370E38">
        <w:t xml:space="preserve"> or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RB</m:t>
            </m:r>
          </m:sub>
          <m:sup>
            <m:r>
              <m:rPr>
                <m:sty m:val="p"/>
              </m:rPr>
              <w:rPr>
                <w:rFonts w:ascii="Cambria Math" w:hAnsi="Cambria Math"/>
              </w:rPr>
              <m:t>offset</m:t>
            </m:r>
          </m:sup>
        </m:sSubSup>
        <m:r>
          <w:rPr>
            <w:rFonts w:ascii="Cambria Math" w:hAnsi="Cambria Math"/>
          </w:rPr>
          <m:t>=0</m:t>
        </m:r>
      </m:oMath>
      <w:r w:rsidRPr="00370E38">
        <w:t xml:space="preserve"> if </w:t>
      </w:r>
      <w:r w:rsidR="007561A2" w:rsidRPr="00370E38">
        <w:rPr>
          <w:i/>
        </w:rPr>
        <w:t>rb-</w:t>
      </w:r>
      <w:r w:rsidR="007561A2">
        <w:rPr>
          <w:i/>
          <w:lang w:val="en-US"/>
        </w:rPr>
        <w:t>O</w:t>
      </w:r>
      <w:r w:rsidR="007561A2" w:rsidRPr="00370E38">
        <w:rPr>
          <w:i/>
        </w:rPr>
        <w:t>ffset</w:t>
      </w:r>
      <w:r w:rsidRPr="00370E38">
        <w:rPr>
          <w:i/>
        </w:rPr>
        <w:t xml:space="preserve"> </w:t>
      </w:r>
      <w:r w:rsidRPr="00370E38">
        <w:t>is not provided.</w:t>
      </w:r>
      <w:r w:rsidRPr="00370E38">
        <w:rPr>
          <w:i/>
        </w:rPr>
        <w:t xml:space="preserve"> </w:t>
      </w:r>
      <w:r w:rsidR="00C35265" w:rsidRPr="001049DA">
        <w:t xml:space="preserve">If </w:t>
      </w:r>
      <w:r w:rsidR="00C35265">
        <w:t xml:space="preserve">a UE is provided </w:t>
      </w:r>
      <w:r w:rsidR="00C35265" w:rsidRPr="001049DA">
        <w:t xml:space="preserve">RB sets in the DL BWP, the UE expects that the RBs of the CORESET are within the union of </w:t>
      </w:r>
      <w:r w:rsidR="00C35265">
        <w:t>the</w:t>
      </w:r>
      <w:r w:rsidR="00C35265" w:rsidRPr="001049DA">
        <w:t xml:space="preserve"> </w:t>
      </w:r>
      <w:r w:rsidR="00C35265">
        <w:t>P</w:t>
      </w:r>
      <w:r w:rsidR="00C35265" w:rsidRPr="001049DA">
        <w:t xml:space="preserve">RBs in </w:t>
      </w:r>
      <w:r w:rsidR="00C35265">
        <w:t>the</w:t>
      </w:r>
      <w:r w:rsidR="00C35265" w:rsidRPr="001049DA">
        <w:t xml:space="preserve"> RB sets</w:t>
      </w:r>
      <w:r w:rsidR="00C35265">
        <w:t xml:space="preserve"> of the DL BWP</w:t>
      </w:r>
      <w:r w:rsidR="00C35265" w:rsidRPr="001049DA">
        <w:t>.</w:t>
      </w:r>
    </w:p>
    <w:p w14:paraId="1123D8B1" w14:textId="443EE8DE" w:rsidR="006F4839" w:rsidRDefault="006F4839" w:rsidP="00560DF8">
      <w:pPr>
        <w:tabs>
          <w:tab w:val="left" w:pos="720"/>
        </w:tabs>
      </w:pPr>
      <w:r>
        <w:t xml:space="preserve">For each CORESET provided by </w:t>
      </w:r>
      <w:r>
        <w:rPr>
          <w:i/>
          <w:iCs/>
        </w:rPr>
        <w:t>cfr-ConfigMCCH-MTCH</w:t>
      </w:r>
      <w:r>
        <w:t xml:space="preserve"> </w:t>
      </w:r>
      <w:r w:rsidR="00B731F1">
        <w:rPr>
          <w:rFonts w:hint="eastAsia"/>
          <w:lang w:eastAsia="zh-CN"/>
        </w:rPr>
        <w:t xml:space="preserve">or </w:t>
      </w:r>
      <w:r w:rsidR="00B731F1">
        <w:rPr>
          <w:rFonts w:hint="eastAsia"/>
          <w:i/>
          <w:iCs/>
          <w:lang w:eastAsia="zh-CN"/>
        </w:rPr>
        <w:t>cfr-ConfigMCCH-MTCH-RedCap</w:t>
      </w:r>
      <w:r w:rsidR="00B731F1">
        <w:t xml:space="preserve"> </w:t>
      </w:r>
      <w:r>
        <w:t xml:space="preserve">or </w:t>
      </w:r>
      <w:r w:rsidRPr="00B06CC2">
        <w:rPr>
          <w:i/>
          <w:iCs/>
        </w:rPr>
        <w:t>cfr-Config</w:t>
      </w:r>
      <w:r>
        <w:rPr>
          <w:i/>
          <w:iCs/>
        </w:rPr>
        <w:t>Multicast</w:t>
      </w:r>
      <w:r>
        <w:t xml:space="preserve"> in a CFR of a serving cell,</w:t>
      </w:r>
      <w:r w:rsidRPr="00C863FF">
        <w:t xml:space="preserve"> </w:t>
      </w:r>
      <w:r w:rsidRPr="00606F1E">
        <w:t>the quantities</w:t>
      </w:r>
      <w:r>
        <w:t xml:space="preserv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RB</m:t>
            </m:r>
          </m:sub>
          <m:sup>
            <m:r>
              <m:rPr>
                <m:sty m:val="p"/>
              </m:rPr>
              <w:rPr>
                <w:rFonts w:ascii="Cambria Math" w:hAnsi="Cambria Math"/>
              </w:rPr>
              <m:t>BWP</m:t>
            </m:r>
          </m:sup>
        </m:sSubSup>
      </m:oMath>
      <w:r>
        <w:rPr>
          <w:rFonts w:hint="eastAsia"/>
          <w:color w:val="000000"/>
        </w:rPr>
        <w:t xml:space="preserve"> </w:t>
      </w:r>
      <w:r>
        <w:rPr>
          <w:color w:val="000000"/>
        </w:rPr>
        <w:t>and</w:t>
      </w:r>
      <w:r w:rsidRPr="00606F1E">
        <w:t xml:space="preserv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BWP</m:t>
            </m:r>
          </m:sub>
          <m:sup>
            <m:r>
              <m:rPr>
                <m:sty m:val="p"/>
              </m:rPr>
              <w:rPr>
                <w:rFonts w:ascii="Cambria Math" w:hAnsi="Cambria Math"/>
              </w:rPr>
              <m:t>start</m:t>
            </m:r>
          </m:sup>
        </m:sSubSup>
      </m:oMath>
      <w:r w:rsidRPr="00606F1E">
        <w:t xml:space="preserve"> in this clause are replaced by</w:t>
      </w:r>
      <w:r>
        <w:t xml:space="preserve"> the size of CFR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RB</m:t>
            </m:r>
          </m:sub>
          <m:sup>
            <m:r>
              <m:rPr>
                <m:sty m:val="p"/>
              </m:rPr>
              <w:rPr>
                <w:rFonts w:ascii="Cambria Math" w:hAnsi="Cambria Math"/>
              </w:rPr>
              <m:t>CFR</m:t>
            </m:r>
          </m:sup>
        </m:sSubSup>
      </m:oMath>
      <w:r>
        <w:rPr>
          <w:rFonts w:hint="eastAsia"/>
          <w:color w:val="000000"/>
        </w:rPr>
        <w:t xml:space="preserve"> </w:t>
      </w:r>
      <w:r>
        <w:rPr>
          <w:color w:val="000000"/>
        </w:rPr>
        <w:t>and</w:t>
      </w:r>
      <w:r w:rsidRPr="00C863FF">
        <w:t xml:space="preserve"> </w:t>
      </w:r>
      <w:r w:rsidRPr="00013B41">
        <w:t>starting common RB position</w:t>
      </w:r>
      <w:r>
        <w:t xml:space="preserve"> of CFR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CFR</m:t>
            </m:r>
          </m:sub>
          <m:sup>
            <m:r>
              <m:rPr>
                <m:sty m:val="p"/>
              </m:rPr>
              <w:rPr>
                <w:rFonts w:ascii="Cambria Math" w:hAnsi="Cambria Math"/>
              </w:rPr>
              <m:t>start</m:t>
            </m:r>
          </m:sup>
        </m:sSubSup>
      </m:oMath>
      <w:r>
        <w:t xml:space="preserve">, </w:t>
      </w:r>
      <w:r w:rsidRPr="00606F1E">
        <w:t>respectively</w:t>
      </w:r>
      <w:r>
        <w:t>.</w:t>
      </w:r>
    </w:p>
    <w:p w14:paraId="5DF39C11" w14:textId="00FD5148" w:rsidR="00B9419B" w:rsidRPr="00326D6E" w:rsidRDefault="00560DF8" w:rsidP="00560DF8">
      <w:pPr>
        <w:tabs>
          <w:tab w:val="left" w:pos="720"/>
        </w:tabs>
      </w:pPr>
      <w:r w:rsidRPr="00326D6E">
        <w:t xml:space="preserve">For a CORESET other than a CORESET with index 0, </w:t>
      </w:r>
    </w:p>
    <w:p w14:paraId="65B732D5" w14:textId="11E10A49" w:rsidR="00560DF8" w:rsidRPr="00326D6E" w:rsidRDefault="00B9419B" w:rsidP="00326D6E">
      <w:pPr>
        <w:pStyle w:val="B1"/>
      </w:pPr>
      <w:r w:rsidRPr="00326D6E">
        <w:t>-</w:t>
      </w:r>
      <w:r w:rsidRPr="00326D6E">
        <w:tab/>
      </w:r>
      <w:r w:rsidR="00560DF8" w:rsidRPr="00326D6E">
        <w:t xml:space="preserve">if a UE has not been provided a configuration of TCI state(s) by </w:t>
      </w:r>
      <w:r w:rsidR="00560DF8" w:rsidRPr="00326D6E">
        <w:rPr>
          <w:i/>
        </w:rPr>
        <w:t>tci-StatesPDCCH-ToAddList</w:t>
      </w:r>
      <w:r w:rsidR="00560DF8" w:rsidRPr="00326D6E">
        <w:t xml:space="preserve"> and </w:t>
      </w:r>
      <w:r w:rsidR="00560DF8" w:rsidRPr="00326D6E">
        <w:rPr>
          <w:i/>
        </w:rPr>
        <w:t>tci-StatesPDCCH-ToReleaseList</w:t>
      </w:r>
      <w:r w:rsidR="00560DF8" w:rsidRPr="00326D6E">
        <w:t xml:space="preserve"> for the CORESET, or has </w:t>
      </w:r>
      <w:r w:rsidRPr="00326D6E">
        <w:rPr>
          <w:rFonts w:eastAsia="MS Mincho" w:hint="eastAsia"/>
          <w:lang w:eastAsia="ja-JP"/>
        </w:rPr>
        <w:t>been provided</w:t>
      </w:r>
      <w:r w:rsidR="00560DF8" w:rsidRPr="00326D6E">
        <w:t xml:space="preserve"> initial configuration of more than one TCI states for the CORESET by </w:t>
      </w:r>
      <w:r w:rsidR="00560DF8" w:rsidRPr="00326D6E">
        <w:rPr>
          <w:i/>
        </w:rPr>
        <w:t>tci-StatesPDCCH-ToAddList</w:t>
      </w:r>
      <w:r w:rsidR="00560DF8" w:rsidRPr="00326D6E">
        <w:t xml:space="preserve"> and </w:t>
      </w:r>
      <w:r w:rsidR="00560DF8" w:rsidRPr="00326D6E">
        <w:rPr>
          <w:i/>
        </w:rPr>
        <w:t>tci-StatesPDCCH-ToReleaseList</w:t>
      </w:r>
      <w:r w:rsidR="00560DF8" w:rsidRPr="00326D6E">
        <w:t xml:space="preserve"> </w:t>
      </w:r>
      <w:r w:rsidR="000C0281">
        <w:rPr>
          <w:rFonts w:eastAsia="Malgun Gothic"/>
          <w:lang w:val="en-GB"/>
        </w:rPr>
        <w:t>and</w:t>
      </w:r>
      <w:r w:rsidR="000C0281" w:rsidRPr="00326D6E">
        <w:rPr>
          <w:rFonts w:eastAsia="Malgun Gothic"/>
        </w:rPr>
        <w:t xml:space="preserve"> </w:t>
      </w:r>
      <w:r w:rsidR="00560DF8" w:rsidRPr="00326D6E">
        <w:rPr>
          <w:rFonts w:eastAsia="Malgun Gothic"/>
        </w:rPr>
        <w:t>has not received a MAC CE activation command for one of the TCI states as described in [11, TS 38.321]</w:t>
      </w:r>
      <w:r w:rsidR="00560DF8" w:rsidRPr="00326D6E">
        <w:t xml:space="preserve">, the UE </w:t>
      </w:r>
      <w:r w:rsidR="00560DF8" w:rsidRPr="00326D6E">
        <w:lastRenderedPageBreak/>
        <w:t xml:space="preserve">assumes that the DM-RS antenna port associated with PDCCH receptions is quasi co-located with the </w:t>
      </w:r>
      <w:r w:rsidR="00560DF8" w:rsidRPr="00326D6E">
        <w:rPr>
          <w:kern w:val="2"/>
          <w:lang w:eastAsia="zh-CN"/>
        </w:rPr>
        <w:t>SS/PBCH block the UE identified during the initial access procedure</w:t>
      </w:r>
      <w:r w:rsidR="00A66624">
        <w:rPr>
          <w:kern w:val="2"/>
          <w:lang w:val="en-US" w:eastAsia="zh-CN"/>
        </w:rPr>
        <w:t xml:space="preserve">, or for </w:t>
      </w:r>
      <w:r w:rsidR="00A66624" w:rsidRPr="00326D6E">
        <w:t>a most recent</w:t>
      </w:r>
      <w:r w:rsidR="00A66624">
        <w:rPr>
          <w:lang w:val="en-US"/>
        </w:rPr>
        <w:t xml:space="preserve"> configured grant PUSCH transmission as described in clause 19 for a same HARQ process</w:t>
      </w:r>
      <w:r w:rsidRPr="00326D6E">
        <w:rPr>
          <w:kern w:val="2"/>
          <w:lang w:eastAsia="zh-CN"/>
        </w:rPr>
        <w:t>;</w:t>
      </w:r>
      <w:r w:rsidRPr="00326D6E">
        <w:t xml:space="preserve"> </w:t>
      </w:r>
    </w:p>
    <w:p w14:paraId="4025FC7B" w14:textId="4174BEC3" w:rsidR="00B9419B" w:rsidRPr="00326D6E" w:rsidRDefault="00B9419B" w:rsidP="00326D6E">
      <w:pPr>
        <w:pStyle w:val="B1"/>
        <w:rPr>
          <w:rFonts w:eastAsia="MS Mincho"/>
          <w:lang w:eastAsia="ja-JP"/>
        </w:rPr>
      </w:pPr>
      <w:r w:rsidRPr="00326D6E">
        <w:rPr>
          <w:rFonts w:eastAsia="MS Mincho"/>
        </w:rPr>
        <w:t>-</w:t>
      </w:r>
      <w:r w:rsidRPr="00326D6E">
        <w:rPr>
          <w:rFonts w:eastAsia="MS Mincho"/>
        </w:rPr>
        <w:tab/>
        <w:t xml:space="preserve">if a </w:t>
      </w:r>
      <w:r w:rsidRPr="00326D6E">
        <w:rPr>
          <w:rFonts w:eastAsia="MS Mincho" w:hint="eastAsia"/>
          <w:lang w:eastAsia="ja-JP"/>
        </w:rPr>
        <w:t xml:space="preserve">UE </w:t>
      </w:r>
      <w:r w:rsidRPr="00326D6E">
        <w:rPr>
          <w:rFonts w:eastAsia="MS Mincho"/>
        </w:rPr>
        <w:t xml:space="preserve">has </w:t>
      </w:r>
      <w:r w:rsidRPr="00326D6E">
        <w:rPr>
          <w:rFonts w:eastAsia="MS Mincho" w:hint="eastAsia"/>
          <w:lang w:eastAsia="ja-JP"/>
        </w:rPr>
        <w:t>been provided a</w:t>
      </w:r>
      <w:r w:rsidRPr="00326D6E">
        <w:rPr>
          <w:rFonts w:eastAsia="MS Mincho"/>
        </w:rPr>
        <w:t xml:space="preserve"> configuration of more than one TCI states by </w:t>
      </w:r>
      <w:r w:rsidRPr="00326D6E">
        <w:rPr>
          <w:rFonts w:eastAsia="MS Mincho"/>
          <w:i/>
        </w:rPr>
        <w:t>tci-StatesPDCCH-ToAddList</w:t>
      </w:r>
      <w:r w:rsidRPr="00326D6E">
        <w:rPr>
          <w:rFonts w:eastAsia="MS Mincho"/>
        </w:rPr>
        <w:t xml:space="preserve"> and </w:t>
      </w:r>
      <w:r w:rsidRPr="00326D6E">
        <w:rPr>
          <w:rFonts w:eastAsia="MS Mincho"/>
          <w:i/>
        </w:rPr>
        <w:t>tci-StatesPDCCH-ToReleaseList</w:t>
      </w:r>
      <w:r w:rsidRPr="00326D6E">
        <w:rPr>
          <w:rFonts w:eastAsia="MS Mincho"/>
        </w:rPr>
        <w:t xml:space="preserve"> for the CORESET </w:t>
      </w:r>
      <w:r w:rsidRPr="00326D6E">
        <w:rPr>
          <w:rFonts w:eastAsia="MS Mincho" w:hint="eastAsia"/>
          <w:lang w:eastAsia="ja-JP"/>
        </w:rPr>
        <w:t xml:space="preserve">as part of Reconfiguration with sync procedure as described in [12, TS 38.331] </w:t>
      </w:r>
      <w:r w:rsidR="000C0281">
        <w:rPr>
          <w:rFonts w:eastAsia="MS Mincho"/>
          <w:lang w:val="en-GB"/>
        </w:rPr>
        <w:t>and</w:t>
      </w:r>
      <w:r w:rsidR="000C0281" w:rsidRPr="00326D6E">
        <w:rPr>
          <w:rFonts w:eastAsia="MS Mincho"/>
        </w:rPr>
        <w:t xml:space="preserve"> </w:t>
      </w:r>
      <w:r w:rsidRPr="00326D6E">
        <w:rPr>
          <w:rFonts w:eastAsia="MS Mincho"/>
        </w:rPr>
        <w:t xml:space="preserve">has not received a MAC CE activation command for one of the TCI states as described in [11, TS 38.321], the UE assumes that the DM-RS antenna port associated with PDCCH receptions is quasi co-located with the SS/PBCH block </w:t>
      </w:r>
      <w:r w:rsidRPr="00326D6E">
        <w:rPr>
          <w:rFonts w:eastAsia="MS Mincho" w:hint="eastAsia"/>
          <w:lang w:eastAsia="ja-JP"/>
        </w:rPr>
        <w:t xml:space="preserve">or the CSI-RS resource </w:t>
      </w:r>
      <w:r w:rsidRPr="00326D6E">
        <w:rPr>
          <w:rFonts w:eastAsia="MS Mincho"/>
        </w:rPr>
        <w:t xml:space="preserve">the UE identified </w:t>
      </w:r>
      <w:r w:rsidRPr="00326D6E">
        <w:rPr>
          <w:rFonts w:eastAsia="MS Mincho" w:hint="eastAsia"/>
          <w:lang w:eastAsia="ja-JP"/>
        </w:rPr>
        <w:t>during the random access procedure initiated by the Reconfiguration with sync procedure as described in [12, TS 38.331]</w:t>
      </w:r>
      <w:r w:rsidRPr="00326D6E">
        <w:rPr>
          <w:rFonts w:eastAsia="MS Mincho"/>
        </w:rPr>
        <w:t>.</w:t>
      </w:r>
    </w:p>
    <w:p w14:paraId="7CEA882D" w14:textId="77777777" w:rsidR="008A5834" w:rsidRDefault="00560DF8" w:rsidP="00326D6E">
      <w:pPr>
        <w:tabs>
          <w:tab w:val="left" w:pos="720"/>
        </w:tabs>
      </w:pPr>
      <w:r w:rsidRPr="00326D6E">
        <w:t xml:space="preserve">For a CORESET with index 0, </w:t>
      </w:r>
    </w:p>
    <w:p w14:paraId="49B9F641" w14:textId="11F9A6EB" w:rsidR="008A5834" w:rsidRDefault="008A5834" w:rsidP="008A5834">
      <w:pPr>
        <w:pStyle w:val="B1"/>
      </w:pPr>
      <w:bookmarkStart w:id="665" w:name="_Hlk99980026"/>
      <w:r w:rsidRPr="00037243">
        <w:rPr>
          <w:lang w:eastAsia="zh-CN"/>
        </w:rPr>
        <w:t>-</w:t>
      </w:r>
      <w:r w:rsidRPr="00037243">
        <w:rPr>
          <w:lang w:eastAsia="zh-CN"/>
        </w:rPr>
        <w:tab/>
      </w:r>
      <w:r w:rsidRPr="00037243">
        <w:t xml:space="preserve">if the UE is provided </w:t>
      </w:r>
      <w:r w:rsidRPr="00037243">
        <w:rPr>
          <w:rFonts w:cs="Times"/>
          <w:i/>
          <w:iCs/>
          <w:szCs w:val="18"/>
          <w:lang w:eastAsia="zh-CN"/>
        </w:rPr>
        <w:t>TCI</w:t>
      </w:r>
      <w:r w:rsidR="00255A5F">
        <w:rPr>
          <w:rFonts w:cs="Times"/>
          <w:i/>
          <w:iCs/>
          <w:szCs w:val="18"/>
          <w:lang w:val="en-GB" w:eastAsia="zh-CN"/>
        </w:rPr>
        <w:t>-</w:t>
      </w:r>
      <w:r w:rsidRPr="00037243">
        <w:rPr>
          <w:rFonts w:cs="Times"/>
          <w:i/>
          <w:iCs/>
          <w:szCs w:val="18"/>
          <w:lang w:eastAsia="zh-CN"/>
        </w:rPr>
        <w:t>State</w:t>
      </w:r>
      <w:r w:rsidRPr="00037243">
        <w:rPr>
          <w:rFonts w:cs="Times"/>
          <w:iCs/>
          <w:szCs w:val="18"/>
          <w:lang w:eastAsia="zh-CN"/>
        </w:rPr>
        <w:t xml:space="preserve"> and </w:t>
      </w:r>
      <w:r w:rsidR="00DA1AB5" w:rsidRPr="00037243">
        <w:rPr>
          <w:i/>
          <w:iCs/>
        </w:rPr>
        <w:t>followUnifiedTCI</w:t>
      </w:r>
      <w:r w:rsidR="00DA1AB5">
        <w:rPr>
          <w:i/>
          <w:iCs/>
          <w:lang w:val="en-GB"/>
        </w:rPr>
        <w:t>-S</w:t>
      </w:r>
      <w:r w:rsidR="00DA1AB5" w:rsidRPr="00037243">
        <w:rPr>
          <w:i/>
          <w:iCs/>
        </w:rPr>
        <w:t>tate</w:t>
      </w:r>
      <w:r w:rsidR="00DA1AB5" w:rsidRPr="00037243">
        <w:t xml:space="preserve"> </w:t>
      </w:r>
      <w:r w:rsidRPr="00037243">
        <w:t xml:space="preserve">for the CORESET, the UE assumes that a DM-RS antenna port for PDCCH receptions in the CORESET and a DM-RS antenna port for PDSCH receptions scheduled by DCI formats provided by PDCCH receptions in the CORESET are quasi co-located with the reference signals provided by the indicated </w:t>
      </w:r>
      <w:r w:rsidRPr="00037243">
        <w:rPr>
          <w:rFonts w:cs="Times"/>
          <w:i/>
          <w:iCs/>
          <w:szCs w:val="18"/>
          <w:lang w:eastAsia="zh-CN"/>
        </w:rPr>
        <w:t>TCI</w:t>
      </w:r>
      <w:r w:rsidR="00255A5F">
        <w:rPr>
          <w:rFonts w:cs="Times"/>
          <w:i/>
          <w:iCs/>
          <w:szCs w:val="18"/>
          <w:lang w:val="en-GB" w:eastAsia="zh-CN"/>
        </w:rPr>
        <w:t>-</w:t>
      </w:r>
      <w:r w:rsidRPr="00037243">
        <w:rPr>
          <w:rFonts w:cs="Times"/>
          <w:i/>
          <w:iCs/>
          <w:szCs w:val="18"/>
          <w:lang w:eastAsia="zh-CN"/>
        </w:rPr>
        <w:t xml:space="preserve">State </w:t>
      </w:r>
      <w:r w:rsidRPr="00037243">
        <w:t>[6, TS 38.214]</w:t>
      </w:r>
    </w:p>
    <w:p w14:paraId="34011512" w14:textId="77777777" w:rsidR="000C0281" w:rsidRDefault="000C0281" w:rsidP="000C0281">
      <w:pPr>
        <w:pStyle w:val="B1"/>
      </w:pPr>
      <w:r w:rsidRPr="000C0281">
        <w:rPr>
          <w:lang w:eastAsia="zh-CN"/>
        </w:rPr>
        <w:t>-</w:t>
      </w:r>
      <w:r w:rsidRPr="000C0281">
        <w:rPr>
          <w:lang w:eastAsia="zh-CN"/>
        </w:rPr>
        <w:tab/>
        <w:t xml:space="preserve">else </w:t>
      </w:r>
      <w:r w:rsidRPr="000C0281">
        <w:t xml:space="preserve">if the UE is provided </w:t>
      </w:r>
      <w:r w:rsidRPr="000C0281">
        <w:rPr>
          <w:rFonts w:cs="Times"/>
          <w:i/>
          <w:lang w:eastAsia="zh-CN"/>
        </w:rPr>
        <w:t>dl-OrJointTCI-StateList</w:t>
      </w:r>
      <w:r w:rsidRPr="000C0281">
        <w:t xml:space="preserve"> and is indicated a first </w:t>
      </w:r>
      <w:r w:rsidRPr="000C0281">
        <w:rPr>
          <w:i/>
          <w:iCs/>
          <w:lang w:val="en-US"/>
        </w:rPr>
        <w:t>TCI-State</w:t>
      </w:r>
      <w:r w:rsidRPr="000C0281">
        <w:t xml:space="preserve"> and a second </w:t>
      </w:r>
      <w:r w:rsidRPr="000C0281">
        <w:rPr>
          <w:i/>
          <w:iCs/>
          <w:lang w:val="en-US"/>
        </w:rPr>
        <w:t>TCI-State</w:t>
      </w:r>
      <w:r w:rsidRPr="000C0281">
        <w:t xml:space="preserve">, and </w:t>
      </w:r>
      <w:r w:rsidRPr="000C0281">
        <w:rPr>
          <w:i/>
        </w:rPr>
        <w:t>apply-IndicatedTCIState</w:t>
      </w:r>
      <w:r w:rsidRPr="000C0281">
        <w:t xml:space="preserve"> for the CORESET</w:t>
      </w:r>
    </w:p>
    <w:p w14:paraId="7797DBB1" w14:textId="77777777" w:rsidR="00950A9B" w:rsidRPr="00236523" w:rsidRDefault="00950A9B" w:rsidP="00950A9B">
      <w:pPr>
        <w:pStyle w:val="B2"/>
      </w:pPr>
      <w:r w:rsidRPr="00236523">
        <w:rPr>
          <w:lang w:eastAsia="zh-CN"/>
        </w:rPr>
        <w:t>-</w:t>
      </w:r>
      <w:r w:rsidRPr="00236523">
        <w:rPr>
          <w:lang w:eastAsia="zh-CN"/>
        </w:rPr>
        <w:tab/>
        <w:t>i</w:t>
      </w:r>
      <w:r w:rsidRPr="00236523">
        <w:t xml:space="preserve">f the CORESET is associated with </w:t>
      </w:r>
      <w:r>
        <w:t xml:space="preserve">a </w:t>
      </w:r>
      <w:r w:rsidRPr="00236523">
        <w:t>Type 0/0A/2-PDCCH CSS set that has search space set index 0</w:t>
      </w:r>
    </w:p>
    <w:p w14:paraId="17D401F3" w14:textId="77777777" w:rsidR="00950A9B" w:rsidRPr="00236523" w:rsidRDefault="00950A9B" w:rsidP="00950A9B">
      <w:pPr>
        <w:pStyle w:val="B3"/>
      </w:pPr>
      <w:r w:rsidRPr="00236523">
        <w:rPr>
          <w:lang w:eastAsia="zh-CN"/>
        </w:rPr>
        <w:t>-</w:t>
      </w:r>
      <w:r w:rsidRPr="00236523">
        <w:rPr>
          <w:lang w:eastAsia="zh-CN"/>
        </w:rPr>
        <w:tab/>
        <w:t xml:space="preserve">if </w:t>
      </w:r>
      <w:r w:rsidRPr="00236523">
        <w:rPr>
          <w:i/>
          <w:lang w:eastAsia="zh-CN"/>
        </w:rPr>
        <w:t>apply-IndicatedTCIState</w:t>
      </w:r>
      <w:r w:rsidRPr="00236523">
        <w:rPr>
          <w:lang w:eastAsia="zh-CN"/>
        </w:rPr>
        <w:t xml:space="preserve"> = 'first', </w:t>
      </w:r>
      <w:r w:rsidRPr="00236523">
        <w:t xml:space="preserve">the UE assumes that a DM-RS antenna port for PDCCH receptions in the CORESET is quasi co-located with the reference signals provided by the first </w:t>
      </w:r>
      <w:r w:rsidRPr="00236523">
        <w:rPr>
          <w:i/>
          <w:iCs/>
        </w:rPr>
        <w:t>TCI-State</w:t>
      </w:r>
      <w:r w:rsidRPr="00236523">
        <w:t>,</w:t>
      </w:r>
    </w:p>
    <w:p w14:paraId="3B5B8971" w14:textId="77777777" w:rsidR="00950A9B" w:rsidRPr="00236523" w:rsidRDefault="00950A9B" w:rsidP="00950A9B">
      <w:pPr>
        <w:pStyle w:val="B3"/>
      </w:pPr>
      <w:r w:rsidRPr="00236523">
        <w:t>-</w:t>
      </w:r>
      <w:r w:rsidRPr="00236523">
        <w:tab/>
        <w:t xml:space="preserve">if </w:t>
      </w:r>
      <w:r w:rsidRPr="00236523">
        <w:rPr>
          <w:i/>
        </w:rPr>
        <w:t>apply-IndicatedTCIState</w:t>
      </w:r>
      <w:r w:rsidRPr="00236523">
        <w:t xml:space="preserve"> = 'second', the UE assumes that a DM-RS antenna port for PDCCH receptions in the CORESET is quasi co-located with the reference signals provided by the second </w:t>
      </w:r>
      <w:r w:rsidRPr="00236523">
        <w:rPr>
          <w:i/>
          <w:iCs/>
        </w:rPr>
        <w:t>TCI-State</w:t>
      </w:r>
      <w:r w:rsidRPr="00236523">
        <w:t>,</w:t>
      </w:r>
    </w:p>
    <w:p w14:paraId="41B47670" w14:textId="42799C65" w:rsidR="00950A9B" w:rsidRPr="00236523" w:rsidRDefault="00950A9B" w:rsidP="00950A9B">
      <w:pPr>
        <w:pStyle w:val="B3"/>
        <w:rPr>
          <w:lang w:eastAsia="zh-CN"/>
        </w:rPr>
      </w:pPr>
      <w:r w:rsidRPr="00236523">
        <w:rPr>
          <w:lang w:eastAsia="zh-CN"/>
        </w:rPr>
        <w:t>-</w:t>
      </w:r>
      <w:r w:rsidRPr="00236523">
        <w:rPr>
          <w:lang w:eastAsia="zh-CN"/>
        </w:rPr>
        <w:tab/>
        <w:t xml:space="preserve">if </w:t>
      </w:r>
      <w:r w:rsidRPr="00236523">
        <w:rPr>
          <w:i/>
          <w:lang w:eastAsia="zh-CN"/>
        </w:rPr>
        <w:t>apply-IndicatedTCIState</w:t>
      </w:r>
      <w:r w:rsidRPr="00236523">
        <w:rPr>
          <w:lang w:eastAsia="zh-CN"/>
        </w:rPr>
        <w:t xml:space="preserve"> = </w:t>
      </w:r>
      <w:r w:rsidR="0024141F">
        <w:rPr>
          <w:lang w:eastAsia="zh-CN"/>
        </w:rPr>
        <w:t>'</w:t>
      </w:r>
      <w:r w:rsidRPr="00236523">
        <w:rPr>
          <w:lang w:eastAsia="zh-CN"/>
        </w:rPr>
        <w:t>none</w:t>
      </w:r>
      <w:r w:rsidR="0024141F">
        <w:rPr>
          <w:lang w:eastAsia="zh-CN"/>
        </w:rPr>
        <w:t>'</w:t>
      </w:r>
      <w:r w:rsidRPr="00236523">
        <w:rPr>
          <w:lang w:eastAsia="zh-CN"/>
        </w:rPr>
        <w:t xml:space="preserve">, </w:t>
      </w:r>
      <w:r w:rsidRPr="00236523">
        <w:t xml:space="preserve">the UE assumes that a DM-RS antenna port for PDCCH receptions in the CORESET is quasi co-located with </w:t>
      </w:r>
      <w:r w:rsidRPr="00236523">
        <w:rPr>
          <w:lang w:eastAsia="zh-CN"/>
        </w:rPr>
        <w:t xml:space="preserve">the one or </w:t>
      </w:r>
      <w:r w:rsidRPr="00236523">
        <w:t>more</w:t>
      </w:r>
      <w:r w:rsidRPr="00236523">
        <w:rPr>
          <w:lang w:eastAsia="zh-CN"/>
        </w:rPr>
        <w:t xml:space="preserve"> DL RS configured by a TCI state, where the TCI state is indicated by a MAC CE activation command for the CORESET, if any</w:t>
      </w:r>
    </w:p>
    <w:p w14:paraId="75DA8F89" w14:textId="48C0A8CF" w:rsidR="00950A9B" w:rsidRPr="000C0281" w:rsidRDefault="00950A9B" w:rsidP="00950A9B">
      <w:pPr>
        <w:pStyle w:val="B2"/>
      </w:pPr>
      <w:r w:rsidRPr="00236523">
        <w:rPr>
          <w:lang w:eastAsia="zh-CN"/>
        </w:rPr>
        <w:t>-</w:t>
      </w:r>
      <w:r w:rsidRPr="00236523">
        <w:rPr>
          <w:lang w:eastAsia="zh-CN"/>
        </w:rPr>
        <w:tab/>
      </w:r>
      <w:r w:rsidRPr="00236523">
        <w:t>else</w:t>
      </w:r>
    </w:p>
    <w:p w14:paraId="289214CE" w14:textId="3F62DA73" w:rsidR="000C0281" w:rsidRPr="000C0281" w:rsidRDefault="000C0281" w:rsidP="00950A9B">
      <w:pPr>
        <w:pStyle w:val="B3"/>
      </w:pPr>
      <w:r w:rsidRPr="000C0281">
        <w:rPr>
          <w:lang w:eastAsia="zh-CN"/>
        </w:rPr>
        <w:t>-</w:t>
      </w:r>
      <w:r w:rsidRPr="000C0281">
        <w:rPr>
          <w:lang w:eastAsia="zh-CN"/>
        </w:rPr>
        <w:tab/>
        <w:t xml:space="preserve">if </w:t>
      </w:r>
      <w:r w:rsidRPr="000C0281">
        <w:rPr>
          <w:i/>
          <w:lang w:eastAsia="zh-CN"/>
        </w:rPr>
        <w:t>apply-IndicatedTCIState</w:t>
      </w:r>
      <w:r w:rsidRPr="000C0281">
        <w:rPr>
          <w:lang w:eastAsia="zh-CN"/>
        </w:rPr>
        <w:t xml:space="preserve"> = </w:t>
      </w:r>
      <w:r w:rsidR="002D5F43">
        <w:rPr>
          <w:lang w:eastAsia="zh-CN"/>
        </w:rPr>
        <w:t>'</w:t>
      </w:r>
      <w:r w:rsidRPr="000C0281">
        <w:rPr>
          <w:lang w:eastAsia="zh-CN"/>
        </w:rPr>
        <w:t>first</w:t>
      </w:r>
      <w:r w:rsidR="002D5F43">
        <w:rPr>
          <w:lang w:eastAsia="zh-CN"/>
        </w:rPr>
        <w:t>'</w:t>
      </w:r>
      <w:r w:rsidRPr="000C0281">
        <w:rPr>
          <w:lang w:eastAsia="zh-CN"/>
        </w:rPr>
        <w:t xml:space="preserve">, </w:t>
      </w:r>
      <w:r w:rsidRPr="000C0281">
        <w:t xml:space="preserve">the UE assumes that a DM-RS antenna port for PDCCH receptions in the CORESET is quasi co-located with the reference signals provided by the first </w:t>
      </w:r>
      <w:r w:rsidRPr="000C0281">
        <w:rPr>
          <w:i/>
          <w:iCs/>
          <w:lang w:val="en-US"/>
        </w:rPr>
        <w:t>TCI-State</w:t>
      </w:r>
      <w:r w:rsidRPr="000C0281">
        <w:t>,</w:t>
      </w:r>
    </w:p>
    <w:p w14:paraId="0734DE55" w14:textId="534ED818" w:rsidR="000C0281" w:rsidRPr="000C0281" w:rsidRDefault="000C0281" w:rsidP="00950A9B">
      <w:pPr>
        <w:pStyle w:val="B3"/>
      </w:pPr>
      <w:r w:rsidRPr="000C0281">
        <w:t>-</w:t>
      </w:r>
      <w:r w:rsidRPr="000C0281">
        <w:tab/>
        <w:t xml:space="preserve">if </w:t>
      </w:r>
      <w:r w:rsidRPr="000C0281">
        <w:rPr>
          <w:i/>
        </w:rPr>
        <w:t>apply-IndicatedTCIState</w:t>
      </w:r>
      <w:r w:rsidRPr="000C0281">
        <w:t xml:space="preserve"> = </w:t>
      </w:r>
      <w:r w:rsidR="002D5F43">
        <w:t>'</w:t>
      </w:r>
      <w:r w:rsidRPr="000C0281">
        <w:t>second</w:t>
      </w:r>
      <w:r w:rsidR="002D5F43">
        <w:t>'</w:t>
      </w:r>
      <w:r w:rsidRPr="000C0281">
        <w:t xml:space="preserve">, the UE assumes that a DM-RS antenna port for PDCCH receptions in the CORESET is quasi co-located with the reference signals provided by the second </w:t>
      </w:r>
      <w:r w:rsidRPr="000C0281">
        <w:rPr>
          <w:i/>
          <w:iCs/>
          <w:lang w:val="en-US"/>
        </w:rPr>
        <w:t>TCI-State</w:t>
      </w:r>
      <w:r w:rsidRPr="000C0281">
        <w:t>,</w:t>
      </w:r>
    </w:p>
    <w:p w14:paraId="59E26A35" w14:textId="77777777" w:rsidR="00950A9B" w:rsidRDefault="000C0281" w:rsidP="00950A9B">
      <w:pPr>
        <w:pStyle w:val="B3"/>
        <w:rPr>
          <w:i/>
          <w:iCs/>
          <w:lang w:val="en-US"/>
        </w:rPr>
      </w:pPr>
      <w:r w:rsidRPr="000C0281">
        <w:rPr>
          <w:lang w:eastAsia="zh-CN"/>
        </w:rPr>
        <w:t>-</w:t>
      </w:r>
      <w:r w:rsidRPr="000C0281">
        <w:rPr>
          <w:lang w:eastAsia="zh-CN"/>
        </w:rPr>
        <w:tab/>
        <w:t xml:space="preserve">if </w:t>
      </w:r>
      <w:r w:rsidRPr="000C0281">
        <w:rPr>
          <w:i/>
          <w:lang w:eastAsia="zh-CN"/>
        </w:rPr>
        <w:t>apply-IndicatedTCIState</w:t>
      </w:r>
      <w:r w:rsidRPr="000C0281">
        <w:rPr>
          <w:lang w:eastAsia="zh-CN"/>
        </w:rPr>
        <w:t xml:space="preserve"> = </w:t>
      </w:r>
      <w:r w:rsidR="002D5F43">
        <w:rPr>
          <w:lang w:eastAsia="zh-CN"/>
        </w:rPr>
        <w:t>'</w:t>
      </w:r>
      <w:r w:rsidRPr="000C0281">
        <w:rPr>
          <w:lang w:eastAsia="zh-CN"/>
        </w:rPr>
        <w:t>both</w:t>
      </w:r>
      <w:r w:rsidR="002D5F43">
        <w:rPr>
          <w:lang w:eastAsia="zh-CN"/>
        </w:rPr>
        <w:t>'</w:t>
      </w:r>
      <w:r w:rsidRPr="000C0281">
        <w:rPr>
          <w:lang w:eastAsia="zh-CN"/>
        </w:rPr>
        <w:t xml:space="preserve">, </w:t>
      </w:r>
      <w:r w:rsidRPr="000C0281">
        <w:t xml:space="preserve">the UE assumes that a DM-RS antenna port for PDCCH receptions in the CORESET is quasi co-located with the reference signals provided by the first and the second </w:t>
      </w:r>
      <w:r w:rsidRPr="000C0281">
        <w:rPr>
          <w:i/>
          <w:iCs/>
          <w:lang w:val="en-US"/>
        </w:rPr>
        <w:t>TCI-State</w:t>
      </w:r>
      <w:r w:rsidR="00950A9B">
        <w:rPr>
          <w:i/>
          <w:iCs/>
          <w:lang w:val="en-US"/>
        </w:rPr>
        <w:t>,</w:t>
      </w:r>
    </w:p>
    <w:p w14:paraId="39647745" w14:textId="76B4D999" w:rsidR="000C0281" w:rsidRPr="000C0281" w:rsidRDefault="00950A9B" w:rsidP="00950A9B">
      <w:pPr>
        <w:pStyle w:val="B3"/>
      </w:pPr>
      <w:r w:rsidRPr="00FD0F38">
        <w:rPr>
          <w:lang w:eastAsia="zh-CN"/>
        </w:rPr>
        <w:t>-</w:t>
      </w:r>
      <w:r w:rsidRPr="00FD0F38">
        <w:rPr>
          <w:lang w:eastAsia="zh-CN"/>
        </w:rPr>
        <w:tab/>
        <w:t>if</w:t>
      </w:r>
      <w:r w:rsidRPr="006F0FB8">
        <w:rPr>
          <w:lang w:eastAsia="zh-CN"/>
        </w:rPr>
        <w:t xml:space="preserve"> </w:t>
      </w:r>
      <w:r w:rsidRPr="006F0FB8">
        <w:rPr>
          <w:i/>
          <w:lang w:eastAsia="zh-CN"/>
        </w:rPr>
        <w:t>apply-IndicatedTCIState</w:t>
      </w:r>
      <w:r w:rsidRPr="006F0FB8">
        <w:rPr>
          <w:lang w:eastAsia="zh-CN"/>
        </w:rPr>
        <w:t xml:space="preserve"> = </w:t>
      </w:r>
      <w:r w:rsidR="0024141F">
        <w:rPr>
          <w:lang w:eastAsia="zh-CN"/>
        </w:rPr>
        <w:t>'</w:t>
      </w:r>
      <w:r w:rsidRPr="006F0FB8">
        <w:rPr>
          <w:lang w:eastAsia="zh-CN"/>
        </w:rPr>
        <w:t>none</w:t>
      </w:r>
      <w:r w:rsidR="0024141F">
        <w:rPr>
          <w:lang w:eastAsia="zh-CN"/>
        </w:rPr>
        <w:t>'</w:t>
      </w:r>
      <w:r w:rsidRPr="006F0FB8">
        <w:rPr>
          <w:lang w:eastAsia="zh-CN"/>
        </w:rPr>
        <w:t xml:space="preserve">, </w:t>
      </w:r>
      <w:r w:rsidRPr="006F0FB8">
        <w:t xml:space="preserve">the UE assumes that a DM-RS antenna port for PDCCH receptions in the CORESET is quasi co-located with </w:t>
      </w:r>
      <w:r w:rsidRPr="006F0FB8">
        <w:rPr>
          <w:lang w:eastAsia="zh-CN"/>
        </w:rPr>
        <w:t xml:space="preserve">the one or </w:t>
      </w:r>
      <w:r w:rsidRPr="006F0FB8">
        <w:t>more</w:t>
      </w:r>
      <w:r w:rsidRPr="006F0FB8">
        <w:rPr>
          <w:lang w:eastAsia="zh-CN"/>
        </w:rPr>
        <w:t xml:space="preserve"> DL RS configured by a TCI state, where the TCI state is indicated by a MAC CE activation command for the CORESET</w:t>
      </w:r>
      <w:r w:rsidR="000C0281" w:rsidRPr="000C0281">
        <w:t>.</w:t>
      </w:r>
    </w:p>
    <w:p w14:paraId="0C53D221" w14:textId="7E28FE4A" w:rsidR="007977AF" w:rsidRPr="00326D6E" w:rsidRDefault="008A5834" w:rsidP="008A5834">
      <w:pPr>
        <w:pStyle w:val="B1"/>
      </w:pPr>
      <w:r w:rsidRPr="00037243">
        <w:rPr>
          <w:lang w:eastAsia="zh-CN"/>
        </w:rPr>
        <w:t>-</w:t>
      </w:r>
      <w:r w:rsidRPr="00037243">
        <w:rPr>
          <w:lang w:eastAsia="zh-CN"/>
        </w:rPr>
        <w:tab/>
        <w:t xml:space="preserve">else, </w:t>
      </w:r>
      <w:bookmarkEnd w:id="665"/>
      <w:r w:rsidR="00560DF8" w:rsidRPr="00326D6E">
        <w:t xml:space="preserve">the UE assumes that a DM-RS antenna port for PDCCH receptions in the CORESET is quasi co-located with </w:t>
      </w:r>
    </w:p>
    <w:p w14:paraId="06B0EE7E" w14:textId="77777777" w:rsidR="007977AF" w:rsidRPr="00326D6E" w:rsidRDefault="007977AF" w:rsidP="008A5834">
      <w:pPr>
        <w:pStyle w:val="B2"/>
      </w:pPr>
      <w:r w:rsidRPr="00326D6E">
        <w:rPr>
          <w:lang w:eastAsia="zh-CN"/>
        </w:rPr>
        <w:t>-</w:t>
      </w:r>
      <w:r w:rsidRPr="00326D6E">
        <w:rPr>
          <w:lang w:eastAsia="zh-CN"/>
        </w:rPr>
        <w:tab/>
        <w:t>the one or more DL RS configured by a TCI state, where the TCI state is indicated by a MAC CE activation command for the CORESET, if any, or</w:t>
      </w:r>
    </w:p>
    <w:p w14:paraId="4CBA1B95" w14:textId="036D1C04" w:rsidR="007977AF" w:rsidRPr="00326D6E" w:rsidRDefault="007977AF" w:rsidP="008A5834">
      <w:pPr>
        <w:pStyle w:val="B2"/>
      </w:pPr>
      <w:r w:rsidRPr="00326D6E">
        <w:rPr>
          <w:lang w:eastAsia="zh-TW"/>
        </w:rPr>
        <w:t>-</w:t>
      </w:r>
      <w:r w:rsidRPr="00326D6E">
        <w:rPr>
          <w:lang w:eastAsia="zh-TW"/>
        </w:rPr>
        <w:tab/>
      </w:r>
      <w:r w:rsidRPr="00326D6E">
        <w:rPr>
          <w:rFonts w:hint="eastAsia"/>
          <w:lang w:eastAsia="zh-TW"/>
        </w:rPr>
        <w:t>a</w:t>
      </w:r>
      <w:r w:rsidRPr="00326D6E">
        <w:t xml:space="preserve"> SS/PBCH block the UE identified during a most recent random access procedure not initiated by a PDCCH order that triggers a contention</w:t>
      </w:r>
      <w:r w:rsidR="002B5188">
        <w:rPr>
          <w:lang w:val="en-US"/>
        </w:rPr>
        <w:t>-free</w:t>
      </w:r>
      <w:r w:rsidRPr="00326D6E">
        <w:t xml:space="preserve"> random access procedure, if no MAC CE activation command indicating a TCI state for the CORESET is received after the most recent random access procedure</w:t>
      </w:r>
      <w:r w:rsidR="001A7FE0">
        <w:rPr>
          <w:lang w:val="en-US"/>
        </w:rPr>
        <w:t xml:space="preserve">, or </w:t>
      </w:r>
      <w:r w:rsidR="001A7FE0" w:rsidRPr="00326D6E">
        <w:rPr>
          <w:rFonts w:hint="eastAsia"/>
          <w:lang w:eastAsia="zh-TW"/>
        </w:rPr>
        <w:t>a</w:t>
      </w:r>
      <w:r w:rsidR="001A7FE0" w:rsidRPr="00326D6E">
        <w:t xml:space="preserve"> SS/PBCH block the UE identified during a most recent</w:t>
      </w:r>
      <w:r w:rsidR="001A7FE0">
        <w:rPr>
          <w:lang w:val="en-US"/>
        </w:rPr>
        <w:t xml:space="preserve"> configured grant PUSCH transmission as described in clause 19</w:t>
      </w:r>
      <w:r w:rsidRPr="00326D6E">
        <w:t>.</w:t>
      </w:r>
    </w:p>
    <w:p w14:paraId="1AC10BBB" w14:textId="1859AD32" w:rsidR="00560DF8" w:rsidRPr="00326D6E" w:rsidRDefault="007977AF" w:rsidP="00326D6E">
      <w:pPr>
        <w:tabs>
          <w:tab w:val="left" w:pos="720"/>
        </w:tabs>
      </w:pPr>
      <w:r w:rsidRPr="00326D6E">
        <w:t>For a CORESET other than a CORESET with index 0</w:t>
      </w:r>
      <w:r w:rsidRPr="00326D6E">
        <w:rPr>
          <w:rFonts w:hint="eastAsia"/>
          <w:lang w:eastAsia="zh-TW"/>
        </w:rPr>
        <w:t>,</w:t>
      </w:r>
      <w:r w:rsidRPr="00326D6E">
        <w:rPr>
          <w:lang w:eastAsia="zh-TW"/>
        </w:rPr>
        <w:t xml:space="preserve"> </w:t>
      </w:r>
      <w:r w:rsidRPr="00326D6E">
        <w:rPr>
          <w:rFonts w:eastAsia="Malgun Gothic"/>
        </w:rPr>
        <w:t>i</w:t>
      </w:r>
      <w:r w:rsidR="00560DF8" w:rsidRPr="00326D6E">
        <w:rPr>
          <w:rFonts w:eastAsia="Malgun Gothic"/>
        </w:rPr>
        <w:t xml:space="preserve">f a UE is provided a single TCI state for a CORESET, or if the UE receives a MAC CE activation command for one </w:t>
      </w:r>
      <w:r w:rsidR="002A793C" w:rsidRPr="00F415B1">
        <w:rPr>
          <w:rFonts w:eastAsia="Malgun Gothic"/>
        </w:rPr>
        <w:t xml:space="preserve">or two </w:t>
      </w:r>
      <w:r w:rsidR="00560DF8" w:rsidRPr="00326D6E">
        <w:rPr>
          <w:rFonts w:eastAsia="Malgun Gothic"/>
        </w:rPr>
        <w:t xml:space="preserve">of the provided TCI states for a CORESET, the UE assumes that the DM-RS antenna port associated with PDCCH receptions in the CORESET is quasi co-located with </w:t>
      </w:r>
      <w:r w:rsidR="00560DF8" w:rsidRPr="00326D6E">
        <w:rPr>
          <w:kern w:val="2"/>
          <w:lang w:eastAsia="zh-CN"/>
        </w:rPr>
        <w:t>the one or more DL RS configured by the TCI state</w:t>
      </w:r>
      <w:r w:rsidR="002A793C">
        <w:rPr>
          <w:kern w:val="2"/>
          <w:lang w:eastAsia="zh-CN"/>
        </w:rPr>
        <w:t>s</w:t>
      </w:r>
      <w:r w:rsidR="00560DF8" w:rsidRPr="00326D6E">
        <w:rPr>
          <w:kern w:val="2"/>
          <w:lang w:eastAsia="zh-CN"/>
        </w:rPr>
        <w:t xml:space="preserve">. </w:t>
      </w:r>
      <w:r w:rsidR="00560DF8" w:rsidRPr="00326D6E">
        <w:t xml:space="preserve">For a CORESET with index 0, the UE expects that a CSI-RS </w:t>
      </w:r>
      <w:r w:rsidR="002F7D9D">
        <w:lastRenderedPageBreak/>
        <w:t xml:space="preserve">configured with </w:t>
      </w:r>
      <w:r w:rsidR="002F7D9D">
        <w:rPr>
          <w:i/>
          <w:iCs/>
        </w:rPr>
        <w:t>qcl-Type</w:t>
      </w:r>
      <w:r w:rsidR="002F7D9D">
        <w:t xml:space="preserve"> set to </w:t>
      </w:r>
      <w:r w:rsidR="00D60C3E">
        <w:t>'</w:t>
      </w:r>
      <w:r w:rsidR="002F7D9D">
        <w:t>typeD</w:t>
      </w:r>
      <w:r w:rsidR="00D60C3E">
        <w:t>'</w:t>
      </w:r>
      <w:r w:rsidR="002F7D9D">
        <w:t xml:space="preserve"> </w:t>
      </w:r>
      <w:r w:rsidR="00560DF8" w:rsidRPr="00326D6E">
        <w:t>in a TCI state indicated by a MAC CE activation command for the CORESET is provided by a SS/PBCH block</w:t>
      </w:r>
    </w:p>
    <w:p w14:paraId="7AEBCE49" w14:textId="7C44D07E" w:rsidR="00560DF8" w:rsidRPr="00AB582A" w:rsidRDefault="00560DF8" w:rsidP="00560DF8">
      <w:pPr>
        <w:pStyle w:val="B1"/>
        <w:rPr>
          <w:lang w:val="en-GB"/>
        </w:rPr>
      </w:pPr>
      <w:r>
        <w:t>-</w:t>
      </w:r>
      <w:r>
        <w:tab/>
      </w:r>
      <w:r>
        <w:rPr>
          <w:lang w:val="en-US"/>
        </w:rPr>
        <w:t xml:space="preserve">if the UE receives a MAC CE activation command for one of the TCI states, the UE applies the activation command </w:t>
      </w:r>
      <w:r w:rsidR="000F4E1F">
        <w:rPr>
          <w:lang w:val="en-US"/>
        </w:rPr>
        <w:t>in</w:t>
      </w:r>
      <w:r w:rsidR="000F4E1F">
        <w:t xml:space="preserve"> the first slot that is after slot </w:t>
      </w:r>
      <m:oMath>
        <m:r>
          <w:rPr>
            <w:rFonts w:ascii="Cambria Math" w:hAnsi="Cambria Math"/>
          </w:rPr>
          <m:t>k+3</m:t>
        </m:r>
        <m:sSubSup>
          <m:sSubSupPr>
            <m:ctrlPr>
              <w:rPr>
                <w:rFonts w:ascii="Cambria Math" w:hAnsi="Cambria Math"/>
                <w:i/>
              </w:rPr>
            </m:ctrlPr>
          </m:sSubSupPr>
          <m:e>
            <m:r>
              <w:rPr>
                <w:rFonts w:ascii="Cambria Math" w:hAnsi="Cambria Math"/>
              </w:rPr>
              <m:t>N</m:t>
            </m:r>
          </m:e>
          <m:sub>
            <m:r>
              <m:rPr>
                <m:sty m:val="p"/>
              </m:rPr>
              <w:rPr>
                <w:rFonts w:ascii="Cambria Math" w:hAnsi="Cambria Math"/>
              </w:rPr>
              <m:t>slot</m:t>
            </m:r>
          </m:sub>
          <m:sup>
            <m:r>
              <m:rPr>
                <m:sty m:val="p"/>
              </m:rPr>
              <w:rPr>
                <w:rFonts w:ascii="Cambria Math" w:hAnsi="Cambria Math"/>
              </w:rPr>
              <m:t>subframe</m:t>
            </m:r>
            <m:r>
              <w:rPr>
                <w:rFonts w:ascii="Cambria Math" w:hAnsi="Cambria Math"/>
              </w:rPr>
              <m:t>,μ</m:t>
            </m:r>
          </m:sup>
        </m:sSubSup>
        <m:r>
          <w:rPr>
            <w:rFonts w:ascii="Cambria Math" w:hAnsi="Cambria Math"/>
          </w:rPr>
          <m:t>+</m:t>
        </m:r>
        <m:sSub>
          <m:sSubPr>
            <m:ctrlPr>
              <w:rPr>
                <w:rFonts w:ascii="Cambria Math" w:hAnsi="Cambria Math"/>
                <w:i/>
                <w:lang w:val="en-GB"/>
              </w:rPr>
            </m:ctrlPr>
          </m:sSubPr>
          <m:e>
            <m:sSup>
              <m:sSupPr>
                <m:ctrlPr>
                  <w:rPr>
                    <w:rFonts w:ascii="Cambria Math" w:eastAsia="MS Mincho" w:hAnsi="Cambria Math"/>
                    <w:i/>
                    <w:kern w:val="2"/>
                  </w:rPr>
                </m:ctrlPr>
              </m:sSupPr>
              <m:e>
                <m:r>
                  <w:rPr>
                    <w:rFonts w:ascii="Cambria Math" w:eastAsia="MS Mincho" w:hAnsi="Cambria Math"/>
                    <w:kern w:val="2"/>
                  </w:rPr>
                  <m:t>2</m:t>
                </m:r>
              </m:e>
              <m:sup>
                <m:r>
                  <w:rPr>
                    <w:rFonts w:ascii="Cambria Math" w:eastAsia="MS Mincho" w:hAnsi="Cambria Math"/>
                    <w:kern w:val="2"/>
                  </w:rPr>
                  <m:t>μ</m:t>
                </m:r>
              </m:sup>
            </m:sSup>
            <m:r>
              <w:rPr>
                <w:rFonts w:ascii="Cambria Math" w:eastAsia="MS Mincho" w:hAnsi="Cambria Math"/>
                <w:kern w:val="2"/>
              </w:rPr>
              <m:t>∙</m:t>
            </m:r>
            <m:r>
              <w:rPr>
                <w:rFonts w:ascii="Cambria Math" w:hAnsi="Cambria Math"/>
              </w:rPr>
              <m:t>k</m:t>
            </m:r>
          </m:e>
          <m:sub>
            <m:r>
              <m:rPr>
                <m:sty m:val="p"/>
              </m:rPr>
              <w:rPr>
                <w:rFonts w:ascii="Cambria Math" w:hAnsi="Cambria Math"/>
              </w:rPr>
              <m:t>mac</m:t>
            </m:r>
          </m:sub>
        </m:sSub>
      </m:oMath>
      <w:r w:rsidR="000F4E1F">
        <w:t xml:space="preserve"> where </w:t>
      </w:r>
      <m:oMath>
        <m:r>
          <w:rPr>
            <w:rFonts w:ascii="Cambria Math" w:hAnsi="Cambria Math"/>
          </w:rPr>
          <m:t>k</m:t>
        </m:r>
      </m:oMath>
      <w:r w:rsidR="000F4E1F">
        <w:rPr>
          <w:lang w:val="en-US"/>
        </w:rPr>
        <w:t xml:space="preserve"> is the slot</w:t>
      </w:r>
      <w:r>
        <w:rPr>
          <w:lang w:val="en-US"/>
        </w:rPr>
        <w:t xml:space="preserve"> where the UE </w:t>
      </w:r>
      <w:r w:rsidR="002B5188">
        <w:rPr>
          <w:lang w:val="en-US"/>
        </w:rPr>
        <w:t xml:space="preserve">would </w:t>
      </w:r>
      <w:r>
        <w:rPr>
          <w:lang w:val="en-US"/>
        </w:rPr>
        <w:t xml:space="preserve">transmit </w:t>
      </w:r>
      <w:r w:rsidR="000F4E1F">
        <w:rPr>
          <w:lang w:val="en-US"/>
        </w:rPr>
        <w:t xml:space="preserve">a PUCCH with </w:t>
      </w:r>
      <w:r>
        <w:rPr>
          <w:lang w:val="en-US"/>
        </w:rPr>
        <w:t>HARQ-ACK information for the PDSCH providing the activation command</w:t>
      </w:r>
      <w:r w:rsidR="00AB582A">
        <w:rPr>
          <w:lang w:val="en-US"/>
        </w:rPr>
        <w:t>,</w:t>
      </w:r>
      <w:r w:rsidR="000F4E1F">
        <w:rPr>
          <w:lang w:val="en-US"/>
        </w:rPr>
        <w:t xml:space="preserve"> </w:t>
      </w:r>
      <m:oMath>
        <m:r>
          <w:rPr>
            <w:rFonts w:ascii="Cambria Math" w:hAnsi="Cambria Math"/>
          </w:rPr>
          <m:t>μ</m:t>
        </m:r>
      </m:oMath>
      <w:r w:rsidR="000F4E1F" w:rsidRPr="0014499E">
        <w:t xml:space="preserve"> </w:t>
      </w:r>
      <w:r w:rsidR="000F4E1F">
        <w:t xml:space="preserve">is the SCS configuration for </w:t>
      </w:r>
      <w:r w:rsidR="000F4E1F">
        <w:rPr>
          <w:lang w:val="en-US"/>
        </w:rPr>
        <w:t xml:space="preserve">the </w:t>
      </w:r>
      <w:r w:rsidR="000F4E1F">
        <w:t>PUCCH</w:t>
      </w:r>
      <w:r w:rsidR="00AB582A">
        <w:rPr>
          <w:lang w:val="en-US"/>
        </w:rPr>
        <w:t xml:space="preserve"> in the slot when the activation command is applied, </w:t>
      </w:r>
      <w:r w:rsidR="00AB582A">
        <w:t xml:space="preserve">and </w:t>
      </w:r>
      <m:oMath>
        <m:sSub>
          <m:sSubPr>
            <m:ctrlPr>
              <w:rPr>
                <w:rFonts w:ascii="Cambria Math" w:hAnsi="Cambria Math"/>
                <w:i/>
                <w:lang w:val="en-GB"/>
              </w:rPr>
            </m:ctrlPr>
          </m:sSubPr>
          <m:e>
            <m:r>
              <w:rPr>
                <w:rFonts w:ascii="Cambria Math" w:hAnsi="Cambria Math"/>
              </w:rPr>
              <m:t>k</m:t>
            </m:r>
          </m:e>
          <m:sub>
            <m:r>
              <m:rPr>
                <m:sty m:val="p"/>
              </m:rPr>
              <w:rPr>
                <w:rFonts w:ascii="Cambria Math" w:hAnsi="Cambria Math"/>
              </w:rPr>
              <m:t>mac</m:t>
            </m:r>
          </m:sub>
        </m:sSub>
      </m:oMath>
      <w:r w:rsidR="00AB582A">
        <w:t xml:space="preserve"> is </w:t>
      </w:r>
      <w:r w:rsidR="00AB582A">
        <w:rPr>
          <w:lang w:val="en-US"/>
        </w:rPr>
        <w:t xml:space="preserve">a </w:t>
      </w:r>
      <w:r w:rsidR="00AB582A">
        <w:t xml:space="preserve">number of slots for SCS configuration </w:t>
      </w:r>
      <m:oMath>
        <m:r>
          <w:rPr>
            <w:rFonts w:ascii="Cambria Math" w:eastAsia="MS Mincho" w:hAnsi="Cambria Math"/>
            <w:kern w:val="2"/>
          </w:rPr>
          <m:t>μ</m:t>
        </m:r>
        <m:r>
          <w:rPr>
            <w:rFonts w:ascii="Cambria Math" w:hAnsi="Cambria Math"/>
            <w:kern w:val="2"/>
          </w:rPr>
          <m:t>=0</m:t>
        </m:r>
      </m:oMath>
      <w:r w:rsidR="00AB582A" w:rsidDel="00F51603">
        <w:t xml:space="preserve"> </w:t>
      </w:r>
      <w:r w:rsidR="00AB582A">
        <w:t xml:space="preserve">provided by </w:t>
      </w:r>
      <w:r w:rsidR="00BC2299">
        <w:rPr>
          <w:i/>
          <w:iCs/>
        </w:rPr>
        <w:t>kmac</w:t>
      </w:r>
      <w:r w:rsidR="00AB582A">
        <w:t xml:space="preserve"> </w:t>
      </w:r>
      <w:r w:rsidR="00AB582A">
        <w:rPr>
          <w:lang w:val="en-US"/>
        </w:rPr>
        <w:t xml:space="preserve">or </w:t>
      </w:r>
      <m:oMath>
        <m:sSub>
          <m:sSubPr>
            <m:ctrlPr>
              <w:rPr>
                <w:rFonts w:ascii="Cambria Math" w:hAnsi="Cambria Math"/>
                <w:i/>
                <w:lang w:val="en-GB"/>
              </w:rPr>
            </m:ctrlPr>
          </m:sSubPr>
          <m:e>
            <m:r>
              <w:rPr>
                <w:rFonts w:ascii="Cambria Math" w:hAnsi="Cambria Math"/>
              </w:rPr>
              <m:t>k</m:t>
            </m:r>
          </m:e>
          <m:sub>
            <m:r>
              <m:rPr>
                <m:sty m:val="p"/>
              </m:rPr>
              <w:rPr>
                <w:rFonts w:ascii="Cambria Math" w:hAnsi="Cambria Math"/>
              </w:rPr>
              <m:t>mac</m:t>
            </m:r>
          </m:sub>
        </m:sSub>
        <m:r>
          <w:rPr>
            <w:rFonts w:ascii="Cambria Math" w:hAnsi="Cambria Math"/>
          </w:rPr>
          <m:t>=0</m:t>
        </m:r>
      </m:oMath>
      <w:r w:rsidR="00AB582A">
        <w:t xml:space="preserve"> if </w:t>
      </w:r>
      <w:r w:rsidR="00BC2299">
        <w:rPr>
          <w:i/>
          <w:iCs/>
        </w:rPr>
        <w:t>kmac</w:t>
      </w:r>
      <w:r w:rsidR="00AB582A">
        <w:t xml:space="preserve"> is not provided</w:t>
      </w:r>
      <w:r w:rsidR="00AB582A">
        <w:rPr>
          <w:lang w:val="en-GB"/>
        </w:rPr>
        <w:t>.</w:t>
      </w:r>
    </w:p>
    <w:p w14:paraId="3B60F653" w14:textId="23F22649" w:rsidR="002A793C" w:rsidRPr="00F415B1" w:rsidRDefault="002A793C" w:rsidP="002A793C">
      <w:r w:rsidRPr="00F415B1">
        <w:t xml:space="preserve">If a UE is provided </w:t>
      </w:r>
      <w:r w:rsidR="008A5834" w:rsidRPr="00037243">
        <w:rPr>
          <w:rFonts w:cs="Times"/>
          <w:i/>
          <w:iCs/>
          <w:szCs w:val="18"/>
          <w:lang w:eastAsia="zh-CN"/>
        </w:rPr>
        <w:t>TCI</w:t>
      </w:r>
      <w:r w:rsidR="00BC2299">
        <w:rPr>
          <w:rFonts w:cs="Times"/>
          <w:i/>
          <w:iCs/>
          <w:szCs w:val="18"/>
          <w:lang w:eastAsia="zh-CN"/>
        </w:rPr>
        <w:t>-</w:t>
      </w:r>
      <w:r w:rsidR="008A5834" w:rsidRPr="00037243">
        <w:rPr>
          <w:rFonts w:cs="Times"/>
          <w:i/>
          <w:iCs/>
          <w:szCs w:val="18"/>
          <w:lang w:eastAsia="zh-CN"/>
        </w:rPr>
        <w:t>State</w:t>
      </w:r>
      <w:r w:rsidR="00254F04" w:rsidRPr="00B00CAC">
        <w:rPr>
          <w:rFonts w:cs="Times"/>
          <w:iCs/>
          <w:szCs w:val="18"/>
          <w:lang w:eastAsia="zh-CN"/>
        </w:rPr>
        <w:t xml:space="preserve"> in</w:t>
      </w:r>
      <w:r w:rsidR="00254F04" w:rsidRPr="00B00CAC">
        <w:t xml:space="preserve"> </w:t>
      </w:r>
      <w:r w:rsidR="00254F04" w:rsidRPr="00B00CAC">
        <w:rPr>
          <w:rFonts w:cs="Times"/>
          <w:i/>
          <w:szCs w:val="18"/>
          <w:lang w:eastAsia="zh-CN"/>
        </w:rPr>
        <w:t>dl-OrJointTCI</w:t>
      </w:r>
      <w:r w:rsidR="00DA1AB5">
        <w:rPr>
          <w:rFonts w:cs="Times"/>
          <w:i/>
          <w:szCs w:val="18"/>
          <w:lang w:eastAsia="zh-CN"/>
        </w:rPr>
        <w:t>-</w:t>
      </w:r>
      <w:r w:rsidR="00254F04" w:rsidRPr="00B00CAC">
        <w:rPr>
          <w:rFonts w:cs="Times"/>
          <w:i/>
          <w:szCs w:val="18"/>
          <w:lang w:eastAsia="zh-CN"/>
        </w:rPr>
        <w:t>StateList</w:t>
      </w:r>
      <w:r>
        <w:rPr>
          <w:lang w:val="en-US"/>
        </w:rPr>
        <w:t xml:space="preserve">, </w:t>
      </w:r>
      <w:r w:rsidRPr="00F415B1">
        <w:t>a</w:t>
      </w:r>
      <w:r w:rsidRPr="00F415B1">
        <w:rPr>
          <w:lang w:val="en-US"/>
        </w:rPr>
        <w:t xml:space="preserve"> DM-RS</w:t>
      </w:r>
      <w:r w:rsidRPr="00F415B1">
        <w:t xml:space="preserve"> antenna port </w:t>
      </w:r>
      <w:r>
        <w:rPr>
          <w:lang w:val="en-US"/>
        </w:rPr>
        <w:t>for PDCCH receptions</w:t>
      </w:r>
      <w:r w:rsidRPr="00F415B1">
        <w:rPr>
          <w:i/>
          <w:iCs/>
        </w:rPr>
        <w:t xml:space="preserve"> </w:t>
      </w:r>
      <w:r>
        <w:t>in</w:t>
      </w:r>
      <w:r w:rsidRPr="00F415B1">
        <w:t xml:space="preserve"> a CORESET, other than a CORESET with index 0, associated </w:t>
      </w:r>
      <w:r>
        <w:t xml:space="preserve">only </w:t>
      </w:r>
      <w:r w:rsidRPr="00F415B1">
        <w:t>with USS set</w:t>
      </w:r>
      <w:r>
        <w:t>s</w:t>
      </w:r>
      <w:r w:rsidRPr="00F415B1">
        <w:t xml:space="preserve"> and/or Type3-PDCCH C</w:t>
      </w:r>
      <w:r>
        <w:t>S</w:t>
      </w:r>
      <w:r w:rsidRPr="00F415B1">
        <w:t>S set</w:t>
      </w:r>
      <w:r>
        <w:t>s</w:t>
      </w:r>
      <w:r w:rsidRPr="00F415B1">
        <w:t xml:space="preserve">, </w:t>
      </w:r>
      <w:r w:rsidRPr="00F415B1">
        <w:rPr>
          <w:lang w:val="en-US"/>
        </w:rPr>
        <w:t xml:space="preserve">and a DM-RS antenna port for PDSCH receptions scheduled by DCI formats provided by PDCCH receptions in the CORESET are </w:t>
      </w:r>
      <w:r w:rsidRPr="00F415B1">
        <w:t>quasi co-located</w:t>
      </w:r>
      <w:r w:rsidRPr="00F415B1">
        <w:rPr>
          <w:lang w:val="en-US"/>
        </w:rPr>
        <w:t xml:space="preserve"> with reference signals provided by the indicated </w:t>
      </w:r>
      <w:r w:rsidR="008A5834" w:rsidRPr="00037243">
        <w:rPr>
          <w:rFonts w:cs="Times"/>
          <w:i/>
          <w:iCs/>
          <w:szCs w:val="18"/>
          <w:lang w:eastAsia="zh-CN"/>
        </w:rPr>
        <w:t>TCI</w:t>
      </w:r>
      <w:r w:rsidR="00BC2299">
        <w:rPr>
          <w:rFonts w:cs="Times"/>
          <w:i/>
          <w:iCs/>
          <w:szCs w:val="18"/>
          <w:lang w:eastAsia="zh-CN"/>
        </w:rPr>
        <w:t>-</w:t>
      </w:r>
      <w:r w:rsidR="008A5834" w:rsidRPr="00037243">
        <w:rPr>
          <w:rFonts w:cs="Times"/>
          <w:i/>
          <w:iCs/>
          <w:szCs w:val="18"/>
          <w:lang w:eastAsia="zh-CN"/>
        </w:rPr>
        <w:t>State</w:t>
      </w:r>
      <w:r w:rsidRPr="00F415B1">
        <w:rPr>
          <w:lang w:val="en-US"/>
        </w:rPr>
        <w:t xml:space="preserve"> [6, TS 38.214].</w:t>
      </w:r>
    </w:p>
    <w:p w14:paraId="11D6A61F" w14:textId="759FF7E1" w:rsidR="002A793C" w:rsidRPr="00F415B1" w:rsidRDefault="002A793C" w:rsidP="002A793C">
      <w:pPr>
        <w:rPr>
          <w:lang w:val="en-US"/>
        </w:rPr>
      </w:pPr>
      <w:r w:rsidRPr="00F415B1">
        <w:t xml:space="preserve">If a UE is provided </w:t>
      </w:r>
      <w:r w:rsidR="00DA1AB5" w:rsidRPr="00037243">
        <w:rPr>
          <w:i/>
        </w:rPr>
        <w:t>followUnifiedTCI</w:t>
      </w:r>
      <w:r w:rsidR="00DA1AB5">
        <w:rPr>
          <w:i/>
        </w:rPr>
        <w:t>-S</w:t>
      </w:r>
      <w:r w:rsidR="00DA1AB5" w:rsidRPr="00037243">
        <w:rPr>
          <w:i/>
        </w:rPr>
        <w:t>tate</w:t>
      </w:r>
      <w:r w:rsidR="00DA1AB5" w:rsidRPr="00F415B1">
        <w:t xml:space="preserve"> </w:t>
      </w:r>
      <w:r w:rsidRPr="00F415B1">
        <w:t xml:space="preserve">for a CORESET, other than a CORESET with index 0, associated </w:t>
      </w:r>
      <w:r w:rsidR="004A0ABB" w:rsidRPr="00037243">
        <w:t>at least</w:t>
      </w:r>
      <w:r>
        <w:t xml:space="preserve"> </w:t>
      </w:r>
      <w:r w:rsidRPr="00F415B1">
        <w:t>with CSS set</w:t>
      </w:r>
      <w:r>
        <w:t>s</w:t>
      </w:r>
      <w:r w:rsidRPr="00F415B1">
        <w:t xml:space="preserve"> other than Type3-PDCCH </w:t>
      </w:r>
      <w:r w:rsidR="004A0ABB" w:rsidRPr="00F415B1">
        <w:t>C</w:t>
      </w:r>
      <w:r w:rsidR="004A0ABB">
        <w:t>S</w:t>
      </w:r>
      <w:r w:rsidR="004A0ABB" w:rsidRPr="00F415B1">
        <w:t xml:space="preserve">S </w:t>
      </w:r>
      <w:r w:rsidRPr="00F415B1">
        <w:t>set</w:t>
      </w:r>
      <w:r>
        <w:t>s</w:t>
      </w:r>
      <w:r w:rsidRPr="00F415B1">
        <w:t>, a</w:t>
      </w:r>
      <w:r w:rsidRPr="00F415B1">
        <w:rPr>
          <w:lang w:val="en-US"/>
        </w:rPr>
        <w:t xml:space="preserve"> DM-RS</w:t>
      </w:r>
      <w:r w:rsidRPr="00F415B1">
        <w:t xml:space="preserve"> antenna port </w:t>
      </w:r>
      <w:r w:rsidRPr="00F415B1">
        <w:rPr>
          <w:lang w:val="en-US"/>
        </w:rPr>
        <w:t xml:space="preserve">for PDCCH receptions in the CORESET and a DM-RS antenna port for PDSCH receptions scheduled by DCI formats provided by PDCCH receptions in the CORESET are </w:t>
      </w:r>
      <w:r w:rsidRPr="00F415B1">
        <w:t>quasi co-located</w:t>
      </w:r>
      <w:r w:rsidRPr="00F415B1">
        <w:rPr>
          <w:lang w:val="en-US"/>
        </w:rPr>
        <w:t xml:space="preserve"> with reference signals provided by the indicated </w:t>
      </w:r>
      <w:r w:rsidR="004A0ABB" w:rsidRPr="00037243">
        <w:rPr>
          <w:rFonts w:cs="Times"/>
          <w:i/>
          <w:iCs/>
          <w:szCs w:val="18"/>
          <w:lang w:eastAsia="zh-CN"/>
        </w:rPr>
        <w:t>TCI</w:t>
      </w:r>
      <w:r w:rsidR="00BC2299">
        <w:rPr>
          <w:rFonts w:cs="Times"/>
          <w:i/>
          <w:iCs/>
          <w:szCs w:val="18"/>
          <w:lang w:eastAsia="zh-CN"/>
        </w:rPr>
        <w:t>-</w:t>
      </w:r>
      <w:r w:rsidR="004A0ABB" w:rsidRPr="00037243">
        <w:rPr>
          <w:rFonts w:cs="Times"/>
          <w:i/>
          <w:iCs/>
          <w:szCs w:val="18"/>
          <w:lang w:eastAsia="zh-CN"/>
        </w:rPr>
        <w:t>State</w:t>
      </w:r>
      <w:r w:rsidRPr="00F415B1">
        <w:rPr>
          <w:lang w:val="en-US"/>
        </w:rPr>
        <w:t>.</w:t>
      </w:r>
    </w:p>
    <w:p w14:paraId="65A60359" w14:textId="77777777" w:rsidR="00FF09FB" w:rsidRPr="00FF09FB" w:rsidRDefault="00FF09FB" w:rsidP="00FF09FB">
      <w:r w:rsidRPr="00FF09FB">
        <w:rPr>
          <w:lang w:val="en-US"/>
        </w:rPr>
        <w:t>I</w:t>
      </w:r>
      <w:r w:rsidRPr="00FF09FB">
        <w:t xml:space="preserve">f a UE is provided </w:t>
      </w:r>
      <w:r w:rsidRPr="00FF09FB">
        <w:rPr>
          <w:rFonts w:cs="Times"/>
          <w:i/>
          <w:szCs w:val="18"/>
          <w:lang w:eastAsia="zh-CN"/>
        </w:rPr>
        <w:t>dl-OrJointTCI-StateList</w:t>
      </w:r>
      <w:r w:rsidRPr="00FF09FB" w:rsidDel="00764B49">
        <w:rPr>
          <w:i/>
        </w:rPr>
        <w:t xml:space="preserve"> </w:t>
      </w:r>
      <w:r w:rsidRPr="00FF09FB">
        <w:rPr>
          <w:iCs/>
        </w:rPr>
        <w:t xml:space="preserve">and is </w:t>
      </w:r>
      <w:r w:rsidRPr="00FF09FB">
        <w:t xml:space="preserve">indicated a first </w:t>
      </w:r>
      <w:r w:rsidRPr="00FF09FB">
        <w:rPr>
          <w:i/>
          <w:iCs/>
          <w:lang w:val="en-US"/>
        </w:rPr>
        <w:t>TCI-State</w:t>
      </w:r>
      <w:r w:rsidRPr="00FF09FB">
        <w:rPr>
          <w:lang w:val="en-US"/>
        </w:rPr>
        <w:t xml:space="preserve"> </w:t>
      </w:r>
      <w:r w:rsidRPr="00FF09FB">
        <w:t xml:space="preserve">and a second </w:t>
      </w:r>
      <w:r w:rsidRPr="00FF09FB">
        <w:rPr>
          <w:i/>
          <w:iCs/>
          <w:lang w:val="en-US"/>
        </w:rPr>
        <w:t>TCI-State</w:t>
      </w:r>
      <w:r w:rsidRPr="00FF09FB">
        <w:t xml:space="preserve">, and is provided </w:t>
      </w:r>
      <w:r w:rsidRPr="00FF09FB">
        <w:rPr>
          <w:i/>
        </w:rPr>
        <w:t>apply-IndicatedTCIState</w:t>
      </w:r>
      <w:r w:rsidRPr="00FF09FB">
        <w:t xml:space="preserve"> for a CORESET, other than a CORESET with index 0, </w:t>
      </w:r>
    </w:p>
    <w:p w14:paraId="2CDB4A78" w14:textId="77777777" w:rsidR="00FF09FB" w:rsidRPr="00FF09FB" w:rsidRDefault="00FF09FB" w:rsidP="00FF09FB">
      <w:pPr>
        <w:pStyle w:val="B1"/>
        <w:rPr>
          <w:i/>
        </w:rPr>
      </w:pPr>
      <w:r w:rsidRPr="00FF09FB">
        <w:rPr>
          <w:lang w:eastAsia="zh-CN"/>
        </w:rPr>
        <w:t>-</w:t>
      </w:r>
      <w:r w:rsidRPr="00FF09FB">
        <w:rPr>
          <w:lang w:eastAsia="zh-CN"/>
        </w:rPr>
        <w:tab/>
        <w:t>if</w:t>
      </w:r>
      <w:r w:rsidRPr="00FF09FB">
        <w:t xml:space="preserve"> the CORESET is associated only with USS sets and/or Type3-PDCCH CSS sets </w:t>
      </w:r>
    </w:p>
    <w:p w14:paraId="73C4AEF7" w14:textId="7C10AC1E" w:rsidR="00FF09FB" w:rsidRPr="00FF09FB" w:rsidRDefault="00FF09FB" w:rsidP="00FF09FB">
      <w:pPr>
        <w:pStyle w:val="B2"/>
      </w:pPr>
      <w:r w:rsidRPr="00FF09FB">
        <w:rPr>
          <w:lang w:eastAsia="zh-CN"/>
        </w:rPr>
        <w:t>-</w:t>
      </w:r>
      <w:r w:rsidRPr="00FF09FB">
        <w:rPr>
          <w:lang w:eastAsia="zh-CN"/>
        </w:rPr>
        <w:tab/>
        <w:t xml:space="preserve">if </w:t>
      </w:r>
      <w:r w:rsidRPr="00FF09FB">
        <w:rPr>
          <w:i/>
          <w:lang w:eastAsia="zh-CN"/>
        </w:rPr>
        <w:t>apply-IndicatedTCIState</w:t>
      </w:r>
      <w:r w:rsidRPr="00FF09FB">
        <w:rPr>
          <w:lang w:eastAsia="zh-CN"/>
        </w:rPr>
        <w:t xml:space="preserve"> = </w:t>
      </w:r>
      <w:r w:rsidR="002D5F43">
        <w:rPr>
          <w:lang w:eastAsia="zh-CN"/>
        </w:rPr>
        <w:t>'</w:t>
      </w:r>
      <w:r w:rsidRPr="00FF09FB">
        <w:rPr>
          <w:lang w:eastAsia="zh-CN"/>
        </w:rPr>
        <w:t>first</w:t>
      </w:r>
      <w:r w:rsidR="002D5F43">
        <w:rPr>
          <w:lang w:eastAsia="zh-CN"/>
        </w:rPr>
        <w:t>'</w:t>
      </w:r>
      <w:r w:rsidRPr="00FF09FB">
        <w:rPr>
          <w:lang w:eastAsia="zh-CN"/>
        </w:rPr>
        <w:t xml:space="preserve">, </w:t>
      </w:r>
      <w:r w:rsidRPr="00FF09FB">
        <w:t xml:space="preserve">the UE assumes that a DM-RS antenna port for PDCCH receptions in the CORESET is quasi co-located with the reference signals provided by the first </w:t>
      </w:r>
      <w:r w:rsidRPr="00FF09FB">
        <w:rPr>
          <w:i/>
          <w:iCs/>
          <w:lang w:val="en-US"/>
        </w:rPr>
        <w:t>TCI-State</w:t>
      </w:r>
    </w:p>
    <w:p w14:paraId="5B791D9C" w14:textId="1502AA13" w:rsidR="00FF09FB" w:rsidRPr="00FF09FB" w:rsidRDefault="00FF09FB" w:rsidP="00FF09FB">
      <w:pPr>
        <w:pStyle w:val="B2"/>
      </w:pPr>
      <w:r w:rsidRPr="00FF09FB">
        <w:t>-</w:t>
      </w:r>
      <w:r w:rsidRPr="00FF09FB">
        <w:tab/>
        <w:t xml:space="preserve">if </w:t>
      </w:r>
      <w:r w:rsidRPr="00FF09FB">
        <w:rPr>
          <w:i/>
        </w:rPr>
        <w:t>apply-IndicatedTCIState</w:t>
      </w:r>
      <w:r w:rsidRPr="00FF09FB">
        <w:t xml:space="preserve"> = </w:t>
      </w:r>
      <w:r w:rsidR="002D5F43">
        <w:t>'</w:t>
      </w:r>
      <w:r w:rsidRPr="00FF09FB">
        <w:t>second</w:t>
      </w:r>
      <w:r w:rsidR="002D5F43">
        <w:t>'</w:t>
      </w:r>
      <w:r w:rsidRPr="00FF09FB">
        <w:t xml:space="preserve">, the UE assumes that a DM-RS antenna port for PDCCH receptions in the CORESET is quasi co-located with the reference signals provided by the second </w:t>
      </w:r>
      <w:r w:rsidRPr="00FF09FB">
        <w:rPr>
          <w:i/>
          <w:iCs/>
          <w:lang w:val="en-US"/>
        </w:rPr>
        <w:t>TCI-State</w:t>
      </w:r>
    </w:p>
    <w:p w14:paraId="5071C875" w14:textId="0D6476EB" w:rsidR="00FF09FB" w:rsidRPr="00FF09FB" w:rsidRDefault="00FF09FB" w:rsidP="00FF09FB">
      <w:pPr>
        <w:pStyle w:val="B2"/>
      </w:pPr>
      <w:r w:rsidRPr="00FF09FB">
        <w:rPr>
          <w:lang w:eastAsia="zh-CN"/>
        </w:rPr>
        <w:t>-</w:t>
      </w:r>
      <w:r w:rsidRPr="00FF09FB">
        <w:rPr>
          <w:lang w:eastAsia="zh-CN"/>
        </w:rPr>
        <w:tab/>
        <w:t xml:space="preserve">if </w:t>
      </w:r>
      <w:r w:rsidRPr="00FF09FB">
        <w:rPr>
          <w:i/>
          <w:lang w:eastAsia="zh-CN"/>
        </w:rPr>
        <w:t>apply-IndicatedTCIState</w:t>
      </w:r>
      <w:r w:rsidRPr="00FF09FB">
        <w:rPr>
          <w:lang w:eastAsia="zh-CN"/>
        </w:rPr>
        <w:t xml:space="preserve"> = </w:t>
      </w:r>
      <w:r w:rsidR="002D5F43">
        <w:rPr>
          <w:lang w:eastAsia="zh-CN"/>
        </w:rPr>
        <w:t>'</w:t>
      </w:r>
      <w:r w:rsidRPr="00FF09FB">
        <w:rPr>
          <w:lang w:eastAsia="zh-CN"/>
        </w:rPr>
        <w:t>both</w:t>
      </w:r>
      <w:r w:rsidR="002D5F43">
        <w:rPr>
          <w:lang w:eastAsia="zh-CN"/>
        </w:rPr>
        <w:t>'</w:t>
      </w:r>
      <w:r w:rsidRPr="00FF09FB">
        <w:rPr>
          <w:lang w:eastAsia="zh-CN"/>
        </w:rPr>
        <w:t xml:space="preserve">, </w:t>
      </w:r>
      <w:r w:rsidRPr="00FF09FB">
        <w:t xml:space="preserve">the UE assumes that a DM-RS antenna port for PDCCH receptions in the CORESET is quasi co-located with the reference signals provided by the first </w:t>
      </w:r>
      <w:r w:rsidRPr="00FF09FB">
        <w:rPr>
          <w:i/>
          <w:iCs/>
          <w:lang w:val="en-US"/>
        </w:rPr>
        <w:t>TCI-State</w:t>
      </w:r>
      <w:r w:rsidRPr="00FF09FB">
        <w:t xml:space="preserve"> and the second </w:t>
      </w:r>
      <w:r w:rsidRPr="00FF09FB">
        <w:rPr>
          <w:i/>
          <w:iCs/>
          <w:lang w:val="en-US"/>
        </w:rPr>
        <w:t>TCI-State</w:t>
      </w:r>
    </w:p>
    <w:p w14:paraId="382401BA" w14:textId="77777777" w:rsidR="00FF09FB" w:rsidRPr="00FF09FB" w:rsidRDefault="00FF09FB" w:rsidP="00FF09FB">
      <w:pPr>
        <w:pStyle w:val="B1"/>
        <w:rPr>
          <w:i/>
        </w:rPr>
      </w:pPr>
      <w:r w:rsidRPr="00FF09FB">
        <w:rPr>
          <w:lang w:eastAsia="zh-CN"/>
        </w:rPr>
        <w:t>-</w:t>
      </w:r>
      <w:r w:rsidRPr="00FF09FB">
        <w:rPr>
          <w:lang w:eastAsia="zh-CN"/>
        </w:rPr>
        <w:tab/>
        <w:t>if</w:t>
      </w:r>
      <w:r w:rsidRPr="00FF09FB">
        <w:t xml:space="preserve"> the CORESET is associated at least with CSS sets other than Type3-PDCCH CSS sets,</w:t>
      </w:r>
    </w:p>
    <w:p w14:paraId="58631283" w14:textId="53978440" w:rsidR="00FF09FB" w:rsidRPr="00FF09FB" w:rsidRDefault="00FF09FB" w:rsidP="00FF09FB">
      <w:pPr>
        <w:pStyle w:val="B2"/>
      </w:pPr>
      <w:r w:rsidRPr="00FF09FB">
        <w:rPr>
          <w:lang w:eastAsia="zh-CN"/>
        </w:rPr>
        <w:t>-</w:t>
      </w:r>
      <w:r w:rsidRPr="00FF09FB">
        <w:rPr>
          <w:lang w:eastAsia="zh-CN"/>
        </w:rPr>
        <w:tab/>
        <w:t xml:space="preserve">if </w:t>
      </w:r>
      <w:r w:rsidRPr="00FF09FB">
        <w:rPr>
          <w:i/>
          <w:lang w:eastAsia="zh-CN"/>
        </w:rPr>
        <w:t>apply-IndicatedTCIState</w:t>
      </w:r>
      <w:r w:rsidRPr="00FF09FB">
        <w:rPr>
          <w:lang w:eastAsia="zh-CN"/>
        </w:rPr>
        <w:t xml:space="preserve"> = </w:t>
      </w:r>
      <w:r w:rsidR="002D5F43">
        <w:rPr>
          <w:lang w:eastAsia="zh-CN"/>
        </w:rPr>
        <w:t>'</w:t>
      </w:r>
      <w:r w:rsidRPr="00FF09FB">
        <w:rPr>
          <w:lang w:eastAsia="zh-CN"/>
        </w:rPr>
        <w:t>first</w:t>
      </w:r>
      <w:r w:rsidR="002D5F43">
        <w:rPr>
          <w:lang w:eastAsia="zh-CN"/>
        </w:rPr>
        <w:t>'</w:t>
      </w:r>
      <w:r w:rsidRPr="00FF09FB">
        <w:rPr>
          <w:lang w:eastAsia="zh-CN"/>
        </w:rPr>
        <w:t xml:space="preserve">, </w:t>
      </w:r>
      <w:r w:rsidRPr="00FF09FB">
        <w:t xml:space="preserve">the UE assumes that a DM-RS antenna port for PDCCH receptions in the CORESET is quasi co-located with the reference signals provided by the first </w:t>
      </w:r>
      <w:r w:rsidRPr="00FF09FB">
        <w:rPr>
          <w:i/>
          <w:iCs/>
          <w:lang w:val="en-US"/>
        </w:rPr>
        <w:t>TCI-State</w:t>
      </w:r>
    </w:p>
    <w:p w14:paraId="6BCA128A" w14:textId="42734900" w:rsidR="00FF09FB" w:rsidRPr="00FF09FB" w:rsidRDefault="00FF09FB" w:rsidP="00FF09FB">
      <w:pPr>
        <w:pStyle w:val="B2"/>
      </w:pPr>
      <w:r w:rsidRPr="00FF09FB">
        <w:t>-</w:t>
      </w:r>
      <w:r w:rsidRPr="00FF09FB">
        <w:tab/>
        <w:t xml:space="preserve">if </w:t>
      </w:r>
      <w:r w:rsidRPr="00FF09FB">
        <w:rPr>
          <w:i/>
        </w:rPr>
        <w:t>apply-IndicatedTCIState</w:t>
      </w:r>
      <w:r w:rsidRPr="00FF09FB">
        <w:t xml:space="preserve"> = </w:t>
      </w:r>
      <w:r w:rsidR="002D5F43">
        <w:t>'</w:t>
      </w:r>
      <w:r w:rsidRPr="00FF09FB">
        <w:t>second</w:t>
      </w:r>
      <w:r w:rsidR="002D5F43">
        <w:t>'</w:t>
      </w:r>
      <w:r w:rsidRPr="00FF09FB">
        <w:t xml:space="preserve">, the UE assumes that a DM-RS antenna port for PDCCH receptions in the CORESET is quasi co-located with the reference signals provided by the second </w:t>
      </w:r>
      <w:r w:rsidRPr="00FF09FB">
        <w:rPr>
          <w:i/>
          <w:iCs/>
          <w:lang w:val="en-US"/>
        </w:rPr>
        <w:t>TCI-State</w:t>
      </w:r>
    </w:p>
    <w:p w14:paraId="42362800" w14:textId="17772FC8" w:rsidR="00FF09FB" w:rsidRPr="00FF09FB" w:rsidRDefault="00FF09FB" w:rsidP="00FF09FB">
      <w:pPr>
        <w:pStyle w:val="B2"/>
      </w:pPr>
      <w:r w:rsidRPr="00FF09FB">
        <w:rPr>
          <w:lang w:eastAsia="zh-CN"/>
        </w:rPr>
        <w:t>-</w:t>
      </w:r>
      <w:r w:rsidRPr="00FF09FB">
        <w:rPr>
          <w:lang w:eastAsia="zh-CN"/>
        </w:rPr>
        <w:tab/>
        <w:t xml:space="preserve">if </w:t>
      </w:r>
      <w:r w:rsidRPr="00FF09FB">
        <w:rPr>
          <w:i/>
          <w:lang w:eastAsia="zh-CN"/>
        </w:rPr>
        <w:t>apply-IndicatedTCIState</w:t>
      </w:r>
      <w:r w:rsidRPr="00FF09FB">
        <w:rPr>
          <w:lang w:eastAsia="zh-CN"/>
        </w:rPr>
        <w:t xml:space="preserve"> = </w:t>
      </w:r>
      <w:r w:rsidR="002D5F43">
        <w:rPr>
          <w:lang w:eastAsia="zh-CN"/>
        </w:rPr>
        <w:t>'</w:t>
      </w:r>
      <w:r w:rsidRPr="00FF09FB">
        <w:rPr>
          <w:lang w:eastAsia="zh-CN"/>
        </w:rPr>
        <w:t>both</w:t>
      </w:r>
      <w:r w:rsidR="002D5F43">
        <w:rPr>
          <w:lang w:eastAsia="zh-CN"/>
        </w:rPr>
        <w:t>'</w:t>
      </w:r>
      <w:r w:rsidRPr="00FF09FB">
        <w:rPr>
          <w:lang w:eastAsia="zh-CN"/>
        </w:rPr>
        <w:t xml:space="preserve">, </w:t>
      </w:r>
      <w:r w:rsidRPr="00FF09FB">
        <w:t xml:space="preserve">the UE assumes that a DM-RS antenna port for PDCCH receptions in the CORESET is quasi co-located with the reference signals provided by the first </w:t>
      </w:r>
      <w:r w:rsidRPr="00FF09FB">
        <w:rPr>
          <w:i/>
          <w:iCs/>
          <w:lang w:val="en-US"/>
        </w:rPr>
        <w:t>TCI-State</w:t>
      </w:r>
      <w:r w:rsidRPr="00FF09FB">
        <w:t xml:space="preserve"> and the second </w:t>
      </w:r>
      <w:r w:rsidRPr="00FF09FB">
        <w:rPr>
          <w:i/>
          <w:iCs/>
          <w:lang w:val="en-US"/>
        </w:rPr>
        <w:t>TCI-State</w:t>
      </w:r>
    </w:p>
    <w:p w14:paraId="32A9692F" w14:textId="4A500DCD" w:rsidR="00FF09FB" w:rsidRPr="00FF09FB" w:rsidRDefault="00FF09FB" w:rsidP="00FF09FB">
      <w:pPr>
        <w:pStyle w:val="B2"/>
      </w:pPr>
      <w:r w:rsidRPr="00FF09FB">
        <w:rPr>
          <w:lang w:eastAsia="zh-CN"/>
        </w:rPr>
        <w:t>-</w:t>
      </w:r>
      <w:r w:rsidRPr="00FF09FB">
        <w:rPr>
          <w:lang w:eastAsia="zh-CN"/>
        </w:rPr>
        <w:tab/>
        <w:t xml:space="preserve">if </w:t>
      </w:r>
      <w:r w:rsidRPr="00FF09FB">
        <w:rPr>
          <w:i/>
          <w:lang w:eastAsia="zh-CN"/>
        </w:rPr>
        <w:t>apply-IndicatedTCIState</w:t>
      </w:r>
      <w:r w:rsidRPr="00FF09FB">
        <w:rPr>
          <w:lang w:eastAsia="zh-CN"/>
        </w:rPr>
        <w:t xml:space="preserve"> = </w:t>
      </w:r>
      <w:r w:rsidR="002D5F43">
        <w:rPr>
          <w:lang w:eastAsia="zh-CN"/>
        </w:rPr>
        <w:t>'</w:t>
      </w:r>
      <w:r w:rsidRPr="00FF09FB">
        <w:rPr>
          <w:lang w:eastAsia="zh-CN"/>
        </w:rPr>
        <w:t>none</w:t>
      </w:r>
      <w:r w:rsidR="002D5F43">
        <w:rPr>
          <w:lang w:eastAsia="zh-CN"/>
        </w:rPr>
        <w:t>'</w:t>
      </w:r>
      <w:r w:rsidRPr="00FF09FB">
        <w:rPr>
          <w:lang w:eastAsia="zh-CN"/>
        </w:rPr>
        <w:t xml:space="preserve">, </w:t>
      </w:r>
      <w:r w:rsidRPr="00FF09FB">
        <w:t xml:space="preserve">the UE assumes that a DM-RS antenna port for PDCCH receptions in the CORESET is quasi co-located with </w:t>
      </w:r>
      <w:r w:rsidRPr="00FF09FB">
        <w:rPr>
          <w:lang w:eastAsia="zh-CN"/>
        </w:rPr>
        <w:t>the one or more DL RS configured by a TCI state indicated by a MAC CE activation command for the CORESET</w:t>
      </w:r>
    </w:p>
    <w:p w14:paraId="2834FA1B" w14:textId="77777777" w:rsidR="00FF09FB" w:rsidRPr="00FF09FB" w:rsidRDefault="00FF09FB" w:rsidP="00FF09FB">
      <w:pPr>
        <w:rPr>
          <w:lang w:eastAsia="ko-KR"/>
        </w:rPr>
      </w:pPr>
      <w:r w:rsidRPr="00FF09FB">
        <w:t xml:space="preserve">If </w:t>
      </w:r>
      <w:r w:rsidRPr="00FF09FB">
        <w:rPr>
          <w:lang w:eastAsia="ko-KR"/>
        </w:rPr>
        <w:t>the UE</w:t>
      </w:r>
      <w:r w:rsidRPr="00FF09FB">
        <w:t xml:space="preserve"> is provided </w:t>
      </w:r>
      <w:r w:rsidRPr="00FF09FB">
        <w:rPr>
          <w:rFonts w:cs="Times"/>
          <w:i/>
          <w:szCs w:val="18"/>
          <w:lang w:eastAsia="zh-CN"/>
        </w:rPr>
        <w:t xml:space="preserve">dl-OrJointTCI-StateList </w:t>
      </w:r>
      <w:r w:rsidRPr="00FF09FB">
        <w:rPr>
          <w:rFonts w:cs="Times"/>
          <w:szCs w:val="18"/>
          <w:lang w:eastAsia="zh-CN"/>
        </w:rPr>
        <w:t>and</w:t>
      </w:r>
    </w:p>
    <w:p w14:paraId="136BA2F8" w14:textId="77777777" w:rsidR="00FF09FB" w:rsidRPr="00FF09FB" w:rsidRDefault="00FF09FB" w:rsidP="00FF09FB">
      <w:pPr>
        <w:pStyle w:val="B1"/>
      </w:pPr>
      <w:r w:rsidRPr="00FF09FB">
        <w:t>-</w:t>
      </w:r>
      <w:r w:rsidRPr="00FF09FB">
        <w:tab/>
      </w:r>
      <w:r w:rsidRPr="00FF09FB">
        <w:rPr>
          <w:lang w:eastAsia="ko-KR"/>
        </w:rPr>
        <w:t xml:space="preserve">is not provided </w:t>
      </w:r>
      <w:r w:rsidRPr="00FF09FB">
        <w:rPr>
          <w:i/>
          <w:lang w:val="en-US"/>
        </w:rPr>
        <w:t>coreset</w:t>
      </w:r>
      <w:r w:rsidRPr="00FF09FB">
        <w:rPr>
          <w:i/>
        </w:rPr>
        <w:t>PoolIndex</w:t>
      </w:r>
      <w:r w:rsidRPr="00FF09FB">
        <w:t xml:space="preserve"> or is provided </w:t>
      </w:r>
      <w:r w:rsidRPr="00FF09FB">
        <w:rPr>
          <w:i/>
          <w:lang w:val="en-US"/>
        </w:rPr>
        <w:t>coreset</w:t>
      </w:r>
      <w:r w:rsidRPr="00FF09FB">
        <w:rPr>
          <w:i/>
        </w:rPr>
        <w:t>PoolIndex</w:t>
      </w:r>
      <w:r w:rsidRPr="00FF09FB">
        <w:t xml:space="preserve"> with a value of 0 for first CORESETs on </w:t>
      </w:r>
      <w:r w:rsidRPr="00FF09FB">
        <w:rPr>
          <w:lang w:val="en-US"/>
        </w:rPr>
        <w:t xml:space="preserve">an </w:t>
      </w:r>
      <w:r w:rsidRPr="00FF09FB">
        <w:t xml:space="preserve">active DL BWP of </w:t>
      </w:r>
      <w:r w:rsidRPr="00FF09FB">
        <w:rPr>
          <w:lang w:val="en-US"/>
        </w:rPr>
        <w:t xml:space="preserve">a </w:t>
      </w:r>
      <w:r w:rsidRPr="00FF09FB">
        <w:t>serving cell,</w:t>
      </w:r>
    </w:p>
    <w:p w14:paraId="2357D0AC" w14:textId="77777777" w:rsidR="00FF09FB" w:rsidRPr="00FF09FB" w:rsidRDefault="00FF09FB" w:rsidP="00FF09FB">
      <w:pPr>
        <w:pStyle w:val="B1"/>
      </w:pPr>
      <w:r w:rsidRPr="00FF09FB">
        <w:t>-</w:t>
      </w:r>
      <w:r w:rsidRPr="00FF09FB">
        <w:tab/>
      </w:r>
      <w:r w:rsidRPr="00FF09FB">
        <w:rPr>
          <w:lang w:eastAsia="ko-KR"/>
        </w:rPr>
        <w:t xml:space="preserve">is provided </w:t>
      </w:r>
      <w:r w:rsidRPr="00FF09FB">
        <w:rPr>
          <w:i/>
          <w:lang w:val="en-US"/>
        </w:rPr>
        <w:t>coreset</w:t>
      </w:r>
      <w:r w:rsidRPr="00FF09FB">
        <w:rPr>
          <w:i/>
        </w:rPr>
        <w:t>PoolIndex</w:t>
      </w:r>
      <w:r w:rsidRPr="00FF09FB">
        <w:t xml:space="preserve"> with a value of 1 for second CORESETs on </w:t>
      </w:r>
      <w:r w:rsidRPr="00FF09FB">
        <w:rPr>
          <w:lang w:val="en-US"/>
        </w:rPr>
        <w:t xml:space="preserve">the </w:t>
      </w:r>
      <w:r w:rsidRPr="00FF09FB">
        <w:t>active DL BWP of the serving cells, and</w:t>
      </w:r>
    </w:p>
    <w:p w14:paraId="7AED2262" w14:textId="77777777" w:rsidR="00FF09FB" w:rsidRPr="00FF09FB" w:rsidRDefault="00FF09FB" w:rsidP="00FF09FB">
      <w:pPr>
        <w:pStyle w:val="B1"/>
      </w:pPr>
      <w:r w:rsidRPr="00FF09FB">
        <w:t>-</w:t>
      </w:r>
      <w:r w:rsidRPr="00FF09FB">
        <w:tab/>
      </w:r>
      <w:r w:rsidRPr="00FF09FB">
        <w:rPr>
          <w:lang w:eastAsia="ko-KR"/>
        </w:rPr>
        <w:t xml:space="preserve">is provided </w:t>
      </w:r>
      <w:r w:rsidRPr="00FF09FB">
        <w:rPr>
          <w:i/>
          <w:lang w:eastAsia="ko-KR"/>
        </w:rPr>
        <w:t>followUnifiedTCI-State</w:t>
      </w:r>
      <w:r w:rsidRPr="00FF09FB">
        <w:t xml:space="preserve"> for the first and second CORESETs, that do not include a CORESET with index 0 and are associated only with USS sets and/or Type3-PDCCH CSS sets, or with CSS sets other than Type3-PDCCH CSS sets,</w:t>
      </w:r>
    </w:p>
    <w:p w14:paraId="107FE2A0" w14:textId="77777777" w:rsidR="00FF09FB" w:rsidRDefault="00FF09FB" w:rsidP="00FF09FB">
      <w:pPr>
        <w:rPr>
          <w:rFonts w:cs="Calibri"/>
        </w:rPr>
      </w:pPr>
      <w:r w:rsidRPr="00FF09FB">
        <w:rPr>
          <w:rFonts w:cs="Calibri"/>
        </w:rPr>
        <w:t xml:space="preserve">the UE </w:t>
      </w:r>
    </w:p>
    <w:p w14:paraId="12E8F456" w14:textId="32E054EA" w:rsidR="00FF09FB" w:rsidRPr="00FF09FB" w:rsidRDefault="00FF09FB" w:rsidP="00FF09FB">
      <w:pPr>
        <w:pStyle w:val="B1"/>
      </w:pPr>
      <w:r w:rsidRPr="00FF09FB">
        <w:lastRenderedPageBreak/>
        <w:t>-</w:t>
      </w:r>
      <w:r w:rsidRPr="00FF09FB">
        <w:tab/>
      </w:r>
      <w:r w:rsidRPr="00FF09FB">
        <w:rPr>
          <w:rFonts w:cs="Calibri"/>
        </w:rPr>
        <w:t>assumes that DM-RS antenna ports for PDCCH receptions in the first and second CORESETs, and</w:t>
      </w:r>
      <w:r w:rsidRPr="00FF09FB">
        <w:t xml:space="preserve"> DM-RS antenna ports for PDSCH receptions scheduled by DCI formats provided by PDCCH receptions in the first and second CORESETs,</w:t>
      </w:r>
      <w:r w:rsidRPr="00FF09FB">
        <w:rPr>
          <w:rFonts w:cs="Calibri"/>
        </w:rPr>
        <w:t xml:space="preserve"> are quasi co-located with the reference signals provided by indicated </w:t>
      </w:r>
      <w:r w:rsidRPr="00FF09FB">
        <w:rPr>
          <w:i/>
          <w:iCs/>
        </w:rPr>
        <w:t>TCI-State</w:t>
      </w:r>
      <w:r w:rsidRPr="00FF09FB">
        <w:rPr>
          <w:rFonts w:cs="Calibri"/>
        </w:rPr>
        <w:t xml:space="preserve"> specific to the first and second CORESETs</w:t>
      </w:r>
      <w:r w:rsidRPr="00FF09FB">
        <w:t>, respectively</w:t>
      </w:r>
    </w:p>
    <w:p w14:paraId="0DF24F54" w14:textId="77777777" w:rsidR="00FF09FB" w:rsidRPr="00FF09FB" w:rsidRDefault="00FF09FB" w:rsidP="00FF09FB">
      <w:pPr>
        <w:pStyle w:val="B1"/>
      </w:pPr>
      <w:r w:rsidRPr="00FF09FB">
        <w:t>-</w:t>
      </w:r>
      <w:r w:rsidRPr="00FF09FB">
        <w:tab/>
        <w:t xml:space="preserve">transmits PUSCH scheduled by DCI formats provided by PDCCH receptions in the first and second CORESETs using a spatial domain filter corresponding to </w:t>
      </w:r>
      <w:r w:rsidRPr="00FF09FB">
        <w:rPr>
          <w:i/>
          <w:iCs/>
        </w:rPr>
        <w:t>TCI-State</w:t>
      </w:r>
      <w:r w:rsidRPr="00FF09FB">
        <w:t xml:space="preserve"> or </w:t>
      </w:r>
      <w:r w:rsidRPr="00FF09FB">
        <w:rPr>
          <w:i/>
          <w:iCs/>
        </w:rPr>
        <w:t xml:space="preserve">TCI-UL-State </w:t>
      </w:r>
      <w:r w:rsidRPr="00FF09FB">
        <w:t>specific to the first and second CORESETs, respectively.</w:t>
      </w:r>
    </w:p>
    <w:p w14:paraId="23D9F2F4" w14:textId="77777777" w:rsidR="00FF09FB" w:rsidRPr="00FF09FB" w:rsidRDefault="00FF09FB" w:rsidP="00FF09FB">
      <w:pPr>
        <w:rPr>
          <w:lang w:val="en-US"/>
        </w:rPr>
      </w:pPr>
      <w:r w:rsidRPr="00FF09FB">
        <w:t xml:space="preserve">If a UE is provided two </w:t>
      </w:r>
      <w:r w:rsidRPr="00FF09FB">
        <w:rPr>
          <w:rFonts w:eastAsia="Batang"/>
          <w:i/>
          <w:iCs/>
        </w:rPr>
        <w:t xml:space="preserve">coresetPoolIndex </w:t>
      </w:r>
      <w:r w:rsidRPr="00FF09FB">
        <w:rPr>
          <w:rFonts w:eastAsia="Batang"/>
        </w:rPr>
        <w:t>values 0 and 1 for first and second CORESETs, or is not provided</w:t>
      </w:r>
      <w:r w:rsidRPr="00FF09FB">
        <w:rPr>
          <w:rFonts w:eastAsia="Batang"/>
          <w:i/>
          <w:iCs/>
        </w:rPr>
        <w:t xml:space="preserve"> coresetPoolIndex </w:t>
      </w:r>
      <w:r w:rsidRPr="00FF09FB">
        <w:rPr>
          <w:rFonts w:eastAsia="Batang"/>
        </w:rPr>
        <w:t>value for first CORESETs and is provided</w:t>
      </w:r>
      <w:r w:rsidRPr="00FF09FB">
        <w:rPr>
          <w:rFonts w:eastAsia="Batang"/>
          <w:i/>
          <w:iCs/>
        </w:rPr>
        <w:t xml:space="preserve"> coresetPoolIndex </w:t>
      </w:r>
      <w:r w:rsidRPr="00FF09FB">
        <w:rPr>
          <w:rFonts w:eastAsia="Batang"/>
        </w:rPr>
        <w:t>value of 1 for second CORESETs, respectively</w:t>
      </w:r>
      <w:r w:rsidRPr="00FF09FB">
        <w:rPr>
          <w:lang w:val="en-US"/>
        </w:rPr>
        <w:t>, a MAC CE command activating TCI states for the first or second CORESETs [11, TS 38.321] can include</w:t>
      </w:r>
      <w:r w:rsidRPr="00FF09FB">
        <w:rPr>
          <w:i/>
          <w:lang w:val="en-US"/>
        </w:rPr>
        <w:t xml:space="preserve"> coresetPoolIndex</w:t>
      </w:r>
      <w:r w:rsidRPr="00FF09FB">
        <w:rPr>
          <w:lang w:val="en-US"/>
        </w:rPr>
        <w:t xml:space="preserve"> value 0 or 1 </w:t>
      </w:r>
    </w:p>
    <w:p w14:paraId="7B4A3F46" w14:textId="77777777" w:rsidR="00FF09FB" w:rsidRPr="00FF09FB" w:rsidRDefault="00FF09FB" w:rsidP="00FF09FB">
      <w:pPr>
        <w:pStyle w:val="B1"/>
      </w:pPr>
      <w:r w:rsidRPr="00FF09FB">
        <w:t>-</w:t>
      </w:r>
      <w:r w:rsidRPr="00FF09FB">
        <w:tab/>
        <w:t xml:space="preserve">if the UE is provided </w:t>
      </w:r>
      <w:r w:rsidRPr="00FF09FB">
        <w:rPr>
          <w:i/>
        </w:rPr>
        <w:t>SSB_MTC_AdditionalPCI</w:t>
      </w:r>
      <w:r w:rsidRPr="00FF09FB">
        <w:t xml:space="preserve">, the activated TCI states for the first and/or the second CORESETs are for </w:t>
      </w:r>
      <w:r w:rsidRPr="00FF09FB">
        <w:rPr>
          <w:i/>
          <w:iCs/>
          <w:lang w:eastAsia="zh-CN"/>
        </w:rPr>
        <w:t>physCellId</w:t>
      </w:r>
      <w:r w:rsidRPr="00FF09FB">
        <w:rPr>
          <w:lang w:eastAsia="zh-CN"/>
        </w:rPr>
        <w:t xml:space="preserve"> from </w:t>
      </w:r>
      <w:r w:rsidRPr="00FF09FB">
        <w:rPr>
          <w:i/>
          <w:iCs/>
          <w:lang w:eastAsia="zh-CN"/>
        </w:rPr>
        <w:t>ServingCellConfigCommon</w:t>
      </w:r>
      <w:r w:rsidRPr="00FF09FB">
        <w:rPr>
          <w:lang w:eastAsia="zh-CN"/>
        </w:rPr>
        <w:t xml:space="preserve"> and </w:t>
      </w:r>
      <w:r w:rsidRPr="00FF09FB">
        <w:t>the activated TCI states for either the first or the second CORESETs</w:t>
      </w:r>
      <w:r w:rsidRPr="00FF09FB">
        <w:rPr>
          <w:lang w:eastAsia="zh-CN"/>
        </w:rPr>
        <w:t xml:space="preserve"> can be for </w:t>
      </w:r>
      <w:r w:rsidRPr="00FF09FB">
        <w:rPr>
          <w:i/>
          <w:iCs/>
          <w:lang w:eastAsia="zh-CN"/>
        </w:rPr>
        <w:t>physCellId</w:t>
      </w:r>
      <w:r w:rsidRPr="00FF09FB">
        <w:rPr>
          <w:lang w:eastAsia="zh-CN"/>
        </w:rPr>
        <w:t xml:space="preserve"> from </w:t>
      </w:r>
      <w:r w:rsidRPr="00FF09FB">
        <w:rPr>
          <w:i/>
          <w:iCs/>
        </w:rPr>
        <w:t>additionalPCI</w:t>
      </w:r>
      <w:r w:rsidRPr="00FF09FB">
        <w:rPr>
          <w:lang w:eastAsia="zh-CN"/>
        </w:rPr>
        <w:t>.</w:t>
      </w:r>
    </w:p>
    <w:p w14:paraId="38A77A0D" w14:textId="3D79FEE3" w:rsidR="00F36BAD" w:rsidRDefault="00F36BAD" w:rsidP="00FF09FB">
      <w:r>
        <w:t>I</w:t>
      </w:r>
      <w:r w:rsidRPr="00BC7072">
        <w:t xml:space="preserve">f </w:t>
      </w:r>
      <w:r w:rsidR="00FF09FB">
        <w:t>a</w:t>
      </w:r>
      <w:r w:rsidR="00FF09FB" w:rsidRPr="00BC7072">
        <w:t xml:space="preserve"> </w:t>
      </w:r>
      <w:r w:rsidRPr="00BC7072">
        <w:t xml:space="preserve">UE is provided by </w:t>
      </w:r>
      <w:r w:rsidRPr="00D34308">
        <w:rPr>
          <w:i/>
        </w:rPr>
        <w:t>simultaneousTCI-UpdateList1</w:t>
      </w:r>
      <w:r w:rsidRPr="005258CF">
        <w:t xml:space="preserve"> </w:t>
      </w:r>
      <w:r w:rsidRPr="00BC7072">
        <w:t xml:space="preserve">or </w:t>
      </w:r>
      <w:r w:rsidRPr="00D34308">
        <w:rPr>
          <w:i/>
        </w:rPr>
        <w:t>simultaneousTCI-UpdateList2</w:t>
      </w:r>
      <w:r w:rsidRPr="00BC7072">
        <w:t xml:space="preserve"> up to two lists of cells for simultaneous TCI state activation, the UE applies the antenna port quasi co-location provided by</w:t>
      </w:r>
      <w:r w:rsidR="00A62952">
        <w:t xml:space="preserve"> </w:t>
      </w:r>
      <w:r w:rsidR="00A62952" w:rsidRPr="00F415B1">
        <w:t>one or two</w:t>
      </w:r>
      <w:r w:rsidRPr="00BC7072">
        <w:t xml:space="preserve"> </w:t>
      </w:r>
      <w:r w:rsidRPr="00D34308">
        <w:rPr>
          <w:i/>
        </w:rPr>
        <w:t>TCI-State</w:t>
      </w:r>
      <w:r w:rsidRPr="00BC7072">
        <w:t xml:space="preserve"> </w:t>
      </w:r>
      <w:r w:rsidR="00A62952">
        <w:t xml:space="preserve">each </w:t>
      </w:r>
      <w:r w:rsidRPr="00BC7072">
        <w:t xml:space="preserve">with same activated </w:t>
      </w:r>
      <w:r w:rsidRPr="00D34308">
        <w:rPr>
          <w:i/>
        </w:rPr>
        <w:t>tci-StateID</w:t>
      </w:r>
      <w:r w:rsidRPr="00BC7072">
        <w:t xml:space="preserve"> value</w:t>
      </w:r>
      <w:r w:rsidR="00A62952">
        <w:t>,</w:t>
      </w:r>
      <w:r w:rsidRPr="00BC7072">
        <w:t xml:space="preserve"> to CORESETs with </w:t>
      </w:r>
      <w:r>
        <w:t xml:space="preserve">a same </w:t>
      </w:r>
      <w:r w:rsidRPr="00BC7072">
        <w:t>index in all configured DL BWPs of all configured cells in a list determined from a serving cell index</w:t>
      </w:r>
      <w:r>
        <w:t>, where</w:t>
      </w:r>
      <w:r w:rsidR="00A62952">
        <w:t xml:space="preserve"> </w:t>
      </w:r>
      <w:r w:rsidR="00A62952" w:rsidRPr="00F415B1">
        <w:t>one or two</w:t>
      </w:r>
      <w:r>
        <w:t xml:space="preserve"> </w:t>
      </w:r>
      <w:r w:rsidRPr="00D34308">
        <w:rPr>
          <w:i/>
        </w:rPr>
        <w:t>tci-StateID</w:t>
      </w:r>
      <w:r>
        <w:t>, the CORESET index</w:t>
      </w:r>
      <w:r w:rsidR="00A62952">
        <w:t>,</w:t>
      </w:r>
      <w:r>
        <w:t xml:space="preserve"> and the serving cell index are</w:t>
      </w:r>
      <w:r w:rsidRPr="00BC7072">
        <w:t xml:space="preserve"> provided by a MAC CE command</w:t>
      </w:r>
      <w:r>
        <w:t>.</w:t>
      </w:r>
    </w:p>
    <w:p w14:paraId="1B3571EB" w14:textId="4C1E4786" w:rsidR="005329C2" w:rsidRDefault="005329C2" w:rsidP="005329C2">
      <w:r w:rsidRPr="00B916EC">
        <w:t xml:space="preserve">For each </w:t>
      </w:r>
      <w:r>
        <w:t xml:space="preserve">DL BWP configured to a UE in a </w:t>
      </w:r>
      <w:r w:rsidRPr="00B916EC">
        <w:t>serving cell</w:t>
      </w:r>
      <w:r>
        <w:t>,</w:t>
      </w:r>
      <w:r w:rsidRPr="00B916EC">
        <w:t xml:space="preserve"> the UE </w:t>
      </w:r>
      <w:r>
        <w:t xml:space="preserve">is provided by higher layers with </w:t>
      </w:r>
      <m:oMath>
        <m:r>
          <w:rPr>
            <w:rFonts w:ascii="Cambria Math" w:hAnsi="Cambria Math"/>
          </w:rPr>
          <m:t>S≤10</m:t>
        </m:r>
      </m:oMath>
      <w:r>
        <w:t xml:space="preserve"> search space sets where, for each search space set from the </w:t>
      </w:r>
      <m:oMath>
        <m:r>
          <w:rPr>
            <w:rFonts w:ascii="Cambria Math" w:hAnsi="Cambria Math"/>
          </w:rPr>
          <m:t>S</m:t>
        </m:r>
      </m:oMath>
      <w:r>
        <w:t xml:space="preserve"> search space sets, the UE is provided the following</w:t>
      </w:r>
      <w:r w:rsidRPr="00B916EC">
        <w:t xml:space="preserve"> by </w:t>
      </w:r>
      <w:r>
        <w:rPr>
          <w:i/>
        </w:rPr>
        <w:t>S</w:t>
      </w:r>
      <w:r w:rsidRPr="00B916EC">
        <w:rPr>
          <w:i/>
        </w:rPr>
        <w:t>earch</w:t>
      </w:r>
      <w:r>
        <w:rPr>
          <w:i/>
        </w:rPr>
        <w:t>S</w:t>
      </w:r>
      <w:r w:rsidRPr="00B916EC">
        <w:rPr>
          <w:i/>
        </w:rPr>
        <w:t>pace</w:t>
      </w:r>
      <w:r>
        <w:t>:</w:t>
      </w:r>
      <w:r w:rsidRPr="00B916EC">
        <w:t xml:space="preserve"> </w:t>
      </w:r>
    </w:p>
    <w:p w14:paraId="6C5FF3CC" w14:textId="77777777" w:rsidR="005329C2" w:rsidRPr="00B916EC" w:rsidRDefault="005329C2" w:rsidP="005329C2">
      <w:pPr>
        <w:pStyle w:val="B1"/>
      </w:pPr>
      <w:r>
        <w:t>-</w:t>
      </w:r>
      <w:r>
        <w:tab/>
        <w:t xml:space="preserve">a search space </w:t>
      </w:r>
      <w:r>
        <w:rPr>
          <w:lang w:val="en-US"/>
        </w:rPr>
        <w:t xml:space="preserve">set index </w:t>
      </w:r>
      <m:oMath>
        <m:r>
          <w:rPr>
            <w:rFonts w:ascii="Cambria Math" w:hAnsi="Cambria Math"/>
          </w:rPr>
          <m:t>s</m:t>
        </m:r>
      </m:oMath>
      <w:r>
        <w:t xml:space="preserve">, </w:t>
      </w:r>
      <m:oMath>
        <m:r>
          <w:rPr>
            <w:rFonts w:ascii="Cambria Math" w:hAnsi="Cambria Math"/>
          </w:rPr>
          <m:t>0&lt;s&lt;40</m:t>
        </m:r>
      </m:oMath>
      <w:r>
        <w:rPr>
          <w:noProof/>
          <w:position w:val="-6"/>
        </w:rPr>
        <w:t xml:space="preserve"> </w:t>
      </w:r>
      <w:r>
        <w:t xml:space="preserve">, </w:t>
      </w:r>
      <w:r>
        <w:rPr>
          <w:lang w:val="en-US"/>
        </w:rPr>
        <w:t xml:space="preserve">by </w:t>
      </w:r>
      <w:r w:rsidRPr="00790B8D">
        <w:rPr>
          <w:i/>
        </w:rPr>
        <w:t>searchSpaceId</w:t>
      </w:r>
      <w:r w:rsidRPr="00B916EC">
        <w:t xml:space="preserve"> </w:t>
      </w:r>
    </w:p>
    <w:p w14:paraId="3818D87D" w14:textId="27471D86" w:rsidR="005329C2" w:rsidRPr="00B916EC" w:rsidRDefault="005329C2" w:rsidP="005329C2">
      <w:pPr>
        <w:pStyle w:val="B1"/>
      </w:pPr>
      <w:r>
        <w:t>-</w:t>
      </w:r>
      <w:r>
        <w:tab/>
        <w:t xml:space="preserve">an association between </w:t>
      </w:r>
      <w:r>
        <w:rPr>
          <w:lang w:val="en-US"/>
        </w:rPr>
        <w:t>the</w:t>
      </w:r>
      <w:r>
        <w:t xml:space="preserve"> search space set</w:t>
      </w:r>
      <w:r w:rsidR="001E40C7">
        <w:rPr>
          <w:lang w:val="en-GB"/>
        </w:rPr>
        <w:t xml:space="preserve"> </w:t>
      </w:r>
      <m:oMath>
        <m:r>
          <w:rPr>
            <w:rFonts w:ascii="Cambria Math" w:hAnsi="Cambria Math"/>
          </w:rPr>
          <m:t xml:space="preserve"> s</m:t>
        </m:r>
      </m:oMath>
      <w:r>
        <w:t xml:space="preserve"> and a CORESET </w:t>
      </w:r>
      <m:oMath>
        <m:r>
          <w:rPr>
            <w:rFonts w:ascii="Cambria Math" w:hAnsi="Cambria Math"/>
          </w:rPr>
          <m:t>p</m:t>
        </m:r>
      </m:oMath>
      <w:r>
        <w:rPr>
          <w:lang w:val="en-US"/>
        </w:rPr>
        <w:t xml:space="preserve"> by </w:t>
      </w:r>
      <w:r w:rsidRPr="00790B8D">
        <w:rPr>
          <w:i/>
        </w:rPr>
        <w:t>controlResourceSetId</w:t>
      </w:r>
      <w:r w:rsidRPr="00B916EC">
        <w:t xml:space="preserve"> </w:t>
      </w:r>
      <w:r w:rsidR="002F7D9D">
        <w:rPr>
          <w:lang w:val="en-US"/>
        </w:rPr>
        <w:t xml:space="preserve">or by </w:t>
      </w:r>
      <w:r w:rsidR="002F7D9D">
        <w:rPr>
          <w:i/>
          <w:iCs/>
        </w:rPr>
        <w:t>controlResourceSetId-v1610</w:t>
      </w:r>
    </w:p>
    <w:p w14:paraId="2C360529" w14:textId="2C0896A2" w:rsidR="005329C2" w:rsidRDefault="005329C2" w:rsidP="005329C2">
      <w:pPr>
        <w:pStyle w:val="B1"/>
        <w:rPr>
          <w:i/>
        </w:rPr>
      </w:pPr>
      <w:r>
        <w:t>-</w:t>
      </w:r>
      <w:r>
        <w:tab/>
      </w:r>
      <w:r w:rsidRPr="00B916EC">
        <w:t xml:space="preserve">a PDCCH monitoring periodicity of </w:t>
      </w:r>
      <m:oMath>
        <m:sSub>
          <m:sSubPr>
            <m:ctrlPr>
              <w:rPr>
                <w:rFonts w:ascii="Cambria Math" w:hAnsi="Cambria Math"/>
                <w:i/>
              </w:rPr>
            </m:ctrlPr>
          </m:sSubPr>
          <m:e>
            <m:r>
              <w:rPr>
                <w:rFonts w:ascii="Cambria Math" w:hAnsi="Cambria Math"/>
              </w:rPr>
              <m:t>k</m:t>
            </m:r>
          </m:e>
          <m:sub>
            <m:r>
              <w:rPr>
                <w:rFonts w:ascii="Cambria Math" w:hAnsi="Cambria Math"/>
              </w:rPr>
              <m:t>s</m:t>
            </m:r>
          </m:sub>
        </m:sSub>
      </m:oMath>
      <w:r w:rsidRPr="00B916EC">
        <w:t xml:space="preserve"> slots </w:t>
      </w:r>
      <w:r>
        <w:rPr>
          <w:lang w:val="en-US"/>
        </w:rPr>
        <w:t xml:space="preserve">and </w:t>
      </w:r>
      <w:r w:rsidRPr="00B916EC">
        <w:t xml:space="preserve">a PDCCH monitoring offset of </w:t>
      </w:r>
      <m:oMath>
        <m:sSub>
          <m:sSubPr>
            <m:ctrlPr>
              <w:rPr>
                <w:rFonts w:ascii="Cambria Math" w:hAnsi="Cambria Math"/>
                <w:i/>
              </w:rPr>
            </m:ctrlPr>
          </m:sSubPr>
          <m:e>
            <m:r>
              <w:rPr>
                <w:rFonts w:ascii="Cambria Math" w:hAnsi="Cambria Math"/>
              </w:rPr>
              <m:t>o</m:t>
            </m:r>
          </m:e>
          <m:sub>
            <m:r>
              <w:rPr>
                <w:rFonts w:ascii="Cambria Math" w:hAnsi="Cambria Math"/>
              </w:rPr>
              <m:t>s</m:t>
            </m:r>
          </m:sub>
        </m:sSub>
      </m:oMath>
      <w:r w:rsidRPr="00B916EC">
        <w:t xml:space="preserve"> slots, by </w:t>
      </w:r>
      <w:r w:rsidRPr="00260319">
        <w:rPr>
          <w:i/>
        </w:rPr>
        <w:t>monitoringSlotPeriodicityAndOffset</w:t>
      </w:r>
      <w:r w:rsidR="00702783" w:rsidRPr="00DF5852">
        <w:rPr>
          <w:iCs/>
          <w:lang w:val="en-US"/>
        </w:rPr>
        <w:t xml:space="preserve"> or by </w:t>
      </w:r>
      <w:r w:rsidR="00702783" w:rsidRPr="00260319">
        <w:rPr>
          <w:i/>
        </w:rPr>
        <w:t>monitoringSlotPeriodicityAndOffset</w:t>
      </w:r>
      <w:r w:rsidR="00702783">
        <w:rPr>
          <w:i/>
          <w:lang w:val="en-US"/>
        </w:rPr>
        <w:t>-r17</w:t>
      </w:r>
    </w:p>
    <w:p w14:paraId="2F70AFE4" w14:textId="3B9B22F8" w:rsidR="005329C2" w:rsidRDefault="005329C2" w:rsidP="005329C2">
      <w:pPr>
        <w:pStyle w:val="B1"/>
      </w:pPr>
      <w:r>
        <w:t>-</w:t>
      </w:r>
      <w:r>
        <w:tab/>
      </w:r>
      <w:r w:rsidRPr="00B916EC">
        <w:t xml:space="preserve">a PDCCH monitoring pattern within a slot, indicating first symbol(s) of the </w:t>
      </w:r>
      <w:r>
        <w:t>CORESET</w:t>
      </w:r>
      <w:r w:rsidRPr="00B916EC">
        <w:t xml:space="preserve"> for PDCCH monitoring</w:t>
      </w:r>
      <w:r w:rsidR="00702783">
        <w:rPr>
          <w:lang w:val="en-GB"/>
        </w:rPr>
        <w:t xml:space="preserve"> </w:t>
      </w:r>
      <w:r w:rsidR="00702783" w:rsidRPr="00B916EC">
        <w:t>with</w:t>
      </w:r>
      <w:r w:rsidR="00702783">
        <w:rPr>
          <w:lang w:val="en-US"/>
        </w:rPr>
        <w:t>in</w:t>
      </w:r>
      <w:r w:rsidR="00702783" w:rsidRPr="00B916EC">
        <w:t xml:space="preserve"> </w:t>
      </w:r>
      <w:r w:rsidR="00702783">
        <w:rPr>
          <w:lang w:val="en-US"/>
        </w:rPr>
        <w:t>each</w:t>
      </w:r>
      <w:r w:rsidR="00702783" w:rsidRPr="00B916EC">
        <w:t xml:space="preserve"> slot</w:t>
      </w:r>
      <w:r w:rsidR="00702783">
        <w:rPr>
          <w:lang w:val="en-US"/>
        </w:rPr>
        <w:t xml:space="preserve"> where the UE monitors PDCCH</w:t>
      </w:r>
      <w:r w:rsidRPr="00B916EC">
        <w:t xml:space="preserve">, by </w:t>
      </w:r>
      <w:r>
        <w:rPr>
          <w:i/>
        </w:rPr>
        <w:t>m</w:t>
      </w:r>
      <w:r w:rsidRPr="00C37E01">
        <w:rPr>
          <w:i/>
        </w:rPr>
        <w:t>on</w:t>
      </w:r>
      <w:r>
        <w:rPr>
          <w:i/>
        </w:rPr>
        <w:t>i</w:t>
      </w:r>
      <w:r w:rsidRPr="00C37E01">
        <w:rPr>
          <w:i/>
        </w:rPr>
        <w:t>toring</w:t>
      </w:r>
      <w:r>
        <w:rPr>
          <w:i/>
        </w:rPr>
        <w:t>SymbolsW</w:t>
      </w:r>
      <w:r w:rsidRPr="00C37E01">
        <w:rPr>
          <w:i/>
        </w:rPr>
        <w:t>ithin</w:t>
      </w:r>
      <w:r>
        <w:rPr>
          <w:i/>
        </w:rPr>
        <w:t>S</w:t>
      </w:r>
      <w:r w:rsidRPr="00C37E01">
        <w:rPr>
          <w:i/>
        </w:rPr>
        <w:t>lot</w:t>
      </w:r>
      <w:r>
        <w:t xml:space="preserve"> </w:t>
      </w:r>
    </w:p>
    <w:p w14:paraId="0C595999" w14:textId="1BE3696E" w:rsidR="00702783" w:rsidRPr="00CD6347" w:rsidRDefault="005329C2" w:rsidP="00702783">
      <w:pPr>
        <w:pStyle w:val="B1"/>
        <w:rPr>
          <w:iCs/>
          <w:lang w:val="en-US"/>
        </w:rPr>
      </w:pPr>
      <w:r>
        <w:t>-</w:t>
      </w:r>
      <w:r>
        <w:tab/>
      </w:r>
      <w:r w:rsidRPr="00B916EC">
        <w:t>a</w:t>
      </w:r>
      <w:r w:rsidRPr="005E4A6C">
        <w:t xml:space="preserve"> </w:t>
      </w:r>
      <w:r w:rsidRPr="005E4A6C">
        <w:rPr>
          <w:lang w:val="en-US"/>
        </w:rPr>
        <w:t xml:space="preserve">duration of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s</m:t>
            </m:r>
          </m:sub>
        </m:sSub>
      </m:oMath>
      <w:r w:rsidRPr="005E4A6C">
        <w:t xml:space="preserve"> indicating a number of slots that </w:t>
      </w:r>
      <w:r w:rsidRPr="005E4A6C">
        <w:rPr>
          <w:lang w:val="en-US"/>
        </w:rPr>
        <w:t xml:space="preserve">the </w:t>
      </w:r>
      <w:r w:rsidRPr="005E4A6C">
        <w:t>search space</w:t>
      </w:r>
      <w:r w:rsidRPr="005E4A6C">
        <w:rPr>
          <w:lang w:val="en-US"/>
        </w:rPr>
        <w:t xml:space="preserve"> set </w:t>
      </w:r>
      <m:oMath>
        <m:r>
          <w:rPr>
            <w:rFonts w:ascii="Cambria Math" w:hAnsi="Cambria Math"/>
          </w:rPr>
          <m:t>s</m:t>
        </m:r>
      </m:oMath>
      <w:r w:rsidRPr="005E4A6C">
        <w:t xml:space="preserve"> </w:t>
      </w:r>
      <w:r w:rsidRPr="005E4A6C">
        <w:rPr>
          <w:lang w:val="en-US"/>
        </w:rPr>
        <w:t>exists</w:t>
      </w:r>
      <w:r>
        <w:rPr>
          <w:lang w:val="en-US"/>
        </w:rPr>
        <w:t xml:space="preserve"> by </w:t>
      </w:r>
      <w:r w:rsidRPr="005E4A6C">
        <w:rPr>
          <w:i/>
          <w:lang w:val="en-US"/>
        </w:rPr>
        <w:t>duration</w:t>
      </w:r>
      <w:r w:rsidR="00702783">
        <w:rPr>
          <w:lang w:val="en-US"/>
        </w:rPr>
        <w:t xml:space="preserve">, </w:t>
      </w:r>
      <w:r w:rsidR="00702783" w:rsidRPr="00DF5852">
        <w:rPr>
          <w:iCs/>
          <w:lang w:val="en-US"/>
        </w:rPr>
        <w:t xml:space="preserve">or </w:t>
      </w:r>
      <w:r w:rsidR="00702783" w:rsidRPr="005E4A6C">
        <w:t xml:space="preserve">a number of slots </w:t>
      </w:r>
      <w:r w:rsidR="00702783">
        <w:rPr>
          <w:lang w:val="en-US"/>
        </w:rPr>
        <w:t>in consecutive groups of slots where</w:t>
      </w:r>
      <w:r w:rsidR="00702783" w:rsidRPr="005E4A6C">
        <w:t xml:space="preserve"> </w:t>
      </w:r>
      <w:r w:rsidR="00702783" w:rsidRPr="005E4A6C">
        <w:rPr>
          <w:lang w:val="en-US"/>
        </w:rPr>
        <w:t xml:space="preserve">the </w:t>
      </w:r>
      <w:r w:rsidR="00702783" w:rsidRPr="005E4A6C">
        <w:t>search space</w:t>
      </w:r>
      <w:r w:rsidR="00702783" w:rsidRPr="005E4A6C">
        <w:rPr>
          <w:lang w:val="en-US"/>
        </w:rPr>
        <w:t xml:space="preserve"> set </w:t>
      </w:r>
      <m:oMath>
        <m:r>
          <w:rPr>
            <w:rFonts w:ascii="Cambria Math" w:hAnsi="Cambria Math"/>
          </w:rPr>
          <m:t>s</m:t>
        </m:r>
      </m:oMath>
      <w:r w:rsidR="00702783" w:rsidRPr="005E4A6C">
        <w:t xml:space="preserve"> </w:t>
      </w:r>
      <w:r w:rsidR="00702783">
        <w:rPr>
          <w:lang w:val="en-US"/>
        </w:rPr>
        <w:t xml:space="preserve">can </w:t>
      </w:r>
      <w:r w:rsidR="00702783" w:rsidRPr="005E4A6C">
        <w:rPr>
          <w:lang w:val="en-US"/>
        </w:rPr>
        <w:t>exis</w:t>
      </w:r>
      <w:r w:rsidR="00702783">
        <w:rPr>
          <w:lang w:val="en-US"/>
        </w:rPr>
        <w:t xml:space="preserve">t </w:t>
      </w:r>
      <w:r w:rsidR="00702783" w:rsidRPr="00DF5852">
        <w:rPr>
          <w:iCs/>
          <w:lang w:val="en-US"/>
        </w:rPr>
        <w:t xml:space="preserve">by </w:t>
      </w:r>
      <w:r w:rsidR="00702783">
        <w:rPr>
          <w:i/>
          <w:lang w:val="en-US"/>
        </w:rPr>
        <w:t>duration-r17</w:t>
      </w:r>
    </w:p>
    <w:p w14:paraId="5ACEEE90" w14:textId="77777777" w:rsidR="00702783" w:rsidRDefault="00702783" w:rsidP="00702783">
      <w:pPr>
        <w:pStyle w:val="B1"/>
        <w:rPr>
          <w:lang w:val="en-US"/>
        </w:rPr>
      </w:pPr>
      <w:r w:rsidRPr="00CD6347">
        <w:t>-</w:t>
      </w:r>
      <w:r w:rsidRPr="00CD6347">
        <w:tab/>
      </w:r>
      <w:r>
        <w:rPr>
          <w:lang w:val="en-US"/>
        </w:rPr>
        <w:t xml:space="preserve">a bitmap, by </w:t>
      </w:r>
      <w:r w:rsidRPr="00CD6347">
        <w:rPr>
          <w:i/>
          <w:iCs/>
        </w:rPr>
        <w:t>monitoringSlotsWithinSlotGroup</w:t>
      </w:r>
      <w:r>
        <w:rPr>
          <w:lang w:val="en-US"/>
        </w:rPr>
        <w:t xml:space="preserve">, that applies per group of slots and provides </w:t>
      </w:r>
      <w:r w:rsidRPr="00CD6347">
        <w:t xml:space="preserve">a PDCCH monitoring pattern indicating </w:t>
      </w:r>
      <w:r w:rsidRPr="00CD6347">
        <w:rPr>
          <w:lang w:val="en-US"/>
        </w:rPr>
        <w:t>slots</w:t>
      </w:r>
      <w:r w:rsidRPr="00CD6347">
        <w:t xml:space="preserve"> </w:t>
      </w:r>
      <w:r w:rsidRPr="00CD6347">
        <w:rPr>
          <w:lang w:val="en-US"/>
        </w:rPr>
        <w:t xml:space="preserve">in a group of slots </w:t>
      </w:r>
      <w:r w:rsidRPr="00CD6347">
        <w:t>for PDCCH monitorin</w:t>
      </w:r>
      <w:r>
        <w:rPr>
          <w:lang w:val="en-US"/>
        </w:rPr>
        <w:t>g</w:t>
      </w:r>
    </w:p>
    <w:p w14:paraId="4FA2FC0E" w14:textId="77777777" w:rsidR="00702783" w:rsidRDefault="00702783" w:rsidP="00702783">
      <w:pPr>
        <w:pStyle w:val="B2"/>
      </w:pPr>
      <w:r w:rsidRPr="00CD6347">
        <w:t>-</w:t>
      </w:r>
      <w:r w:rsidRPr="00CD6347">
        <w:tab/>
      </w:r>
      <w:r>
        <w:t xml:space="preserve">a size of the group of slots is same as a size of </w:t>
      </w:r>
      <w:r w:rsidRPr="00CD6347">
        <w:rPr>
          <w:i/>
          <w:iCs/>
        </w:rPr>
        <w:t>monitoringSlotsWithinSlotGroup</w:t>
      </w:r>
    </w:p>
    <w:p w14:paraId="111887EF" w14:textId="0858E256" w:rsidR="005329C2" w:rsidRDefault="00702783" w:rsidP="00702783">
      <w:pPr>
        <w:pStyle w:val="B2"/>
        <w:rPr>
          <w:lang w:val="en-GB" w:eastAsia="zh-CN"/>
        </w:rPr>
      </w:pPr>
      <w:r w:rsidRPr="00C31CDD">
        <w:t>-</w:t>
      </w:r>
      <w:r w:rsidRPr="00C31CDD">
        <w:tab/>
        <w:t xml:space="preserve">for a Type1-PDCCH CSS set provided by </w:t>
      </w:r>
      <w:r w:rsidRPr="00C31CDD">
        <w:rPr>
          <w:i/>
        </w:rPr>
        <w:t>ra-SearchSpace</w:t>
      </w:r>
      <w:r w:rsidRPr="00C31CDD">
        <w:rPr>
          <w:iCs/>
        </w:rPr>
        <w:t xml:space="preserve"> in dedicated RRC signaling, or for a </w:t>
      </w:r>
      <w:r w:rsidRPr="00C31CDD">
        <w:t>Type3-PDCCH CSS set</w:t>
      </w:r>
      <w:r w:rsidRPr="00C31CDD">
        <w:rPr>
          <w:iCs/>
        </w:rPr>
        <w:t xml:space="preserve">, or for a USS set, the </w:t>
      </w:r>
      <w:r w:rsidRPr="00C31CDD">
        <w:t xml:space="preserve">PDCCH monitoring pattern </w:t>
      </w:r>
      <w:r>
        <w:t>indicates</w:t>
      </w:r>
      <w:r w:rsidRPr="00C31CDD">
        <w:t xml:space="preserve"> only consecutive slots </w:t>
      </w:r>
      <w:r>
        <w:t xml:space="preserve">in the group of slots for PDCCH monitoring </w:t>
      </w:r>
      <w:r w:rsidRPr="00C31CDD">
        <w:t xml:space="preserve">and, </w:t>
      </w:r>
      <w:r>
        <w:t>at least for one</w:t>
      </w:r>
      <w:r w:rsidRPr="00C31CDD">
        <w:t xml:space="preserve"> combination </w:t>
      </w:r>
      <m:oMath>
        <m:d>
          <m:dPr>
            <m:ctrlPr>
              <w:rPr>
                <w:rFonts w:ascii="Cambria Math" w:hAnsi="Cambria Math"/>
                <w:lang w:val="en-GB" w:eastAsia="zh-CN"/>
              </w:rPr>
            </m:ctrlPr>
          </m:dPr>
          <m:e>
            <m:sSub>
              <m:sSubPr>
                <m:ctrlPr>
                  <w:rPr>
                    <w:rFonts w:ascii="Cambria Math" w:hAnsi="Cambria Math"/>
                    <w:i/>
                    <w:lang w:val="en-GB" w:eastAsia="zh-CN"/>
                  </w:rPr>
                </m:ctrlPr>
              </m:sSubPr>
              <m:e>
                <m:r>
                  <w:rPr>
                    <w:rFonts w:ascii="Cambria Math" w:hAnsi="Cambria Math"/>
                    <w:lang w:eastAsia="zh-CN"/>
                  </w:rPr>
                  <m:t>X</m:t>
                </m:r>
              </m:e>
              <m:sub>
                <m:r>
                  <w:rPr>
                    <w:rFonts w:ascii="Cambria Math" w:hAnsi="Cambria Math"/>
                    <w:lang w:eastAsia="zh-CN"/>
                  </w:rPr>
                  <m:t>s</m:t>
                </m:r>
              </m:sub>
            </m:sSub>
            <m:r>
              <w:rPr>
                <w:rFonts w:ascii="Cambria Math" w:hAnsi="Cambria Math"/>
                <w:lang w:eastAsia="zh-CN"/>
              </w:rPr>
              <m:t>,</m:t>
            </m:r>
            <m:sSub>
              <m:sSubPr>
                <m:ctrlPr>
                  <w:rPr>
                    <w:rFonts w:ascii="Cambria Math" w:hAnsi="Cambria Math"/>
                    <w:i/>
                    <w:lang w:val="en-GB" w:eastAsia="zh-CN"/>
                  </w:rPr>
                </m:ctrlPr>
              </m:sSubPr>
              <m:e>
                <m:r>
                  <w:rPr>
                    <w:rFonts w:ascii="Cambria Math" w:hAnsi="Cambria Math"/>
                    <w:lang w:eastAsia="zh-CN"/>
                  </w:rPr>
                  <m:t>Y</m:t>
                </m:r>
              </m:e>
              <m:sub>
                <m:r>
                  <w:rPr>
                    <w:rFonts w:ascii="Cambria Math" w:hAnsi="Cambria Math"/>
                    <w:lang w:eastAsia="zh-CN"/>
                  </w:rPr>
                  <m:t>s</m:t>
                </m:r>
              </m:sub>
            </m:sSub>
          </m:e>
        </m:d>
      </m:oMath>
      <w:r>
        <w:rPr>
          <w:lang w:val="en-GB" w:eastAsia="zh-CN"/>
        </w:rPr>
        <w:t xml:space="preserve"> indicated by the UE as a capability</w:t>
      </w:r>
      <w:r w:rsidRPr="00C31CDD">
        <w:rPr>
          <w:lang w:eastAsia="zh-CN"/>
        </w:rPr>
        <w:t xml:space="preserve">, a number of the consecutive slots is not larger than </w:t>
      </w:r>
      <m:oMath>
        <m:sSub>
          <m:sSubPr>
            <m:ctrlPr>
              <w:rPr>
                <w:rFonts w:ascii="Cambria Math" w:hAnsi="Cambria Math"/>
                <w:i/>
                <w:lang w:val="en-GB" w:eastAsia="zh-CN"/>
              </w:rPr>
            </m:ctrlPr>
          </m:sSubPr>
          <m:e>
            <m:r>
              <w:rPr>
                <w:rFonts w:ascii="Cambria Math" w:hAnsi="Cambria Math"/>
                <w:lang w:eastAsia="zh-CN"/>
              </w:rPr>
              <m:t>Y</m:t>
            </m:r>
          </m:e>
          <m:sub>
            <m:r>
              <w:rPr>
                <w:rFonts w:ascii="Cambria Math" w:hAnsi="Cambria Math"/>
                <w:lang w:eastAsia="zh-CN"/>
              </w:rPr>
              <m:t>s</m:t>
            </m:r>
          </m:sub>
        </m:sSub>
      </m:oMath>
    </w:p>
    <w:p w14:paraId="185D7090" w14:textId="72E3DED8" w:rsidR="003B090A" w:rsidRPr="003B090A" w:rsidRDefault="003B090A" w:rsidP="003B090A">
      <w:pPr>
        <w:pStyle w:val="B2"/>
        <w:rPr>
          <w:lang w:eastAsia="zh-CN"/>
        </w:rPr>
      </w:pPr>
      <w:r>
        <w:t>-</w:t>
      </w:r>
      <w:r>
        <w:tab/>
      </w:r>
      <w:r w:rsidRPr="003B090A">
        <w:t xml:space="preserve">for a Type1-PDCCH CSS set provided by </w:t>
      </w:r>
      <w:r w:rsidRPr="003B090A">
        <w:rPr>
          <w:i/>
        </w:rPr>
        <w:t xml:space="preserve">ra-SearchSpace </w:t>
      </w:r>
      <w:r w:rsidRPr="003B090A">
        <w:rPr>
          <w:iCs/>
        </w:rPr>
        <w:t xml:space="preserve">in </w:t>
      </w:r>
      <w:r w:rsidRPr="003B090A">
        <w:rPr>
          <w:i/>
          <w:iCs/>
        </w:rPr>
        <w:t>SIB1</w:t>
      </w:r>
      <w:r w:rsidRPr="003B090A">
        <w:rPr>
          <w:iCs/>
        </w:rPr>
        <w:t xml:space="preserve">, the </w:t>
      </w:r>
      <w:r w:rsidRPr="003B090A">
        <w:t>PDCCH monitoring pattern indicates only up to 1 slot in the group of slots for PDCCH monitoring</w:t>
      </w:r>
    </w:p>
    <w:p w14:paraId="54EFBC08" w14:textId="6C1B8A8F" w:rsidR="003B090A" w:rsidRPr="00702783" w:rsidRDefault="003B090A" w:rsidP="003B090A">
      <w:pPr>
        <w:pStyle w:val="B2"/>
        <w:rPr>
          <w:iCs/>
        </w:rPr>
      </w:pPr>
      <w:r>
        <w:t>-</w:t>
      </w:r>
      <w:r>
        <w:tab/>
      </w:r>
      <w:r w:rsidRPr="003B090A">
        <w:t>for a Type0-PDCCH CSS set</w:t>
      </w:r>
      <w:r w:rsidRPr="003B090A">
        <w:rPr>
          <w:iCs/>
        </w:rPr>
        <w:t xml:space="preserve"> or for</w:t>
      </w:r>
      <w:r w:rsidRPr="003B090A">
        <w:t xml:space="preserve"> a Type0A-PDCCH CSS set</w:t>
      </w:r>
      <w:r w:rsidRPr="003B090A">
        <w:rPr>
          <w:iCs/>
        </w:rPr>
        <w:t xml:space="preserve">, or for </w:t>
      </w:r>
      <w:r w:rsidRPr="003B090A">
        <w:t>a Type2-PDCCH CSS set</w:t>
      </w:r>
      <w:r w:rsidRPr="003B090A">
        <w:rPr>
          <w:iCs/>
        </w:rPr>
        <w:t xml:space="preserve">, the </w:t>
      </w:r>
      <w:r w:rsidRPr="003B090A">
        <w:t xml:space="preserve">PDCCH monitoring pattern indicates slots in the group of slots for PDCCH monitoring, and </w:t>
      </w:r>
      <w:r w:rsidRPr="003B090A">
        <w:rPr>
          <w:lang w:eastAsia="zh-CN"/>
        </w:rPr>
        <w:t xml:space="preserve">the slots are </w:t>
      </w:r>
      <w:r w:rsidRPr="003B090A">
        <w:t>not restricted to be consecutive, and the</w:t>
      </w:r>
      <w:r w:rsidRPr="003B090A">
        <w:rPr>
          <w:lang w:eastAsia="zh-CN"/>
        </w:rPr>
        <w:t xml:space="preserve"> number of those slots is not larger than the size of </w:t>
      </w:r>
      <w:r w:rsidRPr="003B090A">
        <w:rPr>
          <w:i/>
          <w:iCs/>
          <w:lang w:val="en-GB"/>
        </w:rPr>
        <w:t>monitoringSlotsWithinSlotGroup</w:t>
      </w:r>
    </w:p>
    <w:p w14:paraId="7523A7F3" w14:textId="77777777" w:rsidR="005329C2" w:rsidRPr="00B916EC" w:rsidRDefault="005329C2" w:rsidP="005329C2">
      <w:pPr>
        <w:pStyle w:val="B1"/>
      </w:pPr>
      <w:r>
        <w:t>-</w:t>
      </w:r>
      <w:r>
        <w:tab/>
      </w:r>
      <w:r w:rsidRPr="00B916EC">
        <w:t xml:space="preserve">a number of PDCCH candidates </w:t>
      </w:r>
      <m:oMath>
        <m:sSubSup>
          <m:sSubSupPr>
            <m:ctrlPr>
              <w:rPr>
                <w:rFonts w:ascii="Cambria Math" w:hAnsi="Cambria Math"/>
                <w:i/>
              </w:rPr>
            </m:ctrlPr>
          </m:sSubSupPr>
          <m:e>
            <m:r>
              <w:rPr>
                <w:rFonts w:ascii="Cambria Math" w:hAnsi="Cambria Math"/>
              </w:rPr>
              <m:t>M</m:t>
            </m:r>
          </m:e>
          <m:sub>
            <m:r>
              <w:rPr>
                <w:rFonts w:ascii="Cambria Math" w:hAnsi="Cambria Math"/>
              </w:rPr>
              <m:t>s</m:t>
            </m:r>
          </m:sub>
          <m:sup>
            <m:r>
              <w:rPr>
                <w:rFonts w:ascii="Cambria Math" w:hAnsi="Cambria Math"/>
              </w:rPr>
              <m:t>(L)</m:t>
            </m:r>
          </m:sup>
        </m:sSubSup>
      </m:oMath>
      <w:r w:rsidRPr="00B916EC">
        <w:t xml:space="preserve"> </w:t>
      </w:r>
      <w:r w:rsidRPr="00B916EC">
        <w:rPr>
          <w:rFonts w:eastAsia="Yu Mincho"/>
          <w:iCs/>
          <w:lang w:val="en-US" w:eastAsia="ja-JP"/>
        </w:rPr>
        <w:t xml:space="preserve">per CCE aggregation level </w:t>
      </w:r>
      <m:oMath>
        <m:r>
          <w:rPr>
            <w:rFonts w:ascii="Cambria Math" w:hAnsi="Cambria Math"/>
          </w:rPr>
          <m:t>L</m:t>
        </m:r>
      </m:oMath>
      <w:r w:rsidRPr="00B916EC">
        <w:t xml:space="preserve"> by </w:t>
      </w:r>
      <w:r>
        <w:rPr>
          <w:i/>
        </w:rPr>
        <w:t>a</w:t>
      </w:r>
      <w:r w:rsidRPr="00B916EC">
        <w:rPr>
          <w:i/>
        </w:rPr>
        <w:t>ggregation</w:t>
      </w:r>
      <w:r>
        <w:rPr>
          <w:i/>
        </w:rPr>
        <w:t>L</w:t>
      </w:r>
      <w:r w:rsidRPr="00B916EC">
        <w:rPr>
          <w:i/>
        </w:rPr>
        <w:t>evel1</w:t>
      </w:r>
      <w:r w:rsidRPr="00B916EC">
        <w:t xml:space="preserve">, </w:t>
      </w:r>
      <w:r>
        <w:rPr>
          <w:i/>
        </w:rPr>
        <w:t>a</w:t>
      </w:r>
      <w:r w:rsidRPr="00B916EC">
        <w:rPr>
          <w:i/>
        </w:rPr>
        <w:t>ggregation</w:t>
      </w:r>
      <w:r>
        <w:rPr>
          <w:i/>
        </w:rPr>
        <w:t>L</w:t>
      </w:r>
      <w:r w:rsidRPr="00B916EC">
        <w:rPr>
          <w:i/>
        </w:rPr>
        <w:t>evel2</w:t>
      </w:r>
      <w:r w:rsidRPr="00B916EC">
        <w:t xml:space="preserve">, </w:t>
      </w:r>
      <w:r>
        <w:rPr>
          <w:i/>
        </w:rPr>
        <w:t>a</w:t>
      </w:r>
      <w:r w:rsidRPr="00B916EC">
        <w:rPr>
          <w:i/>
        </w:rPr>
        <w:t>ggregation</w:t>
      </w:r>
      <w:r>
        <w:rPr>
          <w:i/>
        </w:rPr>
        <w:t>L</w:t>
      </w:r>
      <w:r w:rsidRPr="00B916EC">
        <w:rPr>
          <w:i/>
        </w:rPr>
        <w:t>evel4</w:t>
      </w:r>
      <w:r w:rsidRPr="00B916EC">
        <w:t xml:space="preserve">, </w:t>
      </w:r>
      <w:r>
        <w:rPr>
          <w:i/>
        </w:rPr>
        <w:t>a</w:t>
      </w:r>
      <w:r w:rsidRPr="00B916EC">
        <w:rPr>
          <w:i/>
        </w:rPr>
        <w:t>ggregation</w:t>
      </w:r>
      <w:r>
        <w:rPr>
          <w:i/>
        </w:rPr>
        <w:t>L</w:t>
      </w:r>
      <w:r w:rsidRPr="00B916EC">
        <w:rPr>
          <w:i/>
        </w:rPr>
        <w:t>evel8</w:t>
      </w:r>
      <w:r w:rsidRPr="00B916EC">
        <w:t xml:space="preserve">, and </w:t>
      </w:r>
      <w:r>
        <w:rPr>
          <w:i/>
        </w:rPr>
        <w:t>a</w:t>
      </w:r>
      <w:r w:rsidRPr="00B916EC">
        <w:rPr>
          <w:i/>
        </w:rPr>
        <w:t>ggregation</w:t>
      </w:r>
      <w:r>
        <w:rPr>
          <w:i/>
        </w:rPr>
        <w:t>L</w:t>
      </w:r>
      <w:r w:rsidRPr="00B916EC">
        <w:rPr>
          <w:i/>
        </w:rPr>
        <w:t>evel16</w:t>
      </w:r>
      <w:r w:rsidRPr="00B916EC">
        <w:t>, for CCE aggregation level 1, CCE aggregation level 2, CCE aggregation level 4, CCE aggregation level 8, and CCE aggregation level 16, respectively</w:t>
      </w:r>
    </w:p>
    <w:p w14:paraId="73EF0418" w14:textId="77777777" w:rsidR="005329C2" w:rsidRPr="00D20E88" w:rsidRDefault="005329C2" w:rsidP="005329C2">
      <w:pPr>
        <w:pStyle w:val="B1"/>
      </w:pPr>
      <w:r>
        <w:t>-</w:t>
      </w:r>
      <w:r>
        <w:tab/>
      </w:r>
      <w:r w:rsidRPr="00B916EC">
        <w:t xml:space="preserve">an indication that search space set </w:t>
      </w:r>
      <m:oMath>
        <m:r>
          <w:rPr>
            <w:rFonts w:ascii="Cambria Math" w:hAnsi="Cambria Math"/>
          </w:rPr>
          <m:t>s</m:t>
        </m:r>
      </m:oMath>
      <w:r w:rsidRPr="00D20E88">
        <w:rPr>
          <w:lang w:val="en-US"/>
        </w:rPr>
        <w:t xml:space="preserve"> </w:t>
      </w:r>
      <w:r w:rsidRPr="00D20E88">
        <w:t xml:space="preserve">is </w:t>
      </w:r>
      <w:r w:rsidRPr="00D20E88">
        <w:rPr>
          <w:lang w:val="en-US"/>
        </w:rPr>
        <w:t>either</w:t>
      </w:r>
      <w:r w:rsidRPr="00D20E88">
        <w:t xml:space="preserve"> a CSS set or a USS set by </w:t>
      </w:r>
      <w:r w:rsidRPr="00D20E88">
        <w:rPr>
          <w:i/>
        </w:rPr>
        <w:t>searchSpaceType</w:t>
      </w:r>
      <w:r w:rsidRPr="00D20E88">
        <w:t xml:space="preserve"> </w:t>
      </w:r>
    </w:p>
    <w:p w14:paraId="337CFF6F" w14:textId="77777777" w:rsidR="005329C2" w:rsidRPr="00D20E88" w:rsidRDefault="005329C2" w:rsidP="005329C2">
      <w:pPr>
        <w:pStyle w:val="B1"/>
      </w:pPr>
      <w:r w:rsidRPr="00D20E88">
        <w:lastRenderedPageBreak/>
        <w:t>-</w:t>
      </w:r>
      <w:r w:rsidRPr="00D20E88">
        <w:tab/>
        <w:t xml:space="preserve">if search space set </w:t>
      </w:r>
      <m:oMath>
        <m:r>
          <w:rPr>
            <w:rFonts w:ascii="Cambria Math" w:hAnsi="Cambria Math"/>
          </w:rPr>
          <m:t>s</m:t>
        </m:r>
      </m:oMath>
      <w:r w:rsidRPr="00D20E88">
        <w:t xml:space="preserve"> is a CSS</w:t>
      </w:r>
      <w:r w:rsidRPr="00D20E88">
        <w:rPr>
          <w:lang w:val="en-US"/>
        </w:rPr>
        <w:t xml:space="preserve"> set</w:t>
      </w:r>
      <w:r w:rsidRPr="00D20E88">
        <w:t xml:space="preserve"> </w:t>
      </w:r>
    </w:p>
    <w:p w14:paraId="7C00EA4A" w14:textId="77777777" w:rsidR="00D00DFD" w:rsidRPr="00724F8F" w:rsidRDefault="00D00DFD" w:rsidP="00D00DFD">
      <w:pPr>
        <w:pStyle w:val="B2"/>
        <w:rPr>
          <w:lang w:val="en-US"/>
        </w:rPr>
      </w:pPr>
      <w:r w:rsidRPr="00724F8F">
        <w:t>-</w:t>
      </w:r>
      <w:r w:rsidRPr="00724F8F">
        <w:tab/>
        <w:t xml:space="preserve">an indication by </w:t>
      </w:r>
      <w:r w:rsidRPr="00724F8F">
        <w:rPr>
          <w:i/>
        </w:rPr>
        <w:t>dci-Format0-0-AndFormat1-0</w:t>
      </w:r>
      <w:r w:rsidRPr="00724F8F">
        <w:t xml:space="preserve"> to monitor PDCCH </w:t>
      </w:r>
      <w:r w:rsidRPr="00724F8F">
        <w:rPr>
          <w:lang w:val="en-US"/>
        </w:rPr>
        <w:t xml:space="preserve">candidates </w:t>
      </w:r>
      <w:r w:rsidRPr="00724F8F">
        <w:t xml:space="preserve">for DCI format 0_0 and DCI format 1_0 </w:t>
      </w:r>
    </w:p>
    <w:p w14:paraId="4A290F1F" w14:textId="2323D456" w:rsidR="00D00DFD" w:rsidRPr="00724F8F" w:rsidRDefault="00D00DFD" w:rsidP="00D00DFD">
      <w:pPr>
        <w:pStyle w:val="B2"/>
        <w:rPr>
          <w:lang w:val="en-US"/>
        </w:rPr>
      </w:pPr>
      <w:r w:rsidRPr="00724F8F">
        <w:t>-</w:t>
      </w:r>
      <w:r w:rsidRPr="00724F8F">
        <w:tab/>
        <w:t>an indication by</w:t>
      </w:r>
      <w:r w:rsidR="00725058">
        <w:rPr>
          <w:lang w:val="en-US"/>
        </w:rPr>
        <w:t xml:space="preserve"> </w:t>
      </w:r>
      <w:r w:rsidRPr="00724F8F">
        <w:rPr>
          <w:i/>
        </w:rPr>
        <w:t>dci-Format2-0</w:t>
      </w:r>
      <w:r w:rsidRPr="00724F8F">
        <w:rPr>
          <w:lang w:val="en-US"/>
        </w:rPr>
        <w:t xml:space="preserve"> </w:t>
      </w:r>
      <w:r w:rsidRPr="00724F8F">
        <w:t xml:space="preserve">to monitor </w:t>
      </w:r>
      <w:r w:rsidRPr="00724F8F">
        <w:rPr>
          <w:lang w:val="en-US"/>
        </w:rPr>
        <w:t xml:space="preserve">one or two </w:t>
      </w:r>
      <w:r w:rsidRPr="00724F8F">
        <w:t xml:space="preserve">PDCCH </w:t>
      </w:r>
      <w:r w:rsidRPr="00724F8F">
        <w:rPr>
          <w:lang w:val="en-US"/>
        </w:rPr>
        <w:t>candidates</w:t>
      </w:r>
      <w:r w:rsidR="005329C2">
        <w:rPr>
          <w:lang w:val="en-US"/>
        </w:rPr>
        <w:t>,</w:t>
      </w:r>
      <w:r w:rsidR="005329C2" w:rsidRPr="002241EE">
        <w:rPr>
          <w:lang w:val="en-US"/>
        </w:rPr>
        <w:t xml:space="preserve"> </w:t>
      </w:r>
      <w:r w:rsidR="005329C2" w:rsidRPr="00B64239">
        <w:rPr>
          <w:lang w:val="en-US"/>
        </w:rPr>
        <w:t xml:space="preserve">or </w:t>
      </w:r>
      <w:r w:rsidR="005329C2">
        <w:rPr>
          <w:lang w:val="en-US"/>
        </w:rPr>
        <w:t xml:space="preserve">to monitor </w:t>
      </w:r>
      <w:r w:rsidR="005329C2" w:rsidRPr="00B64239">
        <w:t>one PDCCH candidate</w:t>
      </w:r>
      <w:r w:rsidR="005329C2">
        <w:rPr>
          <w:lang w:val="en-US"/>
        </w:rPr>
        <w:t xml:space="preserve"> per RB set</w:t>
      </w:r>
      <w:r w:rsidR="005329C2" w:rsidRPr="00B64239">
        <w:rPr>
          <w:lang w:val="en-US"/>
        </w:rPr>
        <w:t xml:space="preserve"> if the UE is provided </w:t>
      </w:r>
      <w:r w:rsidR="005329C2" w:rsidRPr="00B64239">
        <w:rPr>
          <w:i/>
          <w:iCs/>
        </w:rPr>
        <w:t>freqMonitorLocation</w:t>
      </w:r>
      <w:r w:rsidR="00C35265">
        <w:rPr>
          <w:i/>
          <w:iCs/>
          <w:lang w:val="en-US"/>
        </w:rPr>
        <w:t>s</w:t>
      </w:r>
      <w:r w:rsidR="005329C2" w:rsidRPr="00B64239">
        <w:rPr>
          <w:i/>
          <w:iCs/>
        </w:rPr>
        <w:t xml:space="preserve"> </w:t>
      </w:r>
      <w:r w:rsidR="005329C2" w:rsidRPr="00B64239">
        <w:t>for the search space set</w:t>
      </w:r>
      <w:r w:rsidR="005329C2">
        <w:rPr>
          <w:lang w:val="en-US"/>
        </w:rPr>
        <w:t>,</w:t>
      </w:r>
      <w:r w:rsidRPr="00724F8F">
        <w:rPr>
          <w:lang w:val="en-US"/>
        </w:rPr>
        <w:t xml:space="preserve"> </w:t>
      </w:r>
      <w:r w:rsidRPr="00724F8F">
        <w:t>for DCI format 2_0 and</w:t>
      </w:r>
      <w:r w:rsidRPr="00724F8F">
        <w:rPr>
          <w:lang w:val="en-US"/>
        </w:rPr>
        <w:t xml:space="preserve"> a corresponding CCE aggregation level</w:t>
      </w:r>
    </w:p>
    <w:p w14:paraId="2435E404" w14:textId="77777777" w:rsidR="00D00DFD" w:rsidRPr="00724F8F" w:rsidRDefault="00D00DFD" w:rsidP="00D00DFD">
      <w:pPr>
        <w:pStyle w:val="B2"/>
        <w:rPr>
          <w:lang w:val="en-US"/>
        </w:rPr>
      </w:pPr>
      <w:r w:rsidRPr="00724F8F">
        <w:t>-</w:t>
      </w:r>
      <w:r w:rsidRPr="00724F8F">
        <w:tab/>
        <w:t xml:space="preserve">an indication by </w:t>
      </w:r>
      <w:r w:rsidRPr="00724F8F">
        <w:rPr>
          <w:i/>
        </w:rPr>
        <w:t>dci-Format2-1</w:t>
      </w:r>
      <w:r w:rsidRPr="00724F8F">
        <w:rPr>
          <w:lang w:val="en-US"/>
        </w:rPr>
        <w:t xml:space="preserve"> </w:t>
      </w:r>
      <w:r w:rsidRPr="00724F8F">
        <w:t xml:space="preserve">to monitor PDCCH </w:t>
      </w:r>
      <w:r w:rsidRPr="00724F8F">
        <w:rPr>
          <w:lang w:val="en-US"/>
        </w:rPr>
        <w:t xml:space="preserve">candidates </w:t>
      </w:r>
      <w:r w:rsidRPr="00724F8F">
        <w:t>for DCI format 2_1</w:t>
      </w:r>
    </w:p>
    <w:p w14:paraId="4279396E" w14:textId="77777777" w:rsidR="00D00DFD" w:rsidRPr="00724F8F" w:rsidRDefault="00D00DFD" w:rsidP="00D00DFD">
      <w:pPr>
        <w:pStyle w:val="B2"/>
        <w:rPr>
          <w:lang w:val="en-US"/>
        </w:rPr>
      </w:pPr>
      <w:r w:rsidRPr="00724F8F">
        <w:t>-</w:t>
      </w:r>
      <w:r w:rsidRPr="00724F8F">
        <w:tab/>
        <w:t xml:space="preserve">an indication by </w:t>
      </w:r>
      <w:r w:rsidRPr="00724F8F">
        <w:rPr>
          <w:i/>
        </w:rPr>
        <w:t>dci-Format2-2</w:t>
      </w:r>
      <w:r w:rsidRPr="00724F8F">
        <w:rPr>
          <w:lang w:val="en-US"/>
        </w:rPr>
        <w:t xml:space="preserve"> </w:t>
      </w:r>
      <w:r w:rsidRPr="00724F8F">
        <w:t xml:space="preserve">to monitor PDCCH </w:t>
      </w:r>
      <w:r w:rsidRPr="00724F8F">
        <w:rPr>
          <w:lang w:val="en-US"/>
        </w:rPr>
        <w:t xml:space="preserve">candidates </w:t>
      </w:r>
      <w:r w:rsidRPr="00724F8F">
        <w:t>for DCI format 2_2</w:t>
      </w:r>
    </w:p>
    <w:p w14:paraId="15469C82" w14:textId="77777777" w:rsidR="00B57182" w:rsidRDefault="00D00DFD" w:rsidP="00B57182">
      <w:pPr>
        <w:pStyle w:val="B2"/>
      </w:pPr>
      <w:r w:rsidRPr="00724F8F">
        <w:t>-</w:t>
      </w:r>
      <w:r w:rsidRPr="00724F8F">
        <w:tab/>
        <w:t xml:space="preserve">an indication by </w:t>
      </w:r>
      <w:r w:rsidRPr="00724F8F">
        <w:rPr>
          <w:i/>
        </w:rPr>
        <w:t>dci-Format2-3</w:t>
      </w:r>
      <w:r w:rsidRPr="00724F8F">
        <w:rPr>
          <w:lang w:val="en-US"/>
        </w:rPr>
        <w:t xml:space="preserve"> </w:t>
      </w:r>
      <w:r w:rsidRPr="00724F8F">
        <w:t xml:space="preserve">to monitor PDCCH </w:t>
      </w:r>
      <w:r w:rsidRPr="00724F8F">
        <w:rPr>
          <w:lang w:val="en-US"/>
        </w:rPr>
        <w:t xml:space="preserve">candidates </w:t>
      </w:r>
      <w:r w:rsidRPr="00724F8F">
        <w:t>for DCI format 2_3</w:t>
      </w:r>
    </w:p>
    <w:p w14:paraId="3F9D11D8" w14:textId="7E9C7332" w:rsidR="00D00DFD" w:rsidRDefault="00B57182" w:rsidP="00B57182">
      <w:pPr>
        <w:pStyle w:val="B2"/>
      </w:pPr>
      <w:r w:rsidRPr="00724F8F">
        <w:t>-</w:t>
      </w:r>
      <w:r w:rsidRPr="00724F8F">
        <w:tab/>
        <w:t xml:space="preserve">an indication by </w:t>
      </w:r>
      <w:r w:rsidRPr="00724F8F">
        <w:rPr>
          <w:i/>
        </w:rPr>
        <w:t>dci-Format2-</w:t>
      </w:r>
      <w:r>
        <w:rPr>
          <w:i/>
        </w:rPr>
        <w:t>4</w:t>
      </w:r>
      <w:r w:rsidRPr="00724F8F">
        <w:rPr>
          <w:lang w:val="en-US"/>
        </w:rPr>
        <w:t xml:space="preserve"> </w:t>
      </w:r>
      <w:r w:rsidRPr="00724F8F">
        <w:t xml:space="preserve">to monitor PDCCH </w:t>
      </w:r>
      <w:r w:rsidRPr="00724F8F">
        <w:rPr>
          <w:lang w:val="en-US"/>
        </w:rPr>
        <w:t xml:space="preserve">candidates </w:t>
      </w:r>
      <w:r w:rsidRPr="00724F8F">
        <w:t>for DCI format 2_</w:t>
      </w:r>
      <w:r>
        <w:t>4</w:t>
      </w:r>
    </w:p>
    <w:p w14:paraId="458DEA52" w14:textId="77777777" w:rsidR="0049167B" w:rsidRDefault="00887A74" w:rsidP="0049167B">
      <w:pPr>
        <w:pStyle w:val="B2"/>
      </w:pPr>
      <w:r w:rsidRPr="00724F8F">
        <w:t>-</w:t>
      </w:r>
      <w:r w:rsidRPr="00724F8F">
        <w:tab/>
        <w:t xml:space="preserve">an indication by </w:t>
      </w:r>
      <w:r w:rsidRPr="00724F8F">
        <w:rPr>
          <w:i/>
        </w:rPr>
        <w:t>dci-Format</w:t>
      </w:r>
      <w:r>
        <w:rPr>
          <w:i/>
        </w:rPr>
        <w:t>2-6</w:t>
      </w:r>
      <w:r w:rsidRPr="00724F8F">
        <w:rPr>
          <w:lang w:val="en-US"/>
        </w:rPr>
        <w:t xml:space="preserve"> </w:t>
      </w:r>
      <w:r w:rsidRPr="00724F8F">
        <w:t xml:space="preserve">to monitor PDCCH </w:t>
      </w:r>
      <w:r w:rsidRPr="00724F8F">
        <w:rPr>
          <w:lang w:val="en-US"/>
        </w:rPr>
        <w:t xml:space="preserve">candidates </w:t>
      </w:r>
      <w:r w:rsidRPr="00724F8F">
        <w:t xml:space="preserve">for DCI format </w:t>
      </w:r>
      <w:r>
        <w:t>2_6</w:t>
      </w:r>
    </w:p>
    <w:p w14:paraId="474435EB" w14:textId="119E54AB" w:rsidR="005366F8" w:rsidRPr="005366F8" w:rsidRDefault="005366F8" w:rsidP="005366F8">
      <w:pPr>
        <w:pStyle w:val="B2"/>
        <w:rPr>
          <w:lang w:val="en-GB"/>
        </w:rPr>
      </w:pPr>
      <w:r w:rsidRPr="005366F8">
        <w:t>-</w:t>
      </w:r>
      <w:r w:rsidRPr="005366F8">
        <w:tab/>
        <w:t xml:space="preserve">an indication by </w:t>
      </w:r>
      <w:r w:rsidRPr="005366F8">
        <w:rPr>
          <w:i/>
        </w:rPr>
        <w:t>dci-Format2-9</w:t>
      </w:r>
      <w:r w:rsidRPr="005366F8">
        <w:rPr>
          <w:lang w:val="en-US"/>
        </w:rPr>
        <w:t xml:space="preserve"> </w:t>
      </w:r>
      <w:r w:rsidRPr="005366F8">
        <w:t xml:space="preserve">to monitor PDCCH </w:t>
      </w:r>
      <w:r w:rsidRPr="005366F8">
        <w:rPr>
          <w:lang w:val="en-US"/>
        </w:rPr>
        <w:t xml:space="preserve">candidates </w:t>
      </w:r>
      <w:r w:rsidRPr="005366F8">
        <w:t>for DCI format 2_9</w:t>
      </w:r>
    </w:p>
    <w:p w14:paraId="70631FDB" w14:textId="77777777" w:rsidR="0049167B" w:rsidRPr="00B06CC2" w:rsidRDefault="0049167B" w:rsidP="0049167B">
      <w:pPr>
        <w:pStyle w:val="B2"/>
        <w:rPr>
          <w:lang w:val="en-US"/>
        </w:rPr>
      </w:pPr>
      <w:r w:rsidRPr="00B06CC2">
        <w:t>-</w:t>
      </w:r>
      <w:r w:rsidRPr="00B06CC2">
        <w:tab/>
        <w:t xml:space="preserve">an indication by </w:t>
      </w:r>
      <w:r w:rsidRPr="00B06CC2">
        <w:rPr>
          <w:i/>
        </w:rPr>
        <w:t>dci-Format</w:t>
      </w:r>
      <w:r>
        <w:rPr>
          <w:i/>
          <w:lang w:val="en-US"/>
        </w:rPr>
        <w:t>4-0</w:t>
      </w:r>
      <w:r>
        <w:rPr>
          <w:iCs/>
          <w:lang w:val="en-US"/>
        </w:rPr>
        <w:t xml:space="preserve"> </w:t>
      </w:r>
      <w:r w:rsidRPr="00B06CC2">
        <w:t xml:space="preserve">to monitor PDCCH </w:t>
      </w:r>
      <w:r w:rsidRPr="00B06CC2">
        <w:rPr>
          <w:lang w:val="en-US"/>
        </w:rPr>
        <w:t xml:space="preserve">candidates </w:t>
      </w:r>
      <w:r w:rsidRPr="00B06CC2">
        <w:t xml:space="preserve">for DCI format </w:t>
      </w:r>
      <w:r>
        <w:rPr>
          <w:lang w:val="en-US"/>
        </w:rPr>
        <w:t>4_0</w:t>
      </w:r>
    </w:p>
    <w:p w14:paraId="52FC2E23" w14:textId="5562EBDC" w:rsidR="00887A74" w:rsidRDefault="0049167B" w:rsidP="0049167B">
      <w:pPr>
        <w:pStyle w:val="B2"/>
        <w:rPr>
          <w:lang w:val="en-US"/>
        </w:rPr>
      </w:pPr>
      <w:r w:rsidRPr="00B06CC2">
        <w:t>-</w:t>
      </w:r>
      <w:r w:rsidRPr="00B06CC2">
        <w:tab/>
        <w:t xml:space="preserve">an indication by </w:t>
      </w:r>
      <w:r w:rsidRPr="00B06CC2">
        <w:rPr>
          <w:i/>
        </w:rPr>
        <w:t>dci-Format</w:t>
      </w:r>
      <w:r>
        <w:rPr>
          <w:i/>
          <w:lang w:val="en-US"/>
        </w:rPr>
        <w:t>4-1</w:t>
      </w:r>
      <w:r>
        <w:rPr>
          <w:iCs/>
          <w:lang w:val="en-US"/>
        </w:rPr>
        <w:t xml:space="preserve">, </w:t>
      </w:r>
      <w:r w:rsidRPr="00F06C01">
        <w:rPr>
          <w:iCs/>
          <w:lang w:val="en-US"/>
        </w:rPr>
        <w:t>or</w:t>
      </w:r>
      <w:r>
        <w:rPr>
          <w:i/>
          <w:lang w:val="en-US"/>
        </w:rPr>
        <w:t xml:space="preserve"> </w:t>
      </w:r>
      <w:r w:rsidRPr="00B06CC2">
        <w:rPr>
          <w:i/>
        </w:rPr>
        <w:t>dci-Format</w:t>
      </w:r>
      <w:r>
        <w:rPr>
          <w:i/>
          <w:lang w:val="en-US"/>
        </w:rPr>
        <w:t>4-2</w:t>
      </w:r>
      <w:r>
        <w:rPr>
          <w:lang w:val="en-US"/>
        </w:rPr>
        <w:t xml:space="preserve">, or </w:t>
      </w:r>
      <w:r w:rsidRPr="00B06CC2">
        <w:rPr>
          <w:i/>
        </w:rPr>
        <w:t>dci-Format</w:t>
      </w:r>
      <w:r>
        <w:rPr>
          <w:i/>
          <w:lang w:val="en-US"/>
        </w:rPr>
        <w:t>4</w:t>
      </w:r>
      <w:r w:rsidRPr="00B06CC2">
        <w:rPr>
          <w:i/>
        </w:rPr>
        <w:t>-</w:t>
      </w:r>
      <w:r>
        <w:rPr>
          <w:i/>
          <w:lang w:val="en-US"/>
        </w:rPr>
        <w:t>1</w:t>
      </w:r>
      <w:r w:rsidRPr="00B06CC2">
        <w:rPr>
          <w:i/>
        </w:rPr>
        <w:t>-AndFormat</w:t>
      </w:r>
      <w:r>
        <w:rPr>
          <w:i/>
          <w:lang w:val="en-US"/>
        </w:rPr>
        <w:t>4</w:t>
      </w:r>
      <w:r w:rsidRPr="00B06CC2">
        <w:rPr>
          <w:i/>
        </w:rPr>
        <w:t>-</w:t>
      </w:r>
      <w:r>
        <w:rPr>
          <w:i/>
          <w:lang w:val="en-US"/>
        </w:rPr>
        <w:t>2</w:t>
      </w:r>
      <w:r w:rsidRPr="00B06CC2">
        <w:t xml:space="preserve"> to monitor PDCCH </w:t>
      </w:r>
      <w:r w:rsidRPr="00B06CC2">
        <w:rPr>
          <w:lang w:val="en-US"/>
        </w:rPr>
        <w:t xml:space="preserve">candidates </w:t>
      </w:r>
      <w:r w:rsidRPr="00B06CC2">
        <w:t xml:space="preserve">for DCI format </w:t>
      </w:r>
      <w:r>
        <w:rPr>
          <w:lang w:val="en-US"/>
        </w:rPr>
        <w:t xml:space="preserve">4_1, or DCI format 4_2, or for both </w:t>
      </w:r>
      <w:r w:rsidRPr="00B06CC2">
        <w:rPr>
          <w:lang w:val="en-US"/>
        </w:rPr>
        <w:t>DCI format</w:t>
      </w:r>
      <w:r>
        <w:rPr>
          <w:lang w:val="en-US"/>
        </w:rPr>
        <w:t xml:space="preserve"> 4_1 and DCI format 4_2, respectively</w:t>
      </w:r>
    </w:p>
    <w:p w14:paraId="67BF5EF7" w14:textId="77777777" w:rsidR="00254F04" w:rsidRPr="00D617EC" w:rsidRDefault="00254F04" w:rsidP="00254F04">
      <w:pPr>
        <w:pStyle w:val="B1"/>
      </w:pPr>
      <w:r w:rsidRPr="00F415B1">
        <w:t>-</w:t>
      </w:r>
      <w:r w:rsidRPr="00F415B1">
        <w:tab/>
      </w:r>
      <w:r>
        <w:rPr>
          <w:lang w:val="en-US"/>
        </w:rPr>
        <w:t>an indication</w:t>
      </w:r>
      <w:r w:rsidRPr="00F415B1">
        <w:rPr>
          <w:lang w:val="en-US"/>
        </w:rPr>
        <w:t xml:space="preserve"> by </w:t>
      </w:r>
      <w:r w:rsidRPr="00F415B1">
        <w:rPr>
          <w:i/>
          <w:iCs/>
          <w:lang w:val="en-US"/>
        </w:rPr>
        <w:t>searchSpaceLinking</w:t>
      </w:r>
      <w:r>
        <w:rPr>
          <w:i/>
          <w:iCs/>
          <w:lang w:val="en-US"/>
        </w:rPr>
        <w:t>Id</w:t>
      </w:r>
      <w:r w:rsidRPr="00F415B1">
        <w:rPr>
          <w:lang w:val="en-US"/>
        </w:rPr>
        <w:t xml:space="preserve"> </w:t>
      </w:r>
      <w:r>
        <w:rPr>
          <w:lang w:val="en-US"/>
        </w:rPr>
        <w:t xml:space="preserve">that search space set </w:t>
      </w:r>
      <m:oMath>
        <m:r>
          <w:rPr>
            <w:rFonts w:ascii="Cambria Math" w:hAnsi="Cambria Math"/>
          </w:rPr>
          <m:t>s</m:t>
        </m:r>
      </m:oMath>
      <w:r w:rsidRPr="00F415B1">
        <w:rPr>
          <w:lang w:val="en-US"/>
        </w:rPr>
        <w:t xml:space="preserve"> </w:t>
      </w:r>
      <w:r>
        <w:rPr>
          <w:lang w:val="en-US"/>
        </w:rPr>
        <w:t>is linked to another search space set</w:t>
      </w:r>
      <w:r w:rsidRPr="00F415B1">
        <w:rPr>
          <w:lang w:val="en-US"/>
        </w:rPr>
        <w:t xml:space="preserve"> </w:t>
      </w:r>
      <w:r>
        <w:rPr>
          <w:lang w:val="en-US"/>
        </w:rPr>
        <w:t>for which</w:t>
      </w:r>
      <w:r w:rsidRPr="00F415B1">
        <w:rPr>
          <w:lang w:val="en-US"/>
        </w:rPr>
        <w:t xml:space="preserve"> is </w:t>
      </w:r>
      <w:r>
        <w:rPr>
          <w:lang w:val="en-US"/>
        </w:rPr>
        <w:t xml:space="preserve">provided a same value for </w:t>
      </w:r>
      <w:r w:rsidRPr="00F415B1">
        <w:rPr>
          <w:i/>
          <w:iCs/>
          <w:lang w:val="en-US"/>
        </w:rPr>
        <w:t>searchSpaceLinking</w:t>
      </w:r>
      <w:r>
        <w:rPr>
          <w:i/>
          <w:iCs/>
          <w:lang w:val="en-US"/>
        </w:rPr>
        <w:t>Id</w:t>
      </w:r>
      <w:r w:rsidRPr="00F415B1" w:rsidDel="00E04BD7">
        <w:rPr>
          <w:lang w:val="en-US"/>
        </w:rPr>
        <w:t xml:space="preserve"> </w:t>
      </w:r>
    </w:p>
    <w:p w14:paraId="2011EABD" w14:textId="77777777" w:rsidR="00CF6C0C" w:rsidRDefault="00D00DFD" w:rsidP="00DA4DCE">
      <w:pPr>
        <w:pStyle w:val="B1"/>
      </w:pPr>
      <w:r>
        <w:t>-</w:t>
      </w:r>
      <w:r>
        <w:tab/>
        <w:t xml:space="preserve">if search space set </w:t>
      </w:r>
      <m:oMath>
        <m:r>
          <w:rPr>
            <w:rFonts w:ascii="Cambria Math" w:hAnsi="Cambria Math"/>
          </w:rPr>
          <m:t>s</m:t>
        </m:r>
      </m:oMath>
      <w:r>
        <w:t xml:space="preserve"> is a </w:t>
      </w:r>
      <w:r w:rsidR="00F1657D">
        <w:t>USS</w:t>
      </w:r>
      <w:r>
        <w:rPr>
          <w:lang w:val="en-US"/>
        </w:rPr>
        <w:t xml:space="preserve"> set</w:t>
      </w:r>
      <w:r>
        <w:t xml:space="preserve">, </w:t>
      </w:r>
    </w:p>
    <w:p w14:paraId="6F0AE0B2" w14:textId="77777777" w:rsidR="00CF6C0C" w:rsidRDefault="00CF6C0C" w:rsidP="00CF6C0C">
      <w:pPr>
        <w:pStyle w:val="B2"/>
        <w:rPr>
          <w:lang w:val="en-US"/>
        </w:rPr>
      </w:pPr>
      <w:r>
        <w:rPr>
          <w:lang w:val="en-GB"/>
        </w:rPr>
        <w:t>-</w:t>
      </w:r>
      <w:r>
        <w:rPr>
          <w:lang w:val="en-GB"/>
        </w:rPr>
        <w:tab/>
      </w:r>
      <w:r w:rsidR="00D00DFD">
        <w:t xml:space="preserve">an indication by </w:t>
      </w:r>
      <w:r w:rsidR="00D00DFD" w:rsidRPr="00724F8F">
        <w:rPr>
          <w:i/>
        </w:rPr>
        <w:t>dci-Formats</w:t>
      </w:r>
      <w:r w:rsidR="00D00DFD">
        <w:t xml:space="preserve"> to monitor PDCCH</w:t>
      </w:r>
      <w:r w:rsidR="00D00DFD">
        <w:rPr>
          <w:lang w:val="en-US"/>
        </w:rPr>
        <w:t xml:space="preserve"> candidates</w:t>
      </w:r>
      <w:r w:rsidR="00D00DFD">
        <w:t xml:space="preserve"> either for DCI format 0_0 and DCI format 1_0, or for DCI format 0_1 and DCI format 1_1</w:t>
      </w:r>
      <w:r w:rsidR="00B57182">
        <w:rPr>
          <w:lang w:val="en-US"/>
        </w:rPr>
        <w:t>,</w:t>
      </w:r>
      <w:r w:rsidR="00B57182" w:rsidRPr="006C6DA1">
        <w:rPr>
          <w:lang w:val="en-US"/>
        </w:rPr>
        <w:t xml:space="preserve"> </w:t>
      </w:r>
      <w:r w:rsidR="00B57182" w:rsidRPr="00EE027F">
        <w:rPr>
          <w:lang w:val="en-US"/>
        </w:rPr>
        <w:t>or</w:t>
      </w:r>
      <w:r w:rsidR="00B57182">
        <w:rPr>
          <w:lang w:val="en-US"/>
        </w:rPr>
        <w:t xml:space="preserve"> </w:t>
      </w:r>
    </w:p>
    <w:p w14:paraId="423CA0BA" w14:textId="77777777" w:rsidR="00CF6C0C" w:rsidRDefault="00CF6C0C" w:rsidP="00CF6C0C">
      <w:pPr>
        <w:pStyle w:val="B2"/>
        <w:rPr>
          <w:lang w:val="en-US"/>
        </w:rPr>
      </w:pPr>
      <w:r>
        <w:rPr>
          <w:lang w:val="en-US"/>
        </w:rPr>
        <w:t>-</w:t>
      </w:r>
      <w:r>
        <w:rPr>
          <w:lang w:val="en-US"/>
        </w:rPr>
        <w:tab/>
      </w:r>
      <w:r w:rsidR="00B57182">
        <w:rPr>
          <w:lang w:val="en-US"/>
        </w:rPr>
        <w:t>an indication by</w:t>
      </w:r>
      <w:r w:rsidR="00B57182" w:rsidRPr="00EE027F">
        <w:rPr>
          <w:lang w:val="en-US"/>
        </w:rPr>
        <w:t xml:space="preserve"> </w:t>
      </w:r>
      <w:r w:rsidR="00B57182" w:rsidRPr="00316903">
        <w:rPr>
          <w:i/>
          <w:lang w:val="en-US"/>
        </w:rPr>
        <w:t>dci-Formats</w:t>
      </w:r>
      <w:r w:rsidR="002F7D9D">
        <w:rPr>
          <w:i/>
          <w:lang w:val="en-US"/>
        </w:rPr>
        <w:t>Ext</w:t>
      </w:r>
      <w:r w:rsidR="00B57182" w:rsidRPr="00316903">
        <w:rPr>
          <w:lang w:val="en-US"/>
        </w:rPr>
        <w:t xml:space="preserve"> </w:t>
      </w:r>
      <w:r w:rsidR="00B57182">
        <w:t>to monitor PDCCH</w:t>
      </w:r>
      <w:r w:rsidR="00B57182">
        <w:rPr>
          <w:lang w:val="en-US"/>
        </w:rPr>
        <w:t xml:space="preserve"> candidates</w:t>
      </w:r>
      <w:r w:rsidR="00B57182" w:rsidRPr="00EE027F">
        <w:rPr>
          <w:lang w:val="en-US"/>
        </w:rPr>
        <w:t xml:space="preserve"> for DCI format 0_</w:t>
      </w:r>
      <w:r w:rsidR="00B57182">
        <w:rPr>
          <w:lang w:val="en-US"/>
        </w:rPr>
        <w:t>2</w:t>
      </w:r>
      <w:r w:rsidR="00B57182" w:rsidRPr="00EE027F">
        <w:rPr>
          <w:lang w:val="en-US"/>
        </w:rPr>
        <w:t xml:space="preserve"> and DCI format 1_</w:t>
      </w:r>
      <w:r w:rsidR="00B57182">
        <w:rPr>
          <w:lang w:val="en-US"/>
        </w:rPr>
        <w:t xml:space="preserve">2, or for </w:t>
      </w:r>
      <w:r w:rsidR="00B57182">
        <w:t>DCI format 0_1, DCI format 1_1</w:t>
      </w:r>
      <w:r w:rsidR="00B57182">
        <w:rPr>
          <w:lang w:val="en-US"/>
        </w:rPr>
        <w:t xml:space="preserve">, </w:t>
      </w:r>
      <w:r w:rsidR="00B57182" w:rsidRPr="00EE027F">
        <w:rPr>
          <w:lang w:val="en-US"/>
        </w:rPr>
        <w:t>DCI format 0_</w:t>
      </w:r>
      <w:r w:rsidR="00B57182">
        <w:rPr>
          <w:lang w:val="en-US"/>
        </w:rPr>
        <w:t>2,</w:t>
      </w:r>
      <w:r w:rsidR="00B57182" w:rsidRPr="00EE027F">
        <w:rPr>
          <w:lang w:val="en-US"/>
        </w:rPr>
        <w:t xml:space="preserve"> and DCI format 1_</w:t>
      </w:r>
      <w:r w:rsidR="00B57182">
        <w:rPr>
          <w:lang w:val="en-US"/>
        </w:rPr>
        <w:t>2</w:t>
      </w:r>
      <w:r w:rsidR="00650C22">
        <w:rPr>
          <w:lang w:val="en-US"/>
        </w:rPr>
        <w:t xml:space="preserve">, </w:t>
      </w:r>
      <w:r w:rsidR="00C66B23">
        <w:rPr>
          <w:lang w:val="en-US"/>
        </w:rPr>
        <w:t xml:space="preserve">or </w:t>
      </w:r>
    </w:p>
    <w:p w14:paraId="6EB42273" w14:textId="720C133A" w:rsidR="00CF6C0C" w:rsidRDefault="00CF6C0C" w:rsidP="00CF6C0C">
      <w:pPr>
        <w:pStyle w:val="B2"/>
        <w:rPr>
          <w:lang w:val="en-US"/>
        </w:rPr>
      </w:pPr>
      <w:r>
        <w:rPr>
          <w:lang w:val="en-US"/>
        </w:rPr>
        <w:t>-</w:t>
      </w:r>
      <w:r>
        <w:rPr>
          <w:lang w:val="en-US"/>
        </w:rPr>
        <w:tab/>
        <w:t>an indication by</w:t>
      </w:r>
      <w:r w:rsidRPr="00EE027F">
        <w:rPr>
          <w:lang w:val="en-US"/>
        </w:rPr>
        <w:t xml:space="preserve"> </w:t>
      </w:r>
      <w:r w:rsidRPr="00AD2213">
        <w:rPr>
          <w:i/>
          <w:lang w:val="en-US"/>
        </w:rPr>
        <w:t>dci-FormatsMC</w:t>
      </w:r>
      <w:r w:rsidRPr="00316903">
        <w:rPr>
          <w:lang w:val="en-US"/>
        </w:rPr>
        <w:t xml:space="preserve"> </w:t>
      </w:r>
      <w:r>
        <w:t>to monitor PDCCH</w:t>
      </w:r>
      <w:r>
        <w:rPr>
          <w:lang w:val="en-US"/>
        </w:rPr>
        <w:t xml:space="preserve"> candidates</w:t>
      </w:r>
      <w:r w:rsidRPr="00EE027F">
        <w:rPr>
          <w:lang w:val="en-US"/>
        </w:rPr>
        <w:t xml:space="preserve"> for </w:t>
      </w:r>
      <w:r>
        <w:rPr>
          <w:lang w:val="en-US"/>
        </w:rPr>
        <w:t xml:space="preserve">one or both of </w:t>
      </w:r>
      <w:r w:rsidRPr="00EE027F">
        <w:rPr>
          <w:lang w:val="en-US"/>
        </w:rPr>
        <w:t>DCI format 0_</w:t>
      </w:r>
      <w:r>
        <w:rPr>
          <w:lang w:val="en-US"/>
        </w:rPr>
        <w:t>3</w:t>
      </w:r>
      <w:r w:rsidRPr="00EE027F">
        <w:rPr>
          <w:lang w:val="en-US"/>
        </w:rPr>
        <w:t xml:space="preserve"> and DCI format 1_</w:t>
      </w:r>
      <w:r>
        <w:rPr>
          <w:lang w:val="en-US"/>
        </w:rPr>
        <w:t xml:space="preserve">3, or </w:t>
      </w:r>
    </w:p>
    <w:p w14:paraId="07C25FFE" w14:textId="45764C2D" w:rsidR="00D00DFD" w:rsidRDefault="00CF6C0C" w:rsidP="00CF6C0C">
      <w:pPr>
        <w:pStyle w:val="B2"/>
      </w:pPr>
      <w:r>
        <w:rPr>
          <w:lang w:val="en-US"/>
        </w:rPr>
        <w:t>-</w:t>
      </w:r>
      <w:r>
        <w:rPr>
          <w:lang w:val="en-US"/>
        </w:rPr>
        <w:tab/>
      </w:r>
      <w:r w:rsidR="00C66B23" w:rsidRPr="001937FB">
        <w:rPr>
          <w:lang w:val="en-US"/>
        </w:rPr>
        <w:t xml:space="preserve">an indication by </w:t>
      </w:r>
      <w:r w:rsidR="00C66B23" w:rsidRPr="00237951">
        <w:rPr>
          <w:i/>
          <w:iCs/>
          <w:lang w:val="en-US"/>
        </w:rPr>
        <w:t>dci-FormatsSL</w:t>
      </w:r>
      <w:r w:rsidR="00C66B23" w:rsidRPr="001937FB">
        <w:rPr>
          <w:lang w:val="en-US"/>
        </w:rPr>
        <w:t xml:space="preserve"> to monitor PDCCH candidates for DCI format 0_0 and DCI format 1_0, or for DCI format 0_1 and DCI format 1_1, </w:t>
      </w:r>
      <w:r w:rsidR="00650C22">
        <w:rPr>
          <w:lang w:val="en-US"/>
        </w:rPr>
        <w:t xml:space="preserve">or for DCI </w:t>
      </w:r>
      <w:r w:rsidR="00650C22" w:rsidRPr="0090693C">
        <w:rPr>
          <w:lang w:val="en-US"/>
        </w:rPr>
        <w:t>format</w:t>
      </w:r>
      <w:r w:rsidR="00650C22">
        <w:rPr>
          <w:lang w:val="en-US"/>
        </w:rPr>
        <w:t xml:space="preserve"> 3_</w:t>
      </w:r>
      <w:r w:rsidR="00650C22" w:rsidRPr="0090693C">
        <w:rPr>
          <w:lang w:val="en-US"/>
        </w:rPr>
        <w:t xml:space="preserve">0, </w:t>
      </w:r>
      <w:r w:rsidR="00650C22">
        <w:rPr>
          <w:lang w:val="en-US"/>
        </w:rPr>
        <w:t xml:space="preserve">or for DCI </w:t>
      </w:r>
      <w:r w:rsidR="00650C22" w:rsidRPr="0090693C">
        <w:rPr>
          <w:lang w:val="en-US"/>
        </w:rPr>
        <w:t>format</w:t>
      </w:r>
      <w:r w:rsidR="00650C22">
        <w:rPr>
          <w:lang w:val="en-US"/>
        </w:rPr>
        <w:t xml:space="preserve"> 3_</w:t>
      </w:r>
      <w:r w:rsidR="00650C22" w:rsidRPr="0090693C">
        <w:rPr>
          <w:lang w:val="en-US"/>
        </w:rPr>
        <w:t xml:space="preserve">1, </w:t>
      </w:r>
      <w:r w:rsidR="00650C22">
        <w:rPr>
          <w:lang w:val="en-US"/>
        </w:rPr>
        <w:t>or for DCI format 3_0 and DCI format 3_1</w:t>
      </w:r>
      <w:r w:rsidR="00DB7D93">
        <w:rPr>
          <w:lang w:val="en-US"/>
        </w:rPr>
        <w:t xml:space="preserve">, on an indication by </w:t>
      </w:r>
      <w:r w:rsidR="00DB7D93" w:rsidRPr="00E41AFE">
        <w:rPr>
          <w:i/>
          <w:iCs/>
          <w:lang w:val="en-US"/>
        </w:rPr>
        <w:t>dci-Format-NCR</w:t>
      </w:r>
      <w:r w:rsidR="00DB7D93">
        <w:rPr>
          <w:lang w:val="en-US"/>
        </w:rPr>
        <w:t xml:space="preserve"> to monitor PDCCH candidates for DCI format 2_8</w:t>
      </w:r>
      <w:r w:rsidR="00D00DFD">
        <w:t xml:space="preserve"> </w:t>
      </w:r>
    </w:p>
    <w:p w14:paraId="739BBAB6" w14:textId="23B647AE" w:rsidR="00E103F9" w:rsidRPr="00DA4DCE" w:rsidRDefault="00E103F9" w:rsidP="00DA4DCE">
      <w:pPr>
        <w:pStyle w:val="B1"/>
        <w:rPr>
          <w:lang w:val="en-US"/>
        </w:rPr>
      </w:pPr>
      <w:r w:rsidRPr="00370E38">
        <w:t>-</w:t>
      </w:r>
      <w:r w:rsidRPr="00370E38">
        <w:tab/>
        <w:t xml:space="preserve">a bitmap by </w:t>
      </w:r>
      <w:r w:rsidRPr="00370E38">
        <w:rPr>
          <w:i/>
        </w:rPr>
        <w:t>freqMonitorLocation</w:t>
      </w:r>
      <w:r w:rsidR="00C35265">
        <w:rPr>
          <w:i/>
          <w:lang w:val="en-US"/>
        </w:rPr>
        <w:t>s</w:t>
      </w:r>
      <w:r w:rsidRPr="00370E38">
        <w:t xml:space="preserve">, if provided, to indicate </w:t>
      </w:r>
      <w:r w:rsidR="005329C2" w:rsidRPr="00F40D97">
        <w:rPr>
          <w:lang w:val="en-US"/>
        </w:rPr>
        <w:t xml:space="preserve">an index of </w:t>
      </w:r>
      <w:r w:rsidRPr="00370E38">
        <w:t xml:space="preserve">one or more RB sets for the search space set </w:t>
      </w:r>
      <m:oMath>
        <m:r>
          <w:rPr>
            <w:rFonts w:ascii="Cambria Math" w:hAnsi="Cambria Math"/>
          </w:rPr>
          <m:t>s</m:t>
        </m:r>
      </m:oMath>
      <w:r w:rsidRPr="00370E38">
        <w:t xml:space="preserve">, where the MSB </w:t>
      </w:r>
      <m:oMath>
        <m:r>
          <w:rPr>
            <w:rFonts w:ascii="Cambria Math" w:hAnsi="Cambria Math"/>
          </w:rPr>
          <m:t>k</m:t>
        </m:r>
      </m:oMath>
      <w:r w:rsidRPr="00370E38">
        <w:t xml:space="preserve"> in the bitmap corresponds to RB set </w:t>
      </w:r>
      <m:oMath>
        <m:r>
          <w:rPr>
            <w:rFonts w:ascii="Cambria Math" w:hAnsi="Cambria Math"/>
          </w:rPr>
          <m:t>k-1</m:t>
        </m:r>
      </m:oMath>
      <w:r w:rsidRPr="00370E38">
        <w:t xml:space="preserve"> in the DL BWP. For RB set </w:t>
      </w:r>
      <m:oMath>
        <m:r>
          <w:rPr>
            <w:rFonts w:ascii="Cambria Math" w:hAnsi="Cambria Math"/>
          </w:rPr>
          <m:t>k</m:t>
        </m:r>
      </m:oMath>
      <w:r w:rsidRPr="00370E38">
        <w:t xml:space="preserve"> indicated in the bitmap, the first PRB of the frequency domain monitoring location confined within the RB set is given by </w:t>
      </w:r>
      <m:oMath>
        <m:sSubSup>
          <m:sSubSupPr>
            <m:ctrlPr>
              <w:rPr>
                <w:rFonts w:ascii="Cambria Math" w:eastAsia="Malgun Gothic" w:hAnsi="Cambria Math"/>
                <w:lang w:val="zh-CN"/>
              </w:rPr>
            </m:ctrlPr>
          </m:sSubSupPr>
          <m:e>
            <m:r>
              <w:rPr>
                <w:rFonts w:ascii="Cambria Math" w:eastAsia="Malgun Gothic" w:hAnsi="Cambria Math"/>
                <w:lang w:val="zh-CN"/>
              </w:rPr>
              <m:t>RB</m:t>
            </m:r>
          </m:e>
          <m:sub>
            <m:r>
              <w:rPr>
                <w:rFonts w:ascii="Cambria Math" w:eastAsia="Malgun Gothic" w:hAnsi="Cambria Math"/>
                <w:lang w:val="zh-CN"/>
              </w:rPr>
              <m:t>s0+k</m:t>
            </m:r>
            <m:r>
              <m:rPr>
                <m:sty m:val="p"/>
              </m:rPr>
              <w:rPr>
                <w:rFonts w:ascii="Cambria Math" w:eastAsia="Malgun Gothic" w:hAnsi="Cambria Math"/>
                <w:lang w:val="en-US"/>
              </w:rPr>
              <m:t>,DL</m:t>
            </m:r>
          </m:sub>
          <m:sup>
            <m:r>
              <m:rPr>
                <m:sty m:val="p"/>
              </m:rPr>
              <w:rPr>
                <w:rFonts w:ascii="Cambria Math" w:eastAsia="Malgun Gothic" w:hAnsi="Cambria Math"/>
                <w:lang w:val="en-US"/>
              </w:rPr>
              <m:t>start</m:t>
            </m:r>
            <m:r>
              <w:rPr>
                <w:rFonts w:ascii="Cambria Math" w:eastAsia="Malgun Gothic" w:hAnsi="Cambria Math"/>
              </w:rPr>
              <m:t>,μ</m:t>
            </m:r>
          </m:sup>
        </m:sSubSup>
        <m:r>
          <m:rPr>
            <m:sty m:val="p"/>
          </m:rPr>
          <w:rPr>
            <w:rFonts w:ascii="Cambria Math" w:hAnsi="Cambria Math"/>
          </w:rPr>
          <m:t>+</m:t>
        </m:r>
        <m:sSubSup>
          <m:sSubSupPr>
            <m:ctrlPr>
              <w:rPr>
                <w:rFonts w:ascii="Cambria Math" w:hAnsi="Cambria Math"/>
              </w:rPr>
            </m:ctrlPr>
          </m:sSubSupPr>
          <m:e>
            <m:r>
              <w:rPr>
                <w:rFonts w:ascii="Cambria Math" w:hAnsi="Cambria Math"/>
              </w:rPr>
              <m:t>N</m:t>
            </m:r>
          </m:e>
          <m:sub>
            <m:r>
              <m:rPr>
                <m:sty m:val="p"/>
              </m:rPr>
              <w:rPr>
                <w:rFonts w:ascii="Cambria Math" w:hAnsi="Cambria Math"/>
              </w:rPr>
              <m:t>RB</m:t>
            </m:r>
          </m:sub>
          <m:sup>
            <m:r>
              <m:rPr>
                <m:sty m:val="p"/>
              </m:rPr>
              <w:rPr>
                <w:rFonts w:ascii="Cambria Math" w:hAnsi="Cambria Math"/>
              </w:rPr>
              <m:t>offset</m:t>
            </m:r>
          </m:sup>
        </m:sSubSup>
      </m:oMath>
      <w:r w:rsidRPr="00370E38">
        <w:t xml:space="preserve">, where </w:t>
      </w:r>
      <m:oMath>
        <m:sSubSup>
          <m:sSubSupPr>
            <m:ctrlPr>
              <w:rPr>
                <w:rFonts w:ascii="Cambria Math" w:eastAsia="Malgun Gothic" w:hAnsi="Cambria Math"/>
                <w:lang w:val="zh-CN"/>
              </w:rPr>
            </m:ctrlPr>
          </m:sSubSupPr>
          <m:e>
            <m:r>
              <w:rPr>
                <w:rFonts w:ascii="Cambria Math" w:eastAsia="Malgun Gothic" w:hAnsi="Cambria Math"/>
                <w:lang w:val="zh-CN"/>
              </w:rPr>
              <m:t>RB</m:t>
            </m:r>
          </m:e>
          <m:sub>
            <m:r>
              <w:rPr>
                <w:rFonts w:ascii="Cambria Math" w:eastAsia="Malgun Gothic" w:hAnsi="Cambria Math"/>
                <w:lang w:val="zh-CN"/>
              </w:rPr>
              <m:t>s0+k</m:t>
            </m:r>
            <m:r>
              <m:rPr>
                <m:sty m:val="p"/>
              </m:rPr>
              <w:rPr>
                <w:rFonts w:ascii="Cambria Math" w:eastAsia="Malgun Gothic" w:hAnsi="Cambria Math"/>
                <w:lang w:val="en-US"/>
              </w:rPr>
              <m:t>,DL</m:t>
            </m:r>
          </m:sub>
          <m:sup>
            <m:r>
              <m:rPr>
                <m:sty m:val="p"/>
              </m:rPr>
              <w:rPr>
                <w:rFonts w:ascii="Cambria Math" w:eastAsia="Malgun Gothic" w:hAnsi="Cambria Math"/>
                <w:lang w:val="en-US"/>
              </w:rPr>
              <m:t>start</m:t>
            </m:r>
            <m:r>
              <w:rPr>
                <w:rFonts w:ascii="Cambria Math" w:eastAsia="Malgun Gothic" w:hAnsi="Cambria Math"/>
              </w:rPr>
              <m:t>,μ</m:t>
            </m:r>
          </m:sup>
        </m:sSubSup>
      </m:oMath>
      <w:r w:rsidRPr="00370E38">
        <w:t xml:space="preserve"> is the index of first </w:t>
      </w:r>
      <w:r w:rsidR="005329C2">
        <w:rPr>
          <w:lang w:val="en-US"/>
        </w:rPr>
        <w:t xml:space="preserve">common </w:t>
      </w:r>
      <w:r w:rsidRPr="00370E38">
        <w:t xml:space="preserve">RB of the RB set </w:t>
      </w:r>
      <m:oMath>
        <m:r>
          <w:rPr>
            <w:rFonts w:ascii="Cambria Math" w:hAnsi="Cambria Math"/>
          </w:rPr>
          <m:t>k</m:t>
        </m:r>
      </m:oMath>
      <w:r w:rsidR="005329C2" w:rsidRPr="00F40D97">
        <w:rPr>
          <w:lang w:val="en-US"/>
        </w:rPr>
        <w:t xml:space="preserve"> [6, TS 38.214]</w:t>
      </w:r>
      <w:r w:rsidRPr="00370E38">
        <w:t xml:space="preserve">, and </w:t>
      </w:r>
      <m:oMath>
        <m:sSubSup>
          <m:sSubSupPr>
            <m:ctrlPr>
              <w:rPr>
                <w:rFonts w:ascii="Cambria Math" w:hAnsi="Cambria Math"/>
              </w:rPr>
            </m:ctrlPr>
          </m:sSubSupPr>
          <m:e>
            <m:r>
              <w:rPr>
                <w:rFonts w:ascii="Cambria Math" w:hAnsi="Cambria Math"/>
              </w:rPr>
              <m:t>N</m:t>
            </m:r>
          </m:e>
          <m:sub>
            <m:r>
              <m:rPr>
                <m:sty m:val="p"/>
              </m:rPr>
              <w:rPr>
                <w:rFonts w:ascii="Cambria Math" w:hAnsi="Cambria Math"/>
              </w:rPr>
              <m:t>RB</m:t>
            </m:r>
          </m:sub>
          <m:sup>
            <m:r>
              <m:rPr>
                <m:sty m:val="p"/>
              </m:rPr>
              <w:rPr>
                <w:rFonts w:ascii="Cambria Math" w:hAnsi="Cambria Math"/>
              </w:rPr>
              <m:t>offset</m:t>
            </m:r>
          </m:sup>
        </m:sSubSup>
      </m:oMath>
      <w:r w:rsidRPr="00370E38">
        <w:t xml:space="preserve"> is provided by </w:t>
      </w:r>
      <w:r w:rsidRPr="00370E38">
        <w:rPr>
          <w:i/>
        </w:rPr>
        <w:t>rb-</w:t>
      </w:r>
      <w:r w:rsidR="005329C2">
        <w:rPr>
          <w:i/>
          <w:lang w:val="en-US"/>
        </w:rPr>
        <w:t>O</w:t>
      </w:r>
      <w:r w:rsidR="005329C2" w:rsidRPr="00370E38">
        <w:rPr>
          <w:i/>
        </w:rPr>
        <w:t>ffset</w:t>
      </w:r>
      <w:r w:rsidR="005329C2" w:rsidRPr="00370E38">
        <w:t xml:space="preserve"> </w:t>
      </w:r>
      <w:r w:rsidRPr="00370E38">
        <w:t xml:space="preserve">or </w:t>
      </w:r>
      <m:oMath>
        <m:sSubSup>
          <m:sSubSupPr>
            <m:ctrlPr>
              <w:rPr>
                <w:rFonts w:ascii="Cambria Math" w:hAnsi="Cambria Math"/>
              </w:rPr>
            </m:ctrlPr>
          </m:sSubSupPr>
          <m:e>
            <m:r>
              <w:rPr>
                <w:rFonts w:ascii="Cambria Math" w:hAnsi="Cambria Math"/>
              </w:rPr>
              <m:t>N</m:t>
            </m:r>
          </m:e>
          <m:sub>
            <m:r>
              <m:rPr>
                <m:sty m:val="p"/>
              </m:rPr>
              <w:rPr>
                <w:rFonts w:ascii="Cambria Math" w:hAnsi="Cambria Math"/>
              </w:rPr>
              <m:t>RB</m:t>
            </m:r>
          </m:sub>
          <m:sup>
            <m:r>
              <m:rPr>
                <m:sty m:val="p"/>
              </m:rPr>
              <w:rPr>
                <w:rFonts w:ascii="Cambria Math" w:hAnsi="Cambria Math"/>
              </w:rPr>
              <m:t>offset</m:t>
            </m:r>
          </m:sup>
        </m:sSubSup>
        <m:r>
          <w:rPr>
            <w:rFonts w:ascii="Cambria Math" w:hAnsi="Cambria Math"/>
          </w:rPr>
          <m:t>=0</m:t>
        </m:r>
      </m:oMath>
      <w:r w:rsidRPr="00370E38">
        <w:t xml:space="preserve"> if </w:t>
      </w:r>
      <w:r w:rsidR="005329C2" w:rsidRPr="00370E38">
        <w:rPr>
          <w:i/>
        </w:rPr>
        <w:t>rb-</w:t>
      </w:r>
      <w:r w:rsidR="005329C2">
        <w:rPr>
          <w:i/>
          <w:lang w:val="en-US"/>
        </w:rPr>
        <w:t>O</w:t>
      </w:r>
      <w:r w:rsidR="005329C2" w:rsidRPr="00370E38">
        <w:rPr>
          <w:i/>
        </w:rPr>
        <w:t>ffset</w:t>
      </w:r>
      <w:r w:rsidRPr="00370E38">
        <w:t xml:space="preserve"> is not provided. </w:t>
      </w:r>
      <w:r w:rsidR="005329C2">
        <w:rPr>
          <w:lang w:val="en-US"/>
        </w:rPr>
        <w:t>For each RB set with a corresponding value of 1 in the bitmap, t</w:t>
      </w:r>
      <w:r w:rsidR="005329C2" w:rsidRPr="00370E38">
        <w:t xml:space="preserve">he </w:t>
      </w:r>
      <w:r w:rsidRPr="00370E38">
        <w:t xml:space="preserve">frequency domain resource allocation pattern for </w:t>
      </w:r>
      <w:r w:rsidR="005329C2">
        <w:rPr>
          <w:lang w:val="en-US"/>
        </w:rPr>
        <w:t>the</w:t>
      </w:r>
      <w:r w:rsidR="005329C2" w:rsidRPr="00370E38">
        <w:t xml:space="preserve"> </w:t>
      </w:r>
      <w:r w:rsidRPr="00370E38">
        <w:t xml:space="preserve">monitoring location is determined based on the first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RBG, set 0</m:t>
            </m:r>
          </m:sub>
          <m:sup>
            <m:r>
              <m:rPr>
                <m:sty m:val="p"/>
              </m:rPr>
              <w:rPr>
                <w:rFonts w:ascii="Cambria Math" w:hAnsi="Cambria Math"/>
              </w:rPr>
              <m:t>size</m:t>
            </m:r>
          </m:sup>
        </m:sSubSup>
      </m:oMath>
      <w:r w:rsidRPr="00370E38">
        <w:t xml:space="preserve"> bits in </w:t>
      </w:r>
      <w:r w:rsidRPr="00370E38">
        <w:rPr>
          <w:i/>
        </w:rPr>
        <w:t>frequencyDomainResources</w:t>
      </w:r>
      <w:r w:rsidRPr="00370E38">
        <w:t xml:space="preserve"> provided by the associated CORESET configuration.</w:t>
      </w:r>
    </w:p>
    <w:p w14:paraId="46E9428E" w14:textId="77777777" w:rsidR="0042018C" w:rsidRPr="00D41C21" w:rsidRDefault="0042018C" w:rsidP="0042018C">
      <w:r w:rsidRPr="00B908D3">
        <w:t xml:space="preserve">If the </w:t>
      </w:r>
      <w:r w:rsidRPr="00AE1814">
        <w:rPr>
          <w:i/>
        </w:rPr>
        <w:t>monitoringSymbols</w:t>
      </w:r>
      <w:r w:rsidRPr="00FE454B">
        <w:rPr>
          <w:i/>
        </w:rPr>
        <w:t>WithinSlot</w:t>
      </w:r>
      <w:r w:rsidRPr="00775435">
        <w:t xml:space="preserve"> indicates to a UE </w:t>
      </w:r>
      <w:r w:rsidRPr="00D41C21">
        <w:t>to monitor PDCCH</w:t>
      </w:r>
      <w:r w:rsidR="002B5188">
        <w:t xml:space="preserve"> </w:t>
      </w:r>
      <w:r w:rsidRPr="00417BB1">
        <w:t xml:space="preserve">in a subset of up to three consecutive symbols that are same in every slot where the UE monitors PDCCH for all search space sets, the UE does not expect to be configured with a PDCCH </w:t>
      </w:r>
      <w:r w:rsidR="00143099">
        <w:t>SCS</w:t>
      </w:r>
      <w:r w:rsidRPr="00417BB1">
        <w:t xml:space="preserve"> other than 15 kHz </w:t>
      </w:r>
      <w:r w:rsidRPr="00AE1814">
        <w:t xml:space="preserve">if the </w:t>
      </w:r>
      <w:r w:rsidRPr="00417BB1">
        <w:t>subset</w:t>
      </w:r>
      <w:r w:rsidRPr="00AE1814">
        <w:t xml:space="preserve"> includes at least one symbol after the third </w:t>
      </w:r>
      <w:r w:rsidRPr="00FE454B">
        <w:t>symbol</w:t>
      </w:r>
      <w:r w:rsidRPr="00D41C21">
        <w:t xml:space="preserve">. </w:t>
      </w:r>
    </w:p>
    <w:p w14:paraId="7DAB0CA9" w14:textId="77777777" w:rsidR="008E29B6" w:rsidRDefault="008E29B6" w:rsidP="008E29B6">
      <w:r>
        <w:t xml:space="preserve">A UE does not expect to be provided a first symbol and a number of consecutive symbols for a </w:t>
      </w:r>
      <w:r w:rsidR="00C76664">
        <w:t>CORESET</w:t>
      </w:r>
      <w:r>
        <w:t xml:space="preserve"> that results to a PDCCH candidate mapping to symbols of different slots.</w:t>
      </w:r>
    </w:p>
    <w:p w14:paraId="2611AFC0" w14:textId="77777777" w:rsidR="008E29B6" w:rsidRDefault="008E29B6" w:rsidP="008E29B6">
      <w:r>
        <w:t>A UE does not expect any two PDCCH monitoring occasions</w:t>
      </w:r>
      <w:r w:rsidR="00084CE8" w:rsidRPr="00D20E88">
        <w:t xml:space="preserve"> on an active DL BWP</w:t>
      </w:r>
      <w:r>
        <w:t xml:space="preserve">, for a same search space set or for different search space sets, in a same </w:t>
      </w:r>
      <w:r w:rsidR="00C76664">
        <w:t>CORESET</w:t>
      </w:r>
      <w:r>
        <w:t xml:space="preserve"> to be separated by a non-zero number of symbols that is smaller than the </w:t>
      </w:r>
      <w:r w:rsidR="00C76664">
        <w:t>CORESET</w:t>
      </w:r>
      <w:r>
        <w:t xml:space="preserve"> duration.</w:t>
      </w:r>
      <w:r w:rsidDel="00560D59">
        <w:t xml:space="preserve"> </w:t>
      </w:r>
    </w:p>
    <w:p w14:paraId="414810EA" w14:textId="03377BAA" w:rsidR="004A535A" w:rsidRPr="004A535A" w:rsidRDefault="004A535A" w:rsidP="004A535A">
      <w:pPr>
        <w:snapToGrid w:val="0"/>
      </w:pPr>
      <w:r w:rsidRPr="004A535A">
        <w:lastRenderedPageBreak/>
        <w:t xml:space="preserve">A UE determines a PDCCH monitoring occasion on an active DL BWP from the PDCCH monitoring periodicity, the PDCCH monitoring offset, and the PDCCH monitoring pattern within a slot. If </w:t>
      </w:r>
      <w:r w:rsidRPr="004A535A">
        <w:rPr>
          <w:i/>
          <w:iCs/>
        </w:rPr>
        <w:t>monitoringSlotsWithinSlotGroup</w:t>
      </w:r>
      <w:r w:rsidRPr="004A535A">
        <w:rPr>
          <w:rFonts w:eastAsia="Yu Mincho"/>
          <w:lang w:eastAsia="ja-JP"/>
        </w:rPr>
        <w:t xml:space="preserve"> is not provided, </w:t>
      </w:r>
      <w:r w:rsidRPr="004A535A">
        <w:rPr>
          <w:rFonts w:eastAsia="Yu Mincho"/>
        </w:rPr>
        <w:t xml:space="preserve"> the UE determines that PDCCH monitoring occasions exist in a slot with number </w:t>
      </w:r>
      <m:oMath>
        <m:sSubSup>
          <m:sSubSupPr>
            <m:ctrlPr>
              <w:rPr>
                <w:rFonts w:ascii="Cambria Math" w:hAnsi="Cambria Math"/>
                <w:i/>
              </w:rPr>
            </m:ctrlPr>
          </m:sSubSupPr>
          <m:e>
            <m:r>
              <w:rPr>
                <w:rFonts w:ascii="Cambria Math" w:hAnsi="Cambria Math"/>
              </w:rPr>
              <m:t>n</m:t>
            </m:r>
          </m:e>
          <m:sub>
            <m:r>
              <w:rPr>
                <w:rFonts w:ascii="Cambria Math" w:hAnsi="Cambria Math"/>
              </w:rPr>
              <m:t>s,f</m:t>
            </m:r>
          </m:sub>
          <m:sup>
            <m:r>
              <w:rPr>
                <w:rFonts w:ascii="Cambria Math" w:hAnsi="Cambria Math"/>
              </w:rPr>
              <m:t>μ</m:t>
            </m:r>
          </m:sup>
        </m:sSubSup>
      </m:oMath>
      <w:r w:rsidRPr="004A535A">
        <w:t xml:space="preserve"> [4, TS 38.211] in a frame with number </w:t>
      </w:r>
      <m:oMath>
        <m:sSub>
          <m:sSubPr>
            <m:ctrlPr>
              <w:rPr>
                <w:rFonts w:ascii="Cambria Math" w:hAnsi="Cambria Math"/>
                <w:i/>
              </w:rPr>
            </m:ctrlPr>
          </m:sSubPr>
          <m:e>
            <m:r>
              <w:rPr>
                <w:rFonts w:ascii="Cambria Math" w:hAnsi="Cambria Math"/>
              </w:rPr>
              <m:t>n</m:t>
            </m:r>
          </m:e>
          <m:sub>
            <m:r>
              <w:rPr>
                <w:rFonts w:ascii="Cambria Math" w:hAnsi="Cambria Math"/>
              </w:rPr>
              <m:t>f</m:t>
            </m:r>
          </m:sub>
        </m:sSub>
      </m:oMath>
      <w:r w:rsidRPr="004A535A">
        <w:t xml:space="preserve"> if </w:t>
      </w:r>
      <w:r w:rsidRPr="004A535A">
        <w:rPr>
          <w:lang w:val="en-US"/>
        </w:rPr>
        <w:t>(</w:t>
      </w:r>
      <m:oMath>
        <m:sSub>
          <m:sSubPr>
            <m:ctrlPr>
              <w:rPr>
                <w:rFonts w:ascii="Cambria Math" w:hAnsi="Cambria Math"/>
                <w:i/>
              </w:rPr>
            </m:ctrlPr>
          </m:sSubPr>
          <m:e>
            <m:r>
              <w:rPr>
                <w:rFonts w:ascii="Cambria Math" w:hAnsi="Cambria Math"/>
              </w:rPr>
              <m:t>n</m:t>
            </m:r>
          </m:e>
          <m:sub>
            <m:r>
              <w:rPr>
                <w:rFonts w:ascii="Cambria Math" w:hAnsi="Cambria Math"/>
              </w:rPr>
              <m:t>f</m:t>
            </m:r>
          </m:sub>
        </m:sSub>
      </m:oMath>
      <w:r w:rsidRPr="004A535A">
        <w:rPr>
          <w:rFonts w:eastAsia="DengXian"/>
        </w:rPr>
        <w:t xml:space="preserve"> </w:t>
      </w:r>
      <m:oMath>
        <m:sSubSup>
          <m:sSubSupPr>
            <m:ctrlPr>
              <w:rPr>
                <w:rFonts w:ascii="Cambria Math" w:hAnsi="Cambria Math"/>
                <w:i/>
              </w:rPr>
            </m:ctrlPr>
          </m:sSubSupPr>
          <m:e>
            <m:r>
              <w:rPr>
                <w:rFonts w:ascii="Cambria Math" w:hAnsi="Cambria Math"/>
              </w:rPr>
              <m:t>N</m:t>
            </m:r>
          </m:e>
          <m:sub>
            <m:r>
              <w:rPr>
                <w:rFonts w:ascii="Cambria Math" w:hAnsi="Cambria Math"/>
              </w:rPr>
              <m:t xml:space="preserve">slot </m:t>
            </m:r>
          </m:sub>
          <m:sup>
            <m:r>
              <w:rPr>
                <w:rFonts w:ascii="Cambria Math" w:hAnsi="Cambria Math"/>
              </w:rPr>
              <m:t>frame, μ</m:t>
            </m:r>
          </m:sup>
        </m:sSubSup>
      </m:oMath>
      <w:r w:rsidRPr="004A535A">
        <w:rPr>
          <w:rFonts w:eastAsia="DengXian"/>
        </w:rPr>
        <w:t>+</w:t>
      </w:r>
      <m:oMath>
        <m:r>
          <w:rPr>
            <w:rFonts w:ascii="Cambria Math" w:hAnsi="Cambria Math"/>
          </w:rPr>
          <m:t xml:space="preserve"> </m:t>
        </m:r>
        <m:sSubSup>
          <m:sSubSupPr>
            <m:ctrlPr>
              <w:rPr>
                <w:rFonts w:ascii="Cambria Math" w:hAnsi="Cambria Math"/>
                <w:i/>
              </w:rPr>
            </m:ctrlPr>
          </m:sSubSupPr>
          <m:e>
            <m:r>
              <w:rPr>
                <w:rFonts w:ascii="Cambria Math" w:hAnsi="Cambria Math"/>
              </w:rPr>
              <m:t>n</m:t>
            </m:r>
          </m:e>
          <m:sub>
            <m:r>
              <w:rPr>
                <w:rFonts w:ascii="Cambria Math" w:hAnsi="Cambria Math"/>
              </w:rPr>
              <m:t xml:space="preserve">s,f </m:t>
            </m:r>
          </m:sub>
          <m:sup>
            <m:r>
              <w:rPr>
                <w:rFonts w:ascii="Cambria Math" w:hAnsi="Cambria Math"/>
              </w:rPr>
              <m:t>μ</m:t>
            </m:r>
          </m:sup>
        </m:sSubSup>
      </m:oMath>
      <w:r w:rsidRPr="004A535A">
        <w:rPr>
          <w:rFonts w:eastAsia="DengXian"/>
        </w:rPr>
        <w:t>-</w:t>
      </w:r>
      <m:oMath>
        <m:r>
          <w:rPr>
            <w:rFonts w:ascii="Cambria Math" w:eastAsia="DengXian"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s</m:t>
            </m:r>
          </m:sub>
        </m:sSub>
      </m:oMath>
      <w:r w:rsidRPr="004A535A">
        <w:rPr>
          <w:rFonts w:eastAsia="DengXian"/>
        </w:rPr>
        <w:t>)</w:t>
      </w:r>
      <m:oMath>
        <m:r>
          <w:rPr>
            <w:rFonts w:ascii="Cambria Math" w:hAnsi="Cambria Math"/>
          </w:rPr>
          <m:t xml:space="preserve"> </m:t>
        </m:r>
        <m:r>
          <m:rPr>
            <m:sty m:val="p"/>
          </m:rPr>
          <w:rPr>
            <w:rFonts w:ascii="Cambria Math" w:hAnsi="Cambria Math"/>
          </w:rPr>
          <m:t>mod</m:t>
        </m:r>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=0</m:t>
        </m:r>
      </m:oMath>
      <w:r w:rsidRPr="004A535A">
        <w:rPr>
          <w:rFonts w:eastAsia="Yu Mincho"/>
          <w:lang w:eastAsia="ja-JP"/>
        </w:rPr>
        <w:fldChar w:fldCharType="begin"/>
      </w:r>
      <w:r w:rsidRPr="004A535A">
        <w:rPr>
          <w:rFonts w:eastAsia="Yu Mincho"/>
          <w:lang w:eastAsia="ja-JP"/>
        </w:rPr>
        <w:instrText xml:space="preserve"> QUOTE </w:instrText>
      </w:r>
      <m:oMath>
        <m:d>
          <m:dPr>
            <m:ctrlPr>
              <w:rPr>
                <w:rFonts w:ascii="Cambria Math" w:eastAsia="Yu Mincho" w:hAnsi="Cambria Math"/>
              </w:rPr>
            </m:ctrlPr>
          </m:dPr>
          <m:e>
            <m:sSub>
              <m:sSubPr>
                <m:ctrlPr>
                  <w:rPr>
                    <w:rFonts w:ascii="Cambria Math" w:eastAsia="Yu Mincho" w:hAnsi="Cambria Math"/>
                  </w:rPr>
                </m:ctrlPr>
              </m:sSubPr>
              <m:e>
                <m:r>
                  <m:rPr>
                    <m:sty m:val="p"/>
                  </m:rPr>
                  <w:rPr>
                    <w:rFonts w:ascii="Cambria Math" w:eastAsia="Yu Mincho" w:hAnsi="Cambria Math"/>
                  </w:rPr>
                  <m:t>n</m:t>
                </m:r>
              </m:e>
              <m:sub>
                <m:r>
                  <m:rPr>
                    <m:sty m:val="p"/>
                  </m:rPr>
                  <w:rPr>
                    <w:rFonts w:ascii="Cambria Math" w:eastAsia="Yu Mincho" w:hAnsi="Cambria Math"/>
                  </w:rPr>
                  <m:t>f</m:t>
                </m:r>
              </m:sub>
            </m:sSub>
            <m:sSubSup>
              <m:sSubSupPr>
                <m:ctrlPr>
                  <w:rPr>
                    <w:rFonts w:ascii="Cambria Math" w:eastAsia="Yu Mincho" w:hAnsi="Cambria Math"/>
                  </w:rPr>
                </m:ctrlPr>
              </m:sSubSupPr>
              <m:e>
                <m:r>
                  <m:rPr>
                    <m:sty m:val="p"/>
                  </m:rPr>
                  <w:rPr>
                    <w:rFonts w:ascii="Cambria Math" w:eastAsia="Yu Mincho" w:hAnsi="Cambria Math"/>
                  </w:rPr>
                  <m:t>N</m:t>
                </m:r>
              </m:e>
              <m:sub>
                <m:r>
                  <m:rPr>
                    <m:sty m:val="p"/>
                  </m:rPr>
                  <w:rPr>
                    <w:rFonts w:ascii="Cambria Math" w:eastAsia="Yu Mincho" w:hAnsi="Cambria Math"/>
                  </w:rPr>
                  <m:t>slot</m:t>
                </m:r>
              </m:sub>
              <m:sup>
                <m:r>
                  <m:rPr>
                    <m:sty m:val="p"/>
                  </m:rPr>
                  <w:rPr>
                    <w:rFonts w:ascii="Cambria Math" w:eastAsia="Yu Mincho" w:hAnsi="Cambria Math"/>
                  </w:rPr>
                  <m:t>frame,μ</m:t>
                </m:r>
              </m:sup>
            </m:sSubSup>
            <m:r>
              <m:rPr>
                <m:sty m:val="p"/>
              </m:rPr>
              <w:rPr>
                <w:rFonts w:ascii="Cambria Math" w:eastAsia="Yu Mincho" w:hAnsi="Cambria Math"/>
              </w:rPr>
              <m:t>+</m:t>
            </m:r>
            <m:sSubSup>
              <m:sSubSupPr>
                <m:ctrlPr>
                  <w:rPr>
                    <w:rFonts w:ascii="Cambria Math" w:eastAsia="Yu Mincho" w:hAnsi="Cambria Math"/>
                  </w:rPr>
                </m:ctrlPr>
              </m:sSubSupPr>
              <m:e>
                <m:r>
                  <m:rPr>
                    <m:sty m:val="p"/>
                  </m:rPr>
                  <w:rPr>
                    <w:rFonts w:ascii="Cambria Math" w:eastAsia="Yu Mincho" w:hAnsi="Cambria Math"/>
                  </w:rPr>
                  <m:t>n</m:t>
                </m:r>
              </m:e>
              <m:sub>
                <m:r>
                  <m:rPr>
                    <m:sty m:val="p"/>
                  </m:rPr>
                  <w:rPr>
                    <w:rFonts w:ascii="Cambria Math" w:eastAsia="Yu Mincho" w:hAnsi="Cambria Math"/>
                  </w:rPr>
                  <m:t>s,f</m:t>
                </m:r>
              </m:sub>
              <m:sup>
                <m:r>
                  <m:rPr>
                    <m:sty m:val="p"/>
                  </m:rPr>
                  <w:rPr>
                    <w:rFonts w:ascii="Cambria Math" w:eastAsia="Yu Mincho" w:hAnsi="Cambria Math"/>
                  </w:rPr>
                  <m:t>μ</m:t>
                </m:r>
              </m:sup>
            </m:sSubSup>
            <m:r>
              <m:rPr>
                <m:sty m:val="p"/>
              </m:rPr>
              <w:rPr>
                <w:rFonts w:ascii="Cambria Math" w:eastAsia="Yu Mincho" w:hAnsi="Cambria Math"/>
              </w:rPr>
              <m:t>-</m:t>
            </m:r>
            <m:sSub>
              <m:sSubPr>
                <m:ctrlPr>
                  <w:rPr>
                    <w:rFonts w:ascii="Cambria Math" w:eastAsia="Yu Mincho" w:hAnsi="Cambria Math"/>
                  </w:rPr>
                </m:ctrlPr>
              </m:sSubPr>
              <m:e>
                <m:r>
                  <m:rPr>
                    <m:sty m:val="p"/>
                  </m:rPr>
                  <w:rPr>
                    <w:rFonts w:ascii="Cambria Math" w:eastAsia="Yu Mincho" w:hAnsi="Cambria Math"/>
                  </w:rPr>
                  <m:t>o</m:t>
                </m:r>
              </m:e>
              <m:sub>
                <m:r>
                  <m:rPr>
                    <m:sty m:val="p"/>
                  </m:rPr>
                  <w:rPr>
                    <w:rFonts w:ascii="Cambria Math" w:eastAsia="Yu Mincho" w:hAnsi="Cambria Math"/>
                  </w:rPr>
                  <m:t>p,s</m:t>
                </m:r>
              </m:sub>
            </m:sSub>
          </m:e>
        </m:d>
        <m:r>
          <m:rPr>
            <m:sty m:val="p"/>
          </m:rPr>
          <w:rPr>
            <w:rFonts w:ascii="Cambria Math" w:eastAsia="Yu Mincho" w:hAnsi="Cambria Math"/>
          </w:rPr>
          <m:t xml:space="preserve">mod </m:t>
        </m:r>
        <m:sSub>
          <m:sSubPr>
            <m:ctrlPr>
              <w:rPr>
                <w:rFonts w:ascii="Cambria Math" w:eastAsia="Yu Mincho" w:hAnsi="Cambria Math"/>
                <w:i/>
              </w:rPr>
            </m:ctrlPr>
          </m:sSubPr>
          <m:e>
            <m:r>
              <m:rPr>
                <m:sty m:val="p"/>
              </m:rPr>
              <w:rPr>
                <w:rFonts w:ascii="Cambria Math" w:eastAsia="Yu Mincho" w:hAnsi="Cambria Math"/>
              </w:rPr>
              <m:t>k</m:t>
            </m:r>
          </m:e>
          <m:sub>
            <m:r>
              <m:rPr>
                <m:sty m:val="p"/>
              </m:rPr>
              <w:rPr>
                <w:rFonts w:ascii="Cambria Math" w:eastAsia="Yu Mincho" w:hAnsi="Cambria Math"/>
              </w:rPr>
              <m:t>p,s</m:t>
            </m:r>
          </m:sub>
        </m:sSub>
        <m:r>
          <m:rPr>
            <m:sty m:val="p"/>
          </m:rPr>
          <w:rPr>
            <w:rFonts w:ascii="Cambria Math" w:eastAsia="Yu Mincho" w:hAnsi="Cambria Math"/>
          </w:rPr>
          <m:t>=0</m:t>
        </m:r>
      </m:oMath>
      <w:r w:rsidRPr="004A535A">
        <w:rPr>
          <w:rFonts w:eastAsia="Yu Mincho"/>
          <w:lang w:eastAsia="ja-JP"/>
        </w:rPr>
        <w:instrText xml:space="preserve"> </w:instrText>
      </w:r>
      <w:r w:rsidRPr="004A535A">
        <w:rPr>
          <w:rFonts w:eastAsia="Yu Mincho"/>
          <w:lang w:eastAsia="ja-JP"/>
        </w:rPr>
        <w:fldChar w:fldCharType="end"/>
      </w:r>
      <w:r w:rsidRPr="004A535A">
        <w:rPr>
          <w:rFonts w:eastAsia="Yu Mincho"/>
          <w:lang w:eastAsia="ja-JP"/>
        </w:rPr>
        <w:t xml:space="preserve">. The UE monitors PDCCH candidates for search space set </w:t>
      </w:r>
      <m:oMath>
        <m:r>
          <w:rPr>
            <w:rFonts w:ascii="Cambria Math" w:hAnsi="Cambria Math"/>
          </w:rPr>
          <m:t>s</m:t>
        </m:r>
      </m:oMath>
      <w:r w:rsidRPr="004A535A">
        <w:rPr>
          <w:rFonts w:eastAsia="Yu Mincho"/>
        </w:rPr>
        <w:t xml:space="preserve"> </w:t>
      </w:r>
      <w:r w:rsidRPr="004A535A">
        <w:t xml:space="preserve">for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Pr="004A535A">
        <w:t xml:space="preserve"> consecutive slots, starting from slot </w:t>
      </w:r>
      <m:oMath>
        <m:sSubSup>
          <m:sSubSupPr>
            <m:ctrlPr>
              <w:rPr>
                <w:rFonts w:ascii="Cambria Math" w:hAnsi="Cambria Math"/>
                <w:i/>
              </w:rPr>
            </m:ctrlPr>
          </m:sSubSupPr>
          <m:e>
            <m:r>
              <w:rPr>
                <w:rFonts w:ascii="Cambria Math" w:hAnsi="Cambria Math"/>
              </w:rPr>
              <m:t>n</m:t>
            </m:r>
          </m:e>
          <m:sub>
            <m:r>
              <w:rPr>
                <w:rFonts w:ascii="Cambria Math" w:hAnsi="Cambria Math"/>
              </w:rPr>
              <m:t>s,f</m:t>
            </m:r>
          </m:sub>
          <m:sup>
            <m:r>
              <w:rPr>
                <w:rFonts w:ascii="Cambria Math" w:hAnsi="Cambria Math"/>
              </w:rPr>
              <m:t>μ</m:t>
            </m:r>
          </m:sup>
        </m:sSubSup>
      </m:oMath>
      <w:r w:rsidRPr="004A535A">
        <w:t xml:space="preserve">, and does not monitor </w:t>
      </w:r>
      <w:r w:rsidRPr="004A535A">
        <w:rPr>
          <w:rFonts w:eastAsia="Yu Mincho"/>
          <w:lang w:eastAsia="ja-JP"/>
        </w:rPr>
        <w:t xml:space="preserve">PDCCH candidates for search space set </w:t>
      </w:r>
      <m:oMath>
        <m:r>
          <w:rPr>
            <w:rFonts w:ascii="Cambria Math" w:hAnsi="Cambria Math"/>
          </w:rPr>
          <m:t>s</m:t>
        </m:r>
      </m:oMath>
      <w:r w:rsidRPr="004A535A">
        <w:rPr>
          <w:rFonts w:eastAsia="Yu Mincho"/>
        </w:rPr>
        <w:t xml:space="preserve"> </w:t>
      </w:r>
      <w:r w:rsidRPr="004A535A">
        <w:t xml:space="preserve">for the next </w:t>
      </w:r>
      <m:oMath>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oMath>
      <w:r w:rsidRPr="004A535A">
        <w:t xml:space="preserve"> consecutive slots. </w:t>
      </w:r>
      <w:r w:rsidRPr="004A535A">
        <w:rPr>
          <w:rFonts w:eastAsia="Yu Mincho"/>
          <w:lang w:eastAsia="ja-JP"/>
        </w:rPr>
        <w:t xml:space="preserve">If </w:t>
      </w:r>
      <w:r w:rsidRPr="004A535A">
        <w:rPr>
          <w:i/>
          <w:iCs/>
        </w:rPr>
        <w:t>monitoringSlotsWithinSlotGroup</w:t>
      </w:r>
      <w:r w:rsidRPr="004A535A">
        <w:rPr>
          <w:rFonts w:eastAsia="Yu Mincho"/>
          <w:lang w:eastAsia="ja-JP"/>
        </w:rPr>
        <w:t xml:space="preserve"> is provided, </w:t>
      </w:r>
      <w:r w:rsidRPr="004A535A">
        <w:rPr>
          <w:kern w:val="2"/>
          <w:lang w:eastAsia="ja-JP"/>
        </w:rPr>
        <w:t>f</w:t>
      </w:r>
      <w:r w:rsidRPr="004A535A">
        <w:rPr>
          <w:kern w:val="2"/>
        </w:rPr>
        <w:t xml:space="preserve">or search space set </w:t>
      </w:r>
      <m:oMath>
        <m:r>
          <w:rPr>
            <w:rFonts w:ascii="Cambria Math" w:hAnsi="Cambria Math"/>
            <w:kern w:val="2"/>
          </w:rPr>
          <m:t>s</m:t>
        </m:r>
      </m:oMath>
      <w:r w:rsidRPr="004A535A">
        <w:rPr>
          <w:rFonts w:hint="eastAsia"/>
          <w:iCs/>
          <w:kern w:val="2"/>
          <w:lang w:eastAsia="zh-CN"/>
        </w:rPr>
        <w:t>,</w:t>
      </w:r>
      <w:r w:rsidRPr="004A535A">
        <w:rPr>
          <w:rFonts w:eastAsia="Yu Mincho"/>
          <w:lang w:eastAsia="ja-JP"/>
        </w:rPr>
        <w:t xml:space="preserve"> the UE determines that the slot </w:t>
      </w:r>
      <w:r w:rsidRPr="004A535A">
        <w:rPr>
          <w:rFonts w:eastAsia="Yu Mincho"/>
        </w:rPr>
        <w:t xml:space="preserve">with number </w:t>
      </w:r>
      <m:oMath>
        <m:sSubSup>
          <m:sSubSupPr>
            <m:ctrlPr>
              <w:rPr>
                <w:rFonts w:ascii="Cambria Math" w:hAnsi="Cambria Math"/>
                <w:i/>
              </w:rPr>
            </m:ctrlPr>
          </m:sSubSupPr>
          <m:e>
            <m:r>
              <w:rPr>
                <w:rFonts w:ascii="Cambria Math" w:hAnsi="Cambria Math"/>
              </w:rPr>
              <m:t>n</m:t>
            </m:r>
          </m:e>
          <m:sub>
            <m:r>
              <w:rPr>
                <w:rFonts w:ascii="Cambria Math" w:hAnsi="Cambria Math"/>
              </w:rPr>
              <m:t>s,f</m:t>
            </m:r>
          </m:sub>
          <m:sup>
            <m:r>
              <w:rPr>
                <w:rFonts w:ascii="Cambria Math" w:hAnsi="Cambria Math"/>
              </w:rPr>
              <m:t>μ</m:t>
            </m:r>
          </m:sup>
        </m:sSubSup>
      </m:oMath>
      <w:r w:rsidRPr="004A535A">
        <w:t xml:space="preserve"> [4, TS 38.211] in a frame with number </w:t>
      </w:r>
      <m:oMath>
        <m:sSub>
          <m:sSubPr>
            <m:ctrlPr>
              <w:rPr>
                <w:rFonts w:ascii="Cambria Math" w:hAnsi="Cambria Math"/>
                <w:i/>
              </w:rPr>
            </m:ctrlPr>
          </m:sSubPr>
          <m:e>
            <m:r>
              <w:rPr>
                <w:rFonts w:ascii="Cambria Math" w:hAnsi="Cambria Math"/>
              </w:rPr>
              <m:t>n</m:t>
            </m:r>
          </m:e>
          <m:sub>
            <m:r>
              <w:rPr>
                <w:rFonts w:ascii="Cambria Math" w:hAnsi="Cambria Math"/>
              </w:rPr>
              <m:t>f</m:t>
            </m:r>
          </m:sub>
        </m:sSub>
      </m:oMath>
      <w:r w:rsidRPr="004A535A">
        <w:t xml:space="preserve"> satisfying </w:t>
      </w:r>
      <w:r w:rsidRPr="004A535A">
        <w:rPr>
          <w:lang w:val="en-US"/>
        </w:rPr>
        <w:t>(</w:t>
      </w:r>
      <m:oMath>
        <m:sSub>
          <m:sSubPr>
            <m:ctrlPr>
              <w:rPr>
                <w:rFonts w:ascii="Cambria Math" w:hAnsi="Cambria Math"/>
                <w:i/>
              </w:rPr>
            </m:ctrlPr>
          </m:sSubPr>
          <m:e>
            <m:r>
              <w:rPr>
                <w:rFonts w:ascii="Cambria Math" w:hAnsi="Cambria Math"/>
              </w:rPr>
              <m:t>n</m:t>
            </m:r>
          </m:e>
          <m:sub>
            <m:r>
              <w:rPr>
                <w:rFonts w:ascii="Cambria Math" w:hAnsi="Cambria Math"/>
              </w:rPr>
              <m:t>f</m:t>
            </m:r>
          </m:sub>
        </m:sSub>
      </m:oMath>
      <w:r w:rsidRPr="004A535A">
        <w:rPr>
          <w:rFonts w:eastAsia="DengXian"/>
        </w:rPr>
        <w:t xml:space="preserve"> </w:t>
      </w:r>
      <m:oMath>
        <m:sSubSup>
          <m:sSubSupPr>
            <m:ctrlPr>
              <w:rPr>
                <w:rFonts w:ascii="Cambria Math" w:hAnsi="Cambria Math"/>
                <w:i/>
              </w:rPr>
            </m:ctrlPr>
          </m:sSubSupPr>
          <m:e>
            <m:r>
              <w:rPr>
                <w:rFonts w:ascii="Cambria Math" w:hAnsi="Cambria Math"/>
              </w:rPr>
              <m:t>N</m:t>
            </m:r>
          </m:e>
          <m:sub>
            <m:r>
              <w:rPr>
                <w:rFonts w:ascii="Cambria Math" w:hAnsi="Cambria Math"/>
              </w:rPr>
              <m:t xml:space="preserve">slot </m:t>
            </m:r>
          </m:sub>
          <m:sup>
            <m:r>
              <w:rPr>
                <w:rFonts w:ascii="Cambria Math" w:hAnsi="Cambria Math"/>
              </w:rPr>
              <m:t>frame, μ</m:t>
            </m:r>
          </m:sup>
        </m:sSubSup>
      </m:oMath>
      <w:r w:rsidRPr="004A535A">
        <w:rPr>
          <w:rFonts w:eastAsia="DengXian"/>
        </w:rPr>
        <w:t>+</w:t>
      </w:r>
      <m:oMath>
        <m:r>
          <w:rPr>
            <w:rFonts w:ascii="Cambria Math" w:hAnsi="Cambria Math"/>
          </w:rPr>
          <m:t xml:space="preserve"> </m:t>
        </m:r>
        <m:sSubSup>
          <m:sSubSupPr>
            <m:ctrlPr>
              <w:rPr>
                <w:rFonts w:ascii="Cambria Math" w:hAnsi="Cambria Math"/>
                <w:i/>
              </w:rPr>
            </m:ctrlPr>
          </m:sSubSupPr>
          <m:e>
            <m:r>
              <w:rPr>
                <w:rFonts w:ascii="Cambria Math" w:hAnsi="Cambria Math"/>
              </w:rPr>
              <m:t>n</m:t>
            </m:r>
          </m:e>
          <m:sub>
            <m:r>
              <w:rPr>
                <w:rFonts w:ascii="Cambria Math" w:hAnsi="Cambria Math"/>
              </w:rPr>
              <m:t xml:space="preserve">s,f </m:t>
            </m:r>
          </m:sub>
          <m:sup>
            <m:r>
              <w:rPr>
                <w:rFonts w:ascii="Cambria Math" w:hAnsi="Cambria Math"/>
              </w:rPr>
              <m:t>μ</m:t>
            </m:r>
          </m:sup>
        </m:sSubSup>
      </m:oMath>
      <w:r w:rsidRPr="004A535A">
        <w:rPr>
          <w:rFonts w:eastAsia="DengXian"/>
        </w:rPr>
        <w:t>-</w:t>
      </w:r>
      <m:oMath>
        <m:r>
          <w:rPr>
            <w:rFonts w:ascii="Cambria Math" w:eastAsia="DengXian"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s</m:t>
            </m:r>
          </m:sub>
        </m:sSub>
      </m:oMath>
      <w:r w:rsidRPr="004A535A">
        <w:rPr>
          <w:rFonts w:eastAsia="DengXian"/>
        </w:rPr>
        <w:t>)</w:t>
      </w:r>
      <m:oMath>
        <m:r>
          <w:rPr>
            <w:rFonts w:ascii="Cambria Math" w:hAnsi="Cambria Math"/>
          </w:rPr>
          <m:t xml:space="preserve"> </m:t>
        </m:r>
        <m:r>
          <m:rPr>
            <m:sty m:val="p"/>
          </m:rPr>
          <w:rPr>
            <w:rFonts w:ascii="Cambria Math" w:hAnsi="Cambria Math"/>
          </w:rPr>
          <m:t>mod</m:t>
        </m:r>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=0</m:t>
        </m:r>
      </m:oMath>
      <w:r w:rsidRPr="004A535A">
        <w:rPr>
          <w:rFonts w:eastAsia="DengXian" w:hint="eastAsia"/>
          <w:lang w:eastAsia="zh-CN"/>
        </w:rPr>
        <w:t xml:space="preserve"> </w:t>
      </w:r>
      <w:r w:rsidRPr="004A535A">
        <w:rPr>
          <w:rFonts w:eastAsia="Yu Mincho"/>
          <w:lang w:eastAsia="ja-JP"/>
        </w:rPr>
        <w:t xml:space="preserve">is the first slot in a </w:t>
      </w:r>
      <w:r w:rsidR="00843580">
        <w:rPr>
          <w:rFonts w:eastAsia="Yu Mincho"/>
          <w:lang w:eastAsia="ja-JP"/>
        </w:rPr>
        <w:t xml:space="preserve">first </w:t>
      </w:r>
      <w:r w:rsidRPr="004A535A">
        <w:rPr>
          <w:rFonts w:eastAsia="Yu Mincho"/>
          <w:lang w:eastAsia="ja-JP"/>
        </w:rPr>
        <w:t xml:space="preserve">group of </w:t>
      </w:r>
      <m:oMath>
        <m:sSub>
          <m:sSubPr>
            <m:ctrlPr>
              <w:rPr>
                <w:rFonts w:ascii="Cambria Math" w:eastAsia="Yu Mincho" w:hAnsi="Cambria Math"/>
                <w:i/>
                <w:lang w:eastAsia="ja-JP"/>
              </w:rPr>
            </m:ctrlPr>
          </m:sSubPr>
          <m:e>
            <m:r>
              <w:rPr>
                <w:rFonts w:ascii="Cambria Math" w:eastAsia="Yu Mincho" w:hAnsi="Cambria Math"/>
                <w:lang w:eastAsia="ja-JP"/>
              </w:rPr>
              <m:t>L</m:t>
            </m:r>
          </m:e>
          <m:sub>
            <m:r>
              <w:rPr>
                <w:rFonts w:ascii="Cambria Math" w:eastAsia="Yu Mincho" w:hAnsi="Cambria Math"/>
                <w:lang w:eastAsia="ja-JP"/>
              </w:rPr>
              <m:t>s</m:t>
            </m:r>
          </m:sub>
        </m:sSub>
      </m:oMath>
      <w:r w:rsidR="00843580">
        <w:rPr>
          <w:rFonts w:eastAsia="Yu Mincho"/>
          <w:lang w:eastAsia="ja-JP"/>
        </w:rPr>
        <w:t xml:space="preserve"> </w:t>
      </w:r>
      <w:r w:rsidRPr="004A535A">
        <w:rPr>
          <w:rFonts w:eastAsia="Yu Mincho"/>
          <w:lang w:eastAsia="ja-JP"/>
        </w:rPr>
        <w:t xml:space="preserve">slots and </w:t>
      </w:r>
      <w:r w:rsidR="00843580">
        <w:rPr>
          <w:rFonts w:eastAsia="Yu Mincho"/>
          <w:lang w:eastAsia="ja-JP"/>
        </w:rPr>
        <w:t xml:space="preserve">that </w:t>
      </w:r>
      <w:r w:rsidRPr="004A535A">
        <w:rPr>
          <w:rFonts w:eastAsia="Yu Mincho"/>
          <w:lang w:eastAsia="ja-JP"/>
        </w:rPr>
        <w:t xml:space="preserve">PDCCH monitoring occasions exist in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eastAsia="Yu Mincho" w:hAnsi="Cambria Math"/>
          </w:rPr>
          <m:t>/</m:t>
        </m:r>
        <m:sSub>
          <m:sSubPr>
            <m:ctrlPr>
              <w:rPr>
                <w:rFonts w:ascii="Cambria Math" w:eastAsia="Yu Mincho" w:hAnsi="Cambria Math"/>
                <w:i/>
                <w:lang w:eastAsia="ja-JP"/>
              </w:rPr>
            </m:ctrlPr>
          </m:sSubPr>
          <m:e>
            <m:r>
              <w:rPr>
                <w:rFonts w:ascii="Cambria Math" w:eastAsia="Yu Mincho" w:hAnsi="Cambria Math"/>
                <w:lang w:eastAsia="ja-JP"/>
              </w:rPr>
              <m:t>L</m:t>
            </m:r>
          </m:e>
          <m:sub>
            <m:r>
              <w:rPr>
                <w:rFonts w:ascii="Cambria Math" w:eastAsia="Yu Mincho" w:hAnsi="Cambria Math"/>
                <w:lang w:eastAsia="ja-JP"/>
              </w:rPr>
              <m:t>s</m:t>
            </m:r>
          </m:sub>
        </m:sSub>
      </m:oMath>
      <w:r w:rsidR="00843580" w:rsidRPr="00980FC5">
        <w:rPr>
          <w:rFonts w:eastAsia="Yu Mincho"/>
        </w:rPr>
        <w:t xml:space="preserve"> </w:t>
      </w:r>
      <w:r w:rsidRPr="004A535A">
        <w:rPr>
          <w:rFonts w:eastAsia="Yu Mincho"/>
          <w:lang w:eastAsia="ja-JP"/>
        </w:rPr>
        <w:t xml:space="preserve"> </w:t>
      </w:r>
      <w:r w:rsidR="00843580">
        <w:rPr>
          <w:rFonts w:eastAsia="Yu Mincho"/>
          <w:lang w:eastAsia="ja-JP"/>
        </w:rPr>
        <w:t xml:space="preserve">consecutive </w:t>
      </w:r>
      <w:r w:rsidRPr="004A535A">
        <w:rPr>
          <w:rFonts w:eastAsia="Yu Mincho"/>
          <w:lang w:eastAsia="ja-JP"/>
        </w:rPr>
        <w:t>group</w:t>
      </w:r>
      <w:r w:rsidR="00843580">
        <w:rPr>
          <w:rFonts w:eastAsia="Yu Mincho"/>
          <w:lang w:eastAsia="ja-JP"/>
        </w:rPr>
        <w:t>s</w:t>
      </w:r>
      <w:r w:rsidRPr="004A535A">
        <w:rPr>
          <w:rFonts w:eastAsia="Yu Mincho"/>
          <w:lang w:eastAsia="ja-JP"/>
        </w:rPr>
        <w:t xml:space="preserve"> of slots</w:t>
      </w:r>
      <w:r w:rsidR="00843580">
        <w:rPr>
          <w:rFonts w:eastAsia="Yu Mincho"/>
          <w:lang w:eastAsia="ja-JP"/>
        </w:rPr>
        <w:t xml:space="preserve"> </w:t>
      </w:r>
      <w:r w:rsidR="00843580" w:rsidRPr="001D5C43">
        <w:t>starting from</w:t>
      </w:r>
      <w:r w:rsidR="00843580">
        <w:t xml:space="preserve"> the first group, where </w:t>
      </w:r>
      <m:oMath>
        <m:sSub>
          <m:sSubPr>
            <m:ctrlPr>
              <w:rPr>
                <w:rFonts w:ascii="Cambria Math" w:eastAsia="Yu Mincho" w:hAnsi="Cambria Math"/>
                <w:i/>
                <w:lang w:eastAsia="ja-JP"/>
              </w:rPr>
            </m:ctrlPr>
          </m:sSubPr>
          <m:e>
            <m:r>
              <w:rPr>
                <w:rFonts w:ascii="Cambria Math" w:eastAsia="Yu Mincho" w:hAnsi="Cambria Math"/>
                <w:lang w:eastAsia="ja-JP"/>
              </w:rPr>
              <m:t>L</m:t>
            </m:r>
          </m:e>
          <m:sub>
            <m:r>
              <w:rPr>
                <w:rFonts w:ascii="Cambria Math" w:eastAsia="Yu Mincho" w:hAnsi="Cambria Math"/>
                <w:lang w:eastAsia="ja-JP"/>
              </w:rPr>
              <m:t>s</m:t>
            </m:r>
          </m:sub>
        </m:sSub>
      </m:oMath>
      <w:r w:rsidR="00843580" w:rsidRPr="00980FC5">
        <w:rPr>
          <w:rFonts w:eastAsia="Yu Mincho"/>
          <w:lang w:eastAsia="ja-JP"/>
        </w:rPr>
        <w:t xml:space="preserve"> is the size of </w:t>
      </w:r>
      <w:r w:rsidR="00843580" w:rsidRPr="00980FC5">
        <w:rPr>
          <w:i/>
          <w:iCs/>
        </w:rPr>
        <w:t>monitoringSlotsWithinSlotGroup</w:t>
      </w:r>
      <w:r w:rsidRPr="004A535A">
        <w:rPr>
          <w:rFonts w:eastAsia="Yu Mincho"/>
          <w:lang w:eastAsia="ja-JP"/>
        </w:rPr>
        <w:t xml:space="preserve">. </w:t>
      </w:r>
      <w:r w:rsidRPr="004A535A">
        <w:rPr>
          <w:rFonts w:eastAsia="DengXian"/>
        </w:rPr>
        <w:t xml:space="preserve">The UE monitors PDCCH candidates for </w:t>
      </w:r>
      <w:r w:rsidRPr="004A535A">
        <w:rPr>
          <w:rFonts w:eastAsia="Yu Mincho"/>
          <w:lang w:eastAsia="ja-JP"/>
        </w:rPr>
        <w:t xml:space="preserve">search space set </w:t>
      </w:r>
      <m:oMath>
        <m:r>
          <w:rPr>
            <w:rFonts w:ascii="Cambria Math" w:hAnsi="Cambria Math"/>
          </w:rPr>
          <m:t>s</m:t>
        </m:r>
      </m:oMath>
      <w:r w:rsidRPr="004A535A">
        <w:rPr>
          <w:rFonts w:eastAsia="Yu Mincho"/>
        </w:rPr>
        <w:t xml:space="preserve"> </w:t>
      </w:r>
      <w:r w:rsidRPr="004A535A">
        <w:t xml:space="preserve">within </w:t>
      </w:r>
      <m:oMath>
        <m:r>
          <m:rPr>
            <m:sty m:val="p"/>
          </m:rPr>
          <w:rPr>
            <w:rFonts w:ascii="Cambria Math" w:hAnsi="Cambria Math"/>
          </w:rPr>
          <m:t xml:space="preserve">each of the </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eastAsia="Yu Mincho" w:hAnsi="Cambria Math"/>
          </w:rPr>
          <m:t>/</m:t>
        </m:r>
        <m:sSub>
          <m:sSubPr>
            <m:ctrlPr>
              <w:rPr>
                <w:rFonts w:ascii="Cambria Math" w:eastAsia="Yu Mincho" w:hAnsi="Cambria Math"/>
                <w:i/>
                <w:lang w:eastAsia="ja-JP"/>
              </w:rPr>
            </m:ctrlPr>
          </m:sSubPr>
          <m:e>
            <m:r>
              <w:rPr>
                <w:rFonts w:ascii="Cambria Math" w:eastAsia="Yu Mincho" w:hAnsi="Cambria Math"/>
                <w:lang w:eastAsia="ja-JP"/>
              </w:rPr>
              <m:t>L</m:t>
            </m:r>
          </m:e>
          <m:sub>
            <m:r>
              <w:rPr>
                <w:rFonts w:ascii="Cambria Math" w:eastAsia="Yu Mincho" w:hAnsi="Cambria Math"/>
                <w:lang w:eastAsia="ja-JP"/>
              </w:rPr>
              <m:t>s</m:t>
            </m:r>
          </m:sub>
        </m:sSub>
        <m:r>
          <m:rPr>
            <m:sty m:val="p"/>
          </m:rPr>
          <w:rPr>
            <w:rFonts w:ascii="Cambria Math" w:hAnsi="Cambria Math"/>
          </w:rPr>
          <m:t xml:space="preserve"> </m:t>
        </m:r>
      </m:oMath>
      <w:r w:rsidRPr="004A535A">
        <w:t xml:space="preserve"> consecutive </w:t>
      </w:r>
      <w:r w:rsidR="00843580">
        <w:t xml:space="preserve">groups of </w:t>
      </w:r>
      <w:r w:rsidRPr="004A535A">
        <w:t xml:space="preserve">slots </w:t>
      </w:r>
      <w:r w:rsidR="00843580">
        <w:t>according to</w:t>
      </w:r>
      <w:r w:rsidRPr="004A535A">
        <w:t xml:space="preserve"> </w:t>
      </w:r>
      <w:r w:rsidRPr="004A535A">
        <w:rPr>
          <w:i/>
          <w:iCs/>
        </w:rPr>
        <w:t>monitoringSlotsWithinSlotGroup</w:t>
      </w:r>
      <w:r w:rsidRPr="004A535A">
        <w:t xml:space="preserve">, starting from slot </w:t>
      </w:r>
      <m:oMath>
        <m:sSubSup>
          <m:sSubSupPr>
            <m:ctrlPr>
              <w:rPr>
                <w:rFonts w:ascii="Cambria Math" w:hAnsi="Cambria Math"/>
                <w:i/>
              </w:rPr>
            </m:ctrlPr>
          </m:sSubSupPr>
          <m:e>
            <m:r>
              <w:rPr>
                <w:rFonts w:ascii="Cambria Math" w:hAnsi="Cambria Math"/>
              </w:rPr>
              <m:t>n</m:t>
            </m:r>
          </m:e>
          <m:sub>
            <m:r>
              <w:rPr>
                <w:rFonts w:ascii="Cambria Math" w:hAnsi="Cambria Math"/>
              </w:rPr>
              <m:t>s,f</m:t>
            </m:r>
          </m:sub>
          <m:sup>
            <m:r>
              <w:rPr>
                <w:rFonts w:ascii="Cambria Math" w:hAnsi="Cambria Math"/>
              </w:rPr>
              <m:t>μ</m:t>
            </m:r>
          </m:sup>
        </m:sSubSup>
      </m:oMath>
      <w:r w:rsidRPr="004A535A">
        <w:t xml:space="preserve">, and does not monitor </w:t>
      </w:r>
      <w:r w:rsidRPr="004A535A">
        <w:rPr>
          <w:rFonts w:eastAsia="Yu Mincho"/>
          <w:lang w:eastAsia="ja-JP"/>
        </w:rPr>
        <w:t xml:space="preserve">PDCCH candidates for search space set </w:t>
      </w:r>
      <m:oMath>
        <m:r>
          <w:rPr>
            <w:rFonts w:ascii="Cambria Math" w:hAnsi="Cambria Math"/>
          </w:rPr>
          <m:t>s</m:t>
        </m:r>
      </m:oMath>
      <w:r w:rsidRPr="004A535A">
        <w:rPr>
          <w:rFonts w:eastAsia="Yu Mincho"/>
        </w:rPr>
        <w:t xml:space="preserve"> </w:t>
      </w:r>
      <w:r w:rsidRPr="004A535A">
        <w:t xml:space="preserve">for the next </w:t>
      </w:r>
      <m:oMath>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oMath>
      <w:r w:rsidRPr="004A535A">
        <w:t xml:space="preserve"> consecutive slots.</w:t>
      </w:r>
    </w:p>
    <w:p w14:paraId="251214A8" w14:textId="3431D3AA" w:rsidR="00FE04B7" w:rsidRPr="00B916EC" w:rsidRDefault="00621303" w:rsidP="00621303">
      <w:r w:rsidRPr="00B916EC">
        <w:t xml:space="preserve">A </w:t>
      </w:r>
      <w:r w:rsidR="00C06E62" w:rsidRPr="00D20E88">
        <w:t>USS</w:t>
      </w:r>
      <w:r w:rsidRPr="00B916EC">
        <w:t xml:space="preserve"> at CCE aggregation level</w:t>
      </w:r>
      <w:r w:rsidR="00292277" w:rsidRPr="00B916EC">
        <w:t xml:space="preserve"> </w:t>
      </w:r>
      <m:oMath>
        <m:r>
          <w:rPr>
            <w:rFonts w:ascii="Cambria Math" w:hAnsi="Cambria Math"/>
          </w:rPr>
          <m:t>L∈</m:t>
        </m:r>
        <m:d>
          <m:dPr>
            <m:begChr m:val="{"/>
            <m:endChr m:val="}"/>
            <m:ctrlPr>
              <w:rPr>
                <w:rFonts w:ascii="Cambria Math" w:hAnsi="Cambria Math"/>
                <w:i/>
              </w:rPr>
            </m:ctrlPr>
          </m:dPr>
          <m:e>
            <m:r>
              <w:rPr>
                <w:rFonts w:ascii="Cambria Math" w:hAnsi="Cambria Math"/>
              </w:rPr>
              <m:t>1, 2, 4, 8, 16</m:t>
            </m:r>
          </m:e>
        </m:d>
      </m:oMath>
      <w:r w:rsidRPr="00B916EC">
        <w:t xml:space="preserve"> is defined by a set of PDCCH candidates for CCE aggregation level </w:t>
      </w:r>
      <m:oMath>
        <m:r>
          <w:rPr>
            <w:rFonts w:ascii="Cambria Math" w:hAnsi="Cambria Math"/>
          </w:rPr>
          <m:t>L</m:t>
        </m:r>
      </m:oMath>
      <w:r w:rsidRPr="00B916EC">
        <w:t xml:space="preserve">. </w:t>
      </w:r>
    </w:p>
    <w:p w14:paraId="41AF3BE3" w14:textId="1DD078BF" w:rsidR="00EA0AAD" w:rsidRPr="00B916EC" w:rsidRDefault="00EA0AAD" w:rsidP="00EA0AAD">
      <w:pPr>
        <w:rPr>
          <w:iCs/>
          <w:lang w:eastAsia="zh-CN"/>
        </w:rPr>
      </w:pPr>
      <w:r w:rsidRPr="00B916EC">
        <w:t xml:space="preserve">If a UE is configured with </w:t>
      </w:r>
      <w:r w:rsidR="00B04D35" w:rsidRPr="00B916EC">
        <w:rPr>
          <w:i/>
        </w:rPr>
        <w:t>CrossCarrierSchedulingConfig</w:t>
      </w:r>
      <w:r w:rsidRPr="00B916EC">
        <w:rPr>
          <w:lang w:eastAsia="zh-CN"/>
        </w:rPr>
        <w:t xml:space="preserve"> </w:t>
      </w:r>
      <w:r w:rsidR="00B04D35" w:rsidRPr="00B916EC">
        <w:rPr>
          <w:lang w:eastAsia="zh-CN"/>
        </w:rPr>
        <w:t>for a serving cell</w:t>
      </w:r>
      <w:r w:rsidR="00D509B6">
        <w:rPr>
          <w:lang w:eastAsia="zh-CN"/>
        </w:rPr>
        <w:t>,</w:t>
      </w:r>
      <w:r w:rsidR="00B04D35" w:rsidRPr="00B916EC">
        <w:rPr>
          <w:lang w:eastAsia="zh-CN"/>
        </w:rPr>
        <w:t xml:space="preserve"> </w:t>
      </w:r>
      <w:r w:rsidRPr="00B916EC">
        <w:rPr>
          <w:lang w:eastAsia="zh-CN"/>
        </w:rPr>
        <w:t>the carrier indicator field value corresponds to</w:t>
      </w:r>
      <w:r w:rsidR="00B04D35" w:rsidRPr="00B916EC">
        <w:rPr>
          <w:lang w:eastAsia="zh-CN"/>
        </w:rPr>
        <w:t xml:space="preserve"> the value indicated by</w:t>
      </w:r>
      <w:r w:rsidR="00D509B6">
        <w:rPr>
          <w:lang w:eastAsia="zh-CN"/>
        </w:rPr>
        <w:t xml:space="preserve"> </w:t>
      </w:r>
      <w:r w:rsidR="00D509B6" w:rsidRPr="00166BA1">
        <w:rPr>
          <w:bCs/>
          <w:i/>
          <w:szCs w:val="22"/>
          <w:lang w:eastAsia="en-GB"/>
        </w:rPr>
        <w:t>cif-InSchedulingCell</w:t>
      </w:r>
      <w:r w:rsidR="00D509B6" w:rsidRPr="00166BA1">
        <w:rPr>
          <w:iCs/>
        </w:rPr>
        <w:t xml:space="preserve"> in</w:t>
      </w:r>
      <w:r w:rsidRPr="00B916EC">
        <w:rPr>
          <w:lang w:eastAsia="zh-CN"/>
        </w:rPr>
        <w:t xml:space="preserve"> </w:t>
      </w:r>
      <w:r w:rsidR="00B04D35" w:rsidRPr="00B916EC">
        <w:rPr>
          <w:i/>
        </w:rPr>
        <w:t>CrossCarrierSchedulingConfi</w:t>
      </w:r>
      <w:r w:rsidR="00544F5B" w:rsidRPr="00B916EC">
        <w:rPr>
          <w:i/>
        </w:rPr>
        <w:t>g</w:t>
      </w:r>
      <w:r w:rsidRPr="00B916EC">
        <w:rPr>
          <w:i/>
          <w:iCs/>
          <w:lang w:eastAsia="zh-CN"/>
        </w:rPr>
        <w:t>.</w:t>
      </w:r>
      <w:r w:rsidR="00D509B6">
        <w:rPr>
          <w:i/>
          <w:iCs/>
          <w:lang w:eastAsia="zh-CN"/>
        </w:rPr>
        <w:t xml:space="preserve"> </w:t>
      </w:r>
      <w:r w:rsidR="00D509B6" w:rsidRPr="00B916EC">
        <w:t xml:space="preserve">If a UE is configured with </w:t>
      </w:r>
      <w:r w:rsidR="00D509B6" w:rsidRPr="004B6A98">
        <w:rPr>
          <w:i/>
          <w:iCs/>
        </w:rPr>
        <w:t>MC-DCI-SetofCells</w:t>
      </w:r>
      <w:r w:rsidR="00D509B6" w:rsidRPr="00B916EC">
        <w:rPr>
          <w:lang w:eastAsia="zh-CN"/>
        </w:rPr>
        <w:t xml:space="preserve"> for a </w:t>
      </w:r>
      <w:r w:rsidR="00D509B6">
        <w:rPr>
          <w:lang w:eastAsia="zh-CN"/>
        </w:rPr>
        <w:t xml:space="preserve">set of </w:t>
      </w:r>
      <w:r w:rsidR="00D509B6" w:rsidRPr="00B916EC">
        <w:rPr>
          <w:lang w:eastAsia="zh-CN"/>
        </w:rPr>
        <w:t>serving cell</w:t>
      </w:r>
      <w:r w:rsidR="00D509B6">
        <w:rPr>
          <w:lang w:eastAsia="zh-CN"/>
        </w:rPr>
        <w:t>s,</w:t>
      </w:r>
      <w:r w:rsidR="00D509B6" w:rsidRPr="00B916EC">
        <w:rPr>
          <w:lang w:eastAsia="zh-CN"/>
        </w:rPr>
        <w:t xml:space="preserve"> the </w:t>
      </w:r>
      <w:r w:rsidR="00D509B6">
        <w:rPr>
          <w:lang w:eastAsia="zh-CN"/>
        </w:rPr>
        <w:t xml:space="preserve">UE </w:t>
      </w:r>
      <w:r w:rsidR="00F03493">
        <w:rPr>
          <w:lang w:eastAsia="zh-CN"/>
        </w:rPr>
        <w:t>is</w:t>
      </w:r>
      <w:r w:rsidR="00D509B6">
        <w:rPr>
          <w:lang w:eastAsia="zh-CN"/>
        </w:rPr>
        <w:t xml:space="preserve"> provided</w:t>
      </w:r>
      <w:r w:rsidR="00D509B6">
        <w:t xml:space="preserve"> </w:t>
      </w:r>
      <w:r w:rsidR="00D509B6" w:rsidRPr="00DF34DB">
        <w:rPr>
          <w:bCs/>
          <w:i/>
          <w:szCs w:val="22"/>
          <w:lang w:eastAsia="en-GB"/>
        </w:rPr>
        <w:t>nCI-Value</w:t>
      </w:r>
      <w:r w:rsidR="00D509B6" w:rsidRPr="003A03EE">
        <w:rPr>
          <w:bCs/>
          <w:iCs/>
          <w:szCs w:val="22"/>
          <w:lang w:eastAsia="en-GB"/>
        </w:rPr>
        <w:t xml:space="preserve"> for the set of serving cells</w:t>
      </w:r>
      <w:r w:rsidR="00D509B6" w:rsidRPr="00B916EC">
        <w:rPr>
          <w:i/>
          <w:iCs/>
          <w:lang w:eastAsia="zh-CN"/>
        </w:rPr>
        <w:t>.</w:t>
      </w:r>
    </w:p>
    <w:p w14:paraId="7A99388C" w14:textId="77777777" w:rsidR="00621303" w:rsidRPr="00B916EC" w:rsidRDefault="00621303" w:rsidP="00621303">
      <w:r w:rsidRPr="00B916EC">
        <w:t xml:space="preserve">For </w:t>
      </w:r>
      <w:r w:rsidR="002767F9" w:rsidRPr="00B916EC">
        <w:t>a</w:t>
      </w:r>
      <w:r w:rsidR="004C2C27" w:rsidRPr="00D20E88">
        <w:t>n active</w:t>
      </w:r>
      <w:r w:rsidRPr="00B916EC">
        <w:t xml:space="preserve"> </w:t>
      </w:r>
      <w:r w:rsidR="00965AFA">
        <w:t xml:space="preserve">DL BWP of a </w:t>
      </w:r>
      <w:r w:rsidRPr="00B916EC">
        <w:t xml:space="preserve">serving cell on which a UE monitors PDCCH candidates in a </w:t>
      </w:r>
      <w:r w:rsidR="004C2C27" w:rsidRPr="00D20E88">
        <w:t>USS</w:t>
      </w:r>
      <w:r w:rsidRPr="00B916EC">
        <w:t>, if the UE is not configured with a carrier indicator field, the UE monitor</w:t>
      </w:r>
      <w:r w:rsidR="003E4D5E">
        <w:t>s</w:t>
      </w:r>
      <w:r w:rsidRPr="00B916EC">
        <w:t xml:space="preserve"> the PDCCH candidates without carrier indicator field. For </w:t>
      </w:r>
      <w:r w:rsidR="004C2C27" w:rsidRPr="00D20E88">
        <w:t xml:space="preserve">an active DL BWP of </w:t>
      </w:r>
      <w:r w:rsidR="002767F9" w:rsidRPr="00B916EC">
        <w:t>a</w:t>
      </w:r>
      <w:r w:rsidRPr="00B916EC">
        <w:t xml:space="preserve"> serving cell on which a UE monitors PDCCH candidates in a </w:t>
      </w:r>
      <w:r w:rsidR="004C2C27" w:rsidRPr="00D20E88">
        <w:t>USS</w:t>
      </w:r>
      <w:r w:rsidRPr="00B916EC">
        <w:t>, if a UE is configured with a carrier indicator field, the UE monitor</w:t>
      </w:r>
      <w:r w:rsidR="003E4D5E">
        <w:t>s</w:t>
      </w:r>
      <w:r w:rsidRPr="00B916EC">
        <w:t xml:space="preserve"> the PDCCH candidates with carrier indicator field.</w:t>
      </w:r>
    </w:p>
    <w:p w14:paraId="631B3ED4" w14:textId="5C845E13" w:rsidR="00965AFA" w:rsidRDefault="00621303" w:rsidP="00965AFA">
      <w:r w:rsidRPr="00B916EC">
        <w:t xml:space="preserve">A UE </w:t>
      </w:r>
      <w:r w:rsidR="0042018C">
        <w:t>does</w:t>
      </w:r>
      <w:r w:rsidRPr="00B916EC">
        <w:t xml:space="preserve"> not expect to monitor PDCCH candidates on a</w:t>
      </w:r>
      <w:r w:rsidR="004C2C27">
        <w:t xml:space="preserve">n </w:t>
      </w:r>
      <w:r w:rsidR="004C2C27" w:rsidRPr="00D20E88">
        <w:t>active</w:t>
      </w:r>
      <w:r w:rsidRPr="00B916EC">
        <w:t xml:space="preserve"> </w:t>
      </w:r>
      <w:r w:rsidR="00965AFA">
        <w:t xml:space="preserve">DL BWP of a </w:t>
      </w:r>
      <w:r w:rsidRPr="00B916EC">
        <w:t xml:space="preserve">secondary cell if the UE is configured to monitor PDCCH candidates </w:t>
      </w:r>
      <w:r w:rsidR="00D509B6">
        <w:t>for detection of DCI formats</w:t>
      </w:r>
      <w:r w:rsidRPr="00B916EC">
        <w:t xml:space="preserve"> </w:t>
      </w:r>
      <w:r w:rsidR="00D509B6">
        <w:t xml:space="preserve">scheduling on </w:t>
      </w:r>
      <w:r w:rsidRPr="00B916EC">
        <w:t xml:space="preserve">that secondary cell in another serving cell. </w:t>
      </w:r>
      <w:r w:rsidR="001E45F5">
        <w:t>For a serving cell included in</w:t>
      </w:r>
      <w:r w:rsidR="001E45F5" w:rsidRPr="00B916EC">
        <w:t xml:space="preserve"> </w:t>
      </w:r>
      <w:r w:rsidR="001E45F5" w:rsidRPr="004B6A98">
        <w:rPr>
          <w:i/>
          <w:iCs/>
        </w:rPr>
        <w:t>MC-DCI-SetofCells</w:t>
      </w:r>
      <w:r w:rsidR="001E45F5">
        <w:rPr>
          <w:lang w:eastAsia="zh-CN"/>
        </w:rPr>
        <w:t>,</w:t>
      </w:r>
      <w:r w:rsidR="001E45F5" w:rsidRPr="00B916EC">
        <w:rPr>
          <w:lang w:eastAsia="zh-CN"/>
        </w:rPr>
        <w:t xml:space="preserve"> </w:t>
      </w:r>
      <w:r w:rsidR="001E45F5">
        <w:rPr>
          <w:lang w:eastAsia="zh-CN"/>
        </w:rPr>
        <w:t xml:space="preserve">if provided, </w:t>
      </w:r>
      <w:r w:rsidR="001E45F5" w:rsidRPr="00B916EC">
        <w:rPr>
          <w:lang w:eastAsia="zh-CN"/>
        </w:rPr>
        <w:t xml:space="preserve">the </w:t>
      </w:r>
      <w:r w:rsidR="001E45F5">
        <w:rPr>
          <w:iCs/>
          <w:lang w:eastAsia="zh-CN"/>
        </w:rPr>
        <w:t xml:space="preserve">UE </w:t>
      </w:r>
      <w:r w:rsidR="001E45F5">
        <w:t>does</w:t>
      </w:r>
      <w:r w:rsidR="001E45F5" w:rsidRPr="00B916EC">
        <w:t xml:space="preserve"> not expect to monitor PDCCH candidates </w:t>
      </w:r>
      <w:r w:rsidR="001E45F5" w:rsidRPr="009E0A01">
        <w:rPr>
          <w:rFonts w:eastAsia="Malgun Gothic"/>
          <w:bCs/>
          <w:lang w:eastAsia="zh-CN"/>
        </w:rPr>
        <w:t>on more than one scheduling cell for dete</w:t>
      </w:r>
      <w:r w:rsidR="001E45F5">
        <w:rPr>
          <w:rFonts w:eastAsia="Malgun Gothic"/>
          <w:bCs/>
          <w:lang w:eastAsia="zh-CN"/>
        </w:rPr>
        <w:t xml:space="preserve">ction of DCI formats scheduling on </w:t>
      </w:r>
      <w:r w:rsidR="001E45F5" w:rsidRPr="009E0A01">
        <w:rPr>
          <w:rFonts w:eastAsia="Malgun Gothic"/>
          <w:bCs/>
          <w:lang w:eastAsia="zh-CN"/>
        </w:rPr>
        <w:t>the serving cell.</w:t>
      </w:r>
      <w:r w:rsidR="001E45F5">
        <w:rPr>
          <w:rFonts w:eastAsia="Malgun Gothic"/>
          <w:bCs/>
          <w:lang w:eastAsia="zh-CN"/>
        </w:rPr>
        <w:t xml:space="preserve"> </w:t>
      </w:r>
      <w:r w:rsidRPr="00B916EC">
        <w:t xml:space="preserve">For the </w:t>
      </w:r>
      <w:r w:rsidR="004C2C27" w:rsidRPr="00D20E88">
        <w:t xml:space="preserve">active </w:t>
      </w:r>
      <w:r w:rsidR="00965AFA">
        <w:t xml:space="preserve">DL BWP of a </w:t>
      </w:r>
      <w:r w:rsidRPr="00B916EC">
        <w:t>serving cell on which the UE monitors PDCCH candidates, the UE monitor</w:t>
      </w:r>
      <w:r w:rsidR="003E4D5E">
        <w:t>s</w:t>
      </w:r>
      <w:r w:rsidRPr="00B916EC">
        <w:t xml:space="preserve"> PDCCH candidates at least for the same serving cell. </w:t>
      </w:r>
    </w:p>
    <w:p w14:paraId="3E77CAC6" w14:textId="04681621" w:rsidR="005329C2" w:rsidRPr="00B916EC" w:rsidRDefault="005329C2" w:rsidP="005329C2">
      <w:r w:rsidRPr="00515632">
        <w:t xml:space="preserve">For a search space set </w:t>
      </w:r>
      <m:oMath>
        <m:r>
          <w:rPr>
            <w:rFonts w:ascii="Cambria Math" w:hAnsi="Cambria Math"/>
          </w:rPr>
          <m:t>s</m:t>
        </m:r>
      </m:oMath>
      <w:r w:rsidRPr="00515632">
        <w:t xml:space="preserve"> associated with CORESET </w:t>
      </w:r>
      <m:oMath>
        <m:r>
          <w:rPr>
            <w:rFonts w:ascii="Cambria Math" w:hAnsi="Cambria Math"/>
          </w:rPr>
          <m:t>p</m:t>
        </m:r>
      </m:oMath>
      <w:r>
        <w:t xml:space="preserve">, </w:t>
      </w:r>
      <w:r w:rsidRPr="00515632">
        <w:t xml:space="preserve">the CCE indexes for aggregation level </w:t>
      </w:r>
      <m:oMath>
        <m:r>
          <w:rPr>
            <w:rFonts w:ascii="Cambria Math" w:hAnsi="Cambria Math"/>
          </w:rPr>
          <m:t>L</m:t>
        </m:r>
      </m:oMath>
      <w:r w:rsidRPr="00515632">
        <w:t xml:space="preserve"> corresponding to PDCCH candidate</w:t>
      </w:r>
      <w:r w:rsidR="00C8195E" w:rsidRPr="00F415B1">
        <w:t xml:space="preserve">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s,n</m:t>
                </m:r>
              </m:e>
              <m:sub>
                <m:r>
                  <w:rPr>
                    <w:rFonts w:ascii="Cambria Math" w:hAnsi="Cambria Math"/>
                  </w:rPr>
                  <m:t>CI</m:t>
                </m:r>
              </m:sub>
            </m:sSub>
          </m:sub>
          <m:sup>
            <m:r>
              <w:rPr>
                <w:rFonts w:ascii="Cambria Math" w:hAnsi="Cambria Math"/>
              </w:rPr>
              <m:t>(L)</m:t>
            </m:r>
          </m:sup>
        </m:sSubSup>
        <m:r>
          <m:rPr>
            <m:sty m:val="p"/>
          </m:rPr>
          <w:rPr>
            <w:rFonts w:ascii="Cambria Math" w:hAnsi="Cambria Math" w:hint="eastAsia"/>
          </w:rPr>
          <m:t xml:space="preserve"> </m:t>
        </m:r>
      </m:oMath>
      <w:r w:rsidRPr="00515632">
        <w:rPr>
          <w:rFonts w:hint="eastAsia"/>
        </w:rPr>
        <w:t xml:space="preserve"> of the search space</w:t>
      </w:r>
      <w:r w:rsidRPr="00515632">
        <w:t xml:space="preserve"> set in slot </w:t>
      </w:r>
      <m:oMath>
        <m:sSubSup>
          <m:sSubSupPr>
            <m:ctrlPr>
              <w:rPr>
                <w:rFonts w:ascii="Cambria Math" w:hAnsi="Cambria Math"/>
                <w:i/>
              </w:rPr>
            </m:ctrlPr>
          </m:sSubSupPr>
          <m:e>
            <m:r>
              <w:rPr>
                <w:rFonts w:ascii="Cambria Math" w:hAnsi="Cambria Math"/>
              </w:rPr>
              <m:t>n</m:t>
            </m:r>
          </m:e>
          <m:sub>
            <m:r>
              <w:rPr>
                <w:rFonts w:ascii="Cambria Math" w:hAnsi="Cambria Math"/>
              </w:rPr>
              <m:t>s,f</m:t>
            </m:r>
          </m:sub>
          <m:sup>
            <m:r>
              <w:rPr>
                <w:rFonts w:ascii="Cambria Math" w:hAnsi="Cambria Math"/>
              </w:rPr>
              <m:t>μ</m:t>
            </m:r>
          </m:sup>
        </m:sSubSup>
      </m:oMath>
      <w:r w:rsidRPr="00515632">
        <w:t xml:space="preserve"> for an active DL BWP of a serving cell corresponding to carrier indicator field value </w:t>
      </w:r>
      <m:oMath>
        <m:sSub>
          <m:sSubPr>
            <m:ctrlPr>
              <w:rPr>
                <w:rFonts w:ascii="Cambria Math" w:hAnsi="Cambria Math"/>
                <w:i/>
              </w:rPr>
            </m:ctrlPr>
          </m:sSubPr>
          <m:e>
            <m:r>
              <w:rPr>
                <w:rFonts w:ascii="Cambria Math" w:hAnsi="Cambria Math"/>
              </w:rPr>
              <m:t>n</m:t>
            </m:r>
          </m:e>
          <m:sub>
            <m:r>
              <w:rPr>
                <w:rFonts w:ascii="Cambria Math" w:hAnsi="Cambria Math"/>
              </w:rPr>
              <m:t>CI</m:t>
            </m:r>
          </m:sub>
        </m:sSub>
      </m:oMath>
      <w:r w:rsidR="00E33018">
        <w:t xml:space="preserve">, or </w:t>
      </w:r>
      <w:r w:rsidR="00E33018" w:rsidRPr="00515632">
        <w:t>corresponding</w:t>
      </w:r>
      <w:r w:rsidR="00E33018">
        <w:t xml:space="preserve"> to value </w:t>
      </w:r>
      <m:oMath>
        <m:sSub>
          <m:sSubPr>
            <m:ctrlPr>
              <w:rPr>
                <w:rFonts w:ascii="Cambria Math" w:hAnsi="Cambria Math"/>
                <w:i/>
              </w:rPr>
            </m:ctrlPr>
          </m:sSubPr>
          <m:e>
            <m:r>
              <w:rPr>
                <w:rFonts w:ascii="Cambria Math" w:hAnsi="Cambria Math"/>
              </w:rPr>
              <m:t>n</m:t>
            </m:r>
          </m:e>
          <m:sub>
            <m:r>
              <w:rPr>
                <w:rFonts w:ascii="Cambria Math" w:hAnsi="Cambria Math"/>
              </w:rPr>
              <m:t>CI</m:t>
            </m:r>
          </m:sub>
        </m:sSub>
      </m:oMath>
      <w:r w:rsidR="00E33018">
        <w:t xml:space="preserve"> of </w:t>
      </w:r>
      <w:r w:rsidR="00E33018" w:rsidRPr="00DF34DB">
        <w:rPr>
          <w:bCs/>
          <w:i/>
          <w:szCs w:val="22"/>
          <w:lang w:eastAsia="en-GB"/>
        </w:rPr>
        <w:t>nCI-Value</w:t>
      </w:r>
      <w:r w:rsidR="00E33018">
        <w:rPr>
          <w:bCs/>
          <w:iCs/>
          <w:szCs w:val="22"/>
          <w:lang w:eastAsia="en-GB"/>
        </w:rPr>
        <w:t xml:space="preserve"> associated with a set of serving cells </w:t>
      </w:r>
      <w:r w:rsidR="00E33018" w:rsidRPr="004B6A98">
        <w:rPr>
          <w:i/>
          <w:iCs/>
        </w:rPr>
        <w:t>MC-DCI-SetofCells</w:t>
      </w:r>
      <w:r w:rsidR="00E33018">
        <w:t>,</w:t>
      </w:r>
      <w:r w:rsidR="00C8195E">
        <w:t xml:space="preserve"> </w:t>
      </w:r>
      <w:r w:rsidRPr="00515632">
        <w:rPr>
          <w:rFonts w:hint="eastAsia"/>
        </w:rPr>
        <w:t>are</w:t>
      </w:r>
      <w:r w:rsidRPr="00515632">
        <w:t xml:space="preserve"> given by</w:t>
      </w:r>
      <w:r w:rsidRPr="00B916EC">
        <w:t xml:space="preserve"> </w:t>
      </w:r>
    </w:p>
    <w:p w14:paraId="7DF48BC9" w14:textId="77777777" w:rsidR="00C8195E" w:rsidRPr="00F415B1" w:rsidRDefault="00C8195E" w:rsidP="00C8195E">
      <w:pPr>
        <w:pStyle w:val="EQ"/>
        <w:jc w:val="center"/>
      </w:pPr>
      <m:oMathPara>
        <m:oMath>
          <m:r>
            <w:rPr>
              <w:rFonts w:ascii="Cambria Math" w:hAnsi="Cambria Math"/>
            </w:rPr>
            <m:t>L</m:t>
          </m:r>
          <m:r>
            <w:rPr>
              <w:rFonts w:ascii="Cambria Math" w:hAnsi="Cambria Math"/>
              <w:lang w:val="en-AU"/>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SubSup>
                        <m:sSubSupPr>
                          <m:ctrlPr>
                            <w:rPr>
                              <w:rFonts w:ascii="Cambria Math" w:hAnsi="Cambria Math"/>
                              <w:i/>
                            </w:rPr>
                          </m:ctrlPr>
                        </m:sSubSupPr>
                        <m:e>
                          <m:r>
                            <w:rPr>
                              <w:rFonts w:ascii="Cambria Math" w:hAnsi="Cambria Math"/>
                            </w:rPr>
                            <m:t>n</m:t>
                          </m:r>
                        </m:e>
                        <m:sub>
                          <m:r>
                            <w:rPr>
                              <w:rFonts w:ascii="Cambria Math" w:hAnsi="Cambria Math"/>
                            </w:rPr>
                            <m:t>s,f</m:t>
                          </m:r>
                        </m:sub>
                        <m:sup>
                          <m:r>
                            <w:rPr>
                              <w:rFonts w:ascii="Cambria Math" w:hAnsi="Cambria Math"/>
                            </w:rPr>
                            <m:t>μ</m:t>
                          </m:r>
                        </m:sup>
                      </m:sSubSup>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s,n</m:t>
                                  </m:r>
                                </m:e>
                                <m:sub>
                                  <m:r>
                                    <w:rPr>
                                      <w:rFonts w:ascii="Cambria Math" w:hAnsi="Cambria Math"/>
                                    </w:rPr>
                                    <m:t>CI</m:t>
                                  </m:r>
                                </m:sub>
                              </m:sSub>
                            </m:sub>
                            <m:sup>
                              <m:r>
                                <w:rPr>
                                  <w:rFonts w:ascii="Cambria Math" w:hAnsi="Cambria Math"/>
                                </w:rPr>
                                <m:t>(L)</m:t>
                              </m:r>
                            </m:sup>
                          </m:sSubSup>
                          <m:r>
                            <w:rPr>
                              <w:rFonts w:ascii="Cambria Math" w:hAnsi="Cambria Math"/>
                              <w:lang w:val="en-AU"/>
                            </w:rPr>
                            <m:t>⋅</m:t>
                          </m:r>
                          <m:sSub>
                            <m:sSubPr>
                              <m:ctrlPr>
                                <w:rPr>
                                  <w:rFonts w:ascii="Cambria Math" w:hAnsi="Cambria Math"/>
                                  <w:i/>
                                </w:rPr>
                              </m:ctrlPr>
                            </m:sSubPr>
                            <m:e>
                              <m:r>
                                <w:rPr>
                                  <w:rFonts w:ascii="Cambria Math" w:hAnsi="Cambria Math"/>
                                </w:rPr>
                                <m:t>N</m:t>
                              </m:r>
                            </m:e>
                            <m:sub>
                              <m:r>
                                <m:rPr>
                                  <m:sty m:val="p"/>
                                </m:rPr>
                                <w:rPr>
                                  <w:rFonts w:ascii="Cambria Math" w:hAnsi="Cambria Math"/>
                                </w:rPr>
                                <m:t>CCE</m:t>
                              </m:r>
                              <m:r>
                                <w:rPr>
                                  <w:rFonts w:ascii="Cambria Math" w:hAnsi="Cambria Math"/>
                                </w:rPr>
                                <m:t>,p</m:t>
                              </m:r>
                            </m:sub>
                          </m:sSub>
                        </m:num>
                        <m:den>
                          <m:r>
                            <w:rPr>
                              <w:rFonts w:ascii="Cambria Math" w:hAnsi="Cambria Math"/>
                            </w:rPr>
                            <m:t>L</m:t>
                          </m:r>
                          <m:r>
                            <w:rPr>
                              <w:rFonts w:ascii="Cambria Math" w:hAnsi="Cambria Math"/>
                              <w:lang w:val="en-AU"/>
                            </w:rPr>
                            <m:t>⋅</m:t>
                          </m:r>
                          <m:sSubSup>
                            <m:sSubSupPr>
                              <m:ctrlPr>
                                <w:rPr>
                                  <w:rFonts w:ascii="Cambria Math" w:hAnsi="Cambria Math"/>
                                  <w:i/>
                                </w:rPr>
                              </m:ctrlPr>
                            </m:sSubSupPr>
                            <m:e>
                              <m:r>
                                <w:rPr>
                                  <w:rFonts w:ascii="Cambria Math" w:hAnsi="Cambria Math"/>
                                </w:rPr>
                                <m:t>M</m:t>
                              </m:r>
                            </m:e>
                            <m:sub>
                              <m:r>
                                <w:rPr>
                                  <w:rFonts w:ascii="Cambria Math" w:hAnsi="Cambria Math"/>
                                </w:rPr>
                                <m:t>s,</m:t>
                              </m:r>
                              <m:r>
                                <m:rPr>
                                  <m:sty m:val="p"/>
                                </m:rPr>
                                <w:rPr>
                                  <w:rFonts w:ascii="Cambria Math" w:hAnsi="Cambria Math"/>
                                </w:rPr>
                                <m:t>max</m:t>
                              </m:r>
                            </m:sub>
                            <m:sup>
                              <m:d>
                                <m:dPr>
                                  <m:ctrlPr>
                                    <w:rPr>
                                      <w:rFonts w:ascii="Cambria Math" w:hAnsi="Cambria Math"/>
                                      <w:i/>
                                    </w:rPr>
                                  </m:ctrlPr>
                                </m:dPr>
                                <m:e>
                                  <m:r>
                                    <w:rPr>
                                      <w:rFonts w:ascii="Cambria Math" w:hAnsi="Cambria Math"/>
                                    </w:rPr>
                                    <m:t>L</m:t>
                                  </m:r>
                                </m:e>
                              </m:d>
                            </m:sup>
                          </m:sSubSup>
                        </m:den>
                      </m:f>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m:t>
                      </m:r>
                    </m:sub>
                  </m:sSub>
                </m:e>
              </m:d>
              <m:r>
                <w:rPr>
                  <w:rFonts w:ascii="Cambria Math" w:hAnsi="Cambria Math"/>
                </w:rPr>
                <m:t>mod</m:t>
              </m:r>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N</m:t>
                          </m:r>
                        </m:e>
                        <m:sub>
                          <m:r>
                            <m:rPr>
                              <m:sty m:val="p"/>
                            </m:rPr>
                            <w:rPr>
                              <w:rFonts w:ascii="Cambria Math" w:hAnsi="Cambria Math"/>
                            </w:rPr>
                            <m:t>CCE</m:t>
                          </m:r>
                          <m:r>
                            <w:rPr>
                              <w:rFonts w:ascii="Cambria Math" w:hAnsi="Cambria Math"/>
                            </w:rPr>
                            <m:t>,p</m:t>
                          </m:r>
                        </m:sub>
                      </m:sSub>
                    </m:num>
                    <m:den>
                      <m:r>
                        <w:rPr>
                          <w:rFonts w:ascii="Cambria Math" w:hAnsi="Cambria Math"/>
                        </w:rPr>
                        <m:t>L</m:t>
                      </m:r>
                    </m:den>
                  </m:f>
                </m:e>
              </m:d>
            </m:e>
          </m:d>
          <m:r>
            <w:rPr>
              <w:rFonts w:ascii="Cambria Math" w:hAnsi="Cambria Math"/>
            </w:rPr>
            <m:t>+i</m:t>
          </m:r>
        </m:oMath>
      </m:oMathPara>
    </w:p>
    <w:p w14:paraId="48942E0E" w14:textId="77777777" w:rsidR="00902778" w:rsidRPr="00B916EC" w:rsidRDefault="00902778" w:rsidP="00902778">
      <w:r w:rsidRPr="00B916EC">
        <w:t>where</w:t>
      </w:r>
    </w:p>
    <w:p w14:paraId="416B94F3" w14:textId="77777777" w:rsidR="005329C2" w:rsidRPr="00B916EC" w:rsidRDefault="005329C2" w:rsidP="005329C2">
      <w:r w:rsidRPr="00B916EC">
        <w:t xml:space="preserve">for any </w:t>
      </w:r>
      <w:r>
        <w:t>CSS</w:t>
      </w:r>
      <w:r w:rsidRPr="00B916EC">
        <w:t>,</w:t>
      </w:r>
      <w:r w:rsidRPr="00E42B8B">
        <w:t xml:space="preserve"> </w:t>
      </w:r>
      <w:bookmarkStart w:id="666" w:name="_Hlk39576530"/>
      <m:oMath>
        <m:sSub>
          <m:sSubPr>
            <m:ctrlPr>
              <w:rPr>
                <w:rFonts w:ascii="Cambria Math" w:hAnsi="Cambria Math"/>
                <w:i/>
              </w:rPr>
            </m:ctrlPr>
          </m:sSubPr>
          <m:e>
            <m:r>
              <w:rPr>
                <w:rFonts w:ascii="Cambria Math" w:hAnsi="Cambria Math"/>
              </w:rPr>
              <m:t>Y</m:t>
            </m:r>
          </m:e>
          <m:sub>
            <m:r>
              <w:rPr>
                <w:rFonts w:ascii="Cambria Math" w:hAnsi="Cambria Math"/>
              </w:rPr>
              <m:t>p,</m:t>
            </m:r>
            <m:sSubSup>
              <m:sSubSupPr>
                <m:ctrlPr>
                  <w:rPr>
                    <w:rFonts w:ascii="Cambria Math" w:hAnsi="Cambria Math"/>
                    <w:i/>
                  </w:rPr>
                </m:ctrlPr>
              </m:sSubSupPr>
              <m:e>
                <m:r>
                  <w:rPr>
                    <w:rFonts w:ascii="Cambria Math" w:hAnsi="Cambria Math"/>
                  </w:rPr>
                  <m:t>n</m:t>
                </m:r>
              </m:e>
              <m:sub>
                <m:r>
                  <w:rPr>
                    <w:rFonts w:ascii="Cambria Math" w:hAnsi="Cambria Math"/>
                  </w:rPr>
                  <m:t>s,f</m:t>
                </m:r>
              </m:sub>
              <m:sup>
                <m:r>
                  <w:rPr>
                    <w:rFonts w:ascii="Cambria Math" w:hAnsi="Cambria Math"/>
                  </w:rPr>
                  <m:t>μ</m:t>
                </m:r>
              </m:sup>
            </m:sSubSup>
          </m:sub>
        </m:sSub>
        <m:r>
          <w:rPr>
            <w:rFonts w:ascii="Cambria Math" w:hAnsi="Cambria Math"/>
          </w:rPr>
          <m:t>=0</m:t>
        </m:r>
      </m:oMath>
      <w:bookmarkEnd w:id="666"/>
      <w:r w:rsidRPr="00B916EC">
        <w:t xml:space="preserve">; </w:t>
      </w:r>
    </w:p>
    <w:p w14:paraId="573E0CC3" w14:textId="77777777" w:rsidR="005329C2" w:rsidRPr="00B916EC" w:rsidRDefault="005329C2" w:rsidP="005329C2">
      <w:r w:rsidRPr="00B916EC">
        <w:t xml:space="preserve">for a </w:t>
      </w:r>
      <w:r>
        <w:t>USS</w:t>
      </w:r>
      <w:r w:rsidRPr="00B916EC">
        <w:t>,</w:t>
      </w:r>
      <w:r w:rsidRPr="00E42B8B">
        <w:t xml:space="preserve"> </w:t>
      </w:r>
      <m:oMath>
        <m:sSub>
          <m:sSubPr>
            <m:ctrlPr>
              <w:rPr>
                <w:rFonts w:ascii="Cambria Math" w:hAnsi="Cambria Math"/>
                <w:i/>
              </w:rPr>
            </m:ctrlPr>
          </m:sSubPr>
          <m:e>
            <m:r>
              <w:rPr>
                <w:rFonts w:ascii="Cambria Math" w:hAnsi="Cambria Math"/>
              </w:rPr>
              <m:t>Y</m:t>
            </m:r>
          </m:e>
          <m:sub>
            <m:r>
              <w:rPr>
                <w:rFonts w:ascii="Cambria Math" w:hAnsi="Cambria Math"/>
              </w:rPr>
              <m:t>p,</m:t>
            </m:r>
            <m:sSubSup>
              <m:sSubSupPr>
                <m:ctrlPr>
                  <w:rPr>
                    <w:rFonts w:ascii="Cambria Math" w:hAnsi="Cambria Math"/>
                    <w:i/>
                  </w:rPr>
                </m:ctrlPr>
              </m:sSubSupPr>
              <m:e>
                <m:r>
                  <w:rPr>
                    <w:rFonts w:ascii="Cambria Math" w:hAnsi="Cambria Math"/>
                  </w:rPr>
                  <m:t>n</m:t>
                </m:r>
              </m:e>
              <m:sub>
                <m:r>
                  <w:rPr>
                    <w:rFonts w:ascii="Cambria Math" w:hAnsi="Cambria Math"/>
                  </w:rPr>
                  <m:t>s,f</m:t>
                </m:r>
              </m:sub>
              <m:sup>
                <m:r>
                  <w:rPr>
                    <w:rFonts w:ascii="Cambria Math" w:hAnsi="Cambria Math"/>
                  </w:rPr>
                  <m:t>μ</m:t>
                </m:r>
              </m:sup>
            </m:sSubSup>
          </m:sub>
        </m:sSub>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p</m:t>
                    </m:r>
                  </m:sub>
                </m:sSub>
                <m:r>
                  <w:rPr>
                    <w:rFonts w:ascii="Cambria Math" w:hAnsi="Cambria Math" w:cs="Cambria Math"/>
                    <w:lang w:val="en-AU"/>
                  </w:rPr>
                  <m:t>⋅</m:t>
                </m:r>
                <m:r>
                  <w:rPr>
                    <w:rFonts w:ascii="Cambria Math" w:hAnsi="Cambria Math"/>
                  </w:rPr>
                  <m:t>Y</m:t>
                </m:r>
              </m:e>
              <m:sub>
                <m:r>
                  <w:rPr>
                    <w:rFonts w:ascii="Cambria Math" w:hAnsi="Cambria Math"/>
                  </w:rPr>
                  <m:t>p,</m:t>
                </m:r>
                <m:sSubSup>
                  <m:sSubSupPr>
                    <m:ctrlPr>
                      <w:rPr>
                        <w:rFonts w:ascii="Cambria Math" w:hAnsi="Cambria Math"/>
                        <w:i/>
                      </w:rPr>
                    </m:ctrlPr>
                  </m:sSubSupPr>
                  <m:e>
                    <m:r>
                      <w:rPr>
                        <w:rFonts w:ascii="Cambria Math" w:hAnsi="Cambria Math"/>
                      </w:rPr>
                      <m:t>n</m:t>
                    </m:r>
                  </m:e>
                  <m:sub>
                    <m:r>
                      <w:rPr>
                        <w:rFonts w:ascii="Cambria Math" w:hAnsi="Cambria Math"/>
                      </w:rPr>
                      <m:t>s,f</m:t>
                    </m:r>
                  </m:sub>
                  <m:sup>
                    <m:r>
                      <w:rPr>
                        <w:rFonts w:ascii="Cambria Math" w:hAnsi="Cambria Math"/>
                      </w:rPr>
                      <m:t>μ</m:t>
                    </m:r>
                  </m:sup>
                </m:sSubSup>
                <m:r>
                  <w:rPr>
                    <w:rFonts w:ascii="Cambria Math" w:hAnsi="Cambria Math"/>
                  </w:rPr>
                  <m:t>-1</m:t>
                </m:r>
              </m:sub>
            </m:sSub>
          </m:e>
        </m:d>
        <m:r>
          <w:rPr>
            <w:rFonts w:ascii="Cambria Math" w:hAnsi="Cambria Math"/>
          </w:rPr>
          <m:t>modD</m:t>
        </m:r>
      </m:oMath>
      <w:r w:rsidRPr="00B916EC">
        <w:t xml:space="preserve">, </w:t>
      </w:r>
      <m:oMath>
        <m:sSub>
          <m:sSubPr>
            <m:ctrlPr>
              <w:rPr>
                <w:rFonts w:ascii="Cambria Math" w:hAnsi="Cambria Math"/>
                <w:i/>
              </w:rPr>
            </m:ctrlPr>
          </m:sSubPr>
          <m:e>
            <m:r>
              <w:rPr>
                <w:rFonts w:ascii="Cambria Math" w:hAnsi="Cambria Math"/>
              </w:rPr>
              <m:t>Y</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n</m:t>
            </m:r>
          </m:e>
          <m:sub>
            <m:r>
              <m:rPr>
                <m:sty m:val="p"/>
              </m:rPr>
              <w:rPr>
                <w:rFonts w:ascii="Cambria Math" w:hAnsi="Cambria Math"/>
              </w:rPr>
              <m:t>RNTI</m:t>
            </m:r>
          </m:sub>
        </m:sSub>
        <m:r>
          <w:rPr>
            <w:rFonts w:ascii="Cambria Math" w:hAnsi="Cambria Math"/>
          </w:rPr>
          <m:t>≠0</m:t>
        </m:r>
      </m:oMath>
      <w:r w:rsidRPr="00B916EC">
        <w:t xml:space="preserve">, </w:t>
      </w:r>
      <m:oMath>
        <m:sSub>
          <m:sSubPr>
            <m:ctrlPr>
              <w:rPr>
                <w:rFonts w:ascii="Cambria Math" w:hAnsi="Cambria Math"/>
                <w:i/>
              </w:rPr>
            </m:ctrlPr>
          </m:sSubPr>
          <m:e>
            <m:r>
              <w:rPr>
                <w:rFonts w:ascii="Cambria Math" w:hAnsi="Cambria Math"/>
              </w:rPr>
              <m:t>A</m:t>
            </m:r>
          </m:e>
          <m:sub>
            <m:r>
              <w:rPr>
                <w:rFonts w:ascii="Cambria Math" w:hAnsi="Cambria Math"/>
              </w:rPr>
              <m:t>p</m:t>
            </m:r>
          </m:sub>
        </m:sSub>
        <m:r>
          <w:rPr>
            <w:rFonts w:ascii="Cambria Math" w:hAnsi="Cambria Math"/>
          </w:rPr>
          <m:t>=39827</m:t>
        </m:r>
      </m:oMath>
      <w:r>
        <w:t xml:space="preserve"> for </w:t>
      </w:r>
      <m:oMath>
        <m:r>
          <w:rPr>
            <w:rFonts w:ascii="Cambria Math" w:hAnsi="Cambria Math"/>
          </w:rPr>
          <m:t>pmod3=0</m:t>
        </m:r>
      </m:oMath>
      <w:r w:rsidRPr="00B916EC">
        <w:t xml:space="preserve">, </w:t>
      </w:r>
      <m:oMath>
        <m:sSub>
          <m:sSubPr>
            <m:ctrlPr>
              <w:rPr>
                <w:rFonts w:ascii="Cambria Math" w:hAnsi="Cambria Math"/>
                <w:i/>
              </w:rPr>
            </m:ctrlPr>
          </m:sSubPr>
          <m:e>
            <m:r>
              <w:rPr>
                <w:rFonts w:ascii="Cambria Math" w:hAnsi="Cambria Math"/>
              </w:rPr>
              <m:t>A</m:t>
            </m:r>
          </m:e>
          <m:sub>
            <m:r>
              <w:rPr>
                <w:rFonts w:ascii="Cambria Math" w:hAnsi="Cambria Math"/>
              </w:rPr>
              <m:t>p</m:t>
            </m:r>
          </m:sub>
        </m:sSub>
        <m:r>
          <w:rPr>
            <w:rFonts w:ascii="Cambria Math" w:hAnsi="Cambria Math"/>
          </w:rPr>
          <m:t>=39829</m:t>
        </m:r>
      </m:oMath>
      <w:r w:rsidRPr="009919DB">
        <w:t xml:space="preserve"> </w:t>
      </w:r>
      <w:r>
        <w:t xml:space="preserve">for </w:t>
      </w:r>
      <m:oMath>
        <m:r>
          <w:rPr>
            <w:rFonts w:ascii="Cambria Math" w:hAnsi="Cambria Math"/>
          </w:rPr>
          <m:t>pmod3=1</m:t>
        </m:r>
      </m:oMath>
      <w:r w:rsidRPr="00B916EC">
        <w:t>,</w:t>
      </w:r>
      <w:r>
        <w:t xml:space="preserve"> </w:t>
      </w:r>
      <m:oMath>
        <m:sSub>
          <m:sSubPr>
            <m:ctrlPr>
              <w:rPr>
                <w:rFonts w:ascii="Cambria Math" w:hAnsi="Cambria Math"/>
                <w:i/>
              </w:rPr>
            </m:ctrlPr>
          </m:sSubPr>
          <m:e>
            <m:r>
              <w:rPr>
                <w:rFonts w:ascii="Cambria Math" w:hAnsi="Cambria Math"/>
              </w:rPr>
              <m:t>A</m:t>
            </m:r>
          </m:e>
          <m:sub>
            <m:r>
              <w:rPr>
                <w:rFonts w:ascii="Cambria Math" w:hAnsi="Cambria Math"/>
              </w:rPr>
              <m:t>p</m:t>
            </m:r>
          </m:sub>
        </m:sSub>
        <m:r>
          <w:rPr>
            <w:rFonts w:ascii="Cambria Math" w:hAnsi="Cambria Math"/>
          </w:rPr>
          <m:t>=39839</m:t>
        </m:r>
      </m:oMath>
      <w:r w:rsidRPr="009919DB">
        <w:t xml:space="preserve"> </w:t>
      </w:r>
      <w:r>
        <w:t xml:space="preserve">for </w:t>
      </w:r>
      <m:oMath>
        <m:r>
          <w:rPr>
            <w:rFonts w:ascii="Cambria Math" w:hAnsi="Cambria Math"/>
          </w:rPr>
          <m:t>pmod3=2</m:t>
        </m:r>
      </m:oMath>
      <w:r>
        <w:t xml:space="preserve">, </w:t>
      </w:r>
      <w:r w:rsidRPr="00B916EC">
        <w:t xml:space="preserve">and </w:t>
      </w:r>
      <m:oMath>
        <m:r>
          <w:rPr>
            <w:rFonts w:ascii="Cambria Math" w:hAnsi="Cambria Math"/>
          </w:rPr>
          <m:t>D=65537</m:t>
        </m:r>
      </m:oMath>
      <w:r w:rsidRPr="00B916EC">
        <w:t>;</w:t>
      </w:r>
    </w:p>
    <w:p w14:paraId="027C708E" w14:textId="77777777" w:rsidR="005329C2" w:rsidRDefault="005329C2" w:rsidP="005329C2">
      <m:oMath>
        <m:r>
          <w:rPr>
            <w:rFonts w:ascii="Cambria Math" w:hAnsi="Cambria Math"/>
          </w:rPr>
          <m:t>i=0,⋯,L-1</m:t>
        </m:r>
      </m:oMath>
      <w:r w:rsidRPr="00B916EC">
        <w:t>;</w:t>
      </w:r>
    </w:p>
    <w:p w14:paraId="0CBFBC53" w14:textId="77777777" w:rsidR="004F1F38" w:rsidRDefault="00000000" w:rsidP="004F1F38">
      <m:oMath>
        <m:sSub>
          <m:sSubPr>
            <m:ctrlPr>
              <w:rPr>
                <w:rFonts w:ascii="Cambria Math" w:hAnsi="Cambria Math"/>
                <w:i/>
              </w:rPr>
            </m:ctrlPr>
          </m:sSubPr>
          <m:e>
            <m:r>
              <w:rPr>
                <w:rFonts w:ascii="Cambria Math" w:hAnsi="Cambria Math"/>
              </w:rPr>
              <m:t>N</m:t>
            </m:r>
          </m:e>
          <m:sub>
            <m:r>
              <m:rPr>
                <m:sty m:val="p"/>
              </m:rPr>
              <w:rPr>
                <w:rFonts w:ascii="Cambria Math" w:hAnsi="Cambria Math"/>
              </w:rPr>
              <m:t>CCE</m:t>
            </m:r>
            <m:r>
              <w:rPr>
                <w:rFonts w:ascii="Cambria Math" w:hAnsi="Cambria Math"/>
              </w:rPr>
              <m:t>,p</m:t>
            </m:r>
          </m:sub>
        </m:sSub>
      </m:oMath>
      <w:r w:rsidR="005329C2" w:rsidRPr="00B916EC">
        <w:rPr>
          <w:rStyle w:val="CommentReference"/>
          <w:lang w:val="x-none"/>
        </w:rPr>
        <w:t xml:space="preserve"> </w:t>
      </w:r>
      <w:r w:rsidR="005329C2" w:rsidRPr="002A5C83">
        <w:rPr>
          <w:rStyle w:val="CommentReference"/>
          <w:sz w:val="20"/>
          <w:szCs w:val="20"/>
          <w:lang w:val="x-none"/>
        </w:rPr>
        <w:t>i</w:t>
      </w:r>
      <w:r w:rsidR="005329C2" w:rsidRPr="002A5C83">
        <w:t>s</w:t>
      </w:r>
      <w:r w:rsidR="005329C2" w:rsidRPr="00B916EC">
        <w:t xml:space="preserve"> the number of CCEs</w:t>
      </w:r>
      <w:r w:rsidR="005329C2">
        <w:t>,</w:t>
      </w:r>
      <w:r w:rsidR="005329C2" w:rsidRPr="002A5C83">
        <w:t xml:space="preserve"> </w:t>
      </w:r>
      <w:r w:rsidR="005329C2" w:rsidRPr="00B916EC">
        <w:t xml:space="preserve">numbered from 0 to </w:t>
      </w:r>
      <m:oMath>
        <m:sSub>
          <m:sSubPr>
            <m:ctrlPr>
              <w:rPr>
                <w:rFonts w:ascii="Cambria Math" w:hAnsi="Cambria Math"/>
                <w:i/>
              </w:rPr>
            </m:ctrlPr>
          </m:sSubPr>
          <m:e>
            <m:r>
              <w:rPr>
                <w:rFonts w:ascii="Cambria Math" w:hAnsi="Cambria Math"/>
              </w:rPr>
              <m:t>N</m:t>
            </m:r>
          </m:e>
          <m:sub>
            <m:r>
              <m:rPr>
                <m:sty m:val="p"/>
              </m:rPr>
              <w:rPr>
                <w:rFonts w:ascii="Cambria Math" w:hAnsi="Cambria Math"/>
              </w:rPr>
              <m:t>CCE</m:t>
            </m:r>
            <m:r>
              <w:rPr>
                <w:rFonts w:ascii="Cambria Math" w:hAnsi="Cambria Math"/>
              </w:rPr>
              <m:t>,p</m:t>
            </m:r>
          </m:sub>
        </m:sSub>
        <m:r>
          <w:rPr>
            <w:rFonts w:ascii="Cambria Math" w:hAnsi="Cambria Math"/>
          </w:rPr>
          <m:t>-1</m:t>
        </m:r>
      </m:oMath>
      <w:r w:rsidR="005329C2">
        <w:t>,</w:t>
      </w:r>
      <w:r w:rsidR="005329C2" w:rsidRPr="00B916EC">
        <w:t xml:space="preserve"> in </w:t>
      </w:r>
      <w:r w:rsidR="005329C2">
        <w:t>CORESET</w:t>
      </w:r>
      <w:r w:rsidR="005329C2" w:rsidRPr="00B916EC">
        <w:t xml:space="preserve"> </w:t>
      </w:r>
      <m:oMath>
        <m:r>
          <w:rPr>
            <w:rFonts w:ascii="Cambria Math" w:hAnsi="Cambria Math"/>
          </w:rPr>
          <m:t>p</m:t>
        </m:r>
      </m:oMath>
      <w:r w:rsidR="005329C2">
        <w:rPr>
          <w:noProof/>
        </w:rPr>
        <w:t xml:space="preserve"> and, if any, per RB set</w:t>
      </w:r>
      <w:r w:rsidR="004F1F38" w:rsidRPr="00591E13">
        <w:t xml:space="preserve"> </w:t>
      </w:r>
    </w:p>
    <w:p w14:paraId="525F2C81" w14:textId="32A8861C" w:rsidR="00180715" w:rsidRPr="00B916EC" w:rsidRDefault="004F1F38" w:rsidP="004F1F38">
      <w:pPr>
        <w:pStyle w:val="B1"/>
      </w:pPr>
      <w:r w:rsidRPr="000A424A">
        <w:t>-</w:t>
      </w:r>
      <w:r w:rsidRPr="000A424A">
        <w:tab/>
      </w:r>
      <w:r>
        <w:t>for</w:t>
      </w:r>
      <w:r w:rsidRPr="002D5E09">
        <w:rPr>
          <w:rFonts w:ascii="Cambria Math" w:hAnsi="Cambria Math"/>
          <w:i/>
        </w:rPr>
        <w:t xml:space="preserve"> </w:t>
      </w:r>
      <w:r w:rsidRPr="00591E13">
        <w:t>CORESET</w:t>
      </w:r>
      <w:r>
        <w:t xml:space="preserve"> 0, the CCEs are obtained prior to puncturing, if any, of corresponding RBs </w:t>
      </w:r>
      <w:r w:rsidRPr="00591E13">
        <w:t>[4, TS 38.211]</w:t>
      </w:r>
      <w:r w:rsidR="00180715" w:rsidRPr="00B916EC">
        <w:t xml:space="preserve">; </w:t>
      </w:r>
    </w:p>
    <w:p w14:paraId="2BF9B259" w14:textId="77777777" w:rsidR="00E33018" w:rsidRDefault="00000000" w:rsidP="005329C2">
      <m:oMath>
        <m:sSub>
          <m:sSubPr>
            <m:ctrlPr>
              <w:rPr>
                <w:rFonts w:ascii="Cambria Math" w:hAnsi="Cambria Math"/>
                <w:i/>
              </w:rPr>
            </m:ctrlPr>
          </m:sSubPr>
          <m:e>
            <m:r>
              <w:rPr>
                <w:rFonts w:ascii="Cambria Math" w:hAnsi="Cambria Math"/>
              </w:rPr>
              <m:t>n</m:t>
            </m:r>
          </m:e>
          <m:sub>
            <m:r>
              <w:rPr>
                <w:rFonts w:ascii="Cambria Math" w:hAnsi="Cambria Math"/>
              </w:rPr>
              <m:t>CI</m:t>
            </m:r>
          </m:sub>
        </m:sSub>
      </m:oMath>
      <w:r w:rsidR="005329C2">
        <w:rPr>
          <w:noProof/>
        </w:rPr>
        <w:t xml:space="preserve"> </w:t>
      </w:r>
      <w:r w:rsidR="005329C2" w:rsidRPr="00B916EC">
        <w:t xml:space="preserve">is </w:t>
      </w:r>
    </w:p>
    <w:p w14:paraId="1605FDB2" w14:textId="77777777" w:rsidR="000A424A" w:rsidRPr="000A424A" w:rsidRDefault="000A424A" w:rsidP="000A424A">
      <w:pPr>
        <w:pStyle w:val="B1"/>
      </w:pPr>
      <w:r w:rsidRPr="000A424A">
        <w:t>-</w:t>
      </w:r>
      <w:r w:rsidRPr="000A424A">
        <w:tab/>
        <w:t xml:space="preserve">the carrier indicator field value, if provided by </w:t>
      </w:r>
      <w:r w:rsidRPr="000A424A">
        <w:rPr>
          <w:bCs/>
          <w:i/>
          <w:szCs w:val="22"/>
          <w:lang w:eastAsia="en-GB"/>
        </w:rPr>
        <w:t>cif-InSchedulingCell</w:t>
      </w:r>
      <w:r w:rsidRPr="000A424A">
        <w:rPr>
          <w:iCs/>
        </w:rPr>
        <w:t xml:space="preserve"> in</w:t>
      </w:r>
      <w:r w:rsidRPr="000A424A">
        <w:rPr>
          <w:i/>
        </w:rPr>
        <w:t xml:space="preserve"> CrossCarrierSchedulingConfig</w:t>
      </w:r>
      <w:r w:rsidRPr="000A424A">
        <w:t xml:space="preserve"> for the serving cell on which PDCCH is monitored</w:t>
      </w:r>
      <w:r w:rsidRPr="000A424A">
        <w:rPr>
          <w:lang w:eastAsia="zh-CN"/>
        </w:rPr>
        <w:t xml:space="preserve">, except for scheduling of the serving cell from the same serving cell in which case </w:t>
      </w:r>
      <m:oMath>
        <m:sSub>
          <m:sSubPr>
            <m:ctrlPr>
              <w:rPr>
                <w:rFonts w:ascii="Cambria Math" w:eastAsia="Calibri" w:hAnsi="Cambria Math" w:cs="Calibri"/>
                <w:i/>
                <w:iCs/>
                <w:sz w:val="22"/>
                <w:szCs w:val="22"/>
                <w:lang w:eastAsia="zh-CN"/>
              </w:rPr>
            </m:ctrlPr>
          </m:sSubPr>
          <m:e>
            <m:r>
              <w:rPr>
                <w:rFonts w:ascii="Cambria Math" w:hAnsi="Cambria Math"/>
                <w:lang w:eastAsia="zh-CN"/>
              </w:rPr>
              <m:t>n</m:t>
            </m:r>
          </m:e>
          <m:sub>
            <m:r>
              <w:rPr>
                <w:rFonts w:ascii="Cambria Math" w:hAnsi="Cambria Math"/>
                <w:lang w:eastAsia="zh-CN"/>
              </w:rPr>
              <m:t>CI</m:t>
            </m:r>
          </m:sub>
        </m:sSub>
        <m:r>
          <w:rPr>
            <w:rFonts w:ascii="Cambria Math" w:hAnsi="Cambria Math"/>
            <w:lang w:eastAsia="zh-CN"/>
          </w:rPr>
          <m:t>=0</m:t>
        </m:r>
      </m:oMath>
      <w:r w:rsidRPr="000A424A">
        <w:t>;</w:t>
      </w:r>
    </w:p>
    <w:p w14:paraId="7EE24D08" w14:textId="26F6E5D9" w:rsidR="000A424A" w:rsidRPr="000A424A" w:rsidRDefault="000A424A" w:rsidP="000A424A">
      <w:pPr>
        <w:pStyle w:val="B1"/>
      </w:pPr>
      <w:r w:rsidRPr="000A424A">
        <w:t>-</w:t>
      </w:r>
      <w:r w:rsidRPr="000A424A">
        <w:tab/>
        <w:t xml:space="preserve">the </w:t>
      </w:r>
      <w:r w:rsidRPr="000A424A">
        <w:rPr>
          <w:i/>
          <w:iCs/>
        </w:rPr>
        <w:t>nCI-Value</w:t>
      </w:r>
      <w:r w:rsidRPr="000A424A">
        <w:t xml:space="preserve"> provided for the set of serving cells </w:t>
      </w:r>
      <w:r w:rsidRPr="000A424A">
        <w:rPr>
          <w:i/>
          <w:iCs/>
        </w:rPr>
        <w:t>MC-DCI-SetofCells</w:t>
      </w:r>
      <w:r w:rsidR="00F03493">
        <w:t xml:space="preserve">, if </w:t>
      </w:r>
      <w:r w:rsidR="00F03493" w:rsidRPr="000A424A">
        <w:rPr>
          <w:i/>
          <w:iCs/>
        </w:rPr>
        <w:t>MC-DCI-SetofCells</w:t>
      </w:r>
      <w:r w:rsidR="00F03493">
        <w:t xml:space="preserve"> is provided</w:t>
      </w:r>
      <w:r w:rsidRPr="000A424A">
        <w:t xml:space="preserve">; </w:t>
      </w:r>
    </w:p>
    <w:p w14:paraId="4AB23506" w14:textId="77777777" w:rsidR="000A424A" w:rsidRPr="000A424A" w:rsidRDefault="000A424A" w:rsidP="000A424A">
      <w:pPr>
        <w:pStyle w:val="B1"/>
      </w:pPr>
      <w:r w:rsidRPr="000A424A">
        <w:lastRenderedPageBreak/>
        <w:t>-</w:t>
      </w:r>
      <w:r w:rsidRPr="000A424A">
        <w:tab/>
        <w:t xml:space="preserve">otherwise, including for any CSS, </w:t>
      </w:r>
      <m:oMath>
        <m:sSub>
          <m:sSubPr>
            <m:ctrlPr>
              <w:rPr>
                <w:rFonts w:ascii="Cambria Math" w:hAnsi="Cambria Math"/>
                <w:i/>
              </w:rPr>
            </m:ctrlPr>
          </m:sSubPr>
          <m:e>
            <m:r>
              <w:rPr>
                <w:rFonts w:ascii="Cambria Math" w:hAnsi="Cambria Math"/>
              </w:rPr>
              <m:t>n</m:t>
            </m:r>
          </m:e>
          <m:sub>
            <m:r>
              <w:rPr>
                <w:rFonts w:ascii="Cambria Math" w:hAnsi="Cambria Math"/>
              </w:rPr>
              <m:t>CI</m:t>
            </m:r>
          </m:sub>
        </m:sSub>
        <m:r>
          <w:rPr>
            <w:rFonts w:ascii="Cambria Math" w:hAnsi="Cambria Math"/>
          </w:rPr>
          <m:t>=0</m:t>
        </m:r>
      </m:oMath>
    </w:p>
    <w:p w14:paraId="788BA859" w14:textId="48F12BC4" w:rsidR="005329C2" w:rsidRPr="00B916EC" w:rsidRDefault="00000000" w:rsidP="005329C2">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s,n</m:t>
                </m:r>
              </m:e>
              <m:sub>
                <m:r>
                  <w:rPr>
                    <w:rFonts w:ascii="Cambria Math" w:hAnsi="Cambria Math"/>
                  </w:rPr>
                  <m:t>CI</m:t>
                </m:r>
              </m:sub>
            </m:sSub>
          </m:sub>
          <m:sup>
            <m:r>
              <w:rPr>
                <w:rFonts w:ascii="Cambria Math" w:hAnsi="Cambria Math"/>
              </w:rPr>
              <m:t>(L)</m:t>
            </m:r>
          </m:sup>
        </m:sSubSup>
        <m:r>
          <w:rPr>
            <w:rFonts w:ascii="Cambria Math" w:hAnsi="Cambria Math"/>
          </w:rPr>
          <m:t>=0,⋯,</m:t>
        </m:r>
        <m:sSubSup>
          <m:sSubSupPr>
            <m:ctrlPr>
              <w:rPr>
                <w:rFonts w:ascii="Cambria Math" w:hAnsi="Cambria Math"/>
                <w:i/>
              </w:rPr>
            </m:ctrlPr>
          </m:sSubSupPr>
          <m:e>
            <m:r>
              <w:rPr>
                <w:rFonts w:ascii="Cambria Math" w:hAnsi="Cambria Math"/>
              </w:rPr>
              <m:t>M</m:t>
            </m:r>
          </m:e>
          <m:sub>
            <m:r>
              <w:rPr>
                <w:rFonts w:ascii="Cambria Math" w:hAnsi="Cambria Math"/>
              </w:rPr>
              <m:t>s,</m:t>
            </m:r>
            <m:sSub>
              <m:sSubPr>
                <m:ctrlPr>
                  <w:rPr>
                    <w:rFonts w:ascii="Cambria Math" w:hAnsi="Cambria Math"/>
                    <w:i/>
                  </w:rPr>
                </m:ctrlPr>
              </m:sSubPr>
              <m:e>
                <m:r>
                  <w:rPr>
                    <w:rFonts w:ascii="Cambria Math" w:hAnsi="Cambria Math"/>
                  </w:rPr>
                  <m:t>n</m:t>
                </m:r>
              </m:e>
              <m:sub>
                <m:r>
                  <w:rPr>
                    <w:rFonts w:ascii="Cambria Math" w:hAnsi="Cambria Math"/>
                  </w:rPr>
                  <m:t>CI</m:t>
                </m:r>
              </m:sub>
            </m:sSub>
          </m:sub>
          <m:sup>
            <m:d>
              <m:dPr>
                <m:ctrlPr>
                  <w:rPr>
                    <w:rFonts w:ascii="Cambria Math" w:hAnsi="Cambria Math"/>
                    <w:i/>
                  </w:rPr>
                </m:ctrlPr>
              </m:dPr>
              <m:e>
                <m:r>
                  <w:rPr>
                    <w:rFonts w:ascii="Cambria Math" w:hAnsi="Cambria Math"/>
                  </w:rPr>
                  <m:t>L</m:t>
                </m:r>
              </m:e>
            </m:d>
          </m:sup>
        </m:sSubSup>
        <m:r>
          <w:rPr>
            <w:rFonts w:ascii="Cambria Math" w:hAnsi="Cambria Math"/>
            <w:noProof/>
          </w:rPr>
          <m:t>-1</m:t>
        </m:r>
      </m:oMath>
      <w:r w:rsidR="005329C2" w:rsidRPr="00B916EC">
        <w:t xml:space="preserve">, where </w:t>
      </w:r>
      <m:oMath>
        <m:sSubSup>
          <m:sSubSupPr>
            <m:ctrlPr>
              <w:rPr>
                <w:rFonts w:ascii="Cambria Math" w:hAnsi="Cambria Math"/>
                <w:i/>
              </w:rPr>
            </m:ctrlPr>
          </m:sSubSupPr>
          <m:e>
            <m:r>
              <w:rPr>
                <w:rFonts w:ascii="Cambria Math" w:hAnsi="Cambria Math"/>
              </w:rPr>
              <m:t>M</m:t>
            </m:r>
          </m:e>
          <m:sub>
            <m:r>
              <w:rPr>
                <w:rFonts w:ascii="Cambria Math" w:hAnsi="Cambria Math"/>
              </w:rPr>
              <m:t>s,</m:t>
            </m:r>
            <m:sSub>
              <m:sSubPr>
                <m:ctrlPr>
                  <w:rPr>
                    <w:rFonts w:ascii="Cambria Math" w:hAnsi="Cambria Math"/>
                    <w:i/>
                  </w:rPr>
                </m:ctrlPr>
              </m:sSubPr>
              <m:e>
                <m:r>
                  <w:rPr>
                    <w:rFonts w:ascii="Cambria Math" w:hAnsi="Cambria Math"/>
                  </w:rPr>
                  <m:t>n</m:t>
                </m:r>
              </m:e>
              <m:sub>
                <m:r>
                  <w:rPr>
                    <w:rFonts w:ascii="Cambria Math" w:hAnsi="Cambria Math"/>
                  </w:rPr>
                  <m:t>CI</m:t>
                </m:r>
              </m:sub>
            </m:sSub>
          </m:sub>
          <m:sup>
            <m:d>
              <m:dPr>
                <m:ctrlPr>
                  <w:rPr>
                    <w:rFonts w:ascii="Cambria Math" w:hAnsi="Cambria Math"/>
                    <w:i/>
                  </w:rPr>
                </m:ctrlPr>
              </m:dPr>
              <m:e>
                <m:r>
                  <w:rPr>
                    <w:rFonts w:ascii="Cambria Math" w:hAnsi="Cambria Math"/>
                  </w:rPr>
                  <m:t>L</m:t>
                </m:r>
              </m:e>
            </m:d>
          </m:sup>
        </m:sSubSup>
      </m:oMath>
      <w:r w:rsidR="005329C2" w:rsidRPr="00B916EC">
        <w:t xml:space="preserve"> is the number of PDCCH</w:t>
      </w:r>
      <w:r w:rsidR="005329C2" w:rsidRPr="00B916EC">
        <w:rPr>
          <w:rFonts w:hint="eastAsia"/>
        </w:rPr>
        <w:t xml:space="preserve"> candidate</w:t>
      </w:r>
      <w:r w:rsidR="005329C2" w:rsidRPr="00B916EC">
        <w:t>s</w:t>
      </w:r>
      <w:r w:rsidR="005329C2" w:rsidRPr="00B916EC" w:rsidDel="0005338E">
        <w:t xml:space="preserve"> </w:t>
      </w:r>
      <w:r w:rsidR="005329C2" w:rsidRPr="00B916EC">
        <w:t xml:space="preserve">the UE is configured to monitor for aggregation level </w:t>
      </w:r>
      <m:oMath>
        <m:r>
          <w:rPr>
            <w:rFonts w:ascii="Cambria Math" w:eastAsia="Malgun Gothic" w:hAnsi="Cambria Math"/>
            <w:lang w:eastAsia="ko-KR"/>
          </w:rPr>
          <m:t>L</m:t>
        </m:r>
      </m:oMath>
      <w:r w:rsidR="005329C2" w:rsidRPr="00B916EC">
        <w:t xml:space="preserve"> </w:t>
      </w:r>
      <w:r w:rsidR="005329C2">
        <w:t xml:space="preserve">of a search space set </w:t>
      </w:r>
      <m:oMath>
        <m:r>
          <w:rPr>
            <w:rFonts w:ascii="Cambria Math" w:hAnsi="Cambria Math"/>
            <w:lang w:val="en-US"/>
          </w:rPr>
          <m:t>s</m:t>
        </m:r>
      </m:oMath>
      <w:r w:rsidR="005329C2">
        <w:t xml:space="preserve"> </w:t>
      </w:r>
      <w:r w:rsidR="005329C2" w:rsidRPr="00B916EC">
        <w:t xml:space="preserve">for a serving cell corresponding to </w:t>
      </w:r>
      <m:oMath>
        <m:sSub>
          <m:sSubPr>
            <m:ctrlPr>
              <w:rPr>
                <w:rFonts w:ascii="Cambria Math" w:hAnsi="Cambria Math"/>
                <w:i/>
              </w:rPr>
            </m:ctrlPr>
          </m:sSubPr>
          <m:e>
            <m:r>
              <w:rPr>
                <w:rFonts w:ascii="Cambria Math" w:hAnsi="Cambria Math"/>
              </w:rPr>
              <m:t>n</m:t>
            </m:r>
          </m:e>
          <m:sub>
            <m:r>
              <w:rPr>
                <w:rFonts w:ascii="Cambria Math" w:hAnsi="Cambria Math"/>
              </w:rPr>
              <m:t>CI</m:t>
            </m:r>
          </m:sub>
        </m:sSub>
      </m:oMath>
      <w:r w:rsidR="005329C2" w:rsidRPr="00B916EC">
        <w:t>;</w:t>
      </w:r>
      <w:r w:rsidR="005329C2">
        <w:t xml:space="preserve"> </w:t>
      </w:r>
    </w:p>
    <w:p w14:paraId="20C64C1B" w14:textId="77777777" w:rsidR="005329C2" w:rsidRPr="00B916EC" w:rsidRDefault="005329C2" w:rsidP="005329C2">
      <w:r w:rsidRPr="00B916EC">
        <w:t xml:space="preserve">for any </w:t>
      </w:r>
      <w:r>
        <w:t>CSS</w:t>
      </w:r>
      <w:r w:rsidRPr="00B916EC">
        <w:t xml:space="preserve">, </w:t>
      </w:r>
      <m:oMath>
        <m:sSubSup>
          <m:sSubSupPr>
            <m:ctrlPr>
              <w:rPr>
                <w:rFonts w:ascii="Cambria Math" w:hAnsi="Cambria Math"/>
                <w:i/>
              </w:rPr>
            </m:ctrlPr>
          </m:sSubSupPr>
          <m:e>
            <m:r>
              <w:rPr>
                <w:rFonts w:ascii="Cambria Math" w:hAnsi="Cambria Math"/>
              </w:rPr>
              <m:t>M</m:t>
            </m:r>
          </m:e>
          <m:sub>
            <m:r>
              <w:rPr>
                <w:rFonts w:ascii="Cambria Math" w:hAnsi="Cambria Math"/>
              </w:rPr>
              <m:t>s,</m:t>
            </m:r>
            <m:r>
              <m:rPr>
                <m:sty m:val="p"/>
              </m:rPr>
              <w:rPr>
                <w:rFonts w:ascii="Cambria Math" w:hAnsi="Cambria Math"/>
              </w:rPr>
              <m:t>max</m:t>
            </m:r>
          </m:sub>
          <m:sup>
            <m:d>
              <m:dPr>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s,</m:t>
            </m:r>
            <m:r>
              <m:rPr>
                <m:sty m:val="p"/>
              </m:rPr>
              <w:rPr>
                <w:rFonts w:ascii="Cambria Math" w:hAnsi="Cambria Math"/>
              </w:rPr>
              <m:t>0</m:t>
            </m:r>
          </m:sub>
          <m:sup>
            <m:d>
              <m:dPr>
                <m:ctrlPr>
                  <w:rPr>
                    <w:rFonts w:ascii="Cambria Math" w:hAnsi="Cambria Math"/>
                    <w:i/>
                  </w:rPr>
                </m:ctrlPr>
              </m:dPr>
              <m:e>
                <m:r>
                  <w:rPr>
                    <w:rFonts w:ascii="Cambria Math" w:hAnsi="Cambria Math"/>
                  </w:rPr>
                  <m:t>L</m:t>
                </m:r>
              </m:e>
            </m:d>
          </m:sup>
        </m:sSubSup>
      </m:oMath>
      <w:r w:rsidRPr="00B916EC">
        <w:t>;</w:t>
      </w:r>
      <w:r>
        <w:t xml:space="preserve"> </w:t>
      </w:r>
    </w:p>
    <w:p w14:paraId="72625F54" w14:textId="77777777" w:rsidR="005329C2" w:rsidRPr="00B916EC" w:rsidRDefault="005329C2" w:rsidP="005329C2">
      <w:r w:rsidRPr="00B916EC">
        <w:t xml:space="preserve">for a </w:t>
      </w:r>
      <w:r>
        <w:t>USS</w:t>
      </w:r>
      <w:r w:rsidRPr="00B916EC">
        <w:t>,</w:t>
      </w:r>
      <w:r w:rsidRPr="00EC5635">
        <w:t xml:space="preserve"> </w:t>
      </w:r>
      <m:oMath>
        <m:sSubSup>
          <m:sSubSupPr>
            <m:ctrlPr>
              <w:rPr>
                <w:rFonts w:ascii="Cambria Math" w:hAnsi="Cambria Math"/>
                <w:i/>
              </w:rPr>
            </m:ctrlPr>
          </m:sSubSupPr>
          <m:e>
            <m:r>
              <w:rPr>
                <w:rFonts w:ascii="Cambria Math" w:hAnsi="Cambria Math"/>
              </w:rPr>
              <m:t>M</m:t>
            </m:r>
          </m:e>
          <m:sub>
            <m:r>
              <w:rPr>
                <w:rFonts w:ascii="Cambria Math" w:hAnsi="Cambria Math"/>
              </w:rPr>
              <m:t>s,</m:t>
            </m:r>
            <m:r>
              <m:rPr>
                <m:sty m:val="p"/>
              </m:rPr>
              <w:rPr>
                <w:rFonts w:ascii="Cambria Math" w:hAnsi="Cambria Math"/>
              </w:rPr>
              <m:t>max</m:t>
            </m:r>
          </m:sub>
          <m:sup>
            <m:d>
              <m:dPr>
                <m:ctrlPr>
                  <w:rPr>
                    <w:rFonts w:ascii="Cambria Math" w:hAnsi="Cambria Math"/>
                    <w:i/>
                  </w:rPr>
                </m:ctrlPr>
              </m:dPr>
              <m:e>
                <m:r>
                  <w:rPr>
                    <w:rFonts w:ascii="Cambria Math" w:hAnsi="Cambria Math"/>
                  </w:rPr>
                  <m:t>L</m:t>
                </m:r>
              </m:e>
            </m:d>
          </m:sup>
        </m:sSubSup>
      </m:oMath>
      <w:r w:rsidRPr="00B916EC">
        <w:rPr>
          <w:rFonts w:eastAsia="Malgun Gothic" w:hint="eastAsia"/>
          <w:lang w:eastAsia="ko-KR"/>
        </w:rPr>
        <w:t xml:space="preserve"> is the </w:t>
      </w:r>
      <w:r w:rsidRPr="00B916EC">
        <w:rPr>
          <w:rFonts w:eastAsia="Malgun Gothic"/>
          <w:lang w:eastAsia="ko-KR"/>
        </w:rPr>
        <w:t xml:space="preserve">maximum </w:t>
      </w:r>
      <w:r w:rsidRPr="00B916EC">
        <w:rPr>
          <w:rFonts w:eastAsia="Malgun Gothic" w:hint="eastAsia"/>
          <w:lang w:eastAsia="ko-KR"/>
        </w:rPr>
        <w:t xml:space="preserve">of </w:t>
      </w:r>
      <m:oMath>
        <m:sSubSup>
          <m:sSubSupPr>
            <m:ctrlPr>
              <w:rPr>
                <w:rFonts w:ascii="Cambria Math" w:hAnsi="Cambria Math"/>
                <w:i/>
              </w:rPr>
            </m:ctrlPr>
          </m:sSubSupPr>
          <m:e>
            <m:r>
              <w:rPr>
                <w:rFonts w:ascii="Cambria Math" w:hAnsi="Cambria Math"/>
              </w:rPr>
              <m:t>M</m:t>
            </m:r>
          </m:e>
          <m:sub>
            <m:r>
              <w:rPr>
                <w:rFonts w:ascii="Cambria Math" w:hAnsi="Cambria Math"/>
              </w:rPr>
              <m:t>s,</m:t>
            </m:r>
            <m:sSub>
              <m:sSubPr>
                <m:ctrlPr>
                  <w:rPr>
                    <w:rFonts w:ascii="Cambria Math" w:hAnsi="Cambria Math"/>
                    <w:i/>
                  </w:rPr>
                </m:ctrlPr>
              </m:sSubPr>
              <m:e>
                <m:r>
                  <w:rPr>
                    <w:rFonts w:ascii="Cambria Math" w:hAnsi="Cambria Math"/>
                  </w:rPr>
                  <m:t>n</m:t>
                </m:r>
              </m:e>
              <m:sub>
                <m:r>
                  <w:rPr>
                    <w:rFonts w:ascii="Cambria Math" w:hAnsi="Cambria Math"/>
                  </w:rPr>
                  <m:t>CI</m:t>
                </m:r>
              </m:sub>
            </m:sSub>
          </m:sub>
          <m:sup>
            <m:d>
              <m:dPr>
                <m:ctrlPr>
                  <w:rPr>
                    <w:rFonts w:ascii="Cambria Math" w:hAnsi="Cambria Math"/>
                    <w:i/>
                  </w:rPr>
                </m:ctrlPr>
              </m:dPr>
              <m:e>
                <m:r>
                  <w:rPr>
                    <w:rFonts w:ascii="Cambria Math" w:hAnsi="Cambria Math"/>
                  </w:rPr>
                  <m:t>L</m:t>
                </m:r>
              </m:e>
            </m:d>
          </m:sup>
        </m:sSubSup>
      </m:oMath>
      <w:r w:rsidRPr="00B916EC">
        <w:t xml:space="preserve"> </w:t>
      </w:r>
      <w:r w:rsidRPr="00B916EC">
        <w:rPr>
          <w:rFonts w:eastAsia="Malgun Gothic" w:hint="eastAsia"/>
          <w:lang w:eastAsia="ko-KR"/>
        </w:rPr>
        <w:t xml:space="preserve">over all configured </w:t>
      </w:r>
      <m:oMath>
        <m:sSub>
          <m:sSubPr>
            <m:ctrlPr>
              <w:rPr>
                <w:rFonts w:ascii="Cambria Math" w:hAnsi="Cambria Math"/>
                <w:i/>
              </w:rPr>
            </m:ctrlPr>
          </m:sSubPr>
          <m:e>
            <m:r>
              <w:rPr>
                <w:rFonts w:ascii="Cambria Math" w:hAnsi="Cambria Math"/>
              </w:rPr>
              <m:t>n</m:t>
            </m:r>
          </m:e>
          <m:sub>
            <m:r>
              <w:rPr>
                <w:rFonts w:ascii="Cambria Math" w:hAnsi="Cambria Math"/>
              </w:rPr>
              <m:t>CI</m:t>
            </m:r>
          </m:sub>
        </m:sSub>
      </m:oMath>
      <w:r>
        <w:rPr>
          <w:rFonts w:eastAsia="Malgun Gothic"/>
        </w:rPr>
        <w:t xml:space="preserve"> </w:t>
      </w:r>
      <w:r w:rsidRPr="00B916EC">
        <w:t xml:space="preserve">values </w:t>
      </w:r>
      <w:r w:rsidRPr="00B916EC">
        <w:rPr>
          <w:rFonts w:eastAsia="Malgun Gothic"/>
          <w:lang w:eastAsia="ko-KR"/>
        </w:rPr>
        <w:t>for a CCE</w:t>
      </w:r>
      <w:r w:rsidRPr="00B916EC">
        <w:rPr>
          <w:rFonts w:eastAsia="Malgun Gothic" w:hint="eastAsia"/>
          <w:lang w:eastAsia="ko-KR"/>
        </w:rPr>
        <w:t xml:space="preserve"> aggregation level </w:t>
      </w:r>
      <m:oMath>
        <m:r>
          <w:rPr>
            <w:rFonts w:ascii="Cambria Math" w:eastAsia="Malgun Gothic" w:hAnsi="Cambria Math"/>
            <w:lang w:eastAsia="ko-KR"/>
          </w:rPr>
          <m:t>L</m:t>
        </m:r>
      </m:oMath>
      <w:r w:rsidRPr="00B916EC">
        <w:rPr>
          <w:rFonts w:eastAsia="Malgun Gothic" w:hint="eastAsia"/>
          <w:lang w:eastAsia="ko-KR"/>
        </w:rPr>
        <w:t xml:space="preserve"> </w:t>
      </w:r>
      <w:r>
        <w:rPr>
          <w:rFonts w:eastAsia="Malgun Gothic"/>
          <w:lang w:eastAsia="ko-KR"/>
        </w:rPr>
        <w:t xml:space="preserve">of search space set </w:t>
      </w:r>
      <m:oMath>
        <m:r>
          <w:rPr>
            <w:rFonts w:ascii="Cambria Math" w:hAnsi="Cambria Math"/>
          </w:rPr>
          <m:t>s</m:t>
        </m:r>
      </m:oMath>
      <w:r>
        <w:t xml:space="preserve"> </w:t>
      </w:r>
      <w:r w:rsidRPr="00B916EC">
        <w:t>;</w:t>
      </w:r>
    </w:p>
    <w:p w14:paraId="1178780A" w14:textId="3A5E89D4" w:rsidR="005329C2" w:rsidRDefault="005329C2" w:rsidP="005329C2">
      <w:pPr>
        <w:rPr>
          <w:rFonts w:eastAsia="MS Mincho"/>
        </w:rPr>
      </w:pPr>
      <w:r w:rsidRPr="00B916EC">
        <w:rPr>
          <w:rFonts w:eastAsia="MS Mincho"/>
        </w:rPr>
        <w:t>t</w:t>
      </w:r>
      <w:r w:rsidRPr="00B916EC">
        <w:rPr>
          <w:rFonts w:eastAsia="MS Mincho" w:hint="eastAsia"/>
        </w:rPr>
        <w:t xml:space="preserve">he RNTI value used for </w:t>
      </w:r>
      <m:oMath>
        <m:sSub>
          <m:sSubPr>
            <m:ctrlPr>
              <w:rPr>
                <w:rFonts w:ascii="Cambria Math" w:hAnsi="Cambria Math"/>
                <w:i/>
              </w:rPr>
            </m:ctrlPr>
          </m:sSubPr>
          <m:e>
            <m:r>
              <w:rPr>
                <w:rFonts w:ascii="Cambria Math" w:hAnsi="Cambria Math"/>
              </w:rPr>
              <m:t>n</m:t>
            </m:r>
          </m:e>
          <m:sub>
            <m:r>
              <m:rPr>
                <m:sty m:val="p"/>
              </m:rPr>
              <w:rPr>
                <w:rFonts w:ascii="Cambria Math" w:hAnsi="Cambria Math"/>
              </w:rPr>
              <m:t>RNTI</m:t>
            </m:r>
          </m:sub>
        </m:sSub>
      </m:oMath>
      <w:r w:rsidRPr="00B916EC">
        <w:rPr>
          <w:rFonts w:eastAsia="MS Mincho" w:hint="eastAsia"/>
        </w:rPr>
        <w:t xml:space="preserve"> is </w:t>
      </w:r>
      <w:r>
        <w:rPr>
          <w:rFonts w:eastAsia="MS Mincho"/>
        </w:rPr>
        <w:t>the C-RNTI</w:t>
      </w:r>
      <w:r w:rsidRPr="00B916EC">
        <w:rPr>
          <w:rFonts w:eastAsia="MS Mincho"/>
        </w:rPr>
        <w:t>.</w:t>
      </w:r>
      <w:r w:rsidRPr="005329C2">
        <w:rPr>
          <w:rFonts w:eastAsia="MS Mincho"/>
        </w:rPr>
        <w:t xml:space="preserve"> </w:t>
      </w:r>
    </w:p>
    <w:p w14:paraId="0E866AEA" w14:textId="45F439DF" w:rsidR="00C67D38" w:rsidRDefault="00C8195E" w:rsidP="00AF62F5">
      <w:pPr>
        <w:rPr>
          <w:rStyle w:val="Emphasis"/>
          <w:i w:val="0"/>
          <w:iCs w:val="0"/>
        </w:rPr>
      </w:pPr>
      <w:r w:rsidRPr="00F415B1">
        <w:t xml:space="preserve">For search space sets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F415B1">
        <w:t xml:space="preserve"> and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F415B1">
        <w:t xml:space="preserve"> that include </w:t>
      </w:r>
      <w:r w:rsidRPr="00F415B1">
        <w:rPr>
          <w:i/>
          <w:iCs/>
        </w:rPr>
        <w:t>searchSpaceLinking</w:t>
      </w:r>
      <w:r w:rsidR="00254F04">
        <w:rPr>
          <w:i/>
          <w:iCs/>
        </w:rPr>
        <w:t>Id</w:t>
      </w:r>
      <w:r w:rsidRPr="00F415B1">
        <w:t xml:space="preserve"> </w:t>
      </w:r>
      <w:r w:rsidRPr="00F415B1">
        <w:rPr>
          <w:iCs/>
        </w:rPr>
        <w:t xml:space="preserve">with </w:t>
      </w:r>
      <w:r w:rsidR="00254F04">
        <w:rPr>
          <w:iCs/>
        </w:rPr>
        <w:t xml:space="preserve">same </w:t>
      </w:r>
      <w:r w:rsidRPr="00F415B1">
        <w:rPr>
          <w:iCs/>
        </w:rPr>
        <w:t>value</w:t>
      </w:r>
      <w:r w:rsidRPr="00F415B1">
        <w:t xml:space="preserve">, </w:t>
      </w:r>
      <w:r w:rsidRPr="00F415B1">
        <w:rPr>
          <w:iCs/>
        </w:rPr>
        <w:t>a</w:t>
      </w:r>
      <w:r w:rsidRPr="00F415B1">
        <w:t xml:space="preserve"> UE monitors, in monitoring occasions with same index according to each of search space sets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F415B1">
        <w:t xml:space="preserve"> and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F415B1">
        <w:t xml:space="preserve"> in a slot, PDCCH candidates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m:t>
                </m:r>
              </m:sub>
            </m:sSub>
          </m:sub>
          <m:sup>
            <m:r>
              <w:rPr>
                <w:rFonts w:ascii="Cambria Math" w:hAnsi="Cambria Math"/>
              </w:rPr>
              <m:t>(L)</m:t>
            </m:r>
          </m:sup>
        </m:sSubSup>
      </m:oMath>
      <w:r w:rsidRPr="00F415B1">
        <w:t xml:space="preserve"> and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m:t>
                </m:r>
              </m:sub>
            </m:sSub>
          </m:sub>
          <m:sup>
            <m:r>
              <w:rPr>
                <w:rFonts w:ascii="Cambria Math" w:hAnsi="Cambria Math"/>
              </w:rPr>
              <m:t>(L)</m:t>
            </m:r>
          </m:sup>
        </m:sSubSup>
      </m:oMath>
      <w:r w:rsidRPr="00F415B1">
        <w:t xml:space="preserve">, with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m:t>
                </m:r>
              </m:sub>
            </m:sSub>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m:t>
                </m:r>
              </m:sub>
            </m:sSub>
          </m:sub>
          <m:sup>
            <m:r>
              <w:rPr>
                <w:rFonts w:ascii="Cambria Math" w:hAnsi="Cambria Math"/>
              </w:rPr>
              <m:t>(L)</m:t>
            </m:r>
          </m:sup>
        </m:sSubSup>
      </m:oMath>
      <w:r w:rsidRPr="00F415B1">
        <w:t>, for detection of a DCI format</w:t>
      </w:r>
      <w:r>
        <w:t xml:space="preserve"> with same information</w:t>
      </w:r>
      <w:r w:rsidRPr="00F415B1">
        <w:t xml:space="preserve">. </w:t>
      </w:r>
      <w:r w:rsidRPr="00F415B1">
        <w:rPr>
          <w:iCs/>
          <w:lang w:val="en-US"/>
        </w:rPr>
        <w:t xml:space="preserve">The UE expects </w:t>
      </w:r>
      <m:oMath>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s</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oMath>
      <w:r w:rsidRPr="00F415B1">
        <w:rPr>
          <w:lang w:val="en-US"/>
        </w:rPr>
        <w:t xml:space="preserve">, </w:t>
      </w:r>
      <m:oMath>
        <m:sSub>
          <m:sSubPr>
            <m:ctrlPr>
              <w:rPr>
                <w:rFonts w:ascii="Cambria Math" w:hAnsi="Cambria Math"/>
                <w:i/>
              </w:rPr>
            </m:ctrlPr>
          </m:sSubPr>
          <m:e>
            <m:r>
              <w:rPr>
                <w:rFonts w:ascii="Cambria Math" w:hAnsi="Cambria Math"/>
              </w:rPr>
              <m:t>o</m:t>
            </m:r>
          </m:e>
          <m:sub>
            <m:sSub>
              <m:sSubPr>
                <m:ctrlPr>
                  <w:rPr>
                    <w:rFonts w:ascii="Cambria Math" w:hAnsi="Cambria Math"/>
                    <w:i/>
                  </w:rPr>
                </m:ctrlPr>
              </m:sSubPr>
              <m:e>
                <m:r>
                  <w:rPr>
                    <w:rFonts w:ascii="Cambria Math" w:hAnsi="Cambria Math"/>
                  </w:rPr>
                  <m:t>s</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o</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r>
          <m:rPr>
            <m:sty m:val="p"/>
          </m:rPr>
          <w:rPr>
            <w:rFonts w:ascii="Cambria Math" w:hAnsi="Cambria Math"/>
            <w:lang w:val="en-US"/>
          </w:rPr>
          <m:t xml:space="preserve">, </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s</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oMath>
      <w:r w:rsidRPr="00F415B1">
        <w:rPr>
          <w:lang w:val="en-US"/>
        </w:rPr>
        <w:t xml:space="preserve">,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i</m:t>
                </m:r>
              </m:sub>
            </m:sSub>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j</m:t>
                </m:r>
              </m:sub>
            </m:sSub>
          </m:sub>
          <m:sup>
            <m:r>
              <w:rPr>
                <w:rFonts w:ascii="Cambria Math" w:hAnsi="Cambria Math"/>
              </w:rPr>
              <m:t>(L)</m:t>
            </m:r>
          </m:sup>
        </m:sSubSup>
      </m:oMath>
      <w:r w:rsidRPr="00F415B1">
        <w:rPr>
          <w:lang w:val="en-US"/>
        </w:rPr>
        <w:t xml:space="preserve">, and a same number of non-overlapping PDCCH monitoring occasions per slot based on corresponding </w:t>
      </w:r>
      <w:r w:rsidRPr="00F415B1">
        <w:rPr>
          <w:i/>
        </w:rPr>
        <w:t>monitoringSymbolsWithinSlot</w:t>
      </w:r>
      <w:r w:rsidRPr="00F415B1">
        <w:rPr>
          <w:iCs/>
        </w:rPr>
        <w:t xml:space="preserve">, for </w:t>
      </w:r>
      <w:r w:rsidRPr="00F415B1">
        <w:t xml:space="preserve">search space sets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F415B1">
        <w:t xml:space="preserve"> and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F415B1">
        <w:rPr>
          <w:iCs/>
          <w:lang w:val="en-US"/>
        </w:rPr>
        <w:t xml:space="preserve">. For CORESET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F415B1">
        <w:t xml:space="preserve"> </w:t>
      </w:r>
      <w:r w:rsidRPr="00F415B1">
        <w:rPr>
          <w:iCs/>
          <w:lang w:val="en-US"/>
        </w:rPr>
        <w:t xml:space="preserve">associated with the </w:t>
      </w:r>
      <w:r w:rsidRPr="00F415B1">
        <w:t xml:space="preserve">search space set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F415B1">
        <w:t xml:space="preserve"> and for </w:t>
      </w:r>
      <w:r w:rsidRPr="00F415B1">
        <w:rPr>
          <w:iCs/>
          <w:lang w:val="en-US"/>
        </w:rPr>
        <w:t xml:space="preserve">CORESET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Pr="00F415B1">
        <w:t xml:space="preserve"> </w:t>
      </w:r>
      <w:r w:rsidRPr="00F415B1">
        <w:rPr>
          <w:iCs/>
          <w:lang w:val="en-US"/>
        </w:rPr>
        <w:t xml:space="preserve">associated with the </w:t>
      </w:r>
      <w:r w:rsidRPr="00F415B1">
        <w:t xml:space="preserve">search space set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F415B1">
        <w:t>, t</w:t>
      </w:r>
      <w:r w:rsidRPr="00F415B1">
        <w:rPr>
          <w:iCs/>
          <w:lang w:val="en-US"/>
        </w:rPr>
        <w:t xml:space="preserve">he UE is provided </w:t>
      </w:r>
      <w:r w:rsidRPr="00F415B1">
        <w:rPr>
          <w:rFonts w:eastAsia="MS Mincho"/>
          <w:i/>
          <w:lang w:val="en-US"/>
        </w:rPr>
        <w:t>tci</w:t>
      </w:r>
      <w:r w:rsidRPr="00F415B1">
        <w:rPr>
          <w:rFonts w:eastAsia="MS Mincho"/>
          <w:i/>
        </w:rPr>
        <w:t>-PresentInDCI</w:t>
      </w:r>
      <w:r w:rsidRPr="00F415B1">
        <w:rPr>
          <w:rFonts w:eastAsia="MS Mincho"/>
          <w:lang w:val="en-US"/>
        </w:rPr>
        <w:t xml:space="preserve"> or </w:t>
      </w:r>
      <w:r w:rsidRPr="00F415B1">
        <w:rPr>
          <w:rStyle w:val="Emphasis"/>
        </w:rPr>
        <w:t>tci-PresentDCI-1</w:t>
      </w:r>
      <w:r w:rsidRPr="00F415B1">
        <w:rPr>
          <w:rStyle w:val="Emphasis"/>
          <w:lang w:val="en-US"/>
        </w:rPr>
        <w:t>-</w:t>
      </w:r>
      <w:r w:rsidRPr="00F415B1">
        <w:rPr>
          <w:rStyle w:val="Emphasis"/>
          <w:i w:val="0"/>
          <w:iCs w:val="0"/>
        </w:rPr>
        <w:t xml:space="preserve">2 for </w:t>
      </w:r>
      <w:r w:rsidRPr="00F415B1">
        <w:rPr>
          <w:lang w:val="en-US"/>
        </w:rPr>
        <w:t>either</w:t>
      </w:r>
      <w:r w:rsidRPr="00F415B1">
        <w:rPr>
          <w:iCs/>
          <w:lang w:val="en-US"/>
        </w:rPr>
        <w:t xml:space="preserve"> none or both of CORESETs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F415B1">
        <w:t xml:space="preserve"> and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Pr="00F415B1">
        <w:rPr>
          <w:rStyle w:val="Emphasis"/>
          <w:i w:val="0"/>
          <w:iCs w:val="0"/>
        </w:rPr>
        <w:t xml:space="preserve">. </w:t>
      </w:r>
      <w:r w:rsidRPr="00F415B1">
        <w:rPr>
          <w:iCs/>
          <w:lang w:val="en-US"/>
        </w:rPr>
        <w:t xml:space="preserve">For CORESET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F415B1">
        <w:t xml:space="preserve"> </w:t>
      </w:r>
      <w:r w:rsidRPr="00F415B1">
        <w:rPr>
          <w:iCs/>
          <w:lang w:val="en-US"/>
        </w:rPr>
        <w:t xml:space="preserve">associated with the </w:t>
      </w:r>
      <w:r w:rsidRPr="00F415B1">
        <w:t xml:space="preserve">search space set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F415B1">
        <w:t xml:space="preserve"> and for </w:t>
      </w:r>
      <w:r w:rsidRPr="00F415B1">
        <w:rPr>
          <w:iCs/>
          <w:lang w:val="en-US"/>
        </w:rPr>
        <w:t xml:space="preserve">CORESET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Pr="00F415B1">
        <w:t xml:space="preserve"> </w:t>
      </w:r>
      <w:r w:rsidRPr="00F415B1">
        <w:rPr>
          <w:iCs/>
          <w:lang w:val="en-US"/>
        </w:rPr>
        <w:t xml:space="preserve">associated with the </w:t>
      </w:r>
      <w:r w:rsidRPr="00F415B1">
        <w:t xml:space="preserve">search space set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F415B1">
        <w:t>, t</w:t>
      </w:r>
      <w:r w:rsidRPr="00F415B1">
        <w:rPr>
          <w:iCs/>
          <w:lang w:val="en-US"/>
        </w:rPr>
        <w:t>he UE is</w:t>
      </w:r>
      <w:r w:rsidRPr="00F415B1">
        <w:t xml:space="preserve"> either not provided </w:t>
      </w:r>
      <w:r w:rsidRPr="00F415B1">
        <w:rPr>
          <w:rStyle w:val="Emphasis"/>
          <w:rFonts w:eastAsia="Batang"/>
        </w:rPr>
        <w:t>coresetPoolIndex</w:t>
      </w:r>
      <w:r w:rsidRPr="00F415B1">
        <w:t xml:space="preserve"> value of 1 for any of the two CORESETs, or is provided </w:t>
      </w:r>
      <w:r w:rsidRPr="00F415B1">
        <w:rPr>
          <w:rStyle w:val="Emphasis"/>
          <w:rFonts w:eastAsia="Batang"/>
        </w:rPr>
        <w:t>coresetPoolIndex</w:t>
      </w:r>
      <w:r w:rsidRPr="00F415B1">
        <w:t> value of 1 for both CORESETs</w:t>
      </w:r>
      <w:r w:rsidRPr="00F415B1">
        <w:rPr>
          <w:rStyle w:val="Emphasis"/>
          <w:i w:val="0"/>
          <w:iCs w:val="0"/>
        </w:rPr>
        <w:t xml:space="preserve">. </w:t>
      </w:r>
    </w:p>
    <w:p w14:paraId="2BF53C5E" w14:textId="530E10AB" w:rsidR="00C67D38" w:rsidRDefault="00C67D38" w:rsidP="00AF62F5">
      <w:pPr>
        <w:rPr>
          <w:rStyle w:val="Emphasis"/>
          <w:i w:val="0"/>
          <w:iCs w:val="0"/>
        </w:rPr>
      </w:pPr>
      <w:r>
        <w:rPr>
          <w:rStyle w:val="Emphasis"/>
          <w:i w:val="0"/>
          <w:iCs w:val="0"/>
        </w:rPr>
        <w:t>A</w:t>
      </w:r>
      <w:r w:rsidR="00C8195E" w:rsidRPr="00F415B1">
        <w:rPr>
          <w:rStyle w:val="Emphasis"/>
          <w:i w:val="0"/>
          <w:iCs w:val="0"/>
        </w:rPr>
        <w:t xml:space="preserve"> UE can indicate by </w:t>
      </w:r>
      <w:r w:rsidR="00DA1AB5" w:rsidRPr="00643737">
        <w:rPr>
          <w:i/>
          <w:iCs/>
        </w:rPr>
        <w:t>numBD-twoPDCCH-r17</w:t>
      </w:r>
      <w:r w:rsidR="00C8195E" w:rsidRPr="00F415B1">
        <w:rPr>
          <w:rStyle w:val="Emphasis"/>
          <w:i w:val="0"/>
          <w:iCs w:val="0"/>
        </w:rPr>
        <w:t xml:space="preserve"> a capability for counting </w:t>
      </w:r>
      <w:r w:rsidR="00C8195E" w:rsidRPr="00F415B1">
        <w:t xml:space="preserve">PDCCH candidates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m:t>
                </m:r>
              </m:sub>
            </m:sSub>
          </m:sub>
          <m:sup>
            <m:r>
              <w:rPr>
                <w:rFonts w:ascii="Cambria Math" w:hAnsi="Cambria Math"/>
              </w:rPr>
              <m:t>(L)</m:t>
            </m:r>
          </m:sup>
        </m:sSubSup>
      </m:oMath>
      <w:r w:rsidR="00C8195E" w:rsidRPr="00F415B1">
        <w:t xml:space="preserve"> and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m:t>
                </m:r>
              </m:sub>
            </m:sSub>
          </m:sub>
          <m:sup>
            <m:r>
              <w:rPr>
                <w:rFonts w:ascii="Cambria Math" w:hAnsi="Cambria Math"/>
              </w:rPr>
              <m:t>(L)</m:t>
            </m:r>
          </m:sup>
        </m:sSubSup>
      </m:oMath>
      <w:r w:rsidR="00C8195E" w:rsidRPr="00F415B1">
        <w:rPr>
          <w:rStyle w:val="Emphasis"/>
          <w:i w:val="0"/>
          <w:iCs w:val="0"/>
        </w:rPr>
        <w:t xml:space="preserve"> either as 2 PDCCH candidates or as 3 PDCCH candidates. </w:t>
      </w:r>
    </w:p>
    <w:p w14:paraId="5965A76D" w14:textId="734BB95F" w:rsidR="00C8195E" w:rsidRPr="00F415B1" w:rsidRDefault="00C8195E" w:rsidP="00AF62F5">
      <w:r w:rsidRPr="00F415B1">
        <w:t xml:space="preserve">For search space sets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D338BB">
        <w:t xml:space="preserve"> and</w:t>
      </w:r>
      <w:r w:rsidRPr="00F415B1">
        <w:t xml:space="preserve">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D338BB" w:rsidRPr="00EC353A">
        <w:t xml:space="preserve"> </w:t>
      </w:r>
      <w:r w:rsidR="00D338BB" w:rsidRPr="00F415B1">
        <w:t xml:space="preserve">that include </w:t>
      </w:r>
      <w:r w:rsidR="00D338BB" w:rsidRPr="00F415B1">
        <w:rPr>
          <w:i/>
          <w:iCs/>
        </w:rPr>
        <w:t>searchSpaceLinking</w:t>
      </w:r>
      <w:r w:rsidR="00D338BB">
        <w:rPr>
          <w:i/>
          <w:iCs/>
        </w:rPr>
        <w:t>Id</w:t>
      </w:r>
      <w:r w:rsidR="00D338BB" w:rsidRPr="00F415B1">
        <w:t xml:space="preserve"> </w:t>
      </w:r>
      <w:r w:rsidR="00D338BB" w:rsidRPr="00F415B1">
        <w:rPr>
          <w:iCs/>
        </w:rPr>
        <w:t xml:space="preserve">with </w:t>
      </w:r>
      <w:r w:rsidR="00D338BB">
        <w:rPr>
          <w:iCs/>
        </w:rPr>
        <w:t xml:space="preserve">same </w:t>
      </w:r>
      <w:r w:rsidR="00D338BB" w:rsidRPr="00F415B1">
        <w:rPr>
          <w:iCs/>
        </w:rPr>
        <w:t>value</w:t>
      </w:r>
      <w:r w:rsidRPr="00F415B1">
        <w:t>,</w:t>
      </w:r>
      <w:r w:rsidR="00D338BB">
        <w:t xml:space="preserve"> and for search space sets</w:t>
      </w:r>
      <w:r w:rsidRPr="00F415B1">
        <w:t xml:space="preserve"> </w:t>
      </w:r>
      <m:oMath>
        <m:sSub>
          <m:sSubPr>
            <m:ctrlPr>
              <w:rPr>
                <w:rFonts w:ascii="Cambria Math" w:hAnsi="Cambria Math"/>
                <w:i/>
              </w:rPr>
            </m:ctrlPr>
          </m:sSubPr>
          <m:e>
            <m:r>
              <w:rPr>
                <w:rFonts w:ascii="Cambria Math" w:hAnsi="Cambria Math"/>
              </w:rPr>
              <m:t>s</m:t>
            </m:r>
          </m:e>
          <m:sub>
            <m:r>
              <w:rPr>
                <w:rFonts w:ascii="Cambria Math" w:hAnsi="Cambria Math"/>
              </w:rPr>
              <m:t>k</m:t>
            </m:r>
          </m:sub>
        </m:sSub>
      </m:oMath>
      <w:r w:rsidRPr="00F415B1">
        <w:t xml:space="preserve"> and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rsidRPr="00F415B1">
        <w:t xml:space="preserve"> that include </w:t>
      </w:r>
      <w:r w:rsidRPr="00F415B1">
        <w:rPr>
          <w:i/>
          <w:iCs/>
        </w:rPr>
        <w:t>searchSpaceLinking</w:t>
      </w:r>
      <w:r w:rsidR="00047C72">
        <w:rPr>
          <w:i/>
          <w:iCs/>
        </w:rPr>
        <w:t>Id</w:t>
      </w:r>
      <w:r w:rsidRPr="00F415B1">
        <w:t xml:space="preserve"> </w:t>
      </w:r>
      <w:r w:rsidRPr="00F415B1">
        <w:rPr>
          <w:iCs/>
        </w:rPr>
        <w:t xml:space="preserve">with </w:t>
      </w:r>
      <w:r w:rsidR="00047C72">
        <w:rPr>
          <w:iCs/>
        </w:rPr>
        <w:t xml:space="preserve">same </w:t>
      </w:r>
      <w:r w:rsidRPr="00F415B1">
        <w:rPr>
          <w:iCs/>
        </w:rPr>
        <w:t>value</w:t>
      </w:r>
      <w:r w:rsidRPr="00F415B1">
        <w:t xml:space="preserve">, a UE expects to simultaneously monitor PDCCH candidates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CI,1</m:t>
                </m:r>
              </m:sub>
            </m:sSub>
          </m:sub>
          <m:sup>
            <m:r>
              <w:rPr>
                <w:rFonts w:ascii="Cambria Math" w:hAnsi="Cambria Math"/>
              </w:rPr>
              <m:t>(8)</m:t>
            </m:r>
          </m:sup>
        </m:sSubSup>
        <m:r>
          <w:rPr>
            <w:rFonts w:ascii="Cambria Math" w:hAnsi="Cambria Math"/>
          </w:rPr>
          <m:t>=</m:t>
        </m:r>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CI,1</m:t>
                </m:r>
              </m:sub>
            </m:sSub>
          </m:sub>
          <m:sup>
            <m:r>
              <w:rPr>
                <w:rFonts w:ascii="Cambria Math" w:hAnsi="Cambria Math"/>
              </w:rPr>
              <m:t>(8)</m:t>
            </m:r>
          </m:sup>
        </m:sSubSup>
      </m:oMath>
      <w:r w:rsidRPr="00F415B1">
        <w:t>,</w:t>
      </w:r>
      <w:r>
        <w:t xml:space="preserve"> and</w:t>
      </w:r>
      <w:r w:rsidRPr="00F415B1">
        <w:t xml:space="preserve">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CI,2</m:t>
                </m:r>
              </m:sub>
            </m:sSub>
          </m:sub>
          <m:sup>
            <m:r>
              <w:rPr>
                <w:rFonts w:ascii="Cambria Math" w:hAnsi="Cambria Math"/>
              </w:rPr>
              <m:t>(16)</m:t>
            </m:r>
          </m:sup>
        </m:sSubSup>
      </m:oMath>
      <w:r>
        <w:t xml:space="preserve">=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CI,2</m:t>
                </m:r>
              </m:sub>
            </m:sSub>
          </m:sub>
          <m:sup>
            <m:r>
              <w:rPr>
                <w:rFonts w:ascii="Cambria Math" w:hAnsi="Cambria Math"/>
              </w:rPr>
              <m:t>(16)</m:t>
            </m:r>
          </m:sup>
        </m:sSubSup>
      </m:oMath>
      <w:r w:rsidRPr="00F415B1">
        <w:t xml:space="preserve"> only if a first CCE of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CI,1</m:t>
                </m:r>
              </m:sub>
            </m:sSub>
          </m:sub>
          <m:sup>
            <m:r>
              <w:rPr>
                <w:rFonts w:ascii="Cambria Math" w:hAnsi="Cambria Math"/>
              </w:rPr>
              <m:t>(8)</m:t>
            </m:r>
          </m:sup>
        </m:sSubSup>
      </m:oMath>
      <w:r w:rsidRPr="00F415B1">
        <w:t xml:space="preserve"> or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CI,1</m:t>
                </m:r>
              </m:sub>
            </m:sSub>
          </m:sub>
          <m:sup>
            <m:r>
              <w:rPr>
                <w:rFonts w:ascii="Cambria Math" w:hAnsi="Cambria Math"/>
              </w:rPr>
              <m:t>(8)</m:t>
            </m:r>
          </m:sup>
        </m:sSubSup>
      </m:oMath>
      <w:r w:rsidRPr="00F415B1">
        <w:t xml:space="preserve"> has different index than a first CCE of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CI,2</m:t>
                </m:r>
              </m:sub>
            </m:sSub>
          </m:sub>
          <m:sup>
            <m:r>
              <w:rPr>
                <w:rFonts w:ascii="Cambria Math" w:hAnsi="Cambria Math"/>
              </w:rPr>
              <m:t>(16)</m:t>
            </m:r>
          </m:sup>
        </m:sSubSup>
      </m:oMath>
      <w:r w:rsidRPr="00F415B1">
        <w:t xml:space="preserve"> or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CI,2</m:t>
                </m:r>
              </m:sub>
            </m:sSub>
          </m:sub>
          <m:sup>
            <m:r>
              <w:rPr>
                <w:rFonts w:ascii="Cambria Math" w:hAnsi="Cambria Math"/>
              </w:rPr>
              <m:t>(16)</m:t>
            </m:r>
          </m:sup>
        </m:sSubSup>
      </m:oMath>
      <w:r>
        <w:t xml:space="preserve"> in </w:t>
      </w:r>
      <w:r w:rsidRPr="00F415B1">
        <w:t xml:space="preserve">a CORESET configured with </w:t>
      </w:r>
      <w:r w:rsidRPr="00F415B1">
        <w:rPr>
          <w:i/>
        </w:rPr>
        <w:t>cce-REG-MappingType</w:t>
      </w:r>
      <w:r w:rsidRPr="00F415B1">
        <w:t xml:space="preserve"> = </w:t>
      </w:r>
      <w:r w:rsidR="005E3B15">
        <w:t>'</w:t>
      </w:r>
      <w:r w:rsidRPr="00F415B1">
        <w:rPr>
          <w:i/>
        </w:rPr>
        <w:t>nonInterleaved</w:t>
      </w:r>
      <w:r w:rsidR="005E3B15">
        <w:t>'</w:t>
      </w:r>
      <w:r w:rsidRPr="00F415B1">
        <w:t xml:space="preserve"> and with duration of one symbol.</w:t>
      </w:r>
    </w:p>
    <w:p w14:paraId="2BD4E7C7" w14:textId="77777777" w:rsidR="00C8195E" w:rsidRDefault="00C8195E" w:rsidP="00C8195E">
      <w:r>
        <w:t>If a UE</w:t>
      </w:r>
    </w:p>
    <w:p w14:paraId="21CC7557" w14:textId="77777777" w:rsidR="00C8195E" w:rsidRDefault="00C8195E" w:rsidP="00C8195E">
      <w:pPr>
        <w:pStyle w:val="B1"/>
        <w:rPr>
          <w:lang w:val="en-US"/>
        </w:rPr>
      </w:pPr>
      <w:r w:rsidRPr="00F415B1">
        <w:t>-</w:t>
      </w:r>
      <w:r w:rsidRPr="00F415B1">
        <w:tab/>
        <w:t xml:space="preserve">is </w:t>
      </w:r>
      <w:r>
        <w:rPr>
          <w:lang w:val="en-US"/>
        </w:rPr>
        <w:t>provided</w:t>
      </w:r>
      <w:r w:rsidRPr="00F415B1">
        <w:t xml:space="preserve"> </w:t>
      </w:r>
      <w:r w:rsidRPr="00F415B1">
        <w:rPr>
          <w:i/>
        </w:rPr>
        <w:t>monitoringCapabilityConfig</w:t>
      </w:r>
      <w:r w:rsidRPr="00F415B1">
        <w:t xml:space="preserve"> = </w:t>
      </w:r>
      <w:r w:rsidRPr="00F415B1">
        <w:rPr>
          <w:i/>
        </w:rPr>
        <w:t>r16monitoringcapability</w:t>
      </w:r>
      <w:r>
        <w:rPr>
          <w:lang w:val="en-US"/>
        </w:rPr>
        <w:t xml:space="preserve"> for a downlink cell,</w:t>
      </w:r>
    </w:p>
    <w:p w14:paraId="3BBE5F5A" w14:textId="4C1A3D1E" w:rsidR="00C8195E" w:rsidRPr="007C0D01" w:rsidRDefault="00C8195E" w:rsidP="00C8195E">
      <w:pPr>
        <w:pStyle w:val="B1"/>
        <w:rPr>
          <w:lang w:val="en-US"/>
        </w:rPr>
      </w:pPr>
      <w:r w:rsidRPr="00F415B1">
        <w:t>-</w:t>
      </w:r>
      <w:r w:rsidRPr="00F415B1">
        <w:tab/>
        <w:t xml:space="preserve">is </w:t>
      </w:r>
      <w:r w:rsidRPr="007C0D01">
        <w:rPr>
          <w:lang w:val="en-US"/>
        </w:rPr>
        <w:t>provided</w:t>
      </w:r>
      <w:r>
        <w:rPr>
          <w:lang w:val="en-US"/>
        </w:rPr>
        <w:t>,</w:t>
      </w:r>
      <w:r w:rsidRPr="007C0D01">
        <w:t xml:space="preserve"> </w:t>
      </w:r>
      <w:r>
        <w:rPr>
          <w:lang w:val="en-US"/>
        </w:rPr>
        <w:t xml:space="preserve">by </w:t>
      </w:r>
      <w:r w:rsidRPr="00F415B1">
        <w:rPr>
          <w:i/>
          <w:iCs/>
        </w:rPr>
        <w:t>searchSpaceLinking</w:t>
      </w:r>
      <w:r w:rsidR="00047C72">
        <w:rPr>
          <w:i/>
          <w:iCs/>
          <w:lang w:val="en-US"/>
        </w:rPr>
        <w:t>Id</w:t>
      </w:r>
      <w:r>
        <w:rPr>
          <w:lang w:val="en-US"/>
        </w:rPr>
        <w:t xml:space="preserve"> </w:t>
      </w:r>
      <w:r w:rsidR="00047C72">
        <w:rPr>
          <w:lang w:val="en-US"/>
        </w:rPr>
        <w:t xml:space="preserve">a same value </w:t>
      </w:r>
      <w:r>
        <w:rPr>
          <w:lang w:val="en-US"/>
        </w:rPr>
        <w:t xml:space="preserve">for </w:t>
      </w:r>
      <w:r w:rsidRPr="00F415B1">
        <w:t xml:space="preserve">search space sets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lang w:val="en-US"/>
        </w:rPr>
        <w:t xml:space="preserve"> and</w:t>
      </w:r>
      <w:r w:rsidRPr="00F415B1">
        <w:t xml:space="preserve">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Pr>
          <w:lang w:val="en-US"/>
        </w:rPr>
        <w:t xml:space="preserve"> </w:t>
      </w:r>
      <w:r w:rsidRPr="007C0D01">
        <w:rPr>
          <w:lang w:val="en-US"/>
        </w:rPr>
        <w:t>on the downlink</w:t>
      </w:r>
      <w:r>
        <w:rPr>
          <w:lang w:val="en-US"/>
        </w:rPr>
        <w:t xml:space="preserve"> cell, and</w:t>
      </w:r>
    </w:p>
    <w:p w14:paraId="115CC3E2" w14:textId="32745D70" w:rsidR="00C8195E" w:rsidRDefault="00C8195E" w:rsidP="00C8195E">
      <w:pPr>
        <w:pStyle w:val="B1"/>
        <w:rPr>
          <w:i/>
          <w:lang w:val="en-US"/>
        </w:rPr>
      </w:pPr>
      <w:r w:rsidRPr="00F415B1">
        <w:t>-</w:t>
      </w:r>
      <w:r w:rsidRPr="00F415B1">
        <w:tab/>
      </w:r>
      <w:r>
        <w:rPr>
          <w:lang w:val="en-US"/>
        </w:rPr>
        <w:t>indicates</w:t>
      </w:r>
      <w:r w:rsidRPr="00F415B1">
        <w:t xml:space="preserve"> </w:t>
      </w:r>
      <w:r w:rsidR="00DA1AB5" w:rsidRPr="00643737">
        <w:rPr>
          <w:i/>
          <w:iCs/>
        </w:rPr>
        <w:t>numBD-twoPDCCH-r17</w:t>
      </w:r>
      <w:r w:rsidR="00DA1AB5">
        <w:t xml:space="preserve"> with</w:t>
      </w:r>
      <w:r w:rsidR="00DA1AB5" w:rsidRPr="00643737">
        <w:t xml:space="preserve"> value</w:t>
      </w:r>
      <w:r w:rsidR="00DA1AB5">
        <w:t xml:space="preserve"> of</w:t>
      </w:r>
      <w:r w:rsidR="00DA1AB5" w:rsidRPr="00643737">
        <w:t xml:space="preserve"> 3</w:t>
      </w:r>
    </w:p>
    <w:p w14:paraId="2ED373D1" w14:textId="57892EFC" w:rsidR="00C8195E" w:rsidRPr="0027174F" w:rsidRDefault="00C8195E" w:rsidP="00C26D16">
      <w:pPr>
        <w:rPr>
          <w:lang w:val="en-US"/>
        </w:rPr>
      </w:pPr>
      <w:r>
        <w:rPr>
          <w:lang w:val="en-US"/>
        </w:rPr>
        <w:t xml:space="preserve">the UE counts each PDCCH candidate for the one of the search space sets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lang w:val="en-US"/>
        </w:rPr>
        <w:t xml:space="preserve"> and</w:t>
      </w:r>
      <w:r w:rsidRPr="00F415B1">
        <w:t xml:space="preserve">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Pr>
          <w:lang w:val="en-US"/>
        </w:rPr>
        <w:t xml:space="preserve"> that the UE monitors PDCCH in the later span, as two PDCCH candidates.</w:t>
      </w:r>
      <w:r w:rsidR="00C67D38">
        <w:rPr>
          <w:lang w:val="en-US"/>
        </w:rPr>
        <w:t xml:space="preserve"> </w:t>
      </w:r>
      <w:r w:rsidR="00C67D38" w:rsidRPr="00037243">
        <w:rPr>
          <w:lang w:val="en-US"/>
        </w:rPr>
        <w:t xml:space="preserve">The UE does not expect a first PDCCH candidate from </w:t>
      </w:r>
      <w:r w:rsidR="00C67D38" w:rsidRPr="00037243">
        <w:t xml:space="preserve">search space set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C67D38" w:rsidRPr="00037243">
        <w:rPr>
          <w:lang w:val="en-US"/>
        </w:rPr>
        <w:t xml:space="preserve"> or</w:t>
      </w:r>
      <w:r w:rsidR="00C67D38" w:rsidRPr="00037243">
        <w:t xml:space="preserve">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C67D38" w:rsidRPr="00037243">
        <w:t xml:space="preserve"> and a second PDCCH candidate from a search space set </w:t>
      </w:r>
      <m:oMath>
        <m:sSub>
          <m:sSubPr>
            <m:ctrlPr>
              <w:rPr>
                <w:rFonts w:ascii="Cambria Math" w:hAnsi="Cambria Math"/>
                <w:i/>
              </w:rPr>
            </m:ctrlPr>
          </m:sSubPr>
          <m:e>
            <m:r>
              <w:rPr>
                <w:rFonts w:ascii="Cambria Math" w:hAnsi="Cambria Math"/>
              </w:rPr>
              <m:t>s</m:t>
            </m:r>
          </m:e>
          <m:sub>
            <m:r>
              <w:rPr>
                <w:rFonts w:ascii="Cambria Math" w:hAnsi="Cambria Math"/>
              </w:rPr>
              <m:t>k</m:t>
            </m:r>
          </m:sub>
        </m:sSub>
      </m:oMath>
      <w:r w:rsidR="00C67D38" w:rsidRPr="00037243">
        <w:t xml:space="preserve"> that does not include </w:t>
      </w:r>
      <w:r w:rsidR="00C67D38" w:rsidRPr="00037243">
        <w:rPr>
          <w:i/>
          <w:lang w:val="en-US"/>
        </w:rPr>
        <w:t>searchSpaceLinking</w:t>
      </w:r>
      <w:r w:rsidR="00047C72">
        <w:rPr>
          <w:i/>
          <w:lang w:val="en-US"/>
        </w:rPr>
        <w:t>Id</w:t>
      </w:r>
      <w:r w:rsidR="00C67D38" w:rsidRPr="00037243">
        <w:rPr>
          <w:iCs/>
          <w:lang w:val="en-US"/>
        </w:rPr>
        <w:t xml:space="preserve"> to use a same set of CCEs and same scrambling in a same CORESET, and provide respective first and second DCI formats with same size, in any span other than the first span in a slot.</w:t>
      </w:r>
    </w:p>
    <w:p w14:paraId="42F00A35" w14:textId="7F31246F" w:rsidR="005329C2" w:rsidRPr="0087779A" w:rsidRDefault="005329C2" w:rsidP="005329C2">
      <w:r>
        <w:t xml:space="preserve">A UE does not expect to be provided </w:t>
      </w:r>
      <w:r w:rsidRPr="00370E38">
        <w:rPr>
          <w:i/>
        </w:rPr>
        <w:t>freqMonitorLocation</w:t>
      </w:r>
      <w:r>
        <w:rPr>
          <w:i/>
        </w:rPr>
        <w:t>s</w:t>
      </w:r>
      <w:r w:rsidRPr="00E76745">
        <w:t xml:space="preserve"> </w:t>
      </w:r>
      <w:r>
        <w:t xml:space="preserve">for a </w:t>
      </w:r>
      <w:r w:rsidRPr="005E4A6C">
        <w:t>search space</w:t>
      </w:r>
      <w:r w:rsidRPr="005E4A6C">
        <w:rPr>
          <w:lang w:val="en-US"/>
        </w:rPr>
        <w:t xml:space="preserve"> set </w:t>
      </w:r>
      <m:oMath>
        <m:r>
          <w:rPr>
            <w:rFonts w:ascii="Cambria Math" w:hAnsi="Cambria Math"/>
            <w:lang w:val="en-US"/>
          </w:rPr>
          <m:t>s</m:t>
        </m:r>
      </m:oMath>
      <w:r w:rsidRPr="005E4A6C">
        <w:t xml:space="preserve"> </w:t>
      </w:r>
      <w:r>
        <w:t xml:space="preserve">in a serving cell if </w:t>
      </w:r>
      <w:r>
        <w:rPr>
          <w:rFonts w:eastAsia="Malgun Gothic"/>
          <w:i/>
          <w:iCs/>
          <w:lang w:val="en-US"/>
        </w:rPr>
        <w:t>intraCellGuardBand</w:t>
      </w:r>
      <w:r w:rsidR="0018071C">
        <w:rPr>
          <w:rFonts w:eastAsia="Malgun Gothic"/>
          <w:i/>
          <w:iCs/>
          <w:lang w:val="en-US"/>
        </w:rPr>
        <w:t>s</w:t>
      </w:r>
      <w:r>
        <w:rPr>
          <w:rFonts w:eastAsia="Malgun Gothic"/>
          <w:i/>
          <w:iCs/>
          <w:lang w:val="en-US"/>
        </w:rPr>
        <w:t>DL-</w:t>
      </w:r>
      <w:r w:rsidR="0018071C">
        <w:rPr>
          <w:rFonts w:eastAsia="Malgun Gothic"/>
          <w:i/>
          <w:iCs/>
          <w:lang w:val="en-US"/>
        </w:rPr>
        <w:t>List</w:t>
      </w:r>
      <w:r>
        <w:rPr>
          <w:rFonts w:eastAsia="Malgun Gothic"/>
          <w:lang w:val="en-US"/>
        </w:rPr>
        <w:t xml:space="preserve"> indicates that no intra-cell guard-bands are configured for the serving cell</w:t>
      </w:r>
      <w:r>
        <w:t>.</w:t>
      </w:r>
    </w:p>
    <w:p w14:paraId="63913DB8" w14:textId="77777777" w:rsidR="00EF5414" w:rsidRDefault="009919DB" w:rsidP="009919DB">
      <w:r>
        <w:t xml:space="preserve">A UE that </w:t>
      </w:r>
    </w:p>
    <w:p w14:paraId="55F9B082" w14:textId="77777777" w:rsidR="00EF5414" w:rsidRDefault="00EF5414" w:rsidP="00DE1E44">
      <w:pPr>
        <w:pStyle w:val="B1"/>
      </w:pPr>
      <w:r>
        <w:t>-</w:t>
      </w:r>
      <w:r>
        <w:tab/>
      </w:r>
      <w:r w:rsidR="009919DB">
        <w:t xml:space="preserve">is configured for operation with carrier aggregation, and </w:t>
      </w:r>
    </w:p>
    <w:p w14:paraId="66F53DF2" w14:textId="77777777" w:rsidR="00EF5414" w:rsidRDefault="00EF5414" w:rsidP="00DE1E44">
      <w:pPr>
        <w:pStyle w:val="B1"/>
      </w:pPr>
      <w:r>
        <w:t>-</w:t>
      </w:r>
      <w:r>
        <w:tab/>
      </w:r>
      <w:r w:rsidR="009919DB">
        <w:t xml:space="preserve">indicates support of search space sharing through </w:t>
      </w:r>
      <w:r w:rsidR="009919DB">
        <w:rPr>
          <w:i/>
          <w:lang w:eastAsia="ja-JP"/>
        </w:rPr>
        <w:t>searchSpaceSharingCA-U</w:t>
      </w:r>
      <w:r w:rsidR="009919DB" w:rsidRPr="00912593">
        <w:rPr>
          <w:i/>
          <w:lang w:eastAsia="ja-JP"/>
        </w:rPr>
        <w:t>L</w:t>
      </w:r>
      <w:r w:rsidR="00B11787" w:rsidRPr="00D20E88">
        <w:rPr>
          <w:lang w:val="en-US" w:eastAsia="ja-JP"/>
        </w:rPr>
        <w:t xml:space="preserve"> or </w:t>
      </w:r>
      <w:r w:rsidR="00B11787" w:rsidRPr="00D20E88">
        <w:t xml:space="preserve">through </w:t>
      </w:r>
      <w:r w:rsidR="00B11787" w:rsidRPr="00D20E88">
        <w:rPr>
          <w:i/>
          <w:lang w:eastAsia="ja-JP"/>
        </w:rPr>
        <w:t>searchSpaceSharingCA-DL</w:t>
      </w:r>
      <w:r w:rsidR="009919DB">
        <w:t xml:space="preserve">, and </w:t>
      </w:r>
    </w:p>
    <w:p w14:paraId="42A40D8D" w14:textId="053F8C09" w:rsidR="00AF62F5" w:rsidRDefault="00EF5414" w:rsidP="00DE1E44">
      <w:pPr>
        <w:pStyle w:val="B1"/>
        <w:rPr>
          <w:lang w:val="en-US"/>
        </w:rPr>
      </w:pPr>
      <w:r>
        <w:t>-</w:t>
      </w:r>
      <w:r>
        <w:tab/>
      </w:r>
      <w:r w:rsidR="009919DB">
        <w:t xml:space="preserve">has a PDCCH candidate with CCE aggregation level </w:t>
      </w:r>
      <m:oMath>
        <m:r>
          <w:rPr>
            <w:rFonts w:ascii="Cambria Math" w:hAnsi="Cambria Math"/>
          </w:rPr>
          <m:t>L</m:t>
        </m:r>
      </m:oMath>
      <w:r w:rsidR="009919DB">
        <w:t xml:space="preserve"> in </w:t>
      </w:r>
      <w:r w:rsidR="00C76664">
        <w:t>CORESET</w:t>
      </w:r>
      <w:r w:rsidR="009919DB">
        <w:t xml:space="preserve"> </w:t>
      </w:r>
      <m:oMath>
        <m:r>
          <w:rPr>
            <w:rFonts w:ascii="Cambria Math" w:hAnsi="Cambria Math"/>
          </w:rPr>
          <m:t>p</m:t>
        </m:r>
      </m:oMath>
      <w:r w:rsidR="009919DB">
        <w:t xml:space="preserve"> </w:t>
      </w:r>
      <w:r w:rsidR="00D97062" w:rsidRPr="00F415B1">
        <w:rPr>
          <w:lang w:val="en-US"/>
        </w:rPr>
        <w:t xml:space="preserve">associated with </w:t>
      </w:r>
      <w:r w:rsidR="00D97062" w:rsidRPr="00F415B1">
        <w:t xml:space="preserve">search space set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D97062" w:rsidRPr="00F415B1">
        <w:t xml:space="preserve"> </w:t>
      </w:r>
      <w:r w:rsidR="00B90D47">
        <w:rPr>
          <w:lang w:val="en-US"/>
        </w:rPr>
        <w:t xml:space="preserve">of a scheduling cell </w:t>
      </w:r>
      <w:r w:rsidR="009919DB">
        <w:t xml:space="preserve">for </w:t>
      </w:r>
      <w:r w:rsidR="00D97062" w:rsidRPr="00F415B1">
        <w:rPr>
          <w:lang w:val="en-US"/>
        </w:rPr>
        <w:t>detection of</w:t>
      </w:r>
      <w:r w:rsidR="00D97062">
        <w:t xml:space="preserve"> </w:t>
      </w:r>
      <w:r w:rsidR="009919DB">
        <w:t xml:space="preserve">a </w:t>
      </w:r>
      <w:r w:rsidR="00B57182" w:rsidRPr="00EE027F">
        <w:rPr>
          <w:lang w:val="en-US"/>
        </w:rPr>
        <w:t xml:space="preserve">first </w:t>
      </w:r>
      <w:r w:rsidR="00B57182" w:rsidRPr="00EE027F">
        <w:t>DCI format</w:t>
      </w:r>
      <w:r w:rsidR="00AF62F5" w:rsidRPr="00F415B1">
        <w:rPr>
          <w:lang w:val="en-US"/>
        </w:rPr>
        <w:t>, other than DCI format 0_0 or DCI format 1_0,</w:t>
      </w:r>
      <w:r w:rsidR="00B57182" w:rsidRPr="00EE027F">
        <w:t xml:space="preserve"> </w:t>
      </w:r>
      <w:r w:rsidR="00AF62F5" w:rsidRPr="00F415B1">
        <w:t>having a first size and</w:t>
      </w:r>
      <w:r w:rsidR="00AF62F5" w:rsidRPr="00F415B1">
        <w:rPr>
          <w:lang w:val="en-US"/>
        </w:rPr>
        <w:t xml:space="preserve"> </w:t>
      </w:r>
      <w:r w:rsidR="00B57182" w:rsidRPr="00EE027F">
        <w:rPr>
          <w:lang w:val="en-US"/>
        </w:rPr>
        <w:t xml:space="preserve">scheduling </w:t>
      </w:r>
    </w:p>
    <w:p w14:paraId="7F506F77" w14:textId="1D75CAB6" w:rsidR="00AF62F5" w:rsidRDefault="00AF62F5" w:rsidP="00C26D16">
      <w:pPr>
        <w:pStyle w:val="B2"/>
      </w:pPr>
      <w:r>
        <w:lastRenderedPageBreak/>
        <w:t>-</w:t>
      </w:r>
      <w:r>
        <w:tab/>
      </w:r>
      <w:r w:rsidR="00B57182" w:rsidRPr="00EE027F">
        <w:t>PUSCH transmission</w:t>
      </w:r>
      <w:r w:rsidR="00B86258">
        <w:t xml:space="preserve"> or </w:t>
      </w:r>
      <w:r w:rsidRPr="00F415B1">
        <w:rPr>
          <w:lang w:val="en-US"/>
        </w:rPr>
        <w:t>configured</w:t>
      </w:r>
      <w:r w:rsidR="00B86258">
        <w:t xml:space="preserve"> grant Type 2 PUSCH release</w:t>
      </w:r>
      <w:r>
        <w:rPr>
          <w:lang w:val="en-GB"/>
        </w:rPr>
        <w:t xml:space="preserve"> </w:t>
      </w:r>
      <w:r w:rsidRPr="00F415B1">
        <w:rPr>
          <w:lang w:val="en-US"/>
        </w:rPr>
        <w:t xml:space="preserve">on </w:t>
      </w:r>
      <w:r w:rsidRPr="00F415B1">
        <w:t xml:space="preserve">serving cell </w:t>
      </w:r>
      <m:oMath>
        <m:sSub>
          <m:sSubPr>
            <m:ctrlPr>
              <w:rPr>
                <w:rFonts w:ascii="Cambria Math" w:hAnsi="Cambria Math"/>
                <w:i/>
              </w:rPr>
            </m:ctrlPr>
          </m:sSubPr>
          <m:e>
            <m:r>
              <w:rPr>
                <w:rFonts w:ascii="Cambria Math" w:hAnsi="Cambria Math"/>
              </w:rPr>
              <m:t>n</m:t>
            </m:r>
          </m:e>
          <m:sub>
            <m:r>
              <w:rPr>
                <w:rFonts w:ascii="Cambria Math" w:hAnsi="Cambria Math"/>
              </w:rPr>
              <m:t>CI,2</m:t>
            </m:r>
          </m:sub>
        </m:sSub>
      </m:oMath>
      <w:r w:rsidR="00B57182" w:rsidRPr="00EE027F">
        <w:t xml:space="preserve">, </w:t>
      </w:r>
      <w:r w:rsidR="001B675F">
        <w:t xml:space="preserve">or </w:t>
      </w:r>
    </w:p>
    <w:p w14:paraId="69565B22" w14:textId="0661606D" w:rsidR="00EF5414" w:rsidRDefault="00AF62F5" w:rsidP="00C26D16">
      <w:pPr>
        <w:pStyle w:val="B2"/>
      </w:pPr>
      <w:r>
        <w:t>-</w:t>
      </w:r>
      <w:r>
        <w:tab/>
      </w:r>
      <w:r w:rsidR="00B57182" w:rsidRPr="00EE027F">
        <w:t xml:space="preserve">PDSCH reception or </w:t>
      </w:r>
      <w:r w:rsidRPr="00F415B1">
        <w:rPr>
          <w:lang w:val="en-US" w:eastAsia="x-none"/>
        </w:rPr>
        <w:t xml:space="preserve">having associated HARQ-ACK information </w:t>
      </w:r>
      <w:r w:rsidR="001648EA">
        <w:t>without scheduling PDSCH</w:t>
      </w:r>
      <w:r w:rsidRPr="00F415B1">
        <w:t xml:space="preserve"> </w:t>
      </w:r>
      <w:r w:rsidRPr="00F415B1">
        <w:rPr>
          <w:lang w:val="en-US"/>
        </w:rPr>
        <w:t xml:space="preserve">reception on </w:t>
      </w:r>
      <w:r w:rsidRPr="00F415B1">
        <w:t xml:space="preserve">serving cell </w:t>
      </w:r>
      <m:oMath>
        <m:sSub>
          <m:sSubPr>
            <m:ctrlPr>
              <w:rPr>
                <w:rFonts w:ascii="Cambria Math" w:hAnsi="Cambria Math"/>
                <w:i/>
              </w:rPr>
            </m:ctrlPr>
          </m:sSubPr>
          <m:e>
            <m:r>
              <w:rPr>
                <w:rFonts w:ascii="Cambria Math" w:hAnsi="Cambria Math"/>
              </w:rPr>
              <m:t>n</m:t>
            </m:r>
          </m:e>
          <m:sub>
            <m:r>
              <w:rPr>
                <w:rFonts w:ascii="Cambria Math" w:hAnsi="Cambria Math"/>
              </w:rPr>
              <m:t>CI,2</m:t>
            </m:r>
          </m:sub>
        </m:sSub>
      </m:oMath>
    </w:p>
    <w:p w14:paraId="348C44B2" w14:textId="7C887358" w:rsidR="00AF62F5" w:rsidRPr="00F415B1" w:rsidRDefault="00AF62F5" w:rsidP="00AF62F5">
      <w:r w:rsidRPr="00F415B1">
        <w:t xml:space="preserve">can receive a corresponding PDCCH through a PDCCH candidate with CCE aggregation level </w:t>
      </w:r>
      <m:oMath>
        <m:r>
          <w:rPr>
            <w:rFonts w:ascii="Cambria Math" w:hAnsi="Cambria Math"/>
          </w:rPr>
          <m:t>L</m:t>
        </m:r>
      </m:oMath>
      <w:r w:rsidRPr="00F415B1">
        <w:t xml:space="preserve"> in CORESET </w:t>
      </w:r>
      <m:oMath>
        <m:r>
          <w:rPr>
            <w:rFonts w:ascii="Cambria Math" w:hAnsi="Cambria Math"/>
          </w:rPr>
          <m:t>p</m:t>
        </m:r>
      </m:oMath>
      <w:r w:rsidRPr="00F415B1">
        <w:t xml:space="preserve"> </w:t>
      </w:r>
      <w:r w:rsidRPr="00F415B1">
        <w:rPr>
          <w:lang w:val="en-US"/>
        </w:rPr>
        <w:t xml:space="preserve">associated with </w:t>
      </w:r>
      <w:r w:rsidRPr="00F415B1">
        <w:t xml:space="preserve">search space set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F415B1">
        <w:t xml:space="preserve"> </w:t>
      </w:r>
      <w:r w:rsidR="00B90D47">
        <w:t xml:space="preserve">of the scheduling cell </w:t>
      </w:r>
      <w:r w:rsidRPr="00F415B1">
        <w:t xml:space="preserve">for detection of a second DCI format having a second size and associated with scheduling on serving cell </w:t>
      </w:r>
      <m:oMath>
        <m:sSub>
          <m:sSubPr>
            <m:ctrlPr>
              <w:rPr>
                <w:rFonts w:ascii="Cambria Math" w:hAnsi="Cambria Math"/>
                <w:i/>
              </w:rPr>
            </m:ctrlPr>
          </m:sSubPr>
          <m:e>
            <m:r>
              <w:rPr>
                <w:rFonts w:ascii="Cambria Math" w:hAnsi="Cambria Math"/>
              </w:rPr>
              <m:t>n</m:t>
            </m:r>
          </m:e>
          <m:sub>
            <m:r>
              <w:rPr>
                <w:rFonts w:ascii="Cambria Math" w:hAnsi="Cambria Math"/>
              </w:rPr>
              <m:t>CI,1</m:t>
            </m:r>
          </m:sub>
        </m:sSub>
      </m:oMath>
      <w:r w:rsidRPr="00F415B1">
        <w:t xml:space="preserve"> if the first size and the second size are same and if neither of search space sets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F415B1">
        <w:t xml:space="preserve"> and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F415B1">
        <w:t xml:space="preserve"> includes </w:t>
      </w:r>
      <w:r w:rsidRPr="00F415B1">
        <w:rPr>
          <w:i/>
          <w:iCs/>
        </w:rPr>
        <w:t>searchSpaceLinking</w:t>
      </w:r>
      <w:r w:rsidR="00047C72">
        <w:rPr>
          <w:i/>
          <w:lang w:val="en-US"/>
        </w:rPr>
        <w:t>Id</w:t>
      </w:r>
      <w:r w:rsidRPr="00F415B1">
        <w:t xml:space="preserve">. </w:t>
      </w:r>
    </w:p>
    <w:p w14:paraId="3971A70A" w14:textId="77777777" w:rsidR="00EE6B85" w:rsidRPr="00EE6B85" w:rsidRDefault="0042018C" w:rsidP="00EE6B85">
      <w:pPr>
        <w:rPr>
          <w:rFonts w:eastAsia="Times New Roman"/>
          <w:lang w:eastAsia="ja-JP"/>
        </w:rPr>
      </w:pPr>
      <w:r w:rsidRPr="00FE454B">
        <w:rPr>
          <w:lang w:eastAsia="ja-JP"/>
        </w:rPr>
        <w:t>A UE expects to monitor PDCCH candidates for up to 4 sizes of DCI formats that include up to 3 sizes of DCI formats with CRC scrambled by C-RNTI</w:t>
      </w:r>
      <w:r w:rsidRPr="00417BB1">
        <w:rPr>
          <w:lang w:eastAsia="ja-JP"/>
        </w:rPr>
        <w:t xml:space="preserve"> per serving cell. The UE counts a number of sizes for DCI format</w:t>
      </w:r>
      <w:r>
        <w:rPr>
          <w:lang w:eastAsia="ja-JP"/>
        </w:rPr>
        <w:t xml:space="preserve">s per serving cell </w:t>
      </w:r>
      <w:r w:rsidRPr="00417BB1">
        <w:rPr>
          <w:lang w:eastAsia="ja-JP"/>
        </w:rPr>
        <w:t>based on a number of configured PDCCH candidates in respective search space sets</w:t>
      </w:r>
      <w:r w:rsidR="00B11787" w:rsidRPr="00D20E88">
        <w:rPr>
          <w:lang w:eastAsia="ja-JP"/>
        </w:rPr>
        <w:t xml:space="preserve"> for the corresponding active DL BWP</w:t>
      </w:r>
      <w:r w:rsidRPr="00417BB1">
        <w:rPr>
          <w:lang w:eastAsia="ja-JP"/>
        </w:rPr>
        <w:t xml:space="preserve">. </w:t>
      </w:r>
      <w:r w:rsidR="00EE6B85" w:rsidRPr="00EE6B85">
        <w:rPr>
          <w:rFonts w:eastAsia="Times New Roman"/>
          <w:lang w:eastAsia="ja-JP"/>
        </w:rPr>
        <w:t xml:space="preserve">If the UE monitors PDCCH candidates for detection of one or both of DCI format 0_3 and DCI format 1_3 for scheduling on serving cells from a set of serving cells, the serving cell for counting the size of one or both DCI format 0_3 and DCI format 1_3, respectively, is </w:t>
      </w:r>
    </w:p>
    <w:p w14:paraId="5821ED78" w14:textId="77777777" w:rsidR="00EE6B85" w:rsidRPr="00EE6B85" w:rsidRDefault="00EE6B85" w:rsidP="00EE6B85">
      <w:pPr>
        <w:pStyle w:val="B1"/>
        <w:rPr>
          <w:lang w:eastAsia="ja-JP"/>
        </w:rPr>
      </w:pPr>
      <w:r w:rsidRPr="00EE6B85">
        <w:t>-</w:t>
      </w:r>
      <w:r w:rsidRPr="00EE6B85">
        <w:tab/>
      </w:r>
      <w:r w:rsidRPr="00EE6B85">
        <w:rPr>
          <w:lang w:eastAsia="ja-JP"/>
        </w:rPr>
        <w:t>the scheduling cell, if the scheduling cell is included in the set of serving cells and the UE is provided search space sets for the PDCCH candidates only on the scheduling cell</w:t>
      </w:r>
    </w:p>
    <w:p w14:paraId="769E19AB" w14:textId="289FEF55" w:rsidR="0042018C" w:rsidRPr="00417BB1" w:rsidRDefault="00EE6B85" w:rsidP="00EE6B85">
      <w:pPr>
        <w:pStyle w:val="B1"/>
        <w:rPr>
          <w:lang w:eastAsia="ja-JP"/>
        </w:rPr>
      </w:pPr>
      <w:r w:rsidRPr="00EE6B85">
        <w:t>-</w:t>
      </w:r>
      <w:r w:rsidRPr="00EE6B85">
        <w:tab/>
      </w:r>
      <w:r w:rsidRPr="00EE6B85">
        <w:rPr>
          <w:lang w:eastAsia="ja-JP"/>
        </w:rPr>
        <w:t xml:space="preserve">a serving cell from the set of serving cells, if search space sets with same </w:t>
      </w:r>
      <w:r w:rsidRPr="00EE6B85">
        <w:rPr>
          <w:i/>
        </w:rPr>
        <w:t>searchSpaceId</w:t>
      </w:r>
      <w:r w:rsidRPr="00EE6B85">
        <w:rPr>
          <w:lang w:eastAsia="ja-JP"/>
        </w:rPr>
        <w:t xml:space="preserve"> for one or both of DCI format 0_3 and DCI format 1_3, respectively, are provided on the serving cell and on the scheduling cell.</w:t>
      </w:r>
    </w:p>
    <w:p w14:paraId="04A3EEAA" w14:textId="5E22CCD5" w:rsidR="00650C22" w:rsidRDefault="00650C22" w:rsidP="00650C22">
      <w:pPr>
        <w:rPr>
          <w:lang w:val="en-US"/>
        </w:rPr>
      </w:pPr>
      <w:r>
        <w:rPr>
          <w:lang w:val="en-US"/>
        </w:rPr>
        <w:t xml:space="preserve">A UE does not expect to detect, in a same PDCCH monitoring occasion, a DCI format with CRC scrambled by a SI-RNTI, RA-RNTI, </w:t>
      </w:r>
      <w:r w:rsidR="00D673F9">
        <w:rPr>
          <w:lang w:val="en-US"/>
        </w:rPr>
        <w:t xml:space="preserve">MsgB-RNTI, </w:t>
      </w:r>
      <w:r>
        <w:rPr>
          <w:lang w:val="en-US"/>
        </w:rPr>
        <w:t xml:space="preserve">TC-RNTI, P-RNTI, C-RNTI, </w:t>
      </w:r>
      <w:r w:rsidRPr="00D20E88">
        <w:rPr>
          <w:lang w:eastAsia="ja-JP"/>
        </w:rPr>
        <w:t>CS-RNTI, MCS-RNTI</w:t>
      </w:r>
      <w:r w:rsidR="00DB4346" w:rsidRPr="0088027F">
        <w:rPr>
          <w:lang w:eastAsia="ja-JP"/>
        </w:rPr>
        <w:t>, MCCH-RNTI, G-RNTI, G-CS-RNTI</w:t>
      </w:r>
      <w:r w:rsidR="004F1F38">
        <w:rPr>
          <w:lang w:eastAsia="ja-JP"/>
        </w:rPr>
        <w:t>,</w:t>
      </w:r>
      <w:r w:rsidR="004F1F38" w:rsidRPr="00450B19">
        <w:rPr>
          <w:rFonts w:ascii="Times-Roman" w:hAnsi="Times-Roman" w:cs="SimSun"/>
          <w:color w:val="000000"/>
        </w:rPr>
        <w:t xml:space="preserve"> </w:t>
      </w:r>
      <w:r w:rsidR="004F1F38" w:rsidRPr="001B2381">
        <w:rPr>
          <w:rFonts w:ascii="Times-Roman" w:hAnsi="Times-Roman" w:cs="SimSun"/>
          <w:color w:val="000000"/>
        </w:rPr>
        <w:t>or multicast-MCCH-RNTI</w:t>
      </w:r>
      <w:r>
        <w:rPr>
          <w:lang w:val="en-US"/>
        </w:rPr>
        <w:t xml:space="preserve"> and a DCI format with </w:t>
      </w:r>
      <w:r w:rsidRPr="00D20E88">
        <w:rPr>
          <w:lang w:val="en-US"/>
        </w:rPr>
        <w:t xml:space="preserve">CRC scrambled by </w:t>
      </w:r>
      <w:r>
        <w:rPr>
          <w:lang w:val="en-US"/>
        </w:rPr>
        <w:t xml:space="preserve">a </w:t>
      </w:r>
      <w:r>
        <w:rPr>
          <w:lang w:eastAsia="zh-CN"/>
        </w:rPr>
        <w:t>SL</w:t>
      </w:r>
      <w:r w:rsidRPr="002625EB">
        <w:rPr>
          <w:rFonts w:hint="eastAsia"/>
          <w:lang w:eastAsia="zh-CN"/>
        </w:rPr>
        <w:t>-RNTI</w:t>
      </w:r>
      <w:r>
        <w:rPr>
          <w:lang w:eastAsia="zh-CN"/>
        </w:rPr>
        <w:t xml:space="preserve"> or </w:t>
      </w:r>
      <w:r>
        <w:rPr>
          <w:lang w:val="en-US" w:eastAsia="zh-CN"/>
        </w:rPr>
        <w:t xml:space="preserve">a </w:t>
      </w:r>
      <w:r>
        <w:t>SL-CS-RNTI</w:t>
      </w:r>
      <w:r>
        <w:rPr>
          <w:lang w:val="en-US"/>
        </w:rPr>
        <w:t xml:space="preserve"> for scheduling respective PDSCH reception</w:t>
      </w:r>
      <w:r w:rsidR="0018071C">
        <w:rPr>
          <w:lang w:val="en-US"/>
        </w:rPr>
        <w:t xml:space="preserve"> and PSSCH transmission</w:t>
      </w:r>
      <w:r>
        <w:rPr>
          <w:lang w:val="en-US"/>
        </w:rPr>
        <w:t xml:space="preserve"> on a same serving cell.</w:t>
      </w:r>
    </w:p>
    <w:p w14:paraId="47A5B45A" w14:textId="7D928538" w:rsidR="005D3D60" w:rsidRPr="00D20E88" w:rsidRDefault="005D3D60" w:rsidP="005D3D60">
      <w:r w:rsidRPr="00D20E88">
        <w:t>A PDCCH candidate with index</w:t>
      </w:r>
      <w:r w:rsidR="00AF62F5">
        <w:t xml:space="preserve">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,n</m:t>
                </m:r>
              </m:e>
              <m:sub>
                <m:r>
                  <w:rPr>
                    <w:rFonts w:ascii="Cambria Math" w:hAnsi="Cambria Math"/>
                  </w:rPr>
                  <m:t>CI</m:t>
                </m:r>
              </m:sub>
            </m:sSub>
          </m:sub>
          <m:sup>
            <m:r>
              <w:rPr>
                <w:rFonts w:ascii="Cambria Math" w:hAnsi="Cambria Math"/>
              </w:rPr>
              <m:t>(L)</m:t>
            </m:r>
          </m:sup>
        </m:sSubSup>
      </m:oMath>
      <w:r w:rsidRPr="00D20E88">
        <w:t xml:space="preserve"> for a search space set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D20E88">
        <w:t xml:space="preserve"> using a set of </w:t>
      </w:r>
      <m:oMath>
        <m:r>
          <w:rPr>
            <w:rFonts w:ascii="Cambria Math" w:hAnsi="Cambria Math"/>
          </w:rPr>
          <m:t>L</m:t>
        </m:r>
      </m:oMath>
      <w:r w:rsidR="00AF62F5" w:rsidRPr="00F415B1">
        <w:t xml:space="preserve"> </w:t>
      </w:r>
      <w:r w:rsidRPr="00D20E88">
        <w:t xml:space="preserve">CCEs in a CORESET </w:t>
      </w:r>
      <m:oMath>
        <m:r>
          <w:rPr>
            <w:rFonts w:ascii="Cambria Math" w:hAnsi="Cambria Math"/>
          </w:rPr>
          <m:t>p</m:t>
        </m:r>
      </m:oMath>
      <w:r w:rsidRPr="00D20E88">
        <w:t xml:space="preserve"> on the active DL BWP for serving cell </w:t>
      </w:r>
      <m:oMath>
        <m:sSub>
          <m:sSubPr>
            <m:ctrlPr>
              <w:rPr>
                <w:rFonts w:ascii="Cambria Math" w:hAnsi="Cambria Math"/>
                <w:i/>
              </w:rPr>
            </m:ctrlPr>
          </m:sSubPr>
          <m:e>
            <m:r>
              <w:rPr>
                <w:rFonts w:ascii="Cambria Math" w:hAnsi="Cambria Math"/>
              </w:rPr>
              <m:t>n</m:t>
            </m:r>
          </m:e>
          <m:sub>
            <m:r>
              <w:rPr>
                <w:rFonts w:ascii="Cambria Math" w:hAnsi="Cambria Math"/>
              </w:rPr>
              <m:t>CI</m:t>
            </m:r>
          </m:sub>
        </m:sSub>
      </m:oMath>
      <w:r w:rsidR="00EE6B85">
        <w:t>,</w:t>
      </w:r>
      <w:r w:rsidR="00EE6B85" w:rsidRPr="00D20E88">
        <w:t xml:space="preserve"> </w:t>
      </w:r>
      <w:r w:rsidR="00EE6B85">
        <w:t xml:space="preserve">or for set of serving cells associated with </w:t>
      </w:r>
      <w:r w:rsidR="00EE6B85" w:rsidRPr="00D8774A">
        <w:rPr>
          <w:i/>
          <w:iCs/>
        </w:rPr>
        <w:t>nCI-Value</w:t>
      </w:r>
      <w:r w:rsidR="00EE6B85">
        <w:t xml:space="preserve"> having value </w:t>
      </w:r>
      <m:oMath>
        <m:sSub>
          <m:sSubPr>
            <m:ctrlPr>
              <w:rPr>
                <w:rFonts w:ascii="Cambria Math" w:hAnsi="Cambria Math"/>
                <w:i/>
              </w:rPr>
            </m:ctrlPr>
          </m:sSubPr>
          <m:e>
            <m:r>
              <w:rPr>
                <w:rFonts w:ascii="Cambria Math" w:hAnsi="Cambria Math"/>
              </w:rPr>
              <m:t>n</m:t>
            </m:r>
          </m:e>
          <m:sub>
            <m:r>
              <w:rPr>
                <w:rFonts w:ascii="Cambria Math" w:hAnsi="Cambria Math"/>
              </w:rPr>
              <m:t>CI</m:t>
            </m:r>
          </m:sub>
        </m:sSub>
      </m:oMath>
      <w:r w:rsidR="00EE6B85">
        <w:t>,</w:t>
      </w:r>
      <w:r w:rsidRPr="00D20E88">
        <w:t xml:space="preserve"> is not counted </w:t>
      </w:r>
      <w:r>
        <w:t>for monitoring</w:t>
      </w:r>
      <w:r w:rsidRPr="00D20E88">
        <w:t xml:space="preserve"> if there is a PDCCH candidate with index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,n</m:t>
                </m:r>
              </m:e>
              <m:sub>
                <m:r>
                  <w:rPr>
                    <w:rFonts w:ascii="Cambria Math" w:hAnsi="Cambria Math"/>
                  </w:rPr>
                  <m:t>CI</m:t>
                </m:r>
              </m:sub>
            </m:sSub>
          </m:sub>
          <m:sup>
            <m:r>
              <w:rPr>
                <w:rFonts w:ascii="Cambria Math" w:hAnsi="Cambria Math"/>
              </w:rPr>
              <m:t>(L)</m:t>
            </m:r>
          </m:sup>
        </m:sSubSup>
      </m:oMath>
      <w:r w:rsidRPr="00D20E88">
        <w:t xml:space="preserve"> for a search space set </w:t>
      </w:r>
      <m:oMath>
        <m:sSub>
          <m:sSubPr>
            <m:ctrlPr>
              <w:rPr>
                <w:rFonts w:ascii="Cambria Math" w:hAnsi="Cambria Math"/>
                <w:i/>
              </w:rPr>
            </m:ctrlPr>
          </m:sSubPr>
          <m:e>
            <m:r>
              <w:rPr>
                <w:rFonts w:ascii="Cambria Math" w:hAnsi="Cambria Math"/>
              </w:rPr>
              <m:t>s</m:t>
            </m:r>
          </m:e>
          <m:sub>
            <m:r>
              <w:rPr>
                <w:rFonts w:ascii="Cambria Math" w:hAnsi="Cambria Math"/>
              </w:rPr>
              <m:t>i</m:t>
            </m:r>
          </m:sub>
        </m:sSub>
        <m:sSub>
          <m:sSubPr>
            <m:ctrlPr>
              <w:rPr>
                <w:rFonts w:ascii="Cambria Math" w:hAnsi="Cambria Math"/>
                <w:i/>
              </w:rPr>
            </m:ctrlPr>
          </m:sSubPr>
          <m:e>
            <m:r>
              <w:rPr>
                <w:rFonts w:ascii="Cambria Math" w:hAnsi="Cambria Math"/>
              </w:rPr>
              <m:t>&lt;s</m:t>
            </m:r>
          </m:e>
          <m:sub>
            <m:r>
              <w:rPr>
                <w:rFonts w:ascii="Cambria Math" w:hAnsi="Cambria Math"/>
              </w:rPr>
              <m:t>j</m:t>
            </m:r>
          </m:sub>
        </m:sSub>
      </m:oMath>
      <w:r w:rsidRPr="00D20E88">
        <w:t xml:space="preserve">, or if there is a PDCCH candidate with index </w:t>
      </w:r>
      <m:oMath>
        <m:sSubSup>
          <m:sSubSupPr>
            <m:ctrlPr>
              <w:rPr>
                <w:rFonts w:ascii="Cambria Math" w:hAnsi="Cambria Math"/>
                <w:i/>
              </w:rPr>
            </m:ctrlPr>
          </m:sSubSupPr>
          <m:e>
            <m:r>
              <w:rPr>
                <w:rFonts w:ascii="Cambria Math" w:hAnsi="Cambria Math"/>
              </w:rPr>
              <m:t>n</m:t>
            </m:r>
          </m:e>
          <m:sub>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,n</m:t>
                </m:r>
              </m:e>
              <m:sub>
                <m:r>
                  <w:rPr>
                    <w:rFonts w:ascii="Cambria Math" w:hAnsi="Cambria Math"/>
                  </w:rPr>
                  <m:t>CI</m:t>
                </m:r>
              </m:sub>
            </m:sSub>
          </m:sub>
          <m:sup>
            <m:r>
              <w:rPr>
                <w:rFonts w:ascii="Cambria Math" w:hAnsi="Cambria Math"/>
              </w:rPr>
              <m:t>(L)</m:t>
            </m:r>
          </m:sup>
        </m:sSubSup>
      </m:oMath>
      <w:r w:rsidRPr="00D20E88">
        <w:t xml:space="preserve"> and </w:t>
      </w:r>
      <m:oMath>
        <m:sSubSup>
          <m:sSubSupPr>
            <m:ctrlPr>
              <w:rPr>
                <w:rFonts w:ascii="Cambria Math" w:hAnsi="Cambria Math"/>
                <w:i/>
              </w:rPr>
            </m:ctrlPr>
          </m:sSubSupPr>
          <m:e>
            <m:r>
              <w:rPr>
                <w:rFonts w:ascii="Cambria Math" w:hAnsi="Cambria Math"/>
              </w:rPr>
              <m:t>n</m:t>
            </m:r>
          </m:e>
          <m:sub>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,n</m:t>
                </m:r>
              </m:e>
              <m:sub>
                <m:r>
                  <w:rPr>
                    <w:rFonts w:ascii="Cambria Math" w:hAnsi="Cambria Math"/>
                  </w:rPr>
                  <m:t>CI</m:t>
                </m:r>
              </m:sub>
            </m:sSub>
          </m:sub>
          <m:sup>
            <m:r>
              <w:rPr>
                <w:rFonts w:ascii="Cambria Math" w:hAnsi="Cambria Math"/>
              </w:rPr>
              <m:t>(L)</m:t>
            </m:r>
          </m:sup>
        </m:sSubSup>
        <m:r>
          <w:rPr>
            <w:rFonts w:ascii="Cambria Math" w:hAnsi="Cambria Math"/>
          </w:rPr>
          <m:t>&lt;</m:t>
        </m:r>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,n</m:t>
                </m:r>
              </m:e>
              <m:sub>
                <m:r>
                  <w:rPr>
                    <w:rFonts w:ascii="Cambria Math" w:hAnsi="Cambria Math"/>
                  </w:rPr>
                  <m:t>CI</m:t>
                </m:r>
              </m:sub>
            </m:sSub>
          </m:sub>
          <m:sup>
            <m:r>
              <w:rPr>
                <w:rFonts w:ascii="Cambria Math" w:hAnsi="Cambria Math"/>
              </w:rPr>
              <m:t>(L)</m:t>
            </m:r>
          </m:sup>
        </m:sSubSup>
      </m:oMath>
      <w:r w:rsidRPr="00D20E88">
        <w:t xml:space="preserve">, in the CORESET </w:t>
      </w:r>
      <m:oMath>
        <m:r>
          <w:rPr>
            <w:rFonts w:ascii="Cambria Math" w:hAnsi="Cambria Math"/>
          </w:rPr>
          <m:t>p</m:t>
        </m:r>
      </m:oMath>
      <w:r w:rsidRPr="00D20E88">
        <w:t xml:space="preserve"> on the active DL BWP for serving cell </w:t>
      </w:r>
      <m:oMath>
        <m:sSub>
          <m:sSubPr>
            <m:ctrlPr>
              <w:rPr>
                <w:rFonts w:ascii="Cambria Math" w:hAnsi="Cambria Math"/>
                <w:i/>
              </w:rPr>
            </m:ctrlPr>
          </m:sSubPr>
          <m:e>
            <m:r>
              <w:rPr>
                <w:rFonts w:ascii="Cambria Math" w:hAnsi="Cambria Math"/>
              </w:rPr>
              <m:t>n</m:t>
            </m:r>
          </m:e>
          <m:sub>
            <m:r>
              <w:rPr>
                <w:rFonts w:ascii="Cambria Math" w:hAnsi="Cambria Math"/>
              </w:rPr>
              <m:t>CI</m:t>
            </m:r>
          </m:sub>
        </m:sSub>
      </m:oMath>
      <w:r w:rsidR="003B2A2E">
        <w:t>,</w:t>
      </w:r>
      <w:r w:rsidR="003B2A2E" w:rsidRPr="00D20E88">
        <w:t xml:space="preserve"> </w:t>
      </w:r>
      <w:r w:rsidR="003B2A2E">
        <w:t xml:space="preserve">or for set of serving cells </w:t>
      </w:r>
      <m:oMath>
        <m:sSub>
          <m:sSubPr>
            <m:ctrlPr>
              <w:rPr>
                <w:rFonts w:ascii="Cambria Math" w:hAnsi="Cambria Math"/>
                <w:i/>
              </w:rPr>
            </m:ctrlPr>
          </m:sSubPr>
          <m:e>
            <m:r>
              <w:rPr>
                <w:rFonts w:ascii="Cambria Math" w:hAnsi="Cambria Math"/>
              </w:rPr>
              <m:t>n</m:t>
            </m:r>
          </m:e>
          <m:sub>
            <m:r>
              <w:rPr>
                <w:rFonts w:ascii="Cambria Math" w:hAnsi="Cambria Math"/>
              </w:rPr>
              <m:t>CI</m:t>
            </m:r>
          </m:sub>
        </m:sSub>
      </m:oMath>
      <w:r w:rsidR="003B2A2E">
        <w:t>, respectively,</w:t>
      </w:r>
      <w:r w:rsidRPr="00D20E88">
        <w:t xml:space="preserve"> using a same set of </w:t>
      </w:r>
      <m:oMath>
        <m:r>
          <w:rPr>
            <w:rFonts w:ascii="Cambria Math" w:hAnsi="Cambria Math"/>
          </w:rPr>
          <m:t>L</m:t>
        </m:r>
      </m:oMath>
      <w:r w:rsidR="00AF62F5" w:rsidRPr="00F415B1">
        <w:t xml:space="preserve"> </w:t>
      </w:r>
      <w:r w:rsidRPr="00D20E88">
        <w:t xml:space="preserve">CCEs, the PDCCH candidates have identical scrambling, and the corresponding DCI formats for the PDCCH candidates have a same size; otherwise, the PDCCH candidate with index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,n</m:t>
                </m:r>
              </m:e>
              <m:sub>
                <m:r>
                  <w:rPr>
                    <w:rFonts w:ascii="Cambria Math" w:hAnsi="Cambria Math"/>
                  </w:rPr>
                  <m:t>CI</m:t>
                </m:r>
              </m:sub>
            </m:sSub>
          </m:sub>
          <m:sup>
            <m:r>
              <w:rPr>
                <w:rFonts w:ascii="Cambria Math" w:hAnsi="Cambria Math"/>
              </w:rPr>
              <m:t>(L)</m:t>
            </m:r>
          </m:sup>
        </m:sSubSup>
      </m:oMath>
      <w:r w:rsidRPr="00D20E88">
        <w:t xml:space="preserve"> is counted </w:t>
      </w:r>
      <w:r>
        <w:t>for monitoring</w:t>
      </w:r>
      <w:r w:rsidRPr="00D20E88">
        <w:t xml:space="preserve">. </w:t>
      </w:r>
    </w:p>
    <w:p w14:paraId="3F67C0B7" w14:textId="0D7EFAE1" w:rsidR="00D867E6" w:rsidRPr="00F415B1" w:rsidRDefault="00D867E6" w:rsidP="00D867E6">
      <w:r w:rsidRPr="00F415B1">
        <w:t xml:space="preserve">For search space sets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F415B1">
        <w:t xml:space="preserve"> and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F415B1">
        <w:t xml:space="preserve"> that include </w:t>
      </w:r>
      <w:r w:rsidRPr="00F415B1">
        <w:rPr>
          <w:i/>
          <w:lang w:val="en-US"/>
        </w:rPr>
        <w:t>searchSpaceLinking</w:t>
      </w:r>
      <w:r w:rsidR="00047C72">
        <w:rPr>
          <w:i/>
          <w:lang w:val="en-US"/>
        </w:rPr>
        <w:t>Id</w:t>
      </w:r>
      <w:r w:rsidRPr="00F415B1">
        <w:rPr>
          <w:iCs/>
        </w:rPr>
        <w:t xml:space="preserve"> with </w:t>
      </w:r>
      <w:r w:rsidR="00047C72">
        <w:rPr>
          <w:iCs/>
        </w:rPr>
        <w:t xml:space="preserve">same </w:t>
      </w:r>
      <w:r w:rsidRPr="00F415B1">
        <w:rPr>
          <w:iCs/>
        </w:rPr>
        <w:t>value</w:t>
      </w:r>
      <w:r w:rsidRPr="00F415B1">
        <w:t xml:space="preserve">, and for search space set </w:t>
      </w:r>
      <m:oMath>
        <m:sSub>
          <m:sSubPr>
            <m:ctrlPr>
              <w:rPr>
                <w:rFonts w:ascii="Cambria Math" w:hAnsi="Cambria Math"/>
                <w:i/>
              </w:rPr>
            </m:ctrlPr>
          </m:sSubPr>
          <m:e>
            <m:r>
              <w:rPr>
                <w:rFonts w:ascii="Cambria Math" w:hAnsi="Cambria Math"/>
              </w:rPr>
              <m:t>s</m:t>
            </m:r>
          </m:e>
          <m:sub>
            <m:r>
              <w:rPr>
                <w:rFonts w:ascii="Cambria Math" w:hAnsi="Cambria Math"/>
              </w:rPr>
              <m:t>k</m:t>
            </m:r>
          </m:sub>
        </m:sSub>
      </m:oMath>
      <w:r w:rsidRPr="00F415B1">
        <w:t xml:space="preserve"> that</w:t>
      </w:r>
      <w:r>
        <w:t xml:space="preserve"> </w:t>
      </w:r>
      <w:r w:rsidRPr="00F415B1">
        <w:t xml:space="preserve">does not include </w:t>
      </w:r>
      <w:r w:rsidRPr="00F415B1">
        <w:rPr>
          <w:i/>
          <w:lang w:val="en-US"/>
        </w:rPr>
        <w:t>searchSpaceLinking</w:t>
      </w:r>
      <w:r w:rsidR="00047C72">
        <w:rPr>
          <w:i/>
          <w:lang w:val="en-US"/>
        </w:rPr>
        <w:t>Id</w:t>
      </w:r>
      <w:r w:rsidRPr="00F415B1">
        <w:rPr>
          <w:iCs/>
        </w:rPr>
        <w:t>, when a UE</w:t>
      </w:r>
    </w:p>
    <w:p w14:paraId="0A58F5D7" w14:textId="77777777" w:rsidR="00D867E6" w:rsidRPr="00F415B1" w:rsidRDefault="00D867E6" w:rsidP="00D867E6">
      <w:pPr>
        <w:pStyle w:val="B1"/>
        <w:rPr>
          <w:lang w:val="en-US"/>
        </w:rPr>
      </w:pPr>
      <w:r w:rsidRPr="00F415B1">
        <w:t>-</w:t>
      </w:r>
      <w:r w:rsidRPr="00F415B1">
        <w:tab/>
        <w:t>monitor</w:t>
      </w:r>
      <w:r w:rsidRPr="00F415B1">
        <w:rPr>
          <w:lang w:val="en-US"/>
        </w:rPr>
        <w:t>s</w:t>
      </w:r>
      <w:r w:rsidRPr="00F415B1">
        <w:t xml:space="preserve"> PDCCH candidates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CI,1</m:t>
                </m:r>
              </m:sub>
            </m:sSub>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CI,1</m:t>
                </m:r>
              </m:sub>
            </m:sSub>
          </m:sub>
          <m:sup>
            <m:r>
              <w:rPr>
                <w:rFonts w:ascii="Cambria Math" w:hAnsi="Cambria Math"/>
              </w:rPr>
              <m:t>(L)</m:t>
            </m:r>
          </m:sup>
        </m:sSubSup>
      </m:oMath>
      <w:r w:rsidRPr="00F415B1">
        <w:rPr>
          <w:lang w:val="en-US"/>
        </w:rPr>
        <w:t xml:space="preserve"> for detection of a first DCI format</w:t>
      </w:r>
      <w:r w:rsidRPr="00F415B1">
        <w:t>,</w:t>
      </w:r>
      <w:r w:rsidRPr="00F415B1">
        <w:rPr>
          <w:lang w:val="en-US"/>
        </w:rPr>
        <w:t xml:space="preserve"> </w:t>
      </w:r>
    </w:p>
    <w:p w14:paraId="11DBE5EA" w14:textId="77777777" w:rsidR="00D867E6" w:rsidRPr="00F415B1" w:rsidRDefault="00D867E6" w:rsidP="00D867E6">
      <w:pPr>
        <w:pStyle w:val="B1"/>
        <w:rPr>
          <w:lang w:val="en-US"/>
        </w:rPr>
      </w:pPr>
      <w:r w:rsidRPr="00F415B1">
        <w:t>-</w:t>
      </w:r>
      <w:r w:rsidRPr="00F415B1">
        <w:tab/>
        <w:t>monitor</w:t>
      </w:r>
      <w:r w:rsidRPr="00F415B1">
        <w:rPr>
          <w:lang w:val="en-US"/>
        </w:rPr>
        <w:t>s</w:t>
      </w:r>
      <w:r w:rsidRPr="00F415B1">
        <w:t xml:space="preserve"> PDCCH candidate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CI,2</m:t>
                </m:r>
              </m:sub>
            </m:sSub>
          </m:sub>
          <m:sup>
            <m:r>
              <w:rPr>
                <w:rFonts w:ascii="Cambria Math" w:hAnsi="Cambria Math"/>
              </w:rPr>
              <m:t>(L)</m:t>
            </m:r>
          </m:sup>
        </m:sSubSup>
      </m:oMath>
      <w:r w:rsidRPr="00F415B1">
        <w:t xml:space="preserve"> for detection of </w:t>
      </w:r>
      <w:r w:rsidRPr="00F415B1">
        <w:rPr>
          <w:lang w:val="en-US"/>
        </w:rPr>
        <w:t xml:space="preserve">a </w:t>
      </w:r>
      <w:r w:rsidRPr="00F415B1">
        <w:t>second DCI format having a same size as the first DCI format</w:t>
      </w:r>
      <w:r w:rsidRPr="00F415B1">
        <w:rPr>
          <w:lang w:val="en-US"/>
        </w:rPr>
        <w:t>,</w:t>
      </w:r>
    </w:p>
    <w:p w14:paraId="3C100D50" w14:textId="77777777" w:rsidR="00D867E6" w:rsidRPr="00F415B1" w:rsidRDefault="00D867E6" w:rsidP="00D867E6">
      <w:pPr>
        <w:pStyle w:val="B1"/>
        <w:rPr>
          <w:lang w:val="en-US"/>
        </w:rPr>
      </w:pPr>
      <w:r w:rsidRPr="00F415B1">
        <w:t>-</w:t>
      </w:r>
      <w:r w:rsidRPr="00F415B1">
        <w:tab/>
      </w:r>
      <w:r w:rsidRPr="00F415B1">
        <w:rPr>
          <w:lang w:val="en-US"/>
        </w:rPr>
        <w:t>the</w:t>
      </w:r>
      <w:r w:rsidRPr="00F415B1">
        <w:t xml:space="preserve"> PDCCH candidat</w:t>
      </w:r>
      <w:r w:rsidRPr="00F415B1">
        <w:rPr>
          <w:lang w:val="en-US"/>
        </w:rPr>
        <w:t>e</w:t>
      </w:r>
      <w:r w:rsidRPr="00F415B1">
        <w:t xml:space="preserve">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CI,1</m:t>
                </m:r>
              </m:sub>
            </m:sSub>
          </m:sub>
          <m:sup>
            <m:r>
              <w:rPr>
                <w:rFonts w:ascii="Cambria Math" w:hAnsi="Cambria Math"/>
              </w:rPr>
              <m:t>(L)</m:t>
            </m:r>
          </m:sup>
        </m:sSubSup>
      </m:oMath>
      <w:r w:rsidRPr="00F415B1">
        <w:rPr>
          <w:lang w:val="en-US"/>
        </w:rPr>
        <w:t>, or the PDCCH candidate</w:t>
      </w:r>
      <w:r w:rsidRPr="00F415B1">
        <w:t xml:space="preserve">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CI,1</m:t>
                </m:r>
              </m:sub>
            </m:sSub>
          </m:sub>
          <m:sup>
            <m:r>
              <w:rPr>
                <w:rFonts w:ascii="Cambria Math" w:hAnsi="Cambria Math"/>
              </w:rPr>
              <m:t>(L)</m:t>
            </m:r>
          </m:sup>
        </m:sSubSup>
      </m:oMath>
      <w:r w:rsidRPr="00F415B1">
        <w:t xml:space="preserve">, </w:t>
      </w:r>
      <w:r w:rsidRPr="00F415B1">
        <w:rPr>
          <w:lang w:val="en-US"/>
        </w:rPr>
        <w:t xml:space="preserve">and the </w:t>
      </w:r>
      <w:r w:rsidRPr="00F415B1">
        <w:t xml:space="preserve">PDCCH candidate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CI,2</m:t>
                </m:r>
              </m:sub>
            </m:sSub>
          </m:sub>
          <m:sup>
            <m:r>
              <w:rPr>
                <w:rFonts w:ascii="Cambria Math" w:hAnsi="Cambria Math"/>
              </w:rPr>
              <m:t>(L)</m:t>
            </m:r>
          </m:sup>
        </m:sSubSup>
      </m:oMath>
      <w:r w:rsidRPr="00F415B1">
        <w:rPr>
          <w:lang w:val="en-US"/>
        </w:rPr>
        <w:t xml:space="preserve"> have identical scrambling</w:t>
      </w:r>
      <w:r w:rsidRPr="00F415B1">
        <w:t xml:space="preserve"> </w:t>
      </w:r>
      <w:r w:rsidRPr="00F415B1">
        <w:rPr>
          <w:lang w:val="en-US"/>
        </w:rPr>
        <w:t xml:space="preserve">and </w:t>
      </w:r>
      <w:r w:rsidRPr="00F415B1">
        <w:t>us</w:t>
      </w:r>
      <w:r w:rsidRPr="00F415B1">
        <w:rPr>
          <w:lang w:val="en-US"/>
        </w:rPr>
        <w:t>e</w:t>
      </w:r>
      <w:r w:rsidRPr="00F415B1">
        <w:t xml:space="preserve"> a </w:t>
      </w:r>
      <w:r w:rsidRPr="00F415B1">
        <w:rPr>
          <w:lang w:val="en-US"/>
        </w:rPr>
        <w:t xml:space="preserve">same </w:t>
      </w:r>
      <w:r w:rsidRPr="00F415B1">
        <w:t xml:space="preserve">set of CCEs </w:t>
      </w:r>
      <w:r w:rsidRPr="00F415B1">
        <w:rPr>
          <w:lang w:val="en-US"/>
        </w:rPr>
        <w:t xml:space="preserve">over same symbols in a slot </w:t>
      </w:r>
      <w:r w:rsidRPr="00F415B1">
        <w:t xml:space="preserve">in a CORESET </w:t>
      </w:r>
      <m:oMath>
        <m:r>
          <w:rPr>
            <w:rFonts w:ascii="Cambria Math" w:hAnsi="Cambria Math"/>
          </w:rPr>
          <m:t>p</m:t>
        </m:r>
      </m:oMath>
      <w:r w:rsidRPr="00F415B1">
        <w:rPr>
          <w:lang w:val="en-US"/>
        </w:rPr>
        <w:t xml:space="preserve">, </w:t>
      </w:r>
    </w:p>
    <w:p w14:paraId="021A647F" w14:textId="0D4F1EF6" w:rsidR="00C67D38" w:rsidRDefault="00D867E6" w:rsidP="00D867E6">
      <w:pPr>
        <w:rPr>
          <w:lang w:val="en-US"/>
        </w:rPr>
      </w:pPr>
      <w:r w:rsidRPr="00F415B1">
        <w:rPr>
          <w:lang w:val="en-US"/>
        </w:rPr>
        <w:t xml:space="preserve">the </w:t>
      </w:r>
      <w:r w:rsidRPr="00F415B1">
        <w:t xml:space="preserve">PDCCH candidate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CI,2</m:t>
                </m:r>
              </m:sub>
            </m:sSub>
          </m:sub>
          <m:sup>
            <m:r>
              <w:rPr>
                <w:rFonts w:ascii="Cambria Math" w:hAnsi="Cambria Math"/>
              </w:rPr>
              <m:t>(L)</m:t>
            </m:r>
          </m:sup>
        </m:sSubSup>
      </m:oMath>
      <w:r w:rsidRPr="00F415B1">
        <w:rPr>
          <w:lang w:val="en-US"/>
        </w:rPr>
        <w:t xml:space="preserve"> is not counted </w:t>
      </w:r>
      <w:r w:rsidRPr="00F415B1">
        <w:t>for monitoring</w:t>
      </w:r>
      <w:r w:rsidRPr="00F415B1">
        <w:rPr>
          <w:lang w:val="en-US"/>
        </w:rPr>
        <w:t xml:space="preserve"> and the UE assumes that a detected DCI format is the first DCI format. A UE may monitor </w:t>
      </w:r>
      <w:r w:rsidRPr="00F415B1">
        <w:t xml:space="preserve">PDCCH candidate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CI,2</m:t>
                </m:r>
              </m:sub>
            </m:sSub>
          </m:sub>
          <m:sup>
            <m:r>
              <w:rPr>
                <w:rFonts w:ascii="Cambria Math" w:hAnsi="Cambria Math"/>
              </w:rPr>
              <m:t>(L)</m:t>
            </m:r>
          </m:sup>
        </m:sSubSup>
      </m:oMath>
      <w:r w:rsidRPr="00F415B1">
        <w:rPr>
          <w:lang w:val="en-US"/>
        </w:rPr>
        <w:t xml:space="preserve"> depending on a corresponding capability [</w:t>
      </w:r>
      <w:r w:rsidR="00B90D47" w:rsidRPr="00F415B1">
        <w:rPr>
          <w:lang w:val="en-US"/>
        </w:rPr>
        <w:t>1</w:t>
      </w:r>
      <w:r w:rsidR="00B90D47">
        <w:rPr>
          <w:lang w:val="en-US"/>
        </w:rPr>
        <w:t>8</w:t>
      </w:r>
      <w:r w:rsidRPr="00F415B1">
        <w:rPr>
          <w:lang w:val="en-US"/>
        </w:rPr>
        <w:t>, TS 38.306].</w:t>
      </w:r>
      <w:r w:rsidR="00D3387C">
        <w:rPr>
          <w:lang w:val="en-US"/>
        </w:rPr>
        <w:t xml:space="preserve"> </w:t>
      </w:r>
    </w:p>
    <w:p w14:paraId="55946077" w14:textId="498F124D" w:rsidR="00D867E6" w:rsidRPr="00F415B1" w:rsidRDefault="00D867E6" w:rsidP="00D867E6">
      <w:r w:rsidRPr="00F415B1">
        <w:t xml:space="preserve">For search space sets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F415B1">
        <w:t xml:space="preserve"> and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F415B1">
        <w:t xml:space="preserve"> that include </w:t>
      </w:r>
      <w:r w:rsidRPr="00F415B1">
        <w:rPr>
          <w:i/>
          <w:lang w:val="en-US"/>
        </w:rPr>
        <w:t>searchSpaceLinking</w:t>
      </w:r>
      <w:r w:rsidR="00047C72">
        <w:rPr>
          <w:i/>
          <w:lang w:val="en-US"/>
        </w:rPr>
        <w:t>Id</w:t>
      </w:r>
      <w:r w:rsidRPr="00F415B1">
        <w:rPr>
          <w:iCs/>
        </w:rPr>
        <w:t xml:space="preserve"> with </w:t>
      </w:r>
      <w:r w:rsidR="00047C72">
        <w:rPr>
          <w:iCs/>
        </w:rPr>
        <w:t xml:space="preserve">same </w:t>
      </w:r>
      <w:r w:rsidRPr="00F415B1">
        <w:rPr>
          <w:iCs/>
        </w:rPr>
        <w:t>value</w:t>
      </w:r>
      <w:r w:rsidRPr="00F415B1">
        <w:t xml:space="preserve">, and for search space set </w:t>
      </w:r>
      <m:oMath>
        <m:sSub>
          <m:sSubPr>
            <m:ctrlPr>
              <w:rPr>
                <w:rFonts w:ascii="Cambria Math" w:hAnsi="Cambria Math"/>
                <w:i/>
              </w:rPr>
            </m:ctrlPr>
          </m:sSubPr>
          <m:e>
            <m:r>
              <w:rPr>
                <w:rFonts w:ascii="Cambria Math" w:hAnsi="Cambria Math"/>
              </w:rPr>
              <m:t>s</m:t>
            </m:r>
          </m:e>
          <m:sub>
            <m:r>
              <w:rPr>
                <w:rFonts w:ascii="Cambria Math" w:hAnsi="Cambria Math"/>
              </w:rPr>
              <m:t>k</m:t>
            </m:r>
          </m:sub>
        </m:sSub>
      </m:oMath>
      <w:r w:rsidRPr="00F415B1">
        <w:t xml:space="preserve"> that does not include </w:t>
      </w:r>
      <w:r w:rsidRPr="00F415B1">
        <w:rPr>
          <w:i/>
          <w:lang w:val="en-US"/>
        </w:rPr>
        <w:t>searchSpaceLinking</w:t>
      </w:r>
      <w:r w:rsidR="00047C72">
        <w:rPr>
          <w:i/>
          <w:lang w:val="en-US"/>
        </w:rPr>
        <w:t>Id</w:t>
      </w:r>
      <w:r w:rsidRPr="00F415B1">
        <w:rPr>
          <w:iCs/>
        </w:rPr>
        <w:t>, when a UE</w:t>
      </w:r>
    </w:p>
    <w:p w14:paraId="38458781" w14:textId="0E0228C9" w:rsidR="00D867E6" w:rsidRPr="00F415B1" w:rsidRDefault="00D867E6" w:rsidP="00D867E6">
      <w:pPr>
        <w:pStyle w:val="B1"/>
        <w:rPr>
          <w:lang w:val="en-US"/>
        </w:rPr>
      </w:pPr>
      <w:r w:rsidRPr="00F415B1">
        <w:t>-</w:t>
      </w:r>
      <w:r w:rsidRPr="00F415B1">
        <w:tab/>
        <w:t>monitor</w:t>
      </w:r>
      <w:r w:rsidRPr="00F415B1">
        <w:rPr>
          <w:lang w:val="en-US"/>
        </w:rPr>
        <w:t>s</w:t>
      </w:r>
      <w:r w:rsidRPr="00F415B1">
        <w:t xml:space="preserve"> PDCCH candidates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CI,1</m:t>
                </m:r>
              </m:sub>
            </m:sSub>
          </m:sub>
          <m:sup>
            <m:r>
              <w:rPr>
                <w:rFonts w:ascii="Cambria Math" w:hAnsi="Cambria Math"/>
              </w:rPr>
              <m:t>(8)</m:t>
            </m:r>
          </m:sup>
        </m:sSubSup>
        <m:r>
          <w:rPr>
            <w:rFonts w:ascii="Cambria Math" w:hAnsi="Cambria Math"/>
          </w:rPr>
          <m:t>=</m:t>
        </m:r>
      </m:oMath>
      <w:r w:rsidRPr="00F415B1">
        <w:rPr>
          <w:lang w:val="en-US"/>
        </w:rPr>
        <w:t xml:space="preserve">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CI,1</m:t>
                </m:r>
              </m:sub>
            </m:sSub>
          </m:sub>
          <m:sup>
            <m:r>
              <w:rPr>
                <w:rFonts w:ascii="Cambria Math" w:hAnsi="Cambria Math"/>
              </w:rPr>
              <m:t>(8)</m:t>
            </m:r>
          </m:sup>
        </m:sSubSup>
      </m:oMath>
      <w:r w:rsidRPr="00F415B1">
        <w:rPr>
          <w:lang w:val="en-US"/>
        </w:rPr>
        <w:t xml:space="preserve"> for detection of a first DCI format and monitors PDCCH candidate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CI,2</m:t>
                </m:r>
              </m:sub>
            </m:sSub>
          </m:sub>
          <m:sup>
            <m:r>
              <w:rPr>
                <w:rFonts w:ascii="Cambria Math" w:hAnsi="Cambria Math"/>
              </w:rPr>
              <m:t>(16)</m:t>
            </m:r>
          </m:sup>
        </m:sSubSup>
      </m:oMath>
      <w:r w:rsidRPr="00F415B1">
        <w:rPr>
          <w:lang w:val="en-US"/>
        </w:rPr>
        <w:t xml:space="preserve"> for detection of a second DCI format, or </w:t>
      </w:r>
      <w:r w:rsidRPr="00F415B1">
        <w:t>monitor</w:t>
      </w:r>
      <w:r w:rsidRPr="00F415B1">
        <w:rPr>
          <w:lang w:val="en-US"/>
        </w:rPr>
        <w:t>s</w:t>
      </w:r>
      <w:r w:rsidRPr="00F415B1">
        <w:t xml:space="preserve"> PDCCH candidates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CI,1</m:t>
                </m:r>
              </m:sub>
            </m:sSub>
          </m:sub>
          <m:sup>
            <m:r>
              <w:rPr>
                <w:rFonts w:ascii="Cambria Math" w:hAnsi="Cambria Math"/>
              </w:rPr>
              <m:t>(16)</m:t>
            </m:r>
          </m:sup>
        </m:sSubSup>
        <m:r>
          <w:rPr>
            <w:rFonts w:ascii="Cambria Math" w:hAnsi="Cambria Math"/>
          </w:rPr>
          <m:t>=</m:t>
        </m:r>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CI,1</m:t>
                </m:r>
              </m:sub>
            </m:sSub>
          </m:sub>
          <m:sup>
            <m:r>
              <w:rPr>
                <w:rFonts w:ascii="Cambria Math" w:hAnsi="Cambria Math"/>
              </w:rPr>
              <m:t>(16)</m:t>
            </m:r>
          </m:sup>
        </m:sSubSup>
      </m:oMath>
      <w:r w:rsidRPr="00F415B1">
        <w:rPr>
          <w:lang w:val="en-US"/>
        </w:rPr>
        <w:t xml:space="preserve"> for detection of the first DCI format and monitors PDCCH candidate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CI,2</m:t>
                </m:r>
              </m:sub>
            </m:sSub>
          </m:sub>
          <m:sup>
            <m:r>
              <w:rPr>
                <w:rFonts w:ascii="Cambria Math" w:hAnsi="Cambria Math"/>
              </w:rPr>
              <m:t>(8)</m:t>
            </m:r>
          </m:sup>
        </m:sSubSup>
      </m:oMath>
      <w:r w:rsidRPr="00F415B1">
        <w:rPr>
          <w:lang w:val="en-US"/>
        </w:rPr>
        <w:t xml:space="preserve"> for detection of the second DCI format, and</w:t>
      </w:r>
    </w:p>
    <w:p w14:paraId="5E6C2445" w14:textId="21F9B41A" w:rsidR="00D867E6" w:rsidRPr="00F415B1" w:rsidRDefault="00D867E6" w:rsidP="00D867E6">
      <w:pPr>
        <w:pStyle w:val="B1"/>
        <w:rPr>
          <w:lang w:val="en-US"/>
        </w:rPr>
      </w:pPr>
      <w:r w:rsidRPr="00F415B1">
        <w:lastRenderedPageBreak/>
        <w:t>-</w:t>
      </w:r>
      <w:r w:rsidRPr="00F415B1">
        <w:tab/>
      </w:r>
      <w:r w:rsidRPr="00F415B1">
        <w:rPr>
          <w:lang w:val="en-US"/>
        </w:rPr>
        <w:t>one of the</w:t>
      </w:r>
      <w:r w:rsidRPr="00F415B1">
        <w:t xml:space="preserve"> PDCCH candidat</w:t>
      </w:r>
      <w:r w:rsidRPr="00F415B1">
        <w:rPr>
          <w:lang w:val="en-US"/>
        </w:rPr>
        <w:t>es</w:t>
      </w:r>
      <w:r w:rsidRPr="00F415B1">
        <w:t xml:space="preserve">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CI,1</m:t>
                </m:r>
              </m:sub>
            </m:sSub>
          </m:sub>
          <m:sup>
            <m:r>
              <w:rPr>
                <w:rFonts w:ascii="Cambria Math" w:hAnsi="Cambria Math"/>
              </w:rPr>
              <m:t>(8)</m:t>
            </m:r>
          </m:sup>
        </m:sSubSup>
      </m:oMath>
      <w:r w:rsidRPr="00F415B1">
        <w:rPr>
          <w:lang w:val="en-US"/>
        </w:rPr>
        <w:t xml:space="preserve"> and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CI,1</m:t>
                </m:r>
              </m:sub>
            </m:sSub>
          </m:sub>
          <m:sup>
            <m:r>
              <w:rPr>
                <w:rFonts w:ascii="Cambria Math" w:hAnsi="Cambria Math"/>
              </w:rPr>
              <m:t>(8)</m:t>
            </m:r>
          </m:sup>
        </m:sSubSup>
      </m:oMath>
      <w:r w:rsidRPr="00F415B1">
        <w:t xml:space="preserve">, </w:t>
      </w:r>
      <w:r w:rsidRPr="00F415B1">
        <w:rPr>
          <w:lang w:val="en-US"/>
        </w:rPr>
        <w:t xml:space="preserve">and the </w:t>
      </w:r>
      <w:r w:rsidRPr="00F415B1">
        <w:t xml:space="preserve">PDCCH candidate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CI,2</m:t>
                </m:r>
              </m:sub>
            </m:sSub>
          </m:sub>
          <m:sup>
            <m:r>
              <w:rPr>
                <w:rFonts w:ascii="Cambria Math" w:hAnsi="Cambria Math"/>
              </w:rPr>
              <m:t>(16)</m:t>
            </m:r>
          </m:sup>
        </m:sSubSup>
      </m:oMath>
      <w:r w:rsidRPr="00F415B1">
        <w:rPr>
          <w:lang w:val="en-US"/>
        </w:rPr>
        <w:t>, or one of the</w:t>
      </w:r>
      <w:r w:rsidRPr="00F415B1">
        <w:t xml:space="preserve"> PDCCH candidat</w:t>
      </w:r>
      <w:r w:rsidRPr="00F415B1">
        <w:rPr>
          <w:lang w:val="en-US"/>
        </w:rPr>
        <w:t>es</w:t>
      </w:r>
      <w:r w:rsidRPr="00F415B1">
        <w:t xml:space="preserve">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CI,1</m:t>
                </m:r>
              </m:sub>
            </m:sSub>
          </m:sub>
          <m:sup>
            <m:r>
              <w:rPr>
                <w:rFonts w:ascii="Cambria Math" w:hAnsi="Cambria Math"/>
              </w:rPr>
              <m:t>(16)</m:t>
            </m:r>
          </m:sup>
        </m:sSubSup>
      </m:oMath>
      <w:r w:rsidRPr="00F415B1">
        <w:rPr>
          <w:lang w:val="en-US"/>
        </w:rPr>
        <w:t xml:space="preserve"> and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CI,1</m:t>
                </m:r>
              </m:sub>
            </m:sSub>
          </m:sub>
          <m:sup>
            <m:r>
              <w:rPr>
                <w:rFonts w:ascii="Cambria Math" w:hAnsi="Cambria Math"/>
              </w:rPr>
              <m:t>(16)</m:t>
            </m:r>
          </m:sup>
        </m:sSubSup>
      </m:oMath>
      <w:r w:rsidRPr="00F415B1">
        <w:t xml:space="preserve">, </w:t>
      </w:r>
      <w:r w:rsidRPr="00F415B1">
        <w:rPr>
          <w:lang w:val="en-US"/>
        </w:rPr>
        <w:t xml:space="preserve">and the </w:t>
      </w:r>
      <w:r w:rsidRPr="00F415B1">
        <w:t xml:space="preserve">PDCCH candidate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CI,2</m:t>
                </m:r>
              </m:sub>
            </m:sSub>
          </m:sub>
          <m:sup>
            <m:r>
              <w:rPr>
                <w:rFonts w:ascii="Cambria Math" w:hAnsi="Cambria Math"/>
              </w:rPr>
              <m:t>(8)</m:t>
            </m:r>
          </m:sup>
        </m:sSubSup>
      </m:oMath>
      <w:r w:rsidRPr="00F415B1">
        <w:rPr>
          <w:lang w:val="en-US"/>
        </w:rPr>
        <w:t>, have a first</w:t>
      </w:r>
      <w:r w:rsidRPr="00F415B1">
        <w:t xml:space="preserve"> CCE</w:t>
      </w:r>
      <w:r w:rsidRPr="00F415B1">
        <w:rPr>
          <w:lang w:val="en-US"/>
        </w:rPr>
        <w:t xml:space="preserve"> with same index</w:t>
      </w:r>
      <w:r w:rsidRPr="00F415B1">
        <w:t xml:space="preserve"> </w:t>
      </w:r>
      <w:r w:rsidRPr="00F415B1">
        <w:rPr>
          <w:lang w:val="en-US"/>
        </w:rPr>
        <w:t xml:space="preserve">and are simultaneously monitored </w:t>
      </w:r>
      <w:r w:rsidRPr="00F415B1">
        <w:t xml:space="preserve">in a CORESET </w:t>
      </w:r>
      <m:oMath>
        <m:r>
          <w:rPr>
            <w:rFonts w:ascii="Cambria Math" w:hAnsi="Cambria Math"/>
          </w:rPr>
          <m:t>p</m:t>
        </m:r>
      </m:oMath>
      <w:r w:rsidRPr="00F415B1">
        <w:t xml:space="preserve"> with </w:t>
      </w:r>
      <w:r w:rsidRPr="00F415B1">
        <w:rPr>
          <w:i/>
          <w:lang w:val="en-GB"/>
        </w:rPr>
        <w:t>cce-REG-MappingType</w:t>
      </w:r>
      <w:r w:rsidRPr="00F415B1">
        <w:rPr>
          <w:lang w:val="en-GB"/>
        </w:rPr>
        <w:t xml:space="preserve"> </w:t>
      </w:r>
      <w:r w:rsidRPr="00F415B1">
        <w:t xml:space="preserve">= </w:t>
      </w:r>
      <w:r w:rsidR="005E3B15">
        <w:t>'</w:t>
      </w:r>
      <w:r w:rsidRPr="00F415B1">
        <w:rPr>
          <w:i/>
          <w:lang w:val="en-GB"/>
        </w:rPr>
        <w:t>nonInterleaved</w:t>
      </w:r>
      <w:r w:rsidR="005E3B15">
        <w:t>'</w:t>
      </w:r>
      <w:r w:rsidRPr="00F415B1">
        <w:t xml:space="preserve"> and duration of one symbol</w:t>
      </w:r>
      <w:r w:rsidRPr="00F415B1">
        <w:rPr>
          <w:lang w:val="en-US"/>
        </w:rPr>
        <w:t>,</w:t>
      </w:r>
    </w:p>
    <w:p w14:paraId="75B8650C" w14:textId="77777777" w:rsidR="00D867E6" w:rsidRPr="00F415B1" w:rsidRDefault="00D867E6" w:rsidP="00BA4F7A">
      <w:pPr>
        <w:rPr>
          <w:lang w:val="en-US"/>
        </w:rPr>
      </w:pPr>
      <w:r w:rsidRPr="00F415B1">
        <w:rPr>
          <w:lang w:val="en-US"/>
        </w:rPr>
        <w:t>the UE assumes that a detected DCI format is the first DCI format.</w:t>
      </w:r>
    </w:p>
    <w:p w14:paraId="3E097279" w14:textId="55908F8D" w:rsidR="00D867E6" w:rsidRPr="00F415B1" w:rsidRDefault="00D867E6" w:rsidP="00BA4F7A">
      <w:r w:rsidRPr="00F415B1">
        <w:t xml:space="preserve">For search space sets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047C72">
        <w:t xml:space="preserve"> and</w:t>
      </w:r>
      <w:r w:rsidRPr="00F415B1">
        <w:t xml:space="preserve">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F415B1">
        <w:t xml:space="preserve">, </w:t>
      </w:r>
      <w:r w:rsidR="00047C72" w:rsidRPr="00F415B1">
        <w:t xml:space="preserve">that include </w:t>
      </w:r>
      <w:r w:rsidR="00047C72" w:rsidRPr="00F415B1">
        <w:rPr>
          <w:i/>
          <w:lang w:val="en-US"/>
        </w:rPr>
        <w:t>searchSpaceLinking</w:t>
      </w:r>
      <w:r w:rsidR="00047C72">
        <w:rPr>
          <w:i/>
          <w:lang w:val="en-US"/>
        </w:rPr>
        <w:t>Id</w:t>
      </w:r>
      <w:r w:rsidR="00047C72" w:rsidRPr="00F415B1">
        <w:rPr>
          <w:iCs/>
        </w:rPr>
        <w:t xml:space="preserve"> with </w:t>
      </w:r>
      <w:r w:rsidR="00047C72">
        <w:rPr>
          <w:iCs/>
        </w:rPr>
        <w:t xml:space="preserve">same </w:t>
      </w:r>
      <w:r w:rsidR="00047C72" w:rsidRPr="00F415B1">
        <w:rPr>
          <w:iCs/>
        </w:rPr>
        <w:t>value</w:t>
      </w:r>
      <w:r w:rsidR="00047C72" w:rsidRPr="00F415B1">
        <w:t>,</w:t>
      </w:r>
      <w:r w:rsidR="00047C72">
        <w:t xml:space="preserve"> and for search space sets </w:t>
      </w:r>
      <m:oMath>
        <m:sSub>
          <m:sSubPr>
            <m:ctrlPr>
              <w:rPr>
                <w:rFonts w:ascii="Cambria Math" w:hAnsi="Cambria Math"/>
                <w:i/>
              </w:rPr>
            </m:ctrlPr>
          </m:sSubPr>
          <m:e>
            <m:r>
              <w:rPr>
                <w:rFonts w:ascii="Cambria Math" w:hAnsi="Cambria Math"/>
              </w:rPr>
              <m:t>s</m:t>
            </m:r>
          </m:e>
          <m:sub>
            <m:r>
              <w:rPr>
                <w:rFonts w:ascii="Cambria Math" w:hAnsi="Cambria Math"/>
              </w:rPr>
              <m:t>k</m:t>
            </m:r>
          </m:sub>
        </m:sSub>
      </m:oMath>
      <w:r w:rsidRPr="00F415B1">
        <w:t xml:space="preserve"> and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rsidRPr="00F415B1">
        <w:t xml:space="preserve"> that include </w:t>
      </w:r>
      <w:r w:rsidRPr="00F415B1">
        <w:rPr>
          <w:i/>
          <w:lang w:val="en-US"/>
        </w:rPr>
        <w:t>searchSpaceLinking</w:t>
      </w:r>
      <w:r w:rsidR="00047C72">
        <w:rPr>
          <w:i/>
          <w:lang w:val="en-US"/>
        </w:rPr>
        <w:t>Id</w:t>
      </w:r>
      <w:r w:rsidRPr="00F415B1">
        <w:rPr>
          <w:iCs/>
        </w:rPr>
        <w:t xml:space="preserve"> with </w:t>
      </w:r>
      <w:r w:rsidR="00047C72">
        <w:rPr>
          <w:iCs/>
        </w:rPr>
        <w:t xml:space="preserve">same </w:t>
      </w:r>
      <w:r w:rsidRPr="00F415B1">
        <w:rPr>
          <w:iCs/>
        </w:rPr>
        <w:t>value</w:t>
      </w:r>
      <w:r w:rsidRPr="00F415B1">
        <w:t>, and for detection of DCI formats with same size,</w:t>
      </w:r>
      <w:r w:rsidRPr="00F415B1">
        <w:rPr>
          <w:iCs/>
          <w:lang w:val="en-US"/>
        </w:rPr>
        <w:t xml:space="preserve"> a UE expects different CCEs or different scrambling in a </w:t>
      </w:r>
      <w:r w:rsidRPr="00F415B1">
        <w:t xml:space="preserve">CORESET </w:t>
      </w:r>
      <m:oMath>
        <m:r>
          <w:rPr>
            <w:rFonts w:ascii="Cambria Math" w:hAnsi="Cambria Math"/>
          </w:rPr>
          <m:t>p</m:t>
        </m:r>
      </m:oMath>
      <w:r w:rsidRPr="00F415B1">
        <w:rPr>
          <w:iCs/>
          <w:lang w:val="en-US"/>
        </w:rPr>
        <w:t xml:space="preserve"> for any of first </w:t>
      </w:r>
      <w:r w:rsidRPr="00F415B1">
        <w:t xml:space="preserve">PDCCH candidates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CI,1</m:t>
                </m:r>
              </m:sub>
            </m:sSub>
          </m:sub>
          <m:sup>
            <m:r>
              <w:rPr>
                <w:rFonts w:ascii="Cambria Math" w:hAnsi="Cambria Math"/>
              </w:rPr>
              <m:t>(L)</m:t>
            </m:r>
          </m:sup>
        </m:sSubSup>
      </m:oMath>
      <w:r w:rsidRPr="00F415B1">
        <w:t xml:space="preserve"> and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CI,1</m:t>
                </m:r>
              </m:sub>
            </m:sSub>
          </m:sub>
          <m:sup>
            <m:r>
              <w:rPr>
                <w:rFonts w:ascii="Cambria Math" w:hAnsi="Cambria Math"/>
              </w:rPr>
              <m:t>(L)</m:t>
            </m:r>
          </m:sup>
        </m:sSubSup>
      </m:oMath>
      <w:r w:rsidRPr="00F415B1">
        <w:t xml:space="preserve">, with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CI,1</m:t>
                </m:r>
              </m:sub>
            </m:sSub>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CI,1</m:t>
                </m:r>
              </m:sub>
            </m:sSub>
          </m:sub>
          <m:sup>
            <m:r>
              <w:rPr>
                <w:rFonts w:ascii="Cambria Math" w:hAnsi="Cambria Math"/>
              </w:rPr>
              <m:t>(L)</m:t>
            </m:r>
          </m:sup>
        </m:sSubSup>
      </m:oMath>
      <w:r w:rsidRPr="00F415B1">
        <w:t xml:space="preserve">, and any of second PDCCH candidates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CI,2</m:t>
                </m:r>
              </m:sub>
            </m:sSub>
          </m:sub>
          <m:sup>
            <m:r>
              <w:rPr>
                <w:rFonts w:ascii="Cambria Math" w:hAnsi="Cambria Math"/>
              </w:rPr>
              <m:t>(L)</m:t>
            </m:r>
          </m:sup>
        </m:sSubSup>
      </m:oMath>
      <w:r w:rsidRPr="00F415B1">
        <w:t xml:space="preserve"> and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CI,2</m:t>
                </m:r>
              </m:sub>
            </m:sSub>
          </m:sub>
          <m:sup>
            <m:r>
              <w:rPr>
                <w:rFonts w:ascii="Cambria Math" w:hAnsi="Cambria Math"/>
              </w:rPr>
              <m:t>(L)</m:t>
            </m:r>
          </m:sup>
        </m:sSubSup>
      </m:oMath>
      <w:r w:rsidRPr="00F415B1">
        <w:t xml:space="preserve">, with </w:t>
      </w:r>
      <m:oMath>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CI,2</m:t>
                </m:r>
              </m:sub>
            </m:sSub>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m</m:t>
            </m:r>
          </m:e>
          <m:sub>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CI,2</m:t>
                </m:r>
              </m:sub>
            </m:sSub>
          </m:sub>
          <m:sup>
            <m:r>
              <w:rPr>
                <w:rFonts w:ascii="Cambria Math" w:hAnsi="Cambria Math"/>
              </w:rPr>
              <m:t>(L)</m:t>
            </m:r>
          </m:sup>
        </m:sSubSup>
      </m:oMath>
      <w:r w:rsidRPr="00F415B1">
        <w:t xml:space="preserve"> that the UE would simultaneously monitor.</w:t>
      </w:r>
    </w:p>
    <w:p w14:paraId="31C08DA2" w14:textId="7EFE0185" w:rsidR="00193A26" w:rsidRPr="00D20E88" w:rsidRDefault="00193A26" w:rsidP="00BA4F7A">
      <w:r w:rsidRPr="00D20E88">
        <w:t xml:space="preserve">Table 10.1-2 provides the maximum number of monitored PDCCH candidates, </w:t>
      </w:r>
      <m:oMath>
        <m:sSubSup>
          <m:sSubSupPr>
            <m:ctrlPr>
              <w:rPr>
                <w:rFonts w:ascii="Cambria Math" w:hAnsi="Cambria Math"/>
                <w:i/>
                <w:sz w:val="18"/>
                <w:szCs w:val="18"/>
                <w:lang w:eastAsia="zh-CN"/>
              </w:rPr>
            </m:ctrlPr>
          </m:sSubSupPr>
          <m:e>
            <m:r>
              <w:rPr>
                <w:rFonts w:ascii="Cambria Math" w:hAnsi="Cambria Math"/>
                <w:lang w:eastAsia="zh-CN"/>
              </w:rPr>
              <m:t>M</m:t>
            </m:r>
          </m:e>
          <m:sub>
            <m:r>
              <m:rPr>
                <m:sty m:val="p"/>
              </m:rPr>
              <w:rPr>
                <w:rFonts w:ascii="Cambria Math" w:hAnsi="Cambria Math"/>
                <w:lang w:eastAsia="zh-CN"/>
              </w:rPr>
              <m:t>PDCCH</m:t>
            </m:r>
          </m:sub>
          <m:sup>
            <m:r>
              <w:rPr>
                <w:rFonts w:ascii="Cambria Math" w:hAnsi="Cambria Math"/>
                <w:lang w:eastAsia="zh-CN"/>
              </w:rPr>
              <m:t>max,slot,μ</m:t>
            </m:r>
          </m:sup>
        </m:sSubSup>
      </m:oMath>
      <w:r w:rsidRPr="00D20E88">
        <w:t xml:space="preserve">, </w:t>
      </w:r>
      <w:r w:rsidR="00BC7FF5">
        <w:t xml:space="preserve">per slot </w:t>
      </w:r>
      <w:r w:rsidRPr="00D20E88">
        <w:t xml:space="preserve">for </w:t>
      </w:r>
      <w:r w:rsidR="00734E45" w:rsidRPr="00D20E88">
        <w:t xml:space="preserve">a </w:t>
      </w:r>
      <w:r w:rsidR="00BC7FF5">
        <w:t xml:space="preserve">UE in a </w:t>
      </w:r>
      <w:r w:rsidR="00734E45" w:rsidRPr="00D20E88">
        <w:t>DL BWP with</w:t>
      </w:r>
      <w:r w:rsidRPr="00D20E88">
        <w:t xml:space="preserve"> </w:t>
      </w:r>
      <w:r w:rsidR="00734E45">
        <w:t>SCS</w:t>
      </w:r>
      <w:r w:rsidRPr="00D20E88">
        <w:t xml:space="preserve"> configuration </w:t>
      </w:r>
      <m:oMath>
        <m:r>
          <w:rPr>
            <w:rFonts w:ascii="Cambria Math" w:hAnsi="Cambria Math"/>
            <w:lang w:eastAsia="zh-CN"/>
          </w:rPr>
          <m:t>μ</m:t>
        </m:r>
      </m:oMath>
      <w:r w:rsidRPr="00D20E88">
        <w:t xml:space="preserve"> for operation with a single serving cell.</w:t>
      </w:r>
    </w:p>
    <w:p w14:paraId="4306483C" w14:textId="55FB6F07" w:rsidR="009919DB" w:rsidRPr="00B916EC" w:rsidRDefault="009919DB" w:rsidP="009919DB">
      <w:pPr>
        <w:pStyle w:val="TH"/>
      </w:pPr>
      <w:r>
        <w:t>Table 10.1-2</w:t>
      </w:r>
      <w:r w:rsidRPr="00B916EC">
        <w:t xml:space="preserve">: </w:t>
      </w:r>
      <w:r>
        <w:t xml:space="preserve">Maximum number </w:t>
      </w:r>
      <m:oMath>
        <m:sSubSup>
          <m:sSubSupPr>
            <m:ctrlPr>
              <w:rPr>
                <w:rFonts w:ascii="Cambria Math" w:hAnsi="Cambria Math"/>
                <w:i/>
                <w:sz w:val="18"/>
                <w:szCs w:val="18"/>
                <w:lang w:eastAsia="zh-CN"/>
              </w:rPr>
            </m:ctrlPr>
          </m:sSubSupPr>
          <m:e>
            <m:r>
              <m:rPr>
                <m:sty m:val="bi"/>
              </m:rPr>
              <w:rPr>
                <w:rFonts w:ascii="Cambria Math" w:hAnsi="Cambria Math"/>
                <w:lang w:eastAsia="zh-CN"/>
              </w:rPr>
              <m:t>M</m:t>
            </m:r>
          </m:e>
          <m:sub>
            <m:r>
              <m:rPr>
                <m:sty m:val="b"/>
              </m:rPr>
              <w:rPr>
                <w:rFonts w:ascii="Cambria Math" w:hAnsi="Cambria Math"/>
                <w:lang w:eastAsia="zh-CN"/>
              </w:rPr>
              <m:t>PDCCH</m:t>
            </m:r>
          </m:sub>
          <m:sup>
            <m:r>
              <m:rPr>
                <m:sty m:val="bi"/>
              </m:rPr>
              <w:rPr>
                <w:rFonts w:ascii="Cambria Math" w:hAnsi="Cambria Math"/>
                <w:lang w:eastAsia="zh-CN"/>
              </w:rPr>
              <m:t>max,slot,μ</m:t>
            </m:r>
          </m:sup>
        </m:sSubSup>
      </m:oMath>
      <w:r>
        <w:t xml:space="preserve"> of monitored PDCCH candidates per slot for</w:t>
      </w:r>
      <w:r w:rsidR="00734E45">
        <w:t xml:space="preserve"> a DL BWP with</w:t>
      </w:r>
      <w:r>
        <w:t xml:space="preserve"> </w:t>
      </w:r>
      <w:r w:rsidR="00143099">
        <w:t>SCS</w:t>
      </w:r>
      <w:r>
        <w:t xml:space="preserve"> configuration </w:t>
      </w:r>
      <m:oMath>
        <m:r>
          <m:rPr>
            <m:sty m:val="bi"/>
          </m:rPr>
          <w:rPr>
            <w:rFonts w:ascii="Cambria Math" w:hAnsi="Cambria Math"/>
            <w:lang w:eastAsia="zh-CN"/>
          </w:rPr>
          <m:t>μ∈</m:t>
        </m:r>
        <m:d>
          <m:dPr>
            <m:begChr m:val="{"/>
            <m:endChr m:val="}"/>
            <m:ctrlPr>
              <w:rPr>
                <w:rFonts w:ascii="Cambria Math" w:hAnsi="Cambria Math"/>
                <w:i/>
                <w:sz w:val="24"/>
                <w:szCs w:val="24"/>
                <w:lang w:eastAsia="zh-CN"/>
              </w:rPr>
            </m:ctrlPr>
          </m:dPr>
          <m:e>
            <m:r>
              <m:rPr>
                <m:sty m:val="bi"/>
              </m:rPr>
              <w:rPr>
                <w:rFonts w:ascii="Cambria Math" w:hAnsi="Cambria Math"/>
                <w:lang w:eastAsia="zh-CN"/>
              </w:rPr>
              <m:t>0, 1,2,3</m:t>
            </m:r>
          </m:e>
        </m:d>
      </m:oMath>
      <w:r>
        <w:t xml:space="preserve"> for a single serving 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465"/>
        <w:gridCol w:w="7800"/>
      </w:tblGrid>
      <w:tr w:rsidR="009919DB" w:rsidRPr="00B916EC" w14:paraId="53CD44D0" w14:textId="77777777" w:rsidTr="0019345E">
        <w:trPr>
          <w:cantSplit/>
          <w:jc w:val="center"/>
        </w:trPr>
        <w:tc>
          <w:tcPr>
            <w:tcW w:w="1465" w:type="dxa"/>
            <w:shd w:val="clear" w:color="auto" w:fill="E0E0E0"/>
            <w:vAlign w:val="center"/>
          </w:tcPr>
          <w:p w14:paraId="630DEB1B" w14:textId="29DF33B0" w:rsidR="009919DB" w:rsidRPr="00B916EC" w:rsidRDefault="00810527" w:rsidP="0019345E">
            <w:pPr>
              <w:pStyle w:val="TAH"/>
              <w:rPr>
                <w:rFonts w:ascii="Times New Roman" w:hAnsi="Times New Roman"/>
                <w:sz w:val="20"/>
              </w:rPr>
            </w:pPr>
            <m:oMathPara>
              <m:oMath>
                <m:r>
                  <m:rPr>
                    <m:sty m:val="bi"/>
                  </m:rPr>
                  <w:rPr>
                    <w:rFonts w:ascii="Cambria Math" w:hAnsi="Cambria Math"/>
                    <w:lang w:eastAsia="zh-CN"/>
                  </w:rPr>
                  <m:t>μ</m:t>
                </m:r>
              </m:oMath>
            </m:oMathPara>
          </w:p>
        </w:tc>
        <w:tc>
          <w:tcPr>
            <w:tcW w:w="7800" w:type="dxa"/>
            <w:shd w:val="clear" w:color="auto" w:fill="E0E0E0"/>
            <w:vAlign w:val="center"/>
          </w:tcPr>
          <w:p w14:paraId="28014553" w14:textId="72CEC019" w:rsidR="009919DB" w:rsidRPr="00B916EC" w:rsidRDefault="009919DB" w:rsidP="0019345E">
            <w:pPr>
              <w:pStyle w:val="TAH"/>
              <w:rPr>
                <w:rFonts w:ascii="Times New Roman" w:hAnsi="Times New Roman"/>
                <w:sz w:val="20"/>
              </w:rPr>
            </w:pPr>
            <w:r>
              <w:t>Maximum n</w:t>
            </w:r>
            <w:r w:rsidRPr="00B916EC">
              <w:t xml:space="preserve">umber of </w:t>
            </w:r>
            <w:r>
              <w:t>monitored PDCCH c</w:t>
            </w:r>
            <w:r w:rsidRPr="00B916EC">
              <w:t>andidates</w:t>
            </w:r>
            <w:r>
              <w:t xml:space="preserve"> per slot and per serving cell </w:t>
            </w:r>
            <m:oMath>
              <m:sSubSup>
                <m:sSubSupPr>
                  <m:ctrlPr>
                    <w:rPr>
                      <w:rFonts w:ascii="Cambria Math" w:hAnsi="Cambria Math"/>
                      <w:i/>
                      <w:sz w:val="24"/>
                      <w:szCs w:val="24"/>
                      <w:lang w:eastAsia="zh-CN"/>
                    </w:rPr>
                  </m:ctrlPr>
                </m:sSubSupPr>
                <m:e>
                  <m:r>
                    <m:rPr>
                      <m:sty m:val="bi"/>
                    </m:rPr>
                    <w:rPr>
                      <w:rFonts w:ascii="Cambria Math" w:hAnsi="Cambria Math"/>
                      <w:lang w:eastAsia="zh-CN"/>
                    </w:rPr>
                    <m:t>M</m:t>
                  </m:r>
                </m:e>
                <m:sub>
                  <m:r>
                    <m:rPr>
                      <m:sty m:val="b"/>
                    </m:rPr>
                    <w:rPr>
                      <w:rFonts w:ascii="Cambria Math" w:hAnsi="Cambria Math"/>
                      <w:lang w:eastAsia="zh-CN"/>
                    </w:rPr>
                    <m:t>PDCCH</m:t>
                  </m:r>
                </m:sub>
                <m:sup>
                  <m:r>
                    <m:rPr>
                      <m:sty m:val="bi"/>
                    </m:rPr>
                    <w:rPr>
                      <w:rFonts w:ascii="Cambria Math" w:hAnsi="Cambria Math"/>
                      <w:lang w:eastAsia="zh-CN"/>
                    </w:rPr>
                    <m:t>max,slot,μ</m:t>
                  </m:r>
                </m:sup>
              </m:sSubSup>
            </m:oMath>
          </w:p>
        </w:tc>
      </w:tr>
      <w:tr w:rsidR="009919DB" w:rsidRPr="00B916EC" w14:paraId="7F63B68A" w14:textId="77777777" w:rsidTr="0019345E">
        <w:trPr>
          <w:cantSplit/>
          <w:jc w:val="center"/>
        </w:trPr>
        <w:tc>
          <w:tcPr>
            <w:tcW w:w="1465" w:type="dxa"/>
            <w:vAlign w:val="center"/>
          </w:tcPr>
          <w:p w14:paraId="04D5BA3B" w14:textId="77777777" w:rsidR="009919DB" w:rsidRPr="00B916EC" w:rsidRDefault="009919DB" w:rsidP="0019345E">
            <w:pPr>
              <w:pStyle w:val="TAC"/>
            </w:pPr>
            <w:r>
              <w:t>0</w:t>
            </w:r>
          </w:p>
        </w:tc>
        <w:tc>
          <w:tcPr>
            <w:tcW w:w="7800" w:type="dxa"/>
            <w:vAlign w:val="center"/>
          </w:tcPr>
          <w:p w14:paraId="165614AC" w14:textId="77777777" w:rsidR="009919DB" w:rsidRPr="00B916EC" w:rsidRDefault="009919DB" w:rsidP="0019345E">
            <w:pPr>
              <w:pStyle w:val="TAC"/>
            </w:pPr>
            <w:r w:rsidRPr="00B916EC">
              <w:t>4</w:t>
            </w:r>
            <w:r>
              <w:t>4</w:t>
            </w:r>
          </w:p>
        </w:tc>
      </w:tr>
      <w:tr w:rsidR="009919DB" w:rsidRPr="00B916EC" w14:paraId="12C9FD34" w14:textId="77777777" w:rsidTr="0019345E">
        <w:trPr>
          <w:cantSplit/>
          <w:jc w:val="center"/>
        </w:trPr>
        <w:tc>
          <w:tcPr>
            <w:tcW w:w="1465" w:type="dxa"/>
            <w:vAlign w:val="center"/>
          </w:tcPr>
          <w:p w14:paraId="2F5EC4D8" w14:textId="77777777" w:rsidR="009919DB" w:rsidRPr="00B916EC" w:rsidRDefault="009919DB" w:rsidP="0019345E">
            <w:pPr>
              <w:pStyle w:val="TAC"/>
            </w:pPr>
            <w:r>
              <w:t>1</w:t>
            </w:r>
          </w:p>
        </w:tc>
        <w:tc>
          <w:tcPr>
            <w:tcW w:w="7800" w:type="dxa"/>
            <w:vAlign w:val="center"/>
          </w:tcPr>
          <w:p w14:paraId="61B25DEB" w14:textId="77777777" w:rsidR="009919DB" w:rsidRPr="00B916EC" w:rsidRDefault="009919DB" w:rsidP="0019345E">
            <w:pPr>
              <w:pStyle w:val="TAC"/>
            </w:pPr>
            <w:r>
              <w:t>36</w:t>
            </w:r>
          </w:p>
        </w:tc>
      </w:tr>
      <w:tr w:rsidR="009919DB" w:rsidRPr="00B916EC" w14:paraId="4D50FD59" w14:textId="77777777" w:rsidTr="0019345E">
        <w:trPr>
          <w:cantSplit/>
          <w:jc w:val="center"/>
        </w:trPr>
        <w:tc>
          <w:tcPr>
            <w:tcW w:w="1465" w:type="dxa"/>
            <w:vAlign w:val="center"/>
          </w:tcPr>
          <w:p w14:paraId="6A037EE4" w14:textId="77777777" w:rsidR="009919DB" w:rsidRPr="00B916EC" w:rsidRDefault="009919DB" w:rsidP="0019345E">
            <w:pPr>
              <w:pStyle w:val="TAC"/>
            </w:pPr>
            <w:r>
              <w:t>2</w:t>
            </w:r>
          </w:p>
        </w:tc>
        <w:tc>
          <w:tcPr>
            <w:tcW w:w="7800" w:type="dxa"/>
            <w:vAlign w:val="center"/>
          </w:tcPr>
          <w:p w14:paraId="2327EA37" w14:textId="77777777" w:rsidR="009919DB" w:rsidRPr="00B916EC" w:rsidRDefault="009919DB" w:rsidP="0019345E">
            <w:pPr>
              <w:pStyle w:val="TAC"/>
            </w:pPr>
            <w:r>
              <w:t>22</w:t>
            </w:r>
          </w:p>
        </w:tc>
      </w:tr>
      <w:tr w:rsidR="009919DB" w:rsidRPr="00B916EC" w14:paraId="6FBDBFA6" w14:textId="77777777" w:rsidTr="0019345E">
        <w:trPr>
          <w:cantSplit/>
          <w:jc w:val="center"/>
        </w:trPr>
        <w:tc>
          <w:tcPr>
            <w:tcW w:w="1465" w:type="dxa"/>
            <w:vAlign w:val="center"/>
          </w:tcPr>
          <w:p w14:paraId="3714101B" w14:textId="77777777" w:rsidR="009919DB" w:rsidRDefault="009919DB" w:rsidP="0019345E">
            <w:pPr>
              <w:pStyle w:val="TAC"/>
            </w:pPr>
            <w:r>
              <w:t>3</w:t>
            </w:r>
          </w:p>
        </w:tc>
        <w:tc>
          <w:tcPr>
            <w:tcW w:w="7800" w:type="dxa"/>
            <w:vAlign w:val="center"/>
          </w:tcPr>
          <w:p w14:paraId="17BAAE4F" w14:textId="77777777" w:rsidR="009919DB" w:rsidRDefault="009919DB" w:rsidP="0019345E">
            <w:pPr>
              <w:pStyle w:val="TAC"/>
            </w:pPr>
            <w:r>
              <w:t>20</w:t>
            </w:r>
          </w:p>
        </w:tc>
      </w:tr>
    </w:tbl>
    <w:p w14:paraId="0F12E5F9" w14:textId="77777777" w:rsidR="00BA4F7A" w:rsidRDefault="00BA4F7A" w:rsidP="00D833E5"/>
    <w:p w14:paraId="0639FB21" w14:textId="7D8915B6" w:rsidR="00BC7FF5" w:rsidRPr="00D20E88" w:rsidRDefault="00BC7FF5" w:rsidP="00D833E5">
      <w:r w:rsidRPr="00D20E88">
        <w:t>Table 10.1-2</w:t>
      </w:r>
      <w:r>
        <w:t>A</w:t>
      </w:r>
      <w:r w:rsidRPr="00D20E88">
        <w:t xml:space="preserve"> provides the maximum number of monitored PDCCH candidates, </w:t>
      </w:r>
      <m:oMath>
        <m:sSubSup>
          <m:sSubSupPr>
            <m:ctrlPr>
              <w:rPr>
                <w:rFonts w:ascii="Cambria Math" w:hAnsi="Cambria Math"/>
                <w:i/>
                <w:sz w:val="18"/>
                <w:lang w:eastAsia="zh-CN"/>
              </w:rPr>
            </m:ctrlPr>
          </m:sSubSupPr>
          <m:e>
            <m:r>
              <w:rPr>
                <w:rFonts w:ascii="Cambria Math" w:hAnsi="Cambria Math"/>
                <w:lang w:eastAsia="zh-CN"/>
              </w:rPr>
              <m:t>M</m:t>
            </m:r>
          </m:e>
          <m:sub>
            <m:r>
              <m:rPr>
                <m:sty m:val="p"/>
              </m:rPr>
              <w:rPr>
                <w:rFonts w:ascii="Cambria Math" w:hAnsi="Cambria Math"/>
                <w:lang w:eastAsia="zh-CN"/>
              </w:rPr>
              <m:t>PDCCH</m:t>
            </m:r>
          </m:sub>
          <m:sup>
            <m:r>
              <w:rPr>
                <w:rFonts w:ascii="Cambria Math" w:hAnsi="Cambria Math"/>
                <w:lang w:eastAsia="zh-CN"/>
              </w:rPr>
              <m:t>max,</m:t>
            </m:r>
            <m:d>
              <m:dPr>
                <m:ctrlPr>
                  <w:rPr>
                    <w:rFonts w:ascii="Cambria Math" w:hAnsi="Cambria Math"/>
                    <w:i/>
                    <w:lang w:eastAsia="zh-CN"/>
                  </w:rPr>
                </m:ctrlPr>
              </m:dPr>
              <m:e>
                <m:r>
                  <w:rPr>
                    <w:rFonts w:ascii="Cambria Math" w:hAnsi="Cambria Math"/>
                    <w:lang w:eastAsia="zh-CN"/>
                  </w:rPr>
                  <m:t>X,Y</m:t>
                </m:r>
              </m:e>
            </m:d>
            <m:r>
              <w:rPr>
                <w:rFonts w:ascii="Cambria Math" w:hAnsi="Cambria Math"/>
                <w:lang w:eastAsia="zh-CN"/>
              </w:rPr>
              <m:t>,μ</m:t>
            </m:r>
          </m:sup>
        </m:sSubSup>
      </m:oMath>
      <w:r>
        <w:t xml:space="preserve">, per span </w:t>
      </w:r>
      <w:r w:rsidRPr="00D20E88">
        <w:t xml:space="preserve">for a </w:t>
      </w:r>
      <w:r>
        <w:t xml:space="preserve">UE in a </w:t>
      </w:r>
      <w:r w:rsidRPr="00D20E88">
        <w:t xml:space="preserve">DL BWP with </w:t>
      </w:r>
      <w:r>
        <w:t>SCS</w:t>
      </w:r>
      <w:r w:rsidRPr="00D20E88">
        <w:t xml:space="preserve"> configuration </w:t>
      </w:r>
      <m:oMath>
        <m:r>
          <w:rPr>
            <w:rFonts w:ascii="Cambria Math" w:hAnsi="Cambria Math"/>
            <w:lang w:eastAsia="zh-CN"/>
          </w:rPr>
          <m:t>μ</m:t>
        </m:r>
      </m:oMath>
      <w:r>
        <w:t xml:space="preserve"> </w:t>
      </w:r>
      <w:r w:rsidRPr="00D20E88">
        <w:t>for operation with a single serving cell.</w:t>
      </w:r>
    </w:p>
    <w:p w14:paraId="7963CC98" w14:textId="7AD72294" w:rsidR="00BC7FF5" w:rsidRPr="00B916EC" w:rsidRDefault="00BC7FF5" w:rsidP="00BC7FF5">
      <w:pPr>
        <w:pStyle w:val="TH"/>
      </w:pPr>
      <w:r>
        <w:t>Table 10.1-2A</w:t>
      </w:r>
      <w:r w:rsidRPr="00B916EC">
        <w:t xml:space="preserve">: </w:t>
      </w:r>
      <w:r>
        <w:t xml:space="preserve">Maximum number </w:t>
      </w:r>
      <m:oMath>
        <m:sSubSup>
          <m:sSubSupPr>
            <m:ctrlPr>
              <w:rPr>
                <w:rFonts w:ascii="Cambria Math" w:hAnsi="Cambria Math"/>
                <w:i/>
                <w:sz w:val="18"/>
                <w:lang w:eastAsia="zh-CN"/>
              </w:rPr>
            </m:ctrlPr>
          </m:sSubSupPr>
          <m:e>
            <m:r>
              <m:rPr>
                <m:sty m:val="bi"/>
              </m:rPr>
              <w:rPr>
                <w:rFonts w:ascii="Cambria Math" w:hAnsi="Cambria Math"/>
                <w:lang w:eastAsia="zh-CN"/>
              </w:rPr>
              <m:t>M</m:t>
            </m:r>
          </m:e>
          <m:sub>
            <m:r>
              <m:rPr>
                <m:sty m:val="b"/>
              </m:rPr>
              <w:rPr>
                <w:rFonts w:ascii="Cambria Math" w:hAnsi="Cambria Math"/>
                <w:lang w:eastAsia="zh-CN"/>
              </w:rPr>
              <m:t>PDCCH</m:t>
            </m:r>
          </m:sub>
          <m:sup>
            <m:r>
              <m:rPr>
                <m:sty m:val="bi"/>
              </m:rPr>
              <w:rPr>
                <w:rFonts w:ascii="Cambria Math" w:hAnsi="Cambria Math"/>
                <w:lang w:eastAsia="zh-CN"/>
              </w:rPr>
              <m:t>max,</m:t>
            </m:r>
            <m:d>
              <m:dPr>
                <m:ctrlPr>
                  <w:rPr>
                    <w:rFonts w:ascii="Cambria Math" w:hAnsi="Cambria Math"/>
                    <w:i/>
                    <w:lang w:eastAsia="zh-CN"/>
                  </w:rPr>
                </m:ctrlPr>
              </m:dPr>
              <m:e>
                <m:r>
                  <m:rPr>
                    <m:sty m:val="bi"/>
                  </m:rPr>
                  <w:rPr>
                    <w:rFonts w:ascii="Cambria Math" w:hAnsi="Cambria Math"/>
                    <w:lang w:eastAsia="zh-CN"/>
                  </w:rPr>
                  <m:t>X,Y</m:t>
                </m:r>
              </m:e>
            </m:d>
            <m:r>
              <m:rPr>
                <m:sty m:val="bi"/>
              </m:rPr>
              <w:rPr>
                <w:rFonts w:ascii="Cambria Math" w:hAnsi="Cambria Math"/>
                <w:lang w:eastAsia="zh-CN"/>
              </w:rPr>
              <m:t>,μ</m:t>
            </m:r>
          </m:sup>
        </m:sSubSup>
      </m:oMath>
      <w:r>
        <w:t xml:space="preserve"> of monitored PDCCH candidates in a span </w:t>
      </w:r>
      <w:r w:rsidR="004D2526">
        <w:t>for combination</w:t>
      </w:r>
      <w:r>
        <w:t xml:space="preserve"> </w:t>
      </w:r>
      <m:oMath>
        <m:r>
          <m:rPr>
            <m:sty m:val="bi"/>
          </m:rPr>
          <w:rPr>
            <w:rFonts w:ascii="Cambria Math" w:hAnsi="Cambria Math"/>
          </w:rPr>
          <m:t>(</m:t>
        </m:r>
        <m:r>
          <m:rPr>
            <m:sty m:val="bi"/>
          </m:rPr>
          <w:rPr>
            <w:rFonts w:ascii="Cambria Math" w:hAnsi="Cambria Math"/>
            <w:lang w:eastAsia="zh-CN"/>
          </w:rPr>
          <m:t>X,Y)</m:t>
        </m:r>
      </m:oMath>
      <w:r>
        <w:t xml:space="preserve"> for a DL BWP with SCS configuration </w:t>
      </w:r>
      <m:oMath>
        <m:r>
          <m:rPr>
            <m:sty m:val="bi"/>
          </m:rPr>
          <w:rPr>
            <w:rFonts w:ascii="Cambria Math" w:hAnsi="Cambria Math"/>
            <w:lang w:eastAsia="zh-CN"/>
          </w:rPr>
          <m:t>μ∈</m:t>
        </m:r>
        <m:d>
          <m:dPr>
            <m:begChr m:val="{"/>
            <m:endChr m:val="}"/>
            <m:ctrlPr>
              <w:rPr>
                <w:rFonts w:ascii="Cambria Math" w:hAnsi="Cambria Math"/>
                <w:i/>
                <w:lang w:eastAsia="zh-CN"/>
              </w:rPr>
            </m:ctrlPr>
          </m:dPr>
          <m:e>
            <m:r>
              <m:rPr>
                <m:sty m:val="bi"/>
              </m:rPr>
              <w:rPr>
                <w:rFonts w:ascii="Cambria Math" w:hAnsi="Cambria Math"/>
                <w:lang w:eastAsia="zh-CN"/>
              </w:rPr>
              <m:t>0, 1</m:t>
            </m:r>
          </m:e>
        </m:d>
      </m:oMath>
      <w:r>
        <w:t xml:space="preserve"> for a single serving 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94"/>
        <w:gridCol w:w="1541"/>
        <w:gridCol w:w="1530"/>
        <w:gridCol w:w="1620"/>
      </w:tblGrid>
      <w:tr w:rsidR="00BC7FF5" w:rsidRPr="00B916EC" w14:paraId="233D5211" w14:textId="77777777" w:rsidTr="00B25F5D">
        <w:trPr>
          <w:cantSplit/>
          <w:jc w:val="center"/>
        </w:trPr>
        <w:tc>
          <w:tcPr>
            <w:tcW w:w="794" w:type="dxa"/>
            <w:shd w:val="clear" w:color="auto" w:fill="E0E0E0"/>
            <w:vAlign w:val="center"/>
          </w:tcPr>
          <w:p w14:paraId="04ACE3FB" w14:textId="77777777" w:rsidR="00BC7FF5" w:rsidRPr="00B916EC" w:rsidRDefault="00BC7FF5" w:rsidP="00810527">
            <w:pPr>
              <w:pStyle w:val="TAH"/>
              <w:rPr>
                <w:rFonts w:ascii="Times New Roman" w:hAnsi="Times New Roman"/>
                <w:sz w:val="20"/>
              </w:rPr>
            </w:pPr>
          </w:p>
        </w:tc>
        <w:tc>
          <w:tcPr>
            <w:tcW w:w="4691" w:type="dxa"/>
            <w:gridSpan w:val="3"/>
            <w:shd w:val="clear" w:color="auto" w:fill="E0E0E0"/>
          </w:tcPr>
          <w:p w14:paraId="77B2D90A" w14:textId="2E5CB3D1" w:rsidR="00BC7FF5" w:rsidRDefault="00BC7FF5" w:rsidP="00B25F5D">
            <w:pPr>
              <w:pStyle w:val="TAH"/>
            </w:pPr>
            <w:r>
              <w:t xml:space="preserve">Maximum number </w:t>
            </w:r>
            <m:oMath>
              <m:sSubSup>
                <m:sSubSupPr>
                  <m:ctrlPr>
                    <w:rPr>
                      <w:rFonts w:ascii="Cambria Math" w:hAnsi="Cambria Math"/>
                      <w:i/>
                      <w:lang w:eastAsia="zh-CN"/>
                    </w:rPr>
                  </m:ctrlPr>
                </m:sSubSupPr>
                <m:e>
                  <m:r>
                    <m:rPr>
                      <m:sty m:val="bi"/>
                    </m:rPr>
                    <w:rPr>
                      <w:rFonts w:ascii="Cambria Math" w:hAnsi="Cambria Math"/>
                      <w:lang w:eastAsia="zh-CN"/>
                    </w:rPr>
                    <m:t>M</m:t>
                  </m:r>
                </m:e>
                <m:sub>
                  <m:r>
                    <m:rPr>
                      <m:sty m:val="b"/>
                    </m:rPr>
                    <w:rPr>
                      <w:rFonts w:ascii="Cambria Math" w:hAnsi="Cambria Math"/>
                      <w:lang w:eastAsia="zh-CN"/>
                    </w:rPr>
                    <m:t>PDCCH</m:t>
                  </m:r>
                </m:sub>
                <m:sup>
                  <m:r>
                    <m:rPr>
                      <m:sty m:val="bi"/>
                    </m:rPr>
                    <w:rPr>
                      <w:rFonts w:ascii="Cambria Math" w:hAnsi="Cambria Math"/>
                      <w:lang w:eastAsia="zh-CN"/>
                    </w:rPr>
                    <m:t>max,</m:t>
                  </m:r>
                  <m:d>
                    <m:dPr>
                      <m:ctrlPr>
                        <w:rPr>
                          <w:rFonts w:ascii="Cambria Math" w:hAnsi="Cambria Math"/>
                          <w:i/>
                          <w:lang w:eastAsia="zh-CN"/>
                        </w:rPr>
                      </m:ctrlPr>
                    </m:dPr>
                    <m:e>
                      <m:r>
                        <m:rPr>
                          <m:sty m:val="bi"/>
                        </m:rPr>
                        <w:rPr>
                          <w:rFonts w:ascii="Cambria Math" w:hAnsi="Cambria Math"/>
                          <w:lang w:eastAsia="zh-CN"/>
                        </w:rPr>
                        <m:t>X,Y</m:t>
                      </m:r>
                    </m:e>
                  </m:d>
                  <m:r>
                    <m:rPr>
                      <m:sty m:val="bi"/>
                    </m:rPr>
                    <w:rPr>
                      <w:rFonts w:ascii="Cambria Math" w:hAnsi="Cambria Math"/>
                      <w:lang w:eastAsia="zh-CN"/>
                    </w:rPr>
                    <m:t>,μ</m:t>
                  </m:r>
                </m:sup>
              </m:sSubSup>
            </m:oMath>
            <w:r w:rsidRPr="00B916EC">
              <w:t xml:space="preserve"> of </w:t>
            </w:r>
            <w:r>
              <w:t>monitored PDCCH c</w:t>
            </w:r>
            <w:r w:rsidRPr="00B916EC">
              <w:t>andidates</w:t>
            </w:r>
            <w:r>
              <w:t xml:space="preserve"> per span </w:t>
            </w:r>
            <w:r w:rsidR="004D2526">
              <w:t>for combination</w:t>
            </w:r>
            <w:r>
              <w:t xml:space="preserve"> </w:t>
            </w:r>
            <m:oMath>
              <m:d>
                <m:dPr>
                  <m:ctrlPr>
                    <w:rPr>
                      <w:rFonts w:ascii="Cambria Math" w:hAnsi="Cambria Math"/>
                      <w:i/>
                    </w:rPr>
                  </m:ctrlPr>
                </m:dPr>
                <m:e>
                  <m:r>
                    <m:rPr>
                      <m:sty m:val="bi"/>
                    </m:rPr>
                    <w:rPr>
                      <w:rFonts w:ascii="Cambria Math" w:hAnsi="Cambria Math"/>
                    </w:rPr>
                    <m:t>X,Y</m:t>
                  </m:r>
                </m:e>
              </m:d>
            </m:oMath>
            <w:r>
              <w:rPr>
                <w:lang w:eastAsia="zh-CN"/>
              </w:rPr>
              <w:t xml:space="preserve"> </w:t>
            </w:r>
            <w:r>
              <w:t xml:space="preserve">and per serving cell </w:t>
            </w:r>
          </w:p>
        </w:tc>
      </w:tr>
      <w:tr w:rsidR="00810527" w:rsidRPr="00B916EC" w14:paraId="20D1229F" w14:textId="77777777" w:rsidTr="00B25F5D">
        <w:trPr>
          <w:cantSplit/>
          <w:jc w:val="center"/>
        </w:trPr>
        <w:tc>
          <w:tcPr>
            <w:tcW w:w="794" w:type="dxa"/>
            <w:shd w:val="clear" w:color="auto" w:fill="E0E0E0"/>
            <w:vAlign w:val="center"/>
          </w:tcPr>
          <w:p w14:paraId="02820C5A" w14:textId="0C59A011" w:rsidR="00810527" w:rsidRDefault="00810527" w:rsidP="00810527">
            <w:pPr>
              <w:pStyle w:val="TAC"/>
            </w:pPr>
            <m:oMathPara>
              <m:oMath>
                <m:r>
                  <m:rPr>
                    <m:sty m:val="bi"/>
                  </m:rPr>
                  <w:rPr>
                    <w:rFonts w:ascii="Cambria Math" w:hAnsi="Cambria Math"/>
                    <w:lang w:eastAsia="zh-CN"/>
                  </w:rPr>
                  <m:t>μ</m:t>
                </m:r>
              </m:oMath>
            </m:oMathPara>
          </w:p>
        </w:tc>
        <w:tc>
          <w:tcPr>
            <w:tcW w:w="1541" w:type="dxa"/>
            <w:vAlign w:val="center"/>
          </w:tcPr>
          <w:p w14:paraId="522098AF" w14:textId="77777777" w:rsidR="00810527" w:rsidRPr="00B916EC" w:rsidRDefault="00810527" w:rsidP="00810527">
            <w:pPr>
              <w:pStyle w:val="TAC"/>
            </w:pPr>
            <w:r>
              <w:t>(2, 2)</w:t>
            </w:r>
          </w:p>
        </w:tc>
        <w:tc>
          <w:tcPr>
            <w:tcW w:w="1530" w:type="dxa"/>
          </w:tcPr>
          <w:p w14:paraId="478E5010" w14:textId="77777777" w:rsidR="00810527" w:rsidRPr="00B916EC" w:rsidRDefault="00810527" w:rsidP="00810527">
            <w:pPr>
              <w:pStyle w:val="TAC"/>
            </w:pPr>
            <w:r>
              <w:t>(4, 3)</w:t>
            </w:r>
          </w:p>
        </w:tc>
        <w:tc>
          <w:tcPr>
            <w:tcW w:w="1620" w:type="dxa"/>
          </w:tcPr>
          <w:p w14:paraId="39A2422A" w14:textId="77777777" w:rsidR="00810527" w:rsidRPr="00B916EC" w:rsidRDefault="00810527" w:rsidP="00810527">
            <w:pPr>
              <w:pStyle w:val="TAC"/>
            </w:pPr>
            <w:r>
              <w:t>(7, 3)</w:t>
            </w:r>
          </w:p>
        </w:tc>
      </w:tr>
      <w:tr w:rsidR="00B3239C" w:rsidRPr="00B916EC" w14:paraId="189343A0" w14:textId="77777777" w:rsidTr="00B25F5D">
        <w:trPr>
          <w:cantSplit/>
          <w:jc w:val="center"/>
        </w:trPr>
        <w:tc>
          <w:tcPr>
            <w:tcW w:w="794" w:type="dxa"/>
            <w:vAlign w:val="center"/>
          </w:tcPr>
          <w:p w14:paraId="1229EDAE" w14:textId="77777777" w:rsidR="00B3239C" w:rsidRPr="00B916EC" w:rsidRDefault="00B3239C" w:rsidP="00B3239C">
            <w:pPr>
              <w:pStyle w:val="TAC"/>
            </w:pPr>
            <w:r>
              <w:t>0</w:t>
            </w:r>
          </w:p>
        </w:tc>
        <w:tc>
          <w:tcPr>
            <w:tcW w:w="1541" w:type="dxa"/>
            <w:vAlign w:val="center"/>
          </w:tcPr>
          <w:p w14:paraId="6D8FDD5D" w14:textId="00AC8522" w:rsidR="00B3239C" w:rsidRPr="00B916EC" w:rsidRDefault="00B3239C" w:rsidP="00B3239C">
            <w:pPr>
              <w:pStyle w:val="TAC"/>
            </w:pPr>
            <w:r>
              <w:t>14</w:t>
            </w:r>
          </w:p>
        </w:tc>
        <w:tc>
          <w:tcPr>
            <w:tcW w:w="1530" w:type="dxa"/>
          </w:tcPr>
          <w:p w14:paraId="432C189E" w14:textId="757C1B2D" w:rsidR="00B3239C" w:rsidRPr="00B916EC" w:rsidRDefault="00B3239C" w:rsidP="00B3239C">
            <w:pPr>
              <w:pStyle w:val="TAC"/>
            </w:pPr>
            <w:r>
              <w:t>28</w:t>
            </w:r>
          </w:p>
        </w:tc>
        <w:tc>
          <w:tcPr>
            <w:tcW w:w="1620" w:type="dxa"/>
          </w:tcPr>
          <w:p w14:paraId="0DB94B87" w14:textId="352B8589" w:rsidR="00B3239C" w:rsidRPr="00B916EC" w:rsidRDefault="00B3239C" w:rsidP="00B3239C">
            <w:pPr>
              <w:pStyle w:val="TAC"/>
            </w:pPr>
            <w:r>
              <w:t>44</w:t>
            </w:r>
          </w:p>
        </w:tc>
      </w:tr>
      <w:tr w:rsidR="00B3239C" w:rsidRPr="00B916EC" w14:paraId="564ABE67" w14:textId="77777777" w:rsidTr="00B25F5D">
        <w:trPr>
          <w:cantSplit/>
          <w:jc w:val="center"/>
        </w:trPr>
        <w:tc>
          <w:tcPr>
            <w:tcW w:w="794" w:type="dxa"/>
            <w:vAlign w:val="center"/>
          </w:tcPr>
          <w:p w14:paraId="649612D6" w14:textId="77777777" w:rsidR="00B3239C" w:rsidRPr="00B916EC" w:rsidRDefault="00B3239C" w:rsidP="00B3239C">
            <w:pPr>
              <w:pStyle w:val="TAC"/>
            </w:pPr>
            <w:r>
              <w:t>1</w:t>
            </w:r>
          </w:p>
        </w:tc>
        <w:tc>
          <w:tcPr>
            <w:tcW w:w="1541" w:type="dxa"/>
            <w:vAlign w:val="center"/>
          </w:tcPr>
          <w:p w14:paraId="6C5D810B" w14:textId="61AEA545" w:rsidR="00B3239C" w:rsidRPr="00B916EC" w:rsidRDefault="00B3239C" w:rsidP="00B3239C">
            <w:pPr>
              <w:pStyle w:val="TAC"/>
            </w:pPr>
            <w:r>
              <w:t>12</w:t>
            </w:r>
          </w:p>
        </w:tc>
        <w:tc>
          <w:tcPr>
            <w:tcW w:w="1530" w:type="dxa"/>
          </w:tcPr>
          <w:p w14:paraId="5A2C7303" w14:textId="0407335E" w:rsidR="00B3239C" w:rsidRPr="00B916EC" w:rsidRDefault="00B3239C" w:rsidP="00B3239C">
            <w:pPr>
              <w:pStyle w:val="TAC"/>
            </w:pPr>
            <w:r>
              <w:t>24</w:t>
            </w:r>
          </w:p>
        </w:tc>
        <w:tc>
          <w:tcPr>
            <w:tcW w:w="1620" w:type="dxa"/>
          </w:tcPr>
          <w:p w14:paraId="76452935" w14:textId="234A54D2" w:rsidR="00B3239C" w:rsidRPr="00B916EC" w:rsidRDefault="00B3239C" w:rsidP="00B3239C">
            <w:pPr>
              <w:pStyle w:val="TAC"/>
            </w:pPr>
            <w:r>
              <w:t>36</w:t>
            </w:r>
          </w:p>
        </w:tc>
      </w:tr>
    </w:tbl>
    <w:p w14:paraId="4516D2C9" w14:textId="77777777" w:rsidR="00BA4F7A" w:rsidRDefault="00BA4F7A" w:rsidP="00D833E5"/>
    <w:p w14:paraId="10C010BD" w14:textId="6CDBBE0C" w:rsidR="003D05B6" w:rsidRDefault="003D05B6" w:rsidP="00D833E5">
      <w:r>
        <w:t xml:space="preserve">Table 10.1-2B provides the maximum number of monitored PDCCH candidates, </w:t>
      </w:r>
      <m:oMath>
        <m:sSubSup>
          <m:sSubSupPr>
            <m:ctrlPr>
              <w:rPr>
                <w:rFonts w:ascii="Cambria Math" w:hAnsi="Cambria Math"/>
                <w:i/>
                <w:sz w:val="18"/>
                <w:szCs w:val="18"/>
                <w:lang w:eastAsia="zh-CN"/>
              </w:rPr>
            </m:ctrlPr>
          </m:sSubSupPr>
          <m:e>
            <m:r>
              <w:rPr>
                <w:rFonts w:ascii="Cambria Math" w:hAnsi="Cambria Math"/>
                <w:lang w:eastAsia="zh-CN"/>
              </w:rPr>
              <m:t>M</m:t>
            </m:r>
          </m:e>
          <m:sub>
            <m:r>
              <m:rPr>
                <m:sty m:val="p"/>
              </m:rPr>
              <w:rPr>
                <w:rFonts w:ascii="Cambria Math" w:hAnsi="Cambria Math"/>
                <w:lang w:eastAsia="zh-CN"/>
              </w:rPr>
              <m:t>PDCCH</m:t>
            </m:r>
          </m:sub>
          <m:sup>
            <m:r>
              <w:rPr>
                <w:rFonts w:ascii="Cambria Math" w:hAnsi="Cambria Math"/>
                <w:lang w:eastAsia="zh-CN"/>
              </w:rPr>
              <m:t>max,</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w:rPr>
                <w:rFonts w:ascii="Cambria Math" w:hAnsi="Cambria Math"/>
                <w:lang w:eastAsia="zh-CN"/>
              </w:rPr>
              <m:t>,μ</m:t>
            </m:r>
          </m:sup>
        </m:sSubSup>
      </m:oMath>
      <w:r>
        <w:t xml:space="preserve">, per 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Pr>
          <w:lang w:eastAsia="zh-CN"/>
        </w:rPr>
        <w:t xml:space="preserve"> slots </w:t>
      </w:r>
      <w:r>
        <w:t xml:space="preserve">for combination </w:t>
      </w:r>
      <m:oMath>
        <m:r>
          <w:rPr>
            <w:rFonts w:ascii="Cambria Math" w:hAnsi="Cambria Math"/>
          </w:rPr>
          <m:t>(</m:t>
        </m:r>
        <w:bookmarkStart w:id="667" w:name="_Hlk97143432"/>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w:bookmarkEnd w:id="667"/>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r>
          <w:rPr>
            <w:rFonts w:ascii="Cambria Math" w:hAnsi="Cambria Math"/>
          </w:rPr>
          <m:t>)</m:t>
        </m:r>
      </m:oMath>
      <w:r>
        <w:t xml:space="preserve"> for a UE in a DL BWP with SCS configuration </w:t>
      </w:r>
      <m:oMath>
        <m:r>
          <w:rPr>
            <w:rFonts w:ascii="Cambria Math" w:hAnsi="Cambria Math"/>
            <w:lang w:eastAsia="zh-CN"/>
          </w:rPr>
          <m:t>μ</m:t>
        </m:r>
      </m:oMath>
      <w:r>
        <w:t xml:space="preserve"> for operation with a single serving cell.</w:t>
      </w:r>
    </w:p>
    <w:p w14:paraId="62A4AB82" w14:textId="77777777" w:rsidR="003D05B6" w:rsidRDefault="003D05B6" w:rsidP="003D05B6">
      <w:pPr>
        <w:pStyle w:val="TH"/>
      </w:pPr>
      <w:r>
        <w:t xml:space="preserve">Table 10.1-2B: </w:t>
      </w:r>
      <w:r w:rsidRPr="00815CA5">
        <w:t xml:space="preserve">Maximum number </w:t>
      </w:r>
      <m:oMath>
        <m:sSubSup>
          <m:sSubSupPr>
            <m:ctrlPr>
              <w:rPr>
                <w:rFonts w:ascii="Cambria Math" w:hAnsi="Cambria Math"/>
                <w:i/>
                <w:lang w:eastAsia="zh-CN"/>
              </w:rPr>
            </m:ctrlPr>
          </m:sSubSupPr>
          <m:e>
            <m:r>
              <m:rPr>
                <m:sty m:val="bi"/>
              </m:rPr>
              <w:rPr>
                <w:rFonts w:ascii="Cambria Math" w:hAnsi="Cambria Math"/>
                <w:lang w:eastAsia="zh-CN"/>
              </w:rPr>
              <m:t>M</m:t>
            </m:r>
          </m:e>
          <m:sub>
            <m:r>
              <m:rPr>
                <m:sty m:val="b"/>
              </m:rPr>
              <w:rPr>
                <w:rFonts w:ascii="Cambria Math" w:hAnsi="Cambria Math"/>
                <w:lang w:eastAsia="zh-CN"/>
              </w:rPr>
              <m:t>PDCCH</m:t>
            </m:r>
          </m:sub>
          <m:sup>
            <m:r>
              <m:rPr>
                <m:sty m:val="bi"/>
              </m:rPr>
              <w:rPr>
                <w:rFonts w:ascii="Cambria Math" w:hAnsi="Cambria Math"/>
                <w:lang w:eastAsia="zh-CN"/>
              </w:rPr>
              <m:t>max,</m:t>
            </m:r>
            <m:sSub>
              <m:sSubPr>
                <m:ctrlPr>
                  <w:rPr>
                    <w:rFonts w:ascii="Cambria Math" w:hAnsi="Cambria Math"/>
                    <w:i/>
                    <w:lang w:eastAsia="zh-CN"/>
                  </w:rPr>
                </m:ctrlPr>
              </m:sSubPr>
              <m:e>
                <m:r>
                  <m:rPr>
                    <m:sty m:val="bi"/>
                  </m:rPr>
                  <w:rPr>
                    <w:rFonts w:ascii="Cambria Math" w:hAnsi="Cambria Math"/>
                    <w:lang w:eastAsia="zh-CN"/>
                  </w:rPr>
                  <m:t>X</m:t>
                </m:r>
              </m:e>
              <m:sub>
                <m:r>
                  <m:rPr>
                    <m:sty m:val="bi"/>
                  </m:rPr>
                  <w:rPr>
                    <w:rFonts w:ascii="Cambria Math" w:hAnsi="Cambria Math"/>
                    <w:lang w:eastAsia="zh-CN"/>
                  </w:rPr>
                  <m:t>s</m:t>
                </m:r>
              </m:sub>
            </m:sSub>
            <m:r>
              <m:rPr>
                <m:sty m:val="bi"/>
              </m:rPr>
              <w:rPr>
                <w:rFonts w:ascii="Cambria Math" w:hAnsi="Cambria Math"/>
                <w:lang w:eastAsia="zh-CN"/>
              </w:rPr>
              <m:t>,μ</m:t>
            </m:r>
          </m:sup>
        </m:sSubSup>
      </m:oMath>
      <w:r w:rsidRPr="00815CA5">
        <w:t xml:space="preserve"> of monitored PDCCH candidates per </w:t>
      </w:r>
      <w:r w:rsidRPr="00692576">
        <w:t xml:space="preserve">group </w:t>
      </w:r>
      <w:r w:rsidRPr="00815CA5">
        <w:t xml:space="preserve">of </w:t>
      </w:r>
      <m:oMath>
        <m:sSub>
          <m:sSubPr>
            <m:ctrlPr>
              <w:rPr>
                <w:rFonts w:ascii="Cambria Math" w:hAnsi="Cambria Math"/>
                <w:i/>
                <w:lang w:eastAsia="zh-CN"/>
              </w:rPr>
            </m:ctrlPr>
          </m:sSubPr>
          <m:e>
            <m:r>
              <m:rPr>
                <m:sty m:val="bi"/>
              </m:rPr>
              <w:rPr>
                <w:rFonts w:ascii="Cambria Math" w:hAnsi="Cambria Math"/>
                <w:lang w:eastAsia="zh-CN"/>
              </w:rPr>
              <m:t>X</m:t>
            </m:r>
          </m:e>
          <m:sub>
            <m:r>
              <m:rPr>
                <m:sty m:val="bi"/>
              </m:rPr>
              <w:rPr>
                <w:rFonts w:ascii="Cambria Math" w:hAnsi="Cambria Math"/>
                <w:lang w:eastAsia="zh-CN"/>
              </w:rPr>
              <m:t>s</m:t>
            </m:r>
          </m:sub>
        </m:sSub>
      </m:oMath>
      <w:r w:rsidRPr="00815CA5">
        <w:rPr>
          <w:lang w:eastAsia="zh-CN"/>
        </w:rPr>
        <w:t xml:space="preserve"> slots </w:t>
      </w:r>
      <w:r w:rsidRPr="00692576">
        <w:t xml:space="preserve">for combination </w:t>
      </w:r>
      <m:oMath>
        <m:d>
          <m:dPr>
            <m:ctrlPr>
              <w:rPr>
                <w:rFonts w:ascii="Cambria Math" w:hAnsi="Cambria Math"/>
                <w:i/>
              </w:rPr>
            </m:ctrlPr>
          </m:dPr>
          <m:e>
            <m:sSub>
              <m:sSubPr>
                <m:ctrlPr>
                  <w:rPr>
                    <w:rFonts w:ascii="Cambria Math" w:hAnsi="Cambria Math"/>
                    <w:i/>
                    <w:lang w:eastAsia="zh-CN"/>
                  </w:rPr>
                </m:ctrlPr>
              </m:sSubPr>
              <m:e>
                <m:r>
                  <m:rPr>
                    <m:sty m:val="bi"/>
                  </m:rPr>
                  <w:rPr>
                    <w:rFonts w:ascii="Cambria Math" w:hAnsi="Cambria Math"/>
                    <w:lang w:eastAsia="zh-CN"/>
                  </w:rPr>
                  <m:t>X</m:t>
                </m:r>
              </m:e>
              <m:sub>
                <m:r>
                  <m:rPr>
                    <m:sty m:val="bi"/>
                  </m:rPr>
                  <w:rPr>
                    <w:rFonts w:ascii="Cambria Math" w:hAnsi="Cambria Math"/>
                    <w:lang w:eastAsia="zh-CN"/>
                  </w:rPr>
                  <m:t>s</m:t>
                </m:r>
              </m:sub>
            </m:sSub>
            <m:r>
              <m:rPr>
                <m:sty m:val="bi"/>
              </m:rPr>
              <w:rPr>
                <w:rFonts w:ascii="Cambria Math" w:hAnsi="Cambria Math"/>
                <w:lang w:eastAsia="zh-CN"/>
              </w:rPr>
              <m:t>,</m:t>
            </m:r>
            <m:sSub>
              <m:sSubPr>
                <m:ctrlPr>
                  <w:rPr>
                    <w:rFonts w:ascii="Cambria Math" w:hAnsi="Cambria Math"/>
                    <w:i/>
                    <w:lang w:eastAsia="zh-CN"/>
                  </w:rPr>
                </m:ctrlPr>
              </m:sSubPr>
              <m:e>
                <m:r>
                  <m:rPr>
                    <m:sty m:val="bi"/>
                  </m:rPr>
                  <w:rPr>
                    <w:rFonts w:ascii="Cambria Math" w:hAnsi="Cambria Math"/>
                    <w:lang w:eastAsia="zh-CN"/>
                  </w:rPr>
                  <m:t>Y</m:t>
                </m:r>
              </m:e>
              <m:sub>
                <m:r>
                  <m:rPr>
                    <m:sty m:val="bi"/>
                  </m:rPr>
                  <w:rPr>
                    <w:rFonts w:ascii="Cambria Math" w:hAnsi="Cambria Math"/>
                    <w:lang w:eastAsia="zh-CN"/>
                  </w:rPr>
                  <m:t>s</m:t>
                </m:r>
              </m:sub>
            </m:sSub>
          </m:e>
        </m:d>
      </m:oMath>
      <w:r w:rsidRPr="00815CA5">
        <w:t xml:space="preserve"> for a DL BWP with SCS configuration </w:t>
      </w:r>
      <m:oMath>
        <m:r>
          <m:rPr>
            <m:sty m:val="bi"/>
          </m:rPr>
          <w:rPr>
            <w:rFonts w:ascii="Cambria Math" w:hAnsi="Cambria Math"/>
            <w:lang w:eastAsia="zh-CN"/>
          </w:rPr>
          <m:t>μ∈</m:t>
        </m:r>
        <m:d>
          <m:dPr>
            <m:begChr m:val="{"/>
            <m:endChr m:val="}"/>
            <m:ctrlPr>
              <w:rPr>
                <w:rFonts w:ascii="Cambria Math" w:hAnsi="Cambria Math"/>
                <w:i/>
                <w:lang w:eastAsia="zh-CN"/>
              </w:rPr>
            </m:ctrlPr>
          </m:dPr>
          <m:e>
            <m:r>
              <m:rPr>
                <m:sty m:val="bi"/>
              </m:rPr>
              <w:rPr>
                <w:rFonts w:ascii="Cambria Math" w:hAnsi="Cambria Math"/>
                <w:lang w:eastAsia="zh-CN"/>
              </w:rPr>
              <m:t>5, 6</m:t>
            </m:r>
          </m:e>
        </m:d>
      </m:oMath>
      <w:r w:rsidRPr="00815CA5">
        <w:t xml:space="preserve"> for a single serving 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94"/>
        <w:gridCol w:w="1451"/>
        <w:gridCol w:w="1530"/>
        <w:gridCol w:w="1440"/>
        <w:gridCol w:w="1440"/>
      </w:tblGrid>
      <w:tr w:rsidR="003D05B6" w:rsidRPr="00B27E56" w14:paraId="1A3EC450" w14:textId="77777777" w:rsidTr="00B272BA">
        <w:trPr>
          <w:cantSplit/>
          <w:jc w:val="center"/>
        </w:trPr>
        <w:tc>
          <w:tcPr>
            <w:tcW w:w="794" w:type="dxa"/>
            <w:shd w:val="clear" w:color="auto" w:fill="E0E0E0"/>
            <w:vAlign w:val="center"/>
          </w:tcPr>
          <w:p w14:paraId="0ABDCC01" w14:textId="77777777" w:rsidR="003D05B6" w:rsidRPr="00B27E56" w:rsidRDefault="003D05B6" w:rsidP="003D05B6">
            <w:pPr>
              <w:pStyle w:val="TAH"/>
              <w:rPr>
                <w:rFonts w:ascii="Times New Roman" w:hAnsi="Times New Roman"/>
                <w:sz w:val="20"/>
              </w:rPr>
            </w:pPr>
          </w:p>
        </w:tc>
        <w:tc>
          <w:tcPr>
            <w:tcW w:w="5861" w:type="dxa"/>
            <w:gridSpan w:val="4"/>
            <w:shd w:val="clear" w:color="auto" w:fill="E0E0E0"/>
            <w:vAlign w:val="center"/>
          </w:tcPr>
          <w:p w14:paraId="2E47F996" w14:textId="7B100F30" w:rsidR="003D05B6" w:rsidRPr="00B27E56" w:rsidRDefault="003D05B6" w:rsidP="003D05B6">
            <w:pPr>
              <w:pStyle w:val="TH"/>
              <w:spacing w:before="0" w:after="0"/>
              <w:rPr>
                <w:sz w:val="18"/>
                <w:szCs w:val="18"/>
              </w:rPr>
            </w:pPr>
            <w:r w:rsidRPr="006509DC">
              <w:rPr>
                <w:sz w:val="18"/>
                <w:szCs w:val="18"/>
                <w:lang w:eastAsia="en-GB"/>
              </w:rPr>
              <w:t xml:space="preserve">Maximum number </w:t>
            </w:r>
            <m:oMath>
              <m:sSubSup>
                <m:sSubSupPr>
                  <m:ctrlPr>
                    <w:rPr>
                      <w:rFonts w:ascii="Cambria Math" w:hAnsi="Cambria Math"/>
                      <w:i/>
                      <w:sz w:val="18"/>
                      <w:szCs w:val="18"/>
                      <w:lang w:eastAsia="zh-CN"/>
                    </w:rPr>
                  </m:ctrlPr>
                </m:sSubSupPr>
                <m:e>
                  <m:r>
                    <m:rPr>
                      <m:sty m:val="bi"/>
                    </m:rPr>
                    <w:rPr>
                      <w:rFonts w:ascii="Cambria Math" w:hAnsi="Cambria Math"/>
                      <w:sz w:val="18"/>
                      <w:szCs w:val="18"/>
                      <w:lang w:eastAsia="zh-CN"/>
                    </w:rPr>
                    <m:t>M</m:t>
                  </m:r>
                </m:e>
                <m:sub>
                  <m:r>
                    <m:rPr>
                      <m:sty m:val="b"/>
                    </m:rPr>
                    <w:rPr>
                      <w:rFonts w:ascii="Cambria Math" w:hAnsi="Cambria Math"/>
                      <w:sz w:val="18"/>
                      <w:szCs w:val="18"/>
                      <w:lang w:eastAsia="zh-CN"/>
                    </w:rPr>
                    <m:t>PDCCH</m:t>
                  </m:r>
                </m:sub>
                <m:sup>
                  <m:r>
                    <m:rPr>
                      <m:sty m:val="bi"/>
                    </m:rPr>
                    <w:rPr>
                      <w:rFonts w:ascii="Cambria Math" w:hAnsi="Cambria Math"/>
                      <w:sz w:val="18"/>
                      <w:szCs w:val="18"/>
                      <w:lang w:eastAsia="zh-CN"/>
                    </w:rPr>
                    <m:t>max,</m:t>
                  </m:r>
                  <m:sSub>
                    <m:sSubPr>
                      <m:ctrlPr>
                        <w:rPr>
                          <w:rFonts w:ascii="Cambria Math" w:hAnsi="Cambria Math"/>
                          <w:i/>
                          <w:sz w:val="18"/>
                          <w:szCs w:val="18"/>
                          <w:lang w:eastAsia="zh-CN"/>
                        </w:rPr>
                      </m:ctrlPr>
                    </m:sSubPr>
                    <m:e>
                      <m:r>
                        <m:rPr>
                          <m:sty m:val="bi"/>
                        </m:rPr>
                        <w:rPr>
                          <w:rFonts w:ascii="Cambria Math" w:hAnsi="Cambria Math"/>
                          <w:sz w:val="18"/>
                          <w:szCs w:val="18"/>
                          <w:lang w:eastAsia="zh-CN"/>
                        </w:rPr>
                        <m:t>X</m:t>
                      </m:r>
                    </m:e>
                    <m:sub>
                      <m:r>
                        <m:rPr>
                          <m:sty m:val="bi"/>
                        </m:rPr>
                        <w:rPr>
                          <w:rFonts w:ascii="Cambria Math" w:hAnsi="Cambria Math"/>
                          <w:sz w:val="18"/>
                          <w:szCs w:val="18"/>
                          <w:lang w:eastAsia="zh-CN"/>
                        </w:rPr>
                        <m:t>s</m:t>
                      </m:r>
                    </m:sub>
                  </m:sSub>
                  <m:r>
                    <m:rPr>
                      <m:sty m:val="bi"/>
                    </m:rPr>
                    <w:rPr>
                      <w:rFonts w:ascii="Cambria Math" w:hAnsi="Cambria Math"/>
                      <w:sz w:val="18"/>
                      <w:szCs w:val="18"/>
                      <w:lang w:eastAsia="zh-CN"/>
                    </w:rPr>
                    <m:t>,μ</m:t>
                  </m:r>
                </m:sup>
              </m:sSubSup>
            </m:oMath>
            <w:r w:rsidRPr="006509DC">
              <w:rPr>
                <w:sz w:val="18"/>
                <w:szCs w:val="18"/>
                <w:lang w:eastAsia="zh-CN"/>
              </w:rPr>
              <w:t xml:space="preserve"> </w:t>
            </w:r>
            <w:r w:rsidRPr="006509DC">
              <w:rPr>
                <w:sz w:val="18"/>
                <w:szCs w:val="18"/>
                <w:lang w:eastAsia="en-GB"/>
              </w:rPr>
              <w:t xml:space="preserve">of monitored PDCCH candidates </w:t>
            </w:r>
            <w:r w:rsidRPr="006509DC">
              <w:rPr>
                <w:sz w:val="18"/>
                <w:szCs w:val="18"/>
              </w:rPr>
              <w:t xml:space="preserve">in a group of </w:t>
            </w:r>
            <m:oMath>
              <m:sSub>
                <m:sSubPr>
                  <m:ctrlPr>
                    <w:rPr>
                      <w:rFonts w:ascii="Cambria Math" w:hAnsi="Cambria Math"/>
                      <w:i/>
                      <w:sz w:val="18"/>
                      <w:szCs w:val="18"/>
                      <w:lang w:eastAsia="zh-CN"/>
                    </w:rPr>
                  </m:ctrlPr>
                </m:sSubPr>
                <m:e>
                  <m:r>
                    <m:rPr>
                      <m:sty m:val="bi"/>
                    </m:rPr>
                    <w:rPr>
                      <w:rFonts w:ascii="Cambria Math" w:hAnsi="Cambria Math"/>
                      <w:sz w:val="18"/>
                      <w:szCs w:val="18"/>
                      <w:lang w:eastAsia="zh-CN"/>
                    </w:rPr>
                    <m:t>X</m:t>
                  </m:r>
                </m:e>
                <m:sub>
                  <m:r>
                    <m:rPr>
                      <m:sty m:val="bi"/>
                    </m:rPr>
                    <w:rPr>
                      <w:rFonts w:ascii="Cambria Math" w:hAnsi="Cambria Math"/>
                      <w:sz w:val="18"/>
                      <w:szCs w:val="18"/>
                      <w:lang w:eastAsia="zh-CN"/>
                    </w:rPr>
                    <m:t>s</m:t>
                  </m:r>
                </m:sub>
              </m:sSub>
            </m:oMath>
            <w:r w:rsidRPr="006509DC">
              <w:rPr>
                <w:sz w:val="18"/>
                <w:szCs w:val="18"/>
                <w:lang w:eastAsia="zh-CN"/>
              </w:rPr>
              <w:t xml:space="preserve"> slots</w:t>
            </w:r>
            <w:r w:rsidRPr="006509DC">
              <w:rPr>
                <w:sz w:val="18"/>
                <w:szCs w:val="18"/>
                <w:lang w:eastAsia="en-GB"/>
              </w:rPr>
              <w:t xml:space="preserve"> per combination </w:t>
            </w:r>
            <m:oMath>
              <m:d>
                <m:dPr>
                  <m:ctrlPr>
                    <w:rPr>
                      <w:rFonts w:ascii="Cambria Math" w:hAnsi="Cambria Math"/>
                      <w:i/>
                      <w:sz w:val="18"/>
                      <w:szCs w:val="18"/>
                      <w:lang w:eastAsia="en-GB"/>
                    </w:rPr>
                  </m:ctrlPr>
                </m:dPr>
                <m:e>
                  <m:sSub>
                    <m:sSubPr>
                      <m:ctrlPr>
                        <w:rPr>
                          <w:rFonts w:ascii="Cambria Math" w:hAnsi="Cambria Math"/>
                          <w:i/>
                          <w:sz w:val="18"/>
                          <w:szCs w:val="18"/>
                          <w:lang w:eastAsia="zh-CN"/>
                        </w:rPr>
                      </m:ctrlPr>
                    </m:sSubPr>
                    <m:e>
                      <m:r>
                        <m:rPr>
                          <m:sty m:val="bi"/>
                        </m:rPr>
                        <w:rPr>
                          <w:rFonts w:ascii="Cambria Math" w:hAnsi="Cambria Math"/>
                          <w:sz w:val="18"/>
                          <w:szCs w:val="18"/>
                          <w:lang w:eastAsia="zh-CN"/>
                        </w:rPr>
                        <m:t>X</m:t>
                      </m:r>
                    </m:e>
                    <m:sub>
                      <m:r>
                        <m:rPr>
                          <m:sty m:val="bi"/>
                        </m:rPr>
                        <w:rPr>
                          <w:rFonts w:ascii="Cambria Math" w:hAnsi="Cambria Math"/>
                          <w:sz w:val="18"/>
                          <w:szCs w:val="18"/>
                          <w:lang w:eastAsia="zh-CN"/>
                        </w:rPr>
                        <m:t>s</m:t>
                      </m:r>
                    </m:sub>
                  </m:sSub>
                  <m:r>
                    <m:rPr>
                      <m:sty m:val="bi"/>
                    </m:rPr>
                    <w:rPr>
                      <w:rFonts w:ascii="Cambria Math" w:hAnsi="Cambria Math"/>
                      <w:sz w:val="18"/>
                      <w:szCs w:val="18"/>
                      <w:lang w:eastAsia="zh-CN"/>
                    </w:rPr>
                    <m:t>,</m:t>
                  </m:r>
                  <m:sSub>
                    <m:sSubPr>
                      <m:ctrlPr>
                        <w:rPr>
                          <w:rFonts w:ascii="Cambria Math" w:hAnsi="Cambria Math"/>
                          <w:i/>
                          <w:sz w:val="18"/>
                          <w:szCs w:val="18"/>
                          <w:lang w:eastAsia="zh-CN"/>
                        </w:rPr>
                      </m:ctrlPr>
                    </m:sSubPr>
                    <m:e>
                      <m:r>
                        <m:rPr>
                          <m:sty m:val="bi"/>
                        </m:rPr>
                        <w:rPr>
                          <w:rFonts w:ascii="Cambria Math" w:hAnsi="Cambria Math"/>
                          <w:sz w:val="18"/>
                          <w:szCs w:val="18"/>
                          <w:lang w:eastAsia="zh-CN"/>
                        </w:rPr>
                        <m:t>Y</m:t>
                      </m:r>
                    </m:e>
                    <m:sub>
                      <m:r>
                        <m:rPr>
                          <m:sty m:val="bi"/>
                        </m:rPr>
                        <w:rPr>
                          <w:rFonts w:ascii="Cambria Math" w:hAnsi="Cambria Math"/>
                          <w:sz w:val="18"/>
                          <w:szCs w:val="18"/>
                          <w:lang w:eastAsia="zh-CN"/>
                        </w:rPr>
                        <m:t>s</m:t>
                      </m:r>
                    </m:sub>
                  </m:sSub>
                </m:e>
              </m:d>
            </m:oMath>
            <w:r w:rsidRPr="006509DC">
              <w:rPr>
                <w:sz w:val="18"/>
                <w:szCs w:val="18"/>
                <w:lang w:eastAsia="en-GB"/>
              </w:rPr>
              <w:t xml:space="preserve"> and per serving cell </w:t>
            </w:r>
          </w:p>
        </w:tc>
      </w:tr>
      <w:tr w:rsidR="00C44171" w:rsidRPr="00B27E56" w14:paraId="64E2D758" w14:textId="77777777" w:rsidTr="00B272BA">
        <w:trPr>
          <w:cantSplit/>
          <w:jc w:val="center"/>
        </w:trPr>
        <w:tc>
          <w:tcPr>
            <w:tcW w:w="794" w:type="dxa"/>
            <w:shd w:val="clear" w:color="auto" w:fill="E0E0E0"/>
            <w:vAlign w:val="center"/>
          </w:tcPr>
          <w:p w14:paraId="74FDFC36" w14:textId="77777777" w:rsidR="00C44171" w:rsidRPr="00B27E56" w:rsidRDefault="00C44171" w:rsidP="00B272BA">
            <w:pPr>
              <w:pStyle w:val="TAC"/>
            </w:pPr>
            <m:oMathPara>
              <m:oMath>
                <m:r>
                  <m:rPr>
                    <m:sty m:val="bi"/>
                  </m:rPr>
                  <w:rPr>
                    <w:rFonts w:ascii="Cambria Math" w:hAnsi="Cambria Math"/>
                    <w:lang w:eastAsia="zh-CN"/>
                  </w:rPr>
                  <m:t>μ</m:t>
                </m:r>
              </m:oMath>
            </m:oMathPara>
          </w:p>
        </w:tc>
        <w:tc>
          <w:tcPr>
            <w:tcW w:w="1451" w:type="dxa"/>
            <w:vAlign w:val="center"/>
          </w:tcPr>
          <w:p w14:paraId="4EC1AAF0" w14:textId="77777777" w:rsidR="00C44171" w:rsidRPr="00B27E56" w:rsidRDefault="00C44171" w:rsidP="00B272BA">
            <w:pPr>
              <w:pStyle w:val="TAC"/>
            </w:pPr>
            <w:r w:rsidRPr="00B27E56">
              <w:t>(4, 1)</w:t>
            </w:r>
          </w:p>
        </w:tc>
        <w:tc>
          <w:tcPr>
            <w:tcW w:w="1530" w:type="dxa"/>
          </w:tcPr>
          <w:p w14:paraId="76C794D2" w14:textId="77777777" w:rsidR="00C44171" w:rsidRPr="00B27E56" w:rsidRDefault="00C44171" w:rsidP="00B272BA">
            <w:pPr>
              <w:pStyle w:val="TAC"/>
            </w:pPr>
            <w:r w:rsidRPr="00B27E56">
              <w:t>(4, 2)</w:t>
            </w:r>
          </w:p>
        </w:tc>
        <w:tc>
          <w:tcPr>
            <w:tcW w:w="1440" w:type="dxa"/>
          </w:tcPr>
          <w:p w14:paraId="61A5421C" w14:textId="77777777" w:rsidR="00C44171" w:rsidRPr="00B27E56" w:rsidRDefault="00C44171" w:rsidP="00B272BA">
            <w:pPr>
              <w:pStyle w:val="TAC"/>
            </w:pPr>
            <w:r w:rsidRPr="00B27E56">
              <w:t>(8, 1)</w:t>
            </w:r>
          </w:p>
        </w:tc>
        <w:tc>
          <w:tcPr>
            <w:tcW w:w="1440" w:type="dxa"/>
          </w:tcPr>
          <w:p w14:paraId="1BE615E6" w14:textId="77777777" w:rsidR="00C44171" w:rsidRPr="00B27E56" w:rsidRDefault="00C44171" w:rsidP="00B272BA">
            <w:pPr>
              <w:pStyle w:val="TAC"/>
            </w:pPr>
            <w:r w:rsidRPr="00B27E56">
              <w:t>(8, 4)</w:t>
            </w:r>
          </w:p>
        </w:tc>
      </w:tr>
      <w:tr w:rsidR="00C44171" w:rsidRPr="00B27E56" w14:paraId="452A8C2B" w14:textId="77777777" w:rsidTr="00B272BA">
        <w:trPr>
          <w:cantSplit/>
          <w:jc w:val="center"/>
        </w:trPr>
        <w:tc>
          <w:tcPr>
            <w:tcW w:w="794" w:type="dxa"/>
            <w:vAlign w:val="center"/>
          </w:tcPr>
          <w:p w14:paraId="6D6C2D0C" w14:textId="77777777" w:rsidR="00C44171" w:rsidRPr="00B27E56" w:rsidRDefault="00C44171" w:rsidP="00B272BA">
            <w:pPr>
              <w:pStyle w:val="TAC"/>
            </w:pPr>
            <w:r w:rsidRPr="00B27E56">
              <w:t>5</w:t>
            </w:r>
          </w:p>
        </w:tc>
        <w:tc>
          <w:tcPr>
            <w:tcW w:w="1451" w:type="dxa"/>
            <w:vAlign w:val="center"/>
          </w:tcPr>
          <w:p w14:paraId="6A091CA5" w14:textId="77777777" w:rsidR="00C44171" w:rsidRPr="00B27E56" w:rsidRDefault="00C44171" w:rsidP="00B272BA">
            <w:pPr>
              <w:pStyle w:val="TAC"/>
            </w:pPr>
            <w:r w:rsidRPr="00B27E56">
              <w:t>20</w:t>
            </w:r>
          </w:p>
        </w:tc>
        <w:tc>
          <w:tcPr>
            <w:tcW w:w="1530" w:type="dxa"/>
          </w:tcPr>
          <w:p w14:paraId="7A9CC65F" w14:textId="77777777" w:rsidR="00C44171" w:rsidRPr="00B27E56" w:rsidRDefault="00C44171" w:rsidP="00B272BA">
            <w:pPr>
              <w:pStyle w:val="TAC"/>
            </w:pPr>
            <w:r w:rsidRPr="00B27E56">
              <w:t>20</w:t>
            </w:r>
          </w:p>
        </w:tc>
        <w:tc>
          <w:tcPr>
            <w:tcW w:w="1440" w:type="dxa"/>
          </w:tcPr>
          <w:p w14:paraId="6B7321F2" w14:textId="77777777" w:rsidR="00C44171" w:rsidRPr="00B27E56" w:rsidRDefault="00C44171" w:rsidP="00B272BA">
            <w:pPr>
              <w:pStyle w:val="TAC"/>
            </w:pPr>
            <w:r w:rsidRPr="00B27E56">
              <w:t>-</w:t>
            </w:r>
          </w:p>
        </w:tc>
        <w:tc>
          <w:tcPr>
            <w:tcW w:w="1440" w:type="dxa"/>
          </w:tcPr>
          <w:p w14:paraId="3AEA2F6F" w14:textId="77777777" w:rsidR="00C44171" w:rsidRPr="00B27E56" w:rsidRDefault="00C44171" w:rsidP="00B272BA">
            <w:pPr>
              <w:pStyle w:val="TAC"/>
            </w:pPr>
            <w:r w:rsidRPr="00B27E56">
              <w:t>-</w:t>
            </w:r>
          </w:p>
        </w:tc>
      </w:tr>
      <w:tr w:rsidR="00C44171" w:rsidRPr="00B27E56" w14:paraId="1EE11D2C" w14:textId="77777777" w:rsidTr="00B272BA">
        <w:trPr>
          <w:cantSplit/>
          <w:jc w:val="center"/>
        </w:trPr>
        <w:tc>
          <w:tcPr>
            <w:tcW w:w="794" w:type="dxa"/>
            <w:vAlign w:val="center"/>
          </w:tcPr>
          <w:p w14:paraId="0C50151B" w14:textId="77777777" w:rsidR="00C44171" w:rsidRPr="00B27E56" w:rsidRDefault="00C44171" w:rsidP="00B272BA">
            <w:pPr>
              <w:pStyle w:val="TAC"/>
            </w:pPr>
            <w:r w:rsidRPr="00B27E56">
              <w:t>6</w:t>
            </w:r>
          </w:p>
        </w:tc>
        <w:tc>
          <w:tcPr>
            <w:tcW w:w="1451" w:type="dxa"/>
            <w:vAlign w:val="center"/>
          </w:tcPr>
          <w:p w14:paraId="77466B39" w14:textId="77777777" w:rsidR="00C44171" w:rsidRPr="00B27E56" w:rsidRDefault="00C44171" w:rsidP="00B272BA">
            <w:pPr>
              <w:pStyle w:val="TAC"/>
            </w:pPr>
            <w:r w:rsidRPr="00B27E56">
              <w:t>10</w:t>
            </w:r>
          </w:p>
        </w:tc>
        <w:tc>
          <w:tcPr>
            <w:tcW w:w="1530" w:type="dxa"/>
          </w:tcPr>
          <w:p w14:paraId="638C4F4F" w14:textId="77777777" w:rsidR="00C44171" w:rsidRPr="00B27E56" w:rsidRDefault="00C44171" w:rsidP="00B272BA">
            <w:pPr>
              <w:pStyle w:val="TAC"/>
            </w:pPr>
            <w:r w:rsidRPr="00B27E56">
              <w:t>10</w:t>
            </w:r>
          </w:p>
        </w:tc>
        <w:tc>
          <w:tcPr>
            <w:tcW w:w="1440" w:type="dxa"/>
          </w:tcPr>
          <w:p w14:paraId="18CB6F3B" w14:textId="77777777" w:rsidR="00C44171" w:rsidRPr="00B27E56" w:rsidRDefault="00C44171" w:rsidP="00B272BA">
            <w:pPr>
              <w:pStyle w:val="TAC"/>
            </w:pPr>
            <w:r w:rsidRPr="00B27E56">
              <w:t>20</w:t>
            </w:r>
          </w:p>
        </w:tc>
        <w:tc>
          <w:tcPr>
            <w:tcW w:w="1440" w:type="dxa"/>
          </w:tcPr>
          <w:p w14:paraId="4F76E2A1" w14:textId="77777777" w:rsidR="00C44171" w:rsidRPr="00B27E56" w:rsidRDefault="00C44171" w:rsidP="00B272BA">
            <w:pPr>
              <w:pStyle w:val="TAC"/>
            </w:pPr>
            <w:r w:rsidRPr="00B27E56">
              <w:t>20</w:t>
            </w:r>
          </w:p>
        </w:tc>
      </w:tr>
    </w:tbl>
    <w:p w14:paraId="3F254A2B" w14:textId="77777777" w:rsidR="00BA4F7A" w:rsidRDefault="00BA4F7A" w:rsidP="002F6B7F"/>
    <w:p w14:paraId="6757C40B" w14:textId="1CFD5EA9" w:rsidR="002F6B7F" w:rsidRDefault="002F6B7F" w:rsidP="002F6B7F">
      <w:r>
        <w:t xml:space="preserve">Table 10.1-3 provides the maximum number of non-overlapped CCEs, </w:t>
      </w:r>
      <m:oMath>
        <m:sSubSup>
          <m:sSubSupPr>
            <m:ctrlPr>
              <w:rPr>
                <w:rFonts w:ascii="Cambria Math" w:hAnsi="Cambria Math"/>
                <w:i/>
                <w:sz w:val="18"/>
                <w:szCs w:val="18"/>
                <w:lang w:eastAsia="zh-CN"/>
              </w:rPr>
            </m:ctrlPr>
          </m:sSubSupPr>
          <m:e>
            <m:r>
              <w:rPr>
                <w:rFonts w:ascii="Cambria Math" w:hAnsi="Cambria Math"/>
                <w:lang w:eastAsia="zh-CN"/>
              </w:rPr>
              <m:t>C</m:t>
            </m:r>
          </m:e>
          <m:sub>
            <m:r>
              <m:rPr>
                <m:sty m:val="p"/>
              </m:rPr>
              <w:rPr>
                <w:rFonts w:ascii="Cambria Math" w:hAnsi="Cambria Math"/>
                <w:lang w:eastAsia="zh-CN"/>
              </w:rPr>
              <m:t>PDCCH</m:t>
            </m:r>
          </m:sub>
          <m:sup>
            <m:r>
              <w:rPr>
                <w:rFonts w:ascii="Cambria Math" w:hAnsi="Cambria Math"/>
                <w:lang w:eastAsia="zh-CN"/>
              </w:rPr>
              <m:t>max,slot,μ</m:t>
            </m:r>
          </m:sup>
        </m:sSubSup>
      </m:oMath>
      <w:r>
        <w:t xml:space="preserve">, for </w:t>
      </w:r>
      <w:r w:rsidR="00B17C32">
        <w:t>a DL BWP with</w:t>
      </w:r>
      <w:r>
        <w:t xml:space="preserve"> </w:t>
      </w:r>
      <w:r w:rsidR="0075117A">
        <w:t>SCS</w:t>
      </w:r>
      <w:r>
        <w:t xml:space="preserve"> configuration </w:t>
      </w:r>
      <m:oMath>
        <m:r>
          <w:rPr>
            <w:rFonts w:ascii="Cambria Math" w:hAnsi="Cambria Math"/>
            <w:lang w:eastAsia="zh-CN"/>
          </w:rPr>
          <m:t>μ</m:t>
        </m:r>
      </m:oMath>
      <w:r>
        <w:t xml:space="preserve"> that a UE is expected to monitor corresponding PDCCH candidates per slot for operation with a single serving cell.</w:t>
      </w:r>
    </w:p>
    <w:p w14:paraId="2D08D2EF" w14:textId="77777777" w:rsidR="002F6B7F" w:rsidRDefault="002F6B7F" w:rsidP="002F6B7F">
      <w:r>
        <w:t>CCEs for PDCCH candidates are non-overlapped if they correspond to</w:t>
      </w:r>
    </w:p>
    <w:p w14:paraId="4690D4BE" w14:textId="77777777" w:rsidR="002F6B7F" w:rsidRPr="00B916EC" w:rsidRDefault="002F6B7F" w:rsidP="002F6B7F">
      <w:pPr>
        <w:pStyle w:val="B1"/>
      </w:pPr>
      <w:r>
        <w:t>-</w:t>
      </w:r>
      <w:r>
        <w:tab/>
        <w:t xml:space="preserve">different </w:t>
      </w:r>
      <w:r w:rsidR="0075117A">
        <w:t>CORESET</w:t>
      </w:r>
      <w:r>
        <w:t xml:space="preserve"> indexes, or </w:t>
      </w:r>
    </w:p>
    <w:p w14:paraId="3D3E6686" w14:textId="77777777" w:rsidR="002F6B7F" w:rsidRDefault="002F6B7F" w:rsidP="002F6B7F">
      <w:pPr>
        <w:pStyle w:val="B1"/>
      </w:pPr>
      <w:r>
        <w:lastRenderedPageBreak/>
        <w:t>-</w:t>
      </w:r>
      <w:r>
        <w:tab/>
        <w:t>different first symbols for the reception of the respective PDCCH candidates.</w:t>
      </w:r>
    </w:p>
    <w:p w14:paraId="1DEFF2EE" w14:textId="2DA27DDC" w:rsidR="002F6B7F" w:rsidRPr="00B916EC" w:rsidRDefault="002F6B7F" w:rsidP="002F6B7F">
      <w:pPr>
        <w:pStyle w:val="TH"/>
      </w:pPr>
      <w:r>
        <w:t>Table 10.1-3</w:t>
      </w:r>
      <w:r w:rsidRPr="00B916EC">
        <w:t xml:space="preserve">: </w:t>
      </w:r>
      <w:r>
        <w:t xml:space="preserve">Maximum number </w:t>
      </w:r>
      <m:oMath>
        <m:sSubSup>
          <m:sSubSupPr>
            <m:ctrlPr>
              <w:rPr>
                <w:rFonts w:ascii="Cambria Math" w:hAnsi="Cambria Math"/>
                <w:i/>
                <w:sz w:val="18"/>
                <w:szCs w:val="18"/>
                <w:lang w:eastAsia="zh-CN"/>
              </w:rPr>
            </m:ctrlPr>
          </m:sSubSupPr>
          <m:e>
            <m:r>
              <m:rPr>
                <m:sty m:val="bi"/>
              </m:rPr>
              <w:rPr>
                <w:rFonts w:ascii="Cambria Math" w:hAnsi="Cambria Math"/>
                <w:lang w:eastAsia="zh-CN"/>
              </w:rPr>
              <m:t>C</m:t>
            </m:r>
          </m:e>
          <m:sub>
            <m:r>
              <m:rPr>
                <m:sty m:val="b"/>
              </m:rPr>
              <w:rPr>
                <w:rFonts w:ascii="Cambria Math" w:hAnsi="Cambria Math"/>
                <w:lang w:eastAsia="zh-CN"/>
              </w:rPr>
              <m:t>PDCCH</m:t>
            </m:r>
          </m:sub>
          <m:sup>
            <m:r>
              <m:rPr>
                <m:sty m:val="bi"/>
              </m:rPr>
              <w:rPr>
                <w:rFonts w:ascii="Cambria Math" w:hAnsi="Cambria Math"/>
                <w:lang w:eastAsia="zh-CN"/>
              </w:rPr>
              <m:t>max,slot,μ</m:t>
            </m:r>
          </m:sup>
        </m:sSubSup>
      </m:oMath>
      <w:r>
        <w:t xml:space="preserve"> of non-overlapped CCEs per slot for </w:t>
      </w:r>
      <w:r w:rsidR="0075117A">
        <w:t>a DL BWP with</w:t>
      </w:r>
      <w:r>
        <w:t xml:space="preserve"> </w:t>
      </w:r>
      <w:r w:rsidR="0075117A">
        <w:t>SCS</w:t>
      </w:r>
      <w:r>
        <w:t xml:space="preserve"> configuration </w:t>
      </w:r>
      <m:oMath>
        <m:r>
          <m:rPr>
            <m:sty m:val="bi"/>
          </m:rPr>
          <w:rPr>
            <w:rFonts w:ascii="Cambria Math" w:hAnsi="Cambria Math"/>
            <w:lang w:eastAsia="zh-CN"/>
          </w:rPr>
          <m:t>μ∈</m:t>
        </m:r>
        <m:d>
          <m:dPr>
            <m:begChr m:val="{"/>
            <m:endChr m:val="}"/>
            <m:ctrlPr>
              <w:rPr>
                <w:rFonts w:ascii="Cambria Math" w:hAnsi="Cambria Math"/>
                <w:i/>
                <w:sz w:val="24"/>
                <w:szCs w:val="24"/>
                <w:lang w:eastAsia="zh-CN"/>
              </w:rPr>
            </m:ctrlPr>
          </m:dPr>
          <m:e>
            <m:r>
              <m:rPr>
                <m:sty m:val="bi"/>
              </m:rPr>
              <w:rPr>
                <w:rFonts w:ascii="Cambria Math" w:hAnsi="Cambria Math"/>
                <w:lang w:eastAsia="zh-CN"/>
              </w:rPr>
              <m:t>0, 1,2,3</m:t>
            </m:r>
          </m:e>
        </m:d>
      </m:oMath>
      <w:r>
        <w:t xml:space="preserve"> for a single serving 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465"/>
        <w:gridCol w:w="7170"/>
      </w:tblGrid>
      <w:tr w:rsidR="00B3239C" w:rsidRPr="00BB208D" w14:paraId="209BF83F" w14:textId="77777777" w:rsidTr="0019345E">
        <w:trPr>
          <w:cantSplit/>
          <w:jc w:val="center"/>
        </w:trPr>
        <w:tc>
          <w:tcPr>
            <w:tcW w:w="1465" w:type="dxa"/>
            <w:shd w:val="clear" w:color="auto" w:fill="E0E0E0"/>
            <w:vAlign w:val="center"/>
          </w:tcPr>
          <w:p w14:paraId="19475C8B" w14:textId="4DC325C8" w:rsidR="00B3239C" w:rsidRPr="00B916EC" w:rsidRDefault="00B3239C" w:rsidP="00B3239C">
            <w:pPr>
              <w:pStyle w:val="TAH"/>
              <w:rPr>
                <w:rFonts w:ascii="Times New Roman" w:hAnsi="Times New Roman"/>
                <w:sz w:val="20"/>
              </w:rPr>
            </w:pPr>
            <m:oMathPara>
              <m:oMath>
                <m:r>
                  <m:rPr>
                    <m:sty m:val="bi"/>
                  </m:rPr>
                  <w:rPr>
                    <w:rFonts w:ascii="Cambria Math" w:hAnsi="Cambria Math"/>
                    <w:lang w:eastAsia="zh-CN"/>
                  </w:rPr>
                  <m:t>μ</m:t>
                </m:r>
              </m:oMath>
            </m:oMathPara>
          </w:p>
        </w:tc>
        <w:tc>
          <w:tcPr>
            <w:tcW w:w="7170" w:type="dxa"/>
            <w:shd w:val="clear" w:color="auto" w:fill="E0E0E0"/>
            <w:vAlign w:val="center"/>
          </w:tcPr>
          <w:p w14:paraId="61B6104B" w14:textId="528D40B9" w:rsidR="00B3239C" w:rsidRPr="00B916EC" w:rsidRDefault="00B3239C" w:rsidP="00B3239C">
            <w:pPr>
              <w:pStyle w:val="TAH"/>
              <w:rPr>
                <w:rFonts w:ascii="Times New Roman" w:hAnsi="Times New Roman"/>
                <w:sz w:val="20"/>
              </w:rPr>
            </w:pPr>
            <w:r>
              <w:t>Maximum n</w:t>
            </w:r>
            <w:r w:rsidRPr="00B916EC">
              <w:t xml:space="preserve">umber of </w:t>
            </w:r>
            <w:r>
              <w:t xml:space="preserve">non-overlapped CCEs per slot and per serving cell </w:t>
            </w:r>
            <m:oMath>
              <m:sSubSup>
                <m:sSubSupPr>
                  <m:ctrlPr>
                    <w:rPr>
                      <w:rFonts w:ascii="Cambria Math" w:hAnsi="Cambria Math"/>
                      <w:i/>
                      <w:sz w:val="24"/>
                      <w:szCs w:val="24"/>
                      <w:lang w:eastAsia="zh-CN"/>
                    </w:rPr>
                  </m:ctrlPr>
                </m:sSubSupPr>
                <m:e>
                  <m:r>
                    <m:rPr>
                      <m:sty m:val="bi"/>
                    </m:rPr>
                    <w:rPr>
                      <w:rFonts w:ascii="Cambria Math" w:hAnsi="Cambria Math"/>
                      <w:lang w:eastAsia="zh-CN"/>
                    </w:rPr>
                    <m:t>C</m:t>
                  </m:r>
                </m:e>
                <m:sub>
                  <m:r>
                    <m:rPr>
                      <m:sty m:val="b"/>
                    </m:rPr>
                    <w:rPr>
                      <w:rFonts w:ascii="Cambria Math" w:hAnsi="Cambria Math"/>
                      <w:lang w:eastAsia="zh-CN"/>
                    </w:rPr>
                    <m:t>PDCCH</m:t>
                  </m:r>
                </m:sub>
                <m:sup>
                  <m:r>
                    <m:rPr>
                      <m:sty m:val="bi"/>
                    </m:rPr>
                    <w:rPr>
                      <w:rFonts w:ascii="Cambria Math" w:hAnsi="Cambria Math"/>
                      <w:lang w:eastAsia="zh-CN"/>
                    </w:rPr>
                    <m:t>max,slot,μ</m:t>
                  </m:r>
                </m:sup>
              </m:sSubSup>
            </m:oMath>
          </w:p>
        </w:tc>
      </w:tr>
      <w:tr w:rsidR="009919DB" w:rsidRPr="00BB208D" w14:paraId="3827AD77" w14:textId="77777777" w:rsidTr="0019345E">
        <w:trPr>
          <w:cantSplit/>
          <w:jc w:val="center"/>
        </w:trPr>
        <w:tc>
          <w:tcPr>
            <w:tcW w:w="1465" w:type="dxa"/>
            <w:vAlign w:val="center"/>
          </w:tcPr>
          <w:p w14:paraId="1A8F4B0D" w14:textId="77777777" w:rsidR="009919DB" w:rsidRPr="00B916EC" w:rsidRDefault="009919DB" w:rsidP="0019345E">
            <w:pPr>
              <w:pStyle w:val="TAC"/>
            </w:pPr>
            <w:r>
              <w:t>0</w:t>
            </w:r>
          </w:p>
        </w:tc>
        <w:tc>
          <w:tcPr>
            <w:tcW w:w="7170" w:type="dxa"/>
            <w:vAlign w:val="center"/>
          </w:tcPr>
          <w:p w14:paraId="063EF41D" w14:textId="77777777" w:rsidR="009919DB" w:rsidRPr="00B916EC" w:rsidRDefault="009919DB" w:rsidP="0019345E">
            <w:pPr>
              <w:pStyle w:val="TAC"/>
            </w:pPr>
            <w:r>
              <w:t>56</w:t>
            </w:r>
          </w:p>
        </w:tc>
      </w:tr>
      <w:tr w:rsidR="009919DB" w:rsidRPr="00BB208D" w14:paraId="36CC5CC4" w14:textId="77777777" w:rsidTr="0019345E">
        <w:trPr>
          <w:cantSplit/>
          <w:jc w:val="center"/>
        </w:trPr>
        <w:tc>
          <w:tcPr>
            <w:tcW w:w="1465" w:type="dxa"/>
            <w:vAlign w:val="center"/>
          </w:tcPr>
          <w:p w14:paraId="65367928" w14:textId="77777777" w:rsidR="009919DB" w:rsidRPr="00B916EC" w:rsidRDefault="009919DB" w:rsidP="0019345E">
            <w:pPr>
              <w:pStyle w:val="TAC"/>
            </w:pPr>
            <w:r>
              <w:t>1</w:t>
            </w:r>
          </w:p>
        </w:tc>
        <w:tc>
          <w:tcPr>
            <w:tcW w:w="7170" w:type="dxa"/>
            <w:vAlign w:val="center"/>
          </w:tcPr>
          <w:p w14:paraId="75D2E5F2" w14:textId="77777777" w:rsidR="009919DB" w:rsidRPr="00B916EC" w:rsidRDefault="009919DB" w:rsidP="0019345E">
            <w:pPr>
              <w:pStyle w:val="TAC"/>
            </w:pPr>
            <w:r>
              <w:t>56</w:t>
            </w:r>
          </w:p>
        </w:tc>
      </w:tr>
      <w:tr w:rsidR="009919DB" w:rsidRPr="00BB208D" w14:paraId="400FF712" w14:textId="77777777" w:rsidTr="0019345E">
        <w:trPr>
          <w:cantSplit/>
          <w:jc w:val="center"/>
        </w:trPr>
        <w:tc>
          <w:tcPr>
            <w:tcW w:w="1465" w:type="dxa"/>
            <w:vAlign w:val="center"/>
          </w:tcPr>
          <w:p w14:paraId="590F9BC0" w14:textId="77777777" w:rsidR="009919DB" w:rsidRPr="00B916EC" w:rsidRDefault="009919DB" w:rsidP="0019345E">
            <w:pPr>
              <w:pStyle w:val="TAC"/>
            </w:pPr>
            <w:r>
              <w:t>2</w:t>
            </w:r>
          </w:p>
        </w:tc>
        <w:tc>
          <w:tcPr>
            <w:tcW w:w="7170" w:type="dxa"/>
            <w:vAlign w:val="center"/>
          </w:tcPr>
          <w:p w14:paraId="46D6F8B4" w14:textId="77777777" w:rsidR="009919DB" w:rsidRPr="00B916EC" w:rsidRDefault="009919DB" w:rsidP="0019345E">
            <w:pPr>
              <w:pStyle w:val="TAC"/>
            </w:pPr>
            <w:r>
              <w:t>48</w:t>
            </w:r>
          </w:p>
        </w:tc>
      </w:tr>
      <w:tr w:rsidR="009919DB" w:rsidRPr="00BB208D" w14:paraId="34FD6BCA" w14:textId="77777777" w:rsidTr="0019345E">
        <w:trPr>
          <w:cantSplit/>
          <w:jc w:val="center"/>
        </w:trPr>
        <w:tc>
          <w:tcPr>
            <w:tcW w:w="1465" w:type="dxa"/>
            <w:vAlign w:val="center"/>
          </w:tcPr>
          <w:p w14:paraId="3F8633AC" w14:textId="77777777" w:rsidR="009919DB" w:rsidRDefault="009919DB" w:rsidP="0019345E">
            <w:pPr>
              <w:pStyle w:val="TAC"/>
            </w:pPr>
            <w:r>
              <w:t>3</w:t>
            </w:r>
          </w:p>
        </w:tc>
        <w:tc>
          <w:tcPr>
            <w:tcW w:w="7170" w:type="dxa"/>
            <w:vAlign w:val="center"/>
          </w:tcPr>
          <w:p w14:paraId="1A7927ED" w14:textId="77777777" w:rsidR="009919DB" w:rsidRDefault="009919DB" w:rsidP="0019345E">
            <w:pPr>
              <w:pStyle w:val="TAC"/>
            </w:pPr>
            <w:r>
              <w:t>32</w:t>
            </w:r>
          </w:p>
        </w:tc>
      </w:tr>
    </w:tbl>
    <w:p w14:paraId="4C46C9A2" w14:textId="77777777" w:rsidR="00BA4F7A" w:rsidRDefault="00BA4F7A" w:rsidP="00BA4F7A"/>
    <w:p w14:paraId="099BF705" w14:textId="0B76166B" w:rsidR="00BC7FF5" w:rsidRPr="00D20E88" w:rsidRDefault="00BC7FF5" w:rsidP="00BA4F7A">
      <w:r>
        <w:t>Table 10.1-3A</w:t>
      </w:r>
      <w:r w:rsidRPr="00D20E88">
        <w:t xml:space="preserve"> provides the maximum number of </w:t>
      </w:r>
      <w:r>
        <w:t>non-overlapped CCEs</w:t>
      </w:r>
      <w:r w:rsidRPr="00D20E88">
        <w:t xml:space="preserve">, </w:t>
      </w:r>
      <m:oMath>
        <m:sSubSup>
          <m:sSubSupPr>
            <m:ctrlPr>
              <w:rPr>
                <w:rFonts w:ascii="Cambria Math" w:hAnsi="Cambria Math"/>
                <w:i/>
                <w:sz w:val="18"/>
                <w:lang w:eastAsia="zh-CN"/>
              </w:rPr>
            </m:ctrlPr>
          </m:sSubSupPr>
          <m:e>
            <m:r>
              <w:rPr>
                <w:rFonts w:ascii="Cambria Math" w:hAnsi="Cambria Math"/>
                <w:lang w:eastAsia="zh-CN"/>
              </w:rPr>
              <m:t>C</m:t>
            </m:r>
          </m:e>
          <m:sub>
            <m:r>
              <m:rPr>
                <m:sty m:val="p"/>
              </m:rPr>
              <w:rPr>
                <w:rFonts w:ascii="Cambria Math" w:hAnsi="Cambria Math"/>
                <w:lang w:eastAsia="zh-CN"/>
              </w:rPr>
              <m:t>PDCCH</m:t>
            </m:r>
          </m:sub>
          <m:sup>
            <m:r>
              <w:rPr>
                <w:rFonts w:ascii="Cambria Math" w:hAnsi="Cambria Math"/>
                <w:lang w:eastAsia="zh-CN"/>
              </w:rPr>
              <m:t>max,</m:t>
            </m:r>
            <m:d>
              <m:dPr>
                <m:ctrlPr>
                  <w:rPr>
                    <w:rFonts w:ascii="Cambria Math" w:hAnsi="Cambria Math"/>
                    <w:i/>
                    <w:lang w:eastAsia="zh-CN"/>
                  </w:rPr>
                </m:ctrlPr>
              </m:dPr>
              <m:e>
                <m:r>
                  <w:rPr>
                    <w:rFonts w:ascii="Cambria Math" w:hAnsi="Cambria Math"/>
                    <w:lang w:eastAsia="zh-CN"/>
                  </w:rPr>
                  <m:t>X,Y</m:t>
                </m:r>
              </m:e>
            </m:d>
            <m:r>
              <w:rPr>
                <w:rFonts w:ascii="Cambria Math" w:hAnsi="Cambria Math"/>
                <w:lang w:eastAsia="zh-CN"/>
              </w:rPr>
              <m:t>,μ</m:t>
            </m:r>
          </m:sup>
        </m:sSubSup>
      </m:oMath>
      <w:r>
        <w:t xml:space="preserve">, for a </w:t>
      </w:r>
      <w:r w:rsidRPr="00D20E88">
        <w:t xml:space="preserve">DL BWP with </w:t>
      </w:r>
      <w:r>
        <w:t>SCS</w:t>
      </w:r>
      <w:r w:rsidRPr="00D20E88">
        <w:t xml:space="preserve"> configuration </w:t>
      </w:r>
      <m:oMath>
        <m:r>
          <w:rPr>
            <w:rFonts w:ascii="Cambria Math" w:hAnsi="Cambria Math"/>
            <w:lang w:eastAsia="zh-CN"/>
          </w:rPr>
          <m:t>μ</m:t>
        </m:r>
      </m:oMath>
      <w:r>
        <w:t xml:space="preserve"> that a UE is expected to monitor corresponding PDCCH candidates per span </w:t>
      </w:r>
      <w:r w:rsidRPr="00D20E88">
        <w:t>for operation with a single serving cell.</w:t>
      </w:r>
    </w:p>
    <w:p w14:paraId="3F603D0E" w14:textId="62B4EA2B" w:rsidR="00BC7FF5" w:rsidRPr="00B916EC" w:rsidRDefault="00BC7FF5" w:rsidP="00BC7FF5">
      <w:pPr>
        <w:pStyle w:val="TH"/>
      </w:pPr>
      <w:r>
        <w:t>Table 10.1-3A</w:t>
      </w:r>
      <w:r w:rsidRPr="00B916EC">
        <w:t xml:space="preserve">: </w:t>
      </w:r>
      <w:r>
        <w:t xml:space="preserve">Maximum number </w:t>
      </w:r>
      <m:oMath>
        <m:sSubSup>
          <m:sSubSupPr>
            <m:ctrlPr>
              <w:rPr>
                <w:rFonts w:ascii="Cambria Math" w:hAnsi="Cambria Math"/>
                <w:i/>
                <w:lang w:eastAsia="zh-CN"/>
              </w:rPr>
            </m:ctrlPr>
          </m:sSubSupPr>
          <m:e>
            <m:r>
              <m:rPr>
                <m:sty m:val="bi"/>
              </m:rPr>
              <w:rPr>
                <w:rFonts w:ascii="Cambria Math" w:hAnsi="Cambria Math"/>
                <w:lang w:eastAsia="zh-CN"/>
              </w:rPr>
              <m:t>C</m:t>
            </m:r>
          </m:e>
          <m:sub>
            <m:r>
              <m:rPr>
                <m:sty m:val="b"/>
              </m:rPr>
              <w:rPr>
                <w:rFonts w:ascii="Cambria Math" w:hAnsi="Cambria Math"/>
                <w:lang w:eastAsia="zh-CN"/>
              </w:rPr>
              <m:t>PDCCH</m:t>
            </m:r>
          </m:sub>
          <m:sup>
            <m:r>
              <m:rPr>
                <m:sty m:val="bi"/>
              </m:rPr>
              <w:rPr>
                <w:rFonts w:ascii="Cambria Math" w:hAnsi="Cambria Math"/>
                <w:lang w:eastAsia="zh-CN"/>
              </w:rPr>
              <m:t>max,</m:t>
            </m:r>
            <m:d>
              <m:dPr>
                <m:ctrlPr>
                  <w:rPr>
                    <w:rFonts w:ascii="Cambria Math" w:hAnsi="Cambria Math"/>
                    <w:i/>
                    <w:lang w:eastAsia="zh-CN"/>
                  </w:rPr>
                </m:ctrlPr>
              </m:dPr>
              <m:e>
                <m:r>
                  <m:rPr>
                    <m:sty m:val="bi"/>
                  </m:rPr>
                  <w:rPr>
                    <w:rFonts w:ascii="Cambria Math" w:hAnsi="Cambria Math"/>
                    <w:lang w:eastAsia="zh-CN"/>
                  </w:rPr>
                  <m:t>X,Y</m:t>
                </m:r>
              </m:e>
            </m:d>
            <m:r>
              <m:rPr>
                <m:sty m:val="bi"/>
              </m:rPr>
              <w:rPr>
                <w:rFonts w:ascii="Cambria Math" w:hAnsi="Cambria Math"/>
                <w:lang w:eastAsia="zh-CN"/>
              </w:rPr>
              <m:t>,μ</m:t>
            </m:r>
          </m:sup>
        </m:sSubSup>
      </m:oMath>
      <w:r>
        <w:t xml:space="preserve"> of non-overlapped CCEs in a span </w:t>
      </w:r>
      <w:r w:rsidR="004D2526">
        <w:t>for combination</w:t>
      </w:r>
      <w:r>
        <w:t xml:space="preserve"> </w:t>
      </w:r>
      <m:oMath>
        <m:d>
          <m:dPr>
            <m:ctrlPr>
              <w:rPr>
                <w:rFonts w:ascii="Cambria Math" w:hAnsi="Cambria Math"/>
                <w:i/>
                <w:lang w:eastAsia="zh-CN"/>
              </w:rPr>
            </m:ctrlPr>
          </m:dPr>
          <m:e>
            <m:r>
              <m:rPr>
                <m:sty m:val="bi"/>
              </m:rPr>
              <w:rPr>
                <w:rFonts w:ascii="Cambria Math" w:hAnsi="Cambria Math"/>
                <w:lang w:eastAsia="zh-CN"/>
              </w:rPr>
              <m:t>X,Y</m:t>
            </m:r>
          </m:e>
        </m:d>
      </m:oMath>
      <w:r>
        <w:t xml:space="preserve"> for a DL BWP with SCS configuration </w:t>
      </w:r>
      <m:oMath>
        <m:r>
          <m:rPr>
            <m:sty m:val="bi"/>
          </m:rPr>
          <w:rPr>
            <w:rFonts w:ascii="Cambria Math" w:hAnsi="Cambria Math"/>
            <w:lang w:eastAsia="zh-CN"/>
          </w:rPr>
          <m:t>μ∈</m:t>
        </m:r>
        <m:d>
          <m:dPr>
            <m:begChr m:val="{"/>
            <m:endChr m:val="}"/>
            <m:ctrlPr>
              <w:rPr>
                <w:rFonts w:ascii="Cambria Math" w:hAnsi="Cambria Math"/>
                <w:i/>
                <w:lang w:eastAsia="zh-CN"/>
              </w:rPr>
            </m:ctrlPr>
          </m:dPr>
          <m:e>
            <m:r>
              <m:rPr>
                <m:sty m:val="bi"/>
              </m:rPr>
              <w:rPr>
                <w:rFonts w:ascii="Cambria Math" w:hAnsi="Cambria Math"/>
                <w:lang w:eastAsia="zh-CN"/>
              </w:rPr>
              <m:t>0, 1</m:t>
            </m:r>
          </m:e>
        </m:d>
      </m:oMath>
      <w:r>
        <w:t xml:space="preserve"> for a single serving 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94"/>
        <w:gridCol w:w="1451"/>
        <w:gridCol w:w="1530"/>
        <w:gridCol w:w="1440"/>
      </w:tblGrid>
      <w:tr w:rsidR="00BC7FF5" w:rsidRPr="00B916EC" w14:paraId="6CC37302" w14:textId="77777777" w:rsidTr="00B25F5D">
        <w:trPr>
          <w:cantSplit/>
          <w:jc w:val="center"/>
        </w:trPr>
        <w:tc>
          <w:tcPr>
            <w:tcW w:w="794" w:type="dxa"/>
            <w:shd w:val="clear" w:color="auto" w:fill="E0E0E0"/>
            <w:vAlign w:val="center"/>
          </w:tcPr>
          <w:p w14:paraId="6A130B70" w14:textId="77777777" w:rsidR="00BC7FF5" w:rsidRPr="00B916EC" w:rsidRDefault="00BC7FF5" w:rsidP="00B25F5D">
            <w:pPr>
              <w:pStyle w:val="TAH"/>
              <w:rPr>
                <w:rFonts w:ascii="Times New Roman" w:hAnsi="Times New Roman"/>
                <w:sz w:val="20"/>
              </w:rPr>
            </w:pPr>
          </w:p>
        </w:tc>
        <w:tc>
          <w:tcPr>
            <w:tcW w:w="4421" w:type="dxa"/>
            <w:gridSpan w:val="3"/>
            <w:shd w:val="clear" w:color="auto" w:fill="E0E0E0"/>
          </w:tcPr>
          <w:p w14:paraId="77AAC138" w14:textId="44D28F3E" w:rsidR="00BC7FF5" w:rsidRDefault="00BC7FF5" w:rsidP="00B25F5D">
            <w:pPr>
              <w:pStyle w:val="TAH"/>
            </w:pPr>
            <w:r>
              <w:t xml:space="preserve">Maximum number </w:t>
            </w:r>
            <m:oMath>
              <m:sSubSup>
                <m:sSubSupPr>
                  <m:ctrlPr>
                    <w:rPr>
                      <w:rFonts w:ascii="Cambria Math" w:hAnsi="Cambria Math"/>
                      <w:i/>
                      <w:lang w:eastAsia="zh-CN"/>
                    </w:rPr>
                  </m:ctrlPr>
                </m:sSubSupPr>
                <m:e>
                  <m:r>
                    <m:rPr>
                      <m:sty m:val="bi"/>
                    </m:rPr>
                    <w:rPr>
                      <w:rFonts w:ascii="Cambria Math" w:hAnsi="Cambria Math"/>
                      <w:lang w:eastAsia="zh-CN"/>
                    </w:rPr>
                    <m:t>C</m:t>
                  </m:r>
                </m:e>
                <m:sub>
                  <m:r>
                    <m:rPr>
                      <m:sty m:val="b"/>
                    </m:rPr>
                    <w:rPr>
                      <w:rFonts w:ascii="Cambria Math" w:hAnsi="Cambria Math"/>
                      <w:lang w:eastAsia="zh-CN"/>
                    </w:rPr>
                    <m:t>PDCCH</m:t>
                  </m:r>
                </m:sub>
                <m:sup>
                  <m:r>
                    <m:rPr>
                      <m:sty m:val="bi"/>
                    </m:rPr>
                    <w:rPr>
                      <w:rFonts w:ascii="Cambria Math" w:hAnsi="Cambria Math"/>
                      <w:lang w:eastAsia="zh-CN"/>
                    </w:rPr>
                    <m:t>max,</m:t>
                  </m:r>
                  <m:d>
                    <m:dPr>
                      <m:ctrlPr>
                        <w:rPr>
                          <w:rFonts w:ascii="Cambria Math" w:hAnsi="Cambria Math"/>
                          <w:i/>
                          <w:lang w:eastAsia="zh-CN"/>
                        </w:rPr>
                      </m:ctrlPr>
                    </m:dPr>
                    <m:e>
                      <m:r>
                        <m:rPr>
                          <m:sty m:val="bi"/>
                        </m:rPr>
                        <w:rPr>
                          <w:rFonts w:ascii="Cambria Math" w:hAnsi="Cambria Math"/>
                          <w:lang w:eastAsia="zh-CN"/>
                        </w:rPr>
                        <m:t>X,Y</m:t>
                      </m:r>
                    </m:e>
                  </m:d>
                  <m:r>
                    <m:rPr>
                      <m:sty m:val="bi"/>
                    </m:rPr>
                    <w:rPr>
                      <w:rFonts w:ascii="Cambria Math" w:hAnsi="Cambria Math"/>
                      <w:lang w:eastAsia="zh-CN"/>
                    </w:rPr>
                    <m:t>,μ</m:t>
                  </m:r>
                </m:sup>
              </m:sSubSup>
            </m:oMath>
            <w:r w:rsidRPr="00B916EC">
              <w:t xml:space="preserve"> of </w:t>
            </w:r>
            <w:r>
              <w:t xml:space="preserve">non-overlapped CCEs per span </w:t>
            </w:r>
            <w:r w:rsidR="004D2526">
              <w:t>for combination</w:t>
            </w:r>
            <w:r>
              <w:t xml:space="preserve"> </w:t>
            </w:r>
            <m:oMath>
              <m:d>
                <m:dPr>
                  <m:ctrlPr>
                    <w:rPr>
                      <w:rFonts w:ascii="Cambria Math" w:hAnsi="Cambria Math"/>
                      <w:i/>
                    </w:rPr>
                  </m:ctrlPr>
                </m:dPr>
                <m:e>
                  <m:r>
                    <m:rPr>
                      <m:sty m:val="bi"/>
                    </m:rPr>
                    <w:rPr>
                      <w:rFonts w:ascii="Cambria Math" w:hAnsi="Cambria Math"/>
                    </w:rPr>
                    <m:t>X,Y</m:t>
                  </m:r>
                </m:e>
              </m:d>
            </m:oMath>
            <w:r>
              <w:rPr>
                <w:lang w:eastAsia="zh-CN"/>
              </w:rPr>
              <w:t xml:space="preserve"> </w:t>
            </w:r>
            <w:r>
              <w:t xml:space="preserve">and per serving cell </w:t>
            </w:r>
          </w:p>
        </w:tc>
      </w:tr>
      <w:tr w:rsidR="00BC7FF5" w:rsidRPr="00B916EC" w14:paraId="67142769" w14:textId="77777777" w:rsidTr="00B25F5D">
        <w:trPr>
          <w:cantSplit/>
          <w:jc w:val="center"/>
        </w:trPr>
        <w:tc>
          <w:tcPr>
            <w:tcW w:w="794" w:type="dxa"/>
            <w:shd w:val="clear" w:color="auto" w:fill="E0E0E0"/>
            <w:vAlign w:val="center"/>
          </w:tcPr>
          <w:p w14:paraId="212002B3" w14:textId="77777777" w:rsidR="00BC7FF5" w:rsidRDefault="00BC7FF5" w:rsidP="00B25F5D">
            <w:pPr>
              <w:pStyle w:val="TAC"/>
            </w:pPr>
            <m:oMathPara>
              <m:oMath>
                <m:r>
                  <w:rPr>
                    <w:rFonts w:ascii="Cambria Math" w:hAnsi="Cambria Math"/>
                    <w:lang w:eastAsia="zh-CN"/>
                  </w:rPr>
                  <m:t>μ</m:t>
                </m:r>
              </m:oMath>
            </m:oMathPara>
          </w:p>
        </w:tc>
        <w:tc>
          <w:tcPr>
            <w:tcW w:w="1451" w:type="dxa"/>
            <w:vAlign w:val="center"/>
          </w:tcPr>
          <w:p w14:paraId="641440F3" w14:textId="77777777" w:rsidR="00BC7FF5" w:rsidRPr="00B916EC" w:rsidRDefault="00BC7FF5" w:rsidP="00B25F5D">
            <w:pPr>
              <w:pStyle w:val="TAC"/>
            </w:pPr>
            <w:r>
              <w:t>(2, 2)</w:t>
            </w:r>
          </w:p>
        </w:tc>
        <w:tc>
          <w:tcPr>
            <w:tcW w:w="1530" w:type="dxa"/>
          </w:tcPr>
          <w:p w14:paraId="780CA5C2" w14:textId="77777777" w:rsidR="00BC7FF5" w:rsidRPr="00B916EC" w:rsidRDefault="00BC7FF5" w:rsidP="00B25F5D">
            <w:pPr>
              <w:pStyle w:val="TAC"/>
            </w:pPr>
            <w:r>
              <w:t>(4, 3)</w:t>
            </w:r>
          </w:p>
        </w:tc>
        <w:tc>
          <w:tcPr>
            <w:tcW w:w="1440" w:type="dxa"/>
          </w:tcPr>
          <w:p w14:paraId="183FEA81" w14:textId="77777777" w:rsidR="00BC7FF5" w:rsidRPr="00B916EC" w:rsidRDefault="00BC7FF5" w:rsidP="00B25F5D">
            <w:pPr>
              <w:pStyle w:val="TAC"/>
            </w:pPr>
            <w:r>
              <w:t>(7, 3)</w:t>
            </w:r>
          </w:p>
        </w:tc>
      </w:tr>
      <w:tr w:rsidR="00B3239C" w:rsidRPr="00B916EC" w14:paraId="5BA0D33F" w14:textId="77777777" w:rsidTr="00B25F5D">
        <w:trPr>
          <w:cantSplit/>
          <w:jc w:val="center"/>
        </w:trPr>
        <w:tc>
          <w:tcPr>
            <w:tcW w:w="794" w:type="dxa"/>
            <w:vAlign w:val="center"/>
          </w:tcPr>
          <w:p w14:paraId="0B38CB1A" w14:textId="77777777" w:rsidR="00B3239C" w:rsidRPr="00B916EC" w:rsidRDefault="00B3239C" w:rsidP="00B3239C">
            <w:pPr>
              <w:pStyle w:val="TAC"/>
            </w:pPr>
            <w:r>
              <w:t>0</w:t>
            </w:r>
          </w:p>
        </w:tc>
        <w:tc>
          <w:tcPr>
            <w:tcW w:w="1451" w:type="dxa"/>
            <w:vAlign w:val="center"/>
          </w:tcPr>
          <w:p w14:paraId="1CD463C3" w14:textId="0FF8D599" w:rsidR="00B3239C" w:rsidRPr="00B916EC" w:rsidRDefault="00B3239C" w:rsidP="00B3239C">
            <w:pPr>
              <w:pStyle w:val="TAC"/>
            </w:pPr>
            <w:r>
              <w:t>18</w:t>
            </w:r>
          </w:p>
        </w:tc>
        <w:tc>
          <w:tcPr>
            <w:tcW w:w="1530" w:type="dxa"/>
          </w:tcPr>
          <w:p w14:paraId="1B03F5FA" w14:textId="582700A2" w:rsidR="00B3239C" w:rsidRPr="00B916EC" w:rsidRDefault="00B3239C" w:rsidP="00B3239C">
            <w:pPr>
              <w:pStyle w:val="TAC"/>
            </w:pPr>
            <w:r>
              <w:t>36</w:t>
            </w:r>
          </w:p>
        </w:tc>
        <w:tc>
          <w:tcPr>
            <w:tcW w:w="1440" w:type="dxa"/>
          </w:tcPr>
          <w:p w14:paraId="02002BE6" w14:textId="77777777" w:rsidR="00B3239C" w:rsidRPr="00B916EC" w:rsidRDefault="00B3239C" w:rsidP="00B3239C">
            <w:pPr>
              <w:pStyle w:val="TAC"/>
            </w:pPr>
            <w:r>
              <w:t>56</w:t>
            </w:r>
          </w:p>
        </w:tc>
      </w:tr>
      <w:tr w:rsidR="00B3239C" w:rsidRPr="00B916EC" w14:paraId="5CAB3227" w14:textId="77777777" w:rsidTr="00B25F5D">
        <w:trPr>
          <w:cantSplit/>
          <w:jc w:val="center"/>
        </w:trPr>
        <w:tc>
          <w:tcPr>
            <w:tcW w:w="794" w:type="dxa"/>
            <w:vAlign w:val="center"/>
          </w:tcPr>
          <w:p w14:paraId="43D4F6AC" w14:textId="77777777" w:rsidR="00B3239C" w:rsidRPr="00B916EC" w:rsidRDefault="00B3239C" w:rsidP="00B3239C">
            <w:pPr>
              <w:pStyle w:val="TAC"/>
            </w:pPr>
            <w:r>
              <w:t>1</w:t>
            </w:r>
          </w:p>
        </w:tc>
        <w:tc>
          <w:tcPr>
            <w:tcW w:w="1451" w:type="dxa"/>
            <w:vAlign w:val="center"/>
          </w:tcPr>
          <w:p w14:paraId="5C080CB5" w14:textId="6B502D93" w:rsidR="00B3239C" w:rsidRPr="00B916EC" w:rsidRDefault="00B3239C" w:rsidP="00B3239C">
            <w:pPr>
              <w:pStyle w:val="TAC"/>
            </w:pPr>
            <w:r>
              <w:t>18</w:t>
            </w:r>
          </w:p>
        </w:tc>
        <w:tc>
          <w:tcPr>
            <w:tcW w:w="1530" w:type="dxa"/>
          </w:tcPr>
          <w:p w14:paraId="3BDC6EFF" w14:textId="7DF161BA" w:rsidR="00B3239C" w:rsidRPr="00B916EC" w:rsidRDefault="00B3239C" w:rsidP="00B3239C">
            <w:pPr>
              <w:pStyle w:val="TAC"/>
            </w:pPr>
            <w:r>
              <w:t>36</w:t>
            </w:r>
          </w:p>
        </w:tc>
        <w:tc>
          <w:tcPr>
            <w:tcW w:w="1440" w:type="dxa"/>
          </w:tcPr>
          <w:p w14:paraId="129AEE0D" w14:textId="77777777" w:rsidR="00B3239C" w:rsidRPr="00B916EC" w:rsidRDefault="00B3239C" w:rsidP="00B3239C">
            <w:pPr>
              <w:pStyle w:val="TAC"/>
            </w:pPr>
            <w:r>
              <w:t>56</w:t>
            </w:r>
          </w:p>
        </w:tc>
      </w:tr>
    </w:tbl>
    <w:p w14:paraId="1B8603C9" w14:textId="77777777" w:rsidR="00BA4F7A" w:rsidRDefault="00BA4F7A" w:rsidP="00BA4F7A"/>
    <w:p w14:paraId="203AE9CA" w14:textId="66EC8A64" w:rsidR="003D05B6" w:rsidRDefault="003D05B6" w:rsidP="00BA4F7A">
      <w:r>
        <w:t xml:space="preserve">Table 10.1-3B provides the maximum number of non-overlapped CCEs, </w:t>
      </w:r>
      <m:oMath>
        <m:sSubSup>
          <m:sSubSupPr>
            <m:ctrlPr>
              <w:rPr>
                <w:rFonts w:ascii="Cambria Math" w:hAnsi="Cambria Math"/>
                <w:i/>
                <w:sz w:val="18"/>
                <w:szCs w:val="18"/>
                <w:lang w:eastAsia="zh-CN"/>
              </w:rPr>
            </m:ctrlPr>
          </m:sSubSupPr>
          <m:e>
            <m:r>
              <w:rPr>
                <w:rFonts w:ascii="Cambria Math" w:hAnsi="Cambria Math"/>
                <w:lang w:eastAsia="zh-CN"/>
              </w:rPr>
              <m:t>C</m:t>
            </m:r>
          </m:e>
          <m:sub>
            <m:r>
              <m:rPr>
                <m:sty m:val="p"/>
              </m:rPr>
              <w:rPr>
                <w:rFonts w:ascii="Cambria Math" w:hAnsi="Cambria Math"/>
                <w:lang w:eastAsia="zh-CN"/>
              </w:rPr>
              <m:t>PDCCH</m:t>
            </m:r>
          </m:sub>
          <m:sup>
            <m:r>
              <w:rPr>
                <w:rFonts w:ascii="Cambria Math" w:hAnsi="Cambria Math"/>
                <w:lang w:eastAsia="zh-CN"/>
              </w:rPr>
              <m:t>max,</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w:rPr>
                <w:rFonts w:ascii="Cambria Math" w:hAnsi="Cambria Math"/>
                <w:lang w:eastAsia="zh-CN"/>
              </w:rPr>
              <m:t>,μ</m:t>
            </m:r>
          </m:sup>
        </m:sSubSup>
      </m:oMath>
      <w:r>
        <w:t xml:space="preserve">, for a DL BWP with SCS configuration </w:t>
      </w:r>
      <m:oMath>
        <m:r>
          <w:rPr>
            <w:rFonts w:ascii="Cambria Math" w:hAnsi="Cambria Math"/>
            <w:lang w:eastAsia="zh-CN"/>
          </w:rPr>
          <m:t>μ</m:t>
        </m:r>
      </m:oMath>
      <w:r>
        <w:t xml:space="preserve"> that a UE is expected to monitor corresponding PDCCH candidates per 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Pr>
          <w:lang w:eastAsia="zh-CN"/>
        </w:rPr>
        <w:t xml:space="preserve"> slots </w:t>
      </w:r>
      <w:r>
        <w:t xml:space="preserve">for combination </w:t>
      </w:r>
      <m:oMath>
        <m:d>
          <m:dPr>
            <m:ctrlPr>
              <w:rPr>
                <w:rFonts w:ascii="Cambria Math" w:hAnsi="Cambria Math"/>
                <w:i/>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e>
        </m:d>
      </m:oMath>
      <w:r>
        <w:t xml:space="preserve"> for operation with a single serving cell.</w:t>
      </w:r>
    </w:p>
    <w:p w14:paraId="3AD3B407" w14:textId="77777777" w:rsidR="003D05B6" w:rsidRDefault="003D05B6" w:rsidP="003D05B6">
      <w:pPr>
        <w:pStyle w:val="TH"/>
      </w:pPr>
      <w:r>
        <w:t xml:space="preserve">Table 10.1-3B: </w:t>
      </w:r>
      <w:r w:rsidRPr="00815CA5">
        <w:t xml:space="preserve">Maximum number </w:t>
      </w:r>
      <m:oMath>
        <m:sSubSup>
          <m:sSubSupPr>
            <m:ctrlPr>
              <w:rPr>
                <w:rFonts w:ascii="Cambria Math" w:hAnsi="Cambria Math"/>
                <w:i/>
                <w:lang w:eastAsia="zh-CN"/>
              </w:rPr>
            </m:ctrlPr>
          </m:sSubSupPr>
          <m:e>
            <m:r>
              <m:rPr>
                <m:sty m:val="bi"/>
              </m:rPr>
              <w:rPr>
                <w:rFonts w:ascii="Cambria Math" w:hAnsi="Cambria Math"/>
                <w:lang w:eastAsia="zh-CN"/>
              </w:rPr>
              <m:t>C</m:t>
            </m:r>
          </m:e>
          <m:sub>
            <m:r>
              <m:rPr>
                <m:sty m:val="b"/>
              </m:rPr>
              <w:rPr>
                <w:rFonts w:ascii="Cambria Math" w:hAnsi="Cambria Math"/>
                <w:lang w:eastAsia="zh-CN"/>
              </w:rPr>
              <m:t>PDCCH</m:t>
            </m:r>
          </m:sub>
          <m:sup>
            <m:r>
              <m:rPr>
                <m:sty m:val="bi"/>
              </m:rPr>
              <w:rPr>
                <w:rFonts w:ascii="Cambria Math" w:hAnsi="Cambria Math"/>
                <w:lang w:eastAsia="zh-CN"/>
              </w:rPr>
              <m:t>max,</m:t>
            </m:r>
            <m:sSub>
              <m:sSubPr>
                <m:ctrlPr>
                  <w:rPr>
                    <w:rFonts w:ascii="Cambria Math" w:hAnsi="Cambria Math"/>
                    <w:i/>
                    <w:lang w:eastAsia="zh-CN"/>
                  </w:rPr>
                </m:ctrlPr>
              </m:sSubPr>
              <m:e>
                <m:r>
                  <m:rPr>
                    <m:sty m:val="bi"/>
                  </m:rPr>
                  <w:rPr>
                    <w:rFonts w:ascii="Cambria Math" w:hAnsi="Cambria Math"/>
                    <w:lang w:eastAsia="zh-CN"/>
                  </w:rPr>
                  <m:t>X</m:t>
                </m:r>
              </m:e>
              <m:sub>
                <m:r>
                  <m:rPr>
                    <m:sty m:val="bi"/>
                  </m:rPr>
                  <w:rPr>
                    <w:rFonts w:ascii="Cambria Math" w:hAnsi="Cambria Math"/>
                    <w:lang w:eastAsia="zh-CN"/>
                  </w:rPr>
                  <m:t>s</m:t>
                </m:r>
              </m:sub>
            </m:sSub>
            <m:r>
              <m:rPr>
                <m:sty m:val="bi"/>
              </m:rPr>
              <w:rPr>
                <w:rFonts w:ascii="Cambria Math" w:hAnsi="Cambria Math"/>
                <w:lang w:eastAsia="zh-CN"/>
              </w:rPr>
              <m:t>,μ</m:t>
            </m:r>
          </m:sup>
        </m:sSubSup>
      </m:oMath>
      <w:r w:rsidRPr="00815CA5">
        <w:t xml:space="preserve"> of non-overlapped CCEs in a group of </w:t>
      </w:r>
      <m:oMath>
        <m:sSub>
          <m:sSubPr>
            <m:ctrlPr>
              <w:rPr>
                <w:rFonts w:ascii="Cambria Math" w:hAnsi="Cambria Math"/>
                <w:i/>
                <w:lang w:eastAsia="zh-CN"/>
              </w:rPr>
            </m:ctrlPr>
          </m:sSubPr>
          <m:e>
            <m:r>
              <m:rPr>
                <m:sty m:val="bi"/>
              </m:rPr>
              <w:rPr>
                <w:rFonts w:ascii="Cambria Math" w:hAnsi="Cambria Math"/>
                <w:lang w:eastAsia="zh-CN"/>
              </w:rPr>
              <m:t>X</m:t>
            </m:r>
          </m:e>
          <m:sub>
            <m:r>
              <m:rPr>
                <m:sty m:val="bi"/>
              </m:rPr>
              <w:rPr>
                <w:rFonts w:ascii="Cambria Math" w:hAnsi="Cambria Math"/>
                <w:lang w:eastAsia="zh-CN"/>
              </w:rPr>
              <m:t>s</m:t>
            </m:r>
          </m:sub>
        </m:sSub>
      </m:oMath>
      <w:r w:rsidRPr="00815CA5">
        <w:rPr>
          <w:lang w:eastAsia="zh-CN"/>
        </w:rPr>
        <w:t xml:space="preserve"> slots </w:t>
      </w:r>
      <w:r w:rsidRPr="00815CA5">
        <w:t xml:space="preserve">for any combination </w:t>
      </w:r>
      <m:oMath>
        <m:d>
          <m:dPr>
            <m:ctrlPr>
              <w:rPr>
                <w:rFonts w:ascii="Cambria Math" w:hAnsi="Cambria Math"/>
                <w:i/>
              </w:rPr>
            </m:ctrlPr>
          </m:dPr>
          <m:e>
            <m:sSub>
              <m:sSubPr>
                <m:ctrlPr>
                  <w:rPr>
                    <w:rFonts w:ascii="Cambria Math" w:hAnsi="Cambria Math"/>
                    <w:i/>
                    <w:lang w:eastAsia="zh-CN"/>
                  </w:rPr>
                </m:ctrlPr>
              </m:sSubPr>
              <m:e>
                <m:r>
                  <m:rPr>
                    <m:sty m:val="bi"/>
                  </m:rPr>
                  <w:rPr>
                    <w:rFonts w:ascii="Cambria Math" w:hAnsi="Cambria Math"/>
                    <w:lang w:eastAsia="zh-CN"/>
                  </w:rPr>
                  <m:t>X</m:t>
                </m:r>
              </m:e>
              <m:sub>
                <m:r>
                  <m:rPr>
                    <m:sty m:val="bi"/>
                  </m:rPr>
                  <w:rPr>
                    <w:rFonts w:ascii="Cambria Math" w:hAnsi="Cambria Math"/>
                    <w:lang w:eastAsia="zh-CN"/>
                  </w:rPr>
                  <m:t>s</m:t>
                </m:r>
              </m:sub>
            </m:sSub>
            <m:r>
              <m:rPr>
                <m:sty m:val="bi"/>
              </m:rPr>
              <w:rPr>
                <w:rFonts w:ascii="Cambria Math" w:hAnsi="Cambria Math"/>
                <w:lang w:eastAsia="zh-CN"/>
              </w:rPr>
              <m:t>,</m:t>
            </m:r>
            <m:sSub>
              <m:sSubPr>
                <m:ctrlPr>
                  <w:rPr>
                    <w:rFonts w:ascii="Cambria Math" w:hAnsi="Cambria Math"/>
                    <w:i/>
                    <w:lang w:eastAsia="zh-CN"/>
                  </w:rPr>
                </m:ctrlPr>
              </m:sSubPr>
              <m:e>
                <m:r>
                  <m:rPr>
                    <m:sty m:val="bi"/>
                  </m:rPr>
                  <w:rPr>
                    <w:rFonts w:ascii="Cambria Math" w:hAnsi="Cambria Math"/>
                    <w:lang w:eastAsia="zh-CN"/>
                  </w:rPr>
                  <m:t>Y</m:t>
                </m:r>
              </m:e>
              <m:sub>
                <m:r>
                  <m:rPr>
                    <m:sty m:val="bi"/>
                  </m:rPr>
                  <w:rPr>
                    <w:rFonts w:ascii="Cambria Math" w:hAnsi="Cambria Math"/>
                    <w:lang w:eastAsia="zh-CN"/>
                  </w:rPr>
                  <m:t>s</m:t>
                </m:r>
              </m:sub>
            </m:sSub>
          </m:e>
        </m:d>
      </m:oMath>
      <w:r w:rsidRPr="00815CA5">
        <w:t xml:space="preserve"> for a DL BWP with SCS configuration </w:t>
      </w:r>
      <m:oMath>
        <m:r>
          <m:rPr>
            <m:sty m:val="bi"/>
          </m:rPr>
          <w:rPr>
            <w:rFonts w:ascii="Cambria Math" w:hAnsi="Cambria Math"/>
            <w:lang w:eastAsia="zh-CN"/>
          </w:rPr>
          <m:t>μ∈</m:t>
        </m:r>
        <m:d>
          <m:dPr>
            <m:begChr m:val="{"/>
            <m:endChr m:val="}"/>
            <m:ctrlPr>
              <w:rPr>
                <w:rFonts w:ascii="Cambria Math" w:hAnsi="Cambria Math"/>
                <w:i/>
                <w:lang w:eastAsia="zh-CN"/>
              </w:rPr>
            </m:ctrlPr>
          </m:dPr>
          <m:e>
            <m:r>
              <m:rPr>
                <m:sty m:val="bi"/>
              </m:rPr>
              <w:rPr>
                <w:rFonts w:ascii="Cambria Math" w:hAnsi="Cambria Math"/>
                <w:lang w:eastAsia="zh-CN"/>
              </w:rPr>
              <m:t>5, 6</m:t>
            </m:r>
          </m:e>
        </m:d>
      </m:oMath>
      <w:r w:rsidRPr="00815CA5">
        <w:t xml:space="preserve"> for a single serving 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94"/>
        <w:gridCol w:w="1451"/>
        <w:gridCol w:w="1530"/>
        <w:gridCol w:w="1440"/>
        <w:gridCol w:w="1440"/>
      </w:tblGrid>
      <w:tr w:rsidR="003D05B6" w:rsidRPr="00B27E56" w14:paraId="00FE653C" w14:textId="77777777" w:rsidTr="00B272BA">
        <w:trPr>
          <w:cantSplit/>
          <w:jc w:val="center"/>
        </w:trPr>
        <w:tc>
          <w:tcPr>
            <w:tcW w:w="794" w:type="dxa"/>
            <w:shd w:val="clear" w:color="auto" w:fill="E0E0E0"/>
            <w:vAlign w:val="center"/>
          </w:tcPr>
          <w:p w14:paraId="1D24360C" w14:textId="77777777" w:rsidR="003D05B6" w:rsidRPr="00B27E56" w:rsidRDefault="003D05B6" w:rsidP="003D05B6">
            <w:pPr>
              <w:pStyle w:val="TAH"/>
              <w:rPr>
                <w:rFonts w:ascii="Times New Roman" w:hAnsi="Times New Roman"/>
                <w:sz w:val="20"/>
              </w:rPr>
            </w:pPr>
          </w:p>
        </w:tc>
        <w:tc>
          <w:tcPr>
            <w:tcW w:w="5861" w:type="dxa"/>
            <w:gridSpan w:val="4"/>
            <w:shd w:val="clear" w:color="auto" w:fill="E0E0E0"/>
            <w:vAlign w:val="center"/>
          </w:tcPr>
          <w:p w14:paraId="113A348B" w14:textId="529F529B" w:rsidR="003D05B6" w:rsidRPr="00B27E56" w:rsidRDefault="003D05B6" w:rsidP="003D05B6">
            <w:pPr>
              <w:pStyle w:val="TH"/>
              <w:spacing w:before="0" w:after="0"/>
              <w:rPr>
                <w:sz w:val="18"/>
                <w:szCs w:val="18"/>
              </w:rPr>
            </w:pPr>
            <w:r w:rsidRPr="006509DC">
              <w:rPr>
                <w:sz w:val="18"/>
                <w:szCs w:val="18"/>
                <w:lang w:eastAsia="en-GB"/>
              </w:rPr>
              <w:t xml:space="preserve">Maximum number of non-overlapped CCEs </w:t>
            </w:r>
            <w:r w:rsidRPr="006509DC">
              <w:rPr>
                <w:sz w:val="18"/>
                <w:szCs w:val="18"/>
              </w:rPr>
              <w:t xml:space="preserve">in a group of </w:t>
            </w:r>
            <m:oMath>
              <m:sSub>
                <m:sSubPr>
                  <m:ctrlPr>
                    <w:rPr>
                      <w:rFonts w:ascii="Cambria Math" w:hAnsi="Cambria Math"/>
                      <w:i/>
                      <w:sz w:val="18"/>
                      <w:szCs w:val="18"/>
                      <w:lang w:eastAsia="zh-CN"/>
                    </w:rPr>
                  </m:ctrlPr>
                </m:sSubPr>
                <m:e>
                  <m:r>
                    <m:rPr>
                      <m:sty m:val="bi"/>
                    </m:rPr>
                    <w:rPr>
                      <w:rFonts w:ascii="Cambria Math" w:hAnsi="Cambria Math"/>
                      <w:sz w:val="18"/>
                      <w:szCs w:val="18"/>
                      <w:lang w:eastAsia="zh-CN"/>
                    </w:rPr>
                    <m:t>X</m:t>
                  </m:r>
                </m:e>
                <m:sub>
                  <m:r>
                    <m:rPr>
                      <m:sty m:val="bi"/>
                    </m:rPr>
                    <w:rPr>
                      <w:rFonts w:ascii="Cambria Math" w:hAnsi="Cambria Math"/>
                      <w:sz w:val="18"/>
                      <w:szCs w:val="18"/>
                      <w:lang w:eastAsia="zh-CN"/>
                    </w:rPr>
                    <m:t>s</m:t>
                  </m:r>
                </m:sub>
              </m:sSub>
            </m:oMath>
            <w:r w:rsidRPr="006509DC">
              <w:rPr>
                <w:sz w:val="18"/>
                <w:szCs w:val="18"/>
                <w:lang w:eastAsia="zh-CN"/>
              </w:rPr>
              <w:t xml:space="preserve"> slots </w:t>
            </w:r>
            <w:r w:rsidRPr="006509DC">
              <w:rPr>
                <w:sz w:val="18"/>
                <w:szCs w:val="18"/>
                <w:lang w:eastAsia="en-GB"/>
              </w:rPr>
              <w:t xml:space="preserve">per combination </w:t>
            </w:r>
            <m:oMath>
              <m:d>
                <m:dPr>
                  <m:ctrlPr>
                    <w:rPr>
                      <w:rFonts w:ascii="Cambria Math" w:hAnsi="Cambria Math"/>
                      <w:i/>
                      <w:sz w:val="18"/>
                      <w:szCs w:val="18"/>
                      <w:lang w:eastAsia="en-GB"/>
                    </w:rPr>
                  </m:ctrlPr>
                </m:dPr>
                <m:e>
                  <m:sSub>
                    <m:sSubPr>
                      <m:ctrlPr>
                        <w:rPr>
                          <w:rFonts w:ascii="Cambria Math" w:hAnsi="Cambria Math"/>
                          <w:i/>
                          <w:sz w:val="18"/>
                          <w:szCs w:val="18"/>
                          <w:lang w:eastAsia="zh-CN"/>
                        </w:rPr>
                      </m:ctrlPr>
                    </m:sSubPr>
                    <m:e>
                      <m:r>
                        <m:rPr>
                          <m:sty m:val="bi"/>
                        </m:rPr>
                        <w:rPr>
                          <w:rFonts w:ascii="Cambria Math" w:hAnsi="Cambria Math"/>
                          <w:sz w:val="18"/>
                          <w:szCs w:val="18"/>
                          <w:lang w:eastAsia="zh-CN"/>
                        </w:rPr>
                        <m:t>X</m:t>
                      </m:r>
                    </m:e>
                    <m:sub>
                      <m:r>
                        <m:rPr>
                          <m:sty m:val="bi"/>
                        </m:rPr>
                        <w:rPr>
                          <w:rFonts w:ascii="Cambria Math" w:hAnsi="Cambria Math"/>
                          <w:sz w:val="18"/>
                          <w:szCs w:val="18"/>
                          <w:lang w:eastAsia="zh-CN"/>
                        </w:rPr>
                        <m:t>s</m:t>
                      </m:r>
                    </m:sub>
                  </m:sSub>
                  <m:r>
                    <m:rPr>
                      <m:sty m:val="bi"/>
                    </m:rPr>
                    <w:rPr>
                      <w:rFonts w:ascii="Cambria Math" w:hAnsi="Cambria Math"/>
                      <w:sz w:val="18"/>
                      <w:szCs w:val="18"/>
                      <w:lang w:eastAsia="zh-CN"/>
                    </w:rPr>
                    <m:t>,</m:t>
                  </m:r>
                  <m:sSub>
                    <m:sSubPr>
                      <m:ctrlPr>
                        <w:rPr>
                          <w:rFonts w:ascii="Cambria Math" w:hAnsi="Cambria Math"/>
                          <w:i/>
                          <w:sz w:val="18"/>
                          <w:szCs w:val="18"/>
                          <w:lang w:eastAsia="zh-CN"/>
                        </w:rPr>
                      </m:ctrlPr>
                    </m:sSubPr>
                    <m:e>
                      <m:r>
                        <m:rPr>
                          <m:sty m:val="bi"/>
                        </m:rPr>
                        <w:rPr>
                          <w:rFonts w:ascii="Cambria Math" w:hAnsi="Cambria Math"/>
                          <w:sz w:val="18"/>
                          <w:szCs w:val="18"/>
                          <w:lang w:eastAsia="zh-CN"/>
                        </w:rPr>
                        <m:t>Y</m:t>
                      </m:r>
                    </m:e>
                    <m:sub>
                      <m:r>
                        <m:rPr>
                          <m:sty m:val="bi"/>
                        </m:rPr>
                        <w:rPr>
                          <w:rFonts w:ascii="Cambria Math" w:hAnsi="Cambria Math"/>
                          <w:sz w:val="18"/>
                          <w:szCs w:val="18"/>
                          <w:lang w:eastAsia="zh-CN"/>
                        </w:rPr>
                        <m:t>s</m:t>
                      </m:r>
                    </m:sub>
                  </m:sSub>
                </m:e>
              </m:d>
            </m:oMath>
            <w:r w:rsidRPr="006509DC">
              <w:rPr>
                <w:sz w:val="18"/>
                <w:szCs w:val="18"/>
                <w:lang w:eastAsia="en-GB"/>
              </w:rPr>
              <w:t xml:space="preserve"> and per serving cell </w:t>
            </w:r>
            <m:oMath>
              <m:sSubSup>
                <m:sSubSupPr>
                  <m:ctrlPr>
                    <w:rPr>
                      <w:rFonts w:ascii="Cambria Math" w:hAnsi="Cambria Math"/>
                      <w:i/>
                      <w:sz w:val="18"/>
                      <w:szCs w:val="18"/>
                      <w:lang w:eastAsia="zh-CN"/>
                    </w:rPr>
                  </m:ctrlPr>
                </m:sSubSupPr>
                <m:e>
                  <m:r>
                    <m:rPr>
                      <m:sty m:val="bi"/>
                    </m:rPr>
                    <w:rPr>
                      <w:rFonts w:ascii="Cambria Math" w:hAnsi="Cambria Math"/>
                      <w:sz w:val="18"/>
                      <w:szCs w:val="18"/>
                      <w:lang w:eastAsia="zh-CN"/>
                    </w:rPr>
                    <m:t>C</m:t>
                  </m:r>
                </m:e>
                <m:sub>
                  <m:r>
                    <m:rPr>
                      <m:sty m:val="b"/>
                    </m:rPr>
                    <w:rPr>
                      <w:rFonts w:ascii="Cambria Math" w:hAnsi="Cambria Math"/>
                      <w:sz w:val="18"/>
                      <w:szCs w:val="18"/>
                      <w:lang w:eastAsia="zh-CN"/>
                    </w:rPr>
                    <m:t>PDCCH</m:t>
                  </m:r>
                </m:sub>
                <m:sup>
                  <m:r>
                    <m:rPr>
                      <m:sty m:val="bi"/>
                    </m:rPr>
                    <w:rPr>
                      <w:rFonts w:ascii="Cambria Math" w:hAnsi="Cambria Math"/>
                      <w:sz w:val="18"/>
                      <w:szCs w:val="18"/>
                      <w:lang w:eastAsia="zh-CN"/>
                    </w:rPr>
                    <m:t>max,</m:t>
                  </m:r>
                  <m:sSub>
                    <m:sSubPr>
                      <m:ctrlPr>
                        <w:rPr>
                          <w:rFonts w:ascii="Cambria Math" w:hAnsi="Cambria Math"/>
                          <w:i/>
                          <w:sz w:val="18"/>
                          <w:szCs w:val="18"/>
                          <w:lang w:eastAsia="zh-CN"/>
                        </w:rPr>
                      </m:ctrlPr>
                    </m:sSubPr>
                    <m:e>
                      <m:r>
                        <m:rPr>
                          <m:sty m:val="bi"/>
                        </m:rPr>
                        <w:rPr>
                          <w:rFonts w:ascii="Cambria Math" w:hAnsi="Cambria Math"/>
                          <w:sz w:val="18"/>
                          <w:szCs w:val="18"/>
                          <w:lang w:eastAsia="zh-CN"/>
                        </w:rPr>
                        <m:t>X</m:t>
                      </m:r>
                    </m:e>
                    <m:sub>
                      <m:r>
                        <m:rPr>
                          <m:sty m:val="bi"/>
                        </m:rPr>
                        <w:rPr>
                          <w:rFonts w:ascii="Cambria Math" w:hAnsi="Cambria Math"/>
                          <w:sz w:val="18"/>
                          <w:szCs w:val="18"/>
                          <w:lang w:eastAsia="zh-CN"/>
                        </w:rPr>
                        <m:t>s</m:t>
                      </m:r>
                    </m:sub>
                  </m:sSub>
                  <m:r>
                    <m:rPr>
                      <m:sty m:val="bi"/>
                    </m:rPr>
                    <w:rPr>
                      <w:rFonts w:ascii="Cambria Math" w:hAnsi="Cambria Math"/>
                      <w:sz w:val="18"/>
                      <w:szCs w:val="18"/>
                      <w:lang w:eastAsia="zh-CN"/>
                    </w:rPr>
                    <m:t>,μ</m:t>
                  </m:r>
                </m:sup>
              </m:sSubSup>
            </m:oMath>
          </w:p>
        </w:tc>
      </w:tr>
      <w:tr w:rsidR="00C44171" w:rsidRPr="00B27E56" w14:paraId="341344AF" w14:textId="77777777" w:rsidTr="00B272BA">
        <w:trPr>
          <w:cantSplit/>
          <w:jc w:val="center"/>
        </w:trPr>
        <w:tc>
          <w:tcPr>
            <w:tcW w:w="794" w:type="dxa"/>
            <w:shd w:val="clear" w:color="auto" w:fill="E0E0E0"/>
            <w:vAlign w:val="center"/>
          </w:tcPr>
          <w:p w14:paraId="3A7E4CC5" w14:textId="77777777" w:rsidR="00C44171" w:rsidRPr="00B27E56" w:rsidRDefault="00C44171" w:rsidP="00B272BA">
            <w:pPr>
              <w:pStyle w:val="TAC"/>
            </w:pPr>
            <m:oMathPara>
              <m:oMath>
                <m:r>
                  <m:rPr>
                    <m:sty m:val="bi"/>
                  </m:rPr>
                  <w:rPr>
                    <w:rFonts w:ascii="Cambria Math" w:hAnsi="Cambria Math"/>
                    <w:lang w:eastAsia="zh-CN"/>
                  </w:rPr>
                  <m:t>μ</m:t>
                </m:r>
              </m:oMath>
            </m:oMathPara>
          </w:p>
        </w:tc>
        <w:tc>
          <w:tcPr>
            <w:tcW w:w="1451" w:type="dxa"/>
            <w:vAlign w:val="center"/>
          </w:tcPr>
          <w:p w14:paraId="1A53EE39" w14:textId="77777777" w:rsidR="00C44171" w:rsidRPr="00B27E56" w:rsidRDefault="00C44171" w:rsidP="00B272BA">
            <w:pPr>
              <w:pStyle w:val="TAC"/>
            </w:pPr>
            <w:r w:rsidRPr="00B27E56">
              <w:t>(4, 1)</w:t>
            </w:r>
          </w:p>
        </w:tc>
        <w:tc>
          <w:tcPr>
            <w:tcW w:w="1530" w:type="dxa"/>
          </w:tcPr>
          <w:p w14:paraId="20E6B8AE" w14:textId="77777777" w:rsidR="00C44171" w:rsidRPr="00B27E56" w:rsidRDefault="00C44171" w:rsidP="00B272BA">
            <w:pPr>
              <w:pStyle w:val="TAC"/>
            </w:pPr>
            <w:r w:rsidRPr="00B27E56">
              <w:t>(4, 2)</w:t>
            </w:r>
          </w:p>
        </w:tc>
        <w:tc>
          <w:tcPr>
            <w:tcW w:w="1440" w:type="dxa"/>
          </w:tcPr>
          <w:p w14:paraId="4E47B8FC" w14:textId="77777777" w:rsidR="00C44171" w:rsidRPr="00B27E56" w:rsidRDefault="00C44171" w:rsidP="00B272BA">
            <w:pPr>
              <w:pStyle w:val="TAC"/>
            </w:pPr>
            <w:r w:rsidRPr="00B27E56">
              <w:t>(8, 1)</w:t>
            </w:r>
          </w:p>
        </w:tc>
        <w:tc>
          <w:tcPr>
            <w:tcW w:w="1440" w:type="dxa"/>
          </w:tcPr>
          <w:p w14:paraId="30908A38" w14:textId="77777777" w:rsidR="00C44171" w:rsidRPr="00B27E56" w:rsidRDefault="00C44171" w:rsidP="00B272BA">
            <w:pPr>
              <w:pStyle w:val="TAC"/>
            </w:pPr>
            <w:r w:rsidRPr="00B27E56">
              <w:t>(8, 4)</w:t>
            </w:r>
          </w:p>
        </w:tc>
      </w:tr>
      <w:tr w:rsidR="00C44171" w:rsidRPr="00B27E56" w14:paraId="79892439" w14:textId="77777777" w:rsidTr="00B272BA">
        <w:trPr>
          <w:cantSplit/>
          <w:jc w:val="center"/>
        </w:trPr>
        <w:tc>
          <w:tcPr>
            <w:tcW w:w="794" w:type="dxa"/>
            <w:vAlign w:val="center"/>
          </w:tcPr>
          <w:p w14:paraId="623ECC35" w14:textId="77777777" w:rsidR="00C44171" w:rsidRPr="00B27E56" w:rsidRDefault="00C44171" w:rsidP="00B272BA">
            <w:pPr>
              <w:pStyle w:val="TAC"/>
            </w:pPr>
            <w:r w:rsidRPr="00B27E56">
              <w:t>5</w:t>
            </w:r>
          </w:p>
        </w:tc>
        <w:tc>
          <w:tcPr>
            <w:tcW w:w="1451" w:type="dxa"/>
          </w:tcPr>
          <w:p w14:paraId="1E2CF6E8" w14:textId="77777777" w:rsidR="00C44171" w:rsidRPr="00B27E56" w:rsidRDefault="00C44171" w:rsidP="00B272BA">
            <w:pPr>
              <w:pStyle w:val="TAC"/>
            </w:pPr>
            <w:r w:rsidRPr="00B27E56">
              <w:t>32</w:t>
            </w:r>
          </w:p>
        </w:tc>
        <w:tc>
          <w:tcPr>
            <w:tcW w:w="1530" w:type="dxa"/>
          </w:tcPr>
          <w:p w14:paraId="3E08DA1A" w14:textId="77777777" w:rsidR="00C44171" w:rsidRPr="00B27E56" w:rsidRDefault="00C44171" w:rsidP="00B272BA">
            <w:pPr>
              <w:pStyle w:val="TAC"/>
            </w:pPr>
            <w:r w:rsidRPr="00B27E56">
              <w:t>32</w:t>
            </w:r>
          </w:p>
        </w:tc>
        <w:tc>
          <w:tcPr>
            <w:tcW w:w="1440" w:type="dxa"/>
          </w:tcPr>
          <w:p w14:paraId="74A3FDA5" w14:textId="77777777" w:rsidR="00C44171" w:rsidRPr="00B27E56" w:rsidRDefault="00C44171" w:rsidP="00B272BA">
            <w:pPr>
              <w:pStyle w:val="TAC"/>
            </w:pPr>
            <w:r w:rsidRPr="00B27E56">
              <w:t>-</w:t>
            </w:r>
          </w:p>
        </w:tc>
        <w:tc>
          <w:tcPr>
            <w:tcW w:w="1440" w:type="dxa"/>
          </w:tcPr>
          <w:p w14:paraId="524699DA" w14:textId="77777777" w:rsidR="00C44171" w:rsidRPr="00B27E56" w:rsidRDefault="00C44171" w:rsidP="00B272BA">
            <w:pPr>
              <w:pStyle w:val="TAC"/>
            </w:pPr>
            <w:r w:rsidRPr="00B27E56">
              <w:t>-</w:t>
            </w:r>
          </w:p>
        </w:tc>
      </w:tr>
      <w:tr w:rsidR="00C44171" w:rsidRPr="00B27E56" w14:paraId="125586BF" w14:textId="77777777" w:rsidTr="00B272BA">
        <w:trPr>
          <w:cantSplit/>
          <w:jc w:val="center"/>
        </w:trPr>
        <w:tc>
          <w:tcPr>
            <w:tcW w:w="794" w:type="dxa"/>
            <w:vAlign w:val="center"/>
          </w:tcPr>
          <w:p w14:paraId="1D3F8B5B" w14:textId="77777777" w:rsidR="00C44171" w:rsidRPr="00B27E56" w:rsidRDefault="00C44171" w:rsidP="00B272BA">
            <w:pPr>
              <w:pStyle w:val="TAC"/>
            </w:pPr>
            <w:r w:rsidRPr="00B27E56">
              <w:t>6</w:t>
            </w:r>
          </w:p>
        </w:tc>
        <w:tc>
          <w:tcPr>
            <w:tcW w:w="1451" w:type="dxa"/>
          </w:tcPr>
          <w:p w14:paraId="29D1E439" w14:textId="77777777" w:rsidR="00C44171" w:rsidRPr="00B27E56" w:rsidRDefault="00C44171" w:rsidP="00B272BA">
            <w:pPr>
              <w:pStyle w:val="TAC"/>
            </w:pPr>
            <w:r w:rsidRPr="00B27E56">
              <w:t>16</w:t>
            </w:r>
          </w:p>
        </w:tc>
        <w:tc>
          <w:tcPr>
            <w:tcW w:w="1530" w:type="dxa"/>
          </w:tcPr>
          <w:p w14:paraId="742D2117" w14:textId="77777777" w:rsidR="00C44171" w:rsidRPr="00B27E56" w:rsidRDefault="00C44171" w:rsidP="00B272BA">
            <w:pPr>
              <w:pStyle w:val="TAC"/>
            </w:pPr>
            <w:r w:rsidRPr="00B27E56">
              <w:t>16</w:t>
            </w:r>
          </w:p>
        </w:tc>
        <w:tc>
          <w:tcPr>
            <w:tcW w:w="1440" w:type="dxa"/>
          </w:tcPr>
          <w:p w14:paraId="025B6D04" w14:textId="77777777" w:rsidR="00C44171" w:rsidRPr="00B27E56" w:rsidRDefault="00C44171" w:rsidP="00B272BA">
            <w:pPr>
              <w:pStyle w:val="TAC"/>
            </w:pPr>
            <w:r w:rsidRPr="00B27E56">
              <w:t>32</w:t>
            </w:r>
          </w:p>
        </w:tc>
        <w:tc>
          <w:tcPr>
            <w:tcW w:w="1440" w:type="dxa"/>
          </w:tcPr>
          <w:p w14:paraId="0871D719" w14:textId="77777777" w:rsidR="00C44171" w:rsidRPr="00B27E56" w:rsidRDefault="00C44171" w:rsidP="00B272BA">
            <w:pPr>
              <w:pStyle w:val="TAC"/>
            </w:pPr>
            <w:r w:rsidRPr="00B27E56">
              <w:t>32</w:t>
            </w:r>
          </w:p>
        </w:tc>
      </w:tr>
    </w:tbl>
    <w:p w14:paraId="3224F256" w14:textId="77777777" w:rsidR="003B2A2E" w:rsidRDefault="003B2A2E" w:rsidP="003B2A2E">
      <w:pPr>
        <w:rPr>
          <w:lang w:eastAsia="ko-KR"/>
        </w:rPr>
      </w:pPr>
    </w:p>
    <w:p w14:paraId="47658C3E" w14:textId="478D9128" w:rsidR="003B2A2E" w:rsidRPr="003B2A2E" w:rsidRDefault="003B2A2E" w:rsidP="003B2A2E">
      <w:pPr>
        <w:rPr>
          <w:lang w:eastAsia="ja-JP"/>
        </w:rPr>
      </w:pPr>
      <w:r w:rsidRPr="003B2A2E">
        <w:rPr>
          <w:lang w:eastAsia="ko-KR"/>
        </w:rPr>
        <w:t xml:space="preserve">In the following, </w:t>
      </w:r>
      <w:r w:rsidRPr="003B2A2E">
        <w:rPr>
          <w:lang w:eastAsia="ja-JP"/>
        </w:rPr>
        <w:t xml:space="preserve">if a UE monitors PDCCH candidates </w:t>
      </w:r>
      <w:r w:rsidR="001E45F5">
        <w:rPr>
          <w:lang w:eastAsia="ja-JP"/>
        </w:rPr>
        <w:t xml:space="preserve">on a scheduling cell </w:t>
      </w:r>
      <w:r w:rsidRPr="003B2A2E">
        <w:rPr>
          <w:lang w:eastAsia="ja-JP"/>
        </w:rPr>
        <w:t xml:space="preserve">for detection of DCI format 0_3 </w:t>
      </w:r>
      <w:r w:rsidR="001E45F5">
        <w:rPr>
          <w:lang w:eastAsia="ja-JP"/>
        </w:rPr>
        <w:t>or</w:t>
      </w:r>
      <w:r w:rsidR="001E45F5" w:rsidRPr="003B2A2E">
        <w:rPr>
          <w:lang w:eastAsia="ja-JP"/>
        </w:rPr>
        <w:t xml:space="preserve"> </w:t>
      </w:r>
      <w:r w:rsidRPr="003B2A2E">
        <w:rPr>
          <w:lang w:eastAsia="ja-JP"/>
        </w:rPr>
        <w:t xml:space="preserve">DCI format 1_3 for scheduling on serving cells from a set of serving cells, the serving cell for counting the PDCCH candidates and a corresponding number of non-overlapping CCEs is </w:t>
      </w:r>
    </w:p>
    <w:p w14:paraId="1DC1FBA5" w14:textId="77777777" w:rsidR="003B2A2E" w:rsidRPr="003B2A2E" w:rsidRDefault="003B2A2E" w:rsidP="003B2A2E">
      <w:pPr>
        <w:pStyle w:val="B1"/>
        <w:rPr>
          <w:lang w:eastAsia="ja-JP"/>
        </w:rPr>
      </w:pPr>
      <w:r w:rsidRPr="003B2A2E">
        <w:t>-</w:t>
      </w:r>
      <w:r w:rsidRPr="003B2A2E">
        <w:tab/>
      </w:r>
      <w:r w:rsidRPr="003B2A2E">
        <w:rPr>
          <w:lang w:eastAsia="ja-JP"/>
        </w:rPr>
        <w:t>the scheduling cell, if the scheduling cell is included in the set of serving cells and the UE is provided search space sets for the PDCCH candidates only on the scheduling cell</w:t>
      </w:r>
    </w:p>
    <w:p w14:paraId="5FF34100" w14:textId="77777777" w:rsidR="003B2A2E" w:rsidRDefault="003B2A2E" w:rsidP="003B2A2E">
      <w:pPr>
        <w:pStyle w:val="B1"/>
        <w:rPr>
          <w:lang w:eastAsia="ja-JP"/>
        </w:rPr>
      </w:pPr>
      <w:r w:rsidRPr="003B2A2E">
        <w:t>-</w:t>
      </w:r>
      <w:r w:rsidRPr="003B2A2E">
        <w:tab/>
      </w:r>
      <w:r w:rsidRPr="003B2A2E">
        <w:rPr>
          <w:lang w:eastAsia="ja-JP"/>
        </w:rPr>
        <w:t xml:space="preserve">a serving cell from the set of serving cells, if search space sets with same </w:t>
      </w:r>
      <w:r w:rsidRPr="003B2A2E">
        <w:rPr>
          <w:i/>
        </w:rPr>
        <w:t>searchSpaceId</w:t>
      </w:r>
      <w:r w:rsidRPr="003B2A2E">
        <w:rPr>
          <w:lang w:eastAsia="ja-JP"/>
        </w:rPr>
        <w:t xml:space="preserve"> for one or both of DCI format 0_3 and DCI format 1_3, respectively, are provided on the serving cell and on the scheduling cell. </w:t>
      </w:r>
    </w:p>
    <w:p w14:paraId="022CC920" w14:textId="0BC84FD6" w:rsidR="001E45F5" w:rsidRPr="001E45F5" w:rsidRDefault="001E45F5" w:rsidP="001E45F5">
      <w:pPr>
        <w:rPr>
          <w:rFonts w:eastAsia="Times New Roman"/>
          <w:lang w:eastAsia="ko-KR"/>
        </w:rPr>
      </w:pPr>
      <w:r w:rsidRPr="001E45F5">
        <w:rPr>
          <w:rFonts w:eastAsia="Times New Roman"/>
          <w:lang w:eastAsia="ko-KR"/>
        </w:rPr>
        <w:t>For the following procedures in this clause, downlink cells are scheduled cells on which a UE is provided search space sets.</w:t>
      </w:r>
    </w:p>
    <w:p w14:paraId="69291C49" w14:textId="31067640" w:rsidR="00EA532F" w:rsidRDefault="00EA532F" w:rsidP="003B2A2E">
      <w:pPr>
        <w:rPr>
          <w:lang w:eastAsia="ko-KR"/>
        </w:rPr>
      </w:pPr>
      <w:r>
        <w:rPr>
          <w:lang w:eastAsia="ko-KR"/>
        </w:rPr>
        <w:t xml:space="preserve">If a UE </w:t>
      </w:r>
    </w:p>
    <w:p w14:paraId="692F033E" w14:textId="752556E1" w:rsidR="00EA532F" w:rsidRDefault="00EA532F" w:rsidP="00EA532F">
      <w:pPr>
        <w:pStyle w:val="B1"/>
        <w:rPr>
          <w:rFonts w:cstheme="minorHAnsi"/>
          <w:color w:val="000000"/>
          <w:sz w:val="16"/>
          <w:szCs w:val="16"/>
          <w:lang w:eastAsia="zh-CN"/>
        </w:rPr>
      </w:pPr>
      <w:r>
        <w:t>-</w:t>
      </w:r>
      <w:r>
        <w:tab/>
      </w:r>
      <w:r>
        <w:rPr>
          <w:lang w:eastAsia="ko-KR"/>
        </w:rPr>
        <w:t xml:space="preserve">does not report </w:t>
      </w:r>
      <w:r w:rsidRPr="002128CC">
        <w:rPr>
          <w:i/>
        </w:rPr>
        <w:t>pdcch-BlindDetectionCA</w:t>
      </w:r>
      <w:r w:rsidR="00AC59CD">
        <w:rPr>
          <w:i/>
          <w:lang w:val="en-GB"/>
        </w:rPr>
        <w:t xml:space="preserve">, </w:t>
      </w:r>
      <w:r w:rsidR="00AC59CD" w:rsidRPr="00A51D05">
        <w:rPr>
          <w:i/>
          <w:lang w:val="en-GB"/>
        </w:rPr>
        <w:t>pdcch-BlindDetectionCA</w:t>
      </w:r>
      <w:r w:rsidR="00AC59CD">
        <w:rPr>
          <w:i/>
          <w:lang w:val="en-GB"/>
        </w:rPr>
        <w:t>1</w:t>
      </w:r>
      <w:r w:rsidR="00AC59CD" w:rsidRPr="00A51D05">
        <w:rPr>
          <w:lang w:val="en-GB" w:eastAsia="ko-KR"/>
        </w:rPr>
        <w:t xml:space="preserve">, </w:t>
      </w:r>
      <w:r w:rsidR="00AC59CD" w:rsidRPr="00A51D05">
        <w:rPr>
          <w:i/>
        </w:rPr>
        <w:t>pdcch-BlindDetectionCA</w:t>
      </w:r>
      <w:r w:rsidR="00AC59CD">
        <w:rPr>
          <w:i/>
          <w:lang w:val="en-US"/>
        </w:rPr>
        <w:t>2</w:t>
      </w:r>
      <w:r w:rsidR="00AC59CD" w:rsidRPr="00A51D05">
        <w:rPr>
          <w:iCs/>
        </w:rPr>
        <w:t>, or</w:t>
      </w:r>
      <w:r w:rsidR="00AC59CD" w:rsidRPr="00A51D05">
        <w:rPr>
          <w:i/>
        </w:rPr>
        <w:t xml:space="preserve"> pdcch-BlindDetectionCA</w:t>
      </w:r>
      <w:r w:rsidR="00AC59CD">
        <w:rPr>
          <w:i/>
          <w:lang w:val="en-US"/>
        </w:rPr>
        <w:t>3</w:t>
      </w:r>
      <w:r w:rsidR="00AC59CD">
        <w:rPr>
          <w:iCs/>
          <w:lang w:val="en-US"/>
        </w:rPr>
        <w:t>,</w:t>
      </w:r>
      <w:r>
        <w:rPr>
          <w:iCs/>
        </w:rPr>
        <w:t xml:space="preserve"> or is not provided </w:t>
      </w:r>
      <w:bookmarkStart w:id="668" w:name="_Hlk23024772"/>
      <w:r w:rsidRPr="007558D4">
        <w:rPr>
          <w:rFonts w:cstheme="minorHAnsi"/>
          <w:i/>
          <w:iCs/>
          <w:color w:val="000000"/>
          <w:lang w:eastAsia="zh-CN"/>
        </w:rPr>
        <w:t>BDFactorR</w:t>
      </w:r>
      <w:bookmarkEnd w:id="668"/>
      <w:r>
        <w:rPr>
          <w:rFonts w:cstheme="minorHAnsi"/>
          <w:color w:val="000000"/>
          <w:sz w:val="16"/>
          <w:szCs w:val="16"/>
          <w:lang w:eastAsia="zh-CN"/>
        </w:rPr>
        <w:t xml:space="preserve">, </w:t>
      </w:r>
      <m:oMath>
        <m:r>
          <w:rPr>
            <w:rFonts w:ascii="Cambria Math" w:hAnsi="Cambria Math" w:cstheme="minorHAnsi"/>
          </w:rPr>
          <m:t>γ</m:t>
        </m:r>
        <m:r>
          <w:rPr>
            <w:rFonts w:ascii="Cambria Math"/>
          </w:rPr>
          <m:t>=R</m:t>
        </m:r>
      </m:oMath>
    </w:p>
    <w:p w14:paraId="4B9C62D9" w14:textId="473576F5" w:rsidR="00EA532F" w:rsidRDefault="00EA532F" w:rsidP="00EA532F">
      <w:pPr>
        <w:pStyle w:val="B1"/>
      </w:pPr>
      <w:r>
        <w:t>-</w:t>
      </w:r>
      <w:r>
        <w:tab/>
      </w:r>
      <w:r>
        <w:rPr>
          <w:lang w:eastAsia="ko-KR"/>
        </w:rPr>
        <w:t xml:space="preserve">reports </w:t>
      </w:r>
      <w:r w:rsidRPr="002128CC">
        <w:rPr>
          <w:i/>
        </w:rPr>
        <w:t>pdcch-BlindDetectionCA</w:t>
      </w:r>
      <w:r w:rsidR="00636720">
        <w:rPr>
          <w:iCs/>
          <w:lang w:val="en-US"/>
        </w:rPr>
        <w:t>,</w:t>
      </w:r>
      <w:r w:rsidR="00636720">
        <w:rPr>
          <w:iCs/>
        </w:rPr>
        <w:t xml:space="preserve"> </w:t>
      </w:r>
      <w:r w:rsidR="00636720" w:rsidRPr="00A51D05">
        <w:rPr>
          <w:i/>
          <w:lang w:val="en-GB"/>
        </w:rPr>
        <w:t>pdcch-BlindDetectionCA</w:t>
      </w:r>
      <w:r w:rsidR="00636720">
        <w:rPr>
          <w:i/>
          <w:lang w:val="en-GB"/>
        </w:rPr>
        <w:t>1</w:t>
      </w:r>
      <w:r w:rsidR="00636720" w:rsidRPr="00A51D05">
        <w:rPr>
          <w:lang w:val="en-GB" w:eastAsia="ko-KR"/>
        </w:rPr>
        <w:t xml:space="preserve">, </w:t>
      </w:r>
      <w:r w:rsidR="00636720" w:rsidRPr="00A51D05">
        <w:rPr>
          <w:i/>
        </w:rPr>
        <w:t>pdcch-BlindDetectionCA</w:t>
      </w:r>
      <w:r w:rsidR="00636720">
        <w:rPr>
          <w:i/>
          <w:lang w:val="en-US"/>
        </w:rPr>
        <w:t>2</w:t>
      </w:r>
      <w:r w:rsidR="00636720" w:rsidRPr="00A51D05">
        <w:rPr>
          <w:iCs/>
        </w:rPr>
        <w:t>, or</w:t>
      </w:r>
      <w:r w:rsidR="00636720" w:rsidRPr="00A51D05">
        <w:rPr>
          <w:i/>
        </w:rPr>
        <w:t xml:space="preserve"> pdcch-BlindDetectionCA</w:t>
      </w:r>
      <w:r w:rsidR="00636720">
        <w:rPr>
          <w:i/>
          <w:lang w:val="en-US"/>
        </w:rPr>
        <w:t>3</w:t>
      </w:r>
      <w:r>
        <w:t xml:space="preserve">, the UE can be indicated by </w:t>
      </w:r>
      <w:r w:rsidRPr="007558D4">
        <w:rPr>
          <w:rFonts w:cstheme="minorHAnsi"/>
          <w:i/>
          <w:iCs/>
          <w:color w:val="000000"/>
          <w:lang w:eastAsia="zh-CN"/>
        </w:rPr>
        <w:t>BDFactorR</w:t>
      </w:r>
      <w:r>
        <w:rPr>
          <w:rFonts w:cstheme="minorHAnsi"/>
          <w:color w:val="000000"/>
          <w:lang w:eastAsia="zh-CN"/>
        </w:rPr>
        <w:t xml:space="preserve"> either </w:t>
      </w:r>
      <m:oMath>
        <m:r>
          <w:rPr>
            <w:rFonts w:ascii="Cambria Math" w:hAnsi="Cambria Math" w:cstheme="minorHAnsi"/>
          </w:rPr>
          <m:t>γ</m:t>
        </m:r>
        <m:r>
          <w:rPr>
            <w:rFonts w:ascii="Cambria Math"/>
          </w:rPr>
          <m:t>=1</m:t>
        </m:r>
      </m:oMath>
      <w:r>
        <w:rPr>
          <w:rFonts w:cstheme="minorHAnsi"/>
        </w:rPr>
        <w:t xml:space="preserve"> or </w:t>
      </w:r>
      <m:oMath>
        <m:r>
          <w:rPr>
            <w:rFonts w:ascii="Cambria Math" w:hAnsi="Cambria Math" w:cstheme="minorHAnsi"/>
          </w:rPr>
          <m:t>γ</m:t>
        </m:r>
        <m:r>
          <w:rPr>
            <w:rFonts w:ascii="Cambria Math"/>
          </w:rPr>
          <m:t>=R</m:t>
        </m:r>
      </m:oMath>
    </w:p>
    <w:p w14:paraId="73081229" w14:textId="7915B918" w:rsidR="00651CF3" w:rsidRDefault="0075117A">
      <w:pPr>
        <w:rPr>
          <w:lang w:eastAsia="ko-KR"/>
        </w:rPr>
      </w:pPr>
      <w:r w:rsidRPr="00D20E88">
        <w:rPr>
          <w:lang w:eastAsia="ko-KR"/>
        </w:rPr>
        <w:lastRenderedPageBreak/>
        <w:t xml:space="preserve">If a UE </w:t>
      </w:r>
      <w:r w:rsidRPr="00D20E88">
        <w:t xml:space="preserve">is configured with </w:t>
      </w:r>
      <m:oMath>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oMath>
      <w:r w:rsidRPr="00D20E88">
        <w:t xml:space="preserve"> downlink cells </w:t>
      </w:r>
      <w:r w:rsidR="0028578C">
        <w:rPr>
          <w:lang w:val="en-US"/>
        </w:rPr>
        <w:t xml:space="preserve">for which the UE </w:t>
      </w:r>
      <w:r w:rsidR="0028578C">
        <w:t xml:space="preserve">is not provided </w:t>
      </w:r>
      <w:r w:rsidR="0028578C">
        <w:rPr>
          <w:i/>
        </w:rPr>
        <w:t>monitoringCapabilityConfig,</w:t>
      </w:r>
      <w:r w:rsidR="0028578C">
        <w:t xml:space="preserve"> or is provided </w:t>
      </w:r>
      <w:r w:rsidR="0028578C">
        <w:rPr>
          <w:i/>
        </w:rPr>
        <w:t>monitoringCapabilityConfig</w:t>
      </w:r>
      <w:r w:rsidR="0028578C">
        <w:t xml:space="preserve"> = </w:t>
      </w:r>
      <w:r w:rsidR="0028578C">
        <w:rPr>
          <w:i/>
        </w:rPr>
        <w:t xml:space="preserve">r15monitoringcapability </w:t>
      </w:r>
      <w:r w:rsidR="003D05B6">
        <w:t>and is</w:t>
      </w:r>
      <w:r w:rsidR="0028578C">
        <w:t xml:space="preserve"> not </w:t>
      </w:r>
      <w:r w:rsidR="0028578C" w:rsidRPr="000734F6">
        <w:rPr>
          <w:iCs/>
        </w:rPr>
        <w:t xml:space="preserve">provided </w:t>
      </w:r>
      <w:r w:rsidR="0028578C" w:rsidRPr="000734F6">
        <w:rPr>
          <w:i/>
          <w:iCs/>
        </w:rPr>
        <w:t>CORESETPoolIndex</w:t>
      </w:r>
      <w:r w:rsidR="0028578C">
        <w:rPr>
          <w:lang w:val="en-US"/>
        </w:rPr>
        <w:t xml:space="preserve">, </w:t>
      </w:r>
      <w:r w:rsidRPr="00D20E88">
        <w:rPr>
          <w:lang w:val="en-US"/>
        </w:rPr>
        <w:t>with</w:t>
      </w:r>
      <w:r w:rsidR="007A47C8">
        <w:rPr>
          <w:lang w:val="en-US"/>
        </w:rPr>
        <w:t xml:space="preserve"> </w:t>
      </w:r>
      <w:r w:rsidR="00F663FD" w:rsidRPr="003901B7">
        <w:rPr>
          <w:lang w:eastAsia="ko-KR"/>
        </w:rPr>
        <w:t xml:space="preserve">associated PDCCH candidates monitored in the </w:t>
      </w:r>
      <w:r w:rsidR="007A47C8">
        <w:rPr>
          <w:lang w:val="en-US"/>
        </w:rPr>
        <w:t>active</w:t>
      </w:r>
      <w:r w:rsidRPr="00D20E88">
        <w:t xml:space="preserve"> DL BWPs </w:t>
      </w:r>
      <w:r w:rsidR="00F663FD" w:rsidRPr="003901B7">
        <w:t xml:space="preserve">of the scheduling cells </w:t>
      </w:r>
      <w:r w:rsidR="007A47C8">
        <w:t>using</w:t>
      </w:r>
      <w:r w:rsidR="007A47C8" w:rsidRPr="00D20E88">
        <w:t xml:space="preserve"> </w:t>
      </w:r>
      <w:r>
        <w:t>SCS</w:t>
      </w:r>
      <w:r w:rsidRPr="00D20E88">
        <w:t xml:space="preserve"> configuration </w:t>
      </w:r>
      <m:oMath>
        <m:r>
          <w:rPr>
            <w:rFonts w:ascii="Cambria Math" w:hAnsi="Cambria Math"/>
            <w:lang w:eastAsia="zh-CN"/>
          </w:rPr>
          <m:t>μ</m:t>
        </m:r>
      </m:oMath>
      <w:r w:rsidRPr="00D20E88">
        <w:t xml:space="preserve"> where </w:t>
      </w:r>
      <m:oMath>
        <m:nary>
          <m:naryPr>
            <m:chr m:val="∑"/>
            <m:ctrlPr>
              <w:rPr>
                <w:rFonts w:ascii="Cambria Math" w:hAnsi="Cambria Math"/>
                <w:i/>
              </w:rPr>
            </m:ctrlPr>
          </m:naryPr>
          <m:sub>
            <m:r>
              <w:rPr>
                <w:rFonts w:ascii="Cambria Math"/>
              </w:rPr>
              <m:t>μ=0</m:t>
            </m:r>
          </m:sub>
          <m:sup>
            <m:r>
              <w:rPr>
                <w:rFonts w:ascii="Cambria Math"/>
              </w:rPr>
              <m:t>3</m:t>
            </m:r>
          </m:sup>
          <m:e>
            <m:d>
              <m:dPr>
                <m:ctrlPr>
                  <w:rPr>
                    <w:rFonts w:ascii="Cambria Math" w:hAnsi="Cambria Math"/>
                    <w:i/>
                  </w:rPr>
                </m:ctrlPr>
              </m:dPr>
              <m:e>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r>
                  <w:rPr>
                    <w:rFonts w:ascii="Cambria Math" w:hAnsi="Cambria Math"/>
                  </w:rPr>
                  <m:t>+</m:t>
                </m:r>
                <m:r>
                  <w:rPr>
                    <w:rFonts w:ascii="Cambria Math" w:hAnsi="Cambria Math" w:cstheme="minorHAnsi"/>
                  </w:rPr>
                  <m:t>γ</m:t>
                </m:r>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e>
            </m:d>
          </m:e>
        </m:nary>
        <m:r>
          <w:rPr>
            <w:rFonts w:ascii="Cambria Math"/>
          </w:rPr>
          <m:t>≤</m:t>
        </m:r>
        <m:sSubSup>
          <m:sSubSupPr>
            <m:ctrlPr>
              <w:rPr>
                <w:rFonts w:ascii="Cambria Math" w:hAnsi="Cambria Math"/>
                <w:i/>
              </w:rPr>
            </m:ctrlPr>
          </m:sSubSupPr>
          <m:e>
            <m:r>
              <w:rPr>
                <w:rFonts w:ascii="Cambria Math"/>
              </w:rPr>
              <m:t>N</m:t>
            </m:r>
          </m:e>
          <m:sub>
            <m:r>
              <m:rPr>
                <m:nor/>
              </m:rPr>
              <w:rPr>
                <w:rFonts w:ascii="Cambria Math"/>
              </w:rPr>
              <m:t>cells</m:t>
            </m:r>
            <m:ctrlPr>
              <w:rPr>
                <w:rFonts w:ascii="Cambria Math" w:hAnsi="Cambria Math"/>
              </w:rPr>
            </m:ctrlPr>
          </m:sub>
          <m:sup>
            <m:r>
              <m:rPr>
                <m:nor/>
              </m:rPr>
              <w:rPr>
                <w:rFonts w:ascii="Cambria Math"/>
              </w:rPr>
              <m:t>cap</m:t>
            </m:r>
            <m:ctrlPr>
              <w:rPr>
                <w:rFonts w:ascii="Cambria Math" w:hAnsi="Cambria Math"/>
              </w:rPr>
            </m:ctrlPr>
          </m:sup>
        </m:sSubSup>
      </m:oMath>
      <w:r w:rsidRPr="00D20E88">
        <w:rPr>
          <w:lang w:val="en-US"/>
        </w:rPr>
        <w:t xml:space="preserve">, </w:t>
      </w:r>
      <w:r>
        <w:rPr>
          <w:lang w:eastAsia="ko-KR"/>
        </w:rPr>
        <w:t>the</w:t>
      </w:r>
      <w:r w:rsidRPr="00A33143">
        <w:rPr>
          <w:lang w:eastAsia="ko-KR"/>
        </w:rPr>
        <w:t xml:space="preserve"> UE is not required to monitor</w:t>
      </w:r>
      <w:r>
        <w:rPr>
          <w:lang w:val="en-US" w:eastAsia="ko-KR"/>
        </w:rPr>
        <w:t>,</w:t>
      </w:r>
      <w:r w:rsidRPr="00A33143">
        <w:rPr>
          <w:lang w:eastAsia="ko-KR"/>
        </w:rPr>
        <w:t xml:space="preserve"> on the active DL BWP</w:t>
      </w:r>
      <w:r w:rsidR="005D3D60">
        <w:rPr>
          <w:lang w:eastAsia="ko-KR"/>
        </w:rPr>
        <w:t>s</w:t>
      </w:r>
      <w:r w:rsidRPr="00A33143">
        <w:rPr>
          <w:lang w:eastAsia="ko-KR"/>
        </w:rPr>
        <w:t xml:space="preserve"> of the scheduling cell</w:t>
      </w:r>
      <w:r w:rsidR="005D3D60">
        <w:rPr>
          <w:lang w:eastAsia="ko-KR"/>
        </w:rPr>
        <w:t>s</w:t>
      </w:r>
      <w:r>
        <w:rPr>
          <w:lang w:val="en-US" w:eastAsia="ko-KR"/>
        </w:rPr>
        <w:t>,</w:t>
      </w:r>
      <w:r w:rsidRPr="00A33143">
        <w:rPr>
          <w:lang w:eastAsia="ko-KR"/>
        </w:rPr>
        <w:t xml:space="preserve"> </w:t>
      </w:r>
    </w:p>
    <w:p w14:paraId="142F1200" w14:textId="50C5BAE3" w:rsidR="00651CF3" w:rsidRDefault="00651CF3" w:rsidP="00651CF3">
      <w:pPr>
        <w:pStyle w:val="B1"/>
      </w:pPr>
      <w:r>
        <w:rPr>
          <w:lang w:eastAsia="ko-KR"/>
        </w:rPr>
        <w:t>-</w:t>
      </w:r>
      <w:r>
        <w:rPr>
          <w:lang w:eastAsia="ko-KR"/>
        </w:rPr>
        <w:tab/>
      </w:r>
      <w:r w:rsidR="0075117A" w:rsidRPr="00A33143">
        <w:rPr>
          <w:lang w:eastAsia="ko-KR"/>
        </w:rPr>
        <w:t>more than</w:t>
      </w:r>
      <w:r w:rsidR="0075117A">
        <w:rPr>
          <w:lang w:val="en-US" w:eastAsia="ko-KR"/>
        </w:rPr>
        <w:t xml:space="preserve"> </w:t>
      </w:r>
      <m:oMath>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total,slot,</m:t>
            </m:r>
            <m:r>
              <w:rPr>
                <w:rFonts w:ascii="Cambria Math"/>
              </w:rPr>
              <m:t>μ</m:t>
            </m:r>
            <m:ctrlPr>
              <w:rPr>
                <w:rFonts w:ascii="Cambria Math" w:hAnsi="Cambria Math"/>
              </w:rPr>
            </m:ctrlPr>
          </m:sup>
        </m:sSubSup>
        <m:r>
          <w:rPr>
            <w:rFonts w:ascii="Cambria Math"/>
          </w:rPr>
          <m:t>=</m:t>
        </m:r>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max,slot,</m:t>
            </m:r>
            <m:r>
              <w:rPr>
                <w:rFonts w:ascii="Cambria Math"/>
              </w:rPr>
              <m:t>μ</m:t>
            </m:r>
            <m:ctrlPr>
              <w:rPr>
                <w:rFonts w:ascii="Cambria Math" w:hAnsi="Cambria Math"/>
              </w:rPr>
            </m:ctrlPr>
          </m:sup>
        </m:sSubSup>
      </m:oMath>
      <w:r w:rsidR="0075117A" w:rsidRPr="00A33143">
        <w:t xml:space="preserve"> PDCCH candidates or more than </w:t>
      </w:r>
      <m:oMath>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total,slot,</m:t>
            </m:r>
            <m:r>
              <w:rPr>
                <w:rFonts w:ascii="Cambria Math"/>
              </w:rPr>
              <m:t>μ</m:t>
            </m:r>
            <m:ctrlPr>
              <w:rPr>
                <w:rFonts w:ascii="Cambria Math" w:hAnsi="Cambria Math"/>
              </w:rPr>
            </m:ctrlPr>
          </m:sup>
        </m:sSubSup>
        <m:r>
          <w:rPr>
            <w:rFonts w:ascii="Cambria Math"/>
          </w:rPr>
          <m:t>=</m:t>
        </m:r>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max,slot,</m:t>
            </m:r>
            <m:r>
              <w:rPr>
                <w:rFonts w:ascii="Cambria Math"/>
              </w:rPr>
              <m:t>μ</m:t>
            </m:r>
            <m:ctrlPr>
              <w:rPr>
                <w:rFonts w:ascii="Cambria Math" w:hAnsi="Cambria Math"/>
              </w:rPr>
            </m:ctrlPr>
          </m:sup>
        </m:sSubSup>
      </m:oMath>
      <w:r w:rsidR="0075117A" w:rsidRPr="00A33143">
        <w:t xml:space="preserve"> non-overlapped CCEs per </w:t>
      </w:r>
      <w:r w:rsidR="0075117A" w:rsidRPr="00A33143">
        <w:rPr>
          <w:lang w:val="en-US"/>
        </w:rPr>
        <w:t>slot</w:t>
      </w:r>
      <w:r w:rsidR="0075117A">
        <w:rPr>
          <w:lang w:val="en-US"/>
        </w:rPr>
        <w:t xml:space="preserve"> for each scheduled cell</w:t>
      </w:r>
      <w:r w:rsidRPr="00651CF3">
        <w:rPr>
          <w:lang w:val="en-US"/>
        </w:rPr>
        <w:t xml:space="preserve"> </w:t>
      </w:r>
      <w:r>
        <w:rPr>
          <w:lang w:val="en-US"/>
        </w:rPr>
        <w:t xml:space="preserve">when the scheduling cell is from the </w:t>
      </w:r>
      <m:oMath>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oMath>
      <w:r>
        <w:t xml:space="preserve"> downlink cells, or</w:t>
      </w:r>
    </w:p>
    <w:p w14:paraId="608CEA9E" w14:textId="77777777" w:rsidR="00874D1C" w:rsidRDefault="00651CF3">
      <w:pPr>
        <w:pStyle w:val="B1"/>
      </w:pPr>
      <w:r>
        <w:rPr>
          <w:lang w:eastAsia="ko-KR"/>
        </w:rPr>
        <w:t>-</w:t>
      </w:r>
      <w:r>
        <w:rPr>
          <w:lang w:eastAsia="ko-KR"/>
        </w:rPr>
        <w:tab/>
      </w:r>
      <w:r w:rsidRPr="00A33143">
        <w:rPr>
          <w:lang w:eastAsia="ko-KR"/>
        </w:rPr>
        <w:t>more than</w:t>
      </w:r>
      <w:r>
        <w:rPr>
          <w:lang w:val="en-US" w:eastAsia="ko-KR"/>
        </w:rPr>
        <w:t xml:space="preserve"> </w:t>
      </w:r>
      <m:oMath>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total,slot,</m:t>
            </m:r>
            <m:r>
              <w:rPr>
                <w:rFonts w:ascii="Cambria Math"/>
              </w:rPr>
              <m:t>μ</m:t>
            </m:r>
            <m:ctrlPr>
              <w:rPr>
                <w:rFonts w:ascii="Cambria Math" w:hAnsi="Cambria Math"/>
              </w:rPr>
            </m:ctrlPr>
          </m:sup>
        </m:sSubSup>
        <m:r>
          <w:rPr>
            <w:rFonts w:ascii="Cambria Math"/>
          </w:rPr>
          <m:t>=</m:t>
        </m:r>
        <m:r>
          <w:rPr>
            <w:rFonts w:ascii="Cambria Math" w:hAnsi="Cambria Math" w:cstheme="minorHAnsi"/>
          </w:rPr>
          <m:t>γ</m:t>
        </m:r>
        <m:r>
          <w:rPr>
            <w:rFonts w:ascii="Cambria Math" w:hAnsi="Cambria Math"/>
          </w:rPr>
          <m:t>∙</m:t>
        </m:r>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max,slot,</m:t>
            </m:r>
            <m:r>
              <w:rPr>
                <w:rFonts w:ascii="Cambria Math"/>
              </w:rPr>
              <m:t>μ</m:t>
            </m:r>
            <m:ctrlPr>
              <w:rPr>
                <w:rFonts w:ascii="Cambria Math" w:hAnsi="Cambria Math"/>
              </w:rPr>
            </m:ctrlPr>
          </m:sup>
        </m:sSubSup>
      </m:oMath>
      <w:r w:rsidRPr="00A33143">
        <w:t xml:space="preserve"> PDCCH candidates or more than </w:t>
      </w:r>
      <m:oMath>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total,slot,</m:t>
            </m:r>
            <m:r>
              <w:rPr>
                <w:rFonts w:ascii="Cambria Math"/>
              </w:rPr>
              <m:t>μ</m:t>
            </m:r>
            <m:ctrlPr>
              <w:rPr>
                <w:rFonts w:ascii="Cambria Math" w:hAnsi="Cambria Math"/>
              </w:rPr>
            </m:ctrlPr>
          </m:sup>
        </m:sSubSup>
        <m:r>
          <w:rPr>
            <w:rFonts w:ascii="Cambria Math"/>
          </w:rPr>
          <m:t>=</m:t>
        </m:r>
        <m:r>
          <w:rPr>
            <w:rFonts w:ascii="Cambria Math" w:hAnsi="Cambria Math" w:cstheme="minorHAnsi"/>
          </w:rPr>
          <m:t>γ</m:t>
        </m:r>
        <m:r>
          <w:rPr>
            <w:rFonts w:ascii="Cambria Math" w:hAnsi="Cambria Math"/>
          </w:rPr>
          <m:t>∙</m:t>
        </m:r>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max,slot,</m:t>
            </m:r>
            <m:r>
              <w:rPr>
                <w:rFonts w:ascii="Cambria Math"/>
              </w:rPr>
              <m:t>μ</m:t>
            </m:r>
            <m:ctrlPr>
              <w:rPr>
                <w:rFonts w:ascii="Cambria Math" w:hAnsi="Cambria Math"/>
              </w:rPr>
            </m:ctrlPr>
          </m:sup>
        </m:sSubSup>
      </m:oMath>
      <w:r w:rsidRPr="00A33143">
        <w:t xml:space="preserve"> non-overlapped CCEs per </w:t>
      </w:r>
      <w:r w:rsidRPr="00A33143">
        <w:rPr>
          <w:lang w:val="en-US"/>
        </w:rPr>
        <w:t>slot</w:t>
      </w:r>
      <w:r>
        <w:rPr>
          <w:lang w:val="en-US"/>
        </w:rPr>
        <w:t xml:space="preserve"> for each scheduled cell when the scheduling cell is from the </w:t>
      </w:r>
      <m:oMath>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oMath>
      <w:r>
        <w:t xml:space="preserve"> downlink cells</w:t>
      </w:r>
    </w:p>
    <w:p w14:paraId="5ABAE9E7" w14:textId="4317895B" w:rsidR="00651CF3" w:rsidRPr="008B3182" w:rsidRDefault="00651CF3">
      <w:pPr>
        <w:pStyle w:val="B1"/>
      </w:pPr>
      <w:r>
        <w:rPr>
          <w:lang w:eastAsia="ko-KR"/>
        </w:rPr>
        <w:t>-</w:t>
      </w:r>
      <w:r>
        <w:rPr>
          <w:lang w:eastAsia="ko-KR"/>
        </w:rPr>
        <w:tab/>
      </w:r>
      <w:r w:rsidRPr="008B3182">
        <w:rPr>
          <w:lang w:eastAsia="ko-KR"/>
        </w:rPr>
        <w:t>more than</w:t>
      </w:r>
      <w:r w:rsidRPr="008B3182">
        <w:rPr>
          <w:lang w:val="en-US" w:eastAsia="ko-KR"/>
        </w:rPr>
        <w:t xml:space="preserve"> </w:t>
      </w:r>
      <m:oMath>
        <m:sSubSup>
          <m:sSubSupPr>
            <m:ctrlPr>
              <w:rPr>
                <w:rFonts w:ascii="Cambria Math" w:hAnsi="Cambria Math"/>
                <w:i/>
              </w:rPr>
            </m:ctrlPr>
          </m:sSubSupPr>
          <m:e>
            <m:r>
              <w:rPr>
                <w:rFonts w:ascii="Cambria Math" w:hAnsi="Cambria Math"/>
              </w:rPr>
              <m:t>M</m:t>
            </m:r>
          </m:e>
          <m:sub>
            <m:r>
              <m:rPr>
                <m:nor/>
              </m:rPr>
              <m:t>PDCCH</m:t>
            </m:r>
            <m:ctrlPr>
              <w:rPr>
                <w:rFonts w:ascii="Cambria Math" w:hAnsi="Cambria Math"/>
              </w:rPr>
            </m:ctrlPr>
          </m:sub>
          <m:sup>
            <m:r>
              <m:rPr>
                <m:nor/>
              </m:rPr>
              <m:t>max,slot,</m:t>
            </m:r>
            <m:r>
              <w:rPr>
                <w:rFonts w:ascii="Cambria Math" w:hAnsi="Cambria Math"/>
              </w:rPr>
              <m:t>μ</m:t>
            </m:r>
            <m:ctrlPr>
              <w:rPr>
                <w:rFonts w:ascii="Cambria Math" w:hAnsi="Cambria Math"/>
              </w:rPr>
            </m:ctrlPr>
          </m:sup>
        </m:sSubSup>
      </m:oMath>
      <w:r w:rsidRPr="008B3182">
        <w:t xml:space="preserve"> PDCCH candidates or more than </w:t>
      </w:r>
      <m:oMath>
        <m:sSubSup>
          <m:sSubSupPr>
            <m:ctrlPr>
              <w:rPr>
                <w:rFonts w:ascii="Cambria Math" w:hAnsi="Cambria Math"/>
                <w:i/>
              </w:rPr>
            </m:ctrlPr>
          </m:sSubSupPr>
          <m:e>
            <m:r>
              <w:rPr>
                <w:rFonts w:ascii="Cambria Math" w:hAnsi="Cambria Math"/>
              </w:rPr>
              <m:t>C</m:t>
            </m:r>
          </m:e>
          <m:sub>
            <m:r>
              <m:rPr>
                <m:nor/>
              </m:rPr>
              <m:t>PDCCH</m:t>
            </m:r>
            <m:ctrlPr>
              <w:rPr>
                <w:rFonts w:ascii="Cambria Math" w:hAnsi="Cambria Math"/>
              </w:rPr>
            </m:ctrlPr>
          </m:sub>
          <m:sup>
            <m:r>
              <m:rPr>
                <m:nor/>
              </m:rPr>
              <m:t>max,slot,</m:t>
            </m:r>
            <m:r>
              <w:rPr>
                <w:rFonts w:ascii="Cambria Math" w:hAnsi="Cambria Math"/>
              </w:rPr>
              <m:t>μ</m:t>
            </m:r>
            <m:ctrlPr>
              <w:rPr>
                <w:rFonts w:ascii="Cambria Math" w:hAnsi="Cambria Math"/>
              </w:rPr>
            </m:ctrlPr>
          </m:sup>
        </m:sSubSup>
      </m:oMath>
      <w:r w:rsidRPr="008B3182">
        <w:t xml:space="preserve"> non-overlapped CCEs per </w:t>
      </w:r>
      <w:r>
        <w:rPr>
          <w:lang w:val="en-US"/>
        </w:rPr>
        <w:t>slot for</w:t>
      </w:r>
      <w:r w:rsidRPr="008B3182">
        <w:rPr>
          <w:lang w:val="en-US"/>
        </w:rPr>
        <w:t xml:space="preserve"> CORESETs with same</w:t>
      </w:r>
      <w:r w:rsidRPr="008B3182">
        <w:t xml:space="preserve"> </w:t>
      </w:r>
      <w:r w:rsidR="0018071C">
        <w:rPr>
          <w:i/>
          <w:iCs/>
          <w:lang w:val="en-US"/>
        </w:rPr>
        <w:t>coreset</w:t>
      </w:r>
      <w:r w:rsidRPr="008B3182">
        <w:rPr>
          <w:i/>
          <w:iCs/>
        </w:rPr>
        <w:t>PoolIndex</w:t>
      </w:r>
      <w:r w:rsidRPr="008B3182">
        <w:rPr>
          <w:lang w:val="en-US"/>
        </w:rPr>
        <w:t xml:space="preserve"> value</w:t>
      </w:r>
      <w:r>
        <w:rPr>
          <w:lang w:val="en-US"/>
        </w:rPr>
        <w:t xml:space="preserve"> for each scheduled cell when the scheduling cell is from the </w:t>
      </w:r>
      <m:oMath>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oMath>
      <w:r>
        <w:t xml:space="preserve"> downlink cells</w:t>
      </w:r>
    </w:p>
    <w:p w14:paraId="0A51996C" w14:textId="60F0E8D1" w:rsidR="0028578C" w:rsidRPr="002B6A70" w:rsidRDefault="00000000" w:rsidP="0028578C">
      <w:pPr>
        <w:rPr>
          <w:iCs/>
          <w:lang w:eastAsia="zh-CN"/>
        </w:rPr>
      </w:pPr>
      <m:oMath>
        <m:sSubSup>
          <m:sSubSupPr>
            <m:ctrlPr>
              <w:rPr>
                <w:rFonts w:ascii="Cambria Math" w:hAnsi="Cambria Math"/>
                <w:i/>
              </w:rPr>
            </m:ctrlPr>
          </m:sSubSupPr>
          <m:e>
            <m:r>
              <w:rPr>
                <w:rFonts w:ascii="Cambria Math" w:hAnsi="Cambria Math"/>
              </w:rPr>
              <m:t>N</m:t>
            </m:r>
          </m:e>
          <m:sub>
            <m:r>
              <m:rPr>
                <m:nor/>
              </m:rPr>
              <m:t>cells</m:t>
            </m:r>
            <m:ctrlPr>
              <w:rPr>
                <w:rFonts w:ascii="Cambria Math" w:hAnsi="Cambria Math"/>
              </w:rPr>
            </m:ctrlPr>
          </m:sub>
          <m:sup>
            <m:r>
              <m:rPr>
                <m:nor/>
              </m:rPr>
              <m:t>cap</m:t>
            </m:r>
            <m:ctrlPr>
              <w:rPr>
                <w:rFonts w:ascii="Cambria Math" w:hAnsi="Cambria Math"/>
              </w:rPr>
            </m:ctrlPr>
          </m:sup>
        </m:sSubSup>
      </m:oMath>
      <w:r w:rsidR="0028578C" w:rsidRPr="001B2B2C">
        <w:t xml:space="preserve"> is replaced by </w:t>
      </w:r>
      <m:oMath>
        <m:sSubSup>
          <m:sSubSupPr>
            <m:ctrlPr>
              <w:rPr>
                <w:rFonts w:ascii="Cambria Math" w:hAnsi="Cambria Math"/>
                <w:i/>
              </w:rPr>
            </m:ctrlPr>
          </m:sSubSupPr>
          <m:e>
            <m:r>
              <w:rPr>
                <w:rFonts w:ascii="Cambria Math" w:hAnsi="Cambria Math"/>
              </w:rPr>
              <m:t>N</m:t>
            </m:r>
          </m:e>
          <m:sub>
            <m:r>
              <m:rPr>
                <m:nor/>
              </m:rPr>
              <m:t>cells,r15</m:t>
            </m:r>
            <m:ctrlPr>
              <w:rPr>
                <w:rFonts w:ascii="Cambria Math" w:hAnsi="Cambria Math"/>
              </w:rPr>
            </m:ctrlPr>
          </m:sub>
          <m:sup>
            <m:r>
              <m:rPr>
                <m:nor/>
              </m:rPr>
              <m:t>cap-r16</m:t>
            </m:r>
            <m:ctrlPr>
              <w:rPr>
                <w:rFonts w:ascii="Cambria Math" w:hAnsi="Cambria Math"/>
              </w:rPr>
            </m:ctrlPr>
          </m:sup>
        </m:sSubSup>
      </m:oMath>
      <w:r w:rsidR="0028578C">
        <w:t>,</w:t>
      </w:r>
      <w:r w:rsidR="0028578C" w:rsidRPr="001B2B2C">
        <w:t xml:space="preserve"> </w:t>
      </w:r>
      <w:r w:rsidR="0028578C">
        <w:rPr>
          <w:iCs/>
        </w:rPr>
        <w:t>i</w:t>
      </w:r>
      <w:r w:rsidR="0028578C" w:rsidRPr="001B2B2C">
        <w:rPr>
          <w:iCs/>
        </w:rPr>
        <w:t xml:space="preserve">f a UE </w:t>
      </w:r>
      <w:r w:rsidR="0028578C" w:rsidRPr="000734F6">
        <w:rPr>
          <w:iCs/>
        </w:rPr>
        <w:t>is</w:t>
      </w:r>
      <w:r w:rsidR="0028578C">
        <w:rPr>
          <w:iCs/>
        </w:rPr>
        <w:t xml:space="preserve"> </w:t>
      </w:r>
      <w:r w:rsidR="0028578C" w:rsidRPr="001B2B2C">
        <w:rPr>
          <w:iCs/>
        </w:rPr>
        <w:t xml:space="preserve">configured with downlink cells for which the UE is provided both </w:t>
      </w:r>
      <w:r w:rsidR="0028578C" w:rsidRPr="001B2B2C">
        <w:rPr>
          <w:i/>
        </w:rPr>
        <w:t>monitoringCapabilityConfig</w:t>
      </w:r>
      <w:r w:rsidR="0028578C" w:rsidRPr="001B2B2C">
        <w:t xml:space="preserve"> = </w:t>
      </w:r>
      <w:r w:rsidR="0028578C" w:rsidRPr="001B2B2C">
        <w:rPr>
          <w:i/>
        </w:rPr>
        <w:t>r15monitoringcapability</w:t>
      </w:r>
      <w:r w:rsidR="0028578C" w:rsidRPr="001B2B2C">
        <w:rPr>
          <w:iCs/>
        </w:rPr>
        <w:t xml:space="preserve"> and </w:t>
      </w:r>
      <w:r w:rsidR="0028578C" w:rsidRPr="001B2B2C">
        <w:rPr>
          <w:i/>
        </w:rPr>
        <w:t>monitoringCapabilityConfig</w:t>
      </w:r>
      <w:r w:rsidR="0028578C" w:rsidRPr="001B2B2C">
        <w:t xml:space="preserve"> = </w:t>
      </w:r>
      <w:r w:rsidR="0028578C" w:rsidRPr="001B2B2C">
        <w:rPr>
          <w:i/>
        </w:rPr>
        <w:t>r16monitoringcapability</w:t>
      </w:r>
      <w:r w:rsidR="0028578C" w:rsidRPr="002B6A70">
        <w:rPr>
          <w:iCs/>
        </w:rPr>
        <w:t>.</w:t>
      </w:r>
      <w:r w:rsidR="002B6A70">
        <w:rPr>
          <w:i/>
        </w:rPr>
        <w:t xml:space="preserve"> </w:t>
      </w:r>
      <m:oMath>
        <m:sSubSup>
          <m:sSubSupPr>
            <m:ctrlPr>
              <w:rPr>
                <w:rFonts w:ascii="Cambria Math" w:hAnsi="Cambria Math"/>
                <w:i/>
              </w:rPr>
            </m:ctrlPr>
          </m:sSubSupPr>
          <m:e>
            <m:r>
              <w:rPr>
                <w:rFonts w:ascii="Cambria Math" w:hAnsi="Cambria Math"/>
              </w:rPr>
              <m:t>N</m:t>
            </m:r>
          </m:e>
          <m:sub>
            <m:r>
              <m:rPr>
                <m:nor/>
              </m:rPr>
              <m:t>cells</m:t>
            </m:r>
            <m:ctrlPr>
              <w:rPr>
                <w:rFonts w:ascii="Cambria Math" w:hAnsi="Cambria Math"/>
              </w:rPr>
            </m:ctrlPr>
          </m:sub>
          <m:sup>
            <m:r>
              <m:rPr>
                <m:nor/>
              </m:rPr>
              <m:t>cap</m:t>
            </m:r>
            <m:ctrlPr>
              <w:rPr>
                <w:rFonts w:ascii="Cambria Math" w:hAnsi="Cambria Math"/>
              </w:rPr>
            </m:ctrlPr>
          </m:sup>
        </m:sSubSup>
      </m:oMath>
      <w:r w:rsidR="002B6A70" w:rsidRPr="002247D4">
        <w:t xml:space="preserve"> is replaced by </w:t>
      </w:r>
      <m:oMath>
        <m:sSubSup>
          <m:sSubSupPr>
            <m:ctrlPr>
              <w:rPr>
                <w:rFonts w:ascii="Cambria Math" w:hAnsi="Cambria Math"/>
                <w:i/>
              </w:rPr>
            </m:ctrlPr>
          </m:sSubSupPr>
          <m:e>
            <m:r>
              <w:rPr>
                <w:rFonts w:ascii="Cambria Math" w:hAnsi="Cambria Math"/>
              </w:rPr>
              <m:t>N</m:t>
            </m:r>
          </m:e>
          <m:sub>
            <m:r>
              <m:rPr>
                <m:nor/>
              </m:rPr>
              <m:t>cells, r15</m:t>
            </m:r>
            <m:r>
              <m:rPr>
                <m:nor/>
              </m:rPr>
              <w:rPr>
                <w:rFonts w:ascii="Cambria Math" w:hint="eastAsia"/>
                <w:lang w:eastAsia="zh-CN"/>
              </w:rPr>
              <m:t>/r17</m:t>
            </m:r>
            <m:ctrlPr>
              <w:rPr>
                <w:rFonts w:ascii="Cambria Math" w:hAnsi="Cambria Math"/>
              </w:rPr>
            </m:ctrlPr>
          </m:sub>
          <m:sup>
            <m:r>
              <m:rPr>
                <m:nor/>
              </m:rPr>
              <m:t>cap-r1</m:t>
            </m:r>
            <m:r>
              <m:rPr>
                <m:nor/>
              </m:rPr>
              <w:rPr>
                <w:rFonts w:ascii="Cambria Math" w:hint="eastAsia"/>
                <w:lang w:eastAsia="zh-CN"/>
              </w:rPr>
              <m:t>7</m:t>
            </m:r>
            <m:ctrlPr>
              <w:rPr>
                <w:rFonts w:ascii="Cambria Math" w:hAnsi="Cambria Math"/>
              </w:rPr>
            </m:ctrlPr>
          </m:sup>
        </m:sSubSup>
      </m:oMath>
      <w:r w:rsidR="002B6A70" w:rsidRPr="002247D4">
        <w:t>,</w:t>
      </w:r>
      <w:r w:rsidR="002B6A70" w:rsidRPr="002247D4">
        <w:rPr>
          <w:iCs/>
        </w:rPr>
        <w:t xml:space="preserve"> if a UE is configured with downlink cells for which the UE is provided both </w:t>
      </w:r>
      <w:r w:rsidR="002B6A70" w:rsidRPr="002247D4">
        <w:rPr>
          <w:i/>
        </w:rPr>
        <w:t>monitoringCapabilityConfig</w:t>
      </w:r>
      <w:r w:rsidR="002B6A70" w:rsidRPr="002247D4">
        <w:t xml:space="preserve"> = </w:t>
      </w:r>
      <w:r w:rsidR="002B6A70" w:rsidRPr="002247D4">
        <w:rPr>
          <w:i/>
        </w:rPr>
        <w:t>r15monitoringcapability</w:t>
      </w:r>
      <w:r w:rsidR="002B6A70" w:rsidRPr="002247D4">
        <w:rPr>
          <w:iCs/>
        </w:rPr>
        <w:t xml:space="preserve"> and </w:t>
      </w:r>
      <w:r w:rsidR="002B6A70" w:rsidRPr="002247D4">
        <w:rPr>
          <w:i/>
        </w:rPr>
        <w:t>monitoringCapabilityConfig</w:t>
      </w:r>
      <w:r w:rsidR="002B6A70" w:rsidRPr="002247D4">
        <w:t xml:space="preserve"> = </w:t>
      </w:r>
      <w:r w:rsidR="002B6A70" w:rsidRPr="002247D4">
        <w:rPr>
          <w:i/>
        </w:rPr>
        <w:t>r1</w:t>
      </w:r>
      <w:r w:rsidR="002B6A70" w:rsidRPr="002247D4">
        <w:rPr>
          <w:rFonts w:hint="eastAsia"/>
          <w:i/>
          <w:lang w:eastAsia="zh-CN"/>
        </w:rPr>
        <w:t>7</w:t>
      </w:r>
      <w:r w:rsidR="002B6A70" w:rsidRPr="002247D4">
        <w:rPr>
          <w:i/>
        </w:rPr>
        <w:t>monitoringcapability</w:t>
      </w:r>
      <w:r w:rsidR="002B6A70" w:rsidRPr="002247D4">
        <w:rPr>
          <w:rFonts w:hint="eastAsia"/>
          <w:i/>
          <w:lang w:eastAsia="zh-CN"/>
        </w:rPr>
        <w:t>.</w:t>
      </w:r>
      <m:oMath>
        <m:r>
          <w:rPr>
            <w:rFonts w:ascii="Cambria Math" w:hAnsi="Cambria Math"/>
          </w:rPr>
          <m:t xml:space="preserve"> </m:t>
        </m:r>
        <m:sSubSup>
          <m:sSubSupPr>
            <m:ctrlPr>
              <w:rPr>
                <w:rFonts w:ascii="Cambria Math" w:hAnsi="Cambria Math"/>
                <w:i/>
              </w:rPr>
            </m:ctrlPr>
          </m:sSubSupPr>
          <m:e>
            <m:r>
              <w:rPr>
                <w:rFonts w:ascii="Cambria Math" w:hAnsi="Cambria Math"/>
              </w:rPr>
              <m:t>N</m:t>
            </m:r>
          </m:e>
          <m:sub>
            <m:r>
              <m:rPr>
                <m:nor/>
              </m:rPr>
              <m:t>cells</m:t>
            </m:r>
            <m:ctrlPr>
              <w:rPr>
                <w:rFonts w:ascii="Cambria Math" w:hAnsi="Cambria Math"/>
              </w:rPr>
            </m:ctrlPr>
          </m:sub>
          <m:sup>
            <m:r>
              <m:rPr>
                <m:nor/>
              </m:rPr>
              <m:t>cap</m:t>
            </m:r>
            <m:ctrlPr>
              <w:rPr>
                <w:rFonts w:ascii="Cambria Math" w:hAnsi="Cambria Math"/>
              </w:rPr>
            </m:ctrlPr>
          </m:sup>
        </m:sSubSup>
      </m:oMath>
      <w:r w:rsidR="002B6A70" w:rsidRPr="002247D4">
        <w:t xml:space="preserve"> is replaced by </w:t>
      </w:r>
      <m:oMath>
        <m:sSubSup>
          <m:sSubSupPr>
            <m:ctrlPr>
              <w:rPr>
                <w:rFonts w:ascii="Cambria Math" w:hAnsi="Cambria Math"/>
                <w:i/>
              </w:rPr>
            </m:ctrlPr>
          </m:sSubSupPr>
          <m:e>
            <m:r>
              <w:rPr>
                <w:rFonts w:ascii="Cambria Math" w:hAnsi="Cambria Math"/>
              </w:rPr>
              <m:t>N</m:t>
            </m:r>
          </m:e>
          <m:sub>
            <m:r>
              <m:rPr>
                <m:nor/>
              </m:rPr>
              <m:t>cells, r15</m:t>
            </m:r>
            <m:r>
              <m:rPr>
                <m:nor/>
              </m:rPr>
              <w:rPr>
                <w:rFonts w:ascii="Cambria Math"/>
                <w:lang w:eastAsia="zh-CN"/>
              </w:rPr>
              <m:t>/ {</m:t>
            </m:r>
            <m:r>
              <m:rPr>
                <m:nor/>
              </m:rPr>
              <w:rPr>
                <w:rFonts w:ascii="Cambria Math" w:hint="eastAsia"/>
                <w:lang w:eastAsia="zh-CN"/>
              </w:rPr>
              <m:t>r16</m:t>
            </m:r>
            <m:r>
              <m:rPr>
                <m:nor/>
              </m:rPr>
              <w:rPr>
                <w:rFonts w:ascii="Cambria Math"/>
                <w:lang w:eastAsia="zh-CN"/>
              </w:rPr>
              <m:t xml:space="preserve">, r17} </m:t>
            </m:r>
            <m:ctrlPr>
              <w:rPr>
                <w:rFonts w:ascii="Cambria Math" w:hAnsi="Cambria Math"/>
              </w:rPr>
            </m:ctrlPr>
          </m:sub>
          <m:sup>
            <m:r>
              <m:rPr>
                <m:nor/>
              </m:rPr>
              <m:t>cap-r1</m:t>
            </m:r>
            <m:r>
              <m:rPr>
                <m:nor/>
              </m:rPr>
              <w:rPr>
                <w:rFonts w:ascii="Cambria Math" w:hint="eastAsia"/>
                <w:lang w:eastAsia="zh-CN"/>
              </w:rPr>
              <m:t>7</m:t>
            </m:r>
            <m:ctrlPr>
              <w:rPr>
                <w:rFonts w:ascii="Cambria Math" w:hAnsi="Cambria Math"/>
              </w:rPr>
            </m:ctrlPr>
          </m:sup>
        </m:sSubSup>
      </m:oMath>
      <w:r w:rsidR="002B6A70" w:rsidRPr="002247D4">
        <w:t>,</w:t>
      </w:r>
      <w:r w:rsidR="002B6A70" w:rsidRPr="002247D4">
        <w:rPr>
          <w:iCs/>
        </w:rPr>
        <w:t xml:space="preserve"> if a UE is configured with downlink cells for which the UE is provided both </w:t>
      </w:r>
      <w:r w:rsidR="002B6A70" w:rsidRPr="002247D4">
        <w:rPr>
          <w:i/>
        </w:rPr>
        <w:t>monitoringCapabilityConfig</w:t>
      </w:r>
      <w:r w:rsidR="002B6A70" w:rsidRPr="002247D4">
        <w:t xml:space="preserve"> = </w:t>
      </w:r>
      <w:r w:rsidR="002B6A70" w:rsidRPr="002247D4">
        <w:rPr>
          <w:i/>
        </w:rPr>
        <w:t>r15monitoringcapability</w:t>
      </w:r>
      <w:r w:rsidR="002B6A70" w:rsidRPr="002247D4">
        <w:rPr>
          <w:iCs/>
        </w:rPr>
        <w:t xml:space="preserve"> and </w:t>
      </w:r>
      <w:r w:rsidR="002B6A70" w:rsidRPr="002247D4">
        <w:rPr>
          <w:i/>
        </w:rPr>
        <w:t>monitoringCapabilityConfig</w:t>
      </w:r>
      <w:r w:rsidR="002B6A70" w:rsidRPr="002247D4">
        <w:t xml:space="preserve"> = </w:t>
      </w:r>
      <w:r w:rsidR="002B6A70" w:rsidRPr="002247D4">
        <w:rPr>
          <w:i/>
        </w:rPr>
        <w:t>r16monitoringcapability</w:t>
      </w:r>
      <w:r w:rsidR="002B6A70" w:rsidRPr="002247D4">
        <w:rPr>
          <w:iCs/>
        </w:rPr>
        <w:t xml:space="preserve"> and </w:t>
      </w:r>
      <w:r w:rsidR="002B6A70" w:rsidRPr="002247D4">
        <w:rPr>
          <w:i/>
        </w:rPr>
        <w:t>monitoringCapabilityConfig</w:t>
      </w:r>
      <w:r w:rsidR="002B6A70" w:rsidRPr="002247D4">
        <w:t xml:space="preserve"> = </w:t>
      </w:r>
      <w:r w:rsidR="002B6A70" w:rsidRPr="002247D4">
        <w:rPr>
          <w:i/>
        </w:rPr>
        <w:t>r1</w:t>
      </w:r>
      <w:r w:rsidR="002B6A70" w:rsidRPr="002247D4">
        <w:rPr>
          <w:rFonts w:hint="eastAsia"/>
          <w:i/>
          <w:lang w:eastAsia="zh-CN"/>
        </w:rPr>
        <w:t>7</w:t>
      </w:r>
      <w:r w:rsidR="002B6A70" w:rsidRPr="002247D4">
        <w:rPr>
          <w:i/>
        </w:rPr>
        <w:t>monitoringcapability</w:t>
      </w:r>
      <w:r w:rsidR="002B6A70" w:rsidRPr="002B6A70">
        <w:rPr>
          <w:iCs/>
        </w:rPr>
        <w:t>.</w:t>
      </w:r>
    </w:p>
    <w:p w14:paraId="08195FA8" w14:textId="77777777" w:rsidR="008253F0" w:rsidRDefault="0075117A">
      <w:pPr>
        <w:rPr>
          <w:lang w:eastAsia="ko-KR"/>
        </w:rPr>
      </w:pPr>
      <w:r w:rsidRPr="00D20E88">
        <w:rPr>
          <w:lang w:eastAsia="ko-KR"/>
        </w:rPr>
        <w:t xml:space="preserve">If a UE </w:t>
      </w:r>
    </w:p>
    <w:p w14:paraId="04033A4A" w14:textId="047E5D2D" w:rsidR="00616CA6" w:rsidRDefault="008253F0" w:rsidP="008253F0">
      <w:pPr>
        <w:pStyle w:val="B1"/>
        <w:rPr>
          <w:lang w:val="en-US"/>
        </w:rPr>
      </w:pPr>
      <w:r>
        <w:rPr>
          <w:lang w:eastAsia="ko-KR"/>
        </w:rPr>
        <w:t>-</w:t>
      </w:r>
      <w:r>
        <w:rPr>
          <w:lang w:eastAsia="ko-KR"/>
        </w:rPr>
        <w:tab/>
      </w:r>
      <w:r w:rsidR="0075117A" w:rsidRPr="00D20E88">
        <w:t xml:space="preserve">is configured with </w:t>
      </w:r>
      <m:oMath>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oMath>
      <w:r w:rsidR="0075117A" w:rsidRPr="00D20E88">
        <w:t xml:space="preserve"> downlink cells </w:t>
      </w:r>
      <w:r w:rsidR="00616CA6">
        <w:rPr>
          <w:lang w:val="en-US"/>
        </w:rPr>
        <w:t xml:space="preserve">for which the UE </w:t>
      </w:r>
      <w:r w:rsidR="00616CA6">
        <w:t xml:space="preserve">is not provided </w:t>
      </w:r>
      <w:r w:rsidR="00616CA6">
        <w:rPr>
          <w:i/>
        </w:rPr>
        <w:t>monitoringCapabilityConfig</w:t>
      </w:r>
      <w:r w:rsidR="0028578C">
        <w:rPr>
          <w:i/>
          <w:lang w:val="en-US"/>
        </w:rPr>
        <w:t>,</w:t>
      </w:r>
      <w:r w:rsidR="00616CA6">
        <w:t xml:space="preserve"> or is provided </w:t>
      </w:r>
      <w:r w:rsidR="00616CA6">
        <w:rPr>
          <w:i/>
        </w:rPr>
        <w:t>monitoringCapabilityConfig</w:t>
      </w:r>
      <w:r w:rsidR="00616CA6">
        <w:t xml:space="preserve"> = </w:t>
      </w:r>
      <w:r w:rsidR="00616CA6">
        <w:rPr>
          <w:i/>
        </w:rPr>
        <w:t>r15monitoringcapability</w:t>
      </w:r>
      <w:r w:rsidR="0028578C">
        <w:rPr>
          <w:i/>
          <w:lang w:val="en-US"/>
        </w:rPr>
        <w:t xml:space="preserve"> </w:t>
      </w:r>
      <w:r w:rsidR="003D05B6">
        <w:t>and is</w:t>
      </w:r>
      <w:r w:rsidR="0028578C">
        <w:t xml:space="preserve"> not </w:t>
      </w:r>
      <w:r w:rsidR="0028578C" w:rsidRPr="000734F6">
        <w:rPr>
          <w:iCs/>
        </w:rPr>
        <w:t xml:space="preserve">provided </w:t>
      </w:r>
      <w:r w:rsidR="0018071C">
        <w:rPr>
          <w:i/>
          <w:iCs/>
          <w:lang w:val="en-US"/>
        </w:rPr>
        <w:t>coreset</w:t>
      </w:r>
      <w:r w:rsidR="0028578C" w:rsidRPr="000734F6">
        <w:rPr>
          <w:i/>
          <w:iCs/>
        </w:rPr>
        <w:t>PoolIndex</w:t>
      </w:r>
      <w:r w:rsidR="00616CA6">
        <w:rPr>
          <w:lang w:val="en-US"/>
        </w:rPr>
        <w:t>,</w:t>
      </w:r>
      <w:r w:rsidR="00874D1C">
        <w:rPr>
          <w:lang w:val="en-US"/>
        </w:rPr>
        <w:t xml:space="preserve"> </w:t>
      </w:r>
    </w:p>
    <w:p w14:paraId="0A6CAC61" w14:textId="2454DE5F" w:rsidR="00616CA6" w:rsidRDefault="00616CA6" w:rsidP="00616CA6">
      <w:pPr>
        <w:pStyle w:val="B1"/>
        <w:rPr>
          <w:lang w:val="en-US"/>
        </w:rPr>
      </w:pPr>
      <w:r>
        <w:rPr>
          <w:lang w:val="en-US" w:eastAsia="ko-KR"/>
        </w:rPr>
        <w:t>-</w:t>
      </w:r>
      <w:r>
        <w:rPr>
          <w:lang w:val="en-US" w:eastAsia="ko-KR"/>
        </w:rPr>
        <w:tab/>
      </w:r>
      <w:r w:rsidR="0075117A" w:rsidRPr="00D20E88">
        <w:rPr>
          <w:lang w:val="en-US"/>
        </w:rPr>
        <w:t xml:space="preserve">with </w:t>
      </w:r>
      <w:r w:rsidR="00F663FD" w:rsidRPr="003901B7">
        <w:rPr>
          <w:lang w:eastAsia="ko-KR"/>
        </w:rPr>
        <w:t xml:space="preserve">associated PDCCH candidates monitored in the </w:t>
      </w:r>
      <w:r w:rsidR="007A47C8">
        <w:rPr>
          <w:lang w:val="en-US"/>
        </w:rPr>
        <w:t xml:space="preserve">active </w:t>
      </w:r>
      <w:r w:rsidR="0075117A" w:rsidRPr="00D20E88">
        <w:t xml:space="preserve">DL BWPs </w:t>
      </w:r>
      <w:r w:rsidR="00F663FD" w:rsidRPr="003901B7">
        <w:t xml:space="preserve">of the scheduling cell(s) </w:t>
      </w:r>
      <w:r w:rsidR="007A47C8">
        <w:t>using</w:t>
      </w:r>
      <w:r w:rsidR="007A47C8" w:rsidRPr="00D20E88">
        <w:t xml:space="preserve"> </w:t>
      </w:r>
      <w:r w:rsidR="0075117A">
        <w:t>SCS</w:t>
      </w:r>
      <w:r w:rsidR="0075117A" w:rsidRPr="00D20E88">
        <w:t xml:space="preserve"> configuration </w:t>
      </w:r>
      <m:oMath>
        <m:r>
          <w:rPr>
            <w:rFonts w:ascii="Cambria Math" w:hAnsi="Cambria Math"/>
            <w:lang w:eastAsia="zh-CN"/>
          </w:rPr>
          <m:t>μ</m:t>
        </m:r>
      </m:oMath>
      <w:r w:rsidR="0075117A">
        <w:rPr>
          <w:lang w:val="en-US"/>
        </w:rPr>
        <w:t>,</w:t>
      </w:r>
      <w:r w:rsidR="0075117A" w:rsidRPr="00D20E88">
        <w:t xml:space="preserve"> where </w:t>
      </w:r>
      <m:oMath>
        <m:nary>
          <m:naryPr>
            <m:chr m:val="∑"/>
            <m:ctrlPr>
              <w:rPr>
                <w:rFonts w:ascii="Cambria Math" w:hAnsi="Cambria Math"/>
                <w:i/>
              </w:rPr>
            </m:ctrlPr>
          </m:naryPr>
          <m:sub>
            <m:r>
              <w:rPr>
                <w:rFonts w:ascii="Cambria Math"/>
              </w:rPr>
              <m:t>μ=0</m:t>
            </m:r>
          </m:sub>
          <m:sup>
            <m:r>
              <w:rPr>
                <w:rFonts w:ascii="Cambria Math"/>
              </w:rPr>
              <m:t>3</m:t>
            </m:r>
          </m:sup>
          <m:e>
            <m:d>
              <m:dPr>
                <m:ctrlPr>
                  <w:rPr>
                    <w:rFonts w:ascii="Cambria Math" w:hAnsi="Cambria Math"/>
                    <w:i/>
                  </w:rPr>
                </m:ctrlPr>
              </m:dPr>
              <m:e>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r>
                  <w:rPr>
                    <w:rFonts w:ascii="Cambria Math" w:hAnsi="Cambria Math"/>
                  </w:rPr>
                  <m:t>+</m:t>
                </m:r>
                <m:r>
                  <w:rPr>
                    <w:rFonts w:ascii="Cambria Math" w:hAnsi="Cambria Math" w:cstheme="minorHAnsi"/>
                  </w:rPr>
                  <m:t>γ</m:t>
                </m:r>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e>
            </m:d>
          </m:e>
        </m:nary>
        <m:r>
          <w:rPr>
            <w:rFonts w:ascii="Cambria Math"/>
          </w:rPr>
          <m:t>&gt;</m:t>
        </m:r>
        <m:sSubSup>
          <m:sSubSupPr>
            <m:ctrlPr>
              <w:rPr>
                <w:rFonts w:ascii="Cambria Math" w:hAnsi="Cambria Math"/>
                <w:i/>
              </w:rPr>
            </m:ctrlPr>
          </m:sSubSupPr>
          <m:e>
            <m:r>
              <w:rPr>
                <w:rFonts w:ascii="Cambria Math"/>
              </w:rPr>
              <m:t>N</m:t>
            </m:r>
          </m:e>
          <m:sub>
            <m:r>
              <m:rPr>
                <m:nor/>
              </m:rPr>
              <w:rPr>
                <w:rFonts w:ascii="Cambria Math"/>
              </w:rPr>
              <m:t>cells</m:t>
            </m:r>
            <m:ctrlPr>
              <w:rPr>
                <w:rFonts w:ascii="Cambria Math" w:hAnsi="Cambria Math"/>
              </w:rPr>
            </m:ctrlPr>
          </m:sub>
          <m:sup>
            <m:r>
              <m:rPr>
                <m:nor/>
              </m:rPr>
              <w:rPr>
                <w:rFonts w:ascii="Cambria Math"/>
              </w:rPr>
              <m:t>cap</m:t>
            </m:r>
            <m:ctrlPr>
              <w:rPr>
                <w:rFonts w:ascii="Cambria Math" w:hAnsi="Cambria Math"/>
              </w:rPr>
            </m:ctrlPr>
          </m:sup>
        </m:sSubSup>
      </m:oMath>
      <w:r w:rsidR="0075117A">
        <w:rPr>
          <w:lang w:val="en-US"/>
        </w:rPr>
        <w:t xml:space="preserve">, </w:t>
      </w:r>
      <w:r>
        <w:rPr>
          <w:lang w:val="en-US"/>
        </w:rPr>
        <w:t>and</w:t>
      </w:r>
    </w:p>
    <w:p w14:paraId="6B404819" w14:textId="77777777" w:rsidR="00616CA6" w:rsidRDefault="00616CA6" w:rsidP="00616CA6">
      <w:pPr>
        <w:pStyle w:val="B1"/>
        <w:rPr>
          <w:lang w:val="en-US"/>
        </w:rPr>
      </w:pPr>
      <w:r>
        <w:rPr>
          <w:lang w:eastAsia="ko-KR"/>
        </w:rPr>
        <w:t>-</w:t>
      </w:r>
      <w:r>
        <w:rPr>
          <w:lang w:eastAsia="ko-KR"/>
        </w:rPr>
        <w:tab/>
      </w:r>
      <w:r w:rsidR="0075117A">
        <w:rPr>
          <w:lang w:val="en-US"/>
        </w:rPr>
        <w:t xml:space="preserve">a DL BWP of an activated cell is the active DL BWP of the activated cell, and a DL BWP of a deactivated cell is the </w:t>
      </w:r>
      <w:r w:rsidR="0075117A">
        <w:t xml:space="preserve">DL BWP with </w:t>
      </w:r>
      <w:r w:rsidR="0075117A">
        <w:rPr>
          <w:lang w:val="en-US"/>
        </w:rPr>
        <w:t>index provided by</w:t>
      </w:r>
      <w:r w:rsidR="0075117A" w:rsidRPr="00670178">
        <w:t xml:space="preserve"> </w:t>
      </w:r>
      <w:r w:rsidR="0075117A" w:rsidRPr="00B610CA">
        <w:rPr>
          <w:i/>
        </w:rPr>
        <w:t>firstActiveDownlinkBWP-Id</w:t>
      </w:r>
      <w:r w:rsidR="0075117A">
        <w:rPr>
          <w:lang w:val="en-US"/>
        </w:rPr>
        <w:t xml:space="preserve"> for the deactivated cell</w:t>
      </w:r>
      <w:r w:rsidR="00A00BD5">
        <w:rPr>
          <w:lang w:val="en-US"/>
        </w:rPr>
        <w:t>,</w:t>
      </w:r>
      <w:r w:rsidR="0075117A">
        <w:rPr>
          <w:lang w:val="en-US"/>
        </w:rPr>
        <w:t xml:space="preserve"> </w:t>
      </w:r>
    </w:p>
    <w:p w14:paraId="0CF6896A" w14:textId="7C6EFC93" w:rsidR="0075117A" w:rsidRPr="002B6A70" w:rsidRDefault="0075117A" w:rsidP="00616CA6">
      <w:pPr>
        <w:rPr>
          <w:iCs/>
          <w:lang w:val="en-US"/>
        </w:rPr>
      </w:pPr>
      <w:r w:rsidRPr="00D20E88">
        <w:rPr>
          <w:lang w:eastAsia="ko-KR"/>
        </w:rPr>
        <w:t xml:space="preserve">the UE is </w:t>
      </w:r>
      <w:r>
        <w:rPr>
          <w:lang w:val="en-US" w:eastAsia="ko-KR"/>
        </w:rPr>
        <w:t>not required</w:t>
      </w:r>
      <w:r w:rsidRPr="00D20E88">
        <w:rPr>
          <w:lang w:eastAsia="ko-KR"/>
        </w:rPr>
        <w:t xml:space="preserve"> to monitor </w:t>
      </w:r>
      <w:r>
        <w:rPr>
          <w:lang w:val="en-US" w:eastAsia="ko-KR"/>
        </w:rPr>
        <w:t xml:space="preserve">more than </w:t>
      </w:r>
      <w:bookmarkStart w:id="669" w:name="_Hlk530114396"/>
      <m:oMath>
        <m:sSubSup>
          <m:sSubSupPr>
            <m:ctrlPr>
              <w:rPr>
                <w:rFonts w:ascii="Cambria Math" w:hAnsi="Cambria Math" w:cs="Calibri"/>
                <w:i/>
                <w:sz w:val="22"/>
                <w:szCs w:val="22"/>
              </w:rPr>
            </m:ctrlPr>
          </m:sSubSupPr>
          <m:e>
            <m:r>
              <w:rPr>
                <w:rFonts w:ascii="Cambria Math" w:hAnsi="Cambria Math" w:cs="Calibri"/>
                <w:sz w:val="22"/>
                <w:szCs w:val="22"/>
              </w:rPr>
              <m:t>M</m:t>
            </m:r>
          </m:e>
          <m:sub>
            <m:r>
              <m:rPr>
                <m:nor/>
              </m:rPr>
              <w:rPr>
                <w:rFonts w:hAnsi="Calibri" w:cs="Calibri"/>
                <w:sz w:val="22"/>
                <w:szCs w:val="22"/>
              </w:rPr>
              <m:t>PDCCH</m:t>
            </m:r>
            <m:ctrlPr>
              <w:rPr>
                <w:rFonts w:ascii="Cambria Math" w:hAnsi="Cambria Math" w:cs="Calibri"/>
                <w:sz w:val="22"/>
                <w:szCs w:val="22"/>
              </w:rPr>
            </m:ctrlPr>
          </m:sub>
          <m:sup>
            <m:r>
              <m:rPr>
                <m:nor/>
              </m:rPr>
              <w:rPr>
                <w:rFonts w:hAnsi="Calibri" w:cs="Calibri"/>
                <w:sz w:val="22"/>
                <w:szCs w:val="22"/>
              </w:rPr>
              <m:t>total,slot,</m:t>
            </m:r>
            <m:r>
              <w:rPr>
                <w:rFonts w:ascii="Cambria Math" w:hAnsi="Cambria Math" w:cs="Calibri"/>
                <w:sz w:val="22"/>
                <w:szCs w:val="22"/>
              </w:rPr>
              <m:t>μ</m:t>
            </m:r>
            <m:ctrlPr>
              <w:rPr>
                <w:rFonts w:ascii="Cambria Math" w:hAnsi="Cambria Math" w:cs="Calibri"/>
                <w:sz w:val="22"/>
                <w:szCs w:val="22"/>
              </w:rPr>
            </m:ctrlPr>
          </m:sup>
        </m:sSubSup>
        <m:r>
          <w:rPr>
            <w:rFonts w:ascii="Cambria Math" w:hAnsi="Cambria Math" w:cs="Calibri"/>
            <w:sz w:val="22"/>
            <w:szCs w:val="22"/>
          </w:rPr>
          <m:t>=</m:t>
        </m:r>
        <m:d>
          <m:dPr>
            <m:begChr m:val="⌊"/>
            <m:endChr m:val="⌋"/>
            <m:ctrlPr>
              <w:rPr>
                <w:rFonts w:ascii="Cambria Math" w:hAnsi="Cambria Math" w:cs="Calibri"/>
                <w:i/>
                <w:sz w:val="22"/>
                <w:szCs w:val="22"/>
              </w:rPr>
            </m:ctrlPr>
          </m:dPr>
          <m:e>
            <m:sSubSup>
              <m:sSubSupPr>
                <m:ctrlPr>
                  <w:rPr>
                    <w:rFonts w:ascii="Cambria Math" w:hAnsi="Cambria Math" w:cs="Calibri"/>
                    <w:i/>
                    <w:sz w:val="22"/>
                    <w:szCs w:val="22"/>
                  </w:rPr>
                </m:ctrlPr>
              </m:sSubSupPr>
              <m:e>
                <m:r>
                  <w:rPr>
                    <w:rFonts w:ascii="Cambria Math" w:hAnsi="Cambria Math" w:cs="Calibri"/>
                    <w:sz w:val="22"/>
                    <w:szCs w:val="22"/>
                  </w:rPr>
                  <m:t>N</m:t>
                </m:r>
              </m:e>
              <m:sub>
                <m:r>
                  <m:rPr>
                    <m:nor/>
                  </m:rPr>
                  <w:rPr>
                    <w:rFonts w:hAnsi="Calibri" w:cs="Calibri"/>
                    <w:sz w:val="22"/>
                    <w:szCs w:val="22"/>
                  </w:rPr>
                  <m:t>cells</m:t>
                </m:r>
                <m:ctrlPr>
                  <w:rPr>
                    <w:rFonts w:ascii="Cambria Math" w:hAnsi="Cambria Math" w:cs="Calibri"/>
                    <w:sz w:val="22"/>
                    <w:szCs w:val="22"/>
                  </w:rPr>
                </m:ctrlPr>
              </m:sub>
              <m:sup>
                <m:r>
                  <m:rPr>
                    <m:nor/>
                  </m:rPr>
                  <w:rPr>
                    <w:rFonts w:hAnsi="Calibri" w:cs="Calibri"/>
                    <w:sz w:val="22"/>
                    <w:szCs w:val="22"/>
                  </w:rPr>
                  <m:t>cap</m:t>
                </m:r>
                <m:ctrlPr>
                  <w:rPr>
                    <w:rFonts w:ascii="Cambria Math" w:hAnsi="Cambria Math" w:cs="Calibri"/>
                    <w:sz w:val="22"/>
                    <w:szCs w:val="22"/>
                  </w:rPr>
                </m:ctrlPr>
              </m:sup>
            </m:sSubSup>
            <m:r>
              <w:rPr>
                <w:rFonts w:ascii="Cambria Math" w:hAnsi="Cambria Math" w:cs="Cambria Math"/>
                <w:sz w:val="22"/>
                <w:szCs w:val="22"/>
              </w:rPr>
              <m:t>⋅</m:t>
            </m:r>
            <m:sSubSup>
              <m:sSubSupPr>
                <m:ctrlPr>
                  <w:rPr>
                    <w:rFonts w:ascii="Cambria Math" w:hAnsi="Cambria Math" w:cs="Calibri"/>
                    <w:i/>
                    <w:sz w:val="22"/>
                    <w:szCs w:val="22"/>
                  </w:rPr>
                </m:ctrlPr>
              </m:sSubSupPr>
              <m:e>
                <m:r>
                  <w:rPr>
                    <w:rFonts w:ascii="Cambria Math" w:hAnsi="Cambria Math" w:cs="Calibri"/>
                    <w:sz w:val="22"/>
                    <w:szCs w:val="22"/>
                  </w:rPr>
                  <m:t>M</m:t>
                </m:r>
              </m:e>
              <m:sub>
                <m:r>
                  <m:rPr>
                    <m:nor/>
                  </m:rPr>
                  <w:rPr>
                    <w:rFonts w:hAnsi="Calibri" w:cs="Calibri"/>
                    <w:sz w:val="22"/>
                    <w:szCs w:val="22"/>
                  </w:rPr>
                  <m:t>PDCCH</m:t>
                </m:r>
                <m:ctrlPr>
                  <w:rPr>
                    <w:rFonts w:ascii="Cambria Math" w:hAnsi="Cambria Math" w:cs="Calibri"/>
                    <w:sz w:val="22"/>
                    <w:szCs w:val="22"/>
                  </w:rPr>
                </m:ctrlPr>
              </m:sub>
              <m:sup>
                <m:r>
                  <m:rPr>
                    <m:nor/>
                  </m:rPr>
                  <w:rPr>
                    <w:rFonts w:hAnsi="Calibri" w:cs="Calibri"/>
                    <w:sz w:val="22"/>
                    <w:szCs w:val="22"/>
                  </w:rPr>
                  <m:t>max,slot,</m:t>
                </m:r>
                <m:r>
                  <w:rPr>
                    <w:rFonts w:ascii="Cambria Math" w:hAnsi="Cambria Math" w:cs="Calibri"/>
                    <w:sz w:val="22"/>
                    <w:szCs w:val="22"/>
                  </w:rPr>
                  <m:t>μ</m:t>
                </m:r>
                <m:ctrlPr>
                  <w:rPr>
                    <w:rFonts w:ascii="Cambria Math" w:hAnsi="Cambria Math" w:cs="Calibri"/>
                    <w:sz w:val="22"/>
                    <w:szCs w:val="22"/>
                  </w:rPr>
                </m:ctrlPr>
              </m:sup>
            </m:sSubSup>
            <m:r>
              <w:rPr>
                <w:rFonts w:ascii="Cambria Math" w:hAnsi="Cambria Math" w:cs="Cambria Math"/>
                <w:sz w:val="22"/>
                <w:szCs w:val="22"/>
              </w:rPr>
              <m:t>⋅</m:t>
            </m:r>
            <m:f>
              <m:fPr>
                <m:type m:val="lin"/>
                <m:ctrlPr>
                  <w:rPr>
                    <w:rFonts w:ascii="Cambria Math" w:hAnsi="Cambria Math" w:cs="Calibri"/>
                    <w:i/>
                    <w:sz w:val="22"/>
                    <w:szCs w:val="22"/>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nor/>
                          </m:rPr>
                          <m:t>cells,0</m:t>
                        </m:r>
                        <m:ctrlPr>
                          <w:rPr>
                            <w:rFonts w:ascii="Cambria Math" w:hAnsi="Cambria Math"/>
                          </w:rPr>
                        </m:ctrlPr>
                      </m:sub>
                      <m:sup>
                        <m:r>
                          <m:rPr>
                            <m:nor/>
                          </m:rPr>
                          <m:t>DL,</m:t>
                        </m:r>
                        <m:r>
                          <w:rPr>
                            <w:rFonts w:ascii="Cambria Math" w:hAnsi="Cambria Math"/>
                          </w:rPr>
                          <m:t>μ</m:t>
                        </m:r>
                        <m:ctrlPr>
                          <w:rPr>
                            <w:rFonts w:ascii="Cambria Math" w:hAnsi="Cambria Math"/>
                          </w:rPr>
                        </m:ctrlPr>
                      </m:sup>
                    </m:sSubSup>
                    <m:r>
                      <w:rPr>
                        <w:rFonts w:ascii="Cambria Math" w:hAnsi="Cambria Math"/>
                      </w:rPr>
                      <m:t>+</m:t>
                    </m:r>
                    <m:r>
                      <w:rPr>
                        <w:rFonts w:ascii="Cambria Math" w:hAnsi="Cambria Math" w:cstheme="minorHAnsi"/>
                      </w:rPr>
                      <m:t>γ</m:t>
                    </m:r>
                    <m:r>
                      <w:rPr>
                        <w:rFonts w:ascii="Cambria Math" w:hAnsi="Cambria Math"/>
                      </w:rPr>
                      <m:t>∙</m:t>
                    </m:r>
                    <m:sSubSup>
                      <m:sSubSupPr>
                        <m:ctrlPr>
                          <w:rPr>
                            <w:rFonts w:ascii="Cambria Math" w:hAnsi="Cambria Math"/>
                            <w:i/>
                          </w:rPr>
                        </m:ctrlPr>
                      </m:sSubSupPr>
                      <m:e>
                        <m:r>
                          <w:rPr>
                            <w:rFonts w:ascii="Cambria Math" w:hAnsi="Cambria Math"/>
                          </w:rPr>
                          <m:t>N</m:t>
                        </m:r>
                      </m:e>
                      <m:sub>
                        <m:r>
                          <m:rPr>
                            <m:nor/>
                          </m:rPr>
                          <m:t>cells,1</m:t>
                        </m:r>
                        <m:ctrlPr>
                          <w:rPr>
                            <w:rFonts w:ascii="Cambria Math" w:hAnsi="Cambria Math"/>
                          </w:rPr>
                        </m:ctrlPr>
                      </m:sub>
                      <m:sup>
                        <m:r>
                          <m:rPr>
                            <m:nor/>
                          </m:rPr>
                          <m:t>DL,</m:t>
                        </m:r>
                        <m:r>
                          <w:rPr>
                            <w:rFonts w:ascii="Cambria Math" w:hAnsi="Cambria Math"/>
                          </w:rPr>
                          <m:t>μ</m:t>
                        </m:r>
                        <m:ctrlPr>
                          <w:rPr>
                            <w:rFonts w:ascii="Cambria Math" w:hAnsi="Cambria Math"/>
                          </w:rPr>
                        </m:ctrlPr>
                      </m:sup>
                    </m:sSubSup>
                  </m:e>
                </m:d>
              </m:num>
              <m:den>
                <m:nary>
                  <m:naryPr>
                    <m:chr m:val="∑"/>
                    <m:ctrlPr>
                      <w:rPr>
                        <w:rFonts w:ascii="Cambria Math" w:hAnsi="Cambria Math" w:cs="Calibri"/>
                        <w:i/>
                        <w:sz w:val="22"/>
                        <w:szCs w:val="22"/>
                      </w:rPr>
                    </m:ctrlPr>
                  </m:naryPr>
                  <m:sub>
                    <m:r>
                      <w:rPr>
                        <w:rFonts w:ascii="Cambria Math" w:hAnsi="Cambria Math" w:cs="Calibri"/>
                        <w:sz w:val="22"/>
                        <w:szCs w:val="22"/>
                      </w:rPr>
                      <m:t>j=0</m:t>
                    </m:r>
                  </m:sub>
                  <m:sup>
                    <m:r>
                      <w:rPr>
                        <w:rFonts w:ascii="Cambria Math" w:hAnsi="Cambria Math" w:cs="Calibri"/>
                        <w:sz w:val="22"/>
                        <w:szCs w:val="22"/>
                      </w:rPr>
                      <m:t>3</m:t>
                    </m:r>
                  </m:sup>
                  <m:e>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nor/>
                              </m:rPr>
                              <m:t>cells,0</m:t>
                            </m:r>
                            <m:ctrlPr>
                              <w:rPr>
                                <w:rFonts w:ascii="Cambria Math" w:hAnsi="Cambria Math"/>
                              </w:rPr>
                            </m:ctrlPr>
                          </m:sub>
                          <m:sup>
                            <m:r>
                              <m:rPr>
                                <m:nor/>
                              </m:rPr>
                              <m:t>DL,</m:t>
                            </m:r>
                            <m:r>
                              <w:rPr>
                                <w:rFonts w:ascii="Cambria Math" w:hAnsi="Cambria Math"/>
                              </w:rPr>
                              <m:t>j</m:t>
                            </m:r>
                            <m:ctrlPr>
                              <w:rPr>
                                <w:rFonts w:ascii="Cambria Math" w:hAnsi="Cambria Math"/>
                              </w:rPr>
                            </m:ctrlPr>
                          </m:sup>
                        </m:sSubSup>
                        <m:r>
                          <w:rPr>
                            <w:rFonts w:ascii="Cambria Math" w:hAnsi="Cambria Math"/>
                          </w:rPr>
                          <m:t>+</m:t>
                        </m:r>
                        <m:r>
                          <w:rPr>
                            <w:rFonts w:ascii="Cambria Math" w:hAnsi="Cambria Math" w:cstheme="minorHAnsi"/>
                          </w:rPr>
                          <m:t>γ</m:t>
                        </m:r>
                        <m:r>
                          <w:rPr>
                            <w:rFonts w:ascii="Cambria Math" w:hAnsi="Cambria Math"/>
                          </w:rPr>
                          <m:t>∙</m:t>
                        </m:r>
                        <m:sSubSup>
                          <m:sSubSupPr>
                            <m:ctrlPr>
                              <w:rPr>
                                <w:rFonts w:ascii="Cambria Math" w:hAnsi="Cambria Math"/>
                                <w:i/>
                              </w:rPr>
                            </m:ctrlPr>
                          </m:sSubSupPr>
                          <m:e>
                            <m:r>
                              <w:rPr>
                                <w:rFonts w:ascii="Cambria Math" w:hAnsi="Cambria Math"/>
                              </w:rPr>
                              <m:t>N</m:t>
                            </m:r>
                          </m:e>
                          <m:sub>
                            <m:r>
                              <m:rPr>
                                <m:nor/>
                              </m:rPr>
                              <m:t>cells,1</m:t>
                            </m:r>
                            <m:ctrlPr>
                              <w:rPr>
                                <w:rFonts w:ascii="Cambria Math" w:hAnsi="Cambria Math"/>
                              </w:rPr>
                            </m:ctrlPr>
                          </m:sub>
                          <m:sup>
                            <m:r>
                              <m:rPr>
                                <m:nor/>
                              </m:rPr>
                              <m:t>DL,</m:t>
                            </m:r>
                            <m:r>
                              <w:rPr>
                                <w:rFonts w:ascii="Cambria Math" w:hAnsi="Cambria Math"/>
                              </w:rPr>
                              <m:t>j</m:t>
                            </m:r>
                            <m:ctrlPr>
                              <w:rPr>
                                <w:rFonts w:ascii="Cambria Math" w:hAnsi="Cambria Math"/>
                              </w:rPr>
                            </m:ctrlPr>
                          </m:sup>
                        </m:sSubSup>
                      </m:e>
                    </m:d>
                  </m:e>
                </m:nary>
              </m:den>
            </m:f>
          </m:e>
        </m:d>
      </m:oMath>
      <w:r w:rsidR="00651CF3">
        <w:rPr>
          <w:lang w:val="en-US" w:eastAsia="ko-KR"/>
        </w:rPr>
        <w:t xml:space="preserve"> </w:t>
      </w:r>
      <w:bookmarkEnd w:id="669"/>
      <w:r w:rsidRPr="00D20E88">
        <w:t xml:space="preserve"> PDCCH candidates </w:t>
      </w:r>
      <w:r>
        <w:rPr>
          <w:lang w:val="en-US"/>
        </w:rPr>
        <w:t xml:space="preserve">or more than </w:t>
      </w:r>
      <m:oMath>
        <m:sSubSup>
          <m:sSubSupPr>
            <m:ctrlPr>
              <w:rPr>
                <w:rFonts w:ascii="Cambria Math" w:hAnsi="Cambria Math" w:cs="Calibri"/>
                <w:i/>
                <w:sz w:val="22"/>
                <w:szCs w:val="22"/>
              </w:rPr>
            </m:ctrlPr>
          </m:sSubSupPr>
          <m:e>
            <m:r>
              <w:rPr>
                <w:rFonts w:ascii="Cambria Math" w:hAnsi="Cambria Math" w:cs="Calibri"/>
                <w:sz w:val="22"/>
                <w:szCs w:val="22"/>
              </w:rPr>
              <m:t>C</m:t>
            </m:r>
          </m:e>
          <m:sub>
            <m:r>
              <m:rPr>
                <m:nor/>
              </m:rPr>
              <w:rPr>
                <w:rFonts w:hAnsi="Calibri" w:cs="Calibri"/>
                <w:sz w:val="22"/>
                <w:szCs w:val="22"/>
              </w:rPr>
              <m:t>PDCCH</m:t>
            </m:r>
            <m:ctrlPr>
              <w:rPr>
                <w:rFonts w:ascii="Cambria Math" w:hAnsi="Cambria Math" w:cs="Calibri"/>
                <w:sz w:val="22"/>
                <w:szCs w:val="22"/>
              </w:rPr>
            </m:ctrlPr>
          </m:sub>
          <m:sup>
            <m:r>
              <m:rPr>
                <m:nor/>
              </m:rPr>
              <w:rPr>
                <w:rFonts w:hAnsi="Calibri" w:cs="Calibri"/>
                <w:sz w:val="22"/>
                <w:szCs w:val="22"/>
              </w:rPr>
              <m:t>total,slot,</m:t>
            </m:r>
            <m:r>
              <w:rPr>
                <w:rFonts w:ascii="Cambria Math" w:hAnsi="Cambria Math" w:cs="Calibri"/>
                <w:sz w:val="22"/>
                <w:szCs w:val="22"/>
              </w:rPr>
              <m:t>μ</m:t>
            </m:r>
            <m:ctrlPr>
              <w:rPr>
                <w:rFonts w:ascii="Cambria Math" w:hAnsi="Cambria Math" w:cs="Calibri"/>
                <w:sz w:val="22"/>
                <w:szCs w:val="22"/>
              </w:rPr>
            </m:ctrlPr>
          </m:sup>
        </m:sSubSup>
        <m:r>
          <w:rPr>
            <w:rFonts w:ascii="Cambria Math" w:hAnsi="Cambria Math" w:cs="Calibri"/>
            <w:sz w:val="22"/>
            <w:szCs w:val="22"/>
          </w:rPr>
          <m:t>=</m:t>
        </m:r>
        <m:d>
          <m:dPr>
            <m:begChr m:val="⌊"/>
            <m:endChr m:val="⌋"/>
            <m:ctrlPr>
              <w:rPr>
                <w:rFonts w:ascii="Cambria Math" w:hAnsi="Cambria Math" w:cs="Calibri"/>
                <w:i/>
                <w:sz w:val="22"/>
                <w:szCs w:val="22"/>
              </w:rPr>
            </m:ctrlPr>
          </m:dPr>
          <m:e>
            <m:sSubSup>
              <m:sSubSupPr>
                <m:ctrlPr>
                  <w:rPr>
                    <w:rFonts w:ascii="Cambria Math" w:hAnsi="Cambria Math" w:cs="Calibri"/>
                    <w:i/>
                    <w:sz w:val="22"/>
                    <w:szCs w:val="22"/>
                  </w:rPr>
                </m:ctrlPr>
              </m:sSubSupPr>
              <m:e>
                <m:r>
                  <w:rPr>
                    <w:rFonts w:ascii="Cambria Math" w:hAnsi="Cambria Math" w:cs="Calibri"/>
                    <w:sz w:val="22"/>
                    <w:szCs w:val="22"/>
                  </w:rPr>
                  <m:t>N</m:t>
                </m:r>
              </m:e>
              <m:sub>
                <m:r>
                  <m:rPr>
                    <m:nor/>
                  </m:rPr>
                  <w:rPr>
                    <w:rFonts w:hAnsi="Calibri" w:cs="Calibri"/>
                    <w:sz w:val="22"/>
                    <w:szCs w:val="22"/>
                  </w:rPr>
                  <m:t>cells</m:t>
                </m:r>
                <m:ctrlPr>
                  <w:rPr>
                    <w:rFonts w:ascii="Cambria Math" w:hAnsi="Cambria Math" w:cs="Calibri"/>
                    <w:sz w:val="22"/>
                    <w:szCs w:val="22"/>
                  </w:rPr>
                </m:ctrlPr>
              </m:sub>
              <m:sup>
                <m:r>
                  <m:rPr>
                    <m:nor/>
                  </m:rPr>
                  <w:rPr>
                    <w:rFonts w:hAnsi="Calibri" w:cs="Calibri"/>
                    <w:sz w:val="22"/>
                    <w:szCs w:val="22"/>
                  </w:rPr>
                  <m:t>cap</m:t>
                </m:r>
                <m:ctrlPr>
                  <w:rPr>
                    <w:rFonts w:ascii="Cambria Math" w:hAnsi="Cambria Math" w:cs="Calibri"/>
                    <w:sz w:val="22"/>
                    <w:szCs w:val="22"/>
                  </w:rPr>
                </m:ctrlPr>
              </m:sup>
            </m:sSubSup>
            <m:r>
              <w:rPr>
                <w:rFonts w:ascii="Cambria Math" w:hAnsi="Cambria Math" w:cs="Cambria Math"/>
                <w:sz w:val="22"/>
                <w:szCs w:val="22"/>
              </w:rPr>
              <m:t>⋅</m:t>
            </m:r>
            <m:sSubSup>
              <m:sSubSupPr>
                <m:ctrlPr>
                  <w:rPr>
                    <w:rFonts w:ascii="Cambria Math" w:hAnsi="Cambria Math" w:cs="Calibri"/>
                    <w:i/>
                    <w:sz w:val="22"/>
                    <w:szCs w:val="22"/>
                  </w:rPr>
                </m:ctrlPr>
              </m:sSubSupPr>
              <m:e>
                <m:r>
                  <w:rPr>
                    <w:rFonts w:ascii="Cambria Math" w:hAnsi="Cambria Math" w:cs="Calibri"/>
                    <w:sz w:val="22"/>
                    <w:szCs w:val="22"/>
                  </w:rPr>
                  <m:t>C</m:t>
                </m:r>
              </m:e>
              <m:sub>
                <m:r>
                  <m:rPr>
                    <m:nor/>
                  </m:rPr>
                  <w:rPr>
                    <w:rFonts w:hAnsi="Calibri" w:cs="Calibri"/>
                    <w:sz w:val="22"/>
                    <w:szCs w:val="22"/>
                  </w:rPr>
                  <m:t>PDCCH</m:t>
                </m:r>
                <m:ctrlPr>
                  <w:rPr>
                    <w:rFonts w:ascii="Cambria Math" w:hAnsi="Cambria Math" w:cs="Calibri"/>
                    <w:sz w:val="22"/>
                    <w:szCs w:val="22"/>
                  </w:rPr>
                </m:ctrlPr>
              </m:sub>
              <m:sup>
                <m:r>
                  <m:rPr>
                    <m:nor/>
                  </m:rPr>
                  <w:rPr>
                    <w:rFonts w:hAnsi="Calibri" w:cs="Calibri"/>
                    <w:sz w:val="22"/>
                    <w:szCs w:val="22"/>
                  </w:rPr>
                  <m:t>max,slot,</m:t>
                </m:r>
                <m:r>
                  <w:rPr>
                    <w:rFonts w:ascii="Cambria Math" w:hAnsi="Cambria Math" w:cs="Calibri"/>
                    <w:sz w:val="22"/>
                    <w:szCs w:val="22"/>
                  </w:rPr>
                  <m:t>μ</m:t>
                </m:r>
                <m:ctrlPr>
                  <w:rPr>
                    <w:rFonts w:ascii="Cambria Math" w:hAnsi="Cambria Math" w:cs="Calibri"/>
                    <w:sz w:val="22"/>
                    <w:szCs w:val="22"/>
                  </w:rPr>
                </m:ctrlPr>
              </m:sup>
            </m:sSubSup>
            <m:r>
              <w:rPr>
                <w:rFonts w:ascii="Cambria Math" w:hAnsi="Cambria Math" w:cs="Cambria Math"/>
                <w:sz w:val="22"/>
                <w:szCs w:val="22"/>
              </w:rPr>
              <m:t>⋅</m:t>
            </m:r>
            <m:f>
              <m:fPr>
                <m:type m:val="lin"/>
                <m:ctrlPr>
                  <w:rPr>
                    <w:rFonts w:ascii="Cambria Math" w:hAnsi="Cambria Math" w:cs="Calibri"/>
                    <w:i/>
                    <w:sz w:val="22"/>
                    <w:szCs w:val="22"/>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nor/>
                          </m:rPr>
                          <m:t>cells,0</m:t>
                        </m:r>
                        <m:ctrlPr>
                          <w:rPr>
                            <w:rFonts w:ascii="Cambria Math" w:hAnsi="Cambria Math"/>
                          </w:rPr>
                        </m:ctrlPr>
                      </m:sub>
                      <m:sup>
                        <m:r>
                          <m:rPr>
                            <m:nor/>
                          </m:rPr>
                          <m:t>DL,</m:t>
                        </m:r>
                        <m:r>
                          <w:rPr>
                            <w:rFonts w:ascii="Cambria Math" w:hAnsi="Cambria Math"/>
                          </w:rPr>
                          <m:t>μ</m:t>
                        </m:r>
                        <m:ctrlPr>
                          <w:rPr>
                            <w:rFonts w:ascii="Cambria Math" w:hAnsi="Cambria Math"/>
                          </w:rPr>
                        </m:ctrlPr>
                      </m:sup>
                    </m:sSubSup>
                    <m:r>
                      <w:rPr>
                        <w:rFonts w:ascii="Cambria Math" w:hAnsi="Cambria Math"/>
                      </w:rPr>
                      <m:t>+</m:t>
                    </m:r>
                    <m:r>
                      <w:rPr>
                        <w:rFonts w:ascii="Cambria Math" w:hAnsi="Cambria Math" w:cstheme="minorHAnsi"/>
                      </w:rPr>
                      <m:t>γ</m:t>
                    </m:r>
                    <m:r>
                      <w:rPr>
                        <w:rFonts w:ascii="Cambria Math" w:hAnsi="Cambria Math"/>
                      </w:rPr>
                      <m:t>∙</m:t>
                    </m:r>
                    <m:sSubSup>
                      <m:sSubSupPr>
                        <m:ctrlPr>
                          <w:rPr>
                            <w:rFonts w:ascii="Cambria Math" w:hAnsi="Cambria Math"/>
                            <w:i/>
                          </w:rPr>
                        </m:ctrlPr>
                      </m:sSubSupPr>
                      <m:e>
                        <m:r>
                          <w:rPr>
                            <w:rFonts w:ascii="Cambria Math" w:hAnsi="Cambria Math"/>
                          </w:rPr>
                          <m:t>N</m:t>
                        </m:r>
                      </m:e>
                      <m:sub>
                        <m:r>
                          <m:rPr>
                            <m:nor/>
                          </m:rPr>
                          <m:t>cells,1</m:t>
                        </m:r>
                        <m:ctrlPr>
                          <w:rPr>
                            <w:rFonts w:ascii="Cambria Math" w:hAnsi="Cambria Math"/>
                          </w:rPr>
                        </m:ctrlPr>
                      </m:sub>
                      <m:sup>
                        <m:r>
                          <m:rPr>
                            <m:nor/>
                          </m:rPr>
                          <m:t>DL,</m:t>
                        </m:r>
                        <m:r>
                          <w:rPr>
                            <w:rFonts w:ascii="Cambria Math" w:hAnsi="Cambria Math"/>
                          </w:rPr>
                          <m:t>μ</m:t>
                        </m:r>
                        <m:ctrlPr>
                          <w:rPr>
                            <w:rFonts w:ascii="Cambria Math" w:hAnsi="Cambria Math"/>
                          </w:rPr>
                        </m:ctrlPr>
                      </m:sup>
                    </m:sSubSup>
                  </m:e>
                </m:d>
              </m:num>
              <m:den>
                <m:nary>
                  <m:naryPr>
                    <m:chr m:val="∑"/>
                    <m:ctrlPr>
                      <w:rPr>
                        <w:rFonts w:ascii="Cambria Math" w:hAnsi="Cambria Math" w:cs="Calibri"/>
                        <w:i/>
                        <w:sz w:val="22"/>
                        <w:szCs w:val="22"/>
                      </w:rPr>
                    </m:ctrlPr>
                  </m:naryPr>
                  <m:sub>
                    <m:r>
                      <w:rPr>
                        <w:rFonts w:ascii="Cambria Math" w:hAnsi="Cambria Math" w:cs="Calibri"/>
                        <w:sz w:val="22"/>
                        <w:szCs w:val="22"/>
                      </w:rPr>
                      <m:t>j=0</m:t>
                    </m:r>
                  </m:sub>
                  <m:sup>
                    <m:r>
                      <w:rPr>
                        <w:rFonts w:ascii="Cambria Math" w:hAnsi="Cambria Math" w:cs="Calibri"/>
                        <w:sz w:val="22"/>
                        <w:szCs w:val="22"/>
                      </w:rPr>
                      <m:t>3</m:t>
                    </m:r>
                  </m:sup>
                  <m:e>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nor/>
                              </m:rPr>
                              <m:t>cells,0</m:t>
                            </m:r>
                            <m:ctrlPr>
                              <w:rPr>
                                <w:rFonts w:ascii="Cambria Math" w:hAnsi="Cambria Math"/>
                              </w:rPr>
                            </m:ctrlPr>
                          </m:sub>
                          <m:sup>
                            <m:r>
                              <m:rPr>
                                <m:nor/>
                              </m:rPr>
                              <m:t>DL,</m:t>
                            </m:r>
                            <m:r>
                              <w:rPr>
                                <w:rFonts w:ascii="Cambria Math" w:hAnsi="Cambria Math"/>
                              </w:rPr>
                              <m:t>j</m:t>
                            </m:r>
                            <m:ctrlPr>
                              <w:rPr>
                                <w:rFonts w:ascii="Cambria Math" w:hAnsi="Cambria Math"/>
                              </w:rPr>
                            </m:ctrlPr>
                          </m:sup>
                        </m:sSubSup>
                        <m:r>
                          <w:rPr>
                            <w:rFonts w:ascii="Cambria Math" w:hAnsi="Cambria Math"/>
                          </w:rPr>
                          <m:t>+</m:t>
                        </m:r>
                        <m:r>
                          <w:rPr>
                            <w:rFonts w:ascii="Cambria Math" w:hAnsi="Cambria Math" w:cstheme="minorHAnsi"/>
                          </w:rPr>
                          <m:t>γ</m:t>
                        </m:r>
                        <m:r>
                          <w:rPr>
                            <w:rFonts w:ascii="Cambria Math" w:hAnsi="Cambria Math"/>
                          </w:rPr>
                          <m:t>∙</m:t>
                        </m:r>
                        <m:sSubSup>
                          <m:sSubSupPr>
                            <m:ctrlPr>
                              <w:rPr>
                                <w:rFonts w:ascii="Cambria Math" w:hAnsi="Cambria Math"/>
                                <w:i/>
                              </w:rPr>
                            </m:ctrlPr>
                          </m:sSubSupPr>
                          <m:e>
                            <m:r>
                              <w:rPr>
                                <w:rFonts w:ascii="Cambria Math" w:hAnsi="Cambria Math"/>
                              </w:rPr>
                              <m:t>N</m:t>
                            </m:r>
                          </m:e>
                          <m:sub>
                            <m:r>
                              <m:rPr>
                                <m:nor/>
                              </m:rPr>
                              <m:t>cells,1</m:t>
                            </m:r>
                            <m:ctrlPr>
                              <w:rPr>
                                <w:rFonts w:ascii="Cambria Math" w:hAnsi="Cambria Math"/>
                              </w:rPr>
                            </m:ctrlPr>
                          </m:sub>
                          <m:sup>
                            <m:r>
                              <m:rPr>
                                <m:nor/>
                              </m:rPr>
                              <m:t>DL,</m:t>
                            </m:r>
                            <m:r>
                              <w:rPr>
                                <w:rFonts w:ascii="Cambria Math" w:hAnsi="Cambria Math"/>
                              </w:rPr>
                              <m:t>j</m:t>
                            </m:r>
                            <m:ctrlPr>
                              <w:rPr>
                                <w:rFonts w:ascii="Cambria Math" w:hAnsi="Cambria Math"/>
                              </w:rPr>
                            </m:ctrlPr>
                          </m:sup>
                        </m:sSubSup>
                      </m:e>
                    </m:d>
                  </m:e>
                </m:nary>
              </m:den>
            </m:f>
          </m:e>
        </m:d>
      </m:oMath>
      <w:r w:rsidRPr="00D20E88">
        <w:t xml:space="preserve"> non-overlapped CCEs per slot </w:t>
      </w:r>
      <w:r w:rsidRPr="00D20E88">
        <w:rPr>
          <w:lang w:val="en-US"/>
        </w:rPr>
        <w:t>on the active DL BWP</w:t>
      </w:r>
      <w:r>
        <w:rPr>
          <w:lang w:val="en-US"/>
        </w:rPr>
        <w:t>(s)</w:t>
      </w:r>
      <w:r w:rsidRPr="00D20E88">
        <w:rPr>
          <w:lang w:val="en-US"/>
        </w:rPr>
        <w:t xml:space="preserve"> of</w:t>
      </w:r>
      <w:r w:rsidRPr="00D20E88">
        <w:t xml:space="preserve"> scheduling cell</w:t>
      </w:r>
      <w:r>
        <w:rPr>
          <w:lang w:val="en-US"/>
        </w:rPr>
        <w:t>(s) from the</w:t>
      </w:r>
      <w:r w:rsidR="006E66F3">
        <w:rPr>
          <w:lang w:val="en-US"/>
        </w:rPr>
        <w:t xml:space="preserve"> </w:t>
      </w:r>
      <m:oMath>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oMath>
      <w:r w:rsidRPr="00D20E88">
        <w:t xml:space="preserve"> downlink cells</w:t>
      </w:r>
      <w:r w:rsidRPr="00D20E88">
        <w:rPr>
          <w:lang w:val="en-US"/>
        </w:rPr>
        <w:t>.</w:t>
      </w:r>
      <w:r w:rsidR="0028578C">
        <w:rPr>
          <w:lang w:val="en-US"/>
        </w:rPr>
        <w:t xml:space="preserve"> </w:t>
      </w:r>
      <m:oMath>
        <m:sSubSup>
          <m:sSubSupPr>
            <m:ctrlPr>
              <w:rPr>
                <w:rFonts w:ascii="Cambria Math" w:hAnsi="Cambria Math"/>
                <w:i/>
              </w:rPr>
            </m:ctrlPr>
          </m:sSubSupPr>
          <m:e>
            <m:r>
              <w:rPr>
                <w:rFonts w:ascii="Cambria Math" w:hAnsi="Cambria Math"/>
              </w:rPr>
              <m:t>N</m:t>
            </m:r>
          </m:e>
          <m:sub>
            <m:r>
              <m:rPr>
                <m:nor/>
              </m:rPr>
              <m:t>cells</m:t>
            </m:r>
            <m:ctrlPr>
              <w:rPr>
                <w:rFonts w:ascii="Cambria Math" w:hAnsi="Cambria Math"/>
              </w:rPr>
            </m:ctrlPr>
          </m:sub>
          <m:sup>
            <m:r>
              <m:rPr>
                <m:nor/>
              </m:rPr>
              <m:t>cap</m:t>
            </m:r>
            <m:ctrlPr>
              <w:rPr>
                <w:rFonts w:ascii="Cambria Math" w:hAnsi="Cambria Math"/>
              </w:rPr>
            </m:ctrlPr>
          </m:sup>
        </m:sSubSup>
      </m:oMath>
      <w:r w:rsidR="0028578C" w:rsidRPr="001B2B2C">
        <w:t xml:space="preserve"> is replaced by </w:t>
      </w:r>
      <m:oMath>
        <m:sSubSup>
          <m:sSubSupPr>
            <m:ctrlPr>
              <w:rPr>
                <w:rFonts w:ascii="Cambria Math" w:hAnsi="Cambria Math"/>
                <w:i/>
              </w:rPr>
            </m:ctrlPr>
          </m:sSubSupPr>
          <m:e>
            <m:r>
              <w:rPr>
                <w:rFonts w:ascii="Cambria Math" w:hAnsi="Cambria Math"/>
              </w:rPr>
              <m:t>N</m:t>
            </m:r>
          </m:e>
          <m:sub>
            <m:r>
              <m:rPr>
                <m:nor/>
              </m:rPr>
              <m:t>cells,r15</m:t>
            </m:r>
            <m:ctrlPr>
              <w:rPr>
                <w:rFonts w:ascii="Cambria Math" w:hAnsi="Cambria Math"/>
              </w:rPr>
            </m:ctrlPr>
          </m:sub>
          <m:sup>
            <m:r>
              <m:rPr>
                <m:nor/>
              </m:rPr>
              <m:t>cap-r16</m:t>
            </m:r>
            <m:ctrlPr>
              <w:rPr>
                <w:rFonts w:ascii="Cambria Math" w:hAnsi="Cambria Math"/>
              </w:rPr>
            </m:ctrlPr>
          </m:sup>
        </m:sSubSup>
        <m:r>
          <w:rPr>
            <w:rFonts w:ascii="Cambria Math" w:hAnsi="Cambria Math"/>
          </w:rPr>
          <m:t xml:space="preserve"> </m:t>
        </m:r>
      </m:oMath>
      <w:r w:rsidR="0028578C">
        <w:rPr>
          <w:iCs/>
        </w:rPr>
        <w:t>i</w:t>
      </w:r>
      <w:r w:rsidR="0028578C" w:rsidRPr="001B2B2C">
        <w:rPr>
          <w:iCs/>
        </w:rPr>
        <w:t xml:space="preserve">f a UE </w:t>
      </w:r>
      <w:r w:rsidR="0028578C" w:rsidRPr="000734F6">
        <w:rPr>
          <w:iCs/>
        </w:rPr>
        <w:t xml:space="preserve">is </w:t>
      </w:r>
      <w:r w:rsidR="0028578C" w:rsidRPr="001B2B2C">
        <w:rPr>
          <w:iCs/>
        </w:rPr>
        <w:t xml:space="preserve">configured with downlink cells for which the UE is provided both </w:t>
      </w:r>
      <w:r w:rsidR="0028578C" w:rsidRPr="001B2B2C">
        <w:rPr>
          <w:i/>
        </w:rPr>
        <w:t>monitoringCapabilityConfig</w:t>
      </w:r>
      <w:r w:rsidR="0028578C" w:rsidRPr="001B2B2C">
        <w:t xml:space="preserve"> = </w:t>
      </w:r>
      <w:r w:rsidR="0028578C" w:rsidRPr="001B2B2C">
        <w:rPr>
          <w:i/>
        </w:rPr>
        <w:t>r15monitoringcapability</w:t>
      </w:r>
      <w:r w:rsidR="0028578C" w:rsidRPr="001B2B2C">
        <w:rPr>
          <w:iCs/>
        </w:rPr>
        <w:t xml:space="preserve"> and </w:t>
      </w:r>
      <w:r w:rsidR="0028578C" w:rsidRPr="001B2B2C">
        <w:rPr>
          <w:i/>
        </w:rPr>
        <w:t>monitoringCapabilityConfig</w:t>
      </w:r>
      <w:r w:rsidR="0028578C" w:rsidRPr="001B2B2C">
        <w:t xml:space="preserve"> = </w:t>
      </w:r>
      <w:r w:rsidR="0028578C" w:rsidRPr="001B2B2C">
        <w:rPr>
          <w:i/>
        </w:rPr>
        <w:t>r16monitoringcapability</w:t>
      </w:r>
      <w:r w:rsidR="0028578C" w:rsidRPr="001B2B2C">
        <w:t>.</w:t>
      </w:r>
      <w:r w:rsidR="002B6A70">
        <w:t xml:space="preserve"> </w:t>
      </w:r>
      <m:oMath>
        <m:sSubSup>
          <m:sSubSupPr>
            <m:ctrlPr>
              <w:rPr>
                <w:rFonts w:ascii="Cambria Math" w:hAnsi="Cambria Math"/>
                <w:i/>
              </w:rPr>
            </m:ctrlPr>
          </m:sSubSupPr>
          <m:e>
            <m:r>
              <w:rPr>
                <w:rFonts w:ascii="Cambria Math" w:hAnsi="Cambria Math"/>
              </w:rPr>
              <m:t>N</m:t>
            </m:r>
          </m:e>
          <m:sub>
            <m:r>
              <m:rPr>
                <m:nor/>
              </m:rPr>
              <m:t>cells</m:t>
            </m:r>
            <m:ctrlPr>
              <w:rPr>
                <w:rFonts w:ascii="Cambria Math" w:hAnsi="Cambria Math"/>
              </w:rPr>
            </m:ctrlPr>
          </m:sub>
          <m:sup>
            <m:r>
              <m:rPr>
                <m:nor/>
              </m:rPr>
              <m:t>cap</m:t>
            </m:r>
            <m:ctrlPr>
              <w:rPr>
                <w:rFonts w:ascii="Cambria Math" w:hAnsi="Cambria Math"/>
              </w:rPr>
            </m:ctrlPr>
          </m:sup>
        </m:sSubSup>
      </m:oMath>
      <w:r w:rsidR="002B6A70" w:rsidRPr="002247D4">
        <w:t xml:space="preserve"> is replaced by </w:t>
      </w:r>
      <m:oMath>
        <m:sSubSup>
          <m:sSubSupPr>
            <m:ctrlPr>
              <w:rPr>
                <w:rFonts w:ascii="Cambria Math" w:hAnsi="Cambria Math"/>
                <w:i/>
              </w:rPr>
            </m:ctrlPr>
          </m:sSubSupPr>
          <m:e>
            <m:r>
              <w:rPr>
                <w:rFonts w:ascii="Cambria Math" w:hAnsi="Cambria Math"/>
              </w:rPr>
              <m:t>N</m:t>
            </m:r>
          </m:e>
          <m:sub>
            <m:r>
              <m:rPr>
                <m:nor/>
              </m:rPr>
              <m:t>cells, r15</m:t>
            </m:r>
            <m:r>
              <m:rPr>
                <m:nor/>
              </m:rPr>
              <w:rPr>
                <w:rFonts w:ascii="Cambria Math" w:hint="eastAsia"/>
                <w:lang w:eastAsia="zh-CN"/>
              </w:rPr>
              <m:t>/r17</m:t>
            </m:r>
            <m:ctrlPr>
              <w:rPr>
                <w:rFonts w:ascii="Cambria Math" w:hAnsi="Cambria Math"/>
              </w:rPr>
            </m:ctrlPr>
          </m:sub>
          <m:sup>
            <m:r>
              <m:rPr>
                <m:nor/>
              </m:rPr>
              <m:t>cap-r1</m:t>
            </m:r>
            <m:r>
              <m:rPr>
                <m:nor/>
              </m:rPr>
              <w:rPr>
                <w:rFonts w:ascii="Cambria Math" w:hint="eastAsia"/>
                <w:lang w:eastAsia="zh-CN"/>
              </w:rPr>
              <m:t>7</m:t>
            </m:r>
            <m:ctrlPr>
              <w:rPr>
                <w:rFonts w:ascii="Cambria Math" w:hAnsi="Cambria Math"/>
              </w:rPr>
            </m:ctrlPr>
          </m:sup>
        </m:sSubSup>
      </m:oMath>
      <w:r w:rsidR="002B6A70" w:rsidRPr="002247D4">
        <w:t>,</w:t>
      </w:r>
      <w:r w:rsidR="002B6A70" w:rsidRPr="002247D4">
        <w:rPr>
          <w:iCs/>
        </w:rPr>
        <w:t xml:space="preserve"> if a UE is configured with downlink cells for which the UE is provided both </w:t>
      </w:r>
      <w:r w:rsidR="002B6A70" w:rsidRPr="002247D4">
        <w:rPr>
          <w:i/>
        </w:rPr>
        <w:t>monitoringCapabilityConfig</w:t>
      </w:r>
      <w:r w:rsidR="002B6A70" w:rsidRPr="002247D4">
        <w:t xml:space="preserve"> = </w:t>
      </w:r>
      <w:r w:rsidR="002B6A70" w:rsidRPr="002247D4">
        <w:rPr>
          <w:i/>
        </w:rPr>
        <w:t>r15monitoringcapability</w:t>
      </w:r>
      <w:r w:rsidR="002B6A70" w:rsidRPr="002247D4">
        <w:rPr>
          <w:iCs/>
        </w:rPr>
        <w:t xml:space="preserve"> and </w:t>
      </w:r>
      <w:r w:rsidR="002B6A70" w:rsidRPr="002247D4">
        <w:rPr>
          <w:i/>
        </w:rPr>
        <w:t>monitoringCapabilityConfig</w:t>
      </w:r>
      <w:r w:rsidR="002B6A70" w:rsidRPr="002247D4">
        <w:t xml:space="preserve"> = </w:t>
      </w:r>
      <w:r w:rsidR="002B6A70" w:rsidRPr="002247D4">
        <w:rPr>
          <w:i/>
        </w:rPr>
        <w:t>r1</w:t>
      </w:r>
      <w:r w:rsidR="002B6A70" w:rsidRPr="002247D4">
        <w:rPr>
          <w:rFonts w:hint="eastAsia"/>
          <w:i/>
          <w:lang w:eastAsia="zh-CN"/>
        </w:rPr>
        <w:t>7</w:t>
      </w:r>
      <w:r w:rsidR="002B6A70" w:rsidRPr="002247D4">
        <w:rPr>
          <w:i/>
        </w:rPr>
        <w:t>monitoringcapability</w:t>
      </w:r>
      <w:r w:rsidR="002B6A70" w:rsidRPr="002247D4">
        <w:rPr>
          <w:rFonts w:hint="eastAsia"/>
          <w:i/>
          <w:lang w:eastAsia="zh-CN"/>
        </w:rPr>
        <w:t>.</w:t>
      </w:r>
      <m:oMath>
        <m:r>
          <w:rPr>
            <w:rFonts w:ascii="Cambria Math" w:hAnsi="Cambria Math"/>
          </w:rPr>
          <m:t xml:space="preserve"> </m:t>
        </m:r>
        <m:sSubSup>
          <m:sSubSupPr>
            <m:ctrlPr>
              <w:rPr>
                <w:rFonts w:ascii="Cambria Math" w:hAnsi="Cambria Math"/>
                <w:i/>
              </w:rPr>
            </m:ctrlPr>
          </m:sSubSupPr>
          <m:e>
            <m:r>
              <w:rPr>
                <w:rFonts w:ascii="Cambria Math" w:hAnsi="Cambria Math"/>
              </w:rPr>
              <m:t>N</m:t>
            </m:r>
          </m:e>
          <m:sub>
            <m:r>
              <m:rPr>
                <m:nor/>
              </m:rPr>
              <m:t>cells</m:t>
            </m:r>
            <m:ctrlPr>
              <w:rPr>
                <w:rFonts w:ascii="Cambria Math" w:hAnsi="Cambria Math"/>
              </w:rPr>
            </m:ctrlPr>
          </m:sub>
          <m:sup>
            <m:r>
              <m:rPr>
                <m:nor/>
              </m:rPr>
              <m:t>cap</m:t>
            </m:r>
            <m:ctrlPr>
              <w:rPr>
                <w:rFonts w:ascii="Cambria Math" w:hAnsi="Cambria Math"/>
              </w:rPr>
            </m:ctrlPr>
          </m:sup>
        </m:sSubSup>
      </m:oMath>
      <w:r w:rsidR="002B6A70" w:rsidRPr="002247D4">
        <w:t xml:space="preserve"> is replaced by </w:t>
      </w:r>
      <m:oMath>
        <m:sSubSup>
          <m:sSubSupPr>
            <m:ctrlPr>
              <w:rPr>
                <w:rFonts w:ascii="Cambria Math" w:hAnsi="Cambria Math"/>
                <w:i/>
              </w:rPr>
            </m:ctrlPr>
          </m:sSubSupPr>
          <m:e>
            <m:r>
              <w:rPr>
                <w:rFonts w:ascii="Cambria Math" w:hAnsi="Cambria Math"/>
              </w:rPr>
              <m:t>N</m:t>
            </m:r>
          </m:e>
          <m:sub>
            <m:r>
              <m:rPr>
                <m:nor/>
              </m:rPr>
              <m:t>cells, r15</m:t>
            </m:r>
            <m:r>
              <m:rPr>
                <m:nor/>
              </m:rPr>
              <w:rPr>
                <w:rFonts w:ascii="Cambria Math"/>
                <w:lang w:eastAsia="zh-CN"/>
              </w:rPr>
              <m:t>/ {</m:t>
            </m:r>
            <m:r>
              <m:rPr>
                <m:nor/>
              </m:rPr>
              <w:rPr>
                <w:rFonts w:ascii="Cambria Math" w:hint="eastAsia"/>
                <w:lang w:eastAsia="zh-CN"/>
              </w:rPr>
              <m:t>r16</m:t>
            </m:r>
            <m:r>
              <m:rPr>
                <m:nor/>
              </m:rPr>
              <w:rPr>
                <w:rFonts w:ascii="Cambria Math"/>
                <w:lang w:eastAsia="zh-CN"/>
              </w:rPr>
              <m:t xml:space="preserve">, r17} </m:t>
            </m:r>
            <m:ctrlPr>
              <w:rPr>
                <w:rFonts w:ascii="Cambria Math" w:hAnsi="Cambria Math"/>
              </w:rPr>
            </m:ctrlPr>
          </m:sub>
          <m:sup>
            <m:r>
              <m:rPr>
                <m:nor/>
              </m:rPr>
              <m:t>cap-r1</m:t>
            </m:r>
            <m:r>
              <m:rPr>
                <m:nor/>
              </m:rPr>
              <w:rPr>
                <w:rFonts w:ascii="Cambria Math" w:hint="eastAsia"/>
                <w:lang w:eastAsia="zh-CN"/>
              </w:rPr>
              <m:t>7</m:t>
            </m:r>
            <m:ctrlPr>
              <w:rPr>
                <w:rFonts w:ascii="Cambria Math" w:hAnsi="Cambria Math"/>
              </w:rPr>
            </m:ctrlPr>
          </m:sup>
        </m:sSubSup>
      </m:oMath>
      <w:r w:rsidR="002B6A70" w:rsidRPr="002247D4">
        <w:rPr>
          <w:rFonts w:hint="eastAsia"/>
          <w:lang w:eastAsia="zh-CN"/>
        </w:rPr>
        <w:t>.</w:t>
      </w:r>
      <w:r w:rsidR="003B2A2E">
        <w:rPr>
          <w:lang w:eastAsia="zh-CN"/>
        </w:rPr>
        <w:t xml:space="preserve"> </w:t>
      </w:r>
      <w:r w:rsidR="002B6A70" w:rsidRPr="002247D4">
        <w:rPr>
          <w:rFonts w:hint="eastAsia"/>
          <w:lang w:eastAsia="zh-CN"/>
        </w:rPr>
        <w:t>I</w:t>
      </w:r>
      <w:r w:rsidR="002B6A70" w:rsidRPr="002247D4">
        <w:rPr>
          <w:iCs/>
        </w:rPr>
        <w:t xml:space="preserve">f a UE is configured with downlink cells for which the UE is provided </w:t>
      </w:r>
      <w:r w:rsidR="002B6A70" w:rsidRPr="002247D4">
        <w:rPr>
          <w:i/>
        </w:rPr>
        <w:t>monitoringCapabilityConfig</w:t>
      </w:r>
      <w:r w:rsidR="002B6A70" w:rsidRPr="002247D4">
        <w:t xml:space="preserve"> = </w:t>
      </w:r>
      <w:r w:rsidR="002B6A70" w:rsidRPr="002247D4">
        <w:rPr>
          <w:i/>
        </w:rPr>
        <w:t>r15monitoringcapability</w:t>
      </w:r>
      <w:r w:rsidR="002B6A70" w:rsidRPr="002247D4">
        <w:rPr>
          <w:iCs/>
        </w:rPr>
        <w:t xml:space="preserve"> and </w:t>
      </w:r>
      <w:r w:rsidR="002B6A70" w:rsidRPr="002247D4">
        <w:rPr>
          <w:i/>
        </w:rPr>
        <w:t>monitoringCapabilityConfig</w:t>
      </w:r>
      <w:r w:rsidR="002B6A70" w:rsidRPr="002247D4">
        <w:t xml:space="preserve"> = </w:t>
      </w:r>
      <w:r w:rsidR="002B6A70" w:rsidRPr="002247D4">
        <w:rPr>
          <w:i/>
        </w:rPr>
        <w:t>r16monitoringcapability</w:t>
      </w:r>
      <w:r w:rsidR="002B6A70" w:rsidRPr="002247D4">
        <w:rPr>
          <w:iCs/>
        </w:rPr>
        <w:t xml:space="preserve"> and </w:t>
      </w:r>
      <w:r w:rsidR="002B6A70" w:rsidRPr="002247D4">
        <w:rPr>
          <w:i/>
        </w:rPr>
        <w:t>monitoringCapabilityConfig</w:t>
      </w:r>
      <w:r w:rsidR="002B6A70" w:rsidRPr="002247D4">
        <w:t xml:space="preserve"> = </w:t>
      </w:r>
      <w:r w:rsidR="002B6A70" w:rsidRPr="002247D4">
        <w:rPr>
          <w:i/>
        </w:rPr>
        <w:t>r1</w:t>
      </w:r>
      <w:r w:rsidR="002B6A70" w:rsidRPr="002247D4">
        <w:rPr>
          <w:rFonts w:hint="eastAsia"/>
          <w:i/>
          <w:lang w:eastAsia="zh-CN"/>
        </w:rPr>
        <w:t>7</w:t>
      </w:r>
      <w:r w:rsidR="002B6A70" w:rsidRPr="002247D4">
        <w:rPr>
          <w:i/>
        </w:rPr>
        <w:t>monitoringcapability</w:t>
      </w:r>
      <w:r w:rsidR="002B6A70" w:rsidRPr="002B6A70">
        <w:rPr>
          <w:rFonts w:hint="eastAsia"/>
          <w:iCs/>
          <w:lang w:eastAsia="zh-CN"/>
        </w:rPr>
        <w:t>.</w:t>
      </w:r>
    </w:p>
    <w:p w14:paraId="69026818" w14:textId="143783D8" w:rsidR="0075117A" w:rsidRDefault="0075117A" w:rsidP="00DE1E44">
      <w:pPr>
        <w:rPr>
          <w:lang w:val="en-US"/>
        </w:rPr>
      </w:pPr>
      <w:r>
        <w:rPr>
          <w:lang w:val="en-US"/>
        </w:rPr>
        <w:t>For each scheduled cell</w:t>
      </w:r>
      <w:r w:rsidR="005D3D60" w:rsidRPr="00F20C79">
        <w:rPr>
          <w:lang w:val="en-US"/>
        </w:rPr>
        <w:t xml:space="preserve"> </w:t>
      </w:r>
      <w:r w:rsidR="005D3D60">
        <w:rPr>
          <w:lang w:val="en-US"/>
        </w:rPr>
        <w:t xml:space="preserve">from the </w:t>
      </w:r>
      <m:oMath>
        <m:sSubSup>
          <m:sSubSupPr>
            <m:ctrlPr>
              <w:rPr>
                <w:rFonts w:ascii="Cambria Math" w:hAnsi="Cambria Math"/>
                <w:i/>
              </w:rPr>
            </m:ctrlPr>
          </m:sSubSupPr>
          <m:e>
            <m:r>
              <w:rPr>
                <w:rFonts w:ascii="Cambria Math"/>
              </w:rPr>
              <m:t>N</m:t>
            </m:r>
          </m:e>
          <m:sub>
            <m:r>
              <m:rPr>
                <m:nor/>
              </m:rPr>
              <w:rPr>
                <w:rFonts w:ascii="Cambria Math"/>
              </w:rPr>
              <m:t>cells,0</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oMath>
      <w:r w:rsidR="005D3D60">
        <w:t xml:space="preserve"> downlink cells</w:t>
      </w:r>
      <w:r>
        <w:rPr>
          <w:lang w:val="en-US"/>
        </w:rPr>
        <w:t>, the UE is not required to monitor</w:t>
      </w:r>
      <w:r w:rsidRPr="00154A59">
        <w:rPr>
          <w:lang w:val="en-US"/>
        </w:rPr>
        <w:t xml:space="preserve"> </w:t>
      </w:r>
      <w:r w:rsidRPr="00D20E88">
        <w:rPr>
          <w:lang w:val="en-US"/>
        </w:rPr>
        <w:t>on the active DL BWP</w:t>
      </w:r>
      <w:r>
        <w:rPr>
          <w:lang w:val="en-US"/>
        </w:rPr>
        <w:t xml:space="preserve"> </w:t>
      </w:r>
      <w:r w:rsidRPr="00A33143">
        <w:rPr>
          <w:lang w:eastAsia="ko-KR"/>
        </w:rPr>
        <w:t xml:space="preserve">with </w:t>
      </w:r>
      <w:r w:rsidRPr="00A33143">
        <w:t xml:space="preserve">SCS configuration </w:t>
      </w:r>
      <m:oMath>
        <m:r>
          <w:rPr>
            <w:rFonts w:ascii="Cambria Math" w:hAnsi="Cambria Math"/>
            <w:lang w:eastAsia="zh-CN"/>
          </w:rPr>
          <m:t>μ</m:t>
        </m:r>
      </m:oMath>
      <w:r w:rsidRPr="00A33143">
        <w:t xml:space="preserve"> </w:t>
      </w:r>
      <w:r>
        <w:rPr>
          <w:lang w:val="en-US"/>
        </w:rPr>
        <w:t>of the scheduling cell</w:t>
      </w:r>
      <w:r w:rsidR="00651CF3" w:rsidRPr="00651CF3">
        <w:rPr>
          <w:lang w:val="en-US"/>
        </w:rPr>
        <w:t xml:space="preserve"> </w:t>
      </w:r>
      <w:r>
        <w:rPr>
          <w:lang w:val="en-US"/>
        </w:rPr>
        <w:t xml:space="preserve">more than </w:t>
      </w:r>
      <m:oMath>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m:rPr>
                        <m:nor/>
                      </m:rPr>
                      <m:t>PDCCH</m:t>
                    </m:r>
                    <m:ctrlPr>
                      <w:rPr>
                        <w:rFonts w:ascii="Cambria Math" w:hAnsi="Cambria Math"/>
                      </w:rPr>
                    </m:ctrlPr>
                  </m:sub>
                  <m:sup>
                    <m:r>
                      <m:rPr>
                        <m:nor/>
                      </m:rPr>
                      <m:t>max,slot,</m:t>
                    </m:r>
                    <m:r>
                      <w:rPr>
                        <w:rFonts w:ascii="Cambria Math" w:hAns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M</m:t>
                    </m:r>
                  </m:e>
                  <m:sub>
                    <m:r>
                      <m:rPr>
                        <m:nor/>
                      </m:rPr>
                      <m:t>PDCCH</m:t>
                    </m:r>
                    <m:ctrlPr>
                      <w:rPr>
                        <w:rFonts w:ascii="Cambria Math" w:hAnsi="Cambria Math"/>
                      </w:rPr>
                    </m:ctrlPr>
                  </m:sub>
                  <m:sup>
                    <m:r>
                      <m:rPr>
                        <m:nor/>
                      </m:rPr>
                      <m:t>total,slot,</m:t>
                    </m:r>
                    <m:r>
                      <w:rPr>
                        <w:rFonts w:ascii="Cambria Math" w:hAnsi="Cambria Math"/>
                      </w:rPr>
                      <m:t>μ</m:t>
                    </m:r>
                    <m:ctrlPr>
                      <w:rPr>
                        <w:rFonts w:ascii="Cambria Math" w:hAnsi="Cambria Math"/>
                      </w:rPr>
                    </m:ctrlPr>
                  </m:sup>
                </m:sSubSup>
              </m:e>
            </m:d>
          </m:e>
        </m:func>
      </m:oMath>
      <w:r w:rsidRPr="00D20E88">
        <w:rPr>
          <w:lang w:val="en-US"/>
        </w:rPr>
        <w:t xml:space="preserve"> </w:t>
      </w:r>
      <w:r w:rsidRPr="00D20E88">
        <w:t xml:space="preserve">PDCCH candidates </w:t>
      </w:r>
      <w:r>
        <w:t>or more than</w:t>
      </w:r>
      <w:r>
        <w:rPr>
          <w:lang w:val="en-US"/>
        </w:rPr>
        <w:t xml:space="preserve"> </w:t>
      </w:r>
      <m:oMath>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m:rPr>
                        <m:nor/>
                      </m:rPr>
                      <m:t>PDCCH</m:t>
                    </m:r>
                    <m:ctrlPr>
                      <w:rPr>
                        <w:rFonts w:ascii="Cambria Math" w:hAnsi="Cambria Math"/>
                      </w:rPr>
                    </m:ctrlPr>
                  </m:sub>
                  <m:sup>
                    <m:r>
                      <m:rPr>
                        <m:nor/>
                      </m:rPr>
                      <m:t>max,slot,</m:t>
                    </m:r>
                    <m:r>
                      <w:rPr>
                        <w:rFonts w:ascii="Cambria Math" w:hAns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C</m:t>
                    </m:r>
                  </m:e>
                  <m:sub>
                    <m:r>
                      <m:rPr>
                        <m:nor/>
                      </m:rPr>
                      <m:t>PDCCH</m:t>
                    </m:r>
                    <m:ctrlPr>
                      <w:rPr>
                        <w:rFonts w:ascii="Cambria Math" w:hAnsi="Cambria Math"/>
                      </w:rPr>
                    </m:ctrlPr>
                  </m:sub>
                  <m:sup>
                    <m:r>
                      <m:rPr>
                        <m:nor/>
                      </m:rPr>
                      <m:t>total,slot,</m:t>
                    </m:r>
                    <m:r>
                      <w:rPr>
                        <w:rFonts w:ascii="Cambria Math" w:hAnsi="Cambria Math"/>
                      </w:rPr>
                      <m:t>μ</m:t>
                    </m:r>
                    <m:ctrlPr>
                      <w:rPr>
                        <w:rFonts w:ascii="Cambria Math" w:hAnsi="Cambria Math"/>
                      </w:rPr>
                    </m:ctrlPr>
                  </m:sup>
                </m:sSubSup>
              </m:e>
            </m:d>
          </m:e>
        </m:func>
      </m:oMath>
      <w:r w:rsidRPr="00D20E88">
        <w:rPr>
          <w:lang w:val="en-US"/>
        </w:rPr>
        <w:t xml:space="preserve"> </w:t>
      </w:r>
      <w:r w:rsidRPr="00D20E88">
        <w:t>non-overlapped CCEs per slot</w:t>
      </w:r>
      <w:r>
        <w:rPr>
          <w:lang w:val="en-US"/>
        </w:rPr>
        <w:t>.</w:t>
      </w:r>
    </w:p>
    <w:p w14:paraId="1B527E29" w14:textId="680D2F12" w:rsidR="00651CF3" w:rsidRDefault="00651CF3" w:rsidP="00651CF3">
      <w:pPr>
        <w:rPr>
          <w:lang w:val="en-US"/>
        </w:rPr>
      </w:pPr>
      <w:r>
        <w:rPr>
          <w:lang w:val="en-US"/>
        </w:rPr>
        <w:t>For each scheduled cell</w:t>
      </w:r>
      <w:r w:rsidR="005D3D60">
        <w:rPr>
          <w:lang w:val="en-US"/>
        </w:rPr>
        <w:t xml:space="preserve"> from the </w:t>
      </w:r>
      <m:oMath>
        <m:sSubSup>
          <m:sSubSupPr>
            <m:ctrlPr>
              <w:rPr>
                <w:rFonts w:ascii="Cambria Math" w:hAnsi="Cambria Math"/>
                <w:i/>
              </w:rPr>
            </m:ctrlPr>
          </m:sSubSupPr>
          <m:e>
            <m:r>
              <w:rPr>
                <w:rFonts w:ascii="Cambria Math"/>
              </w:rPr>
              <m:t>N</m:t>
            </m:r>
          </m:e>
          <m:sub>
            <m:r>
              <m:rPr>
                <m:nor/>
              </m:rPr>
              <w:rPr>
                <w:rFonts w:ascii="Cambria Math"/>
              </w:rPr>
              <m:t>cells,1</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oMath>
      <w:r w:rsidR="005D3D60">
        <w:t xml:space="preserve"> downlink cells</w:t>
      </w:r>
      <w:r>
        <w:rPr>
          <w:lang w:val="en-US"/>
        </w:rPr>
        <w:t>, the UE is not required to monitor</w:t>
      </w:r>
      <w:r w:rsidRPr="00154A59">
        <w:rPr>
          <w:lang w:val="en-US"/>
        </w:rPr>
        <w:t xml:space="preserve"> </w:t>
      </w:r>
      <w:r w:rsidRPr="00D20E88">
        <w:rPr>
          <w:lang w:val="en-US"/>
        </w:rPr>
        <w:t>on the active DL BWP</w:t>
      </w:r>
      <w:r>
        <w:rPr>
          <w:lang w:val="en-US"/>
        </w:rPr>
        <w:t xml:space="preserve"> </w:t>
      </w:r>
      <w:r w:rsidRPr="00A33143">
        <w:rPr>
          <w:lang w:eastAsia="ko-KR"/>
        </w:rPr>
        <w:t xml:space="preserve">with </w:t>
      </w:r>
      <w:r w:rsidRPr="00A33143">
        <w:t xml:space="preserve">SCS configuration </w:t>
      </w:r>
      <m:oMath>
        <m:r>
          <w:rPr>
            <w:rFonts w:ascii="Cambria Math" w:hAnsi="Cambria Math"/>
          </w:rPr>
          <m:t>μ</m:t>
        </m:r>
      </m:oMath>
      <w:r w:rsidRPr="00A33143">
        <w:t xml:space="preserve"> </w:t>
      </w:r>
      <w:r>
        <w:rPr>
          <w:lang w:val="en-US"/>
        </w:rPr>
        <w:t xml:space="preserve">of the scheduling cell </w:t>
      </w:r>
    </w:p>
    <w:p w14:paraId="46BEA94F" w14:textId="03DA6850" w:rsidR="00651CF3" w:rsidRDefault="00651CF3" w:rsidP="00651CF3">
      <w:pPr>
        <w:pStyle w:val="B1"/>
        <w:rPr>
          <w:lang w:val="en-US"/>
        </w:rPr>
      </w:pPr>
      <w:r>
        <w:rPr>
          <w:lang w:val="en-US"/>
        </w:rPr>
        <w:lastRenderedPageBreak/>
        <w:t>-</w:t>
      </w:r>
      <w:r>
        <w:rPr>
          <w:lang w:val="en-US"/>
        </w:rPr>
        <w:tab/>
        <w:t xml:space="preserve">more than </w:t>
      </w:r>
      <m:oMath>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r>
                      <w:rPr>
                        <w:rFonts w:ascii="Cambria Math" w:hAnsi="Cambria Math" w:cstheme="minorHAnsi"/>
                      </w:rPr>
                      <m:t>γ</m:t>
                    </m:r>
                    <m:r>
                      <w:rPr>
                        <w:rFonts w:ascii="Cambria Math" w:hAnsi="Cambria Math"/>
                      </w:rPr>
                      <m:t>∙M</m:t>
                    </m:r>
                  </m:e>
                  <m:sub>
                    <m:r>
                      <m:rPr>
                        <m:nor/>
                      </m:rPr>
                      <m:t>PDCCH</m:t>
                    </m:r>
                    <m:ctrlPr>
                      <w:rPr>
                        <w:rFonts w:ascii="Cambria Math" w:hAnsi="Cambria Math"/>
                      </w:rPr>
                    </m:ctrlPr>
                  </m:sub>
                  <m:sup>
                    <m:r>
                      <m:rPr>
                        <m:nor/>
                      </m:rPr>
                      <m:t>max,slot,</m:t>
                    </m:r>
                    <m:r>
                      <w:rPr>
                        <w:rFonts w:ascii="Cambria Math" w:hAns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M</m:t>
                    </m:r>
                  </m:e>
                  <m:sub>
                    <m:r>
                      <m:rPr>
                        <m:nor/>
                      </m:rPr>
                      <m:t>PDCCH</m:t>
                    </m:r>
                    <m:ctrlPr>
                      <w:rPr>
                        <w:rFonts w:ascii="Cambria Math" w:hAnsi="Cambria Math"/>
                      </w:rPr>
                    </m:ctrlPr>
                  </m:sub>
                  <m:sup>
                    <m:r>
                      <m:rPr>
                        <m:nor/>
                      </m:rPr>
                      <m:t>total,slot,</m:t>
                    </m:r>
                    <m:r>
                      <w:rPr>
                        <w:rFonts w:ascii="Cambria Math" w:hAnsi="Cambria Math"/>
                      </w:rPr>
                      <m:t>μ</m:t>
                    </m:r>
                    <m:ctrlPr>
                      <w:rPr>
                        <w:rFonts w:ascii="Cambria Math" w:hAnsi="Cambria Math"/>
                      </w:rPr>
                    </m:ctrlPr>
                  </m:sup>
                </m:sSubSup>
              </m:e>
            </m:d>
          </m:e>
        </m:func>
      </m:oMath>
      <w:r w:rsidRPr="00D20E88">
        <w:rPr>
          <w:lang w:val="en-US"/>
        </w:rPr>
        <w:t xml:space="preserve"> </w:t>
      </w:r>
      <w:r w:rsidRPr="00D20E88">
        <w:t xml:space="preserve">PDCCH candidates </w:t>
      </w:r>
      <w:r>
        <w:t>or more than</w:t>
      </w:r>
      <w:r>
        <w:rPr>
          <w:lang w:val="en-US"/>
        </w:rPr>
        <w:t xml:space="preserve"> </w:t>
      </w:r>
      <m:oMath>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r>
                      <w:rPr>
                        <w:rFonts w:ascii="Cambria Math" w:hAnsi="Cambria Math" w:cstheme="minorHAnsi"/>
                      </w:rPr>
                      <m:t>γ</m:t>
                    </m:r>
                    <m:r>
                      <w:rPr>
                        <w:rFonts w:ascii="Cambria Math" w:hAnsi="Cambria Math"/>
                      </w:rPr>
                      <m:t>∙C</m:t>
                    </m:r>
                  </m:e>
                  <m:sub>
                    <m:r>
                      <m:rPr>
                        <m:nor/>
                      </m:rPr>
                      <m:t>PDCCH</m:t>
                    </m:r>
                    <m:ctrlPr>
                      <w:rPr>
                        <w:rFonts w:ascii="Cambria Math" w:hAnsi="Cambria Math"/>
                      </w:rPr>
                    </m:ctrlPr>
                  </m:sub>
                  <m:sup>
                    <m:r>
                      <m:rPr>
                        <m:nor/>
                      </m:rPr>
                      <m:t>max,slot,</m:t>
                    </m:r>
                    <m:r>
                      <w:rPr>
                        <w:rFonts w:ascii="Cambria Math" w:hAns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C</m:t>
                    </m:r>
                  </m:e>
                  <m:sub>
                    <m:r>
                      <m:rPr>
                        <m:nor/>
                      </m:rPr>
                      <m:t>PDCCH</m:t>
                    </m:r>
                    <m:ctrlPr>
                      <w:rPr>
                        <w:rFonts w:ascii="Cambria Math" w:hAnsi="Cambria Math"/>
                      </w:rPr>
                    </m:ctrlPr>
                  </m:sub>
                  <m:sup>
                    <m:r>
                      <m:rPr>
                        <m:nor/>
                      </m:rPr>
                      <m:t>total,slot,</m:t>
                    </m:r>
                    <m:r>
                      <w:rPr>
                        <w:rFonts w:ascii="Cambria Math" w:hAnsi="Cambria Math"/>
                      </w:rPr>
                      <m:t>μ</m:t>
                    </m:r>
                    <m:ctrlPr>
                      <w:rPr>
                        <w:rFonts w:ascii="Cambria Math" w:hAnsi="Cambria Math"/>
                      </w:rPr>
                    </m:ctrlPr>
                  </m:sup>
                </m:sSubSup>
              </m:e>
            </m:d>
          </m:e>
        </m:func>
      </m:oMath>
      <w:r w:rsidRPr="00D20E88">
        <w:rPr>
          <w:lang w:val="en-US"/>
        </w:rPr>
        <w:t xml:space="preserve"> </w:t>
      </w:r>
      <w:r w:rsidRPr="00D20E88">
        <w:t>non-overlapped CCEs per slot</w:t>
      </w:r>
    </w:p>
    <w:p w14:paraId="17823538" w14:textId="2AAA4241" w:rsidR="00651CF3" w:rsidRPr="00D24CE9" w:rsidRDefault="00651CF3" w:rsidP="00A10F71">
      <w:pPr>
        <w:pStyle w:val="B1"/>
        <w:rPr>
          <w:lang w:val="en-US"/>
        </w:rPr>
      </w:pPr>
      <w:r>
        <w:rPr>
          <w:lang w:val="en-US"/>
        </w:rPr>
        <w:t>-</w:t>
      </w:r>
      <w:r>
        <w:rPr>
          <w:lang w:val="en-US"/>
        </w:rPr>
        <w:tab/>
        <w:t xml:space="preserve">more than </w:t>
      </w:r>
      <m:oMath>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m:rPr>
                        <m:nor/>
                      </m:rPr>
                      <m:t>PDCCH</m:t>
                    </m:r>
                    <m:ctrlPr>
                      <w:rPr>
                        <w:rFonts w:ascii="Cambria Math" w:hAnsi="Cambria Math"/>
                      </w:rPr>
                    </m:ctrlPr>
                  </m:sub>
                  <m:sup>
                    <m:r>
                      <m:rPr>
                        <m:nor/>
                      </m:rPr>
                      <m:t>max,slot,</m:t>
                    </m:r>
                    <m:r>
                      <w:rPr>
                        <w:rFonts w:ascii="Cambria Math" w:hAns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M</m:t>
                    </m:r>
                  </m:e>
                  <m:sub>
                    <m:r>
                      <m:rPr>
                        <m:nor/>
                      </m:rPr>
                      <m:t>PDCCH</m:t>
                    </m:r>
                    <m:ctrlPr>
                      <w:rPr>
                        <w:rFonts w:ascii="Cambria Math" w:hAnsi="Cambria Math"/>
                      </w:rPr>
                    </m:ctrlPr>
                  </m:sub>
                  <m:sup>
                    <m:r>
                      <m:rPr>
                        <m:nor/>
                      </m:rPr>
                      <m:t>total,slot,</m:t>
                    </m:r>
                    <m:r>
                      <w:rPr>
                        <w:rFonts w:ascii="Cambria Math" w:hAnsi="Cambria Math"/>
                      </w:rPr>
                      <m:t>μ</m:t>
                    </m:r>
                    <m:ctrlPr>
                      <w:rPr>
                        <w:rFonts w:ascii="Cambria Math" w:hAnsi="Cambria Math"/>
                      </w:rPr>
                    </m:ctrlPr>
                  </m:sup>
                </m:sSubSup>
              </m:e>
            </m:d>
          </m:e>
        </m:func>
      </m:oMath>
      <w:r w:rsidRPr="00D20E88">
        <w:rPr>
          <w:lang w:val="en-US"/>
        </w:rPr>
        <w:t xml:space="preserve"> </w:t>
      </w:r>
      <w:r w:rsidRPr="00D20E88">
        <w:t xml:space="preserve">PDCCH candidates </w:t>
      </w:r>
      <w:r>
        <w:t>or more than</w:t>
      </w:r>
      <w:r>
        <w:rPr>
          <w:lang w:val="en-US"/>
        </w:rPr>
        <w:t xml:space="preserve"> </w:t>
      </w:r>
      <m:oMath>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m:rPr>
                        <m:nor/>
                      </m:rPr>
                      <m:t>PDCCH</m:t>
                    </m:r>
                    <m:ctrlPr>
                      <w:rPr>
                        <w:rFonts w:ascii="Cambria Math" w:hAnsi="Cambria Math"/>
                      </w:rPr>
                    </m:ctrlPr>
                  </m:sub>
                  <m:sup>
                    <m:r>
                      <m:rPr>
                        <m:nor/>
                      </m:rPr>
                      <m:t>max,slot,</m:t>
                    </m:r>
                    <m:r>
                      <w:rPr>
                        <w:rFonts w:ascii="Cambria Math" w:hAns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C</m:t>
                    </m:r>
                  </m:e>
                  <m:sub>
                    <m:r>
                      <m:rPr>
                        <m:nor/>
                      </m:rPr>
                      <m:t>PDCCH</m:t>
                    </m:r>
                    <m:ctrlPr>
                      <w:rPr>
                        <w:rFonts w:ascii="Cambria Math" w:hAnsi="Cambria Math"/>
                      </w:rPr>
                    </m:ctrlPr>
                  </m:sub>
                  <m:sup>
                    <m:r>
                      <m:rPr>
                        <m:nor/>
                      </m:rPr>
                      <m:t>total,slot,</m:t>
                    </m:r>
                    <m:r>
                      <w:rPr>
                        <w:rFonts w:ascii="Cambria Math" w:hAnsi="Cambria Math"/>
                      </w:rPr>
                      <m:t>μ</m:t>
                    </m:r>
                    <m:ctrlPr>
                      <w:rPr>
                        <w:rFonts w:ascii="Cambria Math" w:hAnsi="Cambria Math"/>
                      </w:rPr>
                    </m:ctrlPr>
                  </m:sup>
                </m:sSubSup>
              </m:e>
            </m:d>
          </m:e>
        </m:func>
      </m:oMath>
      <w:r w:rsidRPr="00D20E88">
        <w:rPr>
          <w:lang w:val="en-US"/>
        </w:rPr>
        <w:t xml:space="preserve"> </w:t>
      </w:r>
      <w:r w:rsidRPr="00D20E88">
        <w:t>non-overlapped CCEs per slot</w:t>
      </w:r>
      <w:r>
        <w:t xml:space="preserve"> </w:t>
      </w:r>
      <w:r>
        <w:rPr>
          <w:lang w:val="en-US"/>
        </w:rPr>
        <w:t>for</w:t>
      </w:r>
      <w:r w:rsidRPr="008B3182">
        <w:rPr>
          <w:lang w:val="en-US"/>
        </w:rPr>
        <w:t xml:space="preserve"> CORESETs with same</w:t>
      </w:r>
      <w:r w:rsidRPr="008B3182">
        <w:t xml:space="preserve"> </w:t>
      </w:r>
      <w:r w:rsidR="00146FE2">
        <w:rPr>
          <w:i/>
          <w:iCs/>
          <w:lang w:val="en-US"/>
        </w:rPr>
        <w:t>coreset</w:t>
      </w:r>
      <w:r w:rsidRPr="008B3182">
        <w:rPr>
          <w:i/>
          <w:iCs/>
        </w:rPr>
        <w:t>PoolIndex</w:t>
      </w:r>
      <w:r w:rsidRPr="008B3182">
        <w:rPr>
          <w:lang w:val="en-US"/>
        </w:rPr>
        <w:t xml:space="preserve"> value</w:t>
      </w:r>
    </w:p>
    <w:p w14:paraId="706FBEC9" w14:textId="6F40381C" w:rsidR="005D3D60" w:rsidRPr="00543289" w:rsidRDefault="005D3D60" w:rsidP="005D3D60">
      <w:pPr>
        <w:spacing w:line="259" w:lineRule="auto"/>
        <w:rPr>
          <w:lang w:eastAsia="ko-KR"/>
        </w:rPr>
      </w:pPr>
      <w:r w:rsidRPr="001A429B">
        <w:rPr>
          <w:lang w:eastAsia="ko-KR"/>
        </w:rPr>
        <w:t xml:space="preserve">If a UE </w:t>
      </w:r>
      <w:r w:rsidRPr="001A429B">
        <w:t xml:space="preserve">is configured with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m:t>
            </m:r>
            <m:r>
              <m:rPr>
                <m:sty m:val="p"/>
              </m:rPr>
              <w:rPr>
                <w:rFonts w:ascii="Cambria Math" w:hAnsi="Cambria Math"/>
                <w:color w:val="000000"/>
                <w:sz w:val="21"/>
                <w:szCs w:val="21"/>
              </w:rPr>
              <m:t>μ</m:t>
            </m:r>
          </m:sup>
        </m:sSubSup>
      </m:oMath>
      <w:r w:rsidRPr="001A429B">
        <w:t xml:space="preserve"> downlink cells </w:t>
      </w:r>
      <w:r w:rsidRPr="001A429B">
        <w:rPr>
          <w:iCs/>
        </w:rPr>
        <w:t xml:space="preserve">for which the UE is provided </w:t>
      </w:r>
      <w:r w:rsidRPr="001A429B">
        <w:rPr>
          <w:i/>
        </w:rPr>
        <w:t>monitoringCapabilityConfig</w:t>
      </w:r>
      <w:r w:rsidRPr="001A429B">
        <w:t xml:space="preserve"> = </w:t>
      </w:r>
      <w:r w:rsidRPr="001A429B">
        <w:rPr>
          <w:i/>
        </w:rPr>
        <w:t>r16monitoringcapability</w:t>
      </w:r>
      <w:r w:rsidRPr="001A429B">
        <w:rPr>
          <w:iCs/>
        </w:rPr>
        <w:t xml:space="preserve"> and </w:t>
      </w:r>
      <w:r w:rsidRPr="001A429B">
        <w:t xml:space="preserve">with </w:t>
      </w:r>
      <w:r w:rsidRPr="001A429B">
        <w:rPr>
          <w:lang w:eastAsia="ko-KR"/>
        </w:rPr>
        <w:t xml:space="preserve">associated PDCCH candidates monitored in the </w:t>
      </w:r>
      <w:r w:rsidRPr="001A429B">
        <w:t xml:space="preserve">active DL BWPs of the scheduling cells using SCS configuration </w:t>
      </w:r>
      <m:oMath>
        <m:r>
          <w:rPr>
            <w:rFonts w:ascii="Cambria Math" w:eastAsiaTheme="minorHAnsi" w:hAnsi="Cambria Math"/>
          </w:rPr>
          <m:t>μ</m:t>
        </m:r>
      </m:oMath>
      <w:r w:rsidRPr="001A429B">
        <w:rPr>
          <w:iCs/>
        </w:rPr>
        <w:t xml:space="preserve">, and with </w:t>
      </w:r>
      <m:oMath>
        <m:sSubSup>
          <m:sSubSupPr>
            <m:ctrlPr>
              <w:rPr>
                <w:rFonts w:ascii="Cambria Math" w:eastAsiaTheme="minorHAnsi" w:hAnsi="Cambria Math"/>
                <w:iCs/>
                <w:color w:val="000000"/>
                <w:sz w:val="21"/>
                <w:szCs w:val="21"/>
              </w:rPr>
            </m:ctrlPr>
          </m:sSubSupPr>
          <m:e>
            <m:r>
              <w:rPr>
                <w:rFonts w:ascii="Cambria Math" w:hAnsi="Cambria Math"/>
                <w:color w:val="000000"/>
                <w:sz w:val="21"/>
                <w:szCs w:val="21"/>
              </w:rPr>
              <m:t>N</m:t>
            </m:r>
          </m:e>
          <m:sub>
            <m:r>
              <m:rPr>
                <m:sty m:val="p"/>
              </m:rPr>
              <w:rPr>
                <w:rFonts w:ascii="Cambria Math" w:hAnsi="Cambria Math"/>
                <w:color w:val="000000"/>
                <w:sz w:val="21"/>
                <w:szCs w:val="21"/>
              </w:rPr>
              <m:t>cells,r16</m:t>
            </m:r>
            <m:ctrlPr>
              <w:rPr>
                <w:rFonts w:ascii="Cambria Math" w:eastAsiaTheme="minorHAnsi" w:hAnsi="Cambria Math"/>
                <w:color w:val="000000"/>
                <w:sz w:val="21"/>
                <w:szCs w:val="21"/>
              </w:rPr>
            </m:ctrlPr>
          </m:sub>
          <m:sup>
            <m:r>
              <m:rPr>
                <m:sty m:val="p"/>
              </m:rPr>
              <w:rPr>
                <w:rFonts w:ascii="Cambria Math" w:hAnsi="Cambria Math"/>
                <w:color w:val="000000"/>
                <w:sz w:val="21"/>
                <w:szCs w:val="21"/>
              </w:rPr>
              <m:t>DL,(X,Y),μ</m:t>
            </m:r>
            <m:ctrlPr>
              <w:rPr>
                <w:rFonts w:ascii="Cambria Math" w:eastAsiaTheme="minorHAnsi" w:hAnsi="Cambria Math"/>
                <w:color w:val="000000"/>
                <w:sz w:val="21"/>
                <w:szCs w:val="21"/>
              </w:rPr>
            </m:ctrlPr>
          </m:sup>
        </m:sSubSup>
      </m:oMath>
      <w:r w:rsidRPr="006E69C7">
        <w:rPr>
          <w:iCs/>
        </w:rPr>
        <w:t xml:space="preserve"> </w:t>
      </w:r>
      <w:r>
        <w:rPr>
          <w:iCs/>
        </w:rPr>
        <w:t xml:space="preserve">of the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m:t>
            </m:r>
            <m:r>
              <m:rPr>
                <m:sty m:val="p"/>
              </m:rPr>
              <w:rPr>
                <w:rFonts w:ascii="Cambria Math" w:hAnsi="Cambria Math"/>
                <w:color w:val="000000"/>
                <w:sz w:val="21"/>
                <w:szCs w:val="21"/>
              </w:rPr>
              <m:t>μ</m:t>
            </m:r>
          </m:sup>
        </m:sSubSup>
      </m:oMath>
      <w:r w:rsidRPr="001A429B">
        <w:rPr>
          <w:iCs/>
        </w:rPr>
        <w:t xml:space="preserve"> downlink cells using combination </w:t>
      </w:r>
      <m:oMath>
        <m:d>
          <m:dPr>
            <m:ctrlPr>
              <w:rPr>
                <w:rFonts w:ascii="Cambria Math" w:hAnsi="Cambria Math"/>
                <w:lang w:eastAsia="zh-CN"/>
              </w:rPr>
            </m:ctrlPr>
          </m:dPr>
          <m:e>
            <m:r>
              <m:rPr>
                <m:sty m:val="p"/>
              </m:rPr>
              <w:rPr>
                <w:rFonts w:ascii="Cambria Math" w:hAnsi="Cambria Math"/>
                <w:lang w:eastAsia="zh-CN"/>
              </w:rPr>
              <m:t>X,Y</m:t>
            </m:r>
          </m:e>
        </m:d>
      </m:oMath>
      <w:r w:rsidRPr="001A429B">
        <w:rPr>
          <w:iCs/>
        </w:rPr>
        <w:t xml:space="preserve"> for PDCCH monitoring, where </w:t>
      </w:r>
      <m:oMath>
        <m:nary>
          <m:naryPr>
            <m:chr m:val="∑"/>
            <m:ctrlPr>
              <w:rPr>
                <w:rFonts w:ascii="Cambria Math" w:eastAsiaTheme="minorHAnsi" w:hAnsi="Cambria Math"/>
                <w:iCs/>
              </w:rPr>
            </m:ctrlPr>
          </m:naryPr>
          <m:sub>
            <m:r>
              <m:rPr>
                <m:sty m:val="p"/>
              </m:rPr>
              <w:rPr>
                <w:rFonts w:ascii="Cambria Math" w:hAnsi="Cambria Math"/>
              </w:rPr>
              <m:t>μ=0</m:t>
            </m:r>
          </m:sub>
          <m:sup>
            <m:r>
              <m:rPr>
                <m:sty m:val="p"/>
              </m:rPr>
              <w:rPr>
                <w:rFonts w:ascii="Cambria Math" w:hAnsi="Cambria Math"/>
              </w:rPr>
              <m:t>1</m:t>
            </m:r>
          </m:sup>
          <m:e>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DL,μ</m:t>
                </m:r>
              </m:sup>
            </m:sSubSup>
          </m:e>
        </m:nary>
        <m:r>
          <m:rPr>
            <m:sty m:val="p"/>
          </m:rPr>
          <w:rPr>
            <w:rFonts w:ascii="Cambria Math" w:hAnsi="Cambria Math"/>
          </w:rPr>
          <m:t>≤</m:t>
        </m:r>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m:t>
            </m:r>
            <m:ctrlPr>
              <w:rPr>
                <w:rFonts w:ascii="Cambria Math" w:hAnsi="Calibri" w:cs="Calibri"/>
              </w:rPr>
            </m:ctrlPr>
          </m:sub>
          <m:sup>
            <m:r>
              <m:rPr>
                <m:nor/>
              </m:rPr>
              <w:rPr>
                <w:rFonts w:ascii="Cambria Math" w:hAnsi="Calibri" w:cs="Calibri"/>
              </w:rPr>
              <m:t>cap-r16</m:t>
            </m:r>
            <m:ctrlPr>
              <w:rPr>
                <w:rFonts w:ascii="Cambria Math" w:hAnsi="Calibri" w:cs="Calibri"/>
              </w:rPr>
            </m:ctrlPr>
          </m:sup>
        </m:sSubSup>
      </m:oMath>
      <w:r w:rsidRPr="001A429B">
        <w:t>,</w:t>
      </w:r>
      <w:r w:rsidRPr="001A429B">
        <w:rPr>
          <w:lang w:eastAsia="zh-CN"/>
        </w:rPr>
        <w:t xml:space="preserve"> </w:t>
      </w:r>
      <w:r w:rsidRPr="001A429B">
        <w:rPr>
          <w:lang w:eastAsia="ko-KR"/>
        </w:rPr>
        <w:t xml:space="preserve">the UE is not required to monitor, on the active DL BWP of the scheduling cell, </w:t>
      </w:r>
      <w:r w:rsidRPr="001A429B">
        <w:rPr>
          <w:rFonts w:eastAsia="Times New Roman"/>
          <w:lang w:eastAsia="ko-KR"/>
        </w:rPr>
        <w:t xml:space="preserve">more than </w:t>
      </w:r>
      <m:oMath>
        <m:sSubSup>
          <m:sSubSupPr>
            <m:ctrlPr>
              <w:rPr>
                <w:rFonts w:ascii="Cambria Math" w:hAnsi="Calibri" w:cs="Calibri"/>
                <w:i/>
                <w:sz w:val="22"/>
                <w:szCs w:val="22"/>
              </w:rPr>
            </m:ctrlPr>
          </m:sSubSupPr>
          <m:e>
            <m:r>
              <w:rPr>
                <w:rFonts w:ascii="Cambria Math" w:hAnsi="Calibri" w:cs="Calibri"/>
                <w:sz w:val="22"/>
                <w:szCs w:val="22"/>
              </w:rPr>
              <m:t>M</m:t>
            </m:r>
          </m:e>
          <m:sub>
            <m:r>
              <m:rPr>
                <m:nor/>
              </m:rPr>
              <w:rPr>
                <w:rFonts w:ascii="Cambria Math" w:hAnsi="Calibri" w:cs="Calibri"/>
                <w:sz w:val="22"/>
                <w:szCs w:val="22"/>
              </w:rPr>
              <m:t>PDCCH</m:t>
            </m:r>
            <m:ctrlPr>
              <w:rPr>
                <w:rFonts w:ascii="Cambria Math" w:hAnsi="Calibri" w:cs="Calibri"/>
                <w:sz w:val="22"/>
                <w:szCs w:val="22"/>
              </w:rPr>
            </m:ctrlPr>
          </m:sub>
          <m:sup>
            <m:r>
              <m:rPr>
                <m:nor/>
              </m:rPr>
              <w:rPr>
                <w:rFonts w:ascii="Cambria Math" w:hAnsi="Calibri" w:cs="Calibri"/>
                <w:sz w:val="22"/>
                <w:szCs w:val="22"/>
              </w:rPr>
              <m:t>total,(X,Y),</m:t>
            </m:r>
            <m:r>
              <w:rPr>
                <w:rFonts w:ascii="Cambria Math" w:hAnsi="Calibri" w:cs="Calibri"/>
                <w:sz w:val="22"/>
                <w:szCs w:val="22"/>
              </w:rPr>
              <m:t>μ</m:t>
            </m:r>
            <m:ctrlPr>
              <w:rPr>
                <w:rFonts w:ascii="Cambria Math" w:hAnsi="Calibri" w:cs="Calibri"/>
                <w:sz w:val="22"/>
                <w:szCs w:val="22"/>
              </w:rPr>
            </m:ctrlPr>
          </m:sup>
        </m:sSubSup>
        <m:r>
          <w:rPr>
            <w:rFonts w:ascii="Cambria Math" w:hAnsi="Calibri" w:cs="Calibri"/>
            <w:sz w:val="22"/>
            <w:szCs w:val="22"/>
          </w:rPr>
          <m:t>=</m:t>
        </m:r>
        <m:sSubSup>
          <m:sSubSupPr>
            <m:ctrlPr>
              <w:rPr>
                <w:rFonts w:ascii="Cambria Math" w:hAnsi="Calibri" w:cs="Calibri"/>
                <w:i/>
                <w:sz w:val="22"/>
                <w:szCs w:val="22"/>
              </w:rPr>
            </m:ctrlPr>
          </m:sSubSupPr>
          <m:e>
            <m:r>
              <w:rPr>
                <w:rFonts w:ascii="Cambria Math" w:hAnsi="Calibri" w:cs="Calibri"/>
                <w:sz w:val="22"/>
                <w:szCs w:val="22"/>
              </w:rPr>
              <m:t>M</m:t>
            </m:r>
          </m:e>
          <m:sub>
            <m:r>
              <m:rPr>
                <m:nor/>
              </m:rPr>
              <w:rPr>
                <w:rFonts w:ascii="Cambria Math" w:hAnsi="Calibri" w:cs="Calibri"/>
                <w:sz w:val="22"/>
                <w:szCs w:val="22"/>
              </w:rPr>
              <m:t>PDCCH</m:t>
            </m:r>
            <m:ctrlPr>
              <w:rPr>
                <w:rFonts w:ascii="Cambria Math" w:hAnsi="Calibri" w:cs="Calibri"/>
                <w:sz w:val="22"/>
                <w:szCs w:val="22"/>
              </w:rPr>
            </m:ctrlPr>
          </m:sub>
          <m:sup>
            <m:r>
              <m:rPr>
                <m:nor/>
              </m:rPr>
              <w:rPr>
                <w:rFonts w:ascii="Cambria Math" w:hAnsi="Calibri" w:cs="Calibri"/>
                <w:sz w:val="22"/>
                <w:szCs w:val="22"/>
              </w:rPr>
              <m:t>max,(X,Y),</m:t>
            </m:r>
            <m:r>
              <w:rPr>
                <w:rFonts w:ascii="Cambria Math" w:hAnsi="Calibri" w:cs="Calibri"/>
                <w:sz w:val="22"/>
                <w:szCs w:val="22"/>
              </w:rPr>
              <m:t>μ</m:t>
            </m:r>
            <m:ctrlPr>
              <w:rPr>
                <w:rFonts w:ascii="Cambria Math" w:hAnsi="Calibri" w:cs="Calibri"/>
                <w:sz w:val="22"/>
                <w:szCs w:val="22"/>
              </w:rPr>
            </m:ctrlPr>
          </m:sup>
        </m:sSubSup>
      </m:oMath>
      <w:r w:rsidRPr="001A429B">
        <w:rPr>
          <w:rFonts w:eastAsia="Times New Roman"/>
        </w:rPr>
        <w:t xml:space="preserve"> PDCCH candidates or more than </w:t>
      </w:r>
      <m:oMath>
        <m:sSubSup>
          <m:sSubSupPr>
            <m:ctrlPr>
              <w:rPr>
                <w:rFonts w:ascii="Cambria Math" w:hAnsi="Calibri" w:cs="Calibri"/>
                <w:i/>
                <w:sz w:val="22"/>
                <w:szCs w:val="22"/>
              </w:rPr>
            </m:ctrlPr>
          </m:sSubSupPr>
          <m:e>
            <m:r>
              <w:rPr>
                <w:rFonts w:ascii="Cambria Math" w:hAnsi="Calibri" w:cs="Calibri"/>
                <w:sz w:val="22"/>
                <w:szCs w:val="22"/>
              </w:rPr>
              <m:t>C</m:t>
            </m:r>
          </m:e>
          <m:sub>
            <m:r>
              <m:rPr>
                <m:nor/>
              </m:rPr>
              <w:rPr>
                <w:rFonts w:ascii="Cambria Math" w:hAnsi="Calibri" w:cs="Calibri"/>
                <w:sz w:val="22"/>
                <w:szCs w:val="22"/>
              </w:rPr>
              <m:t>PDCCH</m:t>
            </m:r>
            <m:ctrlPr>
              <w:rPr>
                <w:rFonts w:ascii="Cambria Math" w:hAnsi="Calibri" w:cs="Calibri"/>
                <w:sz w:val="22"/>
                <w:szCs w:val="22"/>
              </w:rPr>
            </m:ctrlPr>
          </m:sub>
          <m:sup>
            <m:r>
              <m:rPr>
                <m:nor/>
              </m:rPr>
              <w:rPr>
                <w:rFonts w:ascii="Cambria Math" w:hAnsi="Calibri" w:cs="Calibri"/>
                <w:sz w:val="22"/>
                <w:szCs w:val="22"/>
              </w:rPr>
              <m:t>total,(X,Y),</m:t>
            </m:r>
            <m:r>
              <w:rPr>
                <w:rFonts w:ascii="Cambria Math" w:hAnsi="Calibri" w:cs="Calibri"/>
                <w:sz w:val="22"/>
                <w:szCs w:val="22"/>
              </w:rPr>
              <m:t>μ</m:t>
            </m:r>
            <m:ctrlPr>
              <w:rPr>
                <w:rFonts w:ascii="Cambria Math" w:hAnsi="Calibri" w:cs="Calibri"/>
                <w:sz w:val="22"/>
                <w:szCs w:val="22"/>
              </w:rPr>
            </m:ctrlPr>
          </m:sup>
        </m:sSubSup>
        <m:r>
          <w:rPr>
            <w:rFonts w:ascii="Cambria Math" w:hAnsi="Calibri" w:cs="Calibri"/>
            <w:sz w:val="22"/>
            <w:szCs w:val="22"/>
          </w:rPr>
          <m:t>=</m:t>
        </m:r>
        <m:sSubSup>
          <m:sSubSupPr>
            <m:ctrlPr>
              <w:rPr>
                <w:rFonts w:ascii="Cambria Math" w:hAnsi="Calibri" w:cs="Calibri"/>
                <w:i/>
                <w:sz w:val="22"/>
                <w:szCs w:val="22"/>
              </w:rPr>
            </m:ctrlPr>
          </m:sSubSupPr>
          <m:e>
            <m:r>
              <w:rPr>
                <w:rFonts w:ascii="Cambria Math" w:hAnsi="Calibri" w:cs="Calibri"/>
                <w:sz w:val="22"/>
                <w:szCs w:val="22"/>
              </w:rPr>
              <m:t>C</m:t>
            </m:r>
          </m:e>
          <m:sub>
            <m:r>
              <m:rPr>
                <m:nor/>
              </m:rPr>
              <w:rPr>
                <w:rFonts w:ascii="Cambria Math" w:hAnsi="Calibri" w:cs="Calibri"/>
                <w:sz w:val="22"/>
                <w:szCs w:val="22"/>
              </w:rPr>
              <m:t>PDCCH</m:t>
            </m:r>
            <m:ctrlPr>
              <w:rPr>
                <w:rFonts w:ascii="Cambria Math" w:hAnsi="Calibri" w:cs="Calibri"/>
                <w:sz w:val="22"/>
                <w:szCs w:val="22"/>
              </w:rPr>
            </m:ctrlPr>
          </m:sub>
          <m:sup>
            <m:r>
              <m:rPr>
                <m:nor/>
              </m:rPr>
              <w:rPr>
                <w:rFonts w:ascii="Cambria Math" w:hAnsi="Calibri" w:cs="Calibri"/>
                <w:sz w:val="22"/>
                <w:szCs w:val="22"/>
              </w:rPr>
              <m:t>max,(X,Y),</m:t>
            </m:r>
            <m:r>
              <w:rPr>
                <w:rFonts w:ascii="Cambria Math" w:hAnsi="Calibri" w:cs="Calibri"/>
                <w:sz w:val="22"/>
                <w:szCs w:val="22"/>
              </w:rPr>
              <m:t>μ</m:t>
            </m:r>
            <m:ctrlPr>
              <w:rPr>
                <w:rFonts w:ascii="Cambria Math" w:hAnsi="Calibri" w:cs="Calibri"/>
                <w:sz w:val="22"/>
                <w:szCs w:val="22"/>
              </w:rPr>
            </m:ctrlPr>
          </m:sup>
        </m:sSubSup>
      </m:oMath>
      <w:r w:rsidRPr="001A429B">
        <w:rPr>
          <w:rFonts w:eastAsia="Times New Roman"/>
        </w:rPr>
        <w:t xml:space="preserve"> non-overlapped CCEs per s</w:t>
      </w:r>
      <w:r w:rsidRPr="001A429B">
        <w:rPr>
          <w:lang w:eastAsia="zh-CN"/>
        </w:rPr>
        <w:t>pan</w:t>
      </w:r>
      <w:r w:rsidRPr="001A429B">
        <w:rPr>
          <w:rFonts w:eastAsia="Times New Roman"/>
        </w:rPr>
        <w:t xml:space="preserve"> for each scheduled cell when the scheduling cell is from the </w:t>
      </w:r>
      <m:oMath>
        <m:sSubSup>
          <m:sSubSupPr>
            <m:ctrlPr>
              <w:rPr>
                <w:rFonts w:ascii="Cambria Math" w:eastAsiaTheme="minorHAnsi" w:hAnsi="Cambria Math"/>
                <w:iCs/>
                <w:color w:val="000000"/>
                <w:sz w:val="21"/>
                <w:szCs w:val="21"/>
              </w:rPr>
            </m:ctrlPr>
          </m:sSubSupPr>
          <m:e>
            <m:r>
              <w:rPr>
                <w:rFonts w:ascii="Cambria Math" w:hAnsi="Cambria Math"/>
                <w:color w:val="000000"/>
                <w:sz w:val="21"/>
                <w:szCs w:val="21"/>
              </w:rPr>
              <m:t>N</m:t>
            </m:r>
          </m:e>
          <m:sub>
            <m:r>
              <m:rPr>
                <m:sty m:val="p"/>
              </m:rPr>
              <w:rPr>
                <w:rFonts w:ascii="Cambria Math" w:hAnsi="Cambria Math"/>
                <w:color w:val="000000"/>
                <w:sz w:val="21"/>
                <w:szCs w:val="21"/>
              </w:rPr>
              <m:t>cells,r16</m:t>
            </m:r>
            <m:ctrlPr>
              <w:rPr>
                <w:rFonts w:ascii="Cambria Math" w:eastAsiaTheme="minorHAnsi" w:hAnsi="Cambria Math"/>
                <w:color w:val="000000"/>
                <w:sz w:val="21"/>
                <w:szCs w:val="21"/>
              </w:rPr>
            </m:ctrlPr>
          </m:sub>
          <m:sup>
            <m:r>
              <m:rPr>
                <m:sty m:val="p"/>
              </m:rPr>
              <w:rPr>
                <w:rFonts w:ascii="Cambria Math" w:hAnsi="Cambria Math"/>
                <w:color w:val="000000"/>
                <w:sz w:val="21"/>
                <w:szCs w:val="21"/>
              </w:rPr>
              <m:t>DL,(X,Y),μ</m:t>
            </m:r>
            <m:ctrlPr>
              <w:rPr>
                <w:rFonts w:ascii="Cambria Math" w:eastAsiaTheme="minorHAnsi" w:hAnsi="Cambria Math"/>
                <w:color w:val="000000"/>
                <w:sz w:val="21"/>
                <w:szCs w:val="21"/>
              </w:rPr>
            </m:ctrlPr>
          </m:sup>
        </m:sSubSup>
      </m:oMath>
      <w:r w:rsidRPr="001A429B">
        <w:rPr>
          <w:rFonts w:eastAsia="Times New Roman"/>
        </w:rPr>
        <w:t xml:space="preserve"> downlink cells</w:t>
      </w:r>
      <w:r w:rsidRPr="001A429B">
        <w:rPr>
          <w:rFonts w:hint="eastAsia"/>
          <w:lang w:eastAsia="zh-CN"/>
        </w:rPr>
        <w:t xml:space="preserve">. </w:t>
      </w:r>
      <w:r w:rsidRPr="001A429B">
        <w:rPr>
          <w:rFonts w:eastAsia="Times New Roman"/>
          <w:iCs/>
        </w:rPr>
        <w:t xml:space="preserve">If a UE is configured with downlink cells for which the UE is provided both </w:t>
      </w:r>
      <w:r w:rsidRPr="001A429B">
        <w:rPr>
          <w:rFonts w:eastAsia="Times New Roman"/>
          <w:i/>
        </w:rPr>
        <w:t>monitoringCapabilityConfig</w:t>
      </w:r>
      <w:r w:rsidRPr="001A429B">
        <w:rPr>
          <w:rFonts w:eastAsia="Times New Roman"/>
        </w:rPr>
        <w:t xml:space="preserve"> = </w:t>
      </w:r>
      <w:r w:rsidRPr="001A429B">
        <w:rPr>
          <w:rFonts w:eastAsia="Times New Roman"/>
          <w:i/>
        </w:rPr>
        <w:t>r15monitoringcapability</w:t>
      </w:r>
      <w:r w:rsidRPr="001A429B">
        <w:rPr>
          <w:rFonts w:eastAsia="Times New Roman"/>
          <w:iCs/>
        </w:rPr>
        <w:t xml:space="preserve"> and </w:t>
      </w:r>
      <w:r w:rsidRPr="001A429B">
        <w:rPr>
          <w:rFonts w:eastAsia="Times New Roman"/>
          <w:i/>
        </w:rPr>
        <w:t>monitoringCapabilityConfig</w:t>
      </w:r>
      <w:r w:rsidRPr="001A429B">
        <w:rPr>
          <w:rFonts w:eastAsia="Times New Roman"/>
        </w:rPr>
        <w:t xml:space="preserve"> = </w:t>
      </w:r>
      <w:r w:rsidRPr="001A429B">
        <w:rPr>
          <w:rFonts w:eastAsia="Times New Roman"/>
          <w:i/>
        </w:rPr>
        <w:t>r16monitoringcapability</w:t>
      </w:r>
      <w:r w:rsidRPr="001A429B">
        <w:rPr>
          <w:rFonts w:eastAsia="Times New Roman"/>
          <w:iCs/>
        </w:rPr>
        <w:t xml:space="preserve">, </w:t>
      </w:r>
      <m:oMath>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m:t>
            </m:r>
            <m:ctrlPr>
              <w:rPr>
                <w:rFonts w:ascii="Cambria Math" w:hAnsi="Calibri" w:cs="Calibri"/>
              </w:rPr>
            </m:ctrlPr>
          </m:sub>
          <m:sup>
            <m:r>
              <m:rPr>
                <m:nor/>
              </m:rPr>
              <w:rPr>
                <w:rFonts w:ascii="Cambria Math" w:hAnsi="Calibri" w:cs="Calibri"/>
              </w:rPr>
              <m:t>cap-r16</m:t>
            </m:r>
            <m:ctrlPr>
              <w:rPr>
                <w:rFonts w:ascii="Cambria Math" w:hAnsi="Calibri" w:cs="Calibri"/>
              </w:rPr>
            </m:ctrlPr>
          </m:sup>
        </m:sSubSup>
      </m:oMath>
      <w:r>
        <w:t xml:space="preserve"> is replaced by </w:t>
      </w:r>
      <m:oMath>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cells,r16</m:t>
            </m:r>
            <m:ctrlPr>
              <w:rPr>
                <w:rFonts w:ascii="Cambria Math" w:hAnsi="Calibri" w:cs="Calibri"/>
              </w:rPr>
            </m:ctrlPr>
          </m:sub>
          <m:sup>
            <m:r>
              <m:rPr>
                <m:nor/>
              </m:rPr>
              <w:rPr>
                <w:rFonts w:ascii="Cambria Math" w:hAnsi="Calibri" w:cs="Calibri"/>
              </w:rPr>
              <m:t>cap-r16</m:t>
            </m:r>
            <m:ctrlPr>
              <w:rPr>
                <w:rFonts w:ascii="Cambria Math" w:hAnsi="Calibri" w:cs="Calibri"/>
              </w:rPr>
            </m:ctrlPr>
          </m:sup>
        </m:sSubSup>
      </m:oMath>
      <w:r w:rsidRPr="001A429B">
        <w:rPr>
          <w:rFonts w:eastAsia="Times New Roman"/>
        </w:rPr>
        <w:t>.</w:t>
      </w:r>
      <w:r w:rsidR="00F56BE6">
        <w:rPr>
          <w:rFonts w:eastAsia="Times New Roman"/>
        </w:rPr>
        <w:t xml:space="preserve"> </w:t>
      </w:r>
      <w:r w:rsidR="00F56BE6" w:rsidRPr="002247D4">
        <w:rPr>
          <w:rFonts w:hint="eastAsia"/>
          <w:iCs/>
          <w:lang w:eastAsia="zh-CN"/>
        </w:rPr>
        <w:t>I</w:t>
      </w:r>
      <w:r w:rsidR="00F56BE6" w:rsidRPr="002247D4">
        <w:rPr>
          <w:iCs/>
        </w:rPr>
        <w:t xml:space="preserve">f a UE is configured with downlink cells for which the UE is provided both </w:t>
      </w:r>
      <w:r w:rsidR="00F56BE6" w:rsidRPr="002247D4">
        <w:rPr>
          <w:i/>
        </w:rPr>
        <w:t>monitoringCapabilityConfig</w:t>
      </w:r>
      <w:r w:rsidR="00F56BE6" w:rsidRPr="002247D4">
        <w:t xml:space="preserve"> = </w:t>
      </w:r>
      <w:r w:rsidR="00F56BE6" w:rsidRPr="002247D4">
        <w:rPr>
          <w:i/>
        </w:rPr>
        <w:t>r1</w:t>
      </w:r>
      <w:r w:rsidR="00F56BE6" w:rsidRPr="002247D4">
        <w:rPr>
          <w:rFonts w:hint="eastAsia"/>
          <w:i/>
          <w:lang w:eastAsia="zh-CN"/>
        </w:rPr>
        <w:t>6</w:t>
      </w:r>
      <w:r w:rsidR="00F56BE6" w:rsidRPr="002247D4">
        <w:rPr>
          <w:i/>
        </w:rPr>
        <w:t>monitoringcapability</w:t>
      </w:r>
      <w:r w:rsidR="00F56BE6" w:rsidRPr="002247D4">
        <w:rPr>
          <w:iCs/>
        </w:rPr>
        <w:t xml:space="preserve"> and </w:t>
      </w:r>
      <w:r w:rsidR="00F56BE6" w:rsidRPr="002247D4">
        <w:rPr>
          <w:i/>
        </w:rPr>
        <w:t>monitoringCapabilityConfig</w:t>
      </w:r>
      <w:r w:rsidR="00F56BE6" w:rsidRPr="002247D4">
        <w:t xml:space="preserve"> = </w:t>
      </w:r>
      <w:r w:rsidR="00F56BE6" w:rsidRPr="002247D4">
        <w:rPr>
          <w:i/>
        </w:rPr>
        <w:t>r1</w:t>
      </w:r>
      <w:r w:rsidR="00F56BE6" w:rsidRPr="002247D4">
        <w:rPr>
          <w:rFonts w:hint="eastAsia"/>
          <w:i/>
          <w:lang w:eastAsia="zh-CN"/>
        </w:rPr>
        <w:t>7</w:t>
      </w:r>
      <w:r w:rsidR="00F56BE6" w:rsidRPr="002247D4">
        <w:rPr>
          <w:i/>
        </w:rPr>
        <w:t>monitoringcapability</w:t>
      </w:r>
      <w:r w:rsidR="00F56BE6" w:rsidRPr="002247D4">
        <w:rPr>
          <w:i/>
          <w:lang w:eastAsia="zh-CN"/>
        </w:rPr>
        <w:t xml:space="preserve">, </w:t>
      </w:r>
      <m:oMath>
        <m:r>
          <w:rPr>
            <w:rFonts w:ascii="Cambria Math" w:hAnsi="Cambria Math"/>
          </w:rPr>
          <m:t xml:space="preserve"> </m:t>
        </m:r>
        <m:sSubSup>
          <m:sSubSupPr>
            <m:ctrlPr>
              <w:rPr>
                <w:rFonts w:ascii="Cambria Math" w:hAnsi="Cambria Math"/>
                <w:i/>
              </w:rPr>
            </m:ctrlPr>
          </m:sSubSupPr>
          <m:e>
            <m:r>
              <w:rPr>
                <w:rFonts w:ascii="Cambria Math" w:hAnsi="Cambria Math"/>
              </w:rPr>
              <m:t>N</m:t>
            </m:r>
          </m:e>
          <m:sub>
            <m:r>
              <m:rPr>
                <m:nor/>
              </m:rPr>
              <m:t>cells</m:t>
            </m:r>
            <m:ctrlPr>
              <w:rPr>
                <w:rFonts w:ascii="Cambria Math" w:hAnsi="Cambria Math"/>
              </w:rPr>
            </m:ctrlPr>
          </m:sub>
          <m:sup>
            <m:r>
              <m:rPr>
                <m:nor/>
              </m:rPr>
              <m:t>cap</m:t>
            </m:r>
            <m:ctrlPr>
              <w:rPr>
                <w:rFonts w:ascii="Cambria Math" w:hAnsi="Cambria Math"/>
              </w:rPr>
            </m:ctrlPr>
          </m:sup>
        </m:sSubSup>
      </m:oMath>
      <w:r w:rsidR="00F56BE6" w:rsidRPr="002247D4">
        <w:t xml:space="preserve"> is replaced by </w:t>
      </w:r>
      <m:oMath>
        <m:sSubSup>
          <m:sSubSupPr>
            <m:ctrlPr>
              <w:rPr>
                <w:rFonts w:ascii="Cambria Math" w:hAnsi="Cambria Math"/>
                <w:i/>
              </w:rPr>
            </m:ctrlPr>
          </m:sSubSupPr>
          <m:e>
            <m:r>
              <w:rPr>
                <w:rFonts w:ascii="Cambria Math" w:hAnsi="Cambria Math"/>
              </w:rPr>
              <m:t>N</m:t>
            </m:r>
          </m:e>
          <m:sub>
            <m:r>
              <m:rPr>
                <m:nor/>
              </m:rPr>
              <m:t>cells, r16</m:t>
            </m:r>
            <m:r>
              <m:rPr>
                <m:nor/>
              </m:rPr>
              <w:rPr>
                <w:rFonts w:ascii="Cambria Math" w:hint="eastAsia"/>
                <w:lang w:eastAsia="zh-CN"/>
              </w:rPr>
              <m:t>/r17</m:t>
            </m:r>
            <m:ctrlPr>
              <w:rPr>
                <w:rFonts w:ascii="Cambria Math" w:hAnsi="Cambria Math"/>
              </w:rPr>
            </m:ctrlPr>
          </m:sub>
          <m:sup>
            <m:r>
              <m:rPr>
                <m:nor/>
              </m:rPr>
              <m:t>cap-r1</m:t>
            </m:r>
            <m:r>
              <m:rPr>
                <m:nor/>
              </m:rPr>
              <w:rPr>
                <w:rFonts w:ascii="Cambria Math" w:hint="eastAsia"/>
                <w:lang w:eastAsia="zh-CN"/>
              </w:rPr>
              <m:t>7</m:t>
            </m:r>
            <m:ctrlPr>
              <w:rPr>
                <w:rFonts w:ascii="Cambria Math" w:hAnsi="Cambria Math"/>
              </w:rPr>
            </m:ctrlPr>
          </m:sup>
        </m:sSubSup>
      </m:oMath>
      <w:r w:rsidR="00F56BE6" w:rsidRPr="002247D4">
        <w:rPr>
          <w:rFonts w:hint="eastAsia"/>
          <w:i/>
          <w:lang w:eastAsia="zh-CN"/>
        </w:rPr>
        <w:t>.</w:t>
      </w:r>
      <m:oMath>
        <m:r>
          <w:rPr>
            <w:rFonts w:ascii="Cambria Math" w:hAnsi="Cambria Math"/>
          </w:rPr>
          <m:t xml:space="preserve"> </m:t>
        </m:r>
      </m:oMath>
      <w:r w:rsidR="00F56BE6" w:rsidRPr="002247D4">
        <w:rPr>
          <w:rFonts w:hint="eastAsia"/>
          <w:iCs/>
          <w:lang w:eastAsia="zh-CN"/>
        </w:rPr>
        <w:t>I</w:t>
      </w:r>
      <w:r w:rsidR="00F56BE6" w:rsidRPr="002247D4">
        <w:rPr>
          <w:iCs/>
        </w:rPr>
        <w:t xml:space="preserve">f a UE is configured with downlink cells for which the UE is provided </w:t>
      </w:r>
      <w:r w:rsidR="00F56BE6" w:rsidRPr="002247D4">
        <w:rPr>
          <w:i/>
        </w:rPr>
        <w:t>monitoringCapabilityConfig</w:t>
      </w:r>
      <w:r w:rsidR="00F56BE6" w:rsidRPr="002247D4">
        <w:t xml:space="preserve"> = </w:t>
      </w:r>
      <w:r w:rsidR="00F56BE6" w:rsidRPr="002247D4">
        <w:rPr>
          <w:i/>
        </w:rPr>
        <w:t>r15monitoringcapability</w:t>
      </w:r>
      <w:r w:rsidR="00F56BE6" w:rsidRPr="002247D4">
        <w:rPr>
          <w:iCs/>
        </w:rPr>
        <w:t xml:space="preserve"> and </w:t>
      </w:r>
      <w:r w:rsidR="00F56BE6" w:rsidRPr="002247D4">
        <w:rPr>
          <w:i/>
        </w:rPr>
        <w:t>monitoringCapabilityConfig</w:t>
      </w:r>
      <w:r w:rsidR="00F56BE6" w:rsidRPr="002247D4">
        <w:t xml:space="preserve"> = </w:t>
      </w:r>
      <w:r w:rsidR="00F56BE6" w:rsidRPr="002247D4">
        <w:rPr>
          <w:i/>
        </w:rPr>
        <w:t>r16monitoringcapability</w:t>
      </w:r>
      <w:r w:rsidR="00F56BE6" w:rsidRPr="002247D4">
        <w:rPr>
          <w:iCs/>
        </w:rPr>
        <w:t xml:space="preserve"> and </w:t>
      </w:r>
      <w:r w:rsidR="00F56BE6" w:rsidRPr="002247D4">
        <w:rPr>
          <w:i/>
        </w:rPr>
        <w:t>monitoringCapabilityConfig</w:t>
      </w:r>
      <w:r w:rsidR="00F56BE6" w:rsidRPr="002247D4">
        <w:t xml:space="preserve"> = </w:t>
      </w:r>
      <w:r w:rsidR="00F56BE6" w:rsidRPr="002247D4">
        <w:rPr>
          <w:i/>
        </w:rPr>
        <w:t>r1</w:t>
      </w:r>
      <w:r w:rsidR="00F56BE6" w:rsidRPr="002247D4">
        <w:rPr>
          <w:rFonts w:hint="eastAsia"/>
          <w:i/>
          <w:lang w:eastAsia="zh-CN"/>
        </w:rPr>
        <w:t>7</w:t>
      </w:r>
      <w:r w:rsidR="00F56BE6" w:rsidRPr="002247D4">
        <w:rPr>
          <w:i/>
        </w:rPr>
        <w:t>monitoringcapability</w:t>
      </w:r>
      <w:r w:rsidR="00F56BE6" w:rsidRPr="002247D4">
        <w:rPr>
          <w:i/>
          <w:lang w:eastAsia="zh-CN"/>
        </w:rPr>
        <w:t xml:space="preserve">, </w:t>
      </w:r>
      <m:oMath>
        <m:r>
          <w:rPr>
            <w:rFonts w:ascii="Cambria Math" w:hAnsi="Cambria Math"/>
          </w:rPr>
          <m:t xml:space="preserve"> </m:t>
        </m:r>
        <m:sSubSup>
          <m:sSubSupPr>
            <m:ctrlPr>
              <w:rPr>
                <w:rFonts w:ascii="Cambria Math" w:hAnsi="Cambria Math"/>
                <w:i/>
              </w:rPr>
            </m:ctrlPr>
          </m:sSubSupPr>
          <m:e>
            <m:r>
              <w:rPr>
                <w:rFonts w:ascii="Cambria Math" w:hAnsi="Cambria Math"/>
              </w:rPr>
              <m:t>N</m:t>
            </m:r>
          </m:e>
          <m:sub>
            <m:r>
              <m:rPr>
                <m:nor/>
              </m:rPr>
              <m:t>cells</m:t>
            </m:r>
            <m:ctrlPr>
              <w:rPr>
                <w:rFonts w:ascii="Cambria Math" w:hAnsi="Cambria Math"/>
              </w:rPr>
            </m:ctrlPr>
          </m:sub>
          <m:sup>
            <m:r>
              <m:rPr>
                <m:nor/>
              </m:rPr>
              <m:t>cap</m:t>
            </m:r>
            <m:ctrlPr>
              <w:rPr>
                <w:rFonts w:ascii="Cambria Math" w:hAnsi="Cambria Math"/>
              </w:rPr>
            </m:ctrlPr>
          </m:sup>
        </m:sSubSup>
      </m:oMath>
      <w:r w:rsidR="00F56BE6" w:rsidRPr="002247D4">
        <w:t xml:space="preserve"> is replaced by </w:t>
      </w:r>
      <m:oMath>
        <m:sSubSup>
          <m:sSubSupPr>
            <m:ctrlPr>
              <w:rPr>
                <w:rFonts w:ascii="Cambria Math" w:hAnsi="Cambria Math"/>
                <w:i/>
              </w:rPr>
            </m:ctrlPr>
          </m:sSubSupPr>
          <m:e>
            <m:r>
              <w:rPr>
                <w:rFonts w:ascii="Cambria Math" w:hAnsi="Cambria Math"/>
              </w:rPr>
              <m:t>N</m:t>
            </m:r>
          </m:e>
          <m:sub>
            <m:r>
              <m:rPr>
                <m:nor/>
              </m:rPr>
              <m:t>cells, r16</m:t>
            </m:r>
            <m:r>
              <m:rPr>
                <m:nor/>
              </m:rPr>
              <w:rPr>
                <w:rFonts w:ascii="Cambria Math"/>
                <w:lang w:eastAsia="zh-CN"/>
              </w:rPr>
              <m:t>/ {</m:t>
            </m:r>
            <m:r>
              <m:rPr>
                <m:nor/>
              </m:rPr>
              <w:rPr>
                <w:rFonts w:ascii="Cambria Math" w:hint="eastAsia"/>
                <w:lang w:eastAsia="zh-CN"/>
              </w:rPr>
              <m:t>r15</m:t>
            </m:r>
            <m:r>
              <m:rPr>
                <m:nor/>
              </m:rPr>
              <w:rPr>
                <w:rFonts w:ascii="Cambria Math"/>
                <w:lang w:eastAsia="zh-CN"/>
              </w:rPr>
              <m:t xml:space="preserve">, r17} </m:t>
            </m:r>
            <m:ctrlPr>
              <w:rPr>
                <w:rFonts w:ascii="Cambria Math" w:hAnsi="Cambria Math"/>
              </w:rPr>
            </m:ctrlPr>
          </m:sub>
          <m:sup>
            <m:r>
              <m:rPr>
                <m:nor/>
              </m:rPr>
              <m:t>cap-r1</m:t>
            </m:r>
            <m:r>
              <m:rPr>
                <m:nor/>
              </m:rPr>
              <w:rPr>
                <w:rFonts w:ascii="Cambria Math" w:hint="eastAsia"/>
                <w:lang w:eastAsia="zh-CN"/>
              </w:rPr>
              <m:t>7</m:t>
            </m:r>
            <m:ctrlPr>
              <w:rPr>
                <w:rFonts w:ascii="Cambria Math" w:hAnsi="Cambria Math"/>
              </w:rPr>
            </m:ctrlPr>
          </m:sup>
        </m:sSubSup>
      </m:oMath>
      <w:r w:rsidR="00F56BE6" w:rsidRPr="002247D4">
        <w:rPr>
          <w:rFonts w:hint="eastAsia"/>
          <w:i/>
          <w:lang w:eastAsia="zh-CN"/>
        </w:rPr>
        <w:t>.</w:t>
      </w:r>
    </w:p>
    <w:p w14:paraId="6BFAF6FC" w14:textId="085B0E3D" w:rsidR="00616CA6" w:rsidRDefault="004D105A" w:rsidP="004D105A">
      <w:pPr>
        <w:autoSpaceDN w:val="0"/>
      </w:pPr>
      <w:r>
        <w:rPr>
          <w:iCs/>
        </w:rPr>
        <w:t xml:space="preserve">If a UE is configured only with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m:t>
            </m:r>
            <m:r>
              <m:rPr>
                <m:sty m:val="p"/>
              </m:rPr>
              <w:rPr>
                <w:rFonts w:ascii="Cambria Math" w:hAnsi="Cambria Math"/>
                <w:color w:val="000000"/>
                <w:sz w:val="21"/>
                <w:szCs w:val="21"/>
              </w:rPr>
              <m:t>μ</m:t>
            </m:r>
          </m:sup>
        </m:sSubSup>
      </m:oMath>
      <w:r>
        <w:rPr>
          <w:iCs/>
        </w:rPr>
        <w:t xml:space="preserve"> downlink cells </w:t>
      </w:r>
      <w:r w:rsidR="00616CA6">
        <w:rPr>
          <w:iCs/>
        </w:rPr>
        <w:t xml:space="preserve">for which the UE is provided </w:t>
      </w:r>
      <w:r w:rsidR="00616CA6">
        <w:rPr>
          <w:i/>
        </w:rPr>
        <w:t>monitoringCapabilityConfig</w:t>
      </w:r>
      <w:r w:rsidR="00616CA6">
        <w:t xml:space="preserve"> = </w:t>
      </w:r>
      <w:r w:rsidR="00616CA6">
        <w:rPr>
          <w:i/>
        </w:rPr>
        <w:t>r1</w:t>
      </w:r>
      <w:r w:rsidR="00616CA6">
        <w:rPr>
          <w:i/>
          <w:lang w:val="en-US"/>
        </w:rPr>
        <w:t>6</w:t>
      </w:r>
      <w:r w:rsidR="00616CA6">
        <w:rPr>
          <w:i/>
        </w:rPr>
        <w:t>monitoringcapability</w:t>
      </w:r>
      <w:r w:rsidR="00616CA6">
        <w:rPr>
          <w:iCs/>
        </w:rPr>
        <w:t xml:space="preserve"> and </w:t>
      </w:r>
      <w:r w:rsidR="00616CA6">
        <w:t xml:space="preserve">with </w:t>
      </w:r>
      <w:r w:rsidR="00616CA6">
        <w:rPr>
          <w:lang w:eastAsia="ko-KR"/>
        </w:rPr>
        <w:t xml:space="preserve">associated PDCCH candidates monitored in the </w:t>
      </w:r>
      <w:r w:rsidR="00616CA6">
        <w:t xml:space="preserve">active DL BWPs of the scheduling cells using SCS configuration </w:t>
      </w:r>
      <m:oMath>
        <m:r>
          <w:rPr>
            <w:rFonts w:ascii="Cambria Math" w:eastAsiaTheme="minorHAnsi" w:hAnsi="Cambria Math"/>
          </w:rPr>
          <m:t>μ</m:t>
        </m:r>
      </m:oMath>
      <w:r w:rsidR="00616CA6">
        <w:rPr>
          <w:iCs/>
        </w:rPr>
        <w:t>,</w:t>
      </w:r>
      <w:r>
        <w:rPr>
          <w:iCs/>
        </w:rPr>
        <w:t xml:space="preserve"> and with</w:t>
      </w:r>
      <w:r w:rsidRPr="006E69C7">
        <w:rPr>
          <w:iCs/>
        </w:rPr>
        <w:t xml:space="preserve"> </w:t>
      </w:r>
      <m:oMath>
        <m:sSubSup>
          <m:sSubSupPr>
            <m:ctrlPr>
              <w:rPr>
                <w:rFonts w:ascii="Cambria Math" w:eastAsiaTheme="minorHAnsi" w:hAnsi="Cambria Math"/>
                <w:iCs/>
                <w:color w:val="000000"/>
                <w:sz w:val="21"/>
                <w:szCs w:val="21"/>
              </w:rPr>
            </m:ctrlPr>
          </m:sSubSupPr>
          <m:e>
            <m:r>
              <w:rPr>
                <w:rFonts w:ascii="Cambria Math" w:hAnsi="Cambria Math"/>
                <w:color w:val="000000"/>
                <w:sz w:val="21"/>
                <w:szCs w:val="21"/>
              </w:rPr>
              <m:t>N</m:t>
            </m:r>
          </m:e>
          <m:sub>
            <m:r>
              <m:rPr>
                <m:sty m:val="p"/>
              </m:rPr>
              <w:rPr>
                <w:rFonts w:ascii="Cambria Math" w:hAnsi="Cambria Math"/>
                <w:color w:val="000000"/>
                <w:sz w:val="21"/>
                <w:szCs w:val="21"/>
              </w:rPr>
              <m:t>cells,r16</m:t>
            </m:r>
            <m:ctrlPr>
              <w:rPr>
                <w:rFonts w:ascii="Cambria Math" w:eastAsiaTheme="minorHAnsi" w:hAnsi="Cambria Math"/>
                <w:color w:val="000000"/>
                <w:sz w:val="21"/>
                <w:szCs w:val="21"/>
              </w:rPr>
            </m:ctrlPr>
          </m:sub>
          <m:sup>
            <m:r>
              <m:rPr>
                <m:sty m:val="p"/>
              </m:rPr>
              <w:rPr>
                <w:rFonts w:ascii="Cambria Math" w:hAnsi="Cambria Math"/>
                <w:color w:val="000000"/>
                <w:sz w:val="21"/>
                <w:szCs w:val="21"/>
              </w:rPr>
              <m:t>DL,(X,Y),μ</m:t>
            </m:r>
            <m:ctrlPr>
              <w:rPr>
                <w:rFonts w:ascii="Cambria Math" w:eastAsiaTheme="minorHAnsi" w:hAnsi="Cambria Math"/>
                <w:color w:val="000000"/>
                <w:sz w:val="21"/>
                <w:szCs w:val="21"/>
              </w:rPr>
            </m:ctrlPr>
          </m:sup>
        </m:sSubSup>
      </m:oMath>
      <w:r w:rsidRPr="006E69C7">
        <w:rPr>
          <w:iCs/>
        </w:rPr>
        <w:t xml:space="preserve"> </w:t>
      </w:r>
      <w:r>
        <w:rPr>
          <w:iCs/>
        </w:rPr>
        <w:t xml:space="preserve">of the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m:t>
            </m:r>
            <m:r>
              <m:rPr>
                <m:sty m:val="p"/>
              </m:rPr>
              <w:rPr>
                <w:rFonts w:ascii="Cambria Math" w:hAnsi="Cambria Math"/>
                <w:color w:val="000000"/>
                <w:sz w:val="21"/>
                <w:szCs w:val="21"/>
              </w:rPr>
              <m:t>μ</m:t>
            </m:r>
          </m:sup>
        </m:sSubSup>
      </m:oMath>
      <w:r>
        <w:rPr>
          <w:iCs/>
        </w:rPr>
        <w:t xml:space="preserve"> downlink cells using</w:t>
      </w:r>
      <w:r w:rsidRPr="006E69C7">
        <w:rPr>
          <w:iCs/>
        </w:rPr>
        <w:t xml:space="preserve"> combination </w:t>
      </w:r>
      <m:oMath>
        <m:d>
          <m:dPr>
            <m:ctrlPr>
              <w:rPr>
                <w:rFonts w:ascii="Cambria Math" w:hAnsi="Cambria Math"/>
                <w:lang w:eastAsia="zh-CN"/>
              </w:rPr>
            </m:ctrlPr>
          </m:dPr>
          <m:e>
            <m:r>
              <m:rPr>
                <m:sty m:val="p"/>
              </m:rPr>
              <w:rPr>
                <w:rFonts w:ascii="Cambria Math" w:hAnsi="Cambria Math"/>
                <w:lang w:eastAsia="zh-CN"/>
              </w:rPr>
              <m:t>X,Y</m:t>
            </m:r>
          </m:e>
        </m:d>
      </m:oMath>
      <w:r>
        <w:rPr>
          <w:iCs/>
        </w:rPr>
        <w:t xml:space="preserve"> for PDCCH monitoring, </w:t>
      </w:r>
      <w:r w:rsidRPr="006E69C7">
        <w:rPr>
          <w:iCs/>
        </w:rPr>
        <w:t xml:space="preserve">where </w:t>
      </w:r>
      <m:oMath>
        <m:nary>
          <m:naryPr>
            <m:chr m:val="∑"/>
            <m:ctrlPr>
              <w:rPr>
                <w:rFonts w:ascii="Cambria Math" w:eastAsiaTheme="minorHAnsi" w:hAnsi="Cambria Math"/>
                <w:iCs/>
              </w:rPr>
            </m:ctrlPr>
          </m:naryPr>
          <m:sub>
            <m:r>
              <m:rPr>
                <m:sty m:val="p"/>
              </m:rPr>
              <w:rPr>
                <w:rFonts w:ascii="Cambria Math" w:hAnsi="Cambria Math"/>
              </w:rPr>
              <m:t>μ=0</m:t>
            </m:r>
          </m:sub>
          <m:sup>
            <m:r>
              <m:rPr>
                <m:sty m:val="p"/>
              </m:rPr>
              <w:rPr>
                <w:rFonts w:ascii="Cambria Math" w:hAnsi="Cambria Math"/>
              </w:rPr>
              <m:t>1</m:t>
            </m:r>
          </m:sup>
          <m:e>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DL,μ</m:t>
                </m:r>
              </m:sup>
            </m:sSubSup>
          </m:e>
        </m:nary>
        <m:r>
          <m:rPr>
            <m:sty m:val="p"/>
          </m:rPr>
          <w:rPr>
            <w:rFonts w:ascii="Cambria Math" w:hAnsi="Cambria Math"/>
          </w:rPr>
          <m:t>&gt;</m:t>
        </m:r>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m:t>
            </m:r>
            <m:ctrlPr>
              <w:rPr>
                <w:rFonts w:ascii="Cambria Math" w:hAnsi="Calibri" w:cs="Calibri"/>
              </w:rPr>
            </m:ctrlPr>
          </m:sub>
          <m:sup>
            <m:r>
              <m:rPr>
                <m:nor/>
              </m:rPr>
              <w:rPr>
                <w:rFonts w:ascii="Cambria Math" w:hAnsi="Calibri" w:cs="Calibri"/>
              </w:rPr>
              <m:t>cap-r16</m:t>
            </m:r>
            <m:ctrlPr>
              <w:rPr>
                <w:rFonts w:ascii="Cambria Math" w:hAnsi="Calibri" w:cs="Calibri"/>
              </w:rPr>
            </m:ctrlPr>
          </m:sup>
        </m:sSubSup>
      </m:oMath>
      <w:r w:rsidRPr="006E69C7">
        <w:rPr>
          <w:lang w:val="x-none"/>
        </w:rPr>
        <w:t xml:space="preserve">, </w:t>
      </w:r>
      <w:r>
        <w:rPr>
          <w:lang w:val="en-US"/>
        </w:rPr>
        <w:t xml:space="preserve">a DL BWP of an activated cell is the active DL BWP of the activated cell, and a DL BWP of a deactivated cell is the </w:t>
      </w:r>
      <w:r>
        <w:t xml:space="preserve">DL BWP with </w:t>
      </w:r>
      <w:r>
        <w:rPr>
          <w:lang w:val="en-US"/>
        </w:rPr>
        <w:t>index provided by</w:t>
      </w:r>
      <w:r w:rsidRPr="00670178">
        <w:t xml:space="preserve"> </w:t>
      </w:r>
      <w:r w:rsidRPr="00B610CA">
        <w:rPr>
          <w:i/>
        </w:rPr>
        <w:t>firstActiveDownlinkBWP-Id</w:t>
      </w:r>
      <w:r>
        <w:rPr>
          <w:lang w:val="en-US"/>
        </w:rPr>
        <w:t xml:space="preserve"> for the deactivated cell, </w:t>
      </w:r>
      <w:r w:rsidRPr="006E69C7">
        <w:rPr>
          <w:iCs/>
        </w:rPr>
        <w:t>the UE is not required to monitor more than</w:t>
      </w:r>
      <w:r>
        <w:rPr>
          <w:iCs/>
        </w:rPr>
        <w:t xml:space="preserve"> </w:t>
      </w:r>
      <m:oMath>
        <m:sSubSup>
          <m:sSubSupPr>
            <m:ctrlPr>
              <w:rPr>
                <w:rFonts w:ascii="Cambria Math" w:hAnsi="Calibri" w:cs="Calibri"/>
                <w:i/>
                <w:sz w:val="22"/>
                <w:szCs w:val="22"/>
              </w:rPr>
            </m:ctrlPr>
          </m:sSubSupPr>
          <m:e>
            <m:r>
              <w:rPr>
                <w:rFonts w:ascii="Cambria Math" w:hAnsi="Calibri" w:cs="Calibri"/>
                <w:sz w:val="22"/>
                <w:szCs w:val="22"/>
              </w:rPr>
              <m:t>M</m:t>
            </m:r>
          </m:e>
          <m:sub>
            <m:r>
              <m:rPr>
                <m:nor/>
              </m:rPr>
              <w:rPr>
                <w:rFonts w:ascii="Cambria Math" w:hAnsi="Calibri" w:cs="Calibri"/>
                <w:sz w:val="22"/>
                <w:szCs w:val="22"/>
              </w:rPr>
              <m:t>PDCCH</m:t>
            </m:r>
            <m:ctrlPr>
              <w:rPr>
                <w:rFonts w:ascii="Cambria Math" w:hAnsi="Calibri" w:cs="Calibri"/>
                <w:sz w:val="22"/>
                <w:szCs w:val="22"/>
              </w:rPr>
            </m:ctrlPr>
          </m:sub>
          <m:sup>
            <m:r>
              <m:rPr>
                <m:nor/>
              </m:rPr>
              <w:rPr>
                <w:rFonts w:ascii="Cambria Math" w:hAnsi="Calibri" w:cs="Calibri"/>
                <w:sz w:val="22"/>
                <w:szCs w:val="22"/>
              </w:rPr>
              <m:t>total,(X,Y),</m:t>
            </m:r>
            <m:r>
              <w:rPr>
                <w:rFonts w:ascii="Cambria Math" w:hAnsi="Calibri" w:cs="Calibri"/>
                <w:sz w:val="22"/>
                <w:szCs w:val="22"/>
              </w:rPr>
              <m:t>μ</m:t>
            </m:r>
            <m:ctrlPr>
              <w:rPr>
                <w:rFonts w:ascii="Cambria Math" w:hAnsi="Calibri" w:cs="Calibri"/>
                <w:sz w:val="22"/>
                <w:szCs w:val="22"/>
              </w:rPr>
            </m:ctrlPr>
          </m:sup>
        </m:sSubSup>
        <m:r>
          <w:rPr>
            <w:rFonts w:ascii="Cambria Math" w:hAnsi="Calibri" w:cs="Calibri"/>
            <w:sz w:val="22"/>
            <w:szCs w:val="22"/>
          </w:rPr>
          <m:t>=</m:t>
        </m:r>
        <m:d>
          <m:dPr>
            <m:begChr m:val="⌊"/>
            <m:endChr m:val="⌋"/>
            <m:ctrlPr>
              <w:rPr>
                <w:rFonts w:ascii="Cambria Math" w:hAnsi="Calibri" w:cs="Calibri"/>
                <w:i/>
                <w:sz w:val="22"/>
                <w:szCs w:val="22"/>
              </w:rPr>
            </m:ctrlPr>
          </m:dPr>
          <m:e>
            <m:sSubSup>
              <m:sSubSupPr>
                <m:ctrlPr>
                  <w:rPr>
                    <w:rFonts w:ascii="Cambria Math" w:hAnsi="Calibri" w:cs="Calibri"/>
                    <w:i/>
                    <w:sz w:val="22"/>
                    <w:szCs w:val="22"/>
                  </w:rPr>
                </m:ctrlPr>
              </m:sSubSupPr>
              <m:e>
                <m:r>
                  <w:rPr>
                    <w:rFonts w:ascii="Cambria Math" w:hAnsi="Calibri" w:cs="Calibri"/>
                    <w:sz w:val="22"/>
                    <w:szCs w:val="22"/>
                  </w:rPr>
                  <m:t>N</m:t>
                </m:r>
              </m:e>
              <m:sub>
                <m:r>
                  <m:rPr>
                    <m:nor/>
                  </m:rPr>
                  <w:rPr>
                    <w:rFonts w:ascii="Cambria Math" w:hAnsi="Calibri" w:cs="Calibri"/>
                    <w:sz w:val="22"/>
                    <w:szCs w:val="22"/>
                  </w:rPr>
                  <m:t>cells</m:t>
                </m:r>
                <m:ctrlPr>
                  <w:rPr>
                    <w:rFonts w:ascii="Cambria Math" w:hAnsi="Calibri" w:cs="Calibri"/>
                    <w:sz w:val="22"/>
                    <w:szCs w:val="22"/>
                  </w:rPr>
                </m:ctrlPr>
              </m:sub>
              <m:sup>
                <m:r>
                  <m:rPr>
                    <m:nor/>
                  </m:rPr>
                  <w:rPr>
                    <w:rFonts w:ascii="Cambria Math" w:hAnsi="Calibri" w:cs="Calibri"/>
                    <w:sz w:val="22"/>
                    <w:szCs w:val="22"/>
                  </w:rPr>
                  <m:t>cap-r16</m:t>
                </m:r>
                <m:ctrlPr>
                  <w:rPr>
                    <w:rFonts w:ascii="Cambria Math" w:hAnsi="Calibri" w:cs="Calibri"/>
                    <w:sz w:val="22"/>
                    <w:szCs w:val="22"/>
                  </w:rPr>
                </m:ctrlPr>
              </m:sup>
            </m:sSubSup>
            <m:r>
              <w:rPr>
                <w:rFonts w:ascii="Cambria Math" w:hAnsi="Cambria Math" w:cs="Cambria Math"/>
                <w:sz w:val="22"/>
                <w:szCs w:val="22"/>
              </w:rPr>
              <m:t>⋅</m:t>
            </m:r>
            <m:sSubSup>
              <m:sSubSupPr>
                <m:ctrlPr>
                  <w:rPr>
                    <w:rFonts w:ascii="Cambria Math" w:hAnsi="Calibri" w:cs="Calibri"/>
                    <w:i/>
                    <w:sz w:val="22"/>
                    <w:szCs w:val="22"/>
                  </w:rPr>
                </m:ctrlPr>
              </m:sSubSupPr>
              <m:e>
                <m:r>
                  <w:rPr>
                    <w:rFonts w:ascii="Cambria Math" w:hAnsi="Calibri" w:cs="Calibri"/>
                    <w:sz w:val="22"/>
                    <w:szCs w:val="22"/>
                  </w:rPr>
                  <m:t>M</m:t>
                </m:r>
              </m:e>
              <m:sub>
                <m:r>
                  <m:rPr>
                    <m:nor/>
                  </m:rPr>
                  <w:rPr>
                    <w:rFonts w:ascii="Cambria Math" w:hAnsi="Calibri" w:cs="Calibri"/>
                    <w:sz w:val="22"/>
                    <w:szCs w:val="22"/>
                  </w:rPr>
                  <m:t>PDCCH</m:t>
                </m:r>
                <m:ctrlPr>
                  <w:rPr>
                    <w:rFonts w:ascii="Cambria Math" w:hAnsi="Calibri" w:cs="Calibri"/>
                    <w:sz w:val="22"/>
                    <w:szCs w:val="22"/>
                  </w:rPr>
                </m:ctrlPr>
              </m:sub>
              <m:sup>
                <m:r>
                  <m:rPr>
                    <m:nor/>
                  </m:rPr>
                  <w:rPr>
                    <w:rFonts w:ascii="Cambria Math" w:hAnsi="Calibri" w:cs="Calibri"/>
                    <w:sz w:val="22"/>
                    <w:szCs w:val="22"/>
                  </w:rPr>
                  <m:t>max,(X,Y),</m:t>
                </m:r>
                <m:r>
                  <w:rPr>
                    <w:rFonts w:ascii="Cambria Math" w:hAnsi="Calibri" w:cs="Calibri"/>
                    <w:sz w:val="22"/>
                    <w:szCs w:val="22"/>
                  </w:rPr>
                  <m:t>μ</m:t>
                </m:r>
                <m:ctrlPr>
                  <w:rPr>
                    <w:rFonts w:ascii="Cambria Math" w:hAnsi="Calibri" w:cs="Calibri"/>
                    <w:sz w:val="22"/>
                    <w:szCs w:val="22"/>
                  </w:rPr>
                </m:ctrlPr>
              </m:sup>
            </m:sSubSup>
            <m:r>
              <w:rPr>
                <w:rFonts w:ascii="Cambria Math" w:hAnsi="Cambria Math" w:cs="Cambria Math"/>
                <w:sz w:val="22"/>
                <w:szCs w:val="22"/>
              </w:rPr>
              <m:t>⋅</m:t>
            </m:r>
            <m:f>
              <m:fPr>
                <m:type m:val="lin"/>
                <m:ctrlPr>
                  <w:rPr>
                    <w:rFonts w:ascii="Cambria Math" w:hAnsi="Calibri" w:cs="Calibri"/>
                    <w:i/>
                    <w:sz w:val="22"/>
                    <w:szCs w:val="22"/>
                  </w:rPr>
                </m:ctrlPr>
              </m:fPr>
              <m:num>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DL,(X,Y),μ</m:t>
                    </m:r>
                  </m:sup>
                </m:sSubSup>
              </m:num>
              <m:den>
                <m:nary>
                  <m:naryPr>
                    <m:chr m:val="∑"/>
                    <m:ctrlPr>
                      <w:rPr>
                        <w:rFonts w:ascii="Cambria Math" w:hAnsi="Calibri" w:cs="Calibri"/>
                        <w:i/>
                        <w:sz w:val="22"/>
                        <w:szCs w:val="22"/>
                      </w:rPr>
                    </m:ctrlPr>
                  </m:naryPr>
                  <m:sub>
                    <m:r>
                      <w:rPr>
                        <w:rFonts w:ascii="Cambria Math" w:hAnsi="Calibri" w:cs="Calibri"/>
                        <w:sz w:val="22"/>
                        <w:szCs w:val="22"/>
                      </w:rPr>
                      <m:t>j=0</m:t>
                    </m:r>
                  </m:sub>
                  <m:sup>
                    <m:r>
                      <w:rPr>
                        <w:rFonts w:ascii="Cambria Math" w:hAnsi="Calibri" w:cs="Calibri"/>
                        <w:sz w:val="22"/>
                        <w:szCs w:val="22"/>
                      </w:rPr>
                      <m:t>1</m:t>
                    </m:r>
                  </m:sup>
                  <m:e>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DL,j</m:t>
                        </m:r>
                      </m:sup>
                    </m:sSubSup>
                    <m:ctrlPr>
                      <w:rPr>
                        <w:rFonts w:ascii="Cambria Math" w:hAnsi="Cambria Math" w:cs="Calibri"/>
                        <w:i/>
                        <w:sz w:val="22"/>
                        <w:szCs w:val="22"/>
                      </w:rPr>
                    </m:ctrlPr>
                  </m:e>
                </m:nary>
                <m:ctrlPr>
                  <w:rPr>
                    <w:rFonts w:ascii="Cambria Math" w:hAnsi="Cambria Math" w:cs="Calibri"/>
                    <w:i/>
                    <w:sz w:val="22"/>
                    <w:szCs w:val="22"/>
                  </w:rPr>
                </m:ctrlPr>
              </m:den>
            </m:f>
            <m:ctrlPr>
              <w:rPr>
                <w:rFonts w:ascii="Cambria Math" w:hAnsi="Cambria Math" w:cs="Calibri"/>
                <w:i/>
                <w:sz w:val="22"/>
                <w:szCs w:val="22"/>
              </w:rPr>
            </m:ctrlPr>
          </m:e>
        </m:d>
      </m:oMath>
      <w:r>
        <w:rPr>
          <w:lang w:val="en-US" w:eastAsia="ko-KR"/>
        </w:rPr>
        <w:t xml:space="preserve"> </w:t>
      </w:r>
      <w:r w:rsidRPr="00D20E88">
        <w:t xml:space="preserve">PDCCH candidates </w:t>
      </w:r>
      <w:r>
        <w:rPr>
          <w:lang w:val="en-US"/>
        </w:rPr>
        <w:t xml:space="preserve">or more than </w:t>
      </w:r>
      <m:oMath>
        <m:sSubSup>
          <m:sSubSupPr>
            <m:ctrlPr>
              <w:rPr>
                <w:rFonts w:ascii="Cambria Math" w:hAnsi="Calibri" w:cs="Calibri"/>
                <w:i/>
                <w:sz w:val="22"/>
                <w:szCs w:val="22"/>
              </w:rPr>
            </m:ctrlPr>
          </m:sSubSupPr>
          <m:e>
            <m:r>
              <w:rPr>
                <w:rFonts w:ascii="Cambria Math" w:hAnsi="Calibri" w:cs="Calibri"/>
                <w:sz w:val="22"/>
                <w:szCs w:val="22"/>
              </w:rPr>
              <m:t>C</m:t>
            </m:r>
          </m:e>
          <m:sub>
            <m:r>
              <m:rPr>
                <m:nor/>
              </m:rPr>
              <w:rPr>
                <w:rFonts w:ascii="Cambria Math" w:hAnsi="Calibri" w:cs="Calibri"/>
                <w:sz w:val="22"/>
                <w:szCs w:val="22"/>
              </w:rPr>
              <m:t>PDCCH</m:t>
            </m:r>
            <m:ctrlPr>
              <w:rPr>
                <w:rFonts w:ascii="Cambria Math" w:hAnsi="Calibri" w:cs="Calibri"/>
                <w:sz w:val="22"/>
                <w:szCs w:val="22"/>
              </w:rPr>
            </m:ctrlPr>
          </m:sub>
          <m:sup>
            <m:r>
              <m:rPr>
                <m:nor/>
              </m:rPr>
              <w:rPr>
                <w:rFonts w:ascii="Cambria Math" w:hAnsi="Calibri" w:cs="Calibri"/>
                <w:sz w:val="22"/>
                <w:szCs w:val="22"/>
              </w:rPr>
              <m:t>total,(X,Y),</m:t>
            </m:r>
            <m:r>
              <w:rPr>
                <w:rFonts w:ascii="Cambria Math" w:hAnsi="Calibri" w:cs="Calibri"/>
                <w:sz w:val="22"/>
                <w:szCs w:val="22"/>
              </w:rPr>
              <m:t>μ</m:t>
            </m:r>
            <m:ctrlPr>
              <w:rPr>
                <w:rFonts w:ascii="Cambria Math" w:hAnsi="Calibri" w:cs="Calibri"/>
                <w:sz w:val="22"/>
                <w:szCs w:val="22"/>
              </w:rPr>
            </m:ctrlPr>
          </m:sup>
        </m:sSubSup>
        <m:r>
          <w:rPr>
            <w:rFonts w:ascii="Cambria Math" w:hAnsi="Calibri" w:cs="Calibri"/>
            <w:sz w:val="22"/>
            <w:szCs w:val="22"/>
          </w:rPr>
          <m:t>=</m:t>
        </m:r>
        <m:d>
          <m:dPr>
            <m:begChr m:val="⌊"/>
            <m:endChr m:val="⌋"/>
            <m:ctrlPr>
              <w:rPr>
                <w:rFonts w:ascii="Cambria Math" w:hAnsi="Calibri" w:cs="Calibri"/>
                <w:i/>
                <w:sz w:val="22"/>
                <w:szCs w:val="22"/>
              </w:rPr>
            </m:ctrlPr>
          </m:dPr>
          <m:e>
            <m:sSubSup>
              <m:sSubSupPr>
                <m:ctrlPr>
                  <w:rPr>
                    <w:rFonts w:ascii="Cambria Math" w:hAnsi="Calibri" w:cs="Calibri"/>
                    <w:i/>
                    <w:sz w:val="22"/>
                    <w:szCs w:val="22"/>
                  </w:rPr>
                </m:ctrlPr>
              </m:sSubSupPr>
              <m:e>
                <m:r>
                  <w:rPr>
                    <w:rFonts w:ascii="Cambria Math" w:hAnsi="Calibri" w:cs="Calibri"/>
                    <w:sz w:val="22"/>
                    <w:szCs w:val="22"/>
                  </w:rPr>
                  <m:t>N</m:t>
                </m:r>
              </m:e>
              <m:sub>
                <m:r>
                  <m:rPr>
                    <m:nor/>
                  </m:rPr>
                  <w:rPr>
                    <w:rFonts w:ascii="Cambria Math" w:hAnsi="Calibri" w:cs="Calibri"/>
                    <w:sz w:val="22"/>
                    <w:szCs w:val="22"/>
                  </w:rPr>
                  <m:t>cells</m:t>
                </m:r>
                <m:ctrlPr>
                  <w:rPr>
                    <w:rFonts w:ascii="Cambria Math" w:hAnsi="Calibri" w:cs="Calibri"/>
                    <w:sz w:val="22"/>
                    <w:szCs w:val="22"/>
                  </w:rPr>
                </m:ctrlPr>
              </m:sub>
              <m:sup>
                <m:r>
                  <m:rPr>
                    <m:nor/>
                  </m:rPr>
                  <w:rPr>
                    <w:rFonts w:ascii="Cambria Math" w:hAnsi="Calibri" w:cs="Calibri"/>
                    <w:sz w:val="22"/>
                    <w:szCs w:val="22"/>
                  </w:rPr>
                  <m:t>cap-r16</m:t>
                </m:r>
                <m:ctrlPr>
                  <w:rPr>
                    <w:rFonts w:ascii="Cambria Math" w:hAnsi="Calibri" w:cs="Calibri"/>
                    <w:sz w:val="22"/>
                    <w:szCs w:val="22"/>
                  </w:rPr>
                </m:ctrlPr>
              </m:sup>
            </m:sSubSup>
            <m:r>
              <w:rPr>
                <w:rFonts w:ascii="Cambria Math" w:hAnsi="Cambria Math" w:cs="Cambria Math"/>
                <w:sz w:val="22"/>
                <w:szCs w:val="22"/>
              </w:rPr>
              <m:t>⋅</m:t>
            </m:r>
            <m:sSubSup>
              <m:sSubSupPr>
                <m:ctrlPr>
                  <w:rPr>
                    <w:rFonts w:ascii="Cambria Math" w:hAnsi="Calibri" w:cs="Calibri"/>
                    <w:i/>
                    <w:sz w:val="22"/>
                    <w:szCs w:val="22"/>
                  </w:rPr>
                </m:ctrlPr>
              </m:sSubSupPr>
              <m:e>
                <m:r>
                  <w:rPr>
                    <w:rFonts w:ascii="Cambria Math" w:hAnsi="Calibri" w:cs="Calibri"/>
                    <w:sz w:val="22"/>
                    <w:szCs w:val="22"/>
                  </w:rPr>
                  <m:t>C</m:t>
                </m:r>
              </m:e>
              <m:sub>
                <m:r>
                  <m:rPr>
                    <m:nor/>
                  </m:rPr>
                  <w:rPr>
                    <w:rFonts w:ascii="Cambria Math" w:hAnsi="Calibri" w:cs="Calibri"/>
                    <w:sz w:val="22"/>
                    <w:szCs w:val="22"/>
                  </w:rPr>
                  <m:t>PDCCH</m:t>
                </m:r>
                <m:ctrlPr>
                  <w:rPr>
                    <w:rFonts w:ascii="Cambria Math" w:hAnsi="Calibri" w:cs="Calibri"/>
                    <w:sz w:val="22"/>
                    <w:szCs w:val="22"/>
                  </w:rPr>
                </m:ctrlPr>
              </m:sub>
              <m:sup>
                <m:r>
                  <m:rPr>
                    <m:nor/>
                  </m:rPr>
                  <w:rPr>
                    <w:rFonts w:ascii="Cambria Math" w:hAnsi="Calibri" w:cs="Calibri"/>
                    <w:sz w:val="22"/>
                    <w:szCs w:val="22"/>
                  </w:rPr>
                  <m:t>max,(X,Y),</m:t>
                </m:r>
                <m:r>
                  <w:rPr>
                    <w:rFonts w:ascii="Cambria Math" w:hAnsi="Calibri" w:cs="Calibri"/>
                    <w:sz w:val="22"/>
                    <w:szCs w:val="22"/>
                  </w:rPr>
                  <m:t>μ</m:t>
                </m:r>
                <m:ctrlPr>
                  <w:rPr>
                    <w:rFonts w:ascii="Cambria Math" w:hAnsi="Calibri" w:cs="Calibri"/>
                    <w:sz w:val="22"/>
                    <w:szCs w:val="22"/>
                  </w:rPr>
                </m:ctrlPr>
              </m:sup>
            </m:sSubSup>
            <m:r>
              <w:rPr>
                <w:rFonts w:ascii="Cambria Math" w:hAnsi="Cambria Math" w:cs="Cambria Math"/>
                <w:sz w:val="22"/>
                <w:szCs w:val="22"/>
              </w:rPr>
              <m:t>⋅</m:t>
            </m:r>
            <m:f>
              <m:fPr>
                <m:type m:val="lin"/>
                <m:ctrlPr>
                  <w:rPr>
                    <w:rFonts w:ascii="Cambria Math" w:hAnsi="Calibri" w:cs="Calibri"/>
                    <w:i/>
                    <w:sz w:val="22"/>
                    <w:szCs w:val="22"/>
                  </w:rPr>
                </m:ctrlPr>
              </m:fPr>
              <m:num>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DL,(X,Y),μ</m:t>
                    </m:r>
                  </m:sup>
                </m:sSubSup>
              </m:num>
              <m:den>
                <m:nary>
                  <m:naryPr>
                    <m:chr m:val="∑"/>
                    <m:ctrlPr>
                      <w:rPr>
                        <w:rFonts w:ascii="Cambria Math" w:hAnsi="Calibri" w:cs="Calibri"/>
                        <w:i/>
                        <w:sz w:val="22"/>
                        <w:szCs w:val="22"/>
                      </w:rPr>
                    </m:ctrlPr>
                  </m:naryPr>
                  <m:sub>
                    <m:r>
                      <w:rPr>
                        <w:rFonts w:ascii="Cambria Math" w:hAnsi="Calibri" w:cs="Calibri"/>
                        <w:sz w:val="22"/>
                        <w:szCs w:val="22"/>
                      </w:rPr>
                      <m:t>j=0</m:t>
                    </m:r>
                  </m:sub>
                  <m:sup>
                    <m:r>
                      <w:rPr>
                        <w:rFonts w:ascii="Cambria Math" w:hAnsi="Calibri" w:cs="Calibri"/>
                        <w:sz w:val="22"/>
                        <w:szCs w:val="22"/>
                      </w:rPr>
                      <m:t>1</m:t>
                    </m:r>
                  </m:sup>
                  <m:e>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DL,j</m:t>
                        </m:r>
                      </m:sup>
                    </m:sSubSup>
                    <m:ctrlPr>
                      <w:rPr>
                        <w:rFonts w:ascii="Cambria Math" w:hAnsi="Cambria Math" w:cs="Calibri"/>
                        <w:i/>
                        <w:sz w:val="22"/>
                        <w:szCs w:val="22"/>
                      </w:rPr>
                    </m:ctrlPr>
                  </m:e>
                </m:nary>
                <m:ctrlPr>
                  <w:rPr>
                    <w:rFonts w:ascii="Cambria Math" w:hAnsi="Cambria Math" w:cs="Calibri"/>
                    <w:i/>
                    <w:sz w:val="22"/>
                    <w:szCs w:val="22"/>
                  </w:rPr>
                </m:ctrlPr>
              </m:den>
            </m:f>
            <m:ctrlPr>
              <w:rPr>
                <w:rFonts w:ascii="Cambria Math" w:hAnsi="Cambria Math" w:cs="Calibri"/>
                <w:i/>
                <w:sz w:val="22"/>
                <w:szCs w:val="22"/>
              </w:rPr>
            </m:ctrlPr>
          </m:e>
        </m:d>
      </m:oMath>
      <w:r>
        <w:t xml:space="preserve"> non-overlapped CCEs </w:t>
      </w:r>
    </w:p>
    <w:p w14:paraId="3B99EB54" w14:textId="14AF0143" w:rsidR="00616CA6" w:rsidRDefault="00616CA6" w:rsidP="00616CA6">
      <w:pPr>
        <w:pStyle w:val="B1"/>
        <w:rPr>
          <w:lang w:val="en-US"/>
        </w:rPr>
      </w:pPr>
      <w:r>
        <w:rPr>
          <w:lang w:val="en-US"/>
        </w:rPr>
        <w:t>-</w:t>
      </w:r>
      <w:r>
        <w:rPr>
          <w:lang w:val="en-US"/>
        </w:rPr>
        <w:tab/>
      </w:r>
      <w:r>
        <w:t xml:space="preserve">per </w:t>
      </w:r>
      <w:r>
        <w:rPr>
          <w:lang w:val="en-US"/>
        </w:rPr>
        <w:t xml:space="preserve">set of </w:t>
      </w:r>
      <w:r>
        <w:t>span</w:t>
      </w:r>
      <w:r>
        <w:rPr>
          <w:lang w:val="en-US"/>
        </w:rPr>
        <w:t xml:space="preserve">s on the active DL BWP(s) of all </w:t>
      </w:r>
      <w:r>
        <w:t>scheduling cell</w:t>
      </w:r>
      <w:r>
        <w:rPr>
          <w:lang w:val="en-US"/>
        </w:rPr>
        <w:t xml:space="preserve">(s) from the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DL,(X,Y),μ</m:t>
            </m:r>
          </m:sup>
        </m:sSubSup>
      </m:oMath>
      <w:r>
        <w:t xml:space="preserve"> downlink cells</w:t>
      </w:r>
      <w:r w:rsidR="009A1F51">
        <w:rPr>
          <w:lang w:val="en-US"/>
        </w:rPr>
        <w:t xml:space="preserve"> within every </w:t>
      </w:r>
      <m:oMath>
        <m:r>
          <m:rPr>
            <m:sty m:val="p"/>
          </m:rPr>
          <w:rPr>
            <w:rFonts w:ascii="Cambria Math" w:hAnsi="Cambria Math"/>
            <w:lang w:eastAsia="zh-CN"/>
          </w:rPr>
          <m:t>X</m:t>
        </m:r>
      </m:oMath>
      <w:r w:rsidR="009A1F51">
        <w:rPr>
          <w:lang w:val="en-US"/>
        </w:rPr>
        <w:t xml:space="preserve"> symbols</w:t>
      </w:r>
      <w:r>
        <w:rPr>
          <w:lang w:val="en-US"/>
        </w:rPr>
        <w:t>,</w:t>
      </w:r>
      <w:r>
        <w:t xml:space="preserve"> if the </w:t>
      </w:r>
      <w:r>
        <w:rPr>
          <w:lang w:val="en-US"/>
        </w:rPr>
        <w:t>union of PDCCH monitoring occasions</w:t>
      </w:r>
      <w:r>
        <w:t xml:space="preserve"> on all scheduling cells </w:t>
      </w:r>
      <w:r>
        <w:rPr>
          <w:lang w:val="en-US"/>
        </w:rPr>
        <w:t xml:space="preserve">from the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DL,(X,Y),μ</m:t>
            </m:r>
          </m:sup>
        </m:sSubSup>
      </m:oMath>
      <w:r>
        <w:t xml:space="preserve"> downlink cells </w:t>
      </w:r>
      <w:r>
        <w:rPr>
          <w:lang w:val="en-US"/>
        </w:rPr>
        <w:t xml:space="preserve">results to PDCCH monitoring according to the combination </w:t>
      </w:r>
      <m:oMath>
        <m:d>
          <m:dPr>
            <m:ctrlPr>
              <w:rPr>
                <w:rFonts w:ascii="Cambria Math" w:hAnsi="Cambria Math"/>
                <w:lang w:eastAsia="zh-CN"/>
              </w:rPr>
            </m:ctrlPr>
          </m:dPr>
          <m:e>
            <m:r>
              <m:rPr>
                <m:sty m:val="p"/>
              </m:rPr>
              <w:rPr>
                <w:rFonts w:ascii="Cambria Math" w:hAnsi="Cambria Math"/>
                <w:lang w:eastAsia="zh-CN"/>
              </w:rPr>
              <m:t>X,Y</m:t>
            </m:r>
          </m:e>
        </m:d>
      </m:oMath>
      <w:r>
        <w:rPr>
          <w:lang w:val="en-US"/>
        </w:rPr>
        <w:t xml:space="preserve"> </w:t>
      </w:r>
      <w:r>
        <w:rPr>
          <w:rFonts w:eastAsiaTheme="minorEastAsia"/>
          <w:lang w:eastAsia="zh-CN"/>
        </w:rPr>
        <w:t xml:space="preserve">and any pair of spans </w:t>
      </w:r>
      <w:r>
        <w:rPr>
          <w:rFonts w:eastAsiaTheme="minorEastAsia"/>
          <w:lang w:val="en-US" w:eastAsia="zh-CN"/>
        </w:rPr>
        <w:t xml:space="preserve">in the set is </w:t>
      </w:r>
      <w:r>
        <w:rPr>
          <w:rFonts w:eastAsiaTheme="minorEastAsia"/>
          <w:lang w:eastAsia="zh-CN"/>
        </w:rPr>
        <w:t xml:space="preserve">within </w:t>
      </w:r>
      <m:oMath>
        <m:r>
          <w:rPr>
            <w:rFonts w:ascii="Cambria Math" w:eastAsiaTheme="minorEastAsia" w:hAnsi="Cambria Math"/>
            <w:lang w:eastAsia="zh-CN"/>
          </w:rPr>
          <m:t>Y</m:t>
        </m:r>
      </m:oMath>
      <w:r>
        <w:rPr>
          <w:rFonts w:eastAsiaTheme="minorEastAsia"/>
          <w:lang w:eastAsia="zh-CN"/>
        </w:rPr>
        <w:t xml:space="preserve"> symbols</w:t>
      </w:r>
      <w:r>
        <w:t>, where</w:t>
      </w:r>
      <w:r>
        <w:rPr>
          <w:lang w:val="en-US"/>
        </w:rPr>
        <w:t xml:space="preserve"> first </w:t>
      </w:r>
      <m:oMath>
        <m:r>
          <m:rPr>
            <m:sty m:val="p"/>
          </m:rPr>
          <w:rPr>
            <w:rFonts w:ascii="Cambria Math" w:hAnsi="Cambria Math"/>
            <w:lang w:eastAsia="zh-CN"/>
          </w:rPr>
          <m:t>X</m:t>
        </m:r>
      </m:oMath>
      <w:r>
        <w:t xml:space="preserve"> symbols </w:t>
      </w:r>
      <w:r>
        <w:rPr>
          <w:lang w:val="en-US"/>
        </w:rPr>
        <w:t>start</w:t>
      </w:r>
      <w:r>
        <w:t xml:space="preserve"> at </w:t>
      </w:r>
      <w:r>
        <w:rPr>
          <w:lang w:val="en-US"/>
        </w:rPr>
        <w:t>a</w:t>
      </w:r>
      <w:r>
        <w:t xml:space="preserve"> first symbol with </w:t>
      </w:r>
      <w:r>
        <w:rPr>
          <w:lang w:val="en-US"/>
        </w:rPr>
        <w:t xml:space="preserve">a </w:t>
      </w:r>
      <w:r>
        <w:t xml:space="preserve">PDCCH monitoring occasion and </w:t>
      </w:r>
      <w:r>
        <w:rPr>
          <w:lang w:val="en-US"/>
        </w:rPr>
        <w:t xml:space="preserve">next </w:t>
      </w:r>
      <m:oMath>
        <m:r>
          <m:rPr>
            <m:sty m:val="p"/>
          </m:rPr>
          <w:rPr>
            <w:rFonts w:ascii="Cambria Math" w:hAnsi="Cambria Math"/>
            <w:lang w:eastAsia="zh-CN"/>
          </w:rPr>
          <m:t>X</m:t>
        </m:r>
      </m:oMath>
      <w:r>
        <w:t xml:space="preserve"> symbols </w:t>
      </w:r>
      <w:r>
        <w:rPr>
          <w:lang w:val="en-US"/>
        </w:rPr>
        <w:t xml:space="preserve">start at a first symbol with a </w:t>
      </w:r>
      <w:r>
        <w:t>PDCCH monitoring occasion</w:t>
      </w:r>
      <w:r>
        <w:rPr>
          <w:lang w:val="en-US"/>
        </w:rPr>
        <w:t xml:space="preserve"> that is not included in the first </w:t>
      </w:r>
      <m:oMath>
        <m:r>
          <m:rPr>
            <m:sty m:val="p"/>
          </m:rPr>
          <w:rPr>
            <w:rFonts w:ascii="Cambria Math" w:hAnsi="Cambria Math"/>
            <w:lang w:eastAsia="zh-CN"/>
          </w:rPr>
          <m:t>X</m:t>
        </m:r>
      </m:oMath>
      <w:r>
        <w:t xml:space="preserve"> symbols</w:t>
      </w:r>
      <w:r>
        <w:rPr>
          <w:lang w:val="en-US"/>
        </w:rPr>
        <w:t xml:space="preserve"> </w:t>
      </w:r>
    </w:p>
    <w:p w14:paraId="1AE5CEC2" w14:textId="77777777" w:rsidR="00616CA6" w:rsidRDefault="00616CA6" w:rsidP="00616CA6">
      <w:pPr>
        <w:pStyle w:val="B1"/>
        <w:rPr>
          <w:lang w:val="en-US"/>
        </w:rPr>
      </w:pPr>
      <w:r>
        <w:rPr>
          <w:lang w:val="en-US"/>
        </w:rPr>
        <w:t>-</w:t>
      </w:r>
      <w:r>
        <w:rPr>
          <w:lang w:val="en-US"/>
        </w:rPr>
        <w:tab/>
        <w:t xml:space="preserve">per set of spans across the active DL BWP(s) of all scheduling cells from the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DL,(X,Y),μ</m:t>
            </m:r>
          </m:sup>
        </m:sSubSup>
      </m:oMath>
      <w:r>
        <w:t xml:space="preserve"> downlink cells</w:t>
      </w:r>
      <w:r>
        <w:rPr>
          <w:lang w:val="en-US"/>
        </w:rPr>
        <w:t xml:space="preserve">, with at most one span per scheduling cell for each set of spans, otherwise </w:t>
      </w:r>
    </w:p>
    <w:p w14:paraId="7D39A8C3" w14:textId="7159D82F" w:rsidR="00616CA6" w:rsidRPr="00F56BE6" w:rsidRDefault="00616CA6" w:rsidP="00616CA6">
      <w:pPr>
        <w:pStyle w:val="B1"/>
        <w:ind w:left="0" w:firstLine="0"/>
        <w:rPr>
          <w:lang w:val="en-GB"/>
        </w:rPr>
      </w:pPr>
      <w:r>
        <w:rPr>
          <w:lang w:val="en-US"/>
        </w:rPr>
        <w:t xml:space="preserve">where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DL,j</m:t>
            </m:r>
          </m:sup>
        </m:sSubSup>
      </m:oMath>
      <w:r>
        <w:rPr>
          <w:iCs/>
        </w:rPr>
        <w:t xml:space="preserve"> is a number of configured cells with</w:t>
      </w:r>
      <w:r w:rsidR="009A1F51" w:rsidRPr="001A429B">
        <w:t xml:space="preserve"> </w:t>
      </w:r>
      <w:r w:rsidR="009A1F51" w:rsidRPr="001A429B">
        <w:rPr>
          <w:lang w:eastAsia="ko-KR"/>
        </w:rPr>
        <w:t xml:space="preserve">associated PDCCH candidates monitored in the </w:t>
      </w:r>
      <w:r w:rsidR="009A1F51" w:rsidRPr="001A429B">
        <w:t xml:space="preserve">active DL BWPs of the scheduling cells </w:t>
      </w:r>
      <w:r w:rsidR="009A1F51">
        <w:rPr>
          <w:lang w:val="en-US"/>
        </w:rPr>
        <w:t>using</w:t>
      </w:r>
      <w:r>
        <w:rPr>
          <w:iCs/>
        </w:rPr>
        <w:t xml:space="preserve"> SCS configuration </w:t>
      </w:r>
      <m:oMath>
        <m:r>
          <w:rPr>
            <w:rFonts w:ascii="Cambria Math" w:hAnsi="Cambria Math"/>
          </w:rPr>
          <m:t>j</m:t>
        </m:r>
      </m:oMath>
      <w:r>
        <w:t xml:space="preserve">. </w:t>
      </w:r>
      <w:r>
        <w:rPr>
          <w:iCs/>
        </w:rPr>
        <w:t xml:space="preserve">If a UE is configured with downlink cells </w:t>
      </w:r>
      <w:r>
        <w:rPr>
          <w:iCs/>
          <w:lang w:val="en-US"/>
        </w:rPr>
        <w:t xml:space="preserve">for which the UE is provided both </w:t>
      </w:r>
      <w:r>
        <w:rPr>
          <w:i/>
        </w:rPr>
        <w:t>monitoringCapabilityConfig</w:t>
      </w:r>
      <w:r>
        <w:t xml:space="preserve"> = </w:t>
      </w:r>
      <w:r>
        <w:rPr>
          <w:i/>
        </w:rPr>
        <w:t>r15monitoringcapability</w:t>
      </w:r>
      <w:r>
        <w:rPr>
          <w:iCs/>
        </w:rPr>
        <w:t xml:space="preserve"> </w:t>
      </w:r>
      <w:r>
        <w:rPr>
          <w:iCs/>
          <w:lang w:val="en-US"/>
        </w:rPr>
        <w:t xml:space="preserve">and </w:t>
      </w:r>
      <w:r>
        <w:rPr>
          <w:i/>
        </w:rPr>
        <w:t>monitoringCapabilityConfig</w:t>
      </w:r>
      <w:r>
        <w:t xml:space="preserve"> = </w:t>
      </w:r>
      <w:r>
        <w:rPr>
          <w:i/>
        </w:rPr>
        <w:t>r1</w:t>
      </w:r>
      <w:r>
        <w:rPr>
          <w:i/>
          <w:lang w:val="en-US"/>
        </w:rPr>
        <w:t>6</w:t>
      </w:r>
      <w:r>
        <w:rPr>
          <w:i/>
        </w:rPr>
        <w:t>monitoringcapability</w:t>
      </w:r>
      <w:r>
        <w:rPr>
          <w:iCs/>
        </w:rPr>
        <w:t xml:space="preserve">, </w:t>
      </w:r>
      <m:oMath>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m:t>
            </m:r>
            <m:ctrlPr>
              <w:rPr>
                <w:rFonts w:ascii="Cambria Math" w:hAnsi="Calibri" w:cs="Calibri"/>
              </w:rPr>
            </m:ctrlPr>
          </m:sub>
          <m:sup>
            <m:r>
              <m:rPr>
                <m:nor/>
              </m:rPr>
              <w:rPr>
                <w:rFonts w:ascii="Cambria Math" w:hAnsi="Calibri" w:cs="Calibri"/>
              </w:rPr>
              <m:t>cap-r16</m:t>
            </m:r>
            <m:ctrlPr>
              <w:rPr>
                <w:rFonts w:ascii="Cambria Math" w:hAnsi="Calibri" w:cs="Calibri"/>
              </w:rPr>
            </m:ctrlPr>
          </m:sup>
        </m:sSubSup>
      </m:oMath>
      <w:r>
        <w:t xml:space="preserve"> is replaced by </w:t>
      </w:r>
      <m:oMath>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cells,r16</m:t>
            </m:r>
            <m:ctrlPr>
              <w:rPr>
                <w:rFonts w:ascii="Cambria Math" w:hAnsi="Calibri" w:cs="Calibri"/>
              </w:rPr>
            </m:ctrlPr>
          </m:sub>
          <m:sup>
            <m:r>
              <m:rPr>
                <m:nor/>
              </m:rPr>
              <w:rPr>
                <w:rFonts w:ascii="Cambria Math" w:hAnsi="Calibri" w:cs="Calibri"/>
              </w:rPr>
              <m:t>cap-r16</m:t>
            </m:r>
            <m:ctrlPr>
              <w:rPr>
                <w:rFonts w:ascii="Cambria Math" w:hAnsi="Calibri" w:cs="Calibri"/>
              </w:rPr>
            </m:ctrlPr>
          </m:sup>
        </m:sSubSup>
      </m:oMath>
      <w:r>
        <w:t>.</w:t>
      </w:r>
      <w:r w:rsidR="00F56BE6">
        <w:rPr>
          <w:lang w:val="en-GB"/>
        </w:rPr>
        <w:t xml:space="preserve"> </w:t>
      </w:r>
      <w:r w:rsidR="00F56BE6" w:rsidRPr="002247D4">
        <w:rPr>
          <w:rFonts w:hint="eastAsia"/>
          <w:iCs/>
          <w:lang w:eastAsia="zh-CN"/>
        </w:rPr>
        <w:t>I</w:t>
      </w:r>
      <w:r w:rsidR="00F56BE6" w:rsidRPr="002247D4">
        <w:rPr>
          <w:iCs/>
        </w:rPr>
        <w:t xml:space="preserve">f a UE is configured with downlink cells for which the UE is provided both </w:t>
      </w:r>
      <w:r w:rsidR="00F56BE6" w:rsidRPr="002247D4">
        <w:rPr>
          <w:i/>
        </w:rPr>
        <w:t>monitoringCapabilityConfig</w:t>
      </w:r>
      <w:r w:rsidR="00F56BE6" w:rsidRPr="002247D4">
        <w:t xml:space="preserve"> = </w:t>
      </w:r>
      <w:r w:rsidR="00F56BE6" w:rsidRPr="002247D4">
        <w:rPr>
          <w:i/>
        </w:rPr>
        <w:t>r1</w:t>
      </w:r>
      <w:r w:rsidR="00F56BE6" w:rsidRPr="002247D4">
        <w:rPr>
          <w:rFonts w:hint="eastAsia"/>
          <w:i/>
          <w:lang w:eastAsia="zh-CN"/>
        </w:rPr>
        <w:t>6</w:t>
      </w:r>
      <w:r w:rsidR="00F56BE6" w:rsidRPr="002247D4">
        <w:rPr>
          <w:i/>
        </w:rPr>
        <w:t>monitoringcapability</w:t>
      </w:r>
      <w:r w:rsidR="00F56BE6" w:rsidRPr="002247D4">
        <w:rPr>
          <w:iCs/>
        </w:rPr>
        <w:t xml:space="preserve"> and </w:t>
      </w:r>
      <w:r w:rsidR="00F56BE6" w:rsidRPr="002247D4">
        <w:rPr>
          <w:i/>
        </w:rPr>
        <w:t>monitoringCapabilityConfig</w:t>
      </w:r>
      <w:r w:rsidR="00F56BE6" w:rsidRPr="002247D4">
        <w:t xml:space="preserve"> = </w:t>
      </w:r>
      <w:r w:rsidR="00F56BE6" w:rsidRPr="002247D4">
        <w:rPr>
          <w:i/>
        </w:rPr>
        <w:t>r1</w:t>
      </w:r>
      <w:r w:rsidR="00F56BE6" w:rsidRPr="002247D4">
        <w:rPr>
          <w:rFonts w:hint="eastAsia"/>
          <w:i/>
          <w:lang w:eastAsia="zh-CN"/>
        </w:rPr>
        <w:t>7</w:t>
      </w:r>
      <w:r w:rsidR="00F56BE6" w:rsidRPr="002247D4">
        <w:rPr>
          <w:i/>
        </w:rPr>
        <w:t>monitoringcapability</w:t>
      </w:r>
      <w:r w:rsidR="00F56BE6" w:rsidRPr="002247D4">
        <w:rPr>
          <w:i/>
          <w:lang w:eastAsia="zh-CN"/>
        </w:rPr>
        <w:t xml:space="preserve">, </w:t>
      </w:r>
      <m:oMath>
        <m:r>
          <w:rPr>
            <w:rFonts w:ascii="Cambria Math" w:hAnsi="Cambria Math"/>
          </w:rPr>
          <m:t xml:space="preserve"> </m:t>
        </m:r>
        <m:sSubSup>
          <m:sSubSupPr>
            <m:ctrlPr>
              <w:rPr>
                <w:rFonts w:ascii="Cambria Math" w:hAnsi="Cambria Math"/>
                <w:i/>
              </w:rPr>
            </m:ctrlPr>
          </m:sSubSupPr>
          <m:e>
            <m:r>
              <w:rPr>
                <w:rFonts w:ascii="Cambria Math" w:hAnsi="Cambria Math"/>
              </w:rPr>
              <m:t>N</m:t>
            </m:r>
          </m:e>
          <m:sub>
            <m:r>
              <m:rPr>
                <m:nor/>
              </m:rPr>
              <m:t>cells</m:t>
            </m:r>
            <m:ctrlPr>
              <w:rPr>
                <w:rFonts w:ascii="Cambria Math" w:hAnsi="Cambria Math"/>
              </w:rPr>
            </m:ctrlPr>
          </m:sub>
          <m:sup>
            <m:r>
              <m:rPr>
                <m:nor/>
              </m:rPr>
              <m:t>cap</m:t>
            </m:r>
            <m:ctrlPr>
              <w:rPr>
                <w:rFonts w:ascii="Cambria Math" w:hAnsi="Cambria Math"/>
              </w:rPr>
            </m:ctrlPr>
          </m:sup>
        </m:sSubSup>
      </m:oMath>
      <w:r w:rsidR="00F56BE6" w:rsidRPr="002247D4">
        <w:t xml:space="preserve"> is replaced by </w:t>
      </w:r>
      <m:oMath>
        <m:sSubSup>
          <m:sSubSupPr>
            <m:ctrlPr>
              <w:rPr>
                <w:rFonts w:ascii="Cambria Math" w:hAnsi="Cambria Math"/>
                <w:i/>
              </w:rPr>
            </m:ctrlPr>
          </m:sSubSupPr>
          <m:e>
            <m:r>
              <w:rPr>
                <w:rFonts w:ascii="Cambria Math" w:hAnsi="Cambria Math"/>
              </w:rPr>
              <m:t>N</m:t>
            </m:r>
          </m:e>
          <m:sub>
            <m:r>
              <m:rPr>
                <m:nor/>
              </m:rPr>
              <m:t>cells, r16</m:t>
            </m:r>
            <m:r>
              <m:rPr>
                <m:nor/>
              </m:rPr>
              <w:rPr>
                <w:rFonts w:ascii="Cambria Math" w:hint="eastAsia"/>
                <w:lang w:eastAsia="zh-CN"/>
              </w:rPr>
              <m:t>/r17</m:t>
            </m:r>
            <m:ctrlPr>
              <w:rPr>
                <w:rFonts w:ascii="Cambria Math" w:hAnsi="Cambria Math"/>
              </w:rPr>
            </m:ctrlPr>
          </m:sub>
          <m:sup>
            <m:r>
              <m:rPr>
                <m:nor/>
              </m:rPr>
              <m:t>cap-r1</m:t>
            </m:r>
            <m:r>
              <m:rPr>
                <m:nor/>
              </m:rPr>
              <w:rPr>
                <w:rFonts w:ascii="Cambria Math" w:hint="eastAsia"/>
                <w:lang w:eastAsia="zh-CN"/>
              </w:rPr>
              <m:t>7</m:t>
            </m:r>
            <m:ctrlPr>
              <w:rPr>
                <w:rFonts w:ascii="Cambria Math" w:hAnsi="Cambria Math"/>
              </w:rPr>
            </m:ctrlPr>
          </m:sup>
        </m:sSubSup>
      </m:oMath>
      <w:r w:rsidR="00F56BE6" w:rsidRPr="002247D4">
        <w:rPr>
          <w:rFonts w:hint="eastAsia"/>
          <w:i/>
          <w:lang w:eastAsia="zh-CN"/>
        </w:rPr>
        <w:t>.</w:t>
      </w:r>
      <m:oMath>
        <m:r>
          <w:rPr>
            <w:rFonts w:ascii="Cambria Math" w:hAnsi="Cambria Math"/>
          </w:rPr>
          <m:t xml:space="preserve"> </m:t>
        </m:r>
      </m:oMath>
      <w:r w:rsidR="00F56BE6" w:rsidRPr="002247D4">
        <w:rPr>
          <w:rFonts w:hint="eastAsia"/>
          <w:lang w:eastAsia="zh-CN"/>
        </w:rPr>
        <w:t>I</w:t>
      </w:r>
      <w:r w:rsidR="00F56BE6" w:rsidRPr="002247D4">
        <w:rPr>
          <w:iCs/>
        </w:rPr>
        <w:t xml:space="preserve">f a UE is configured with downlink cells for which the UE is provided </w:t>
      </w:r>
      <w:r w:rsidR="00F56BE6" w:rsidRPr="002247D4">
        <w:rPr>
          <w:i/>
        </w:rPr>
        <w:t>monitoringCapabilityConfig</w:t>
      </w:r>
      <w:r w:rsidR="00F56BE6" w:rsidRPr="002247D4">
        <w:t xml:space="preserve"> = </w:t>
      </w:r>
      <w:r w:rsidR="00F56BE6" w:rsidRPr="002247D4">
        <w:rPr>
          <w:i/>
        </w:rPr>
        <w:t>r15monitoringcapability</w:t>
      </w:r>
      <w:r w:rsidR="00F56BE6" w:rsidRPr="002247D4">
        <w:rPr>
          <w:iCs/>
        </w:rPr>
        <w:t xml:space="preserve"> and </w:t>
      </w:r>
      <w:r w:rsidR="00F56BE6" w:rsidRPr="002247D4">
        <w:rPr>
          <w:i/>
        </w:rPr>
        <w:t>monitoringCapabilityConfig</w:t>
      </w:r>
      <w:r w:rsidR="00F56BE6" w:rsidRPr="002247D4">
        <w:t xml:space="preserve"> = </w:t>
      </w:r>
      <w:r w:rsidR="00F56BE6" w:rsidRPr="002247D4">
        <w:rPr>
          <w:i/>
        </w:rPr>
        <w:t>r16monitoringcapability</w:t>
      </w:r>
      <w:r w:rsidR="00F56BE6" w:rsidRPr="002247D4">
        <w:rPr>
          <w:iCs/>
        </w:rPr>
        <w:t xml:space="preserve"> and </w:t>
      </w:r>
      <w:r w:rsidR="00F56BE6" w:rsidRPr="002247D4">
        <w:rPr>
          <w:i/>
        </w:rPr>
        <w:t>monitoringCapabilityConfig</w:t>
      </w:r>
      <w:r w:rsidR="00F56BE6" w:rsidRPr="002247D4">
        <w:t xml:space="preserve"> = </w:t>
      </w:r>
      <w:r w:rsidR="00F56BE6" w:rsidRPr="002247D4">
        <w:rPr>
          <w:i/>
        </w:rPr>
        <w:t>r1</w:t>
      </w:r>
      <w:r w:rsidR="00F56BE6" w:rsidRPr="002247D4">
        <w:rPr>
          <w:rFonts w:hint="eastAsia"/>
          <w:i/>
          <w:lang w:eastAsia="zh-CN"/>
        </w:rPr>
        <w:t>7</w:t>
      </w:r>
      <w:r w:rsidR="00F56BE6" w:rsidRPr="002247D4">
        <w:rPr>
          <w:i/>
        </w:rPr>
        <w:t>monitoringcapability</w:t>
      </w:r>
      <w:r w:rsidR="00F56BE6" w:rsidRPr="002247D4">
        <w:rPr>
          <w:i/>
          <w:lang w:eastAsia="zh-CN"/>
        </w:rPr>
        <w:t xml:space="preserve">, </w:t>
      </w:r>
      <m:oMath>
        <m:r>
          <w:rPr>
            <w:rFonts w:ascii="Cambria Math" w:hAnsi="Cambria Math"/>
          </w:rPr>
          <m:t xml:space="preserve"> </m:t>
        </m:r>
        <m:sSubSup>
          <m:sSubSupPr>
            <m:ctrlPr>
              <w:rPr>
                <w:rFonts w:ascii="Cambria Math" w:hAnsi="Cambria Math"/>
                <w:i/>
              </w:rPr>
            </m:ctrlPr>
          </m:sSubSupPr>
          <m:e>
            <m:r>
              <w:rPr>
                <w:rFonts w:ascii="Cambria Math" w:hAnsi="Cambria Math"/>
              </w:rPr>
              <m:t>N</m:t>
            </m:r>
          </m:e>
          <m:sub>
            <m:r>
              <m:rPr>
                <m:nor/>
              </m:rPr>
              <m:t>cells</m:t>
            </m:r>
            <m:ctrlPr>
              <w:rPr>
                <w:rFonts w:ascii="Cambria Math" w:hAnsi="Cambria Math"/>
              </w:rPr>
            </m:ctrlPr>
          </m:sub>
          <m:sup>
            <m:r>
              <m:rPr>
                <m:nor/>
              </m:rPr>
              <m:t>cap</m:t>
            </m:r>
            <m:ctrlPr>
              <w:rPr>
                <w:rFonts w:ascii="Cambria Math" w:hAnsi="Cambria Math"/>
              </w:rPr>
            </m:ctrlPr>
          </m:sup>
        </m:sSubSup>
      </m:oMath>
      <w:r w:rsidR="00F56BE6" w:rsidRPr="002247D4">
        <w:t xml:space="preserve"> is replaced by </w:t>
      </w:r>
      <m:oMath>
        <m:sSubSup>
          <m:sSubSupPr>
            <m:ctrlPr>
              <w:rPr>
                <w:rFonts w:ascii="Cambria Math" w:hAnsi="Cambria Math"/>
                <w:i/>
              </w:rPr>
            </m:ctrlPr>
          </m:sSubSupPr>
          <m:e>
            <m:r>
              <w:rPr>
                <w:rFonts w:ascii="Cambria Math" w:hAnsi="Cambria Math"/>
              </w:rPr>
              <m:t>N</m:t>
            </m:r>
          </m:e>
          <m:sub>
            <m:r>
              <m:rPr>
                <m:nor/>
              </m:rPr>
              <m:t>cells, r16</m:t>
            </m:r>
            <m:r>
              <m:rPr>
                <m:nor/>
              </m:rPr>
              <w:rPr>
                <w:rFonts w:ascii="Cambria Math"/>
                <w:lang w:eastAsia="zh-CN"/>
              </w:rPr>
              <m:t>/ {</m:t>
            </m:r>
            <m:r>
              <m:rPr>
                <m:nor/>
              </m:rPr>
              <w:rPr>
                <w:rFonts w:ascii="Cambria Math" w:hint="eastAsia"/>
                <w:lang w:eastAsia="zh-CN"/>
              </w:rPr>
              <m:t>r15</m:t>
            </m:r>
            <m:r>
              <m:rPr>
                <m:nor/>
              </m:rPr>
              <w:rPr>
                <w:rFonts w:ascii="Cambria Math"/>
                <w:lang w:eastAsia="zh-CN"/>
              </w:rPr>
              <m:t xml:space="preserve">, r17} </m:t>
            </m:r>
            <m:ctrlPr>
              <w:rPr>
                <w:rFonts w:ascii="Cambria Math" w:hAnsi="Cambria Math"/>
              </w:rPr>
            </m:ctrlPr>
          </m:sub>
          <m:sup>
            <m:r>
              <m:rPr>
                <m:nor/>
              </m:rPr>
              <m:t>cap-r1</m:t>
            </m:r>
            <m:r>
              <m:rPr>
                <m:nor/>
              </m:rPr>
              <w:rPr>
                <w:rFonts w:ascii="Cambria Math" w:hint="eastAsia"/>
                <w:lang w:eastAsia="zh-CN"/>
              </w:rPr>
              <m:t>7</m:t>
            </m:r>
            <m:ctrlPr>
              <w:rPr>
                <w:rFonts w:ascii="Cambria Math" w:hAnsi="Cambria Math"/>
              </w:rPr>
            </m:ctrlPr>
          </m:sup>
        </m:sSubSup>
      </m:oMath>
      <w:r w:rsidR="00F56BE6" w:rsidRPr="002247D4">
        <w:rPr>
          <w:rFonts w:hint="eastAsia"/>
          <w:i/>
          <w:lang w:eastAsia="zh-CN"/>
        </w:rPr>
        <w:t>.</w:t>
      </w:r>
    </w:p>
    <w:p w14:paraId="36254BAF" w14:textId="646DED57" w:rsidR="007A4E4D" w:rsidRDefault="007A4E4D" w:rsidP="007A4E4D">
      <w:pPr>
        <w:rPr>
          <w:lang w:val="en-US"/>
        </w:rPr>
      </w:pPr>
      <w:r>
        <w:rPr>
          <w:lang w:val="en-US"/>
        </w:rPr>
        <w:t>For each scheduled cell</w:t>
      </w:r>
      <w:r w:rsidR="009A1F51">
        <w:rPr>
          <w:lang w:val="en-US"/>
        </w:rPr>
        <w:t xml:space="preserve"> from the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cells,r16</m:t>
            </m:r>
          </m:sub>
          <m:sup>
            <m:r>
              <m:rPr>
                <m:sty m:val="p"/>
              </m:rPr>
              <w:rPr>
                <w:rFonts w:ascii="Cambria Math" w:hAnsi="Cambria Math"/>
                <w:color w:val="000000"/>
              </w:rPr>
              <m:t>DL,(X,Y),μ</m:t>
            </m:r>
          </m:sup>
        </m:sSubSup>
      </m:oMath>
      <w:r w:rsidR="009A1F51">
        <w:t xml:space="preserve"> downlink cells</w:t>
      </w:r>
      <w:r w:rsidR="009A1F51">
        <w:rPr>
          <w:lang w:val="en-US"/>
        </w:rPr>
        <w:t xml:space="preserve"> using combination </w:t>
      </w:r>
      <m:oMath>
        <m:d>
          <m:dPr>
            <m:ctrlPr>
              <w:rPr>
                <w:rFonts w:ascii="Cambria Math" w:hAnsi="Cambria Math"/>
                <w:lang w:eastAsia="zh-CN"/>
              </w:rPr>
            </m:ctrlPr>
          </m:dPr>
          <m:e>
            <m:r>
              <m:rPr>
                <m:sty m:val="p"/>
              </m:rPr>
              <w:rPr>
                <w:rFonts w:ascii="Cambria Math" w:hAnsi="Cambria Math"/>
                <w:lang w:eastAsia="zh-CN"/>
              </w:rPr>
              <m:t>X,Y</m:t>
            </m:r>
          </m:e>
        </m:d>
      </m:oMath>
      <w:r>
        <w:rPr>
          <w:lang w:val="en-US"/>
        </w:rPr>
        <w:t xml:space="preserve">, the UE is not required to monitor on the active DL BWP </w:t>
      </w:r>
      <w:r>
        <w:rPr>
          <w:lang w:eastAsia="ko-KR"/>
        </w:rPr>
        <w:t xml:space="preserve">with </w:t>
      </w:r>
      <w:r>
        <w:t xml:space="preserve">SCS configuration </w:t>
      </w:r>
      <m:oMath>
        <m:r>
          <w:rPr>
            <w:rFonts w:ascii="Cambria Math" w:hAnsi="Cambria Math"/>
          </w:rPr>
          <m:t>μ</m:t>
        </m:r>
      </m:oMath>
      <w:r>
        <w:t xml:space="preserve"> </w:t>
      </w:r>
      <w:r>
        <w:rPr>
          <w:lang w:val="en-US"/>
        </w:rPr>
        <w:t>of the scheduling cell</w:t>
      </w:r>
      <w:r>
        <w:rPr>
          <w:lang w:eastAsia="zh-CN"/>
        </w:rPr>
        <w:t>,</w:t>
      </w:r>
      <w:r>
        <w:rPr>
          <w:lang w:val="en-US"/>
        </w:rPr>
        <w:t xml:space="preserve"> more than </w:t>
      </w:r>
      <m:oMath>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m:rPr>
                        <m:sty m:val="p"/>
                      </m:rPr>
                      <w:rPr>
                        <w:rFonts w:ascii="Cambria Math" w:hAnsi="Cambria Math"/>
                      </w:rPr>
                      <m:t>PDCCH</m:t>
                    </m:r>
                    <m:ctrlPr>
                      <w:rPr>
                        <w:rFonts w:ascii="Cambria Math" w:hAnsi="Cambria Math"/>
                      </w:rPr>
                    </m:ctrlPr>
                  </m:sub>
                  <m:sup>
                    <m:r>
                      <m:rPr>
                        <m:sty m:val="p"/>
                      </m:rPr>
                      <w:rPr>
                        <w:rFonts w:ascii="Cambria Math" w:hAnsi="Cambria Math"/>
                      </w:rPr>
                      <m:t>max,</m:t>
                    </m:r>
                    <m:r>
                      <m:rPr>
                        <m:sty m:val="p"/>
                      </m:rPr>
                      <w:rPr>
                        <w:rFonts w:ascii="Cambria Math" w:hAnsi="Cambria Math"/>
                        <w:color w:val="000000"/>
                      </w:rPr>
                      <m:t>(X,Y)</m:t>
                    </m:r>
                    <m:r>
                      <m:rPr>
                        <m:sty m:val="p"/>
                      </m:rPr>
                      <w:rPr>
                        <w:rFonts w:ascii="Cambria Math" w:hAnsi="Cambria Math"/>
                      </w:rPr>
                      <m:t>,</m:t>
                    </m:r>
                    <m:r>
                      <w:rPr>
                        <w:rFonts w:ascii="Cambria Math" w:hAns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M</m:t>
                    </m:r>
                  </m:e>
                  <m:sub>
                    <m:r>
                      <m:rPr>
                        <m:sty m:val="p"/>
                      </m:rPr>
                      <w:rPr>
                        <w:rFonts w:ascii="Cambria Math" w:hAnsi="Cambria Math"/>
                      </w:rPr>
                      <m:t>PDCCH</m:t>
                    </m:r>
                    <m:ctrlPr>
                      <w:rPr>
                        <w:rFonts w:ascii="Cambria Math" w:hAnsi="Cambria Math"/>
                      </w:rPr>
                    </m:ctrlPr>
                  </m:sub>
                  <m:sup>
                    <m:r>
                      <m:rPr>
                        <m:sty m:val="p"/>
                      </m:rPr>
                      <w:rPr>
                        <w:rFonts w:ascii="Cambria Math" w:hAnsi="Cambria Math"/>
                      </w:rPr>
                      <m:t>total,</m:t>
                    </m:r>
                    <m:r>
                      <m:rPr>
                        <m:sty m:val="p"/>
                      </m:rPr>
                      <w:rPr>
                        <w:rFonts w:ascii="Cambria Math" w:hAnsi="Cambria Math"/>
                        <w:color w:val="000000"/>
                      </w:rPr>
                      <m:t>(X,Y)</m:t>
                    </m:r>
                    <m:r>
                      <m:rPr>
                        <m:sty m:val="p"/>
                      </m:rPr>
                      <w:rPr>
                        <w:rFonts w:ascii="Cambria Math" w:hAnsi="Cambria Math"/>
                      </w:rPr>
                      <m:t>,</m:t>
                    </m:r>
                    <m:r>
                      <w:rPr>
                        <w:rFonts w:ascii="Cambria Math" w:hAnsi="Cambria Math"/>
                      </w:rPr>
                      <m:t>μ</m:t>
                    </m:r>
                    <m:ctrlPr>
                      <w:rPr>
                        <w:rFonts w:ascii="Cambria Math" w:hAnsi="Cambria Math"/>
                      </w:rPr>
                    </m:ctrlPr>
                  </m:sup>
                </m:sSubSup>
              </m:e>
            </m:d>
          </m:e>
        </m:func>
      </m:oMath>
      <w:r>
        <w:rPr>
          <w:lang w:val="en-US"/>
        </w:rPr>
        <w:t xml:space="preserve"> </w:t>
      </w:r>
      <w:r>
        <w:t>PDCCH candidates or more than</w:t>
      </w:r>
      <w:r>
        <w:rPr>
          <w:lang w:val="en-US"/>
        </w:rPr>
        <w:t xml:space="preserve"> </w:t>
      </w:r>
      <m:oMath>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m:rPr>
                        <m:sty m:val="p"/>
                      </m:rPr>
                      <w:rPr>
                        <w:rFonts w:ascii="Cambria Math" w:hAnsi="Cambria Math"/>
                      </w:rPr>
                      <m:t>PDCCH</m:t>
                    </m:r>
                    <m:ctrlPr>
                      <w:rPr>
                        <w:rFonts w:ascii="Cambria Math" w:hAnsi="Cambria Math"/>
                      </w:rPr>
                    </m:ctrlPr>
                  </m:sub>
                  <m:sup>
                    <m:r>
                      <m:rPr>
                        <m:sty m:val="p"/>
                      </m:rPr>
                      <w:rPr>
                        <w:rFonts w:ascii="Cambria Math" w:hAnsi="Cambria Math"/>
                      </w:rPr>
                      <m:t>max,</m:t>
                    </m:r>
                    <m:r>
                      <m:rPr>
                        <m:sty m:val="p"/>
                      </m:rPr>
                      <w:rPr>
                        <w:rFonts w:ascii="Cambria Math" w:hAnsi="Cambria Math"/>
                        <w:color w:val="000000"/>
                      </w:rPr>
                      <m:t>(X,Y)</m:t>
                    </m:r>
                    <m:r>
                      <m:rPr>
                        <m:sty m:val="p"/>
                      </m:rPr>
                      <w:rPr>
                        <w:rFonts w:ascii="Cambria Math" w:hAnsi="Cambria Math"/>
                      </w:rPr>
                      <m:t>,</m:t>
                    </m:r>
                    <m:r>
                      <w:rPr>
                        <w:rFonts w:ascii="Cambria Math" w:hAns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C</m:t>
                    </m:r>
                  </m:e>
                  <m:sub>
                    <m:r>
                      <m:rPr>
                        <m:sty m:val="p"/>
                      </m:rPr>
                      <w:rPr>
                        <w:rFonts w:ascii="Cambria Math" w:hAnsi="Cambria Math"/>
                      </w:rPr>
                      <m:t>PDCCH</m:t>
                    </m:r>
                    <m:ctrlPr>
                      <w:rPr>
                        <w:rFonts w:ascii="Cambria Math" w:hAnsi="Cambria Math"/>
                      </w:rPr>
                    </m:ctrlPr>
                  </m:sub>
                  <m:sup>
                    <m:r>
                      <m:rPr>
                        <m:sty m:val="p"/>
                      </m:rPr>
                      <w:rPr>
                        <w:rFonts w:ascii="Cambria Math" w:hAnsi="Cambria Math"/>
                      </w:rPr>
                      <m:t>total,</m:t>
                    </m:r>
                    <m:r>
                      <m:rPr>
                        <m:sty m:val="p"/>
                      </m:rPr>
                      <w:rPr>
                        <w:rFonts w:ascii="Cambria Math" w:hAnsi="Cambria Math"/>
                        <w:color w:val="000000"/>
                      </w:rPr>
                      <m:t>(X,Y)</m:t>
                    </m:r>
                    <m:r>
                      <m:rPr>
                        <m:sty m:val="p"/>
                      </m:rPr>
                      <w:rPr>
                        <w:rFonts w:ascii="Cambria Math" w:hAnsi="Cambria Math"/>
                      </w:rPr>
                      <m:t>,</m:t>
                    </m:r>
                    <m:r>
                      <w:rPr>
                        <w:rFonts w:ascii="Cambria Math" w:hAnsi="Cambria Math"/>
                      </w:rPr>
                      <m:t>μ</m:t>
                    </m:r>
                    <m:ctrlPr>
                      <w:rPr>
                        <w:rFonts w:ascii="Cambria Math" w:hAnsi="Cambria Math"/>
                      </w:rPr>
                    </m:ctrlPr>
                  </m:sup>
                </m:sSubSup>
              </m:e>
            </m:d>
          </m:e>
        </m:func>
      </m:oMath>
      <w:r>
        <w:t xml:space="preserve"> non-overlapped CCEs per span.</w:t>
      </w:r>
    </w:p>
    <w:p w14:paraId="1C605097" w14:textId="70E7FD1C" w:rsidR="009919DB" w:rsidRDefault="009919DB" w:rsidP="009919DB">
      <w:r>
        <w:t xml:space="preserve">A UE does not expect to be configured </w:t>
      </w:r>
      <w:r w:rsidR="009924E4" w:rsidRPr="00D20E88">
        <w:t>CSS</w:t>
      </w:r>
      <w:r>
        <w:t xml:space="preserve"> sets</w:t>
      </w:r>
      <w:r w:rsidR="008A4F2C" w:rsidRPr="00B06CC2">
        <w:t xml:space="preserve">, except for CSS sets </w:t>
      </w:r>
      <w:r w:rsidR="008A4F2C">
        <w:t>provided by</w:t>
      </w:r>
      <w:r w:rsidR="00DB4346">
        <w:t xml:space="preserve"> </w:t>
      </w:r>
      <w:r w:rsidR="005405DB" w:rsidRPr="00497077">
        <w:rPr>
          <w:i/>
          <w:iCs/>
        </w:rPr>
        <w:t>searchSpaceMCCH</w:t>
      </w:r>
      <w:r w:rsidR="005405DB" w:rsidRPr="00497077">
        <w:t xml:space="preserve">, </w:t>
      </w:r>
      <w:r w:rsidR="005405DB" w:rsidRPr="00497077">
        <w:rPr>
          <w:i/>
          <w:iCs/>
        </w:rPr>
        <w:t>searchSpaceMTCH</w:t>
      </w:r>
      <w:r w:rsidR="004F1F38">
        <w:t xml:space="preserve">, </w:t>
      </w:r>
      <w:r w:rsidR="004F1F38" w:rsidRPr="00845D26">
        <w:rPr>
          <w:i/>
          <w:iCs/>
        </w:rPr>
        <w:t>searchSpaceMulticastMCCH</w:t>
      </w:r>
      <w:r w:rsidR="004F1F38" w:rsidRPr="00F34A38">
        <w:t xml:space="preserve">, </w:t>
      </w:r>
      <w:r w:rsidR="004F1F38" w:rsidRPr="00845D26">
        <w:rPr>
          <w:i/>
          <w:iCs/>
        </w:rPr>
        <w:t>searchSpaceMulticastMTCH</w:t>
      </w:r>
      <w:r w:rsidR="00DB4346" w:rsidRPr="00B5231D">
        <w:rPr>
          <w:i/>
          <w:iCs/>
        </w:rPr>
        <w:t xml:space="preserve"> </w:t>
      </w:r>
      <w:r w:rsidR="00DB4346">
        <w:t>or by</w:t>
      </w:r>
      <w:r w:rsidR="008A4F2C">
        <w:t xml:space="preserve"> </w:t>
      </w:r>
      <w:r w:rsidR="005405DB" w:rsidRPr="00497077">
        <w:rPr>
          <w:i/>
          <w:iCs/>
          <w:lang w:eastAsia="zh-CN"/>
        </w:rPr>
        <w:t>SearchSpace</w:t>
      </w:r>
      <w:r w:rsidR="005405DB" w:rsidRPr="00497077">
        <w:rPr>
          <w:lang w:eastAsia="zh-CN"/>
        </w:rPr>
        <w:t xml:space="preserve"> in </w:t>
      </w:r>
      <w:r w:rsidR="007C0D4B">
        <w:rPr>
          <w:i/>
          <w:iCs/>
          <w:lang w:eastAsia="zh-CN"/>
        </w:rPr>
        <w:t>pdcch</w:t>
      </w:r>
      <w:r w:rsidR="005405DB" w:rsidRPr="00497077">
        <w:rPr>
          <w:i/>
          <w:iCs/>
          <w:lang w:eastAsia="zh-CN"/>
        </w:rPr>
        <w:t>-ConfigMulticast</w:t>
      </w:r>
      <w:r w:rsidR="005405DB" w:rsidRPr="00497077">
        <w:t xml:space="preserve"> for DCI formats with CRC scrambled by G-RNTI or G-CS-RNTI</w:t>
      </w:r>
      <w:r w:rsidR="008A4F2C" w:rsidRPr="00B06CC2">
        <w:t>,</w:t>
      </w:r>
      <w:r>
        <w:t xml:space="preserve"> that result to corresponding total</w:t>
      </w:r>
      <w:r w:rsidR="009924E4">
        <w:t>,</w:t>
      </w:r>
      <w:r w:rsidR="009924E4" w:rsidRPr="003A7B1C">
        <w:t xml:space="preserve"> </w:t>
      </w:r>
      <w:r w:rsidR="009924E4">
        <w:t>or per scheduled cell,</w:t>
      </w:r>
      <w:r>
        <w:t xml:space="preserve"> numbers of monitored PDCCH candidates and non-overlapped CCEs per slot</w:t>
      </w:r>
      <w:r w:rsidR="005C7400" w:rsidRPr="00B27E56">
        <w:t xml:space="preserve">, per 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sidR="005C7400" w:rsidRPr="00B27E56">
        <w:rPr>
          <w:lang w:eastAsia="zh-CN"/>
        </w:rPr>
        <w:t xml:space="preserve"> </w:t>
      </w:r>
      <w:r w:rsidR="005C7400" w:rsidRPr="00B27E56">
        <w:t xml:space="preserve">slots for a corresponding combination </w:t>
      </w:r>
      <m:oMath>
        <m:d>
          <m:dPr>
            <m:ctrlPr>
              <w:rPr>
                <w:rFonts w:ascii="Cambria Math" w:hAnsi="Cambria Math"/>
                <w:i/>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e>
        </m:d>
      </m:oMath>
      <w:r w:rsidR="005C7400" w:rsidRPr="00B27E56">
        <w:rPr>
          <w:lang w:eastAsia="zh-CN"/>
        </w:rPr>
        <w:t>,</w:t>
      </w:r>
      <w:r>
        <w:t xml:space="preserve"> </w:t>
      </w:r>
      <w:r w:rsidR="007A4E4D">
        <w:t xml:space="preserve">or per span </w:t>
      </w:r>
      <w:r>
        <w:t>that exceed the corresponding maximum numbers per slot</w:t>
      </w:r>
      <w:r w:rsidR="005C7400" w:rsidRPr="00B27E56">
        <w:t xml:space="preserve">, or per 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sidR="005C7400" w:rsidRPr="00B27E56">
        <w:rPr>
          <w:lang w:eastAsia="zh-CN"/>
        </w:rPr>
        <w:t xml:space="preserve"> </w:t>
      </w:r>
      <w:r w:rsidR="005C7400" w:rsidRPr="00B27E56">
        <w:t xml:space="preserve">slots for a corresponding combination </w:t>
      </w:r>
      <m:oMath>
        <m:d>
          <m:dPr>
            <m:ctrlPr>
              <w:rPr>
                <w:rFonts w:ascii="Cambria Math" w:hAnsi="Cambria Math"/>
                <w:i/>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e>
        </m:d>
      </m:oMath>
      <w:r w:rsidR="005C7400" w:rsidRPr="00B27E56">
        <w:rPr>
          <w:lang w:eastAsia="zh-CN"/>
        </w:rPr>
        <w:t>,</w:t>
      </w:r>
      <w:r w:rsidR="007A4E4D">
        <w:t xml:space="preserve"> or per span, respectively</w:t>
      </w:r>
      <w:r>
        <w:t>.</w:t>
      </w:r>
    </w:p>
    <w:p w14:paraId="36006B9A" w14:textId="0980C1AE" w:rsidR="007E0F25" w:rsidRPr="00A24776" w:rsidRDefault="009919DB" w:rsidP="007E0F25">
      <w:r>
        <w:t>For same cell scheduling</w:t>
      </w:r>
      <w:r w:rsidR="009924E4">
        <w:t xml:space="preserve"> </w:t>
      </w:r>
      <w:r w:rsidR="009924E4" w:rsidRPr="00D20E88">
        <w:t xml:space="preserve">or </w:t>
      </w:r>
      <w:r w:rsidR="009924E4" w:rsidRPr="00D20E88">
        <w:rPr>
          <w:lang w:eastAsia="ja-JP"/>
        </w:rPr>
        <w:t>for cross-carrier scheduling</w:t>
      </w:r>
      <w:r>
        <w:t>, a UE does not expect a number of PDCCH candidates, and a number of corresponding non-overlapped CCEs per slot</w:t>
      </w:r>
      <w:r w:rsidR="00670E7E">
        <w:t xml:space="preserve">, or per 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sidR="00670E7E">
        <w:rPr>
          <w:lang w:eastAsia="zh-CN"/>
        </w:rPr>
        <w:t xml:space="preserve"> slots </w:t>
      </w:r>
      <w:r w:rsidR="00670E7E">
        <w:t xml:space="preserve">for a corresponding combination </w:t>
      </w:r>
      <m:oMath>
        <m:d>
          <m:dPr>
            <m:ctrlPr>
              <w:rPr>
                <w:rFonts w:ascii="Cambria Math" w:hAnsi="Cambria Math"/>
                <w:i/>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e>
        </m:d>
      </m:oMath>
      <w:r w:rsidR="00670E7E">
        <w:t>,</w:t>
      </w:r>
      <w:r>
        <w:t xml:space="preserve"> </w:t>
      </w:r>
      <w:r w:rsidR="00E62748">
        <w:t>or per span</w:t>
      </w:r>
      <w:r w:rsidR="00670E7E">
        <w:t>,</w:t>
      </w:r>
      <w:r w:rsidR="00E62748">
        <w:t xml:space="preserve"> </w:t>
      </w:r>
      <w:r>
        <w:t>on a secondary cell to be larger than the corresponding numbers that the UE is capable of monitoring on the secondary cell per slot</w:t>
      </w:r>
      <w:r w:rsidR="00670E7E">
        <w:t>,</w:t>
      </w:r>
      <w:r w:rsidR="00670E7E" w:rsidRPr="00B065D9">
        <w:t xml:space="preserve"> </w:t>
      </w:r>
      <w:r w:rsidR="00670E7E">
        <w:t xml:space="preserve">or per 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sidR="00670E7E">
        <w:rPr>
          <w:lang w:eastAsia="zh-CN"/>
        </w:rPr>
        <w:t xml:space="preserve"> slots </w:t>
      </w:r>
      <w:r w:rsidR="00670E7E">
        <w:t xml:space="preserve">for a corresponding combination </w:t>
      </w:r>
      <m:oMath>
        <m:d>
          <m:dPr>
            <m:ctrlPr>
              <w:rPr>
                <w:rFonts w:ascii="Cambria Math" w:hAnsi="Cambria Math"/>
                <w:i/>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e>
        </m:d>
      </m:oMath>
      <w:r w:rsidR="00670E7E">
        <w:t>,</w:t>
      </w:r>
      <w:r w:rsidR="00E62748">
        <w:t xml:space="preserve"> or per span, respectively. If a UE is </w:t>
      </w:r>
      <w:r w:rsidR="00E62748">
        <w:rPr>
          <w:lang w:eastAsia="ko-KR"/>
        </w:rPr>
        <w:t xml:space="preserve">provided </w:t>
      </w:r>
      <w:r w:rsidR="00C435AF">
        <w:rPr>
          <w:i/>
        </w:rPr>
        <w:t>monitoringCapabilityConfig</w:t>
      </w:r>
      <w:r w:rsidR="00C435AF">
        <w:t xml:space="preserve"> </w:t>
      </w:r>
      <w:r w:rsidR="00E62748">
        <w:t xml:space="preserve">= </w:t>
      </w:r>
      <w:r w:rsidR="00E62748">
        <w:rPr>
          <w:i/>
        </w:rPr>
        <w:t>r1</w:t>
      </w:r>
      <w:r w:rsidR="00E62748">
        <w:rPr>
          <w:i/>
          <w:lang w:val="en-US"/>
        </w:rPr>
        <w:t>6</w:t>
      </w:r>
      <w:r w:rsidR="00E62748">
        <w:rPr>
          <w:i/>
        </w:rPr>
        <w:t>monitoringcapability</w:t>
      </w:r>
      <w:r w:rsidR="00E62748">
        <w:t xml:space="preserve"> for the primary cell, except the first span of each slot, the UE does not expect a number of PDCCH candidates and a number of corresponding non-overlapped CCEs per span on the primary cell to be larger than the corresponding numbers that the UE is capable of monitoring on the primary cell per span</w:t>
      </w:r>
      <w:r>
        <w:t xml:space="preserve">. </w:t>
      </w:r>
    </w:p>
    <w:p w14:paraId="7C9B07C2" w14:textId="606D6D27" w:rsidR="00837BC4" w:rsidRDefault="00837BC4" w:rsidP="00837BC4">
      <w:pPr>
        <w:spacing w:line="256" w:lineRule="auto"/>
        <w:rPr>
          <w:lang w:eastAsia="ko-KR"/>
        </w:rPr>
      </w:pPr>
      <w:r w:rsidRPr="00F66CE9">
        <w:rPr>
          <w:lang w:eastAsia="ko-KR"/>
        </w:rPr>
        <w:t xml:space="preserve">If a UE </w:t>
      </w:r>
      <w:r w:rsidRPr="00F66CE9">
        <w:t xml:space="preserve">is configured with </w:t>
      </w:r>
      <m:oMath>
        <m:sSubSup>
          <m:sSubSupPr>
            <m:ctrlPr>
              <w:rPr>
                <w:rFonts w:ascii="Cambria Math" w:hAnsi="Cambria Math"/>
                <w:i/>
              </w:rPr>
            </m:ctrlPr>
          </m:sSubSupPr>
          <m:e>
            <m:r>
              <w:rPr>
                <w:rFonts w:ascii="Cambria Math"/>
              </w:rPr>
              <m:t>N</m:t>
            </m:r>
          </m:e>
          <m:sub>
            <m:r>
              <m:rPr>
                <m:nor/>
              </m:rPr>
              <w:rPr>
                <w:rFonts w:ascii="Cambria Math"/>
              </w:rPr>
              <m:t>cells,r17,0</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cells,r17,1</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oMath>
      <w:r w:rsidRPr="00F66CE9">
        <w:t xml:space="preserve"> downlink cells </w:t>
      </w:r>
      <w:r>
        <w:t>f</w:t>
      </w:r>
      <w:r w:rsidRPr="00A51D05">
        <w:rPr>
          <w:rFonts w:eastAsia="Times New Roman"/>
          <w:iCs/>
        </w:rPr>
        <w:t xml:space="preserve">or which the UE is provided </w:t>
      </w:r>
      <w:r w:rsidRPr="00A51D05">
        <w:rPr>
          <w:rFonts w:eastAsia="Times New Roman"/>
          <w:i/>
        </w:rPr>
        <w:t>monitoringCapabilityConfig</w:t>
      </w:r>
      <w:r w:rsidRPr="00A51D05">
        <w:rPr>
          <w:rFonts w:eastAsia="Times New Roman"/>
        </w:rPr>
        <w:t xml:space="preserve"> = </w:t>
      </w:r>
      <w:r w:rsidRPr="00A51D05">
        <w:rPr>
          <w:rFonts w:eastAsia="Times New Roman"/>
          <w:i/>
        </w:rPr>
        <w:t>r17monitoringcapability</w:t>
      </w:r>
      <w:r w:rsidRPr="00A51D05">
        <w:rPr>
          <w:rFonts w:eastAsia="Times New Roman"/>
          <w:iCs/>
        </w:rPr>
        <w:t xml:space="preserve"> </w:t>
      </w:r>
      <w:r w:rsidR="00945024" w:rsidRPr="00B56B4C">
        <w:rPr>
          <w:iCs/>
          <w:color w:val="000000" w:themeColor="text1"/>
        </w:rPr>
        <w:t xml:space="preserve">and </w:t>
      </w:r>
      <w:r w:rsidR="00945024" w:rsidRPr="00B56B4C">
        <w:rPr>
          <w:color w:val="000000" w:themeColor="text1"/>
        </w:rPr>
        <w:t xml:space="preserve">with </w:t>
      </w:r>
      <w:r w:rsidR="00945024" w:rsidRPr="00B56B4C">
        <w:rPr>
          <w:color w:val="000000" w:themeColor="text1"/>
          <w:lang w:eastAsia="ko-KR"/>
        </w:rPr>
        <w:t>associated PDCCH candidates monitored</w:t>
      </w:r>
      <w:r w:rsidR="00945024">
        <w:rPr>
          <w:color w:val="000000" w:themeColor="text1"/>
          <w:lang w:eastAsia="ko-KR"/>
        </w:rPr>
        <w:t xml:space="preserve"> in</w:t>
      </w:r>
      <w:r w:rsidRPr="00A51D05">
        <w:rPr>
          <w:rFonts w:eastAsia="Times New Roman"/>
          <w:iCs/>
        </w:rPr>
        <w:t xml:space="preserve"> </w:t>
      </w:r>
      <w:r w:rsidRPr="00F66CE9">
        <w:rPr>
          <w:lang w:eastAsia="ko-KR"/>
        </w:rPr>
        <w:t xml:space="preserve">the </w:t>
      </w:r>
      <w:r w:rsidRPr="00F66CE9">
        <w:t>active DL BWPs of the scheduling cells</w:t>
      </w:r>
      <w:r w:rsidR="00945024" w:rsidRPr="00945024">
        <w:rPr>
          <w:color w:val="000000" w:themeColor="text1"/>
        </w:rPr>
        <w:t xml:space="preserve"> </w:t>
      </w:r>
      <w:r w:rsidR="00945024" w:rsidRPr="00B56B4C">
        <w:rPr>
          <w:color w:val="000000" w:themeColor="text1"/>
        </w:rPr>
        <w:t xml:space="preserve">using SCS configuration </w:t>
      </w:r>
      <m:oMath>
        <m:r>
          <w:rPr>
            <w:rFonts w:ascii="Cambria Math" w:eastAsia="Calibri" w:hAnsi="Cambria Math"/>
            <w:color w:val="000000" w:themeColor="text1"/>
          </w:rPr>
          <m:t>μ</m:t>
        </m:r>
      </m:oMath>
      <w:r w:rsidRPr="00F66CE9">
        <w:rPr>
          <w:iCs/>
        </w:rPr>
        <w:t xml:space="preserve">, and with </w:t>
      </w:r>
      <m:oMath>
        <m:sSubSup>
          <m:sSubSupPr>
            <m:ctrlPr>
              <w:rPr>
                <w:rFonts w:ascii="Cambria Math" w:hAnsi="Cambria Math"/>
                <w:i/>
              </w:rPr>
            </m:ctrlPr>
          </m:sSubSupPr>
          <m:e>
            <m:r>
              <w:rPr>
                <w:rFonts w:ascii="Cambria Math"/>
              </w:rPr>
              <m:t>N</m:t>
            </m:r>
          </m:e>
          <m:sub>
            <m:r>
              <m:rPr>
                <m:nor/>
              </m:rPr>
              <w:rPr>
                <w:rFonts w:ascii="Cambria Math"/>
              </w:rPr>
              <m:t>cells,r17,0</m:t>
            </m:r>
            <m:ctrlPr>
              <w:rPr>
                <w:rFonts w:ascii="Cambria Math" w:hAnsi="Cambria Math"/>
              </w:rPr>
            </m:ctrlPr>
          </m:sub>
          <m:sup>
            <m:r>
              <m:rPr>
                <m:nor/>
              </m:rPr>
              <w:rPr>
                <w:rFonts w:ascii="Cambria Math"/>
              </w:rPr>
              <m:t>DL,</m:t>
            </m:r>
            <m:sSub>
              <m:sSubPr>
                <m:ctrlPr>
                  <w:rPr>
                    <w:rFonts w:ascii="Cambria Math" w:hAnsi="Cambria Math"/>
                    <w:i/>
                  </w:rPr>
                </m:ctrlPr>
              </m:sSubPr>
              <m:e>
                <m:r>
                  <w:rPr>
                    <w:rFonts w:ascii="Cambria Math"/>
                  </w:rPr>
                  <m:t>X</m:t>
                </m:r>
              </m:e>
              <m:sub>
                <m:r>
                  <w:rPr>
                    <w:rFonts w:ascii="Cambria Math"/>
                  </w:rPr>
                  <m:t>s</m:t>
                </m:r>
              </m:sub>
            </m:sSub>
            <m:r>
              <w:rPr>
                <w:rFonts w:asci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cells,r17,1</m:t>
            </m:r>
            <m:ctrlPr>
              <w:rPr>
                <w:rFonts w:ascii="Cambria Math" w:hAnsi="Cambria Math"/>
              </w:rPr>
            </m:ctrlPr>
          </m:sub>
          <m:sup>
            <m:r>
              <m:rPr>
                <m:nor/>
              </m:rPr>
              <w:rPr>
                <w:rFonts w:ascii="Cambria Math"/>
              </w:rPr>
              <m:t>DL,</m:t>
            </m:r>
            <m:sSub>
              <m:sSubPr>
                <m:ctrlPr>
                  <w:rPr>
                    <w:rFonts w:ascii="Cambria Math" w:hAnsi="Cambria Math"/>
                    <w:i/>
                  </w:rPr>
                </m:ctrlPr>
              </m:sSubPr>
              <m:e>
                <m:r>
                  <w:rPr>
                    <w:rFonts w:ascii="Cambria Math"/>
                  </w:rPr>
                  <m:t>X</m:t>
                </m:r>
              </m:e>
              <m:sub>
                <m:r>
                  <w:rPr>
                    <w:rFonts w:ascii="Cambria Math"/>
                  </w:rPr>
                  <m:t>s</m:t>
                </m:r>
              </m:sub>
            </m:sSub>
            <m:r>
              <w:rPr>
                <w:rFonts w:ascii="Cambria Math"/>
              </w:rPr>
              <m:t>,μ</m:t>
            </m:r>
            <m:ctrlPr>
              <w:rPr>
                <w:rFonts w:ascii="Cambria Math" w:hAnsi="Cambria Math"/>
              </w:rPr>
            </m:ctrlPr>
          </m:sup>
        </m:sSubSup>
      </m:oMath>
      <w:r w:rsidRPr="00F66CE9">
        <w:rPr>
          <w:iCs/>
        </w:rPr>
        <w:t xml:space="preserve"> of the </w:t>
      </w:r>
      <m:oMath>
        <m:sSubSup>
          <m:sSubSupPr>
            <m:ctrlPr>
              <w:rPr>
                <w:rFonts w:ascii="Cambria Math" w:hAnsi="Cambria Math"/>
                <w:i/>
              </w:rPr>
            </m:ctrlPr>
          </m:sSubSupPr>
          <m:e>
            <m:r>
              <w:rPr>
                <w:rFonts w:ascii="Cambria Math"/>
              </w:rPr>
              <m:t>N</m:t>
            </m:r>
          </m:e>
          <m:sub>
            <m:r>
              <m:rPr>
                <m:nor/>
              </m:rPr>
              <w:rPr>
                <w:rFonts w:ascii="Cambria Math"/>
              </w:rPr>
              <m:t>cells,r17,0</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cells,r17,1</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oMath>
      <w:r w:rsidRPr="00F66CE9">
        <w:rPr>
          <w:iCs/>
        </w:rPr>
        <w:t xml:space="preserve"> downlink cells using </w:t>
      </w:r>
      <w:r>
        <w:rPr>
          <w:iCs/>
        </w:rPr>
        <w:t xml:space="preserve">any </w:t>
      </w:r>
      <w:r w:rsidRPr="00F66CE9">
        <w:rPr>
          <w:iCs/>
        </w:rPr>
        <w:t xml:space="preserve">combination </w:t>
      </w:r>
      <m:oMath>
        <m:d>
          <m:dPr>
            <m:ctrlPr>
              <w:rPr>
                <w:rFonts w:ascii="Cambria Math" w:hAnsi="Cambria Math"/>
                <w:i/>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e>
        </m:d>
      </m:oMath>
      <w:r>
        <w:t xml:space="preserve"> for a 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Pr>
          <w:lang w:eastAsia="zh-CN"/>
        </w:rPr>
        <w:t xml:space="preserve"> slots</w:t>
      </w:r>
      <w:r w:rsidRPr="00F66CE9">
        <w:rPr>
          <w:iCs/>
        </w:rPr>
        <w:t xml:space="preserve"> for PDCCH monitoring, where </w:t>
      </w:r>
      <m:oMath>
        <m:nary>
          <m:naryPr>
            <m:chr m:val="∑"/>
            <m:ctrlPr>
              <w:rPr>
                <w:rFonts w:ascii="Cambria Math" w:eastAsia="Calibri" w:hAnsi="Cambria Math"/>
                <w:iCs/>
              </w:rPr>
            </m:ctrlPr>
          </m:naryPr>
          <m:sub>
            <m:r>
              <m:rPr>
                <m:sty m:val="p"/>
              </m:rPr>
              <w:rPr>
                <w:rFonts w:ascii="Cambria Math" w:hAnsi="Cambria Math"/>
              </w:rPr>
              <m:t>μ=5</m:t>
            </m:r>
          </m:sub>
          <m:sup>
            <m:r>
              <m:rPr>
                <m:sty m:val="p"/>
              </m:rPr>
              <w:rPr>
                <w:rFonts w:ascii="Cambria Math" w:hAnsi="Cambria Math"/>
              </w:rPr>
              <m:t>6</m:t>
            </m:r>
          </m:sup>
          <m:e>
            <m:d>
              <m:dPr>
                <m:ctrlPr>
                  <w:rPr>
                    <w:rFonts w:ascii="Cambria Math" w:hAnsi="Cambria Math"/>
                    <w:i/>
                  </w:rPr>
                </m:ctrlPr>
              </m:dPr>
              <m:e>
                <m:sSubSup>
                  <m:sSubSupPr>
                    <m:ctrlPr>
                      <w:rPr>
                        <w:rFonts w:ascii="Cambria Math" w:hAnsi="Cambria Math"/>
                        <w:i/>
                      </w:rPr>
                    </m:ctrlPr>
                  </m:sSubSupPr>
                  <m:e>
                    <m:r>
                      <w:rPr>
                        <w:rFonts w:ascii="Cambria Math"/>
                      </w:rPr>
                      <m:t>N</m:t>
                    </m:r>
                  </m:e>
                  <m:sub>
                    <m:r>
                      <m:rPr>
                        <m:nor/>
                      </m:rPr>
                      <w:rPr>
                        <w:rFonts w:ascii="Cambria Math"/>
                      </w:rPr>
                      <m:t>cells,r17,0</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γ∙</m:t>
                    </m:r>
                    <m:r>
                      <w:rPr>
                        <w:rFonts w:ascii="Cambria Math"/>
                      </w:rPr>
                      <m:t>N</m:t>
                    </m:r>
                  </m:e>
                  <m:sub>
                    <m:r>
                      <m:rPr>
                        <m:nor/>
                      </m:rPr>
                      <w:rPr>
                        <w:rFonts w:ascii="Cambria Math"/>
                      </w:rPr>
                      <m:t>cells,r17,1</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e>
            </m:d>
          </m:e>
        </m:nary>
        <m:r>
          <m:rPr>
            <m:sty m:val="p"/>
          </m:rPr>
          <w:rPr>
            <w:rFonts w:ascii="Cambria Math" w:hAnsi="Cambria Math"/>
          </w:rPr>
          <m:t>≤</m:t>
        </m:r>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m:t>
            </m:r>
            <m:ctrlPr>
              <w:rPr>
                <w:rFonts w:ascii="Cambria Math" w:hAnsi="Calibri" w:cs="Calibri"/>
              </w:rPr>
            </m:ctrlPr>
          </m:sub>
          <m:sup>
            <m:r>
              <m:rPr>
                <m:nor/>
              </m:rPr>
              <w:rPr>
                <w:rFonts w:ascii="Cambria Math" w:hAnsi="Calibri" w:cs="Calibri"/>
              </w:rPr>
              <m:t>cap-r17</m:t>
            </m:r>
            <m:ctrlPr>
              <w:rPr>
                <w:rFonts w:ascii="Cambria Math" w:hAnsi="Calibri" w:cs="Calibri"/>
              </w:rPr>
            </m:ctrlPr>
          </m:sup>
        </m:sSubSup>
      </m:oMath>
      <w:r w:rsidRPr="00F66CE9">
        <w:t>,</w:t>
      </w:r>
      <w:r w:rsidRPr="00F66CE9">
        <w:rPr>
          <w:lang w:eastAsia="zh-CN"/>
        </w:rPr>
        <w:t xml:space="preserve"> </w:t>
      </w:r>
      <w:r w:rsidRPr="00F66CE9">
        <w:rPr>
          <w:lang w:eastAsia="ko-KR"/>
        </w:rPr>
        <w:t xml:space="preserve">the UE is not required to monitor, on the active DL BWP of the scheduling cell, </w:t>
      </w:r>
    </w:p>
    <w:p w14:paraId="6285A28C" w14:textId="77777777" w:rsidR="00837BC4" w:rsidRDefault="00837BC4" w:rsidP="00837BC4">
      <w:pPr>
        <w:pStyle w:val="B1"/>
        <w:rPr>
          <w:lang w:eastAsia="zh-CN"/>
        </w:rPr>
      </w:pPr>
      <w:r>
        <w:rPr>
          <w:lang w:eastAsia="ko-KR"/>
        </w:rPr>
        <w:t>-</w:t>
      </w:r>
      <w:r>
        <w:rPr>
          <w:lang w:eastAsia="ko-KR"/>
        </w:rPr>
        <w:tab/>
      </w:r>
      <w:r w:rsidRPr="00F66CE9">
        <w:rPr>
          <w:rFonts w:eastAsia="Times New Roman"/>
          <w:lang w:eastAsia="ko-KR"/>
        </w:rPr>
        <w:t xml:space="preserve">more than </w:t>
      </w:r>
      <m:oMath>
        <m:sSubSup>
          <m:sSubSupPr>
            <m:ctrlPr>
              <w:rPr>
                <w:rFonts w:ascii="Cambria Math" w:hAnsi="Calibri" w:cs="Calibri"/>
                <w:i/>
              </w:rPr>
            </m:ctrlPr>
          </m:sSubSupPr>
          <m:e>
            <m:r>
              <w:rPr>
                <w:rFonts w:ascii="Cambria Math" w:hAnsi="Calibri" w:cs="Calibri"/>
              </w:rPr>
              <m:t>M</m:t>
            </m:r>
          </m:e>
          <m:sub>
            <m:r>
              <m:rPr>
                <m:nor/>
              </m:rPr>
              <w:rPr>
                <w:rFonts w:ascii="Cambria Math" w:hAnsi="Calibri" w:cs="Calibri"/>
              </w:rPr>
              <m:t>PDCCH</m:t>
            </m:r>
            <m:ctrlPr>
              <w:rPr>
                <w:rFonts w:ascii="Cambria Math" w:hAnsi="Calibri" w:cs="Calibri"/>
              </w:rPr>
            </m:ctrlPr>
          </m:sub>
          <m:sup>
            <m:r>
              <m:rPr>
                <m:nor/>
              </m:rPr>
              <w:rPr>
                <w:rFonts w:ascii="Cambria Math" w:hAnsi="Calibri" w:cs="Calibri"/>
              </w:rPr>
              <m:t>total,</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m:rPr>
                <m:nor/>
              </m:rPr>
              <w:rPr>
                <w:rFonts w:ascii="Cambria Math" w:hAnsi="Calibri" w:cs="Calibri"/>
              </w:rPr>
              <m:t>,</m:t>
            </m:r>
            <m:r>
              <w:rPr>
                <w:rFonts w:ascii="Cambria Math" w:hAnsi="Calibri" w:cs="Calibri"/>
              </w:rPr>
              <m:t>μ</m:t>
            </m:r>
            <m:ctrlPr>
              <w:rPr>
                <w:rFonts w:ascii="Cambria Math" w:hAnsi="Calibri" w:cs="Calibri"/>
              </w:rPr>
            </m:ctrlPr>
          </m:sup>
        </m:sSubSup>
        <m:r>
          <w:rPr>
            <w:rFonts w:ascii="Cambria Math" w:hAnsi="Calibri" w:cs="Calibri"/>
          </w:rPr>
          <m:t>=</m:t>
        </m:r>
        <m:sSubSup>
          <m:sSubSupPr>
            <m:ctrlPr>
              <w:rPr>
                <w:rFonts w:ascii="Cambria Math" w:hAnsi="Calibri" w:cs="Calibri"/>
                <w:i/>
              </w:rPr>
            </m:ctrlPr>
          </m:sSubSupPr>
          <m:e>
            <m:r>
              <w:rPr>
                <w:rFonts w:ascii="Cambria Math" w:hAnsi="Calibri" w:cs="Calibri"/>
              </w:rPr>
              <m:t>M</m:t>
            </m:r>
          </m:e>
          <m:sub>
            <m:r>
              <m:rPr>
                <m:nor/>
              </m:rPr>
              <w:rPr>
                <w:rFonts w:ascii="Cambria Math" w:hAnsi="Calibri" w:cs="Calibri"/>
              </w:rPr>
              <m:t>PDCCH</m:t>
            </m:r>
            <m:ctrlPr>
              <w:rPr>
                <w:rFonts w:ascii="Cambria Math" w:hAnsi="Calibri" w:cs="Calibri"/>
              </w:rPr>
            </m:ctrlPr>
          </m:sub>
          <m:sup>
            <m:r>
              <m:rPr>
                <m:nor/>
              </m:rPr>
              <w:rPr>
                <w:rFonts w:ascii="Cambria Math" w:hAnsi="Calibri" w:cs="Calibri"/>
              </w:rPr>
              <m:t>max,</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m:rPr>
                <m:nor/>
              </m:rPr>
              <w:rPr>
                <w:rFonts w:ascii="Cambria Math" w:hAnsi="Calibri" w:cs="Calibri"/>
              </w:rPr>
              <m:t>,</m:t>
            </m:r>
            <m:r>
              <w:rPr>
                <w:rFonts w:ascii="Cambria Math" w:hAnsi="Calibri" w:cs="Calibri"/>
              </w:rPr>
              <m:t>μ</m:t>
            </m:r>
            <m:ctrlPr>
              <w:rPr>
                <w:rFonts w:ascii="Cambria Math" w:hAnsi="Calibri" w:cs="Calibri"/>
              </w:rPr>
            </m:ctrlPr>
          </m:sup>
        </m:sSubSup>
      </m:oMath>
      <w:r w:rsidRPr="00F66CE9">
        <w:rPr>
          <w:rFonts w:eastAsia="Times New Roman"/>
        </w:rPr>
        <w:t xml:space="preserve"> PDCCH candidates or more than </w:t>
      </w:r>
      <m:oMath>
        <m:sSubSup>
          <m:sSubSupPr>
            <m:ctrlPr>
              <w:rPr>
                <w:rFonts w:ascii="Cambria Math" w:hAnsi="Calibri" w:cs="Calibri"/>
                <w:i/>
              </w:rPr>
            </m:ctrlPr>
          </m:sSubSupPr>
          <m:e>
            <m:r>
              <w:rPr>
                <w:rFonts w:ascii="Cambria Math" w:hAnsi="Calibri" w:cs="Calibri"/>
              </w:rPr>
              <m:t>C</m:t>
            </m:r>
          </m:e>
          <m:sub>
            <m:r>
              <m:rPr>
                <m:nor/>
              </m:rPr>
              <w:rPr>
                <w:rFonts w:ascii="Cambria Math" w:hAnsi="Calibri" w:cs="Calibri"/>
              </w:rPr>
              <m:t>PDCCH</m:t>
            </m:r>
            <m:ctrlPr>
              <w:rPr>
                <w:rFonts w:ascii="Cambria Math" w:hAnsi="Calibri" w:cs="Calibri"/>
              </w:rPr>
            </m:ctrlPr>
          </m:sub>
          <m:sup>
            <m:r>
              <m:rPr>
                <m:nor/>
              </m:rPr>
              <w:rPr>
                <w:rFonts w:ascii="Cambria Math" w:hAnsi="Calibri" w:cs="Calibri"/>
              </w:rPr>
              <m:t>total,</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m:rPr>
                <m:nor/>
              </m:rPr>
              <w:rPr>
                <w:rFonts w:ascii="Cambria Math" w:hAnsi="Calibri" w:cs="Calibri"/>
              </w:rPr>
              <m:t>,</m:t>
            </m:r>
            <m:r>
              <w:rPr>
                <w:rFonts w:ascii="Cambria Math" w:hAnsi="Calibri" w:cs="Calibri"/>
              </w:rPr>
              <m:t>μ</m:t>
            </m:r>
            <m:ctrlPr>
              <w:rPr>
                <w:rFonts w:ascii="Cambria Math" w:hAnsi="Calibri" w:cs="Calibri"/>
              </w:rPr>
            </m:ctrlPr>
          </m:sup>
        </m:sSubSup>
        <m:r>
          <w:rPr>
            <w:rFonts w:ascii="Cambria Math" w:hAnsi="Calibri" w:cs="Calibri"/>
          </w:rPr>
          <m:t>=</m:t>
        </m:r>
        <m:sSubSup>
          <m:sSubSupPr>
            <m:ctrlPr>
              <w:rPr>
                <w:rFonts w:ascii="Cambria Math" w:hAnsi="Calibri" w:cs="Calibri"/>
                <w:i/>
              </w:rPr>
            </m:ctrlPr>
          </m:sSubSupPr>
          <m:e>
            <m:r>
              <w:rPr>
                <w:rFonts w:ascii="Cambria Math" w:hAnsi="Calibri" w:cs="Calibri"/>
              </w:rPr>
              <m:t>C</m:t>
            </m:r>
          </m:e>
          <m:sub>
            <m:r>
              <m:rPr>
                <m:nor/>
              </m:rPr>
              <w:rPr>
                <w:rFonts w:ascii="Cambria Math" w:hAnsi="Calibri" w:cs="Calibri"/>
              </w:rPr>
              <m:t>PDCCH</m:t>
            </m:r>
            <m:ctrlPr>
              <w:rPr>
                <w:rFonts w:ascii="Cambria Math" w:hAnsi="Calibri" w:cs="Calibri"/>
              </w:rPr>
            </m:ctrlPr>
          </m:sub>
          <m:sup>
            <m:r>
              <m:rPr>
                <m:nor/>
              </m:rPr>
              <w:rPr>
                <w:rFonts w:ascii="Cambria Math" w:hAnsi="Calibri" w:cs="Calibri"/>
              </w:rPr>
              <m:t>max,</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m:rPr>
                <m:nor/>
              </m:rPr>
              <w:rPr>
                <w:rFonts w:ascii="Cambria Math" w:hAnsi="Calibri" w:cs="Calibri"/>
              </w:rPr>
              <m:t>,</m:t>
            </m:r>
            <m:r>
              <w:rPr>
                <w:rFonts w:ascii="Cambria Math" w:hAnsi="Calibri" w:cs="Calibri"/>
              </w:rPr>
              <m:t>μ</m:t>
            </m:r>
            <m:ctrlPr>
              <w:rPr>
                <w:rFonts w:ascii="Cambria Math" w:hAnsi="Calibri" w:cs="Calibri"/>
              </w:rPr>
            </m:ctrlPr>
          </m:sup>
        </m:sSubSup>
      </m:oMath>
      <w:r w:rsidRPr="00F66CE9">
        <w:rPr>
          <w:rFonts w:eastAsia="Times New Roman"/>
        </w:rPr>
        <w:t xml:space="preserve"> non-overlapped CCEs per </w:t>
      </w:r>
      <w:r>
        <w:rPr>
          <w:rFonts w:eastAsia="Times New Roman"/>
        </w:rPr>
        <w:t xml:space="preserve">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Pr>
          <w:rFonts w:eastAsia="Times New Roman"/>
          <w:lang w:eastAsia="zh-CN"/>
        </w:rPr>
        <w:t xml:space="preserve"> slots</w:t>
      </w:r>
      <w:r w:rsidRPr="00F66CE9">
        <w:rPr>
          <w:rFonts w:eastAsia="Times New Roman"/>
        </w:rPr>
        <w:t xml:space="preserve"> for each scheduled cell when the scheduling cell is from the </w:t>
      </w:r>
      <m:oMath>
        <m:sSubSup>
          <m:sSubSupPr>
            <m:ctrlPr>
              <w:rPr>
                <w:rFonts w:ascii="Cambria Math" w:eastAsiaTheme="minorHAnsi" w:hAnsi="Cambria Math"/>
                <w:iCs/>
                <w:color w:val="000000"/>
              </w:rPr>
            </m:ctrlPr>
          </m:sSubSupPr>
          <m:e>
            <m:r>
              <w:rPr>
                <w:rFonts w:ascii="Cambria Math" w:hAnsi="Cambria Math"/>
                <w:color w:val="000000"/>
              </w:rPr>
              <m:t>N</m:t>
            </m:r>
          </m:e>
          <m:sub>
            <m:r>
              <m:rPr>
                <m:sty m:val="p"/>
              </m:rPr>
              <w:rPr>
                <w:rFonts w:ascii="Cambria Math" w:hAnsi="Cambria Math"/>
                <w:color w:val="000000"/>
              </w:rPr>
              <m:t>cells,r17,0</m:t>
            </m:r>
            <m:ctrlPr>
              <w:rPr>
                <w:rFonts w:ascii="Cambria Math" w:eastAsiaTheme="minorHAnsi" w:hAnsi="Cambria Math"/>
                <w:color w:val="000000"/>
              </w:rPr>
            </m:ctrlPr>
          </m:sub>
          <m:sup>
            <m:r>
              <m:rPr>
                <m:sty m:val="p"/>
              </m:rPr>
              <w:rPr>
                <w:rFonts w:ascii="Cambria Math" w:hAnsi="Cambria Math"/>
                <w:color w:val="000000"/>
              </w:rPr>
              <m:t>DL,</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m:rPr>
                <m:sty m:val="p"/>
              </m:rPr>
              <w:rPr>
                <w:rFonts w:ascii="Cambria Math" w:hAnsi="Cambria Math"/>
                <w:color w:val="000000"/>
              </w:rPr>
              <m:t>,</m:t>
            </m:r>
            <m:r>
              <w:rPr>
                <w:rFonts w:ascii="Cambria Math" w:hAnsi="Cambria Math"/>
                <w:color w:val="000000"/>
              </w:rPr>
              <m:t>μ</m:t>
            </m:r>
            <m:ctrlPr>
              <w:rPr>
                <w:rFonts w:ascii="Cambria Math" w:eastAsiaTheme="minorHAnsi" w:hAnsi="Cambria Math"/>
                <w:color w:val="000000"/>
              </w:rPr>
            </m:ctrlPr>
          </m:sup>
        </m:sSubSup>
      </m:oMath>
      <w:r w:rsidRPr="00F66CE9">
        <w:rPr>
          <w:rFonts w:eastAsia="Times New Roman"/>
        </w:rPr>
        <w:t xml:space="preserve"> downlink cells</w:t>
      </w:r>
      <w:r>
        <w:rPr>
          <w:rFonts w:eastAsia="Times New Roman"/>
          <w:lang w:val="en-US"/>
        </w:rPr>
        <w:t>, or</w:t>
      </w:r>
    </w:p>
    <w:p w14:paraId="3BB9C57A" w14:textId="77777777" w:rsidR="00837BC4" w:rsidRDefault="00837BC4" w:rsidP="00837BC4">
      <w:pPr>
        <w:pStyle w:val="B1"/>
        <w:rPr>
          <w:lang w:eastAsia="zh-CN"/>
        </w:rPr>
      </w:pPr>
      <w:r>
        <w:rPr>
          <w:lang w:eastAsia="ko-KR"/>
        </w:rPr>
        <w:t>-</w:t>
      </w:r>
      <w:r>
        <w:rPr>
          <w:lang w:eastAsia="ko-KR"/>
        </w:rPr>
        <w:tab/>
      </w:r>
      <w:r w:rsidRPr="00A51D05">
        <w:rPr>
          <w:rFonts w:eastAsia="Times New Roman"/>
          <w:lang w:val="en-GB" w:eastAsia="ko-KR"/>
        </w:rPr>
        <w:t xml:space="preserve">more than </w:t>
      </w:r>
      <m:oMath>
        <m:sSubSup>
          <m:sSubSupPr>
            <m:ctrlPr>
              <w:rPr>
                <w:rFonts w:ascii="Cambria Math" w:hAnsi="Calibri" w:cs="Calibri"/>
                <w:i/>
                <w:lang w:val="en-GB"/>
              </w:rPr>
            </m:ctrlPr>
          </m:sSubSupPr>
          <m:e>
            <m:r>
              <w:rPr>
                <w:rFonts w:ascii="Cambria Math" w:hAnsi="Calibri" w:cs="Calibri"/>
                <w:lang w:val="en-GB"/>
              </w:rPr>
              <m:t>M</m:t>
            </m:r>
          </m:e>
          <m:sub>
            <m:r>
              <m:rPr>
                <m:nor/>
              </m:rPr>
              <w:rPr>
                <w:rFonts w:ascii="Cambria Math" w:hAnsi="Calibri" w:cs="Calibri"/>
                <w:lang w:val="en-GB"/>
              </w:rPr>
              <m:t>PDCCH</m:t>
            </m:r>
            <m:ctrlPr>
              <w:rPr>
                <w:rFonts w:ascii="Cambria Math" w:hAnsi="Calibri" w:cs="Calibri"/>
                <w:lang w:val="en-GB"/>
              </w:rPr>
            </m:ctrlPr>
          </m:sub>
          <m:sup>
            <m:r>
              <m:rPr>
                <m:nor/>
              </m:rPr>
              <w:rPr>
                <w:rFonts w:ascii="Cambria Math" w:hAnsi="Calibri" w:cs="Calibri"/>
                <w:lang w:val="en-GB"/>
              </w:rPr>
              <m:t>total,</m:t>
            </m:r>
            <m:sSub>
              <m:sSubPr>
                <m:ctrlPr>
                  <w:rPr>
                    <w:rFonts w:ascii="Cambria Math" w:hAnsi="Cambria Math"/>
                    <w:i/>
                    <w:lang w:val="en-GB" w:eastAsia="zh-CN"/>
                  </w:rPr>
                </m:ctrlPr>
              </m:sSubPr>
              <m:e>
                <m:r>
                  <w:rPr>
                    <w:rFonts w:ascii="Cambria Math" w:hAnsi="Cambria Math"/>
                    <w:lang w:val="en-GB" w:eastAsia="zh-CN"/>
                  </w:rPr>
                  <m:t>X</m:t>
                </m:r>
              </m:e>
              <m:sub>
                <m:r>
                  <w:rPr>
                    <w:rFonts w:ascii="Cambria Math" w:hAnsi="Cambria Math"/>
                    <w:lang w:val="en-GB" w:eastAsia="zh-CN"/>
                  </w:rPr>
                  <m:t>s</m:t>
                </m:r>
              </m:sub>
            </m:sSub>
            <m:r>
              <m:rPr>
                <m:nor/>
              </m:rPr>
              <w:rPr>
                <w:rFonts w:ascii="Cambria Math" w:hAnsi="Calibri" w:cs="Calibri"/>
                <w:lang w:val="en-GB"/>
              </w:rPr>
              <m:t>,</m:t>
            </m:r>
            <m:r>
              <w:rPr>
                <w:rFonts w:ascii="Cambria Math" w:hAnsi="Calibri" w:cs="Calibri"/>
                <w:lang w:val="en-GB"/>
              </w:rPr>
              <m:t>μ</m:t>
            </m:r>
            <m:ctrlPr>
              <w:rPr>
                <w:rFonts w:ascii="Cambria Math" w:hAnsi="Calibri" w:cs="Calibri"/>
                <w:lang w:val="en-GB"/>
              </w:rPr>
            </m:ctrlPr>
          </m:sup>
        </m:sSubSup>
        <m:r>
          <w:rPr>
            <w:rFonts w:ascii="Cambria Math" w:hAnsi="Calibri" w:cs="Calibri"/>
            <w:lang w:val="en-GB"/>
          </w:rPr>
          <m:t>=</m:t>
        </m:r>
        <m:sSubSup>
          <m:sSubSupPr>
            <m:ctrlPr>
              <w:rPr>
                <w:rFonts w:ascii="Cambria Math" w:hAnsi="Calibri" w:cs="Calibri"/>
                <w:i/>
                <w:lang w:val="en-GB"/>
              </w:rPr>
            </m:ctrlPr>
          </m:sSubSupPr>
          <m:e>
            <m:r>
              <w:rPr>
                <w:rFonts w:ascii="Cambria Math" w:hAnsi="Cambria Math"/>
                <w:lang w:val="en-GB"/>
              </w:rPr>
              <m:t>γ∙</m:t>
            </m:r>
            <m:r>
              <w:rPr>
                <w:rFonts w:ascii="Cambria Math" w:hAnsi="Calibri" w:cs="Calibri"/>
                <w:lang w:val="en-GB"/>
              </w:rPr>
              <m:t>M</m:t>
            </m:r>
          </m:e>
          <m:sub>
            <m:r>
              <m:rPr>
                <m:nor/>
              </m:rPr>
              <w:rPr>
                <w:rFonts w:ascii="Cambria Math" w:hAnsi="Calibri" w:cs="Calibri"/>
                <w:lang w:val="en-GB"/>
              </w:rPr>
              <m:t>PDCCH</m:t>
            </m:r>
            <m:ctrlPr>
              <w:rPr>
                <w:rFonts w:ascii="Cambria Math" w:hAnsi="Calibri" w:cs="Calibri"/>
                <w:lang w:val="en-GB"/>
              </w:rPr>
            </m:ctrlPr>
          </m:sub>
          <m:sup>
            <m:r>
              <m:rPr>
                <m:nor/>
              </m:rPr>
              <w:rPr>
                <w:rFonts w:ascii="Cambria Math" w:hAnsi="Calibri" w:cs="Calibri"/>
                <w:lang w:val="en-GB"/>
              </w:rPr>
              <m:t>max,</m:t>
            </m:r>
            <m:sSub>
              <m:sSubPr>
                <m:ctrlPr>
                  <w:rPr>
                    <w:rFonts w:ascii="Cambria Math" w:hAnsi="Cambria Math"/>
                    <w:i/>
                    <w:lang w:val="en-GB" w:eastAsia="zh-CN"/>
                  </w:rPr>
                </m:ctrlPr>
              </m:sSubPr>
              <m:e>
                <m:r>
                  <w:rPr>
                    <w:rFonts w:ascii="Cambria Math" w:hAnsi="Cambria Math"/>
                    <w:lang w:val="en-GB" w:eastAsia="zh-CN"/>
                  </w:rPr>
                  <m:t>X</m:t>
                </m:r>
              </m:e>
              <m:sub>
                <m:r>
                  <w:rPr>
                    <w:rFonts w:ascii="Cambria Math" w:hAnsi="Cambria Math"/>
                    <w:lang w:val="en-GB" w:eastAsia="zh-CN"/>
                  </w:rPr>
                  <m:t>s</m:t>
                </m:r>
              </m:sub>
            </m:sSub>
            <m:r>
              <m:rPr>
                <m:nor/>
              </m:rPr>
              <w:rPr>
                <w:rFonts w:ascii="Cambria Math" w:hAnsi="Calibri" w:cs="Calibri"/>
                <w:lang w:val="en-GB"/>
              </w:rPr>
              <m:t>,</m:t>
            </m:r>
            <m:r>
              <w:rPr>
                <w:rFonts w:ascii="Cambria Math" w:hAnsi="Calibri" w:cs="Calibri"/>
                <w:lang w:val="en-GB"/>
              </w:rPr>
              <m:t>μ</m:t>
            </m:r>
            <m:ctrlPr>
              <w:rPr>
                <w:rFonts w:ascii="Cambria Math" w:hAnsi="Calibri" w:cs="Calibri"/>
                <w:lang w:val="en-GB"/>
              </w:rPr>
            </m:ctrlPr>
          </m:sup>
        </m:sSubSup>
      </m:oMath>
      <w:r w:rsidRPr="00A51D05">
        <w:rPr>
          <w:rFonts w:eastAsia="Times New Roman"/>
          <w:lang w:val="en-GB"/>
        </w:rPr>
        <w:t xml:space="preserve"> PDCCH candidates or more than </w:t>
      </w:r>
      <m:oMath>
        <m:sSubSup>
          <m:sSubSupPr>
            <m:ctrlPr>
              <w:rPr>
                <w:rFonts w:ascii="Cambria Math" w:hAnsi="Calibri" w:cs="Calibri"/>
                <w:i/>
                <w:lang w:val="en-GB"/>
              </w:rPr>
            </m:ctrlPr>
          </m:sSubSupPr>
          <m:e>
            <m:r>
              <w:rPr>
                <w:rFonts w:ascii="Cambria Math" w:hAnsi="Calibri" w:cs="Calibri"/>
                <w:lang w:val="en-GB"/>
              </w:rPr>
              <m:t>C</m:t>
            </m:r>
          </m:e>
          <m:sub>
            <m:r>
              <m:rPr>
                <m:nor/>
              </m:rPr>
              <w:rPr>
                <w:rFonts w:ascii="Cambria Math" w:hAnsi="Calibri" w:cs="Calibri"/>
                <w:lang w:val="en-GB"/>
              </w:rPr>
              <m:t>PDCCH</m:t>
            </m:r>
            <m:ctrlPr>
              <w:rPr>
                <w:rFonts w:ascii="Cambria Math" w:hAnsi="Calibri" w:cs="Calibri"/>
                <w:lang w:val="en-GB"/>
              </w:rPr>
            </m:ctrlPr>
          </m:sub>
          <m:sup>
            <m:r>
              <m:rPr>
                <m:nor/>
              </m:rPr>
              <w:rPr>
                <w:rFonts w:ascii="Cambria Math" w:hAnsi="Calibri" w:cs="Calibri"/>
                <w:lang w:val="en-GB"/>
              </w:rPr>
              <m:t>total,</m:t>
            </m:r>
            <m:sSub>
              <m:sSubPr>
                <m:ctrlPr>
                  <w:rPr>
                    <w:rFonts w:ascii="Cambria Math" w:hAnsi="Cambria Math"/>
                    <w:i/>
                    <w:lang w:val="en-GB" w:eastAsia="zh-CN"/>
                  </w:rPr>
                </m:ctrlPr>
              </m:sSubPr>
              <m:e>
                <m:r>
                  <w:rPr>
                    <w:rFonts w:ascii="Cambria Math" w:hAnsi="Cambria Math"/>
                    <w:lang w:val="en-GB" w:eastAsia="zh-CN"/>
                  </w:rPr>
                  <m:t>X</m:t>
                </m:r>
              </m:e>
              <m:sub>
                <m:r>
                  <w:rPr>
                    <w:rFonts w:ascii="Cambria Math" w:hAnsi="Cambria Math"/>
                    <w:lang w:val="en-GB" w:eastAsia="zh-CN"/>
                  </w:rPr>
                  <m:t>s</m:t>
                </m:r>
              </m:sub>
            </m:sSub>
            <m:r>
              <m:rPr>
                <m:nor/>
              </m:rPr>
              <w:rPr>
                <w:rFonts w:ascii="Cambria Math" w:hAnsi="Calibri" w:cs="Calibri"/>
                <w:lang w:val="en-GB"/>
              </w:rPr>
              <m:t>,</m:t>
            </m:r>
            <m:r>
              <w:rPr>
                <w:rFonts w:ascii="Cambria Math" w:hAnsi="Calibri" w:cs="Calibri"/>
                <w:lang w:val="en-GB"/>
              </w:rPr>
              <m:t>μ</m:t>
            </m:r>
            <m:ctrlPr>
              <w:rPr>
                <w:rFonts w:ascii="Cambria Math" w:hAnsi="Calibri" w:cs="Calibri"/>
                <w:lang w:val="en-GB"/>
              </w:rPr>
            </m:ctrlPr>
          </m:sup>
        </m:sSubSup>
        <m:r>
          <w:rPr>
            <w:rFonts w:ascii="Cambria Math" w:hAnsi="Calibri" w:cs="Calibri"/>
            <w:lang w:val="en-GB"/>
          </w:rPr>
          <m:t>=</m:t>
        </m:r>
        <m:sSubSup>
          <m:sSubSupPr>
            <m:ctrlPr>
              <w:rPr>
                <w:rFonts w:ascii="Cambria Math" w:hAnsi="Calibri" w:cs="Calibri"/>
                <w:i/>
                <w:lang w:val="en-GB"/>
              </w:rPr>
            </m:ctrlPr>
          </m:sSubSupPr>
          <m:e>
            <m:r>
              <w:rPr>
                <w:rFonts w:ascii="Cambria Math" w:hAnsi="Cambria Math"/>
                <w:lang w:val="en-GB"/>
              </w:rPr>
              <m:t>γ∙</m:t>
            </m:r>
            <m:r>
              <w:rPr>
                <w:rFonts w:ascii="Cambria Math" w:hAnsi="Calibri" w:cs="Calibri"/>
                <w:lang w:val="en-GB"/>
              </w:rPr>
              <m:t>C</m:t>
            </m:r>
          </m:e>
          <m:sub>
            <m:r>
              <m:rPr>
                <m:nor/>
              </m:rPr>
              <w:rPr>
                <w:rFonts w:ascii="Cambria Math" w:hAnsi="Calibri" w:cs="Calibri"/>
                <w:lang w:val="en-GB"/>
              </w:rPr>
              <m:t>PDCCH</m:t>
            </m:r>
            <m:ctrlPr>
              <w:rPr>
                <w:rFonts w:ascii="Cambria Math" w:hAnsi="Calibri" w:cs="Calibri"/>
                <w:lang w:val="en-GB"/>
              </w:rPr>
            </m:ctrlPr>
          </m:sub>
          <m:sup>
            <m:r>
              <m:rPr>
                <m:nor/>
              </m:rPr>
              <w:rPr>
                <w:rFonts w:ascii="Cambria Math" w:hAnsi="Calibri" w:cs="Calibri"/>
                <w:lang w:val="en-GB"/>
              </w:rPr>
              <m:t>max,</m:t>
            </m:r>
            <m:sSub>
              <m:sSubPr>
                <m:ctrlPr>
                  <w:rPr>
                    <w:rFonts w:ascii="Cambria Math" w:hAnsi="Cambria Math"/>
                    <w:i/>
                    <w:lang w:val="en-GB" w:eastAsia="zh-CN"/>
                  </w:rPr>
                </m:ctrlPr>
              </m:sSubPr>
              <m:e>
                <m:r>
                  <w:rPr>
                    <w:rFonts w:ascii="Cambria Math" w:hAnsi="Cambria Math"/>
                    <w:lang w:val="en-GB" w:eastAsia="zh-CN"/>
                  </w:rPr>
                  <m:t>X</m:t>
                </m:r>
              </m:e>
              <m:sub>
                <m:r>
                  <w:rPr>
                    <w:rFonts w:ascii="Cambria Math" w:hAnsi="Cambria Math"/>
                    <w:lang w:val="en-GB" w:eastAsia="zh-CN"/>
                  </w:rPr>
                  <m:t>s</m:t>
                </m:r>
              </m:sub>
            </m:sSub>
            <m:r>
              <m:rPr>
                <m:nor/>
              </m:rPr>
              <w:rPr>
                <w:rFonts w:ascii="Cambria Math" w:hAnsi="Calibri" w:cs="Calibri"/>
                <w:lang w:val="en-GB"/>
              </w:rPr>
              <m:t>,</m:t>
            </m:r>
            <m:r>
              <w:rPr>
                <w:rFonts w:ascii="Cambria Math" w:hAnsi="Calibri" w:cs="Calibri"/>
                <w:lang w:val="en-GB"/>
              </w:rPr>
              <m:t>μ</m:t>
            </m:r>
            <m:ctrlPr>
              <w:rPr>
                <w:rFonts w:ascii="Cambria Math" w:hAnsi="Calibri" w:cs="Calibri"/>
                <w:lang w:val="en-GB"/>
              </w:rPr>
            </m:ctrlPr>
          </m:sup>
        </m:sSubSup>
      </m:oMath>
      <w:r w:rsidRPr="00A51D05">
        <w:rPr>
          <w:rFonts w:eastAsia="Times New Roman"/>
          <w:lang w:val="en-GB"/>
        </w:rPr>
        <w:t xml:space="preserve"> non-overlapped CCEs per group of </w:t>
      </w:r>
      <m:oMath>
        <m:sSub>
          <m:sSubPr>
            <m:ctrlPr>
              <w:rPr>
                <w:rFonts w:ascii="Cambria Math" w:hAnsi="Cambria Math"/>
                <w:i/>
                <w:lang w:val="en-GB" w:eastAsia="zh-CN"/>
              </w:rPr>
            </m:ctrlPr>
          </m:sSubPr>
          <m:e>
            <m:r>
              <w:rPr>
                <w:rFonts w:ascii="Cambria Math" w:hAnsi="Cambria Math"/>
                <w:lang w:val="en-GB" w:eastAsia="zh-CN"/>
              </w:rPr>
              <m:t>X</m:t>
            </m:r>
          </m:e>
          <m:sub>
            <m:r>
              <w:rPr>
                <w:rFonts w:ascii="Cambria Math" w:hAnsi="Cambria Math"/>
                <w:lang w:val="en-GB" w:eastAsia="zh-CN"/>
              </w:rPr>
              <m:t>s</m:t>
            </m:r>
          </m:sub>
        </m:sSub>
      </m:oMath>
      <w:r w:rsidRPr="00A51D05">
        <w:rPr>
          <w:rFonts w:eastAsia="Times New Roman"/>
          <w:lang w:val="en-GB" w:eastAsia="zh-CN"/>
        </w:rPr>
        <w:t xml:space="preserve"> slots</w:t>
      </w:r>
      <w:r w:rsidRPr="00A51D05">
        <w:rPr>
          <w:rFonts w:eastAsia="Times New Roman"/>
          <w:lang w:val="en-GB"/>
        </w:rPr>
        <w:t xml:space="preserve"> for each scheduled cell when the scheduling cell is from the </w:t>
      </w:r>
      <m:oMath>
        <m:sSubSup>
          <m:sSubSupPr>
            <m:ctrlPr>
              <w:rPr>
                <w:rFonts w:ascii="Cambria Math" w:eastAsia="Calibri" w:hAnsi="Cambria Math"/>
                <w:iCs/>
                <w:color w:val="000000"/>
                <w:lang w:val="en-GB"/>
              </w:rPr>
            </m:ctrlPr>
          </m:sSubSupPr>
          <m:e>
            <m:r>
              <w:rPr>
                <w:rFonts w:ascii="Cambria Math" w:hAnsi="Cambria Math"/>
                <w:color w:val="000000"/>
                <w:lang w:val="en-GB"/>
              </w:rPr>
              <m:t>N</m:t>
            </m:r>
          </m:e>
          <m:sub>
            <m:r>
              <m:rPr>
                <m:sty m:val="p"/>
              </m:rPr>
              <w:rPr>
                <w:rFonts w:ascii="Cambria Math" w:hAnsi="Cambria Math"/>
                <w:color w:val="000000"/>
                <w:lang w:val="en-GB"/>
              </w:rPr>
              <m:t>cells,r17,1</m:t>
            </m:r>
            <m:ctrlPr>
              <w:rPr>
                <w:rFonts w:ascii="Cambria Math" w:eastAsia="Calibri" w:hAnsi="Cambria Math"/>
                <w:color w:val="000000"/>
                <w:lang w:val="en-GB"/>
              </w:rPr>
            </m:ctrlPr>
          </m:sub>
          <m:sup>
            <m:r>
              <m:rPr>
                <m:sty m:val="p"/>
              </m:rPr>
              <w:rPr>
                <w:rFonts w:ascii="Cambria Math" w:hAnsi="Cambria Math"/>
                <w:color w:val="000000"/>
                <w:lang w:val="en-GB"/>
              </w:rPr>
              <m:t>DL,</m:t>
            </m:r>
            <m:sSub>
              <m:sSubPr>
                <m:ctrlPr>
                  <w:rPr>
                    <w:rFonts w:ascii="Cambria Math" w:hAnsi="Cambria Math"/>
                    <w:i/>
                    <w:lang w:val="en-GB" w:eastAsia="zh-CN"/>
                  </w:rPr>
                </m:ctrlPr>
              </m:sSubPr>
              <m:e>
                <m:r>
                  <w:rPr>
                    <w:rFonts w:ascii="Cambria Math" w:hAnsi="Cambria Math"/>
                    <w:lang w:val="en-GB" w:eastAsia="zh-CN"/>
                  </w:rPr>
                  <m:t>X</m:t>
                </m:r>
              </m:e>
              <m:sub>
                <m:r>
                  <w:rPr>
                    <w:rFonts w:ascii="Cambria Math" w:hAnsi="Cambria Math"/>
                    <w:lang w:val="en-GB" w:eastAsia="zh-CN"/>
                  </w:rPr>
                  <m:t>s</m:t>
                </m:r>
              </m:sub>
            </m:sSub>
            <m:r>
              <m:rPr>
                <m:sty m:val="p"/>
              </m:rPr>
              <w:rPr>
                <w:rFonts w:ascii="Cambria Math" w:hAnsi="Cambria Math"/>
                <w:color w:val="000000"/>
                <w:lang w:val="en-GB"/>
              </w:rPr>
              <m:t>,</m:t>
            </m:r>
            <m:r>
              <w:rPr>
                <w:rFonts w:ascii="Cambria Math" w:hAnsi="Cambria Math"/>
                <w:color w:val="000000"/>
                <w:lang w:val="en-GB"/>
              </w:rPr>
              <m:t>μ</m:t>
            </m:r>
            <m:ctrlPr>
              <w:rPr>
                <w:rFonts w:ascii="Cambria Math" w:eastAsia="Calibri" w:hAnsi="Cambria Math"/>
                <w:color w:val="000000"/>
                <w:lang w:val="en-GB"/>
              </w:rPr>
            </m:ctrlPr>
          </m:sup>
        </m:sSubSup>
      </m:oMath>
      <w:r w:rsidRPr="00A51D05">
        <w:rPr>
          <w:rFonts w:eastAsia="Times New Roman"/>
          <w:lang w:val="en-GB"/>
        </w:rPr>
        <w:t xml:space="preserve"> downlink cells</w:t>
      </w:r>
      <w:r>
        <w:rPr>
          <w:rFonts w:eastAsia="Times New Roman"/>
          <w:lang w:val="en-US"/>
        </w:rPr>
        <w:t>, or</w:t>
      </w:r>
    </w:p>
    <w:p w14:paraId="60D9B362" w14:textId="77777777" w:rsidR="00837BC4" w:rsidRDefault="00837BC4" w:rsidP="00837BC4">
      <w:pPr>
        <w:pStyle w:val="B1"/>
        <w:rPr>
          <w:lang w:eastAsia="zh-CN"/>
        </w:rPr>
      </w:pPr>
      <w:r>
        <w:rPr>
          <w:lang w:eastAsia="ko-KR"/>
        </w:rPr>
        <w:t>-</w:t>
      </w:r>
      <w:r>
        <w:rPr>
          <w:lang w:eastAsia="ko-KR"/>
        </w:rPr>
        <w:tab/>
      </w:r>
      <w:r w:rsidRPr="00A51D05">
        <w:rPr>
          <w:rFonts w:eastAsia="Times New Roman"/>
          <w:lang w:val="en-GB" w:eastAsia="ko-KR"/>
        </w:rPr>
        <w:t xml:space="preserve">more than </w:t>
      </w:r>
      <m:oMath>
        <m:sSubSup>
          <m:sSubSupPr>
            <m:ctrlPr>
              <w:rPr>
                <w:rFonts w:ascii="Cambria Math" w:hAnsi="Calibri" w:cs="Calibri"/>
                <w:i/>
                <w:lang w:val="en-GB"/>
              </w:rPr>
            </m:ctrlPr>
          </m:sSubSupPr>
          <m:e>
            <m:r>
              <w:rPr>
                <w:rFonts w:ascii="Cambria Math" w:hAnsi="Calibri" w:cs="Calibri"/>
                <w:lang w:val="en-GB"/>
              </w:rPr>
              <m:t>M</m:t>
            </m:r>
          </m:e>
          <m:sub>
            <m:r>
              <m:rPr>
                <m:nor/>
              </m:rPr>
              <w:rPr>
                <w:rFonts w:ascii="Cambria Math" w:hAnsi="Calibri" w:cs="Calibri"/>
                <w:lang w:val="en-GB"/>
              </w:rPr>
              <m:t>PDCCH</m:t>
            </m:r>
            <m:ctrlPr>
              <w:rPr>
                <w:rFonts w:ascii="Cambria Math" w:hAnsi="Calibri" w:cs="Calibri"/>
                <w:lang w:val="en-GB"/>
              </w:rPr>
            </m:ctrlPr>
          </m:sub>
          <m:sup>
            <m:r>
              <m:rPr>
                <m:nor/>
              </m:rPr>
              <w:rPr>
                <w:rFonts w:ascii="Cambria Math" w:hAnsi="Calibri" w:cs="Calibri"/>
                <w:lang w:val="en-GB"/>
              </w:rPr>
              <m:t>max,</m:t>
            </m:r>
            <m:sSub>
              <m:sSubPr>
                <m:ctrlPr>
                  <w:rPr>
                    <w:rFonts w:ascii="Cambria Math" w:hAnsi="Cambria Math"/>
                    <w:i/>
                    <w:lang w:val="en-GB" w:eastAsia="zh-CN"/>
                  </w:rPr>
                </m:ctrlPr>
              </m:sSubPr>
              <m:e>
                <m:r>
                  <w:rPr>
                    <w:rFonts w:ascii="Cambria Math" w:hAnsi="Cambria Math"/>
                    <w:lang w:val="en-GB" w:eastAsia="zh-CN"/>
                  </w:rPr>
                  <m:t>X</m:t>
                </m:r>
              </m:e>
              <m:sub>
                <m:r>
                  <w:rPr>
                    <w:rFonts w:ascii="Cambria Math" w:hAnsi="Cambria Math"/>
                    <w:lang w:val="en-GB" w:eastAsia="zh-CN"/>
                  </w:rPr>
                  <m:t>s</m:t>
                </m:r>
              </m:sub>
            </m:sSub>
            <m:r>
              <m:rPr>
                <m:nor/>
              </m:rPr>
              <w:rPr>
                <w:rFonts w:ascii="Cambria Math" w:hAnsi="Calibri" w:cs="Calibri"/>
                <w:lang w:val="en-GB"/>
              </w:rPr>
              <m:t>,</m:t>
            </m:r>
            <m:r>
              <w:rPr>
                <w:rFonts w:ascii="Cambria Math" w:hAnsi="Calibri" w:cs="Calibri"/>
                <w:lang w:val="en-GB"/>
              </w:rPr>
              <m:t>μ</m:t>
            </m:r>
            <m:ctrlPr>
              <w:rPr>
                <w:rFonts w:ascii="Cambria Math" w:hAnsi="Calibri" w:cs="Calibri"/>
                <w:lang w:val="en-GB"/>
              </w:rPr>
            </m:ctrlPr>
          </m:sup>
        </m:sSubSup>
      </m:oMath>
      <w:r w:rsidRPr="00A51D05">
        <w:rPr>
          <w:rFonts w:eastAsia="Times New Roman"/>
          <w:lang w:val="en-GB"/>
        </w:rPr>
        <w:t xml:space="preserve"> PDCCH candidates or more than </w:t>
      </w:r>
      <m:oMath>
        <m:sSubSup>
          <m:sSubSupPr>
            <m:ctrlPr>
              <w:rPr>
                <w:rFonts w:ascii="Cambria Math" w:hAnsi="Calibri" w:cs="Calibri"/>
                <w:i/>
                <w:lang w:val="en-GB"/>
              </w:rPr>
            </m:ctrlPr>
          </m:sSubSupPr>
          <m:e>
            <m:r>
              <w:rPr>
                <w:rFonts w:ascii="Cambria Math" w:hAnsi="Calibri" w:cs="Calibri"/>
                <w:lang w:val="en-GB"/>
              </w:rPr>
              <m:t>C</m:t>
            </m:r>
          </m:e>
          <m:sub>
            <m:r>
              <m:rPr>
                <m:nor/>
              </m:rPr>
              <w:rPr>
                <w:rFonts w:ascii="Cambria Math" w:hAnsi="Calibri" w:cs="Calibri"/>
                <w:lang w:val="en-GB"/>
              </w:rPr>
              <m:t>PDCCH</m:t>
            </m:r>
            <m:ctrlPr>
              <w:rPr>
                <w:rFonts w:ascii="Cambria Math" w:hAnsi="Calibri" w:cs="Calibri"/>
                <w:lang w:val="en-GB"/>
              </w:rPr>
            </m:ctrlPr>
          </m:sub>
          <m:sup>
            <m:r>
              <m:rPr>
                <m:nor/>
              </m:rPr>
              <w:rPr>
                <w:rFonts w:ascii="Cambria Math" w:hAnsi="Calibri" w:cs="Calibri"/>
                <w:lang w:val="en-GB"/>
              </w:rPr>
              <m:t>max,</m:t>
            </m:r>
            <m:sSub>
              <m:sSubPr>
                <m:ctrlPr>
                  <w:rPr>
                    <w:rFonts w:ascii="Cambria Math" w:hAnsi="Cambria Math"/>
                    <w:i/>
                    <w:lang w:val="en-GB" w:eastAsia="zh-CN"/>
                  </w:rPr>
                </m:ctrlPr>
              </m:sSubPr>
              <m:e>
                <m:r>
                  <w:rPr>
                    <w:rFonts w:ascii="Cambria Math" w:hAnsi="Cambria Math"/>
                    <w:lang w:val="en-GB" w:eastAsia="zh-CN"/>
                  </w:rPr>
                  <m:t>X</m:t>
                </m:r>
              </m:e>
              <m:sub>
                <m:r>
                  <w:rPr>
                    <w:rFonts w:ascii="Cambria Math" w:hAnsi="Cambria Math"/>
                    <w:lang w:val="en-GB" w:eastAsia="zh-CN"/>
                  </w:rPr>
                  <m:t>s</m:t>
                </m:r>
              </m:sub>
            </m:sSub>
            <m:r>
              <m:rPr>
                <m:nor/>
              </m:rPr>
              <w:rPr>
                <w:rFonts w:ascii="Cambria Math" w:hAnsi="Calibri" w:cs="Calibri"/>
                <w:lang w:val="en-GB"/>
              </w:rPr>
              <m:t>,</m:t>
            </m:r>
            <m:r>
              <w:rPr>
                <w:rFonts w:ascii="Cambria Math" w:hAnsi="Calibri" w:cs="Calibri"/>
                <w:lang w:val="en-GB"/>
              </w:rPr>
              <m:t>μ</m:t>
            </m:r>
            <m:ctrlPr>
              <w:rPr>
                <w:rFonts w:ascii="Cambria Math" w:hAnsi="Calibri" w:cs="Calibri"/>
                <w:lang w:val="en-GB"/>
              </w:rPr>
            </m:ctrlPr>
          </m:sup>
        </m:sSubSup>
      </m:oMath>
      <w:r w:rsidRPr="00A51D05">
        <w:rPr>
          <w:rFonts w:eastAsia="Times New Roman"/>
          <w:lang w:val="en-GB"/>
        </w:rPr>
        <w:t xml:space="preserve"> non-overlapped CCEs per group of </w:t>
      </w:r>
      <m:oMath>
        <m:sSub>
          <m:sSubPr>
            <m:ctrlPr>
              <w:rPr>
                <w:rFonts w:ascii="Cambria Math" w:hAnsi="Cambria Math"/>
                <w:i/>
                <w:lang w:val="en-GB" w:eastAsia="zh-CN"/>
              </w:rPr>
            </m:ctrlPr>
          </m:sSubPr>
          <m:e>
            <m:r>
              <w:rPr>
                <w:rFonts w:ascii="Cambria Math" w:hAnsi="Cambria Math"/>
                <w:lang w:val="en-GB" w:eastAsia="zh-CN"/>
              </w:rPr>
              <m:t>X</m:t>
            </m:r>
          </m:e>
          <m:sub>
            <m:r>
              <w:rPr>
                <w:rFonts w:ascii="Cambria Math" w:hAnsi="Cambria Math"/>
                <w:lang w:val="en-GB" w:eastAsia="zh-CN"/>
              </w:rPr>
              <m:t>s</m:t>
            </m:r>
          </m:sub>
        </m:sSub>
      </m:oMath>
      <w:r w:rsidRPr="00A51D05">
        <w:rPr>
          <w:rFonts w:eastAsia="Times New Roman"/>
          <w:lang w:val="en-GB" w:eastAsia="zh-CN"/>
        </w:rPr>
        <w:t xml:space="preserve"> slots</w:t>
      </w:r>
      <w:r w:rsidRPr="00A51D05">
        <w:rPr>
          <w:rFonts w:eastAsia="Times New Roman"/>
          <w:lang w:val="en-GB"/>
        </w:rPr>
        <w:t xml:space="preserve"> for CORESETs with same </w:t>
      </w:r>
      <w:r w:rsidRPr="008812E1">
        <w:rPr>
          <w:rFonts w:eastAsia="Times New Roman"/>
          <w:i/>
          <w:iCs/>
          <w:lang w:val="en-GB"/>
        </w:rPr>
        <w:t>coresetPoolIndex</w:t>
      </w:r>
      <w:r w:rsidRPr="00A51D05">
        <w:rPr>
          <w:rFonts w:eastAsia="Times New Roman"/>
          <w:lang w:val="en-GB"/>
        </w:rPr>
        <w:t xml:space="preserve"> for each scheduled cell when the scheduling cell is from the </w:t>
      </w:r>
      <m:oMath>
        <m:sSubSup>
          <m:sSubSupPr>
            <m:ctrlPr>
              <w:rPr>
                <w:rFonts w:ascii="Cambria Math" w:eastAsia="Calibri" w:hAnsi="Cambria Math"/>
                <w:iCs/>
                <w:color w:val="000000"/>
                <w:lang w:val="en-GB"/>
              </w:rPr>
            </m:ctrlPr>
          </m:sSubSupPr>
          <m:e>
            <m:r>
              <w:rPr>
                <w:rFonts w:ascii="Cambria Math" w:hAnsi="Cambria Math"/>
                <w:color w:val="000000"/>
                <w:lang w:val="en-GB"/>
              </w:rPr>
              <m:t>N</m:t>
            </m:r>
          </m:e>
          <m:sub>
            <m:r>
              <m:rPr>
                <m:sty m:val="p"/>
              </m:rPr>
              <w:rPr>
                <w:rFonts w:ascii="Cambria Math" w:hAnsi="Cambria Math"/>
                <w:color w:val="000000"/>
                <w:lang w:val="en-GB"/>
              </w:rPr>
              <m:t>cells,r17,1</m:t>
            </m:r>
            <m:ctrlPr>
              <w:rPr>
                <w:rFonts w:ascii="Cambria Math" w:eastAsia="Calibri" w:hAnsi="Cambria Math"/>
                <w:color w:val="000000"/>
                <w:lang w:val="en-GB"/>
              </w:rPr>
            </m:ctrlPr>
          </m:sub>
          <m:sup>
            <m:r>
              <m:rPr>
                <m:sty m:val="p"/>
              </m:rPr>
              <w:rPr>
                <w:rFonts w:ascii="Cambria Math" w:hAnsi="Cambria Math"/>
                <w:color w:val="000000"/>
                <w:lang w:val="en-GB"/>
              </w:rPr>
              <m:t>DL,</m:t>
            </m:r>
            <m:sSub>
              <m:sSubPr>
                <m:ctrlPr>
                  <w:rPr>
                    <w:rFonts w:ascii="Cambria Math" w:hAnsi="Cambria Math"/>
                    <w:i/>
                    <w:lang w:val="en-GB" w:eastAsia="zh-CN"/>
                  </w:rPr>
                </m:ctrlPr>
              </m:sSubPr>
              <m:e>
                <m:r>
                  <w:rPr>
                    <w:rFonts w:ascii="Cambria Math" w:hAnsi="Cambria Math"/>
                    <w:lang w:val="en-GB" w:eastAsia="zh-CN"/>
                  </w:rPr>
                  <m:t>X</m:t>
                </m:r>
              </m:e>
              <m:sub>
                <m:r>
                  <w:rPr>
                    <w:rFonts w:ascii="Cambria Math" w:hAnsi="Cambria Math"/>
                    <w:lang w:val="en-GB" w:eastAsia="zh-CN"/>
                  </w:rPr>
                  <m:t>s</m:t>
                </m:r>
              </m:sub>
            </m:sSub>
            <m:r>
              <m:rPr>
                <m:sty m:val="p"/>
              </m:rPr>
              <w:rPr>
                <w:rFonts w:ascii="Cambria Math" w:hAnsi="Cambria Math"/>
                <w:color w:val="000000"/>
                <w:lang w:val="en-GB"/>
              </w:rPr>
              <m:t>,</m:t>
            </m:r>
            <m:r>
              <w:rPr>
                <w:rFonts w:ascii="Cambria Math" w:hAnsi="Cambria Math"/>
                <w:color w:val="000000"/>
                <w:lang w:val="en-GB"/>
              </w:rPr>
              <m:t>μ</m:t>
            </m:r>
            <m:ctrlPr>
              <w:rPr>
                <w:rFonts w:ascii="Cambria Math" w:eastAsia="Calibri" w:hAnsi="Cambria Math"/>
                <w:color w:val="000000"/>
                <w:lang w:val="en-GB"/>
              </w:rPr>
            </m:ctrlPr>
          </m:sup>
        </m:sSubSup>
      </m:oMath>
      <w:r w:rsidRPr="00A51D05">
        <w:rPr>
          <w:rFonts w:eastAsia="Times New Roman"/>
          <w:lang w:val="en-GB"/>
        </w:rPr>
        <w:t xml:space="preserve"> downlink cells</w:t>
      </w:r>
      <w:r w:rsidRPr="00F66CE9">
        <w:rPr>
          <w:lang w:eastAsia="zh-CN"/>
        </w:rPr>
        <w:t xml:space="preserve"> </w:t>
      </w:r>
    </w:p>
    <w:p w14:paraId="34F086E3" w14:textId="0D123471" w:rsidR="00670E7E" w:rsidRPr="00F66CE9" w:rsidRDefault="00670E7E" w:rsidP="00670E7E">
      <w:pPr>
        <w:spacing w:line="256" w:lineRule="auto"/>
        <w:rPr>
          <w:lang w:eastAsia="ko-KR"/>
        </w:rPr>
      </w:pPr>
      <w:r w:rsidRPr="00F66CE9">
        <w:rPr>
          <w:rFonts w:eastAsia="Times New Roman"/>
          <w:iCs/>
        </w:rPr>
        <w:t xml:space="preserve">If the UE is configured with downlink cells for which the UE is provided </w:t>
      </w:r>
      <w:r w:rsidRPr="00F66CE9">
        <w:rPr>
          <w:rFonts w:eastAsia="Times New Roman"/>
          <w:i/>
        </w:rPr>
        <w:t>monitoringCapabilityConfig</w:t>
      </w:r>
      <w:r w:rsidRPr="00F66CE9">
        <w:rPr>
          <w:rFonts w:eastAsia="Times New Roman"/>
        </w:rPr>
        <w:t xml:space="preserve"> = </w:t>
      </w:r>
      <w:r w:rsidRPr="00F66CE9">
        <w:rPr>
          <w:rFonts w:eastAsia="Times New Roman"/>
          <w:i/>
        </w:rPr>
        <w:t>r15monitoringcapability</w:t>
      </w:r>
      <w:r w:rsidRPr="00F66CE9">
        <w:rPr>
          <w:rFonts w:eastAsia="Times New Roman"/>
          <w:iCs/>
        </w:rPr>
        <w:t xml:space="preserve"> and downlink cells</w:t>
      </w:r>
      <w:r>
        <w:rPr>
          <w:rFonts w:eastAsia="Times New Roman"/>
          <w:iCs/>
        </w:rPr>
        <w:t xml:space="preserve"> </w:t>
      </w:r>
      <w:r w:rsidRPr="00F66CE9">
        <w:rPr>
          <w:rFonts w:eastAsia="Times New Roman"/>
          <w:iCs/>
        </w:rPr>
        <w:t xml:space="preserve">for which the UE is provided </w:t>
      </w:r>
      <w:r w:rsidRPr="00F66CE9">
        <w:rPr>
          <w:rFonts w:eastAsia="Times New Roman"/>
          <w:i/>
        </w:rPr>
        <w:t>monitoringCapabilityConfig</w:t>
      </w:r>
      <w:r w:rsidRPr="00F66CE9">
        <w:rPr>
          <w:rFonts w:eastAsia="Times New Roman"/>
        </w:rPr>
        <w:t xml:space="preserve"> = </w:t>
      </w:r>
      <w:r w:rsidRPr="00F66CE9">
        <w:rPr>
          <w:rFonts w:eastAsia="Times New Roman"/>
          <w:i/>
        </w:rPr>
        <w:t>r1</w:t>
      </w:r>
      <w:r>
        <w:rPr>
          <w:rFonts w:eastAsia="Times New Roman"/>
          <w:i/>
        </w:rPr>
        <w:t>7</w:t>
      </w:r>
      <w:r w:rsidRPr="00F66CE9">
        <w:rPr>
          <w:rFonts w:eastAsia="Times New Roman"/>
          <w:i/>
        </w:rPr>
        <w:t>monitoringcapability</w:t>
      </w:r>
      <w:r w:rsidRPr="00EC1625" w:rsidDel="00337810">
        <w:rPr>
          <w:lang w:val="en-US" w:eastAsia="ja-JP"/>
        </w:rPr>
        <w:t xml:space="preserve"> </w:t>
      </w:r>
      <w:r>
        <w:rPr>
          <w:lang w:eastAsia="zh-CN"/>
        </w:rPr>
        <w:t>for the active DL BWPs</w:t>
      </w:r>
      <w:r>
        <w:rPr>
          <w:rFonts w:eastAsia="Times New Roman"/>
          <w:iCs/>
        </w:rPr>
        <w:t>,</w:t>
      </w:r>
      <w:r w:rsidRPr="00F66CE9">
        <w:rPr>
          <w:rFonts w:eastAsia="Times New Roman"/>
          <w:i/>
        </w:rPr>
        <w:t xml:space="preserve"> </w:t>
      </w:r>
      <m:oMath>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m:t>
            </m:r>
            <m:ctrlPr>
              <w:rPr>
                <w:rFonts w:ascii="Cambria Math" w:hAnsi="Calibri" w:cs="Calibri"/>
              </w:rPr>
            </m:ctrlPr>
          </m:sub>
          <m:sup>
            <m:r>
              <m:rPr>
                <m:nor/>
              </m:rPr>
              <w:rPr>
                <w:rFonts w:ascii="Cambria Math" w:hAnsi="Calibri" w:cs="Calibri"/>
              </w:rPr>
              <m:t>cap-r17</m:t>
            </m:r>
            <m:ctrlPr>
              <w:rPr>
                <w:rFonts w:ascii="Cambria Math" w:hAnsi="Calibri" w:cs="Calibri"/>
              </w:rPr>
            </m:ctrlPr>
          </m:sup>
        </m:sSubSup>
      </m:oMath>
      <w:r w:rsidRPr="00F66CE9">
        <w:t xml:space="preserve"> is replaced by </w:t>
      </w:r>
      <m:oMath>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cells,r17/r15</m:t>
            </m:r>
            <m:ctrlPr>
              <w:rPr>
                <w:rFonts w:ascii="Cambria Math" w:hAnsi="Calibri" w:cs="Calibri"/>
              </w:rPr>
            </m:ctrlPr>
          </m:sub>
          <m:sup>
            <m:r>
              <m:rPr>
                <m:nor/>
              </m:rPr>
              <w:rPr>
                <w:rFonts w:ascii="Cambria Math" w:hAnsi="Calibri" w:cs="Calibri"/>
              </w:rPr>
              <m:t>cap-r17</m:t>
            </m:r>
            <m:ctrlPr>
              <w:rPr>
                <w:rFonts w:ascii="Cambria Math" w:hAnsi="Calibri" w:cs="Calibri"/>
              </w:rPr>
            </m:ctrlPr>
          </m:sup>
        </m:sSubSup>
      </m:oMath>
      <w:r w:rsidRPr="00F66CE9">
        <w:rPr>
          <w:rFonts w:eastAsia="Times New Roman"/>
        </w:rPr>
        <w:t xml:space="preserve">. </w:t>
      </w:r>
      <w:r w:rsidRPr="00F66CE9">
        <w:rPr>
          <w:rFonts w:eastAsia="Times New Roman"/>
          <w:iCs/>
        </w:rPr>
        <w:t xml:space="preserve">If the UE is configured with downlink cells for which the UE is provided </w:t>
      </w:r>
      <w:r w:rsidRPr="00F66CE9">
        <w:rPr>
          <w:rFonts w:eastAsia="Times New Roman"/>
          <w:i/>
        </w:rPr>
        <w:t>monitoringCapabilityConfig</w:t>
      </w:r>
      <w:r w:rsidRPr="00F66CE9">
        <w:rPr>
          <w:rFonts w:eastAsia="Times New Roman"/>
        </w:rPr>
        <w:t xml:space="preserve"> = </w:t>
      </w:r>
      <w:r w:rsidRPr="00F66CE9">
        <w:rPr>
          <w:rFonts w:eastAsia="Times New Roman"/>
          <w:i/>
        </w:rPr>
        <w:t>r16monitoringcapability</w:t>
      </w:r>
      <w:r w:rsidRPr="00F66CE9">
        <w:rPr>
          <w:rFonts w:eastAsia="Times New Roman"/>
          <w:iCs/>
        </w:rPr>
        <w:t xml:space="preserve"> and downlink cells</w:t>
      </w:r>
      <w:r>
        <w:rPr>
          <w:rFonts w:eastAsia="Times New Roman"/>
          <w:iCs/>
        </w:rPr>
        <w:t xml:space="preserve"> </w:t>
      </w:r>
      <w:r w:rsidRPr="00F66CE9">
        <w:rPr>
          <w:rFonts w:eastAsia="Times New Roman"/>
          <w:iCs/>
        </w:rPr>
        <w:t xml:space="preserve">for which the UE is provided </w:t>
      </w:r>
      <w:r w:rsidRPr="00F66CE9">
        <w:rPr>
          <w:rFonts w:eastAsia="Times New Roman"/>
          <w:i/>
        </w:rPr>
        <w:t>monitoringCapabilityConfig</w:t>
      </w:r>
      <w:r w:rsidRPr="00F66CE9">
        <w:rPr>
          <w:rFonts w:eastAsia="Times New Roman"/>
        </w:rPr>
        <w:t xml:space="preserve"> = </w:t>
      </w:r>
      <w:r w:rsidRPr="00F66CE9">
        <w:rPr>
          <w:rFonts w:eastAsia="Times New Roman"/>
          <w:i/>
        </w:rPr>
        <w:t>r1</w:t>
      </w:r>
      <w:r>
        <w:rPr>
          <w:rFonts w:eastAsia="Times New Roman"/>
          <w:i/>
        </w:rPr>
        <w:t>7</w:t>
      </w:r>
      <w:r w:rsidRPr="00F66CE9">
        <w:rPr>
          <w:rFonts w:eastAsia="Times New Roman"/>
          <w:i/>
        </w:rPr>
        <w:t>monitoringcapability</w:t>
      </w:r>
      <w:r>
        <w:rPr>
          <w:lang w:eastAsia="zh-CN"/>
        </w:rPr>
        <w:t xml:space="preserve"> for the active DL BWPs</w:t>
      </w:r>
      <w:r>
        <w:rPr>
          <w:rFonts w:eastAsia="Times New Roman"/>
          <w:iCs/>
        </w:rPr>
        <w:t>,</w:t>
      </w:r>
      <w:r w:rsidRPr="00F66CE9">
        <w:rPr>
          <w:rFonts w:eastAsia="Times New Roman"/>
          <w:i/>
        </w:rPr>
        <w:t xml:space="preserve"> </w:t>
      </w:r>
      <m:oMath>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m:t>
            </m:r>
            <m:ctrlPr>
              <w:rPr>
                <w:rFonts w:ascii="Cambria Math" w:hAnsi="Calibri" w:cs="Calibri"/>
              </w:rPr>
            </m:ctrlPr>
          </m:sub>
          <m:sup>
            <m:r>
              <m:rPr>
                <m:nor/>
              </m:rPr>
              <w:rPr>
                <w:rFonts w:ascii="Cambria Math" w:hAnsi="Calibri" w:cs="Calibri"/>
              </w:rPr>
              <m:t>cap-r17</m:t>
            </m:r>
            <m:ctrlPr>
              <w:rPr>
                <w:rFonts w:ascii="Cambria Math" w:hAnsi="Calibri" w:cs="Calibri"/>
              </w:rPr>
            </m:ctrlPr>
          </m:sup>
        </m:sSubSup>
      </m:oMath>
      <w:r w:rsidRPr="00F66CE9">
        <w:t xml:space="preserve"> is replaced by </w:t>
      </w:r>
      <m:oMath>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cells,r17/r16</m:t>
            </m:r>
            <m:ctrlPr>
              <w:rPr>
                <w:rFonts w:ascii="Cambria Math" w:hAnsi="Calibri" w:cs="Calibri"/>
              </w:rPr>
            </m:ctrlPr>
          </m:sub>
          <m:sup>
            <m:r>
              <m:rPr>
                <m:nor/>
              </m:rPr>
              <w:rPr>
                <w:rFonts w:ascii="Cambria Math" w:hAnsi="Calibri" w:cs="Calibri"/>
              </w:rPr>
              <m:t>cap-r17</m:t>
            </m:r>
            <m:ctrlPr>
              <w:rPr>
                <w:rFonts w:ascii="Cambria Math" w:hAnsi="Calibri" w:cs="Calibri"/>
              </w:rPr>
            </m:ctrlPr>
          </m:sup>
        </m:sSubSup>
      </m:oMath>
      <w:r w:rsidRPr="00F66CE9">
        <w:rPr>
          <w:rFonts w:eastAsia="Times New Roman"/>
        </w:rPr>
        <w:t xml:space="preserve">. </w:t>
      </w:r>
      <w:r w:rsidRPr="00F66CE9">
        <w:rPr>
          <w:rFonts w:eastAsia="Times New Roman"/>
          <w:iCs/>
        </w:rPr>
        <w:t xml:space="preserve">If the UE is configured with downlink cells for which the UE is provided </w:t>
      </w:r>
      <w:r w:rsidRPr="00F66CE9">
        <w:rPr>
          <w:rFonts w:eastAsia="Times New Roman"/>
          <w:i/>
        </w:rPr>
        <w:t>monitoringCapabilityConfig</w:t>
      </w:r>
      <w:r w:rsidRPr="00F66CE9">
        <w:rPr>
          <w:rFonts w:eastAsia="Times New Roman"/>
        </w:rPr>
        <w:t xml:space="preserve"> = </w:t>
      </w:r>
      <w:r w:rsidRPr="00F66CE9">
        <w:rPr>
          <w:rFonts w:eastAsia="Times New Roman"/>
          <w:i/>
        </w:rPr>
        <w:t>r15monitoringcapability</w:t>
      </w:r>
      <w:r w:rsidRPr="00F66CE9">
        <w:rPr>
          <w:rFonts w:eastAsia="Times New Roman"/>
          <w:iCs/>
        </w:rPr>
        <w:t xml:space="preserve"> and</w:t>
      </w:r>
      <w:r w:rsidR="008E2AC3">
        <w:rPr>
          <w:rFonts w:eastAsia="Times New Roman"/>
          <w:iCs/>
        </w:rPr>
        <w:t xml:space="preserve"> downlink cells for which the UE is provided</w:t>
      </w:r>
      <w:r w:rsidRPr="00F66CE9">
        <w:rPr>
          <w:rFonts w:eastAsia="Times New Roman"/>
          <w:iCs/>
        </w:rPr>
        <w:t xml:space="preserve"> </w:t>
      </w:r>
      <w:r w:rsidRPr="00F66CE9">
        <w:rPr>
          <w:rFonts w:eastAsia="Times New Roman"/>
          <w:i/>
        </w:rPr>
        <w:t>monitoringCapabilityConfig</w:t>
      </w:r>
      <w:r w:rsidRPr="00F66CE9">
        <w:rPr>
          <w:rFonts w:eastAsia="Times New Roman"/>
        </w:rPr>
        <w:t xml:space="preserve"> = </w:t>
      </w:r>
      <w:r w:rsidRPr="00F66CE9">
        <w:rPr>
          <w:rFonts w:eastAsia="Times New Roman"/>
          <w:i/>
        </w:rPr>
        <w:t>r16monitoringcapability</w:t>
      </w:r>
      <w:r w:rsidRPr="00F66CE9">
        <w:rPr>
          <w:rFonts w:eastAsia="Times New Roman"/>
          <w:iCs/>
        </w:rPr>
        <w:t xml:space="preserve"> and downlink cells</w:t>
      </w:r>
      <w:r>
        <w:rPr>
          <w:rFonts w:eastAsia="Times New Roman"/>
          <w:iCs/>
        </w:rPr>
        <w:t xml:space="preserve"> </w:t>
      </w:r>
      <w:r w:rsidR="00837BC4" w:rsidRPr="00E52575">
        <w:rPr>
          <w:rFonts w:eastAsia="Times New Roman"/>
          <w:iCs/>
        </w:rPr>
        <w:t xml:space="preserve">for which the UE is provided </w:t>
      </w:r>
      <w:r w:rsidR="00837BC4" w:rsidRPr="00E52575">
        <w:rPr>
          <w:rFonts w:eastAsia="Times New Roman"/>
          <w:i/>
        </w:rPr>
        <w:t>monitoringCapabilityConfig</w:t>
      </w:r>
      <w:r w:rsidR="00837BC4" w:rsidRPr="00E52575">
        <w:rPr>
          <w:rFonts w:eastAsia="Times New Roman"/>
        </w:rPr>
        <w:t xml:space="preserve"> = </w:t>
      </w:r>
      <w:r w:rsidR="00837BC4" w:rsidRPr="00E52575">
        <w:rPr>
          <w:rFonts w:eastAsia="Times New Roman"/>
          <w:i/>
        </w:rPr>
        <w:t>r17monitoringcapability</w:t>
      </w:r>
      <w:r>
        <w:rPr>
          <w:lang w:eastAsia="zh-CN"/>
        </w:rPr>
        <w:t xml:space="preserve"> for the active DL BWPs</w:t>
      </w:r>
      <w:r>
        <w:rPr>
          <w:rFonts w:eastAsia="Times New Roman"/>
          <w:iCs/>
        </w:rPr>
        <w:t>,</w:t>
      </w:r>
      <w:r w:rsidRPr="00F66CE9">
        <w:rPr>
          <w:rFonts w:eastAsia="Times New Roman"/>
          <w:i/>
        </w:rPr>
        <w:t xml:space="preserve"> </w:t>
      </w:r>
      <m:oMath>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m:t>
            </m:r>
            <m:ctrlPr>
              <w:rPr>
                <w:rFonts w:ascii="Cambria Math" w:hAnsi="Calibri" w:cs="Calibri"/>
              </w:rPr>
            </m:ctrlPr>
          </m:sub>
          <m:sup>
            <m:r>
              <m:rPr>
                <m:nor/>
              </m:rPr>
              <w:rPr>
                <w:rFonts w:ascii="Cambria Math" w:hAnsi="Calibri" w:cs="Calibri"/>
              </w:rPr>
              <m:t>cap-r17</m:t>
            </m:r>
            <m:ctrlPr>
              <w:rPr>
                <w:rFonts w:ascii="Cambria Math" w:hAnsi="Calibri" w:cs="Calibri"/>
              </w:rPr>
            </m:ctrlPr>
          </m:sup>
        </m:sSubSup>
      </m:oMath>
      <w:r w:rsidRPr="00F66CE9">
        <w:t xml:space="preserve"> is replaced by </w:t>
      </w:r>
      <m:oMath>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cells,r17/{r15,r16}</m:t>
            </m:r>
            <m:ctrlPr>
              <w:rPr>
                <w:rFonts w:ascii="Cambria Math" w:hAnsi="Calibri" w:cs="Calibri"/>
              </w:rPr>
            </m:ctrlPr>
          </m:sub>
          <m:sup>
            <m:r>
              <m:rPr>
                <m:nor/>
              </m:rPr>
              <w:rPr>
                <w:rFonts w:ascii="Cambria Math" w:hAnsi="Calibri" w:cs="Calibri"/>
              </w:rPr>
              <m:t>cap-r17</m:t>
            </m:r>
            <m:ctrlPr>
              <w:rPr>
                <w:rFonts w:ascii="Cambria Math" w:hAnsi="Calibri" w:cs="Calibri"/>
              </w:rPr>
            </m:ctrlPr>
          </m:sup>
        </m:sSubSup>
      </m:oMath>
      <w:r w:rsidRPr="00F66CE9">
        <w:rPr>
          <w:rFonts w:eastAsia="Times New Roman"/>
        </w:rPr>
        <w:t>.</w:t>
      </w:r>
      <w:r w:rsidR="00837BC4">
        <w:rPr>
          <w:rFonts w:eastAsia="Times New Roman"/>
        </w:rPr>
        <w:t xml:space="preserve"> </w:t>
      </w:r>
      <w:r w:rsidR="00837BC4" w:rsidRPr="00A51D05">
        <w:t xml:space="preserve">If, for one or more of the cells, the UE is provided with </w:t>
      </w:r>
      <w:r w:rsidR="00837BC4" w:rsidRPr="00A51D05">
        <w:rPr>
          <w:i/>
        </w:rPr>
        <w:t>monitoringCapabilityConfig</w:t>
      </w:r>
      <w:r w:rsidR="00837BC4" w:rsidRPr="00A51D05">
        <w:t xml:space="preserve"> = </w:t>
      </w:r>
      <w:r w:rsidR="00837BC4" w:rsidRPr="00A51D05">
        <w:rPr>
          <w:i/>
        </w:rPr>
        <w:t>r16monitoringcapability</w:t>
      </w:r>
      <w:r w:rsidR="00837BC4" w:rsidRPr="00A51D05">
        <w:rPr>
          <w:iCs/>
        </w:rPr>
        <w:t xml:space="preserve">, </w:t>
      </w:r>
      <m:oMath>
        <m:r>
          <w:rPr>
            <w:rFonts w:ascii="Cambria Math" w:hAnsi="Cambria Math" w:cs="Calibri"/>
            <w:lang w:val="x-none"/>
          </w:rPr>
          <m:t>γ</m:t>
        </m:r>
        <m:r>
          <w:rPr>
            <w:rFonts w:ascii="Cambria Math"/>
            <w:lang w:val="x-none"/>
          </w:rPr>
          <m:t>=1</m:t>
        </m:r>
      </m:oMath>
      <w:r w:rsidR="00837BC4" w:rsidRPr="00A51D05">
        <w:t>.</w:t>
      </w:r>
    </w:p>
    <w:p w14:paraId="274FBB6C" w14:textId="0C3FA824" w:rsidR="008E2AC3" w:rsidRDefault="007A61F8" w:rsidP="007A61F8">
      <w:pPr>
        <w:autoSpaceDN w:val="0"/>
      </w:pPr>
      <w:r w:rsidRPr="00F66CE9">
        <w:rPr>
          <w:iCs/>
        </w:rPr>
        <w:t xml:space="preserve">If a UE is configured </w:t>
      </w:r>
      <m:oMath>
        <m:sSubSup>
          <m:sSubSupPr>
            <m:ctrlPr>
              <w:rPr>
                <w:rFonts w:ascii="Cambria Math" w:hAnsi="Cambria Math"/>
                <w:i/>
              </w:rPr>
            </m:ctrlPr>
          </m:sSubSupPr>
          <m:e>
            <m:r>
              <w:rPr>
                <w:rFonts w:ascii="Cambria Math"/>
              </w:rPr>
              <m:t>N</m:t>
            </m:r>
          </m:e>
          <m:sub>
            <m:r>
              <m:rPr>
                <m:nor/>
              </m:rPr>
              <w:rPr>
                <w:rFonts w:ascii="Cambria Math"/>
              </w:rPr>
              <m:t>cells,r17,0</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cells,r17,1</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oMath>
      <w:r w:rsidRPr="00F66CE9">
        <w:rPr>
          <w:iCs/>
        </w:rPr>
        <w:t xml:space="preserve"> downlink cells </w:t>
      </w:r>
      <w:r w:rsidRPr="00A51D05">
        <w:rPr>
          <w:lang w:eastAsia="ja-JP"/>
        </w:rPr>
        <w:t>for which the UE is provided</w:t>
      </w:r>
      <w:r w:rsidRPr="00EC1625">
        <w:rPr>
          <w:lang w:val="en-US" w:eastAsia="ja-JP"/>
        </w:rPr>
        <w:t xml:space="preserve"> </w:t>
      </w:r>
      <w:r w:rsidRPr="00F66CE9">
        <w:rPr>
          <w:rFonts w:eastAsia="Times New Roman"/>
          <w:i/>
        </w:rPr>
        <w:t>monitoringCapabilityConfig</w:t>
      </w:r>
      <w:r w:rsidRPr="00F66CE9">
        <w:rPr>
          <w:rFonts w:eastAsia="Times New Roman"/>
        </w:rPr>
        <w:t xml:space="preserve"> = </w:t>
      </w:r>
      <w:r w:rsidRPr="00F66CE9">
        <w:rPr>
          <w:rFonts w:eastAsia="Times New Roman"/>
          <w:i/>
        </w:rPr>
        <w:t>r1</w:t>
      </w:r>
      <w:r>
        <w:rPr>
          <w:rFonts w:eastAsia="Times New Roman"/>
          <w:i/>
        </w:rPr>
        <w:t>7</w:t>
      </w:r>
      <w:r w:rsidRPr="00F66CE9">
        <w:rPr>
          <w:rFonts w:eastAsia="Times New Roman"/>
          <w:i/>
        </w:rPr>
        <w:t>monitoringcapability</w:t>
      </w:r>
      <w:r w:rsidRPr="00EC1625" w:rsidDel="00337810">
        <w:rPr>
          <w:lang w:val="en-US" w:eastAsia="ja-JP"/>
        </w:rPr>
        <w:t xml:space="preserve"> </w:t>
      </w:r>
      <w:r w:rsidR="00945024" w:rsidRPr="00772174">
        <w:rPr>
          <w:iCs/>
          <w:color w:val="000000" w:themeColor="text1"/>
        </w:rPr>
        <w:t xml:space="preserve">and </w:t>
      </w:r>
      <w:r w:rsidR="00945024" w:rsidRPr="00772174">
        <w:rPr>
          <w:color w:val="000000" w:themeColor="text1"/>
        </w:rPr>
        <w:t xml:space="preserve">with </w:t>
      </w:r>
      <w:r w:rsidR="00945024" w:rsidRPr="00772174">
        <w:rPr>
          <w:color w:val="000000" w:themeColor="text1"/>
          <w:lang w:eastAsia="ko-KR"/>
        </w:rPr>
        <w:t>associated PDCCH candidates monitored</w:t>
      </w:r>
      <w:r w:rsidR="00945024" w:rsidRPr="00772174">
        <w:rPr>
          <w:rFonts w:hint="eastAsia"/>
          <w:color w:val="000000" w:themeColor="text1"/>
          <w:lang w:eastAsia="zh-CN"/>
        </w:rPr>
        <w:t xml:space="preserve"> in</w:t>
      </w:r>
      <w:r>
        <w:rPr>
          <w:lang w:eastAsia="zh-CN"/>
        </w:rPr>
        <w:t xml:space="preserve"> the active </w:t>
      </w:r>
      <w:r w:rsidRPr="00F66CE9">
        <w:t>DL BWPs of the scheduling cells</w:t>
      </w:r>
      <w:r w:rsidR="00945024" w:rsidRPr="00945024">
        <w:rPr>
          <w:color w:val="000000" w:themeColor="text1"/>
        </w:rPr>
        <w:t xml:space="preserve"> </w:t>
      </w:r>
      <w:r w:rsidR="00945024" w:rsidRPr="00772174">
        <w:rPr>
          <w:color w:val="000000" w:themeColor="text1"/>
        </w:rPr>
        <w:t xml:space="preserve">using SCS configuration </w:t>
      </w:r>
      <m:oMath>
        <m:r>
          <w:rPr>
            <w:rFonts w:ascii="Cambria Math" w:eastAsia="Calibri" w:hAnsi="Cambria Math"/>
            <w:color w:val="000000" w:themeColor="text1"/>
          </w:rPr>
          <m:t>μ</m:t>
        </m:r>
      </m:oMath>
      <w:r w:rsidRPr="00F66CE9">
        <w:rPr>
          <w:iCs/>
        </w:rPr>
        <w:t xml:space="preserve">, and with </w:t>
      </w:r>
      <m:oMath>
        <m:sSubSup>
          <m:sSubSupPr>
            <m:ctrlPr>
              <w:rPr>
                <w:rFonts w:ascii="Cambria Math" w:hAnsi="Cambria Math"/>
                <w:i/>
              </w:rPr>
            </m:ctrlPr>
          </m:sSubSupPr>
          <m:e>
            <m:r>
              <w:rPr>
                <w:rFonts w:ascii="Cambria Math"/>
              </w:rPr>
              <m:t>N</m:t>
            </m:r>
          </m:e>
          <m:sub>
            <m:r>
              <m:rPr>
                <m:nor/>
              </m:rPr>
              <w:rPr>
                <w:rFonts w:ascii="Cambria Math"/>
              </w:rPr>
              <m:t>cells,r17,0</m:t>
            </m:r>
            <m:ctrlPr>
              <w:rPr>
                <w:rFonts w:ascii="Cambria Math" w:hAnsi="Cambria Math"/>
              </w:rPr>
            </m:ctrlPr>
          </m:sub>
          <m:sup>
            <m:r>
              <m:rPr>
                <m:nor/>
              </m:rPr>
              <w:rPr>
                <w:rFonts w:ascii="Cambria Math"/>
              </w:rPr>
              <m:t>DL,</m:t>
            </m:r>
            <m:sSub>
              <m:sSubPr>
                <m:ctrlPr>
                  <w:rPr>
                    <w:rFonts w:ascii="Cambria Math" w:hAnsi="Cambria Math"/>
                    <w:i/>
                  </w:rPr>
                </m:ctrlPr>
              </m:sSubPr>
              <m:e>
                <m:r>
                  <w:rPr>
                    <w:rFonts w:ascii="Cambria Math"/>
                  </w:rPr>
                  <m:t>X</m:t>
                </m:r>
              </m:e>
              <m:sub>
                <m:r>
                  <w:rPr>
                    <w:rFonts w:ascii="Cambria Math"/>
                  </w:rPr>
                  <m:t>s</m:t>
                </m:r>
              </m:sub>
            </m:sSub>
            <m:r>
              <w:rPr>
                <w:rFonts w:asci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cells,r17,1</m:t>
            </m:r>
            <m:ctrlPr>
              <w:rPr>
                <w:rFonts w:ascii="Cambria Math" w:hAnsi="Cambria Math"/>
              </w:rPr>
            </m:ctrlPr>
          </m:sub>
          <m:sup>
            <m:r>
              <m:rPr>
                <m:nor/>
              </m:rPr>
              <w:rPr>
                <w:rFonts w:ascii="Cambria Math"/>
              </w:rPr>
              <m:t>DL,</m:t>
            </m:r>
            <m:sSub>
              <m:sSubPr>
                <m:ctrlPr>
                  <w:rPr>
                    <w:rFonts w:ascii="Cambria Math" w:hAnsi="Cambria Math"/>
                    <w:i/>
                  </w:rPr>
                </m:ctrlPr>
              </m:sSubPr>
              <m:e>
                <m:r>
                  <w:rPr>
                    <w:rFonts w:ascii="Cambria Math"/>
                  </w:rPr>
                  <m:t>X</m:t>
                </m:r>
              </m:e>
              <m:sub>
                <m:r>
                  <w:rPr>
                    <w:rFonts w:ascii="Cambria Math"/>
                  </w:rPr>
                  <m:t>s</m:t>
                </m:r>
              </m:sub>
            </m:sSub>
            <m:r>
              <w:rPr>
                <w:rFonts w:ascii="Cambria Math"/>
              </w:rPr>
              <m:t>,μ</m:t>
            </m:r>
            <m:ctrlPr>
              <w:rPr>
                <w:rFonts w:ascii="Cambria Math" w:hAnsi="Cambria Math"/>
              </w:rPr>
            </m:ctrlPr>
          </m:sup>
        </m:sSubSup>
      </m:oMath>
      <w:r w:rsidRPr="00F66CE9">
        <w:rPr>
          <w:iCs/>
        </w:rPr>
        <w:t xml:space="preserve"> of the </w:t>
      </w:r>
      <m:oMath>
        <m:sSubSup>
          <m:sSubSupPr>
            <m:ctrlPr>
              <w:rPr>
                <w:rFonts w:ascii="Cambria Math" w:hAnsi="Cambria Math"/>
                <w:i/>
              </w:rPr>
            </m:ctrlPr>
          </m:sSubSupPr>
          <m:e>
            <m:r>
              <w:rPr>
                <w:rFonts w:ascii="Cambria Math"/>
              </w:rPr>
              <m:t>N</m:t>
            </m:r>
          </m:e>
          <m:sub>
            <m:r>
              <m:rPr>
                <m:nor/>
              </m:rPr>
              <w:rPr>
                <w:rFonts w:ascii="Cambria Math"/>
              </w:rPr>
              <m:t>cells,r17,0</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cells,r17,1</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oMath>
      <w:r w:rsidRPr="00F66CE9">
        <w:rPr>
          <w:iCs/>
        </w:rPr>
        <w:t xml:space="preserve"> downlink cells using </w:t>
      </w:r>
      <w:r>
        <w:rPr>
          <w:iCs/>
        </w:rPr>
        <w:t xml:space="preserve">any </w:t>
      </w:r>
      <w:r w:rsidRPr="00F66CE9">
        <w:rPr>
          <w:iCs/>
        </w:rPr>
        <w:t xml:space="preserve">combination </w:t>
      </w:r>
      <m:oMath>
        <m:d>
          <m:dPr>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e>
        </m:d>
      </m:oMath>
      <w:r w:rsidRPr="00F66CE9">
        <w:rPr>
          <w:iCs/>
        </w:rPr>
        <w:t xml:space="preserve"> </w:t>
      </w:r>
      <w:r>
        <w:t xml:space="preserve">for a 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Pr>
          <w:lang w:eastAsia="zh-CN"/>
        </w:rPr>
        <w:t xml:space="preserve"> slots</w:t>
      </w:r>
      <w:r w:rsidRPr="00F66CE9">
        <w:rPr>
          <w:iCs/>
        </w:rPr>
        <w:t xml:space="preserve"> for PDCCH monitoring, where </w:t>
      </w:r>
      <m:oMath>
        <m:nary>
          <m:naryPr>
            <m:chr m:val="∑"/>
            <m:ctrlPr>
              <w:rPr>
                <w:rFonts w:ascii="Cambria Math" w:eastAsia="Calibri" w:hAnsi="Cambria Math"/>
                <w:iCs/>
              </w:rPr>
            </m:ctrlPr>
          </m:naryPr>
          <m:sub>
            <m:r>
              <m:rPr>
                <m:sty m:val="p"/>
              </m:rPr>
              <w:rPr>
                <w:rFonts w:ascii="Cambria Math" w:hAnsi="Cambria Math"/>
              </w:rPr>
              <m:t>μ=5</m:t>
            </m:r>
          </m:sub>
          <m:sup>
            <m:r>
              <m:rPr>
                <m:sty m:val="p"/>
              </m:rPr>
              <w:rPr>
                <w:rFonts w:ascii="Cambria Math" w:hAnsi="Cambria Math"/>
              </w:rPr>
              <m:t>6</m:t>
            </m:r>
          </m:sup>
          <m:e>
            <m:d>
              <m:dPr>
                <m:ctrlPr>
                  <w:rPr>
                    <w:rFonts w:ascii="Cambria Math" w:hAnsi="Cambria Math"/>
                    <w:i/>
                  </w:rPr>
                </m:ctrlPr>
              </m:dPr>
              <m:e>
                <m:sSubSup>
                  <m:sSubSupPr>
                    <m:ctrlPr>
                      <w:rPr>
                        <w:rFonts w:ascii="Cambria Math" w:hAnsi="Cambria Math"/>
                        <w:i/>
                      </w:rPr>
                    </m:ctrlPr>
                  </m:sSubSupPr>
                  <m:e>
                    <m:r>
                      <w:rPr>
                        <w:rFonts w:ascii="Cambria Math"/>
                      </w:rPr>
                      <m:t>N</m:t>
                    </m:r>
                  </m:e>
                  <m:sub>
                    <m:r>
                      <m:rPr>
                        <m:nor/>
                      </m:rPr>
                      <w:rPr>
                        <w:rFonts w:ascii="Cambria Math"/>
                      </w:rPr>
                      <m:t>cells,r17,0</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γ∙</m:t>
                    </m:r>
                    <m:r>
                      <w:rPr>
                        <w:rFonts w:ascii="Cambria Math"/>
                      </w:rPr>
                      <m:t>N</m:t>
                    </m:r>
                  </m:e>
                  <m:sub>
                    <m:r>
                      <m:rPr>
                        <m:nor/>
                      </m:rPr>
                      <w:rPr>
                        <w:rFonts w:ascii="Cambria Math"/>
                      </w:rPr>
                      <m:t>cells,r17,1</m:t>
                    </m:r>
                    <m:ctrlPr>
                      <w:rPr>
                        <w:rFonts w:ascii="Cambria Math" w:hAnsi="Cambria Math"/>
                      </w:rPr>
                    </m:ctrlPr>
                  </m:sub>
                  <m:sup>
                    <m:r>
                      <m:rPr>
                        <m:nor/>
                      </m:rPr>
                      <w:rPr>
                        <w:rFonts w:ascii="Cambria Math"/>
                      </w:rPr>
                      <m:t>DL</m:t>
                    </m:r>
                    <m:r>
                      <w:rPr>
                        <w:rFonts w:ascii="Cambria Math"/>
                      </w:rPr>
                      <m:t>,μ</m:t>
                    </m:r>
                    <m:ctrlPr>
                      <w:rPr>
                        <w:rFonts w:ascii="Cambria Math" w:hAnsi="Cambria Math"/>
                      </w:rPr>
                    </m:ctrlPr>
                  </m:sup>
                </m:sSubSup>
              </m:e>
            </m:d>
          </m:e>
        </m:nary>
        <m:r>
          <m:rPr>
            <m:sty m:val="p"/>
          </m:rPr>
          <w:rPr>
            <w:rFonts w:ascii="Cambria Math" w:hAnsi="Cambria Math"/>
          </w:rPr>
          <m:t>&gt;</m:t>
        </m:r>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m:t>
            </m:r>
            <m:ctrlPr>
              <w:rPr>
                <w:rFonts w:ascii="Cambria Math" w:hAnsi="Calibri" w:cs="Calibri"/>
              </w:rPr>
            </m:ctrlPr>
          </m:sub>
          <m:sup>
            <m:r>
              <m:rPr>
                <m:nor/>
              </m:rPr>
              <w:rPr>
                <w:rFonts w:ascii="Cambria Math" w:hAnsi="Calibri" w:cs="Calibri"/>
              </w:rPr>
              <m:t>cap-r17</m:t>
            </m:r>
            <m:ctrlPr>
              <w:rPr>
                <w:rFonts w:ascii="Cambria Math" w:hAnsi="Calibri" w:cs="Calibri"/>
              </w:rPr>
            </m:ctrlPr>
          </m:sup>
        </m:sSubSup>
      </m:oMath>
      <w:r w:rsidRPr="00F66CE9">
        <w:rPr>
          <w:lang w:val="x-none"/>
        </w:rPr>
        <w:t xml:space="preserve">, </w:t>
      </w:r>
      <w:r w:rsidRPr="00F66CE9">
        <w:rPr>
          <w:lang w:val="en-US"/>
        </w:rPr>
        <w:t xml:space="preserve">a DL BWP of an activated cell is the active DL BWP of the activated cell, and a DL BWP of a deactivated cell is the </w:t>
      </w:r>
      <w:r w:rsidRPr="00F66CE9">
        <w:t xml:space="preserve">DL BWP with </w:t>
      </w:r>
      <w:r w:rsidRPr="00F66CE9">
        <w:rPr>
          <w:lang w:val="en-US"/>
        </w:rPr>
        <w:t>index provided by</w:t>
      </w:r>
      <w:r w:rsidRPr="00F66CE9">
        <w:t xml:space="preserve"> </w:t>
      </w:r>
      <w:r w:rsidRPr="00F66CE9">
        <w:rPr>
          <w:i/>
        </w:rPr>
        <w:t>firstActiveDownlinkBWP-Id</w:t>
      </w:r>
      <w:r w:rsidRPr="00F66CE9">
        <w:rPr>
          <w:lang w:val="en-US"/>
        </w:rPr>
        <w:t xml:space="preserve"> for the deactivated cell, </w:t>
      </w:r>
      <w:r w:rsidRPr="00F66CE9">
        <w:rPr>
          <w:iCs/>
        </w:rPr>
        <w:t xml:space="preserve">the UE is not required to </w:t>
      </w:r>
      <w:r w:rsidRPr="00F66CE9">
        <w:rPr>
          <w:iCs/>
        </w:rPr>
        <w:lastRenderedPageBreak/>
        <w:t xml:space="preserve">monitor more than </w:t>
      </w:r>
      <m:oMath>
        <m:sSubSup>
          <m:sSubSupPr>
            <m:ctrlPr>
              <w:rPr>
                <w:rFonts w:ascii="Cambria Math" w:hAnsi="Cambria Math"/>
                <w:i/>
              </w:rPr>
            </m:ctrlPr>
          </m:sSubSupPr>
          <m:e>
            <m:r>
              <w:rPr>
                <w:rFonts w:ascii="Cambria Math" w:hAnsi="Cambria Math"/>
              </w:rPr>
              <m:t>M</m:t>
            </m:r>
          </m:e>
          <m:sub>
            <m:r>
              <m:rPr>
                <m:sty m:val="p"/>
              </m:rPr>
              <w:rPr>
                <w:rFonts w:ascii="Cambria Math" w:hAnsi="Cambria Math"/>
              </w:rPr>
              <m:t>PDCCH</m:t>
            </m:r>
            <m:ctrlPr>
              <w:rPr>
                <w:rFonts w:ascii="Cambria Math" w:hAnsi="Cambria Math"/>
              </w:rPr>
            </m:ctrlPr>
          </m:sub>
          <m:sup>
            <m:r>
              <m:rPr>
                <m:sty m:val="p"/>
              </m:rPr>
              <w:rPr>
                <w:rFonts w:ascii="Cambria Math" w:hAnsi="Cambria Math"/>
              </w:rPr>
              <m:t>total,</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m:rPr>
                <m:sty m:val="p"/>
              </m:rPr>
              <w:rPr>
                <w:rFonts w:ascii="Cambria Math" w:hAnsi="Cambria Math"/>
              </w:rPr>
              <m:t>,</m:t>
            </m:r>
            <m:r>
              <w:rPr>
                <w:rFonts w:ascii="Cambria Math" w:hAnsi="Cambria Math"/>
              </w:rPr>
              <m:t>μ</m:t>
            </m:r>
            <m:ctrlPr>
              <w:rPr>
                <w:rFonts w:ascii="Cambria Math" w:hAnsi="Cambria Math"/>
              </w:rPr>
            </m:ctrlPr>
          </m:sup>
        </m:sSubSup>
        <m:r>
          <w:rPr>
            <w:rFonts w:ascii="Cambria Math" w:hAnsi="Calibri" w:cs="Calibri"/>
          </w:rPr>
          <m:t>=</m:t>
        </m:r>
        <m:d>
          <m:dPr>
            <m:begChr m:val="⌊"/>
            <m:endChr m:val="⌋"/>
            <m:ctrlPr>
              <w:rPr>
                <w:rFonts w:ascii="Cambria Math" w:hAnsi="Calibri" w:cs="Calibri"/>
                <w:i/>
              </w:rPr>
            </m:ctrlPr>
          </m:dPr>
          <m:e>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m:t>
                </m:r>
                <m:ctrlPr>
                  <w:rPr>
                    <w:rFonts w:ascii="Cambria Math" w:hAnsi="Calibri" w:cs="Calibri"/>
                  </w:rPr>
                </m:ctrlPr>
              </m:sub>
              <m:sup>
                <m:r>
                  <m:rPr>
                    <m:nor/>
                  </m:rPr>
                  <w:rPr>
                    <w:rFonts w:ascii="Cambria Math" w:hAnsi="Calibri" w:cs="Calibri"/>
                  </w:rPr>
                  <m:t>cap-r17</m:t>
                </m:r>
                <m:ctrlPr>
                  <w:rPr>
                    <w:rFonts w:ascii="Cambria Math" w:hAnsi="Calibri" w:cs="Calibri"/>
                  </w:rPr>
                </m:ctrlPr>
              </m:sup>
            </m:sSubSup>
            <m:r>
              <w:rPr>
                <w:rFonts w:ascii="Cambria Math" w:hAnsi="Cambria Math" w:cs="Cambria Math"/>
              </w:rPr>
              <m:t>⋅</m:t>
            </m:r>
            <m:sSubSup>
              <m:sSubSupPr>
                <m:ctrlPr>
                  <w:rPr>
                    <w:rFonts w:ascii="Cambria Math" w:hAnsi="Cambria Math"/>
                    <w:i/>
                  </w:rPr>
                </m:ctrlPr>
              </m:sSubSupPr>
              <m:e>
                <m:r>
                  <w:rPr>
                    <w:rFonts w:ascii="Cambria Math" w:hAnsi="Cambria Math"/>
                  </w:rPr>
                  <m:t>M</m:t>
                </m:r>
              </m:e>
              <m:sub>
                <m:r>
                  <m:rPr>
                    <m:sty m:val="p"/>
                  </m:rPr>
                  <w:rPr>
                    <w:rFonts w:ascii="Cambria Math" w:hAnsi="Cambria Math"/>
                  </w:rPr>
                  <m:t>PDCCH</m:t>
                </m:r>
                <m:ctrlPr>
                  <w:rPr>
                    <w:rFonts w:ascii="Cambria Math" w:hAnsi="Cambria Math"/>
                  </w:rPr>
                </m:ctrlPr>
              </m:sub>
              <m:sup>
                <m:r>
                  <m:rPr>
                    <m:sty m:val="p"/>
                  </m:rPr>
                  <w:rPr>
                    <w:rFonts w:ascii="Cambria Math" w:hAnsi="Cambria Math"/>
                  </w:rPr>
                  <m:t>max,</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m:rPr>
                    <m:sty m:val="p"/>
                  </m:rPr>
                  <w:rPr>
                    <w:rFonts w:ascii="Cambria Math" w:hAnsi="Cambria Math"/>
                  </w:rPr>
                  <m:t>,</m:t>
                </m:r>
                <m:r>
                  <w:rPr>
                    <w:rFonts w:ascii="Cambria Math" w:hAnsi="Cambria Math"/>
                  </w:rPr>
                  <m:t>μ</m:t>
                </m:r>
                <m:ctrlPr>
                  <w:rPr>
                    <w:rFonts w:ascii="Cambria Math" w:hAnsi="Cambria Math"/>
                  </w:rPr>
                </m:ctrlPr>
              </m:sup>
            </m:sSubSup>
            <m:r>
              <w:rPr>
                <w:rFonts w:ascii="Cambria Math" w:hAnsi="Cambria Math" w:cs="Cambria Math"/>
              </w:rPr>
              <m:t>⋅</m:t>
            </m:r>
            <m:f>
              <m:fPr>
                <m:type m:val="lin"/>
                <m:ctrlPr>
                  <w:rPr>
                    <w:rFonts w:ascii="Cambria Math" w:hAnsi="Calibri" w:cs="Calibri"/>
                    <w:i/>
                  </w:rPr>
                </m:ctrlPr>
              </m:fPr>
              <m:num>
                <m:d>
                  <m:dPr>
                    <m:ctrlPr>
                      <w:rPr>
                        <w:rFonts w:ascii="Cambria Math" w:hAnsi="Cambria Math" w:cs="Cambria Math"/>
                        <w:i/>
                      </w:rPr>
                    </m:ctrlPr>
                  </m:dPr>
                  <m:e>
                    <m:sSubSup>
                      <m:sSubSupPr>
                        <m:ctrlPr>
                          <w:rPr>
                            <w:rFonts w:ascii="Cambria Math" w:hAnsi="Cambria Math"/>
                            <w:i/>
                          </w:rPr>
                        </m:ctrlPr>
                      </m:sSubSupPr>
                      <m:e>
                        <m:r>
                          <w:rPr>
                            <w:rFonts w:ascii="Cambria Math"/>
                          </w:rPr>
                          <m:t>N</m:t>
                        </m:r>
                      </m:e>
                      <m:sub>
                        <m:r>
                          <m:rPr>
                            <m:nor/>
                          </m:rPr>
                          <w:rPr>
                            <w:rFonts w:ascii="Cambria Math"/>
                          </w:rPr>
                          <m:t>cells,r17,0</m:t>
                        </m:r>
                        <m:ctrlPr>
                          <w:rPr>
                            <w:rFonts w:ascii="Cambria Math" w:hAnsi="Cambria Math"/>
                          </w:rPr>
                        </m:ctrlPr>
                      </m:sub>
                      <m:sup>
                        <m:r>
                          <m:rPr>
                            <m:nor/>
                          </m:rPr>
                          <w:rPr>
                            <w:rFonts w:ascii="Cambria Math"/>
                          </w:rPr>
                          <m:t>DL,</m:t>
                        </m:r>
                        <m:sSub>
                          <m:sSubPr>
                            <m:ctrlPr>
                              <w:rPr>
                                <w:rFonts w:ascii="Cambria Math" w:hAnsi="Cambria Math"/>
                                <w:i/>
                              </w:rPr>
                            </m:ctrlPr>
                          </m:sSubPr>
                          <m:e>
                            <m:r>
                              <w:rPr>
                                <w:rFonts w:ascii="Cambria Math"/>
                              </w:rPr>
                              <m:t>X</m:t>
                            </m:r>
                          </m:e>
                          <m:sub>
                            <m:r>
                              <w:rPr>
                                <w:rFonts w:ascii="Cambria Math"/>
                              </w:rPr>
                              <m:t>s</m:t>
                            </m:r>
                          </m:sub>
                        </m:sSub>
                        <m:r>
                          <w:rPr>
                            <w:rFonts w:asci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γ∙</m:t>
                        </m:r>
                        <m:r>
                          <w:rPr>
                            <w:rFonts w:ascii="Cambria Math"/>
                          </w:rPr>
                          <m:t>N</m:t>
                        </m:r>
                      </m:e>
                      <m:sub>
                        <m:r>
                          <m:rPr>
                            <m:nor/>
                          </m:rPr>
                          <w:rPr>
                            <w:rFonts w:ascii="Cambria Math"/>
                          </w:rPr>
                          <m:t>cells,r17,1</m:t>
                        </m:r>
                        <m:ctrlPr>
                          <w:rPr>
                            <w:rFonts w:ascii="Cambria Math" w:hAnsi="Cambria Math"/>
                          </w:rPr>
                        </m:ctrlPr>
                      </m:sub>
                      <m:sup>
                        <m:r>
                          <m:rPr>
                            <m:nor/>
                          </m:rPr>
                          <w:rPr>
                            <w:rFonts w:ascii="Cambria Math"/>
                          </w:rPr>
                          <m:t>DL,</m:t>
                        </m:r>
                        <m:sSub>
                          <m:sSubPr>
                            <m:ctrlPr>
                              <w:rPr>
                                <w:rFonts w:ascii="Cambria Math" w:hAnsi="Cambria Math"/>
                                <w:i/>
                              </w:rPr>
                            </m:ctrlPr>
                          </m:sSubPr>
                          <m:e>
                            <m:r>
                              <w:rPr>
                                <w:rFonts w:ascii="Cambria Math"/>
                              </w:rPr>
                              <m:t>X</m:t>
                            </m:r>
                          </m:e>
                          <m:sub>
                            <m:r>
                              <w:rPr>
                                <w:rFonts w:ascii="Cambria Math"/>
                              </w:rPr>
                              <m:t>s</m:t>
                            </m:r>
                          </m:sub>
                        </m:sSub>
                        <m:r>
                          <w:rPr>
                            <w:rFonts w:ascii="Cambria Math"/>
                          </w:rPr>
                          <m:t>,μ</m:t>
                        </m:r>
                        <m:ctrlPr>
                          <w:rPr>
                            <w:rFonts w:ascii="Cambria Math" w:hAnsi="Cambria Math"/>
                          </w:rPr>
                        </m:ctrlPr>
                      </m:sup>
                    </m:sSubSup>
                  </m:e>
                </m:d>
              </m:num>
              <m:den>
                <m:nary>
                  <m:naryPr>
                    <m:chr m:val="∑"/>
                    <m:ctrlPr>
                      <w:rPr>
                        <w:rFonts w:ascii="Cambria Math" w:hAnsi="Calibri" w:cs="Calibri"/>
                        <w:i/>
                      </w:rPr>
                    </m:ctrlPr>
                  </m:naryPr>
                  <m:sub>
                    <m:r>
                      <w:rPr>
                        <w:rFonts w:ascii="Cambria Math" w:hAnsi="Calibri" w:cs="Calibri"/>
                      </w:rPr>
                      <m:t>j=5</m:t>
                    </m:r>
                  </m:sub>
                  <m:sup>
                    <m:r>
                      <w:rPr>
                        <w:rFonts w:ascii="Cambria Math" w:hAnsi="Calibri" w:cs="Calibri"/>
                      </w:rPr>
                      <m:t>6</m:t>
                    </m:r>
                  </m:sup>
                  <m:e>
                    <m:d>
                      <m:dPr>
                        <m:ctrlPr>
                          <w:rPr>
                            <w:rFonts w:ascii="Cambria Math" w:hAnsi="Calibri" w:cs="Calibri"/>
                            <w:i/>
                          </w:rPr>
                        </m:ctrlPr>
                      </m:dPr>
                      <m:e>
                        <m:sSubSup>
                          <m:sSubSupPr>
                            <m:ctrlPr>
                              <w:rPr>
                                <w:rFonts w:ascii="Cambria Math" w:hAnsi="Cambria Math"/>
                                <w:i/>
                              </w:rPr>
                            </m:ctrlPr>
                          </m:sSubSupPr>
                          <m:e>
                            <m:r>
                              <w:rPr>
                                <w:rFonts w:ascii="Cambria Math"/>
                              </w:rPr>
                              <m:t>N</m:t>
                            </m:r>
                          </m:e>
                          <m:sub>
                            <m:r>
                              <m:rPr>
                                <m:nor/>
                              </m:rPr>
                              <w:rPr>
                                <w:rFonts w:ascii="Cambria Math"/>
                              </w:rPr>
                              <m:t>cells,r17,0</m:t>
                            </m:r>
                            <m:ctrlPr>
                              <w:rPr>
                                <w:rFonts w:ascii="Cambria Math" w:hAnsi="Cambria Math"/>
                              </w:rPr>
                            </m:ctrlPr>
                          </m:sub>
                          <m:sup>
                            <m:r>
                              <m:rPr>
                                <m:nor/>
                              </m:rPr>
                              <w:rPr>
                                <w:rFonts w:ascii="Cambria Math"/>
                              </w:rPr>
                              <m:t>DL</m:t>
                            </m:r>
                            <m:r>
                              <w:rPr>
                                <w:rFonts w:ascii="Cambria Math"/>
                              </w:rPr>
                              <m:t>,j</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γ∙</m:t>
                            </m:r>
                            <m:r>
                              <w:rPr>
                                <w:rFonts w:ascii="Cambria Math"/>
                              </w:rPr>
                              <m:t>N</m:t>
                            </m:r>
                          </m:e>
                          <m:sub>
                            <m:r>
                              <m:rPr>
                                <m:nor/>
                              </m:rPr>
                              <w:rPr>
                                <w:rFonts w:ascii="Cambria Math"/>
                              </w:rPr>
                              <m:t>cells,r17,1</m:t>
                            </m:r>
                            <m:ctrlPr>
                              <w:rPr>
                                <w:rFonts w:ascii="Cambria Math" w:hAnsi="Cambria Math"/>
                              </w:rPr>
                            </m:ctrlPr>
                          </m:sub>
                          <m:sup>
                            <m:r>
                              <m:rPr>
                                <m:nor/>
                              </m:rPr>
                              <w:rPr>
                                <w:rFonts w:ascii="Cambria Math"/>
                              </w:rPr>
                              <m:t>DL</m:t>
                            </m:r>
                            <m:r>
                              <w:rPr>
                                <w:rFonts w:ascii="Cambria Math"/>
                              </w:rPr>
                              <m:t>,j</m:t>
                            </m:r>
                            <m:ctrlPr>
                              <w:rPr>
                                <w:rFonts w:ascii="Cambria Math" w:hAnsi="Cambria Math"/>
                              </w:rPr>
                            </m:ctrlPr>
                          </m:sup>
                        </m:sSubSup>
                      </m:e>
                    </m:d>
                    <m:ctrlPr>
                      <w:rPr>
                        <w:rFonts w:ascii="Cambria Math" w:hAnsi="Cambria Math" w:cs="Calibri"/>
                        <w:i/>
                      </w:rPr>
                    </m:ctrlPr>
                  </m:e>
                </m:nary>
                <m:ctrlPr>
                  <w:rPr>
                    <w:rFonts w:ascii="Cambria Math" w:hAnsi="Cambria Math" w:cs="Calibri"/>
                    <w:i/>
                  </w:rPr>
                </m:ctrlPr>
              </m:den>
            </m:f>
            <m:ctrlPr>
              <w:rPr>
                <w:rFonts w:ascii="Cambria Math" w:hAnsi="Cambria Math" w:cs="Calibri"/>
                <w:i/>
              </w:rPr>
            </m:ctrlPr>
          </m:e>
        </m:d>
      </m:oMath>
      <w:r w:rsidRPr="00F66CE9">
        <w:rPr>
          <w:lang w:val="en-US" w:eastAsia="ko-KR"/>
        </w:rPr>
        <w:t xml:space="preserve"> </w:t>
      </w:r>
      <w:r w:rsidRPr="00F66CE9">
        <w:t xml:space="preserve">PDCCH candidates, </w:t>
      </w:r>
      <w:r w:rsidRPr="00F66CE9">
        <w:rPr>
          <w:lang w:val="en-US"/>
        </w:rPr>
        <w:t xml:space="preserve">or more than </w:t>
      </w:r>
      <m:oMath>
        <m:sSubSup>
          <m:sSubSupPr>
            <m:ctrlPr>
              <w:rPr>
                <w:rFonts w:ascii="Cambria Math" w:hAnsi="Cambria Math"/>
                <w:i/>
              </w:rPr>
            </m:ctrlPr>
          </m:sSubSupPr>
          <m:e>
            <m:r>
              <w:rPr>
                <w:rFonts w:ascii="Cambria Math" w:hAnsi="Cambria Math"/>
              </w:rPr>
              <m:t>C</m:t>
            </m:r>
          </m:e>
          <m:sub>
            <m:r>
              <m:rPr>
                <m:sty m:val="p"/>
              </m:rPr>
              <w:rPr>
                <w:rFonts w:ascii="Cambria Math" w:hAnsi="Cambria Math"/>
              </w:rPr>
              <m:t>PDCCH</m:t>
            </m:r>
            <m:ctrlPr>
              <w:rPr>
                <w:rFonts w:ascii="Cambria Math" w:hAnsi="Cambria Math"/>
              </w:rPr>
            </m:ctrlPr>
          </m:sub>
          <m:sup>
            <m:r>
              <m:rPr>
                <m:sty m:val="p"/>
              </m:rPr>
              <w:rPr>
                <w:rFonts w:ascii="Cambria Math" w:hAnsi="Cambria Math"/>
              </w:rPr>
              <m:t>total,</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m:rPr>
                <m:sty m:val="p"/>
              </m:rPr>
              <w:rPr>
                <w:rFonts w:ascii="Cambria Math" w:hAnsi="Cambria Math"/>
              </w:rPr>
              <m:t>,</m:t>
            </m:r>
            <m:r>
              <w:rPr>
                <w:rFonts w:ascii="Cambria Math" w:hAnsi="Cambria Math"/>
              </w:rPr>
              <m:t>μ</m:t>
            </m:r>
            <m:ctrlPr>
              <w:rPr>
                <w:rFonts w:ascii="Cambria Math" w:hAnsi="Cambria Math"/>
              </w:rPr>
            </m:ctrlPr>
          </m:sup>
        </m:sSubSup>
        <m:r>
          <w:rPr>
            <w:rFonts w:ascii="Cambria Math" w:hAnsi="Calibri" w:cs="Calibri"/>
          </w:rPr>
          <m:t>=</m:t>
        </m:r>
        <m:d>
          <m:dPr>
            <m:begChr m:val="⌊"/>
            <m:endChr m:val="⌋"/>
            <m:ctrlPr>
              <w:rPr>
                <w:rFonts w:ascii="Cambria Math" w:hAnsi="Calibri" w:cs="Calibri"/>
                <w:i/>
              </w:rPr>
            </m:ctrlPr>
          </m:dPr>
          <m:e>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m:t>
                </m:r>
                <m:ctrlPr>
                  <w:rPr>
                    <w:rFonts w:ascii="Cambria Math" w:hAnsi="Calibri" w:cs="Calibri"/>
                  </w:rPr>
                </m:ctrlPr>
              </m:sub>
              <m:sup>
                <m:r>
                  <m:rPr>
                    <m:nor/>
                  </m:rPr>
                  <w:rPr>
                    <w:rFonts w:ascii="Cambria Math" w:hAnsi="Calibri" w:cs="Calibri"/>
                  </w:rPr>
                  <m:t>cap-r17</m:t>
                </m:r>
                <m:ctrlPr>
                  <w:rPr>
                    <w:rFonts w:ascii="Cambria Math" w:hAnsi="Calibri" w:cs="Calibri"/>
                  </w:rPr>
                </m:ctrlPr>
              </m:sup>
            </m:sSubSup>
            <m:r>
              <w:rPr>
                <w:rFonts w:ascii="Cambria Math" w:hAnsi="Cambria Math" w:cs="Cambria Math"/>
              </w:rPr>
              <m:t>⋅</m:t>
            </m:r>
            <m:sSubSup>
              <m:sSubSupPr>
                <m:ctrlPr>
                  <w:rPr>
                    <w:rFonts w:ascii="Cambria Math" w:hAnsi="Cambria Math"/>
                    <w:i/>
                  </w:rPr>
                </m:ctrlPr>
              </m:sSubSupPr>
              <m:e>
                <m:r>
                  <w:rPr>
                    <w:rFonts w:ascii="Cambria Math" w:hAnsi="Cambria Math"/>
                  </w:rPr>
                  <m:t>C</m:t>
                </m:r>
              </m:e>
              <m:sub>
                <m:r>
                  <m:rPr>
                    <m:sty m:val="p"/>
                  </m:rPr>
                  <w:rPr>
                    <w:rFonts w:ascii="Cambria Math" w:hAnsi="Cambria Math"/>
                  </w:rPr>
                  <m:t>PDCCH</m:t>
                </m:r>
                <m:ctrlPr>
                  <w:rPr>
                    <w:rFonts w:ascii="Cambria Math" w:hAnsi="Cambria Math"/>
                  </w:rPr>
                </m:ctrlPr>
              </m:sub>
              <m:sup>
                <m:r>
                  <m:rPr>
                    <m:sty m:val="p"/>
                  </m:rPr>
                  <w:rPr>
                    <w:rFonts w:ascii="Cambria Math" w:hAnsi="Cambria Math"/>
                  </w:rPr>
                  <m:t>max,</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m:rPr>
                    <m:sty m:val="p"/>
                  </m:rPr>
                  <w:rPr>
                    <w:rFonts w:ascii="Cambria Math" w:hAnsi="Cambria Math"/>
                  </w:rPr>
                  <m:t>,</m:t>
                </m:r>
                <m:r>
                  <w:rPr>
                    <w:rFonts w:ascii="Cambria Math" w:hAnsi="Cambria Math"/>
                  </w:rPr>
                  <m:t>μ</m:t>
                </m:r>
                <m:ctrlPr>
                  <w:rPr>
                    <w:rFonts w:ascii="Cambria Math" w:hAnsi="Cambria Math"/>
                  </w:rPr>
                </m:ctrlPr>
              </m:sup>
            </m:sSubSup>
            <m:r>
              <w:rPr>
                <w:rFonts w:ascii="Cambria Math" w:hAnsi="Cambria Math" w:cs="Cambria Math"/>
              </w:rPr>
              <m:t>⋅</m:t>
            </m:r>
            <m:f>
              <m:fPr>
                <m:type m:val="lin"/>
                <m:ctrlPr>
                  <w:rPr>
                    <w:rFonts w:ascii="Cambria Math" w:hAnsi="Calibri" w:cs="Calibri"/>
                    <w:i/>
                  </w:rPr>
                </m:ctrlPr>
              </m:fPr>
              <m:num>
                <m:d>
                  <m:dPr>
                    <m:ctrlPr>
                      <w:rPr>
                        <w:rFonts w:ascii="Cambria Math" w:hAnsi="Cambria Math" w:cs="Cambria Math"/>
                        <w:i/>
                      </w:rPr>
                    </m:ctrlPr>
                  </m:dPr>
                  <m:e>
                    <m:sSubSup>
                      <m:sSubSupPr>
                        <m:ctrlPr>
                          <w:rPr>
                            <w:rFonts w:ascii="Cambria Math" w:hAnsi="Cambria Math"/>
                            <w:i/>
                          </w:rPr>
                        </m:ctrlPr>
                      </m:sSubSupPr>
                      <m:e>
                        <m:r>
                          <w:rPr>
                            <w:rFonts w:ascii="Cambria Math"/>
                          </w:rPr>
                          <m:t>N</m:t>
                        </m:r>
                      </m:e>
                      <m:sub>
                        <m:r>
                          <m:rPr>
                            <m:nor/>
                          </m:rPr>
                          <w:rPr>
                            <w:rFonts w:ascii="Cambria Math"/>
                          </w:rPr>
                          <m:t>cells,r17,0</m:t>
                        </m:r>
                        <m:ctrlPr>
                          <w:rPr>
                            <w:rFonts w:ascii="Cambria Math" w:hAnsi="Cambria Math"/>
                          </w:rPr>
                        </m:ctrlPr>
                      </m:sub>
                      <m:sup>
                        <m:r>
                          <m:rPr>
                            <m:nor/>
                          </m:rPr>
                          <w:rPr>
                            <w:rFonts w:ascii="Cambria Math"/>
                          </w:rPr>
                          <m:t>DL,</m:t>
                        </m:r>
                        <m:sSub>
                          <m:sSubPr>
                            <m:ctrlPr>
                              <w:rPr>
                                <w:rFonts w:ascii="Cambria Math" w:hAnsi="Cambria Math"/>
                                <w:i/>
                              </w:rPr>
                            </m:ctrlPr>
                          </m:sSubPr>
                          <m:e>
                            <m:r>
                              <w:rPr>
                                <w:rFonts w:ascii="Cambria Math"/>
                              </w:rPr>
                              <m:t>X</m:t>
                            </m:r>
                          </m:e>
                          <m:sub>
                            <m:r>
                              <w:rPr>
                                <w:rFonts w:ascii="Cambria Math"/>
                              </w:rPr>
                              <m:t>s</m:t>
                            </m:r>
                          </m:sub>
                        </m:sSub>
                        <m:r>
                          <w:rPr>
                            <w:rFonts w:asci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γ∙</m:t>
                        </m:r>
                        <m:r>
                          <w:rPr>
                            <w:rFonts w:ascii="Cambria Math"/>
                          </w:rPr>
                          <m:t>N</m:t>
                        </m:r>
                      </m:e>
                      <m:sub>
                        <m:r>
                          <m:rPr>
                            <m:nor/>
                          </m:rPr>
                          <w:rPr>
                            <w:rFonts w:ascii="Cambria Math"/>
                          </w:rPr>
                          <m:t>cells,r17,1</m:t>
                        </m:r>
                        <m:ctrlPr>
                          <w:rPr>
                            <w:rFonts w:ascii="Cambria Math" w:hAnsi="Cambria Math"/>
                          </w:rPr>
                        </m:ctrlPr>
                      </m:sub>
                      <m:sup>
                        <m:r>
                          <m:rPr>
                            <m:nor/>
                          </m:rPr>
                          <w:rPr>
                            <w:rFonts w:ascii="Cambria Math"/>
                          </w:rPr>
                          <m:t>DL,</m:t>
                        </m:r>
                        <m:sSub>
                          <m:sSubPr>
                            <m:ctrlPr>
                              <w:rPr>
                                <w:rFonts w:ascii="Cambria Math" w:hAnsi="Cambria Math"/>
                                <w:i/>
                              </w:rPr>
                            </m:ctrlPr>
                          </m:sSubPr>
                          <m:e>
                            <m:r>
                              <w:rPr>
                                <w:rFonts w:ascii="Cambria Math"/>
                              </w:rPr>
                              <m:t>X</m:t>
                            </m:r>
                          </m:e>
                          <m:sub>
                            <m:r>
                              <w:rPr>
                                <w:rFonts w:ascii="Cambria Math"/>
                              </w:rPr>
                              <m:t>s</m:t>
                            </m:r>
                          </m:sub>
                        </m:sSub>
                        <m:r>
                          <w:rPr>
                            <w:rFonts w:ascii="Cambria Math"/>
                          </w:rPr>
                          <m:t>,μ</m:t>
                        </m:r>
                        <m:ctrlPr>
                          <w:rPr>
                            <w:rFonts w:ascii="Cambria Math" w:hAnsi="Cambria Math"/>
                          </w:rPr>
                        </m:ctrlPr>
                      </m:sup>
                    </m:sSubSup>
                  </m:e>
                </m:d>
              </m:num>
              <m:den>
                <m:nary>
                  <m:naryPr>
                    <m:chr m:val="∑"/>
                    <m:ctrlPr>
                      <w:rPr>
                        <w:rFonts w:ascii="Cambria Math" w:hAnsi="Calibri" w:cs="Calibri"/>
                        <w:i/>
                      </w:rPr>
                    </m:ctrlPr>
                  </m:naryPr>
                  <m:sub>
                    <m:r>
                      <w:rPr>
                        <w:rFonts w:ascii="Cambria Math" w:hAnsi="Calibri" w:cs="Calibri"/>
                      </w:rPr>
                      <m:t>j=5</m:t>
                    </m:r>
                  </m:sub>
                  <m:sup>
                    <m:r>
                      <w:rPr>
                        <w:rFonts w:ascii="Cambria Math" w:hAnsi="Calibri" w:cs="Calibri"/>
                      </w:rPr>
                      <m:t>6</m:t>
                    </m:r>
                  </m:sup>
                  <m:e>
                    <m:d>
                      <m:dPr>
                        <m:ctrlPr>
                          <w:rPr>
                            <w:rFonts w:ascii="Cambria Math" w:hAnsi="Calibri" w:cs="Calibri"/>
                            <w:i/>
                          </w:rPr>
                        </m:ctrlPr>
                      </m:dPr>
                      <m:e>
                        <m:sSubSup>
                          <m:sSubSupPr>
                            <m:ctrlPr>
                              <w:rPr>
                                <w:rFonts w:ascii="Cambria Math" w:hAnsi="Cambria Math"/>
                                <w:i/>
                              </w:rPr>
                            </m:ctrlPr>
                          </m:sSubSupPr>
                          <m:e>
                            <m:r>
                              <w:rPr>
                                <w:rFonts w:ascii="Cambria Math"/>
                              </w:rPr>
                              <m:t>N</m:t>
                            </m:r>
                          </m:e>
                          <m:sub>
                            <m:r>
                              <m:rPr>
                                <m:nor/>
                              </m:rPr>
                              <w:rPr>
                                <w:rFonts w:ascii="Cambria Math"/>
                              </w:rPr>
                              <m:t>cells,r17,0</m:t>
                            </m:r>
                            <m:ctrlPr>
                              <w:rPr>
                                <w:rFonts w:ascii="Cambria Math" w:hAnsi="Cambria Math"/>
                              </w:rPr>
                            </m:ctrlPr>
                          </m:sub>
                          <m:sup>
                            <m:r>
                              <m:rPr>
                                <m:nor/>
                              </m:rPr>
                              <w:rPr>
                                <w:rFonts w:ascii="Cambria Math"/>
                              </w:rPr>
                              <m:t>DL</m:t>
                            </m:r>
                            <m:r>
                              <w:rPr>
                                <w:rFonts w:ascii="Cambria Math"/>
                              </w:rPr>
                              <m:t>,j</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γ∙</m:t>
                            </m:r>
                            <m:r>
                              <w:rPr>
                                <w:rFonts w:ascii="Cambria Math"/>
                              </w:rPr>
                              <m:t>N</m:t>
                            </m:r>
                          </m:e>
                          <m:sub>
                            <m:r>
                              <m:rPr>
                                <m:nor/>
                              </m:rPr>
                              <w:rPr>
                                <w:rFonts w:ascii="Cambria Math"/>
                              </w:rPr>
                              <m:t>cells,r17,1</m:t>
                            </m:r>
                            <m:ctrlPr>
                              <w:rPr>
                                <w:rFonts w:ascii="Cambria Math" w:hAnsi="Cambria Math"/>
                              </w:rPr>
                            </m:ctrlPr>
                          </m:sub>
                          <m:sup>
                            <m:r>
                              <m:rPr>
                                <m:nor/>
                              </m:rPr>
                              <w:rPr>
                                <w:rFonts w:ascii="Cambria Math"/>
                              </w:rPr>
                              <m:t>DL</m:t>
                            </m:r>
                            <m:r>
                              <w:rPr>
                                <w:rFonts w:ascii="Cambria Math"/>
                              </w:rPr>
                              <m:t>,j</m:t>
                            </m:r>
                            <m:ctrlPr>
                              <w:rPr>
                                <w:rFonts w:ascii="Cambria Math" w:hAnsi="Cambria Math"/>
                              </w:rPr>
                            </m:ctrlPr>
                          </m:sup>
                        </m:sSubSup>
                      </m:e>
                    </m:d>
                    <m:ctrlPr>
                      <w:rPr>
                        <w:rFonts w:ascii="Cambria Math" w:hAnsi="Cambria Math" w:cs="Calibri"/>
                        <w:i/>
                      </w:rPr>
                    </m:ctrlPr>
                  </m:e>
                </m:nary>
                <m:ctrlPr>
                  <w:rPr>
                    <w:rFonts w:ascii="Cambria Math" w:hAnsi="Cambria Math" w:cs="Calibri"/>
                    <w:i/>
                  </w:rPr>
                </m:ctrlPr>
              </m:den>
            </m:f>
            <m:ctrlPr>
              <w:rPr>
                <w:rFonts w:ascii="Cambria Math" w:hAnsi="Cambria Math" w:cs="Calibri"/>
                <w:i/>
              </w:rPr>
            </m:ctrlPr>
          </m:e>
        </m:d>
      </m:oMath>
      <w:r w:rsidRPr="00F66CE9">
        <w:t xml:space="preserve"> non-overlapped CCEs, per</w:t>
      </w:r>
      <w:r>
        <w:t xml:space="preserve"> group of</w:t>
      </w:r>
      <w:r w:rsidRPr="00F66CE9">
        <w:t xml:space="preserve">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sidRPr="00F66CE9">
        <w:rPr>
          <w:lang w:val="en-US"/>
        </w:rPr>
        <w:t xml:space="preserve"> slots on the active DL BWP(s) of</w:t>
      </w:r>
      <w:r w:rsidRPr="00F66CE9">
        <w:t xml:space="preserve"> scheduling cell</w:t>
      </w:r>
      <w:r w:rsidRPr="00F66CE9">
        <w:rPr>
          <w:lang w:val="en-US"/>
        </w:rPr>
        <w:t xml:space="preserve">(s) from the </w:t>
      </w:r>
      <m:oMath>
        <m:sSubSup>
          <m:sSubSupPr>
            <m:ctrlPr>
              <w:rPr>
                <w:rFonts w:ascii="Cambria Math" w:hAnsi="Cambria Math"/>
                <w:i/>
              </w:rPr>
            </m:ctrlPr>
          </m:sSubSupPr>
          <m:e>
            <m:r>
              <w:rPr>
                <w:rFonts w:ascii="Cambria Math"/>
              </w:rPr>
              <m:t>N</m:t>
            </m:r>
          </m:e>
          <m:sub>
            <m:r>
              <m:rPr>
                <m:nor/>
              </m:rPr>
              <w:rPr>
                <w:rFonts w:ascii="Cambria Math"/>
              </w:rPr>
              <m:t>cells,r17,0</m:t>
            </m:r>
            <m:ctrlPr>
              <w:rPr>
                <w:rFonts w:ascii="Cambria Math" w:hAnsi="Cambria Math"/>
              </w:rPr>
            </m:ctrlPr>
          </m:sub>
          <m:sup>
            <m:r>
              <m:rPr>
                <m:nor/>
              </m:rPr>
              <w:rPr>
                <w:rFonts w:ascii="Cambria Math"/>
              </w:rPr>
              <m:t>DL,</m:t>
            </m:r>
            <m:sSub>
              <m:sSubPr>
                <m:ctrlPr>
                  <w:rPr>
                    <w:rFonts w:ascii="Cambria Math" w:hAnsi="Cambria Math"/>
                    <w:i/>
                  </w:rPr>
                </m:ctrlPr>
              </m:sSubPr>
              <m:e>
                <m:r>
                  <w:rPr>
                    <w:rFonts w:ascii="Cambria Math"/>
                  </w:rPr>
                  <m:t>X</m:t>
                </m:r>
              </m:e>
              <m:sub>
                <m:r>
                  <w:rPr>
                    <w:rFonts w:ascii="Cambria Math"/>
                  </w:rPr>
                  <m:t>s</m:t>
                </m:r>
              </m:sub>
            </m:sSub>
            <m:r>
              <w:rPr>
                <w:rFonts w:asci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cells,r17,1</m:t>
            </m:r>
            <m:ctrlPr>
              <w:rPr>
                <w:rFonts w:ascii="Cambria Math" w:hAnsi="Cambria Math"/>
              </w:rPr>
            </m:ctrlPr>
          </m:sub>
          <m:sup>
            <m:r>
              <m:rPr>
                <m:nor/>
              </m:rPr>
              <w:rPr>
                <w:rFonts w:ascii="Cambria Math"/>
              </w:rPr>
              <m:t>DL,</m:t>
            </m:r>
            <m:sSub>
              <m:sSubPr>
                <m:ctrlPr>
                  <w:rPr>
                    <w:rFonts w:ascii="Cambria Math" w:hAnsi="Cambria Math"/>
                    <w:i/>
                  </w:rPr>
                </m:ctrlPr>
              </m:sSubPr>
              <m:e>
                <m:r>
                  <w:rPr>
                    <w:rFonts w:ascii="Cambria Math"/>
                  </w:rPr>
                  <m:t>X</m:t>
                </m:r>
              </m:e>
              <m:sub>
                <m:r>
                  <w:rPr>
                    <w:rFonts w:ascii="Cambria Math"/>
                  </w:rPr>
                  <m:t>s</m:t>
                </m:r>
              </m:sub>
            </m:sSub>
            <m:r>
              <w:rPr>
                <w:rFonts w:ascii="Cambria Math"/>
              </w:rPr>
              <m:t>,μ</m:t>
            </m:r>
            <m:ctrlPr>
              <w:rPr>
                <w:rFonts w:ascii="Cambria Math" w:hAnsi="Cambria Math"/>
              </w:rPr>
            </m:ctrlPr>
          </m:sup>
        </m:sSubSup>
      </m:oMath>
      <w:r w:rsidRPr="00F66CE9">
        <w:t xml:space="preserve"> downlink cells </w:t>
      </w:r>
      <w:r w:rsidRPr="00F66CE9">
        <w:rPr>
          <w:lang w:val="en-US"/>
        </w:rPr>
        <w:t xml:space="preserve">where </w:t>
      </w:r>
      <m:oMath>
        <m:sSubSup>
          <m:sSubSupPr>
            <m:ctrlPr>
              <w:rPr>
                <w:rFonts w:ascii="Cambria Math" w:hAnsi="Cambria Math"/>
                <w:i/>
              </w:rPr>
            </m:ctrlPr>
          </m:sSubSupPr>
          <m:e>
            <m:r>
              <w:rPr>
                <w:rFonts w:ascii="Cambria Math"/>
              </w:rPr>
              <m:t>N</m:t>
            </m:r>
          </m:e>
          <m:sub>
            <m:r>
              <m:rPr>
                <m:nor/>
              </m:rPr>
              <w:rPr>
                <w:rFonts w:ascii="Cambria Math"/>
              </w:rPr>
              <m:t>cells,r17,0</m:t>
            </m:r>
            <m:ctrlPr>
              <w:rPr>
                <w:rFonts w:ascii="Cambria Math" w:hAnsi="Cambria Math"/>
              </w:rPr>
            </m:ctrlPr>
          </m:sub>
          <m:sup>
            <m:r>
              <m:rPr>
                <m:nor/>
              </m:rPr>
              <w:rPr>
                <w:rFonts w:ascii="Cambria Math"/>
              </w:rPr>
              <m:t>DL</m:t>
            </m:r>
            <m:r>
              <w:rPr>
                <w:rFonts w:ascii="Cambria Math"/>
              </w:rPr>
              <m:t>,j</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cells,r17,1</m:t>
            </m:r>
            <m:ctrlPr>
              <w:rPr>
                <w:rFonts w:ascii="Cambria Math" w:hAnsi="Cambria Math"/>
              </w:rPr>
            </m:ctrlPr>
          </m:sub>
          <m:sup>
            <m:r>
              <m:rPr>
                <m:nor/>
              </m:rPr>
              <w:rPr>
                <w:rFonts w:ascii="Cambria Math"/>
              </w:rPr>
              <m:t>DL</m:t>
            </m:r>
            <m:r>
              <w:rPr>
                <w:rFonts w:ascii="Cambria Math"/>
              </w:rPr>
              <m:t>,j</m:t>
            </m:r>
            <m:ctrlPr>
              <w:rPr>
                <w:rFonts w:ascii="Cambria Math" w:hAnsi="Cambria Math"/>
              </w:rPr>
            </m:ctrlPr>
          </m:sup>
        </m:sSubSup>
      </m:oMath>
      <w:r w:rsidRPr="00F66CE9">
        <w:rPr>
          <w:iCs/>
        </w:rPr>
        <w:t xml:space="preserve"> is a number of configured cells with</w:t>
      </w:r>
      <w:r w:rsidRPr="00F66CE9">
        <w:t xml:space="preserve"> </w:t>
      </w:r>
      <w:r w:rsidRPr="00F66CE9">
        <w:rPr>
          <w:lang w:eastAsia="ko-KR"/>
        </w:rPr>
        <w:t xml:space="preserve">associated PDCCH candidates monitored in the </w:t>
      </w:r>
      <w:r w:rsidRPr="00F66CE9">
        <w:t xml:space="preserve">active DL BWPs of the scheduling cells </w:t>
      </w:r>
      <w:r w:rsidRPr="00F66CE9">
        <w:rPr>
          <w:lang w:val="en-US"/>
        </w:rPr>
        <w:t>using</w:t>
      </w:r>
      <w:r w:rsidRPr="00F66CE9">
        <w:rPr>
          <w:iCs/>
        </w:rPr>
        <w:t xml:space="preserve"> SCS configuration </w:t>
      </w:r>
      <m:oMath>
        <m:r>
          <w:rPr>
            <w:rFonts w:ascii="Cambria Math" w:hAnsi="Cambria Math"/>
          </w:rPr>
          <m:t>j</m:t>
        </m:r>
      </m:oMath>
      <w:r w:rsidRPr="00F66CE9">
        <w:t xml:space="preserve">. </w:t>
      </w:r>
    </w:p>
    <w:p w14:paraId="75B80EBE" w14:textId="77777777" w:rsidR="008E2AC3" w:rsidRPr="009B0788" w:rsidRDefault="008E2AC3" w:rsidP="008E2AC3">
      <w:pPr>
        <w:spacing w:line="256" w:lineRule="auto"/>
        <w:rPr>
          <w:lang w:eastAsia="ko-KR"/>
        </w:rPr>
      </w:pPr>
      <w:r w:rsidRPr="009B0788">
        <w:rPr>
          <w:rFonts w:eastAsia="Times New Roman"/>
          <w:iCs/>
        </w:rPr>
        <w:t xml:space="preserve">If the UE is configured with downlink cells for which the UE is provided </w:t>
      </w:r>
      <w:r w:rsidRPr="009B0788">
        <w:rPr>
          <w:rFonts w:eastAsia="Times New Roman"/>
          <w:i/>
        </w:rPr>
        <w:t>monitoringCapabilityConfig</w:t>
      </w:r>
      <w:r w:rsidRPr="009B0788">
        <w:rPr>
          <w:rFonts w:eastAsia="Times New Roman"/>
        </w:rPr>
        <w:t xml:space="preserve"> = </w:t>
      </w:r>
      <w:r w:rsidRPr="009B0788">
        <w:rPr>
          <w:rFonts w:eastAsia="Times New Roman"/>
          <w:i/>
        </w:rPr>
        <w:t>r15monitoringcapability</w:t>
      </w:r>
      <w:r w:rsidRPr="009B0788">
        <w:rPr>
          <w:rFonts w:eastAsia="Times New Roman"/>
          <w:iCs/>
        </w:rPr>
        <w:t xml:space="preserve"> and downlink cells for which the UE is provided </w:t>
      </w:r>
      <w:r w:rsidRPr="009B0788">
        <w:rPr>
          <w:rFonts w:eastAsia="Times New Roman"/>
          <w:i/>
        </w:rPr>
        <w:t>monitoringCapabilityConfig</w:t>
      </w:r>
      <w:r w:rsidRPr="009B0788">
        <w:rPr>
          <w:rFonts w:eastAsia="Times New Roman"/>
        </w:rPr>
        <w:t xml:space="preserve"> = </w:t>
      </w:r>
      <w:r w:rsidRPr="009B0788">
        <w:rPr>
          <w:rFonts w:eastAsia="Times New Roman"/>
          <w:i/>
        </w:rPr>
        <w:t>r17monitoringcapability</w:t>
      </w:r>
      <w:r w:rsidRPr="009B0788" w:rsidDel="00337810">
        <w:rPr>
          <w:lang w:val="en-US" w:eastAsia="ja-JP"/>
        </w:rPr>
        <w:t xml:space="preserve"> </w:t>
      </w:r>
      <w:r w:rsidRPr="009B0788">
        <w:rPr>
          <w:lang w:eastAsia="zh-CN"/>
        </w:rPr>
        <w:t>for the active DL BWPs</w:t>
      </w:r>
      <w:r w:rsidRPr="009B0788">
        <w:rPr>
          <w:rFonts w:eastAsia="Times New Roman"/>
          <w:iCs/>
        </w:rPr>
        <w:t>,</w:t>
      </w:r>
      <w:r w:rsidRPr="009B0788">
        <w:rPr>
          <w:rFonts w:eastAsia="Times New Roman"/>
          <w:i/>
        </w:rPr>
        <w:t xml:space="preserve"> </w:t>
      </w:r>
      <m:oMath>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m:t>
            </m:r>
            <m:ctrlPr>
              <w:rPr>
                <w:rFonts w:ascii="Cambria Math" w:hAnsi="Calibri" w:cs="Calibri"/>
              </w:rPr>
            </m:ctrlPr>
          </m:sub>
          <m:sup>
            <m:r>
              <m:rPr>
                <m:nor/>
              </m:rPr>
              <w:rPr>
                <w:rFonts w:ascii="Cambria Math" w:hAnsi="Calibri" w:cs="Calibri"/>
              </w:rPr>
              <m:t>cap-r17</m:t>
            </m:r>
            <m:ctrlPr>
              <w:rPr>
                <w:rFonts w:ascii="Cambria Math" w:hAnsi="Calibri" w:cs="Calibri"/>
              </w:rPr>
            </m:ctrlPr>
          </m:sup>
        </m:sSubSup>
      </m:oMath>
      <w:r w:rsidRPr="009B0788">
        <w:t xml:space="preserve"> is replaced by </w:t>
      </w:r>
      <m:oMath>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cells,r17/r15</m:t>
            </m:r>
            <m:ctrlPr>
              <w:rPr>
                <w:rFonts w:ascii="Cambria Math" w:hAnsi="Calibri" w:cs="Calibri"/>
              </w:rPr>
            </m:ctrlPr>
          </m:sub>
          <m:sup>
            <m:r>
              <m:rPr>
                <m:nor/>
              </m:rPr>
              <w:rPr>
                <w:rFonts w:ascii="Cambria Math" w:hAnsi="Calibri" w:cs="Calibri"/>
              </w:rPr>
              <m:t>cap-r17</m:t>
            </m:r>
            <m:ctrlPr>
              <w:rPr>
                <w:rFonts w:ascii="Cambria Math" w:hAnsi="Calibri" w:cs="Calibri"/>
              </w:rPr>
            </m:ctrlPr>
          </m:sup>
        </m:sSubSup>
      </m:oMath>
      <w:r w:rsidRPr="009B0788">
        <w:rPr>
          <w:rFonts w:eastAsia="Times New Roman"/>
        </w:rPr>
        <w:t xml:space="preserve">. </w:t>
      </w:r>
      <w:r w:rsidRPr="009B0788">
        <w:rPr>
          <w:rFonts w:eastAsia="Times New Roman"/>
          <w:iCs/>
        </w:rPr>
        <w:t xml:space="preserve">If the UE is configured with downlink cells for which the UE is provided </w:t>
      </w:r>
      <w:r w:rsidRPr="009B0788">
        <w:rPr>
          <w:rFonts w:eastAsia="Times New Roman"/>
          <w:i/>
        </w:rPr>
        <w:t>monitoringCapabilityConfig</w:t>
      </w:r>
      <w:r w:rsidRPr="009B0788">
        <w:rPr>
          <w:rFonts w:eastAsia="Times New Roman"/>
        </w:rPr>
        <w:t xml:space="preserve"> = </w:t>
      </w:r>
      <w:r w:rsidRPr="009B0788">
        <w:rPr>
          <w:rFonts w:eastAsia="Times New Roman"/>
          <w:i/>
        </w:rPr>
        <w:t>r16monitoringcapability</w:t>
      </w:r>
      <w:r w:rsidRPr="009B0788">
        <w:rPr>
          <w:rFonts w:eastAsia="Times New Roman"/>
          <w:iCs/>
        </w:rPr>
        <w:t xml:space="preserve"> and downlink cells for which the UE is provided </w:t>
      </w:r>
      <w:r w:rsidRPr="009B0788">
        <w:rPr>
          <w:rFonts w:eastAsia="Times New Roman"/>
          <w:i/>
        </w:rPr>
        <w:t>monitoringCapabilityConfig</w:t>
      </w:r>
      <w:r w:rsidRPr="009B0788">
        <w:rPr>
          <w:rFonts w:eastAsia="Times New Roman"/>
        </w:rPr>
        <w:t xml:space="preserve"> = </w:t>
      </w:r>
      <w:r w:rsidRPr="009B0788">
        <w:rPr>
          <w:rFonts w:eastAsia="Times New Roman"/>
          <w:i/>
        </w:rPr>
        <w:t>r17monitoringcapability</w:t>
      </w:r>
      <w:r w:rsidRPr="009B0788">
        <w:rPr>
          <w:lang w:eastAsia="zh-CN"/>
        </w:rPr>
        <w:t xml:space="preserve"> for the active DL BWPs</w:t>
      </w:r>
      <w:r w:rsidRPr="009B0788">
        <w:rPr>
          <w:rFonts w:eastAsia="Times New Roman"/>
          <w:iCs/>
        </w:rPr>
        <w:t>,</w:t>
      </w:r>
      <w:r w:rsidRPr="009B0788">
        <w:rPr>
          <w:rFonts w:eastAsia="Times New Roman"/>
          <w:i/>
        </w:rPr>
        <w:t xml:space="preserve"> </w:t>
      </w:r>
      <m:oMath>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m:t>
            </m:r>
            <m:ctrlPr>
              <w:rPr>
                <w:rFonts w:ascii="Cambria Math" w:hAnsi="Calibri" w:cs="Calibri"/>
              </w:rPr>
            </m:ctrlPr>
          </m:sub>
          <m:sup>
            <m:r>
              <m:rPr>
                <m:nor/>
              </m:rPr>
              <w:rPr>
                <w:rFonts w:ascii="Cambria Math" w:hAnsi="Calibri" w:cs="Calibri"/>
              </w:rPr>
              <m:t>cap-r17</m:t>
            </m:r>
            <m:ctrlPr>
              <w:rPr>
                <w:rFonts w:ascii="Cambria Math" w:hAnsi="Calibri" w:cs="Calibri"/>
              </w:rPr>
            </m:ctrlPr>
          </m:sup>
        </m:sSubSup>
      </m:oMath>
      <w:r w:rsidRPr="009B0788">
        <w:t xml:space="preserve"> is replaced by </w:t>
      </w:r>
      <m:oMath>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cells,r17/r16</m:t>
            </m:r>
            <m:ctrlPr>
              <w:rPr>
                <w:rFonts w:ascii="Cambria Math" w:hAnsi="Calibri" w:cs="Calibri"/>
              </w:rPr>
            </m:ctrlPr>
          </m:sub>
          <m:sup>
            <m:r>
              <m:rPr>
                <m:nor/>
              </m:rPr>
              <w:rPr>
                <w:rFonts w:ascii="Cambria Math" w:hAnsi="Calibri" w:cs="Calibri"/>
              </w:rPr>
              <m:t>cap-r17</m:t>
            </m:r>
            <m:ctrlPr>
              <w:rPr>
                <w:rFonts w:ascii="Cambria Math" w:hAnsi="Calibri" w:cs="Calibri"/>
              </w:rPr>
            </m:ctrlPr>
          </m:sup>
        </m:sSubSup>
      </m:oMath>
      <w:r w:rsidRPr="009B0788">
        <w:rPr>
          <w:rFonts w:eastAsia="Times New Roman"/>
        </w:rPr>
        <w:t xml:space="preserve">. </w:t>
      </w:r>
      <w:r w:rsidRPr="009B0788">
        <w:rPr>
          <w:rFonts w:eastAsia="Times New Roman"/>
          <w:iCs/>
        </w:rPr>
        <w:t xml:space="preserve">If the UE is configured with downlink cells for which the UE is provided </w:t>
      </w:r>
      <w:r w:rsidRPr="009B0788">
        <w:rPr>
          <w:rFonts w:eastAsia="Times New Roman"/>
          <w:i/>
        </w:rPr>
        <w:t>monitoringCapabilityConfig</w:t>
      </w:r>
      <w:r w:rsidRPr="009B0788">
        <w:rPr>
          <w:rFonts w:eastAsia="Times New Roman"/>
        </w:rPr>
        <w:t xml:space="preserve"> = </w:t>
      </w:r>
      <w:r w:rsidRPr="009B0788">
        <w:rPr>
          <w:rFonts w:eastAsia="Times New Roman"/>
          <w:i/>
        </w:rPr>
        <w:t>r15monitoringcapability</w:t>
      </w:r>
      <w:r w:rsidRPr="009B0788">
        <w:rPr>
          <w:rFonts w:eastAsia="Times New Roman"/>
          <w:iCs/>
        </w:rPr>
        <w:t xml:space="preserve"> and</w:t>
      </w:r>
      <w:r>
        <w:rPr>
          <w:rFonts w:eastAsia="Times New Roman"/>
          <w:iCs/>
        </w:rPr>
        <w:t xml:space="preserve"> downlink cells for which the UE is provided</w:t>
      </w:r>
      <w:r w:rsidRPr="009B0788">
        <w:rPr>
          <w:rFonts w:eastAsia="Times New Roman"/>
          <w:iCs/>
        </w:rPr>
        <w:t xml:space="preserve"> </w:t>
      </w:r>
      <w:r w:rsidRPr="009B0788">
        <w:rPr>
          <w:rFonts w:eastAsia="Times New Roman"/>
          <w:i/>
        </w:rPr>
        <w:t>monitoringCapabilityConfig</w:t>
      </w:r>
      <w:r w:rsidRPr="009B0788">
        <w:rPr>
          <w:rFonts w:eastAsia="Times New Roman"/>
        </w:rPr>
        <w:t xml:space="preserve"> = </w:t>
      </w:r>
      <w:r w:rsidRPr="009B0788">
        <w:rPr>
          <w:rFonts w:eastAsia="Times New Roman"/>
          <w:i/>
        </w:rPr>
        <w:t>r16monitoringcapability</w:t>
      </w:r>
      <w:r w:rsidRPr="009B0788">
        <w:rPr>
          <w:rFonts w:eastAsia="Times New Roman"/>
          <w:iCs/>
        </w:rPr>
        <w:t xml:space="preserve"> and downlink cells for which the UE is provided </w:t>
      </w:r>
      <w:r w:rsidRPr="009B0788">
        <w:rPr>
          <w:rFonts w:eastAsia="Times New Roman"/>
          <w:i/>
        </w:rPr>
        <w:t>monitoringCapabilityConfig</w:t>
      </w:r>
      <w:r w:rsidRPr="009B0788">
        <w:rPr>
          <w:rFonts w:eastAsia="Times New Roman"/>
        </w:rPr>
        <w:t xml:space="preserve"> = </w:t>
      </w:r>
      <w:r w:rsidRPr="009B0788">
        <w:rPr>
          <w:rFonts w:eastAsia="Times New Roman"/>
          <w:i/>
        </w:rPr>
        <w:t>r17monitoringcapability</w:t>
      </w:r>
      <w:r w:rsidRPr="009B0788">
        <w:rPr>
          <w:lang w:eastAsia="zh-CN"/>
        </w:rPr>
        <w:t xml:space="preserve"> for the active DL BWPs</w:t>
      </w:r>
      <w:r w:rsidRPr="009B0788">
        <w:rPr>
          <w:rFonts w:eastAsia="Times New Roman"/>
          <w:iCs/>
        </w:rPr>
        <w:t>,</w:t>
      </w:r>
      <w:r w:rsidRPr="009B0788">
        <w:rPr>
          <w:rFonts w:eastAsia="Times New Roman"/>
          <w:i/>
        </w:rPr>
        <w:t xml:space="preserve"> </w:t>
      </w:r>
      <m:oMath>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m:t>
            </m:r>
            <m:ctrlPr>
              <w:rPr>
                <w:rFonts w:ascii="Cambria Math" w:hAnsi="Calibri" w:cs="Calibri"/>
              </w:rPr>
            </m:ctrlPr>
          </m:sub>
          <m:sup>
            <m:r>
              <m:rPr>
                <m:nor/>
              </m:rPr>
              <w:rPr>
                <w:rFonts w:ascii="Cambria Math" w:hAnsi="Calibri" w:cs="Calibri"/>
              </w:rPr>
              <m:t>cap-r17</m:t>
            </m:r>
            <m:ctrlPr>
              <w:rPr>
                <w:rFonts w:ascii="Cambria Math" w:hAnsi="Calibri" w:cs="Calibri"/>
              </w:rPr>
            </m:ctrlPr>
          </m:sup>
        </m:sSubSup>
      </m:oMath>
      <w:r w:rsidRPr="009B0788">
        <w:t xml:space="preserve"> is replaced by </w:t>
      </w:r>
      <m:oMath>
        <m:sSubSup>
          <m:sSubSupPr>
            <m:ctrlPr>
              <w:rPr>
                <w:rFonts w:ascii="Cambria Math" w:hAnsi="Calibri" w:cs="Calibri"/>
                <w:i/>
              </w:rPr>
            </m:ctrlPr>
          </m:sSubSupPr>
          <m:e>
            <m:r>
              <w:rPr>
                <w:rFonts w:ascii="Cambria Math" w:hAnsi="Calibri" w:cs="Calibri"/>
              </w:rPr>
              <m:t>N</m:t>
            </m:r>
          </m:e>
          <m:sub>
            <m:r>
              <m:rPr>
                <m:nor/>
              </m:rPr>
              <w:rPr>
                <w:rFonts w:ascii="Cambria Math" w:hAnsi="Calibri" w:cs="Calibri"/>
              </w:rPr>
              <m:t>cells,r17/{r15,r16}</m:t>
            </m:r>
            <m:ctrlPr>
              <w:rPr>
                <w:rFonts w:ascii="Cambria Math" w:hAnsi="Calibri" w:cs="Calibri"/>
              </w:rPr>
            </m:ctrlPr>
          </m:sub>
          <m:sup>
            <m:r>
              <m:rPr>
                <m:nor/>
              </m:rPr>
              <w:rPr>
                <w:rFonts w:ascii="Cambria Math" w:hAnsi="Calibri" w:cs="Calibri"/>
              </w:rPr>
              <m:t>cap-r17</m:t>
            </m:r>
            <m:ctrlPr>
              <w:rPr>
                <w:rFonts w:ascii="Cambria Math" w:hAnsi="Calibri" w:cs="Calibri"/>
              </w:rPr>
            </m:ctrlPr>
          </m:sup>
        </m:sSubSup>
      </m:oMath>
      <w:r w:rsidRPr="009B0788">
        <w:rPr>
          <w:rFonts w:eastAsia="Times New Roman"/>
        </w:rPr>
        <w:t xml:space="preserve">. </w:t>
      </w:r>
      <w:r w:rsidRPr="009B0788">
        <w:t xml:space="preserve">If, for one or more of the cells, the UE is provided with </w:t>
      </w:r>
      <w:r w:rsidRPr="009B0788">
        <w:rPr>
          <w:i/>
        </w:rPr>
        <w:t>monitoringCapabilityConfig</w:t>
      </w:r>
      <w:r w:rsidRPr="009B0788">
        <w:t xml:space="preserve"> = </w:t>
      </w:r>
      <w:r w:rsidRPr="009B0788">
        <w:rPr>
          <w:i/>
        </w:rPr>
        <w:t>r16monitoringcapability</w:t>
      </w:r>
      <w:r w:rsidRPr="009B0788">
        <w:rPr>
          <w:iCs/>
        </w:rPr>
        <w:t xml:space="preserve">, </w:t>
      </w:r>
      <m:oMath>
        <m:r>
          <w:rPr>
            <w:rFonts w:ascii="Cambria Math" w:hAnsi="Cambria Math" w:cs="Calibri"/>
            <w:lang w:val="x-none"/>
          </w:rPr>
          <m:t>γ</m:t>
        </m:r>
        <m:r>
          <w:rPr>
            <w:rFonts w:ascii="Cambria Math"/>
            <w:lang w:val="x-none"/>
          </w:rPr>
          <m:t>=1</m:t>
        </m:r>
      </m:oMath>
      <w:r w:rsidRPr="009B0788">
        <w:t>.</w:t>
      </w:r>
    </w:p>
    <w:p w14:paraId="0D61BA72" w14:textId="0CFF9E2D" w:rsidR="00670E7E" w:rsidRPr="00F66CE9" w:rsidRDefault="00670E7E" w:rsidP="00670E7E">
      <w:pPr>
        <w:rPr>
          <w:lang w:val="en-US"/>
        </w:rPr>
      </w:pPr>
      <w:r w:rsidRPr="00F66CE9">
        <w:rPr>
          <w:lang w:val="en-US"/>
        </w:rPr>
        <w:t xml:space="preserve">For each scheduled cell from the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cells,r17,0</m:t>
            </m:r>
          </m:sub>
          <m:sup>
            <m:r>
              <m:rPr>
                <m:sty m:val="p"/>
              </m:rPr>
              <w:rPr>
                <w:rFonts w:ascii="Cambria Math" w:hAnsi="Cambria Math"/>
                <w:color w:val="000000"/>
              </w:rPr>
              <m:t>DL,</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m:rPr>
                <m:sty m:val="p"/>
              </m:rPr>
              <w:rPr>
                <w:rFonts w:ascii="Cambria Math" w:hAnsi="Cambria Math"/>
                <w:color w:val="000000"/>
              </w:rPr>
              <m:t>,</m:t>
            </m:r>
            <m:r>
              <w:rPr>
                <w:rFonts w:ascii="Cambria Math" w:hAnsi="Cambria Math"/>
                <w:color w:val="000000"/>
              </w:rPr>
              <m:t>μ</m:t>
            </m:r>
          </m:sup>
        </m:sSubSup>
      </m:oMath>
      <w:r w:rsidRPr="00F66CE9">
        <w:t xml:space="preserve"> downlink cells</w:t>
      </w:r>
      <w:r w:rsidRPr="00F66CE9">
        <w:rPr>
          <w:lang w:val="en-US"/>
        </w:rPr>
        <w:t xml:space="preserve"> using </w:t>
      </w:r>
      <w:r>
        <w:rPr>
          <w:lang w:val="en-US"/>
        </w:rPr>
        <w:t xml:space="preserve">any </w:t>
      </w:r>
      <w:r w:rsidRPr="00F66CE9">
        <w:rPr>
          <w:lang w:val="en-US"/>
        </w:rPr>
        <w:t xml:space="preserve">combination </w:t>
      </w:r>
      <m:oMath>
        <m:d>
          <m:dPr>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e>
        </m:d>
      </m:oMath>
      <w:r w:rsidRPr="002A2C5E">
        <w:t xml:space="preserve"> </w:t>
      </w:r>
      <w:r>
        <w:t xml:space="preserve">for a 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Pr>
          <w:lang w:eastAsia="zh-CN"/>
        </w:rPr>
        <w:t xml:space="preserve"> slots</w:t>
      </w:r>
      <w:r w:rsidRPr="00F66CE9">
        <w:rPr>
          <w:lang w:val="en-US"/>
        </w:rPr>
        <w:t xml:space="preserve">, the UE is not required to monitor on the active DL BWP </w:t>
      </w:r>
      <w:r w:rsidRPr="00F66CE9">
        <w:rPr>
          <w:lang w:eastAsia="ko-KR"/>
        </w:rPr>
        <w:t xml:space="preserve">with </w:t>
      </w:r>
      <w:r w:rsidRPr="00F66CE9">
        <w:t xml:space="preserve">SCS configuration </w:t>
      </w:r>
      <m:oMath>
        <m:r>
          <w:rPr>
            <w:rFonts w:ascii="Cambria Math" w:hAnsi="Cambria Math"/>
          </w:rPr>
          <m:t>μ</m:t>
        </m:r>
      </m:oMath>
      <w:r w:rsidRPr="00F66CE9">
        <w:t xml:space="preserve"> </w:t>
      </w:r>
      <w:r w:rsidRPr="00F66CE9">
        <w:rPr>
          <w:lang w:val="en-US"/>
        </w:rPr>
        <w:t>of the scheduling cell</w:t>
      </w:r>
      <w:r w:rsidRPr="00F66CE9">
        <w:rPr>
          <w:lang w:eastAsia="zh-CN"/>
        </w:rPr>
        <w:t>,</w:t>
      </w:r>
      <w:r w:rsidRPr="00F66CE9">
        <w:rPr>
          <w:lang w:val="en-US"/>
        </w:rPr>
        <w:t xml:space="preserve"> more than </w:t>
      </w:r>
      <m:oMath>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m:rPr>
                        <m:sty m:val="p"/>
                      </m:rPr>
                      <w:rPr>
                        <w:rFonts w:ascii="Cambria Math" w:hAnsi="Cambria Math"/>
                      </w:rPr>
                      <m:t>PDCCH</m:t>
                    </m:r>
                    <m:ctrlPr>
                      <w:rPr>
                        <w:rFonts w:ascii="Cambria Math" w:hAnsi="Cambria Math"/>
                      </w:rPr>
                    </m:ctrlPr>
                  </m:sub>
                  <m:sup>
                    <m:r>
                      <m:rPr>
                        <m:sty m:val="p"/>
                      </m:rPr>
                      <w:rPr>
                        <w:rFonts w:ascii="Cambria Math" w:hAnsi="Cambria Math"/>
                      </w:rPr>
                      <m:t>max,</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m:rPr>
                        <m:sty m:val="p"/>
                      </m:rPr>
                      <w:rPr>
                        <w:rFonts w:ascii="Cambria Math" w:hAnsi="Cambria Math"/>
                      </w:rPr>
                      <m:t>,</m:t>
                    </m:r>
                    <m:r>
                      <w:rPr>
                        <w:rFonts w:ascii="Cambria Math" w:hAns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M</m:t>
                    </m:r>
                  </m:e>
                  <m:sub>
                    <m:r>
                      <m:rPr>
                        <m:sty m:val="p"/>
                      </m:rPr>
                      <w:rPr>
                        <w:rFonts w:ascii="Cambria Math" w:hAnsi="Cambria Math"/>
                      </w:rPr>
                      <m:t>PDCCH</m:t>
                    </m:r>
                    <m:ctrlPr>
                      <w:rPr>
                        <w:rFonts w:ascii="Cambria Math" w:hAnsi="Cambria Math"/>
                      </w:rPr>
                    </m:ctrlPr>
                  </m:sub>
                  <m:sup>
                    <m:r>
                      <m:rPr>
                        <m:sty m:val="p"/>
                      </m:rPr>
                      <w:rPr>
                        <w:rFonts w:ascii="Cambria Math" w:hAnsi="Cambria Math"/>
                      </w:rPr>
                      <m:t>total,</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m:rPr>
                        <m:sty m:val="p"/>
                      </m:rPr>
                      <w:rPr>
                        <w:rFonts w:ascii="Cambria Math" w:hAnsi="Cambria Math"/>
                      </w:rPr>
                      <m:t>,</m:t>
                    </m:r>
                    <m:r>
                      <w:rPr>
                        <w:rFonts w:ascii="Cambria Math" w:hAnsi="Cambria Math"/>
                      </w:rPr>
                      <m:t>μ</m:t>
                    </m:r>
                    <m:ctrlPr>
                      <w:rPr>
                        <w:rFonts w:ascii="Cambria Math" w:hAnsi="Cambria Math"/>
                      </w:rPr>
                    </m:ctrlPr>
                  </m:sup>
                </m:sSubSup>
              </m:e>
            </m:d>
          </m:e>
        </m:func>
      </m:oMath>
      <w:r w:rsidRPr="00F66CE9">
        <w:rPr>
          <w:lang w:val="en-US"/>
        </w:rPr>
        <w:t xml:space="preserve"> </w:t>
      </w:r>
      <w:r w:rsidRPr="00F66CE9">
        <w:t>PDCCH candidates or more than</w:t>
      </w:r>
      <w:r w:rsidRPr="00F66CE9">
        <w:rPr>
          <w:lang w:val="en-US"/>
        </w:rPr>
        <w:t xml:space="preserve"> </w:t>
      </w:r>
      <m:oMath>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m:rPr>
                        <m:sty m:val="p"/>
                      </m:rPr>
                      <w:rPr>
                        <w:rFonts w:ascii="Cambria Math" w:hAnsi="Cambria Math"/>
                      </w:rPr>
                      <m:t>PDCCH</m:t>
                    </m:r>
                    <m:ctrlPr>
                      <w:rPr>
                        <w:rFonts w:ascii="Cambria Math" w:hAnsi="Cambria Math"/>
                      </w:rPr>
                    </m:ctrlPr>
                  </m:sub>
                  <m:sup>
                    <m:r>
                      <m:rPr>
                        <m:sty m:val="p"/>
                      </m:rPr>
                      <w:rPr>
                        <w:rFonts w:ascii="Cambria Math" w:hAnsi="Cambria Math"/>
                      </w:rPr>
                      <m:t>max,</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m:rPr>
                        <m:sty m:val="p"/>
                      </m:rPr>
                      <w:rPr>
                        <w:rFonts w:ascii="Cambria Math" w:hAnsi="Cambria Math"/>
                      </w:rPr>
                      <m:t>,</m:t>
                    </m:r>
                    <m:r>
                      <w:rPr>
                        <w:rFonts w:ascii="Cambria Math" w:hAns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C</m:t>
                    </m:r>
                  </m:e>
                  <m:sub>
                    <m:r>
                      <m:rPr>
                        <m:sty m:val="p"/>
                      </m:rPr>
                      <w:rPr>
                        <w:rFonts w:ascii="Cambria Math" w:hAnsi="Cambria Math"/>
                      </w:rPr>
                      <m:t>PDCCH</m:t>
                    </m:r>
                    <m:ctrlPr>
                      <w:rPr>
                        <w:rFonts w:ascii="Cambria Math" w:hAnsi="Cambria Math"/>
                      </w:rPr>
                    </m:ctrlPr>
                  </m:sub>
                  <m:sup>
                    <m:r>
                      <m:rPr>
                        <m:sty m:val="p"/>
                      </m:rPr>
                      <w:rPr>
                        <w:rFonts w:ascii="Cambria Math" w:hAnsi="Cambria Math"/>
                      </w:rPr>
                      <m:t>total,</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m:rPr>
                        <m:sty m:val="p"/>
                      </m:rPr>
                      <w:rPr>
                        <w:rFonts w:ascii="Cambria Math" w:hAnsi="Cambria Math"/>
                      </w:rPr>
                      <m:t>,</m:t>
                    </m:r>
                    <m:r>
                      <w:rPr>
                        <w:rFonts w:ascii="Cambria Math" w:hAnsi="Cambria Math"/>
                      </w:rPr>
                      <m:t>μ</m:t>
                    </m:r>
                    <m:ctrlPr>
                      <w:rPr>
                        <w:rFonts w:ascii="Cambria Math" w:hAnsi="Cambria Math"/>
                      </w:rPr>
                    </m:ctrlPr>
                  </m:sup>
                </m:sSubSup>
              </m:e>
            </m:d>
          </m:e>
        </m:func>
      </m:oMath>
      <w:r w:rsidRPr="00F66CE9">
        <w:t xml:space="preserve"> non-overlapped CCEs per</w:t>
      </w:r>
      <w:r>
        <w:t xml:space="preserve"> group of</w:t>
      </w:r>
      <w:r w:rsidRPr="00F66CE9">
        <w:t xml:space="preserve">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sidRPr="00F66CE9">
        <w:rPr>
          <w:lang w:val="en-US"/>
        </w:rPr>
        <w:t xml:space="preserve"> slots</w:t>
      </w:r>
      <w:r w:rsidRPr="00F66CE9">
        <w:t>.</w:t>
      </w:r>
    </w:p>
    <w:p w14:paraId="7F3E2E96" w14:textId="77777777" w:rsidR="00EA406F" w:rsidRDefault="00EA406F" w:rsidP="00EA406F">
      <w:r w:rsidRPr="00A51D05">
        <w:t xml:space="preserve">For each scheduled cell from the </w:t>
      </w:r>
      <m:oMath>
        <m:sSubSup>
          <m:sSubSupPr>
            <m:ctrlPr>
              <w:rPr>
                <w:rFonts w:ascii="Cambria Math" w:eastAsia="Calibri" w:hAnsi="Cambria Math"/>
                <w:iCs/>
              </w:rPr>
            </m:ctrlPr>
          </m:sSubSupPr>
          <m:e>
            <m:r>
              <w:rPr>
                <w:rFonts w:ascii="Cambria Math" w:hAnsi="Cambria Math"/>
              </w:rPr>
              <m:t>N</m:t>
            </m:r>
          </m:e>
          <m:sub>
            <m:r>
              <m:rPr>
                <m:sty m:val="p"/>
              </m:rPr>
              <w:rPr>
                <w:rFonts w:ascii="Cambria Math" w:hAnsi="Cambria Math"/>
              </w:rPr>
              <m:t>cells,r17,1</m:t>
            </m:r>
          </m:sub>
          <m:sup>
            <m:r>
              <m:rPr>
                <m:sty m:val="p"/>
              </m:rPr>
              <w:rPr>
                <w:rFonts w:ascii="Cambria Math" w:hAnsi="Cambria Math"/>
                <w:color w:val="000000"/>
              </w:rPr>
              <m:t>DL,</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m:rPr>
                <m:sty m:val="p"/>
              </m:rPr>
              <w:rPr>
                <w:rFonts w:ascii="Cambria Math" w:hAnsi="Cambria Math"/>
                <w:color w:val="000000"/>
              </w:rPr>
              <m:t>,</m:t>
            </m:r>
            <m:r>
              <w:rPr>
                <w:rFonts w:ascii="Cambria Math" w:hAnsi="Cambria Math"/>
                <w:color w:val="000000"/>
              </w:rPr>
              <m:t>μ</m:t>
            </m:r>
          </m:sup>
        </m:sSubSup>
      </m:oMath>
      <w:r w:rsidRPr="00A51D05">
        <w:t xml:space="preserve"> downlink cells using any combination </w:t>
      </w:r>
      <m:oMath>
        <m:d>
          <m:dPr>
            <m:ctrlPr>
              <w:rPr>
                <w:rFonts w:ascii="Cambria Math" w:hAnsi="Cambria Math"/>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e>
        </m:d>
      </m:oMath>
      <w:r w:rsidRPr="00A51D05">
        <w:t xml:space="preserve"> for a 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sidRPr="00A51D05">
        <w:rPr>
          <w:lang w:eastAsia="zh-CN"/>
        </w:rPr>
        <w:t xml:space="preserve"> slots</w:t>
      </w:r>
      <w:r w:rsidRPr="00A51D05">
        <w:t xml:space="preserve">, the UE is not required to monitor on the active DL BWP </w:t>
      </w:r>
      <w:r w:rsidRPr="00A51D05">
        <w:rPr>
          <w:lang w:eastAsia="ko-KR"/>
        </w:rPr>
        <w:t xml:space="preserve">with </w:t>
      </w:r>
      <w:r w:rsidRPr="00A51D05">
        <w:t xml:space="preserve">SCS configuration </w:t>
      </w:r>
      <m:oMath>
        <m:r>
          <w:rPr>
            <w:rFonts w:ascii="Cambria Math" w:hAnsi="Cambria Math"/>
          </w:rPr>
          <m:t>μ</m:t>
        </m:r>
      </m:oMath>
      <w:r w:rsidRPr="00A51D05">
        <w:t xml:space="preserve"> of the scheduling cell</w:t>
      </w:r>
      <w:r w:rsidRPr="00A51D05">
        <w:rPr>
          <w:lang w:eastAsia="zh-CN"/>
        </w:rPr>
        <w:t>,</w:t>
      </w:r>
      <w:r w:rsidRPr="00A51D05">
        <w:t xml:space="preserve"> </w:t>
      </w:r>
    </w:p>
    <w:p w14:paraId="0F8E2AC7" w14:textId="77777777" w:rsidR="00EA406F" w:rsidRDefault="00EA406F" w:rsidP="00EA406F">
      <w:pPr>
        <w:pStyle w:val="B1"/>
      </w:pPr>
      <w:r>
        <w:rPr>
          <w:lang w:eastAsia="ko-KR"/>
        </w:rPr>
        <w:t>-</w:t>
      </w:r>
      <w:r>
        <w:rPr>
          <w:lang w:eastAsia="ko-KR"/>
        </w:rPr>
        <w:tab/>
      </w:r>
      <w:r w:rsidRPr="001931B1">
        <w:t xml:space="preserve">more than </w:t>
      </w:r>
      <m:oMath>
        <m:func>
          <m:funcPr>
            <m:ctrlPr>
              <w:rPr>
                <w:rFonts w:ascii="Cambria Math" w:hAnsi="Cambria Math"/>
                <w:i/>
                <w:lang w:val="en-GB"/>
              </w:rPr>
            </m:ctrlPr>
          </m:funcPr>
          <m:fName>
            <m:r>
              <w:rPr>
                <w:rFonts w:ascii="Cambria Math" w:hAnsi="Cambria Math"/>
                <w:lang w:val="en-GB"/>
              </w:rPr>
              <m:t>min</m:t>
            </m:r>
          </m:fName>
          <m:e>
            <m:d>
              <m:dPr>
                <m:ctrlPr>
                  <w:rPr>
                    <w:rFonts w:ascii="Cambria Math" w:hAnsi="Cambria Math"/>
                    <w:i/>
                    <w:lang w:val="en-GB"/>
                  </w:rPr>
                </m:ctrlPr>
              </m:dPr>
              <m:e>
                <m:sSubSup>
                  <m:sSubSupPr>
                    <m:ctrlPr>
                      <w:rPr>
                        <w:rFonts w:ascii="Cambria Math" w:hAnsi="Cambria Math"/>
                        <w:i/>
                        <w:lang w:val="en-GB"/>
                      </w:rPr>
                    </m:ctrlPr>
                  </m:sSubSupPr>
                  <m:e>
                    <m:r>
                      <w:rPr>
                        <w:rFonts w:ascii="Cambria Math" w:hAnsi="Cambria Math"/>
                        <w:lang w:val="en-GB"/>
                      </w:rPr>
                      <m:t>γ∙M</m:t>
                    </m:r>
                  </m:e>
                  <m:sub>
                    <m:r>
                      <m:rPr>
                        <m:sty m:val="p"/>
                      </m:rPr>
                      <w:rPr>
                        <w:rFonts w:ascii="Cambria Math" w:hAnsi="Cambria Math"/>
                        <w:lang w:val="en-GB"/>
                      </w:rPr>
                      <m:t>PDCCH</m:t>
                    </m:r>
                    <m:ctrlPr>
                      <w:rPr>
                        <w:rFonts w:ascii="Cambria Math" w:hAnsi="Cambria Math"/>
                        <w:lang w:val="en-GB"/>
                      </w:rPr>
                    </m:ctrlPr>
                  </m:sub>
                  <m:sup>
                    <m:r>
                      <m:rPr>
                        <m:sty m:val="p"/>
                      </m:rPr>
                      <w:rPr>
                        <w:rFonts w:ascii="Cambria Math" w:hAnsi="Cambria Math"/>
                        <w:lang w:val="en-GB"/>
                      </w:rPr>
                      <m:t>max,</m:t>
                    </m:r>
                    <m:sSub>
                      <m:sSubPr>
                        <m:ctrlPr>
                          <w:rPr>
                            <w:rFonts w:ascii="Cambria Math" w:hAnsi="Cambria Math"/>
                            <w:i/>
                            <w:lang w:val="en-GB" w:eastAsia="zh-CN"/>
                          </w:rPr>
                        </m:ctrlPr>
                      </m:sSubPr>
                      <m:e>
                        <m:r>
                          <w:rPr>
                            <w:rFonts w:ascii="Cambria Math" w:hAnsi="Cambria Math"/>
                            <w:lang w:val="en-GB" w:eastAsia="zh-CN"/>
                          </w:rPr>
                          <m:t>X</m:t>
                        </m:r>
                      </m:e>
                      <m:sub>
                        <m:r>
                          <w:rPr>
                            <w:rFonts w:ascii="Cambria Math" w:hAnsi="Cambria Math"/>
                            <w:lang w:val="en-GB" w:eastAsia="zh-CN"/>
                          </w:rPr>
                          <m:t>s</m:t>
                        </m:r>
                      </m:sub>
                    </m:sSub>
                    <m:r>
                      <m:rPr>
                        <m:sty m:val="p"/>
                      </m:rPr>
                      <w:rPr>
                        <w:rFonts w:ascii="Cambria Math" w:hAnsi="Cambria Math"/>
                        <w:lang w:val="en-GB"/>
                      </w:rPr>
                      <m:t>,</m:t>
                    </m:r>
                    <m:r>
                      <w:rPr>
                        <w:rFonts w:ascii="Cambria Math" w:hAnsi="Cambria Math"/>
                        <w:lang w:val="en-GB"/>
                      </w:rPr>
                      <m:t>μ</m:t>
                    </m:r>
                    <m:ctrlPr>
                      <w:rPr>
                        <w:rFonts w:ascii="Cambria Math" w:hAnsi="Cambria Math"/>
                        <w:lang w:val="en-GB"/>
                      </w:rPr>
                    </m:ctrlP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M</m:t>
                    </m:r>
                  </m:e>
                  <m:sub>
                    <m:r>
                      <m:rPr>
                        <m:sty m:val="p"/>
                      </m:rPr>
                      <w:rPr>
                        <w:rFonts w:ascii="Cambria Math" w:hAnsi="Cambria Math"/>
                        <w:lang w:val="en-GB"/>
                      </w:rPr>
                      <m:t>PDCCH</m:t>
                    </m:r>
                    <m:ctrlPr>
                      <w:rPr>
                        <w:rFonts w:ascii="Cambria Math" w:hAnsi="Cambria Math"/>
                        <w:lang w:val="en-GB"/>
                      </w:rPr>
                    </m:ctrlPr>
                  </m:sub>
                  <m:sup>
                    <m:r>
                      <m:rPr>
                        <m:sty m:val="p"/>
                      </m:rPr>
                      <w:rPr>
                        <w:rFonts w:ascii="Cambria Math" w:hAnsi="Cambria Math"/>
                        <w:lang w:val="en-GB"/>
                      </w:rPr>
                      <m:t>total,</m:t>
                    </m:r>
                    <m:sSub>
                      <m:sSubPr>
                        <m:ctrlPr>
                          <w:rPr>
                            <w:rFonts w:ascii="Cambria Math" w:hAnsi="Cambria Math"/>
                            <w:i/>
                            <w:lang w:val="en-GB" w:eastAsia="zh-CN"/>
                          </w:rPr>
                        </m:ctrlPr>
                      </m:sSubPr>
                      <m:e>
                        <m:r>
                          <w:rPr>
                            <w:rFonts w:ascii="Cambria Math" w:hAnsi="Cambria Math"/>
                            <w:lang w:val="en-GB" w:eastAsia="zh-CN"/>
                          </w:rPr>
                          <m:t>X</m:t>
                        </m:r>
                      </m:e>
                      <m:sub>
                        <m:r>
                          <w:rPr>
                            <w:rFonts w:ascii="Cambria Math" w:hAnsi="Cambria Math"/>
                            <w:lang w:val="en-GB" w:eastAsia="zh-CN"/>
                          </w:rPr>
                          <m:t>s</m:t>
                        </m:r>
                      </m:sub>
                    </m:sSub>
                    <m:r>
                      <m:rPr>
                        <m:sty m:val="p"/>
                      </m:rPr>
                      <w:rPr>
                        <w:rFonts w:ascii="Cambria Math" w:hAnsi="Cambria Math"/>
                        <w:lang w:val="en-GB"/>
                      </w:rPr>
                      <m:t>,</m:t>
                    </m:r>
                    <m:r>
                      <w:rPr>
                        <w:rFonts w:ascii="Cambria Math" w:hAnsi="Cambria Math"/>
                        <w:lang w:val="en-GB"/>
                      </w:rPr>
                      <m:t>μ</m:t>
                    </m:r>
                    <m:ctrlPr>
                      <w:rPr>
                        <w:rFonts w:ascii="Cambria Math" w:hAnsi="Cambria Math"/>
                        <w:lang w:val="en-GB"/>
                      </w:rPr>
                    </m:ctrlPr>
                  </m:sup>
                </m:sSubSup>
              </m:e>
            </m:d>
          </m:e>
        </m:func>
      </m:oMath>
      <w:r w:rsidRPr="001931B1">
        <w:t xml:space="preserve"> </w:t>
      </w:r>
      <w:r w:rsidRPr="001931B1">
        <w:rPr>
          <w:lang w:val="en-GB"/>
        </w:rPr>
        <w:t>PDCCH candidates</w:t>
      </w:r>
      <w:r w:rsidRPr="00A51D05">
        <w:rPr>
          <w:lang w:val="en-GB"/>
        </w:rPr>
        <w:t xml:space="preserve"> or </w:t>
      </w:r>
      <w:r w:rsidRPr="001931B1">
        <w:rPr>
          <w:lang w:val="en-GB"/>
        </w:rPr>
        <w:t>more than</w:t>
      </w:r>
      <w:r w:rsidRPr="001931B1">
        <w:t xml:space="preserve"> </w:t>
      </w:r>
      <m:oMath>
        <m:func>
          <m:funcPr>
            <m:ctrlPr>
              <w:rPr>
                <w:rFonts w:ascii="Cambria Math" w:hAnsi="Cambria Math"/>
                <w:i/>
                <w:lang w:val="en-GB"/>
              </w:rPr>
            </m:ctrlPr>
          </m:funcPr>
          <m:fName>
            <m:r>
              <w:rPr>
                <w:rFonts w:ascii="Cambria Math" w:hAnsi="Cambria Math"/>
                <w:lang w:val="en-GB"/>
              </w:rPr>
              <m:t>min</m:t>
            </m:r>
          </m:fName>
          <m:e>
            <m:d>
              <m:dPr>
                <m:ctrlPr>
                  <w:rPr>
                    <w:rFonts w:ascii="Cambria Math" w:hAnsi="Cambria Math"/>
                    <w:i/>
                    <w:lang w:val="en-GB"/>
                  </w:rPr>
                </m:ctrlPr>
              </m:dPr>
              <m:e>
                <m:sSubSup>
                  <m:sSubSupPr>
                    <m:ctrlPr>
                      <w:rPr>
                        <w:rFonts w:ascii="Cambria Math" w:hAnsi="Cambria Math"/>
                        <w:i/>
                        <w:lang w:val="en-GB"/>
                      </w:rPr>
                    </m:ctrlPr>
                  </m:sSubSupPr>
                  <m:e>
                    <m:r>
                      <w:rPr>
                        <w:rFonts w:ascii="Cambria Math" w:hAnsi="Cambria Math"/>
                        <w:lang w:val="en-GB"/>
                      </w:rPr>
                      <m:t>γ∙C</m:t>
                    </m:r>
                  </m:e>
                  <m:sub>
                    <m:r>
                      <m:rPr>
                        <m:sty m:val="p"/>
                      </m:rPr>
                      <w:rPr>
                        <w:rFonts w:ascii="Cambria Math" w:hAnsi="Cambria Math"/>
                        <w:lang w:val="en-GB"/>
                      </w:rPr>
                      <m:t>PDCCH</m:t>
                    </m:r>
                    <m:ctrlPr>
                      <w:rPr>
                        <w:rFonts w:ascii="Cambria Math" w:hAnsi="Cambria Math"/>
                        <w:lang w:val="en-GB"/>
                      </w:rPr>
                    </m:ctrlPr>
                  </m:sub>
                  <m:sup>
                    <m:r>
                      <m:rPr>
                        <m:sty m:val="p"/>
                      </m:rPr>
                      <w:rPr>
                        <w:rFonts w:ascii="Cambria Math" w:hAnsi="Cambria Math"/>
                        <w:lang w:val="en-GB"/>
                      </w:rPr>
                      <m:t>max,</m:t>
                    </m:r>
                    <m:sSub>
                      <m:sSubPr>
                        <m:ctrlPr>
                          <w:rPr>
                            <w:rFonts w:ascii="Cambria Math" w:hAnsi="Cambria Math"/>
                            <w:i/>
                            <w:lang w:val="en-GB" w:eastAsia="zh-CN"/>
                          </w:rPr>
                        </m:ctrlPr>
                      </m:sSubPr>
                      <m:e>
                        <m:r>
                          <w:rPr>
                            <w:rFonts w:ascii="Cambria Math" w:hAnsi="Cambria Math"/>
                            <w:lang w:val="en-GB" w:eastAsia="zh-CN"/>
                          </w:rPr>
                          <m:t>X</m:t>
                        </m:r>
                      </m:e>
                      <m:sub>
                        <m:r>
                          <w:rPr>
                            <w:rFonts w:ascii="Cambria Math" w:hAnsi="Cambria Math"/>
                            <w:lang w:val="en-GB" w:eastAsia="zh-CN"/>
                          </w:rPr>
                          <m:t>s</m:t>
                        </m:r>
                      </m:sub>
                    </m:sSub>
                    <m:r>
                      <m:rPr>
                        <m:sty m:val="p"/>
                      </m:rPr>
                      <w:rPr>
                        <w:rFonts w:ascii="Cambria Math" w:hAnsi="Cambria Math"/>
                        <w:lang w:val="en-GB"/>
                      </w:rPr>
                      <m:t>,</m:t>
                    </m:r>
                    <m:r>
                      <w:rPr>
                        <w:rFonts w:ascii="Cambria Math" w:hAnsi="Cambria Math"/>
                        <w:lang w:val="en-GB"/>
                      </w:rPr>
                      <m:t>μ</m:t>
                    </m:r>
                    <m:ctrlPr>
                      <w:rPr>
                        <w:rFonts w:ascii="Cambria Math" w:hAnsi="Cambria Math"/>
                        <w:lang w:val="en-GB"/>
                      </w:rPr>
                    </m:ctrlP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C</m:t>
                    </m:r>
                  </m:e>
                  <m:sub>
                    <m:r>
                      <m:rPr>
                        <m:sty m:val="p"/>
                      </m:rPr>
                      <w:rPr>
                        <w:rFonts w:ascii="Cambria Math" w:hAnsi="Cambria Math"/>
                        <w:lang w:val="en-GB"/>
                      </w:rPr>
                      <m:t>PDCCH</m:t>
                    </m:r>
                    <m:ctrlPr>
                      <w:rPr>
                        <w:rFonts w:ascii="Cambria Math" w:hAnsi="Cambria Math"/>
                        <w:lang w:val="en-GB"/>
                      </w:rPr>
                    </m:ctrlPr>
                  </m:sub>
                  <m:sup>
                    <m:r>
                      <m:rPr>
                        <m:sty m:val="p"/>
                      </m:rPr>
                      <w:rPr>
                        <w:rFonts w:ascii="Cambria Math" w:hAnsi="Cambria Math"/>
                        <w:lang w:val="en-GB"/>
                      </w:rPr>
                      <m:t>total,</m:t>
                    </m:r>
                    <m:sSub>
                      <m:sSubPr>
                        <m:ctrlPr>
                          <w:rPr>
                            <w:rFonts w:ascii="Cambria Math" w:hAnsi="Cambria Math"/>
                            <w:i/>
                            <w:lang w:val="en-GB" w:eastAsia="zh-CN"/>
                          </w:rPr>
                        </m:ctrlPr>
                      </m:sSubPr>
                      <m:e>
                        <m:r>
                          <w:rPr>
                            <w:rFonts w:ascii="Cambria Math" w:hAnsi="Cambria Math"/>
                            <w:lang w:val="en-GB" w:eastAsia="zh-CN"/>
                          </w:rPr>
                          <m:t>X</m:t>
                        </m:r>
                      </m:e>
                      <m:sub>
                        <m:r>
                          <w:rPr>
                            <w:rFonts w:ascii="Cambria Math" w:hAnsi="Cambria Math"/>
                            <w:lang w:val="en-GB" w:eastAsia="zh-CN"/>
                          </w:rPr>
                          <m:t>s</m:t>
                        </m:r>
                      </m:sub>
                    </m:sSub>
                    <m:r>
                      <m:rPr>
                        <m:sty m:val="p"/>
                      </m:rPr>
                      <w:rPr>
                        <w:rFonts w:ascii="Cambria Math" w:hAnsi="Cambria Math"/>
                        <w:lang w:val="en-GB"/>
                      </w:rPr>
                      <m:t>,</m:t>
                    </m:r>
                    <m:r>
                      <w:rPr>
                        <w:rFonts w:ascii="Cambria Math" w:hAnsi="Cambria Math"/>
                        <w:lang w:val="en-GB"/>
                      </w:rPr>
                      <m:t>μ</m:t>
                    </m:r>
                    <m:ctrlPr>
                      <w:rPr>
                        <w:rFonts w:ascii="Cambria Math" w:hAnsi="Cambria Math"/>
                        <w:lang w:val="en-GB"/>
                      </w:rPr>
                    </m:ctrlPr>
                  </m:sup>
                </m:sSubSup>
              </m:e>
            </m:d>
          </m:e>
        </m:func>
      </m:oMath>
      <w:r w:rsidRPr="001931B1">
        <w:rPr>
          <w:lang w:val="en-GB"/>
        </w:rPr>
        <w:t xml:space="preserve"> non-overlapped CCEs per group of </w:t>
      </w:r>
      <m:oMath>
        <m:sSub>
          <m:sSubPr>
            <m:ctrlPr>
              <w:rPr>
                <w:rFonts w:ascii="Cambria Math" w:hAnsi="Cambria Math"/>
                <w:i/>
                <w:lang w:val="en-GB" w:eastAsia="zh-CN"/>
              </w:rPr>
            </m:ctrlPr>
          </m:sSubPr>
          <m:e>
            <m:r>
              <w:rPr>
                <w:rFonts w:ascii="Cambria Math" w:hAnsi="Cambria Math"/>
                <w:lang w:val="en-GB" w:eastAsia="zh-CN"/>
              </w:rPr>
              <m:t>X</m:t>
            </m:r>
          </m:e>
          <m:sub>
            <m:r>
              <w:rPr>
                <w:rFonts w:ascii="Cambria Math" w:hAnsi="Cambria Math"/>
                <w:lang w:val="en-GB" w:eastAsia="zh-CN"/>
              </w:rPr>
              <m:t>s</m:t>
            </m:r>
          </m:sub>
        </m:sSub>
      </m:oMath>
      <w:r w:rsidRPr="001931B1">
        <w:t xml:space="preserve"> slots</w:t>
      </w:r>
    </w:p>
    <w:p w14:paraId="5C0BD88D" w14:textId="77777777" w:rsidR="00EA406F" w:rsidRDefault="00EA406F" w:rsidP="00EA406F">
      <w:pPr>
        <w:pStyle w:val="B1"/>
      </w:pPr>
      <w:r>
        <w:rPr>
          <w:lang w:eastAsia="ko-KR"/>
        </w:rPr>
        <w:t>-</w:t>
      </w:r>
      <w:r>
        <w:rPr>
          <w:lang w:eastAsia="ko-KR"/>
        </w:rPr>
        <w:tab/>
      </w:r>
      <w:r w:rsidRPr="001931B1">
        <w:t xml:space="preserve">more </w:t>
      </w:r>
      <w:r w:rsidRPr="00A51D05">
        <w:rPr>
          <w:lang w:val="en-GB"/>
        </w:rPr>
        <w:t>than</w:t>
      </w:r>
      <w:r w:rsidRPr="00A51D05">
        <w:t xml:space="preserve"> </w:t>
      </w:r>
      <m:oMath>
        <m:func>
          <m:funcPr>
            <m:ctrlPr>
              <w:rPr>
                <w:rFonts w:ascii="Cambria Math" w:hAnsi="Cambria Math"/>
                <w:i/>
                <w:lang w:val="en-GB"/>
              </w:rPr>
            </m:ctrlPr>
          </m:funcPr>
          <m:fName>
            <m:r>
              <w:rPr>
                <w:rFonts w:ascii="Cambria Math" w:hAnsi="Cambria Math"/>
                <w:lang w:val="en-GB"/>
              </w:rPr>
              <m:t>min</m:t>
            </m:r>
          </m:fName>
          <m:e>
            <m:d>
              <m:dPr>
                <m:ctrlPr>
                  <w:rPr>
                    <w:rFonts w:ascii="Cambria Math" w:hAnsi="Cambria Math"/>
                    <w:i/>
                    <w:lang w:val="en-GB"/>
                  </w:rPr>
                </m:ctrlPr>
              </m:dPr>
              <m:e>
                <m:sSubSup>
                  <m:sSubSupPr>
                    <m:ctrlPr>
                      <w:rPr>
                        <w:rFonts w:ascii="Cambria Math" w:hAnsi="Cambria Math"/>
                        <w:i/>
                        <w:lang w:val="en-GB"/>
                      </w:rPr>
                    </m:ctrlPr>
                  </m:sSubSupPr>
                  <m:e>
                    <m:r>
                      <w:rPr>
                        <w:rFonts w:ascii="Cambria Math" w:hAnsi="Cambria Math"/>
                        <w:lang w:val="en-GB"/>
                      </w:rPr>
                      <m:t>M</m:t>
                    </m:r>
                  </m:e>
                  <m:sub>
                    <m:r>
                      <m:rPr>
                        <m:sty m:val="p"/>
                      </m:rPr>
                      <w:rPr>
                        <w:rFonts w:ascii="Cambria Math" w:hAnsi="Cambria Math"/>
                        <w:lang w:val="en-GB"/>
                      </w:rPr>
                      <m:t>PDCCH</m:t>
                    </m:r>
                    <m:ctrlPr>
                      <w:rPr>
                        <w:rFonts w:ascii="Cambria Math" w:hAnsi="Cambria Math"/>
                        <w:lang w:val="en-GB"/>
                      </w:rPr>
                    </m:ctrlPr>
                  </m:sub>
                  <m:sup>
                    <m:r>
                      <m:rPr>
                        <m:sty m:val="p"/>
                      </m:rPr>
                      <w:rPr>
                        <w:rFonts w:ascii="Cambria Math" w:hAnsi="Cambria Math"/>
                        <w:lang w:val="en-GB"/>
                      </w:rPr>
                      <m:t>max,</m:t>
                    </m:r>
                    <m:sSub>
                      <m:sSubPr>
                        <m:ctrlPr>
                          <w:rPr>
                            <w:rFonts w:ascii="Cambria Math" w:hAnsi="Cambria Math"/>
                            <w:i/>
                            <w:lang w:val="en-GB" w:eastAsia="zh-CN"/>
                          </w:rPr>
                        </m:ctrlPr>
                      </m:sSubPr>
                      <m:e>
                        <m:r>
                          <w:rPr>
                            <w:rFonts w:ascii="Cambria Math" w:hAnsi="Cambria Math"/>
                            <w:lang w:val="en-GB" w:eastAsia="zh-CN"/>
                          </w:rPr>
                          <m:t>X</m:t>
                        </m:r>
                      </m:e>
                      <m:sub>
                        <m:r>
                          <w:rPr>
                            <w:rFonts w:ascii="Cambria Math" w:hAnsi="Cambria Math"/>
                            <w:lang w:val="en-GB" w:eastAsia="zh-CN"/>
                          </w:rPr>
                          <m:t>s</m:t>
                        </m:r>
                      </m:sub>
                    </m:sSub>
                    <m:r>
                      <m:rPr>
                        <m:sty m:val="p"/>
                      </m:rPr>
                      <w:rPr>
                        <w:rFonts w:ascii="Cambria Math" w:hAnsi="Cambria Math"/>
                        <w:lang w:val="en-GB"/>
                      </w:rPr>
                      <m:t>,</m:t>
                    </m:r>
                    <m:r>
                      <w:rPr>
                        <w:rFonts w:ascii="Cambria Math" w:hAnsi="Cambria Math"/>
                        <w:lang w:val="en-GB"/>
                      </w:rPr>
                      <m:t>μ</m:t>
                    </m:r>
                    <m:ctrlPr>
                      <w:rPr>
                        <w:rFonts w:ascii="Cambria Math" w:hAnsi="Cambria Math"/>
                        <w:lang w:val="en-GB"/>
                      </w:rPr>
                    </m:ctrlP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M</m:t>
                    </m:r>
                  </m:e>
                  <m:sub>
                    <m:r>
                      <m:rPr>
                        <m:sty m:val="p"/>
                      </m:rPr>
                      <w:rPr>
                        <w:rFonts w:ascii="Cambria Math" w:hAnsi="Cambria Math"/>
                        <w:lang w:val="en-GB"/>
                      </w:rPr>
                      <m:t>PDCCH</m:t>
                    </m:r>
                    <m:ctrlPr>
                      <w:rPr>
                        <w:rFonts w:ascii="Cambria Math" w:hAnsi="Cambria Math"/>
                        <w:lang w:val="en-GB"/>
                      </w:rPr>
                    </m:ctrlPr>
                  </m:sub>
                  <m:sup>
                    <m:r>
                      <m:rPr>
                        <m:sty m:val="p"/>
                      </m:rPr>
                      <w:rPr>
                        <w:rFonts w:ascii="Cambria Math" w:hAnsi="Cambria Math"/>
                        <w:lang w:val="en-GB"/>
                      </w:rPr>
                      <m:t>total,</m:t>
                    </m:r>
                    <m:sSub>
                      <m:sSubPr>
                        <m:ctrlPr>
                          <w:rPr>
                            <w:rFonts w:ascii="Cambria Math" w:hAnsi="Cambria Math"/>
                            <w:i/>
                            <w:lang w:val="en-GB" w:eastAsia="zh-CN"/>
                          </w:rPr>
                        </m:ctrlPr>
                      </m:sSubPr>
                      <m:e>
                        <m:r>
                          <w:rPr>
                            <w:rFonts w:ascii="Cambria Math" w:hAnsi="Cambria Math"/>
                            <w:lang w:val="en-GB" w:eastAsia="zh-CN"/>
                          </w:rPr>
                          <m:t>X</m:t>
                        </m:r>
                      </m:e>
                      <m:sub>
                        <m:r>
                          <w:rPr>
                            <w:rFonts w:ascii="Cambria Math" w:hAnsi="Cambria Math"/>
                            <w:lang w:val="en-GB" w:eastAsia="zh-CN"/>
                          </w:rPr>
                          <m:t>s</m:t>
                        </m:r>
                      </m:sub>
                    </m:sSub>
                    <m:r>
                      <m:rPr>
                        <m:sty m:val="p"/>
                      </m:rPr>
                      <w:rPr>
                        <w:rFonts w:ascii="Cambria Math" w:hAnsi="Cambria Math"/>
                        <w:lang w:val="en-GB"/>
                      </w:rPr>
                      <m:t>,</m:t>
                    </m:r>
                    <m:r>
                      <w:rPr>
                        <w:rFonts w:ascii="Cambria Math" w:hAnsi="Cambria Math"/>
                        <w:lang w:val="en-GB"/>
                      </w:rPr>
                      <m:t>μ</m:t>
                    </m:r>
                    <m:ctrlPr>
                      <w:rPr>
                        <w:rFonts w:ascii="Cambria Math" w:hAnsi="Cambria Math"/>
                        <w:lang w:val="en-GB"/>
                      </w:rPr>
                    </m:ctrlPr>
                  </m:sup>
                </m:sSubSup>
              </m:e>
            </m:d>
          </m:e>
        </m:func>
      </m:oMath>
      <w:r w:rsidRPr="00A51D05">
        <w:t xml:space="preserve"> </w:t>
      </w:r>
      <w:r w:rsidRPr="00A51D05">
        <w:rPr>
          <w:lang w:val="en-GB"/>
        </w:rPr>
        <w:t>PDCCH candidates or more than</w:t>
      </w:r>
      <w:r w:rsidRPr="00A51D05">
        <w:t xml:space="preserve"> </w:t>
      </w:r>
      <m:oMath>
        <m:func>
          <m:funcPr>
            <m:ctrlPr>
              <w:rPr>
                <w:rFonts w:ascii="Cambria Math" w:hAnsi="Cambria Math"/>
                <w:i/>
                <w:lang w:val="en-GB"/>
              </w:rPr>
            </m:ctrlPr>
          </m:funcPr>
          <m:fName>
            <m:r>
              <w:rPr>
                <w:rFonts w:ascii="Cambria Math" w:hAnsi="Cambria Math"/>
                <w:lang w:val="en-GB"/>
              </w:rPr>
              <m:t>min</m:t>
            </m:r>
          </m:fName>
          <m:e>
            <m:d>
              <m:dPr>
                <m:ctrlPr>
                  <w:rPr>
                    <w:rFonts w:ascii="Cambria Math" w:hAnsi="Cambria Math"/>
                    <w:i/>
                    <w:lang w:val="en-GB"/>
                  </w:rPr>
                </m:ctrlPr>
              </m:dPr>
              <m:e>
                <m:sSubSup>
                  <m:sSubSupPr>
                    <m:ctrlPr>
                      <w:rPr>
                        <w:rFonts w:ascii="Cambria Math" w:hAnsi="Cambria Math"/>
                        <w:i/>
                        <w:lang w:val="en-GB"/>
                      </w:rPr>
                    </m:ctrlPr>
                  </m:sSubSupPr>
                  <m:e>
                    <m:r>
                      <w:rPr>
                        <w:rFonts w:ascii="Cambria Math" w:hAnsi="Cambria Math"/>
                        <w:lang w:val="en-GB"/>
                      </w:rPr>
                      <m:t>C</m:t>
                    </m:r>
                  </m:e>
                  <m:sub>
                    <m:r>
                      <m:rPr>
                        <m:sty m:val="p"/>
                      </m:rPr>
                      <w:rPr>
                        <w:rFonts w:ascii="Cambria Math" w:hAnsi="Cambria Math"/>
                        <w:lang w:val="en-GB"/>
                      </w:rPr>
                      <m:t>PDCCH</m:t>
                    </m:r>
                    <m:ctrlPr>
                      <w:rPr>
                        <w:rFonts w:ascii="Cambria Math" w:hAnsi="Cambria Math"/>
                        <w:lang w:val="en-GB"/>
                      </w:rPr>
                    </m:ctrlPr>
                  </m:sub>
                  <m:sup>
                    <m:r>
                      <m:rPr>
                        <m:sty m:val="p"/>
                      </m:rPr>
                      <w:rPr>
                        <w:rFonts w:ascii="Cambria Math" w:hAnsi="Cambria Math"/>
                        <w:lang w:val="en-GB"/>
                      </w:rPr>
                      <m:t>max,</m:t>
                    </m:r>
                    <m:sSub>
                      <m:sSubPr>
                        <m:ctrlPr>
                          <w:rPr>
                            <w:rFonts w:ascii="Cambria Math" w:hAnsi="Cambria Math"/>
                            <w:i/>
                            <w:lang w:val="en-GB" w:eastAsia="zh-CN"/>
                          </w:rPr>
                        </m:ctrlPr>
                      </m:sSubPr>
                      <m:e>
                        <m:r>
                          <w:rPr>
                            <w:rFonts w:ascii="Cambria Math" w:hAnsi="Cambria Math"/>
                            <w:lang w:val="en-GB" w:eastAsia="zh-CN"/>
                          </w:rPr>
                          <m:t>X</m:t>
                        </m:r>
                      </m:e>
                      <m:sub>
                        <m:r>
                          <w:rPr>
                            <w:rFonts w:ascii="Cambria Math" w:hAnsi="Cambria Math"/>
                            <w:lang w:val="en-GB" w:eastAsia="zh-CN"/>
                          </w:rPr>
                          <m:t>s</m:t>
                        </m:r>
                      </m:sub>
                    </m:sSub>
                    <m:r>
                      <m:rPr>
                        <m:sty m:val="p"/>
                      </m:rPr>
                      <w:rPr>
                        <w:rFonts w:ascii="Cambria Math" w:hAnsi="Cambria Math"/>
                        <w:lang w:val="en-GB"/>
                      </w:rPr>
                      <m:t>,</m:t>
                    </m:r>
                    <m:r>
                      <w:rPr>
                        <w:rFonts w:ascii="Cambria Math" w:hAnsi="Cambria Math"/>
                        <w:lang w:val="en-GB"/>
                      </w:rPr>
                      <m:t>μ</m:t>
                    </m:r>
                    <m:ctrlPr>
                      <w:rPr>
                        <w:rFonts w:ascii="Cambria Math" w:hAnsi="Cambria Math"/>
                        <w:lang w:val="en-GB"/>
                      </w:rPr>
                    </m:ctrlP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C</m:t>
                    </m:r>
                  </m:e>
                  <m:sub>
                    <m:r>
                      <m:rPr>
                        <m:sty m:val="p"/>
                      </m:rPr>
                      <w:rPr>
                        <w:rFonts w:ascii="Cambria Math" w:hAnsi="Cambria Math"/>
                        <w:lang w:val="en-GB"/>
                      </w:rPr>
                      <m:t>PDCCH</m:t>
                    </m:r>
                    <m:ctrlPr>
                      <w:rPr>
                        <w:rFonts w:ascii="Cambria Math" w:hAnsi="Cambria Math"/>
                        <w:lang w:val="en-GB"/>
                      </w:rPr>
                    </m:ctrlPr>
                  </m:sub>
                  <m:sup>
                    <m:r>
                      <m:rPr>
                        <m:sty m:val="p"/>
                      </m:rPr>
                      <w:rPr>
                        <w:rFonts w:ascii="Cambria Math" w:hAnsi="Cambria Math"/>
                        <w:lang w:val="en-GB"/>
                      </w:rPr>
                      <m:t>total,</m:t>
                    </m:r>
                    <m:sSub>
                      <m:sSubPr>
                        <m:ctrlPr>
                          <w:rPr>
                            <w:rFonts w:ascii="Cambria Math" w:hAnsi="Cambria Math"/>
                            <w:i/>
                            <w:lang w:val="en-GB" w:eastAsia="zh-CN"/>
                          </w:rPr>
                        </m:ctrlPr>
                      </m:sSubPr>
                      <m:e>
                        <m:r>
                          <w:rPr>
                            <w:rFonts w:ascii="Cambria Math" w:hAnsi="Cambria Math"/>
                            <w:lang w:val="en-GB" w:eastAsia="zh-CN"/>
                          </w:rPr>
                          <m:t>X</m:t>
                        </m:r>
                      </m:e>
                      <m:sub>
                        <m:r>
                          <w:rPr>
                            <w:rFonts w:ascii="Cambria Math" w:hAnsi="Cambria Math"/>
                            <w:lang w:val="en-GB" w:eastAsia="zh-CN"/>
                          </w:rPr>
                          <m:t>s</m:t>
                        </m:r>
                      </m:sub>
                    </m:sSub>
                    <m:r>
                      <m:rPr>
                        <m:sty m:val="p"/>
                      </m:rPr>
                      <w:rPr>
                        <w:rFonts w:ascii="Cambria Math" w:hAnsi="Cambria Math"/>
                        <w:lang w:val="en-GB"/>
                      </w:rPr>
                      <m:t>,</m:t>
                    </m:r>
                    <m:r>
                      <w:rPr>
                        <w:rFonts w:ascii="Cambria Math" w:hAnsi="Cambria Math"/>
                        <w:lang w:val="en-GB"/>
                      </w:rPr>
                      <m:t>μ</m:t>
                    </m:r>
                    <m:ctrlPr>
                      <w:rPr>
                        <w:rFonts w:ascii="Cambria Math" w:hAnsi="Cambria Math"/>
                        <w:lang w:val="en-GB"/>
                      </w:rPr>
                    </m:ctrlPr>
                  </m:sup>
                </m:sSubSup>
              </m:e>
            </m:d>
          </m:e>
        </m:func>
      </m:oMath>
      <w:r w:rsidRPr="00A51D05">
        <w:rPr>
          <w:lang w:val="en-GB"/>
        </w:rPr>
        <w:t xml:space="preserve"> non-overlapped CCEs per group of </w:t>
      </w:r>
      <m:oMath>
        <m:sSub>
          <m:sSubPr>
            <m:ctrlPr>
              <w:rPr>
                <w:rFonts w:ascii="Cambria Math" w:hAnsi="Cambria Math"/>
                <w:i/>
                <w:lang w:val="en-GB" w:eastAsia="zh-CN"/>
              </w:rPr>
            </m:ctrlPr>
          </m:sSubPr>
          <m:e>
            <m:r>
              <w:rPr>
                <w:rFonts w:ascii="Cambria Math" w:hAnsi="Cambria Math"/>
                <w:lang w:val="en-GB" w:eastAsia="zh-CN"/>
              </w:rPr>
              <m:t>X</m:t>
            </m:r>
          </m:e>
          <m:sub>
            <m:r>
              <w:rPr>
                <w:rFonts w:ascii="Cambria Math" w:hAnsi="Cambria Math"/>
                <w:lang w:val="en-GB" w:eastAsia="zh-CN"/>
              </w:rPr>
              <m:t>s</m:t>
            </m:r>
          </m:sub>
        </m:sSub>
      </m:oMath>
      <w:r w:rsidRPr="00A51D05">
        <w:rPr>
          <w:lang w:val="en-GB" w:eastAsia="zh-CN"/>
        </w:rPr>
        <w:t xml:space="preserve"> slots for CORESETs with the same </w:t>
      </w:r>
      <w:r w:rsidRPr="001931B1">
        <w:rPr>
          <w:i/>
          <w:iCs/>
          <w:lang w:val="en-GB" w:eastAsia="zh-CN"/>
        </w:rPr>
        <w:t>coresetPoolIndex</w:t>
      </w:r>
      <w:r w:rsidRPr="00A51D05">
        <w:rPr>
          <w:lang w:val="en-GB" w:eastAsia="zh-CN"/>
        </w:rPr>
        <w:t xml:space="preserve"> value.</w:t>
      </w:r>
    </w:p>
    <w:p w14:paraId="492CB602" w14:textId="403EC9A3" w:rsidR="009919DB" w:rsidRDefault="007E0F25" w:rsidP="007E0F25">
      <w:r w:rsidRPr="00A24776">
        <w:rPr>
          <w:lang w:eastAsia="ja-JP"/>
        </w:rPr>
        <w:t xml:space="preserve">For cross-carrier scheduling, the number of PDCCH candidates </w:t>
      </w:r>
      <w:r w:rsidR="00791E00">
        <w:t xml:space="preserve">for monitoring </w:t>
      </w:r>
      <w:r w:rsidRPr="00A24776">
        <w:rPr>
          <w:rFonts w:hint="eastAsia"/>
          <w:lang w:eastAsia="ja-JP"/>
        </w:rPr>
        <w:t xml:space="preserve">and the number of </w:t>
      </w:r>
      <w:r w:rsidRPr="00A24776">
        <w:t xml:space="preserve">non-overlapped CCEs </w:t>
      </w:r>
      <w:r w:rsidR="00E62748">
        <w:t xml:space="preserve">per span or </w:t>
      </w:r>
      <w:r w:rsidRPr="00A24776">
        <w:t>per slot</w:t>
      </w:r>
      <w:r w:rsidRPr="00A24776">
        <w:rPr>
          <w:lang w:eastAsia="ja-JP"/>
        </w:rPr>
        <w:t xml:space="preserve"> </w:t>
      </w:r>
      <w:r w:rsidR="00E3283C">
        <w:rPr>
          <w:lang w:eastAsia="ja-JP"/>
        </w:rPr>
        <w:t xml:space="preserve">or per </w:t>
      </w:r>
      <w:r w:rsidR="00E3283C">
        <w:t xml:space="preserve">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sidR="00E3283C">
        <w:rPr>
          <w:lang w:eastAsia="zh-CN"/>
        </w:rPr>
        <w:t xml:space="preserve"> </w:t>
      </w:r>
      <w:r w:rsidR="00E3283C">
        <w:t xml:space="preserve">slots </w:t>
      </w:r>
      <w:r w:rsidRPr="00A24776">
        <w:rPr>
          <w:lang w:eastAsia="ja-JP"/>
        </w:rPr>
        <w:t xml:space="preserve">are separately counted for each </w:t>
      </w:r>
      <w:r w:rsidR="009924E4">
        <w:rPr>
          <w:lang w:eastAsia="ja-JP"/>
        </w:rPr>
        <w:t>scheduled</w:t>
      </w:r>
      <w:r w:rsidRPr="00A24776">
        <w:rPr>
          <w:lang w:eastAsia="ja-JP"/>
        </w:rPr>
        <w:t xml:space="preserve"> cell.</w:t>
      </w:r>
    </w:p>
    <w:p w14:paraId="5812A91C" w14:textId="77777777" w:rsidR="00E3283C" w:rsidRDefault="00A32336" w:rsidP="00A32336">
      <w:pPr>
        <w:rPr>
          <w:rFonts w:eastAsiaTheme="minorEastAsia"/>
        </w:rPr>
      </w:pPr>
      <w:r w:rsidRPr="00D20E88">
        <w:rPr>
          <w:rFonts w:eastAsiaTheme="minorEastAsia"/>
        </w:rPr>
        <w:t xml:space="preserve">The UE allocates PDCCH candidates </w:t>
      </w:r>
      <w:r w:rsidR="00791E00">
        <w:t xml:space="preserve">for monitoring </w:t>
      </w:r>
      <w:r w:rsidRPr="00D20E88">
        <w:rPr>
          <w:rFonts w:eastAsiaTheme="minorEastAsia"/>
        </w:rPr>
        <w:t xml:space="preserve">to USS sets for the primary cell having an </w:t>
      </w:r>
      <w:r w:rsidRPr="00D20E88">
        <w:t xml:space="preserve">active DL BWP </w:t>
      </w:r>
      <w:r w:rsidRPr="00D20E88">
        <w:rPr>
          <w:rFonts w:eastAsiaTheme="minorEastAsia"/>
        </w:rPr>
        <w:t>with</w:t>
      </w:r>
      <w:r w:rsidRPr="00D20E88">
        <w:t xml:space="preserve"> </w:t>
      </w:r>
      <w:r>
        <w:t>SCS</w:t>
      </w:r>
      <w:r w:rsidRPr="00D20E88">
        <w:t xml:space="preserve"> configuration </w:t>
      </w:r>
      <m:oMath>
        <m:r>
          <w:rPr>
            <w:rFonts w:ascii="Cambria Math" w:hAnsi="Cambria Math"/>
            <w:lang w:eastAsia="zh-CN"/>
          </w:rPr>
          <m:t>μ</m:t>
        </m:r>
      </m:oMath>
      <w:r w:rsidRPr="00D20E88">
        <w:t xml:space="preserve"> </w:t>
      </w:r>
      <w:r w:rsidRPr="00D20E88">
        <w:rPr>
          <w:rFonts w:eastAsiaTheme="minorEastAsia"/>
        </w:rPr>
        <w:t xml:space="preserve">in </w:t>
      </w:r>
      <w:r w:rsidR="00BC7FF5">
        <w:rPr>
          <w:rFonts w:eastAsiaTheme="minorEastAsia"/>
        </w:rPr>
        <w:t xml:space="preserve">a </w:t>
      </w:r>
      <w:r w:rsidRPr="00D20E88">
        <w:t xml:space="preserve">slot </w:t>
      </w:r>
      <w:r w:rsidR="00BC7FF5">
        <w:t xml:space="preserve">if the </w:t>
      </w:r>
      <w:r w:rsidR="00BC7FF5">
        <w:rPr>
          <w:lang w:eastAsia="ko-KR"/>
        </w:rPr>
        <w:t xml:space="preserve">UE is not provided </w:t>
      </w:r>
      <w:r w:rsidR="00C435AF">
        <w:rPr>
          <w:i/>
        </w:rPr>
        <w:t>monitoringCapabilityConfig</w:t>
      </w:r>
      <w:r w:rsidR="00BC7FF5">
        <w:rPr>
          <w:lang w:val="en-US"/>
        </w:rPr>
        <w:t xml:space="preserve"> for the primary cell or if the UE is </w:t>
      </w:r>
      <w:r w:rsidR="00BC7FF5">
        <w:rPr>
          <w:lang w:eastAsia="ko-KR"/>
        </w:rPr>
        <w:t xml:space="preserve">provided </w:t>
      </w:r>
      <w:r w:rsidR="00C435AF">
        <w:rPr>
          <w:i/>
        </w:rPr>
        <w:t>monitoringCapabilityConfig</w:t>
      </w:r>
      <w:r w:rsidR="00BC7FF5">
        <w:rPr>
          <w:lang w:val="en-US"/>
        </w:rPr>
        <w:t xml:space="preserve"> =</w:t>
      </w:r>
      <w:r w:rsidR="00BC7FF5" w:rsidRPr="004A3CA7">
        <w:rPr>
          <w:lang w:val="en-US"/>
        </w:rPr>
        <w:t xml:space="preserve"> </w:t>
      </w:r>
      <w:r w:rsidR="003C6AE2">
        <w:rPr>
          <w:i/>
        </w:rPr>
        <w:t>r1</w:t>
      </w:r>
      <w:r w:rsidR="003C6AE2">
        <w:rPr>
          <w:i/>
          <w:lang w:val="en-US"/>
        </w:rPr>
        <w:t>5</w:t>
      </w:r>
      <w:r w:rsidR="003C6AE2">
        <w:rPr>
          <w:i/>
        </w:rPr>
        <w:t>monitoringcapability</w:t>
      </w:r>
      <w:r w:rsidR="003C6AE2">
        <w:rPr>
          <w:lang w:val="en-US"/>
        </w:rPr>
        <w:t xml:space="preserve"> for the primary cell, or in the first span of each slot </w:t>
      </w:r>
      <w:r w:rsidR="00BC7FF5">
        <w:rPr>
          <w:lang w:val="en-US"/>
        </w:rPr>
        <w:t xml:space="preserve">if the UE is </w:t>
      </w:r>
      <w:r w:rsidR="00BC7FF5">
        <w:rPr>
          <w:lang w:eastAsia="ko-KR"/>
        </w:rPr>
        <w:t xml:space="preserve">provided </w:t>
      </w:r>
      <w:r w:rsidR="00C435AF">
        <w:rPr>
          <w:i/>
        </w:rPr>
        <w:t>monitoringCapabilityConfig</w:t>
      </w:r>
      <w:r w:rsidR="00BC7FF5">
        <w:rPr>
          <w:lang w:val="en-US"/>
        </w:rPr>
        <w:t xml:space="preserve"> =</w:t>
      </w:r>
      <w:r w:rsidR="00BC7FF5" w:rsidRPr="004A3CA7">
        <w:rPr>
          <w:lang w:val="en-US"/>
        </w:rPr>
        <w:t xml:space="preserve"> </w:t>
      </w:r>
      <w:r w:rsidR="003C6AE2">
        <w:rPr>
          <w:i/>
        </w:rPr>
        <w:t>r1</w:t>
      </w:r>
      <w:r w:rsidR="003C6AE2">
        <w:rPr>
          <w:i/>
          <w:lang w:val="en-US"/>
        </w:rPr>
        <w:t>6</w:t>
      </w:r>
      <w:r w:rsidR="003C6AE2">
        <w:rPr>
          <w:i/>
        </w:rPr>
        <w:t>monitoringcapability</w:t>
      </w:r>
      <w:r w:rsidR="00BC7FF5" w:rsidDel="000F6245">
        <w:rPr>
          <w:lang w:val="en-US"/>
        </w:rPr>
        <w:t xml:space="preserve"> </w:t>
      </w:r>
      <w:r w:rsidR="00BC7FF5">
        <w:rPr>
          <w:lang w:val="en-US"/>
        </w:rPr>
        <w:t>for the primary cell,</w:t>
      </w:r>
      <w:r w:rsidR="00BC7FF5" w:rsidRPr="00D20E88" w:rsidDel="00F36B56">
        <w:t xml:space="preserve"> </w:t>
      </w:r>
      <w:r w:rsidR="005C7400" w:rsidRPr="00B27E56">
        <w:t xml:space="preserve">or in a 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sidR="005C7400" w:rsidRPr="00B27E56">
        <w:rPr>
          <w:lang w:eastAsia="zh-CN"/>
        </w:rPr>
        <w:t xml:space="preserve"> </w:t>
      </w:r>
      <w:r w:rsidR="005C7400" w:rsidRPr="00B27E56">
        <w:t xml:space="preserve">slots for a corresponding combination </w:t>
      </w:r>
      <m:oMath>
        <m:d>
          <m:dPr>
            <m:ctrlPr>
              <w:rPr>
                <w:rFonts w:ascii="Cambria Math" w:hAnsi="Cambria Math"/>
                <w:i/>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e>
        </m:d>
      </m:oMath>
      <w:r w:rsidR="005C7400" w:rsidRPr="00B27E56">
        <w:t xml:space="preserve"> </w:t>
      </w:r>
      <w:r w:rsidR="005C7400" w:rsidRPr="00B27E56">
        <w:rPr>
          <w:lang w:val="en-US"/>
        </w:rPr>
        <w:t xml:space="preserve">if the UE is </w:t>
      </w:r>
      <w:r w:rsidR="005C7400" w:rsidRPr="00B27E56">
        <w:rPr>
          <w:lang w:eastAsia="ko-KR"/>
        </w:rPr>
        <w:t xml:space="preserve">provided </w:t>
      </w:r>
      <w:r w:rsidR="005C7400" w:rsidRPr="00B27E56">
        <w:rPr>
          <w:i/>
        </w:rPr>
        <w:t>monitoringCapabilityConfig</w:t>
      </w:r>
      <w:r w:rsidR="005C7400" w:rsidRPr="00B27E56">
        <w:rPr>
          <w:lang w:val="en-US"/>
        </w:rPr>
        <w:t xml:space="preserve"> = </w:t>
      </w:r>
      <w:r w:rsidR="005C7400" w:rsidRPr="00B27E56">
        <w:rPr>
          <w:i/>
        </w:rPr>
        <w:t>r1</w:t>
      </w:r>
      <w:r w:rsidR="005C7400" w:rsidRPr="00B27E56">
        <w:rPr>
          <w:i/>
          <w:lang w:val="en-US"/>
        </w:rPr>
        <w:t>7</w:t>
      </w:r>
      <w:r w:rsidR="005C7400" w:rsidRPr="00B27E56">
        <w:rPr>
          <w:i/>
        </w:rPr>
        <w:t>monitoringcapability</w:t>
      </w:r>
      <w:r w:rsidR="005C7400" w:rsidRPr="00B27E56" w:rsidDel="000F6245">
        <w:rPr>
          <w:lang w:val="en-US"/>
        </w:rPr>
        <w:t xml:space="preserve"> </w:t>
      </w:r>
      <w:r w:rsidR="005C7400" w:rsidRPr="00B27E56">
        <w:rPr>
          <w:lang w:val="en-US"/>
        </w:rPr>
        <w:t>for the primary cell</w:t>
      </w:r>
      <w:r w:rsidR="005C7400" w:rsidRPr="00B27E56">
        <w:rPr>
          <w:lang w:eastAsia="zh-CN"/>
        </w:rPr>
        <w:t>,</w:t>
      </w:r>
      <w:r w:rsidR="005C7400" w:rsidRPr="00B27E56">
        <w:t xml:space="preserve"> </w:t>
      </w:r>
      <w:r w:rsidRPr="00D20E88">
        <w:rPr>
          <w:rFonts w:eastAsiaTheme="minorEastAsia"/>
        </w:rPr>
        <w:t xml:space="preserve">according to the following pseudocode. </w:t>
      </w:r>
    </w:p>
    <w:p w14:paraId="15A6D0E0" w14:textId="77777777" w:rsidR="00E3283C" w:rsidRDefault="00651CF3" w:rsidP="00A32336">
      <w:pPr>
        <w:rPr>
          <w:rFonts w:eastAsiaTheme="minorEastAsia"/>
        </w:rPr>
      </w:pPr>
      <w:r>
        <w:rPr>
          <w:rFonts w:cstheme="minorHAnsi"/>
          <w:color w:val="000000"/>
          <w:lang w:eastAsia="zh-CN"/>
        </w:rPr>
        <w:t xml:space="preserve">If for the USS sets for scheduling on the primary cell the UE is not provided </w:t>
      </w:r>
      <w:r w:rsidR="00146FE2">
        <w:rPr>
          <w:rFonts w:cstheme="minorHAnsi"/>
          <w:i/>
        </w:rPr>
        <w:t>coreset</w:t>
      </w:r>
      <w:r w:rsidRPr="0062743C">
        <w:rPr>
          <w:rFonts w:cstheme="minorHAnsi"/>
          <w:i/>
        </w:rPr>
        <w:t>PoolIndex</w:t>
      </w:r>
      <w:r w:rsidRPr="0062743C">
        <w:rPr>
          <w:rFonts w:cstheme="minorHAnsi"/>
        </w:rPr>
        <w:t xml:space="preserve"> </w:t>
      </w:r>
      <w:r>
        <w:rPr>
          <w:rFonts w:cstheme="minorHAnsi"/>
        </w:rPr>
        <w:t xml:space="preserve">for first CORESETs, or is provided </w:t>
      </w:r>
      <w:r w:rsidR="00146FE2">
        <w:rPr>
          <w:rFonts w:cstheme="minorHAnsi"/>
          <w:i/>
        </w:rPr>
        <w:t>coreset</w:t>
      </w:r>
      <w:r w:rsidR="002418BB" w:rsidRPr="0062743C">
        <w:rPr>
          <w:rFonts w:cstheme="minorHAnsi"/>
          <w:i/>
        </w:rPr>
        <w:t>PoolIndex</w:t>
      </w:r>
      <w:r w:rsidR="002418BB">
        <w:rPr>
          <w:rFonts w:cstheme="minorHAnsi"/>
        </w:rPr>
        <w:t xml:space="preserve"> with </w:t>
      </w:r>
      <w:r>
        <w:rPr>
          <w:rFonts w:cstheme="minorHAnsi"/>
        </w:rPr>
        <w:t xml:space="preserve">value 0 for </w:t>
      </w:r>
      <w:r w:rsidRPr="0062743C">
        <w:rPr>
          <w:rFonts w:cstheme="minorHAnsi"/>
        </w:rPr>
        <w:t>first CORESET</w:t>
      </w:r>
      <w:r>
        <w:rPr>
          <w:rFonts w:cstheme="minorHAnsi"/>
        </w:rPr>
        <w:t xml:space="preserve">s, and is provided </w:t>
      </w:r>
      <w:r w:rsidR="00146FE2">
        <w:rPr>
          <w:rFonts w:cstheme="minorHAnsi"/>
          <w:i/>
        </w:rPr>
        <w:t>coreset</w:t>
      </w:r>
      <w:r w:rsidR="002418BB" w:rsidRPr="0062743C">
        <w:rPr>
          <w:rFonts w:cstheme="minorHAnsi"/>
          <w:i/>
        </w:rPr>
        <w:t>PoolIndex</w:t>
      </w:r>
      <w:r w:rsidR="002418BB">
        <w:rPr>
          <w:rFonts w:cstheme="minorHAnsi"/>
        </w:rPr>
        <w:t xml:space="preserve"> with </w:t>
      </w:r>
      <w:r>
        <w:rPr>
          <w:rFonts w:cstheme="minorHAnsi"/>
        </w:rPr>
        <w:t>value 1 for</w:t>
      </w:r>
      <w:r w:rsidRPr="0062743C">
        <w:rPr>
          <w:rFonts w:cstheme="minorHAnsi"/>
        </w:rPr>
        <w:t xml:space="preserve"> second</w:t>
      </w:r>
      <w:r>
        <w:rPr>
          <w:rFonts w:cstheme="minorHAnsi"/>
        </w:rPr>
        <w:t xml:space="preserve"> CORESETs,</w:t>
      </w:r>
      <w:r>
        <w:rPr>
          <w:rFonts w:cstheme="minorHAnsi"/>
          <w:color w:val="000000"/>
          <w:lang w:eastAsia="zh-CN"/>
        </w:rPr>
        <w:t xml:space="preserve"> and if </w:t>
      </w:r>
      <m:oMath>
        <m:func>
          <m:funcPr>
            <m:ctrlPr>
              <w:rPr>
                <w:rFonts w:ascii="Cambria Math" w:hAnsi="Cambria Math"/>
                <w:i/>
              </w:rPr>
            </m:ctrlPr>
          </m:funcPr>
          <m:fName>
            <m:r>
              <w:rPr>
                <w:rFonts w:ascii="Cambria Math"/>
              </w:rPr>
              <m:t>min</m:t>
            </m:r>
          </m:fName>
          <m:e>
            <m:d>
              <m:dPr>
                <m:ctrlPr>
                  <w:rPr>
                    <w:rFonts w:ascii="Cambria Math" w:hAnsi="Cambria Math"/>
                    <w:i/>
                  </w:rPr>
                </m:ctrlPr>
              </m:dPr>
              <m:e>
                <m:sSubSup>
                  <m:sSubSupPr>
                    <m:ctrlPr>
                      <w:rPr>
                        <w:rFonts w:ascii="Cambria Math" w:hAnsi="Cambria Math"/>
                        <w:i/>
                      </w:rPr>
                    </m:ctrlPr>
                  </m:sSubSupPr>
                  <m:e>
                    <m:r>
                      <w:rPr>
                        <w:rFonts w:ascii="Cambria Math" w:hAnsi="Cambria Math" w:cstheme="minorHAnsi"/>
                      </w:rPr>
                      <m:t>γ</m:t>
                    </m:r>
                    <m:r>
                      <w:rPr>
                        <w:rFonts w:ascii="Cambria Math" w:hAnsi="Cambria Math"/>
                      </w:rPr>
                      <m:t>∙</m:t>
                    </m:r>
                    <m:r>
                      <w:rPr>
                        <w:rFonts w:ascii="Cambria Math"/>
                      </w:rPr>
                      <m:t>M</m:t>
                    </m:r>
                  </m:e>
                  <m:sub>
                    <m:r>
                      <m:rPr>
                        <m:nor/>
                      </m:rPr>
                      <w:rPr>
                        <w:rFonts w:ascii="Cambria Math"/>
                      </w:rPr>
                      <m:t>PDCCH</m:t>
                    </m:r>
                    <m:ctrlPr>
                      <w:rPr>
                        <w:rFonts w:ascii="Cambria Math" w:hAnsi="Cambria Math"/>
                      </w:rPr>
                    </m:ctrlPr>
                  </m:sub>
                  <m:sup>
                    <m:r>
                      <m:rPr>
                        <m:nor/>
                      </m:rPr>
                      <w:rPr>
                        <w:rFonts w:ascii="Cambria Math"/>
                      </w:rPr>
                      <m:t>max,slot,</m:t>
                    </m:r>
                    <m:r>
                      <w:rPr>
                        <w:rFonts w:ascii="Cambria Math"/>
                      </w:rPr>
                      <m:t>μ</m:t>
                    </m:r>
                    <m:ctrlPr>
                      <w:rPr>
                        <w:rFonts w:ascii="Cambria Math" w:hAnsi="Cambria Math"/>
                      </w:rPr>
                    </m:ctrlPr>
                  </m:sup>
                </m:sSubSup>
                <m:r>
                  <w:rPr>
                    <w:rFonts w:ascii="Cambria Math"/>
                  </w:rPr>
                  <m:t>,</m:t>
                </m:r>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total,slot,</m:t>
                    </m:r>
                    <m:r>
                      <w:rPr>
                        <w:rFonts w:ascii="Cambria Math"/>
                      </w:rPr>
                      <m:t>μ</m:t>
                    </m:r>
                    <m:ctrlPr>
                      <w:rPr>
                        <w:rFonts w:ascii="Cambria Math" w:hAnsi="Cambria Math"/>
                      </w:rPr>
                    </m:ctrlPr>
                  </m:sup>
                </m:sSubSup>
              </m:e>
            </m:d>
          </m:e>
        </m:func>
        <m:r>
          <w:rPr>
            <w:rFonts w:ascii="Cambria Math" w:hAnsi="Cambria Math" w:cstheme="minorHAnsi"/>
          </w:rPr>
          <m:t>&gt;</m:t>
        </m:r>
        <m:func>
          <m:funcPr>
            <m:ctrlPr>
              <w:rPr>
                <w:rFonts w:ascii="Cambria Math" w:hAnsi="Cambria Math"/>
                <w:i/>
              </w:rPr>
            </m:ctrlPr>
          </m:funcPr>
          <m:fName>
            <m:r>
              <w:rPr>
                <w:rFonts w:ascii="Cambria Math"/>
              </w:rPr>
              <m:t>min</m:t>
            </m:r>
          </m:fName>
          <m:e>
            <m:d>
              <m:dPr>
                <m:ctrlPr>
                  <w:rPr>
                    <w:rFonts w:ascii="Cambria Math" w:hAnsi="Cambria Math"/>
                    <w:i/>
                  </w:rPr>
                </m:ctrlPr>
              </m:dPr>
              <m:e>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max,slot,</m:t>
                    </m:r>
                    <m:r>
                      <w:rPr>
                        <w:rFonts w:ascii="Cambria Math"/>
                      </w:rPr>
                      <m:t>μ</m:t>
                    </m:r>
                    <m:ctrlPr>
                      <w:rPr>
                        <w:rFonts w:ascii="Cambria Math" w:hAnsi="Cambria Math"/>
                      </w:rPr>
                    </m:ctrlPr>
                  </m:sup>
                </m:sSubSup>
                <m:r>
                  <w:rPr>
                    <w:rFonts w:ascii="Cambria Math"/>
                  </w:rPr>
                  <m:t>,</m:t>
                </m:r>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total,slot,</m:t>
                    </m:r>
                    <m:r>
                      <w:rPr>
                        <w:rFonts w:ascii="Cambria Math"/>
                      </w:rPr>
                      <m:t>μ</m:t>
                    </m:r>
                    <m:ctrlPr>
                      <w:rPr>
                        <w:rFonts w:ascii="Cambria Math" w:hAnsi="Cambria Math"/>
                      </w:rPr>
                    </m:ctrlPr>
                  </m:sup>
                </m:sSubSup>
              </m:e>
            </m:d>
          </m:e>
        </m:func>
      </m:oMath>
      <w:r>
        <w:rPr>
          <w:rFonts w:cstheme="minorHAnsi"/>
        </w:rPr>
        <w:t xml:space="preserve"> or </w:t>
      </w:r>
      <m:oMath>
        <m:func>
          <m:funcPr>
            <m:ctrlPr>
              <w:rPr>
                <w:rFonts w:ascii="Cambria Math" w:hAnsi="Cambria Math"/>
                <w:i/>
              </w:rPr>
            </m:ctrlPr>
          </m:funcPr>
          <m:fName>
            <m:r>
              <w:rPr>
                <w:rFonts w:ascii="Cambria Math"/>
              </w:rPr>
              <m:t>min</m:t>
            </m:r>
          </m:fName>
          <m:e>
            <m:d>
              <m:dPr>
                <m:ctrlPr>
                  <w:rPr>
                    <w:rFonts w:ascii="Cambria Math" w:hAnsi="Cambria Math"/>
                    <w:i/>
                  </w:rPr>
                </m:ctrlPr>
              </m:dPr>
              <m:e>
                <m:sSubSup>
                  <m:sSubSupPr>
                    <m:ctrlPr>
                      <w:rPr>
                        <w:rFonts w:ascii="Cambria Math" w:hAnsi="Cambria Math"/>
                        <w:i/>
                      </w:rPr>
                    </m:ctrlPr>
                  </m:sSubSupPr>
                  <m:e>
                    <m:r>
                      <w:rPr>
                        <w:rFonts w:ascii="Cambria Math" w:hAnsi="Cambria Math" w:cstheme="minorHAnsi"/>
                      </w:rPr>
                      <m:t>γ</m:t>
                    </m:r>
                    <m:r>
                      <w:rPr>
                        <w:rFonts w:ascii="Cambria Math" w:hAnsi="Cambria Math"/>
                      </w:rPr>
                      <m:t>∙</m:t>
                    </m:r>
                    <m:r>
                      <w:rPr>
                        <w:rFonts w:ascii="Cambria Math"/>
                      </w:rPr>
                      <m:t>C</m:t>
                    </m:r>
                  </m:e>
                  <m:sub>
                    <m:r>
                      <m:rPr>
                        <m:nor/>
                      </m:rPr>
                      <w:rPr>
                        <w:rFonts w:ascii="Cambria Math"/>
                      </w:rPr>
                      <m:t>PDCCH</m:t>
                    </m:r>
                    <m:ctrlPr>
                      <w:rPr>
                        <w:rFonts w:ascii="Cambria Math" w:hAnsi="Cambria Math"/>
                      </w:rPr>
                    </m:ctrlPr>
                  </m:sub>
                  <m:sup>
                    <m:r>
                      <m:rPr>
                        <m:nor/>
                      </m:rPr>
                      <w:rPr>
                        <w:rFonts w:ascii="Cambria Math"/>
                      </w:rPr>
                      <m:t>max,slot,</m:t>
                    </m:r>
                    <m:r>
                      <w:rPr>
                        <w:rFonts w:ascii="Cambria Math"/>
                      </w:rPr>
                      <m:t>μ</m:t>
                    </m:r>
                    <m:ctrlPr>
                      <w:rPr>
                        <w:rFonts w:ascii="Cambria Math" w:hAnsi="Cambria Math"/>
                      </w:rPr>
                    </m:ctrlPr>
                  </m:sup>
                </m:sSubSup>
                <m:r>
                  <w:rPr>
                    <w:rFonts w:ascii="Cambria Math"/>
                  </w:rPr>
                  <m:t>,</m:t>
                </m:r>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total,slot,</m:t>
                    </m:r>
                    <m:r>
                      <w:rPr>
                        <w:rFonts w:ascii="Cambria Math"/>
                      </w:rPr>
                      <m:t>μ</m:t>
                    </m:r>
                    <m:ctrlPr>
                      <w:rPr>
                        <w:rFonts w:ascii="Cambria Math" w:hAnsi="Cambria Math"/>
                      </w:rPr>
                    </m:ctrlPr>
                  </m:sup>
                </m:sSubSup>
              </m:e>
            </m:d>
          </m:e>
        </m:func>
        <m:r>
          <w:rPr>
            <w:rFonts w:ascii="Cambria Math" w:hAnsi="Cambria Math" w:cstheme="minorHAnsi"/>
          </w:rPr>
          <m:t>&gt;</m:t>
        </m:r>
        <m:func>
          <m:funcPr>
            <m:ctrlPr>
              <w:rPr>
                <w:rFonts w:ascii="Cambria Math" w:hAnsi="Cambria Math"/>
                <w:i/>
              </w:rPr>
            </m:ctrlPr>
          </m:funcPr>
          <m:fName>
            <m:r>
              <w:rPr>
                <w:rFonts w:ascii="Cambria Math"/>
              </w:rPr>
              <m:t>min</m:t>
            </m:r>
          </m:fName>
          <m:e>
            <m:d>
              <m:dPr>
                <m:ctrlPr>
                  <w:rPr>
                    <w:rFonts w:ascii="Cambria Math" w:hAnsi="Cambria Math"/>
                    <w:i/>
                  </w:rPr>
                </m:ctrlPr>
              </m:dPr>
              <m:e>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max,slot,</m:t>
                    </m:r>
                    <m:r>
                      <w:rPr>
                        <w:rFonts w:ascii="Cambria Math"/>
                      </w:rPr>
                      <m:t>μ</m:t>
                    </m:r>
                    <m:ctrlPr>
                      <w:rPr>
                        <w:rFonts w:ascii="Cambria Math" w:hAnsi="Cambria Math"/>
                      </w:rPr>
                    </m:ctrlPr>
                  </m:sup>
                </m:sSubSup>
                <m:r>
                  <w:rPr>
                    <w:rFonts w:ascii="Cambria Math"/>
                  </w:rPr>
                  <m:t>,</m:t>
                </m:r>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total,slot,</m:t>
                    </m:r>
                    <m:r>
                      <w:rPr>
                        <w:rFonts w:ascii="Cambria Math"/>
                      </w:rPr>
                      <m:t>μ</m:t>
                    </m:r>
                    <m:ctrlPr>
                      <w:rPr>
                        <w:rFonts w:ascii="Cambria Math" w:hAnsi="Cambria Math"/>
                      </w:rPr>
                    </m:ctrlPr>
                  </m:sup>
                </m:sSubSup>
              </m:e>
            </m:d>
          </m:e>
        </m:func>
      </m:oMath>
      <w:r>
        <w:rPr>
          <w:rFonts w:cstheme="minorHAnsi"/>
        </w:rPr>
        <w:t xml:space="preserve">, the following pseudocode applies only to USS sets associated with the first CORESETs. </w:t>
      </w:r>
      <w:r w:rsidR="00A32336" w:rsidRPr="00D20E88">
        <w:rPr>
          <w:rFonts w:eastAsiaTheme="minorEastAsia"/>
        </w:rPr>
        <w:t xml:space="preserve">A UE does not expect to monitor PDCCH in a USS set without </w:t>
      </w:r>
      <w:r w:rsidR="00791E00">
        <w:rPr>
          <w:rFonts w:eastAsiaTheme="minorEastAsia"/>
        </w:rPr>
        <w:t>allocated</w:t>
      </w:r>
      <w:r w:rsidR="00A32336" w:rsidRPr="00D20E88">
        <w:rPr>
          <w:rFonts w:eastAsiaTheme="minorEastAsia"/>
        </w:rPr>
        <w:t xml:space="preserve"> PDCCH candidates</w:t>
      </w:r>
      <w:r w:rsidR="00791E00">
        <w:rPr>
          <w:rFonts w:eastAsiaTheme="minorEastAsia"/>
        </w:rPr>
        <w:t xml:space="preserve"> </w:t>
      </w:r>
      <w:r w:rsidR="00791E00">
        <w:t>for monitoring</w:t>
      </w:r>
      <w:r w:rsidR="00A32336" w:rsidRPr="00D20E88">
        <w:rPr>
          <w:rFonts w:eastAsiaTheme="minorEastAsia"/>
        </w:rPr>
        <w:t>.</w:t>
      </w:r>
      <w:r w:rsidR="00A248DC">
        <w:rPr>
          <w:rFonts w:eastAsiaTheme="minorEastAsia"/>
        </w:rPr>
        <w:t xml:space="preserve"> </w:t>
      </w:r>
    </w:p>
    <w:p w14:paraId="474E7A51" w14:textId="77777777" w:rsidR="00E3283C" w:rsidRDefault="00A248DC" w:rsidP="00A32336">
      <w:r>
        <w:rPr>
          <w:rFonts w:eastAsiaTheme="minorEastAsia"/>
        </w:rPr>
        <w:t xml:space="preserve">In the following pseudocode, </w:t>
      </w:r>
      <w:r>
        <w:t xml:space="preserve">if the UE is </w:t>
      </w:r>
      <w:r>
        <w:rPr>
          <w:lang w:eastAsia="ko-KR"/>
        </w:rPr>
        <w:t xml:space="preserve">provided </w:t>
      </w:r>
      <w:r w:rsidR="00C435AF">
        <w:rPr>
          <w:i/>
        </w:rPr>
        <w:t>monitoringCapabilityConfig</w:t>
      </w:r>
      <w:r>
        <w:t xml:space="preserve"> = </w:t>
      </w:r>
      <w:r>
        <w:rPr>
          <w:i/>
        </w:rPr>
        <w:t>r1</w:t>
      </w:r>
      <w:r>
        <w:rPr>
          <w:i/>
          <w:lang w:val="en-US"/>
        </w:rPr>
        <w:t>6</w:t>
      </w:r>
      <w:r>
        <w:rPr>
          <w:i/>
        </w:rPr>
        <w:t>monitoringcapability</w:t>
      </w:r>
      <w:r>
        <w:t xml:space="preserve"> for the primary cell,</w:t>
      </w:r>
      <m:oMath>
        <m:r>
          <m:rPr>
            <m:sty m:val="p"/>
          </m:rPr>
          <w:rPr>
            <w:rFonts w:ascii="Cambria Math" w:hAnsi="Cambria Math"/>
          </w:rPr>
          <m:t xml:space="preserve"> </m:t>
        </m:r>
        <m:sSubSup>
          <m:sSubSupPr>
            <m:ctrlPr>
              <w:rPr>
                <w:rFonts w:ascii="Cambria Math" w:hAnsi="Cambria Math"/>
                <w:i/>
                <w:iCs/>
                <w:sz w:val="24"/>
                <w:szCs w:val="24"/>
              </w:rPr>
            </m:ctrlPr>
          </m:sSubSupPr>
          <m:e>
            <m:r>
              <w:rPr>
                <w:rFonts w:ascii="Cambria Math"/>
              </w:rPr>
              <m:t>M</m:t>
            </m:r>
          </m:e>
          <m:sub>
            <m:r>
              <m:rPr>
                <m:nor/>
              </m:rPr>
              <w:rPr>
                <w:rFonts w:ascii="Cambria Math"/>
                <w:iCs/>
              </w:rPr>
              <m:t>PDCCH</m:t>
            </m:r>
          </m:sub>
          <m:sup>
            <m:r>
              <m:rPr>
                <m:nor/>
              </m:rPr>
              <w:rPr>
                <w:rFonts w:ascii="Cambria Math"/>
                <w:iCs/>
              </w:rPr>
              <m:t>max,slot,</m:t>
            </m:r>
            <m:r>
              <m:rPr>
                <m:sty m:val="p"/>
              </m:rPr>
              <w:rPr>
                <w:rFonts w:ascii="Cambria Math"/>
              </w:rPr>
              <m:t>μ</m:t>
            </m:r>
          </m:sup>
        </m:sSubSup>
        <m:r>
          <w:rPr>
            <w:rFonts w:ascii="Cambria Math" w:hAnsi="Cambria Math"/>
          </w:rPr>
          <m:t xml:space="preserve"> </m:t>
        </m:r>
      </m:oMath>
      <w:r>
        <w:rPr>
          <w:iCs/>
          <w:lang w:eastAsia="zh-CN"/>
        </w:rPr>
        <w:t xml:space="preserve">and </w:t>
      </w:r>
      <m:oMath>
        <m:sSubSup>
          <m:sSubSupPr>
            <m:ctrlPr>
              <w:rPr>
                <w:rFonts w:ascii="Cambria Math" w:hAnsi="Cambria Math"/>
                <w:i/>
                <w:iCs/>
                <w:sz w:val="24"/>
                <w:szCs w:val="24"/>
              </w:rPr>
            </m:ctrlPr>
          </m:sSubSupPr>
          <m:e>
            <m:r>
              <w:rPr>
                <w:rFonts w:ascii="Cambria Math"/>
              </w:rPr>
              <m:t>C</m:t>
            </m:r>
          </m:e>
          <m:sub>
            <m:r>
              <m:rPr>
                <m:nor/>
              </m:rPr>
              <w:rPr>
                <w:rFonts w:ascii="Cambria Math"/>
                <w:iCs/>
              </w:rPr>
              <m:t>PDCCH</m:t>
            </m:r>
          </m:sub>
          <m:sup>
            <m:r>
              <m:rPr>
                <m:nor/>
              </m:rPr>
              <w:rPr>
                <w:rFonts w:ascii="Cambria Math"/>
                <w:iCs/>
              </w:rPr>
              <m:t>max,slot,</m:t>
            </m:r>
            <m:r>
              <m:rPr>
                <m:sty m:val="p"/>
              </m:rPr>
              <w:rPr>
                <w:rFonts w:ascii="Cambria Math"/>
              </w:rPr>
              <m:t>μ</m:t>
            </m:r>
          </m:sup>
        </m:sSubSup>
        <m:r>
          <w:rPr>
            <w:rFonts w:ascii="Cambria Math" w:hAnsi="Cambria Math"/>
          </w:rPr>
          <m:t xml:space="preserve"> </m:t>
        </m:r>
      </m:oMath>
      <w:r>
        <w:rPr>
          <w:iCs/>
          <w:lang w:eastAsia="zh-CN"/>
        </w:rPr>
        <w:t xml:space="preserve">are </w:t>
      </w:r>
      <w:r>
        <w:t xml:space="preserve">replaced by </w:t>
      </w:r>
      <m:oMath>
        <m:sSubSup>
          <m:sSubSupPr>
            <m:ctrlPr>
              <w:rPr>
                <w:rFonts w:ascii="Cambria Math" w:hAnsi="Cambria Math"/>
                <w:iCs/>
                <w:sz w:val="24"/>
                <w:szCs w:val="24"/>
              </w:rPr>
            </m:ctrlPr>
          </m:sSubSupPr>
          <m:e>
            <m:r>
              <w:rPr>
                <w:rFonts w:ascii="Cambria Math"/>
              </w:rPr>
              <m:t>M</m:t>
            </m:r>
          </m:e>
          <m:sub>
            <m:r>
              <m:rPr>
                <m:nor/>
              </m:rPr>
              <w:rPr>
                <w:rFonts w:ascii="Cambria Math"/>
                <w:iCs/>
              </w:rPr>
              <m:t>PDCCH</m:t>
            </m:r>
          </m:sub>
          <m:sup>
            <m:r>
              <m:rPr>
                <m:nor/>
              </m:rPr>
              <w:rPr>
                <w:rFonts w:ascii="Cambria Math"/>
                <w:iCs/>
              </w:rPr>
              <m:t>max,(X,Y),</m:t>
            </m:r>
            <m:r>
              <m:rPr>
                <m:sty m:val="p"/>
              </m:rPr>
              <w:rPr>
                <w:rFonts w:ascii="Cambria Math"/>
              </w:rPr>
              <m:t>μ</m:t>
            </m:r>
          </m:sup>
        </m:sSubSup>
        <m:r>
          <w:rPr>
            <w:rFonts w:ascii="Cambria Math" w:hAnsi="Cambria Math"/>
          </w:rPr>
          <m:t xml:space="preserve"> </m:t>
        </m:r>
      </m:oMath>
      <w:r>
        <w:t xml:space="preserve">and </w:t>
      </w:r>
      <m:oMath>
        <m:sSubSup>
          <m:sSubSupPr>
            <m:ctrlPr>
              <w:rPr>
                <w:rFonts w:ascii="Cambria Math" w:hAnsi="Cambria Math"/>
                <w:iCs/>
                <w:sz w:val="24"/>
                <w:szCs w:val="24"/>
              </w:rPr>
            </m:ctrlPr>
          </m:sSubSupPr>
          <m:e>
            <m:r>
              <w:rPr>
                <w:rFonts w:ascii="Cambria Math"/>
              </w:rPr>
              <m:t>C</m:t>
            </m:r>
          </m:e>
          <m:sub>
            <m:r>
              <m:rPr>
                <m:nor/>
              </m:rPr>
              <w:rPr>
                <w:rFonts w:ascii="Cambria Math"/>
                <w:iCs/>
              </w:rPr>
              <m:t>PDCCH</m:t>
            </m:r>
          </m:sub>
          <m:sup>
            <m:r>
              <m:rPr>
                <m:nor/>
              </m:rPr>
              <w:rPr>
                <w:rFonts w:ascii="Cambria Math"/>
                <w:iCs/>
              </w:rPr>
              <m:t>max,(X,Y),</m:t>
            </m:r>
            <m:r>
              <m:rPr>
                <m:sty m:val="p"/>
              </m:rPr>
              <w:rPr>
                <w:rFonts w:ascii="Cambria Math"/>
              </w:rPr>
              <m:t>μ</m:t>
            </m:r>
          </m:sup>
        </m:sSubSup>
      </m:oMath>
      <w:r>
        <w:t xml:space="preserve"> respectively, and </w:t>
      </w:r>
      <m:oMath>
        <m:sSubSup>
          <m:sSubSupPr>
            <m:ctrlPr>
              <w:rPr>
                <w:rFonts w:ascii="Cambria Math" w:hAnsi="Cambria Math"/>
                <w:i/>
                <w:iCs/>
                <w:sz w:val="24"/>
                <w:szCs w:val="24"/>
              </w:rPr>
            </m:ctrlPr>
          </m:sSubSupPr>
          <m:e>
            <m:r>
              <w:rPr>
                <w:rFonts w:ascii="Cambria Math"/>
              </w:rPr>
              <m:t>M</m:t>
            </m:r>
          </m:e>
          <m:sub>
            <m:r>
              <m:rPr>
                <m:nor/>
              </m:rPr>
              <w:rPr>
                <w:rFonts w:ascii="Cambria Math"/>
                <w:iCs/>
              </w:rPr>
              <m:t>PDCCH</m:t>
            </m:r>
          </m:sub>
          <m:sup>
            <m:r>
              <m:rPr>
                <m:nor/>
              </m:rPr>
              <w:rPr>
                <w:rFonts w:ascii="Cambria Math"/>
                <w:iCs/>
              </w:rPr>
              <m:t>total,slot,</m:t>
            </m:r>
            <m:r>
              <m:rPr>
                <m:sty m:val="p"/>
              </m:rPr>
              <w:rPr>
                <w:rFonts w:ascii="Cambria Math"/>
              </w:rPr>
              <m:t>μ</m:t>
            </m:r>
          </m:sup>
        </m:sSubSup>
        <m:r>
          <w:rPr>
            <w:rFonts w:ascii="Cambria Math" w:hAnsi="Cambria Math"/>
          </w:rPr>
          <m:t xml:space="preserve"> </m:t>
        </m:r>
      </m:oMath>
      <w:r>
        <w:rPr>
          <w:iCs/>
          <w:lang w:eastAsia="zh-CN"/>
        </w:rPr>
        <w:t xml:space="preserve">and </w:t>
      </w:r>
      <m:oMath>
        <m:sSubSup>
          <m:sSubSupPr>
            <m:ctrlPr>
              <w:rPr>
                <w:rFonts w:ascii="Cambria Math" w:hAnsi="Cambria Math"/>
                <w:i/>
                <w:iCs/>
                <w:sz w:val="24"/>
                <w:szCs w:val="24"/>
              </w:rPr>
            </m:ctrlPr>
          </m:sSubSupPr>
          <m:e>
            <m:r>
              <w:rPr>
                <w:rFonts w:ascii="Cambria Math"/>
              </w:rPr>
              <m:t>C</m:t>
            </m:r>
          </m:e>
          <m:sub>
            <m:r>
              <m:rPr>
                <m:nor/>
              </m:rPr>
              <w:rPr>
                <w:rFonts w:ascii="Cambria Math"/>
                <w:iCs/>
              </w:rPr>
              <m:t>PDCCH</m:t>
            </m:r>
          </m:sub>
          <m:sup>
            <m:r>
              <m:rPr>
                <m:nor/>
              </m:rPr>
              <w:rPr>
                <w:rFonts w:ascii="Cambria Math"/>
                <w:iCs/>
              </w:rPr>
              <m:t>total,slot,</m:t>
            </m:r>
            <m:r>
              <m:rPr>
                <m:sty m:val="p"/>
              </m:rPr>
              <w:rPr>
                <w:rFonts w:ascii="Cambria Math"/>
              </w:rPr>
              <m:t>μ</m:t>
            </m:r>
          </m:sup>
        </m:sSubSup>
        <m:r>
          <w:rPr>
            <w:rFonts w:ascii="Cambria Math" w:hAnsi="Cambria Math"/>
          </w:rPr>
          <m:t xml:space="preserve"> </m:t>
        </m:r>
      </m:oMath>
      <w:r>
        <w:rPr>
          <w:iCs/>
          <w:lang w:eastAsia="zh-CN"/>
        </w:rPr>
        <w:t xml:space="preserve">are </w:t>
      </w:r>
      <w:r>
        <w:t xml:space="preserve">replaced by </w:t>
      </w:r>
      <m:oMath>
        <m:sSubSup>
          <m:sSubSupPr>
            <m:ctrlPr>
              <w:rPr>
                <w:rFonts w:ascii="Cambria Math" w:hAnsi="Cambria Math"/>
                <w:iCs/>
                <w:sz w:val="24"/>
                <w:szCs w:val="24"/>
              </w:rPr>
            </m:ctrlPr>
          </m:sSubSupPr>
          <m:e>
            <m:r>
              <w:rPr>
                <w:rFonts w:ascii="Cambria Math"/>
              </w:rPr>
              <m:t>M</m:t>
            </m:r>
          </m:e>
          <m:sub>
            <m:r>
              <m:rPr>
                <m:nor/>
              </m:rPr>
              <w:rPr>
                <w:rFonts w:ascii="Cambria Math"/>
                <w:iCs/>
              </w:rPr>
              <m:t>PDCCH</m:t>
            </m:r>
          </m:sub>
          <m:sup>
            <m:r>
              <m:rPr>
                <m:nor/>
              </m:rPr>
              <w:rPr>
                <w:rFonts w:ascii="Cambria Math"/>
                <w:iCs/>
              </w:rPr>
              <m:t>total,(X,Y),</m:t>
            </m:r>
            <m:r>
              <m:rPr>
                <m:sty m:val="p"/>
              </m:rPr>
              <w:rPr>
                <w:rFonts w:ascii="Cambria Math"/>
              </w:rPr>
              <m:t>μ</m:t>
            </m:r>
          </m:sup>
        </m:sSubSup>
        <m:r>
          <w:rPr>
            <w:rFonts w:ascii="Cambria Math" w:hAnsi="Cambria Math"/>
          </w:rPr>
          <m:t xml:space="preserve"> </m:t>
        </m:r>
      </m:oMath>
      <w:r>
        <w:t xml:space="preserve">and </w:t>
      </w:r>
      <m:oMath>
        <m:sSubSup>
          <m:sSubSupPr>
            <m:ctrlPr>
              <w:rPr>
                <w:rFonts w:ascii="Cambria Math" w:hAnsi="Cambria Math"/>
                <w:iCs/>
                <w:sz w:val="24"/>
                <w:szCs w:val="24"/>
              </w:rPr>
            </m:ctrlPr>
          </m:sSubSupPr>
          <m:e>
            <m:r>
              <w:rPr>
                <w:rFonts w:ascii="Cambria Math"/>
              </w:rPr>
              <m:t>C</m:t>
            </m:r>
          </m:e>
          <m:sub>
            <m:r>
              <m:rPr>
                <m:nor/>
              </m:rPr>
              <w:rPr>
                <w:rFonts w:ascii="Cambria Math"/>
                <w:iCs/>
              </w:rPr>
              <m:t>PDCCH</m:t>
            </m:r>
          </m:sub>
          <m:sup>
            <m:r>
              <m:rPr>
                <m:nor/>
              </m:rPr>
              <w:rPr>
                <w:rFonts w:ascii="Cambria Math"/>
                <w:iCs/>
              </w:rPr>
              <m:t>total,(X,Y),</m:t>
            </m:r>
            <m:r>
              <m:rPr>
                <m:sty m:val="p"/>
              </m:rPr>
              <w:rPr>
                <w:rFonts w:ascii="Cambria Math"/>
              </w:rPr>
              <m:t>μ</m:t>
            </m:r>
          </m:sup>
        </m:sSubSup>
      </m:oMath>
      <w:r>
        <w:t xml:space="preserve"> respectively.</w:t>
      </w:r>
      <w:r w:rsidR="005C7400">
        <w:t xml:space="preserve"> </w:t>
      </w:r>
    </w:p>
    <w:p w14:paraId="01724834" w14:textId="77777777" w:rsidR="00E3283C" w:rsidRDefault="00E3283C" w:rsidP="00E3283C">
      <w:pPr>
        <w:rPr>
          <w:rFonts w:eastAsiaTheme="minorEastAsia"/>
        </w:rPr>
      </w:pPr>
      <w:r>
        <w:rPr>
          <w:rFonts w:eastAsiaTheme="minorEastAsia"/>
        </w:rPr>
        <w:lastRenderedPageBreak/>
        <w:t xml:space="preserve">In the following pseudocode, </w:t>
      </w:r>
      <w:r>
        <w:t xml:space="preserve">if the UE is </w:t>
      </w:r>
      <w:r>
        <w:rPr>
          <w:lang w:eastAsia="ko-KR"/>
        </w:rPr>
        <w:t xml:space="preserve">provided </w:t>
      </w:r>
      <w:r>
        <w:rPr>
          <w:i/>
        </w:rPr>
        <w:t>monitoringCapabilityConfig</w:t>
      </w:r>
      <w:r>
        <w:t xml:space="preserve"> = </w:t>
      </w:r>
      <w:r>
        <w:rPr>
          <w:i/>
        </w:rPr>
        <w:t>r1</w:t>
      </w:r>
      <w:r>
        <w:rPr>
          <w:i/>
          <w:lang w:val="en-US"/>
        </w:rPr>
        <w:t>7</w:t>
      </w:r>
      <w:r>
        <w:rPr>
          <w:i/>
        </w:rPr>
        <w:t>monitoringcapability</w:t>
      </w:r>
      <w:r>
        <w:t xml:space="preserve"> for the primary cell,</w:t>
      </w:r>
      <m:oMath>
        <m:r>
          <m:rPr>
            <m:sty m:val="p"/>
          </m:rPr>
          <w:rPr>
            <w:rFonts w:ascii="Cambria Math" w:hAnsi="Cambria Math"/>
          </w:rPr>
          <m:t xml:space="preserve"> </m:t>
        </m:r>
        <m:sSubSup>
          <m:sSubSupPr>
            <m:ctrlPr>
              <w:rPr>
                <w:rFonts w:ascii="Cambria Math" w:hAnsi="Cambria Math"/>
                <w:i/>
                <w:iCs/>
                <w:sz w:val="24"/>
                <w:szCs w:val="24"/>
              </w:rPr>
            </m:ctrlPr>
          </m:sSubSupPr>
          <m:e>
            <m:r>
              <w:rPr>
                <w:rFonts w:ascii="Cambria Math"/>
              </w:rPr>
              <m:t>M</m:t>
            </m:r>
          </m:e>
          <m:sub>
            <m:r>
              <m:rPr>
                <m:nor/>
              </m:rPr>
              <w:rPr>
                <w:rFonts w:ascii="Cambria Math"/>
                <w:iCs/>
              </w:rPr>
              <m:t>PDCCH</m:t>
            </m:r>
          </m:sub>
          <m:sup>
            <m:r>
              <m:rPr>
                <m:nor/>
              </m:rPr>
              <w:rPr>
                <w:rFonts w:ascii="Cambria Math"/>
                <w:iCs/>
              </w:rPr>
              <m:t>max,slot,</m:t>
            </m:r>
            <m:r>
              <m:rPr>
                <m:sty m:val="p"/>
              </m:rPr>
              <w:rPr>
                <w:rFonts w:ascii="Cambria Math"/>
              </w:rPr>
              <m:t>μ</m:t>
            </m:r>
          </m:sup>
        </m:sSubSup>
        <m:r>
          <w:rPr>
            <w:rFonts w:ascii="Cambria Math" w:hAnsi="Cambria Math"/>
          </w:rPr>
          <m:t xml:space="preserve"> </m:t>
        </m:r>
      </m:oMath>
      <w:r>
        <w:rPr>
          <w:iCs/>
          <w:lang w:eastAsia="zh-CN"/>
        </w:rPr>
        <w:t xml:space="preserve">and </w:t>
      </w:r>
      <m:oMath>
        <m:sSubSup>
          <m:sSubSupPr>
            <m:ctrlPr>
              <w:rPr>
                <w:rFonts w:ascii="Cambria Math" w:hAnsi="Cambria Math"/>
                <w:i/>
                <w:iCs/>
                <w:sz w:val="24"/>
                <w:szCs w:val="24"/>
              </w:rPr>
            </m:ctrlPr>
          </m:sSubSupPr>
          <m:e>
            <m:r>
              <w:rPr>
                <w:rFonts w:ascii="Cambria Math"/>
              </w:rPr>
              <m:t>C</m:t>
            </m:r>
          </m:e>
          <m:sub>
            <m:r>
              <m:rPr>
                <m:nor/>
              </m:rPr>
              <w:rPr>
                <w:rFonts w:ascii="Cambria Math"/>
                <w:iCs/>
              </w:rPr>
              <m:t>PDCCH</m:t>
            </m:r>
          </m:sub>
          <m:sup>
            <m:r>
              <m:rPr>
                <m:nor/>
              </m:rPr>
              <w:rPr>
                <w:rFonts w:ascii="Cambria Math"/>
                <w:iCs/>
              </w:rPr>
              <m:t>max,slot,</m:t>
            </m:r>
            <m:r>
              <m:rPr>
                <m:sty m:val="p"/>
              </m:rPr>
              <w:rPr>
                <w:rFonts w:ascii="Cambria Math"/>
              </w:rPr>
              <m:t>μ</m:t>
            </m:r>
          </m:sup>
        </m:sSubSup>
        <m:r>
          <w:rPr>
            <w:rFonts w:ascii="Cambria Math" w:hAnsi="Cambria Math"/>
          </w:rPr>
          <m:t xml:space="preserve"> </m:t>
        </m:r>
      </m:oMath>
      <w:r>
        <w:rPr>
          <w:iCs/>
          <w:lang w:eastAsia="zh-CN"/>
        </w:rPr>
        <w:t xml:space="preserve">are </w:t>
      </w:r>
      <w:r>
        <w:t xml:space="preserve">replaced by </w:t>
      </w:r>
      <m:oMath>
        <m:sSubSup>
          <m:sSubSupPr>
            <m:ctrlPr>
              <w:rPr>
                <w:rFonts w:ascii="Cambria Math" w:hAnsi="Cambria Math"/>
                <w:iCs/>
                <w:sz w:val="24"/>
                <w:szCs w:val="24"/>
              </w:rPr>
            </m:ctrlPr>
          </m:sSubSupPr>
          <m:e>
            <m:r>
              <w:rPr>
                <w:rFonts w:ascii="Cambria Math"/>
              </w:rPr>
              <m:t>M</m:t>
            </m:r>
          </m:e>
          <m:sub>
            <m:r>
              <m:rPr>
                <m:nor/>
              </m:rPr>
              <w:rPr>
                <w:rFonts w:ascii="Cambria Math"/>
                <w:iCs/>
              </w:rPr>
              <m:t>PDCCH</m:t>
            </m:r>
          </m:sub>
          <m:sup>
            <m:r>
              <m:rPr>
                <m:nor/>
              </m:rPr>
              <w:rPr>
                <w:rFonts w:ascii="Cambria Math"/>
                <w:iCs/>
              </w:rPr>
              <m:t>max,</m:t>
            </m:r>
            <m:sSub>
              <m:sSubPr>
                <m:ctrlPr>
                  <w:rPr>
                    <w:rFonts w:ascii="Cambria Math" w:hAnsi="Cambria Math"/>
                    <w:iCs/>
                    <w:lang w:eastAsia="zh-CN"/>
                  </w:rPr>
                </m:ctrlPr>
              </m:sSubPr>
              <m:e>
                <m:r>
                  <m:rPr>
                    <m:sty m:val="p"/>
                  </m:rPr>
                  <w:rPr>
                    <w:rFonts w:ascii="Cambria Math" w:hAnsi="Cambria Math"/>
                    <w:lang w:eastAsia="zh-CN"/>
                  </w:rPr>
                  <m:t>X</m:t>
                </m:r>
              </m:e>
              <m:sub>
                <m:r>
                  <m:rPr>
                    <m:sty m:val="p"/>
                  </m:rPr>
                  <w:rPr>
                    <w:rFonts w:ascii="Cambria Math" w:hAnsi="Cambria Math"/>
                    <w:lang w:eastAsia="zh-CN"/>
                  </w:rPr>
                  <m:t>s</m:t>
                </m:r>
              </m:sub>
            </m:sSub>
            <m:r>
              <m:rPr>
                <m:nor/>
              </m:rPr>
              <w:rPr>
                <w:rFonts w:ascii="Cambria Math"/>
                <w:iCs/>
              </w:rPr>
              <m:t>,</m:t>
            </m:r>
            <m:r>
              <m:rPr>
                <m:sty m:val="p"/>
              </m:rPr>
              <w:rPr>
                <w:rFonts w:ascii="Cambria Math"/>
              </w:rPr>
              <m:t>μ</m:t>
            </m:r>
          </m:sup>
        </m:sSubSup>
        <m:r>
          <w:rPr>
            <w:rFonts w:ascii="Cambria Math" w:hAnsi="Cambria Math"/>
          </w:rPr>
          <m:t xml:space="preserve"> </m:t>
        </m:r>
      </m:oMath>
      <w:r>
        <w:t xml:space="preserve">and </w:t>
      </w:r>
      <m:oMath>
        <m:sSubSup>
          <m:sSubSupPr>
            <m:ctrlPr>
              <w:rPr>
                <w:rFonts w:ascii="Cambria Math" w:hAnsi="Cambria Math"/>
                <w:iCs/>
                <w:sz w:val="24"/>
                <w:szCs w:val="24"/>
              </w:rPr>
            </m:ctrlPr>
          </m:sSubSupPr>
          <m:e>
            <m:r>
              <w:rPr>
                <w:rFonts w:ascii="Cambria Math"/>
              </w:rPr>
              <m:t>C</m:t>
            </m:r>
          </m:e>
          <m:sub>
            <m:r>
              <m:rPr>
                <m:nor/>
              </m:rPr>
              <w:rPr>
                <w:rFonts w:ascii="Cambria Math"/>
                <w:iCs/>
              </w:rPr>
              <m:t>PDCCH</m:t>
            </m:r>
          </m:sub>
          <m:sup>
            <m:r>
              <m:rPr>
                <m:nor/>
              </m:rPr>
              <w:rPr>
                <w:rFonts w:ascii="Cambria Math"/>
                <w:iCs/>
              </w:rPr>
              <m:t>max,</m:t>
            </m:r>
            <m:sSub>
              <m:sSubPr>
                <m:ctrlPr>
                  <w:rPr>
                    <w:rFonts w:ascii="Cambria Math" w:hAnsi="Cambria Math"/>
                    <w:iCs/>
                    <w:lang w:eastAsia="zh-CN"/>
                  </w:rPr>
                </m:ctrlPr>
              </m:sSubPr>
              <m:e>
                <m:r>
                  <m:rPr>
                    <m:sty m:val="p"/>
                  </m:rPr>
                  <w:rPr>
                    <w:rFonts w:ascii="Cambria Math" w:hAnsi="Cambria Math"/>
                    <w:lang w:eastAsia="zh-CN"/>
                  </w:rPr>
                  <m:t>X</m:t>
                </m:r>
              </m:e>
              <m:sub>
                <m:r>
                  <m:rPr>
                    <m:sty m:val="p"/>
                  </m:rPr>
                  <w:rPr>
                    <w:rFonts w:ascii="Cambria Math" w:hAnsi="Cambria Math"/>
                    <w:lang w:eastAsia="zh-CN"/>
                  </w:rPr>
                  <m:t>s</m:t>
                </m:r>
              </m:sub>
            </m:sSub>
            <m:r>
              <m:rPr>
                <m:nor/>
              </m:rPr>
              <w:rPr>
                <w:rFonts w:ascii="Cambria Math"/>
                <w:iCs/>
              </w:rPr>
              <m:t>,</m:t>
            </m:r>
            <m:r>
              <m:rPr>
                <m:sty m:val="p"/>
              </m:rPr>
              <w:rPr>
                <w:rFonts w:ascii="Cambria Math"/>
              </w:rPr>
              <m:t>μ</m:t>
            </m:r>
          </m:sup>
        </m:sSubSup>
      </m:oMath>
      <w:r>
        <w:t xml:space="preserve"> respectively, and </w:t>
      </w:r>
      <m:oMath>
        <m:sSubSup>
          <m:sSubSupPr>
            <m:ctrlPr>
              <w:rPr>
                <w:rFonts w:ascii="Cambria Math" w:hAnsi="Cambria Math"/>
                <w:i/>
                <w:iCs/>
                <w:sz w:val="24"/>
                <w:szCs w:val="24"/>
              </w:rPr>
            </m:ctrlPr>
          </m:sSubSupPr>
          <m:e>
            <m:r>
              <w:rPr>
                <w:rFonts w:ascii="Cambria Math"/>
              </w:rPr>
              <m:t>M</m:t>
            </m:r>
          </m:e>
          <m:sub>
            <m:r>
              <m:rPr>
                <m:nor/>
              </m:rPr>
              <w:rPr>
                <w:rFonts w:ascii="Cambria Math"/>
                <w:iCs/>
              </w:rPr>
              <m:t>PDCCH</m:t>
            </m:r>
          </m:sub>
          <m:sup>
            <m:r>
              <m:rPr>
                <m:nor/>
              </m:rPr>
              <w:rPr>
                <w:rFonts w:ascii="Cambria Math"/>
                <w:iCs/>
              </w:rPr>
              <m:t>total,slot,</m:t>
            </m:r>
            <m:r>
              <m:rPr>
                <m:sty m:val="p"/>
              </m:rPr>
              <w:rPr>
                <w:rFonts w:ascii="Cambria Math"/>
              </w:rPr>
              <m:t>μ</m:t>
            </m:r>
          </m:sup>
        </m:sSubSup>
        <m:r>
          <w:rPr>
            <w:rFonts w:ascii="Cambria Math" w:hAnsi="Cambria Math"/>
          </w:rPr>
          <m:t xml:space="preserve"> </m:t>
        </m:r>
      </m:oMath>
      <w:r>
        <w:rPr>
          <w:iCs/>
          <w:lang w:eastAsia="zh-CN"/>
        </w:rPr>
        <w:t xml:space="preserve">and </w:t>
      </w:r>
      <m:oMath>
        <m:sSubSup>
          <m:sSubSupPr>
            <m:ctrlPr>
              <w:rPr>
                <w:rFonts w:ascii="Cambria Math" w:hAnsi="Cambria Math"/>
                <w:i/>
                <w:iCs/>
                <w:sz w:val="24"/>
                <w:szCs w:val="24"/>
              </w:rPr>
            </m:ctrlPr>
          </m:sSubSupPr>
          <m:e>
            <m:r>
              <w:rPr>
                <w:rFonts w:ascii="Cambria Math"/>
              </w:rPr>
              <m:t>C</m:t>
            </m:r>
          </m:e>
          <m:sub>
            <m:r>
              <m:rPr>
                <m:nor/>
              </m:rPr>
              <w:rPr>
                <w:rFonts w:ascii="Cambria Math"/>
                <w:iCs/>
              </w:rPr>
              <m:t>PDCCH</m:t>
            </m:r>
          </m:sub>
          <m:sup>
            <m:r>
              <m:rPr>
                <m:nor/>
              </m:rPr>
              <w:rPr>
                <w:rFonts w:ascii="Cambria Math"/>
                <w:iCs/>
              </w:rPr>
              <m:t>total,slot,</m:t>
            </m:r>
            <m:r>
              <m:rPr>
                <m:sty m:val="p"/>
              </m:rPr>
              <w:rPr>
                <w:rFonts w:ascii="Cambria Math"/>
              </w:rPr>
              <m:t>μ</m:t>
            </m:r>
          </m:sup>
        </m:sSubSup>
        <m:r>
          <w:rPr>
            <w:rFonts w:ascii="Cambria Math" w:hAnsi="Cambria Math"/>
          </w:rPr>
          <m:t xml:space="preserve"> </m:t>
        </m:r>
      </m:oMath>
      <w:r>
        <w:rPr>
          <w:iCs/>
          <w:lang w:eastAsia="zh-CN"/>
        </w:rPr>
        <w:t xml:space="preserve">are </w:t>
      </w:r>
      <w:r>
        <w:t xml:space="preserve">replaced by </w:t>
      </w:r>
      <m:oMath>
        <m:sSubSup>
          <m:sSubSupPr>
            <m:ctrlPr>
              <w:rPr>
                <w:rFonts w:ascii="Cambria Math" w:hAnsi="Cambria Math"/>
                <w:iCs/>
                <w:sz w:val="24"/>
                <w:szCs w:val="24"/>
              </w:rPr>
            </m:ctrlPr>
          </m:sSubSupPr>
          <m:e>
            <m:r>
              <w:rPr>
                <w:rFonts w:ascii="Cambria Math"/>
              </w:rPr>
              <m:t>M</m:t>
            </m:r>
          </m:e>
          <m:sub>
            <m:r>
              <m:rPr>
                <m:nor/>
              </m:rPr>
              <w:rPr>
                <w:rFonts w:ascii="Cambria Math"/>
                <w:iCs/>
              </w:rPr>
              <m:t>PDCCH</m:t>
            </m:r>
          </m:sub>
          <m:sup>
            <m:r>
              <m:rPr>
                <m:nor/>
              </m:rPr>
              <w:rPr>
                <w:rFonts w:ascii="Cambria Math"/>
                <w:iCs/>
              </w:rPr>
              <m:t>total,</m:t>
            </m:r>
            <m:sSub>
              <m:sSubPr>
                <m:ctrlPr>
                  <w:rPr>
                    <w:rFonts w:ascii="Cambria Math" w:hAnsi="Cambria Math"/>
                    <w:iCs/>
                    <w:lang w:eastAsia="zh-CN"/>
                  </w:rPr>
                </m:ctrlPr>
              </m:sSubPr>
              <m:e>
                <m:r>
                  <m:rPr>
                    <m:sty m:val="p"/>
                  </m:rPr>
                  <w:rPr>
                    <w:rFonts w:ascii="Cambria Math" w:hAnsi="Cambria Math"/>
                    <w:lang w:eastAsia="zh-CN"/>
                  </w:rPr>
                  <m:t>X</m:t>
                </m:r>
              </m:e>
              <m:sub>
                <m:r>
                  <m:rPr>
                    <m:sty m:val="p"/>
                  </m:rPr>
                  <w:rPr>
                    <w:rFonts w:ascii="Cambria Math" w:hAnsi="Cambria Math"/>
                    <w:lang w:eastAsia="zh-CN"/>
                  </w:rPr>
                  <m:t>s</m:t>
                </m:r>
              </m:sub>
            </m:sSub>
            <m:r>
              <m:rPr>
                <m:nor/>
              </m:rPr>
              <w:rPr>
                <w:rFonts w:ascii="Cambria Math"/>
                <w:iCs/>
              </w:rPr>
              <m:t>,</m:t>
            </m:r>
            <m:r>
              <m:rPr>
                <m:sty m:val="p"/>
              </m:rPr>
              <w:rPr>
                <w:rFonts w:ascii="Cambria Math"/>
              </w:rPr>
              <m:t>μ</m:t>
            </m:r>
          </m:sup>
        </m:sSubSup>
        <m:r>
          <w:rPr>
            <w:rFonts w:ascii="Cambria Math" w:hAnsi="Cambria Math"/>
          </w:rPr>
          <m:t xml:space="preserve"> </m:t>
        </m:r>
      </m:oMath>
      <w:r>
        <w:t xml:space="preserve">and </w:t>
      </w:r>
      <m:oMath>
        <m:sSubSup>
          <m:sSubSupPr>
            <m:ctrlPr>
              <w:rPr>
                <w:rFonts w:ascii="Cambria Math" w:hAnsi="Cambria Math"/>
                <w:iCs/>
                <w:sz w:val="24"/>
                <w:szCs w:val="24"/>
              </w:rPr>
            </m:ctrlPr>
          </m:sSubSupPr>
          <m:e>
            <m:r>
              <w:rPr>
                <w:rFonts w:ascii="Cambria Math"/>
              </w:rPr>
              <m:t>C</m:t>
            </m:r>
          </m:e>
          <m:sub>
            <m:r>
              <m:rPr>
                <m:nor/>
              </m:rPr>
              <w:rPr>
                <w:rFonts w:ascii="Cambria Math"/>
                <w:iCs/>
              </w:rPr>
              <m:t>PDCCH</m:t>
            </m:r>
          </m:sub>
          <m:sup>
            <m:r>
              <m:rPr>
                <m:nor/>
              </m:rPr>
              <w:rPr>
                <w:rFonts w:ascii="Cambria Math"/>
                <w:iCs/>
              </w:rPr>
              <m:t>total,</m:t>
            </m:r>
            <m:sSub>
              <m:sSubPr>
                <m:ctrlPr>
                  <w:rPr>
                    <w:rFonts w:ascii="Cambria Math" w:hAnsi="Cambria Math"/>
                    <w:iCs/>
                    <w:lang w:eastAsia="zh-CN"/>
                  </w:rPr>
                </m:ctrlPr>
              </m:sSubPr>
              <m:e>
                <m:r>
                  <m:rPr>
                    <m:sty m:val="p"/>
                  </m:rPr>
                  <w:rPr>
                    <w:rFonts w:ascii="Cambria Math" w:hAnsi="Cambria Math"/>
                    <w:lang w:eastAsia="zh-CN"/>
                  </w:rPr>
                  <m:t>X</m:t>
                </m:r>
              </m:e>
              <m:sub>
                <m:r>
                  <m:rPr>
                    <m:sty m:val="p"/>
                  </m:rPr>
                  <w:rPr>
                    <w:rFonts w:ascii="Cambria Math" w:hAnsi="Cambria Math"/>
                    <w:lang w:eastAsia="zh-CN"/>
                  </w:rPr>
                  <m:t>s</m:t>
                </m:r>
              </m:sub>
            </m:sSub>
            <m:r>
              <m:rPr>
                <m:nor/>
              </m:rPr>
              <w:rPr>
                <w:rFonts w:ascii="Cambria Math"/>
                <w:iCs/>
              </w:rPr>
              <m:t>,</m:t>
            </m:r>
            <m:r>
              <m:rPr>
                <m:sty m:val="p"/>
              </m:rPr>
              <w:rPr>
                <w:rFonts w:ascii="Cambria Math"/>
              </w:rPr>
              <m:t>μ</m:t>
            </m:r>
          </m:sup>
        </m:sSubSup>
      </m:oMath>
      <w:r>
        <w:t xml:space="preserve"> respectively.</w:t>
      </w:r>
    </w:p>
    <w:p w14:paraId="2D07D2CD" w14:textId="3C550A9D" w:rsidR="00E3283C" w:rsidRDefault="00E3283C" w:rsidP="00E3283C">
      <w:r>
        <w:t xml:space="preserve">For all search space sets </w:t>
      </w:r>
      <w:r w:rsidR="00025621" w:rsidRPr="0088027F">
        <w:t xml:space="preserve">that a UE monitors PDCCH on the primary cell </w:t>
      </w:r>
      <w:r>
        <w:t xml:space="preserve">within a slot </w:t>
      </w:r>
      <m:oMath>
        <m:r>
          <w:rPr>
            <w:rFonts w:ascii="Cambria Math" w:hAnsi="Cambria Math"/>
          </w:rPr>
          <m:t>n</m:t>
        </m:r>
      </m:oMath>
      <w:r>
        <w:t xml:space="preserve">, or within a 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Pr>
          <w:lang w:eastAsia="zh-CN"/>
        </w:rPr>
        <w:t xml:space="preserve"> </w:t>
      </w:r>
      <w:r>
        <w:t xml:space="preserve">slots for a corresponding combination </w:t>
      </w:r>
      <m:oMath>
        <m:d>
          <m:dPr>
            <m:ctrlPr>
              <w:rPr>
                <w:rFonts w:ascii="Cambria Math" w:hAnsi="Cambria Math"/>
                <w:i/>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e>
        </m:d>
      </m:oMath>
      <w:r>
        <w:rPr>
          <w:lang w:eastAsia="zh-CN"/>
        </w:rPr>
        <w:t>,</w:t>
      </w:r>
      <w:r>
        <w:t xml:space="preserve"> or within a span in slot </w:t>
      </w:r>
      <m:oMath>
        <m:r>
          <w:rPr>
            <w:rFonts w:ascii="Cambria Math" w:hAnsi="Cambria Math"/>
          </w:rPr>
          <m:t>n</m:t>
        </m:r>
      </m:oMath>
      <w:r>
        <w:t xml:space="preserve">, denote by </w:t>
      </w:r>
      <m:oMath>
        <m:sSub>
          <m:sSubPr>
            <m:ctrlPr>
              <w:rPr>
                <w:rFonts w:ascii="Cambria Math" w:hAnsi="Cambria Math" w:cstheme="majorBidi"/>
                <w:i/>
              </w:rPr>
            </m:ctrlPr>
          </m:sSubPr>
          <m:e>
            <m:r>
              <w:rPr>
                <w:rFonts w:ascii="Cambria Math" w:hAnsi="Cambria Math" w:cstheme="majorBidi"/>
              </w:rPr>
              <m:t>S</m:t>
            </m:r>
          </m:e>
          <m:sub>
            <m:r>
              <m:rPr>
                <m:sty m:val="p"/>
              </m:rPr>
              <w:rPr>
                <w:rFonts w:ascii="Cambria Math" w:hAnsi="Cambria Math" w:cstheme="majorBidi"/>
              </w:rPr>
              <m:t>css</m:t>
            </m:r>
          </m:sub>
        </m:sSub>
      </m:oMath>
      <w:r>
        <w:t xml:space="preserve"> a set of CSS sets, except for CSS sets provided </w:t>
      </w:r>
      <w:r w:rsidR="00025621" w:rsidRPr="0088027F">
        <w:t xml:space="preserve">by </w:t>
      </w:r>
      <w:r w:rsidR="005405DB" w:rsidRPr="00497077">
        <w:rPr>
          <w:i/>
          <w:iCs/>
        </w:rPr>
        <w:t>searchSpaceMCCH</w:t>
      </w:r>
      <w:r w:rsidR="005405DB" w:rsidRPr="00497077">
        <w:t xml:space="preserve">, </w:t>
      </w:r>
      <w:r w:rsidR="005405DB" w:rsidRPr="00497077">
        <w:rPr>
          <w:i/>
          <w:iCs/>
        </w:rPr>
        <w:t>searchSpaceMTCH</w:t>
      </w:r>
      <w:r w:rsidR="004F1F38" w:rsidRPr="002753F1">
        <w:t xml:space="preserve">, </w:t>
      </w:r>
      <w:r w:rsidR="004F1F38" w:rsidRPr="00A85F55">
        <w:rPr>
          <w:i/>
          <w:iCs/>
        </w:rPr>
        <w:t>searchSpaceMulticastMCCH</w:t>
      </w:r>
      <w:r w:rsidR="004F1F38" w:rsidRPr="002753F1">
        <w:t xml:space="preserve">, </w:t>
      </w:r>
      <w:r w:rsidR="004F1F38" w:rsidRPr="00A85F55">
        <w:rPr>
          <w:i/>
          <w:iCs/>
        </w:rPr>
        <w:t>searchSpaceMulticastMTCH</w:t>
      </w:r>
      <w:r w:rsidR="00025621" w:rsidRPr="0088027F">
        <w:t xml:space="preserve"> or </w:t>
      </w:r>
      <w:r>
        <w:t xml:space="preserve">by </w:t>
      </w:r>
      <w:r w:rsidR="005405DB" w:rsidRPr="00497077">
        <w:rPr>
          <w:i/>
          <w:iCs/>
          <w:lang w:eastAsia="zh-CN"/>
        </w:rPr>
        <w:t>SearchSpace</w:t>
      </w:r>
      <w:r w:rsidR="005405DB" w:rsidRPr="00497077">
        <w:rPr>
          <w:lang w:eastAsia="zh-CN"/>
        </w:rPr>
        <w:t xml:space="preserve"> in </w:t>
      </w:r>
      <w:r w:rsidR="00BD022F">
        <w:rPr>
          <w:i/>
          <w:iCs/>
          <w:lang w:eastAsia="zh-CN"/>
        </w:rPr>
        <w:t>pdcch</w:t>
      </w:r>
      <w:r w:rsidR="005405DB" w:rsidRPr="00497077">
        <w:rPr>
          <w:i/>
          <w:iCs/>
          <w:lang w:eastAsia="zh-CN"/>
        </w:rPr>
        <w:t>-ConfigMulticast</w:t>
      </w:r>
      <w:r w:rsidR="005405DB" w:rsidRPr="00497077">
        <w:t xml:space="preserve"> for DCI formats with CRC scrambled by G-RNTI or G-CS-RNTI</w:t>
      </w:r>
      <w:r>
        <w:t xml:space="preserve">, with cardinality of </w:t>
      </w:r>
      <m:oMath>
        <m:sSub>
          <m:sSubPr>
            <m:ctrlPr>
              <w:rPr>
                <w:rFonts w:ascii="Cambria Math" w:hAnsi="Cambria Math" w:cstheme="majorBidi"/>
                <w:i/>
              </w:rPr>
            </m:ctrlPr>
          </m:sSubPr>
          <m:e>
            <m:r>
              <w:rPr>
                <w:rFonts w:ascii="Cambria Math" w:hAnsi="Cambria Math" w:cstheme="majorBidi"/>
              </w:rPr>
              <m:t>I</m:t>
            </m:r>
          </m:e>
          <m:sub>
            <m:r>
              <m:rPr>
                <m:sty m:val="p"/>
              </m:rPr>
              <w:rPr>
                <w:rFonts w:ascii="Cambria Math" w:hAnsi="Cambria Math" w:cstheme="majorBidi"/>
              </w:rPr>
              <m:t>css</m:t>
            </m:r>
          </m:sub>
        </m:sSub>
      </m:oMath>
      <w:r>
        <w:t xml:space="preserve"> and by </w:t>
      </w:r>
      <m:oMath>
        <m:sSub>
          <m:sSubPr>
            <m:ctrlPr>
              <w:rPr>
                <w:rFonts w:ascii="Cambria Math" w:hAnsi="Cambria Math" w:cstheme="majorBidi"/>
                <w:i/>
              </w:rPr>
            </m:ctrlPr>
          </m:sSubPr>
          <m:e>
            <m:r>
              <w:rPr>
                <w:rFonts w:ascii="Cambria Math" w:hAnsi="Cambria Math" w:cstheme="majorBidi"/>
              </w:rPr>
              <m:t>S</m:t>
            </m:r>
          </m:e>
          <m:sub>
            <m:r>
              <m:rPr>
                <m:sty m:val="p"/>
              </m:rPr>
              <w:rPr>
                <w:rFonts w:ascii="Cambria Math" w:hAnsi="Cambria Math" w:cstheme="majorBidi"/>
              </w:rPr>
              <m:t>uss</m:t>
            </m:r>
          </m:sub>
        </m:sSub>
      </m:oMath>
      <w:r>
        <w:t xml:space="preserve"> a set of USS sets and CSS sets provided </w:t>
      </w:r>
      <w:r w:rsidR="00025621" w:rsidRPr="0088027F">
        <w:t xml:space="preserve">by </w:t>
      </w:r>
      <w:r w:rsidR="005405DB" w:rsidRPr="00497077">
        <w:rPr>
          <w:i/>
          <w:iCs/>
        </w:rPr>
        <w:t>searchSpaceMCCH</w:t>
      </w:r>
      <w:r w:rsidR="005405DB" w:rsidRPr="00497077">
        <w:t xml:space="preserve">, </w:t>
      </w:r>
      <w:r w:rsidR="005405DB" w:rsidRPr="00497077">
        <w:rPr>
          <w:i/>
          <w:iCs/>
        </w:rPr>
        <w:t>searchSpaceMTCH</w:t>
      </w:r>
      <w:r w:rsidR="00025621" w:rsidRPr="0088027F">
        <w:t xml:space="preserve"> or </w:t>
      </w:r>
      <w:r>
        <w:t xml:space="preserve">by </w:t>
      </w:r>
      <w:r w:rsidR="005405DB" w:rsidRPr="00497077">
        <w:rPr>
          <w:i/>
          <w:iCs/>
          <w:lang w:eastAsia="zh-CN"/>
        </w:rPr>
        <w:t>SearchSpace</w:t>
      </w:r>
      <w:r w:rsidR="005405DB" w:rsidRPr="00497077">
        <w:rPr>
          <w:lang w:eastAsia="zh-CN"/>
        </w:rPr>
        <w:t xml:space="preserve"> in </w:t>
      </w:r>
      <w:r w:rsidR="00BD022F">
        <w:rPr>
          <w:i/>
          <w:iCs/>
          <w:lang w:eastAsia="zh-CN"/>
        </w:rPr>
        <w:t>pdcch</w:t>
      </w:r>
      <w:r w:rsidR="005405DB" w:rsidRPr="00497077">
        <w:rPr>
          <w:i/>
          <w:iCs/>
          <w:lang w:eastAsia="zh-CN"/>
        </w:rPr>
        <w:t>-ConfigMulticast</w:t>
      </w:r>
      <w:r w:rsidR="005405DB" w:rsidRPr="00497077">
        <w:t xml:space="preserve"> for DCI formats with CRC scrambled by G-RNTI or G-CS-RNTI</w:t>
      </w:r>
      <w:r>
        <w:t xml:space="preserve"> with cardinality of </w:t>
      </w:r>
      <m:oMath>
        <m:sSub>
          <m:sSubPr>
            <m:ctrlPr>
              <w:rPr>
                <w:rFonts w:ascii="Cambria Math" w:hAnsi="Cambria Math" w:cstheme="majorBidi"/>
                <w:i/>
              </w:rPr>
            </m:ctrlPr>
          </m:sSubPr>
          <m:e>
            <m:r>
              <w:rPr>
                <w:rFonts w:ascii="Cambria Math" w:hAnsi="Cambria Math" w:cstheme="majorBidi"/>
              </w:rPr>
              <m:t>J</m:t>
            </m:r>
          </m:e>
          <m:sub>
            <m:r>
              <m:rPr>
                <m:sty m:val="p"/>
              </m:rPr>
              <w:rPr>
                <w:rFonts w:ascii="Cambria Math" w:hAnsi="Cambria Math" w:cstheme="majorBidi"/>
              </w:rPr>
              <m:t>uss</m:t>
            </m:r>
          </m:sub>
        </m:sSub>
      </m:oMath>
      <w:r w:rsidR="00025621" w:rsidRPr="0088027F">
        <w:t xml:space="preserve"> for scheduling on the primary cell</w:t>
      </w:r>
      <w:r>
        <w:t xml:space="preserve">. The location of search space sets </w:t>
      </w:r>
      <m:oMath>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j</m:t>
            </m:r>
          </m:sub>
        </m:sSub>
      </m:oMath>
      <w:r>
        <w:t xml:space="preserve">, </w:t>
      </w:r>
      <m:oMath>
        <m:r>
          <w:rPr>
            <w:rFonts w:ascii="Cambria Math" w:hAnsi="Cambria Math"/>
          </w:rPr>
          <m:t>0≤j&lt;</m:t>
        </m:r>
        <m:sSub>
          <m:sSubPr>
            <m:ctrlPr>
              <w:rPr>
                <w:rFonts w:ascii="Cambria Math" w:hAnsi="Cambria Math"/>
                <w:i/>
              </w:rPr>
            </m:ctrlPr>
          </m:sSubPr>
          <m:e>
            <m:r>
              <w:rPr>
                <w:rFonts w:ascii="Cambria Math" w:hAnsi="Cambria Math"/>
              </w:rPr>
              <m:t>J</m:t>
            </m:r>
          </m:e>
          <m:sub>
            <m:r>
              <w:rPr>
                <w:rFonts w:ascii="Cambria Math" w:hAnsi="Cambria Math"/>
              </w:rPr>
              <m:t>uss</m:t>
            </m:r>
          </m:sub>
        </m:sSub>
      </m:oMath>
      <w:r>
        <w:t xml:space="preserve">, in </w:t>
      </w:r>
      <m:oMath>
        <m:sSub>
          <m:sSubPr>
            <m:ctrlPr>
              <w:rPr>
                <w:rFonts w:ascii="Cambria Math" w:hAnsi="Cambria Math" w:cstheme="majorBidi"/>
                <w:i/>
              </w:rPr>
            </m:ctrlPr>
          </m:sSubPr>
          <m:e>
            <m:r>
              <w:rPr>
                <w:rFonts w:ascii="Cambria Math" w:hAnsi="Cambria Math" w:cstheme="majorBidi"/>
              </w:rPr>
              <m:t>S</m:t>
            </m:r>
          </m:e>
          <m:sub>
            <m:r>
              <m:rPr>
                <m:sty m:val="p"/>
              </m:rPr>
              <w:rPr>
                <w:rFonts w:ascii="Cambria Math" w:hAnsi="Cambria Math" w:cstheme="majorBidi"/>
              </w:rPr>
              <m:t>uss</m:t>
            </m:r>
          </m:sub>
        </m:sSub>
      </m:oMath>
      <w:r>
        <w:t xml:space="preserve"> is according to an ascending order of the search space set index.</w:t>
      </w:r>
    </w:p>
    <w:p w14:paraId="202EDC64" w14:textId="1CE4A277" w:rsidR="00E3283C" w:rsidRDefault="00E3283C" w:rsidP="00E3283C">
      <w:r>
        <w:t xml:space="preserve">Denote by </w:t>
      </w:r>
      <m:oMath>
        <m:sSubSup>
          <m:sSubSupPr>
            <m:ctrlPr>
              <w:rPr>
                <w:rFonts w:ascii="Cambria Math" w:hAnsi="Cambria Math" w:cstheme="majorBidi"/>
                <w:i/>
              </w:rPr>
            </m:ctrlPr>
          </m:sSubSupPr>
          <m:e>
            <m:r>
              <w:rPr>
                <w:rFonts w:ascii="Cambria Math" w:hAnsi="Cambria Math" w:cstheme="majorBidi"/>
              </w:rPr>
              <m:t>M</m:t>
            </m:r>
          </m:e>
          <m:sub>
            <m:sSub>
              <m:sSubPr>
                <m:ctrlPr>
                  <w:rPr>
                    <w:rFonts w:ascii="Cambria Math" w:hAnsi="Cambria Math" w:cstheme="majorBidi"/>
                    <w:i/>
                  </w:rPr>
                </m:ctrlPr>
              </m:sSubPr>
              <m:e>
                <m:r>
                  <w:rPr>
                    <w:rFonts w:ascii="Cambria Math" w:hAnsi="Cambria Math" w:cstheme="majorBidi"/>
                  </w:rPr>
                  <m:t>S</m:t>
                </m:r>
              </m:e>
              <m:sub>
                <m:r>
                  <m:rPr>
                    <m:sty m:val="p"/>
                  </m:rPr>
                  <w:rPr>
                    <w:rFonts w:ascii="Cambria Math" w:hAnsi="Cambria Math" w:cstheme="majorBidi"/>
                  </w:rPr>
                  <m:t>css</m:t>
                </m:r>
              </m:sub>
            </m:sSub>
            <m:r>
              <w:rPr>
                <w:rFonts w:ascii="Cambria Math" w:hAnsi="Cambria Math" w:cstheme="majorBidi"/>
              </w:rPr>
              <m:t>(i)</m:t>
            </m:r>
          </m:sub>
          <m:sup>
            <m:r>
              <w:rPr>
                <w:rFonts w:ascii="Cambria Math" w:hAnsi="Cambria Math" w:cstheme="majorBidi"/>
              </w:rPr>
              <m:t>(L)</m:t>
            </m:r>
          </m:sup>
        </m:sSubSup>
      </m:oMath>
      <w:r>
        <w:t xml:space="preserve">, </w:t>
      </w:r>
      <m:oMath>
        <m:r>
          <w:rPr>
            <w:rFonts w:ascii="Cambria Math" w:hAnsi="Cambria Math"/>
          </w:rPr>
          <m:t>0≤i&lt;</m:t>
        </m:r>
        <m:sSub>
          <m:sSubPr>
            <m:ctrlPr>
              <w:rPr>
                <w:rFonts w:ascii="Cambria Math" w:hAnsi="Cambria Math"/>
                <w:i/>
              </w:rPr>
            </m:ctrlPr>
          </m:sSubPr>
          <m:e>
            <m:r>
              <w:rPr>
                <w:rFonts w:ascii="Cambria Math" w:hAnsi="Cambria Math"/>
              </w:rPr>
              <m:t>I</m:t>
            </m:r>
          </m:e>
          <m:sub>
            <m:r>
              <w:rPr>
                <w:rFonts w:ascii="Cambria Math" w:hAnsi="Cambria Math"/>
              </w:rPr>
              <m:t>css</m:t>
            </m:r>
          </m:sub>
        </m:sSub>
      </m:oMath>
      <w:r>
        <w:t xml:space="preserve">, the number of counted PDCCH candidates for monitoring for CSS set </w:t>
      </w:r>
      <m:oMath>
        <m:sSub>
          <m:sSubPr>
            <m:ctrlPr>
              <w:rPr>
                <w:rFonts w:ascii="Cambria Math" w:hAnsi="Cambria Math" w:cstheme="majorBidi"/>
                <w:i/>
              </w:rPr>
            </m:ctrlPr>
          </m:sSubPr>
          <m:e>
            <m:r>
              <w:rPr>
                <w:rFonts w:ascii="Cambria Math" w:hAnsi="Cambria Math" w:cstheme="majorBidi"/>
              </w:rPr>
              <m:t>S</m:t>
            </m:r>
          </m:e>
          <m:sub>
            <m:r>
              <m:rPr>
                <m:sty m:val="p"/>
              </m:rPr>
              <w:rPr>
                <w:rFonts w:ascii="Cambria Math" w:hAnsi="Cambria Math" w:cstheme="majorBidi"/>
              </w:rPr>
              <m:t>css</m:t>
            </m:r>
          </m:sub>
        </m:sSub>
        <m:r>
          <w:rPr>
            <w:rFonts w:ascii="Cambria Math" w:hAnsi="Cambria Math" w:cstheme="majorBidi"/>
          </w:rPr>
          <m:t>(i)</m:t>
        </m:r>
      </m:oMath>
      <w:r>
        <w:t xml:space="preserve"> and by </w:t>
      </w:r>
      <m:oMath>
        <m:sSubSup>
          <m:sSubSupPr>
            <m:ctrlPr>
              <w:rPr>
                <w:rFonts w:ascii="Cambria Math" w:hAnsi="Cambria Math" w:cstheme="majorBidi"/>
                <w:i/>
              </w:rPr>
            </m:ctrlPr>
          </m:sSubSupPr>
          <m:e>
            <m:r>
              <w:rPr>
                <w:rFonts w:ascii="Cambria Math" w:hAnsi="Cambria Math" w:cstheme="majorBidi"/>
              </w:rPr>
              <m:t>M</m:t>
            </m:r>
          </m:e>
          <m:sub>
            <m:sSub>
              <m:sSubPr>
                <m:ctrlPr>
                  <w:rPr>
                    <w:rFonts w:ascii="Cambria Math" w:hAnsi="Cambria Math" w:cstheme="majorBidi"/>
                    <w:i/>
                  </w:rPr>
                </m:ctrlPr>
              </m:sSubPr>
              <m:e>
                <m:r>
                  <w:rPr>
                    <w:rFonts w:ascii="Cambria Math" w:hAnsi="Cambria Math" w:cstheme="majorBidi"/>
                  </w:rPr>
                  <m:t>S</m:t>
                </m:r>
              </m:e>
              <m:sub>
                <m:r>
                  <m:rPr>
                    <m:sty m:val="p"/>
                  </m:rPr>
                  <w:rPr>
                    <w:rFonts w:ascii="Cambria Math" w:hAnsi="Cambria Math" w:cstheme="majorBidi"/>
                  </w:rPr>
                  <m:t>uss</m:t>
                </m:r>
              </m:sub>
            </m:sSub>
            <m:r>
              <w:rPr>
                <w:rFonts w:ascii="Cambria Math" w:hAnsi="Cambria Math" w:cstheme="majorBidi"/>
              </w:rPr>
              <m:t>(j)</m:t>
            </m:r>
          </m:sub>
          <m:sup>
            <m:r>
              <w:rPr>
                <w:rFonts w:ascii="Cambria Math" w:hAnsi="Cambria Math" w:cstheme="majorBidi"/>
              </w:rPr>
              <m:t>(L)</m:t>
            </m:r>
          </m:sup>
        </m:sSubSup>
      </m:oMath>
      <w:r>
        <w:t xml:space="preserve">, </w:t>
      </w:r>
      <m:oMath>
        <m:r>
          <w:rPr>
            <w:rFonts w:ascii="Cambria Math" w:hAnsi="Cambria Math"/>
          </w:rPr>
          <m:t>0≤j&lt;</m:t>
        </m:r>
        <m:sSub>
          <m:sSubPr>
            <m:ctrlPr>
              <w:rPr>
                <w:rFonts w:ascii="Cambria Math" w:hAnsi="Cambria Math"/>
                <w:i/>
              </w:rPr>
            </m:ctrlPr>
          </m:sSubPr>
          <m:e>
            <m:r>
              <w:rPr>
                <w:rFonts w:ascii="Cambria Math" w:hAnsi="Cambria Math"/>
              </w:rPr>
              <m:t>J</m:t>
            </m:r>
          </m:e>
          <m:sub>
            <m:r>
              <w:rPr>
                <w:rFonts w:ascii="Cambria Math" w:hAnsi="Cambria Math"/>
              </w:rPr>
              <m:t>uss</m:t>
            </m:r>
          </m:sub>
        </m:sSub>
      </m:oMath>
      <w:r>
        <w:t xml:space="preserve">, the number of counted PDCCH candidates for monitoring for search space set </w:t>
      </w:r>
      <m:oMath>
        <m:sSub>
          <m:sSubPr>
            <m:ctrlPr>
              <w:rPr>
                <w:rFonts w:ascii="Cambria Math" w:hAnsi="Cambria Math" w:cstheme="majorBidi"/>
                <w:i/>
              </w:rPr>
            </m:ctrlPr>
          </m:sSubPr>
          <m:e>
            <m:r>
              <w:rPr>
                <w:rFonts w:ascii="Cambria Math" w:hAnsi="Cambria Math" w:cstheme="majorBidi"/>
              </w:rPr>
              <m:t>S</m:t>
            </m:r>
          </m:e>
          <m:sub>
            <m:r>
              <m:rPr>
                <m:sty m:val="p"/>
              </m:rPr>
              <w:rPr>
                <w:rFonts w:ascii="Cambria Math" w:hAnsi="Cambria Math" w:cstheme="majorBidi"/>
              </w:rPr>
              <m:t>uss</m:t>
            </m:r>
          </m:sub>
        </m:sSub>
        <m:r>
          <w:rPr>
            <w:rFonts w:ascii="Cambria Math" w:hAnsi="Cambria Math" w:cstheme="majorBidi"/>
          </w:rPr>
          <m:t>(j)</m:t>
        </m:r>
      </m:oMath>
      <w:r>
        <w:t xml:space="preserve">. </w:t>
      </w:r>
      <w:r>
        <w:rPr>
          <w:lang w:val="en-US"/>
        </w:rPr>
        <w:t xml:space="preserve">If a UE indicates </w:t>
      </w:r>
      <w:r w:rsidR="00DA1AB5" w:rsidRPr="00643737">
        <w:rPr>
          <w:i/>
          <w:iCs/>
        </w:rPr>
        <w:t>numBD-twoPDCCH-r17</w:t>
      </w:r>
      <w:r w:rsidR="00DA1AB5">
        <w:t xml:space="preserve"> with</w:t>
      </w:r>
      <w:r w:rsidR="00DA1AB5" w:rsidRPr="00643737">
        <w:t xml:space="preserve"> value </w:t>
      </w:r>
      <w:r w:rsidR="00DA1AB5">
        <w:t xml:space="preserve">of </w:t>
      </w:r>
      <w:r w:rsidR="00DA1AB5" w:rsidRPr="00643737">
        <w:t>3</w:t>
      </w:r>
      <w:r>
        <w:rPr>
          <w:lang w:val="en-US"/>
        </w:rPr>
        <w:t xml:space="preserve"> and is provided</w:t>
      </w:r>
      <w:r>
        <w:rPr>
          <w:iCs/>
          <w:lang w:val="en-US"/>
        </w:rPr>
        <w:t xml:space="preserve"> </w:t>
      </w:r>
      <w:r w:rsidR="00E84B3D">
        <w:rPr>
          <w:i/>
          <w:lang w:val="en-US"/>
        </w:rPr>
        <w:t>searchSpaceLinkingId</w:t>
      </w:r>
      <w:r w:rsidR="00E84B3D">
        <w:rPr>
          <w:iCs/>
          <w:lang w:val="en-US"/>
        </w:rPr>
        <w:t xml:space="preserve"> with same value </w:t>
      </w:r>
      <w:r>
        <w:rPr>
          <w:iCs/>
          <w:lang w:val="en-US"/>
        </w:rPr>
        <w:t>for search space set</w:t>
      </w:r>
      <w:r w:rsidR="00E84B3D">
        <w:rPr>
          <w:iCs/>
          <w:lang w:val="en-US"/>
        </w:rPr>
        <w:t>s</w:t>
      </w:r>
      <w:r>
        <w:rPr>
          <w:iCs/>
          <w:lang w:val="en-US"/>
        </w:rPr>
        <w:t xml:space="preserve"> </w:t>
      </w:r>
      <m:oMath>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j</m:t>
            </m:r>
          </m:sub>
        </m:sSub>
      </m:oMath>
      <w:r w:rsidR="00E84B3D">
        <w:rPr>
          <w:iCs/>
        </w:rPr>
        <w:t xml:space="preserve"> and</w:t>
      </w:r>
      <w:r>
        <w:rPr>
          <w:iCs/>
        </w:rPr>
        <w:t xml:space="preserve"> </w:t>
      </w:r>
      <m:oMath>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i</m:t>
            </m:r>
          </m:sub>
        </m:sSub>
      </m:oMath>
      <w:r w:rsidR="00E84B3D">
        <w:t>,</w:t>
      </w:r>
      <w:r>
        <w:rPr>
          <w:lang w:val="en-US"/>
        </w:rPr>
        <w:t xml:space="preserve"> with </w:t>
      </w:r>
      <m:oMath>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i</m:t>
            </m:r>
          </m:sub>
        </m:sSub>
        <m:r>
          <w:rPr>
            <w:rFonts w:ascii="Cambria Math" w:hAnsi="Cambria Math" w:cstheme="majorBidi"/>
          </w:rPr>
          <m:t>&lt;</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j</m:t>
            </m:r>
          </m:sub>
        </m:sSub>
      </m:oMath>
      <w:r>
        <w:t xml:space="preserve">, set </w:t>
      </w:r>
      <m:oMath>
        <m:sSubSup>
          <m:sSubSupPr>
            <m:ctrlPr>
              <w:rPr>
                <w:rFonts w:ascii="Cambria Math" w:hAnsi="Cambria Math" w:cstheme="majorBidi"/>
                <w:i/>
              </w:rPr>
            </m:ctrlPr>
          </m:sSubSupPr>
          <m:e>
            <m:r>
              <w:rPr>
                <w:rFonts w:ascii="Cambria Math" w:hAnsi="Cambria Math" w:cstheme="majorBidi"/>
              </w:rPr>
              <m:t>M</m:t>
            </m:r>
          </m:e>
          <m:sub>
            <m:sSub>
              <m:sSubPr>
                <m:ctrlPr>
                  <w:rPr>
                    <w:rFonts w:ascii="Cambria Math" w:hAnsi="Cambria Math" w:cstheme="majorBidi"/>
                    <w:i/>
                  </w:rPr>
                </m:ctrlPr>
              </m:sSubPr>
              <m:e>
                <m:r>
                  <w:rPr>
                    <w:rFonts w:ascii="Cambria Math" w:hAnsi="Cambria Math" w:cstheme="majorBidi"/>
                  </w:rPr>
                  <m:t>S</m:t>
                </m:r>
              </m:e>
              <m:sub>
                <m:r>
                  <m:rPr>
                    <m:sty m:val="p"/>
                  </m:rPr>
                  <w:rPr>
                    <w:rFonts w:ascii="Cambria Math" w:hAnsi="Cambria Math" w:cstheme="majorBidi"/>
                  </w:rPr>
                  <m:t>css</m:t>
                </m:r>
              </m:sub>
            </m:sSub>
            <m:r>
              <w:rPr>
                <w:rFonts w:ascii="Cambria Math" w:hAnsi="Cambria Math" w:cstheme="majorBidi"/>
              </w:rPr>
              <m:t>(j)</m:t>
            </m:r>
          </m:sub>
          <m:sup>
            <m:r>
              <w:rPr>
                <w:rFonts w:ascii="Cambria Math" w:hAnsi="Cambria Math" w:cstheme="majorBidi"/>
              </w:rPr>
              <m:t>(L)</m:t>
            </m:r>
          </m:sup>
        </m:sSubSup>
        <m:r>
          <w:rPr>
            <w:rFonts w:ascii="Cambria Math" w:hAnsi="Cambria Math" w:cstheme="majorBidi"/>
          </w:rPr>
          <m:t>=2</m:t>
        </m:r>
        <m:sSubSup>
          <m:sSubSupPr>
            <m:ctrlPr>
              <w:rPr>
                <w:rFonts w:ascii="Cambria Math" w:hAnsi="Cambria Math" w:cstheme="majorBidi"/>
                <w:i/>
              </w:rPr>
            </m:ctrlPr>
          </m:sSubSupPr>
          <m:e>
            <m:r>
              <w:rPr>
                <w:rFonts w:ascii="Cambria Math" w:hAnsi="Cambria Math"/>
              </w:rPr>
              <m:t>∙</m:t>
            </m:r>
            <m:r>
              <w:rPr>
                <w:rFonts w:ascii="Cambria Math" w:hAnsi="Cambria Math" w:cstheme="majorBidi"/>
              </w:rPr>
              <m:t>M</m:t>
            </m:r>
          </m:e>
          <m:sub>
            <m:sSub>
              <m:sSubPr>
                <m:ctrlPr>
                  <w:rPr>
                    <w:rFonts w:ascii="Cambria Math" w:hAnsi="Cambria Math" w:cstheme="majorBidi"/>
                    <w:i/>
                  </w:rPr>
                </m:ctrlPr>
              </m:sSubPr>
              <m:e>
                <m:r>
                  <w:rPr>
                    <w:rFonts w:ascii="Cambria Math" w:hAnsi="Cambria Math" w:cstheme="majorBidi"/>
                  </w:rPr>
                  <m:t>S</m:t>
                </m:r>
              </m:e>
              <m:sub>
                <m:r>
                  <m:rPr>
                    <m:sty m:val="p"/>
                  </m:rPr>
                  <w:rPr>
                    <w:rFonts w:ascii="Cambria Math" w:hAnsi="Cambria Math" w:cstheme="majorBidi"/>
                  </w:rPr>
                  <m:t>css</m:t>
                </m:r>
              </m:sub>
            </m:sSub>
            <m:r>
              <w:rPr>
                <w:rFonts w:ascii="Cambria Math" w:hAnsi="Cambria Math" w:cstheme="majorBidi"/>
              </w:rPr>
              <m:t>(j)</m:t>
            </m:r>
          </m:sub>
          <m:sup>
            <m:r>
              <w:rPr>
                <w:rFonts w:ascii="Cambria Math" w:hAnsi="Cambria Math" w:cstheme="majorBidi"/>
              </w:rPr>
              <m:t>(L)</m:t>
            </m:r>
          </m:sup>
        </m:sSubSup>
      </m:oMath>
      <w:r>
        <w:t xml:space="preserve"> if </w:t>
      </w:r>
      <m:oMath>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i</m:t>
            </m:r>
          </m:sub>
        </m:sSub>
      </m:oMath>
      <w:r>
        <w:t xml:space="preserve"> and </w:t>
      </w:r>
      <m:oMath>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j</m:t>
            </m:r>
          </m:sub>
        </m:sSub>
      </m:oMath>
      <w:r>
        <w:t xml:space="preserve"> are CSS sets or set </w:t>
      </w:r>
      <m:oMath>
        <m:sSubSup>
          <m:sSubSupPr>
            <m:ctrlPr>
              <w:rPr>
                <w:rFonts w:ascii="Cambria Math" w:hAnsi="Cambria Math" w:cstheme="majorBidi"/>
                <w:i/>
              </w:rPr>
            </m:ctrlPr>
          </m:sSubSupPr>
          <m:e>
            <m:r>
              <w:rPr>
                <w:rFonts w:ascii="Cambria Math" w:hAnsi="Cambria Math" w:cstheme="majorBidi"/>
              </w:rPr>
              <m:t>M</m:t>
            </m:r>
          </m:e>
          <m:sub>
            <m:sSub>
              <m:sSubPr>
                <m:ctrlPr>
                  <w:rPr>
                    <w:rFonts w:ascii="Cambria Math" w:hAnsi="Cambria Math" w:cstheme="majorBidi"/>
                    <w:i/>
                  </w:rPr>
                </m:ctrlPr>
              </m:sSubPr>
              <m:e>
                <m:r>
                  <w:rPr>
                    <w:rFonts w:ascii="Cambria Math" w:hAnsi="Cambria Math" w:cstheme="majorBidi"/>
                  </w:rPr>
                  <m:t>S</m:t>
                </m:r>
              </m:e>
              <m:sub>
                <m:r>
                  <m:rPr>
                    <m:sty m:val="p"/>
                  </m:rPr>
                  <w:rPr>
                    <w:rFonts w:ascii="Cambria Math" w:hAnsi="Cambria Math" w:cstheme="majorBidi"/>
                  </w:rPr>
                  <m:t>uss</m:t>
                </m:r>
              </m:sub>
            </m:sSub>
            <m:r>
              <w:rPr>
                <w:rFonts w:ascii="Cambria Math" w:hAnsi="Cambria Math" w:cstheme="majorBidi"/>
              </w:rPr>
              <m:t>(j)</m:t>
            </m:r>
          </m:sub>
          <m:sup>
            <m:r>
              <w:rPr>
                <w:rFonts w:ascii="Cambria Math" w:hAnsi="Cambria Math" w:cstheme="majorBidi"/>
              </w:rPr>
              <m:t>(L)</m:t>
            </m:r>
          </m:sup>
        </m:sSubSup>
        <m:r>
          <w:rPr>
            <w:rFonts w:ascii="Cambria Math" w:hAnsi="Cambria Math" w:cstheme="majorBidi"/>
          </w:rPr>
          <m:t>=2</m:t>
        </m:r>
        <m:r>
          <w:rPr>
            <w:rFonts w:ascii="Cambria Math" w:hAnsi="Cambria Math"/>
          </w:rPr>
          <m:t>∙</m:t>
        </m:r>
        <m:sSubSup>
          <m:sSubSupPr>
            <m:ctrlPr>
              <w:rPr>
                <w:rFonts w:ascii="Cambria Math" w:hAnsi="Cambria Math" w:cstheme="majorBidi"/>
                <w:i/>
              </w:rPr>
            </m:ctrlPr>
          </m:sSubSupPr>
          <m:e>
            <m:r>
              <w:rPr>
                <w:rFonts w:ascii="Cambria Math" w:hAnsi="Cambria Math" w:cstheme="majorBidi"/>
              </w:rPr>
              <m:t>M</m:t>
            </m:r>
          </m:e>
          <m:sub>
            <m:sSub>
              <m:sSubPr>
                <m:ctrlPr>
                  <w:rPr>
                    <w:rFonts w:ascii="Cambria Math" w:hAnsi="Cambria Math" w:cstheme="majorBidi"/>
                    <w:i/>
                  </w:rPr>
                </m:ctrlPr>
              </m:sSubPr>
              <m:e>
                <m:r>
                  <w:rPr>
                    <w:rFonts w:ascii="Cambria Math" w:hAnsi="Cambria Math" w:cstheme="majorBidi"/>
                  </w:rPr>
                  <m:t>S</m:t>
                </m:r>
              </m:e>
              <m:sub>
                <m:r>
                  <m:rPr>
                    <m:sty m:val="p"/>
                  </m:rPr>
                  <w:rPr>
                    <w:rFonts w:ascii="Cambria Math" w:hAnsi="Cambria Math" w:cstheme="majorBidi"/>
                  </w:rPr>
                  <m:t>uss</m:t>
                </m:r>
              </m:sub>
            </m:sSub>
            <m:r>
              <w:rPr>
                <w:rFonts w:ascii="Cambria Math" w:hAnsi="Cambria Math" w:cstheme="majorBidi"/>
              </w:rPr>
              <m:t>(j)</m:t>
            </m:r>
          </m:sub>
          <m:sup>
            <m:r>
              <w:rPr>
                <w:rFonts w:ascii="Cambria Math" w:hAnsi="Cambria Math" w:cstheme="majorBidi"/>
              </w:rPr>
              <m:t>(L)</m:t>
            </m:r>
          </m:sup>
        </m:sSubSup>
      </m:oMath>
      <w:r>
        <w:t xml:space="preserve"> if </w:t>
      </w:r>
      <m:oMath>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i</m:t>
            </m:r>
          </m:sub>
        </m:sSub>
      </m:oMath>
      <w:r>
        <w:t xml:space="preserve"> and </w:t>
      </w:r>
      <m:oMath>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j</m:t>
            </m:r>
          </m:sub>
        </m:sSub>
      </m:oMath>
      <w:r>
        <w:t xml:space="preserve"> are USS sets.</w:t>
      </w:r>
    </w:p>
    <w:p w14:paraId="40C99A9B" w14:textId="77777777" w:rsidR="00E3283C" w:rsidRDefault="00E3283C" w:rsidP="00E3283C">
      <w:r>
        <w:t xml:space="preserve">For the CSS sets in </w:t>
      </w:r>
      <m:oMath>
        <m:sSub>
          <m:sSubPr>
            <m:ctrlPr>
              <w:rPr>
                <w:rFonts w:ascii="Cambria Math" w:hAnsi="Cambria Math"/>
                <w:i/>
              </w:rPr>
            </m:ctrlPr>
          </m:sSubPr>
          <m:e>
            <m:r>
              <w:rPr>
                <w:rFonts w:ascii="Cambria Math" w:hAnsi="Cambria Math"/>
              </w:rPr>
              <m:t>S</m:t>
            </m:r>
          </m:e>
          <m:sub>
            <m:r>
              <m:rPr>
                <m:sty m:val="p"/>
              </m:rPr>
              <w:rPr>
                <w:rFonts w:ascii="Cambria Math" w:hAnsi="Cambria Math"/>
              </w:rPr>
              <m:t>css</m:t>
            </m:r>
          </m:sub>
        </m:sSub>
      </m:oMath>
      <w:r>
        <w:t xml:space="preserve">, a UE monitors </w:t>
      </w:r>
      <m:oMath>
        <m:sSubSup>
          <m:sSubSupPr>
            <m:ctrlPr>
              <w:rPr>
                <w:rFonts w:ascii="Cambria Math" w:hAnsi="Cambria Math" w:cstheme="majorBidi"/>
                <w:i/>
              </w:rPr>
            </m:ctrlPr>
          </m:sSubSupPr>
          <m:e>
            <m:r>
              <w:rPr>
                <w:rFonts w:ascii="Cambria Math" w:hAnsi="Cambria Math" w:cstheme="majorBidi"/>
              </w:rPr>
              <m:t>M</m:t>
            </m:r>
          </m:e>
          <m:sub>
            <m:r>
              <m:rPr>
                <m:sty m:val="p"/>
              </m:rPr>
              <w:rPr>
                <w:rFonts w:ascii="Cambria Math" w:hAnsi="Cambria Math" w:cstheme="majorBidi"/>
              </w:rPr>
              <m:t>PDCCH</m:t>
            </m:r>
          </m:sub>
          <m:sup>
            <m:r>
              <m:rPr>
                <m:sty m:val="p"/>
              </m:rPr>
              <w:rPr>
                <w:rFonts w:ascii="Cambria Math" w:hAnsi="Cambria Math" w:cstheme="majorBidi"/>
              </w:rPr>
              <m:t>css</m:t>
            </m:r>
          </m:sup>
        </m:sSubSup>
        <m:r>
          <w:rPr>
            <w:rFonts w:ascii="Cambria Math" w:hAnsi="Cambria Math" w:cstheme="majorBidi"/>
          </w:rPr>
          <m:t>=</m:t>
        </m:r>
        <m:nary>
          <m:naryPr>
            <m:chr m:val="∑"/>
            <m:limLoc m:val="undOvr"/>
            <m:ctrlPr>
              <w:rPr>
                <w:rFonts w:ascii="Cambria Math" w:hAnsi="Cambria Math" w:cstheme="majorBidi"/>
                <w:i/>
              </w:rPr>
            </m:ctrlPr>
          </m:naryPr>
          <m:sub>
            <m:r>
              <w:rPr>
                <w:rFonts w:ascii="Cambria Math" w:hAnsi="Cambria Math" w:cstheme="majorBidi"/>
              </w:rPr>
              <m:t>i=0</m:t>
            </m:r>
          </m:sub>
          <m:sup>
            <m:sSub>
              <m:sSubPr>
                <m:ctrlPr>
                  <w:rPr>
                    <w:rFonts w:ascii="Cambria Math" w:hAnsi="Cambria Math" w:cstheme="majorBidi"/>
                    <w:i/>
                  </w:rPr>
                </m:ctrlPr>
              </m:sSubPr>
              <m:e>
                <m:r>
                  <w:rPr>
                    <w:rFonts w:ascii="Cambria Math" w:hAnsi="Cambria Math" w:cstheme="majorBidi"/>
                  </w:rPr>
                  <m:t>I</m:t>
                </m:r>
              </m:e>
              <m:sub>
                <m:r>
                  <m:rPr>
                    <m:sty m:val="p"/>
                  </m:rPr>
                  <w:rPr>
                    <w:rFonts w:ascii="Cambria Math" w:hAnsi="Cambria Math" w:cstheme="majorBidi"/>
                  </w:rPr>
                  <m:t>css</m:t>
                </m:r>
              </m:sub>
            </m:sSub>
            <m:r>
              <w:rPr>
                <w:rFonts w:ascii="Cambria Math" w:hAnsi="Cambria Math" w:cstheme="majorBidi"/>
              </w:rPr>
              <m:t>-1</m:t>
            </m:r>
          </m:sup>
          <m:e>
            <m:nary>
              <m:naryPr>
                <m:chr m:val="∑"/>
                <m:limLoc m:val="undOvr"/>
                <m:supHide m:val="1"/>
                <m:ctrlPr>
                  <w:rPr>
                    <w:rFonts w:ascii="Cambria Math" w:hAnsi="Cambria Math" w:cstheme="majorBidi"/>
                    <w:i/>
                  </w:rPr>
                </m:ctrlPr>
              </m:naryPr>
              <m:sub>
                <m:r>
                  <w:rPr>
                    <w:rFonts w:ascii="Cambria Math" w:hAnsi="Cambria Math" w:cstheme="majorBidi"/>
                  </w:rPr>
                  <m:t>L</m:t>
                </m:r>
              </m:sub>
              <m:sup/>
              <m:e>
                <m:sSubSup>
                  <m:sSubSupPr>
                    <m:ctrlPr>
                      <w:rPr>
                        <w:rFonts w:ascii="Cambria Math" w:hAnsi="Cambria Math" w:cstheme="majorBidi"/>
                        <w:i/>
                      </w:rPr>
                    </m:ctrlPr>
                  </m:sSubSupPr>
                  <m:e>
                    <m:r>
                      <w:rPr>
                        <w:rFonts w:ascii="Cambria Math" w:hAnsi="Cambria Math" w:cstheme="majorBidi"/>
                      </w:rPr>
                      <m:t>M</m:t>
                    </m:r>
                  </m:e>
                  <m:sub>
                    <m:sSub>
                      <m:sSubPr>
                        <m:ctrlPr>
                          <w:rPr>
                            <w:rFonts w:ascii="Cambria Math" w:hAnsi="Cambria Math" w:cstheme="majorBidi"/>
                            <w:i/>
                          </w:rPr>
                        </m:ctrlPr>
                      </m:sSubPr>
                      <m:e>
                        <m:r>
                          <w:rPr>
                            <w:rFonts w:ascii="Cambria Math" w:hAnsi="Cambria Math" w:cstheme="majorBidi"/>
                          </w:rPr>
                          <m:t>S</m:t>
                        </m:r>
                      </m:e>
                      <m:sub>
                        <m:r>
                          <m:rPr>
                            <m:sty m:val="p"/>
                          </m:rPr>
                          <w:rPr>
                            <w:rFonts w:ascii="Cambria Math" w:hAnsi="Cambria Math" w:cstheme="majorBidi"/>
                          </w:rPr>
                          <m:t>css</m:t>
                        </m:r>
                      </m:sub>
                    </m:sSub>
                    <m:r>
                      <w:rPr>
                        <w:rFonts w:ascii="Cambria Math" w:hAnsi="Cambria Math" w:cstheme="majorBidi"/>
                      </w:rPr>
                      <m:t>(i)</m:t>
                    </m:r>
                  </m:sub>
                  <m:sup>
                    <m:r>
                      <w:rPr>
                        <w:rFonts w:ascii="Cambria Math" w:hAnsi="Cambria Math" w:cstheme="majorBidi"/>
                      </w:rPr>
                      <m:t>(L)</m:t>
                    </m:r>
                  </m:sup>
                </m:sSubSup>
              </m:e>
            </m:nary>
          </m:e>
        </m:nary>
      </m:oMath>
      <w:r>
        <w:t xml:space="preserve"> PDCCH candidates requiring a total of </w:t>
      </w:r>
      <m:oMath>
        <m:sSubSup>
          <m:sSubSupPr>
            <m:ctrlPr>
              <w:rPr>
                <w:rFonts w:ascii="Cambria Math" w:hAnsi="Cambria Math" w:cstheme="majorBidi"/>
                <w:i/>
              </w:rPr>
            </m:ctrlPr>
          </m:sSubSupPr>
          <m:e>
            <m:r>
              <w:rPr>
                <w:rFonts w:ascii="Cambria Math" w:hAnsi="Cambria Math" w:cstheme="majorBidi"/>
              </w:rPr>
              <m:t>C</m:t>
            </m:r>
          </m:e>
          <m:sub>
            <m:r>
              <m:rPr>
                <m:sty m:val="p"/>
              </m:rPr>
              <w:rPr>
                <w:rFonts w:ascii="Cambria Math" w:hAnsi="Cambria Math" w:cstheme="majorBidi"/>
              </w:rPr>
              <m:t>PDCCH</m:t>
            </m:r>
          </m:sub>
          <m:sup>
            <m:r>
              <m:rPr>
                <m:sty m:val="p"/>
              </m:rPr>
              <w:rPr>
                <w:rFonts w:ascii="Cambria Math" w:hAnsi="Cambria Math" w:cstheme="majorBidi"/>
              </w:rPr>
              <m:t>css</m:t>
            </m:r>
          </m:sup>
        </m:sSubSup>
      </m:oMath>
      <w:r>
        <w:t xml:space="preserve"> non-overlapping CCEs in a slot, of in 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Pr>
          <w:lang w:eastAsia="zh-CN"/>
        </w:rPr>
        <w:t xml:space="preserve"> </w:t>
      </w:r>
      <w:r>
        <w:t xml:space="preserve">slots for a corresponding combination </w:t>
      </w:r>
      <m:oMath>
        <m:d>
          <m:dPr>
            <m:ctrlPr>
              <w:rPr>
                <w:rFonts w:ascii="Cambria Math" w:hAnsi="Cambria Math"/>
                <w:i/>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s</m:t>
                </m:r>
              </m:sub>
            </m:sSub>
          </m:e>
        </m:d>
      </m:oMath>
      <w:r>
        <w:rPr>
          <w:lang w:eastAsia="zh-CN"/>
        </w:rPr>
        <w:t>,</w:t>
      </w:r>
      <w:r>
        <w:t xml:space="preserve"> or in a span. </w:t>
      </w:r>
    </w:p>
    <w:p w14:paraId="4267B387" w14:textId="1A21A09C" w:rsidR="00A32336" w:rsidRPr="00D20E88" w:rsidRDefault="00A32336" w:rsidP="00A32336">
      <w:pPr>
        <w:rPr>
          <w:rFonts w:eastAsiaTheme="minorEastAsia"/>
        </w:rPr>
      </w:pPr>
      <w:r w:rsidRPr="00D20E88">
        <w:rPr>
          <w:rFonts w:eastAsiaTheme="minorEastAsia"/>
        </w:rPr>
        <w:t xml:space="preserve">Denote by </w:t>
      </w:r>
      <m:oMath>
        <m:sSub>
          <m:sSubPr>
            <m:ctrlPr>
              <w:rPr>
                <w:rFonts w:ascii="Cambria Math" w:hAnsi="Cambria Math" w:cs="Helvetica"/>
                <w:i/>
              </w:rPr>
            </m:ctrlPr>
          </m:sSubPr>
          <m:e>
            <m:r>
              <w:rPr>
                <w:rFonts w:ascii="Cambria Math" w:hAnsi="Cambria Math" w:cs="Helvetica"/>
              </w:rPr>
              <m:t>V</m:t>
            </m:r>
          </m:e>
          <m:sub>
            <m:r>
              <m:rPr>
                <m:sty m:val="p"/>
              </m:rPr>
              <w:rPr>
                <w:rFonts w:ascii="Cambria Math" w:hAnsi="Cambria Math" w:cs="Helvetica"/>
              </w:rPr>
              <m:t>CCE</m:t>
            </m:r>
          </m:sub>
        </m:sSub>
        <m:d>
          <m:dPr>
            <m:ctrlPr>
              <w:rPr>
                <w:rFonts w:ascii="Cambria Math" w:hAnsi="Cambria Math" w:cs="Helvetica"/>
                <w:i/>
              </w:rPr>
            </m:ctrlPr>
          </m:dPr>
          <m:e>
            <m:sSub>
              <m:sSubPr>
                <m:ctrlPr>
                  <w:rPr>
                    <w:rFonts w:ascii="Cambria Math" w:hAnsi="Cambria Math" w:cs="Helvetica"/>
                    <w:i/>
                  </w:rPr>
                </m:ctrlPr>
              </m:sSubPr>
              <m:e>
                <m:r>
                  <w:rPr>
                    <w:rFonts w:ascii="Cambria Math" w:hAnsi="Cambria Math" w:cs="Helvetica"/>
                  </w:rPr>
                  <m:t>S</m:t>
                </m:r>
              </m:e>
              <m:sub>
                <m:r>
                  <m:rPr>
                    <m:sty m:val="p"/>
                  </m:rPr>
                  <w:rPr>
                    <w:rFonts w:ascii="Cambria Math" w:hAnsi="Cambria Math" w:cs="Helvetica"/>
                  </w:rPr>
                  <m:t>uss</m:t>
                </m:r>
              </m:sub>
            </m:sSub>
            <m:r>
              <w:rPr>
                <w:rFonts w:ascii="Cambria Math" w:hAnsi="Cambria Math" w:cs="Helvetica"/>
              </w:rPr>
              <m:t>(j)</m:t>
            </m:r>
          </m:e>
        </m:d>
      </m:oMath>
      <w:r w:rsidRPr="00D20E88">
        <w:rPr>
          <w:rFonts w:cs="Arial"/>
          <w:lang w:eastAsia="zh-CN"/>
        </w:rPr>
        <w:t xml:space="preserve"> the set of non-overlapping CCEs for search space set </w:t>
      </w:r>
      <m:oMath>
        <m:sSub>
          <m:sSubPr>
            <m:ctrlPr>
              <w:rPr>
                <w:rFonts w:ascii="Cambria Math" w:hAnsi="Cambria Math" w:cstheme="majorBidi"/>
                <w:i/>
              </w:rPr>
            </m:ctrlPr>
          </m:sSubPr>
          <m:e>
            <m:r>
              <w:rPr>
                <w:rFonts w:ascii="Cambria Math" w:hAnsi="Cambria Math" w:cstheme="majorBidi"/>
              </w:rPr>
              <m:t>S</m:t>
            </m:r>
          </m:e>
          <m:sub>
            <m:r>
              <m:rPr>
                <m:sty m:val="p"/>
              </m:rPr>
              <w:rPr>
                <w:rFonts w:ascii="Cambria Math" w:hAnsi="Cambria Math" w:cstheme="majorBidi"/>
              </w:rPr>
              <m:t>uss</m:t>
            </m:r>
          </m:sub>
        </m:sSub>
        <m:r>
          <w:rPr>
            <w:rFonts w:ascii="Cambria Math" w:hAnsi="Cambria Math" w:cstheme="majorBidi"/>
          </w:rPr>
          <m:t>(j)</m:t>
        </m:r>
      </m:oMath>
      <w:r w:rsidRPr="00D20E88">
        <w:rPr>
          <w:rFonts w:cs="Arial"/>
          <w:lang w:eastAsia="zh-CN"/>
        </w:rPr>
        <w:t xml:space="preserve"> and by </w:t>
      </w:r>
      <m:oMath>
        <m:r>
          <m:rPr>
            <m:nor/>
          </m:rPr>
          <w:rPr>
            <w:rFonts w:ascii="Freestyle Script" w:hAnsi="Freestyle Script"/>
          </w:rPr>
          <m:t>C</m:t>
        </m:r>
        <m:d>
          <m:dPr>
            <m:ctrlPr>
              <w:rPr>
                <w:rFonts w:ascii="Cambria Math" w:hAnsi="Cambria Math" w:cs="Helvetica"/>
                <w:i/>
              </w:rPr>
            </m:ctrlPr>
          </m:dPr>
          <m:e>
            <m:sSub>
              <m:sSubPr>
                <m:ctrlPr>
                  <w:rPr>
                    <w:rFonts w:ascii="Cambria Math" w:hAnsi="Cambria Math" w:cs="Helvetica"/>
                    <w:i/>
                  </w:rPr>
                </m:ctrlPr>
              </m:sSubPr>
              <m:e>
                <m:r>
                  <w:rPr>
                    <w:rFonts w:ascii="Cambria Math" w:hAnsi="Cambria Math" w:cs="Helvetica"/>
                  </w:rPr>
                  <m:t>V</m:t>
                </m:r>
              </m:e>
              <m:sub>
                <m:r>
                  <m:rPr>
                    <m:sty m:val="p"/>
                  </m:rPr>
                  <w:rPr>
                    <w:rFonts w:ascii="Cambria Math" w:hAnsi="Cambria Math" w:cs="Helvetica"/>
                  </w:rPr>
                  <m:t>CCE</m:t>
                </m:r>
              </m:sub>
            </m:sSub>
            <m:d>
              <m:dPr>
                <m:ctrlPr>
                  <w:rPr>
                    <w:rFonts w:ascii="Cambria Math" w:hAnsi="Cambria Math" w:cs="Helvetica"/>
                    <w:i/>
                  </w:rPr>
                </m:ctrlPr>
              </m:dPr>
              <m:e>
                <m:sSub>
                  <m:sSubPr>
                    <m:ctrlPr>
                      <w:rPr>
                        <w:rFonts w:ascii="Cambria Math" w:hAnsi="Cambria Math" w:cs="Helvetica"/>
                        <w:i/>
                      </w:rPr>
                    </m:ctrlPr>
                  </m:sSubPr>
                  <m:e>
                    <m:r>
                      <w:rPr>
                        <w:rFonts w:ascii="Cambria Math" w:hAnsi="Cambria Math" w:cs="Helvetica"/>
                      </w:rPr>
                      <m:t>S</m:t>
                    </m:r>
                  </m:e>
                  <m:sub>
                    <m:r>
                      <m:rPr>
                        <m:sty m:val="p"/>
                      </m:rPr>
                      <w:rPr>
                        <w:rFonts w:ascii="Cambria Math" w:hAnsi="Cambria Math" w:cs="Helvetica"/>
                      </w:rPr>
                      <m:t>uss</m:t>
                    </m:r>
                  </m:sub>
                </m:sSub>
                <m:r>
                  <w:rPr>
                    <w:rFonts w:ascii="Cambria Math" w:hAnsi="Cambria Math" w:cs="Helvetica"/>
                  </w:rPr>
                  <m:t>(j)</m:t>
                </m:r>
              </m:e>
            </m:d>
          </m:e>
        </m:d>
      </m:oMath>
      <w:r w:rsidR="007E5DF5" w:rsidRPr="00F415B1">
        <w:t>;</w:t>
      </w:r>
      <w:r w:rsidRPr="00D20E88">
        <w:rPr>
          <w:rFonts w:cs="Arial"/>
          <w:lang w:eastAsia="zh-CN"/>
        </w:rPr>
        <w:t xml:space="preserve"> the cardinality of </w:t>
      </w:r>
      <m:oMath>
        <m:sSub>
          <m:sSubPr>
            <m:ctrlPr>
              <w:rPr>
                <w:rFonts w:ascii="Cambria Math" w:hAnsi="Cambria Math" w:cs="Helvetica"/>
                <w:i/>
              </w:rPr>
            </m:ctrlPr>
          </m:sSubPr>
          <m:e>
            <m:r>
              <w:rPr>
                <w:rFonts w:ascii="Cambria Math" w:hAnsi="Cambria Math" w:cs="Helvetica"/>
              </w:rPr>
              <m:t>V</m:t>
            </m:r>
          </m:e>
          <m:sub>
            <m:r>
              <m:rPr>
                <m:sty m:val="p"/>
              </m:rPr>
              <w:rPr>
                <w:rFonts w:ascii="Cambria Math" w:hAnsi="Cambria Math" w:cs="Helvetica"/>
              </w:rPr>
              <m:t>CCE</m:t>
            </m:r>
          </m:sub>
        </m:sSub>
        <m:d>
          <m:dPr>
            <m:ctrlPr>
              <w:rPr>
                <w:rFonts w:ascii="Cambria Math" w:hAnsi="Cambria Math" w:cs="Helvetica"/>
                <w:i/>
              </w:rPr>
            </m:ctrlPr>
          </m:dPr>
          <m:e>
            <m:sSub>
              <m:sSubPr>
                <m:ctrlPr>
                  <w:rPr>
                    <w:rFonts w:ascii="Cambria Math" w:hAnsi="Cambria Math" w:cs="Helvetica"/>
                    <w:i/>
                  </w:rPr>
                </m:ctrlPr>
              </m:sSubPr>
              <m:e>
                <m:r>
                  <w:rPr>
                    <w:rFonts w:ascii="Cambria Math" w:hAnsi="Cambria Math" w:cs="Helvetica"/>
                  </w:rPr>
                  <m:t>S</m:t>
                </m:r>
              </m:e>
              <m:sub>
                <m:r>
                  <m:rPr>
                    <m:sty m:val="p"/>
                  </m:rPr>
                  <w:rPr>
                    <w:rFonts w:ascii="Cambria Math" w:hAnsi="Cambria Math" w:cs="Helvetica"/>
                  </w:rPr>
                  <m:t>uss</m:t>
                </m:r>
              </m:sub>
            </m:sSub>
            <m:r>
              <w:rPr>
                <w:rFonts w:ascii="Cambria Math" w:hAnsi="Cambria Math" w:cs="Helvetica"/>
              </w:rPr>
              <m:t>(j)</m:t>
            </m:r>
          </m:e>
        </m:d>
      </m:oMath>
      <w:r w:rsidRPr="00D20E88">
        <w:rPr>
          <w:rFonts w:cs="Arial"/>
          <w:lang w:eastAsia="zh-CN"/>
        </w:rPr>
        <w:t xml:space="preserve"> where </w:t>
      </w:r>
      <w:r w:rsidR="007E5DF5" w:rsidRPr="00F415B1">
        <w:rPr>
          <w:rFonts w:cs="Arial"/>
          <w:lang w:eastAsia="zh-CN"/>
        </w:rPr>
        <w:t xml:space="preserve">a UE determines </w:t>
      </w:r>
      <w:r w:rsidRPr="00D20E88">
        <w:rPr>
          <w:rFonts w:cs="Arial"/>
          <w:lang w:eastAsia="zh-CN"/>
        </w:rPr>
        <w:t xml:space="preserve">the non-overlapping CCEs for search space set </w:t>
      </w:r>
      <m:oMath>
        <m:sSub>
          <m:sSubPr>
            <m:ctrlPr>
              <w:rPr>
                <w:rFonts w:ascii="Cambria Math" w:hAnsi="Cambria Math" w:cstheme="majorBidi"/>
                <w:i/>
              </w:rPr>
            </m:ctrlPr>
          </m:sSubPr>
          <m:e>
            <m:r>
              <w:rPr>
                <w:rFonts w:ascii="Cambria Math" w:hAnsi="Cambria Math" w:cstheme="majorBidi"/>
              </w:rPr>
              <m:t>S</m:t>
            </m:r>
          </m:e>
          <m:sub>
            <m:r>
              <m:rPr>
                <m:sty m:val="p"/>
              </m:rPr>
              <w:rPr>
                <w:rFonts w:ascii="Cambria Math" w:hAnsi="Cambria Math" w:cstheme="majorBidi"/>
              </w:rPr>
              <m:t>uss</m:t>
            </m:r>
          </m:sub>
        </m:sSub>
        <m:r>
          <w:rPr>
            <w:rFonts w:ascii="Cambria Math" w:hAnsi="Cambria Math" w:cstheme="majorBidi"/>
          </w:rPr>
          <m:t>(j)</m:t>
        </m:r>
      </m:oMath>
      <w:r w:rsidRPr="00D20E88">
        <w:rPr>
          <w:rFonts w:cs="Arial"/>
          <w:lang w:eastAsia="zh-CN"/>
        </w:rPr>
        <w:t xml:space="preserve"> considering the </w:t>
      </w:r>
      <w:r w:rsidR="00791E00">
        <w:rPr>
          <w:rFonts w:cs="Arial"/>
          <w:lang w:eastAsia="zh-CN"/>
        </w:rPr>
        <w:t>allocated</w:t>
      </w:r>
      <w:r w:rsidR="00791E00" w:rsidRPr="00D20E88">
        <w:rPr>
          <w:rFonts w:cs="Arial"/>
          <w:lang w:eastAsia="zh-CN"/>
        </w:rPr>
        <w:t xml:space="preserve"> </w:t>
      </w:r>
      <w:r w:rsidRPr="00D20E88">
        <w:rPr>
          <w:rFonts w:cs="Arial"/>
          <w:lang w:eastAsia="zh-CN"/>
        </w:rPr>
        <w:t xml:space="preserve">PDCCH candidates </w:t>
      </w:r>
      <w:r w:rsidR="00791E00">
        <w:t xml:space="preserve">for monitoring </w:t>
      </w:r>
      <w:r w:rsidRPr="00D20E88">
        <w:rPr>
          <w:rFonts w:cs="Arial"/>
          <w:lang w:eastAsia="zh-CN"/>
        </w:rPr>
        <w:t xml:space="preserve">for the </w:t>
      </w:r>
      <w:r>
        <w:t>CSS</w:t>
      </w:r>
      <w:r w:rsidRPr="00D20E88">
        <w:rPr>
          <w:rFonts w:cs="Arial"/>
          <w:lang w:eastAsia="zh-CN"/>
        </w:rPr>
        <w:t xml:space="preserve"> sets</w:t>
      </w:r>
      <w:r w:rsidR="001D3152">
        <w:rPr>
          <w:rFonts w:cs="Arial"/>
          <w:lang w:eastAsia="zh-CN"/>
        </w:rPr>
        <w:t xml:space="preserve"> </w:t>
      </w:r>
      <w:r w:rsidR="001D3152" w:rsidRPr="00B06CC2">
        <w:t xml:space="preserve">in </w:t>
      </w:r>
      <m:oMath>
        <m:sSub>
          <m:sSubPr>
            <m:ctrlPr>
              <w:rPr>
                <w:rFonts w:ascii="Cambria Math" w:hAnsi="Cambria Math"/>
                <w:i/>
              </w:rPr>
            </m:ctrlPr>
          </m:sSubPr>
          <m:e>
            <m:r>
              <w:rPr>
                <w:rFonts w:ascii="Cambria Math" w:hAnsi="Cambria Math"/>
              </w:rPr>
              <m:t>S</m:t>
            </m:r>
          </m:e>
          <m:sub>
            <m:r>
              <m:rPr>
                <m:sty m:val="p"/>
              </m:rPr>
              <w:rPr>
                <w:rFonts w:ascii="Cambria Math" w:hAnsi="Cambria Math"/>
              </w:rPr>
              <m:t>css</m:t>
            </m:r>
          </m:sub>
        </m:sSub>
      </m:oMath>
      <w:r w:rsidRPr="00D20E88">
        <w:rPr>
          <w:rFonts w:cs="Arial"/>
          <w:lang w:eastAsia="zh-CN"/>
        </w:rPr>
        <w:t xml:space="preserve"> and the </w:t>
      </w:r>
      <w:r w:rsidR="00791E00">
        <w:rPr>
          <w:rFonts w:cs="Arial"/>
          <w:lang w:eastAsia="zh-CN"/>
        </w:rPr>
        <w:t>allocated</w:t>
      </w:r>
      <w:r w:rsidR="00791E00" w:rsidRPr="00D20E88">
        <w:rPr>
          <w:rFonts w:cs="Arial"/>
          <w:lang w:eastAsia="zh-CN"/>
        </w:rPr>
        <w:t xml:space="preserve"> </w:t>
      </w:r>
      <w:r w:rsidRPr="00D20E88">
        <w:rPr>
          <w:rFonts w:cs="Arial"/>
          <w:lang w:eastAsia="zh-CN"/>
        </w:rPr>
        <w:t xml:space="preserve">PDCCH candidates </w:t>
      </w:r>
      <w:r w:rsidR="00791E00">
        <w:t xml:space="preserve">for monitoring </w:t>
      </w:r>
      <w:r w:rsidRPr="00D20E88">
        <w:rPr>
          <w:rFonts w:cs="Arial"/>
          <w:lang w:eastAsia="zh-CN"/>
        </w:rPr>
        <w:t xml:space="preserve">for all search space sets </w:t>
      </w:r>
      <m:oMath>
        <m:sSub>
          <m:sSubPr>
            <m:ctrlPr>
              <w:rPr>
                <w:rFonts w:ascii="Cambria Math" w:hAnsi="Cambria Math" w:cstheme="majorBidi"/>
                <w:i/>
              </w:rPr>
            </m:ctrlPr>
          </m:sSubPr>
          <m:e>
            <m:r>
              <w:rPr>
                <w:rFonts w:ascii="Cambria Math" w:hAnsi="Cambria Math" w:cstheme="majorBidi"/>
              </w:rPr>
              <m:t>S</m:t>
            </m:r>
          </m:e>
          <m:sub>
            <m:r>
              <m:rPr>
                <m:sty m:val="p"/>
              </m:rPr>
              <w:rPr>
                <w:rFonts w:ascii="Cambria Math" w:hAnsi="Cambria Math" w:cstheme="majorBidi"/>
              </w:rPr>
              <m:t>uss</m:t>
            </m:r>
          </m:sub>
        </m:sSub>
        <m:r>
          <w:rPr>
            <w:rFonts w:ascii="Cambria Math" w:hAnsi="Cambria Math" w:cstheme="majorBidi"/>
          </w:rPr>
          <m:t>(k)</m:t>
        </m:r>
      </m:oMath>
      <w:r w:rsidRPr="00D20E88">
        <w:rPr>
          <w:rFonts w:cs="Arial"/>
          <w:lang w:eastAsia="zh-CN"/>
        </w:rPr>
        <w:t xml:space="preserve">, </w:t>
      </w:r>
      <m:oMath>
        <m:r>
          <w:rPr>
            <w:rFonts w:ascii="Cambria Math" w:hAnsi="Cambria Math" w:cs="Arial"/>
            <w:lang w:eastAsia="zh-CN"/>
          </w:rPr>
          <m:t>0≤k≤j</m:t>
        </m:r>
      </m:oMath>
      <w:r w:rsidRPr="00D20E88">
        <w:rPr>
          <w:rFonts w:cs="Arial"/>
          <w:lang w:eastAsia="zh-CN"/>
        </w:rPr>
        <w:t>.</w:t>
      </w:r>
    </w:p>
    <w:p w14:paraId="5AC5287C" w14:textId="77777777" w:rsidR="007E5DF5" w:rsidRPr="00F415B1" w:rsidRDefault="007E5DF5" w:rsidP="007E5DF5">
      <w:r w:rsidRPr="00F415B1">
        <w:rPr>
          <w:rFonts w:eastAsiaTheme="minorEastAsia"/>
        </w:rPr>
        <w:t xml:space="preserve">Set </w:t>
      </w:r>
      <m:oMath>
        <m:sSubSup>
          <m:sSubSupPr>
            <m:ctrlPr>
              <w:rPr>
                <w:rFonts w:ascii="Cambria Math" w:hAnsi="Cambria Math" w:cstheme="majorBidi"/>
                <w:i/>
              </w:rPr>
            </m:ctrlPr>
          </m:sSubSupPr>
          <m:e>
            <m:r>
              <w:rPr>
                <w:rFonts w:ascii="Cambria Math" w:hAnsi="Cambria Math" w:cstheme="majorBidi"/>
              </w:rPr>
              <m:t>M</m:t>
            </m:r>
          </m:e>
          <m:sub>
            <m:r>
              <m:rPr>
                <m:sty m:val="p"/>
              </m:rPr>
              <w:rPr>
                <w:rFonts w:ascii="Cambria Math" w:hAnsi="Cambria Math" w:cstheme="majorBidi"/>
              </w:rPr>
              <m:t>PDCCH</m:t>
            </m:r>
          </m:sub>
          <m:sup>
            <m:r>
              <m:rPr>
                <m:sty m:val="p"/>
              </m:rPr>
              <w:rPr>
                <w:rFonts w:ascii="Cambria Math" w:hAnsi="Cambria Math" w:cstheme="majorBidi"/>
              </w:rPr>
              <m:t>uss</m:t>
            </m:r>
          </m:sup>
        </m:sSubSup>
        <m:r>
          <w:rPr>
            <w:rFonts w:ascii="Cambria Math" w:hAnsi="Cambria Math" w:cstheme="majorBidi"/>
          </w:rPr>
          <m:t>=</m:t>
        </m:r>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m:rPr>
                        <m:nor/>
                      </m:rPr>
                      <m:t>PDCCH</m:t>
                    </m:r>
                    <m:ctrlPr>
                      <w:rPr>
                        <w:rFonts w:ascii="Cambria Math" w:hAnsi="Cambria Math"/>
                      </w:rPr>
                    </m:ctrlPr>
                  </m:sub>
                  <m:sup>
                    <m:r>
                      <m:rPr>
                        <m:nor/>
                      </m:rPr>
                      <m:t>max,slot,</m:t>
                    </m:r>
                    <m:r>
                      <w:rPr>
                        <w:rFonts w:ascii="Cambria Math" w:hAns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M</m:t>
                    </m:r>
                  </m:e>
                  <m:sub>
                    <m:r>
                      <m:rPr>
                        <m:nor/>
                      </m:rPr>
                      <m:t>PDCCH</m:t>
                    </m:r>
                    <m:ctrlPr>
                      <w:rPr>
                        <w:rFonts w:ascii="Cambria Math" w:hAnsi="Cambria Math"/>
                      </w:rPr>
                    </m:ctrlPr>
                  </m:sub>
                  <m:sup>
                    <m:r>
                      <m:rPr>
                        <m:nor/>
                      </m:rPr>
                      <m:t>total,slot,</m:t>
                    </m:r>
                    <m:r>
                      <w:rPr>
                        <w:rFonts w:ascii="Cambria Math" w:hAnsi="Cambria Math"/>
                      </w:rPr>
                      <m:t>μ</m:t>
                    </m:r>
                    <m:ctrlPr>
                      <w:rPr>
                        <w:rFonts w:ascii="Cambria Math" w:hAnsi="Cambria Math"/>
                      </w:rPr>
                    </m:ctrlPr>
                  </m:sup>
                </m:sSubSup>
              </m:e>
            </m:d>
          </m:e>
        </m:func>
        <m:r>
          <w:rPr>
            <w:rFonts w:ascii="Cambria Math" w:hAnsi="Cambria Math"/>
          </w:rPr>
          <m:t>-</m:t>
        </m:r>
        <m:sSubSup>
          <m:sSubSupPr>
            <m:ctrlPr>
              <w:rPr>
                <w:rFonts w:ascii="Cambria Math" w:hAnsi="Cambria Math" w:cstheme="majorBidi"/>
                <w:i/>
              </w:rPr>
            </m:ctrlPr>
          </m:sSubSupPr>
          <m:e>
            <m:r>
              <w:rPr>
                <w:rFonts w:ascii="Cambria Math" w:hAnsi="Cambria Math" w:cstheme="majorBidi"/>
              </w:rPr>
              <m:t>M</m:t>
            </m:r>
          </m:e>
          <m:sub>
            <m:r>
              <m:rPr>
                <m:sty m:val="p"/>
              </m:rPr>
              <w:rPr>
                <w:rFonts w:ascii="Cambria Math" w:hAnsi="Cambria Math" w:cstheme="majorBidi"/>
              </w:rPr>
              <m:t>PDCCH</m:t>
            </m:r>
          </m:sub>
          <m:sup>
            <m:r>
              <m:rPr>
                <m:sty m:val="p"/>
              </m:rPr>
              <w:rPr>
                <w:rFonts w:ascii="Cambria Math" w:hAnsi="Cambria Math" w:cstheme="majorBidi"/>
              </w:rPr>
              <m:t>css</m:t>
            </m:r>
          </m:sup>
        </m:sSubSup>
      </m:oMath>
      <w:r w:rsidRPr="00F415B1">
        <w:t xml:space="preserve"> </w:t>
      </w:r>
    </w:p>
    <w:p w14:paraId="58AF0DE3" w14:textId="77777777" w:rsidR="007E5DF5" w:rsidRPr="00F415B1" w:rsidRDefault="007E5DF5" w:rsidP="007E5DF5">
      <w:r w:rsidRPr="00F415B1">
        <w:rPr>
          <w:rFonts w:eastAsiaTheme="minorEastAsia"/>
        </w:rPr>
        <w:t xml:space="preserve">Set </w:t>
      </w:r>
      <m:oMath>
        <m:sSubSup>
          <m:sSubSupPr>
            <m:ctrlPr>
              <w:rPr>
                <w:rFonts w:ascii="Cambria Math" w:hAnsi="Cambria Math" w:cstheme="majorBidi"/>
                <w:i/>
              </w:rPr>
            </m:ctrlPr>
          </m:sSubSupPr>
          <m:e>
            <m:r>
              <w:rPr>
                <w:rFonts w:ascii="Cambria Math" w:hAnsi="Cambria Math" w:cstheme="majorBidi"/>
              </w:rPr>
              <m:t>C</m:t>
            </m:r>
          </m:e>
          <m:sub>
            <m:r>
              <m:rPr>
                <m:sty m:val="p"/>
              </m:rPr>
              <w:rPr>
                <w:rFonts w:ascii="Cambria Math" w:hAnsi="Cambria Math" w:cstheme="majorBidi"/>
              </w:rPr>
              <m:t>PDCCH</m:t>
            </m:r>
          </m:sub>
          <m:sup>
            <m:r>
              <m:rPr>
                <m:sty m:val="p"/>
              </m:rPr>
              <w:rPr>
                <w:rFonts w:ascii="Cambria Math" w:hAnsi="Cambria Math" w:cstheme="majorBidi"/>
              </w:rPr>
              <m:t>uss</m:t>
            </m:r>
          </m:sup>
        </m:sSubSup>
        <m:r>
          <w:rPr>
            <w:rFonts w:ascii="Cambria Math" w:hAnsi="Cambria Math" w:cstheme="majorBidi"/>
          </w:rPr>
          <m:t>=</m:t>
        </m:r>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m:rPr>
                        <m:nor/>
                      </m:rPr>
                      <m:t>PDCCH</m:t>
                    </m:r>
                    <m:ctrlPr>
                      <w:rPr>
                        <w:rFonts w:ascii="Cambria Math" w:hAnsi="Cambria Math"/>
                      </w:rPr>
                    </m:ctrlPr>
                  </m:sub>
                  <m:sup>
                    <m:r>
                      <m:rPr>
                        <m:nor/>
                      </m:rPr>
                      <m:t>max,slot,</m:t>
                    </m:r>
                    <m:r>
                      <w:rPr>
                        <w:rFonts w:ascii="Cambria Math" w:hAnsi="Cambria Math"/>
                      </w:rPr>
                      <m:t>μ</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C</m:t>
                    </m:r>
                  </m:e>
                  <m:sub>
                    <m:r>
                      <m:rPr>
                        <m:nor/>
                      </m:rPr>
                      <m:t>PDCCH</m:t>
                    </m:r>
                    <m:ctrlPr>
                      <w:rPr>
                        <w:rFonts w:ascii="Cambria Math" w:hAnsi="Cambria Math"/>
                      </w:rPr>
                    </m:ctrlPr>
                  </m:sub>
                  <m:sup>
                    <m:r>
                      <m:rPr>
                        <m:nor/>
                      </m:rPr>
                      <m:t>total,slot,</m:t>
                    </m:r>
                    <m:r>
                      <w:rPr>
                        <w:rFonts w:ascii="Cambria Math" w:hAnsi="Cambria Math"/>
                      </w:rPr>
                      <m:t>μ</m:t>
                    </m:r>
                    <m:ctrlPr>
                      <w:rPr>
                        <w:rFonts w:ascii="Cambria Math" w:hAnsi="Cambria Math"/>
                      </w:rPr>
                    </m:ctrlPr>
                  </m:sup>
                </m:sSubSup>
              </m:e>
            </m:d>
          </m:e>
        </m:func>
        <m:r>
          <w:rPr>
            <w:rFonts w:ascii="Cambria Math" w:hAnsi="Cambria Math"/>
          </w:rPr>
          <m:t>-</m:t>
        </m:r>
        <m:sSubSup>
          <m:sSubSupPr>
            <m:ctrlPr>
              <w:rPr>
                <w:rFonts w:ascii="Cambria Math" w:hAnsi="Cambria Math" w:cstheme="majorBidi"/>
                <w:i/>
              </w:rPr>
            </m:ctrlPr>
          </m:sSubSupPr>
          <m:e>
            <m:r>
              <w:rPr>
                <w:rFonts w:ascii="Cambria Math" w:hAnsi="Cambria Math" w:cstheme="majorBidi"/>
              </w:rPr>
              <m:t>C</m:t>
            </m:r>
          </m:e>
          <m:sub>
            <m:r>
              <m:rPr>
                <m:sty m:val="p"/>
              </m:rPr>
              <w:rPr>
                <w:rFonts w:ascii="Cambria Math" w:hAnsi="Cambria Math" w:cstheme="majorBidi"/>
              </w:rPr>
              <m:t>PDCCH</m:t>
            </m:r>
          </m:sub>
          <m:sup>
            <m:r>
              <m:rPr>
                <m:sty m:val="p"/>
              </m:rPr>
              <w:rPr>
                <w:rFonts w:ascii="Cambria Math" w:hAnsi="Cambria Math" w:cstheme="majorBidi"/>
              </w:rPr>
              <m:t>css</m:t>
            </m:r>
          </m:sup>
        </m:sSubSup>
      </m:oMath>
    </w:p>
    <w:p w14:paraId="4EB4AC6F" w14:textId="77777777" w:rsidR="007E5DF5" w:rsidRPr="00F415B1" w:rsidRDefault="007E5DF5" w:rsidP="007E5DF5">
      <w:pPr>
        <w:rPr>
          <w:rFonts w:eastAsiaTheme="minorEastAsia"/>
        </w:rPr>
      </w:pPr>
      <w:r w:rsidRPr="00F415B1">
        <w:rPr>
          <w:rFonts w:eastAsiaTheme="minorEastAsia"/>
        </w:rPr>
        <w:t xml:space="preserve">Set </w:t>
      </w:r>
      <m:oMath>
        <m:r>
          <w:rPr>
            <w:rFonts w:ascii="Cambria Math" w:hAnsi="Cambria Math" w:cstheme="majorBidi"/>
          </w:rPr>
          <m:t>j=0</m:t>
        </m:r>
      </m:oMath>
    </w:p>
    <w:p w14:paraId="0447F88B" w14:textId="77777777" w:rsidR="007E5DF5" w:rsidRPr="00F415B1" w:rsidRDefault="007E5DF5" w:rsidP="007E5DF5">
      <w:r w:rsidRPr="00F415B1">
        <w:rPr>
          <w:rFonts w:eastAsiaTheme="minorEastAsia"/>
        </w:rPr>
        <w:t xml:space="preserve">while </w:t>
      </w:r>
      <m:oMath>
        <m:nary>
          <m:naryPr>
            <m:chr m:val="∑"/>
            <m:limLoc m:val="undOvr"/>
            <m:supHide m:val="1"/>
            <m:ctrlPr>
              <w:rPr>
                <w:rFonts w:ascii="Cambria Math" w:hAnsi="Cambria Math" w:cstheme="majorBidi"/>
                <w:i/>
              </w:rPr>
            </m:ctrlPr>
          </m:naryPr>
          <m:sub>
            <m:r>
              <w:rPr>
                <w:rFonts w:ascii="Cambria Math" w:hAnsi="Cambria Math" w:cstheme="majorBidi"/>
              </w:rPr>
              <m:t>L</m:t>
            </m:r>
          </m:sub>
          <m:sup/>
          <m:e>
            <m:sSubSup>
              <m:sSubSupPr>
                <m:ctrlPr>
                  <w:rPr>
                    <w:rFonts w:ascii="Cambria Math" w:hAnsi="Cambria Math" w:cstheme="majorBidi"/>
                    <w:i/>
                  </w:rPr>
                </m:ctrlPr>
              </m:sSubSupPr>
              <m:e>
                <m:r>
                  <w:rPr>
                    <w:rFonts w:ascii="Cambria Math" w:hAnsi="Cambria Math" w:cstheme="majorBidi"/>
                  </w:rPr>
                  <m:t>M</m:t>
                </m:r>
              </m:e>
              <m:sub>
                <m:sSub>
                  <m:sSubPr>
                    <m:ctrlPr>
                      <w:rPr>
                        <w:rFonts w:ascii="Cambria Math" w:hAnsi="Cambria Math" w:cstheme="majorBidi"/>
                        <w:i/>
                      </w:rPr>
                    </m:ctrlPr>
                  </m:sSubPr>
                  <m:e>
                    <m:r>
                      <w:rPr>
                        <w:rFonts w:ascii="Cambria Math" w:hAnsi="Cambria Math" w:cstheme="majorBidi"/>
                      </w:rPr>
                      <m:t>S</m:t>
                    </m:r>
                  </m:e>
                  <m:sub>
                    <m:r>
                      <m:rPr>
                        <m:sty m:val="p"/>
                      </m:rPr>
                      <w:rPr>
                        <w:rFonts w:ascii="Cambria Math" w:hAnsi="Cambria Math" w:cstheme="majorBidi"/>
                      </w:rPr>
                      <m:t>uss</m:t>
                    </m:r>
                  </m:sub>
                </m:sSub>
                <m:r>
                  <w:rPr>
                    <w:rFonts w:ascii="Cambria Math" w:hAnsi="Cambria Math" w:cstheme="majorBidi"/>
                  </w:rPr>
                  <m:t>(j)</m:t>
                </m:r>
              </m:sub>
              <m:sup>
                <m:r>
                  <w:rPr>
                    <w:rFonts w:ascii="Cambria Math" w:hAnsi="Cambria Math" w:cstheme="majorBidi"/>
                  </w:rPr>
                  <m:t>(L)</m:t>
                </m:r>
              </m:sup>
            </m:sSubSup>
          </m:e>
        </m:nary>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M</m:t>
            </m:r>
          </m:e>
          <m:sub>
            <m:r>
              <m:rPr>
                <m:sty m:val="p"/>
              </m:rPr>
              <w:rPr>
                <w:rFonts w:ascii="Cambria Math" w:hAnsi="Cambria Math" w:cstheme="majorBidi"/>
              </w:rPr>
              <m:t>PDCCH</m:t>
            </m:r>
          </m:sub>
          <m:sup>
            <m:r>
              <m:rPr>
                <m:sty m:val="p"/>
              </m:rPr>
              <w:rPr>
                <w:rFonts w:ascii="Cambria Math" w:hAnsi="Cambria Math" w:cstheme="majorBidi"/>
              </w:rPr>
              <m:t>uss</m:t>
            </m:r>
          </m:sup>
        </m:sSubSup>
      </m:oMath>
      <w:r w:rsidRPr="00F415B1">
        <w:t xml:space="preserve"> AND </w:t>
      </w:r>
      <m:oMath>
        <m:r>
          <m:rPr>
            <m:nor/>
          </m:rPr>
          <w:rPr>
            <w:rFonts w:ascii="Freestyle Script" w:hAnsi="Freestyle Script"/>
          </w:rPr>
          <m:t>C</m:t>
        </m:r>
        <m:d>
          <m:dPr>
            <m:ctrlPr>
              <w:rPr>
                <w:rFonts w:ascii="Cambria Math" w:hAnsi="Cambria Math" w:cs="Helvetica"/>
                <w:i/>
              </w:rPr>
            </m:ctrlPr>
          </m:dPr>
          <m:e>
            <m:sSub>
              <m:sSubPr>
                <m:ctrlPr>
                  <w:rPr>
                    <w:rFonts w:ascii="Cambria Math" w:hAnsi="Cambria Math" w:cs="Helvetica"/>
                    <w:i/>
                  </w:rPr>
                </m:ctrlPr>
              </m:sSubPr>
              <m:e>
                <m:r>
                  <w:rPr>
                    <w:rFonts w:ascii="Cambria Math" w:hAnsi="Cambria Math" w:cs="Helvetica"/>
                  </w:rPr>
                  <m:t>V</m:t>
                </m:r>
              </m:e>
              <m:sub>
                <m:r>
                  <m:rPr>
                    <m:sty m:val="p"/>
                  </m:rPr>
                  <w:rPr>
                    <w:rFonts w:ascii="Cambria Math" w:hAnsi="Cambria Math" w:cs="Helvetica"/>
                  </w:rPr>
                  <m:t>CCE</m:t>
                </m:r>
              </m:sub>
            </m:sSub>
            <m:d>
              <m:dPr>
                <m:ctrlPr>
                  <w:rPr>
                    <w:rFonts w:ascii="Cambria Math" w:hAnsi="Cambria Math" w:cs="Helvetica"/>
                    <w:i/>
                  </w:rPr>
                </m:ctrlPr>
              </m:dPr>
              <m:e>
                <m:sSub>
                  <m:sSubPr>
                    <m:ctrlPr>
                      <w:rPr>
                        <w:rFonts w:ascii="Cambria Math" w:hAnsi="Cambria Math" w:cs="Helvetica"/>
                        <w:i/>
                      </w:rPr>
                    </m:ctrlPr>
                  </m:sSubPr>
                  <m:e>
                    <m:r>
                      <w:rPr>
                        <w:rFonts w:ascii="Cambria Math" w:hAnsi="Cambria Math" w:cs="Helvetica"/>
                      </w:rPr>
                      <m:t>S</m:t>
                    </m:r>
                  </m:e>
                  <m:sub>
                    <m:r>
                      <m:rPr>
                        <m:sty m:val="p"/>
                      </m:rPr>
                      <w:rPr>
                        <w:rFonts w:ascii="Cambria Math" w:hAnsi="Cambria Math" w:cs="Helvetica"/>
                      </w:rPr>
                      <m:t>uss</m:t>
                    </m:r>
                  </m:sub>
                </m:sSub>
                <m:r>
                  <w:rPr>
                    <w:rFonts w:ascii="Cambria Math" w:hAnsi="Cambria Math" w:cs="Helvetica"/>
                  </w:rPr>
                  <m:t>(j)</m:t>
                </m:r>
              </m:e>
            </m:d>
          </m:e>
        </m:d>
        <m:r>
          <w:rPr>
            <w:rFonts w:ascii="Cambria Math" w:hAnsi="Cambria Math" w:cs="Helvetica"/>
          </w:rPr>
          <m:t>≤</m:t>
        </m:r>
        <m:sSubSup>
          <m:sSubSupPr>
            <m:ctrlPr>
              <w:rPr>
                <w:rFonts w:ascii="Cambria Math" w:hAnsi="Cambria Math" w:cs="Helvetica"/>
                <w:i/>
              </w:rPr>
            </m:ctrlPr>
          </m:sSubSupPr>
          <m:e>
            <m:r>
              <w:rPr>
                <w:rFonts w:ascii="Cambria Math" w:hAnsi="Cambria Math" w:cs="Helvetica"/>
              </w:rPr>
              <m:t>C</m:t>
            </m:r>
          </m:e>
          <m:sub>
            <m:r>
              <m:rPr>
                <m:sty m:val="p"/>
              </m:rPr>
              <w:rPr>
                <w:rFonts w:ascii="Cambria Math" w:hAnsi="Cambria Math" w:cs="Helvetica"/>
              </w:rPr>
              <m:t>PDCCH</m:t>
            </m:r>
          </m:sub>
          <m:sup>
            <m:r>
              <m:rPr>
                <m:sty m:val="p"/>
              </m:rPr>
              <w:rPr>
                <w:rFonts w:ascii="Cambria Math" w:hAnsi="Cambria Math" w:cs="Helvetica"/>
              </w:rPr>
              <m:t>uss</m:t>
            </m:r>
          </m:sup>
        </m:sSubSup>
      </m:oMath>
    </w:p>
    <w:p w14:paraId="1FC4626A" w14:textId="42C2C840" w:rsidR="00A32336" w:rsidRDefault="00A32336" w:rsidP="00373332">
      <w:pPr>
        <w:pStyle w:val="B1"/>
      </w:pPr>
      <w:r>
        <w:t xml:space="preserve">allocate </w:t>
      </w:r>
      <m:oMath>
        <m:nary>
          <m:naryPr>
            <m:chr m:val="∑"/>
            <m:limLoc m:val="undOvr"/>
            <m:supHide m:val="1"/>
            <m:ctrlPr>
              <w:rPr>
                <w:rFonts w:ascii="Cambria Math" w:hAnsi="Cambria Math" w:cstheme="majorBidi"/>
                <w:i/>
              </w:rPr>
            </m:ctrlPr>
          </m:naryPr>
          <m:sub>
            <m:r>
              <w:rPr>
                <w:rFonts w:ascii="Cambria Math" w:hAnsi="Cambria Math" w:cstheme="majorBidi"/>
              </w:rPr>
              <m:t>L</m:t>
            </m:r>
          </m:sub>
          <m:sup/>
          <m:e>
            <m:sSubSup>
              <m:sSubSupPr>
                <m:ctrlPr>
                  <w:rPr>
                    <w:rFonts w:ascii="Cambria Math" w:hAnsi="Cambria Math" w:cstheme="majorBidi"/>
                    <w:i/>
                  </w:rPr>
                </m:ctrlPr>
              </m:sSubSupPr>
              <m:e>
                <m:r>
                  <w:rPr>
                    <w:rFonts w:ascii="Cambria Math" w:hAnsi="Cambria Math" w:cstheme="majorBidi"/>
                  </w:rPr>
                  <m:t>M</m:t>
                </m:r>
              </m:e>
              <m:sub>
                <m:sSub>
                  <m:sSubPr>
                    <m:ctrlPr>
                      <w:rPr>
                        <w:rFonts w:ascii="Cambria Math" w:hAnsi="Cambria Math" w:cstheme="majorBidi"/>
                        <w:i/>
                      </w:rPr>
                    </m:ctrlPr>
                  </m:sSubPr>
                  <m:e>
                    <m:r>
                      <w:rPr>
                        <w:rFonts w:ascii="Cambria Math" w:hAnsi="Cambria Math" w:cstheme="majorBidi"/>
                      </w:rPr>
                      <m:t>S</m:t>
                    </m:r>
                  </m:e>
                  <m:sub>
                    <m:r>
                      <m:rPr>
                        <m:sty m:val="p"/>
                      </m:rPr>
                      <w:rPr>
                        <w:rFonts w:ascii="Cambria Math" w:hAnsi="Cambria Math" w:cstheme="majorBidi"/>
                      </w:rPr>
                      <m:t>uss</m:t>
                    </m:r>
                  </m:sub>
                </m:sSub>
                <m:r>
                  <w:rPr>
                    <w:rFonts w:ascii="Cambria Math" w:hAnsi="Cambria Math" w:cstheme="majorBidi"/>
                  </w:rPr>
                  <m:t>(j)</m:t>
                </m:r>
              </m:sub>
              <m:sup>
                <m:r>
                  <w:rPr>
                    <w:rFonts w:ascii="Cambria Math" w:hAnsi="Cambria Math" w:cstheme="majorBidi"/>
                  </w:rPr>
                  <m:t>(L)</m:t>
                </m:r>
              </m:sup>
            </m:sSubSup>
          </m:e>
        </m:nary>
      </m:oMath>
      <w:r>
        <w:t xml:space="preserve"> PDCCH candidates </w:t>
      </w:r>
      <w:r w:rsidR="00791E00">
        <w:t xml:space="preserve">for monitoring </w:t>
      </w:r>
      <w:r>
        <w:t xml:space="preserve">to </w:t>
      </w:r>
      <w:r w:rsidR="007834AA" w:rsidRPr="00B06CC2">
        <w:rPr>
          <w:lang w:val="en-US"/>
        </w:rPr>
        <w:t>search space</w:t>
      </w:r>
      <w:r>
        <w:t xml:space="preserve"> set </w:t>
      </w:r>
      <m:oMath>
        <m:sSub>
          <m:sSubPr>
            <m:ctrlPr>
              <w:rPr>
                <w:rFonts w:ascii="Cambria Math" w:hAnsi="Cambria Math" w:cstheme="majorBidi"/>
                <w:i/>
              </w:rPr>
            </m:ctrlPr>
          </m:sSubPr>
          <m:e>
            <m:r>
              <w:rPr>
                <w:rFonts w:ascii="Cambria Math" w:hAnsi="Cambria Math" w:cstheme="majorBidi"/>
              </w:rPr>
              <m:t>S</m:t>
            </m:r>
          </m:e>
          <m:sub>
            <m:r>
              <m:rPr>
                <m:sty m:val="p"/>
              </m:rPr>
              <w:rPr>
                <w:rFonts w:ascii="Cambria Math" w:hAnsi="Cambria Math" w:cstheme="majorBidi"/>
              </w:rPr>
              <m:t>uss</m:t>
            </m:r>
          </m:sub>
        </m:sSub>
        <m:r>
          <w:rPr>
            <w:rFonts w:ascii="Cambria Math" w:hAnsi="Cambria Math" w:cstheme="majorBidi"/>
          </w:rPr>
          <m:t>(j)</m:t>
        </m:r>
      </m:oMath>
      <w:r>
        <w:t xml:space="preserve"> </w:t>
      </w:r>
    </w:p>
    <w:p w14:paraId="2664E5A2" w14:textId="77777777" w:rsidR="00EB6836" w:rsidRPr="00F415B1" w:rsidRDefault="00000000" w:rsidP="00EB6836">
      <w:pPr>
        <w:pStyle w:val="B1"/>
      </w:pPr>
      <m:oMath>
        <m:sSubSup>
          <m:sSubSupPr>
            <m:ctrlPr>
              <w:rPr>
                <w:rFonts w:ascii="Cambria Math" w:hAnsi="Cambria Math" w:cstheme="majorBidi"/>
                <w:i/>
              </w:rPr>
            </m:ctrlPr>
          </m:sSubSupPr>
          <m:e>
            <m:r>
              <w:rPr>
                <w:rFonts w:ascii="Cambria Math" w:hAnsi="Cambria Math" w:cstheme="majorBidi"/>
              </w:rPr>
              <m:t>M</m:t>
            </m:r>
          </m:e>
          <m:sub>
            <m:r>
              <m:rPr>
                <m:sty m:val="p"/>
              </m:rPr>
              <w:rPr>
                <w:rFonts w:ascii="Cambria Math" w:hAnsi="Cambria Math" w:cstheme="majorBidi"/>
              </w:rPr>
              <m:t>PDCCH</m:t>
            </m:r>
          </m:sub>
          <m:sup>
            <m:r>
              <m:rPr>
                <m:sty m:val="p"/>
              </m:rPr>
              <w:rPr>
                <w:rFonts w:ascii="Cambria Math" w:hAnsi="Cambria Math" w:cstheme="majorBidi"/>
              </w:rPr>
              <m:t>uss</m:t>
            </m:r>
          </m:sup>
        </m:sSubSup>
        <m:r>
          <w:rPr>
            <w:rFonts w:ascii="Cambria Math" w:hAnsi="Cambria Math" w:cstheme="majorBidi"/>
            <w:noProof/>
          </w:rPr>
          <m:t>=</m:t>
        </m:r>
        <m:sSubSup>
          <m:sSubSupPr>
            <m:ctrlPr>
              <w:rPr>
                <w:rFonts w:ascii="Cambria Math" w:hAnsi="Cambria Math" w:cstheme="majorBidi"/>
                <w:i/>
              </w:rPr>
            </m:ctrlPr>
          </m:sSubSupPr>
          <m:e>
            <m:r>
              <w:rPr>
                <w:rFonts w:ascii="Cambria Math" w:hAnsi="Cambria Math" w:cstheme="majorBidi"/>
              </w:rPr>
              <m:t>M</m:t>
            </m:r>
          </m:e>
          <m:sub>
            <m:r>
              <m:rPr>
                <m:sty m:val="p"/>
              </m:rPr>
              <w:rPr>
                <w:rFonts w:ascii="Cambria Math" w:hAnsi="Cambria Math" w:cstheme="majorBidi"/>
              </w:rPr>
              <m:t>PDCCH</m:t>
            </m:r>
          </m:sub>
          <m:sup>
            <m:r>
              <m:rPr>
                <m:sty m:val="p"/>
              </m:rPr>
              <w:rPr>
                <w:rFonts w:ascii="Cambria Math" w:hAnsi="Cambria Math" w:cstheme="majorBidi"/>
              </w:rPr>
              <m:t>uss</m:t>
            </m:r>
          </m:sup>
        </m:sSubSup>
        <m:r>
          <w:rPr>
            <w:rFonts w:ascii="Cambria Math" w:hAnsi="Cambria Math" w:cstheme="majorBidi"/>
          </w:rPr>
          <m:t>-</m:t>
        </m:r>
        <m:nary>
          <m:naryPr>
            <m:chr m:val="∑"/>
            <m:limLoc m:val="undOvr"/>
            <m:supHide m:val="1"/>
            <m:ctrlPr>
              <w:rPr>
                <w:rFonts w:ascii="Cambria Math" w:hAnsi="Cambria Math" w:cstheme="majorBidi"/>
                <w:i/>
              </w:rPr>
            </m:ctrlPr>
          </m:naryPr>
          <m:sub>
            <m:r>
              <w:rPr>
                <w:rFonts w:ascii="Cambria Math" w:hAnsi="Cambria Math" w:cstheme="majorBidi"/>
              </w:rPr>
              <m:t>L</m:t>
            </m:r>
          </m:sub>
          <m:sup/>
          <m:e>
            <m:sSubSup>
              <m:sSubSupPr>
                <m:ctrlPr>
                  <w:rPr>
                    <w:rFonts w:ascii="Cambria Math" w:hAnsi="Cambria Math" w:cstheme="majorBidi"/>
                    <w:i/>
                  </w:rPr>
                </m:ctrlPr>
              </m:sSubSupPr>
              <m:e>
                <m:r>
                  <w:rPr>
                    <w:rFonts w:ascii="Cambria Math" w:hAnsi="Cambria Math" w:cstheme="majorBidi"/>
                  </w:rPr>
                  <m:t>M</m:t>
                </m:r>
              </m:e>
              <m:sub>
                <m:sSub>
                  <m:sSubPr>
                    <m:ctrlPr>
                      <w:rPr>
                        <w:rFonts w:ascii="Cambria Math" w:hAnsi="Cambria Math" w:cstheme="majorBidi"/>
                        <w:i/>
                      </w:rPr>
                    </m:ctrlPr>
                  </m:sSubPr>
                  <m:e>
                    <m:r>
                      <w:rPr>
                        <w:rFonts w:ascii="Cambria Math" w:hAnsi="Cambria Math" w:cstheme="majorBidi"/>
                      </w:rPr>
                      <m:t>S</m:t>
                    </m:r>
                  </m:e>
                  <m:sub>
                    <m:r>
                      <m:rPr>
                        <m:sty m:val="p"/>
                      </m:rPr>
                      <w:rPr>
                        <w:rFonts w:ascii="Cambria Math" w:hAnsi="Cambria Math" w:cstheme="majorBidi"/>
                      </w:rPr>
                      <m:t>uss</m:t>
                    </m:r>
                  </m:sub>
                </m:sSub>
                <m:r>
                  <w:rPr>
                    <w:rFonts w:ascii="Cambria Math" w:hAnsi="Cambria Math" w:cstheme="majorBidi"/>
                  </w:rPr>
                  <m:t>(j)</m:t>
                </m:r>
              </m:sub>
              <m:sup>
                <m:r>
                  <w:rPr>
                    <w:rFonts w:ascii="Cambria Math" w:hAnsi="Cambria Math" w:cstheme="majorBidi"/>
                  </w:rPr>
                  <m:t>(L)</m:t>
                </m:r>
              </m:sup>
            </m:sSubSup>
          </m:e>
        </m:nary>
      </m:oMath>
      <w:r w:rsidR="00EB6836" w:rsidRPr="00F415B1">
        <w:t>;</w:t>
      </w:r>
    </w:p>
    <w:p w14:paraId="07CA4D6C" w14:textId="77777777" w:rsidR="00EB6836" w:rsidRPr="00F415B1" w:rsidRDefault="00000000" w:rsidP="00EB6836">
      <w:pPr>
        <w:pStyle w:val="B1"/>
      </w:pPr>
      <m:oMath>
        <m:sSubSup>
          <m:sSubSupPr>
            <m:ctrlPr>
              <w:rPr>
                <w:rFonts w:ascii="Cambria Math" w:hAnsi="Cambria Math" w:cstheme="majorBidi"/>
                <w:i/>
              </w:rPr>
            </m:ctrlPr>
          </m:sSubSupPr>
          <m:e>
            <m:r>
              <w:rPr>
                <w:rFonts w:ascii="Cambria Math" w:hAnsi="Cambria Math" w:cstheme="majorBidi"/>
              </w:rPr>
              <m:t>C</m:t>
            </m:r>
          </m:e>
          <m:sub>
            <m:r>
              <m:rPr>
                <m:sty m:val="p"/>
              </m:rPr>
              <w:rPr>
                <w:rFonts w:ascii="Cambria Math" w:hAnsi="Cambria Math" w:cstheme="majorBidi"/>
              </w:rPr>
              <m:t>PDCCH</m:t>
            </m:r>
          </m:sub>
          <m:sup>
            <m:r>
              <m:rPr>
                <m:sty m:val="p"/>
              </m:rPr>
              <w:rPr>
                <w:rFonts w:ascii="Cambria Math" w:hAnsi="Cambria Math" w:cstheme="majorBidi"/>
              </w:rPr>
              <m:t>uss</m:t>
            </m:r>
          </m:sup>
        </m:sSubSup>
        <m:r>
          <w:rPr>
            <w:rFonts w:ascii="Cambria Math" w:hAnsi="Cambria Math" w:cstheme="majorBidi"/>
            <w:noProof/>
          </w:rPr>
          <m:t>=</m:t>
        </m:r>
        <m:sSubSup>
          <m:sSubSupPr>
            <m:ctrlPr>
              <w:rPr>
                <w:rFonts w:ascii="Cambria Math" w:hAnsi="Cambria Math" w:cstheme="majorBidi"/>
                <w:i/>
              </w:rPr>
            </m:ctrlPr>
          </m:sSubSupPr>
          <m:e>
            <m:r>
              <w:rPr>
                <w:rFonts w:ascii="Cambria Math" w:hAnsi="Cambria Math" w:cstheme="majorBidi"/>
              </w:rPr>
              <m:t>C</m:t>
            </m:r>
          </m:e>
          <m:sub>
            <m:r>
              <m:rPr>
                <m:sty m:val="p"/>
              </m:rPr>
              <w:rPr>
                <w:rFonts w:ascii="Cambria Math" w:hAnsi="Cambria Math" w:cstheme="majorBidi"/>
              </w:rPr>
              <m:t>PDCCH</m:t>
            </m:r>
          </m:sub>
          <m:sup>
            <m:r>
              <m:rPr>
                <m:sty m:val="p"/>
              </m:rPr>
              <w:rPr>
                <w:rFonts w:ascii="Cambria Math" w:hAnsi="Cambria Math" w:cstheme="majorBidi"/>
              </w:rPr>
              <m:t>uss</m:t>
            </m:r>
          </m:sup>
        </m:sSubSup>
        <m:r>
          <w:rPr>
            <w:rFonts w:ascii="Cambria Math" w:hAnsi="Cambria Math" w:cstheme="majorBidi"/>
          </w:rPr>
          <m:t>-</m:t>
        </m:r>
        <m:r>
          <m:rPr>
            <m:nor/>
          </m:rPr>
          <w:rPr>
            <w:rFonts w:ascii="Freestyle Script" w:hAnsi="Freestyle Script"/>
          </w:rPr>
          <m:t>C</m:t>
        </m:r>
        <m:d>
          <m:dPr>
            <m:ctrlPr>
              <w:rPr>
                <w:rFonts w:ascii="Cambria Math" w:hAnsi="Cambria Math" w:cs="Helvetica"/>
                <w:i/>
                <w:lang w:val="en-GB"/>
              </w:rPr>
            </m:ctrlPr>
          </m:dPr>
          <m:e>
            <m:sSub>
              <m:sSubPr>
                <m:ctrlPr>
                  <w:rPr>
                    <w:rFonts w:ascii="Cambria Math" w:hAnsi="Cambria Math" w:cs="Helvetica"/>
                    <w:i/>
                  </w:rPr>
                </m:ctrlPr>
              </m:sSubPr>
              <m:e>
                <m:r>
                  <w:rPr>
                    <w:rFonts w:ascii="Cambria Math" w:hAnsi="Cambria Math" w:cs="Helvetica"/>
                  </w:rPr>
                  <m:t>V</m:t>
                </m:r>
              </m:e>
              <m:sub>
                <m:r>
                  <m:rPr>
                    <m:sty m:val="p"/>
                  </m:rPr>
                  <w:rPr>
                    <w:rFonts w:ascii="Cambria Math" w:hAnsi="Cambria Math" w:cs="Helvetica"/>
                  </w:rPr>
                  <m:t>CCE</m:t>
                </m:r>
              </m:sub>
            </m:sSub>
            <m:d>
              <m:dPr>
                <m:ctrlPr>
                  <w:rPr>
                    <w:rFonts w:ascii="Cambria Math" w:hAnsi="Cambria Math" w:cs="Helvetica"/>
                    <w:i/>
                    <w:lang w:val="en-GB"/>
                  </w:rPr>
                </m:ctrlPr>
              </m:dPr>
              <m:e>
                <m:sSub>
                  <m:sSubPr>
                    <m:ctrlPr>
                      <w:rPr>
                        <w:rFonts w:ascii="Cambria Math" w:hAnsi="Cambria Math" w:cs="Helvetica"/>
                        <w:i/>
                      </w:rPr>
                    </m:ctrlPr>
                  </m:sSubPr>
                  <m:e>
                    <m:r>
                      <w:rPr>
                        <w:rFonts w:ascii="Cambria Math" w:hAnsi="Cambria Math" w:cs="Helvetica"/>
                      </w:rPr>
                      <m:t>S</m:t>
                    </m:r>
                  </m:e>
                  <m:sub>
                    <m:r>
                      <m:rPr>
                        <m:sty m:val="p"/>
                      </m:rPr>
                      <w:rPr>
                        <w:rFonts w:ascii="Cambria Math" w:hAnsi="Cambria Math" w:cs="Helvetica"/>
                      </w:rPr>
                      <m:t>uss</m:t>
                    </m:r>
                  </m:sub>
                </m:sSub>
                <m:r>
                  <w:rPr>
                    <w:rFonts w:ascii="Cambria Math" w:hAnsi="Cambria Math" w:cs="Helvetica"/>
                  </w:rPr>
                  <m:t>(j)</m:t>
                </m:r>
              </m:e>
            </m:d>
          </m:e>
        </m:d>
      </m:oMath>
      <w:r w:rsidR="00EB6836" w:rsidRPr="00F415B1">
        <w:t>;</w:t>
      </w:r>
    </w:p>
    <w:p w14:paraId="7708EC57" w14:textId="77777777" w:rsidR="00EB6836" w:rsidRPr="00F415B1" w:rsidRDefault="00EB6836" w:rsidP="00EB6836">
      <w:pPr>
        <w:pStyle w:val="B1"/>
        <w:rPr>
          <w:rFonts w:eastAsiaTheme="minorEastAsia"/>
        </w:rPr>
      </w:pPr>
      <m:oMath>
        <m:r>
          <w:rPr>
            <w:rFonts w:ascii="Cambria Math" w:hAnsi="Cambria Math" w:cstheme="majorBidi"/>
          </w:rPr>
          <m:t>j=j+1</m:t>
        </m:r>
      </m:oMath>
      <w:r w:rsidRPr="00F415B1">
        <w:rPr>
          <w:rFonts w:eastAsiaTheme="minorEastAsia"/>
        </w:rPr>
        <w:t>;</w:t>
      </w:r>
    </w:p>
    <w:p w14:paraId="07182E62" w14:textId="77777777" w:rsidR="00A32336" w:rsidRDefault="00A32336" w:rsidP="00A32336">
      <w:pPr>
        <w:rPr>
          <w:rFonts w:eastAsiaTheme="minorEastAsia"/>
        </w:rPr>
      </w:pPr>
      <w:r>
        <w:rPr>
          <w:rFonts w:eastAsiaTheme="minorEastAsia"/>
        </w:rPr>
        <w:t>end while</w:t>
      </w:r>
    </w:p>
    <w:p w14:paraId="45B81CD3" w14:textId="77777777" w:rsidR="00373332" w:rsidRPr="00D20E88" w:rsidRDefault="00373332" w:rsidP="00373332">
      <w:pPr>
        <w:rPr>
          <w:rFonts w:eastAsiaTheme="minorEastAsia"/>
        </w:rPr>
      </w:pPr>
      <w:r w:rsidRPr="00D20E88">
        <w:rPr>
          <w:rFonts w:eastAsiaTheme="minorEastAsia"/>
        </w:rPr>
        <w:t xml:space="preserve">If a UE </w:t>
      </w:r>
    </w:p>
    <w:p w14:paraId="43369F79" w14:textId="77777777" w:rsidR="00373332" w:rsidRDefault="00373332" w:rsidP="00373332">
      <w:pPr>
        <w:pStyle w:val="B1"/>
        <w:rPr>
          <w:lang w:val="en-US" w:eastAsia="ja-JP"/>
        </w:rPr>
      </w:pPr>
      <w:r w:rsidRPr="00D20E88">
        <w:t>-</w:t>
      </w:r>
      <w:r w:rsidRPr="00D20E88">
        <w:tab/>
      </w:r>
      <w:r w:rsidRPr="00D20E88">
        <w:rPr>
          <w:rFonts w:eastAsiaTheme="minorEastAsia"/>
        </w:rPr>
        <w:t>is configured f</w:t>
      </w:r>
      <w:r w:rsidRPr="00D20E88">
        <w:rPr>
          <w:lang w:eastAsia="ja-JP"/>
        </w:rPr>
        <w:t>or single cell operation or for operation with carrier aggregation in a same frequency band</w:t>
      </w:r>
      <w:r w:rsidRPr="00D20E88">
        <w:rPr>
          <w:lang w:val="en-US" w:eastAsia="ja-JP"/>
        </w:rPr>
        <w:t>, and</w:t>
      </w:r>
    </w:p>
    <w:p w14:paraId="2190B01D" w14:textId="7362F535" w:rsidR="00373332" w:rsidRDefault="00373332" w:rsidP="00373332">
      <w:pPr>
        <w:pStyle w:val="B1"/>
        <w:rPr>
          <w:lang w:val="en-US" w:eastAsia="ja-JP"/>
        </w:rPr>
      </w:pPr>
      <w:r w:rsidRPr="00D20E88">
        <w:t>-</w:t>
      </w:r>
      <w:r w:rsidRPr="00D20E88">
        <w:tab/>
      </w:r>
      <w:r w:rsidRPr="00D20E88">
        <w:rPr>
          <w:rFonts w:eastAsiaTheme="minorEastAsia"/>
        </w:rPr>
        <w:t>monitors PDCCH</w:t>
      </w:r>
      <w:r>
        <w:rPr>
          <w:rFonts w:eastAsiaTheme="minorEastAsia"/>
          <w:lang w:val="en-US"/>
        </w:rPr>
        <w:t xml:space="preserve"> candidate</w:t>
      </w:r>
      <w:r w:rsidRPr="00D20E88">
        <w:rPr>
          <w:rFonts w:eastAsiaTheme="minorEastAsia"/>
          <w:lang w:val="en-US"/>
        </w:rPr>
        <w:t>s</w:t>
      </w:r>
      <w:r w:rsidRPr="00D20E88">
        <w:rPr>
          <w:rFonts w:eastAsiaTheme="minorEastAsia"/>
        </w:rPr>
        <w:t xml:space="preserve"> </w:t>
      </w:r>
      <w:r w:rsidRPr="00D20E88">
        <w:rPr>
          <w:rFonts w:eastAsiaTheme="minorEastAsia"/>
          <w:lang w:val="en-US"/>
        </w:rPr>
        <w:t xml:space="preserve">in overlapping PDCCH monitoring occasions </w:t>
      </w:r>
      <w:r w:rsidRPr="00D20E88">
        <w:rPr>
          <w:rFonts w:eastAsiaTheme="minorEastAsia"/>
        </w:rPr>
        <w:t>in multiple CORESETs</w:t>
      </w:r>
      <w:r w:rsidRPr="00D20E88">
        <w:rPr>
          <w:rFonts w:eastAsiaTheme="minorEastAsia"/>
          <w:lang w:val="en-US"/>
        </w:rPr>
        <w:t xml:space="preserve"> that have </w:t>
      </w:r>
      <w:r w:rsidR="00146FE2">
        <w:t xml:space="preserve">been configured with </w:t>
      </w:r>
      <w:r w:rsidR="003C5338">
        <w:rPr>
          <w:rFonts w:hint="eastAsia"/>
          <w:lang w:val="en-US" w:eastAsia="ko-KR"/>
        </w:rPr>
        <w:t xml:space="preserve">same or </w:t>
      </w:r>
      <w:r w:rsidRPr="00D20E88">
        <w:rPr>
          <w:rFonts w:eastAsiaTheme="minorEastAsia"/>
          <w:lang w:val="en-US"/>
        </w:rPr>
        <w:t xml:space="preserve">different </w:t>
      </w:r>
      <w:r w:rsidR="00146FE2">
        <w:rPr>
          <w:i/>
          <w:iCs/>
        </w:rPr>
        <w:t>qcl-Type</w:t>
      </w:r>
      <w:r w:rsidR="00146FE2">
        <w:t xml:space="preserve"> set to </w:t>
      </w:r>
      <w:r w:rsidR="00146FE2">
        <w:rPr>
          <w:lang w:val="en-US" w:eastAsia="ja-JP"/>
        </w:rPr>
        <w:t>'t</w:t>
      </w:r>
      <w:r w:rsidRPr="00D20E88">
        <w:rPr>
          <w:lang w:eastAsia="ja-JP"/>
        </w:rPr>
        <w:t>ypeD</w:t>
      </w:r>
      <w:r w:rsidR="00146FE2">
        <w:rPr>
          <w:lang w:val="en-US" w:eastAsia="ja-JP"/>
        </w:rPr>
        <w:t>'</w:t>
      </w:r>
      <w:r w:rsidRPr="00D20E88">
        <w:rPr>
          <w:lang w:eastAsia="ja-JP"/>
        </w:rPr>
        <w:t xml:space="preserve"> properties</w:t>
      </w:r>
      <w:r w:rsidRPr="00D20E88">
        <w:rPr>
          <w:lang w:val="en-US" w:eastAsia="ja-JP"/>
        </w:rPr>
        <w:t xml:space="preserve"> on active DL BWP(s) of one or more cells</w:t>
      </w:r>
    </w:p>
    <w:p w14:paraId="46C10321" w14:textId="7AA6A0E4" w:rsidR="003C403B" w:rsidRDefault="00373332" w:rsidP="00373332">
      <w:pPr>
        <w:rPr>
          <w:rFonts w:eastAsiaTheme="minorEastAsia"/>
          <w:lang w:val="en-US"/>
        </w:rPr>
      </w:pPr>
      <w:r w:rsidRPr="00D20E88">
        <w:rPr>
          <w:lang w:eastAsia="ja-JP"/>
        </w:rPr>
        <w:t xml:space="preserve">the UE </w:t>
      </w:r>
      <w:r w:rsidRPr="00D20E88">
        <w:rPr>
          <w:rFonts w:eastAsiaTheme="minorEastAsia"/>
        </w:rPr>
        <w:t xml:space="preserve">monitors PDCCHs only in a CORESET, </w:t>
      </w:r>
      <w:r w:rsidRPr="00D20E88">
        <w:rPr>
          <w:rFonts w:eastAsiaTheme="minorEastAsia"/>
          <w:lang w:val="en-US"/>
        </w:rPr>
        <w:t xml:space="preserve">and in any other CORESET from the multiple CORESETs </w:t>
      </w:r>
      <w:r w:rsidR="00146FE2">
        <w:rPr>
          <w:rFonts w:eastAsiaTheme="minorEastAsia"/>
          <w:lang w:val="en-US"/>
        </w:rPr>
        <w:t xml:space="preserve">that have been configured with </w:t>
      </w:r>
      <w:r w:rsidR="00146FE2">
        <w:rPr>
          <w:i/>
          <w:iCs/>
        </w:rPr>
        <w:t>qcl-Type</w:t>
      </w:r>
      <w:r w:rsidR="00146FE2">
        <w:t xml:space="preserve"> set to</w:t>
      </w:r>
      <w:r w:rsidRPr="00D20E88">
        <w:rPr>
          <w:rFonts w:eastAsiaTheme="minorEastAsia"/>
          <w:lang w:val="en-US"/>
        </w:rPr>
        <w:t xml:space="preserve"> same </w:t>
      </w:r>
      <w:r w:rsidR="00146FE2">
        <w:rPr>
          <w:rFonts w:eastAsiaTheme="minorEastAsia"/>
          <w:lang w:val="en-US"/>
        </w:rPr>
        <w:t>'t</w:t>
      </w:r>
      <w:r w:rsidRPr="00D20E88">
        <w:rPr>
          <w:rFonts w:eastAsiaTheme="minorEastAsia"/>
          <w:lang w:val="en-US"/>
        </w:rPr>
        <w:t>ypeD</w:t>
      </w:r>
      <w:r w:rsidR="00146FE2">
        <w:rPr>
          <w:rFonts w:eastAsiaTheme="minorEastAsia"/>
          <w:lang w:val="en-US"/>
        </w:rPr>
        <w:t>'</w:t>
      </w:r>
      <w:r w:rsidRPr="00D20E88">
        <w:rPr>
          <w:rFonts w:eastAsiaTheme="minorEastAsia"/>
          <w:lang w:val="en-US"/>
        </w:rPr>
        <w:t xml:space="preserve"> properties as the CORESET, on the active DL BWP of a cell from the one or more cells </w:t>
      </w:r>
    </w:p>
    <w:p w14:paraId="75A1E479" w14:textId="77777777" w:rsidR="00373332" w:rsidRPr="00D20E88" w:rsidRDefault="003C403B" w:rsidP="00326D6E">
      <w:pPr>
        <w:pStyle w:val="B1"/>
        <w:rPr>
          <w:rFonts w:eastAsiaTheme="minorEastAsia"/>
        </w:rPr>
      </w:pPr>
      <w:r>
        <w:rPr>
          <w:rFonts w:eastAsiaTheme="minorEastAsia"/>
        </w:rPr>
        <w:t>-</w:t>
      </w:r>
      <w:r>
        <w:rPr>
          <w:rFonts w:eastAsiaTheme="minorEastAsia"/>
        </w:rPr>
        <w:tab/>
      </w:r>
      <w:r>
        <w:rPr>
          <w:lang w:val="en-US"/>
        </w:rPr>
        <w:t>the CORESET</w:t>
      </w:r>
      <w:r w:rsidRPr="00D20E88">
        <w:rPr>
          <w:lang w:val="en-US"/>
        </w:rPr>
        <w:t xml:space="preserve"> </w:t>
      </w:r>
      <w:r w:rsidR="00373332" w:rsidRPr="00D20E88">
        <w:rPr>
          <w:rFonts w:eastAsiaTheme="minorEastAsia"/>
        </w:rPr>
        <w:t>corresponds</w:t>
      </w:r>
      <w:r w:rsidR="00373332" w:rsidRPr="00D20E88">
        <w:rPr>
          <w:lang w:eastAsia="ja-JP"/>
        </w:rPr>
        <w:t xml:space="preserve"> to the CSS set with the lowest index</w:t>
      </w:r>
      <w:r>
        <w:rPr>
          <w:lang w:val="en-US" w:eastAsia="ja-JP"/>
        </w:rPr>
        <w:t xml:space="preserve"> in the cell with the lowest index containing CSS</w:t>
      </w:r>
      <w:r w:rsidR="00373332" w:rsidRPr="00D20E88">
        <w:rPr>
          <w:lang w:eastAsia="ja-JP"/>
        </w:rPr>
        <w:t xml:space="preserve">, if any; otherwise, to the USS set with the lowest index </w:t>
      </w:r>
      <w:r>
        <w:rPr>
          <w:lang w:eastAsia="ja-JP"/>
        </w:rPr>
        <w:t>in the cell with lowest index</w:t>
      </w:r>
    </w:p>
    <w:p w14:paraId="5EC6EDD7" w14:textId="60A9BB72" w:rsidR="00373332" w:rsidRDefault="00373332" w:rsidP="00373332">
      <w:pPr>
        <w:pStyle w:val="B1"/>
        <w:rPr>
          <w:lang w:val="en-US" w:eastAsia="ja-JP"/>
        </w:rPr>
      </w:pPr>
      <w:r w:rsidRPr="00D20E88">
        <w:lastRenderedPageBreak/>
        <w:t>-</w:t>
      </w:r>
      <w:r w:rsidRPr="00D20E88">
        <w:tab/>
      </w:r>
      <w:r>
        <w:rPr>
          <w:lang w:val="en-US"/>
        </w:rPr>
        <w:t>the lowest USS set index is determined over all USS sets with at least one PDCCH candidate</w:t>
      </w:r>
      <w:r w:rsidRPr="00D20E88">
        <w:rPr>
          <w:lang w:val="en-US" w:eastAsia="ja-JP"/>
        </w:rPr>
        <w:t xml:space="preserve"> </w:t>
      </w:r>
      <w:r>
        <w:rPr>
          <w:lang w:val="en-US" w:eastAsia="ja-JP"/>
        </w:rPr>
        <w:t>in overlapping PDCCH monitoring occasions</w:t>
      </w:r>
    </w:p>
    <w:p w14:paraId="268C90A9" w14:textId="77777777" w:rsidR="00CE2354" w:rsidRPr="00D85FC3" w:rsidRDefault="00CE2354" w:rsidP="00CE2354">
      <w:r w:rsidRPr="00D85FC3">
        <w:t xml:space="preserve">If </w:t>
      </w:r>
      <w:r>
        <w:t>a</w:t>
      </w:r>
      <w:r w:rsidRPr="00D85FC3">
        <w:t xml:space="preserve"> UE </w:t>
      </w:r>
    </w:p>
    <w:p w14:paraId="799661F5" w14:textId="77777777" w:rsidR="00CE2354" w:rsidRPr="00D85FC3" w:rsidRDefault="00CE2354" w:rsidP="00CE2354">
      <w:pPr>
        <w:pStyle w:val="B1"/>
      </w:pPr>
      <w:r w:rsidRPr="00D85FC3">
        <w:t>-</w:t>
      </w:r>
      <w:r w:rsidRPr="00D85FC3">
        <w:tab/>
      </w:r>
      <w:r w:rsidRPr="00D85FC3">
        <w:rPr>
          <w:rFonts w:eastAsia="Malgun Gothic"/>
        </w:rPr>
        <w:t xml:space="preserve">is </w:t>
      </w:r>
      <w:r w:rsidRPr="00D85FC3">
        <w:rPr>
          <w:lang w:eastAsia="zh-CN"/>
        </w:rPr>
        <w:t xml:space="preserve">not provided </w:t>
      </w:r>
      <w:r w:rsidRPr="00D85FC3">
        <w:rPr>
          <w:i/>
        </w:rPr>
        <w:t>coresetPoolIndex</w:t>
      </w:r>
      <w:r w:rsidRPr="00D85FC3">
        <w:t xml:space="preserve"> for first CORESETs, or is provided </w:t>
      </w:r>
      <w:r w:rsidRPr="00D85FC3">
        <w:rPr>
          <w:i/>
        </w:rPr>
        <w:t>coresetPoolIndex</w:t>
      </w:r>
      <w:r w:rsidRPr="00D85FC3">
        <w:t xml:space="preserve"> with value 0 for first CORESETs, and </w:t>
      </w:r>
    </w:p>
    <w:p w14:paraId="1938E78C" w14:textId="77777777" w:rsidR="00CE2354" w:rsidRPr="00D85FC3" w:rsidRDefault="00CE2354" w:rsidP="00CE2354">
      <w:pPr>
        <w:pStyle w:val="B1"/>
      </w:pPr>
      <w:r w:rsidRPr="00D85FC3">
        <w:t>-</w:t>
      </w:r>
      <w:r w:rsidRPr="00D85FC3">
        <w:tab/>
        <w:t xml:space="preserve">is provided </w:t>
      </w:r>
      <w:r w:rsidRPr="00D85FC3">
        <w:rPr>
          <w:i/>
        </w:rPr>
        <w:t>coresetPoolIndex</w:t>
      </w:r>
      <w:r w:rsidRPr="00D85FC3">
        <w:t xml:space="preserve"> with value 1 for second CORESETs, and</w:t>
      </w:r>
    </w:p>
    <w:p w14:paraId="37179CEF" w14:textId="77777777" w:rsidR="00CE2354" w:rsidRPr="00D85FC3" w:rsidRDefault="00CE2354" w:rsidP="00CE2354">
      <w:pPr>
        <w:pStyle w:val="B1"/>
      </w:pPr>
      <w:r w:rsidRPr="00D85FC3">
        <w:t>-</w:t>
      </w:r>
      <w:r w:rsidRPr="00D85FC3">
        <w:tab/>
        <w:t xml:space="preserve">is provided </w:t>
      </w:r>
      <w:r w:rsidRPr="00D85FC3">
        <w:rPr>
          <w:rFonts w:eastAsia="Malgun Gothic"/>
          <w:i/>
          <w:iCs/>
        </w:rPr>
        <w:t>twoQCLTypeDforMulti-DCI</w:t>
      </w:r>
    </w:p>
    <w:p w14:paraId="1FEC43B5" w14:textId="77777777" w:rsidR="00CE2354" w:rsidRPr="00D85FC3" w:rsidRDefault="00CE2354" w:rsidP="00CE2354">
      <w:r w:rsidRPr="00D85FC3">
        <w:t xml:space="preserve">the UE applies </w:t>
      </w:r>
      <w:r>
        <w:t xml:space="preserve">the </w:t>
      </w:r>
      <w:r w:rsidRPr="00D85FC3">
        <w:t xml:space="preserve">procedures </w:t>
      </w:r>
      <w:r>
        <w:t xml:space="preserve">in the above paragraph </w:t>
      </w:r>
      <w:r w:rsidRPr="00D85FC3">
        <w:t>independently across the first CORESETs and the second CORESETs.</w:t>
      </w:r>
    </w:p>
    <w:p w14:paraId="0F2F861E" w14:textId="77777777" w:rsidR="00EB6836" w:rsidRPr="00F415B1" w:rsidRDefault="00EB6836" w:rsidP="00EB6836">
      <w:pPr>
        <w:rPr>
          <w:rFonts w:eastAsiaTheme="minorEastAsia"/>
        </w:rPr>
      </w:pPr>
      <w:r w:rsidRPr="00F415B1">
        <w:rPr>
          <w:rFonts w:eastAsiaTheme="minorEastAsia"/>
        </w:rPr>
        <w:t xml:space="preserve">If a UE </w:t>
      </w:r>
    </w:p>
    <w:p w14:paraId="2D38DDE7" w14:textId="77777777" w:rsidR="00EB6836" w:rsidRPr="00F415B1" w:rsidRDefault="00EB6836" w:rsidP="00EB6836">
      <w:pPr>
        <w:pStyle w:val="B1"/>
        <w:rPr>
          <w:lang w:val="en-US" w:eastAsia="ja-JP"/>
        </w:rPr>
      </w:pPr>
      <w:r w:rsidRPr="00F415B1">
        <w:t>-</w:t>
      </w:r>
      <w:r w:rsidRPr="00F415B1">
        <w:tab/>
      </w:r>
      <w:r w:rsidRPr="00F415B1">
        <w:rPr>
          <w:rFonts w:eastAsiaTheme="minorEastAsia"/>
        </w:rPr>
        <w:t>is configured f</w:t>
      </w:r>
      <w:r w:rsidRPr="00F415B1">
        <w:rPr>
          <w:lang w:eastAsia="ja-JP"/>
        </w:rPr>
        <w:t>or single cell operation or for operation with carrier aggregation in a same frequency band</w:t>
      </w:r>
      <w:r w:rsidRPr="00F415B1">
        <w:rPr>
          <w:lang w:val="en-US" w:eastAsia="ja-JP"/>
        </w:rPr>
        <w:t>,</w:t>
      </w:r>
    </w:p>
    <w:p w14:paraId="79A5B8D0" w14:textId="77777777" w:rsidR="00EB6836" w:rsidRPr="00F415B1" w:rsidRDefault="00EB6836" w:rsidP="00EB6836">
      <w:pPr>
        <w:pStyle w:val="B1"/>
        <w:rPr>
          <w:lang w:val="en-US" w:eastAsia="ja-JP"/>
        </w:rPr>
      </w:pPr>
      <w:r w:rsidRPr="00F415B1">
        <w:t>-</w:t>
      </w:r>
      <w:r w:rsidRPr="00F415B1">
        <w:tab/>
      </w:r>
      <w:r w:rsidRPr="00F415B1">
        <w:rPr>
          <w:rFonts w:eastAsiaTheme="minorEastAsia"/>
        </w:rPr>
        <w:t>monitors PDCCH</w:t>
      </w:r>
      <w:r w:rsidRPr="00F415B1">
        <w:rPr>
          <w:rFonts w:eastAsiaTheme="minorEastAsia"/>
          <w:lang w:val="en-US"/>
        </w:rPr>
        <w:t xml:space="preserve"> candidates</w:t>
      </w:r>
      <w:r w:rsidRPr="00F415B1">
        <w:rPr>
          <w:rFonts w:eastAsiaTheme="minorEastAsia"/>
        </w:rPr>
        <w:t xml:space="preserve"> </w:t>
      </w:r>
      <w:r w:rsidRPr="00F415B1">
        <w:rPr>
          <w:rFonts w:eastAsiaTheme="minorEastAsia"/>
          <w:lang w:val="en-US"/>
        </w:rPr>
        <w:t xml:space="preserve">in overlapping PDCCH monitoring occasions </w:t>
      </w:r>
      <w:r w:rsidRPr="00F415B1">
        <w:rPr>
          <w:rFonts w:eastAsiaTheme="minorEastAsia"/>
        </w:rPr>
        <w:t>in multiple CORESETs</w:t>
      </w:r>
      <w:r w:rsidRPr="00F415B1">
        <w:rPr>
          <w:rFonts w:eastAsiaTheme="minorEastAsia"/>
          <w:lang w:val="en-US"/>
        </w:rPr>
        <w:t xml:space="preserve"> that have </w:t>
      </w:r>
      <w:r w:rsidRPr="00F415B1">
        <w:t xml:space="preserve">been configured with </w:t>
      </w:r>
      <w:r w:rsidRPr="00F415B1">
        <w:rPr>
          <w:rFonts w:hint="eastAsia"/>
          <w:lang w:val="en-US" w:eastAsia="ko-KR"/>
        </w:rPr>
        <w:t xml:space="preserve">same or </w:t>
      </w:r>
      <w:r w:rsidRPr="00F415B1">
        <w:rPr>
          <w:rFonts w:eastAsiaTheme="minorEastAsia"/>
          <w:lang w:val="en-US"/>
        </w:rPr>
        <w:t xml:space="preserve">different </w:t>
      </w:r>
      <w:r w:rsidRPr="00F415B1">
        <w:rPr>
          <w:i/>
          <w:iCs/>
        </w:rPr>
        <w:t>qcl-Type</w:t>
      </w:r>
      <w:r w:rsidRPr="00F415B1">
        <w:t xml:space="preserve"> set to </w:t>
      </w:r>
      <w:r w:rsidRPr="00F415B1">
        <w:rPr>
          <w:lang w:val="en-US" w:eastAsia="ja-JP"/>
        </w:rPr>
        <w:t>'t</w:t>
      </w:r>
      <w:r w:rsidRPr="00F415B1">
        <w:rPr>
          <w:lang w:eastAsia="ja-JP"/>
        </w:rPr>
        <w:t>ypeD</w:t>
      </w:r>
      <w:r w:rsidRPr="00F415B1">
        <w:rPr>
          <w:lang w:val="en-US" w:eastAsia="ja-JP"/>
        </w:rPr>
        <w:t>'</w:t>
      </w:r>
      <w:r w:rsidRPr="00F415B1">
        <w:rPr>
          <w:lang w:eastAsia="ja-JP"/>
        </w:rPr>
        <w:t xml:space="preserve"> properties</w:t>
      </w:r>
      <w:r w:rsidRPr="00F415B1">
        <w:rPr>
          <w:lang w:val="en-US" w:eastAsia="ja-JP"/>
        </w:rPr>
        <w:t xml:space="preserve"> on active DL BWP(s) of one or more cells, and</w:t>
      </w:r>
    </w:p>
    <w:p w14:paraId="65AFF1DB" w14:textId="3792C83B" w:rsidR="00EB6836" w:rsidRPr="00F415B1" w:rsidRDefault="00EB6836" w:rsidP="00EB6836">
      <w:pPr>
        <w:pStyle w:val="B1"/>
        <w:rPr>
          <w:lang w:val="en-US" w:eastAsia="ja-JP"/>
        </w:rPr>
      </w:pPr>
      <w:r w:rsidRPr="00F415B1">
        <w:t>-</w:t>
      </w:r>
      <w:r w:rsidRPr="00F415B1">
        <w:tab/>
      </w:r>
      <w:r w:rsidRPr="00F415B1">
        <w:rPr>
          <w:rFonts w:eastAsiaTheme="minorEastAsia"/>
          <w:lang w:val="en-US"/>
        </w:rPr>
        <w:t xml:space="preserve">is provided </w:t>
      </w:r>
      <w:r w:rsidRPr="00F415B1">
        <w:rPr>
          <w:rFonts w:eastAsiaTheme="minorEastAsia"/>
          <w:i/>
          <w:iCs/>
          <w:lang w:val="en-US"/>
        </w:rPr>
        <w:t>twoQCLTypeDforPDCCHRepetition</w:t>
      </w:r>
    </w:p>
    <w:p w14:paraId="29DE46C9" w14:textId="00B80A35" w:rsidR="00EB6836" w:rsidRPr="00F415B1" w:rsidRDefault="00EB6836" w:rsidP="00EB6836">
      <w:pPr>
        <w:rPr>
          <w:rFonts w:eastAsiaTheme="minorEastAsia"/>
          <w:lang w:val="en-US"/>
        </w:rPr>
      </w:pPr>
      <w:r w:rsidRPr="00F415B1">
        <w:rPr>
          <w:lang w:eastAsia="ja-JP"/>
        </w:rPr>
        <w:t xml:space="preserve">the UE </w:t>
      </w:r>
      <w:r w:rsidRPr="00F415B1">
        <w:rPr>
          <w:rFonts w:eastAsiaTheme="minorEastAsia"/>
        </w:rPr>
        <w:t xml:space="preserve">monitors PDCCHs only in a first CORESET with </w:t>
      </w:r>
      <w:r w:rsidRPr="00F415B1">
        <w:rPr>
          <w:i/>
          <w:iCs/>
        </w:rPr>
        <w:t>qcl-Type</w:t>
      </w:r>
      <w:r w:rsidRPr="00F415B1">
        <w:t xml:space="preserve"> set to</w:t>
      </w:r>
      <w:r w:rsidRPr="00F415B1">
        <w:rPr>
          <w:rFonts w:eastAsiaTheme="minorEastAsia"/>
          <w:lang w:val="en-US"/>
        </w:rPr>
        <w:t xml:space="preserve"> first 'typeD' properties and, if any, in a second </w:t>
      </w:r>
      <w:r w:rsidRPr="00F415B1">
        <w:rPr>
          <w:rFonts w:eastAsiaTheme="minorEastAsia"/>
        </w:rPr>
        <w:t>CORESET</w:t>
      </w:r>
      <w:r w:rsidRPr="00F415B1">
        <w:rPr>
          <w:rFonts w:eastAsiaTheme="minorEastAsia"/>
          <w:lang w:val="en-US"/>
        </w:rPr>
        <w:t xml:space="preserve"> </w:t>
      </w:r>
      <w:r w:rsidRPr="00F415B1">
        <w:rPr>
          <w:rFonts w:eastAsiaTheme="minorEastAsia"/>
        </w:rPr>
        <w:t xml:space="preserve">with </w:t>
      </w:r>
      <w:r w:rsidRPr="00F415B1">
        <w:rPr>
          <w:i/>
          <w:iCs/>
        </w:rPr>
        <w:t>qcl-Type</w:t>
      </w:r>
      <w:r w:rsidRPr="00F415B1">
        <w:t xml:space="preserve"> set to</w:t>
      </w:r>
      <w:r w:rsidRPr="00F415B1">
        <w:rPr>
          <w:rFonts w:eastAsiaTheme="minorEastAsia"/>
          <w:lang w:val="en-US"/>
        </w:rPr>
        <w:t xml:space="preserve"> second 'typeD' properties</w:t>
      </w:r>
      <w:r w:rsidRPr="00F415B1">
        <w:rPr>
          <w:rFonts w:eastAsiaTheme="minorEastAsia"/>
        </w:rPr>
        <w:t xml:space="preserve"> that are different than the </w:t>
      </w:r>
      <w:r w:rsidRPr="00F415B1">
        <w:rPr>
          <w:rFonts w:eastAsiaTheme="minorEastAsia"/>
          <w:lang w:val="en-US"/>
        </w:rPr>
        <w:t xml:space="preserve">first 'typeD' properties, and in any other CORESET from the multiple CORESETs with corresponding </w:t>
      </w:r>
      <w:r w:rsidRPr="00F415B1">
        <w:rPr>
          <w:i/>
          <w:iCs/>
        </w:rPr>
        <w:t>qcl-Type</w:t>
      </w:r>
      <w:r w:rsidRPr="00F415B1">
        <w:t xml:space="preserve"> set to</w:t>
      </w:r>
      <w:r w:rsidRPr="00F415B1">
        <w:rPr>
          <w:rFonts w:eastAsiaTheme="minorEastAsia"/>
          <w:lang w:val="en-US"/>
        </w:rPr>
        <w:t xml:space="preserve"> </w:t>
      </w:r>
      <w:r w:rsidR="00461286">
        <w:rPr>
          <w:rFonts w:eastAsiaTheme="minorEastAsia"/>
          <w:lang w:val="en-US"/>
        </w:rPr>
        <w:t xml:space="preserve">either </w:t>
      </w:r>
      <w:r w:rsidRPr="00F415B1">
        <w:rPr>
          <w:rFonts w:eastAsiaTheme="minorEastAsia"/>
          <w:lang w:val="en-US"/>
        </w:rPr>
        <w:t xml:space="preserve">the first 'typeD' properties or to the second 'typeD' properties </w:t>
      </w:r>
    </w:p>
    <w:p w14:paraId="4F4E59E5" w14:textId="77777777" w:rsidR="00EB6836" w:rsidRPr="00F415B1" w:rsidRDefault="00EB6836" w:rsidP="00EB6836">
      <w:pPr>
        <w:pStyle w:val="B1"/>
        <w:rPr>
          <w:rFonts w:eastAsiaTheme="minorEastAsia"/>
        </w:rPr>
      </w:pPr>
      <w:r w:rsidRPr="00F415B1">
        <w:rPr>
          <w:rFonts w:eastAsiaTheme="minorEastAsia"/>
        </w:rPr>
        <w:t>-</w:t>
      </w:r>
      <w:r w:rsidRPr="00F415B1">
        <w:rPr>
          <w:rFonts w:eastAsiaTheme="minorEastAsia"/>
        </w:rPr>
        <w:tab/>
      </w:r>
      <w:r w:rsidRPr="00F415B1">
        <w:rPr>
          <w:lang w:val="en-US"/>
        </w:rPr>
        <w:t xml:space="preserve">the first CORESET </w:t>
      </w:r>
      <w:r w:rsidRPr="00F415B1">
        <w:rPr>
          <w:rFonts w:eastAsiaTheme="minorEastAsia"/>
        </w:rPr>
        <w:t>corresponds</w:t>
      </w:r>
      <w:r w:rsidRPr="00F415B1">
        <w:rPr>
          <w:lang w:eastAsia="ja-JP"/>
        </w:rPr>
        <w:t xml:space="preserve"> to the CSS set with the lowest index</w:t>
      </w:r>
      <w:r w:rsidRPr="00F415B1">
        <w:rPr>
          <w:lang w:val="en-US" w:eastAsia="ja-JP"/>
        </w:rPr>
        <w:t xml:space="preserve"> in the cell with the lowest index containing CSS sets</w:t>
      </w:r>
      <w:r w:rsidRPr="00F415B1">
        <w:rPr>
          <w:lang w:eastAsia="ja-JP"/>
        </w:rPr>
        <w:t>, if any; otherwise, to the USS set with the lowest index in the cell with lowest index</w:t>
      </w:r>
    </w:p>
    <w:p w14:paraId="0BDB8DF8" w14:textId="2F539694" w:rsidR="00EB6836" w:rsidRPr="00F415B1" w:rsidRDefault="00EB6836" w:rsidP="00EB6836">
      <w:pPr>
        <w:pStyle w:val="B1"/>
        <w:rPr>
          <w:iCs/>
          <w:lang w:val="en-US"/>
        </w:rPr>
      </w:pPr>
      <w:r w:rsidRPr="00F415B1">
        <w:rPr>
          <w:rFonts w:eastAsiaTheme="minorEastAsia"/>
        </w:rPr>
        <w:t>-</w:t>
      </w:r>
      <w:r w:rsidRPr="00F415B1">
        <w:rPr>
          <w:rFonts w:eastAsiaTheme="minorEastAsia"/>
        </w:rPr>
        <w:tab/>
      </w:r>
      <w:r w:rsidRPr="00F415B1">
        <w:rPr>
          <w:lang w:val="en-US" w:eastAsia="ja-JP"/>
        </w:rPr>
        <w:t xml:space="preserve">excluding CSS sets and USS sets associated with CORESETs </w:t>
      </w:r>
      <w:r w:rsidRPr="00F415B1">
        <w:rPr>
          <w:rFonts w:eastAsiaTheme="minorEastAsia"/>
        </w:rPr>
        <w:t xml:space="preserve">with </w:t>
      </w:r>
      <w:r w:rsidRPr="00F415B1">
        <w:rPr>
          <w:i/>
          <w:iCs/>
        </w:rPr>
        <w:t>qcl-Type</w:t>
      </w:r>
      <w:r w:rsidRPr="00F415B1">
        <w:t xml:space="preserve"> set to</w:t>
      </w:r>
      <w:r w:rsidRPr="00F415B1">
        <w:rPr>
          <w:rFonts w:eastAsiaTheme="minorEastAsia"/>
          <w:lang w:val="en-US"/>
        </w:rPr>
        <w:t xml:space="preserve"> first 'typeD' properties,</w:t>
      </w:r>
      <w:r w:rsidRPr="00F415B1">
        <w:rPr>
          <w:lang w:val="en-US"/>
        </w:rPr>
        <w:t xml:space="preserve"> the second CORESET </w:t>
      </w:r>
      <w:r w:rsidRPr="00F415B1">
        <w:rPr>
          <w:rFonts w:eastAsiaTheme="minorEastAsia"/>
        </w:rPr>
        <w:t>corresponds</w:t>
      </w:r>
      <w:r w:rsidRPr="00F415B1">
        <w:rPr>
          <w:lang w:eastAsia="ja-JP"/>
        </w:rPr>
        <w:t xml:space="preserve"> to</w:t>
      </w:r>
      <w:r w:rsidRPr="00F415B1">
        <w:rPr>
          <w:lang w:val="en-US" w:eastAsia="ja-JP"/>
        </w:rPr>
        <w:t xml:space="preserve"> the</w:t>
      </w:r>
      <w:r w:rsidRPr="00F415B1">
        <w:rPr>
          <w:lang w:eastAsia="ja-JP"/>
        </w:rPr>
        <w:t xml:space="preserve"> CSS set </w:t>
      </w:r>
      <w:r w:rsidRPr="00F415B1">
        <w:rPr>
          <w:lang w:val="en-US" w:eastAsia="ja-JP"/>
        </w:rPr>
        <w:t>with the lowest index in the cell with the lowest index containing CSS sets</w:t>
      </w:r>
      <w:r w:rsidR="00E84B3D">
        <w:rPr>
          <w:lang w:val="en-US" w:eastAsia="ja-JP"/>
        </w:rPr>
        <w:t>,</w:t>
      </w:r>
      <w:r w:rsidR="00E84B3D" w:rsidRPr="00F415B1">
        <w:rPr>
          <w:lang w:val="en-US" w:eastAsia="ja-JP"/>
        </w:rPr>
        <w:t xml:space="preserve"> </w:t>
      </w:r>
      <w:r w:rsidRPr="00F415B1">
        <w:rPr>
          <w:lang w:eastAsia="ja-JP"/>
        </w:rPr>
        <w:t>if any; otherwise, to</w:t>
      </w:r>
      <w:r w:rsidRPr="00F415B1">
        <w:rPr>
          <w:lang w:val="en-US" w:eastAsia="ja-JP"/>
        </w:rPr>
        <w:t xml:space="preserve"> the</w:t>
      </w:r>
      <w:r w:rsidRPr="00F415B1">
        <w:rPr>
          <w:lang w:eastAsia="ja-JP"/>
        </w:rPr>
        <w:t xml:space="preserve"> USS set with the lowest index</w:t>
      </w:r>
      <w:r w:rsidRPr="00F415B1">
        <w:rPr>
          <w:lang w:val="en-US" w:eastAsia="ja-JP"/>
        </w:rPr>
        <w:t xml:space="preserve"> </w:t>
      </w:r>
      <w:r w:rsidRPr="00F415B1">
        <w:rPr>
          <w:lang w:eastAsia="ja-JP"/>
        </w:rPr>
        <w:t>in the cell with lowest index</w:t>
      </w:r>
      <w:r w:rsidRPr="00F415B1">
        <w:rPr>
          <w:lang w:val="en-US" w:eastAsia="ja-JP"/>
        </w:rPr>
        <w:t xml:space="preserve">, where the CSS set or the USS set includes </w:t>
      </w:r>
      <w:r w:rsidRPr="00F415B1">
        <w:rPr>
          <w:i/>
          <w:lang w:val="en-US"/>
        </w:rPr>
        <w:t>searchSpaceLinking</w:t>
      </w:r>
      <w:r w:rsidR="00E84B3D">
        <w:rPr>
          <w:i/>
          <w:lang w:val="en-US"/>
        </w:rPr>
        <w:t>Id</w:t>
      </w:r>
      <w:r w:rsidRPr="00F415B1">
        <w:rPr>
          <w:iCs/>
        </w:rPr>
        <w:t xml:space="preserve"> with </w:t>
      </w:r>
      <w:r w:rsidR="00E84B3D">
        <w:rPr>
          <w:iCs/>
          <w:lang w:val="en-US"/>
        </w:rPr>
        <w:t>same</w:t>
      </w:r>
      <w:r w:rsidR="00E84B3D" w:rsidRPr="00F415B1">
        <w:rPr>
          <w:iCs/>
          <w:lang w:val="en-US"/>
        </w:rPr>
        <w:t xml:space="preserve"> </w:t>
      </w:r>
      <w:r w:rsidRPr="00F415B1">
        <w:rPr>
          <w:iCs/>
        </w:rPr>
        <w:t>value</w:t>
      </w:r>
      <w:r w:rsidRPr="00F415B1">
        <w:rPr>
          <w:iCs/>
          <w:lang w:val="en-US"/>
        </w:rPr>
        <w:t xml:space="preserve"> </w:t>
      </w:r>
      <w:r w:rsidR="00E84B3D">
        <w:rPr>
          <w:iCs/>
          <w:lang w:val="en-US"/>
        </w:rPr>
        <w:t>as</w:t>
      </w:r>
      <w:r w:rsidRPr="00F415B1">
        <w:rPr>
          <w:iCs/>
          <w:lang w:val="en-US"/>
        </w:rPr>
        <w:t xml:space="preserve"> any CSS set or any USS set associated </w:t>
      </w:r>
      <w:r w:rsidRPr="00F415B1">
        <w:rPr>
          <w:lang w:val="en-US" w:eastAsia="ja-JP"/>
        </w:rPr>
        <w:t xml:space="preserve">with CORESETs </w:t>
      </w:r>
      <w:r w:rsidRPr="00F415B1">
        <w:rPr>
          <w:rFonts w:eastAsiaTheme="minorEastAsia"/>
        </w:rPr>
        <w:t xml:space="preserve">with </w:t>
      </w:r>
      <w:r w:rsidRPr="00F415B1">
        <w:rPr>
          <w:i/>
          <w:iCs/>
        </w:rPr>
        <w:t>qcl-Type</w:t>
      </w:r>
      <w:r w:rsidRPr="00F415B1">
        <w:t xml:space="preserve"> set to</w:t>
      </w:r>
      <w:r w:rsidRPr="00F415B1">
        <w:rPr>
          <w:rFonts w:eastAsiaTheme="minorEastAsia"/>
          <w:lang w:val="en-US"/>
        </w:rPr>
        <w:t xml:space="preserve"> first 'typeD' properties</w:t>
      </w:r>
    </w:p>
    <w:p w14:paraId="00E22C87" w14:textId="77777777" w:rsidR="00EB6836" w:rsidRPr="00F415B1" w:rsidRDefault="00EB6836" w:rsidP="00EB6836">
      <w:pPr>
        <w:pStyle w:val="B1"/>
        <w:rPr>
          <w:lang w:val="en-US" w:eastAsia="ja-JP"/>
        </w:rPr>
      </w:pPr>
      <w:r w:rsidRPr="00F415B1">
        <w:t>-</w:t>
      </w:r>
      <w:r w:rsidRPr="00F415B1">
        <w:tab/>
      </w:r>
      <w:r w:rsidRPr="00F415B1">
        <w:rPr>
          <w:lang w:val="en-US"/>
        </w:rPr>
        <w:t>the lowest USS set index is determined over all USS sets with at least one PDCCH candidate</w:t>
      </w:r>
      <w:r w:rsidRPr="00F415B1">
        <w:rPr>
          <w:lang w:val="en-US" w:eastAsia="ja-JP"/>
        </w:rPr>
        <w:t xml:space="preserve"> in overlapping PDCCH monitoring occasions</w:t>
      </w:r>
    </w:p>
    <w:p w14:paraId="7FD2EAD1" w14:textId="77777777" w:rsidR="00EB6836" w:rsidRPr="00F415B1" w:rsidRDefault="00EB6836" w:rsidP="00EB6836">
      <w:r w:rsidRPr="00F415B1">
        <w:t xml:space="preserve">If a UE </w:t>
      </w:r>
    </w:p>
    <w:p w14:paraId="59874179" w14:textId="77777777" w:rsidR="00EB6836" w:rsidRPr="00F415B1" w:rsidRDefault="00EB6836" w:rsidP="00D8081C">
      <w:pPr>
        <w:pStyle w:val="B1"/>
        <w:rPr>
          <w:lang w:eastAsia="ja-JP"/>
        </w:rPr>
      </w:pPr>
      <w:r w:rsidRPr="00F415B1">
        <w:t>-</w:t>
      </w:r>
      <w:r w:rsidRPr="00F415B1">
        <w:tab/>
        <w:t>is configured f</w:t>
      </w:r>
      <w:r w:rsidRPr="00F415B1">
        <w:rPr>
          <w:lang w:eastAsia="ja-JP"/>
        </w:rPr>
        <w:t xml:space="preserve">or single cell operation or for operation with carrier aggregation in a same frequency band, </w:t>
      </w:r>
    </w:p>
    <w:p w14:paraId="34E79367" w14:textId="77777777" w:rsidR="00EB6836" w:rsidRDefault="00EB6836" w:rsidP="00D8081C">
      <w:pPr>
        <w:pStyle w:val="B1"/>
        <w:rPr>
          <w:lang w:eastAsia="ja-JP"/>
        </w:rPr>
      </w:pPr>
      <w:r w:rsidRPr="00F415B1">
        <w:t>-</w:t>
      </w:r>
      <w:r w:rsidRPr="00F415B1">
        <w:tab/>
        <w:t xml:space="preserve">monitors PDCCH candidates in overlapping PDCCH monitoring occasions in multiple CORESETs that have been configured with </w:t>
      </w:r>
      <w:r w:rsidRPr="00F415B1">
        <w:rPr>
          <w:rFonts w:hint="eastAsia"/>
          <w:lang w:eastAsia="ko-KR"/>
        </w:rPr>
        <w:t xml:space="preserve">same or </w:t>
      </w:r>
      <w:r w:rsidRPr="00F415B1">
        <w:t xml:space="preserve">different </w:t>
      </w:r>
      <w:r w:rsidRPr="00F415B1">
        <w:rPr>
          <w:i/>
          <w:iCs/>
        </w:rPr>
        <w:t>qcl-Type</w:t>
      </w:r>
      <w:r w:rsidRPr="00F415B1">
        <w:t xml:space="preserve"> set to </w:t>
      </w:r>
      <w:r w:rsidRPr="00F415B1">
        <w:rPr>
          <w:lang w:eastAsia="ja-JP"/>
        </w:rPr>
        <w:t xml:space="preserve">'typeD' properties on active DL BWP(s) of one or more cells, </w:t>
      </w:r>
    </w:p>
    <w:p w14:paraId="330EA518" w14:textId="77777777" w:rsidR="00EB6836" w:rsidRPr="00F415B1" w:rsidRDefault="00EB6836" w:rsidP="00D8081C">
      <w:pPr>
        <w:pStyle w:val="B1"/>
        <w:rPr>
          <w:lang w:eastAsia="ja-JP"/>
        </w:rPr>
      </w:pPr>
      <w:r w:rsidRPr="00F415B1">
        <w:t>-</w:t>
      </w:r>
      <w:r w:rsidRPr="00F415B1">
        <w:tab/>
      </w:r>
      <w:r>
        <w:rPr>
          <w:lang w:val="en-US"/>
        </w:rPr>
        <w:t>one or more CORESETs have two activated TCI states</w:t>
      </w:r>
      <w:r w:rsidRPr="00F415B1">
        <w:rPr>
          <w:lang w:eastAsia="ja-JP"/>
        </w:rPr>
        <w:t>, and</w:t>
      </w:r>
    </w:p>
    <w:p w14:paraId="53E058EB" w14:textId="1196DD22" w:rsidR="00EB6836" w:rsidRPr="00F415B1" w:rsidRDefault="00EB6836" w:rsidP="00D8081C">
      <w:pPr>
        <w:pStyle w:val="B1"/>
        <w:rPr>
          <w:lang w:eastAsia="ja-JP"/>
        </w:rPr>
      </w:pPr>
      <w:r w:rsidRPr="00F415B1">
        <w:t>-</w:t>
      </w:r>
      <w:r w:rsidRPr="00F415B1">
        <w:tab/>
        <w:t xml:space="preserve">reports </w:t>
      </w:r>
      <w:r w:rsidR="0054070B" w:rsidRPr="0054070B">
        <w:rPr>
          <w:i/>
        </w:rPr>
        <w:t>sfn-QCL-TypeD-Collision-twoTCI</w:t>
      </w:r>
    </w:p>
    <w:p w14:paraId="60C008FC" w14:textId="6A1B1DAB" w:rsidR="00EB6836" w:rsidRPr="00F415B1" w:rsidRDefault="00EB6836" w:rsidP="00EB6836">
      <w:r w:rsidRPr="00F415B1">
        <w:rPr>
          <w:lang w:eastAsia="ja-JP"/>
        </w:rPr>
        <w:t xml:space="preserve">the UE </w:t>
      </w:r>
      <w:r w:rsidRPr="00F415B1">
        <w:t xml:space="preserve">monitors PDCCHs only in a CORESET with a first </w:t>
      </w:r>
      <w:r w:rsidRPr="00F415B1">
        <w:rPr>
          <w:i/>
          <w:iCs/>
        </w:rPr>
        <w:t>qcl-Type</w:t>
      </w:r>
      <w:r w:rsidRPr="00F415B1">
        <w:t xml:space="preserve"> set to first 'typeD' properties and, if any, a second </w:t>
      </w:r>
      <w:r w:rsidRPr="00F415B1">
        <w:rPr>
          <w:i/>
          <w:iCs/>
        </w:rPr>
        <w:t>qcl-Type</w:t>
      </w:r>
      <w:r w:rsidRPr="00F415B1">
        <w:t xml:space="preserve"> set to second 'typeD' properties that are different than the first 'typeD' properties, and in any other CORESET from the multiple CORESETs with corresponding </w:t>
      </w:r>
      <w:r w:rsidRPr="00F415B1">
        <w:rPr>
          <w:i/>
          <w:iCs/>
        </w:rPr>
        <w:t>qcl-Type</w:t>
      </w:r>
      <w:r w:rsidRPr="00F415B1">
        <w:t xml:space="preserve"> set to the first 'typeD' properties </w:t>
      </w:r>
      <w:r w:rsidR="0054070B">
        <w:t>and/</w:t>
      </w:r>
      <w:r w:rsidRPr="00F415B1">
        <w:t xml:space="preserve">or to the second 'typeD' properties </w:t>
      </w:r>
    </w:p>
    <w:p w14:paraId="42258EAD" w14:textId="77777777" w:rsidR="00EB6836" w:rsidRPr="00F415B1" w:rsidRDefault="00EB6836" w:rsidP="00D8081C">
      <w:pPr>
        <w:pStyle w:val="B1"/>
      </w:pPr>
      <w:r w:rsidRPr="00F415B1">
        <w:t>-</w:t>
      </w:r>
      <w:r w:rsidRPr="00F415B1">
        <w:tab/>
        <w:t>the CORESET corresponds</w:t>
      </w:r>
      <w:r w:rsidRPr="00F415B1">
        <w:rPr>
          <w:lang w:eastAsia="ja-JP"/>
        </w:rPr>
        <w:t xml:space="preserve"> to the CSS set with the lowest index in the cell with the lowest index containing CSS, if any; otherwise, to the USS set with the lowest index in the cell with lowest index</w:t>
      </w:r>
    </w:p>
    <w:p w14:paraId="6A8900B8" w14:textId="327906A9" w:rsidR="00EB6836" w:rsidRPr="00D8081C" w:rsidRDefault="00EB6836" w:rsidP="00EB113F">
      <w:pPr>
        <w:pStyle w:val="B1"/>
        <w:rPr>
          <w:lang w:val="en-GB" w:eastAsia="ja-JP"/>
        </w:rPr>
      </w:pPr>
      <w:r w:rsidRPr="00F415B1">
        <w:t>-</w:t>
      </w:r>
      <w:r w:rsidRPr="00F415B1">
        <w:tab/>
        <w:t>the lowest USS set index is determined over all USS sets with at least one PDCCH candidate</w:t>
      </w:r>
      <w:r w:rsidRPr="00F415B1">
        <w:rPr>
          <w:lang w:eastAsia="ja-JP"/>
        </w:rPr>
        <w:t xml:space="preserve"> in overlapping PDCCH monitoring occasions</w:t>
      </w:r>
    </w:p>
    <w:p w14:paraId="109F42ED" w14:textId="73142269" w:rsidR="00373332" w:rsidRPr="00D20E88" w:rsidRDefault="00EB113F" w:rsidP="00D8081C">
      <w:pPr>
        <w:rPr>
          <w:lang w:val="en-US" w:eastAsia="ja-JP"/>
        </w:rPr>
      </w:pPr>
      <w:r w:rsidRPr="00F415B1">
        <w:rPr>
          <w:lang w:val="en-US"/>
        </w:rPr>
        <w:lastRenderedPageBreak/>
        <w:t>For</w:t>
      </w:r>
      <w:r w:rsidR="00373332" w:rsidRPr="00D20E88">
        <w:rPr>
          <w:rFonts w:eastAsiaTheme="minorEastAsia"/>
          <w:lang w:val="en-US"/>
        </w:rPr>
        <w:t xml:space="preserve"> the purpose of determining the CORESET,</w:t>
      </w:r>
      <w:r w:rsidR="00373332" w:rsidRPr="00D20E88">
        <w:rPr>
          <w:rFonts w:eastAsiaTheme="minorEastAsia"/>
        </w:rPr>
        <w:t xml:space="preserve"> </w:t>
      </w:r>
      <w:r w:rsidR="00373332" w:rsidRPr="00D20E88">
        <w:rPr>
          <w:lang w:eastAsia="ja-JP"/>
        </w:rPr>
        <w:t xml:space="preserve">a SS/PBCH block </w:t>
      </w:r>
      <w:r w:rsidR="00373332" w:rsidRPr="00D20E88">
        <w:rPr>
          <w:lang w:val="en-US" w:eastAsia="ja-JP"/>
        </w:rPr>
        <w:t>is considered to have different</w:t>
      </w:r>
      <w:r w:rsidR="00373332" w:rsidRPr="00D20E88">
        <w:rPr>
          <w:lang w:eastAsia="ja-JP"/>
        </w:rPr>
        <w:t xml:space="preserve"> QCL</w:t>
      </w:r>
      <w:r w:rsidR="00146FE2">
        <w:rPr>
          <w:lang w:val="en-US" w:eastAsia="ja-JP"/>
        </w:rPr>
        <w:t xml:space="preserve"> 't</w:t>
      </w:r>
      <w:r w:rsidR="00373332" w:rsidRPr="00D20E88">
        <w:rPr>
          <w:lang w:eastAsia="ja-JP"/>
        </w:rPr>
        <w:t>ypeD</w:t>
      </w:r>
      <w:r w:rsidR="00146FE2">
        <w:rPr>
          <w:lang w:val="en-US" w:eastAsia="ja-JP"/>
        </w:rPr>
        <w:t>'</w:t>
      </w:r>
      <w:r w:rsidR="00373332" w:rsidRPr="00D20E88">
        <w:rPr>
          <w:lang w:eastAsia="ja-JP"/>
        </w:rPr>
        <w:t xml:space="preserve"> </w:t>
      </w:r>
      <w:r w:rsidR="00373332" w:rsidRPr="00D20E88">
        <w:rPr>
          <w:lang w:val="en-US" w:eastAsia="ja-JP"/>
        </w:rPr>
        <w:t xml:space="preserve">properties than </w:t>
      </w:r>
      <w:r w:rsidR="00373332" w:rsidRPr="00D20E88">
        <w:rPr>
          <w:lang w:eastAsia="ja-JP"/>
        </w:rPr>
        <w:t>a CSI-RS</w:t>
      </w:r>
      <w:r>
        <w:rPr>
          <w:lang w:eastAsia="ja-JP"/>
        </w:rPr>
        <w:t>.</w:t>
      </w:r>
      <w:r w:rsidR="00373332" w:rsidRPr="00D20E88">
        <w:rPr>
          <w:lang w:val="en-US" w:eastAsia="ja-JP"/>
        </w:rPr>
        <w:t xml:space="preserve"> </w:t>
      </w:r>
    </w:p>
    <w:p w14:paraId="48D72E34" w14:textId="4D023599" w:rsidR="00373332" w:rsidRPr="00D20E88" w:rsidRDefault="00EB113F" w:rsidP="00D8081C">
      <w:pPr>
        <w:rPr>
          <w:lang w:val="en-US" w:eastAsia="ja-JP"/>
        </w:rPr>
      </w:pPr>
      <w:r w:rsidRPr="00F415B1">
        <w:rPr>
          <w:lang w:val="en-US"/>
        </w:rPr>
        <w:t>For</w:t>
      </w:r>
      <w:r w:rsidR="00373332" w:rsidRPr="00D20E88">
        <w:rPr>
          <w:lang w:val="en-US"/>
        </w:rPr>
        <w:t xml:space="preserve"> the purpose of determining the CORESET,</w:t>
      </w:r>
      <w:r w:rsidR="00373332" w:rsidRPr="00D20E88">
        <w:t xml:space="preserve"> </w:t>
      </w:r>
      <w:r w:rsidR="00373332" w:rsidRPr="00BF4D50">
        <w:t xml:space="preserve">a </w:t>
      </w:r>
      <w:r w:rsidR="00373332">
        <w:rPr>
          <w:lang w:val="en-US"/>
        </w:rPr>
        <w:t xml:space="preserve">first </w:t>
      </w:r>
      <w:r w:rsidR="00373332" w:rsidRPr="00BF4D50">
        <w:t>CSI-RS associated</w:t>
      </w:r>
      <w:r w:rsidR="00373332">
        <w:t xml:space="preserve"> with a SS/PBCH block in </w:t>
      </w:r>
      <w:r w:rsidR="00373332">
        <w:rPr>
          <w:lang w:val="en-US"/>
        </w:rPr>
        <w:t>a</w:t>
      </w:r>
      <w:r w:rsidR="00373332">
        <w:t xml:space="preserve"> </w:t>
      </w:r>
      <w:r w:rsidR="00373332">
        <w:rPr>
          <w:lang w:val="en-US"/>
        </w:rPr>
        <w:t>first</w:t>
      </w:r>
      <w:r w:rsidR="00373332">
        <w:t xml:space="preserve"> cell and a</w:t>
      </w:r>
      <w:r w:rsidR="00373332">
        <w:rPr>
          <w:lang w:val="en-US"/>
        </w:rPr>
        <w:t xml:space="preserve"> second</w:t>
      </w:r>
      <w:r w:rsidR="00373332">
        <w:t xml:space="preserve"> CSI-RS </w:t>
      </w:r>
      <w:r w:rsidR="00373332">
        <w:rPr>
          <w:lang w:val="en-US"/>
        </w:rPr>
        <w:t xml:space="preserve">in a second cell that is also </w:t>
      </w:r>
      <w:r w:rsidR="00373332" w:rsidRPr="00BF4D50">
        <w:t>associated</w:t>
      </w:r>
      <w:r w:rsidR="00373332">
        <w:t xml:space="preserve"> with </w:t>
      </w:r>
      <w:r w:rsidR="00373332">
        <w:rPr>
          <w:lang w:val="en-US"/>
        </w:rPr>
        <w:t>the</w:t>
      </w:r>
      <w:r w:rsidR="00373332">
        <w:t xml:space="preserve"> SS/PBCH block</w:t>
      </w:r>
      <w:r w:rsidR="00373332">
        <w:rPr>
          <w:lang w:val="en-US"/>
        </w:rPr>
        <w:t xml:space="preserve"> </w:t>
      </w:r>
      <w:r w:rsidR="00373332" w:rsidRPr="00BF4D50">
        <w:t xml:space="preserve">are </w:t>
      </w:r>
      <w:r w:rsidR="00373332">
        <w:t>assumed to have</w:t>
      </w:r>
      <w:r w:rsidR="00373332" w:rsidRPr="00BF4D50">
        <w:t xml:space="preserve"> same QCL</w:t>
      </w:r>
      <w:r w:rsidR="00146FE2">
        <w:rPr>
          <w:lang w:val="en-US"/>
        </w:rPr>
        <w:t xml:space="preserve"> 't</w:t>
      </w:r>
      <w:r w:rsidR="00373332" w:rsidRPr="00BF4D50">
        <w:t>ypeD</w:t>
      </w:r>
      <w:r w:rsidR="00146FE2">
        <w:rPr>
          <w:lang w:val="en-US"/>
        </w:rPr>
        <w:t>'</w:t>
      </w:r>
      <w:r w:rsidR="00373332" w:rsidRPr="00BF4D50">
        <w:t xml:space="preserve"> properties</w:t>
      </w:r>
      <w:r>
        <w:t>.</w:t>
      </w:r>
      <w:r w:rsidR="00373332" w:rsidRPr="00D20E88">
        <w:rPr>
          <w:lang w:val="en-US" w:eastAsia="ja-JP"/>
        </w:rPr>
        <w:t xml:space="preserve"> </w:t>
      </w:r>
    </w:p>
    <w:p w14:paraId="02144BE6" w14:textId="69DC04E5" w:rsidR="00373332" w:rsidRPr="00D20E88" w:rsidRDefault="00EB113F" w:rsidP="00D8081C">
      <w:pPr>
        <w:rPr>
          <w:lang w:val="en-US"/>
        </w:rPr>
      </w:pPr>
      <w:r>
        <w:t>T</w:t>
      </w:r>
      <w:r w:rsidR="00373332" w:rsidRPr="00D20E88">
        <w:rPr>
          <w:lang w:val="en-US"/>
        </w:rPr>
        <w:t xml:space="preserve">he allocation of non-overlapping CCEs and of PDCCH candidates for PDCCH monitoring is according to all search space sets associated with the multiple CORESETs </w:t>
      </w:r>
      <w:r w:rsidR="00373332" w:rsidRPr="00D20E88">
        <w:rPr>
          <w:lang w:val="en-US" w:eastAsia="ja-JP"/>
        </w:rPr>
        <w:t>on the active DL BWP(s) of the one or more cells</w:t>
      </w:r>
      <w:r>
        <w:rPr>
          <w:lang w:val="en-US" w:eastAsia="ja-JP"/>
        </w:rPr>
        <w:t>.</w:t>
      </w:r>
      <w:r w:rsidR="00373332" w:rsidRPr="00D20E88">
        <w:rPr>
          <w:lang w:val="en-US"/>
        </w:rPr>
        <w:t xml:space="preserve"> </w:t>
      </w:r>
    </w:p>
    <w:p w14:paraId="5FB06336" w14:textId="2EB7B74F" w:rsidR="00373332" w:rsidRPr="00D20E88" w:rsidRDefault="00EB113F" w:rsidP="00D8081C">
      <w:pPr>
        <w:rPr>
          <w:lang w:val="en-US"/>
        </w:rPr>
      </w:pPr>
      <w:r>
        <w:t>T</w:t>
      </w:r>
      <w:r w:rsidR="00373332" w:rsidRPr="00D20E88">
        <w:rPr>
          <w:lang w:val="en-US"/>
        </w:rPr>
        <w:t>he number of active TCI states is determined from the multiple CORESETs</w:t>
      </w:r>
      <w:r>
        <w:rPr>
          <w:lang w:val="en-US"/>
        </w:rPr>
        <w:t>.</w:t>
      </w:r>
      <w:r w:rsidR="00373332" w:rsidRPr="00D20E88">
        <w:rPr>
          <w:lang w:val="en-US"/>
        </w:rPr>
        <w:t xml:space="preserve"> </w:t>
      </w:r>
    </w:p>
    <w:p w14:paraId="0CDAF25A" w14:textId="77777777" w:rsidR="00373332" w:rsidRPr="00D20E88" w:rsidRDefault="00373332" w:rsidP="00373332">
      <w:r w:rsidRPr="00D20E88">
        <w:t xml:space="preserve">If a UE </w:t>
      </w:r>
    </w:p>
    <w:p w14:paraId="4690281C" w14:textId="77777777" w:rsidR="00373332" w:rsidRDefault="00373332" w:rsidP="00373332">
      <w:pPr>
        <w:pStyle w:val="B1"/>
        <w:rPr>
          <w:lang w:val="en-US" w:eastAsia="ja-JP"/>
        </w:rPr>
      </w:pPr>
      <w:r w:rsidRPr="00D20E88">
        <w:t>-</w:t>
      </w:r>
      <w:r w:rsidRPr="00D20E88">
        <w:tab/>
        <w:t>is configured f</w:t>
      </w:r>
      <w:r w:rsidRPr="00D20E88">
        <w:rPr>
          <w:lang w:eastAsia="ja-JP"/>
        </w:rPr>
        <w:t>or single cell operation or for operation with carrier aggregation in a same frequency band</w:t>
      </w:r>
      <w:r w:rsidRPr="00D20E88">
        <w:rPr>
          <w:lang w:val="en-US" w:eastAsia="ja-JP"/>
        </w:rPr>
        <w:t>, and</w:t>
      </w:r>
    </w:p>
    <w:p w14:paraId="235F839B" w14:textId="100711C7" w:rsidR="00373332" w:rsidRDefault="00373332" w:rsidP="00373332">
      <w:pPr>
        <w:pStyle w:val="B1"/>
        <w:rPr>
          <w:lang w:eastAsia="ja-JP"/>
        </w:rPr>
      </w:pPr>
      <w:r w:rsidRPr="00D20E88">
        <w:t>-</w:t>
      </w:r>
      <w:r w:rsidRPr="00D20E88">
        <w:tab/>
        <w:t>monitors PDCCH</w:t>
      </w:r>
      <w:r>
        <w:rPr>
          <w:lang w:val="en-US"/>
        </w:rPr>
        <w:t xml:space="preserve"> candidate</w:t>
      </w:r>
      <w:r w:rsidRPr="00D20E88">
        <w:rPr>
          <w:lang w:val="en-US"/>
        </w:rPr>
        <w:t>s</w:t>
      </w:r>
      <w:r w:rsidRPr="00D20E88">
        <w:t xml:space="preserve"> </w:t>
      </w:r>
      <w:r w:rsidRPr="00D20E88">
        <w:rPr>
          <w:lang w:val="en-US"/>
        </w:rPr>
        <w:t xml:space="preserve">in overlapping PDCCH monitoring occasions </w:t>
      </w:r>
      <w:r w:rsidRPr="00D20E88">
        <w:t>in multiple CORESETs</w:t>
      </w:r>
      <w:r w:rsidRPr="00D20E88">
        <w:rPr>
          <w:lang w:val="en-US"/>
        </w:rPr>
        <w:t xml:space="preserve"> </w:t>
      </w:r>
      <w:r>
        <w:rPr>
          <w:lang w:val="en-US"/>
        </w:rPr>
        <w:t>where none of the CORESETs has TCI-states</w:t>
      </w:r>
      <w:r w:rsidRPr="00D20E88">
        <w:rPr>
          <w:lang w:eastAsia="ja-JP"/>
        </w:rPr>
        <w:t xml:space="preserve"> </w:t>
      </w:r>
      <w:r w:rsidR="00146FE2">
        <w:rPr>
          <w:lang w:val="en-US" w:eastAsia="ja-JP"/>
        </w:rPr>
        <w:t xml:space="preserve">configured </w:t>
      </w:r>
      <w:r w:rsidR="00146FE2">
        <w:rPr>
          <w:lang w:eastAsia="ja-JP"/>
        </w:rPr>
        <w:t xml:space="preserve">with </w:t>
      </w:r>
      <w:r w:rsidR="00146FE2">
        <w:rPr>
          <w:i/>
          <w:iCs/>
          <w:lang w:eastAsia="ja-JP"/>
        </w:rPr>
        <w:t>qcl-Type</w:t>
      </w:r>
      <w:r w:rsidR="00146FE2">
        <w:rPr>
          <w:lang w:eastAsia="ja-JP"/>
        </w:rPr>
        <w:t xml:space="preserve"> set to</w:t>
      </w:r>
      <w:r>
        <w:rPr>
          <w:lang w:eastAsia="ja-JP"/>
        </w:rPr>
        <w:t xml:space="preserve"> </w:t>
      </w:r>
      <w:r w:rsidR="00E7283E">
        <w:rPr>
          <w:lang w:eastAsia="ja-JP"/>
        </w:rPr>
        <w:t>'</w:t>
      </w:r>
      <w:r w:rsidR="00146FE2">
        <w:rPr>
          <w:lang w:val="en-US" w:eastAsia="ja-JP"/>
        </w:rPr>
        <w:t>t</w:t>
      </w:r>
      <w:r>
        <w:rPr>
          <w:lang w:eastAsia="ja-JP"/>
        </w:rPr>
        <w:t>ypeD</w:t>
      </w:r>
      <w:r w:rsidR="00E7283E">
        <w:rPr>
          <w:lang w:eastAsia="ja-JP"/>
        </w:rPr>
        <w:t>'</w:t>
      </w:r>
      <w:r>
        <w:rPr>
          <w:lang w:eastAsia="ja-JP"/>
        </w:rPr>
        <w:t>,</w:t>
      </w:r>
      <w:r w:rsidRPr="006E25ED">
        <w:rPr>
          <w:lang w:eastAsia="ja-JP"/>
        </w:rPr>
        <w:t xml:space="preserve"> </w:t>
      </w:r>
    </w:p>
    <w:p w14:paraId="22488516" w14:textId="77777777" w:rsidR="00373332" w:rsidRPr="00DE1E44" w:rsidRDefault="00373332" w:rsidP="00A32336">
      <w:r>
        <w:t xml:space="preserve">the UE is required to </w:t>
      </w:r>
      <w:r w:rsidRPr="006E25ED">
        <w:t>monitor PDCCH</w:t>
      </w:r>
      <w:r>
        <w:t xml:space="preserve"> candidate</w:t>
      </w:r>
      <w:r w:rsidRPr="006E25ED">
        <w:t xml:space="preserve">s in </w:t>
      </w:r>
      <w:r>
        <w:t>overlapping</w:t>
      </w:r>
      <w:r w:rsidRPr="006E25ED">
        <w:t xml:space="preserve"> </w:t>
      </w:r>
      <w:r>
        <w:t xml:space="preserve">PDCCH </w:t>
      </w:r>
      <w:r w:rsidRPr="006E25ED">
        <w:t xml:space="preserve">monitoring occasions </w:t>
      </w:r>
      <w:r>
        <w:t xml:space="preserve">for search space sets </w:t>
      </w:r>
      <w:r w:rsidRPr="006E25ED">
        <w:t>associated with different CORESETs</w:t>
      </w:r>
      <w:r>
        <w:t>.</w:t>
      </w:r>
    </w:p>
    <w:p w14:paraId="5326642C" w14:textId="77A30424" w:rsidR="00373332" w:rsidRPr="00D20E88" w:rsidRDefault="00373332" w:rsidP="00373332">
      <w:pPr>
        <w:rPr>
          <w:lang w:eastAsia="ja-JP"/>
        </w:rPr>
      </w:pPr>
      <w:r w:rsidRPr="00D20E88">
        <w:rPr>
          <w:lang w:eastAsia="ja-JP"/>
        </w:rPr>
        <w:t xml:space="preserve">For a scheduled cell and at any time, </w:t>
      </w:r>
      <w:r w:rsidR="008F22C5">
        <w:rPr>
          <w:lang w:eastAsia="ja-JP"/>
        </w:rPr>
        <w:t xml:space="preserve">if </w:t>
      </w:r>
      <w:r w:rsidRPr="00D20E88">
        <w:rPr>
          <w:lang w:eastAsia="ja-JP"/>
        </w:rPr>
        <w:t xml:space="preserve">a UE </w:t>
      </w:r>
      <w:r w:rsidR="008F22C5" w:rsidRPr="0088027F">
        <w:rPr>
          <w:lang w:eastAsia="ja-JP"/>
        </w:rPr>
        <w:t xml:space="preserve">is provided a C-RNTI, the UE </w:t>
      </w:r>
      <w:r w:rsidRPr="00D20E88">
        <w:rPr>
          <w:lang w:eastAsia="ja-JP"/>
        </w:rPr>
        <w:t>expects to have received at most 16 PDCCHs for DCI formats with CRC scrambled by C-RNTI, CS-RNTI, MCS</w:t>
      </w:r>
      <w:r w:rsidR="006B40DB">
        <w:rPr>
          <w:rFonts w:eastAsia="DengXian"/>
          <w:lang w:eastAsia="ja-JP"/>
        </w:rPr>
        <w:t>-C</w:t>
      </w:r>
      <w:r w:rsidRPr="00D20E88">
        <w:rPr>
          <w:lang w:eastAsia="ja-JP"/>
        </w:rPr>
        <w:t>-RNTI</w:t>
      </w:r>
      <w:r w:rsidR="008F22C5" w:rsidRPr="0088027F">
        <w:rPr>
          <w:lang w:eastAsia="ja-JP"/>
        </w:rPr>
        <w:t>, G-RNTI for multicast, or G-CS-RNTI</w:t>
      </w:r>
      <w:r w:rsidRPr="00D20E88">
        <w:rPr>
          <w:lang w:eastAsia="ja-JP"/>
        </w:rPr>
        <w:t xml:space="preserve"> scheduling 16 PDSCH receptions for which the UE has not received any corresponding PDSCH symbol and at most 16 PDCCHs for DCI formats with CRC scrambled by C-RNTI, CS-RNTI, or MCS</w:t>
      </w:r>
      <w:r w:rsidR="006B40DB">
        <w:rPr>
          <w:rFonts w:eastAsia="DengXian"/>
          <w:lang w:eastAsia="ja-JP"/>
        </w:rPr>
        <w:t>-C</w:t>
      </w:r>
      <w:r w:rsidRPr="00D20E88">
        <w:rPr>
          <w:lang w:eastAsia="ja-JP"/>
        </w:rPr>
        <w:t xml:space="preserve">-RNTI scheduling 16 PUSCH transmissions for which the UE has not transmitted any corresponding PUSCH symbol. </w:t>
      </w:r>
    </w:p>
    <w:p w14:paraId="02DDDB42" w14:textId="503C23EC" w:rsidR="00373BD6" w:rsidRPr="00B15B58" w:rsidRDefault="00373332" w:rsidP="00373BD6">
      <w:pPr>
        <w:rPr>
          <w:lang w:val="x-none"/>
        </w:rPr>
      </w:pPr>
      <w:r w:rsidRPr="00D20E88">
        <w:rPr>
          <w:lang w:eastAsia="ko-KR"/>
        </w:rPr>
        <w:t xml:space="preserve">If </w:t>
      </w:r>
      <w:r w:rsidRPr="00D20E88">
        <w:t xml:space="preserve">a UE </w:t>
      </w:r>
      <w:r w:rsidR="00BC7FF5">
        <w:t xml:space="preserve">is not provided </w:t>
      </w:r>
      <w:r w:rsidR="00F14C2C" w:rsidRPr="00BC6617">
        <w:rPr>
          <w:i/>
          <w:color w:val="000000" w:themeColor="text1"/>
        </w:rPr>
        <w:t>monitoringCapabilityConfig</w:t>
      </w:r>
      <w:r w:rsidR="00F14C2C" w:rsidRPr="00BC6617">
        <w:rPr>
          <w:color w:val="000000" w:themeColor="text1"/>
        </w:rPr>
        <w:t xml:space="preserve"> = </w:t>
      </w:r>
      <w:r w:rsidR="00F14C2C" w:rsidRPr="00BC6617">
        <w:rPr>
          <w:i/>
          <w:color w:val="000000" w:themeColor="text1"/>
        </w:rPr>
        <w:t>r16monitoringcapability</w:t>
      </w:r>
      <w:r w:rsidR="00F14C2C" w:rsidRPr="00BC6617">
        <w:rPr>
          <w:color w:val="000000" w:themeColor="text1"/>
        </w:rPr>
        <w:t xml:space="preserve"> for any serving cell</w:t>
      </w:r>
      <w:r w:rsidR="00BC7FF5" w:rsidRPr="00DB6DAE">
        <w:rPr>
          <w:lang w:val="en-US"/>
        </w:rPr>
        <w:t>,</w:t>
      </w:r>
      <w:r w:rsidR="00BC7FF5" w:rsidRPr="00DB6DAE">
        <w:t xml:space="preserve"> </w:t>
      </w:r>
      <w:r w:rsidR="00BC7FF5">
        <w:t>and</w:t>
      </w:r>
    </w:p>
    <w:p w14:paraId="14311C57" w14:textId="3A49153C" w:rsidR="00373BD6" w:rsidRDefault="00373BD6" w:rsidP="00D17DA9">
      <w:pPr>
        <w:pStyle w:val="B1"/>
      </w:pPr>
      <w:r>
        <w:rPr>
          <w:lang w:val="en-US" w:eastAsia="ja-JP"/>
        </w:rPr>
        <w:t>-</w:t>
      </w:r>
      <w:r>
        <w:rPr>
          <w:lang w:val="en-US" w:eastAsia="ja-JP"/>
        </w:rPr>
        <w:tab/>
        <w:t xml:space="preserve">is not configured for NR-DC operation and </w:t>
      </w:r>
      <w:r w:rsidR="00373332" w:rsidRPr="00D20E88">
        <w:t xml:space="preserve">indicates through </w:t>
      </w:r>
      <w:r w:rsidR="00373332" w:rsidRPr="00D20E88">
        <w:rPr>
          <w:rFonts w:eastAsia="Yu Mincho"/>
          <w:i/>
          <w:lang w:eastAsia="ja-JP"/>
        </w:rPr>
        <w:t>pdcch-BlindDetectionCA</w:t>
      </w:r>
      <w:r w:rsidR="00373332" w:rsidRPr="00D20E88">
        <w:t xml:space="preserve"> a capability to monitor PDCCH candidates for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m:t>
            </m:r>
          </m:sub>
          <m:sup>
            <m:r>
              <m:rPr>
                <m:sty m:val="p"/>
              </m:rPr>
              <w:rPr>
                <w:rFonts w:ascii="Cambria Math" w:hAnsi="Cambria Math"/>
                <w:color w:val="000000"/>
              </w:rPr>
              <m:t>cap</m:t>
            </m:r>
          </m:sup>
        </m:sSubSup>
        <m:r>
          <w:rPr>
            <w:rFonts w:ascii="Cambria Math" w:hAnsi="Cambria Math"/>
          </w:rPr>
          <m:t>≥4</m:t>
        </m:r>
      </m:oMath>
      <w:r w:rsidR="00373332" w:rsidRPr="00D20E88">
        <w:t xml:space="preserve"> downlink cells and the </w:t>
      </w:r>
      <w:r w:rsidR="00373332" w:rsidRPr="00D20E88">
        <w:rPr>
          <w:lang w:eastAsia="ko-KR"/>
        </w:rPr>
        <w:t>UE</w:t>
      </w:r>
      <w:r w:rsidR="00373332" w:rsidRPr="00D20E88">
        <w:t xml:space="preserve"> is configured with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m:t>
            </m:r>
          </m:sub>
          <m:sup>
            <m:r>
              <m:rPr>
                <m:sty m:val="p"/>
              </m:rPr>
              <w:rPr>
                <w:rFonts w:ascii="Cambria Math" w:hAnsi="Cambria Math"/>
                <w:color w:val="000000"/>
              </w:rPr>
              <m:t>DL</m:t>
            </m:r>
          </m:sup>
        </m:sSubSup>
        <m:r>
          <w:rPr>
            <w:rFonts w:ascii="Cambria Math" w:hAnsi="Cambria Math"/>
          </w:rPr>
          <m:t>&gt;4</m:t>
        </m:r>
      </m:oMath>
      <w:r w:rsidR="00373332" w:rsidRPr="00D20E88">
        <w:t xml:space="preserve"> downlink cells or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m:t>
            </m:r>
          </m:sub>
          <m:sup>
            <m:r>
              <m:rPr>
                <m:sty m:val="p"/>
              </m:rPr>
              <w:rPr>
                <w:rFonts w:ascii="Cambria Math" w:hAnsi="Cambria Math"/>
                <w:color w:val="000000"/>
              </w:rPr>
              <m:t>UL</m:t>
            </m:r>
          </m:sup>
        </m:sSubSup>
        <m:r>
          <w:rPr>
            <w:rFonts w:ascii="Cambria Math" w:hAnsi="Cambria Math"/>
          </w:rPr>
          <m:t>&gt;4</m:t>
        </m:r>
      </m:oMath>
      <w:r w:rsidR="00373332" w:rsidRPr="00D20E88">
        <w:t xml:space="preserve"> uplink cells, </w:t>
      </w:r>
      <w:r>
        <w:t>or</w:t>
      </w:r>
    </w:p>
    <w:p w14:paraId="3B18F346" w14:textId="3059698C" w:rsidR="00373BD6" w:rsidRDefault="00373BD6" w:rsidP="00D17DA9">
      <w:pPr>
        <w:pStyle w:val="B1"/>
      </w:pPr>
      <w:r>
        <w:rPr>
          <w:lang w:val="en-US" w:eastAsia="ja-JP"/>
        </w:rPr>
        <w:t>-</w:t>
      </w:r>
      <w:r>
        <w:rPr>
          <w:lang w:val="en-US" w:eastAsia="ja-JP"/>
        </w:rPr>
        <w:tab/>
        <w:t xml:space="preserve">is </w:t>
      </w:r>
      <w:r w:rsidRPr="004A7543">
        <w:rPr>
          <w:lang w:eastAsia="ko-KR"/>
        </w:rPr>
        <w:t>conf</w:t>
      </w:r>
      <w:r>
        <w:rPr>
          <w:lang w:eastAsia="ko-KR"/>
        </w:rPr>
        <w:t>igured with NR-DC operation and for a cell group</w:t>
      </w:r>
      <w:r w:rsidRPr="004A7543">
        <w:t xml:space="preserve"> with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m:t>
            </m:r>
          </m:sub>
          <m:sup>
            <m:r>
              <m:rPr>
                <m:sty m:val="p"/>
              </m:rPr>
              <w:rPr>
                <w:rFonts w:ascii="Cambria Math" w:hAnsi="Cambria Math"/>
                <w:color w:val="000000"/>
              </w:rPr>
              <m:t>DL</m:t>
            </m:r>
          </m:sup>
        </m:sSubSup>
      </m:oMath>
      <w:r w:rsidRPr="004A7543">
        <w:t xml:space="preserve"> downlink cells or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m:t>
            </m:r>
          </m:sub>
          <m:sup>
            <m:r>
              <m:rPr>
                <m:sty m:val="p"/>
              </m:rPr>
              <w:rPr>
                <w:rFonts w:ascii="Cambria Math" w:hAnsi="Cambria Math"/>
                <w:color w:val="000000"/>
              </w:rPr>
              <m:t>UL</m:t>
            </m:r>
          </m:sup>
        </m:sSubSup>
      </m:oMath>
      <w:r w:rsidRPr="004A7543">
        <w:t xml:space="preserve"> uplink cells</w:t>
      </w:r>
    </w:p>
    <w:p w14:paraId="4739A1B7" w14:textId="7132EC82" w:rsidR="00373332" w:rsidRPr="00D20E88" w:rsidRDefault="00373332" w:rsidP="00373332">
      <w:pPr>
        <w:rPr>
          <w:lang w:eastAsia="ja-JP"/>
        </w:rPr>
      </w:pPr>
      <w:r w:rsidRPr="00D20E88">
        <w:t>the</w:t>
      </w:r>
      <w:r w:rsidRPr="00D20E88">
        <w:rPr>
          <w:lang w:eastAsia="ja-JP"/>
        </w:rPr>
        <w:t xml:space="preserve"> UE expects to have respectively received at most </w:t>
      </w:r>
      <m:oMath>
        <m:sSubSup>
          <m:sSubSupPr>
            <m:ctrlPr>
              <w:rPr>
                <w:rFonts w:ascii="Cambria Math" w:eastAsiaTheme="minorHAnsi" w:hAnsi="Cambria Math"/>
                <w:iCs/>
              </w:rPr>
            </m:ctrlPr>
          </m:sSubSupPr>
          <m:e>
            <m:r>
              <w:rPr>
                <w:rFonts w:ascii="Cambria Math" w:hAnsi="Cambria Math"/>
              </w:rPr>
              <m:t>16∙N</m:t>
            </m:r>
          </m:e>
          <m:sub>
            <m:r>
              <m:rPr>
                <m:sty m:val="p"/>
              </m:rPr>
              <w:rPr>
                <w:rFonts w:ascii="Cambria Math" w:hAnsi="Cambria Math"/>
              </w:rPr>
              <m:t>cells</m:t>
            </m:r>
          </m:sub>
          <m:sup>
            <m:r>
              <m:rPr>
                <m:sty m:val="p"/>
              </m:rPr>
              <w:rPr>
                <w:rFonts w:ascii="Cambria Math" w:hAnsi="Cambria Math"/>
                <w:color w:val="000000"/>
              </w:rPr>
              <m:t>cap</m:t>
            </m:r>
          </m:sup>
        </m:sSubSup>
      </m:oMath>
      <w:r w:rsidRPr="00D20E88">
        <w:rPr>
          <w:lang w:eastAsia="ja-JP"/>
        </w:rPr>
        <w:t xml:space="preserve"> PDCCHs for </w:t>
      </w:r>
    </w:p>
    <w:p w14:paraId="08FDC8CB" w14:textId="4BE63236" w:rsidR="00373332" w:rsidRPr="00D20E88" w:rsidRDefault="00373332" w:rsidP="00373332">
      <w:pPr>
        <w:pStyle w:val="B1"/>
        <w:rPr>
          <w:lang w:val="en-US" w:eastAsia="ja-JP"/>
        </w:rPr>
      </w:pPr>
      <w:r w:rsidRPr="00D20E88">
        <w:t>-</w:t>
      </w:r>
      <w:r w:rsidRPr="00D20E88">
        <w:tab/>
      </w:r>
      <w:r w:rsidRPr="00D20E88">
        <w:rPr>
          <w:lang w:eastAsia="ja-JP"/>
        </w:rPr>
        <w:t>DCI formats with CRC scrambled by a C-RNTI, or a CS-RNTI, or a MCS</w:t>
      </w:r>
      <w:r w:rsidR="006B40DB">
        <w:rPr>
          <w:rFonts w:eastAsia="DengXian"/>
          <w:lang w:eastAsia="ja-JP"/>
        </w:rPr>
        <w:t>-C</w:t>
      </w:r>
      <w:r w:rsidRPr="00D20E88">
        <w:rPr>
          <w:lang w:eastAsia="ja-JP"/>
        </w:rPr>
        <w:t>-RNTI</w:t>
      </w:r>
      <w:r w:rsidR="005405DB" w:rsidRPr="00497077">
        <w:rPr>
          <w:lang w:eastAsia="ja-JP"/>
        </w:rPr>
        <w:t>, or a G-RNTI</w:t>
      </w:r>
      <w:r w:rsidR="0054070B">
        <w:rPr>
          <w:lang w:val="en-GB" w:eastAsia="ja-JP"/>
        </w:rPr>
        <w:t xml:space="preserve"> for multicast</w:t>
      </w:r>
      <w:r w:rsidR="005405DB" w:rsidRPr="00497077">
        <w:rPr>
          <w:lang w:eastAsia="ja-JP"/>
        </w:rPr>
        <w:t>, or a G-CS-RNTI</w:t>
      </w:r>
      <w:r w:rsidRPr="00D20E88">
        <w:rPr>
          <w:lang w:eastAsia="ja-JP"/>
        </w:rPr>
        <w:t xml:space="preserve"> scheduling </w:t>
      </w:r>
      <m:oMath>
        <m:sSubSup>
          <m:sSubSupPr>
            <m:ctrlPr>
              <w:rPr>
                <w:rFonts w:ascii="Cambria Math" w:eastAsiaTheme="minorHAnsi" w:hAnsi="Cambria Math"/>
                <w:iCs/>
              </w:rPr>
            </m:ctrlPr>
          </m:sSubSupPr>
          <m:e>
            <m:r>
              <w:rPr>
                <w:rFonts w:ascii="Cambria Math" w:hAnsi="Cambria Math"/>
              </w:rPr>
              <m:t>16∙N</m:t>
            </m:r>
          </m:e>
          <m:sub>
            <m:r>
              <m:rPr>
                <m:sty m:val="p"/>
              </m:rPr>
              <w:rPr>
                <w:rFonts w:ascii="Cambria Math" w:hAnsi="Cambria Math"/>
              </w:rPr>
              <m:t>cells</m:t>
            </m:r>
          </m:sub>
          <m:sup>
            <m:r>
              <m:rPr>
                <m:sty m:val="p"/>
              </m:rPr>
              <w:rPr>
                <w:rFonts w:ascii="Cambria Math" w:hAnsi="Cambria Math"/>
                <w:color w:val="000000"/>
              </w:rPr>
              <m:t>cap</m:t>
            </m:r>
          </m:sup>
        </m:sSubSup>
      </m:oMath>
      <w:r w:rsidRPr="00D20E88">
        <w:rPr>
          <w:lang w:eastAsia="ja-JP"/>
        </w:rPr>
        <w:t xml:space="preserve"> PDSCH receptions for which the UE has not received any corresponding PDSCH symbol over all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m:t>
            </m:r>
          </m:sub>
          <m:sup>
            <m:r>
              <m:rPr>
                <m:sty m:val="p"/>
              </m:rPr>
              <w:rPr>
                <w:rFonts w:ascii="Cambria Math" w:hAnsi="Cambria Math"/>
                <w:color w:val="000000"/>
              </w:rPr>
              <m:t>DL</m:t>
            </m:r>
          </m:sup>
        </m:sSubSup>
      </m:oMath>
      <w:r w:rsidRPr="00D20E88">
        <w:t xml:space="preserve"> downlink cells</w:t>
      </w:r>
    </w:p>
    <w:p w14:paraId="0B0CC906" w14:textId="7AE6816B" w:rsidR="00373332" w:rsidRPr="00D20E88" w:rsidRDefault="00373332" w:rsidP="00373332">
      <w:pPr>
        <w:pStyle w:val="B1"/>
        <w:rPr>
          <w:lang w:val="en-US" w:eastAsia="ja-JP"/>
        </w:rPr>
      </w:pPr>
      <w:r w:rsidRPr="00D20E88">
        <w:t>-</w:t>
      </w:r>
      <w:r w:rsidRPr="00D20E88">
        <w:tab/>
      </w:r>
      <w:r w:rsidRPr="00D20E88">
        <w:rPr>
          <w:lang w:eastAsia="ja-JP"/>
        </w:rPr>
        <w:t>DCI formats with CRC scrambled by a C-RNTI, or a CS-RNTI, or a MCS</w:t>
      </w:r>
      <w:r w:rsidR="006B40DB">
        <w:rPr>
          <w:rFonts w:eastAsia="DengXian"/>
          <w:lang w:eastAsia="ja-JP"/>
        </w:rPr>
        <w:t>-C</w:t>
      </w:r>
      <w:r w:rsidRPr="00D20E88">
        <w:rPr>
          <w:lang w:eastAsia="ja-JP"/>
        </w:rPr>
        <w:t xml:space="preserve">-RNTI scheduling </w:t>
      </w:r>
      <m:oMath>
        <m:sSubSup>
          <m:sSubSupPr>
            <m:ctrlPr>
              <w:rPr>
                <w:rFonts w:ascii="Cambria Math" w:eastAsiaTheme="minorHAnsi" w:hAnsi="Cambria Math"/>
                <w:iCs/>
              </w:rPr>
            </m:ctrlPr>
          </m:sSubSupPr>
          <m:e>
            <m:r>
              <w:rPr>
                <w:rFonts w:ascii="Cambria Math" w:hAnsi="Cambria Math"/>
              </w:rPr>
              <m:t>16∙N</m:t>
            </m:r>
          </m:e>
          <m:sub>
            <m:r>
              <m:rPr>
                <m:sty m:val="p"/>
              </m:rPr>
              <w:rPr>
                <w:rFonts w:ascii="Cambria Math" w:hAnsi="Cambria Math"/>
              </w:rPr>
              <m:t>cells</m:t>
            </m:r>
          </m:sub>
          <m:sup>
            <m:r>
              <m:rPr>
                <m:sty m:val="p"/>
              </m:rPr>
              <w:rPr>
                <w:rFonts w:ascii="Cambria Math" w:hAnsi="Cambria Math"/>
                <w:color w:val="000000"/>
              </w:rPr>
              <m:t>cap</m:t>
            </m:r>
          </m:sup>
        </m:sSubSup>
      </m:oMath>
      <w:r w:rsidRPr="00D20E88">
        <w:rPr>
          <w:lang w:eastAsia="ja-JP"/>
        </w:rPr>
        <w:t xml:space="preserve"> PUSCH transmissions for which the UE has not transmitted any corresponding PUSCH symbol over all </w:t>
      </w:r>
      <m:oMath>
        <m:sSubSup>
          <m:sSubSupPr>
            <m:ctrlPr>
              <w:rPr>
                <w:rFonts w:ascii="Cambria Math" w:eastAsiaTheme="minorHAnsi" w:hAnsi="Cambria Math"/>
                <w:iCs/>
              </w:rPr>
            </m:ctrlPr>
          </m:sSubSupPr>
          <m:e>
            <m:r>
              <w:rPr>
                <w:rFonts w:ascii="Cambria Math" w:hAnsi="Cambria Math"/>
              </w:rPr>
              <m:t>N</m:t>
            </m:r>
          </m:e>
          <m:sub>
            <m:r>
              <m:rPr>
                <m:sty m:val="p"/>
              </m:rPr>
              <w:rPr>
                <w:rFonts w:ascii="Cambria Math" w:hAnsi="Cambria Math"/>
              </w:rPr>
              <m:t>cells</m:t>
            </m:r>
          </m:sub>
          <m:sup>
            <m:r>
              <m:rPr>
                <m:sty m:val="p"/>
              </m:rPr>
              <w:rPr>
                <w:rFonts w:ascii="Cambria Math" w:hAnsi="Cambria Math"/>
                <w:color w:val="000000"/>
              </w:rPr>
              <m:t>UL</m:t>
            </m:r>
          </m:sup>
        </m:sSubSup>
      </m:oMath>
      <w:r w:rsidRPr="00D20E88">
        <w:t xml:space="preserve"> </w:t>
      </w:r>
      <w:r w:rsidRPr="00D20E88">
        <w:rPr>
          <w:lang w:val="en-US"/>
        </w:rPr>
        <w:t>up</w:t>
      </w:r>
      <w:r w:rsidRPr="00D20E88">
        <w:t>link cells</w:t>
      </w:r>
    </w:p>
    <w:p w14:paraId="6F8B0808" w14:textId="77777777" w:rsidR="00F14C2C" w:rsidRPr="00BC6617" w:rsidRDefault="00F14C2C" w:rsidP="00F14C2C">
      <w:pPr>
        <w:rPr>
          <w:color w:val="000000" w:themeColor="text1"/>
        </w:rPr>
      </w:pPr>
      <w:r w:rsidRPr="00BC6617">
        <w:rPr>
          <w:color w:val="000000" w:themeColor="text1"/>
          <w:lang w:eastAsia="ko-KR"/>
        </w:rPr>
        <w:t xml:space="preserve">If </w:t>
      </w:r>
      <w:r w:rsidRPr="00BC6617">
        <w:rPr>
          <w:color w:val="000000" w:themeColor="text1"/>
        </w:rPr>
        <w:t xml:space="preserve">a UE is provided </w:t>
      </w:r>
      <w:r w:rsidRPr="00BC6617">
        <w:rPr>
          <w:i/>
          <w:color w:val="000000" w:themeColor="text1"/>
        </w:rPr>
        <w:t>monitoringCapabilityConfig</w:t>
      </w:r>
      <w:r w:rsidRPr="00BC6617">
        <w:rPr>
          <w:color w:val="000000" w:themeColor="text1"/>
        </w:rPr>
        <w:t xml:space="preserve"> = </w:t>
      </w:r>
      <w:r w:rsidRPr="00BC6617">
        <w:rPr>
          <w:i/>
          <w:color w:val="000000" w:themeColor="text1"/>
        </w:rPr>
        <w:t>r16monitoringcapability</w:t>
      </w:r>
      <w:r w:rsidRPr="00BC6617">
        <w:rPr>
          <w:iCs/>
          <w:color w:val="000000" w:themeColor="text1"/>
        </w:rPr>
        <w:t xml:space="preserve"> for all </w:t>
      </w:r>
      <w:r w:rsidRPr="00BC6617">
        <w:rPr>
          <w:color w:val="000000" w:themeColor="text1"/>
        </w:rPr>
        <w:t>serving</w:t>
      </w:r>
      <w:r w:rsidRPr="00BC6617">
        <w:rPr>
          <w:iCs/>
          <w:color w:val="000000" w:themeColor="text1"/>
        </w:rPr>
        <w:t xml:space="preserve"> cells</w:t>
      </w:r>
      <w:r w:rsidRPr="00BC6617">
        <w:rPr>
          <w:i/>
          <w:color w:val="000000" w:themeColor="text1"/>
        </w:rPr>
        <w:t xml:space="preserve">, </w:t>
      </w:r>
      <w:r w:rsidRPr="00BC6617">
        <w:rPr>
          <w:iCs/>
          <w:color w:val="000000" w:themeColor="text1"/>
        </w:rPr>
        <w:t>and</w:t>
      </w:r>
    </w:p>
    <w:p w14:paraId="43C0168A" w14:textId="0FF831AB" w:rsidR="00F14C2C" w:rsidRPr="00BC6617" w:rsidRDefault="00F14C2C" w:rsidP="005258CF">
      <w:pPr>
        <w:pStyle w:val="B1"/>
      </w:pPr>
      <w:r>
        <w:rPr>
          <w:lang w:eastAsia="ja-JP"/>
        </w:rPr>
        <w:t>-</w:t>
      </w:r>
      <w:r>
        <w:rPr>
          <w:lang w:eastAsia="ja-JP"/>
        </w:rPr>
        <w:tab/>
      </w:r>
      <w:r w:rsidRPr="00BC6617">
        <w:rPr>
          <w:lang w:eastAsia="ja-JP"/>
        </w:rPr>
        <w:t xml:space="preserve">is not configured for NR-DC operation and </w:t>
      </w:r>
      <w:r w:rsidRPr="00BC6617">
        <w:t xml:space="preserve">indicates through </w:t>
      </w:r>
      <w:r w:rsidRPr="00BC6617">
        <w:rPr>
          <w:i/>
          <w:iCs/>
        </w:rPr>
        <w:t xml:space="preserve">pdcch-MonitoringCA </w:t>
      </w:r>
      <w:r w:rsidRPr="00BC6617">
        <w:t xml:space="preserve">a capability to monitor PDCCH candidates for </w:t>
      </w:r>
      <m:oMath>
        <m:sSubSup>
          <m:sSubSupPr>
            <m:ctrlPr>
              <w:rPr>
                <w:rFonts w:ascii="Cambria Math" w:hAnsi="Cambria Math"/>
                <w:i/>
              </w:rPr>
            </m:ctrlPr>
          </m:sSubSupPr>
          <m:e>
            <m:r>
              <w:rPr>
                <w:rFonts w:ascii="Cambria Math" w:hAnsi="Cambria Math"/>
              </w:rPr>
              <m:t>N</m:t>
            </m:r>
          </m:e>
          <m:sub>
            <m:r>
              <w:rPr>
                <w:rFonts w:ascii="Cambria Math" w:hAnsi="Cambria Math"/>
              </w:rPr>
              <m:t>cells</m:t>
            </m:r>
          </m:sub>
          <m:sup>
            <m:r>
              <w:rPr>
                <w:rFonts w:ascii="Cambria Math" w:hAnsi="Cambria Math"/>
              </w:rPr>
              <m:t>cap-r16</m:t>
            </m:r>
          </m:sup>
        </m:sSubSup>
        <m:r>
          <w:rPr>
            <w:rFonts w:ascii="Cambria Math" w:hAnsi="Cambria Math"/>
          </w:rPr>
          <m:t>≥2</m:t>
        </m:r>
      </m:oMath>
      <w:r w:rsidRPr="00BC6617">
        <w:t xml:space="preserve"> downlink cells and the </w:t>
      </w:r>
      <w:r w:rsidRPr="00BC6617">
        <w:rPr>
          <w:lang w:eastAsia="ko-KR"/>
        </w:rPr>
        <w:t>UE</w:t>
      </w:r>
      <w:r w:rsidRPr="00BC6617">
        <w:t xml:space="preserve"> is configured with </w:t>
      </w:r>
      <m:oMath>
        <m:sSubSup>
          <m:sSubSupPr>
            <m:ctrlPr>
              <w:rPr>
                <w:rFonts w:ascii="Cambria Math" w:eastAsia="Calibri" w:hAnsi="Cambria Math"/>
                <w:iCs/>
                <w:lang w:val="zh-CN"/>
              </w:rPr>
            </m:ctrlPr>
          </m:sSubSupPr>
          <m:e>
            <m:r>
              <w:rPr>
                <w:rFonts w:ascii="Cambria Math" w:hAnsi="Cambria Math"/>
                <w:lang w:val="zh-CN"/>
              </w:rPr>
              <m:t>N</m:t>
            </m:r>
          </m:e>
          <m:sub>
            <m:r>
              <m:rPr>
                <m:sty m:val="p"/>
              </m:rPr>
              <w:rPr>
                <w:rFonts w:ascii="Cambria Math" w:hAnsi="Cambria Math"/>
              </w:rPr>
              <m:t>cells</m:t>
            </m:r>
          </m:sub>
          <m:sup>
            <m:r>
              <m:rPr>
                <m:sty m:val="p"/>
              </m:rPr>
              <w:rPr>
                <w:rFonts w:ascii="Cambria Math" w:hAnsi="Cambria Math"/>
              </w:rPr>
              <m:t>DL</m:t>
            </m:r>
          </m:sup>
        </m:sSubSup>
        <m:r>
          <w:rPr>
            <w:rFonts w:ascii="Cambria Math" w:hAnsi="Cambria Math"/>
          </w:rPr>
          <m:t>&gt;2</m:t>
        </m:r>
      </m:oMath>
      <w:r w:rsidRPr="00BC6617">
        <w:t xml:space="preserve"> downlink cells or </w:t>
      </w:r>
      <m:oMath>
        <m:sSubSup>
          <m:sSubSupPr>
            <m:ctrlPr>
              <w:rPr>
                <w:rFonts w:ascii="Cambria Math" w:eastAsia="Calibri" w:hAnsi="Cambria Math"/>
                <w:iCs/>
                <w:lang w:val="zh-CN"/>
              </w:rPr>
            </m:ctrlPr>
          </m:sSubSupPr>
          <m:e>
            <m:r>
              <w:rPr>
                <w:rFonts w:ascii="Cambria Math" w:hAnsi="Cambria Math"/>
                <w:lang w:val="zh-CN"/>
              </w:rPr>
              <m:t>N</m:t>
            </m:r>
          </m:e>
          <m:sub>
            <m:r>
              <m:rPr>
                <m:sty m:val="p"/>
              </m:rPr>
              <w:rPr>
                <w:rFonts w:ascii="Cambria Math" w:hAnsi="Cambria Math"/>
              </w:rPr>
              <m:t>cells</m:t>
            </m:r>
          </m:sub>
          <m:sup>
            <m:r>
              <m:rPr>
                <m:sty m:val="p"/>
              </m:rPr>
              <w:rPr>
                <w:rFonts w:ascii="Cambria Math" w:hAnsi="Cambria Math"/>
              </w:rPr>
              <m:t>UL</m:t>
            </m:r>
          </m:sup>
        </m:sSubSup>
        <m:r>
          <w:rPr>
            <w:rFonts w:ascii="Cambria Math" w:hAnsi="Cambria Math"/>
          </w:rPr>
          <m:t>&gt;2</m:t>
        </m:r>
      </m:oMath>
      <w:r w:rsidRPr="00BC6617">
        <w:t xml:space="preserve"> uplink cells, or</w:t>
      </w:r>
    </w:p>
    <w:p w14:paraId="3B2D7AE2" w14:textId="183515BC" w:rsidR="00F14C2C" w:rsidRPr="00BC6617" w:rsidRDefault="00F14C2C" w:rsidP="005258CF">
      <w:pPr>
        <w:pStyle w:val="B1"/>
      </w:pPr>
      <w:r>
        <w:rPr>
          <w:lang w:eastAsia="ja-JP"/>
        </w:rPr>
        <w:t>-</w:t>
      </w:r>
      <w:r>
        <w:rPr>
          <w:lang w:eastAsia="ja-JP"/>
        </w:rPr>
        <w:tab/>
      </w:r>
      <w:r w:rsidRPr="00BC6617">
        <w:rPr>
          <w:lang w:eastAsia="ja-JP"/>
        </w:rPr>
        <w:t xml:space="preserve">is </w:t>
      </w:r>
      <w:r w:rsidRPr="00BC6617">
        <w:rPr>
          <w:lang w:eastAsia="ko-KR"/>
        </w:rPr>
        <w:t>configured with NR-DC operation and for a cell group</w:t>
      </w:r>
      <w:r w:rsidRPr="00BC6617">
        <w:t xml:space="preserve"> with </w:t>
      </w:r>
      <m:oMath>
        <m:sSubSup>
          <m:sSubSupPr>
            <m:ctrlPr>
              <w:rPr>
                <w:rFonts w:ascii="Cambria Math" w:eastAsia="Calibri" w:hAnsi="Cambria Math"/>
                <w:iCs/>
                <w:lang w:val="zh-CN"/>
              </w:rPr>
            </m:ctrlPr>
          </m:sSubSupPr>
          <m:e>
            <m:r>
              <w:rPr>
                <w:rFonts w:ascii="Cambria Math" w:hAnsi="Cambria Math"/>
                <w:lang w:val="zh-CN"/>
              </w:rPr>
              <m:t>N</m:t>
            </m:r>
          </m:e>
          <m:sub>
            <m:r>
              <m:rPr>
                <m:sty m:val="p"/>
              </m:rPr>
              <w:rPr>
                <w:rFonts w:ascii="Cambria Math" w:hAnsi="Cambria Math"/>
              </w:rPr>
              <m:t>cells</m:t>
            </m:r>
          </m:sub>
          <m:sup>
            <m:r>
              <m:rPr>
                <m:sty m:val="p"/>
              </m:rPr>
              <w:rPr>
                <w:rFonts w:ascii="Cambria Math" w:hAnsi="Cambria Math"/>
              </w:rPr>
              <m:t>DL</m:t>
            </m:r>
          </m:sup>
        </m:sSubSup>
      </m:oMath>
      <w:r w:rsidRPr="00BC6617">
        <w:t xml:space="preserve"> downlink cells or </w:t>
      </w:r>
      <m:oMath>
        <m:sSubSup>
          <m:sSubSupPr>
            <m:ctrlPr>
              <w:rPr>
                <w:rFonts w:ascii="Cambria Math" w:eastAsia="Calibri" w:hAnsi="Cambria Math"/>
                <w:iCs/>
                <w:lang w:val="zh-CN"/>
              </w:rPr>
            </m:ctrlPr>
          </m:sSubSupPr>
          <m:e>
            <m:r>
              <w:rPr>
                <w:rFonts w:ascii="Cambria Math" w:hAnsi="Cambria Math"/>
                <w:lang w:val="zh-CN"/>
              </w:rPr>
              <m:t>N</m:t>
            </m:r>
          </m:e>
          <m:sub>
            <m:r>
              <m:rPr>
                <m:sty m:val="p"/>
              </m:rPr>
              <w:rPr>
                <w:rFonts w:ascii="Cambria Math" w:hAnsi="Cambria Math"/>
              </w:rPr>
              <m:t>cells</m:t>
            </m:r>
          </m:sub>
          <m:sup>
            <m:r>
              <m:rPr>
                <m:sty m:val="p"/>
              </m:rPr>
              <w:rPr>
                <w:rFonts w:ascii="Cambria Math" w:hAnsi="Cambria Math"/>
              </w:rPr>
              <m:t>UL</m:t>
            </m:r>
          </m:sup>
        </m:sSubSup>
      </m:oMath>
      <w:r w:rsidRPr="00BC6617">
        <w:t xml:space="preserve"> uplink cells</w:t>
      </w:r>
    </w:p>
    <w:p w14:paraId="5AD00645" w14:textId="77777777" w:rsidR="00F14C2C" w:rsidRPr="00BC6617" w:rsidRDefault="00F14C2C" w:rsidP="00F14C2C">
      <w:pPr>
        <w:rPr>
          <w:color w:val="000000" w:themeColor="text1"/>
          <w:lang w:eastAsia="ja-JP"/>
        </w:rPr>
      </w:pPr>
      <w:r w:rsidRPr="00BC6617">
        <w:rPr>
          <w:color w:val="000000" w:themeColor="text1"/>
        </w:rPr>
        <w:t>the</w:t>
      </w:r>
      <w:r w:rsidRPr="00BC6617">
        <w:rPr>
          <w:color w:val="000000" w:themeColor="text1"/>
          <w:lang w:eastAsia="ja-JP"/>
        </w:rPr>
        <w:t xml:space="preserve"> UE expects to have respectively received at most </w:t>
      </w:r>
      <m:oMath>
        <m:sSubSup>
          <m:sSubSupPr>
            <m:ctrlPr>
              <w:rPr>
                <w:rFonts w:ascii="Cambria Math" w:hAnsi="Cambria Math"/>
                <w:i/>
                <w:color w:val="000000" w:themeColor="text1"/>
              </w:rPr>
            </m:ctrlPr>
          </m:sSubSupPr>
          <m:e>
            <m:r>
              <w:rPr>
                <w:rFonts w:ascii="Cambria Math" w:hAnsi="Cambria Math"/>
                <w:color w:val="000000" w:themeColor="text1"/>
              </w:rPr>
              <m:t>16∙N</m:t>
            </m:r>
          </m:e>
          <m:sub>
            <m:r>
              <w:rPr>
                <w:rFonts w:ascii="Cambria Math" w:hAnsi="Cambria Math"/>
                <w:color w:val="000000" w:themeColor="text1"/>
              </w:rPr>
              <m:t>cells</m:t>
            </m:r>
          </m:sub>
          <m:sup>
            <m:r>
              <w:rPr>
                <w:rFonts w:ascii="Cambria Math" w:hAnsi="Cambria Math"/>
                <w:color w:val="000000" w:themeColor="text1"/>
              </w:rPr>
              <m:t>cap-r16</m:t>
            </m:r>
          </m:sup>
        </m:sSubSup>
      </m:oMath>
      <w:r w:rsidRPr="00BC6617">
        <w:rPr>
          <w:color w:val="000000" w:themeColor="text1"/>
          <w:lang w:eastAsia="ja-JP"/>
        </w:rPr>
        <w:t xml:space="preserve"> PDCCHs for </w:t>
      </w:r>
    </w:p>
    <w:p w14:paraId="798D5A8E" w14:textId="1F3E54BF" w:rsidR="00F14C2C" w:rsidRPr="00BC6617" w:rsidRDefault="000136D8" w:rsidP="005258CF">
      <w:pPr>
        <w:pStyle w:val="B1"/>
      </w:pPr>
      <w:r>
        <w:rPr>
          <w:lang w:eastAsia="ja-JP"/>
        </w:rPr>
        <w:t>-</w:t>
      </w:r>
      <w:r>
        <w:rPr>
          <w:lang w:eastAsia="ja-JP"/>
        </w:rPr>
        <w:tab/>
      </w:r>
      <w:r w:rsidR="00F14C2C" w:rsidRPr="00BC6617">
        <w:rPr>
          <w:lang w:eastAsia="ja-JP"/>
        </w:rPr>
        <w:t>DCI formats with CRC scrambled by a C-RNTI, or a CS-RNTI, or a MCS</w:t>
      </w:r>
      <w:r w:rsidR="00F14C2C" w:rsidRPr="00BC6617">
        <w:rPr>
          <w:rFonts w:eastAsia="DengXian"/>
          <w:lang w:eastAsia="ja-JP"/>
        </w:rPr>
        <w:t>-C</w:t>
      </w:r>
      <w:r w:rsidR="00F14C2C" w:rsidRPr="00BC6617">
        <w:rPr>
          <w:lang w:eastAsia="ja-JP"/>
        </w:rPr>
        <w:t>-RNTI</w:t>
      </w:r>
      <w:r w:rsidR="005405DB" w:rsidRPr="00497077">
        <w:rPr>
          <w:lang w:eastAsia="ja-JP"/>
        </w:rPr>
        <w:t>, or a G-RNTI</w:t>
      </w:r>
      <w:r w:rsidR="0054070B">
        <w:rPr>
          <w:lang w:val="en-GB" w:eastAsia="ja-JP"/>
        </w:rPr>
        <w:t xml:space="preserve"> for multicast</w:t>
      </w:r>
      <w:r w:rsidR="005405DB" w:rsidRPr="00497077">
        <w:rPr>
          <w:lang w:eastAsia="ja-JP"/>
        </w:rPr>
        <w:t>, or a G-CS-RNTI</w:t>
      </w:r>
      <w:r w:rsidR="00F14C2C" w:rsidRPr="00BC6617">
        <w:rPr>
          <w:lang w:eastAsia="ja-JP"/>
        </w:rPr>
        <w:t xml:space="preserve"> scheduling </w:t>
      </w:r>
      <m:oMath>
        <m:sSubSup>
          <m:sSubSupPr>
            <m:ctrlPr>
              <w:rPr>
                <w:rFonts w:ascii="Cambria Math" w:hAnsi="Cambria Math"/>
                <w:i/>
              </w:rPr>
            </m:ctrlPr>
          </m:sSubSupPr>
          <m:e>
            <m:r>
              <w:rPr>
                <w:rFonts w:ascii="Cambria Math" w:hAnsi="Cambria Math"/>
              </w:rPr>
              <m:t>16∙N</m:t>
            </m:r>
          </m:e>
          <m:sub>
            <m:r>
              <w:rPr>
                <w:rFonts w:ascii="Cambria Math" w:hAnsi="Cambria Math"/>
              </w:rPr>
              <m:t>cells</m:t>
            </m:r>
          </m:sub>
          <m:sup>
            <m:r>
              <w:rPr>
                <w:rFonts w:ascii="Cambria Math" w:hAnsi="Cambria Math"/>
              </w:rPr>
              <m:t>cap-r16</m:t>
            </m:r>
          </m:sup>
        </m:sSubSup>
      </m:oMath>
      <w:r w:rsidR="00F14C2C" w:rsidRPr="00BC6617">
        <w:rPr>
          <w:lang w:eastAsia="ja-JP"/>
        </w:rPr>
        <w:t xml:space="preserve"> PDSCH receptions for which the UE has not received any corresponding PDSCH symbol over all </w:t>
      </w:r>
      <m:oMath>
        <m:sSubSup>
          <m:sSubSupPr>
            <m:ctrlPr>
              <w:rPr>
                <w:rFonts w:ascii="Cambria Math" w:eastAsia="Calibri" w:hAnsi="Cambria Math"/>
                <w:iCs/>
                <w:lang w:val="zh-CN"/>
              </w:rPr>
            </m:ctrlPr>
          </m:sSubSupPr>
          <m:e>
            <m:r>
              <w:rPr>
                <w:rFonts w:ascii="Cambria Math" w:hAnsi="Cambria Math"/>
                <w:lang w:val="zh-CN"/>
              </w:rPr>
              <m:t>N</m:t>
            </m:r>
          </m:e>
          <m:sub>
            <m:r>
              <m:rPr>
                <m:sty m:val="p"/>
              </m:rPr>
              <w:rPr>
                <w:rFonts w:ascii="Cambria Math" w:hAnsi="Cambria Math"/>
              </w:rPr>
              <m:t>cells</m:t>
            </m:r>
          </m:sub>
          <m:sup>
            <m:r>
              <m:rPr>
                <m:sty m:val="p"/>
              </m:rPr>
              <w:rPr>
                <w:rFonts w:ascii="Cambria Math" w:hAnsi="Cambria Math"/>
              </w:rPr>
              <m:t>DL</m:t>
            </m:r>
          </m:sup>
        </m:sSubSup>
      </m:oMath>
      <w:r w:rsidR="00F14C2C" w:rsidRPr="00BC6617">
        <w:t xml:space="preserve"> downlink cells</w:t>
      </w:r>
    </w:p>
    <w:p w14:paraId="3ED80374" w14:textId="62668975" w:rsidR="00F14C2C" w:rsidRPr="00BC6617" w:rsidRDefault="000136D8" w:rsidP="005258CF">
      <w:pPr>
        <w:pStyle w:val="B1"/>
      </w:pPr>
      <w:r>
        <w:rPr>
          <w:lang w:eastAsia="ja-JP"/>
        </w:rPr>
        <w:t>-</w:t>
      </w:r>
      <w:r>
        <w:rPr>
          <w:lang w:eastAsia="ja-JP"/>
        </w:rPr>
        <w:tab/>
      </w:r>
      <w:r w:rsidR="00F14C2C" w:rsidRPr="00BC6617">
        <w:rPr>
          <w:lang w:eastAsia="ja-JP"/>
        </w:rPr>
        <w:t>DCI formats with CRC scrambled by a C-RNTI, or a CS-RNTI, or a MCS</w:t>
      </w:r>
      <w:r w:rsidR="00F14C2C" w:rsidRPr="00BC6617">
        <w:rPr>
          <w:rFonts w:eastAsia="DengXian"/>
          <w:lang w:eastAsia="ja-JP"/>
        </w:rPr>
        <w:t>-C</w:t>
      </w:r>
      <w:r w:rsidR="00F14C2C" w:rsidRPr="00BC6617">
        <w:rPr>
          <w:lang w:eastAsia="ja-JP"/>
        </w:rPr>
        <w:t xml:space="preserve">-RNTI scheduling </w:t>
      </w:r>
      <m:oMath>
        <m:sSubSup>
          <m:sSubSupPr>
            <m:ctrlPr>
              <w:rPr>
                <w:rFonts w:ascii="Cambria Math" w:hAnsi="Cambria Math"/>
                <w:i/>
              </w:rPr>
            </m:ctrlPr>
          </m:sSubSupPr>
          <m:e>
            <m:r>
              <w:rPr>
                <w:rFonts w:ascii="Cambria Math" w:hAnsi="Cambria Math"/>
              </w:rPr>
              <m:t>16∙N</m:t>
            </m:r>
          </m:e>
          <m:sub>
            <m:r>
              <w:rPr>
                <w:rFonts w:ascii="Cambria Math" w:hAnsi="Cambria Math"/>
              </w:rPr>
              <m:t>cells</m:t>
            </m:r>
          </m:sub>
          <m:sup>
            <m:r>
              <w:rPr>
                <w:rFonts w:ascii="Cambria Math" w:hAnsi="Cambria Math"/>
              </w:rPr>
              <m:t>cap-r16</m:t>
            </m:r>
          </m:sup>
        </m:sSubSup>
      </m:oMath>
      <w:r w:rsidR="00F14C2C" w:rsidRPr="00BC6617">
        <w:rPr>
          <w:lang w:eastAsia="ja-JP"/>
        </w:rPr>
        <w:t xml:space="preserve"> PUSCH transmissions for which the UE has not transmitted any corresponding PUSCH symbol over all </w:t>
      </w:r>
      <m:oMath>
        <m:sSubSup>
          <m:sSubSupPr>
            <m:ctrlPr>
              <w:rPr>
                <w:rFonts w:ascii="Cambria Math" w:eastAsia="Calibri" w:hAnsi="Cambria Math"/>
                <w:iCs/>
                <w:lang w:val="zh-CN"/>
              </w:rPr>
            </m:ctrlPr>
          </m:sSubSupPr>
          <m:e>
            <m:r>
              <w:rPr>
                <w:rFonts w:ascii="Cambria Math" w:hAnsi="Cambria Math"/>
                <w:lang w:val="zh-CN"/>
              </w:rPr>
              <m:t>N</m:t>
            </m:r>
          </m:e>
          <m:sub>
            <m:r>
              <m:rPr>
                <m:sty m:val="p"/>
              </m:rPr>
              <w:rPr>
                <w:rFonts w:ascii="Cambria Math" w:hAnsi="Cambria Math"/>
              </w:rPr>
              <m:t>cells</m:t>
            </m:r>
          </m:sub>
          <m:sup>
            <m:r>
              <m:rPr>
                <m:sty m:val="p"/>
              </m:rPr>
              <w:rPr>
                <w:rFonts w:ascii="Cambria Math" w:hAnsi="Cambria Math"/>
              </w:rPr>
              <m:t>UL</m:t>
            </m:r>
          </m:sup>
        </m:sSubSup>
      </m:oMath>
      <w:r w:rsidR="00F14C2C" w:rsidRPr="00BC6617">
        <w:t xml:space="preserve"> uplink cells.</w:t>
      </w:r>
    </w:p>
    <w:p w14:paraId="00095B60" w14:textId="77777777" w:rsidR="00F14C2C" w:rsidRPr="003D03CD" w:rsidRDefault="00F14C2C" w:rsidP="00F14C2C">
      <w:pPr>
        <w:rPr>
          <w:color w:val="000000" w:themeColor="text1"/>
        </w:rPr>
      </w:pPr>
      <w:r w:rsidRPr="003D03CD">
        <w:rPr>
          <w:color w:val="000000" w:themeColor="text1"/>
          <w:lang w:eastAsia="ko-KR"/>
        </w:rPr>
        <w:lastRenderedPageBreak/>
        <w:t xml:space="preserve">If </w:t>
      </w:r>
      <w:r w:rsidRPr="003D03CD">
        <w:rPr>
          <w:color w:val="000000" w:themeColor="text1"/>
        </w:rPr>
        <w:t>a UE is provided</w:t>
      </w:r>
      <w:r w:rsidRPr="003D03CD">
        <w:rPr>
          <w:iCs/>
          <w:color w:val="000000" w:themeColor="text1"/>
        </w:rPr>
        <w:t xml:space="preserve"> </w:t>
      </w:r>
      <w:r w:rsidRPr="003D03CD">
        <w:rPr>
          <w:i/>
          <w:color w:val="000000" w:themeColor="text1"/>
        </w:rPr>
        <w:t>monitoringCapabilityConfig</w:t>
      </w:r>
      <w:r w:rsidRPr="003D03CD">
        <w:rPr>
          <w:color w:val="000000" w:themeColor="text1"/>
        </w:rPr>
        <w:t xml:space="preserve"> = </w:t>
      </w:r>
      <w:r w:rsidRPr="003D03CD">
        <w:rPr>
          <w:i/>
          <w:color w:val="000000" w:themeColor="text1"/>
        </w:rPr>
        <w:t>r16monitoringcapability</w:t>
      </w:r>
      <w:r w:rsidRPr="003D03CD">
        <w:rPr>
          <w:iCs/>
          <w:color w:val="000000" w:themeColor="text1"/>
        </w:rPr>
        <w:t xml:space="preserve"> for at least one serving cell and is not provided </w:t>
      </w:r>
      <w:r w:rsidRPr="003D03CD">
        <w:rPr>
          <w:i/>
          <w:color w:val="000000" w:themeColor="text1"/>
        </w:rPr>
        <w:t>monitoringCapabilityConfig</w:t>
      </w:r>
      <w:r w:rsidRPr="003D03CD">
        <w:rPr>
          <w:color w:val="000000" w:themeColor="text1"/>
        </w:rPr>
        <w:t xml:space="preserve"> = </w:t>
      </w:r>
      <w:r w:rsidRPr="003D03CD">
        <w:rPr>
          <w:i/>
          <w:color w:val="000000" w:themeColor="text1"/>
        </w:rPr>
        <w:t>r16monitoringcapability</w:t>
      </w:r>
      <w:r w:rsidRPr="003D03CD">
        <w:rPr>
          <w:iCs/>
          <w:color w:val="000000" w:themeColor="text1"/>
        </w:rPr>
        <w:t xml:space="preserve"> for at least one serving cell,</w:t>
      </w:r>
      <w:r w:rsidRPr="003D03CD">
        <w:rPr>
          <w:i/>
          <w:color w:val="000000" w:themeColor="text1"/>
        </w:rPr>
        <w:t xml:space="preserve"> </w:t>
      </w:r>
      <w:r w:rsidRPr="003D03CD">
        <w:rPr>
          <w:iCs/>
          <w:color w:val="000000" w:themeColor="text1"/>
        </w:rPr>
        <w:t>and</w:t>
      </w:r>
    </w:p>
    <w:p w14:paraId="02032A60" w14:textId="6A8EA697" w:rsidR="00F14C2C" w:rsidRPr="003D03CD" w:rsidRDefault="000136D8" w:rsidP="005258CF">
      <w:pPr>
        <w:pStyle w:val="B1"/>
      </w:pPr>
      <w:r>
        <w:rPr>
          <w:lang w:eastAsia="ja-JP"/>
        </w:rPr>
        <w:t>-</w:t>
      </w:r>
      <w:r>
        <w:rPr>
          <w:lang w:eastAsia="ja-JP"/>
        </w:rPr>
        <w:tab/>
      </w:r>
      <w:r w:rsidR="00F14C2C" w:rsidRPr="003D03CD">
        <w:rPr>
          <w:lang w:eastAsia="ja-JP"/>
        </w:rPr>
        <w:t xml:space="preserve">is not configured for NR-DC operation, and indicates a capability to </w:t>
      </w:r>
      <w:r w:rsidR="00F14C2C" w:rsidRPr="003D03CD">
        <w:t xml:space="preserve">monitor PDCCH candidates for </w:t>
      </w:r>
      <m:oMath>
        <m:sSubSup>
          <m:sSubSupPr>
            <m:ctrlPr>
              <w:rPr>
                <w:rFonts w:ascii="Cambria Math" w:hAnsi="Cambria Math"/>
                <w:i/>
              </w:rPr>
            </m:ctrlPr>
          </m:sSubSupPr>
          <m:e>
            <m:r>
              <w:rPr>
                <w:rFonts w:ascii="Cambria Math" w:hAnsi="Cambria Math"/>
              </w:rPr>
              <m:t>N</m:t>
            </m:r>
          </m:e>
          <m:sub>
            <m:r>
              <w:rPr>
                <w:rFonts w:ascii="Cambria Math" w:hAnsi="Cambria Math"/>
              </w:rPr>
              <m:t>cells,r15</m:t>
            </m:r>
          </m:sub>
          <m:sup>
            <m:r>
              <w:rPr>
                <w:rFonts w:ascii="Cambria Math" w:hAnsi="Cambria Math"/>
              </w:rPr>
              <m:t>cap-r16</m:t>
            </m:r>
          </m:sup>
        </m:sSubSup>
        <m:r>
          <w:rPr>
            <w:rFonts w:ascii="Cambria Math" w:hAnsi="Cambria Math"/>
          </w:rPr>
          <m:t>≥1</m:t>
        </m:r>
      </m:oMath>
      <w:r w:rsidR="00F14C2C" w:rsidRPr="003D03CD">
        <w:t xml:space="preserve"> downlink cells and </w:t>
      </w:r>
      <m:oMath>
        <m:sSubSup>
          <m:sSubSupPr>
            <m:ctrlPr>
              <w:rPr>
                <w:rFonts w:ascii="Cambria Math" w:hAnsi="Cambria Math"/>
                <w:i/>
              </w:rPr>
            </m:ctrlPr>
          </m:sSubSupPr>
          <m:e>
            <m:r>
              <w:rPr>
                <w:rFonts w:ascii="Cambria Math" w:hAnsi="Cambria Math"/>
              </w:rPr>
              <m:t>N</m:t>
            </m:r>
          </m:e>
          <m:sub>
            <m:r>
              <w:rPr>
                <w:rFonts w:ascii="Cambria Math" w:hAnsi="Cambria Math"/>
              </w:rPr>
              <m:t>cells,r16</m:t>
            </m:r>
          </m:sub>
          <m:sup>
            <m:r>
              <w:rPr>
                <w:rFonts w:ascii="Cambria Math" w:hAnsi="Cambria Math"/>
              </w:rPr>
              <m:t>cap-r16</m:t>
            </m:r>
          </m:sup>
        </m:sSubSup>
        <m:r>
          <w:rPr>
            <w:rFonts w:ascii="Cambria Math" w:hAnsi="Cambria Math"/>
          </w:rPr>
          <m:t>≥1</m:t>
        </m:r>
      </m:oMath>
      <w:r w:rsidR="00F14C2C" w:rsidRPr="003D03CD">
        <w:t xml:space="preserve"> downlink cells, and the </w:t>
      </w:r>
      <w:r w:rsidR="00F14C2C" w:rsidRPr="003D03CD">
        <w:rPr>
          <w:lang w:eastAsia="ko-KR"/>
        </w:rPr>
        <w:t>UE</w:t>
      </w:r>
      <w:r w:rsidR="00F14C2C" w:rsidRPr="003D03CD">
        <w:t xml:space="preserve"> is configured with </w:t>
      </w:r>
      <m:oMath>
        <m:sSubSup>
          <m:sSubSupPr>
            <m:ctrlPr>
              <w:rPr>
                <w:rFonts w:ascii="Cambria Math" w:eastAsia="Calibri" w:hAnsi="Cambria Math"/>
                <w:iCs/>
                <w:lang w:val="zh-CN"/>
              </w:rPr>
            </m:ctrlPr>
          </m:sSubSupPr>
          <m:e>
            <m:r>
              <w:rPr>
                <w:rFonts w:ascii="Cambria Math" w:hAnsi="Cambria Math"/>
                <w:lang w:val="zh-CN"/>
              </w:rPr>
              <m:t>N</m:t>
            </m:r>
          </m:e>
          <m:sub>
            <m:r>
              <m:rPr>
                <m:sty m:val="p"/>
              </m:rPr>
              <w:rPr>
                <w:rFonts w:ascii="Cambria Math" w:hAnsi="Cambria Math"/>
              </w:rPr>
              <m:t>cells</m:t>
            </m:r>
          </m:sub>
          <m:sup>
            <m:r>
              <m:rPr>
                <m:sty m:val="p"/>
              </m:rPr>
              <w:rPr>
                <w:rFonts w:ascii="Cambria Math" w:hAnsi="Cambria Math"/>
              </w:rPr>
              <m:t>DL</m:t>
            </m:r>
          </m:sup>
        </m:sSubSup>
        <m:r>
          <w:rPr>
            <w:rFonts w:ascii="Cambria Math" w:hAnsi="Cambria Math"/>
          </w:rPr>
          <m:t>&gt;1</m:t>
        </m:r>
      </m:oMath>
      <w:r w:rsidR="00F14C2C" w:rsidRPr="003D03CD">
        <w:t xml:space="preserve"> downlink cell</w:t>
      </w:r>
      <w:r w:rsidR="00A44B72">
        <w:rPr>
          <w:lang w:val="en-GB"/>
        </w:rPr>
        <w:t>s</w:t>
      </w:r>
      <w:r w:rsidR="00F14C2C" w:rsidRPr="003D03CD">
        <w:t xml:space="preserve"> or </w:t>
      </w:r>
      <m:oMath>
        <m:sSubSup>
          <m:sSubSupPr>
            <m:ctrlPr>
              <w:rPr>
                <w:rFonts w:ascii="Cambria Math" w:eastAsia="Calibri" w:hAnsi="Cambria Math"/>
                <w:iCs/>
                <w:lang w:val="zh-CN"/>
              </w:rPr>
            </m:ctrlPr>
          </m:sSubSupPr>
          <m:e>
            <m:r>
              <w:rPr>
                <w:rFonts w:ascii="Cambria Math" w:hAnsi="Cambria Math"/>
                <w:lang w:val="zh-CN"/>
              </w:rPr>
              <m:t>N</m:t>
            </m:r>
          </m:e>
          <m:sub>
            <m:r>
              <m:rPr>
                <m:sty m:val="p"/>
              </m:rPr>
              <w:rPr>
                <w:rFonts w:ascii="Cambria Math" w:hAnsi="Cambria Math"/>
              </w:rPr>
              <m:t>cells</m:t>
            </m:r>
          </m:sub>
          <m:sup>
            <m:r>
              <m:rPr>
                <m:sty m:val="p"/>
              </m:rPr>
              <w:rPr>
                <w:rFonts w:ascii="Cambria Math" w:hAnsi="Cambria Math"/>
              </w:rPr>
              <m:t>UL</m:t>
            </m:r>
          </m:sup>
        </m:sSubSup>
        <m:r>
          <w:rPr>
            <w:rFonts w:ascii="Cambria Math" w:hAnsi="Cambria Math"/>
          </w:rPr>
          <m:t>&gt;1</m:t>
        </m:r>
      </m:oMath>
      <w:r w:rsidR="00F14C2C" w:rsidRPr="003D03CD">
        <w:t xml:space="preserve"> uplink cell</w:t>
      </w:r>
      <w:r w:rsidR="00A44B72">
        <w:rPr>
          <w:lang w:val="en-GB"/>
        </w:rPr>
        <w:t>s</w:t>
      </w:r>
      <w:r w:rsidR="00F14C2C" w:rsidRPr="003D03CD">
        <w:t xml:space="preserve">, </w:t>
      </w:r>
      <w:r w:rsidR="00F14C2C" w:rsidRPr="003D03CD">
        <w:rPr>
          <w:iCs/>
        </w:rPr>
        <w:t>or</w:t>
      </w:r>
    </w:p>
    <w:p w14:paraId="4E7D56B4" w14:textId="549E7248" w:rsidR="00F14C2C" w:rsidRPr="003D03CD" w:rsidRDefault="000136D8" w:rsidP="005258CF">
      <w:pPr>
        <w:pStyle w:val="B1"/>
      </w:pPr>
      <w:r>
        <w:rPr>
          <w:lang w:eastAsia="ja-JP"/>
        </w:rPr>
        <w:t>-</w:t>
      </w:r>
      <w:r>
        <w:rPr>
          <w:lang w:eastAsia="ja-JP"/>
        </w:rPr>
        <w:tab/>
      </w:r>
      <w:r w:rsidR="00F14C2C" w:rsidRPr="003D03CD">
        <w:rPr>
          <w:lang w:eastAsia="ja-JP"/>
        </w:rPr>
        <w:t xml:space="preserve">is </w:t>
      </w:r>
      <w:r w:rsidR="00F14C2C" w:rsidRPr="003D03CD">
        <w:rPr>
          <w:lang w:eastAsia="ko-KR"/>
        </w:rPr>
        <w:t>configured with NR-DC operation and for a cell group</w:t>
      </w:r>
      <w:r w:rsidR="00F14C2C" w:rsidRPr="003D03CD">
        <w:t xml:space="preserve"> with </w:t>
      </w:r>
      <m:oMath>
        <m:sSubSup>
          <m:sSubSupPr>
            <m:ctrlPr>
              <w:rPr>
                <w:rFonts w:ascii="Cambria Math" w:eastAsia="Calibri" w:hAnsi="Cambria Math"/>
                <w:iCs/>
                <w:lang w:val="zh-CN"/>
              </w:rPr>
            </m:ctrlPr>
          </m:sSubSupPr>
          <m:e>
            <m:r>
              <w:rPr>
                <w:rFonts w:ascii="Cambria Math" w:hAnsi="Cambria Math"/>
                <w:lang w:val="zh-CN"/>
              </w:rPr>
              <m:t>N</m:t>
            </m:r>
          </m:e>
          <m:sub>
            <m:r>
              <m:rPr>
                <m:sty m:val="p"/>
              </m:rPr>
              <w:rPr>
                <w:rFonts w:ascii="Cambria Math" w:hAnsi="Cambria Math"/>
              </w:rPr>
              <m:t>cells</m:t>
            </m:r>
          </m:sub>
          <m:sup>
            <m:r>
              <m:rPr>
                <m:sty m:val="p"/>
              </m:rPr>
              <w:rPr>
                <w:rFonts w:ascii="Cambria Math" w:hAnsi="Cambria Math"/>
              </w:rPr>
              <m:t>DL</m:t>
            </m:r>
          </m:sup>
        </m:sSubSup>
      </m:oMath>
      <w:r w:rsidR="00F14C2C" w:rsidRPr="003D03CD">
        <w:t xml:space="preserve"> downlink cells or </w:t>
      </w:r>
      <m:oMath>
        <m:sSubSup>
          <m:sSubSupPr>
            <m:ctrlPr>
              <w:rPr>
                <w:rFonts w:ascii="Cambria Math" w:eastAsia="Calibri" w:hAnsi="Cambria Math"/>
                <w:iCs/>
                <w:lang w:val="zh-CN"/>
              </w:rPr>
            </m:ctrlPr>
          </m:sSubSupPr>
          <m:e>
            <m:r>
              <w:rPr>
                <w:rFonts w:ascii="Cambria Math" w:hAnsi="Cambria Math"/>
                <w:lang w:val="zh-CN"/>
              </w:rPr>
              <m:t>N</m:t>
            </m:r>
          </m:e>
          <m:sub>
            <m:r>
              <m:rPr>
                <m:sty m:val="p"/>
              </m:rPr>
              <w:rPr>
                <w:rFonts w:ascii="Cambria Math" w:hAnsi="Cambria Math"/>
              </w:rPr>
              <m:t>cells</m:t>
            </m:r>
          </m:sub>
          <m:sup>
            <m:r>
              <m:rPr>
                <m:sty m:val="p"/>
              </m:rPr>
              <w:rPr>
                <w:rFonts w:ascii="Cambria Math" w:hAnsi="Cambria Math"/>
              </w:rPr>
              <m:t>UL</m:t>
            </m:r>
          </m:sup>
        </m:sSubSup>
      </m:oMath>
      <w:r w:rsidR="00F14C2C" w:rsidRPr="003D03CD">
        <w:t xml:space="preserve"> uplink cells</w:t>
      </w:r>
    </w:p>
    <w:p w14:paraId="397416DE" w14:textId="77777777" w:rsidR="00F14C2C" w:rsidRPr="003D03CD" w:rsidRDefault="00F14C2C" w:rsidP="00F14C2C">
      <w:pPr>
        <w:rPr>
          <w:rFonts w:eastAsia="MS Mincho"/>
          <w:color w:val="000000" w:themeColor="text1"/>
          <w:lang w:eastAsia="ja-JP"/>
        </w:rPr>
      </w:pPr>
      <w:r w:rsidRPr="003D03CD">
        <w:rPr>
          <w:color w:val="000000" w:themeColor="text1"/>
        </w:rPr>
        <w:t>the</w:t>
      </w:r>
      <w:r w:rsidRPr="003D03CD">
        <w:rPr>
          <w:color w:val="000000" w:themeColor="text1"/>
          <w:lang w:eastAsia="ja-JP"/>
        </w:rPr>
        <w:t xml:space="preserve"> UE expects to have respectively received </w:t>
      </w:r>
    </w:p>
    <w:p w14:paraId="359E245B" w14:textId="0D052FDF" w:rsidR="00F14C2C" w:rsidRPr="003D03CD" w:rsidRDefault="000136D8" w:rsidP="005258CF">
      <w:pPr>
        <w:pStyle w:val="B1"/>
        <w:rPr>
          <w:i/>
        </w:rPr>
      </w:pPr>
      <w:r>
        <w:rPr>
          <w:lang w:eastAsia="ja-JP"/>
        </w:rPr>
        <w:t>-</w:t>
      </w:r>
      <w:r>
        <w:rPr>
          <w:lang w:eastAsia="ja-JP"/>
        </w:rPr>
        <w:tab/>
      </w:r>
      <w:r w:rsidR="00F14C2C" w:rsidRPr="003D03CD">
        <w:rPr>
          <w:lang w:eastAsia="ja-JP"/>
        </w:rPr>
        <w:t xml:space="preserve">at most </w:t>
      </w:r>
      <m:oMath>
        <m:sSubSup>
          <m:sSubSupPr>
            <m:ctrlPr>
              <w:rPr>
                <w:rFonts w:ascii="Cambria Math" w:hAnsi="Cambria Math"/>
                <w:i/>
              </w:rPr>
            </m:ctrlPr>
          </m:sSubSupPr>
          <m:e>
            <m:r>
              <w:rPr>
                <w:rFonts w:ascii="Cambria Math" w:hAnsi="Cambria Math"/>
              </w:rPr>
              <m:t>16∙N</m:t>
            </m:r>
          </m:e>
          <m:sub>
            <m:r>
              <w:rPr>
                <w:rFonts w:ascii="Cambria Math" w:hAnsi="Cambria Math"/>
              </w:rPr>
              <m:t>cells,r15</m:t>
            </m:r>
          </m:sub>
          <m:sup>
            <m:r>
              <w:rPr>
                <w:rFonts w:ascii="Cambria Math" w:hAnsi="Cambria Math"/>
              </w:rPr>
              <m:t>cap-r16</m:t>
            </m:r>
          </m:sup>
        </m:sSubSup>
      </m:oMath>
      <w:r w:rsidR="00F14C2C" w:rsidRPr="003D03CD">
        <w:t xml:space="preserve"> PDCCHs for </w:t>
      </w:r>
      <w:r w:rsidR="00F14C2C" w:rsidRPr="003D03CD">
        <w:rPr>
          <w:lang w:eastAsia="ja-JP"/>
        </w:rPr>
        <w:t>DCI formats with CRC scrambled by a C-RNTI, or a CS-RNTI, or a MCS</w:t>
      </w:r>
      <w:r w:rsidR="00F14C2C" w:rsidRPr="003D03CD">
        <w:rPr>
          <w:rFonts w:eastAsia="DengXian"/>
          <w:lang w:eastAsia="ja-JP"/>
        </w:rPr>
        <w:t>-C</w:t>
      </w:r>
      <w:r w:rsidR="00F14C2C" w:rsidRPr="003D03CD">
        <w:rPr>
          <w:lang w:eastAsia="ja-JP"/>
        </w:rPr>
        <w:t>-RNTI</w:t>
      </w:r>
      <w:r w:rsidR="005405DB" w:rsidRPr="00497077">
        <w:rPr>
          <w:lang w:eastAsia="ja-JP"/>
        </w:rPr>
        <w:t>, or a G-RNTI</w:t>
      </w:r>
      <w:r w:rsidR="00DE3D33" w:rsidRPr="00DE3D33">
        <w:rPr>
          <w:lang w:val="en-GB" w:eastAsia="ja-JP"/>
        </w:rPr>
        <w:t xml:space="preserve"> </w:t>
      </w:r>
      <w:r w:rsidR="00DE3D33">
        <w:rPr>
          <w:lang w:val="en-GB" w:eastAsia="ja-JP"/>
        </w:rPr>
        <w:t>for multicast</w:t>
      </w:r>
      <w:r w:rsidR="005405DB" w:rsidRPr="00497077">
        <w:rPr>
          <w:lang w:eastAsia="ja-JP"/>
        </w:rPr>
        <w:t>, or a G-CS-RNTI</w:t>
      </w:r>
      <w:r w:rsidR="00F14C2C" w:rsidRPr="003D03CD">
        <w:rPr>
          <w:lang w:eastAsia="ja-JP"/>
        </w:rPr>
        <w:t xml:space="preserve"> scheduling </w:t>
      </w:r>
      <m:oMath>
        <m:sSubSup>
          <m:sSubSupPr>
            <m:ctrlPr>
              <w:rPr>
                <w:rFonts w:ascii="Cambria Math" w:hAnsi="Cambria Math"/>
                <w:i/>
              </w:rPr>
            </m:ctrlPr>
          </m:sSubSupPr>
          <m:e>
            <m:r>
              <w:rPr>
                <w:rFonts w:ascii="Cambria Math" w:hAnsi="Cambria Math"/>
              </w:rPr>
              <m:t>16∙N</m:t>
            </m:r>
          </m:e>
          <m:sub>
            <m:r>
              <w:rPr>
                <w:rFonts w:ascii="Cambria Math" w:hAnsi="Cambria Math"/>
              </w:rPr>
              <m:t>cells,r15</m:t>
            </m:r>
          </m:sub>
          <m:sup>
            <m:r>
              <w:rPr>
                <w:rFonts w:ascii="Cambria Math" w:hAnsi="Cambria Math"/>
              </w:rPr>
              <m:t>cap-r16</m:t>
            </m:r>
          </m:sup>
        </m:sSubSup>
      </m:oMath>
      <w:r w:rsidR="00F14C2C" w:rsidRPr="003D03CD">
        <w:rPr>
          <w:lang w:eastAsia="ja-JP"/>
        </w:rPr>
        <w:t xml:space="preserve"> PDSCH receptions for which the UE has not received any corresponding PDSCH symbol over all </w:t>
      </w:r>
      <w:r w:rsidR="00F14C2C" w:rsidRPr="003D03CD">
        <w:t xml:space="preserve">serving cells </w:t>
      </w:r>
      <w:r w:rsidR="00F14C2C" w:rsidRPr="003D03CD">
        <w:rPr>
          <w:lang w:eastAsia="ja-JP"/>
        </w:rPr>
        <w:t xml:space="preserve">that are not provided </w:t>
      </w:r>
      <w:r w:rsidR="00F14C2C" w:rsidRPr="003D03CD">
        <w:rPr>
          <w:i/>
        </w:rPr>
        <w:t>monitoringCapabilityConfig</w:t>
      </w:r>
      <w:r w:rsidR="00F14C2C" w:rsidRPr="003D03CD">
        <w:t xml:space="preserve"> = </w:t>
      </w:r>
      <w:r w:rsidR="00F14C2C" w:rsidRPr="003D03CD">
        <w:rPr>
          <w:i/>
        </w:rPr>
        <w:t>r16monitoringcapability</w:t>
      </w:r>
    </w:p>
    <w:p w14:paraId="0EE58B82" w14:textId="099D6964" w:rsidR="00F14C2C" w:rsidRPr="003D03CD" w:rsidRDefault="000136D8" w:rsidP="005258CF">
      <w:pPr>
        <w:pStyle w:val="B1"/>
        <w:rPr>
          <w:i/>
        </w:rPr>
      </w:pPr>
      <w:r>
        <w:rPr>
          <w:lang w:eastAsia="ja-JP"/>
        </w:rPr>
        <w:t>-</w:t>
      </w:r>
      <w:r>
        <w:rPr>
          <w:lang w:eastAsia="ja-JP"/>
        </w:rPr>
        <w:tab/>
      </w:r>
      <w:r w:rsidR="00F14C2C" w:rsidRPr="003D03CD">
        <w:rPr>
          <w:lang w:eastAsia="ja-JP"/>
        </w:rPr>
        <w:t xml:space="preserve">at most </w:t>
      </w:r>
      <m:oMath>
        <m:sSubSup>
          <m:sSubSupPr>
            <m:ctrlPr>
              <w:rPr>
                <w:rFonts w:ascii="Cambria Math" w:hAnsi="Cambria Math"/>
                <w:i/>
              </w:rPr>
            </m:ctrlPr>
          </m:sSubSupPr>
          <m:e>
            <m:r>
              <w:rPr>
                <w:rFonts w:ascii="Cambria Math" w:hAnsi="Cambria Math"/>
              </w:rPr>
              <m:t>16∙N</m:t>
            </m:r>
          </m:e>
          <m:sub>
            <m:r>
              <w:rPr>
                <w:rFonts w:ascii="Cambria Math" w:hAnsi="Cambria Math"/>
              </w:rPr>
              <m:t>cells,r15</m:t>
            </m:r>
          </m:sub>
          <m:sup>
            <m:r>
              <w:rPr>
                <w:rFonts w:ascii="Cambria Math" w:hAnsi="Cambria Math"/>
              </w:rPr>
              <m:t>cap-r16</m:t>
            </m:r>
          </m:sup>
        </m:sSubSup>
      </m:oMath>
      <w:r w:rsidR="00F14C2C" w:rsidRPr="003D03CD">
        <w:t xml:space="preserve"> PDCCHs for </w:t>
      </w:r>
      <w:r w:rsidR="00F14C2C" w:rsidRPr="003D03CD">
        <w:rPr>
          <w:lang w:eastAsia="ja-JP"/>
        </w:rPr>
        <w:t>DCI formats with CRC scrambled by a C-RNTI, or a CS-RNTI, or a MCS</w:t>
      </w:r>
      <w:r w:rsidR="00F14C2C" w:rsidRPr="003D03CD">
        <w:rPr>
          <w:rFonts w:eastAsia="DengXian"/>
          <w:lang w:eastAsia="ja-JP"/>
        </w:rPr>
        <w:t>-C</w:t>
      </w:r>
      <w:r w:rsidR="00F14C2C" w:rsidRPr="003D03CD">
        <w:rPr>
          <w:lang w:eastAsia="ja-JP"/>
        </w:rPr>
        <w:t xml:space="preserve">-RNTI scheduling </w:t>
      </w:r>
      <m:oMath>
        <m:sSubSup>
          <m:sSubSupPr>
            <m:ctrlPr>
              <w:rPr>
                <w:rFonts w:ascii="Cambria Math" w:hAnsi="Cambria Math"/>
                <w:i/>
              </w:rPr>
            </m:ctrlPr>
          </m:sSubSupPr>
          <m:e>
            <m:r>
              <w:rPr>
                <w:rFonts w:ascii="Cambria Math" w:hAnsi="Cambria Math"/>
              </w:rPr>
              <m:t>16∙N</m:t>
            </m:r>
          </m:e>
          <m:sub>
            <m:r>
              <w:rPr>
                <w:rFonts w:ascii="Cambria Math" w:hAnsi="Cambria Math"/>
              </w:rPr>
              <m:t>cells,r15</m:t>
            </m:r>
          </m:sub>
          <m:sup>
            <m:r>
              <w:rPr>
                <w:rFonts w:ascii="Cambria Math" w:hAnsi="Cambria Math"/>
              </w:rPr>
              <m:t>cap-r16</m:t>
            </m:r>
          </m:sup>
        </m:sSubSup>
      </m:oMath>
      <w:r w:rsidR="00F14C2C" w:rsidRPr="003D03CD">
        <w:rPr>
          <w:lang w:eastAsia="ja-JP"/>
        </w:rPr>
        <w:t xml:space="preserve"> PUSCH transmissions for which the UE has not transmitted any corresponding PUSCH symbol over all </w:t>
      </w:r>
      <w:r w:rsidR="00F14C2C" w:rsidRPr="003D03CD">
        <w:t xml:space="preserve">serving cells </w:t>
      </w:r>
      <w:r w:rsidR="00F14C2C" w:rsidRPr="003D03CD">
        <w:rPr>
          <w:lang w:eastAsia="ja-JP"/>
        </w:rPr>
        <w:t xml:space="preserve">that are not provided </w:t>
      </w:r>
      <w:r w:rsidR="00F14C2C" w:rsidRPr="003D03CD">
        <w:rPr>
          <w:i/>
        </w:rPr>
        <w:t>monitoringCapabilityConfig</w:t>
      </w:r>
      <w:r w:rsidR="00F14C2C" w:rsidRPr="003D03CD">
        <w:t xml:space="preserve"> = </w:t>
      </w:r>
      <w:r w:rsidR="00F14C2C" w:rsidRPr="003D03CD">
        <w:rPr>
          <w:i/>
        </w:rPr>
        <w:t>r16monitoringcapability</w:t>
      </w:r>
    </w:p>
    <w:p w14:paraId="1725A28A" w14:textId="1AA32621" w:rsidR="00F14C2C" w:rsidRDefault="000136D8" w:rsidP="005258CF">
      <w:pPr>
        <w:pStyle w:val="B1"/>
        <w:rPr>
          <w:i/>
        </w:rPr>
      </w:pPr>
      <w:r>
        <w:rPr>
          <w:lang w:eastAsia="ja-JP"/>
        </w:rPr>
        <w:t>-</w:t>
      </w:r>
      <w:r>
        <w:rPr>
          <w:lang w:eastAsia="ja-JP"/>
        </w:rPr>
        <w:tab/>
      </w:r>
      <w:r w:rsidR="00F14C2C" w:rsidRPr="003D03CD">
        <w:rPr>
          <w:lang w:eastAsia="ja-JP"/>
        </w:rPr>
        <w:t xml:space="preserve">at most </w:t>
      </w:r>
      <m:oMath>
        <m:sSubSup>
          <m:sSubSupPr>
            <m:ctrlPr>
              <w:rPr>
                <w:rFonts w:ascii="Cambria Math" w:hAnsi="Cambria Math"/>
                <w:i/>
              </w:rPr>
            </m:ctrlPr>
          </m:sSubSupPr>
          <m:e>
            <m:r>
              <w:rPr>
                <w:rFonts w:ascii="Cambria Math" w:hAnsi="Cambria Math"/>
              </w:rPr>
              <m:t>16∙N</m:t>
            </m:r>
          </m:e>
          <m:sub>
            <m:r>
              <w:rPr>
                <w:rFonts w:ascii="Cambria Math" w:hAnsi="Cambria Math"/>
              </w:rPr>
              <m:t>cells,r16</m:t>
            </m:r>
          </m:sub>
          <m:sup>
            <m:r>
              <w:rPr>
                <w:rFonts w:ascii="Cambria Math" w:hAnsi="Cambria Math"/>
              </w:rPr>
              <m:t>cap-r16</m:t>
            </m:r>
          </m:sup>
        </m:sSubSup>
      </m:oMath>
      <w:r w:rsidR="00F14C2C" w:rsidRPr="003D03CD">
        <w:t xml:space="preserve"> PDCCHs for </w:t>
      </w:r>
      <w:r w:rsidR="00F14C2C" w:rsidRPr="003D03CD">
        <w:rPr>
          <w:lang w:eastAsia="ja-JP"/>
        </w:rPr>
        <w:t>DCI formats with CRC scrambled by a C-RNTI, or a CS-RNTI, or a MCS</w:t>
      </w:r>
      <w:r w:rsidR="00F14C2C" w:rsidRPr="003D03CD">
        <w:rPr>
          <w:rFonts w:eastAsia="DengXian"/>
          <w:lang w:eastAsia="ja-JP"/>
        </w:rPr>
        <w:t>-C</w:t>
      </w:r>
      <w:r w:rsidR="00F14C2C" w:rsidRPr="003D03CD">
        <w:rPr>
          <w:lang w:eastAsia="ja-JP"/>
        </w:rPr>
        <w:t>-RNTI</w:t>
      </w:r>
      <w:r w:rsidR="005405DB" w:rsidRPr="00497077">
        <w:rPr>
          <w:lang w:eastAsia="ja-JP"/>
        </w:rPr>
        <w:t>, or a G-RNTI</w:t>
      </w:r>
      <w:r w:rsidR="00DE3D33" w:rsidRPr="00DE3D33">
        <w:rPr>
          <w:lang w:val="en-GB" w:eastAsia="ja-JP"/>
        </w:rPr>
        <w:t xml:space="preserve"> </w:t>
      </w:r>
      <w:r w:rsidR="00DE3D33">
        <w:rPr>
          <w:lang w:val="en-GB" w:eastAsia="ja-JP"/>
        </w:rPr>
        <w:t>for multicast</w:t>
      </w:r>
      <w:r w:rsidR="005405DB" w:rsidRPr="00497077">
        <w:rPr>
          <w:lang w:eastAsia="ja-JP"/>
        </w:rPr>
        <w:t>, or a G-CS-RNTI</w:t>
      </w:r>
      <w:r w:rsidR="00F14C2C" w:rsidRPr="003D03CD">
        <w:rPr>
          <w:lang w:eastAsia="ja-JP"/>
        </w:rPr>
        <w:t xml:space="preserve"> scheduling </w:t>
      </w:r>
      <m:oMath>
        <m:sSubSup>
          <m:sSubSupPr>
            <m:ctrlPr>
              <w:rPr>
                <w:rFonts w:ascii="Cambria Math" w:hAnsi="Cambria Math"/>
                <w:i/>
              </w:rPr>
            </m:ctrlPr>
          </m:sSubSupPr>
          <m:e>
            <m:r>
              <w:rPr>
                <w:rFonts w:ascii="Cambria Math" w:hAnsi="Cambria Math"/>
              </w:rPr>
              <m:t>16∙N</m:t>
            </m:r>
          </m:e>
          <m:sub>
            <m:r>
              <w:rPr>
                <w:rFonts w:ascii="Cambria Math" w:hAnsi="Cambria Math"/>
              </w:rPr>
              <m:t>cells,r16</m:t>
            </m:r>
          </m:sub>
          <m:sup>
            <m:r>
              <w:rPr>
                <w:rFonts w:ascii="Cambria Math" w:hAnsi="Cambria Math"/>
              </w:rPr>
              <m:t>cap-r16</m:t>
            </m:r>
          </m:sup>
        </m:sSubSup>
      </m:oMath>
      <w:r w:rsidR="00F14C2C" w:rsidRPr="003D03CD">
        <w:rPr>
          <w:lang w:eastAsia="ja-JP"/>
        </w:rPr>
        <w:t xml:space="preserve"> PDSCH receptions for which the UE has not received any corresponding PDSCH symbol over all </w:t>
      </w:r>
      <w:r w:rsidR="00F14C2C" w:rsidRPr="003D03CD">
        <w:t xml:space="preserve">serving cells </w:t>
      </w:r>
      <w:r w:rsidR="00F14C2C" w:rsidRPr="003D03CD">
        <w:rPr>
          <w:lang w:eastAsia="ja-JP"/>
        </w:rPr>
        <w:t xml:space="preserve">that are provided </w:t>
      </w:r>
      <w:r w:rsidR="00F14C2C" w:rsidRPr="003D03CD">
        <w:rPr>
          <w:i/>
        </w:rPr>
        <w:t>monitoringCapabilityConfig</w:t>
      </w:r>
      <w:r w:rsidR="00F14C2C" w:rsidRPr="003D03CD">
        <w:t xml:space="preserve"> = </w:t>
      </w:r>
      <w:r w:rsidR="00F14C2C" w:rsidRPr="003D03CD">
        <w:rPr>
          <w:i/>
        </w:rPr>
        <w:t>r16monitoringcapability</w:t>
      </w:r>
    </w:p>
    <w:p w14:paraId="19D95756" w14:textId="17D94CDB" w:rsidR="00F14C2C" w:rsidRPr="0090056C" w:rsidRDefault="000136D8" w:rsidP="005258CF">
      <w:pPr>
        <w:pStyle w:val="B1"/>
        <w:rPr>
          <w:rFonts w:eastAsia="MS Mincho"/>
          <w:lang w:eastAsia="ja-JP"/>
        </w:rPr>
      </w:pPr>
      <w:r>
        <w:rPr>
          <w:lang w:eastAsia="ja-JP"/>
        </w:rPr>
        <w:t>-</w:t>
      </w:r>
      <w:r>
        <w:rPr>
          <w:lang w:eastAsia="ja-JP"/>
        </w:rPr>
        <w:tab/>
      </w:r>
      <w:r w:rsidR="00F14C2C" w:rsidRPr="0090056C">
        <w:rPr>
          <w:lang w:eastAsia="ja-JP"/>
        </w:rPr>
        <w:t xml:space="preserve">at most </w:t>
      </w:r>
      <m:oMath>
        <m:sSubSup>
          <m:sSubSupPr>
            <m:ctrlPr>
              <w:rPr>
                <w:rFonts w:ascii="Cambria Math" w:hAnsi="Cambria Math"/>
                <w:i/>
              </w:rPr>
            </m:ctrlPr>
          </m:sSubSupPr>
          <m:e>
            <m:r>
              <w:rPr>
                <w:rFonts w:ascii="Cambria Math" w:hAnsi="Cambria Math"/>
              </w:rPr>
              <m:t>16∙N</m:t>
            </m:r>
          </m:e>
          <m:sub>
            <m:r>
              <w:rPr>
                <w:rFonts w:ascii="Cambria Math" w:hAnsi="Cambria Math"/>
              </w:rPr>
              <m:t>cells,r16</m:t>
            </m:r>
          </m:sub>
          <m:sup>
            <m:r>
              <w:rPr>
                <w:rFonts w:ascii="Cambria Math" w:hAnsi="Cambria Math"/>
              </w:rPr>
              <m:t>cap-r16</m:t>
            </m:r>
          </m:sup>
        </m:sSubSup>
      </m:oMath>
      <w:r w:rsidR="00F14C2C" w:rsidRPr="0090056C">
        <w:t xml:space="preserve"> PDCCHs for </w:t>
      </w:r>
      <w:r w:rsidR="00F14C2C" w:rsidRPr="0090056C">
        <w:rPr>
          <w:lang w:eastAsia="ja-JP"/>
        </w:rPr>
        <w:t>DCI formats with CRC scrambled by a C-RNTI, or a CS-RNTI, or a MCS</w:t>
      </w:r>
      <w:r w:rsidR="00F14C2C" w:rsidRPr="0090056C">
        <w:rPr>
          <w:rFonts w:eastAsia="DengXian"/>
          <w:lang w:eastAsia="ja-JP"/>
        </w:rPr>
        <w:t>-C</w:t>
      </w:r>
      <w:r w:rsidR="00F14C2C" w:rsidRPr="0090056C">
        <w:rPr>
          <w:lang w:eastAsia="ja-JP"/>
        </w:rPr>
        <w:t xml:space="preserve">-RNTI scheduling </w:t>
      </w:r>
      <m:oMath>
        <m:sSubSup>
          <m:sSubSupPr>
            <m:ctrlPr>
              <w:rPr>
                <w:rFonts w:ascii="Cambria Math" w:hAnsi="Cambria Math"/>
                <w:i/>
              </w:rPr>
            </m:ctrlPr>
          </m:sSubSupPr>
          <m:e>
            <m:r>
              <w:rPr>
                <w:rFonts w:ascii="Cambria Math" w:hAnsi="Cambria Math"/>
              </w:rPr>
              <m:t>16∙N</m:t>
            </m:r>
          </m:e>
          <m:sub>
            <m:r>
              <w:rPr>
                <w:rFonts w:ascii="Cambria Math" w:hAnsi="Cambria Math"/>
              </w:rPr>
              <m:t>cells,r16</m:t>
            </m:r>
          </m:sub>
          <m:sup>
            <m:r>
              <w:rPr>
                <w:rFonts w:ascii="Cambria Math" w:hAnsi="Cambria Math"/>
              </w:rPr>
              <m:t>cap-r16</m:t>
            </m:r>
          </m:sup>
        </m:sSubSup>
      </m:oMath>
      <w:r w:rsidR="00F14C2C" w:rsidRPr="0090056C">
        <w:rPr>
          <w:lang w:eastAsia="ja-JP"/>
        </w:rPr>
        <w:t xml:space="preserve"> PUSCH transmissions for which the UE has not transmitted any corresponding PUSCH symbol over all </w:t>
      </w:r>
      <w:r w:rsidR="00F14C2C" w:rsidRPr="0090056C">
        <w:t xml:space="preserve">serving cells </w:t>
      </w:r>
      <w:r w:rsidR="00F14C2C" w:rsidRPr="0090056C">
        <w:rPr>
          <w:lang w:eastAsia="ja-JP"/>
        </w:rPr>
        <w:t xml:space="preserve">that are provided </w:t>
      </w:r>
      <w:r w:rsidR="00F14C2C" w:rsidRPr="0090056C">
        <w:rPr>
          <w:i/>
        </w:rPr>
        <w:t>monitoringCapabilityConfig</w:t>
      </w:r>
      <w:r w:rsidR="00F14C2C" w:rsidRPr="0090056C">
        <w:t xml:space="preserve"> = </w:t>
      </w:r>
      <w:r w:rsidR="00F14C2C" w:rsidRPr="0090056C">
        <w:rPr>
          <w:i/>
        </w:rPr>
        <w:t>r16monitoringcapability</w:t>
      </w:r>
    </w:p>
    <w:p w14:paraId="31ABDEF6" w14:textId="0AFFE9B2" w:rsidR="00A44B72" w:rsidRPr="00025D0B" w:rsidRDefault="00A44B72" w:rsidP="00A44B72">
      <w:r w:rsidRPr="00025D0B">
        <w:rPr>
          <w:lang w:eastAsia="ko-KR"/>
        </w:rPr>
        <w:t xml:space="preserve">If </w:t>
      </w:r>
      <w:r w:rsidRPr="00025D0B">
        <w:t>a UE is provided serving</w:t>
      </w:r>
      <w:r w:rsidRPr="00025D0B">
        <w:rPr>
          <w:iCs/>
        </w:rPr>
        <w:t xml:space="preserve"> cells </w:t>
      </w:r>
      <w:r w:rsidRPr="00025D0B">
        <w:rPr>
          <w:rFonts w:eastAsia="Times New Roman"/>
          <w:iCs/>
        </w:rPr>
        <w:t>with</w:t>
      </w:r>
      <w:r w:rsidRPr="00025D0B">
        <w:rPr>
          <w:lang w:eastAsia="ko-KR"/>
        </w:rPr>
        <w:t xml:space="preserve"> SCS configuration </w:t>
      </w:r>
      <m:oMath>
        <m:r>
          <w:rPr>
            <w:rFonts w:ascii="Cambria Math" w:hAnsi="Cambria Math"/>
            <w:lang w:eastAsia="zh-CN"/>
          </w:rPr>
          <m:t>μ∈</m:t>
        </m:r>
        <m:d>
          <m:dPr>
            <m:begChr m:val="{"/>
            <m:endChr m:val="}"/>
            <m:ctrlPr>
              <w:rPr>
                <w:rFonts w:ascii="Cambria Math" w:hAnsi="Cambria Math"/>
                <w:bCs/>
                <w:i/>
                <w:lang w:eastAsia="zh-CN"/>
              </w:rPr>
            </m:ctrlPr>
          </m:dPr>
          <m:e>
            <m:r>
              <w:rPr>
                <w:rFonts w:ascii="Cambria Math" w:hAnsi="Cambria Math"/>
                <w:lang w:eastAsia="zh-CN"/>
              </w:rPr>
              <m:t>5, 6</m:t>
            </m:r>
          </m:e>
        </m:d>
      </m:oMath>
      <w:r w:rsidRPr="00025D0B">
        <w:rPr>
          <w:lang w:eastAsia="zh-CN"/>
        </w:rPr>
        <w:t xml:space="preserve"> for the active DL BWP</w:t>
      </w:r>
      <w:r w:rsidRPr="00025D0B">
        <w:rPr>
          <w:lang w:eastAsia="ja-JP"/>
        </w:rPr>
        <w:t xml:space="preserve">, is not configured for NR-DC operation and </w:t>
      </w:r>
      <w:r w:rsidRPr="00025D0B">
        <w:t xml:space="preserve">indicates through </w:t>
      </w:r>
      <w:r w:rsidRPr="00025D0B">
        <w:rPr>
          <w:i/>
          <w:iCs/>
        </w:rPr>
        <w:t xml:space="preserve">pdcch-MonitoringCA </w:t>
      </w:r>
      <w:r w:rsidRPr="00025D0B">
        <w:t xml:space="preserve">a capability to monitor PDCCH candidates for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cells</m:t>
            </m:r>
          </m:sub>
          <m:sup>
            <m:r>
              <m:rPr>
                <m:sty m:val="p"/>
              </m:rPr>
              <w:rPr>
                <w:rFonts w:ascii="Cambria Math" w:hAnsi="Cambria Math"/>
              </w:rPr>
              <m:t>cap</m:t>
            </m:r>
            <m:r>
              <w:rPr>
                <w:rFonts w:ascii="Cambria Math" w:hAnsi="Cambria Math"/>
              </w:rPr>
              <m:t>-r17</m:t>
            </m:r>
          </m:sup>
        </m:sSubSup>
        <m:r>
          <w:rPr>
            <w:rFonts w:ascii="Cambria Math" w:hAnsi="Cambria Math"/>
          </w:rPr>
          <m:t>≥4</m:t>
        </m:r>
      </m:oMath>
      <w:r w:rsidRPr="00025D0B">
        <w:t xml:space="preserve"> downlink cells and the </w:t>
      </w:r>
      <w:r w:rsidRPr="00025D0B">
        <w:rPr>
          <w:lang w:eastAsia="ko-KR"/>
        </w:rPr>
        <w:t>UE</w:t>
      </w:r>
      <w:r w:rsidRPr="00025D0B">
        <w:t xml:space="preserve"> is configured with </w:t>
      </w:r>
      <m:oMath>
        <m:sSubSup>
          <m:sSubSupPr>
            <m:ctrlPr>
              <w:rPr>
                <w:rFonts w:ascii="Cambria Math" w:eastAsia="Calibri" w:hAnsi="Cambria Math"/>
                <w:iCs/>
                <w:lang w:val="zh-CN"/>
              </w:rPr>
            </m:ctrlPr>
          </m:sSubSupPr>
          <m:e>
            <m:r>
              <w:rPr>
                <w:rFonts w:ascii="Cambria Math" w:hAnsi="Cambria Math"/>
                <w:lang w:val="zh-CN" w:eastAsia="zh-CN"/>
              </w:rPr>
              <m:t>N</m:t>
            </m:r>
          </m:e>
          <m:sub>
            <m:r>
              <m:rPr>
                <m:sty m:val="p"/>
              </m:rPr>
              <w:rPr>
                <w:rFonts w:ascii="Cambria Math" w:hAnsi="Cambria Math"/>
              </w:rPr>
              <m:t>cells</m:t>
            </m:r>
          </m:sub>
          <m:sup>
            <m:r>
              <m:rPr>
                <m:sty m:val="p"/>
              </m:rPr>
              <w:rPr>
                <w:rFonts w:ascii="Cambria Math" w:hAnsi="Cambria Math"/>
              </w:rPr>
              <m:t>DL</m:t>
            </m:r>
          </m:sup>
        </m:sSubSup>
        <m:r>
          <w:rPr>
            <w:rFonts w:ascii="Cambria Math" w:hAnsi="Cambria Math"/>
          </w:rPr>
          <m:t>&gt;4</m:t>
        </m:r>
      </m:oMath>
      <w:r w:rsidRPr="00025D0B">
        <w:t xml:space="preserve"> downlink cells or </w:t>
      </w:r>
      <m:oMath>
        <m:sSubSup>
          <m:sSubSupPr>
            <m:ctrlPr>
              <w:rPr>
                <w:rFonts w:ascii="Cambria Math" w:eastAsia="Calibri" w:hAnsi="Cambria Math"/>
                <w:iCs/>
                <w:lang w:val="zh-CN"/>
              </w:rPr>
            </m:ctrlPr>
          </m:sSubSupPr>
          <m:e>
            <m:r>
              <w:rPr>
                <w:rFonts w:ascii="Cambria Math" w:hAnsi="Cambria Math"/>
                <w:lang w:val="zh-CN" w:eastAsia="zh-CN"/>
              </w:rPr>
              <m:t>N</m:t>
            </m:r>
          </m:e>
          <m:sub>
            <m:r>
              <m:rPr>
                <m:sty m:val="p"/>
              </m:rPr>
              <w:rPr>
                <w:rFonts w:ascii="Cambria Math" w:hAnsi="Cambria Math"/>
              </w:rPr>
              <m:t>cells</m:t>
            </m:r>
          </m:sub>
          <m:sup>
            <m:r>
              <m:rPr>
                <m:sty m:val="p"/>
              </m:rPr>
              <w:rPr>
                <w:rFonts w:ascii="Cambria Math" w:hAnsi="Cambria Math"/>
              </w:rPr>
              <m:t>UL</m:t>
            </m:r>
          </m:sup>
        </m:sSubSup>
        <m:r>
          <w:rPr>
            <w:rFonts w:ascii="Cambria Math" w:hAnsi="Cambria Math"/>
          </w:rPr>
          <m:t>&gt;4</m:t>
        </m:r>
      </m:oMath>
      <w:r w:rsidRPr="00025D0B">
        <w:t xml:space="preserve"> uplink cells, the</w:t>
      </w:r>
      <w:r w:rsidRPr="00025D0B">
        <w:rPr>
          <w:lang w:eastAsia="ja-JP"/>
        </w:rPr>
        <w:t xml:space="preserve"> UE expects to have respectively received at most </w:t>
      </w:r>
      <m:oMath>
        <m:sSubSup>
          <m:sSubSupPr>
            <m:ctrlPr>
              <w:rPr>
                <w:rFonts w:ascii="Cambria Math" w:hAnsi="Cambria Math"/>
                <w:i/>
              </w:rPr>
            </m:ctrlPr>
          </m:sSubSupPr>
          <m:e>
            <m:r>
              <w:rPr>
                <w:rFonts w:ascii="Cambria Math" w:hAnsi="Cambria Math"/>
              </w:rPr>
              <m:t>16∙N</m:t>
            </m:r>
          </m:e>
          <m:sub>
            <m:r>
              <m:rPr>
                <m:sty m:val="p"/>
              </m:rPr>
              <w:rPr>
                <w:rFonts w:ascii="Cambria Math" w:hAnsi="Cambria Math"/>
              </w:rPr>
              <m:t>cells</m:t>
            </m:r>
          </m:sub>
          <m:sup>
            <m:r>
              <m:rPr>
                <m:sty m:val="p"/>
              </m:rPr>
              <w:rPr>
                <w:rFonts w:ascii="Cambria Math" w:hAnsi="Cambria Math"/>
              </w:rPr>
              <m:t>cap</m:t>
            </m:r>
            <m:r>
              <w:rPr>
                <w:rFonts w:ascii="Cambria Math" w:hAnsi="Cambria Math"/>
              </w:rPr>
              <m:t>-r17</m:t>
            </m:r>
          </m:sup>
        </m:sSubSup>
      </m:oMath>
      <w:r w:rsidRPr="00025D0B">
        <w:rPr>
          <w:lang w:eastAsia="ja-JP"/>
        </w:rPr>
        <w:t xml:space="preserve"> PDCCHs for </w:t>
      </w:r>
    </w:p>
    <w:p w14:paraId="29956227" w14:textId="42AD923A" w:rsidR="00A44B72" w:rsidRPr="00025D0B" w:rsidRDefault="00A44B72" w:rsidP="00A44B72">
      <w:pPr>
        <w:pStyle w:val="B1"/>
      </w:pPr>
      <w:r w:rsidRPr="00025D0B">
        <w:rPr>
          <w:lang w:eastAsia="ja-JP"/>
        </w:rPr>
        <w:t>-</w:t>
      </w:r>
      <w:r w:rsidRPr="00025D0B">
        <w:rPr>
          <w:lang w:eastAsia="ja-JP"/>
        </w:rPr>
        <w:tab/>
        <w:t>DCI formats with CRC scrambled by a C-RNTI, or a CS-RNTI, or a MCS</w:t>
      </w:r>
      <w:r w:rsidRPr="00025D0B">
        <w:rPr>
          <w:rFonts w:eastAsia="DengXian"/>
          <w:lang w:eastAsia="ja-JP"/>
        </w:rPr>
        <w:t>-C</w:t>
      </w:r>
      <w:r w:rsidRPr="00025D0B">
        <w:rPr>
          <w:lang w:eastAsia="ja-JP"/>
        </w:rPr>
        <w:t>-RNTI</w:t>
      </w:r>
      <w:r w:rsidR="005405DB" w:rsidRPr="00497077">
        <w:rPr>
          <w:lang w:eastAsia="ja-JP"/>
        </w:rPr>
        <w:t>, or a G-RNTI</w:t>
      </w:r>
      <w:r w:rsidR="00F676CA">
        <w:rPr>
          <w:lang w:val="en-GB" w:eastAsia="ja-JP"/>
        </w:rPr>
        <w:t xml:space="preserve"> </w:t>
      </w:r>
      <w:r w:rsidR="00F676CA">
        <w:rPr>
          <w:lang w:val="en-US" w:eastAsia="ja-JP"/>
        </w:rPr>
        <w:t>for multicast</w:t>
      </w:r>
      <w:r w:rsidR="005405DB" w:rsidRPr="00497077">
        <w:rPr>
          <w:lang w:eastAsia="ja-JP"/>
        </w:rPr>
        <w:t>, or a G-CS-RNTI</w:t>
      </w:r>
      <w:r w:rsidRPr="00025D0B">
        <w:rPr>
          <w:lang w:eastAsia="ja-JP"/>
        </w:rPr>
        <w:t xml:space="preserve"> scheduling </w:t>
      </w:r>
      <m:oMath>
        <m:sSubSup>
          <m:sSubSupPr>
            <m:ctrlPr>
              <w:rPr>
                <w:rFonts w:ascii="Cambria Math" w:hAnsi="Cambria Math"/>
                <w:i/>
              </w:rPr>
            </m:ctrlPr>
          </m:sSubSupPr>
          <m:e>
            <m:r>
              <w:rPr>
                <w:rFonts w:ascii="Cambria Math" w:hAnsi="Cambria Math"/>
              </w:rPr>
              <m:t>16∙N</m:t>
            </m:r>
          </m:e>
          <m:sub>
            <m:r>
              <m:rPr>
                <m:sty m:val="p"/>
              </m:rPr>
              <w:rPr>
                <w:rFonts w:ascii="Cambria Math" w:hAnsi="Cambria Math"/>
              </w:rPr>
              <m:t>cells</m:t>
            </m:r>
          </m:sub>
          <m:sup>
            <m:r>
              <m:rPr>
                <m:sty m:val="p"/>
              </m:rPr>
              <w:rPr>
                <w:rFonts w:ascii="Cambria Math" w:hAnsi="Cambria Math"/>
              </w:rPr>
              <m:t>cap</m:t>
            </m:r>
            <m:r>
              <w:rPr>
                <w:rFonts w:ascii="Cambria Math" w:hAnsi="Cambria Math"/>
              </w:rPr>
              <m:t>-r17</m:t>
            </m:r>
          </m:sup>
        </m:sSubSup>
      </m:oMath>
      <w:r w:rsidRPr="00025D0B">
        <w:rPr>
          <w:lang w:eastAsia="ja-JP"/>
        </w:rPr>
        <w:t xml:space="preserve"> PDSCH receptions for which the UE has not received any corresponding PDSCH symbol over all </w:t>
      </w:r>
      <m:oMath>
        <m:sSubSup>
          <m:sSubSupPr>
            <m:ctrlPr>
              <w:rPr>
                <w:rFonts w:ascii="Cambria Math" w:eastAsia="Calibri" w:hAnsi="Cambria Math"/>
                <w:iCs/>
                <w:lang w:val="zh-CN"/>
              </w:rPr>
            </m:ctrlPr>
          </m:sSubSupPr>
          <m:e>
            <m:r>
              <w:rPr>
                <w:rFonts w:ascii="Cambria Math" w:hAnsi="Cambria Math"/>
                <w:lang w:val="zh-CN" w:eastAsia="zh-CN"/>
              </w:rPr>
              <m:t>N</m:t>
            </m:r>
          </m:e>
          <m:sub>
            <m:r>
              <m:rPr>
                <m:sty m:val="p"/>
              </m:rPr>
              <w:rPr>
                <w:rFonts w:ascii="Cambria Math" w:hAnsi="Cambria Math"/>
              </w:rPr>
              <m:t>cells</m:t>
            </m:r>
          </m:sub>
          <m:sup>
            <m:r>
              <m:rPr>
                <m:sty m:val="p"/>
              </m:rPr>
              <w:rPr>
                <w:rFonts w:ascii="Cambria Math" w:hAnsi="Cambria Math"/>
              </w:rPr>
              <m:t>DL</m:t>
            </m:r>
          </m:sup>
        </m:sSubSup>
      </m:oMath>
      <w:r w:rsidRPr="00025D0B">
        <w:t xml:space="preserve"> downlink cells</w:t>
      </w:r>
    </w:p>
    <w:p w14:paraId="62E34363" w14:textId="77777777" w:rsidR="00A44B72" w:rsidRPr="00025D0B" w:rsidRDefault="00A44B72" w:rsidP="00A44B72">
      <w:pPr>
        <w:pStyle w:val="B1"/>
      </w:pPr>
      <w:r w:rsidRPr="00025D0B">
        <w:rPr>
          <w:lang w:eastAsia="ja-JP"/>
        </w:rPr>
        <w:t>-</w:t>
      </w:r>
      <w:r w:rsidRPr="00025D0B">
        <w:rPr>
          <w:lang w:eastAsia="ja-JP"/>
        </w:rPr>
        <w:tab/>
        <w:t>DCI formats with CRC scrambled by a C-RNTI, or a CS-RNTI, or a MCS</w:t>
      </w:r>
      <w:r w:rsidRPr="00025D0B">
        <w:rPr>
          <w:rFonts w:eastAsia="DengXian"/>
          <w:lang w:eastAsia="ja-JP"/>
        </w:rPr>
        <w:t>-C</w:t>
      </w:r>
      <w:r w:rsidRPr="00025D0B">
        <w:rPr>
          <w:lang w:eastAsia="ja-JP"/>
        </w:rPr>
        <w:t xml:space="preserve">-RNTI scheduling </w:t>
      </w:r>
      <m:oMath>
        <m:sSubSup>
          <m:sSubSupPr>
            <m:ctrlPr>
              <w:rPr>
                <w:rFonts w:ascii="Cambria Math" w:hAnsi="Cambria Math"/>
                <w:i/>
              </w:rPr>
            </m:ctrlPr>
          </m:sSubSupPr>
          <m:e>
            <m:r>
              <w:rPr>
                <w:rFonts w:ascii="Cambria Math" w:hAnsi="Cambria Math"/>
              </w:rPr>
              <m:t>16∙N</m:t>
            </m:r>
          </m:e>
          <m:sub>
            <m:r>
              <m:rPr>
                <m:sty m:val="p"/>
              </m:rPr>
              <w:rPr>
                <w:rFonts w:ascii="Cambria Math" w:hAnsi="Cambria Math"/>
              </w:rPr>
              <m:t>cells</m:t>
            </m:r>
          </m:sub>
          <m:sup>
            <m:r>
              <m:rPr>
                <m:sty m:val="p"/>
              </m:rPr>
              <w:rPr>
                <w:rFonts w:ascii="Cambria Math" w:hAnsi="Cambria Math"/>
              </w:rPr>
              <m:t>cap</m:t>
            </m:r>
            <m:r>
              <w:rPr>
                <w:rFonts w:ascii="Cambria Math" w:hAnsi="Cambria Math"/>
              </w:rPr>
              <m:t>-r17</m:t>
            </m:r>
          </m:sup>
        </m:sSubSup>
      </m:oMath>
      <w:r w:rsidRPr="00025D0B">
        <w:rPr>
          <w:lang w:eastAsia="ja-JP"/>
        </w:rPr>
        <w:t xml:space="preserve"> PUSCH transmissions for which the UE has not transmitted any corresponding PUSCH symbol over all </w:t>
      </w:r>
      <m:oMath>
        <m:sSubSup>
          <m:sSubSupPr>
            <m:ctrlPr>
              <w:rPr>
                <w:rFonts w:ascii="Cambria Math" w:eastAsia="Calibri" w:hAnsi="Cambria Math"/>
                <w:iCs/>
                <w:lang w:val="zh-CN"/>
              </w:rPr>
            </m:ctrlPr>
          </m:sSubSupPr>
          <m:e>
            <m:r>
              <w:rPr>
                <w:rFonts w:ascii="Cambria Math" w:hAnsi="Cambria Math"/>
                <w:lang w:val="zh-CN" w:eastAsia="zh-CN"/>
              </w:rPr>
              <m:t>N</m:t>
            </m:r>
          </m:e>
          <m:sub>
            <m:r>
              <m:rPr>
                <m:sty m:val="p"/>
              </m:rPr>
              <w:rPr>
                <w:rFonts w:ascii="Cambria Math" w:hAnsi="Cambria Math"/>
              </w:rPr>
              <m:t>cells</m:t>
            </m:r>
          </m:sub>
          <m:sup>
            <m:r>
              <m:rPr>
                <m:sty m:val="p"/>
              </m:rPr>
              <w:rPr>
                <w:rFonts w:ascii="Cambria Math" w:hAnsi="Cambria Math"/>
              </w:rPr>
              <m:t>UL</m:t>
            </m:r>
          </m:sup>
        </m:sSubSup>
      </m:oMath>
      <w:r w:rsidRPr="00025D0B">
        <w:t xml:space="preserve"> uplink cells.</w:t>
      </w:r>
    </w:p>
    <w:p w14:paraId="439D2945" w14:textId="77777777" w:rsidR="00A44B72" w:rsidRPr="00025D0B" w:rsidRDefault="00A44B72" w:rsidP="00A44B72">
      <w:r w:rsidRPr="00025D0B">
        <w:rPr>
          <w:lang w:eastAsia="ko-KR"/>
        </w:rPr>
        <w:t xml:space="preserve">If </w:t>
      </w:r>
      <w:r w:rsidRPr="00025D0B">
        <w:t xml:space="preserve">a UE </w:t>
      </w:r>
      <w:r w:rsidRPr="00025D0B">
        <w:rPr>
          <w:iCs/>
        </w:rPr>
        <w:t xml:space="preserve">is </w:t>
      </w:r>
      <w:r w:rsidRPr="00025D0B">
        <w:t>provided</w:t>
      </w:r>
      <w:r w:rsidRPr="00025D0B">
        <w:rPr>
          <w:iCs/>
        </w:rPr>
        <w:t xml:space="preserve"> </w:t>
      </w:r>
      <w:r w:rsidRPr="00025D0B">
        <w:rPr>
          <w:i/>
        </w:rPr>
        <w:t>monitoringCapabilityConfig</w:t>
      </w:r>
      <w:r w:rsidRPr="00025D0B">
        <w:t xml:space="preserve"> = </w:t>
      </w:r>
      <w:r w:rsidRPr="00025D0B">
        <w:rPr>
          <w:i/>
        </w:rPr>
        <w:t>r1</w:t>
      </w:r>
      <w:r>
        <w:rPr>
          <w:i/>
        </w:rPr>
        <w:t>7</w:t>
      </w:r>
      <w:r w:rsidRPr="00025D0B">
        <w:rPr>
          <w:i/>
        </w:rPr>
        <w:t>monitoringcapability</w:t>
      </w:r>
      <w:r w:rsidRPr="00B0677B">
        <w:rPr>
          <w:iCs/>
        </w:rPr>
        <w:t xml:space="preserve"> </w:t>
      </w:r>
      <w:r w:rsidRPr="00025D0B">
        <w:rPr>
          <w:iCs/>
        </w:rPr>
        <w:t xml:space="preserve">for at least one serving cell, is </w:t>
      </w:r>
      <w:r w:rsidRPr="00025D0B">
        <w:t>provided</w:t>
      </w:r>
      <w:r w:rsidRPr="00025D0B">
        <w:rPr>
          <w:iCs/>
        </w:rPr>
        <w:t xml:space="preserve"> </w:t>
      </w:r>
      <w:r w:rsidRPr="00025D0B">
        <w:rPr>
          <w:i/>
        </w:rPr>
        <w:t>monitoringCapabilityConfig</w:t>
      </w:r>
      <w:r w:rsidRPr="00025D0B">
        <w:t xml:space="preserve"> = </w:t>
      </w:r>
      <w:r w:rsidRPr="00025D0B">
        <w:rPr>
          <w:i/>
        </w:rPr>
        <w:t>r15monitoringcapability</w:t>
      </w:r>
      <w:r w:rsidRPr="00025D0B">
        <w:rPr>
          <w:iCs/>
        </w:rPr>
        <w:t xml:space="preserve"> for at least one serving cell, is not provided </w:t>
      </w:r>
      <w:r w:rsidRPr="00025D0B">
        <w:rPr>
          <w:i/>
        </w:rPr>
        <w:t>monitoringCapabilityConfig</w:t>
      </w:r>
      <w:r w:rsidRPr="00025D0B">
        <w:t xml:space="preserve"> = </w:t>
      </w:r>
      <w:r w:rsidRPr="00025D0B">
        <w:rPr>
          <w:i/>
        </w:rPr>
        <w:t>r16monitoringcapability</w:t>
      </w:r>
      <w:r w:rsidRPr="00025D0B">
        <w:rPr>
          <w:iCs/>
        </w:rPr>
        <w:t xml:space="preserve"> for any serving cell,</w:t>
      </w:r>
      <w:r w:rsidRPr="00025D0B">
        <w:rPr>
          <w:lang w:eastAsia="ja-JP"/>
        </w:rPr>
        <w:t xml:space="preserve"> is not configured for NR-DC operation, indicates a capability to </w:t>
      </w:r>
      <w:r w:rsidRPr="00025D0B">
        <w:t xml:space="preserve">monitor PDCCH candidates for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cells</m:t>
            </m:r>
            <m:r>
              <w:rPr>
                <w:rFonts w:ascii="Cambria Math" w:hAnsi="Cambria Math"/>
              </w:rPr>
              <m:t>,r15/r17</m:t>
            </m:r>
          </m:sub>
          <m:sup>
            <m:r>
              <m:rPr>
                <m:sty m:val="p"/>
              </m:rPr>
              <w:rPr>
                <w:rFonts w:ascii="Cambria Math" w:hAnsi="Cambria Math"/>
              </w:rPr>
              <m:t>cap</m:t>
            </m:r>
            <m:r>
              <w:rPr>
                <w:rFonts w:ascii="Cambria Math" w:hAnsi="Cambria Math"/>
              </w:rPr>
              <m:t>-r17</m:t>
            </m:r>
          </m:sup>
        </m:sSubSup>
        <m:r>
          <w:rPr>
            <w:rFonts w:ascii="Cambria Math" w:hAnsi="Cambria Math"/>
          </w:rPr>
          <m:t>≥1</m:t>
        </m:r>
      </m:oMath>
      <w:r w:rsidRPr="00025D0B">
        <w:t xml:space="preserve"> downlink cells and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cells</m:t>
            </m:r>
            <m:r>
              <w:rPr>
                <w:rFonts w:ascii="Cambria Math" w:hAnsi="Cambria Math"/>
              </w:rPr>
              <m:t>,r17/r15</m:t>
            </m:r>
          </m:sub>
          <m:sup>
            <m:r>
              <m:rPr>
                <m:sty m:val="p"/>
              </m:rPr>
              <w:rPr>
                <w:rFonts w:ascii="Cambria Math" w:hAnsi="Cambria Math"/>
              </w:rPr>
              <m:t>cap</m:t>
            </m:r>
            <m:r>
              <w:rPr>
                <w:rFonts w:ascii="Cambria Math" w:hAnsi="Cambria Math"/>
              </w:rPr>
              <m:t>-r17</m:t>
            </m:r>
          </m:sup>
        </m:sSubSup>
        <m:r>
          <w:rPr>
            <w:rFonts w:ascii="Cambria Math" w:hAnsi="Cambria Math"/>
          </w:rPr>
          <m:t>≥1</m:t>
        </m:r>
      </m:oMath>
      <w:r w:rsidRPr="00025D0B">
        <w:t xml:space="preserve"> downlink cells, and </w:t>
      </w:r>
      <w:r w:rsidRPr="00025D0B">
        <w:rPr>
          <w:lang w:eastAsia="ko-KR"/>
        </w:rPr>
        <w:t>UE</w:t>
      </w:r>
      <w:r w:rsidRPr="00025D0B">
        <w:t xml:space="preserve"> is configured with </w:t>
      </w:r>
      <m:oMath>
        <m:sSubSup>
          <m:sSubSupPr>
            <m:ctrlPr>
              <w:rPr>
                <w:rFonts w:ascii="Cambria Math" w:eastAsia="Calibri" w:hAnsi="Cambria Math"/>
                <w:iCs/>
                <w:lang w:val="zh-CN"/>
              </w:rPr>
            </m:ctrlPr>
          </m:sSubSupPr>
          <m:e>
            <m:r>
              <w:rPr>
                <w:rFonts w:ascii="Cambria Math" w:hAnsi="Cambria Math"/>
                <w:lang w:val="zh-CN" w:eastAsia="zh-CN"/>
              </w:rPr>
              <m:t>N</m:t>
            </m:r>
          </m:e>
          <m:sub>
            <m:r>
              <m:rPr>
                <m:sty m:val="p"/>
              </m:rPr>
              <w:rPr>
                <w:rFonts w:ascii="Cambria Math" w:hAnsi="Cambria Math"/>
              </w:rPr>
              <m:t>cells</m:t>
            </m:r>
          </m:sub>
          <m:sup>
            <m:r>
              <m:rPr>
                <m:sty m:val="p"/>
              </m:rPr>
              <w:rPr>
                <w:rFonts w:ascii="Cambria Math" w:hAnsi="Cambria Math"/>
              </w:rPr>
              <m:t>DL</m:t>
            </m:r>
          </m:sup>
        </m:sSubSup>
        <m:r>
          <w:rPr>
            <w:rFonts w:ascii="Cambria Math" w:hAnsi="Cambria Math"/>
          </w:rPr>
          <m:t>&gt;1</m:t>
        </m:r>
      </m:oMath>
      <w:r w:rsidRPr="00025D0B">
        <w:t xml:space="preserve"> downlink cell or </w:t>
      </w:r>
      <m:oMath>
        <m:sSubSup>
          <m:sSubSupPr>
            <m:ctrlPr>
              <w:rPr>
                <w:rFonts w:ascii="Cambria Math" w:eastAsia="Calibri" w:hAnsi="Cambria Math"/>
                <w:iCs/>
                <w:lang w:val="zh-CN"/>
              </w:rPr>
            </m:ctrlPr>
          </m:sSubSupPr>
          <m:e>
            <m:r>
              <w:rPr>
                <w:rFonts w:ascii="Cambria Math" w:hAnsi="Cambria Math"/>
                <w:lang w:val="zh-CN" w:eastAsia="zh-CN"/>
              </w:rPr>
              <m:t>N</m:t>
            </m:r>
          </m:e>
          <m:sub>
            <m:r>
              <m:rPr>
                <m:sty m:val="p"/>
              </m:rPr>
              <w:rPr>
                <w:rFonts w:ascii="Cambria Math" w:hAnsi="Cambria Math"/>
              </w:rPr>
              <m:t>cells</m:t>
            </m:r>
          </m:sub>
          <m:sup>
            <m:r>
              <m:rPr>
                <m:sty m:val="p"/>
              </m:rPr>
              <w:rPr>
                <w:rFonts w:ascii="Cambria Math" w:hAnsi="Cambria Math"/>
              </w:rPr>
              <m:t>UL</m:t>
            </m:r>
          </m:sup>
        </m:sSubSup>
        <m:r>
          <w:rPr>
            <w:rFonts w:ascii="Cambria Math" w:hAnsi="Cambria Math"/>
          </w:rPr>
          <m:t>&gt;1</m:t>
        </m:r>
      </m:oMath>
      <w:r w:rsidRPr="00025D0B">
        <w:t xml:space="preserve"> uplink cell</w:t>
      </w:r>
      <w:r w:rsidRPr="00025D0B">
        <w:rPr>
          <w:lang w:val="en-US"/>
        </w:rPr>
        <w:t>s</w:t>
      </w:r>
      <w:r w:rsidRPr="00025D0B">
        <w:t>, the</w:t>
      </w:r>
      <w:r w:rsidRPr="00025D0B">
        <w:rPr>
          <w:lang w:eastAsia="ja-JP"/>
        </w:rPr>
        <w:t xml:space="preserve"> UE expects to have respectively received </w:t>
      </w:r>
    </w:p>
    <w:p w14:paraId="7F452304" w14:textId="16D7DE1F" w:rsidR="00A44B72" w:rsidRPr="00025D0B" w:rsidRDefault="00A44B72" w:rsidP="00A44B72">
      <w:pPr>
        <w:pStyle w:val="B1"/>
        <w:rPr>
          <w:i/>
          <w:lang w:val="en-US"/>
        </w:rPr>
      </w:pPr>
      <w:r w:rsidRPr="00025D0B">
        <w:rPr>
          <w:lang w:eastAsia="ja-JP"/>
        </w:rPr>
        <w:t>-</w:t>
      </w:r>
      <w:r w:rsidRPr="00025D0B">
        <w:rPr>
          <w:lang w:eastAsia="ja-JP"/>
        </w:rPr>
        <w:tab/>
        <w:t xml:space="preserve">at most </w:t>
      </w:r>
      <m:oMath>
        <m:sSubSup>
          <m:sSubSupPr>
            <m:ctrlPr>
              <w:rPr>
                <w:rFonts w:ascii="Cambria Math" w:hAnsi="Cambria Math"/>
                <w:i/>
              </w:rPr>
            </m:ctrlPr>
          </m:sSubSupPr>
          <m:e>
            <m:r>
              <w:rPr>
                <w:rFonts w:ascii="Cambria Math" w:hAnsi="Cambria Math"/>
              </w:rPr>
              <m:t>16∙N</m:t>
            </m:r>
          </m:e>
          <m:sub>
            <m:r>
              <w:rPr>
                <w:rFonts w:ascii="Cambria Math" w:hAnsi="Cambria Math"/>
              </w:rPr>
              <m:t>cells,r15/r17</m:t>
            </m:r>
          </m:sub>
          <m:sup>
            <m:r>
              <w:rPr>
                <w:rFonts w:ascii="Cambria Math" w:hAnsi="Cambria Math"/>
              </w:rPr>
              <m:t>cap-r17</m:t>
            </m:r>
          </m:sup>
        </m:sSubSup>
      </m:oMath>
      <w:r w:rsidRPr="00025D0B">
        <w:t xml:space="preserve"> PDCCHs for </w:t>
      </w:r>
      <w:r w:rsidRPr="00025D0B">
        <w:rPr>
          <w:lang w:eastAsia="ja-JP"/>
        </w:rPr>
        <w:t>DCI formats with CRC scrambled by a C-RNTI, or a CS-RNTI, or a MCS</w:t>
      </w:r>
      <w:r w:rsidRPr="00025D0B">
        <w:rPr>
          <w:rFonts w:eastAsia="DengXian"/>
          <w:lang w:eastAsia="ja-JP"/>
        </w:rPr>
        <w:t>-C</w:t>
      </w:r>
      <w:r w:rsidRPr="00025D0B">
        <w:rPr>
          <w:lang w:eastAsia="ja-JP"/>
        </w:rPr>
        <w:t>-RNTI</w:t>
      </w:r>
      <w:r w:rsidR="005405DB" w:rsidRPr="00497077">
        <w:rPr>
          <w:lang w:eastAsia="ja-JP"/>
        </w:rPr>
        <w:t>, or a G-RNTI</w:t>
      </w:r>
      <w:r w:rsidR="00DE3D33" w:rsidRPr="00DE3D33">
        <w:rPr>
          <w:lang w:val="en-GB" w:eastAsia="ja-JP"/>
        </w:rPr>
        <w:t xml:space="preserve"> </w:t>
      </w:r>
      <w:r w:rsidR="00DE3D33">
        <w:rPr>
          <w:lang w:val="en-GB" w:eastAsia="ja-JP"/>
        </w:rPr>
        <w:t>for multicast</w:t>
      </w:r>
      <w:r w:rsidR="005405DB" w:rsidRPr="00497077">
        <w:rPr>
          <w:lang w:eastAsia="ja-JP"/>
        </w:rPr>
        <w:t>, or a G-CS-RNTI</w:t>
      </w:r>
      <w:r w:rsidRPr="00025D0B">
        <w:rPr>
          <w:lang w:eastAsia="ja-JP"/>
        </w:rPr>
        <w:t xml:space="preserve"> scheduling </w:t>
      </w:r>
      <m:oMath>
        <m:sSubSup>
          <m:sSubSupPr>
            <m:ctrlPr>
              <w:rPr>
                <w:rFonts w:ascii="Cambria Math" w:hAnsi="Cambria Math"/>
                <w:i/>
              </w:rPr>
            </m:ctrlPr>
          </m:sSubSupPr>
          <m:e>
            <m:r>
              <w:rPr>
                <w:rFonts w:ascii="Cambria Math" w:hAnsi="Cambria Math"/>
              </w:rPr>
              <m:t>16∙N</m:t>
            </m:r>
          </m:e>
          <m:sub>
            <m:r>
              <w:rPr>
                <w:rFonts w:ascii="Cambria Math" w:hAnsi="Cambria Math"/>
              </w:rPr>
              <m:t>cells,r15/r17</m:t>
            </m:r>
          </m:sub>
          <m:sup>
            <m:r>
              <w:rPr>
                <w:rFonts w:ascii="Cambria Math" w:hAnsi="Cambria Math"/>
              </w:rPr>
              <m:t>cap-r17</m:t>
            </m:r>
          </m:sup>
        </m:sSubSup>
      </m:oMath>
      <w:r w:rsidRPr="00025D0B">
        <w:rPr>
          <w:lang w:eastAsia="ja-JP"/>
        </w:rPr>
        <w:t xml:space="preserve"> PDSCH receptions for which the UE has not received any corresponding PDSCH symbol over all </w:t>
      </w:r>
      <w:r w:rsidRPr="00025D0B">
        <w:t xml:space="preserve">serving cells </w:t>
      </w:r>
      <w:r w:rsidRPr="00025D0B">
        <w:rPr>
          <w:lang w:eastAsia="ja-JP"/>
        </w:rPr>
        <w:t xml:space="preserve">that are provided </w:t>
      </w:r>
      <w:r w:rsidRPr="00025D0B">
        <w:rPr>
          <w:i/>
        </w:rPr>
        <w:t>monitoringCapabilityConfig</w:t>
      </w:r>
      <w:r w:rsidRPr="00025D0B">
        <w:t xml:space="preserve"> = </w:t>
      </w:r>
      <w:r w:rsidRPr="00025D0B">
        <w:rPr>
          <w:i/>
        </w:rPr>
        <w:t>r1</w:t>
      </w:r>
      <w:r w:rsidRPr="00025D0B">
        <w:rPr>
          <w:i/>
          <w:lang w:val="en-US"/>
        </w:rPr>
        <w:t>5</w:t>
      </w:r>
      <w:r w:rsidRPr="00025D0B">
        <w:rPr>
          <w:i/>
        </w:rPr>
        <w:t>monitoringcapability</w:t>
      </w:r>
      <w:r w:rsidRPr="00025D0B">
        <w:rPr>
          <w:lang w:val="en-US" w:eastAsia="ja-JP"/>
        </w:rPr>
        <w:t xml:space="preserve"> </w:t>
      </w:r>
    </w:p>
    <w:p w14:paraId="1A5D4053" w14:textId="77777777" w:rsidR="00A44B72" w:rsidRPr="00025D0B" w:rsidRDefault="00A44B72" w:rsidP="00A44B72">
      <w:pPr>
        <w:pStyle w:val="B1"/>
        <w:rPr>
          <w:i/>
        </w:rPr>
      </w:pPr>
      <w:r w:rsidRPr="00025D0B">
        <w:rPr>
          <w:lang w:eastAsia="ja-JP"/>
        </w:rPr>
        <w:t>-</w:t>
      </w:r>
      <w:r w:rsidRPr="00025D0B">
        <w:rPr>
          <w:lang w:eastAsia="ja-JP"/>
        </w:rPr>
        <w:tab/>
        <w:t xml:space="preserve">at most </w:t>
      </w:r>
      <m:oMath>
        <m:sSubSup>
          <m:sSubSupPr>
            <m:ctrlPr>
              <w:rPr>
                <w:rFonts w:ascii="Cambria Math" w:hAnsi="Cambria Math"/>
                <w:i/>
              </w:rPr>
            </m:ctrlPr>
          </m:sSubSupPr>
          <m:e>
            <m:r>
              <w:rPr>
                <w:rFonts w:ascii="Cambria Math" w:hAnsi="Cambria Math"/>
              </w:rPr>
              <m:t>16∙N</m:t>
            </m:r>
          </m:e>
          <m:sub>
            <m:r>
              <w:rPr>
                <w:rFonts w:ascii="Cambria Math" w:hAnsi="Cambria Math"/>
              </w:rPr>
              <m:t>cells,r15/r17</m:t>
            </m:r>
          </m:sub>
          <m:sup>
            <m:r>
              <w:rPr>
                <w:rFonts w:ascii="Cambria Math" w:hAnsi="Cambria Math"/>
              </w:rPr>
              <m:t>cap-r17</m:t>
            </m:r>
          </m:sup>
        </m:sSubSup>
      </m:oMath>
      <w:r w:rsidRPr="00025D0B">
        <w:t xml:space="preserve"> PDCCHs for </w:t>
      </w:r>
      <w:r w:rsidRPr="00025D0B">
        <w:rPr>
          <w:lang w:eastAsia="ja-JP"/>
        </w:rPr>
        <w:t>DCI formats with CRC scrambled by a C-RNTI, or a CS-RNTI, or a MCS</w:t>
      </w:r>
      <w:r w:rsidRPr="00025D0B">
        <w:rPr>
          <w:rFonts w:eastAsia="DengXian"/>
          <w:lang w:eastAsia="ja-JP"/>
        </w:rPr>
        <w:t>-C</w:t>
      </w:r>
      <w:r w:rsidRPr="00025D0B">
        <w:rPr>
          <w:lang w:eastAsia="ja-JP"/>
        </w:rPr>
        <w:t xml:space="preserve">-RNTI scheduling </w:t>
      </w:r>
      <m:oMath>
        <m:sSubSup>
          <m:sSubSupPr>
            <m:ctrlPr>
              <w:rPr>
                <w:rFonts w:ascii="Cambria Math" w:hAnsi="Cambria Math"/>
                <w:i/>
              </w:rPr>
            </m:ctrlPr>
          </m:sSubSupPr>
          <m:e>
            <m:r>
              <w:rPr>
                <w:rFonts w:ascii="Cambria Math" w:hAnsi="Cambria Math"/>
              </w:rPr>
              <m:t>16∙N</m:t>
            </m:r>
          </m:e>
          <m:sub>
            <m:r>
              <w:rPr>
                <w:rFonts w:ascii="Cambria Math" w:hAnsi="Cambria Math"/>
              </w:rPr>
              <m:t>cells,r15/r17</m:t>
            </m:r>
          </m:sub>
          <m:sup>
            <m:r>
              <w:rPr>
                <w:rFonts w:ascii="Cambria Math" w:hAnsi="Cambria Math"/>
              </w:rPr>
              <m:t>cap-r17</m:t>
            </m:r>
          </m:sup>
        </m:sSubSup>
      </m:oMath>
      <w:r w:rsidRPr="00025D0B">
        <w:rPr>
          <w:lang w:eastAsia="ja-JP"/>
        </w:rPr>
        <w:t xml:space="preserve"> PUSCH transmissions for which the UE has not transmitted any </w:t>
      </w:r>
      <w:r w:rsidRPr="00025D0B">
        <w:rPr>
          <w:lang w:eastAsia="ja-JP"/>
        </w:rPr>
        <w:lastRenderedPageBreak/>
        <w:t xml:space="preserve">corresponding PUSCH symbol over all </w:t>
      </w:r>
      <w:r w:rsidRPr="00025D0B">
        <w:t xml:space="preserve">serving cells </w:t>
      </w:r>
      <w:r w:rsidRPr="00025D0B">
        <w:rPr>
          <w:lang w:eastAsia="ja-JP"/>
        </w:rPr>
        <w:t xml:space="preserve">that are provided </w:t>
      </w:r>
      <w:r w:rsidRPr="00025D0B">
        <w:rPr>
          <w:i/>
        </w:rPr>
        <w:t>monitoringCapabilityConfig</w:t>
      </w:r>
      <w:r w:rsidRPr="00025D0B">
        <w:t xml:space="preserve"> = </w:t>
      </w:r>
      <w:r w:rsidRPr="00025D0B">
        <w:rPr>
          <w:i/>
        </w:rPr>
        <w:t>r1</w:t>
      </w:r>
      <w:r w:rsidRPr="00025D0B">
        <w:rPr>
          <w:i/>
          <w:lang w:val="en-US"/>
        </w:rPr>
        <w:t>5</w:t>
      </w:r>
      <w:r w:rsidRPr="00025D0B">
        <w:rPr>
          <w:i/>
        </w:rPr>
        <w:t>monitoringcapability</w:t>
      </w:r>
    </w:p>
    <w:p w14:paraId="06796AFA" w14:textId="619C7E79" w:rsidR="00A44B72" w:rsidRPr="00025D0B" w:rsidRDefault="00A44B72" w:rsidP="00A44B72">
      <w:pPr>
        <w:pStyle w:val="B1"/>
        <w:rPr>
          <w:i/>
        </w:rPr>
      </w:pPr>
      <w:r w:rsidRPr="00025D0B">
        <w:rPr>
          <w:lang w:eastAsia="ja-JP"/>
        </w:rPr>
        <w:t>-</w:t>
      </w:r>
      <w:r w:rsidRPr="00025D0B">
        <w:rPr>
          <w:lang w:eastAsia="ja-JP"/>
        </w:rPr>
        <w:tab/>
        <w:t xml:space="preserve">at most </w:t>
      </w:r>
      <m:oMath>
        <m:sSubSup>
          <m:sSubSupPr>
            <m:ctrlPr>
              <w:rPr>
                <w:rFonts w:ascii="Cambria Math" w:hAnsi="Cambria Math"/>
                <w:i/>
              </w:rPr>
            </m:ctrlPr>
          </m:sSubSupPr>
          <m:e>
            <m:r>
              <w:rPr>
                <w:rFonts w:ascii="Cambria Math" w:hAnsi="Cambria Math"/>
              </w:rPr>
              <m:t>16∙N</m:t>
            </m:r>
          </m:e>
          <m:sub>
            <m:r>
              <w:rPr>
                <w:rFonts w:ascii="Cambria Math" w:hAnsi="Cambria Math"/>
              </w:rPr>
              <m:t>cells,r17/r15</m:t>
            </m:r>
          </m:sub>
          <m:sup>
            <m:r>
              <w:rPr>
                <w:rFonts w:ascii="Cambria Math" w:hAnsi="Cambria Math"/>
              </w:rPr>
              <m:t>cap-r17</m:t>
            </m:r>
          </m:sup>
        </m:sSubSup>
      </m:oMath>
      <w:r w:rsidRPr="00025D0B">
        <w:t xml:space="preserve"> PDCCHs for </w:t>
      </w:r>
      <w:r w:rsidRPr="00025D0B">
        <w:rPr>
          <w:lang w:eastAsia="ja-JP"/>
        </w:rPr>
        <w:t>DCI formats with CRC scrambled by a C-RNTI, or a CS-RNTI, or a MCS</w:t>
      </w:r>
      <w:r w:rsidRPr="00025D0B">
        <w:rPr>
          <w:rFonts w:eastAsia="DengXian"/>
          <w:lang w:eastAsia="ja-JP"/>
        </w:rPr>
        <w:t>-C</w:t>
      </w:r>
      <w:r w:rsidRPr="00025D0B">
        <w:rPr>
          <w:lang w:eastAsia="ja-JP"/>
        </w:rPr>
        <w:t>-RNTI</w:t>
      </w:r>
      <w:r w:rsidR="005405DB" w:rsidRPr="00497077">
        <w:rPr>
          <w:lang w:eastAsia="ja-JP"/>
        </w:rPr>
        <w:t>, or a G-RNTI</w:t>
      </w:r>
      <w:r w:rsidR="00DE3D33" w:rsidRPr="00DE3D33">
        <w:rPr>
          <w:lang w:val="en-GB" w:eastAsia="ja-JP"/>
        </w:rPr>
        <w:t xml:space="preserve"> </w:t>
      </w:r>
      <w:r w:rsidR="00DE3D33">
        <w:rPr>
          <w:lang w:val="en-GB" w:eastAsia="ja-JP"/>
        </w:rPr>
        <w:t>for multicast</w:t>
      </w:r>
      <w:r w:rsidR="005405DB" w:rsidRPr="00497077">
        <w:rPr>
          <w:lang w:eastAsia="ja-JP"/>
        </w:rPr>
        <w:t>, or a G-CS-RNTI</w:t>
      </w:r>
      <w:r w:rsidRPr="00025D0B">
        <w:rPr>
          <w:lang w:eastAsia="ja-JP"/>
        </w:rPr>
        <w:t xml:space="preserve"> scheduling </w:t>
      </w:r>
      <m:oMath>
        <m:sSubSup>
          <m:sSubSupPr>
            <m:ctrlPr>
              <w:rPr>
                <w:rFonts w:ascii="Cambria Math" w:hAnsi="Cambria Math"/>
                <w:i/>
              </w:rPr>
            </m:ctrlPr>
          </m:sSubSupPr>
          <m:e>
            <m:r>
              <w:rPr>
                <w:rFonts w:ascii="Cambria Math" w:hAnsi="Cambria Math"/>
              </w:rPr>
              <m:t>16∙N</m:t>
            </m:r>
          </m:e>
          <m:sub>
            <m:r>
              <w:rPr>
                <w:rFonts w:ascii="Cambria Math" w:hAnsi="Cambria Math"/>
              </w:rPr>
              <m:t>cells,r17/r15</m:t>
            </m:r>
          </m:sub>
          <m:sup>
            <m:r>
              <w:rPr>
                <w:rFonts w:ascii="Cambria Math" w:hAnsi="Cambria Math"/>
              </w:rPr>
              <m:t>cap-r17</m:t>
            </m:r>
          </m:sup>
        </m:sSubSup>
      </m:oMath>
      <w:r w:rsidRPr="00025D0B">
        <w:rPr>
          <w:lang w:eastAsia="ja-JP"/>
        </w:rPr>
        <w:t xml:space="preserve"> PDSCH receptions for which the UE has not received any corresponding PDSCH symbol over all </w:t>
      </w:r>
      <w:r w:rsidRPr="00025D0B">
        <w:t xml:space="preserve">serving cells </w:t>
      </w:r>
      <w:r w:rsidRPr="00025D0B">
        <w:rPr>
          <w:lang w:val="en-US" w:eastAsia="ja-JP"/>
        </w:rPr>
        <w:t xml:space="preserve">with </w:t>
      </w:r>
      <w:r w:rsidRPr="00025D0B">
        <w:rPr>
          <w:i/>
        </w:rPr>
        <w:t>monitoringCapabilityConfig</w:t>
      </w:r>
      <w:r w:rsidRPr="00025D0B">
        <w:t xml:space="preserve"> = </w:t>
      </w:r>
      <w:r w:rsidRPr="00025D0B">
        <w:rPr>
          <w:i/>
        </w:rPr>
        <w:t>r1</w:t>
      </w:r>
      <w:r>
        <w:rPr>
          <w:i/>
        </w:rPr>
        <w:t>7</w:t>
      </w:r>
      <w:r w:rsidRPr="00025D0B">
        <w:rPr>
          <w:i/>
        </w:rPr>
        <w:t>monitoringcapability</w:t>
      </w:r>
    </w:p>
    <w:p w14:paraId="7B099C7C" w14:textId="77777777" w:rsidR="00A44B72" w:rsidRPr="00025D0B" w:rsidRDefault="00A44B72" w:rsidP="00A44B72">
      <w:pPr>
        <w:pStyle w:val="B1"/>
        <w:rPr>
          <w:rFonts w:eastAsia="MS Mincho"/>
          <w:lang w:eastAsia="ja-JP"/>
        </w:rPr>
      </w:pPr>
      <w:r w:rsidRPr="00025D0B">
        <w:rPr>
          <w:lang w:eastAsia="ja-JP"/>
        </w:rPr>
        <w:t>-</w:t>
      </w:r>
      <w:r w:rsidRPr="00025D0B">
        <w:rPr>
          <w:lang w:eastAsia="ja-JP"/>
        </w:rPr>
        <w:tab/>
        <w:t xml:space="preserve">at most </w:t>
      </w:r>
      <m:oMath>
        <m:sSubSup>
          <m:sSubSupPr>
            <m:ctrlPr>
              <w:rPr>
                <w:rFonts w:ascii="Cambria Math" w:hAnsi="Cambria Math"/>
                <w:i/>
              </w:rPr>
            </m:ctrlPr>
          </m:sSubSupPr>
          <m:e>
            <m:r>
              <w:rPr>
                <w:rFonts w:ascii="Cambria Math" w:hAnsi="Cambria Math"/>
              </w:rPr>
              <m:t>16∙N</m:t>
            </m:r>
          </m:e>
          <m:sub>
            <m:r>
              <w:rPr>
                <w:rFonts w:ascii="Cambria Math" w:hAnsi="Cambria Math"/>
              </w:rPr>
              <m:t>cells,r17/r15</m:t>
            </m:r>
          </m:sub>
          <m:sup>
            <m:r>
              <w:rPr>
                <w:rFonts w:ascii="Cambria Math" w:hAnsi="Cambria Math"/>
              </w:rPr>
              <m:t>cap-r17</m:t>
            </m:r>
          </m:sup>
        </m:sSubSup>
      </m:oMath>
      <w:r w:rsidRPr="00025D0B">
        <w:t xml:space="preserve"> PDCCHs for </w:t>
      </w:r>
      <w:r w:rsidRPr="00025D0B">
        <w:rPr>
          <w:lang w:eastAsia="ja-JP"/>
        </w:rPr>
        <w:t>DCI formats with CRC scrambled by a C-RNTI, or a CS-RNTI, or a MCS</w:t>
      </w:r>
      <w:r w:rsidRPr="00025D0B">
        <w:rPr>
          <w:rFonts w:eastAsia="DengXian"/>
          <w:lang w:eastAsia="ja-JP"/>
        </w:rPr>
        <w:t>-C</w:t>
      </w:r>
      <w:r w:rsidRPr="00025D0B">
        <w:rPr>
          <w:lang w:eastAsia="ja-JP"/>
        </w:rPr>
        <w:t xml:space="preserve">-RNTI scheduling </w:t>
      </w:r>
      <m:oMath>
        <m:sSubSup>
          <m:sSubSupPr>
            <m:ctrlPr>
              <w:rPr>
                <w:rFonts w:ascii="Cambria Math" w:hAnsi="Cambria Math"/>
                <w:i/>
              </w:rPr>
            </m:ctrlPr>
          </m:sSubSupPr>
          <m:e>
            <m:r>
              <w:rPr>
                <w:rFonts w:ascii="Cambria Math" w:hAnsi="Cambria Math"/>
              </w:rPr>
              <m:t>16∙N</m:t>
            </m:r>
          </m:e>
          <m:sub>
            <m:r>
              <w:rPr>
                <w:rFonts w:ascii="Cambria Math" w:hAnsi="Cambria Math"/>
              </w:rPr>
              <m:t>cells,r17/r15</m:t>
            </m:r>
          </m:sub>
          <m:sup>
            <m:r>
              <w:rPr>
                <w:rFonts w:ascii="Cambria Math" w:hAnsi="Cambria Math"/>
              </w:rPr>
              <m:t>cap-r17</m:t>
            </m:r>
          </m:sup>
        </m:sSubSup>
      </m:oMath>
      <w:r w:rsidRPr="00025D0B">
        <w:rPr>
          <w:lang w:eastAsia="ja-JP"/>
        </w:rPr>
        <w:t xml:space="preserve"> PUSCH transmissions for which the UE has not transmitted any corresponding PUSCH symbol over all </w:t>
      </w:r>
      <w:r w:rsidRPr="00025D0B">
        <w:t xml:space="preserve">serving cells </w:t>
      </w:r>
      <w:r w:rsidRPr="00025D0B">
        <w:rPr>
          <w:lang w:val="en-US" w:eastAsia="ja-JP"/>
        </w:rPr>
        <w:t xml:space="preserve">with </w:t>
      </w:r>
      <w:r w:rsidRPr="00025D0B">
        <w:rPr>
          <w:i/>
        </w:rPr>
        <w:t>monitoringCapabilityConfig</w:t>
      </w:r>
      <w:r w:rsidRPr="00025D0B">
        <w:t xml:space="preserve"> = </w:t>
      </w:r>
      <w:r w:rsidRPr="00025D0B">
        <w:rPr>
          <w:i/>
        </w:rPr>
        <w:t>r1</w:t>
      </w:r>
      <w:r>
        <w:rPr>
          <w:i/>
        </w:rPr>
        <w:t>7</w:t>
      </w:r>
      <w:r w:rsidRPr="00025D0B">
        <w:rPr>
          <w:i/>
        </w:rPr>
        <w:t>monitoringcapability</w:t>
      </w:r>
    </w:p>
    <w:p w14:paraId="3AC52C92" w14:textId="77777777" w:rsidR="00A44B72" w:rsidRPr="00025D0B" w:rsidRDefault="00A44B72" w:rsidP="00A44B72">
      <w:r w:rsidRPr="00025D0B">
        <w:rPr>
          <w:lang w:eastAsia="ko-KR"/>
        </w:rPr>
        <w:t xml:space="preserve">If </w:t>
      </w:r>
      <w:r w:rsidRPr="00025D0B">
        <w:t xml:space="preserve">a UE </w:t>
      </w:r>
      <w:r w:rsidRPr="00025D0B">
        <w:rPr>
          <w:iCs/>
        </w:rPr>
        <w:t xml:space="preserve">is </w:t>
      </w:r>
      <w:r w:rsidRPr="00025D0B">
        <w:t>provided</w:t>
      </w:r>
      <w:r w:rsidRPr="00025D0B">
        <w:rPr>
          <w:iCs/>
        </w:rPr>
        <w:t xml:space="preserve"> </w:t>
      </w:r>
      <w:r w:rsidRPr="00025D0B">
        <w:rPr>
          <w:i/>
        </w:rPr>
        <w:t>monitoringCapabilityConfig</w:t>
      </w:r>
      <w:r w:rsidRPr="00025D0B">
        <w:t xml:space="preserve"> = </w:t>
      </w:r>
      <w:r w:rsidRPr="00025D0B">
        <w:rPr>
          <w:i/>
        </w:rPr>
        <w:t>r1</w:t>
      </w:r>
      <w:r>
        <w:rPr>
          <w:i/>
        </w:rPr>
        <w:t>7</w:t>
      </w:r>
      <w:r w:rsidRPr="00025D0B">
        <w:rPr>
          <w:i/>
        </w:rPr>
        <w:t>monitoringcapability</w:t>
      </w:r>
      <w:r w:rsidRPr="00025D0B">
        <w:rPr>
          <w:iCs/>
        </w:rPr>
        <w:t xml:space="preserve"> </w:t>
      </w:r>
      <w:r>
        <w:rPr>
          <w:iCs/>
        </w:rPr>
        <w:t xml:space="preserve">for </w:t>
      </w:r>
      <w:r w:rsidRPr="00025D0B">
        <w:rPr>
          <w:iCs/>
        </w:rPr>
        <w:t xml:space="preserve">at least one serving cell, is </w:t>
      </w:r>
      <w:r w:rsidRPr="00025D0B">
        <w:t>provided</w:t>
      </w:r>
      <w:r w:rsidRPr="00025D0B">
        <w:rPr>
          <w:iCs/>
        </w:rPr>
        <w:t xml:space="preserve"> </w:t>
      </w:r>
      <w:r w:rsidRPr="00025D0B">
        <w:rPr>
          <w:i/>
        </w:rPr>
        <w:t>monitoringCapabilityConfig</w:t>
      </w:r>
      <w:r w:rsidRPr="00025D0B">
        <w:t xml:space="preserve"> = </w:t>
      </w:r>
      <w:r w:rsidRPr="00025D0B">
        <w:rPr>
          <w:i/>
        </w:rPr>
        <w:t>r16monitoringcapability</w:t>
      </w:r>
      <w:r w:rsidRPr="00025D0B">
        <w:rPr>
          <w:iCs/>
        </w:rPr>
        <w:t xml:space="preserve"> for at least one serving cell, is not provided </w:t>
      </w:r>
      <w:r w:rsidRPr="00025D0B">
        <w:rPr>
          <w:i/>
        </w:rPr>
        <w:t>monitoringCapabilityConfig</w:t>
      </w:r>
      <w:r w:rsidRPr="00025D0B">
        <w:t xml:space="preserve"> = </w:t>
      </w:r>
      <w:r w:rsidRPr="00025D0B">
        <w:rPr>
          <w:i/>
        </w:rPr>
        <w:t>r15monitoringcapability</w:t>
      </w:r>
      <w:r w:rsidRPr="00025D0B">
        <w:rPr>
          <w:iCs/>
        </w:rPr>
        <w:t xml:space="preserve"> for any serving cell,</w:t>
      </w:r>
      <w:r w:rsidRPr="00025D0B">
        <w:rPr>
          <w:lang w:eastAsia="ja-JP"/>
        </w:rPr>
        <w:t xml:space="preserve"> is not configured for NR-DC operation, indicates a capability to </w:t>
      </w:r>
      <w:r w:rsidRPr="00025D0B">
        <w:t xml:space="preserve">monitor PDCCH candidates for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cells</m:t>
            </m:r>
            <m:r>
              <w:rPr>
                <w:rFonts w:ascii="Cambria Math" w:hAnsi="Cambria Math"/>
              </w:rPr>
              <m:t>,r16/r17</m:t>
            </m:r>
          </m:sub>
          <m:sup>
            <m:r>
              <m:rPr>
                <m:sty m:val="p"/>
              </m:rPr>
              <w:rPr>
                <w:rFonts w:ascii="Cambria Math" w:hAnsi="Cambria Math"/>
              </w:rPr>
              <m:t>cap</m:t>
            </m:r>
            <m:r>
              <w:rPr>
                <w:rFonts w:ascii="Cambria Math" w:hAnsi="Cambria Math"/>
              </w:rPr>
              <m:t>-r17</m:t>
            </m:r>
          </m:sup>
        </m:sSubSup>
        <m:r>
          <w:rPr>
            <w:rFonts w:ascii="Cambria Math" w:hAnsi="Cambria Math"/>
          </w:rPr>
          <m:t>≥1</m:t>
        </m:r>
      </m:oMath>
      <w:r w:rsidRPr="00025D0B">
        <w:t xml:space="preserve"> downlink cells and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cells</m:t>
            </m:r>
            <m:r>
              <w:rPr>
                <w:rFonts w:ascii="Cambria Math" w:hAnsi="Cambria Math"/>
              </w:rPr>
              <m:t>,r17/r16</m:t>
            </m:r>
          </m:sub>
          <m:sup>
            <m:r>
              <m:rPr>
                <m:sty m:val="p"/>
              </m:rPr>
              <w:rPr>
                <w:rFonts w:ascii="Cambria Math" w:hAnsi="Cambria Math"/>
              </w:rPr>
              <m:t>cap</m:t>
            </m:r>
            <m:r>
              <w:rPr>
                <w:rFonts w:ascii="Cambria Math" w:hAnsi="Cambria Math"/>
              </w:rPr>
              <m:t>-r17</m:t>
            </m:r>
          </m:sup>
        </m:sSubSup>
        <m:r>
          <w:rPr>
            <w:rFonts w:ascii="Cambria Math" w:hAnsi="Cambria Math"/>
          </w:rPr>
          <m:t>≥1</m:t>
        </m:r>
      </m:oMath>
      <w:r w:rsidRPr="00025D0B">
        <w:t xml:space="preserve"> downlink cells, and the </w:t>
      </w:r>
      <w:r w:rsidRPr="00025D0B">
        <w:rPr>
          <w:lang w:eastAsia="ko-KR"/>
        </w:rPr>
        <w:t>UE</w:t>
      </w:r>
      <w:r w:rsidRPr="00025D0B">
        <w:t xml:space="preserve"> is configured with </w:t>
      </w:r>
      <m:oMath>
        <m:sSubSup>
          <m:sSubSupPr>
            <m:ctrlPr>
              <w:rPr>
                <w:rFonts w:ascii="Cambria Math" w:eastAsia="Calibri" w:hAnsi="Cambria Math"/>
                <w:iCs/>
                <w:lang w:val="zh-CN"/>
              </w:rPr>
            </m:ctrlPr>
          </m:sSubSupPr>
          <m:e>
            <m:r>
              <w:rPr>
                <w:rFonts w:ascii="Cambria Math" w:hAnsi="Cambria Math"/>
                <w:lang w:val="zh-CN" w:eastAsia="zh-CN"/>
              </w:rPr>
              <m:t>N</m:t>
            </m:r>
          </m:e>
          <m:sub>
            <m:r>
              <m:rPr>
                <m:sty m:val="p"/>
              </m:rPr>
              <w:rPr>
                <w:rFonts w:ascii="Cambria Math" w:hAnsi="Cambria Math"/>
              </w:rPr>
              <m:t>cells</m:t>
            </m:r>
          </m:sub>
          <m:sup>
            <m:r>
              <m:rPr>
                <m:sty m:val="p"/>
              </m:rPr>
              <w:rPr>
                <w:rFonts w:ascii="Cambria Math" w:hAnsi="Cambria Math"/>
              </w:rPr>
              <m:t>DL</m:t>
            </m:r>
          </m:sup>
        </m:sSubSup>
        <m:r>
          <w:rPr>
            <w:rFonts w:ascii="Cambria Math" w:hAnsi="Cambria Math"/>
          </w:rPr>
          <m:t>&gt;1</m:t>
        </m:r>
      </m:oMath>
      <w:r w:rsidRPr="00025D0B">
        <w:t xml:space="preserve"> downlink cells or </w:t>
      </w:r>
      <m:oMath>
        <m:sSubSup>
          <m:sSubSupPr>
            <m:ctrlPr>
              <w:rPr>
                <w:rFonts w:ascii="Cambria Math" w:eastAsia="Calibri" w:hAnsi="Cambria Math"/>
                <w:iCs/>
                <w:lang w:val="zh-CN"/>
              </w:rPr>
            </m:ctrlPr>
          </m:sSubSupPr>
          <m:e>
            <m:r>
              <w:rPr>
                <w:rFonts w:ascii="Cambria Math" w:hAnsi="Cambria Math"/>
                <w:lang w:val="zh-CN" w:eastAsia="zh-CN"/>
              </w:rPr>
              <m:t>N</m:t>
            </m:r>
          </m:e>
          <m:sub>
            <m:r>
              <m:rPr>
                <m:sty m:val="p"/>
              </m:rPr>
              <w:rPr>
                <w:rFonts w:ascii="Cambria Math" w:hAnsi="Cambria Math"/>
              </w:rPr>
              <m:t>cells</m:t>
            </m:r>
          </m:sub>
          <m:sup>
            <m:r>
              <m:rPr>
                <m:sty m:val="p"/>
              </m:rPr>
              <w:rPr>
                <w:rFonts w:ascii="Cambria Math" w:hAnsi="Cambria Math"/>
              </w:rPr>
              <m:t>UL</m:t>
            </m:r>
          </m:sup>
        </m:sSubSup>
        <m:r>
          <w:rPr>
            <w:rFonts w:ascii="Cambria Math" w:hAnsi="Cambria Math"/>
          </w:rPr>
          <m:t>&gt;1</m:t>
        </m:r>
      </m:oMath>
      <w:r w:rsidRPr="00025D0B">
        <w:t xml:space="preserve"> uplink cell</w:t>
      </w:r>
      <w:r w:rsidRPr="00025D0B">
        <w:rPr>
          <w:lang w:val="en-US"/>
        </w:rPr>
        <w:t>s</w:t>
      </w:r>
    </w:p>
    <w:p w14:paraId="394BA9B1" w14:textId="77777777" w:rsidR="00A44B72" w:rsidRPr="00025D0B" w:rsidRDefault="00A44B72" w:rsidP="00A44B72">
      <w:pPr>
        <w:rPr>
          <w:rFonts w:eastAsia="MS Mincho"/>
          <w:lang w:eastAsia="ja-JP"/>
        </w:rPr>
      </w:pPr>
      <w:r w:rsidRPr="00025D0B">
        <w:t>the</w:t>
      </w:r>
      <w:r w:rsidRPr="00025D0B">
        <w:rPr>
          <w:lang w:eastAsia="ja-JP"/>
        </w:rPr>
        <w:t xml:space="preserve"> UE expects to have respectively received </w:t>
      </w:r>
    </w:p>
    <w:p w14:paraId="26B9BE2C" w14:textId="4E340009" w:rsidR="00A44B72" w:rsidRPr="00025D0B" w:rsidRDefault="00A44B72" w:rsidP="00A44B72">
      <w:pPr>
        <w:pStyle w:val="B1"/>
        <w:rPr>
          <w:i/>
        </w:rPr>
      </w:pPr>
      <w:r w:rsidRPr="00025D0B">
        <w:rPr>
          <w:lang w:eastAsia="ja-JP"/>
        </w:rPr>
        <w:t>-</w:t>
      </w:r>
      <w:r w:rsidRPr="00025D0B">
        <w:rPr>
          <w:lang w:eastAsia="ja-JP"/>
        </w:rPr>
        <w:tab/>
        <w:t xml:space="preserve">at most </w:t>
      </w:r>
      <m:oMath>
        <m:sSubSup>
          <m:sSubSupPr>
            <m:ctrlPr>
              <w:rPr>
                <w:rFonts w:ascii="Cambria Math" w:hAnsi="Cambria Math"/>
                <w:i/>
              </w:rPr>
            </m:ctrlPr>
          </m:sSubSupPr>
          <m:e>
            <m:r>
              <w:rPr>
                <w:rFonts w:ascii="Cambria Math" w:hAnsi="Cambria Math"/>
              </w:rPr>
              <m:t>16∙N</m:t>
            </m:r>
          </m:e>
          <m:sub>
            <m:r>
              <w:rPr>
                <w:rFonts w:ascii="Cambria Math" w:hAnsi="Cambria Math"/>
              </w:rPr>
              <m:t>cells,r16/r17</m:t>
            </m:r>
          </m:sub>
          <m:sup>
            <m:r>
              <w:rPr>
                <w:rFonts w:ascii="Cambria Math" w:hAnsi="Cambria Math"/>
              </w:rPr>
              <m:t>cap-r17</m:t>
            </m:r>
          </m:sup>
        </m:sSubSup>
      </m:oMath>
      <w:r w:rsidRPr="00025D0B">
        <w:t xml:space="preserve"> PDCCHs for </w:t>
      </w:r>
      <w:r w:rsidRPr="00025D0B">
        <w:rPr>
          <w:lang w:eastAsia="ja-JP"/>
        </w:rPr>
        <w:t>DCI formats with CRC scrambled by a C-RNTI, or a CS-RNTI, or a MCS</w:t>
      </w:r>
      <w:r w:rsidRPr="00025D0B">
        <w:rPr>
          <w:rFonts w:eastAsia="DengXian"/>
          <w:lang w:eastAsia="ja-JP"/>
        </w:rPr>
        <w:t>-C</w:t>
      </w:r>
      <w:r w:rsidRPr="00025D0B">
        <w:rPr>
          <w:lang w:eastAsia="ja-JP"/>
        </w:rPr>
        <w:t>-RNTI</w:t>
      </w:r>
      <w:r w:rsidR="009760F0" w:rsidRPr="00497077">
        <w:rPr>
          <w:lang w:eastAsia="ja-JP"/>
        </w:rPr>
        <w:t>, or a G-RNTI</w:t>
      </w:r>
      <w:r w:rsidR="00DE3D33" w:rsidRPr="00DE3D33">
        <w:rPr>
          <w:lang w:val="en-GB" w:eastAsia="ja-JP"/>
        </w:rPr>
        <w:t xml:space="preserve"> </w:t>
      </w:r>
      <w:r w:rsidR="00DE3D33">
        <w:rPr>
          <w:lang w:val="en-GB" w:eastAsia="ja-JP"/>
        </w:rPr>
        <w:t>for multicast</w:t>
      </w:r>
      <w:r w:rsidR="009760F0" w:rsidRPr="00497077">
        <w:rPr>
          <w:lang w:eastAsia="ja-JP"/>
        </w:rPr>
        <w:t>, or a G-CS-RNTI</w:t>
      </w:r>
      <w:r w:rsidRPr="00025D0B">
        <w:rPr>
          <w:lang w:eastAsia="ja-JP"/>
        </w:rPr>
        <w:t xml:space="preserve"> scheduling </w:t>
      </w:r>
      <m:oMath>
        <m:sSubSup>
          <m:sSubSupPr>
            <m:ctrlPr>
              <w:rPr>
                <w:rFonts w:ascii="Cambria Math" w:hAnsi="Cambria Math"/>
                <w:i/>
              </w:rPr>
            </m:ctrlPr>
          </m:sSubSupPr>
          <m:e>
            <m:r>
              <w:rPr>
                <w:rFonts w:ascii="Cambria Math" w:hAnsi="Cambria Math"/>
              </w:rPr>
              <m:t>16∙N</m:t>
            </m:r>
          </m:e>
          <m:sub>
            <m:r>
              <w:rPr>
                <w:rFonts w:ascii="Cambria Math" w:hAnsi="Cambria Math"/>
              </w:rPr>
              <m:t>cells,r16/r17</m:t>
            </m:r>
          </m:sub>
          <m:sup>
            <m:r>
              <w:rPr>
                <w:rFonts w:ascii="Cambria Math" w:hAnsi="Cambria Math"/>
              </w:rPr>
              <m:t>cap-r17</m:t>
            </m:r>
          </m:sup>
        </m:sSubSup>
      </m:oMath>
      <w:r w:rsidRPr="00025D0B">
        <w:rPr>
          <w:lang w:eastAsia="ja-JP"/>
        </w:rPr>
        <w:t xml:space="preserve"> PDSCH receptions for which the UE has not received any corresponding PDSCH symbol over all </w:t>
      </w:r>
      <w:r w:rsidRPr="00025D0B">
        <w:t xml:space="preserve">serving cells </w:t>
      </w:r>
      <w:r w:rsidRPr="00025D0B">
        <w:rPr>
          <w:lang w:eastAsia="ja-JP"/>
        </w:rPr>
        <w:t xml:space="preserve">that are provided </w:t>
      </w:r>
      <w:r w:rsidRPr="00025D0B">
        <w:rPr>
          <w:i/>
        </w:rPr>
        <w:t>monitoringCapabilityConfig</w:t>
      </w:r>
      <w:r w:rsidRPr="00025D0B">
        <w:t xml:space="preserve"> = </w:t>
      </w:r>
      <w:r w:rsidRPr="00025D0B">
        <w:rPr>
          <w:i/>
        </w:rPr>
        <w:t>r1</w:t>
      </w:r>
      <w:r w:rsidRPr="00025D0B">
        <w:rPr>
          <w:i/>
          <w:lang w:val="en-US"/>
        </w:rPr>
        <w:t>6</w:t>
      </w:r>
      <w:r w:rsidRPr="00025D0B">
        <w:rPr>
          <w:i/>
        </w:rPr>
        <w:t>monitoringcapability</w:t>
      </w:r>
    </w:p>
    <w:p w14:paraId="3EC173C7" w14:textId="77777777" w:rsidR="00A44B72" w:rsidRPr="00025D0B" w:rsidRDefault="00A44B72" w:rsidP="00A44B72">
      <w:pPr>
        <w:pStyle w:val="B1"/>
        <w:rPr>
          <w:i/>
        </w:rPr>
      </w:pPr>
      <w:r w:rsidRPr="00025D0B">
        <w:rPr>
          <w:lang w:eastAsia="ja-JP"/>
        </w:rPr>
        <w:t>-</w:t>
      </w:r>
      <w:r w:rsidRPr="00025D0B">
        <w:rPr>
          <w:lang w:eastAsia="ja-JP"/>
        </w:rPr>
        <w:tab/>
        <w:t xml:space="preserve">at most </w:t>
      </w:r>
      <m:oMath>
        <m:sSubSup>
          <m:sSubSupPr>
            <m:ctrlPr>
              <w:rPr>
                <w:rFonts w:ascii="Cambria Math" w:hAnsi="Cambria Math"/>
                <w:i/>
              </w:rPr>
            </m:ctrlPr>
          </m:sSubSupPr>
          <m:e>
            <m:r>
              <w:rPr>
                <w:rFonts w:ascii="Cambria Math" w:hAnsi="Cambria Math"/>
              </w:rPr>
              <m:t>16∙N</m:t>
            </m:r>
          </m:e>
          <m:sub>
            <m:r>
              <w:rPr>
                <w:rFonts w:ascii="Cambria Math" w:hAnsi="Cambria Math"/>
              </w:rPr>
              <m:t>cells,r16/r17</m:t>
            </m:r>
          </m:sub>
          <m:sup>
            <m:r>
              <w:rPr>
                <w:rFonts w:ascii="Cambria Math" w:hAnsi="Cambria Math"/>
              </w:rPr>
              <m:t>cap-r17</m:t>
            </m:r>
          </m:sup>
        </m:sSubSup>
      </m:oMath>
      <w:r w:rsidRPr="00025D0B">
        <w:t xml:space="preserve"> PDCCHs for </w:t>
      </w:r>
      <w:r w:rsidRPr="00025D0B">
        <w:rPr>
          <w:lang w:eastAsia="ja-JP"/>
        </w:rPr>
        <w:t>DCI formats with CRC scrambled by a C-RNTI, or a CS-RNTI, or a MCS</w:t>
      </w:r>
      <w:r w:rsidRPr="00025D0B">
        <w:rPr>
          <w:rFonts w:eastAsia="DengXian"/>
          <w:lang w:eastAsia="ja-JP"/>
        </w:rPr>
        <w:t>-C</w:t>
      </w:r>
      <w:r w:rsidRPr="00025D0B">
        <w:rPr>
          <w:lang w:eastAsia="ja-JP"/>
        </w:rPr>
        <w:t xml:space="preserve">-RNTI scheduling </w:t>
      </w:r>
      <m:oMath>
        <m:sSubSup>
          <m:sSubSupPr>
            <m:ctrlPr>
              <w:rPr>
                <w:rFonts w:ascii="Cambria Math" w:hAnsi="Cambria Math"/>
                <w:i/>
              </w:rPr>
            </m:ctrlPr>
          </m:sSubSupPr>
          <m:e>
            <m:r>
              <w:rPr>
                <w:rFonts w:ascii="Cambria Math" w:hAnsi="Cambria Math"/>
              </w:rPr>
              <m:t>16∙N</m:t>
            </m:r>
          </m:e>
          <m:sub>
            <m:r>
              <w:rPr>
                <w:rFonts w:ascii="Cambria Math" w:hAnsi="Cambria Math"/>
              </w:rPr>
              <m:t>cells,r16/r17</m:t>
            </m:r>
          </m:sub>
          <m:sup>
            <m:r>
              <w:rPr>
                <w:rFonts w:ascii="Cambria Math" w:hAnsi="Cambria Math"/>
              </w:rPr>
              <m:t>cap-r17</m:t>
            </m:r>
          </m:sup>
        </m:sSubSup>
      </m:oMath>
      <w:r w:rsidRPr="00025D0B">
        <w:rPr>
          <w:lang w:eastAsia="ja-JP"/>
        </w:rPr>
        <w:t xml:space="preserve"> PUSCH transmissions for which the UE has not transmitted any corresponding PUSCH symbol over all </w:t>
      </w:r>
      <w:r w:rsidRPr="00025D0B">
        <w:t xml:space="preserve">serving cells </w:t>
      </w:r>
      <w:r w:rsidRPr="00025D0B">
        <w:rPr>
          <w:lang w:eastAsia="ja-JP"/>
        </w:rPr>
        <w:t xml:space="preserve">that are provided </w:t>
      </w:r>
      <w:r w:rsidRPr="00025D0B">
        <w:rPr>
          <w:i/>
        </w:rPr>
        <w:t>monitoringCapabilityConfig</w:t>
      </w:r>
      <w:r w:rsidRPr="00025D0B">
        <w:t xml:space="preserve"> = </w:t>
      </w:r>
      <w:r w:rsidRPr="00025D0B">
        <w:rPr>
          <w:i/>
        </w:rPr>
        <w:t>r1</w:t>
      </w:r>
      <w:r w:rsidRPr="00025D0B">
        <w:rPr>
          <w:i/>
          <w:lang w:val="en-US"/>
        </w:rPr>
        <w:t>6</w:t>
      </w:r>
      <w:r w:rsidRPr="00025D0B">
        <w:rPr>
          <w:i/>
        </w:rPr>
        <w:t>monitoringcapability</w:t>
      </w:r>
    </w:p>
    <w:p w14:paraId="1E83724F" w14:textId="415B28DE" w:rsidR="00A44B72" w:rsidRPr="00025D0B" w:rsidRDefault="00A44B72" w:rsidP="00A44B72">
      <w:pPr>
        <w:pStyle w:val="B1"/>
        <w:rPr>
          <w:i/>
        </w:rPr>
      </w:pPr>
      <w:r w:rsidRPr="00025D0B">
        <w:rPr>
          <w:lang w:eastAsia="ja-JP"/>
        </w:rPr>
        <w:t>-</w:t>
      </w:r>
      <w:r w:rsidRPr="00025D0B">
        <w:rPr>
          <w:lang w:eastAsia="ja-JP"/>
        </w:rPr>
        <w:tab/>
        <w:t xml:space="preserve">at most </w:t>
      </w:r>
      <m:oMath>
        <m:sSubSup>
          <m:sSubSupPr>
            <m:ctrlPr>
              <w:rPr>
                <w:rFonts w:ascii="Cambria Math" w:hAnsi="Cambria Math"/>
                <w:i/>
              </w:rPr>
            </m:ctrlPr>
          </m:sSubSupPr>
          <m:e>
            <m:r>
              <w:rPr>
                <w:rFonts w:ascii="Cambria Math" w:hAnsi="Cambria Math"/>
              </w:rPr>
              <m:t>16∙N</m:t>
            </m:r>
          </m:e>
          <m:sub>
            <m:r>
              <w:rPr>
                <w:rFonts w:ascii="Cambria Math" w:hAnsi="Cambria Math"/>
              </w:rPr>
              <m:t>cells,r17/r16</m:t>
            </m:r>
          </m:sub>
          <m:sup>
            <m:r>
              <w:rPr>
                <w:rFonts w:ascii="Cambria Math" w:hAnsi="Cambria Math"/>
              </w:rPr>
              <m:t>cap-r17</m:t>
            </m:r>
          </m:sup>
        </m:sSubSup>
      </m:oMath>
      <w:r w:rsidRPr="00025D0B">
        <w:t xml:space="preserve"> PDCCHs for </w:t>
      </w:r>
      <w:r w:rsidRPr="00025D0B">
        <w:rPr>
          <w:lang w:eastAsia="ja-JP"/>
        </w:rPr>
        <w:t>DCI formats with CRC scrambled by a C-RNTI, or a CS-RNTI, or a MCS</w:t>
      </w:r>
      <w:r w:rsidRPr="00025D0B">
        <w:rPr>
          <w:rFonts w:eastAsia="DengXian"/>
          <w:lang w:eastAsia="ja-JP"/>
        </w:rPr>
        <w:t>-C</w:t>
      </w:r>
      <w:r w:rsidRPr="00025D0B">
        <w:rPr>
          <w:lang w:eastAsia="ja-JP"/>
        </w:rPr>
        <w:t>-RNTI</w:t>
      </w:r>
      <w:r w:rsidR="009760F0" w:rsidRPr="00497077">
        <w:rPr>
          <w:lang w:eastAsia="ja-JP"/>
        </w:rPr>
        <w:t>, or a G-RNTI</w:t>
      </w:r>
      <w:r w:rsidR="00DE3D33" w:rsidRPr="00DE3D33">
        <w:rPr>
          <w:lang w:val="en-GB" w:eastAsia="ja-JP"/>
        </w:rPr>
        <w:t xml:space="preserve"> </w:t>
      </w:r>
      <w:r w:rsidR="00DE3D33">
        <w:rPr>
          <w:lang w:val="en-GB" w:eastAsia="ja-JP"/>
        </w:rPr>
        <w:t>for multicast</w:t>
      </w:r>
      <w:r w:rsidR="009760F0" w:rsidRPr="00497077">
        <w:rPr>
          <w:lang w:eastAsia="ja-JP"/>
        </w:rPr>
        <w:t>, or a G-CS-RNTI</w:t>
      </w:r>
      <w:r w:rsidRPr="00025D0B">
        <w:rPr>
          <w:lang w:eastAsia="ja-JP"/>
        </w:rPr>
        <w:t xml:space="preserve"> scheduling </w:t>
      </w:r>
      <m:oMath>
        <m:sSubSup>
          <m:sSubSupPr>
            <m:ctrlPr>
              <w:rPr>
                <w:rFonts w:ascii="Cambria Math" w:hAnsi="Cambria Math"/>
                <w:i/>
              </w:rPr>
            </m:ctrlPr>
          </m:sSubSupPr>
          <m:e>
            <m:r>
              <w:rPr>
                <w:rFonts w:ascii="Cambria Math" w:hAnsi="Cambria Math"/>
              </w:rPr>
              <m:t>16∙N</m:t>
            </m:r>
          </m:e>
          <m:sub>
            <m:r>
              <w:rPr>
                <w:rFonts w:ascii="Cambria Math" w:hAnsi="Cambria Math"/>
              </w:rPr>
              <m:t>cells,r17/r16</m:t>
            </m:r>
          </m:sub>
          <m:sup>
            <m:r>
              <w:rPr>
                <w:rFonts w:ascii="Cambria Math" w:hAnsi="Cambria Math"/>
              </w:rPr>
              <m:t>cap-r17</m:t>
            </m:r>
          </m:sup>
        </m:sSubSup>
      </m:oMath>
      <w:r w:rsidRPr="00025D0B">
        <w:rPr>
          <w:lang w:eastAsia="ja-JP"/>
        </w:rPr>
        <w:t xml:space="preserve"> PDSCH receptions for which the UE has not received any corresponding PDSCH symbol over all </w:t>
      </w:r>
      <w:r w:rsidRPr="00025D0B">
        <w:t xml:space="preserve">serving cells </w:t>
      </w:r>
      <w:r w:rsidRPr="00025D0B">
        <w:rPr>
          <w:lang w:val="en-US" w:eastAsia="ja-JP"/>
        </w:rPr>
        <w:t xml:space="preserve">with </w:t>
      </w:r>
      <w:r w:rsidRPr="00025D0B">
        <w:rPr>
          <w:i/>
        </w:rPr>
        <w:t>monitoringCapabilityConfig</w:t>
      </w:r>
      <w:r w:rsidRPr="00025D0B">
        <w:t xml:space="preserve"> = </w:t>
      </w:r>
      <w:r w:rsidRPr="00025D0B">
        <w:rPr>
          <w:i/>
        </w:rPr>
        <w:t>r1</w:t>
      </w:r>
      <w:r>
        <w:rPr>
          <w:i/>
        </w:rPr>
        <w:t>7</w:t>
      </w:r>
      <w:r w:rsidRPr="00025D0B">
        <w:rPr>
          <w:i/>
        </w:rPr>
        <w:t>monitoringcapability</w:t>
      </w:r>
    </w:p>
    <w:p w14:paraId="33C51272" w14:textId="77777777" w:rsidR="00A44B72" w:rsidRPr="00025D0B" w:rsidRDefault="00A44B72" w:rsidP="00A44B72">
      <w:pPr>
        <w:pStyle w:val="B1"/>
        <w:rPr>
          <w:rFonts w:eastAsia="MS Mincho"/>
          <w:lang w:eastAsia="ja-JP"/>
        </w:rPr>
      </w:pPr>
      <w:r w:rsidRPr="00025D0B">
        <w:rPr>
          <w:lang w:eastAsia="ja-JP"/>
        </w:rPr>
        <w:t>-</w:t>
      </w:r>
      <w:r w:rsidRPr="00025D0B">
        <w:rPr>
          <w:lang w:eastAsia="ja-JP"/>
        </w:rPr>
        <w:tab/>
        <w:t xml:space="preserve">at most </w:t>
      </w:r>
      <m:oMath>
        <m:sSubSup>
          <m:sSubSupPr>
            <m:ctrlPr>
              <w:rPr>
                <w:rFonts w:ascii="Cambria Math" w:hAnsi="Cambria Math"/>
                <w:i/>
              </w:rPr>
            </m:ctrlPr>
          </m:sSubSupPr>
          <m:e>
            <m:r>
              <w:rPr>
                <w:rFonts w:ascii="Cambria Math" w:hAnsi="Cambria Math"/>
              </w:rPr>
              <m:t>16∙N</m:t>
            </m:r>
          </m:e>
          <m:sub>
            <m:r>
              <w:rPr>
                <w:rFonts w:ascii="Cambria Math" w:hAnsi="Cambria Math"/>
              </w:rPr>
              <m:t>cells,r17/r16</m:t>
            </m:r>
          </m:sub>
          <m:sup>
            <m:r>
              <w:rPr>
                <w:rFonts w:ascii="Cambria Math" w:hAnsi="Cambria Math"/>
              </w:rPr>
              <m:t>cap-r17</m:t>
            </m:r>
          </m:sup>
        </m:sSubSup>
      </m:oMath>
      <w:r w:rsidRPr="00025D0B">
        <w:t xml:space="preserve"> PDCCHs for </w:t>
      </w:r>
      <w:r w:rsidRPr="00025D0B">
        <w:rPr>
          <w:lang w:eastAsia="ja-JP"/>
        </w:rPr>
        <w:t>DCI formats with CRC scrambled by a C-RNTI, or a CS-RNTI, or a MCS</w:t>
      </w:r>
      <w:r w:rsidRPr="00025D0B">
        <w:rPr>
          <w:rFonts w:eastAsia="DengXian"/>
          <w:lang w:eastAsia="ja-JP"/>
        </w:rPr>
        <w:t>-C</w:t>
      </w:r>
      <w:r w:rsidRPr="00025D0B">
        <w:rPr>
          <w:lang w:eastAsia="ja-JP"/>
        </w:rPr>
        <w:t xml:space="preserve">-RNTI scheduling </w:t>
      </w:r>
      <m:oMath>
        <m:sSubSup>
          <m:sSubSupPr>
            <m:ctrlPr>
              <w:rPr>
                <w:rFonts w:ascii="Cambria Math" w:hAnsi="Cambria Math"/>
                <w:i/>
              </w:rPr>
            </m:ctrlPr>
          </m:sSubSupPr>
          <m:e>
            <m:r>
              <w:rPr>
                <w:rFonts w:ascii="Cambria Math" w:hAnsi="Cambria Math"/>
              </w:rPr>
              <m:t>16∙N</m:t>
            </m:r>
          </m:e>
          <m:sub>
            <m:r>
              <w:rPr>
                <w:rFonts w:ascii="Cambria Math" w:hAnsi="Cambria Math"/>
              </w:rPr>
              <m:t>cells,r17/r16</m:t>
            </m:r>
          </m:sub>
          <m:sup>
            <m:r>
              <w:rPr>
                <w:rFonts w:ascii="Cambria Math" w:hAnsi="Cambria Math"/>
              </w:rPr>
              <m:t>cap-r17</m:t>
            </m:r>
          </m:sup>
        </m:sSubSup>
      </m:oMath>
      <w:r w:rsidRPr="00025D0B">
        <w:rPr>
          <w:lang w:eastAsia="ja-JP"/>
        </w:rPr>
        <w:t xml:space="preserve"> PUSCH transmissions for which the UE has not transmitted any corresponding PUSCH symbol over all </w:t>
      </w:r>
      <w:r w:rsidRPr="00025D0B">
        <w:t xml:space="preserve">serving cells </w:t>
      </w:r>
      <w:r w:rsidRPr="00025D0B">
        <w:rPr>
          <w:lang w:val="en-US" w:eastAsia="ja-JP"/>
        </w:rPr>
        <w:t xml:space="preserve">with </w:t>
      </w:r>
      <w:r w:rsidRPr="00025D0B">
        <w:rPr>
          <w:i/>
        </w:rPr>
        <w:t>monitoringCapabilityConfig</w:t>
      </w:r>
      <w:r w:rsidRPr="00025D0B">
        <w:t xml:space="preserve"> = </w:t>
      </w:r>
      <w:r w:rsidRPr="00025D0B">
        <w:rPr>
          <w:i/>
        </w:rPr>
        <w:t>r1</w:t>
      </w:r>
      <w:r>
        <w:rPr>
          <w:i/>
        </w:rPr>
        <w:t>7</w:t>
      </w:r>
      <w:r w:rsidRPr="00025D0B">
        <w:rPr>
          <w:i/>
        </w:rPr>
        <w:t>monitoringcapability</w:t>
      </w:r>
    </w:p>
    <w:p w14:paraId="2A617FC6" w14:textId="77777777" w:rsidR="00A44B72" w:rsidRPr="00025D0B" w:rsidRDefault="00A44B72" w:rsidP="00A44B72">
      <w:r w:rsidRPr="00025D0B">
        <w:rPr>
          <w:lang w:eastAsia="ko-KR"/>
        </w:rPr>
        <w:t xml:space="preserve">If </w:t>
      </w:r>
      <w:r w:rsidRPr="00025D0B">
        <w:t xml:space="preserve">a UE </w:t>
      </w:r>
      <w:r w:rsidRPr="00025D0B">
        <w:rPr>
          <w:iCs/>
        </w:rPr>
        <w:t xml:space="preserve">is </w:t>
      </w:r>
      <w:r w:rsidRPr="00025D0B">
        <w:t>provided</w:t>
      </w:r>
      <w:r w:rsidRPr="00025D0B">
        <w:rPr>
          <w:iCs/>
        </w:rPr>
        <w:t xml:space="preserve"> </w:t>
      </w:r>
      <w:r w:rsidRPr="00025D0B">
        <w:rPr>
          <w:i/>
        </w:rPr>
        <w:t>monitoringCapabilityConfig</w:t>
      </w:r>
      <w:r w:rsidRPr="00025D0B">
        <w:t xml:space="preserve"> = </w:t>
      </w:r>
      <w:r w:rsidRPr="00025D0B">
        <w:rPr>
          <w:i/>
        </w:rPr>
        <w:t>r1</w:t>
      </w:r>
      <w:r>
        <w:rPr>
          <w:i/>
        </w:rPr>
        <w:t>7</w:t>
      </w:r>
      <w:r w:rsidRPr="00025D0B">
        <w:rPr>
          <w:i/>
        </w:rPr>
        <w:t>monitoringcapability</w:t>
      </w:r>
      <w:r w:rsidRPr="00025D0B">
        <w:rPr>
          <w:iCs/>
        </w:rPr>
        <w:t xml:space="preserve"> </w:t>
      </w:r>
      <w:r>
        <w:rPr>
          <w:iCs/>
        </w:rPr>
        <w:t xml:space="preserve">for </w:t>
      </w:r>
      <w:r w:rsidRPr="00025D0B">
        <w:rPr>
          <w:iCs/>
        </w:rPr>
        <w:t xml:space="preserve">at least one serving cell, is provided </w:t>
      </w:r>
      <w:r w:rsidRPr="00025D0B">
        <w:rPr>
          <w:i/>
        </w:rPr>
        <w:t>monitoringCapabilityConfig</w:t>
      </w:r>
      <w:r w:rsidRPr="00025D0B">
        <w:t xml:space="preserve"> = </w:t>
      </w:r>
      <w:r w:rsidRPr="00025D0B">
        <w:rPr>
          <w:i/>
        </w:rPr>
        <w:t>r16monitoringcapability</w:t>
      </w:r>
      <w:r w:rsidRPr="00025D0B">
        <w:rPr>
          <w:iCs/>
        </w:rPr>
        <w:t xml:space="preserve"> for at least one serving cell, and </w:t>
      </w:r>
      <w:r w:rsidRPr="00025D0B">
        <w:rPr>
          <w:i/>
        </w:rPr>
        <w:t>monitoringCapabilityConfig</w:t>
      </w:r>
      <w:r w:rsidRPr="00025D0B">
        <w:t xml:space="preserve"> = </w:t>
      </w:r>
      <w:r w:rsidRPr="00025D0B">
        <w:rPr>
          <w:i/>
        </w:rPr>
        <w:t>r15monitoringcapability</w:t>
      </w:r>
      <w:r w:rsidRPr="00025D0B">
        <w:rPr>
          <w:iCs/>
        </w:rPr>
        <w:t xml:space="preserve"> for at least one serving cell, </w:t>
      </w:r>
      <w:r w:rsidRPr="00025D0B">
        <w:rPr>
          <w:lang w:eastAsia="ja-JP"/>
        </w:rPr>
        <w:t xml:space="preserve">is not configured for NR-DC operation, indicates a capability to </w:t>
      </w:r>
      <w:r w:rsidRPr="00025D0B">
        <w:t xml:space="preserve">monitor PDCCH candidates for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cells</m:t>
            </m:r>
            <m:r>
              <w:rPr>
                <w:rFonts w:ascii="Cambria Math" w:hAnsi="Cambria Math"/>
              </w:rPr>
              <m:t>,r15/{r16,r17}</m:t>
            </m:r>
          </m:sub>
          <m:sup>
            <m:r>
              <m:rPr>
                <m:sty m:val="p"/>
              </m:rPr>
              <w:rPr>
                <w:rFonts w:ascii="Cambria Math" w:hAnsi="Cambria Math"/>
              </w:rPr>
              <m:t>cap</m:t>
            </m:r>
            <m:r>
              <w:rPr>
                <w:rFonts w:ascii="Cambria Math" w:hAnsi="Cambria Math"/>
              </w:rPr>
              <m:t>-r17</m:t>
            </m:r>
          </m:sup>
        </m:sSubSup>
        <m:r>
          <w:rPr>
            <w:rFonts w:ascii="Cambria Math" w:hAnsi="Cambria Math"/>
          </w:rPr>
          <m:t>≥1</m:t>
        </m:r>
      </m:oMath>
      <w:r w:rsidRPr="00025D0B">
        <w:t xml:space="preserve"> downlink cells</w:t>
      </w:r>
      <w:r w:rsidRPr="00025D0B">
        <w:rPr>
          <w:lang w:val="en-US"/>
        </w:rPr>
        <w:t xml:space="preserv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cells</m:t>
            </m:r>
            <m:r>
              <w:rPr>
                <w:rFonts w:ascii="Cambria Math" w:hAnsi="Cambria Math"/>
              </w:rPr>
              <m:t>,r16/{r15,r17}</m:t>
            </m:r>
          </m:sub>
          <m:sup>
            <m:r>
              <m:rPr>
                <m:sty m:val="p"/>
              </m:rPr>
              <w:rPr>
                <w:rFonts w:ascii="Cambria Math" w:hAnsi="Cambria Math"/>
              </w:rPr>
              <m:t>cap</m:t>
            </m:r>
            <m:r>
              <w:rPr>
                <w:rFonts w:ascii="Cambria Math" w:hAnsi="Cambria Math"/>
              </w:rPr>
              <m:t>-r17</m:t>
            </m:r>
          </m:sup>
        </m:sSubSup>
        <m:r>
          <w:rPr>
            <w:rFonts w:ascii="Cambria Math" w:hAnsi="Cambria Math"/>
          </w:rPr>
          <m:t>≥1</m:t>
        </m:r>
      </m:oMath>
      <w:r w:rsidRPr="00025D0B">
        <w:rPr>
          <w:lang w:val="en-US"/>
        </w:rPr>
        <w:t>,</w:t>
      </w:r>
      <w:r w:rsidRPr="00025D0B">
        <w:t xml:space="preserve"> and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cells</m:t>
            </m:r>
            <m:r>
              <w:rPr>
                <w:rFonts w:ascii="Cambria Math" w:hAnsi="Cambria Math"/>
              </w:rPr>
              <m:t>,r17/{r15,r16}</m:t>
            </m:r>
          </m:sub>
          <m:sup>
            <m:r>
              <m:rPr>
                <m:sty m:val="p"/>
              </m:rPr>
              <w:rPr>
                <w:rFonts w:ascii="Cambria Math" w:hAnsi="Cambria Math"/>
              </w:rPr>
              <m:t>cap</m:t>
            </m:r>
            <m:r>
              <w:rPr>
                <w:rFonts w:ascii="Cambria Math" w:hAnsi="Cambria Math"/>
              </w:rPr>
              <m:t>-r17</m:t>
            </m:r>
          </m:sup>
        </m:sSubSup>
        <m:r>
          <w:rPr>
            <w:rFonts w:ascii="Cambria Math" w:hAnsi="Cambria Math"/>
          </w:rPr>
          <m:t>≥1</m:t>
        </m:r>
      </m:oMath>
      <w:r w:rsidRPr="00025D0B">
        <w:t xml:space="preserve"> downlink cells, and is configured with </w:t>
      </w:r>
      <m:oMath>
        <m:sSubSup>
          <m:sSubSupPr>
            <m:ctrlPr>
              <w:rPr>
                <w:rFonts w:ascii="Cambria Math" w:eastAsia="Calibri" w:hAnsi="Cambria Math"/>
                <w:iCs/>
                <w:lang w:val="zh-CN"/>
              </w:rPr>
            </m:ctrlPr>
          </m:sSubSupPr>
          <m:e>
            <m:r>
              <w:rPr>
                <w:rFonts w:ascii="Cambria Math" w:hAnsi="Cambria Math"/>
                <w:lang w:val="zh-CN" w:eastAsia="zh-CN"/>
              </w:rPr>
              <m:t>N</m:t>
            </m:r>
          </m:e>
          <m:sub>
            <m:r>
              <m:rPr>
                <m:sty m:val="p"/>
              </m:rPr>
              <w:rPr>
                <w:rFonts w:ascii="Cambria Math" w:hAnsi="Cambria Math"/>
              </w:rPr>
              <m:t>cells</m:t>
            </m:r>
          </m:sub>
          <m:sup>
            <m:r>
              <m:rPr>
                <m:sty m:val="p"/>
              </m:rPr>
              <w:rPr>
                <w:rFonts w:ascii="Cambria Math" w:hAnsi="Cambria Math"/>
              </w:rPr>
              <m:t>DL</m:t>
            </m:r>
          </m:sup>
        </m:sSubSup>
        <m:r>
          <w:rPr>
            <w:rFonts w:ascii="Cambria Math" w:hAnsi="Cambria Math"/>
          </w:rPr>
          <m:t>&gt;1</m:t>
        </m:r>
      </m:oMath>
      <w:r w:rsidRPr="00025D0B">
        <w:t xml:space="preserve"> downlink cells or </w:t>
      </w:r>
      <m:oMath>
        <m:sSubSup>
          <m:sSubSupPr>
            <m:ctrlPr>
              <w:rPr>
                <w:rFonts w:ascii="Cambria Math" w:eastAsia="Calibri" w:hAnsi="Cambria Math"/>
                <w:iCs/>
                <w:lang w:val="zh-CN"/>
              </w:rPr>
            </m:ctrlPr>
          </m:sSubSupPr>
          <m:e>
            <m:r>
              <w:rPr>
                <w:rFonts w:ascii="Cambria Math" w:hAnsi="Cambria Math"/>
                <w:lang w:val="zh-CN" w:eastAsia="zh-CN"/>
              </w:rPr>
              <m:t>N</m:t>
            </m:r>
          </m:e>
          <m:sub>
            <m:r>
              <m:rPr>
                <m:sty m:val="p"/>
              </m:rPr>
              <w:rPr>
                <w:rFonts w:ascii="Cambria Math" w:hAnsi="Cambria Math"/>
              </w:rPr>
              <m:t>cells</m:t>
            </m:r>
          </m:sub>
          <m:sup>
            <m:r>
              <m:rPr>
                <m:sty m:val="p"/>
              </m:rPr>
              <w:rPr>
                <w:rFonts w:ascii="Cambria Math" w:hAnsi="Cambria Math"/>
              </w:rPr>
              <m:t>UL</m:t>
            </m:r>
          </m:sup>
        </m:sSubSup>
        <m:r>
          <w:rPr>
            <w:rFonts w:ascii="Cambria Math" w:hAnsi="Cambria Math"/>
          </w:rPr>
          <m:t>&gt;1</m:t>
        </m:r>
      </m:oMath>
      <w:r w:rsidRPr="00025D0B">
        <w:t xml:space="preserve"> uplink cell</w:t>
      </w:r>
      <w:r w:rsidRPr="00025D0B">
        <w:rPr>
          <w:lang w:val="en-US"/>
        </w:rPr>
        <w:t>s</w:t>
      </w:r>
    </w:p>
    <w:p w14:paraId="796F9908" w14:textId="77777777" w:rsidR="00A44B72" w:rsidRPr="00025D0B" w:rsidRDefault="00A44B72" w:rsidP="00A44B72">
      <w:pPr>
        <w:rPr>
          <w:rFonts w:eastAsia="MS Mincho"/>
          <w:lang w:eastAsia="ja-JP"/>
        </w:rPr>
      </w:pPr>
      <w:r w:rsidRPr="00025D0B">
        <w:t>the</w:t>
      </w:r>
      <w:r w:rsidRPr="00025D0B">
        <w:rPr>
          <w:lang w:eastAsia="ja-JP"/>
        </w:rPr>
        <w:t xml:space="preserve"> UE expects to have respectively received</w:t>
      </w:r>
    </w:p>
    <w:p w14:paraId="494EBA65" w14:textId="5B1FCCF2" w:rsidR="00A44B72" w:rsidRPr="00025D0B" w:rsidRDefault="00A44B72" w:rsidP="00A44B72">
      <w:pPr>
        <w:pStyle w:val="B1"/>
        <w:rPr>
          <w:i/>
        </w:rPr>
      </w:pPr>
      <w:r w:rsidRPr="00025D0B">
        <w:rPr>
          <w:lang w:eastAsia="ja-JP"/>
        </w:rPr>
        <w:t>-</w:t>
      </w:r>
      <w:r w:rsidRPr="00025D0B">
        <w:rPr>
          <w:lang w:eastAsia="ja-JP"/>
        </w:rPr>
        <w:tab/>
        <w:t xml:space="preserve">at most </w:t>
      </w:r>
      <m:oMath>
        <m:sSubSup>
          <m:sSubSupPr>
            <m:ctrlPr>
              <w:rPr>
                <w:rFonts w:ascii="Cambria Math" w:hAnsi="Cambria Math"/>
                <w:i/>
              </w:rPr>
            </m:ctrlPr>
          </m:sSubSupPr>
          <m:e>
            <m:r>
              <w:rPr>
                <w:rFonts w:ascii="Cambria Math" w:hAnsi="Cambria Math"/>
              </w:rPr>
              <m:t>16∙N</m:t>
            </m:r>
          </m:e>
          <m:sub>
            <m:r>
              <w:rPr>
                <w:rFonts w:ascii="Cambria Math" w:hAnsi="Cambria Math"/>
              </w:rPr>
              <m:t>cells,r15/{r16,r17}</m:t>
            </m:r>
          </m:sub>
          <m:sup>
            <m:r>
              <w:rPr>
                <w:rFonts w:ascii="Cambria Math" w:hAnsi="Cambria Math"/>
              </w:rPr>
              <m:t>cap-r17</m:t>
            </m:r>
          </m:sup>
        </m:sSubSup>
      </m:oMath>
      <w:r w:rsidRPr="00025D0B">
        <w:t xml:space="preserve"> PDCCHs for </w:t>
      </w:r>
      <w:r w:rsidRPr="00025D0B">
        <w:rPr>
          <w:lang w:eastAsia="ja-JP"/>
        </w:rPr>
        <w:t>DCI formats with CRC scrambled by a C-RNTI, or a CS-RNTI, or a MCS</w:t>
      </w:r>
      <w:r w:rsidRPr="00025D0B">
        <w:rPr>
          <w:rFonts w:eastAsia="DengXian"/>
          <w:lang w:eastAsia="ja-JP"/>
        </w:rPr>
        <w:t>-C</w:t>
      </w:r>
      <w:r w:rsidRPr="00025D0B">
        <w:rPr>
          <w:lang w:eastAsia="ja-JP"/>
        </w:rPr>
        <w:t>-RNTI</w:t>
      </w:r>
      <w:r w:rsidR="009760F0" w:rsidRPr="00497077">
        <w:rPr>
          <w:lang w:eastAsia="ja-JP"/>
        </w:rPr>
        <w:t>, or a G-RNTI</w:t>
      </w:r>
      <w:r w:rsidR="00DE3D33" w:rsidRPr="00DE3D33">
        <w:rPr>
          <w:lang w:val="en-GB" w:eastAsia="ja-JP"/>
        </w:rPr>
        <w:t xml:space="preserve"> </w:t>
      </w:r>
      <w:r w:rsidR="00DE3D33">
        <w:rPr>
          <w:lang w:val="en-GB" w:eastAsia="ja-JP"/>
        </w:rPr>
        <w:t>for multicast</w:t>
      </w:r>
      <w:r w:rsidR="009760F0" w:rsidRPr="00497077">
        <w:rPr>
          <w:lang w:eastAsia="ja-JP"/>
        </w:rPr>
        <w:t>, or a G-CS-RNTI</w:t>
      </w:r>
      <w:r w:rsidRPr="00025D0B">
        <w:rPr>
          <w:lang w:eastAsia="ja-JP"/>
        </w:rPr>
        <w:t xml:space="preserve"> scheduling </w:t>
      </w:r>
      <m:oMath>
        <m:sSubSup>
          <m:sSubSupPr>
            <m:ctrlPr>
              <w:rPr>
                <w:rFonts w:ascii="Cambria Math" w:hAnsi="Cambria Math"/>
                <w:i/>
              </w:rPr>
            </m:ctrlPr>
          </m:sSubSupPr>
          <m:e>
            <m:r>
              <w:rPr>
                <w:rFonts w:ascii="Cambria Math" w:hAnsi="Cambria Math"/>
              </w:rPr>
              <m:t>16∙N</m:t>
            </m:r>
          </m:e>
          <m:sub>
            <m:r>
              <w:rPr>
                <w:rFonts w:ascii="Cambria Math" w:hAnsi="Cambria Math"/>
              </w:rPr>
              <m:t>cells,r15/{r16,r17}</m:t>
            </m:r>
          </m:sub>
          <m:sup>
            <m:r>
              <w:rPr>
                <w:rFonts w:ascii="Cambria Math" w:hAnsi="Cambria Math"/>
              </w:rPr>
              <m:t>cap-r17</m:t>
            </m:r>
          </m:sup>
        </m:sSubSup>
      </m:oMath>
      <w:r w:rsidRPr="00025D0B">
        <w:rPr>
          <w:lang w:eastAsia="ja-JP"/>
        </w:rPr>
        <w:t xml:space="preserve"> PDSCH receptions for which the UE has not received any corresponding PDSCH symbol over all </w:t>
      </w:r>
      <w:r w:rsidRPr="00025D0B">
        <w:t xml:space="preserve">serving cells </w:t>
      </w:r>
      <w:r w:rsidRPr="00025D0B">
        <w:rPr>
          <w:lang w:eastAsia="ja-JP"/>
        </w:rPr>
        <w:t xml:space="preserve">that are provided </w:t>
      </w:r>
      <w:r w:rsidRPr="00025D0B">
        <w:rPr>
          <w:i/>
        </w:rPr>
        <w:t>monitoringCapabilityConfig</w:t>
      </w:r>
      <w:r w:rsidRPr="00025D0B">
        <w:t xml:space="preserve"> = </w:t>
      </w:r>
      <w:r w:rsidRPr="00025D0B">
        <w:rPr>
          <w:i/>
        </w:rPr>
        <w:t>r1</w:t>
      </w:r>
      <w:r w:rsidRPr="00025D0B">
        <w:rPr>
          <w:i/>
          <w:lang w:val="en-US"/>
        </w:rPr>
        <w:t>5</w:t>
      </w:r>
      <w:r w:rsidRPr="00025D0B">
        <w:rPr>
          <w:i/>
        </w:rPr>
        <w:t>monitoringcapability</w:t>
      </w:r>
    </w:p>
    <w:p w14:paraId="6C51A382" w14:textId="77777777" w:rsidR="00A44B72" w:rsidRPr="00025D0B" w:rsidRDefault="00A44B72" w:rsidP="00A44B72">
      <w:pPr>
        <w:pStyle w:val="B1"/>
        <w:rPr>
          <w:i/>
        </w:rPr>
      </w:pPr>
      <w:r w:rsidRPr="00025D0B">
        <w:rPr>
          <w:lang w:eastAsia="ja-JP"/>
        </w:rPr>
        <w:t>-</w:t>
      </w:r>
      <w:r w:rsidRPr="00025D0B">
        <w:rPr>
          <w:lang w:eastAsia="ja-JP"/>
        </w:rPr>
        <w:tab/>
        <w:t xml:space="preserve">at most </w:t>
      </w:r>
      <m:oMath>
        <m:sSubSup>
          <m:sSubSupPr>
            <m:ctrlPr>
              <w:rPr>
                <w:rFonts w:ascii="Cambria Math" w:hAnsi="Cambria Math"/>
                <w:i/>
              </w:rPr>
            </m:ctrlPr>
          </m:sSubSupPr>
          <m:e>
            <m:r>
              <w:rPr>
                <w:rFonts w:ascii="Cambria Math" w:hAnsi="Cambria Math"/>
              </w:rPr>
              <m:t>16∙N</m:t>
            </m:r>
          </m:e>
          <m:sub>
            <m:r>
              <w:rPr>
                <w:rFonts w:ascii="Cambria Math" w:hAnsi="Cambria Math"/>
              </w:rPr>
              <m:t>cells,r15/{r16,r17}</m:t>
            </m:r>
          </m:sub>
          <m:sup>
            <m:r>
              <w:rPr>
                <w:rFonts w:ascii="Cambria Math" w:hAnsi="Cambria Math"/>
              </w:rPr>
              <m:t>cap-r17</m:t>
            </m:r>
          </m:sup>
        </m:sSubSup>
      </m:oMath>
      <w:r w:rsidRPr="00025D0B">
        <w:t xml:space="preserve"> PDCCHs for </w:t>
      </w:r>
      <w:r w:rsidRPr="00025D0B">
        <w:rPr>
          <w:lang w:eastAsia="ja-JP"/>
        </w:rPr>
        <w:t>DCI formats with CRC scrambled by a C-RNTI, or a CS-RNTI, or a MCS</w:t>
      </w:r>
      <w:r w:rsidRPr="00025D0B">
        <w:rPr>
          <w:rFonts w:eastAsia="DengXian"/>
          <w:lang w:eastAsia="ja-JP"/>
        </w:rPr>
        <w:t>-C</w:t>
      </w:r>
      <w:r w:rsidRPr="00025D0B">
        <w:rPr>
          <w:lang w:eastAsia="ja-JP"/>
        </w:rPr>
        <w:t xml:space="preserve">-RNTI scheduling </w:t>
      </w:r>
      <m:oMath>
        <m:sSubSup>
          <m:sSubSupPr>
            <m:ctrlPr>
              <w:rPr>
                <w:rFonts w:ascii="Cambria Math" w:hAnsi="Cambria Math"/>
                <w:i/>
              </w:rPr>
            </m:ctrlPr>
          </m:sSubSupPr>
          <m:e>
            <m:r>
              <w:rPr>
                <w:rFonts w:ascii="Cambria Math" w:hAnsi="Cambria Math"/>
              </w:rPr>
              <m:t>16∙N</m:t>
            </m:r>
          </m:e>
          <m:sub>
            <m:r>
              <w:rPr>
                <w:rFonts w:ascii="Cambria Math" w:hAnsi="Cambria Math"/>
              </w:rPr>
              <m:t>cells,r15/{r16,r17}</m:t>
            </m:r>
          </m:sub>
          <m:sup>
            <m:r>
              <w:rPr>
                <w:rFonts w:ascii="Cambria Math" w:hAnsi="Cambria Math"/>
              </w:rPr>
              <m:t>cap-r17</m:t>
            </m:r>
          </m:sup>
        </m:sSubSup>
      </m:oMath>
      <w:r w:rsidRPr="00025D0B">
        <w:rPr>
          <w:lang w:eastAsia="ja-JP"/>
        </w:rPr>
        <w:t xml:space="preserve"> PUSCH transmissions for which the UE has not transmitted any corresponding PUSCH symbol over all </w:t>
      </w:r>
      <w:r w:rsidRPr="00025D0B">
        <w:t xml:space="preserve">serving cells </w:t>
      </w:r>
      <w:r w:rsidRPr="00025D0B">
        <w:rPr>
          <w:lang w:eastAsia="ja-JP"/>
        </w:rPr>
        <w:t xml:space="preserve">that are provided </w:t>
      </w:r>
      <w:r w:rsidRPr="00025D0B">
        <w:rPr>
          <w:i/>
        </w:rPr>
        <w:t>monitoringCapabilityConfig</w:t>
      </w:r>
      <w:r w:rsidRPr="00025D0B">
        <w:t xml:space="preserve"> = </w:t>
      </w:r>
      <w:r w:rsidRPr="00025D0B">
        <w:rPr>
          <w:i/>
        </w:rPr>
        <w:t>r1</w:t>
      </w:r>
      <w:r w:rsidRPr="00025D0B">
        <w:rPr>
          <w:i/>
          <w:lang w:val="en-US"/>
        </w:rPr>
        <w:t>5</w:t>
      </w:r>
      <w:r w:rsidRPr="00025D0B">
        <w:rPr>
          <w:i/>
        </w:rPr>
        <w:t>monitoringcapability</w:t>
      </w:r>
    </w:p>
    <w:p w14:paraId="12FAA4DF" w14:textId="4647735C" w:rsidR="00A44B72" w:rsidRPr="00025D0B" w:rsidRDefault="00A44B72" w:rsidP="00A44B72">
      <w:pPr>
        <w:pStyle w:val="B1"/>
        <w:rPr>
          <w:i/>
        </w:rPr>
      </w:pPr>
      <w:r w:rsidRPr="00025D0B">
        <w:rPr>
          <w:lang w:eastAsia="ja-JP"/>
        </w:rPr>
        <w:lastRenderedPageBreak/>
        <w:t>-</w:t>
      </w:r>
      <w:r w:rsidRPr="00025D0B">
        <w:rPr>
          <w:lang w:eastAsia="ja-JP"/>
        </w:rPr>
        <w:tab/>
        <w:t xml:space="preserve">at most </w:t>
      </w:r>
      <m:oMath>
        <m:sSubSup>
          <m:sSubSupPr>
            <m:ctrlPr>
              <w:rPr>
                <w:rFonts w:ascii="Cambria Math" w:hAnsi="Cambria Math"/>
                <w:i/>
              </w:rPr>
            </m:ctrlPr>
          </m:sSubSupPr>
          <m:e>
            <m:r>
              <w:rPr>
                <w:rFonts w:ascii="Cambria Math" w:hAnsi="Cambria Math"/>
              </w:rPr>
              <m:t>16∙N</m:t>
            </m:r>
          </m:e>
          <m:sub>
            <m:r>
              <w:rPr>
                <w:rFonts w:ascii="Cambria Math" w:hAnsi="Cambria Math"/>
              </w:rPr>
              <m:t>cells,r16/{r15,r17}</m:t>
            </m:r>
          </m:sub>
          <m:sup>
            <m:r>
              <w:rPr>
                <w:rFonts w:ascii="Cambria Math" w:hAnsi="Cambria Math"/>
              </w:rPr>
              <m:t>cap-r17</m:t>
            </m:r>
          </m:sup>
        </m:sSubSup>
      </m:oMath>
      <w:r w:rsidRPr="00025D0B">
        <w:t xml:space="preserve"> PDCCHs for </w:t>
      </w:r>
      <w:r w:rsidRPr="00025D0B">
        <w:rPr>
          <w:lang w:eastAsia="ja-JP"/>
        </w:rPr>
        <w:t>DCI formats with CRC scrambled by a C-RNTI, or a CS-RNTI, or a MCS</w:t>
      </w:r>
      <w:r w:rsidRPr="00025D0B">
        <w:rPr>
          <w:rFonts w:eastAsia="DengXian"/>
          <w:lang w:eastAsia="ja-JP"/>
        </w:rPr>
        <w:t>-C</w:t>
      </w:r>
      <w:r w:rsidRPr="00025D0B">
        <w:rPr>
          <w:lang w:eastAsia="ja-JP"/>
        </w:rPr>
        <w:t>-RNTI</w:t>
      </w:r>
      <w:r w:rsidR="009760F0" w:rsidRPr="00497077">
        <w:rPr>
          <w:lang w:eastAsia="ja-JP"/>
        </w:rPr>
        <w:t>, or a G-RNTI</w:t>
      </w:r>
      <w:r w:rsidR="00DE3D33" w:rsidRPr="00DE3D33">
        <w:rPr>
          <w:lang w:val="en-GB" w:eastAsia="ja-JP"/>
        </w:rPr>
        <w:t xml:space="preserve"> </w:t>
      </w:r>
      <w:r w:rsidR="00DE3D33">
        <w:rPr>
          <w:lang w:val="en-GB" w:eastAsia="ja-JP"/>
        </w:rPr>
        <w:t>for multicast</w:t>
      </w:r>
      <w:r w:rsidR="009760F0" w:rsidRPr="00497077">
        <w:rPr>
          <w:lang w:eastAsia="ja-JP"/>
        </w:rPr>
        <w:t>, or a G-CS-RNTI</w:t>
      </w:r>
      <w:r w:rsidRPr="00025D0B">
        <w:rPr>
          <w:lang w:eastAsia="ja-JP"/>
        </w:rPr>
        <w:t xml:space="preserve"> scheduling </w:t>
      </w:r>
      <m:oMath>
        <m:sSubSup>
          <m:sSubSupPr>
            <m:ctrlPr>
              <w:rPr>
                <w:rFonts w:ascii="Cambria Math" w:hAnsi="Cambria Math"/>
                <w:i/>
              </w:rPr>
            </m:ctrlPr>
          </m:sSubSupPr>
          <m:e>
            <m:r>
              <w:rPr>
                <w:rFonts w:ascii="Cambria Math" w:hAnsi="Cambria Math"/>
              </w:rPr>
              <m:t>16∙N</m:t>
            </m:r>
          </m:e>
          <m:sub>
            <m:r>
              <w:rPr>
                <w:rFonts w:ascii="Cambria Math" w:hAnsi="Cambria Math"/>
              </w:rPr>
              <m:t>cells,r16/{r15,r17}</m:t>
            </m:r>
          </m:sub>
          <m:sup>
            <m:r>
              <w:rPr>
                <w:rFonts w:ascii="Cambria Math" w:hAnsi="Cambria Math"/>
              </w:rPr>
              <m:t>cap-r17</m:t>
            </m:r>
          </m:sup>
        </m:sSubSup>
      </m:oMath>
      <w:r w:rsidRPr="00025D0B">
        <w:rPr>
          <w:lang w:eastAsia="ja-JP"/>
        </w:rPr>
        <w:t xml:space="preserve"> PDSCH receptions for which the UE has not received any corresponding PDSCH symbol over all </w:t>
      </w:r>
      <w:r w:rsidRPr="00025D0B">
        <w:t xml:space="preserve">serving cells </w:t>
      </w:r>
      <w:r w:rsidRPr="00025D0B">
        <w:rPr>
          <w:lang w:eastAsia="ja-JP"/>
        </w:rPr>
        <w:t xml:space="preserve">that are provided </w:t>
      </w:r>
      <w:r w:rsidRPr="00025D0B">
        <w:rPr>
          <w:i/>
        </w:rPr>
        <w:t>monitoringCapabilityConfig</w:t>
      </w:r>
      <w:r w:rsidRPr="00025D0B">
        <w:t xml:space="preserve"> = </w:t>
      </w:r>
      <w:r w:rsidRPr="00025D0B">
        <w:rPr>
          <w:i/>
        </w:rPr>
        <w:t>r1</w:t>
      </w:r>
      <w:r w:rsidRPr="00025D0B">
        <w:rPr>
          <w:i/>
          <w:lang w:val="en-US"/>
        </w:rPr>
        <w:t>6</w:t>
      </w:r>
      <w:r w:rsidRPr="00025D0B">
        <w:rPr>
          <w:i/>
        </w:rPr>
        <w:t>monitoringcapability</w:t>
      </w:r>
    </w:p>
    <w:p w14:paraId="3493AF31" w14:textId="77777777" w:rsidR="00A44B72" w:rsidRPr="00025D0B" w:rsidRDefault="00A44B72" w:rsidP="00A44B72">
      <w:pPr>
        <w:pStyle w:val="B1"/>
        <w:rPr>
          <w:i/>
        </w:rPr>
      </w:pPr>
      <w:r w:rsidRPr="00025D0B">
        <w:rPr>
          <w:lang w:eastAsia="ja-JP"/>
        </w:rPr>
        <w:t>-</w:t>
      </w:r>
      <w:r w:rsidRPr="00025D0B">
        <w:rPr>
          <w:lang w:eastAsia="ja-JP"/>
        </w:rPr>
        <w:tab/>
        <w:t xml:space="preserve">at most </w:t>
      </w:r>
      <m:oMath>
        <m:sSubSup>
          <m:sSubSupPr>
            <m:ctrlPr>
              <w:rPr>
                <w:rFonts w:ascii="Cambria Math" w:hAnsi="Cambria Math"/>
                <w:i/>
              </w:rPr>
            </m:ctrlPr>
          </m:sSubSupPr>
          <m:e>
            <m:r>
              <w:rPr>
                <w:rFonts w:ascii="Cambria Math" w:hAnsi="Cambria Math"/>
              </w:rPr>
              <m:t>16∙N</m:t>
            </m:r>
          </m:e>
          <m:sub>
            <m:r>
              <w:rPr>
                <w:rFonts w:ascii="Cambria Math" w:hAnsi="Cambria Math"/>
              </w:rPr>
              <m:t>cells,r16/{r15,r17}</m:t>
            </m:r>
          </m:sub>
          <m:sup>
            <m:r>
              <w:rPr>
                <w:rFonts w:ascii="Cambria Math" w:hAnsi="Cambria Math"/>
              </w:rPr>
              <m:t>cap-r17</m:t>
            </m:r>
          </m:sup>
        </m:sSubSup>
      </m:oMath>
      <w:r w:rsidRPr="00025D0B">
        <w:t xml:space="preserve"> PDCCHs for </w:t>
      </w:r>
      <w:r w:rsidRPr="00025D0B">
        <w:rPr>
          <w:lang w:eastAsia="ja-JP"/>
        </w:rPr>
        <w:t>DCI formats with CRC scrambled by a C-RNTI, or a CS-RNTI, or a MCS</w:t>
      </w:r>
      <w:r w:rsidRPr="00025D0B">
        <w:rPr>
          <w:rFonts w:eastAsia="DengXian"/>
          <w:lang w:eastAsia="ja-JP"/>
        </w:rPr>
        <w:t>-C</w:t>
      </w:r>
      <w:r w:rsidRPr="00025D0B">
        <w:rPr>
          <w:lang w:eastAsia="ja-JP"/>
        </w:rPr>
        <w:t xml:space="preserve">-RNTI scheduling </w:t>
      </w:r>
      <m:oMath>
        <m:sSubSup>
          <m:sSubSupPr>
            <m:ctrlPr>
              <w:rPr>
                <w:rFonts w:ascii="Cambria Math" w:hAnsi="Cambria Math"/>
                <w:i/>
              </w:rPr>
            </m:ctrlPr>
          </m:sSubSupPr>
          <m:e>
            <m:r>
              <w:rPr>
                <w:rFonts w:ascii="Cambria Math" w:hAnsi="Cambria Math"/>
              </w:rPr>
              <m:t>16∙N</m:t>
            </m:r>
          </m:e>
          <m:sub>
            <m:r>
              <w:rPr>
                <w:rFonts w:ascii="Cambria Math" w:hAnsi="Cambria Math"/>
              </w:rPr>
              <m:t>cells,r16/{r15,r17}</m:t>
            </m:r>
          </m:sub>
          <m:sup>
            <m:r>
              <w:rPr>
                <w:rFonts w:ascii="Cambria Math" w:hAnsi="Cambria Math"/>
              </w:rPr>
              <m:t>cap-r17</m:t>
            </m:r>
          </m:sup>
        </m:sSubSup>
      </m:oMath>
      <w:r w:rsidRPr="00025D0B">
        <w:rPr>
          <w:lang w:eastAsia="ja-JP"/>
        </w:rPr>
        <w:t xml:space="preserve"> PUSCH transmissions for which the UE has not transmitted any corresponding PUSCH symbol over all </w:t>
      </w:r>
      <w:r w:rsidRPr="00025D0B">
        <w:t xml:space="preserve">serving cells </w:t>
      </w:r>
      <w:r w:rsidRPr="00025D0B">
        <w:rPr>
          <w:lang w:eastAsia="ja-JP"/>
        </w:rPr>
        <w:t xml:space="preserve">that are provided </w:t>
      </w:r>
      <w:r w:rsidRPr="00025D0B">
        <w:rPr>
          <w:i/>
        </w:rPr>
        <w:t>monitoringCapabilityConfig</w:t>
      </w:r>
      <w:r w:rsidRPr="00025D0B">
        <w:t xml:space="preserve"> = </w:t>
      </w:r>
      <w:r w:rsidRPr="00025D0B">
        <w:rPr>
          <w:i/>
        </w:rPr>
        <w:t>r1</w:t>
      </w:r>
      <w:r w:rsidRPr="00025D0B">
        <w:rPr>
          <w:i/>
          <w:lang w:val="en-US"/>
        </w:rPr>
        <w:t>6</w:t>
      </w:r>
      <w:r w:rsidRPr="00025D0B">
        <w:rPr>
          <w:i/>
        </w:rPr>
        <w:t>monitoringcapability</w:t>
      </w:r>
    </w:p>
    <w:p w14:paraId="20B4BCC6" w14:textId="331FFB61" w:rsidR="00A44B72" w:rsidRPr="00025D0B" w:rsidRDefault="00A44B72" w:rsidP="00A44B72">
      <w:pPr>
        <w:pStyle w:val="B1"/>
        <w:rPr>
          <w:i/>
        </w:rPr>
      </w:pPr>
      <w:r w:rsidRPr="00025D0B">
        <w:rPr>
          <w:lang w:eastAsia="ja-JP"/>
        </w:rPr>
        <w:t>-</w:t>
      </w:r>
      <w:r w:rsidRPr="00025D0B">
        <w:rPr>
          <w:lang w:eastAsia="ja-JP"/>
        </w:rPr>
        <w:tab/>
        <w:t xml:space="preserve">at most </w:t>
      </w:r>
      <m:oMath>
        <m:sSubSup>
          <m:sSubSupPr>
            <m:ctrlPr>
              <w:rPr>
                <w:rFonts w:ascii="Cambria Math" w:hAnsi="Cambria Math"/>
                <w:i/>
              </w:rPr>
            </m:ctrlPr>
          </m:sSubSupPr>
          <m:e>
            <m:r>
              <w:rPr>
                <w:rFonts w:ascii="Cambria Math" w:hAnsi="Cambria Math"/>
              </w:rPr>
              <m:t>16∙N</m:t>
            </m:r>
          </m:e>
          <m:sub>
            <m:r>
              <w:rPr>
                <w:rFonts w:ascii="Cambria Math" w:hAnsi="Cambria Math"/>
              </w:rPr>
              <m:t>cells,r17/{r16,r17}</m:t>
            </m:r>
          </m:sub>
          <m:sup>
            <m:r>
              <w:rPr>
                <w:rFonts w:ascii="Cambria Math" w:hAnsi="Cambria Math"/>
              </w:rPr>
              <m:t>cap-r17</m:t>
            </m:r>
          </m:sup>
        </m:sSubSup>
      </m:oMath>
      <w:r w:rsidRPr="00025D0B">
        <w:t xml:space="preserve"> PDCCHs for </w:t>
      </w:r>
      <w:r w:rsidRPr="00025D0B">
        <w:rPr>
          <w:lang w:eastAsia="ja-JP"/>
        </w:rPr>
        <w:t>DCI formats with CRC scrambled by a C-RNTI, or a CS-RNTI, or a MCS</w:t>
      </w:r>
      <w:r w:rsidRPr="00025D0B">
        <w:rPr>
          <w:rFonts w:eastAsia="DengXian"/>
          <w:lang w:eastAsia="ja-JP"/>
        </w:rPr>
        <w:t>-C</w:t>
      </w:r>
      <w:r w:rsidRPr="00025D0B">
        <w:rPr>
          <w:lang w:eastAsia="ja-JP"/>
        </w:rPr>
        <w:t>-RNTI</w:t>
      </w:r>
      <w:r w:rsidR="009760F0" w:rsidRPr="00497077">
        <w:rPr>
          <w:lang w:eastAsia="ja-JP"/>
        </w:rPr>
        <w:t>, or a G-RNTI</w:t>
      </w:r>
      <w:r w:rsidR="00DE3D33" w:rsidRPr="00DE3D33">
        <w:rPr>
          <w:lang w:val="en-GB" w:eastAsia="ja-JP"/>
        </w:rPr>
        <w:t xml:space="preserve"> </w:t>
      </w:r>
      <w:r w:rsidR="00DE3D33">
        <w:rPr>
          <w:lang w:val="en-GB" w:eastAsia="ja-JP"/>
        </w:rPr>
        <w:t>for multicast</w:t>
      </w:r>
      <w:r w:rsidR="009760F0" w:rsidRPr="00497077">
        <w:rPr>
          <w:lang w:eastAsia="ja-JP"/>
        </w:rPr>
        <w:t>, or a G-CS-RNTI</w:t>
      </w:r>
      <w:r w:rsidRPr="00025D0B">
        <w:rPr>
          <w:lang w:eastAsia="ja-JP"/>
        </w:rPr>
        <w:t xml:space="preserve"> scheduling </w:t>
      </w:r>
      <m:oMath>
        <m:sSubSup>
          <m:sSubSupPr>
            <m:ctrlPr>
              <w:rPr>
                <w:rFonts w:ascii="Cambria Math" w:hAnsi="Cambria Math"/>
                <w:i/>
              </w:rPr>
            </m:ctrlPr>
          </m:sSubSupPr>
          <m:e>
            <m:r>
              <w:rPr>
                <w:rFonts w:ascii="Cambria Math" w:hAnsi="Cambria Math"/>
              </w:rPr>
              <m:t>16∙N</m:t>
            </m:r>
          </m:e>
          <m:sub>
            <m:r>
              <w:rPr>
                <w:rFonts w:ascii="Cambria Math" w:hAnsi="Cambria Math"/>
              </w:rPr>
              <m:t>cells,r17/{r16,r17}</m:t>
            </m:r>
          </m:sub>
          <m:sup>
            <m:r>
              <w:rPr>
                <w:rFonts w:ascii="Cambria Math" w:hAnsi="Cambria Math"/>
              </w:rPr>
              <m:t>cap-r17</m:t>
            </m:r>
          </m:sup>
        </m:sSubSup>
      </m:oMath>
      <w:r w:rsidRPr="00025D0B">
        <w:rPr>
          <w:lang w:eastAsia="ja-JP"/>
        </w:rPr>
        <w:t xml:space="preserve"> PDSCH receptions for which the UE has not received any corresponding PDSCH symbol over all </w:t>
      </w:r>
      <w:r w:rsidRPr="00025D0B">
        <w:t xml:space="preserve">serving cells </w:t>
      </w:r>
      <w:r w:rsidRPr="00025D0B">
        <w:rPr>
          <w:lang w:val="en-US" w:eastAsia="ja-JP"/>
        </w:rPr>
        <w:t xml:space="preserve">with </w:t>
      </w:r>
      <w:r w:rsidRPr="00025D0B">
        <w:rPr>
          <w:i/>
        </w:rPr>
        <w:t>monitoringCapabilityConfig</w:t>
      </w:r>
      <w:r w:rsidRPr="00025D0B">
        <w:t xml:space="preserve"> = </w:t>
      </w:r>
      <w:r w:rsidRPr="00025D0B">
        <w:rPr>
          <w:i/>
        </w:rPr>
        <w:t>r1</w:t>
      </w:r>
      <w:r>
        <w:rPr>
          <w:i/>
        </w:rPr>
        <w:t>7</w:t>
      </w:r>
      <w:r w:rsidRPr="00025D0B">
        <w:rPr>
          <w:i/>
        </w:rPr>
        <w:t>monitoringcapability</w:t>
      </w:r>
    </w:p>
    <w:p w14:paraId="50BAC6D4" w14:textId="77777777" w:rsidR="00A44B72" w:rsidRPr="00025D0B" w:rsidRDefault="00A44B72" w:rsidP="00A44B72">
      <w:pPr>
        <w:pStyle w:val="B1"/>
        <w:rPr>
          <w:rFonts w:eastAsia="MS Mincho"/>
          <w:lang w:eastAsia="ja-JP"/>
        </w:rPr>
      </w:pPr>
      <w:r w:rsidRPr="00025D0B">
        <w:rPr>
          <w:lang w:eastAsia="ja-JP"/>
        </w:rPr>
        <w:t>-</w:t>
      </w:r>
      <w:r w:rsidRPr="00025D0B">
        <w:rPr>
          <w:lang w:eastAsia="ja-JP"/>
        </w:rPr>
        <w:tab/>
        <w:t xml:space="preserve">at most </w:t>
      </w:r>
      <m:oMath>
        <m:sSubSup>
          <m:sSubSupPr>
            <m:ctrlPr>
              <w:rPr>
                <w:rFonts w:ascii="Cambria Math" w:hAnsi="Cambria Math"/>
                <w:i/>
              </w:rPr>
            </m:ctrlPr>
          </m:sSubSupPr>
          <m:e>
            <m:r>
              <w:rPr>
                <w:rFonts w:ascii="Cambria Math" w:hAnsi="Cambria Math"/>
              </w:rPr>
              <m:t>16∙N</m:t>
            </m:r>
          </m:e>
          <m:sub>
            <m:r>
              <w:rPr>
                <w:rFonts w:ascii="Cambria Math" w:hAnsi="Cambria Math"/>
              </w:rPr>
              <m:t>cells,r17/{r16,r17}</m:t>
            </m:r>
          </m:sub>
          <m:sup>
            <m:r>
              <w:rPr>
                <w:rFonts w:ascii="Cambria Math" w:hAnsi="Cambria Math"/>
              </w:rPr>
              <m:t>cap-r17</m:t>
            </m:r>
          </m:sup>
        </m:sSubSup>
      </m:oMath>
      <w:r w:rsidRPr="00025D0B">
        <w:t xml:space="preserve"> PDCCHs for </w:t>
      </w:r>
      <w:r w:rsidRPr="00025D0B">
        <w:rPr>
          <w:lang w:eastAsia="ja-JP"/>
        </w:rPr>
        <w:t>DCI formats with CRC scrambled by a C-RNTI, or a CS-RNTI, or a MCS</w:t>
      </w:r>
      <w:r w:rsidRPr="00025D0B">
        <w:rPr>
          <w:rFonts w:eastAsia="DengXian"/>
          <w:lang w:eastAsia="ja-JP"/>
        </w:rPr>
        <w:t>-C</w:t>
      </w:r>
      <w:r w:rsidRPr="00025D0B">
        <w:rPr>
          <w:lang w:eastAsia="ja-JP"/>
        </w:rPr>
        <w:t xml:space="preserve">-RNTI scheduling </w:t>
      </w:r>
      <m:oMath>
        <m:sSubSup>
          <m:sSubSupPr>
            <m:ctrlPr>
              <w:rPr>
                <w:rFonts w:ascii="Cambria Math" w:hAnsi="Cambria Math"/>
                <w:i/>
              </w:rPr>
            </m:ctrlPr>
          </m:sSubSupPr>
          <m:e>
            <m:r>
              <w:rPr>
                <w:rFonts w:ascii="Cambria Math" w:hAnsi="Cambria Math"/>
              </w:rPr>
              <m:t>16∙N</m:t>
            </m:r>
          </m:e>
          <m:sub>
            <m:r>
              <w:rPr>
                <w:rFonts w:ascii="Cambria Math" w:hAnsi="Cambria Math"/>
              </w:rPr>
              <m:t>cells,r17/{r16,r17}</m:t>
            </m:r>
          </m:sub>
          <m:sup>
            <m:r>
              <w:rPr>
                <w:rFonts w:ascii="Cambria Math" w:hAnsi="Cambria Math"/>
              </w:rPr>
              <m:t>cap-r17</m:t>
            </m:r>
          </m:sup>
        </m:sSubSup>
      </m:oMath>
      <w:r w:rsidRPr="00025D0B">
        <w:rPr>
          <w:lang w:eastAsia="ja-JP"/>
        </w:rPr>
        <w:t xml:space="preserve"> PUSCH transmissions for which the UE has not transmitted any corresponding PUSCH symbol over all </w:t>
      </w:r>
      <w:r w:rsidRPr="00025D0B">
        <w:t xml:space="preserve">serving cells </w:t>
      </w:r>
      <w:r w:rsidRPr="00025D0B">
        <w:rPr>
          <w:lang w:val="en-US" w:eastAsia="ja-JP"/>
        </w:rPr>
        <w:t xml:space="preserve">with </w:t>
      </w:r>
      <w:r w:rsidRPr="00025D0B">
        <w:rPr>
          <w:i/>
        </w:rPr>
        <w:t>monitoringCapabilityConfig</w:t>
      </w:r>
      <w:r w:rsidRPr="00025D0B">
        <w:t xml:space="preserve"> = </w:t>
      </w:r>
      <w:r w:rsidRPr="00025D0B">
        <w:rPr>
          <w:i/>
        </w:rPr>
        <w:t>r1</w:t>
      </w:r>
      <w:r>
        <w:rPr>
          <w:i/>
        </w:rPr>
        <w:t>7</w:t>
      </w:r>
      <w:r w:rsidRPr="00025D0B">
        <w:rPr>
          <w:i/>
        </w:rPr>
        <w:t>monitoringcapability</w:t>
      </w:r>
    </w:p>
    <w:p w14:paraId="0488A447" w14:textId="77777777" w:rsidR="00373332" w:rsidRPr="00D20E88" w:rsidRDefault="00373332" w:rsidP="00373332">
      <w:r w:rsidRPr="00D20E88">
        <w:t xml:space="preserve">If </w:t>
      </w:r>
      <w:r w:rsidRPr="00D20E88">
        <w:rPr>
          <w:lang w:val="en-US"/>
        </w:rPr>
        <w:t>a UE</w:t>
      </w:r>
    </w:p>
    <w:p w14:paraId="0912FB02" w14:textId="0466431E" w:rsidR="00373332" w:rsidRPr="00D20E88" w:rsidRDefault="00373332" w:rsidP="00373332">
      <w:pPr>
        <w:pStyle w:val="B1"/>
        <w:rPr>
          <w:lang w:val="en-US"/>
        </w:rPr>
      </w:pPr>
      <w:r w:rsidRPr="00D20E88">
        <w:t>-</w:t>
      </w:r>
      <w:r w:rsidRPr="00D20E88">
        <w:tab/>
      </w:r>
      <w:r w:rsidRPr="00D20E88">
        <w:rPr>
          <w:lang w:val="en-US"/>
        </w:rPr>
        <w:t xml:space="preserve">is configured to monitor a first PDCCH candidate for a DCI format 0_0 and a DCI format 1_0 from a CSS set and a second PDCCH candidate for a DCI format </w:t>
      </w:r>
      <w:r>
        <w:rPr>
          <w:lang w:val="en-US"/>
        </w:rPr>
        <w:t>0_0 and a DCI format 1_0</w:t>
      </w:r>
      <w:r w:rsidRPr="00D20E88">
        <w:rPr>
          <w:lang w:val="en-US"/>
        </w:rPr>
        <w:t xml:space="preserve"> from a USS set</w:t>
      </w:r>
      <w:r w:rsidR="004C3224" w:rsidRPr="00F415B1">
        <w:rPr>
          <w:lang w:val="en-US"/>
        </w:rPr>
        <w:t xml:space="preserve">, where the CSS set and the USS set do not include </w:t>
      </w:r>
      <w:r w:rsidR="004C3224" w:rsidRPr="00F415B1">
        <w:rPr>
          <w:i/>
          <w:lang w:val="en-US"/>
        </w:rPr>
        <w:t>searchSpaceLinking</w:t>
      </w:r>
      <w:r w:rsidR="00E84B3D">
        <w:rPr>
          <w:i/>
          <w:lang w:val="en-US"/>
        </w:rPr>
        <w:t>Id</w:t>
      </w:r>
      <w:r w:rsidR="004C3224" w:rsidRPr="00F415B1">
        <w:rPr>
          <w:lang w:val="en-US"/>
        </w:rPr>
        <w:t>,</w:t>
      </w:r>
      <w:r w:rsidRPr="00D20E88">
        <w:rPr>
          <w:lang w:val="en-US"/>
        </w:rPr>
        <w:t xml:space="preserve"> in a CORESET with index zero on an active DL BWP, and</w:t>
      </w:r>
    </w:p>
    <w:p w14:paraId="38342C95" w14:textId="77777777" w:rsidR="00373332" w:rsidRPr="00D20E88" w:rsidRDefault="00373332" w:rsidP="00373332">
      <w:pPr>
        <w:pStyle w:val="B1"/>
        <w:rPr>
          <w:lang w:val="en-US"/>
        </w:rPr>
      </w:pPr>
      <w:r w:rsidRPr="00D20E88">
        <w:t>-</w:t>
      </w:r>
      <w:r w:rsidRPr="00D20E88">
        <w:tab/>
      </w:r>
      <w:r w:rsidRPr="00D20E88">
        <w:rPr>
          <w:lang w:val="en-US"/>
        </w:rPr>
        <w:t>the DCI formats 0_0/1_0 associated with the first PDCCH candidate and the DCI formats 0_0/1_0 associated with the second PDCCH candidate have same size, and</w:t>
      </w:r>
    </w:p>
    <w:p w14:paraId="449F1417" w14:textId="77777777" w:rsidR="00373332" w:rsidRPr="00D20E88" w:rsidRDefault="00373332" w:rsidP="00373332">
      <w:pPr>
        <w:pStyle w:val="B1"/>
        <w:rPr>
          <w:lang w:val="en-US"/>
        </w:rPr>
      </w:pPr>
      <w:r w:rsidRPr="00D20E88">
        <w:t>-</w:t>
      </w:r>
      <w:r w:rsidRPr="00D20E88">
        <w:tab/>
      </w:r>
      <w:r w:rsidRPr="00D20E88">
        <w:rPr>
          <w:lang w:val="en-US"/>
        </w:rPr>
        <w:t>the UE receives the first PDCCH candidate and the second PDCCH candidate over a same set of CCEs, and</w:t>
      </w:r>
    </w:p>
    <w:p w14:paraId="25D28688" w14:textId="77777777" w:rsidR="00373332" w:rsidRPr="00D20E88" w:rsidRDefault="00373332" w:rsidP="00373332">
      <w:pPr>
        <w:pStyle w:val="B1"/>
        <w:rPr>
          <w:lang w:val="en-US"/>
        </w:rPr>
      </w:pPr>
      <w:r w:rsidRPr="00D20E88">
        <w:t>-</w:t>
      </w:r>
      <w:r w:rsidRPr="00D20E88">
        <w:tab/>
      </w:r>
      <w:r w:rsidRPr="00D20E88">
        <w:rPr>
          <w:lang w:val="en-US"/>
        </w:rPr>
        <w:t xml:space="preserve">the first PDCCH candidate and the second PDCCH candidate </w:t>
      </w:r>
      <w:r w:rsidRPr="00D20E88">
        <w:t>have identical scrambling</w:t>
      </w:r>
      <w:r w:rsidRPr="00D20E88">
        <w:rPr>
          <w:lang w:val="en-US"/>
        </w:rPr>
        <w:t>, and</w:t>
      </w:r>
    </w:p>
    <w:p w14:paraId="187FD086" w14:textId="77777777" w:rsidR="00373332" w:rsidRPr="00D20E88" w:rsidRDefault="00373332" w:rsidP="00373332">
      <w:pPr>
        <w:pStyle w:val="B1"/>
        <w:rPr>
          <w:lang w:val="en-US"/>
        </w:rPr>
      </w:pPr>
      <w:r w:rsidRPr="00D20E88">
        <w:t>-</w:t>
      </w:r>
      <w:r w:rsidRPr="00D20E88">
        <w:tab/>
      </w:r>
      <w:r w:rsidRPr="00D20E88">
        <w:rPr>
          <w:lang w:val="en-US"/>
        </w:rPr>
        <w:t>the DCI formats 0_0/1_0 for the first PDCCH candidate and the DCI formats 0_0/1_0 for the second PDCCH candidate have CRC scrambled by either C-RNTI, or MCS-C-RNTI, or CS-RNTI</w:t>
      </w:r>
    </w:p>
    <w:p w14:paraId="7A6F523C" w14:textId="77777777" w:rsidR="00373332" w:rsidRPr="00D20E88" w:rsidRDefault="00373332" w:rsidP="00DE1E44">
      <w:pPr>
        <w:rPr>
          <w:lang w:val="en-US"/>
        </w:rPr>
      </w:pPr>
      <w:r w:rsidRPr="00D20E88">
        <w:rPr>
          <w:lang w:val="en-US"/>
        </w:rPr>
        <w:t>the UE decodes only the DCI formats 0_0/1_0 associated with the first PDCCH candidate.</w:t>
      </w:r>
    </w:p>
    <w:p w14:paraId="1BB2B26C" w14:textId="77777777" w:rsidR="00373332" w:rsidRPr="000048A0" w:rsidRDefault="00373332" w:rsidP="00373332">
      <w:r w:rsidRPr="000048A0">
        <w:rPr>
          <w:lang w:eastAsia="ja-JP"/>
        </w:rPr>
        <w:t xml:space="preserve">If a UE detects a DCI format with inconsistent information, the UE discards </w:t>
      </w:r>
      <w:r w:rsidRPr="000048A0">
        <w:rPr>
          <w:bCs/>
          <w:lang w:eastAsia="ja-JP"/>
        </w:rPr>
        <w:t>all</w:t>
      </w:r>
      <w:r w:rsidRPr="000048A0">
        <w:rPr>
          <w:lang w:eastAsia="ja-JP"/>
        </w:rPr>
        <w:t xml:space="preserve"> the information in the DCI format.</w:t>
      </w:r>
    </w:p>
    <w:p w14:paraId="31739EFE" w14:textId="3F61F825" w:rsidR="00665760" w:rsidRDefault="00665760" w:rsidP="00665760">
      <w:r>
        <w:t xml:space="preserve">A UE configured with a bandwidth part indicator in </w:t>
      </w:r>
      <w:r w:rsidR="00BC7FF5">
        <w:t xml:space="preserve">a </w:t>
      </w:r>
      <w:r>
        <w:t xml:space="preserve">DCI format determines, in case of an active DL BWP or of an active UL BWP change, </w:t>
      </w:r>
      <w:r w:rsidR="00BC7FF5">
        <w:t xml:space="preserve">that </w:t>
      </w:r>
      <w:r>
        <w:t xml:space="preserve">the information </w:t>
      </w:r>
      <w:r w:rsidR="00BC7FF5" w:rsidRPr="00EE027F">
        <w:t>in the DCI format is</w:t>
      </w:r>
      <w:r w:rsidR="00BC7FF5">
        <w:t xml:space="preserve"> </w:t>
      </w:r>
      <w:r>
        <w:t xml:space="preserve">applicable to the new active DL BWP or UL BWP, respectively, as described </w:t>
      </w:r>
      <w:r w:rsidR="006F5F9E">
        <w:t>in clause</w:t>
      </w:r>
      <w:r>
        <w:t xml:space="preserve"> 12.</w:t>
      </w:r>
    </w:p>
    <w:p w14:paraId="3BA7543C" w14:textId="277B9084" w:rsidR="00665760" w:rsidRDefault="00665760" w:rsidP="00665760">
      <w:r>
        <w:rPr>
          <w:lang w:val="en-US" w:eastAsia="zh-CN"/>
        </w:rPr>
        <w:t xml:space="preserve">For unpaired spectrum operation, if a UE is not configured for PUSCH/PUCCH transmission on serving cell </w:t>
      </w:r>
      <m:oMath>
        <m:sSub>
          <m:sSubPr>
            <m:ctrlPr>
              <w:rPr>
                <w:rFonts w:ascii="Cambria Math" w:hAnsi="Cambria Math"/>
                <w:i/>
                <w:lang w:val="en-US" w:eastAsia="zh-CN"/>
              </w:rPr>
            </m:ctrlPr>
          </m:sSubPr>
          <m:e>
            <m:r>
              <w:rPr>
                <w:rFonts w:ascii="Cambria Math" w:hAnsi="Cambria Math"/>
                <w:lang w:val="en-US" w:eastAsia="zh-CN"/>
              </w:rPr>
              <m:t>c</m:t>
            </m:r>
          </m:e>
          <m:sub>
            <m:r>
              <w:rPr>
                <w:rFonts w:ascii="Cambria Math" w:hAnsi="Cambria Math"/>
                <w:lang w:val="en-US" w:eastAsia="zh-CN"/>
              </w:rPr>
              <m:t>2</m:t>
            </m:r>
          </m:sub>
        </m:sSub>
      </m:oMath>
      <w:r>
        <w:rPr>
          <w:lang w:val="en-US" w:eastAsia="zh-CN"/>
        </w:rPr>
        <w:t xml:space="preserve">, the UE does not expect to monitor PDCCH on serving cell </w:t>
      </w:r>
      <m:oMath>
        <m:sSub>
          <m:sSubPr>
            <m:ctrlPr>
              <w:rPr>
                <w:rFonts w:ascii="Cambria Math" w:hAnsi="Cambria Math"/>
                <w:i/>
                <w:lang w:val="en-US" w:eastAsia="zh-CN"/>
              </w:rPr>
            </m:ctrlPr>
          </m:sSubPr>
          <m:e>
            <m:r>
              <w:rPr>
                <w:rFonts w:ascii="Cambria Math" w:hAnsi="Cambria Math"/>
                <w:lang w:val="en-US" w:eastAsia="zh-CN"/>
              </w:rPr>
              <m:t>c</m:t>
            </m:r>
          </m:e>
          <m:sub>
            <m:r>
              <w:rPr>
                <w:rFonts w:ascii="Cambria Math" w:hAnsi="Cambria Math"/>
                <w:lang w:val="en-US" w:eastAsia="zh-CN"/>
              </w:rPr>
              <m:t>1</m:t>
            </m:r>
          </m:sub>
        </m:sSub>
      </m:oMath>
      <w:r>
        <w:rPr>
          <w:lang w:val="en-US" w:eastAsia="zh-CN"/>
        </w:rPr>
        <w:t xml:space="preserve"> if the PDCCH overlaps in time with SRS transmission </w:t>
      </w:r>
      <w:r>
        <w:t xml:space="preserve">(including any interruption due to uplink or downlink RF retuning time [10, TS 38.133]) on serving cell </w:t>
      </w:r>
      <m:oMath>
        <m:sSub>
          <m:sSubPr>
            <m:ctrlPr>
              <w:rPr>
                <w:rFonts w:ascii="Cambria Math" w:hAnsi="Cambria Math"/>
                <w:i/>
                <w:lang w:val="en-US" w:eastAsia="zh-CN"/>
              </w:rPr>
            </m:ctrlPr>
          </m:sSubPr>
          <m:e>
            <m:r>
              <w:rPr>
                <w:rFonts w:ascii="Cambria Math" w:hAnsi="Cambria Math"/>
                <w:lang w:val="en-US" w:eastAsia="zh-CN"/>
              </w:rPr>
              <m:t>c</m:t>
            </m:r>
          </m:e>
          <m:sub>
            <m:r>
              <w:rPr>
                <w:rFonts w:ascii="Cambria Math" w:hAnsi="Cambria Math"/>
                <w:lang w:val="en-US" w:eastAsia="zh-CN"/>
              </w:rPr>
              <m:t>2</m:t>
            </m:r>
          </m:sub>
        </m:sSub>
      </m:oMath>
      <w:r>
        <w:t xml:space="preserve"> and if the UE is not capable of simultaneous reception and </w:t>
      </w:r>
      <w:r>
        <w:rPr>
          <w:lang w:val="en-US" w:eastAsia="zh-CN"/>
        </w:rPr>
        <w:t xml:space="preserve">transmission </w:t>
      </w:r>
      <w:r>
        <w:t xml:space="preserve">on serving cell </w:t>
      </w:r>
      <m:oMath>
        <m:sSub>
          <m:sSubPr>
            <m:ctrlPr>
              <w:rPr>
                <w:rFonts w:ascii="Cambria Math" w:hAnsi="Cambria Math"/>
                <w:i/>
                <w:lang w:val="en-US" w:eastAsia="zh-CN"/>
              </w:rPr>
            </m:ctrlPr>
          </m:sSubPr>
          <m:e>
            <m:r>
              <w:rPr>
                <w:rFonts w:ascii="Cambria Math" w:hAnsi="Cambria Math"/>
                <w:lang w:val="en-US" w:eastAsia="zh-CN"/>
              </w:rPr>
              <m:t>c</m:t>
            </m:r>
          </m:e>
          <m:sub>
            <m:r>
              <w:rPr>
                <w:rFonts w:ascii="Cambria Math" w:hAnsi="Cambria Math"/>
                <w:lang w:val="en-US" w:eastAsia="zh-CN"/>
              </w:rPr>
              <m:t>1</m:t>
            </m:r>
          </m:sub>
        </m:sSub>
      </m:oMath>
      <w:r>
        <w:t xml:space="preserve">and serving cell </w:t>
      </w:r>
      <m:oMath>
        <m:sSub>
          <m:sSubPr>
            <m:ctrlPr>
              <w:rPr>
                <w:rFonts w:ascii="Cambria Math" w:hAnsi="Cambria Math"/>
                <w:i/>
                <w:lang w:val="en-US" w:eastAsia="zh-CN"/>
              </w:rPr>
            </m:ctrlPr>
          </m:sSubPr>
          <m:e>
            <m:r>
              <w:rPr>
                <w:rFonts w:ascii="Cambria Math" w:hAnsi="Cambria Math"/>
                <w:lang w:val="en-US" w:eastAsia="zh-CN"/>
              </w:rPr>
              <m:t>c</m:t>
            </m:r>
          </m:e>
          <m:sub>
            <m:r>
              <w:rPr>
                <w:rFonts w:ascii="Cambria Math" w:hAnsi="Cambria Math"/>
                <w:lang w:val="en-US" w:eastAsia="zh-CN"/>
              </w:rPr>
              <m:t>2</m:t>
            </m:r>
          </m:sub>
        </m:sSub>
      </m:oMath>
      <w:r w:rsidRPr="00E9040D">
        <w:t>.</w:t>
      </w:r>
      <w:r w:rsidRPr="009919DB">
        <w:t xml:space="preserve"> </w:t>
      </w:r>
    </w:p>
    <w:p w14:paraId="1D575319" w14:textId="2596FBA4" w:rsidR="00665760" w:rsidRDefault="00665760" w:rsidP="00665760">
      <w:r>
        <w:t xml:space="preserve">If a UE is provided </w:t>
      </w:r>
      <w:r w:rsidR="002B5188" w:rsidRPr="00CE20CD">
        <w:rPr>
          <w:i/>
        </w:rPr>
        <w:t>resource</w:t>
      </w:r>
      <w:r w:rsidR="002B5188">
        <w:rPr>
          <w:i/>
        </w:rPr>
        <w:t>B</w:t>
      </w:r>
      <w:r w:rsidR="002B5188" w:rsidRPr="00CE20CD">
        <w:rPr>
          <w:i/>
        </w:rPr>
        <w:t>locks</w:t>
      </w:r>
      <w:r w:rsidR="002B5188">
        <w:t xml:space="preserve"> </w:t>
      </w:r>
      <w:r>
        <w:t>and s</w:t>
      </w:r>
      <w:r w:rsidRPr="00CE20CD">
        <w:rPr>
          <w:i/>
        </w:rPr>
        <w:t>ymbolsInResourceBlock</w:t>
      </w:r>
      <w:r>
        <w:t xml:space="preserve"> in </w:t>
      </w:r>
      <w:r w:rsidRPr="00CE20CD">
        <w:rPr>
          <w:i/>
        </w:rPr>
        <w:t>RateMatchPattern</w:t>
      </w:r>
      <w:r>
        <w:t xml:space="preserve">, or if the UE is additionally provided </w:t>
      </w:r>
      <w:r w:rsidRPr="00CE20CD">
        <w:rPr>
          <w:i/>
        </w:rPr>
        <w:t>periodicityAndPattern</w:t>
      </w:r>
      <w:r>
        <w:t xml:space="preserve"> in </w:t>
      </w:r>
      <w:r w:rsidRPr="00CE20CD">
        <w:rPr>
          <w:i/>
        </w:rPr>
        <w:t>RateMatchPattern</w:t>
      </w:r>
      <w:r>
        <w:t xml:space="preserve">, the UE can determine a set of RBs in symbols of a slot that are not available for PDSCH reception </w:t>
      </w:r>
      <w:r w:rsidR="00B45247" w:rsidRPr="0088027F">
        <w:t xml:space="preserve">scheduled by a DCI format </w:t>
      </w:r>
      <w:r>
        <w:t xml:space="preserve">as described in [6, TS 38.214]. If a PDCCH candidate </w:t>
      </w:r>
      <w:r w:rsidR="00B45247" w:rsidRPr="0088027F">
        <w:t>that provides a DCI format</w:t>
      </w:r>
      <w:r>
        <w:t xml:space="preserve"> is mapped to one or more </w:t>
      </w:r>
      <w:r w:rsidR="00050DF4">
        <w:t>REs</w:t>
      </w:r>
      <w:r>
        <w:t xml:space="preserve"> that overlap with </w:t>
      </w:r>
      <w:r w:rsidR="00050DF4">
        <w:t>REs</w:t>
      </w:r>
      <w:r>
        <w:t xml:space="preserve"> of any RB in the set of RBs in symbols of the slot, the UE does not expect to monitor the PDCCH candidate. </w:t>
      </w:r>
    </w:p>
    <w:p w14:paraId="39D48587" w14:textId="74F2BF81" w:rsidR="00C66B23" w:rsidRDefault="00C66B23" w:rsidP="00665760">
      <w:r>
        <w:t>A</w:t>
      </w:r>
      <w:r w:rsidRPr="00D53B68">
        <w:t xml:space="preserve"> UE does not expect to be configured with </w:t>
      </w:r>
      <w:r w:rsidRPr="00DF5FCF">
        <w:rPr>
          <w:i/>
          <w:iCs/>
        </w:rPr>
        <w:t>dci-FormatsSL</w:t>
      </w:r>
      <w:r w:rsidRPr="00D53B68">
        <w:t xml:space="preserve"> and </w:t>
      </w:r>
      <w:r w:rsidRPr="00DF5FCF">
        <w:rPr>
          <w:i/>
          <w:iCs/>
        </w:rPr>
        <w:t>dci-FormatsExt</w:t>
      </w:r>
      <w:r w:rsidRPr="00D53B68">
        <w:t xml:space="preserve"> in a same USS</w:t>
      </w:r>
      <w:r>
        <w:t>.</w:t>
      </w:r>
    </w:p>
    <w:p w14:paraId="26A66D21" w14:textId="77777777" w:rsidR="008B2BDE" w:rsidRPr="00B916EC" w:rsidRDefault="008B2BDE" w:rsidP="008B2BDE">
      <w:pPr>
        <w:pStyle w:val="Heading3"/>
      </w:pPr>
      <w:bookmarkStart w:id="670" w:name="_Toc83289682"/>
      <w:bookmarkStart w:id="671" w:name="_Toc161999144"/>
      <w:r>
        <w:t>10</w:t>
      </w:r>
      <w:r w:rsidRPr="00B916EC">
        <w:t>.</w:t>
      </w:r>
      <w:r>
        <w:t>1</w:t>
      </w:r>
      <w:r w:rsidRPr="00B916EC">
        <w:t>.</w:t>
      </w:r>
      <w:r>
        <w:t>1</w:t>
      </w:r>
      <w:r w:rsidRPr="00B916EC">
        <w:tab/>
      </w:r>
      <w:bookmarkEnd w:id="670"/>
      <w:r>
        <w:t>Self-carrier and cross-carrier scheduling on the primary cell</w:t>
      </w:r>
      <w:bookmarkEnd w:id="671"/>
    </w:p>
    <w:p w14:paraId="59B5516B" w14:textId="4F75A631" w:rsidR="008B2BDE" w:rsidRDefault="008B2BDE" w:rsidP="008B2BDE">
      <w:pPr>
        <w:rPr>
          <w:rFonts w:cs="Times"/>
        </w:rPr>
      </w:pPr>
      <w:r>
        <w:rPr>
          <w:noProof/>
          <w:lang w:eastAsia="zh-CN"/>
        </w:rPr>
        <w:t xml:space="preserve">A UE can be configured for scheduling on the primary cell from the primary cell and from a secondary cell [12, TS 38.331]. The UE is either not provided </w:t>
      </w:r>
      <w:r w:rsidRPr="001B2B2C">
        <w:rPr>
          <w:i/>
        </w:rPr>
        <w:t>monitoringCapabilityConfig</w:t>
      </w:r>
      <w:r>
        <w:rPr>
          <w:iCs/>
        </w:rPr>
        <w:t xml:space="preserve"> </w:t>
      </w:r>
      <w:r w:rsidR="00FB6107">
        <w:rPr>
          <w:iCs/>
        </w:rPr>
        <w:t xml:space="preserve">for </w:t>
      </w:r>
      <w:r w:rsidR="00FB6107">
        <w:rPr>
          <w:lang w:eastAsia="zh-CN"/>
        </w:rPr>
        <w:t xml:space="preserve">the primary cell </w:t>
      </w:r>
      <w:r w:rsidR="00FB6107">
        <w:rPr>
          <w:rFonts w:hint="eastAsia"/>
          <w:lang w:val="en-US" w:eastAsia="zh-CN"/>
        </w:rPr>
        <w:t>or</w:t>
      </w:r>
      <w:r w:rsidR="00FB6107">
        <w:rPr>
          <w:lang w:eastAsia="zh-CN"/>
        </w:rPr>
        <w:t xml:space="preserve"> for the secondary cell,</w:t>
      </w:r>
      <w:r w:rsidR="00FB6107">
        <w:rPr>
          <w:iCs/>
        </w:rPr>
        <w:t xml:space="preserve"> </w:t>
      </w:r>
      <w:r>
        <w:rPr>
          <w:iCs/>
        </w:rPr>
        <w:t xml:space="preserve">or the </w:t>
      </w:r>
      <w:r>
        <w:rPr>
          <w:iCs/>
        </w:rPr>
        <w:lastRenderedPageBreak/>
        <w:t xml:space="preserve">UE is </w:t>
      </w:r>
      <w:r>
        <w:rPr>
          <w:noProof/>
          <w:lang w:eastAsia="zh-CN"/>
        </w:rPr>
        <w:t xml:space="preserve">provided only </w:t>
      </w:r>
      <w:r w:rsidRPr="001B2B2C">
        <w:rPr>
          <w:i/>
        </w:rPr>
        <w:t>monitoringCapabilityConfig</w:t>
      </w:r>
      <w:r>
        <w:rPr>
          <w:i/>
        </w:rPr>
        <w:t xml:space="preserve"> </w:t>
      </w:r>
      <w:r>
        <w:t xml:space="preserve">= </w:t>
      </w:r>
      <w:r>
        <w:rPr>
          <w:i/>
        </w:rPr>
        <w:t>r15monitoringcapability</w:t>
      </w:r>
      <w:r>
        <w:rPr>
          <w:iCs/>
        </w:rPr>
        <w:t xml:space="preserve"> for </w:t>
      </w:r>
      <w:r>
        <w:rPr>
          <w:noProof/>
          <w:lang w:eastAsia="zh-CN"/>
        </w:rPr>
        <w:t>the primary cell and for the secondary cell</w:t>
      </w:r>
      <w:r w:rsidRPr="006125A0">
        <w:rPr>
          <w:rFonts w:cs="Times"/>
        </w:rPr>
        <w:t>.</w:t>
      </w:r>
      <w:r>
        <w:rPr>
          <w:rFonts w:cs="Times"/>
        </w:rPr>
        <w:t xml:space="preserve"> The UE is not provided </w:t>
      </w:r>
      <w:r>
        <w:rPr>
          <w:i/>
          <w:iCs/>
          <w:lang w:val="en-US"/>
        </w:rPr>
        <w:t>coreset</w:t>
      </w:r>
      <w:r w:rsidRPr="000734F6">
        <w:rPr>
          <w:i/>
          <w:iCs/>
        </w:rPr>
        <w:t>PoolIndex</w:t>
      </w:r>
      <w:r>
        <w:rPr>
          <w:lang w:val="en-US"/>
        </w:rPr>
        <w:t xml:space="preserve"> on the primary cell or on the secondary cell.</w:t>
      </w:r>
    </w:p>
    <w:p w14:paraId="1C016C2F" w14:textId="77777777" w:rsidR="008B2BDE" w:rsidRPr="00076B4A" w:rsidRDefault="008B2BDE" w:rsidP="008B2BDE">
      <w:pPr>
        <w:rPr>
          <w:iCs/>
          <w:noProof/>
          <w:lang w:eastAsia="zh-CN"/>
        </w:rPr>
      </w:pPr>
      <w:r>
        <w:rPr>
          <w:rFonts w:cs="Times"/>
        </w:rPr>
        <w:t xml:space="preserve">The SCS configuration </w:t>
      </w:r>
      <m:oMath>
        <m:sSub>
          <m:sSubPr>
            <m:ctrlPr>
              <w:rPr>
                <w:rFonts w:ascii="Cambria Math" w:hAnsi="Cambria Math" w:cs="Times"/>
                <w:i/>
              </w:rPr>
            </m:ctrlPr>
          </m:sSubPr>
          <m:e>
            <m:r>
              <w:rPr>
                <w:rFonts w:ascii="Cambria Math" w:hAnsi="Cambria Math" w:cs="Times"/>
              </w:rPr>
              <m:t>μ</m:t>
            </m:r>
          </m:e>
          <m:sub>
            <m:r>
              <w:rPr>
                <w:rFonts w:ascii="Cambria Math" w:hAnsi="Cambria Math" w:cs="Times"/>
              </w:rPr>
              <m:t>P</m:t>
            </m:r>
          </m:sub>
        </m:sSub>
      </m:oMath>
      <w:r>
        <w:rPr>
          <w:rFonts w:cs="Times"/>
        </w:rPr>
        <w:t xml:space="preserve"> for the active DL BWP on the primary cell is smaller than or equal to the SCS configuration </w:t>
      </w:r>
      <m:oMath>
        <m:sSub>
          <m:sSubPr>
            <m:ctrlPr>
              <w:rPr>
                <w:rFonts w:ascii="Cambria Math" w:hAnsi="Cambria Math" w:cs="Times"/>
                <w:i/>
              </w:rPr>
            </m:ctrlPr>
          </m:sSubPr>
          <m:e>
            <m:r>
              <w:rPr>
                <w:rFonts w:ascii="Cambria Math" w:hAnsi="Cambria Math" w:cs="Times"/>
              </w:rPr>
              <m:t>μ</m:t>
            </m:r>
          </m:e>
          <m:sub>
            <m:r>
              <w:rPr>
                <w:rFonts w:ascii="Cambria Math" w:hAnsi="Cambria Math" w:cs="Times"/>
              </w:rPr>
              <m:t>S</m:t>
            </m:r>
          </m:sub>
        </m:sSub>
      </m:oMath>
      <w:r>
        <w:rPr>
          <w:rFonts w:cs="Times"/>
        </w:rPr>
        <w:t xml:space="preserve"> for the active DL BWP on the secondary cell.</w:t>
      </w:r>
    </w:p>
    <w:p w14:paraId="7DA019A4" w14:textId="7AF04F35" w:rsidR="008B2BDE" w:rsidRDefault="00B90D47" w:rsidP="008B2BDE">
      <w:r>
        <w:t>If a</w:t>
      </w:r>
      <w:r w:rsidRPr="003C088C">
        <w:t xml:space="preserve"> UE </w:t>
      </w:r>
      <w:r>
        <w:t xml:space="preserve">indicates capability </w:t>
      </w:r>
      <w:r w:rsidR="00FB6107" w:rsidRPr="005E12A4">
        <w:rPr>
          <w:i/>
        </w:rPr>
        <w:t>disablingScalingFactorDeactSCell</w:t>
      </w:r>
      <w:r w:rsidR="0018257B">
        <w:t xml:space="preserve"> </w:t>
      </w:r>
      <w:r w:rsidRPr="003C088C">
        <w:t>[18, TS 38.306] and the secondar</w:t>
      </w:r>
      <w:r>
        <w:t>y cell is deactivated, or if the</w:t>
      </w:r>
      <w:r w:rsidRPr="003C088C">
        <w:t xml:space="preserve"> UE indicates capability </w:t>
      </w:r>
      <w:r w:rsidR="00FB6107" w:rsidRPr="005E12A4">
        <w:rPr>
          <w:i/>
        </w:rPr>
        <w:t>disablingScalingFactorDormantSCell</w:t>
      </w:r>
      <w:r w:rsidRPr="003C088C">
        <w:t xml:space="preserve"> [18, TS 38.306] and the active DL BWP of the secondary cell is a dormant DL BWP for the </w:t>
      </w:r>
      <w:r>
        <w:t>UE,</w:t>
      </w:r>
      <w:r w:rsidR="00613806">
        <w:t xml:space="preserve"> </w:t>
      </w:r>
      <m:oMath>
        <m:r>
          <w:rPr>
            <w:rFonts w:ascii="Cambria Math" w:hAnsi="Cambria Math"/>
          </w:rPr>
          <m:t>α=1</m:t>
        </m:r>
      </m:oMath>
      <w:r w:rsidRPr="003C088C">
        <w:t xml:space="preserve"> </w:t>
      </w:r>
      <w:r>
        <w:t>applies</w:t>
      </w:r>
      <w:r w:rsidRPr="003C088C">
        <w:t xml:space="preserve"> for the procedures described in </w:t>
      </w:r>
      <w:r>
        <w:t xml:space="preserve">the </w:t>
      </w:r>
      <w:r w:rsidRPr="003C088C">
        <w:t>remaining of this clause.</w:t>
      </w:r>
      <w:r w:rsidR="00613806">
        <w:t xml:space="preserve"> </w:t>
      </w:r>
      <w:r w:rsidR="008B2BDE" w:rsidRPr="00400626">
        <w:t xml:space="preserve">If </w:t>
      </w:r>
      <m:oMath>
        <m:sSub>
          <m:sSubPr>
            <m:ctrlPr>
              <w:rPr>
                <w:rFonts w:ascii="Cambria Math" w:hAnsi="Cambria Math"/>
                <w:i/>
              </w:rPr>
            </m:ctrlPr>
          </m:sSubPr>
          <m:e>
            <m:r>
              <w:rPr>
                <w:rFonts w:ascii="Cambria Math" w:hAnsi="Cambria Math"/>
              </w:rPr>
              <m:t>μ</m:t>
            </m:r>
          </m:e>
          <m:sub>
            <m:r>
              <w:rPr>
                <w:rFonts w:ascii="Cambria Math" w:hAnsi="Cambria Math"/>
              </w:rPr>
              <m:t>P</m:t>
            </m:r>
          </m:sub>
        </m:sSub>
        <m:r>
          <w:rPr>
            <w:rFonts w:ascii="Cambria Math" w:hAnsi="Cambria Math"/>
          </w:rPr>
          <m:t>&lt;</m:t>
        </m:r>
        <m:sSub>
          <m:sSubPr>
            <m:ctrlPr>
              <w:rPr>
                <w:rFonts w:ascii="Cambria Math" w:hAnsi="Cambria Math"/>
                <w:i/>
              </w:rPr>
            </m:ctrlPr>
          </m:sSubPr>
          <m:e>
            <m:r>
              <w:rPr>
                <w:rFonts w:ascii="Cambria Math" w:hAnsi="Cambria Math"/>
              </w:rPr>
              <m:t>μ</m:t>
            </m:r>
          </m:e>
          <m:sub>
            <m:r>
              <w:rPr>
                <w:rFonts w:ascii="Cambria Math" w:hAnsi="Cambria Math"/>
              </w:rPr>
              <m:t>S</m:t>
            </m:r>
          </m:sub>
        </m:sSub>
      </m:oMath>
      <w:r w:rsidR="008B2BDE" w:rsidRPr="00400626">
        <w:t xml:space="preserve">, the UE determines </w:t>
      </w:r>
      <m:oMath>
        <m:sSubSup>
          <m:sSubSupPr>
            <m:ctrlPr>
              <w:rPr>
                <w:rFonts w:ascii="Cambria Math" w:hAnsi="Cambria Math"/>
                <w:i/>
              </w:rPr>
            </m:ctrlPr>
          </m:sSubSupPr>
          <m:e>
            <m:r>
              <w:rPr>
                <w:rFonts w:ascii="Cambria Math" w:hAnsi="Cambria Math"/>
              </w:rPr>
              <m:t>M</m:t>
            </m:r>
          </m:e>
          <m:sub>
            <m:r>
              <m:rPr>
                <m:nor/>
              </m:rPr>
              <m:t>PDCCH</m:t>
            </m:r>
            <m:ctrlPr>
              <w:rPr>
                <w:rFonts w:ascii="Cambria Math" w:hAnsi="Cambria Math"/>
              </w:rPr>
            </m:ctrlPr>
          </m:sub>
          <m:sup>
            <m:r>
              <m:rPr>
                <m:nor/>
              </m:rPr>
              <m:t>total,slot,</m:t>
            </m:r>
            <m:sSub>
              <m:sSubPr>
                <m:ctrlPr>
                  <w:rPr>
                    <w:rFonts w:ascii="Cambria Math" w:hAnsi="Cambria Math"/>
                    <w:i/>
                  </w:rPr>
                </m:ctrlPr>
              </m:sSubPr>
              <m:e>
                <m:r>
                  <w:rPr>
                    <w:rFonts w:ascii="Cambria Math" w:hAnsi="Cambria Math"/>
                  </w:rPr>
                  <m:t>μ</m:t>
                </m:r>
              </m:e>
              <m:sub>
                <m:r>
                  <w:rPr>
                    <w:rFonts w:ascii="Cambria Math" w:hAnsi="Cambria Math"/>
                  </w:rPr>
                  <m:t>P</m:t>
                </m:r>
              </m:sub>
            </m:sSub>
            <m:ctrlPr>
              <w:rPr>
                <w:rFonts w:ascii="Cambria Math" w:hAnsi="Cambria Math"/>
              </w:rPr>
            </m:ctrlPr>
          </m:sup>
        </m:sSubSup>
      </m:oMath>
      <w:r w:rsidR="008B2BDE" w:rsidRPr="00400626">
        <w:t xml:space="preserve"> and </w:t>
      </w:r>
      <m:oMath>
        <m:sSubSup>
          <m:sSubSupPr>
            <m:ctrlPr>
              <w:rPr>
                <w:rFonts w:ascii="Cambria Math" w:hAnsi="Cambria Math"/>
                <w:i/>
              </w:rPr>
            </m:ctrlPr>
          </m:sSubSupPr>
          <m:e>
            <m:r>
              <w:rPr>
                <w:rFonts w:ascii="Cambria Math" w:hAnsi="Cambria Math"/>
              </w:rPr>
              <m:t>C</m:t>
            </m:r>
          </m:e>
          <m:sub>
            <m:r>
              <m:rPr>
                <m:nor/>
              </m:rPr>
              <m:t>PDCCH</m:t>
            </m:r>
            <m:ctrlPr>
              <w:rPr>
                <w:rFonts w:ascii="Cambria Math" w:hAnsi="Cambria Math"/>
              </w:rPr>
            </m:ctrlPr>
          </m:sub>
          <m:sup>
            <m:r>
              <m:rPr>
                <m:nor/>
              </m:rPr>
              <m:t>total,slot,</m:t>
            </m:r>
            <m:sSub>
              <m:sSubPr>
                <m:ctrlPr>
                  <w:rPr>
                    <w:rFonts w:ascii="Cambria Math" w:hAnsi="Cambria Math"/>
                    <w:i/>
                  </w:rPr>
                </m:ctrlPr>
              </m:sSubPr>
              <m:e>
                <m:r>
                  <w:rPr>
                    <w:rFonts w:ascii="Cambria Math" w:hAnsi="Cambria Math"/>
                  </w:rPr>
                  <m:t>μ</m:t>
                </m:r>
              </m:e>
              <m:sub>
                <m:r>
                  <w:rPr>
                    <w:rFonts w:ascii="Cambria Math" w:hAnsi="Cambria Math"/>
                  </w:rPr>
                  <m:t>P</m:t>
                </m:r>
              </m:sub>
            </m:sSub>
            <m:ctrlPr>
              <w:rPr>
                <w:rFonts w:ascii="Cambria Math" w:hAnsi="Cambria Math"/>
              </w:rPr>
            </m:ctrlPr>
          </m:sup>
        </m:sSubSup>
      </m:oMath>
      <w:r w:rsidR="008B2BDE">
        <w:t>,</w:t>
      </w:r>
      <w:r w:rsidR="008B2BDE" w:rsidRPr="00400626">
        <w:t xml:space="preserve"> </w:t>
      </w:r>
      <w:r w:rsidR="008B2BDE">
        <w:t xml:space="preserve">and determines </w:t>
      </w:r>
      <m:oMath>
        <m:sSubSup>
          <m:sSubSupPr>
            <m:ctrlPr>
              <w:rPr>
                <w:rFonts w:ascii="Cambria Math" w:hAnsi="Cambria Math"/>
                <w:i/>
              </w:rPr>
            </m:ctrlPr>
          </m:sSubSupPr>
          <m:e>
            <m:r>
              <w:rPr>
                <w:rFonts w:ascii="Cambria Math" w:hAnsi="Cambria Math"/>
              </w:rPr>
              <m:t>M</m:t>
            </m:r>
          </m:e>
          <m:sub>
            <m:r>
              <m:rPr>
                <m:nor/>
              </m:rPr>
              <m:t>PDCCH</m:t>
            </m:r>
            <m:ctrlPr>
              <w:rPr>
                <w:rFonts w:ascii="Cambria Math" w:hAnsi="Cambria Math"/>
              </w:rPr>
            </m:ctrlPr>
          </m:sub>
          <m:sup>
            <m:r>
              <m:rPr>
                <m:nor/>
              </m:rPr>
              <m:t>total,slot,</m:t>
            </m:r>
            <m:sSub>
              <m:sSubPr>
                <m:ctrlPr>
                  <w:rPr>
                    <w:rFonts w:ascii="Cambria Math" w:hAnsi="Cambria Math"/>
                    <w:i/>
                  </w:rPr>
                </m:ctrlPr>
              </m:sSubPr>
              <m:e>
                <m:r>
                  <w:rPr>
                    <w:rFonts w:ascii="Cambria Math" w:hAnsi="Cambria Math"/>
                  </w:rPr>
                  <m:t>μ</m:t>
                </m:r>
              </m:e>
              <m:sub>
                <m:r>
                  <w:rPr>
                    <w:rFonts w:ascii="Cambria Math" w:hAnsi="Cambria Math"/>
                  </w:rPr>
                  <m:t>S</m:t>
                </m:r>
              </m:sub>
            </m:sSub>
            <m:ctrlPr>
              <w:rPr>
                <w:rFonts w:ascii="Cambria Math" w:hAnsi="Cambria Math"/>
              </w:rPr>
            </m:ctrlPr>
          </m:sup>
        </m:sSubSup>
      </m:oMath>
      <w:r w:rsidR="008B2BDE" w:rsidRPr="00400626">
        <w:t xml:space="preserve"> and </w:t>
      </w:r>
      <m:oMath>
        <m:sSubSup>
          <m:sSubSupPr>
            <m:ctrlPr>
              <w:rPr>
                <w:rFonts w:ascii="Cambria Math" w:hAnsi="Cambria Math"/>
                <w:i/>
              </w:rPr>
            </m:ctrlPr>
          </m:sSubSupPr>
          <m:e>
            <m:r>
              <w:rPr>
                <w:rFonts w:ascii="Cambria Math" w:hAnsi="Cambria Math"/>
              </w:rPr>
              <m:t>C</m:t>
            </m:r>
          </m:e>
          <m:sub>
            <m:r>
              <m:rPr>
                <m:nor/>
              </m:rPr>
              <m:t>PDCCH</m:t>
            </m:r>
            <m:ctrlPr>
              <w:rPr>
                <w:rFonts w:ascii="Cambria Math" w:hAnsi="Cambria Math"/>
              </w:rPr>
            </m:ctrlPr>
          </m:sub>
          <m:sup>
            <m:r>
              <m:rPr>
                <m:nor/>
              </m:rPr>
              <m:t>total,slot,</m:t>
            </m:r>
            <m:sSub>
              <m:sSubPr>
                <m:ctrlPr>
                  <w:rPr>
                    <w:rFonts w:ascii="Cambria Math" w:hAnsi="Cambria Math"/>
                    <w:i/>
                  </w:rPr>
                </m:ctrlPr>
              </m:sSubPr>
              <m:e>
                <m:r>
                  <w:rPr>
                    <w:rFonts w:ascii="Cambria Math" w:hAnsi="Cambria Math"/>
                  </w:rPr>
                  <m:t>μ</m:t>
                </m:r>
              </m:e>
              <m:sub>
                <m:r>
                  <w:rPr>
                    <w:rFonts w:ascii="Cambria Math" w:hAnsi="Cambria Math"/>
                  </w:rPr>
                  <m:t>S</m:t>
                </m:r>
              </m:sub>
            </m:sSub>
            <m:ctrlPr>
              <w:rPr>
                <w:rFonts w:ascii="Cambria Math" w:hAnsi="Cambria Math"/>
              </w:rPr>
            </m:ctrlPr>
          </m:sup>
        </m:sSubSup>
      </m:oMath>
      <w:r w:rsidR="008B2BDE">
        <w:t>,</w:t>
      </w:r>
      <w:r w:rsidR="008B2BDE" w:rsidRPr="00400626">
        <w:t xml:space="preserve"> by </w:t>
      </w:r>
      <w:r w:rsidR="008B2BDE">
        <w:t>including</w:t>
      </w:r>
      <w:r w:rsidR="008B2BDE" w:rsidRPr="00400626">
        <w:t xml:space="preserve"> the</w:t>
      </w:r>
      <w:r w:rsidR="008B2BDE">
        <w:t xml:space="preserve"> primary cell only in the </w:t>
      </w:r>
      <m:oMath>
        <m:sSubSup>
          <m:sSubSupPr>
            <m:ctrlPr>
              <w:rPr>
                <w:rFonts w:ascii="Cambria Math" w:hAnsi="Cambria Math"/>
                <w:i/>
              </w:rPr>
            </m:ctrlPr>
          </m:sSubSupPr>
          <m:e>
            <m:r>
              <w:rPr>
                <w:rFonts w:ascii="Cambria Math" w:hAnsi="Cambria Math"/>
              </w:rPr>
              <m:t>N</m:t>
            </m:r>
          </m:e>
          <m:sub>
            <m:r>
              <m:rPr>
                <m:nor/>
              </m:rPr>
              <m:t>cells,0</m:t>
            </m:r>
            <m:ctrlPr>
              <w:rPr>
                <w:rFonts w:ascii="Cambria Math" w:hAnsi="Cambria Math"/>
              </w:rPr>
            </m:ctrlPr>
          </m:sub>
          <m:sup>
            <m:r>
              <m:rPr>
                <m:nor/>
              </m:rPr>
              <m:t>DL,</m:t>
            </m:r>
            <m:sSub>
              <m:sSubPr>
                <m:ctrlPr>
                  <w:rPr>
                    <w:rFonts w:ascii="Cambria Math" w:hAnsi="Cambria Math"/>
                    <w:i/>
                  </w:rPr>
                </m:ctrlPr>
              </m:sSubPr>
              <m:e>
                <m:r>
                  <w:rPr>
                    <w:rFonts w:ascii="Cambria Math" w:hAnsi="Cambria Math"/>
                  </w:rPr>
                  <m:t>μ</m:t>
                </m:r>
              </m:e>
              <m:sub>
                <m:r>
                  <w:rPr>
                    <w:rFonts w:ascii="Cambria Math" w:hAnsi="Cambria Math"/>
                  </w:rPr>
                  <m:t>P</m:t>
                </m:r>
              </m:sub>
            </m:sSub>
            <m:ctrlPr>
              <w:rPr>
                <w:rFonts w:ascii="Cambria Math" w:hAnsi="Cambria Math"/>
              </w:rPr>
            </m:ctrlPr>
          </m:sup>
        </m:sSubSup>
      </m:oMath>
      <w:r w:rsidR="008B2BDE">
        <w:t xml:space="preserve"> downlink cells in </w:t>
      </w:r>
      <m:oMath>
        <m:nary>
          <m:naryPr>
            <m:chr m:val="∑"/>
            <m:ctrlPr>
              <w:rPr>
                <w:rFonts w:ascii="Cambria Math" w:hAnsi="Cambria Math" w:cs="Calibri"/>
                <w:i/>
                <w:sz w:val="22"/>
                <w:szCs w:val="22"/>
              </w:rPr>
            </m:ctrlPr>
          </m:naryPr>
          <m:sub>
            <m:r>
              <w:rPr>
                <w:rFonts w:ascii="Cambria Math" w:hAnsi="Cambria Math" w:cs="Calibri"/>
                <w:sz w:val="22"/>
                <w:szCs w:val="22"/>
              </w:rPr>
              <m:t>j=0</m:t>
            </m:r>
          </m:sub>
          <m:sup>
            <m:r>
              <w:rPr>
                <w:rFonts w:ascii="Cambria Math" w:hAnsi="Cambria Math" w:cs="Calibri"/>
                <w:sz w:val="22"/>
                <w:szCs w:val="22"/>
              </w:rPr>
              <m:t>3</m:t>
            </m:r>
          </m:sup>
          <m:e>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nor/>
                      </m:rPr>
                      <m:t>cells,0</m:t>
                    </m:r>
                    <m:ctrlPr>
                      <w:rPr>
                        <w:rFonts w:ascii="Cambria Math" w:hAnsi="Cambria Math"/>
                      </w:rPr>
                    </m:ctrlPr>
                  </m:sub>
                  <m:sup>
                    <m:r>
                      <m:rPr>
                        <m:nor/>
                      </m:rPr>
                      <m:t>DL,</m:t>
                    </m:r>
                    <m:r>
                      <w:rPr>
                        <w:rFonts w:ascii="Cambria Math" w:hAnsi="Cambria Math"/>
                      </w:rPr>
                      <m:t>j</m:t>
                    </m:r>
                    <m:ctrlPr>
                      <w:rPr>
                        <w:rFonts w:ascii="Cambria Math" w:hAnsi="Cambria Math"/>
                      </w:rPr>
                    </m:ctrlPr>
                  </m:sup>
                </m:sSubSup>
                <m:r>
                  <w:rPr>
                    <w:rFonts w:ascii="Cambria Math" w:hAnsi="Cambria Math"/>
                  </w:rPr>
                  <m:t>+</m:t>
                </m:r>
                <m:r>
                  <w:rPr>
                    <w:rFonts w:ascii="Cambria Math" w:hAnsi="Cambria Math" w:cstheme="minorHAnsi"/>
                  </w:rPr>
                  <m:t>γ</m:t>
                </m:r>
                <m:r>
                  <w:rPr>
                    <w:rFonts w:ascii="Cambria Math" w:hAnsi="Cambria Math"/>
                  </w:rPr>
                  <m:t>∙</m:t>
                </m:r>
                <m:sSubSup>
                  <m:sSubSupPr>
                    <m:ctrlPr>
                      <w:rPr>
                        <w:rFonts w:ascii="Cambria Math" w:hAnsi="Cambria Math"/>
                        <w:i/>
                      </w:rPr>
                    </m:ctrlPr>
                  </m:sSubSupPr>
                  <m:e>
                    <m:r>
                      <w:rPr>
                        <w:rFonts w:ascii="Cambria Math" w:hAnsi="Cambria Math"/>
                      </w:rPr>
                      <m:t>N</m:t>
                    </m:r>
                  </m:e>
                  <m:sub>
                    <m:r>
                      <m:rPr>
                        <m:nor/>
                      </m:rPr>
                      <m:t>cells,1</m:t>
                    </m:r>
                    <m:ctrlPr>
                      <w:rPr>
                        <w:rFonts w:ascii="Cambria Math" w:hAnsi="Cambria Math"/>
                      </w:rPr>
                    </m:ctrlPr>
                  </m:sub>
                  <m:sup>
                    <m:r>
                      <m:rPr>
                        <m:nor/>
                      </m:rPr>
                      <m:t>DL,</m:t>
                    </m:r>
                    <m:r>
                      <w:rPr>
                        <w:rFonts w:ascii="Cambria Math" w:hAnsi="Cambria Math"/>
                      </w:rPr>
                      <m:t>j</m:t>
                    </m:r>
                    <m:ctrlPr>
                      <w:rPr>
                        <w:rFonts w:ascii="Cambria Math" w:hAnsi="Cambria Math"/>
                      </w:rPr>
                    </m:ctrlPr>
                  </m:sup>
                </m:sSubSup>
              </m:e>
            </m:d>
          </m:e>
        </m:nary>
      </m:oMath>
      <w:r w:rsidR="008B2BDE">
        <w:t xml:space="preserve">, as described in clause 10.1. </w:t>
      </w:r>
      <w:r w:rsidR="008B2BDE" w:rsidRPr="00400626">
        <w:t xml:space="preserve">If </w:t>
      </w:r>
      <m:oMath>
        <m:sSub>
          <m:sSubPr>
            <m:ctrlPr>
              <w:rPr>
                <w:rFonts w:ascii="Cambria Math" w:hAnsi="Cambria Math"/>
                <w:i/>
              </w:rPr>
            </m:ctrlPr>
          </m:sSubPr>
          <m:e>
            <m:r>
              <w:rPr>
                <w:rFonts w:ascii="Cambria Math" w:hAnsi="Cambria Math"/>
              </w:rPr>
              <m:t>μ</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=μ</m:t>
        </m:r>
      </m:oMath>
      <w:r w:rsidR="008B2BDE" w:rsidRPr="00400626">
        <w:t xml:space="preserve">, the UE determines </w:t>
      </w:r>
      <m:oMath>
        <m:sSubSup>
          <m:sSubSupPr>
            <m:ctrlPr>
              <w:rPr>
                <w:rFonts w:ascii="Cambria Math" w:hAnsi="Cambria Math"/>
                <w:i/>
              </w:rPr>
            </m:ctrlPr>
          </m:sSubSupPr>
          <m:e>
            <m:r>
              <w:rPr>
                <w:rFonts w:ascii="Cambria Math" w:hAnsi="Cambria Math"/>
              </w:rPr>
              <m:t>M</m:t>
            </m:r>
          </m:e>
          <m:sub>
            <m:r>
              <m:rPr>
                <m:nor/>
              </m:rPr>
              <m:t>PDCCH</m:t>
            </m:r>
            <m:ctrlPr>
              <w:rPr>
                <w:rFonts w:ascii="Cambria Math" w:hAnsi="Cambria Math"/>
              </w:rPr>
            </m:ctrlPr>
          </m:sub>
          <m:sup>
            <m:r>
              <m:rPr>
                <m:nor/>
              </m:rPr>
              <m:t>total,slot,</m:t>
            </m:r>
            <m:r>
              <w:rPr>
                <w:rFonts w:ascii="Cambria Math" w:hAnsi="Cambria Math"/>
              </w:rPr>
              <m:t>μ</m:t>
            </m:r>
            <m:ctrlPr>
              <w:rPr>
                <w:rFonts w:ascii="Cambria Math" w:hAnsi="Cambria Math"/>
              </w:rPr>
            </m:ctrlPr>
          </m:sup>
        </m:sSubSup>
      </m:oMath>
      <w:r w:rsidR="008B2BDE" w:rsidRPr="00400626">
        <w:t xml:space="preserve"> and </w:t>
      </w:r>
      <m:oMath>
        <m:sSubSup>
          <m:sSubSupPr>
            <m:ctrlPr>
              <w:rPr>
                <w:rFonts w:ascii="Cambria Math" w:hAnsi="Cambria Math"/>
                <w:i/>
              </w:rPr>
            </m:ctrlPr>
          </m:sSubSupPr>
          <m:e>
            <m:r>
              <w:rPr>
                <w:rFonts w:ascii="Cambria Math" w:hAnsi="Cambria Math"/>
              </w:rPr>
              <m:t>C</m:t>
            </m:r>
          </m:e>
          <m:sub>
            <m:r>
              <m:rPr>
                <m:nor/>
              </m:rPr>
              <m:t>PDCCH</m:t>
            </m:r>
            <m:ctrlPr>
              <w:rPr>
                <w:rFonts w:ascii="Cambria Math" w:hAnsi="Cambria Math"/>
              </w:rPr>
            </m:ctrlPr>
          </m:sub>
          <m:sup>
            <m:r>
              <m:rPr>
                <m:nor/>
              </m:rPr>
              <m:t>total,slot,</m:t>
            </m:r>
            <m:r>
              <w:rPr>
                <w:rFonts w:ascii="Cambria Math" w:hAnsi="Cambria Math"/>
              </w:rPr>
              <m:t>μ</m:t>
            </m:r>
            <m:ctrlPr>
              <w:rPr>
                <w:rFonts w:ascii="Cambria Math" w:hAnsi="Cambria Math"/>
              </w:rPr>
            </m:ctrlPr>
          </m:sup>
        </m:sSubSup>
      </m:oMath>
      <w:r w:rsidR="008B2BDE" w:rsidRPr="00400626">
        <w:t xml:space="preserve"> by</w:t>
      </w:r>
      <w:r w:rsidR="008B2BDE">
        <w:t xml:space="preserve"> </w:t>
      </w:r>
      <w:r w:rsidR="008B2BDE" w:rsidRPr="00400626">
        <w:t>including the</w:t>
      </w:r>
      <w:r w:rsidR="008B2BDE">
        <w:t xml:space="preserve"> primary cell once in the </w:t>
      </w:r>
      <m:oMath>
        <m:sSubSup>
          <m:sSubSupPr>
            <m:ctrlPr>
              <w:rPr>
                <w:rFonts w:ascii="Cambria Math" w:hAnsi="Cambria Math"/>
                <w:i/>
              </w:rPr>
            </m:ctrlPr>
          </m:sSubSupPr>
          <m:e>
            <m:r>
              <w:rPr>
                <w:rFonts w:ascii="Cambria Math" w:hAnsi="Cambria Math"/>
              </w:rPr>
              <m:t>N</m:t>
            </m:r>
          </m:e>
          <m:sub>
            <m:r>
              <m:rPr>
                <m:nor/>
              </m:rPr>
              <m:t>cells,0</m:t>
            </m:r>
            <m:ctrlPr>
              <w:rPr>
                <w:rFonts w:ascii="Cambria Math" w:hAnsi="Cambria Math"/>
              </w:rPr>
            </m:ctrlPr>
          </m:sub>
          <m:sup>
            <m:r>
              <m:rPr>
                <m:nor/>
              </m:rPr>
              <m:t>DL,</m:t>
            </m:r>
            <m:r>
              <w:rPr>
                <w:rFonts w:ascii="Cambria Math" w:hAnsi="Cambria Math"/>
              </w:rPr>
              <m:t>μ</m:t>
            </m:r>
            <m:ctrlPr>
              <w:rPr>
                <w:rFonts w:ascii="Cambria Math" w:hAnsi="Cambria Math"/>
              </w:rPr>
            </m:ctrlPr>
          </m:sup>
        </m:sSubSup>
      </m:oMath>
      <w:r w:rsidR="008B2BDE">
        <w:t xml:space="preserve"> downlink cells in </w:t>
      </w:r>
      <m:oMath>
        <m:nary>
          <m:naryPr>
            <m:chr m:val="∑"/>
            <m:ctrlPr>
              <w:rPr>
                <w:rFonts w:ascii="Cambria Math" w:hAnsi="Cambria Math" w:cs="Calibri"/>
                <w:i/>
                <w:sz w:val="22"/>
                <w:szCs w:val="22"/>
              </w:rPr>
            </m:ctrlPr>
          </m:naryPr>
          <m:sub>
            <m:r>
              <w:rPr>
                <w:rFonts w:ascii="Cambria Math" w:hAnsi="Cambria Math" w:cs="Calibri"/>
                <w:sz w:val="22"/>
                <w:szCs w:val="22"/>
              </w:rPr>
              <m:t>j=0</m:t>
            </m:r>
          </m:sub>
          <m:sup>
            <m:r>
              <w:rPr>
                <w:rFonts w:ascii="Cambria Math" w:hAnsi="Cambria Math" w:cs="Calibri"/>
                <w:sz w:val="22"/>
                <w:szCs w:val="22"/>
              </w:rPr>
              <m:t>3</m:t>
            </m:r>
          </m:sup>
          <m:e>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nor/>
                      </m:rPr>
                      <m:t>cells,0</m:t>
                    </m:r>
                    <m:ctrlPr>
                      <w:rPr>
                        <w:rFonts w:ascii="Cambria Math" w:hAnsi="Cambria Math"/>
                      </w:rPr>
                    </m:ctrlPr>
                  </m:sub>
                  <m:sup>
                    <m:r>
                      <m:rPr>
                        <m:nor/>
                      </m:rPr>
                      <m:t>DL,</m:t>
                    </m:r>
                    <m:r>
                      <w:rPr>
                        <w:rFonts w:ascii="Cambria Math" w:hAnsi="Cambria Math"/>
                      </w:rPr>
                      <m:t>j</m:t>
                    </m:r>
                    <m:ctrlPr>
                      <w:rPr>
                        <w:rFonts w:ascii="Cambria Math" w:hAnsi="Cambria Math"/>
                      </w:rPr>
                    </m:ctrlPr>
                  </m:sup>
                </m:sSubSup>
                <m:r>
                  <w:rPr>
                    <w:rFonts w:ascii="Cambria Math" w:hAnsi="Cambria Math"/>
                  </w:rPr>
                  <m:t>+</m:t>
                </m:r>
                <m:r>
                  <w:rPr>
                    <w:rFonts w:ascii="Cambria Math" w:hAnsi="Cambria Math" w:cstheme="minorHAnsi"/>
                  </w:rPr>
                  <m:t>γ</m:t>
                </m:r>
                <m:r>
                  <w:rPr>
                    <w:rFonts w:ascii="Cambria Math" w:hAnsi="Cambria Math"/>
                  </w:rPr>
                  <m:t>∙</m:t>
                </m:r>
                <m:sSubSup>
                  <m:sSubSupPr>
                    <m:ctrlPr>
                      <w:rPr>
                        <w:rFonts w:ascii="Cambria Math" w:hAnsi="Cambria Math"/>
                        <w:i/>
                      </w:rPr>
                    </m:ctrlPr>
                  </m:sSubSupPr>
                  <m:e>
                    <m:r>
                      <w:rPr>
                        <w:rFonts w:ascii="Cambria Math" w:hAnsi="Cambria Math"/>
                      </w:rPr>
                      <m:t>N</m:t>
                    </m:r>
                  </m:e>
                  <m:sub>
                    <m:r>
                      <m:rPr>
                        <m:nor/>
                      </m:rPr>
                      <m:t>cells,1</m:t>
                    </m:r>
                    <m:ctrlPr>
                      <w:rPr>
                        <w:rFonts w:ascii="Cambria Math" w:hAnsi="Cambria Math"/>
                      </w:rPr>
                    </m:ctrlPr>
                  </m:sub>
                  <m:sup>
                    <m:r>
                      <m:rPr>
                        <m:nor/>
                      </m:rPr>
                      <m:t>DL,</m:t>
                    </m:r>
                    <m:r>
                      <w:rPr>
                        <w:rFonts w:ascii="Cambria Math" w:hAnsi="Cambria Math"/>
                      </w:rPr>
                      <m:t>j</m:t>
                    </m:r>
                    <m:ctrlPr>
                      <w:rPr>
                        <w:rFonts w:ascii="Cambria Math" w:hAnsi="Cambria Math"/>
                      </w:rPr>
                    </m:ctrlPr>
                  </m:sup>
                </m:sSubSup>
              </m:e>
            </m:d>
          </m:e>
        </m:nary>
      </m:oMath>
      <w:r w:rsidR="008B2BDE">
        <w:t>, as described in clause 10.1.</w:t>
      </w:r>
    </w:p>
    <w:p w14:paraId="0204AF3A" w14:textId="7F1DBA67" w:rsidR="008B2BDE" w:rsidRDefault="008B2BDE" w:rsidP="008B2BDE">
      <w:pPr>
        <w:rPr>
          <w:rFonts w:eastAsia="DengXian"/>
        </w:rPr>
      </w:pPr>
      <w:r>
        <w:t>For scheduling on the primary cell from the primary cell, t</w:t>
      </w:r>
      <w:r w:rsidRPr="00BC34FF">
        <w:t xml:space="preserve">he UE is not required to monitor more than </w:t>
      </w:r>
      <m:oMath>
        <m:d>
          <m:dPr>
            <m:begChr m:val="⌊"/>
            <m:endChr m:val="⌋"/>
            <m:ctrlPr>
              <w:rPr>
                <w:rFonts w:ascii="Cambria Math" w:eastAsia="DengXian" w:hAnsi="Cambria Math"/>
                <w:i/>
                <w:szCs w:val="18"/>
              </w:rPr>
            </m:ctrlPr>
          </m:dPr>
          <m:e>
            <m:r>
              <w:rPr>
                <w:rFonts w:ascii="Cambria Math" w:eastAsia="DengXian" w:hAnsi="Cambria Math"/>
                <w:szCs w:val="18"/>
              </w:rPr>
              <m:t>α</m:t>
            </m:r>
            <m:r>
              <w:rPr>
                <w:rFonts w:ascii="Cambria Math" w:hAnsi="Cambria Math"/>
              </w:rPr>
              <m:t>∙</m:t>
            </m:r>
            <m:func>
              <m:funcPr>
                <m:ctrlPr>
                  <w:rPr>
                    <w:rFonts w:ascii="Cambria Math" w:hAnsi="Cambria Math"/>
                    <w:i/>
                  </w:rPr>
                </m:ctrlPr>
              </m:funcPr>
              <m:fName>
                <m:r>
                  <m:rPr>
                    <m:sty m:val="p"/>
                  </m:rPr>
                  <w:rPr>
                    <w:rFonts w:ascii="Cambria Math"/>
                  </w:rPr>
                  <m:t>min</m:t>
                </m:r>
              </m:fName>
              <m:e>
                <m:d>
                  <m:dPr>
                    <m:ctrlPr>
                      <w:rPr>
                        <w:rFonts w:ascii="Cambria Math" w:hAnsi="Cambria Math"/>
                        <w:i/>
                      </w:rPr>
                    </m:ctrlPr>
                  </m:dPr>
                  <m:e>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max,slot,</m:t>
                        </m:r>
                        <m:sSub>
                          <m:sSubPr>
                            <m:ctrlPr>
                              <w:rPr>
                                <w:rFonts w:ascii="Cambria Math" w:hAnsi="Cambria Math"/>
                                <w:i/>
                              </w:rPr>
                            </m:ctrlPr>
                          </m:sSubPr>
                          <m:e>
                            <m:r>
                              <w:rPr>
                                <w:rFonts w:ascii="Cambria Math" w:hAnsi="Cambria Math"/>
                              </w:rPr>
                              <m:t>μ</m:t>
                            </m:r>
                          </m:e>
                          <m:sub>
                            <m:r>
                              <w:rPr>
                                <w:rFonts w:ascii="Cambria Math" w:hAnsi="Cambria Math"/>
                              </w:rPr>
                              <m:t>P</m:t>
                            </m:r>
                          </m:sub>
                        </m:sSub>
                        <m:ctrlPr>
                          <w:rPr>
                            <w:rFonts w:ascii="Cambria Math" w:hAnsi="Cambria Math"/>
                          </w:rPr>
                        </m:ctrlPr>
                      </m:sup>
                    </m:sSubSup>
                    <m:r>
                      <w:rPr>
                        <w:rFonts w:ascii="Cambria Math"/>
                      </w:rPr>
                      <m:t>,</m:t>
                    </m:r>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total,slot,</m:t>
                        </m:r>
                        <m:sSub>
                          <m:sSubPr>
                            <m:ctrlPr>
                              <w:rPr>
                                <w:rFonts w:ascii="Cambria Math" w:hAnsi="Cambria Math"/>
                                <w:i/>
                              </w:rPr>
                            </m:ctrlPr>
                          </m:sSubPr>
                          <m:e>
                            <m:r>
                              <w:rPr>
                                <w:rFonts w:ascii="Cambria Math" w:hAnsi="Cambria Math"/>
                              </w:rPr>
                              <m:t>μ</m:t>
                            </m:r>
                          </m:e>
                          <m:sub>
                            <m:r>
                              <w:rPr>
                                <w:rFonts w:ascii="Cambria Math" w:hAnsi="Cambria Math"/>
                              </w:rPr>
                              <m:t>P</m:t>
                            </m:r>
                          </m:sub>
                        </m:sSub>
                        <m:ctrlPr>
                          <w:rPr>
                            <w:rFonts w:ascii="Cambria Math" w:hAnsi="Cambria Math"/>
                          </w:rPr>
                        </m:ctrlPr>
                      </m:sup>
                    </m:sSubSup>
                  </m:e>
                </m:d>
              </m:e>
            </m:func>
          </m:e>
        </m:d>
        <m:r>
          <w:rPr>
            <w:rFonts w:ascii="Cambria Math" w:eastAsia="DengXian" w:hAnsi="Cambria Math"/>
            <w:szCs w:val="18"/>
          </w:rPr>
          <m:t xml:space="preserve"> </m:t>
        </m:r>
      </m:oMath>
      <w:r w:rsidRPr="00BC34FF">
        <w:rPr>
          <w:rFonts w:eastAsia="DengXian"/>
        </w:rPr>
        <w:t xml:space="preserve"> PDCCH candidates </w:t>
      </w:r>
      <w:r>
        <w:rPr>
          <w:rFonts w:eastAsia="DengXian"/>
        </w:rPr>
        <w:t>per</w:t>
      </w:r>
      <w:r w:rsidRPr="00BC34FF">
        <w:rPr>
          <w:rFonts w:eastAsia="DengXian"/>
        </w:rPr>
        <w:t xml:space="preserve"> slot</w:t>
      </w:r>
      <w:r>
        <w:rPr>
          <w:rFonts w:eastAsia="DengXian"/>
        </w:rPr>
        <w:t xml:space="preserve"> or more than </w:t>
      </w:r>
      <m:oMath>
        <m:d>
          <m:dPr>
            <m:begChr m:val="⌊"/>
            <m:endChr m:val="⌋"/>
            <m:ctrlPr>
              <w:rPr>
                <w:rFonts w:ascii="Cambria Math" w:eastAsia="DengXian" w:hAnsi="Cambria Math"/>
                <w:i/>
                <w:szCs w:val="18"/>
              </w:rPr>
            </m:ctrlPr>
          </m:dPr>
          <m:e>
            <m:r>
              <w:rPr>
                <w:rFonts w:ascii="Cambria Math" w:eastAsia="DengXian" w:hAnsi="Cambria Math"/>
                <w:szCs w:val="18"/>
              </w:rPr>
              <m:t>α</m:t>
            </m:r>
            <m:r>
              <w:rPr>
                <w:rFonts w:ascii="Cambria Math" w:hAnsi="Cambria Math"/>
              </w:rPr>
              <m:t>∙</m:t>
            </m:r>
            <m:func>
              <m:funcPr>
                <m:ctrlPr>
                  <w:rPr>
                    <w:rFonts w:ascii="Cambria Math" w:hAnsi="Cambria Math"/>
                    <w:i/>
                  </w:rPr>
                </m:ctrlPr>
              </m:funcPr>
              <m:fName>
                <m:r>
                  <m:rPr>
                    <m:sty m:val="p"/>
                  </m:rPr>
                  <w:rPr>
                    <w:rFonts w:ascii="Cambria Math"/>
                  </w:rPr>
                  <m:t>min</m:t>
                </m:r>
              </m:fName>
              <m:e>
                <m:d>
                  <m:dPr>
                    <m:ctrlPr>
                      <w:rPr>
                        <w:rFonts w:ascii="Cambria Math" w:hAnsi="Cambria Math"/>
                        <w:i/>
                      </w:rPr>
                    </m:ctrlPr>
                  </m:dPr>
                  <m:e>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max,slot,</m:t>
                        </m:r>
                        <m:sSub>
                          <m:sSubPr>
                            <m:ctrlPr>
                              <w:rPr>
                                <w:rFonts w:ascii="Cambria Math" w:hAnsi="Cambria Math"/>
                                <w:i/>
                              </w:rPr>
                            </m:ctrlPr>
                          </m:sSubPr>
                          <m:e>
                            <m:r>
                              <w:rPr>
                                <w:rFonts w:ascii="Cambria Math" w:hAnsi="Cambria Math"/>
                              </w:rPr>
                              <m:t>μ</m:t>
                            </m:r>
                          </m:e>
                          <m:sub>
                            <m:r>
                              <w:rPr>
                                <w:rFonts w:ascii="Cambria Math" w:hAnsi="Cambria Math"/>
                              </w:rPr>
                              <m:t>P</m:t>
                            </m:r>
                          </m:sub>
                        </m:sSub>
                        <m:ctrlPr>
                          <w:rPr>
                            <w:rFonts w:ascii="Cambria Math" w:hAnsi="Cambria Math"/>
                          </w:rPr>
                        </m:ctrlPr>
                      </m:sup>
                    </m:sSubSup>
                    <m:r>
                      <w:rPr>
                        <w:rFonts w:ascii="Cambria Math"/>
                      </w:rPr>
                      <m:t>,</m:t>
                    </m:r>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total,slot,</m:t>
                        </m:r>
                        <m:sSub>
                          <m:sSubPr>
                            <m:ctrlPr>
                              <w:rPr>
                                <w:rFonts w:ascii="Cambria Math" w:hAnsi="Cambria Math"/>
                                <w:i/>
                              </w:rPr>
                            </m:ctrlPr>
                          </m:sSubPr>
                          <m:e>
                            <m:r>
                              <w:rPr>
                                <w:rFonts w:ascii="Cambria Math" w:hAnsi="Cambria Math"/>
                              </w:rPr>
                              <m:t>μ</m:t>
                            </m:r>
                          </m:e>
                          <m:sub>
                            <m:r>
                              <w:rPr>
                                <w:rFonts w:ascii="Cambria Math" w:hAnsi="Cambria Math"/>
                              </w:rPr>
                              <m:t>P</m:t>
                            </m:r>
                          </m:sub>
                        </m:sSub>
                        <m:ctrlPr>
                          <w:rPr>
                            <w:rFonts w:ascii="Cambria Math" w:hAnsi="Cambria Math"/>
                          </w:rPr>
                        </m:ctrlPr>
                      </m:sup>
                    </m:sSubSup>
                  </m:e>
                </m:d>
              </m:e>
            </m:func>
          </m:e>
        </m:d>
      </m:oMath>
      <w:r>
        <w:rPr>
          <w:rFonts w:eastAsia="DengXian"/>
        </w:rPr>
        <w:t xml:space="preserve"> non-overlapping CCEs per slot on the active DL BWP of the primary cell, where</w:t>
      </w:r>
      <w:r>
        <w:rPr>
          <w:rFonts w:eastAsia="DengXian"/>
          <w:szCs w:val="18"/>
        </w:rPr>
        <w:t xml:space="preserve"> </w:t>
      </w:r>
      <m:oMath>
        <m:r>
          <w:rPr>
            <w:rFonts w:ascii="Cambria Math" w:eastAsia="DengXian" w:hAnsi="Cambria Math"/>
            <w:szCs w:val="18"/>
          </w:rPr>
          <m:t>α</m:t>
        </m:r>
      </m:oMath>
      <w:r>
        <w:rPr>
          <w:rFonts w:eastAsia="DengXian"/>
          <w:szCs w:val="18"/>
        </w:rPr>
        <w:t xml:space="preserve"> is provided by </w:t>
      </w:r>
      <w:r w:rsidR="004946FC" w:rsidRPr="00AD6F32">
        <w:rPr>
          <w:rFonts w:eastAsia="DengXian"/>
          <w:i/>
          <w:iCs/>
          <w:szCs w:val="18"/>
        </w:rPr>
        <w:t>ccs-BlindDetectionSplit</w:t>
      </w:r>
      <w:r>
        <w:rPr>
          <w:rFonts w:eastAsia="DengXian"/>
        </w:rPr>
        <w:t>.</w:t>
      </w:r>
    </w:p>
    <w:p w14:paraId="08C30749" w14:textId="77777777" w:rsidR="008B2BDE" w:rsidRDefault="008B2BDE" w:rsidP="008B2BDE">
      <w:r>
        <w:t>For scheduling on the primary cell from the secondary cell, t</w:t>
      </w:r>
      <w:r w:rsidRPr="00BC34FF">
        <w:t xml:space="preserve">he UE is not required to monitor </w:t>
      </w:r>
      <w:r>
        <w:rPr>
          <w:rFonts w:eastAsia="DengXian"/>
        </w:rPr>
        <w:t>on the active DL BWP of the secondary cell</w:t>
      </w:r>
      <w:r w:rsidRPr="00BC34FF">
        <w:t xml:space="preserve"> more than</w:t>
      </w:r>
    </w:p>
    <w:p w14:paraId="3CFB2C60" w14:textId="77777777" w:rsidR="008B2BDE" w:rsidRPr="00D57681" w:rsidRDefault="008B2BDE" w:rsidP="008B2BDE">
      <w:pPr>
        <w:pStyle w:val="B1"/>
        <w:spacing w:after="240"/>
        <w:rPr>
          <w:rFonts w:eastAsia="DengXian"/>
          <w:lang w:val="en-US"/>
        </w:rPr>
      </w:pPr>
      <w:r w:rsidRPr="00C04B54">
        <w:rPr>
          <w:lang w:val="en-US"/>
        </w:rPr>
        <w:t>-</w:t>
      </w:r>
      <w:r w:rsidRPr="00C04B54">
        <w:tab/>
      </w:r>
      <m:oMath>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max,slot,</m:t>
            </m:r>
            <m:sSub>
              <m:sSubPr>
                <m:ctrlPr>
                  <w:rPr>
                    <w:rFonts w:ascii="Cambria Math" w:hAnsi="Cambria Math"/>
                    <w:i/>
                  </w:rPr>
                </m:ctrlPr>
              </m:sSubPr>
              <m:e>
                <m:r>
                  <w:rPr>
                    <w:rFonts w:ascii="Cambria Math" w:hAnsi="Cambria Math"/>
                  </w:rPr>
                  <m:t>μ</m:t>
                </m:r>
              </m:e>
              <m:sub>
                <m:r>
                  <w:rPr>
                    <w:rFonts w:ascii="Cambria Math" w:hAnsi="Cambria Math"/>
                  </w:rPr>
                  <m:t>S</m:t>
                </m:r>
              </m:sub>
            </m:sSub>
            <m:ctrlPr>
              <w:rPr>
                <w:rFonts w:ascii="Cambria Math" w:hAnsi="Cambria Math"/>
              </w:rPr>
            </m:ctrlPr>
          </m:sup>
        </m:sSubSup>
      </m:oMath>
      <w:r w:rsidRPr="00BC34FF">
        <w:rPr>
          <w:rFonts w:eastAsia="DengXian"/>
        </w:rPr>
        <w:t xml:space="preserve"> PDCCH candidates </w:t>
      </w:r>
      <w:r>
        <w:rPr>
          <w:rFonts w:eastAsia="DengXian"/>
        </w:rPr>
        <w:t>per</w:t>
      </w:r>
      <w:r w:rsidRPr="00BC34FF">
        <w:rPr>
          <w:rFonts w:eastAsia="DengXian"/>
        </w:rPr>
        <w:t xml:space="preserve"> slot</w:t>
      </w:r>
      <w:r>
        <w:rPr>
          <w:rFonts w:eastAsia="DengXian"/>
        </w:rPr>
        <w:t xml:space="preserve"> or more </w:t>
      </w:r>
      <w:r w:rsidRPr="00BC34FF">
        <w:t xml:space="preserve">than </w:t>
      </w:r>
      <m:oMath>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max,slot,</m:t>
            </m:r>
            <m:sSub>
              <m:sSubPr>
                <m:ctrlPr>
                  <w:rPr>
                    <w:rFonts w:ascii="Cambria Math" w:hAnsi="Cambria Math"/>
                    <w:i/>
                  </w:rPr>
                </m:ctrlPr>
              </m:sSubPr>
              <m:e>
                <m:r>
                  <w:rPr>
                    <w:rFonts w:ascii="Cambria Math" w:hAnsi="Cambria Math"/>
                  </w:rPr>
                  <m:t>μ</m:t>
                </m:r>
              </m:e>
              <m:sub>
                <m:r>
                  <w:rPr>
                    <w:rFonts w:ascii="Cambria Math" w:hAnsi="Cambria Math"/>
                  </w:rPr>
                  <m:t>S</m:t>
                </m:r>
              </m:sub>
            </m:sSub>
            <m:ctrlPr>
              <w:rPr>
                <w:rFonts w:ascii="Cambria Math" w:hAnsi="Cambria Math"/>
              </w:rPr>
            </m:ctrlPr>
          </m:sup>
        </m:sSubSup>
      </m:oMath>
      <w:r>
        <w:rPr>
          <w:rFonts w:eastAsia="DengXian"/>
        </w:rPr>
        <w:t xml:space="preserve"> non-overlapping CCEs per slot</w:t>
      </w:r>
      <w:r>
        <w:rPr>
          <w:rFonts w:eastAsia="DengXian"/>
          <w:lang w:val="en-US"/>
        </w:rPr>
        <w:t xml:space="preserve"> of </w:t>
      </w:r>
      <w:r>
        <w:rPr>
          <w:rFonts w:eastAsia="DengXian"/>
        </w:rPr>
        <w:t>the active DL BWP of the secondary cell</w:t>
      </w:r>
    </w:p>
    <w:p w14:paraId="725CECCF" w14:textId="77777777" w:rsidR="004946FC" w:rsidRPr="00AD6F32" w:rsidRDefault="004946FC" w:rsidP="004946FC">
      <w:pPr>
        <w:pStyle w:val="B1"/>
        <w:spacing w:after="240"/>
        <w:rPr>
          <w:rFonts w:eastAsia="DengXian"/>
        </w:rPr>
      </w:pPr>
      <w:r w:rsidRPr="00AD6F32">
        <w:rPr>
          <w:lang w:val="en-US"/>
        </w:rPr>
        <w:t>-</w:t>
      </w:r>
      <w:r w:rsidRPr="00AD6F32">
        <w:tab/>
      </w:r>
      <m:oMath>
        <m:func>
          <m:funcPr>
            <m:ctrlPr>
              <w:rPr>
                <w:rFonts w:ascii="Cambria Math" w:hAnsi="Cambria Math"/>
                <w:i/>
              </w:rPr>
            </m:ctrlPr>
          </m:funcPr>
          <m:fName>
            <m:r>
              <m:rPr>
                <m:sty m:val="p"/>
              </m:rPr>
              <w:rPr>
                <w:rFonts w:ascii="Cambria Math"/>
              </w:rPr>
              <m:t>min</m:t>
            </m:r>
          </m:fName>
          <m:e>
            <m:d>
              <m:dPr>
                <m:ctrlPr>
                  <w:rPr>
                    <w:rFonts w:ascii="Cambria Math" w:hAnsi="Cambria Math"/>
                    <w:i/>
                  </w:rPr>
                </m:ctrlPr>
              </m:dPr>
              <m:e>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max,slot,</m:t>
                    </m:r>
                    <m:sSub>
                      <m:sSubPr>
                        <m:ctrlPr>
                          <w:rPr>
                            <w:rFonts w:ascii="Cambria Math" w:hAnsi="Cambria Math"/>
                            <w:i/>
                          </w:rPr>
                        </m:ctrlPr>
                      </m:sSubPr>
                      <m:e>
                        <m:r>
                          <w:rPr>
                            <w:rFonts w:ascii="Cambria Math" w:hAnsi="Cambria Math"/>
                          </w:rPr>
                          <m:t>μ</m:t>
                        </m:r>
                      </m:e>
                      <m:sub>
                        <m:r>
                          <w:rPr>
                            <w:rFonts w:ascii="Cambria Math" w:hAnsi="Cambria Math"/>
                          </w:rPr>
                          <m:t>P</m:t>
                        </m:r>
                      </m:sub>
                    </m:sSub>
                    <m:ctrlPr>
                      <w:rPr>
                        <w:rFonts w:ascii="Cambria Math" w:hAnsi="Cambria Math"/>
                      </w:rPr>
                    </m:ctrlPr>
                  </m:sup>
                </m:sSubSup>
                <m:r>
                  <w:rPr>
                    <w:rFonts w:ascii="Cambria Math"/>
                  </w:rPr>
                  <m:t>,</m:t>
                </m:r>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total,slot,</m:t>
                    </m:r>
                    <m:sSub>
                      <m:sSubPr>
                        <m:ctrlPr>
                          <w:rPr>
                            <w:rFonts w:ascii="Cambria Math" w:hAnsi="Cambria Math"/>
                            <w:i/>
                          </w:rPr>
                        </m:ctrlPr>
                      </m:sSubPr>
                      <m:e>
                        <m:r>
                          <w:rPr>
                            <w:rFonts w:ascii="Cambria Math" w:hAnsi="Cambria Math"/>
                          </w:rPr>
                          <m:t>μ</m:t>
                        </m:r>
                      </m:e>
                      <m:sub>
                        <m:r>
                          <w:rPr>
                            <w:rFonts w:ascii="Cambria Math" w:hAnsi="Cambria Math"/>
                          </w:rPr>
                          <m:t>P</m:t>
                        </m:r>
                      </m:sub>
                    </m:sSub>
                    <m:ctrlPr>
                      <w:rPr>
                        <w:rFonts w:ascii="Cambria Math" w:hAnsi="Cambria Math"/>
                      </w:rPr>
                    </m:ctrlPr>
                  </m:sup>
                </m:sSubSup>
              </m:e>
            </m:d>
          </m:e>
        </m:func>
        <m:r>
          <w:rPr>
            <w:rFonts w:ascii="Cambria Math" w:hAnsi="Cambria Math"/>
          </w:rPr>
          <m:t>-</m:t>
        </m:r>
        <m:d>
          <m:dPr>
            <m:begChr m:val="⌊"/>
            <m:endChr m:val="⌋"/>
            <m:ctrlPr>
              <w:rPr>
                <w:rFonts w:ascii="Cambria Math" w:hAnsi="Cambria Math"/>
                <w:i/>
              </w:rPr>
            </m:ctrlPr>
          </m:dPr>
          <m:e>
            <m:func>
              <m:funcPr>
                <m:ctrlPr>
                  <w:rPr>
                    <w:rFonts w:ascii="Cambria Math" w:hAnsi="Cambria Math"/>
                    <w:i/>
                  </w:rPr>
                </m:ctrlPr>
              </m:funcPr>
              <m:fName>
                <m:r>
                  <w:rPr>
                    <w:rFonts w:ascii="Cambria Math" w:eastAsia="DengXian" w:hAnsi="Cambria Math"/>
                    <w:szCs w:val="18"/>
                  </w:rPr>
                  <m:t>α</m:t>
                </m:r>
                <m:r>
                  <w:rPr>
                    <w:rFonts w:ascii="Cambria Math" w:hAnsi="Cambria Math"/>
                  </w:rPr>
                  <m:t>∙</m:t>
                </m:r>
                <m:r>
                  <m:rPr>
                    <m:sty m:val="p"/>
                  </m:rPr>
                  <w:rPr>
                    <w:rFonts w:ascii="Cambria Math"/>
                  </w:rPr>
                  <m:t>min</m:t>
                </m:r>
              </m:fName>
              <m:e>
                <m:d>
                  <m:dPr>
                    <m:ctrlPr>
                      <w:rPr>
                        <w:rFonts w:ascii="Cambria Math" w:hAnsi="Cambria Math"/>
                        <w:i/>
                      </w:rPr>
                    </m:ctrlPr>
                  </m:dPr>
                  <m:e>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max,slot,</m:t>
                        </m:r>
                        <m:sSub>
                          <m:sSubPr>
                            <m:ctrlPr>
                              <w:rPr>
                                <w:rFonts w:ascii="Cambria Math" w:hAnsi="Cambria Math"/>
                                <w:i/>
                              </w:rPr>
                            </m:ctrlPr>
                          </m:sSubPr>
                          <m:e>
                            <m:r>
                              <w:rPr>
                                <w:rFonts w:ascii="Cambria Math" w:hAnsi="Cambria Math"/>
                              </w:rPr>
                              <m:t>μ</m:t>
                            </m:r>
                          </m:e>
                          <m:sub>
                            <m:r>
                              <w:rPr>
                                <w:rFonts w:ascii="Cambria Math" w:hAnsi="Cambria Math"/>
                              </w:rPr>
                              <m:t>P</m:t>
                            </m:r>
                          </m:sub>
                        </m:sSub>
                        <m:ctrlPr>
                          <w:rPr>
                            <w:rFonts w:ascii="Cambria Math" w:hAnsi="Cambria Math"/>
                          </w:rPr>
                        </m:ctrlPr>
                      </m:sup>
                    </m:sSubSup>
                    <m:r>
                      <w:rPr>
                        <w:rFonts w:ascii="Cambria Math"/>
                      </w:rPr>
                      <m:t>,</m:t>
                    </m:r>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total,slot,</m:t>
                        </m:r>
                        <m:sSub>
                          <m:sSubPr>
                            <m:ctrlPr>
                              <w:rPr>
                                <w:rFonts w:ascii="Cambria Math" w:hAnsi="Cambria Math"/>
                                <w:i/>
                              </w:rPr>
                            </m:ctrlPr>
                          </m:sSubPr>
                          <m:e>
                            <m:r>
                              <w:rPr>
                                <w:rFonts w:ascii="Cambria Math" w:hAnsi="Cambria Math"/>
                              </w:rPr>
                              <m:t>μ</m:t>
                            </m:r>
                          </m:e>
                          <m:sub>
                            <m:r>
                              <w:rPr>
                                <w:rFonts w:ascii="Cambria Math" w:hAnsi="Cambria Math"/>
                              </w:rPr>
                              <m:t>P</m:t>
                            </m:r>
                          </m:sub>
                        </m:sSub>
                        <m:ctrlPr>
                          <w:rPr>
                            <w:rFonts w:ascii="Cambria Math" w:hAnsi="Cambria Math"/>
                          </w:rPr>
                        </m:ctrlPr>
                      </m:sup>
                    </m:sSubSup>
                  </m:e>
                </m:d>
              </m:e>
            </m:func>
          </m:e>
        </m:d>
      </m:oMath>
      <w:r w:rsidRPr="00AD6F32">
        <w:rPr>
          <w:rFonts w:eastAsia="DengXian"/>
        </w:rPr>
        <w:t xml:space="preserve"> PDCCH candidates per slot or more </w:t>
      </w:r>
      <w:r w:rsidRPr="00AD6F32">
        <w:t xml:space="preserve">than </w:t>
      </w:r>
      <m:oMath>
        <m:func>
          <m:funcPr>
            <m:ctrlPr>
              <w:rPr>
                <w:rFonts w:ascii="Cambria Math" w:hAnsi="Cambria Math"/>
                <w:i/>
              </w:rPr>
            </m:ctrlPr>
          </m:funcPr>
          <m:fName>
            <m:r>
              <m:rPr>
                <m:sty m:val="p"/>
              </m:rPr>
              <w:rPr>
                <w:rFonts w:ascii="Cambria Math"/>
              </w:rPr>
              <m:t>min</m:t>
            </m:r>
          </m:fName>
          <m:e>
            <m:d>
              <m:dPr>
                <m:ctrlPr>
                  <w:rPr>
                    <w:rFonts w:ascii="Cambria Math" w:hAnsi="Cambria Math"/>
                    <w:i/>
                  </w:rPr>
                </m:ctrlPr>
              </m:dPr>
              <m:e>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max,slot,</m:t>
                    </m:r>
                    <m:sSub>
                      <m:sSubPr>
                        <m:ctrlPr>
                          <w:rPr>
                            <w:rFonts w:ascii="Cambria Math" w:hAnsi="Cambria Math"/>
                            <w:i/>
                          </w:rPr>
                        </m:ctrlPr>
                      </m:sSubPr>
                      <m:e>
                        <m:r>
                          <w:rPr>
                            <w:rFonts w:ascii="Cambria Math" w:hAnsi="Cambria Math"/>
                          </w:rPr>
                          <m:t>μ</m:t>
                        </m:r>
                      </m:e>
                      <m:sub>
                        <m:r>
                          <w:rPr>
                            <w:rFonts w:ascii="Cambria Math" w:hAnsi="Cambria Math"/>
                          </w:rPr>
                          <m:t>P</m:t>
                        </m:r>
                      </m:sub>
                    </m:sSub>
                    <m:ctrlPr>
                      <w:rPr>
                        <w:rFonts w:ascii="Cambria Math" w:hAnsi="Cambria Math"/>
                      </w:rPr>
                    </m:ctrlPr>
                  </m:sup>
                </m:sSubSup>
                <m:r>
                  <w:rPr>
                    <w:rFonts w:ascii="Cambria Math"/>
                  </w:rPr>
                  <m:t>,</m:t>
                </m:r>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total,slot,</m:t>
                    </m:r>
                    <m:sSub>
                      <m:sSubPr>
                        <m:ctrlPr>
                          <w:rPr>
                            <w:rFonts w:ascii="Cambria Math" w:hAnsi="Cambria Math"/>
                            <w:i/>
                          </w:rPr>
                        </m:ctrlPr>
                      </m:sSubPr>
                      <m:e>
                        <m:r>
                          <w:rPr>
                            <w:rFonts w:ascii="Cambria Math" w:hAnsi="Cambria Math"/>
                          </w:rPr>
                          <m:t>μ</m:t>
                        </m:r>
                      </m:e>
                      <m:sub>
                        <m:r>
                          <w:rPr>
                            <w:rFonts w:ascii="Cambria Math" w:hAnsi="Cambria Math"/>
                          </w:rPr>
                          <m:t>P</m:t>
                        </m:r>
                      </m:sub>
                    </m:sSub>
                    <m:ctrlPr>
                      <w:rPr>
                        <w:rFonts w:ascii="Cambria Math" w:hAnsi="Cambria Math"/>
                      </w:rPr>
                    </m:ctrlPr>
                  </m:sup>
                </m:sSubSup>
              </m:e>
            </m:d>
            <m:r>
              <w:rPr>
                <w:rFonts w:ascii="Cambria Math" w:hAnsi="Cambria Math"/>
              </w:rPr>
              <m:t>-</m:t>
            </m:r>
          </m:e>
        </m:func>
        <m:d>
          <m:dPr>
            <m:begChr m:val="⌊"/>
            <m:endChr m:val="⌋"/>
            <m:ctrlPr>
              <w:rPr>
                <w:rFonts w:ascii="Cambria Math" w:hAnsi="Cambria Math"/>
                <w:i/>
              </w:rPr>
            </m:ctrlPr>
          </m:dPr>
          <m:e>
            <m:func>
              <m:funcPr>
                <m:ctrlPr>
                  <w:rPr>
                    <w:rFonts w:ascii="Cambria Math" w:hAnsi="Cambria Math"/>
                    <w:i/>
                  </w:rPr>
                </m:ctrlPr>
              </m:funcPr>
              <m:fName>
                <m:r>
                  <w:rPr>
                    <w:rFonts w:ascii="Cambria Math" w:eastAsia="DengXian" w:hAnsi="Cambria Math"/>
                    <w:szCs w:val="18"/>
                  </w:rPr>
                  <m:t>α</m:t>
                </m:r>
                <m:r>
                  <w:rPr>
                    <w:rFonts w:ascii="Cambria Math" w:hAnsi="Cambria Math"/>
                  </w:rPr>
                  <m:t>∙</m:t>
                </m:r>
                <m:r>
                  <m:rPr>
                    <m:sty m:val="p"/>
                  </m:rPr>
                  <w:rPr>
                    <w:rFonts w:ascii="Cambria Math"/>
                  </w:rPr>
                  <m:t>min</m:t>
                </m:r>
              </m:fName>
              <m:e>
                <m:d>
                  <m:dPr>
                    <m:ctrlPr>
                      <w:rPr>
                        <w:rFonts w:ascii="Cambria Math" w:hAnsi="Cambria Math"/>
                        <w:i/>
                      </w:rPr>
                    </m:ctrlPr>
                  </m:dPr>
                  <m:e>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max,slot,</m:t>
                        </m:r>
                        <m:sSub>
                          <m:sSubPr>
                            <m:ctrlPr>
                              <w:rPr>
                                <w:rFonts w:ascii="Cambria Math" w:hAnsi="Cambria Math"/>
                                <w:i/>
                              </w:rPr>
                            </m:ctrlPr>
                          </m:sSubPr>
                          <m:e>
                            <m:r>
                              <w:rPr>
                                <w:rFonts w:ascii="Cambria Math" w:hAnsi="Cambria Math"/>
                              </w:rPr>
                              <m:t>μ</m:t>
                            </m:r>
                          </m:e>
                          <m:sub>
                            <m:r>
                              <w:rPr>
                                <w:rFonts w:ascii="Cambria Math" w:hAnsi="Cambria Math"/>
                              </w:rPr>
                              <m:t>P</m:t>
                            </m:r>
                          </m:sub>
                        </m:sSub>
                        <m:ctrlPr>
                          <w:rPr>
                            <w:rFonts w:ascii="Cambria Math" w:hAnsi="Cambria Math"/>
                          </w:rPr>
                        </m:ctrlPr>
                      </m:sup>
                    </m:sSubSup>
                    <m:r>
                      <w:rPr>
                        <w:rFonts w:ascii="Cambria Math"/>
                      </w:rPr>
                      <m:t>,</m:t>
                    </m:r>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total,slot,</m:t>
                        </m:r>
                        <m:sSub>
                          <m:sSubPr>
                            <m:ctrlPr>
                              <w:rPr>
                                <w:rFonts w:ascii="Cambria Math" w:hAnsi="Cambria Math"/>
                                <w:i/>
                              </w:rPr>
                            </m:ctrlPr>
                          </m:sSubPr>
                          <m:e>
                            <m:r>
                              <w:rPr>
                                <w:rFonts w:ascii="Cambria Math" w:hAnsi="Cambria Math"/>
                              </w:rPr>
                              <m:t>μ</m:t>
                            </m:r>
                          </m:e>
                          <m:sub>
                            <m:r>
                              <w:rPr>
                                <w:rFonts w:ascii="Cambria Math" w:hAnsi="Cambria Math"/>
                              </w:rPr>
                              <m:t>P</m:t>
                            </m:r>
                          </m:sub>
                        </m:sSub>
                        <m:ctrlPr>
                          <w:rPr>
                            <w:rFonts w:ascii="Cambria Math" w:hAnsi="Cambria Math"/>
                          </w:rPr>
                        </m:ctrlPr>
                      </m:sup>
                    </m:sSubSup>
                  </m:e>
                </m:d>
              </m:e>
            </m:func>
          </m:e>
        </m:d>
      </m:oMath>
      <w:r w:rsidRPr="00AD6F32">
        <w:rPr>
          <w:rFonts w:eastAsia="DengXian"/>
        </w:rPr>
        <w:t xml:space="preserve"> non-overlapping CCEs per slot </w:t>
      </w:r>
      <w:r w:rsidRPr="00AD6F32">
        <w:rPr>
          <w:rFonts w:eastAsia="DengXian"/>
          <w:lang w:val="en-US"/>
        </w:rPr>
        <w:t xml:space="preserve">of </w:t>
      </w:r>
      <w:r w:rsidRPr="00AD6F32">
        <w:rPr>
          <w:rFonts w:eastAsia="DengXian"/>
        </w:rPr>
        <w:t>the active DL BWP of the primary cell</w:t>
      </w:r>
    </w:p>
    <w:p w14:paraId="23D15834" w14:textId="093A7825" w:rsidR="008B2BDE" w:rsidRDefault="008B2BDE" w:rsidP="008B2BDE">
      <w:r w:rsidRPr="00400626">
        <w:t xml:space="preserve">If </w:t>
      </w:r>
      <m:oMath>
        <m:sSub>
          <m:sSubPr>
            <m:ctrlPr>
              <w:rPr>
                <w:rFonts w:ascii="Cambria Math" w:hAnsi="Cambria Math"/>
                <w:i/>
              </w:rPr>
            </m:ctrlPr>
          </m:sSubPr>
          <m:e>
            <m:r>
              <w:rPr>
                <w:rFonts w:ascii="Cambria Math" w:hAnsi="Cambria Math"/>
              </w:rPr>
              <m:t>μ</m:t>
            </m:r>
          </m:e>
          <m:sub>
            <m:r>
              <w:rPr>
                <w:rFonts w:ascii="Cambria Math" w:hAnsi="Cambria Math"/>
              </w:rPr>
              <m:t>P</m:t>
            </m:r>
          </m:sub>
        </m:sSub>
        <m:r>
          <w:rPr>
            <w:rFonts w:ascii="Cambria Math" w:hAnsi="Cambria Math"/>
          </w:rPr>
          <m:t>&lt;</m:t>
        </m:r>
        <m:sSub>
          <m:sSubPr>
            <m:ctrlPr>
              <w:rPr>
                <w:rFonts w:ascii="Cambria Math" w:hAnsi="Cambria Math"/>
                <w:i/>
              </w:rPr>
            </m:ctrlPr>
          </m:sSubPr>
          <m:e>
            <m:r>
              <w:rPr>
                <w:rFonts w:ascii="Cambria Math" w:hAnsi="Cambria Math"/>
              </w:rPr>
              <m:t>μ</m:t>
            </m:r>
          </m:e>
          <m:sub>
            <m:r>
              <w:rPr>
                <w:rFonts w:ascii="Cambria Math" w:hAnsi="Cambria Math"/>
              </w:rPr>
              <m:t>S</m:t>
            </m:r>
          </m:sub>
        </m:sSub>
      </m:oMath>
      <w:r w:rsidRPr="00400626">
        <w:t>,</w:t>
      </w:r>
      <w:r>
        <w:t xml:space="preserve"> the UE does not count</w:t>
      </w:r>
      <w:r w:rsidRPr="0009469A">
        <w:rPr>
          <w:rFonts w:eastAsia="DengXian"/>
        </w:rPr>
        <w:t xml:space="preserve"> </w:t>
      </w:r>
      <w:r w:rsidRPr="00BC34FF">
        <w:rPr>
          <w:rFonts w:eastAsia="DengXian"/>
        </w:rPr>
        <w:t>PDCCH candidates</w:t>
      </w:r>
      <w:r>
        <w:rPr>
          <w:rFonts w:eastAsia="DengXian"/>
        </w:rPr>
        <w:t xml:space="preserve"> and non-overlapping CCEs that the UE monitors for scheduling on the primary cell from the secondary cell towards </w:t>
      </w:r>
      <m:oMath>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total,slot,</m:t>
            </m:r>
            <m:sSub>
              <m:sSubPr>
                <m:ctrlPr>
                  <w:rPr>
                    <w:rFonts w:ascii="Cambria Math" w:hAnsi="Cambria Math"/>
                    <w:i/>
                  </w:rPr>
                </m:ctrlPr>
              </m:sSubPr>
              <m:e>
                <m:r>
                  <w:rPr>
                    <w:rFonts w:ascii="Cambria Math" w:hAnsi="Cambria Math"/>
                  </w:rPr>
                  <m:t>μ</m:t>
                </m:r>
              </m:e>
              <m:sub>
                <m:r>
                  <w:rPr>
                    <w:rFonts w:ascii="Cambria Math" w:hAnsi="Cambria Math"/>
                  </w:rPr>
                  <m:t>S</m:t>
                </m:r>
              </m:sub>
            </m:sSub>
            <m:ctrlPr>
              <w:rPr>
                <w:rFonts w:ascii="Cambria Math" w:hAnsi="Cambria Math"/>
              </w:rPr>
            </m:ctrlPr>
          </m:sup>
        </m:sSubSup>
      </m:oMath>
      <w:r>
        <w:t xml:space="preserve"> and </w:t>
      </w:r>
      <m:oMath>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total,slot,</m:t>
            </m:r>
            <m:sSub>
              <m:sSubPr>
                <m:ctrlPr>
                  <w:rPr>
                    <w:rFonts w:ascii="Cambria Math" w:hAnsi="Cambria Math"/>
                    <w:i/>
                  </w:rPr>
                </m:ctrlPr>
              </m:sSubPr>
              <m:e>
                <m:r>
                  <w:rPr>
                    <w:rFonts w:ascii="Cambria Math" w:hAnsi="Cambria Math"/>
                  </w:rPr>
                  <m:t>μ</m:t>
                </m:r>
              </m:e>
              <m:sub>
                <m:r>
                  <w:rPr>
                    <w:rFonts w:ascii="Cambria Math" w:hAnsi="Cambria Math"/>
                  </w:rPr>
                  <m:t>S</m:t>
                </m:r>
              </m:sub>
            </m:sSub>
            <m:ctrlPr>
              <w:rPr>
                <w:rFonts w:ascii="Cambria Math" w:hAnsi="Cambria Math"/>
              </w:rPr>
            </m:ctrlPr>
          </m:sup>
        </m:sSubSup>
      </m:oMath>
      <w:r>
        <w:t>, respectively.</w:t>
      </w:r>
    </w:p>
    <w:p w14:paraId="313182BB" w14:textId="640D9097" w:rsidR="008B2BDE" w:rsidRDefault="008B2BDE" w:rsidP="008B2BDE">
      <w:r w:rsidRPr="00400626">
        <w:t xml:space="preserve">If </w:t>
      </w:r>
      <m:oMath>
        <m:sSub>
          <m:sSubPr>
            <m:ctrlPr>
              <w:rPr>
                <w:rFonts w:ascii="Cambria Math" w:hAnsi="Cambria Math"/>
                <w:i/>
              </w:rPr>
            </m:ctrlPr>
          </m:sSubPr>
          <m:e>
            <m:r>
              <w:rPr>
                <w:rFonts w:ascii="Cambria Math" w:hAnsi="Cambria Math"/>
              </w:rPr>
              <m:t>μ</m:t>
            </m:r>
          </m:e>
          <m:sub>
            <m:r>
              <w:rPr>
                <w:rFonts w:ascii="Cambria Math" w:hAnsi="Cambria Math"/>
              </w:rPr>
              <m:t>P</m:t>
            </m:r>
          </m:sub>
        </m:sSub>
        <m:r>
          <w:rPr>
            <w:rFonts w:ascii="Cambria Math" w:hAnsi="Cambria Math"/>
          </w:rPr>
          <m:t>&lt;</m:t>
        </m:r>
        <m:sSub>
          <m:sSubPr>
            <m:ctrlPr>
              <w:rPr>
                <w:rFonts w:ascii="Cambria Math" w:hAnsi="Cambria Math"/>
                <w:i/>
              </w:rPr>
            </m:ctrlPr>
          </m:sSubPr>
          <m:e>
            <m:r>
              <w:rPr>
                <w:rFonts w:ascii="Cambria Math" w:hAnsi="Cambria Math"/>
              </w:rPr>
              <m:t>μ</m:t>
            </m:r>
          </m:e>
          <m:sub>
            <m:r>
              <w:rPr>
                <w:rFonts w:ascii="Cambria Math" w:hAnsi="Cambria Math"/>
              </w:rPr>
              <m:t>S</m:t>
            </m:r>
          </m:sub>
        </m:sSub>
      </m:oMath>
      <w:r w:rsidRPr="00400626">
        <w:t>,</w:t>
      </w:r>
      <w:r>
        <w:t xml:space="preserve"> the UE counts</w:t>
      </w:r>
      <w:r w:rsidRPr="0009469A">
        <w:rPr>
          <w:rFonts w:eastAsia="DengXian"/>
        </w:rPr>
        <w:t xml:space="preserve"> </w:t>
      </w:r>
      <w:r w:rsidRPr="00BC34FF">
        <w:rPr>
          <w:rFonts w:eastAsia="DengXian"/>
        </w:rPr>
        <w:t>PDCCH candidates</w:t>
      </w:r>
      <w:r>
        <w:rPr>
          <w:rFonts w:eastAsia="DengXian"/>
        </w:rPr>
        <w:t xml:space="preserve"> and non-overlapping CCEs that the UE monitors for scheduling on the primary cell from the secondary cell towards </w:t>
      </w:r>
      <m:oMath>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total,slot,</m:t>
            </m:r>
            <m:sSub>
              <m:sSubPr>
                <m:ctrlPr>
                  <w:rPr>
                    <w:rFonts w:ascii="Cambria Math" w:hAnsi="Cambria Math"/>
                    <w:i/>
                  </w:rPr>
                </m:ctrlPr>
              </m:sSubPr>
              <m:e>
                <m:r>
                  <w:rPr>
                    <w:rFonts w:ascii="Cambria Math" w:hAnsi="Cambria Math"/>
                  </w:rPr>
                  <m:t>μ</m:t>
                </m:r>
              </m:e>
              <m:sub>
                <m:r>
                  <w:rPr>
                    <w:rFonts w:ascii="Cambria Math" w:hAnsi="Cambria Math"/>
                  </w:rPr>
                  <m:t>P</m:t>
                </m:r>
              </m:sub>
            </m:sSub>
            <m:ctrlPr>
              <w:rPr>
                <w:rFonts w:ascii="Cambria Math" w:hAnsi="Cambria Math"/>
              </w:rPr>
            </m:ctrlPr>
          </m:sup>
        </m:sSubSup>
      </m:oMath>
      <w:r>
        <w:t xml:space="preserve"> and </w:t>
      </w:r>
      <m:oMath>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total,slot,</m:t>
            </m:r>
            <m:sSub>
              <m:sSubPr>
                <m:ctrlPr>
                  <w:rPr>
                    <w:rFonts w:ascii="Cambria Math" w:hAnsi="Cambria Math"/>
                    <w:i/>
                  </w:rPr>
                </m:ctrlPr>
              </m:sSubPr>
              <m:e>
                <m:r>
                  <w:rPr>
                    <w:rFonts w:ascii="Cambria Math" w:hAnsi="Cambria Math"/>
                  </w:rPr>
                  <m:t>μ</m:t>
                </m:r>
              </m:e>
              <m:sub>
                <m:r>
                  <w:rPr>
                    <w:rFonts w:ascii="Cambria Math" w:hAnsi="Cambria Math"/>
                  </w:rPr>
                  <m:t>P</m:t>
                </m:r>
              </m:sub>
            </m:sSub>
            <m:ctrlPr>
              <w:rPr>
                <w:rFonts w:ascii="Cambria Math" w:hAnsi="Cambria Math"/>
              </w:rPr>
            </m:ctrlPr>
          </m:sup>
        </m:sSubSup>
      </m:oMath>
      <w:r>
        <w:t>, respectively.</w:t>
      </w:r>
    </w:p>
    <w:p w14:paraId="1FA9AC3B" w14:textId="288825E3" w:rsidR="008B2BDE" w:rsidRPr="00B916EC" w:rsidRDefault="008B2BDE" w:rsidP="00665760">
      <w:r>
        <w:t xml:space="preserve">For allocation of PDCCH candidates and non-overlapping CCEs to search space sets for scheduling on the primary cell from the primary cell, the UE applies the procedure in clause 10.1 using </w:t>
      </w:r>
      <m:oMath>
        <m:d>
          <m:dPr>
            <m:begChr m:val="⌊"/>
            <m:endChr m:val="⌋"/>
            <m:ctrlPr>
              <w:rPr>
                <w:rFonts w:ascii="Cambria Math" w:eastAsia="DengXian" w:hAnsi="Cambria Math"/>
                <w:i/>
                <w:szCs w:val="18"/>
              </w:rPr>
            </m:ctrlPr>
          </m:dPr>
          <m:e>
            <m:r>
              <w:rPr>
                <w:rFonts w:ascii="Cambria Math" w:eastAsia="DengXian" w:hAnsi="Cambria Math"/>
                <w:szCs w:val="18"/>
              </w:rPr>
              <m:t>α</m:t>
            </m:r>
            <m:r>
              <w:rPr>
                <w:rFonts w:ascii="Cambria Math" w:hAnsi="Cambria Math"/>
              </w:rPr>
              <m:t>∙</m:t>
            </m:r>
            <m:func>
              <m:funcPr>
                <m:ctrlPr>
                  <w:rPr>
                    <w:rFonts w:ascii="Cambria Math" w:hAnsi="Cambria Math"/>
                    <w:i/>
                  </w:rPr>
                </m:ctrlPr>
              </m:funcPr>
              <m:fName>
                <m:r>
                  <m:rPr>
                    <m:sty m:val="p"/>
                  </m:rPr>
                  <w:rPr>
                    <w:rFonts w:ascii="Cambria Math"/>
                  </w:rPr>
                  <m:t>min</m:t>
                </m:r>
              </m:fName>
              <m:e>
                <m:d>
                  <m:dPr>
                    <m:ctrlPr>
                      <w:rPr>
                        <w:rFonts w:ascii="Cambria Math" w:hAnsi="Cambria Math"/>
                        <w:i/>
                      </w:rPr>
                    </m:ctrlPr>
                  </m:dPr>
                  <m:e>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max,slot,</m:t>
                        </m:r>
                        <m:r>
                          <w:rPr>
                            <w:rFonts w:ascii="Cambria Math"/>
                          </w:rPr>
                          <m:t>μ</m:t>
                        </m:r>
                        <m:ctrlPr>
                          <w:rPr>
                            <w:rFonts w:ascii="Cambria Math" w:hAnsi="Cambria Math"/>
                          </w:rPr>
                        </m:ctrlPr>
                      </m:sup>
                    </m:sSubSup>
                    <m:r>
                      <w:rPr>
                        <w:rFonts w:ascii="Cambria Math"/>
                      </w:rPr>
                      <m:t>,</m:t>
                    </m:r>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total,slot,</m:t>
                        </m:r>
                        <m:r>
                          <w:rPr>
                            <w:rFonts w:ascii="Cambria Math"/>
                          </w:rPr>
                          <m:t>μ</m:t>
                        </m:r>
                        <m:ctrlPr>
                          <w:rPr>
                            <w:rFonts w:ascii="Cambria Math" w:hAnsi="Cambria Math"/>
                          </w:rPr>
                        </m:ctrlPr>
                      </m:sup>
                    </m:sSubSup>
                  </m:e>
                </m:d>
              </m:e>
            </m:func>
          </m:e>
        </m:d>
      </m:oMath>
      <w:r>
        <w:t xml:space="preserve"> instead of </w:t>
      </w:r>
      <m:oMath>
        <m:func>
          <m:funcPr>
            <m:ctrlPr>
              <w:rPr>
                <w:rFonts w:ascii="Cambria Math" w:hAnsi="Cambria Math"/>
                <w:i/>
              </w:rPr>
            </m:ctrlPr>
          </m:funcPr>
          <m:fName>
            <m:r>
              <m:rPr>
                <m:sty m:val="p"/>
              </m:rPr>
              <w:rPr>
                <w:rFonts w:ascii="Cambria Math"/>
              </w:rPr>
              <m:t>min</m:t>
            </m:r>
          </m:fName>
          <m:e>
            <m:d>
              <m:dPr>
                <m:ctrlPr>
                  <w:rPr>
                    <w:rFonts w:ascii="Cambria Math" w:hAnsi="Cambria Math"/>
                    <w:i/>
                  </w:rPr>
                </m:ctrlPr>
              </m:dPr>
              <m:e>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max,slot,</m:t>
                    </m:r>
                    <m:r>
                      <w:rPr>
                        <w:rFonts w:ascii="Cambria Math"/>
                      </w:rPr>
                      <m:t>μ</m:t>
                    </m:r>
                    <m:ctrlPr>
                      <w:rPr>
                        <w:rFonts w:ascii="Cambria Math" w:hAnsi="Cambria Math"/>
                      </w:rPr>
                    </m:ctrlPr>
                  </m:sup>
                </m:sSubSup>
                <m:r>
                  <w:rPr>
                    <w:rFonts w:ascii="Cambria Math"/>
                  </w:rPr>
                  <m:t>,</m:t>
                </m:r>
                <m:sSubSup>
                  <m:sSubSupPr>
                    <m:ctrlPr>
                      <w:rPr>
                        <w:rFonts w:ascii="Cambria Math" w:hAnsi="Cambria Math"/>
                        <w:i/>
                      </w:rPr>
                    </m:ctrlPr>
                  </m:sSubSupPr>
                  <m:e>
                    <m:r>
                      <w:rPr>
                        <w:rFonts w:ascii="Cambria Math"/>
                      </w:rPr>
                      <m:t>M</m:t>
                    </m:r>
                  </m:e>
                  <m:sub>
                    <m:r>
                      <m:rPr>
                        <m:nor/>
                      </m:rPr>
                      <w:rPr>
                        <w:rFonts w:ascii="Cambria Math"/>
                      </w:rPr>
                      <m:t>PDCCH</m:t>
                    </m:r>
                    <m:ctrlPr>
                      <w:rPr>
                        <w:rFonts w:ascii="Cambria Math" w:hAnsi="Cambria Math"/>
                      </w:rPr>
                    </m:ctrlPr>
                  </m:sub>
                  <m:sup>
                    <m:r>
                      <m:rPr>
                        <m:nor/>
                      </m:rPr>
                      <w:rPr>
                        <w:rFonts w:ascii="Cambria Math"/>
                      </w:rPr>
                      <m:t>total,slot,</m:t>
                    </m:r>
                    <m:r>
                      <w:rPr>
                        <w:rFonts w:ascii="Cambria Math"/>
                      </w:rPr>
                      <m:t>μ</m:t>
                    </m:r>
                    <m:ctrlPr>
                      <w:rPr>
                        <w:rFonts w:ascii="Cambria Math" w:hAnsi="Cambria Math"/>
                      </w:rPr>
                    </m:ctrlPr>
                  </m:sup>
                </m:sSubSup>
              </m:e>
            </m:d>
          </m:e>
        </m:func>
      </m:oMath>
      <w:r>
        <w:t xml:space="preserve">, and using </w:t>
      </w:r>
      <m:oMath>
        <m:d>
          <m:dPr>
            <m:begChr m:val="⌊"/>
            <m:endChr m:val="⌋"/>
            <m:ctrlPr>
              <w:rPr>
                <w:rFonts w:ascii="Cambria Math" w:eastAsia="DengXian" w:hAnsi="Cambria Math"/>
                <w:i/>
                <w:szCs w:val="18"/>
              </w:rPr>
            </m:ctrlPr>
          </m:dPr>
          <m:e>
            <m:r>
              <w:rPr>
                <w:rFonts w:ascii="Cambria Math" w:eastAsia="DengXian" w:hAnsi="Cambria Math"/>
                <w:szCs w:val="18"/>
              </w:rPr>
              <m:t>α</m:t>
            </m:r>
            <m:r>
              <w:rPr>
                <w:rFonts w:ascii="Cambria Math" w:hAnsi="Cambria Math"/>
              </w:rPr>
              <m:t>∙</m:t>
            </m:r>
            <m:func>
              <m:funcPr>
                <m:ctrlPr>
                  <w:rPr>
                    <w:rFonts w:ascii="Cambria Math" w:hAnsi="Cambria Math"/>
                    <w:i/>
                  </w:rPr>
                </m:ctrlPr>
              </m:funcPr>
              <m:fName>
                <m:r>
                  <m:rPr>
                    <m:sty m:val="p"/>
                  </m:rPr>
                  <w:rPr>
                    <w:rFonts w:ascii="Cambria Math"/>
                  </w:rPr>
                  <m:t>min</m:t>
                </m:r>
              </m:fName>
              <m:e>
                <m:d>
                  <m:dPr>
                    <m:ctrlPr>
                      <w:rPr>
                        <w:rFonts w:ascii="Cambria Math" w:hAnsi="Cambria Math"/>
                        <w:i/>
                      </w:rPr>
                    </m:ctrlPr>
                  </m:dPr>
                  <m:e>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max,slot,</m:t>
                        </m:r>
                        <m:r>
                          <w:rPr>
                            <w:rFonts w:ascii="Cambria Math"/>
                          </w:rPr>
                          <m:t>μ</m:t>
                        </m:r>
                        <m:ctrlPr>
                          <w:rPr>
                            <w:rFonts w:ascii="Cambria Math" w:hAnsi="Cambria Math"/>
                          </w:rPr>
                        </m:ctrlPr>
                      </m:sup>
                    </m:sSubSup>
                    <m:r>
                      <w:rPr>
                        <w:rFonts w:ascii="Cambria Math"/>
                      </w:rPr>
                      <m:t>,</m:t>
                    </m:r>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total,slot,</m:t>
                        </m:r>
                        <m:r>
                          <w:rPr>
                            <w:rFonts w:ascii="Cambria Math"/>
                          </w:rPr>
                          <m:t>μ</m:t>
                        </m:r>
                        <m:ctrlPr>
                          <w:rPr>
                            <w:rFonts w:ascii="Cambria Math" w:hAnsi="Cambria Math"/>
                          </w:rPr>
                        </m:ctrlPr>
                      </m:sup>
                    </m:sSubSup>
                  </m:e>
                </m:d>
              </m:e>
            </m:func>
          </m:e>
        </m:d>
      </m:oMath>
      <w:r>
        <w:t xml:space="preserve"> instead of </w:t>
      </w:r>
      <m:oMath>
        <m:func>
          <m:funcPr>
            <m:ctrlPr>
              <w:rPr>
                <w:rFonts w:ascii="Cambria Math" w:hAnsi="Cambria Math"/>
                <w:i/>
              </w:rPr>
            </m:ctrlPr>
          </m:funcPr>
          <m:fName>
            <m:r>
              <m:rPr>
                <m:sty m:val="p"/>
              </m:rPr>
              <w:rPr>
                <w:rFonts w:ascii="Cambria Math"/>
              </w:rPr>
              <m:t>min</m:t>
            </m:r>
          </m:fName>
          <m:e>
            <m:d>
              <m:dPr>
                <m:ctrlPr>
                  <w:rPr>
                    <w:rFonts w:ascii="Cambria Math" w:hAnsi="Cambria Math"/>
                    <w:i/>
                  </w:rPr>
                </m:ctrlPr>
              </m:dPr>
              <m:e>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max,slot,</m:t>
                    </m:r>
                    <m:r>
                      <w:rPr>
                        <w:rFonts w:ascii="Cambria Math"/>
                      </w:rPr>
                      <m:t>μ</m:t>
                    </m:r>
                    <m:ctrlPr>
                      <w:rPr>
                        <w:rFonts w:ascii="Cambria Math" w:hAnsi="Cambria Math"/>
                      </w:rPr>
                    </m:ctrlPr>
                  </m:sup>
                </m:sSubSup>
                <m:r>
                  <w:rPr>
                    <w:rFonts w:ascii="Cambria Math"/>
                  </w:rPr>
                  <m:t>,</m:t>
                </m:r>
                <m:sSubSup>
                  <m:sSubSupPr>
                    <m:ctrlPr>
                      <w:rPr>
                        <w:rFonts w:ascii="Cambria Math" w:hAnsi="Cambria Math"/>
                        <w:i/>
                      </w:rPr>
                    </m:ctrlPr>
                  </m:sSubSupPr>
                  <m:e>
                    <m:r>
                      <w:rPr>
                        <w:rFonts w:ascii="Cambria Math"/>
                      </w:rPr>
                      <m:t>C</m:t>
                    </m:r>
                  </m:e>
                  <m:sub>
                    <m:r>
                      <m:rPr>
                        <m:nor/>
                      </m:rPr>
                      <w:rPr>
                        <w:rFonts w:ascii="Cambria Math"/>
                      </w:rPr>
                      <m:t>PDCCH</m:t>
                    </m:r>
                    <m:ctrlPr>
                      <w:rPr>
                        <w:rFonts w:ascii="Cambria Math" w:hAnsi="Cambria Math"/>
                      </w:rPr>
                    </m:ctrlPr>
                  </m:sub>
                  <m:sup>
                    <m:r>
                      <m:rPr>
                        <m:nor/>
                      </m:rPr>
                      <w:rPr>
                        <w:rFonts w:ascii="Cambria Math"/>
                      </w:rPr>
                      <m:t>total,slot,</m:t>
                    </m:r>
                    <m:r>
                      <w:rPr>
                        <w:rFonts w:ascii="Cambria Math"/>
                      </w:rPr>
                      <m:t>μ</m:t>
                    </m:r>
                    <m:ctrlPr>
                      <w:rPr>
                        <w:rFonts w:ascii="Cambria Math" w:hAnsi="Cambria Math"/>
                      </w:rPr>
                    </m:ctrlPr>
                  </m:sup>
                </m:sSubSup>
              </m:e>
            </m:d>
          </m:e>
        </m:func>
      </m:oMath>
      <w:r>
        <w:t xml:space="preserve"> for the primary cell.</w:t>
      </w:r>
    </w:p>
    <w:p w14:paraId="3A1B9CA1" w14:textId="77777777" w:rsidR="009919DB" w:rsidRPr="00B916EC" w:rsidRDefault="009919DB" w:rsidP="001322F1">
      <w:pPr>
        <w:pStyle w:val="Heading2"/>
      </w:pPr>
      <w:bookmarkStart w:id="672" w:name="_Toc12021487"/>
      <w:bookmarkStart w:id="673" w:name="_Toc20311599"/>
      <w:bookmarkStart w:id="674" w:name="_Toc26719424"/>
      <w:bookmarkStart w:id="675" w:name="_Toc29894859"/>
      <w:bookmarkStart w:id="676" w:name="_Toc29899158"/>
      <w:bookmarkStart w:id="677" w:name="_Toc29899576"/>
      <w:bookmarkStart w:id="678" w:name="_Toc29917313"/>
      <w:bookmarkStart w:id="679" w:name="_Toc36498187"/>
      <w:bookmarkStart w:id="680" w:name="_Toc45699214"/>
      <w:bookmarkStart w:id="681" w:name="_Toc161999145"/>
      <w:r w:rsidRPr="00B916EC">
        <w:t>10</w:t>
      </w:r>
      <w:r>
        <w:rPr>
          <w:rFonts w:hint="eastAsia"/>
        </w:rPr>
        <w:t>.2</w:t>
      </w:r>
      <w:r w:rsidRPr="00B916EC">
        <w:rPr>
          <w:rFonts w:hint="eastAsia"/>
        </w:rPr>
        <w:tab/>
      </w:r>
      <w:r>
        <w:t xml:space="preserve">PDCCH validation for DL </w:t>
      </w:r>
      <w:r w:rsidRPr="00C007CA">
        <w:rPr>
          <w:szCs w:val="32"/>
        </w:rPr>
        <w:t xml:space="preserve">SPS </w:t>
      </w:r>
      <w:r>
        <w:rPr>
          <w:rFonts w:cs="Arial"/>
          <w:color w:val="000000"/>
          <w:szCs w:val="32"/>
          <w:lang w:eastAsia="zh-CN"/>
        </w:rPr>
        <w:t>and UL</w:t>
      </w:r>
      <w:r w:rsidRPr="00C007CA">
        <w:rPr>
          <w:rFonts w:cs="Arial"/>
          <w:color w:val="000000"/>
          <w:szCs w:val="32"/>
          <w:lang w:eastAsia="zh-CN"/>
        </w:rPr>
        <w:t xml:space="preserve"> grant Type 2</w:t>
      </w:r>
      <w:bookmarkEnd w:id="672"/>
      <w:bookmarkEnd w:id="673"/>
      <w:bookmarkEnd w:id="674"/>
      <w:bookmarkEnd w:id="675"/>
      <w:bookmarkEnd w:id="676"/>
      <w:bookmarkEnd w:id="677"/>
      <w:bookmarkEnd w:id="678"/>
      <w:bookmarkEnd w:id="679"/>
      <w:bookmarkEnd w:id="680"/>
      <w:bookmarkEnd w:id="681"/>
    </w:p>
    <w:p w14:paraId="5054AF51" w14:textId="42B9E942" w:rsidR="009919DB" w:rsidRDefault="009919DB" w:rsidP="009919DB">
      <w:pPr>
        <w:rPr>
          <w:rFonts w:eastAsia="DengXian"/>
          <w:lang w:eastAsia="zh-CN"/>
        </w:rPr>
      </w:pPr>
      <w:r>
        <w:rPr>
          <w:rFonts w:eastAsia="DengXian"/>
          <w:lang w:eastAsia="zh-CN"/>
        </w:rPr>
        <w:t>A UE</w:t>
      </w:r>
      <w:r w:rsidRPr="003918C5">
        <w:rPr>
          <w:rFonts w:eastAsia="DengXian"/>
          <w:lang w:eastAsia="zh-CN"/>
        </w:rPr>
        <w:t xml:space="preserve"> validate</w:t>
      </w:r>
      <w:r>
        <w:rPr>
          <w:rFonts w:eastAsia="DengXian"/>
          <w:lang w:eastAsia="zh-CN"/>
        </w:rPr>
        <w:t>s, for scheduling activation or scheduling release,</w:t>
      </w:r>
      <w:r w:rsidRPr="003918C5">
        <w:rPr>
          <w:rFonts w:eastAsia="DengXian"/>
          <w:lang w:eastAsia="zh-CN"/>
        </w:rPr>
        <w:t xml:space="preserve"> a DL SPS assignment </w:t>
      </w:r>
      <w:r>
        <w:rPr>
          <w:rFonts w:eastAsia="DengXian"/>
          <w:lang w:eastAsia="zh-CN"/>
        </w:rPr>
        <w:t xml:space="preserve">PDCCH or </w:t>
      </w:r>
      <w:r w:rsidR="00D93568">
        <w:rPr>
          <w:rFonts w:eastAsia="DengXian"/>
          <w:lang w:eastAsia="zh-CN"/>
        </w:rPr>
        <w:t xml:space="preserve">a </w:t>
      </w:r>
      <w:r>
        <w:rPr>
          <w:rFonts w:eastAsia="DengXian"/>
          <w:lang w:eastAsia="zh-CN"/>
        </w:rPr>
        <w:t>configured UL grant Type 2</w:t>
      </w:r>
      <w:r w:rsidRPr="003918C5">
        <w:rPr>
          <w:rFonts w:eastAsia="DengXian"/>
          <w:lang w:eastAsia="zh-CN"/>
        </w:rPr>
        <w:t xml:space="preserve"> </w:t>
      </w:r>
      <w:r>
        <w:rPr>
          <w:rFonts w:eastAsia="DengXian"/>
          <w:lang w:eastAsia="zh-CN"/>
        </w:rPr>
        <w:t>PDCCH if</w:t>
      </w:r>
    </w:p>
    <w:p w14:paraId="5BD6A6AB" w14:textId="2E9D2317" w:rsidR="009919DB" w:rsidRDefault="009919DB" w:rsidP="009919DB">
      <w:pPr>
        <w:pStyle w:val="B1"/>
        <w:rPr>
          <w:rFonts w:eastAsia="DengXian"/>
          <w:lang w:eastAsia="zh-CN"/>
        </w:rPr>
      </w:pPr>
      <w:r>
        <w:t>-</w:t>
      </w:r>
      <w:r>
        <w:tab/>
      </w:r>
      <w:r>
        <w:rPr>
          <w:rFonts w:eastAsia="DengXian"/>
          <w:lang w:eastAsia="zh-CN"/>
        </w:rPr>
        <w:t>the CRC of a corresponding</w:t>
      </w:r>
      <w:r w:rsidRPr="003918C5">
        <w:rPr>
          <w:rFonts w:eastAsia="DengXian"/>
          <w:lang w:eastAsia="zh-CN"/>
        </w:rPr>
        <w:t xml:space="preserve"> </w:t>
      </w:r>
      <w:r>
        <w:rPr>
          <w:rFonts w:eastAsia="DengXian"/>
          <w:lang w:eastAsia="zh-CN"/>
        </w:rPr>
        <w:t xml:space="preserve">DCI format </w:t>
      </w:r>
      <w:r w:rsidR="007E0F25">
        <w:rPr>
          <w:rFonts w:eastAsia="DengXian"/>
          <w:lang w:val="en-US" w:eastAsia="zh-CN"/>
        </w:rPr>
        <w:t>is</w:t>
      </w:r>
      <w:r w:rsidR="007E0F25">
        <w:rPr>
          <w:rFonts w:eastAsia="DengXian"/>
          <w:lang w:eastAsia="zh-CN"/>
        </w:rPr>
        <w:t xml:space="preserve"> </w:t>
      </w:r>
      <w:r>
        <w:rPr>
          <w:rFonts w:eastAsia="DengXian"/>
          <w:lang w:eastAsia="zh-CN"/>
        </w:rPr>
        <w:t>scrambled with a</w:t>
      </w:r>
      <w:r w:rsidRPr="003918C5">
        <w:rPr>
          <w:rFonts w:eastAsia="DengXian"/>
          <w:lang w:eastAsia="zh-CN"/>
        </w:rPr>
        <w:t xml:space="preserve"> CS-RNTI</w:t>
      </w:r>
      <w:r>
        <w:rPr>
          <w:rFonts w:eastAsia="DengXian"/>
          <w:lang w:eastAsia="zh-CN"/>
        </w:rPr>
        <w:t xml:space="preserve"> provided by </w:t>
      </w:r>
      <w:r w:rsidRPr="00627CB1">
        <w:rPr>
          <w:i/>
        </w:rPr>
        <w:t>cs-RNTI</w:t>
      </w:r>
      <w:r w:rsidR="00B45247" w:rsidRPr="0088027F">
        <w:rPr>
          <w:iCs/>
          <w:lang w:val="en-US"/>
        </w:rPr>
        <w:t xml:space="preserve"> or a G-CS-RNTI provided by g-cs-RNTI</w:t>
      </w:r>
      <w:r>
        <w:rPr>
          <w:rFonts w:eastAsia="DengXian"/>
          <w:lang w:val="en-US" w:eastAsia="zh-CN"/>
        </w:rPr>
        <w:t>, and</w:t>
      </w:r>
    </w:p>
    <w:p w14:paraId="666DD6A5" w14:textId="77777777" w:rsidR="00E103F9" w:rsidRPr="00370E38" w:rsidRDefault="009919DB" w:rsidP="00E103F9">
      <w:pPr>
        <w:pStyle w:val="B1"/>
        <w:rPr>
          <w:lang w:val="en-US" w:eastAsia="zh-CN"/>
        </w:rPr>
      </w:pPr>
      <w:r>
        <w:t>-</w:t>
      </w:r>
      <w:r>
        <w:tab/>
      </w:r>
      <w:r w:rsidRPr="00DD054E">
        <w:rPr>
          <w:lang w:eastAsia="zh-CN"/>
        </w:rPr>
        <w:t xml:space="preserve">the new data indicator field </w:t>
      </w:r>
      <w:r w:rsidR="00D42474">
        <w:rPr>
          <w:lang w:val="en-US" w:eastAsia="zh-CN"/>
        </w:rPr>
        <w:t xml:space="preserve">in the DCI format </w:t>
      </w:r>
      <w:r>
        <w:rPr>
          <w:lang w:val="en-US" w:eastAsia="zh-CN"/>
        </w:rPr>
        <w:t xml:space="preserve">for the enabled transport block </w:t>
      </w:r>
      <w:r w:rsidRPr="00DD054E">
        <w:rPr>
          <w:lang w:eastAsia="zh-CN"/>
        </w:rPr>
        <w:t xml:space="preserve">is set to </w:t>
      </w:r>
      <w:r w:rsidR="00CC6760">
        <w:rPr>
          <w:lang w:eastAsia="zh-CN"/>
        </w:rPr>
        <w:t>'</w:t>
      </w:r>
      <w:r w:rsidRPr="00DD054E">
        <w:rPr>
          <w:lang w:eastAsia="zh-CN"/>
        </w:rPr>
        <w:t>0</w:t>
      </w:r>
      <w:r w:rsidR="00CC6760">
        <w:rPr>
          <w:lang w:eastAsia="zh-CN"/>
        </w:rPr>
        <w:t>'</w:t>
      </w:r>
      <w:r w:rsidR="00E103F9" w:rsidRPr="00370E38">
        <w:rPr>
          <w:lang w:val="en-US" w:eastAsia="zh-CN"/>
        </w:rPr>
        <w:t>, and</w:t>
      </w:r>
    </w:p>
    <w:p w14:paraId="07AA482B" w14:textId="68BA6E35" w:rsidR="00D93568" w:rsidRDefault="00E103F9" w:rsidP="00D93568">
      <w:pPr>
        <w:pStyle w:val="B1"/>
        <w:rPr>
          <w:lang w:val="en-US" w:eastAsia="zh-CN"/>
        </w:rPr>
      </w:pPr>
      <w:r w:rsidRPr="00370E38">
        <w:t>-</w:t>
      </w:r>
      <w:r w:rsidRPr="00370E38">
        <w:tab/>
      </w:r>
      <w:r w:rsidRPr="00370E38">
        <w:rPr>
          <w:lang w:eastAsia="zh-CN"/>
        </w:rPr>
        <w:t xml:space="preserve">the </w:t>
      </w:r>
      <w:r w:rsidRPr="00370E38">
        <w:rPr>
          <w:lang w:val="en-US" w:eastAsia="zh-CN"/>
        </w:rPr>
        <w:t>DFI flag</w:t>
      </w:r>
      <w:r w:rsidRPr="00370E38">
        <w:rPr>
          <w:lang w:eastAsia="zh-CN"/>
        </w:rPr>
        <w:t xml:space="preserve"> field</w:t>
      </w:r>
      <w:r w:rsidRPr="00370E38">
        <w:rPr>
          <w:lang w:val="en-US" w:eastAsia="zh-CN"/>
        </w:rPr>
        <w:t>, if present,</w:t>
      </w:r>
      <w:r w:rsidRPr="00370E38">
        <w:rPr>
          <w:lang w:eastAsia="zh-CN"/>
        </w:rPr>
        <w:t xml:space="preserve"> </w:t>
      </w:r>
      <w:r w:rsidRPr="00370E38">
        <w:rPr>
          <w:lang w:val="en-US" w:eastAsia="zh-CN"/>
        </w:rPr>
        <w:t xml:space="preserve">in the DCI format </w:t>
      </w:r>
      <w:r w:rsidRPr="00370E38">
        <w:rPr>
          <w:lang w:eastAsia="zh-CN"/>
        </w:rPr>
        <w:t>is set to '0'</w:t>
      </w:r>
      <w:r w:rsidR="00D93568">
        <w:rPr>
          <w:lang w:val="en-US" w:eastAsia="zh-CN"/>
        </w:rPr>
        <w:t>, and</w:t>
      </w:r>
    </w:p>
    <w:p w14:paraId="5322E356" w14:textId="2D021589" w:rsidR="00205855" w:rsidRDefault="00205855" w:rsidP="00D93568">
      <w:pPr>
        <w:pStyle w:val="B1"/>
        <w:rPr>
          <w:lang w:val="en-US" w:eastAsia="zh-CN"/>
        </w:rPr>
      </w:pPr>
      <w:r w:rsidRPr="008B3080">
        <w:t>-</w:t>
      </w:r>
      <w:r w:rsidRPr="008B3080">
        <w:tab/>
      </w:r>
      <w:r w:rsidRPr="008B3080">
        <w:rPr>
          <w:lang w:eastAsia="zh-CN"/>
        </w:rPr>
        <w:t xml:space="preserve">the </w:t>
      </w:r>
      <w:r w:rsidRPr="008B3080">
        <w:rPr>
          <w:lang w:val="en-US" w:eastAsia="zh-CN"/>
        </w:rPr>
        <w:t>time domain resource assignment</w:t>
      </w:r>
      <w:r w:rsidRPr="008B3080">
        <w:rPr>
          <w:lang w:eastAsia="zh-CN"/>
        </w:rPr>
        <w:t xml:space="preserve"> field </w:t>
      </w:r>
      <w:r w:rsidRPr="008B3080">
        <w:rPr>
          <w:lang w:val="en-US" w:eastAsia="zh-CN"/>
        </w:rPr>
        <w:t xml:space="preserve">in the DCI format </w:t>
      </w:r>
      <w:r w:rsidRPr="008B3080">
        <w:rPr>
          <w:lang w:eastAsia="zh-CN"/>
        </w:rPr>
        <w:t>indicates a row with single SLIV</w:t>
      </w:r>
      <w:r w:rsidRPr="008B3080">
        <w:rPr>
          <w:lang w:val="en-US" w:eastAsia="zh-CN"/>
        </w:rPr>
        <w:t>, and</w:t>
      </w:r>
    </w:p>
    <w:p w14:paraId="54C4CBB5" w14:textId="170DF84F" w:rsidR="009919DB" w:rsidRDefault="00D93568" w:rsidP="00D93568">
      <w:pPr>
        <w:pStyle w:val="B1"/>
        <w:rPr>
          <w:rFonts w:eastAsia="DengXian"/>
          <w:lang w:eastAsia="zh-CN"/>
        </w:rPr>
      </w:pPr>
      <w:r w:rsidRPr="00370E38">
        <w:t>-</w:t>
      </w:r>
      <w:r w:rsidRPr="00370E38">
        <w:tab/>
      </w:r>
      <w:r>
        <w:rPr>
          <w:iCs/>
          <w:lang w:val="en-US"/>
        </w:rPr>
        <w:t xml:space="preserve">if validation is for </w:t>
      </w:r>
      <w:r>
        <w:rPr>
          <w:rFonts w:eastAsia="DengXian"/>
          <w:lang w:eastAsia="zh-CN"/>
        </w:rPr>
        <w:t>scheduling activation</w:t>
      </w:r>
      <w:r>
        <w:rPr>
          <w:rFonts w:eastAsia="DengXian"/>
          <w:lang w:val="en-US" w:eastAsia="zh-CN"/>
        </w:rPr>
        <w:t xml:space="preserve"> and</w:t>
      </w:r>
      <w:r>
        <w:t xml:space="preserve"> </w:t>
      </w:r>
      <w:r>
        <w:rPr>
          <w:lang w:val="en-US"/>
        </w:rPr>
        <w:t xml:space="preserve">if </w:t>
      </w:r>
      <w:r>
        <w:t xml:space="preserve">the </w:t>
      </w:r>
      <w:r>
        <w:rPr>
          <w:lang w:eastAsia="zh-CN"/>
        </w:rPr>
        <w:t xml:space="preserve">PDSCH-to-HARQ_feedback timing indicator field </w:t>
      </w:r>
      <w:r>
        <w:rPr>
          <w:lang w:val="en-US" w:eastAsia="zh-CN"/>
        </w:rPr>
        <w:t xml:space="preserve">in the DCI format is present, the </w:t>
      </w:r>
      <w:r>
        <w:rPr>
          <w:lang w:eastAsia="zh-CN"/>
        </w:rPr>
        <w:t xml:space="preserve">PDSCH-to-HARQ_feedback timing indicator field does not provide an inapplicable value from </w:t>
      </w:r>
      <w:r>
        <w:rPr>
          <w:i/>
        </w:rPr>
        <w:t>dl-DataToUL-ACK</w:t>
      </w:r>
      <w:r w:rsidR="00544BB1">
        <w:rPr>
          <w:i/>
          <w:lang w:val="en-US"/>
        </w:rPr>
        <w:t>-r16</w:t>
      </w:r>
      <w:r w:rsidR="00336069" w:rsidRPr="00336069">
        <w:rPr>
          <w:lang w:val="en-US"/>
        </w:rPr>
        <w:t xml:space="preserve"> </w:t>
      </w:r>
      <w:r w:rsidR="00336069" w:rsidRPr="003423E2">
        <w:rPr>
          <w:lang w:val="en-US"/>
        </w:rPr>
        <w:t>or</w:t>
      </w:r>
      <w:r w:rsidR="00336069" w:rsidRPr="002B0594">
        <w:rPr>
          <w:i/>
          <w:iCs/>
        </w:rPr>
        <w:t xml:space="preserve"> dl-DataToUL-ACK-r17</w:t>
      </w:r>
      <w:r w:rsidR="009919DB" w:rsidRPr="00DD054E">
        <w:rPr>
          <w:lang w:eastAsia="zh-CN"/>
        </w:rPr>
        <w:t xml:space="preserve">. </w:t>
      </w:r>
    </w:p>
    <w:p w14:paraId="1CC7B393" w14:textId="15075180" w:rsidR="009919DB" w:rsidRPr="00383155" w:rsidRDefault="00D42474" w:rsidP="009919DB">
      <w:pPr>
        <w:pStyle w:val="B1"/>
        <w:ind w:left="0" w:firstLine="0"/>
      </w:pPr>
      <w:r>
        <w:rPr>
          <w:rFonts w:eastAsia="DengXian"/>
          <w:lang w:eastAsia="zh-CN"/>
        </w:rPr>
        <w:t xml:space="preserve">If a UE is provided a single configuration for </w:t>
      </w:r>
      <w:r>
        <w:rPr>
          <w:rFonts w:eastAsia="DengXian"/>
          <w:lang w:val="en-US" w:eastAsia="zh-CN"/>
        </w:rPr>
        <w:t xml:space="preserve">UL grant Type 2 PUSCH or for </w:t>
      </w:r>
      <w:r w:rsidRPr="003918C5">
        <w:rPr>
          <w:rFonts w:eastAsia="DengXian"/>
          <w:lang w:eastAsia="zh-CN"/>
        </w:rPr>
        <w:t>SPS</w:t>
      </w:r>
      <w:r>
        <w:rPr>
          <w:rFonts w:eastAsia="DengXian"/>
          <w:lang w:val="en-US" w:eastAsia="zh-CN"/>
        </w:rPr>
        <w:t xml:space="preserve"> PDSCH, v</w:t>
      </w:r>
      <w:r w:rsidRPr="003918C5">
        <w:rPr>
          <w:rFonts w:eastAsia="DengXian"/>
          <w:lang w:eastAsia="zh-CN"/>
        </w:rPr>
        <w:t xml:space="preserve">alidation </w:t>
      </w:r>
      <w:r w:rsidR="009919DB">
        <w:rPr>
          <w:rFonts w:eastAsia="DengXian"/>
          <w:lang w:eastAsia="zh-CN"/>
        </w:rPr>
        <w:t xml:space="preserve">of the DCI format is achieved if all fields for the </w:t>
      </w:r>
      <w:r w:rsidR="009919DB" w:rsidRPr="003918C5">
        <w:rPr>
          <w:rFonts w:eastAsia="DengXian"/>
          <w:lang w:eastAsia="zh-CN"/>
        </w:rPr>
        <w:t xml:space="preserve">DCI format are </w:t>
      </w:r>
      <w:r w:rsidR="009919DB">
        <w:rPr>
          <w:rFonts w:eastAsia="DengXian"/>
          <w:lang w:eastAsia="zh-CN"/>
        </w:rPr>
        <w:t>set according to Table 10.2</w:t>
      </w:r>
      <w:r w:rsidR="009919DB" w:rsidRPr="003918C5">
        <w:rPr>
          <w:rFonts w:eastAsia="DengXian"/>
          <w:lang w:eastAsia="zh-CN"/>
        </w:rPr>
        <w:t xml:space="preserve">-1 or Table </w:t>
      </w:r>
      <w:r w:rsidR="009919DB">
        <w:rPr>
          <w:rFonts w:eastAsia="DengXian"/>
          <w:lang w:eastAsia="zh-CN"/>
        </w:rPr>
        <w:t>10</w:t>
      </w:r>
      <w:r w:rsidR="009919DB" w:rsidRPr="003918C5">
        <w:rPr>
          <w:rFonts w:eastAsia="DengXian"/>
          <w:lang w:eastAsia="zh-CN"/>
        </w:rPr>
        <w:t xml:space="preserve">.2-2. </w:t>
      </w:r>
    </w:p>
    <w:p w14:paraId="153889A2" w14:textId="27A88957" w:rsidR="00E47AF5" w:rsidRPr="001B7540" w:rsidRDefault="00E47AF5" w:rsidP="00B15B58">
      <w:r w:rsidRPr="001B7540">
        <w:rPr>
          <w:rFonts w:eastAsia="DengXian"/>
          <w:lang w:eastAsia="zh-CN"/>
        </w:rPr>
        <w:lastRenderedPageBreak/>
        <w:t xml:space="preserve">If a UE is </w:t>
      </w:r>
      <w:r w:rsidRPr="001B7540">
        <w:rPr>
          <w:rFonts w:eastAsia="DengXian"/>
          <w:lang w:val="en-US" w:eastAsia="zh-CN"/>
        </w:rPr>
        <w:t xml:space="preserve">provided more than one configuration for UL grant Type 2 PUSCH or for </w:t>
      </w:r>
      <w:r w:rsidRPr="001B7540">
        <w:rPr>
          <w:rFonts w:eastAsia="DengXian"/>
          <w:lang w:eastAsia="zh-CN"/>
        </w:rPr>
        <w:t>SPS</w:t>
      </w:r>
      <w:r w:rsidRPr="001B7540">
        <w:rPr>
          <w:rFonts w:eastAsia="DengXian"/>
          <w:lang w:val="en-US" w:eastAsia="zh-CN"/>
        </w:rPr>
        <w:t xml:space="preserve"> PDSCH, a</w:t>
      </w:r>
      <w:r w:rsidRPr="001B7540">
        <w:rPr>
          <w:rFonts w:eastAsia="DengXian"/>
          <w:lang w:eastAsia="zh-CN"/>
        </w:rPr>
        <w:t xml:space="preserve"> value of the HARQ process number field </w:t>
      </w:r>
      <w:r w:rsidRPr="001B7540">
        <w:rPr>
          <w:rFonts w:eastAsia="DengXian"/>
          <w:lang w:val="en-US" w:eastAsia="zh-CN"/>
        </w:rPr>
        <w:t xml:space="preserve">in a DCI format </w:t>
      </w:r>
      <w:r w:rsidRPr="001B7540">
        <w:rPr>
          <w:rFonts w:eastAsia="DengXian"/>
          <w:lang w:eastAsia="zh-CN"/>
        </w:rPr>
        <w:t xml:space="preserve">indicates </w:t>
      </w:r>
      <w:r w:rsidRPr="001B7540">
        <w:rPr>
          <w:rFonts w:eastAsia="DengXian"/>
          <w:lang w:val="en-US" w:eastAsia="zh-CN"/>
        </w:rPr>
        <w:t xml:space="preserve">an activation for </w:t>
      </w:r>
      <w:r w:rsidRPr="001B7540">
        <w:rPr>
          <w:rFonts w:eastAsia="DengXian"/>
          <w:lang w:eastAsia="zh-CN"/>
        </w:rPr>
        <w:t>a</w:t>
      </w:r>
      <w:r w:rsidRPr="001B7540">
        <w:rPr>
          <w:rFonts w:eastAsia="DengXian"/>
          <w:lang w:val="en-US" w:eastAsia="zh-CN"/>
        </w:rPr>
        <w:t xml:space="preserve"> corresponding UL grant Type 2 PUSCH or for a </w:t>
      </w:r>
      <w:r w:rsidRPr="001B7540">
        <w:rPr>
          <w:rFonts w:eastAsia="DengXian"/>
          <w:lang w:eastAsia="zh-CN"/>
        </w:rPr>
        <w:t>SPS</w:t>
      </w:r>
      <w:r w:rsidRPr="001B7540">
        <w:rPr>
          <w:rFonts w:eastAsia="DengXian"/>
          <w:lang w:val="en-US" w:eastAsia="zh-CN"/>
        </w:rPr>
        <w:t xml:space="preserve"> PDSCH configuration</w:t>
      </w:r>
      <w:r w:rsidRPr="001B7540">
        <w:rPr>
          <w:rFonts w:eastAsia="DengXian"/>
          <w:lang w:eastAsia="zh-CN"/>
        </w:rPr>
        <w:t xml:space="preserve"> </w:t>
      </w:r>
      <w:r w:rsidRPr="001B7540">
        <w:rPr>
          <w:rFonts w:eastAsia="DengXian"/>
          <w:lang w:val="en-US" w:eastAsia="zh-CN"/>
        </w:rPr>
        <w:t xml:space="preserve">with a same value as provided by </w:t>
      </w:r>
      <w:r w:rsidR="00544BB1">
        <w:rPr>
          <w:rFonts w:eastAsia="DengXian"/>
          <w:i/>
          <w:lang w:val="en-US" w:eastAsia="zh-CN"/>
        </w:rPr>
        <w:t>ConfiguredGrantConfigIndex</w:t>
      </w:r>
      <w:r w:rsidR="00544BB1">
        <w:rPr>
          <w:rFonts w:eastAsia="DengXian"/>
          <w:lang w:val="en-US" w:eastAsia="zh-CN"/>
        </w:rPr>
        <w:t xml:space="preserve"> or by </w:t>
      </w:r>
      <w:r w:rsidR="00544BB1">
        <w:rPr>
          <w:i/>
          <w:iCs/>
        </w:rPr>
        <w:t>sps-ConfigIndex</w:t>
      </w:r>
      <w:r w:rsidRPr="001B7540">
        <w:rPr>
          <w:rFonts w:eastAsia="DengXian"/>
          <w:lang w:val="en-US" w:eastAsia="zh-CN"/>
        </w:rPr>
        <w:t xml:space="preserve">, respectively. </w:t>
      </w:r>
      <w:r w:rsidRPr="001B7540">
        <w:rPr>
          <w:rFonts w:eastAsia="DengXian"/>
          <w:lang w:eastAsia="zh-CN"/>
        </w:rPr>
        <w:t>Validation of the DCI format is achieved if the RV field for the DCI format is set as in Table 10.2-</w:t>
      </w:r>
      <w:r w:rsidRPr="001B7540">
        <w:rPr>
          <w:rFonts w:eastAsia="DengXian"/>
          <w:lang w:val="en-US" w:eastAsia="zh-CN"/>
        </w:rPr>
        <w:t>3</w:t>
      </w:r>
      <w:r w:rsidRPr="001B7540">
        <w:rPr>
          <w:rFonts w:eastAsia="DengXian"/>
          <w:lang w:eastAsia="zh-CN"/>
        </w:rPr>
        <w:t xml:space="preserve">. </w:t>
      </w:r>
    </w:p>
    <w:p w14:paraId="3504D0A3" w14:textId="6E2F3C59" w:rsidR="00E47AF5" w:rsidRPr="001B7540" w:rsidRDefault="00E47AF5" w:rsidP="00B15B58">
      <w:pPr>
        <w:rPr>
          <w:rFonts w:eastAsia="DengXian"/>
          <w:lang w:eastAsia="zh-CN"/>
        </w:rPr>
      </w:pPr>
      <w:r w:rsidRPr="001B7540">
        <w:rPr>
          <w:rFonts w:eastAsia="DengXian"/>
          <w:lang w:eastAsia="zh-CN"/>
        </w:rPr>
        <w:t xml:space="preserve">If a UE is </w:t>
      </w:r>
      <w:r w:rsidRPr="001B7540">
        <w:rPr>
          <w:rFonts w:eastAsia="DengXian"/>
          <w:lang w:val="en-US" w:eastAsia="zh-CN"/>
        </w:rPr>
        <w:t xml:space="preserve">provided more than one configuration for UL grant Type 2 PUSCH or for </w:t>
      </w:r>
      <w:r w:rsidRPr="001B7540">
        <w:rPr>
          <w:rFonts w:eastAsia="DengXian"/>
          <w:lang w:eastAsia="zh-CN"/>
        </w:rPr>
        <w:t>SPS</w:t>
      </w:r>
      <w:r w:rsidRPr="001B7540">
        <w:rPr>
          <w:rFonts w:eastAsia="DengXian"/>
          <w:lang w:val="en-US" w:eastAsia="zh-CN"/>
        </w:rPr>
        <w:t xml:space="preserve"> PDSCH</w:t>
      </w:r>
      <w:r w:rsidRPr="001B7540">
        <w:rPr>
          <w:rFonts w:eastAsia="DengXian"/>
          <w:lang w:eastAsia="zh-CN"/>
        </w:rPr>
        <w:t xml:space="preserve"> </w:t>
      </w:r>
    </w:p>
    <w:p w14:paraId="67C5F567" w14:textId="77777777" w:rsidR="00C64244" w:rsidRPr="001B7540" w:rsidRDefault="00C64244" w:rsidP="00C64244">
      <w:pPr>
        <w:pStyle w:val="B1"/>
        <w:rPr>
          <w:rFonts w:eastAsia="DengXian"/>
          <w:lang w:val="en-US" w:eastAsia="zh-CN"/>
        </w:rPr>
      </w:pPr>
      <w:r w:rsidRPr="001B7540">
        <w:t>-</w:t>
      </w:r>
      <w:r w:rsidRPr="001B7540">
        <w:tab/>
      </w:r>
      <w:r w:rsidRPr="001B7540">
        <w:rPr>
          <w:rFonts w:eastAsia="DengXian"/>
          <w:lang w:val="en-US" w:eastAsia="zh-CN"/>
        </w:rPr>
        <w:t xml:space="preserve">if the UE is </w:t>
      </w:r>
      <w:r w:rsidRPr="001B7540">
        <w:rPr>
          <w:rFonts w:eastAsia="DengXian"/>
          <w:lang w:eastAsia="zh-CN"/>
        </w:rPr>
        <w:t xml:space="preserve">provided </w:t>
      </w:r>
      <w:r w:rsidRPr="00081E14">
        <w:rPr>
          <w:rFonts w:eastAsia="DengXian"/>
          <w:i/>
          <w:lang w:eastAsia="zh-CN"/>
        </w:rPr>
        <w:t>ConfiguredGrantConfigType2DeactivationStateList</w:t>
      </w:r>
      <w:r w:rsidRPr="001B7540">
        <w:rPr>
          <w:rFonts w:eastAsia="DengXian"/>
          <w:lang w:eastAsia="zh-CN"/>
        </w:rPr>
        <w:t xml:space="preserve"> or </w:t>
      </w:r>
      <w:r w:rsidRPr="00FD0320">
        <w:rPr>
          <w:rFonts w:eastAsia="DengXian"/>
          <w:i/>
          <w:lang w:eastAsia="zh-CN"/>
        </w:rPr>
        <w:t>sps-ConfigDeactivationStateList</w:t>
      </w:r>
      <w:r w:rsidRPr="001B7540">
        <w:rPr>
          <w:rFonts w:eastAsia="DengXian"/>
          <w:lang w:eastAsia="zh-CN"/>
        </w:rPr>
        <w:t xml:space="preserve">, </w:t>
      </w:r>
      <w:r w:rsidRPr="001B7540">
        <w:rPr>
          <w:rFonts w:eastAsia="DengXian"/>
          <w:lang w:val="en-US" w:eastAsia="zh-CN"/>
        </w:rPr>
        <w:t>a</w:t>
      </w:r>
      <w:r w:rsidRPr="001B7540">
        <w:rPr>
          <w:rFonts w:eastAsia="DengXian"/>
          <w:lang w:eastAsia="zh-CN"/>
        </w:rPr>
        <w:t xml:space="preserve"> value of the HARQ process number field </w:t>
      </w:r>
      <w:r w:rsidRPr="001B7540">
        <w:rPr>
          <w:rFonts w:eastAsia="DengXian"/>
          <w:lang w:val="en-US" w:eastAsia="zh-CN"/>
        </w:rPr>
        <w:t xml:space="preserve">in a DCI format </w:t>
      </w:r>
      <w:r w:rsidRPr="001B7540">
        <w:rPr>
          <w:rFonts w:eastAsia="DengXian"/>
          <w:lang w:eastAsia="zh-CN"/>
        </w:rPr>
        <w:t xml:space="preserve">indicates a corresponding entry </w:t>
      </w:r>
      <w:r w:rsidRPr="001B7540">
        <w:rPr>
          <w:rFonts w:eastAsia="DengXian"/>
          <w:lang w:val="en-US" w:eastAsia="zh-CN"/>
        </w:rPr>
        <w:t xml:space="preserve">for scheduling release of one or more UL grant Type 2 PUSCH or </w:t>
      </w:r>
      <w:r w:rsidRPr="001B7540">
        <w:rPr>
          <w:rFonts w:eastAsia="DengXian"/>
          <w:lang w:eastAsia="zh-CN"/>
        </w:rPr>
        <w:t>SPS</w:t>
      </w:r>
      <w:r w:rsidRPr="001B7540">
        <w:rPr>
          <w:rFonts w:eastAsia="DengXian"/>
          <w:lang w:val="en-US" w:eastAsia="zh-CN"/>
        </w:rPr>
        <w:t xml:space="preserve"> PDSCH configurations</w:t>
      </w:r>
    </w:p>
    <w:p w14:paraId="30645A98" w14:textId="6D7F0FFB" w:rsidR="00C64244" w:rsidRPr="001B7540" w:rsidRDefault="00C64244" w:rsidP="00C64244">
      <w:pPr>
        <w:pStyle w:val="B1"/>
        <w:rPr>
          <w:rFonts w:eastAsia="DengXian"/>
          <w:lang w:val="en-US" w:eastAsia="zh-CN"/>
        </w:rPr>
      </w:pPr>
      <w:r w:rsidRPr="001B7540">
        <w:t>-</w:t>
      </w:r>
      <w:r w:rsidRPr="001B7540">
        <w:tab/>
      </w:r>
      <w:r w:rsidRPr="001B7540">
        <w:rPr>
          <w:rFonts w:eastAsia="DengXian"/>
          <w:lang w:val="en-US" w:eastAsia="zh-CN"/>
        </w:rPr>
        <w:t xml:space="preserve">if the UE is not </w:t>
      </w:r>
      <w:r w:rsidRPr="001B7540">
        <w:rPr>
          <w:rFonts w:eastAsia="DengXian"/>
          <w:lang w:eastAsia="zh-CN"/>
        </w:rPr>
        <w:t xml:space="preserve">provided </w:t>
      </w:r>
      <w:r w:rsidRPr="00081E14">
        <w:rPr>
          <w:rFonts w:eastAsia="DengXian"/>
          <w:i/>
          <w:lang w:eastAsia="zh-CN"/>
        </w:rPr>
        <w:t>ConfiguredGrantConfigType2DeactivationStateList</w:t>
      </w:r>
      <w:r w:rsidRPr="001B7540">
        <w:rPr>
          <w:rFonts w:eastAsia="DengXian"/>
          <w:lang w:eastAsia="zh-CN"/>
        </w:rPr>
        <w:t xml:space="preserve"> or </w:t>
      </w:r>
      <w:r w:rsidRPr="002712D0">
        <w:rPr>
          <w:rFonts w:eastAsia="DengXian"/>
          <w:i/>
          <w:lang w:eastAsia="zh-CN"/>
        </w:rPr>
        <w:t>sps-ConfigDeactivationStateList</w:t>
      </w:r>
      <w:r w:rsidRPr="001B7540">
        <w:rPr>
          <w:rFonts w:eastAsia="DengXian"/>
          <w:lang w:eastAsia="zh-CN"/>
        </w:rPr>
        <w:t xml:space="preserve">, </w:t>
      </w:r>
      <w:r w:rsidRPr="001B7540">
        <w:rPr>
          <w:rFonts w:eastAsia="DengXian"/>
          <w:lang w:val="en-US" w:eastAsia="zh-CN"/>
        </w:rPr>
        <w:t>a</w:t>
      </w:r>
      <w:r w:rsidRPr="001B7540">
        <w:rPr>
          <w:rFonts w:eastAsia="DengXian"/>
          <w:lang w:eastAsia="zh-CN"/>
        </w:rPr>
        <w:t xml:space="preserve"> value of the HARQ process number field </w:t>
      </w:r>
      <w:r w:rsidRPr="001B7540">
        <w:rPr>
          <w:rFonts w:eastAsia="DengXian"/>
          <w:lang w:val="en-US" w:eastAsia="zh-CN"/>
        </w:rPr>
        <w:t xml:space="preserve">in a DCI format </w:t>
      </w:r>
      <w:r w:rsidRPr="001B7540">
        <w:rPr>
          <w:rFonts w:eastAsia="DengXian"/>
          <w:lang w:eastAsia="zh-CN"/>
        </w:rPr>
        <w:t xml:space="preserve">indicates </w:t>
      </w:r>
      <w:r w:rsidRPr="001B7540">
        <w:rPr>
          <w:rFonts w:eastAsia="DengXian"/>
          <w:lang w:val="en-US" w:eastAsia="zh-CN"/>
        </w:rPr>
        <w:t xml:space="preserve">a release for </w:t>
      </w:r>
      <w:r w:rsidRPr="001B7540">
        <w:rPr>
          <w:rFonts w:eastAsia="DengXian"/>
          <w:lang w:eastAsia="zh-CN"/>
        </w:rPr>
        <w:t>a</w:t>
      </w:r>
      <w:r w:rsidRPr="001B7540">
        <w:rPr>
          <w:rFonts w:eastAsia="DengXian"/>
          <w:lang w:val="en-US" w:eastAsia="zh-CN"/>
        </w:rPr>
        <w:t xml:space="preserve"> corresponding UL grant Type 2 PUSCH or for a </w:t>
      </w:r>
      <w:r w:rsidRPr="001B7540">
        <w:rPr>
          <w:rFonts w:eastAsia="DengXian"/>
          <w:lang w:eastAsia="zh-CN"/>
        </w:rPr>
        <w:t>SPS</w:t>
      </w:r>
      <w:r w:rsidRPr="001B7540">
        <w:rPr>
          <w:rFonts w:eastAsia="DengXian"/>
          <w:lang w:val="en-US" w:eastAsia="zh-CN"/>
        </w:rPr>
        <w:t xml:space="preserve"> PDSCH configuration </w:t>
      </w:r>
      <w:r w:rsidRPr="001B7540">
        <w:rPr>
          <w:lang w:eastAsia="zh-CN"/>
        </w:rPr>
        <w:t xml:space="preserve">with a same value as provided by </w:t>
      </w:r>
      <w:r w:rsidR="00544BB1">
        <w:rPr>
          <w:rFonts w:eastAsia="DengXian"/>
          <w:i/>
          <w:lang w:val="en-US" w:eastAsia="zh-CN"/>
        </w:rPr>
        <w:t>ConfiguredGrantConfigIndex</w:t>
      </w:r>
      <w:r w:rsidR="00544BB1">
        <w:rPr>
          <w:rFonts w:eastAsia="DengXian"/>
          <w:lang w:val="en-US" w:eastAsia="zh-CN"/>
        </w:rPr>
        <w:t xml:space="preserve"> or by </w:t>
      </w:r>
      <w:r w:rsidR="00544BB1">
        <w:rPr>
          <w:i/>
          <w:iCs/>
        </w:rPr>
        <w:t>sps-ConfigIndex</w:t>
      </w:r>
      <w:r w:rsidRPr="001B7540">
        <w:rPr>
          <w:lang w:eastAsia="zh-CN"/>
        </w:rPr>
        <w:t>, respectively</w:t>
      </w:r>
    </w:p>
    <w:p w14:paraId="18E951FE" w14:textId="77777777" w:rsidR="00941120" w:rsidRPr="002C2B2D" w:rsidRDefault="00941120" w:rsidP="00941120">
      <w:pPr>
        <w:rPr>
          <w:rFonts w:eastAsia="DengXian"/>
          <w:lang w:eastAsia="zh-CN"/>
        </w:rPr>
      </w:pPr>
      <w:r w:rsidRPr="002C2B2D">
        <w:rPr>
          <w:rFonts w:eastAsia="DengXian"/>
          <w:lang w:eastAsia="zh-CN"/>
        </w:rPr>
        <w:t xml:space="preserve">The UE </w:t>
      </w:r>
      <w:r w:rsidRPr="002C2B2D">
        <w:rPr>
          <w:rFonts w:eastAsia="DengXian" w:hint="eastAsia"/>
          <w:lang w:eastAsia="zh-CN"/>
        </w:rPr>
        <w:t>does</w:t>
      </w:r>
      <w:r w:rsidRPr="002C2B2D">
        <w:rPr>
          <w:rFonts w:eastAsia="DengXian"/>
          <w:lang w:eastAsia="zh-CN"/>
        </w:rPr>
        <w:t xml:space="preserve"> not expect to receive a multicast DCI format that </w:t>
      </w:r>
      <w:r w:rsidRPr="002C2B2D">
        <w:rPr>
          <w:lang w:val=""/>
        </w:rPr>
        <w:t>releases either a unicast SPS PDSCH configuration or</w:t>
      </w:r>
      <w:r w:rsidRPr="002C2B2D">
        <w:rPr>
          <w:u w:val="single"/>
          <w:lang w:val=""/>
        </w:rPr>
        <w:t xml:space="preserve"> </w:t>
      </w:r>
      <w:r w:rsidRPr="002C2B2D">
        <w:rPr>
          <w:rFonts w:eastAsia="DengXian"/>
          <w:lang w:eastAsia="zh-CN"/>
        </w:rPr>
        <w:t>more than one SPS PDSCH configurations.</w:t>
      </w:r>
    </w:p>
    <w:p w14:paraId="30D6F715" w14:textId="77777777" w:rsidR="00E47AF5" w:rsidRPr="001B7540" w:rsidRDefault="00E47AF5" w:rsidP="00B15B58">
      <w:r w:rsidRPr="001B7540">
        <w:rPr>
          <w:rFonts w:eastAsia="DengXian"/>
          <w:lang w:eastAsia="zh-CN"/>
        </w:rPr>
        <w:t>Validation of the DCI format is achieved if all fields for the DCI format are set according to Table 10.2-</w:t>
      </w:r>
      <w:r w:rsidRPr="001B7540">
        <w:rPr>
          <w:rFonts w:eastAsia="DengXian"/>
          <w:lang w:val="en-US" w:eastAsia="zh-CN"/>
        </w:rPr>
        <w:t>4</w:t>
      </w:r>
      <w:r w:rsidRPr="001B7540">
        <w:rPr>
          <w:rFonts w:eastAsia="DengXian"/>
          <w:lang w:eastAsia="zh-CN"/>
        </w:rPr>
        <w:t xml:space="preserve">. </w:t>
      </w:r>
    </w:p>
    <w:p w14:paraId="3440D98E" w14:textId="77777777" w:rsidR="009919DB" w:rsidRPr="00E74BD9" w:rsidRDefault="009919DB" w:rsidP="009919DB">
      <w:pPr>
        <w:rPr>
          <w:rFonts w:eastAsia="DengXian"/>
          <w:lang w:eastAsia="zh-CN"/>
        </w:rPr>
      </w:pPr>
      <w:r w:rsidRPr="003918C5">
        <w:rPr>
          <w:rFonts w:eastAsia="DengXian"/>
          <w:lang w:eastAsia="zh-CN"/>
        </w:rPr>
        <w:t>If vali</w:t>
      </w:r>
      <w:r>
        <w:rPr>
          <w:rFonts w:eastAsia="DengXian"/>
          <w:lang w:eastAsia="zh-CN"/>
        </w:rPr>
        <w:t>dation is achieved, the UE</w:t>
      </w:r>
      <w:r w:rsidRPr="003918C5">
        <w:rPr>
          <w:rFonts w:eastAsia="DengXian"/>
          <w:lang w:eastAsia="zh-CN"/>
        </w:rPr>
        <w:t xml:space="preserve"> consider</w:t>
      </w:r>
      <w:r>
        <w:rPr>
          <w:rFonts w:eastAsia="DengXian"/>
          <w:lang w:eastAsia="zh-CN"/>
        </w:rPr>
        <w:t>s the information in the DCI format</w:t>
      </w:r>
      <w:r w:rsidRPr="003918C5">
        <w:rPr>
          <w:rFonts w:eastAsia="DengXian"/>
          <w:lang w:eastAsia="zh-CN"/>
        </w:rPr>
        <w:t xml:space="preserve"> as a </w:t>
      </w:r>
      <w:r>
        <w:rPr>
          <w:rFonts w:eastAsia="DengXian"/>
          <w:lang w:eastAsia="zh-CN"/>
        </w:rPr>
        <w:t>valid activation or valid release of DL SPS or configured UL</w:t>
      </w:r>
      <w:r w:rsidRPr="003918C5">
        <w:rPr>
          <w:rFonts w:eastAsia="DengXian"/>
          <w:lang w:eastAsia="zh-CN"/>
        </w:rPr>
        <w:t xml:space="preserve"> grant Type 2. If validati</w:t>
      </w:r>
      <w:r>
        <w:rPr>
          <w:rFonts w:eastAsia="DengXian"/>
          <w:lang w:eastAsia="zh-CN"/>
        </w:rPr>
        <w:t xml:space="preserve">on is not achieved, the UE </w:t>
      </w:r>
      <w:r w:rsidR="00665760">
        <w:rPr>
          <w:rFonts w:eastAsia="DengXian"/>
          <w:lang w:eastAsia="zh-CN"/>
        </w:rPr>
        <w:t>discards all the information in the DCI format</w:t>
      </w:r>
      <w:r w:rsidRPr="003918C5">
        <w:rPr>
          <w:rFonts w:eastAsia="DengXian"/>
          <w:lang w:eastAsia="zh-CN"/>
        </w:rPr>
        <w:t>.</w:t>
      </w:r>
    </w:p>
    <w:p w14:paraId="36E6FD8B" w14:textId="255CB917" w:rsidR="009919DB" w:rsidRPr="003918C5" w:rsidRDefault="009919DB" w:rsidP="009919DB">
      <w:pPr>
        <w:pStyle w:val="TH"/>
      </w:pPr>
      <w:r w:rsidRPr="003918C5">
        <w:rPr>
          <w:rFonts w:cs="Arial"/>
          <w:bCs/>
          <w:szCs w:val="21"/>
          <w:lang w:eastAsia="zh-CN"/>
        </w:rPr>
        <w:t xml:space="preserve">Table 10.2-1: Special fields for </w:t>
      </w:r>
      <w:r w:rsidR="00902886" w:rsidRPr="001B7540">
        <w:rPr>
          <w:rFonts w:cs="Arial"/>
          <w:bCs/>
          <w:szCs w:val="21"/>
          <w:lang w:eastAsia="zh-CN"/>
        </w:rPr>
        <w:t>single</w:t>
      </w:r>
      <w:r w:rsidR="00902886" w:rsidRPr="003918C5">
        <w:rPr>
          <w:rFonts w:cs="Arial"/>
          <w:bCs/>
          <w:szCs w:val="21"/>
          <w:lang w:eastAsia="zh-CN"/>
        </w:rPr>
        <w:t xml:space="preserve"> </w:t>
      </w:r>
      <w:r w:rsidRPr="003918C5">
        <w:rPr>
          <w:rFonts w:cs="Arial"/>
          <w:bCs/>
          <w:szCs w:val="21"/>
          <w:lang w:eastAsia="zh-CN"/>
        </w:rPr>
        <w:t xml:space="preserve">DL SPS </w:t>
      </w:r>
      <w:r w:rsidR="00205F71" w:rsidRPr="001B7540">
        <w:rPr>
          <w:rFonts w:cs="Arial"/>
          <w:bCs/>
          <w:szCs w:val="21"/>
          <w:lang w:eastAsia="zh-CN"/>
        </w:rPr>
        <w:t>or single</w:t>
      </w:r>
      <w:r w:rsidRPr="003918C5">
        <w:rPr>
          <w:rFonts w:cs="Arial"/>
          <w:bCs/>
          <w:szCs w:val="21"/>
          <w:lang w:eastAsia="zh-CN"/>
        </w:rPr>
        <w:t xml:space="preserve"> UL grant Type 2 scheduling activation PDCCH validation</w:t>
      </w:r>
      <w:r w:rsidR="00205F71" w:rsidRPr="001B7540">
        <w:rPr>
          <w:rFonts w:cs="Arial"/>
          <w:bCs/>
          <w:szCs w:val="21"/>
          <w:lang w:eastAsia="zh-CN"/>
        </w:rPr>
        <w:t xml:space="preserve"> </w:t>
      </w:r>
      <w:r w:rsidR="00205F71" w:rsidRPr="001B7540">
        <w:rPr>
          <w:lang w:eastAsia="ko-KR"/>
        </w:rPr>
        <w:t>when a UE is provided a single</w:t>
      </w:r>
      <w:r w:rsidR="00205F71" w:rsidRPr="001B7540">
        <w:rPr>
          <w:iCs/>
        </w:rPr>
        <w:t xml:space="preserve"> SPS PDSCH </w:t>
      </w:r>
      <w:r w:rsidR="00205F71" w:rsidRPr="001B7540">
        <w:rPr>
          <w:rFonts w:cs="Arial"/>
          <w:bCs/>
          <w:szCs w:val="21"/>
          <w:lang w:eastAsia="zh-CN"/>
        </w:rPr>
        <w:t xml:space="preserve">or UL grant Type 2 </w:t>
      </w:r>
      <w:r w:rsidR="00205F71" w:rsidRPr="001B7540">
        <w:rPr>
          <w:iCs/>
        </w:rPr>
        <w:t>configuration</w:t>
      </w:r>
      <w:r w:rsidR="00A248DC">
        <w:rPr>
          <w:iCs/>
        </w:rPr>
        <w:t xml:space="preserve"> </w:t>
      </w:r>
      <w:r w:rsidR="00A248DC">
        <w:rPr>
          <w:rFonts w:eastAsia="MS Mincho" w:cs="Arial"/>
          <w:bCs/>
          <w:lang w:val="en-US" w:eastAsia="ko-KR"/>
        </w:rPr>
        <w:t>in the active DL/UL BWP of the scheduled cell</w:t>
      </w:r>
    </w:p>
    <w:tbl>
      <w:tblPr>
        <w:tblW w:w="96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954"/>
        <w:gridCol w:w="1884"/>
        <w:gridCol w:w="1709"/>
        <w:gridCol w:w="1948"/>
        <w:gridCol w:w="2156"/>
      </w:tblGrid>
      <w:tr w:rsidR="003A4EE7" w:rsidRPr="00BB208D" w14:paraId="572EF807" w14:textId="77777777" w:rsidTr="003A4EE7">
        <w:trPr>
          <w:cantSplit/>
          <w:jc w:val="center"/>
        </w:trPr>
        <w:tc>
          <w:tcPr>
            <w:tcW w:w="1954" w:type="dxa"/>
            <w:shd w:val="clear" w:color="auto" w:fill="E0E0E0"/>
            <w:vAlign w:val="center"/>
          </w:tcPr>
          <w:p w14:paraId="569998FC" w14:textId="77777777" w:rsidR="003A4EE7" w:rsidRPr="00B916EC" w:rsidRDefault="003A4EE7" w:rsidP="003A4EE7">
            <w:pPr>
              <w:pStyle w:val="TAH"/>
            </w:pPr>
          </w:p>
        </w:tc>
        <w:tc>
          <w:tcPr>
            <w:tcW w:w="1884" w:type="dxa"/>
            <w:shd w:val="clear" w:color="auto" w:fill="E0E0E0"/>
            <w:vAlign w:val="center"/>
          </w:tcPr>
          <w:p w14:paraId="5D8ECD11" w14:textId="20ED764A" w:rsidR="003A4EE7" w:rsidRPr="00B916EC" w:rsidRDefault="003A4EE7" w:rsidP="003A4EE7">
            <w:pPr>
              <w:pStyle w:val="TAH"/>
            </w:pPr>
            <w:r>
              <w:t>DCI format 0_0</w:t>
            </w:r>
            <w:r w:rsidRPr="001B7540">
              <w:t>/0_2</w:t>
            </w:r>
            <w:r w:rsidRPr="00B916EC">
              <w:t xml:space="preserve"> </w:t>
            </w:r>
          </w:p>
        </w:tc>
        <w:tc>
          <w:tcPr>
            <w:tcW w:w="1709" w:type="dxa"/>
            <w:shd w:val="clear" w:color="auto" w:fill="E0E0E0"/>
          </w:tcPr>
          <w:p w14:paraId="36B0B6F5" w14:textId="3816F87C" w:rsidR="003A4EE7" w:rsidRDefault="003A4EE7" w:rsidP="003A4EE7">
            <w:pPr>
              <w:pStyle w:val="TAH"/>
            </w:pPr>
            <w:r>
              <w:t>DCI format 0_1</w:t>
            </w:r>
          </w:p>
        </w:tc>
        <w:tc>
          <w:tcPr>
            <w:tcW w:w="1948" w:type="dxa"/>
            <w:shd w:val="clear" w:color="auto" w:fill="E0E0E0"/>
            <w:vAlign w:val="center"/>
          </w:tcPr>
          <w:p w14:paraId="4A5DF6FE" w14:textId="5A349CB6" w:rsidR="003A4EE7" w:rsidRDefault="003A4EE7" w:rsidP="003A4EE7">
            <w:pPr>
              <w:pStyle w:val="TAH"/>
            </w:pPr>
            <w:r>
              <w:t>DCI format 1_0</w:t>
            </w:r>
            <w:r w:rsidRPr="001B7540">
              <w:t>/1_2</w:t>
            </w:r>
            <w:r w:rsidRPr="0088027F">
              <w:t>/4_1</w:t>
            </w:r>
          </w:p>
        </w:tc>
        <w:tc>
          <w:tcPr>
            <w:tcW w:w="2156" w:type="dxa"/>
            <w:shd w:val="clear" w:color="auto" w:fill="E0E0E0"/>
            <w:vAlign w:val="center"/>
          </w:tcPr>
          <w:p w14:paraId="11D944BE" w14:textId="7E4796C1" w:rsidR="003A4EE7" w:rsidRDefault="003A4EE7" w:rsidP="003A4EE7">
            <w:pPr>
              <w:pStyle w:val="TAH"/>
            </w:pPr>
            <w:r>
              <w:t>DCI format 1_1</w:t>
            </w:r>
            <w:r w:rsidRPr="0088027F">
              <w:t>/4_2</w:t>
            </w:r>
          </w:p>
        </w:tc>
      </w:tr>
      <w:tr w:rsidR="003A4EE7" w:rsidRPr="00D4651E" w14:paraId="650DDC20" w14:textId="77777777" w:rsidTr="003A4EE7">
        <w:trPr>
          <w:cantSplit/>
          <w:jc w:val="center"/>
        </w:trPr>
        <w:tc>
          <w:tcPr>
            <w:tcW w:w="1954" w:type="dxa"/>
            <w:vAlign w:val="center"/>
          </w:tcPr>
          <w:p w14:paraId="05D8F92F" w14:textId="77777777" w:rsidR="003A4EE7" w:rsidRPr="00D4651E" w:rsidRDefault="003A4EE7" w:rsidP="003A4EE7">
            <w:pPr>
              <w:keepNext/>
              <w:keepLines/>
              <w:spacing w:after="0"/>
              <w:jc w:val="center"/>
              <w:rPr>
                <w:rFonts w:ascii="Arial" w:hAnsi="Arial" w:cs="Arial"/>
                <w:sz w:val="18"/>
                <w:szCs w:val="18"/>
              </w:rPr>
            </w:pPr>
            <w:r w:rsidRPr="00D4651E">
              <w:rPr>
                <w:rFonts w:ascii="Arial" w:hAnsi="Arial" w:cs="Arial"/>
                <w:sz w:val="18"/>
                <w:szCs w:val="18"/>
              </w:rPr>
              <w:t>HARQ process number</w:t>
            </w:r>
          </w:p>
          <w:p w14:paraId="3FEDF790" w14:textId="6FDC3725" w:rsidR="003A4EE7" w:rsidRPr="00D4651E" w:rsidRDefault="003A4EE7" w:rsidP="003A4EE7">
            <w:pPr>
              <w:pStyle w:val="TAC"/>
              <w:rPr>
                <w:rFonts w:cs="Arial"/>
                <w:szCs w:val="18"/>
              </w:rPr>
            </w:pPr>
            <w:r w:rsidRPr="00D4651E">
              <w:rPr>
                <w:rFonts w:eastAsia="MS Mincho" w:cs="Arial"/>
                <w:szCs w:val="18"/>
                <w:lang w:eastAsia="ja-JP"/>
              </w:rPr>
              <w:t>(if present)</w:t>
            </w:r>
          </w:p>
        </w:tc>
        <w:tc>
          <w:tcPr>
            <w:tcW w:w="1884" w:type="dxa"/>
            <w:vAlign w:val="center"/>
          </w:tcPr>
          <w:p w14:paraId="273F330B" w14:textId="252B04F1" w:rsidR="003A4EE7" w:rsidRPr="00D4651E" w:rsidRDefault="003A4EE7" w:rsidP="003A4EE7">
            <w:pPr>
              <w:pStyle w:val="TAC"/>
              <w:rPr>
                <w:rFonts w:cs="Arial"/>
                <w:szCs w:val="18"/>
              </w:rPr>
            </w:pPr>
            <w:r w:rsidRPr="00D4651E">
              <w:rPr>
                <w:rFonts w:cs="Arial"/>
                <w:szCs w:val="18"/>
              </w:rPr>
              <w:t>set to all '0's</w:t>
            </w:r>
          </w:p>
        </w:tc>
        <w:tc>
          <w:tcPr>
            <w:tcW w:w="1709" w:type="dxa"/>
            <w:vAlign w:val="center"/>
          </w:tcPr>
          <w:p w14:paraId="057B0ADF" w14:textId="64477AD2" w:rsidR="003A4EE7" w:rsidRPr="00D4651E" w:rsidRDefault="003A4EE7" w:rsidP="003A4EE7">
            <w:pPr>
              <w:pStyle w:val="TAC"/>
              <w:rPr>
                <w:rFonts w:cs="Arial"/>
                <w:szCs w:val="18"/>
              </w:rPr>
            </w:pPr>
            <w:r w:rsidRPr="00D4651E">
              <w:rPr>
                <w:rFonts w:cs="Arial"/>
                <w:szCs w:val="18"/>
              </w:rPr>
              <w:t>set to all '0's</w:t>
            </w:r>
          </w:p>
        </w:tc>
        <w:tc>
          <w:tcPr>
            <w:tcW w:w="1948" w:type="dxa"/>
            <w:vAlign w:val="center"/>
          </w:tcPr>
          <w:p w14:paraId="3E95FDC5" w14:textId="7D129993" w:rsidR="003A4EE7" w:rsidRPr="00D4651E" w:rsidRDefault="003A4EE7" w:rsidP="003A4EE7">
            <w:pPr>
              <w:pStyle w:val="TAC"/>
              <w:rPr>
                <w:rFonts w:cs="Arial"/>
                <w:szCs w:val="18"/>
              </w:rPr>
            </w:pPr>
            <w:r w:rsidRPr="00D4651E">
              <w:rPr>
                <w:rFonts w:cs="Arial"/>
                <w:szCs w:val="18"/>
              </w:rPr>
              <w:t>set to all '0's</w:t>
            </w:r>
          </w:p>
        </w:tc>
        <w:tc>
          <w:tcPr>
            <w:tcW w:w="2156" w:type="dxa"/>
            <w:vAlign w:val="center"/>
          </w:tcPr>
          <w:p w14:paraId="1B354111" w14:textId="77777777" w:rsidR="003A4EE7" w:rsidRPr="00D4651E" w:rsidRDefault="003A4EE7" w:rsidP="003A4EE7">
            <w:pPr>
              <w:pStyle w:val="TAC"/>
              <w:rPr>
                <w:rFonts w:cs="Arial"/>
                <w:szCs w:val="18"/>
              </w:rPr>
            </w:pPr>
            <w:r w:rsidRPr="00D4651E">
              <w:rPr>
                <w:rFonts w:cs="Arial"/>
                <w:szCs w:val="18"/>
              </w:rPr>
              <w:t>set to all '0's</w:t>
            </w:r>
          </w:p>
        </w:tc>
      </w:tr>
      <w:tr w:rsidR="003A4EE7" w:rsidRPr="00D4651E" w14:paraId="7EF20B43" w14:textId="77777777" w:rsidTr="003A4EE7">
        <w:trPr>
          <w:cantSplit/>
          <w:jc w:val="center"/>
        </w:trPr>
        <w:tc>
          <w:tcPr>
            <w:tcW w:w="1954" w:type="dxa"/>
            <w:vAlign w:val="center"/>
          </w:tcPr>
          <w:p w14:paraId="02B96FDE" w14:textId="77777777" w:rsidR="003A4EE7" w:rsidRPr="00D4651E" w:rsidRDefault="003A4EE7" w:rsidP="003A4EE7">
            <w:pPr>
              <w:keepNext/>
              <w:keepLines/>
              <w:spacing w:after="0"/>
              <w:jc w:val="center"/>
              <w:rPr>
                <w:rFonts w:ascii="Arial" w:hAnsi="Arial" w:cs="Arial"/>
                <w:sz w:val="18"/>
                <w:szCs w:val="18"/>
              </w:rPr>
            </w:pPr>
            <w:r w:rsidRPr="00D4651E">
              <w:rPr>
                <w:rFonts w:ascii="Arial" w:hAnsi="Arial" w:cs="Arial"/>
                <w:sz w:val="18"/>
                <w:szCs w:val="18"/>
              </w:rPr>
              <w:t>Redundancy version</w:t>
            </w:r>
          </w:p>
          <w:p w14:paraId="5FC2A53E" w14:textId="1F054D39" w:rsidR="003A4EE7" w:rsidRPr="00D4651E" w:rsidRDefault="003A4EE7" w:rsidP="003A4EE7">
            <w:pPr>
              <w:pStyle w:val="TAC"/>
              <w:rPr>
                <w:rFonts w:cs="Arial"/>
                <w:szCs w:val="18"/>
              </w:rPr>
            </w:pPr>
            <w:r w:rsidRPr="00D4651E">
              <w:rPr>
                <w:rFonts w:eastAsia="MS Mincho" w:cs="Arial"/>
                <w:szCs w:val="18"/>
                <w:lang w:eastAsia="ja-JP"/>
              </w:rPr>
              <w:t>(if present)</w:t>
            </w:r>
          </w:p>
        </w:tc>
        <w:tc>
          <w:tcPr>
            <w:tcW w:w="1884" w:type="dxa"/>
            <w:vAlign w:val="center"/>
          </w:tcPr>
          <w:p w14:paraId="494A31C3" w14:textId="4FE94D68" w:rsidR="003A4EE7" w:rsidRPr="00D4651E" w:rsidRDefault="003A4EE7" w:rsidP="003A4EE7">
            <w:pPr>
              <w:pStyle w:val="TAC"/>
              <w:rPr>
                <w:rFonts w:cs="Arial"/>
                <w:szCs w:val="18"/>
              </w:rPr>
            </w:pPr>
            <w:r w:rsidRPr="00D4651E">
              <w:rPr>
                <w:rFonts w:cs="Arial"/>
                <w:szCs w:val="18"/>
              </w:rPr>
              <w:t>set to all '0's</w:t>
            </w:r>
          </w:p>
        </w:tc>
        <w:tc>
          <w:tcPr>
            <w:tcW w:w="1709" w:type="dxa"/>
            <w:vAlign w:val="center"/>
          </w:tcPr>
          <w:p w14:paraId="702B6C3B" w14:textId="253FB8F6" w:rsidR="003A4EE7" w:rsidRPr="00D4651E" w:rsidRDefault="003A4EE7" w:rsidP="003A4EE7">
            <w:pPr>
              <w:pStyle w:val="TAC"/>
              <w:rPr>
                <w:rFonts w:cs="Arial"/>
                <w:szCs w:val="18"/>
              </w:rPr>
            </w:pPr>
            <w:r w:rsidRPr="00D4651E">
              <w:rPr>
                <w:rFonts w:cs="Arial"/>
                <w:szCs w:val="18"/>
              </w:rPr>
              <w:t>For the enabled transport block: set to all '0's</w:t>
            </w:r>
          </w:p>
        </w:tc>
        <w:tc>
          <w:tcPr>
            <w:tcW w:w="1948" w:type="dxa"/>
            <w:vAlign w:val="center"/>
          </w:tcPr>
          <w:p w14:paraId="3E63D171" w14:textId="4111C5A3" w:rsidR="003A4EE7" w:rsidRPr="00D4651E" w:rsidRDefault="003A4EE7" w:rsidP="003A4EE7">
            <w:pPr>
              <w:pStyle w:val="TAC"/>
              <w:rPr>
                <w:rFonts w:cs="Arial"/>
                <w:szCs w:val="18"/>
              </w:rPr>
            </w:pPr>
            <w:r w:rsidRPr="00D4651E">
              <w:rPr>
                <w:rFonts w:cs="Arial"/>
                <w:szCs w:val="18"/>
              </w:rPr>
              <w:t>set to all '0's</w:t>
            </w:r>
          </w:p>
        </w:tc>
        <w:tc>
          <w:tcPr>
            <w:tcW w:w="2156" w:type="dxa"/>
            <w:vAlign w:val="center"/>
          </w:tcPr>
          <w:p w14:paraId="1666C075" w14:textId="3A5ED90C" w:rsidR="003A4EE7" w:rsidRPr="00D4651E" w:rsidRDefault="003A4EE7" w:rsidP="003A4EE7">
            <w:pPr>
              <w:pStyle w:val="TAC"/>
              <w:rPr>
                <w:rFonts w:cs="Arial"/>
                <w:szCs w:val="18"/>
              </w:rPr>
            </w:pPr>
            <w:r w:rsidRPr="00D4651E">
              <w:rPr>
                <w:rFonts w:cs="Arial"/>
                <w:szCs w:val="18"/>
              </w:rPr>
              <w:t>For the enabled transport block: set to all '0's</w:t>
            </w:r>
          </w:p>
        </w:tc>
      </w:tr>
    </w:tbl>
    <w:p w14:paraId="26A7037A" w14:textId="77777777" w:rsidR="009919DB" w:rsidRDefault="009919DB" w:rsidP="009919DB">
      <w:pPr>
        <w:jc w:val="both"/>
        <w:rPr>
          <w:rFonts w:ascii="DengXian" w:eastAsia="DengXian" w:hAnsi="DengXian" w:cs="Calibri"/>
          <w:sz w:val="21"/>
          <w:szCs w:val="21"/>
          <w:lang w:eastAsia="zh-CN"/>
        </w:rPr>
      </w:pPr>
    </w:p>
    <w:p w14:paraId="703D15CA" w14:textId="4966DC66" w:rsidR="009919DB" w:rsidRDefault="009919DB" w:rsidP="001322F1">
      <w:pPr>
        <w:pStyle w:val="TH"/>
        <w:rPr>
          <w:lang w:eastAsia="zh-CN"/>
        </w:rPr>
      </w:pPr>
      <w:r w:rsidRPr="00894D44">
        <w:rPr>
          <w:lang w:eastAsia="zh-CN"/>
        </w:rPr>
        <w:t xml:space="preserve">Table 10.2-2: Special fields for </w:t>
      </w:r>
      <w:r w:rsidR="001C6007" w:rsidRPr="001B7540">
        <w:rPr>
          <w:lang w:eastAsia="zh-CN"/>
        </w:rPr>
        <w:t xml:space="preserve">single </w:t>
      </w:r>
      <w:r w:rsidRPr="00894D44">
        <w:rPr>
          <w:lang w:eastAsia="zh-CN"/>
        </w:rPr>
        <w:t xml:space="preserve">DL SPS </w:t>
      </w:r>
      <w:r w:rsidR="001C6007">
        <w:rPr>
          <w:lang w:eastAsia="zh-CN"/>
        </w:rPr>
        <w:t xml:space="preserve">or </w:t>
      </w:r>
      <w:r w:rsidR="001C6007" w:rsidRPr="001B7540">
        <w:rPr>
          <w:lang w:eastAsia="zh-CN"/>
        </w:rPr>
        <w:t>single</w:t>
      </w:r>
      <w:r w:rsidR="001C6007" w:rsidRPr="00894D44">
        <w:rPr>
          <w:lang w:eastAsia="zh-CN"/>
        </w:rPr>
        <w:t xml:space="preserve"> </w:t>
      </w:r>
      <w:r w:rsidRPr="00894D44">
        <w:rPr>
          <w:lang w:eastAsia="zh-CN"/>
        </w:rPr>
        <w:t>UL grant Type 2 scheduling release PDCCH validation</w:t>
      </w:r>
      <w:r w:rsidR="00A248DC">
        <w:rPr>
          <w:lang w:eastAsia="zh-CN"/>
        </w:rPr>
        <w:t xml:space="preserve"> </w:t>
      </w:r>
      <w:r w:rsidR="00A248DC">
        <w:rPr>
          <w:rFonts w:eastAsia="MS Mincho" w:cs="Arial"/>
          <w:bCs/>
          <w:lang w:val="en-US" w:eastAsia="ko-KR"/>
        </w:rPr>
        <w:t>when a UE is provided a single</w:t>
      </w:r>
      <w:r w:rsidR="00A248DC">
        <w:rPr>
          <w:rFonts w:eastAsia="MS Mincho" w:cs="Arial"/>
          <w:bCs/>
          <w:lang w:val="en-US"/>
        </w:rPr>
        <w:t xml:space="preserve"> SPS PDSCH or UL grant Type 2 configuration</w:t>
      </w:r>
      <w:r w:rsidR="00A248DC">
        <w:rPr>
          <w:rFonts w:eastAsia="MS Mincho" w:cs="Arial"/>
          <w:bCs/>
          <w:lang w:val="en-US" w:eastAsia="ko-KR"/>
        </w:rPr>
        <w:t xml:space="preserve"> in the active DL/UL BWP of the scheduled 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15"/>
        <w:gridCol w:w="2160"/>
        <w:gridCol w:w="2060"/>
      </w:tblGrid>
      <w:tr w:rsidR="009919DB" w:rsidRPr="00BB208D" w14:paraId="19F215A9" w14:textId="77777777" w:rsidTr="0019345E">
        <w:trPr>
          <w:cantSplit/>
          <w:jc w:val="center"/>
        </w:trPr>
        <w:tc>
          <w:tcPr>
            <w:tcW w:w="2615" w:type="dxa"/>
            <w:shd w:val="clear" w:color="auto" w:fill="E0E0E0"/>
            <w:vAlign w:val="center"/>
          </w:tcPr>
          <w:p w14:paraId="7279E89B" w14:textId="77777777" w:rsidR="009919DB" w:rsidRPr="00B916EC" w:rsidRDefault="009919DB" w:rsidP="009919DB">
            <w:pPr>
              <w:pStyle w:val="TAH"/>
            </w:pPr>
          </w:p>
        </w:tc>
        <w:tc>
          <w:tcPr>
            <w:tcW w:w="2160" w:type="dxa"/>
            <w:shd w:val="clear" w:color="auto" w:fill="E0E0E0"/>
            <w:vAlign w:val="center"/>
          </w:tcPr>
          <w:p w14:paraId="49DD76D2" w14:textId="041C6629" w:rsidR="009919DB" w:rsidRPr="00B916EC" w:rsidRDefault="009919DB" w:rsidP="009919DB">
            <w:pPr>
              <w:pStyle w:val="TAH"/>
            </w:pPr>
            <w:r>
              <w:t>DCI format 0_0</w:t>
            </w:r>
            <w:r w:rsidR="001C6007" w:rsidRPr="001B7540">
              <w:t>/0_1/0_2</w:t>
            </w:r>
            <w:r w:rsidRPr="00B916EC">
              <w:t xml:space="preserve"> </w:t>
            </w:r>
          </w:p>
        </w:tc>
        <w:tc>
          <w:tcPr>
            <w:tcW w:w="2060" w:type="dxa"/>
            <w:shd w:val="clear" w:color="auto" w:fill="E0E0E0"/>
            <w:vAlign w:val="center"/>
          </w:tcPr>
          <w:p w14:paraId="50244183" w14:textId="3A587054" w:rsidR="009919DB" w:rsidRDefault="009919DB" w:rsidP="004F21B6">
            <w:pPr>
              <w:pStyle w:val="TAH"/>
            </w:pPr>
            <w:r>
              <w:t>DCI format 1_0</w:t>
            </w:r>
            <w:r w:rsidR="001C6007" w:rsidRPr="001B7540">
              <w:t>/1_1/1_2</w:t>
            </w:r>
            <w:r w:rsidR="00B45247" w:rsidRPr="0088027F">
              <w:t>/4_1/4_2</w:t>
            </w:r>
          </w:p>
        </w:tc>
      </w:tr>
      <w:tr w:rsidR="009919DB" w:rsidRPr="00D4651E" w14:paraId="564F61D9" w14:textId="77777777" w:rsidTr="0019345E">
        <w:trPr>
          <w:cantSplit/>
          <w:jc w:val="center"/>
        </w:trPr>
        <w:tc>
          <w:tcPr>
            <w:tcW w:w="2615" w:type="dxa"/>
            <w:vAlign w:val="center"/>
          </w:tcPr>
          <w:p w14:paraId="4972C8B4" w14:textId="77777777" w:rsidR="00D4651E" w:rsidRPr="00D4651E" w:rsidRDefault="009919DB" w:rsidP="00D4651E">
            <w:pPr>
              <w:keepNext/>
              <w:keepLines/>
              <w:spacing w:after="0"/>
              <w:jc w:val="center"/>
              <w:rPr>
                <w:rFonts w:ascii="Arial" w:hAnsi="Arial" w:cs="Arial"/>
                <w:sz w:val="18"/>
                <w:szCs w:val="18"/>
              </w:rPr>
            </w:pPr>
            <w:r w:rsidRPr="00D4651E">
              <w:rPr>
                <w:rFonts w:ascii="Arial" w:hAnsi="Arial" w:cs="Arial"/>
                <w:sz w:val="18"/>
                <w:szCs w:val="18"/>
              </w:rPr>
              <w:t>HARQ process number</w:t>
            </w:r>
          </w:p>
          <w:p w14:paraId="7735AA6A" w14:textId="538A7A1B" w:rsidR="009919DB" w:rsidRPr="00D4651E" w:rsidRDefault="00D4651E" w:rsidP="00D4651E">
            <w:pPr>
              <w:pStyle w:val="TAC"/>
              <w:rPr>
                <w:rFonts w:cs="Arial"/>
                <w:szCs w:val="18"/>
              </w:rPr>
            </w:pPr>
            <w:r w:rsidRPr="00D4651E">
              <w:rPr>
                <w:rFonts w:eastAsia="MS Mincho" w:cs="Arial"/>
                <w:szCs w:val="18"/>
                <w:lang w:eastAsia="ja-JP"/>
              </w:rPr>
              <w:t>(if present)</w:t>
            </w:r>
          </w:p>
        </w:tc>
        <w:tc>
          <w:tcPr>
            <w:tcW w:w="2160" w:type="dxa"/>
            <w:vAlign w:val="center"/>
          </w:tcPr>
          <w:p w14:paraId="60D7A349" w14:textId="2A31268F" w:rsidR="009919DB" w:rsidRPr="00D4651E" w:rsidRDefault="009919DB" w:rsidP="004F21B6">
            <w:pPr>
              <w:pStyle w:val="TAC"/>
              <w:rPr>
                <w:rFonts w:cs="Arial"/>
                <w:szCs w:val="18"/>
              </w:rPr>
            </w:pPr>
            <w:r w:rsidRPr="00D4651E">
              <w:rPr>
                <w:rFonts w:cs="Arial"/>
                <w:szCs w:val="18"/>
              </w:rPr>
              <w:t xml:space="preserve">set to all </w:t>
            </w:r>
            <w:r w:rsidR="00CC6760" w:rsidRPr="00D4651E">
              <w:rPr>
                <w:rFonts w:cs="Arial"/>
                <w:szCs w:val="18"/>
              </w:rPr>
              <w:t>'</w:t>
            </w:r>
            <w:r w:rsidRPr="00D4651E">
              <w:rPr>
                <w:rFonts w:cs="Arial"/>
                <w:szCs w:val="18"/>
              </w:rPr>
              <w:t>0</w:t>
            </w:r>
            <w:r w:rsidR="00CC6760" w:rsidRPr="00D4651E">
              <w:rPr>
                <w:rFonts w:cs="Arial"/>
                <w:szCs w:val="18"/>
              </w:rPr>
              <w:t>'</w:t>
            </w:r>
            <w:r w:rsidRPr="00D4651E">
              <w:rPr>
                <w:rFonts w:cs="Arial"/>
                <w:szCs w:val="18"/>
              </w:rPr>
              <w:t>s</w:t>
            </w:r>
          </w:p>
        </w:tc>
        <w:tc>
          <w:tcPr>
            <w:tcW w:w="2060" w:type="dxa"/>
            <w:vAlign w:val="center"/>
          </w:tcPr>
          <w:p w14:paraId="4BA00E3F" w14:textId="77777777" w:rsidR="009919DB" w:rsidRPr="00D4651E" w:rsidRDefault="009919DB" w:rsidP="00F95BA6">
            <w:pPr>
              <w:pStyle w:val="TAC"/>
              <w:rPr>
                <w:rFonts w:cs="Arial"/>
                <w:szCs w:val="18"/>
              </w:rPr>
            </w:pPr>
            <w:r w:rsidRPr="00D4651E">
              <w:rPr>
                <w:rFonts w:cs="Arial"/>
                <w:szCs w:val="18"/>
              </w:rPr>
              <w:t xml:space="preserve">set to all </w:t>
            </w:r>
            <w:r w:rsidR="00CC6760" w:rsidRPr="00D4651E">
              <w:rPr>
                <w:rFonts w:cs="Arial"/>
                <w:szCs w:val="18"/>
              </w:rPr>
              <w:t>'</w:t>
            </w:r>
            <w:r w:rsidRPr="00D4651E">
              <w:rPr>
                <w:rFonts w:cs="Arial"/>
                <w:szCs w:val="18"/>
              </w:rPr>
              <w:t>0</w:t>
            </w:r>
            <w:r w:rsidR="00CC6760" w:rsidRPr="00D4651E">
              <w:rPr>
                <w:rFonts w:cs="Arial"/>
                <w:szCs w:val="18"/>
              </w:rPr>
              <w:t>'</w:t>
            </w:r>
            <w:r w:rsidRPr="00D4651E">
              <w:rPr>
                <w:rFonts w:cs="Arial"/>
                <w:szCs w:val="18"/>
              </w:rPr>
              <w:t>s</w:t>
            </w:r>
          </w:p>
        </w:tc>
      </w:tr>
      <w:tr w:rsidR="009919DB" w:rsidRPr="00D4651E" w14:paraId="4EB9BB29" w14:textId="77777777" w:rsidTr="0019345E">
        <w:trPr>
          <w:cantSplit/>
          <w:jc w:val="center"/>
        </w:trPr>
        <w:tc>
          <w:tcPr>
            <w:tcW w:w="2615" w:type="dxa"/>
            <w:vAlign w:val="center"/>
          </w:tcPr>
          <w:p w14:paraId="5785AD87" w14:textId="77777777" w:rsidR="00D4651E" w:rsidRPr="00D4651E" w:rsidRDefault="009919DB" w:rsidP="00D4651E">
            <w:pPr>
              <w:keepNext/>
              <w:keepLines/>
              <w:spacing w:after="0"/>
              <w:jc w:val="center"/>
              <w:rPr>
                <w:rFonts w:ascii="Arial" w:hAnsi="Arial" w:cs="Arial"/>
                <w:sz w:val="18"/>
                <w:szCs w:val="18"/>
              </w:rPr>
            </w:pPr>
            <w:r w:rsidRPr="00D4651E">
              <w:rPr>
                <w:rFonts w:ascii="Arial" w:hAnsi="Arial" w:cs="Arial"/>
                <w:sz w:val="18"/>
                <w:szCs w:val="18"/>
              </w:rPr>
              <w:t>Redundancy version</w:t>
            </w:r>
          </w:p>
          <w:p w14:paraId="3E69AF4D" w14:textId="3E5EF9F2" w:rsidR="009919DB" w:rsidRPr="00D4651E" w:rsidRDefault="00D4651E" w:rsidP="00D4651E">
            <w:pPr>
              <w:pStyle w:val="TAC"/>
              <w:rPr>
                <w:rFonts w:cs="Arial"/>
                <w:szCs w:val="18"/>
              </w:rPr>
            </w:pPr>
            <w:r w:rsidRPr="00D4651E">
              <w:rPr>
                <w:rFonts w:eastAsia="MS Mincho" w:cs="Arial"/>
                <w:szCs w:val="18"/>
                <w:lang w:eastAsia="ja-JP"/>
              </w:rPr>
              <w:t>(if present)</w:t>
            </w:r>
          </w:p>
        </w:tc>
        <w:tc>
          <w:tcPr>
            <w:tcW w:w="2160" w:type="dxa"/>
            <w:vAlign w:val="center"/>
          </w:tcPr>
          <w:p w14:paraId="77770545" w14:textId="48103745" w:rsidR="009919DB" w:rsidRPr="00D4651E" w:rsidRDefault="0009719E" w:rsidP="004F21B6">
            <w:pPr>
              <w:pStyle w:val="TAC"/>
              <w:rPr>
                <w:rFonts w:cs="Arial"/>
                <w:szCs w:val="18"/>
              </w:rPr>
            </w:pPr>
            <w:r w:rsidRPr="00D4651E">
              <w:rPr>
                <w:rFonts w:cs="Arial"/>
                <w:szCs w:val="18"/>
              </w:rPr>
              <w:t>set to all '0's</w:t>
            </w:r>
          </w:p>
        </w:tc>
        <w:tc>
          <w:tcPr>
            <w:tcW w:w="2060" w:type="dxa"/>
            <w:vAlign w:val="center"/>
          </w:tcPr>
          <w:p w14:paraId="2C122247" w14:textId="07DC7868" w:rsidR="009919DB" w:rsidRPr="00D4651E" w:rsidRDefault="0009719E" w:rsidP="00F95BA6">
            <w:pPr>
              <w:pStyle w:val="TAC"/>
              <w:rPr>
                <w:rFonts w:cs="Arial"/>
                <w:szCs w:val="18"/>
              </w:rPr>
            </w:pPr>
            <w:r w:rsidRPr="00D4651E">
              <w:rPr>
                <w:rFonts w:cs="Arial"/>
                <w:szCs w:val="18"/>
              </w:rPr>
              <w:t>set to all '0's</w:t>
            </w:r>
          </w:p>
        </w:tc>
      </w:tr>
      <w:tr w:rsidR="009919DB" w:rsidRPr="00D4651E" w14:paraId="4A4FD7BD" w14:textId="77777777" w:rsidTr="0019345E">
        <w:trPr>
          <w:cantSplit/>
          <w:jc w:val="center"/>
        </w:trPr>
        <w:tc>
          <w:tcPr>
            <w:tcW w:w="2615" w:type="dxa"/>
            <w:vAlign w:val="center"/>
          </w:tcPr>
          <w:p w14:paraId="464DE4AB" w14:textId="77777777" w:rsidR="009919DB" w:rsidRPr="00D4651E" w:rsidRDefault="009919DB" w:rsidP="009919DB">
            <w:pPr>
              <w:pStyle w:val="TAC"/>
              <w:rPr>
                <w:rFonts w:cs="Arial"/>
                <w:szCs w:val="18"/>
              </w:rPr>
            </w:pPr>
            <w:r w:rsidRPr="00D4651E">
              <w:rPr>
                <w:rFonts w:cs="Arial"/>
                <w:szCs w:val="18"/>
              </w:rPr>
              <w:t>Modulation and coding scheme</w:t>
            </w:r>
          </w:p>
        </w:tc>
        <w:tc>
          <w:tcPr>
            <w:tcW w:w="2160" w:type="dxa"/>
            <w:vAlign w:val="center"/>
          </w:tcPr>
          <w:p w14:paraId="354A469E" w14:textId="77777777" w:rsidR="009919DB" w:rsidRPr="00D4651E" w:rsidRDefault="009919DB" w:rsidP="004F21B6">
            <w:pPr>
              <w:pStyle w:val="TAC"/>
              <w:rPr>
                <w:rFonts w:cs="Arial"/>
                <w:szCs w:val="18"/>
              </w:rPr>
            </w:pPr>
            <w:r w:rsidRPr="00D4651E">
              <w:rPr>
                <w:rFonts w:cs="Arial"/>
                <w:szCs w:val="18"/>
              </w:rPr>
              <w:t xml:space="preserve">set to all </w:t>
            </w:r>
            <w:r w:rsidR="00CC6760" w:rsidRPr="00D4651E">
              <w:rPr>
                <w:rFonts w:cs="Arial"/>
                <w:szCs w:val="18"/>
              </w:rPr>
              <w:t>'</w:t>
            </w:r>
            <w:r w:rsidRPr="00D4651E">
              <w:rPr>
                <w:rFonts w:cs="Arial"/>
                <w:szCs w:val="18"/>
              </w:rPr>
              <w:t>1</w:t>
            </w:r>
            <w:r w:rsidR="00CC6760" w:rsidRPr="00D4651E">
              <w:rPr>
                <w:rFonts w:cs="Arial"/>
                <w:szCs w:val="18"/>
              </w:rPr>
              <w:t>'</w:t>
            </w:r>
            <w:r w:rsidRPr="00D4651E">
              <w:rPr>
                <w:rFonts w:cs="Arial"/>
                <w:szCs w:val="18"/>
              </w:rPr>
              <w:t>s</w:t>
            </w:r>
          </w:p>
        </w:tc>
        <w:tc>
          <w:tcPr>
            <w:tcW w:w="2060" w:type="dxa"/>
            <w:vAlign w:val="center"/>
          </w:tcPr>
          <w:p w14:paraId="7D83F4B6" w14:textId="77777777" w:rsidR="009919DB" w:rsidRPr="00D4651E" w:rsidRDefault="009919DB" w:rsidP="00F95BA6">
            <w:pPr>
              <w:pStyle w:val="TAC"/>
              <w:rPr>
                <w:rFonts w:cs="Arial"/>
                <w:szCs w:val="18"/>
              </w:rPr>
            </w:pPr>
            <w:r w:rsidRPr="00D4651E">
              <w:rPr>
                <w:rFonts w:cs="Arial"/>
                <w:szCs w:val="18"/>
              </w:rPr>
              <w:t xml:space="preserve">set to all </w:t>
            </w:r>
            <w:r w:rsidR="00CC6760" w:rsidRPr="00D4651E">
              <w:rPr>
                <w:rFonts w:cs="Arial"/>
                <w:szCs w:val="18"/>
              </w:rPr>
              <w:t>'</w:t>
            </w:r>
            <w:r w:rsidRPr="00D4651E">
              <w:rPr>
                <w:rFonts w:cs="Arial"/>
                <w:szCs w:val="18"/>
              </w:rPr>
              <w:t>1</w:t>
            </w:r>
            <w:r w:rsidR="00CC6760" w:rsidRPr="00D4651E">
              <w:rPr>
                <w:rFonts w:cs="Arial"/>
                <w:szCs w:val="18"/>
              </w:rPr>
              <w:t>'</w:t>
            </w:r>
            <w:r w:rsidRPr="00D4651E">
              <w:rPr>
                <w:rFonts w:cs="Arial"/>
                <w:szCs w:val="18"/>
              </w:rPr>
              <w:t>s</w:t>
            </w:r>
          </w:p>
        </w:tc>
      </w:tr>
      <w:tr w:rsidR="009919DB" w:rsidRPr="00D4651E" w14:paraId="2D9B0614" w14:textId="77777777" w:rsidTr="0019345E">
        <w:trPr>
          <w:cantSplit/>
          <w:jc w:val="center"/>
        </w:trPr>
        <w:tc>
          <w:tcPr>
            <w:tcW w:w="2615" w:type="dxa"/>
            <w:vAlign w:val="center"/>
          </w:tcPr>
          <w:p w14:paraId="74143D9B" w14:textId="77777777" w:rsidR="009919DB" w:rsidRPr="00D4651E" w:rsidRDefault="00665760" w:rsidP="009919DB">
            <w:pPr>
              <w:pStyle w:val="TAC"/>
              <w:rPr>
                <w:rFonts w:cs="Arial"/>
                <w:szCs w:val="18"/>
              </w:rPr>
            </w:pPr>
            <w:r w:rsidRPr="00D4651E">
              <w:rPr>
                <w:rFonts w:cs="Arial"/>
                <w:szCs w:val="18"/>
              </w:rPr>
              <w:t>Frequency domain resource</w:t>
            </w:r>
            <w:r w:rsidR="009919DB" w:rsidRPr="00D4651E">
              <w:rPr>
                <w:rFonts w:cs="Arial"/>
                <w:szCs w:val="18"/>
              </w:rPr>
              <w:t xml:space="preserve"> assignment</w:t>
            </w:r>
          </w:p>
        </w:tc>
        <w:tc>
          <w:tcPr>
            <w:tcW w:w="2160" w:type="dxa"/>
            <w:vAlign w:val="center"/>
          </w:tcPr>
          <w:p w14:paraId="61B6D94F" w14:textId="27C36CA1" w:rsidR="00E103F9" w:rsidRPr="00D4651E" w:rsidRDefault="00E103F9" w:rsidP="00E103F9">
            <w:pPr>
              <w:pStyle w:val="NormalWeb"/>
              <w:widowControl w:val="0"/>
              <w:spacing w:before="0" w:beforeAutospacing="0" w:after="120" w:afterAutospacing="0"/>
              <w:jc w:val="center"/>
              <w:rPr>
                <w:rFonts w:ascii="Arial" w:hAnsi="Arial" w:cs="Arial"/>
                <w:sz w:val="18"/>
                <w:szCs w:val="18"/>
                <w:lang w:eastAsia="ja-JP"/>
              </w:rPr>
            </w:pPr>
            <w:r w:rsidRPr="00D4651E">
              <w:rPr>
                <w:rFonts w:ascii="Arial" w:hAnsi="Arial" w:cs="Arial"/>
                <w:sz w:val="18"/>
                <w:szCs w:val="18"/>
              </w:rPr>
              <w:t xml:space="preserve">set to all </w:t>
            </w:r>
            <w:r w:rsidR="00965E29" w:rsidRPr="00D4651E">
              <w:rPr>
                <w:rFonts w:ascii="Arial" w:hAnsi="Arial" w:cs="Arial"/>
                <w:sz w:val="18"/>
                <w:szCs w:val="18"/>
              </w:rPr>
              <w:t>'</w:t>
            </w:r>
            <w:r w:rsidRPr="00D4651E">
              <w:rPr>
                <w:rFonts w:ascii="Arial" w:hAnsi="Arial" w:cs="Arial"/>
                <w:sz w:val="18"/>
                <w:szCs w:val="18"/>
              </w:rPr>
              <w:t>0</w:t>
            </w:r>
            <w:r w:rsidR="00965E29" w:rsidRPr="00D4651E">
              <w:rPr>
                <w:rFonts w:ascii="Arial" w:hAnsi="Arial" w:cs="Arial"/>
                <w:sz w:val="18"/>
                <w:szCs w:val="18"/>
              </w:rPr>
              <w:t>'</w:t>
            </w:r>
            <w:r w:rsidRPr="00D4651E">
              <w:rPr>
                <w:rFonts w:ascii="Arial" w:hAnsi="Arial" w:cs="Arial"/>
                <w:sz w:val="18"/>
                <w:szCs w:val="18"/>
              </w:rPr>
              <w:t xml:space="preserve">s for FDRA Type 2 with </w:t>
            </w:r>
            <m:oMath>
              <m:r>
                <w:rPr>
                  <w:rFonts w:ascii="Cambria Math" w:hAnsi="Cambria Math" w:cs="Arial"/>
                  <w:sz w:val="18"/>
                  <w:szCs w:val="18"/>
                  <w:lang w:val="sv-SE" w:eastAsia="ja-JP"/>
                </w:rPr>
                <m:t>μ</m:t>
              </m:r>
              <m:r>
                <w:rPr>
                  <w:rFonts w:ascii="Cambria Math" w:hAnsi="Cambria Math" w:cs="Arial"/>
                  <w:sz w:val="18"/>
                  <w:szCs w:val="18"/>
                  <w:lang w:eastAsia="ja-JP"/>
                </w:rPr>
                <m:t>=1</m:t>
              </m:r>
            </m:oMath>
          </w:p>
          <w:p w14:paraId="74719149" w14:textId="77777777" w:rsidR="00A248DC" w:rsidRPr="00D4651E" w:rsidRDefault="00A248DC" w:rsidP="00E103F9">
            <w:pPr>
              <w:pStyle w:val="NormalWeb"/>
              <w:widowControl w:val="0"/>
              <w:spacing w:before="0" w:beforeAutospacing="0" w:after="120" w:afterAutospacing="0"/>
              <w:jc w:val="center"/>
              <w:rPr>
                <w:rFonts w:ascii="Arial" w:hAnsi="Arial" w:cs="Arial"/>
                <w:sz w:val="18"/>
                <w:szCs w:val="18"/>
              </w:rPr>
            </w:pPr>
          </w:p>
          <w:p w14:paraId="478C5C3E" w14:textId="5C892193" w:rsidR="009919DB" w:rsidRPr="00D4651E" w:rsidRDefault="00E103F9" w:rsidP="00E103F9">
            <w:pPr>
              <w:pStyle w:val="TAC"/>
              <w:rPr>
                <w:rFonts w:cs="Arial"/>
                <w:szCs w:val="18"/>
              </w:rPr>
            </w:pPr>
            <w:r w:rsidRPr="00D4651E">
              <w:rPr>
                <w:rFonts w:cs="Arial"/>
                <w:szCs w:val="18"/>
              </w:rPr>
              <w:t>set to all '1's</w:t>
            </w:r>
            <w:r w:rsidR="00A248DC" w:rsidRPr="00D4651E">
              <w:rPr>
                <w:rFonts w:cs="Arial"/>
                <w:szCs w:val="18"/>
              </w:rPr>
              <w:t>, otherwise</w:t>
            </w:r>
          </w:p>
        </w:tc>
        <w:tc>
          <w:tcPr>
            <w:tcW w:w="2060" w:type="dxa"/>
            <w:vAlign w:val="center"/>
          </w:tcPr>
          <w:p w14:paraId="10421A6B" w14:textId="6B9D145E" w:rsidR="00A248DC" w:rsidRPr="00D4651E" w:rsidRDefault="0009719E" w:rsidP="00A248DC">
            <w:pPr>
              <w:pStyle w:val="TAC"/>
              <w:rPr>
                <w:rFonts w:cs="Arial"/>
                <w:szCs w:val="18"/>
              </w:rPr>
            </w:pPr>
            <w:r w:rsidRPr="00D4651E">
              <w:rPr>
                <w:rFonts w:cs="Arial"/>
                <w:szCs w:val="18"/>
              </w:rPr>
              <w:t>set to all '0</w:t>
            </w:r>
            <w:r w:rsidR="00D93480" w:rsidRPr="00D4651E">
              <w:rPr>
                <w:rFonts w:cs="Arial"/>
                <w:szCs w:val="18"/>
              </w:rPr>
              <w:t>'</w:t>
            </w:r>
            <w:r w:rsidRPr="00D4651E">
              <w:rPr>
                <w:rFonts w:cs="Arial"/>
                <w:szCs w:val="18"/>
              </w:rPr>
              <w:t xml:space="preserve">s for FDRA Type 0 </w:t>
            </w:r>
            <w:r w:rsidR="00A248DC" w:rsidRPr="00D4651E">
              <w:rPr>
                <w:rFonts w:cs="Arial"/>
                <w:szCs w:val="18"/>
              </w:rPr>
              <w:t xml:space="preserve">or for </w:t>
            </w:r>
            <w:r w:rsidR="00A248DC" w:rsidRPr="00D4651E">
              <w:rPr>
                <w:rFonts w:cs="Arial"/>
                <w:i/>
                <w:iCs/>
                <w:szCs w:val="18"/>
              </w:rPr>
              <w:t>dynamicSwitch</w:t>
            </w:r>
          </w:p>
          <w:p w14:paraId="6EBB96F4" w14:textId="6D7B22D7" w:rsidR="009919DB" w:rsidRPr="00D4651E" w:rsidRDefault="009919DB" w:rsidP="00F95BA6">
            <w:pPr>
              <w:pStyle w:val="TAC"/>
              <w:rPr>
                <w:rFonts w:cs="Arial"/>
                <w:szCs w:val="18"/>
              </w:rPr>
            </w:pPr>
            <w:r w:rsidRPr="00D4651E">
              <w:rPr>
                <w:rFonts w:cs="Arial"/>
                <w:szCs w:val="18"/>
              </w:rPr>
              <w:t xml:space="preserve">set to all </w:t>
            </w:r>
            <w:r w:rsidR="00CC6760" w:rsidRPr="00D4651E">
              <w:rPr>
                <w:rFonts w:cs="Arial"/>
                <w:szCs w:val="18"/>
              </w:rPr>
              <w:t>'</w:t>
            </w:r>
            <w:r w:rsidRPr="00D4651E">
              <w:rPr>
                <w:rFonts w:cs="Arial"/>
                <w:szCs w:val="18"/>
              </w:rPr>
              <w:t>1</w:t>
            </w:r>
            <w:r w:rsidR="00CC6760" w:rsidRPr="00D4651E">
              <w:rPr>
                <w:rFonts w:cs="Arial"/>
                <w:szCs w:val="18"/>
              </w:rPr>
              <w:t>'</w:t>
            </w:r>
            <w:r w:rsidRPr="00D4651E">
              <w:rPr>
                <w:rFonts w:cs="Arial"/>
                <w:szCs w:val="18"/>
              </w:rPr>
              <w:t>s</w:t>
            </w:r>
            <w:r w:rsidR="0009719E" w:rsidRPr="00D4651E">
              <w:rPr>
                <w:rFonts w:cs="Arial"/>
                <w:szCs w:val="18"/>
              </w:rPr>
              <w:t xml:space="preserve"> for FDRA Type 1</w:t>
            </w:r>
          </w:p>
        </w:tc>
      </w:tr>
    </w:tbl>
    <w:p w14:paraId="2F44F56C" w14:textId="2343DBAA" w:rsidR="009919DB" w:rsidRDefault="009919DB" w:rsidP="009919DB"/>
    <w:p w14:paraId="73E3C491" w14:textId="3EEFCA12" w:rsidR="0009719E" w:rsidRPr="001B7540" w:rsidRDefault="0009719E" w:rsidP="0009719E">
      <w:pPr>
        <w:pStyle w:val="TH"/>
        <w:spacing w:before="180"/>
      </w:pPr>
      <w:r w:rsidRPr="001B7540">
        <w:rPr>
          <w:rFonts w:cs="Arial"/>
          <w:bCs/>
          <w:szCs w:val="21"/>
          <w:lang w:eastAsia="zh-CN"/>
        </w:rPr>
        <w:t xml:space="preserve">Table 10.2-3: Special fields for a single DL SPS or single UL grant Type 2 scheduling activation PDCCH validation when a UE is provided multiple DL SPS or UL grant Type 2 configurations </w:t>
      </w:r>
      <w:r w:rsidR="002B0BCC">
        <w:rPr>
          <w:rFonts w:eastAsia="MS Mincho" w:cs="Arial"/>
          <w:bCs/>
          <w:lang w:val="en-US" w:eastAsia="ko-KR"/>
        </w:rPr>
        <w:t>in the active DL/UL BWP of the scheduled cell</w:t>
      </w:r>
    </w:p>
    <w:tbl>
      <w:tblPr>
        <w:tblW w:w="96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954"/>
        <w:gridCol w:w="1884"/>
        <w:gridCol w:w="1709"/>
        <w:gridCol w:w="1948"/>
        <w:gridCol w:w="2156"/>
      </w:tblGrid>
      <w:tr w:rsidR="003A4EE7" w:rsidRPr="001B7540" w14:paraId="7F1E0B3E" w14:textId="77777777" w:rsidTr="003A4EE7">
        <w:trPr>
          <w:cantSplit/>
          <w:jc w:val="center"/>
        </w:trPr>
        <w:tc>
          <w:tcPr>
            <w:tcW w:w="1954" w:type="dxa"/>
            <w:shd w:val="clear" w:color="auto" w:fill="E0E0E0"/>
            <w:vAlign w:val="center"/>
          </w:tcPr>
          <w:p w14:paraId="03F8E37E" w14:textId="77777777" w:rsidR="003A4EE7" w:rsidRPr="001B7540" w:rsidRDefault="003A4EE7" w:rsidP="003A4EE7">
            <w:pPr>
              <w:pStyle w:val="TAH"/>
            </w:pPr>
          </w:p>
        </w:tc>
        <w:tc>
          <w:tcPr>
            <w:tcW w:w="1884" w:type="dxa"/>
            <w:shd w:val="clear" w:color="auto" w:fill="E0E0E0"/>
            <w:vAlign w:val="center"/>
          </w:tcPr>
          <w:p w14:paraId="7E3C1324" w14:textId="2EBA1B0B" w:rsidR="003A4EE7" w:rsidRPr="001B7540" w:rsidRDefault="003A4EE7" w:rsidP="003A4EE7">
            <w:pPr>
              <w:pStyle w:val="TAH"/>
            </w:pPr>
            <w:r w:rsidRPr="001B7540">
              <w:t xml:space="preserve">DCI format 0_0/0_2 </w:t>
            </w:r>
          </w:p>
        </w:tc>
        <w:tc>
          <w:tcPr>
            <w:tcW w:w="1709" w:type="dxa"/>
            <w:shd w:val="clear" w:color="auto" w:fill="E0E0E0"/>
          </w:tcPr>
          <w:p w14:paraId="1BCBC2C6" w14:textId="29A82B3A" w:rsidR="003A4EE7" w:rsidRPr="001B7540" w:rsidRDefault="003A4EE7" w:rsidP="003A4EE7">
            <w:pPr>
              <w:pStyle w:val="TAH"/>
            </w:pPr>
            <w:r>
              <w:t>DCI format 0_1</w:t>
            </w:r>
          </w:p>
        </w:tc>
        <w:tc>
          <w:tcPr>
            <w:tcW w:w="1948" w:type="dxa"/>
            <w:shd w:val="clear" w:color="auto" w:fill="E0E0E0"/>
            <w:vAlign w:val="center"/>
          </w:tcPr>
          <w:p w14:paraId="61B73906" w14:textId="192195CA" w:rsidR="003A4EE7" w:rsidRPr="001B7540" w:rsidRDefault="003A4EE7" w:rsidP="003A4EE7">
            <w:pPr>
              <w:pStyle w:val="TAH"/>
            </w:pPr>
            <w:r w:rsidRPr="001B7540">
              <w:t>DCI format 1_0/1_2</w:t>
            </w:r>
            <w:r w:rsidRPr="0088027F">
              <w:t>/4_1</w:t>
            </w:r>
          </w:p>
        </w:tc>
        <w:tc>
          <w:tcPr>
            <w:tcW w:w="2156" w:type="dxa"/>
            <w:shd w:val="clear" w:color="auto" w:fill="E0E0E0"/>
            <w:vAlign w:val="center"/>
          </w:tcPr>
          <w:p w14:paraId="4D137937" w14:textId="36C02AEA" w:rsidR="003A4EE7" w:rsidRPr="001B7540" w:rsidRDefault="003A4EE7" w:rsidP="003A4EE7">
            <w:pPr>
              <w:pStyle w:val="TAH"/>
            </w:pPr>
            <w:r w:rsidRPr="001B7540">
              <w:t>DCI format 1_1</w:t>
            </w:r>
            <w:r w:rsidRPr="0088027F">
              <w:t>/4_2</w:t>
            </w:r>
          </w:p>
        </w:tc>
      </w:tr>
      <w:tr w:rsidR="003A4EE7" w:rsidRPr="00D4651E" w14:paraId="393CDEA9" w14:textId="77777777" w:rsidTr="003A4EE7">
        <w:trPr>
          <w:cantSplit/>
          <w:jc w:val="center"/>
        </w:trPr>
        <w:tc>
          <w:tcPr>
            <w:tcW w:w="1954" w:type="dxa"/>
            <w:vAlign w:val="center"/>
          </w:tcPr>
          <w:p w14:paraId="78B63A5D" w14:textId="77777777" w:rsidR="003A4EE7" w:rsidRPr="00D4651E" w:rsidRDefault="003A4EE7" w:rsidP="003A4EE7">
            <w:pPr>
              <w:keepNext/>
              <w:keepLines/>
              <w:spacing w:after="0"/>
              <w:jc w:val="center"/>
              <w:rPr>
                <w:rFonts w:ascii="Arial" w:hAnsi="Arial" w:cs="Arial"/>
                <w:sz w:val="18"/>
                <w:szCs w:val="18"/>
              </w:rPr>
            </w:pPr>
            <w:r w:rsidRPr="00D4651E">
              <w:rPr>
                <w:rFonts w:ascii="Arial" w:hAnsi="Arial" w:cs="Arial"/>
                <w:sz w:val="18"/>
                <w:szCs w:val="18"/>
              </w:rPr>
              <w:t>Redundancy version</w:t>
            </w:r>
          </w:p>
          <w:p w14:paraId="3EA248AD" w14:textId="01E9F7F4" w:rsidR="003A4EE7" w:rsidRPr="00D4651E" w:rsidRDefault="003A4EE7" w:rsidP="003A4EE7">
            <w:pPr>
              <w:pStyle w:val="TAC"/>
              <w:rPr>
                <w:rFonts w:cs="Arial"/>
                <w:szCs w:val="18"/>
              </w:rPr>
            </w:pPr>
            <w:r w:rsidRPr="00D4651E">
              <w:rPr>
                <w:rFonts w:eastAsia="MS Mincho" w:cs="Arial"/>
                <w:szCs w:val="18"/>
                <w:lang w:eastAsia="ja-JP"/>
              </w:rPr>
              <w:t>(if present)</w:t>
            </w:r>
          </w:p>
        </w:tc>
        <w:tc>
          <w:tcPr>
            <w:tcW w:w="1884" w:type="dxa"/>
            <w:vAlign w:val="center"/>
          </w:tcPr>
          <w:p w14:paraId="72CAF820" w14:textId="77777777" w:rsidR="003A4EE7" w:rsidRPr="00D4651E" w:rsidRDefault="003A4EE7" w:rsidP="003A4EE7">
            <w:pPr>
              <w:pStyle w:val="TAC"/>
              <w:rPr>
                <w:rFonts w:cs="Arial"/>
                <w:szCs w:val="18"/>
              </w:rPr>
            </w:pPr>
            <w:r w:rsidRPr="00D4651E">
              <w:rPr>
                <w:rFonts w:cs="Arial"/>
                <w:szCs w:val="18"/>
              </w:rPr>
              <w:t>set to all '0's</w:t>
            </w:r>
          </w:p>
        </w:tc>
        <w:tc>
          <w:tcPr>
            <w:tcW w:w="1709" w:type="dxa"/>
          </w:tcPr>
          <w:p w14:paraId="46EC4D1F" w14:textId="338F2291" w:rsidR="003A4EE7" w:rsidRPr="00D4651E" w:rsidRDefault="003A4EE7" w:rsidP="003A4EE7">
            <w:pPr>
              <w:pStyle w:val="TAC"/>
              <w:rPr>
                <w:rFonts w:cs="Arial"/>
                <w:szCs w:val="18"/>
              </w:rPr>
            </w:pPr>
            <w:r w:rsidRPr="00D4651E">
              <w:rPr>
                <w:rFonts w:cs="Arial"/>
                <w:szCs w:val="18"/>
              </w:rPr>
              <w:t>For the enabled transport block: set to all '0's</w:t>
            </w:r>
          </w:p>
        </w:tc>
        <w:tc>
          <w:tcPr>
            <w:tcW w:w="1948" w:type="dxa"/>
            <w:vAlign w:val="center"/>
          </w:tcPr>
          <w:p w14:paraId="6F9DD750" w14:textId="0E2C4540" w:rsidR="003A4EE7" w:rsidRPr="00D4651E" w:rsidRDefault="003A4EE7" w:rsidP="003A4EE7">
            <w:pPr>
              <w:pStyle w:val="TAC"/>
              <w:rPr>
                <w:rFonts w:cs="Arial"/>
                <w:szCs w:val="18"/>
              </w:rPr>
            </w:pPr>
            <w:r w:rsidRPr="00D4651E">
              <w:rPr>
                <w:rFonts w:cs="Arial"/>
                <w:szCs w:val="18"/>
              </w:rPr>
              <w:t>set to all '0's</w:t>
            </w:r>
          </w:p>
        </w:tc>
        <w:tc>
          <w:tcPr>
            <w:tcW w:w="2156" w:type="dxa"/>
            <w:vAlign w:val="center"/>
          </w:tcPr>
          <w:p w14:paraId="155A034A" w14:textId="77777777" w:rsidR="003A4EE7" w:rsidRPr="00D4651E" w:rsidRDefault="003A4EE7" w:rsidP="003A4EE7">
            <w:pPr>
              <w:pStyle w:val="TAC"/>
              <w:rPr>
                <w:rFonts w:cs="Arial"/>
                <w:szCs w:val="18"/>
              </w:rPr>
            </w:pPr>
            <w:r w:rsidRPr="00D4651E">
              <w:rPr>
                <w:rFonts w:cs="Arial"/>
                <w:szCs w:val="18"/>
              </w:rPr>
              <w:t>For the enabled transport block: set to all '0's</w:t>
            </w:r>
          </w:p>
        </w:tc>
      </w:tr>
    </w:tbl>
    <w:p w14:paraId="1F0E93DC" w14:textId="77777777" w:rsidR="0009719E" w:rsidRDefault="0009719E" w:rsidP="00B15B58">
      <w:pPr>
        <w:rPr>
          <w:lang w:eastAsia="zh-CN"/>
        </w:rPr>
      </w:pPr>
    </w:p>
    <w:p w14:paraId="6F36DCBF" w14:textId="4D9402B5" w:rsidR="0009719E" w:rsidRPr="001B7540" w:rsidRDefault="0009719E" w:rsidP="0009719E">
      <w:pPr>
        <w:pStyle w:val="TH"/>
        <w:spacing w:before="180"/>
        <w:rPr>
          <w:lang w:eastAsia="zh-CN"/>
        </w:rPr>
      </w:pPr>
      <w:r w:rsidRPr="001B7540">
        <w:rPr>
          <w:lang w:eastAsia="zh-CN"/>
        </w:rPr>
        <w:lastRenderedPageBreak/>
        <w:t xml:space="preserve">Table 10.2-4: Special fields for </w:t>
      </w:r>
      <w:r w:rsidR="002B0BCC">
        <w:rPr>
          <w:lang w:eastAsia="zh-CN"/>
        </w:rPr>
        <w:t xml:space="preserve">a single or </w:t>
      </w:r>
      <w:r w:rsidRPr="001B7540">
        <w:rPr>
          <w:lang w:eastAsia="zh-CN"/>
        </w:rPr>
        <w:t>multiple DL SPS and UL grant Type 2 scheduling release PDCCH validation</w:t>
      </w:r>
      <w:r w:rsidR="002B0BCC">
        <w:rPr>
          <w:lang w:eastAsia="zh-CN"/>
        </w:rPr>
        <w:t xml:space="preserve"> </w:t>
      </w:r>
      <w:r w:rsidR="002B0BCC">
        <w:rPr>
          <w:rFonts w:eastAsia="MS Mincho" w:cs="Arial"/>
          <w:bCs/>
          <w:lang w:val="en-US"/>
        </w:rPr>
        <w:t>when a UE is provided multiple DL SPS or UL grant Type 2 configurations</w:t>
      </w:r>
      <w:r w:rsidR="002B0BCC">
        <w:rPr>
          <w:rFonts w:eastAsia="MS Mincho" w:cs="Arial"/>
          <w:bCs/>
          <w:lang w:val="en-US" w:eastAsia="ko-KR"/>
        </w:rPr>
        <w:t xml:space="preserve"> in the active DL/UL BWP of the scheduled 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435"/>
        <w:gridCol w:w="2160"/>
        <w:gridCol w:w="2680"/>
      </w:tblGrid>
      <w:tr w:rsidR="0009719E" w:rsidRPr="001B7540" w14:paraId="58A5286F" w14:textId="77777777" w:rsidTr="00CD36E1">
        <w:trPr>
          <w:cantSplit/>
          <w:jc w:val="center"/>
        </w:trPr>
        <w:tc>
          <w:tcPr>
            <w:tcW w:w="3435" w:type="dxa"/>
            <w:shd w:val="clear" w:color="auto" w:fill="E0E0E0"/>
            <w:vAlign w:val="center"/>
          </w:tcPr>
          <w:p w14:paraId="26BF860C" w14:textId="77777777" w:rsidR="0009719E" w:rsidRPr="001B7540" w:rsidRDefault="0009719E" w:rsidP="00CD36E1">
            <w:pPr>
              <w:pStyle w:val="TAH"/>
            </w:pPr>
          </w:p>
        </w:tc>
        <w:tc>
          <w:tcPr>
            <w:tcW w:w="2160" w:type="dxa"/>
            <w:shd w:val="clear" w:color="auto" w:fill="E0E0E0"/>
            <w:vAlign w:val="center"/>
          </w:tcPr>
          <w:p w14:paraId="1C863B2D" w14:textId="77777777" w:rsidR="0009719E" w:rsidRPr="001B7540" w:rsidRDefault="0009719E" w:rsidP="00CD36E1">
            <w:pPr>
              <w:pStyle w:val="TAH"/>
            </w:pPr>
            <w:r w:rsidRPr="001B7540">
              <w:t xml:space="preserve">DCI format 0_0/0_1/0_2 </w:t>
            </w:r>
          </w:p>
        </w:tc>
        <w:tc>
          <w:tcPr>
            <w:tcW w:w="2680" w:type="dxa"/>
            <w:shd w:val="clear" w:color="auto" w:fill="E0E0E0"/>
            <w:vAlign w:val="center"/>
          </w:tcPr>
          <w:p w14:paraId="6498E564" w14:textId="178D8C49" w:rsidR="0009719E" w:rsidRPr="001B7540" w:rsidRDefault="0009719E" w:rsidP="00CD36E1">
            <w:pPr>
              <w:pStyle w:val="TAH"/>
            </w:pPr>
            <w:r w:rsidRPr="001B7540">
              <w:t>DCI format 1_0/1_1/1_2</w:t>
            </w:r>
            <w:r w:rsidR="00B45247" w:rsidRPr="0088027F">
              <w:t>/4_1/4_2</w:t>
            </w:r>
          </w:p>
        </w:tc>
      </w:tr>
      <w:tr w:rsidR="0009719E" w:rsidRPr="00D4651E" w14:paraId="66C6FDA3" w14:textId="77777777" w:rsidTr="00CD36E1">
        <w:trPr>
          <w:cantSplit/>
          <w:jc w:val="center"/>
        </w:trPr>
        <w:tc>
          <w:tcPr>
            <w:tcW w:w="3435" w:type="dxa"/>
            <w:vAlign w:val="center"/>
          </w:tcPr>
          <w:p w14:paraId="515C3246" w14:textId="77777777" w:rsidR="00D4651E" w:rsidRPr="00D4651E" w:rsidRDefault="0009719E" w:rsidP="00D4651E">
            <w:pPr>
              <w:keepNext/>
              <w:keepLines/>
              <w:spacing w:after="0"/>
              <w:jc w:val="center"/>
              <w:rPr>
                <w:rFonts w:ascii="Arial" w:hAnsi="Arial" w:cs="Arial"/>
                <w:sz w:val="18"/>
                <w:szCs w:val="18"/>
              </w:rPr>
            </w:pPr>
            <w:r w:rsidRPr="00D4651E">
              <w:rPr>
                <w:rFonts w:ascii="Arial" w:hAnsi="Arial" w:cs="Arial"/>
                <w:sz w:val="18"/>
                <w:szCs w:val="18"/>
              </w:rPr>
              <w:t>Redundancy version</w:t>
            </w:r>
          </w:p>
          <w:p w14:paraId="530D14DF" w14:textId="5901907A" w:rsidR="0009719E" w:rsidRPr="00D4651E" w:rsidRDefault="00D4651E" w:rsidP="00D4651E">
            <w:pPr>
              <w:pStyle w:val="TAC"/>
              <w:rPr>
                <w:rFonts w:cs="Arial"/>
                <w:szCs w:val="18"/>
              </w:rPr>
            </w:pPr>
            <w:r w:rsidRPr="00D4651E">
              <w:rPr>
                <w:rFonts w:eastAsia="MS Mincho" w:cs="Arial"/>
                <w:szCs w:val="18"/>
                <w:lang w:eastAsia="ja-JP"/>
              </w:rPr>
              <w:t>(if present)</w:t>
            </w:r>
          </w:p>
        </w:tc>
        <w:tc>
          <w:tcPr>
            <w:tcW w:w="2160" w:type="dxa"/>
            <w:vAlign w:val="center"/>
          </w:tcPr>
          <w:p w14:paraId="37E69417" w14:textId="6967976E" w:rsidR="0009719E" w:rsidRPr="00D4651E" w:rsidRDefault="0009719E" w:rsidP="00CD36E1">
            <w:pPr>
              <w:pStyle w:val="TAC"/>
              <w:rPr>
                <w:rFonts w:cs="Arial"/>
                <w:szCs w:val="18"/>
              </w:rPr>
            </w:pPr>
            <w:r w:rsidRPr="00D4651E">
              <w:rPr>
                <w:rFonts w:cs="Arial"/>
                <w:szCs w:val="18"/>
              </w:rPr>
              <w:t xml:space="preserve">set to all </w:t>
            </w:r>
            <w:r w:rsidR="00D93480" w:rsidRPr="00D4651E">
              <w:rPr>
                <w:rFonts w:cs="Arial"/>
                <w:szCs w:val="18"/>
              </w:rPr>
              <w:t>'</w:t>
            </w:r>
            <w:r w:rsidRPr="00D4651E">
              <w:rPr>
                <w:rFonts w:cs="Arial"/>
                <w:szCs w:val="18"/>
              </w:rPr>
              <w:t>0</w:t>
            </w:r>
            <w:r w:rsidR="00D93480" w:rsidRPr="00D4651E">
              <w:rPr>
                <w:rFonts w:cs="Arial"/>
                <w:szCs w:val="18"/>
              </w:rPr>
              <w:t>'</w:t>
            </w:r>
            <w:r w:rsidRPr="00D4651E">
              <w:rPr>
                <w:rFonts w:cs="Arial"/>
                <w:szCs w:val="18"/>
              </w:rPr>
              <w:t>s</w:t>
            </w:r>
          </w:p>
        </w:tc>
        <w:tc>
          <w:tcPr>
            <w:tcW w:w="2680" w:type="dxa"/>
            <w:vAlign w:val="center"/>
          </w:tcPr>
          <w:p w14:paraId="23CC1178" w14:textId="3A639F0B" w:rsidR="0009719E" w:rsidRPr="00D4651E" w:rsidRDefault="0009719E" w:rsidP="00CD36E1">
            <w:pPr>
              <w:pStyle w:val="TAC"/>
              <w:rPr>
                <w:rFonts w:cs="Arial"/>
                <w:szCs w:val="18"/>
              </w:rPr>
            </w:pPr>
            <w:r w:rsidRPr="00D4651E">
              <w:rPr>
                <w:rFonts w:cs="Arial"/>
                <w:szCs w:val="18"/>
              </w:rPr>
              <w:t xml:space="preserve">set to all </w:t>
            </w:r>
            <w:r w:rsidR="00D93480" w:rsidRPr="00D4651E">
              <w:rPr>
                <w:rFonts w:cs="Arial"/>
                <w:szCs w:val="18"/>
              </w:rPr>
              <w:t>'</w:t>
            </w:r>
            <w:r w:rsidRPr="00D4651E">
              <w:rPr>
                <w:rFonts w:cs="Arial"/>
                <w:szCs w:val="18"/>
              </w:rPr>
              <w:t>0</w:t>
            </w:r>
            <w:r w:rsidR="00D93480" w:rsidRPr="00D4651E">
              <w:rPr>
                <w:rFonts w:cs="Arial"/>
                <w:szCs w:val="18"/>
              </w:rPr>
              <w:t>'</w:t>
            </w:r>
            <w:r w:rsidRPr="00D4651E">
              <w:rPr>
                <w:rFonts w:cs="Arial"/>
                <w:szCs w:val="18"/>
              </w:rPr>
              <w:t>s</w:t>
            </w:r>
          </w:p>
        </w:tc>
      </w:tr>
      <w:tr w:rsidR="0009719E" w:rsidRPr="00D4651E" w14:paraId="5FF4FC92" w14:textId="77777777" w:rsidTr="00CD36E1">
        <w:trPr>
          <w:cantSplit/>
          <w:jc w:val="center"/>
        </w:trPr>
        <w:tc>
          <w:tcPr>
            <w:tcW w:w="3435" w:type="dxa"/>
            <w:vAlign w:val="center"/>
          </w:tcPr>
          <w:p w14:paraId="7AFD3645" w14:textId="77777777" w:rsidR="0009719E" w:rsidRPr="00D4651E" w:rsidRDefault="0009719E" w:rsidP="00CD36E1">
            <w:pPr>
              <w:pStyle w:val="TAC"/>
              <w:rPr>
                <w:rFonts w:cs="Arial"/>
                <w:szCs w:val="18"/>
              </w:rPr>
            </w:pPr>
            <w:r w:rsidRPr="00D4651E">
              <w:rPr>
                <w:rFonts w:cs="Arial"/>
                <w:szCs w:val="18"/>
              </w:rPr>
              <w:t>Modulation and coding scheme</w:t>
            </w:r>
          </w:p>
        </w:tc>
        <w:tc>
          <w:tcPr>
            <w:tcW w:w="2160" w:type="dxa"/>
            <w:vAlign w:val="center"/>
          </w:tcPr>
          <w:p w14:paraId="5F17F006" w14:textId="77777777" w:rsidR="0009719E" w:rsidRPr="00D4651E" w:rsidRDefault="0009719E" w:rsidP="00CD36E1">
            <w:pPr>
              <w:pStyle w:val="TAC"/>
              <w:rPr>
                <w:rFonts w:cs="Arial"/>
                <w:szCs w:val="18"/>
              </w:rPr>
            </w:pPr>
            <w:r w:rsidRPr="00D4651E">
              <w:rPr>
                <w:rFonts w:cs="Arial"/>
                <w:szCs w:val="18"/>
              </w:rPr>
              <w:t>set to all '1's</w:t>
            </w:r>
          </w:p>
        </w:tc>
        <w:tc>
          <w:tcPr>
            <w:tcW w:w="2680" w:type="dxa"/>
            <w:vAlign w:val="center"/>
          </w:tcPr>
          <w:p w14:paraId="345FF2DE" w14:textId="77777777" w:rsidR="0009719E" w:rsidRPr="00D4651E" w:rsidRDefault="0009719E" w:rsidP="00CD36E1">
            <w:pPr>
              <w:pStyle w:val="TAC"/>
              <w:rPr>
                <w:rFonts w:cs="Arial"/>
                <w:szCs w:val="18"/>
              </w:rPr>
            </w:pPr>
            <w:r w:rsidRPr="00D4651E">
              <w:rPr>
                <w:rFonts w:cs="Arial"/>
                <w:szCs w:val="18"/>
              </w:rPr>
              <w:t>set to all '1's</w:t>
            </w:r>
          </w:p>
        </w:tc>
      </w:tr>
      <w:tr w:rsidR="00E103F9" w:rsidRPr="00D4651E" w14:paraId="2FE30E9B" w14:textId="77777777" w:rsidTr="00CD36E1">
        <w:trPr>
          <w:cantSplit/>
          <w:jc w:val="center"/>
        </w:trPr>
        <w:tc>
          <w:tcPr>
            <w:tcW w:w="3435" w:type="dxa"/>
            <w:vAlign w:val="center"/>
          </w:tcPr>
          <w:p w14:paraId="548A69A5" w14:textId="77777777" w:rsidR="00E103F9" w:rsidRPr="00D4651E" w:rsidRDefault="00E103F9" w:rsidP="00544BB1">
            <w:pPr>
              <w:pStyle w:val="TAC"/>
              <w:rPr>
                <w:rFonts w:cs="Arial"/>
                <w:szCs w:val="18"/>
              </w:rPr>
            </w:pPr>
            <w:r w:rsidRPr="00D4651E">
              <w:rPr>
                <w:rFonts w:cs="Arial"/>
                <w:szCs w:val="18"/>
              </w:rPr>
              <w:t>Frequency domain resource assignment</w:t>
            </w:r>
          </w:p>
        </w:tc>
        <w:tc>
          <w:tcPr>
            <w:tcW w:w="2160" w:type="dxa"/>
            <w:vAlign w:val="center"/>
          </w:tcPr>
          <w:p w14:paraId="4CEBF719" w14:textId="27000CE2" w:rsidR="00E103F9" w:rsidRPr="00D4651E" w:rsidRDefault="00E103F9" w:rsidP="00D429F6">
            <w:pPr>
              <w:pStyle w:val="NormalWeb"/>
              <w:widowControl w:val="0"/>
              <w:spacing w:before="0" w:beforeAutospacing="0" w:after="0" w:afterAutospacing="0"/>
              <w:jc w:val="center"/>
              <w:rPr>
                <w:rFonts w:ascii="Arial" w:hAnsi="Arial" w:cs="Arial"/>
                <w:sz w:val="18"/>
                <w:szCs w:val="18"/>
                <w:lang w:eastAsia="ja-JP"/>
              </w:rPr>
            </w:pPr>
            <w:r w:rsidRPr="00D4651E">
              <w:rPr>
                <w:rFonts w:ascii="Arial" w:hAnsi="Arial" w:cs="Arial"/>
                <w:sz w:val="18"/>
                <w:szCs w:val="18"/>
              </w:rPr>
              <w:t xml:space="preserve">set to all </w:t>
            </w:r>
            <w:r w:rsidR="00965E29" w:rsidRPr="00D4651E">
              <w:rPr>
                <w:rFonts w:ascii="Arial" w:hAnsi="Arial" w:cs="Arial"/>
                <w:sz w:val="18"/>
                <w:szCs w:val="18"/>
              </w:rPr>
              <w:t>'</w:t>
            </w:r>
            <w:r w:rsidRPr="00D4651E">
              <w:rPr>
                <w:rFonts w:ascii="Arial" w:hAnsi="Arial" w:cs="Arial"/>
                <w:sz w:val="18"/>
                <w:szCs w:val="18"/>
              </w:rPr>
              <w:t>0</w:t>
            </w:r>
            <w:r w:rsidR="00965E29" w:rsidRPr="00D4651E">
              <w:rPr>
                <w:rFonts w:ascii="Arial" w:hAnsi="Arial" w:cs="Arial"/>
                <w:sz w:val="18"/>
                <w:szCs w:val="18"/>
              </w:rPr>
              <w:t>'</w:t>
            </w:r>
            <w:r w:rsidRPr="00D4651E">
              <w:rPr>
                <w:rFonts w:ascii="Arial" w:hAnsi="Arial" w:cs="Arial"/>
                <w:sz w:val="18"/>
                <w:szCs w:val="18"/>
              </w:rPr>
              <w:t xml:space="preserve">s for FDRA Type 2 with </w:t>
            </w:r>
            <m:oMath>
              <m:r>
                <w:rPr>
                  <w:rFonts w:ascii="Cambria Math" w:hAnsi="Cambria Math" w:cs="Arial"/>
                  <w:sz w:val="18"/>
                  <w:szCs w:val="18"/>
                  <w:lang w:val="sv-SE" w:eastAsia="ja-JP"/>
                </w:rPr>
                <m:t>μ</m:t>
              </m:r>
              <m:r>
                <w:rPr>
                  <w:rFonts w:ascii="Cambria Math" w:hAnsi="Cambria Math" w:cs="Arial"/>
                  <w:sz w:val="18"/>
                  <w:szCs w:val="18"/>
                  <w:lang w:eastAsia="ja-JP"/>
                </w:rPr>
                <m:t>=1</m:t>
              </m:r>
            </m:oMath>
          </w:p>
          <w:p w14:paraId="7B06CEFB" w14:textId="77777777" w:rsidR="002B0BCC" w:rsidRPr="00D4651E" w:rsidRDefault="002B0BCC" w:rsidP="00D429F6">
            <w:pPr>
              <w:pStyle w:val="NormalWeb"/>
              <w:widowControl w:val="0"/>
              <w:spacing w:before="0" w:beforeAutospacing="0" w:after="0" w:afterAutospacing="0"/>
              <w:jc w:val="center"/>
              <w:rPr>
                <w:rFonts w:ascii="Arial" w:hAnsi="Arial" w:cs="Arial"/>
                <w:sz w:val="18"/>
                <w:szCs w:val="18"/>
              </w:rPr>
            </w:pPr>
          </w:p>
          <w:p w14:paraId="5D03BB67" w14:textId="78CE2662" w:rsidR="00E103F9" w:rsidRPr="00D4651E" w:rsidRDefault="00E103F9" w:rsidP="00544BB1">
            <w:pPr>
              <w:pStyle w:val="TAC"/>
              <w:rPr>
                <w:rFonts w:cs="Arial"/>
                <w:szCs w:val="18"/>
              </w:rPr>
            </w:pPr>
            <w:r w:rsidRPr="00D4651E">
              <w:rPr>
                <w:rFonts w:cs="Arial"/>
                <w:szCs w:val="18"/>
              </w:rPr>
              <w:t>set to all '1's</w:t>
            </w:r>
            <w:r w:rsidR="002B0BCC" w:rsidRPr="00D4651E">
              <w:rPr>
                <w:rFonts w:cs="Arial"/>
                <w:szCs w:val="18"/>
              </w:rPr>
              <w:t>, otherwise</w:t>
            </w:r>
          </w:p>
        </w:tc>
        <w:tc>
          <w:tcPr>
            <w:tcW w:w="2680" w:type="dxa"/>
            <w:vAlign w:val="center"/>
          </w:tcPr>
          <w:p w14:paraId="6A5D17F0" w14:textId="77777777" w:rsidR="002B0BCC" w:rsidRPr="00D4651E" w:rsidRDefault="00E103F9">
            <w:pPr>
              <w:pStyle w:val="TAC"/>
              <w:rPr>
                <w:rFonts w:cs="Arial"/>
                <w:i/>
                <w:iCs/>
                <w:szCs w:val="18"/>
              </w:rPr>
            </w:pPr>
            <w:r w:rsidRPr="00D4651E">
              <w:rPr>
                <w:rFonts w:cs="Arial"/>
                <w:szCs w:val="18"/>
              </w:rPr>
              <w:t xml:space="preserve">set to all '0's for FDRA Type 0 </w:t>
            </w:r>
            <w:r w:rsidR="002B0BCC" w:rsidRPr="00D4651E">
              <w:rPr>
                <w:rFonts w:cs="Arial"/>
                <w:szCs w:val="18"/>
              </w:rPr>
              <w:t xml:space="preserve">or for </w:t>
            </w:r>
            <w:r w:rsidR="002B0BCC" w:rsidRPr="00D4651E">
              <w:rPr>
                <w:rFonts w:cs="Arial"/>
                <w:i/>
                <w:iCs/>
                <w:szCs w:val="18"/>
              </w:rPr>
              <w:t>dynamicSwitch</w:t>
            </w:r>
          </w:p>
          <w:p w14:paraId="73393DCD" w14:textId="1B4D8445" w:rsidR="00E103F9" w:rsidRPr="00D4651E" w:rsidRDefault="00E103F9">
            <w:pPr>
              <w:pStyle w:val="TAC"/>
              <w:rPr>
                <w:rFonts w:cs="Arial"/>
                <w:szCs w:val="18"/>
              </w:rPr>
            </w:pPr>
          </w:p>
          <w:p w14:paraId="7604C413" w14:textId="77777777" w:rsidR="00E103F9" w:rsidRPr="00D4651E" w:rsidRDefault="00E103F9">
            <w:pPr>
              <w:pStyle w:val="TAC"/>
              <w:rPr>
                <w:rFonts w:cs="Arial"/>
                <w:szCs w:val="18"/>
              </w:rPr>
            </w:pPr>
            <w:r w:rsidRPr="00D4651E">
              <w:rPr>
                <w:rFonts w:cs="Arial"/>
                <w:szCs w:val="18"/>
              </w:rPr>
              <w:t>set to all '1's for FDRA Type 1</w:t>
            </w:r>
          </w:p>
        </w:tc>
      </w:tr>
    </w:tbl>
    <w:p w14:paraId="7D4EDBA0" w14:textId="77777777" w:rsidR="0009719E" w:rsidRDefault="0009719E" w:rsidP="009919DB"/>
    <w:p w14:paraId="7DC65495" w14:textId="597A3418" w:rsidR="002B0BCC" w:rsidRDefault="002B0BCC" w:rsidP="002B0BCC">
      <w:r>
        <w:rPr>
          <w:rFonts w:eastAsia="DengXian"/>
          <w:lang w:eastAsia="zh-CN"/>
        </w:rPr>
        <w:t xml:space="preserve">A UE is expected to provide HARQ-ACK information in response to a SPS PDSCH release after </w:t>
      </w:r>
      <m:oMath>
        <m:r>
          <w:rPr>
            <w:rFonts w:ascii="Cambria Math" w:hAnsi="Cambria Math"/>
          </w:rPr>
          <m:t>N</m:t>
        </m:r>
      </m:oMath>
      <w:r>
        <w:t xml:space="preserve"> symbols from the last symbol of a PDCCH providing the SPS PDSCH release. </w:t>
      </w:r>
      <w:r>
        <w:rPr>
          <w:lang w:eastAsia="zh-CN"/>
        </w:rPr>
        <w:t>I</w:t>
      </w:r>
      <w:r>
        <w:t>f</w:t>
      </w:r>
      <w:r>
        <w:rPr>
          <w:color w:val="000000" w:themeColor="text1"/>
          <w:lang w:eastAsia="ko-KR"/>
        </w:rPr>
        <w:t xml:space="preserve"> </w:t>
      </w:r>
      <w:r>
        <w:rPr>
          <w:i/>
          <w:color w:val="000000" w:themeColor="text1"/>
          <w:lang w:eastAsia="ko-KR"/>
        </w:rPr>
        <w:t>processingType2Enabled</w:t>
      </w:r>
      <w:r>
        <w:rPr>
          <w:color w:val="000000" w:themeColor="text1"/>
          <w:lang w:eastAsia="ko-KR"/>
        </w:rPr>
        <w:t xml:space="preserve"> of </w:t>
      </w:r>
      <w:r>
        <w:rPr>
          <w:i/>
          <w:color w:val="000000" w:themeColor="text1"/>
          <w:lang w:eastAsia="ko-KR"/>
        </w:rPr>
        <w:t>PDSCH-ServingCellConfig</w:t>
      </w:r>
      <w:r>
        <w:rPr>
          <w:color w:val="000000" w:themeColor="text1"/>
          <w:lang w:eastAsia="ko-KR"/>
        </w:rPr>
        <w:t xml:space="preserve"> is set to </w:t>
      </w:r>
      <w:r>
        <w:rPr>
          <w:i/>
          <w:color w:val="000000" w:themeColor="text1"/>
          <w:lang w:eastAsia="ko-KR"/>
        </w:rPr>
        <w:t xml:space="preserve">enable </w:t>
      </w:r>
      <w:r>
        <w:rPr>
          <w:color w:val="000000" w:themeColor="text1"/>
          <w:lang w:eastAsia="ko-KR"/>
        </w:rPr>
        <w:t xml:space="preserve">for the serving cell with the </w:t>
      </w:r>
      <w:r>
        <w:t xml:space="preserve">PDCCH providing the SPS PDSCH release, </w:t>
      </w:r>
      <m:oMath>
        <m:r>
          <w:rPr>
            <w:rFonts w:ascii="Cambria Math" w:hAnsi="Cambria Math"/>
          </w:rPr>
          <m:t>N=5</m:t>
        </m:r>
      </m:oMath>
      <w:r>
        <w:t xml:space="preserve"> for </w:t>
      </w:r>
      <m:oMath>
        <m:r>
          <w:rPr>
            <w:rFonts w:ascii="Cambria Math" w:hAnsi="Cambria Math"/>
            <w:lang w:eastAsia="zh-CN"/>
          </w:rPr>
          <m:t>μ=0</m:t>
        </m:r>
      </m:oMath>
      <w:r>
        <w:t xml:space="preserve">, </w:t>
      </w:r>
      <m:oMath>
        <m:r>
          <w:rPr>
            <w:rFonts w:ascii="Cambria Math" w:hAnsi="Cambria Math"/>
          </w:rPr>
          <m:t>N=5.5</m:t>
        </m:r>
      </m:oMath>
      <w:r>
        <w:t xml:space="preserve"> for </w:t>
      </w:r>
      <m:oMath>
        <m:r>
          <w:rPr>
            <w:rFonts w:ascii="Cambria Math" w:hAnsi="Cambria Math"/>
            <w:lang w:eastAsia="zh-CN"/>
          </w:rPr>
          <m:t>μ=1</m:t>
        </m:r>
      </m:oMath>
      <w:r>
        <w:t xml:space="preserve">, and </w:t>
      </w:r>
      <m:oMath>
        <m:r>
          <w:rPr>
            <w:rFonts w:ascii="Cambria Math" w:hAnsi="Cambria Math"/>
          </w:rPr>
          <m:t>N=11</m:t>
        </m:r>
      </m:oMath>
      <w:r>
        <w:t xml:space="preserve"> for </w:t>
      </w:r>
      <m:oMath>
        <m:r>
          <w:rPr>
            <w:rFonts w:ascii="Cambria Math" w:hAnsi="Cambria Math"/>
            <w:lang w:eastAsia="zh-CN"/>
          </w:rPr>
          <m:t>μ=2</m:t>
        </m:r>
      </m:oMath>
      <w:r>
        <w:rPr>
          <w:lang w:eastAsia="zh-CN"/>
        </w:rPr>
        <w:t xml:space="preserve">, otherwise, </w:t>
      </w:r>
      <m:oMath>
        <m:r>
          <w:rPr>
            <w:rFonts w:ascii="Cambria Math" w:hAnsi="Cambria Math"/>
          </w:rPr>
          <m:t>N=10</m:t>
        </m:r>
      </m:oMath>
      <w:r>
        <w:t xml:space="preserve"> for </w:t>
      </w:r>
      <m:oMath>
        <m:r>
          <w:rPr>
            <w:rFonts w:ascii="Cambria Math" w:hAnsi="Cambria Math"/>
            <w:lang w:eastAsia="zh-CN"/>
          </w:rPr>
          <m:t>μ=0</m:t>
        </m:r>
      </m:oMath>
      <w:r>
        <w:t xml:space="preserve">, </w:t>
      </w:r>
      <m:oMath>
        <m:r>
          <w:rPr>
            <w:rFonts w:ascii="Cambria Math" w:hAnsi="Cambria Math"/>
          </w:rPr>
          <m:t>N=12</m:t>
        </m:r>
      </m:oMath>
      <w:r>
        <w:t xml:space="preserve"> for </w:t>
      </w:r>
      <m:oMath>
        <m:r>
          <w:rPr>
            <w:rFonts w:ascii="Cambria Math" w:hAnsi="Cambria Math"/>
            <w:lang w:eastAsia="zh-CN"/>
          </w:rPr>
          <m:t>μ=1</m:t>
        </m:r>
      </m:oMath>
      <w:r>
        <w:t xml:space="preserve">, </w:t>
      </w:r>
      <m:oMath>
        <m:r>
          <w:rPr>
            <w:rFonts w:ascii="Cambria Math" w:hAnsi="Cambria Math"/>
          </w:rPr>
          <m:t>N=22</m:t>
        </m:r>
      </m:oMath>
      <w:r>
        <w:t xml:space="preserve"> for </w:t>
      </w:r>
      <m:oMath>
        <m:r>
          <w:rPr>
            <w:rFonts w:ascii="Cambria Math" w:hAnsi="Cambria Math"/>
            <w:lang w:eastAsia="zh-CN"/>
          </w:rPr>
          <m:t>μ=2</m:t>
        </m:r>
      </m:oMath>
      <w:r>
        <w:t xml:space="preserve">, </w:t>
      </w:r>
      <m:oMath>
        <m:r>
          <w:rPr>
            <w:rFonts w:ascii="Cambria Math" w:hAnsi="Cambria Math"/>
          </w:rPr>
          <m:t>N=25</m:t>
        </m:r>
      </m:oMath>
      <w:r>
        <w:t xml:space="preserve"> for </w:t>
      </w:r>
      <m:oMath>
        <m:r>
          <w:rPr>
            <w:rFonts w:ascii="Cambria Math" w:hAnsi="Cambria Math"/>
            <w:lang w:eastAsia="zh-CN"/>
          </w:rPr>
          <m:t>μ=3</m:t>
        </m:r>
      </m:oMath>
      <w:r>
        <w:rPr>
          <w:lang w:eastAsia="zh-CN"/>
        </w:rPr>
        <w:t xml:space="preserve">, </w:t>
      </w:r>
      <m:oMath>
        <m:r>
          <w:rPr>
            <w:rFonts w:ascii="Cambria Math" w:hAnsi="Cambria Math"/>
          </w:rPr>
          <m:t>N=100</m:t>
        </m:r>
      </m:oMath>
      <w:r w:rsidR="005C7400" w:rsidRPr="00B27E56">
        <w:t xml:space="preserve"> for </w:t>
      </w:r>
      <m:oMath>
        <m:r>
          <w:rPr>
            <w:rFonts w:ascii="Cambria Math" w:hAnsi="Cambria Math"/>
            <w:lang w:eastAsia="zh-CN"/>
          </w:rPr>
          <m:t>μ=5</m:t>
        </m:r>
      </m:oMath>
      <w:r w:rsidR="005C7400" w:rsidRPr="00B27E56">
        <w:rPr>
          <w:lang w:eastAsia="zh-CN"/>
        </w:rPr>
        <w:t xml:space="preserve">, and </w:t>
      </w:r>
      <m:oMath>
        <m:r>
          <w:rPr>
            <w:rFonts w:ascii="Cambria Math" w:hAnsi="Cambria Math"/>
          </w:rPr>
          <m:t>N=200</m:t>
        </m:r>
      </m:oMath>
      <w:r w:rsidR="005C7400" w:rsidRPr="00B27E56">
        <w:t xml:space="preserve"> for </w:t>
      </w:r>
      <m:oMath>
        <m:r>
          <w:rPr>
            <w:rFonts w:ascii="Cambria Math" w:hAnsi="Cambria Math"/>
            <w:lang w:eastAsia="zh-CN"/>
          </w:rPr>
          <m:t>μ=6</m:t>
        </m:r>
      </m:oMath>
      <w:r w:rsidR="005C7400">
        <w:rPr>
          <w:lang w:eastAsia="zh-CN"/>
        </w:rPr>
        <w:t>,</w:t>
      </w:r>
      <w:r w:rsidR="005C7400" w:rsidRPr="00B27E56">
        <w:rPr>
          <w:lang w:eastAsia="zh-CN"/>
        </w:rPr>
        <w:t xml:space="preserve"> </w:t>
      </w:r>
      <w:r>
        <w:rPr>
          <w:lang w:eastAsia="zh-CN"/>
        </w:rPr>
        <w:t xml:space="preserve">wherein </w:t>
      </w:r>
      <m:oMath>
        <m:r>
          <w:rPr>
            <w:rFonts w:ascii="Cambria Math" w:hAnsi="Cambria Math"/>
            <w:lang w:eastAsia="zh-CN"/>
          </w:rPr>
          <m:t>μ</m:t>
        </m:r>
      </m:oMath>
      <w:r>
        <w:rPr>
          <w:rFonts w:eastAsia="DengXian"/>
          <w:lang w:val="x-none" w:eastAsia="zh-CN"/>
        </w:rPr>
        <w:t xml:space="preserve"> corresponds to the smallest SCS configuration between the SCS configuration of the </w:t>
      </w:r>
      <w:r>
        <w:t>PDCCH providing the SPS PDSCH release</w:t>
      </w:r>
      <w:r>
        <w:rPr>
          <w:rFonts w:eastAsia="DengXian"/>
          <w:lang w:val="x-none" w:eastAsia="zh-CN"/>
        </w:rPr>
        <w:t xml:space="preserve"> and the SCS configuration of a PUCCH carrying the </w:t>
      </w:r>
      <w:r>
        <w:rPr>
          <w:rFonts w:eastAsia="DengXian"/>
          <w:lang w:eastAsia="zh-CN"/>
        </w:rPr>
        <w:t>HARQ-ACK information in response to a SPS PDSCH release</w:t>
      </w:r>
      <w:r>
        <w:t>.</w:t>
      </w:r>
    </w:p>
    <w:p w14:paraId="1E493AAA" w14:textId="556BAF85" w:rsidR="003638A6" w:rsidRDefault="003638A6" w:rsidP="003638A6">
      <w:pPr>
        <w:pStyle w:val="Heading2"/>
        <w:rPr>
          <w:rFonts w:cs="Arial"/>
          <w:color w:val="000000"/>
          <w:szCs w:val="32"/>
          <w:lang w:eastAsia="zh-CN"/>
        </w:rPr>
      </w:pPr>
      <w:bookmarkStart w:id="682" w:name="_Toc45699215"/>
      <w:bookmarkStart w:id="683" w:name="_Toc161999146"/>
      <w:r w:rsidRPr="00B916EC">
        <w:t>10</w:t>
      </w:r>
      <w:r>
        <w:rPr>
          <w:rFonts w:hint="eastAsia"/>
        </w:rPr>
        <w:t>.</w:t>
      </w:r>
      <w:r>
        <w:t>2A</w:t>
      </w:r>
      <w:r w:rsidRPr="00B916EC">
        <w:rPr>
          <w:rFonts w:hint="eastAsia"/>
        </w:rPr>
        <w:tab/>
      </w:r>
      <w:r>
        <w:t>PDCCH validation for S</w:t>
      </w:r>
      <w:r>
        <w:rPr>
          <w:rFonts w:cs="Arial"/>
          <w:color w:val="000000"/>
          <w:szCs w:val="32"/>
          <w:lang w:eastAsia="zh-CN"/>
        </w:rPr>
        <w:t>L</w:t>
      </w:r>
      <w:r w:rsidRPr="00C007CA">
        <w:rPr>
          <w:rFonts w:cs="Arial"/>
          <w:color w:val="000000"/>
          <w:szCs w:val="32"/>
          <w:lang w:eastAsia="zh-CN"/>
        </w:rPr>
        <w:t xml:space="preserve"> </w:t>
      </w:r>
      <w:r w:rsidR="00026172">
        <w:rPr>
          <w:rFonts w:cs="Arial"/>
          <w:color w:val="000000"/>
          <w:szCs w:val="32"/>
          <w:lang w:eastAsia="zh-CN"/>
        </w:rPr>
        <w:t xml:space="preserve">configured </w:t>
      </w:r>
      <w:r w:rsidRPr="00C007CA">
        <w:rPr>
          <w:rFonts w:cs="Arial"/>
          <w:color w:val="000000"/>
          <w:szCs w:val="32"/>
          <w:lang w:eastAsia="zh-CN"/>
        </w:rPr>
        <w:t>grant Type 2</w:t>
      </w:r>
      <w:bookmarkEnd w:id="682"/>
      <w:bookmarkEnd w:id="683"/>
    </w:p>
    <w:p w14:paraId="7A5C5D5A" w14:textId="4DDE967B" w:rsidR="003638A6" w:rsidRPr="00EE740A" w:rsidRDefault="003638A6" w:rsidP="003638A6">
      <w:pPr>
        <w:rPr>
          <w:rFonts w:eastAsia="DengXian"/>
          <w:lang w:eastAsia="zh-CN"/>
        </w:rPr>
      </w:pPr>
      <w:r w:rsidRPr="00EE740A">
        <w:rPr>
          <w:rFonts w:eastAsia="DengXian"/>
          <w:lang w:eastAsia="zh-CN"/>
        </w:rPr>
        <w:t xml:space="preserve">A UE validates, for scheduling activation or scheduling release, a </w:t>
      </w:r>
      <w:r w:rsidR="00026172">
        <w:rPr>
          <w:rFonts w:eastAsia="DengXian"/>
          <w:lang w:eastAsia="zh-CN"/>
        </w:rPr>
        <w:t xml:space="preserve">SL </w:t>
      </w:r>
      <w:r w:rsidRPr="00EE740A">
        <w:rPr>
          <w:rFonts w:eastAsia="DengXian"/>
          <w:lang w:eastAsia="zh-CN"/>
        </w:rPr>
        <w:t>configured grant Type 2 PDCCH if</w:t>
      </w:r>
    </w:p>
    <w:p w14:paraId="44763E7B" w14:textId="316637C3" w:rsidR="003638A6" w:rsidRPr="00EE740A" w:rsidRDefault="003638A6" w:rsidP="003638A6">
      <w:pPr>
        <w:pStyle w:val="B1"/>
        <w:rPr>
          <w:rFonts w:eastAsia="DengXian"/>
        </w:rPr>
      </w:pPr>
      <w:r w:rsidRPr="00EE740A">
        <w:t>-</w:t>
      </w:r>
      <w:r w:rsidRPr="00EE740A">
        <w:tab/>
      </w:r>
      <w:r w:rsidRPr="00EE740A">
        <w:rPr>
          <w:rFonts w:eastAsia="DengXian"/>
        </w:rPr>
        <w:t>the CRC of a corresponding DCI format</w:t>
      </w:r>
      <w:r>
        <w:rPr>
          <w:rFonts w:eastAsia="DengXian"/>
        </w:rPr>
        <w:t xml:space="preserve"> 3_0</w:t>
      </w:r>
      <w:r w:rsidRPr="00EE740A">
        <w:rPr>
          <w:rFonts w:eastAsia="DengXian"/>
        </w:rPr>
        <w:t xml:space="preserve"> </w:t>
      </w:r>
      <w:r w:rsidRPr="00EE740A">
        <w:rPr>
          <w:rFonts w:eastAsia="DengXian"/>
          <w:lang w:val="en-US"/>
        </w:rPr>
        <w:t>is</w:t>
      </w:r>
      <w:r w:rsidRPr="00EE740A">
        <w:rPr>
          <w:rFonts w:eastAsia="DengXian"/>
        </w:rPr>
        <w:t xml:space="preserve"> scrambled with a </w:t>
      </w:r>
      <w:r>
        <w:rPr>
          <w:rFonts w:eastAsia="DengXian"/>
        </w:rPr>
        <w:t>SL-</w:t>
      </w:r>
      <w:r w:rsidRPr="00EE740A">
        <w:rPr>
          <w:rFonts w:eastAsia="DengXian"/>
        </w:rPr>
        <w:t>CS-RNTI</w:t>
      </w:r>
      <w:r>
        <w:rPr>
          <w:rFonts w:eastAsia="DengXian"/>
          <w:lang w:val="en-US"/>
        </w:rPr>
        <w:t xml:space="preserve"> </w:t>
      </w:r>
      <w:r>
        <w:rPr>
          <w:rFonts w:eastAsia="DengXian"/>
          <w:lang w:eastAsia="zh-CN"/>
        </w:rPr>
        <w:t xml:space="preserve">provided by </w:t>
      </w:r>
      <w:r>
        <w:rPr>
          <w:i/>
          <w:lang w:val="en-US"/>
        </w:rPr>
        <w:t>sl-CS</w:t>
      </w:r>
      <w:r w:rsidRPr="00627CB1">
        <w:rPr>
          <w:i/>
        </w:rPr>
        <w:t>-RNTI</w:t>
      </w:r>
      <w:r w:rsidRPr="00EE740A">
        <w:rPr>
          <w:rFonts w:eastAsia="DengXian"/>
          <w:lang w:val="en-US"/>
        </w:rPr>
        <w:t>, and</w:t>
      </w:r>
    </w:p>
    <w:p w14:paraId="0747C709" w14:textId="77777777" w:rsidR="003638A6" w:rsidRPr="00EE740A" w:rsidRDefault="003638A6" w:rsidP="003638A6">
      <w:pPr>
        <w:pStyle w:val="B1"/>
        <w:rPr>
          <w:rFonts w:eastAsia="DengXian"/>
        </w:rPr>
      </w:pPr>
      <w:r w:rsidRPr="00EE740A">
        <w:t>-</w:t>
      </w:r>
      <w:r w:rsidRPr="00EE740A">
        <w:tab/>
        <w:t xml:space="preserve">the new data indicator field </w:t>
      </w:r>
      <w:r>
        <w:rPr>
          <w:lang w:val="en-US" w:eastAsia="zh-CN"/>
        </w:rPr>
        <w:t xml:space="preserve">in the DCI format 3_0 </w:t>
      </w:r>
      <w:r w:rsidRPr="00EE740A">
        <w:rPr>
          <w:lang w:val="en-US"/>
        </w:rPr>
        <w:t xml:space="preserve">for the enabled transport block </w:t>
      </w:r>
      <w:r w:rsidRPr="00EE740A">
        <w:t xml:space="preserve">is set to '0' </w:t>
      </w:r>
    </w:p>
    <w:p w14:paraId="67AB4948" w14:textId="77777777" w:rsidR="003638A6" w:rsidRPr="00EE740A" w:rsidRDefault="003638A6" w:rsidP="00797D09">
      <w:r w:rsidRPr="00EE740A">
        <w:rPr>
          <w:rFonts w:eastAsia="DengXian"/>
        </w:rPr>
        <w:t>Validation of the DCI format</w:t>
      </w:r>
      <w:r>
        <w:rPr>
          <w:rFonts w:eastAsia="DengXian"/>
        </w:rPr>
        <w:t xml:space="preserve"> </w:t>
      </w:r>
      <w:r>
        <w:rPr>
          <w:rFonts w:eastAsia="DengXian"/>
          <w:lang w:val="en-US"/>
        </w:rPr>
        <w:t xml:space="preserve">3_0 </w:t>
      </w:r>
      <w:r w:rsidRPr="00EE740A">
        <w:rPr>
          <w:rFonts w:eastAsia="DengXian"/>
        </w:rPr>
        <w:t xml:space="preserve">is achieved if all fields for the DCI format </w:t>
      </w:r>
      <w:r>
        <w:rPr>
          <w:rFonts w:eastAsia="DengXian"/>
          <w:lang w:val="en-US"/>
        </w:rPr>
        <w:t xml:space="preserve">3_0 </w:t>
      </w:r>
      <w:r w:rsidRPr="00EE740A">
        <w:rPr>
          <w:rFonts w:eastAsia="DengXian"/>
        </w:rPr>
        <w:t>are set according to Table 10.</w:t>
      </w:r>
      <w:r>
        <w:rPr>
          <w:rFonts w:eastAsia="DengXian"/>
          <w:lang w:val="en-US"/>
        </w:rPr>
        <w:t>2A</w:t>
      </w:r>
      <w:r w:rsidRPr="00EE740A">
        <w:rPr>
          <w:rFonts w:eastAsia="DengXian"/>
        </w:rPr>
        <w:t>-1 or Table 10.</w:t>
      </w:r>
      <w:r>
        <w:rPr>
          <w:rFonts w:eastAsia="DengXian"/>
          <w:lang w:val="en-US"/>
        </w:rPr>
        <w:t>2A</w:t>
      </w:r>
      <w:r w:rsidRPr="00EE740A">
        <w:rPr>
          <w:rFonts w:eastAsia="DengXian"/>
        </w:rPr>
        <w:t>-2.</w:t>
      </w:r>
    </w:p>
    <w:p w14:paraId="31274505" w14:textId="4FBB9FDE" w:rsidR="003638A6" w:rsidRPr="00EE740A" w:rsidRDefault="003638A6" w:rsidP="003638A6">
      <w:pPr>
        <w:rPr>
          <w:rFonts w:eastAsia="DengXian"/>
          <w:lang w:eastAsia="zh-CN"/>
        </w:rPr>
      </w:pPr>
      <w:r w:rsidRPr="00EE740A">
        <w:rPr>
          <w:rFonts w:eastAsia="DengXian"/>
          <w:lang w:eastAsia="zh-CN"/>
        </w:rPr>
        <w:t xml:space="preserve">If validation is achieved, the UE considers the information in the DCI format </w:t>
      </w:r>
      <w:r>
        <w:rPr>
          <w:rFonts w:eastAsia="DengXian"/>
          <w:lang w:eastAsia="zh-CN"/>
        </w:rPr>
        <w:t xml:space="preserve">3_0 </w:t>
      </w:r>
      <w:r w:rsidRPr="00EE740A">
        <w:rPr>
          <w:rFonts w:eastAsia="DengXian"/>
          <w:lang w:eastAsia="zh-CN"/>
        </w:rPr>
        <w:t xml:space="preserve">as a valid activation or valid release of </w:t>
      </w:r>
      <w:r>
        <w:rPr>
          <w:rFonts w:eastAsia="DengXian"/>
          <w:lang w:eastAsia="zh-CN"/>
        </w:rPr>
        <w:t>S</w:t>
      </w:r>
      <w:r w:rsidRPr="00EE740A">
        <w:rPr>
          <w:rFonts w:eastAsia="DengXian"/>
          <w:lang w:eastAsia="zh-CN"/>
        </w:rPr>
        <w:t xml:space="preserve">L </w:t>
      </w:r>
      <w:r w:rsidR="00026172">
        <w:rPr>
          <w:rFonts w:eastAsia="DengXian"/>
          <w:lang w:eastAsia="zh-CN"/>
        </w:rPr>
        <w:t xml:space="preserve">configured </w:t>
      </w:r>
      <w:r w:rsidRPr="00EE740A">
        <w:rPr>
          <w:rFonts w:eastAsia="DengXian"/>
          <w:lang w:eastAsia="zh-CN"/>
        </w:rPr>
        <w:t>grant Type 2. If validation is not achieved, the UE discards all the information in the DCI format</w:t>
      </w:r>
      <w:r>
        <w:rPr>
          <w:rFonts w:eastAsia="DengXian"/>
          <w:lang w:eastAsia="zh-CN"/>
        </w:rPr>
        <w:t xml:space="preserve"> 3_0</w:t>
      </w:r>
      <w:r w:rsidRPr="00EE740A">
        <w:rPr>
          <w:rFonts w:eastAsia="DengXian"/>
          <w:lang w:eastAsia="zh-CN"/>
        </w:rPr>
        <w:t>.</w:t>
      </w:r>
    </w:p>
    <w:p w14:paraId="4A8F9FF1" w14:textId="45154FCF" w:rsidR="003638A6" w:rsidRPr="00EE740A" w:rsidRDefault="003638A6" w:rsidP="003638A6">
      <w:pPr>
        <w:pStyle w:val="TH"/>
        <w:rPr>
          <w:rFonts w:cs="Arial"/>
        </w:rPr>
      </w:pPr>
      <w:r w:rsidRPr="00EE740A">
        <w:rPr>
          <w:rFonts w:cs="Arial"/>
          <w:bCs/>
          <w:lang w:eastAsia="zh-CN"/>
        </w:rPr>
        <w:t>Table 10.</w:t>
      </w:r>
      <w:r>
        <w:rPr>
          <w:rFonts w:cs="Arial"/>
          <w:bCs/>
          <w:lang w:val="en-US" w:eastAsia="zh-CN"/>
        </w:rPr>
        <w:t>2A</w:t>
      </w:r>
      <w:r w:rsidRPr="00EE740A">
        <w:rPr>
          <w:rFonts w:cs="Arial"/>
          <w:bCs/>
          <w:lang w:eastAsia="zh-CN"/>
        </w:rPr>
        <w:t xml:space="preserve">-1: Special fields for </w:t>
      </w:r>
      <w:r>
        <w:rPr>
          <w:rFonts w:cs="Arial"/>
          <w:bCs/>
          <w:lang w:val="en-US" w:eastAsia="zh-CN"/>
        </w:rPr>
        <w:t>S</w:t>
      </w:r>
      <w:r w:rsidRPr="00EE740A">
        <w:rPr>
          <w:rFonts w:cs="Arial"/>
          <w:bCs/>
          <w:lang w:eastAsia="zh-CN"/>
        </w:rPr>
        <w:t xml:space="preserve">L </w:t>
      </w:r>
      <w:r w:rsidR="00026172" w:rsidRPr="00026172">
        <w:rPr>
          <w:rFonts w:cs="Arial"/>
          <w:bCs/>
          <w:lang w:eastAsia="zh-CN"/>
        </w:rPr>
        <w:t xml:space="preserve">configured </w:t>
      </w:r>
      <w:r w:rsidRPr="00EE740A">
        <w:rPr>
          <w:rFonts w:cs="Arial"/>
          <w:bCs/>
          <w:lang w:eastAsia="zh-CN"/>
        </w:rPr>
        <w:t>grant Type 2 scheduling activation PDCCH validation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250"/>
        <w:gridCol w:w="2160"/>
      </w:tblGrid>
      <w:tr w:rsidR="003638A6" w:rsidRPr="00EE740A" w14:paraId="392603E4" w14:textId="77777777" w:rsidTr="00312C7C">
        <w:trPr>
          <w:cantSplit/>
          <w:jc w:val="center"/>
        </w:trPr>
        <w:tc>
          <w:tcPr>
            <w:tcW w:w="2250" w:type="dxa"/>
            <w:shd w:val="clear" w:color="auto" w:fill="E0E0E0"/>
            <w:vAlign w:val="center"/>
          </w:tcPr>
          <w:p w14:paraId="02F7B333" w14:textId="77777777" w:rsidR="003638A6" w:rsidRPr="00EE740A" w:rsidRDefault="003638A6" w:rsidP="00312C7C">
            <w:pPr>
              <w:pStyle w:val="TAH"/>
              <w:rPr>
                <w:rFonts w:ascii="Times New Roman" w:hAnsi="Times New Roman"/>
                <w:sz w:val="20"/>
              </w:rPr>
            </w:pPr>
          </w:p>
        </w:tc>
        <w:tc>
          <w:tcPr>
            <w:tcW w:w="2160" w:type="dxa"/>
            <w:shd w:val="clear" w:color="auto" w:fill="E0E0E0"/>
            <w:vAlign w:val="center"/>
          </w:tcPr>
          <w:p w14:paraId="73A26C6A" w14:textId="77777777" w:rsidR="003638A6" w:rsidRPr="00EE740A" w:rsidRDefault="003638A6" w:rsidP="00312C7C">
            <w:pPr>
              <w:pStyle w:val="TAH"/>
              <w:rPr>
                <w:rFonts w:ascii="Times New Roman" w:hAnsi="Times New Roman"/>
                <w:sz w:val="20"/>
              </w:rPr>
            </w:pPr>
            <w:r w:rsidRPr="00EE740A">
              <w:rPr>
                <w:rFonts w:ascii="Times New Roman" w:hAnsi="Times New Roman"/>
                <w:sz w:val="20"/>
              </w:rPr>
              <w:t xml:space="preserve">DCI format </w:t>
            </w:r>
            <w:r>
              <w:rPr>
                <w:rFonts w:ascii="Times New Roman" w:hAnsi="Times New Roman"/>
                <w:sz w:val="20"/>
                <w:lang w:val="en-US"/>
              </w:rPr>
              <w:t>3</w:t>
            </w:r>
            <w:r w:rsidRPr="00EE740A">
              <w:rPr>
                <w:rFonts w:ascii="Times New Roman" w:hAnsi="Times New Roman"/>
                <w:sz w:val="20"/>
              </w:rPr>
              <w:t>_0</w:t>
            </w:r>
          </w:p>
        </w:tc>
      </w:tr>
      <w:tr w:rsidR="003638A6" w:rsidRPr="00EE740A" w14:paraId="35A4D900" w14:textId="77777777" w:rsidTr="00312C7C">
        <w:trPr>
          <w:cantSplit/>
          <w:jc w:val="center"/>
        </w:trPr>
        <w:tc>
          <w:tcPr>
            <w:tcW w:w="2250" w:type="dxa"/>
            <w:vAlign w:val="center"/>
          </w:tcPr>
          <w:p w14:paraId="02700318" w14:textId="77777777" w:rsidR="003638A6" w:rsidRPr="00EE740A" w:rsidRDefault="003638A6" w:rsidP="00312C7C">
            <w:pPr>
              <w:pStyle w:val="TAC"/>
              <w:rPr>
                <w:rFonts w:ascii="Times New Roman" w:hAnsi="Times New Roman"/>
                <w:sz w:val="20"/>
              </w:rPr>
            </w:pPr>
            <w:r w:rsidRPr="00EE740A">
              <w:rPr>
                <w:rFonts w:ascii="Times New Roman" w:hAnsi="Times New Roman"/>
                <w:sz w:val="20"/>
              </w:rPr>
              <w:t xml:space="preserve">HARQ process </w:t>
            </w:r>
            <w:r>
              <w:rPr>
                <w:rFonts w:ascii="Times New Roman" w:hAnsi="Times New Roman"/>
                <w:sz w:val="20"/>
              </w:rPr>
              <w:t>number</w:t>
            </w:r>
          </w:p>
        </w:tc>
        <w:tc>
          <w:tcPr>
            <w:tcW w:w="2160" w:type="dxa"/>
            <w:vAlign w:val="center"/>
          </w:tcPr>
          <w:p w14:paraId="1E336B37" w14:textId="376E16CB" w:rsidR="003638A6" w:rsidRPr="00EE740A" w:rsidRDefault="003638A6" w:rsidP="00312C7C">
            <w:pPr>
              <w:pStyle w:val="TAC"/>
              <w:rPr>
                <w:rFonts w:ascii="Times New Roman" w:hAnsi="Times New Roman"/>
                <w:sz w:val="20"/>
              </w:rPr>
            </w:pPr>
            <w:r w:rsidRPr="00EE740A">
              <w:rPr>
                <w:rFonts w:ascii="Times New Roman" w:hAnsi="Times New Roman"/>
                <w:sz w:val="20"/>
              </w:rPr>
              <w:t xml:space="preserve">set to all </w:t>
            </w:r>
            <w:r>
              <w:rPr>
                <w:rFonts w:ascii="Times New Roman" w:hAnsi="Times New Roman"/>
                <w:sz w:val="20"/>
              </w:rPr>
              <w:t>'</w:t>
            </w:r>
            <w:r w:rsidRPr="00EE740A">
              <w:rPr>
                <w:rFonts w:ascii="Times New Roman" w:hAnsi="Times New Roman"/>
                <w:sz w:val="20"/>
              </w:rPr>
              <w:t>0's</w:t>
            </w:r>
          </w:p>
        </w:tc>
      </w:tr>
    </w:tbl>
    <w:p w14:paraId="1025B270" w14:textId="77777777" w:rsidR="003638A6" w:rsidRPr="00EE740A" w:rsidRDefault="003638A6" w:rsidP="003638A6">
      <w:pPr>
        <w:jc w:val="both"/>
        <w:rPr>
          <w:rFonts w:eastAsia="DengXian"/>
          <w:lang w:eastAsia="zh-CN"/>
        </w:rPr>
      </w:pPr>
    </w:p>
    <w:p w14:paraId="113B3993" w14:textId="60AB937C" w:rsidR="003638A6" w:rsidRPr="00EE740A" w:rsidRDefault="003638A6" w:rsidP="003638A6">
      <w:pPr>
        <w:pStyle w:val="TH"/>
        <w:rPr>
          <w:rFonts w:cs="Arial"/>
          <w:lang w:eastAsia="zh-CN"/>
        </w:rPr>
      </w:pPr>
      <w:r w:rsidRPr="00EE740A">
        <w:rPr>
          <w:rFonts w:cs="Arial"/>
          <w:lang w:eastAsia="zh-CN"/>
        </w:rPr>
        <w:t>Table 10.</w:t>
      </w:r>
      <w:r>
        <w:rPr>
          <w:rFonts w:cs="Arial"/>
          <w:lang w:val="en-US" w:eastAsia="zh-CN"/>
        </w:rPr>
        <w:t>2A</w:t>
      </w:r>
      <w:r w:rsidRPr="00EE740A">
        <w:rPr>
          <w:rFonts w:cs="Arial"/>
          <w:lang w:eastAsia="zh-CN"/>
        </w:rPr>
        <w:t xml:space="preserve">-2: Special fields for </w:t>
      </w:r>
      <w:r>
        <w:rPr>
          <w:rFonts w:cs="Arial"/>
          <w:lang w:val="en-US" w:eastAsia="zh-CN"/>
        </w:rPr>
        <w:t>S</w:t>
      </w:r>
      <w:r w:rsidRPr="00EE740A">
        <w:rPr>
          <w:rFonts w:cs="Arial"/>
          <w:lang w:eastAsia="zh-CN"/>
        </w:rPr>
        <w:t xml:space="preserve">L </w:t>
      </w:r>
      <w:r w:rsidR="00026172" w:rsidRPr="00026172">
        <w:rPr>
          <w:rFonts w:cs="Arial"/>
          <w:lang w:eastAsia="zh-CN"/>
        </w:rPr>
        <w:t xml:space="preserve">configured </w:t>
      </w:r>
      <w:r w:rsidRPr="00EE740A">
        <w:rPr>
          <w:rFonts w:cs="Arial"/>
          <w:lang w:eastAsia="zh-CN"/>
        </w:rPr>
        <w:t>grant Type 2 scheduling release PDCCH validation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15"/>
        <w:gridCol w:w="2160"/>
      </w:tblGrid>
      <w:tr w:rsidR="003638A6" w:rsidRPr="00EE740A" w14:paraId="24F8EEF0" w14:textId="77777777" w:rsidTr="00312C7C">
        <w:trPr>
          <w:cantSplit/>
          <w:jc w:val="center"/>
        </w:trPr>
        <w:tc>
          <w:tcPr>
            <w:tcW w:w="2615" w:type="dxa"/>
            <w:shd w:val="clear" w:color="auto" w:fill="E0E0E0"/>
            <w:vAlign w:val="center"/>
          </w:tcPr>
          <w:p w14:paraId="281C6970" w14:textId="77777777" w:rsidR="003638A6" w:rsidRPr="00EE740A" w:rsidRDefault="003638A6" w:rsidP="00312C7C">
            <w:pPr>
              <w:pStyle w:val="TAH"/>
              <w:rPr>
                <w:rFonts w:ascii="Times New Roman" w:hAnsi="Times New Roman"/>
                <w:sz w:val="20"/>
              </w:rPr>
            </w:pPr>
          </w:p>
        </w:tc>
        <w:tc>
          <w:tcPr>
            <w:tcW w:w="2160" w:type="dxa"/>
            <w:shd w:val="clear" w:color="auto" w:fill="E0E0E0"/>
            <w:vAlign w:val="center"/>
          </w:tcPr>
          <w:p w14:paraId="6505A788" w14:textId="77777777" w:rsidR="003638A6" w:rsidRPr="00EE740A" w:rsidRDefault="003638A6" w:rsidP="00312C7C">
            <w:pPr>
              <w:pStyle w:val="TAH"/>
              <w:rPr>
                <w:rFonts w:ascii="Times New Roman" w:hAnsi="Times New Roman"/>
                <w:sz w:val="20"/>
              </w:rPr>
            </w:pPr>
            <w:r w:rsidRPr="00EE740A">
              <w:rPr>
                <w:rFonts w:ascii="Times New Roman" w:hAnsi="Times New Roman"/>
                <w:sz w:val="20"/>
              </w:rPr>
              <w:t xml:space="preserve">DCI format </w:t>
            </w:r>
            <w:r>
              <w:rPr>
                <w:rFonts w:ascii="Times New Roman" w:hAnsi="Times New Roman"/>
                <w:sz w:val="20"/>
                <w:lang w:val="en-US"/>
              </w:rPr>
              <w:t>3</w:t>
            </w:r>
            <w:r w:rsidRPr="00EE740A">
              <w:rPr>
                <w:rFonts w:ascii="Times New Roman" w:hAnsi="Times New Roman"/>
                <w:sz w:val="20"/>
              </w:rPr>
              <w:t xml:space="preserve">_0 </w:t>
            </w:r>
          </w:p>
        </w:tc>
      </w:tr>
      <w:tr w:rsidR="003638A6" w:rsidRPr="00EE740A" w14:paraId="3B6C4A6D" w14:textId="77777777" w:rsidTr="00312C7C">
        <w:trPr>
          <w:cantSplit/>
          <w:jc w:val="center"/>
        </w:trPr>
        <w:tc>
          <w:tcPr>
            <w:tcW w:w="2615" w:type="dxa"/>
            <w:vAlign w:val="center"/>
          </w:tcPr>
          <w:p w14:paraId="7CF3418E" w14:textId="77777777" w:rsidR="003638A6" w:rsidRPr="00EE740A" w:rsidRDefault="003638A6" w:rsidP="00312C7C">
            <w:pPr>
              <w:pStyle w:val="TAC"/>
              <w:rPr>
                <w:rFonts w:ascii="Times New Roman" w:hAnsi="Times New Roman"/>
                <w:sz w:val="20"/>
              </w:rPr>
            </w:pPr>
            <w:r w:rsidRPr="00EE740A">
              <w:rPr>
                <w:rFonts w:ascii="Times New Roman" w:hAnsi="Times New Roman"/>
                <w:sz w:val="20"/>
              </w:rPr>
              <w:t xml:space="preserve">HARQ process </w:t>
            </w:r>
            <w:r>
              <w:rPr>
                <w:rFonts w:ascii="Times New Roman" w:hAnsi="Times New Roman"/>
                <w:sz w:val="20"/>
              </w:rPr>
              <w:t>number</w:t>
            </w:r>
          </w:p>
        </w:tc>
        <w:tc>
          <w:tcPr>
            <w:tcW w:w="2160" w:type="dxa"/>
            <w:vAlign w:val="center"/>
          </w:tcPr>
          <w:p w14:paraId="1B26D2A8" w14:textId="77777777" w:rsidR="003638A6" w:rsidRPr="00EE740A" w:rsidRDefault="003638A6" w:rsidP="00312C7C">
            <w:pPr>
              <w:pStyle w:val="TAC"/>
              <w:rPr>
                <w:rFonts w:ascii="Times New Roman" w:hAnsi="Times New Roman"/>
                <w:sz w:val="20"/>
              </w:rPr>
            </w:pPr>
            <w:r w:rsidRPr="00EE740A">
              <w:rPr>
                <w:rFonts w:ascii="Times New Roman" w:hAnsi="Times New Roman"/>
                <w:sz w:val="20"/>
              </w:rPr>
              <w:t>set to all '</w:t>
            </w:r>
            <w:r>
              <w:rPr>
                <w:rFonts w:ascii="Times New Roman" w:hAnsi="Times New Roman"/>
                <w:sz w:val="20"/>
                <w:lang w:val="en-US"/>
              </w:rPr>
              <w:t>1</w:t>
            </w:r>
            <w:r w:rsidRPr="00EE740A">
              <w:rPr>
                <w:rFonts w:ascii="Times New Roman" w:hAnsi="Times New Roman"/>
                <w:sz w:val="20"/>
              </w:rPr>
              <w:t>'s</w:t>
            </w:r>
          </w:p>
        </w:tc>
      </w:tr>
      <w:tr w:rsidR="003638A6" w:rsidRPr="00EE740A" w14:paraId="1EA31685" w14:textId="77777777" w:rsidTr="00312C7C">
        <w:trPr>
          <w:cantSplit/>
          <w:jc w:val="center"/>
        </w:trPr>
        <w:tc>
          <w:tcPr>
            <w:tcW w:w="2615" w:type="dxa"/>
            <w:vAlign w:val="center"/>
          </w:tcPr>
          <w:p w14:paraId="447017CE" w14:textId="77777777" w:rsidR="003638A6" w:rsidRPr="004D66F0" w:rsidRDefault="003638A6" w:rsidP="00312C7C">
            <w:pPr>
              <w:pStyle w:val="TAC"/>
              <w:rPr>
                <w:rFonts w:ascii="Times New Roman" w:hAnsi="Times New Roman"/>
                <w:sz w:val="20"/>
                <w:lang w:val="en-US"/>
              </w:rPr>
            </w:pPr>
            <w:r w:rsidRPr="00EE740A">
              <w:rPr>
                <w:rFonts w:ascii="Times New Roman" w:hAnsi="Times New Roman"/>
                <w:sz w:val="20"/>
              </w:rPr>
              <w:t>Frequency resource assignment</w:t>
            </w:r>
            <w:r>
              <w:rPr>
                <w:rFonts w:ascii="Times New Roman" w:hAnsi="Times New Roman"/>
                <w:sz w:val="20"/>
                <w:lang w:val="en-US"/>
              </w:rPr>
              <w:t xml:space="preserve"> (if present)</w:t>
            </w:r>
          </w:p>
        </w:tc>
        <w:tc>
          <w:tcPr>
            <w:tcW w:w="2160" w:type="dxa"/>
            <w:vAlign w:val="center"/>
          </w:tcPr>
          <w:p w14:paraId="1B4E1C5F" w14:textId="77777777" w:rsidR="003638A6" w:rsidRPr="00EE740A" w:rsidRDefault="003638A6" w:rsidP="00312C7C">
            <w:pPr>
              <w:pStyle w:val="TAC"/>
              <w:rPr>
                <w:rFonts w:ascii="Times New Roman" w:hAnsi="Times New Roman"/>
                <w:sz w:val="20"/>
              </w:rPr>
            </w:pPr>
            <w:r w:rsidRPr="00EE740A">
              <w:rPr>
                <w:rFonts w:ascii="Times New Roman" w:hAnsi="Times New Roman"/>
                <w:sz w:val="20"/>
              </w:rPr>
              <w:t>set to all '1's</w:t>
            </w:r>
          </w:p>
        </w:tc>
      </w:tr>
    </w:tbl>
    <w:p w14:paraId="3703F29F" w14:textId="77777777" w:rsidR="00E169CB" w:rsidRDefault="00E169CB" w:rsidP="00E169CB">
      <w:pPr>
        <w:rPr>
          <w:lang w:eastAsia="zh-CN"/>
        </w:rPr>
      </w:pPr>
    </w:p>
    <w:p w14:paraId="33C67149" w14:textId="25D3522B" w:rsidR="00E169CB" w:rsidRPr="00E169CB" w:rsidRDefault="00E169CB" w:rsidP="00E169CB">
      <w:pPr>
        <w:rPr>
          <w:lang w:eastAsia="zh-CN"/>
        </w:rPr>
      </w:pPr>
      <w:r w:rsidRPr="00E169CB">
        <w:rPr>
          <w:lang w:eastAsia="zh-CN"/>
        </w:rPr>
        <w:t>A UE validates, for SL PRS activation or release, a SL configured grant Type 2 PDCCH if</w:t>
      </w:r>
    </w:p>
    <w:p w14:paraId="5EF4CD2B" w14:textId="77777777" w:rsidR="00E169CB" w:rsidRPr="00E169CB" w:rsidRDefault="00E169CB" w:rsidP="00E169CB">
      <w:pPr>
        <w:pStyle w:val="B1"/>
      </w:pPr>
      <w:r w:rsidRPr="00E169CB">
        <w:t>-</w:t>
      </w:r>
      <w:r w:rsidRPr="00E169CB">
        <w:tab/>
        <w:t xml:space="preserve">the CRC of a corresponding DCI format 3_2 </w:t>
      </w:r>
      <w:r w:rsidRPr="00E169CB">
        <w:rPr>
          <w:lang w:val="en-US"/>
        </w:rPr>
        <w:t>is</w:t>
      </w:r>
      <w:r w:rsidRPr="00E169CB">
        <w:t xml:space="preserve"> scrambled with a SL-PRS-CS-RNTI</w:t>
      </w:r>
      <w:r w:rsidRPr="00E169CB">
        <w:rPr>
          <w:lang w:val="en-US"/>
        </w:rPr>
        <w:t xml:space="preserve"> </w:t>
      </w:r>
      <w:r w:rsidRPr="00E169CB">
        <w:rPr>
          <w:lang w:eastAsia="zh-CN"/>
        </w:rPr>
        <w:t xml:space="preserve">provided by </w:t>
      </w:r>
      <w:r w:rsidRPr="00E169CB">
        <w:rPr>
          <w:i/>
          <w:lang w:val="en-US"/>
        </w:rPr>
        <w:t>sl-PRS-CS</w:t>
      </w:r>
      <w:r w:rsidRPr="00E169CB">
        <w:rPr>
          <w:i/>
        </w:rPr>
        <w:t>-RNTI</w:t>
      </w:r>
      <w:r w:rsidRPr="00E169CB">
        <w:rPr>
          <w:lang w:val="en-US"/>
        </w:rPr>
        <w:t>, and</w:t>
      </w:r>
    </w:p>
    <w:p w14:paraId="2E4903DD" w14:textId="21D4A539" w:rsidR="003638A6" w:rsidRPr="00E169CB" w:rsidRDefault="00E169CB" w:rsidP="00E169CB">
      <w:pPr>
        <w:pStyle w:val="B1"/>
      </w:pPr>
      <w:r w:rsidRPr="00E169CB">
        <w:t>-</w:t>
      </w:r>
      <w:r w:rsidRPr="00E169CB">
        <w:tab/>
        <w:t xml:space="preserve">the </w:t>
      </w:r>
      <w:r w:rsidRPr="00E169CB">
        <w:rPr>
          <w:lang w:val="en-US"/>
        </w:rPr>
        <w:t>activation/release indication</w:t>
      </w:r>
      <w:r w:rsidRPr="00E169CB">
        <w:t xml:space="preserve"> field </w:t>
      </w:r>
      <w:r w:rsidRPr="00E169CB">
        <w:rPr>
          <w:lang w:val="en-US" w:eastAsia="zh-CN"/>
        </w:rPr>
        <w:t>in the DCI format 3_2</w:t>
      </w:r>
      <w:r w:rsidRPr="00E169CB">
        <w:rPr>
          <w:lang w:val="en-US"/>
        </w:rPr>
        <w:t xml:space="preserve"> </w:t>
      </w:r>
      <w:r w:rsidRPr="00E169CB">
        <w:t>is set to '1</w:t>
      </w:r>
      <w:r w:rsidR="0024141F">
        <w:t>'</w:t>
      </w:r>
      <w:r w:rsidRPr="00E169CB">
        <w:t xml:space="preserve"> for activation and to </w:t>
      </w:r>
      <w:r w:rsidR="0024141F">
        <w:t>'</w:t>
      </w:r>
      <w:r w:rsidRPr="00E169CB">
        <w:t>0</w:t>
      </w:r>
      <w:r w:rsidR="0024141F">
        <w:t>'</w:t>
      </w:r>
      <w:r w:rsidRPr="00E169CB">
        <w:t xml:space="preserve"> for release</w:t>
      </w:r>
      <w:r>
        <w:t>.</w:t>
      </w:r>
    </w:p>
    <w:p w14:paraId="41AA91FC" w14:textId="77777777" w:rsidR="0000023C" w:rsidRPr="00B916EC" w:rsidRDefault="0000023C" w:rsidP="0000023C">
      <w:pPr>
        <w:pStyle w:val="Heading2"/>
        <w:rPr>
          <w:lang w:eastAsia="zh-CN"/>
        </w:rPr>
      </w:pPr>
      <w:bookmarkStart w:id="684" w:name="_Toc29894868"/>
      <w:bookmarkStart w:id="685" w:name="_Toc29899167"/>
      <w:bookmarkStart w:id="686" w:name="_Toc29899585"/>
      <w:bookmarkStart w:id="687" w:name="_Toc29917314"/>
      <w:bookmarkStart w:id="688" w:name="_Toc36498188"/>
      <w:bookmarkStart w:id="689" w:name="_Toc45699216"/>
      <w:bookmarkStart w:id="690" w:name="_Toc161999147"/>
      <w:r>
        <w:rPr>
          <w:lang w:eastAsia="zh-CN"/>
        </w:rPr>
        <w:t>10.3</w:t>
      </w:r>
      <w:r>
        <w:rPr>
          <w:lang w:eastAsia="zh-CN"/>
        </w:rPr>
        <w:tab/>
        <w:t>PDCCH monitoring indication and dormancy/non-dormancy behaviour for SCells</w:t>
      </w:r>
      <w:bookmarkEnd w:id="684"/>
      <w:bookmarkEnd w:id="685"/>
      <w:bookmarkEnd w:id="686"/>
      <w:bookmarkEnd w:id="687"/>
      <w:bookmarkEnd w:id="688"/>
      <w:bookmarkEnd w:id="689"/>
      <w:bookmarkEnd w:id="690"/>
    </w:p>
    <w:p w14:paraId="47AF57F3" w14:textId="20EDE68B" w:rsidR="0000023C" w:rsidRDefault="0000023C" w:rsidP="0000023C">
      <w:pPr>
        <w:rPr>
          <w:lang w:eastAsia="zh-CN"/>
        </w:rPr>
      </w:pPr>
      <w:r>
        <w:rPr>
          <w:lang w:eastAsia="zh-CN"/>
        </w:rPr>
        <w:t xml:space="preserve">A UE configured with DRX mode operation </w:t>
      </w:r>
      <w:r w:rsidRPr="0080392F">
        <w:t>[</w:t>
      </w:r>
      <w:r w:rsidRPr="0080392F">
        <w:rPr>
          <w:lang w:val="en-US"/>
        </w:rPr>
        <w:t>11, TS 38.321</w:t>
      </w:r>
      <w:r w:rsidRPr="0080392F">
        <w:t xml:space="preserve">] </w:t>
      </w:r>
      <w:r w:rsidR="006630B7">
        <w:t xml:space="preserve">can be provided the following for detection of a DCI format 2_6 in a PDCCH reception </w:t>
      </w:r>
      <w:r>
        <w:t xml:space="preserve">on the </w:t>
      </w:r>
      <w:r>
        <w:rPr>
          <w:lang w:eastAsia="zh-CN"/>
        </w:rPr>
        <w:t xml:space="preserve">PCell or on the SpCell </w:t>
      </w:r>
      <w:r w:rsidRPr="0080392F">
        <w:t>[</w:t>
      </w:r>
      <w:r>
        <w:rPr>
          <w:lang w:val="en-US"/>
        </w:rPr>
        <w:t>12, TS 38.33</w:t>
      </w:r>
      <w:r w:rsidRPr="0080392F">
        <w:rPr>
          <w:lang w:val="en-US"/>
        </w:rPr>
        <w:t>1</w:t>
      </w:r>
      <w:r w:rsidRPr="0080392F">
        <w:t>]</w:t>
      </w:r>
    </w:p>
    <w:p w14:paraId="2CCDD23B" w14:textId="77777777" w:rsidR="0000023C" w:rsidRDefault="0000023C" w:rsidP="0000023C">
      <w:pPr>
        <w:pStyle w:val="B1"/>
      </w:pPr>
      <w:r>
        <w:rPr>
          <w:lang w:eastAsia="zh-CN"/>
        </w:rPr>
        <w:lastRenderedPageBreak/>
        <w:t>-</w:t>
      </w:r>
      <w:r>
        <w:rPr>
          <w:lang w:eastAsia="zh-CN"/>
        </w:rPr>
        <w:tab/>
        <w:t xml:space="preserve">a </w:t>
      </w:r>
      <w:r>
        <w:t xml:space="preserve">PS-RNTI for DCI format 2_6 </w:t>
      </w:r>
      <w:r w:rsidRPr="00B916EC">
        <w:t xml:space="preserve">by </w:t>
      </w:r>
      <w:r>
        <w:rPr>
          <w:i/>
        </w:rPr>
        <w:t>ps-</w:t>
      </w:r>
      <w:r w:rsidRPr="00B916EC">
        <w:rPr>
          <w:i/>
        </w:rPr>
        <w:t>RNTI</w:t>
      </w:r>
    </w:p>
    <w:p w14:paraId="6F06E9D0" w14:textId="4D603277" w:rsidR="0000023C" w:rsidRDefault="0000023C" w:rsidP="0000023C">
      <w:pPr>
        <w:pStyle w:val="B1"/>
      </w:pPr>
      <w:r>
        <w:t>-</w:t>
      </w:r>
      <w:r>
        <w:tab/>
        <w:t xml:space="preserve">a number of search space sets, by </w:t>
      </w:r>
      <w:r w:rsidRPr="00CA155F">
        <w:rPr>
          <w:i/>
          <w:iCs/>
          <w:lang w:eastAsia="zh-CN"/>
        </w:rPr>
        <w:t>dci-Format</w:t>
      </w:r>
      <w:r>
        <w:rPr>
          <w:i/>
          <w:iCs/>
          <w:lang w:eastAsia="zh-CN"/>
        </w:rPr>
        <w:t>2-6</w:t>
      </w:r>
      <w:r>
        <w:rPr>
          <w:iCs/>
          <w:lang w:eastAsia="zh-CN"/>
        </w:rPr>
        <w:t>,</w:t>
      </w:r>
      <w:r>
        <w:t xml:space="preserve"> to monitor PDCCH for detection of DCI format 2_6 </w:t>
      </w:r>
      <w:r>
        <w:rPr>
          <w:lang w:eastAsia="zh-CN"/>
        </w:rPr>
        <w:t>on the active DL BWP of the PCell or of the SpCell</w:t>
      </w:r>
      <w:r>
        <w:t xml:space="preserve"> </w:t>
      </w:r>
      <w:r>
        <w:rPr>
          <w:lang w:eastAsia="zh-CN"/>
        </w:rPr>
        <w:t xml:space="preserve">according to a common search space as described </w:t>
      </w:r>
      <w:r w:rsidR="006F5F9E">
        <w:rPr>
          <w:lang w:eastAsia="zh-CN"/>
        </w:rPr>
        <w:t>in clause</w:t>
      </w:r>
      <w:r>
        <w:rPr>
          <w:lang w:eastAsia="zh-CN"/>
        </w:rPr>
        <w:t xml:space="preserve"> 10.1</w:t>
      </w:r>
    </w:p>
    <w:p w14:paraId="7744BC3B" w14:textId="6E314902" w:rsidR="0000023C" w:rsidRPr="00E83F9A" w:rsidRDefault="0000023C" w:rsidP="0000023C">
      <w:pPr>
        <w:pStyle w:val="B1"/>
      </w:pPr>
      <w:r w:rsidRPr="00E83F9A">
        <w:rPr>
          <w:lang w:eastAsia="zh-CN"/>
        </w:rPr>
        <w:t>-</w:t>
      </w:r>
      <w:r w:rsidRPr="00E83F9A">
        <w:rPr>
          <w:lang w:eastAsia="zh-CN"/>
        </w:rPr>
        <w:tab/>
        <w:t xml:space="preserve">a payload </w:t>
      </w:r>
      <w:r w:rsidRPr="00E83F9A">
        <w:t xml:space="preserve">size for DCI format </w:t>
      </w:r>
      <w:r>
        <w:t>2_6</w:t>
      </w:r>
      <w:r w:rsidRPr="00E83F9A">
        <w:t xml:space="preserve"> by </w:t>
      </w:r>
      <w:r w:rsidR="00026172">
        <w:rPr>
          <w:i/>
          <w:lang w:val="en-US"/>
        </w:rPr>
        <w:t>s</w:t>
      </w:r>
      <w:r w:rsidR="00026172">
        <w:rPr>
          <w:i/>
        </w:rPr>
        <w:t>izeDCI</w:t>
      </w:r>
      <w:r w:rsidR="00026172">
        <w:rPr>
          <w:i/>
          <w:lang w:val="en-US"/>
        </w:rPr>
        <w:t>-</w:t>
      </w:r>
      <w:r w:rsidR="00026172">
        <w:rPr>
          <w:i/>
        </w:rPr>
        <w:t>2-6</w:t>
      </w:r>
    </w:p>
    <w:p w14:paraId="7C3A0050" w14:textId="6E43DF66" w:rsidR="006630B7" w:rsidRDefault="0000023C" w:rsidP="0000023C">
      <w:pPr>
        <w:pStyle w:val="B1"/>
      </w:pPr>
      <w:r>
        <w:t>-</w:t>
      </w:r>
      <w:r>
        <w:tab/>
        <w:t xml:space="preserve">a location in DCI format 2_6 of a Wake-up indication bit by </w:t>
      </w:r>
      <w:r w:rsidR="006630B7">
        <w:rPr>
          <w:i/>
          <w:lang w:val="en-US"/>
        </w:rPr>
        <w:t>ps</w:t>
      </w:r>
      <w:r w:rsidR="00026172">
        <w:rPr>
          <w:i/>
          <w:lang w:val="en-US"/>
        </w:rPr>
        <w:t>-</w:t>
      </w:r>
      <w:r w:rsidR="006630B7">
        <w:rPr>
          <w:i/>
        </w:rPr>
        <w:t>PositionDCI</w:t>
      </w:r>
      <w:r w:rsidR="006630B7" w:rsidRPr="00145EF8">
        <w:rPr>
          <w:i/>
          <w:lang w:val="en-US"/>
        </w:rPr>
        <w:t>-</w:t>
      </w:r>
      <w:r w:rsidR="006630B7">
        <w:rPr>
          <w:i/>
        </w:rPr>
        <w:t>2</w:t>
      </w:r>
      <w:r>
        <w:rPr>
          <w:i/>
        </w:rPr>
        <w:t>-6</w:t>
      </w:r>
    </w:p>
    <w:p w14:paraId="1E861FCA" w14:textId="6C01B559" w:rsidR="006630B7" w:rsidRPr="00145EF8" w:rsidRDefault="006630B7" w:rsidP="006630B7">
      <w:pPr>
        <w:pStyle w:val="B2"/>
      </w:pPr>
      <w:r w:rsidRPr="00145EF8">
        <w:t>-</w:t>
      </w:r>
      <w:r w:rsidRPr="00145EF8">
        <w:tab/>
        <w:t xml:space="preserve">a </w:t>
      </w:r>
      <w:r>
        <w:rPr>
          <w:lang w:val="en-US"/>
        </w:rPr>
        <w:t>'</w:t>
      </w:r>
      <w:r w:rsidRPr="00145EF8">
        <w:t>0</w:t>
      </w:r>
      <w:r>
        <w:rPr>
          <w:lang w:val="en-US"/>
        </w:rPr>
        <w:t>'</w:t>
      </w:r>
      <w:r w:rsidRPr="00145EF8">
        <w:t xml:space="preserve"> value for the Wake-up indication bit, when reported to higher layers, indicates to </w:t>
      </w:r>
      <w:r w:rsidRPr="00145EF8">
        <w:rPr>
          <w:lang w:val="en-US"/>
        </w:rPr>
        <w:t xml:space="preserve">not </w:t>
      </w:r>
      <w:r w:rsidRPr="00145EF8">
        <w:t xml:space="preserve">start the </w:t>
      </w:r>
      <w:r w:rsidRPr="00145EF8">
        <w:rPr>
          <w:i/>
          <w:iCs/>
        </w:rPr>
        <w:t>drx-onDurationTimer</w:t>
      </w:r>
      <w:r w:rsidRPr="00145EF8">
        <w:t xml:space="preserve"> for the next long DRX cycle [1</w:t>
      </w:r>
      <w:r w:rsidRPr="00145EF8">
        <w:rPr>
          <w:lang w:val="en-US"/>
        </w:rPr>
        <w:t>1</w:t>
      </w:r>
      <w:r w:rsidRPr="00145EF8">
        <w:t>, TS 38.321]</w:t>
      </w:r>
    </w:p>
    <w:p w14:paraId="1A7E4FF1" w14:textId="5FBFB4B6" w:rsidR="006630B7" w:rsidRPr="00145EF8" w:rsidRDefault="006630B7" w:rsidP="006630B7">
      <w:pPr>
        <w:pStyle w:val="B2"/>
      </w:pPr>
      <w:r w:rsidRPr="00145EF8">
        <w:t>-</w:t>
      </w:r>
      <w:r w:rsidRPr="00145EF8">
        <w:tab/>
        <w:t xml:space="preserve">a </w:t>
      </w:r>
      <w:r>
        <w:rPr>
          <w:lang w:val="en-US"/>
        </w:rPr>
        <w:t>'</w:t>
      </w:r>
      <w:r w:rsidRPr="00145EF8">
        <w:t>1</w:t>
      </w:r>
      <w:r>
        <w:rPr>
          <w:lang w:val="en-US"/>
        </w:rPr>
        <w:t>'</w:t>
      </w:r>
      <w:r w:rsidRPr="00145EF8">
        <w:t xml:space="preserve"> value for the Wake-up indication bit, when reported to higher layers, indicates to start the </w:t>
      </w:r>
      <w:r w:rsidRPr="00145EF8">
        <w:rPr>
          <w:i/>
          <w:iCs/>
        </w:rPr>
        <w:t>drx-onDurationTimer</w:t>
      </w:r>
      <w:r w:rsidRPr="00145EF8">
        <w:t xml:space="preserve"> for the next long DRX cycle [1</w:t>
      </w:r>
      <w:r w:rsidRPr="00145EF8">
        <w:rPr>
          <w:lang w:val="en-US"/>
        </w:rPr>
        <w:t>1</w:t>
      </w:r>
      <w:r w:rsidRPr="00145EF8">
        <w:t>, TS 38.321]</w:t>
      </w:r>
    </w:p>
    <w:p w14:paraId="636DD1B3" w14:textId="50F3B6DD" w:rsidR="0000023C" w:rsidRDefault="0000023C" w:rsidP="0000023C">
      <w:pPr>
        <w:pStyle w:val="B1"/>
      </w:pPr>
      <w:r>
        <w:t>-</w:t>
      </w:r>
      <w:r>
        <w:tab/>
        <w:t xml:space="preserve">a bitmap, when the UE is provided a number of groups of configured SCells by </w:t>
      </w:r>
      <w:r w:rsidR="00D52D67">
        <w:rPr>
          <w:i/>
          <w:iCs/>
        </w:rPr>
        <w:t>dormancyGroupOutsideActiveTime</w:t>
      </w:r>
      <w:r>
        <w:t xml:space="preserve">, where </w:t>
      </w:r>
    </w:p>
    <w:p w14:paraId="0712B5AB" w14:textId="252BDFA7" w:rsidR="0000023C" w:rsidRPr="00581243" w:rsidRDefault="0000023C" w:rsidP="0000023C">
      <w:pPr>
        <w:pStyle w:val="B2"/>
      </w:pPr>
      <w:r>
        <w:t>-</w:t>
      </w:r>
      <w:r>
        <w:tab/>
      </w:r>
      <w:r>
        <w:rPr>
          <w:lang w:eastAsia="zh-CN"/>
        </w:rPr>
        <w:t xml:space="preserve">the bitmap location is immediately after the </w:t>
      </w:r>
      <w:r w:rsidR="00153155">
        <w:rPr>
          <w:lang w:eastAsia="zh-CN"/>
        </w:rPr>
        <w:t>Wake-up indication</w:t>
      </w:r>
      <w:r>
        <w:t xml:space="preserve"> bit location</w:t>
      </w:r>
    </w:p>
    <w:p w14:paraId="73D01B56" w14:textId="77777777" w:rsidR="0000023C" w:rsidRDefault="0000023C" w:rsidP="0000023C">
      <w:pPr>
        <w:pStyle w:val="B2"/>
      </w:pPr>
      <w:r>
        <w:t>-</w:t>
      </w:r>
      <w:r>
        <w:tab/>
      </w:r>
      <w:r>
        <w:rPr>
          <w:lang w:eastAsia="zh-CN"/>
        </w:rPr>
        <w:t>t</w:t>
      </w:r>
      <w:r>
        <w:t>he bitmap size is equal to the number of groups of configured SCells where each bit of the bitmap corresponds to a group of configured SCells from the number of groups of configured SCells</w:t>
      </w:r>
    </w:p>
    <w:p w14:paraId="11B5B79E" w14:textId="1FD542BB" w:rsidR="0000023C" w:rsidRDefault="0000023C" w:rsidP="0000023C">
      <w:pPr>
        <w:pStyle w:val="B2"/>
      </w:pPr>
      <w:r>
        <w:t>-</w:t>
      </w:r>
      <w:r>
        <w:tab/>
        <w:t xml:space="preserve">a '0' value for a bit of the bitmap indicates an active DL BWP, provided by </w:t>
      </w:r>
      <w:r w:rsidR="00D52D67">
        <w:rPr>
          <w:i/>
        </w:rPr>
        <w:t>dormantBWP-Id</w:t>
      </w:r>
      <w:r>
        <w:t xml:space="preserve">, for the UE [11, </w:t>
      </w:r>
      <w:r w:rsidR="00295E42">
        <w:t>TS 38.</w:t>
      </w:r>
      <w:r>
        <w:t>321] for each activated SCell in the corresponding group of configured SCells</w:t>
      </w:r>
    </w:p>
    <w:p w14:paraId="0024BBD1" w14:textId="77777777" w:rsidR="00153155" w:rsidRDefault="0000023C" w:rsidP="00DA4DCE">
      <w:pPr>
        <w:pStyle w:val="B2"/>
      </w:pPr>
      <w:r w:rsidRPr="0017291D">
        <w:t>-</w:t>
      </w:r>
      <w:r w:rsidRPr="0017291D">
        <w:tab/>
        <w:t xml:space="preserve">a </w:t>
      </w:r>
      <w:r>
        <w:t>'</w:t>
      </w:r>
      <w:r w:rsidRPr="0017291D">
        <w:t>1</w:t>
      </w:r>
      <w:r>
        <w:t>'</w:t>
      </w:r>
      <w:r w:rsidRPr="0017291D">
        <w:t xml:space="preserve"> value for a bit of the bitmap indicates </w:t>
      </w:r>
    </w:p>
    <w:p w14:paraId="6CD04C55" w14:textId="1632AEB0" w:rsidR="00153155" w:rsidRDefault="00153155" w:rsidP="00DA4DCE">
      <w:pPr>
        <w:pStyle w:val="B3"/>
        <w:rPr>
          <w:lang w:val="en-US"/>
        </w:rPr>
      </w:pPr>
      <w:r>
        <w:rPr>
          <w:lang w:val="en-US"/>
        </w:rPr>
        <w:t>-</w:t>
      </w:r>
      <w:r>
        <w:rPr>
          <w:lang w:val="en-US"/>
        </w:rPr>
        <w:tab/>
      </w:r>
      <w:r w:rsidR="0000023C" w:rsidRPr="0017291D">
        <w:t>a</w:t>
      </w:r>
      <w:r w:rsidR="0000023C">
        <w:t>n active</w:t>
      </w:r>
      <w:r w:rsidR="0000023C" w:rsidRPr="0017291D">
        <w:t xml:space="preserve"> DL BWP, provided by </w:t>
      </w:r>
      <w:r w:rsidR="00D52D67">
        <w:rPr>
          <w:i/>
          <w:iCs/>
        </w:rPr>
        <w:t>firstOutsideActiveTimeBWP-Id</w:t>
      </w:r>
      <w:r w:rsidR="0000023C" w:rsidRPr="0017291D">
        <w:rPr>
          <w:iCs/>
        </w:rPr>
        <w:t>,</w:t>
      </w:r>
      <w:r w:rsidR="0000023C" w:rsidRPr="0017291D">
        <w:t xml:space="preserve"> for the UE for each activated SCell in the corresponding group of configured SCells</w:t>
      </w:r>
      <w:r>
        <w:rPr>
          <w:lang w:val="en-US"/>
        </w:rPr>
        <w:t>, if a current active DL BWP is the dormant DL BWP</w:t>
      </w:r>
    </w:p>
    <w:p w14:paraId="0351E82B" w14:textId="4FBBD5B5" w:rsidR="0000023C" w:rsidRDefault="00153155" w:rsidP="00DA4DCE">
      <w:pPr>
        <w:pStyle w:val="B3"/>
        <w:rPr>
          <w:lang w:val="en-US"/>
        </w:rPr>
      </w:pPr>
      <w:r>
        <w:t>-</w:t>
      </w:r>
      <w:r>
        <w:tab/>
        <w:t>a</w:t>
      </w:r>
      <w:r>
        <w:rPr>
          <w:lang w:val="en-US"/>
        </w:rPr>
        <w:t xml:space="preserve"> current</w:t>
      </w:r>
      <w:r>
        <w:t xml:space="preserve"> active DL BWP</w:t>
      </w:r>
      <w:r w:rsidRPr="0017291D">
        <w:rPr>
          <w:iCs/>
        </w:rPr>
        <w:t>,</w:t>
      </w:r>
      <w:r w:rsidRPr="0017291D">
        <w:t xml:space="preserve"> for the UE for each activated SCell in the corresponding group of configured S</w:t>
      </w:r>
      <w:r>
        <w:t>C</w:t>
      </w:r>
      <w:r w:rsidRPr="0017291D">
        <w:t>ells</w:t>
      </w:r>
      <w:r>
        <w:rPr>
          <w:lang w:val="en-US"/>
        </w:rPr>
        <w:t>, if the current active DL BWP is not the dormant DL BWP</w:t>
      </w:r>
    </w:p>
    <w:p w14:paraId="74025F89" w14:textId="413D6F1C" w:rsidR="00E175E6" w:rsidRPr="0017291D" w:rsidRDefault="00E175E6" w:rsidP="00D429F6">
      <w:pPr>
        <w:pStyle w:val="B2"/>
      </w:pPr>
      <w:r>
        <w:t>-</w:t>
      </w:r>
      <w:r>
        <w:tab/>
        <w:t>the UE sets the active DL BWP to the indicated active DL BWP</w:t>
      </w:r>
    </w:p>
    <w:p w14:paraId="78445CD6" w14:textId="74B55A2B" w:rsidR="0000023C" w:rsidRDefault="0000023C" w:rsidP="0000023C">
      <w:pPr>
        <w:pStyle w:val="B1"/>
      </w:pPr>
      <w:r w:rsidRPr="00C775CD">
        <w:t>-</w:t>
      </w:r>
      <w:r w:rsidRPr="00C775CD">
        <w:tab/>
        <w:t xml:space="preserve">an offset by </w:t>
      </w:r>
      <w:r w:rsidRPr="00C775CD">
        <w:rPr>
          <w:i/>
        </w:rPr>
        <w:t>ps-Offset</w:t>
      </w:r>
      <w:r w:rsidRPr="00C775CD">
        <w:t xml:space="preserve"> indicating a </w:t>
      </w:r>
      <w:r>
        <w:t>time</w:t>
      </w:r>
      <w:r w:rsidRPr="00C775CD">
        <w:t xml:space="preserve">, where the UE starts monitoring PDCCH for detection of DCI format </w:t>
      </w:r>
      <w:r>
        <w:t xml:space="preserve">2_6 according </w:t>
      </w:r>
      <w:r w:rsidRPr="001069AF">
        <w:t xml:space="preserve">to </w:t>
      </w:r>
      <w:r>
        <w:t xml:space="preserve">the number of </w:t>
      </w:r>
      <w:r w:rsidRPr="001069AF">
        <w:t xml:space="preserve">search </w:t>
      </w:r>
      <w:r>
        <w:t>space sets</w:t>
      </w:r>
      <w:r w:rsidRPr="001069AF">
        <w:rPr>
          <w:lang w:val="en-US"/>
        </w:rPr>
        <w:t>,</w:t>
      </w:r>
      <w:r w:rsidRPr="00C775CD">
        <w:t xml:space="preserve"> prior to a slot where the </w:t>
      </w:r>
      <w:r w:rsidRPr="00C775CD">
        <w:rPr>
          <w:i/>
        </w:rPr>
        <w:t>drx-onDurationTimer</w:t>
      </w:r>
      <w:r w:rsidRPr="00C775CD">
        <w:t xml:space="preserve"> </w:t>
      </w:r>
      <w:r>
        <w:t xml:space="preserve">would </w:t>
      </w:r>
      <w:r w:rsidRPr="00C775CD">
        <w:t xml:space="preserve">start on the </w:t>
      </w:r>
      <w:r>
        <w:rPr>
          <w:lang w:eastAsia="zh-CN"/>
        </w:rPr>
        <w:t>PCell or on the SpCell</w:t>
      </w:r>
      <w:r>
        <w:t xml:space="preserve"> </w:t>
      </w:r>
      <w:r w:rsidRPr="00C775CD">
        <w:t>[11, TS 38.321</w:t>
      </w:r>
      <w:r>
        <w:t>]</w:t>
      </w:r>
    </w:p>
    <w:p w14:paraId="71AA65D1" w14:textId="77777777" w:rsidR="0000023C" w:rsidRPr="00C775CD" w:rsidRDefault="0000023C" w:rsidP="0000023C">
      <w:pPr>
        <w:pStyle w:val="B2"/>
      </w:pPr>
      <w:r>
        <w:t>-</w:t>
      </w:r>
      <w:r>
        <w:tab/>
      </w:r>
      <w:r>
        <w:rPr>
          <w:lang w:eastAsia="zh-CN"/>
        </w:rPr>
        <w:t xml:space="preserve">for each search space set, </w:t>
      </w:r>
      <w:r>
        <w:t>the PDCCH monitoring occasions are the ones in the first</w:t>
      </w:r>
      <w:r w:rsidRPr="005E4A6C">
        <w:rPr>
          <w:lang w:val="en-US"/>
        </w:rPr>
        <w:t xml:space="preserve"> </w:t>
      </w:r>
      <m:oMath>
        <m:sSub>
          <m:sSubPr>
            <m:ctrlPr>
              <w:rPr>
                <w:rFonts w:ascii="Cambria Math" w:hAnsi="Cambria Math"/>
                <w:i/>
                <w:iCs/>
              </w:rPr>
            </m:ctrlPr>
          </m:sSubPr>
          <m:e>
            <m:r>
              <w:rPr>
                <w:rFonts w:ascii="Cambria Math" w:hAnsi="Cambria Math"/>
              </w:rPr>
              <m:t>T</m:t>
            </m:r>
          </m:e>
          <m:sub>
            <m:r>
              <m:rPr>
                <m:nor/>
              </m:rPr>
              <w:rPr>
                <w:iCs/>
              </w:rPr>
              <m:t>s</m:t>
            </m:r>
            <m:ctrlPr>
              <w:rPr>
                <w:rFonts w:ascii="Cambria Math" w:hAnsi="Cambria Math"/>
                <w:iCs/>
              </w:rPr>
            </m:ctrlPr>
          </m:sub>
        </m:sSub>
      </m:oMath>
      <w:r w:rsidRPr="005E4A6C">
        <w:t xml:space="preserve"> slots </w:t>
      </w:r>
      <w:r>
        <w:t>indicated</w:t>
      </w:r>
      <w:r>
        <w:rPr>
          <w:lang w:val="en-US"/>
        </w:rPr>
        <w:t xml:space="preserve"> by </w:t>
      </w:r>
      <w:r w:rsidRPr="005E4A6C">
        <w:rPr>
          <w:i/>
          <w:lang w:val="en-US"/>
        </w:rPr>
        <w:t>duration</w:t>
      </w:r>
      <w:r>
        <w:rPr>
          <w:lang w:val="en-US"/>
        </w:rPr>
        <w:t xml:space="preserve">, or </w:t>
      </w:r>
      <m:oMath>
        <m:sSub>
          <m:sSubPr>
            <m:ctrlPr>
              <w:rPr>
                <w:rFonts w:ascii="Cambria Math" w:hAnsi="Cambria Math"/>
                <w:i/>
                <w:iCs/>
              </w:rPr>
            </m:ctrlPr>
          </m:sSubPr>
          <m:e>
            <m:r>
              <w:rPr>
                <w:rFonts w:ascii="Cambria Math" w:hAnsi="Cambria Math"/>
              </w:rPr>
              <m:t>T</m:t>
            </m:r>
          </m:e>
          <m:sub>
            <m:r>
              <m:rPr>
                <m:nor/>
              </m:rPr>
              <w:rPr>
                <w:iCs/>
              </w:rPr>
              <m:t>s</m:t>
            </m:r>
            <m:ctrlPr>
              <w:rPr>
                <w:rFonts w:ascii="Cambria Math" w:hAnsi="Cambria Math"/>
                <w:iCs/>
              </w:rPr>
            </m:ctrlPr>
          </m:sub>
        </m:sSub>
        <m:r>
          <w:rPr>
            <w:rFonts w:ascii="Cambria Math" w:hAnsi="Cambria Math"/>
          </w:rPr>
          <m:t>=1</m:t>
        </m:r>
      </m:oMath>
      <w:r>
        <w:t xml:space="preserve"> slot if </w:t>
      </w:r>
      <w:r w:rsidRPr="005E4A6C">
        <w:rPr>
          <w:i/>
          <w:lang w:val="en-US"/>
        </w:rPr>
        <w:t>duration</w:t>
      </w:r>
      <w:r>
        <w:rPr>
          <w:lang w:val="en-US"/>
        </w:rPr>
        <w:t xml:space="preserve"> is not provided,</w:t>
      </w:r>
      <w:r>
        <w:t xml:space="preserve"> starting from the first slot of the first</w:t>
      </w:r>
      <w:r w:rsidRPr="005E4A6C">
        <w:rPr>
          <w:lang w:val="en-US"/>
        </w:rPr>
        <w:t xml:space="preserve"> </w:t>
      </w:r>
      <m:oMath>
        <m:sSub>
          <m:sSubPr>
            <m:ctrlPr>
              <w:rPr>
                <w:rFonts w:ascii="Cambria Math" w:hAnsi="Cambria Math"/>
                <w:i/>
                <w:iCs/>
              </w:rPr>
            </m:ctrlPr>
          </m:sSubPr>
          <m:e>
            <m:r>
              <w:rPr>
                <w:rFonts w:ascii="Cambria Math" w:hAnsi="Cambria Math"/>
              </w:rPr>
              <m:t>T</m:t>
            </m:r>
          </m:e>
          <m:sub>
            <m:r>
              <m:rPr>
                <m:nor/>
              </m:rPr>
              <w:rPr>
                <w:iCs/>
              </w:rPr>
              <m:t>s</m:t>
            </m:r>
            <m:ctrlPr>
              <w:rPr>
                <w:rFonts w:ascii="Cambria Math" w:hAnsi="Cambria Math"/>
                <w:iCs/>
              </w:rPr>
            </m:ctrlPr>
          </m:sub>
        </m:sSub>
      </m:oMath>
      <w:r w:rsidRPr="005E4A6C">
        <w:t xml:space="preserve"> slots</w:t>
      </w:r>
      <w:r>
        <w:t xml:space="preserve"> and ending prior to the start of </w:t>
      </w:r>
      <w:r>
        <w:rPr>
          <w:i/>
        </w:rPr>
        <w:t>drx-onDu</w:t>
      </w:r>
      <w:r w:rsidRPr="00C775CD">
        <w:rPr>
          <w:i/>
        </w:rPr>
        <w:t>rationTimer</w:t>
      </w:r>
      <w:r>
        <w:t xml:space="preserve">. </w:t>
      </w:r>
    </w:p>
    <w:p w14:paraId="1E1E2BE2" w14:textId="77777777" w:rsidR="006630B7" w:rsidRPr="0003241B" w:rsidRDefault="006630B7" w:rsidP="006630B7">
      <w:r w:rsidRPr="0003241B">
        <w:t xml:space="preserve">On PDCCH monitoring occasions associated with a same </w:t>
      </w:r>
      <w:r>
        <w:t xml:space="preserve">long </w:t>
      </w:r>
      <w:r w:rsidRPr="0003241B">
        <w:t>DRX Cycle, a UE does not expect to detect more than one DCI format 2_6 with different values of the Wake-up indication bit for the UE or with different values of the bitmap for the UE.</w:t>
      </w:r>
    </w:p>
    <w:p w14:paraId="3110FF3C" w14:textId="77777777" w:rsidR="0000023C" w:rsidRDefault="0000023C" w:rsidP="0000023C">
      <w:r>
        <w:rPr>
          <w:lang w:eastAsia="zh-CN"/>
        </w:rPr>
        <w:t xml:space="preserve">The UE does not monitor PDCCH for detecting DCI format 2_6 during Active Time </w:t>
      </w:r>
      <w:r w:rsidRPr="0080392F">
        <w:t>[</w:t>
      </w:r>
      <w:r w:rsidRPr="0080392F">
        <w:rPr>
          <w:lang w:val="en-US"/>
        </w:rPr>
        <w:t>11, TS 38.321</w:t>
      </w:r>
      <w:r w:rsidRPr="0080392F">
        <w:t>]</w:t>
      </w:r>
      <w:r>
        <w:t>.</w:t>
      </w:r>
    </w:p>
    <w:p w14:paraId="0F4390A6" w14:textId="0A13D4EE" w:rsidR="006630B7" w:rsidRPr="00B713CC" w:rsidRDefault="0000023C" w:rsidP="006630B7">
      <w:r>
        <w:t xml:space="preserve">If a UE reports for an active DL BWP a </w:t>
      </w:r>
      <w:r w:rsidR="00026172">
        <w:rPr>
          <w:i/>
          <w:iCs/>
        </w:rPr>
        <w:t>MinTimeGap</w:t>
      </w:r>
      <w:r w:rsidR="00026172" w:rsidRPr="00665009">
        <w:t xml:space="preserve"> </w:t>
      </w:r>
      <w:r w:rsidR="00665009" w:rsidRPr="00B05615">
        <w:t xml:space="preserve">or </w:t>
      </w:r>
      <w:r w:rsidR="00665009">
        <w:rPr>
          <w:i/>
          <w:iCs/>
        </w:rPr>
        <w:t>MinTimeGapFR2-2</w:t>
      </w:r>
      <w:r w:rsidR="00665009" w:rsidRPr="00665009">
        <w:t xml:space="preserve"> </w:t>
      </w:r>
      <w:r w:rsidR="00026172">
        <w:t>value that is</w:t>
      </w:r>
      <w:r>
        <w:t xml:space="preserve"> </w:t>
      </w:r>
      <w:r w:rsidR="00153155">
        <w:t xml:space="preserve">X </w:t>
      </w:r>
      <w:r>
        <w:t xml:space="preserve">slots prior to the beginning of a slot where the UE would start the </w:t>
      </w:r>
      <w:r>
        <w:rPr>
          <w:i/>
        </w:rPr>
        <w:t>drx-onDu</w:t>
      </w:r>
      <w:r w:rsidRPr="00C775CD">
        <w:rPr>
          <w:i/>
        </w:rPr>
        <w:t>rationTimer</w:t>
      </w:r>
      <w:r>
        <w:t xml:space="preserve">, the UE is not required to monitor PDCCH for detection of DCI format 2_6 during the </w:t>
      </w:r>
      <w:r w:rsidR="00153155">
        <w:t>X</w:t>
      </w:r>
      <w:r>
        <w:t xml:space="preserve"> slots</w:t>
      </w:r>
      <w:r w:rsidR="00153155">
        <w:t xml:space="preserve">, where X corresponds to the </w:t>
      </w:r>
      <w:r w:rsidR="00026172">
        <w:rPr>
          <w:i/>
          <w:iCs/>
        </w:rPr>
        <w:t>MinTimeGap</w:t>
      </w:r>
      <w:r w:rsidR="00665009" w:rsidRPr="00665009">
        <w:t xml:space="preserve"> </w:t>
      </w:r>
      <w:r w:rsidR="00665009" w:rsidRPr="00B05615">
        <w:t xml:space="preserve">or </w:t>
      </w:r>
      <w:r w:rsidR="00665009">
        <w:rPr>
          <w:i/>
          <w:iCs/>
        </w:rPr>
        <w:t>MinTimeGapFR2-2</w:t>
      </w:r>
      <w:r w:rsidR="00665009" w:rsidRPr="00665009">
        <w:t xml:space="preserve"> </w:t>
      </w:r>
      <w:r w:rsidR="00026172">
        <w:t>value</w:t>
      </w:r>
      <w:r w:rsidR="00153155">
        <w:t xml:space="preserve"> of the SCS of the active DL BWP</w:t>
      </w:r>
      <w:r w:rsidR="006630B7" w:rsidRPr="006630B7">
        <w:t xml:space="preserve"> </w:t>
      </w:r>
      <w:r w:rsidR="006630B7">
        <w:t>in Table 10.3-1.</w:t>
      </w:r>
    </w:p>
    <w:p w14:paraId="2E10F52A" w14:textId="77777777" w:rsidR="006630B7" w:rsidRPr="004A777D" w:rsidRDefault="006630B7" w:rsidP="00797D09">
      <w:pPr>
        <w:pStyle w:val="TH"/>
      </w:pPr>
      <w:r w:rsidRPr="004A777D">
        <w:lastRenderedPageBreak/>
        <w:t>Table 10.3-1 Minimum time gap value 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7"/>
        <w:gridCol w:w="1319"/>
        <w:gridCol w:w="1319"/>
      </w:tblGrid>
      <w:tr w:rsidR="006630B7" w:rsidRPr="004A777D" w14:paraId="09769D8D" w14:textId="77777777" w:rsidTr="00312C7C">
        <w:trPr>
          <w:jc w:val="center"/>
        </w:trPr>
        <w:tc>
          <w:tcPr>
            <w:tcW w:w="0" w:type="auto"/>
            <w:vMerge w:val="restart"/>
            <w:shd w:val="clear" w:color="auto" w:fill="E0E0E0"/>
            <w:vAlign w:val="center"/>
          </w:tcPr>
          <w:p w14:paraId="5B9A2353" w14:textId="77777777" w:rsidR="006630B7" w:rsidRPr="004A777D" w:rsidRDefault="006630B7" w:rsidP="00312C7C">
            <w:pPr>
              <w:pStyle w:val="TAH"/>
              <w:rPr>
                <w:szCs w:val="18"/>
              </w:rPr>
            </w:pPr>
            <w:r w:rsidRPr="004A777D">
              <w:rPr>
                <w:szCs w:val="18"/>
              </w:rPr>
              <w:t>SCS (kHz)</w:t>
            </w:r>
          </w:p>
        </w:tc>
        <w:tc>
          <w:tcPr>
            <w:tcW w:w="0" w:type="auto"/>
            <w:gridSpan w:val="2"/>
            <w:shd w:val="clear" w:color="auto" w:fill="E0E0E0"/>
            <w:vAlign w:val="center"/>
          </w:tcPr>
          <w:p w14:paraId="434A038A" w14:textId="77777777" w:rsidR="006630B7" w:rsidRPr="004A777D" w:rsidRDefault="006630B7" w:rsidP="00312C7C">
            <w:pPr>
              <w:pStyle w:val="TAH"/>
              <w:rPr>
                <w:szCs w:val="18"/>
              </w:rPr>
            </w:pPr>
            <w:r w:rsidRPr="004A777D">
              <w:t xml:space="preserve">Minimum Time Gap X (slots) </w:t>
            </w:r>
          </w:p>
        </w:tc>
      </w:tr>
      <w:tr w:rsidR="006630B7" w:rsidRPr="004A777D" w14:paraId="49D24AF9" w14:textId="77777777" w:rsidTr="00312C7C">
        <w:trPr>
          <w:jc w:val="center"/>
        </w:trPr>
        <w:tc>
          <w:tcPr>
            <w:tcW w:w="0" w:type="auto"/>
            <w:vMerge/>
            <w:shd w:val="clear" w:color="auto" w:fill="E0E0E0"/>
            <w:vAlign w:val="center"/>
          </w:tcPr>
          <w:p w14:paraId="2686EA97" w14:textId="77777777" w:rsidR="006630B7" w:rsidRPr="004A777D" w:rsidRDefault="006630B7" w:rsidP="00312C7C">
            <w:pPr>
              <w:pStyle w:val="TAH"/>
              <w:rPr>
                <w:szCs w:val="18"/>
              </w:rPr>
            </w:pPr>
          </w:p>
        </w:tc>
        <w:tc>
          <w:tcPr>
            <w:tcW w:w="0" w:type="auto"/>
            <w:shd w:val="clear" w:color="auto" w:fill="E0E0E0"/>
            <w:vAlign w:val="center"/>
          </w:tcPr>
          <w:p w14:paraId="20E25775" w14:textId="77777777" w:rsidR="006630B7" w:rsidRPr="004A777D" w:rsidRDefault="006630B7" w:rsidP="00312C7C">
            <w:pPr>
              <w:pStyle w:val="TAH"/>
            </w:pPr>
            <w:r w:rsidRPr="004A777D">
              <w:t>Value 1</w:t>
            </w:r>
          </w:p>
        </w:tc>
        <w:tc>
          <w:tcPr>
            <w:tcW w:w="0" w:type="auto"/>
            <w:shd w:val="clear" w:color="auto" w:fill="E0E0E0"/>
            <w:vAlign w:val="center"/>
          </w:tcPr>
          <w:p w14:paraId="2641EA9D" w14:textId="77777777" w:rsidR="006630B7" w:rsidRPr="004A777D" w:rsidRDefault="006630B7" w:rsidP="00312C7C">
            <w:pPr>
              <w:pStyle w:val="TAH"/>
            </w:pPr>
            <w:r w:rsidRPr="004A777D">
              <w:t>Value 2</w:t>
            </w:r>
          </w:p>
        </w:tc>
      </w:tr>
      <w:tr w:rsidR="006630B7" w:rsidRPr="004A777D" w14:paraId="1472C8DE" w14:textId="77777777" w:rsidTr="00312C7C">
        <w:trPr>
          <w:trHeight w:hRule="exact" w:val="227"/>
          <w:jc w:val="center"/>
        </w:trPr>
        <w:tc>
          <w:tcPr>
            <w:tcW w:w="0" w:type="auto"/>
            <w:vAlign w:val="center"/>
          </w:tcPr>
          <w:p w14:paraId="2393064E" w14:textId="77777777" w:rsidR="006630B7" w:rsidRPr="004A777D" w:rsidRDefault="006630B7" w:rsidP="00312C7C">
            <w:pPr>
              <w:pStyle w:val="TAC"/>
            </w:pPr>
            <w:r w:rsidRPr="004A777D">
              <w:t>15</w:t>
            </w:r>
          </w:p>
        </w:tc>
        <w:tc>
          <w:tcPr>
            <w:tcW w:w="0" w:type="auto"/>
            <w:vAlign w:val="center"/>
          </w:tcPr>
          <w:p w14:paraId="5A659BA0" w14:textId="77777777" w:rsidR="006630B7" w:rsidRPr="004A777D" w:rsidRDefault="006630B7" w:rsidP="00312C7C">
            <w:pPr>
              <w:pStyle w:val="TAC"/>
            </w:pPr>
            <w:r w:rsidRPr="004A777D">
              <w:t>1</w:t>
            </w:r>
          </w:p>
        </w:tc>
        <w:tc>
          <w:tcPr>
            <w:tcW w:w="0" w:type="auto"/>
            <w:vAlign w:val="center"/>
          </w:tcPr>
          <w:p w14:paraId="0710394C" w14:textId="77777777" w:rsidR="006630B7" w:rsidRPr="004A777D" w:rsidRDefault="006630B7" w:rsidP="00312C7C">
            <w:pPr>
              <w:pStyle w:val="TAC"/>
            </w:pPr>
            <w:r w:rsidRPr="004A777D">
              <w:t>3</w:t>
            </w:r>
          </w:p>
        </w:tc>
      </w:tr>
      <w:tr w:rsidR="006630B7" w:rsidRPr="004A777D" w14:paraId="02E599CC" w14:textId="77777777" w:rsidTr="00312C7C">
        <w:trPr>
          <w:trHeight w:hRule="exact" w:val="227"/>
          <w:jc w:val="center"/>
        </w:trPr>
        <w:tc>
          <w:tcPr>
            <w:tcW w:w="0" w:type="auto"/>
            <w:vAlign w:val="center"/>
          </w:tcPr>
          <w:p w14:paraId="12909F3A" w14:textId="77777777" w:rsidR="006630B7" w:rsidRPr="004A777D" w:rsidRDefault="006630B7" w:rsidP="00312C7C">
            <w:pPr>
              <w:pStyle w:val="TAC"/>
            </w:pPr>
            <w:r w:rsidRPr="004A777D">
              <w:t>30</w:t>
            </w:r>
          </w:p>
        </w:tc>
        <w:tc>
          <w:tcPr>
            <w:tcW w:w="0" w:type="auto"/>
            <w:vAlign w:val="center"/>
          </w:tcPr>
          <w:p w14:paraId="51393ED9" w14:textId="77777777" w:rsidR="006630B7" w:rsidRPr="004A777D" w:rsidRDefault="006630B7" w:rsidP="00312C7C">
            <w:pPr>
              <w:pStyle w:val="TAC"/>
            </w:pPr>
            <w:r w:rsidRPr="004A777D">
              <w:t>1</w:t>
            </w:r>
          </w:p>
        </w:tc>
        <w:tc>
          <w:tcPr>
            <w:tcW w:w="0" w:type="auto"/>
            <w:vAlign w:val="center"/>
          </w:tcPr>
          <w:p w14:paraId="1C2CEF50" w14:textId="77777777" w:rsidR="006630B7" w:rsidRPr="004A777D" w:rsidRDefault="006630B7" w:rsidP="00312C7C">
            <w:pPr>
              <w:pStyle w:val="TAC"/>
            </w:pPr>
            <w:r w:rsidRPr="004A777D">
              <w:t>6</w:t>
            </w:r>
          </w:p>
        </w:tc>
      </w:tr>
      <w:tr w:rsidR="006630B7" w:rsidRPr="004A777D" w14:paraId="2FED8D40" w14:textId="77777777" w:rsidTr="00312C7C">
        <w:trPr>
          <w:trHeight w:hRule="exact" w:val="227"/>
          <w:jc w:val="center"/>
        </w:trPr>
        <w:tc>
          <w:tcPr>
            <w:tcW w:w="0" w:type="auto"/>
            <w:vAlign w:val="center"/>
          </w:tcPr>
          <w:p w14:paraId="3D49D065" w14:textId="77777777" w:rsidR="006630B7" w:rsidRPr="004A777D" w:rsidRDefault="006630B7" w:rsidP="00312C7C">
            <w:pPr>
              <w:pStyle w:val="TAC"/>
            </w:pPr>
            <w:r w:rsidRPr="004A777D">
              <w:t>60</w:t>
            </w:r>
          </w:p>
        </w:tc>
        <w:tc>
          <w:tcPr>
            <w:tcW w:w="0" w:type="auto"/>
            <w:vAlign w:val="center"/>
          </w:tcPr>
          <w:p w14:paraId="53CC8FC1" w14:textId="77777777" w:rsidR="006630B7" w:rsidRPr="004A777D" w:rsidRDefault="006630B7" w:rsidP="00312C7C">
            <w:pPr>
              <w:pStyle w:val="TAC"/>
            </w:pPr>
            <w:r w:rsidRPr="004A777D">
              <w:t>1</w:t>
            </w:r>
          </w:p>
        </w:tc>
        <w:tc>
          <w:tcPr>
            <w:tcW w:w="0" w:type="auto"/>
            <w:vAlign w:val="center"/>
          </w:tcPr>
          <w:p w14:paraId="69B3C085" w14:textId="77777777" w:rsidR="006630B7" w:rsidRPr="004A777D" w:rsidRDefault="006630B7" w:rsidP="00312C7C">
            <w:pPr>
              <w:pStyle w:val="TAC"/>
            </w:pPr>
            <w:r w:rsidRPr="004A777D">
              <w:t>12</w:t>
            </w:r>
          </w:p>
        </w:tc>
      </w:tr>
      <w:tr w:rsidR="006630B7" w:rsidRPr="004A777D" w14:paraId="6EC1C471" w14:textId="77777777" w:rsidTr="00312C7C">
        <w:trPr>
          <w:trHeight w:hRule="exact" w:val="227"/>
          <w:jc w:val="center"/>
        </w:trPr>
        <w:tc>
          <w:tcPr>
            <w:tcW w:w="0" w:type="auto"/>
            <w:vAlign w:val="center"/>
          </w:tcPr>
          <w:p w14:paraId="4750AF69" w14:textId="77777777" w:rsidR="006630B7" w:rsidRPr="004A777D" w:rsidRDefault="006630B7" w:rsidP="00312C7C">
            <w:pPr>
              <w:pStyle w:val="TAC"/>
            </w:pPr>
            <w:r w:rsidRPr="004A777D">
              <w:t>120</w:t>
            </w:r>
          </w:p>
        </w:tc>
        <w:tc>
          <w:tcPr>
            <w:tcW w:w="0" w:type="auto"/>
            <w:vAlign w:val="center"/>
          </w:tcPr>
          <w:p w14:paraId="7D661CD7" w14:textId="77777777" w:rsidR="006630B7" w:rsidRPr="004A777D" w:rsidRDefault="006630B7" w:rsidP="00312C7C">
            <w:pPr>
              <w:pStyle w:val="TAC"/>
            </w:pPr>
            <w:r w:rsidRPr="004A777D">
              <w:t>2</w:t>
            </w:r>
          </w:p>
        </w:tc>
        <w:tc>
          <w:tcPr>
            <w:tcW w:w="0" w:type="auto"/>
            <w:vAlign w:val="center"/>
          </w:tcPr>
          <w:p w14:paraId="516D722B" w14:textId="77777777" w:rsidR="006630B7" w:rsidRPr="004A777D" w:rsidRDefault="006630B7" w:rsidP="00312C7C">
            <w:pPr>
              <w:pStyle w:val="TAC"/>
            </w:pPr>
            <w:r w:rsidRPr="004A777D">
              <w:t>24</w:t>
            </w:r>
          </w:p>
        </w:tc>
      </w:tr>
      <w:tr w:rsidR="005C7400" w:rsidRPr="00B27E56" w14:paraId="5A8A6313" w14:textId="77777777" w:rsidTr="005C7400">
        <w:trPr>
          <w:trHeight w:hRule="exact" w:val="227"/>
          <w:jc w:val="center"/>
        </w:trPr>
        <w:tc>
          <w:tcPr>
            <w:tcW w:w="0" w:type="auto"/>
            <w:tcBorders>
              <w:top w:val="single" w:sz="4" w:space="0" w:color="auto"/>
              <w:left w:val="single" w:sz="4" w:space="0" w:color="auto"/>
              <w:bottom w:val="single" w:sz="4" w:space="0" w:color="auto"/>
              <w:right w:val="single" w:sz="4" w:space="0" w:color="auto"/>
            </w:tcBorders>
            <w:vAlign w:val="center"/>
          </w:tcPr>
          <w:p w14:paraId="2BA461F9" w14:textId="77777777" w:rsidR="005C7400" w:rsidRPr="00B27E56" w:rsidRDefault="005C7400" w:rsidP="00B272BA">
            <w:pPr>
              <w:pStyle w:val="TAC"/>
            </w:pPr>
            <w:bookmarkStart w:id="691" w:name="_Hlk39518746"/>
            <w:r w:rsidRPr="00B27E56">
              <w:t>480</w:t>
            </w:r>
          </w:p>
        </w:tc>
        <w:tc>
          <w:tcPr>
            <w:tcW w:w="0" w:type="auto"/>
            <w:tcBorders>
              <w:top w:val="single" w:sz="4" w:space="0" w:color="auto"/>
              <w:left w:val="single" w:sz="4" w:space="0" w:color="auto"/>
              <w:bottom w:val="single" w:sz="4" w:space="0" w:color="auto"/>
              <w:right w:val="single" w:sz="4" w:space="0" w:color="auto"/>
            </w:tcBorders>
            <w:vAlign w:val="center"/>
          </w:tcPr>
          <w:p w14:paraId="5C4F455A" w14:textId="77777777" w:rsidR="005C7400" w:rsidRPr="00B27E56" w:rsidRDefault="005C7400" w:rsidP="00B272BA">
            <w:pPr>
              <w:pStyle w:val="TAC"/>
            </w:pPr>
            <w:r w:rsidRPr="00B27E56">
              <w:t>8</w:t>
            </w:r>
          </w:p>
        </w:tc>
        <w:tc>
          <w:tcPr>
            <w:tcW w:w="0" w:type="auto"/>
            <w:tcBorders>
              <w:top w:val="single" w:sz="4" w:space="0" w:color="auto"/>
              <w:left w:val="single" w:sz="4" w:space="0" w:color="auto"/>
              <w:bottom w:val="single" w:sz="4" w:space="0" w:color="auto"/>
              <w:right w:val="single" w:sz="4" w:space="0" w:color="auto"/>
            </w:tcBorders>
            <w:vAlign w:val="center"/>
          </w:tcPr>
          <w:p w14:paraId="68247ADD" w14:textId="77777777" w:rsidR="005C7400" w:rsidRPr="00B27E56" w:rsidRDefault="005C7400" w:rsidP="00B272BA">
            <w:pPr>
              <w:pStyle w:val="TAC"/>
            </w:pPr>
            <w:r w:rsidRPr="00B27E56">
              <w:t>96</w:t>
            </w:r>
          </w:p>
        </w:tc>
      </w:tr>
      <w:tr w:rsidR="005C7400" w:rsidRPr="00B27E56" w14:paraId="2245D8B3" w14:textId="77777777" w:rsidTr="005C7400">
        <w:trPr>
          <w:trHeight w:hRule="exact" w:val="227"/>
          <w:jc w:val="center"/>
        </w:trPr>
        <w:tc>
          <w:tcPr>
            <w:tcW w:w="0" w:type="auto"/>
            <w:tcBorders>
              <w:top w:val="single" w:sz="4" w:space="0" w:color="auto"/>
              <w:left w:val="single" w:sz="4" w:space="0" w:color="auto"/>
              <w:bottom w:val="single" w:sz="4" w:space="0" w:color="auto"/>
              <w:right w:val="single" w:sz="4" w:space="0" w:color="auto"/>
            </w:tcBorders>
            <w:vAlign w:val="center"/>
          </w:tcPr>
          <w:p w14:paraId="0A07B43C" w14:textId="77777777" w:rsidR="005C7400" w:rsidRPr="00B27E56" w:rsidRDefault="005C7400" w:rsidP="00B272BA">
            <w:pPr>
              <w:pStyle w:val="TAC"/>
            </w:pPr>
            <w:r w:rsidRPr="00B27E56">
              <w:t>960</w:t>
            </w:r>
          </w:p>
        </w:tc>
        <w:tc>
          <w:tcPr>
            <w:tcW w:w="0" w:type="auto"/>
            <w:tcBorders>
              <w:top w:val="single" w:sz="4" w:space="0" w:color="auto"/>
              <w:left w:val="single" w:sz="4" w:space="0" w:color="auto"/>
              <w:bottom w:val="single" w:sz="4" w:space="0" w:color="auto"/>
              <w:right w:val="single" w:sz="4" w:space="0" w:color="auto"/>
            </w:tcBorders>
            <w:vAlign w:val="center"/>
          </w:tcPr>
          <w:p w14:paraId="649A1D96" w14:textId="77777777" w:rsidR="005C7400" w:rsidRPr="00B27E56" w:rsidRDefault="005C7400" w:rsidP="00B272BA">
            <w:pPr>
              <w:pStyle w:val="TAC"/>
            </w:pPr>
            <w:r w:rsidRPr="00B27E56">
              <w:t>16</w:t>
            </w:r>
          </w:p>
        </w:tc>
        <w:tc>
          <w:tcPr>
            <w:tcW w:w="0" w:type="auto"/>
            <w:tcBorders>
              <w:top w:val="single" w:sz="4" w:space="0" w:color="auto"/>
              <w:left w:val="single" w:sz="4" w:space="0" w:color="auto"/>
              <w:bottom w:val="single" w:sz="4" w:space="0" w:color="auto"/>
              <w:right w:val="single" w:sz="4" w:space="0" w:color="auto"/>
            </w:tcBorders>
            <w:vAlign w:val="center"/>
          </w:tcPr>
          <w:p w14:paraId="076E01C0" w14:textId="77777777" w:rsidR="005C7400" w:rsidRPr="00B27E56" w:rsidRDefault="005C7400" w:rsidP="00B272BA">
            <w:pPr>
              <w:pStyle w:val="TAC"/>
            </w:pPr>
            <w:r w:rsidRPr="00B27E56">
              <w:t>192</w:t>
            </w:r>
          </w:p>
        </w:tc>
      </w:tr>
    </w:tbl>
    <w:p w14:paraId="741C6175" w14:textId="0B946EF2" w:rsidR="0000023C" w:rsidRPr="00797D09" w:rsidRDefault="006630B7" w:rsidP="00797D09">
      <w:pPr>
        <w:spacing w:before="180"/>
        <w:rPr>
          <w:lang w:val="en-US"/>
        </w:rPr>
      </w:pPr>
      <w:r>
        <w:t xml:space="preserve">If a UE is provided search space sets to monitor PDCCH for detection of DCI format 2_6 in the active DL BWP of the PCell </w:t>
      </w:r>
      <w:r>
        <w:rPr>
          <w:lang w:eastAsia="zh-CN"/>
        </w:rPr>
        <w:t>or of the SpCell</w:t>
      </w:r>
      <w:r>
        <w:t xml:space="preserve"> and the UE detects DCI format 2_6, </w:t>
      </w:r>
      <w:r>
        <w:rPr>
          <w:lang w:val="en-US"/>
        </w:rPr>
        <w:t>the physical layer of a UE reports the value of the Wake-up indication bit for the UE to higher layers [11, TS 38.321] for the next long DRX cycle.</w:t>
      </w:r>
      <w:bookmarkEnd w:id="691"/>
    </w:p>
    <w:p w14:paraId="7FD3BC56" w14:textId="5F400613" w:rsidR="0000023C" w:rsidRDefault="0000023C" w:rsidP="0000023C">
      <w:r>
        <w:t xml:space="preserve">If a UE is provided search space sets to monitor PDCCH for detection of DCI format 2_6 in the active DL BWP of the PCell </w:t>
      </w:r>
      <w:r>
        <w:rPr>
          <w:lang w:eastAsia="zh-CN"/>
        </w:rPr>
        <w:t>or of the SpCell</w:t>
      </w:r>
      <w:r>
        <w:t xml:space="preserve"> and the UE does not detect DCI format 2_6</w:t>
      </w:r>
      <w:r w:rsidR="006630B7">
        <w:t xml:space="preserve">, the </w:t>
      </w:r>
      <w:r w:rsidR="006630B7">
        <w:rPr>
          <w:lang w:val="en-US"/>
        </w:rPr>
        <w:t>physical layer of the UE does not report a value of the Wake-up indication bit to higher layers</w:t>
      </w:r>
      <w:r w:rsidR="006630B7" w:rsidRPr="00C775CD">
        <w:t xml:space="preserve"> </w:t>
      </w:r>
      <w:r w:rsidR="006630B7">
        <w:rPr>
          <w:lang w:eastAsia="zh-CN"/>
        </w:rPr>
        <w:t>for the next long DRX cycle.</w:t>
      </w:r>
    </w:p>
    <w:p w14:paraId="78410A83" w14:textId="77777777" w:rsidR="0000023C" w:rsidRDefault="0000023C" w:rsidP="0000023C">
      <w:r>
        <w:t xml:space="preserve">If a UE is provided search space sets to monitor PDCCH for detection of DCI format 2_6 in the active DL BWP of the PCell </w:t>
      </w:r>
      <w:r>
        <w:rPr>
          <w:lang w:eastAsia="zh-CN"/>
        </w:rPr>
        <w:t>or of the SpCell</w:t>
      </w:r>
      <w:r>
        <w:t xml:space="preserve"> and the UE </w:t>
      </w:r>
    </w:p>
    <w:p w14:paraId="723D4B82" w14:textId="5984AD1E" w:rsidR="0000023C" w:rsidRDefault="0000023C" w:rsidP="0000023C">
      <w:pPr>
        <w:pStyle w:val="B1"/>
      </w:pPr>
      <w:r>
        <w:t>-</w:t>
      </w:r>
      <w:r>
        <w:tab/>
        <w:t>is not required to monitor PDCCH for detection of DCI format 2_6,</w:t>
      </w:r>
      <w:r w:rsidRPr="00EA7B39">
        <w:t xml:space="preserve"> </w:t>
      </w:r>
      <w:r>
        <w:t xml:space="preserve">as described </w:t>
      </w:r>
      <w:r w:rsidR="006F5F9E">
        <w:t>in clause</w:t>
      </w:r>
      <w:r>
        <w:t>s 10</w:t>
      </w:r>
      <w:r w:rsidR="00153155">
        <w:rPr>
          <w:lang w:val="en-US"/>
        </w:rPr>
        <w:t>,</w:t>
      </w:r>
      <w:r>
        <w:t xml:space="preserve"> 11.1, </w:t>
      </w:r>
      <w:r w:rsidR="00153155">
        <w:rPr>
          <w:lang w:val="en-US"/>
        </w:rPr>
        <w:t xml:space="preserve">12, and </w:t>
      </w:r>
      <w:r w:rsidR="006F5F9E">
        <w:rPr>
          <w:lang w:val="en-US"/>
        </w:rPr>
        <w:t>in clause</w:t>
      </w:r>
      <w:r w:rsidR="00153155">
        <w:rPr>
          <w:lang w:val="en-US"/>
        </w:rPr>
        <w:t xml:space="preserve"> 5.7 of [</w:t>
      </w:r>
      <w:r w:rsidR="006630B7">
        <w:rPr>
          <w:lang w:val="en-US"/>
        </w:rPr>
        <w:t>11</w:t>
      </w:r>
      <w:r w:rsidR="00153155">
        <w:rPr>
          <w:lang w:val="en-US"/>
        </w:rPr>
        <w:t xml:space="preserve">, TS 38.321] </w:t>
      </w:r>
      <w:r>
        <w:t xml:space="preserve">for all corresponding PDCCH monitoring occasions outside Active Time prior to </w:t>
      </w:r>
      <w:r>
        <w:rPr>
          <w:lang w:eastAsia="zh-CN"/>
        </w:rPr>
        <w:t xml:space="preserve">a next </w:t>
      </w:r>
      <w:r w:rsidR="006630B7">
        <w:rPr>
          <w:lang w:val="en-US" w:eastAsia="zh-CN"/>
        </w:rPr>
        <w:t xml:space="preserve">long </w:t>
      </w:r>
      <w:r>
        <w:rPr>
          <w:lang w:eastAsia="zh-CN"/>
        </w:rPr>
        <w:t>DRX cycle</w:t>
      </w:r>
      <w:r>
        <w:t xml:space="preserve">, or </w:t>
      </w:r>
    </w:p>
    <w:p w14:paraId="3486A740" w14:textId="6867F29F" w:rsidR="0000023C" w:rsidRDefault="0000023C" w:rsidP="0000023C">
      <w:pPr>
        <w:pStyle w:val="B1"/>
      </w:pPr>
      <w:r>
        <w:t>-</w:t>
      </w:r>
      <w:r>
        <w:tab/>
        <w:t xml:space="preserve">does not have any PDCCH monitoring occasions for detection of DCI format 2_6 </w:t>
      </w:r>
      <w:r>
        <w:rPr>
          <w:lang w:eastAsia="zh-CN"/>
        </w:rPr>
        <w:t>outside Active Time</w:t>
      </w:r>
      <w:r>
        <w:t xml:space="preserve"> of a next </w:t>
      </w:r>
      <w:r w:rsidR="006630B7">
        <w:rPr>
          <w:lang w:val="en-US"/>
        </w:rPr>
        <w:t xml:space="preserve">long </w:t>
      </w:r>
      <w:r>
        <w:t>DRX cycle</w:t>
      </w:r>
    </w:p>
    <w:p w14:paraId="14AA7EAE" w14:textId="77777777" w:rsidR="006630B7" w:rsidRDefault="006630B7" w:rsidP="006630B7">
      <w:pPr>
        <w:rPr>
          <w:lang w:eastAsia="zh-CN"/>
        </w:rPr>
      </w:pPr>
      <w:bookmarkStart w:id="692" w:name="_Hlk39666961"/>
      <w:r>
        <w:t xml:space="preserve">the physical layer of the UE reports a value of 1 for </w:t>
      </w:r>
      <w:r>
        <w:rPr>
          <w:lang w:val="en-US"/>
        </w:rPr>
        <w:t xml:space="preserve">the Wake-up indication bit </w:t>
      </w:r>
      <w:r>
        <w:t xml:space="preserve">to higher layers </w:t>
      </w:r>
      <w:r>
        <w:rPr>
          <w:lang w:eastAsia="zh-CN"/>
        </w:rPr>
        <w:t>for the next long DRX cycle.</w:t>
      </w:r>
    </w:p>
    <w:bookmarkEnd w:id="692"/>
    <w:p w14:paraId="02EB1F1B" w14:textId="375A03A4" w:rsidR="0000023C" w:rsidRDefault="0000023C" w:rsidP="0000023C">
      <w:r w:rsidRPr="004D27D9">
        <w:t xml:space="preserve">If a UE is provided search space sets to monitor PDCCH for detection of DCI format </w:t>
      </w:r>
      <w:r>
        <w:t>0_1</w:t>
      </w:r>
      <w:r w:rsidR="001E45F5">
        <w:t>/0_3/1_1/1_3</w:t>
      </w:r>
      <w:r w:rsidRPr="004D27D9">
        <w:t xml:space="preserve"> and if</w:t>
      </w:r>
      <w:r>
        <w:t xml:space="preserve"> </w:t>
      </w:r>
      <w:r w:rsidR="001E45F5">
        <w:t>any</w:t>
      </w:r>
      <w:r>
        <w:t xml:space="preserve"> of</w:t>
      </w:r>
      <w:r w:rsidRPr="004D27D9">
        <w:t xml:space="preserve"> </w:t>
      </w:r>
      <w:r>
        <w:t>DCI format 0_1</w:t>
      </w:r>
      <w:r w:rsidR="001E45F5">
        <w:t>/0_3/1_1/1_3</w:t>
      </w:r>
      <w:r>
        <w:t xml:space="preserve"> include</w:t>
      </w:r>
      <w:r w:rsidR="001E45F5">
        <w:t>s</w:t>
      </w:r>
      <w:r w:rsidRPr="004D27D9">
        <w:t xml:space="preserve"> a </w:t>
      </w:r>
      <w:r w:rsidR="00153155" w:rsidRPr="009552D5">
        <w:t>SCell dormancy indication</w:t>
      </w:r>
      <w:r w:rsidRPr="004D27D9">
        <w:t xml:space="preserve"> field, </w:t>
      </w:r>
    </w:p>
    <w:p w14:paraId="111505BC" w14:textId="0806B9BD" w:rsidR="0000023C" w:rsidRDefault="0000023C" w:rsidP="0000023C">
      <w:pPr>
        <w:pStyle w:val="B1"/>
      </w:pPr>
      <w:r>
        <w:t>-</w:t>
      </w:r>
      <w:r>
        <w:tab/>
      </w:r>
      <w:r w:rsidRPr="004D27D9">
        <w:t xml:space="preserve">the </w:t>
      </w:r>
      <w:r w:rsidR="00153155" w:rsidRPr="009552D5">
        <w:t>SCell dormancy indication</w:t>
      </w:r>
      <w:r w:rsidRPr="004D27D9">
        <w:t xml:space="preserve"> field is a bitmap with size equal to a number of groups of configured SCells</w:t>
      </w:r>
      <w:r>
        <w:t>,</w:t>
      </w:r>
      <w:r w:rsidRPr="004D27D9">
        <w:t xml:space="preserve"> provided by </w:t>
      </w:r>
      <w:r w:rsidR="00D52D67">
        <w:rPr>
          <w:i/>
        </w:rPr>
        <w:t>dormancyGroupWithinActiveTime</w:t>
      </w:r>
      <w:r>
        <w:t xml:space="preserve">, </w:t>
      </w:r>
    </w:p>
    <w:p w14:paraId="6E89B63E" w14:textId="40A075F2" w:rsidR="0000023C" w:rsidRDefault="0000023C" w:rsidP="0000023C">
      <w:pPr>
        <w:pStyle w:val="B1"/>
      </w:pPr>
      <w:r>
        <w:t>-</w:t>
      </w:r>
      <w:r>
        <w:tab/>
        <w:t xml:space="preserve">each bit of the bitmap corresponds to a group of configured SCells from the number of groups of configured </w:t>
      </w:r>
      <w:r w:rsidR="001E45F5">
        <w:t>S</w:t>
      </w:r>
      <w:r w:rsidR="001E45F5">
        <w:rPr>
          <w:lang w:val="en-GB"/>
        </w:rPr>
        <w:t>C</w:t>
      </w:r>
      <w:r w:rsidR="001E45F5">
        <w:t>ells</w:t>
      </w:r>
    </w:p>
    <w:p w14:paraId="21E3AD69" w14:textId="3D875857" w:rsidR="00153155" w:rsidRPr="000E28A2" w:rsidRDefault="00153155" w:rsidP="00153155">
      <w:pPr>
        <w:pStyle w:val="B1"/>
      </w:pPr>
      <w:r w:rsidRPr="000E28A2">
        <w:t>-</w:t>
      </w:r>
      <w:r w:rsidRPr="000E28A2">
        <w:tab/>
        <w:t>if the UE detects a DCI format 0_1</w:t>
      </w:r>
      <w:r w:rsidR="001E45F5">
        <w:t>/1_1</w:t>
      </w:r>
      <w:r w:rsidRPr="000E28A2">
        <w:t xml:space="preserve"> that does not include a carrier indicator field, or a DCI format 0_1</w:t>
      </w:r>
      <w:r w:rsidR="001E45F5">
        <w:t>/1_1</w:t>
      </w:r>
      <w:r w:rsidRPr="000E28A2">
        <w:t xml:space="preserve"> that includes a carrier indicator field with value equal to 0</w:t>
      </w:r>
      <w:r w:rsidR="009C1159" w:rsidRPr="000E28A2">
        <w:t xml:space="preserve">, and if the DCI format 0_1 </w:t>
      </w:r>
      <w:r w:rsidR="009C1159" w:rsidRPr="000E28A2">
        <w:rPr>
          <w:lang w:val="en-US"/>
        </w:rPr>
        <w:t>does not indicate UL grant Type 2 release nor deactivate semi-persistent CSI report(s) on PUSCH, or</w:t>
      </w:r>
      <w:r w:rsidR="009C1159" w:rsidRPr="000E28A2">
        <w:t xml:space="preserve"> if the DCI format 1_1 </w:t>
      </w:r>
      <w:r w:rsidR="009C1159" w:rsidRPr="000E28A2">
        <w:rPr>
          <w:lang w:val="en-US"/>
        </w:rPr>
        <w:t>does not indicate SPS PDSCH release</w:t>
      </w:r>
      <w:r w:rsidR="00925C2C">
        <w:rPr>
          <w:lang w:val="en-US"/>
        </w:rPr>
        <w:t xml:space="preserve">, </w:t>
      </w:r>
      <w:r w:rsidR="00925C2C" w:rsidRPr="00E84202">
        <w:rPr>
          <w:lang w:val="en-US"/>
        </w:rPr>
        <w:t>or</w:t>
      </w:r>
      <w:r w:rsidR="00925C2C" w:rsidRPr="00E84202">
        <w:t xml:space="preserve"> if the </w:t>
      </w:r>
      <w:r w:rsidR="00925C2C">
        <w:rPr>
          <w:lang w:eastAsia="zh-CN"/>
        </w:rPr>
        <w:t>DCI format 1_1</w:t>
      </w:r>
      <w:r w:rsidR="00925C2C" w:rsidRPr="00F415B1">
        <w:rPr>
          <w:lang w:eastAsia="zh-CN"/>
        </w:rPr>
        <w:t xml:space="preserve"> </w:t>
      </w:r>
      <w:r w:rsidR="00925C2C">
        <w:rPr>
          <w:lang w:eastAsia="zh-CN"/>
        </w:rPr>
        <w:t>does not</w:t>
      </w:r>
      <w:r w:rsidR="00925C2C" w:rsidRPr="00F415B1">
        <w:rPr>
          <w:lang w:eastAsia="zh-CN"/>
        </w:rPr>
        <w:t xml:space="preserve"> indicate a TCI state update</w:t>
      </w:r>
      <w:r w:rsidR="00925C2C" w:rsidRPr="007D2213">
        <w:rPr>
          <w:lang w:val="en-US" w:eastAsia="x-none"/>
        </w:rPr>
        <w:t xml:space="preserve"> </w:t>
      </w:r>
      <w:r w:rsidR="00925C2C" w:rsidRPr="00F415B1">
        <w:rPr>
          <w:lang w:val="en-US" w:eastAsia="x-none"/>
        </w:rPr>
        <w:t>without</w:t>
      </w:r>
      <w:r w:rsidR="00925C2C" w:rsidRPr="00F415B1">
        <w:rPr>
          <w:lang w:eastAsia="zh-CN"/>
        </w:rPr>
        <w:t xml:space="preserve"> scheduling PDSCH reception</w:t>
      </w:r>
      <w:r w:rsidR="001E45F5">
        <w:rPr>
          <w:lang w:val="en-US"/>
        </w:rPr>
        <w:t xml:space="preserve">, or if the UE detects a </w:t>
      </w:r>
      <w:r w:rsidR="001E45F5" w:rsidRPr="000E28A2">
        <w:t>DCI format 0_</w:t>
      </w:r>
      <w:r w:rsidR="001E45F5">
        <w:t>3/</w:t>
      </w:r>
      <w:r w:rsidR="001E45F5" w:rsidRPr="000E28A2">
        <w:t>1_</w:t>
      </w:r>
      <w:r w:rsidR="001E45F5">
        <w:t>3</w:t>
      </w:r>
    </w:p>
    <w:p w14:paraId="34215B2A" w14:textId="68323209" w:rsidR="0000023C" w:rsidRDefault="0000023C" w:rsidP="00F56BF9">
      <w:pPr>
        <w:pStyle w:val="B2"/>
      </w:pPr>
      <w:r>
        <w:t>-</w:t>
      </w:r>
      <w:r>
        <w:tab/>
        <w:t xml:space="preserve">a '0' value for a bit of the bitmap indicates an active DL BWP, provided by </w:t>
      </w:r>
      <w:r w:rsidR="00D52D67">
        <w:rPr>
          <w:i/>
        </w:rPr>
        <w:t>dormantBWP-Id</w:t>
      </w:r>
      <w:r>
        <w:t>, for the UE for each activated SCell in the corresponding group of configured SCells</w:t>
      </w:r>
    </w:p>
    <w:p w14:paraId="4D74E7A4" w14:textId="77777777" w:rsidR="00153155" w:rsidRDefault="0000023C" w:rsidP="00F56BF9">
      <w:pPr>
        <w:pStyle w:val="B2"/>
      </w:pPr>
      <w:r>
        <w:t>-</w:t>
      </w:r>
      <w:r>
        <w:tab/>
        <w:t>a '1' value for a bit of the bitmap i</w:t>
      </w:r>
      <w:r w:rsidRPr="0017291D">
        <w:t xml:space="preserve">ndicates </w:t>
      </w:r>
    </w:p>
    <w:p w14:paraId="44ED7E37" w14:textId="23A1AC94" w:rsidR="0052542E" w:rsidRDefault="0052542E" w:rsidP="00F56BF9">
      <w:pPr>
        <w:pStyle w:val="B3"/>
        <w:rPr>
          <w:lang w:val="en-US"/>
        </w:rPr>
      </w:pPr>
      <w:r>
        <w:rPr>
          <w:lang w:val="en-US"/>
        </w:rPr>
        <w:t>-</w:t>
      </w:r>
      <w:r>
        <w:rPr>
          <w:lang w:val="en-US"/>
        </w:rPr>
        <w:tab/>
      </w:r>
      <w:r w:rsidR="0000023C" w:rsidRPr="0017291D">
        <w:t>a</w:t>
      </w:r>
      <w:r w:rsidR="0000023C">
        <w:t>n active</w:t>
      </w:r>
      <w:r w:rsidR="0000023C" w:rsidRPr="0017291D">
        <w:t xml:space="preserve"> DL BWP, provided by </w:t>
      </w:r>
      <w:r w:rsidR="00D52D67">
        <w:rPr>
          <w:i/>
          <w:iCs/>
        </w:rPr>
        <w:t>firstWithinActiveTimeBWP-Id</w:t>
      </w:r>
      <w:r w:rsidR="0000023C" w:rsidRPr="0017291D">
        <w:rPr>
          <w:iCs/>
        </w:rPr>
        <w:t>,</w:t>
      </w:r>
      <w:r w:rsidR="0000023C" w:rsidRPr="0017291D">
        <w:t xml:space="preserve"> for</w:t>
      </w:r>
      <w:r w:rsidR="0000023C">
        <w:t xml:space="preserve"> the UE for each activated SCell in the corresponding group of configured SCells</w:t>
      </w:r>
      <w:r>
        <w:rPr>
          <w:lang w:val="en-US"/>
        </w:rPr>
        <w:t>, if a current active DL BWP is the dormant DL BWP</w:t>
      </w:r>
    </w:p>
    <w:p w14:paraId="660FD81F" w14:textId="77777777" w:rsidR="0052542E" w:rsidRDefault="0052542E" w:rsidP="00F56BF9">
      <w:pPr>
        <w:pStyle w:val="B3"/>
        <w:rPr>
          <w:lang w:val="en-US"/>
        </w:rPr>
      </w:pPr>
      <w:r>
        <w:t>-</w:t>
      </w:r>
      <w:r>
        <w:tab/>
        <w:t>a</w:t>
      </w:r>
      <w:r>
        <w:rPr>
          <w:lang w:val="en-US"/>
        </w:rPr>
        <w:t xml:space="preserve"> current</w:t>
      </w:r>
      <w:r>
        <w:t xml:space="preserve"> active DL BWP</w:t>
      </w:r>
      <w:r w:rsidRPr="0017291D">
        <w:rPr>
          <w:iCs/>
        </w:rPr>
        <w:t>,</w:t>
      </w:r>
      <w:r w:rsidRPr="0017291D">
        <w:t xml:space="preserve"> for the UE for each activated SCell in the corresponding group of configured S</w:t>
      </w:r>
      <w:r>
        <w:t>C</w:t>
      </w:r>
      <w:r w:rsidRPr="0017291D">
        <w:t>ells</w:t>
      </w:r>
      <w:r>
        <w:rPr>
          <w:lang w:val="en-US"/>
        </w:rPr>
        <w:t>, if the current active DL BWP is not the dormant DL BWP</w:t>
      </w:r>
    </w:p>
    <w:p w14:paraId="7EB330CC" w14:textId="2E6741D9" w:rsidR="0000023C" w:rsidRDefault="0052542E" w:rsidP="00F56BF9">
      <w:pPr>
        <w:pStyle w:val="B2"/>
      </w:pPr>
      <w:r>
        <w:t>-</w:t>
      </w:r>
      <w:r>
        <w:tab/>
        <w:t>the UE sets the active DL BWP to the indicated active DL BWP</w:t>
      </w:r>
    </w:p>
    <w:p w14:paraId="3B63FA72" w14:textId="0F9F2276" w:rsidR="0000023C" w:rsidRDefault="0000023C" w:rsidP="0000023C">
      <w:r w:rsidRPr="004D27D9">
        <w:t xml:space="preserve">If a UE is provided search space sets to monitor PDCCH for detection of </w:t>
      </w:r>
      <w:r>
        <w:t xml:space="preserve">DCI format </w:t>
      </w:r>
      <w:r w:rsidRPr="004D27D9">
        <w:t>1_1</w:t>
      </w:r>
      <w:r w:rsidR="001E45F5">
        <w:t>, or of DCI format 1_3</w:t>
      </w:r>
      <w:r>
        <w:t>,</w:t>
      </w:r>
      <w:r w:rsidRPr="004D27D9">
        <w:t xml:space="preserve"> </w:t>
      </w:r>
      <w:r>
        <w:t>and if</w:t>
      </w:r>
    </w:p>
    <w:p w14:paraId="47A1FE68" w14:textId="5F7B31B1" w:rsidR="0052542E" w:rsidRDefault="0052542E" w:rsidP="001E45F5">
      <w:pPr>
        <w:pStyle w:val="B1"/>
      </w:pPr>
      <w:r w:rsidRPr="009552D5">
        <w:t>-</w:t>
      </w:r>
      <w:r w:rsidRPr="009552D5">
        <w:tab/>
      </w:r>
      <w:r>
        <w:t xml:space="preserve">the CRC of </w:t>
      </w:r>
      <w:r w:rsidRPr="00A14DE9">
        <w:t xml:space="preserve">DCI format 1_1 </w:t>
      </w:r>
      <w:r w:rsidR="001E45F5">
        <w:t>or of DCI format 1_3</w:t>
      </w:r>
      <w:r w:rsidR="001E45F5">
        <w:rPr>
          <w:lang w:val="en-GB"/>
        </w:rPr>
        <w:t xml:space="preserve"> </w:t>
      </w:r>
      <w:r w:rsidRPr="00A14DE9">
        <w:t>is scrambled by a C-RNTI or a</w:t>
      </w:r>
      <w:r w:rsidR="001E45F5">
        <w:rPr>
          <w:lang w:val="en-GB"/>
        </w:rPr>
        <w:t>n</w:t>
      </w:r>
      <w:r w:rsidRPr="00A14DE9">
        <w:t xml:space="preserve"> MCS-C-RNTI, and</w:t>
      </w:r>
      <w:r>
        <w:t xml:space="preserve"> if</w:t>
      </w:r>
      <w:r w:rsidRPr="00A14DE9">
        <w:t xml:space="preserve"> </w:t>
      </w:r>
    </w:p>
    <w:p w14:paraId="58DD9845" w14:textId="747798A2" w:rsidR="00D93568" w:rsidRDefault="00D93568" w:rsidP="001E45F5">
      <w:pPr>
        <w:pStyle w:val="B1"/>
      </w:pPr>
      <w:r>
        <w:t>-</w:t>
      </w:r>
      <w:r>
        <w:tab/>
      </w:r>
      <w:r>
        <w:rPr>
          <w:lang w:val="en-US"/>
        </w:rPr>
        <w:t xml:space="preserve">a </w:t>
      </w:r>
      <w:r w:rsidRPr="001D7003">
        <w:t>one-shot HARQ-ACK request</w:t>
      </w:r>
      <w:r>
        <w:rPr>
          <w:lang w:val="en-US"/>
        </w:rPr>
        <w:t xml:space="preserve"> field</w:t>
      </w:r>
      <w:r w:rsidRPr="001D7003">
        <w:t xml:space="preserve"> is</w:t>
      </w:r>
      <w:r>
        <w:rPr>
          <w:lang w:val="en-US"/>
        </w:rPr>
        <w:t xml:space="preserve"> </w:t>
      </w:r>
      <w:r w:rsidRPr="001D7003">
        <w:t xml:space="preserve">not present or </w:t>
      </w:r>
      <w:r>
        <w:rPr>
          <w:lang w:val="en-US"/>
        </w:rPr>
        <w:t>has a</w:t>
      </w:r>
      <w:r w:rsidRPr="001D7003">
        <w:t xml:space="preserve"> </w:t>
      </w:r>
      <w:r w:rsidR="006C1D66">
        <w:t>'</w:t>
      </w:r>
      <w:r w:rsidRPr="001D7003">
        <w:t>0</w:t>
      </w:r>
      <w:r w:rsidR="006C1D66">
        <w:t>'</w:t>
      </w:r>
      <w:r>
        <w:rPr>
          <w:lang w:val="en-US"/>
        </w:rPr>
        <w:t xml:space="preserve"> value</w:t>
      </w:r>
      <w:r w:rsidRPr="001E4CE2">
        <w:t>, and if</w:t>
      </w:r>
    </w:p>
    <w:p w14:paraId="6D7836BC" w14:textId="77777777" w:rsidR="001E45F5" w:rsidRPr="001E45F5" w:rsidRDefault="001E45F5" w:rsidP="001E45F5">
      <w:pPr>
        <w:pStyle w:val="B1"/>
        <w:rPr>
          <w:rFonts w:eastAsia="Times New Roman"/>
        </w:rPr>
      </w:pPr>
      <w:r w:rsidRPr="001E45F5">
        <w:rPr>
          <w:rFonts w:eastAsia="Times New Roman"/>
        </w:rPr>
        <w:lastRenderedPageBreak/>
        <w:t>-</w:t>
      </w:r>
      <w:r w:rsidRPr="001E45F5">
        <w:rPr>
          <w:rFonts w:eastAsia="Times New Roman"/>
        </w:rPr>
        <w:tab/>
        <w:t xml:space="preserve">for DCI format 1_3, </w:t>
      </w:r>
      <w:r w:rsidRPr="001E45F5">
        <w:rPr>
          <w:rFonts w:eastAsia="Times New Roman"/>
          <w:lang w:val="en-US"/>
        </w:rPr>
        <w:t xml:space="preserve">a </w:t>
      </w:r>
      <w:r w:rsidRPr="001E45F5">
        <w:rPr>
          <w:rFonts w:eastAsia="Malgun Gothic"/>
          <w:bCs/>
          <w:lang w:eastAsia="zh-CN"/>
        </w:rPr>
        <w:t xml:space="preserve">HARQ-ACK retransmission indicator </w:t>
      </w:r>
      <w:r w:rsidRPr="001E45F5">
        <w:rPr>
          <w:rFonts w:eastAsia="Times New Roman"/>
          <w:lang w:val="en-US"/>
        </w:rPr>
        <w:t>field</w:t>
      </w:r>
      <w:r w:rsidRPr="001E45F5">
        <w:rPr>
          <w:rFonts w:eastAsia="Times New Roman"/>
        </w:rPr>
        <w:t xml:space="preserve"> is</w:t>
      </w:r>
      <w:r w:rsidRPr="001E45F5">
        <w:rPr>
          <w:rFonts w:eastAsia="Times New Roman"/>
          <w:lang w:val="en-US"/>
        </w:rPr>
        <w:t xml:space="preserve"> </w:t>
      </w:r>
      <w:r w:rsidRPr="001E45F5">
        <w:rPr>
          <w:rFonts w:eastAsia="Times New Roman"/>
        </w:rPr>
        <w:t xml:space="preserve">not present or </w:t>
      </w:r>
      <w:r w:rsidRPr="001E45F5">
        <w:rPr>
          <w:rFonts w:eastAsia="Times New Roman"/>
          <w:lang w:val="en-US"/>
        </w:rPr>
        <w:t>has a</w:t>
      </w:r>
      <w:r w:rsidRPr="001E45F5">
        <w:rPr>
          <w:rFonts w:eastAsia="Times New Roman"/>
        </w:rPr>
        <w:t xml:space="preserve"> '0'</w:t>
      </w:r>
      <w:r w:rsidRPr="001E45F5">
        <w:rPr>
          <w:rFonts w:eastAsia="Times New Roman"/>
          <w:lang w:val="en-US"/>
        </w:rPr>
        <w:t xml:space="preserve"> value</w:t>
      </w:r>
      <w:r w:rsidRPr="001E45F5">
        <w:rPr>
          <w:rFonts w:eastAsia="Times New Roman"/>
        </w:rPr>
        <w:t>, and if</w:t>
      </w:r>
    </w:p>
    <w:p w14:paraId="37D8C22F" w14:textId="77777777" w:rsidR="001E45F5" w:rsidRPr="001E45F5" w:rsidRDefault="001E45F5" w:rsidP="001E45F5">
      <w:pPr>
        <w:pStyle w:val="B1"/>
        <w:rPr>
          <w:rFonts w:eastAsia="Times New Roman"/>
        </w:rPr>
      </w:pPr>
      <w:r w:rsidRPr="001E45F5">
        <w:rPr>
          <w:rFonts w:eastAsia="Times New Roman"/>
        </w:rPr>
        <w:t>-</w:t>
      </w:r>
      <w:r w:rsidRPr="001E45F5">
        <w:rPr>
          <w:rFonts w:eastAsia="Times New Roman"/>
        </w:rPr>
        <w:tab/>
        <w:t xml:space="preserve">the UE detects a DCI format 1_1 on the primary cell that does not include a carrier indicator field, or detects a DCI format 1_1 on the primary cell that includes a carrier indicator field with value equal to 0, or detects a DCI format 1_3 on the primary cell, </w:t>
      </w:r>
    </w:p>
    <w:p w14:paraId="119E679C" w14:textId="77777777" w:rsidR="001E45F5" w:rsidRPr="001E45F5" w:rsidRDefault="001E45F5" w:rsidP="001E45F5">
      <w:pPr>
        <w:pStyle w:val="B1"/>
        <w:rPr>
          <w:rFonts w:eastAsia="Times New Roman"/>
        </w:rPr>
      </w:pPr>
      <w:r w:rsidRPr="001E45F5">
        <w:rPr>
          <w:rFonts w:eastAsia="Times New Roman"/>
        </w:rPr>
        <w:t>and if</w:t>
      </w:r>
      <w:r w:rsidRPr="001E45F5">
        <w:rPr>
          <w:rFonts w:eastAsia="Times New Roman"/>
          <w:lang w:eastAsia="en-GB"/>
        </w:rPr>
        <w:t xml:space="preserve"> </w:t>
      </w:r>
    </w:p>
    <w:p w14:paraId="04F979AF" w14:textId="77777777" w:rsidR="001E45F5" w:rsidRPr="001E45F5" w:rsidRDefault="001E45F5" w:rsidP="001E45F5">
      <w:pPr>
        <w:pStyle w:val="B1"/>
        <w:rPr>
          <w:rFonts w:eastAsia="Times New Roman"/>
          <w:lang w:eastAsia="zh-CN"/>
        </w:rPr>
      </w:pPr>
      <w:r w:rsidRPr="001E45F5">
        <w:rPr>
          <w:rFonts w:eastAsia="Times New Roman"/>
        </w:rPr>
        <w:t>-</w:t>
      </w:r>
      <w:r w:rsidRPr="001E45F5">
        <w:rPr>
          <w:rFonts w:eastAsia="Times New Roman"/>
        </w:rPr>
        <w:tab/>
      </w:r>
      <w:r w:rsidRPr="001E45F5">
        <w:rPr>
          <w:rFonts w:eastAsia="Times New Roman"/>
          <w:i/>
          <w:szCs w:val="22"/>
          <w:lang w:eastAsia="ja-JP"/>
        </w:rPr>
        <w:t>resourceAllocation</w:t>
      </w:r>
      <w:r w:rsidRPr="001E45F5">
        <w:rPr>
          <w:rFonts w:eastAsia="Times New Roman"/>
        </w:rPr>
        <w:t xml:space="preserve"> = </w:t>
      </w:r>
      <w:r w:rsidRPr="001E45F5">
        <w:rPr>
          <w:rFonts w:eastAsia="Times New Roman"/>
          <w:i/>
        </w:rPr>
        <w:t>resourceAllocationType0</w:t>
      </w:r>
      <w:r w:rsidRPr="001E45F5">
        <w:rPr>
          <w:rFonts w:eastAsia="Times New Roman"/>
        </w:rPr>
        <w:t xml:space="preserve"> and all bits of the </w:t>
      </w:r>
      <w:r w:rsidRPr="001E45F5">
        <w:rPr>
          <w:rFonts w:eastAsia="Times New Roman" w:hint="eastAsia"/>
          <w:lang w:eastAsia="zh-CN"/>
        </w:rPr>
        <w:t>frequency domain resource assignment</w:t>
      </w:r>
      <w:r w:rsidRPr="001E45F5">
        <w:rPr>
          <w:rFonts w:eastAsia="Times New Roman"/>
          <w:lang w:eastAsia="zh-CN"/>
        </w:rPr>
        <w:t xml:space="preserve"> </w:t>
      </w:r>
      <w:r w:rsidRPr="001E45F5">
        <w:rPr>
          <w:rFonts w:eastAsia="Times New Roman" w:hint="eastAsia"/>
          <w:lang w:eastAsia="zh-CN"/>
        </w:rPr>
        <w:t xml:space="preserve">field in </w:t>
      </w:r>
      <w:r w:rsidRPr="001E45F5">
        <w:rPr>
          <w:rFonts w:eastAsia="Times New Roman"/>
          <w:lang w:eastAsia="zh-CN"/>
        </w:rPr>
        <w:t xml:space="preserve">DCI format 1_1, or for one or more blocks of the </w:t>
      </w:r>
      <w:r w:rsidRPr="001E45F5">
        <w:rPr>
          <w:rFonts w:eastAsia="Times New Roman" w:hint="eastAsia"/>
          <w:lang w:eastAsia="zh-CN"/>
        </w:rPr>
        <w:t>frequency domain resource assignment</w:t>
      </w:r>
      <w:r w:rsidRPr="001E45F5">
        <w:rPr>
          <w:rFonts w:eastAsia="Times New Roman"/>
          <w:lang w:eastAsia="zh-CN"/>
        </w:rPr>
        <w:t xml:space="preserve"> </w:t>
      </w:r>
      <w:r w:rsidRPr="001E45F5">
        <w:rPr>
          <w:rFonts w:eastAsia="Times New Roman" w:hint="eastAsia"/>
          <w:lang w:eastAsia="zh-CN"/>
        </w:rPr>
        <w:t xml:space="preserve">field </w:t>
      </w:r>
      <w:r w:rsidRPr="001E45F5">
        <w:rPr>
          <w:rFonts w:eastAsia="Times New Roman"/>
          <w:lang w:eastAsia="zh-CN"/>
        </w:rPr>
        <w:t>in DCI format 1_3, are equal to 0, or</w:t>
      </w:r>
    </w:p>
    <w:p w14:paraId="71BDCFEA" w14:textId="77777777" w:rsidR="001E45F5" w:rsidRPr="001E45F5" w:rsidRDefault="001E45F5" w:rsidP="001E45F5">
      <w:pPr>
        <w:pStyle w:val="B1"/>
        <w:rPr>
          <w:rFonts w:eastAsia="Times New Roman"/>
          <w:lang w:val="en-US" w:eastAsia="zh-CN"/>
        </w:rPr>
      </w:pPr>
      <w:r w:rsidRPr="001E45F5">
        <w:rPr>
          <w:rFonts w:eastAsia="Times New Roman"/>
        </w:rPr>
        <w:t>-</w:t>
      </w:r>
      <w:r w:rsidRPr="001E45F5">
        <w:rPr>
          <w:rFonts w:eastAsia="Times New Roman"/>
        </w:rPr>
        <w:tab/>
      </w:r>
      <w:r w:rsidRPr="001E45F5">
        <w:rPr>
          <w:rFonts w:eastAsia="Times New Roman"/>
          <w:i/>
          <w:szCs w:val="22"/>
          <w:lang w:eastAsia="ja-JP"/>
        </w:rPr>
        <w:t>resourceAllocation</w:t>
      </w:r>
      <w:r w:rsidRPr="001E45F5">
        <w:rPr>
          <w:rFonts w:eastAsia="Times New Roman"/>
        </w:rPr>
        <w:t xml:space="preserve"> = </w:t>
      </w:r>
      <w:r w:rsidRPr="001E45F5">
        <w:rPr>
          <w:rFonts w:eastAsia="Times New Roman"/>
          <w:i/>
        </w:rPr>
        <w:t>resourceAllocationType1</w:t>
      </w:r>
      <w:r w:rsidRPr="001E45F5">
        <w:rPr>
          <w:rFonts w:eastAsia="Times New Roman"/>
        </w:rPr>
        <w:t xml:space="preserve"> and all bits of the </w:t>
      </w:r>
      <w:r w:rsidRPr="001E45F5">
        <w:rPr>
          <w:rFonts w:eastAsia="Times New Roman" w:hint="eastAsia"/>
          <w:lang w:eastAsia="zh-CN"/>
        </w:rPr>
        <w:t>frequency domain resource assignment</w:t>
      </w:r>
      <w:r w:rsidRPr="001E45F5">
        <w:rPr>
          <w:rFonts w:eastAsia="Times New Roman"/>
          <w:lang w:eastAsia="zh-CN"/>
        </w:rPr>
        <w:t xml:space="preserve"> </w:t>
      </w:r>
      <w:r w:rsidRPr="001E45F5">
        <w:rPr>
          <w:rFonts w:eastAsia="Times New Roman" w:hint="eastAsia"/>
          <w:lang w:eastAsia="zh-CN"/>
        </w:rPr>
        <w:t xml:space="preserve">field in </w:t>
      </w:r>
      <w:r w:rsidRPr="001E45F5">
        <w:rPr>
          <w:rFonts w:eastAsia="Times New Roman"/>
          <w:lang w:eastAsia="zh-CN"/>
        </w:rPr>
        <w:t xml:space="preserve">DCI format 1_1, or for one or more blocks of the </w:t>
      </w:r>
      <w:r w:rsidRPr="001E45F5">
        <w:rPr>
          <w:rFonts w:eastAsia="Times New Roman" w:hint="eastAsia"/>
          <w:lang w:eastAsia="zh-CN"/>
        </w:rPr>
        <w:t>frequency domain resource assignment</w:t>
      </w:r>
      <w:r w:rsidRPr="001E45F5">
        <w:rPr>
          <w:rFonts w:eastAsia="Times New Roman"/>
          <w:lang w:eastAsia="zh-CN"/>
        </w:rPr>
        <w:t xml:space="preserve"> </w:t>
      </w:r>
      <w:r w:rsidRPr="001E45F5">
        <w:rPr>
          <w:rFonts w:eastAsia="Times New Roman" w:hint="eastAsia"/>
          <w:lang w:eastAsia="zh-CN"/>
        </w:rPr>
        <w:t xml:space="preserve">field </w:t>
      </w:r>
      <w:r w:rsidRPr="001E45F5">
        <w:rPr>
          <w:rFonts w:eastAsia="Times New Roman"/>
          <w:lang w:eastAsia="zh-CN"/>
        </w:rPr>
        <w:t>in DCI format 1_3, are equal to 1</w:t>
      </w:r>
      <w:r w:rsidRPr="001E45F5">
        <w:rPr>
          <w:rFonts w:eastAsia="Times New Roman"/>
          <w:lang w:val="en-US" w:eastAsia="zh-CN"/>
        </w:rPr>
        <w:t>, or</w:t>
      </w:r>
    </w:p>
    <w:p w14:paraId="19DE3DB2" w14:textId="77777777" w:rsidR="001E45F5" w:rsidRPr="001E45F5" w:rsidRDefault="001E45F5" w:rsidP="001E45F5">
      <w:pPr>
        <w:pStyle w:val="B1"/>
        <w:rPr>
          <w:rFonts w:eastAsia="Times New Roman"/>
          <w:lang w:eastAsia="zh-CN"/>
        </w:rPr>
      </w:pPr>
      <w:r w:rsidRPr="001E45F5">
        <w:rPr>
          <w:rFonts w:eastAsia="Times New Roman"/>
        </w:rPr>
        <w:t>-</w:t>
      </w:r>
      <w:r w:rsidRPr="001E45F5">
        <w:rPr>
          <w:rFonts w:eastAsia="Times New Roman"/>
        </w:rPr>
        <w:tab/>
      </w:r>
      <w:r w:rsidRPr="001E45F5">
        <w:rPr>
          <w:rFonts w:eastAsia="Times New Roman"/>
          <w:i/>
          <w:iCs/>
          <w:lang w:eastAsia="zh-CN"/>
        </w:rPr>
        <w:t>resourceAllocation = dynamicSwitch</w:t>
      </w:r>
      <w:r w:rsidRPr="001E45F5">
        <w:rPr>
          <w:rFonts w:eastAsia="Times New Roman"/>
          <w:lang w:eastAsia="zh-CN"/>
        </w:rPr>
        <w:t xml:space="preserve"> and all bits of the frequency domain resource assignment field in DCI format 1_1, or for one or more blocks of the </w:t>
      </w:r>
      <w:r w:rsidRPr="001E45F5">
        <w:rPr>
          <w:rFonts w:eastAsia="Times New Roman" w:hint="eastAsia"/>
          <w:lang w:eastAsia="zh-CN"/>
        </w:rPr>
        <w:t>frequency domain resource assignment</w:t>
      </w:r>
      <w:r w:rsidRPr="001E45F5">
        <w:rPr>
          <w:rFonts w:eastAsia="Times New Roman"/>
          <w:lang w:eastAsia="zh-CN"/>
        </w:rPr>
        <w:t xml:space="preserve"> </w:t>
      </w:r>
      <w:r w:rsidRPr="001E45F5">
        <w:rPr>
          <w:rFonts w:eastAsia="Times New Roman" w:hint="eastAsia"/>
          <w:lang w:eastAsia="zh-CN"/>
        </w:rPr>
        <w:t xml:space="preserve">field </w:t>
      </w:r>
      <w:r w:rsidRPr="001E45F5">
        <w:rPr>
          <w:rFonts w:eastAsia="Times New Roman"/>
          <w:lang w:eastAsia="zh-CN"/>
        </w:rPr>
        <w:t>in DCI format 1_3, are equal to 0 or 1</w:t>
      </w:r>
    </w:p>
    <w:p w14:paraId="7DF18889" w14:textId="77777777" w:rsidR="001E45F5" w:rsidRPr="001E45F5" w:rsidRDefault="001E45F5" w:rsidP="001E45F5">
      <w:pPr>
        <w:tabs>
          <w:tab w:val="left" w:pos="7200"/>
        </w:tabs>
        <w:rPr>
          <w:rFonts w:eastAsia="Times New Roman"/>
        </w:rPr>
      </w:pPr>
      <w:r w:rsidRPr="001E45F5">
        <w:rPr>
          <w:rFonts w:eastAsia="Times New Roman"/>
        </w:rPr>
        <w:t xml:space="preserve">the UE considers the DCI format 1_1 or the DCI format 1_3 as indicating SCell dormancy, not scheduling a PDSCH reception on a serving cell, where for DCI format 1_3 the serving cell is the one with the smallest index that is associated with a block from the one or more blocks of the </w:t>
      </w:r>
      <w:r w:rsidRPr="001E45F5">
        <w:rPr>
          <w:rFonts w:eastAsia="Times New Roman"/>
          <w:lang w:eastAsia="zh-CN"/>
        </w:rPr>
        <w:t>frequency domain resource assignment field</w:t>
      </w:r>
      <w:r w:rsidRPr="001E45F5">
        <w:rPr>
          <w:rFonts w:eastAsia="Times New Roman"/>
        </w:rPr>
        <w:t>, and for transport block 1 interprets the sequence of fields of</w:t>
      </w:r>
    </w:p>
    <w:p w14:paraId="1A88ACAD" w14:textId="31A5CD38" w:rsidR="0000023C" w:rsidRPr="002625EB" w:rsidRDefault="0000023C" w:rsidP="0000023C">
      <w:pPr>
        <w:pStyle w:val="B1"/>
        <w:rPr>
          <w:lang w:eastAsia="zh-CN"/>
        </w:rPr>
      </w:pPr>
      <w:r>
        <w:t>-</w:t>
      </w:r>
      <w:r>
        <w:tab/>
      </w:r>
      <w:r w:rsidR="00393CCA">
        <w:rPr>
          <w:lang w:val="en-US"/>
        </w:rPr>
        <w:t>m</w:t>
      </w:r>
      <w:r>
        <w:t>odulation and coding scheme</w:t>
      </w:r>
    </w:p>
    <w:p w14:paraId="085516A2" w14:textId="6DAEECF4" w:rsidR="0000023C" w:rsidRPr="002625EB" w:rsidRDefault="0000023C" w:rsidP="0000023C">
      <w:pPr>
        <w:pStyle w:val="B1"/>
        <w:rPr>
          <w:lang w:eastAsia="zh-CN"/>
        </w:rPr>
      </w:pPr>
      <w:r>
        <w:t>-</w:t>
      </w:r>
      <w:r>
        <w:tab/>
      </w:r>
      <w:r w:rsidR="00393CCA">
        <w:rPr>
          <w:lang w:val="en-US"/>
        </w:rPr>
        <w:t>n</w:t>
      </w:r>
      <w:r>
        <w:t>ew data indicator</w:t>
      </w:r>
    </w:p>
    <w:p w14:paraId="4351F7A7" w14:textId="167F1572" w:rsidR="0000023C" w:rsidRDefault="0000023C" w:rsidP="0000023C">
      <w:pPr>
        <w:pStyle w:val="B1"/>
      </w:pPr>
      <w:r>
        <w:t>-</w:t>
      </w:r>
      <w:r>
        <w:tab/>
      </w:r>
      <w:r w:rsidR="00393CCA">
        <w:rPr>
          <w:lang w:val="en-US"/>
        </w:rPr>
        <w:t>r</w:t>
      </w:r>
      <w:r>
        <w:t>edundancy version</w:t>
      </w:r>
    </w:p>
    <w:p w14:paraId="3A96A15A" w14:textId="77777777" w:rsidR="0000023C" w:rsidRDefault="0000023C" w:rsidP="0000023C">
      <w:r>
        <w:t>and of</w:t>
      </w:r>
    </w:p>
    <w:p w14:paraId="3FB8D1D0" w14:textId="55F98247" w:rsidR="0000023C" w:rsidRPr="001E45F5" w:rsidRDefault="0000023C" w:rsidP="0000023C">
      <w:pPr>
        <w:pStyle w:val="B1"/>
        <w:rPr>
          <w:lang w:val="en-GB" w:eastAsia="zh-CN"/>
        </w:rPr>
      </w:pPr>
      <w:r>
        <w:t>-</w:t>
      </w:r>
      <w:r>
        <w:tab/>
      </w:r>
      <w:r w:rsidRPr="002625EB">
        <w:t>HARQ process number</w:t>
      </w:r>
      <w:r w:rsidR="001E45F5">
        <w:rPr>
          <w:lang w:val="en-GB"/>
        </w:rPr>
        <w:t xml:space="preserve"> </w:t>
      </w:r>
    </w:p>
    <w:p w14:paraId="3055E36B" w14:textId="0C852897" w:rsidR="0000023C" w:rsidRPr="001E45F5" w:rsidRDefault="0000023C" w:rsidP="0000023C">
      <w:pPr>
        <w:pStyle w:val="B1"/>
        <w:rPr>
          <w:lang w:val="en-GB" w:eastAsia="zh-CN"/>
        </w:rPr>
      </w:pPr>
      <w:r>
        <w:t>-</w:t>
      </w:r>
      <w:r>
        <w:tab/>
      </w:r>
      <w:r w:rsidR="00393CCA">
        <w:rPr>
          <w:lang w:val="en-US"/>
        </w:rPr>
        <w:t>a</w:t>
      </w:r>
      <w:r w:rsidRPr="002625EB">
        <w:t>ntenna port(s)</w:t>
      </w:r>
      <w:r w:rsidR="001E45F5">
        <w:rPr>
          <w:lang w:val="en-GB"/>
        </w:rPr>
        <w:t xml:space="preserve"> </w:t>
      </w:r>
      <w:r w:rsidR="001E45F5">
        <w:t>for DCI format 1_1, or for DCI format 1_3 if</w:t>
      </w:r>
      <w:r w:rsidR="001E45F5" w:rsidRPr="00CF5B83">
        <w:rPr>
          <w:rFonts w:eastAsia="Malgun Gothic"/>
          <w:bCs/>
          <w:lang w:eastAsia="zh-CN"/>
        </w:rPr>
        <w:t xml:space="preserve"> </w:t>
      </w:r>
      <w:r w:rsidR="001E45F5" w:rsidRPr="00CF5B83">
        <w:rPr>
          <w:rFonts w:eastAsia="Malgun Gothic"/>
          <w:bCs/>
          <w:i/>
          <w:iCs/>
          <w:lang w:eastAsia="zh-CN"/>
        </w:rPr>
        <w:t>AntennaPortsDCI</w:t>
      </w:r>
      <w:r w:rsidR="001E45F5" w:rsidRPr="00CF5B83">
        <w:rPr>
          <w:rFonts w:eastAsia="Malgun Gothic"/>
          <w:bCs/>
          <w:i/>
          <w:iCs/>
          <w:color w:val="FF0000"/>
          <w:lang w:eastAsia="zh-CN"/>
        </w:rPr>
        <w:t>1</w:t>
      </w:r>
      <w:r w:rsidR="001E45F5" w:rsidRPr="00CF5B83">
        <w:rPr>
          <w:rFonts w:eastAsia="Malgun Gothic"/>
          <w:bCs/>
          <w:i/>
          <w:iCs/>
          <w:lang w:eastAsia="zh-CN"/>
        </w:rPr>
        <w:t>-3</w:t>
      </w:r>
      <w:r w:rsidR="001E45F5" w:rsidRPr="00CF5B83">
        <w:rPr>
          <w:rFonts w:eastAsia="Malgun Gothic"/>
          <w:bCs/>
          <w:lang w:eastAsia="zh-CN"/>
        </w:rPr>
        <w:t xml:space="preserve"> is configured as </w:t>
      </w:r>
      <w:r w:rsidR="002D5F43">
        <w:rPr>
          <w:rFonts w:eastAsia="Malgun Gothic"/>
          <w:bCs/>
          <w:lang w:eastAsia="zh-CN"/>
        </w:rPr>
        <w:t>'</w:t>
      </w:r>
      <w:r w:rsidR="001E45F5" w:rsidRPr="00CF5B83">
        <w:rPr>
          <w:rFonts w:eastAsia="Malgun Gothic"/>
          <w:bCs/>
          <w:i/>
          <w:iCs/>
          <w:lang w:eastAsia="zh-CN"/>
        </w:rPr>
        <w:t>type2</w:t>
      </w:r>
      <w:r w:rsidR="002D5F43">
        <w:rPr>
          <w:rFonts w:eastAsia="Malgun Gothic"/>
          <w:bCs/>
          <w:lang w:eastAsia="zh-CN"/>
        </w:rPr>
        <w:t>'</w:t>
      </w:r>
    </w:p>
    <w:p w14:paraId="6A0244F4" w14:textId="331DC9D2" w:rsidR="0000023C" w:rsidRPr="001E45F5" w:rsidRDefault="0000023C" w:rsidP="0000023C">
      <w:pPr>
        <w:pStyle w:val="B1"/>
        <w:rPr>
          <w:lang w:val="en-GB"/>
        </w:rPr>
      </w:pPr>
      <w:r>
        <w:rPr>
          <w:lang w:eastAsia="zh-CN"/>
        </w:rPr>
        <w:t>-</w:t>
      </w:r>
      <w:r>
        <w:rPr>
          <w:lang w:eastAsia="zh-CN"/>
        </w:rPr>
        <w:tab/>
      </w:r>
      <w:r w:rsidRPr="002625EB">
        <w:rPr>
          <w:rFonts w:hint="eastAsia"/>
          <w:lang w:eastAsia="zh-CN"/>
        </w:rPr>
        <w:t>DMRS sequence initialization</w:t>
      </w:r>
      <w:r w:rsidR="001E45F5">
        <w:rPr>
          <w:lang w:val="en-GB" w:eastAsia="zh-CN"/>
        </w:rPr>
        <w:t xml:space="preserve"> </w:t>
      </w:r>
      <w:r w:rsidR="001E45F5">
        <w:rPr>
          <w:lang w:eastAsia="zh-CN"/>
        </w:rPr>
        <w:t>for DCI format 1_1</w:t>
      </w:r>
    </w:p>
    <w:p w14:paraId="4EFC1970" w14:textId="77777777" w:rsidR="00F1635D" w:rsidRDefault="0000023C" w:rsidP="00797D09">
      <w:r>
        <w:t>as providing a bitmap to each configured SCell, in an ascending order of the SCell index, where</w:t>
      </w:r>
    </w:p>
    <w:p w14:paraId="741C309C" w14:textId="2C33792F" w:rsidR="0000023C" w:rsidRDefault="0000023C" w:rsidP="0000023C">
      <w:pPr>
        <w:pStyle w:val="B1"/>
      </w:pPr>
      <w:r>
        <w:t>-</w:t>
      </w:r>
      <w:r>
        <w:tab/>
        <w:t xml:space="preserve">a </w:t>
      </w:r>
      <w:r>
        <w:rPr>
          <w:lang w:val="en-US"/>
        </w:rPr>
        <w:t>'</w:t>
      </w:r>
      <w:r>
        <w:t>0</w:t>
      </w:r>
      <w:r>
        <w:rPr>
          <w:lang w:val="en-US"/>
        </w:rPr>
        <w:t>'</w:t>
      </w:r>
      <w:r>
        <w:t xml:space="preserve"> value for a bit of the bitmap indicates an active DL BWP, provided by </w:t>
      </w:r>
      <w:r w:rsidR="00D52D67">
        <w:rPr>
          <w:i/>
        </w:rPr>
        <w:t>dormantBWP-Id</w:t>
      </w:r>
      <w:r>
        <w:t xml:space="preserve">, for the UE for a corresponding activated SCell </w:t>
      </w:r>
    </w:p>
    <w:p w14:paraId="15711C95" w14:textId="77777777" w:rsidR="00F1635D" w:rsidRDefault="0000023C" w:rsidP="0000023C">
      <w:pPr>
        <w:pStyle w:val="B1"/>
      </w:pPr>
      <w:r>
        <w:t>-</w:t>
      </w:r>
      <w:r>
        <w:tab/>
        <w:t xml:space="preserve">a </w:t>
      </w:r>
      <w:r>
        <w:rPr>
          <w:lang w:val="en-US"/>
        </w:rPr>
        <w:t>'</w:t>
      </w:r>
      <w:r>
        <w:t>1</w:t>
      </w:r>
      <w:r>
        <w:rPr>
          <w:lang w:val="en-US"/>
        </w:rPr>
        <w:t>'</w:t>
      </w:r>
      <w:r>
        <w:t xml:space="preserve"> value for a bit of the bitmap i</w:t>
      </w:r>
      <w:r w:rsidRPr="0017291D">
        <w:t xml:space="preserve">ndicates </w:t>
      </w:r>
    </w:p>
    <w:p w14:paraId="18D88ECE" w14:textId="52FA31D4" w:rsidR="00F1635D" w:rsidRDefault="00F1635D" w:rsidP="00DA4DCE">
      <w:pPr>
        <w:pStyle w:val="B2"/>
        <w:rPr>
          <w:lang w:val="en-US"/>
        </w:rPr>
      </w:pPr>
      <w:r>
        <w:rPr>
          <w:lang w:val="en-US"/>
        </w:rPr>
        <w:t>-</w:t>
      </w:r>
      <w:r>
        <w:rPr>
          <w:lang w:val="en-US"/>
        </w:rPr>
        <w:tab/>
      </w:r>
      <w:r w:rsidR="0000023C" w:rsidRPr="0017291D">
        <w:t>a</w:t>
      </w:r>
      <w:r w:rsidR="0000023C">
        <w:t>n active</w:t>
      </w:r>
      <w:r w:rsidR="0000023C" w:rsidRPr="0017291D">
        <w:t xml:space="preserve"> DL BWP, provided by </w:t>
      </w:r>
      <w:r w:rsidR="00D52D67">
        <w:rPr>
          <w:i/>
          <w:iCs/>
        </w:rPr>
        <w:t>firstWithinActiveTimeBWP-Id</w:t>
      </w:r>
      <w:r w:rsidR="0000023C" w:rsidRPr="0017291D">
        <w:rPr>
          <w:iCs/>
        </w:rPr>
        <w:t>,</w:t>
      </w:r>
      <w:r w:rsidR="0000023C" w:rsidRPr="0017291D">
        <w:t xml:space="preserve"> for</w:t>
      </w:r>
      <w:r w:rsidR="0000023C" w:rsidDel="00CA3F18">
        <w:t xml:space="preserve"> </w:t>
      </w:r>
      <w:r w:rsidR="0000023C">
        <w:t>the UE for a corresponding activated SCell</w:t>
      </w:r>
      <w:r>
        <w:rPr>
          <w:lang w:val="en-US"/>
        </w:rPr>
        <w:t>, if a current active DL BWP is the dormant DL BWP</w:t>
      </w:r>
    </w:p>
    <w:p w14:paraId="46EB349A" w14:textId="77777777" w:rsidR="00F1635D" w:rsidRDefault="00F1635D" w:rsidP="00DA4DCE">
      <w:pPr>
        <w:pStyle w:val="B2"/>
        <w:rPr>
          <w:lang w:val="en-US"/>
        </w:rPr>
      </w:pPr>
      <w:r>
        <w:t>-</w:t>
      </w:r>
      <w:r>
        <w:tab/>
        <w:t>a</w:t>
      </w:r>
      <w:r>
        <w:rPr>
          <w:lang w:val="en-US"/>
        </w:rPr>
        <w:t xml:space="preserve"> current</w:t>
      </w:r>
      <w:r>
        <w:t xml:space="preserve"> active DL BWP</w:t>
      </w:r>
      <w:r w:rsidRPr="0017291D">
        <w:rPr>
          <w:iCs/>
        </w:rPr>
        <w:t>,</w:t>
      </w:r>
      <w:r w:rsidRPr="0017291D">
        <w:t xml:space="preserve"> for the UE for </w:t>
      </w:r>
      <w:r>
        <w:rPr>
          <w:lang w:val="en-US"/>
        </w:rPr>
        <w:t>a corresponding</w:t>
      </w:r>
      <w:r>
        <w:t xml:space="preserve"> activated SCell</w:t>
      </w:r>
      <w:r>
        <w:rPr>
          <w:lang w:val="en-US"/>
        </w:rPr>
        <w:t>, if the current active DL BWP is not the dormant DL BWP</w:t>
      </w:r>
    </w:p>
    <w:p w14:paraId="7881C70E" w14:textId="20755861" w:rsidR="0000023C" w:rsidRDefault="00F1635D" w:rsidP="0000023C">
      <w:pPr>
        <w:pStyle w:val="B1"/>
      </w:pPr>
      <w:r>
        <w:t>-</w:t>
      </w:r>
      <w:r>
        <w:tab/>
      </w:r>
      <w:r>
        <w:rPr>
          <w:lang w:val="en-US"/>
        </w:rPr>
        <w:t>the UE sets the active DL BWP to the indicated active DL BWP</w:t>
      </w:r>
    </w:p>
    <w:p w14:paraId="25BE63FE" w14:textId="52DB37CC" w:rsidR="0000023C" w:rsidRDefault="0000023C" w:rsidP="00DA4DCE">
      <w:r w:rsidRPr="000922D8">
        <w:t xml:space="preserve">If </w:t>
      </w:r>
      <w:r>
        <w:t>an active DL</w:t>
      </w:r>
      <w:r w:rsidRPr="000922D8">
        <w:t xml:space="preserve"> BWP</w:t>
      </w:r>
      <w:r>
        <w:t xml:space="preserve"> provided by </w:t>
      </w:r>
      <w:r w:rsidR="00D52D67">
        <w:rPr>
          <w:i/>
        </w:rPr>
        <w:t>dormantBWP-Id</w:t>
      </w:r>
      <w:r>
        <w:rPr>
          <w:i/>
        </w:rPr>
        <w:t xml:space="preserve"> </w:t>
      </w:r>
      <w:r>
        <w:t xml:space="preserve">for a UE on an activated SCell is not a </w:t>
      </w:r>
      <w:r w:rsidRPr="000922D8">
        <w:t xml:space="preserve">default </w:t>
      </w:r>
      <w:r>
        <w:t xml:space="preserve">DL </w:t>
      </w:r>
      <w:r w:rsidRPr="000922D8">
        <w:t>BWP</w:t>
      </w:r>
      <w:r>
        <w:t xml:space="preserve"> for the UE on the activated SCell, as described </w:t>
      </w:r>
      <w:r w:rsidR="006F5F9E">
        <w:t>in clause</w:t>
      </w:r>
      <w:r>
        <w:t xml:space="preserve"> 12</w:t>
      </w:r>
      <w:r w:rsidRPr="000922D8">
        <w:t xml:space="preserve">, </w:t>
      </w:r>
      <w:r>
        <w:t xml:space="preserve">the </w:t>
      </w:r>
      <w:r w:rsidRPr="000922D8">
        <w:t xml:space="preserve">BWP inactivity timer is not used for transitioning from </w:t>
      </w:r>
      <w:r>
        <w:t>the active DL</w:t>
      </w:r>
      <w:r w:rsidRPr="000922D8">
        <w:t xml:space="preserve"> BWP</w:t>
      </w:r>
      <w:r>
        <w:t xml:space="preserve"> provided by </w:t>
      </w:r>
      <w:r w:rsidR="00D52D67">
        <w:rPr>
          <w:i/>
        </w:rPr>
        <w:t>dormantBWP-Id</w:t>
      </w:r>
      <w:r w:rsidRPr="000922D8">
        <w:t xml:space="preserve"> to </w:t>
      </w:r>
      <w:r>
        <w:t>the default DL</w:t>
      </w:r>
      <w:r w:rsidRPr="000922D8">
        <w:t xml:space="preserve"> BWP</w:t>
      </w:r>
      <w:r>
        <w:t xml:space="preserve"> on the activated SCell.</w:t>
      </w:r>
    </w:p>
    <w:p w14:paraId="2615B801" w14:textId="67D52665" w:rsidR="00F1635D" w:rsidRPr="00DA4DCE" w:rsidRDefault="00F1635D" w:rsidP="00DA4DCE">
      <w:pPr>
        <w:rPr>
          <w:lang w:val="en-US" w:eastAsia="fi-FI"/>
        </w:rPr>
      </w:pPr>
      <w:r w:rsidRPr="00562A7D">
        <w:rPr>
          <w:lang w:val="en-US" w:eastAsia="zh-CN"/>
        </w:rPr>
        <w:t xml:space="preserve">A UE is expected to provide HARQ-ACK information in response to a </w:t>
      </w:r>
      <w:r>
        <w:rPr>
          <w:lang w:val="en-US" w:eastAsia="zh-CN"/>
        </w:rPr>
        <w:t xml:space="preserve">detection of a </w:t>
      </w:r>
      <w:r w:rsidRPr="00562A7D">
        <w:rPr>
          <w:lang w:val="x-none" w:eastAsia="zh-CN"/>
        </w:rPr>
        <w:t>DCI format</w:t>
      </w:r>
      <w:r w:rsidRPr="00562A7D">
        <w:rPr>
          <w:lang w:val="en-US" w:eastAsia="zh-CN"/>
        </w:rPr>
        <w:t xml:space="preserve"> 1</w:t>
      </w:r>
      <w:r>
        <w:rPr>
          <w:lang w:val="en-US" w:eastAsia="zh-CN"/>
        </w:rPr>
        <w:t>_</w:t>
      </w:r>
      <w:r w:rsidRPr="00562A7D">
        <w:rPr>
          <w:lang w:val="en-US" w:eastAsia="zh-CN"/>
        </w:rPr>
        <w:t>1</w:t>
      </w:r>
      <w:r w:rsidR="001E45F5">
        <w:rPr>
          <w:lang w:val="en-US" w:eastAsia="zh-CN"/>
        </w:rPr>
        <w:t>/1_3</w:t>
      </w:r>
      <w:r w:rsidRPr="00562A7D">
        <w:rPr>
          <w:lang w:val="x-none" w:eastAsia="zh-CN"/>
        </w:rPr>
        <w:t xml:space="preserve"> indicating </w:t>
      </w:r>
      <w:r w:rsidRPr="00562A7D">
        <w:rPr>
          <w:lang w:val="en-US"/>
        </w:rPr>
        <w:t>SCell d</w:t>
      </w:r>
      <w:r>
        <w:rPr>
          <w:lang w:val="en-US"/>
        </w:rPr>
        <w:t>ormancy</w:t>
      </w:r>
      <w:r w:rsidRPr="00562A7D">
        <w:t xml:space="preserve"> </w:t>
      </w:r>
      <w:r w:rsidRPr="00562A7D">
        <w:rPr>
          <w:lang w:val="en-US" w:eastAsia="zh-CN"/>
        </w:rPr>
        <w:t xml:space="preserve">after </w:t>
      </w:r>
      <m:oMath>
        <m:r>
          <w:rPr>
            <w:rFonts w:ascii="Cambria Math" w:hAnsi="Cambria Math"/>
            <w:lang w:val="en-US" w:eastAsia="zh-CN"/>
          </w:rPr>
          <m:t>N</m:t>
        </m:r>
      </m:oMath>
      <w:r>
        <w:rPr>
          <w:lang w:val="en-US"/>
        </w:rPr>
        <w:t> symbols from the</w:t>
      </w:r>
      <w:r w:rsidRPr="00562A7D">
        <w:rPr>
          <w:lang w:val="en-US"/>
        </w:rPr>
        <w:t xml:space="preserve"> last symbol of a PDCCH providing the </w:t>
      </w:r>
      <w:r>
        <w:rPr>
          <w:lang w:val="en-US"/>
        </w:rPr>
        <w:t>DCI format 1_1</w:t>
      </w:r>
      <w:r w:rsidR="001E45F5">
        <w:rPr>
          <w:lang w:val="en-US" w:eastAsia="zh-CN"/>
        </w:rPr>
        <w:t>/1_3</w:t>
      </w:r>
      <w:r w:rsidRPr="00562A7D">
        <w:rPr>
          <w:lang w:val="en-US"/>
        </w:rPr>
        <w:t xml:space="preserve">. </w:t>
      </w:r>
      <w:r w:rsidRPr="00562A7D">
        <w:rPr>
          <w:lang w:val="en-US" w:eastAsia="zh-CN"/>
        </w:rPr>
        <w:t>I</w:t>
      </w:r>
      <w:r w:rsidRPr="00562A7D">
        <w:rPr>
          <w:lang w:val="en-US"/>
        </w:rPr>
        <w:t>f</w:t>
      </w:r>
      <w:r w:rsidRPr="00562A7D">
        <w:rPr>
          <w:lang w:val="en-US" w:eastAsia="ko-KR"/>
        </w:rPr>
        <w:t xml:space="preserve"> </w:t>
      </w:r>
      <w:r w:rsidRPr="00562A7D">
        <w:rPr>
          <w:i/>
          <w:lang w:val="en-US" w:eastAsia="ko-KR"/>
        </w:rPr>
        <w:t>processingType2Enabled</w:t>
      </w:r>
      <w:r w:rsidRPr="00562A7D">
        <w:rPr>
          <w:lang w:val="en-US" w:eastAsia="ko-KR"/>
        </w:rPr>
        <w:t xml:space="preserve"> of </w:t>
      </w:r>
      <w:r w:rsidRPr="00562A7D">
        <w:rPr>
          <w:i/>
          <w:lang w:val="en-US" w:eastAsia="ko-KR"/>
        </w:rPr>
        <w:t>PDSCH-ServingCellConfig</w:t>
      </w:r>
      <w:r w:rsidRPr="00562A7D">
        <w:rPr>
          <w:lang w:val="en-US" w:eastAsia="ko-KR"/>
        </w:rPr>
        <w:t xml:space="preserve"> is set to </w:t>
      </w:r>
      <w:r w:rsidRPr="00562A7D">
        <w:rPr>
          <w:i/>
          <w:lang w:val="en-US" w:eastAsia="ko-KR"/>
        </w:rPr>
        <w:t xml:space="preserve">enable </w:t>
      </w:r>
      <w:r w:rsidRPr="00562A7D">
        <w:rPr>
          <w:lang w:val="en-US" w:eastAsia="ko-KR"/>
        </w:rPr>
        <w:t xml:space="preserve">for the serving cell with the </w:t>
      </w:r>
      <w:r w:rsidRPr="00562A7D">
        <w:rPr>
          <w:lang w:val="en-US"/>
        </w:rPr>
        <w:t xml:space="preserve">PDCCH providing the </w:t>
      </w:r>
      <w:r w:rsidRPr="00562A7D">
        <w:rPr>
          <w:lang w:val="x-none" w:eastAsia="zh-CN"/>
        </w:rPr>
        <w:t>DCI format</w:t>
      </w:r>
      <w:r>
        <w:rPr>
          <w:lang w:val="en-US" w:eastAsia="zh-CN"/>
        </w:rPr>
        <w:t xml:space="preserve"> 1_</w:t>
      </w:r>
      <w:r w:rsidRPr="00562A7D">
        <w:rPr>
          <w:lang w:val="en-US" w:eastAsia="zh-CN"/>
        </w:rPr>
        <w:t>1</w:t>
      </w:r>
      <w:r w:rsidR="001E45F5">
        <w:rPr>
          <w:lang w:val="en-US" w:eastAsia="zh-CN"/>
        </w:rPr>
        <w:t>/1_3</w:t>
      </w:r>
      <w:r>
        <w:rPr>
          <w:lang w:val="en-US"/>
        </w:rPr>
        <w:t xml:space="preserve">, </w:t>
      </w:r>
      <m:oMath>
        <m:r>
          <w:rPr>
            <w:rFonts w:ascii="Cambria Math" w:hAnsi="Cambria Math"/>
            <w:lang w:val="en-US" w:eastAsia="zh-CN"/>
          </w:rPr>
          <m:t>N=7</m:t>
        </m:r>
      </m:oMath>
      <w:r w:rsidRPr="00562A7D">
        <w:rPr>
          <w:lang w:val="en-US"/>
        </w:rPr>
        <w:t xml:space="preserve"> for </w:t>
      </w:r>
      <m:oMath>
        <m:r>
          <w:rPr>
            <w:rFonts w:ascii="Cambria Math" w:hAnsi="Cambria Math"/>
            <w:lang w:val="en-US" w:eastAsia="zh-CN"/>
          </w:rPr>
          <m:t>μ=0</m:t>
        </m:r>
      </m:oMath>
      <w:r w:rsidRPr="00562A7D">
        <w:rPr>
          <w:lang w:val="en-US"/>
        </w:rPr>
        <w:t xml:space="preserve">, </w:t>
      </w:r>
      <m:oMath>
        <m:r>
          <w:rPr>
            <w:rFonts w:ascii="Cambria Math" w:hAnsi="Cambria Math"/>
            <w:lang w:val="en-US" w:eastAsia="zh-CN"/>
          </w:rPr>
          <m:t>N=7.5</m:t>
        </m:r>
      </m:oMath>
      <w:r>
        <w:rPr>
          <w:lang w:val="en-US"/>
        </w:rPr>
        <w:t xml:space="preserve"> </w:t>
      </w:r>
      <w:r w:rsidRPr="00562A7D">
        <w:rPr>
          <w:lang w:val="en-US"/>
        </w:rPr>
        <w:t xml:space="preserve">for </w:t>
      </w:r>
      <m:oMath>
        <m:r>
          <w:rPr>
            <w:rFonts w:ascii="Cambria Math" w:hAnsi="Cambria Math"/>
            <w:lang w:val="en-US" w:eastAsia="zh-CN"/>
          </w:rPr>
          <m:t>μ=1</m:t>
        </m:r>
      </m:oMath>
      <w:r>
        <w:rPr>
          <w:lang w:val="en-US"/>
        </w:rPr>
        <w:t xml:space="preserve">, and </w:t>
      </w:r>
      <m:oMath>
        <m:r>
          <w:rPr>
            <w:rFonts w:ascii="Cambria Math" w:hAnsi="Cambria Math"/>
            <w:lang w:val="en-US" w:eastAsia="zh-CN"/>
          </w:rPr>
          <m:t>N=15</m:t>
        </m:r>
      </m:oMath>
      <w:r>
        <w:rPr>
          <w:lang w:val="en-US" w:eastAsia="zh-CN"/>
        </w:rPr>
        <w:t xml:space="preserve"> </w:t>
      </w:r>
      <w:r w:rsidRPr="00562A7D">
        <w:rPr>
          <w:lang w:val="en-US"/>
        </w:rPr>
        <w:t xml:space="preserve">for </w:t>
      </w:r>
      <m:oMath>
        <m:r>
          <w:rPr>
            <w:rFonts w:ascii="Cambria Math" w:hAnsi="Cambria Math"/>
            <w:lang w:val="en-US" w:eastAsia="zh-CN"/>
          </w:rPr>
          <m:t>μ=2</m:t>
        </m:r>
      </m:oMath>
      <w:r>
        <w:rPr>
          <w:lang w:val="en-US" w:eastAsia="zh-CN"/>
        </w:rPr>
        <w:t xml:space="preserve">; otherwise, </w:t>
      </w:r>
      <m:oMath>
        <m:r>
          <w:rPr>
            <w:rFonts w:ascii="Cambria Math" w:hAnsi="Cambria Math"/>
            <w:lang w:val="en-US" w:eastAsia="zh-CN"/>
          </w:rPr>
          <m:t>N=14</m:t>
        </m:r>
      </m:oMath>
      <w:r w:rsidRPr="00562A7D">
        <w:rPr>
          <w:lang w:val="en-US"/>
        </w:rPr>
        <w:t xml:space="preserve"> for </w:t>
      </w:r>
      <m:oMath>
        <m:r>
          <w:rPr>
            <w:rFonts w:ascii="Cambria Math" w:hAnsi="Cambria Math"/>
            <w:lang w:val="en-US" w:eastAsia="zh-CN"/>
          </w:rPr>
          <m:t>μ=0</m:t>
        </m:r>
      </m:oMath>
      <w:r>
        <w:rPr>
          <w:lang w:val="en-US"/>
        </w:rPr>
        <w:t xml:space="preserve">, </w:t>
      </w:r>
      <m:oMath>
        <m:r>
          <w:rPr>
            <w:rFonts w:ascii="Cambria Math" w:hAnsi="Cambria Math"/>
            <w:lang w:val="en-US" w:eastAsia="zh-CN"/>
          </w:rPr>
          <m:t>N=16</m:t>
        </m:r>
      </m:oMath>
      <w:r w:rsidRPr="00562A7D">
        <w:rPr>
          <w:lang w:val="en-US"/>
        </w:rPr>
        <w:t xml:space="preserve"> for </w:t>
      </w:r>
      <m:oMath>
        <m:r>
          <w:rPr>
            <w:rFonts w:ascii="Cambria Math" w:hAnsi="Cambria Math"/>
            <w:lang w:val="en-US" w:eastAsia="zh-CN"/>
          </w:rPr>
          <m:t>μ=1</m:t>
        </m:r>
      </m:oMath>
      <w:r>
        <w:rPr>
          <w:lang w:val="en-US"/>
        </w:rPr>
        <w:t xml:space="preserve">, </w:t>
      </w:r>
      <m:oMath>
        <m:r>
          <w:rPr>
            <w:rFonts w:ascii="Cambria Math" w:hAnsi="Cambria Math"/>
            <w:lang w:val="en-US" w:eastAsia="zh-CN"/>
          </w:rPr>
          <m:t>N=27</m:t>
        </m:r>
      </m:oMath>
      <w:r w:rsidRPr="00562A7D">
        <w:rPr>
          <w:lang w:val="en-US"/>
        </w:rPr>
        <w:t xml:space="preserve"> for </w:t>
      </w:r>
      <m:oMath>
        <m:r>
          <w:rPr>
            <w:rFonts w:ascii="Cambria Math" w:hAnsi="Cambria Math"/>
            <w:lang w:val="en-US" w:eastAsia="zh-CN"/>
          </w:rPr>
          <m:t>μ=2</m:t>
        </m:r>
      </m:oMath>
      <w:r>
        <w:rPr>
          <w:lang w:val="en-US"/>
        </w:rPr>
        <w:t xml:space="preserve">, </w:t>
      </w:r>
      <m:oMath>
        <m:r>
          <w:rPr>
            <w:rFonts w:ascii="Cambria Math" w:hAnsi="Cambria Math"/>
            <w:lang w:val="en-US" w:eastAsia="zh-CN"/>
          </w:rPr>
          <m:t>N=31</m:t>
        </m:r>
      </m:oMath>
      <w:r w:rsidRPr="00562A7D">
        <w:rPr>
          <w:lang w:val="en-US"/>
        </w:rPr>
        <w:t xml:space="preserve"> for </w:t>
      </w:r>
      <m:oMath>
        <m:r>
          <w:rPr>
            <w:rFonts w:ascii="Cambria Math" w:hAnsi="Cambria Math"/>
            <w:lang w:val="en-US" w:eastAsia="zh-CN"/>
          </w:rPr>
          <m:t>μ=3</m:t>
        </m:r>
      </m:oMath>
      <w:r>
        <w:rPr>
          <w:lang w:val="en-US" w:eastAsia="zh-CN"/>
        </w:rPr>
        <w:t xml:space="preserve">, </w:t>
      </w:r>
      <m:oMath>
        <m:r>
          <w:rPr>
            <w:rFonts w:ascii="Cambria Math" w:hAnsi="Cambria Math"/>
            <w:lang w:val="en-US" w:eastAsia="zh-CN"/>
          </w:rPr>
          <m:t>N=124</m:t>
        </m:r>
      </m:oMath>
      <w:r w:rsidR="005317CA" w:rsidRPr="00B27E56">
        <w:rPr>
          <w:lang w:val="en-US"/>
        </w:rPr>
        <w:t xml:space="preserve"> for </w:t>
      </w:r>
      <m:oMath>
        <m:r>
          <w:rPr>
            <w:rFonts w:ascii="Cambria Math" w:hAnsi="Cambria Math"/>
            <w:lang w:val="en-US" w:eastAsia="zh-CN"/>
          </w:rPr>
          <m:t>μ=5</m:t>
        </m:r>
      </m:oMath>
      <w:r w:rsidR="005317CA" w:rsidRPr="00B27E56">
        <w:rPr>
          <w:lang w:val="en-US" w:eastAsia="zh-CN"/>
        </w:rPr>
        <w:t xml:space="preserve">, and </w:t>
      </w:r>
      <m:oMath>
        <m:r>
          <w:rPr>
            <w:rFonts w:ascii="Cambria Math" w:hAnsi="Cambria Math"/>
            <w:lang w:val="en-US" w:eastAsia="zh-CN"/>
          </w:rPr>
          <m:t>=248</m:t>
        </m:r>
      </m:oMath>
      <w:r w:rsidR="005317CA" w:rsidRPr="00B27E56">
        <w:rPr>
          <w:lang w:val="en-US"/>
        </w:rPr>
        <w:t xml:space="preserve"> for </w:t>
      </w:r>
      <m:oMath>
        <m:r>
          <w:rPr>
            <w:rFonts w:ascii="Cambria Math" w:hAnsi="Cambria Math"/>
            <w:lang w:val="en-US" w:eastAsia="zh-CN"/>
          </w:rPr>
          <m:t>μ=6</m:t>
        </m:r>
      </m:oMath>
      <w:r w:rsidR="005317CA">
        <w:rPr>
          <w:lang w:val="en-US" w:eastAsia="zh-CN"/>
        </w:rPr>
        <w:t>,</w:t>
      </w:r>
      <w:r w:rsidR="005317CA" w:rsidRPr="00B27E56">
        <w:rPr>
          <w:lang w:val="en-US" w:eastAsia="zh-CN"/>
        </w:rPr>
        <w:t xml:space="preserve"> </w:t>
      </w:r>
      <w:r>
        <w:rPr>
          <w:lang w:val="en-US" w:eastAsia="zh-CN"/>
        </w:rPr>
        <w:t>where</w:t>
      </w:r>
      <w:r w:rsidRPr="00562A7D">
        <w:rPr>
          <w:lang w:val="en-US" w:eastAsia="zh-CN"/>
        </w:rPr>
        <w:t xml:space="preserve"> </w:t>
      </w:r>
      <m:oMath>
        <m:r>
          <w:rPr>
            <w:rFonts w:ascii="Cambria Math" w:hAnsi="Cambria Math"/>
            <w:lang w:val="en-US" w:eastAsia="zh-CN"/>
          </w:rPr>
          <m:t>μ</m:t>
        </m:r>
      </m:oMath>
      <w:r w:rsidR="00517BE8">
        <w:rPr>
          <w:lang w:val="en-US" w:eastAsia="zh-CN"/>
        </w:rPr>
        <w:t xml:space="preserve"> </w:t>
      </w:r>
      <w:r>
        <w:rPr>
          <w:lang w:val="en-US" w:eastAsia="zh-CN"/>
        </w:rPr>
        <w:t>is</w:t>
      </w:r>
      <w:r w:rsidRPr="00562A7D">
        <w:rPr>
          <w:lang w:val="x-none" w:eastAsia="zh-CN"/>
        </w:rPr>
        <w:t xml:space="preserve"> the smallest SCS configuration between the SCS configuration of the </w:t>
      </w:r>
      <w:r w:rsidRPr="00562A7D">
        <w:rPr>
          <w:lang w:val="en-US"/>
        </w:rPr>
        <w:t xml:space="preserve">PDCCH providing the </w:t>
      </w:r>
      <w:r w:rsidRPr="00562A7D">
        <w:rPr>
          <w:lang w:val="x-none" w:eastAsia="zh-CN"/>
        </w:rPr>
        <w:t>DCI format</w:t>
      </w:r>
      <w:r>
        <w:rPr>
          <w:lang w:val="en-US" w:eastAsia="zh-CN"/>
        </w:rPr>
        <w:t xml:space="preserve"> 1_</w:t>
      </w:r>
      <w:r w:rsidRPr="00562A7D">
        <w:rPr>
          <w:lang w:val="en-US" w:eastAsia="zh-CN"/>
        </w:rPr>
        <w:t>1</w:t>
      </w:r>
      <w:r w:rsidR="001E45F5">
        <w:rPr>
          <w:lang w:val="en-US" w:eastAsia="zh-CN"/>
        </w:rPr>
        <w:t>/1_3</w:t>
      </w:r>
      <w:r w:rsidRPr="00562A7D">
        <w:rPr>
          <w:lang w:val="x-none" w:eastAsia="zh-CN"/>
        </w:rPr>
        <w:t xml:space="preserve"> and the SCS c</w:t>
      </w:r>
      <w:r>
        <w:rPr>
          <w:lang w:val="x-none" w:eastAsia="zh-CN"/>
        </w:rPr>
        <w:t>onfiguration of a PUCCH with</w:t>
      </w:r>
      <w:r w:rsidRPr="00562A7D">
        <w:rPr>
          <w:lang w:val="x-none" w:eastAsia="zh-CN"/>
        </w:rPr>
        <w:t xml:space="preserve"> the </w:t>
      </w:r>
      <w:r w:rsidRPr="00562A7D">
        <w:rPr>
          <w:lang w:val="en-US" w:eastAsia="zh-CN"/>
        </w:rPr>
        <w:t>HARQ-</w:t>
      </w:r>
      <w:r>
        <w:rPr>
          <w:lang w:val="en-US" w:eastAsia="zh-CN"/>
        </w:rPr>
        <w:t>ACK information in response to the detection of</w:t>
      </w:r>
      <w:r w:rsidRPr="00562A7D">
        <w:rPr>
          <w:lang w:val="en-US" w:eastAsia="zh-CN"/>
        </w:rPr>
        <w:t xml:space="preserve"> </w:t>
      </w:r>
      <w:r>
        <w:rPr>
          <w:lang w:val="en-US" w:eastAsia="zh-CN"/>
        </w:rPr>
        <w:t xml:space="preserve">the </w:t>
      </w:r>
      <w:r w:rsidRPr="00562A7D">
        <w:rPr>
          <w:lang w:val="x-none" w:eastAsia="zh-CN"/>
        </w:rPr>
        <w:t>DCI format</w:t>
      </w:r>
      <w:r>
        <w:rPr>
          <w:lang w:val="en-US" w:eastAsia="zh-CN"/>
        </w:rPr>
        <w:t xml:space="preserve"> 1_</w:t>
      </w:r>
      <w:r w:rsidRPr="00562A7D">
        <w:rPr>
          <w:lang w:val="en-US" w:eastAsia="zh-CN"/>
        </w:rPr>
        <w:t>1</w:t>
      </w:r>
      <w:r w:rsidR="001E45F5">
        <w:rPr>
          <w:lang w:val="en-US" w:eastAsia="zh-CN"/>
        </w:rPr>
        <w:t>/1_3</w:t>
      </w:r>
      <w:r w:rsidRPr="00562A7D">
        <w:rPr>
          <w:lang w:val="en-US"/>
        </w:rPr>
        <w:t>.</w:t>
      </w:r>
    </w:p>
    <w:p w14:paraId="140EBD26" w14:textId="5480238C" w:rsidR="0000023C" w:rsidRPr="00D26445" w:rsidRDefault="0000023C" w:rsidP="0000023C">
      <w:pPr>
        <w:pStyle w:val="Heading2"/>
      </w:pPr>
      <w:bookmarkStart w:id="693" w:name="_Toc29894869"/>
      <w:bookmarkStart w:id="694" w:name="_Toc29899168"/>
      <w:bookmarkStart w:id="695" w:name="_Toc29899586"/>
      <w:bookmarkStart w:id="696" w:name="_Toc29917315"/>
      <w:bookmarkStart w:id="697" w:name="_Toc36498189"/>
      <w:bookmarkStart w:id="698" w:name="_Toc45699217"/>
      <w:bookmarkStart w:id="699" w:name="_Toc161999148"/>
      <w:r w:rsidRPr="00D26445">
        <w:lastRenderedPageBreak/>
        <w:t>1</w:t>
      </w:r>
      <w:r>
        <w:t>0.4</w:t>
      </w:r>
      <w:r w:rsidRPr="00D26445">
        <w:tab/>
        <w:t xml:space="preserve">Search </w:t>
      </w:r>
      <w:r>
        <w:t>s</w:t>
      </w:r>
      <w:r w:rsidRPr="00D26445">
        <w:t xml:space="preserve">pace </w:t>
      </w:r>
      <w:r>
        <w:t>s</w:t>
      </w:r>
      <w:r w:rsidRPr="00D26445">
        <w:t xml:space="preserve">et </w:t>
      </w:r>
      <w:r w:rsidR="00D93568">
        <w:t xml:space="preserve">group </w:t>
      </w:r>
      <w:r>
        <w:t>s</w:t>
      </w:r>
      <w:r w:rsidRPr="00D26445">
        <w:t>witching</w:t>
      </w:r>
      <w:bookmarkEnd w:id="693"/>
      <w:bookmarkEnd w:id="694"/>
      <w:bookmarkEnd w:id="695"/>
      <w:bookmarkEnd w:id="696"/>
      <w:bookmarkEnd w:id="697"/>
      <w:bookmarkEnd w:id="698"/>
      <w:r w:rsidR="00860BAC" w:rsidRPr="00686F3E">
        <w:t xml:space="preserve"> and skipping of PDCCH monitoring</w:t>
      </w:r>
      <w:bookmarkEnd w:id="699"/>
    </w:p>
    <w:p w14:paraId="1757D74B" w14:textId="77777777" w:rsidR="00FB10F8" w:rsidRDefault="0000023C" w:rsidP="00FB10F8">
      <w:pPr>
        <w:rPr>
          <w:lang w:eastAsia="zh-CN"/>
        </w:rPr>
      </w:pPr>
      <w:r w:rsidRPr="00D26445">
        <w:rPr>
          <w:lang w:eastAsia="zh-CN"/>
        </w:rPr>
        <w:t xml:space="preserve">A UE can be provided </w:t>
      </w:r>
    </w:p>
    <w:p w14:paraId="40F72F93" w14:textId="75E6AF35" w:rsidR="00FB10F8" w:rsidRPr="00FB10F8" w:rsidRDefault="00FB10F8" w:rsidP="00FB10F8">
      <w:pPr>
        <w:pStyle w:val="B1"/>
        <w:rPr>
          <w:lang w:eastAsia="zh-CN"/>
        </w:rPr>
      </w:pPr>
      <w:r>
        <w:rPr>
          <w:lang w:eastAsia="zh-CN"/>
        </w:rPr>
        <w:t>-</w:t>
      </w:r>
      <w:r>
        <w:rPr>
          <w:lang w:eastAsia="zh-CN"/>
        </w:rPr>
        <w:tab/>
      </w:r>
      <w:r w:rsidR="0000023C" w:rsidRPr="00D26445">
        <w:rPr>
          <w:lang w:eastAsia="zh-CN"/>
        </w:rPr>
        <w:t xml:space="preserve">a group index for a respective </w:t>
      </w:r>
      <w:r w:rsidR="00D93568" w:rsidRPr="00906E41">
        <w:rPr>
          <w:lang w:eastAsia="zh-CN"/>
        </w:rPr>
        <w:t xml:space="preserve">Type3-PDCCH </w:t>
      </w:r>
      <w:r w:rsidR="00D93568">
        <w:rPr>
          <w:lang w:eastAsia="zh-CN"/>
        </w:rPr>
        <w:t>CSS</w:t>
      </w:r>
      <w:r w:rsidR="00D93568" w:rsidRPr="00906E41">
        <w:rPr>
          <w:lang w:eastAsia="zh-CN"/>
        </w:rPr>
        <w:t xml:space="preserve"> set or</w:t>
      </w:r>
      <w:r w:rsidR="00D93568">
        <w:rPr>
          <w:lang w:eastAsia="zh-CN"/>
        </w:rPr>
        <w:t xml:space="preserve"> USS</w:t>
      </w:r>
      <w:r w:rsidR="0000023C" w:rsidRPr="00D26445">
        <w:rPr>
          <w:lang w:eastAsia="zh-CN"/>
        </w:rPr>
        <w:t xml:space="preserve"> set by </w:t>
      </w:r>
      <w:r w:rsidR="0000023C" w:rsidRPr="00D26445">
        <w:rPr>
          <w:i/>
          <w:lang w:eastAsia="zh-CN"/>
        </w:rPr>
        <w:t>searchSpaceGroupIdList</w:t>
      </w:r>
      <w:r w:rsidR="0000023C" w:rsidRPr="00D26445">
        <w:rPr>
          <w:lang w:eastAsia="zh-CN"/>
        </w:rPr>
        <w:t xml:space="preserve"> for PDCCH monitoring on a serving cell</w:t>
      </w:r>
      <w:r w:rsidRPr="00FB10F8">
        <w:rPr>
          <w:lang w:eastAsia="zh-CN"/>
        </w:rPr>
        <w:t>,</w:t>
      </w:r>
    </w:p>
    <w:p w14:paraId="0A46B938" w14:textId="7FACF001" w:rsidR="00FB10F8" w:rsidRDefault="00FB10F8" w:rsidP="00FB10F8">
      <w:pPr>
        <w:pStyle w:val="B1"/>
        <w:rPr>
          <w:lang w:eastAsia="zh-CN"/>
        </w:rPr>
      </w:pPr>
      <w:r>
        <w:t>-</w:t>
      </w:r>
      <w:r>
        <w:tab/>
      </w:r>
      <w:r w:rsidRPr="00FB10F8">
        <w:t xml:space="preserve">a group index for a respective Type3-PDCCH CSS set or USS set by </w:t>
      </w:r>
      <w:r w:rsidRPr="00FB10F8">
        <w:rPr>
          <w:i/>
          <w:iCs/>
        </w:rPr>
        <w:t>searchSpaceGroupIdList-r17</w:t>
      </w:r>
      <w:r w:rsidRPr="00FB10F8">
        <w:t xml:space="preserve"> for PDCCH monitoring on an active DL BWP of a serving cell</w:t>
      </w:r>
      <w:r w:rsidR="0000023C" w:rsidRPr="00D26445">
        <w:rPr>
          <w:lang w:eastAsia="zh-CN"/>
        </w:rPr>
        <w:t xml:space="preserve">. </w:t>
      </w:r>
    </w:p>
    <w:p w14:paraId="147B2549" w14:textId="7AC72AA0" w:rsidR="0000023C" w:rsidRPr="00D26445" w:rsidRDefault="0000023C" w:rsidP="00FB10F8">
      <w:pPr>
        <w:rPr>
          <w:lang w:eastAsia="zh-CN"/>
        </w:rPr>
      </w:pPr>
      <w:r w:rsidRPr="00D26445">
        <w:rPr>
          <w:lang w:eastAsia="zh-CN"/>
        </w:rPr>
        <w:t xml:space="preserve">If the UE is not provided </w:t>
      </w:r>
      <w:r w:rsidRPr="00D26445">
        <w:rPr>
          <w:i/>
          <w:lang w:eastAsia="zh-CN"/>
        </w:rPr>
        <w:t>searchSpaceGroupIdList</w:t>
      </w:r>
      <w:r w:rsidRPr="00D26445">
        <w:rPr>
          <w:lang w:eastAsia="zh-CN"/>
        </w:rPr>
        <w:t xml:space="preserve"> </w:t>
      </w:r>
      <w:bookmarkStart w:id="700" w:name="_Hlk117012218"/>
      <w:r w:rsidR="00FB10F8" w:rsidRPr="00BF32B5">
        <w:t>or</w:t>
      </w:r>
      <w:r w:rsidR="00FB10F8" w:rsidRPr="00BF32B5">
        <w:rPr>
          <w:i/>
          <w:iCs/>
        </w:rPr>
        <w:t xml:space="preserve"> searchSpaceGroupIdList-r17</w:t>
      </w:r>
      <w:bookmarkEnd w:id="700"/>
      <w:r w:rsidR="00FB10F8">
        <w:rPr>
          <w:i/>
          <w:iCs/>
        </w:rPr>
        <w:t xml:space="preserve"> </w:t>
      </w:r>
      <w:r w:rsidRPr="00D26445">
        <w:rPr>
          <w:lang w:eastAsia="zh-CN"/>
        </w:rPr>
        <w:t xml:space="preserve">for a search space set, the following procedures </w:t>
      </w:r>
      <w:bookmarkStart w:id="701" w:name="_Hlk117012264"/>
      <w:r w:rsidR="00FB10F8" w:rsidRPr="00BF32B5">
        <w:t>that are based on search space set group switching</w:t>
      </w:r>
      <w:bookmarkEnd w:id="701"/>
      <w:r w:rsidR="00FB10F8" w:rsidRPr="00D26445">
        <w:rPr>
          <w:lang w:eastAsia="zh-CN"/>
        </w:rPr>
        <w:t xml:space="preserve"> </w:t>
      </w:r>
      <w:r w:rsidRPr="00D26445">
        <w:rPr>
          <w:lang w:eastAsia="zh-CN"/>
        </w:rPr>
        <w:t>are not applicable for PDCCH monitoring according to the search space set.</w:t>
      </w:r>
    </w:p>
    <w:p w14:paraId="4E5A2ED4" w14:textId="7F082428" w:rsidR="00FB10F8" w:rsidRPr="00710B0B" w:rsidRDefault="00FB10F8" w:rsidP="00FB10F8">
      <w:r w:rsidRPr="00BF32B5">
        <w:rPr>
          <w:rFonts w:hint="eastAsia"/>
        </w:rPr>
        <w:t>A</w:t>
      </w:r>
      <w:r w:rsidRPr="00BF32B5">
        <w:t xml:space="preserve"> UE can be provided a set of durations by </w:t>
      </w:r>
      <w:r w:rsidR="00CB4690">
        <w:rPr>
          <w:i/>
          <w:iCs/>
        </w:rPr>
        <w:t>pdcch-</w:t>
      </w:r>
      <w:r w:rsidRPr="00BF32B5">
        <w:rPr>
          <w:i/>
          <w:iCs/>
        </w:rPr>
        <w:t>SkippingDurationList</w:t>
      </w:r>
      <w:r w:rsidRPr="00BF32B5">
        <w:t xml:space="preserve"> for Type3-PDCCH CSS set or USS set for PDCCH monitoring on an active DL BWP of a serving cell. If the UE is not provided </w:t>
      </w:r>
      <w:r w:rsidR="00CB4690">
        <w:rPr>
          <w:i/>
          <w:iCs/>
        </w:rPr>
        <w:t>pdcch-</w:t>
      </w:r>
      <w:r w:rsidRPr="00BF32B5">
        <w:rPr>
          <w:i/>
          <w:iCs/>
        </w:rPr>
        <w:t>SkippingDurationList</w:t>
      </w:r>
      <w:r w:rsidRPr="00BF32B5">
        <w:t>, the following procedures related to skipping of PDCCH monitoring are not applicable</w:t>
      </w:r>
      <w:r>
        <w:t>.</w:t>
      </w:r>
    </w:p>
    <w:p w14:paraId="2BAC98A7" w14:textId="01521A38" w:rsidR="00E103F9" w:rsidRPr="00370E38" w:rsidRDefault="00E103F9" w:rsidP="00E103F9">
      <w:pPr>
        <w:rPr>
          <w:lang w:eastAsia="ko-KR"/>
        </w:rPr>
      </w:pPr>
      <w:r w:rsidRPr="00370E38">
        <w:rPr>
          <w:rFonts w:hint="eastAsia"/>
          <w:lang w:eastAsia="ko-KR"/>
        </w:rPr>
        <w:t xml:space="preserve">If a UE is provided </w:t>
      </w:r>
      <w:r w:rsidR="00AA72D3">
        <w:rPr>
          <w:i/>
          <w:iCs/>
        </w:rPr>
        <w:t>cellGroupsForSwitchList</w:t>
      </w:r>
      <w:r w:rsidRPr="00370E38">
        <w:rPr>
          <w:rFonts w:hint="eastAsia"/>
          <w:lang w:eastAsia="zh-CN"/>
        </w:rPr>
        <w:t>,</w:t>
      </w:r>
      <w:r w:rsidRPr="00370E38">
        <w:rPr>
          <w:rFonts w:hint="eastAsia"/>
          <w:lang w:eastAsia="ko-KR"/>
        </w:rPr>
        <w:t xml:space="preserve"> indicating one or more groups of serving cells, </w:t>
      </w:r>
      <w:r w:rsidRPr="00370E38">
        <w:rPr>
          <w:lang w:eastAsia="ko-KR"/>
        </w:rPr>
        <w:t xml:space="preserve">the </w:t>
      </w:r>
      <w:r w:rsidRPr="00370E38">
        <w:rPr>
          <w:rFonts w:hint="eastAsia"/>
          <w:lang w:eastAsia="zh-CN"/>
        </w:rPr>
        <w:t>following procedures</w:t>
      </w:r>
      <w:r w:rsidRPr="00370E38">
        <w:rPr>
          <w:rFonts w:hint="eastAsia"/>
          <w:lang w:eastAsia="ko-KR"/>
        </w:rPr>
        <w:t xml:space="preserve"> apply to all serving cells within each group; otherwise, </w:t>
      </w:r>
      <w:r w:rsidRPr="00370E38">
        <w:rPr>
          <w:lang w:eastAsia="ko-KR"/>
        </w:rPr>
        <w:t xml:space="preserve">the </w:t>
      </w:r>
      <w:r w:rsidRPr="00370E38">
        <w:rPr>
          <w:rFonts w:hint="eastAsia"/>
          <w:lang w:eastAsia="ko-KR"/>
        </w:rPr>
        <w:t xml:space="preserve">following procedures apply only to a serving cell for which the UE is provided </w:t>
      </w:r>
      <w:r w:rsidRPr="00370E38">
        <w:rPr>
          <w:rFonts w:hint="eastAsia"/>
          <w:i/>
          <w:iCs/>
          <w:lang w:eastAsia="ko-KR"/>
        </w:rPr>
        <w:t>searchSpaceGroupIdList</w:t>
      </w:r>
      <w:r w:rsidRPr="00370E38">
        <w:rPr>
          <w:rFonts w:hint="eastAsia"/>
          <w:lang w:eastAsia="ko-KR"/>
        </w:rPr>
        <w:t>.</w:t>
      </w:r>
    </w:p>
    <w:p w14:paraId="5D8F39A7" w14:textId="72E073D3" w:rsidR="00D93568" w:rsidRPr="00792F68" w:rsidRDefault="00D93568" w:rsidP="00D93568">
      <w:pPr>
        <w:rPr>
          <w:lang w:eastAsia="zh-CN"/>
        </w:rPr>
      </w:pPr>
      <w:r>
        <w:rPr>
          <w:lang w:eastAsia="ko-KR"/>
        </w:rPr>
        <w:t>When</w:t>
      </w:r>
      <w:r w:rsidRPr="00370E38">
        <w:rPr>
          <w:rFonts w:hint="eastAsia"/>
          <w:lang w:eastAsia="ko-KR"/>
        </w:rPr>
        <w:t xml:space="preserve"> a UE is provided </w:t>
      </w:r>
      <w:r w:rsidR="00AA72D3" w:rsidRPr="00370E38">
        <w:rPr>
          <w:rFonts w:hint="eastAsia"/>
          <w:i/>
          <w:iCs/>
          <w:lang w:eastAsia="zh-CN"/>
        </w:rPr>
        <w:t>searchSpaceGroup</w:t>
      </w:r>
      <w:r w:rsidR="00AA72D3">
        <w:rPr>
          <w:i/>
          <w:iCs/>
          <w:lang w:eastAsia="zh-CN"/>
        </w:rPr>
        <w:t>Id</w:t>
      </w:r>
      <w:r w:rsidR="00AA72D3" w:rsidRPr="00370E38">
        <w:rPr>
          <w:rFonts w:hint="eastAsia"/>
          <w:i/>
          <w:iCs/>
          <w:lang w:eastAsia="zh-CN"/>
        </w:rPr>
        <w:t>List</w:t>
      </w:r>
      <w:r w:rsidR="00824E5E" w:rsidRPr="00443E5B">
        <w:rPr>
          <w:i/>
          <w:iCs/>
        </w:rPr>
        <w:t xml:space="preserve"> </w:t>
      </w:r>
      <w:r w:rsidR="00824E5E" w:rsidRPr="00443E5B">
        <w:t xml:space="preserve">or </w:t>
      </w:r>
      <w:r w:rsidR="00824E5E" w:rsidRPr="00443E5B">
        <w:rPr>
          <w:i/>
          <w:iCs/>
        </w:rPr>
        <w:t>searchSpaceGroupIdList-r17</w:t>
      </w:r>
      <w:r>
        <w:rPr>
          <w:lang w:eastAsia="zh-CN"/>
        </w:rPr>
        <w:t xml:space="preserve">, the UE resets </w:t>
      </w:r>
      <w:r w:rsidRPr="000E56C4">
        <w:t xml:space="preserve">PDCCH </w:t>
      </w:r>
      <w:r>
        <w:t xml:space="preserve">monitoring </w:t>
      </w:r>
      <w:r w:rsidRPr="000E56C4">
        <w:t>according to search space sets with group index 0</w:t>
      </w:r>
      <w:r>
        <w:rPr>
          <w:lang w:eastAsia="zh-CN"/>
        </w:rPr>
        <w:t xml:space="preserve">, if provided by </w:t>
      </w:r>
      <w:r>
        <w:rPr>
          <w:i/>
          <w:iCs/>
          <w:lang w:eastAsia="zh-CN"/>
        </w:rPr>
        <w:t>searchSpaceGroupIdList</w:t>
      </w:r>
      <w:r w:rsidR="00824E5E" w:rsidRPr="00443E5B">
        <w:rPr>
          <w:i/>
          <w:iCs/>
        </w:rPr>
        <w:t xml:space="preserve"> </w:t>
      </w:r>
      <w:r w:rsidR="00824E5E" w:rsidRPr="00443E5B">
        <w:t xml:space="preserve">or </w:t>
      </w:r>
      <w:r w:rsidR="00824E5E" w:rsidRPr="00443E5B">
        <w:rPr>
          <w:i/>
          <w:iCs/>
        </w:rPr>
        <w:t>searchSpaceGroupIdList-r17</w:t>
      </w:r>
      <w:r>
        <w:rPr>
          <w:lang w:eastAsia="zh-CN"/>
        </w:rPr>
        <w:t>.</w:t>
      </w:r>
    </w:p>
    <w:p w14:paraId="5AA39A27" w14:textId="13F71F67" w:rsidR="00D93568" w:rsidRDefault="00D93568" w:rsidP="00D93568">
      <w:r>
        <w:rPr>
          <w:lang w:eastAsia="zh-CN"/>
        </w:rPr>
        <w:t>A</w:t>
      </w:r>
      <w:r w:rsidRPr="00D26445">
        <w:rPr>
          <w:lang w:eastAsia="zh-CN"/>
        </w:rPr>
        <w:t xml:space="preserve"> UE can be provided by </w:t>
      </w:r>
      <w:r>
        <w:rPr>
          <w:i/>
          <w:lang w:eastAsia="zh-CN"/>
        </w:rPr>
        <w:t>searchSpaceSwitchDelay</w:t>
      </w:r>
      <w:r w:rsidRPr="00824E5E">
        <w:rPr>
          <w:lang w:eastAsia="zh-CN"/>
        </w:rPr>
        <w:t xml:space="preserve"> </w:t>
      </w:r>
      <w:r w:rsidR="00824E5E" w:rsidRPr="00824E5E">
        <w:rPr>
          <w:lang w:eastAsia="zh-CN"/>
        </w:rPr>
        <w:t xml:space="preserve">or </w:t>
      </w:r>
      <w:r w:rsidR="00824E5E" w:rsidRPr="00443E5B">
        <w:rPr>
          <w:i/>
          <w:iCs/>
          <w:lang w:eastAsia="zh-CN"/>
        </w:rPr>
        <w:t>searchSpaceSwitchDelay-r17</w:t>
      </w:r>
      <w:r w:rsidR="00824E5E" w:rsidRPr="00824E5E">
        <w:rPr>
          <w:lang w:eastAsia="zh-CN"/>
        </w:rPr>
        <w:t xml:space="preserve"> </w:t>
      </w:r>
      <w:r w:rsidRPr="00D26445">
        <w:rPr>
          <w:lang w:eastAsia="zh-CN"/>
        </w:rPr>
        <w:t xml:space="preserve">a </w:t>
      </w:r>
      <w:r>
        <w:rPr>
          <w:lang w:eastAsia="zh-CN"/>
        </w:rPr>
        <w:t xml:space="preserve">number of symbols </w:t>
      </w:r>
      <m:oMath>
        <m:sSub>
          <m:sSubPr>
            <m:ctrlPr>
              <w:rPr>
                <w:rFonts w:ascii="Cambria Math" w:hAnsi="Cambria Math"/>
                <w:i/>
              </w:rPr>
            </m:ctrlPr>
          </m:sSubPr>
          <m:e>
            <m:r>
              <w:rPr>
                <w:rFonts w:ascii="Cambria Math" w:hAnsi="Cambria Math"/>
              </w:rPr>
              <m:t>P</m:t>
            </m:r>
          </m:e>
          <m:sub>
            <m:r>
              <w:rPr>
                <w:rFonts w:ascii="Cambria Math" w:hAnsi="Cambria Math"/>
              </w:rPr>
              <m:t>switch</m:t>
            </m:r>
          </m:sub>
        </m:sSub>
      </m:oMath>
      <w:r>
        <w:rPr>
          <w:lang w:eastAsia="zh-CN"/>
        </w:rPr>
        <w:t xml:space="preserve"> where a minimum value of </w:t>
      </w:r>
      <m:oMath>
        <m:sSub>
          <m:sSubPr>
            <m:ctrlPr>
              <w:rPr>
                <w:rFonts w:ascii="Cambria Math" w:hAnsi="Cambria Math"/>
                <w:i/>
              </w:rPr>
            </m:ctrlPr>
          </m:sSubPr>
          <m:e>
            <m:r>
              <w:rPr>
                <w:rFonts w:ascii="Cambria Math" w:hAnsi="Cambria Math"/>
              </w:rPr>
              <m:t>P</m:t>
            </m:r>
          </m:e>
          <m:sub>
            <m:r>
              <w:rPr>
                <w:rFonts w:ascii="Cambria Math" w:hAnsi="Cambria Math"/>
              </w:rPr>
              <m:t>switch</m:t>
            </m:r>
          </m:sub>
        </m:sSub>
      </m:oMath>
      <w:r>
        <w:t xml:space="preserve"> is provided in Table 10.4-1 for UE processing capability 1 and UE processing capability 2 and SCS configuration </w:t>
      </w:r>
      <m:oMath>
        <m:r>
          <w:rPr>
            <w:rFonts w:ascii="Cambria Math" w:hAnsi="Cambria Math"/>
          </w:rPr>
          <m:t>μ</m:t>
        </m:r>
      </m:oMath>
      <w:r>
        <w:t xml:space="preserve">. UE processing capability 1 for SCS configuration </w:t>
      </w:r>
      <m:oMath>
        <m:r>
          <w:rPr>
            <w:rFonts w:ascii="Cambria Math" w:hAnsi="Cambria Math"/>
          </w:rPr>
          <m:t>μ</m:t>
        </m:r>
      </m:oMath>
      <w:r w:rsidR="00C35265">
        <w:t xml:space="preserve"> applies unless the UE indicates support for UE processing capability 2</w:t>
      </w:r>
      <w:r>
        <w:t xml:space="preserve">. </w:t>
      </w:r>
    </w:p>
    <w:p w14:paraId="515DA5E1" w14:textId="77777777" w:rsidR="00D93568" w:rsidRPr="00B916EC" w:rsidRDefault="00D93568" w:rsidP="00D93568">
      <w:pPr>
        <w:pStyle w:val="TH"/>
      </w:pPr>
      <w:r>
        <w:t>Table 10.4-1</w:t>
      </w:r>
      <w:r w:rsidRPr="00B916EC">
        <w:t>:</w:t>
      </w:r>
      <w:r>
        <w:t xml:space="preserve"> Minimum</w:t>
      </w:r>
      <w:r w:rsidRPr="00B916EC">
        <w:t xml:space="preserve"> </w:t>
      </w:r>
      <w:r>
        <w:t xml:space="preserve">value of </w:t>
      </w:r>
      <m:oMath>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switch</m:t>
            </m:r>
          </m:sub>
        </m:sSub>
      </m:oMath>
      <w:r>
        <w:t xml:space="preserve"> [symbols]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00"/>
        <w:gridCol w:w="3385"/>
        <w:gridCol w:w="3420"/>
      </w:tblGrid>
      <w:tr w:rsidR="00D93568" w:rsidRPr="00B916EC" w14:paraId="054A704E" w14:textId="77777777" w:rsidTr="00D93568">
        <w:trPr>
          <w:cantSplit/>
          <w:jc w:val="center"/>
        </w:trPr>
        <w:tc>
          <w:tcPr>
            <w:tcW w:w="300" w:type="dxa"/>
            <w:shd w:val="clear" w:color="auto" w:fill="E0E0E0"/>
            <w:vAlign w:val="center"/>
          </w:tcPr>
          <w:p w14:paraId="10B18F2B" w14:textId="77777777" w:rsidR="00D93568" w:rsidRPr="00D113F8" w:rsidRDefault="00D93568" w:rsidP="00D93568">
            <w:pPr>
              <w:pStyle w:val="TAH"/>
              <w:rPr>
                <w:rFonts w:ascii="Times New Roman" w:hAnsi="Times New Roman"/>
                <w:sz w:val="20"/>
              </w:rPr>
            </w:pPr>
            <m:oMathPara>
              <m:oMath>
                <m:r>
                  <m:rPr>
                    <m:sty m:val="bi"/>
                  </m:rPr>
                  <w:rPr>
                    <w:rFonts w:ascii="Cambria Math" w:hAnsi="Cambria Math"/>
                  </w:rPr>
                  <m:t>μ</m:t>
                </m:r>
              </m:oMath>
            </m:oMathPara>
          </w:p>
        </w:tc>
        <w:tc>
          <w:tcPr>
            <w:tcW w:w="3385" w:type="dxa"/>
            <w:shd w:val="clear" w:color="auto" w:fill="E0E0E0"/>
            <w:vAlign w:val="center"/>
          </w:tcPr>
          <w:p w14:paraId="06CE23B7" w14:textId="77777777" w:rsidR="00D93568" w:rsidRPr="00D113F8" w:rsidRDefault="00D93568" w:rsidP="00D93568">
            <w:pPr>
              <w:pStyle w:val="TAH"/>
              <w:rPr>
                <w:rFonts w:cs="Arial"/>
                <w:szCs w:val="18"/>
              </w:rPr>
            </w:pPr>
            <w:r w:rsidRPr="00D113F8">
              <w:rPr>
                <w:rFonts w:cs="Arial"/>
                <w:szCs w:val="18"/>
              </w:rPr>
              <w:t xml:space="preserve">Minimum </w:t>
            </w:r>
            <m:oMath>
              <m:sSub>
                <m:sSubPr>
                  <m:ctrlPr>
                    <w:rPr>
                      <w:rFonts w:ascii="Cambria Math" w:hAnsi="Cambria Math" w:cs="Arial"/>
                      <w:szCs w:val="18"/>
                    </w:rPr>
                  </m:ctrlPr>
                </m:sSubPr>
                <m:e>
                  <m:r>
                    <m:rPr>
                      <m:sty m:val="b"/>
                    </m:rPr>
                    <w:rPr>
                      <w:rFonts w:ascii="Cambria Math" w:hAnsi="Cambria Math" w:cs="Arial"/>
                      <w:szCs w:val="18"/>
                    </w:rPr>
                    <m:t>P</m:t>
                  </m:r>
                </m:e>
                <m:sub>
                  <m:r>
                    <m:rPr>
                      <m:sty m:val="b"/>
                    </m:rPr>
                    <w:rPr>
                      <w:rFonts w:ascii="Cambria Math" w:hAnsi="Cambria Math" w:cs="Arial"/>
                      <w:szCs w:val="18"/>
                    </w:rPr>
                    <m:t>switch</m:t>
                  </m:r>
                </m:sub>
              </m:sSub>
            </m:oMath>
            <w:r w:rsidRPr="00D113F8">
              <w:rPr>
                <w:rFonts w:cs="Arial"/>
                <w:szCs w:val="18"/>
              </w:rPr>
              <w:t xml:space="preserve"> value for</w:t>
            </w:r>
          </w:p>
          <w:p w14:paraId="2D3CD4B6" w14:textId="77777777" w:rsidR="00D93568" w:rsidRPr="00D113F8" w:rsidRDefault="00D93568" w:rsidP="00D93568">
            <w:pPr>
              <w:pStyle w:val="TAH"/>
              <w:rPr>
                <w:rFonts w:ascii="Times New Roman" w:hAnsi="Times New Roman"/>
                <w:sz w:val="20"/>
              </w:rPr>
            </w:pPr>
            <w:r w:rsidRPr="00D113F8">
              <w:rPr>
                <w:rFonts w:cs="Arial"/>
                <w:szCs w:val="18"/>
              </w:rPr>
              <w:t xml:space="preserve"> UE processing </w:t>
            </w:r>
            <w:r w:rsidRPr="00D113F8">
              <w:rPr>
                <w:rFonts w:cs="Arial"/>
                <w:szCs w:val="18"/>
                <w:lang w:eastAsia="zh-CN"/>
              </w:rPr>
              <w:t>capability 1</w:t>
            </w:r>
            <w:r>
              <w:rPr>
                <w:rFonts w:cs="Arial"/>
                <w:szCs w:val="18"/>
                <w:lang w:eastAsia="zh-CN"/>
              </w:rPr>
              <w:t xml:space="preserve"> [symbols]</w:t>
            </w:r>
          </w:p>
        </w:tc>
        <w:tc>
          <w:tcPr>
            <w:tcW w:w="3420" w:type="dxa"/>
            <w:shd w:val="clear" w:color="auto" w:fill="E0E0E0"/>
            <w:vAlign w:val="center"/>
          </w:tcPr>
          <w:p w14:paraId="11B90A8F" w14:textId="77777777" w:rsidR="00D93568" w:rsidRPr="00D113F8" w:rsidRDefault="00D93568" w:rsidP="00D93568">
            <w:pPr>
              <w:pStyle w:val="TAH"/>
              <w:rPr>
                <w:rFonts w:cs="Arial"/>
                <w:szCs w:val="18"/>
              </w:rPr>
            </w:pPr>
            <w:r w:rsidRPr="00D113F8">
              <w:rPr>
                <w:rFonts w:cs="Arial"/>
                <w:szCs w:val="18"/>
              </w:rPr>
              <w:t xml:space="preserve">Minimum </w:t>
            </w:r>
            <m:oMath>
              <m:sSub>
                <m:sSubPr>
                  <m:ctrlPr>
                    <w:rPr>
                      <w:rFonts w:ascii="Cambria Math" w:hAnsi="Cambria Math" w:cs="Arial"/>
                      <w:szCs w:val="18"/>
                    </w:rPr>
                  </m:ctrlPr>
                </m:sSubPr>
                <m:e>
                  <m:r>
                    <m:rPr>
                      <m:sty m:val="b"/>
                    </m:rPr>
                    <w:rPr>
                      <w:rFonts w:ascii="Cambria Math" w:hAnsi="Cambria Math" w:cs="Arial"/>
                      <w:szCs w:val="18"/>
                    </w:rPr>
                    <m:t>P</m:t>
                  </m:r>
                </m:e>
                <m:sub>
                  <m:r>
                    <m:rPr>
                      <m:sty m:val="b"/>
                    </m:rPr>
                    <w:rPr>
                      <w:rFonts w:ascii="Cambria Math" w:hAnsi="Cambria Math" w:cs="Arial"/>
                      <w:szCs w:val="18"/>
                    </w:rPr>
                    <m:t>switch</m:t>
                  </m:r>
                </m:sub>
              </m:sSub>
            </m:oMath>
            <w:r w:rsidRPr="00D113F8">
              <w:rPr>
                <w:rFonts w:cs="Arial"/>
                <w:szCs w:val="18"/>
              </w:rPr>
              <w:t xml:space="preserve"> value for</w:t>
            </w:r>
          </w:p>
          <w:p w14:paraId="02D6CB85" w14:textId="77777777" w:rsidR="00D93568" w:rsidRPr="00D113F8" w:rsidRDefault="00D93568" w:rsidP="00D93568">
            <w:pPr>
              <w:pStyle w:val="TAH"/>
            </w:pPr>
            <w:r w:rsidRPr="00D113F8">
              <w:rPr>
                <w:rFonts w:cs="Arial"/>
                <w:szCs w:val="18"/>
              </w:rPr>
              <w:t xml:space="preserve"> UE processing </w:t>
            </w:r>
            <w:r w:rsidRPr="00D113F8">
              <w:rPr>
                <w:rFonts w:cs="Arial"/>
                <w:szCs w:val="18"/>
                <w:lang w:eastAsia="zh-CN"/>
              </w:rPr>
              <w:t>capability 2</w:t>
            </w:r>
            <w:r>
              <w:rPr>
                <w:rFonts w:cs="Arial"/>
                <w:szCs w:val="18"/>
                <w:lang w:eastAsia="zh-CN"/>
              </w:rPr>
              <w:t xml:space="preserve"> [symbols]</w:t>
            </w:r>
          </w:p>
        </w:tc>
      </w:tr>
      <w:tr w:rsidR="00D93568" w:rsidRPr="00B916EC" w14:paraId="7295B207" w14:textId="77777777" w:rsidTr="00D93568">
        <w:trPr>
          <w:cantSplit/>
          <w:jc w:val="center"/>
        </w:trPr>
        <w:tc>
          <w:tcPr>
            <w:tcW w:w="300" w:type="dxa"/>
            <w:vAlign w:val="center"/>
          </w:tcPr>
          <w:p w14:paraId="13C322A7" w14:textId="77777777" w:rsidR="00D93568" w:rsidRPr="00B916EC" w:rsidRDefault="00D93568" w:rsidP="00D93568">
            <w:pPr>
              <w:pStyle w:val="TAC"/>
            </w:pPr>
            <w:r>
              <w:t>0</w:t>
            </w:r>
          </w:p>
        </w:tc>
        <w:tc>
          <w:tcPr>
            <w:tcW w:w="3385" w:type="dxa"/>
            <w:vAlign w:val="center"/>
          </w:tcPr>
          <w:p w14:paraId="4015219F" w14:textId="77777777" w:rsidR="00D93568" w:rsidRPr="00B916EC" w:rsidRDefault="00D93568" w:rsidP="00D93568">
            <w:pPr>
              <w:pStyle w:val="TAC"/>
            </w:pPr>
            <w:r>
              <w:t>25</w:t>
            </w:r>
          </w:p>
        </w:tc>
        <w:tc>
          <w:tcPr>
            <w:tcW w:w="3420" w:type="dxa"/>
          </w:tcPr>
          <w:p w14:paraId="05B7ADDD" w14:textId="77777777" w:rsidR="00D93568" w:rsidRPr="00B916EC" w:rsidRDefault="00D93568" w:rsidP="00D93568">
            <w:pPr>
              <w:pStyle w:val="TAC"/>
            </w:pPr>
            <w:r>
              <w:t>10</w:t>
            </w:r>
          </w:p>
        </w:tc>
      </w:tr>
      <w:tr w:rsidR="00D93568" w:rsidRPr="00B916EC" w14:paraId="57541173" w14:textId="77777777" w:rsidTr="00D93568">
        <w:trPr>
          <w:cantSplit/>
          <w:jc w:val="center"/>
        </w:trPr>
        <w:tc>
          <w:tcPr>
            <w:tcW w:w="300" w:type="dxa"/>
            <w:vAlign w:val="center"/>
          </w:tcPr>
          <w:p w14:paraId="73DB9FF7" w14:textId="77777777" w:rsidR="00D93568" w:rsidRPr="00B916EC" w:rsidRDefault="00D93568" w:rsidP="00D93568">
            <w:pPr>
              <w:pStyle w:val="TAC"/>
            </w:pPr>
            <w:r>
              <w:t>1</w:t>
            </w:r>
          </w:p>
        </w:tc>
        <w:tc>
          <w:tcPr>
            <w:tcW w:w="3385" w:type="dxa"/>
            <w:vAlign w:val="center"/>
          </w:tcPr>
          <w:p w14:paraId="4B94B673" w14:textId="77777777" w:rsidR="00D93568" w:rsidRPr="00B916EC" w:rsidRDefault="00D93568" w:rsidP="00D93568">
            <w:pPr>
              <w:pStyle w:val="TAC"/>
            </w:pPr>
            <w:r>
              <w:t>25</w:t>
            </w:r>
          </w:p>
        </w:tc>
        <w:tc>
          <w:tcPr>
            <w:tcW w:w="3420" w:type="dxa"/>
          </w:tcPr>
          <w:p w14:paraId="23282D06" w14:textId="77777777" w:rsidR="00D93568" w:rsidRDefault="00D93568" w:rsidP="00D93568">
            <w:pPr>
              <w:pStyle w:val="TAC"/>
            </w:pPr>
            <w:r>
              <w:t>12</w:t>
            </w:r>
          </w:p>
        </w:tc>
      </w:tr>
      <w:tr w:rsidR="00D93568" w:rsidRPr="00B916EC" w14:paraId="3FB8C683" w14:textId="77777777" w:rsidTr="00D93568">
        <w:trPr>
          <w:cantSplit/>
          <w:jc w:val="center"/>
        </w:trPr>
        <w:tc>
          <w:tcPr>
            <w:tcW w:w="300" w:type="dxa"/>
            <w:vAlign w:val="center"/>
          </w:tcPr>
          <w:p w14:paraId="4F2E538D" w14:textId="77777777" w:rsidR="00D93568" w:rsidRPr="00B916EC" w:rsidRDefault="00D93568" w:rsidP="00D93568">
            <w:pPr>
              <w:pStyle w:val="TAC"/>
            </w:pPr>
            <w:r>
              <w:t>2</w:t>
            </w:r>
          </w:p>
        </w:tc>
        <w:tc>
          <w:tcPr>
            <w:tcW w:w="3385" w:type="dxa"/>
            <w:vAlign w:val="center"/>
          </w:tcPr>
          <w:p w14:paraId="3F481BD8" w14:textId="77777777" w:rsidR="00D93568" w:rsidRPr="00B916EC" w:rsidRDefault="00D93568" w:rsidP="00D93568">
            <w:pPr>
              <w:pStyle w:val="TAC"/>
            </w:pPr>
            <w:r>
              <w:t>25</w:t>
            </w:r>
          </w:p>
        </w:tc>
        <w:tc>
          <w:tcPr>
            <w:tcW w:w="3420" w:type="dxa"/>
          </w:tcPr>
          <w:p w14:paraId="4C60FC38" w14:textId="77777777" w:rsidR="00D93568" w:rsidRDefault="00D93568" w:rsidP="00D93568">
            <w:pPr>
              <w:pStyle w:val="TAC"/>
            </w:pPr>
            <w:r>
              <w:t>22</w:t>
            </w:r>
          </w:p>
        </w:tc>
      </w:tr>
      <w:tr w:rsidR="0069307D" w:rsidRPr="00B27E56" w14:paraId="2D3AE3B5" w14:textId="77777777" w:rsidTr="0069307D">
        <w:trPr>
          <w:cantSplit/>
          <w:jc w:val="center"/>
        </w:trPr>
        <w:tc>
          <w:tcPr>
            <w:tcW w:w="300" w:type="dxa"/>
            <w:tcBorders>
              <w:top w:val="single" w:sz="4" w:space="0" w:color="auto"/>
              <w:left w:val="single" w:sz="4" w:space="0" w:color="auto"/>
              <w:bottom w:val="single" w:sz="4" w:space="0" w:color="auto"/>
              <w:right w:val="single" w:sz="4" w:space="0" w:color="auto"/>
            </w:tcBorders>
            <w:vAlign w:val="center"/>
          </w:tcPr>
          <w:p w14:paraId="6FADB948" w14:textId="77777777" w:rsidR="0069307D" w:rsidRPr="00B27E56" w:rsidRDefault="0069307D" w:rsidP="00B272BA">
            <w:pPr>
              <w:pStyle w:val="TAC"/>
            </w:pPr>
            <w:r w:rsidRPr="00B27E56">
              <w:t>3</w:t>
            </w:r>
          </w:p>
        </w:tc>
        <w:tc>
          <w:tcPr>
            <w:tcW w:w="3385" w:type="dxa"/>
            <w:tcBorders>
              <w:top w:val="single" w:sz="4" w:space="0" w:color="auto"/>
              <w:left w:val="single" w:sz="4" w:space="0" w:color="auto"/>
              <w:bottom w:val="single" w:sz="4" w:space="0" w:color="auto"/>
              <w:right w:val="single" w:sz="4" w:space="0" w:color="auto"/>
            </w:tcBorders>
            <w:vAlign w:val="center"/>
          </w:tcPr>
          <w:p w14:paraId="76A9FA1C" w14:textId="77777777" w:rsidR="0069307D" w:rsidRPr="00B27E56" w:rsidRDefault="0069307D" w:rsidP="00B272BA">
            <w:pPr>
              <w:pStyle w:val="TAC"/>
            </w:pPr>
            <w:r w:rsidRPr="00B27E56">
              <w:t>40</w:t>
            </w:r>
          </w:p>
        </w:tc>
        <w:tc>
          <w:tcPr>
            <w:tcW w:w="3420" w:type="dxa"/>
            <w:tcBorders>
              <w:top w:val="single" w:sz="4" w:space="0" w:color="auto"/>
              <w:left w:val="single" w:sz="4" w:space="0" w:color="auto"/>
              <w:bottom w:val="single" w:sz="4" w:space="0" w:color="auto"/>
              <w:right w:val="single" w:sz="4" w:space="0" w:color="auto"/>
            </w:tcBorders>
          </w:tcPr>
          <w:p w14:paraId="71ED0738" w14:textId="77777777" w:rsidR="0069307D" w:rsidRPr="00B27E56" w:rsidRDefault="0069307D" w:rsidP="00B272BA">
            <w:pPr>
              <w:pStyle w:val="TAC"/>
            </w:pPr>
            <w:r w:rsidRPr="00B27E56">
              <w:t>-</w:t>
            </w:r>
          </w:p>
        </w:tc>
      </w:tr>
      <w:tr w:rsidR="0069307D" w:rsidRPr="00B27E56" w14:paraId="075A97E6" w14:textId="77777777" w:rsidTr="0069307D">
        <w:trPr>
          <w:cantSplit/>
          <w:jc w:val="center"/>
        </w:trPr>
        <w:tc>
          <w:tcPr>
            <w:tcW w:w="300" w:type="dxa"/>
            <w:tcBorders>
              <w:top w:val="single" w:sz="4" w:space="0" w:color="auto"/>
              <w:left w:val="single" w:sz="4" w:space="0" w:color="auto"/>
              <w:bottom w:val="single" w:sz="4" w:space="0" w:color="auto"/>
              <w:right w:val="single" w:sz="4" w:space="0" w:color="auto"/>
            </w:tcBorders>
            <w:vAlign w:val="center"/>
          </w:tcPr>
          <w:p w14:paraId="473E740A" w14:textId="77777777" w:rsidR="0069307D" w:rsidRPr="00B27E56" w:rsidRDefault="0069307D" w:rsidP="00B272BA">
            <w:pPr>
              <w:pStyle w:val="TAC"/>
            </w:pPr>
            <w:r>
              <w:t>5</w:t>
            </w:r>
          </w:p>
        </w:tc>
        <w:tc>
          <w:tcPr>
            <w:tcW w:w="3385" w:type="dxa"/>
            <w:tcBorders>
              <w:top w:val="single" w:sz="4" w:space="0" w:color="auto"/>
              <w:left w:val="single" w:sz="4" w:space="0" w:color="auto"/>
              <w:bottom w:val="single" w:sz="4" w:space="0" w:color="auto"/>
              <w:right w:val="single" w:sz="4" w:space="0" w:color="auto"/>
            </w:tcBorders>
            <w:vAlign w:val="center"/>
          </w:tcPr>
          <w:p w14:paraId="41F682F1" w14:textId="77777777" w:rsidR="0069307D" w:rsidRPr="00B27E56" w:rsidRDefault="0069307D" w:rsidP="00B272BA">
            <w:pPr>
              <w:pStyle w:val="TAC"/>
            </w:pPr>
            <w:r w:rsidRPr="00B27E56">
              <w:t>160</w:t>
            </w:r>
          </w:p>
        </w:tc>
        <w:tc>
          <w:tcPr>
            <w:tcW w:w="3420" w:type="dxa"/>
            <w:tcBorders>
              <w:top w:val="single" w:sz="4" w:space="0" w:color="auto"/>
              <w:left w:val="single" w:sz="4" w:space="0" w:color="auto"/>
              <w:bottom w:val="single" w:sz="4" w:space="0" w:color="auto"/>
              <w:right w:val="single" w:sz="4" w:space="0" w:color="auto"/>
            </w:tcBorders>
          </w:tcPr>
          <w:p w14:paraId="290A3331" w14:textId="77777777" w:rsidR="0069307D" w:rsidRPr="00B27E56" w:rsidRDefault="0069307D" w:rsidP="00B272BA">
            <w:pPr>
              <w:pStyle w:val="TAC"/>
            </w:pPr>
            <w:r w:rsidRPr="00B27E56">
              <w:t>-</w:t>
            </w:r>
          </w:p>
        </w:tc>
      </w:tr>
      <w:tr w:rsidR="0069307D" w:rsidRPr="00B27E56" w14:paraId="179F6457" w14:textId="77777777" w:rsidTr="0069307D">
        <w:trPr>
          <w:cantSplit/>
          <w:jc w:val="center"/>
        </w:trPr>
        <w:tc>
          <w:tcPr>
            <w:tcW w:w="300" w:type="dxa"/>
            <w:tcBorders>
              <w:top w:val="single" w:sz="4" w:space="0" w:color="auto"/>
              <w:left w:val="single" w:sz="4" w:space="0" w:color="auto"/>
              <w:bottom w:val="single" w:sz="4" w:space="0" w:color="auto"/>
              <w:right w:val="single" w:sz="4" w:space="0" w:color="auto"/>
            </w:tcBorders>
            <w:vAlign w:val="center"/>
          </w:tcPr>
          <w:p w14:paraId="398215C4" w14:textId="77777777" w:rsidR="0069307D" w:rsidRPr="00B27E56" w:rsidRDefault="0069307D" w:rsidP="00B272BA">
            <w:pPr>
              <w:pStyle w:val="TAC"/>
            </w:pPr>
            <w:r>
              <w:t>6</w:t>
            </w:r>
          </w:p>
        </w:tc>
        <w:tc>
          <w:tcPr>
            <w:tcW w:w="3385" w:type="dxa"/>
            <w:tcBorders>
              <w:top w:val="single" w:sz="4" w:space="0" w:color="auto"/>
              <w:left w:val="single" w:sz="4" w:space="0" w:color="auto"/>
              <w:bottom w:val="single" w:sz="4" w:space="0" w:color="auto"/>
              <w:right w:val="single" w:sz="4" w:space="0" w:color="auto"/>
            </w:tcBorders>
            <w:vAlign w:val="center"/>
          </w:tcPr>
          <w:p w14:paraId="4E89D76B" w14:textId="77777777" w:rsidR="0069307D" w:rsidRPr="00B27E56" w:rsidRDefault="0069307D" w:rsidP="00B272BA">
            <w:pPr>
              <w:pStyle w:val="TAC"/>
            </w:pPr>
            <w:r w:rsidRPr="00B27E56">
              <w:t>320</w:t>
            </w:r>
          </w:p>
        </w:tc>
        <w:tc>
          <w:tcPr>
            <w:tcW w:w="3420" w:type="dxa"/>
            <w:tcBorders>
              <w:top w:val="single" w:sz="4" w:space="0" w:color="auto"/>
              <w:left w:val="single" w:sz="4" w:space="0" w:color="auto"/>
              <w:bottom w:val="single" w:sz="4" w:space="0" w:color="auto"/>
              <w:right w:val="single" w:sz="4" w:space="0" w:color="auto"/>
            </w:tcBorders>
          </w:tcPr>
          <w:p w14:paraId="191A0E32" w14:textId="77777777" w:rsidR="0069307D" w:rsidRPr="00B27E56" w:rsidRDefault="0069307D" w:rsidP="00B272BA">
            <w:pPr>
              <w:pStyle w:val="TAC"/>
            </w:pPr>
            <w:r w:rsidRPr="00B27E56">
              <w:t>-</w:t>
            </w:r>
          </w:p>
        </w:tc>
      </w:tr>
    </w:tbl>
    <w:p w14:paraId="346231E8" w14:textId="77777777" w:rsidR="00D93568" w:rsidRDefault="00D93568" w:rsidP="00CB4690">
      <w:pPr>
        <w:rPr>
          <w:lang w:eastAsia="zh-CN"/>
        </w:rPr>
      </w:pPr>
    </w:p>
    <w:p w14:paraId="14B32ED9" w14:textId="6F81A2F8" w:rsidR="00C35265" w:rsidRPr="00D26445" w:rsidRDefault="00C35265" w:rsidP="00CB4690">
      <w:pPr>
        <w:rPr>
          <w:lang w:eastAsia="zh-CN"/>
        </w:rPr>
      </w:pPr>
      <w:r>
        <w:rPr>
          <w:lang w:eastAsia="zh-CN"/>
        </w:rPr>
        <w:t>A</w:t>
      </w:r>
      <w:r w:rsidRPr="00D26445">
        <w:rPr>
          <w:lang w:eastAsia="zh-CN"/>
        </w:rPr>
        <w:t xml:space="preserve"> UE can be provided, by </w:t>
      </w:r>
      <w:r w:rsidRPr="00D26445">
        <w:rPr>
          <w:i/>
          <w:lang w:eastAsia="zh-CN"/>
        </w:rPr>
        <w:t>searchSpaceSwitchTimer</w:t>
      </w:r>
      <w:r w:rsidRPr="00D26445">
        <w:rPr>
          <w:lang w:eastAsia="zh-CN"/>
        </w:rPr>
        <w:t>, a timer value</w:t>
      </w:r>
      <w:r w:rsidRPr="007845EF">
        <w:rPr>
          <w:lang w:eastAsia="zh-CN"/>
        </w:rPr>
        <w:t xml:space="preserve"> </w:t>
      </w:r>
      <w:r w:rsidRPr="005348FB">
        <w:rPr>
          <w:lang w:eastAsia="zh-CN"/>
        </w:rPr>
        <w:t xml:space="preserve">for </w:t>
      </w:r>
      <w:r w:rsidRPr="005348FB">
        <w:rPr>
          <w:lang w:eastAsia="ko-KR"/>
        </w:rPr>
        <w:t xml:space="preserve">a serving cell </w:t>
      </w:r>
      <w:r>
        <w:rPr>
          <w:lang w:eastAsia="ko-KR"/>
        </w:rPr>
        <w:t>that</w:t>
      </w:r>
      <w:r w:rsidRPr="005348FB">
        <w:rPr>
          <w:lang w:eastAsia="ko-KR"/>
        </w:rPr>
        <w:t xml:space="preserve"> the UE is provided </w:t>
      </w:r>
      <w:r w:rsidRPr="005348FB">
        <w:rPr>
          <w:i/>
          <w:iCs/>
          <w:lang w:eastAsia="ko-KR"/>
        </w:rPr>
        <w:t xml:space="preserve">searchSpaceGroupIdList </w:t>
      </w:r>
      <w:r w:rsidRPr="005348FB">
        <w:rPr>
          <w:lang w:eastAsia="ko-KR"/>
        </w:rPr>
        <w:t xml:space="preserve">or, if provided, </w:t>
      </w:r>
      <w:r>
        <w:rPr>
          <w:lang w:eastAsia="ko-KR"/>
        </w:rPr>
        <w:t xml:space="preserve">for </w:t>
      </w:r>
      <w:r w:rsidRPr="005348FB">
        <w:rPr>
          <w:lang w:eastAsia="ko-KR"/>
        </w:rPr>
        <w:t xml:space="preserve">a set of serving cells provided by </w:t>
      </w:r>
      <w:r w:rsidR="00AA72D3">
        <w:rPr>
          <w:i/>
          <w:iCs/>
        </w:rPr>
        <w:t>cellGroupsForSwitchList</w:t>
      </w:r>
      <w:r w:rsidRPr="00D26445">
        <w:rPr>
          <w:lang w:eastAsia="zh-CN"/>
        </w:rPr>
        <w:t xml:space="preserve">. The UE decrements the timer value by one after each slot </w:t>
      </w:r>
      <w:r>
        <w:rPr>
          <w:lang w:eastAsia="zh-CN"/>
        </w:rPr>
        <w:t xml:space="preserve">based on a reference SCS </w:t>
      </w:r>
      <w:r>
        <w:t xml:space="preserve">configuration </w:t>
      </w:r>
      <w:r w:rsidRPr="005348FB">
        <w:rPr>
          <w:lang w:eastAsia="ko-KR"/>
        </w:rPr>
        <w:t xml:space="preserve">that is the smallest SCS configuration </w:t>
      </w:r>
      <m:oMath>
        <m:r>
          <w:rPr>
            <w:rFonts w:ascii="Cambria Math" w:hAnsi="Cambria Math"/>
          </w:rPr>
          <m:t>μ</m:t>
        </m:r>
      </m:oMath>
      <w:r>
        <w:t xml:space="preserve"> </w:t>
      </w:r>
      <w:r w:rsidRPr="005348FB">
        <w:rPr>
          <w:lang w:eastAsia="ko-KR"/>
        </w:rPr>
        <w:t>among all configured DL BWPs in the serving cell</w:t>
      </w:r>
      <w:r>
        <w:rPr>
          <w:lang w:eastAsia="ko-KR"/>
        </w:rPr>
        <w:t>,</w:t>
      </w:r>
      <w:r w:rsidRPr="005348FB">
        <w:rPr>
          <w:lang w:eastAsia="ko-KR"/>
        </w:rPr>
        <w:t xml:space="preserve"> or </w:t>
      </w:r>
      <w:r>
        <w:rPr>
          <w:lang w:eastAsia="ko-KR"/>
        </w:rPr>
        <w:t xml:space="preserve">in </w:t>
      </w:r>
      <w:r w:rsidRPr="005348FB">
        <w:rPr>
          <w:lang w:eastAsia="ko-KR"/>
        </w:rPr>
        <w:t>the set of serving cells</w:t>
      </w:r>
      <w:r w:rsidRPr="00D26445">
        <w:rPr>
          <w:lang w:eastAsia="zh-CN"/>
        </w:rPr>
        <w:t>.</w:t>
      </w:r>
      <w:r>
        <w:rPr>
          <w:lang w:eastAsia="zh-CN"/>
        </w:rPr>
        <w:t xml:space="preserve"> The </w:t>
      </w:r>
      <w:r w:rsidRPr="005348FB">
        <w:rPr>
          <w:lang w:eastAsia="zh-CN"/>
        </w:rPr>
        <w:t xml:space="preserve">UE maintains the reference SCS </w:t>
      </w:r>
      <w:r>
        <w:rPr>
          <w:lang w:eastAsia="zh-CN"/>
        </w:rPr>
        <w:t xml:space="preserve">configuration </w:t>
      </w:r>
      <w:r w:rsidRPr="005348FB">
        <w:rPr>
          <w:lang w:eastAsia="zh-CN"/>
        </w:rPr>
        <w:t xml:space="preserve">during </w:t>
      </w:r>
      <w:r>
        <w:rPr>
          <w:lang w:eastAsia="zh-CN"/>
        </w:rPr>
        <w:t xml:space="preserve">the </w:t>
      </w:r>
      <w:r w:rsidRPr="005348FB">
        <w:rPr>
          <w:lang w:eastAsia="zh-CN"/>
        </w:rPr>
        <w:t>timer decrement procedure</w:t>
      </w:r>
      <w:r>
        <w:rPr>
          <w:lang w:eastAsia="zh-CN"/>
        </w:rPr>
        <w:t xml:space="preserve">. </w:t>
      </w:r>
    </w:p>
    <w:p w14:paraId="1226E7D7" w14:textId="06890669" w:rsidR="0000023C" w:rsidRPr="00D26445" w:rsidRDefault="0000023C" w:rsidP="0000023C">
      <w:r w:rsidRPr="00D26445">
        <w:rPr>
          <w:lang w:eastAsia="zh-CN"/>
        </w:rPr>
        <w:t xml:space="preserve">If </w:t>
      </w:r>
      <w:r>
        <w:rPr>
          <w:lang w:eastAsia="zh-CN"/>
        </w:rPr>
        <w:t>a</w:t>
      </w:r>
      <w:r w:rsidRPr="00D26445">
        <w:rPr>
          <w:lang w:eastAsia="zh-CN"/>
        </w:rPr>
        <w:t xml:space="preserve"> UE is provided</w:t>
      </w:r>
      <w:r w:rsidRPr="00D26445">
        <w:t xml:space="preserve"> by </w:t>
      </w:r>
      <w:r w:rsidRPr="00D26445">
        <w:rPr>
          <w:i/>
          <w:iCs/>
        </w:rPr>
        <w:t>SearchSpaceSwitchTrigger</w:t>
      </w:r>
      <w:r w:rsidRPr="00D26445">
        <w:rPr>
          <w:iCs/>
        </w:rPr>
        <w:t xml:space="preserve"> a location of a search space set </w:t>
      </w:r>
      <w:r w:rsidR="00D93568">
        <w:rPr>
          <w:iCs/>
        </w:rPr>
        <w:t xml:space="preserve">group </w:t>
      </w:r>
      <w:r w:rsidRPr="00D26445">
        <w:rPr>
          <w:iCs/>
        </w:rPr>
        <w:t xml:space="preserve">switching </w:t>
      </w:r>
      <w:r w:rsidR="00D93568">
        <w:rPr>
          <w:iCs/>
        </w:rPr>
        <w:t xml:space="preserve">flag </w:t>
      </w:r>
      <w:r w:rsidRPr="00D26445">
        <w:rPr>
          <w:iCs/>
        </w:rPr>
        <w:t>field in a DCI format 2_0</w:t>
      </w:r>
      <w:r w:rsidRPr="00D26445">
        <w:t xml:space="preserve">, as described </w:t>
      </w:r>
      <w:r w:rsidR="006F5F9E">
        <w:t>in clause</w:t>
      </w:r>
      <w:r w:rsidRPr="00D26445">
        <w:t xml:space="preserve"> 11.1.1</w:t>
      </w:r>
      <w:r w:rsidR="00715CBE">
        <w:t xml:space="preserve">, </w:t>
      </w:r>
      <w:r w:rsidR="00715CBE">
        <w:rPr>
          <w:iCs/>
        </w:rPr>
        <w:t xml:space="preserve">for a serving cell where the UE has active DL BWP with SCS configuration </w:t>
      </w:r>
      <m:oMath>
        <m:r>
          <w:rPr>
            <w:rFonts w:ascii="Cambria Math" w:hAnsi="Cambria Math"/>
          </w:rPr>
          <m:t>μ</m:t>
        </m:r>
      </m:oMath>
      <w:r w:rsidR="00D93568" w:rsidRPr="00D26445">
        <w:t xml:space="preserve"> </w:t>
      </w:r>
    </w:p>
    <w:p w14:paraId="200D1D70" w14:textId="77777777" w:rsidR="00715CBE" w:rsidRDefault="0000023C" w:rsidP="0000023C">
      <w:pPr>
        <w:pStyle w:val="B1"/>
      </w:pPr>
      <w:r w:rsidRPr="000E56C4">
        <w:t>-</w:t>
      </w:r>
      <w:r w:rsidRPr="000E56C4">
        <w:tab/>
        <w:t xml:space="preserve">if the UE </w:t>
      </w:r>
      <w:r w:rsidR="00D93568" w:rsidRPr="00BD6259">
        <w:t xml:space="preserve">detects a DCI format 2_0 and a value of the search space set </w:t>
      </w:r>
      <w:r w:rsidR="00D93568">
        <w:rPr>
          <w:lang w:val="en-US"/>
        </w:rPr>
        <w:t xml:space="preserve">group </w:t>
      </w:r>
      <w:r w:rsidR="00D93568" w:rsidRPr="00BD6259">
        <w:t>switching f</w:t>
      </w:r>
      <w:r w:rsidR="00D93568">
        <w:rPr>
          <w:lang w:val="en-US"/>
        </w:rPr>
        <w:t>lag field</w:t>
      </w:r>
      <w:r w:rsidR="00D93568" w:rsidRPr="00BD6259">
        <w:t xml:space="preserve"> in the DCI format 2_0 is 0</w:t>
      </w:r>
      <w:r w:rsidRPr="000E56C4">
        <w:t>, the UE starts monitoring PDCCH according to search space sets with group index 0</w:t>
      </w:r>
      <w:r>
        <w:t>,</w:t>
      </w:r>
      <w:r w:rsidRPr="000E56C4">
        <w:t xml:space="preserve"> and stops monitoring PDCCH according to search space sets with group index 1</w:t>
      </w:r>
      <w:r>
        <w:t>,</w:t>
      </w:r>
      <w:r w:rsidRPr="000E56C4">
        <w:t xml:space="preserve"> </w:t>
      </w:r>
      <w:r w:rsidR="00AA72D3">
        <w:rPr>
          <w:lang w:val="en-US"/>
        </w:rPr>
        <w:t>for</w:t>
      </w:r>
      <w:r w:rsidR="00AA72D3" w:rsidRPr="000E56C4">
        <w:t xml:space="preserve"> </w:t>
      </w:r>
      <w:r w:rsidRPr="000E56C4">
        <w:t xml:space="preserve">the serving cell </w:t>
      </w:r>
    </w:p>
    <w:p w14:paraId="2DC2FBBD" w14:textId="51C79A19" w:rsidR="00715CBE" w:rsidRPr="00715CBE" w:rsidRDefault="00715CBE" w:rsidP="00715CBE">
      <w:pPr>
        <w:pStyle w:val="B2"/>
        <w:rPr>
          <w:lang w:eastAsia="zh-CN"/>
        </w:rPr>
      </w:pPr>
      <w:r>
        <w:t>-</w:t>
      </w:r>
      <w:r>
        <w:tab/>
      </w:r>
      <w:r w:rsidR="0000023C" w:rsidRPr="000E56C4">
        <w:t xml:space="preserve">at </w:t>
      </w:r>
      <w:r>
        <w:rPr>
          <w:lang w:val="en-GB"/>
        </w:rPr>
        <w:t>the beginning of the</w:t>
      </w:r>
      <w:r w:rsidR="0000023C" w:rsidRPr="000E56C4">
        <w:t xml:space="preserve"> first slot that is at least </w:t>
      </w:r>
      <m:oMath>
        <m:sSub>
          <m:sSubPr>
            <m:ctrlPr>
              <w:rPr>
                <w:rFonts w:ascii="Cambria Math" w:hAnsi="Cambria Math"/>
                <w:i/>
              </w:rPr>
            </m:ctrlPr>
          </m:sSubPr>
          <m:e>
            <m:r>
              <w:rPr>
                <w:rFonts w:ascii="Cambria Math" w:hAnsi="Cambria Math"/>
              </w:rPr>
              <m:t>P</m:t>
            </m:r>
          </m:e>
          <m:sub>
            <m:r>
              <w:rPr>
                <w:rFonts w:ascii="Cambria Math" w:hAnsi="Cambria Math"/>
              </w:rPr>
              <m:t>switch</m:t>
            </m:r>
          </m:sub>
        </m:sSub>
      </m:oMath>
      <w:r w:rsidR="0000023C" w:rsidRPr="000E56C4">
        <w:t xml:space="preserve"> symbols after the </w:t>
      </w:r>
      <w:r w:rsidR="00E103F9" w:rsidRPr="00370E38">
        <w:t>last symbol of the PDCCH with the DCI format 2_0</w:t>
      </w:r>
      <w:r>
        <w:rPr>
          <w:lang w:val="en-GB"/>
        </w:rPr>
        <w:t xml:space="preserve"> </w:t>
      </w:r>
      <w:r w:rsidRPr="006C02D1">
        <w:rPr>
          <w:lang w:val="en-US"/>
        </w:rPr>
        <w:t xml:space="preserve">when </w:t>
      </w:r>
      <m:oMath>
        <m:r>
          <w:rPr>
            <w:rFonts w:ascii="Cambria Math" w:hAnsi="Cambria Math"/>
            <w:lang w:eastAsia="zh-CN"/>
          </w:rPr>
          <m:t>μ∈</m:t>
        </m:r>
        <m:d>
          <m:dPr>
            <m:begChr m:val="{"/>
            <m:endChr m:val="}"/>
            <m:ctrlPr>
              <w:rPr>
                <w:rFonts w:ascii="Cambria Math" w:hAnsi="Cambria Math"/>
                <w:i/>
                <w:sz w:val="24"/>
                <w:szCs w:val="24"/>
                <w:lang w:eastAsia="zh-CN"/>
              </w:rPr>
            </m:ctrlPr>
          </m:dPr>
          <m:e>
            <m:r>
              <w:rPr>
                <w:rFonts w:ascii="Cambria Math" w:hAnsi="Cambria Math"/>
                <w:lang w:eastAsia="zh-CN"/>
              </w:rPr>
              <m:t>0, 1, 2, 3</m:t>
            </m:r>
          </m:e>
        </m:d>
      </m:oMath>
    </w:p>
    <w:p w14:paraId="7998F141" w14:textId="2CFDD532" w:rsidR="0000023C" w:rsidRPr="00715CBE" w:rsidRDefault="00715CBE" w:rsidP="00715CBE">
      <w:pPr>
        <w:pStyle w:val="B2"/>
        <w:rPr>
          <w:lang w:val="en-GB"/>
        </w:rPr>
      </w:pPr>
      <w:r>
        <w:t>-</w:t>
      </w:r>
      <w:r>
        <w:tab/>
      </w:r>
      <w:r w:rsidRPr="00EB15EB">
        <w:t xml:space="preserve">at </w:t>
      </w:r>
      <w:r>
        <w:rPr>
          <w:lang w:val="en-US"/>
        </w:rPr>
        <w:t>the beginning of the</w:t>
      </w:r>
      <w:r w:rsidRPr="00EB15EB">
        <w:t xml:space="preserve"> first </w:t>
      </w:r>
      <w:r w:rsidRPr="0062373D">
        <w:t>slot</w:t>
      </w:r>
      <w:r>
        <w:rPr>
          <w:lang w:val="en-US"/>
        </w:rPr>
        <w:t>,</w:t>
      </w:r>
      <w:r w:rsidRPr="0062373D">
        <w:t xml:space="preserve"> </w:t>
      </w:r>
      <w:r w:rsidRPr="0062373D">
        <w:rPr>
          <w:lang w:val="en-US"/>
        </w:rPr>
        <w:t xml:space="preserve">of a 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sidRPr="0062373D">
        <w:rPr>
          <w:lang w:val="en-US" w:eastAsia="zh-CN"/>
        </w:rPr>
        <w:t xml:space="preserve"> slots</w:t>
      </w:r>
      <w:r>
        <w:rPr>
          <w:lang w:val="en-US" w:eastAsia="zh-CN"/>
        </w:rPr>
        <w:t>,</w:t>
      </w:r>
      <w:r w:rsidRPr="0062373D">
        <w:rPr>
          <w:lang w:val="en-US" w:eastAsia="zh-CN"/>
        </w:rPr>
        <w:t xml:space="preserve"> </w:t>
      </w:r>
      <w:r w:rsidRPr="0062373D">
        <w:t>that is at least</w:t>
      </w:r>
      <w:r>
        <w:t xml:space="preserve"> </w:t>
      </w:r>
      <m:oMath>
        <m:sSub>
          <m:sSubPr>
            <m:ctrlPr>
              <w:rPr>
                <w:rFonts w:ascii="Cambria Math" w:hAnsi="Cambria Math"/>
                <w:i/>
              </w:rPr>
            </m:ctrlPr>
          </m:sSubPr>
          <m:e>
            <m:r>
              <w:rPr>
                <w:rFonts w:ascii="Cambria Math" w:hAnsi="Cambria Math"/>
              </w:rPr>
              <m:t>P</m:t>
            </m:r>
          </m:e>
          <m:sub>
            <m:r>
              <w:rPr>
                <w:rFonts w:ascii="Cambria Math" w:hAnsi="Cambria Math"/>
              </w:rPr>
              <m:t>switch</m:t>
            </m:r>
          </m:sub>
        </m:sSub>
      </m:oMath>
      <w:r>
        <w:t xml:space="preserve"> symbols after the last symbol of the PDCCH with the DCI format 2_0</w:t>
      </w:r>
      <w:r>
        <w:rPr>
          <w:lang w:val="en-US"/>
        </w:rPr>
        <w:t xml:space="preserve"> </w:t>
      </w:r>
      <w:r w:rsidRPr="006C02D1">
        <w:rPr>
          <w:lang w:val="en-US"/>
        </w:rPr>
        <w:t xml:space="preserve">when </w:t>
      </w:r>
      <m:oMath>
        <m:r>
          <w:rPr>
            <w:rFonts w:ascii="Cambria Math" w:hAnsi="Cambria Math"/>
            <w:lang w:eastAsia="zh-CN"/>
          </w:rPr>
          <m:t>μ∈</m:t>
        </m:r>
        <m:d>
          <m:dPr>
            <m:begChr m:val="{"/>
            <m:endChr m:val="}"/>
            <m:ctrlPr>
              <w:rPr>
                <w:rFonts w:ascii="Cambria Math" w:hAnsi="Cambria Math"/>
                <w:i/>
                <w:sz w:val="24"/>
                <w:szCs w:val="24"/>
                <w:lang w:eastAsia="zh-CN"/>
              </w:rPr>
            </m:ctrlPr>
          </m:dPr>
          <m:e>
            <m:r>
              <w:rPr>
                <w:rFonts w:ascii="Cambria Math" w:hAnsi="Cambria Math"/>
                <w:lang w:eastAsia="zh-CN"/>
              </w:rPr>
              <m:t>5, 6</m:t>
            </m:r>
          </m:e>
        </m:d>
      </m:oMath>
    </w:p>
    <w:p w14:paraId="647FE9F7" w14:textId="77777777" w:rsidR="00715CBE" w:rsidRDefault="0000023C" w:rsidP="0000023C">
      <w:pPr>
        <w:pStyle w:val="B1"/>
      </w:pPr>
      <w:r w:rsidRPr="00D26445">
        <w:lastRenderedPageBreak/>
        <w:t>-</w:t>
      </w:r>
      <w:r w:rsidRPr="00D26445">
        <w:tab/>
        <w:t xml:space="preserve">if the UE </w:t>
      </w:r>
      <w:r w:rsidR="00D93568" w:rsidRPr="00BD6259">
        <w:t xml:space="preserve">detects a DCI format 2_0 and a value of the search space set </w:t>
      </w:r>
      <w:r w:rsidR="00D93568">
        <w:rPr>
          <w:lang w:val="en-US"/>
        </w:rPr>
        <w:t xml:space="preserve">group </w:t>
      </w:r>
      <w:r w:rsidR="00D93568" w:rsidRPr="00BD6259">
        <w:t xml:space="preserve">switching </w:t>
      </w:r>
      <w:r w:rsidR="00D93568">
        <w:rPr>
          <w:lang w:val="en-US"/>
        </w:rPr>
        <w:t xml:space="preserve">flag </w:t>
      </w:r>
      <w:r w:rsidR="00D93568" w:rsidRPr="00BD6259">
        <w:t xml:space="preserve">field in the DCI format 2_0 is </w:t>
      </w:r>
      <w:r w:rsidR="00D93568">
        <w:rPr>
          <w:lang w:val="en-US"/>
        </w:rPr>
        <w:t>1</w:t>
      </w:r>
      <w:r w:rsidRPr="00D26445">
        <w:t xml:space="preserve">, the UE </w:t>
      </w:r>
      <w:r w:rsidR="00D93568" w:rsidRPr="000E56C4">
        <w:t>starts monitoring</w:t>
      </w:r>
      <w:r w:rsidRPr="00D26445">
        <w:t xml:space="preserve"> PDCCH according to search space sets with group index 1</w:t>
      </w:r>
      <w:r>
        <w:t>,</w:t>
      </w:r>
      <w:r w:rsidRPr="00D26445">
        <w:t xml:space="preserve"> </w:t>
      </w:r>
      <w:r w:rsidRPr="000E56C4">
        <w:t>and stops monitoring PDCCH according to sear</w:t>
      </w:r>
      <w:r>
        <w:t>ch space sets with group index 0,</w:t>
      </w:r>
      <w:r w:rsidRPr="000E56C4">
        <w:t xml:space="preserve"> </w:t>
      </w:r>
      <w:r w:rsidR="00AA72D3">
        <w:rPr>
          <w:lang w:val="en-US"/>
        </w:rPr>
        <w:t>for</w:t>
      </w:r>
      <w:r w:rsidR="00AA72D3" w:rsidRPr="000E56C4">
        <w:t xml:space="preserve"> </w:t>
      </w:r>
      <w:r w:rsidRPr="000E56C4">
        <w:t>the serving cell</w:t>
      </w:r>
      <w:r w:rsidRPr="00D26445">
        <w:t xml:space="preserve"> </w:t>
      </w:r>
    </w:p>
    <w:p w14:paraId="794E8A33" w14:textId="716F9482" w:rsidR="00715CBE" w:rsidRPr="00715CBE" w:rsidRDefault="00715CBE" w:rsidP="00715CBE">
      <w:pPr>
        <w:pStyle w:val="B2"/>
        <w:rPr>
          <w:lang w:eastAsia="zh-CN"/>
        </w:rPr>
      </w:pPr>
      <w:r>
        <w:t>-</w:t>
      </w:r>
      <w:r>
        <w:tab/>
      </w:r>
      <w:r w:rsidR="0000023C" w:rsidRPr="00D26445">
        <w:t xml:space="preserve">at </w:t>
      </w:r>
      <w:r>
        <w:rPr>
          <w:lang w:val="en-GB"/>
        </w:rPr>
        <w:t>the beginning of the</w:t>
      </w:r>
      <w:r w:rsidRPr="00D26445">
        <w:t xml:space="preserve"> </w:t>
      </w:r>
      <w:r w:rsidR="0000023C" w:rsidRPr="00D26445">
        <w:t xml:space="preserve">first slot that is at least </w:t>
      </w:r>
      <m:oMath>
        <m:sSub>
          <m:sSubPr>
            <m:ctrlPr>
              <w:rPr>
                <w:rFonts w:ascii="Cambria Math" w:hAnsi="Cambria Math"/>
                <w:i/>
              </w:rPr>
            </m:ctrlPr>
          </m:sSubPr>
          <m:e>
            <m:r>
              <w:rPr>
                <w:rFonts w:ascii="Cambria Math" w:hAnsi="Cambria Math"/>
              </w:rPr>
              <m:t>P</m:t>
            </m:r>
          </m:e>
          <m:sub>
            <m:r>
              <w:rPr>
                <w:rFonts w:ascii="Cambria Math" w:hAnsi="Cambria Math"/>
              </w:rPr>
              <m:t>switch</m:t>
            </m:r>
          </m:sub>
        </m:sSub>
      </m:oMath>
      <w:r w:rsidR="0000023C" w:rsidRPr="00D26445">
        <w:t xml:space="preserve"> symbols after the </w:t>
      </w:r>
      <w:r w:rsidR="00E103F9" w:rsidRPr="00370E38">
        <w:t>last symbol of the PDCCH with the DCI format 2_0</w:t>
      </w:r>
      <w:r w:rsidR="0000023C" w:rsidRPr="00D26445">
        <w:t xml:space="preserve">, </w:t>
      </w:r>
      <w:r w:rsidRPr="006C02D1">
        <w:rPr>
          <w:lang w:val="en-US"/>
        </w:rPr>
        <w:t xml:space="preserve">when </w:t>
      </w:r>
      <m:oMath>
        <m:r>
          <w:rPr>
            <w:rFonts w:ascii="Cambria Math" w:hAnsi="Cambria Math"/>
            <w:lang w:eastAsia="zh-CN"/>
          </w:rPr>
          <m:t>μ∈</m:t>
        </m:r>
        <m:d>
          <m:dPr>
            <m:begChr m:val="{"/>
            <m:endChr m:val="}"/>
            <m:ctrlPr>
              <w:rPr>
                <w:rFonts w:ascii="Cambria Math" w:hAnsi="Cambria Math"/>
                <w:i/>
                <w:sz w:val="24"/>
                <w:szCs w:val="24"/>
                <w:lang w:eastAsia="zh-CN"/>
              </w:rPr>
            </m:ctrlPr>
          </m:dPr>
          <m:e>
            <m:r>
              <w:rPr>
                <w:rFonts w:ascii="Cambria Math" w:hAnsi="Cambria Math"/>
                <w:lang w:eastAsia="zh-CN"/>
              </w:rPr>
              <m:t>0, 1, 2, 3</m:t>
            </m:r>
          </m:e>
        </m:d>
      </m:oMath>
    </w:p>
    <w:p w14:paraId="5518C6CE" w14:textId="3D2D6677" w:rsidR="00715CBE" w:rsidRPr="00715CBE" w:rsidRDefault="00715CBE" w:rsidP="00715CBE">
      <w:pPr>
        <w:pStyle w:val="B2"/>
        <w:rPr>
          <w:lang w:eastAsia="zh-CN"/>
        </w:rPr>
      </w:pPr>
      <w:r>
        <w:t>-</w:t>
      </w:r>
      <w:r>
        <w:tab/>
      </w:r>
      <w:r w:rsidRPr="00EB15EB">
        <w:t xml:space="preserve">at </w:t>
      </w:r>
      <w:r>
        <w:rPr>
          <w:lang w:val="en-US"/>
        </w:rPr>
        <w:t>the beginning of the</w:t>
      </w:r>
      <w:r w:rsidRPr="00EB15EB">
        <w:t xml:space="preserve"> first </w:t>
      </w:r>
      <w:r w:rsidRPr="0062373D">
        <w:t>slot</w:t>
      </w:r>
      <w:r>
        <w:rPr>
          <w:lang w:val="en-US"/>
        </w:rPr>
        <w:t>,</w:t>
      </w:r>
      <w:r w:rsidRPr="0062373D">
        <w:t xml:space="preserve"> </w:t>
      </w:r>
      <w:r w:rsidRPr="0062373D">
        <w:rPr>
          <w:lang w:val="en-US"/>
        </w:rPr>
        <w:t xml:space="preserve">of a 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sidRPr="0062373D">
        <w:rPr>
          <w:lang w:val="en-US" w:eastAsia="zh-CN"/>
        </w:rPr>
        <w:t xml:space="preserve"> slots</w:t>
      </w:r>
      <w:r>
        <w:rPr>
          <w:lang w:val="en-US" w:eastAsia="zh-CN"/>
        </w:rPr>
        <w:t>,</w:t>
      </w:r>
      <w:r w:rsidRPr="0062373D">
        <w:rPr>
          <w:lang w:val="en-US" w:eastAsia="zh-CN"/>
        </w:rPr>
        <w:t xml:space="preserve"> </w:t>
      </w:r>
      <w:r w:rsidRPr="0062373D">
        <w:t>that is at least</w:t>
      </w:r>
      <w:r>
        <w:t xml:space="preserve"> </w:t>
      </w:r>
      <m:oMath>
        <m:sSub>
          <m:sSubPr>
            <m:ctrlPr>
              <w:rPr>
                <w:rFonts w:ascii="Cambria Math" w:hAnsi="Cambria Math"/>
                <w:i/>
              </w:rPr>
            </m:ctrlPr>
          </m:sSubPr>
          <m:e>
            <m:r>
              <w:rPr>
                <w:rFonts w:ascii="Cambria Math" w:hAnsi="Cambria Math"/>
              </w:rPr>
              <m:t>P</m:t>
            </m:r>
          </m:e>
          <m:sub>
            <m:r>
              <w:rPr>
                <w:rFonts w:ascii="Cambria Math" w:hAnsi="Cambria Math"/>
              </w:rPr>
              <m:t>switch</m:t>
            </m:r>
          </m:sub>
        </m:sSub>
      </m:oMath>
      <w:r>
        <w:t xml:space="preserve"> symbols after the last symbol of the PDCCH with the DCI format 2_0</w:t>
      </w:r>
      <w:r>
        <w:rPr>
          <w:lang w:val="en-US"/>
        </w:rPr>
        <w:t xml:space="preserve"> </w:t>
      </w:r>
      <w:r w:rsidRPr="006C02D1">
        <w:rPr>
          <w:lang w:val="en-US"/>
        </w:rPr>
        <w:t xml:space="preserve">when </w:t>
      </w:r>
      <m:oMath>
        <m:r>
          <w:rPr>
            <w:rFonts w:ascii="Cambria Math" w:hAnsi="Cambria Math"/>
            <w:lang w:eastAsia="zh-CN"/>
          </w:rPr>
          <m:t>μ∈</m:t>
        </m:r>
        <m:d>
          <m:dPr>
            <m:begChr m:val="{"/>
            <m:endChr m:val="}"/>
            <m:ctrlPr>
              <w:rPr>
                <w:rFonts w:ascii="Cambria Math" w:hAnsi="Cambria Math"/>
                <w:i/>
                <w:sz w:val="24"/>
                <w:szCs w:val="24"/>
                <w:lang w:eastAsia="zh-CN"/>
              </w:rPr>
            </m:ctrlPr>
          </m:dPr>
          <m:e>
            <m:r>
              <w:rPr>
                <w:rFonts w:ascii="Cambria Math" w:hAnsi="Cambria Math"/>
                <w:lang w:eastAsia="zh-CN"/>
              </w:rPr>
              <m:t>5, 6</m:t>
            </m:r>
          </m:e>
        </m:d>
      </m:oMath>
    </w:p>
    <w:p w14:paraId="7B6C35C2" w14:textId="328FA57A" w:rsidR="0000023C" w:rsidRPr="00D26445" w:rsidRDefault="0000023C" w:rsidP="00F86FE2">
      <w:pPr>
        <w:pStyle w:val="B2"/>
      </w:pPr>
      <w:r w:rsidRPr="00D26445">
        <w:t xml:space="preserve">and the UE </w:t>
      </w:r>
      <w:r w:rsidRPr="00D26445">
        <w:rPr>
          <w:lang w:eastAsia="zh-CN"/>
        </w:rPr>
        <w:t xml:space="preserve">sets the timer value to the value provided by </w:t>
      </w:r>
      <w:r w:rsidRPr="00D26445">
        <w:rPr>
          <w:i/>
          <w:lang w:eastAsia="zh-CN"/>
        </w:rPr>
        <w:t>searchSpaceSwitchTimer</w:t>
      </w:r>
    </w:p>
    <w:p w14:paraId="5C613A3F" w14:textId="77777777" w:rsidR="00D061E7" w:rsidRDefault="0000023C" w:rsidP="0000023C">
      <w:pPr>
        <w:pStyle w:val="B1"/>
      </w:pPr>
      <w:r w:rsidRPr="00D26445">
        <w:t>-</w:t>
      </w:r>
      <w:r w:rsidRPr="00D26445">
        <w:tab/>
        <w:t xml:space="preserve">if the UE monitors PDCCH </w:t>
      </w:r>
      <w:r w:rsidR="00AA72D3">
        <w:rPr>
          <w:lang w:val="en-US"/>
        </w:rPr>
        <w:t>for</w:t>
      </w:r>
      <w:r w:rsidRPr="00D26445">
        <w:t xml:space="preserve"> a serving cell according to search space sets with group index 1, the UE starts monitor</w:t>
      </w:r>
      <w:r>
        <w:t>ing</w:t>
      </w:r>
      <w:r w:rsidRPr="00D26445">
        <w:t xml:space="preserve"> PDCCH </w:t>
      </w:r>
      <w:r w:rsidR="00AA72D3">
        <w:rPr>
          <w:lang w:val="en-US"/>
        </w:rPr>
        <w:t>for</w:t>
      </w:r>
      <w:r w:rsidRPr="00D26445">
        <w:t xml:space="preserve"> the serving cell according to search space sets with group index 0</w:t>
      </w:r>
      <w:r>
        <w:t>,</w:t>
      </w:r>
      <w:r w:rsidRPr="00D26445">
        <w:t xml:space="preserve"> </w:t>
      </w:r>
      <w:r w:rsidRPr="000E56C4">
        <w:t>and stops monitoring PDCCH according to sear</w:t>
      </w:r>
      <w:r>
        <w:t>ch space sets with group index 1,</w:t>
      </w:r>
      <w:r w:rsidRPr="000E56C4">
        <w:t xml:space="preserve"> </w:t>
      </w:r>
      <w:r w:rsidR="00AA72D3">
        <w:rPr>
          <w:lang w:val="en-US"/>
        </w:rPr>
        <w:t>for</w:t>
      </w:r>
      <w:r w:rsidRPr="000E56C4">
        <w:t xml:space="preserve"> the serving cell</w:t>
      </w:r>
      <w:r w:rsidRPr="00D26445">
        <w:t xml:space="preserve"> </w:t>
      </w:r>
    </w:p>
    <w:p w14:paraId="1CC62DBC" w14:textId="31D80429" w:rsidR="00D061E7" w:rsidRPr="00D061E7" w:rsidRDefault="00D061E7" w:rsidP="00D061E7">
      <w:pPr>
        <w:pStyle w:val="B2"/>
        <w:rPr>
          <w:lang w:eastAsia="zh-CN"/>
        </w:rPr>
      </w:pPr>
      <w:r>
        <w:t>-</w:t>
      </w:r>
      <w:r>
        <w:tab/>
      </w:r>
      <w:r w:rsidR="0000023C" w:rsidRPr="00D26445">
        <w:t xml:space="preserve">at the beginning of the first slot that is at least </w:t>
      </w:r>
      <m:oMath>
        <m:sSub>
          <m:sSubPr>
            <m:ctrlPr>
              <w:rPr>
                <w:rFonts w:ascii="Cambria Math" w:hAnsi="Cambria Math"/>
                <w:i/>
              </w:rPr>
            </m:ctrlPr>
          </m:sSubPr>
          <m:e>
            <m:r>
              <w:rPr>
                <w:rFonts w:ascii="Cambria Math" w:hAnsi="Cambria Math"/>
              </w:rPr>
              <m:t>P</m:t>
            </m:r>
          </m:e>
          <m:sub>
            <m:r>
              <w:rPr>
                <w:rFonts w:ascii="Cambria Math" w:hAnsi="Cambria Math"/>
              </w:rPr>
              <m:t>switch</m:t>
            </m:r>
          </m:sub>
        </m:sSub>
      </m:oMath>
      <w:r w:rsidR="0000023C" w:rsidRPr="00D26445">
        <w:t xml:space="preserve"> symbols after a slot where the timer expires or after a last </w:t>
      </w:r>
      <w:r w:rsidR="00AF2DCE" w:rsidRPr="00370E38">
        <w:rPr>
          <w:lang w:val="en-US"/>
        </w:rPr>
        <w:t>symbol</w:t>
      </w:r>
      <w:r w:rsidR="0000023C" w:rsidRPr="00D26445">
        <w:t xml:space="preserve"> of a remaining channel occupancy duration for the serving cell </w:t>
      </w:r>
      <w:r w:rsidR="00EC079E">
        <w:rPr>
          <w:lang w:val="en-GB"/>
        </w:rPr>
        <w:t>if</w:t>
      </w:r>
      <w:r w:rsidR="0000023C" w:rsidRPr="00D26445">
        <w:t xml:space="preserve"> indicated by DCI format 2_0</w:t>
      </w:r>
      <w:r>
        <w:rPr>
          <w:lang w:val="en-GB"/>
        </w:rPr>
        <w:t xml:space="preserve"> </w:t>
      </w:r>
      <w:r w:rsidRPr="006C02D1">
        <w:rPr>
          <w:lang w:val="en-US"/>
        </w:rPr>
        <w:t xml:space="preserve">when </w:t>
      </w:r>
      <m:oMath>
        <m:r>
          <w:rPr>
            <w:rFonts w:ascii="Cambria Math" w:hAnsi="Cambria Math"/>
            <w:lang w:eastAsia="zh-CN"/>
          </w:rPr>
          <m:t>μ∈</m:t>
        </m:r>
        <m:d>
          <m:dPr>
            <m:begChr m:val="{"/>
            <m:endChr m:val="}"/>
            <m:ctrlPr>
              <w:rPr>
                <w:rFonts w:ascii="Cambria Math" w:hAnsi="Cambria Math"/>
                <w:i/>
                <w:sz w:val="24"/>
                <w:szCs w:val="24"/>
                <w:lang w:eastAsia="zh-CN"/>
              </w:rPr>
            </m:ctrlPr>
          </m:dPr>
          <m:e>
            <m:r>
              <w:rPr>
                <w:rFonts w:ascii="Cambria Math" w:hAnsi="Cambria Math"/>
                <w:lang w:eastAsia="zh-CN"/>
              </w:rPr>
              <m:t>0, 1, 2, 3</m:t>
            </m:r>
          </m:e>
        </m:d>
      </m:oMath>
    </w:p>
    <w:p w14:paraId="01574A18" w14:textId="39C60BAC" w:rsidR="0000023C" w:rsidRPr="00D061E7" w:rsidRDefault="00D061E7" w:rsidP="00D061E7">
      <w:pPr>
        <w:pStyle w:val="B2"/>
        <w:rPr>
          <w:lang w:eastAsia="zh-CN"/>
        </w:rPr>
      </w:pPr>
      <w:r>
        <w:t>-</w:t>
      </w:r>
      <w:r>
        <w:tab/>
        <w:t xml:space="preserve">at the beginning </w:t>
      </w:r>
      <w:r w:rsidRPr="00D22C49">
        <w:t xml:space="preserve">of </w:t>
      </w:r>
      <w:r>
        <w:rPr>
          <w:lang w:val="en-US"/>
        </w:rPr>
        <w:t>the</w:t>
      </w:r>
      <w:r w:rsidRPr="00D22C49">
        <w:t xml:space="preserve"> first slot</w:t>
      </w:r>
      <w:r>
        <w:rPr>
          <w:lang w:val="en-US"/>
        </w:rPr>
        <w:t>,</w:t>
      </w:r>
      <w:r w:rsidRPr="009D1397">
        <w:rPr>
          <w:lang w:val="en-US"/>
        </w:rPr>
        <w:t xml:space="preserve"> </w:t>
      </w:r>
      <w:r w:rsidRPr="0062373D">
        <w:rPr>
          <w:lang w:val="en-US"/>
        </w:rPr>
        <w:t xml:space="preserve">of a 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sidRPr="0062373D">
        <w:rPr>
          <w:lang w:val="en-US" w:eastAsia="zh-CN"/>
        </w:rPr>
        <w:t xml:space="preserve"> slots</w:t>
      </w:r>
      <w:r>
        <w:rPr>
          <w:lang w:val="en-US" w:eastAsia="zh-CN"/>
        </w:rPr>
        <w:t>,</w:t>
      </w:r>
      <w:r w:rsidRPr="00D22C49">
        <w:t xml:space="preserve"> that is at least </w:t>
      </w:r>
      <m:oMath>
        <m:sSub>
          <m:sSubPr>
            <m:ctrlPr>
              <w:rPr>
                <w:rFonts w:ascii="Cambria Math" w:hAnsi="Cambria Math"/>
                <w:i/>
              </w:rPr>
            </m:ctrlPr>
          </m:sSubPr>
          <m:e>
            <m:r>
              <w:rPr>
                <w:rFonts w:ascii="Cambria Math" w:hAnsi="Cambria Math"/>
              </w:rPr>
              <m:t>P</m:t>
            </m:r>
          </m:e>
          <m:sub>
            <m:r>
              <w:rPr>
                <w:rFonts w:ascii="Cambria Math" w:hAnsi="Cambria Math"/>
              </w:rPr>
              <m:t>switch</m:t>
            </m:r>
          </m:sub>
        </m:sSub>
      </m:oMath>
      <w:r w:rsidRPr="00D22C49">
        <w:t xml:space="preserve"> symbols after a slot where the timer expires or after a last </w:t>
      </w:r>
      <w:r w:rsidRPr="00D22C49">
        <w:rPr>
          <w:lang w:val="en-US"/>
        </w:rPr>
        <w:t>symbol</w:t>
      </w:r>
      <w:r w:rsidRPr="00D22C49">
        <w:t xml:space="preserve"> of a remaining channel</w:t>
      </w:r>
      <w:r>
        <w:t xml:space="preserve"> occupancy duration for the serving cell </w:t>
      </w:r>
      <w:r>
        <w:rPr>
          <w:lang w:val="en-GB"/>
        </w:rPr>
        <w:t>if</w:t>
      </w:r>
      <w:r>
        <w:t xml:space="preserve"> indicated by DCI format 2_0</w:t>
      </w:r>
      <w:r>
        <w:rPr>
          <w:lang w:val="en-US"/>
        </w:rPr>
        <w:t xml:space="preserve"> </w:t>
      </w:r>
      <w:r w:rsidRPr="006C02D1">
        <w:rPr>
          <w:lang w:val="en-US"/>
        </w:rPr>
        <w:t xml:space="preserve">when </w:t>
      </w:r>
      <m:oMath>
        <m:r>
          <w:rPr>
            <w:rFonts w:ascii="Cambria Math" w:hAnsi="Cambria Math"/>
            <w:lang w:eastAsia="zh-CN"/>
          </w:rPr>
          <m:t>μ∈</m:t>
        </m:r>
        <m:d>
          <m:dPr>
            <m:begChr m:val="{"/>
            <m:endChr m:val="}"/>
            <m:ctrlPr>
              <w:rPr>
                <w:rFonts w:ascii="Cambria Math" w:hAnsi="Cambria Math"/>
                <w:i/>
                <w:sz w:val="24"/>
                <w:szCs w:val="24"/>
                <w:lang w:eastAsia="zh-CN"/>
              </w:rPr>
            </m:ctrlPr>
          </m:dPr>
          <m:e>
            <m:r>
              <w:rPr>
                <w:rFonts w:ascii="Cambria Math" w:hAnsi="Cambria Math"/>
                <w:lang w:eastAsia="zh-CN"/>
              </w:rPr>
              <m:t>5, 6</m:t>
            </m:r>
          </m:e>
        </m:d>
      </m:oMath>
    </w:p>
    <w:p w14:paraId="0CC21C84" w14:textId="5094C254" w:rsidR="0000023C" w:rsidRPr="00D26445" w:rsidRDefault="0000023C" w:rsidP="0000023C">
      <w:r w:rsidRPr="00D26445">
        <w:rPr>
          <w:lang w:eastAsia="zh-CN"/>
        </w:rPr>
        <w:t xml:space="preserve">If </w:t>
      </w:r>
      <w:r>
        <w:rPr>
          <w:lang w:eastAsia="zh-CN"/>
        </w:rPr>
        <w:t>a</w:t>
      </w:r>
      <w:r w:rsidRPr="00D26445">
        <w:rPr>
          <w:lang w:eastAsia="zh-CN"/>
        </w:rPr>
        <w:t xml:space="preserve"> UE </w:t>
      </w:r>
      <w:r w:rsidR="002359F4" w:rsidRPr="00BF32B5">
        <w:rPr>
          <w:lang w:eastAsia="en-GB"/>
        </w:rPr>
        <w:t xml:space="preserve">is provided </w:t>
      </w:r>
      <w:r w:rsidR="002359F4" w:rsidRPr="00BF32B5">
        <w:rPr>
          <w:i/>
          <w:iCs/>
          <w:lang w:eastAsia="en-GB"/>
        </w:rPr>
        <w:t xml:space="preserve">searchSpaceGroupIdList </w:t>
      </w:r>
      <w:r w:rsidR="002359F4" w:rsidRPr="00BF32B5">
        <w:rPr>
          <w:lang w:eastAsia="en-GB"/>
        </w:rPr>
        <w:t>and</w:t>
      </w:r>
      <w:r w:rsidR="002359F4" w:rsidRPr="00D26445">
        <w:rPr>
          <w:lang w:eastAsia="zh-CN"/>
        </w:rPr>
        <w:t xml:space="preserve"> </w:t>
      </w:r>
      <w:r w:rsidRPr="00D26445">
        <w:rPr>
          <w:lang w:eastAsia="zh-CN"/>
        </w:rPr>
        <w:t>is not provided</w:t>
      </w:r>
      <w:r w:rsidRPr="00D26445">
        <w:t xml:space="preserve"> </w:t>
      </w:r>
      <w:r w:rsidRPr="00D26445">
        <w:rPr>
          <w:i/>
          <w:iCs/>
        </w:rPr>
        <w:t>SearchSpaceSwitchTrigger</w:t>
      </w:r>
      <w:r>
        <w:rPr>
          <w:iCs/>
        </w:rPr>
        <w:t xml:space="preserve"> for a serving cell</w:t>
      </w:r>
      <w:r w:rsidRPr="00D26445">
        <w:t>,</w:t>
      </w:r>
    </w:p>
    <w:p w14:paraId="0400B9AC" w14:textId="77777777" w:rsidR="00F86FE2" w:rsidRDefault="0000023C" w:rsidP="0000023C">
      <w:pPr>
        <w:pStyle w:val="B1"/>
      </w:pPr>
      <w:r w:rsidRPr="00D26445">
        <w:t>-</w:t>
      </w:r>
      <w:r w:rsidRPr="00D26445">
        <w:tab/>
        <w:t>if the UE detects a DCI format by monitoring PDCCH according to a search space set with group index 0, the UE starts monitoring PDCCH according to search space sets with group index 1</w:t>
      </w:r>
      <w:r>
        <w:t>,</w:t>
      </w:r>
      <w:r w:rsidRPr="00D26445">
        <w:t xml:space="preserve"> </w:t>
      </w:r>
      <w:r w:rsidRPr="000E56C4">
        <w:t>and stops monitoring PDCCH according to sear</w:t>
      </w:r>
      <w:r>
        <w:t>ch space sets with group index 0,</w:t>
      </w:r>
      <w:r w:rsidRPr="000E56C4">
        <w:t xml:space="preserve"> </w:t>
      </w:r>
      <w:r w:rsidR="00AA72D3">
        <w:rPr>
          <w:lang w:val="en-US"/>
        </w:rPr>
        <w:t>for</w:t>
      </w:r>
      <w:r w:rsidRPr="000E56C4">
        <w:t xml:space="preserve"> the serving cell</w:t>
      </w:r>
      <w:r w:rsidRPr="00D26445">
        <w:t xml:space="preserve"> </w:t>
      </w:r>
    </w:p>
    <w:p w14:paraId="716A6706" w14:textId="1F3AEE0F" w:rsidR="00F86FE2" w:rsidRDefault="00F86FE2" w:rsidP="00F86FE2">
      <w:pPr>
        <w:pStyle w:val="B2"/>
      </w:pPr>
      <w:r>
        <w:t>-</w:t>
      </w:r>
      <w:r>
        <w:tab/>
      </w:r>
      <w:r w:rsidR="0000023C" w:rsidRPr="00D26445">
        <w:t xml:space="preserve">at </w:t>
      </w:r>
      <w:r>
        <w:t xml:space="preserve">the beginning </w:t>
      </w:r>
      <w:r w:rsidRPr="00D22C49">
        <w:t xml:space="preserve">of </w:t>
      </w:r>
      <w:r>
        <w:rPr>
          <w:lang w:val="en-US"/>
        </w:rPr>
        <w:t>the</w:t>
      </w:r>
      <w:r w:rsidR="0000023C" w:rsidRPr="00D26445">
        <w:t xml:space="preserve"> first slot that is at least </w:t>
      </w:r>
      <m:oMath>
        <m:sSub>
          <m:sSubPr>
            <m:ctrlPr>
              <w:rPr>
                <w:rFonts w:ascii="Cambria Math" w:hAnsi="Cambria Math"/>
                <w:i/>
              </w:rPr>
            </m:ctrlPr>
          </m:sSubPr>
          <m:e>
            <m:r>
              <w:rPr>
                <w:rFonts w:ascii="Cambria Math" w:hAnsi="Cambria Math"/>
              </w:rPr>
              <m:t>P</m:t>
            </m:r>
          </m:e>
          <m:sub>
            <m:r>
              <w:rPr>
                <w:rFonts w:ascii="Cambria Math" w:hAnsi="Cambria Math"/>
              </w:rPr>
              <m:t>switch</m:t>
            </m:r>
          </m:sub>
        </m:sSub>
      </m:oMath>
      <w:r w:rsidR="0000023C" w:rsidRPr="00D26445">
        <w:t xml:space="preserve"> symbols after the </w:t>
      </w:r>
      <w:r w:rsidR="00AF2DCE" w:rsidRPr="00370E38">
        <w:t>last symbol of the PDCCH with the DCI format</w:t>
      </w:r>
      <w:r w:rsidRPr="00F86FE2">
        <w:rPr>
          <w:lang w:val="en-US"/>
        </w:rPr>
        <w:t xml:space="preserve"> </w:t>
      </w:r>
      <w:r w:rsidRPr="006C02D1">
        <w:rPr>
          <w:lang w:val="en-US"/>
        </w:rPr>
        <w:t xml:space="preserve">when </w:t>
      </w:r>
      <m:oMath>
        <m:r>
          <w:rPr>
            <w:rFonts w:ascii="Cambria Math" w:hAnsi="Cambria Math"/>
            <w:lang w:eastAsia="zh-CN"/>
          </w:rPr>
          <m:t>μ∈</m:t>
        </m:r>
        <m:d>
          <m:dPr>
            <m:begChr m:val="{"/>
            <m:endChr m:val="}"/>
            <m:ctrlPr>
              <w:rPr>
                <w:rFonts w:ascii="Cambria Math" w:hAnsi="Cambria Math"/>
                <w:i/>
                <w:sz w:val="24"/>
                <w:szCs w:val="24"/>
                <w:lang w:eastAsia="zh-CN"/>
              </w:rPr>
            </m:ctrlPr>
          </m:dPr>
          <m:e>
            <m:r>
              <w:rPr>
                <w:rFonts w:ascii="Cambria Math" w:hAnsi="Cambria Math"/>
                <w:lang w:eastAsia="zh-CN"/>
              </w:rPr>
              <m:t>0, 1, 2, 3</m:t>
            </m:r>
          </m:e>
        </m:d>
      </m:oMath>
      <w:r w:rsidR="0000023C" w:rsidRPr="00D26445">
        <w:t xml:space="preserve">, </w:t>
      </w:r>
    </w:p>
    <w:p w14:paraId="41392923" w14:textId="5E6E41DE" w:rsidR="00F86FE2" w:rsidRDefault="00F86FE2" w:rsidP="00F86FE2">
      <w:pPr>
        <w:pStyle w:val="B2"/>
      </w:pPr>
      <w:r>
        <w:t>-</w:t>
      </w:r>
      <w:r>
        <w:tab/>
      </w:r>
      <w:r w:rsidRPr="00F92D1B">
        <w:t xml:space="preserve">at </w:t>
      </w:r>
      <w:r>
        <w:t xml:space="preserve">the beginning </w:t>
      </w:r>
      <w:r w:rsidRPr="00D22C49">
        <w:t xml:space="preserve">of </w:t>
      </w:r>
      <w:r>
        <w:rPr>
          <w:lang w:val="en-US"/>
        </w:rPr>
        <w:t>the</w:t>
      </w:r>
      <w:r w:rsidRPr="00F92D1B">
        <w:t xml:space="preserve"> first slot</w:t>
      </w:r>
      <w:r>
        <w:rPr>
          <w:lang w:val="en-US"/>
        </w:rPr>
        <w:t>,</w:t>
      </w:r>
      <w:r w:rsidRPr="009D1397">
        <w:rPr>
          <w:lang w:val="en-US"/>
        </w:rPr>
        <w:t xml:space="preserve"> </w:t>
      </w:r>
      <w:r w:rsidRPr="0062373D">
        <w:rPr>
          <w:lang w:val="en-US"/>
        </w:rPr>
        <w:t xml:space="preserve">of a 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sidRPr="0062373D">
        <w:rPr>
          <w:lang w:val="en-US" w:eastAsia="zh-CN"/>
        </w:rPr>
        <w:t xml:space="preserve"> slots</w:t>
      </w:r>
      <w:r>
        <w:rPr>
          <w:lang w:val="en-US" w:eastAsia="zh-CN"/>
        </w:rPr>
        <w:t>,</w:t>
      </w:r>
      <w:r w:rsidRPr="00F92D1B">
        <w:t xml:space="preserve"> that is at least </w:t>
      </w:r>
      <m:oMath>
        <m:sSub>
          <m:sSubPr>
            <m:ctrlPr>
              <w:rPr>
                <w:rFonts w:ascii="Cambria Math" w:hAnsi="Cambria Math"/>
                <w:i/>
              </w:rPr>
            </m:ctrlPr>
          </m:sSubPr>
          <m:e>
            <m:r>
              <w:rPr>
                <w:rFonts w:ascii="Cambria Math" w:hAnsi="Cambria Math"/>
              </w:rPr>
              <m:t>P</m:t>
            </m:r>
          </m:e>
          <m:sub>
            <m:r>
              <w:rPr>
                <w:rFonts w:ascii="Cambria Math" w:hAnsi="Cambria Math"/>
              </w:rPr>
              <m:t>switch</m:t>
            </m:r>
          </m:sub>
        </m:sSub>
      </m:oMath>
      <w:r w:rsidRPr="00F92D1B">
        <w:t xml:space="preserve"> symbols after the last symbol of the PDCCH with the DCI format</w:t>
      </w:r>
      <w:r w:rsidRPr="00BD78C4">
        <w:rPr>
          <w:lang w:val="en-US"/>
        </w:rPr>
        <w:t xml:space="preserve"> </w:t>
      </w:r>
      <w:r w:rsidRPr="006C02D1">
        <w:rPr>
          <w:lang w:val="en-US"/>
        </w:rPr>
        <w:t xml:space="preserve">when </w:t>
      </w:r>
      <m:oMath>
        <m:r>
          <w:rPr>
            <w:rFonts w:ascii="Cambria Math" w:hAnsi="Cambria Math"/>
            <w:lang w:eastAsia="zh-CN"/>
          </w:rPr>
          <m:t>μ∈</m:t>
        </m:r>
        <m:d>
          <m:dPr>
            <m:begChr m:val="{"/>
            <m:endChr m:val="}"/>
            <m:ctrlPr>
              <w:rPr>
                <w:rFonts w:ascii="Cambria Math" w:hAnsi="Cambria Math"/>
                <w:i/>
                <w:sz w:val="24"/>
                <w:szCs w:val="24"/>
                <w:lang w:eastAsia="zh-CN"/>
              </w:rPr>
            </m:ctrlPr>
          </m:dPr>
          <m:e>
            <m:r>
              <w:rPr>
                <w:rFonts w:ascii="Cambria Math" w:hAnsi="Cambria Math"/>
                <w:lang w:eastAsia="zh-CN"/>
              </w:rPr>
              <m:t>5, 6</m:t>
            </m:r>
          </m:e>
        </m:d>
      </m:oMath>
    </w:p>
    <w:p w14:paraId="0DCCA45D" w14:textId="50E1619B" w:rsidR="0000023C" w:rsidRPr="00D26445" w:rsidRDefault="0000023C" w:rsidP="00F86FE2">
      <w:pPr>
        <w:pStyle w:val="B2"/>
        <w:ind w:left="567" w:firstLine="0"/>
      </w:pPr>
      <w:r w:rsidRPr="00D26445">
        <w:t xml:space="preserve">the UE sets the timer value to the value provided by </w:t>
      </w:r>
      <w:r w:rsidRPr="00D26445">
        <w:rPr>
          <w:i/>
          <w:lang w:eastAsia="zh-CN"/>
        </w:rPr>
        <w:t>searchSpaceSwitchTimer</w:t>
      </w:r>
      <w:r w:rsidRPr="00D26445">
        <w:rPr>
          <w:lang w:eastAsia="zh-CN"/>
        </w:rPr>
        <w:t xml:space="preserve"> if the UE detects a DCI format </w:t>
      </w:r>
      <w:r w:rsidRPr="00D26445">
        <w:t>by monitoring PDCCH in any search space set</w:t>
      </w:r>
    </w:p>
    <w:p w14:paraId="16589663" w14:textId="77777777" w:rsidR="00F86FE2" w:rsidRDefault="0000023C" w:rsidP="0000023C">
      <w:pPr>
        <w:pStyle w:val="B1"/>
      </w:pPr>
      <w:r w:rsidRPr="00D26445">
        <w:t>-</w:t>
      </w:r>
      <w:r w:rsidRPr="00D26445">
        <w:tab/>
        <w:t xml:space="preserve">if the UE monitors PDCCH </w:t>
      </w:r>
      <w:r w:rsidR="00AA72D3">
        <w:rPr>
          <w:lang w:val="en-US"/>
        </w:rPr>
        <w:t>for</w:t>
      </w:r>
      <w:r w:rsidRPr="00D26445">
        <w:t xml:space="preserve"> a serving cell according to search space sets with group index 1, the UE starts monitor</w:t>
      </w:r>
      <w:r>
        <w:t>ing</w:t>
      </w:r>
      <w:r w:rsidRPr="00D26445">
        <w:t xml:space="preserve"> PDCCH </w:t>
      </w:r>
      <w:r w:rsidR="00AA72D3">
        <w:rPr>
          <w:lang w:val="en-US"/>
        </w:rPr>
        <w:t>for</w:t>
      </w:r>
      <w:r w:rsidRPr="00D26445">
        <w:t xml:space="preserve"> the serving cell according to search space sets with group index 0</w:t>
      </w:r>
      <w:r>
        <w:t>,</w:t>
      </w:r>
      <w:r w:rsidRPr="00D26445">
        <w:t xml:space="preserve"> </w:t>
      </w:r>
      <w:r w:rsidRPr="000E56C4">
        <w:t>and stops monitoring PDCCH according to sear</w:t>
      </w:r>
      <w:r>
        <w:t>ch space sets with group index 1,</w:t>
      </w:r>
      <w:r w:rsidRPr="000E56C4">
        <w:t xml:space="preserve"> </w:t>
      </w:r>
      <w:r w:rsidR="00AA72D3">
        <w:rPr>
          <w:lang w:val="en-US"/>
        </w:rPr>
        <w:t>for</w:t>
      </w:r>
      <w:r w:rsidRPr="000E56C4">
        <w:t xml:space="preserve"> the serving cell</w:t>
      </w:r>
      <w:r w:rsidRPr="00D26445">
        <w:t xml:space="preserve"> </w:t>
      </w:r>
    </w:p>
    <w:p w14:paraId="39D3725C" w14:textId="6EF15967" w:rsidR="0000023C" w:rsidRPr="00F86FE2" w:rsidRDefault="00F86FE2" w:rsidP="00F86FE2">
      <w:pPr>
        <w:pStyle w:val="B2"/>
        <w:rPr>
          <w:sz w:val="24"/>
          <w:szCs w:val="24"/>
          <w:lang w:eastAsia="zh-CN"/>
        </w:rPr>
      </w:pPr>
      <w:r>
        <w:t>-</w:t>
      </w:r>
      <w:r>
        <w:tab/>
      </w:r>
      <w:r w:rsidR="0000023C" w:rsidRPr="00D26445">
        <w:t xml:space="preserve">at the beginning of the first slot that is at least </w:t>
      </w:r>
      <m:oMath>
        <m:sSub>
          <m:sSubPr>
            <m:ctrlPr>
              <w:rPr>
                <w:rFonts w:ascii="Cambria Math" w:hAnsi="Cambria Math"/>
                <w:i/>
              </w:rPr>
            </m:ctrlPr>
          </m:sSubPr>
          <m:e>
            <m:r>
              <w:rPr>
                <w:rFonts w:ascii="Cambria Math" w:hAnsi="Cambria Math"/>
              </w:rPr>
              <m:t>P</m:t>
            </m:r>
          </m:e>
          <m:sub>
            <m:r>
              <w:rPr>
                <w:rFonts w:ascii="Cambria Math" w:hAnsi="Cambria Math"/>
              </w:rPr>
              <m:t>switch</m:t>
            </m:r>
          </m:sub>
        </m:sSub>
      </m:oMath>
      <w:r w:rsidR="0000023C" w:rsidRPr="00D26445">
        <w:t xml:space="preserve"> symbols after a slot where the timer expires or, if the UE is provided a search space set to monitor PDCCH for detecting a DCI format 2_0, after a last </w:t>
      </w:r>
      <w:r w:rsidR="00AF2DCE" w:rsidRPr="00370E38">
        <w:rPr>
          <w:lang w:val="en-US"/>
        </w:rPr>
        <w:t>symbol</w:t>
      </w:r>
      <w:r w:rsidR="0000023C" w:rsidRPr="00D26445">
        <w:t xml:space="preserve"> of a remaining channel occupancy duration for the serving cell </w:t>
      </w:r>
      <w:r w:rsidR="00EC079E">
        <w:rPr>
          <w:lang w:val="en-GB"/>
        </w:rPr>
        <w:t>if</w:t>
      </w:r>
      <w:r w:rsidR="0000023C" w:rsidRPr="00D26445">
        <w:t xml:space="preserve"> indicated by DCI format 2_0</w:t>
      </w:r>
      <w:r w:rsidRPr="00F86FE2">
        <w:rPr>
          <w:lang w:val="en-US"/>
        </w:rPr>
        <w:t xml:space="preserve"> </w:t>
      </w:r>
      <w:r w:rsidRPr="006C02D1">
        <w:rPr>
          <w:lang w:val="en-US"/>
        </w:rPr>
        <w:t xml:space="preserve">when </w:t>
      </w:r>
      <m:oMath>
        <m:r>
          <w:rPr>
            <w:rFonts w:ascii="Cambria Math" w:hAnsi="Cambria Math"/>
            <w:lang w:eastAsia="zh-CN"/>
          </w:rPr>
          <m:t>μ∈</m:t>
        </m:r>
        <m:d>
          <m:dPr>
            <m:begChr m:val="{"/>
            <m:endChr m:val="}"/>
            <m:ctrlPr>
              <w:rPr>
                <w:rFonts w:ascii="Cambria Math" w:hAnsi="Cambria Math"/>
                <w:i/>
                <w:sz w:val="24"/>
                <w:szCs w:val="24"/>
                <w:lang w:eastAsia="zh-CN"/>
              </w:rPr>
            </m:ctrlPr>
          </m:dPr>
          <m:e>
            <m:r>
              <w:rPr>
                <w:rFonts w:ascii="Cambria Math" w:hAnsi="Cambria Math"/>
                <w:lang w:eastAsia="zh-CN"/>
              </w:rPr>
              <m:t>0, 1, 2, 3</m:t>
            </m:r>
          </m:e>
        </m:d>
      </m:oMath>
    </w:p>
    <w:p w14:paraId="718C3902" w14:textId="604C6F6D" w:rsidR="00F86FE2" w:rsidRPr="00F86FE2" w:rsidRDefault="00F86FE2" w:rsidP="00F86FE2">
      <w:pPr>
        <w:pStyle w:val="B2"/>
      </w:pPr>
      <w:r>
        <w:t>-</w:t>
      </w:r>
      <w:r>
        <w:tab/>
      </w:r>
      <w:r w:rsidRPr="00F92D1B">
        <w:t xml:space="preserve">at the beginning of </w:t>
      </w:r>
      <w:r>
        <w:rPr>
          <w:lang w:val="en-US"/>
        </w:rPr>
        <w:t>the</w:t>
      </w:r>
      <w:r w:rsidRPr="00F92D1B">
        <w:t xml:space="preserve"> first slot</w:t>
      </w:r>
      <w:r>
        <w:rPr>
          <w:lang w:val="en-US"/>
        </w:rPr>
        <w:t>,</w:t>
      </w:r>
      <w:r w:rsidRPr="009D1397">
        <w:rPr>
          <w:lang w:val="en-US"/>
        </w:rPr>
        <w:t xml:space="preserve"> </w:t>
      </w:r>
      <w:r w:rsidRPr="0062373D">
        <w:rPr>
          <w:lang w:val="en-US"/>
        </w:rPr>
        <w:t xml:space="preserve">of a 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sidRPr="0062373D">
        <w:rPr>
          <w:lang w:val="en-US" w:eastAsia="zh-CN"/>
        </w:rPr>
        <w:t xml:space="preserve"> slots</w:t>
      </w:r>
      <w:r>
        <w:rPr>
          <w:lang w:val="en-US" w:eastAsia="zh-CN"/>
        </w:rPr>
        <w:t>,</w:t>
      </w:r>
      <w:r w:rsidRPr="00F92D1B">
        <w:t xml:space="preserve"> that is at least </w:t>
      </w:r>
      <m:oMath>
        <m:sSub>
          <m:sSubPr>
            <m:ctrlPr>
              <w:rPr>
                <w:rFonts w:ascii="Cambria Math" w:hAnsi="Cambria Math"/>
                <w:i/>
              </w:rPr>
            </m:ctrlPr>
          </m:sSubPr>
          <m:e>
            <m:r>
              <w:rPr>
                <w:rFonts w:ascii="Cambria Math" w:hAnsi="Cambria Math"/>
              </w:rPr>
              <m:t>P</m:t>
            </m:r>
          </m:e>
          <m:sub>
            <m:r>
              <w:rPr>
                <w:rFonts w:ascii="Cambria Math" w:hAnsi="Cambria Math"/>
              </w:rPr>
              <m:t>switch</m:t>
            </m:r>
          </m:sub>
        </m:sSub>
      </m:oMath>
      <w:r w:rsidRPr="00F92D1B">
        <w:t xml:space="preserve"> symbols after a slot where the timer expires or, if the UE is provided a search space set to monitor PDCCH for detecting a DCI format 2_0, after a last </w:t>
      </w:r>
      <w:r w:rsidRPr="00F92D1B">
        <w:rPr>
          <w:lang w:val="en-US"/>
        </w:rPr>
        <w:t>symbol</w:t>
      </w:r>
      <w:r w:rsidRPr="00F92D1B">
        <w:t xml:space="preserve"> of a remaining channel occupancy duration for the serving cell </w:t>
      </w:r>
      <w:r w:rsidRPr="00F92D1B">
        <w:rPr>
          <w:lang w:val="en-GB"/>
        </w:rPr>
        <w:t>if</w:t>
      </w:r>
      <w:r w:rsidRPr="00F92D1B">
        <w:t xml:space="preserve"> indicated by DCI format 2_0</w:t>
      </w:r>
      <w:r w:rsidRPr="00BD78C4">
        <w:rPr>
          <w:lang w:val="en-US"/>
        </w:rPr>
        <w:t xml:space="preserve"> </w:t>
      </w:r>
      <w:r w:rsidRPr="006C02D1">
        <w:rPr>
          <w:lang w:val="en-US"/>
        </w:rPr>
        <w:t xml:space="preserve">when </w:t>
      </w:r>
      <m:oMath>
        <m:r>
          <w:rPr>
            <w:rFonts w:ascii="Cambria Math" w:hAnsi="Cambria Math"/>
            <w:lang w:eastAsia="zh-CN"/>
          </w:rPr>
          <m:t>μ∈</m:t>
        </m:r>
        <m:d>
          <m:dPr>
            <m:begChr m:val="{"/>
            <m:endChr m:val="}"/>
            <m:ctrlPr>
              <w:rPr>
                <w:rFonts w:ascii="Cambria Math" w:hAnsi="Cambria Math"/>
                <w:i/>
                <w:sz w:val="24"/>
                <w:szCs w:val="24"/>
                <w:lang w:eastAsia="zh-CN"/>
              </w:rPr>
            </m:ctrlPr>
          </m:dPr>
          <m:e>
            <m:r>
              <w:rPr>
                <w:rFonts w:ascii="Cambria Math" w:hAnsi="Cambria Math"/>
                <w:lang w:eastAsia="zh-CN"/>
              </w:rPr>
              <m:t>5, 6</m:t>
            </m:r>
          </m:e>
        </m:d>
      </m:oMath>
    </w:p>
    <w:p w14:paraId="1356C687" w14:textId="68B68F68" w:rsidR="001A183B" w:rsidRPr="00686F3E" w:rsidRDefault="00D93568" w:rsidP="001A183B">
      <w:pPr>
        <w:rPr>
          <w:lang w:val="en-US"/>
        </w:rPr>
      </w:pPr>
      <w:r>
        <w:rPr>
          <w:lang w:val="en-US"/>
        </w:rPr>
        <w:t>A</w:t>
      </w:r>
      <w:r w:rsidRPr="00075374">
        <w:rPr>
          <w:lang w:val="en-US"/>
        </w:rPr>
        <w:t xml:space="preserve"> </w:t>
      </w:r>
      <w:r>
        <w:rPr>
          <w:lang w:val="en-US"/>
        </w:rPr>
        <w:t xml:space="preserve">UE </w:t>
      </w:r>
      <w:r w:rsidRPr="00075374">
        <w:rPr>
          <w:lang w:val="en-US"/>
        </w:rPr>
        <w:t>determin</w:t>
      </w:r>
      <w:r>
        <w:rPr>
          <w:lang w:val="en-US"/>
        </w:rPr>
        <w:t>es</w:t>
      </w:r>
      <w:r w:rsidRPr="00075374">
        <w:rPr>
          <w:lang w:val="en-US"/>
        </w:rPr>
        <w:t xml:space="preserve"> </w:t>
      </w:r>
      <w:r>
        <w:rPr>
          <w:lang w:val="en-US"/>
        </w:rPr>
        <w:t>a</w:t>
      </w:r>
      <w:r w:rsidRPr="00075374">
        <w:rPr>
          <w:lang w:val="en-US"/>
        </w:rPr>
        <w:t xml:space="preserve"> slot </w:t>
      </w:r>
      <w:r>
        <w:rPr>
          <w:lang w:val="en-US"/>
        </w:rPr>
        <w:t>and</w:t>
      </w:r>
      <w:r w:rsidRPr="00075374">
        <w:rPr>
          <w:lang w:val="en-US"/>
        </w:rPr>
        <w:t xml:space="preserve"> </w:t>
      </w:r>
      <w:r>
        <w:rPr>
          <w:lang w:val="en-US"/>
        </w:rPr>
        <w:t xml:space="preserve">a </w:t>
      </w:r>
      <w:r w:rsidRPr="00075374">
        <w:rPr>
          <w:lang w:val="en-US"/>
        </w:rPr>
        <w:t xml:space="preserve">symbol </w:t>
      </w:r>
      <w:r>
        <w:rPr>
          <w:lang w:val="en-US"/>
        </w:rPr>
        <w:t>in the slot to</w:t>
      </w:r>
      <w:r w:rsidRPr="00075374">
        <w:rPr>
          <w:lang w:val="en-US"/>
        </w:rPr>
        <w:t xml:space="preserve"> start</w:t>
      </w:r>
      <w:r>
        <w:rPr>
          <w:lang w:val="en-US"/>
        </w:rPr>
        <w:t xml:space="preserve"> or </w:t>
      </w:r>
      <w:r w:rsidRPr="00075374">
        <w:rPr>
          <w:lang w:val="en-US"/>
        </w:rPr>
        <w:t xml:space="preserve">stop PDCCH monitoring according to search space sets for a </w:t>
      </w:r>
      <w:r w:rsidR="00C35265" w:rsidRPr="00277FDE">
        <w:rPr>
          <w:lang w:eastAsia="ko-KR"/>
        </w:rPr>
        <w:t xml:space="preserve">serving cell </w:t>
      </w:r>
      <w:r w:rsidR="00C35265">
        <w:rPr>
          <w:lang w:eastAsia="ko-KR"/>
        </w:rPr>
        <w:t>that</w:t>
      </w:r>
      <w:r w:rsidR="00C35265" w:rsidRPr="00277FDE">
        <w:rPr>
          <w:lang w:eastAsia="ko-KR"/>
        </w:rPr>
        <w:t xml:space="preserve"> the UE is provided </w:t>
      </w:r>
      <w:r w:rsidR="00C35265" w:rsidRPr="00277FDE">
        <w:rPr>
          <w:i/>
          <w:iCs/>
          <w:lang w:eastAsia="ko-KR"/>
        </w:rPr>
        <w:t xml:space="preserve">searchSpaceGroupIdList </w:t>
      </w:r>
      <w:r w:rsidR="00C35265" w:rsidRPr="00277FDE">
        <w:rPr>
          <w:lang w:eastAsia="ko-KR"/>
        </w:rPr>
        <w:t xml:space="preserve">or, if </w:t>
      </w:r>
      <w:r w:rsidR="00AA72D3">
        <w:rPr>
          <w:i/>
          <w:iCs/>
        </w:rPr>
        <w:t>cellGroupsForSwitchList</w:t>
      </w:r>
      <w:r w:rsidR="00C35265" w:rsidRPr="00462451">
        <w:rPr>
          <w:lang w:val="en-US"/>
        </w:rPr>
        <w:t xml:space="preserve"> </w:t>
      </w:r>
      <w:r w:rsidR="00C35265">
        <w:rPr>
          <w:lang w:val="en-US"/>
        </w:rPr>
        <w:t xml:space="preserve">is </w:t>
      </w:r>
      <w:r w:rsidR="00C35265" w:rsidRPr="00277FDE">
        <w:rPr>
          <w:lang w:eastAsia="ko-KR"/>
        </w:rPr>
        <w:t xml:space="preserve">provided, </w:t>
      </w:r>
      <w:r w:rsidR="00C35265">
        <w:rPr>
          <w:lang w:eastAsia="ko-KR"/>
        </w:rPr>
        <w:t xml:space="preserve">for </w:t>
      </w:r>
      <w:r w:rsidR="00C35265" w:rsidRPr="00277FDE">
        <w:rPr>
          <w:lang w:eastAsia="ko-KR"/>
        </w:rPr>
        <w:t xml:space="preserve">a </w:t>
      </w:r>
      <w:r w:rsidRPr="00075374">
        <w:rPr>
          <w:lang w:val="en-US"/>
        </w:rPr>
        <w:t>set of serving cells</w:t>
      </w:r>
      <w:r>
        <w:rPr>
          <w:lang w:val="en-US"/>
        </w:rPr>
        <w:t>,</w:t>
      </w:r>
      <w:r w:rsidRPr="002D7C54">
        <w:rPr>
          <w:lang w:val="en-US"/>
        </w:rPr>
        <w:t xml:space="preserve"> </w:t>
      </w:r>
      <w:r w:rsidR="002D7C54" w:rsidRPr="002D7C54">
        <w:rPr>
          <w:rFonts w:eastAsia="Malgun Gothic"/>
          <w:szCs w:val="28"/>
          <w:lang w:val="en-US" w:eastAsia="ko-KR"/>
        </w:rPr>
        <w:t xml:space="preserve">based on the largest </w:t>
      </w:r>
      <m:oMath>
        <m:sSub>
          <m:sSubPr>
            <m:ctrlPr>
              <w:rPr>
                <w:rFonts w:ascii="Cambria Math" w:eastAsia="Malgun Gothic" w:hAnsi="Cambria Math"/>
                <w:i/>
                <w:iCs/>
                <w:szCs w:val="28"/>
                <w:lang w:val="en-US" w:eastAsia="ko-KR"/>
              </w:rPr>
            </m:ctrlPr>
          </m:sSubPr>
          <m:e>
            <m:r>
              <w:rPr>
                <w:rFonts w:ascii="Cambria Math" w:eastAsia="Malgun Gothic" w:hAnsi="Cambria Math"/>
                <w:szCs w:val="28"/>
                <w:lang w:val="en-US" w:eastAsia="ko-KR"/>
              </w:rPr>
              <m:t>X</m:t>
            </m:r>
          </m:e>
          <m:sub>
            <m:r>
              <w:rPr>
                <w:rFonts w:ascii="Cambria Math" w:eastAsia="Malgun Gothic" w:hAnsi="Cambria Math"/>
                <w:szCs w:val="28"/>
                <w:lang w:val="en-US" w:eastAsia="ko-KR"/>
              </w:rPr>
              <m:t>s</m:t>
            </m:r>
          </m:sub>
        </m:sSub>
      </m:oMath>
      <w:r w:rsidR="002D7C54" w:rsidRPr="002D7C54">
        <w:rPr>
          <w:rFonts w:eastAsia="Malgun Gothic"/>
          <w:szCs w:val="28"/>
          <w:lang w:val="en-US" w:eastAsia="ko-KR"/>
        </w:rPr>
        <w:t xml:space="preserve"> if the SCS configuration </w:t>
      </w:r>
      <m:oMath>
        <m:r>
          <w:rPr>
            <w:rFonts w:ascii="Cambria Math" w:eastAsia="Malgun Gothic" w:hAnsi="Cambria Math"/>
            <w:szCs w:val="28"/>
            <w:lang w:val="en-US" w:eastAsia="ko-KR"/>
          </w:rPr>
          <m:t>μ</m:t>
        </m:r>
      </m:oMath>
      <w:r w:rsidR="002D7C54" w:rsidRPr="002D7C54">
        <w:rPr>
          <w:rFonts w:eastAsia="Malgun Gothic"/>
          <w:szCs w:val="28"/>
          <w:lang w:val="en-US" w:eastAsia="ko-KR"/>
        </w:rPr>
        <w:t xml:space="preserve"> among all configured DL BWPs in the set of serving cells equals to 6, otherwise, </w:t>
      </w:r>
      <w:r>
        <w:rPr>
          <w:lang w:val="en-US"/>
        </w:rPr>
        <w:t xml:space="preserve">based on the smallest SCS configuration </w:t>
      </w:r>
      <m:oMath>
        <m:r>
          <w:rPr>
            <w:rFonts w:ascii="Cambria Math" w:hAnsi="Cambria Math"/>
          </w:rPr>
          <m:t>μ</m:t>
        </m:r>
      </m:oMath>
      <w:r w:rsidRPr="00075374">
        <w:rPr>
          <w:lang w:val="en-US"/>
        </w:rPr>
        <w:t xml:space="preserve"> </w:t>
      </w:r>
      <w:r w:rsidR="00C35265">
        <w:rPr>
          <w:lang w:val="en-US"/>
        </w:rPr>
        <w:t>among all configured DL</w:t>
      </w:r>
      <w:r w:rsidRPr="00075374">
        <w:rPr>
          <w:lang w:val="en-US"/>
        </w:rPr>
        <w:t xml:space="preserve"> BWPs </w:t>
      </w:r>
      <w:r w:rsidR="00C35265">
        <w:rPr>
          <w:lang w:val="en-US"/>
        </w:rPr>
        <w:t xml:space="preserve">in the serving cell or </w:t>
      </w:r>
      <w:r>
        <w:rPr>
          <w:lang w:val="en-US"/>
        </w:rPr>
        <w:t>in</w:t>
      </w:r>
      <w:r w:rsidRPr="00075374">
        <w:rPr>
          <w:lang w:val="en-US"/>
        </w:rPr>
        <w:t xml:space="preserve"> the set of serving cells and</w:t>
      </w:r>
      <w:r>
        <w:rPr>
          <w:lang w:val="en-US"/>
        </w:rPr>
        <w:t xml:space="preserve">, if any, in </w:t>
      </w:r>
      <w:r w:rsidRPr="00075374">
        <w:rPr>
          <w:lang w:val="en-US"/>
        </w:rPr>
        <w:t>the</w:t>
      </w:r>
      <w:r>
        <w:rPr>
          <w:lang w:val="en-US"/>
        </w:rPr>
        <w:t xml:space="preserve"> </w:t>
      </w:r>
      <w:r w:rsidRPr="00075374">
        <w:rPr>
          <w:lang w:val="en-US"/>
        </w:rPr>
        <w:t xml:space="preserve">serving cell </w:t>
      </w:r>
      <w:r>
        <w:rPr>
          <w:lang w:val="en-US"/>
        </w:rPr>
        <w:t xml:space="preserve">where the UE receives a PDCCH and detects a corresponding </w:t>
      </w:r>
      <w:r w:rsidRPr="00075374">
        <w:rPr>
          <w:lang w:val="en-US"/>
        </w:rPr>
        <w:t>DCI format</w:t>
      </w:r>
      <w:r>
        <w:rPr>
          <w:lang w:val="en-US"/>
        </w:rPr>
        <w:t xml:space="preserve"> </w:t>
      </w:r>
      <w:r w:rsidRPr="00075374">
        <w:rPr>
          <w:lang w:val="en-US"/>
        </w:rPr>
        <w:t>2_0</w:t>
      </w:r>
      <w:r w:rsidR="008A36F2">
        <w:rPr>
          <w:lang w:val="en-US"/>
        </w:rPr>
        <w:t xml:space="preserve"> </w:t>
      </w:r>
      <w:r w:rsidRPr="00075374">
        <w:rPr>
          <w:lang w:val="en-US"/>
        </w:rPr>
        <w:t>triggering the start</w:t>
      </w:r>
      <w:r>
        <w:rPr>
          <w:lang w:val="en-US"/>
        </w:rPr>
        <w:t xml:space="preserve"> or </w:t>
      </w:r>
      <w:r w:rsidRPr="00075374">
        <w:rPr>
          <w:lang w:val="en-US"/>
        </w:rPr>
        <w:t>stop of PDCCH monitoring according to search space sets.</w:t>
      </w:r>
    </w:p>
    <w:p w14:paraId="030AEC8F" w14:textId="4D6F90C1" w:rsidR="001A183B" w:rsidRPr="00686F3E" w:rsidRDefault="001A183B" w:rsidP="001A183B">
      <w:pPr>
        <w:rPr>
          <w:lang w:val="en-US" w:eastAsia="zh-CN"/>
        </w:rPr>
      </w:pPr>
      <w:r w:rsidRPr="00686F3E">
        <w:rPr>
          <w:lang w:eastAsia="zh-CN"/>
        </w:rPr>
        <w:t xml:space="preserve">A UE can be provided a </w:t>
      </w:r>
      <w:r w:rsidRPr="00686F3E">
        <w:rPr>
          <w:lang w:val="en-US" w:eastAsia="zh-CN"/>
        </w:rPr>
        <w:t>set of durations</w:t>
      </w:r>
      <w:r w:rsidRPr="00686F3E">
        <w:rPr>
          <w:lang w:eastAsia="zh-CN"/>
        </w:rPr>
        <w:t xml:space="preserve"> by </w:t>
      </w:r>
      <w:r w:rsidR="00816A6D">
        <w:rPr>
          <w:i/>
          <w:lang w:eastAsia="zh-CN"/>
        </w:rPr>
        <w:t>pdcch-</w:t>
      </w:r>
      <w:r w:rsidRPr="00686F3E">
        <w:rPr>
          <w:i/>
          <w:lang w:eastAsia="zh-CN"/>
        </w:rPr>
        <w:t>SkippingDurationList</w:t>
      </w:r>
      <w:r w:rsidRPr="00686F3E">
        <w:rPr>
          <w:iCs/>
          <w:lang w:eastAsia="zh-CN"/>
        </w:rPr>
        <w:t xml:space="preserve"> </w:t>
      </w:r>
      <w:r w:rsidRPr="00686F3E">
        <w:rPr>
          <w:lang w:val="en-US"/>
        </w:rPr>
        <w:t xml:space="preserve">for PDCCH monitoring on </w:t>
      </w:r>
      <w:r w:rsidR="00012A94">
        <w:rPr>
          <w:lang w:val="en-US"/>
        </w:rPr>
        <w:t xml:space="preserve">an active DL BWP of </w:t>
      </w:r>
      <w:r w:rsidRPr="00686F3E">
        <w:rPr>
          <w:lang w:val="en-US"/>
        </w:rPr>
        <w:t>a serving cell</w:t>
      </w:r>
      <w:r w:rsidRPr="00686F3E">
        <w:rPr>
          <w:iCs/>
          <w:lang w:eastAsia="zh-CN"/>
        </w:rPr>
        <w:t xml:space="preserve"> and, if the UE is not provided </w:t>
      </w:r>
      <w:r w:rsidRPr="00686F3E">
        <w:rPr>
          <w:i/>
          <w:lang w:eastAsia="zh-CN"/>
        </w:rPr>
        <w:t>searchSpaceGroupIdList-r17</w:t>
      </w:r>
      <w:r w:rsidR="00012A94">
        <w:rPr>
          <w:iCs/>
          <w:lang w:eastAsia="zh-CN"/>
        </w:rPr>
        <w:t xml:space="preserve"> on the active DL BWP of the serving cell</w:t>
      </w:r>
      <w:r w:rsidRPr="00686F3E">
        <w:rPr>
          <w:iCs/>
          <w:lang w:eastAsia="zh-CN"/>
        </w:rPr>
        <w:t xml:space="preserve">, a </w:t>
      </w:r>
      <w:r w:rsidRPr="00686F3E">
        <w:rPr>
          <w:lang w:val="en-US" w:eastAsia="zh-CN"/>
        </w:rPr>
        <w:t>DCI format 0_1</w:t>
      </w:r>
      <w:r w:rsidR="00540049">
        <w:rPr>
          <w:lang w:val="en-US" w:eastAsia="zh-CN"/>
        </w:rPr>
        <w:t>/0_2/0_3</w:t>
      </w:r>
      <w:r w:rsidRPr="00686F3E">
        <w:rPr>
          <w:lang w:val="en-US" w:eastAsia="zh-CN"/>
        </w:rPr>
        <w:t xml:space="preserve"> that schedule</w:t>
      </w:r>
      <w:r w:rsidR="00540049">
        <w:rPr>
          <w:lang w:val="en-US" w:eastAsia="zh-CN"/>
        </w:rPr>
        <w:t>s</w:t>
      </w:r>
      <w:r w:rsidRPr="00686F3E">
        <w:rPr>
          <w:lang w:val="en-US" w:eastAsia="zh-CN"/>
        </w:rPr>
        <w:t xml:space="preserve"> PUSCH transmission</w:t>
      </w:r>
      <w:r w:rsidR="00012A94">
        <w:rPr>
          <w:lang w:val="en-US" w:eastAsia="zh-CN"/>
        </w:rPr>
        <w:t>, and</w:t>
      </w:r>
      <w:r w:rsidRPr="00686F3E">
        <w:rPr>
          <w:lang w:val="en-US" w:eastAsia="zh-CN"/>
        </w:rPr>
        <w:t xml:space="preserve"> a </w:t>
      </w:r>
      <w:r w:rsidR="00012A94" w:rsidRPr="007B7CF1">
        <w:rPr>
          <w:lang w:val="en-US" w:eastAsia="zh-CN"/>
        </w:rPr>
        <w:t>DCI format 1_1</w:t>
      </w:r>
      <w:r w:rsidR="00540049">
        <w:rPr>
          <w:lang w:val="en-US" w:eastAsia="zh-CN"/>
        </w:rPr>
        <w:t>/1_2/1_3</w:t>
      </w:r>
      <w:r w:rsidR="00012A94" w:rsidRPr="007B7CF1">
        <w:rPr>
          <w:lang w:val="en-US" w:eastAsia="zh-CN"/>
        </w:rPr>
        <w:t xml:space="preserve"> that schedule</w:t>
      </w:r>
      <w:r w:rsidR="00540049">
        <w:rPr>
          <w:lang w:val="en-US" w:eastAsia="zh-CN"/>
        </w:rPr>
        <w:t>s</w:t>
      </w:r>
      <w:r w:rsidR="00012A94" w:rsidRPr="007B7CF1">
        <w:rPr>
          <w:lang w:val="en-US" w:eastAsia="zh-CN"/>
        </w:rPr>
        <w:t xml:space="preserve"> </w:t>
      </w:r>
      <w:r w:rsidRPr="00686F3E">
        <w:rPr>
          <w:lang w:val="en-US" w:eastAsia="zh-CN"/>
        </w:rPr>
        <w:t>PDSCH reception</w:t>
      </w:r>
      <w:r w:rsidR="00540049">
        <w:rPr>
          <w:lang w:val="en-US" w:eastAsia="zh-CN"/>
        </w:rPr>
        <w:t>,</w:t>
      </w:r>
      <w:r w:rsidRPr="00686F3E">
        <w:rPr>
          <w:lang w:val="en-US" w:eastAsia="zh-CN"/>
        </w:rPr>
        <w:t xml:space="preserve"> can include a PDCCH monitoring adaptation field of 1 bit or of 2 bits. </w:t>
      </w:r>
    </w:p>
    <w:p w14:paraId="5521D050" w14:textId="628B34B6" w:rsidR="001A183B" w:rsidRPr="00686F3E" w:rsidRDefault="001A183B" w:rsidP="001A183B">
      <w:pPr>
        <w:rPr>
          <w:lang w:val="en-US" w:eastAsia="zh-CN"/>
        </w:rPr>
      </w:pPr>
      <w:r w:rsidRPr="00686F3E">
        <w:rPr>
          <w:lang w:val="en-US" w:eastAsia="zh-CN"/>
        </w:rPr>
        <w:lastRenderedPageBreak/>
        <w:t xml:space="preserve">If the field has 1 bit and for </w:t>
      </w:r>
      <w:r w:rsidRPr="00686F3E">
        <w:rPr>
          <w:lang w:val="en-US"/>
        </w:rPr>
        <w:t xml:space="preserve">PDCCH monitoring </w:t>
      </w:r>
      <w:r w:rsidR="00012A94">
        <w:rPr>
          <w:lang w:val="en-US"/>
        </w:rPr>
        <w:t xml:space="preserve">by the UE </w:t>
      </w:r>
      <w:r w:rsidRPr="00686F3E">
        <w:rPr>
          <w:lang w:val="en-US"/>
        </w:rPr>
        <w:t xml:space="preserve">according to </w:t>
      </w:r>
      <w:r w:rsidRPr="00686F3E">
        <w:rPr>
          <w:lang w:eastAsia="zh-CN"/>
        </w:rPr>
        <w:t>Type3-PDCCH CSS set</w:t>
      </w:r>
      <w:r w:rsidRPr="00686F3E">
        <w:rPr>
          <w:lang w:val="en-US" w:eastAsia="zh-CN"/>
        </w:rPr>
        <w:t>s</w:t>
      </w:r>
      <w:r w:rsidRPr="00686F3E">
        <w:rPr>
          <w:lang w:eastAsia="zh-CN"/>
        </w:rPr>
        <w:t xml:space="preserve"> or USS set</w:t>
      </w:r>
      <w:r w:rsidRPr="00686F3E">
        <w:rPr>
          <w:lang w:val="en-US" w:eastAsia="zh-CN"/>
        </w:rPr>
        <w:t xml:space="preserve">s on the </w:t>
      </w:r>
      <w:r w:rsidR="00012A94">
        <w:rPr>
          <w:lang w:val="en-US" w:eastAsia="zh-CN"/>
        </w:rPr>
        <w:t>active DL BWP of the</w:t>
      </w:r>
      <w:r w:rsidR="00012A94" w:rsidRPr="00686F3E">
        <w:rPr>
          <w:lang w:val="en-US" w:eastAsia="zh-CN"/>
        </w:rPr>
        <w:t xml:space="preserve"> </w:t>
      </w:r>
      <w:r w:rsidRPr="00686F3E">
        <w:rPr>
          <w:lang w:val="en-US" w:eastAsia="zh-CN"/>
        </w:rPr>
        <w:t>serving cell</w:t>
      </w:r>
    </w:p>
    <w:p w14:paraId="0D4166E8" w14:textId="77777777" w:rsidR="001A183B" w:rsidRPr="00686F3E" w:rsidRDefault="001A183B" w:rsidP="001A183B">
      <w:pPr>
        <w:pStyle w:val="B1"/>
      </w:pPr>
      <w:r w:rsidRPr="00686F3E">
        <w:t>-</w:t>
      </w:r>
      <w:r w:rsidRPr="00686F3E">
        <w:tab/>
        <w:t>a '0' value for the bit indicates no skipping in PDCCH monitoring</w:t>
      </w:r>
    </w:p>
    <w:p w14:paraId="21159498" w14:textId="77777777" w:rsidR="001A183B" w:rsidRPr="00686F3E" w:rsidRDefault="001A183B" w:rsidP="001A183B">
      <w:pPr>
        <w:pStyle w:val="B1"/>
      </w:pPr>
      <w:r w:rsidRPr="00686F3E">
        <w:t>-</w:t>
      </w:r>
      <w:r w:rsidRPr="00686F3E">
        <w:tab/>
        <w:t>a '1' value for the bit indicates skipping PDCCH monitoring for a duration provided by the first value in the set of durations</w:t>
      </w:r>
    </w:p>
    <w:p w14:paraId="53F25B8A" w14:textId="7A9CA216" w:rsidR="001A183B" w:rsidRPr="00686F3E" w:rsidRDefault="001A183B" w:rsidP="001A183B">
      <w:pPr>
        <w:rPr>
          <w:lang w:val="en-US" w:eastAsia="zh-CN"/>
        </w:rPr>
      </w:pPr>
      <w:r w:rsidRPr="00686F3E">
        <w:rPr>
          <w:lang w:val="en-US" w:eastAsia="zh-CN"/>
        </w:rPr>
        <w:t xml:space="preserve">If the field has 2 bits and for </w:t>
      </w:r>
      <w:r w:rsidRPr="00686F3E">
        <w:rPr>
          <w:lang w:val="en-US"/>
        </w:rPr>
        <w:t xml:space="preserve">PDCCH monitoring </w:t>
      </w:r>
      <w:r w:rsidR="00012A94">
        <w:rPr>
          <w:lang w:val="en-US"/>
        </w:rPr>
        <w:t xml:space="preserve">by the UE </w:t>
      </w:r>
      <w:r w:rsidRPr="00686F3E">
        <w:rPr>
          <w:lang w:val="en-US"/>
        </w:rPr>
        <w:t xml:space="preserve">according to </w:t>
      </w:r>
      <w:r w:rsidRPr="00686F3E">
        <w:rPr>
          <w:lang w:eastAsia="zh-CN"/>
        </w:rPr>
        <w:t>Type3-PDCCH CSS set</w:t>
      </w:r>
      <w:r w:rsidRPr="00686F3E">
        <w:rPr>
          <w:lang w:val="en-US" w:eastAsia="zh-CN"/>
        </w:rPr>
        <w:t>s</w:t>
      </w:r>
      <w:r w:rsidRPr="00686F3E">
        <w:rPr>
          <w:lang w:eastAsia="zh-CN"/>
        </w:rPr>
        <w:t xml:space="preserve"> or USS set</w:t>
      </w:r>
      <w:r w:rsidRPr="00686F3E">
        <w:rPr>
          <w:lang w:val="en-US" w:eastAsia="zh-CN"/>
        </w:rPr>
        <w:t>s</w:t>
      </w:r>
      <w:r w:rsidRPr="00686F3E">
        <w:rPr>
          <w:lang w:val="en-US"/>
        </w:rPr>
        <w:t xml:space="preserve"> on </w:t>
      </w:r>
      <w:r w:rsidR="00012A94">
        <w:rPr>
          <w:lang w:val="en-US"/>
        </w:rPr>
        <w:t xml:space="preserve">the </w:t>
      </w:r>
      <w:r w:rsidR="00012A94">
        <w:rPr>
          <w:lang w:val="en-US" w:eastAsia="zh-CN"/>
        </w:rPr>
        <w:t>active DL BWP of the</w:t>
      </w:r>
      <w:r w:rsidR="00012A94" w:rsidRPr="00686F3E">
        <w:rPr>
          <w:lang w:val="en-US"/>
        </w:rPr>
        <w:t xml:space="preserve"> </w:t>
      </w:r>
      <w:r w:rsidRPr="00686F3E">
        <w:rPr>
          <w:lang w:val="en-US"/>
        </w:rPr>
        <w:t>serving cell</w:t>
      </w:r>
    </w:p>
    <w:p w14:paraId="13AEB28C" w14:textId="77777777" w:rsidR="001A183B" w:rsidRPr="00686F3E" w:rsidRDefault="001A183B" w:rsidP="001A183B">
      <w:pPr>
        <w:pStyle w:val="B1"/>
      </w:pPr>
      <w:r w:rsidRPr="00686F3E">
        <w:t>-</w:t>
      </w:r>
      <w:r w:rsidRPr="00686F3E">
        <w:tab/>
        <w:t xml:space="preserve">a '00' value for the bits indicates no skipping in PDCCH monitoring </w:t>
      </w:r>
    </w:p>
    <w:p w14:paraId="3004708A" w14:textId="77777777" w:rsidR="001A183B" w:rsidRPr="00686F3E" w:rsidRDefault="001A183B" w:rsidP="001A183B">
      <w:pPr>
        <w:pStyle w:val="B1"/>
      </w:pPr>
      <w:r w:rsidRPr="00686F3E">
        <w:t>-</w:t>
      </w:r>
      <w:r w:rsidRPr="00686F3E">
        <w:tab/>
        <w:t>a '01' value for the bits indicates skipping PDCCH monitoring for a duration provided by the first value in the set of durations</w:t>
      </w:r>
    </w:p>
    <w:p w14:paraId="355E2325" w14:textId="77777777" w:rsidR="001A183B" w:rsidRPr="00686F3E" w:rsidRDefault="001A183B" w:rsidP="001A183B">
      <w:pPr>
        <w:pStyle w:val="B1"/>
      </w:pPr>
      <w:r w:rsidRPr="00686F3E">
        <w:t>-</w:t>
      </w:r>
      <w:r w:rsidRPr="00686F3E">
        <w:tab/>
        <w:t>a '10' value for the bits indicates skipping PDCCH monitoring for a duration provided by the second value in the set of durations</w:t>
      </w:r>
    </w:p>
    <w:p w14:paraId="77770114" w14:textId="3D5471E5" w:rsidR="001A183B" w:rsidRPr="00686F3E" w:rsidRDefault="001A183B" w:rsidP="001A183B">
      <w:pPr>
        <w:pStyle w:val="B1"/>
      </w:pPr>
      <w:r w:rsidRPr="00686F3E">
        <w:t>-</w:t>
      </w:r>
      <w:r w:rsidRPr="00686F3E">
        <w:tab/>
        <w:t xml:space="preserve">a '11' value for the bits indicates skipping PDCCH monitoring for a duration provided by the third value in the set of durations, if any; otherwise, if the set of durations includes two values, a use of the </w:t>
      </w:r>
      <w:r w:rsidR="005E3B15">
        <w:t>'</w:t>
      </w:r>
      <w:r w:rsidRPr="00686F3E">
        <w:t>11</w:t>
      </w:r>
      <w:r w:rsidR="005E3B15">
        <w:t>'</w:t>
      </w:r>
      <w:r w:rsidRPr="00686F3E">
        <w:t xml:space="preserve"> value is reserved</w:t>
      </w:r>
    </w:p>
    <w:p w14:paraId="2B7156C6" w14:textId="346717A4" w:rsidR="001A183B" w:rsidRPr="00686F3E" w:rsidRDefault="001A183B" w:rsidP="001A183B">
      <w:pPr>
        <w:rPr>
          <w:lang w:val="en-US" w:eastAsia="zh-CN"/>
        </w:rPr>
      </w:pPr>
      <w:r w:rsidRPr="00686F3E">
        <w:rPr>
          <w:lang w:eastAsia="zh-CN"/>
        </w:rPr>
        <w:t xml:space="preserve">A UE can be provided group indexes for a Type3-PDCCH CSS set or USS set by </w:t>
      </w:r>
      <w:r w:rsidRPr="00686F3E">
        <w:rPr>
          <w:i/>
          <w:lang w:eastAsia="zh-CN"/>
        </w:rPr>
        <w:t>searchSpaceGroupIdList-r17</w:t>
      </w:r>
      <w:r w:rsidRPr="00686F3E">
        <w:rPr>
          <w:lang w:val="en-US" w:eastAsia="zh-CN"/>
        </w:rPr>
        <w:t xml:space="preserve"> </w:t>
      </w:r>
      <w:r w:rsidRPr="00686F3E">
        <w:rPr>
          <w:lang w:val="en-US"/>
        </w:rPr>
        <w:t xml:space="preserve">for PDCCH monitoring on </w:t>
      </w:r>
      <w:r w:rsidR="00971DDF">
        <w:rPr>
          <w:lang w:val="en-US"/>
        </w:rPr>
        <w:t xml:space="preserve">an active DL BWP of </w:t>
      </w:r>
      <w:r w:rsidRPr="00686F3E">
        <w:rPr>
          <w:lang w:val="en-US"/>
        </w:rPr>
        <w:t>a serving cell</w:t>
      </w:r>
      <w:r w:rsidRPr="00686F3E">
        <w:rPr>
          <w:lang w:val="en-US" w:eastAsia="zh-CN"/>
        </w:rPr>
        <w:t xml:space="preserve"> and, </w:t>
      </w:r>
      <w:r w:rsidRPr="00686F3E">
        <w:rPr>
          <w:iCs/>
          <w:lang w:eastAsia="zh-CN"/>
        </w:rPr>
        <w:t xml:space="preserve">if the UE is not provided </w:t>
      </w:r>
      <w:r w:rsidR="00816A6D">
        <w:rPr>
          <w:i/>
          <w:lang w:eastAsia="zh-CN"/>
        </w:rPr>
        <w:t>pdcch-</w:t>
      </w:r>
      <w:r w:rsidRPr="00686F3E">
        <w:rPr>
          <w:i/>
          <w:lang w:eastAsia="zh-CN"/>
        </w:rPr>
        <w:t>SkippingDurationList</w:t>
      </w:r>
      <w:r w:rsidR="00971DDF">
        <w:rPr>
          <w:iCs/>
          <w:lang w:eastAsia="zh-CN"/>
        </w:rPr>
        <w:t xml:space="preserve"> for the active DL BWP of the serving cell</w:t>
      </w:r>
      <w:r w:rsidRPr="00686F3E">
        <w:rPr>
          <w:iCs/>
          <w:lang w:eastAsia="zh-CN"/>
        </w:rPr>
        <w:t>,</w:t>
      </w:r>
      <w:r w:rsidRPr="00686F3E">
        <w:rPr>
          <w:lang w:val="en-US" w:eastAsia="zh-CN"/>
        </w:rPr>
        <w:t xml:space="preserve"> </w:t>
      </w:r>
      <w:r w:rsidR="00971DDF">
        <w:rPr>
          <w:lang w:val="en-US" w:eastAsia="zh-CN"/>
        </w:rPr>
        <w:t xml:space="preserve">a </w:t>
      </w:r>
      <w:r w:rsidRPr="00686F3E">
        <w:rPr>
          <w:lang w:val="en-US" w:eastAsia="zh-CN"/>
        </w:rPr>
        <w:t>DCI format 0_1</w:t>
      </w:r>
      <w:r w:rsidR="00540049">
        <w:rPr>
          <w:lang w:val="en-US" w:eastAsia="zh-CN"/>
        </w:rPr>
        <w:t>/0_2/0_3</w:t>
      </w:r>
      <w:r w:rsidRPr="00686F3E">
        <w:rPr>
          <w:lang w:val="en-US" w:eastAsia="zh-CN"/>
        </w:rPr>
        <w:t xml:space="preserve"> that schedule</w:t>
      </w:r>
      <w:r w:rsidR="00540049">
        <w:rPr>
          <w:lang w:val="en-US" w:eastAsia="zh-CN"/>
        </w:rPr>
        <w:t>s</w:t>
      </w:r>
      <w:r w:rsidRPr="00686F3E">
        <w:rPr>
          <w:lang w:val="en-US" w:eastAsia="zh-CN"/>
        </w:rPr>
        <w:t xml:space="preserve"> PUSCH transmission</w:t>
      </w:r>
      <w:r w:rsidR="00540049">
        <w:rPr>
          <w:lang w:val="en-US" w:eastAsia="zh-CN"/>
        </w:rPr>
        <w:t>,</w:t>
      </w:r>
      <w:r w:rsidRPr="00686F3E">
        <w:rPr>
          <w:lang w:val="en-US" w:eastAsia="zh-CN"/>
        </w:rPr>
        <w:t xml:space="preserve"> </w:t>
      </w:r>
      <w:r w:rsidR="00971DDF" w:rsidRPr="007B7CF1">
        <w:rPr>
          <w:lang w:val="en-US" w:eastAsia="zh-CN"/>
        </w:rPr>
        <w:t>and a DCI format 1_1</w:t>
      </w:r>
      <w:r w:rsidR="00540049">
        <w:rPr>
          <w:lang w:val="en-US" w:eastAsia="zh-CN"/>
        </w:rPr>
        <w:t>/1_2/1_3</w:t>
      </w:r>
      <w:r w:rsidR="00971DDF" w:rsidRPr="007B7CF1">
        <w:rPr>
          <w:lang w:val="en-US" w:eastAsia="zh-CN"/>
        </w:rPr>
        <w:t xml:space="preserve"> that schedule</w:t>
      </w:r>
      <w:r w:rsidR="00540049">
        <w:rPr>
          <w:lang w:val="en-US" w:eastAsia="zh-CN"/>
        </w:rPr>
        <w:t>s</w:t>
      </w:r>
      <w:r w:rsidRPr="00686F3E">
        <w:rPr>
          <w:lang w:val="en-US" w:eastAsia="zh-CN"/>
        </w:rPr>
        <w:t xml:space="preserve"> PDSCH reception</w:t>
      </w:r>
      <w:r w:rsidR="00540049">
        <w:rPr>
          <w:lang w:val="en-US" w:eastAsia="zh-CN"/>
        </w:rPr>
        <w:t>,</w:t>
      </w:r>
      <w:r w:rsidRPr="00686F3E">
        <w:rPr>
          <w:lang w:val="en-US" w:eastAsia="zh-CN"/>
        </w:rPr>
        <w:t xml:space="preserve"> can include a PDCCH monitoring adaptation field of 1 bit or of 2 bits</w:t>
      </w:r>
      <w:r w:rsidR="00971DDF" w:rsidRPr="007B7CF1">
        <w:rPr>
          <w:lang w:val="en-US" w:eastAsia="zh-CN"/>
        </w:rPr>
        <w:t xml:space="preserve"> for the serving cell</w:t>
      </w:r>
      <w:r w:rsidRPr="00686F3E">
        <w:rPr>
          <w:lang w:val="en-US" w:eastAsia="zh-CN"/>
        </w:rPr>
        <w:t xml:space="preserve">. </w:t>
      </w:r>
    </w:p>
    <w:p w14:paraId="361AC32C" w14:textId="4C90A002" w:rsidR="001A183B" w:rsidRPr="00686F3E" w:rsidRDefault="001A183B" w:rsidP="001A183B">
      <w:pPr>
        <w:rPr>
          <w:lang w:val="en-US" w:eastAsia="zh-CN"/>
        </w:rPr>
      </w:pPr>
      <w:r w:rsidRPr="00686F3E">
        <w:rPr>
          <w:lang w:val="en-US" w:eastAsia="zh-CN"/>
        </w:rPr>
        <w:t xml:space="preserve">If the field has 1 bit and for </w:t>
      </w:r>
      <w:r w:rsidRPr="00686F3E">
        <w:rPr>
          <w:lang w:val="en-US"/>
        </w:rPr>
        <w:t xml:space="preserve">PDCCH monitoring </w:t>
      </w:r>
      <w:r w:rsidR="00971DDF" w:rsidRPr="007B7CF1">
        <w:rPr>
          <w:lang w:val="en-US"/>
        </w:rPr>
        <w:t xml:space="preserve">by the UE </w:t>
      </w:r>
      <w:r w:rsidRPr="00686F3E">
        <w:rPr>
          <w:lang w:val="en-US"/>
        </w:rPr>
        <w:t xml:space="preserve">according to </w:t>
      </w:r>
      <w:r w:rsidRPr="00686F3E">
        <w:rPr>
          <w:lang w:eastAsia="zh-CN"/>
        </w:rPr>
        <w:t>Type3-PDCCH CSS set</w:t>
      </w:r>
      <w:r w:rsidRPr="00686F3E">
        <w:rPr>
          <w:lang w:val="en-US" w:eastAsia="zh-CN"/>
        </w:rPr>
        <w:t>s</w:t>
      </w:r>
      <w:r w:rsidRPr="00686F3E">
        <w:rPr>
          <w:lang w:eastAsia="zh-CN"/>
        </w:rPr>
        <w:t xml:space="preserve"> or USS set</w:t>
      </w:r>
      <w:r w:rsidRPr="00686F3E">
        <w:rPr>
          <w:lang w:val="en-US" w:eastAsia="zh-CN"/>
        </w:rPr>
        <w:t xml:space="preserve">s on the </w:t>
      </w:r>
      <w:r w:rsidR="00971DDF">
        <w:rPr>
          <w:lang w:val="en-US" w:eastAsia="zh-CN"/>
        </w:rPr>
        <w:t>active DL BWP of the</w:t>
      </w:r>
      <w:r w:rsidR="00971DDF" w:rsidRPr="00686F3E">
        <w:rPr>
          <w:lang w:val="en-US" w:eastAsia="zh-CN"/>
        </w:rPr>
        <w:t xml:space="preserve"> </w:t>
      </w:r>
      <w:r w:rsidRPr="00686F3E">
        <w:rPr>
          <w:lang w:val="en-US" w:eastAsia="zh-CN"/>
        </w:rPr>
        <w:t>serving cell</w:t>
      </w:r>
    </w:p>
    <w:p w14:paraId="3BBE2F46" w14:textId="77777777" w:rsidR="001A183B" w:rsidRPr="00686F3E" w:rsidRDefault="001A183B" w:rsidP="001A183B">
      <w:pPr>
        <w:pStyle w:val="B1"/>
      </w:pPr>
      <w:r w:rsidRPr="00686F3E">
        <w:t>-</w:t>
      </w:r>
      <w:r w:rsidRPr="00686F3E">
        <w:tab/>
        <w:t>a '0' value for the bit indicates start of PDCCH monitoring according to search space sets with group index 0 and stop of PDCCH monitoring according to search space sets with other group indexes, if any</w:t>
      </w:r>
    </w:p>
    <w:p w14:paraId="0A28646E" w14:textId="7435D682" w:rsidR="001A183B" w:rsidRPr="00971DDF" w:rsidRDefault="001A183B" w:rsidP="001A183B">
      <w:pPr>
        <w:pStyle w:val="B1"/>
        <w:rPr>
          <w:lang w:val="en-US"/>
        </w:rPr>
      </w:pPr>
      <w:r w:rsidRPr="00686F3E">
        <w:t>-</w:t>
      </w:r>
      <w:r w:rsidRPr="00686F3E">
        <w:tab/>
        <w:t>a '1' value for the bit indicates start of PDCCH monitoring according to search space sets with group index 1 and stop of PDCCH monitoring according to search space sets with other group indexes, if any</w:t>
      </w:r>
      <w:r w:rsidR="00971DDF" w:rsidRPr="007B7CF1">
        <w:rPr>
          <w:lang w:val="en-US"/>
        </w:rPr>
        <w:t xml:space="preserve">, and the UE sets the timer value to the one provided by </w:t>
      </w:r>
      <w:r w:rsidR="00971DDF" w:rsidRPr="007B7CF1">
        <w:rPr>
          <w:i/>
          <w:lang w:eastAsia="zh-CN"/>
        </w:rPr>
        <w:t>searchSpaceSwitchTimer</w:t>
      </w:r>
      <w:r w:rsidR="00971DDF" w:rsidRPr="007B7CF1">
        <w:rPr>
          <w:i/>
          <w:lang w:val="en-US" w:eastAsia="zh-CN"/>
        </w:rPr>
        <w:t>-r17</w:t>
      </w:r>
      <w:r w:rsidR="00E42EEE">
        <w:rPr>
          <w:iCs/>
          <w:lang w:val="en-US" w:eastAsia="zh-CN"/>
        </w:rPr>
        <w:t>, if provided</w:t>
      </w:r>
    </w:p>
    <w:p w14:paraId="4AA174D3" w14:textId="65E565CD" w:rsidR="001A183B" w:rsidRPr="00686F3E" w:rsidRDefault="001A183B" w:rsidP="001A183B">
      <w:pPr>
        <w:rPr>
          <w:lang w:val="en-US" w:eastAsia="zh-CN"/>
        </w:rPr>
      </w:pPr>
      <w:r w:rsidRPr="00686F3E">
        <w:rPr>
          <w:lang w:val="en-US" w:eastAsia="zh-CN"/>
        </w:rPr>
        <w:t xml:space="preserve">If the field has 2 bits and for </w:t>
      </w:r>
      <w:r w:rsidRPr="00686F3E">
        <w:rPr>
          <w:lang w:val="en-US"/>
        </w:rPr>
        <w:t xml:space="preserve">PDCCH monitoring </w:t>
      </w:r>
      <w:r w:rsidR="00971DDF" w:rsidRPr="007B7CF1">
        <w:rPr>
          <w:lang w:val="en-US"/>
        </w:rPr>
        <w:t xml:space="preserve">by the UE </w:t>
      </w:r>
      <w:r w:rsidRPr="00686F3E">
        <w:rPr>
          <w:lang w:val="en-US"/>
        </w:rPr>
        <w:t xml:space="preserve">according to </w:t>
      </w:r>
      <w:r w:rsidRPr="00686F3E">
        <w:rPr>
          <w:lang w:eastAsia="zh-CN"/>
        </w:rPr>
        <w:t>Type3-PDCCH CSS set</w:t>
      </w:r>
      <w:r w:rsidRPr="00686F3E">
        <w:rPr>
          <w:lang w:val="en-US" w:eastAsia="zh-CN"/>
        </w:rPr>
        <w:t>s</w:t>
      </w:r>
      <w:r w:rsidRPr="00686F3E">
        <w:rPr>
          <w:lang w:eastAsia="zh-CN"/>
        </w:rPr>
        <w:t xml:space="preserve"> or USS set</w:t>
      </w:r>
      <w:r w:rsidRPr="00686F3E">
        <w:rPr>
          <w:lang w:val="en-US" w:eastAsia="zh-CN"/>
        </w:rPr>
        <w:t>s</w:t>
      </w:r>
      <w:r w:rsidRPr="00686F3E">
        <w:rPr>
          <w:lang w:val="en-US"/>
        </w:rPr>
        <w:t xml:space="preserve"> on the </w:t>
      </w:r>
      <w:r w:rsidR="00971DDF">
        <w:rPr>
          <w:lang w:val="en-US"/>
        </w:rPr>
        <w:t xml:space="preserve">active DL BWP of the </w:t>
      </w:r>
      <w:r w:rsidRPr="00686F3E">
        <w:rPr>
          <w:lang w:val="en-US"/>
        </w:rPr>
        <w:t>serving cell</w:t>
      </w:r>
    </w:p>
    <w:p w14:paraId="2F0BAA94" w14:textId="77777777" w:rsidR="001A183B" w:rsidRPr="00686F3E" w:rsidRDefault="001A183B" w:rsidP="001A183B">
      <w:pPr>
        <w:pStyle w:val="B1"/>
      </w:pPr>
      <w:r w:rsidRPr="00686F3E">
        <w:t>-</w:t>
      </w:r>
      <w:r w:rsidRPr="00686F3E">
        <w:tab/>
        <w:t>a '00' value for the bit indicates start of PDCCH monitoring according to search space sets with group index 0 and stop of PDCCH monitoring according to search space sets with other group indexes, if any</w:t>
      </w:r>
    </w:p>
    <w:p w14:paraId="6D9BC721" w14:textId="7F0A2D36" w:rsidR="001A183B" w:rsidRPr="00686F3E" w:rsidRDefault="001A183B" w:rsidP="001A183B">
      <w:pPr>
        <w:pStyle w:val="B1"/>
      </w:pPr>
      <w:r w:rsidRPr="00686F3E">
        <w:t>-</w:t>
      </w:r>
      <w:r w:rsidRPr="00686F3E">
        <w:tab/>
        <w:t>a '01' value for the bit indicates start of PDCCH monitoring according to search space sets with group index 1 and stop of PDCCH monitoring according to search space sets with other group indexes, if any</w:t>
      </w:r>
      <w:r w:rsidR="00971DDF" w:rsidRPr="007B7CF1">
        <w:rPr>
          <w:lang w:val="en-US"/>
        </w:rPr>
        <w:t xml:space="preserve">, and the UE sets the timer value to the one provided by </w:t>
      </w:r>
      <w:r w:rsidR="00971DDF" w:rsidRPr="007B7CF1">
        <w:rPr>
          <w:i/>
          <w:lang w:eastAsia="zh-CN"/>
        </w:rPr>
        <w:t>searchSpaceSwitchTimer</w:t>
      </w:r>
      <w:r w:rsidR="00971DDF" w:rsidRPr="007B7CF1">
        <w:rPr>
          <w:i/>
          <w:lang w:val="en-US" w:eastAsia="zh-CN"/>
        </w:rPr>
        <w:t>-r17</w:t>
      </w:r>
      <w:r w:rsidR="00E42EEE">
        <w:rPr>
          <w:iCs/>
          <w:lang w:val="en-US" w:eastAsia="zh-CN"/>
        </w:rPr>
        <w:t>, if provided</w:t>
      </w:r>
    </w:p>
    <w:p w14:paraId="0C333540" w14:textId="62906477" w:rsidR="001A183B" w:rsidRPr="00686F3E" w:rsidRDefault="001A183B" w:rsidP="001A183B">
      <w:pPr>
        <w:pStyle w:val="B1"/>
      </w:pPr>
      <w:r w:rsidRPr="00686F3E">
        <w:t>-</w:t>
      </w:r>
      <w:r w:rsidRPr="00686F3E">
        <w:tab/>
        <w:t>a '10' value for the bit indicates start of PDCCH monitoring according to search space sets with group index 2 and stop of PDCCH monitoring according to search space sets with other group indexes, if any</w:t>
      </w:r>
      <w:r w:rsidR="00971DDF" w:rsidRPr="007B7CF1">
        <w:rPr>
          <w:lang w:val="en-US"/>
        </w:rPr>
        <w:t xml:space="preserve">, and the UE sets the timer value to the one provided by </w:t>
      </w:r>
      <w:r w:rsidR="00971DDF" w:rsidRPr="007B7CF1">
        <w:rPr>
          <w:i/>
          <w:lang w:eastAsia="zh-CN"/>
        </w:rPr>
        <w:t>searchSpaceSwitchTimer</w:t>
      </w:r>
      <w:r w:rsidR="00971DDF" w:rsidRPr="007B7CF1">
        <w:rPr>
          <w:i/>
          <w:lang w:val="en-US" w:eastAsia="zh-CN"/>
        </w:rPr>
        <w:t>-r17</w:t>
      </w:r>
      <w:r w:rsidR="00E42EEE">
        <w:rPr>
          <w:iCs/>
          <w:lang w:val="en-US" w:eastAsia="zh-CN"/>
        </w:rPr>
        <w:t>, if provided</w:t>
      </w:r>
    </w:p>
    <w:p w14:paraId="238EA042" w14:textId="77777777" w:rsidR="001A183B" w:rsidRPr="00686F3E" w:rsidRDefault="001A183B" w:rsidP="001A183B">
      <w:pPr>
        <w:pStyle w:val="B1"/>
      </w:pPr>
      <w:r w:rsidRPr="00686F3E">
        <w:t>-</w:t>
      </w:r>
      <w:r w:rsidRPr="00686F3E">
        <w:tab/>
        <w:t>a '11' value is reserved</w:t>
      </w:r>
    </w:p>
    <w:p w14:paraId="31A6CCCF" w14:textId="3C5F8B7A" w:rsidR="001A183B" w:rsidRPr="00686F3E" w:rsidRDefault="001A183B" w:rsidP="001A183B">
      <w:pPr>
        <w:rPr>
          <w:lang w:val="en-US" w:eastAsia="zh-CN"/>
        </w:rPr>
      </w:pPr>
      <w:r w:rsidRPr="00686F3E">
        <w:rPr>
          <w:lang w:eastAsia="zh-CN"/>
        </w:rPr>
        <w:t xml:space="preserve">A UE can be provided a </w:t>
      </w:r>
      <w:r w:rsidRPr="00686F3E">
        <w:rPr>
          <w:lang w:val="en-US" w:eastAsia="zh-CN"/>
        </w:rPr>
        <w:t>set of durations</w:t>
      </w:r>
      <w:r w:rsidRPr="00686F3E">
        <w:rPr>
          <w:lang w:eastAsia="zh-CN"/>
        </w:rPr>
        <w:t xml:space="preserve"> by </w:t>
      </w:r>
      <w:r w:rsidR="00816A6D">
        <w:rPr>
          <w:i/>
          <w:lang w:eastAsia="zh-CN"/>
        </w:rPr>
        <w:t>pdcch-</w:t>
      </w:r>
      <w:r w:rsidRPr="00686F3E">
        <w:rPr>
          <w:i/>
          <w:lang w:eastAsia="zh-CN"/>
        </w:rPr>
        <w:t>SkippingDurationList</w:t>
      </w:r>
      <w:r w:rsidRPr="00686F3E">
        <w:rPr>
          <w:iCs/>
          <w:lang w:eastAsia="zh-CN"/>
        </w:rPr>
        <w:t xml:space="preserve"> and </w:t>
      </w:r>
      <w:r w:rsidRPr="00686F3E">
        <w:rPr>
          <w:lang w:eastAsia="zh-CN"/>
        </w:rPr>
        <w:t xml:space="preserve">group indexes for a Type3-PDCCH CSS set or USS set by </w:t>
      </w:r>
      <w:r w:rsidRPr="00686F3E">
        <w:rPr>
          <w:i/>
          <w:lang w:eastAsia="zh-CN"/>
        </w:rPr>
        <w:t>searchSpaceGroupIdList-r17</w:t>
      </w:r>
      <w:r w:rsidRPr="00686F3E">
        <w:rPr>
          <w:lang w:val="en-US" w:eastAsia="zh-CN"/>
        </w:rPr>
        <w:t xml:space="preserve"> </w:t>
      </w:r>
      <w:r w:rsidRPr="00686F3E">
        <w:rPr>
          <w:lang w:val="en-US"/>
        </w:rPr>
        <w:t xml:space="preserve">for PDCCH monitoring on </w:t>
      </w:r>
      <w:r w:rsidR="00971DDF">
        <w:rPr>
          <w:lang w:val="en-US"/>
        </w:rPr>
        <w:t xml:space="preserve">an active DL BWP of </w:t>
      </w:r>
      <w:r w:rsidRPr="00686F3E">
        <w:rPr>
          <w:lang w:val="en-US"/>
        </w:rPr>
        <w:t>a serving cell</w:t>
      </w:r>
      <w:r w:rsidRPr="00686F3E">
        <w:rPr>
          <w:iCs/>
          <w:lang w:eastAsia="zh-CN"/>
        </w:rPr>
        <w:t xml:space="preserve"> and, a </w:t>
      </w:r>
      <w:r w:rsidRPr="00686F3E">
        <w:rPr>
          <w:lang w:val="en-US" w:eastAsia="zh-CN"/>
        </w:rPr>
        <w:t>DCI format 0_1</w:t>
      </w:r>
      <w:r w:rsidR="00540049">
        <w:rPr>
          <w:lang w:val="en-US" w:eastAsia="zh-CN"/>
        </w:rPr>
        <w:t>/0_2/0_3</w:t>
      </w:r>
      <w:r w:rsidRPr="00686F3E">
        <w:rPr>
          <w:lang w:val="en-US" w:eastAsia="zh-CN"/>
        </w:rPr>
        <w:t xml:space="preserve"> that schedule</w:t>
      </w:r>
      <w:r w:rsidR="00540049">
        <w:rPr>
          <w:lang w:val="en-US" w:eastAsia="zh-CN"/>
        </w:rPr>
        <w:t>s</w:t>
      </w:r>
      <w:r w:rsidRPr="00686F3E">
        <w:rPr>
          <w:lang w:val="en-US" w:eastAsia="zh-CN"/>
        </w:rPr>
        <w:t xml:space="preserve"> PUSCH transmission</w:t>
      </w:r>
      <w:r w:rsidR="00971DDF" w:rsidRPr="007B7CF1">
        <w:rPr>
          <w:lang w:val="en-US" w:eastAsia="zh-CN"/>
        </w:rPr>
        <w:t>, and a DCI format 1_1</w:t>
      </w:r>
      <w:r w:rsidR="00540049">
        <w:rPr>
          <w:lang w:val="en-US" w:eastAsia="zh-CN"/>
        </w:rPr>
        <w:t>/1_2/1_3</w:t>
      </w:r>
      <w:r w:rsidR="00971DDF" w:rsidRPr="007B7CF1">
        <w:rPr>
          <w:lang w:val="en-US" w:eastAsia="zh-CN"/>
        </w:rPr>
        <w:t xml:space="preserve"> that schedule</w:t>
      </w:r>
      <w:r w:rsidR="00540049">
        <w:rPr>
          <w:lang w:val="en-US" w:eastAsia="zh-CN"/>
        </w:rPr>
        <w:t>s</w:t>
      </w:r>
      <w:r w:rsidRPr="00686F3E">
        <w:rPr>
          <w:lang w:val="en-US" w:eastAsia="zh-CN"/>
        </w:rPr>
        <w:t xml:space="preserve"> PDSCH reception</w:t>
      </w:r>
      <w:r w:rsidR="00540049">
        <w:rPr>
          <w:lang w:val="en-US" w:eastAsia="zh-CN"/>
        </w:rPr>
        <w:t>,</w:t>
      </w:r>
      <w:r w:rsidRPr="00686F3E">
        <w:rPr>
          <w:lang w:val="en-US" w:eastAsia="zh-CN"/>
        </w:rPr>
        <w:t xml:space="preserve"> can include a PDCCH monitoring adaptation field of 2 bits. </w:t>
      </w:r>
    </w:p>
    <w:p w14:paraId="670BE9F4" w14:textId="17C775E9" w:rsidR="001A183B" w:rsidRPr="00686F3E" w:rsidRDefault="001A183B" w:rsidP="001A183B">
      <w:pPr>
        <w:rPr>
          <w:lang w:val="en-US" w:eastAsia="zh-CN"/>
        </w:rPr>
      </w:pPr>
      <w:r w:rsidRPr="00686F3E">
        <w:rPr>
          <w:lang w:val="en-US" w:eastAsia="zh-CN"/>
        </w:rPr>
        <w:t>If the</w:t>
      </w:r>
      <w:r w:rsidRPr="00686F3E">
        <w:rPr>
          <w:lang w:val="en-US"/>
        </w:rPr>
        <w:t xml:space="preserve"> set of durations includes one value</w:t>
      </w:r>
      <w:r w:rsidRPr="00686F3E">
        <w:rPr>
          <w:lang w:val="en-US" w:eastAsia="zh-CN"/>
        </w:rPr>
        <w:t xml:space="preserve"> and for </w:t>
      </w:r>
      <w:r w:rsidRPr="00686F3E">
        <w:rPr>
          <w:lang w:val="en-US"/>
        </w:rPr>
        <w:t xml:space="preserve">PDCCH monitoring </w:t>
      </w:r>
      <w:r w:rsidR="00971DDF" w:rsidRPr="007B7CF1">
        <w:rPr>
          <w:lang w:val="en-US"/>
        </w:rPr>
        <w:t xml:space="preserve">by the UE </w:t>
      </w:r>
      <w:r w:rsidRPr="00686F3E">
        <w:rPr>
          <w:lang w:val="en-US"/>
        </w:rPr>
        <w:t xml:space="preserve">according to </w:t>
      </w:r>
      <w:r w:rsidRPr="00686F3E">
        <w:rPr>
          <w:lang w:eastAsia="zh-CN"/>
        </w:rPr>
        <w:t>Type3-PDCCH CSS set</w:t>
      </w:r>
      <w:r w:rsidRPr="00686F3E">
        <w:rPr>
          <w:lang w:val="en-US" w:eastAsia="zh-CN"/>
        </w:rPr>
        <w:t>s</w:t>
      </w:r>
      <w:r w:rsidRPr="00686F3E">
        <w:rPr>
          <w:lang w:eastAsia="zh-CN"/>
        </w:rPr>
        <w:t xml:space="preserve"> or USS set</w:t>
      </w:r>
      <w:r w:rsidRPr="00686F3E">
        <w:rPr>
          <w:lang w:val="en-US" w:eastAsia="zh-CN"/>
        </w:rPr>
        <w:t>s</w:t>
      </w:r>
      <w:r w:rsidRPr="00686F3E">
        <w:rPr>
          <w:lang w:val="en-US"/>
        </w:rPr>
        <w:t xml:space="preserve"> on </w:t>
      </w:r>
      <w:r w:rsidR="00C0537C">
        <w:rPr>
          <w:lang w:val="en-US"/>
        </w:rPr>
        <w:t xml:space="preserve">the active DL BWP of </w:t>
      </w:r>
      <w:r w:rsidRPr="00686F3E">
        <w:rPr>
          <w:lang w:val="en-US"/>
        </w:rPr>
        <w:t>the serving cell</w:t>
      </w:r>
    </w:p>
    <w:p w14:paraId="4F1B1DCA" w14:textId="1E0C007D" w:rsidR="001A183B" w:rsidRPr="00686F3E" w:rsidRDefault="001A183B" w:rsidP="001A183B">
      <w:pPr>
        <w:pStyle w:val="B1"/>
      </w:pPr>
      <w:r w:rsidRPr="00686F3E">
        <w:t>-</w:t>
      </w:r>
      <w:r w:rsidRPr="00686F3E">
        <w:tab/>
        <w:t>a '00' value for the bit</w:t>
      </w:r>
      <w:r w:rsidR="00C0537C">
        <w:rPr>
          <w:lang w:val="en-GB"/>
        </w:rPr>
        <w:t>s</w:t>
      </w:r>
      <w:r w:rsidRPr="00686F3E">
        <w:t xml:space="preserve"> indicates start of PDCCH monitoring according to search space sets with group index 0 and stop of PDCCH monitoring according to search space sets with group index</w:t>
      </w:r>
      <w:r>
        <w:t xml:space="preserve"> 1</w:t>
      </w:r>
      <w:r w:rsidRPr="00686F3E">
        <w:t>, if any</w:t>
      </w:r>
    </w:p>
    <w:p w14:paraId="5E52BAA7" w14:textId="17E65BB1" w:rsidR="001A183B" w:rsidRPr="00686F3E" w:rsidRDefault="001A183B" w:rsidP="001A183B">
      <w:pPr>
        <w:pStyle w:val="B1"/>
      </w:pPr>
      <w:r w:rsidRPr="00686F3E">
        <w:lastRenderedPageBreak/>
        <w:t>-</w:t>
      </w:r>
      <w:r w:rsidRPr="00686F3E">
        <w:tab/>
        <w:t>a '01' value for the bit</w:t>
      </w:r>
      <w:r w:rsidR="00C0537C">
        <w:rPr>
          <w:lang w:val="en-GB"/>
        </w:rPr>
        <w:t>s</w:t>
      </w:r>
      <w:r w:rsidRPr="00686F3E">
        <w:t xml:space="preserve"> indicates start of PDCCH monitoring according to search space sets with group index 1 and stop of PDCCH monitoring according to search space sets with group index</w:t>
      </w:r>
      <w:r>
        <w:t xml:space="preserve"> 0</w:t>
      </w:r>
      <w:r w:rsidRPr="00686F3E">
        <w:t>, if any</w:t>
      </w:r>
      <w:r w:rsidR="00C0537C" w:rsidRPr="007B7CF1">
        <w:rPr>
          <w:lang w:val="en-US"/>
        </w:rPr>
        <w:t xml:space="preserve">, and the UE sets the timer value to the one provided by </w:t>
      </w:r>
      <w:r w:rsidR="00C0537C" w:rsidRPr="007B7CF1">
        <w:rPr>
          <w:i/>
          <w:lang w:eastAsia="zh-CN"/>
        </w:rPr>
        <w:t>searchSpaceSwitchTimer</w:t>
      </w:r>
      <w:r w:rsidR="00C0537C" w:rsidRPr="007B7CF1">
        <w:rPr>
          <w:i/>
          <w:lang w:val="en-US" w:eastAsia="zh-CN"/>
        </w:rPr>
        <w:t>-r17</w:t>
      </w:r>
      <w:r w:rsidR="00E42EEE">
        <w:rPr>
          <w:iCs/>
          <w:lang w:val="en-US" w:eastAsia="zh-CN"/>
        </w:rPr>
        <w:t>, if provided</w:t>
      </w:r>
    </w:p>
    <w:p w14:paraId="26CF8491" w14:textId="77777777" w:rsidR="001A183B" w:rsidRPr="00686F3E" w:rsidRDefault="001A183B" w:rsidP="001A183B">
      <w:pPr>
        <w:pStyle w:val="B1"/>
      </w:pPr>
      <w:r w:rsidRPr="00686F3E">
        <w:t>-</w:t>
      </w:r>
      <w:r w:rsidRPr="00686F3E">
        <w:tab/>
        <w:t>a '10' value for the bits indicates skipping PDCCH monitoring for a duration provided by the value in the set of durations</w:t>
      </w:r>
    </w:p>
    <w:p w14:paraId="021D77BC" w14:textId="77777777" w:rsidR="001A183B" w:rsidRPr="00686F3E" w:rsidRDefault="001A183B" w:rsidP="001A183B">
      <w:pPr>
        <w:pStyle w:val="B1"/>
      </w:pPr>
      <w:r w:rsidRPr="00686F3E">
        <w:t>-</w:t>
      </w:r>
      <w:r w:rsidRPr="00686F3E">
        <w:tab/>
        <w:t>a '11' value is reserved</w:t>
      </w:r>
    </w:p>
    <w:p w14:paraId="3F871E98" w14:textId="5642F3A5" w:rsidR="001A183B" w:rsidRPr="00686F3E" w:rsidRDefault="001A183B" w:rsidP="001A183B">
      <w:pPr>
        <w:rPr>
          <w:lang w:val="en-US" w:eastAsia="zh-CN"/>
        </w:rPr>
      </w:pPr>
      <w:r w:rsidRPr="00686F3E">
        <w:rPr>
          <w:lang w:val="en-US" w:eastAsia="zh-CN"/>
        </w:rPr>
        <w:t>If the</w:t>
      </w:r>
      <w:r w:rsidRPr="00686F3E">
        <w:rPr>
          <w:lang w:val="en-US"/>
        </w:rPr>
        <w:t xml:space="preserve"> set of durations includes two values</w:t>
      </w:r>
      <w:r w:rsidRPr="00686F3E">
        <w:rPr>
          <w:lang w:val="en-US" w:eastAsia="zh-CN"/>
        </w:rPr>
        <w:t xml:space="preserve"> and for </w:t>
      </w:r>
      <w:r w:rsidRPr="00686F3E">
        <w:rPr>
          <w:lang w:val="en-US"/>
        </w:rPr>
        <w:t xml:space="preserve">PDCCH monitoring </w:t>
      </w:r>
      <w:r w:rsidR="00C0537C" w:rsidRPr="007B7CF1">
        <w:rPr>
          <w:lang w:val="en-US"/>
        </w:rPr>
        <w:t xml:space="preserve">by the UE </w:t>
      </w:r>
      <w:r w:rsidRPr="00686F3E">
        <w:rPr>
          <w:lang w:val="en-US"/>
        </w:rPr>
        <w:t xml:space="preserve">according to </w:t>
      </w:r>
      <w:r w:rsidRPr="00686F3E">
        <w:rPr>
          <w:lang w:eastAsia="zh-CN"/>
        </w:rPr>
        <w:t>Type3-PDCCH CSS set</w:t>
      </w:r>
      <w:r w:rsidRPr="00686F3E">
        <w:rPr>
          <w:lang w:val="en-US" w:eastAsia="zh-CN"/>
        </w:rPr>
        <w:t>s</w:t>
      </w:r>
      <w:r w:rsidRPr="00686F3E">
        <w:rPr>
          <w:lang w:eastAsia="zh-CN"/>
        </w:rPr>
        <w:t xml:space="preserve"> or USS set</w:t>
      </w:r>
      <w:r w:rsidRPr="00686F3E">
        <w:rPr>
          <w:lang w:val="en-US" w:eastAsia="zh-CN"/>
        </w:rPr>
        <w:t>s</w:t>
      </w:r>
      <w:r w:rsidRPr="00686F3E">
        <w:rPr>
          <w:lang w:val="en-US"/>
        </w:rPr>
        <w:t xml:space="preserve"> on </w:t>
      </w:r>
      <w:r w:rsidR="00C0537C">
        <w:rPr>
          <w:lang w:val="en-US"/>
        </w:rPr>
        <w:t xml:space="preserve">active DL BWP of the </w:t>
      </w:r>
      <w:r w:rsidRPr="00686F3E">
        <w:rPr>
          <w:lang w:val="en-US"/>
        </w:rPr>
        <w:t>serving cell</w:t>
      </w:r>
    </w:p>
    <w:p w14:paraId="3DAD8902" w14:textId="2F203347" w:rsidR="001A183B" w:rsidRPr="00686F3E" w:rsidRDefault="001A183B" w:rsidP="001A183B">
      <w:pPr>
        <w:pStyle w:val="B1"/>
      </w:pPr>
      <w:r w:rsidRPr="00686F3E">
        <w:t>-</w:t>
      </w:r>
      <w:r w:rsidRPr="00686F3E">
        <w:tab/>
        <w:t>a '00' value for the bit</w:t>
      </w:r>
      <w:r w:rsidR="00C86003">
        <w:rPr>
          <w:lang w:val="en-GB"/>
        </w:rPr>
        <w:t>s</w:t>
      </w:r>
      <w:r w:rsidRPr="00686F3E">
        <w:t xml:space="preserve"> indicates start of PDCCH monitoring according to search space sets with group index 0 and stop of PDCCH monitoring according to search space sets with group index</w:t>
      </w:r>
      <w:r>
        <w:t xml:space="preserve"> 1</w:t>
      </w:r>
      <w:r w:rsidRPr="00686F3E">
        <w:t>, if any</w:t>
      </w:r>
    </w:p>
    <w:p w14:paraId="456DEFC3" w14:textId="39C8A91E" w:rsidR="001A183B" w:rsidRPr="00686F3E" w:rsidRDefault="001A183B" w:rsidP="001A183B">
      <w:pPr>
        <w:pStyle w:val="B1"/>
      </w:pPr>
      <w:r w:rsidRPr="00686F3E">
        <w:t>-</w:t>
      </w:r>
      <w:r w:rsidRPr="00686F3E">
        <w:tab/>
        <w:t>a '01' value for the bit</w:t>
      </w:r>
      <w:r w:rsidR="00C86003">
        <w:rPr>
          <w:lang w:val="en-GB"/>
        </w:rPr>
        <w:t>s</w:t>
      </w:r>
      <w:r w:rsidRPr="00686F3E">
        <w:t xml:space="preserve"> indicates start of PDCCH monitoring according to search space sets with group index 1 and stop of PDCCH monitoring according to search space sets with group index</w:t>
      </w:r>
      <w:r>
        <w:t xml:space="preserve"> 0</w:t>
      </w:r>
      <w:r w:rsidRPr="00686F3E">
        <w:t>, if any</w:t>
      </w:r>
      <w:r w:rsidR="00C86003" w:rsidRPr="007B7CF1">
        <w:rPr>
          <w:lang w:val="en-US"/>
        </w:rPr>
        <w:t xml:space="preserve">, and the UE sets the timer value to the one provided by </w:t>
      </w:r>
      <w:r w:rsidR="00C86003" w:rsidRPr="007B7CF1">
        <w:rPr>
          <w:i/>
          <w:lang w:eastAsia="zh-CN"/>
        </w:rPr>
        <w:t>searchSpaceSwitchTimer</w:t>
      </w:r>
      <w:r w:rsidR="00C86003" w:rsidRPr="007B7CF1">
        <w:rPr>
          <w:i/>
          <w:lang w:val="en-US" w:eastAsia="zh-CN"/>
        </w:rPr>
        <w:t>-r17</w:t>
      </w:r>
      <w:r w:rsidR="002171A8">
        <w:rPr>
          <w:iCs/>
          <w:lang w:val="en-US" w:eastAsia="zh-CN"/>
        </w:rPr>
        <w:t>, if provided</w:t>
      </w:r>
    </w:p>
    <w:p w14:paraId="2593E41B" w14:textId="77777777" w:rsidR="001A183B" w:rsidRPr="00686F3E" w:rsidRDefault="001A183B" w:rsidP="001A183B">
      <w:pPr>
        <w:pStyle w:val="B1"/>
      </w:pPr>
      <w:r w:rsidRPr="00686F3E">
        <w:t>-</w:t>
      </w:r>
      <w:r w:rsidRPr="00686F3E">
        <w:tab/>
        <w:t>a '10' value for the bits indicates skipping PDCCH monitoring for a duration provided by the first value in the set of durations</w:t>
      </w:r>
    </w:p>
    <w:p w14:paraId="35A2B899" w14:textId="77777777" w:rsidR="001A183B" w:rsidRPr="00686F3E" w:rsidRDefault="001A183B" w:rsidP="001A183B">
      <w:pPr>
        <w:pStyle w:val="B1"/>
      </w:pPr>
      <w:r w:rsidRPr="00686F3E">
        <w:t>-</w:t>
      </w:r>
      <w:r w:rsidRPr="00686F3E">
        <w:tab/>
        <w:t>a '11' value for the bits indicates skipping PDCCH monitoring for a duration provided by the second value in the set of durations</w:t>
      </w:r>
    </w:p>
    <w:p w14:paraId="0FA5C3EA" w14:textId="77777777" w:rsidR="00C86003" w:rsidRPr="007B7CF1" w:rsidRDefault="00C86003" w:rsidP="00C86003">
      <w:pPr>
        <w:rPr>
          <w:lang w:val="en-US"/>
        </w:rPr>
      </w:pPr>
      <w:r w:rsidRPr="007B7CF1">
        <w:rPr>
          <w:lang w:val="en-US"/>
        </w:rPr>
        <w:t xml:space="preserve">When the </w:t>
      </w:r>
      <w:r w:rsidRPr="007B7CF1">
        <w:rPr>
          <w:lang w:val="en-US" w:eastAsia="zh-CN"/>
        </w:rPr>
        <w:t>PDCCH monitoring adaptation field indicates to a</w:t>
      </w:r>
      <w:r w:rsidRPr="007B7CF1">
        <w:rPr>
          <w:lang w:val="en-US"/>
        </w:rPr>
        <w:t xml:space="preserve"> UE to </w:t>
      </w:r>
      <w:r w:rsidRPr="007B7CF1">
        <w:t>start PDCCH monitoring according to search space sets</w:t>
      </w:r>
      <w:r w:rsidRPr="007B7CF1">
        <w:rPr>
          <w:lang w:val="en-US"/>
        </w:rPr>
        <w:t xml:space="preserve"> with a first group index and </w:t>
      </w:r>
      <w:r w:rsidRPr="007B7CF1">
        <w:t>stop PDCCH monitoring according to search space sets with a second group index, the UE applies the indication</w:t>
      </w:r>
    </w:p>
    <w:p w14:paraId="6559926B" w14:textId="77777777" w:rsidR="00C86003" w:rsidRPr="007B7CF1" w:rsidRDefault="00C86003" w:rsidP="00C86003">
      <w:pPr>
        <w:pStyle w:val="B1"/>
      </w:pPr>
      <w:r w:rsidRPr="007B7CF1">
        <w:t>-</w:t>
      </w:r>
      <w:r w:rsidRPr="007B7CF1">
        <w:tab/>
        <w:t xml:space="preserve">at </w:t>
      </w:r>
      <w:r w:rsidRPr="007B7CF1">
        <w:rPr>
          <w:lang w:val="en-US"/>
        </w:rPr>
        <w:t xml:space="preserve">the beginning of </w:t>
      </w:r>
      <w:r w:rsidRPr="007B7CF1">
        <w:t xml:space="preserve">a first slot that is at least </w:t>
      </w:r>
      <m:oMath>
        <m:sSub>
          <m:sSubPr>
            <m:ctrlPr>
              <w:rPr>
                <w:rFonts w:ascii="Cambria Math" w:hAnsi="Cambria Math"/>
                <w:i/>
              </w:rPr>
            </m:ctrlPr>
          </m:sSubPr>
          <m:e>
            <m:r>
              <w:rPr>
                <w:rFonts w:ascii="Cambria Math" w:hAnsi="Cambria Math"/>
              </w:rPr>
              <m:t>P</m:t>
            </m:r>
          </m:e>
          <m:sub>
            <m:r>
              <w:rPr>
                <w:rFonts w:ascii="Cambria Math" w:hAnsi="Cambria Math"/>
              </w:rPr>
              <m:t>switch</m:t>
            </m:r>
          </m:sub>
        </m:sSub>
      </m:oMath>
      <w:r w:rsidRPr="007B7CF1">
        <w:t xml:space="preserve"> symbols after the last symbol of the PDCCH</w:t>
      </w:r>
      <w:r w:rsidRPr="007B7CF1">
        <w:rPr>
          <w:lang w:val="en-US"/>
        </w:rPr>
        <w:t xml:space="preserve"> reception providing</w:t>
      </w:r>
      <w:r w:rsidRPr="007B7CF1">
        <w:t xml:space="preserve"> the DCI format</w:t>
      </w:r>
      <w:r w:rsidRPr="007B7CF1">
        <w:rPr>
          <w:lang w:val="en-US"/>
        </w:rPr>
        <w:t xml:space="preserve"> with the </w:t>
      </w:r>
      <w:r w:rsidRPr="007B7CF1">
        <w:rPr>
          <w:lang w:val="en-US" w:eastAsia="zh-CN"/>
        </w:rPr>
        <w:t xml:space="preserve">PDCCH monitoring adaptation </w:t>
      </w:r>
      <w:r w:rsidRPr="007B7CF1">
        <w:rPr>
          <w:lang w:val="en-US"/>
        </w:rPr>
        <w:t xml:space="preserve">field when </w:t>
      </w:r>
      <m:oMath>
        <m:r>
          <w:rPr>
            <w:rFonts w:ascii="Cambria Math" w:hAnsi="Cambria Math"/>
            <w:lang w:eastAsia="zh-CN"/>
          </w:rPr>
          <m:t>μ∈</m:t>
        </m:r>
        <m:d>
          <m:dPr>
            <m:begChr m:val="{"/>
            <m:endChr m:val="}"/>
            <m:ctrlPr>
              <w:rPr>
                <w:rFonts w:ascii="Cambria Math" w:hAnsi="Cambria Math"/>
                <w:i/>
                <w:sz w:val="24"/>
                <w:szCs w:val="24"/>
                <w:lang w:eastAsia="zh-CN"/>
              </w:rPr>
            </m:ctrlPr>
          </m:dPr>
          <m:e>
            <m:r>
              <w:rPr>
                <w:rFonts w:ascii="Cambria Math" w:hAnsi="Cambria Math"/>
                <w:lang w:eastAsia="zh-CN"/>
              </w:rPr>
              <m:t>0, 1, 2, 3</m:t>
            </m:r>
          </m:e>
        </m:d>
      </m:oMath>
      <w:r w:rsidRPr="007B7CF1">
        <w:rPr>
          <w:lang w:val="en-US" w:eastAsia="zh-CN"/>
        </w:rPr>
        <w:t>,</w:t>
      </w:r>
      <w:r w:rsidRPr="007B7CF1">
        <w:rPr>
          <w:sz w:val="16"/>
          <w:szCs w:val="16"/>
          <w:lang w:eastAsia="zh-CN"/>
        </w:rPr>
        <w:t xml:space="preserve"> </w:t>
      </w:r>
    </w:p>
    <w:p w14:paraId="3852FC5F" w14:textId="504594CB" w:rsidR="00C86003" w:rsidRPr="007B7CF1" w:rsidRDefault="00C86003" w:rsidP="00C86003">
      <w:pPr>
        <w:pStyle w:val="B1"/>
      </w:pPr>
      <w:r w:rsidRPr="007B7CF1">
        <w:t>-</w:t>
      </w:r>
      <w:r w:rsidRPr="007B7CF1">
        <w:tab/>
        <w:t xml:space="preserve">at the beginning of </w:t>
      </w:r>
      <w:r w:rsidRPr="007B7CF1">
        <w:rPr>
          <w:lang w:val="en-US"/>
        </w:rPr>
        <w:t>a</w:t>
      </w:r>
      <w:r w:rsidRPr="007B7CF1">
        <w:t xml:space="preserve"> first slot</w:t>
      </w:r>
      <w:r w:rsidRPr="007B7CF1">
        <w:rPr>
          <w:lang w:val="en-US"/>
        </w:rPr>
        <w:t xml:space="preserve">, of a slot 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sidRPr="007B7CF1">
        <w:rPr>
          <w:lang w:val="en-US" w:eastAsia="zh-CN"/>
        </w:rPr>
        <w:t xml:space="preserve"> slots,</w:t>
      </w:r>
      <w:r w:rsidRPr="007B7CF1">
        <w:t xml:space="preserve"> that is at least </w:t>
      </w:r>
      <m:oMath>
        <m:sSub>
          <m:sSubPr>
            <m:ctrlPr>
              <w:rPr>
                <w:rFonts w:ascii="Cambria Math" w:hAnsi="Cambria Math"/>
                <w:i/>
              </w:rPr>
            </m:ctrlPr>
          </m:sSubPr>
          <m:e>
            <m:r>
              <w:rPr>
                <w:rFonts w:ascii="Cambria Math" w:hAnsi="Cambria Math"/>
              </w:rPr>
              <m:t>P</m:t>
            </m:r>
          </m:e>
          <m:sub>
            <m:r>
              <w:rPr>
                <w:rFonts w:ascii="Cambria Math" w:hAnsi="Cambria Math"/>
              </w:rPr>
              <m:t>switch</m:t>
            </m:r>
          </m:sub>
        </m:sSub>
      </m:oMath>
      <w:r w:rsidRPr="007B7CF1">
        <w:t xml:space="preserve"> symbols after the last symbol of the PDCCH </w:t>
      </w:r>
      <w:r w:rsidRPr="007B7CF1">
        <w:rPr>
          <w:lang w:val="en-US"/>
        </w:rPr>
        <w:t>reception providing</w:t>
      </w:r>
      <w:r w:rsidRPr="007B7CF1">
        <w:t xml:space="preserve"> the DCI format</w:t>
      </w:r>
      <w:r w:rsidRPr="007B7CF1">
        <w:rPr>
          <w:lang w:val="en-US"/>
        </w:rPr>
        <w:t xml:space="preserve"> with the </w:t>
      </w:r>
      <w:r w:rsidRPr="007B7CF1">
        <w:rPr>
          <w:lang w:val="en-US" w:eastAsia="zh-CN"/>
        </w:rPr>
        <w:t xml:space="preserve">PDCCH monitoring adaptation </w:t>
      </w:r>
      <w:r w:rsidRPr="007B7CF1">
        <w:rPr>
          <w:lang w:val="en-US"/>
        </w:rPr>
        <w:t xml:space="preserve">field when </w:t>
      </w:r>
      <m:oMath>
        <m:r>
          <w:rPr>
            <w:rFonts w:ascii="Cambria Math" w:hAnsi="Cambria Math"/>
            <w:lang w:eastAsia="zh-CN"/>
          </w:rPr>
          <m:t>μ∈</m:t>
        </m:r>
        <m:d>
          <m:dPr>
            <m:begChr m:val="{"/>
            <m:endChr m:val="}"/>
            <m:ctrlPr>
              <w:rPr>
                <w:rFonts w:ascii="Cambria Math" w:hAnsi="Cambria Math"/>
                <w:i/>
                <w:sz w:val="24"/>
                <w:szCs w:val="24"/>
                <w:lang w:eastAsia="zh-CN"/>
              </w:rPr>
            </m:ctrlPr>
          </m:dPr>
          <m:e>
            <m:r>
              <w:rPr>
                <w:rFonts w:ascii="Cambria Math" w:hAnsi="Cambria Math"/>
                <w:lang w:eastAsia="zh-CN"/>
              </w:rPr>
              <m:t>5, 6</m:t>
            </m:r>
          </m:e>
        </m:d>
      </m:oMath>
    </w:p>
    <w:p w14:paraId="04677530" w14:textId="77777777" w:rsidR="004F1F38" w:rsidRPr="00C16E3F" w:rsidRDefault="00C86003" w:rsidP="005B106D">
      <w:pPr>
        <w:rPr>
          <w:lang w:val="en-US"/>
        </w:rPr>
      </w:pPr>
      <w:r w:rsidRPr="00C16E3F">
        <w:rPr>
          <w:lang w:val="en-US"/>
        </w:rPr>
        <w:t xml:space="preserve">When the </w:t>
      </w:r>
      <w:r w:rsidRPr="00C16E3F">
        <w:rPr>
          <w:lang w:val="en-US" w:eastAsia="zh-CN"/>
        </w:rPr>
        <w:t>PDCCH monitoring adaptation field indicates to a</w:t>
      </w:r>
      <w:r w:rsidRPr="00C16E3F">
        <w:rPr>
          <w:lang w:val="en-US"/>
        </w:rPr>
        <w:t xml:space="preserve"> UE to </w:t>
      </w:r>
      <w:r w:rsidRPr="00C16E3F">
        <w:t xml:space="preserve">skip PDCCH monitoring for a duration on the active DL BWP of a serving cell, </w:t>
      </w:r>
      <w:r w:rsidRPr="00C16E3F">
        <w:rPr>
          <w:lang w:val="en-US"/>
        </w:rPr>
        <w:t xml:space="preserve">the UE </w:t>
      </w:r>
      <w:r w:rsidRPr="00C16E3F">
        <w:t xml:space="preserve">starts skipping of PDCCH monitoring at </w:t>
      </w:r>
      <w:r w:rsidRPr="00C16E3F">
        <w:rPr>
          <w:lang w:val="en-US"/>
        </w:rPr>
        <w:t xml:space="preserve">the beginning of </w:t>
      </w:r>
      <w:r w:rsidRPr="00C16E3F">
        <w:t>a first slot that is after the last symbol of the PDCCH</w:t>
      </w:r>
      <w:r w:rsidRPr="00C16E3F">
        <w:rPr>
          <w:lang w:val="en-US"/>
        </w:rPr>
        <w:t xml:space="preserve"> reception providing</w:t>
      </w:r>
      <w:r w:rsidRPr="00C16E3F">
        <w:t xml:space="preserve"> the DCI format</w:t>
      </w:r>
      <w:r w:rsidRPr="00C16E3F">
        <w:rPr>
          <w:lang w:val="en-US"/>
        </w:rPr>
        <w:t xml:space="preserve"> with the </w:t>
      </w:r>
      <w:r w:rsidRPr="00C16E3F">
        <w:rPr>
          <w:lang w:val="en-US" w:eastAsia="zh-CN"/>
        </w:rPr>
        <w:t xml:space="preserve">PDCCH monitoring adaptation </w:t>
      </w:r>
      <w:r w:rsidRPr="00C16E3F">
        <w:rPr>
          <w:lang w:val="en-US"/>
        </w:rPr>
        <w:t>field.</w:t>
      </w:r>
      <w:r w:rsidR="00CB7E8E" w:rsidRPr="00C16E3F">
        <w:rPr>
          <w:lang w:val="en-US"/>
        </w:rPr>
        <w:t xml:space="preserve"> </w:t>
      </w:r>
    </w:p>
    <w:p w14:paraId="4C136B7A" w14:textId="12B8F52E" w:rsidR="004F1F38" w:rsidRPr="00C16E3F" w:rsidRDefault="004F1F38" w:rsidP="004F1F38">
      <w:pPr>
        <w:pStyle w:val="B1"/>
      </w:pPr>
      <w:r w:rsidRPr="00C16E3F">
        <w:t>-</w:t>
      </w:r>
      <w:r w:rsidRPr="00C16E3F">
        <w:tab/>
      </w:r>
      <w:r w:rsidR="00EF27A4" w:rsidRPr="00C16E3F">
        <w:t xml:space="preserve">If the UE transmits a PUCCH providing a positive SR before the UE detects a DCI format providing the </w:t>
      </w:r>
      <w:r w:rsidR="00EF27A4" w:rsidRPr="00C16E3F">
        <w:rPr>
          <w:lang w:eastAsia="zh-CN"/>
        </w:rPr>
        <w:t>PDCCH monitoring adaptation field</w:t>
      </w:r>
      <w:r w:rsidR="00EF27A4" w:rsidRPr="00C16E3F">
        <w:t xml:space="preserve"> </w:t>
      </w:r>
      <w:r w:rsidR="00EF27A4" w:rsidRPr="00C16E3F">
        <w:rPr>
          <w:lang w:eastAsia="zh-CN"/>
        </w:rPr>
        <w:t>indicating to the</w:t>
      </w:r>
      <w:r w:rsidR="00EF27A4" w:rsidRPr="00C16E3F">
        <w:t xml:space="preserve"> UE to skip PDCCH monitoring for the duration on the active DL BWP of the serving cell, the UE shall monitor PDCCH regardless of PDCCH skipping indication on all serving cells of the corresponding Cell Group when the SR is pending [11, TS 38.321]. </w:t>
      </w:r>
    </w:p>
    <w:p w14:paraId="43BF5E4E" w14:textId="676AFA9F" w:rsidR="004F1F38" w:rsidRPr="00C16E3F" w:rsidRDefault="004F1F38" w:rsidP="004F1F38">
      <w:pPr>
        <w:pStyle w:val="B1"/>
      </w:pPr>
      <w:r w:rsidRPr="00C16E3F">
        <w:t>-</w:t>
      </w:r>
      <w:r w:rsidRPr="00C16E3F">
        <w:tab/>
      </w:r>
      <w:r w:rsidR="00CB7E8E" w:rsidRPr="00C16E3F">
        <w:t xml:space="preserve">If the UE transmits a PUCCH providing a positive SR after the UE detects a DCI format providing the </w:t>
      </w:r>
      <w:r w:rsidR="00CB7E8E" w:rsidRPr="00C16E3F">
        <w:rPr>
          <w:lang w:eastAsia="zh-CN"/>
        </w:rPr>
        <w:t>PDCCH monitoring adaptation field</w:t>
      </w:r>
      <w:r w:rsidR="00CB7E8E" w:rsidRPr="00C16E3F">
        <w:t xml:space="preserve"> </w:t>
      </w:r>
      <w:r w:rsidR="00CB7E8E" w:rsidRPr="00C16E3F">
        <w:rPr>
          <w:lang w:eastAsia="zh-CN"/>
        </w:rPr>
        <w:t>indicating to the</w:t>
      </w:r>
      <w:r w:rsidR="00CB7E8E" w:rsidRPr="00C16E3F">
        <w:t xml:space="preserve"> UE to skip PDCCH monitoring for the duration on the active DL BWP of the serving cell, the UE resumes PDCCH monitoring starting at the beginning of a first slot that is after a last symbol of the PUCCH transmission</w:t>
      </w:r>
      <w:r w:rsidR="002359F4" w:rsidRPr="00C16E3F">
        <w:t xml:space="preserve"> in all serving cells of the corresponding Cell Group</w:t>
      </w:r>
      <w:r w:rsidR="00CB7E8E" w:rsidRPr="00C16E3F">
        <w:t>.</w:t>
      </w:r>
      <w:r w:rsidR="005B106D" w:rsidRPr="00C16E3F">
        <w:t xml:space="preserve"> </w:t>
      </w:r>
    </w:p>
    <w:p w14:paraId="09D5DE54" w14:textId="1FDB3F61" w:rsidR="004F1F38" w:rsidRPr="00C16E3F" w:rsidRDefault="004F1F38" w:rsidP="004F1F38">
      <w:pPr>
        <w:pStyle w:val="B1"/>
      </w:pPr>
      <w:r w:rsidRPr="00C16E3F">
        <w:t>-</w:t>
      </w:r>
      <w:r w:rsidRPr="00C16E3F">
        <w:tab/>
        <w:t xml:space="preserve">When the UE is </w:t>
      </w:r>
      <w:r w:rsidRPr="00C16E3F">
        <w:rPr>
          <w:lang w:val="en-US"/>
        </w:rPr>
        <w:t>provided</w:t>
      </w:r>
      <w:r w:rsidRPr="00C16E3F">
        <w:t xml:space="preserve"> </w:t>
      </w:r>
      <w:r w:rsidRPr="00C16E3F">
        <w:rPr>
          <w:i/>
          <w:iCs/>
          <w:lang w:val="en-US"/>
        </w:rPr>
        <w:t>pdcch</w:t>
      </w:r>
      <w:r w:rsidRPr="00C16E3F">
        <w:rPr>
          <w:i/>
          <w:iCs/>
        </w:rPr>
        <w:t>MornitoringResumptionAfterNack</w:t>
      </w:r>
      <w:r w:rsidRPr="00C16E3F">
        <w:t xml:space="preserve">, after the UE detects a DCI format providing the PDCCH monitoring adaptation field indicating to the UE to skip PDCCH monitoring for the duration on the active DL BWP of </w:t>
      </w:r>
      <w:r w:rsidRPr="00C16E3F">
        <w:rPr>
          <w:lang w:val="en-US"/>
        </w:rPr>
        <w:t>the</w:t>
      </w:r>
      <w:r w:rsidRPr="00C16E3F">
        <w:t xml:space="preserve"> serving cell, if the UE transmits a PUCCH or a PUSCH providing a NACK value </w:t>
      </w:r>
      <w:r w:rsidRPr="00C16E3F">
        <w:rPr>
          <w:lang w:val="en-US"/>
        </w:rPr>
        <w:t xml:space="preserve">associated with a </w:t>
      </w:r>
      <w:r w:rsidRPr="00C16E3F">
        <w:t xml:space="preserve">PDSCH </w:t>
      </w:r>
      <w:r w:rsidRPr="00C16E3F">
        <w:rPr>
          <w:lang w:val="en-US"/>
        </w:rPr>
        <w:t xml:space="preserve">reception that is </w:t>
      </w:r>
      <w:r w:rsidRPr="00C16E3F">
        <w:t xml:space="preserve">scheduled by a DCI format </w:t>
      </w:r>
      <w:r w:rsidRPr="00C16E3F">
        <w:rPr>
          <w:lang w:val="en-US"/>
        </w:rPr>
        <w:t>in a PDCCH reception on</w:t>
      </w:r>
      <w:r w:rsidRPr="00C16E3F">
        <w:t xml:space="preserve"> the serving cell, the UE terminates PDCCH skipping, starting from the beginning of a first slot that is after a last symbol of the PUCCH or PUSCH transmission on the serving cell.</w:t>
      </w:r>
      <w:r w:rsidRPr="00C16E3F">
        <w:rPr>
          <w:lang w:eastAsia="zh-CN"/>
        </w:rPr>
        <w:t xml:space="preserve"> </w:t>
      </w:r>
    </w:p>
    <w:p w14:paraId="4F0A4AEF" w14:textId="1F8F27C5" w:rsidR="004F1F38" w:rsidRPr="00C16E3F" w:rsidRDefault="004F1F38" w:rsidP="004F1F38">
      <w:pPr>
        <w:pStyle w:val="B1"/>
      </w:pPr>
      <w:r w:rsidRPr="00C16E3F">
        <w:t>-</w:t>
      </w:r>
      <w:r w:rsidRPr="00C16E3F">
        <w:tab/>
      </w:r>
      <w:r w:rsidR="005B106D" w:rsidRPr="00C16E3F">
        <w:t xml:space="preserve">During the time of </w:t>
      </w:r>
      <w:r w:rsidR="005B106D" w:rsidRPr="00C16E3F">
        <w:rPr>
          <w:i/>
          <w:iCs/>
        </w:rPr>
        <w:t>ra-ResponseWindow</w:t>
      </w:r>
      <w:r w:rsidR="005B106D" w:rsidRPr="00C16E3F">
        <w:t xml:space="preserve"> or </w:t>
      </w:r>
      <w:r w:rsidR="005B106D" w:rsidRPr="00C16E3F">
        <w:rPr>
          <w:i/>
          <w:iCs/>
        </w:rPr>
        <w:t>msgB-ResponseWindow</w:t>
      </w:r>
      <w:r w:rsidR="005B106D" w:rsidRPr="00C16E3F">
        <w:t xml:space="preserve"> or the duration where </w:t>
      </w:r>
      <w:r w:rsidR="005B106D" w:rsidRPr="00C16E3F">
        <w:rPr>
          <w:i/>
          <w:iCs/>
        </w:rPr>
        <w:t>ra-ContentionResolutionTimer</w:t>
      </w:r>
      <w:r w:rsidR="005B106D" w:rsidRPr="00C16E3F">
        <w:t xml:space="preserve"> is running, the UE shall not skip PDCCH monitoring on SpCell. </w:t>
      </w:r>
    </w:p>
    <w:p w14:paraId="6BA2F2AE" w14:textId="52169D1C" w:rsidR="004F1F38" w:rsidRPr="00C16E3F" w:rsidRDefault="004F1F38" w:rsidP="004F1F38">
      <w:pPr>
        <w:pStyle w:val="B1"/>
      </w:pPr>
      <w:r w:rsidRPr="00C16E3F">
        <w:t>-</w:t>
      </w:r>
      <w:r w:rsidRPr="00C16E3F">
        <w:tab/>
      </w:r>
      <w:r w:rsidR="00EF27A4" w:rsidRPr="00C16E3F">
        <w:t xml:space="preserve">After the UE detects a DCI format providing the </w:t>
      </w:r>
      <w:r w:rsidR="00EF27A4" w:rsidRPr="00C16E3F">
        <w:rPr>
          <w:lang w:eastAsia="zh-CN"/>
        </w:rPr>
        <w:t>PDCCH monitoring adaptation field</w:t>
      </w:r>
      <w:r w:rsidR="00EF27A4" w:rsidRPr="00C16E3F">
        <w:t xml:space="preserve"> </w:t>
      </w:r>
      <w:r w:rsidR="00EF27A4" w:rsidRPr="00C16E3F">
        <w:rPr>
          <w:lang w:eastAsia="zh-CN"/>
        </w:rPr>
        <w:t>indicating to the</w:t>
      </w:r>
      <w:r w:rsidR="00EF27A4" w:rsidRPr="00C16E3F">
        <w:t xml:space="preserve"> UE to skip PDCCH monitoring for the duration on the active DL BWP of a SpCell, when contention resolution is successful [11, TS 38.321], the UE resumes PDCCH monitoring on the SpCell. </w:t>
      </w:r>
    </w:p>
    <w:p w14:paraId="607B3932" w14:textId="428290D0" w:rsidR="004F1F38" w:rsidRPr="00C16E3F" w:rsidRDefault="004F1F38" w:rsidP="004F1F38">
      <w:pPr>
        <w:pStyle w:val="B1"/>
      </w:pPr>
      <w:r w:rsidRPr="00C16E3F">
        <w:lastRenderedPageBreak/>
        <w:t>-</w:t>
      </w:r>
      <w:r w:rsidRPr="00C16E3F">
        <w:tab/>
      </w:r>
      <w:r w:rsidR="00EF27A4" w:rsidRPr="00C16E3F">
        <w:t xml:space="preserve">After the UE detects a DCI format providing the </w:t>
      </w:r>
      <w:r w:rsidR="00EF27A4" w:rsidRPr="00C16E3F">
        <w:rPr>
          <w:lang w:eastAsia="zh-CN"/>
        </w:rPr>
        <w:t>PDCCH monitoring adaptation field</w:t>
      </w:r>
      <w:r w:rsidR="00EF27A4" w:rsidRPr="00C16E3F">
        <w:t xml:space="preserve"> </w:t>
      </w:r>
      <w:r w:rsidR="00EF27A4" w:rsidRPr="00C16E3F">
        <w:rPr>
          <w:lang w:eastAsia="zh-CN"/>
        </w:rPr>
        <w:t>indicating to the</w:t>
      </w:r>
      <w:r w:rsidR="00EF27A4" w:rsidRPr="00C16E3F">
        <w:t xml:space="preserve"> UE to skip PDCCH monitoring for the duration on the active DL BWP of a serving cell, when a pending SR is cancelled [11, TS 38.321], the UE resumes PDCCH monitoring in all serving cells of the corresponding Cell Group. </w:t>
      </w:r>
    </w:p>
    <w:p w14:paraId="597D0108" w14:textId="3C186BCA" w:rsidR="005B106D" w:rsidRPr="00C16E3F" w:rsidRDefault="004F1F38" w:rsidP="004F1F38">
      <w:pPr>
        <w:pStyle w:val="B1"/>
      </w:pPr>
      <w:r w:rsidRPr="00C16E3F">
        <w:t>-</w:t>
      </w:r>
      <w:r w:rsidRPr="00C16E3F">
        <w:tab/>
      </w:r>
      <w:r w:rsidR="002359F4" w:rsidRPr="00C16E3F">
        <w:t xml:space="preserve">If UE transmits a RACH due to positive SR, the UE shall not skip PDCCH monitoring on any serving cell of the corresponding Cell Group during the time of </w:t>
      </w:r>
      <w:r w:rsidR="002359F4" w:rsidRPr="00C16E3F">
        <w:rPr>
          <w:i/>
          <w:iCs/>
        </w:rPr>
        <w:t>ra-ResponseWindow</w:t>
      </w:r>
      <w:r w:rsidR="002359F4" w:rsidRPr="00C16E3F">
        <w:t xml:space="preserve"> or </w:t>
      </w:r>
      <w:r w:rsidR="002359F4" w:rsidRPr="00C16E3F">
        <w:rPr>
          <w:i/>
          <w:iCs/>
        </w:rPr>
        <w:t>msgB-ResponseWindow</w:t>
      </w:r>
      <w:r w:rsidR="002359F4" w:rsidRPr="00C16E3F">
        <w:t xml:space="preserve"> or the duration where </w:t>
      </w:r>
      <w:r w:rsidR="002359F4" w:rsidRPr="00C16E3F">
        <w:rPr>
          <w:i/>
          <w:iCs/>
        </w:rPr>
        <w:t>ra-ContentionResolutionTimer</w:t>
      </w:r>
      <w:r w:rsidR="002359F4" w:rsidRPr="00C16E3F">
        <w:t xml:space="preserve"> is running. </w:t>
      </w:r>
      <w:r w:rsidR="005B106D" w:rsidRPr="00C16E3F">
        <w:t xml:space="preserve">If </w:t>
      </w:r>
      <w:r w:rsidR="005A560B" w:rsidRPr="00C16E3F">
        <w:t xml:space="preserve">DRX is configured and </w:t>
      </w:r>
      <w:r w:rsidR="005B106D" w:rsidRPr="00C16E3F">
        <w:t>the DRX group of the serving cell enters outside Active Time, the UE terminates PDCCH skipping for the serving cell.</w:t>
      </w:r>
    </w:p>
    <w:p w14:paraId="2B9D82FF" w14:textId="458E5563" w:rsidR="005B106D" w:rsidRPr="00B0279E" w:rsidRDefault="005B106D" w:rsidP="005B106D">
      <w:r w:rsidRPr="00B0279E">
        <w:rPr>
          <w:lang w:eastAsia="zh-CN"/>
        </w:rPr>
        <w:t xml:space="preserve">If </w:t>
      </w:r>
      <w:r w:rsidRPr="00B0279E">
        <w:t xml:space="preserve">the UE changes to a new active DL BWP of the serving cell by the expiration of </w:t>
      </w:r>
      <w:r w:rsidRPr="00B0279E">
        <w:rPr>
          <w:i/>
        </w:rPr>
        <w:t>bwp-InactivityTimer</w:t>
      </w:r>
      <w:r w:rsidR="002731E1" w:rsidRPr="00684741">
        <w:t xml:space="preserve"> or by RRC configuration</w:t>
      </w:r>
      <w:r w:rsidRPr="00B0279E">
        <w:t xml:space="preserve">, the UE </w:t>
      </w:r>
    </w:p>
    <w:p w14:paraId="54B74A7A" w14:textId="7516E54B" w:rsidR="005B106D" w:rsidRPr="00B0279E" w:rsidRDefault="005B106D" w:rsidP="005B106D">
      <w:pPr>
        <w:pStyle w:val="B1"/>
        <w:rPr>
          <w:lang w:eastAsia="zh-CN"/>
        </w:rPr>
      </w:pPr>
      <w:r>
        <w:t>-</w:t>
      </w:r>
      <w:r>
        <w:tab/>
      </w:r>
      <w:r w:rsidRPr="00B0279E">
        <w:t xml:space="preserve">resumes </w:t>
      </w:r>
      <w:r w:rsidRPr="00B0279E">
        <w:rPr>
          <w:lang w:eastAsia="zh-CN"/>
        </w:rPr>
        <w:t xml:space="preserve">PDCCH monitoring according to the </w:t>
      </w:r>
      <w:r w:rsidRPr="00B0279E">
        <w:t xml:space="preserve">search space sets </w:t>
      </w:r>
      <w:r w:rsidRPr="00B0279E">
        <w:rPr>
          <w:lang w:eastAsia="zh-CN"/>
        </w:rPr>
        <w:t>on the new active BWP of the serving cell</w:t>
      </w:r>
      <w:r w:rsidR="0021482B">
        <w:rPr>
          <w:lang w:val="en-GB" w:eastAsia="zh-CN"/>
        </w:rPr>
        <w:t xml:space="preserve"> when UE is in a PDCCH skipping duration</w:t>
      </w:r>
      <w:r w:rsidRPr="00B0279E">
        <w:rPr>
          <w:lang w:eastAsia="zh-CN"/>
        </w:rPr>
        <w:t xml:space="preserve">, if the UE </w:t>
      </w:r>
      <w:r w:rsidRPr="00B0279E">
        <w:rPr>
          <w:iCs/>
          <w:lang w:eastAsia="zh-CN"/>
        </w:rPr>
        <w:t xml:space="preserve">is not provided </w:t>
      </w:r>
      <w:r w:rsidRPr="00B0279E">
        <w:rPr>
          <w:i/>
          <w:lang w:eastAsia="zh-CN"/>
        </w:rPr>
        <w:t>searchSpaceGroupIdList-r17</w:t>
      </w:r>
      <w:r w:rsidRPr="00B0279E">
        <w:rPr>
          <w:lang w:eastAsia="zh-CN"/>
        </w:rPr>
        <w:t xml:space="preserve"> on the new active DL BWP</w:t>
      </w:r>
    </w:p>
    <w:p w14:paraId="62A898C2" w14:textId="6CAE16E7" w:rsidR="00C86003" w:rsidRPr="007B7CF1" w:rsidRDefault="005B106D" w:rsidP="005B106D">
      <w:pPr>
        <w:pStyle w:val="B1"/>
        <w:rPr>
          <w:lang w:eastAsia="zh-CN"/>
        </w:rPr>
      </w:pPr>
      <w:r>
        <w:rPr>
          <w:lang w:eastAsia="zh-CN"/>
        </w:rPr>
        <w:t>-</w:t>
      </w:r>
      <w:r>
        <w:rPr>
          <w:lang w:eastAsia="zh-CN"/>
        </w:rPr>
        <w:tab/>
      </w:r>
      <w:r w:rsidRPr="00B0279E">
        <w:rPr>
          <w:lang w:eastAsia="zh-CN"/>
        </w:rPr>
        <w:t xml:space="preserve">monitors PDCCH according to </w:t>
      </w:r>
      <w:r w:rsidRPr="00B0279E">
        <w:t>search space sets with group index 0</w:t>
      </w:r>
      <w:r w:rsidRPr="00B0279E">
        <w:rPr>
          <w:lang w:eastAsia="ko-KR"/>
        </w:rPr>
        <w:t xml:space="preserve"> </w:t>
      </w:r>
      <w:r w:rsidRPr="00B0279E">
        <w:rPr>
          <w:lang w:eastAsia="zh-CN"/>
        </w:rPr>
        <w:t>on the new active BWP of the serving cell</w:t>
      </w:r>
      <w:r w:rsidR="0021482B" w:rsidRPr="006B7AD2">
        <w:rPr>
          <w:lang w:eastAsia="zh-CN"/>
        </w:rPr>
        <w:t xml:space="preserve">, if the UE is </w:t>
      </w:r>
      <w:r w:rsidR="0021482B" w:rsidRPr="006B7AD2">
        <w:rPr>
          <w:iCs/>
          <w:lang w:eastAsia="zh-CN"/>
        </w:rPr>
        <w:t xml:space="preserve">provided </w:t>
      </w:r>
      <w:r w:rsidR="0021482B" w:rsidRPr="006B7AD2">
        <w:rPr>
          <w:i/>
          <w:lang w:eastAsia="zh-CN"/>
        </w:rPr>
        <w:t>searchSpaceGroupIdList-r17</w:t>
      </w:r>
      <w:r w:rsidRPr="00B0279E">
        <w:rPr>
          <w:lang w:eastAsia="zh-CN"/>
        </w:rPr>
        <w:t>.</w:t>
      </w:r>
    </w:p>
    <w:p w14:paraId="3E90A8CA" w14:textId="671E193E" w:rsidR="001A183B" w:rsidRPr="00686F3E" w:rsidRDefault="001A183B" w:rsidP="001A183B">
      <w:pPr>
        <w:rPr>
          <w:lang w:eastAsia="ko-KR"/>
        </w:rPr>
      </w:pPr>
      <w:r w:rsidRPr="00686F3E">
        <w:rPr>
          <w:lang w:eastAsia="zh-CN"/>
        </w:rPr>
        <w:t xml:space="preserve">If a UE is provided group indexes for a Type3-PDCCH CSS set or a USS set by </w:t>
      </w:r>
      <w:r w:rsidRPr="00686F3E">
        <w:rPr>
          <w:i/>
          <w:lang w:eastAsia="zh-CN"/>
        </w:rPr>
        <w:t>searchSpaceGroupIdList-r17</w:t>
      </w:r>
      <w:r w:rsidRPr="00686F3E">
        <w:rPr>
          <w:lang w:val="en-US" w:eastAsia="zh-CN"/>
        </w:rPr>
        <w:t xml:space="preserve"> </w:t>
      </w:r>
      <w:r w:rsidRPr="00686F3E">
        <w:rPr>
          <w:lang w:eastAsia="zh-CN"/>
        </w:rPr>
        <w:t xml:space="preserve">and a </w:t>
      </w:r>
      <w:r w:rsidRPr="00686F3E">
        <w:rPr>
          <w:lang w:val="en-US" w:eastAsia="zh-CN"/>
        </w:rPr>
        <w:t>timer value</w:t>
      </w:r>
      <w:r w:rsidRPr="00686F3E">
        <w:rPr>
          <w:lang w:eastAsia="zh-CN"/>
        </w:rPr>
        <w:t xml:space="preserve"> by </w:t>
      </w:r>
      <w:r w:rsidRPr="00686F3E">
        <w:rPr>
          <w:i/>
          <w:lang w:eastAsia="zh-CN"/>
        </w:rPr>
        <w:t>searchSpaceSwitchTimer-r17</w:t>
      </w:r>
      <w:r w:rsidRPr="00686F3E">
        <w:rPr>
          <w:lang w:val="en-US"/>
        </w:rPr>
        <w:t xml:space="preserve"> for PDCCH monitoring </w:t>
      </w:r>
      <w:r w:rsidR="00C86003" w:rsidRPr="007B7CF1">
        <w:rPr>
          <w:lang w:val="en-US"/>
        </w:rPr>
        <w:t xml:space="preserve">an active DL BWP of </w:t>
      </w:r>
      <w:r w:rsidRPr="00686F3E">
        <w:rPr>
          <w:lang w:val="en-US"/>
        </w:rPr>
        <w:t>on a serving cell and the timer is running, t</w:t>
      </w:r>
      <w:r w:rsidRPr="00686F3E">
        <w:rPr>
          <w:rFonts w:hint="eastAsia"/>
          <w:lang w:eastAsia="ko-KR"/>
        </w:rPr>
        <w:t>he UE</w:t>
      </w:r>
    </w:p>
    <w:p w14:paraId="210A2901" w14:textId="0026F640" w:rsidR="001A183B" w:rsidRDefault="001A183B" w:rsidP="001A183B">
      <w:pPr>
        <w:pStyle w:val="B1"/>
        <w:rPr>
          <w:lang w:val="en-US" w:eastAsia="ja-JP"/>
        </w:rPr>
      </w:pPr>
      <w:r>
        <w:rPr>
          <w:lang w:val="en-US" w:eastAsia="ko-KR"/>
        </w:rPr>
        <w:t>-</w:t>
      </w:r>
      <w:r>
        <w:rPr>
          <w:lang w:val="en-US" w:eastAsia="ko-KR"/>
        </w:rPr>
        <w:tab/>
      </w:r>
      <w:r w:rsidRPr="00686F3E">
        <w:rPr>
          <w:lang w:val="en-US" w:eastAsia="ko-KR"/>
        </w:rPr>
        <w:t>resets</w:t>
      </w:r>
      <w:r w:rsidRPr="00686F3E">
        <w:rPr>
          <w:rFonts w:hint="eastAsia"/>
          <w:lang w:eastAsia="ko-KR"/>
        </w:rPr>
        <w:t xml:space="preserve"> the timer </w:t>
      </w:r>
      <w:r w:rsidRPr="00686F3E">
        <w:rPr>
          <w:lang w:val="en-US" w:eastAsia="ja-JP"/>
        </w:rPr>
        <w:t>after a</w:t>
      </w:r>
      <w:r w:rsidRPr="00686F3E">
        <w:rPr>
          <w:lang w:eastAsia="ja-JP"/>
        </w:rPr>
        <w:t xml:space="preserve"> slot </w:t>
      </w:r>
      <w:r w:rsidRPr="00686F3E">
        <w:rPr>
          <w:lang w:val="en-US" w:eastAsia="ja-JP"/>
        </w:rPr>
        <w:t>of</w:t>
      </w:r>
      <w:r w:rsidRPr="00686F3E">
        <w:rPr>
          <w:lang w:eastAsia="ja-JP"/>
        </w:rPr>
        <w:t xml:space="preserve"> the active DL BWP of the serving cell </w:t>
      </w:r>
      <w:r w:rsidR="00C86003">
        <w:rPr>
          <w:lang w:val="en-GB" w:eastAsia="ja-JP"/>
        </w:rPr>
        <w:t>if</w:t>
      </w:r>
      <w:r w:rsidR="00C86003" w:rsidRPr="00686F3E">
        <w:rPr>
          <w:lang w:eastAsia="ja-JP"/>
        </w:rPr>
        <w:t xml:space="preserve"> </w:t>
      </w:r>
      <w:r w:rsidRPr="00686F3E">
        <w:rPr>
          <w:lang w:eastAsia="ja-JP"/>
        </w:rPr>
        <w:t>the UE detect</w:t>
      </w:r>
      <w:r w:rsidRPr="00686F3E">
        <w:rPr>
          <w:lang w:val="en-US" w:eastAsia="ja-JP"/>
        </w:rPr>
        <w:t>s</w:t>
      </w:r>
      <w:r w:rsidRPr="00686F3E">
        <w:rPr>
          <w:lang w:eastAsia="ja-JP"/>
        </w:rPr>
        <w:t xml:space="preserve"> a DCI format </w:t>
      </w:r>
      <w:r w:rsidRPr="00686F3E">
        <w:rPr>
          <w:lang w:val="en-US" w:eastAsia="ja-JP"/>
        </w:rPr>
        <w:t xml:space="preserve">in a PDCCH reception in the slot </w:t>
      </w:r>
      <w:r w:rsidRPr="00686F3E">
        <w:rPr>
          <w:lang w:eastAsia="ja-JP"/>
        </w:rPr>
        <w:t xml:space="preserve">for </w:t>
      </w:r>
      <w:r w:rsidR="00C86003" w:rsidRPr="007B7CF1">
        <w:rPr>
          <w:lang w:val="en-US" w:eastAsia="ja-JP"/>
        </w:rPr>
        <w:t>with CRC scrambled by C-RNTI/CS-RNTI/MCS-C-RNTI</w:t>
      </w:r>
      <w:r w:rsidR="00F676CA">
        <w:rPr>
          <w:lang w:val="en-US" w:eastAsia="ja-JP"/>
        </w:rPr>
        <w:t>/G-RNTI for multicast/G-CS-RNTI</w:t>
      </w:r>
    </w:p>
    <w:p w14:paraId="0EA493D6" w14:textId="1BDD839E" w:rsidR="00C86003" w:rsidRPr="00686F3E" w:rsidRDefault="00C86003" w:rsidP="001A183B">
      <w:pPr>
        <w:pStyle w:val="B1"/>
        <w:rPr>
          <w:lang w:eastAsia="zh-CN"/>
        </w:rPr>
      </w:pPr>
      <w:r w:rsidRPr="007B7CF1">
        <w:rPr>
          <w:lang w:eastAsia="ko-KR"/>
        </w:rPr>
        <w:t>-</w:t>
      </w:r>
      <w:r w:rsidRPr="007B7CF1">
        <w:rPr>
          <w:lang w:eastAsia="ko-KR"/>
        </w:rPr>
        <w:tab/>
      </w:r>
      <w:r>
        <w:rPr>
          <w:lang w:val="en-US" w:eastAsia="ko-KR"/>
        </w:rPr>
        <w:t xml:space="preserve">otherwise, </w:t>
      </w:r>
      <w:r w:rsidRPr="007B7CF1">
        <w:rPr>
          <w:lang w:eastAsia="ko-KR"/>
        </w:rPr>
        <w:t>decrements</w:t>
      </w:r>
      <w:r w:rsidRPr="007B7CF1">
        <w:rPr>
          <w:rFonts w:hint="eastAsia"/>
          <w:lang w:eastAsia="ko-KR"/>
        </w:rPr>
        <w:t xml:space="preserve"> the timer </w:t>
      </w:r>
      <w:r>
        <w:rPr>
          <w:lang w:val="en-US" w:eastAsia="ja-JP"/>
        </w:rPr>
        <w:t>value by one after a slot of the active DL BWP of the serving cell</w:t>
      </w:r>
    </w:p>
    <w:p w14:paraId="5A39E92F" w14:textId="77777777" w:rsidR="00C86003" w:rsidRPr="007B7CF1" w:rsidRDefault="00C86003" w:rsidP="00C86003">
      <w:pPr>
        <w:rPr>
          <w:lang w:eastAsia="zh-CN"/>
        </w:rPr>
      </w:pPr>
      <w:r w:rsidRPr="007B7CF1">
        <w:rPr>
          <w:lang w:eastAsia="zh-CN"/>
        </w:rPr>
        <w:t xml:space="preserve">When the timer expires in a first slot, the UE monitors PDCCH on the serving cell according to </w:t>
      </w:r>
      <w:r w:rsidRPr="007B7CF1">
        <w:rPr>
          <w:lang w:val="en-US"/>
        </w:rPr>
        <w:t>search space sets with group index</w:t>
      </w:r>
      <w:r w:rsidRPr="007B7CF1">
        <w:t xml:space="preserve"> </w:t>
      </w:r>
      <w:r w:rsidRPr="007B7CF1">
        <w:rPr>
          <w:lang w:val="en-US"/>
        </w:rPr>
        <w:t>0 starting in a second slot that</w:t>
      </w:r>
    </w:p>
    <w:p w14:paraId="7AB3930D" w14:textId="77777777" w:rsidR="00C86003" w:rsidRPr="007B7CF1" w:rsidRDefault="00C86003" w:rsidP="00C86003">
      <w:pPr>
        <w:pStyle w:val="B1"/>
        <w:rPr>
          <w:lang w:val="en-US" w:eastAsia="ko-KR"/>
        </w:rPr>
      </w:pPr>
      <w:r w:rsidRPr="007B7CF1">
        <w:rPr>
          <w:lang w:eastAsia="ko-KR"/>
        </w:rPr>
        <w:t>-</w:t>
      </w:r>
      <w:r w:rsidRPr="007B7CF1">
        <w:rPr>
          <w:lang w:eastAsia="ko-KR"/>
        </w:rPr>
        <w:tab/>
      </w:r>
      <w:r w:rsidRPr="007B7CF1">
        <w:rPr>
          <w:lang w:val="en-US" w:eastAsia="ko-KR"/>
        </w:rPr>
        <w:t xml:space="preserve">is not earlier than </w:t>
      </w:r>
      <m:oMath>
        <m:sSub>
          <m:sSubPr>
            <m:ctrlPr>
              <w:rPr>
                <w:rFonts w:ascii="Cambria Math" w:hAnsi="Cambria Math"/>
                <w:i/>
              </w:rPr>
            </m:ctrlPr>
          </m:sSubPr>
          <m:e>
            <m:r>
              <w:rPr>
                <w:rFonts w:ascii="Cambria Math" w:hAnsi="Cambria Math"/>
              </w:rPr>
              <m:t>P</m:t>
            </m:r>
          </m:e>
          <m:sub>
            <m:r>
              <w:rPr>
                <w:rFonts w:ascii="Cambria Math" w:hAnsi="Cambria Math"/>
              </w:rPr>
              <m:t>switch</m:t>
            </m:r>
          </m:sub>
        </m:sSub>
      </m:oMath>
      <w:r w:rsidRPr="007B7CF1">
        <w:t xml:space="preserve"> symbols</w:t>
      </w:r>
      <w:r w:rsidRPr="007B7CF1">
        <w:rPr>
          <w:lang w:val="en-US" w:eastAsia="ko-KR"/>
        </w:rPr>
        <w:t xml:space="preserve"> after the first slot</w:t>
      </w:r>
      <w:r>
        <w:rPr>
          <w:lang w:val="en-US" w:eastAsia="ko-KR"/>
        </w:rPr>
        <w:t xml:space="preserve"> </w:t>
      </w:r>
      <w:r w:rsidRPr="007B7CF1">
        <w:rPr>
          <w:lang w:val="en-US"/>
        </w:rPr>
        <w:t xml:space="preserve">when </w:t>
      </w:r>
      <m:oMath>
        <m:r>
          <w:rPr>
            <w:rFonts w:ascii="Cambria Math" w:hAnsi="Cambria Math"/>
            <w:lang w:eastAsia="zh-CN"/>
          </w:rPr>
          <m:t>μ∈</m:t>
        </m:r>
        <m:d>
          <m:dPr>
            <m:begChr m:val="{"/>
            <m:endChr m:val="}"/>
            <m:ctrlPr>
              <w:rPr>
                <w:rFonts w:ascii="Cambria Math" w:hAnsi="Cambria Math"/>
                <w:i/>
                <w:sz w:val="24"/>
                <w:szCs w:val="24"/>
                <w:lang w:eastAsia="zh-CN"/>
              </w:rPr>
            </m:ctrlPr>
          </m:dPr>
          <m:e>
            <m:r>
              <w:rPr>
                <w:rFonts w:ascii="Cambria Math" w:hAnsi="Cambria Math"/>
                <w:lang w:eastAsia="zh-CN"/>
              </w:rPr>
              <m:t>0, 1, 2, 3</m:t>
            </m:r>
          </m:e>
        </m:d>
      </m:oMath>
      <w:r w:rsidRPr="007B7CF1">
        <w:rPr>
          <w:lang w:val="en-US" w:eastAsia="zh-CN"/>
        </w:rPr>
        <w:t>,</w:t>
      </w:r>
    </w:p>
    <w:p w14:paraId="561D57E7" w14:textId="77777777" w:rsidR="00C86003" w:rsidRPr="007B7CF1" w:rsidRDefault="00C86003" w:rsidP="00C86003">
      <w:pPr>
        <w:pStyle w:val="B1"/>
        <w:rPr>
          <w:lang w:val="en-US" w:eastAsia="ko-KR"/>
        </w:rPr>
      </w:pPr>
      <w:r w:rsidRPr="007B7CF1">
        <w:rPr>
          <w:lang w:eastAsia="ko-KR"/>
        </w:rPr>
        <w:t>-</w:t>
      </w:r>
      <w:r w:rsidRPr="007B7CF1">
        <w:rPr>
          <w:lang w:eastAsia="ko-KR"/>
        </w:rPr>
        <w:tab/>
      </w:r>
      <w:r w:rsidRPr="007B7CF1">
        <w:rPr>
          <w:lang w:val="en-US" w:eastAsia="ko-KR"/>
        </w:rPr>
        <w:t xml:space="preserve">is a first slot in a </w:t>
      </w:r>
      <w:r w:rsidRPr="007B7CF1">
        <w:rPr>
          <w:lang w:val="en-US"/>
        </w:rPr>
        <w:t xml:space="preserve">slot group of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s</m:t>
            </m:r>
          </m:sub>
        </m:sSub>
      </m:oMath>
      <w:r w:rsidRPr="007B7CF1">
        <w:rPr>
          <w:lang w:val="en-US" w:eastAsia="zh-CN"/>
        </w:rPr>
        <w:t xml:space="preserve"> slots that is</w:t>
      </w:r>
      <w:r w:rsidRPr="007B7CF1">
        <w:t xml:space="preserve"> </w:t>
      </w:r>
      <w:r w:rsidRPr="007B7CF1">
        <w:rPr>
          <w:lang w:val="en-US" w:eastAsia="ko-KR"/>
        </w:rPr>
        <w:t xml:space="preserve">not earlier than </w:t>
      </w:r>
      <m:oMath>
        <m:sSub>
          <m:sSubPr>
            <m:ctrlPr>
              <w:rPr>
                <w:rFonts w:ascii="Cambria Math" w:hAnsi="Cambria Math"/>
                <w:i/>
              </w:rPr>
            </m:ctrlPr>
          </m:sSubPr>
          <m:e>
            <m:r>
              <w:rPr>
                <w:rFonts w:ascii="Cambria Math" w:hAnsi="Cambria Math"/>
              </w:rPr>
              <m:t>P</m:t>
            </m:r>
          </m:e>
          <m:sub>
            <m:r>
              <w:rPr>
                <w:rFonts w:ascii="Cambria Math" w:hAnsi="Cambria Math"/>
              </w:rPr>
              <m:t>switch</m:t>
            </m:r>
          </m:sub>
        </m:sSub>
      </m:oMath>
      <w:r w:rsidRPr="007B7CF1">
        <w:t xml:space="preserve"> symbols</w:t>
      </w:r>
      <w:r w:rsidRPr="007B7CF1">
        <w:rPr>
          <w:lang w:val="en-US" w:eastAsia="ko-KR"/>
        </w:rPr>
        <w:t xml:space="preserve"> after the first slot</w:t>
      </w:r>
      <w:r>
        <w:rPr>
          <w:lang w:val="en-US" w:eastAsia="ko-KR"/>
        </w:rPr>
        <w:t xml:space="preserve"> </w:t>
      </w:r>
      <w:r w:rsidRPr="007B7CF1">
        <w:rPr>
          <w:lang w:val="en-US"/>
        </w:rPr>
        <w:t xml:space="preserve">when </w:t>
      </w:r>
      <m:oMath>
        <m:r>
          <w:rPr>
            <w:rFonts w:ascii="Cambria Math" w:hAnsi="Cambria Math"/>
            <w:lang w:eastAsia="zh-CN"/>
          </w:rPr>
          <m:t>μ∈</m:t>
        </m:r>
        <m:d>
          <m:dPr>
            <m:begChr m:val="{"/>
            <m:endChr m:val="}"/>
            <m:ctrlPr>
              <w:rPr>
                <w:rFonts w:ascii="Cambria Math" w:hAnsi="Cambria Math"/>
                <w:i/>
                <w:sz w:val="24"/>
                <w:szCs w:val="24"/>
                <w:lang w:eastAsia="zh-CN"/>
              </w:rPr>
            </m:ctrlPr>
          </m:dPr>
          <m:e>
            <m:r>
              <w:rPr>
                <w:rFonts w:ascii="Cambria Math" w:hAnsi="Cambria Math"/>
                <w:lang w:eastAsia="zh-CN"/>
              </w:rPr>
              <m:t>5, 6</m:t>
            </m:r>
          </m:e>
        </m:d>
      </m:oMath>
      <w:r w:rsidRPr="007B7CF1">
        <w:rPr>
          <w:lang w:val="en-US" w:eastAsia="zh-CN"/>
        </w:rPr>
        <w:t>,</w:t>
      </w:r>
    </w:p>
    <w:p w14:paraId="3EC20E43" w14:textId="77777777" w:rsidR="00C86003" w:rsidRPr="007B7CF1" w:rsidRDefault="00C86003" w:rsidP="00C86003">
      <w:pPr>
        <w:pStyle w:val="B1"/>
        <w:rPr>
          <w:lang w:val="en-US" w:eastAsia="ko-KR"/>
        </w:rPr>
      </w:pPr>
      <w:r w:rsidRPr="007B7CF1">
        <w:rPr>
          <w:lang w:eastAsia="ko-KR"/>
        </w:rPr>
        <w:t>-</w:t>
      </w:r>
      <w:r w:rsidRPr="007B7CF1">
        <w:rPr>
          <w:lang w:eastAsia="ko-KR"/>
        </w:rPr>
        <w:tab/>
      </w:r>
      <w:r w:rsidRPr="007B7CF1">
        <w:rPr>
          <w:lang w:val="en-US" w:eastAsia="ko-KR"/>
        </w:rPr>
        <w:t>is not earlier than a slot where a PDCCH skipping duration expires, if applicable</w:t>
      </w:r>
    </w:p>
    <w:p w14:paraId="35A9F5E9" w14:textId="77777777" w:rsidR="00C86003" w:rsidRPr="007B7CF1" w:rsidRDefault="00C86003" w:rsidP="00C86003">
      <w:pPr>
        <w:rPr>
          <w:lang w:eastAsia="zh-CN"/>
        </w:rPr>
      </w:pPr>
      <w:r w:rsidRPr="007B7CF1">
        <w:rPr>
          <w:lang w:eastAsia="zh-CN"/>
        </w:rPr>
        <w:t>When a UE receives</w:t>
      </w:r>
    </w:p>
    <w:p w14:paraId="544BAFC1" w14:textId="77777777" w:rsidR="00C86003" w:rsidRPr="007B7CF1" w:rsidRDefault="00C86003" w:rsidP="00C86003">
      <w:pPr>
        <w:pStyle w:val="B1"/>
        <w:rPr>
          <w:lang w:val="en-US"/>
        </w:rPr>
      </w:pPr>
      <w:r w:rsidRPr="007B7CF1">
        <w:rPr>
          <w:lang w:eastAsia="ko-KR"/>
        </w:rPr>
        <w:t>-</w:t>
      </w:r>
      <w:r w:rsidRPr="007B7CF1">
        <w:rPr>
          <w:lang w:eastAsia="ko-KR"/>
        </w:rPr>
        <w:tab/>
      </w:r>
      <w:r w:rsidRPr="007B7CF1">
        <w:rPr>
          <w:lang w:val="en-US" w:eastAsia="ko-KR"/>
        </w:rPr>
        <w:t xml:space="preserve">a first PDCCH in a first slot that provides a DCI format with a PDCCH </w:t>
      </w:r>
      <w:r w:rsidRPr="007B7CF1">
        <w:rPr>
          <w:lang w:val="en-US" w:eastAsia="zh-CN"/>
        </w:rPr>
        <w:t>monitoring adaptation field having a first value indicating</w:t>
      </w:r>
      <w:r w:rsidRPr="007B7CF1">
        <w:t xml:space="preserve"> skipping PDCCH monitoring</w:t>
      </w:r>
      <w:r w:rsidRPr="007B7CF1">
        <w:rPr>
          <w:lang w:val="en-US"/>
        </w:rPr>
        <w:t xml:space="preserve">, or indicating </w:t>
      </w:r>
      <w:r w:rsidRPr="007B7CF1">
        <w:t xml:space="preserve">start of PDCCH monitoring according to </w:t>
      </w:r>
      <w:r w:rsidRPr="007B7CF1">
        <w:rPr>
          <w:lang w:val="en-US"/>
        </w:rPr>
        <w:t xml:space="preserve">a </w:t>
      </w:r>
      <w:r w:rsidRPr="007B7CF1">
        <w:t xml:space="preserve">search space sets with </w:t>
      </w:r>
      <w:r w:rsidRPr="007B7CF1">
        <w:rPr>
          <w:lang w:val="en-US"/>
        </w:rPr>
        <w:t xml:space="preserve">a first group index </w:t>
      </w:r>
      <w:r w:rsidRPr="007B7CF1">
        <w:t xml:space="preserve">and stop of PDCCH monitoring according to search space sets with </w:t>
      </w:r>
      <w:r w:rsidRPr="007B7CF1">
        <w:rPr>
          <w:lang w:val="en-US"/>
        </w:rPr>
        <w:t xml:space="preserve">a second </w:t>
      </w:r>
      <w:r w:rsidRPr="007B7CF1">
        <w:t>group index</w:t>
      </w:r>
      <w:r w:rsidRPr="007B7CF1">
        <w:rPr>
          <w:lang w:val="en-US"/>
        </w:rPr>
        <w:t xml:space="preserve">, for an active DL BWP and </w:t>
      </w:r>
    </w:p>
    <w:p w14:paraId="76A25D38" w14:textId="77777777" w:rsidR="00C86003" w:rsidRPr="007B7CF1" w:rsidRDefault="00C86003" w:rsidP="00C86003">
      <w:pPr>
        <w:pStyle w:val="B1"/>
        <w:rPr>
          <w:lang w:val="en-US"/>
        </w:rPr>
      </w:pPr>
      <w:r w:rsidRPr="007B7CF1">
        <w:rPr>
          <w:lang w:eastAsia="ko-KR"/>
        </w:rPr>
        <w:t>-</w:t>
      </w:r>
      <w:r w:rsidRPr="007B7CF1">
        <w:rPr>
          <w:lang w:eastAsia="ko-KR"/>
        </w:rPr>
        <w:tab/>
      </w:r>
      <w:r w:rsidRPr="007B7CF1">
        <w:rPr>
          <w:lang w:val="en-US" w:eastAsia="ko-KR"/>
        </w:rPr>
        <w:t xml:space="preserve">a second PDCCH that provides a DCI format with a PDCCH </w:t>
      </w:r>
      <w:r w:rsidRPr="007B7CF1">
        <w:rPr>
          <w:lang w:val="en-US" w:eastAsia="zh-CN"/>
        </w:rPr>
        <w:t>monitoring adaptation field having a second value indicating</w:t>
      </w:r>
      <w:r w:rsidRPr="007B7CF1">
        <w:t xml:space="preserve"> skipping PDCCH monitoring</w:t>
      </w:r>
      <w:r w:rsidRPr="007B7CF1">
        <w:rPr>
          <w:lang w:val="en-US"/>
        </w:rPr>
        <w:t xml:space="preserve">, or indicating </w:t>
      </w:r>
      <w:r w:rsidRPr="007B7CF1">
        <w:t xml:space="preserve">start of PDCCH monitoring according to search space sets with </w:t>
      </w:r>
      <w:r w:rsidRPr="007B7CF1">
        <w:rPr>
          <w:lang w:val="en-US"/>
        </w:rPr>
        <w:t xml:space="preserve">a first group index </w:t>
      </w:r>
      <w:r w:rsidRPr="007B7CF1">
        <w:t xml:space="preserve">and stop of PDCCH monitoring according to search space sets with </w:t>
      </w:r>
      <w:r w:rsidRPr="007B7CF1">
        <w:rPr>
          <w:lang w:val="en-US"/>
        </w:rPr>
        <w:t xml:space="preserve">a second </w:t>
      </w:r>
      <w:r w:rsidRPr="007B7CF1">
        <w:t>group index</w:t>
      </w:r>
      <w:r w:rsidRPr="007B7CF1">
        <w:rPr>
          <w:lang w:val="en-US"/>
        </w:rPr>
        <w:t xml:space="preserve"> different than the first group index, for the active DL BWP where the second PDCCH is received</w:t>
      </w:r>
    </w:p>
    <w:p w14:paraId="4DDF32F1" w14:textId="77777777" w:rsidR="00C86003" w:rsidRPr="007B7CF1" w:rsidRDefault="00C86003" w:rsidP="00C86003">
      <w:pPr>
        <w:pStyle w:val="B2"/>
      </w:pPr>
      <w:r w:rsidRPr="007B7CF1">
        <w:rPr>
          <w:lang w:eastAsia="ko-KR"/>
        </w:rPr>
        <w:t>-</w:t>
      </w:r>
      <w:r w:rsidRPr="007B7CF1">
        <w:rPr>
          <w:lang w:eastAsia="ko-KR"/>
        </w:rPr>
        <w:tab/>
        <w:t xml:space="preserve">in the first slot if the </w:t>
      </w:r>
      <w:r>
        <w:rPr>
          <w:lang w:eastAsia="ko-KR"/>
        </w:rPr>
        <w:t xml:space="preserve">first value </w:t>
      </w:r>
      <w:r w:rsidRPr="007B7CF1">
        <w:rPr>
          <w:lang w:eastAsia="ko-KR"/>
        </w:rPr>
        <w:t>indicat</w:t>
      </w:r>
      <w:r>
        <w:rPr>
          <w:lang w:eastAsia="ko-KR"/>
        </w:rPr>
        <w:t>es</w:t>
      </w:r>
      <w:r w:rsidRPr="007B7CF1">
        <w:rPr>
          <w:lang w:eastAsia="ko-KR"/>
        </w:rPr>
        <w:t xml:space="preserve"> skipping PDCCH monitoring</w:t>
      </w:r>
      <w:r w:rsidRPr="007B7CF1">
        <w:t xml:space="preserve"> </w:t>
      </w:r>
    </w:p>
    <w:p w14:paraId="06B21C4C" w14:textId="77777777" w:rsidR="00C86003" w:rsidRPr="007B7CF1" w:rsidRDefault="00C86003" w:rsidP="00C86003">
      <w:pPr>
        <w:pStyle w:val="B2"/>
      </w:pPr>
      <w:r w:rsidRPr="007B7CF1">
        <w:rPr>
          <w:lang w:eastAsia="ko-KR"/>
        </w:rPr>
        <w:t>-</w:t>
      </w:r>
      <w:r w:rsidRPr="007B7CF1">
        <w:rPr>
          <w:lang w:eastAsia="ko-KR"/>
        </w:rPr>
        <w:tab/>
        <w:t xml:space="preserve">before a slot that is at least </w:t>
      </w:r>
      <m:oMath>
        <m:sSub>
          <m:sSubPr>
            <m:ctrlPr>
              <w:rPr>
                <w:rFonts w:ascii="Cambria Math" w:hAnsi="Cambria Math"/>
                <w:i/>
              </w:rPr>
            </m:ctrlPr>
          </m:sSubPr>
          <m:e>
            <m:r>
              <w:rPr>
                <w:rFonts w:ascii="Cambria Math" w:hAnsi="Cambria Math"/>
              </w:rPr>
              <m:t>P</m:t>
            </m:r>
          </m:e>
          <m:sub>
            <m:r>
              <w:rPr>
                <w:rFonts w:ascii="Cambria Math" w:hAnsi="Cambria Math"/>
              </w:rPr>
              <m:t>switch</m:t>
            </m:r>
          </m:sub>
        </m:sSub>
      </m:oMath>
      <w:r w:rsidRPr="007B7CF1">
        <w:t xml:space="preserve"> symbols</w:t>
      </w:r>
      <w:r w:rsidRPr="007B7CF1">
        <w:rPr>
          <w:lang w:eastAsia="ko-KR"/>
        </w:rPr>
        <w:t xml:space="preserve"> after the first slot if the </w:t>
      </w:r>
      <w:r>
        <w:rPr>
          <w:lang w:eastAsia="ko-KR"/>
        </w:rPr>
        <w:t xml:space="preserve">first value </w:t>
      </w:r>
      <w:r w:rsidRPr="007B7CF1">
        <w:rPr>
          <w:lang w:eastAsia="ko-KR"/>
        </w:rPr>
        <w:t>indicat</w:t>
      </w:r>
      <w:r>
        <w:rPr>
          <w:lang w:eastAsia="ko-KR"/>
        </w:rPr>
        <w:t>es</w:t>
      </w:r>
      <w:r w:rsidRPr="007B7CF1">
        <w:rPr>
          <w:lang w:eastAsia="ko-KR"/>
        </w:rPr>
        <w:t xml:space="preserve"> </w:t>
      </w:r>
      <w:r w:rsidRPr="007B7CF1">
        <w:t>start of PDCCH monitoring according to search space sets with a first group index</w:t>
      </w:r>
    </w:p>
    <w:p w14:paraId="79F453CA" w14:textId="77777777" w:rsidR="00C86003" w:rsidRPr="007B7CF1" w:rsidRDefault="00C86003" w:rsidP="00C86003">
      <w:pPr>
        <w:rPr>
          <w:lang w:eastAsia="zh-CN"/>
        </w:rPr>
      </w:pPr>
      <w:r w:rsidRPr="007B7CF1">
        <w:rPr>
          <w:lang w:eastAsia="zh-CN"/>
        </w:rPr>
        <w:t xml:space="preserve">the UE does not expect </w:t>
      </w:r>
      <w:r w:rsidRPr="007B7CF1">
        <w:rPr>
          <w:lang w:val="en-US"/>
        </w:rPr>
        <w:t xml:space="preserve">the </w:t>
      </w:r>
      <w:r w:rsidRPr="007B7CF1">
        <w:rPr>
          <w:lang w:val="en-US" w:eastAsia="zh-CN"/>
        </w:rPr>
        <w:t>second value to be different than the first value.</w:t>
      </w:r>
    </w:p>
    <w:p w14:paraId="2733E032" w14:textId="77777777" w:rsidR="00C86003" w:rsidRDefault="00C86003" w:rsidP="00C86003">
      <w:r w:rsidRPr="007B7CF1">
        <w:rPr>
          <w:lang w:eastAsia="zh-CN"/>
        </w:rPr>
        <w:t xml:space="preserve">A UE does not expect to receive in a second slot a PDCCH on an active DL BWP that provides a DCI format </w:t>
      </w:r>
      <w:r w:rsidRPr="007B7CF1">
        <w:rPr>
          <w:lang w:val="en-US" w:eastAsia="zh-CN"/>
        </w:rPr>
        <w:t>indicating</w:t>
      </w:r>
      <w:r w:rsidRPr="007B7CF1">
        <w:t xml:space="preserve"> skipping PDCCH monitoring,</w:t>
      </w:r>
      <w:r w:rsidRPr="007B7CF1">
        <w:rPr>
          <w:lang w:val="en-US"/>
        </w:rPr>
        <w:t xml:space="preserve"> or </w:t>
      </w:r>
      <w:r w:rsidRPr="007B7CF1">
        <w:t>start of PDCCH monitoring according to search space sets with</w:t>
      </w:r>
      <w:r w:rsidRPr="007B7CF1">
        <w:rPr>
          <w:lang w:val="en-US"/>
        </w:rPr>
        <w:t xml:space="preserve"> group index 1 or 2 </w:t>
      </w:r>
      <w:r w:rsidRPr="007B7CF1">
        <w:t xml:space="preserve">for the active DL BWP, if the second slot is not </w:t>
      </w:r>
      <w:r w:rsidRPr="007B7CF1">
        <w:rPr>
          <w:lang w:val="en-US" w:eastAsia="ko-KR"/>
        </w:rPr>
        <w:t xml:space="preserve">at least </w:t>
      </w:r>
      <m:oMath>
        <m:sSub>
          <m:sSubPr>
            <m:ctrlPr>
              <w:rPr>
                <w:rFonts w:ascii="Cambria Math" w:hAnsi="Cambria Math"/>
                <w:i/>
              </w:rPr>
            </m:ctrlPr>
          </m:sSubPr>
          <m:e>
            <m:r>
              <w:rPr>
                <w:rFonts w:ascii="Cambria Math" w:hAnsi="Cambria Math"/>
              </w:rPr>
              <m:t>P</m:t>
            </m:r>
          </m:e>
          <m:sub>
            <m:r>
              <w:rPr>
                <w:rFonts w:ascii="Cambria Math" w:hAnsi="Cambria Math"/>
              </w:rPr>
              <m:t>switch</m:t>
            </m:r>
          </m:sub>
        </m:sSub>
      </m:oMath>
      <w:r w:rsidRPr="007B7CF1">
        <w:t xml:space="preserve"> symbols after a first slot where the timer expires.</w:t>
      </w:r>
    </w:p>
    <w:p w14:paraId="75815372" w14:textId="77FEBE6B" w:rsidR="001A183B" w:rsidRPr="00686F3E" w:rsidRDefault="001A183B" w:rsidP="001A183B">
      <w:pPr>
        <w:pStyle w:val="Heading2"/>
        <w:rPr>
          <w:lang w:eastAsia="zh-CN"/>
        </w:rPr>
      </w:pPr>
      <w:bookmarkStart w:id="702" w:name="_Toc83289688"/>
      <w:bookmarkStart w:id="703" w:name="_Toc161999149"/>
      <w:r w:rsidRPr="00686F3E">
        <w:rPr>
          <w:lang w:eastAsia="zh-CN"/>
        </w:rPr>
        <w:lastRenderedPageBreak/>
        <w:t>10</w:t>
      </w:r>
      <w:r>
        <w:rPr>
          <w:lang w:eastAsia="zh-CN"/>
        </w:rPr>
        <w:t>.</w:t>
      </w:r>
      <w:r w:rsidRPr="00686F3E">
        <w:rPr>
          <w:lang w:eastAsia="zh-CN"/>
        </w:rPr>
        <w:t>4A</w:t>
      </w:r>
      <w:r w:rsidRPr="00686F3E">
        <w:rPr>
          <w:lang w:eastAsia="zh-CN"/>
        </w:rPr>
        <w:tab/>
        <w:t>PDCCH monitoring for early indicatio</w:t>
      </w:r>
      <w:bookmarkEnd w:id="702"/>
      <w:r w:rsidRPr="00686F3E">
        <w:rPr>
          <w:lang w:eastAsia="zh-CN"/>
        </w:rPr>
        <w:t>n of paging</w:t>
      </w:r>
      <w:bookmarkEnd w:id="703"/>
    </w:p>
    <w:p w14:paraId="7D6B30ED" w14:textId="77777777" w:rsidR="001A183B" w:rsidRPr="00686F3E" w:rsidRDefault="001A183B" w:rsidP="001A183B">
      <w:pPr>
        <w:rPr>
          <w:lang w:eastAsia="zh-CN"/>
        </w:rPr>
      </w:pPr>
      <w:r w:rsidRPr="00686F3E">
        <w:rPr>
          <w:lang w:eastAsia="zh-CN"/>
        </w:rPr>
        <w:t xml:space="preserve">A UE </w:t>
      </w:r>
      <w:r w:rsidRPr="00686F3E">
        <w:t>can be provided the following for detection of a DCI format 2_7 in RRC_IDLE state or in RRC_INACTIVE state [</w:t>
      </w:r>
      <w:r w:rsidRPr="00686F3E">
        <w:rPr>
          <w:rFonts w:eastAsia="MS Mincho" w:hint="eastAsia"/>
          <w:lang w:eastAsia="ja-JP"/>
        </w:rPr>
        <w:t>12, TS 38.331]</w:t>
      </w:r>
    </w:p>
    <w:p w14:paraId="1440DF53" w14:textId="1A7EC5BF" w:rsidR="001A183B" w:rsidRPr="00686F3E" w:rsidRDefault="001A183B" w:rsidP="001A183B">
      <w:pPr>
        <w:pStyle w:val="B1"/>
        <w:rPr>
          <w:lang w:eastAsia="zh-CN"/>
        </w:rPr>
      </w:pPr>
      <w:r w:rsidRPr="00686F3E">
        <w:t>-</w:t>
      </w:r>
      <w:r w:rsidRPr="00686F3E">
        <w:tab/>
        <w:t xml:space="preserve">a search space set, by </w:t>
      </w:r>
      <w:r w:rsidRPr="00686F3E">
        <w:rPr>
          <w:i/>
          <w:iCs/>
          <w:lang w:eastAsia="zh-CN"/>
        </w:rPr>
        <w:t>pei</w:t>
      </w:r>
      <w:r w:rsidR="00CB7E8E">
        <w:rPr>
          <w:i/>
          <w:iCs/>
          <w:lang w:val="en-GB" w:eastAsia="zh-CN"/>
        </w:rPr>
        <w:t>-</w:t>
      </w:r>
      <w:r w:rsidRPr="00686F3E">
        <w:rPr>
          <w:i/>
          <w:iCs/>
          <w:lang w:eastAsia="zh-CN"/>
        </w:rPr>
        <w:t>SearchSpace</w:t>
      </w:r>
      <w:r w:rsidRPr="00686F3E">
        <w:rPr>
          <w:iCs/>
          <w:lang w:eastAsia="zh-CN"/>
        </w:rPr>
        <w:t>,</w:t>
      </w:r>
      <w:r w:rsidRPr="00686F3E">
        <w:t xml:space="preserve"> to monitor PDCCH for detection of DCI format </w:t>
      </w:r>
      <w:r w:rsidRPr="00686F3E">
        <w:rPr>
          <w:lang w:val="en-US"/>
        </w:rPr>
        <w:t>2_7</w:t>
      </w:r>
      <w:r w:rsidRPr="00686F3E">
        <w:t xml:space="preserve"> </w:t>
      </w:r>
      <w:r w:rsidRPr="00686F3E">
        <w:rPr>
          <w:lang w:eastAsia="zh-CN"/>
        </w:rPr>
        <w:t xml:space="preserve">according to a </w:t>
      </w:r>
      <w:r w:rsidRPr="00686F3E">
        <w:rPr>
          <w:lang w:val="en-US" w:eastAsia="zh-CN"/>
        </w:rPr>
        <w:t>Type2A-PDCCH</w:t>
      </w:r>
      <w:r w:rsidRPr="00686F3E">
        <w:rPr>
          <w:lang w:eastAsia="zh-CN"/>
        </w:rPr>
        <w:t xml:space="preserve"> </w:t>
      </w:r>
      <w:r w:rsidRPr="00686F3E">
        <w:rPr>
          <w:lang w:val="en-US" w:eastAsia="zh-CN"/>
        </w:rPr>
        <w:t xml:space="preserve">CSS set </w:t>
      </w:r>
      <w:r w:rsidRPr="00686F3E">
        <w:rPr>
          <w:lang w:eastAsia="zh-CN"/>
        </w:rPr>
        <w:t>as described in clause 10.1</w:t>
      </w:r>
    </w:p>
    <w:p w14:paraId="17C423EF" w14:textId="79DFE4AC" w:rsidR="001A183B" w:rsidRPr="00686F3E" w:rsidRDefault="001A183B" w:rsidP="001A183B">
      <w:pPr>
        <w:pStyle w:val="B1"/>
        <w:rPr>
          <w:lang w:eastAsia="zh-CN"/>
        </w:rPr>
      </w:pPr>
      <w:r w:rsidRPr="00686F3E">
        <w:t>-</w:t>
      </w:r>
      <w:r w:rsidRPr="00686F3E">
        <w:tab/>
        <w:t>a</w:t>
      </w:r>
      <w:r w:rsidRPr="00686F3E">
        <w:rPr>
          <w:lang w:val="en-US"/>
        </w:rPr>
        <w:t xml:space="preserve"> number of frames, by </w:t>
      </w:r>
      <w:r w:rsidR="00CB7E8E" w:rsidRPr="005A7FF2">
        <w:rPr>
          <w:i/>
          <w:iCs/>
        </w:rPr>
        <w:t>pei-FrameOffset</w:t>
      </w:r>
      <w:r w:rsidRPr="00686F3E">
        <w:rPr>
          <w:lang w:val="en-US"/>
        </w:rPr>
        <w:t xml:space="preserve">, from </w:t>
      </w:r>
      <w:r w:rsidR="00CB7E8E" w:rsidRPr="00686F3E">
        <w:rPr>
          <w:lang w:val="en-US"/>
        </w:rPr>
        <w:t xml:space="preserve">the start of a frame </w:t>
      </w:r>
      <w:r w:rsidR="00CB7E8E">
        <w:rPr>
          <w:lang w:val="en-US"/>
        </w:rPr>
        <w:t xml:space="preserve">to </w:t>
      </w:r>
      <w:r w:rsidRPr="00686F3E">
        <w:rPr>
          <w:lang w:val="en-US"/>
        </w:rPr>
        <w:t xml:space="preserve">the start of a first paging frame </w:t>
      </w:r>
      <w:r>
        <w:rPr>
          <w:lang w:val="en-US"/>
        </w:rPr>
        <w:t>of</w:t>
      </w:r>
      <w:r w:rsidRPr="00686F3E">
        <w:rPr>
          <w:lang w:val="en-US"/>
        </w:rPr>
        <w:t xml:space="preserve"> paging frames associated with a number of PDCCH monitoring occasions for DCI format 2_7 [17, TS 38.304] </w:t>
      </w:r>
    </w:p>
    <w:p w14:paraId="5AA344D1" w14:textId="77777777" w:rsidR="001A183B" w:rsidRPr="00686F3E" w:rsidRDefault="001A183B" w:rsidP="001A183B">
      <w:pPr>
        <w:pStyle w:val="B1"/>
        <w:rPr>
          <w:lang w:eastAsia="zh-CN"/>
        </w:rPr>
      </w:pPr>
      <w:r w:rsidRPr="00686F3E">
        <w:t>-</w:t>
      </w:r>
      <w:r w:rsidRPr="00686F3E">
        <w:tab/>
      </w:r>
      <w:r w:rsidRPr="00686F3E">
        <w:rPr>
          <w:lang w:val="en-US"/>
        </w:rPr>
        <w:t xml:space="preserve">a number of symbols, by </w:t>
      </w:r>
      <w:r w:rsidRPr="00686F3E">
        <w:rPr>
          <w:i/>
          <w:iCs/>
        </w:rPr>
        <w:t>firstPDCCH-MonitoringOccasionOfPEI-O</w:t>
      </w:r>
      <w:r w:rsidRPr="00686F3E">
        <w:rPr>
          <w:lang w:val="en-US"/>
        </w:rPr>
        <w:t xml:space="preserve">, from the start of the frame </w:t>
      </w:r>
      <w:r w:rsidRPr="00686F3E">
        <w:t xml:space="preserve">to the start of the first </w:t>
      </w:r>
      <w:r w:rsidRPr="00686F3E">
        <w:rPr>
          <w:lang w:val="en-US"/>
        </w:rPr>
        <w:t>PDCCH monitoring occasion for DCI format 2_7</w:t>
      </w:r>
    </w:p>
    <w:p w14:paraId="581D4B98" w14:textId="77777777" w:rsidR="00CB7E8E" w:rsidRPr="00686F3E" w:rsidRDefault="00CB7E8E" w:rsidP="00CB7E8E">
      <w:pPr>
        <w:pStyle w:val="B1"/>
        <w:rPr>
          <w:lang w:eastAsia="zh-CN"/>
        </w:rPr>
      </w:pPr>
      <w:r w:rsidRPr="00686F3E">
        <w:t>-</w:t>
      </w:r>
      <w:r w:rsidRPr="00686F3E">
        <w:tab/>
        <w:t xml:space="preserve">a </w:t>
      </w:r>
      <w:r w:rsidRPr="00686F3E">
        <w:rPr>
          <w:lang w:val="en-US"/>
        </w:rPr>
        <w:t xml:space="preserve">size, by </w:t>
      </w:r>
      <w:r w:rsidRPr="00686F3E">
        <w:rPr>
          <w:i/>
          <w:iCs/>
        </w:rPr>
        <w:t>payloadSizeDCI</w:t>
      </w:r>
      <w:r>
        <w:rPr>
          <w:i/>
          <w:iCs/>
          <w:lang w:val="en-US"/>
        </w:rPr>
        <w:t>-</w:t>
      </w:r>
      <w:r w:rsidRPr="00686F3E">
        <w:rPr>
          <w:i/>
          <w:iCs/>
        </w:rPr>
        <w:t>2</w:t>
      </w:r>
      <w:r>
        <w:rPr>
          <w:i/>
          <w:iCs/>
          <w:lang w:val="en-US"/>
        </w:rPr>
        <w:t>-</w:t>
      </w:r>
      <w:r w:rsidRPr="00686F3E">
        <w:rPr>
          <w:i/>
          <w:iCs/>
        </w:rPr>
        <w:t>7</w:t>
      </w:r>
    </w:p>
    <w:p w14:paraId="77277D71" w14:textId="77777777" w:rsidR="001A183B" w:rsidRPr="00686F3E" w:rsidRDefault="001A183B" w:rsidP="001A183B">
      <w:pPr>
        <w:pStyle w:val="B1"/>
        <w:rPr>
          <w:lang w:eastAsia="zh-CN"/>
        </w:rPr>
      </w:pPr>
      <w:r w:rsidRPr="00686F3E">
        <w:t>-</w:t>
      </w:r>
      <w:r w:rsidRPr="00686F3E">
        <w:tab/>
        <w:t xml:space="preserve">a </w:t>
      </w:r>
      <w:r w:rsidRPr="00686F3E">
        <w:rPr>
          <w:lang w:val="en-US"/>
        </w:rPr>
        <w:t xml:space="preserve">number of subgroups per paging occasion, </w:t>
      </w:r>
      <m:oMath>
        <m:sSubSup>
          <m:sSubSupPr>
            <m:ctrlPr>
              <w:rPr>
                <w:rFonts w:ascii="Cambria Math" w:hAnsi="Cambria Math"/>
                <w:i/>
                <w:lang w:val="en-US"/>
              </w:rPr>
            </m:ctrlPr>
          </m:sSubSupPr>
          <m:e>
            <m:r>
              <w:rPr>
                <w:rFonts w:ascii="Cambria Math" w:hAnsi="Cambria Math"/>
                <w:lang w:val="en-US"/>
              </w:rPr>
              <m:t>N</m:t>
            </m:r>
          </m:e>
          <m:sub>
            <m:r>
              <m:rPr>
                <m:sty m:val="p"/>
              </m:rPr>
              <w:rPr>
                <w:rFonts w:ascii="Cambria Math" w:hAnsi="Cambria Math"/>
                <w:lang w:val="en-US"/>
              </w:rPr>
              <m:t>SG</m:t>
            </m:r>
          </m:sub>
          <m:sup>
            <m:r>
              <m:rPr>
                <m:sty m:val="p"/>
              </m:rPr>
              <w:rPr>
                <w:rFonts w:ascii="Cambria Math" w:hAnsi="Cambria Math"/>
                <w:lang w:val="en-US"/>
              </w:rPr>
              <m:t>PO</m:t>
            </m:r>
          </m:sup>
        </m:sSubSup>
      </m:oMath>
      <w:r w:rsidRPr="00686F3E">
        <w:rPr>
          <w:lang w:val="en-US"/>
        </w:rPr>
        <w:t xml:space="preserve">, by </w:t>
      </w:r>
      <w:r w:rsidRPr="00686F3E">
        <w:rPr>
          <w:i/>
          <w:iCs/>
        </w:rPr>
        <w:t>subgroupsNumPerPO</w:t>
      </w:r>
    </w:p>
    <w:p w14:paraId="410455DB" w14:textId="1A4AD124" w:rsidR="001A183B" w:rsidRPr="00686F3E" w:rsidRDefault="001A183B" w:rsidP="001A183B">
      <w:pPr>
        <w:pStyle w:val="B1"/>
        <w:rPr>
          <w:lang w:eastAsia="zh-CN"/>
        </w:rPr>
      </w:pPr>
      <w:r w:rsidRPr="00686F3E">
        <w:t>-</w:t>
      </w:r>
      <w:r w:rsidRPr="00686F3E">
        <w:tab/>
        <w:t xml:space="preserve">a </w:t>
      </w:r>
      <w:r w:rsidRPr="00686F3E">
        <w:rPr>
          <w:lang w:val="en-US"/>
        </w:rPr>
        <w:t xml:space="preserve">number of paging occasions associated with the number of PDCCH monitoring occasions for DCI format 2_7, </w:t>
      </w:r>
      <m:oMath>
        <m:sSubSup>
          <m:sSubSupPr>
            <m:ctrlPr>
              <w:rPr>
                <w:rFonts w:ascii="Cambria Math" w:hAnsi="Cambria Math"/>
                <w:i/>
                <w:lang w:val="en-US"/>
              </w:rPr>
            </m:ctrlPr>
          </m:sSubSupPr>
          <m:e>
            <m:r>
              <w:rPr>
                <w:rFonts w:ascii="Cambria Math" w:hAnsi="Cambria Math"/>
                <w:lang w:val="en-US"/>
              </w:rPr>
              <m:t>N</m:t>
            </m:r>
          </m:e>
          <m:sub>
            <m:r>
              <m:rPr>
                <m:sty m:val="p"/>
              </m:rPr>
              <w:rPr>
                <w:rFonts w:ascii="Cambria Math" w:hAnsi="Cambria Math"/>
                <w:lang w:val="en-US"/>
              </w:rPr>
              <m:t>PO</m:t>
            </m:r>
          </m:sub>
          <m:sup>
            <m:r>
              <m:rPr>
                <m:sty m:val="p"/>
              </m:rPr>
              <w:rPr>
                <w:rFonts w:ascii="Cambria Math" w:hAnsi="Cambria Math"/>
                <w:lang w:val="en-US"/>
              </w:rPr>
              <m:t>PEI</m:t>
            </m:r>
          </m:sup>
        </m:sSubSup>
      </m:oMath>
      <w:r w:rsidRPr="00686F3E">
        <w:rPr>
          <w:lang w:val="en-US"/>
        </w:rPr>
        <w:t xml:space="preserve">, by </w:t>
      </w:r>
      <w:r w:rsidR="00CB7E8E">
        <w:rPr>
          <w:i/>
          <w:iCs/>
          <w:lang w:val="en-GB"/>
        </w:rPr>
        <w:t>po-</w:t>
      </w:r>
      <w:r w:rsidR="00CB7E8E" w:rsidRPr="00686F3E">
        <w:rPr>
          <w:i/>
          <w:iCs/>
        </w:rPr>
        <w:t>NumPerPEI</w:t>
      </w:r>
    </w:p>
    <w:p w14:paraId="0BA5D3ED" w14:textId="1B645292" w:rsidR="00C86003" w:rsidRPr="007B7CF1" w:rsidRDefault="001A183B" w:rsidP="00C86003">
      <w:pPr>
        <w:rPr>
          <w:lang w:val="en-US"/>
        </w:rPr>
      </w:pPr>
      <w:r w:rsidRPr="00686F3E">
        <w:rPr>
          <w:lang w:val="en-US"/>
        </w:rPr>
        <w:t xml:space="preserve">A paging indication field of DCI format 2_7 includes </w:t>
      </w:r>
      <m:oMath>
        <m:sSubSup>
          <m:sSubSupPr>
            <m:ctrlPr>
              <w:rPr>
                <w:rFonts w:ascii="Cambria Math" w:hAnsi="Cambria Math"/>
                <w:i/>
                <w:lang w:val="en-US"/>
              </w:rPr>
            </m:ctrlPr>
          </m:sSubSupPr>
          <m:e>
            <m:r>
              <w:rPr>
                <w:rFonts w:ascii="Cambria Math" w:hAnsi="Cambria Math"/>
                <w:lang w:val="en-US"/>
              </w:rPr>
              <m:t>N</m:t>
            </m:r>
          </m:e>
          <m:sub>
            <m:r>
              <m:rPr>
                <m:sty m:val="p"/>
              </m:rPr>
              <w:rPr>
                <w:rFonts w:ascii="Cambria Math" w:hAnsi="Cambria Math"/>
                <w:lang w:val="en-US"/>
              </w:rPr>
              <m:t>PO</m:t>
            </m:r>
          </m:sub>
          <m:sup>
            <m:r>
              <m:rPr>
                <m:sty m:val="p"/>
              </m:rPr>
              <w:rPr>
                <w:rFonts w:ascii="Cambria Math" w:hAnsi="Cambria Math"/>
                <w:lang w:val="en-US"/>
              </w:rPr>
              <m:t>PEI</m:t>
            </m:r>
          </m:sup>
        </m:sSubSup>
      </m:oMath>
      <w:r w:rsidRPr="00686F3E">
        <w:rPr>
          <w:lang w:val="en-US"/>
        </w:rPr>
        <w:t xml:space="preserve"> segments of </w:t>
      </w:r>
      <m:oMath>
        <m:r>
          <w:rPr>
            <w:rFonts w:ascii="Cambria Math" w:hAnsi="Cambria Math"/>
          </w:rPr>
          <m:t>K</m:t>
        </m:r>
      </m:oMath>
      <w:r w:rsidRPr="00686F3E">
        <w:rPr>
          <w:lang w:val="en-US"/>
        </w:rPr>
        <w:t xml:space="preserve"> bits, where </w:t>
      </w:r>
      <m:oMath>
        <m:sSubSup>
          <m:sSubSupPr>
            <m:ctrlPr>
              <w:rPr>
                <w:rFonts w:ascii="Cambria Math" w:hAnsi="Cambria Math"/>
                <w:i/>
                <w:lang w:val="en-US"/>
              </w:rPr>
            </m:ctrlPr>
          </m:sSubSupPr>
          <m:e>
            <m:r>
              <w:rPr>
                <w:rFonts w:ascii="Cambria Math" w:hAnsi="Cambria Math"/>
              </w:rPr>
              <m:t>K=</m:t>
            </m:r>
            <m:r>
              <w:rPr>
                <w:rFonts w:ascii="Cambria Math" w:hAnsi="Cambria Math"/>
                <w:lang w:val="en-US"/>
              </w:rPr>
              <m:t>N</m:t>
            </m:r>
          </m:e>
          <m:sub>
            <m:r>
              <m:rPr>
                <m:sty m:val="p"/>
              </m:rPr>
              <w:rPr>
                <w:rFonts w:ascii="Cambria Math" w:hAnsi="Cambria Math"/>
                <w:lang w:val="en-US"/>
              </w:rPr>
              <m:t>SG</m:t>
            </m:r>
          </m:sub>
          <m:sup>
            <m:r>
              <m:rPr>
                <m:sty m:val="p"/>
              </m:rPr>
              <w:rPr>
                <w:rFonts w:ascii="Cambria Math" w:hAnsi="Cambria Math"/>
                <w:lang w:val="en-US"/>
              </w:rPr>
              <m:t>PO</m:t>
            </m:r>
          </m:sup>
        </m:sSubSup>
      </m:oMath>
      <w:r w:rsidRPr="00686F3E">
        <w:rPr>
          <w:lang w:val="en-US"/>
        </w:rPr>
        <w:t xml:space="preserve">. For a subgroup index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SG</m:t>
            </m:r>
          </m:sub>
        </m:sSub>
      </m:oMath>
      <w:r w:rsidRPr="00686F3E">
        <w:rPr>
          <w:lang w:val="en-US"/>
        </w:rPr>
        <w:t xml:space="preserve">, </w:t>
      </w:r>
      <m:oMath>
        <m:r>
          <w:rPr>
            <w:rFonts w:ascii="Cambria Math" w:hAnsi="Cambria Math"/>
            <w:lang w:val="en-US"/>
          </w:rPr>
          <m:t>0≤</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SG</m:t>
            </m:r>
          </m:sub>
        </m:sSub>
        <m:r>
          <w:rPr>
            <w:rFonts w:ascii="Cambria Math" w:hAnsi="Cambria Math"/>
            <w:lang w:val="en-US"/>
          </w:rPr>
          <m:t>&lt;K</m:t>
        </m:r>
      </m:oMath>
      <w:r w:rsidRPr="00686F3E">
        <w:rPr>
          <w:lang w:val="en-US"/>
        </w:rPr>
        <w:t xml:space="preserve">, a UE determines a value for the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PO</m:t>
                </m:r>
              </m:sub>
            </m:sSub>
            <m:r>
              <w:rPr>
                <w:rFonts w:ascii="Cambria Math" w:hAnsi="Cambria Math"/>
                <w:lang w:val="en-AU"/>
              </w:rPr>
              <m:t>⋅K</m:t>
            </m:r>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SG</m:t>
                </m:r>
              </m:sub>
            </m:sSub>
          </m:e>
        </m:d>
      </m:oMath>
      <w:r w:rsidRPr="00686F3E">
        <w:rPr>
          <w:lang w:val="en-US"/>
        </w:rPr>
        <w:t xml:space="preserve"> bit in the paging indication field, where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PO</m:t>
            </m:r>
          </m:sub>
        </m:sSub>
        <m:r>
          <w:rPr>
            <w:rFonts w:ascii="Cambria Math" w:hAnsi="Cambria Math"/>
            <w:lang w:val="en-US"/>
          </w:rPr>
          <m:t>=</m:t>
        </m:r>
        <m:d>
          <m:dPr>
            <m:ctrlPr>
              <w:rPr>
                <w:rFonts w:ascii="Cambria Math" w:hAnsi="Cambria Math"/>
                <w:i/>
                <w:lang w:val="en-US"/>
              </w:rPr>
            </m:ctrlPr>
          </m:dPr>
          <m:e>
            <m:d>
              <m:dPr>
                <m:ctrlPr>
                  <w:rPr>
                    <w:rFonts w:ascii="Cambria Math" w:hAnsi="Cambria Math"/>
                    <w:i/>
                    <w:lang w:val="en-US"/>
                  </w:rPr>
                </m:ctrlPr>
              </m:dPr>
              <m:e>
                <m:r>
                  <m:rPr>
                    <m:sty m:val="p"/>
                  </m:rPr>
                  <w:rPr>
                    <w:rFonts w:ascii="Cambria Math" w:hAnsi="Cambria Math"/>
                    <w:lang w:val="en-US"/>
                  </w:rPr>
                  <m:t>UE_IDmod</m:t>
                </m:r>
                <m:r>
                  <w:rPr>
                    <w:rFonts w:ascii="Cambria Math" w:hAnsi="Cambria Math"/>
                    <w:lang w:val="en-US"/>
                  </w:rPr>
                  <m:t>N</m:t>
                </m:r>
              </m:e>
            </m:d>
            <m:r>
              <w:rPr>
                <w:rFonts w:ascii="Cambria Math" w:hAnsi="Cambria Math"/>
                <w:lang w:val="en-AU"/>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+i_s</m:t>
            </m:r>
          </m:e>
        </m:d>
        <m:r>
          <w:rPr>
            <w:rFonts w:ascii="Cambria Math" w:hAnsi="Cambria Math"/>
            <w:lang w:val="en-US"/>
          </w:rPr>
          <m:t>mod</m:t>
        </m:r>
        <m:sSubSup>
          <m:sSubSupPr>
            <m:ctrlPr>
              <w:rPr>
                <w:rFonts w:ascii="Cambria Math" w:hAnsi="Cambria Math"/>
                <w:i/>
                <w:lang w:val="en-US"/>
              </w:rPr>
            </m:ctrlPr>
          </m:sSubSupPr>
          <m:e>
            <m:r>
              <w:rPr>
                <w:rFonts w:ascii="Cambria Math" w:hAnsi="Cambria Math"/>
                <w:lang w:val="en-US"/>
              </w:rPr>
              <m:t>N</m:t>
            </m:r>
          </m:e>
          <m:sub>
            <m:r>
              <m:rPr>
                <m:sty m:val="p"/>
              </m:rPr>
              <w:rPr>
                <w:rFonts w:ascii="Cambria Math" w:hAnsi="Cambria Math"/>
                <w:lang w:val="en-US"/>
              </w:rPr>
              <m:t>PO</m:t>
            </m:r>
          </m:sub>
          <m:sup>
            <m:r>
              <m:rPr>
                <m:sty m:val="p"/>
              </m:rPr>
              <w:rPr>
                <w:rFonts w:ascii="Cambria Math" w:hAnsi="Cambria Math"/>
                <w:lang w:val="en-US"/>
              </w:rPr>
              <m:t>PEI</m:t>
            </m:r>
          </m:sup>
        </m:sSubSup>
      </m:oMath>
      <w:r w:rsidRPr="00686F3E">
        <w:rPr>
          <w:lang w:val="en-US"/>
        </w:rPr>
        <w:t xml:space="preserve"> is a paging occasion index, and </w:t>
      </w:r>
      <m:oMath>
        <m:r>
          <m:rPr>
            <m:sty m:val="p"/>
          </m:rPr>
          <w:rPr>
            <w:rFonts w:ascii="Cambria Math" w:hAnsi="Cambria Math"/>
            <w:lang w:val="en-US"/>
          </w:rPr>
          <m:t>UE_ID</m:t>
        </m:r>
      </m:oMath>
      <w:r w:rsidRPr="00686F3E">
        <w:rPr>
          <w:lang w:val="en-US"/>
        </w:rPr>
        <w:t xml:space="preserve">, </w:t>
      </w:r>
      <m:oMath>
        <m:r>
          <w:rPr>
            <w:rFonts w:ascii="Cambria Math" w:hAnsi="Cambria Math"/>
            <w:lang w:val="en-US"/>
          </w:rPr>
          <m:t>N</m:t>
        </m:r>
      </m:oMath>
      <w:r w:rsidRPr="00686F3E">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oMath>
      <w:r w:rsidRPr="00686F3E">
        <w:rPr>
          <w:lang w:val="en-US"/>
        </w:rPr>
        <w:t xml:space="preserv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SG</m:t>
            </m:r>
          </m:sub>
        </m:sSub>
      </m:oMath>
      <w:r w:rsidR="00C86003" w:rsidRPr="007B7CF1">
        <w:rPr>
          <w:lang w:val="en-US"/>
        </w:rPr>
        <w:t xml:space="preserve">, </w:t>
      </w:r>
      <w:r w:rsidRPr="00686F3E">
        <w:rPr>
          <w:lang w:val="en-US"/>
        </w:rPr>
        <w:t xml:space="preserve">and </w:t>
      </w:r>
      <m:oMath>
        <m:r>
          <w:rPr>
            <w:rFonts w:ascii="Cambria Math" w:hAnsi="Cambria Math"/>
            <w:lang w:val="en-US"/>
          </w:rPr>
          <m:t>i_s</m:t>
        </m:r>
      </m:oMath>
      <w:r w:rsidRPr="00686F3E">
        <w:rPr>
          <w:lang w:val="en-US"/>
        </w:rPr>
        <w:t xml:space="preserve"> are defined in [17, TS 38.304]. When the value is </w:t>
      </w:r>
      <w:r w:rsidR="005E3B15">
        <w:rPr>
          <w:lang w:val="en-US"/>
        </w:rPr>
        <w:t>'</w:t>
      </w:r>
      <w:r w:rsidRPr="00686F3E">
        <w:rPr>
          <w:lang w:val="en-US"/>
        </w:rPr>
        <w:t>1</w:t>
      </w:r>
      <w:r w:rsidR="005E3B15">
        <w:rPr>
          <w:lang w:val="en-US"/>
        </w:rPr>
        <w:t>'</w:t>
      </w:r>
      <w:r w:rsidRPr="00686F3E">
        <w:rPr>
          <w:lang w:val="en-US"/>
        </w:rPr>
        <w:t xml:space="preserve">, the UE monitors </w:t>
      </w:r>
      <w:r>
        <w:rPr>
          <w:lang w:val="en-US"/>
        </w:rPr>
        <w:t>a</w:t>
      </w:r>
      <w:r w:rsidRPr="00686F3E">
        <w:rPr>
          <w:lang w:val="en-US"/>
        </w:rPr>
        <w:t xml:space="preserve"> paging occasion </w:t>
      </w:r>
      <w:r>
        <w:rPr>
          <w:lang w:val="en-US"/>
        </w:rPr>
        <w:t xml:space="preserve">determined according to </w:t>
      </w:r>
      <w:r w:rsidRPr="00686F3E">
        <w:rPr>
          <w:lang w:val="en-US"/>
        </w:rPr>
        <w:t>[17, TS 38.304]; otherwise, the UE is not required to monitor the paging occasion.</w:t>
      </w:r>
    </w:p>
    <w:p w14:paraId="5E5E8B7F" w14:textId="72C0640F" w:rsidR="001A183B" w:rsidRPr="00686F3E" w:rsidRDefault="00C86003" w:rsidP="00C86003">
      <w:pPr>
        <w:rPr>
          <w:lang w:val="en-US"/>
        </w:rPr>
      </w:pPr>
      <w:r w:rsidRPr="007B7CF1">
        <w:rPr>
          <w:lang w:val="en-US"/>
        </w:rPr>
        <w:t xml:space="preserve">If </w:t>
      </w:r>
      <m:oMath>
        <m:sSubSup>
          <m:sSubSupPr>
            <m:ctrlPr>
              <w:rPr>
                <w:rFonts w:ascii="Cambria Math" w:hAnsi="Cambria Math"/>
                <w:i/>
                <w:lang w:val="en-US"/>
              </w:rPr>
            </m:ctrlPr>
          </m:sSubSupPr>
          <m:e>
            <m:r>
              <w:rPr>
                <w:rFonts w:ascii="Cambria Math" w:hAnsi="Cambria Math"/>
                <w:lang w:val="en-US"/>
              </w:rPr>
              <m:t>N</m:t>
            </m:r>
          </m:e>
          <m:sub>
            <m:r>
              <m:rPr>
                <m:sty m:val="p"/>
              </m:rPr>
              <w:rPr>
                <w:rFonts w:ascii="Cambria Math" w:hAnsi="Cambria Math"/>
                <w:lang w:val="en-US"/>
              </w:rPr>
              <m:t>PO</m:t>
            </m:r>
          </m:sub>
          <m:sup>
            <m:r>
              <m:rPr>
                <m:sty m:val="p"/>
              </m:rPr>
              <w:rPr>
                <w:rFonts w:ascii="Cambria Math" w:hAnsi="Cambria Math"/>
                <w:lang w:val="en-US"/>
              </w:rPr>
              <m:t>PEI</m:t>
            </m:r>
          </m:sup>
        </m:sSubSup>
        <m:r>
          <w:rPr>
            <w:rFonts w:ascii="Cambria Math" w:hAnsi="Cambria Math"/>
            <w:lang w:val="en-US"/>
          </w:rPr>
          <m:t>&lt;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oMath>
      <w:r w:rsidRPr="007B7CF1">
        <w:rPr>
          <w:lang w:val="en-US"/>
        </w:rPr>
        <w:t>, the number of symbols from the start of the frame to the start of the first PDCCH monitoring occasion for DCI format 2_7</w:t>
      </w:r>
      <w:r w:rsidRPr="007B7CF1">
        <w:t xml:space="preserve"> </w:t>
      </w:r>
      <w:r w:rsidRPr="007B7CF1">
        <w:rPr>
          <w:lang w:val="en-US"/>
        </w:rPr>
        <w:t xml:space="preserve">that is </w:t>
      </w:r>
      <w:r w:rsidRPr="007B7CF1">
        <w:t xml:space="preserve">associated with </w:t>
      </w:r>
      <w:r w:rsidRPr="007B7CF1">
        <w:rPr>
          <w:lang w:val="en-US"/>
        </w:rPr>
        <w:t xml:space="preserve">paging occasion index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PO</m:t>
            </m:r>
          </m:sub>
        </m:sSub>
      </m:oMath>
      <w:r w:rsidRPr="007B7CF1">
        <w:rPr>
          <w:lang w:val="en-US"/>
        </w:rPr>
        <w:t xml:space="preserve"> is the </w:t>
      </w:r>
      <m:oMath>
        <m:d>
          <m:dPr>
            <m:ctrlPr>
              <w:rPr>
                <w:rFonts w:ascii="Cambria Math" w:hAnsi="Cambria Math"/>
                <w:i/>
                <w:lang w:val="en-US"/>
              </w:rPr>
            </m:ctrlPr>
          </m:dPr>
          <m:e>
            <m:sSub>
              <m:sSubPr>
                <m:ctrlPr>
                  <w:rPr>
                    <w:rFonts w:ascii="Cambria Math" w:hAnsi="Cambria Math"/>
                    <w:i/>
                    <w:lang w:val="en-US"/>
                  </w:rPr>
                </m:ctrlPr>
              </m:sSubPr>
              <m:e>
                <m:d>
                  <m:dPr>
                    <m:begChr m:val="⌊"/>
                    <m:endChr m:val="⌋"/>
                    <m:ctrlPr>
                      <w:rPr>
                        <w:rFonts w:ascii="Cambria Math" w:hAnsi="Cambria Math"/>
                        <w:i/>
                        <w:lang w:val="en-US"/>
                      </w:rPr>
                    </m:ctrlPr>
                  </m:dPr>
                  <m:e>
                    <m:f>
                      <m:fPr>
                        <m:type m:val="lin"/>
                        <m:ctrlPr>
                          <w:rPr>
                            <w:rFonts w:ascii="Cambria Math" w:hAnsi="Cambria Math"/>
                            <w:i/>
                            <w:lang w:val="en-US"/>
                          </w:rPr>
                        </m:ctrlPr>
                      </m:fPr>
                      <m:num>
                        <m:r>
                          <w:rPr>
                            <w:rFonts w:ascii="Cambria Math" w:hAnsi="Cambria Math"/>
                            <w:lang w:val="en-US"/>
                          </w:rPr>
                          <m:t>i_s</m:t>
                        </m:r>
                      </m:num>
                      <m:den>
                        <m:sSubSup>
                          <m:sSubSupPr>
                            <m:ctrlPr>
                              <w:rPr>
                                <w:rFonts w:ascii="Cambria Math" w:hAnsi="Cambria Math"/>
                                <w:i/>
                                <w:lang w:val="en-US"/>
                              </w:rPr>
                            </m:ctrlPr>
                          </m:sSubSupPr>
                          <m:e>
                            <m:r>
                              <w:rPr>
                                <w:rFonts w:ascii="Cambria Math" w:hAnsi="Cambria Math"/>
                                <w:lang w:val="en-US"/>
                              </w:rPr>
                              <m:t>N</m:t>
                            </m:r>
                          </m:e>
                          <m:sub>
                            <m:r>
                              <m:rPr>
                                <m:sty m:val="p"/>
                              </m:rPr>
                              <w:rPr>
                                <w:rFonts w:ascii="Cambria Math" w:hAnsi="Cambria Math"/>
                                <w:lang w:val="en-US"/>
                              </w:rPr>
                              <m:t>PO</m:t>
                            </m:r>
                          </m:sub>
                          <m:sup>
                            <m:r>
                              <m:rPr>
                                <m:sty m:val="p"/>
                              </m:rPr>
                              <w:rPr>
                                <w:rFonts w:ascii="Cambria Math" w:hAnsi="Cambria Math"/>
                                <w:lang w:val="en-US"/>
                              </w:rPr>
                              <m:t>PEI</m:t>
                            </m:r>
                          </m:sup>
                        </m:sSubSup>
                      </m:den>
                    </m:f>
                  </m:e>
                </m:d>
              </m:e>
              <m:sub/>
            </m:sSub>
            <m:r>
              <w:rPr>
                <w:rFonts w:ascii="Cambria Math" w:hAnsi="Cambria Math"/>
                <w:lang w:val="en-US"/>
              </w:rPr>
              <m:t>+1</m:t>
            </m:r>
          </m:e>
        </m:d>
      </m:oMath>
      <w:r w:rsidRPr="007B7CF1">
        <w:rPr>
          <w:lang w:val="en-US"/>
        </w:rPr>
        <w:t xml:space="preserve">-th value from the </w:t>
      </w:r>
      <m:oMath>
        <m:f>
          <m:fPr>
            <m:type m:val="lin"/>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num>
          <m:den>
            <m:sSubSup>
              <m:sSubSupPr>
                <m:ctrlPr>
                  <w:rPr>
                    <w:rFonts w:ascii="Cambria Math" w:hAnsi="Cambria Math"/>
                    <w:i/>
                    <w:lang w:val="en-US"/>
                  </w:rPr>
                </m:ctrlPr>
              </m:sSubSupPr>
              <m:e>
                <m:r>
                  <w:rPr>
                    <w:rFonts w:ascii="Cambria Math" w:hAnsi="Cambria Math"/>
                    <w:lang w:val="en-US"/>
                  </w:rPr>
                  <m:t>N</m:t>
                </m:r>
              </m:e>
              <m:sub>
                <m:r>
                  <m:rPr>
                    <m:sty m:val="p"/>
                  </m:rPr>
                  <w:rPr>
                    <w:rFonts w:ascii="Cambria Math" w:hAnsi="Cambria Math"/>
                    <w:lang w:val="en-US"/>
                  </w:rPr>
                  <m:t>PO</m:t>
                </m:r>
              </m:sub>
              <m:sup>
                <m:r>
                  <m:rPr>
                    <m:sty m:val="p"/>
                  </m:rPr>
                  <w:rPr>
                    <w:rFonts w:ascii="Cambria Math" w:hAnsi="Cambria Math"/>
                    <w:lang w:val="en-US"/>
                  </w:rPr>
                  <m:t>PEI</m:t>
                </m:r>
              </m:sup>
            </m:sSubSup>
          </m:den>
        </m:f>
      </m:oMath>
      <w:r w:rsidRPr="007B7CF1">
        <w:rPr>
          <w:lang w:val="en-US"/>
        </w:rPr>
        <w:t xml:space="preserve"> values provided by </w:t>
      </w:r>
      <w:r w:rsidRPr="007B7CF1">
        <w:rPr>
          <w:i/>
          <w:iCs/>
        </w:rPr>
        <w:t>firstPDCCH-MonitoringOccasionOfPEI-O</w:t>
      </w:r>
      <w:r w:rsidRPr="007B7CF1">
        <w:rPr>
          <w:lang w:val="en-US"/>
        </w:rPr>
        <w:t>.</w:t>
      </w:r>
    </w:p>
    <w:p w14:paraId="6C1A7847" w14:textId="77777777" w:rsidR="001A183B" w:rsidRPr="00686F3E" w:rsidRDefault="001A183B" w:rsidP="001A183B">
      <w:pPr>
        <w:pStyle w:val="Heading2"/>
        <w:rPr>
          <w:lang w:eastAsia="zh-CN"/>
        </w:rPr>
      </w:pPr>
      <w:bookmarkStart w:id="704" w:name="_Toc161999150"/>
      <w:r w:rsidRPr="00686F3E">
        <w:rPr>
          <w:lang w:eastAsia="zh-CN"/>
        </w:rPr>
        <w:t>10.4</w:t>
      </w:r>
      <w:r>
        <w:rPr>
          <w:lang w:eastAsia="zh-CN"/>
        </w:rPr>
        <w:t>B</w:t>
      </w:r>
      <w:r w:rsidRPr="00686F3E">
        <w:rPr>
          <w:lang w:eastAsia="zh-CN"/>
        </w:rPr>
        <w:tab/>
      </w:r>
      <w:r>
        <w:rPr>
          <w:lang w:eastAsia="zh-CN"/>
        </w:rPr>
        <w:t>Indication of TRS resources</w:t>
      </w:r>
      <w:bookmarkEnd w:id="704"/>
    </w:p>
    <w:p w14:paraId="5A344ED9" w14:textId="6D7CD26C" w:rsidR="00C86003" w:rsidRDefault="001A183B" w:rsidP="001A183B">
      <w:r w:rsidRPr="001D6E70">
        <w:t xml:space="preserve">A UE in RRC_IDLE state or RRC_INACTIVE state can be provided by </w:t>
      </w:r>
      <w:r w:rsidR="002171A8">
        <w:rPr>
          <w:i/>
          <w:iCs/>
        </w:rPr>
        <w:t>trs</w:t>
      </w:r>
      <w:r w:rsidRPr="001D6E70">
        <w:rPr>
          <w:i/>
          <w:iCs/>
        </w:rPr>
        <w:t>-ResourceSetConfig</w:t>
      </w:r>
      <w:r w:rsidRPr="001D6E70">
        <w:t xml:space="preserve"> </w:t>
      </w:r>
      <w:r w:rsidRPr="001D6E70">
        <w:rPr>
          <w:lang w:val="en-US"/>
        </w:rPr>
        <w:t xml:space="preserve">a set of </w:t>
      </w:r>
      <w:r w:rsidRPr="001D6E70">
        <w:t>TRS occasions [6, TS 38.214]</w:t>
      </w:r>
      <w:r>
        <w:t>.</w:t>
      </w:r>
      <w:r w:rsidRPr="001D6E70">
        <w:t xml:space="preserve"> </w:t>
      </w:r>
      <w:r>
        <w:t xml:space="preserve">If </w:t>
      </w:r>
      <w:r w:rsidR="002171A8">
        <w:rPr>
          <w:i/>
          <w:iCs/>
        </w:rPr>
        <w:t>trs</w:t>
      </w:r>
      <w:r w:rsidRPr="001D6E70">
        <w:rPr>
          <w:i/>
          <w:iCs/>
        </w:rPr>
        <w:t>-ResourceSetConfig</w:t>
      </w:r>
      <w:r w:rsidRPr="001D6E70">
        <w:t xml:space="preserve"> </w:t>
      </w:r>
      <w:r>
        <w:t xml:space="preserve">is provided, </w:t>
      </w:r>
      <w:r w:rsidRPr="001D6E70">
        <w:rPr>
          <w:lang w:val="en-US"/>
        </w:rPr>
        <w:t>a</w:t>
      </w:r>
      <w:r>
        <w:t xml:space="preserve"> </w:t>
      </w:r>
      <w:r w:rsidRPr="001D6E70">
        <w:t>DCI format 2_7</w:t>
      </w:r>
      <w:r w:rsidR="00C86003" w:rsidRPr="007B7CF1">
        <w:t xml:space="preserve">, if </w:t>
      </w:r>
      <w:r w:rsidR="00C86003" w:rsidRPr="007B7CF1">
        <w:rPr>
          <w:i/>
          <w:iCs/>
          <w:lang w:eastAsia="zh-CN"/>
        </w:rPr>
        <w:t>pei</w:t>
      </w:r>
      <w:r w:rsidR="00CB7E8E">
        <w:rPr>
          <w:i/>
          <w:iCs/>
          <w:lang w:eastAsia="zh-CN"/>
        </w:rPr>
        <w:t>-</w:t>
      </w:r>
      <w:r w:rsidR="00C86003" w:rsidRPr="007B7CF1">
        <w:rPr>
          <w:i/>
          <w:iCs/>
          <w:lang w:eastAsia="zh-CN"/>
        </w:rPr>
        <w:t>SearchSpace</w:t>
      </w:r>
      <w:r w:rsidR="00C86003" w:rsidRPr="007B7CF1">
        <w:t xml:space="preserve"> is provided,</w:t>
      </w:r>
      <w:r w:rsidRPr="001D6E70">
        <w:t xml:space="preserve"> </w:t>
      </w:r>
      <w:r w:rsidR="00C86003">
        <w:t>and</w:t>
      </w:r>
      <w:r w:rsidRPr="001D6E70">
        <w:t xml:space="preserve"> </w:t>
      </w:r>
      <w:r>
        <w:t xml:space="preserve">a </w:t>
      </w:r>
      <w:r w:rsidRPr="001D6E70">
        <w:t xml:space="preserve">DCI format 1_0 with CRC scrambled by P-RNTI includes a </w:t>
      </w:r>
      <w:r w:rsidRPr="001D6E70">
        <w:rPr>
          <w:lang w:val="nb-NO"/>
        </w:rPr>
        <w:t>TRS availabil</w:t>
      </w:r>
      <w:r>
        <w:rPr>
          <w:lang w:val="nb-NO"/>
        </w:rPr>
        <w:t>i</w:t>
      </w:r>
      <w:r w:rsidRPr="001D6E70">
        <w:rPr>
          <w:lang w:val="nb-NO"/>
        </w:rPr>
        <w:t xml:space="preserve">ty indication field [4, TS 38.212] that provides a </w:t>
      </w:r>
      <w:r w:rsidRPr="001D6E70">
        <w:t xml:space="preserve">bitmap to groups of TRS resource sets where the configuration of each TRS resource set includes an association to a bit of the bitmap. The UE can be additionally provided </w:t>
      </w:r>
      <w:r>
        <w:t xml:space="preserve">a multiple, </w:t>
      </w:r>
      <w:r w:rsidRPr="001D6E70">
        <w:t xml:space="preserve">by </w:t>
      </w:r>
      <w:r w:rsidRPr="001D6E70">
        <w:rPr>
          <w:i/>
          <w:iCs/>
        </w:rPr>
        <w:t>validityDuration</w:t>
      </w:r>
      <w:r>
        <w:t xml:space="preserve">, </w:t>
      </w:r>
      <w:r w:rsidRPr="001D6E70">
        <w:t xml:space="preserve">for a number of frames provided by </w:t>
      </w:r>
      <w:r w:rsidRPr="001D6E70">
        <w:rPr>
          <w:bCs/>
          <w:i/>
          <w:lang w:eastAsia="sv-SE"/>
        </w:rPr>
        <w:t>defaultPagingCycle</w:t>
      </w:r>
      <w:r w:rsidRPr="001D6E70">
        <w:rPr>
          <w:bCs/>
          <w:iCs/>
          <w:lang w:eastAsia="sv-SE"/>
        </w:rPr>
        <w:t xml:space="preserve"> for TRS resource sets with indicated presence; if</w:t>
      </w:r>
      <w:r w:rsidRPr="001D6E70">
        <w:rPr>
          <w:i/>
          <w:iCs/>
        </w:rPr>
        <w:t xml:space="preserve"> validityDuration</w:t>
      </w:r>
      <w:r w:rsidRPr="001D6E70">
        <w:t xml:space="preserve"> is not provided, the multiple is equal to 2.</w:t>
      </w:r>
      <w:r>
        <w:t xml:space="preserve"> </w:t>
      </w:r>
    </w:p>
    <w:p w14:paraId="79A3D9F7" w14:textId="08EAF5FA" w:rsidR="00542CFB" w:rsidRDefault="001A183B" w:rsidP="001A183B">
      <w:r w:rsidRPr="001D6E70">
        <w:t xml:space="preserve">A value of </w:t>
      </w:r>
      <w:r w:rsidR="005E3B15">
        <w:t>'</w:t>
      </w:r>
      <w:r w:rsidRPr="001D6E70">
        <w:t>1</w:t>
      </w:r>
      <w:r w:rsidR="005E3B15">
        <w:t>'</w:t>
      </w:r>
      <w:r w:rsidRPr="001D6E70">
        <w:t xml:space="preserve"> for </w:t>
      </w:r>
      <w:r w:rsidR="00C86003" w:rsidRPr="007B7CF1">
        <w:t xml:space="preserve">a bit of </w:t>
      </w:r>
      <w:r w:rsidRPr="001D6E70">
        <w:t>the bitmap indicates presence of associated TRS resource sets</w:t>
      </w:r>
      <w:r>
        <w:t xml:space="preserve"> for the </w:t>
      </w:r>
      <w:r w:rsidRPr="00D746A7">
        <w:t>multiple of the number of frames</w:t>
      </w:r>
      <w:r>
        <w:t>,</w:t>
      </w:r>
      <w:r w:rsidRPr="001D6E70">
        <w:t xml:space="preserve"> starting from </w:t>
      </w:r>
      <w:r>
        <w:t>a</w:t>
      </w:r>
      <w:r w:rsidRPr="001D6E70">
        <w:t xml:space="preserve"> SFN </w:t>
      </w:r>
      <w:r>
        <w:t xml:space="preserve">determined from </w:t>
      </w:r>
      <m:oMath>
        <m:d>
          <m:dPr>
            <m:ctrlPr>
              <w:rPr>
                <w:rFonts w:ascii="Cambria Math" w:hAnsi="Cambria Math"/>
                <w:i/>
              </w:rPr>
            </m:ctrlPr>
          </m:dPr>
          <m:e>
            <m:r>
              <m:rPr>
                <m:sty m:val="p"/>
              </m:rPr>
              <w:rPr>
                <w:rFonts w:ascii="Cambria Math" w:hAnsi="Cambria Math"/>
              </w:rPr>
              <m:t>SFN</m:t>
            </m:r>
            <m:r>
              <w:rPr>
                <w:rFonts w:ascii="Cambria Math" w:hAnsi="Cambria Math"/>
              </w:rPr>
              <m:t>+</m:t>
            </m:r>
            <m:r>
              <m:rPr>
                <m:sty m:val="p"/>
              </m:rPr>
              <w:rPr>
                <w:rFonts w:ascii="Cambria Math" w:hAnsi="Cambria Math"/>
              </w:rPr>
              <m:t>PF_offset</m:t>
            </m:r>
          </m:e>
        </m:d>
        <m:r>
          <m:rPr>
            <m:sty m:val="p"/>
          </m:rPr>
          <w:rPr>
            <w:rFonts w:ascii="Cambria Math" w:hAnsi="Cambria Math"/>
          </w:rPr>
          <m:t>mod</m:t>
        </m:r>
        <m:r>
          <w:rPr>
            <w:rFonts w:ascii="Cambria Math" w:hAnsi="Cambria Math"/>
          </w:rPr>
          <m:t>T=0</m:t>
        </m:r>
      </m:oMath>
      <w:r>
        <w:t xml:space="preserve"> [17, TS 38.304] that corresponds to the frame</w:t>
      </w:r>
      <w:r w:rsidR="00CB7E8E" w:rsidRPr="00CB7E8E">
        <w:t xml:space="preserve"> </w:t>
      </w:r>
      <w:r w:rsidR="00CB7E8E">
        <w:t>within the DRX cycle</w:t>
      </w:r>
      <w:r>
        <w:t xml:space="preserve"> that includes </w:t>
      </w:r>
      <w:r w:rsidR="00CB7E8E">
        <w:t xml:space="preserve">the </w:t>
      </w:r>
      <w:r>
        <w:t>PDCCH providing the DCI format 2_7</w:t>
      </w:r>
      <w:r w:rsidR="00C86003">
        <w:t>,</w:t>
      </w:r>
      <w:r>
        <w:t xml:space="preserve"> or the DCI format 1_0 </w:t>
      </w:r>
      <w:r w:rsidR="00C86003" w:rsidRPr="007B7CF1">
        <w:t xml:space="preserve">with CRC scrambled by P-RNTI, </w:t>
      </w:r>
      <w:r>
        <w:t>with the</w:t>
      </w:r>
      <w:r w:rsidRPr="001D6E70">
        <w:t xml:space="preserve"> </w:t>
      </w:r>
      <w:r w:rsidRPr="001D6E70">
        <w:rPr>
          <w:lang w:val="nb-NO"/>
        </w:rPr>
        <w:t>TRS availabil</w:t>
      </w:r>
      <w:r>
        <w:rPr>
          <w:lang w:val="nb-NO"/>
        </w:rPr>
        <w:t>i</w:t>
      </w:r>
      <w:r w:rsidRPr="001D6E70">
        <w:rPr>
          <w:lang w:val="nb-NO"/>
        </w:rPr>
        <w:t>ty indication field</w:t>
      </w:r>
      <w:r>
        <w:t xml:space="preserve"> indicating the TRS resource sets, where </w:t>
      </w:r>
      <m:oMath>
        <m:r>
          <w:rPr>
            <w:rFonts w:ascii="Cambria Math" w:hAnsi="Cambria Math"/>
          </w:rPr>
          <m:t>T</m:t>
        </m:r>
      </m:oMath>
      <w:r>
        <w:t xml:space="preserve"> is</w:t>
      </w:r>
      <w:r w:rsidRPr="001D6E70">
        <w:t xml:space="preserve"> </w:t>
      </w:r>
      <w:r>
        <w:t>provided by</w:t>
      </w:r>
      <w:r w:rsidRPr="001D6E70">
        <w:t xml:space="preserve"> </w:t>
      </w:r>
      <w:r w:rsidRPr="001D6E70">
        <w:rPr>
          <w:bCs/>
          <w:i/>
          <w:lang w:eastAsia="sv-SE"/>
        </w:rPr>
        <w:t>defaultPagingCycle</w:t>
      </w:r>
      <w:r w:rsidRPr="001D6E70">
        <w:t>.</w:t>
      </w:r>
      <w:r w:rsidR="00C86003">
        <w:t xml:space="preserve"> </w:t>
      </w:r>
      <w:r w:rsidR="00C86003" w:rsidRPr="003E438A">
        <w:t xml:space="preserve">A value of '0' for a bit of the bitmap </w:t>
      </w:r>
      <w:r w:rsidR="00C86003" w:rsidRPr="003E438A">
        <w:rPr>
          <w:lang w:eastAsia="zh-CN"/>
        </w:rPr>
        <w:t>indicates no change to a current assumption for the availability or unavailability of associated TRS resource sets</w:t>
      </w:r>
      <w:r w:rsidR="00C86003" w:rsidRPr="003E438A">
        <w:t xml:space="preserve">. </w:t>
      </w:r>
    </w:p>
    <w:p w14:paraId="7B9E8B3C" w14:textId="225A34AF" w:rsidR="001A183B" w:rsidRPr="00C86003" w:rsidRDefault="00C86003" w:rsidP="001A183B">
      <w:r w:rsidRPr="003E438A">
        <w:t>A UE can receive first and second PDCCHs that provide DCI format 2_7 or DCI format 1_0 with CRC scrambled by P-RNTI that indicate presence of TRS resource sets for the multiple of the number of frames, where the second PDCCH reception after the first PDCCH reception by</w:t>
      </w:r>
      <w:r w:rsidRPr="003E438A">
        <w:rPr>
          <w:lang w:val="nb-NO"/>
        </w:rPr>
        <w:t xml:space="preserve"> a time that is smaller than the </w:t>
      </w:r>
      <w:r w:rsidRPr="003E438A">
        <w:t>multiple of the number of frames.</w:t>
      </w:r>
    </w:p>
    <w:p w14:paraId="14682EED" w14:textId="7223A068" w:rsidR="001A2A41" w:rsidRPr="00D26445" w:rsidRDefault="001A2A41" w:rsidP="00557F46">
      <w:pPr>
        <w:pStyle w:val="Heading2"/>
      </w:pPr>
      <w:bookmarkStart w:id="705" w:name="_Toc29894860"/>
      <w:bookmarkStart w:id="706" w:name="_Toc29899159"/>
      <w:bookmarkStart w:id="707" w:name="_Toc29899577"/>
      <w:bookmarkStart w:id="708" w:name="_Toc29917316"/>
      <w:bookmarkStart w:id="709" w:name="_Toc36498190"/>
      <w:bookmarkStart w:id="710" w:name="_Toc45699218"/>
      <w:bookmarkStart w:id="711" w:name="_Toc161999151"/>
      <w:r w:rsidRPr="00B916EC">
        <w:t>10</w:t>
      </w:r>
      <w:r>
        <w:rPr>
          <w:rFonts w:hint="eastAsia"/>
        </w:rPr>
        <w:t>.</w:t>
      </w:r>
      <w:r w:rsidR="00DB04A1">
        <w:t>5</w:t>
      </w:r>
      <w:r w:rsidRPr="00B916EC">
        <w:rPr>
          <w:rFonts w:hint="eastAsia"/>
        </w:rPr>
        <w:tab/>
      </w:r>
      <w:r w:rsidRPr="00D26445">
        <w:t>HARQ-ACK information for</w:t>
      </w:r>
      <w:r w:rsidRPr="00D26445">
        <w:rPr>
          <w:rFonts w:cs="Arial"/>
          <w:szCs w:val="32"/>
          <w:lang w:eastAsia="zh-CN"/>
        </w:rPr>
        <w:t xml:space="preserve"> PUSCH transmissions</w:t>
      </w:r>
      <w:bookmarkEnd w:id="705"/>
      <w:bookmarkEnd w:id="706"/>
      <w:bookmarkEnd w:id="707"/>
      <w:bookmarkEnd w:id="708"/>
      <w:bookmarkEnd w:id="709"/>
      <w:bookmarkEnd w:id="710"/>
      <w:bookmarkEnd w:id="711"/>
    </w:p>
    <w:p w14:paraId="7BDD00FA" w14:textId="6BEBBAC2" w:rsidR="001A2A41" w:rsidRPr="00412B6B" w:rsidRDefault="001A2A41" w:rsidP="001A2A41">
      <w:pPr>
        <w:rPr>
          <w:iCs/>
        </w:rPr>
      </w:pPr>
      <w:r w:rsidRPr="00D26445">
        <w:rPr>
          <w:rFonts w:eastAsia="DengXian"/>
          <w:lang w:eastAsia="zh-CN"/>
        </w:rPr>
        <w:t xml:space="preserve">A UE can be configured a number of search space sets to monitor PDCCH for detecting a DCI format 0_1 with </w:t>
      </w:r>
      <w:r w:rsidR="004E46F6">
        <w:rPr>
          <w:rFonts w:eastAsia="DengXian"/>
          <w:lang w:eastAsia="zh-CN"/>
        </w:rPr>
        <w:t xml:space="preserve">a DFI flag field and </w:t>
      </w:r>
      <w:r w:rsidRPr="00D26445">
        <w:rPr>
          <w:rFonts w:eastAsia="DengXian"/>
          <w:lang w:eastAsia="zh-CN"/>
        </w:rPr>
        <w:t xml:space="preserve">CRC scrambled with a CS-RNTI provided by </w:t>
      </w:r>
      <w:r w:rsidRPr="00D26445">
        <w:rPr>
          <w:i/>
        </w:rPr>
        <w:t>cs-RNTI</w:t>
      </w:r>
      <w:r w:rsidRPr="00D26445">
        <w:rPr>
          <w:rFonts w:eastAsia="DengXian"/>
          <w:lang w:eastAsia="zh-CN"/>
        </w:rPr>
        <w:t xml:space="preserve">. The UE determines that the DCI format provides HARQ-ACK </w:t>
      </w:r>
      <w:r w:rsidRPr="00412B6B">
        <w:rPr>
          <w:rFonts w:eastAsia="DengXian"/>
          <w:lang w:eastAsia="zh-CN"/>
        </w:rPr>
        <w:t xml:space="preserve">information for PUSCH transmissions </w:t>
      </w:r>
      <w:r w:rsidRPr="00412B6B">
        <w:rPr>
          <w:iCs/>
        </w:rPr>
        <w:t xml:space="preserve">based on </w:t>
      </w:r>
      <w:r w:rsidR="004E46F6">
        <w:rPr>
          <w:iCs/>
        </w:rPr>
        <w:t>when</w:t>
      </w:r>
      <w:r w:rsidR="004E46F6" w:rsidRPr="00412B6B">
        <w:rPr>
          <w:iCs/>
        </w:rPr>
        <w:t xml:space="preserve"> a </w:t>
      </w:r>
      <w:r w:rsidR="004E46F6">
        <w:rPr>
          <w:iCs/>
        </w:rPr>
        <w:t xml:space="preserve">DFI flag </w:t>
      </w:r>
      <w:r w:rsidR="004E46F6" w:rsidRPr="00412B6B">
        <w:rPr>
          <w:iCs/>
        </w:rPr>
        <w:t>field value</w:t>
      </w:r>
      <w:r w:rsidR="004E46F6">
        <w:rPr>
          <w:iCs/>
        </w:rPr>
        <w:t xml:space="preserve"> is set to '1</w:t>
      </w:r>
      <w:r w:rsidR="006C1D66">
        <w:rPr>
          <w:iCs/>
        </w:rPr>
        <w:t>'</w:t>
      </w:r>
      <w:r w:rsidR="004E46F6">
        <w:rPr>
          <w:iCs/>
        </w:rPr>
        <w:t xml:space="preserve">, if a </w:t>
      </w:r>
      <w:r w:rsidR="004E46F6" w:rsidRPr="00412B6B">
        <w:t xml:space="preserve">PUSCH transmission is </w:t>
      </w:r>
      <w:r w:rsidR="004E46F6" w:rsidRPr="00412B6B">
        <w:rPr>
          <w:lang w:eastAsia="zh-CN"/>
        </w:rPr>
        <w:t xml:space="preserve">configured by </w:t>
      </w:r>
      <w:r w:rsidR="004E46F6" w:rsidRPr="00412B6B">
        <w:rPr>
          <w:i/>
          <w:iCs/>
        </w:rPr>
        <w:t>ConfiguredGrantConfig</w:t>
      </w:r>
      <w:r w:rsidRPr="00412B6B">
        <w:rPr>
          <w:iCs/>
        </w:rPr>
        <w:t>.</w:t>
      </w:r>
    </w:p>
    <w:p w14:paraId="687B7094" w14:textId="7B4CD0EA" w:rsidR="001A2A41" w:rsidRPr="00D26445" w:rsidRDefault="001A2A41" w:rsidP="001A2A41">
      <w:pPr>
        <w:rPr>
          <w:iCs/>
        </w:rPr>
      </w:pPr>
      <w:r w:rsidRPr="00D26445">
        <w:rPr>
          <w:iCs/>
        </w:rPr>
        <w:t xml:space="preserve">The HARQ-ACK information corresponds to transport blocks in PUSCH transmissions for </w:t>
      </w:r>
      <w:r w:rsidR="004E46F6">
        <w:rPr>
          <w:iCs/>
        </w:rPr>
        <w:t>all</w:t>
      </w:r>
      <w:r w:rsidRPr="00D26445">
        <w:rPr>
          <w:iCs/>
        </w:rPr>
        <w:t xml:space="preserve"> HARQ processes for a serving cell of a PDCCH reception that provides DCI format </w:t>
      </w:r>
      <w:r w:rsidR="004E46F6" w:rsidRPr="00D26445">
        <w:rPr>
          <w:iCs/>
        </w:rPr>
        <w:t>0</w:t>
      </w:r>
      <w:r w:rsidR="004E46F6">
        <w:rPr>
          <w:iCs/>
        </w:rPr>
        <w:t>_1</w:t>
      </w:r>
      <w:r w:rsidRPr="00D26445">
        <w:rPr>
          <w:iCs/>
        </w:rPr>
        <w:t xml:space="preserve"> or, if DCI format </w:t>
      </w:r>
      <w:r w:rsidR="004E46F6" w:rsidRPr="00D26445">
        <w:rPr>
          <w:iCs/>
        </w:rPr>
        <w:t>0</w:t>
      </w:r>
      <w:r w:rsidR="004E46F6">
        <w:rPr>
          <w:iCs/>
        </w:rPr>
        <w:t>_1</w:t>
      </w:r>
      <w:r w:rsidRPr="00D26445">
        <w:rPr>
          <w:iCs/>
        </w:rPr>
        <w:t xml:space="preserve"> includes a carrier indicator field, for a serving cell indicated by a value of the carrier indicator field. </w:t>
      </w:r>
    </w:p>
    <w:p w14:paraId="629ABE0C" w14:textId="6BD56C6A" w:rsidR="001A2A41" w:rsidRPr="00D26445" w:rsidRDefault="001A2A41" w:rsidP="00557F46">
      <w:pPr>
        <w:rPr>
          <w:iCs/>
        </w:rPr>
      </w:pPr>
      <w:r w:rsidRPr="00D26445">
        <w:rPr>
          <w:iCs/>
        </w:rPr>
        <w:lastRenderedPageBreak/>
        <w:t xml:space="preserve">For a PUSCH transmission </w:t>
      </w:r>
      <w:r w:rsidRPr="00D26445">
        <w:rPr>
          <w:rFonts w:eastAsia="DengXian"/>
          <w:lang w:eastAsia="zh-CN"/>
        </w:rPr>
        <w:t xml:space="preserve">configured by </w:t>
      </w:r>
      <w:r w:rsidRPr="00D26445">
        <w:rPr>
          <w:i/>
          <w:iCs/>
        </w:rPr>
        <w:t>ConfiguredGrantConfig</w:t>
      </w:r>
      <w:r w:rsidRPr="00D26445">
        <w:rPr>
          <w:iCs/>
        </w:rPr>
        <w:t xml:space="preserve">, HARQ-ACK information for a transport block of a corresponding HARQ process number is valid if a first symbol of the PDCCH reception is after a last symbol of the PUSCH transmission, or of any repetition of the PUSCH transmission, by a number of symbols provided by </w:t>
      </w:r>
      <w:r w:rsidRPr="00D26445">
        <w:rPr>
          <w:i/>
          <w:iCs/>
        </w:rPr>
        <w:t>cg-minDFI</w:t>
      </w:r>
      <w:r w:rsidR="00BB52FD">
        <w:rPr>
          <w:i/>
          <w:iCs/>
        </w:rPr>
        <w:t>-</w:t>
      </w:r>
      <w:r w:rsidRPr="00D26445">
        <w:rPr>
          <w:i/>
          <w:iCs/>
        </w:rPr>
        <w:t>Delay</w:t>
      </w:r>
      <w:r w:rsidRPr="00D26445">
        <w:rPr>
          <w:iCs/>
        </w:rPr>
        <w:t>.</w:t>
      </w:r>
    </w:p>
    <w:p w14:paraId="41C28128" w14:textId="34379D41" w:rsidR="00511D2E" w:rsidRDefault="004E46F6" w:rsidP="00511D2E">
      <w:pPr>
        <w:rPr>
          <w:rFonts w:eastAsia="Malgun Gothic"/>
          <w:iCs/>
          <w:lang w:eastAsia="ko-KR"/>
        </w:rPr>
      </w:pPr>
      <w:r w:rsidRPr="002C7A5A">
        <w:t xml:space="preserve">For an initial transmission </w:t>
      </w:r>
      <w:r>
        <w:t xml:space="preserve">by a UE of a transport block in a PUSCH </w:t>
      </w:r>
      <w:r w:rsidRPr="002C7A5A">
        <w:t xml:space="preserve">configured by </w:t>
      </w:r>
      <w:r w:rsidRPr="002C7A5A">
        <w:rPr>
          <w:i/>
          <w:iCs/>
        </w:rPr>
        <w:t>ConfiguredGrantConfig</w:t>
      </w:r>
      <w:r w:rsidRPr="002C7A5A">
        <w:rPr>
          <w:rFonts w:eastAsia="Malgun Gothic"/>
          <w:iCs/>
          <w:lang w:eastAsia="ko-KR"/>
        </w:rPr>
        <w:t xml:space="preserve">, </w:t>
      </w:r>
      <w:r>
        <w:rPr>
          <w:rFonts w:eastAsia="Malgun Gothic"/>
          <w:iCs/>
          <w:lang w:eastAsia="ko-KR"/>
        </w:rPr>
        <w:t xml:space="preserve">if the UE receives a CG-DFI that provides </w:t>
      </w:r>
      <w:r w:rsidRPr="002C7A5A">
        <w:rPr>
          <w:rFonts w:eastAsia="Malgun Gothic"/>
          <w:iCs/>
          <w:lang w:eastAsia="ko-KR"/>
        </w:rPr>
        <w:t xml:space="preserve">HARQ-ACK information for </w:t>
      </w:r>
      <w:r>
        <w:rPr>
          <w:rFonts w:eastAsia="Malgun Gothic"/>
          <w:iCs/>
          <w:lang w:eastAsia="ko-KR"/>
        </w:rPr>
        <w:t>the</w:t>
      </w:r>
      <w:r w:rsidRPr="002C7A5A">
        <w:rPr>
          <w:rFonts w:eastAsia="Malgun Gothic"/>
          <w:iCs/>
          <w:lang w:eastAsia="ko-KR"/>
        </w:rPr>
        <w:t xml:space="preserve"> transport block</w:t>
      </w:r>
      <w:r>
        <w:rPr>
          <w:rFonts w:eastAsia="Malgun Gothic"/>
          <w:iCs/>
          <w:lang w:eastAsia="ko-KR"/>
        </w:rPr>
        <w:t>,</w:t>
      </w:r>
      <w:r w:rsidRPr="002C7A5A">
        <w:rPr>
          <w:rFonts w:eastAsia="Malgun Gothic"/>
          <w:iCs/>
          <w:lang w:eastAsia="ko-KR"/>
        </w:rPr>
        <w:t xml:space="preserve"> </w:t>
      </w:r>
      <w:r>
        <w:rPr>
          <w:rFonts w:eastAsia="Malgun Gothic"/>
          <w:iCs/>
          <w:lang w:eastAsia="ko-KR"/>
        </w:rPr>
        <w:t>the UE assumes that the transport block was correctly decoded if the HARQ-ACK information value is ACK; otherwise, the UE assumes that the transport block was not correctly decoded.</w:t>
      </w:r>
      <w:r w:rsidR="00511D2E" w:rsidRPr="00511D2E">
        <w:rPr>
          <w:rFonts w:eastAsia="Malgun Gothic"/>
          <w:iCs/>
          <w:lang w:eastAsia="ko-KR"/>
        </w:rPr>
        <w:t xml:space="preserve"> </w:t>
      </w:r>
    </w:p>
    <w:p w14:paraId="7D0C7E29" w14:textId="5DE1A303" w:rsidR="004E46F6" w:rsidRDefault="00511D2E" w:rsidP="00511D2E">
      <w:pPr>
        <w:rPr>
          <w:rFonts w:eastAsia="Malgun Gothic"/>
          <w:iCs/>
          <w:lang w:eastAsia="ko-KR"/>
        </w:rPr>
      </w:pPr>
      <w:r w:rsidRPr="00E77A8F">
        <w:rPr>
          <w:rFonts w:hint="eastAsia"/>
          <w:iCs/>
        </w:rPr>
        <w:t>F</w:t>
      </w:r>
      <w:r w:rsidRPr="00E77A8F">
        <w:rPr>
          <w:iCs/>
        </w:rPr>
        <w:t>or a PUSCH transmission scheduled by a DCI format, if the UE receives a CG-DFI that provides HARQ-ACK information for the transport block, the UE assumes that the transport block was correctly decoded if the HARQ-ACK information value is ACK; otherwise, the UE assumes that the transport block was not correctly decoded.</w:t>
      </w:r>
    </w:p>
    <w:p w14:paraId="6579BBDB" w14:textId="553E5DA0" w:rsidR="001A2A41" w:rsidRPr="00D26445" w:rsidRDefault="001A2A41" w:rsidP="001A2A41">
      <w:pPr>
        <w:rPr>
          <w:iCs/>
        </w:rPr>
      </w:pPr>
      <w:r w:rsidRPr="00D26445">
        <w:rPr>
          <w:iCs/>
        </w:rPr>
        <w:t xml:space="preserve">For a PUSCH transmission </w:t>
      </w:r>
      <w:r w:rsidRPr="00D26445">
        <w:rPr>
          <w:rFonts w:eastAsia="DengXian"/>
          <w:lang w:eastAsia="zh-CN"/>
        </w:rPr>
        <w:t>scheduled by a DCI format</w:t>
      </w:r>
      <w:r w:rsidRPr="00D26445">
        <w:t xml:space="preserve">, </w:t>
      </w:r>
      <w:r w:rsidRPr="00D26445">
        <w:rPr>
          <w:iCs/>
        </w:rPr>
        <w:t xml:space="preserve">HARQ-ACK information for a transport block of a corresponding HARQ process number is valid if a first symbol of the PDCCH reception is after a last symbol of the PUSCH transmission </w:t>
      </w:r>
      <w:r w:rsidR="004E46F6" w:rsidRPr="004B6669">
        <w:t xml:space="preserve">by a number of symbols provided by </w:t>
      </w:r>
      <w:r w:rsidR="004E46F6" w:rsidRPr="004B6669">
        <w:rPr>
          <w:i/>
        </w:rPr>
        <w:t>cg-minDFI</w:t>
      </w:r>
      <w:r w:rsidR="00BB52FD">
        <w:rPr>
          <w:i/>
        </w:rPr>
        <w:t>-</w:t>
      </w:r>
      <w:r w:rsidR="004E46F6" w:rsidRPr="004B6669">
        <w:rPr>
          <w:i/>
        </w:rPr>
        <w:t xml:space="preserve">Delay </w:t>
      </w:r>
      <w:r w:rsidRPr="00D26445">
        <w:rPr>
          <w:iCs/>
        </w:rPr>
        <w:t>or, if the PUSCH transmission is over multiple slots,</w:t>
      </w:r>
    </w:p>
    <w:p w14:paraId="0A28B72C" w14:textId="32A68312" w:rsidR="001A2A41" w:rsidRPr="00D26445" w:rsidRDefault="001A2A41" w:rsidP="00557F46">
      <w:pPr>
        <w:pStyle w:val="B1"/>
      </w:pPr>
      <w:r>
        <w:t>-</w:t>
      </w:r>
      <w:r>
        <w:tab/>
      </w:r>
      <w:r w:rsidRPr="00D26445">
        <w:t xml:space="preserve">after a last symbol of the PUSCH transmission in a first slot from the multiple slots by a number of symbols provided by </w:t>
      </w:r>
      <w:r w:rsidRPr="00D26445">
        <w:rPr>
          <w:i/>
        </w:rPr>
        <w:t>cg-minDFI</w:t>
      </w:r>
      <w:r w:rsidR="00BB52FD">
        <w:rPr>
          <w:i/>
          <w:lang w:val="en-US"/>
        </w:rPr>
        <w:t>-</w:t>
      </w:r>
      <w:r w:rsidRPr="00D26445">
        <w:rPr>
          <w:i/>
        </w:rPr>
        <w:t>Delay</w:t>
      </w:r>
      <w:r w:rsidRPr="00D26445">
        <w:t>, if a value of the HARQ-ACK information is ACK.</w:t>
      </w:r>
    </w:p>
    <w:p w14:paraId="5739FD69" w14:textId="2B25678B" w:rsidR="00511D2E" w:rsidRDefault="001A2A41" w:rsidP="00511D2E">
      <w:pPr>
        <w:pStyle w:val="B1"/>
      </w:pPr>
      <w:r>
        <w:t>-</w:t>
      </w:r>
      <w:r>
        <w:tab/>
      </w:r>
      <w:r w:rsidRPr="00D26445">
        <w:t xml:space="preserve">after a last symbol of the PUSCH transmission in a last slot from the multiple slots by a number of symbols provided by </w:t>
      </w:r>
      <w:r w:rsidRPr="00D26445">
        <w:rPr>
          <w:i/>
        </w:rPr>
        <w:t>cg-minDFI</w:t>
      </w:r>
      <w:r w:rsidR="00BB52FD">
        <w:rPr>
          <w:i/>
          <w:lang w:val="en-US"/>
        </w:rPr>
        <w:t>-</w:t>
      </w:r>
      <w:r w:rsidRPr="00D26445">
        <w:rPr>
          <w:i/>
        </w:rPr>
        <w:t>Delay</w:t>
      </w:r>
      <w:r w:rsidRPr="00D26445">
        <w:t>, if a value of the HARQ-ACK information is NACK.</w:t>
      </w:r>
      <w:r w:rsidR="00511D2E" w:rsidRPr="00511D2E">
        <w:t xml:space="preserve"> </w:t>
      </w:r>
    </w:p>
    <w:p w14:paraId="5793A063" w14:textId="051D28F8" w:rsidR="001A2A41" w:rsidRPr="00B422E4" w:rsidRDefault="00511D2E" w:rsidP="00822AD3">
      <w:r w:rsidRPr="00E77A8F">
        <w:t xml:space="preserve">UE does not expect to be configured with different </w:t>
      </w:r>
      <w:r w:rsidRPr="00E77A8F">
        <w:rPr>
          <w:i/>
        </w:rPr>
        <w:t>cg-minDFI</w:t>
      </w:r>
      <w:r w:rsidR="00BB52FD">
        <w:rPr>
          <w:i/>
        </w:rPr>
        <w:t>-</w:t>
      </w:r>
      <w:r w:rsidRPr="00E77A8F">
        <w:rPr>
          <w:i/>
        </w:rPr>
        <w:t>Delay</w:t>
      </w:r>
      <w:r w:rsidRPr="00E77A8F">
        <w:t xml:space="preserve"> among multiple </w:t>
      </w:r>
      <w:r w:rsidRPr="00E77A8F">
        <w:rPr>
          <w:i/>
          <w:iCs/>
        </w:rPr>
        <w:t>ConfiguredGrantConfig</w:t>
      </w:r>
      <w:r w:rsidRPr="00E77A8F">
        <w:rPr>
          <w:iCs/>
        </w:rPr>
        <w:t xml:space="preserve"> in one BWP</w:t>
      </w:r>
      <w:r w:rsidRPr="00E77A8F">
        <w:t>.</w:t>
      </w:r>
    </w:p>
    <w:p w14:paraId="148171E1" w14:textId="77777777" w:rsidR="0043292C" w:rsidRPr="00B916EC" w:rsidRDefault="0043292C" w:rsidP="0043292C">
      <w:pPr>
        <w:pStyle w:val="Heading1"/>
        <w:rPr>
          <w:rFonts w:eastAsia="MS Mincho"/>
          <w:lang w:eastAsia="ja-JP"/>
        </w:rPr>
      </w:pPr>
      <w:bookmarkStart w:id="712" w:name="_Toc12021488"/>
      <w:bookmarkStart w:id="713" w:name="_Toc20311600"/>
      <w:bookmarkStart w:id="714" w:name="_Toc26719425"/>
      <w:bookmarkStart w:id="715" w:name="_Toc29894861"/>
      <w:bookmarkStart w:id="716" w:name="_Toc29899160"/>
      <w:bookmarkStart w:id="717" w:name="_Toc29899578"/>
      <w:bookmarkStart w:id="718" w:name="_Toc29917317"/>
      <w:bookmarkStart w:id="719" w:name="_Toc36498191"/>
      <w:bookmarkStart w:id="720" w:name="_Toc45699219"/>
      <w:bookmarkStart w:id="721" w:name="_Toc161999152"/>
      <w:r w:rsidRPr="00B916EC">
        <w:rPr>
          <w:rFonts w:hint="eastAsia"/>
          <w:lang w:eastAsia="zh-CN"/>
        </w:rPr>
        <w:t>1</w:t>
      </w:r>
      <w:r w:rsidRPr="00B916EC">
        <w:rPr>
          <w:rFonts w:eastAsia="MS Mincho"/>
          <w:lang w:eastAsia="ja-JP"/>
        </w:rPr>
        <w:t>1</w:t>
      </w:r>
      <w:r w:rsidRPr="00B916EC">
        <w:tab/>
      </w:r>
      <w:r w:rsidR="00C208F0" w:rsidRPr="00B916EC">
        <w:rPr>
          <w:rFonts w:eastAsia="MS Mincho"/>
          <w:lang w:eastAsia="ja-JP"/>
        </w:rPr>
        <w:t>UE-group common signal</w:t>
      </w:r>
      <w:r w:rsidR="00C75C6B" w:rsidRPr="00B916EC">
        <w:rPr>
          <w:rFonts w:eastAsia="MS Mincho"/>
          <w:lang w:eastAsia="ja-JP"/>
        </w:rPr>
        <w:t>l</w:t>
      </w:r>
      <w:r w:rsidR="00C208F0" w:rsidRPr="00B916EC">
        <w:rPr>
          <w:rFonts w:eastAsia="MS Mincho"/>
          <w:lang w:eastAsia="ja-JP"/>
        </w:rPr>
        <w:t>ing</w:t>
      </w:r>
      <w:bookmarkEnd w:id="712"/>
      <w:bookmarkEnd w:id="713"/>
      <w:bookmarkEnd w:id="714"/>
      <w:bookmarkEnd w:id="715"/>
      <w:bookmarkEnd w:id="716"/>
      <w:bookmarkEnd w:id="717"/>
      <w:bookmarkEnd w:id="718"/>
      <w:bookmarkEnd w:id="719"/>
      <w:bookmarkEnd w:id="720"/>
      <w:bookmarkEnd w:id="721"/>
      <w:r w:rsidRPr="00B916EC">
        <w:rPr>
          <w:rFonts w:eastAsia="MS Mincho" w:hint="eastAsia"/>
          <w:lang w:eastAsia="ja-JP"/>
        </w:rPr>
        <w:t xml:space="preserve"> </w:t>
      </w:r>
    </w:p>
    <w:p w14:paraId="44FA8746" w14:textId="77777777" w:rsidR="0043292C" w:rsidRPr="00B916EC" w:rsidRDefault="0043292C" w:rsidP="0043292C">
      <w:r w:rsidRPr="00B916EC">
        <w:t>If the UE is configured with a SCG, the UE shall apply the procedures described in this clause for both MCG and SCG</w:t>
      </w:r>
    </w:p>
    <w:p w14:paraId="5A246DA8" w14:textId="77777777" w:rsidR="0043292C" w:rsidRPr="00B916EC" w:rsidRDefault="00D15604" w:rsidP="00D15604">
      <w:pPr>
        <w:pStyle w:val="B1"/>
      </w:pPr>
      <w:r>
        <w:t>-</w:t>
      </w:r>
      <w:r>
        <w:tab/>
      </w:r>
      <w:r w:rsidR="0043292C" w:rsidRPr="00B916EC">
        <w:t xml:space="preserve">When the procedures are applied for MCG, the terms </w:t>
      </w:r>
      <w:r w:rsidR="002A01CD">
        <w:rPr>
          <w:lang w:val="en-US"/>
        </w:rPr>
        <w:t>'</w:t>
      </w:r>
      <w:r w:rsidR="0043292C" w:rsidRPr="00B916EC">
        <w:rPr>
          <w:lang w:val="en-US"/>
        </w:rPr>
        <w:t>secondary cell</w:t>
      </w:r>
      <w:r w:rsidR="002A01CD">
        <w:rPr>
          <w:lang w:val="en-US"/>
        </w:rPr>
        <w:t>'</w:t>
      </w:r>
      <w:r w:rsidR="0043292C" w:rsidRPr="00B916EC">
        <w:rPr>
          <w:lang w:val="en-US"/>
        </w:rPr>
        <w:t xml:space="preserve">, </w:t>
      </w:r>
      <w:r w:rsidR="002A01CD">
        <w:rPr>
          <w:lang w:val="en-US"/>
        </w:rPr>
        <w:t>'</w:t>
      </w:r>
      <w:r w:rsidR="0043292C" w:rsidRPr="00B916EC">
        <w:rPr>
          <w:lang w:val="en-US"/>
        </w:rPr>
        <w:t>secondary cells</w:t>
      </w:r>
      <w:r w:rsidR="002A01CD">
        <w:rPr>
          <w:lang w:val="en-US"/>
        </w:rPr>
        <w:t>'</w:t>
      </w:r>
      <w:r w:rsidR="0043292C" w:rsidRPr="00B916EC">
        <w:t xml:space="preserve"> </w:t>
      </w:r>
      <w:r w:rsidR="0043292C" w:rsidRPr="00B916EC">
        <w:rPr>
          <w:lang w:val="en-US"/>
        </w:rPr>
        <w:t xml:space="preserve">, </w:t>
      </w:r>
      <w:r w:rsidR="002A01CD">
        <w:t>'</w:t>
      </w:r>
      <w:r w:rsidR="0043292C" w:rsidRPr="00B916EC">
        <w:t>serving cell</w:t>
      </w:r>
      <w:r w:rsidR="002A01CD">
        <w:t>'</w:t>
      </w:r>
      <w:r w:rsidR="0043292C" w:rsidRPr="00B916EC">
        <w:rPr>
          <w:lang w:val="en-US"/>
        </w:rPr>
        <w:t xml:space="preserve">, </w:t>
      </w:r>
      <w:r w:rsidR="002A01CD">
        <w:t>'</w:t>
      </w:r>
      <w:r w:rsidR="0043292C" w:rsidRPr="00B916EC">
        <w:t>serving cells</w:t>
      </w:r>
      <w:r w:rsidR="002A01CD">
        <w:t>'</w:t>
      </w:r>
      <w:r w:rsidR="0043292C" w:rsidRPr="00B916EC">
        <w:t xml:space="preserve"> in this clause refer to </w:t>
      </w:r>
      <w:r w:rsidR="0043292C" w:rsidRPr="00B916EC">
        <w:rPr>
          <w:lang w:val="en-US"/>
        </w:rPr>
        <w:t xml:space="preserve">secondary cell, secondary cells, </w:t>
      </w:r>
      <w:r w:rsidR="0043292C" w:rsidRPr="00B916EC">
        <w:t>serving cell</w:t>
      </w:r>
      <w:r w:rsidR="0043292C" w:rsidRPr="00B916EC">
        <w:rPr>
          <w:lang w:val="en-US"/>
        </w:rPr>
        <w:t xml:space="preserve">, </w:t>
      </w:r>
      <w:r w:rsidR="0043292C" w:rsidRPr="00B916EC">
        <w:t>serving cells belonging to the MCG</w:t>
      </w:r>
      <w:r w:rsidR="0043292C" w:rsidRPr="00B916EC">
        <w:rPr>
          <w:lang w:val="en-US"/>
        </w:rPr>
        <w:t xml:space="preserve"> respectively</w:t>
      </w:r>
      <w:r w:rsidR="0043292C" w:rsidRPr="00B916EC">
        <w:t>.</w:t>
      </w:r>
    </w:p>
    <w:p w14:paraId="428FAF15" w14:textId="6536648B" w:rsidR="0043292C" w:rsidRDefault="00D15604" w:rsidP="00D15604">
      <w:pPr>
        <w:pStyle w:val="B1"/>
      </w:pPr>
      <w:r>
        <w:t>-</w:t>
      </w:r>
      <w:r>
        <w:tab/>
      </w:r>
      <w:r w:rsidR="0043292C" w:rsidRPr="00B916EC">
        <w:t xml:space="preserve">When the procedures are applied for SCG, the terms </w:t>
      </w:r>
      <w:r w:rsidR="002A01CD">
        <w:rPr>
          <w:lang w:val="en-US"/>
        </w:rPr>
        <w:t>'</w:t>
      </w:r>
      <w:r w:rsidR="0043292C" w:rsidRPr="00B916EC">
        <w:rPr>
          <w:lang w:val="en-US"/>
        </w:rPr>
        <w:t>secondary cell</w:t>
      </w:r>
      <w:r w:rsidR="002A01CD">
        <w:rPr>
          <w:lang w:val="en-US"/>
        </w:rPr>
        <w:t>'</w:t>
      </w:r>
      <w:r w:rsidR="0043292C" w:rsidRPr="00B916EC">
        <w:rPr>
          <w:lang w:val="en-US"/>
        </w:rPr>
        <w:t xml:space="preserve">, </w:t>
      </w:r>
      <w:r w:rsidR="002A01CD">
        <w:rPr>
          <w:lang w:val="en-US"/>
        </w:rPr>
        <w:t>'</w:t>
      </w:r>
      <w:r w:rsidR="0043292C" w:rsidRPr="00B916EC">
        <w:rPr>
          <w:lang w:val="en-US"/>
        </w:rPr>
        <w:t>secondary cells</w:t>
      </w:r>
      <w:r w:rsidR="002A01CD">
        <w:rPr>
          <w:lang w:val="en-US"/>
        </w:rPr>
        <w:t>'</w:t>
      </w:r>
      <w:r w:rsidR="0043292C" w:rsidRPr="00B916EC">
        <w:rPr>
          <w:lang w:val="en-US"/>
        </w:rPr>
        <w:t>,</w:t>
      </w:r>
      <w:r w:rsidR="0043292C" w:rsidRPr="00B916EC">
        <w:t xml:space="preserve"> </w:t>
      </w:r>
      <w:r w:rsidR="002A01CD">
        <w:t>'</w:t>
      </w:r>
      <w:r w:rsidR="0043292C" w:rsidRPr="00B916EC">
        <w:t>serving cell</w:t>
      </w:r>
      <w:r w:rsidR="002A01CD">
        <w:t>'</w:t>
      </w:r>
      <w:r w:rsidR="0043292C" w:rsidRPr="00B916EC">
        <w:rPr>
          <w:lang w:val="en-US"/>
        </w:rPr>
        <w:t xml:space="preserve">, </w:t>
      </w:r>
      <w:r w:rsidR="002A01CD">
        <w:t>'</w:t>
      </w:r>
      <w:r w:rsidR="0043292C" w:rsidRPr="00B916EC">
        <w:t>serving cells</w:t>
      </w:r>
      <w:r w:rsidR="002A01CD">
        <w:t>'</w:t>
      </w:r>
      <w:r w:rsidR="0043292C" w:rsidRPr="00B916EC">
        <w:t xml:space="preserve"> in this clause refer to </w:t>
      </w:r>
      <w:r w:rsidR="0043292C" w:rsidRPr="00B916EC">
        <w:rPr>
          <w:lang w:val="en-US"/>
        </w:rPr>
        <w:t xml:space="preserve">secondary cell, secondary cells (not including PSCell), </w:t>
      </w:r>
      <w:r w:rsidR="0043292C" w:rsidRPr="00B916EC">
        <w:t>serving cell</w:t>
      </w:r>
      <w:r w:rsidR="0043292C" w:rsidRPr="00B916EC">
        <w:rPr>
          <w:lang w:val="en-US"/>
        </w:rPr>
        <w:t xml:space="preserve">, </w:t>
      </w:r>
      <w:r w:rsidR="0043292C" w:rsidRPr="00B916EC">
        <w:t>serving cells belonging to the SCG</w:t>
      </w:r>
      <w:r w:rsidR="0043292C" w:rsidRPr="00B916EC">
        <w:rPr>
          <w:lang w:val="en-US"/>
        </w:rPr>
        <w:t xml:space="preserve"> respectively</w:t>
      </w:r>
      <w:r w:rsidR="0043292C" w:rsidRPr="00B916EC">
        <w:t xml:space="preserve">. The term </w:t>
      </w:r>
      <w:r w:rsidR="002A01CD">
        <w:t>'</w:t>
      </w:r>
      <w:r w:rsidR="0043292C" w:rsidRPr="00B916EC">
        <w:t>primary cell</w:t>
      </w:r>
      <w:r w:rsidR="002A01CD">
        <w:t>'</w:t>
      </w:r>
      <w:r w:rsidR="0043292C" w:rsidRPr="00B916EC">
        <w:t xml:space="preserve"> in this clause refers to the PSCell of the SCG.</w:t>
      </w:r>
    </w:p>
    <w:p w14:paraId="78F32560" w14:textId="77777777" w:rsidR="004C3224" w:rsidRPr="00F415B1" w:rsidRDefault="004C3224" w:rsidP="004C3224">
      <w:pPr>
        <w:rPr>
          <w:lang w:eastAsia="ko-KR"/>
        </w:rPr>
      </w:pPr>
      <w:r w:rsidRPr="00F415B1">
        <w:rPr>
          <w:lang w:eastAsia="ko-KR"/>
        </w:rPr>
        <w:t>In the remaining of this clause, unless stated otherwise, when a PDCCH reception by a UE includes two PDCCH candidates from corresponding search space sets, as described in clause 10.1</w:t>
      </w:r>
    </w:p>
    <w:p w14:paraId="22EDBC41" w14:textId="77777777" w:rsidR="004C3224" w:rsidRPr="00F415B1" w:rsidRDefault="004C3224" w:rsidP="004C3224">
      <w:pPr>
        <w:pStyle w:val="B1"/>
        <w:rPr>
          <w:rFonts w:cstheme="minorHAnsi"/>
        </w:rPr>
      </w:pPr>
      <w:r w:rsidRPr="00F415B1">
        <w:t>-</w:t>
      </w:r>
      <w:r w:rsidRPr="00F415B1">
        <w:tab/>
      </w:r>
      <w:r w:rsidRPr="00F415B1">
        <w:rPr>
          <w:lang w:val="en-US" w:eastAsia="ko-KR"/>
        </w:rPr>
        <w:t>a</w:t>
      </w:r>
      <w:r w:rsidRPr="00F415B1">
        <w:rPr>
          <w:lang w:eastAsia="ko-KR"/>
        </w:rPr>
        <w:t xml:space="preserve"> PDCCH </w:t>
      </w:r>
      <w:r w:rsidRPr="00F415B1">
        <w:rPr>
          <w:lang w:val="en-US" w:eastAsia="ko-KR"/>
        </w:rPr>
        <w:t>monitoring occasion is the union of the PDCCH monitoring occasions for the two PDCCH candidates</w:t>
      </w:r>
    </w:p>
    <w:p w14:paraId="155BBE24" w14:textId="77777777" w:rsidR="004C3224" w:rsidRPr="00F415B1" w:rsidRDefault="004C3224" w:rsidP="004C3224">
      <w:pPr>
        <w:pStyle w:val="B1"/>
        <w:rPr>
          <w:rFonts w:cstheme="minorHAnsi"/>
        </w:rPr>
      </w:pPr>
      <w:r w:rsidRPr="00F415B1">
        <w:t>-</w:t>
      </w:r>
      <w:r w:rsidRPr="00F415B1">
        <w:tab/>
      </w:r>
      <w:r w:rsidRPr="00F415B1">
        <w:rPr>
          <w:lang w:eastAsia="ko-KR"/>
        </w:rPr>
        <w:t>the start of the PDCCH reception is the start of the earlier PDCCH candidate</w:t>
      </w:r>
    </w:p>
    <w:p w14:paraId="7B9A2B37" w14:textId="77777777" w:rsidR="004C3224" w:rsidRPr="005A07B6" w:rsidRDefault="004C3224" w:rsidP="004C3224">
      <w:pPr>
        <w:pStyle w:val="B1"/>
        <w:rPr>
          <w:rFonts w:cstheme="minorHAnsi"/>
          <w:lang w:val="en-US"/>
        </w:rPr>
      </w:pPr>
      <w:r w:rsidRPr="00F415B1">
        <w:t>-</w:t>
      </w:r>
      <w:r w:rsidRPr="00F415B1">
        <w:tab/>
      </w:r>
      <w:r w:rsidRPr="00F415B1">
        <w:rPr>
          <w:lang w:eastAsia="ko-KR"/>
        </w:rPr>
        <w:t>the end of the PDCCH reception in the end of the PDCCH candidate</w:t>
      </w:r>
      <w:r>
        <w:rPr>
          <w:lang w:val="en-US" w:eastAsia="ko-KR"/>
        </w:rPr>
        <w:t xml:space="preserve"> that ends later</w:t>
      </w:r>
    </w:p>
    <w:p w14:paraId="72BC1D9B" w14:textId="1BA7C5C7" w:rsidR="004C3224" w:rsidRPr="00D8081C" w:rsidRDefault="004C3224" w:rsidP="00D8081C">
      <w:pPr>
        <w:rPr>
          <w:lang w:eastAsia="ko-KR"/>
        </w:rPr>
      </w:pPr>
      <w:r w:rsidRPr="00F415B1">
        <w:rPr>
          <w:lang w:eastAsia="ko-KR"/>
        </w:rPr>
        <w:t xml:space="preserve">The PDCCH reception includes the two PDCCH candidates also when </w:t>
      </w:r>
      <w:r w:rsidRPr="00F415B1">
        <w:rPr>
          <w:iCs/>
          <w:lang w:eastAsia="zh-CN"/>
        </w:rPr>
        <w:t>the UE is not required to monitor one of the two PDCCH candidates as described in clauses 10</w:t>
      </w:r>
      <w:r w:rsidR="00FF6F03">
        <w:rPr>
          <w:iCs/>
          <w:lang w:eastAsia="zh-CN"/>
        </w:rPr>
        <w:t xml:space="preserve"> </w:t>
      </w:r>
      <w:r w:rsidR="00FF6F03" w:rsidRPr="001948BB">
        <w:rPr>
          <w:iCs/>
          <w:lang w:eastAsia="zh-CN"/>
        </w:rPr>
        <w:t>(except clause 10.4)</w:t>
      </w:r>
      <w:r w:rsidRPr="00F415B1">
        <w:rPr>
          <w:iCs/>
          <w:lang w:eastAsia="zh-CN"/>
        </w:rPr>
        <w:t>, 11.1, 11.1.1</w:t>
      </w:r>
      <w:r w:rsidR="00944556">
        <w:rPr>
          <w:rFonts w:hint="eastAsia"/>
          <w:iCs/>
          <w:lang w:eastAsia="zh-CN"/>
        </w:rPr>
        <w:t xml:space="preserve"> and 17.2</w:t>
      </w:r>
      <w:r w:rsidRPr="00F415B1">
        <w:rPr>
          <w:iCs/>
          <w:lang w:eastAsia="zh-CN"/>
        </w:rPr>
        <w:t>.</w:t>
      </w:r>
    </w:p>
    <w:p w14:paraId="1D3C856F" w14:textId="77777777" w:rsidR="00C208F0" w:rsidRPr="00B916EC" w:rsidRDefault="00C208F0" w:rsidP="00C208F0">
      <w:pPr>
        <w:pStyle w:val="Heading2"/>
        <w:rPr>
          <w:lang w:eastAsia="zh-CN"/>
        </w:rPr>
      </w:pPr>
      <w:bookmarkStart w:id="722" w:name="_Ref500831375"/>
      <w:bookmarkStart w:id="723" w:name="_Toc12021489"/>
      <w:bookmarkStart w:id="724" w:name="_Toc20311601"/>
      <w:bookmarkStart w:id="725" w:name="_Toc26719426"/>
      <w:bookmarkStart w:id="726" w:name="_Toc29894862"/>
      <w:bookmarkStart w:id="727" w:name="_Toc29899161"/>
      <w:bookmarkStart w:id="728" w:name="_Toc29899579"/>
      <w:bookmarkStart w:id="729" w:name="_Toc29917318"/>
      <w:bookmarkStart w:id="730" w:name="_Toc36498192"/>
      <w:bookmarkStart w:id="731" w:name="_Toc45699220"/>
      <w:bookmarkStart w:id="732" w:name="_Toc161999153"/>
      <w:r w:rsidRPr="00B916EC">
        <w:rPr>
          <w:lang w:eastAsia="zh-CN"/>
        </w:rPr>
        <w:t>11.1</w:t>
      </w:r>
      <w:r w:rsidRPr="00B916EC">
        <w:rPr>
          <w:lang w:eastAsia="zh-CN"/>
        </w:rPr>
        <w:tab/>
        <w:t>Slot configuration</w:t>
      </w:r>
      <w:bookmarkEnd w:id="722"/>
      <w:bookmarkEnd w:id="723"/>
      <w:bookmarkEnd w:id="724"/>
      <w:bookmarkEnd w:id="725"/>
      <w:bookmarkEnd w:id="726"/>
      <w:bookmarkEnd w:id="727"/>
      <w:bookmarkEnd w:id="728"/>
      <w:bookmarkEnd w:id="729"/>
      <w:bookmarkEnd w:id="730"/>
      <w:bookmarkEnd w:id="731"/>
      <w:bookmarkEnd w:id="732"/>
    </w:p>
    <w:p w14:paraId="35D7ADC5" w14:textId="77777777" w:rsidR="0043292C" w:rsidRPr="00B916EC" w:rsidRDefault="0043292C" w:rsidP="0043292C">
      <w:pPr>
        <w:rPr>
          <w:lang w:eastAsia="zh-CN"/>
        </w:rPr>
      </w:pPr>
      <w:r w:rsidRPr="00B916EC">
        <w:rPr>
          <w:lang w:eastAsia="zh-CN"/>
        </w:rPr>
        <w:t xml:space="preserve">A slot format includes downlink symbols, uplink symbols, and flexible symbols. </w:t>
      </w:r>
    </w:p>
    <w:p w14:paraId="2E322C1E" w14:textId="77777777" w:rsidR="0043292C" w:rsidRPr="00B916EC" w:rsidRDefault="007E7BFD" w:rsidP="0043292C">
      <w:pPr>
        <w:rPr>
          <w:lang w:eastAsia="zh-CN"/>
        </w:rPr>
      </w:pPr>
      <w:r>
        <w:rPr>
          <w:lang w:eastAsia="zh-CN"/>
        </w:rPr>
        <w:t>The following are applicable f</w:t>
      </w:r>
      <w:r w:rsidRPr="00B916EC">
        <w:rPr>
          <w:lang w:eastAsia="zh-CN"/>
        </w:rPr>
        <w:t xml:space="preserve">or </w:t>
      </w:r>
      <w:r w:rsidR="0043292C" w:rsidRPr="00B916EC">
        <w:rPr>
          <w:lang w:eastAsia="zh-CN"/>
        </w:rPr>
        <w:t>each serving cell</w:t>
      </w:r>
      <w:r>
        <w:rPr>
          <w:lang w:eastAsia="zh-CN"/>
        </w:rPr>
        <w:t>.</w:t>
      </w:r>
    </w:p>
    <w:p w14:paraId="55D354A9" w14:textId="77777777" w:rsidR="004F21B6" w:rsidRDefault="004F21B6" w:rsidP="0027125A">
      <w:r>
        <w:t>If a UE is</w:t>
      </w:r>
      <w:r w:rsidRPr="00B916EC">
        <w:t xml:space="preserve"> provided </w:t>
      </w:r>
      <w:r w:rsidR="00445F81">
        <w:rPr>
          <w:i/>
          <w:lang w:val="en-US"/>
        </w:rPr>
        <w:t>tdd</w:t>
      </w:r>
      <w:r w:rsidRPr="00942A15">
        <w:rPr>
          <w:i/>
          <w:lang w:val="en-US"/>
        </w:rPr>
        <w:t>-</w:t>
      </w:r>
      <w:r w:rsidRPr="00B916EC">
        <w:rPr>
          <w:i/>
        </w:rPr>
        <w:t>UL-DL-</w:t>
      </w:r>
      <w:r>
        <w:rPr>
          <w:i/>
          <w:lang w:val="en-US"/>
        </w:rPr>
        <w:t>C</w:t>
      </w:r>
      <w:r w:rsidRPr="00B916EC">
        <w:rPr>
          <w:i/>
        </w:rPr>
        <w:t>onfiguration</w:t>
      </w:r>
      <w:r>
        <w:rPr>
          <w:i/>
          <w:lang w:val="en-US"/>
        </w:rPr>
        <w:t>C</w:t>
      </w:r>
      <w:r>
        <w:rPr>
          <w:i/>
        </w:rPr>
        <w:t>ommon</w:t>
      </w:r>
      <w:r>
        <w:t>, the</w:t>
      </w:r>
      <w:r w:rsidRPr="00B916EC">
        <w:t xml:space="preserve"> UE set</w:t>
      </w:r>
      <w:r>
        <w:rPr>
          <w:lang w:val="en-US"/>
        </w:rPr>
        <w:t>s</w:t>
      </w:r>
      <w:r w:rsidRPr="00B916EC">
        <w:t xml:space="preserve"> the slot format per slot over a number of slots as indicated by </w:t>
      </w:r>
      <w:r w:rsidR="00445F81">
        <w:rPr>
          <w:i/>
          <w:lang w:val="en-US"/>
        </w:rPr>
        <w:t>tdd</w:t>
      </w:r>
      <w:r w:rsidRPr="00410820">
        <w:rPr>
          <w:i/>
          <w:lang w:val="en-US"/>
        </w:rPr>
        <w:t>-</w:t>
      </w:r>
      <w:r w:rsidRPr="00B916EC">
        <w:rPr>
          <w:i/>
        </w:rPr>
        <w:t>UL-DL-</w:t>
      </w:r>
      <w:r>
        <w:rPr>
          <w:i/>
          <w:lang w:val="en-US"/>
        </w:rPr>
        <w:t>C</w:t>
      </w:r>
      <w:r w:rsidRPr="00B916EC">
        <w:rPr>
          <w:i/>
        </w:rPr>
        <w:t>onfiguration</w:t>
      </w:r>
      <w:r>
        <w:rPr>
          <w:i/>
          <w:lang w:val="en-US"/>
        </w:rPr>
        <w:t>C</w:t>
      </w:r>
      <w:r w:rsidRPr="00B916EC">
        <w:rPr>
          <w:i/>
        </w:rPr>
        <w:t>ommon</w:t>
      </w:r>
      <w:r w:rsidRPr="00B916EC">
        <w:t xml:space="preserve">. </w:t>
      </w:r>
    </w:p>
    <w:p w14:paraId="2763C877" w14:textId="77777777" w:rsidR="004F21B6" w:rsidRDefault="004F21B6" w:rsidP="0027125A">
      <w:pPr>
        <w:rPr>
          <w:lang w:val="en-US"/>
        </w:rPr>
      </w:pPr>
      <w:r>
        <w:rPr>
          <w:lang w:val="en-US"/>
        </w:rPr>
        <w:t xml:space="preserve">The </w:t>
      </w:r>
      <w:r w:rsidR="00445F81">
        <w:rPr>
          <w:i/>
          <w:lang w:val="en-US"/>
        </w:rPr>
        <w:t>tdd</w:t>
      </w:r>
      <w:r w:rsidRPr="00942A15">
        <w:rPr>
          <w:i/>
          <w:lang w:val="en-US"/>
        </w:rPr>
        <w:t>-</w:t>
      </w:r>
      <w:r w:rsidRPr="00B916EC">
        <w:rPr>
          <w:i/>
        </w:rPr>
        <w:t>UL-DL-</w:t>
      </w:r>
      <w:r>
        <w:rPr>
          <w:i/>
          <w:lang w:val="en-US"/>
        </w:rPr>
        <w:t>C</w:t>
      </w:r>
      <w:r w:rsidRPr="00B916EC">
        <w:rPr>
          <w:i/>
        </w:rPr>
        <w:t>onfiguration</w:t>
      </w:r>
      <w:r>
        <w:rPr>
          <w:i/>
          <w:lang w:val="en-US"/>
        </w:rPr>
        <w:t>C</w:t>
      </w:r>
      <w:r>
        <w:rPr>
          <w:i/>
        </w:rPr>
        <w:t>ommon</w:t>
      </w:r>
      <w:r>
        <w:rPr>
          <w:lang w:val="en-US"/>
        </w:rPr>
        <w:t xml:space="preserve"> provides</w:t>
      </w:r>
    </w:p>
    <w:p w14:paraId="3A0E3461" w14:textId="3323D4B3" w:rsidR="006B7B72" w:rsidRPr="00190444" w:rsidRDefault="004F21B6" w:rsidP="006B7B72">
      <w:pPr>
        <w:pStyle w:val="B2"/>
        <w:ind w:left="0" w:firstLine="270"/>
      </w:pPr>
      <w:r>
        <w:t>-</w:t>
      </w:r>
      <w:r>
        <w:tab/>
      </w:r>
      <w:r w:rsidR="007E7BFD">
        <w:rPr>
          <w:lang w:val="en-US"/>
        </w:rPr>
        <w:t>a</w:t>
      </w:r>
      <w:r w:rsidR="007E7BFD" w:rsidRPr="00311958">
        <w:rPr>
          <w:lang w:eastAsia="zh-CN"/>
        </w:rPr>
        <w:t xml:space="preserve"> </w:t>
      </w:r>
      <w:r w:rsidRPr="00311958">
        <w:rPr>
          <w:lang w:eastAsia="zh-CN"/>
        </w:rPr>
        <w:t xml:space="preserve">reference </w:t>
      </w:r>
      <w:r w:rsidR="00143099">
        <w:rPr>
          <w:lang w:eastAsia="zh-CN"/>
        </w:rPr>
        <w:t>SCS</w:t>
      </w:r>
      <w:r w:rsidR="007E7BFD" w:rsidRPr="007E7BFD">
        <w:rPr>
          <w:lang w:val="en-US" w:eastAsia="zh-CN"/>
        </w:rPr>
        <w:t xml:space="preserve"> </w:t>
      </w:r>
      <w:r w:rsidR="006B7B72">
        <w:rPr>
          <w:lang w:val="en-US" w:eastAsia="zh-CN"/>
        </w:rPr>
        <w:t xml:space="preserve">configuration </w:t>
      </w:r>
      <w:r w:rsidR="00ED3701">
        <w:rPr>
          <w:noProof/>
          <w:position w:val="-10"/>
        </w:rPr>
        <w:drawing>
          <wp:inline distT="0" distB="0" distL="0" distR="0" wp14:anchorId="1717A86F" wp14:editId="64FF59C5">
            <wp:extent cx="276225" cy="209550"/>
            <wp:effectExtent l="0" t="0" r="0" b="0"/>
            <wp:docPr id="193"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r w:rsidR="006B7B72" w:rsidRPr="00311958">
        <w:rPr>
          <w:lang w:val="en-US" w:eastAsia="zh-CN"/>
        </w:rPr>
        <w:t xml:space="preserve"> </w:t>
      </w:r>
      <w:r w:rsidR="006B7B72">
        <w:rPr>
          <w:lang w:val="en-US" w:eastAsia="zh-CN"/>
        </w:rPr>
        <w:t>by</w:t>
      </w:r>
      <w:r w:rsidR="00DE1E44">
        <w:rPr>
          <w:lang w:val="en-US" w:eastAsia="zh-CN"/>
        </w:rPr>
        <w:t xml:space="preserve"> </w:t>
      </w:r>
      <w:r w:rsidR="006B7B72" w:rsidRPr="005025FB">
        <w:rPr>
          <w:i/>
        </w:rPr>
        <w:t>referenceSubcarrierSpacing</w:t>
      </w:r>
    </w:p>
    <w:p w14:paraId="4DFC3B17" w14:textId="77777777" w:rsidR="006B7B72" w:rsidRDefault="006B7B72" w:rsidP="006B7B72">
      <w:pPr>
        <w:pStyle w:val="B2"/>
        <w:ind w:left="270" w:firstLine="0"/>
        <w:rPr>
          <w:lang w:val="en-US" w:eastAsia="zh-CN"/>
        </w:rPr>
      </w:pPr>
      <w:r>
        <w:lastRenderedPageBreak/>
        <w:t>-</w:t>
      </w:r>
      <w:r>
        <w:tab/>
        <w:t>a</w:t>
      </w:r>
      <w:r w:rsidR="00DE1E44">
        <w:rPr>
          <w:lang w:val="en-US"/>
        </w:rPr>
        <w:t xml:space="preserve"> </w:t>
      </w:r>
      <w:r w:rsidRPr="00857581">
        <w:rPr>
          <w:i/>
          <w:lang w:val="en-US" w:eastAsia="zh-CN"/>
        </w:rPr>
        <w:t>pattern1</w:t>
      </w:r>
      <w:r>
        <w:rPr>
          <w:lang w:val="en-US" w:eastAsia="zh-CN"/>
        </w:rPr>
        <w:t xml:space="preserve">. </w:t>
      </w:r>
    </w:p>
    <w:p w14:paraId="6073B0A1" w14:textId="77777777" w:rsidR="006B7B72" w:rsidRPr="00857581" w:rsidRDefault="006B7B72" w:rsidP="006B7B72">
      <w:pPr>
        <w:pStyle w:val="B2"/>
        <w:ind w:left="270" w:hanging="270"/>
        <w:rPr>
          <w:lang w:val="en-US"/>
        </w:rPr>
      </w:pPr>
      <w:r>
        <w:rPr>
          <w:lang w:val="en-US" w:eastAsia="zh-CN"/>
        </w:rPr>
        <w:t>The</w:t>
      </w:r>
      <w:r w:rsidR="00DE1E44">
        <w:rPr>
          <w:lang w:val="en-US" w:eastAsia="zh-CN"/>
        </w:rPr>
        <w:t xml:space="preserve"> </w:t>
      </w:r>
      <w:r w:rsidRPr="003C1C5E">
        <w:rPr>
          <w:i/>
          <w:lang w:val="en-US" w:eastAsia="zh-CN"/>
        </w:rPr>
        <w:t>pattern1</w:t>
      </w:r>
      <w:r>
        <w:rPr>
          <w:lang w:val="en-US" w:eastAsia="zh-CN"/>
        </w:rPr>
        <w:t xml:space="preserve"> provides</w:t>
      </w:r>
    </w:p>
    <w:p w14:paraId="514BF112" w14:textId="0BABCE22" w:rsidR="006B7B72" w:rsidRPr="005025FB" w:rsidRDefault="006B7B72" w:rsidP="006B7B72">
      <w:pPr>
        <w:pStyle w:val="B2"/>
        <w:ind w:left="0" w:firstLine="270"/>
      </w:pPr>
      <w:r>
        <w:rPr>
          <w:lang w:eastAsia="zh-CN"/>
        </w:rPr>
        <w:t>-</w:t>
      </w:r>
      <w:r>
        <w:rPr>
          <w:lang w:eastAsia="zh-CN"/>
        </w:rPr>
        <w:tab/>
      </w:r>
      <w:r>
        <w:rPr>
          <w:lang w:val="en-US" w:eastAsia="zh-CN"/>
        </w:rPr>
        <w:t>a</w:t>
      </w:r>
      <w:r w:rsidRPr="00190444">
        <w:rPr>
          <w:lang w:eastAsia="zh-CN"/>
        </w:rPr>
        <w:t xml:space="preserve"> </w:t>
      </w:r>
      <w:r>
        <w:rPr>
          <w:lang w:eastAsia="zh-CN"/>
        </w:rPr>
        <w:t>slot</w:t>
      </w:r>
      <w:r w:rsidRPr="00190444">
        <w:rPr>
          <w:lang w:eastAsia="zh-CN"/>
        </w:rPr>
        <w:t xml:space="preserve"> configuration</w:t>
      </w:r>
      <w:r>
        <w:rPr>
          <w:lang w:eastAsia="zh-CN"/>
        </w:rPr>
        <w:t xml:space="preserve"> period </w:t>
      </w:r>
      <w:r>
        <w:rPr>
          <w:lang w:val="en-US" w:eastAsia="zh-CN"/>
        </w:rPr>
        <w:t xml:space="preserve">of </w:t>
      </w:r>
      <w:r w:rsidR="00ED3701">
        <w:rPr>
          <w:noProof/>
          <w:position w:val="-4"/>
        </w:rPr>
        <w:drawing>
          <wp:inline distT="0" distB="0" distL="0" distR="0" wp14:anchorId="01A570FC" wp14:editId="681F166A">
            <wp:extent cx="180975" cy="142875"/>
            <wp:effectExtent l="0" t="0" r="0" b="0"/>
            <wp:docPr id="19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80975" cy="142875"/>
                    </a:xfrm>
                    <a:prstGeom prst="rect">
                      <a:avLst/>
                    </a:prstGeom>
                    <a:noFill/>
                    <a:ln>
                      <a:noFill/>
                    </a:ln>
                  </pic:spPr>
                </pic:pic>
              </a:graphicData>
            </a:graphic>
          </wp:inline>
        </w:drawing>
      </w:r>
      <w:r w:rsidRPr="00190444">
        <w:rPr>
          <w:lang w:val="en-US" w:eastAsia="zh-CN"/>
        </w:rPr>
        <w:t xml:space="preserve"> </w:t>
      </w:r>
      <w:r>
        <w:rPr>
          <w:lang w:val="en-US" w:eastAsia="zh-CN"/>
        </w:rPr>
        <w:t xml:space="preserve">msec </w:t>
      </w:r>
      <w:r>
        <w:rPr>
          <w:lang w:eastAsia="zh-CN"/>
        </w:rPr>
        <w:t>by</w:t>
      </w:r>
      <w:r w:rsidR="00DE1E44">
        <w:rPr>
          <w:lang w:val="en-US" w:eastAsia="zh-CN"/>
        </w:rPr>
        <w:t xml:space="preserve"> </w:t>
      </w:r>
      <w:r w:rsidRPr="005025FB">
        <w:rPr>
          <w:i/>
        </w:rPr>
        <w:t>dl-UL-TransmissionPeriodicity</w:t>
      </w:r>
    </w:p>
    <w:p w14:paraId="696C1E8C" w14:textId="428989BA" w:rsidR="006B7B72" w:rsidRPr="005B02FE" w:rsidRDefault="006B7B72" w:rsidP="006B7B72">
      <w:pPr>
        <w:pStyle w:val="B2"/>
        <w:ind w:left="0" w:firstLine="270"/>
      </w:pPr>
      <w:r>
        <w:t>-</w:t>
      </w:r>
      <w:r>
        <w:tab/>
      </w:r>
      <w:r>
        <w:rPr>
          <w:lang w:val="en-US"/>
        </w:rPr>
        <w:t>a</w:t>
      </w:r>
      <w:r>
        <w:t xml:space="preserve"> number of</w:t>
      </w:r>
      <w:r w:rsidRPr="005025FB">
        <w:t xml:space="preserve"> </w:t>
      </w:r>
      <w:r w:rsidRPr="005025FB">
        <w:rPr>
          <w:lang w:val="en-US"/>
        </w:rPr>
        <w:t>slots</w:t>
      </w:r>
      <w:r>
        <w:rPr>
          <w:lang w:val="en-US"/>
        </w:rPr>
        <w:t xml:space="preserve"> </w:t>
      </w:r>
      <w:r w:rsidR="00ED3701">
        <w:rPr>
          <w:noProof/>
          <w:position w:val="-10"/>
        </w:rPr>
        <w:drawing>
          <wp:inline distT="0" distB="0" distL="0" distR="0" wp14:anchorId="42EC320A" wp14:editId="71D63A5A">
            <wp:extent cx="276225" cy="200025"/>
            <wp:effectExtent l="0" t="0" r="0" b="0"/>
            <wp:docPr id="195"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76225" cy="200025"/>
                    </a:xfrm>
                    <a:prstGeom prst="rect">
                      <a:avLst/>
                    </a:prstGeom>
                    <a:noFill/>
                    <a:ln>
                      <a:noFill/>
                    </a:ln>
                  </pic:spPr>
                </pic:pic>
              </a:graphicData>
            </a:graphic>
          </wp:inline>
        </w:drawing>
      </w:r>
      <w:r>
        <w:rPr>
          <w:lang w:val="en-US"/>
        </w:rPr>
        <w:t xml:space="preserve"> with</w:t>
      </w:r>
      <w:r>
        <w:t xml:space="preserve"> only downlink symbols by</w:t>
      </w:r>
      <w:r w:rsidRPr="005025FB">
        <w:t xml:space="preserve"> </w:t>
      </w:r>
      <w:r w:rsidRPr="00B3446E">
        <w:rPr>
          <w:i/>
        </w:rPr>
        <w:t>nrofDownlinkSlots</w:t>
      </w:r>
    </w:p>
    <w:p w14:paraId="73DCC6FC" w14:textId="4AA1038D" w:rsidR="006B7B72" w:rsidRPr="00262ACA" w:rsidRDefault="006B7B72" w:rsidP="006B7B72">
      <w:pPr>
        <w:pStyle w:val="B2"/>
        <w:ind w:left="0" w:firstLine="270"/>
      </w:pPr>
      <w:r>
        <w:t>-</w:t>
      </w:r>
      <w:r>
        <w:tab/>
      </w:r>
      <w:r>
        <w:rPr>
          <w:lang w:val="en-US"/>
        </w:rPr>
        <w:t>a</w:t>
      </w:r>
      <w:r w:rsidRPr="005B02FE">
        <w:t xml:space="preserve"> number of downlink </w:t>
      </w:r>
      <w:r w:rsidRPr="005B02FE">
        <w:rPr>
          <w:lang w:val="en-US"/>
        </w:rPr>
        <w:t>symbols</w:t>
      </w:r>
      <w:r>
        <w:rPr>
          <w:lang w:val="en-US"/>
        </w:rPr>
        <w:t xml:space="preserve"> </w:t>
      </w:r>
      <w:r w:rsidR="00ED3701">
        <w:rPr>
          <w:noProof/>
          <w:position w:val="-12"/>
        </w:rPr>
        <w:drawing>
          <wp:inline distT="0" distB="0" distL="0" distR="0" wp14:anchorId="7A486FD7" wp14:editId="4048F9B9">
            <wp:extent cx="276225" cy="209550"/>
            <wp:effectExtent l="0" t="0" r="0" b="0"/>
            <wp:docPr id="196"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r>
        <w:rPr>
          <w:lang w:val="en-US"/>
        </w:rPr>
        <w:t xml:space="preserve"> by</w:t>
      </w:r>
      <w:r w:rsidR="00DE1E44">
        <w:rPr>
          <w:lang w:val="en-US"/>
        </w:rPr>
        <w:t xml:space="preserve"> </w:t>
      </w:r>
      <w:r w:rsidRPr="005B02FE">
        <w:rPr>
          <w:i/>
        </w:rPr>
        <w:t>nrofDownlinkSymbols</w:t>
      </w:r>
    </w:p>
    <w:p w14:paraId="77CAA17D" w14:textId="1D426FD0" w:rsidR="006B7B72" w:rsidRPr="00262ACA" w:rsidRDefault="006B7B72" w:rsidP="006B7B72">
      <w:pPr>
        <w:pStyle w:val="B2"/>
        <w:ind w:left="0" w:firstLine="270"/>
      </w:pPr>
      <w:r>
        <w:t>-</w:t>
      </w:r>
      <w:r>
        <w:tab/>
      </w:r>
      <w:r>
        <w:rPr>
          <w:lang w:val="en-US"/>
        </w:rPr>
        <w:t>a</w:t>
      </w:r>
      <w:r>
        <w:t xml:space="preserve"> </w:t>
      </w:r>
      <w:r w:rsidRPr="00262ACA">
        <w:t xml:space="preserve">number of </w:t>
      </w:r>
      <w:r w:rsidRPr="00262ACA">
        <w:rPr>
          <w:lang w:val="en-US"/>
        </w:rPr>
        <w:t xml:space="preserve">slots </w:t>
      </w:r>
      <w:r w:rsidR="00ED3701">
        <w:rPr>
          <w:noProof/>
          <w:position w:val="-10"/>
        </w:rPr>
        <w:drawing>
          <wp:inline distT="0" distB="0" distL="0" distR="0" wp14:anchorId="47F777FA" wp14:editId="13757CD3">
            <wp:extent cx="276225" cy="209550"/>
            <wp:effectExtent l="0" t="0" r="0" b="0"/>
            <wp:docPr id="197"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r>
        <w:rPr>
          <w:lang w:val="en-US"/>
        </w:rPr>
        <w:t xml:space="preserve"> with</w:t>
      </w:r>
      <w:r>
        <w:t xml:space="preserve"> only uplink symbols by</w:t>
      </w:r>
      <w:r w:rsidRPr="00262ACA">
        <w:t xml:space="preserve"> </w:t>
      </w:r>
      <w:r w:rsidRPr="00262ACA">
        <w:rPr>
          <w:i/>
        </w:rPr>
        <w:t>nrofUplinkSlots</w:t>
      </w:r>
    </w:p>
    <w:p w14:paraId="33A220A3" w14:textId="35235B89" w:rsidR="006B7B72" w:rsidRPr="00262ACA" w:rsidRDefault="006B7B72" w:rsidP="006B7B72">
      <w:pPr>
        <w:pStyle w:val="B2"/>
        <w:ind w:left="0" w:firstLine="270"/>
      </w:pPr>
      <w:r>
        <w:t>-</w:t>
      </w:r>
      <w:r>
        <w:tab/>
      </w:r>
      <w:r>
        <w:rPr>
          <w:lang w:val="en-US"/>
        </w:rPr>
        <w:t>a</w:t>
      </w:r>
      <w:r>
        <w:t xml:space="preserve"> </w:t>
      </w:r>
      <w:r w:rsidRPr="00262ACA">
        <w:t xml:space="preserve">number of uplink </w:t>
      </w:r>
      <w:r w:rsidRPr="00262ACA">
        <w:rPr>
          <w:lang w:val="en-US"/>
        </w:rPr>
        <w:t>symbols</w:t>
      </w:r>
      <w:r>
        <w:rPr>
          <w:lang w:val="en-US"/>
        </w:rPr>
        <w:t xml:space="preserve"> </w:t>
      </w:r>
      <w:r w:rsidR="00ED3701">
        <w:rPr>
          <w:noProof/>
          <w:position w:val="-12"/>
        </w:rPr>
        <w:drawing>
          <wp:inline distT="0" distB="0" distL="0" distR="0" wp14:anchorId="7BC288CF" wp14:editId="5554E6B4">
            <wp:extent cx="238125" cy="238125"/>
            <wp:effectExtent l="0" t="0" r="0" b="0"/>
            <wp:docPr id="198"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262ACA">
        <w:rPr>
          <w:lang w:val="en-US"/>
        </w:rPr>
        <w:t xml:space="preserve"> </w:t>
      </w:r>
      <w:r>
        <w:rPr>
          <w:lang w:val="en-US"/>
        </w:rPr>
        <w:t>by</w:t>
      </w:r>
      <w:r w:rsidRPr="00262ACA">
        <w:t xml:space="preserve"> </w:t>
      </w:r>
      <w:r w:rsidRPr="00D44682">
        <w:rPr>
          <w:i/>
        </w:rPr>
        <w:t>nrofUplinkSymbol</w:t>
      </w:r>
      <w:r>
        <w:rPr>
          <w:i/>
        </w:rPr>
        <w:t>s</w:t>
      </w:r>
    </w:p>
    <w:p w14:paraId="6DCADA2A" w14:textId="4EED8C8A" w:rsidR="006B7B72" w:rsidRPr="00D15EB4" w:rsidRDefault="006B7B72" w:rsidP="006B7B72">
      <w:pPr>
        <w:pStyle w:val="B1"/>
        <w:ind w:left="0" w:firstLine="0"/>
        <w:rPr>
          <w:lang w:val="en-GB"/>
        </w:rPr>
      </w:pPr>
      <w:r>
        <w:rPr>
          <w:lang w:val="en-US"/>
        </w:rPr>
        <w:t xml:space="preserve">A value </w:t>
      </w:r>
      <w:r w:rsidR="00D15EB4" w:rsidRPr="00531D5A">
        <w:rPr>
          <w:i/>
        </w:rPr>
        <w:t>P</w:t>
      </w:r>
      <w:r w:rsidR="00D15EB4">
        <w:t xml:space="preserve"> </w:t>
      </w:r>
      <w:r w:rsidR="00D15EB4" w:rsidRPr="00531D5A">
        <w:t>=</w:t>
      </w:r>
      <w:r w:rsidR="00D15EB4">
        <w:rPr>
          <w:lang w:val="en-GB"/>
        </w:rPr>
        <w:t>0.625</w:t>
      </w:r>
      <w:r>
        <w:t xml:space="preserve"> </w:t>
      </w:r>
      <w:r>
        <w:rPr>
          <w:lang w:val="en-US"/>
        </w:rPr>
        <w:t>msec is valid only for</w:t>
      </w:r>
      <w:r w:rsidR="00D15EB4">
        <w:rPr>
          <w:lang w:val="en-US"/>
        </w:rPr>
        <w:t xml:space="preserve"> </w:t>
      </w:r>
      <m:oMath>
        <m:sSub>
          <m:sSubPr>
            <m:ctrlPr>
              <w:rPr>
                <w:rFonts w:ascii="Cambria Math" w:hAnsi="Cambria Math"/>
                <w:lang w:val="en-US"/>
              </w:rPr>
            </m:ctrlPr>
          </m:sSubPr>
          <m:e>
            <m:r>
              <w:rPr>
                <w:rFonts w:ascii="Cambria Math" w:hAnsi="Cambria Math"/>
                <w:lang w:val="en-US"/>
              </w:rPr>
              <m:t xml:space="preserve"> μ</m:t>
            </m:r>
          </m:e>
          <m:sub>
            <m:r>
              <m:rPr>
                <m:sty m:val="p"/>
              </m:rPr>
              <w:rPr>
                <w:rFonts w:ascii="Cambria Math" w:hAnsi="Cambria Math"/>
                <w:lang w:val="en-US" w:eastAsia="zh-CN"/>
              </w:rPr>
              <m:t>ref</m:t>
            </m:r>
          </m:sub>
        </m:sSub>
        <m:r>
          <m:rPr>
            <m:sty m:val="p"/>
          </m:rPr>
          <w:rPr>
            <w:rFonts w:ascii="Cambria Math" w:hAnsi="Cambria Math"/>
            <w:lang w:val="en-US"/>
          </w:rPr>
          <m:t>=3</m:t>
        </m:r>
      </m:oMath>
      <w:r w:rsidR="00D15EB4">
        <w:rPr>
          <w:lang w:val="en-US"/>
        </w:rPr>
        <w:t xml:space="preserve">, </w:t>
      </w:r>
      <m:oMath>
        <m:sSub>
          <m:sSubPr>
            <m:ctrlPr>
              <w:rPr>
                <w:rFonts w:ascii="Cambria Math" w:hAnsi="Cambria Math"/>
                <w:lang w:val="en-US"/>
              </w:rPr>
            </m:ctrlPr>
          </m:sSubPr>
          <m:e>
            <m:r>
              <w:rPr>
                <w:rFonts w:ascii="Cambria Math" w:hAnsi="Cambria Math"/>
                <w:lang w:val="en-US"/>
              </w:rPr>
              <m:t xml:space="preserve"> μ</m:t>
            </m:r>
          </m:e>
          <m:sub>
            <m:r>
              <m:rPr>
                <m:sty m:val="p"/>
              </m:rPr>
              <w:rPr>
                <w:rFonts w:ascii="Cambria Math" w:hAnsi="Cambria Math"/>
                <w:lang w:val="en-US" w:eastAsia="zh-CN"/>
              </w:rPr>
              <m:t>ref</m:t>
            </m:r>
          </m:sub>
        </m:sSub>
        <m:r>
          <m:rPr>
            <m:sty m:val="p"/>
          </m:rPr>
          <w:rPr>
            <w:rFonts w:ascii="Cambria Math" w:hAnsi="Cambria Math"/>
            <w:lang w:val="en-US"/>
          </w:rPr>
          <m:t>=5</m:t>
        </m:r>
        <m:r>
          <m:rPr>
            <m:sty m:val="p"/>
          </m:rPr>
          <w:rPr>
            <w:rFonts w:ascii="Cambria Math" w:hAnsi="Cambria Math"/>
            <w:lang w:val="en-US" w:eastAsia="zh-CN"/>
          </w:rPr>
          <m:t xml:space="preserve"> </m:t>
        </m:r>
        <m:sSub>
          <m:sSubPr>
            <m:ctrlPr>
              <w:rPr>
                <w:rFonts w:ascii="Cambria Math" w:hAnsi="Cambria Math"/>
                <w:lang w:val="en-US"/>
              </w:rPr>
            </m:ctrlPr>
          </m:sSubPr>
          <m:e>
            <m:r>
              <w:rPr>
                <w:rFonts w:ascii="Cambria Math" w:hAnsi="Cambria Math"/>
                <w:lang w:val="en-US"/>
              </w:rPr>
              <m:t>or μ</m:t>
            </m:r>
          </m:e>
          <m:sub>
            <m:r>
              <m:rPr>
                <m:sty m:val="p"/>
              </m:rPr>
              <w:rPr>
                <w:rFonts w:ascii="Cambria Math" w:hAnsi="Cambria Math"/>
                <w:lang w:val="en-US" w:eastAsia="zh-CN"/>
              </w:rPr>
              <m:t>ref</m:t>
            </m:r>
          </m:sub>
        </m:sSub>
        <m:r>
          <m:rPr>
            <m:sty m:val="p"/>
          </m:rPr>
          <w:rPr>
            <w:rFonts w:ascii="Cambria Math" w:hAnsi="Cambria Math"/>
            <w:lang w:val="en-US"/>
          </w:rPr>
          <m:t>=6</m:t>
        </m:r>
      </m:oMath>
      <w:r>
        <w:rPr>
          <w:lang w:val="en-US"/>
        </w:rPr>
        <w:t xml:space="preserve">. A value </w:t>
      </w:r>
      <w:r w:rsidR="00D15EB4" w:rsidRPr="00531D5A">
        <w:rPr>
          <w:i/>
        </w:rPr>
        <w:t>P</w:t>
      </w:r>
      <w:r w:rsidR="00D15EB4">
        <w:t xml:space="preserve"> </w:t>
      </w:r>
      <w:r w:rsidR="00D15EB4" w:rsidRPr="00531D5A">
        <w:t>=1</w:t>
      </w:r>
      <w:r w:rsidR="00D15EB4">
        <w:rPr>
          <w:lang w:val="en-GB"/>
        </w:rPr>
        <w:t>.25</w:t>
      </w:r>
      <w:r>
        <w:t xml:space="preserve"> </w:t>
      </w:r>
      <w:r>
        <w:rPr>
          <w:lang w:val="en-US"/>
        </w:rPr>
        <w:t xml:space="preserve">msec is valid only for </w:t>
      </w:r>
      <m:oMath>
        <m:sSub>
          <m:sSubPr>
            <m:ctrlPr>
              <w:rPr>
                <w:rFonts w:ascii="Cambria Math" w:hAnsi="Cambria Math"/>
                <w:lang w:val="en-US"/>
              </w:rPr>
            </m:ctrlPr>
          </m:sSubPr>
          <m:e>
            <m:r>
              <w:rPr>
                <w:rFonts w:ascii="Cambria Math" w:hAnsi="Cambria Math"/>
                <w:lang w:val="en-US"/>
              </w:rPr>
              <m:t xml:space="preserve"> μ</m:t>
            </m:r>
          </m:e>
          <m:sub>
            <m:r>
              <m:rPr>
                <m:sty m:val="p"/>
              </m:rPr>
              <w:rPr>
                <w:rFonts w:ascii="Cambria Math" w:hAnsi="Cambria Math"/>
                <w:lang w:val="en-US" w:eastAsia="zh-CN"/>
              </w:rPr>
              <m:t>ref</m:t>
            </m:r>
          </m:sub>
        </m:sSub>
        <m:r>
          <m:rPr>
            <m:sty m:val="p"/>
          </m:rPr>
          <w:rPr>
            <w:rFonts w:ascii="Cambria Math" w:hAnsi="Cambria Math"/>
            <w:lang w:val="en-US"/>
          </w:rPr>
          <m:t xml:space="preserve">=2, </m:t>
        </m:r>
        <m:sSub>
          <m:sSubPr>
            <m:ctrlPr>
              <w:rPr>
                <w:rFonts w:ascii="Cambria Math" w:hAnsi="Cambria Math"/>
                <w:lang w:val="en-US"/>
              </w:rPr>
            </m:ctrlPr>
          </m:sSubPr>
          <m:e>
            <m:r>
              <w:rPr>
                <w:rFonts w:ascii="Cambria Math" w:hAnsi="Cambria Math"/>
                <w:lang w:val="en-US"/>
              </w:rPr>
              <m:t xml:space="preserve"> μ</m:t>
            </m:r>
          </m:e>
          <m:sub>
            <m:r>
              <m:rPr>
                <m:sty m:val="p"/>
              </m:rPr>
              <w:rPr>
                <w:rFonts w:ascii="Cambria Math" w:hAnsi="Cambria Math"/>
                <w:lang w:val="en-US" w:eastAsia="zh-CN"/>
              </w:rPr>
              <m:t>ref</m:t>
            </m:r>
          </m:sub>
        </m:sSub>
        <m:r>
          <m:rPr>
            <m:sty m:val="p"/>
          </m:rPr>
          <w:rPr>
            <w:rFonts w:ascii="Cambria Math" w:hAnsi="Cambria Math"/>
            <w:lang w:val="en-US"/>
          </w:rPr>
          <m:t>=3</m:t>
        </m:r>
      </m:oMath>
      <w:r w:rsidR="00D15EB4">
        <w:t xml:space="preserve">, </w:t>
      </w:r>
      <m:oMath>
        <m:sSub>
          <m:sSubPr>
            <m:ctrlPr>
              <w:rPr>
                <w:rFonts w:ascii="Cambria Math" w:hAnsi="Cambria Math"/>
                <w:lang w:val="en-US"/>
              </w:rPr>
            </m:ctrlPr>
          </m:sSubPr>
          <m:e>
            <m:r>
              <w:rPr>
                <w:rFonts w:ascii="Cambria Math" w:hAnsi="Cambria Math"/>
                <w:lang w:val="en-US"/>
              </w:rPr>
              <m:t xml:space="preserve"> μ</m:t>
            </m:r>
          </m:e>
          <m:sub>
            <m:r>
              <m:rPr>
                <m:sty m:val="p"/>
              </m:rPr>
              <w:rPr>
                <w:rFonts w:ascii="Cambria Math" w:hAnsi="Cambria Math"/>
                <w:lang w:val="en-US" w:eastAsia="zh-CN"/>
              </w:rPr>
              <m:t>ref</m:t>
            </m:r>
          </m:sub>
        </m:sSub>
        <m:r>
          <m:rPr>
            <m:sty m:val="p"/>
          </m:rPr>
          <w:rPr>
            <w:rFonts w:ascii="Cambria Math" w:hAnsi="Cambria Math"/>
            <w:lang w:val="en-US"/>
          </w:rPr>
          <m:t>=5</m:t>
        </m:r>
        <m:r>
          <m:rPr>
            <m:sty m:val="p"/>
          </m:rPr>
          <w:rPr>
            <w:rFonts w:ascii="Cambria Math" w:hAnsi="Cambria Math"/>
            <w:lang w:val="en-US" w:eastAsia="zh-CN"/>
          </w:rPr>
          <m:t xml:space="preserve"> </m:t>
        </m:r>
        <m:sSub>
          <m:sSubPr>
            <m:ctrlPr>
              <w:rPr>
                <w:rFonts w:ascii="Cambria Math" w:hAnsi="Cambria Math"/>
                <w:lang w:val="en-US"/>
              </w:rPr>
            </m:ctrlPr>
          </m:sSubPr>
          <m:e>
            <m:r>
              <w:rPr>
                <w:rFonts w:ascii="Cambria Math" w:hAnsi="Cambria Math"/>
                <w:lang w:val="en-US"/>
              </w:rPr>
              <m:t>or μ</m:t>
            </m:r>
          </m:e>
          <m:sub>
            <m:r>
              <m:rPr>
                <m:sty m:val="p"/>
              </m:rPr>
              <w:rPr>
                <w:rFonts w:ascii="Cambria Math" w:hAnsi="Cambria Math"/>
                <w:lang w:val="en-US" w:eastAsia="zh-CN"/>
              </w:rPr>
              <m:t>ref</m:t>
            </m:r>
          </m:sub>
        </m:sSub>
        <m:r>
          <m:rPr>
            <m:sty m:val="p"/>
          </m:rPr>
          <w:rPr>
            <w:rFonts w:ascii="Cambria Math" w:hAnsi="Cambria Math"/>
            <w:lang w:val="en-US"/>
          </w:rPr>
          <m:t>=6</m:t>
        </m:r>
      </m:oMath>
      <w:r>
        <w:rPr>
          <w:lang w:val="en-US"/>
        </w:rPr>
        <w:t xml:space="preserve">. </w:t>
      </w:r>
      <w:r w:rsidRPr="00A40704">
        <w:t xml:space="preserve">A </w:t>
      </w:r>
      <w:r>
        <w:rPr>
          <w:lang w:val="en-US"/>
        </w:rPr>
        <w:t xml:space="preserve">value </w:t>
      </w:r>
      <w:r w:rsidR="00D15EB4" w:rsidRPr="00531D5A">
        <w:rPr>
          <w:i/>
        </w:rPr>
        <w:t>P</w:t>
      </w:r>
      <w:r w:rsidR="00D15EB4">
        <w:t xml:space="preserve"> </w:t>
      </w:r>
      <w:r w:rsidR="00D15EB4" w:rsidRPr="00531D5A">
        <w:t>=</w:t>
      </w:r>
      <w:r w:rsidR="00D15EB4">
        <w:rPr>
          <w:lang w:val="en-GB"/>
        </w:rPr>
        <w:t>2.5</w:t>
      </w:r>
      <w:r>
        <w:rPr>
          <w:lang w:val="en-US"/>
        </w:rPr>
        <w:t xml:space="preserve"> msec is valid only for</w:t>
      </w:r>
      <m:oMath>
        <m:sSub>
          <m:sSubPr>
            <m:ctrlPr>
              <w:rPr>
                <w:rFonts w:ascii="Cambria Math" w:hAnsi="Cambria Math"/>
                <w:lang w:val="en-US"/>
              </w:rPr>
            </m:ctrlPr>
          </m:sSubPr>
          <m:e>
            <m:r>
              <w:rPr>
                <w:rFonts w:ascii="Cambria Math" w:hAnsi="Cambria Math"/>
                <w:lang w:val="en-US"/>
              </w:rPr>
              <m:t xml:space="preserve"> μ</m:t>
            </m:r>
          </m:e>
          <m:sub>
            <m:r>
              <m:rPr>
                <m:sty m:val="p"/>
              </m:rPr>
              <w:rPr>
                <w:rFonts w:ascii="Cambria Math" w:hAnsi="Cambria Math"/>
                <w:lang w:val="en-US" w:eastAsia="zh-CN"/>
              </w:rPr>
              <m:t>ref</m:t>
            </m:r>
          </m:sub>
        </m:sSub>
        <m:r>
          <m:rPr>
            <m:sty m:val="p"/>
          </m:rPr>
          <w:rPr>
            <w:rFonts w:ascii="Cambria Math" w:hAnsi="Cambria Math"/>
            <w:lang w:val="en-US"/>
          </w:rPr>
          <m:t xml:space="preserve">=1, </m:t>
        </m:r>
        <m:sSub>
          <m:sSubPr>
            <m:ctrlPr>
              <w:rPr>
                <w:rFonts w:ascii="Cambria Math" w:hAnsi="Cambria Math"/>
                <w:lang w:val="en-US"/>
              </w:rPr>
            </m:ctrlPr>
          </m:sSubPr>
          <m:e>
            <m:r>
              <w:rPr>
                <w:rFonts w:ascii="Cambria Math" w:hAnsi="Cambria Math"/>
                <w:lang w:val="en-US"/>
              </w:rPr>
              <m:t xml:space="preserve"> μ</m:t>
            </m:r>
          </m:e>
          <m:sub>
            <m:r>
              <m:rPr>
                <m:sty m:val="p"/>
              </m:rPr>
              <w:rPr>
                <w:rFonts w:ascii="Cambria Math" w:hAnsi="Cambria Math"/>
                <w:lang w:val="en-US" w:eastAsia="zh-CN"/>
              </w:rPr>
              <m:t>ref</m:t>
            </m:r>
          </m:sub>
        </m:sSub>
        <m:r>
          <m:rPr>
            <m:sty m:val="p"/>
          </m:rPr>
          <w:rPr>
            <w:rFonts w:ascii="Cambria Math" w:hAnsi="Cambria Math"/>
            <w:lang w:val="en-US"/>
          </w:rPr>
          <m:t xml:space="preserve">=2, </m:t>
        </m:r>
        <m:sSub>
          <m:sSubPr>
            <m:ctrlPr>
              <w:rPr>
                <w:rFonts w:ascii="Cambria Math" w:hAnsi="Cambria Math"/>
                <w:lang w:val="en-US"/>
              </w:rPr>
            </m:ctrlPr>
          </m:sSubPr>
          <m:e>
            <m:r>
              <w:rPr>
                <w:rFonts w:ascii="Cambria Math" w:hAnsi="Cambria Math"/>
                <w:lang w:val="en-US"/>
              </w:rPr>
              <m:t xml:space="preserve"> μ</m:t>
            </m:r>
          </m:e>
          <m:sub>
            <m:r>
              <m:rPr>
                <m:sty m:val="p"/>
              </m:rPr>
              <w:rPr>
                <w:rFonts w:ascii="Cambria Math" w:hAnsi="Cambria Math"/>
                <w:lang w:val="en-US" w:eastAsia="zh-CN"/>
              </w:rPr>
              <m:t>ref</m:t>
            </m:r>
          </m:sub>
        </m:sSub>
        <m:r>
          <m:rPr>
            <m:sty m:val="p"/>
          </m:rPr>
          <w:rPr>
            <w:rFonts w:ascii="Cambria Math" w:hAnsi="Cambria Math"/>
            <w:lang w:val="en-US"/>
          </w:rPr>
          <m:t>=3</m:t>
        </m:r>
      </m:oMath>
      <w:r w:rsidR="00D15EB4">
        <w:t>,</w:t>
      </w:r>
      <m:oMath>
        <m:sSub>
          <m:sSubPr>
            <m:ctrlPr>
              <w:rPr>
                <w:rFonts w:ascii="Cambria Math" w:hAnsi="Cambria Math"/>
                <w:lang w:val="en-US"/>
              </w:rPr>
            </m:ctrlPr>
          </m:sSubPr>
          <m:e>
            <m:r>
              <w:rPr>
                <w:rFonts w:ascii="Cambria Math" w:hAnsi="Cambria Math"/>
                <w:lang w:val="en-US"/>
              </w:rPr>
              <m:t xml:space="preserve"> μ</m:t>
            </m:r>
          </m:e>
          <m:sub>
            <m:r>
              <m:rPr>
                <m:sty m:val="p"/>
              </m:rPr>
              <w:rPr>
                <w:rFonts w:ascii="Cambria Math" w:hAnsi="Cambria Math"/>
                <w:lang w:val="en-US" w:eastAsia="zh-CN"/>
              </w:rPr>
              <m:t>ref</m:t>
            </m:r>
          </m:sub>
        </m:sSub>
        <m:r>
          <m:rPr>
            <m:sty m:val="p"/>
          </m:rPr>
          <w:rPr>
            <w:rFonts w:ascii="Cambria Math" w:hAnsi="Cambria Math"/>
            <w:lang w:val="en-US"/>
          </w:rPr>
          <m:t>=5</m:t>
        </m:r>
        <m:r>
          <m:rPr>
            <m:sty m:val="p"/>
          </m:rPr>
          <w:rPr>
            <w:rFonts w:ascii="Cambria Math" w:hAnsi="Cambria Math"/>
            <w:lang w:val="en-US" w:eastAsia="zh-CN"/>
          </w:rPr>
          <m:t xml:space="preserve"> </m:t>
        </m:r>
        <m:sSub>
          <m:sSubPr>
            <m:ctrlPr>
              <w:rPr>
                <w:rFonts w:ascii="Cambria Math" w:hAnsi="Cambria Math"/>
                <w:lang w:val="en-US"/>
              </w:rPr>
            </m:ctrlPr>
          </m:sSubPr>
          <m:e>
            <m:r>
              <w:rPr>
                <w:rFonts w:ascii="Cambria Math" w:hAnsi="Cambria Math"/>
                <w:lang w:val="en-US"/>
              </w:rPr>
              <m:t>or μ</m:t>
            </m:r>
          </m:e>
          <m:sub>
            <m:r>
              <m:rPr>
                <m:sty m:val="p"/>
              </m:rPr>
              <w:rPr>
                <w:rFonts w:ascii="Cambria Math" w:hAnsi="Cambria Math"/>
                <w:lang w:val="en-US" w:eastAsia="zh-CN"/>
              </w:rPr>
              <m:t>ref</m:t>
            </m:r>
          </m:sub>
        </m:sSub>
        <m:r>
          <m:rPr>
            <m:sty m:val="p"/>
          </m:rPr>
          <w:rPr>
            <w:rFonts w:ascii="Cambria Math" w:hAnsi="Cambria Math"/>
            <w:lang w:val="en-US"/>
          </w:rPr>
          <m:t>=6</m:t>
        </m:r>
      </m:oMath>
      <w:r w:rsidRPr="00A40704">
        <w:t>.</w:t>
      </w:r>
      <w:r w:rsidR="00D15EB4">
        <w:rPr>
          <w:lang w:val="en-GB"/>
        </w:rPr>
        <w:t xml:space="preserve"> </w:t>
      </w:r>
      <w:r w:rsidR="00D15EB4" w:rsidRPr="0023541F">
        <w:t>A value</w:t>
      </w:r>
      <w:r w:rsidR="00D15EB4">
        <w:t xml:space="preserve"> </w:t>
      </w:r>
      <w:r w:rsidR="00D15EB4" w:rsidRPr="00531D5A">
        <w:rPr>
          <w:i/>
        </w:rPr>
        <w:t>P</w:t>
      </w:r>
      <w:r w:rsidR="00D15EB4">
        <w:t xml:space="preserve"> </w:t>
      </w:r>
      <w:r w:rsidR="00D15EB4" w:rsidRPr="00531D5A">
        <w:t>=10</w:t>
      </w:r>
      <w:r w:rsidR="00D15EB4" w:rsidRPr="0023541F">
        <w:t xml:space="preserve"> msec is valid only for </w:t>
      </w:r>
      <m:oMath>
        <m:sSub>
          <m:sSubPr>
            <m:ctrlPr>
              <w:rPr>
                <w:rFonts w:ascii="Cambria Math" w:hAnsi="Cambria Math"/>
                <w:sz w:val="24"/>
                <w:szCs w:val="24"/>
              </w:rPr>
            </m:ctrlPr>
          </m:sSubPr>
          <m:e>
            <m:r>
              <w:rPr>
                <w:rFonts w:ascii="Cambria Math" w:hAnsi="Cambria Math"/>
              </w:rPr>
              <m:t xml:space="preserve"> μ</m:t>
            </m:r>
          </m:e>
          <m:sub>
            <m:r>
              <m:rPr>
                <m:sty m:val="p"/>
              </m:rPr>
              <w:rPr>
                <w:rFonts w:ascii="Cambria Math" w:hAnsi="Cambria Math"/>
                <w:lang w:eastAsia="zh-CN"/>
              </w:rPr>
              <m:t>ref</m:t>
            </m:r>
          </m:sub>
        </m:sSub>
        <m:r>
          <m:rPr>
            <m:sty m:val="p"/>
          </m:rPr>
          <w:rPr>
            <w:rFonts w:ascii="Cambria Math" w:hAnsi="Cambria Math"/>
          </w:rPr>
          <m:t>=0</m:t>
        </m:r>
      </m:oMath>
      <w:r w:rsidR="00D15EB4">
        <w:t>,</w:t>
      </w:r>
      <w:r w:rsidR="00D15EB4" w:rsidRPr="00D15EB4">
        <w:rPr>
          <w:rFonts w:ascii="Cambria Math" w:hAnsi="Cambria Math"/>
          <w:lang w:val="en-US"/>
        </w:rPr>
        <w:t xml:space="preserve"> </w:t>
      </w:r>
      <m:oMath>
        <m:sSub>
          <m:sSubPr>
            <m:ctrlPr>
              <w:rPr>
                <w:rFonts w:ascii="Cambria Math" w:hAnsi="Cambria Math"/>
                <w:lang w:val="en-US"/>
              </w:rPr>
            </m:ctrlPr>
          </m:sSubPr>
          <m:e>
            <m:r>
              <w:rPr>
                <w:rFonts w:ascii="Cambria Math" w:hAnsi="Cambria Math"/>
                <w:lang w:val="en-US"/>
              </w:rPr>
              <m:t xml:space="preserve"> μ</m:t>
            </m:r>
          </m:e>
          <m:sub>
            <m:r>
              <m:rPr>
                <m:sty m:val="p"/>
              </m:rPr>
              <w:rPr>
                <w:rFonts w:ascii="Cambria Math" w:hAnsi="Cambria Math"/>
                <w:lang w:val="en-US" w:eastAsia="zh-CN"/>
              </w:rPr>
              <m:t>ref</m:t>
            </m:r>
          </m:sub>
        </m:sSub>
        <m:r>
          <m:rPr>
            <m:sty m:val="p"/>
          </m:rPr>
          <w:rPr>
            <w:rFonts w:ascii="Cambria Math" w:hAnsi="Cambria Math"/>
            <w:lang w:val="en-US"/>
          </w:rPr>
          <m:t xml:space="preserve">=1, </m:t>
        </m:r>
        <m:sSub>
          <m:sSubPr>
            <m:ctrlPr>
              <w:rPr>
                <w:rFonts w:ascii="Cambria Math" w:hAnsi="Cambria Math"/>
                <w:lang w:val="en-US"/>
              </w:rPr>
            </m:ctrlPr>
          </m:sSubPr>
          <m:e>
            <m:r>
              <w:rPr>
                <w:rFonts w:ascii="Cambria Math" w:hAnsi="Cambria Math"/>
                <w:lang w:val="en-US"/>
              </w:rPr>
              <m:t xml:space="preserve"> μ</m:t>
            </m:r>
          </m:e>
          <m:sub>
            <m:r>
              <m:rPr>
                <m:sty m:val="p"/>
              </m:rPr>
              <w:rPr>
                <w:rFonts w:ascii="Cambria Math" w:hAnsi="Cambria Math"/>
                <w:lang w:val="en-US" w:eastAsia="zh-CN"/>
              </w:rPr>
              <m:t>ref</m:t>
            </m:r>
          </m:sub>
        </m:sSub>
        <m:r>
          <m:rPr>
            <m:sty m:val="p"/>
          </m:rPr>
          <w:rPr>
            <w:rFonts w:ascii="Cambria Math" w:hAnsi="Cambria Math"/>
            <w:lang w:val="en-US"/>
          </w:rPr>
          <m:t xml:space="preserve">=2, </m:t>
        </m:r>
        <m:sSub>
          <m:sSubPr>
            <m:ctrlPr>
              <w:rPr>
                <w:rFonts w:ascii="Cambria Math" w:hAnsi="Cambria Math"/>
                <w:lang w:val="en-US"/>
              </w:rPr>
            </m:ctrlPr>
          </m:sSubPr>
          <m:e>
            <m:r>
              <w:rPr>
                <w:rFonts w:ascii="Cambria Math" w:hAnsi="Cambria Math"/>
                <w:lang w:val="en-US"/>
              </w:rPr>
              <m:t xml:space="preserve"> μ</m:t>
            </m:r>
          </m:e>
          <m:sub>
            <m:r>
              <m:rPr>
                <m:sty m:val="p"/>
              </m:rPr>
              <w:rPr>
                <w:rFonts w:ascii="Cambria Math" w:hAnsi="Cambria Math"/>
                <w:lang w:val="en-US" w:eastAsia="zh-CN"/>
              </w:rPr>
              <m:t>ref</m:t>
            </m:r>
          </m:sub>
        </m:sSub>
        <m:r>
          <m:rPr>
            <m:sty m:val="p"/>
          </m:rPr>
          <w:rPr>
            <w:rFonts w:ascii="Cambria Math" w:hAnsi="Cambria Math"/>
            <w:lang w:val="en-US"/>
          </w:rPr>
          <m:t>=3</m:t>
        </m:r>
      </m:oMath>
      <w:r w:rsidR="00D15EB4">
        <w:t xml:space="preserve"> </w:t>
      </w:r>
      <w:r w:rsidR="00D15EB4">
        <w:rPr>
          <w:noProof/>
        </w:rPr>
        <w:t xml:space="preserve">or </w:t>
      </w:r>
      <m:oMath>
        <m:sSub>
          <m:sSubPr>
            <m:ctrlPr>
              <w:rPr>
                <w:rFonts w:ascii="Cambria Math" w:hAnsi="Cambria Math"/>
                <w:sz w:val="24"/>
                <w:szCs w:val="24"/>
              </w:rPr>
            </m:ctrlPr>
          </m:sSubPr>
          <m:e>
            <m:r>
              <w:rPr>
                <w:rFonts w:ascii="Cambria Math" w:hAnsi="Cambria Math"/>
              </w:rPr>
              <m:t xml:space="preserve"> μ</m:t>
            </m:r>
          </m:e>
          <m:sub>
            <m:r>
              <m:rPr>
                <m:sty m:val="p"/>
              </m:rPr>
              <w:rPr>
                <w:rFonts w:ascii="Cambria Math" w:hAnsi="Cambria Math"/>
                <w:lang w:eastAsia="zh-CN"/>
              </w:rPr>
              <m:t>ref</m:t>
            </m:r>
          </m:sub>
        </m:sSub>
        <m:r>
          <m:rPr>
            <m:sty m:val="p"/>
          </m:rPr>
          <w:rPr>
            <w:rFonts w:ascii="Cambria Math" w:hAnsi="Cambria Math"/>
          </w:rPr>
          <m:t>=5</m:t>
        </m:r>
        <m:r>
          <m:rPr>
            <m:sty m:val="p"/>
          </m:rPr>
          <w:rPr>
            <w:rFonts w:ascii="Cambria Math" w:hAnsi="Cambria Math"/>
            <w:lang w:eastAsia="zh-CN"/>
          </w:rPr>
          <m:t xml:space="preserve"> </m:t>
        </m:r>
      </m:oMath>
      <w:r w:rsidR="00D15EB4" w:rsidRPr="0023541F">
        <w:t>.</w:t>
      </w:r>
    </w:p>
    <w:p w14:paraId="1A206C01" w14:textId="25A3AF64" w:rsidR="006B7B72" w:rsidRDefault="006B7B72" w:rsidP="006B7B72">
      <w:pPr>
        <w:tabs>
          <w:tab w:val="left" w:pos="720"/>
        </w:tabs>
      </w:pPr>
      <w:r>
        <w:rPr>
          <w:lang w:val="en-US"/>
        </w:rPr>
        <w:t xml:space="preserve">A </w:t>
      </w:r>
      <w:r>
        <w:rPr>
          <w:lang w:val="en-US" w:eastAsia="zh-CN"/>
        </w:rPr>
        <w:t>slot</w:t>
      </w:r>
      <w:r w:rsidRPr="00190444">
        <w:rPr>
          <w:lang w:val="en-US" w:eastAsia="zh-CN"/>
        </w:rPr>
        <w:t xml:space="preserve"> configuration</w:t>
      </w:r>
      <w:r>
        <w:rPr>
          <w:lang w:val="en-US" w:eastAsia="zh-CN"/>
        </w:rPr>
        <w:t xml:space="preserve"> period of </w:t>
      </w:r>
      <w:r w:rsidR="00ED3701">
        <w:rPr>
          <w:noProof/>
          <w:position w:val="-4"/>
        </w:rPr>
        <w:drawing>
          <wp:inline distT="0" distB="0" distL="0" distR="0" wp14:anchorId="7EC874D7" wp14:editId="02FC5709">
            <wp:extent cx="180975" cy="161925"/>
            <wp:effectExtent l="0" t="0" r="0" b="0"/>
            <wp:docPr id="199"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80975" cy="161925"/>
                    </a:xfrm>
                    <a:prstGeom prst="rect">
                      <a:avLst/>
                    </a:prstGeom>
                    <a:noFill/>
                    <a:ln>
                      <a:noFill/>
                    </a:ln>
                  </pic:spPr>
                </pic:pic>
              </a:graphicData>
            </a:graphic>
          </wp:inline>
        </w:drawing>
      </w:r>
      <w:r w:rsidRPr="00190444">
        <w:rPr>
          <w:lang w:val="en-US" w:eastAsia="zh-CN"/>
        </w:rPr>
        <w:t xml:space="preserve"> </w:t>
      </w:r>
      <w:r>
        <w:rPr>
          <w:lang w:val="en-US" w:eastAsia="zh-CN"/>
        </w:rPr>
        <w:t xml:space="preserve">msec includes </w:t>
      </w:r>
      <w:r w:rsidR="00ED3701">
        <w:rPr>
          <w:noProof/>
          <w:position w:val="-6"/>
        </w:rPr>
        <w:drawing>
          <wp:inline distT="0" distB="0" distL="0" distR="0" wp14:anchorId="6B375184" wp14:editId="072DE365">
            <wp:extent cx="561975" cy="190500"/>
            <wp:effectExtent l="0" t="0" r="0" b="0"/>
            <wp:docPr id="20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61975" cy="190500"/>
                    </a:xfrm>
                    <a:prstGeom prst="rect">
                      <a:avLst/>
                    </a:prstGeom>
                    <a:noFill/>
                    <a:ln>
                      <a:noFill/>
                    </a:ln>
                  </pic:spPr>
                </pic:pic>
              </a:graphicData>
            </a:graphic>
          </wp:inline>
        </w:drawing>
      </w:r>
      <w:r>
        <w:rPr>
          <w:lang w:val="en-US" w:eastAsia="zh-CN"/>
        </w:rPr>
        <w:t xml:space="preserve"> </w:t>
      </w:r>
      <w:r>
        <w:rPr>
          <w:lang w:val="en-US"/>
        </w:rPr>
        <w:t xml:space="preserve">slots with SCS configuration </w:t>
      </w:r>
      <w:r w:rsidR="00ED3701">
        <w:rPr>
          <w:noProof/>
          <w:position w:val="-10"/>
        </w:rPr>
        <w:drawing>
          <wp:inline distT="0" distB="0" distL="0" distR="0" wp14:anchorId="443F2712" wp14:editId="6C0CB56D">
            <wp:extent cx="276225" cy="238125"/>
            <wp:effectExtent l="0" t="0" r="0" b="0"/>
            <wp:docPr id="201"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Pr>
          <w:lang w:val="en-US"/>
        </w:rPr>
        <w:t xml:space="preserve">. From the </w:t>
      </w:r>
      <w:r w:rsidR="00ED3701">
        <w:rPr>
          <w:noProof/>
          <w:position w:val="-6"/>
        </w:rPr>
        <w:drawing>
          <wp:inline distT="0" distB="0" distL="0" distR="0" wp14:anchorId="45CAA997" wp14:editId="0AC54916">
            <wp:extent cx="180975" cy="161925"/>
            <wp:effectExtent l="0" t="0" r="0" b="0"/>
            <wp:docPr id="202"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80975" cy="161925"/>
                    </a:xfrm>
                    <a:prstGeom prst="rect">
                      <a:avLst/>
                    </a:prstGeom>
                    <a:noFill/>
                    <a:ln>
                      <a:noFill/>
                    </a:ln>
                  </pic:spPr>
                </pic:pic>
              </a:graphicData>
            </a:graphic>
          </wp:inline>
        </w:drawing>
      </w:r>
      <w:r>
        <w:t xml:space="preserve"> slots, a </w:t>
      </w:r>
      <w:r>
        <w:rPr>
          <w:lang w:val="en-US"/>
        </w:rPr>
        <w:t xml:space="preserve">first </w:t>
      </w:r>
      <w:r w:rsidR="00ED3701">
        <w:rPr>
          <w:noProof/>
          <w:position w:val="-10"/>
        </w:rPr>
        <w:drawing>
          <wp:inline distT="0" distB="0" distL="0" distR="0" wp14:anchorId="0AD8EDB6" wp14:editId="4140BD29">
            <wp:extent cx="276225" cy="238125"/>
            <wp:effectExtent l="0" t="0" r="0" b="0"/>
            <wp:docPr id="20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t xml:space="preserve"> slots include only downlink symbols</w:t>
      </w:r>
      <w:r>
        <w:rPr>
          <w:lang w:val="en-US"/>
        </w:rPr>
        <w:t xml:space="preserve"> and a last </w:t>
      </w:r>
      <w:r w:rsidR="00ED3701">
        <w:rPr>
          <w:noProof/>
          <w:position w:val="-10"/>
        </w:rPr>
        <w:drawing>
          <wp:inline distT="0" distB="0" distL="0" distR="0" wp14:anchorId="3F240927" wp14:editId="40749826">
            <wp:extent cx="276225" cy="238125"/>
            <wp:effectExtent l="0" t="0" r="0" b="0"/>
            <wp:docPr id="20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t xml:space="preserve"> slots include only uplink symbols. </w:t>
      </w:r>
      <w:r>
        <w:rPr>
          <w:lang w:val="en-US"/>
        </w:rPr>
        <w:t xml:space="preserve">The </w:t>
      </w:r>
      <w:r w:rsidR="00ED3701">
        <w:rPr>
          <w:noProof/>
          <w:position w:val="-12"/>
        </w:rPr>
        <w:drawing>
          <wp:inline distT="0" distB="0" distL="0" distR="0" wp14:anchorId="647FF32F" wp14:editId="7159FA37">
            <wp:extent cx="276225" cy="238125"/>
            <wp:effectExtent l="0" t="0" r="0" b="0"/>
            <wp:docPr id="205"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Pr>
          <w:lang w:val="en-US"/>
        </w:rPr>
        <w:t xml:space="preserve"> symbols after the first </w:t>
      </w:r>
      <w:r w:rsidR="00ED3701">
        <w:rPr>
          <w:noProof/>
          <w:position w:val="-10"/>
        </w:rPr>
        <w:drawing>
          <wp:inline distT="0" distB="0" distL="0" distR="0" wp14:anchorId="1BA13FFF" wp14:editId="71085057">
            <wp:extent cx="276225" cy="238125"/>
            <wp:effectExtent l="0" t="0" r="0" b="0"/>
            <wp:docPr id="20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Pr>
          <w:lang w:val="en-US"/>
        </w:rPr>
        <w:t xml:space="preserve"> slots are downlink symbols. The </w:t>
      </w:r>
      <w:r w:rsidR="00ED3701">
        <w:rPr>
          <w:noProof/>
          <w:position w:val="-12"/>
        </w:rPr>
        <w:drawing>
          <wp:inline distT="0" distB="0" distL="0" distR="0" wp14:anchorId="1420DF06" wp14:editId="3BF3753D">
            <wp:extent cx="238125" cy="238125"/>
            <wp:effectExtent l="0" t="0" r="0" b="0"/>
            <wp:docPr id="20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Pr>
          <w:lang w:val="en-US"/>
        </w:rPr>
        <w:t xml:space="preserve"> symbols before the last </w:t>
      </w:r>
      <w:r w:rsidR="00ED3701">
        <w:rPr>
          <w:noProof/>
          <w:position w:val="-10"/>
        </w:rPr>
        <w:drawing>
          <wp:inline distT="0" distB="0" distL="0" distR="0" wp14:anchorId="4C18A44C" wp14:editId="260FDE81">
            <wp:extent cx="276225" cy="238125"/>
            <wp:effectExtent l="0" t="0" r="0" b="0"/>
            <wp:docPr id="20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Pr>
          <w:lang w:val="en-US"/>
        </w:rPr>
        <w:t xml:space="preserve"> slots are uplink symbols. The remaining </w:t>
      </w:r>
      <w:r w:rsidR="00ED3701">
        <w:rPr>
          <w:noProof/>
          <w:position w:val="-12"/>
        </w:rPr>
        <w:drawing>
          <wp:inline distT="0" distB="0" distL="0" distR="0" wp14:anchorId="6863DD82" wp14:editId="1D94EB37">
            <wp:extent cx="1647825" cy="238125"/>
            <wp:effectExtent l="0" t="0" r="0" b="0"/>
            <wp:docPr id="20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647825" cy="238125"/>
                    </a:xfrm>
                    <a:prstGeom prst="rect">
                      <a:avLst/>
                    </a:prstGeom>
                    <a:noFill/>
                    <a:ln>
                      <a:noFill/>
                    </a:ln>
                  </pic:spPr>
                </pic:pic>
              </a:graphicData>
            </a:graphic>
          </wp:inline>
        </w:drawing>
      </w:r>
      <w:r>
        <w:t xml:space="preserve"> are flexible symbols. </w:t>
      </w:r>
    </w:p>
    <w:p w14:paraId="68DC27D2" w14:textId="109C4B39" w:rsidR="006B7B72" w:rsidRDefault="006B7B72" w:rsidP="006B7B72">
      <w:pPr>
        <w:tabs>
          <w:tab w:val="left" w:pos="720"/>
        </w:tabs>
        <w:rPr>
          <w:lang w:val="en-US"/>
        </w:rPr>
      </w:pPr>
      <w:r>
        <w:rPr>
          <w:lang w:val="en-US"/>
        </w:rPr>
        <w:t xml:space="preserve">The first symbol every </w:t>
      </w:r>
      <w:r w:rsidR="00ED3701">
        <w:rPr>
          <w:noProof/>
          <w:position w:val="-10"/>
        </w:rPr>
        <w:drawing>
          <wp:inline distT="0" distB="0" distL="0" distR="0" wp14:anchorId="5A35C5A0" wp14:editId="1BCC8879">
            <wp:extent cx="276225" cy="180975"/>
            <wp:effectExtent l="0" t="0" r="0" b="0"/>
            <wp:docPr id="21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t xml:space="preserve"> </w:t>
      </w:r>
      <w:r>
        <w:rPr>
          <w:lang w:val="en-US"/>
        </w:rPr>
        <w:t>periods is a first symbol in an even frame.</w:t>
      </w:r>
    </w:p>
    <w:p w14:paraId="60F08BBD" w14:textId="77777777" w:rsidR="006B7B72" w:rsidRDefault="006B7B72" w:rsidP="006B7B72">
      <w:pPr>
        <w:pStyle w:val="B1"/>
        <w:ind w:left="0" w:firstLine="0"/>
      </w:pPr>
      <w:r w:rsidRPr="00857581">
        <w:t>If</w:t>
      </w:r>
      <w:r w:rsidR="00DE1E44">
        <w:rPr>
          <w:lang w:val="en-US"/>
        </w:rPr>
        <w:t xml:space="preserve"> </w:t>
      </w:r>
      <w:r w:rsidR="00445F81">
        <w:rPr>
          <w:i/>
          <w:lang w:val="en-US"/>
        </w:rPr>
        <w:t>tdd</w:t>
      </w:r>
      <w:r w:rsidRPr="00942A15">
        <w:rPr>
          <w:i/>
          <w:lang w:val="en-US"/>
        </w:rPr>
        <w:t>-</w:t>
      </w:r>
      <w:r w:rsidRPr="00B916EC">
        <w:rPr>
          <w:i/>
        </w:rPr>
        <w:t>UL-DL-</w:t>
      </w:r>
      <w:r>
        <w:rPr>
          <w:i/>
          <w:lang w:val="en-US"/>
        </w:rPr>
        <w:t>C</w:t>
      </w:r>
      <w:r w:rsidRPr="00B916EC">
        <w:rPr>
          <w:i/>
        </w:rPr>
        <w:t>onfiguration</w:t>
      </w:r>
      <w:r>
        <w:rPr>
          <w:i/>
          <w:lang w:val="en-US"/>
        </w:rPr>
        <w:t>C</w:t>
      </w:r>
      <w:r>
        <w:rPr>
          <w:i/>
        </w:rPr>
        <w:t>ommon</w:t>
      </w:r>
      <w:r w:rsidRPr="00857581">
        <w:t xml:space="preserve"> provide</w:t>
      </w:r>
      <w:r>
        <w:rPr>
          <w:lang w:val="en-US"/>
        </w:rPr>
        <w:t>s both</w:t>
      </w:r>
      <w:r w:rsidRPr="00857581">
        <w:t xml:space="preserve"> </w:t>
      </w:r>
      <w:r>
        <w:rPr>
          <w:i/>
          <w:lang w:val="en-US"/>
        </w:rPr>
        <w:t>pattern1</w:t>
      </w:r>
      <w:r w:rsidRPr="00857581">
        <w:t xml:space="preserve"> and </w:t>
      </w:r>
      <w:r>
        <w:rPr>
          <w:i/>
          <w:lang w:val="en-US"/>
        </w:rPr>
        <w:t>pattern2</w:t>
      </w:r>
      <w:r w:rsidRPr="00857581">
        <w:t xml:space="preserve">, the UE sets the slot format per slot over a first number of slots as indicated by </w:t>
      </w:r>
      <w:r>
        <w:rPr>
          <w:i/>
          <w:lang w:val="en-US"/>
        </w:rPr>
        <w:t>pattern1</w:t>
      </w:r>
      <w:r w:rsidRPr="00857581">
        <w:t xml:space="preserve"> and the UE sets the slot format per slot over a second number of slots as indicated by</w:t>
      </w:r>
      <w:r w:rsidRPr="00857581">
        <w:rPr>
          <w:i/>
        </w:rPr>
        <w:t xml:space="preserve"> </w:t>
      </w:r>
      <w:r>
        <w:rPr>
          <w:i/>
          <w:lang w:val="en-US"/>
        </w:rPr>
        <w:t>pattern2</w:t>
      </w:r>
      <w:r w:rsidRPr="00857581">
        <w:t>.</w:t>
      </w:r>
      <w:r>
        <w:t xml:space="preserve"> </w:t>
      </w:r>
    </w:p>
    <w:p w14:paraId="072DB372" w14:textId="77777777" w:rsidR="006B7B72" w:rsidRDefault="006B7B72" w:rsidP="006B7B72">
      <w:pPr>
        <w:pStyle w:val="B1"/>
        <w:ind w:left="0" w:firstLine="0"/>
      </w:pPr>
      <w:r w:rsidRPr="00857581">
        <w:t xml:space="preserve">The </w:t>
      </w:r>
      <w:r>
        <w:rPr>
          <w:i/>
          <w:lang w:val="en-US"/>
        </w:rPr>
        <w:t>pattern2</w:t>
      </w:r>
      <w:r w:rsidRPr="00857581">
        <w:t xml:space="preserve"> provides</w:t>
      </w:r>
    </w:p>
    <w:p w14:paraId="7F49D176" w14:textId="1965A52E" w:rsidR="006B7B72" w:rsidRPr="005025FB" w:rsidRDefault="006B7B72" w:rsidP="006B7B72">
      <w:pPr>
        <w:pStyle w:val="B2"/>
        <w:ind w:left="0" w:firstLine="284"/>
      </w:pPr>
      <w:r>
        <w:rPr>
          <w:lang w:eastAsia="zh-CN"/>
        </w:rPr>
        <w:t>-</w:t>
      </w:r>
      <w:r>
        <w:rPr>
          <w:lang w:eastAsia="zh-CN"/>
        </w:rPr>
        <w:tab/>
      </w:r>
      <w:r>
        <w:rPr>
          <w:lang w:val="en-US" w:eastAsia="zh-CN"/>
        </w:rPr>
        <w:t>a</w:t>
      </w:r>
      <w:r w:rsidRPr="00190444">
        <w:rPr>
          <w:lang w:val="en-US" w:eastAsia="zh-CN"/>
        </w:rPr>
        <w:t xml:space="preserve"> </w:t>
      </w:r>
      <w:r>
        <w:rPr>
          <w:lang w:val="en-US" w:eastAsia="zh-CN"/>
        </w:rPr>
        <w:t>slot</w:t>
      </w:r>
      <w:r w:rsidRPr="00190444">
        <w:rPr>
          <w:lang w:val="en-US" w:eastAsia="zh-CN"/>
        </w:rPr>
        <w:t xml:space="preserve"> configuration</w:t>
      </w:r>
      <w:r>
        <w:rPr>
          <w:lang w:val="en-US" w:eastAsia="zh-CN"/>
        </w:rPr>
        <w:t xml:space="preserve"> period of </w:t>
      </w:r>
      <w:r w:rsidR="00ED3701">
        <w:rPr>
          <w:noProof/>
          <w:position w:val="-10"/>
        </w:rPr>
        <w:drawing>
          <wp:inline distT="0" distB="0" distL="0" distR="0" wp14:anchorId="5BEB7F90" wp14:editId="38BF2E72">
            <wp:extent cx="161925" cy="180975"/>
            <wp:effectExtent l="0" t="0" r="0" b="0"/>
            <wp:docPr id="21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rsidRPr="00190444">
        <w:rPr>
          <w:lang w:val="en-US" w:eastAsia="zh-CN"/>
        </w:rPr>
        <w:t xml:space="preserve"> </w:t>
      </w:r>
      <w:r>
        <w:rPr>
          <w:lang w:val="en-US" w:eastAsia="zh-CN"/>
        </w:rPr>
        <w:t>msec by</w:t>
      </w:r>
      <w:r w:rsidR="00DE1E44">
        <w:rPr>
          <w:lang w:val="en-US" w:eastAsia="zh-CN"/>
        </w:rPr>
        <w:t xml:space="preserve"> </w:t>
      </w:r>
      <w:r w:rsidRPr="005025FB">
        <w:rPr>
          <w:i/>
        </w:rPr>
        <w:t>dl-UL-TransmissionPeriodicity</w:t>
      </w:r>
    </w:p>
    <w:p w14:paraId="4DF58CC9" w14:textId="59EC52DA" w:rsidR="006B7B72" w:rsidRPr="005B02FE" w:rsidRDefault="006B7B72" w:rsidP="006B7B72">
      <w:pPr>
        <w:pStyle w:val="B2"/>
        <w:ind w:left="0" w:firstLine="284"/>
      </w:pPr>
      <w:r>
        <w:t>-</w:t>
      </w:r>
      <w:r>
        <w:tab/>
      </w:r>
      <w:r>
        <w:rPr>
          <w:lang w:val="en-US"/>
        </w:rPr>
        <w:t>a number of</w:t>
      </w:r>
      <w:r w:rsidRPr="005025FB">
        <w:rPr>
          <w:lang w:val="en-US"/>
        </w:rPr>
        <w:t xml:space="preserve"> slots</w:t>
      </w:r>
      <w:r>
        <w:rPr>
          <w:lang w:val="en-US"/>
        </w:rPr>
        <w:t xml:space="preserve"> </w:t>
      </w:r>
      <w:r w:rsidR="00ED3701">
        <w:rPr>
          <w:noProof/>
          <w:position w:val="-12"/>
        </w:rPr>
        <w:drawing>
          <wp:inline distT="0" distB="0" distL="0" distR="0" wp14:anchorId="74899B7D" wp14:editId="7B5729D2">
            <wp:extent cx="342900" cy="238125"/>
            <wp:effectExtent l="0" t="0" r="0" b="0"/>
            <wp:docPr id="21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42900" cy="238125"/>
                    </a:xfrm>
                    <a:prstGeom prst="rect">
                      <a:avLst/>
                    </a:prstGeom>
                    <a:noFill/>
                    <a:ln>
                      <a:noFill/>
                    </a:ln>
                  </pic:spPr>
                </pic:pic>
              </a:graphicData>
            </a:graphic>
          </wp:inline>
        </w:drawing>
      </w:r>
      <w:r>
        <w:rPr>
          <w:lang w:val="en-US"/>
        </w:rPr>
        <w:t xml:space="preserve"> with only downlink symbols by</w:t>
      </w:r>
      <w:r w:rsidR="00DE1E44">
        <w:rPr>
          <w:lang w:val="en-US"/>
        </w:rPr>
        <w:t xml:space="preserve"> </w:t>
      </w:r>
      <w:r w:rsidRPr="00B3446E">
        <w:rPr>
          <w:i/>
        </w:rPr>
        <w:t>nrofDownlinkSlots</w:t>
      </w:r>
    </w:p>
    <w:p w14:paraId="6026CAAB" w14:textId="3DD6D872" w:rsidR="006B7B72" w:rsidRPr="00262ACA" w:rsidRDefault="006B7B72" w:rsidP="006B7B72">
      <w:pPr>
        <w:pStyle w:val="B2"/>
        <w:ind w:left="0" w:firstLine="284"/>
      </w:pPr>
      <w:r>
        <w:t>-</w:t>
      </w:r>
      <w:r>
        <w:tab/>
      </w:r>
      <w:r>
        <w:rPr>
          <w:lang w:val="en-US"/>
        </w:rPr>
        <w:t>a</w:t>
      </w:r>
      <w:r w:rsidRPr="005B02FE">
        <w:rPr>
          <w:lang w:val="en-US"/>
        </w:rPr>
        <w:t xml:space="preserve"> number of downlink symbols</w:t>
      </w:r>
      <w:r>
        <w:rPr>
          <w:lang w:val="en-US"/>
        </w:rPr>
        <w:t xml:space="preserve"> </w:t>
      </w:r>
      <w:r w:rsidR="00ED3701">
        <w:rPr>
          <w:noProof/>
          <w:position w:val="-12"/>
        </w:rPr>
        <w:drawing>
          <wp:inline distT="0" distB="0" distL="0" distR="0" wp14:anchorId="5E1F04FE" wp14:editId="24111171">
            <wp:extent cx="342900" cy="238125"/>
            <wp:effectExtent l="0" t="0" r="0" b="0"/>
            <wp:docPr id="21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42900" cy="238125"/>
                    </a:xfrm>
                    <a:prstGeom prst="rect">
                      <a:avLst/>
                    </a:prstGeom>
                    <a:noFill/>
                    <a:ln>
                      <a:noFill/>
                    </a:ln>
                  </pic:spPr>
                </pic:pic>
              </a:graphicData>
            </a:graphic>
          </wp:inline>
        </w:drawing>
      </w:r>
      <w:r>
        <w:rPr>
          <w:lang w:val="en-US"/>
        </w:rPr>
        <w:t xml:space="preserve"> by</w:t>
      </w:r>
      <w:r w:rsidR="00DE1E44">
        <w:rPr>
          <w:lang w:val="en-US"/>
        </w:rPr>
        <w:t xml:space="preserve"> </w:t>
      </w:r>
      <w:r w:rsidRPr="005B02FE">
        <w:rPr>
          <w:i/>
        </w:rPr>
        <w:t>nrofDownlinkSymbols</w:t>
      </w:r>
    </w:p>
    <w:p w14:paraId="4B39DF2F" w14:textId="23441CCC" w:rsidR="006B7B72" w:rsidRPr="00262ACA" w:rsidRDefault="006B7B72" w:rsidP="006B7B72">
      <w:pPr>
        <w:pStyle w:val="B2"/>
        <w:ind w:left="0" w:firstLine="284"/>
      </w:pPr>
      <w:r>
        <w:t>-</w:t>
      </w:r>
      <w:r>
        <w:tab/>
      </w:r>
      <w:r>
        <w:rPr>
          <w:lang w:val="en-US"/>
        </w:rPr>
        <w:t xml:space="preserve">a number of </w:t>
      </w:r>
      <w:r w:rsidRPr="00262ACA">
        <w:rPr>
          <w:lang w:val="en-US"/>
        </w:rPr>
        <w:t xml:space="preserve">slots </w:t>
      </w:r>
      <w:r w:rsidR="00ED3701">
        <w:rPr>
          <w:noProof/>
          <w:position w:val="-12"/>
        </w:rPr>
        <w:drawing>
          <wp:inline distT="0" distB="0" distL="0" distR="0" wp14:anchorId="670F6468" wp14:editId="02F8F10C">
            <wp:extent cx="352425" cy="238125"/>
            <wp:effectExtent l="0" t="0" r="0" b="0"/>
            <wp:docPr id="21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52425" cy="238125"/>
                    </a:xfrm>
                    <a:prstGeom prst="rect">
                      <a:avLst/>
                    </a:prstGeom>
                    <a:noFill/>
                    <a:ln>
                      <a:noFill/>
                    </a:ln>
                  </pic:spPr>
                </pic:pic>
              </a:graphicData>
            </a:graphic>
          </wp:inline>
        </w:drawing>
      </w:r>
      <w:r>
        <w:rPr>
          <w:lang w:val="en-US"/>
        </w:rPr>
        <w:t xml:space="preserve"> with only uplink symbols by</w:t>
      </w:r>
      <w:r w:rsidR="00DE1E44">
        <w:rPr>
          <w:lang w:val="en-US"/>
        </w:rPr>
        <w:t xml:space="preserve"> </w:t>
      </w:r>
      <w:r w:rsidRPr="00262ACA">
        <w:rPr>
          <w:i/>
        </w:rPr>
        <w:t>nrofUplinkSlots</w:t>
      </w:r>
    </w:p>
    <w:p w14:paraId="0633D87B" w14:textId="67B27EF4" w:rsidR="006B7B72" w:rsidRPr="00262ACA" w:rsidRDefault="006B7B72" w:rsidP="006B7B72">
      <w:pPr>
        <w:pStyle w:val="B2"/>
        <w:ind w:left="0" w:firstLine="284"/>
      </w:pPr>
      <w:r>
        <w:t>-</w:t>
      </w:r>
      <w:r>
        <w:tab/>
      </w:r>
      <w:r>
        <w:rPr>
          <w:lang w:val="en-US"/>
        </w:rPr>
        <w:t xml:space="preserve">a </w:t>
      </w:r>
      <w:r w:rsidRPr="00262ACA">
        <w:rPr>
          <w:lang w:val="en-US"/>
        </w:rPr>
        <w:t>number of uplink symbols</w:t>
      </w:r>
      <w:r>
        <w:rPr>
          <w:lang w:val="en-US"/>
        </w:rPr>
        <w:t xml:space="preserve"> </w:t>
      </w:r>
      <w:r w:rsidR="00ED3701">
        <w:rPr>
          <w:noProof/>
          <w:position w:val="-12"/>
        </w:rPr>
        <w:drawing>
          <wp:inline distT="0" distB="0" distL="0" distR="0" wp14:anchorId="548BC558" wp14:editId="04F936A8">
            <wp:extent cx="276225" cy="238125"/>
            <wp:effectExtent l="0" t="0" r="0" b="0"/>
            <wp:docPr id="21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Pr="00262ACA">
        <w:rPr>
          <w:lang w:val="en-US"/>
        </w:rPr>
        <w:t xml:space="preserve"> </w:t>
      </w:r>
      <w:r>
        <w:rPr>
          <w:lang w:val="en-US"/>
        </w:rPr>
        <w:t>by</w:t>
      </w:r>
      <w:r w:rsidR="00DE1E44">
        <w:rPr>
          <w:lang w:val="en-US"/>
        </w:rPr>
        <w:t xml:space="preserve"> </w:t>
      </w:r>
      <w:r w:rsidRPr="00D44682">
        <w:rPr>
          <w:i/>
        </w:rPr>
        <w:t>nrofUplinkSymbols</w:t>
      </w:r>
    </w:p>
    <w:p w14:paraId="0E04A853" w14:textId="10B1567E" w:rsidR="006B7B72" w:rsidRPr="0053344E" w:rsidRDefault="006B7B72" w:rsidP="006B7B72">
      <w:pPr>
        <w:pStyle w:val="B1"/>
        <w:ind w:left="0" w:firstLine="0"/>
      </w:pPr>
      <w:r w:rsidRPr="0053344E">
        <w:t xml:space="preserve">The applicable values of </w:t>
      </w:r>
      <w:r w:rsidR="00ED3701">
        <w:rPr>
          <w:noProof/>
          <w:position w:val="-10"/>
        </w:rPr>
        <w:drawing>
          <wp:inline distT="0" distB="0" distL="0" distR="0" wp14:anchorId="111E9976" wp14:editId="444B1D56">
            <wp:extent cx="161925" cy="180975"/>
            <wp:effectExtent l="0" t="0" r="0" b="0"/>
            <wp:docPr id="21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rsidRPr="0053344E">
        <w:t xml:space="preserve"> are same as the applicable values for</w:t>
      </w:r>
      <w:r w:rsidRPr="0053344E">
        <w:rPr>
          <w:lang w:val="en-US"/>
        </w:rPr>
        <w:t xml:space="preserve"> </w:t>
      </w:r>
      <w:r w:rsidR="00ED3701">
        <w:rPr>
          <w:noProof/>
          <w:position w:val="-4"/>
        </w:rPr>
        <w:drawing>
          <wp:inline distT="0" distB="0" distL="0" distR="0" wp14:anchorId="5DF20B33" wp14:editId="179ED4C1">
            <wp:extent cx="180975" cy="161925"/>
            <wp:effectExtent l="0" t="0" r="0" b="0"/>
            <wp:docPr id="21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80975" cy="161925"/>
                    </a:xfrm>
                    <a:prstGeom prst="rect">
                      <a:avLst/>
                    </a:prstGeom>
                    <a:noFill/>
                    <a:ln>
                      <a:noFill/>
                    </a:ln>
                  </pic:spPr>
                </pic:pic>
              </a:graphicData>
            </a:graphic>
          </wp:inline>
        </w:drawing>
      </w:r>
      <w:r w:rsidRPr="0053344E">
        <w:t>.</w:t>
      </w:r>
    </w:p>
    <w:p w14:paraId="63BA301F" w14:textId="5466C6C7" w:rsidR="004E54AE" w:rsidRDefault="008D50F1" w:rsidP="004E54AE">
      <w:pPr>
        <w:tabs>
          <w:tab w:val="left" w:pos="720"/>
        </w:tabs>
        <w:rPr>
          <w:lang w:val="en-US"/>
        </w:rPr>
      </w:pPr>
      <w:r w:rsidRPr="004E54AE">
        <w:rPr>
          <w:lang w:val="en-US"/>
        </w:rPr>
        <w:t xml:space="preserve">A </w:t>
      </w:r>
      <w:r w:rsidRPr="004E54AE">
        <w:rPr>
          <w:lang w:val="en-US" w:eastAsia="zh-CN"/>
        </w:rPr>
        <w:t>slot</w:t>
      </w:r>
      <w:r w:rsidRPr="00190444">
        <w:rPr>
          <w:lang w:val="en-US" w:eastAsia="zh-CN"/>
        </w:rPr>
        <w:t xml:space="preserve"> configuration</w:t>
      </w:r>
      <w:r>
        <w:rPr>
          <w:lang w:val="en-US" w:eastAsia="zh-CN"/>
        </w:rPr>
        <w:t xml:space="preserve"> period of </w:t>
      </w:r>
      <w:r w:rsidR="00ED3701">
        <w:rPr>
          <w:noProof/>
          <w:position w:val="-10"/>
        </w:rPr>
        <w:drawing>
          <wp:inline distT="0" distB="0" distL="0" distR="0" wp14:anchorId="29A47A5F" wp14:editId="71A4A54F">
            <wp:extent cx="352425" cy="180975"/>
            <wp:effectExtent l="0" t="0" r="0" b="0"/>
            <wp:docPr id="21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52425" cy="180975"/>
                    </a:xfrm>
                    <a:prstGeom prst="rect">
                      <a:avLst/>
                    </a:prstGeom>
                    <a:noFill/>
                    <a:ln>
                      <a:noFill/>
                    </a:ln>
                  </pic:spPr>
                </pic:pic>
              </a:graphicData>
            </a:graphic>
          </wp:inline>
        </w:drawing>
      </w:r>
      <w:r w:rsidRPr="00190444">
        <w:rPr>
          <w:lang w:val="en-US" w:eastAsia="zh-CN"/>
        </w:rPr>
        <w:t xml:space="preserve"> </w:t>
      </w:r>
      <w:r>
        <w:rPr>
          <w:lang w:val="en-US" w:eastAsia="zh-CN"/>
        </w:rPr>
        <w:t xml:space="preserve">msec includes first </w:t>
      </w:r>
      <w:r w:rsidR="00ED3701">
        <w:rPr>
          <w:noProof/>
          <w:position w:val="-6"/>
        </w:rPr>
        <w:drawing>
          <wp:inline distT="0" distB="0" distL="0" distR="0" wp14:anchorId="25F755FF" wp14:editId="686C9DF9">
            <wp:extent cx="561975" cy="180975"/>
            <wp:effectExtent l="0" t="0" r="0" b="0"/>
            <wp:docPr id="21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61975" cy="180975"/>
                    </a:xfrm>
                    <a:prstGeom prst="rect">
                      <a:avLst/>
                    </a:prstGeom>
                    <a:noFill/>
                    <a:ln>
                      <a:noFill/>
                    </a:ln>
                  </pic:spPr>
                </pic:pic>
              </a:graphicData>
            </a:graphic>
          </wp:inline>
        </w:drawing>
      </w:r>
      <w:r>
        <w:rPr>
          <w:lang w:val="en-US" w:eastAsia="zh-CN"/>
        </w:rPr>
        <w:t xml:space="preserve"> </w:t>
      </w:r>
      <w:r>
        <w:rPr>
          <w:lang w:val="en-US"/>
        </w:rPr>
        <w:t xml:space="preserve">slots and second </w:t>
      </w:r>
      <w:r w:rsidR="00ED3701">
        <w:rPr>
          <w:noProof/>
          <w:position w:val="-10"/>
        </w:rPr>
        <w:drawing>
          <wp:inline distT="0" distB="0" distL="0" distR="0" wp14:anchorId="1CAAD60E" wp14:editId="2B8F889B">
            <wp:extent cx="638175" cy="200025"/>
            <wp:effectExtent l="0" t="0" r="0" b="0"/>
            <wp:docPr id="22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38175" cy="200025"/>
                    </a:xfrm>
                    <a:prstGeom prst="rect">
                      <a:avLst/>
                    </a:prstGeom>
                    <a:noFill/>
                    <a:ln>
                      <a:noFill/>
                    </a:ln>
                  </pic:spPr>
                </pic:pic>
              </a:graphicData>
            </a:graphic>
          </wp:inline>
        </w:drawing>
      </w:r>
      <w:r>
        <w:rPr>
          <w:lang w:val="en-US" w:eastAsia="zh-CN"/>
        </w:rPr>
        <w:t xml:space="preserve"> </w:t>
      </w:r>
      <w:r>
        <w:rPr>
          <w:lang w:val="en-US"/>
        </w:rPr>
        <w:t xml:space="preserve">slots. </w:t>
      </w:r>
    </w:p>
    <w:p w14:paraId="78D50966" w14:textId="29000983" w:rsidR="004E54AE" w:rsidRDefault="004E54AE" w:rsidP="004E54AE">
      <w:pPr>
        <w:tabs>
          <w:tab w:val="left" w:pos="720"/>
        </w:tabs>
      </w:pPr>
      <w:r>
        <w:rPr>
          <w:lang w:val="en-US"/>
        </w:rPr>
        <w:t xml:space="preserve">From the </w:t>
      </w:r>
      <w:r w:rsidR="00ED3701">
        <w:rPr>
          <w:noProof/>
          <w:position w:val="-10"/>
        </w:rPr>
        <w:drawing>
          <wp:inline distT="0" distB="0" distL="0" distR="0" wp14:anchorId="60E29653" wp14:editId="4F8B2B11">
            <wp:extent cx="114300" cy="180975"/>
            <wp:effectExtent l="0" t="0" r="0" b="0"/>
            <wp:docPr id="22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t xml:space="preserve"> slots, a </w:t>
      </w:r>
      <w:r>
        <w:rPr>
          <w:lang w:val="en-US"/>
        </w:rPr>
        <w:t xml:space="preserve">first </w:t>
      </w:r>
      <w:r w:rsidR="00ED3701">
        <w:rPr>
          <w:noProof/>
          <w:position w:val="-12"/>
        </w:rPr>
        <w:drawing>
          <wp:inline distT="0" distB="0" distL="0" distR="0" wp14:anchorId="6FADD3AD" wp14:editId="1531B741">
            <wp:extent cx="342900" cy="238125"/>
            <wp:effectExtent l="0" t="0" r="0" b="0"/>
            <wp:docPr id="22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42900" cy="238125"/>
                    </a:xfrm>
                    <a:prstGeom prst="rect">
                      <a:avLst/>
                    </a:prstGeom>
                    <a:noFill/>
                    <a:ln>
                      <a:noFill/>
                    </a:ln>
                  </pic:spPr>
                </pic:pic>
              </a:graphicData>
            </a:graphic>
          </wp:inline>
        </w:drawing>
      </w:r>
      <w:r>
        <w:t xml:space="preserve"> slots include only downlink symbols</w:t>
      </w:r>
      <w:r>
        <w:rPr>
          <w:lang w:val="en-US"/>
        </w:rPr>
        <w:t xml:space="preserve"> and a last </w:t>
      </w:r>
      <w:r w:rsidR="00ED3701">
        <w:rPr>
          <w:noProof/>
          <w:position w:val="-12"/>
        </w:rPr>
        <w:drawing>
          <wp:inline distT="0" distB="0" distL="0" distR="0" wp14:anchorId="7A9E98C4" wp14:editId="52B17635">
            <wp:extent cx="352425" cy="238125"/>
            <wp:effectExtent l="0" t="0" r="0" b="0"/>
            <wp:docPr id="22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52425" cy="238125"/>
                    </a:xfrm>
                    <a:prstGeom prst="rect">
                      <a:avLst/>
                    </a:prstGeom>
                    <a:noFill/>
                    <a:ln>
                      <a:noFill/>
                    </a:ln>
                  </pic:spPr>
                </pic:pic>
              </a:graphicData>
            </a:graphic>
          </wp:inline>
        </w:drawing>
      </w:r>
      <w:r>
        <w:t xml:space="preserve"> include only uplink symbols. </w:t>
      </w:r>
      <w:r>
        <w:rPr>
          <w:lang w:val="en-US"/>
        </w:rPr>
        <w:t xml:space="preserve">The </w:t>
      </w:r>
      <w:r w:rsidR="00ED3701">
        <w:rPr>
          <w:noProof/>
          <w:position w:val="-12"/>
        </w:rPr>
        <w:drawing>
          <wp:inline distT="0" distB="0" distL="0" distR="0" wp14:anchorId="3157A066" wp14:editId="4B253610">
            <wp:extent cx="295275" cy="238125"/>
            <wp:effectExtent l="0" t="0" r="0" b="0"/>
            <wp:docPr id="22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95275" cy="238125"/>
                    </a:xfrm>
                    <a:prstGeom prst="rect">
                      <a:avLst/>
                    </a:prstGeom>
                    <a:noFill/>
                    <a:ln>
                      <a:noFill/>
                    </a:ln>
                  </pic:spPr>
                </pic:pic>
              </a:graphicData>
            </a:graphic>
          </wp:inline>
        </w:drawing>
      </w:r>
      <w:r>
        <w:rPr>
          <w:lang w:val="en-US"/>
        </w:rPr>
        <w:t xml:space="preserve"> symbols after the first </w:t>
      </w:r>
      <w:r w:rsidR="00ED3701">
        <w:rPr>
          <w:noProof/>
          <w:position w:val="-12"/>
        </w:rPr>
        <w:drawing>
          <wp:inline distT="0" distB="0" distL="0" distR="0" wp14:anchorId="09B13303" wp14:editId="5F3B4A27">
            <wp:extent cx="342900" cy="238125"/>
            <wp:effectExtent l="0" t="0" r="0" b="0"/>
            <wp:docPr id="22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42900" cy="238125"/>
                    </a:xfrm>
                    <a:prstGeom prst="rect">
                      <a:avLst/>
                    </a:prstGeom>
                    <a:noFill/>
                    <a:ln>
                      <a:noFill/>
                    </a:ln>
                  </pic:spPr>
                </pic:pic>
              </a:graphicData>
            </a:graphic>
          </wp:inline>
        </w:drawing>
      </w:r>
      <w:r>
        <w:rPr>
          <w:lang w:val="en-US"/>
        </w:rPr>
        <w:t xml:space="preserve"> slots are downlink symbols. The </w:t>
      </w:r>
      <w:r w:rsidR="00ED3701">
        <w:rPr>
          <w:noProof/>
          <w:position w:val="-12"/>
        </w:rPr>
        <w:drawing>
          <wp:inline distT="0" distB="0" distL="0" distR="0" wp14:anchorId="6DFEB847" wp14:editId="1E4F4B53">
            <wp:extent cx="276225" cy="238125"/>
            <wp:effectExtent l="0" t="0" r="0" b="0"/>
            <wp:docPr id="22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Pr>
          <w:lang w:val="en-US"/>
        </w:rPr>
        <w:t xml:space="preserve"> symbols before the last </w:t>
      </w:r>
      <w:r w:rsidR="00ED3701">
        <w:rPr>
          <w:noProof/>
          <w:position w:val="-12"/>
        </w:rPr>
        <w:drawing>
          <wp:inline distT="0" distB="0" distL="0" distR="0" wp14:anchorId="5FF072DA" wp14:editId="42B85BD4">
            <wp:extent cx="352425" cy="238125"/>
            <wp:effectExtent l="0" t="0" r="0" b="0"/>
            <wp:docPr id="22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52425" cy="238125"/>
                    </a:xfrm>
                    <a:prstGeom prst="rect">
                      <a:avLst/>
                    </a:prstGeom>
                    <a:noFill/>
                    <a:ln>
                      <a:noFill/>
                    </a:ln>
                  </pic:spPr>
                </pic:pic>
              </a:graphicData>
            </a:graphic>
          </wp:inline>
        </w:drawing>
      </w:r>
      <w:r>
        <w:rPr>
          <w:lang w:val="en-US"/>
        </w:rPr>
        <w:t xml:space="preserve"> slots are uplink symbols. The remaining </w:t>
      </w:r>
      <w:r w:rsidR="00ED3701">
        <w:rPr>
          <w:noProof/>
          <w:position w:val="-12"/>
        </w:rPr>
        <w:drawing>
          <wp:inline distT="0" distB="0" distL="0" distR="0" wp14:anchorId="2673072A" wp14:editId="69A5131A">
            <wp:extent cx="1809750" cy="238125"/>
            <wp:effectExtent l="0" t="0" r="0" b="0"/>
            <wp:docPr id="22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809750" cy="238125"/>
                    </a:xfrm>
                    <a:prstGeom prst="rect">
                      <a:avLst/>
                    </a:prstGeom>
                    <a:noFill/>
                    <a:ln>
                      <a:noFill/>
                    </a:ln>
                  </pic:spPr>
                </pic:pic>
              </a:graphicData>
            </a:graphic>
          </wp:inline>
        </w:drawing>
      </w:r>
      <w:r>
        <w:t xml:space="preserve"> are flexible symbols. </w:t>
      </w:r>
    </w:p>
    <w:p w14:paraId="1FD67CBA" w14:textId="731A9FC5" w:rsidR="008D50F1" w:rsidRDefault="008D50F1" w:rsidP="0027125A">
      <w:r>
        <w:t xml:space="preserve">A UE expects that </w:t>
      </w:r>
      <w:r w:rsidR="00ED3701">
        <w:rPr>
          <w:noProof/>
          <w:position w:val="-10"/>
        </w:rPr>
        <w:drawing>
          <wp:inline distT="0" distB="0" distL="0" distR="0" wp14:anchorId="25E6944D" wp14:editId="0B08FE90">
            <wp:extent cx="352425" cy="190500"/>
            <wp:effectExtent l="0" t="0" r="0" b="0"/>
            <wp:docPr id="22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52425" cy="190500"/>
                    </a:xfrm>
                    <a:prstGeom prst="rect">
                      <a:avLst/>
                    </a:prstGeom>
                    <a:noFill/>
                    <a:ln>
                      <a:noFill/>
                    </a:ln>
                  </pic:spPr>
                </pic:pic>
              </a:graphicData>
            </a:graphic>
          </wp:inline>
        </w:drawing>
      </w:r>
      <w:r>
        <w:t xml:space="preserve"> divides 20 msec.</w:t>
      </w:r>
    </w:p>
    <w:p w14:paraId="027BA9FD" w14:textId="25258601" w:rsidR="008D50F1" w:rsidRPr="00D16362" w:rsidRDefault="008D50F1" w:rsidP="0027125A">
      <w:r w:rsidRPr="00D16362">
        <w:rPr>
          <w:lang w:val="en-US"/>
        </w:rPr>
        <w:t xml:space="preserve">The first symbol every </w:t>
      </w:r>
      <w:r w:rsidR="00ED3701">
        <w:rPr>
          <w:noProof/>
          <w:position w:val="-10"/>
        </w:rPr>
        <w:drawing>
          <wp:inline distT="0" distB="0" distL="0" distR="0" wp14:anchorId="19D410BD" wp14:editId="7B91D857">
            <wp:extent cx="638175" cy="180975"/>
            <wp:effectExtent l="0" t="0" r="0" b="0"/>
            <wp:docPr id="23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38175" cy="180975"/>
                    </a:xfrm>
                    <a:prstGeom prst="rect">
                      <a:avLst/>
                    </a:prstGeom>
                    <a:noFill/>
                    <a:ln>
                      <a:noFill/>
                    </a:ln>
                  </pic:spPr>
                </pic:pic>
              </a:graphicData>
            </a:graphic>
          </wp:inline>
        </w:drawing>
      </w:r>
      <w:r w:rsidRPr="00D16362">
        <w:t xml:space="preserve"> </w:t>
      </w:r>
      <w:r w:rsidRPr="00D16362">
        <w:rPr>
          <w:lang w:val="en-US"/>
        </w:rPr>
        <w:t>periods is a first symbol in an even frame</w:t>
      </w:r>
      <w:r w:rsidRPr="00D16362">
        <w:t>.</w:t>
      </w:r>
    </w:p>
    <w:p w14:paraId="5D350E26" w14:textId="563D9D4C" w:rsidR="008D50F1" w:rsidRDefault="008D50F1" w:rsidP="0027125A">
      <w:r w:rsidRPr="00D16362">
        <w:rPr>
          <w:lang w:val="en-US"/>
        </w:rPr>
        <w:t xml:space="preserve">A UE expects that the reference </w:t>
      </w:r>
      <w:r w:rsidR="00143099">
        <w:rPr>
          <w:lang w:val="en-US"/>
        </w:rPr>
        <w:t>SCS</w:t>
      </w:r>
      <w:r w:rsidRPr="00D16362">
        <w:rPr>
          <w:lang w:val="en-US"/>
        </w:rPr>
        <w:t xml:space="preserve"> configuration </w:t>
      </w:r>
      <w:r w:rsidR="00ED3701">
        <w:rPr>
          <w:noProof/>
          <w:position w:val="-10"/>
        </w:rPr>
        <w:drawing>
          <wp:inline distT="0" distB="0" distL="0" distR="0" wp14:anchorId="7792D010" wp14:editId="29950DC2">
            <wp:extent cx="276225" cy="200025"/>
            <wp:effectExtent l="0" t="0" r="0" b="0"/>
            <wp:docPr id="23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76225" cy="200025"/>
                    </a:xfrm>
                    <a:prstGeom prst="rect">
                      <a:avLst/>
                    </a:prstGeom>
                    <a:noFill/>
                    <a:ln>
                      <a:noFill/>
                    </a:ln>
                  </pic:spPr>
                </pic:pic>
              </a:graphicData>
            </a:graphic>
          </wp:inline>
        </w:drawing>
      </w:r>
      <w:r w:rsidRPr="00D16362">
        <w:t xml:space="preserve"> is smaller than or equal to a </w:t>
      </w:r>
      <w:r w:rsidR="00143099">
        <w:t>SCS</w:t>
      </w:r>
      <w:r w:rsidRPr="00D16362">
        <w:t xml:space="preserve"> configuration </w:t>
      </w:r>
      <w:r w:rsidR="00ED3701">
        <w:rPr>
          <w:noProof/>
          <w:position w:val="-10"/>
        </w:rPr>
        <w:drawing>
          <wp:inline distT="0" distB="0" distL="0" distR="0" wp14:anchorId="5644F8DC" wp14:editId="7B1F4765">
            <wp:extent cx="180975" cy="161925"/>
            <wp:effectExtent l="0" t="0" r="0" b="0"/>
            <wp:docPr id="23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80975" cy="161925"/>
                    </a:xfrm>
                    <a:prstGeom prst="rect">
                      <a:avLst/>
                    </a:prstGeom>
                    <a:noFill/>
                    <a:ln>
                      <a:noFill/>
                    </a:ln>
                  </pic:spPr>
                </pic:pic>
              </a:graphicData>
            </a:graphic>
          </wp:inline>
        </w:drawing>
      </w:r>
      <w:r w:rsidRPr="00D16362">
        <w:t xml:space="preserve"> for any configured DL BWP or UL BWP. </w:t>
      </w:r>
      <w:r w:rsidRPr="00D16362">
        <w:rPr>
          <w:lang w:val="en-US" w:eastAsia="zh-CN"/>
        </w:rPr>
        <w:t xml:space="preserve">Each slot provided by </w:t>
      </w:r>
      <w:r w:rsidRPr="00D16362">
        <w:rPr>
          <w:i/>
          <w:lang w:val="en-US" w:eastAsia="zh-CN"/>
        </w:rPr>
        <w:t>pattern1</w:t>
      </w:r>
      <w:r w:rsidRPr="00D16362">
        <w:rPr>
          <w:lang w:val="en-US" w:eastAsia="zh-CN"/>
        </w:rPr>
        <w:t xml:space="preserve"> or </w:t>
      </w:r>
      <w:r w:rsidRPr="00D16362">
        <w:rPr>
          <w:i/>
          <w:lang w:val="en-US" w:eastAsia="zh-CN"/>
        </w:rPr>
        <w:t>pattern2</w:t>
      </w:r>
      <w:r w:rsidRPr="00D16362">
        <w:rPr>
          <w:lang w:val="en-US" w:eastAsia="zh-CN"/>
        </w:rPr>
        <w:t xml:space="preserve"> is applicable to </w:t>
      </w:r>
      <w:r w:rsidR="00ED3701">
        <w:rPr>
          <w:noProof/>
          <w:position w:val="-4"/>
        </w:rPr>
        <w:drawing>
          <wp:inline distT="0" distB="0" distL="0" distR="0" wp14:anchorId="2F0C0449" wp14:editId="0277901A">
            <wp:extent cx="352425" cy="180975"/>
            <wp:effectExtent l="0" t="0" r="0" b="0"/>
            <wp:docPr id="23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52425" cy="180975"/>
                    </a:xfrm>
                    <a:prstGeom prst="rect">
                      <a:avLst/>
                    </a:prstGeom>
                    <a:noFill/>
                    <a:ln>
                      <a:noFill/>
                    </a:ln>
                  </pic:spPr>
                </pic:pic>
              </a:graphicData>
            </a:graphic>
          </wp:inline>
        </w:drawing>
      </w:r>
      <w:r w:rsidRPr="00D16362">
        <w:rPr>
          <w:lang w:val="en-US"/>
        </w:rPr>
        <w:t xml:space="preserve"> consecutive slots </w:t>
      </w:r>
      <w:r w:rsidRPr="00D16362">
        <w:rPr>
          <w:lang w:val="en-US"/>
        </w:rPr>
        <w:lastRenderedPageBreak/>
        <w:t>in the active DL BWP</w:t>
      </w:r>
      <w:r>
        <w:rPr>
          <w:lang w:val="en-US"/>
        </w:rPr>
        <w:t xml:space="preserve"> or</w:t>
      </w:r>
      <w:r w:rsidRPr="00D16362">
        <w:rPr>
          <w:lang w:val="en-US"/>
        </w:rPr>
        <w:t xml:space="preserve"> the active UL BWP where the first slot starts at a same time as a first slot for the reference </w:t>
      </w:r>
      <w:r w:rsidR="00143099">
        <w:rPr>
          <w:lang w:val="en-US"/>
        </w:rPr>
        <w:t>SCS</w:t>
      </w:r>
      <w:r w:rsidRPr="00D16362">
        <w:rPr>
          <w:lang w:val="en-US"/>
        </w:rPr>
        <w:t xml:space="preserve"> configuration </w:t>
      </w:r>
      <w:r w:rsidR="00ED3701">
        <w:rPr>
          <w:noProof/>
          <w:position w:val="-10"/>
        </w:rPr>
        <w:drawing>
          <wp:inline distT="0" distB="0" distL="0" distR="0" wp14:anchorId="7B0D41BA" wp14:editId="1E457A51">
            <wp:extent cx="276225" cy="200025"/>
            <wp:effectExtent l="0" t="0" r="0" b="0"/>
            <wp:docPr id="2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76225" cy="200025"/>
                    </a:xfrm>
                    <a:prstGeom prst="rect">
                      <a:avLst/>
                    </a:prstGeom>
                    <a:noFill/>
                    <a:ln>
                      <a:noFill/>
                    </a:ln>
                  </pic:spPr>
                </pic:pic>
              </a:graphicData>
            </a:graphic>
          </wp:inline>
        </w:drawing>
      </w:r>
      <w:r w:rsidRPr="00D16362">
        <w:rPr>
          <w:lang w:val="en-US"/>
        </w:rPr>
        <w:t xml:space="preserve"> </w:t>
      </w:r>
      <w:r w:rsidRPr="00D16362">
        <w:t xml:space="preserve">and each downlink or flexible or uplink symbol for the reference </w:t>
      </w:r>
      <w:r w:rsidR="00143099">
        <w:t>SCS</w:t>
      </w:r>
      <w:r w:rsidRPr="00D16362">
        <w:t xml:space="preserve"> configuration </w:t>
      </w:r>
      <w:r w:rsidR="00ED3701">
        <w:rPr>
          <w:noProof/>
          <w:position w:val="-10"/>
        </w:rPr>
        <w:drawing>
          <wp:inline distT="0" distB="0" distL="0" distR="0" wp14:anchorId="469F7B46" wp14:editId="04BA3948">
            <wp:extent cx="276225" cy="200025"/>
            <wp:effectExtent l="0" t="0" r="0" b="0"/>
            <wp:docPr id="23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76225" cy="200025"/>
                    </a:xfrm>
                    <a:prstGeom prst="rect">
                      <a:avLst/>
                    </a:prstGeom>
                    <a:noFill/>
                    <a:ln>
                      <a:noFill/>
                    </a:ln>
                  </pic:spPr>
                </pic:pic>
              </a:graphicData>
            </a:graphic>
          </wp:inline>
        </w:drawing>
      </w:r>
      <w:r>
        <w:t xml:space="preserve"> </w:t>
      </w:r>
      <w:r w:rsidRPr="00D16362">
        <w:t xml:space="preserve">corresponds to </w:t>
      </w:r>
      <w:r w:rsidR="00ED3701">
        <w:rPr>
          <w:noProof/>
          <w:position w:val="-4"/>
        </w:rPr>
        <w:drawing>
          <wp:inline distT="0" distB="0" distL="0" distR="0" wp14:anchorId="6F490C43" wp14:editId="29A35AA8">
            <wp:extent cx="352425" cy="180975"/>
            <wp:effectExtent l="0" t="0" r="0" b="0"/>
            <wp:docPr id="2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52425" cy="180975"/>
                    </a:xfrm>
                    <a:prstGeom prst="rect">
                      <a:avLst/>
                    </a:prstGeom>
                    <a:noFill/>
                    <a:ln>
                      <a:noFill/>
                    </a:ln>
                  </pic:spPr>
                </pic:pic>
              </a:graphicData>
            </a:graphic>
          </wp:inline>
        </w:drawing>
      </w:r>
      <w:r>
        <w:t xml:space="preserve"> </w:t>
      </w:r>
      <w:r w:rsidRPr="00D16362">
        <w:t xml:space="preserve">consecutive downlink or flexible or uplink symbols for the </w:t>
      </w:r>
      <w:r w:rsidR="00143099">
        <w:t>SCS</w:t>
      </w:r>
      <w:r w:rsidRPr="00D16362">
        <w:t xml:space="preserve"> configuration </w:t>
      </w:r>
      <w:r w:rsidR="00ED3701">
        <w:rPr>
          <w:noProof/>
          <w:position w:val="-10"/>
        </w:rPr>
        <w:drawing>
          <wp:inline distT="0" distB="0" distL="0" distR="0" wp14:anchorId="60684C64" wp14:editId="05DB1EEC">
            <wp:extent cx="180975" cy="161925"/>
            <wp:effectExtent l="0" t="0" r="0" b="0"/>
            <wp:docPr id="23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80975" cy="161925"/>
                    </a:xfrm>
                    <a:prstGeom prst="rect">
                      <a:avLst/>
                    </a:prstGeom>
                    <a:noFill/>
                    <a:ln>
                      <a:noFill/>
                    </a:ln>
                  </pic:spPr>
                </pic:pic>
              </a:graphicData>
            </a:graphic>
          </wp:inline>
        </w:drawing>
      </w:r>
      <w:r w:rsidRPr="00D16362">
        <w:rPr>
          <w:lang w:val="en-US"/>
        </w:rPr>
        <w:t xml:space="preserve">. </w:t>
      </w:r>
    </w:p>
    <w:p w14:paraId="576CAD55" w14:textId="77777777" w:rsidR="004F21B6" w:rsidRDefault="004F21B6" w:rsidP="0027125A">
      <w:r w:rsidRPr="00B916EC">
        <w:t xml:space="preserve">If the UE is additionally provided </w:t>
      </w:r>
      <w:r w:rsidR="00695CD0">
        <w:rPr>
          <w:i/>
        </w:rPr>
        <w:t>tdd</w:t>
      </w:r>
      <w:r w:rsidRPr="003D3502">
        <w:rPr>
          <w:i/>
        </w:rPr>
        <w:t>-</w:t>
      </w:r>
      <w:r w:rsidRPr="00B916EC">
        <w:rPr>
          <w:i/>
        </w:rPr>
        <w:t>UL-DL-</w:t>
      </w:r>
      <w:r>
        <w:rPr>
          <w:i/>
        </w:rPr>
        <w:t>C</w:t>
      </w:r>
      <w:r w:rsidRPr="00B916EC">
        <w:rPr>
          <w:i/>
        </w:rPr>
        <w:t>onfig</w:t>
      </w:r>
      <w:r w:rsidR="002B5188">
        <w:rPr>
          <w:rFonts w:eastAsia="DengXian"/>
          <w:i/>
        </w:rPr>
        <w:t>uration</w:t>
      </w:r>
      <w:r>
        <w:rPr>
          <w:i/>
        </w:rPr>
        <w:t>D</w:t>
      </w:r>
      <w:r w:rsidRPr="00B916EC">
        <w:rPr>
          <w:i/>
        </w:rPr>
        <w:t>edicated</w:t>
      </w:r>
      <w:r w:rsidRPr="00B916EC">
        <w:t xml:space="preserve">, the parameter </w:t>
      </w:r>
      <w:r w:rsidR="00EE1748">
        <w:rPr>
          <w:i/>
        </w:rPr>
        <w:t>tdd</w:t>
      </w:r>
      <w:r w:rsidRPr="003D3502">
        <w:rPr>
          <w:i/>
        </w:rPr>
        <w:t>-</w:t>
      </w:r>
      <w:r w:rsidRPr="00B916EC">
        <w:rPr>
          <w:i/>
        </w:rPr>
        <w:t>UL-DL-</w:t>
      </w:r>
      <w:r>
        <w:rPr>
          <w:i/>
        </w:rPr>
        <w:t>C</w:t>
      </w:r>
      <w:r w:rsidRPr="00B916EC">
        <w:rPr>
          <w:i/>
        </w:rPr>
        <w:t>onfig</w:t>
      </w:r>
      <w:r w:rsidR="00EE1748">
        <w:rPr>
          <w:i/>
        </w:rPr>
        <w:t>uration</w:t>
      </w:r>
      <w:r>
        <w:rPr>
          <w:i/>
        </w:rPr>
        <w:t>D</w:t>
      </w:r>
      <w:r w:rsidRPr="00B916EC">
        <w:rPr>
          <w:i/>
        </w:rPr>
        <w:t>edicated</w:t>
      </w:r>
      <w:r w:rsidRPr="00B916EC">
        <w:t xml:space="preserve"> overrides only flexible symbols per slot over the number of slots as provided by </w:t>
      </w:r>
      <w:r w:rsidR="00EE1748">
        <w:rPr>
          <w:i/>
        </w:rPr>
        <w:t>tdd</w:t>
      </w:r>
      <w:r w:rsidRPr="00942A15">
        <w:rPr>
          <w:i/>
        </w:rPr>
        <w:t>-</w:t>
      </w:r>
      <w:r w:rsidRPr="00B916EC">
        <w:rPr>
          <w:i/>
        </w:rPr>
        <w:t>UL-DL-</w:t>
      </w:r>
      <w:r>
        <w:rPr>
          <w:i/>
        </w:rPr>
        <w:t>C</w:t>
      </w:r>
      <w:r w:rsidRPr="00B916EC">
        <w:rPr>
          <w:i/>
        </w:rPr>
        <w:t>onfiguration</w:t>
      </w:r>
      <w:r>
        <w:rPr>
          <w:i/>
        </w:rPr>
        <w:t>C</w:t>
      </w:r>
      <w:r w:rsidRPr="00B916EC">
        <w:rPr>
          <w:i/>
        </w:rPr>
        <w:t>ommon</w:t>
      </w:r>
      <w:r w:rsidRPr="00B916EC">
        <w:t xml:space="preserve">. </w:t>
      </w:r>
    </w:p>
    <w:p w14:paraId="7F428B70" w14:textId="77777777" w:rsidR="004F21B6" w:rsidRPr="009F2BBA" w:rsidRDefault="004F21B6" w:rsidP="0027125A">
      <w:r>
        <w:t xml:space="preserve">The </w:t>
      </w:r>
      <w:r w:rsidR="00EE1748">
        <w:rPr>
          <w:i/>
          <w:lang w:val="en-US"/>
        </w:rPr>
        <w:t>tdd</w:t>
      </w:r>
      <w:r w:rsidRPr="003D3502">
        <w:rPr>
          <w:i/>
        </w:rPr>
        <w:t>-</w:t>
      </w:r>
      <w:r w:rsidRPr="00B916EC">
        <w:rPr>
          <w:i/>
        </w:rPr>
        <w:t>UL-DL-</w:t>
      </w:r>
      <w:r>
        <w:rPr>
          <w:i/>
        </w:rPr>
        <w:t>C</w:t>
      </w:r>
      <w:r w:rsidRPr="00B916EC">
        <w:rPr>
          <w:i/>
        </w:rPr>
        <w:t>onfig</w:t>
      </w:r>
      <w:r w:rsidR="00EE1748">
        <w:rPr>
          <w:i/>
        </w:rPr>
        <w:t>uration</w:t>
      </w:r>
      <w:r>
        <w:rPr>
          <w:i/>
        </w:rPr>
        <w:t>D</w:t>
      </w:r>
      <w:r w:rsidRPr="00B916EC">
        <w:rPr>
          <w:i/>
        </w:rPr>
        <w:t>edicated</w:t>
      </w:r>
      <w:r>
        <w:t xml:space="preserve"> provides</w:t>
      </w:r>
    </w:p>
    <w:p w14:paraId="36EC47AA" w14:textId="77777777" w:rsidR="004F21B6" w:rsidRDefault="004F21B6" w:rsidP="0027125A">
      <w:pPr>
        <w:pStyle w:val="B1"/>
      </w:pPr>
      <w:r>
        <w:t>-</w:t>
      </w:r>
      <w:r>
        <w:tab/>
      </w:r>
      <w:r w:rsidR="008E0598">
        <w:rPr>
          <w:lang w:val="en-US"/>
        </w:rPr>
        <w:t>a</w:t>
      </w:r>
      <w:r w:rsidR="008E0598">
        <w:t xml:space="preserve"> </w:t>
      </w:r>
      <w:r>
        <w:t xml:space="preserve">set of slot configurations by </w:t>
      </w:r>
      <w:r w:rsidRPr="0057702E">
        <w:rPr>
          <w:i/>
        </w:rPr>
        <w:t>slotSpecificConfigurationsToAddModList</w:t>
      </w:r>
    </w:p>
    <w:p w14:paraId="218627E4" w14:textId="77777777" w:rsidR="004F21B6" w:rsidRDefault="004F21B6" w:rsidP="0027125A">
      <w:pPr>
        <w:pStyle w:val="B1"/>
      </w:pPr>
      <w:r>
        <w:t>-</w:t>
      </w:r>
      <w:r>
        <w:tab/>
      </w:r>
      <w:r w:rsidR="008E0598">
        <w:rPr>
          <w:lang w:val="en-US"/>
        </w:rPr>
        <w:t>f</w:t>
      </w:r>
      <w:r w:rsidR="008E0598">
        <w:t xml:space="preserve">or </w:t>
      </w:r>
      <w:r>
        <w:t>each slot configuration from the set of slot configurations</w:t>
      </w:r>
    </w:p>
    <w:p w14:paraId="32B51538" w14:textId="77777777" w:rsidR="004F21B6" w:rsidRDefault="004F21B6" w:rsidP="00106490">
      <w:pPr>
        <w:pStyle w:val="B2"/>
      </w:pPr>
      <w:r>
        <w:t>-</w:t>
      </w:r>
      <w:r>
        <w:tab/>
      </w:r>
      <w:r w:rsidR="008E0598">
        <w:rPr>
          <w:lang w:val="en-US"/>
        </w:rPr>
        <w:t>a</w:t>
      </w:r>
      <w:r w:rsidR="008E0598">
        <w:t xml:space="preserve"> </w:t>
      </w:r>
      <w:r>
        <w:t xml:space="preserve">slot index for a slot provided by </w:t>
      </w:r>
      <w:r w:rsidRPr="00D733F5">
        <w:rPr>
          <w:i/>
        </w:rPr>
        <w:t>slotIndex</w:t>
      </w:r>
    </w:p>
    <w:p w14:paraId="67FBD271" w14:textId="77777777" w:rsidR="004F21B6" w:rsidRDefault="004F21B6" w:rsidP="00106490">
      <w:pPr>
        <w:pStyle w:val="B2"/>
      </w:pPr>
      <w:r>
        <w:t>-</w:t>
      </w:r>
      <w:r>
        <w:tab/>
      </w:r>
      <w:r w:rsidR="008E0598">
        <w:rPr>
          <w:lang w:val="en-US"/>
        </w:rPr>
        <w:t>a</w:t>
      </w:r>
      <w:r w:rsidR="008E0598">
        <w:t xml:space="preserve"> </w:t>
      </w:r>
      <w:r>
        <w:t xml:space="preserve">set of symbols for a slot by </w:t>
      </w:r>
      <w:r w:rsidRPr="00561653">
        <w:rPr>
          <w:i/>
        </w:rPr>
        <w:t>symbols</w:t>
      </w:r>
      <w:r>
        <w:t xml:space="preserve"> where </w:t>
      </w:r>
    </w:p>
    <w:p w14:paraId="42C535BB" w14:textId="77777777" w:rsidR="004F21B6" w:rsidRDefault="004F21B6" w:rsidP="00106490">
      <w:pPr>
        <w:pStyle w:val="B3"/>
      </w:pPr>
      <w:r>
        <w:t>-</w:t>
      </w:r>
      <w:r>
        <w:tab/>
        <w:t xml:space="preserve">if </w:t>
      </w:r>
      <w:r w:rsidRPr="00561653">
        <w:rPr>
          <w:i/>
        </w:rPr>
        <w:t>symbols</w:t>
      </w:r>
      <w:r>
        <w:t xml:space="preserve"> = </w:t>
      </w:r>
      <w:r w:rsidRPr="00561653">
        <w:rPr>
          <w:i/>
        </w:rPr>
        <w:t>allDownlink</w:t>
      </w:r>
      <w:r>
        <w:t>, all symbols in the slot are downlink</w:t>
      </w:r>
    </w:p>
    <w:p w14:paraId="22AB2A5E" w14:textId="77777777" w:rsidR="004F21B6" w:rsidRDefault="004F21B6" w:rsidP="00106490">
      <w:pPr>
        <w:pStyle w:val="B3"/>
      </w:pPr>
      <w:r>
        <w:t>-</w:t>
      </w:r>
      <w:r>
        <w:tab/>
        <w:t xml:space="preserve">if </w:t>
      </w:r>
      <w:r w:rsidRPr="00561653">
        <w:rPr>
          <w:i/>
        </w:rPr>
        <w:t>symbols</w:t>
      </w:r>
      <w:r>
        <w:t xml:space="preserve"> = </w:t>
      </w:r>
      <w:r w:rsidRPr="00561653">
        <w:rPr>
          <w:i/>
        </w:rPr>
        <w:t>allUplink</w:t>
      </w:r>
      <w:r>
        <w:t>, all symbols in the slot are uplink</w:t>
      </w:r>
    </w:p>
    <w:p w14:paraId="1B850D0D" w14:textId="77777777" w:rsidR="004F21B6" w:rsidRDefault="004F21B6" w:rsidP="00106490">
      <w:pPr>
        <w:pStyle w:val="B3"/>
      </w:pPr>
      <w:r>
        <w:t>-</w:t>
      </w:r>
      <w:r>
        <w:tab/>
        <w:t xml:space="preserve">if </w:t>
      </w:r>
      <w:r w:rsidRPr="00561653">
        <w:rPr>
          <w:i/>
        </w:rPr>
        <w:t>symbols</w:t>
      </w:r>
      <w:r>
        <w:t xml:space="preserve"> = </w:t>
      </w:r>
      <w:r>
        <w:rPr>
          <w:i/>
        </w:rPr>
        <w:t>explicit</w:t>
      </w:r>
      <w:r w:rsidR="00E81663" w:rsidRPr="00B42C92">
        <w:rPr>
          <w:lang w:val="en-US"/>
        </w:rPr>
        <w:t>,</w:t>
      </w:r>
      <w:r w:rsidRPr="00E81663">
        <w:t xml:space="preserve"> </w:t>
      </w:r>
      <w:r w:rsidRPr="0026390E">
        <w:rPr>
          <w:i/>
        </w:rPr>
        <w:t>nrofDownlinkSymbols</w:t>
      </w:r>
      <w:r>
        <w:t xml:space="preserve"> provides a number of downlink first symbols in the slot and </w:t>
      </w:r>
      <w:r w:rsidRPr="0026390E">
        <w:rPr>
          <w:i/>
        </w:rPr>
        <w:t>nrofUplinkSymbols</w:t>
      </w:r>
      <w:r>
        <w:t xml:space="preserve"> provides a number of uplink last symbols in the slot. If </w:t>
      </w:r>
      <w:r w:rsidRPr="0026390E">
        <w:rPr>
          <w:i/>
        </w:rPr>
        <w:t>nrofDownlinkSymbols</w:t>
      </w:r>
      <w:r>
        <w:t xml:space="preserve"> is not provided, there are no downlink first symbols in the slot and if </w:t>
      </w:r>
      <w:r w:rsidRPr="0026390E">
        <w:rPr>
          <w:i/>
        </w:rPr>
        <w:t>nrofUplinkSymbols</w:t>
      </w:r>
      <w:r>
        <w:t xml:space="preserve"> is not provided, there are no uplink last symbols in the slot. The remaining symbols in the slot are flexible</w:t>
      </w:r>
    </w:p>
    <w:p w14:paraId="5A526857" w14:textId="77777777" w:rsidR="00233D58" w:rsidRPr="00EB5DCF" w:rsidRDefault="00233D58" w:rsidP="0027125A">
      <w:r>
        <w:t xml:space="preserve">For each slot having a corresponding index provided by </w:t>
      </w:r>
      <w:r w:rsidRPr="00D733F5">
        <w:rPr>
          <w:i/>
        </w:rPr>
        <w:t>slotIndex</w:t>
      </w:r>
      <w:r>
        <w:t xml:space="preserve">, the UE applies a format provided by </w:t>
      </w:r>
      <w:r w:rsidR="00181ABC">
        <w:t>a</w:t>
      </w:r>
      <w:r>
        <w:t xml:space="preserve"> corresponding </w:t>
      </w:r>
      <w:r w:rsidRPr="00561653">
        <w:rPr>
          <w:i/>
        </w:rPr>
        <w:t>symbols</w:t>
      </w:r>
      <w:r>
        <w:t xml:space="preserve">. The UE does not expect </w:t>
      </w:r>
      <w:r w:rsidR="00EE1748">
        <w:rPr>
          <w:i/>
          <w:lang w:val="en-US"/>
        </w:rPr>
        <w:t>tdd</w:t>
      </w:r>
      <w:r w:rsidRPr="003D3502">
        <w:rPr>
          <w:i/>
        </w:rPr>
        <w:t>-</w:t>
      </w:r>
      <w:r w:rsidRPr="00B916EC">
        <w:rPr>
          <w:i/>
        </w:rPr>
        <w:t>UL-DL-</w:t>
      </w:r>
      <w:r>
        <w:rPr>
          <w:i/>
        </w:rPr>
        <w:t>C</w:t>
      </w:r>
      <w:r w:rsidRPr="00B916EC">
        <w:rPr>
          <w:i/>
        </w:rPr>
        <w:t>onfig</w:t>
      </w:r>
      <w:r w:rsidR="00EE1748">
        <w:rPr>
          <w:i/>
        </w:rPr>
        <w:t>uration</w:t>
      </w:r>
      <w:r>
        <w:rPr>
          <w:i/>
        </w:rPr>
        <w:t>D</w:t>
      </w:r>
      <w:r w:rsidRPr="00B916EC">
        <w:rPr>
          <w:i/>
        </w:rPr>
        <w:t>edicated</w:t>
      </w:r>
      <w:r>
        <w:t xml:space="preserve"> to indicate as uplink or as downlink a symbol that </w:t>
      </w:r>
      <w:r w:rsidR="00EE1748">
        <w:rPr>
          <w:i/>
          <w:lang w:val="en-US"/>
        </w:rPr>
        <w:t>tdd</w:t>
      </w:r>
      <w:r w:rsidRPr="00942A15">
        <w:rPr>
          <w:i/>
        </w:rPr>
        <w:t>-</w:t>
      </w:r>
      <w:r w:rsidRPr="00B916EC">
        <w:rPr>
          <w:i/>
        </w:rPr>
        <w:t>UL-DL-</w:t>
      </w:r>
      <w:r>
        <w:rPr>
          <w:i/>
        </w:rPr>
        <w:t>ConfigurationCommon</w:t>
      </w:r>
      <w:r>
        <w:t xml:space="preserve"> indicates as a downlink or as an uplink symbol, respectively.</w:t>
      </w:r>
    </w:p>
    <w:p w14:paraId="2679A96C" w14:textId="77777777" w:rsidR="00233D58" w:rsidRPr="00A54502" w:rsidRDefault="00233D58" w:rsidP="0027125A">
      <w:r>
        <w:t xml:space="preserve">For each slot configuration provided by </w:t>
      </w:r>
      <w:r w:rsidR="000E5AE9">
        <w:rPr>
          <w:i/>
          <w:lang w:val="en-US"/>
        </w:rPr>
        <w:t>tdd</w:t>
      </w:r>
      <w:r w:rsidRPr="003D3502">
        <w:rPr>
          <w:i/>
        </w:rPr>
        <w:t>-</w:t>
      </w:r>
      <w:r w:rsidRPr="00B916EC">
        <w:rPr>
          <w:i/>
        </w:rPr>
        <w:t>UL-DL-</w:t>
      </w:r>
      <w:r>
        <w:rPr>
          <w:i/>
        </w:rPr>
        <w:t>C</w:t>
      </w:r>
      <w:r w:rsidRPr="00B916EC">
        <w:rPr>
          <w:i/>
        </w:rPr>
        <w:t>onfig</w:t>
      </w:r>
      <w:r w:rsidR="002B5188">
        <w:rPr>
          <w:rFonts w:eastAsia="DengXian"/>
          <w:i/>
        </w:rPr>
        <w:t>uration</w:t>
      </w:r>
      <w:r>
        <w:rPr>
          <w:i/>
        </w:rPr>
        <w:t>D</w:t>
      </w:r>
      <w:r w:rsidRPr="00B916EC">
        <w:rPr>
          <w:i/>
        </w:rPr>
        <w:t>edicated</w:t>
      </w:r>
      <w:r>
        <w:t xml:space="preserve">, a reference </w:t>
      </w:r>
      <w:r w:rsidR="00143099">
        <w:t>SCS</w:t>
      </w:r>
      <w:r>
        <w:t xml:space="preserve"> </w:t>
      </w:r>
      <w:r>
        <w:rPr>
          <w:lang w:val="en-US"/>
        </w:rPr>
        <w:t xml:space="preserve">configuration </w:t>
      </w:r>
      <w:r>
        <w:t xml:space="preserve">is the reference </w:t>
      </w:r>
      <w:r w:rsidR="00143099">
        <w:t>SCS</w:t>
      </w:r>
      <w:r>
        <w:rPr>
          <w:lang w:val="en-US"/>
        </w:rPr>
        <w:t xml:space="preserve"> configuration</w:t>
      </w:r>
      <w:r>
        <w:t xml:space="preserve"> </w:t>
      </w:r>
      <w:r>
        <w:rPr>
          <w:noProof/>
          <w:position w:val="-10"/>
          <w:lang w:val="en-US"/>
        </w:rPr>
        <w:drawing>
          <wp:inline distT="0" distB="0" distL="0" distR="0" wp14:anchorId="792BAECD" wp14:editId="1BDDDF9E">
            <wp:extent cx="231140" cy="200660"/>
            <wp:effectExtent l="0" t="0" r="0" b="8890"/>
            <wp:docPr id="959" name="Picture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8"/>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231140" cy="200660"/>
                    </a:xfrm>
                    <a:prstGeom prst="rect">
                      <a:avLst/>
                    </a:prstGeom>
                    <a:noFill/>
                    <a:ln>
                      <a:noFill/>
                    </a:ln>
                  </pic:spPr>
                </pic:pic>
              </a:graphicData>
            </a:graphic>
          </wp:inline>
        </w:drawing>
      </w:r>
      <w:r>
        <w:t xml:space="preserve"> provided by </w:t>
      </w:r>
      <w:r w:rsidR="000E5AE9">
        <w:rPr>
          <w:i/>
          <w:lang w:val="en-US"/>
        </w:rPr>
        <w:t>tdd</w:t>
      </w:r>
      <w:r w:rsidRPr="00942A15">
        <w:rPr>
          <w:i/>
        </w:rPr>
        <w:t>-</w:t>
      </w:r>
      <w:r w:rsidRPr="00B916EC">
        <w:rPr>
          <w:i/>
        </w:rPr>
        <w:t>UL-DL-</w:t>
      </w:r>
      <w:r>
        <w:rPr>
          <w:i/>
        </w:rPr>
        <w:t>ConfigurationCommon</w:t>
      </w:r>
      <w:r>
        <w:t>.</w:t>
      </w:r>
    </w:p>
    <w:p w14:paraId="24656994" w14:textId="77777777" w:rsidR="00233D58" w:rsidRPr="00B64C57" w:rsidRDefault="00233D58" w:rsidP="0027125A">
      <w:r>
        <w:t xml:space="preserve">A slot configuration period and a number of downlink symbols, uplink symbols, and flexible symbols in each slot of the slot configuration period are determined from </w:t>
      </w:r>
      <w:r w:rsidR="000E5AE9">
        <w:rPr>
          <w:i/>
          <w:lang w:val="en-US"/>
        </w:rPr>
        <w:t>tdd</w:t>
      </w:r>
      <w:r w:rsidRPr="00942A15">
        <w:rPr>
          <w:i/>
        </w:rPr>
        <w:t>-</w:t>
      </w:r>
      <w:r w:rsidRPr="00B916EC">
        <w:rPr>
          <w:i/>
        </w:rPr>
        <w:t>UL-DL-</w:t>
      </w:r>
      <w:r>
        <w:rPr>
          <w:i/>
        </w:rPr>
        <w:t xml:space="preserve">ConfigurationCommon </w:t>
      </w:r>
      <w:r>
        <w:t xml:space="preserve">and </w:t>
      </w:r>
      <w:r w:rsidR="000E5AE9">
        <w:rPr>
          <w:i/>
          <w:lang w:val="en-US"/>
        </w:rPr>
        <w:t>tdd</w:t>
      </w:r>
      <w:r w:rsidRPr="003D3502">
        <w:rPr>
          <w:i/>
        </w:rPr>
        <w:t>-</w:t>
      </w:r>
      <w:r w:rsidRPr="00B916EC">
        <w:rPr>
          <w:i/>
        </w:rPr>
        <w:t>UL-DL-</w:t>
      </w:r>
      <w:r>
        <w:rPr>
          <w:i/>
        </w:rPr>
        <w:t>C</w:t>
      </w:r>
      <w:r w:rsidRPr="00B916EC">
        <w:rPr>
          <w:i/>
        </w:rPr>
        <w:t>onfig</w:t>
      </w:r>
      <w:r w:rsidR="000E5AE9">
        <w:rPr>
          <w:i/>
        </w:rPr>
        <w:t>uration</w:t>
      </w:r>
      <w:r>
        <w:rPr>
          <w:i/>
        </w:rPr>
        <w:t>D</w:t>
      </w:r>
      <w:r w:rsidRPr="00B916EC">
        <w:rPr>
          <w:i/>
        </w:rPr>
        <w:t>edicated</w:t>
      </w:r>
      <w:r w:rsidRPr="00B64C57">
        <w:t xml:space="preserve"> </w:t>
      </w:r>
      <w:r>
        <w:t>and</w:t>
      </w:r>
      <w:r w:rsidRPr="00B64C57">
        <w:t xml:space="preserve"> are common to each configured BWP. </w:t>
      </w:r>
    </w:p>
    <w:p w14:paraId="61902855" w14:textId="77777777" w:rsidR="00233D58" w:rsidRPr="00B916EC" w:rsidRDefault="00233D58" w:rsidP="0027125A">
      <w:r>
        <w:rPr>
          <w:lang w:val="en-US"/>
        </w:rPr>
        <w:t>A</w:t>
      </w:r>
      <w:r w:rsidRPr="00B916EC">
        <w:t xml:space="preserve"> UE considers symbols in a slot indicated as downlink by </w:t>
      </w:r>
      <w:r w:rsidR="00C10BBF">
        <w:rPr>
          <w:i/>
          <w:lang w:val="en-US"/>
        </w:rPr>
        <w:t>tdd</w:t>
      </w:r>
      <w:r w:rsidRPr="00FE7E1C">
        <w:rPr>
          <w:i/>
          <w:lang w:val="en-US"/>
        </w:rPr>
        <w:t>-</w:t>
      </w:r>
      <w:r w:rsidRPr="00B916EC">
        <w:rPr>
          <w:i/>
        </w:rPr>
        <w:t>UL-DL-</w:t>
      </w:r>
      <w:r>
        <w:rPr>
          <w:i/>
          <w:lang w:val="en-US"/>
        </w:rPr>
        <w:t>C</w:t>
      </w:r>
      <w:r w:rsidRPr="00B916EC">
        <w:rPr>
          <w:i/>
        </w:rPr>
        <w:t>onfiguration</w:t>
      </w:r>
      <w:r>
        <w:rPr>
          <w:i/>
          <w:lang w:val="en-US"/>
        </w:rPr>
        <w:t>C</w:t>
      </w:r>
      <w:r w:rsidRPr="00B916EC">
        <w:rPr>
          <w:i/>
        </w:rPr>
        <w:t>ommon</w:t>
      </w:r>
      <w:r>
        <w:t xml:space="preserve">, </w:t>
      </w:r>
      <w:r w:rsidRPr="00B916EC">
        <w:t xml:space="preserve">or </w:t>
      </w:r>
      <w:r w:rsidR="00C10BBF">
        <w:rPr>
          <w:i/>
          <w:lang w:val="en-US"/>
        </w:rPr>
        <w:t>tdd</w:t>
      </w:r>
      <w:r w:rsidRPr="0023005A">
        <w:rPr>
          <w:i/>
          <w:lang w:val="en-US"/>
        </w:rPr>
        <w:t>-</w:t>
      </w:r>
      <w:r w:rsidRPr="00B916EC">
        <w:rPr>
          <w:i/>
        </w:rPr>
        <w:t>UL-DL-</w:t>
      </w:r>
      <w:r>
        <w:rPr>
          <w:i/>
          <w:lang w:val="en-US"/>
        </w:rPr>
        <w:t>C</w:t>
      </w:r>
      <w:r w:rsidRPr="00B916EC">
        <w:rPr>
          <w:i/>
        </w:rPr>
        <w:t>onfig</w:t>
      </w:r>
      <w:r w:rsidR="00C10BBF">
        <w:rPr>
          <w:i/>
        </w:rPr>
        <w:t>uration</w:t>
      </w:r>
      <w:r>
        <w:rPr>
          <w:i/>
          <w:lang w:val="en-US"/>
        </w:rPr>
        <w:t>D</w:t>
      </w:r>
      <w:r w:rsidRPr="00B916EC">
        <w:rPr>
          <w:i/>
        </w:rPr>
        <w:t>edicated</w:t>
      </w:r>
      <w:r w:rsidRPr="00B916EC">
        <w:t xml:space="preserve"> </w:t>
      </w:r>
      <w:r>
        <w:rPr>
          <w:lang w:val="en-US"/>
        </w:rPr>
        <w:t>to be</w:t>
      </w:r>
      <w:r w:rsidRPr="00B916EC">
        <w:t xml:space="preserve"> available for receptions</w:t>
      </w:r>
      <w:r>
        <w:rPr>
          <w:lang w:val="en-US"/>
        </w:rPr>
        <w:t xml:space="preserve"> and</w:t>
      </w:r>
      <w:r w:rsidRPr="00B916EC">
        <w:t xml:space="preserve"> considers symbols in a slot indicated as uplink by </w:t>
      </w:r>
      <w:r w:rsidR="00C10BBF">
        <w:rPr>
          <w:i/>
          <w:lang w:val="en-US"/>
        </w:rPr>
        <w:t>tdd</w:t>
      </w:r>
      <w:r w:rsidRPr="00FE7E1C">
        <w:rPr>
          <w:i/>
          <w:lang w:val="en-US"/>
        </w:rPr>
        <w:t>-</w:t>
      </w:r>
      <w:r w:rsidRPr="00B916EC">
        <w:rPr>
          <w:i/>
        </w:rPr>
        <w:t>UL-DL-</w:t>
      </w:r>
      <w:r>
        <w:rPr>
          <w:i/>
          <w:lang w:val="en-US"/>
        </w:rPr>
        <w:t>C</w:t>
      </w:r>
      <w:r w:rsidRPr="00B916EC">
        <w:rPr>
          <w:i/>
        </w:rPr>
        <w:t>onfiguration</w:t>
      </w:r>
      <w:r>
        <w:rPr>
          <w:i/>
          <w:lang w:val="en-US"/>
        </w:rPr>
        <w:t>C</w:t>
      </w:r>
      <w:r w:rsidRPr="00B916EC">
        <w:rPr>
          <w:i/>
        </w:rPr>
        <w:t>ommon</w:t>
      </w:r>
      <w:r>
        <w:t xml:space="preserve">, </w:t>
      </w:r>
      <w:r w:rsidRPr="00321956">
        <w:t>or</w:t>
      </w:r>
      <w:r w:rsidRPr="00B916EC">
        <w:t xml:space="preserve"> by </w:t>
      </w:r>
      <w:r w:rsidR="00C10BBF">
        <w:rPr>
          <w:i/>
          <w:lang w:val="en-US"/>
        </w:rPr>
        <w:t>tdd</w:t>
      </w:r>
      <w:r>
        <w:rPr>
          <w:lang w:val="en-US"/>
        </w:rPr>
        <w:t>-</w:t>
      </w:r>
      <w:r w:rsidRPr="00B916EC">
        <w:rPr>
          <w:i/>
        </w:rPr>
        <w:t>UL-DL-</w:t>
      </w:r>
      <w:r>
        <w:rPr>
          <w:i/>
          <w:lang w:val="en-US"/>
        </w:rPr>
        <w:t>C</w:t>
      </w:r>
      <w:r w:rsidRPr="00B916EC">
        <w:rPr>
          <w:i/>
        </w:rPr>
        <w:t>onfig</w:t>
      </w:r>
      <w:r w:rsidR="00C10BBF">
        <w:rPr>
          <w:i/>
        </w:rPr>
        <w:t>uration</w:t>
      </w:r>
      <w:r>
        <w:rPr>
          <w:i/>
          <w:lang w:val="en-US"/>
        </w:rPr>
        <w:t>D</w:t>
      </w:r>
      <w:r w:rsidRPr="00B916EC">
        <w:rPr>
          <w:i/>
        </w:rPr>
        <w:t>edicated</w:t>
      </w:r>
      <w:r w:rsidRPr="00B916EC">
        <w:t xml:space="preserve"> </w:t>
      </w:r>
      <w:r>
        <w:rPr>
          <w:lang w:val="en-US"/>
        </w:rPr>
        <w:t>to be</w:t>
      </w:r>
      <w:r w:rsidRPr="00B916EC">
        <w:t xml:space="preserve"> available for transmissions. </w:t>
      </w:r>
    </w:p>
    <w:p w14:paraId="72682F59" w14:textId="77777777" w:rsidR="00233D58" w:rsidRPr="001322F1" w:rsidRDefault="00233D58" w:rsidP="0027125A">
      <w:pPr>
        <w:rPr>
          <w:lang w:val="en-US"/>
        </w:rPr>
      </w:pPr>
      <w:r>
        <w:rPr>
          <w:lang w:val="en-US"/>
        </w:rPr>
        <w:t>If a UE is not configured to monitor PDCCH for DCI format 2</w:t>
      </w:r>
      <w:r w:rsidR="00C10BBF">
        <w:rPr>
          <w:lang w:val="en-US"/>
        </w:rPr>
        <w:t>_</w:t>
      </w:r>
      <w:r>
        <w:rPr>
          <w:lang w:val="en-US"/>
        </w:rPr>
        <w:t>0, f</w:t>
      </w:r>
      <w:r w:rsidRPr="00B916EC">
        <w:t xml:space="preserve">or a set of symbols of a slot that are indicated as flexible by </w:t>
      </w:r>
      <w:r w:rsidR="00C10BBF">
        <w:rPr>
          <w:i/>
          <w:lang w:val="en-US"/>
        </w:rPr>
        <w:t>tdd</w:t>
      </w:r>
      <w:r w:rsidRPr="00FE7E1C">
        <w:rPr>
          <w:i/>
          <w:lang w:val="en-US"/>
        </w:rPr>
        <w:t>-</w:t>
      </w:r>
      <w:r w:rsidRPr="00B916EC">
        <w:rPr>
          <w:i/>
        </w:rPr>
        <w:t>UL-DL-</w:t>
      </w:r>
      <w:r>
        <w:rPr>
          <w:i/>
          <w:lang w:val="en-US"/>
        </w:rPr>
        <w:t>C</w:t>
      </w:r>
      <w:r w:rsidRPr="00B916EC">
        <w:rPr>
          <w:i/>
        </w:rPr>
        <w:t>onfiguration</w:t>
      </w:r>
      <w:r>
        <w:rPr>
          <w:i/>
          <w:lang w:val="en-US"/>
        </w:rPr>
        <w:t>C</w:t>
      </w:r>
      <w:r w:rsidRPr="00B916EC">
        <w:rPr>
          <w:i/>
        </w:rPr>
        <w:t>ommon</w:t>
      </w:r>
      <w:r>
        <w:t xml:space="preserve"> </w:t>
      </w:r>
      <w:r w:rsidR="009225D1">
        <w:t xml:space="preserve">and </w:t>
      </w:r>
      <w:r w:rsidR="00C10BBF">
        <w:rPr>
          <w:i/>
          <w:lang w:val="en-US"/>
        </w:rPr>
        <w:t>tdd</w:t>
      </w:r>
      <w:r>
        <w:rPr>
          <w:lang w:val="en-US"/>
        </w:rPr>
        <w:t>-</w:t>
      </w:r>
      <w:r w:rsidRPr="00B916EC">
        <w:rPr>
          <w:i/>
        </w:rPr>
        <w:t>UL-DL-</w:t>
      </w:r>
      <w:r>
        <w:rPr>
          <w:i/>
          <w:lang w:val="en-US"/>
        </w:rPr>
        <w:t>C</w:t>
      </w:r>
      <w:r w:rsidRPr="00B916EC">
        <w:rPr>
          <w:i/>
        </w:rPr>
        <w:t>onfig</w:t>
      </w:r>
      <w:r w:rsidR="00C10BBF">
        <w:rPr>
          <w:i/>
        </w:rPr>
        <w:t>uration</w:t>
      </w:r>
      <w:r>
        <w:rPr>
          <w:i/>
          <w:lang w:val="en-US"/>
        </w:rPr>
        <w:t>D</w:t>
      </w:r>
      <w:r w:rsidRPr="00B916EC">
        <w:rPr>
          <w:i/>
        </w:rPr>
        <w:t>edicated</w:t>
      </w:r>
      <w:r w:rsidR="009225D1">
        <w:rPr>
          <w:rFonts w:eastAsia="DengXian" w:hint="eastAsia"/>
          <w:i/>
          <w:lang w:eastAsia="zh-CN"/>
        </w:rPr>
        <w:t xml:space="preserve"> </w:t>
      </w:r>
      <w:r w:rsidR="009225D1" w:rsidRPr="00376326">
        <w:rPr>
          <w:rFonts w:eastAsia="DengXian" w:hint="eastAsia"/>
          <w:lang w:eastAsia="zh-CN"/>
        </w:rPr>
        <w:t>if provided</w:t>
      </w:r>
      <w:r>
        <w:t xml:space="preserve">, or when </w:t>
      </w:r>
      <w:r w:rsidR="00C10BBF">
        <w:rPr>
          <w:i/>
          <w:lang w:val="en-US"/>
        </w:rPr>
        <w:t>tdd</w:t>
      </w:r>
      <w:r w:rsidRPr="00FE7E1C">
        <w:rPr>
          <w:i/>
          <w:lang w:val="en-US"/>
        </w:rPr>
        <w:t>-</w:t>
      </w:r>
      <w:r w:rsidRPr="00B916EC">
        <w:rPr>
          <w:i/>
        </w:rPr>
        <w:t>UL-DL-</w:t>
      </w:r>
      <w:r>
        <w:rPr>
          <w:i/>
          <w:lang w:val="en-US"/>
        </w:rPr>
        <w:t>C</w:t>
      </w:r>
      <w:r w:rsidRPr="00B916EC">
        <w:rPr>
          <w:i/>
        </w:rPr>
        <w:t>onfiguration</w:t>
      </w:r>
      <w:r>
        <w:rPr>
          <w:i/>
          <w:lang w:val="en-US"/>
        </w:rPr>
        <w:t>C</w:t>
      </w:r>
      <w:r w:rsidRPr="00B916EC">
        <w:rPr>
          <w:i/>
        </w:rPr>
        <w:t>ommon</w:t>
      </w:r>
      <w:r>
        <w:t xml:space="preserve"> </w:t>
      </w:r>
      <w:r w:rsidRPr="00321956">
        <w:t>and</w:t>
      </w:r>
      <w:r w:rsidRPr="00B916EC">
        <w:t xml:space="preserve"> </w:t>
      </w:r>
      <w:r w:rsidR="00C10BBF">
        <w:rPr>
          <w:i/>
          <w:lang w:val="en-US"/>
        </w:rPr>
        <w:t>tdd</w:t>
      </w:r>
      <w:r>
        <w:rPr>
          <w:lang w:val="en-US"/>
        </w:rPr>
        <w:t>-</w:t>
      </w:r>
      <w:r w:rsidRPr="00B916EC">
        <w:rPr>
          <w:i/>
        </w:rPr>
        <w:t>UL-DL-</w:t>
      </w:r>
      <w:r>
        <w:rPr>
          <w:i/>
          <w:lang w:val="en-US"/>
        </w:rPr>
        <w:t>C</w:t>
      </w:r>
      <w:r w:rsidRPr="00B916EC">
        <w:rPr>
          <w:i/>
        </w:rPr>
        <w:t>onfig</w:t>
      </w:r>
      <w:r w:rsidR="00C10BBF">
        <w:rPr>
          <w:i/>
        </w:rPr>
        <w:t>uration</w:t>
      </w:r>
      <w:r>
        <w:rPr>
          <w:i/>
          <w:lang w:val="en-US"/>
        </w:rPr>
        <w:t>D</w:t>
      </w:r>
      <w:r w:rsidRPr="00B916EC">
        <w:rPr>
          <w:i/>
        </w:rPr>
        <w:t>edicated</w:t>
      </w:r>
      <w:r>
        <w:t xml:space="preserve"> are not provided to the UE</w:t>
      </w:r>
    </w:p>
    <w:p w14:paraId="21ED6DCF" w14:textId="762EC590" w:rsidR="00233D58" w:rsidRPr="00B916EC" w:rsidRDefault="00233D58" w:rsidP="0027125A">
      <w:pPr>
        <w:pStyle w:val="B1"/>
      </w:pPr>
      <w:r>
        <w:t>-</w:t>
      </w:r>
      <w:r>
        <w:tab/>
      </w:r>
      <w:r>
        <w:rPr>
          <w:lang w:val="en-US"/>
        </w:rPr>
        <w:t>t</w:t>
      </w:r>
      <w:r>
        <w:t>he</w:t>
      </w:r>
      <w:r w:rsidRPr="00B916EC">
        <w:t xml:space="preserve"> UE receive</w:t>
      </w:r>
      <w:r>
        <w:rPr>
          <w:lang w:val="en-US"/>
        </w:rPr>
        <w:t>s</w:t>
      </w:r>
      <w:r w:rsidRPr="00B916EC">
        <w:t xml:space="preserve"> PDSCH or CSI-RS in the set of symbols of the slot if the UE receives a corresponding indication by a DCI format</w:t>
      </w:r>
    </w:p>
    <w:p w14:paraId="2C9A5712" w14:textId="5BE04934" w:rsidR="00233D58" w:rsidRPr="00B916EC" w:rsidRDefault="00233D58" w:rsidP="0027125A">
      <w:pPr>
        <w:pStyle w:val="B1"/>
      </w:pPr>
      <w:r>
        <w:t>-</w:t>
      </w:r>
      <w:r>
        <w:tab/>
      </w:r>
      <w:r>
        <w:rPr>
          <w:lang w:val="en-US"/>
        </w:rPr>
        <w:t>t</w:t>
      </w:r>
      <w:r>
        <w:t>he</w:t>
      </w:r>
      <w:r w:rsidRPr="00B916EC">
        <w:t xml:space="preserve"> UE transmit</w:t>
      </w:r>
      <w:r>
        <w:rPr>
          <w:lang w:val="en-US"/>
        </w:rPr>
        <w:t>s</w:t>
      </w:r>
      <w:r w:rsidRPr="00B916EC">
        <w:t xml:space="preserve"> PUSCH, PUCCH, PRACH, or SRS in the set of symbols of the slot if the UE receives a corresponding indication by a DCI format</w:t>
      </w:r>
      <w:r w:rsidR="00976364">
        <w:rPr>
          <w:lang w:val="en-US"/>
        </w:rPr>
        <w:t>,</w:t>
      </w:r>
      <w:r w:rsidR="00337E47">
        <w:rPr>
          <w:lang w:val="en-US"/>
        </w:rPr>
        <w:t xml:space="preserve"> a RAR UL grant</w:t>
      </w:r>
      <w:r w:rsidR="00976364">
        <w:rPr>
          <w:lang w:val="en-US"/>
        </w:rPr>
        <w:t xml:space="preserve">, </w:t>
      </w:r>
      <w:r w:rsidR="00976364" w:rsidRPr="00C57C8E">
        <w:t>fallbackRAR UL grant, or successRAR</w:t>
      </w:r>
      <w:r>
        <w:t xml:space="preserve"> </w:t>
      </w:r>
    </w:p>
    <w:p w14:paraId="380B2235" w14:textId="07BF6E93" w:rsidR="00233D58" w:rsidRPr="00B916EC" w:rsidRDefault="003C0B8D" w:rsidP="0027125A">
      <w:r w:rsidRPr="00D93263">
        <w:t xml:space="preserve">For </w:t>
      </w:r>
      <w:r w:rsidRPr="00D93263">
        <w:rPr>
          <w:lang w:val="fi-FI"/>
        </w:rPr>
        <w:t>operation on a single carrier in unpaired spectrum,</w:t>
      </w:r>
      <w:r>
        <w:rPr>
          <w:lang w:val="fi-FI"/>
        </w:rPr>
        <w:t xml:space="preserve"> </w:t>
      </w:r>
      <w:r>
        <w:t>i</w:t>
      </w:r>
      <w:r w:rsidR="00233D58">
        <w:t xml:space="preserve">f </w:t>
      </w:r>
      <w:r w:rsidR="00233D58">
        <w:rPr>
          <w:lang w:val="en-US"/>
        </w:rPr>
        <w:t>a</w:t>
      </w:r>
      <w:r w:rsidR="00233D58" w:rsidRPr="00B916EC">
        <w:t xml:space="preserve"> UE </w:t>
      </w:r>
      <w:r w:rsidR="00233D58">
        <w:t xml:space="preserve">is </w:t>
      </w:r>
      <w:r w:rsidR="00233D58" w:rsidRPr="00B916EC">
        <w:t xml:space="preserve">configured </w:t>
      </w:r>
      <w:r w:rsidR="00233D58">
        <w:t>by higher layers to receive</w:t>
      </w:r>
      <w:r w:rsidR="00233D58" w:rsidRPr="00B916EC">
        <w:t xml:space="preserve"> </w:t>
      </w:r>
      <w:r w:rsidR="00233D58">
        <w:t xml:space="preserve">a </w:t>
      </w:r>
      <w:r w:rsidR="00233D58" w:rsidRPr="00B916EC">
        <w:t>PDCCH</w:t>
      </w:r>
      <w:r w:rsidR="00233D58">
        <w:t>, or a PDSCH,</w:t>
      </w:r>
      <w:r w:rsidR="00233D58" w:rsidRPr="00B916EC">
        <w:t xml:space="preserve"> or </w:t>
      </w:r>
      <w:r w:rsidR="00233D58">
        <w:t xml:space="preserve">a </w:t>
      </w:r>
      <w:r w:rsidR="00233D58" w:rsidRPr="00B916EC">
        <w:t>CSI-RS</w:t>
      </w:r>
      <w:r w:rsidR="000D42DF">
        <w:t>, or a DL PRS</w:t>
      </w:r>
      <w:r w:rsidR="00233D58" w:rsidRPr="00B916EC">
        <w:t xml:space="preserve"> in </w:t>
      </w:r>
      <w:r w:rsidR="00E81663">
        <w:t>a</w:t>
      </w:r>
      <w:r w:rsidR="00E81663" w:rsidRPr="00B916EC">
        <w:t xml:space="preserve"> </w:t>
      </w:r>
      <w:r w:rsidR="00233D58" w:rsidRPr="00B916EC">
        <w:t xml:space="preserve">set of symbols of </w:t>
      </w:r>
      <w:r w:rsidR="003E1929">
        <w:t>a</w:t>
      </w:r>
      <w:r w:rsidR="003E1929" w:rsidRPr="00B916EC">
        <w:t xml:space="preserve"> </w:t>
      </w:r>
      <w:r w:rsidR="00233D58" w:rsidRPr="00B916EC">
        <w:t>slot</w:t>
      </w:r>
      <w:r w:rsidR="00233D58">
        <w:t>, the UE</w:t>
      </w:r>
      <w:r w:rsidR="00233D58" w:rsidRPr="00B916EC">
        <w:t xml:space="preserve"> receive</w:t>
      </w:r>
      <w:r w:rsidR="00233D58">
        <w:rPr>
          <w:lang w:val="en-US"/>
        </w:rPr>
        <w:t>s</w:t>
      </w:r>
      <w:r w:rsidR="00233D58" w:rsidRPr="00B916EC">
        <w:t xml:space="preserve"> the PDCCH</w:t>
      </w:r>
      <w:r w:rsidR="00233D58">
        <w:t>, the PDSCH,</w:t>
      </w:r>
      <w:r w:rsidR="00233D58" w:rsidRPr="00B916EC">
        <w:t xml:space="preserve"> the CSI-RS</w:t>
      </w:r>
      <w:r w:rsidR="000D42DF">
        <w:t>, or the DL PRS</w:t>
      </w:r>
      <w:r w:rsidR="00233D58" w:rsidRPr="00B916EC">
        <w:t xml:space="preserve"> if the UE does not detect a DCI format</w:t>
      </w:r>
      <w:r w:rsidR="00233D58">
        <w:t xml:space="preserve"> </w:t>
      </w:r>
      <w:r w:rsidR="00233D58" w:rsidRPr="00B439EE">
        <w:rPr>
          <w:lang w:eastAsia="zh-CN"/>
        </w:rPr>
        <w:t xml:space="preserve">that indicates to the UE to transmit a PUSCH, a PUCCH, a PRACH, or a SRS </w:t>
      </w:r>
      <w:r w:rsidR="00233D58" w:rsidRPr="005261DA">
        <w:rPr>
          <w:lang w:eastAsia="zh-CN"/>
        </w:rPr>
        <w:t xml:space="preserve">in </w:t>
      </w:r>
      <w:r w:rsidR="00233D58" w:rsidRPr="00147F39">
        <w:rPr>
          <w:lang w:eastAsia="zh-CN"/>
        </w:rPr>
        <w:t>at least one symbol of the</w:t>
      </w:r>
      <w:r w:rsidR="00233D58" w:rsidRPr="005261DA">
        <w:rPr>
          <w:lang w:eastAsia="zh-CN"/>
        </w:rPr>
        <w:t xml:space="preserve"> </w:t>
      </w:r>
      <w:r w:rsidR="00233D58" w:rsidRPr="00B439EE">
        <w:rPr>
          <w:lang w:eastAsia="zh-CN"/>
        </w:rPr>
        <w:t xml:space="preserve">set of </w:t>
      </w:r>
      <w:r w:rsidR="00233D58" w:rsidRPr="00B916EC">
        <w:t>symbols of the slot</w:t>
      </w:r>
      <w:r w:rsidR="00233D58">
        <w:rPr>
          <w:lang w:val="en-US"/>
        </w:rPr>
        <w:t>; o</w:t>
      </w:r>
      <w:r w:rsidR="00233D58" w:rsidRPr="00B916EC">
        <w:t xml:space="preserve">therwise, the UE </w:t>
      </w:r>
      <w:r w:rsidR="00233D58">
        <w:rPr>
          <w:lang w:val="en-US"/>
        </w:rPr>
        <w:t>does</w:t>
      </w:r>
      <w:r w:rsidR="00233D58" w:rsidRPr="00B916EC">
        <w:t xml:space="preserve"> not receive the PDCCH</w:t>
      </w:r>
      <w:r w:rsidR="00233D58">
        <w:t>, or the PDSCH,</w:t>
      </w:r>
      <w:r w:rsidR="00233D58" w:rsidRPr="00B916EC">
        <w:t xml:space="preserve"> or the CSI-RS</w:t>
      </w:r>
      <w:r w:rsidR="000D42DF">
        <w:t>, or the DL PRS</w:t>
      </w:r>
      <w:r w:rsidR="00233D58" w:rsidRPr="00B916EC">
        <w:t xml:space="preserve"> in the set of symbols of the slot. </w:t>
      </w:r>
    </w:p>
    <w:p w14:paraId="165200D8" w14:textId="63EEEB6E" w:rsidR="004E46F6" w:rsidRPr="00A641EE" w:rsidRDefault="004E46F6" w:rsidP="004E46F6">
      <w:r w:rsidRPr="00A641EE">
        <w:t xml:space="preserve">For </w:t>
      </w:r>
      <w:r w:rsidR="00C354EA">
        <w:t xml:space="preserve">a UE </w:t>
      </w:r>
      <w:r w:rsidRPr="00A641EE">
        <w:t>operation with shared spectrum channel access</w:t>
      </w:r>
      <w:r w:rsidR="00C354EA">
        <w:t xml:space="preserve"> in FR1, or in FR2-2 when the UE is provided </w:t>
      </w:r>
      <w:r w:rsidR="00C354EA" w:rsidRPr="00A60998">
        <w:rPr>
          <w:i/>
          <w:iCs/>
        </w:rPr>
        <w:t>ChannelAccessMode2</w:t>
      </w:r>
      <w:r w:rsidR="00C354EA">
        <w:t xml:space="preserve"> = </w:t>
      </w:r>
      <w:r w:rsidR="00F22988">
        <w:t>'</w:t>
      </w:r>
      <w:r w:rsidR="00C354EA" w:rsidRPr="00A60998">
        <w:rPr>
          <w:i/>
          <w:iCs/>
        </w:rPr>
        <w:t>enabled</w:t>
      </w:r>
      <w:r w:rsidR="00F22988">
        <w:t>'</w:t>
      </w:r>
      <w:r w:rsidRPr="00A641EE">
        <w:rPr>
          <w:lang w:val="fi-FI"/>
        </w:rPr>
        <w:t xml:space="preserve">, </w:t>
      </w:r>
      <w:r w:rsidRPr="00A641EE">
        <w:t xml:space="preserve">if </w:t>
      </w:r>
      <w:r w:rsidR="00C354EA">
        <w:t>the</w:t>
      </w:r>
      <w:r w:rsidR="00C354EA" w:rsidRPr="00A641EE">
        <w:t xml:space="preserve"> </w:t>
      </w:r>
      <w:r w:rsidRPr="00A641EE">
        <w:t xml:space="preserve">UE is </w:t>
      </w:r>
      <w:r>
        <w:t>provided</w:t>
      </w:r>
      <w:r w:rsidRPr="00A641EE">
        <w:t xml:space="preserve"> </w:t>
      </w:r>
      <w:r w:rsidR="006773A2">
        <w:rPr>
          <w:i/>
          <w:iCs/>
        </w:rPr>
        <w:t>csi</w:t>
      </w:r>
      <w:r>
        <w:rPr>
          <w:i/>
          <w:iCs/>
        </w:rPr>
        <w:t>-RS-ValidationWithDCI</w:t>
      </w:r>
      <w:r>
        <w:t>,</w:t>
      </w:r>
      <w:r w:rsidRPr="00A641EE">
        <w:t xml:space="preserve"> is not </w:t>
      </w:r>
      <w:r>
        <w:t>provid</w:t>
      </w:r>
      <w:r w:rsidRPr="00A641EE">
        <w:t xml:space="preserve">ed </w:t>
      </w:r>
      <w:r w:rsidRPr="00A641EE">
        <w:rPr>
          <w:i/>
          <w:iCs/>
        </w:rPr>
        <w:t>CO-Duration</w:t>
      </w:r>
      <w:r w:rsidR="006773A2">
        <w:rPr>
          <w:i/>
          <w:iCs/>
        </w:rPr>
        <w:t>s</w:t>
      </w:r>
      <w:r w:rsidRPr="00A641EE">
        <w:rPr>
          <w:i/>
          <w:iCs/>
        </w:rPr>
        <w:t>PerCell</w:t>
      </w:r>
      <w:r>
        <w:t xml:space="preserve">, </w:t>
      </w:r>
      <w:r w:rsidRPr="00A641EE">
        <w:t xml:space="preserve">and </w:t>
      </w:r>
      <w:r>
        <w:t>is not</w:t>
      </w:r>
      <w:r w:rsidRPr="00A641EE">
        <w:t xml:space="preserve"> </w:t>
      </w:r>
      <w:r>
        <w:t>provided</w:t>
      </w:r>
      <w:r w:rsidRPr="00A641EE">
        <w:t xml:space="preserve"> </w:t>
      </w:r>
      <w:r w:rsidR="00C35265" w:rsidRPr="00E41909">
        <w:rPr>
          <w:i/>
          <w:iCs/>
        </w:rPr>
        <w:t>SlotFormatCombinationsPerCell</w:t>
      </w:r>
      <w:r w:rsidRPr="00A641EE">
        <w:t xml:space="preserve">, and if the UE is configured by higher layers to receive </w:t>
      </w:r>
      <w:r>
        <w:t xml:space="preserve">a </w:t>
      </w:r>
      <w:r w:rsidRPr="00A641EE">
        <w:t xml:space="preserve">CSI-RS in a set of symbols </w:t>
      </w:r>
      <w:r>
        <w:t>of</w:t>
      </w:r>
      <w:r w:rsidRPr="00A641EE">
        <w:t xml:space="preserve"> a slot, the UE cancels the CSI-RS reception in the set of symbols </w:t>
      </w:r>
      <w:r>
        <w:t>of</w:t>
      </w:r>
      <w:r w:rsidRPr="00A641EE">
        <w:t xml:space="preserve"> the slot if the UE does not detect a DCI format </w:t>
      </w:r>
      <w:r>
        <w:t>indicating</w:t>
      </w:r>
      <w:r w:rsidRPr="00A641EE">
        <w:t xml:space="preserve"> </w:t>
      </w:r>
      <w:r>
        <w:t xml:space="preserve">an </w:t>
      </w:r>
      <w:r w:rsidRPr="00A641EE">
        <w:t xml:space="preserve">aperiodic CSI-RS </w:t>
      </w:r>
      <w:r>
        <w:t xml:space="preserve">reception </w:t>
      </w:r>
      <w:r w:rsidRPr="00A641EE">
        <w:t xml:space="preserve">or scheduling </w:t>
      </w:r>
      <w:r>
        <w:t xml:space="preserve">a </w:t>
      </w:r>
      <w:r w:rsidRPr="00A641EE">
        <w:t xml:space="preserve">PDSCH </w:t>
      </w:r>
      <w:r>
        <w:t xml:space="preserve">reception </w:t>
      </w:r>
      <w:r w:rsidRPr="00A641EE">
        <w:t>in the set of symbols</w:t>
      </w:r>
      <w:r>
        <w:t xml:space="preserve"> of the slot</w:t>
      </w:r>
      <w:r w:rsidRPr="00A641EE">
        <w:t xml:space="preserve">. </w:t>
      </w:r>
    </w:p>
    <w:p w14:paraId="13B0DABB" w14:textId="1A222AF3" w:rsidR="00427F0C" w:rsidRPr="00CA657A" w:rsidRDefault="00427F0C" w:rsidP="00427F0C">
      <w:pPr>
        <w:rPr>
          <w:lang w:val="en-US"/>
        </w:rPr>
      </w:pPr>
      <w:r>
        <w:lastRenderedPageBreak/>
        <w:t>If a UE is</w:t>
      </w:r>
      <w:r w:rsidRPr="00B916EC">
        <w:t xml:space="preserve"> </w:t>
      </w:r>
      <w:r>
        <w:t xml:space="preserve">provided </w:t>
      </w:r>
      <w:r w:rsidR="006773A2">
        <w:rPr>
          <w:i/>
          <w:color w:val="000000"/>
        </w:rPr>
        <w:t>c</w:t>
      </w:r>
      <w:r w:rsidR="006773A2" w:rsidRPr="006577BC">
        <w:rPr>
          <w:i/>
          <w:color w:val="000000"/>
        </w:rPr>
        <w:t>hannelAccessMode</w:t>
      </w:r>
      <w:r w:rsidRPr="006577BC">
        <w:rPr>
          <w:i/>
          <w:color w:val="000000"/>
        </w:rPr>
        <w:t xml:space="preserve"> =</w:t>
      </w:r>
      <w:r>
        <w:rPr>
          <w:i/>
          <w:color w:val="000000"/>
        </w:rPr>
        <w:t>'dynamic'</w:t>
      </w:r>
      <w:r>
        <w:rPr>
          <w:iCs/>
        </w:rPr>
        <w:t xml:space="preserve"> and is provided </w:t>
      </w:r>
      <w:r>
        <w:rPr>
          <w:i/>
        </w:rPr>
        <w:t>availableRB-SetsToAddModList</w:t>
      </w:r>
      <w:r>
        <w:t xml:space="preserve"> and</w:t>
      </w:r>
      <w:r>
        <w:rPr>
          <w:lang w:eastAsia="zh-CN"/>
        </w:rPr>
        <w:t xml:space="preserve"> </w:t>
      </w:r>
      <w:r>
        <w:rPr>
          <w:i/>
        </w:rPr>
        <w:t>availableRB-SetsToRelease</w:t>
      </w:r>
      <w:r w:rsidR="00514000">
        <w:rPr>
          <w:i/>
        </w:rPr>
        <w:t>List</w:t>
      </w:r>
      <w:r>
        <w:rPr>
          <w:rFonts w:eastAsia="Gulim"/>
          <w:lang w:eastAsia="zh-CN"/>
        </w:rPr>
        <w:t xml:space="preserve">, </w:t>
      </w:r>
      <w:r>
        <w:rPr>
          <w:iCs/>
        </w:rPr>
        <w:t xml:space="preserve">the UE expects to be provided </w:t>
      </w:r>
      <w:r>
        <w:rPr>
          <w:i/>
        </w:rPr>
        <w:t>co-DurationsPerCellToAddModList</w:t>
      </w:r>
      <w:r>
        <w:t xml:space="preserve"> and</w:t>
      </w:r>
      <w:r>
        <w:rPr>
          <w:lang w:eastAsia="zh-CN"/>
        </w:rPr>
        <w:t xml:space="preserve"> </w:t>
      </w:r>
      <w:r>
        <w:rPr>
          <w:i/>
        </w:rPr>
        <w:t>co-DurationsPerCellToReleaseList</w:t>
      </w:r>
      <w:r>
        <w:rPr>
          <w:rFonts w:eastAsia="Gulim"/>
          <w:lang w:eastAsia="zh-CN"/>
        </w:rPr>
        <w:t xml:space="preserve"> and/or </w:t>
      </w:r>
      <w:r>
        <w:rPr>
          <w:i/>
        </w:rPr>
        <w:t>slotFormatCombToAddModList</w:t>
      </w:r>
      <w:r>
        <w:t xml:space="preserve"> and</w:t>
      </w:r>
      <w:r>
        <w:rPr>
          <w:lang w:eastAsia="zh-CN"/>
        </w:rPr>
        <w:t xml:space="preserve"> </w:t>
      </w:r>
      <w:r>
        <w:rPr>
          <w:i/>
        </w:rPr>
        <w:t>slotFormatCombToReleaseList</w:t>
      </w:r>
      <w:r>
        <w:rPr>
          <w:iCs/>
        </w:rPr>
        <w:t>.</w:t>
      </w:r>
    </w:p>
    <w:p w14:paraId="1E2C2ED6" w14:textId="5CA3F8D0" w:rsidR="00233D58" w:rsidRDefault="003C0B8D">
      <w:r w:rsidRPr="00D93263">
        <w:t xml:space="preserve">For </w:t>
      </w:r>
      <w:r w:rsidRPr="00D93263">
        <w:rPr>
          <w:lang w:val="fi-FI"/>
        </w:rPr>
        <w:t>operation on a sing</w:t>
      </w:r>
      <w:r>
        <w:rPr>
          <w:lang w:val="fi-FI"/>
        </w:rPr>
        <w:t xml:space="preserve">le carrier in unpaired spectrum, </w:t>
      </w:r>
      <w:r>
        <w:t>i</w:t>
      </w:r>
      <w:r w:rsidR="00233D58">
        <w:t xml:space="preserve">f a UE is configured by higher layers to transmit SRS, or PUCCH, or PUSCH, or PRACH in a set of symbols of a slot and the UE detects a DCI format indicating to the UE to receive CSI-RS or PDSCH in a subset of symbols from the set of symbols, then </w:t>
      </w:r>
    </w:p>
    <w:p w14:paraId="200D8A95" w14:textId="4BDD33A4" w:rsidR="00233D58" w:rsidRPr="00991649" w:rsidRDefault="00233D58" w:rsidP="0027125A">
      <w:pPr>
        <w:pStyle w:val="B1"/>
        <w:rPr>
          <w:lang w:eastAsia="zh-CN"/>
        </w:rPr>
      </w:pPr>
      <w:r>
        <w:t>-</w:t>
      </w:r>
      <w:r>
        <w:tab/>
      </w:r>
      <w:r w:rsidR="00597462">
        <w:rPr>
          <w:lang w:val="en-US"/>
        </w:rPr>
        <w:t xml:space="preserve">If the UE does not indicate the capability of [partialCancellation], </w:t>
      </w:r>
      <w:r>
        <w:rPr>
          <w:rFonts w:hint="eastAsia"/>
        </w:rPr>
        <w:t xml:space="preserve">the UE does not expect to cancel the transmission </w:t>
      </w:r>
      <w:r w:rsidR="00597462">
        <w:rPr>
          <w:lang w:val="en-US"/>
        </w:rPr>
        <w:t xml:space="preserve">of the PUCCH or PUSCH or PRACH </w:t>
      </w:r>
      <w:r>
        <w:rPr>
          <w:rFonts w:hint="eastAsia"/>
        </w:rPr>
        <w:t>in</w:t>
      </w:r>
      <w:r>
        <w:rPr>
          <w:lang w:val="en-US"/>
        </w:rPr>
        <w:t xml:space="preserve"> the set of symbols </w:t>
      </w:r>
      <w:r w:rsidR="00597462">
        <w:rPr>
          <w:lang w:val="en-US"/>
        </w:rPr>
        <w:t>if the first symbol in the set</w:t>
      </w:r>
      <w:r>
        <w:rPr>
          <w:rFonts w:hint="eastAsia"/>
        </w:rPr>
        <w:t xml:space="preserve"> occur</w:t>
      </w:r>
      <w:r w:rsidR="00597462">
        <w:rPr>
          <w:lang w:val="en-US"/>
        </w:rPr>
        <w:t xml:space="preserve">s within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 xml:space="preserve">proc,2 </m:t>
            </m:r>
          </m:sub>
        </m:sSub>
      </m:oMath>
      <w:r>
        <w:rPr>
          <w:rFonts w:hint="eastAsia"/>
        </w:rPr>
        <w:t xml:space="preserve"> relative to a last symbol of a </w:t>
      </w:r>
      <w:r w:rsidR="006F4839">
        <w:t>PDCCH reception</w:t>
      </w:r>
      <w:r>
        <w:rPr>
          <w:rFonts w:hint="eastAsia"/>
        </w:rPr>
        <w:t xml:space="preserve"> where the UE detects the DCI format</w:t>
      </w:r>
      <w:r w:rsidR="00597462">
        <w:rPr>
          <w:lang w:val="en-US"/>
        </w:rPr>
        <w:t xml:space="preserve">; otherwise, the UE cancels the PUCCH, or the PUSCH, or an actual repetition of the PUSCH [6, </w:t>
      </w:r>
      <w:r w:rsidR="00295E42">
        <w:rPr>
          <w:lang w:val="en-US"/>
        </w:rPr>
        <w:t>TS 38.</w:t>
      </w:r>
      <w:r w:rsidR="00597462">
        <w:rPr>
          <w:lang w:val="en-US"/>
        </w:rPr>
        <w:t xml:space="preserve">214], determined from </w:t>
      </w:r>
      <w:r w:rsidR="006F5F9E">
        <w:rPr>
          <w:lang w:val="en-US"/>
        </w:rPr>
        <w:t>clause</w:t>
      </w:r>
      <w:r w:rsidR="00597462">
        <w:rPr>
          <w:lang w:val="en-US"/>
        </w:rPr>
        <w:t>s 9</w:t>
      </w:r>
      <w:r w:rsidR="00295E42">
        <w:rPr>
          <w:lang w:val="en-US"/>
        </w:rPr>
        <w:t>,</w:t>
      </w:r>
      <w:r w:rsidR="00597462">
        <w:rPr>
          <w:lang w:val="en-US"/>
        </w:rPr>
        <w:t xml:space="preserve"> 9.2.5 </w:t>
      </w:r>
      <w:r w:rsidR="00295E42">
        <w:rPr>
          <w:lang w:val="en-US"/>
        </w:rPr>
        <w:t xml:space="preserve">and 9.2.6 </w:t>
      </w:r>
      <w:r w:rsidR="00597462">
        <w:rPr>
          <w:lang w:val="en-US"/>
        </w:rPr>
        <w:t xml:space="preserve">or </w:t>
      </w:r>
      <w:r w:rsidR="006F5F9E">
        <w:rPr>
          <w:lang w:val="en-US"/>
        </w:rPr>
        <w:t>clause</w:t>
      </w:r>
      <w:r w:rsidR="00597462">
        <w:rPr>
          <w:lang w:val="en-US"/>
        </w:rPr>
        <w:t xml:space="preserve"> 6.1 of [6, </w:t>
      </w:r>
      <w:r w:rsidR="00295E42">
        <w:rPr>
          <w:lang w:val="en-US"/>
        </w:rPr>
        <w:t>TS 38.</w:t>
      </w:r>
      <w:r w:rsidR="00597462">
        <w:rPr>
          <w:lang w:val="en-US"/>
        </w:rPr>
        <w:t>214], or the PRACH transmission in the set of symbols.</w:t>
      </w:r>
    </w:p>
    <w:p w14:paraId="783F7FE9" w14:textId="59CA2414" w:rsidR="00A60570" w:rsidRPr="001F460E" w:rsidRDefault="00A60570" w:rsidP="004455AE">
      <w:pPr>
        <w:pStyle w:val="B1"/>
      </w:pPr>
      <w:r w:rsidRPr="001F460E">
        <w:t>-</w:t>
      </w:r>
      <w:r>
        <w:tab/>
      </w:r>
      <w:r w:rsidRPr="001F460E">
        <w:t xml:space="preserve">If the UE indicates the capability of [partialCancellation], </w:t>
      </w:r>
      <w:r w:rsidRPr="001F460E">
        <w:rPr>
          <w:rFonts w:hint="eastAsia"/>
        </w:rPr>
        <w:t xml:space="preserve">the UE does not expect to cancel the transmission </w:t>
      </w:r>
      <w:r w:rsidRPr="001F460E">
        <w:t xml:space="preserve">of the PUCCH or PUSCH or PRACH </w:t>
      </w:r>
      <w:r w:rsidRPr="001F460E">
        <w:rPr>
          <w:rFonts w:hint="eastAsia"/>
        </w:rPr>
        <w:t>in</w:t>
      </w:r>
      <w:r w:rsidRPr="001F460E">
        <w:rPr>
          <w:lang w:val="en-US"/>
        </w:rPr>
        <w:t xml:space="preserve"> symbols from the set of symbols </w:t>
      </w:r>
      <w:r w:rsidRPr="001F460E">
        <w:t>that</w:t>
      </w:r>
      <w:r w:rsidRPr="001F460E">
        <w:rPr>
          <w:rFonts w:hint="eastAsia"/>
        </w:rPr>
        <w:t xml:space="preserve"> occur</w:t>
      </w:r>
      <w:r>
        <w:rPr>
          <w:lang w:val="en-US"/>
        </w:rPr>
        <w:t xml:space="preserve"> within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proc,2</m:t>
            </m:r>
          </m:sub>
        </m:sSub>
      </m:oMath>
      <w:r w:rsidRPr="001F460E">
        <w:rPr>
          <w:rFonts w:hint="eastAsia"/>
        </w:rPr>
        <w:t xml:space="preserve"> relative to a last symbol of a </w:t>
      </w:r>
      <w:r w:rsidR="006F4839">
        <w:t>PDCCH reception</w:t>
      </w:r>
      <w:r w:rsidRPr="001F460E">
        <w:rPr>
          <w:rFonts w:hint="eastAsia"/>
        </w:rPr>
        <w:t xml:space="preserve"> where the UE detects the DCI format</w:t>
      </w:r>
      <w:r w:rsidRPr="001F460E">
        <w:t xml:space="preserve">. The UE cancels the PUCCH, or the PUSCH, or an actual repetition of the PUSCH [6, TS 38.214], determined from </w:t>
      </w:r>
      <w:r w:rsidR="006F5F9E">
        <w:t>clause</w:t>
      </w:r>
      <w:r w:rsidRPr="001F460E">
        <w:t>s 9</w:t>
      </w:r>
      <w:r w:rsidR="00295E42">
        <w:rPr>
          <w:lang w:val="en-GB"/>
        </w:rPr>
        <w:t>,</w:t>
      </w:r>
      <w:r w:rsidRPr="001F460E">
        <w:t xml:space="preserve"> 9.2.5</w:t>
      </w:r>
      <w:r w:rsidR="00295E42">
        <w:rPr>
          <w:lang w:val="en-US"/>
        </w:rPr>
        <w:t xml:space="preserve"> and 9.2.6</w:t>
      </w:r>
      <w:r w:rsidRPr="001F460E">
        <w:t xml:space="preserve"> or </w:t>
      </w:r>
      <w:r w:rsidR="006F5F9E">
        <w:t>clause</w:t>
      </w:r>
      <w:r w:rsidRPr="001F460E">
        <w:t xml:space="preserve"> 6.1 of [6</w:t>
      </w:r>
      <w:r>
        <w:rPr>
          <w:lang w:val="en-US"/>
        </w:rPr>
        <w:t>,</w:t>
      </w:r>
      <w:r w:rsidRPr="001F460E">
        <w:t xml:space="preserve"> TS 38.214], or the PRACH transmission in remaining symbols from the set of symbols.  </w:t>
      </w:r>
    </w:p>
    <w:p w14:paraId="371B0442" w14:textId="16C24F5E" w:rsidR="00A60570" w:rsidRPr="008418E3" w:rsidRDefault="00A60570" w:rsidP="004455AE">
      <w:pPr>
        <w:pStyle w:val="B1"/>
        <w:rPr>
          <w:lang w:val="en-US" w:eastAsia="zh-CN"/>
        </w:rPr>
      </w:pPr>
      <w:r>
        <w:rPr>
          <w:lang w:val="en-US" w:eastAsia="zh-CN"/>
        </w:rPr>
        <w:t>-</w:t>
      </w:r>
      <w:r>
        <w:rPr>
          <w:lang w:val="en-US" w:eastAsia="zh-CN"/>
        </w:rPr>
        <w:tab/>
        <w:t xml:space="preserve">The UE does not expect to cancel the transmission of SRS in symbols from the subset of symbols that occur within </w:t>
      </w:r>
      <m:oMath>
        <m:sSub>
          <m:sSubPr>
            <m:ctrlPr>
              <w:rPr>
                <w:rFonts w:ascii="Cambria Math" w:hAnsi="Cambria Math"/>
                <w:i/>
                <w:lang w:val="en-US" w:eastAsia="zh-CN"/>
              </w:rPr>
            </m:ctrlPr>
          </m:sSubPr>
          <m:e>
            <m:r>
              <w:rPr>
                <w:rFonts w:ascii="Cambria Math" w:hAnsi="Cambria Math"/>
                <w:lang w:val="en-US" w:eastAsia="zh-CN"/>
              </w:rPr>
              <m:t>T</m:t>
            </m:r>
          </m:e>
          <m:sub>
            <m:r>
              <w:rPr>
                <w:rFonts w:ascii="Cambria Math" w:hAnsi="Cambria Math"/>
                <w:lang w:val="en-US" w:eastAsia="zh-CN"/>
              </w:rPr>
              <m:t>proc,2</m:t>
            </m:r>
          </m:sub>
        </m:sSub>
      </m:oMath>
      <w:r>
        <w:rPr>
          <w:lang w:val="en-US" w:eastAsia="zh-CN"/>
        </w:rPr>
        <w:t xml:space="preserve"> relative to a last symbol of a </w:t>
      </w:r>
      <w:r w:rsidR="006F4839">
        <w:t>PDCCH reception</w:t>
      </w:r>
      <w:r>
        <w:rPr>
          <w:lang w:val="en-US" w:eastAsia="zh-CN"/>
        </w:rPr>
        <w:t xml:space="preserve"> where the UE detects the DCI format. The UE cancels the SRS transmission in remaining symbols from the subset of symbols. </w:t>
      </w:r>
    </w:p>
    <w:p w14:paraId="7109C114" w14:textId="607DB223" w:rsidR="00A60570" w:rsidRDefault="00A60570" w:rsidP="00A60570">
      <w:pPr>
        <w:pStyle w:val="B1"/>
      </w:pPr>
      <w:r>
        <w:tab/>
      </w:r>
      <m:oMath>
        <m:sSub>
          <m:sSubPr>
            <m:ctrlPr>
              <w:rPr>
                <w:rFonts w:ascii="Cambria Math" w:hAnsi="Cambria Math"/>
                <w:i/>
              </w:rPr>
            </m:ctrlPr>
          </m:sSubPr>
          <m:e>
            <m:r>
              <w:rPr>
                <w:rFonts w:ascii="Cambria Math" w:hAnsi="Cambria Math"/>
              </w:rPr>
              <m:t>T</m:t>
            </m:r>
          </m:e>
          <m:sub>
            <m:r>
              <m:rPr>
                <m:sty m:val="p"/>
              </m:rPr>
              <w:rPr>
                <w:rFonts w:ascii="Cambria Math" w:hAnsi="Cambria Math"/>
              </w:rPr>
              <m:t>proc,2</m:t>
            </m:r>
          </m:sub>
        </m:sSub>
      </m:oMath>
      <w:r w:rsidRPr="001F460E">
        <w:rPr>
          <w:lang w:val="en-US"/>
        </w:rPr>
        <w:t xml:space="preserve"> is the PUSCH preparation time </w:t>
      </w:r>
      <w:r w:rsidRPr="001F460E">
        <w:rPr>
          <w:rFonts w:hint="eastAsia"/>
        </w:rPr>
        <w:t xml:space="preserve">for the corresponding </w:t>
      </w:r>
      <w:r w:rsidRPr="001F460E">
        <w:rPr>
          <w:lang w:val="en-US"/>
        </w:rPr>
        <w:t>UE processing</w:t>
      </w:r>
      <w:r w:rsidRPr="001F460E">
        <w:rPr>
          <w:rFonts w:hint="eastAsia"/>
        </w:rPr>
        <w:t xml:space="preserve"> capability [6, TS 38.214]</w:t>
      </w:r>
      <w:r w:rsidRPr="001F460E">
        <w:t xml:space="preserve"> assuming </w:t>
      </w:r>
      <m:oMath>
        <m:sSub>
          <m:sSubPr>
            <m:ctrlPr>
              <w:rPr>
                <w:rFonts w:ascii="Cambria Math" w:hAnsi="Cambria Math"/>
                <w:i/>
              </w:rPr>
            </m:ctrlPr>
          </m:sSubPr>
          <m:e>
            <m:r>
              <w:rPr>
                <w:rFonts w:ascii="Cambria Math" w:hAnsi="Cambria Math"/>
              </w:rPr>
              <m:t>d</m:t>
            </m:r>
          </m:e>
          <m:sub>
            <m:r>
              <m:rPr>
                <m:sty m:val="p"/>
              </m:rPr>
              <w:rPr>
                <w:rFonts w:ascii="Cambria Math" w:hAnsi="Cambria Math"/>
              </w:rPr>
              <m:t>2,1</m:t>
            </m:r>
          </m:sub>
        </m:sSub>
        <m:r>
          <w:rPr>
            <w:rFonts w:ascii="Cambria Math" w:hAnsi="Cambria Math"/>
          </w:rPr>
          <m:t>=1</m:t>
        </m:r>
      </m:oMath>
      <w:r w:rsidRPr="001F460E">
        <w:rPr>
          <w:lang w:val="en-US"/>
        </w:rPr>
        <w:t xml:space="preserve"> </w:t>
      </w:r>
      <w:r w:rsidRPr="001F460E">
        <w:rPr>
          <w:rFonts w:eastAsia="DengXian" w:hint="eastAsia"/>
          <w:lang w:eastAsia="zh-CN"/>
        </w:rPr>
        <w:t xml:space="preserve">and </w:t>
      </w:r>
      <m:oMath>
        <m:r>
          <w:rPr>
            <w:rFonts w:ascii="Cambria Math" w:eastAsia="DengXian" w:hAnsi="Cambria Math"/>
            <w:lang w:eastAsia="zh-CN"/>
          </w:rPr>
          <m:t>μ</m:t>
        </m:r>
      </m:oMath>
      <w:r w:rsidRPr="001F460E">
        <w:rPr>
          <w:rFonts w:eastAsia="DengXian" w:hint="eastAsia"/>
          <w:lang w:eastAsia="zh-CN"/>
        </w:rPr>
        <w:t xml:space="preserve"> corresponds to the smallest SCS configuration </w:t>
      </w:r>
      <w:r w:rsidRPr="001F460E">
        <w:rPr>
          <w:rFonts w:hint="eastAsia"/>
          <w:lang w:eastAsia="zh-CN"/>
        </w:rPr>
        <w:t>between</w:t>
      </w:r>
      <w:r w:rsidRPr="001F460E">
        <w:rPr>
          <w:rFonts w:eastAsia="DengXian" w:hint="eastAsia"/>
          <w:lang w:eastAsia="zh-CN"/>
        </w:rPr>
        <w:t xml:space="preserve"> the SCS configuration of the PDCCH carrying the DCI format </w:t>
      </w:r>
      <w:r w:rsidRPr="001F460E">
        <w:rPr>
          <w:rFonts w:hint="eastAsia"/>
          <w:lang w:eastAsia="zh-CN"/>
        </w:rPr>
        <w:t>and</w:t>
      </w:r>
      <w:r w:rsidRPr="001F460E">
        <w:rPr>
          <w:rFonts w:eastAsia="DengXian" w:hint="eastAsia"/>
          <w:lang w:eastAsia="zh-CN"/>
        </w:rPr>
        <w:t xml:space="preserve"> the SCS configuration of the SRS, PUCCH, PUSCH</w:t>
      </w:r>
      <w:r w:rsidRPr="001F460E">
        <w:rPr>
          <w:rFonts w:hint="eastAsia"/>
          <w:lang w:eastAsia="zh-CN"/>
        </w:rPr>
        <w:t xml:space="preserve"> or</w:t>
      </w:r>
      <w:r w:rsidRPr="001F460E">
        <w:rPr>
          <w:rFonts w:eastAsia="DengXian" w:hint="eastAsia"/>
          <w:lang w:eastAsia="zh-CN"/>
        </w:rPr>
        <w:t xml:space="preserve"> </w:t>
      </w:r>
      <m:oMath>
        <m:sSub>
          <m:sSubPr>
            <m:ctrlPr>
              <w:rPr>
                <w:rFonts w:ascii="Cambria Math" w:hAnsi="Cambria Math"/>
                <w:i/>
              </w:rPr>
            </m:ctrlPr>
          </m:sSubPr>
          <m:e>
            <m:r>
              <w:rPr>
                <w:rFonts w:ascii="Cambria Math" w:hAnsi="Cambria Math"/>
              </w:rPr>
              <m:t>μ</m:t>
            </m:r>
          </m:e>
          <m:sub>
            <m:r>
              <w:rPr>
                <w:rFonts w:ascii="Cambria Math" w:hAnsi="Cambria Math"/>
              </w:rPr>
              <m:t>r</m:t>
            </m:r>
          </m:sub>
        </m:sSub>
      </m:oMath>
      <w:r w:rsidRPr="001F460E">
        <w:t xml:space="preserve">, where </w:t>
      </w:r>
      <m:oMath>
        <m:sSub>
          <m:sSubPr>
            <m:ctrlPr>
              <w:rPr>
                <w:rFonts w:ascii="Cambria Math" w:hAnsi="Cambria Math"/>
                <w:i/>
              </w:rPr>
            </m:ctrlPr>
          </m:sSubPr>
          <m:e>
            <m:r>
              <w:rPr>
                <w:rFonts w:ascii="Cambria Math" w:hAnsi="Cambria Math"/>
              </w:rPr>
              <m:t>μ</m:t>
            </m:r>
          </m:e>
          <m:sub>
            <m:r>
              <w:rPr>
                <w:rFonts w:ascii="Cambria Math" w:hAnsi="Cambria Math"/>
              </w:rPr>
              <m:t>r</m:t>
            </m:r>
          </m:sub>
        </m:sSub>
      </m:oMath>
      <w:r w:rsidRPr="001F460E">
        <w:t xml:space="preserve"> corresponds to the SCS configuration of the PRACH if it is 15kHz or higher; otherwise </w:t>
      </w:r>
      <m:oMath>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=0</m:t>
        </m:r>
      </m:oMath>
      <w:r w:rsidRPr="001F460E">
        <w:t>.</w:t>
      </w:r>
    </w:p>
    <w:p w14:paraId="498D6F6E" w14:textId="77777777" w:rsidR="00233D58" w:rsidRPr="0080392F" w:rsidRDefault="00233D58" w:rsidP="0027125A">
      <w:r w:rsidRPr="00F210EC">
        <w:t>For a set of symbols of a slot that are indicated</w:t>
      </w:r>
      <w:r w:rsidRPr="00BE5555">
        <w:rPr>
          <w:lang w:val="en-US"/>
        </w:rPr>
        <w:t xml:space="preserve"> </w:t>
      </w:r>
      <w:r>
        <w:rPr>
          <w:lang w:val="en-US"/>
        </w:rPr>
        <w:t>to a UE</w:t>
      </w:r>
      <w:r w:rsidRPr="00F210EC">
        <w:t xml:space="preserve"> as uplink by </w:t>
      </w:r>
      <w:r w:rsidR="00C10BBF">
        <w:rPr>
          <w:i/>
          <w:lang w:val="en-US"/>
        </w:rPr>
        <w:t>tdd</w:t>
      </w:r>
      <w:r w:rsidRPr="00293E39">
        <w:rPr>
          <w:i/>
          <w:lang w:val="en-US"/>
        </w:rPr>
        <w:t>-</w:t>
      </w:r>
      <w:r w:rsidRPr="00494A77">
        <w:rPr>
          <w:i/>
        </w:rPr>
        <w:t>UL-DL-</w:t>
      </w:r>
      <w:r>
        <w:rPr>
          <w:i/>
          <w:lang w:val="en-US"/>
        </w:rPr>
        <w:t>C</w:t>
      </w:r>
      <w:r w:rsidRPr="00494A77">
        <w:rPr>
          <w:i/>
        </w:rPr>
        <w:t>onfiguration</w:t>
      </w:r>
      <w:r>
        <w:rPr>
          <w:i/>
          <w:lang w:val="en-US"/>
        </w:rPr>
        <w:t>C</w:t>
      </w:r>
      <w:r w:rsidRPr="00494A77">
        <w:rPr>
          <w:i/>
        </w:rPr>
        <w:t>ommon</w:t>
      </w:r>
      <w:r w:rsidRPr="00494A77">
        <w:t xml:space="preserve">, </w:t>
      </w:r>
      <w:r w:rsidRPr="0080392F">
        <w:t xml:space="preserve">or </w:t>
      </w:r>
      <w:r w:rsidR="00C10BBF">
        <w:rPr>
          <w:i/>
          <w:lang w:val="en-US"/>
        </w:rPr>
        <w:t>tdd</w:t>
      </w:r>
      <w:r w:rsidRPr="0023005A">
        <w:rPr>
          <w:i/>
          <w:lang w:val="en-US"/>
        </w:rPr>
        <w:t>-</w:t>
      </w:r>
      <w:r w:rsidRPr="0080392F">
        <w:rPr>
          <w:i/>
        </w:rPr>
        <w:t>UL-DL-</w:t>
      </w:r>
      <w:r>
        <w:rPr>
          <w:i/>
          <w:lang w:val="en-US"/>
        </w:rPr>
        <w:t>C</w:t>
      </w:r>
      <w:r w:rsidRPr="0080392F">
        <w:rPr>
          <w:i/>
        </w:rPr>
        <w:t>onfig</w:t>
      </w:r>
      <w:r w:rsidR="00C10BBF">
        <w:rPr>
          <w:i/>
        </w:rPr>
        <w:t>uration</w:t>
      </w:r>
      <w:r>
        <w:rPr>
          <w:i/>
          <w:lang w:val="en-US"/>
        </w:rPr>
        <w:t>D</w:t>
      </w:r>
      <w:r w:rsidRPr="0080392F">
        <w:rPr>
          <w:i/>
        </w:rPr>
        <w:t>edicated</w:t>
      </w:r>
      <w:r w:rsidRPr="0080392F">
        <w:t>, the UE does not receive PDCCH, PDSCH, or CSI-RS</w:t>
      </w:r>
      <w:r w:rsidR="00212727">
        <w:rPr>
          <w:rFonts w:eastAsia="DengXian"/>
        </w:rPr>
        <w:t xml:space="preserve"> when the PDCCH, PDSCH, or CSI-RS overlaps, even partially, with</w:t>
      </w:r>
      <w:r w:rsidRPr="0080392F">
        <w:t xml:space="preserve"> the set of symbols of the slot.</w:t>
      </w:r>
    </w:p>
    <w:p w14:paraId="1B568CC6" w14:textId="77777777" w:rsidR="00854FE3" w:rsidRPr="00441745" w:rsidRDefault="00854FE3" w:rsidP="00854FE3">
      <w:r w:rsidRPr="00441745">
        <w:t xml:space="preserve">For a set of symbols of a slot that are indicated to a UE as uplink by </w:t>
      </w:r>
      <w:r w:rsidRPr="00441745">
        <w:rPr>
          <w:i/>
        </w:rPr>
        <w:t>tdd-UL-DL-ConfigurationCommon</w:t>
      </w:r>
      <w:r w:rsidRPr="00441745">
        <w:t xml:space="preserve">, or </w:t>
      </w:r>
      <w:r w:rsidRPr="00441745">
        <w:rPr>
          <w:i/>
        </w:rPr>
        <w:t>tdd-UL-DL-ConfigurationDedicated</w:t>
      </w:r>
      <w:r w:rsidRPr="00441745">
        <w:t>, the UE does not receive DL PRS in the set of symbols of the slot, if the UE is not provided with a measurement gap.</w:t>
      </w:r>
    </w:p>
    <w:p w14:paraId="51F89D43" w14:textId="77777777" w:rsidR="00233D58" w:rsidRPr="0080392F" w:rsidRDefault="00233D58" w:rsidP="0027125A">
      <w:r w:rsidRPr="0080392F">
        <w:t xml:space="preserve">For a set of symbols of a slot that are indicated to a UE as downlink by </w:t>
      </w:r>
      <w:r w:rsidR="00C10BBF">
        <w:rPr>
          <w:i/>
          <w:lang w:val="en-US"/>
        </w:rPr>
        <w:t>tdd</w:t>
      </w:r>
      <w:r w:rsidRPr="00FE7E1C">
        <w:rPr>
          <w:i/>
          <w:lang w:val="en-US"/>
        </w:rPr>
        <w:t>-</w:t>
      </w:r>
      <w:r w:rsidRPr="0080392F">
        <w:rPr>
          <w:i/>
        </w:rPr>
        <w:t>UL-DL-</w:t>
      </w:r>
      <w:r>
        <w:rPr>
          <w:i/>
          <w:lang w:val="en-US"/>
        </w:rPr>
        <w:t>C</w:t>
      </w:r>
      <w:r w:rsidRPr="0080392F">
        <w:rPr>
          <w:i/>
        </w:rPr>
        <w:t>onfiguration</w:t>
      </w:r>
      <w:r>
        <w:rPr>
          <w:i/>
          <w:lang w:val="en-US"/>
        </w:rPr>
        <w:t>C</w:t>
      </w:r>
      <w:r w:rsidRPr="0080392F">
        <w:rPr>
          <w:i/>
        </w:rPr>
        <w:t>ommon</w:t>
      </w:r>
      <w:r w:rsidRPr="0080392F">
        <w:t xml:space="preserve">, or </w:t>
      </w:r>
      <w:r w:rsidR="00C10BBF">
        <w:rPr>
          <w:i/>
          <w:lang w:val="en-US"/>
        </w:rPr>
        <w:t>tdd</w:t>
      </w:r>
      <w:r w:rsidRPr="0023005A">
        <w:rPr>
          <w:i/>
          <w:lang w:val="en-US"/>
        </w:rPr>
        <w:t>-</w:t>
      </w:r>
      <w:r w:rsidRPr="0080392F">
        <w:rPr>
          <w:i/>
        </w:rPr>
        <w:t>UL-DL-</w:t>
      </w:r>
      <w:r>
        <w:rPr>
          <w:i/>
          <w:lang w:val="en-US"/>
        </w:rPr>
        <w:t>C</w:t>
      </w:r>
      <w:r w:rsidRPr="0080392F">
        <w:rPr>
          <w:i/>
        </w:rPr>
        <w:t>onfig</w:t>
      </w:r>
      <w:r w:rsidR="00C10BBF">
        <w:rPr>
          <w:i/>
        </w:rPr>
        <w:t>uration</w:t>
      </w:r>
      <w:r>
        <w:rPr>
          <w:i/>
          <w:lang w:val="en-US"/>
        </w:rPr>
        <w:t>D</w:t>
      </w:r>
      <w:r w:rsidRPr="0080392F">
        <w:rPr>
          <w:i/>
        </w:rPr>
        <w:t>edicated</w:t>
      </w:r>
      <w:r w:rsidRPr="0080392F">
        <w:t>, the UE does not transmit PUSCH, PUCCH, PRACH, or SRS</w:t>
      </w:r>
      <w:r w:rsidR="00212727">
        <w:t xml:space="preserve"> </w:t>
      </w:r>
      <w:r w:rsidR="00212727">
        <w:rPr>
          <w:rFonts w:eastAsia="DengXian"/>
        </w:rPr>
        <w:t>when the PUSCH, PUCCH, PRACH, or SRS overlaps, even partially, with</w:t>
      </w:r>
      <w:r w:rsidRPr="0080392F">
        <w:t xml:space="preserve"> the set of symbols of the slot.</w:t>
      </w:r>
    </w:p>
    <w:p w14:paraId="49B5E60F" w14:textId="77777777" w:rsidR="00233D58" w:rsidRPr="00CE5013" w:rsidRDefault="00233D58" w:rsidP="0027125A">
      <w:pPr>
        <w:rPr>
          <w:lang w:val="en-US"/>
        </w:rPr>
      </w:pPr>
      <w:r w:rsidRPr="0080392F">
        <w:t>For a set of symbols of a slot that a</w:t>
      </w:r>
      <w:r>
        <w:t xml:space="preserve">re indicated to a UE as </w:t>
      </w:r>
      <w:r>
        <w:rPr>
          <w:lang w:val="en-US"/>
        </w:rPr>
        <w:t>flexible</w:t>
      </w:r>
      <w:r w:rsidRPr="0080392F">
        <w:t xml:space="preserve"> by </w:t>
      </w:r>
      <w:r w:rsidR="00C10BBF">
        <w:rPr>
          <w:i/>
          <w:lang w:val="en-US"/>
        </w:rPr>
        <w:t>tdd</w:t>
      </w:r>
      <w:r w:rsidRPr="00FE7E1C">
        <w:rPr>
          <w:i/>
          <w:lang w:val="en-US"/>
        </w:rPr>
        <w:t>-</w:t>
      </w:r>
      <w:r w:rsidRPr="0080392F">
        <w:rPr>
          <w:i/>
        </w:rPr>
        <w:t>UL-DL-</w:t>
      </w:r>
      <w:r>
        <w:rPr>
          <w:i/>
          <w:lang w:val="en-US"/>
        </w:rPr>
        <w:t>C</w:t>
      </w:r>
      <w:r w:rsidRPr="0080392F">
        <w:rPr>
          <w:i/>
        </w:rPr>
        <w:t>onfiguration</w:t>
      </w:r>
      <w:r>
        <w:rPr>
          <w:i/>
          <w:lang w:val="en-US"/>
        </w:rPr>
        <w:t>C</w:t>
      </w:r>
      <w:r w:rsidRPr="0080392F">
        <w:rPr>
          <w:i/>
        </w:rPr>
        <w:t>ommon</w:t>
      </w:r>
      <w:r w:rsidRPr="0080392F">
        <w:t xml:space="preserve">, </w:t>
      </w:r>
      <w:r w:rsidR="00613833">
        <w:t>and</w:t>
      </w:r>
      <w:r w:rsidR="00613833" w:rsidRPr="0080392F">
        <w:t xml:space="preserve"> </w:t>
      </w:r>
      <w:r w:rsidR="00C10BBF">
        <w:rPr>
          <w:i/>
          <w:lang w:val="en-US"/>
        </w:rPr>
        <w:t>tdd</w:t>
      </w:r>
      <w:r w:rsidRPr="0023005A">
        <w:rPr>
          <w:i/>
          <w:lang w:val="en-US"/>
        </w:rPr>
        <w:t>-</w:t>
      </w:r>
      <w:r w:rsidRPr="0080392F">
        <w:rPr>
          <w:i/>
        </w:rPr>
        <w:t>UL-DL-</w:t>
      </w:r>
      <w:r>
        <w:rPr>
          <w:i/>
          <w:lang w:val="en-US"/>
        </w:rPr>
        <w:t>C</w:t>
      </w:r>
      <w:r w:rsidRPr="0080392F">
        <w:rPr>
          <w:i/>
        </w:rPr>
        <w:t>onfig</w:t>
      </w:r>
      <w:r w:rsidR="00C10BBF">
        <w:rPr>
          <w:i/>
        </w:rPr>
        <w:t>uration</w:t>
      </w:r>
      <w:r>
        <w:rPr>
          <w:i/>
          <w:lang w:val="en-US"/>
        </w:rPr>
        <w:t>D</w:t>
      </w:r>
      <w:r w:rsidRPr="0080392F">
        <w:rPr>
          <w:i/>
        </w:rPr>
        <w:t>edicated</w:t>
      </w:r>
      <w:r w:rsidR="00613833">
        <w:rPr>
          <w:rFonts w:eastAsia="DengXian" w:hint="eastAsia"/>
          <w:i/>
          <w:lang w:eastAsia="zh-CN"/>
        </w:rPr>
        <w:t xml:space="preserve"> </w:t>
      </w:r>
      <w:r w:rsidR="00613833" w:rsidRPr="00376326">
        <w:rPr>
          <w:rFonts w:eastAsia="DengXian" w:hint="eastAsia"/>
          <w:lang w:eastAsia="zh-CN"/>
        </w:rPr>
        <w:t>if provided</w:t>
      </w:r>
      <w:r w:rsidRPr="0080392F">
        <w:t xml:space="preserve">, the UE does not </w:t>
      </w:r>
      <w:r>
        <w:rPr>
          <w:lang w:val="en-US"/>
        </w:rPr>
        <w:t xml:space="preserve">expect to receive both dedicated </w:t>
      </w:r>
      <w:r w:rsidR="00F626A5">
        <w:rPr>
          <w:lang w:val="en-US"/>
        </w:rPr>
        <w:t xml:space="preserve">higher layer parameters </w:t>
      </w:r>
      <w:r>
        <w:rPr>
          <w:lang w:val="en-US"/>
        </w:rPr>
        <w:t xml:space="preserve">configuring transmission from the UE in the set of symbols of the slot and dedicated </w:t>
      </w:r>
      <w:r w:rsidR="00F626A5">
        <w:rPr>
          <w:lang w:val="en-US"/>
        </w:rPr>
        <w:t xml:space="preserve">higher layer parameters </w:t>
      </w:r>
      <w:r>
        <w:rPr>
          <w:lang w:val="en-US"/>
        </w:rPr>
        <w:t xml:space="preserve">configuring reception by the UE in the set of symbols of the slot. </w:t>
      </w:r>
    </w:p>
    <w:p w14:paraId="6247BBAB" w14:textId="303BC67C" w:rsidR="00233D58" w:rsidRPr="00356320" w:rsidRDefault="00233D58" w:rsidP="0027125A">
      <w:pPr>
        <w:rPr>
          <w:lang w:val="en-US"/>
        </w:rPr>
      </w:pPr>
      <w:r w:rsidRPr="0080392F">
        <w:t xml:space="preserve">For </w:t>
      </w:r>
      <w:r w:rsidR="003C0B8D" w:rsidRPr="00D93263">
        <w:rPr>
          <w:lang w:val="fi-FI"/>
        </w:rPr>
        <w:t>operation on a sing</w:t>
      </w:r>
      <w:r w:rsidR="003C0B8D">
        <w:rPr>
          <w:lang w:val="fi-FI"/>
        </w:rPr>
        <w:t xml:space="preserve">le carrier in unpaired spectrum, for </w:t>
      </w:r>
      <w:r w:rsidRPr="0080392F">
        <w:t xml:space="preserve">a set of symbols of a slot indicated </w:t>
      </w:r>
      <w:r>
        <w:t xml:space="preserve">to a UE </w:t>
      </w:r>
      <w:r w:rsidR="00C67D38" w:rsidRPr="00037243">
        <w:t xml:space="preserve">for reception of SS/PBCH blocks </w:t>
      </w:r>
      <w:r w:rsidRPr="0080392F">
        <w:t xml:space="preserve">by </w:t>
      </w:r>
      <w:r w:rsidRPr="00301521">
        <w:rPr>
          <w:i/>
        </w:rPr>
        <w:t>ssb-PositionsInBurst</w:t>
      </w:r>
      <w:r w:rsidRPr="00B916EC">
        <w:t xml:space="preserve"> </w:t>
      </w:r>
      <w:r>
        <w:rPr>
          <w:lang w:val="en-US"/>
        </w:rPr>
        <w:t xml:space="preserve">in </w:t>
      </w:r>
      <w:r w:rsidR="00050DF4">
        <w:rPr>
          <w:i/>
        </w:rPr>
        <w:t>SIB1</w:t>
      </w:r>
      <w:r w:rsidRPr="0080392F">
        <w:t xml:space="preserve"> or</w:t>
      </w:r>
      <w:r w:rsidR="00C67D38">
        <w:t xml:space="preserve"> </w:t>
      </w:r>
      <w:r w:rsidR="00C67D38" w:rsidRPr="00037243">
        <w:t>by</w:t>
      </w:r>
      <w:r w:rsidRPr="0080392F">
        <w:t xml:space="preserve"> </w:t>
      </w:r>
      <w:r w:rsidRPr="00301521">
        <w:rPr>
          <w:i/>
        </w:rPr>
        <w:t>ssb-PositionsInBurst</w:t>
      </w:r>
      <w:r w:rsidRPr="00B916EC">
        <w:t xml:space="preserve"> </w:t>
      </w:r>
      <w:r>
        <w:rPr>
          <w:lang w:val="en-US"/>
        </w:rPr>
        <w:t xml:space="preserve">in </w:t>
      </w:r>
      <w:r w:rsidRPr="00A94818">
        <w:rPr>
          <w:i/>
        </w:rPr>
        <w:t>ServingCellConfigCommon</w:t>
      </w:r>
      <w:r w:rsidR="00C67D38" w:rsidRPr="00C67D38">
        <w:rPr>
          <w:iCs/>
        </w:rPr>
        <w:t xml:space="preserve"> or</w:t>
      </w:r>
      <w:r w:rsidRPr="00C67D38">
        <w:rPr>
          <w:iCs/>
        </w:rPr>
        <w:t xml:space="preserve">, </w:t>
      </w:r>
      <w:r w:rsidR="00C67D38" w:rsidRPr="00037243">
        <w:t xml:space="preserve">if the UE is not provided </w:t>
      </w:r>
      <w:r w:rsidR="00291DE7" w:rsidRPr="007342E7">
        <w:rPr>
          <w:rFonts w:cs="Times"/>
          <w:i/>
          <w:szCs w:val="18"/>
          <w:lang w:eastAsia="zh-CN"/>
        </w:rPr>
        <w:t>dl-OrJointTCI</w:t>
      </w:r>
      <w:r w:rsidR="00DA1AB5">
        <w:rPr>
          <w:rFonts w:cs="Times"/>
          <w:i/>
          <w:szCs w:val="18"/>
          <w:lang w:eastAsia="zh-CN"/>
        </w:rPr>
        <w:t>-</w:t>
      </w:r>
      <w:r w:rsidR="00291DE7" w:rsidRPr="007342E7">
        <w:rPr>
          <w:rFonts w:cs="Times"/>
          <w:i/>
          <w:szCs w:val="18"/>
          <w:lang w:eastAsia="zh-CN"/>
        </w:rPr>
        <w:t>StateList</w:t>
      </w:r>
      <w:r w:rsidR="00C67D38" w:rsidRPr="00037243">
        <w:rPr>
          <w:lang w:val="en-US"/>
        </w:rPr>
        <w:t>,</w:t>
      </w:r>
      <w:r w:rsidR="00C67D38" w:rsidRPr="00037243">
        <w:rPr>
          <w:i/>
          <w:iCs/>
          <w:lang w:val="en-US"/>
        </w:rPr>
        <w:t xml:space="preserve"> </w:t>
      </w:r>
      <w:r w:rsidR="00C67D38" w:rsidRPr="00037243">
        <w:t xml:space="preserve">by </w:t>
      </w:r>
      <w:r w:rsidR="00C67D38" w:rsidRPr="00037243">
        <w:rPr>
          <w:i/>
        </w:rPr>
        <w:t>ssb-PositionsInBurst</w:t>
      </w:r>
      <w:r w:rsidR="00C67D38" w:rsidRPr="00037243">
        <w:t xml:space="preserve"> </w:t>
      </w:r>
      <w:r w:rsidR="00C67D38" w:rsidRPr="00037243">
        <w:rPr>
          <w:lang w:val="en-US"/>
        </w:rPr>
        <w:t xml:space="preserve">in </w:t>
      </w:r>
      <w:r w:rsidR="00C67D38" w:rsidRPr="00037243">
        <w:rPr>
          <w:i/>
          <w:iCs/>
          <w:lang w:val="en-US"/>
        </w:rPr>
        <w:t>SSB-MTCAdditionalPCI</w:t>
      </w:r>
      <w:r w:rsidR="00C67D38">
        <w:t xml:space="preserve"> </w:t>
      </w:r>
      <w:r w:rsidR="00C67D38" w:rsidRPr="00037243">
        <w:t>associated to physical cell ID with active TCI states</w:t>
      </w:r>
      <w:r w:rsidR="00F31BB9">
        <w:t xml:space="preserve"> </w:t>
      </w:r>
      <w:r w:rsidR="00F31BB9" w:rsidRPr="000C2077">
        <w:t>for PDCCH or PDSCH, or for a set of symbols of a slot corresponding to SS/PBCH blocks configured for L1 beam measurement/reporting</w:t>
      </w:r>
      <w:r w:rsidRPr="0080392F">
        <w:t>, the UE does not transmit PUSCH, PUCCH, PRACH</w:t>
      </w:r>
      <w:r>
        <w:rPr>
          <w:lang w:val="en-US"/>
        </w:rPr>
        <w:t xml:space="preserve"> in the slot if a transmission would overlap with any symbol from </w:t>
      </w:r>
      <w:r>
        <w:t>the set of symbols</w:t>
      </w:r>
      <w:r w:rsidRPr="0080392F">
        <w:t xml:space="preserve"> </w:t>
      </w:r>
      <w:r>
        <w:rPr>
          <w:lang w:val="en-US"/>
        </w:rPr>
        <w:t>and the UE does not transmit</w:t>
      </w:r>
      <w:r w:rsidRPr="0080392F">
        <w:t xml:space="preserve"> SRS in the set of symbols of the slot.</w:t>
      </w:r>
      <w:r>
        <w:rPr>
          <w:lang w:val="en-US"/>
        </w:rPr>
        <w:t xml:space="preserve"> The UE does not expect the set of symbols of the slot to be indicated as uplink by</w:t>
      </w:r>
      <w:r w:rsidRPr="00B20FF5">
        <w:t xml:space="preserve"> </w:t>
      </w:r>
      <w:r w:rsidR="00C10BBF">
        <w:rPr>
          <w:i/>
          <w:lang w:val="en-US"/>
        </w:rPr>
        <w:t>tdd</w:t>
      </w:r>
      <w:r w:rsidRPr="00942A15">
        <w:rPr>
          <w:i/>
          <w:lang w:val="en-US"/>
        </w:rPr>
        <w:t>-</w:t>
      </w:r>
      <w:r w:rsidRPr="00B916EC">
        <w:rPr>
          <w:i/>
        </w:rPr>
        <w:t>UL-DL-</w:t>
      </w:r>
      <w:r>
        <w:rPr>
          <w:i/>
          <w:lang w:val="en-US"/>
        </w:rPr>
        <w:t>ConfigurationCommon</w:t>
      </w:r>
      <w:r>
        <w:rPr>
          <w:lang w:val="en-US"/>
        </w:rPr>
        <w:t xml:space="preserve">, or </w:t>
      </w:r>
      <w:r w:rsidR="00C10BBF">
        <w:rPr>
          <w:i/>
          <w:lang w:val="en-US"/>
        </w:rPr>
        <w:t>tdd</w:t>
      </w:r>
      <w:r w:rsidRPr="003D3502">
        <w:rPr>
          <w:i/>
          <w:lang w:val="en-US"/>
        </w:rPr>
        <w:t>-</w:t>
      </w:r>
      <w:r w:rsidRPr="00B916EC">
        <w:rPr>
          <w:i/>
        </w:rPr>
        <w:t>UL-DL-</w:t>
      </w:r>
      <w:r>
        <w:rPr>
          <w:i/>
          <w:lang w:val="en-US"/>
        </w:rPr>
        <w:t>C</w:t>
      </w:r>
      <w:r w:rsidRPr="00B916EC">
        <w:rPr>
          <w:i/>
        </w:rPr>
        <w:t>onfig</w:t>
      </w:r>
      <w:r w:rsidR="00C10BBF">
        <w:rPr>
          <w:i/>
        </w:rPr>
        <w:t>uration</w:t>
      </w:r>
      <w:r>
        <w:rPr>
          <w:i/>
          <w:lang w:val="en-US"/>
        </w:rPr>
        <w:t>D</w:t>
      </w:r>
      <w:r w:rsidRPr="00B916EC">
        <w:rPr>
          <w:i/>
        </w:rPr>
        <w:t>edicated</w:t>
      </w:r>
      <w:r w:rsidRPr="0080392F">
        <w:t xml:space="preserve">, </w:t>
      </w:r>
      <w:r>
        <w:rPr>
          <w:lang w:val="en-US"/>
        </w:rPr>
        <w:t>when provided to the</w:t>
      </w:r>
      <w:r w:rsidRPr="0080392F">
        <w:rPr>
          <w:lang w:val="en-US"/>
        </w:rPr>
        <w:t xml:space="preserve"> UE</w:t>
      </w:r>
      <w:r>
        <w:rPr>
          <w:lang w:val="en-US"/>
        </w:rPr>
        <w:t>.</w:t>
      </w:r>
    </w:p>
    <w:p w14:paraId="2CE099B0" w14:textId="77777777" w:rsidR="007763DF" w:rsidRPr="008E1EC3" w:rsidRDefault="007763DF" w:rsidP="00DA4DCE">
      <w:pPr>
        <w:rPr>
          <w:lang w:val="en-US"/>
        </w:rPr>
      </w:pPr>
      <w:r w:rsidRPr="008E1EC3">
        <w:rPr>
          <w:lang w:val="en-US"/>
        </w:rPr>
        <w:t xml:space="preserve">If a UE </w:t>
      </w:r>
    </w:p>
    <w:p w14:paraId="3F74B6CD" w14:textId="250C7062" w:rsidR="007763DF" w:rsidRPr="008E1EC3" w:rsidRDefault="007763DF">
      <w:pPr>
        <w:pStyle w:val="B1"/>
      </w:pPr>
      <w:r w:rsidRPr="008E1EC3">
        <w:t>-</w:t>
      </w:r>
      <w:r w:rsidRPr="008E1EC3">
        <w:tab/>
        <w:t xml:space="preserve">is configured with multiple serving cells and is provided </w:t>
      </w:r>
      <w:r w:rsidR="00F75B62">
        <w:t xml:space="preserve">with </w:t>
      </w:r>
      <w:r w:rsidR="00F75B62" w:rsidRPr="002C4C6E">
        <w:rPr>
          <w:i/>
        </w:rPr>
        <w:t>directionalCollisionHandling-r16</w:t>
      </w:r>
      <w:r>
        <w:rPr>
          <w:i/>
        </w:rPr>
        <w:t xml:space="preserve"> </w:t>
      </w:r>
      <w:r w:rsidRPr="008E1EC3">
        <w:t>=</w:t>
      </w:r>
      <w:r>
        <w:t xml:space="preserve"> </w:t>
      </w:r>
      <w:r w:rsidR="00965E29">
        <w:t>'</w:t>
      </w:r>
      <w:r>
        <w:t>enable</w:t>
      </w:r>
      <w:r w:rsidR="00F75B62">
        <w:rPr>
          <w:lang w:val="en-US"/>
        </w:rPr>
        <w:t>d</w:t>
      </w:r>
      <w:r w:rsidR="00965E29">
        <w:t>'</w:t>
      </w:r>
      <w:r w:rsidR="00F75B62">
        <w:rPr>
          <w:lang w:val="en-US"/>
        </w:rPr>
        <w:t xml:space="preserve"> </w:t>
      </w:r>
      <w:r w:rsidR="00F75B62">
        <w:t>for a set of serving cell(s) among the multiple serving cells</w:t>
      </w:r>
      <w:r w:rsidRPr="008E1EC3">
        <w:t xml:space="preserve">, </w:t>
      </w:r>
      <w:r w:rsidR="004F1892">
        <w:rPr>
          <w:rFonts w:eastAsia="DengXian"/>
          <w:lang w:val="en-US"/>
        </w:rPr>
        <w:t>and</w:t>
      </w:r>
    </w:p>
    <w:p w14:paraId="36A8751C" w14:textId="6709A845" w:rsidR="007763DF" w:rsidRPr="008E1EC3" w:rsidRDefault="007763DF">
      <w:pPr>
        <w:pStyle w:val="B1"/>
      </w:pPr>
      <w:r w:rsidRPr="008E1EC3">
        <w:t>-</w:t>
      </w:r>
      <w:r w:rsidRPr="008E1EC3">
        <w:tab/>
        <w:t>indicate</w:t>
      </w:r>
      <w:r>
        <w:t xml:space="preserve">s support of </w:t>
      </w:r>
      <w:r w:rsidR="00F75B62" w:rsidRPr="00DF14F2">
        <w:rPr>
          <w:rFonts w:eastAsia="MS Mincho"/>
          <w:i/>
          <w:iCs/>
          <w:color w:val="000000"/>
        </w:rPr>
        <w:t xml:space="preserve">half-DuplexTDD-CA-SameSCS-r16 </w:t>
      </w:r>
      <w:r w:rsidR="00F75B62" w:rsidRPr="00DF14F2">
        <w:rPr>
          <w:rFonts w:eastAsia="MS Mincho"/>
          <w:color w:val="000000"/>
        </w:rPr>
        <w:t>capability</w:t>
      </w:r>
      <w:r w:rsidRPr="008E1EC3">
        <w:t xml:space="preserve">, and </w:t>
      </w:r>
    </w:p>
    <w:p w14:paraId="77A17CAC" w14:textId="4869DFFB" w:rsidR="007763DF" w:rsidRPr="008E1EC3" w:rsidRDefault="007763DF">
      <w:pPr>
        <w:pStyle w:val="B1"/>
      </w:pPr>
      <w:r w:rsidRPr="008E1EC3">
        <w:t>-</w:t>
      </w:r>
      <w:r w:rsidRPr="008E1EC3">
        <w:tab/>
        <w:t>is not configured to m</w:t>
      </w:r>
      <w:r>
        <w:t>onitor PDCCH for detection of DCI format 2_0</w:t>
      </w:r>
      <w:r w:rsidRPr="008E1EC3">
        <w:t xml:space="preserve"> </w:t>
      </w:r>
      <w:r w:rsidR="004F1892" w:rsidRPr="006F32A8">
        <w:rPr>
          <w:rFonts w:eastAsia="DengXian"/>
          <w:lang w:eastAsia="zh-CN"/>
        </w:rPr>
        <w:t>on any of the multiple serving cells,</w:t>
      </w:r>
    </w:p>
    <w:p w14:paraId="3955E985" w14:textId="65E486F5" w:rsidR="00106A05" w:rsidRDefault="007763DF" w:rsidP="00DA4DCE">
      <w:pPr>
        <w:rPr>
          <w:lang w:val="en-US"/>
        </w:rPr>
      </w:pPr>
      <w:r w:rsidRPr="008E1EC3">
        <w:rPr>
          <w:lang w:val="en-US"/>
        </w:rPr>
        <w:lastRenderedPageBreak/>
        <w:t xml:space="preserve">for a set of symbols of a slot that are indicated to the UE for reception of SS/PBCH blocks in </w:t>
      </w:r>
      <w:r w:rsidR="00106A05">
        <w:rPr>
          <w:lang w:val="en-US"/>
        </w:rPr>
        <w:t>a first cell</w:t>
      </w:r>
      <w:r w:rsidRPr="008E1EC3">
        <w:rPr>
          <w:lang w:val="en-US"/>
        </w:rPr>
        <w:t xml:space="preserve"> of </w:t>
      </w:r>
      <w:r w:rsidR="00106A05">
        <w:rPr>
          <w:lang w:val="en-US"/>
        </w:rPr>
        <w:t xml:space="preserve">the </w:t>
      </w:r>
      <w:r w:rsidRPr="008E1EC3">
        <w:rPr>
          <w:lang w:val="en-US"/>
        </w:rPr>
        <w:t xml:space="preserve">multiple serving cells by </w:t>
      </w:r>
      <w:r w:rsidRPr="008E1EC3">
        <w:rPr>
          <w:i/>
          <w:iCs/>
          <w:lang w:val="en-US"/>
        </w:rPr>
        <w:t>ssb-PositionsInBurst</w:t>
      </w:r>
      <w:r w:rsidRPr="008E1EC3">
        <w:rPr>
          <w:lang w:val="en-US"/>
        </w:rPr>
        <w:t xml:space="preserve"> in </w:t>
      </w:r>
      <w:r w:rsidRPr="008E1EC3">
        <w:rPr>
          <w:i/>
          <w:iCs/>
          <w:lang w:val="en-US"/>
        </w:rPr>
        <w:t>SystemInformationBlockType1</w:t>
      </w:r>
      <w:r w:rsidRPr="008E1EC3">
        <w:rPr>
          <w:lang w:val="en-US"/>
        </w:rPr>
        <w:t xml:space="preserve"> or by </w:t>
      </w:r>
      <w:r w:rsidRPr="008E1EC3">
        <w:rPr>
          <w:i/>
          <w:iCs/>
          <w:lang w:val="en-US"/>
        </w:rPr>
        <w:t>ssb-PositionsInBurst</w:t>
      </w:r>
      <w:r w:rsidRPr="008E1EC3">
        <w:rPr>
          <w:lang w:val="en-US"/>
        </w:rPr>
        <w:t xml:space="preserve"> in </w:t>
      </w:r>
      <w:r w:rsidRPr="008E1EC3">
        <w:rPr>
          <w:i/>
          <w:iCs/>
          <w:lang w:val="en-US"/>
        </w:rPr>
        <w:t>ServingCellConfigCommon</w:t>
      </w:r>
      <w:r w:rsidR="00C67D38" w:rsidRPr="00037243">
        <w:rPr>
          <w:lang w:val="en-US"/>
        </w:rPr>
        <w:t xml:space="preserve"> </w:t>
      </w:r>
      <w:r w:rsidR="00C67D38" w:rsidRPr="00037243">
        <w:t xml:space="preserve">or, if the UE is not provided </w:t>
      </w:r>
      <w:r w:rsidR="00291DE7" w:rsidRPr="007342E7">
        <w:rPr>
          <w:rFonts w:cs="Times"/>
          <w:i/>
          <w:szCs w:val="18"/>
          <w:lang w:eastAsia="zh-CN"/>
        </w:rPr>
        <w:t>dl-OrJointTCI</w:t>
      </w:r>
      <w:r w:rsidR="00DA1AB5">
        <w:rPr>
          <w:rFonts w:cs="Times"/>
          <w:i/>
          <w:szCs w:val="18"/>
          <w:lang w:eastAsia="zh-CN"/>
        </w:rPr>
        <w:t>-</w:t>
      </w:r>
      <w:r w:rsidR="00291DE7" w:rsidRPr="007342E7">
        <w:rPr>
          <w:rFonts w:cs="Times"/>
          <w:i/>
          <w:szCs w:val="18"/>
          <w:lang w:eastAsia="zh-CN"/>
        </w:rPr>
        <w:t>StateList</w:t>
      </w:r>
      <w:r w:rsidR="00C67D38" w:rsidRPr="00037243">
        <w:rPr>
          <w:lang w:val="en-US"/>
        </w:rPr>
        <w:t>,</w:t>
      </w:r>
      <w:r w:rsidR="00C67D38" w:rsidRPr="00037243">
        <w:t xml:space="preserve"> by </w:t>
      </w:r>
      <w:r w:rsidR="00C67D38" w:rsidRPr="00037243">
        <w:rPr>
          <w:i/>
        </w:rPr>
        <w:t>ssb-PositionsInBurst</w:t>
      </w:r>
      <w:r w:rsidR="00C67D38" w:rsidRPr="00037243">
        <w:t xml:space="preserve"> </w:t>
      </w:r>
      <w:r w:rsidR="00C67D38" w:rsidRPr="00037243">
        <w:rPr>
          <w:lang w:val="en-US"/>
        </w:rPr>
        <w:t xml:space="preserve">in </w:t>
      </w:r>
      <w:r w:rsidR="00C67D38" w:rsidRPr="00037243">
        <w:rPr>
          <w:i/>
          <w:iCs/>
          <w:lang w:val="en-US"/>
        </w:rPr>
        <w:t>SSB-MTCAdditionalPCI</w:t>
      </w:r>
      <w:r w:rsidR="00C67D38" w:rsidRPr="00037243">
        <w:rPr>
          <w:lang w:val="en-US"/>
        </w:rPr>
        <w:t xml:space="preserve"> associated to physical cell ID with active TCI states</w:t>
      </w:r>
      <w:r w:rsidR="00F31BB9">
        <w:rPr>
          <w:lang w:val="en-US"/>
        </w:rPr>
        <w:t xml:space="preserve"> </w:t>
      </w:r>
      <w:r w:rsidR="00F31BB9" w:rsidRPr="000C2077">
        <w:t>for PDCCH or PDSCH, or for a set of symbols of a slot corresponding to SS/PBCH blocks configured for L1 beam measurement/reporting</w:t>
      </w:r>
      <w:r w:rsidRPr="008E1EC3">
        <w:rPr>
          <w:lang w:val="en-US"/>
        </w:rPr>
        <w:t xml:space="preserve">, the UE does not transmit PUSCH, PUCCH, or PRACH in the slot if a transmission would overlap with any symbol from the set of symbols, and the UE does not transmit SRS in the set of symbols of the slot in </w:t>
      </w:r>
    </w:p>
    <w:p w14:paraId="5446D252" w14:textId="280305CF" w:rsidR="00106A05" w:rsidRPr="00E23F6D" w:rsidRDefault="00106A05" w:rsidP="005258CF">
      <w:pPr>
        <w:pStyle w:val="B1"/>
      </w:pPr>
      <w:r>
        <w:rPr>
          <w:lang w:val="en-US"/>
        </w:rPr>
        <w:t>-</w:t>
      </w:r>
      <w:r>
        <w:rPr>
          <w:lang w:val="en-US"/>
        </w:rPr>
        <w:tab/>
      </w:r>
      <w:r w:rsidR="007763DF" w:rsidRPr="008E1EC3">
        <w:rPr>
          <w:lang w:val="en-US"/>
        </w:rPr>
        <w:t xml:space="preserve">any of </w:t>
      </w:r>
      <w:r>
        <w:rPr>
          <w:lang w:val="en-US"/>
        </w:rPr>
        <w:t xml:space="preserve">the </w:t>
      </w:r>
      <w:r w:rsidR="007763DF" w:rsidRPr="008E1EC3">
        <w:rPr>
          <w:lang w:val="en-US"/>
        </w:rPr>
        <w:t>multiple serving cells</w:t>
      </w:r>
      <w:r w:rsidRPr="006927FD">
        <w:t xml:space="preserve"> </w:t>
      </w:r>
      <w:r w:rsidRPr="00930244">
        <w:rPr>
          <w:lang w:val="en-US"/>
        </w:rPr>
        <w:t>i</w:t>
      </w:r>
      <w:r w:rsidRPr="00E23F6D">
        <w:rPr>
          <w:lang w:val="en-US"/>
        </w:rPr>
        <w:t>f</w:t>
      </w:r>
      <w:r w:rsidRPr="00E23F6D">
        <w:t xml:space="preserve"> the UE is </w:t>
      </w:r>
      <w:r w:rsidRPr="00E23F6D">
        <w:rPr>
          <w:lang w:val="en-US"/>
        </w:rPr>
        <w:t xml:space="preserve">not </w:t>
      </w:r>
      <w:r w:rsidRPr="00E23F6D">
        <w:t>capable of simultaneous transmission and reception</w:t>
      </w:r>
      <w:r w:rsidRPr="00E23F6D">
        <w:rPr>
          <w:lang w:val="en-US"/>
        </w:rPr>
        <w:t xml:space="preserve"> as indicated</w:t>
      </w:r>
      <w:r w:rsidRPr="00E23F6D">
        <w:t xml:space="preserve"> by </w:t>
      </w:r>
      <w:r w:rsidRPr="00E23F6D">
        <w:rPr>
          <w:i/>
        </w:rPr>
        <w:t xml:space="preserve">simultaneousRxTxInterBandCA </w:t>
      </w:r>
      <w:r w:rsidRPr="00E23F6D">
        <w:t>among the multiple serving cells</w:t>
      </w:r>
      <w:r w:rsidRPr="00E23F6D">
        <w:rPr>
          <w:lang w:val="en-US"/>
        </w:rPr>
        <w:t>, and</w:t>
      </w:r>
    </w:p>
    <w:p w14:paraId="0938D9F5" w14:textId="5BB2921E" w:rsidR="007763DF" w:rsidRPr="008E1EC3" w:rsidRDefault="00106A05" w:rsidP="005258CF">
      <w:pPr>
        <w:pStyle w:val="B1"/>
        <w:rPr>
          <w:lang w:val="en-US"/>
        </w:rPr>
      </w:pPr>
      <w:r>
        <w:t>-</w:t>
      </w:r>
      <w:r>
        <w:tab/>
      </w:r>
      <w:r w:rsidRPr="00E23F6D">
        <w:t xml:space="preserve">any one of the cells corresponding to the same band as the first cell, irrespective of any capability indicated by </w:t>
      </w:r>
      <w:r w:rsidRPr="00E23F6D">
        <w:rPr>
          <w:i/>
          <w:iCs/>
        </w:rPr>
        <w:t>simultaneousRxTxInterBandCA</w:t>
      </w:r>
      <w:r w:rsidR="007763DF" w:rsidRPr="008E1EC3">
        <w:rPr>
          <w:lang w:val="en-US"/>
        </w:rPr>
        <w:t>.</w:t>
      </w:r>
    </w:p>
    <w:p w14:paraId="74F77060" w14:textId="7BEE6296" w:rsidR="00233D58" w:rsidRPr="005A1B13" w:rsidRDefault="00233D58" w:rsidP="0027125A">
      <w:r w:rsidRPr="005A1B13">
        <w:t xml:space="preserve">For a set of symbols of a slot corresponding to a valid PRACH occasion and </w:t>
      </w:r>
      <w:r w:rsidR="00ED3701">
        <w:rPr>
          <w:noProof/>
          <w:position w:val="-12"/>
        </w:rPr>
        <w:drawing>
          <wp:inline distT="0" distB="0" distL="0" distR="0" wp14:anchorId="2755F59F" wp14:editId="3F5A07EA">
            <wp:extent cx="257175" cy="209550"/>
            <wp:effectExtent l="0" t="0" r="0" b="0"/>
            <wp:docPr id="23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Pr="006A685A">
        <w:rPr>
          <w:lang w:val="en-US"/>
        </w:rPr>
        <w:t xml:space="preserve"> symbols before the valid PRACH occasion</w:t>
      </w:r>
      <w:r w:rsidRPr="005A1B13">
        <w:t xml:space="preserve">, as described </w:t>
      </w:r>
      <w:r w:rsidR="006F5F9E">
        <w:t>in clause</w:t>
      </w:r>
      <w:r w:rsidR="006773A2" w:rsidRPr="005A1B13">
        <w:t xml:space="preserve"> </w:t>
      </w:r>
      <w:r w:rsidRPr="005A1B13">
        <w:t xml:space="preserve">8.1, the UE does not receive </w:t>
      </w:r>
      <w:r>
        <w:rPr>
          <w:lang w:val="en-US"/>
        </w:rPr>
        <w:t xml:space="preserve">PDCCH, </w:t>
      </w:r>
      <w:r w:rsidRPr="005A1B13">
        <w:rPr>
          <w:lang w:val="en-US"/>
        </w:rPr>
        <w:t>PDSCH</w:t>
      </w:r>
      <w:r>
        <w:rPr>
          <w:lang w:val="en-US"/>
        </w:rPr>
        <w:t>,</w:t>
      </w:r>
      <w:r w:rsidRPr="005A1B13">
        <w:rPr>
          <w:lang w:val="en-US"/>
        </w:rPr>
        <w:t xml:space="preserve"> or CSI-RS in the slot if a reception would overlap with any symbol from </w:t>
      </w:r>
      <w:r w:rsidRPr="005A1B13">
        <w:t>the set of symbols</w:t>
      </w:r>
      <w:r w:rsidRPr="005A1B13">
        <w:rPr>
          <w:lang w:val="en-US"/>
        </w:rPr>
        <w:t>.</w:t>
      </w:r>
      <w:r w:rsidRPr="005A1B13">
        <w:t xml:space="preserve"> The UE does not expect</w:t>
      </w:r>
      <w:r w:rsidRPr="005A1B13">
        <w:rPr>
          <w:lang w:val="en-US"/>
        </w:rPr>
        <w:t xml:space="preserve"> the set of symbols of the slot to be indicated as downlink by</w:t>
      </w:r>
      <w:r w:rsidRPr="005A1B13">
        <w:t xml:space="preserve"> </w:t>
      </w:r>
      <w:r w:rsidR="00C10BBF">
        <w:rPr>
          <w:i/>
          <w:lang w:val="en-US"/>
        </w:rPr>
        <w:t>tdd</w:t>
      </w:r>
      <w:r w:rsidRPr="005A1B13">
        <w:rPr>
          <w:i/>
          <w:lang w:val="en-US"/>
        </w:rPr>
        <w:t>-</w:t>
      </w:r>
      <w:r w:rsidRPr="005A1B13">
        <w:rPr>
          <w:i/>
        </w:rPr>
        <w:t>UL-DL-</w:t>
      </w:r>
      <w:r w:rsidRPr="005A1B13">
        <w:rPr>
          <w:i/>
          <w:lang w:val="en-US"/>
        </w:rPr>
        <w:t>ConfigurationCommon</w:t>
      </w:r>
      <w:r w:rsidRPr="005A1B13">
        <w:rPr>
          <w:lang w:val="en-US"/>
        </w:rPr>
        <w:t xml:space="preserve"> or </w:t>
      </w:r>
      <w:r w:rsidR="00C10BBF">
        <w:rPr>
          <w:i/>
          <w:lang w:val="en-US"/>
        </w:rPr>
        <w:t>tdd</w:t>
      </w:r>
      <w:r w:rsidRPr="005A1B13">
        <w:rPr>
          <w:i/>
          <w:lang w:val="en-US"/>
        </w:rPr>
        <w:t>-</w:t>
      </w:r>
      <w:r w:rsidRPr="005A1B13">
        <w:rPr>
          <w:i/>
        </w:rPr>
        <w:t>UL-DL-</w:t>
      </w:r>
      <w:r w:rsidRPr="005A1B13">
        <w:rPr>
          <w:i/>
          <w:lang w:val="en-US"/>
        </w:rPr>
        <w:t>C</w:t>
      </w:r>
      <w:r w:rsidRPr="005A1B13">
        <w:rPr>
          <w:i/>
        </w:rPr>
        <w:t>onfig</w:t>
      </w:r>
      <w:r w:rsidR="00C10BBF">
        <w:rPr>
          <w:i/>
        </w:rPr>
        <w:t>uration</w:t>
      </w:r>
      <w:r w:rsidRPr="005A1B13">
        <w:rPr>
          <w:i/>
          <w:lang w:val="en-US"/>
        </w:rPr>
        <w:t>D</w:t>
      </w:r>
      <w:r w:rsidRPr="005A1B13">
        <w:rPr>
          <w:i/>
        </w:rPr>
        <w:t>edicated</w:t>
      </w:r>
      <w:r w:rsidRPr="005A1B13">
        <w:t xml:space="preserve">. </w:t>
      </w:r>
    </w:p>
    <w:p w14:paraId="539F0A3C" w14:textId="77777777" w:rsidR="00233D58" w:rsidRPr="009E7204" w:rsidRDefault="00233D58" w:rsidP="0027125A">
      <w:r w:rsidRPr="00D6515C">
        <w:t xml:space="preserve">For a set of symbols of a slot indicated </w:t>
      </w:r>
      <w:r>
        <w:t xml:space="preserve">to a UE </w:t>
      </w:r>
      <w:r w:rsidRPr="00D6515C">
        <w:t xml:space="preserve">by </w:t>
      </w:r>
      <w:r w:rsidRPr="00D6515C">
        <w:rPr>
          <w:i/>
        </w:rPr>
        <w:t>pdcch-ConfigSIB1</w:t>
      </w:r>
      <w:r w:rsidRPr="00D6515C">
        <w:rPr>
          <w:lang w:val="en-US"/>
        </w:rPr>
        <w:t xml:space="preserve"> </w:t>
      </w:r>
      <w:r w:rsidRPr="00D6515C">
        <w:rPr>
          <w:rFonts w:eastAsia="MS Mincho"/>
        </w:rPr>
        <w:t xml:space="preserve">in </w:t>
      </w:r>
      <w:r w:rsidR="00CE768D">
        <w:rPr>
          <w:i/>
          <w:lang w:val="en-US"/>
        </w:rPr>
        <w:t>MIB</w:t>
      </w:r>
      <w:r w:rsidRPr="00D6515C">
        <w:rPr>
          <w:lang w:val="en-US"/>
        </w:rPr>
        <w:t xml:space="preserve"> </w:t>
      </w:r>
      <w:r>
        <w:t>for</w:t>
      </w:r>
      <w:r w:rsidRPr="00D6515C">
        <w:t xml:space="preserve"> a </w:t>
      </w:r>
      <w:r w:rsidR="00C76664">
        <w:t>CORESET</w:t>
      </w:r>
      <w:r w:rsidRPr="00D6515C">
        <w:t xml:space="preserve"> for Type0-PDCCH </w:t>
      </w:r>
      <w:r w:rsidR="00CE768D">
        <w:t>CSS set</w:t>
      </w:r>
      <w:r w:rsidRPr="00D6515C">
        <w:t xml:space="preserve">, the UE does not expect </w:t>
      </w:r>
      <w:r w:rsidRPr="00D6515C">
        <w:rPr>
          <w:lang w:val="en-US"/>
        </w:rPr>
        <w:t>the set of symbols to be indicated as uplink by</w:t>
      </w:r>
      <w:r w:rsidRPr="00D6515C">
        <w:t xml:space="preserve"> </w:t>
      </w:r>
      <w:r w:rsidR="00C10BBF">
        <w:rPr>
          <w:i/>
          <w:lang w:val="en-US"/>
        </w:rPr>
        <w:t>tdd</w:t>
      </w:r>
      <w:r w:rsidRPr="00D6515C">
        <w:rPr>
          <w:i/>
          <w:lang w:val="en-US"/>
        </w:rPr>
        <w:t>-</w:t>
      </w:r>
      <w:r w:rsidRPr="00D6515C">
        <w:rPr>
          <w:i/>
        </w:rPr>
        <w:t>UL-DL-</w:t>
      </w:r>
      <w:r w:rsidRPr="00D6515C">
        <w:rPr>
          <w:i/>
          <w:lang w:val="en-US"/>
        </w:rPr>
        <w:t>ConfigurationCommon</w:t>
      </w:r>
      <w:r w:rsidRPr="00D6515C">
        <w:rPr>
          <w:lang w:val="en-US"/>
        </w:rPr>
        <w:t xml:space="preserve">, or </w:t>
      </w:r>
      <w:r w:rsidR="00C10BBF">
        <w:rPr>
          <w:i/>
          <w:lang w:val="en-US"/>
        </w:rPr>
        <w:t>tdd</w:t>
      </w:r>
      <w:r w:rsidRPr="00D6515C">
        <w:rPr>
          <w:i/>
          <w:lang w:val="en-US"/>
        </w:rPr>
        <w:t>-</w:t>
      </w:r>
      <w:r w:rsidRPr="00D6515C">
        <w:rPr>
          <w:i/>
        </w:rPr>
        <w:t>UL-DL-</w:t>
      </w:r>
      <w:r w:rsidRPr="00D6515C">
        <w:rPr>
          <w:i/>
          <w:lang w:val="en-US"/>
        </w:rPr>
        <w:t>C</w:t>
      </w:r>
      <w:r w:rsidRPr="00D6515C">
        <w:rPr>
          <w:i/>
        </w:rPr>
        <w:t>onfig</w:t>
      </w:r>
      <w:r w:rsidR="00C10BBF">
        <w:rPr>
          <w:i/>
        </w:rPr>
        <w:t>uration</w:t>
      </w:r>
      <w:r w:rsidRPr="00D6515C">
        <w:rPr>
          <w:i/>
          <w:lang w:val="en-US"/>
        </w:rPr>
        <w:t>D</w:t>
      </w:r>
      <w:r w:rsidRPr="00D6515C">
        <w:rPr>
          <w:i/>
        </w:rPr>
        <w:t>edicated</w:t>
      </w:r>
      <w:r w:rsidRPr="00D6515C">
        <w:t>.</w:t>
      </w:r>
    </w:p>
    <w:p w14:paraId="17588747" w14:textId="017AF9BC" w:rsidR="00233D58" w:rsidRPr="0080392F" w:rsidRDefault="00233D58" w:rsidP="0027125A">
      <w:r w:rsidRPr="0080392F">
        <w:t xml:space="preserve">If a UE is scheduled by a DCI format to receive PDSCH over multiple slots, and if </w:t>
      </w:r>
      <w:r w:rsidR="00C10BBF">
        <w:rPr>
          <w:i/>
          <w:lang w:val="en-US"/>
        </w:rPr>
        <w:t>tdd</w:t>
      </w:r>
      <w:r w:rsidRPr="00FE7E1C">
        <w:rPr>
          <w:i/>
          <w:lang w:val="en-US"/>
        </w:rPr>
        <w:t>-</w:t>
      </w:r>
      <w:r w:rsidRPr="0080392F">
        <w:rPr>
          <w:i/>
        </w:rPr>
        <w:t>UL-DL-</w:t>
      </w:r>
      <w:r>
        <w:rPr>
          <w:i/>
          <w:lang w:val="en-US"/>
        </w:rPr>
        <w:t>C</w:t>
      </w:r>
      <w:r w:rsidRPr="0080392F">
        <w:rPr>
          <w:i/>
        </w:rPr>
        <w:t>onfiguration</w:t>
      </w:r>
      <w:r>
        <w:rPr>
          <w:i/>
          <w:lang w:val="en-US"/>
        </w:rPr>
        <w:t>C</w:t>
      </w:r>
      <w:r w:rsidRPr="0080392F">
        <w:rPr>
          <w:i/>
        </w:rPr>
        <w:t>ommon</w:t>
      </w:r>
      <w:r w:rsidRPr="0080392F">
        <w:t xml:space="preserve">, or </w:t>
      </w:r>
      <w:r w:rsidR="00C10BBF">
        <w:rPr>
          <w:i/>
          <w:lang w:val="en-US"/>
        </w:rPr>
        <w:t>tdd</w:t>
      </w:r>
      <w:r w:rsidRPr="0023005A">
        <w:rPr>
          <w:i/>
          <w:lang w:val="en-US"/>
        </w:rPr>
        <w:t>-</w:t>
      </w:r>
      <w:r w:rsidRPr="0080392F">
        <w:rPr>
          <w:i/>
        </w:rPr>
        <w:t>UL-DL-</w:t>
      </w:r>
      <w:r>
        <w:rPr>
          <w:i/>
          <w:lang w:val="en-US"/>
        </w:rPr>
        <w:t>C</w:t>
      </w:r>
      <w:r w:rsidRPr="0080392F">
        <w:rPr>
          <w:i/>
        </w:rPr>
        <w:t>onfig</w:t>
      </w:r>
      <w:r w:rsidR="00C10BBF">
        <w:rPr>
          <w:i/>
        </w:rPr>
        <w:t>uration</w:t>
      </w:r>
      <w:r>
        <w:rPr>
          <w:i/>
          <w:lang w:val="en-US"/>
        </w:rPr>
        <w:t>D</w:t>
      </w:r>
      <w:r w:rsidRPr="0080392F">
        <w:rPr>
          <w:i/>
        </w:rPr>
        <w:t>edicated</w:t>
      </w:r>
      <w:r w:rsidRPr="0080392F">
        <w:t>, indicate that, for a slot from the multiple slots, at least one symbol from a set of symbols where the UE is scheduled PDSCH reception in the slot is an uplink symbol, the UE does not receive the PDSCH in the slot.</w:t>
      </w:r>
      <w:r>
        <w:t xml:space="preserve"> </w:t>
      </w:r>
    </w:p>
    <w:p w14:paraId="3A4A5C5A" w14:textId="3D17BF53" w:rsidR="0027125A" w:rsidRDefault="00233D58" w:rsidP="003A061C">
      <w:r w:rsidRPr="0080392F">
        <w:t xml:space="preserve">If a UE is scheduled by a DCI format </w:t>
      </w:r>
      <w:r>
        <w:rPr>
          <w:lang w:val="en-US"/>
        </w:rPr>
        <w:t>to transmit</w:t>
      </w:r>
      <w:r w:rsidRPr="0080392F">
        <w:t xml:space="preserve"> PUSCH over multiple slots, and if </w:t>
      </w:r>
      <w:r w:rsidR="00C10BBF">
        <w:rPr>
          <w:i/>
          <w:lang w:val="en-US"/>
        </w:rPr>
        <w:t>tdd</w:t>
      </w:r>
      <w:r w:rsidRPr="00FE7E1C">
        <w:rPr>
          <w:i/>
          <w:lang w:val="en-US"/>
        </w:rPr>
        <w:t>-</w:t>
      </w:r>
      <w:r w:rsidRPr="0080392F">
        <w:rPr>
          <w:i/>
        </w:rPr>
        <w:t>UL-DL-</w:t>
      </w:r>
      <w:r>
        <w:rPr>
          <w:i/>
          <w:lang w:val="en-US"/>
        </w:rPr>
        <w:t>C</w:t>
      </w:r>
      <w:r w:rsidRPr="0080392F">
        <w:rPr>
          <w:i/>
        </w:rPr>
        <w:t>onfiguration</w:t>
      </w:r>
      <w:r>
        <w:rPr>
          <w:i/>
          <w:lang w:val="en-US"/>
        </w:rPr>
        <w:t>C</w:t>
      </w:r>
      <w:r w:rsidRPr="0080392F">
        <w:rPr>
          <w:i/>
        </w:rPr>
        <w:t>ommon</w:t>
      </w:r>
      <w:r w:rsidRPr="0080392F">
        <w:t xml:space="preserve">, or </w:t>
      </w:r>
      <w:r w:rsidR="00C10BBF">
        <w:rPr>
          <w:i/>
          <w:lang w:val="en-US"/>
        </w:rPr>
        <w:t>tdd</w:t>
      </w:r>
      <w:r w:rsidRPr="0023005A">
        <w:rPr>
          <w:i/>
          <w:lang w:val="en-US"/>
        </w:rPr>
        <w:t>-</w:t>
      </w:r>
      <w:r w:rsidRPr="0080392F">
        <w:rPr>
          <w:i/>
        </w:rPr>
        <w:t>UL-DL-</w:t>
      </w:r>
      <w:r>
        <w:rPr>
          <w:i/>
          <w:lang w:val="en-US"/>
        </w:rPr>
        <w:t>C</w:t>
      </w:r>
      <w:r w:rsidRPr="0080392F">
        <w:rPr>
          <w:i/>
        </w:rPr>
        <w:t>onfig</w:t>
      </w:r>
      <w:r w:rsidR="00C10BBF">
        <w:rPr>
          <w:i/>
        </w:rPr>
        <w:t>uration</w:t>
      </w:r>
      <w:r>
        <w:rPr>
          <w:i/>
          <w:lang w:val="en-US"/>
        </w:rPr>
        <w:t>D</w:t>
      </w:r>
      <w:r w:rsidRPr="0080392F">
        <w:rPr>
          <w:i/>
        </w:rPr>
        <w:t>edicated</w:t>
      </w:r>
      <w:r w:rsidRPr="0080392F">
        <w:t>, indicate</w:t>
      </w:r>
      <w:r>
        <w:rPr>
          <w:lang w:val="en-US"/>
        </w:rPr>
        <w:t>s</w:t>
      </w:r>
      <w:r w:rsidRPr="0080392F">
        <w:t xml:space="preserve"> that, for a slot from the multiple slots, at least one symbol from a set of symbols where the UE is scheduled PUSCH transmission in the slot is a downlink symbol, the UE does not transmit the PUSCH in the slot.</w:t>
      </w:r>
      <w:bookmarkStart w:id="733" w:name="_Ref500453000"/>
    </w:p>
    <w:p w14:paraId="73A4F647" w14:textId="77777777" w:rsidR="00CF0B3E" w:rsidRPr="004A1305" w:rsidRDefault="00CF0B3E" w:rsidP="00DA4DCE">
      <w:pPr>
        <w:rPr>
          <w:lang w:val="en-US"/>
        </w:rPr>
      </w:pPr>
      <w:r w:rsidRPr="004A1305">
        <w:rPr>
          <w:lang w:val="en-US" w:eastAsia="fr-FR"/>
        </w:rPr>
        <w:t>If a</w:t>
      </w:r>
      <w:r w:rsidRPr="004A1305">
        <w:rPr>
          <w:lang w:val="en-US"/>
        </w:rPr>
        <w:t xml:space="preserve"> UE</w:t>
      </w:r>
    </w:p>
    <w:p w14:paraId="1A88E719" w14:textId="74DD812B" w:rsidR="00CF0B3E" w:rsidRPr="004A1305" w:rsidRDefault="00CF0B3E" w:rsidP="00CF0B3E">
      <w:pPr>
        <w:pStyle w:val="B1"/>
        <w:rPr>
          <w:lang w:val="en-US"/>
        </w:rPr>
      </w:pPr>
      <w:r w:rsidRPr="004A1305">
        <w:rPr>
          <w:lang w:val="en-US"/>
        </w:rPr>
        <w:t>-</w:t>
      </w:r>
      <w:r w:rsidRPr="004A1305">
        <w:rPr>
          <w:lang w:val="en-US"/>
        </w:rPr>
        <w:tab/>
        <w:t xml:space="preserve">is configured with multiple serving cells </w:t>
      </w:r>
      <w:r>
        <w:rPr>
          <w:lang w:val="en-US"/>
        </w:rPr>
        <w:t xml:space="preserve">and is provided </w:t>
      </w:r>
      <w:r w:rsidR="00F75B62">
        <w:t xml:space="preserve">with </w:t>
      </w:r>
      <w:r w:rsidR="00F75B62" w:rsidRPr="002C4C6E">
        <w:rPr>
          <w:i/>
        </w:rPr>
        <w:t>directionalCollisionHandling-r16</w:t>
      </w:r>
      <w:r>
        <w:rPr>
          <w:i/>
          <w:lang w:val="en-US"/>
        </w:rPr>
        <w:t xml:space="preserve"> </w:t>
      </w:r>
      <w:r w:rsidRPr="008E1EC3">
        <w:rPr>
          <w:lang w:val="en-US"/>
        </w:rPr>
        <w:t>=</w:t>
      </w:r>
      <w:r>
        <w:rPr>
          <w:lang w:val="en-US"/>
        </w:rPr>
        <w:t xml:space="preserve"> </w:t>
      </w:r>
      <w:r w:rsidR="00965E29">
        <w:rPr>
          <w:lang w:val="en-US"/>
        </w:rPr>
        <w:t>'</w:t>
      </w:r>
      <w:r>
        <w:rPr>
          <w:lang w:val="en-US"/>
        </w:rPr>
        <w:t>enable</w:t>
      </w:r>
      <w:r w:rsidR="00F75B62">
        <w:rPr>
          <w:lang w:val="en-US"/>
        </w:rPr>
        <w:t>d</w:t>
      </w:r>
      <w:r w:rsidR="00965E29">
        <w:rPr>
          <w:lang w:val="en-US"/>
        </w:rPr>
        <w:t>'</w:t>
      </w:r>
      <w:r w:rsidR="00F75B62">
        <w:rPr>
          <w:lang w:val="en-US"/>
        </w:rPr>
        <w:t xml:space="preserve"> </w:t>
      </w:r>
      <w:r w:rsidR="00F75B62">
        <w:t>for a set of serving cell(s) among the configured multiple serving cells</w:t>
      </w:r>
      <w:r w:rsidRPr="004A1305">
        <w:rPr>
          <w:lang w:val="en-US"/>
        </w:rPr>
        <w:t xml:space="preserve">, </w:t>
      </w:r>
      <w:r w:rsidR="004F1892">
        <w:rPr>
          <w:lang w:val="en-US"/>
        </w:rPr>
        <w:t>and</w:t>
      </w:r>
    </w:p>
    <w:p w14:paraId="2562E258" w14:textId="35FBF85E" w:rsidR="00CF0B3E" w:rsidRPr="004A1305" w:rsidRDefault="00CF0B3E" w:rsidP="00CF0B3E">
      <w:pPr>
        <w:pStyle w:val="B1"/>
        <w:rPr>
          <w:lang w:val="en-US"/>
        </w:rPr>
      </w:pPr>
      <w:r w:rsidRPr="004A1305">
        <w:rPr>
          <w:lang w:val="en-US"/>
        </w:rPr>
        <w:t>-</w:t>
      </w:r>
      <w:r w:rsidRPr="004A1305">
        <w:rPr>
          <w:lang w:val="en-US"/>
        </w:rPr>
        <w:tab/>
        <w:t xml:space="preserve">indicates support of </w:t>
      </w:r>
      <w:r w:rsidR="00F75B62" w:rsidRPr="00DF14F2">
        <w:rPr>
          <w:rFonts w:eastAsia="MS Mincho"/>
          <w:i/>
          <w:iCs/>
          <w:color w:val="000000"/>
        </w:rPr>
        <w:t xml:space="preserve">half-DuplexTDD-CA-SameSCS-r16 </w:t>
      </w:r>
      <w:r w:rsidR="00F75B62" w:rsidRPr="00DF14F2">
        <w:rPr>
          <w:rFonts w:eastAsia="MS Mincho"/>
          <w:color w:val="000000"/>
        </w:rPr>
        <w:t>capability</w:t>
      </w:r>
      <w:r w:rsidRPr="004A1305">
        <w:rPr>
          <w:lang w:val="en-US"/>
        </w:rPr>
        <w:t xml:space="preserve">, and </w:t>
      </w:r>
    </w:p>
    <w:p w14:paraId="5D9204C9" w14:textId="1E740E0F" w:rsidR="00CF0B3E" w:rsidRPr="004A1305" w:rsidRDefault="00CF0B3E" w:rsidP="00CF0B3E">
      <w:pPr>
        <w:pStyle w:val="B1"/>
        <w:rPr>
          <w:lang w:val="en-US"/>
        </w:rPr>
      </w:pPr>
      <w:r w:rsidRPr="004A1305">
        <w:rPr>
          <w:lang w:val="en-US"/>
        </w:rPr>
        <w:t>-</w:t>
      </w:r>
      <w:r w:rsidRPr="004A1305">
        <w:rPr>
          <w:lang w:val="en-US"/>
        </w:rPr>
        <w:tab/>
        <w:t xml:space="preserve">is not configured to monitor PDCCH for </w:t>
      </w:r>
      <w:r>
        <w:rPr>
          <w:lang w:val="en-US"/>
        </w:rPr>
        <w:t xml:space="preserve">detection of </w:t>
      </w:r>
      <w:r w:rsidRPr="004A1305">
        <w:rPr>
          <w:lang w:val="en-US"/>
        </w:rPr>
        <w:t>DCI format 2</w:t>
      </w:r>
      <w:r w:rsidR="00F75B62" w:rsidRPr="002C4C6E">
        <w:rPr>
          <w:lang w:val="en-US"/>
        </w:rPr>
        <w:t>_</w:t>
      </w:r>
      <w:r w:rsidRPr="004A1305">
        <w:rPr>
          <w:lang w:val="en-US"/>
        </w:rPr>
        <w:t>0</w:t>
      </w:r>
      <w:r w:rsidR="004F1892" w:rsidRPr="00A44887">
        <w:rPr>
          <w:rFonts w:eastAsia="DengXian"/>
          <w:lang w:eastAsia="zh-CN"/>
        </w:rPr>
        <w:t xml:space="preserve"> </w:t>
      </w:r>
      <w:r w:rsidR="004F1892" w:rsidRPr="006F32A8">
        <w:rPr>
          <w:rFonts w:eastAsia="DengXian"/>
          <w:lang w:eastAsia="zh-CN"/>
        </w:rPr>
        <w:t>on any of the multiple serving cells</w:t>
      </w:r>
      <w:r w:rsidRPr="004A1305">
        <w:rPr>
          <w:lang w:val="en-US"/>
        </w:rPr>
        <w:t xml:space="preserve">, </w:t>
      </w:r>
    </w:p>
    <w:p w14:paraId="2DBBEBD1" w14:textId="77777777" w:rsidR="00106A05" w:rsidRDefault="00CF0B3E" w:rsidP="00DA4DCE">
      <w:r w:rsidRPr="004A1305">
        <w:rPr>
          <w:lang w:val="en-US"/>
        </w:rPr>
        <w:t xml:space="preserve">the UE determines </w:t>
      </w:r>
      <w:r w:rsidR="004F1892" w:rsidRPr="0088259C">
        <w:t>a reference cell for a symbol as a</w:t>
      </w:r>
      <w:r w:rsidR="004F1892">
        <w:t>n active</w:t>
      </w:r>
      <w:r w:rsidR="004F1892" w:rsidRPr="0088259C">
        <w:t xml:space="preserve"> cell with the smallest cell index among </w:t>
      </w:r>
    </w:p>
    <w:p w14:paraId="6AAC7DEA" w14:textId="06062882" w:rsidR="00106A05" w:rsidRDefault="00106A05" w:rsidP="005258CF">
      <w:pPr>
        <w:pStyle w:val="B1"/>
      </w:pPr>
      <w:r>
        <w:t>-</w:t>
      </w:r>
      <w:r>
        <w:tab/>
      </w:r>
      <w:r w:rsidR="00F75B62">
        <w:t xml:space="preserve">the configured multiple </w:t>
      </w:r>
      <w:r w:rsidR="004F1892" w:rsidRPr="0088259C">
        <w:t xml:space="preserve">serving cells </w:t>
      </w:r>
      <w:r w:rsidRPr="00347064">
        <w:t xml:space="preserve">if the UE is not capable of simultaneous transmission and reception as indicated by </w:t>
      </w:r>
      <w:r w:rsidRPr="00347064">
        <w:rPr>
          <w:i/>
          <w:iCs/>
        </w:rPr>
        <w:t>simultaneousRxTxInterBandCA</w:t>
      </w:r>
      <w:r w:rsidRPr="00347064">
        <w:t xml:space="preserve"> among the multiple serving cells, and</w:t>
      </w:r>
    </w:p>
    <w:p w14:paraId="76677796" w14:textId="59F5F57A" w:rsidR="00106A05" w:rsidRPr="006927FD" w:rsidRDefault="00106A05" w:rsidP="005258CF">
      <w:pPr>
        <w:pStyle w:val="B1"/>
      </w:pPr>
      <w:r>
        <w:t>-</w:t>
      </w:r>
      <w:r>
        <w:tab/>
      </w:r>
      <w:r w:rsidRPr="00347064">
        <w:t>the cells</w:t>
      </w:r>
      <w:r w:rsidRPr="007E3CAD">
        <w:t xml:space="preserve"> of each band respectively if the UE is capable of simultaneous transmission and reception by </w:t>
      </w:r>
      <w:r w:rsidRPr="007E3CAD">
        <w:rPr>
          <w:i/>
          <w:iCs/>
        </w:rPr>
        <w:t>simultaneousRxTxInterBandCA</w:t>
      </w:r>
      <w:r w:rsidRPr="007E3CAD">
        <w:t xml:space="preserve"> for the configured multiple serving cells</w:t>
      </w:r>
      <w:r>
        <w:t>,</w:t>
      </w:r>
    </w:p>
    <w:p w14:paraId="45CE8369" w14:textId="7A639FD0" w:rsidR="00CF0B3E" w:rsidRPr="004A1305" w:rsidRDefault="004F1892" w:rsidP="00DA4DCE">
      <w:pPr>
        <w:rPr>
          <w:lang w:val="en-US"/>
        </w:rPr>
      </w:pPr>
      <w:r w:rsidRPr="0088259C">
        <w:t>where the symbol is configured as</w:t>
      </w:r>
    </w:p>
    <w:p w14:paraId="1E943EAB" w14:textId="33D067A8" w:rsidR="00CF0B3E" w:rsidRPr="004A1305" w:rsidRDefault="00CF0B3E" w:rsidP="00CF0B3E">
      <w:pPr>
        <w:pStyle w:val="B1"/>
        <w:rPr>
          <w:i/>
          <w:iCs/>
          <w:lang w:val="en-US"/>
        </w:rPr>
      </w:pPr>
      <w:r w:rsidRPr="004A1305">
        <w:rPr>
          <w:lang w:val="en-US"/>
        </w:rPr>
        <w:t>-</w:t>
      </w:r>
      <w:r w:rsidRPr="004A1305">
        <w:rPr>
          <w:lang w:val="en-US"/>
        </w:rPr>
        <w:tab/>
        <w:t xml:space="preserve">downlink, </w:t>
      </w:r>
      <w:r w:rsidR="004F1892">
        <w:rPr>
          <w:lang w:val="en-US"/>
        </w:rPr>
        <w:t xml:space="preserve">or </w:t>
      </w:r>
      <w:r w:rsidRPr="004A1305">
        <w:rPr>
          <w:lang w:val="en-US"/>
        </w:rPr>
        <w:t>uplink, as indicated by</w:t>
      </w:r>
      <w:r>
        <w:rPr>
          <w:lang w:val="en-US"/>
        </w:rPr>
        <w:t xml:space="preserve"> </w:t>
      </w:r>
      <w:r w:rsidRPr="004A1305">
        <w:rPr>
          <w:i/>
          <w:iCs/>
          <w:lang w:val="en-US"/>
        </w:rPr>
        <w:t>tdd-UL-DL-ConfigurationCommon</w:t>
      </w:r>
      <w:r w:rsidRPr="004A1305">
        <w:rPr>
          <w:lang w:val="en-US"/>
        </w:rPr>
        <w:t xml:space="preserve"> or </w:t>
      </w:r>
      <w:r w:rsidRPr="004A1305">
        <w:rPr>
          <w:i/>
          <w:iCs/>
          <w:lang w:val="en-US"/>
        </w:rPr>
        <w:t>tdd-UL-DL-ConfigurationDedicated</w:t>
      </w:r>
    </w:p>
    <w:p w14:paraId="624F88EE" w14:textId="77777777" w:rsidR="00CF0B3E" w:rsidRPr="004A1305" w:rsidRDefault="00CF0B3E" w:rsidP="00CF0B3E">
      <w:pPr>
        <w:pStyle w:val="B1"/>
        <w:rPr>
          <w:lang w:val="en-US"/>
        </w:rPr>
      </w:pPr>
      <w:r w:rsidRPr="004A1305">
        <w:rPr>
          <w:lang w:val="en-US"/>
        </w:rPr>
        <w:t>-</w:t>
      </w:r>
      <w:r w:rsidRPr="004A1305">
        <w:rPr>
          <w:lang w:val="en-US"/>
        </w:rPr>
        <w:tab/>
        <w:t>uplink, if the symbol is flexible and the UE is</w:t>
      </w:r>
      <w:r w:rsidRPr="004A1305">
        <w:rPr>
          <w:bCs/>
          <w:lang w:val="en-US"/>
        </w:rPr>
        <w:t xml:space="preserve"> configured to transmit </w:t>
      </w:r>
      <w:r w:rsidRPr="004A1305">
        <w:rPr>
          <w:lang w:val="en-US"/>
        </w:rPr>
        <w:t>SRS, PUCCH, PUSCH, or PRACH on the symbol</w:t>
      </w:r>
    </w:p>
    <w:p w14:paraId="2044EC61" w14:textId="4FC78EF0" w:rsidR="00CF0B3E" w:rsidRPr="004A1305" w:rsidRDefault="00CF0B3E" w:rsidP="00CF0B3E">
      <w:pPr>
        <w:pStyle w:val="B1"/>
        <w:rPr>
          <w:lang w:val="en-US"/>
        </w:rPr>
      </w:pPr>
      <w:r w:rsidRPr="004A1305">
        <w:rPr>
          <w:lang w:val="en-US"/>
        </w:rPr>
        <w:t>-</w:t>
      </w:r>
      <w:r w:rsidRPr="004A1305">
        <w:rPr>
          <w:lang w:val="en-US"/>
        </w:rPr>
        <w:tab/>
        <w:t>downlink, if the symbol is flexible and the UE is configured to receive PDCCH, PDSCH or CSI-RS on the symbol</w:t>
      </w:r>
      <w:r w:rsidR="00F75B62">
        <w:rPr>
          <w:lang w:val="en-US"/>
        </w:rPr>
        <w:t>.</w:t>
      </w:r>
      <w:r w:rsidRPr="004A1305">
        <w:rPr>
          <w:lang w:val="en-US"/>
        </w:rPr>
        <w:t xml:space="preserve"> </w:t>
      </w:r>
    </w:p>
    <w:p w14:paraId="6DA26BEB" w14:textId="46C5EBC0" w:rsidR="00CF0B3E" w:rsidRPr="004A1305" w:rsidRDefault="00F75B62" w:rsidP="00DA4DCE">
      <w:pPr>
        <w:rPr>
          <w:lang w:val="en-US"/>
        </w:rPr>
      </w:pPr>
      <w:r>
        <w:rPr>
          <w:lang w:val="en-US"/>
        </w:rPr>
        <w:t xml:space="preserve">And if another cell </w:t>
      </w:r>
      <w:r w:rsidRPr="000155BC">
        <w:rPr>
          <w:rFonts w:eastAsia="MS Mincho"/>
        </w:rPr>
        <w:t xml:space="preserve">among the cells configured with </w:t>
      </w:r>
      <w:r w:rsidRPr="000155BC">
        <w:rPr>
          <w:rFonts w:eastAsia="MS Mincho"/>
          <w:bCs/>
          <w:i/>
          <w:lang w:eastAsia="sv-SE"/>
        </w:rPr>
        <w:t>directionalCollisionHandling</w:t>
      </w:r>
      <w:r>
        <w:rPr>
          <w:rFonts w:eastAsia="MS Mincho" w:hint="eastAsia"/>
          <w:bCs/>
          <w:i/>
          <w:lang w:eastAsia="ja-JP"/>
        </w:rPr>
        <w:t>-</w:t>
      </w:r>
      <w:r>
        <w:rPr>
          <w:rFonts w:eastAsia="MS Mincho"/>
          <w:bCs/>
          <w:i/>
          <w:lang w:eastAsia="ja-JP"/>
        </w:rPr>
        <w:t>r16</w:t>
      </w:r>
      <w:r>
        <w:rPr>
          <w:lang w:val="en-US"/>
        </w:rPr>
        <w:t xml:space="preserve"> operates in the same frequency band as the reference cell, </w:t>
      </w:r>
      <w:r w:rsidR="00CF0B3E" w:rsidRPr="004A1305">
        <w:rPr>
          <w:lang w:val="en-US"/>
        </w:rPr>
        <w:t>the UE does not expect</w:t>
      </w:r>
    </w:p>
    <w:p w14:paraId="0B12FFA6" w14:textId="77777777" w:rsidR="00CF0B3E" w:rsidRPr="004A1305" w:rsidRDefault="00CF0B3E" w:rsidP="00CF0B3E">
      <w:pPr>
        <w:pStyle w:val="B1"/>
        <w:rPr>
          <w:lang w:val="en-US"/>
        </w:rPr>
      </w:pPr>
      <w:r w:rsidRPr="004A1305">
        <w:rPr>
          <w:lang w:val="en-US"/>
        </w:rPr>
        <w:t>-</w:t>
      </w:r>
      <w:r w:rsidRPr="004A1305">
        <w:rPr>
          <w:lang w:val="en-US"/>
        </w:rPr>
        <w:tab/>
        <w:t xml:space="preserve">a symbol to be indicated as downlink or uplink on the reference cell and as uplink or downlink on another cell, respectively, by </w:t>
      </w:r>
      <w:r w:rsidRPr="004A1305">
        <w:rPr>
          <w:i/>
          <w:iCs/>
          <w:lang w:val="en-US"/>
        </w:rPr>
        <w:t>tdd-UL-DL-ConfigurationCommon</w:t>
      </w:r>
      <w:r w:rsidRPr="004A1305">
        <w:rPr>
          <w:lang w:val="en-US"/>
        </w:rPr>
        <w:t xml:space="preserve"> or by </w:t>
      </w:r>
      <w:r w:rsidRPr="004A1305">
        <w:rPr>
          <w:i/>
          <w:iCs/>
          <w:lang w:val="en-US"/>
        </w:rPr>
        <w:t>tdd-UL-DL-ConfigurationDedicated</w:t>
      </w:r>
      <w:r w:rsidRPr="004A1305">
        <w:rPr>
          <w:lang w:val="en-US"/>
        </w:rPr>
        <w:t>,</w:t>
      </w:r>
    </w:p>
    <w:p w14:paraId="72E63EB8" w14:textId="3238FD90" w:rsidR="00CF0B3E" w:rsidRPr="004A1305" w:rsidRDefault="00CF0B3E" w:rsidP="00CF0B3E">
      <w:pPr>
        <w:pStyle w:val="B1"/>
        <w:rPr>
          <w:lang w:val="en-US"/>
        </w:rPr>
      </w:pPr>
      <w:r w:rsidRPr="004A1305">
        <w:rPr>
          <w:lang w:val="en-US"/>
        </w:rPr>
        <w:lastRenderedPageBreak/>
        <w:t>-</w:t>
      </w:r>
      <w:r w:rsidRPr="004A1305">
        <w:rPr>
          <w:lang w:val="en-US"/>
        </w:rPr>
        <w:tab/>
      </w:r>
      <w:r w:rsidRPr="004A1305">
        <w:rPr>
          <w:i/>
          <w:iCs/>
          <w:lang w:val="en-US"/>
        </w:rPr>
        <w:t>tdd-UL-DL-ConfigurationCommon</w:t>
      </w:r>
      <w:r w:rsidRPr="004A1305">
        <w:rPr>
          <w:lang w:val="en-US"/>
        </w:rPr>
        <w:t xml:space="preserve"> or </w:t>
      </w:r>
      <w:r w:rsidRPr="004A1305">
        <w:rPr>
          <w:i/>
          <w:iCs/>
          <w:lang w:val="en-US"/>
        </w:rPr>
        <w:t>tdd-UL-DL-Config</w:t>
      </w:r>
      <w:r w:rsidR="00F825E4">
        <w:rPr>
          <w:i/>
          <w:iCs/>
          <w:lang w:val="en-US"/>
        </w:rPr>
        <w:t>uration</w:t>
      </w:r>
      <w:r w:rsidRPr="004A1305">
        <w:rPr>
          <w:i/>
          <w:iCs/>
          <w:lang w:val="en-US"/>
        </w:rPr>
        <w:t>Dedicated</w:t>
      </w:r>
      <w:r w:rsidRPr="004A1305">
        <w:rPr>
          <w:lang w:val="en-US"/>
        </w:rPr>
        <w:t xml:space="preserve"> to indicate a symbol as downlink on the reference cell and to detect a DCI format scheduling a t</w:t>
      </w:r>
      <w:r>
        <w:rPr>
          <w:lang w:val="en-US"/>
        </w:rPr>
        <w:t>ransmission on the symbol on an</w:t>
      </w:r>
      <w:r w:rsidRPr="004A1305">
        <w:rPr>
          <w:lang w:val="en-US"/>
        </w:rPr>
        <w:t>other cell, and</w:t>
      </w:r>
    </w:p>
    <w:p w14:paraId="06011AA0" w14:textId="3CC2E360" w:rsidR="00CF0B3E" w:rsidRPr="004A1305" w:rsidRDefault="00CF0B3E" w:rsidP="00CF0B3E">
      <w:pPr>
        <w:pStyle w:val="B1"/>
        <w:rPr>
          <w:lang w:val="en-US"/>
        </w:rPr>
      </w:pPr>
      <w:r w:rsidRPr="004A1305">
        <w:rPr>
          <w:lang w:val="en-US"/>
        </w:rPr>
        <w:t>-</w:t>
      </w:r>
      <w:r w:rsidRPr="004A1305">
        <w:rPr>
          <w:lang w:val="en-US"/>
        </w:rPr>
        <w:tab/>
        <w:t xml:space="preserve">to be configured by </w:t>
      </w:r>
      <w:r>
        <w:rPr>
          <w:bCs/>
          <w:lang w:val="en-US"/>
        </w:rPr>
        <w:t xml:space="preserve">higher </w:t>
      </w:r>
      <w:r w:rsidRPr="004A1305">
        <w:rPr>
          <w:bCs/>
          <w:lang w:val="en-US"/>
        </w:rPr>
        <w:t>layers to receive</w:t>
      </w:r>
      <w:r w:rsidRPr="004A1305">
        <w:rPr>
          <w:lang w:val="en-US"/>
        </w:rPr>
        <w:t> PDCCH, PDSCH, or CSI-RS on a flexible symbol on the reference cell and to detect a DCI format scheduling a t</w:t>
      </w:r>
      <w:r>
        <w:rPr>
          <w:lang w:val="en-US"/>
        </w:rPr>
        <w:t>ransmission on the symbol on an</w:t>
      </w:r>
      <w:r w:rsidRPr="004A1305">
        <w:rPr>
          <w:lang w:val="en-US"/>
        </w:rPr>
        <w:t>other cell</w:t>
      </w:r>
      <w:r w:rsidR="00F75B62">
        <w:rPr>
          <w:lang w:val="en-US"/>
        </w:rPr>
        <w:t>,</w:t>
      </w:r>
      <w:r w:rsidRPr="004A1305">
        <w:rPr>
          <w:lang w:val="en-US"/>
        </w:rPr>
        <w:t xml:space="preserve"> </w:t>
      </w:r>
    </w:p>
    <w:p w14:paraId="73671050" w14:textId="7CFF7790" w:rsidR="00CF0B3E" w:rsidRPr="004A1305" w:rsidRDefault="00F75B62" w:rsidP="00DA4DCE">
      <w:pPr>
        <w:rPr>
          <w:lang w:val="en-US"/>
        </w:rPr>
      </w:pPr>
      <w:r>
        <w:rPr>
          <w:lang w:val="en-US" w:eastAsia="fr-FR"/>
        </w:rPr>
        <w:t>i</w:t>
      </w:r>
      <w:r w:rsidRPr="004A1305">
        <w:rPr>
          <w:lang w:val="en-US" w:eastAsia="fr-FR"/>
        </w:rPr>
        <w:t xml:space="preserve">f </w:t>
      </w:r>
      <w:r w:rsidR="00CF0B3E" w:rsidRPr="004A1305">
        <w:rPr>
          <w:lang w:val="en-US" w:eastAsia="fr-FR"/>
        </w:rPr>
        <w:t xml:space="preserve">the </w:t>
      </w:r>
      <w:r w:rsidR="00CF0B3E">
        <w:rPr>
          <w:lang w:val="en-US"/>
        </w:rPr>
        <w:t>reference cell and another</w:t>
      </w:r>
      <w:r w:rsidR="00CF0B3E" w:rsidRPr="004A1305">
        <w:rPr>
          <w:lang w:val="en-US"/>
        </w:rPr>
        <w:t xml:space="preserve"> cell </w:t>
      </w:r>
      <w:r w:rsidRPr="000155BC">
        <w:rPr>
          <w:rFonts w:eastAsia="MS Mincho"/>
        </w:rPr>
        <w:t xml:space="preserve">among the cells configured with </w:t>
      </w:r>
      <w:r w:rsidRPr="000155BC">
        <w:rPr>
          <w:rFonts w:eastAsia="MS Mincho"/>
          <w:bCs/>
          <w:i/>
          <w:lang w:eastAsia="sv-SE"/>
        </w:rPr>
        <w:t>directionalCollisionHandling</w:t>
      </w:r>
      <w:r>
        <w:rPr>
          <w:rFonts w:eastAsia="MS Mincho" w:hint="eastAsia"/>
          <w:bCs/>
          <w:i/>
          <w:lang w:eastAsia="ja-JP"/>
        </w:rPr>
        <w:t>-</w:t>
      </w:r>
      <w:r>
        <w:rPr>
          <w:rFonts w:eastAsia="MS Mincho"/>
          <w:bCs/>
          <w:i/>
          <w:lang w:eastAsia="ja-JP"/>
        </w:rPr>
        <w:t>r16</w:t>
      </w:r>
      <w:r w:rsidR="00CF0B3E" w:rsidRPr="004A1305">
        <w:rPr>
          <w:lang w:val="en-US"/>
        </w:rPr>
        <w:t xml:space="preserve"> operate in different frequency bands</w:t>
      </w:r>
      <w:r>
        <w:rPr>
          <w:lang w:val="en-US"/>
        </w:rPr>
        <w:t>,</w:t>
      </w:r>
      <w:r w:rsidR="00CF0B3E" w:rsidRPr="004A1305">
        <w:rPr>
          <w:lang w:val="en-US"/>
        </w:rPr>
        <w:t xml:space="preserve"> </w:t>
      </w:r>
    </w:p>
    <w:p w14:paraId="58D09E11" w14:textId="77777777" w:rsidR="00CF0B3E" w:rsidRPr="004A1305" w:rsidRDefault="00CF0B3E" w:rsidP="00DA4DCE">
      <w:pPr>
        <w:rPr>
          <w:lang w:val="en-US"/>
        </w:rPr>
      </w:pPr>
      <w:r w:rsidRPr="004A1305">
        <w:rPr>
          <w:lang w:val="en-US"/>
        </w:rPr>
        <w:t xml:space="preserve">the UE </w:t>
      </w:r>
    </w:p>
    <w:p w14:paraId="564CCD83" w14:textId="485FA8D5" w:rsidR="00CF0B3E" w:rsidRPr="004A1305" w:rsidRDefault="00CF0B3E" w:rsidP="00CF0B3E">
      <w:pPr>
        <w:pStyle w:val="B1"/>
        <w:rPr>
          <w:lang w:val="en-US"/>
        </w:rPr>
      </w:pPr>
      <w:r w:rsidRPr="004A1305">
        <w:rPr>
          <w:lang w:val="en-US"/>
        </w:rPr>
        <w:t>-</w:t>
      </w:r>
      <w:r w:rsidRPr="004A1305">
        <w:rPr>
          <w:lang w:val="en-US"/>
        </w:rPr>
        <w:tab/>
        <w:t>assumes symbol as flexible, is not required to receive higher layer configured PDCCH, PDSCH, or CSI-RS and not expected to transmit higher layer configured</w:t>
      </w:r>
      <w:r w:rsidRPr="004A1305">
        <w:rPr>
          <w:bCs/>
          <w:lang w:val="en-US"/>
        </w:rPr>
        <w:t xml:space="preserve"> </w:t>
      </w:r>
      <w:r w:rsidRPr="004A1305">
        <w:rPr>
          <w:lang w:val="en-US"/>
        </w:rPr>
        <w:t xml:space="preserve">SRS, PUCCH, PUSCH, or PRACH, when </w:t>
      </w:r>
      <w:r w:rsidRPr="004A1305">
        <w:rPr>
          <w:i/>
          <w:iCs/>
          <w:lang w:val="en-US"/>
        </w:rPr>
        <w:t>tdd-UL-DL-ConfigurationCommon</w:t>
      </w:r>
      <w:r w:rsidRPr="004A1305">
        <w:rPr>
          <w:lang w:val="en-US"/>
        </w:rPr>
        <w:t xml:space="preserve"> or </w:t>
      </w:r>
      <w:r w:rsidRPr="004A1305">
        <w:rPr>
          <w:i/>
          <w:iCs/>
          <w:lang w:val="en-US"/>
        </w:rPr>
        <w:t>tdd-UL-DL-ConfigurationDedicated</w:t>
      </w:r>
      <w:r w:rsidRPr="004A1305">
        <w:rPr>
          <w:lang w:val="en-US"/>
        </w:rPr>
        <w:t xml:space="preserve"> indicates symbol as downlink or uplink on </w:t>
      </w:r>
      <w:r w:rsidR="001A721C">
        <w:rPr>
          <w:lang w:val="en-US"/>
        </w:rPr>
        <w:t>another</w:t>
      </w:r>
      <w:r w:rsidRPr="004A1305">
        <w:rPr>
          <w:lang w:val="en-US"/>
        </w:rPr>
        <w:t xml:space="preserve"> cell and as uplink or downlink for the reference cell, respectively,  </w:t>
      </w:r>
    </w:p>
    <w:p w14:paraId="5B750489" w14:textId="477BDD03" w:rsidR="00CF0B3E" w:rsidRPr="004A1305" w:rsidRDefault="00CF0B3E" w:rsidP="00CF0B3E">
      <w:pPr>
        <w:pStyle w:val="B1"/>
        <w:rPr>
          <w:lang w:val="en-US"/>
        </w:rPr>
      </w:pPr>
      <w:r w:rsidRPr="004A1305">
        <w:rPr>
          <w:lang w:val="en-US"/>
        </w:rPr>
        <w:t>-</w:t>
      </w:r>
      <w:r w:rsidRPr="004A1305">
        <w:rPr>
          <w:lang w:val="en-US"/>
        </w:rPr>
        <w:tab/>
        <w:t xml:space="preserve">transmits a signal/channel scheduled by a DCI format on a symbol of </w:t>
      </w:r>
      <w:r w:rsidR="001A721C">
        <w:rPr>
          <w:lang w:val="en-US"/>
        </w:rPr>
        <w:t>another</w:t>
      </w:r>
      <w:r w:rsidRPr="004A1305">
        <w:rPr>
          <w:lang w:val="en-US"/>
        </w:rPr>
        <w:t xml:space="preserve"> cell when the symbol is indicated as downlink by </w:t>
      </w:r>
      <w:r w:rsidRPr="004A1305">
        <w:rPr>
          <w:i/>
          <w:iCs/>
          <w:lang w:val="en-US"/>
        </w:rPr>
        <w:t>tdd-UL-DL-ConfigurationCommon</w:t>
      </w:r>
      <w:r w:rsidRPr="004A1305">
        <w:rPr>
          <w:lang w:val="en-US"/>
        </w:rPr>
        <w:t xml:space="preserve"> or </w:t>
      </w:r>
      <w:r w:rsidRPr="004A1305">
        <w:rPr>
          <w:i/>
          <w:iCs/>
          <w:lang w:val="en-US"/>
        </w:rPr>
        <w:t>tdd-UL-DL-Config</w:t>
      </w:r>
      <w:r w:rsidR="00F825E4">
        <w:rPr>
          <w:i/>
          <w:iCs/>
          <w:lang w:val="en-US"/>
        </w:rPr>
        <w:t>uration</w:t>
      </w:r>
      <w:r w:rsidRPr="004A1305">
        <w:rPr>
          <w:i/>
          <w:iCs/>
          <w:lang w:val="en-US"/>
        </w:rPr>
        <w:t>Dedicated</w:t>
      </w:r>
      <w:r w:rsidRPr="004A1305">
        <w:rPr>
          <w:lang w:val="en-US"/>
        </w:rPr>
        <w:t xml:space="preserve"> for the reference cell,</w:t>
      </w:r>
    </w:p>
    <w:p w14:paraId="333BF5D4" w14:textId="63D4325B" w:rsidR="00CF0B3E" w:rsidRPr="004A1305" w:rsidRDefault="00CF0B3E" w:rsidP="00CF0B3E">
      <w:pPr>
        <w:pStyle w:val="B1"/>
        <w:rPr>
          <w:lang w:val="en-US"/>
        </w:rPr>
      </w:pPr>
      <w:r w:rsidRPr="004A1305">
        <w:rPr>
          <w:lang w:val="en-US"/>
        </w:rPr>
        <w:t>-</w:t>
      </w:r>
      <w:r w:rsidR="00965E29">
        <w:rPr>
          <w:lang w:val="en-US"/>
        </w:rPr>
        <w:tab/>
      </w:r>
      <w:r w:rsidRPr="004A1305">
        <w:rPr>
          <w:lang w:val="en-US"/>
        </w:rPr>
        <w:t xml:space="preserve">is not required to receive a higher layer configured PDCCH, PDSCH, or CSI-RS on flexible symbols on the reference cell in a set of symbols, if the UE detects a DCI format scheduling a transmission on one or more symbols in the set of symbols on </w:t>
      </w:r>
      <w:r w:rsidR="001A721C">
        <w:rPr>
          <w:lang w:val="en-US"/>
        </w:rPr>
        <w:t>another</w:t>
      </w:r>
      <w:r w:rsidRPr="004A1305">
        <w:rPr>
          <w:lang w:val="en-US"/>
        </w:rPr>
        <w:t xml:space="preserve"> cell</w:t>
      </w:r>
      <w:r w:rsidR="001A721C">
        <w:rPr>
          <w:lang w:val="en-US"/>
        </w:rPr>
        <w:t>,</w:t>
      </w:r>
      <w:r w:rsidRPr="004A1305">
        <w:rPr>
          <w:lang w:val="en-US"/>
        </w:rPr>
        <w:t xml:space="preserve"> </w:t>
      </w:r>
    </w:p>
    <w:p w14:paraId="1E529BBC" w14:textId="3B5C4028" w:rsidR="00CF0B3E" w:rsidRPr="004A1305" w:rsidRDefault="001A721C" w:rsidP="00DA4DCE">
      <w:pPr>
        <w:rPr>
          <w:lang w:val="en-US"/>
        </w:rPr>
      </w:pPr>
      <w:r>
        <w:rPr>
          <w:lang w:val="en-US" w:eastAsia="fr-FR"/>
        </w:rPr>
        <w:t>and regardless of whether the reference cell and another cell operat</w:t>
      </w:r>
      <w:r>
        <w:rPr>
          <w:rFonts w:hint="eastAsia"/>
          <w:lang w:val="en-US" w:eastAsia="zh-CN"/>
        </w:rPr>
        <w:t>e</w:t>
      </w:r>
      <w:r>
        <w:rPr>
          <w:lang w:val="en-US" w:eastAsia="fr-FR"/>
        </w:rPr>
        <w:t xml:space="preserve"> in same or different frequency bands, </w:t>
      </w:r>
      <w:r w:rsidR="00CF0B3E" w:rsidRPr="004A1305">
        <w:rPr>
          <w:lang w:val="en-US"/>
        </w:rPr>
        <w:t xml:space="preserve"> </w:t>
      </w:r>
    </w:p>
    <w:p w14:paraId="512346C4" w14:textId="77777777" w:rsidR="00CF0B3E" w:rsidRPr="004A1305" w:rsidRDefault="00CF0B3E" w:rsidP="00DA4DCE">
      <w:pPr>
        <w:rPr>
          <w:lang w:val="en-US"/>
        </w:rPr>
      </w:pPr>
      <w:r w:rsidRPr="004A1305">
        <w:rPr>
          <w:lang w:val="en-US"/>
        </w:rPr>
        <w:t xml:space="preserve">the UE </w:t>
      </w:r>
    </w:p>
    <w:p w14:paraId="515EB607" w14:textId="77777777" w:rsidR="00CF0B3E" w:rsidRPr="004A1305" w:rsidRDefault="00CF0B3E" w:rsidP="00CF0B3E">
      <w:pPr>
        <w:pStyle w:val="B1"/>
        <w:rPr>
          <w:lang w:val="en-US"/>
        </w:rPr>
      </w:pPr>
      <w:r w:rsidRPr="004A1305">
        <w:rPr>
          <w:lang w:val="en-US"/>
        </w:rPr>
        <w:t>-</w:t>
      </w:r>
      <w:r w:rsidRPr="004A1305">
        <w:rPr>
          <w:lang w:val="en-US"/>
        </w:rPr>
        <w:tab/>
        <w:t xml:space="preserve">does not expect </w:t>
      </w:r>
      <w:r w:rsidRPr="004A1305">
        <w:rPr>
          <w:i/>
          <w:iCs/>
          <w:lang w:val="en-US"/>
        </w:rPr>
        <w:t>tdd-UL-DL-ConfigurationCommon</w:t>
      </w:r>
      <w:r w:rsidRPr="004A1305">
        <w:rPr>
          <w:lang w:val="en-US"/>
        </w:rPr>
        <w:t xml:space="preserve"> or </w:t>
      </w:r>
      <w:r w:rsidRPr="004A1305">
        <w:rPr>
          <w:i/>
          <w:iCs/>
          <w:lang w:val="en-US"/>
        </w:rPr>
        <w:t>tdd-UL-DL-ConfigurationDedicated</w:t>
      </w:r>
      <w:r w:rsidRPr="004A1305">
        <w:rPr>
          <w:lang w:val="en-US"/>
        </w:rPr>
        <w:t xml:space="preserve"> for the reference cell to indicate a symbol as uplink and to detect a DCI format </w:t>
      </w:r>
      <w:r w:rsidRPr="004A1305">
        <w:rPr>
          <w:rStyle w:val="CommentReference"/>
          <w:sz w:val="20"/>
          <w:lang w:val="en-US"/>
        </w:rPr>
        <w:t>scheduling</w:t>
      </w:r>
      <w:r w:rsidRPr="004A1305">
        <w:rPr>
          <w:lang w:val="en-US"/>
        </w:rPr>
        <w:t xml:space="preserve"> a</w:t>
      </w:r>
      <w:r>
        <w:rPr>
          <w:lang w:val="en-US"/>
        </w:rPr>
        <w:t xml:space="preserve"> reception on the symbol on an</w:t>
      </w:r>
      <w:r w:rsidRPr="004A1305">
        <w:rPr>
          <w:lang w:val="en-US"/>
        </w:rPr>
        <w:t>other cell</w:t>
      </w:r>
    </w:p>
    <w:p w14:paraId="397A08CE" w14:textId="77777777" w:rsidR="00CF0B3E" w:rsidRPr="004A1305" w:rsidRDefault="00CF0B3E" w:rsidP="00CF0B3E">
      <w:pPr>
        <w:pStyle w:val="B1"/>
        <w:rPr>
          <w:lang w:val="en-US"/>
        </w:rPr>
      </w:pPr>
      <w:bookmarkStart w:id="734" w:name="_Hlk33186884"/>
      <w:r w:rsidRPr="004A1305">
        <w:rPr>
          <w:lang w:val="en-US"/>
        </w:rPr>
        <w:t>-</w:t>
      </w:r>
      <w:r w:rsidRPr="004A1305">
        <w:rPr>
          <w:lang w:val="en-US"/>
        </w:rPr>
        <w:tab/>
        <w:t>does not expect to be configured by higher layers to transmit</w:t>
      </w:r>
      <w:r w:rsidRPr="004A1305">
        <w:rPr>
          <w:bCs/>
          <w:lang w:val="en-US"/>
        </w:rPr>
        <w:t xml:space="preserve"> </w:t>
      </w:r>
      <w:r w:rsidRPr="004A1305">
        <w:rPr>
          <w:lang w:val="en-US"/>
        </w:rPr>
        <w:t>SRS, PUCCH, PUSCH, or PRACH on a flexible symbol on the reference cell and to detect a DCI format scheduling a</w:t>
      </w:r>
      <w:r>
        <w:rPr>
          <w:lang w:val="en-US"/>
        </w:rPr>
        <w:t xml:space="preserve"> reception on the symbol on an</w:t>
      </w:r>
      <w:r w:rsidRPr="004A1305">
        <w:rPr>
          <w:lang w:val="en-US"/>
        </w:rPr>
        <w:t>other cell</w:t>
      </w:r>
    </w:p>
    <w:bookmarkEnd w:id="734"/>
    <w:p w14:paraId="19B08DA5" w14:textId="77777777" w:rsidR="00CF0B3E" w:rsidRPr="004A1305" w:rsidRDefault="00CF0B3E" w:rsidP="00CF0B3E">
      <w:pPr>
        <w:pStyle w:val="B1"/>
        <w:rPr>
          <w:lang w:val="en-US"/>
        </w:rPr>
      </w:pPr>
      <w:r w:rsidRPr="004A1305">
        <w:rPr>
          <w:lang w:val="en-US"/>
        </w:rPr>
        <w:t>-</w:t>
      </w:r>
      <w:r w:rsidRPr="004A1305">
        <w:rPr>
          <w:lang w:val="en-US"/>
        </w:rPr>
        <w:tab/>
        <w:t>does not transmit a PUCCH, PUSCH or PRACH that is configured by higher la</w:t>
      </w:r>
      <w:r>
        <w:rPr>
          <w:lang w:val="en-US"/>
        </w:rPr>
        <w:t>yers on a set of symbols on an</w:t>
      </w:r>
      <w:r w:rsidRPr="004A1305">
        <w:rPr>
          <w:lang w:val="en-US"/>
        </w:rPr>
        <w:t xml:space="preserve">other cell if at least one symbol from the set of symbols is indicated as downlink by </w:t>
      </w:r>
      <w:r w:rsidRPr="004A1305">
        <w:rPr>
          <w:i/>
          <w:iCs/>
          <w:lang w:val="en-US"/>
        </w:rPr>
        <w:t>tdd-UL-DL-ConfigurationCommon</w:t>
      </w:r>
      <w:r w:rsidRPr="004A1305">
        <w:rPr>
          <w:lang w:val="en-US"/>
        </w:rPr>
        <w:t xml:space="preserve"> or </w:t>
      </w:r>
      <w:r w:rsidRPr="004A1305">
        <w:rPr>
          <w:i/>
          <w:iCs/>
          <w:lang w:val="en-US"/>
        </w:rPr>
        <w:t>tdd-UL-DL-ConfigurationDedicated</w:t>
      </w:r>
      <w:r w:rsidRPr="004A1305">
        <w:rPr>
          <w:lang w:val="en-US"/>
        </w:rPr>
        <w:t xml:space="preserve"> or is a symbol corresponding to a PDCCH, PDSCH</w:t>
      </w:r>
      <w:r>
        <w:rPr>
          <w:lang w:val="en-US"/>
        </w:rPr>
        <w:t>,</w:t>
      </w:r>
      <w:r w:rsidRPr="004A1305">
        <w:rPr>
          <w:lang w:val="en-US"/>
        </w:rPr>
        <w:t xml:space="preserve"> or CSI-RS reception that is configured by higher layers on the reference cell </w:t>
      </w:r>
    </w:p>
    <w:p w14:paraId="2536BF5F" w14:textId="77777777" w:rsidR="00CF0B3E" w:rsidRPr="004A1305" w:rsidRDefault="00CF0B3E" w:rsidP="00CF0B3E">
      <w:pPr>
        <w:pStyle w:val="B1"/>
        <w:rPr>
          <w:lang w:val="en-US"/>
        </w:rPr>
      </w:pPr>
      <w:r w:rsidRPr="004A1305">
        <w:rPr>
          <w:lang w:val="en-US"/>
        </w:rPr>
        <w:t>-</w:t>
      </w:r>
      <w:r w:rsidRPr="004A1305">
        <w:rPr>
          <w:lang w:val="en-US"/>
        </w:rPr>
        <w:tab/>
        <w:t>does not transmit a</w:t>
      </w:r>
      <w:r w:rsidRPr="004A1305">
        <w:rPr>
          <w:rStyle w:val="CommentReference"/>
          <w:sz w:val="20"/>
          <w:lang w:val="en-US"/>
        </w:rPr>
        <w:t xml:space="preserve"> SRS </w:t>
      </w:r>
      <w:r w:rsidRPr="004A1305">
        <w:rPr>
          <w:lang w:val="en-US"/>
        </w:rPr>
        <w:t>that is configured by higher la</w:t>
      </w:r>
      <w:r>
        <w:rPr>
          <w:lang w:val="en-US"/>
        </w:rPr>
        <w:t>yers on a set of symbols on an</w:t>
      </w:r>
      <w:r w:rsidRPr="004A1305">
        <w:rPr>
          <w:lang w:val="en-US"/>
        </w:rPr>
        <w:t xml:space="preserve">other cell if the set of symbols is indicated as downlink by </w:t>
      </w:r>
      <w:r w:rsidRPr="004A1305">
        <w:rPr>
          <w:i/>
          <w:iCs/>
          <w:lang w:val="en-US"/>
        </w:rPr>
        <w:t>tdd-UL-DL-ConfigurationCommon</w:t>
      </w:r>
      <w:r w:rsidRPr="004A1305">
        <w:rPr>
          <w:lang w:val="en-US"/>
        </w:rPr>
        <w:t xml:space="preserve"> or </w:t>
      </w:r>
      <w:r w:rsidRPr="004A1305">
        <w:rPr>
          <w:i/>
          <w:iCs/>
          <w:lang w:val="en-US"/>
        </w:rPr>
        <w:t>tdd-UL-DL-ConfigurationDedicated</w:t>
      </w:r>
      <w:r w:rsidRPr="004A1305">
        <w:rPr>
          <w:lang w:val="en-US"/>
        </w:rPr>
        <w:t xml:space="preserve"> or corresponds to a PDCCH, PDSCH or CSI-RS reception that is configured by higher layers on the reference cell </w:t>
      </w:r>
    </w:p>
    <w:p w14:paraId="40585D7A" w14:textId="226ACB35" w:rsidR="00CF0B3E" w:rsidRPr="004A1305" w:rsidRDefault="00CF0B3E" w:rsidP="00CF0B3E">
      <w:pPr>
        <w:pStyle w:val="B1"/>
        <w:rPr>
          <w:lang w:val="en-US"/>
        </w:rPr>
      </w:pPr>
      <w:r w:rsidRPr="004A1305">
        <w:rPr>
          <w:lang w:val="en-US"/>
        </w:rPr>
        <w:t>-</w:t>
      </w:r>
      <w:r w:rsidRPr="004A1305">
        <w:rPr>
          <w:lang w:val="en-US"/>
        </w:rPr>
        <w:tab/>
        <w:t>does not receive a</w:t>
      </w:r>
      <w:r w:rsidR="005A6996">
        <w:rPr>
          <w:lang w:val="en-US"/>
        </w:rPr>
        <w:t xml:space="preserve"> </w:t>
      </w:r>
      <w:r w:rsidRPr="004A1305">
        <w:rPr>
          <w:lang w:val="en-US"/>
        </w:rPr>
        <w:t>PDCCH, PDSCH or CSI-RS that is configured by higher l</w:t>
      </w:r>
      <w:r>
        <w:rPr>
          <w:lang w:val="en-US"/>
        </w:rPr>
        <w:t>ayers on a set of symbols on</w:t>
      </w:r>
      <w:r w:rsidRPr="004A1305">
        <w:rPr>
          <w:lang w:val="en-US"/>
        </w:rPr>
        <w:t xml:space="preserve"> </w:t>
      </w:r>
      <w:r>
        <w:rPr>
          <w:lang w:val="en-US"/>
        </w:rPr>
        <w:t>an</w:t>
      </w:r>
      <w:r w:rsidRPr="004A1305">
        <w:rPr>
          <w:lang w:val="en-US"/>
        </w:rPr>
        <w:t xml:space="preserve">other cell if at least one symbol from the set of symbols is indicated as uplink by </w:t>
      </w:r>
      <w:r w:rsidRPr="004A1305">
        <w:rPr>
          <w:i/>
          <w:iCs/>
          <w:lang w:val="en-US"/>
        </w:rPr>
        <w:t>tdd-UL-DL-ConfigurationCommon</w:t>
      </w:r>
      <w:r w:rsidRPr="004A1305">
        <w:rPr>
          <w:lang w:val="en-US"/>
        </w:rPr>
        <w:t xml:space="preserve"> or </w:t>
      </w:r>
      <w:r w:rsidRPr="004A1305">
        <w:rPr>
          <w:i/>
          <w:iCs/>
          <w:lang w:val="en-US"/>
        </w:rPr>
        <w:t>tdd-UL-DL-ConfigurationDedicated</w:t>
      </w:r>
      <w:r w:rsidRPr="004A1305">
        <w:rPr>
          <w:lang w:val="en-US"/>
        </w:rPr>
        <w:t xml:space="preserve"> or is a symbol corresponding to a</w:t>
      </w:r>
      <w:r w:rsidRPr="004A1305">
        <w:rPr>
          <w:bCs/>
          <w:lang w:val="en-US"/>
        </w:rPr>
        <w:t xml:space="preserve"> </w:t>
      </w:r>
      <w:r>
        <w:rPr>
          <w:lang w:val="en-US"/>
        </w:rPr>
        <w:t xml:space="preserve">SRS, PUCCH, PUSCH, </w:t>
      </w:r>
      <w:r w:rsidRPr="004A1305">
        <w:rPr>
          <w:lang w:val="en-US"/>
        </w:rPr>
        <w:t>or PRACH transmission that is configured by higher layers on the reference cell</w:t>
      </w:r>
    </w:p>
    <w:p w14:paraId="1906F37B" w14:textId="77777777" w:rsidR="00CF0B3E" w:rsidRPr="004A1305" w:rsidRDefault="00CF0B3E" w:rsidP="00CF0B3E">
      <w:pPr>
        <w:pStyle w:val="B1"/>
        <w:rPr>
          <w:lang w:val="en-US"/>
        </w:rPr>
      </w:pPr>
      <w:r w:rsidRPr="004A1305">
        <w:rPr>
          <w:lang w:val="en-US"/>
        </w:rPr>
        <w:t>-</w:t>
      </w:r>
      <w:r w:rsidRPr="004A1305">
        <w:rPr>
          <w:lang w:val="en-US"/>
        </w:rPr>
        <w:tab/>
        <w:t xml:space="preserve">assumes a symbol indicated as downlink or uplink by </w:t>
      </w:r>
      <w:r w:rsidRPr="004A1305">
        <w:rPr>
          <w:i/>
          <w:iCs/>
          <w:lang w:val="en-US"/>
        </w:rPr>
        <w:t>tdd-UL-DL-ConfigurationCommon</w:t>
      </w:r>
      <w:r w:rsidRPr="004A1305">
        <w:rPr>
          <w:lang w:val="en-US"/>
        </w:rPr>
        <w:t xml:space="preserve"> or </w:t>
      </w:r>
      <w:r w:rsidRPr="004A1305">
        <w:rPr>
          <w:i/>
          <w:iCs/>
          <w:lang w:val="en-US"/>
        </w:rPr>
        <w:t>tdd-UL-DL-ConfigurationDedicated</w:t>
      </w:r>
      <w:r>
        <w:rPr>
          <w:lang w:val="en-US"/>
        </w:rPr>
        <w:t xml:space="preserve"> on an</w:t>
      </w:r>
      <w:r w:rsidRPr="004A1305">
        <w:rPr>
          <w:lang w:val="en-US"/>
        </w:rPr>
        <w:t>other cell to be flexible, if the UE is respectively configured by higher layers to transmit</w:t>
      </w:r>
      <w:r w:rsidRPr="004A1305">
        <w:rPr>
          <w:bCs/>
          <w:lang w:val="en-US"/>
        </w:rPr>
        <w:t xml:space="preserve"> </w:t>
      </w:r>
      <w:r w:rsidRPr="004A1305">
        <w:rPr>
          <w:lang w:val="en-US"/>
        </w:rPr>
        <w:t>SRS, PUCCH, PUSCH, or PRACH or to receive PDCCH, PDSCH, or CSI-RS on the reference cell</w:t>
      </w:r>
    </w:p>
    <w:p w14:paraId="51BDD3A2" w14:textId="3E082682" w:rsidR="001A721C" w:rsidRPr="005258CF" w:rsidRDefault="00CF0B3E" w:rsidP="005258CF">
      <w:pPr>
        <w:pStyle w:val="B1"/>
        <w:rPr>
          <w:lang w:val="en-US"/>
        </w:rPr>
      </w:pPr>
      <w:r w:rsidRPr="004A1305">
        <w:t>-</w:t>
      </w:r>
      <w:r w:rsidRPr="004A1305">
        <w:tab/>
        <w:t>does not expect to detect a first DCI format scheduling a transmission or reception on a symbol on a first cell and a second DCI format scheduling a reception or transmission on the symbol on a second cell, respectively</w:t>
      </w:r>
      <w:r w:rsidR="001A721C">
        <w:rPr>
          <w:lang w:val="en-US"/>
        </w:rPr>
        <w:t>.</w:t>
      </w:r>
    </w:p>
    <w:p w14:paraId="481BBD4E" w14:textId="7A6CBE52" w:rsidR="00CF0B3E" w:rsidRPr="00DA4DCE" w:rsidRDefault="001A721C" w:rsidP="005258CF">
      <w:pPr>
        <w:rPr>
          <w:lang w:val="en-US"/>
        </w:rPr>
      </w:pPr>
      <w:r w:rsidRPr="00A5634E">
        <w:t xml:space="preserve">After the UE applies the procedures described above for directional collision handling within the set of cells that have been configured with </w:t>
      </w:r>
      <w:r w:rsidRPr="00A5634E">
        <w:rPr>
          <w:i/>
          <w:iCs/>
        </w:rPr>
        <w:t>directionalCollisionHandling-r16</w:t>
      </w:r>
      <w:r w:rsidRPr="00A5634E">
        <w:t>, the UE does not expect any directional collision among the serving cells that the UE is not capable of simultaneous transmission and reception</w:t>
      </w:r>
      <w:r>
        <w:t>.</w:t>
      </w:r>
    </w:p>
    <w:p w14:paraId="51C5ACF4" w14:textId="77777777" w:rsidR="00C208F0" w:rsidRPr="00B916EC" w:rsidRDefault="00C208F0" w:rsidP="0027125A">
      <w:pPr>
        <w:pStyle w:val="Heading3"/>
      </w:pPr>
      <w:bookmarkStart w:id="735" w:name="_Toc12021490"/>
      <w:bookmarkStart w:id="736" w:name="_Toc20311602"/>
      <w:bookmarkStart w:id="737" w:name="_Toc26719427"/>
      <w:bookmarkStart w:id="738" w:name="_Toc29894863"/>
      <w:bookmarkStart w:id="739" w:name="_Toc29899162"/>
      <w:bookmarkStart w:id="740" w:name="_Toc29899580"/>
      <w:bookmarkStart w:id="741" w:name="_Toc29917319"/>
      <w:bookmarkStart w:id="742" w:name="_Toc36498193"/>
      <w:bookmarkStart w:id="743" w:name="_Toc45699221"/>
      <w:bookmarkStart w:id="744" w:name="_Toc161999154"/>
      <w:r w:rsidRPr="00B916EC">
        <w:t>11.1.</w:t>
      </w:r>
      <w:r w:rsidR="0069451B" w:rsidRPr="00B916EC">
        <w:t>1</w:t>
      </w:r>
      <w:r w:rsidRPr="00B916EC">
        <w:tab/>
        <w:t xml:space="preserve">UE procedure for determining slot </w:t>
      </w:r>
      <w:bookmarkEnd w:id="733"/>
      <w:r w:rsidR="005D3D76" w:rsidRPr="00B916EC">
        <w:t>format</w:t>
      </w:r>
      <w:bookmarkEnd w:id="735"/>
      <w:bookmarkEnd w:id="736"/>
      <w:bookmarkEnd w:id="737"/>
      <w:bookmarkEnd w:id="738"/>
      <w:bookmarkEnd w:id="739"/>
      <w:bookmarkEnd w:id="740"/>
      <w:bookmarkEnd w:id="741"/>
      <w:bookmarkEnd w:id="742"/>
      <w:bookmarkEnd w:id="743"/>
      <w:bookmarkEnd w:id="744"/>
    </w:p>
    <w:p w14:paraId="2788F8B0" w14:textId="7C08BC46" w:rsidR="00CA657A" w:rsidRPr="00CA657A" w:rsidRDefault="00CA657A" w:rsidP="00CA657A">
      <w:pPr>
        <w:rPr>
          <w:lang w:eastAsia="zh-CN"/>
        </w:rPr>
      </w:pPr>
      <w:r w:rsidRPr="00CA657A">
        <w:rPr>
          <w:lang w:val="en-US" w:eastAsia="zh-CN"/>
        </w:rPr>
        <w:t xml:space="preserve">This </w:t>
      </w:r>
      <w:r w:rsidR="006F5F9E">
        <w:rPr>
          <w:lang w:val="en-US" w:eastAsia="zh-CN"/>
        </w:rPr>
        <w:t>clause</w:t>
      </w:r>
      <w:r w:rsidR="00427F0C" w:rsidRPr="00CA657A">
        <w:rPr>
          <w:lang w:val="en-US" w:eastAsia="zh-CN"/>
        </w:rPr>
        <w:t xml:space="preserve"> </w:t>
      </w:r>
      <w:r w:rsidRPr="00CA657A">
        <w:rPr>
          <w:lang w:val="en-US" w:eastAsia="zh-CN"/>
        </w:rPr>
        <w:t xml:space="preserve">applies for a serving cell that is included in a set of serving cells configured to a UE by </w:t>
      </w:r>
      <w:r w:rsidRPr="00CA657A">
        <w:rPr>
          <w:i/>
        </w:rPr>
        <w:t>slotFormatCombToAddModList</w:t>
      </w:r>
      <w:r w:rsidRPr="00CA657A">
        <w:t xml:space="preserve"> and</w:t>
      </w:r>
      <w:r w:rsidRPr="00CA657A">
        <w:rPr>
          <w:lang w:val="en-US" w:eastAsia="zh-CN"/>
        </w:rPr>
        <w:t xml:space="preserve"> </w:t>
      </w:r>
      <w:r w:rsidRPr="00CA657A">
        <w:rPr>
          <w:i/>
        </w:rPr>
        <w:t>slotFormatCombToReleaseList</w:t>
      </w:r>
      <w:r w:rsidR="00427F0C">
        <w:rPr>
          <w:rFonts w:cs="Arial"/>
          <w:lang w:eastAsia="zh-CN"/>
        </w:rPr>
        <w:t xml:space="preserve">, </w:t>
      </w:r>
      <w:r w:rsidR="00427F0C" w:rsidRPr="00F05FA3">
        <w:rPr>
          <w:i/>
        </w:rPr>
        <w:t>availableRB-SetsToAddModList</w:t>
      </w:r>
      <w:r w:rsidR="00427F0C" w:rsidRPr="00CA657A">
        <w:t xml:space="preserve"> and</w:t>
      </w:r>
      <w:r w:rsidR="00427F0C" w:rsidRPr="00CA657A">
        <w:rPr>
          <w:lang w:eastAsia="zh-CN"/>
        </w:rPr>
        <w:t xml:space="preserve"> </w:t>
      </w:r>
      <w:r w:rsidR="00427F0C" w:rsidRPr="00F05FA3">
        <w:rPr>
          <w:i/>
        </w:rPr>
        <w:t>availableRB-SetsToRelease</w:t>
      </w:r>
      <w:r w:rsidR="00514000">
        <w:rPr>
          <w:i/>
        </w:rPr>
        <w:t>List</w:t>
      </w:r>
      <w:r w:rsidR="00427F0C">
        <w:rPr>
          <w:rFonts w:cs="Arial"/>
          <w:lang w:eastAsia="zh-CN"/>
        </w:rPr>
        <w:t xml:space="preserve">, </w:t>
      </w:r>
      <w:r w:rsidR="0070723B">
        <w:rPr>
          <w:i/>
        </w:rPr>
        <w:t>s</w:t>
      </w:r>
      <w:r w:rsidR="0070723B" w:rsidRPr="00F05FA3">
        <w:rPr>
          <w:i/>
        </w:rPr>
        <w:t>witchTriggerToAddModList</w:t>
      </w:r>
      <w:r w:rsidR="00427F0C">
        <w:rPr>
          <w:i/>
        </w:rPr>
        <w:t xml:space="preserve"> </w:t>
      </w:r>
      <w:r w:rsidR="00427F0C" w:rsidRPr="00CA657A">
        <w:t>and</w:t>
      </w:r>
      <w:r w:rsidR="00427F0C" w:rsidRPr="00CA657A">
        <w:rPr>
          <w:lang w:eastAsia="zh-CN"/>
        </w:rPr>
        <w:t xml:space="preserve"> </w:t>
      </w:r>
      <w:r w:rsidR="0070723B">
        <w:rPr>
          <w:i/>
        </w:rPr>
        <w:t>s</w:t>
      </w:r>
      <w:r w:rsidR="0070723B" w:rsidRPr="00F05FA3">
        <w:rPr>
          <w:i/>
        </w:rPr>
        <w:t>witchTriggerToReleaseList</w:t>
      </w:r>
      <w:r w:rsidR="00427F0C">
        <w:rPr>
          <w:rFonts w:cs="Arial"/>
          <w:lang w:eastAsia="zh-CN"/>
        </w:rPr>
        <w:t xml:space="preserve">, or </w:t>
      </w:r>
      <w:r w:rsidR="00427F0C" w:rsidRPr="00F05FA3">
        <w:rPr>
          <w:i/>
        </w:rPr>
        <w:t>co-DurationsPerCellToAddModList</w:t>
      </w:r>
      <w:r w:rsidR="00427F0C" w:rsidRPr="00CA657A">
        <w:t xml:space="preserve"> and</w:t>
      </w:r>
      <w:r w:rsidR="00427F0C" w:rsidRPr="00CA657A">
        <w:rPr>
          <w:lang w:eastAsia="zh-CN"/>
        </w:rPr>
        <w:t xml:space="preserve"> </w:t>
      </w:r>
      <w:r w:rsidR="00427F0C" w:rsidRPr="00F05FA3">
        <w:rPr>
          <w:i/>
        </w:rPr>
        <w:t>co-DurationsPerCellToReleaseList</w:t>
      </w:r>
      <w:r w:rsidRPr="00CA657A">
        <w:rPr>
          <w:rFonts w:cs="Arial"/>
          <w:lang w:eastAsia="zh-CN"/>
        </w:rPr>
        <w:t>.</w:t>
      </w:r>
    </w:p>
    <w:p w14:paraId="4CB94EEE" w14:textId="632B257E" w:rsidR="00806931" w:rsidRDefault="00CA657A" w:rsidP="00157137">
      <w:pPr>
        <w:rPr>
          <w:lang w:val="en-US"/>
        </w:rPr>
      </w:pPr>
      <w:r w:rsidRPr="00CA657A">
        <w:rPr>
          <w:lang w:eastAsia="zh-CN"/>
        </w:rPr>
        <w:lastRenderedPageBreak/>
        <w:t xml:space="preserve">If a UE is configured by higher layers with parameter </w:t>
      </w:r>
      <w:r w:rsidRPr="00CA657A">
        <w:rPr>
          <w:i/>
        </w:rPr>
        <w:t>SlotFormatIndicator</w:t>
      </w:r>
      <w:r w:rsidRPr="00CA657A">
        <w:rPr>
          <w:lang w:val="en-US"/>
        </w:rPr>
        <w:t xml:space="preserve">, the UE is provided </w:t>
      </w:r>
      <w:r w:rsidRPr="00CA657A">
        <w:t>a</w:t>
      </w:r>
      <w:r w:rsidR="00427F0C">
        <w:t>n</w:t>
      </w:r>
      <w:r w:rsidRPr="00CA657A">
        <w:t xml:space="preserve"> </w:t>
      </w:r>
      <w:r w:rsidRPr="00CA657A">
        <w:rPr>
          <w:lang w:val="en-US"/>
        </w:rPr>
        <w:t xml:space="preserve">SFI-RNTI by </w:t>
      </w:r>
      <w:r w:rsidRPr="00CA657A">
        <w:rPr>
          <w:i/>
          <w:lang w:val="en-US"/>
        </w:rPr>
        <w:t>sfi-RNTI</w:t>
      </w:r>
      <w:r w:rsidRPr="00CA657A">
        <w:rPr>
          <w:lang w:val="en-US"/>
        </w:rPr>
        <w:t xml:space="preserve"> and with a payload size of DCI format 2_0 by </w:t>
      </w:r>
      <w:r w:rsidRPr="00CA657A">
        <w:rPr>
          <w:i/>
        </w:rPr>
        <w:t>dci-PayloadSize</w:t>
      </w:r>
      <w:r w:rsidRPr="00CA657A">
        <w:rPr>
          <w:lang w:val="en-US"/>
        </w:rPr>
        <w:t xml:space="preserve">. </w:t>
      </w:r>
    </w:p>
    <w:p w14:paraId="05DBFFF9" w14:textId="4A97CEC1" w:rsidR="00427F0C" w:rsidRPr="00405F53" w:rsidRDefault="00427F0C" w:rsidP="00427F0C">
      <w:pPr>
        <w:rPr>
          <w:lang w:val="en-US" w:eastAsia="zh-CN"/>
        </w:rPr>
      </w:pPr>
      <w:r>
        <w:t xml:space="preserve">The UE is also provided in one or more serving cells with a configuration for a search space set </w:t>
      </w:r>
      <w:r>
        <w:rPr>
          <w:noProof/>
          <w:position w:val="-6"/>
        </w:rPr>
        <w:drawing>
          <wp:inline distT="0" distB="0" distL="0" distR="0" wp14:anchorId="63F7B970" wp14:editId="3191F08E">
            <wp:extent cx="123825" cy="1238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i/>
        </w:rPr>
        <w:t xml:space="preserve"> </w:t>
      </w:r>
      <w:r>
        <w:t xml:space="preserve">and a corresponding CORESET </w:t>
      </w:r>
      <m:oMath>
        <m:r>
          <w:rPr>
            <w:rFonts w:ascii="Cambria Math" w:hAnsi="Cambria Math"/>
          </w:rPr>
          <m:t>p</m:t>
        </m:r>
      </m:oMath>
      <w:r>
        <w:t xml:space="preserve"> for monitoring </w:t>
      </w:r>
      <m:oMath>
        <m:sSubSup>
          <m:sSubSupPr>
            <m:ctrlPr>
              <w:rPr>
                <w:rFonts w:ascii="Cambria Math" w:hAnsi="Cambria Math"/>
                <w:i/>
              </w:rPr>
            </m:ctrlPr>
          </m:sSubSupPr>
          <m:e>
            <m:r>
              <w:rPr>
                <w:rFonts w:ascii="Cambria Math" w:hAnsi="Cambria Math"/>
              </w:rPr>
              <m:t>M</m:t>
            </m:r>
          </m:e>
          <m:sub>
            <m:r>
              <w:rPr>
                <w:rFonts w:ascii="Cambria Math" w:hAnsi="Cambria Math"/>
              </w:rPr>
              <m:t>p,s</m:t>
            </m:r>
          </m:sub>
          <m:sup>
            <m:d>
              <m:dPr>
                <m:ctrlPr>
                  <w:rPr>
                    <w:rFonts w:ascii="Cambria Math" w:hAnsi="Cambria Math"/>
                    <w:i/>
                  </w:rPr>
                </m:ctrlPr>
              </m:dPr>
              <m:e>
                <m:sSub>
                  <m:sSubPr>
                    <m:ctrlPr>
                      <w:rPr>
                        <w:rFonts w:ascii="Cambria Math" w:hAnsi="Cambria Math"/>
                        <w:i/>
                      </w:rPr>
                    </m:ctrlPr>
                  </m:sSubPr>
                  <m:e>
                    <m:r>
                      <w:rPr>
                        <w:rFonts w:ascii="Cambria Math" w:hAnsi="Cambria Math"/>
                      </w:rPr>
                      <m:t>L</m:t>
                    </m:r>
                  </m:e>
                  <m:sub>
                    <m:r>
                      <m:rPr>
                        <m:sty m:val="p"/>
                      </m:rPr>
                      <w:rPr>
                        <w:rFonts w:ascii="Cambria Math" w:hAnsi="Cambria Math"/>
                      </w:rPr>
                      <m:t>SFI</m:t>
                    </m:r>
                  </m:sub>
                </m:sSub>
              </m:e>
            </m:d>
          </m:sup>
        </m:sSubSup>
      </m:oMath>
      <w:r>
        <w:t xml:space="preserve"> PDCCH candidates for DCI format 2_0 with a CCE aggregation level of </w:t>
      </w:r>
      <m:oMath>
        <m:sSub>
          <m:sSubPr>
            <m:ctrlPr>
              <w:rPr>
                <w:rFonts w:ascii="Cambria Math" w:hAnsi="Cambria Math"/>
                <w:i/>
              </w:rPr>
            </m:ctrlPr>
          </m:sSubPr>
          <m:e>
            <m:r>
              <w:rPr>
                <w:rFonts w:ascii="Cambria Math" w:hAnsi="Cambria Math"/>
              </w:rPr>
              <m:t>L</m:t>
            </m:r>
          </m:e>
          <m:sub>
            <m:r>
              <m:rPr>
                <m:sty m:val="p"/>
              </m:rPr>
              <w:rPr>
                <w:rFonts w:ascii="Cambria Math" w:hAnsi="Cambria Math"/>
              </w:rPr>
              <m:t>SFI</m:t>
            </m:r>
          </m:sub>
        </m:sSub>
      </m:oMath>
      <w:r>
        <w:t xml:space="preserve"> CCEs as described </w:t>
      </w:r>
      <w:r w:rsidR="006F5F9E">
        <w:t>in clause</w:t>
      </w:r>
      <w:r>
        <w:t xml:space="preserve"> 10.1. </w:t>
      </w:r>
      <w:r>
        <w:rPr>
          <w:lang w:eastAsia="zh-CN"/>
        </w:rPr>
        <w:t xml:space="preserve">The </w:t>
      </w:r>
      <m:oMath>
        <m:sSubSup>
          <m:sSubSupPr>
            <m:ctrlPr>
              <w:rPr>
                <w:rFonts w:ascii="Cambria Math" w:hAnsi="Cambria Math"/>
                <w:i/>
              </w:rPr>
            </m:ctrlPr>
          </m:sSubSupPr>
          <m:e>
            <m:r>
              <w:rPr>
                <w:rFonts w:ascii="Cambria Math" w:hAnsi="Cambria Math"/>
              </w:rPr>
              <m:t>M</m:t>
            </m:r>
          </m:e>
          <m:sub>
            <m:r>
              <w:rPr>
                <w:rFonts w:ascii="Cambria Math" w:hAnsi="Cambria Math"/>
              </w:rPr>
              <m:t>p,s</m:t>
            </m:r>
          </m:sub>
          <m:sup>
            <m:d>
              <m:dPr>
                <m:ctrlPr>
                  <w:rPr>
                    <w:rFonts w:ascii="Cambria Math" w:hAnsi="Cambria Math"/>
                    <w:i/>
                  </w:rPr>
                </m:ctrlPr>
              </m:dPr>
              <m:e>
                <m:sSub>
                  <m:sSubPr>
                    <m:ctrlPr>
                      <w:rPr>
                        <w:rFonts w:ascii="Cambria Math" w:hAnsi="Cambria Math"/>
                        <w:i/>
                      </w:rPr>
                    </m:ctrlPr>
                  </m:sSubPr>
                  <m:e>
                    <m:r>
                      <w:rPr>
                        <w:rFonts w:ascii="Cambria Math" w:hAnsi="Cambria Math"/>
                      </w:rPr>
                      <m:t>L</m:t>
                    </m:r>
                  </m:e>
                  <m:sub>
                    <m:r>
                      <m:rPr>
                        <m:sty m:val="p"/>
                      </m:rPr>
                      <w:rPr>
                        <w:rFonts w:ascii="Cambria Math" w:hAnsi="Cambria Math"/>
                      </w:rPr>
                      <m:t>SFI</m:t>
                    </m:r>
                  </m:sub>
                </m:sSub>
              </m:e>
            </m:d>
          </m:sup>
        </m:sSubSup>
      </m:oMath>
      <w:r>
        <w:rPr>
          <w:lang w:val="en-US"/>
        </w:rPr>
        <w:t xml:space="preserve"> </w:t>
      </w:r>
      <w:r>
        <w:rPr>
          <w:lang w:eastAsia="zh-CN"/>
        </w:rPr>
        <w:t xml:space="preserve">PDCCH candidates are the first </w:t>
      </w:r>
      <m:oMath>
        <m:sSubSup>
          <m:sSubSupPr>
            <m:ctrlPr>
              <w:rPr>
                <w:rFonts w:ascii="Cambria Math" w:hAnsi="Cambria Math"/>
                <w:i/>
              </w:rPr>
            </m:ctrlPr>
          </m:sSubSupPr>
          <m:e>
            <m:r>
              <w:rPr>
                <w:rFonts w:ascii="Cambria Math" w:hAnsi="Cambria Math"/>
              </w:rPr>
              <m:t>M</m:t>
            </m:r>
          </m:e>
          <m:sub>
            <m:r>
              <w:rPr>
                <w:rFonts w:ascii="Cambria Math" w:hAnsi="Cambria Math"/>
              </w:rPr>
              <m:t>p,s</m:t>
            </m:r>
          </m:sub>
          <m:sup>
            <m:d>
              <m:dPr>
                <m:ctrlPr>
                  <w:rPr>
                    <w:rFonts w:ascii="Cambria Math" w:hAnsi="Cambria Math"/>
                    <w:i/>
                  </w:rPr>
                </m:ctrlPr>
              </m:dPr>
              <m:e>
                <m:sSub>
                  <m:sSubPr>
                    <m:ctrlPr>
                      <w:rPr>
                        <w:rFonts w:ascii="Cambria Math" w:hAnsi="Cambria Math"/>
                        <w:i/>
                      </w:rPr>
                    </m:ctrlPr>
                  </m:sSubPr>
                  <m:e>
                    <m:r>
                      <w:rPr>
                        <w:rFonts w:ascii="Cambria Math" w:hAnsi="Cambria Math"/>
                      </w:rPr>
                      <m:t>L</m:t>
                    </m:r>
                  </m:e>
                  <m:sub>
                    <m:r>
                      <m:rPr>
                        <m:sty m:val="p"/>
                      </m:rPr>
                      <w:rPr>
                        <w:rFonts w:ascii="Cambria Math" w:hAnsi="Cambria Math"/>
                      </w:rPr>
                      <m:t>SFI</m:t>
                    </m:r>
                  </m:sub>
                </m:sSub>
              </m:e>
            </m:d>
          </m:sup>
        </m:sSubSup>
      </m:oMath>
      <w:r>
        <w:rPr>
          <w:lang w:val="en-US"/>
        </w:rPr>
        <w:t xml:space="preserve"> PDCCH candidates </w:t>
      </w:r>
      <w:r w:rsidRPr="00B916EC">
        <w:rPr>
          <w:rFonts w:eastAsia="Yu Mincho"/>
          <w:iCs/>
          <w:lang w:val="en-US" w:eastAsia="ja-JP"/>
        </w:rPr>
        <w:t xml:space="preserve">for CCE aggregation level </w:t>
      </w:r>
      <m:oMath>
        <m:sSub>
          <m:sSubPr>
            <m:ctrlPr>
              <w:rPr>
                <w:rFonts w:ascii="Cambria Math" w:hAnsi="Cambria Math"/>
                <w:i/>
              </w:rPr>
            </m:ctrlPr>
          </m:sSubPr>
          <m:e>
            <m:r>
              <w:rPr>
                <w:rFonts w:ascii="Cambria Math" w:hAnsi="Cambria Math"/>
              </w:rPr>
              <m:t>L</m:t>
            </m:r>
          </m:e>
          <m:sub>
            <m:r>
              <m:rPr>
                <m:sty m:val="p"/>
              </m:rPr>
              <w:rPr>
                <w:rFonts w:ascii="Cambria Math" w:hAnsi="Cambria Math"/>
              </w:rPr>
              <m:t>SFI</m:t>
            </m:r>
          </m:sub>
        </m:sSub>
      </m:oMath>
      <w:r>
        <w:rPr>
          <w:lang w:val="en-US"/>
        </w:rPr>
        <w:t xml:space="preserve"> for search space set </w:t>
      </w:r>
      <m:oMath>
        <m:r>
          <w:rPr>
            <w:rFonts w:ascii="Cambria Math" w:hAnsi="Cambria Math"/>
          </w:rPr>
          <m:t>s</m:t>
        </m:r>
      </m:oMath>
      <w:r>
        <w:rPr>
          <w:lang w:val="en-US"/>
        </w:rPr>
        <w:t xml:space="preserve"> in </w:t>
      </w:r>
      <w:r>
        <w:t>CORESET</w:t>
      </w:r>
      <w:r>
        <w:rPr>
          <w:lang w:val="en-US"/>
        </w:rPr>
        <w:t xml:space="preserve"> </w:t>
      </w:r>
      <m:oMath>
        <m:r>
          <w:rPr>
            <w:rFonts w:ascii="Cambria Math" w:hAnsi="Cambria Math"/>
          </w:rPr>
          <m:t>p</m:t>
        </m:r>
      </m:oMath>
      <w:r>
        <w:rPr>
          <w:lang w:val="en-US"/>
        </w:rPr>
        <w:t>.</w:t>
      </w:r>
    </w:p>
    <w:p w14:paraId="6CBAF546" w14:textId="77777777" w:rsidR="00CA657A" w:rsidRPr="00CA657A" w:rsidRDefault="00CA657A" w:rsidP="0090436D">
      <w:pPr>
        <w:rPr>
          <w:lang w:val="en-US"/>
        </w:rPr>
      </w:pPr>
      <w:r w:rsidRPr="00CA657A">
        <w:rPr>
          <w:lang w:val="en-US"/>
        </w:rPr>
        <w:t xml:space="preserve">For each serving cell in the set of serving cells, the UE can be provided: </w:t>
      </w:r>
    </w:p>
    <w:p w14:paraId="5B6064DB" w14:textId="77777777" w:rsidR="00CA657A" w:rsidRPr="00CA657A" w:rsidRDefault="00CA657A" w:rsidP="001322F1">
      <w:pPr>
        <w:pStyle w:val="B1"/>
      </w:pPr>
      <w:r>
        <w:t>-</w:t>
      </w:r>
      <w:r>
        <w:tab/>
      </w:r>
      <w:r w:rsidRPr="00CA657A">
        <w:t xml:space="preserve">an identity of the serving cell by </w:t>
      </w:r>
      <w:r w:rsidRPr="00CA657A">
        <w:rPr>
          <w:i/>
        </w:rPr>
        <w:t>servingCellId</w:t>
      </w:r>
    </w:p>
    <w:p w14:paraId="1C0A0B17" w14:textId="77777777" w:rsidR="00CA657A" w:rsidRPr="00CA657A" w:rsidRDefault="00CA657A" w:rsidP="001322F1">
      <w:pPr>
        <w:pStyle w:val="B1"/>
      </w:pPr>
      <w:r>
        <w:t>-</w:t>
      </w:r>
      <w:r>
        <w:tab/>
      </w:r>
      <w:r w:rsidRPr="00CA657A">
        <w:t xml:space="preserve">a location of a SFI-index field in DCI format 2_0 by </w:t>
      </w:r>
      <w:r w:rsidRPr="00CA657A">
        <w:rPr>
          <w:i/>
        </w:rPr>
        <w:t>positionInDCI</w:t>
      </w:r>
    </w:p>
    <w:p w14:paraId="4858298D" w14:textId="77777777" w:rsidR="00CA657A" w:rsidRPr="00CA657A" w:rsidRDefault="00CA657A" w:rsidP="001322F1">
      <w:pPr>
        <w:pStyle w:val="B1"/>
      </w:pPr>
      <w:r>
        <w:t>-</w:t>
      </w:r>
      <w:r>
        <w:tab/>
      </w:r>
      <w:r w:rsidRPr="00CA657A">
        <w:t xml:space="preserve">a set of slot format combinations by </w:t>
      </w:r>
      <w:r w:rsidRPr="00CA657A">
        <w:rPr>
          <w:i/>
        </w:rPr>
        <w:t>slotFormatCombinations</w:t>
      </w:r>
      <w:r w:rsidRPr="00CA657A">
        <w:t xml:space="preserve">, where each slot format combination in the set of slot format combinations includes </w:t>
      </w:r>
    </w:p>
    <w:p w14:paraId="793EE8E6" w14:textId="77777777" w:rsidR="00CA657A" w:rsidRPr="00CA657A" w:rsidRDefault="00CA657A" w:rsidP="001322F1">
      <w:pPr>
        <w:pStyle w:val="B2"/>
      </w:pPr>
      <w:r>
        <w:t>-</w:t>
      </w:r>
      <w:r>
        <w:tab/>
      </w:r>
      <w:r w:rsidRPr="00CA657A">
        <w:t xml:space="preserve">one or more slot formats indicated by a respective </w:t>
      </w:r>
      <w:r w:rsidRPr="00CA657A">
        <w:rPr>
          <w:i/>
        </w:rPr>
        <w:t>slotFormats</w:t>
      </w:r>
      <w:r w:rsidRPr="00CA657A">
        <w:t xml:space="preserve"> for the slot format combination, and </w:t>
      </w:r>
    </w:p>
    <w:p w14:paraId="7D79C838" w14:textId="77777777" w:rsidR="00CA657A" w:rsidRPr="00CA657A" w:rsidRDefault="00CA657A" w:rsidP="001322F1">
      <w:pPr>
        <w:pStyle w:val="B2"/>
      </w:pPr>
      <w:r>
        <w:t>-</w:t>
      </w:r>
      <w:r>
        <w:tab/>
      </w:r>
      <w:r w:rsidRPr="00CA657A">
        <w:t xml:space="preserve">a mapping for the slot format combination provided by </w:t>
      </w:r>
      <w:r w:rsidRPr="00CA657A">
        <w:rPr>
          <w:i/>
        </w:rPr>
        <w:t>slotFormats</w:t>
      </w:r>
      <w:r w:rsidRPr="00CA657A">
        <w:t xml:space="preserve"> to a corresponding SFI-index field value in DCI format 2_0 provided by </w:t>
      </w:r>
      <w:r w:rsidRPr="00CA657A">
        <w:rPr>
          <w:i/>
        </w:rPr>
        <w:t>slotFormatCombinationId</w:t>
      </w:r>
    </w:p>
    <w:p w14:paraId="44031889" w14:textId="48A9EEAC" w:rsidR="00CA657A" w:rsidRPr="00CA657A" w:rsidRDefault="00CA657A" w:rsidP="001322F1">
      <w:pPr>
        <w:pStyle w:val="B1"/>
      </w:pPr>
      <w:r>
        <w:t>-</w:t>
      </w:r>
      <w:r>
        <w:tab/>
      </w:r>
      <w:r w:rsidRPr="00CA657A">
        <w:t xml:space="preserve">for unpaired spectrum operation, a reference </w:t>
      </w:r>
      <w:r w:rsidR="00143099">
        <w:t>SCS</w:t>
      </w:r>
      <w:r w:rsidRPr="00CA657A">
        <w:t xml:space="preserve"> </w:t>
      </w:r>
      <w:r w:rsidR="00233D58">
        <w:rPr>
          <w:lang w:val="en-US"/>
        </w:rPr>
        <w:t>configuration</w:t>
      </w:r>
      <w:r w:rsidR="00233D58" w:rsidRPr="00CA657A">
        <w:t xml:space="preserve"> </w:t>
      </w:r>
      <m:oMath>
        <m:sSub>
          <m:sSubPr>
            <m:ctrlPr>
              <w:rPr>
                <w:rFonts w:ascii="Cambria Math" w:hAnsi="Cambria Math"/>
                <w:i/>
                <w:lang w:val="en-GB"/>
              </w:rPr>
            </m:ctrlPr>
          </m:sSubPr>
          <m:e>
            <m:r>
              <w:rPr>
                <w:rFonts w:ascii="Cambria Math" w:hAnsi="Cambria Math"/>
              </w:rPr>
              <m:t>μ</m:t>
            </m:r>
          </m:e>
          <m:sub>
            <m:r>
              <m:rPr>
                <m:sty m:val="p"/>
              </m:rPr>
              <w:rPr>
                <w:rFonts w:ascii="Cambria Math" w:hAnsi="Cambria Math"/>
              </w:rPr>
              <m:t>SFI</m:t>
            </m:r>
          </m:sub>
        </m:sSub>
      </m:oMath>
      <w:r w:rsidRPr="00CA657A">
        <w:t xml:space="preserve"> by </w:t>
      </w:r>
      <w:r w:rsidRPr="00CA657A">
        <w:rPr>
          <w:i/>
        </w:rPr>
        <w:t>subcarrierSpacing</w:t>
      </w:r>
      <w:r w:rsidRPr="00CA657A">
        <w:t xml:space="preserve"> and, when a supplementary UL carrier is configured for the serving cell, a reference </w:t>
      </w:r>
      <w:r w:rsidR="00143099">
        <w:t>SCS</w:t>
      </w:r>
      <w:r w:rsidRPr="00CA657A">
        <w:t xml:space="preserve"> </w:t>
      </w:r>
      <w:r w:rsidR="00233D58">
        <w:rPr>
          <w:lang w:val="en-US"/>
        </w:rPr>
        <w:t>configuration</w:t>
      </w:r>
      <w:r w:rsidR="00233D58" w:rsidRPr="00CA657A">
        <w:t xml:space="preserve"> </w:t>
      </w:r>
      <m:oMath>
        <m:sSub>
          <m:sSubPr>
            <m:ctrlPr>
              <w:rPr>
                <w:rFonts w:ascii="Cambria Math" w:hAnsi="Cambria Math"/>
                <w:i/>
                <w:lang w:val="en-GB"/>
              </w:rPr>
            </m:ctrlPr>
          </m:sSubPr>
          <m:e>
            <m:r>
              <w:rPr>
                <w:rFonts w:ascii="Cambria Math" w:hAnsi="Cambria Math"/>
              </w:rPr>
              <m:t>μ</m:t>
            </m:r>
          </m:e>
          <m:sub>
            <m:r>
              <m:rPr>
                <m:sty m:val="p"/>
              </m:rPr>
              <w:rPr>
                <w:rFonts w:ascii="Cambria Math" w:hAnsi="Cambria Math"/>
              </w:rPr>
              <m:t>SFI,SUL</m:t>
            </m:r>
          </m:sub>
        </m:sSub>
      </m:oMath>
      <w:r w:rsidRPr="00CA657A">
        <w:t xml:space="preserve"> by </w:t>
      </w:r>
      <w:r w:rsidRPr="00CA657A">
        <w:rPr>
          <w:i/>
        </w:rPr>
        <w:t>subcarrierSpacing2</w:t>
      </w:r>
      <w:r w:rsidRPr="00CA657A">
        <w:t xml:space="preserve"> for the supplementary UL carrier</w:t>
      </w:r>
    </w:p>
    <w:p w14:paraId="45D113EA" w14:textId="475107D8" w:rsidR="00CA657A" w:rsidRPr="00CA657A" w:rsidRDefault="00CA657A" w:rsidP="001322F1">
      <w:pPr>
        <w:pStyle w:val="B1"/>
      </w:pPr>
      <w:r>
        <w:t>-</w:t>
      </w:r>
      <w:r>
        <w:tab/>
      </w:r>
      <w:r w:rsidRPr="00CA657A">
        <w:t xml:space="preserve">for paired spectrum operation, a reference </w:t>
      </w:r>
      <w:r w:rsidR="00143099">
        <w:t>SCS</w:t>
      </w:r>
      <w:r w:rsidRPr="00CA657A">
        <w:t xml:space="preserve"> </w:t>
      </w:r>
      <w:r w:rsidR="00233D58">
        <w:rPr>
          <w:lang w:val="en-US"/>
        </w:rPr>
        <w:t xml:space="preserve">configuration </w:t>
      </w:r>
      <m:oMath>
        <m:sSub>
          <m:sSubPr>
            <m:ctrlPr>
              <w:rPr>
                <w:rFonts w:ascii="Cambria Math" w:hAnsi="Cambria Math"/>
                <w:i/>
                <w:lang w:val="en-GB"/>
              </w:rPr>
            </m:ctrlPr>
          </m:sSubPr>
          <m:e>
            <m:r>
              <w:rPr>
                <w:rFonts w:ascii="Cambria Math" w:hAnsi="Cambria Math"/>
              </w:rPr>
              <m:t>μ</m:t>
            </m:r>
          </m:e>
          <m:sub>
            <m:r>
              <m:rPr>
                <m:sty m:val="p"/>
              </m:rPr>
              <w:rPr>
                <w:rFonts w:ascii="Cambria Math" w:hAnsi="Cambria Math"/>
              </w:rPr>
              <m:t>SFI,DL</m:t>
            </m:r>
          </m:sub>
        </m:sSub>
      </m:oMath>
      <w:r w:rsidRPr="00CA657A">
        <w:t xml:space="preserve"> for a DL BWP by </w:t>
      </w:r>
      <w:r w:rsidRPr="00CA657A">
        <w:rPr>
          <w:i/>
        </w:rPr>
        <w:t>subcarrierSpacing</w:t>
      </w:r>
      <w:r w:rsidRPr="00CA657A">
        <w:t xml:space="preserve"> and a reference </w:t>
      </w:r>
      <w:r w:rsidR="00143099">
        <w:t>SCS</w:t>
      </w:r>
      <w:r w:rsidRPr="00CA657A">
        <w:t xml:space="preserve"> </w:t>
      </w:r>
      <w:r w:rsidR="00233D58">
        <w:rPr>
          <w:lang w:val="en-US"/>
        </w:rPr>
        <w:t>configuration</w:t>
      </w:r>
      <w:r w:rsidR="00233D58" w:rsidRPr="00CA657A">
        <w:t xml:space="preserve"> </w:t>
      </w:r>
      <m:oMath>
        <m:sSub>
          <m:sSubPr>
            <m:ctrlPr>
              <w:rPr>
                <w:rFonts w:ascii="Cambria Math" w:hAnsi="Cambria Math"/>
                <w:i/>
                <w:lang w:val="en-GB"/>
              </w:rPr>
            </m:ctrlPr>
          </m:sSubPr>
          <m:e>
            <m:r>
              <w:rPr>
                <w:rFonts w:ascii="Cambria Math" w:hAnsi="Cambria Math"/>
              </w:rPr>
              <m:t>μ</m:t>
            </m:r>
          </m:e>
          <m:sub>
            <m:r>
              <m:rPr>
                <m:sty m:val="p"/>
              </m:rPr>
              <w:rPr>
                <w:rFonts w:ascii="Cambria Math" w:hAnsi="Cambria Math"/>
              </w:rPr>
              <m:t>SFI,UL</m:t>
            </m:r>
          </m:sub>
        </m:sSub>
      </m:oMath>
      <w:r w:rsidRPr="00CA657A">
        <w:t xml:space="preserve"> for an UL BWP by </w:t>
      </w:r>
      <w:r w:rsidRPr="00CA657A">
        <w:rPr>
          <w:i/>
        </w:rPr>
        <w:t>subcarrierSpacing2</w:t>
      </w:r>
    </w:p>
    <w:p w14:paraId="2694C91B" w14:textId="147D7529" w:rsidR="004E46F6" w:rsidRDefault="00421DE7" w:rsidP="004E46F6">
      <w:pPr>
        <w:pStyle w:val="B1"/>
        <w:rPr>
          <w:lang w:val="en-US"/>
        </w:rPr>
      </w:pPr>
      <w:r w:rsidRPr="00D26445">
        <w:t>-</w:t>
      </w:r>
      <w:r w:rsidRPr="00D26445">
        <w:tab/>
        <w:t>a location of a</w:t>
      </w:r>
      <w:r w:rsidR="004E46F6">
        <w:rPr>
          <w:lang w:val="en-US"/>
        </w:rPr>
        <w:t>n available</w:t>
      </w:r>
      <w:r w:rsidRPr="00D26445">
        <w:t xml:space="preserve"> </w:t>
      </w:r>
      <w:r w:rsidR="00AF2DCE" w:rsidRPr="00370E38">
        <w:rPr>
          <w:lang w:val="en-US"/>
        </w:rPr>
        <w:t>RB set indicator field</w:t>
      </w:r>
      <w:r w:rsidRPr="00D26445">
        <w:t xml:space="preserve"> in DCI format 2_0</w:t>
      </w:r>
      <w:r w:rsidR="00C27336">
        <w:rPr>
          <w:lang w:val="en-US"/>
        </w:rPr>
        <w:t xml:space="preserve">, by </w:t>
      </w:r>
      <w:r w:rsidR="00C27336" w:rsidRPr="007630CD">
        <w:rPr>
          <w:rFonts w:eastAsia="Times New Roman"/>
          <w:i/>
        </w:rPr>
        <w:t>availableRB-Set</w:t>
      </w:r>
      <w:r w:rsidR="00C27336" w:rsidRPr="007630CD">
        <w:rPr>
          <w:rFonts w:eastAsia="Times New Roman"/>
          <w:i/>
          <w:lang w:val="en-US"/>
        </w:rPr>
        <w:t>s</w:t>
      </w:r>
      <w:r w:rsidR="00C27336" w:rsidRPr="007630CD">
        <w:rPr>
          <w:rFonts w:eastAsia="Times New Roman"/>
          <w:i/>
        </w:rPr>
        <w:t>PerCell</w:t>
      </w:r>
      <w:r w:rsidR="00C27336" w:rsidRPr="007630CD">
        <w:rPr>
          <w:rFonts w:eastAsia="Times New Roman"/>
          <w:lang w:val="en-US"/>
        </w:rPr>
        <w:t>,</w:t>
      </w:r>
      <w:r w:rsidR="00AF2DCE" w:rsidRPr="00370E38">
        <w:rPr>
          <w:lang w:val="en-US"/>
        </w:rPr>
        <w:t xml:space="preserve"> </w:t>
      </w:r>
      <w:r w:rsidR="00C27336">
        <w:rPr>
          <w:lang w:val="en-US"/>
        </w:rPr>
        <w:t>where the field</w:t>
      </w:r>
      <w:r w:rsidR="00AF2DCE" w:rsidRPr="00370E38">
        <w:rPr>
          <w:lang w:val="en-US"/>
        </w:rPr>
        <w:t xml:space="preserve"> is </w:t>
      </w:r>
    </w:p>
    <w:p w14:paraId="34F3E21B" w14:textId="32970E85" w:rsidR="004E46F6" w:rsidRDefault="004E46F6" w:rsidP="004E46F6">
      <w:pPr>
        <w:pStyle w:val="B2"/>
        <w:rPr>
          <w:rFonts w:eastAsiaTheme="minorEastAsia"/>
        </w:rPr>
      </w:pPr>
      <w:r>
        <w:rPr>
          <w:rFonts w:eastAsiaTheme="minorEastAsia"/>
        </w:rPr>
        <w:t>-</w:t>
      </w:r>
      <w:r>
        <w:rPr>
          <w:rFonts w:eastAsiaTheme="minorEastAsia"/>
        </w:rPr>
        <w:tab/>
      </w:r>
      <w:r>
        <w:rPr>
          <w:rFonts w:eastAsiaTheme="minorEastAsia"/>
          <w:lang w:val="en-US"/>
        </w:rPr>
        <w:t xml:space="preserve">one bit, </w:t>
      </w:r>
      <w:r>
        <w:t xml:space="preserve">if </w:t>
      </w:r>
      <w:r>
        <w:rPr>
          <w:rFonts w:eastAsia="Malgun Gothic"/>
          <w:i/>
          <w:iCs/>
          <w:lang w:val="en-US"/>
        </w:rPr>
        <w:t>intraCellGuardBand</w:t>
      </w:r>
      <w:r w:rsidR="0070723B">
        <w:rPr>
          <w:rFonts w:eastAsia="Malgun Gothic"/>
          <w:i/>
          <w:iCs/>
          <w:lang w:val="en-US"/>
        </w:rPr>
        <w:t>s</w:t>
      </w:r>
      <w:r>
        <w:rPr>
          <w:rFonts w:eastAsia="Malgun Gothic"/>
          <w:i/>
          <w:iCs/>
          <w:lang w:val="en-US"/>
        </w:rPr>
        <w:t>DL-</w:t>
      </w:r>
      <w:r w:rsidR="0070723B">
        <w:rPr>
          <w:rFonts w:eastAsia="Malgun Gothic"/>
          <w:i/>
          <w:iCs/>
          <w:lang w:val="en-US"/>
        </w:rPr>
        <w:t>List</w:t>
      </w:r>
      <w:r>
        <w:rPr>
          <w:rFonts w:eastAsia="Malgun Gothic"/>
          <w:lang w:val="en-US"/>
        </w:rPr>
        <w:t xml:space="preserve"> for the serving cell indicates no intra-cell guard-bands are configured</w:t>
      </w:r>
      <w:r w:rsidRPr="00B62F61">
        <w:rPr>
          <w:rFonts w:eastAsiaTheme="minorEastAsia"/>
        </w:rPr>
        <w:t xml:space="preserve">, where a value of </w:t>
      </w:r>
      <w:r w:rsidRPr="00B3711C">
        <w:rPr>
          <w:rFonts w:eastAsiaTheme="minorEastAsia"/>
        </w:rPr>
        <w:t>'1' indicates that the serving cell is available for receptions</w:t>
      </w:r>
      <w:r w:rsidRPr="00B3711C">
        <w:rPr>
          <w:rFonts w:eastAsiaTheme="minorEastAsia"/>
          <w:lang w:val="en-US"/>
        </w:rPr>
        <w:t>,</w:t>
      </w:r>
      <w:r w:rsidRPr="00B3711C">
        <w:rPr>
          <w:rFonts w:eastAsiaTheme="minorEastAsia"/>
        </w:rPr>
        <w:t xml:space="preserve"> a value of '0'</w:t>
      </w:r>
      <w:r w:rsidRPr="00B62F61">
        <w:rPr>
          <w:rFonts w:eastAsiaTheme="minorEastAsia"/>
        </w:rPr>
        <w:t xml:space="preserve"> indicates that </w:t>
      </w:r>
      <w:r>
        <w:rPr>
          <w:rFonts w:eastAsiaTheme="minorEastAsia"/>
        </w:rPr>
        <w:t>the serving cell</w:t>
      </w:r>
      <w:r w:rsidRPr="00B62F61">
        <w:rPr>
          <w:rFonts w:eastAsiaTheme="minorEastAsia"/>
        </w:rPr>
        <w:t xml:space="preserve"> is not available for receptions, </w:t>
      </w:r>
      <w:r>
        <w:rPr>
          <w:rFonts w:eastAsiaTheme="minorEastAsia"/>
          <w:lang w:val="en-US"/>
        </w:rPr>
        <w:t>and</w:t>
      </w:r>
      <w:r w:rsidRPr="00B62F61">
        <w:rPr>
          <w:rFonts w:eastAsiaTheme="minorEastAsia"/>
        </w:rPr>
        <w:t xml:space="preserve"> </w:t>
      </w:r>
      <w:r>
        <w:rPr>
          <w:rFonts w:eastAsiaTheme="minorEastAsia"/>
          <w:lang w:val="en-US"/>
        </w:rPr>
        <w:t>t</w:t>
      </w:r>
      <w:r>
        <w:rPr>
          <w:rFonts w:eastAsiaTheme="minorEastAsia"/>
        </w:rPr>
        <w:t>he serving cell</w:t>
      </w:r>
      <w:r w:rsidRPr="00B62F61">
        <w:rPr>
          <w:rFonts w:eastAsiaTheme="minorEastAsia"/>
        </w:rPr>
        <w:t xml:space="preserve"> remains available or unavailable </w:t>
      </w:r>
      <w:r>
        <w:rPr>
          <w:rFonts w:eastAsiaTheme="minorEastAsia"/>
          <w:lang w:val="en-US"/>
        </w:rPr>
        <w:t xml:space="preserve">for reception </w:t>
      </w:r>
      <w:r w:rsidRPr="00B62F61">
        <w:rPr>
          <w:rFonts w:eastAsiaTheme="minorEastAsia"/>
        </w:rPr>
        <w:t xml:space="preserve">until the end of the </w:t>
      </w:r>
      <w:r w:rsidR="00A541D1" w:rsidRPr="00783241">
        <w:rPr>
          <w:rFonts w:eastAsiaTheme="minorEastAsia"/>
        </w:rPr>
        <w:t>remaining</w:t>
      </w:r>
      <w:r w:rsidRPr="00B62F61">
        <w:rPr>
          <w:rFonts w:eastAsiaTheme="minorEastAsia"/>
        </w:rPr>
        <w:t xml:space="preserve"> channel occupancy duration</w:t>
      </w:r>
      <w:r w:rsidR="00C27336">
        <w:rPr>
          <w:rFonts w:eastAsia="Times New Roman"/>
          <w:lang w:val="en-US"/>
        </w:rPr>
        <w:t>; or,</w:t>
      </w:r>
    </w:p>
    <w:p w14:paraId="74A3FED8" w14:textId="470C07FE" w:rsidR="00421DE7" w:rsidRPr="00D26445" w:rsidRDefault="004E46F6" w:rsidP="0042617B">
      <w:pPr>
        <w:pStyle w:val="B2"/>
        <w:rPr>
          <w:iCs/>
        </w:rPr>
      </w:pPr>
      <w:r>
        <w:rPr>
          <w:rFonts w:eastAsiaTheme="minorEastAsia"/>
        </w:rPr>
        <w:t>-</w:t>
      </w:r>
      <w:r>
        <w:rPr>
          <w:rFonts w:eastAsiaTheme="minorEastAsia"/>
        </w:rPr>
        <w:tab/>
      </w:r>
      <w:r w:rsidR="00AF2DCE" w:rsidRPr="00370E38">
        <w:rPr>
          <w:lang w:val="en-US"/>
        </w:rPr>
        <w:t>a bitmap</w:t>
      </w:r>
      <w:r w:rsidR="00421DE7" w:rsidRPr="00D26445">
        <w:t xml:space="preserve"> having a one-to-one mapping with </w:t>
      </w:r>
      <w:r w:rsidR="00AF2DCE">
        <w:rPr>
          <w:lang w:val="en-US"/>
        </w:rPr>
        <w:t>the</w:t>
      </w:r>
      <w:r w:rsidR="00421DE7" w:rsidRPr="00D26445">
        <w:t xml:space="preserve"> RB sets [6, TS 38.214] of the serving cell, </w:t>
      </w:r>
      <w:r>
        <w:t xml:space="preserve">if </w:t>
      </w:r>
      <w:r>
        <w:rPr>
          <w:rFonts w:eastAsia="Malgun Gothic"/>
          <w:i/>
          <w:iCs/>
          <w:lang w:val="en-US"/>
        </w:rPr>
        <w:t>intraCellGuardBand</w:t>
      </w:r>
      <w:r w:rsidR="0070723B">
        <w:rPr>
          <w:rFonts w:eastAsia="Malgun Gothic"/>
          <w:i/>
          <w:iCs/>
          <w:lang w:val="en-US"/>
        </w:rPr>
        <w:t>s</w:t>
      </w:r>
      <w:r>
        <w:rPr>
          <w:rFonts w:eastAsia="Malgun Gothic"/>
          <w:i/>
          <w:iCs/>
          <w:lang w:val="en-US"/>
        </w:rPr>
        <w:t>DL-</w:t>
      </w:r>
      <w:r w:rsidR="0070723B">
        <w:rPr>
          <w:rFonts w:eastAsia="Malgun Gothic"/>
          <w:i/>
          <w:iCs/>
          <w:lang w:val="en-US"/>
        </w:rPr>
        <w:t>List</w:t>
      </w:r>
      <w:r>
        <w:rPr>
          <w:rFonts w:eastAsia="Malgun Gothic"/>
          <w:lang w:val="en-US"/>
        </w:rPr>
        <w:t xml:space="preserve"> for the serving cell indicates intra-cell guard-bands are configured</w:t>
      </w:r>
      <w:r w:rsidR="00C27336" w:rsidRPr="007630CD">
        <w:rPr>
          <w:rFonts w:eastAsia="Malgun Gothic"/>
          <w:lang w:val="en-US"/>
        </w:rPr>
        <w:t xml:space="preserve"> </w:t>
      </w:r>
      <w:r w:rsidR="00C27336">
        <w:rPr>
          <w:rFonts w:eastAsia="Malgun Gothic"/>
          <w:lang w:val="en-US"/>
        </w:rPr>
        <w:t xml:space="preserve">or if </w:t>
      </w:r>
      <w:r w:rsidR="00C27336" w:rsidRPr="00E25220">
        <w:rPr>
          <w:rFonts w:eastAsia="Malgun Gothic"/>
          <w:i/>
          <w:iCs/>
          <w:lang w:val="en-US"/>
        </w:rPr>
        <w:t>intraCellGuardBandsDL-List</w:t>
      </w:r>
      <w:r w:rsidR="00C27336">
        <w:rPr>
          <w:rFonts w:eastAsia="Malgun Gothic"/>
          <w:lang w:val="en-US"/>
        </w:rPr>
        <w:t xml:space="preserve"> is not provided for the serving cell</w:t>
      </w:r>
      <w:r>
        <w:rPr>
          <w:rFonts w:eastAsia="Malgun Gothic"/>
          <w:lang w:val="en-US"/>
        </w:rPr>
        <w:t>,</w:t>
      </w:r>
      <w:r w:rsidRPr="00D26445">
        <w:t xml:space="preserve"> </w:t>
      </w:r>
      <w:r w:rsidR="00421DE7" w:rsidRPr="00D26445">
        <w:t xml:space="preserve">where </w:t>
      </w:r>
      <w:r>
        <w:rPr>
          <w:lang w:val="en-US"/>
        </w:rPr>
        <w:t xml:space="preserve">the bitmap includes </w:t>
      </w:r>
      <m:oMath>
        <m:sSub>
          <m:sSubPr>
            <m:ctrlPr>
              <w:rPr>
                <w:rFonts w:ascii="Cambria Math" w:eastAsia="DengXian" w:hAnsi="Cambria Math"/>
                <w:i/>
                <w:lang w:eastAsia="x-none"/>
              </w:rPr>
            </m:ctrlPr>
          </m:sSubPr>
          <m:e>
            <m:r>
              <w:rPr>
                <w:rFonts w:ascii="Cambria Math" w:eastAsia="DengXian" w:hAnsi="Cambria Math"/>
                <w:lang w:eastAsia="x-none"/>
              </w:rPr>
              <m:t>N</m:t>
            </m:r>
          </m:e>
          <m:sub>
            <m:r>
              <m:rPr>
                <m:sty m:val="p"/>
              </m:rPr>
              <w:rPr>
                <w:rFonts w:ascii="Cambria Math" w:eastAsia="DengXian" w:hAnsi="Cambria Math"/>
                <w:lang w:eastAsia="x-none"/>
              </w:rPr>
              <m:t>RB,set,DL</m:t>
            </m:r>
          </m:sub>
        </m:sSub>
      </m:oMath>
      <w:r w:rsidRPr="00370E38">
        <w:rPr>
          <w:lang w:val="en-US" w:eastAsia="x-none"/>
        </w:rPr>
        <w:t xml:space="preserve"> bits </w:t>
      </w:r>
      <w:r>
        <w:rPr>
          <w:rFonts w:eastAsia="DengXian"/>
          <w:lang w:val="en-US" w:eastAsia="zh-CN"/>
        </w:rPr>
        <w:t>and</w:t>
      </w:r>
      <w:r w:rsidRPr="00370E38">
        <w:rPr>
          <w:rFonts w:eastAsia="DengXian"/>
          <w:lang w:val="en-US" w:eastAsia="zh-CN"/>
        </w:rPr>
        <w:t xml:space="preserve"> </w:t>
      </w:r>
      <m:oMath>
        <m:sSub>
          <m:sSubPr>
            <m:ctrlPr>
              <w:rPr>
                <w:rFonts w:ascii="Cambria Math" w:eastAsia="DengXian" w:hAnsi="Cambria Math"/>
                <w:i/>
                <w:lang w:eastAsia="x-none"/>
              </w:rPr>
            </m:ctrlPr>
          </m:sSubPr>
          <m:e>
            <m:r>
              <w:rPr>
                <w:rFonts w:ascii="Cambria Math" w:eastAsia="DengXian" w:hAnsi="Cambria Math"/>
                <w:lang w:eastAsia="x-none"/>
              </w:rPr>
              <m:t>N</m:t>
            </m:r>
          </m:e>
          <m:sub>
            <m:r>
              <m:rPr>
                <m:sty m:val="p"/>
              </m:rPr>
              <w:rPr>
                <w:rFonts w:ascii="Cambria Math" w:eastAsia="DengXian" w:hAnsi="Cambria Math"/>
                <w:lang w:eastAsia="x-none"/>
              </w:rPr>
              <m:t>RB,set,DL</m:t>
            </m:r>
          </m:sub>
        </m:sSub>
      </m:oMath>
      <w:r w:rsidRPr="00370E38">
        <w:rPr>
          <w:rFonts w:eastAsia="DengXian" w:hint="eastAsia"/>
          <w:lang w:eastAsia="zh-CN"/>
        </w:rPr>
        <w:t xml:space="preserve"> </w:t>
      </w:r>
      <w:r w:rsidRPr="00370E38">
        <w:rPr>
          <w:rFonts w:eastAsia="DengXian"/>
          <w:lang w:eastAsia="zh-CN"/>
        </w:rPr>
        <w:t>is the number of RB set</w:t>
      </w:r>
      <w:r w:rsidRPr="00370E38">
        <w:rPr>
          <w:rFonts w:eastAsia="DengXian"/>
          <w:lang w:val="en-US" w:eastAsia="zh-CN"/>
        </w:rPr>
        <w:t>s in the serving cell</w:t>
      </w:r>
      <w:r>
        <w:rPr>
          <w:lang w:val="en-US"/>
        </w:rPr>
        <w:t xml:space="preserve">, </w:t>
      </w:r>
      <w:r w:rsidR="00421DE7" w:rsidRPr="00D26445">
        <w:t xml:space="preserve">a value of </w:t>
      </w:r>
      <w:r>
        <w:t>'</w:t>
      </w:r>
      <w:r>
        <w:rPr>
          <w:lang w:val="en-US"/>
        </w:rPr>
        <w:t>1</w:t>
      </w:r>
      <w:r>
        <w:t>'</w:t>
      </w:r>
      <w:r w:rsidRPr="00D26445">
        <w:t xml:space="preserve"> </w:t>
      </w:r>
      <w:r w:rsidR="00421DE7" w:rsidRPr="00D26445">
        <w:t>indicates that an RB set is available for receptions</w:t>
      </w:r>
      <w:r w:rsidR="00CB12F8">
        <w:rPr>
          <w:lang w:val="en-US"/>
        </w:rPr>
        <w:t>,</w:t>
      </w:r>
      <w:r w:rsidR="00421DE7" w:rsidRPr="00D26445">
        <w:t xml:space="preserve"> a value of </w:t>
      </w:r>
      <w:r w:rsidR="00CB12F8">
        <w:t>'</w:t>
      </w:r>
      <w:r w:rsidR="00CB12F8">
        <w:rPr>
          <w:lang w:val="en-US"/>
        </w:rPr>
        <w:t>0</w:t>
      </w:r>
      <w:r w:rsidR="00CB12F8">
        <w:t>'</w:t>
      </w:r>
      <w:r w:rsidR="00CB12F8" w:rsidRPr="00D26445">
        <w:t xml:space="preserve"> </w:t>
      </w:r>
      <w:r w:rsidR="00421DE7" w:rsidRPr="00D26445">
        <w:t xml:space="preserve">indicates that an RB set is not available for receptions, </w:t>
      </w:r>
      <w:r w:rsidR="00CB12F8">
        <w:rPr>
          <w:iCs/>
          <w:lang w:val="en-US"/>
        </w:rPr>
        <w:t>and a</w:t>
      </w:r>
      <w:r w:rsidR="00421DE7" w:rsidRPr="00D26445">
        <w:rPr>
          <w:iCs/>
        </w:rPr>
        <w:t xml:space="preserve"> RB set remains available or unavailable </w:t>
      </w:r>
      <w:r w:rsidR="00CB12F8">
        <w:rPr>
          <w:iCs/>
          <w:lang w:val="en-US"/>
        </w:rPr>
        <w:t xml:space="preserve">for receptions </w:t>
      </w:r>
      <w:r w:rsidR="00421DE7" w:rsidRPr="00D26445">
        <w:rPr>
          <w:iCs/>
        </w:rPr>
        <w:t xml:space="preserve">until the end of the </w:t>
      </w:r>
      <w:r w:rsidR="00A541D1" w:rsidRPr="00783241">
        <w:rPr>
          <w:rFonts w:eastAsiaTheme="minorEastAsia"/>
        </w:rPr>
        <w:t>remaining</w:t>
      </w:r>
      <w:r w:rsidR="00421DE7" w:rsidRPr="00D26445">
        <w:rPr>
          <w:iCs/>
        </w:rPr>
        <w:t xml:space="preserve"> channel occupancy duration</w:t>
      </w:r>
    </w:p>
    <w:p w14:paraId="52749E00" w14:textId="1284932E" w:rsidR="00421DE7" w:rsidRDefault="00421DE7" w:rsidP="00421DE7">
      <w:pPr>
        <w:pStyle w:val="B1"/>
        <w:rPr>
          <w:lang w:val="en-US" w:eastAsia="zh-CN"/>
        </w:rPr>
      </w:pPr>
      <w:r w:rsidRPr="00D26445">
        <w:t>-</w:t>
      </w:r>
      <w:r w:rsidRPr="00D26445">
        <w:tab/>
        <w:t xml:space="preserve">a location of a channel occupancy duration field in DCI format 2_0, by </w:t>
      </w:r>
      <w:r w:rsidRPr="00D26445">
        <w:rPr>
          <w:i/>
          <w:iCs/>
        </w:rPr>
        <w:t>CO-Duration</w:t>
      </w:r>
      <w:r w:rsidR="00C50B34">
        <w:rPr>
          <w:i/>
          <w:iCs/>
          <w:lang w:val="en-US"/>
        </w:rPr>
        <w:t>s</w:t>
      </w:r>
      <w:r w:rsidRPr="00D26445">
        <w:rPr>
          <w:i/>
          <w:iCs/>
        </w:rPr>
        <w:t>PerCell</w:t>
      </w:r>
      <w:r w:rsidRPr="00D26445">
        <w:t xml:space="preserve">, </w:t>
      </w:r>
      <w:r w:rsidR="00C27336">
        <w:t>where the field</w:t>
      </w:r>
      <w:r w:rsidRPr="00D26445">
        <w:t xml:space="preserve"> indicates a remaining channel occupancy duration for the serving cell </w:t>
      </w:r>
      <w:r w:rsidRPr="00D26445">
        <w:rPr>
          <w:lang w:eastAsia="x-none"/>
        </w:rPr>
        <w:t xml:space="preserve">starting from </w:t>
      </w:r>
      <w:r w:rsidR="00CB12F8">
        <w:rPr>
          <w:lang w:val="en-US" w:eastAsia="x-none"/>
        </w:rPr>
        <w:t>a first symbol of</w:t>
      </w:r>
      <w:r w:rsidR="00CB12F8" w:rsidRPr="00D26445">
        <w:rPr>
          <w:lang w:eastAsia="x-none"/>
        </w:rPr>
        <w:t xml:space="preserve"> </w:t>
      </w:r>
      <w:r w:rsidRPr="00D26445">
        <w:rPr>
          <w:lang w:eastAsia="x-none"/>
        </w:rPr>
        <w:t xml:space="preserve">a slot where the UE detects the DCI format 2_0 by providing a value from </w:t>
      </w:r>
      <w:r w:rsidR="0070723B">
        <w:rPr>
          <w:i/>
          <w:lang w:val="en-US" w:eastAsia="x-none"/>
        </w:rPr>
        <w:t>co</w:t>
      </w:r>
      <w:r w:rsidRPr="00D26445">
        <w:rPr>
          <w:i/>
          <w:lang w:eastAsia="x-none"/>
        </w:rPr>
        <w:t>-DurationList</w:t>
      </w:r>
      <w:r w:rsidRPr="00D26445">
        <w:rPr>
          <w:lang w:eastAsia="x-none"/>
        </w:rPr>
        <w:t xml:space="preserve">. </w:t>
      </w:r>
      <w:r w:rsidR="00AF2DCE" w:rsidRPr="00370E38">
        <w:rPr>
          <w:lang w:val="en-US" w:eastAsia="zh-CN"/>
        </w:rPr>
        <w:t xml:space="preserve">The channel occupancy duration field includes </w:t>
      </w:r>
      <m:oMath>
        <m:r>
          <m:rPr>
            <m:sty m:val="p"/>
          </m:rPr>
          <w:rPr>
            <w:rFonts w:ascii="Cambria Math" w:hAnsi="Cambria Math"/>
            <w:lang w:eastAsia="x-none"/>
          </w:rPr>
          <m:t>max</m:t>
        </m:r>
        <m:d>
          <m:dPr>
            <m:begChr m:val="{"/>
            <m:endChr m:val="}"/>
            <m:ctrlPr>
              <w:rPr>
                <w:rFonts w:ascii="Cambria Math" w:hAnsi="Cambria Math"/>
                <w:sz w:val="24"/>
                <w:szCs w:val="24"/>
                <w:lang w:eastAsia="x-none"/>
              </w:rPr>
            </m:ctrlPr>
          </m:dPr>
          <m:e>
            <m:d>
              <m:dPr>
                <m:begChr m:val="⌈"/>
                <m:endChr m:val="⌉"/>
                <m:ctrlPr>
                  <w:rPr>
                    <w:rFonts w:ascii="Cambria Math" w:hAnsi="Cambria Math"/>
                    <w:i/>
                    <w:iCs/>
                    <w:sz w:val="24"/>
                    <w:szCs w:val="24"/>
                    <w:lang w:eastAsia="x-none"/>
                  </w:rPr>
                </m:ctrlPr>
              </m:dPr>
              <m:e>
                <m:func>
                  <m:funcPr>
                    <m:ctrlPr>
                      <w:rPr>
                        <w:rFonts w:ascii="Cambria Math" w:hAnsi="Cambria Math"/>
                        <w:sz w:val="24"/>
                        <w:szCs w:val="24"/>
                        <w:lang w:eastAsia="x-none"/>
                      </w:rPr>
                    </m:ctrlPr>
                  </m:funcPr>
                  <m:fName>
                    <m:sSub>
                      <m:sSubPr>
                        <m:ctrlPr>
                          <w:rPr>
                            <w:rFonts w:ascii="Cambria Math" w:hAnsi="Cambria Math"/>
                            <w:sz w:val="24"/>
                            <w:szCs w:val="24"/>
                            <w:lang w:eastAsia="x-none"/>
                          </w:rPr>
                        </m:ctrlPr>
                      </m:sSubPr>
                      <m:e>
                        <m:r>
                          <m:rPr>
                            <m:sty m:val="p"/>
                          </m:rPr>
                          <w:rPr>
                            <w:rFonts w:ascii="Cambria Math" w:hAnsi="Cambria Math"/>
                            <w:lang w:eastAsia="x-none"/>
                          </w:rPr>
                          <m:t>log</m:t>
                        </m:r>
                      </m:e>
                      <m:sub>
                        <m:r>
                          <w:rPr>
                            <w:rFonts w:ascii="Cambria Math" w:hAnsi="Cambria Math"/>
                            <w:lang w:eastAsia="x-none"/>
                          </w:rPr>
                          <m:t>2</m:t>
                        </m:r>
                      </m:sub>
                    </m:sSub>
                  </m:fName>
                  <m:e>
                    <m:d>
                      <m:dPr>
                        <m:ctrlPr>
                          <w:rPr>
                            <w:rFonts w:ascii="Cambria Math" w:hAnsi="Cambria Math"/>
                            <w:i/>
                            <w:iCs/>
                            <w:sz w:val="24"/>
                            <w:szCs w:val="24"/>
                            <w:lang w:eastAsia="x-none"/>
                          </w:rPr>
                        </m:ctrlPr>
                      </m:dPr>
                      <m:e>
                        <m:r>
                          <m:rPr>
                            <m:sty m:val="p"/>
                          </m:rPr>
                          <w:rPr>
                            <w:rFonts w:ascii="Cambria Math" w:hAnsi="Cambria Math"/>
                            <w:lang w:eastAsia="x-none"/>
                          </w:rPr>
                          <m:t>COdurationListSize</m:t>
                        </m:r>
                      </m:e>
                    </m:d>
                  </m:e>
                </m:func>
              </m:e>
            </m:d>
            <m:r>
              <w:rPr>
                <w:rFonts w:ascii="Cambria Math" w:hAnsi="Cambria Math"/>
                <w:lang w:eastAsia="x-none"/>
              </w:rPr>
              <m:t>,1</m:t>
            </m:r>
          </m:e>
        </m:d>
      </m:oMath>
      <w:r w:rsidR="00AF2DCE" w:rsidRPr="00370E38">
        <w:t xml:space="preserve"> bits</w:t>
      </w:r>
      <w:r w:rsidR="00AF2DCE" w:rsidRPr="00370E38">
        <w:rPr>
          <w:lang w:val="en-US"/>
        </w:rPr>
        <w:t xml:space="preserve">, </w:t>
      </w:r>
      <w:r w:rsidR="00AF2DCE" w:rsidRPr="00370E38">
        <w:rPr>
          <w:rFonts w:eastAsia="DengXian"/>
          <w:lang w:eastAsia="zh-CN"/>
        </w:rPr>
        <w:t xml:space="preserve">where </w:t>
      </w:r>
      <m:oMath>
        <m:r>
          <m:rPr>
            <m:sty m:val="p"/>
          </m:rPr>
          <w:rPr>
            <w:rFonts w:ascii="Cambria Math" w:hAnsi="Cambria Math"/>
            <w:lang w:eastAsia="x-none"/>
          </w:rPr>
          <m:t>COdurationListSize</m:t>
        </m:r>
      </m:oMath>
      <w:r w:rsidR="00AF2DCE" w:rsidRPr="00370E38">
        <w:rPr>
          <w:rFonts w:eastAsia="DengXian"/>
          <w:lang w:eastAsia="zh-CN"/>
        </w:rPr>
        <w:t xml:space="preserve"> is the </w:t>
      </w:r>
      <w:r w:rsidR="00AF2DCE" w:rsidRPr="00370E38">
        <w:rPr>
          <w:rFonts w:eastAsia="DengXian"/>
          <w:lang w:val="en-US" w:eastAsia="zh-CN"/>
        </w:rPr>
        <w:t>number</w:t>
      </w:r>
      <w:r w:rsidR="00AF2DCE" w:rsidRPr="00370E38">
        <w:rPr>
          <w:rFonts w:eastAsia="DengXian"/>
          <w:lang w:eastAsia="zh-CN"/>
        </w:rPr>
        <w:t xml:space="preserve"> of values provided by</w:t>
      </w:r>
      <w:r w:rsidR="00AF2DCE" w:rsidRPr="00370E38">
        <w:rPr>
          <w:rFonts w:eastAsia="DengXian"/>
          <w:i/>
          <w:lang w:eastAsia="x-none"/>
        </w:rPr>
        <w:t xml:space="preserve"> </w:t>
      </w:r>
      <w:r w:rsidR="0070723B">
        <w:rPr>
          <w:rFonts w:eastAsia="DengXian"/>
          <w:i/>
          <w:lang w:val="en-US" w:eastAsia="x-none"/>
        </w:rPr>
        <w:t>co</w:t>
      </w:r>
      <w:r w:rsidR="00AF2DCE" w:rsidRPr="00370E38">
        <w:rPr>
          <w:rFonts w:eastAsia="DengXian"/>
          <w:i/>
          <w:lang w:eastAsia="x-none"/>
        </w:rPr>
        <w:t>-DurationList</w:t>
      </w:r>
      <w:r w:rsidR="00AF2DCE" w:rsidRPr="00370E38">
        <w:rPr>
          <w:rFonts w:eastAsia="DengXian"/>
          <w:lang w:eastAsia="x-none"/>
        </w:rPr>
        <w:t>.</w:t>
      </w:r>
      <w:r w:rsidR="00AF2DCE" w:rsidRPr="00370E38">
        <w:t xml:space="preserve"> </w:t>
      </w:r>
      <w:r w:rsidRPr="00D26445">
        <w:rPr>
          <w:lang w:eastAsia="x-none"/>
        </w:rPr>
        <w:t xml:space="preserve">If </w:t>
      </w:r>
      <w:r w:rsidRPr="00D26445">
        <w:rPr>
          <w:i/>
          <w:iCs/>
        </w:rPr>
        <w:t>CO-Duration</w:t>
      </w:r>
      <w:r w:rsidR="00C50B34">
        <w:rPr>
          <w:i/>
          <w:iCs/>
          <w:lang w:val="en-US"/>
        </w:rPr>
        <w:t>s</w:t>
      </w:r>
      <w:r w:rsidRPr="00D26445">
        <w:rPr>
          <w:i/>
          <w:iCs/>
        </w:rPr>
        <w:t>PerCell</w:t>
      </w:r>
      <w:r w:rsidRPr="00D26445">
        <w:t xml:space="preserve"> is not provided,</w:t>
      </w:r>
      <w:r w:rsidRPr="00D26445">
        <w:rPr>
          <w:lang w:eastAsia="x-none"/>
        </w:rPr>
        <w:t xml:space="preserve"> the </w:t>
      </w:r>
      <w:r w:rsidRPr="00D26445">
        <w:t xml:space="preserve">remaining channel occupancy duration for the serving cell </w:t>
      </w:r>
      <w:r w:rsidRPr="00D26445">
        <w:rPr>
          <w:lang w:eastAsia="x-none"/>
        </w:rPr>
        <w:t xml:space="preserve">is </w:t>
      </w:r>
      <w:r w:rsidRPr="00D26445">
        <w:rPr>
          <w:lang w:val="en-US" w:eastAsia="zh-CN"/>
        </w:rPr>
        <w:t xml:space="preserve">a number of slots, starting from </w:t>
      </w:r>
      <w:r w:rsidR="00CB12F8">
        <w:rPr>
          <w:lang w:val="en-US" w:eastAsia="zh-CN"/>
        </w:rPr>
        <w:t>the</w:t>
      </w:r>
      <w:r w:rsidRPr="00D26445">
        <w:rPr>
          <w:lang w:val="en-US" w:eastAsia="zh-CN"/>
        </w:rPr>
        <w:t xml:space="preserve"> slot where the UE detects the DCI format 2_0, that the SFI-index field value provides corresponding slot formats</w:t>
      </w:r>
    </w:p>
    <w:p w14:paraId="53781340" w14:textId="13F950C1" w:rsidR="00C50B34" w:rsidRPr="00FE5F50" w:rsidRDefault="00C50B34" w:rsidP="00FE5F50">
      <w:pPr>
        <w:pStyle w:val="B2"/>
        <w:rPr>
          <w:rFonts w:eastAsiaTheme="minorEastAsia"/>
        </w:rPr>
      </w:pPr>
      <w:r w:rsidRPr="002C6144">
        <w:rPr>
          <w:rFonts w:eastAsiaTheme="minorEastAsia"/>
        </w:rPr>
        <w:t>-</w:t>
      </w:r>
      <w:r w:rsidRPr="002C6144">
        <w:rPr>
          <w:rFonts w:eastAsiaTheme="minorEastAsia"/>
        </w:rPr>
        <w:tab/>
        <w:t xml:space="preserve">a reference SCS configuration for </w:t>
      </w:r>
      <w:r w:rsidR="0070723B">
        <w:rPr>
          <w:rFonts w:eastAsia="DengXian"/>
          <w:i/>
          <w:lang w:val="en-US" w:eastAsia="x-none"/>
        </w:rPr>
        <w:t>co</w:t>
      </w:r>
      <w:r w:rsidRPr="00370E38">
        <w:rPr>
          <w:rFonts w:eastAsia="DengXian"/>
          <w:i/>
          <w:lang w:eastAsia="x-none"/>
        </w:rPr>
        <w:t>-DurationList</w:t>
      </w:r>
      <w:r w:rsidRPr="002C6144">
        <w:rPr>
          <w:rFonts w:eastAsiaTheme="minorEastAsia"/>
        </w:rPr>
        <w:t xml:space="preserve">, by </w:t>
      </w:r>
      <w:r w:rsidRPr="002C6144">
        <w:rPr>
          <w:rFonts w:eastAsiaTheme="minorEastAsia"/>
          <w:i/>
          <w:iCs/>
        </w:rPr>
        <w:t>subcarrierSpacing</w:t>
      </w:r>
    </w:p>
    <w:p w14:paraId="5EDE57D1" w14:textId="1EB86363" w:rsidR="00421DE7" w:rsidRPr="00557F46" w:rsidRDefault="00421DE7" w:rsidP="00421DE7">
      <w:pPr>
        <w:pStyle w:val="B1"/>
        <w:rPr>
          <w:lang w:val="en-US"/>
        </w:rPr>
      </w:pPr>
      <w:r w:rsidRPr="00D26445">
        <w:t>-</w:t>
      </w:r>
      <w:r w:rsidRPr="00D26445">
        <w:tab/>
        <w:t xml:space="preserve">a location of a search space set group switching </w:t>
      </w:r>
      <w:r w:rsidR="00CB12F8">
        <w:rPr>
          <w:lang w:val="en-US"/>
        </w:rPr>
        <w:t xml:space="preserve">flag </w:t>
      </w:r>
      <w:r w:rsidRPr="00D26445">
        <w:t xml:space="preserve">field in DCI format 2_0, by </w:t>
      </w:r>
      <w:r w:rsidRPr="00D26445">
        <w:rPr>
          <w:i/>
          <w:iCs/>
        </w:rPr>
        <w:t>SearchSpaceSwitchTrigger</w:t>
      </w:r>
      <w:r w:rsidRPr="00D26445">
        <w:t xml:space="preserve">, </w:t>
      </w:r>
      <w:r w:rsidR="00C27336">
        <w:t>where the field</w:t>
      </w:r>
      <w:r w:rsidRPr="00D26445">
        <w:t xml:space="preserve"> indicates a group from two groups of search space sets for PDCCH monitoring for scheduling </w:t>
      </w:r>
      <w:r w:rsidR="0070723B">
        <w:rPr>
          <w:lang w:val="en-US"/>
        </w:rPr>
        <w:t>for</w:t>
      </w:r>
      <w:r w:rsidR="0070723B" w:rsidRPr="00D26445">
        <w:t xml:space="preserve"> </w:t>
      </w:r>
      <w:r w:rsidRPr="00D26445">
        <w:t xml:space="preserve">the serving cell </w:t>
      </w:r>
      <w:r w:rsidR="0070723B" w:rsidRPr="00440093">
        <w:rPr>
          <w:lang w:val="en-US" w:eastAsia="zh-CN"/>
        </w:rPr>
        <w:t xml:space="preserve">or the </w:t>
      </w:r>
      <w:r w:rsidR="0070723B" w:rsidRPr="00440093">
        <w:rPr>
          <w:lang w:eastAsia="zh-CN"/>
        </w:rPr>
        <w:t>set</w:t>
      </w:r>
      <w:r w:rsidR="0070723B" w:rsidRPr="00440093">
        <w:rPr>
          <w:lang w:val="en-US" w:eastAsia="zh-CN"/>
        </w:rPr>
        <w:t xml:space="preserve"> of serving cells, provided by </w:t>
      </w:r>
      <w:r w:rsidR="0070723B">
        <w:rPr>
          <w:i/>
          <w:lang w:val="en-US" w:eastAsia="zh-CN"/>
        </w:rPr>
        <w:t>CellGroupsForSwitching</w:t>
      </w:r>
      <w:r w:rsidR="0070723B" w:rsidRPr="00440093">
        <w:rPr>
          <w:lang w:val="en-US" w:eastAsia="zh-CN"/>
        </w:rPr>
        <w:t xml:space="preserve">, </w:t>
      </w:r>
      <w:r w:rsidRPr="00D26445">
        <w:t xml:space="preserve">as described </w:t>
      </w:r>
      <w:r w:rsidR="006F5F9E">
        <w:t>in clause</w:t>
      </w:r>
      <w:r w:rsidRPr="00D26445">
        <w:t xml:space="preserve"> 1</w:t>
      </w:r>
      <w:r w:rsidR="000C7871">
        <w:rPr>
          <w:lang w:val="en-US"/>
        </w:rPr>
        <w:t>0.4</w:t>
      </w:r>
      <w:r>
        <w:rPr>
          <w:lang w:val="en-US"/>
        </w:rPr>
        <w:t>.</w:t>
      </w:r>
    </w:p>
    <w:p w14:paraId="694DE1E7" w14:textId="6C0523D8" w:rsidR="00A541D1" w:rsidRPr="00783241" w:rsidRDefault="00A541D1" w:rsidP="00A541D1">
      <w:r w:rsidRPr="00783241">
        <w:t xml:space="preserve">If neither </w:t>
      </w:r>
      <w:r w:rsidRPr="00783241">
        <w:rPr>
          <w:i/>
          <w:iCs/>
        </w:rPr>
        <w:t>CO-Duration</w:t>
      </w:r>
      <w:r w:rsidR="00251C2A">
        <w:rPr>
          <w:i/>
          <w:iCs/>
        </w:rPr>
        <w:t>s</w:t>
      </w:r>
      <w:r w:rsidRPr="00783241">
        <w:rPr>
          <w:i/>
          <w:iCs/>
        </w:rPr>
        <w:t>PerCell</w:t>
      </w:r>
      <w:r w:rsidR="00251C2A">
        <w:t xml:space="preserve"> </w:t>
      </w:r>
      <w:r w:rsidRPr="00783241">
        <w:t>nor</w:t>
      </w:r>
      <w:r w:rsidR="00251C2A">
        <w:t xml:space="preserve"> </w:t>
      </w:r>
      <w:r w:rsidRPr="00783241">
        <w:rPr>
          <w:rFonts w:hint="eastAsia"/>
          <w:i/>
          <w:iCs/>
        </w:rPr>
        <w:t>SlotFormatCombinationsPerCell</w:t>
      </w:r>
      <w:r w:rsidR="00251C2A">
        <w:rPr>
          <w:i/>
          <w:iCs/>
        </w:rPr>
        <w:t xml:space="preserve"> </w:t>
      </w:r>
      <w:r w:rsidRPr="00783241">
        <w:t xml:space="preserve">are provided and if </w:t>
      </w:r>
      <w:r w:rsidR="00295E42">
        <w:rPr>
          <w:i/>
          <w:iCs/>
        </w:rPr>
        <w:t>c</w:t>
      </w:r>
      <w:r w:rsidR="00295E42" w:rsidRPr="00783241">
        <w:rPr>
          <w:i/>
          <w:iCs/>
        </w:rPr>
        <w:t>hannelAccessMode</w:t>
      </w:r>
      <w:r w:rsidR="00295E42">
        <w:t xml:space="preserve"> </w:t>
      </w:r>
      <w:r w:rsidRPr="00783241">
        <w:t>=</w:t>
      </w:r>
      <w:r w:rsidR="00295E42">
        <w:t xml:space="preserve"> </w:t>
      </w:r>
      <w:r w:rsidR="00B43E55" w:rsidRPr="00B43E55">
        <w:rPr>
          <w:iCs/>
        </w:rPr>
        <w:t>"</w:t>
      </w:r>
      <w:r w:rsidR="00B43E55">
        <w:rPr>
          <w:i/>
        </w:rPr>
        <w:t>semiStatic</w:t>
      </w:r>
      <w:r w:rsidR="00B43E55" w:rsidRPr="00B43E55">
        <w:rPr>
          <w:iCs/>
        </w:rPr>
        <w:t>"</w:t>
      </w:r>
      <w:r w:rsidR="00295E42">
        <w:rPr>
          <w:iCs/>
        </w:rPr>
        <w:t xml:space="preserve"> </w:t>
      </w:r>
      <w:r w:rsidRPr="00783241">
        <w:t>is provided, the procedures in this clause apply with assuming a channel occupancy time defined in clause 4.3 of [15, TS 37.213] is the</w:t>
      </w:r>
      <w:r w:rsidRPr="00783241">
        <w:rPr>
          <w:rFonts w:hint="eastAsia"/>
        </w:rPr>
        <w:t> </w:t>
      </w:r>
      <w:r w:rsidRPr="00783241">
        <w:t>remaining channel occupancy duration if a DL transmission burst(s) is detected within the channel occupancy time.</w:t>
      </w:r>
    </w:p>
    <w:p w14:paraId="00F5D12D" w14:textId="7B09722C" w:rsidR="00CA657A" w:rsidRPr="00CA657A" w:rsidRDefault="00CA657A" w:rsidP="00CA657A">
      <w:pPr>
        <w:rPr>
          <w:lang w:val="en-US"/>
        </w:rPr>
      </w:pPr>
      <w:r w:rsidRPr="00CA657A">
        <w:rPr>
          <w:lang w:eastAsia="zh-CN"/>
        </w:rPr>
        <w:lastRenderedPageBreak/>
        <w:t xml:space="preserve">A </w:t>
      </w:r>
      <w:r w:rsidRPr="00CA657A">
        <w:t xml:space="preserve">SFI-index field </w:t>
      </w:r>
      <w:r w:rsidRPr="00CA657A">
        <w:rPr>
          <w:lang w:val="en-US"/>
        </w:rPr>
        <w:t xml:space="preserve">value in a </w:t>
      </w:r>
      <w:r w:rsidRPr="00CA657A">
        <w:rPr>
          <w:lang w:eastAsia="zh-CN"/>
        </w:rPr>
        <w:t xml:space="preserve">DCI format 2_0 indicates to a UE </w:t>
      </w:r>
      <w:r w:rsidRPr="00CA657A">
        <w:rPr>
          <w:lang w:val="en-US" w:eastAsia="zh-CN"/>
        </w:rPr>
        <w:t xml:space="preserve">a slot format for each slot in a number of slots for each DL BWP or each UL BWP starting from a slot where the UE detects the DCI format 2_0. The number of slots is equal to or larger than </w:t>
      </w:r>
      <w:r w:rsidRPr="00CA657A">
        <w:t xml:space="preserve">a PDCCH monitoring periodicity for DCI format 2_0. </w:t>
      </w:r>
      <w:r w:rsidRPr="00CA657A">
        <w:rPr>
          <w:lang w:val="en-US" w:eastAsia="zh-CN"/>
        </w:rPr>
        <w:t xml:space="preserve">The SFI-index field includes </w:t>
      </w:r>
      <w:r w:rsidR="00ED3701">
        <w:rPr>
          <w:noProof/>
          <w:position w:val="-10"/>
        </w:rPr>
        <w:drawing>
          <wp:inline distT="0" distB="0" distL="0" distR="0" wp14:anchorId="2A4D1944" wp14:editId="65D016D9">
            <wp:extent cx="1724025" cy="209550"/>
            <wp:effectExtent l="0" t="0" r="0" b="0"/>
            <wp:docPr id="2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724025" cy="209550"/>
                    </a:xfrm>
                    <a:prstGeom prst="rect">
                      <a:avLst/>
                    </a:prstGeom>
                    <a:noFill/>
                    <a:ln>
                      <a:noFill/>
                    </a:ln>
                  </pic:spPr>
                </pic:pic>
              </a:graphicData>
            </a:graphic>
          </wp:inline>
        </w:drawing>
      </w:r>
      <w:r w:rsidRPr="00CA657A">
        <w:t xml:space="preserve"> bits where maxSFIindex is the maximum value of the values provided by corresponding </w:t>
      </w:r>
      <w:r w:rsidRPr="00CA657A">
        <w:rPr>
          <w:i/>
          <w:lang w:val="en-US"/>
        </w:rPr>
        <w:t>slotFormatCombinationId</w:t>
      </w:r>
      <w:r w:rsidRPr="00CA657A">
        <w:rPr>
          <w:lang w:val="en-US" w:eastAsia="zh-CN"/>
        </w:rPr>
        <w:t xml:space="preserve">. A slot format is identified by a corresponding format index </w:t>
      </w:r>
      <w:r w:rsidRPr="00CA657A">
        <w:t xml:space="preserve">as provided in Table 11.1.1-1 where </w:t>
      </w:r>
      <w:r w:rsidR="00CC6760">
        <w:t>'</w:t>
      </w:r>
      <w:r w:rsidRPr="00CA657A">
        <w:t>D</w:t>
      </w:r>
      <w:r w:rsidR="00CC6760">
        <w:t>'</w:t>
      </w:r>
      <w:r w:rsidRPr="00CA657A">
        <w:t xml:space="preserve"> denotes a downlink symbol, </w:t>
      </w:r>
      <w:r w:rsidR="00CC6760">
        <w:t>'</w:t>
      </w:r>
      <w:r w:rsidRPr="00CA657A">
        <w:t>U</w:t>
      </w:r>
      <w:r w:rsidR="00CC6760">
        <w:t>'</w:t>
      </w:r>
      <w:r w:rsidRPr="00CA657A">
        <w:t xml:space="preserve"> denotes an uplink symbol, and </w:t>
      </w:r>
      <w:r w:rsidR="00CC6760">
        <w:t>'</w:t>
      </w:r>
      <w:r w:rsidRPr="00CA657A">
        <w:t>F</w:t>
      </w:r>
      <w:r w:rsidR="00CC6760">
        <w:t>'</w:t>
      </w:r>
      <w:r w:rsidRPr="00CA657A">
        <w:t xml:space="preserve"> denotes a flexible symbol</w:t>
      </w:r>
      <w:r w:rsidRPr="00CA657A">
        <w:rPr>
          <w:lang w:val="en-US"/>
        </w:rPr>
        <w:t>.</w:t>
      </w:r>
    </w:p>
    <w:p w14:paraId="716664AA" w14:textId="7AD2BA0F" w:rsidR="00CA657A" w:rsidRPr="00CA657A" w:rsidRDefault="00CA657A" w:rsidP="00CA657A">
      <w:pPr>
        <w:rPr>
          <w:lang w:val="en-US"/>
        </w:rPr>
      </w:pPr>
      <w:r w:rsidRPr="00CA657A">
        <w:rPr>
          <w:lang w:val="en-US"/>
        </w:rPr>
        <w:t xml:space="preserve">If a PDCCH monitoring periodicity for DCI format 2_0, provided to a UE for </w:t>
      </w:r>
      <w:r w:rsidRPr="00CA657A">
        <w:t xml:space="preserve">the search space set </w:t>
      </w:r>
      <w:r w:rsidR="00ED3701">
        <w:rPr>
          <w:noProof/>
          <w:position w:val="-6"/>
        </w:rPr>
        <w:drawing>
          <wp:inline distT="0" distB="0" distL="0" distR="0" wp14:anchorId="6ACF0C22" wp14:editId="36AF36B6">
            <wp:extent cx="95250" cy="180975"/>
            <wp:effectExtent l="0" t="0" r="0" b="0"/>
            <wp:docPr id="2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95250" cy="180975"/>
                    </a:xfrm>
                    <a:prstGeom prst="rect">
                      <a:avLst/>
                    </a:prstGeom>
                    <a:noFill/>
                    <a:ln>
                      <a:noFill/>
                    </a:ln>
                  </pic:spPr>
                </pic:pic>
              </a:graphicData>
            </a:graphic>
          </wp:inline>
        </w:drawing>
      </w:r>
      <w:r w:rsidRPr="00CA657A">
        <w:t xml:space="preserve"> </w:t>
      </w:r>
      <w:r w:rsidRPr="00CA657A">
        <w:rPr>
          <w:lang w:val="en-US"/>
        </w:rPr>
        <w:t xml:space="preserve">by </w:t>
      </w:r>
      <w:r w:rsidRPr="00CA657A">
        <w:rPr>
          <w:i/>
        </w:rPr>
        <w:t>monitoringSlotPeriodicityAndOffset</w:t>
      </w:r>
      <w:r w:rsidRPr="00CA657A">
        <w:t>,</w:t>
      </w:r>
      <w:r w:rsidRPr="00CA657A">
        <w:rPr>
          <w:i/>
        </w:rPr>
        <w:t xml:space="preserve"> </w:t>
      </w:r>
      <w:r w:rsidRPr="00CA657A">
        <w:t xml:space="preserve">is smaller than a duration of a slot format </w:t>
      </w:r>
      <w:r w:rsidRPr="00CA657A">
        <w:rPr>
          <w:lang w:val="en-US"/>
        </w:rPr>
        <w:t>combination the UE obtains at a PDCCH monitoring occasion for DCI format 2_0 by a corresponding SFI-index field value, and the UE detects more than one DCI formats 2_0 indicating a slot format for a slot, the UE expects each of the more than one DCI formats 2_0 to indicate a same format for the slot.</w:t>
      </w:r>
    </w:p>
    <w:p w14:paraId="0030CC3E" w14:textId="77777777" w:rsidR="00CA657A" w:rsidRPr="00CA657A" w:rsidRDefault="00CA657A" w:rsidP="00CA657A">
      <w:pPr>
        <w:rPr>
          <w:lang w:val="en-US"/>
        </w:rPr>
      </w:pPr>
      <w:r w:rsidRPr="00CA657A">
        <w:rPr>
          <w:lang w:val="en-US"/>
        </w:rPr>
        <w:t xml:space="preserve">A UE does not expect </w:t>
      </w:r>
      <w:r w:rsidRPr="00CA657A">
        <w:t xml:space="preserve">to be configured to monitor PDCCH for DCI format 2_0 on a second serving cell that uses larger </w:t>
      </w:r>
      <w:r w:rsidR="00143099">
        <w:t>SCS</w:t>
      </w:r>
      <w:r w:rsidRPr="00CA657A">
        <w:t xml:space="preserve"> than the serving cell.</w:t>
      </w:r>
    </w:p>
    <w:p w14:paraId="6B18168D" w14:textId="77777777" w:rsidR="00CA657A" w:rsidRPr="00CA657A" w:rsidRDefault="00CA657A" w:rsidP="00CA657A">
      <w:pPr>
        <w:rPr>
          <w:lang w:val="en-US" w:eastAsia="zh-CN"/>
        </w:rPr>
      </w:pPr>
      <w:r w:rsidRPr="00CA657A">
        <w:rPr>
          <w:lang w:val="en-US" w:eastAsia="zh-CN"/>
        </w:rPr>
        <w:t xml:space="preserve"> </w:t>
      </w:r>
    </w:p>
    <w:p w14:paraId="162609A0" w14:textId="77777777" w:rsidR="00CA657A" w:rsidRPr="00CA657A" w:rsidRDefault="00CA657A" w:rsidP="001322F1">
      <w:pPr>
        <w:pStyle w:val="TH"/>
      </w:pPr>
      <w:bookmarkStart w:id="745" w:name="_Hlk512253773"/>
      <w:r w:rsidRPr="00CA657A">
        <w:lastRenderedPageBreak/>
        <w:t>Table 11.1.1-</w:t>
      </w:r>
      <w:bookmarkEnd w:id="745"/>
      <w:r w:rsidRPr="00CA657A">
        <w:t>1: Slot formats for normal cyclic prefix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713"/>
        <w:gridCol w:w="571"/>
        <w:gridCol w:w="571"/>
        <w:gridCol w:w="569"/>
        <w:gridCol w:w="569"/>
        <w:gridCol w:w="569"/>
        <w:gridCol w:w="569"/>
        <w:gridCol w:w="569"/>
        <w:gridCol w:w="569"/>
        <w:gridCol w:w="569"/>
        <w:gridCol w:w="569"/>
        <w:gridCol w:w="569"/>
        <w:gridCol w:w="569"/>
        <w:gridCol w:w="569"/>
      </w:tblGrid>
      <w:tr w:rsidR="00CA657A" w:rsidRPr="00CA657A" w14:paraId="056040BC" w14:textId="77777777" w:rsidTr="00AA372F">
        <w:trPr>
          <w:jc w:val="center"/>
        </w:trPr>
        <w:tc>
          <w:tcPr>
            <w:tcW w:w="1101" w:type="dxa"/>
            <w:vMerge w:val="restart"/>
            <w:shd w:val="clear" w:color="auto" w:fill="auto"/>
          </w:tcPr>
          <w:p w14:paraId="4C4BFE4A"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Format</w:t>
            </w:r>
          </w:p>
        </w:tc>
        <w:tc>
          <w:tcPr>
            <w:tcW w:w="8114" w:type="dxa"/>
            <w:gridSpan w:val="14"/>
            <w:tcBorders>
              <w:bottom w:val="nil"/>
            </w:tcBorders>
            <w:shd w:val="clear" w:color="auto" w:fill="auto"/>
          </w:tcPr>
          <w:p w14:paraId="1A673B72"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Symbol number in a slot</w:t>
            </w:r>
          </w:p>
        </w:tc>
      </w:tr>
      <w:tr w:rsidR="00CA657A" w:rsidRPr="00CA657A" w14:paraId="3BFB4170" w14:textId="77777777" w:rsidTr="00AA372F">
        <w:trPr>
          <w:jc w:val="center"/>
        </w:trPr>
        <w:tc>
          <w:tcPr>
            <w:tcW w:w="1101" w:type="dxa"/>
            <w:vMerge/>
            <w:tcBorders>
              <w:top w:val="single" w:sz="4" w:space="0" w:color="auto"/>
            </w:tcBorders>
            <w:shd w:val="clear" w:color="auto" w:fill="auto"/>
          </w:tcPr>
          <w:p w14:paraId="58A0283D" w14:textId="77777777" w:rsidR="00CA657A" w:rsidRPr="00CA657A" w:rsidRDefault="00CA657A" w:rsidP="00CA657A">
            <w:pPr>
              <w:keepNext/>
              <w:keepLines/>
              <w:spacing w:after="0"/>
              <w:jc w:val="center"/>
              <w:rPr>
                <w:rFonts w:ascii="Arial" w:eastAsia="Batang" w:hAnsi="Arial"/>
                <w:b/>
                <w:sz w:val="18"/>
              </w:rPr>
            </w:pPr>
          </w:p>
        </w:tc>
        <w:tc>
          <w:tcPr>
            <w:tcW w:w="713" w:type="dxa"/>
            <w:tcBorders>
              <w:top w:val="nil"/>
            </w:tcBorders>
            <w:shd w:val="clear" w:color="auto" w:fill="auto"/>
          </w:tcPr>
          <w:p w14:paraId="133491FE"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0</w:t>
            </w:r>
          </w:p>
        </w:tc>
        <w:tc>
          <w:tcPr>
            <w:tcW w:w="571" w:type="dxa"/>
            <w:tcBorders>
              <w:top w:val="nil"/>
            </w:tcBorders>
            <w:shd w:val="clear" w:color="auto" w:fill="auto"/>
          </w:tcPr>
          <w:p w14:paraId="62D16AFA"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1</w:t>
            </w:r>
          </w:p>
        </w:tc>
        <w:tc>
          <w:tcPr>
            <w:tcW w:w="571" w:type="dxa"/>
            <w:tcBorders>
              <w:top w:val="nil"/>
            </w:tcBorders>
            <w:shd w:val="clear" w:color="auto" w:fill="auto"/>
          </w:tcPr>
          <w:p w14:paraId="1701F162"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2</w:t>
            </w:r>
          </w:p>
        </w:tc>
        <w:tc>
          <w:tcPr>
            <w:tcW w:w="569" w:type="dxa"/>
            <w:tcBorders>
              <w:top w:val="nil"/>
            </w:tcBorders>
            <w:shd w:val="clear" w:color="auto" w:fill="auto"/>
          </w:tcPr>
          <w:p w14:paraId="4095FA0B"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3</w:t>
            </w:r>
          </w:p>
        </w:tc>
        <w:tc>
          <w:tcPr>
            <w:tcW w:w="569" w:type="dxa"/>
            <w:tcBorders>
              <w:top w:val="nil"/>
            </w:tcBorders>
            <w:shd w:val="clear" w:color="auto" w:fill="auto"/>
          </w:tcPr>
          <w:p w14:paraId="54A64FBC"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4</w:t>
            </w:r>
          </w:p>
        </w:tc>
        <w:tc>
          <w:tcPr>
            <w:tcW w:w="569" w:type="dxa"/>
            <w:tcBorders>
              <w:top w:val="nil"/>
            </w:tcBorders>
            <w:shd w:val="clear" w:color="auto" w:fill="auto"/>
          </w:tcPr>
          <w:p w14:paraId="0B4DD40A"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5</w:t>
            </w:r>
          </w:p>
        </w:tc>
        <w:tc>
          <w:tcPr>
            <w:tcW w:w="569" w:type="dxa"/>
            <w:tcBorders>
              <w:top w:val="nil"/>
            </w:tcBorders>
            <w:shd w:val="clear" w:color="auto" w:fill="auto"/>
          </w:tcPr>
          <w:p w14:paraId="43CC36F5"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6</w:t>
            </w:r>
          </w:p>
        </w:tc>
        <w:tc>
          <w:tcPr>
            <w:tcW w:w="569" w:type="dxa"/>
            <w:tcBorders>
              <w:top w:val="nil"/>
            </w:tcBorders>
            <w:shd w:val="clear" w:color="auto" w:fill="auto"/>
          </w:tcPr>
          <w:p w14:paraId="0C653F1B"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7</w:t>
            </w:r>
          </w:p>
        </w:tc>
        <w:tc>
          <w:tcPr>
            <w:tcW w:w="569" w:type="dxa"/>
            <w:tcBorders>
              <w:top w:val="nil"/>
            </w:tcBorders>
            <w:shd w:val="clear" w:color="auto" w:fill="auto"/>
          </w:tcPr>
          <w:p w14:paraId="2332AA14"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8</w:t>
            </w:r>
          </w:p>
        </w:tc>
        <w:tc>
          <w:tcPr>
            <w:tcW w:w="569" w:type="dxa"/>
            <w:tcBorders>
              <w:top w:val="nil"/>
            </w:tcBorders>
            <w:shd w:val="clear" w:color="auto" w:fill="auto"/>
          </w:tcPr>
          <w:p w14:paraId="69B38EBD"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9</w:t>
            </w:r>
          </w:p>
        </w:tc>
        <w:tc>
          <w:tcPr>
            <w:tcW w:w="569" w:type="dxa"/>
            <w:tcBorders>
              <w:top w:val="nil"/>
            </w:tcBorders>
            <w:shd w:val="clear" w:color="auto" w:fill="auto"/>
          </w:tcPr>
          <w:p w14:paraId="2877E1D2"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10</w:t>
            </w:r>
          </w:p>
        </w:tc>
        <w:tc>
          <w:tcPr>
            <w:tcW w:w="569" w:type="dxa"/>
            <w:tcBorders>
              <w:top w:val="nil"/>
            </w:tcBorders>
            <w:shd w:val="clear" w:color="auto" w:fill="auto"/>
          </w:tcPr>
          <w:p w14:paraId="1A1F041E"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11</w:t>
            </w:r>
          </w:p>
        </w:tc>
        <w:tc>
          <w:tcPr>
            <w:tcW w:w="569" w:type="dxa"/>
            <w:tcBorders>
              <w:top w:val="nil"/>
            </w:tcBorders>
            <w:shd w:val="clear" w:color="auto" w:fill="auto"/>
          </w:tcPr>
          <w:p w14:paraId="32EDA9AC"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12</w:t>
            </w:r>
          </w:p>
        </w:tc>
        <w:tc>
          <w:tcPr>
            <w:tcW w:w="569" w:type="dxa"/>
            <w:tcBorders>
              <w:top w:val="nil"/>
              <w:right w:val="single" w:sz="4" w:space="0" w:color="auto"/>
            </w:tcBorders>
            <w:shd w:val="clear" w:color="auto" w:fill="auto"/>
          </w:tcPr>
          <w:p w14:paraId="6292FCDB" w14:textId="77777777" w:rsidR="00CA657A" w:rsidRPr="00CA657A" w:rsidRDefault="00CA657A" w:rsidP="00CA657A">
            <w:pPr>
              <w:keepNext/>
              <w:keepLines/>
              <w:spacing w:after="0"/>
              <w:jc w:val="center"/>
              <w:rPr>
                <w:rFonts w:ascii="Arial" w:eastAsia="Batang" w:hAnsi="Arial"/>
                <w:b/>
                <w:sz w:val="18"/>
              </w:rPr>
            </w:pPr>
            <w:r w:rsidRPr="00CA657A">
              <w:rPr>
                <w:rFonts w:ascii="Arial" w:eastAsia="Batang" w:hAnsi="Arial"/>
                <w:b/>
                <w:sz w:val="18"/>
              </w:rPr>
              <w:t>13</w:t>
            </w:r>
          </w:p>
        </w:tc>
      </w:tr>
      <w:tr w:rsidR="00CA657A" w:rsidRPr="00CA657A" w14:paraId="4DF93E3E" w14:textId="77777777" w:rsidTr="00AA372F">
        <w:trPr>
          <w:jc w:val="center"/>
        </w:trPr>
        <w:tc>
          <w:tcPr>
            <w:tcW w:w="1101" w:type="dxa"/>
            <w:shd w:val="clear" w:color="auto" w:fill="auto"/>
          </w:tcPr>
          <w:p w14:paraId="310A446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0</w:t>
            </w:r>
          </w:p>
        </w:tc>
        <w:tc>
          <w:tcPr>
            <w:tcW w:w="713" w:type="dxa"/>
            <w:shd w:val="clear" w:color="auto" w:fill="auto"/>
          </w:tcPr>
          <w:p w14:paraId="71EEC74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7060FBC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53A74E9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47DEBB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DC8998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3B7C0C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B6AF38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10C363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C89999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5D681C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13ECC8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13900E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2E5728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tcBorders>
              <w:right w:val="single" w:sz="4" w:space="0" w:color="auto"/>
            </w:tcBorders>
            <w:shd w:val="clear" w:color="auto" w:fill="auto"/>
          </w:tcPr>
          <w:p w14:paraId="57680E4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r>
      <w:tr w:rsidR="00CA657A" w:rsidRPr="00CA657A" w14:paraId="589F031D" w14:textId="77777777" w:rsidTr="00AA372F">
        <w:trPr>
          <w:jc w:val="center"/>
        </w:trPr>
        <w:tc>
          <w:tcPr>
            <w:tcW w:w="1101" w:type="dxa"/>
            <w:shd w:val="clear" w:color="auto" w:fill="auto"/>
          </w:tcPr>
          <w:p w14:paraId="6DD5B90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w:t>
            </w:r>
          </w:p>
        </w:tc>
        <w:tc>
          <w:tcPr>
            <w:tcW w:w="713" w:type="dxa"/>
            <w:shd w:val="clear" w:color="auto" w:fill="auto"/>
          </w:tcPr>
          <w:p w14:paraId="3B28EA1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71" w:type="dxa"/>
            <w:shd w:val="clear" w:color="auto" w:fill="auto"/>
          </w:tcPr>
          <w:p w14:paraId="2BAA0B9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71" w:type="dxa"/>
            <w:shd w:val="clear" w:color="auto" w:fill="auto"/>
          </w:tcPr>
          <w:p w14:paraId="358C5EE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52187B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260D32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792085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856C4C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3C7D19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3C0A31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03E62C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46064E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10CC2D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19CB8A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463ED9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61705DFB" w14:textId="77777777" w:rsidTr="00AA372F">
        <w:trPr>
          <w:jc w:val="center"/>
        </w:trPr>
        <w:tc>
          <w:tcPr>
            <w:tcW w:w="1101" w:type="dxa"/>
            <w:shd w:val="clear" w:color="auto" w:fill="auto"/>
          </w:tcPr>
          <w:p w14:paraId="6747450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w:t>
            </w:r>
          </w:p>
        </w:tc>
        <w:tc>
          <w:tcPr>
            <w:tcW w:w="713" w:type="dxa"/>
            <w:shd w:val="clear" w:color="auto" w:fill="auto"/>
          </w:tcPr>
          <w:p w14:paraId="3430010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30A50B9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46BA7EB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B9C0AA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C523A4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993A9A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0E0A4B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51CD98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ED1D4F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2E458D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D31A1D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419F47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2C3765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F9F684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14:paraId="4C853309" w14:textId="77777777" w:rsidTr="00AA372F">
        <w:trPr>
          <w:jc w:val="center"/>
        </w:trPr>
        <w:tc>
          <w:tcPr>
            <w:tcW w:w="1101" w:type="dxa"/>
            <w:shd w:val="clear" w:color="auto" w:fill="auto"/>
          </w:tcPr>
          <w:p w14:paraId="2ED25F7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w:t>
            </w:r>
          </w:p>
        </w:tc>
        <w:tc>
          <w:tcPr>
            <w:tcW w:w="713" w:type="dxa"/>
            <w:shd w:val="clear" w:color="auto" w:fill="auto"/>
          </w:tcPr>
          <w:p w14:paraId="57A6418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202CF9A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7872C0E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55E549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EDF675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B8C499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FEF65A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E1B2B3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3564A6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072293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6A2FE5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6050D2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AD6631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DA34B1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14:paraId="6580E605" w14:textId="77777777" w:rsidTr="00AA372F">
        <w:trPr>
          <w:jc w:val="center"/>
        </w:trPr>
        <w:tc>
          <w:tcPr>
            <w:tcW w:w="1101" w:type="dxa"/>
            <w:shd w:val="clear" w:color="auto" w:fill="auto"/>
          </w:tcPr>
          <w:p w14:paraId="2D03AD2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w:t>
            </w:r>
          </w:p>
        </w:tc>
        <w:tc>
          <w:tcPr>
            <w:tcW w:w="713" w:type="dxa"/>
            <w:shd w:val="clear" w:color="auto" w:fill="auto"/>
          </w:tcPr>
          <w:p w14:paraId="01164C3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4F76C9C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1B278B1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70F042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620665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402638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AB1291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982BC5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7800CA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673362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CF1E9F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7AA44C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A1D9D7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D30001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14:paraId="71F1E126" w14:textId="77777777" w:rsidTr="00AA372F">
        <w:trPr>
          <w:jc w:val="center"/>
        </w:trPr>
        <w:tc>
          <w:tcPr>
            <w:tcW w:w="1101" w:type="dxa"/>
            <w:shd w:val="clear" w:color="auto" w:fill="auto"/>
          </w:tcPr>
          <w:p w14:paraId="1D05425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5</w:t>
            </w:r>
          </w:p>
        </w:tc>
        <w:tc>
          <w:tcPr>
            <w:tcW w:w="713" w:type="dxa"/>
            <w:shd w:val="clear" w:color="auto" w:fill="auto"/>
          </w:tcPr>
          <w:p w14:paraId="6DCE7BA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256AF8D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13D9CA2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52CA61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CEC801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7FBEED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706962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2BC480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C238B1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A9C79D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FFB816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E9F304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C0B8C3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20F59B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14:paraId="0509043F" w14:textId="77777777" w:rsidTr="00AA372F">
        <w:trPr>
          <w:jc w:val="center"/>
        </w:trPr>
        <w:tc>
          <w:tcPr>
            <w:tcW w:w="1101" w:type="dxa"/>
            <w:shd w:val="clear" w:color="auto" w:fill="auto"/>
          </w:tcPr>
          <w:p w14:paraId="675771E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6</w:t>
            </w:r>
          </w:p>
        </w:tc>
        <w:tc>
          <w:tcPr>
            <w:tcW w:w="713" w:type="dxa"/>
            <w:shd w:val="clear" w:color="auto" w:fill="auto"/>
          </w:tcPr>
          <w:p w14:paraId="20BA8C8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2FAD10E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1D6F025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6B92D2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90511F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28E4B4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7EABEE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3A9A0A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D84AAC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598E0D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4F6BA0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84B662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F9B98B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F3DE86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14:paraId="22B1A107" w14:textId="77777777" w:rsidTr="00AA372F">
        <w:trPr>
          <w:jc w:val="center"/>
        </w:trPr>
        <w:tc>
          <w:tcPr>
            <w:tcW w:w="1101" w:type="dxa"/>
            <w:shd w:val="clear" w:color="auto" w:fill="auto"/>
          </w:tcPr>
          <w:p w14:paraId="45F4961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7</w:t>
            </w:r>
          </w:p>
        </w:tc>
        <w:tc>
          <w:tcPr>
            <w:tcW w:w="713" w:type="dxa"/>
            <w:shd w:val="clear" w:color="auto" w:fill="auto"/>
          </w:tcPr>
          <w:p w14:paraId="532FBD5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697F6E2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58B2775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198E08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0EB77E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463F4B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9AF1C6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DE200D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24765B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815F20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CF1BFA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151E80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E3EE1C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D697B7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14:paraId="09C6FA08" w14:textId="77777777" w:rsidTr="00AA372F">
        <w:trPr>
          <w:jc w:val="center"/>
        </w:trPr>
        <w:tc>
          <w:tcPr>
            <w:tcW w:w="1101" w:type="dxa"/>
            <w:shd w:val="clear" w:color="auto" w:fill="auto"/>
          </w:tcPr>
          <w:p w14:paraId="137B508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8</w:t>
            </w:r>
          </w:p>
        </w:tc>
        <w:tc>
          <w:tcPr>
            <w:tcW w:w="713" w:type="dxa"/>
            <w:shd w:val="clear" w:color="auto" w:fill="auto"/>
          </w:tcPr>
          <w:p w14:paraId="7CCC18D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3CE2B25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5FE1C97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3FBBE9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BCB7C3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868862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CF0111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0CB6CC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719D41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4E9FAC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F46734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CC0E2C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EC8B56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4E4D4D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1B3AD5BD" w14:textId="77777777" w:rsidTr="00AA372F">
        <w:trPr>
          <w:jc w:val="center"/>
        </w:trPr>
        <w:tc>
          <w:tcPr>
            <w:tcW w:w="1101" w:type="dxa"/>
            <w:shd w:val="clear" w:color="auto" w:fill="auto"/>
          </w:tcPr>
          <w:p w14:paraId="3172ACF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9</w:t>
            </w:r>
          </w:p>
        </w:tc>
        <w:tc>
          <w:tcPr>
            <w:tcW w:w="713" w:type="dxa"/>
            <w:shd w:val="clear" w:color="auto" w:fill="auto"/>
          </w:tcPr>
          <w:p w14:paraId="17636CE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5C56CC7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08EDC6B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4EC649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BDCE5F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46E925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0F0DF2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3ACF8C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DD1244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B69181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9CE574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BF7946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4057AE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147D17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78500DAA" w14:textId="77777777" w:rsidTr="00AA372F">
        <w:trPr>
          <w:jc w:val="center"/>
        </w:trPr>
        <w:tc>
          <w:tcPr>
            <w:tcW w:w="1101" w:type="dxa"/>
            <w:shd w:val="clear" w:color="auto" w:fill="auto"/>
          </w:tcPr>
          <w:p w14:paraId="3B26668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10</w:t>
            </w:r>
          </w:p>
        </w:tc>
        <w:tc>
          <w:tcPr>
            <w:tcW w:w="713" w:type="dxa"/>
            <w:shd w:val="clear" w:color="auto" w:fill="auto"/>
          </w:tcPr>
          <w:p w14:paraId="4B387C6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510A0F3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71" w:type="dxa"/>
            <w:shd w:val="clear" w:color="auto" w:fill="auto"/>
          </w:tcPr>
          <w:p w14:paraId="09F715A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706DC5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D3F0D2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6E8896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1ED08E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D7AFB0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1FE14F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B77092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0A699D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269DA2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1E2D15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586329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1C6CA858" w14:textId="77777777" w:rsidTr="00AA372F">
        <w:trPr>
          <w:jc w:val="center"/>
        </w:trPr>
        <w:tc>
          <w:tcPr>
            <w:tcW w:w="1101" w:type="dxa"/>
            <w:shd w:val="clear" w:color="auto" w:fill="auto"/>
          </w:tcPr>
          <w:p w14:paraId="32293D2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11</w:t>
            </w:r>
          </w:p>
        </w:tc>
        <w:tc>
          <w:tcPr>
            <w:tcW w:w="713" w:type="dxa"/>
            <w:shd w:val="clear" w:color="auto" w:fill="auto"/>
          </w:tcPr>
          <w:p w14:paraId="731BC78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0BC24F0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385E700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9FC5DA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1A2012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F13DA9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7B5920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BAFB3D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E9319D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C534C0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298C3B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9994A8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8CBF67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3BB886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73A4A9C0" w14:textId="77777777" w:rsidTr="00AA372F">
        <w:trPr>
          <w:jc w:val="center"/>
        </w:trPr>
        <w:tc>
          <w:tcPr>
            <w:tcW w:w="1101" w:type="dxa"/>
            <w:shd w:val="clear" w:color="auto" w:fill="auto"/>
          </w:tcPr>
          <w:p w14:paraId="0F82F20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12</w:t>
            </w:r>
          </w:p>
        </w:tc>
        <w:tc>
          <w:tcPr>
            <w:tcW w:w="713" w:type="dxa"/>
            <w:shd w:val="clear" w:color="auto" w:fill="auto"/>
          </w:tcPr>
          <w:p w14:paraId="2D8C3AB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77B4F9C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74DE76A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57B6D3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B1AA56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84793D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CFF86E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1E6558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C6C1C8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A8FEE0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EABE50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37F016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A64E86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C340B5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7000A4EE" w14:textId="77777777" w:rsidTr="00AA372F">
        <w:trPr>
          <w:jc w:val="center"/>
        </w:trPr>
        <w:tc>
          <w:tcPr>
            <w:tcW w:w="1101" w:type="dxa"/>
            <w:shd w:val="clear" w:color="auto" w:fill="auto"/>
          </w:tcPr>
          <w:p w14:paraId="0F11292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13</w:t>
            </w:r>
          </w:p>
        </w:tc>
        <w:tc>
          <w:tcPr>
            <w:tcW w:w="713" w:type="dxa"/>
            <w:shd w:val="clear" w:color="auto" w:fill="auto"/>
          </w:tcPr>
          <w:p w14:paraId="2064A77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507A5CF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014C976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258AB3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EAE7A8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69EC4E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3F4156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5E4E6B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97377A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DC15F7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E77208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B26E66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E60F83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91E71C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24822F4F" w14:textId="77777777" w:rsidTr="00AA372F">
        <w:trPr>
          <w:jc w:val="center"/>
        </w:trPr>
        <w:tc>
          <w:tcPr>
            <w:tcW w:w="1101" w:type="dxa"/>
            <w:shd w:val="clear" w:color="auto" w:fill="auto"/>
          </w:tcPr>
          <w:p w14:paraId="63C4280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14</w:t>
            </w:r>
          </w:p>
        </w:tc>
        <w:tc>
          <w:tcPr>
            <w:tcW w:w="713" w:type="dxa"/>
            <w:shd w:val="clear" w:color="auto" w:fill="auto"/>
          </w:tcPr>
          <w:p w14:paraId="7740B88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08F5373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4255119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4901C4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798BA0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924DB1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5F688B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DE8336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0086BC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E1B931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2E61B5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0B2BCF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408B8C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DA4C0B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0C5AE650" w14:textId="77777777" w:rsidTr="00AA372F">
        <w:trPr>
          <w:jc w:val="center"/>
        </w:trPr>
        <w:tc>
          <w:tcPr>
            <w:tcW w:w="1101" w:type="dxa"/>
            <w:shd w:val="clear" w:color="auto" w:fill="auto"/>
          </w:tcPr>
          <w:p w14:paraId="315DA2B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15</w:t>
            </w:r>
          </w:p>
        </w:tc>
        <w:tc>
          <w:tcPr>
            <w:tcW w:w="713" w:type="dxa"/>
            <w:shd w:val="clear" w:color="auto" w:fill="auto"/>
          </w:tcPr>
          <w:p w14:paraId="70384F7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3B4CCA1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0BF2A49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69FDC9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DDF44A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958CD5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ECAA8B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FB78F6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006611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FC7083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194136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8B9514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870CC9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A66947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18E2CD00" w14:textId="77777777" w:rsidTr="00AA372F">
        <w:trPr>
          <w:jc w:val="center"/>
        </w:trPr>
        <w:tc>
          <w:tcPr>
            <w:tcW w:w="1101" w:type="dxa"/>
            <w:shd w:val="clear" w:color="auto" w:fill="auto"/>
          </w:tcPr>
          <w:p w14:paraId="1642445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16</w:t>
            </w:r>
          </w:p>
        </w:tc>
        <w:tc>
          <w:tcPr>
            <w:tcW w:w="713" w:type="dxa"/>
            <w:shd w:val="clear" w:color="auto" w:fill="auto"/>
          </w:tcPr>
          <w:p w14:paraId="07435BD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E2762C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080663E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833AAC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12B528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60B0FB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165C7C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8ACF16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DB608C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B7ADC7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3694B0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96F23A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7B6AF2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66A58F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14:paraId="4426B9D0" w14:textId="77777777" w:rsidTr="00AA372F">
        <w:trPr>
          <w:jc w:val="center"/>
        </w:trPr>
        <w:tc>
          <w:tcPr>
            <w:tcW w:w="1101" w:type="dxa"/>
            <w:shd w:val="clear" w:color="auto" w:fill="auto"/>
          </w:tcPr>
          <w:p w14:paraId="4FDF3C5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17</w:t>
            </w:r>
          </w:p>
        </w:tc>
        <w:tc>
          <w:tcPr>
            <w:tcW w:w="713" w:type="dxa"/>
            <w:shd w:val="clear" w:color="auto" w:fill="auto"/>
          </w:tcPr>
          <w:p w14:paraId="421B7A9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33A3B7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5C08D4F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9DF0E8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D3D221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D52A0E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5F3AD1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044FA4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142D10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B5A0C2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892063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50667F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1CE663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634016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14:paraId="5BDB110B" w14:textId="77777777" w:rsidTr="00AA372F">
        <w:trPr>
          <w:jc w:val="center"/>
        </w:trPr>
        <w:tc>
          <w:tcPr>
            <w:tcW w:w="1101" w:type="dxa"/>
            <w:shd w:val="clear" w:color="auto" w:fill="auto"/>
          </w:tcPr>
          <w:p w14:paraId="1CB341E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18</w:t>
            </w:r>
          </w:p>
        </w:tc>
        <w:tc>
          <w:tcPr>
            <w:tcW w:w="713" w:type="dxa"/>
            <w:shd w:val="clear" w:color="auto" w:fill="auto"/>
          </w:tcPr>
          <w:p w14:paraId="23F3C62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5A05CFC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2C022BE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A5A8EA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F20CD0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8657BC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8494D2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F222AF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CD7E08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0CCC8D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B41FCB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D88775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757C27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CCC11F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r>
      <w:tr w:rsidR="00CA657A" w:rsidRPr="00CA657A" w14:paraId="74494B5F" w14:textId="77777777" w:rsidTr="00AA372F">
        <w:trPr>
          <w:jc w:val="center"/>
        </w:trPr>
        <w:tc>
          <w:tcPr>
            <w:tcW w:w="1101" w:type="dxa"/>
            <w:shd w:val="clear" w:color="auto" w:fill="auto"/>
          </w:tcPr>
          <w:p w14:paraId="7E29AFA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19</w:t>
            </w:r>
          </w:p>
        </w:tc>
        <w:tc>
          <w:tcPr>
            <w:tcW w:w="713" w:type="dxa"/>
            <w:shd w:val="clear" w:color="auto" w:fill="auto"/>
          </w:tcPr>
          <w:p w14:paraId="20459A8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2944F6B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55BAB37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6847B6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3800D9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2954F0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505100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E45237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D6EE2F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2065A9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8CF82B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BD78BF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7214D9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3AA389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359F847F" w14:textId="77777777" w:rsidTr="00AA372F">
        <w:trPr>
          <w:jc w:val="center"/>
        </w:trPr>
        <w:tc>
          <w:tcPr>
            <w:tcW w:w="1101" w:type="dxa"/>
            <w:shd w:val="clear" w:color="auto" w:fill="auto"/>
          </w:tcPr>
          <w:p w14:paraId="3ADD71E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20</w:t>
            </w:r>
          </w:p>
        </w:tc>
        <w:tc>
          <w:tcPr>
            <w:tcW w:w="713" w:type="dxa"/>
            <w:shd w:val="clear" w:color="auto" w:fill="auto"/>
          </w:tcPr>
          <w:p w14:paraId="5C675E1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04919AE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60EF939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1FEBAC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44FA4A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E6D78E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8C34F7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7CD631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D5EA29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2919BF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719CD8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3EE18E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03ED2A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5241DF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07282DFB" w14:textId="77777777" w:rsidTr="00AA372F">
        <w:trPr>
          <w:jc w:val="center"/>
        </w:trPr>
        <w:tc>
          <w:tcPr>
            <w:tcW w:w="1101" w:type="dxa"/>
            <w:shd w:val="clear" w:color="auto" w:fill="auto"/>
          </w:tcPr>
          <w:p w14:paraId="43AAD33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21</w:t>
            </w:r>
          </w:p>
        </w:tc>
        <w:tc>
          <w:tcPr>
            <w:tcW w:w="713" w:type="dxa"/>
            <w:shd w:val="clear" w:color="auto" w:fill="auto"/>
          </w:tcPr>
          <w:p w14:paraId="0B754E4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2E48D23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AB521F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1E5752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ACBF9E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E3F47F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CB7E2C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583102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00EB22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ED57F2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F7BADB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6C5432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8AE86B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A73CA6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1BA831D9" w14:textId="77777777" w:rsidTr="00AA372F">
        <w:trPr>
          <w:jc w:val="center"/>
        </w:trPr>
        <w:tc>
          <w:tcPr>
            <w:tcW w:w="1101" w:type="dxa"/>
            <w:shd w:val="clear" w:color="auto" w:fill="auto"/>
          </w:tcPr>
          <w:p w14:paraId="2B78ACE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22</w:t>
            </w:r>
          </w:p>
        </w:tc>
        <w:tc>
          <w:tcPr>
            <w:tcW w:w="713" w:type="dxa"/>
            <w:shd w:val="clear" w:color="auto" w:fill="auto"/>
          </w:tcPr>
          <w:p w14:paraId="4F8D248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74BE50D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44310C9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8BDFD9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BB73F5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0049A4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B9F9B2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510806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51A1F8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638FF9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3B1695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8231EA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65AA8C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F0AC80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371DC1C1" w14:textId="77777777" w:rsidTr="00AA372F">
        <w:trPr>
          <w:jc w:val="center"/>
        </w:trPr>
        <w:tc>
          <w:tcPr>
            <w:tcW w:w="1101" w:type="dxa"/>
            <w:shd w:val="clear" w:color="auto" w:fill="auto"/>
          </w:tcPr>
          <w:p w14:paraId="1E8D16F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23</w:t>
            </w:r>
          </w:p>
        </w:tc>
        <w:tc>
          <w:tcPr>
            <w:tcW w:w="713" w:type="dxa"/>
            <w:shd w:val="clear" w:color="auto" w:fill="auto"/>
          </w:tcPr>
          <w:p w14:paraId="25B7DAD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1953A91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98AFDF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43EF84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EC7911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914E16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11867B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0509B6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F66547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3C282B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81C8A0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9E8248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9CF38A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DBD02B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0E3A9DBD" w14:textId="77777777" w:rsidTr="00AA372F">
        <w:trPr>
          <w:jc w:val="center"/>
        </w:trPr>
        <w:tc>
          <w:tcPr>
            <w:tcW w:w="1101" w:type="dxa"/>
            <w:shd w:val="clear" w:color="auto" w:fill="auto"/>
          </w:tcPr>
          <w:p w14:paraId="0B9EE77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24</w:t>
            </w:r>
          </w:p>
        </w:tc>
        <w:tc>
          <w:tcPr>
            <w:tcW w:w="713" w:type="dxa"/>
            <w:shd w:val="clear" w:color="auto" w:fill="auto"/>
          </w:tcPr>
          <w:p w14:paraId="6A21F48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3AFB3E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7695168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08E3E0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BEEEF5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8615B3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9F508D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8614BB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7A19D7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E23BCA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C09DA6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10CFCB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A48852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B29D0C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208406A5" w14:textId="77777777" w:rsidTr="00AA372F">
        <w:trPr>
          <w:jc w:val="center"/>
        </w:trPr>
        <w:tc>
          <w:tcPr>
            <w:tcW w:w="1101" w:type="dxa"/>
            <w:shd w:val="clear" w:color="auto" w:fill="auto"/>
          </w:tcPr>
          <w:p w14:paraId="79C2077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25</w:t>
            </w:r>
          </w:p>
        </w:tc>
        <w:tc>
          <w:tcPr>
            <w:tcW w:w="713" w:type="dxa"/>
            <w:shd w:val="clear" w:color="auto" w:fill="auto"/>
          </w:tcPr>
          <w:p w14:paraId="23A6509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E6E158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203BEA9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5A3EFA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D2D03F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2FD62E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DC8523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906220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B53521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681DC8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EF6178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1F0C8B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D51034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7F86D4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62563D5F" w14:textId="77777777" w:rsidTr="00AA372F">
        <w:trPr>
          <w:jc w:val="center"/>
        </w:trPr>
        <w:tc>
          <w:tcPr>
            <w:tcW w:w="1101" w:type="dxa"/>
            <w:shd w:val="clear" w:color="auto" w:fill="auto"/>
          </w:tcPr>
          <w:p w14:paraId="03FFABF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26</w:t>
            </w:r>
          </w:p>
        </w:tc>
        <w:tc>
          <w:tcPr>
            <w:tcW w:w="713" w:type="dxa"/>
            <w:shd w:val="clear" w:color="auto" w:fill="auto"/>
          </w:tcPr>
          <w:p w14:paraId="02756CF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6DE1FCB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11A9198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F44419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895A5B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002044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86A687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535725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E6F814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6BEE07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3B75D5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C84164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257E65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12C0F5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001F215D" w14:textId="77777777" w:rsidTr="00AA372F">
        <w:trPr>
          <w:jc w:val="center"/>
        </w:trPr>
        <w:tc>
          <w:tcPr>
            <w:tcW w:w="1101" w:type="dxa"/>
            <w:shd w:val="clear" w:color="auto" w:fill="auto"/>
          </w:tcPr>
          <w:p w14:paraId="217D568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27</w:t>
            </w:r>
          </w:p>
        </w:tc>
        <w:tc>
          <w:tcPr>
            <w:tcW w:w="713" w:type="dxa"/>
            <w:shd w:val="clear" w:color="auto" w:fill="auto"/>
          </w:tcPr>
          <w:p w14:paraId="606C696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A148CC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4168970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476323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570756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65547C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0AEDF0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FAEEB8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48F828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08F23B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E5A505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9C8F52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D724B1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4B85EF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003BC37B" w14:textId="77777777" w:rsidTr="00AA372F">
        <w:trPr>
          <w:jc w:val="center"/>
        </w:trPr>
        <w:tc>
          <w:tcPr>
            <w:tcW w:w="1101" w:type="dxa"/>
            <w:shd w:val="clear" w:color="auto" w:fill="auto"/>
          </w:tcPr>
          <w:p w14:paraId="454FB02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28</w:t>
            </w:r>
          </w:p>
        </w:tc>
        <w:tc>
          <w:tcPr>
            <w:tcW w:w="713" w:type="dxa"/>
            <w:shd w:val="clear" w:color="auto" w:fill="auto"/>
          </w:tcPr>
          <w:p w14:paraId="1D25609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DF797B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5E83071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3B2DFA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03A162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F6FC66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E1A61A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520815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B0F637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8688DA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E0FE27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26FC70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533ECB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40C8AF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698926C7" w14:textId="77777777" w:rsidTr="00AA372F">
        <w:trPr>
          <w:jc w:val="center"/>
        </w:trPr>
        <w:tc>
          <w:tcPr>
            <w:tcW w:w="1101" w:type="dxa"/>
            <w:shd w:val="clear" w:color="auto" w:fill="auto"/>
          </w:tcPr>
          <w:p w14:paraId="0FC6FD6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29</w:t>
            </w:r>
          </w:p>
        </w:tc>
        <w:tc>
          <w:tcPr>
            <w:tcW w:w="713" w:type="dxa"/>
            <w:shd w:val="clear" w:color="auto" w:fill="auto"/>
          </w:tcPr>
          <w:p w14:paraId="5FF5443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5F46153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1EA82C2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4B3B4B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D284EF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E6ADB1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464989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23F97E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CB33CB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32D942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69A255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2974DC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18F969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C91341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5A5AA69B" w14:textId="77777777" w:rsidTr="00AA372F">
        <w:trPr>
          <w:jc w:val="center"/>
        </w:trPr>
        <w:tc>
          <w:tcPr>
            <w:tcW w:w="1101" w:type="dxa"/>
            <w:shd w:val="clear" w:color="auto" w:fill="auto"/>
          </w:tcPr>
          <w:p w14:paraId="4DA17CD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30</w:t>
            </w:r>
          </w:p>
        </w:tc>
        <w:tc>
          <w:tcPr>
            <w:tcW w:w="713" w:type="dxa"/>
            <w:shd w:val="clear" w:color="auto" w:fill="auto"/>
          </w:tcPr>
          <w:p w14:paraId="473EB75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4C0D6FA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A80759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D2AFBB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508671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E689B4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E19C12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D14684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2F288C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D76DBB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3D8D59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086422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9A5365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221EBA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22A7E64D" w14:textId="77777777" w:rsidTr="00AA372F">
        <w:trPr>
          <w:jc w:val="center"/>
        </w:trPr>
        <w:tc>
          <w:tcPr>
            <w:tcW w:w="1101" w:type="dxa"/>
            <w:shd w:val="clear" w:color="auto" w:fill="auto"/>
          </w:tcPr>
          <w:p w14:paraId="62B67DF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31</w:t>
            </w:r>
          </w:p>
        </w:tc>
        <w:tc>
          <w:tcPr>
            <w:tcW w:w="713" w:type="dxa"/>
            <w:shd w:val="clear" w:color="auto" w:fill="auto"/>
          </w:tcPr>
          <w:p w14:paraId="0E0A8D8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45E3202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555119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B8FD79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84FB07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431F74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BE78EF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D65955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D1E259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8959BC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E85ED7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2F4F08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9BD8C7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7C2AE5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600C3AA5" w14:textId="77777777" w:rsidTr="00AA372F">
        <w:trPr>
          <w:jc w:val="center"/>
        </w:trPr>
        <w:tc>
          <w:tcPr>
            <w:tcW w:w="1101" w:type="dxa"/>
            <w:shd w:val="clear" w:color="auto" w:fill="auto"/>
          </w:tcPr>
          <w:p w14:paraId="1E3ADA8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32</w:t>
            </w:r>
          </w:p>
        </w:tc>
        <w:tc>
          <w:tcPr>
            <w:tcW w:w="713" w:type="dxa"/>
            <w:shd w:val="clear" w:color="auto" w:fill="auto"/>
          </w:tcPr>
          <w:p w14:paraId="52DD927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1948553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06F9059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A58C5C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AA74AA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EE8358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D5A206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5992D1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0647F6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A77C83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049ACE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57A93C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A83F0D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2BA4C4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424588DF" w14:textId="77777777" w:rsidTr="00AA372F">
        <w:trPr>
          <w:jc w:val="center"/>
        </w:trPr>
        <w:tc>
          <w:tcPr>
            <w:tcW w:w="1101" w:type="dxa"/>
            <w:shd w:val="clear" w:color="auto" w:fill="auto"/>
          </w:tcPr>
          <w:p w14:paraId="5032AE6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33</w:t>
            </w:r>
          </w:p>
        </w:tc>
        <w:tc>
          <w:tcPr>
            <w:tcW w:w="713" w:type="dxa"/>
            <w:shd w:val="clear" w:color="auto" w:fill="auto"/>
          </w:tcPr>
          <w:p w14:paraId="43594C7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53D6F05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77CEBFD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1A1DE6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9DE5D8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2B7CA4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FD800C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CA1A26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FE1709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6AA0D4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4CC394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9BD51F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EFF863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BCDD3D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1F3D8435" w14:textId="77777777" w:rsidTr="00AA372F">
        <w:trPr>
          <w:jc w:val="center"/>
        </w:trPr>
        <w:tc>
          <w:tcPr>
            <w:tcW w:w="1101" w:type="dxa"/>
            <w:shd w:val="clear" w:color="auto" w:fill="auto"/>
          </w:tcPr>
          <w:p w14:paraId="00A0A6B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34</w:t>
            </w:r>
          </w:p>
        </w:tc>
        <w:tc>
          <w:tcPr>
            <w:tcW w:w="713" w:type="dxa"/>
            <w:shd w:val="clear" w:color="auto" w:fill="auto"/>
          </w:tcPr>
          <w:p w14:paraId="2E28437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59B14B0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019746B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381628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5ADB2C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3B06A8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1F474C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A2F8ED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D87A49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7C17D6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4F4EF1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38576A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2251BE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4ACAB8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56F18206" w14:textId="77777777" w:rsidTr="00AA372F">
        <w:trPr>
          <w:jc w:val="center"/>
        </w:trPr>
        <w:tc>
          <w:tcPr>
            <w:tcW w:w="1101" w:type="dxa"/>
            <w:shd w:val="clear" w:color="auto" w:fill="auto"/>
          </w:tcPr>
          <w:p w14:paraId="1605AC3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35</w:t>
            </w:r>
          </w:p>
        </w:tc>
        <w:tc>
          <w:tcPr>
            <w:tcW w:w="713" w:type="dxa"/>
            <w:shd w:val="clear" w:color="auto" w:fill="auto"/>
          </w:tcPr>
          <w:p w14:paraId="72AC6DF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5C04124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233DC40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396D82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CF00BB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FFD5AD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593E11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530405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7225BB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C26830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C7E93A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EF3C9F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99796B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77ECFA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7E3DE1F8" w14:textId="77777777" w:rsidTr="00AA372F">
        <w:trPr>
          <w:jc w:val="center"/>
        </w:trPr>
        <w:tc>
          <w:tcPr>
            <w:tcW w:w="1101" w:type="dxa"/>
            <w:shd w:val="clear" w:color="auto" w:fill="auto"/>
          </w:tcPr>
          <w:p w14:paraId="0A16154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36</w:t>
            </w:r>
          </w:p>
        </w:tc>
        <w:tc>
          <w:tcPr>
            <w:tcW w:w="713" w:type="dxa"/>
            <w:shd w:val="clear" w:color="auto" w:fill="auto"/>
          </w:tcPr>
          <w:p w14:paraId="0C3BB46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69851C0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2900F8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BAFAA1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D1D399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536BAF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FAF1AE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BA7D7D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110880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240746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DBE5BE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AD76CA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570191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87E3ED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4331CF37" w14:textId="77777777" w:rsidTr="00AA372F">
        <w:trPr>
          <w:jc w:val="center"/>
        </w:trPr>
        <w:tc>
          <w:tcPr>
            <w:tcW w:w="1101" w:type="dxa"/>
            <w:shd w:val="clear" w:color="auto" w:fill="auto"/>
          </w:tcPr>
          <w:p w14:paraId="2712F0D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37</w:t>
            </w:r>
          </w:p>
        </w:tc>
        <w:tc>
          <w:tcPr>
            <w:tcW w:w="713" w:type="dxa"/>
            <w:shd w:val="clear" w:color="auto" w:fill="auto"/>
          </w:tcPr>
          <w:p w14:paraId="1CAD300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B178B6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114BBD9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1B6300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55CC63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32D381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8CDE42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DB7B56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BB6A0C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8420DB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915EEA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970E16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A83B50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9C4EFD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2662F1EB" w14:textId="77777777" w:rsidTr="00AA372F">
        <w:trPr>
          <w:jc w:val="center"/>
        </w:trPr>
        <w:tc>
          <w:tcPr>
            <w:tcW w:w="1101" w:type="dxa"/>
            <w:shd w:val="clear" w:color="auto" w:fill="auto"/>
          </w:tcPr>
          <w:p w14:paraId="68E74F1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38</w:t>
            </w:r>
          </w:p>
        </w:tc>
        <w:tc>
          <w:tcPr>
            <w:tcW w:w="713" w:type="dxa"/>
            <w:shd w:val="clear" w:color="auto" w:fill="auto"/>
          </w:tcPr>
          <w:p w14:paraId="0CD2049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7006E98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54399D4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152D64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1F236F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433297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9C9EF7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2F4045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657573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FB9E27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93221B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344103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52F0AA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8B8D8D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2250C2C0" w14:textId="77777777" w:rsidTr="00AA372F">
        <w:trPr>
          <w:jc w:val="center"/>
        </w:trPr>
        <w:tc>
          <w:tcPr>
            <w:tcW w:w="1101" w:type="dxa"/>
            <w:shd w:val="clear" w:color="auto" w:fill="auto"/>
          </w:tcPr>
          <w:p w14:paraId="3CE780F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39</w:t>
            </w:r>
          </w:p>
        </w:tc>
        <w:tc>
          <w:tcPr>
            <w:tcW w:w="713" w:type="dxa"/>
            <w:shd w:val="clear" w:color="auto" w:fill="auto"/>
          </w:tcPr>
          <w:p w14:paraId="184C41B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408251E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628D539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2CC18E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AE3277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76E9F4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9E161D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672BF3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B1F23A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4A6D89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FCFF16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76D8A8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0687C7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37CB5A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3BCFE8BA" w14:textId="77777777" w:rsidTr="00AA372F">
        <w:trPr>
          <w:jc w:val="center"/>
        </w:trPr>
        <w:tc>
          <w:tcPr>
            <w:tcW w:w="1101" w:type="dxa"/>
            <w:shd w:val="clear" w:color="auto" w:fill="auto"/>
          </w:tcPr>
          <w:p w14:paraId="0F4BF8C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40</w:t>
            </w:r>
          </w:p>
        </w:tc>
        <w:tc>
          <w:tcPr>
            <w:tcW w:w="713" w:type="dxa"/>
            <w:shd w:val="clear" w:color="auto" w:fill="auto"/>
          </w:tcPr>
          <w:p w14:paraId="7093802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65A8F35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1D8B7AD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AF3583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48C7AA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C4AC48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B62DAD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A725BD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03A635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B01830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40B900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AA083F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AF3F33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BC5BC2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350CBC82" w14:textId="77777777" w:rsidTr="00AA372F">
        <w:trPr>
          <w:jc w:val="center"/>
        </w:trPr>
        <w:tc>
          <w:tcPr>
            <w:tcW w:w="1101" w:type="dxa"/>
            <w:shd w:val="clear" w:color="auto" w:fill="auto"/>
          </w:tcPr>
          <w:p w14:paraId="3220092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41</w:t>
            </w:r>
          </w:p>
        </w:tc>
        <w:tc>
          <w:tcPr>
            <w:tcW w:w="713" w:type="dxa"/>
            <w:shd w:val="clear" w:color="auto" w:fill="auto"/>
          </w:tcPr>
          <w:p w14:paraId="120AFD8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4AABC80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B268F8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15D5B6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5894A9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EFECB6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FCE451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73DB4B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54A81C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661C39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F98CA2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38FF54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4C1D76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B72254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64D151E6" w14:textId="77777777" w:rsidTr="00AA372F">
        <w:trPr>
          <w:jc w:val="center"/>
        </w:trPr>
        <w:tc>
          <w:tcPr>
            <w:tcW w:w="1101" w:type="dxa"/>
            <w:shd w:val="clear" w:color="auto" w:fill="auto"/>
          </w:tcPr>
          <w:p w14:paraId="44A8850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42</w:t>
            </w:r>
          </w:p>
        </w:tc>
        <w:tc>
          <w:tcPr>
            <w:tcW w:w="713" w:type="dxa"/>
            <w:shd w:val="clear" w:color="auto" w:fill="auto"/>
          </w:tcPr>
          <w:p w14:paraId="1004CB3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22F4DD1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26D37D1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A73009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8E9CEB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CACD92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E13019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A2FAFB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275582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AC4758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DDD013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284D15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C606E6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A77E67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36E9095C" w14:textId="77777777" w:rsidTr="00AA372F">
        <w:trPr>
          <w:jc w:val="center"/>
        </w:trPr>
        <w:tc>
          <w:tcPr>
            <w:tcW w:w="1101" w:type="dxa"/>
            <w:shd w:val="clear" w:color="auto" w:fill="auto"/>
          </w:tcPr>
          <w:p w14:paraId="4D3FC95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43</w:t>
            </w:r>
          </w:p>
        </w:tc>
        <w:tc>
          <w:tcPr>
            <w:tcW w:w="713" w:type="dxa"/>
            <w:shd w:val="clear" w:color="auto" w:fill="auto"/>
          </w:tcPr>
          <w:p w14:paraId="231BA77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76F4FF3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2FEF992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5D4362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92F4C9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69A1A7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0F535D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A20772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A88673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DEC847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5A2C11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FD7675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5A4BE2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C201C4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12575B1C" w14:textId="77777777" w:rsidTr="00AA372F">
        <w:trPr>
          <w:jc w:val="center"/>
        </w:trPr>
        <w:tc>
          <w:tcPr>
            <w:tcW w:w="1101" w:type="dxa"/>
            <w:shd w:val="clear" w:color="auto" w:fill="auto"/>
          </w:tcPr>
          <w:p w14:paraId="2518F22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44</w:t>
            </w:r>
          </w:p>
        </w:tc>
        <w:tc>
          <w:tcPr>
            <w:tcW w:w="713" w:type="dxa"/>
            <w:shd w:val="clear" w:color="auto" w:fill="auto"/>
          </w:tcPr>
          <w:p w14:paraId="490E92F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4F27FA0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4BB077A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BEBEF1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540AEA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D7A3B2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53D11C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2DEDBE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AA5F42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B940C2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9A21BE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B15B64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AFD91B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CCBD28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54BB217E" w14:textId="77777777" w:rsidTr="00AA372F">
        <w:trPr>
          <w:jc w:val="center"/>
        </w:trPr>
        <w:tc>
          <w:tcPr>
            <w:tcW w:w="1101" w:type="dxa"/>
            <w:shd w:val="clear" w:color="auto" w:fill="auto"/>
          </w:tcPr>
          <w:p w14:paraId="3C4EF62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45</w:t>
            </w:r>
          </w:p>
        </w:tc>
        <w:tc>
          <w:tcPr>
            <w:tcW w:w="713" w:type="dxa"/>
            <w:shd w:val="clear" w:color="auto" w:fill="auto"/>
          </w:tcPr>
          <w:p w14:paraId="3C45D36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5DCB770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61A1F6E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D89A79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4EF94D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62CCF8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022FB7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916A4C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4BC535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7D508E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2C3E59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04B402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1E9B6E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E1B348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65CCC665" w14:textId="77777777" w:rsidTr="00AA372F">
        <w:trPr>
          <w:jc w:val="center"/>
        </w:trPr>
        <w:tc>
          <w:tcPr>
            <w:tcW w:w="1101" w:type="dxa"/>
            <w:shd w:val="clear" w:color="auto" w:fill="auto"/>
          </w:tcPr>
          <w:p w14:paraId="2A00C1A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46</w:t>
            </w:r>
          </w:p>
        </w:tc>
        <w:tc>
          <w:tcPr>
            <w:tcW w:w="713" w:type="dxa"/>
            <w:shd w:val="clear" w:color="auto" w:fill="auto"/>
          </w:tcPr>
          <w:p w14:paraId="7A13010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461C75E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4CE4675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15DBD4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4329DD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4DD12C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0250F9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8D3E46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3EE275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2695B9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EEAFE1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823144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4CD795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9B4527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4A25F91A" w14:textId="77777777" w:rsidTr="00AA372F">
        <w:trPr>
          <w:jc w:val="center"/>
        </w:trPr>
        <w:tc>
          <w:tcPr>
            <w:tcW w:w="1101" w:type="dxa"/>
            <w:shd w:val="clear" w:color="auto" w:fill="auto"/>
          </w:tcPr>
          <w:p w14:paraId="7BE3F3B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47</w:t>
            </w:r>
          </w:p>
        </w:tc>
        <w:tc>
          <w:tcPr>
            <w:tcW w:w="713" w:type="dxa"/>
            <w:shd w:val="clear" w:color="auto" w:fill="auto"/>
          </w:tcPr>
          <w:p w14:paraId="730AC52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7F3AFA4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14A0792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B5443F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ABFB45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77753F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7DDE29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64A478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AA6878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1AAAB4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B78823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928CBF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D25243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4EBEE6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6203BF79" w14:textId="77777777" w:rsidTr="00AA372F">
        <w:trPr>
          <w:jc w:val="center"/>
        </w:trPr>
        <w:tc>
          <w:tcPr>
            <w:tcW w:w="1101" w:type="dxa"/>
            <w:shd w:val="clear" w:color="auto" w:fill="auto"/>
          </w:tcPr>
          <w:p w14:paraId="2DD234C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48</w:t>
            </w:r>
          </w:p>
        </w:tc>
        <w:tc>
          <w:tcPr>
            <w:tcW w:w="713" w:type="dxa"/>
            <w:shd w:val="clear" w:color="auto" w:fill="auto"/>
          </w:tcPr>
          <w:p w14:paraId="7440C54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73DD646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0F627A7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00040F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4C8ACC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19A1E5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08B090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0E75E4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7190E8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75036F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B59E30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2680F1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D18978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3795D7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0D6AEF86" w14:textId="77777777" w:rsidTr="00AA372F">
        <w:trPr>
          <w:jc w:val="center"/>
        </w:trPr>
        <w:tc>
          <w:tcPr>
            <w:tcW w:w="1101" w:type="dxa"/>
            <w:shd w:val="clear" w:color="auto" w:fill="auto"/>
          </w:tcPr>
          <w:p w14:paraId="44D580F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49</w:t>
            </w:r>
          </w:p>
        </w:tc>
        <w:tc>
          <w:tcPr>
            <w:tcW w:w="713" w:type="dxa"/>
            <w:shd w:val="clear" w:color="auto" w:fill="auto"/>
          </w:tcPr>
          <w:p w14:paraId="4DC14EC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0BF9353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727A520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9AA678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7951B54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EA4307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BE4571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1EEE67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50CA23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0B83E9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747326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1656EB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B54248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60A8A5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20C69C06" w14:textId="77777777" w:rsidTr="00AA372F">
        <w:trPr>
          <w:jc w:val="center"/>
        </w:trPr>
        <w:tc>
          <w:tcPr>
            <w:tcW w:w="1101" w:type="dxa"/>
            <w:shd w:val="clear" w:color="auto" w:fill="auto"/>
          </w:tcPr>
          <w:p w14:paraId="5A73A42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50</w:t>
            </w:r>
          </w:p>
        </w:tc>
        <w:tc>
          <w:tcPr>
            <w:tcW w:w="713" w:type="dxa"/>
            <w:shd w:val="clear" w:color="auto" w:fill="auto"/>
          </w:tcPr>
          <w:p w14:paraId="216D0FB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6FFF8A2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39641BB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08806A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D7355D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CAFC1B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DA64E7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01CD05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C70B04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A269EF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6ADD63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5FF6CA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2F6E08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5410BA4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553D48F5" w14:textId="77777777" w:rsidTr="00AA372F">
        <w:trPr>
          <w:jc w:val="center"/>
        </w:trPr>
        <w:tc>
          <w:tcPr>
            <w:tcW w:w="1101" w:type="dxa"/>
            <w:shd w:val="clear" w:color="auto" w:fill="auto"/>
          </w:tcPr>
          <w:p w14:paraId="7E5C4A1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51</w:t>
            </w:r>
          </w:p>
        </w:tc>
        <w:tc>
          <w:tcPr>
            <w:tcW w:w="713" w:type="dxa"/>
            <w:shd w:val="clear" w:color="auto" w:fill="auto"/>
          </w:tcPr>
          <w:p w14:paraId="3592A81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5646AD6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707733B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807D18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4EFD8D4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022560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704A437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C0A599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41B9BF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23C4AA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E0880F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1747981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0A1509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79E76B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7D72C82C" w14:textId="77777777" w:rsidTr="00AA372F">
        <w:trPr>
          <w:jc w:val="center"/>
        </w:trPr>
        <w:tc>
          <w:tcPr>
            <w:tcW w:w="1101" w:type="dxa"/>
            <w:shd w:val="clear" w:color="auto" w:fill="auto"/>
          </w:tcPr>
          <w:p w14:paraId="2B24D03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52</w:t>
            </w:r>
          </w:p>
        </w:tc>
        <w:tc>
          <w:tcPr>
            <w:tcW w:w="713" w:type="dxa"/>
            <w:shd w:val="clear" w:color="auto" w:fill="auto"/>
          </w:tcPr>
          <w:p w14:paraId="3E54DFC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591A345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5D57571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AB49A2A"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D8B3FC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21AC5A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81E7EF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4F908D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0D514C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698A9C4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59A8AB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4C955E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AF1E95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D92A28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727A705B" w14:textId="77777777" w:rsidTr="00AA372F">
        <w:trPr>
          <w:jc w:val="center"/>
        </w:trPr>
        <w:tc>
          <w:tcPr>
            <w:tcW w:w="1101" w:type="dxa"/>
            <w:shd w:val="clear" w:color="auto" w:fill="auto"/>
          </w:tcPr>
          <w:p w14:paraId="37762EC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53</w:t>
            </w:r>
          </w:p>
        </w:tc>
        <w:tc>
          <w:tcPr>
            <w:tcW w:w="713" w:type="dxa"/>
            <w:shd w:val="clear" w:color="auto" w:fill="auto"/>
          </w:tcPr>
          <w:p w14:paraId="4BEE613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13134BC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664FB76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B3B287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78CD68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10E6C0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1524B5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6D210E7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833CF1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69D8DD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45571FB6"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3A68623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18C63F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11E3FD5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r>
      <w:tr w:rsidR="00CA657A" w:rsidRPr="00CA657A" w14:paraId="294A259E" w14:textId="77777777" w:rsidTr="00AA372F">
        <w:trPr>
          <w:jc w:val="center"/>
        </w:trPr>
        <w:tc>
          <w:tcPr>
            <w:tcW w:w="1101" w:type="dxa"/>
            <w:shd w:val="clear" w:color="auto" w:fill="auto"/>
          </w:tcPr>
          <w:p w14:paraId="5E354207"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54</w:t>
            </w:r>
          </w:p>
        </w:tc>
        <w:tc>
          <w:tcPr>
            <w:tcW w:w="713" w:type="dxa"/>
            <w:shd w:val="clear" w:color="auto" w:fill="auto"/>
          </w:tcPr>
          <w:p w14:paraId="3C32E0D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06E8208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71" w:type="dxa"/>
            <w:shd w:val="clear" w:color="auto" w:fill="auto"/>
          </w:tcPr>
          <w:p w14:paraId="12338F2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F080EB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329F8E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0C3F392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708112B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2B8E0FC"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99BF4F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5F129F1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686F42D9"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0F646FD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1B22C83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2066F823"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r>
      <w:tr w:rsidR="00CA657A" w:rsidRPr="00CA657A" w14:paraId="1E6801D2" w14:textId="77777777" w:rsidTr="00AA372F">
        <w:trPr>
          <w:jc w:val="center"/>
        </w:trPr>
        <w:tc>
          <w:tcPr>
            <w:tcW w:w="1101" w:type="dxa"/>
            <w:shd w:val="clear" w:color="auto" w:fill="auto"/>
          </w:tcPr>
          <w:p w14:paraId="1C91DC2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55</w:t>
            </w:r>
          </w:p>
        </w:tc>
        <w:tc>
          <w:tcPr>
            <w:tcW w:w="713" w:type="dxa"/>
            <w:shd w:val="clear" w:color="auto" w:fill="auto"/>
          </w:tcPr>
          <w:p w14:paraId="22B71E5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661360C5"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71" w:type="dxa"/>
            <w:shd w:val="clear" w:color="auto" w:fill="auto"/>
          </w:tcPr>
          <w:p w14:paraId="107440C2"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6E5082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2B758F9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F</w:t>
            </w:r>
          </w:p>
        </w:tc>
        <w:tc>
          <w:tcPr>
            <w:tcW w:w="569" w:type="dxa"/>
            <w:shd w:val="clear" w:color="auto" w:fill="auto"/>
          </w:tcPr>
          <w:p w14:paraId="58115C4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2D0E0F3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0F6BBC9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U</w:t>
            </w:r>
          </w:p>
        </w:tc>
        <w:tc>
          <w:tcPr>
            <w:tcW w:w="569" w:type="dxa"/>
            <w:shd w:val="clear" w:color="auto" w:fill="auto"/>
          </w:tcPr>
          <w:p w14:paraId="332F3C2F"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624A18E"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6568D3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1736B04"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33DD469B"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c>
          <w:tcPr>
            <w:tcW w:w="569" w:type="dxa"/>
            <w:shd w:val="clear" w:color="auto" w:fill="auto"/>
          </w:tcPr>
          <w:p w14:paraId="4AEA6D18"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D</w:t>
            </w:r>
          </w:p>
        </w:tc>
      </w:tr>
      <w:tr w:rsidR="00CA657A" w:rsidRPr="00CA657A" w14:paraId="45597309" w14:textId="77777777" w:rsidTr="00AA372F">
        <w:trPr>
          <w:jc w:val="center"/>
        </w:trPr>
        <w:tc>
          <w:tcPr>
            <w:tcW w:w="1101" w:type="dxa"/>
            <w:shd w:val="clear" w:color="auto" w:fill="auto"/>
          </w:tcPr>
          <w:p w14:paraId="171A8F70"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 xml:space="preserve">56 – 254 </w:t>
            </w:r>
          </w:p>
        </w:tc>
        <w:tc>
          <w:tcPr>
            <w:tcW w:w="8114" w:type="dxa"/>
            <w:gridSpan w:val="14"/>
            <w:shd w:val="clear" w:color="auto" w:fill="auto"/>
            <w:vAlign w:val="center"/>
          </w:tcPr>
          <w:p w14:paraId="70FD6D5D"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Reserved</w:t>
            </w:r>
          </w:p>
        </w:tc>
      </w:tr>
      <w:tr w:rsidR="00CA657A" w:rsidRPr="00CA657A" w14:paraId="7EAE98E9" w14:textId="77777777" w:rsidTr="00AA372F">
        <w:trPr>
          <w:jc w:val="center"/>
        </w:trPr>
        <w:tc>
          <w:tcPr>
            <w:tcW w:w="1101" w:type="dxa"/>
            <w:shd w:val="clear" w:color="auto" w:fill="auto"/>
            <w:vAlign w:val="center"/>
          </w:tcPr>
          <w:p w14:paraId="139EE9A1" w14:textId="77777777" w:rsidR="00CA657A" w:rsidRPr="00CA657A" w:rsidRDefault="00CA657A" w:rsidP="00CA657A">
            <w:pPr>
              <w:keepNext/>
              <w:keepLines/>
              <w:spacing w:after="0"/>
              <w:jc w:val="center"/>
              <w:rPr>
                <w:rFonts w:ascii="Arial" w:eastAsia="Batang" w:hAnsi="Arial"/>
                <w:sz w:val="18"/>
              </w:rPr>
            </w:pPr>
            <w:r w:rsidRPr="00CA657A">
              <w:rPr>
                <w:rFonts w:ascii="Arial" w:eastAsia="Batang" w:hAnsi="Arial"/>
                <w:sz w:val="18"/>
              </w:rPr>
              <w:t>255</w:t>
            </w:r>
          </w:p>
        </w:tc>
        <w:tc>
          <w:tcPr>
            <w:tcW w:w="8114" w:type="dxa"/>
            <w:gridSpan w:val="14"/>
            <w:shd w:val="clear" w:color="auto" w:fill="auto"/>
            <w:vAlign w:val="center"/>
          </w:tcPr>
          <w:p w14:paraId="5275724B" w14:textId="77777777" w:rsidR="00CA657A" w:rsidRPr="00CA657A" w:rsidRDefault="00CA657A" w:rsidP="00233D58">
            <w:pPr>
              <w:keepNext/>
              <w:keepLines/>
              <w:spacing w:after="0"/>
              <w:jc w:val="center"/>
              <w:rPr>
                <w:rFonts w:ascii="Arial" w:eastAsia="Batang" w:hAnsi="Arial"/>
                <w:sz w:val="18"/>
              </w:rPr>
            </w:pPr>
            <w:r w:rsidRPr="00CA657A">
              <w:rPr>
                <w:rFonts w:ascii="Arial" w:eastAsia="Batang" w:hAnsi="Arial"/>
                <w:sz w:val="18"/>
              </w:rPr>
              <w:t xml:space="preserve">UE determines the slot format for the slot based on </w:t>
            </w:r>
            <w:r w:rsidR="00F626A5">
              <w:rPr>
                <w:rFonts w:ascii="Arial" w:hAnsi="Arial"/>
                <w:i/>
                <w:sz w:val="18"/>
                <w:lang w:val="en-US"/>
              </w:rPr>
              <w:t>tdd</w:t>
            </w:r>
            <w:r w:rsidRPr="00CA657A">
              <w:rPr>
                <w:rFonts w:ascii="Arial" w:hAnsi="Arial"/>
                <w:i/>
                <w:sz w:val="18"/>
                <w:lang w:val="en-US"/>
              </w:rPr>
              <w:t>-</w:t>
            </w:r>
            <w:r w:rsidRPr="00CA657A">
              <w:rPr>
                <w:rFonts w:ascii="Arial" w:hAnsi="Arial"/>
                <w:i/>
                <w:sz w:val="18"/>
              </w:rPr>
              <w:t>UL-DL-</w:t>
            </w:r>
            <w:r w:rsidRPr="00CA657A">
              <w:rPr>
                <w:rFonts w:ascii="Arial" w:hAnsi="Arial"/>
                <w:i/>
                <w:sz w:val="18"/>
                <w:lang w:val="en-US"/>
              </w:rPr>
              <w:t>ConfigurationCommon</w:t>
            </w:r>
            <w:r w:rsidRPr="00CA657A">
              <w:rPr>
                <w:rFonts w:ascii="Arial" w:hAnsi="Arial"/>
                <w:sz w:val="18"/>
                <w:lang w:val="en-US"/>
              </w:rPr>
              <w:t xml:space="preserve">, or </w:t>
            </w:r>
            <w:r w:rsidR="00F626A5">
              <w:rPr>
                <w:rFonts w:ascii="Arial" w:hAnsi="Arial"/>
                <w:i/>
                <w:sz w:val="18"/>
                <w:lang w:val="en-US"/>
              </w:rPr>
              <w:t>tdd</w:t>
            </w:r>
            <w:r w:rsidRPr="00CA657A">
              <w:rPr>
                <w:rFonts w:ascii="Arial" w:hAnsi="Arial"/>
                <w:i/>
                <w:sz w:val="18"/>
                <w:lang w:val="en-US"/>
              </w:rPr>
              <w:t>-</w:t>
            </w:r>
            <w:r w:rsidRPr="00CA657A">
              <w:rPr>
                <w:rFonts w:ascii="Arial" w:hAnsi="Arial"/>
                <w:i/>
                <w:sz w:val="18"/>
              </w:rPr>
              <w:t>UL-DL-</w:t>
            </w:r>
            <w:r w:rsidRPr="00CA657A">
              <w:rPr>
                <w:rFonts w:ascii="Arial" w:hAnsi="Arial"/>
                <w:i/>
                <w:sz w:val="18"/>
                <w:lang w:val="en-US"/>
              </w:rPr>
              <w:t>C</w:t>
            </w:r>
            <w:r w:rsidRPr="00CA657A">
              <w:rPr>
                <w:rFonts w:ascii="Arial" w:hAnsi="Arial"/>
                <w:i/>
                <w:sz w:val="18"/>
              </w:rPr>
              <w:t>onfig</w:t>
            </w:r>
            <w:r w:rsidR="00F626A5">
              <w:rPr>
                <w:rFonts w:ascii="Arial" w:hAnsi="Arial"/>
                <w:i/>
                <w:sz w:val="18"/>
              </w:rPr>
              <w:t>uration</w:t>
            </w:r>
            <w:r w:rsidRPr="00CA657A">
              <w:rPr>
                <w:rFonts w:ascii="Arial" w:hAnsi="Arial"/>
                <w:i/>
                <w:sz w:val="18"/>
                <w:lang w:val="en-US"/>
              </w:rPr>
              <w:t>D</w:t>
            </w:r>
            <w:r w:rsidRPr="00CA657A">
              <w:rPr>
                <w:rFonts w:ascii="Arial" w:hAnsi="Arial"/>
                <w:i/>
                <w:sz w:val="18"/>
              </w:rPr>
              <w:t>edicated</w:t>
            </w:r>
            <w:r w:rsidRPr="00CA657A">
              <w:rPr>
                <w:rFonts w:ascii="Arial" w:hAnsi="Arial"/>
                <w:sz w:val="18"/>
              </w:rPr>
              <w:t xml:space="preserve"> and, if any, on detected DCI formats</w:t>
            </w:r>
          </w:p>
        </w:tc>
      </w:tr>
    </w:tbl>
    <w:p w14:paraId="0B2D118B" w14:textId="77777777" w:rsidR="00CA657A" w:rsidRPr="00CA657A" w:rsidRDefault="00CA657A" w:rsidP="00CA657A">
      <w:pPr>
        <w:rPr>
          <w:lang w:eastAsia="ja-JP"/>
        </w:rPr>
      </w:pPr>
    </w:p>
    <w:p w14:paraId="6A69FAE4" w14:textId="77777777" w:rsidR="00A16711" w:rsidRPr="00F210EC" w:rsidRDefault="00A16711" w:rsidP="00A16711">
      <w:pPr>
        <w:rPr>
          <w:lang w:val="en-US"/>
        </w:rPr>
      </w:pPr>
      <w:r w:rsidRPr="002F14DE">
        <w:rPr>
          <w:lang w:eastAsia="ja-JP"/>
        </w:rPr>
        <w:lastRenderedPageBreak/>
        <w:t>For unpaired spectrum operation</w:t>
      </w:r>
      <w:r w:rsidRPr="002F14DE">
        <w:rPr>
          <w:lang w:val="en-US" w:eastAsia="zh-CN"/>
        </w:rPr>
        <w:t xml:space="preserve"> </w:t>
      </w:r>
      <w:r>
        <w:rPr>
          <w:lang w:val="en-US" w:eastAsia="zh-CN"/>
        </w:rPr>
        <w:t xml:space="preserve">for a UE </w:t>
      </w:r>
      <w:r w:rsidRPr="002F14DE">
        <w:rPr>
          <w:lang w:val="en-US" w:eastAsia="zh-CN"/>
        </w:rPr>
        <w:t xml:space="preserve">on a serving cell, </w:t>
      </w:r>
      <w:r>
        <w:rPr>
          <w:lang w:val="en-US" w:eastAsia="zh-CN"/>
        </w:rPr>
        <w:t>the</w:t>
      </w:r>
      <w:r w:rsidRPr="002F14DE">
        <w:rPr>
          <w:lang w:val="en-US" w:eastAsia="zh-CN"/>
        </w:rPr>
        <w:t xml:space="preserve"> UE is provided by </w:t>
      </w:r>
      <w:r w:rsidRPr="00F65444">
        <w:rPr>
          <w:i/>
        </w:rPr>
        <w:t>subcarrierSpacing</w:t>
      </w:r>
      <w:r w:rsidRPr="002F14DE">
        <w:rPr>
          <w:lang w:val="en-US" w:eastAsia="zh-CN"/>
        </w:rPr>
        <w:t xml:space="preserve"> a reference </w:t>
      </w:r>
      <w:r>
        <w:rPr>
          <w:lang w:val="en-US" w:eastAsia="zh-CN"/>
        </w:rPr>
        <w:t>SCS</w:t>
      </w:r>
      <w:r w:rsidRPr="002F14DE">
        <w:rPr>
          <w:lang w:val="en-US" w:eastAsia="zh-CN"/>
        </w:rPr>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oMath>
      <w:r w:rsidRPr="002F14DE">
        <w:rPr>
          <w:lang w:val="en-US"/>
        </w:rPr>
        <w:t xml:space="preserve"> </w:t>
      </w:r>
      <w:r w:rsidRPr="002F14DE">
        <w:rPr>
          <w:lang w:val="en-US" w:eastAsia="zh-CN"/>
        </w:rPr>
        <w:t>for each slot format in a combination of slot formats indicated by a</w:t>
      </w:r>
      <w:r>
        <w:rPr>
          <w:lang w:val="en-US" w:eastAsia="zh-CN"/>
        </w:rPr>
        <w:t>n</w:t>
      </w:r>
      <w:r w:rsidRPr="002F14DE">
        <w:rPr>
          <w:lang w:val="en-US" w:eastAsia="zh-CN"/>
        </w:rPr>
        <w:t xml:space="preserve"> SFI-index field </w:t>
      </w:r>
      <w:r>
        <w:rPr>
          <w:lang w:val="en-US" w:eastAsia="zh-CN"/>
        </w:rPr>
        <w:t xml:space="preserve">value </w:t>
      </w:r>
      <w:r w:rsidRPr="002F14DE">
        <w:rPr>
          <w:lang w:val="en-US" w:eastAsia="zh-CN"/>
        </w:rPr>
        <w:t xml:space="preserve">in DCI format 2_0. </w:t>
      </w:r>
      <w:r>
        <w:rPr>
          <w:lang w:val="en-US" w:eastAsia="zh-CN"/>
        </w:rPr>
        <w:t>The</w:t>
      </w:r>
      <w:r w:rsidRPr="002F14DE">
        <w:rPr>
          <w:lang w:val="en-US" w:eastAsia="zh-CN"/>
        </w:rPr>
        <w:t xml:space="preserve"> UE expect</w:t>
      </w:r>
      <w:r>
        <w:rPr>
          <w:lang w:val="en-US" w:eastAsia="zh-CN"/>
        </w:rPr>
        <w:t>s that for a</w:t>
      </w:r>
      <w:r w:rsidRPr="002F14DE">
        <w:rPr>
          <w:lang w:val="en-US" w:eastAsia="zh-CN"/>
        </w:rPr>
        <w:t xml:space="preserve"> reference </w:t>
      </w:r>
      <w:r>
        <w:rPr>
          <w:lang w:val="en-US" w:eastAsia="zh-CN"/>
        </w:rPr>
        <w:t>SCS</w:t>
      </w:r>
      <w:r w:rsidRPr="002F14DE">
        <w:rPr>
          <w:lang w:val="en-US" w:eastAsia="zh-CN"/>
        </w:rPr>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oMath>
      <w:r w:rsidRPr="002F14DE">
        <w:rPr>
          <w:lang w:val="en-US"/>
        </w:rPr>
        <w:t xml:space="preserve"> </w:t>
      </w:r>
      <w:r>
        <w:rPr>
          <w:lang w:val="en-US"/>
        </w:rPr>
        <w:t>and</w:t>
      </w:r>
      <w:r w:rsidRPr="002F14DE">
        <w:rPr>
          <w:lang w:val="en-US"/>
        </w:rPr>
        <w:t xml:space="preserve"> for an active</w:t>
      </w:r>
      <w:r w:rsidRPr="002F14DE">
        <w:rPr>
          <w:lang w:val="en-US" w:eastAsia="zh-CN"/>
        </w:rPr>
        <w:t xml:space="preserve"> DL BWP </w:t>
      </w:r>
      <w:r>
        <w:rPr>
          <w:lang w:val="en-US" w:eastAsia="zh-CN"/>
        </w:rPr>
        <w:t>or an active</w:t>
      </w:r>
      <w:r w:rsidRPr="002F14DE">
        <w:rPr>
          <w:lang w:val="en-US" w:eastAsia="zh-CN"/>
        </w:rPr>
        <w:t xml:space="preserve"> UL BWP with </w:t>
      </w:r>
      <w:r>
        <w:rPr>
          <w:lang w:val="en-US" w:eastAsia="zh-CN"/>
        </w:rPr>
        <w:t>SCS</w:t>
      </w:r>
      <w:r w:rsidRPr="002F14DE">
        <w:rPr>
          <w:lang w:val="en-US" w:eastAsia="zh-CN"/>
        </w:rPr>
        <w:t xml:space="preserve"> configuration </w:t>
      </w:r>
      <m:oMath>
        <m:r>
          <w:rPr>
            <w:rFonts w:ascii="Cambria Math" w:hAnsi="Cambria Math"/>
            <w:lang w:val="en-US" w:eastAsia="zh-CN"/>
          </w:rPr>
          <m:t>μ</m:t>
        </m:r>
      </m:oMath>
      <w:r w:rsidRPr="002F14DE">
        <w:rPr>
          <w:lang w:val="en-US"/>
        </w:rPr>
        <w:t xml:space="preserve">, it </w:t>
      </w:r>
      <w:r w:rsidRPr="002F14DE">
        <w:rPr>
          <w:lang w:val="en-US" w:eastAsia="zh-CN"/>
        </w:rPr>
        <w:t xml:space="preserve">is </w:t>
      </w:r>
      <m:oMath>
        <m:r>
          <w:rPr>
            <w:rFonts w:ascii="Cambria Math" w:hAnsi="Cambria Math"/>
            <w:lang w:val="en-US" w:eastAsia="zh-CN"/>
          </w:rPr>
          <m:t>μ≥</m:t>
        </m:r>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oMath>
      <w:r w:rsidRPr="002F14DE">
        <w:rPr>
          <w:lang w:val="en-US" w:eastAsia="zh-CN"/>
        </w:rPr>
        <w:t>. Each slot format in the combination of slot formats indicated by the SFI-index field</w:t>
      </w:r>
      <w:r w:rsidRPr="00157137">
        <w:rPr>
          <w:lang w:val="en-US" w:eastAsia="zh-CN"/>
        </w:rPr>
        <w:t xml:space="preserve"> </w:t>
      </w:r>
      <w:r>
        <w:rPr>
          <w:lang w:val="en-US" w:eastAsia="zh-CN"/>
        </w:rPr>
        <w:t>value</w:t>
      </w:r>
      <w:r w:rsidRPr="002F14DE">
        <w:rPr>
          <w:lang w:val="en-US" w:eastAsia="zh-CN"/>
        </w:rPr>
        <w:t xml:space="preserve"> in DCI format 2_0 is applicable to </w:t>
      </w:r>
      <m:oMath>
        <m:sSup>
          <m:sSupPr>
            <m:ctrlPr>
              <w:rPr>
                <w:rFonts w:ascii="Cambria Math" w:hAnsi="Cambria Math"/>
                <w:i/>
                <w:lang w:val="en-US" w:eastAsia="zh-CN"/>
              </w:rPr>
            </m:ctrlPr>
          </m:sSupPr>
          <m:e>
            <m:r>
              <w:rPr>
                <w:rFonts w:ascii="Cambria Math" w:hAnsi="Cambria Math"/>
                <w:lang w:val="en-US" w:eastAsia="zh-CN"/>
              </w:rPr>
              <m:t>2</m:t>
            </m:r>
          </m:e>
          <m:sup>
            <m:d>
              <m:dPr>
                <m:ctrlPr>
                  <w:rPr>
                    <w:rFonts w:ascii="Cambria Math" w:hAnsi="Cambria Math"/>
                    <w:i/>
                    <w:lang w:val="en-US" w:eastAsia="zh-CN"/>
                  </w:rPr>
                </m:ctrlPr>
              </m:dPr>
              <m:e>
                <m:r>
                  <w:rPr>
                    <w:rFonts w:ascii="Cambria Math" w:hAnsi="Cambria Math"/>
                    <w:lang w:val="en-US" w:eastAsia="zh-CN"/>
                  </w:rPr>
                  <m:t>μ-</m:t>
                </m:r>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e>
            </m:d>
          </m:sup>
        </m:sSup>
      </m:oMath>
      <w:r w:rsidRPr="002F14DE">
        <w:rPr>
          <w:lang w:val="en-US"/>
        </w:rPr>
        <w:t xml:space="preserve"> consecutive slots in the active DL BWP </w:t>
      </w:r>
      <w:r>
        <w:rPr>
          <w:lang w:val="en-US"/>
        </w:rPr>
        <w:t>or the active</w:t>
      </w:r>
      <w:r w:rsidRPr="002F14DE">
        <w:rPr>
          <w:lang w:val="en-US"/>
        </w:rPr>
        <w:t xml:space="preserve"> UL BWP where the first slot starts at a same time as a first slot for the reference </w:t>
      </w:r>
      <w:r>
        <w:rPr>
          <w:lang w:val="en-US"/>
        </w:rPr>
        <w:t>SCS</w:t>
      </w:r>
      <w:r w:rsidRPr="002F14DE">
        <w:rPr>
          <w:lang w:val="en-US"/>
        </w:rPr>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oMath>
      <w:r>
        <w:rPr>
          <w:lang w:val="en-US"/>
        </w:rPr>
        <w:t xml:space="preserve"> </w:t>
      </w:r>
      <w:r w:rsidRPr="00F210EC">
        <w:t xml:space="preserve">and each downlink or flexible or uplink symbol for the reference </w:t>
      </w:r>
      <w:r>
        <w:t>SCS</w:t>
      </w:r>
      <w:r w:rsidRPr="00F210EC">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oMath>
      <w:r w:rsidRPr="00F210EC">
        <w:t xml:space="preserve"> corresponds to </w:t>
      </w:r>
      <w:r>
        <w:rPr>
          <w:noProof/>
          <w:position w:val="-4"/>
        </w:rPr>
        <w:drawing>
          <wp:inline distT="0" distB="0" distL="0" distR="0" wp14:anchorId="15C015CE" wp14:editId="05113856">
            <wp:extent cx="457200" cy="180975"/>
            <wp:effectExtent l="0" t="0" r="0" b="9525"/>
            <wp:docPr id="1810" name="Picture 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457200" cy="180975"/>
                    </a:xfrm>
                    <a:prstGeom prst="rect">
                      <a:avLst/>
                    </a:prstGeom>
                    <a:noFill/>
                    <a:ln>
                      <a:noFill/>
                    </a:ln>
                  </pic:spPr>
                </pic:pic>
              </a:graphicData>
            </a:graphic>
          </wp:inline>
        </w:drawing>
      </w:r>
      <w:r w:rsidRPr="00F210EC">
        <w:t xml:space="preserve"> consecutive downlink or flexible or uplink symbols for the </w:t>
      </w:r>
      <w:r>
        <w:t>SCS</w:t>
      </w:r>
      <w:r w:rsidRPr="00F210EC">
        <w:t xml:space="preserve"> configuration </w:t>
      </w:r>
      <m:oMath>
        <m:r>
          <w:rPr>
            <w:rFonts w:ascii="Cambria Math" w:hAnsi="Cambria Math"/>
            <w:lang w:val="en-US" w:eastAsia="zh-CN"/>
          </w:rPr>
          <m:t>μ</m:t>
        </m:r>
      </m:oMath>
      <w:r w:rsidRPr="00F210EC">
        <w:rPr>
          <w:lang w:val="en-US"/>
        </w:rPr>
        <w:t>.</w:t>
      </w:r>
      <w:r>
        <w:rPr>
          <w:lang w:val="en-US"/>
        </w:rPr>
        <w:t xml:space="preserve"> </w:t>
      </w:r>
    </w:p>
    <w:p w14:paraId="7ECAEF9D" w14:textId="77777777" w:rsidR="00A16711" w:rsidRPr="00494A77" w:rsidRDefault="00A16711" w:rsidP="00A16711">
      <w:pPr>
        <w:rPr>
          <w:lang w:val="en-US"/>
        </w:rPr>
      </w:pPr>
      <w:r w:rsidRPr="00F210EC">
        <w:rPr>
          <w:lang w:val="en-US" w:eastAsia="zh-CN"/>
        </w:rPr>
        <w:t xml:space="preserve">For paired spectrum operation for a UE on a serving cell, the SFI-index field in DCI format 2_0 indicates a combination of slot formats that includes a </w:t>
      </w:r>
      <w:r w:rsidRPr="00494A77">
        <w:rPr>
          <w:lang w:val="en-US" w:eastAsia="zh-CN"/>
        </w:rPr>
        <w:t>combination of slot formats</w:t>
      </w:r>
      <w:r w:rsidRPr="002176E5">
        <w:rPr>
          <w:lang w:val="en-US" w:eastAsia="zh-CN"/>
        </w:rPr>
        <w:t xml:space="preserve"> for a</w:t>
      </w:r>
      <w:r w:rsidRPr="007932F1">
        <w:rPr>
          <w:lang w:val="en-US" w:eastAsia="zh-CN"/>
        </w:rPr>
        <w:t xml:space="preserve"> </w:t>
      </w:r>
      <w:r w:rsidRPr="00697DDD">
        <w:rPr>
          <w:lang w:val="en-US" w:eastAsia="zh-CN"/>
        </w:rPr>
        <w:t xml:space="preserve">reference </w:t>
      </w:r>
      <w:r w:rsidRPr="0080392F">
        <w:rPr>
          <w:lang w:val="en-US" w:eastAsia="zh-CN"/>
        </w:rPr>
        <w:t xml:space="preserve">DL BWP and a combination of slot formats for a reference UL BWP of the serving cell. The UE is provided by </w:t>
      </w:r>
      <w:r w:rsidRPr="00F65444">
        <w:rPr>
          <w:i/>
        </w:rPr>
        <w:t>subcarrierSpacing</w:t>
      </w:r>
      <w:r w:rsidRPr="0080392F">
        <w:rPr>
          <w:lang w:val="en-US" w:eastAsia="zh-CN"/>
        </w:rPr>
        <w:t xml:space="preserve"> a reference </w:t>
      </w:r>
      <w:r>
        <w:rPr>
          <w:lang w:val="en-US" w:eastAsia="zh-CN"/>
        </w:rPr>
        <w:t>SCS</w:t>
      </w:r>
      <w:r w:rsidRPr="0080392F">
        <w:rPr>
          <w:lang w:val="en-US" w:eastAsia="zh-CN"/>
        </w:rPr>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SFI,DL</m:t>
            </m:r>
          </m:sub>
        </m:sSub>
      </m:oMath>
      <w:r w:rsidRPr="00494A77">
        <w:rPr>
          <w:lang w:val="en-US"/>
        </w:rPr>
        <w:t xml:space="preserve"> </w:t>
      </w:r>
      <w:r w:rsidRPr="00494A77">
        <w:rPr>
          <w:lang w:val="en-US" w:eastAsia="zh-CN"/>
        </w:rPr>
        <w:t xml:space="preserve">for </w:t>
      </w:r>
      <w:r w:rsidRPr="002176E5">
        <w:rPr>
          <w:lang w:val="en-US" w:eastAsia="zh-CN"/>
        </w:rPr>
        <w:t>the combination of slot format</w:t>
      </w:r>
      <w:r w:rsidRPr="007932F1">
        <w:rPr>
          <w:lang w:val="en-US" w:eastAsia="zh-CN"/>
        </w:rPr>
        <w:t>s</w:t>
      </w:r>
      <w:r w:rsidRPr="00697DDD">
        <w:rPr>
          <w:lang w:val="en-US" w:eastAsia="zh-CN"/>
        </w:rPr>
        <w:t xml:space="preserve"> </w:t>
      </w:r>
      <w:r w:rsidRPr="0080392F">
        <w:rPr>
          <w:lang w:val="en-US" w:eastAsia="zh-CN"/>
        </w:rPr>
        <w:t>indicated by the SFI-index field</w:t>
      </w:r>
      <w:r>
        <w:rPr>
          <w:lang w:val="en-US" w:eastAsia="zh-CN"/>
        </w:rPr>
        <w:t xml:space="preserve"> value</w:t>
      </w:r>
      <w:r w:rsidRPr="0080392F">
        <w:rPr>
          <w:lang w:val="en-US" w:eastAsia="zh-CN"/>
        </w:rPr>
        <w:t xml:space="preserve"> in DCI format 2_0 for the reference DL BWP of the serving cell. The UE is provided by </w:t>
      </w:r>
      <w:r w:rsidRPr="00F65444">
        <w:rPr>
          <w:i/>
        </w:rPr>
        <w:t>subcarrierSpacing</w:t>
      </w:r>
      <w:r>
        <w:rPr>
          <w:i/>
        </w:rPr>
        <w:t>2</w:t>
      </w:r>
      <w:r w:rsidRPr="0080392F">
        <w:rPr>
          <w:lang w:val="en-US" w:eastAsia="zh-CN"/>
        </w:rPr>
        <w:t xml:space="preserve"> a reference </w:t>
      </w:r>
      <w:r>
        <w:rPr>
          <w:lang w:val="en-US" w:eastAsia="zh-CN"/>
        </w:rPr>
        <w:t>SCS</w:t>
      </w:r>
      <w:r w:rsidRPr="0080392F">
        <w:rPr>
          <w:lang w:val="en-US" w:eastAsia="zh-CN"/>
        </w:rPr>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SFI,UL</m:t>
            </m:r>
          </m:sub>
        </m:sSub>
      </m:oMath>
      <w:r w:rsidRPr="00494A77">
        <w:rPr>
          <w:lang w:val="en-US"/>
        </w:rPr>
        <w:t xml:space="preserve"> </w:t>
      </w:r>
      <w:r w:rsidRPr="00494A77">
        <w:rPr>
          <w:lang w:val="en-US" w:eastAsia="zh-CN"/>
        </w:rPr>
        <w:t>for the</w:t>
      </w:r>
      <w:r w:rsidRPr="002176E5">
        <w:rPr>
          <w:lang w:val="en-US" w:eastAsia="zh-CN"/>
        </w:rPr>
        <w:t xml:space="preserve"> combination of slot format</w:t>
      </w:r>
      <w:r w:rsidRPr="007932F1">
        <w:rPr>
          <w:lang w:val="en-US" w:eastAsia="zh-CN"/>
        </w:rPr>
        <w:t>s</w:t>
      </w:r>
      <w:r w:rsidRPr="00697DDD">
        <w:rPr>
          <w:lang w:val="en-US" w:eastAsia="zh-CN"/>
        </w:rPr>
        <w:t xml:space="preserve"> indic</w:t>
      </w:r>
      <w:r w:rsidRPr="0080392F">
        <w:rPr>
          <w:lang w:val="en-US" w:eastAsia="zh-CN"/>
        </w:rPr>
        <w:t>ated by the SFI-index field</w:t>
      </w:r>
      <w:r>
        <w:rPr>
          <w:lang w:val="en-US" w:eastAsia="zh-CN"/>
        </w:rPr>
        <w:t xml:space="preserve"> value</w:t>
      </w:r>
      <w:r w:rsidRPr="0080392F">
        <w:rPr>
          <w:lang w:val="en-US" w:eastAsia="zh-CN"/>
        </w:rPr>
        <w:t xml:space="preserve"> in DCI format 2_0 for the reference UL BWP of the serving cell. If </w:t>
      </w:r>
      <m:oMath>
        <m:sSub>
          <m:sSubPr>
            <m:ctrlPr>
              <w:rPr>
                <w:rFonts w:ascii="Cambria Math" w:hAnsi="Cambria Math"/>
                <w:i/>
              </w:rPr>
            </m:ctrlPr>
          </m:sSubPr>
          <m:e>
            <m:r>
              <w:rPr>
                <w:rFonts w:ascii="Cambria Math" w:hAnsi="Cambria Math"/>
              </w:rPr>
              <m:t>μ</m:t>
            </m:r>
          </m:e>
          <m:sub>
            <m:r>
              <m:rPr>
                <m:sty m:val="p"/>
              </m:rPr>
              <w:rPr>
                <w:rFonts w:ascii="Cambria Math" w:hAnsi="Cambria Math"/>
              </w:rPr>
              <m:t>SFI,DL</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SFI,UL</m:t>
            </m:r>
          </m:sub>
        </m:sSub>
      </m:oMath>
      <w:r>
        <w:rPr>
          <w:lang w:val="en-US"/>
        </w:rPr>
        <w:t xml:space="preserve"> and for each </w:t>
      </w:r>
      <m:oMath>
        <m:sSup>
          <m:sSupPr>
            <m:ctrlPr>
              <w:rPr>
                <w:rFonts w:ascii="Cambria Math" w:hAnsi="Cambria Math"/>
                <w:i/>
                <w:lang w:val="en-US" w:eastAsia="zh-CN"/>
              </w:rPr>
            </m:ctrlPr>
          </m:sSupPr>
          <m:e>
            <m:r>
              <w:rPr>
                <w:rFonts w:ascii="Cambria Math" w:hAnsi="Cambria Math"/>
                <w:lang w:val="en-US" w:eastAsia="zh-CN"/>
              </w:rPr>
              <m:t>2</m:t>
            </m:r>
          </m:e>
          <m:sup>
            <m:d>
              <m:dPr>
                <m:ctrlPr>
                  <w:rPr>
                    <w:rFonts w:ascii="Cambria Math" w:hAnsi="Cambria Math"/>
                    <w:i/>
                    <w:lang w:val="en-US" w:eastAsia="zh-CN"/>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SFI,DL</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SFI,UL</m:t>
                    </m:r>
                  </m:sub>
                </m:sSub>
              </m:e>
            </m:d>
          </m:sup>
        </m:sSup>
        <m:r>
          <w:rPr>
            <w:rFonts w:ascii="Cambria Math" w:hAnsi="Cambria Math"/>
            <w:lang w:val="en-US" w:eastAsia="zh-CN"/>
          </w:rPr>
          <m:t>+1</m:t>
        </m:r>
      </m:oMath>
      <w:r>
        <w:rPr>
          <w:lang w:val="en-US"/>
        </w:rPr>
        <w:t xml:space="preserve"> values provided by a value of </w:t>
      </w:r>
      <w:r>
        <w:rPr>
          <w:i/>
        </w:rPr>
        <w:t>s</w:t>
      </w:r>
      <w:r w:rsidRPr="00F63203">
        <w:rPr>
          <w:i/>
        </w:rPr>
        <w:t>lotFormat</w:t>
      </w:r>
      <w:r>
        <w:rPr>
          <w:i/>
        </w:rPr>
        <w:t>s</w:t>
      </w:r>
      <w:r>
        <w:t xml:space="preserve">, where the value of </w:t>
      </w:r>
      <w:r>
        <w:rPr>
          <w:i/>
        </w:rPr>
        <w:t>s</w:t>
      </w:r>
      <w:r w:rsidRPr="00F63203">
        <w:rPr>
          <w:i/>
        </w:rPr>
        <w:t>lotFormat</w:t>
      </w:r>
      <w:r>
        <w:rPr>
          <w:i/>
        </w:rPr>
        <w:t>s</w:t>
      </w:r>
      <w:r>
        <w:t xml:space="preserve"> is determined by a value of </w:t>
      </w:r>
      <w:r w:rsidRPr="00F63203">
        <w:rPr>
          <w:i/>
        </w:rPr>
        <w:t>slotFormatCombinationId</w:t>
      </w:r>
      <w:r>
        <w:t xml:space="preserve"> in</w:t>
      </w:r>
      <w:r>
        <w:rPr>
          <w:lang w:val="en-US"/>
        </w:rPr>
        <w:t xml:space="preserve"> </w:t>
      </w:r>
      <w:r>
        <w:rPr>
          <w:i/>
        </w:rPr>
        <w:t>s</w:t>
      </w:r>
      <w:r w:rsidRPr="00F63203">
        <w:rPr>
          <w:i/>
        </w:rPr>
        <w:t>lotFormatCombination</w:t>
      </w:r>
      <w:r w:rsidRPr="00F63203">
        <w:t xml:space="preserve"> </w:t>
      </w:r>
      <w:r>
        <w:t xml:space="preserve">and </w:t>
      </w:r>
      <w:r>
        <w:rPr>
          <w:lang w:val="en-US" w:eastAsia="zh-CN"/>
        </w:rPr>
        <w:t xml:space="preserve">the value of </w:t>
      </w:r>
      <w:r w:rsidRPr="00F63203">
        <w:rPr>
          <w:i/>
        </w:rPr>
        <w:t>slotFormatCombinationId</w:t>
      </w:r>
      <w:r w:rsidRPr="00494A77">
        <w:rPr>
          <w:lang w:val="en-US" w:eastAsia="zh-CN"/>
        </w:rPr>
        <w:t xml:space="preserve"> </w:t>
      </w:r>
      <w:r>
        <w:rPr>
          <w:lang w:val="en-US" w:eastAsia="zh-CN"/>
        </w:rPr>
        <w:t>is set by the value of the SFI-index field value in DCI format 2_0</w:t>
      </w:r>
      <w:r w:rsidRPr="00494A77">
        <w:rPr>
          <w:lang w:val="en-US" w:eastAsia="zh-CN"/>
        </w:rPr>
        <w:t xml:space="preserve">, the first </w:t>
      </w:r>
      <m:oMath>
        <m:sSup>
          <m:sSupPr>
            <m:ctrlPr>
              <w:rPr>
                <w:rFonts w:ascii="Cambria Math" w:hAnsi="Cambria Math"/>
                <w:i/>
                <w:lang w:val="en-US" w:eastAsia="zh-CN"/>
              </w:rPr>
            </m:ctrlPr>
          </m:sSupPr>
          <m:e>
            <m:r>
              <w:rPr>
                <w:rFonts w:ascii="Cambria Math" w:hAnsi="Cambria Math"/>
                <w:lang w:val="en-US" w:eastAsia="zh-CN"/>
              </w:rPr>
              <m:t>2</m:t>
            </m:r>
          </m:e>
          <m:sup>
            <m:d>
              <m:dPr>
                <m:ctrlPr>
                  <w:rPr>
                    <w:rFonts w:ascii="Cambria Math" w:hAnsi="Cambria Math"/>
                    <w:i/>
                    <w:lang w:val="en-US" w:eastAsia="zh-CN"/>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SFI,DL</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SFI,UL</m:t>
                    </m:r>
                  </m:sub>
                </m:sSub>
              </m:e>
            </m:d>
          </m:sup>
        </m:sSup>
      </m:oMath>
      <w:r w:rsidRPr="00494A77">
        <w:rPr>
          <w:lang w:val="en-US"/>
        </w:rPr>
        <w:t xml:space="preserve"> values </w:t>
      </w:r>
      <w:r w:rsidRPr="00494A77">
        <w:rPr>
          <w:lang w:val="en-US" w:eastAsia="zh-CN"/>
        </w:rPr>
        <w:t xml:space="preserve">for the combination of slot formats </w:t>
      </w:r>
      <w:r w:rsidRPr="002176E5">
        <w:rPr>
          <w:lang w:val="en-US"/>
        </w:rPr>
        <w:t xml:space="preserve">are applicable to the reference DL BWP and the next value is applicable to the reference UL BWP. </w:t>
      </w:r>
      <w:r w:rsidRPr="002176E5">
        <w:rPr>
          <w:lang w:val="en-US" w:eastAsia="zh-CN"/>
        </w:rPr>
        <w:t xml:space="preserve">If </w:t>
      </w:r>
      <m:oMath>
        <m:sSub>
          <m:sSubPr>
            <m:ctrlPr>
              <w:rPr>
                <w:rFonts w:ascii="Cambria Math" w:hAnsi="Cambria Math"/>
                <w:i/>
              </w:rPr>
            </m:ctrlPr>
          </m:sSubPr>
          <m:e>
            <m:r>
              <w:rPr>
                <w:rFonts w:ascii="Cambria Math" w:hAnsi="Cambria Math"/>
              </w:rPr>
              <m:t>μ</m:t>
            </m:r>
          </m:e>
          <m:sub>
            <m:r>
              <m:rPr>
                <m:sty m:val="p"/>
              </m:rPr>
              <w:rPr>
                <w:rFonts w:ascii="Cambria Math" w:hAnsi="Cambria Math"/>
              </w:rPr>
              <m:t>SFI,DL</m:t>
            </m:r>
          </m:sub>
        </m:sSub>
        <m:r>
          <w:rPr>
            <w:rFonts w:ascii="Cambria Math" w:hAnsi="Cambria Math"/>
            <w:lang w:val="en-US" w:eastAsia="zh-CN"/>
          </w:rPr>
          <m:t>&lt;</m:t>
        </m:r>
        <m:sSub>
          <m:sSubPr>
            <m:ctrlPr>
              <w:rPr>
                <w:rFonts w:ascii="Cambria Math" w:hAnsi="Cambria Math"/>
                <w:i/>
              </w:rPr>
            </m:ctrlPr>
          </m:sSubPr>
          <m:e>
            <m:r>
              <w:rPr>
                <w:rFonts w:ascii="Cambria Math" w:hAnsi="Cambria Math"/>
              </w:rPr>
              <m:t>μ</m:t>
            </m:r>
          </m:e>
          <m:sub>
            <m:r>
              <m:rPr>
                <m:sty m:val="p"/>
              </m:rPr>
              <w:rPr>
                <w:rFonts w:ascii="Cambria Math" w:hAnsi="Cambria Math"/>
              </w:rPr>
              <m:t>SFI,UL</m:t>
            </m:r>
          </m:sub>
        </m:sSub>
      </m:oMath>
      <w:r>
        <w:rPr>
          <w:lang w:val="en-US"/>
        </w:rPr>
        <w:t xml:space="preserve"> and for each </w:t>
      </w:r>
      <m:oMath>
        <m:sSup>
          <m:sSupPr>
            <m:ctrlPr>
              <w:rPr>
                <w:rFonts w:ascii="Cambria Math" w:hAnsi="Cambria Math"/>
                <w:i/>
                <w:lang w:val="en-US" w:eastAsia="zh-CN"/>
              </w:rPr>
            </m:ctrlPr>
          </m:sSupPr>
          <m:e>
            <m:r>
              <w:rPr>
                <w:rFonts w:ascii="Cambria Math" w:hAnsi="Cambria Math"/>
                <w:lang w:val="en-US" w:eastAsia="zh-CN"/>
              </w:rPr>
              <m:t>2</m:t>
            </m:r>
          </m:e>
          <m:sup>
            <m:d>
              <m:dPr>
                <m:ctrlPr>
                  <w:rPr>
                    <w:rFonts w:ascii="Cambria Math" w:hAnsi="Cambria Math"/>
                    <w:i/>
                    <w:lang w:val="en-US" w:eastAsia="zh-CN"/>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SFI,UL</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SFI,DL</m:t>
                    </m:r>
                  </m:sub>
                </m:sSub>
              </m:e>
            </m:d>
          </m:sup>
        </m:sSup>
        <m:r>
          <w:rPr>
            <w:rFonts w:ascii="Cambria Math" w:hAnsi="Cambria Math"/>
            <w:lang w:val="en-US" w:eastAsia="zh-CN"/>
          </w:rPr>
          <m:t>+1</m:t>
        </m:r>
      </m:oMath>
      <w:r>
        <w:rPr>
          <w:lang w:val="en-US"/>
        </w:rPr>
        <w:t xml:space="preserve"> values provided by </w:t>
      </w:r>
      <w:r>
        <w:rPr>
          <w:i/>
        </w:rPr>
        <w:t>s</w:t>
      </w:r>
      <w:r w:rsidRPr="00F63203">
        <w:rPr>
          <w:i/>
        </w:rPr>
        <w:t>lotFormat</w:t>
      </w:r>
      <w:r>
        <w:rPr>
          <w:i/>
        </w:rPr>
        <w:t>s</w:t>
      </w:r>
      <w:r w:rsidRPr="00494A77">
        <w:rPr>
          <w:lang w:val="en-US" w:eastAsia="zh-CN"/>
        </w:rPr>
        <w:t>, the first</w:t>
      </w:r>
      <w:r w:rsidRPr="00494A77">
        <w:rPr>
          <w:lang w:val="en-US"/>
        </w:rPr>
        <w:t xml:space="preserve"> value </w:t>
      </w:r>
      <w:r w:rsidRPr="002176E5">
        <w:rPr>
          <w:lang w:val="en-US" w:eastAsia="zh-CN"/>
        </w:rPr>
        <w:t xml:space="preserve">for the combination of slot formats </w:t>
      </w:r>
      <w:r w:rsidRPr="007932F1">
        <w:rPr>
          <w:lang w:val="en-US"/>
        </w:rPr>
        <w:t xml:space="preserve">is applicable to the reference DL BWP and the next </w:t>
      </w:r>
      <m:oMath>
        <m:sSup>
          <m:sSupPr>
            <m:ctrlPr>
              <w:rPr>
                <w:rFonts w:ascii="Cambria Math" w:hAnsi="Cambria Math"/>
                <w:i/>
                <w:lang w:val="en-US" w:eastAsia="zh-CN"/>
              </w:rPr>
            </m:ctrlPr>
          </m:sSupPr>
          <m:e>
            <m:r>
              <w:rPr>
                <w:rFonts w:ascii="Cambria Math" w:hAnsi="Cambria Math"/>
                <w:lang w:val="en-US" w:eastAsia="zh-CN"/>
              </w:rPr>
              <m:t>2</m:t>
            </m:r>
          </m:e>
          <m:sup>
            <m:d>
              <m:dPr>
                <m:ctrlPr>
                  <w:rPr>
                    <w:rFonts w:ascii="Cambria Math" w:hAnsi="Cambria Math"/>
                    <w:i/>
                    <w:lang w:val="en-US" w:eastAsia="zh-CN"/>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SFI,UL</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SFI,DL</m:t>
                    </m:r>
                  </m:sub>
                </m:sSub>
              </m:e>
            </m:d>
          </m:sup>
        </m:sSup>
      </m:oMath>
      <w:r w:rsidRPr="00494A77">
        <w:rPr>
          <w:lang w:val="en-US"/>
        </w:rPr>
        <w:t xml:space="preserve"> values are applicable to the reference UL BWP. </w:t>
      </w:r>
    </w:p>
    <w:p w14:paraId="4A5764BA" w14:textId="7D1C3F95" w:rsidR="00A16711" w:rsidRPr="002146B1" w:rsidRDefault="00A16711" w:rsidP="00A16711">
      <w:pPr>
        <w:rPr>
          <w:lang w:val="en-US"/>
        </w:rPr>
      </w:pPr>
      <w:r w:rsidRPr="0080392F">
        <w:rPr>
          <w:lang w:val="en-US" w:eastAsia="zh-CN"/>
        </w:rPr>
        <w:t>The UE is provided</w:t>
      </w:r>
      <w:r>
        <w:rPr>
          <w:lang w:val="en-US" w:eastAsia="zh-CN"/>
        </w:rPr>
        <w:t xml:space="preserve"> </w:t>
      </w:r>
      <w:r w:rsidRPr="0080392F">
        <w:rPr>
          <w:lang w:val="en-US" w:eastAsia="zh-CN"/>
        </w:rPr>
        <w:t xml:space="preserve">a reference </w:t>
      </w:r>
      <w:r>
        <w:rPr>
          <w:lang w:val="en-US" w:eastAsia="zh-CN"/>
        </w:rPr>
        <w:t>SCS</w:t>
      </w:r>
      <w:r w:rsidRPr="0080392F">
        <w:rPr>
          <w:lang w:val="en-US" w:eastAsia="zh-CN"/>
        </w:rPr>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SFI,DL</m:t>
            </m:r>
          </m:sub>
        </m:sSub>
      </m:oMath>
      <w:r w:rsidRPr="00494A77">
        <w:rPr>
          <w:lang w:val="en-US"/>
        </w:rPr>
        <w:t xml:space="preserve"> so that for a</w:t>
      </w:r>
      <w:r w:rsidRPr="00494A77">
        <w:rPr>
          <w:lang w:val="en-US" w:eastAsia="zh-CN"/>
        </w:rPr>
        <w:t>n active DL BWP</w:t>
      </w:r>
      <w:r w:rsidRPr="002176E5">
        <w:rPr>
          <w:lang w:val="en-US" w:eastAsia="zh-CN"/>
        </w:rPr>
        <w:t xml:space="preserve"> with </w:t>
      </w:r>
      <w:r>
        <w:rPr>
          <w:lang w:val="en-US" w:eastAsia="zh-CN"/>
        </w:rPr>
        <w:t>SCS</w:t>
      </w:r>
      <w:r w:rsidRPr="002176E5">
        <w:rPr>
          <w:lang w:val="en-US" w:eastAsia="zh-CN"/>
        </w:rPr>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DL</m:t>
            </m:r>
          </m:sub>
        </m:sSub>
      </m:oMath>
      <w:r w:rsidRPr="00494A77">
        <w:rPr>
          <w:lang w:val="en-US"/>
        </w:rPr>
        <w:t xml:space="preserve">, </w:t>
      </w:r>
      <w:r w:rsidRPr="002176E5">
        <w:rPr>
          <w:lang w:val="en-US" w:eastAsia="zh-CN"/>
        </w:rPr>
        <w:t>it is</w:t>
      </w:r>
      <w:r w:rsidRPr="007932F1">
        <w:rPr>
          <w:lang w:val="en-US" w:eastAsia="zh-CN"/>
        </w:rPr>
        <w:t xml:space="preserve"> </w:t>
      </w:r>
      <m:oMath>
        <m:sSub>
          <m:sSubPr>
            <m:ctrlPr>
              <w:rPr>
                <w:rFonts w:ascii="Cambria Math" w:hAnsi="Cambria Math"/>
                <w:i/>
              </w:rPr>
            </m:ctrlPr>
          </m:sSubPr>
          <m:e>
            <m:r>
              <w:rPr>
                <w:rFonts w:ascii="Cambria Math" w:hAnsi="Cambria Math"/>
              </w:rPr>
              <m:t>μ</m:t>
            </m:r>
          </m:e>
          <m:sub>
            <m:r>
              <m:rPr>
                <m:sty m:val="p"/>
              </m:rPr>
              <w:rPr>
                <w:rFonts w:ascii="Cambria Math" w:hAnsi="Cambria Math"/>
              </w:rPr>
              <m:t>DL</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SFI,DL</m:t>
            </m:r>
          </m:sub>
        </m:sSub>
      </m:oMath>
      <w:r w:rsidRPr="00494A77">
        <w:rPr>
          <w:lang w:val="en-US" w:eastAsia="zh-CN"/>
        </w:rPr>
        <w:t xml:space="preserve">. The UE is provided a reference </w:t>
      </w:r>
      <w:r>
        <w:rPr>
          <w:lang w:val="en-US" w:eastAsia="zh-CN"/>
        </w:rPr>
        <w:t>SCS</w:t>
      </w:r>
      <w:r w:rsidRPr="00494A77">
        <w:rPr>
          <w:lang w:val="en-US" w:eastAsia="zh-CN"/>
        </w:rPr>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SFI,UL</m:t>
            </m:r>
          </m:sub>
        </m:sSub>
      </m:oMath>
      <w:r w:rsidRPr="00494A77">
        <w:rPr>
          <w:lang w:val="en-US"/>
        </w:rPr>
        <w:t xml:space="preserve"> so that for a</w:t>
      </w:r>
      <w:r w:rsidRPr="00494A77">
        <w:rPr>
          <w:lang w:val="en-US" w:eastAsia="zh-CN"/>
        </w:rPr>
        <w:t>n active UL BWP</w:t>
      </w:r>
      <w:r w:rsidRPr="002176E5">
        <w:rPr>
          <w:lang w:val="en-US" w:eastAsia="zh-CN"/>
        </w:rPr>
        <w:t xml:space="preserve"> with </w:t>
      </w:r>
      <w:r>
        <w:rPr>
          <w:lang w:val="en-US" w:eastAsia="zh-CN"/>
        </w:rPr>
        <w:t>SCS</w:t>
      </w:r>
      <w:r w:rsidRPr="002176E5">
        <w:rPr>
          <w:lang w:val="en-US" w:eastAsia="zh-CN"/>
        </w:rPr>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UL</m:t>
            </m:r>
          </m:sub>
        </m:sSub>
      </m:oMath>
      <w:r w:rsidRPr="00494A77">
        <w:rPr>
          <w:lang w:val="en-US"/>
        </w:rPr>
        <w:t xml:space="preserve">, </w:t>
      </w:r>
      <w:r w:rsidRPr="00494A77">
        <w:rPr>
          <w:lang w:val="en-US" w:eastAsia="zh-CN"/>
        </w:rPr>
        <w:t xml:space="preserve">it is </w:t>
      </w:r>
      <m:oMath>
        <m:sSub>
          <m:sSubPr>
            <m:ctrlPr>
              <w:rPr>
                <w:rFonts w:ascii="Cambria Math" w:hAnsi="Cambria Math"/>
                <w:i/>
              </w:rPr>
            </m:ctrlPr>
          </m:sSubPr>
          <m:e>
            <m:r>
              <w:rPr>
                <w:rFonts w:ascii="Cambria Math" w:hAnsi="Cambria Math"/>
              </w:rPr>
              <m:t>μ</m:t>
            </m:r>
          </m:e>
          <m:sub>
            <m:r>
              <m:rPr>
                <m:sty m:val="p"/>
              </m:rPr>
              <w:rPr>
                <w:rFonts w:ascii="Cambria Math" w:hAnsi="Cambria Math"/>
              </w:rPr>
              <m:t>UL</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SFI,UL</m:t>
            </m:r>
          </m:sub>
        </m:sSub>
      </m:oMath>
      <w:r w:rsidRPr="00494A77">
        <w:rPr>
          <w:lang w:val="en-US" w:eastAsia="zh-CN"/>
        </w:rPr>
        <w:t xml:space="preserve">. Each slot format </w:t>
      </w:r>
      <w:r w:rsidRPr="002176E5">
        <w:rPr>
          <w:lang w:val="en-US" w:eastAsia="zh-CN"/>
        </w:rPr>
        <w:t xml:space="preserve">for a </w:t>
      </w:r>
      <w:r w:rsidRPr="007932F1">
        <w:rPr>
          <w:lang w:val="en-US" w:eastAsia="zh-CN"/>
        </w:rPr>
        <w:t xml:space="preserve">combination of slot formats indicated by the SFI-index field </w:t>
      </w:r>
      <w:r>
        <w:rPr>
          <w:lang w:val="en-US" w:eastAsia="zh-CN"/>
        </w:rPr>
        <w:t xml:space="preserve">value </w:t>
      </w:r>
      <w:r w:rsidRPr="007932F1">
        <w:rPr>
          <w:lang w:val="en-US" w:eastAsia="zh-CN"/>
        </w:rPr>
        <w:t>in DCI format 2_0</w:t>
      </w:r>
      <w:r w:rsidRPr="00697DDD">
        <w:rPr>
          <w:lang w:val="en-US" w:eastAsia="zh-CN"/>
        </w:rPr>
        <w:t xml:space="preserve"> </w:t>
      </w:r>
      <w:r w:rsidRPr="0080392F">
        <w:rPr>
          <w:lang w:val="en-US" w:eastAsia="zh-CN"/>
        </w:rPr>
        <w:t>for the reference DL BWP</w:t>
      </w:r>
      <w:r>
        <w:rPr>
          <w:lang w:val="en-US" w:eastAsia="zh-CN"/>
        </w:rPr>
        <w:t xml:space="preserve">, by indicating a value for </w:t>
      </w:r>
      <w:r w:rsidRPr="00F63203">
        <w:rPr>
          <w:i/>
        </w:rPr>
        <w:t>slotFormatCombinationId</w:t>
      </w:r>
      <w:r w:rsidRPr="00494A77">
        <w:rPr>
          <w:lang w:val="en-US" w:eastAsia="zh-CN"/>
        </w:rPr>
        <w:t xml:space="preserve"> </w:t>
      </w:r>
      <w:r>
        <w:rPr>
          <w:lang w:val="en-US" w:eastAsia="zh-CN"/>
        </w:rPr>
        <w:t xml:space="preserve">that is mapped to a value of </w:t>
      </w:r>
      <w:r w:rsidRPr="00A75AB2">
        <w:rPr>
          <w:i/>
          <w:lang w:val="en-US" w:eastAsia="zh-CN"/>
        </w:rPr>
        <w:t>slotFormats</w:t>
      </w:r>
      <w:r>
        <w:rPr>
          <w:lang w:val="en-US" w:eastAsia="zh-CN"/>
        </w:rPr>
        <w:t xml:space="preserve"> in</w:t>
      </w:r>
      <w:r w:rsidRPr="0080392F">
        <w:rPr>
          <w:lang w:val="en-US" w:eastAsia="zh-CN"/>
        </w:rPr>
        <w:t xml:space="preserve"> </w:t>
      </w:r>
      <w:r>
        <w:rPr>
          <w:i/>
        </w:rPr>
        <w:t>s</w:t>
      </w:r>
      <w:r w:rsidRPr="00F63203">
        <w:rPr>
          <w:i/>
        </w:rPr>
        <w:t>lotFormatCombination</w:t>
      </w:r>
      <w:r>
        <w:rPr>
          <w:lang w:val="en-US" w:eastAsia="zh-CN"/>
        </w:rPr>
        <w:t xml:space="preserve">, </w:t>
      </w:r>
      <w:r w:rsidRPr="0080392F">
        <w:rPr>
          <w:lang w:val="en-US" w:eastAsia="zh-CN"/>
        </w:rPr>
        <w:t xml:space="preserve">is applicable to </w:t>
      </w:r>
      <m:oMath>
        <m:sSup>
          <m:sSupPr>
            <m:ctrlPr>
              <w:rPr>
                <w:rFonts w:ascii="Cambria Math" w:hAnsi="Cambria Math"/>
                <w:i/>
                <w:lang w:val="en-US" w:eastAsia="zh-CN"/>
              </w:rPr>
            </m:ctrlPr>
          </m:sSupPr>
          <m:e>
            <m:r>
              <w:rPr>
                <w:rFonts w:ascii="Cambria Math" w:hAnsi="Cambria Math"/>
                <w:lang w:val="en-US" w:eastAsia="zh-CN"/>
              </w:rPr>
              <m:t>2</m:t>
            </m:r>
          </m:e>
          <m:sup>
            <m:d>
              <m:dPr>
                <m:ctrlPr>
                  <w:rPr>
                    <w:rFonts w:ascii="Cambria Math" w:hAnsi="Cambria Math"/>
                    <w:i/>
                    <w:lang w:val="en-US" w:eastAsia="zh-CN"/>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DL</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SFI,DL</m:t>
                    </m:r>
                  </m:sub>
                </m:sSub>
              </m:e>
            </m:d>
          </m:sup>
        </m:sSup>
      </m:oMath>
      <w:r w:rsidRPr="00494A77">
        <w:rPr>
          <w:lang w:val="en-US"/>
        </w:rPr>
        <w:t xml:space="preserve"> consecutive slots for the active DL BWP where the first slot starts at a same time as a</w:t>
      </w:r>
      <w:r w:rsidRPr="002176E5">
        <w:rPr>
          <w:lang w:val="en-US"/>
        </w:rPr>
        <w:t xml:space="preserve"> first slot in the reference DL BWP </w:t>
      </w:r>
      <w:r w:rsidRPr="002146B1">
        <w:t xml:space="preserve">and each downlink or flexible symbol for the reference </w:t>
      </w:r>
      <w:r>
        <w:rPr>
          <w:lang w:val="en-US" w:eastAsia="zh-CN"/>
        </w:rPr>
        <w:t>SCS</w:t>
      </w:r>
      <w:r w:rsidRPr="002146B1">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SFI,DL</m:t>
            </m:r>
          </m:sub>
        </m:sSub>
      </m:oMath>
      <w:r w:rsidRPr="002146B1">
        <w:t xml:space="preserve"> corresponds to </w:t>
      </w:r>
      <m:oMath>
        <m:sSup>
          <m:sSupPr>
            <m:ctrlPr>
              <w:rPr>
                <w:rFonts w:ascii="Cambria Math" w:hAnsi="Cambria Math"/>
                <w:i/>
                <w:lang w:val="en-US" w:eastAsia="zh-CN"/>
              </w:rPr>
            </m:ctrlPr>
          </m:sSupPr>
          <m:e>
            <m:r>
              <w:rPr>
                <w:rFonts w:ascii="Cambria Math" w:hAnsi="Cambria Math"/>
                <w:lang w:val="en-US" w:eastAsia="zh-CN"/>
              </w:rPr>
              <m:t>2</m:t>
            </m:r>
          </m:e>
          <m:sup>
            <m:d>
              <m:dPr>
                <m:ctrlPr>
                  <w:rPr>
                    <w:rFonts w:ascii="Cambria Math" w:hAnsi="Cambria Math"/>
                    <w:i/>
                    <w:lang w:val="en-US" w:eastAsia="zh-CN"/>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DL</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SFI,DL</m:t>
                    </m:r>
                  </m:sub>
                </m:sSub>
              </m:e>
            </m:d>
          </m:sup>
        </m:sSup>
      </m:oMath>
      <w:r w:rsidRPr="002146B1">
        <w:t xml:space="preserve"> consecutive downlink or flexible symbols for the </w:t>
      </w:r>
      <w:r>
        <w:rPr>
          <w:lang w:val="en-US" w:eastAsia="zh-CN"/>
        </w:rPr>
        <w:t>SCS</w:t>
      </w:r>
      <w:r w:rsidRPr="002146B1">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DL</m:t>
            </m:r>
          </m:sub>
        </m:sSub>
      </m:oMath>
      <w:r w:rsidRPr="002146B1">
        <w:rPr>
          <w:lang w:val="en-US"/>
        </w:rPr>
        <w:t xml:space="preserve">. </w:t>
      </w:r>
      <w:r w:rsidRPr="002146B1">
        <w:rPr>
          <w:lang w:val="en-US" w:eastAsia="zh-CN"/>
        </w:rPr>
        <w:t xml:space="preserve">Each slot format for the combination of slot formats for the reference UL BWP is applicable to </w:t>
      </w:r>
      <m:oMath>
        <m:sSup>
          <m:sSupPr>
            <m:ctrlPr>
              <w:rPr>
                <w:rFonts w:ascii="Cambria Math" w:hAnsi="Cambria Math"/>
                <w:i/>
                <w:lang w:val="en-US" w:eastAsia="zh-CN"/>
              </w:rPr>
            </m:ctrlPr>
          </m:sSupPr>
          <m:e>
            <m:r>
              <w:rPr>
                <w:rFonts w:ascii="Cambria Math" w:hAnsi="Cambria Math"/>
                <w:lang w:val="en-US" w:eastAsia="zh-CN"/>
              </w:rPr>
              <m:t>2</m:t>
            </m:r>
          </m:e>
          <m:sup>
            <m:d>
              <m:dPr>
                <m:ctrlPr>
                  <w:rPr>
                    <w:rFonts w:ascii="Cambria Math" w:hAnsi="Cambria Math"/>
                    <w:i/>
                    <w:lang w:val="en-US" w:eastAsia="zh-CN"/>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UL</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SFI,UL</m:t>
                    </m:r>
                  </m:sub>
                </m:sSub>
              </m:e>
            </m:d>
          </m:sup>
        </m:sSup>
      </m:oMath>
      <w:r w:rsidRPr="00494A77">
        <w:rPr>
          <w:lang w:val="en-US"/>
        </w:rPr>
        <w:t xml:space="preserve"> consecutive slots for the active UL BWP where the first slot starts at a same time as a first slot i</w:t>
      </w:r>
      <w:r w:rsidRPr="002176E5">
        <w:rPr>
          <w:lang w:val="en-US"/>
        </w:rPr>
        <w:t xml:space="preserve">n the reference UL BWP and </w:t>
      </w:r>
      <w:r w:rsidRPr="002146B1">
        <w:t xml:space="preserve">each </w:t>
      </w:r>
      <w:r w:rsidRPr="002146B1">
        <w:rPr>
          <w:lang w:val="en-US"/>
        </w:rPr>
        <w:t>up</w:t>
      </w:r>
      <w:r w:rsidRPr="002146B1">
        <w:t xml:space="preserve">link or flexible symbol for the reference </w:t>
      </w:r>
      <w:r>
        <w:rPr>
          <w:lang w:val="en-US" w:eastAsia="zh-CN"/>
        </w:rPr>
        <w:t>SCS</w:t>
      </w:r>
      <w:r w:rsidRPr="002146B1">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SFI,UL</m:t>
            </m:r>
          </m:sub>
        </m:sSub>
      </m:oMath>
      <w:r>
        <w:t xml:space="preserve"> </w:t>
      </w:r>
      <w:r w:rsidRPr="002146B1">
        <w:t xml:space="preserve">corresponds to </w:t>
      </w:r>
      <m:oMath>
        <m:sSup>
          <m:sSupPr>
            <m:ctrlPr>
              <w:rPr>
                <w:rFonts w:ascii="Cambria Math" w:hAnsi="Cambria Math"/>
                <w:i/>
                <w:lang w:val="en-US" w:eastAsia="zh-CN"/>
              </w:rPr>
            </m:ctrlPr>
          </m:sSupPr>
          <m:e>
            <m:r>
              <w:rPr>
                <w:rFonts w:ascii="Cambria Math" w:hAnsi="Cambria Math"/>
                <w:lang w:val="en-US" w:eastAsia="zh-CN"/>
              </w:rPr>
              <m:t>2</m:t>
            </m:r>
          </m:e>
          <m:sup>
            <m:d>
              <m:dPr>
                <m:ctrlPr>
                  <w:rPr>
                    <w:rFonts w:ascii="Cambria Math" w:hAnsi="Cambria Math"/>
                    <w:i/>
                    <w:lang w:val="en-US" w:eastAsia="zh-CN"/>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UL</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SFI,UL</m:t>
                    </m:r>
                  </m:sub>
                </m:sSub>
              </m:e>
            </m:d>
          </m:sup>
        </m:sSup>
      </m:oMath>
      <w:r w:rsidRPr="002146B1">
        <w:t xml:space="preserve"> consecutive </w:t>
      </w:r>
      <w:r w:rsidRPr="002146B1">
        <w:rPr>
          <w:lang w:val="en-US"/>
        </w:rPr>
        <w:t>up</w:t>
      </w:r>
      <w:r w:rsidRPr="002146B1">
        <w:t xml:space="preserve">link or flexible symbols for the </w:t>
      </w:r>
      <w:r>
        <w:rPr>
          <w:lang w:val="en-US" w:eastAsia="zh-CN"/>
        </w:rPr>
        <w:t>SCS</w:t>
      </w:r>
      <w:r w:rsidRPr="002146B1">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UL</m:t>
            </m:r>
          </m:sub>
        </m:sSub>
      </m:oMath>
      <w:r w:rsidRPr="002146B1">
        <w:rPr>
          <w:lang w:val="en-US"/>
        </w:rPr>
        <w:t>.</w:t>
      </w:r>
    </w:p>
    <w:p w14:paraId="47D3F774" w14:textId="77777777" w:rsidR="00A16711" w:rsidRDefault="00A16711" w:rsidP="00A16711">
      <w:r w:rsidRPr="00494A77">
        <w:t xml:space="preserve">For </w:t>
      </w:r>
      <w:r>
        <w:rPr>
          <w:lang w:val="en-US"/>
        </w:rPr>
        <w:t>un</w:t>
      </w:r>
      <w:r w:rsidRPr="00494A77">
        <w:t xml:space="preserve">paired spectrum operation </w:t>
      </w:r>
      <w:r w:rsidRPr="00494A77">
        <w:rPr>
          <w:lang w:val="en-US"/>
        </w:rPr>
        <w:t>with</w:t>
      </w:r>
      <w:r w:rsidRPr="002176E5">
        <w:t xml:space="preserve"> </w:t>
      </w:r>
      <w:r w:rsidRPr="002176E5">
        <w:rPr>
          <w:lang w:val="en-US"/>
        </w:rPr>
        <w:t>a second UL carrier</w:t>
      </w:r>
      <w:r w:rsidRPr="007932F1">
        <w:t xml:space="preserve"> </w:t>
      </w:r>
      <w:r w:rsidRPr="00697DDD">
        <w:rPr>
          <w:lang w:val="en-US"/>
        </w:rPr>
        <w:t xml:space="preserve">for a UE </w:t>
      </w:r>
      <w:r w:rsidRPr="0080392F">
        <w:t xml:space="preserve">on a serving cell, the SFI-index field </w:t>
      </w:r>
      <w:r>
        <w:t xml:space="preserve">value </w:t>
      </w:r>
      <w:r w:rsidRPr="0080392F">
        <w:t xml:space="preserve">in DCI format 2_0 indicates a combination of slot formats that includes a combination of slot formats for </w:t>
      </w:r>
      <w:r w:rsidRPr="0080392F">
        <w:rPr>
          <w:lang w:val="en-US"/>
        </w:rPr>
        <w:t>a reference first UL carrier of the se</w:t>
      </w:r>
      <w:r>
        <w:rPr>
          <w:lang w:val="en-US"/>
        </w:rPr>
        <w:t>rving</w:t>
      </w:r>
      <w:r w:rsidRPr="0080392F">
        <w:rPr>
          <w:lang w:val="en-US"/>
        </w:rPr>
        <w:t xml:space="preserve"> cell </w:t>
      </w:r>
      <w:r w:rsidRPr="0080392F">
        <w:t xml:space="preserve">and a combination of slot formats for a </w:t>
      </w:r>
      <w:r w:rsidRPr="0080392F">
        <w:rPr>
          <w:lang w:val="en-US"/>
        </w:rPr>
        <w:t>reference</w:t>
      </w:r>
      <w:r>
        <w:rPr>
          <w:lang w:val="en-US"/>
        </w:rPr>
        <w:t xml:space="preserve"> </w:t>
      </w:r>
      <w:r w:rsidRPr="00494A77">
        <w:rPr>
          <w:lang w:val="en-US"/>
        </w:rPr>
        <w:t xml:space="preserve">second </w:t>
      </w:r>
      <w:r w:rsidRPr="00494A77">
        <w:t>UL carrier of the serving cell. The</w:t>
      </w:r>
      <w:r w:rsidRPr="002176E5">
        <w:t xml:space="preserve"> UE is provided by </w:t>
      </w:r>
      <w:r w:rsidRPr="00F65444">
        <w:rPr>
          <w:i/>
        </w:rPr>
        <w:t>subcarrierSpacing</w:t>
      </w:r>
      <w:r w:rsidRPr="007932F1">
        <w:t xml:space="preserve"> a reference </w:t>
      </w:r>
      <w:r>
        <w:t>SCS</w:t>
      </w:r>
      <w:r w:rsidRPr="007932F1">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oMath>
      <w:r w:rsidRPr="00494A77">
        <w:t xml:space="preserve"> for the combination of slot formats indicated by the SFI-index field in DCI format 2_0 for the reference </w:t>
      </w:r>
      <w:r w:rsidRPr="007932F1">
        <w:rPr>
          <w:lang w:val="en-US"/>
        </w:rPr>
        <w:t xml:space="preserve">first </w:t>
      </w:r>
      <w:r>
        <w:rPr>
          <w:lang w:val="en-US"/>
        </w:rPr>
        <w:t xml:space="preserve">UL </w:t>
      </w:r>
      <w:r w:rsidRPr="007932F1">
        <w:rPr>
          <w:lang w:val="en-US"/>
        </w:rPr>
        <w:t xml:space="preserve">carrier </w:t>
      </w:r>
      <w:r w:rsidRPr="00697DDD">
        <w:t>of</w:t>
      </w:r>
      <w:r w:rsidRPr="0080392F">
        <w:t xml:space="preserve"> the serving cell. The UE is provided by </w:t>
      </w:r>
      <w:r w:rsidRPr="00F65444">
        <w:rPr>
          <w:i/>
        </w:rPr>
        <w:t>subcarrierSpacing</w:t>
      </w:r>
      <w:r>
        <w:rPr>
          <w:i/>
        </w:rPr>
        <w:t>2</w:t>
      </w:r>
      <w:r w:rsidRPr="0080392F">
        <w:t xml:space="preserve"> a reference </w:t>
      </w:r>
      <w:r>
        <w:t>SCS</w:t>
      </w:r>
      <w:r w:rsidRPr="0080392F">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SFI,SUL</m:t>
            </m:r>
          </m:sub>
        </m:sSub>
      </m:oMath>
      <w:r w:rsidRPr="00494A77">
        <w:t xml:space="preserve"> for the combination of slot formats indicated by the SFI-index field</w:t>
      </w:r>
      <w:r>
        <w:t xml:space="preserve"> value</w:t>
      </w:r>
      <w:r w:rsidRPr="00494A77">
        <w:t xml:space="preserve"> in DCI format 2_0 for the reference </w:t>
      </w:r>
      <w:r w:rsidRPr="002176E5">
        <w:rPr>
          <w:lang w:val="en-US"/>
        </w:rPr>
        <w:t xml:space="preserve">second </w:t>
      </w:r>
      <w:r>
        <w:rPr>
          <w:lang w:val="en-US"/>
        </w:rPr>
        <w:t xml:space="preserve">UL </w:t>
      </w:r>
      <w:r w:rsidRPr="007932F1">
        <w:t xml:space="preserve">carrier of the serving cell. For each </w:t>
      </w:r>
      <m:oMath>
        <m:sSup>
          <m:sSupPr>
            <m:ctrlPr>
              <w:rPr>
                <w:rFonts w:ascii="Cambria Math" w:hAnsi="Cambria Math"/>
                <w:i/>
                <w:lang w:val="en-US" w:eastAsia="zh-CN"/>
              </w:rPr>
            </m:ctrlPr>
          </m:sSupPr>
          <m:e>
            <m:r>
              <w:rPr>
                <w:rFonts w:ascii="Cambria Math" w:hAnsi="Cambria Math"/>
                <w:lang w:val="en-US" w:eastAsia="zh-CN"/>
              </w:rPr>
              <m:t>2</m:t>
            </m:r>
          </m:e>
          <m:sup>
            <m:d>
              <m:dPr>
                <m:ctrlPr>
                  <w:rPr>
                    <w:rFonts w:ascii="Cambria Math" w:hAnsi="Cambria Math"/>
                    <w:i/>
                    <w:lang w:val="en-US" w:eastAsia="zh-CN"/>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SFI,SUL</m:t>
                    </m:r>
                  </m:sub>
                </m:sSub>
              </m:e>
            </m:d>
          </m:sup>
        </m:sSup>
        <m:r>
          <w:rPr>
            <w:rFonts w:ascii="Cambria Math" w:hAnsi="Cambria Math"/>
            <w:lang w:val="en-US" w:eastAsia="zh-CN"/>
          </w:rPr>
          <m:t>+1</m:t>
        </m:r>
      </m:oMath>
      <w:r w:rsidRPr="00494A77">
        <w:t xml:space="preserve"> values</w:t>
      </w:r>
      <w:r>
        <w:t xml:space="preserve"> </w:t>
      </w:r>
      <w:r>
        <w:rPr>
          <w:lang w:val="en-US" w:eastAsia="zh-CN"/>
        </w:rPr>
        <w:t xml:space="preserve">of </w:t>
      </w:r>
      <w:r w:rsidRPr="00A75AB2">
        <w:rPr>
          <w:i/>
          <w:lang w:val="en-US" w:eastAsia="zh-CN"/>
        </w:rPr>
        <w:t>slotFormats</w:t>
      </w:r>
      <w:r w:rsidRPr="00494A77">
        <w:t xml:space="preserve">, the first </w:t>
      </w:r>
      <m:oMath>
        <m:sSup>
          <m:sSupPr>
            <m:ctrlPr>
              <w:rPr>
                <w:rFonts w:ascii="Cambria Math" w:hAnsi="Cambria Math"/>
                <w:i/>
                <w:lang w:val="en-US" w:eastAsia="zh-CN"/>
              </w:rPr>
            </m:ctrlPr>
          </m:sSupPr>
          <m:e>
            <m:r>
              <w:rPr>
                <w:rFonts w:ascii="Cambria Math" w:hAnsi="Cambria Math"/>
                <w:lang w:val="en-US" w:eastAsia="zh-CN"/>
              </w:rPr>
              <m:t>2</m:t>
            </m:r>
          </m:e>
          <m:sup>
            <m:d>
              <m:dPr>
                <m:ctrlPr>
                  <w:rPr>
                    <w:rFonts w:ascii="Cambria Math" w:hAnsi="Cambria Math"/>
                    <w:i/>
                    <w:lang w:val="en-US" w:eastAsia="zh-CN"/>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SFI,SUL</m:t>
                    </m:r>
                  </m:sub>
                </m:sSub>
              </m:e>
            </m:d>
          </m:sup>
        </m:sSup>
      </m:oMath>
      <w:r w:rsidRPr="00494A77">
        <w:t xml:space="preserve"> values for the combination of slot formats are applicable to the reference </w:t>
      </w:r>
      <w:r w:rsidRPr="00494A77">
        <w:rPr>
          <w:lang w:val="en-US"/>
        </w:rPr>
        <w:t>first</w:t>
      </w:r>
      <w:r w:rsidRPr="002176E5">
        <w:t xml:space="preserve"> </w:t>
      </w:r>
      <w:r>
        <w:rPr>
          <w:lang w:val="en-US"/>
        </w:rPr>
        <w:t xml:space="preserve">UL </w:t>
      </w:r>
      <w:r w:rsidRPr="002176E5">
        <w:t>carrier and the next value is applicable to</w:t>
      </w:r>
      <w:r w:rsidRPr="007932F1">
        <w:t xml:space="preserve"> the reference </w:t>
      </w:r>
      <w:r w:rsidRPr="00697DDD">
        <w:rPr>
          <w:lang w:val="en-US"/>
        </w:rPr>
        <w:t xml:space="preserve">second </w:t>
      </w:r>
      <w:r>
        <w:rPr>
          <w:lang w:val="en-US"/>
        </w:rPr>
        <w:t xml:space="preserve">UL </w:t>
      </w:r>
      <w:r w:rsidRPr="0080392F">
        <w:t xml:space="preserve">carrier. </w:t>
      </w:r>
    </w:p>
    <w:p w14:paraId="29C90930" w14:textId="77777777" w:rsidR="00A16711" w:rsidRPr="0080392F" w:rsidRDefault="00A16711" w:rsidP="00A16711">
      <w:r w:rsidRPr="00494A77">
        <w:t>The UE expect</w:t>
      </w:r>
      <w:r>
        <w:t>s</w:t>
      </w:r>
      <w:r w:rsidRPr="00494A77">
        <w:t xml:space="preserve"> to be provided a reference </w:t>
      </w:r>
      <w:r>
        <w:t>SCS</w:t>
      </w:r>
      <w:r w:rsidRPr="00494A77">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SFI,SUL</m:t>
            </m:r>
          </m:sub>
        </m:sSub>
      </m:oMath>
      <w:r w:rsidRPr="00494A77">
        <w:t xml:space="preserve"> so that for an active UL BWP </w:t>
      </w:r>
      <w:r w:rsidRPr="00494A77">
        <w:rPr>
          <w:lang w:val="en-US"/>
        </w:rPr>
        <w:t xml:space="preserve">in the second </w:t>
      </w:r>
      <w:r>
        <w:rPr>
          <w:lang w:val="en-US"/>
        </w:rPr>
        <w:t xml:space="preserve">UL </w:t>
      </w:r>
      <w:r w:rsidRPr="00494A77">
        <w:rPr>
          <w:lang w:val="en-US"/>
        </w:rPr>
        <w:t xml:space="preserve">carrier </w:t>
      </w:r>
      <w:r w:rsidRPr="002176E5">
        <w:t xml:space="preserve">with </w:t>
      </w:r>
      <w:r>
        <w:t>SCS</w:t>
      </w:r>
      <w:r w:rsidRPr="002176E5">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SUL</m:t>
            </m:r>
          </m:sub>
        </m:sSub>
      </m:oMath>
      <w:r w:rsidRPr="00494A77">
        <w:t xml:space="preserve">, it is </w:t>
      </w:r>
      <m:oMath>
        <m:sSub>
          <m:sSubPr>
            <m:ctrlPr>
              <w:rPr>
                <w:rFonts w:ascii="Cambria Math" w:hAnsi="Cambria Math"/>
                <w:i/>
              </w:rPr>
            </m:ctrlPr>
          </m:sSubPr>
          <m:e>
            <m:r>
              <w:rPr>
                <w:rFonts w:ascii="Cambria Math" w:hAnsi="Cambria Math"/>
              </w:rPr>
              <m:t>μ</m:t>
            </m:r>
          </m:e>
          <m:sub>
            <m:r>
              <m:rPr>
                <m:sty m:val="p"/>
              </m:rPr>
              <w:rPr>
                <w:rFonts w:ascii="Cambria Math" w:hAnsi="Cambria Math"/>
              </w:rPr>
              <m:t>SUL</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SFI,SUL</m:t>
            </m:r>
          </m:sub>
        </m:sSub>
      </m:oMath>
      <w:r w:rsidRPr="00494A77">
        <w:t xml:space="preserve">. Each slot format for a combination of slot formats indicated by the SFI-index field in DCI format 2_0 for the reference </w:t>
      </w:r>
      <w:r w:rsidRPr="00494A77">
        <w:rPr>
          <w:lang w:val="en-US"/>
        </w:rPr>
        <w:t xml:space="preserve">first </w:t>
      </w:r>
      <w:r>
        <w:rPr>
          <w:lang w:val="en-US"/>
        </w:rPr>
        <w:t xml:space="preserve">UL </w:t>
      </w:r>
      <w:r w:rsidRPr="00494A77">
        <w:rPr>
          <w:lang w:val="en-US"/>
        </w:rPr>
        <w:t xml:space="preserve">carrier </w:t>
      </w:r>
      <w:r w:rsidRPr="002176E5">
        <w:t xml:space="preserve">is applicable to </w:t>
      </w:r>
      <m:oMath>
        <m:sSup>
          <m:sSupPr>
            <m:ctrlPr>
              <w:rPr>
                <w:rFonts w:ascii="Cambria Math" w:hAnsi="Cambria Math"/>
                <w:i/>
                <w:lang w:val="en-US" w:eastAsia="zh-CN"/>
              </w:rPr>
            </m:ctrlPr>
          </m:sSupPr>
          <m:e>
            <m:r>
              <w:rPr>
                <w:rFonts w:ascii="Cambria Math" w:hAnsi="Cambria Math"/>
                <w:lang w:val="en-US" w:eastAsia="zh-CN"/>
              </w:rPr>
              <m:t>2</m:t>
            </m:r>
          </m:e>
          <m:sup>
            <m:d>
              <m:dPr>
                <m:ctrlPr>
                  <w:rPr>
                    <w:rFonts w:ascii="Cambria Math" w:hAnsi="Cambria Math"/>
                    <w:i/>
                    <w:lang w:val="en-US" w:eastAsia="zh-CN"/>
                  </w:rPr>
                </m:ctrlPr>
              </m:dPr>
              <m:e>
                <m:r>
                  <w:rPr>
                    <w:rFonts w:ascii="Cambria Math" w:hAnsi="Cambria Math"/>
                    <w:lang w:val="en-US" w:eastAsia="zh-CN"/>
                  </w:rPr>
                  <m:t>μ-</m:t>
                </m:r>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e>
            </m:d>
          </m:sup>
        </m:sSup>
      </m:oMath>
      <w:r w:rsidRPr="00494A77">
        <w:t xml:space="preserve"> consecutive slots for the active </w:t>
      </w:r>
      <w:r>
        <w:rPr>
          <w:lang w:val="en-US"/>
        </w:rPr>
        <w:t xml:space="preserve">DL BWP and the active </w:t>
      </w:r>
      <w:r w:rsidRPr="00494A77">
        <w:t xml:space="preserve">UL BWP </w:t>
      </w:r>
      <w:r w:rsidRPr="00494A77">
        <w:rPr>
          <w:lang w:val="en-US"/>
        </w:rPr>
        <w:t>in the f</w:t>
      </w:r>
      <w:r w:rsidRPr="002176E5">
        <w:rPr>
          <w:lang w:val="en-US"/>
        </w:rPr>
        <w:t xml:space="preserve">irst </w:t>
      </w:r>
      <w:r>
        <w:rPr>
          <w:lang w:val="en-US"/>
        </w:rPr>
        <w:t xml:space="preserve">UL carrier </w:t>
      </w:r>
      <w:r w:rsidRPr="002176E5">
        <w:t xml:space="preserve">where the first slot starts at a same time as a first slot in the reference </w:t>
      </w:r>
      <w:r w:rsidRPr="007932F1">
        <w:rPr>
          <w:lang w:val="en-US"/>
        </w:rPr>
        <w:t xml:space="preserve">first </w:t>
      </w:r>
      <w:r>
        <w:rPr>
          <w:lang w:val="en-US"/>
        </w:rPr>
        <w:t xml:space="preserve">UL </w:t>
      </w:r>
      <w:r w:rsidRPr="007932F1">
        <w:rPr>
          <w:lang w:val="en-US"/>
        </w:rPr>
        <w:t>carrier</w:t>
      </w:r>
      <w:r w:rsidRPr="00697DDD">
        <w:t xml:space="preserve">. Each slot format for the combination of slot formats for the reference </w:t>
      </w:r>
      <w:r w:rsidRPr="0080392F">
        <w:rPr>
          <w:lang w:val="en-US"/>
        </w:rPr>
        <w:t xml:space="preserve">second </w:t>
      </w:r>
      <w:r>
        <w:rPr>
          <w:lang w:val="en-US"/>
        </w:rPr>
        <w:t xml:space="preserve">UL </w:t>
      </w:r>
      <w:r w:rsidRPr="0080392F">
        <w:rPr>
          <w:lang w:val="en-US"/>
        </w:rPr>
        <w:t xml:space="preserve">carrier </w:t>
      </w:r>
      <w:r w:rsidRPr="0080392F">
        <w:t xml:space="preserve">is applicable to </w:t>
      </w:r>
      <m:oMath>
        <m:sSup>
          <m:sSupPr>
            <m:ctrlPr>
              <w:rPr>
                <w:rFonts w:ascii="Cambria Math" w:hAnsi="Cambria Math"/>
                <w:i/>
                <w:lang w:val="en-US" w:eastAsia="zh-CN"/>
              </w:rPr>
            </m:ctrlPr>
          </m:sSupPr>
          <m:e>
            <m:r>
              <w:rPr>
                <w:rFonts w:ascii="Cambria Math" w:hAnsi="Cambria Math"/>
                <w:lang w:val="en-US" w:eastAsia="zh-CN"/>
              </w:rPr>
              <m:t>2</m:t>
            </m:r>
          </m:e>
          <m:sup>
            <m:d>
              <m:dPr>
                <m:ctrlPr>
                  <w:rPr>
                    <w:rFonts w:ascii="Cambria Math" w:hAnsi="Cambria Math"/>
                    <w:i/>
                    <w:lang w:val="en-US" w:eastAsia="zh-CN"/>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SUL</m:t>
                    </m:r>
                  </m:sub>
                </m:sSub>
                <m:r>
                  <w:rPr>
                    <w:rFonts w:ascii="Cambria Math" w:hAnsi="Cambria Math"/>
                    <w:lang w:val="en-US" w:eastAsia="zh-CN"/>
                  </w:rPr>
                  <m:t>-</m:t>
                </m:r>
                <m:sSub>
                  <m:sSubPr>
                    <m:ctrlPr>
                      <w:rPr>
                        <w:rFonts w:ascii="Cambria Math" w:hAnsi="Cambria Math"/>
                        <w:i/>
                      </w:rPr>
                    </m:ctrlPr>
                  </m:sSubPr>
                  <m:e>
                    <m:r>
                      <w:rPr>
                        <w:rFonts w:ascii="Cambria Math" w:hAnsi="Cambria Math"/>
                      </w:rPr>
                      <m:t>μ</m:t>
                    </m:r>
                  </m:e>
                  <m:sub>
                    <m:r>
                      <m:rPr>
                        <m:sty m:val="p"/>
                      </m:rPr>
                      <w:rPr>
                        <w:rFonts w:ascii="Cambria Math" w:hAnsi="Cambria Math"/>
                      </w:rPr>
                      <m:t>SFI,SUL</m:t>
                    </m:r>
                  </m:sub>
                </m:sSub>
              </m:e>
            </m:d>
          </m:sup>
        </m:sSup>
      </m:oMath>
      <w:r w:rsidRPr="00494A77">
        <w:t xml:space="preserve"> consecutive slots for the active UL BWP </w:t>
      </w:r>
      <w:r w:rsidRPr="002176E5">
        <w:rPr>
          <w:lang w:val="en-US"/>
        </w:rPr>
        <w:t xml:space="preserve">in the second </w:t>
      </w:r>
      <w:r>
        <w:rPr>
          <w:lang w:val="en-US"/>
        </w:rPr>
        <w:t xml:space="preserve">UL </w:t>
      </w:r>
      <w:r w:rsidRPr="002176E5">
        <w:rPr>
          <w:lang w:val="en-US"/>
        </w:rPr>
        <w:t xml:space="preserve">carrier </w:t>
      </w:r>
      <w:r w:rsidRPr="007932F1">
        <w:t xml:space="preserve">where the first slot starts at a same time as a first slot in the reference </w:t>
      </w:r>
      <w:r w:rsidRPr="00697DDD">
        <w:rPr>
          <w:lang w:val="en-US"/>
        </w:rPr>
        <w:t xml:space="preserve">second </w:t>
      </w:r>
      <w:r>
        <w:rPr>
          <w:lang w:val="en-US"/>
        </w:rPr>
        <w:t xml:space="preserve">UL </w:t>
      </w:r>
      <w:r w:rsidRPr="00697DDD">
        <w:rPr>
          <w:lang w:val="en-US"/>
        </w:rPr>
        <w:t>carrier</w:t>
      </w:r>
      <w:r w:rsidRPr="0080392F">
        <w:t>.</w:t>
      </w:r>
    </w:p>
    <w:p w14:paraId="20724D6E" w14:textId="77777777" w:rsidR="00A16711" w:rsidRPr="00765939" w:rsidRDefault="00A16711" w:rsidP="00A16711">
      <w:pPr>
        <w:rPr>
          <w:lang w:val="en-US"/>
        </w:rPr>
      </w:pPr>
      <w:r>
        <w:rPr>
          <w:lang w:val="en-US"/>
        </w:rPr>
        <w:t xml:space="preserve">If a BWP in the serving cell is configured with </w:t>
      </w:r>
      <m:oMath>
        <m:r>
          <w:rPr>
            <w:rFonts w:ascii="Cambria Math" w:hAnsi="Cambria Math"/>
            <w:lang w:val="en-US" w:eastAsia="zh-CN"/>
          </w:rPr>
          <m:t>μ=2</m:t>
        </m:r>
      </m:oMath>
      <w:r>
        <w:rPr>
          <w:lang w:val="en-US"/>
        </w:rPr>
        <w:t xml:space="preserve"> and with extended CP, the UE expects </w:t>
      </w:r>
      <m:oMath>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r>
          <w:rPr>
            <w:rFonts w:ascii="Cambria Math" w:hAnsi="Cambria Math"/>
          </w:rPr>
          <m:t>=0</m:t>
        </m:r>
      </m:oMath>
      <w:r>
        <w:rPr>
          <w:lang w:val="en-US"/>
        </w:rPr>
        <w:t xml:space="preserve">, </w:t>
      </w:r>
      <m:oMath>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r>
          <w:rPr>
            <w:rFonts w:ascii="Cambria Math" w:hAnsi="Cambria Math"/>
          </w:rPr>
          <m:t>=1</m:t>
        </m:r>
      </m:oMath>
      <w:r>
        <w:t xml:space="preserve">, or </w:t>
      </w:r>
      <m:oMath>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r>
          <w:rPr>
            <w:rFonts w:ascii="Cambria Math" w:hAnsi="Cambria Math"/>
          </w:rPr>
          <m:t>=2</m:t>
        </m:r>
      </m:oMath>
      <w:r>
        <w:rPr>
          <w:lang w:val="en-US"/>
        </w:rPr>
        <w:t xml:space="preserve">. </w:t>
      </w:r>
      <w:r w:rsidRPr="00765939">
        <w:rPr>
          <w:lang w:val="en-US"/>
        </w:rPr>
        <w:t>A format for a slot with extended CP is determined from a format for a slot with normal CP. A UE determines a</w:t>
      </w:r>
      <w:r>
        <w:t>n extended CP symbol</w:t>
      </w:r>
      <w:r w:rsidRPr="003A1066">
        <w:t xml:space="preserve"> </w:t>
      </w:r>
      <w:r>
        <w:rPr>
          <w:lang w:val="en-US"/>
        </w:rPr>
        <w:t>to be a</w:t>
      </w:r>
      <w:r>
        <w:t xml:space="preserve"> downlink/uplink/flexible symbol if the overlapping normal CP symbols that are downlink/uplink/flexible symbols, respectively. </w:t>
      </w:r>
      <w:r w:rsidRPr="00765939">
        <w:rPr>
          <w:lang w:val="en-US"/>
        </w:rPr>
        <w:t>A UE determines a</w:t>
      </w:r>
      <w:r>
        <w:t>n extended CP symbol</w:t>
      </w:r>
      <w:r w:rsidRPr="003A1066">
        <w:t xml:space="preserve"> </w:t>
      </w:r>
      <w:r>
        <w:rPr>
          <w:lang w:val="en-US"/>
        </w:rPr>
        <w:t>to be a</w:t>
      </w:r>
      <w:r>
        <w:t xml:space="preserve"> flexible symbol if one of the overlapping normal CP symbols is flexible.</w:t>
      </w:r>
      <w:r>
        <w:rPr>
          <w:lang w:val="en-US"/>
        </w:rPr>
        <w:t xml:space="preserve"> </w:t>
      </w:r>
      <w:r w:rsidRPr="00765939">
        <w:rPr>
          <w:lang w:val="en-US"/>
        </w:rPr>
        <w:t>A UE determines a</w:t>
      </w:r>
      <w:r>
        <w:t>n extended CP symbol</w:t>
      </w:r>
      <w:r w:rsidRPr="003A1066">
        <w:t xml:space="preserve"> </w:t>
      </w:r>
      <w:r>
        <w:rPr>
          <w:lang w:val="en-US"/>
        </w:rPr>
        <w:t>to be a</w:t>
      </w:r>
      <w:r>
        <w:t xml:space="preserve"> flexible symbol if </w:t>
      </w:r>
      <w:r>
        <w:rPr>
          <w:lang w:val="en-US"/>
        </w:rPr>
        <w:t xml:space="preserve">the pair </w:t>
      </w:r>
      <w:r>
        <w:t>of the overlapping normal CP symbols i</w:t>
      </w:r>
      <w:r>
        <w:rPr>
          <w:lang w:val="en-US"/>
        </w:rPr>
        <w:t>ncludes a</w:t>
      </w:r>
      <w:r>
        <w:t xml:space="preserve"> </w:t>
      </w:r>
      <w:r>
        <w:rPr>
          <w:lang w:val="en-US"/>
        </w:rPr>
        <w:t>downlink and an uplink symbol</w:t>
      </w:r>
      <w:r>
        <w:t>.</w:t>
      </w:r>
    </w:p>
    <w:p w14:paraId="5C114A61" w14:textId="77777777" w:rsidR="00A16711" w:rsidRPr="0080392F" w:rsidRDefault="00A16711" w:rsidP="00A16711">
      <w:pPr>
        <w:rPr>
          <w:lang w:val="en-US" w:eastAsia="zh-CN"/>
        </w:rPr>
      </w:pPr>
      <w:r w:rsidRPr="0080392F">
        <w:rPr>
          <w:lang w:val="en-US"/>
        </w:rPr>
        <w:lastRenderedPageBreak/>
        <w:t xml:space="preserve">A reference </w:t>
      </w:r>
      <w:r>
        <w:rPr>
          <w:lang w:val="en-US"/>
        </w:rPr>
        <w:t>SCS</w:t>
      </w:r>
      <w:r w:rsidRPr="0080392F">
        <w:rPr>
          <w:lang w:val="en-US"/>
        </w:rPr>
        <w:t xml:space="preserve"> configuration </w:t>
      </w:r>
      <m:oMath>
        <m:sSub>
          <m:sSubPr>
            <m:ctrlPr>
              <w:rPr>
                <w:rFonts w:ascii="Cambria Math" w:hAnsi="Cambria Math"/>
                <w:i/>
              </w:rPr>
            </m:ctrlPr>
          </m:sSubPr>
          <m:e>
            <m:r>
              <w:rPr>
                <w:rFonts w:ascii="Cambria Math" w:hAnsi="Cambria Math"/>
              </w:rPr>
              <m:t>μ</m:t>
            </m:r>
          </m:e>
          <m:sub>
            <m:r>
              <m:rPr>
                <m:sty m:val="p"/>
              </m:rPr>
              <w:rPr>
                <w:rFonts w:ascii="Cambria Math" w:hAnsi="Cambria Math"/>
              </w:rPr>
              <m:t>SFI</m:t>
            </m:r>
          </m:sub>
        </m:sSub>
      </m:oMath>
      <w:r w:rsidRPr="00494A77">
        <w:rPr>
          <w:lang w:val="en-US"/>
        </w:rPr>
        <w:t xml:space="preserve">, or </w:t>
      </w:r>
      <m:oMath>
        <m:sSub>
          <m:sSubPr>
            <m:ctrlPr>
              <w:rPr>
                <w:rFonts w:ascii="Cambria Math" w:hAnsi="Cambria Math"/>
                <w:i/>
              </w:rPr>
            </m:ctrlPr>
          </m:sSubPr>
          <m:e>
            <m:r>
              <w:rPr>
                <w:rFonts w:ascii="Cambria Math" w:hAnsi="Cambria Math"/>
              </w:rPr>
              <m:t>μ</m:t>
            </m:r>
          </m:e>
          <m:sub>
            <m:r>
              <m:rPr>
                <m:sty m:val="p"/>
              </m:rPr>
              <w:rPr>
                <w:rFonts w:ascii="Cambria Math" w:hAnsi="Cambria Math"/>
              </w:rPr>
              <m:t>SFI,DL</m:t>
            </m:r>
          </m:sub>
        </m:sSub>
      </m:oMath>
      <w:r w:rsidRPr="00494A77">
        <w:rPr>
          <w:lang w:val="en-US"/>
        </w:rPr>
        <w:t xml:space="preserve">, or </w:t>
      </w:r>
      <m:oMath>
        <m:sSub>
          <m:sSubPr>
            <m:ctrlPr>
              <w:rPr>
                <w:rFonts w:ascii="Cambria Math" w:hAnsi="Cambria Math"/>
                <w:i/>
              </w:rPr>
            </m:ctrlPr>
          </m:sSubPr>
          <m:e>
            <m:r>
              <w:rPr>
                <w:rFonts w:ascii="Cambria Math" w:hAnsi="Cambria Math"/>
              </w:rPr>
              <m:t>μ</m:t>
            </m:r>
          </m:e>
          <m:sub>
            <m:r>
              <m:rPr>
                <m:sty m:val="p"/>
              </m:rPr>
              <w:rPr>
                <w:rFonts w:ascii="Cambria Math" w:hAnsi="Cambria Math"/>
              </w:rPr>
              <m:t>SFI,UL</m:t>
            </m:r>
          </m:sub>
        </m:sSub>
      </m:oMath>
      <w:r w:rsidRPr="00494A77">
        <w:rPr>
          <w:lang w:val="en-US"/>
        </w:rPr>
        <w:t xml:space="preserve">, or </w:t>
      </w:r>
      <m:oMath>
        <m:sSub>
          <m:sSubPr>
            <m:ctrlPr>
              <w:rPr>
                <w:rFonts w:ascii="Cambria Math" w:hAnsi="Cambria Math"/>
                <w:i/>
              </w:rPr>
            </m:ctrlPr>
          </m:sSubPr>
          <m:e>
            <m:r>
              <w:rPr>
                <w:rFonts w:ascii="Cambria Math" w:hAnsi="Cambria Math"/>
              </w:rPr>
              <m:t>μ</m:t>
            </m:r>
          </m:e>
          <m:sub>
            <m:r>
              <m:rPr>
                <m:sty m:val="p"/>
              </m:rPr>
              <w:rPr>
                <w:rFonts w:ascii="Cambria Math" w:hAnsi="Cambria Math"/>
              </w:rPr>
              <m:t>SFI,SUL</m:t>
            </m:r>
          </m:sub>
        </m:sSub>
      </m:oMath>
      <w:r>
        <w:rPr>
          <w:lang w:val="en-US"/>
        </w:rPr>
        <w:t xml:space="preserve"> </w:t>
      </w:r>
      <w:r w:rsidRPr="00494A77">
        <w:rPr>
          <w:lang w:val="en-US"/>
        </w:rPr>
        <w:t xml:space="preserve">is either 0, or 1, or 2 for </w:t>
      </w:r>
      <w:r>
        <w:rPr>
          <w:lang w:val="en-US"/>
        </w:rPr>
        <w:t>FR</w:t>
      </w:r>
      <w:r w:rsidRPr="007932F1">
        <w:rPr>
          <w:lang w:val="en-US"/>
        </w:rPr>
        <w:t>1</w:t>
      </w:r>
      <w:r w:rsidRPr="00697DDD">
        <w:rPr>
          <w:lang w:val="en-US"/>
        </w:rPr>
        <w:t xml:space="preserve"> and is either </w:t>
      </w:r>
      <w:r w:rsidRPr="0080392F">
        <w:rPr>
          <w:lang w:val="en-US"/>
        </w:rPr>
        <w:t xml:space="preserve">2 or 3 for </w:t>
      </w:r>
      <w:r>
        <w:rPr>
          <w:lang w:val="en-US"/>
        </w:rPr>
        <w:t>FR</w:t>
      </w:r>
      <w:r w:rsidRPr="0080392F">
        <w:rPr>
          <w:lang w:val="en-US"/>
        </w:rPr>
        <w:t>2</w:t>
      </w:r>
      <w:r>
        <w:rPr>
          <w:lang w:val="en-US"/>
        </w:rPr>
        <w:t xml:space="preserve">. </w:t>
      </w:r>
    </w:p>
    <w:p w14:paraId="73726B99" w14:textId="7F89C712" w:rsidR="00B06F8A" w:rsidRPr="0080392F" w:rsidRDefault="00B06F8A" w:rsidP="0009732E">
      <w:pPr>
        <w:rPr>
          <w:lang w:val="en-US"/>
        </w:rPr>
      </w:pPr>
      <w:r w:rsidRPr="0080392F">
        <w:rPr>
          <w:lang w:val="en-US"/>
        </w:rPr>
        <w:t>F</w:t>
      </w:r>
      <w:r w:rsidRPr="0080392F">
        <w:t xml:space="preserve">or a set of symbols </w:t>
      </w:r>
      <w:r w:rsidRPr="0080392F">
        <w:rPr>
          <w:lang w:val="en-US"/>
        </w:rPr>
        <w:t>of</w:t>
      </w:r>
      <w:r w:rsidRPr="0080392F">
        <w:t xml:space="preserve"> a slot, a UE </w:t>
      </w:r>
      <w:r w:rsidR="00157137">
        <w:t>does</w:t>
      </w:r>
      <w:r w:rsidR="00157137" w:rsidRPr="0080392F">
        <w:t xml:space="preserve"> </w:t>
      </w:r>
      <w:r w:rsidRPr="0080392F">
        <w:t xml:space="preserve">not expect to detect a DCI format </w:t>
      </w:r>
      <w:r w:rsidRPr="0080392F">
        <w:rPr>
          <w:lang w:val="en-US"/>
        </w:rPr>
        <w:t>2_0</w:t>
      </w:r>
      <w:r w:rsidR="00157137" w:rsidRPr="00157137">
        <w:rPr>
          <w:lang w:val="en-US"/>
        </w:rPr>
        <w:t xml:space="preserve"> </w:t>
      </w:r>
      <w:r w:rsidR="00157137">
        <w:rPr>
          <w:lang w:val="en-US"/>
        </w:rPr>
        <w:t>with an SFI-index field value</w:t>
      </w:r>
      <w:r w:rsidRPr="0080392F">
        <w:t xml:space="preserve"> indicat</w:t>
      </w:r>
      <w:r w:rsidRPr="0080392F">
        <w:rPr>
          <w:lang w:val="en-US"/>
        </w:rPr>
        <w:t>ing</w:t>
      </w:r>
      <w:r w:rsidRPr="0080392F">
        <w:t xml:space="preserve"> the set of symbols </w:t>
      </w:r>
      <w:r w:rsidRPr="0080392F">
        <w:rPr>
          <w:lang w:val="en-US"/>
        </w:rPr>
        <w:t xml:space="preserve">of the slot </w:t>
      </w:r>
      <w:r w:rsidRPr="0080392F">
        <w:t>as uplin</w:t>
      </w:r>
      <w:r w:rsidRPr="0080392F">
        <w:rPr>
          <w:lang w:val="en-US"/>
        </w:rPr>
        <w:t>k</w:t>
      </w:r>
      <w:r w:rsidRPr="0080392F">
        <w:t xml:space="preserve"> and </w:t>
      </w:r>
      <w:r w:rsidRPr="0080392F">
        <w:rPr>
          <w:lang w:val="en-US"/>
        </w:rPr>
        <w:t xml:space="preserve">to </w:t>
      </w:r>
      <w:r w:rsidRPr="0080392F">
        <w:t xml:space="preserve">detect a DCI format </w:t>
      </w:r>
      <w:r w:rsidRPr="0080392F">
        <w:rPr>
          <w:lang w:val="en-US"/>
        </w:rPr>
        <w:t>indicating</w:t>
      </w:r>
      <w:r w:rsidRPr="0080392F">
        <w:t xml:space="preserve"> </w:t>
      </w:r>
      <w:r w:rsidRPr="0080392F">
        <w:rPr>
          <w:lang w:val="en-US"/>
        </w:rPr>
        <w:t xml:space="preserve">to the UE to receive PDSCH or CSI-RS in the set of symbols of the </w:t>
      </w:r>
      <w:r w:rsidRPr="0080392F">
        <w:t>slot</w:t>
      </w:r>
      <w:r w:rsidRPr="0080392F">
        <w:rPr>
          <w:lang w:val="en-US"/>
        </w:rPr>
        <w:t>.</w:t>
      </w:r>
    </w:p>
    <w:p w14:paraId="0796AED1" w14:textId="330C65BE" w:rsidR="00B06F8A" w:rsidRPr="0080392F" w:rsidRDefault="00B06F8A" w:rsidP="0009732E">
      <w:pPr>
        <w:rPr>
          <w:lang w:val="en-US"/>
        </w:rPr>
      </w:pPr>
      <w:r w:rsidRPr="0080392F">
        <w:rPr>
          <w:lang w:val="en-US"/>
        </w:rPr>
        <w:t>F</w:t>
      </w:r>
      <w:r w:rsidRPr="0080392F">
        <w:t xml:space="preserve">or a set of symbols </w:t>
      </w:r>
      <w:r w:rsidRPr="0080392F">
        <w:rPr>
          <w:lang w:val="en-US"/>
        </w:rPr>
        <w:t>of</w:t>
      </w:r>
      <w:r w:rsidRPr="0080392F">
        <w:t xml:space="preserve"> a slot, a UE </w:t>
      </w:r>
      <w:r w:rsidR="00AB6F90">
        <w:t>does</w:t>
      </w:r>
      <w:r w:rsidR="00AB6F90" w:rsidRPr="0080392F">
        <w:t xml:space="preserve"> </w:t>
      </w:r>
      <w:r w:rsidRPr="0080392F">
        <w:t xml:space="preserve">not expect to detect a DCI format </w:t>
      </w:r>
      <w:r w:rsidRPr="0080392F">
        <w:rPr>
          <w:lang w:val="en-US"/>
        </w:rPr>
        <w:t>2_0</w:t>
      </w:r>
      <w:r w:rsidR="00AB6F90" w:rsidRPr="00AB6F90">
        <w:rPr>
          <w:lang w:val="en-US"/>
        </w:rPr>
        <w:t xml:space="preserve"> </w:t>
      </w:r>
      <w:r w:rsidR="00AB6F90">
        <w:rPr>
          <w:lang w:val="en-US"/>
        </w:rPr>
        <w:t>with an SFI-index field value</w:t>
      </w:r>
      <w:r w:rsidRPr="0080392F">
        <w:t xml:space="preserve"> indicat</w:t>
      </w:r>
      <w:r w:rsidRPr="0080392F">
        <w:rPr>
          <w:lang w:val="en-US"/>
        </w:rPr>
        <w:t>ing</w:t>
      </w:r>
      <w:r w:rsidRPr="0080392F">
        <w:t xml:space="preserve"> the set of symbols </w:t>
      </w:r>
      <w:r w:rsidRPr="0080392F">
        <w:rPr>
          <w:lang w:val="en-US"/>
        </w:rPr>
        <w:t xml:space="preserve">in the slot </w:t>
      </w:r>
      <w:r w:rsidRPr="0080392F">
        <w:t xml:space="preserve">as </w:t>
      </w:r>
      <w:r w:rsidRPr="0080392F">
        <w:rPr>
          <w:lang w:val="en-US"/>
        </w:rPr>
        <w:t>down</w:t>
      </w:r>
      <w:r w:rsidRPr="0080392F">
        <w:t xml:space="preserve">link and </w:t>
      </w:r>
      <w:r w:rsidRPr="0080392F">
        <w:rPr>
          <w:lang w:val="en-US"/>
        </w:rPr>
        <w:t xml:space="preserve">to </w:t>
      </w:r>
      <w:r w:rsidRPr="0080392F">
        <w:t>detect a DCI format</w:t>
      </w:r>
      <w:r w:rsidR="00905F5E">
        <w:t>, a RAR UL grant</w:t>
      </w:r>
      <w:r w:rsidR="00976364">
        <w:t>, fallbackRAR UL grant, or successRAR</w:t>
      </w:r>
      <w:r w:rsidRPr="0080392F">
        <w:t xml:space="preserve"> </w:t>
      </w:r>
      <w:r w:rsidRPr="0080392F">
        <w:rPr>
          <w:lang w:val="en-US"/>
        </w:rPr>
        <w:t>indicating</w:t>
      </w:r>
      <w:r w:rsidRPr="0080392F">
        <w:t xml:space="preserve"> </w:t>
      </w:r>
      <w:r w:rsidRPr="0080392F">
        <w:rPr>
          <w:lang w:val="en-US"/>
        </w:rPr>
        <w:t>to the UE to transmit</w:t>
      </w:r>
      <w:r w:rsidRPr="0080392F">
        <w:t xml:space="preserve"> </w:t>
      </w:r>
      <w:r w:rsidRPr="0080392F">
        <w:rPr>
          <w:lang w:val="en-US"/>
        </w:rPr>
        <w:t xml:space="preserve">PUSCH, PUCCH, PRACH, or SRS </w:t>
      </w:r>
      <w:r w:rsidRPr="0080392F">
        <w:t xml:space="preserve">in the set of symbols </w:t>
      </w:r>
      <w:r w:rsidRPr="0080392F">
        <w:rPr>
          <w:lang w:val="en-US"/>
        </w:rPr>
        <w:t>of</w:t>
      </w:r>
      <w:r w:rsidRPr="0080392F">
        <w:t xml:space="preserve"> </w:t>
      </w:r>
      <w:r w:rsidRPr="0080392F">
        <w:rPr>
          <w:lang w:val="en-US"/>
        </w:rPr>
        <w:t xml:space="preserve">the </w:t>
      </w:r>
      <w:r w:rsidRPr="0080392F">
        <w:t>slot</w:t>
      </w:r>
      <w:r w:rsidRPr="0080392F">
        <w:rPr>
          <w:lang w:val="en-US"/>
        </w:rPr>
        <w:t>.</w:t>
      </w:r>
      <w:r w:rsidRPr="0080392F">
        <w:t xml:space="preserve"> </w:t>
      </w:r>
    </w:p>
    <w:p w14:paraId="13C59A80" w14:textId="77777777" w:rsidR="00AF2DCE" w:rsidRPr="00370E38" w:rsidRDefault="00AF2DCE" w:rsidP="00AF2DCE">
      <w:pPr>
        <w:rPr>
          <w:lang w:eastAsia="zh-CN"/>
        </w:rPr>
      </w:pPr>
      <w:r w:rsidRPr="00370E38">
        <w:rPr>
          <w:lang w:eastAsia="ko-KR"/>
        </w:rPr>
        <w:t>For a set of symbols of a slot that are indicated by a DCI format 2_0 as being within a remaining channel occupancy duration either by a channel occupancy duration field or by an SFI-index field, a UE does not expect to detect at a later time a DCI format 2_0 indicating, either by a channel occupancy duration field or by an SFI-index field, that any symbol from the set of symbols is not within a remaining channel occupancy duration.</w:t>
      </w:r>
    </w:p>
    <w:p w14:paraId="3ABD407F" w14:textId="77777777" w:rsidR="00B06F8A" w:rsidRPr="0080392F" w:rsidRDefault="00B06F8A" w:rsidP="0009732E">
      <w:pPr>
        <w:rPr>
          <w:lang w:val="en-US"/>
        </w:rPr>
      </w:pPr>
      <w:r w:rsidRPr="0080392F">
        <w:rPr>
          <w:lang w:val="en-US"/>
        </w:rPr>
        <w:t>F</w:t>
      </w:r>
      <w:r w:rsidRPr="0080392F">
        <w:t xml:space="preserve">or a set of symbols </w:t>
      </w:r>
      <w:r w:rsidRPr="0080392F">
        <w:rPr>
          <w:lang w:val="en-US"/>
        </w:rPr>
        <w:t>of</w:t>
      </w:r>
      <w:r w:rsidRPr="0080392F">
        <w:t xml:space="preserve"> a slot that are indicated as downlink</w:t>
      </w:r>
      <w:r w:rsidRPr="0080392F">
        <w:rPr>
          <w:lang w:val="en-US"/>
        </w:rPr>
        <w:t>/</w:t>
      </w:r>
      <w:r w:rsidRPr="0080392F">
        <w:t xml:space="preserve">uplink by </w:t>
      </w:r>
      <w:r w:rsidR="00A567A6">
        <w:rPr>
          <w:i/>
        </w:rPr>
        <w:t>tdd</w:t>
      </w:r>
      <w:r w:rsidR="00AB6F90" w:rsidRPr="00FE7E1C">
        <w:rPr>
          <w:i/>
        </w:rPr>
        <w:t>-</w:t>
      </w:r>
      <w:r w:rsidR="00AB6F90" w:rsidRPr="0080392F">
        <w:rPr>
          <w:i/>
          <w:lang w:val="en-US"/>
        </w:rPr>
        <w:t>UL-DL-</w:t>
      </w:r>
      <w:r w:rsidR="00AB6F90">
        <w:rPr>
          <w:i/>
          <w:lang w:val="en-US"/>
        </w:rPr>
        <w:t>C</w:t>
      </w:r>
      <w:r w:rsidR="00AB6F90" w:rsidRPr="0080392F">
        <w:rPr>
          <w:i/>
          <w:lang w:val="en-US"/>
        </w:rPr>
        <w:t>onfiguration</w:t>
      </w:r>
      <w:r w:rsidR="00AB6F90">
        <w:rPr>
          <w:i/>
          <w:lang w:val="en-US"/>
        </w:rPr>
        <w:t>C</w:t>
      </w:r>
      <w:r w:rsidR="00AB6F90" w:rsidRPr="0080392F">
        <w:rPr>
          <w:i/>
          <w:lang w:val="en-US"/>
        </w:rPr>
        <w:t>ommon</w:t>
      </w:r>
      <w:r w:rsidR="00AB6F90" w:rsidRPr="0080392F">
        <w:rPr>
          <w:lang w:val="en-US"/>
        </w:rPr>
        <w:t>,</w:t>
      </w:r>
      <w:r w:rsidR="00AB6F90">
        <w:rPr>
          <w:lang w:val="en-US"/>
        </w:rPr>
        <w:t xml:space="preserve"> </w:t>
      </w:r>
      <w:r w:rsidR="00AB6F90" w:rsidRPr="0080392F">
        <w:rPr>
          <w:lang w:val="en-US"/>
        </w:rPr>
        <w:t xml:space="preserve">or </w:t>
      </w:r>
      <w:r w:rsidR="00A567A6">
        <w:rPr>
          <w:i/>
          <w:lang w:val="en-US"/>
        </w:rPr>
        <w:t>tdd</w:t>
      </w:r>
      <w:r w:rsidR="00AB6F90" w:rsidRPr="0023005A">
        <w:rPr>
          <w:i/>
          <w:lang w:val="en-US"/>
        </w:rPr>
        <w:t>-</w:t>
      </w:r>
      <w:r w:rsidR="00AB6F90" w:rsidRPr="0080392F">
        <w:rPr>
          <w:i/>
          <w:lang w:val="en-US"/>
        </w:rPr>
        <w:t>UL-DL-</w:t>
      </w:r>
      <w:r w:rsidR="00AB6F90">
        <w:rPr>
          <w:i/>
          <w:lang w:val="en-US"/>
        </w:rPr>
        <w:t>C</w:t>
      </w:r>
      <w:r w:rsidR="00AB6F90" w:rsidRPr="0080392F">
        <w:rPr>
          <w:i/>
          <w:lang w:val="en-US"/>
        </w:rPr>
        <w:t>onfig</w:t>
      </w:r>
      <w:r w:rsidR="00A567A6">
        <w:rPr>
          <w:i/>
          <w:lang w:val="en-US"/>
        </w:rPr>
        <w:t>uration</w:t>
      </w:r>
      <w:r w:rsidR="00AB6F90">
        <w:rPr>
          <w:i/>
          <w:lang w:val="en-US"/>
        </w:rPr>
        <w:t>D</w:t>
      </w:r>
      <w:r w:rsidR="00AB6F90" w:rsidRPr="0080392F">
        <w:rPr>
          <w:i/>
          <w:lang w:val="en-US"/>
        </w:rPr>
        <w:t>edicated</w:t>
      </w:r>
      <w:r w:rsidRPr="0080392F">
        <w:rPr>
          <w:lang w:val="en-US"/>
        </w:rPr>
        <w:t>, the</w:t>
      </w:r>
      <w:r w:rsidRPr="0080392F">
        <w:t xml:space="preserve"> UE </w:t>
      </w:r>
      <w:r w:rsidR="00AB6F90">
        <w:t>does</w:t>
      </w:r>
      <w:r w:rsidR="00AB6F90" w:rsidRPr="0080392F">
        <w:t xml:space="preserve"> </w:t>
      </w:r>
      <w:r w:rsidRPr="0080392F">
        <w:t xml:space="preserve">not expect to detect a DCI format </w:t>
      </w:r>
      <w:r w:rsidRPr="0080392F">
        <w:rPr>
          <w:lang w:val="en-US"/>
        </w:rPr>
        <w:t>2_0</w:t>
      </w:r>
      <w:r w:rsidR="00AB6F90" w:rsidRPr="00AB6F90">
        <w:rPr>
          <w:lang w:val="en-US"/>
        </w:rPr>
        <w:t xml:space="preserve"> </w:t>
      </w:r>
      <w:r w:rsidR="00AB6F90">
        <w:rPr>
          <w:lang w:val="en-US"/>
        </w:rPr>
        <w:t>with an SFI-index field value</w:t>
      </w:r>
      <w:r w:rsidRPr="0080392F">
        <w:t xml:space="preserve"> indicat</w:t>
      </w:r>
      <w:r w:rsidRPr="0080392F">
        <w:rPr>
          <w:lang w:val="en-US"/>
        </w:rPr>
        <w:t>ing</w:t>
      </w:r>
      <w:r w:rsidRPr="0080392F">
        <w:t xml:space="preserve"> the set of symbols </w:t>
      </w:r>
      <w:r w:rsidRPr="0080392F">
        <w:rPr>
          <w:lang w:val="en-US"/>
        </w:rPr>
        <w:t>of</w:t>
      </w:r>
      <w:r w:rsidRPr="0080392F">
        <w:t xml:space="preserve"> </w:t>
      </w:r>
      <w:r w:rsidRPr="0080392F">
        <w:rPr>
          <w:lang w:val="en-US"/>
        </w:rPr>
        <w:t xml:space="preserve">the </w:t>
      </w:r>
      <w:r w:rsidRPr="0080392F">
        <w:t>slot</w:t>
      </w:r>
      <w:r w:rsidRPr="0080392F">
        <w:rPr>
          <w:i/>
        </w:rPr>
        <w:t xml:space="preserve"> </w:t>
      </w:r>
      <w:r w:rsidRPr="0080392F">
        <w:t>as uplink</w:t>
      </w:r>
      <w:r w:rsidRPr="0080392F">
        <w:rPr>
          <w:lang w:val="en-US"/>
        </w:rPr>
        <w:t>/</w:t>
      </w:r>
      <w:r w:rsidRPr="0080392F">
        <w:t>downlink, respectively, or as flexible.</w:t>
      </w:r>
    </w:p>
    <w:p w14:paraId="0960274D" w14:textId="57DF68FB" w:rsidR="00AB6F90" w:rsidRDefault="00AB6F90" w:rsidP="00AB6F90">
      <w:pPr>
        <w:pStyle w:val="B1"/>
        <w:ind w:left="0" w:firstLine="14"/>
      </w:pPr>
      <w:r w:rsidRPr="0080392F">
        <w:rPr>
          <w:lang w:val="en-US"/>
        </w:rPr>
        <w:t>F</w:t>
      </w:r>
      <w:r w:rsidRPr="0080392F">
        <w:t xml:space="preserve">or a set of symbols </w:t>
      </w:r>
      <w:r w:rsidRPr="0080392F">
        <w:rPr>
          <w:lang w:val="en-US"/>
        </w:rPr>
        <w:t>of</w:t>
      </w:r>
      <w:r w:rsidRPr="0080392F">
        <w:t xml:space="preserve"> a slot </w:t>
      </w:r>
      <w:r w:rsidR="00421DE7">
        <w:t xml:space="preserve">corresponding to SS/PBCH blocks with </w:t>
      </w:r>
      <w:r w:rsidR="00CB12F8">
        <w:rPr>
          <w:rFonts w:eastAsia="DengXian"/>
        </w:rPr>
        <w:t xml:space="preserve">candidate SS/PBCH block indices corresponding to the SS/PBCH block </w:t>
      </w:r>
      <w:r w:rsidR="00421DE7">
        <w:t xml:space="preserve">indexes </w:t>
      </w:r>
      <w:r w:rsidRPr="0080392F">
        <w:rPr>
          <w:lang w:val="en-GB"/>
        </w:rPr>
        <w:t xml:space="preserve">indicated </w:t>
      </w:r>
      <w:r>
        <w:rPr>
          <w:lang w:val="en-GB"/>
        </w:rPr>
        <w:t xml:space="preserve">to a UE </w:t>
      </w:r>
      <w:r w:rsidRPr="0080392F">
        <w:rPr>
          <w:lang w:val="en-GB"/>
        </w:rPr>
        <w:t xml:space="preserve">by </w:t>
      </w:r>
      <w:r w:rsidRPr="00301521">
        <w:rPr>
          <w:i/>
        </w:rPr>
        <w:t>ssb-PositionsInBurst</w:t>
      </w:r>
      <w:r w:rsidRPr="00B916EC">
        <w:t xml:space="preserve"> </w:t>
      </w:r>
      <w:r>
        <w:rPr>
          <w:lang w:val="en-US"/>
        </w:rPr>
        <w:t xml:space="preserve">in </w:t>
      </w:r>
      <w:r w:rsidR="00050DF4">
        <w:rPr>
          <w:i/>
        </w:rPr>
        <w:t>SIB1</w:t>
      </w:r>
      <w:r w:rsidR="00421DE7">
        <w:rPr>
          <w:i/>
          <w:lang w:val="en-US"/>
        </w:rPr>
        <w:t>,</w:t>
      </w:r>
      <w:r>
        <w:t xml:space="preserve"> or</w:t>
      </w:r>
      <w:r w:rsidR="00421DE7">
        <w:rPr>
          <w:lang w:val="en-US"/>
        </w:rPr>
        <w:t xml:space="preserve"> by</w:t>
      </w:r>
      <w:r w:rsidRPr="00B916EC">
        <w:t xml:space="preserve"> </w:t>
      </w:r>
      <w:r w:rsidRPr="00301521">
        <w:rPr>
          <w:i/>
        </w:rPr>
        <w:t>ssb-PositionsInBurst</w:t>
      </w:r>
      <w:r>
        <w:rPr>
          <w:lang w:val="en-US"/>
        </w:rPr>
        <w:t xml:space="preserve"> in </w:t>
      </w:r>
      <w:r w:rsidRPr="00A94818">
        <w:rPr>
          <w:i/>
        </w:rPr>
        <w:t>ServingCellConfigCommon</w:t>
      </w:r>
      <w:r w:rsidRPr="0080392F">
        <w:rPr>
          <w:lang w:val="en-US"/>
        </w:rPr>
        <w:t xml:space="preserve">, </w:t>
      </w:r>
      <w:r w:rsidR="00CB12F8">
        <w:rPr>
          <w:lang w:val="en-US"/>
        </w:rPr>
        <w:t xml:space="preserve">as described </w:t>
      </w:r>
      <w:r w:rsidR="006F5F9E">
        <w:rPr>
          <w:lang w:val="en-US"/>
        </w:rPr>
        <w:t>in clause</w:t>
      </w:r>
      <w:r w:rsidR="00CB12F8">
        <w:rPr>
          <w:lang w:val="en-US"/>
        </w:rPr>
        <w:t xml:space="preserve"> 4.1</w:t>
      </w:r>
      <w:r w:rsidR="00E33222">
        <w:rPr>
          <w:lang w:val="en-US"/>
        </w:rPr>
        <w:t xml:space="preserve">, </w:t>
      </w:r>
      <w:r w:rsidR="00E33222">
        <w:rPr>
          <w:iCs/>
        </w:rPr>
        <w:t xml:space="preserve">or by </w:t>
      </w:r>
      <w:r w:rsidR="00E33222" w:rsidRPr="00FB4978">
        <w:rPr>
          <w:i/>
          <w:iCs/>
          <w:lang w:eastAsia="en-GB"/>
        </w:rPr>
        <w:t>No</w:t>
      </w:r>
      <w:r w:rsidR="00E33222">
        <w:rPr>
          <w:i/>
          <w:iCs/>
          <w:lang w:eastAsia="en-GB"/>
        </w:rPr>
        <w:t>nCellDefining</w:t>
      </w:r>
      <w:r w:rsidR="00E33222" w:rsidRPr="00FB4978">
        <w:rPr>
          <w:i/>
          <w:iCs/>
          <w:lang w:eastAsia="en-GB"/>
        </w:rPr>
        <w:t>SSB</w:t>
      </w:r>
      <w:r w:rsidR="00C67D38" w:rsidRPr="00037243">
        <w:rPr>
          <w:lang w:val="en-US"/>
        </w:rPr>
        <w:t xml:space="preserve"> or</w:t>
      </w:r>
      <w:r w:rsidR="00232CC0">
        <w:rPr>
          <w:lang w:val="en-US"/>
        </w:rPr>
        <w:t>,</w:t>
      </w:r>
      <w:r w:rsidR="00C67D38" w:rsidRPr="00C67D38">
        <w:rPr>
          <w:lang w:val="en-US"/>
        </w:rPr>
        <w:t xml:space="preserve"> </w:t>
      </w:r>
      <w:r w:rsidR="00C67D38" w:rsidRPr="00037243">
        <w:rPr>
          <w:lang w:val="en-US"/>
        </w:rPr>
        <w:t>if the UE is not provided</w:t>
      </w:r>
      <w:r w:rsidR="00C67D38" w:rsidRPr="00037243">
        <w:t xml:space="preserve"> </w:t>
      </w:r>
      <w:r w:rsidR="00265EEE" w:rsidRPr="007342E7">
        <w:rPr>
          <w:rFonts w:cs="Times"/>
          <w:i/>
          <w:szCs w:val="18"/>
          <w:lang w:eastAsia="zh-CN"/>
        </w:rPr>
        <w:t>dl-OrJointTCI</w:t>
      </w:r>
      <w:r w:rsidR="00DA1AB5">
        <w:rPr>
          <w:rFonts w:cs="Times"/>
          <w:i/>
          <w:szCs w:val="18"/>
          <w:lang w:val="en-GB" w:eastAsia="zh-CN"/>
        </w:rPr>
        <w:t>-</w:t>
      </w:r>
      <w:r w:rsidR="00265EEE" w:rsidRPr="007342E7">
        <w:rPr>
          <w:rFonts w:cs="Times"/>
          <w:i/>
          <w:szCs w:val="18"/>
          <w:lang w:eastAsia="zh-CN"/>
        </w:rPr>
        <w:t>StateList</w:t>
      </w:r>
      <w:r w:rsidR="00C67D38" w:rsidRPr="00037243">
        <w:rPr>
          <w:lang w:val="en-US"/>
        </w:rPr>
        <w:t xml:space="preserve">, </w:t>
      </w:r>
      <w:r w:rsidR="00C67D38" w:rsidRPr="00037243">
        <w:t xml:space="preserve">by </w:t>
      </w:r>
      <w:r w:rsidR="00C67D38" w:rsidRPr="00037243">
        <w:rPr>
          <w:i/>
        </w:rPr>
        <w:t>ssb-PositionsInBurst</w:t>
      </w:r>
      <w:r w:rsidR="00C67D38" w:rsidRPr="00037243">
        <w:t xml:space="preserve"> </w:t>
      </w:r>
      <w:r w:rsidR="00C67D38" w:rsidRPr="00037243">
        <w:rPr>
          <w:lang w:val="en-US"/>
        </w:rPr>
        <w:t xml:space="preserve">in </w:t>
      </w:r>
      <w:r w:rsidR="00C67D38" w:rsidRPr="00037243">
        <w:rPr>
          <w:i/>
          <w:iCs/>
          <w:lang w:val="en-US"/>
        </w:rPr>
        <w:t>SSB-MTCAdditionalPCI</w:t>
      </w:r>
      <w:r w:rsidR="00C67D38" w:rsidRPr="00037243">
        <w:rPr>
          <w:lang w:val="en-US"/>
        </w:rPr>
        <w:t xml:space="preserve"> associated to physical cell ID with active TCI states</w:t>
      </w:r>
      <w:r w:rsidR="00F31BB9">
        <w:rPr>
          <w:lang w:val="en-US"/>
        </w:rPr>
        <w:t xml:space="preserve"> </w:t>
      </w:r>
      <w:r w:rsidR="00F31BB9" w:rsidRPr="000C2077">
        <w:t>for PDCCH or PDSCH, or for a set of symbols of a slot corresponding to SS/PBCH blocks configured for L1 beam measurement/reporting</w:t>
      </w:r>
      <w:r w:rsidR="00CB12F8">
        <w:rPr>
          <w:lang w:val="en-US"/>
        </w:rPr>
        <w:t xml:space="preserve">, </w:t>
      </w:r>
      <w:r w:rsidRPr="0080392F">
        <w:rPr>
          <w:lang w:val="en-US"/>
        </w:rPr>
        <w:t>the</w:t>
      </w:r>
      <w:r>
        <w:t xml:space="preserve"> UE does not expect</w:t>
      </w:r>
      <w:r w:rsidRPr="0080392F">
        <w:t xml:space="preserve"> to detect a DCI format </w:t>
      </w:r>
      <w:r w:rsidRPr="0080392F">
        <w:rPr>
          <w:lang w:val="en-US"/>
        </w:rPr>
        <w:t>2_0</w:t>
      </w:r>
      <w:r w:rsidRPr="0080392F">
        <w:t xml:space="preserve"> </w:t>
      </w:r>
      <w:r>
        <w:rPr>
          <w:lang w:val="en-US"/>
        </w:rPr>
        <w:t xml:space="preserve">with an SFI-index field value </w:t>
      </w:r>
      <w:r w:rsidRPr="0080392F">
        <w:t>indicat</w:t>
      </w:r>
      <w:r w:rsidRPr="0080392F">
        <w:rPr>
          <w:lang w:val="en-US"/>
        </w:rPr>
        <w:t>ing</w:t>
      </w:r>
      <w:r w:rsidRPr="0080392F">
        <w:t xml:space="preserve"> the set of symbols </w:t>
      </w:r>
      <w:r w:rsidRPr="0080392F">
        <w:rPr>
          <w:lang w:val="en-US"/>
        </w:rPr>
        <w:t>of</w:t>
      </w:r>
      <w:r w:rsidRPr="0080392F">
        <w:t xml:space="preserve"> </w:t>
      </w:r>
      <w:r w:rsidRPr="0080392F">
        <w:rPr>
          <w:lang w:val="en-US"/>
        </w:rPr>
        <w:t xml:space="preserve">the </w:t>
      </w:r>
      <w:r w:rsidRPr="0080392F">
        <w:t>slot</w:t>
      </w:r>
      <w:r w:rsidRPr="0080392F">
        <w:rPr>
          <w:i/>
        </w:rPr>
        <w:t xml:space="preserve"> </w:t>
      </w:r>
      <w:r w:rsidRPr="0080392F">
        <w:t>as uplink.</w:t>
      </w:r>
    </w:p>
    <w:p w14:paraId="48D05C4F" w14:textId="28CCFFED" w:rsidR="00AB6F90" w:rsidRDefault="00AB6F90" w:rsidP="00AB6F90">
      <w:pPr>
        <w:pStyle w:val="B1"/>
        <w:ind w:left="0" w:firstLine="14"/>
      </w:pPr>
      <w:r w:rsidRPr="0080392F">
        <w:rPr>
          <w:lang w:val="en-US"/>
        </w:rPr>
        <w:t>F</w:t>
      </w:r>
      <w:r w:rsidRPr="0080392F">
        <w:t xml:space="preserve">or a set of symbols </w:t>
      </w:r>
      <w:r w:rsidRPr="0080392F">
        <w:rPr>
          <w:lang w:val="en-US"/>
        </w:rPr>
        <w:t>of</w:t>
      </w:r>
      <w:r w:rsidRPr="0080392F">
        <w:t xml:space="preserve"> a slot </w:t>
      </w:r>
      <w:r w:rsidR="00613833" w:rsidRPr="00892059">
        <w:rPr>
          <w:rFonts w:eastAsia="DengXian"/>
        </w:rPr>
        <w:t>corresponding to a valid PRACH occasion</w:t>
      </w:r>
      <w:r w:rsidR="00613833">
        <w:rPr>
          <w:rFonts w:eastAsia="DengXian" w:hint="eastAsia"/>
          <w:lang w:eastAsia="zh-CN"/>
        </w:rPr>
        <w:t xml:space="preserve"> </w:t>
      </w:r>
      <w:r w:rsidR="00613833" w:rsidRPr="00892059">
        <w:rPr>
          <w:rFonts w:eastAsia="DengXian"/>
        </w:rPr>
        <w:t xml:space="preserve">and </w:t>
      </w:r>
      <m:oMath>
        <m:sSub>
          <m:sSubPr>
            <m:ctrlPr>
              <w:rPr>
                <w:rFonts w:ascii="Cambria Math" w:hAnsi="Cambria Math"/>
                <w:i/>
                <w:lang w:val="en-GB"/>
              </w:rPr>
            </m:ctrlPr>
          </m:sSubPr>
          <m:e>
            <m:r>
              <w:rPr>
                <w:rFonts w:ascii="Cambria Math" w:hAnsi="Cambria Math"/>
              </w:rPr>
              <m:t>N</m:t>
            </m:r>
          </m:e>
          <m:sub>
            <m:r>
              <m:rPr>
                <m:sty m:val="p"/>
              </m:rPr>
              <w:rPr>
                <w:rFonts w:ascii="Cambria Math" w:hAnsi="Cambria Math"/>
              </w:rPr>
              <m:t>gap</m:t>
            </m:r>
          </m:sub>
        </m:sSub>
      </m:oMath>
      <w:r w:rsidR="00613833" w:rsidRPr="00892059">
        <w:t xml:space="preserve"> symbols before the valid PRACH occasion</w:t>
      </w:r>
      <w:r w:rsidR="00613833" w:rsidRPr="00892059">
        <w:rPr>
          <w:rFonts w:eastAsia="DengXian"/>
        </w:rPr>
        <w:t xml:space="preserve">, as described </w:t>
      </w:r>
      <w:r w:rsidR="006F5F9E">
        <w:rPr>
          <w:rFonts w:eastAsia="DengXian"/>
        </w:rPr>
        <w:t>in clause</w:t>
      </w:r>
      <w:r w:rsidR="00A16711" w:rsidRPr="00892059">
        <w:rPr>
          <w:rFonts w:eastAsia="DengXian"/>
        </w:rPr>
        <w:t xml:space="preserve"> </w:t>
      </w:r>
      <w:r w:rsidR="00613833" w:rsidRPr="00892059">
        <w:rPr>
          <w:rFonts w:eastAsia="DengXian"/>
        </w:rPr>
        <w:t>8.1</w:t>
      </w:r>
      <w:r w:rsidRPr="0080392F">
        <w:t>,</w:t>
      </w:r>
      <w:r w:rsidRPr="0080392F">
        <w:rPr>
          <w:lang w:val="en-US"/>
        </w:rPr>
        <w:t xml:space="preserve"> the</w:t>
      </w:r>
      <w:r>
        <w:t xml:space="preserve"> UE does not expect </w:t>
      </w:r>
      <w:r w:rsidRPr="0080392F">
        <w:t xml:space="preserve">to detect a DCI format </w:t>
      </w:r>
      <w:r w:rsidRPr="0080392F">
        <w:rPr>
          <w:lang w:val="en-US"/>
        </w:rPr>
        <w:t>2_0</w:t>
      </w:r>
      <w:r w:rsidRPr="0080392F">
        <w:t xml:space="preserve"> </w:t>
      </w:r>
      <w:r>
        <w:rPr>
          <w:lang w:val="en-US"/>
        </w:rPr>
        <w:t xml:space="preserve">with an SFI-index field value </w:t>
      </w:r>
      <w:r w:rsidRPr="0080392F">
        <w:t>indicat</w:t>
      </w:r>
      <w:r w:rsidRPr="0080392F">
        <w:rPr>
          <w:lang w:val="en-US"/>
        </w:rPr>
        <w:t>ing</w:t>
      </w:r>
      <w:r w:rsidRPr="0080392F">
        <w:t xml:space="preserve"> the set of symbols </w:t>
      </w:r>
      <w:r w:rsidRPr="0080392F">
        <w:rPr>
          <w:lang w:val="en-US"/>
        </w:rPr>
        <w:t>of</w:t>
      </w:r>
      <w:r w:rsidRPr="0080392F">
        <w:t xml:space="preserve"> </w:t>
      </w:r>
      <w:r w:rsidRPr="0080392F">
        <w:rPr>
          <w:lang w:val="en-US"/>
        </w:rPr>
        <w:t xml:space="preserve">the </w:t>
      </w:r>
      <w:r w:rsidRPr="0080392F">
        <w:t>slot</w:t>
      </w:r>
      <w:r w:rsidRPr="0080392F">
        <w:rPr>
          <w:i/>
        </w:rPr>
        <w:t xml:space="preserve"> </w:t>
      </w:r>
      <w:r w:rsidRPr="0080392F">
        <w:t xml:space="preserve">as </w:t>
      </w:r>
      <w:r>
        <w:rPr>
          <w:lang w:val="en-US"/>
        </w:rPr>
        <w:t>downlink</w:t>
      </w:r>
      <w:r w:rsidRPr="0080392F">
        <w:t>.</w:t>
      </w:r>
    </w:p>
    <w:p w14:paraId="7C722A66" w14:textId="77777777" w:rsidR="00AB6F90" w:rsidRPr="005E27BB" w:rsidRDefault="00AB6F90" w:rsidP="00AB6F90">
      <w:pPr>
        <w:pStyle w:val="B1"/>
        <w:ind w:left="0" w:firstLine="14"/>
      </w:pPr>
      <w:r w:rsidRPr="0080392F">
        <w:rPr>
          <w:lang w:val="en-US"/>
        </w:rPr>
        <w:t>F</w:t>
      </w:r>
      <w:r w:rsidRPr="0080392F">
        <w:t xml:space="preserve">or a set of symbols </w:t>
      </w:r>
      <w:r w:rsidRPr="0080392F">
        <w:rPr>
          <w:lang w:val="en-US"/>
        </w:rPr>
        <w:t>of</w:t>
      </w:r>
      <w:r w:rsidRPr="0080392F">
        <w:t xml:space="preserve"> a slot </w:t>
      </w:r>
      <w:r w:rsidRPr="0080392F">
        <w:rPr>
          <w:lang w:val="en-GB"/>
        </w:rPr>
        <w:t xml:space="preserve">indicated </w:t>
      </w:r>
      <w:r>
        <w:rPr>
          <w:lang w:val="en-GB"/>
        </w:rPr>
        <w:t xml:space="preserve">to a UE </w:t>
      </w:r>
      <w:r w:rsidRPr="00D6515C">
        <w:rPr>
          <w:lang w:val="en-GB"/>
        </w:rPr>
        <w:t xml:space="preserve">by </w:t>
      </w:r>
      <w:r w:rsidRPr="00D6515C">
        <w:rPr>
          <w:i/>
        </w:rPr>
        <w:t>pdcch-ConfigSIB1</w:t>
      </w:r>
      <w:r w:rsidRPr="00D6515C">
        <w:rPr>
          <w:lang w:val="en-US"/>
        </w:rPr>
        <w:t xml:space="preserve"> </w:t>
      </w:r>
      <w:r w:rsidRPr="00D6515C">
        <w:rPr>
          <w:rFonts w:eastAsia="MS Mincho"/>
        </w:rPr>
        <w:t xml:space="preserve">in </w:t>
      </w:r>
      <w:r w:rsidR="00C90D1C">
        <w:rPr>
          <w:i/>
          <w:lang w:val="en-US"/>
        </w:rPr>
        <w:t>MIB</w:t>
      </w:r>
      <w:r w:rsidR="00C90D1C" w:rsidRPr="00D6515C">
        <w:rPr>
          <w:lang w:val="en-US" w:eastAsia="x-none"/>
        </w:rPr>
        <w:t xml:space="preserve"> </w:t>
      </w:r>
      <w:r>
        <w:rPr>
          <w:lang w:val="en-GB"/>
        </w:rPr>
        <w:t>for</w:t>
      </w:r>
      <w:r w:rsidRPr="00D6515C">
        <w:rPr>
          <w:lang w:val="en-GB"/>
        </w:rPr>
        <w:t xml:space="preserve"> a </w:t>
      </w:r>
      <w:r w:rsidR="00C76664">
        <w:rPr>
          <w:lang w:val="en-GB"/>
        </w:rPr>
        <w:t>CORESET</w:t>
      </w:r>
      <w:r w:rsidRPr="00D6515C">
        <w:rPr>
          <w:lang w:val="en-GB"/>
        </w:rPr>
        <w:t xml:space="preserve"> for Type0-PDCCH </w:t>
      </w:r>
      <w:r w:rsidR="00C90D1C">
        <w:rPr>
          <w:lang w:val="en-GB"/>
        </w:rPr>
        <w:t>CSS set</w:t>
      </w:r>
      <w:r w:rsidRPr="0080392F">
        <w:t>,</w:t>
      </w:r>
      <w:r w:rsidRPr="0080392F">
        <w:rPr>
          <w:lang w:val="en-US"/>
        </w:rPr>
        <w:t xml:space="preserve"> the</w:t>
      </w:r>
      <w:r>
        <w:t xml:space="preserve"> UE does not expect</w:t>
      </w:r>
      <w:r w:rsidRPr="0080392F">
        <w:t xml:space="preserve"> to detect a DCI format </w:t>
      </w:r>
      <w:r w:rsidRPr="0080392F">
        <w:rPr>
          <w:lang w:val="en-US"/>
        </w:rPr>
        <w:t>2_0</w:t>
      </w:r>
      <w:r w:rsidRPr="0080392F">
        <w:t xml:space="preserve"> </w:t>
      </w:r>
      <w:r>
        <w:rPr>
          <w:lang w:val="en-US"/>
        </w:rPr>
        <w:t xml:space="preserve">with an SFI-index field value </w:t>
      </w:r>
      <w:r w:rsidRPr="0080392F">
        <w:t>indicat</w:t>
      </w:r>
      <w:r w:rsidRPr="0080392F">
        <w:rPr>
          <w:lang w:val="en-US"/>
        </w:rPr>
        <w:t>ing</w:t>
      </w:r>
      <w:r w:rsidRPr="0080392F">
        <w:t xml:space="preserve"> the set of symbols </w:t>
      </w:r>
      <w:r w:rsidRPr="0080392F">
        <w:rPr>
          <w:lang w:val="en-US"/>
        </w:rPr>
        <w:t>of</w:t>
      </w:r>
      <w:r w:rsidRPr="0080392F">
        <w:t xml:space="preserve"> </w:t>
      </w:r>
      <w:r w:rsidRPr="0080392F">
        <w:rPr>
          <w:lang w:val="en-US"/>
        </w:rPr>
        <w:t xml:space="preserve">the </w:t>
      </w:r>
      <w:r w:rsidRPr="0080392F">
        <w:t>slot</w:t>
      </w:r>
      <w:r w:rsidRPr="0080392F">
        <w:rPr>
          <w:i/>
        </w:rPr>
        <w:t xml:space="preserve"> </w:t>
      </w:r>
      <w:r w:rsidRPr="0080392F">
        <w:t xml:space="preserve">as </w:t>
      </w:r>
      <w:r>
        <w:rPr>
          <w:lang w:val="en-US"/>
        </w:rPr>
        <w:t>uplink</w:t>
      </w:r>
      <w:r w:rsidRPr="0080392F">
        <w:t>.</w:t>
      </w:r>
    </w:p>
    <w:p w14:paraId="42D173E1" w14:textId="77777777" w:rsidR="00B06F8A" w:rsidRPr="0080392F" w:rsidRDefault="00B06F8A" w:rsidP="004967FE">
      <w:pPr>
        <w:rPr>
          <w:lang w:eastAsia="zh-CN"/>
        </w:rPr>
      </w:pPr>
      <w:r w:rsidRPr="0080392F">
        <w:rPr>
          <w:lang w:val="en-US"/>
        </w:rPr>
        <w:t>F</w:t>
      </w:r>
      <w:r w:rsidRPr="0080392F">
        <w:t xml:space="preserve">or a set of symbols </w:t>
      </w:r>
      <w:r w:rsidRPr="0080392F">
        <w:rPr>
          <w:lang w:val="en-US"/>
        </w:rPr>
        <w:t>of</w:t>
      </w:r>
      <w:r w:rsidRPr="0080392F">
        <w:t xml:space="preserve"> a slot indicated </w:t>
      </w:r>
      <w:r w:rsidR="004967FE">
        <w:t xml:space="preserve">to a UE </w:t>
      </w:r>
      <w:r w:rsidRPr="0080392F">
        <w:t xml:space="preserve">as </w:t>
      </w:r>
      <w:r w:rsidRPr="0080392F">
        <w:rPr>
          <w:lang w:val="en-US"/>
        </w:rPr>
        <w:t>flexible</w:t>
      </w:r>
      <w:r w:rsidRPr="0080392F">
        <w:t xml:space="preserve"> by </w:t>
      </w:r>
      <w:r w:rsidR="00A567A6">
        <w:rPr>
          <w:i/>
        </w:rPr>
        <w:t>tdd</w:t>
      </w:r>
      <w:r w:rsidR="005A0C70" w:rsidRPr="00FE7E1C">
        <w:rPr>
          <w:i/>
        </w:rPr>
        <w:t>-</w:t>
      </w:r>
      <w:r w:rsidR="005A0C70" w:rsidRPr="0080392F">
        <w:rPr>
          <w:i/>
          <w:lang w:val="en-US"/>
        </w:rPr>
        <w:t>UL-DL-</w:t>
      </w:r>
      <w:r w:rsidR="005A0C70">
        <w:rPr>
          <w:i/>
          <w:lang w:val="en-US"/>
        </w:rPr>
        <w:t>C</w:t>
      </w:r>
      <w:r w:rsidR="005A0C70" w:rsidRPr="0080392F">
        <w:rPr>
          <w:i/>
          <w:lang w:val="en-US"/>
        </w:rPr>
        <w:t>onfiguration</w:t>
      </w:r>
      <w:r w:rsidR="005A0C70">
        <w:rPr>
          <w:i/>
          <w:lang w:val="en-US"/>
        </w:rPr>
        <w:t>C</w:t>
      </w:r>
      <w:r w:rsidR="005A0C70" w:rsidRPr="0080392F">
        <w:rPr>
          <w:i/>
          <w:lang w:val="en-US"/>
        </w:rPr>
        <w:t>ommon</w:t>
      </w:r>
      <w:r w:rsidR="005A0C70" w:rsidRPr="0080392F">
        <w:rPr>
          <w:lang w:val="en-US"/>
        </w:rPr>
        <w:t xml:space="preserve"> and </w:t>
      </w:r>
      <w:r w:rsidR="00A567A6">
        <w:rPr>
          <w:i/>
          <w:lang w:val="en-US"/>
        </w:rPr>
        <w:t>tdd</w:t>
      </w:r>
      <w:r w:rsidR="005A0C70" w:rsidRPr="0023005A">
        <w:rPr>
          <w:i/>
          <w:lang w:val="en-US"/>
        </w:rPr>
        <w:t>-</w:t>
      </w:r>
      <w:r w:rsidR="005A0C70" w:rsidRPr="0080392F">
        <w:rPr>
          <w:i/>
          <w:lang w:val="en-US"/>
        </w:rPr>
        <w:t>UL-DL-</w:t>
      </w:r>
      <w:r w:rsidR="005A0C70">
        <w:rPr>
          <w:i/>
          <w:lang w:val="en-US"/>
        </w:rPr>
        <w:t>C</w:t>
      </w:r>
      <w:r w:rsidR="005A0C70" w:rsidRPr="0080392F">
        <w:rPr>
          <w:i/>
          <w:lang w:val="en-US"/>
        </w:rPr>
        <w:t>onfig</w:t>
      </w:r>
      <w:r w:rsidR="00A567A6">
        <w:rPr>
          <w:i/>
          <w:lang w:val="en-US"/>
        </w:rPr>
        <w:t>uration</w:t>
      </w:r>
      <w:r w:rsidR="005A0C70">
        <w:rPr>
          <w:i/>
          <w:lang w:val="en-US"/>
        </w:rPr>
        <w:t>D</w:t>
      </w:r>
      <w:r w:rsidR="005A0C70" w:rsidRPr="0080392F">
        <w:rPr>
          <w:i/>
          <w:lang w:val="en-US"/>
        </w:rPr>
        <w:t>edicated</w:t>
      </w:r>
      <w:r w:rsidR="00613833" w:rsidRPr="00A639A0">
        <w:rPr>
          <w:rFonts w:eastAsia="DengXian" w:hint="eastAsia"/>
          <w:lang w:val="en-US" w:eastAsia="zh-CN"/>
        </w:rPr>
        <w:t xml:space="preserve"> </w:t>
      </w:r>
      <w:r w:rsidR="00613833" w:rsidRPr="00376326">
        <w:rPr>
          <w:rFonts w:eastAsia="DengXian" w:hint="eastAsia"/>
          <w:lang w:val="en-US" w:eastAsia="zh-CN"/>
        </w:rPr>
        <w:t>if provided</w:t>
      </w:r>
      <w:r w:rsidR="005A0C70" w:rsidRPr="0080392F">
        <w:rPr>
          <w:lang w:val="en-US"/>
        </w:rPr>
        <w:t xml:space="preserve">, or when </w:t>
      </w:r>
      <w:r w:rsidR="00A567A6">
        <w:rPr>
          <w:i/>
          <w:lang w:val="en-US"/>
        </w:rPr>
        <w:t>tdd</w:t>
      </w:r>
      <w:r w:rsidR="005A0C70" w:rsidRPr="00FE7E1C">
        <w:rPr>
          <w:i/>
          <w:lang w:val="en-US"/>
        </w:rPr>
        <w:t>-</w:t>
      </w:r>
      <w:r w:rsidR="005A0C70" w:rsidRPr="0080392F">
        <w:rPr>
          <w:i/>
          <w:lang w:val="en-US"/>
        </w:rPr>
        <w:t>UL-DL-</w:t>
      </w:r>
      <w:r w:rsidR="005A0C70">
        <w:rPr>
          <w:i/>
          <w:lang w:val="en-US"/>
        </w:rPr>
        <w:t>C</w:t>
      </w:r>
      <w:r w:rsidR="005A0C70" w:rsidRPr="0080392F">
        <w:rPr>
          <w:i/>
          <w:lang w:val="en-US"/>
        </w:rPr>
        <w:t>onfiguration</w:t>
      </w:r>
      <w:r w:rsidR="005A0C70">
        <w:rPr>
          <w:i/>
          <w:lang w:val="en-US"/>
        </w:rPr>
        <w:t>C</w:t>
      </w:r>
      <w:r w:rsidR="005A0C70" w:rsidRPr="0080392F">
        <w:rPr>
          <w:i/>
          <w:lang w:val="en-US"/>
        </w:rPr>
        <w:t>ommon</w:t>
      </w:r>
      <w:r w:rsidR="005A0C70" w:rsidRPr="0080392F">
        <w:rPr>
          <w:lang w:val="en-US"/>
        </w:rPr>
        <w:t xml:space="preserve"> and </w:t>
      </w:r>
      <w:r w:rsidR="00A567A6">
        <w:rPr>
          <w:i/>
          <w:lang w:val="en-US"/>
        </w:rPr>
        <w:t>tdd</w:t>
      </w:r>
      <w:r w:rsidR="004967FE" w:rsidRPr="0023005A">
        <w:rPr>
          <w:i/>
          <w:lang w:val="en-US"/>
        </w:rPr>
        <w:t>-</w:t>
      </w:r>
      <w:r w:rsidR="004967FE" w:rsidRPr="0080392F">
        <w:rPr>
          <w:i/>
          <w:lang w:val="en-US"/>
        </w:rPr>
        <w:t>UL-DL-</w:t>
      </w:r>
      <w:r w:rsidR="004967FE">
        <w:rPr>
          <w:i/>
          <w:lang w:val="en-US"/>
        </w:rPr>
        <w:t>C</w:t>
      </w:r>
      <w:r w:rsidR="004967FE" w:rsidRPr="0080392F">
        <w:rPr>
          <w:i/>
          <w:lang w:val="en-US"/>
        </w:rPr>
        <w:t>onfig</w:t>
      </w:r>
      <w:r w:rsidR="00A567A6">
        <w:rPr>
          <w:i/>
          <w:lang w:val="en-US"/>
        </w:rPr>
        <w:t>uration</w:t>
      </w:r>
      <w:r w:rsidR="004967FE">
        <w:rPr>
          <w:i/>
          <w:lang w:val="en-US"/>
        </w:rPr>
        <w:t>D</w:t>
      </w:r>
      <w:r w:rsidR="004967FE" w:rsidRPr="0080392F">
        <w:rPr>
          <w:i/>
          <w:lang w:val="en-US"/>
        </w:rPr>
        <w:t>edicated</w:t>
      </w:r>
      <w:r w:rsidRPr="0080392F">
        <w:rPr>
          <w:lang w:val="en-US"/>
        </w:rPr>
        <w:t xml:space="preserve"> are not provided to the UE, and if the UE </w:t>
      </w:r>
      <w:r w:rsidRPr="0080392F">
        <w:rPr>
          <w:lang w:eastAsia="zh-CN"/>
        </w:rPr>
        <w:t xml:space="preserve">detects </w:t>
      </w:r>
      <w:r w:rsidRPr="0080392F">
        <w:rPr>
          <w:lang w:val="en-US" w:eastAsia="zh-CN"/>
        </w:rPr>
        <w:t>a DCI format</w:t>
      </w:r>
      <w:r w:rsidRPr="0080392F">
        <w:rPr>
          <w:lang w:eastAsia="zh-CN"/>
        </w:rPr>
        <w:t xml:space="preserve"> </w:t>
      </w:r>
      <w:r w:rsidRPr="0080392F">
        <w:rPr>
          <w:lang w:val="en-US" w:eastAsia="zh-CN"/>
        </w:rPr>
        <w:t>2_0 providing a format for the slot</w:t>
      </w:r>
      <w:r w:rsidR="004967FE">
        <w:rPr>
          <w:lang w:val="en-US" w:eastAsia="zh-CN"/>
        </w:rPr>
        <w:t xml:space="preserve"> using a slot format value other than 255</w:t>
      </w:r>
    </w:p>
    <w:p w14:paraId="78575D12" w14:textId="77777777" w:rsidR="00B06F8A" w:rsidRPr="00B916EC" w:rsidRDefault="00B06F8A" w:rsidP="0009732E">
      <w:pPr>
        <w:pStyle w:val="B1"/>
      </w:pPr>
      <w:r>
        <w:t>-</w:t>
      </w:r>
      <w:r>
        <w:tab/>
      </w:r>
      <w:r w:rsidR="005A0C70">
        <w:rPr>
          <w:lang w:val="en-US"/>
        </w:rPr>
        <w:t>i</w:t>
      </w:r>
      <w:r w:rsidR="005A0C70">
        <w:t xml:space="preserve">f </w:t>
      </w:r>
      <w:r>
        <w:t>one or more symbols from the set of symbols are</w:t>
      </w:r>
      <w:r w:rsidRPr="00B916EC">
        <w:t xml:space="preserve"> symbols in a </w:t>
      </w:r>
      <w:r w:rsidR="00C76664">
        <w:t>CORESET</w:t>
      </w:r>
      <w:r w:rsidRPr="00B916EC">
        <w:t xml:space="preserve"> configured to the UE for PDCCH monitoring</w:t>
      </w:r>
      <w:r>
        <w:t xml:space="preserve">, the UE receives PDCCH in the </w:t>
      </w:r>
      <w:r w:rsidR="00C76664">
        <w:t>CORESET</w:t>
      </w:r>
      <w:r w:rsidRPr="00B916EC">
        <w:t xml:space="preserve"> </w:t>
      </w:r>
      <w:r>
        <w:t xml:space="preserve">only </w:t>
      </w:r>
      <w:r w:rsidRPr="005B7BBD">
        <w:t>if</w:t>
      </w:r>
      <w:r w:rsidR="004967FE" w:rsidRPr="004967FE">
        <w:rPr>
          <w:lang w:val="en-US"/>
        </w:rPr>
        <w:t xml:space="preserve"> </w:t>
      </w:r>
      <w:r w:rsidR="004967FE">
        <w:rPr>
          <w:lang w:val="en-US"/>
        </w:rPr>
        <w:t>an SFI-index field value in</w:t>
      </w:r>
      <w:r w:rsidRPr="005B7BBD">
        <w:t xml:space="preserve"> DCI format 2_0 </w:t>
      </w:r>
      <w:r>
        <w:t>indicates</w:t>
      </w:r>
      <w:r w:rsidRPr="005B7BBD">
        <w:t xml:space="preserve"> </w:t>
      </w:r>
      <w:r>
        <w:t xml:space="preserve">that </w:t>
      </w:r>
      <w:r w:rsidRPr="005B7BBD">
        <w:t xml:space="preserve">the </w:t>
      </w:r>
      <w:r>
        <w:t>one or more symbols</w:t>
      </w:r>
      <w:r w:rsidRPr="005B7BBD">
        <w:t xml:space="preserve"> </w:t>
      </w:r>
      <w:r>
        <w:t>are downlink symbols</w:t>
      </w:r>
    </w:p>
    <w:p w14:paraId="4A9A6FAD" w14:textId="2CE3D796" w:rsidR="004967FE" w:rsidRPr="00B916EC" w:rsidRDefault="004967FE" w:rsidP="004967FE">
      <w:pPr>
        <w:pStyle w:val="B1"/>
      </w:pPr>
      <w:r>
        <w:rPr>
          <w:lang w:val="en-US"/>
        </w:rPr>
        <w:t>-</w:t>
      </w:r>
      <w:r>
        <w:rPr>
          <w:lang w:val="en-US"/>
        </w:rPr>
        <w:tab/>
      </w:r>
      <w:r w:rsidR="005A0C70">
        <w:rPr>
          <w:lang w:val="en-US"/>
        </w:rPr>
        <w:t>i</w:t>
      </w:r>
      <w:r w:rsidR="005A0C70" w:rsidRPr="00B916EC">
        <w:rPr>
          <w:lang w:val="en-US"/>
        </w:rPr>
        <w:t xml:space="preserve">f </w:t>
      </w:r>
      <w:r>
        <w:rPr>
          <w:lang w:val="en-US"/>
        </w:rPr>
        <w:t xml:space="preserve">an SFI-index field value in </w:t>
      </w:r>
      <w:r w:rsidRPr="00B916EC">
        <w:rPr>
          <w:lang w:val="en-US"/>
        </w:rPr>
        <w:t>DCI format 2_0 indicat</w:t>
      </w:r>
      <w:r>
        <w:rPr>
          <w:lang w:val="en-US"/>
        </w:rPr>
        <w:t>es</w:t>
      </w:r>
      <w:r w:rsidRPr="00B916EC">
        <w:rPr>
          <w:lang w:val="en-US"/>
        </w:rPr>
        <w:t xml:space="preserve"> the set of symbols of the slot as flexible and the UE detects a DCI format</w:t>
      </w:r>
      <w:r w:rsidR="00212727">
        <w:rPr>
          <w:lang w:val="en-US"/>
        </w:rPr>
        <w:t xml:space="preserve"> </w:t>
      </w:r>
      <w:r w:rsidRPr="00B916EC">
        <w:rPr>
          <w:lang w:val="en-US"/>
        </w:rPr>
        <w:t>indicating to the UE to receive PDSCH or CSI-RS in the set of symbols of the slot, the UE receive</w:t>
      </w:r>
      <w:r>
        <w:rPr>
          <w:lang w:val="en-US"/>
        </w:rPr>
        <w:t>s</w:t>
      </w:r>
      <w:r w:rsidRPr="00B916EC">
        <w:rPr>
          <w:lang w:val="en-US"/>
        </w:rPr>
        <w:t xml:space="preserve"> PDSCH or CSI-RS in the set of symbols of the slot</w:t>
      </w:r>
    </w:p>
    <w:p w14:paraId="21BB2EAB" w14:textId="587DD54A" w:rsidR="004967FE" w:rsidRPr="00B916EC" w:rsidRDefault="004967FE" w:rsidP="004967FE">
      <w:pPr>
        <w:pStyle w:val="B1"/>
      </w:pPr>
      <w:r>
        <w:rPr>
          <w:lang w:val="en-US"/>
        </w:rPr>
        <w:t>-</w:t>
      </w:r>
      <w:r>
        <w:rPr>
          <w:lang w:val="en-US"/>
        </w:rPr>
        <w:tab/>
      </w:r>
      <w:r w:rsidR="005A0C70">
        <w:rPr>
          <w:lang w:val="en-US"/>
        </w:rPr>
        <w:t>i</w:t>
      </w:r>
      <w:r w:rsidR="005A0C70" w:rsidRPr="00B916EC">
        <w:rPr>
          <w:lang w:val="en-US"/>
        </w:rPr>
        <w:t xml:space="preserve">f </w:t>
      </w:r>
      <w:r>
        <w:rPr>
          <w:lang w:val="en-US"/>
        </w:rPr>
        <w:t xml:space="preserve">an SFI-index field value in </w:t>
      </w:r>
      <w:r w:rsidRPr="00B916EC">
        <w:rPr>
          <w:lang w:val="en-US"/>
        </w:rPr>
        <w:t>DCI format 2_0 indicat</w:t>
      </w:r>
      <w:r>
        <w:rPr>
          <w:lang w:val="en-US"/>
        </w:rPr>
        <w:t>es</w:t>
      </w:r>
      <w:r w:rsidRPr="00B916EC">
        <w:rPr>
          <w:lang w:val="en-US"/>
        </w:rPr>
        <w:t xml:space="preserve"> the set of symbols of the slot as flexible and the UE detects a DCI format</w:t>
      </w:r>
      <w:r w:rsidR="00C96B33">
        <w:rPr>
          <w:lang w:val="en-US"/>
        </w:rPr>
        <w:t>,</w:t>
      </w:r>
      <w:r w:rsidR="005A0C70">
        <w:rPr>
          <w:lang w:val="en-US"/>
        </w:rPr>
        <w:t xml:space="preserve"> a RAR UL grant</w:t>
      </w:r>
      <w:r w:rsidR="00C96B33">
        <w:rPr>
          <w:lang w:val="en-US"/>
        </w:rPr>
        <w:t>, fallbackRAR UL grant, or successRAR</w:t>
      </w:r>
      <w:r>
        <w:rPr>
          <w:lang w:val="en-US"/>
        </w:rPr>
        <w:t xml:space="preserve"> </w:t>
      </w:r>
      <w:r w:rsidRPr="00B916EC">
        <w:rPr>
          <w:lang w:val="en-US"/>
        </w:rPr>
        <w:t>indicating to the UE to transmit PUSCH, PUCCH, PRACH, or SRS in the set of symbols of the slot the UE transmit</w:t>
      </w:r>
      <w:r>
        <w:rPr>
          <w:lang w:val="en-US"/>
        </w:rPr>
        <w:t>s the</w:t>
      </w:r>
      <w:r w:rsidRPr="00B916EC">
        <w:rPr>
          <w:lang w:val="en-US"/>
        </w:rPr>
        <w:t xml:space="preserve"> PUSCH, PUCCH, PRACH, or SRS in the set of</w:t>
      </w:r>
      <w:r>
        <w:rPr>
          <w:lang w:val="en-US"/>
        </w:rPr>
        <w:t xml:space="preserve"> symbols of the slot</w:t>
      </w:r>
    </w:p>
    <w:p w14:paraId="24FA2266" w14:textId="264EFFF5" w:rsidR="004967FE" w:rsidRPr="0097168F" w:rsidRDefault="004967FE" w:rsidP="004967FE">
      <w:pPr>
        <w:pStyle w:val="B1"/>
      </w:pPr>
      <w:r>
        <w:rPr>
          <w:lang w:val="en-US"/>
        </w:rPr>
        <w:t>-</w:t>
      </w:r>
      <w:r>
        <w:rPr>
          <w:lang w:val="en-US"/>
        </w:rPr>
        <w:tab/>
      </w:r>
      <w:r w:rsidR="00CE7832">
        <w:rPr>
          <w:lang w:val="en-US"/>
        </w:rPr>
        <w:t>i</w:t>
      </w:r>
      <w:r w:rsidR="00CE7832" w:rsidRPr="00B916EC">
        <w:rPr>
          <w:lang w:val="en-US"/>
        </w:rPr>
        <w:t xml:space="preserve">f </w:t>
      </w:r>
      <w:r>
        <w:rPr>
          <w:lang w:val="en-US"/>
        </w:rPr>
        <w:t xml:space="preserve">an SFI-index field value in </w:t>
      </w:r>
      <w:r w:rsidRPr="00B916EC">
        <w:rPr>
          <w:lang w:val="en-US"/>
        </w:rPr>
        <w:t>DCI format 2_0 indicat</w:t>
      </w:r>
      <w:r>
        <w:rPr>
          <w:lang w:val="en-US"/>
        </w:rPr>
        <w:t>es</w:t>
      </w:r>
      <w:r w:rsidRPr="00B916EC">
        <w:rPr>
          <w:lang w:val="en-US"/>
        </w:rPr>
        <w:t xml:space="preserve"> the set of symbols of the slot as flexible</w:t>
      </w:r>
      <w:r w:rsidRPr="00B916EC">
        <w:t xml:space="preserve">, </w:t>
      </w:r>
      <w:r w:rsidRPr="00387F9B">
        <w:t>and the UE does not detect a DCI format</w:t>
      </w:r>
      <w:r>
        <w:t xml:space="preserve"> </w:t>
      </w:r>
      <w:r w:rsidRPr="00387F9B">
        <w:t>indicating to the UE to receive PDSCH or CSI-RS</w:t>
      </w:r>
      <w:r>
        <w:t>,</w:t>
      </w:r>
      <w:r w:rsidRPr="00387F9B">
        <w:t xml:space="preserve"> or </w:t>
      </w:r>
      <w:r>
        <w:t>the UE does not detect a DCI format</w:t>
      </w:r>
      <w:r w:rsidR="00C96B33">
        <w:rPr>
          <w:lang w:val="en-US"/>
        </w:rPr>
        <w:t>,</w:t>
      </w:r>
      <w:r w:rsidR="00CE7832">
        <w:rPr>
          <w:lang w:val="en-US"/>
        </w:rPr>
        <w:t xml:space="preserve"> a RAR UL</w:t>
      </w:r>
      <w:r w:rsidR="00514000">
        <w:rPr>
          <w:lang w:val="en-US"/>
        </w:rPr>
        <w:t xml:space="preserve"> grant</w:t>
      </w:r>
      <w:r w:rsidR="00C96B33">
        <w:rPr>
          <w:lang w:val="en-US"/>
        </w:rPr>
        <w:t>, fallbackRAR UL grant, or successRAR</w:t>
      </w:r>
      <w:r w:rsidR="00CE7832">
        <w:rPr>
          <w:lang w:val="en-US"/>
        </w:rPr>
        <w:t xml:space="preserve"> </w:t>
      </w:r>
      <w:r>
        <w:rPr>
          <w:lang w:eastAsia="zh-CN"/>
        </w:rPr>
        <w:t xml:space="preserve">indicating to the UE </w:t>
      </w:r>
      <w:r w:rsidRPr="00387F9B">
        <w:t>to transmit PUSCH, PUCCH, PRACH, or SRS in the set of symbols of the slot</w:t>
      </w:r>
      <w:r>
        <w:t>,</w:t>
      </w:r>
      <w:r w:rsidRPr="00B916EC">
        <w:rPr>
          <w:lang w:val="en-US"/>
        </w:rPr>
        <w:t xml:space="preserve"> the UE </w:t>
      </w:r>
      <w:r>
        <w:rPr>
          <w:lang w:val="en-US"/>
        </w:rPr>
        <w:t>does not transmit or receive in the set of symbols of the slot</w:t>
      </w:r>
    </w:p>
    <w:p w14:paraId="2B067973" w14:textId="1FDD985E" w:rsidR="004967FE" w:rsidRPr="00636608" w:rsidRDefault="004967FE" w:rsidP="004967FE">
      <w:pPr>
        <w:pStyle w:val="B1"/>
        <w:rPr>
          <w:lang w:val="en-US"/>
        </w:rPr>
      </w:pPr>
      <w:r>
        <w:rPr>
          <w:lang w:val="en-US"/>
        </w:rPr>
        <w:t>-</w:t>
      </w:r>
      <w:r>
        <w:rPr>
          <w:lang w:val="en-US"/>
        </w:rPr>
        <w:tab/>
      </w:r>
      <w:r w:rsidR="00CE7832">
        <w:rPr>
          <w:lang w:val="en-US"/>
        </w:rPr>
        <w:t>i</w:t>
      </w:r>
      <w:r w:rsidR="00CE7832" w:rsidRPr="00B916EC">
        <w:rPr>
          <w:lang w:val="en-US"/>
        </w:rPr>
        <w:t>f</w:t>
      </w:r>
      <w:r w:rsidR="00CE7832" w:rsidRPr="00B916EC">
        <w:t xml:space="preserve"> </w:t>
      </w:r>
      <w:r>
        <w:t>the</w:t>
      </w:r>
      <w:r w:rsidRPr="00B916EC">
        <w:t xml:space="preserve"> UE </w:t>
      </w:r>
      <w:r w:rsidRPr="00B916EC">
        <w:rPr>
          <w:lang w:val="en-US"/>
        </w:rPr>
        <w:t xml:space="preserve">is </w:t>
      </w:r>
      <w:r w:rsidRPr="00B916EC">
        <w:t xml:space="preserve">configured </w:t>
      </w:r>
      <w:r w:rsidRPr="00B916EC">
        <w:rPr>
          <w:lang w:val="en-US"/>
        </w:rPr>
        <w:t xml:space="preserve">by higher layers </w:t>
      </w:r>
      <w:r>
        <w:rPr>
          <w:lang w:val="en-US"/>
        </w:rPr>
        <w:t>to receive</w:t>
      </w:r>
      <w:r>
        <w:t xml:space="preserve"> </w:t>
      </w:r>
      <w:r>
        <w:rPr>
          <w:lang w:val="en-US"/>
        </w:rPr>
        <w:t>PD</w:t>
      </w:r>
      <w:r w:rsidRPr="00B916EC">
        <w:rPr>
          <w:lang w:val="en-US"/>
        </w:rPr>
        <w:t>SCH</w:t>
      </w:r>
      <w:r>
        <w:rPr>
          <w:lang w:val="en-US"/>
        </w:rPr>
        <w:t xml:space="preserve"> or CSI-RS </w:t>
      </w:r>
      <w:r w:rsidRPr="00B916EC">
        <w:t xml:space="preserve">in the set of symbols </w:t>
      </w:r>
      <w:r w:rsidRPr="00B916EC">
        <w:rPr>
          <w:lang w:val="en-US"/>
        </w:rPr>
        <w:t>of</w:t>
      </w:r>
      <w:r w:rsidRPr="00B916EC">
        <w:t xml:space="preserve"> </w:t>
      </w:r>
      <w:r w:rsidRPr="00B916EC">
        <w:rPr>
          <w:lang w:val="en-US"/>
        </w:rPr>
        <w:t xml:space="preserve">the </w:t>
      </w:r>
      <w:r w:rsidRPr="00B916EC">
        <w:t xml:space="preserve">slot, </w:t>
      </w:r>
      <w:r w:rsidRPr="00B916EC">
        <w:rPr>
          <w:lang w:val="en-US"/>
        </w:rPr>
        <w:t>the UE</w:t>
      </w:r>
      <w:r>
        <w:t xml:space="preserve"> receive</w:t>
      </w:r>
      <w:r>
        <w:rPr>
          <w:lang w:val="en-US"/>
        </w:rPr>
        <w:t>s</w:t>
      </w:r>
      <w:r w:rsidRPr="00B916EC">
        <w:t xml:space="preserve"> </w:t>
      </w:r>
      <w:r>
        <w:t>the PDS</w:t>
      </w:r>
      <w:r w:rsidRPr="00B916EC">
        <w:t xml:space="preserve">CH </w:t>
      </w:r>
      <w:r w:rsidRPr="00B916EC">
        <w:rPr>
          <w:lang w:val="en-US"/>
        </w:rPr>
        <w:t xml:space="preserve">or </w:t>
      </w:r>
      <w:r>
        <w:rPr>
          <w:lang w:val="en-US"/>
        </w:rPr>
        <w:t xml:space="preserve">the CSI-RS </w:t>
      </w:r>
      <w:r w:rsidRPr="00B916EC">
        <w:t xml:space="preserve">in </w:t>
      </w:r>
      <w:r w:rsidRPr="00B916EC">
        <w:rPr>
          <w:lang w:val="en-US"/>
        </w:rPr>
        <w:t xml:space="preserve">the </w:t>
      </w:r>
      <w:r>
        <w:t>set of symbols of the slot</w:t>
      </w:r>
      <w:r w:rsidRPr="00B916EC">
        <w:t xml:space="preserve"> only if </w:t>
      </w:r>
      <w:r>
        <w:rPr>
          <w:lang w:val="en-US"/>
        </w:rPr>
        <w:t xml:space="preserve">an SFI-index field value in </w:t>
      </w:r>
      <w:r w:rsidRPr="00B916EC">
        <w:t xml:space="preserve">DCI format </w:t>
      </w:r>
      <w:r w:rsidRPr="00F51E74">
        <w:rPr>
          <w:lang w:val="en-US"/>
        </w:rPr>
        <w:t>2_0</w:t>
      </w:r>
      <w:r w:rsidRPr="00F51E74">
        <w:rPr>
          <w:lang w:eastAsia="zh-CN"/>
        </w:rPr>
        <w:t xml:space="preserve"> indicates the set of </w:t>
      </w:r>
      <w:r w:rsidRPr="00B916EC">
        <w:t xml:space="preserve">symbols </w:t>
      </w:r>
      <w:r w:rsidRPr="00F51E74">
        <w:rPr>
          <w:lang w:val="en-US"/>
        </w:rPr>
        <w:t>of</w:t>
      </w:r>
      <w:r w:rsidRPr="00B916EC">
        <w:t xml:space="preserve"> </w:t>
      </w:r>
      <w:r w:rsidRPr="00F51E74">
        <w:rPr>
          <w:lang w:val="en-US"/>
        </w:rPr>
        <w:t xml:space="preserve">the </w:t>
      </w:r>
      <w:r w:rsidRPr="00B916EC">
        <w:t xml:space="preserve">slot as </w:t>
      </w:r>
      <w:r>
        <w:rPr>
          <w:lang w:val="en-US"/>
        </w:rPr>
        <w:t>down</w:t>
      </w:r>
      <w:r w:rsidRPr="00B916EC">
        <w:t>link</w:t>
      </w:r>
      <w:r w:rsidR="00A541D1">
        <w:rPr>
          <w:lang w:val="en-US"/>
        </w:rPr>
        <w:t xml:space="preserve"> </w:t>
      </w:r>
      <w:r w:rsidR="00A541D1" w:rsidRPr="00783241">
        <w:t>and, if applicable, the set of symbols is within remaining channel occupancy duration</w:t>
      </w:r>
    </w:p>
    <w:p w14:paraId="7F5EEEED" w14:textId="214FA59B" w:rsidR="00854FE3" w:rsidRDefault="00854FE3" w:rsidP="004967FE">
      <w:pPr>
        <w:pStyle w:val="B1"/>
        <w:rPr>
          <w:lang w:val="en-US"/>
        </w:rPr>
      </w:pPr>
      <w:r w:rsidRPr="000D7FD4">
        <w:rPr>
          <w:lang w:val="en-US"/>
        </w:rPr>
        <w:lastRenderedPageBreak/>
        <w:t>-</w:t>
      </w:r>
      <w:r w:rsidRPr="000D7FD4">
        <w:rPr>
          <w:lang w:val="en-US"/>
        </w:rPr>
        <w:tab/>
        <w:t>if the UE is configured by higher layers to receive DL PRS in the set of symbols of the slot, the UE receives the DL PRS in the set of symbols of the slot only if an SFI-index field value in DCI format 2_0 indicates the set of symbols of the slot as downlink or flexible.</w:t>
      </w:r>
    </w:p>
    <w:p w14:paraId="326DF4D0" w14:textId="77777777" w:rsidR="00B06F8A" w:rsidRDefault="00B06F8A" w:rsidP="0009732E">
      <w:pPr>
        <w:pStyle w:val="B1"/>
        <w:rPr>
          <w:lang w:val="en-US"/>
        </w:rPr>
      </w:pPr>
      <w:r>
        <w:rPr>
          <w:lang w:val="en-US"/>
        </w:rPr>
        <w:t>-</w:t>
      </w:r>
      <w:r>
        <w:rPr>
          <w:lang w:val="en-US"/>
        </w:rPr>
        <w:tab/>
      </w:r>
      <w:r w:rsidR="00CE7832">
        <w:rPr>
          <w:lang w:val="en-US"/>
        </w:rPr>
        <w:t>i</w:t>
      </w:r>
      <w:r w:rsidR="00CE7832" w:rsidRPr="00B916EC">
        <w:rPr>
          <w:lang w:val="en-US"/>
        </w:rPr>
        <w:t>f</w:t>
      </w:r>
      <w:r w:rsidR="00CE7832" w:rsidRPr="00B916EC">
        <w:t xml:space="preserve"> </w:t>
      </w:r>
      <w:r>
        <w:t>the</w:t>
      </w:r>
      <w:r w:rsidRPr="00B916EC">
        <w:t xml:space="preserve"> UE </w:t>
      </w:r>
      <w:r w:rsidRPr="00B916EC">
        <w:rPr>
          <w:lang w:val="en-US"/>
        </w:rPr>
        <w:t xml:space="preserve">is </w:t>
      </w:r>
      <w:r w:rsidRPr="00B916EC">
        <w:t xml:space="preserve">configured </w:t>
      </w:r>
      <w:r w:rsidRPr="00B916EC">
        <w:rPr>
          <w:lang w:val="en-US"/>
        </w:rPr>
        <w:t xml:space="preserve">by higher layers </w:t>
      </w:r>
      <w:r w:rsidR="004967FE">
        <w:rPr>
          <w:lang w:val="en-US"/>
        </w:rPr>
        <w:t>to transmit</w:t>
      </w:r>
      <w:r w:rsidRPr="00B916EC">
        <w:t xml:space="preserve"> PUCCH</w:t>
      </w:r>
      <w:r>
        <w:t>,</w:t>
      </w:r>
      <w:r w:rsidRPr="00B916EC">
        <w:t xml:space="preserve"> </w:t>
      </w:r>
      <w:r w:rsidRPr="00B916EC">
        <w:rPr>
          <w:lang w:val="en-US"/>
        </w:rPr>
        <w:t>or PUSCH</w:t>
      </w:r>
      <w:r>
        <w:rPr>
          <w:lang w:val="en-US"/>
        </w:rPr>
        <w:t xml:space="preserve">, or PRACH </w:t>
      </w:r>
      <w:r w:rsidRPr="00B916EC">
        <w:t xml:space="preserve">in the set of symbols </w:t>
      </w:r>
      <w:r w:rsidRPr="00B916EC">
        <w:rPr>
          <w:lang w:val="en-US"/>
        </w:rPr>
        <w:t>of</w:t>
      </w:r>
      <w:r w:rsidRPr="00B916EC">
        <w:t xml:space="preserve"> </w:t>
      </w:r>
      <w:r w:rsidRPr="00B916EC">
        <w:rPr>
          <w:lang w:val="en-US"/>
        </w:rPr>
        <w:t xml:space="preserve">the </w:t>
      </w:r>
      <w:r w:rsidRPr="00B916EC">
        <w:t xml:space="preserve">slot, </w:t>
      </w:r>
      <w:r w:rsidRPr="00B916EC">
        <w:rPr>
          <w:lang w:val="en-US"/>
        </w:rPr>
        <w:t xml:space="preserve">the UE </w:t>
      </w:r>
      <w:r w:rsidRPr="00B916EC">
        <w:t>transmit</w:t>
      </w:r>
      <w:r w:rsidR="004967FE">
        <w:rPr>
          <w:lang w:val="en-US"/>
        </w:rPr>
        <w:t>s</w:t>
      </w:r>
      <w:r w:rsidRPr="00B916EC">
        <w:t xml:space="preserve"> </w:t>
      </w:r>
      <w:r>
        <w:t xml:space="preserve">the </w:t>
      </w:r>
      <w:r w:rsidRPr="00B916EC">
        <w:t>PUCCH</w:t>
      </w:r>
      <w:r>
        <w:t>,</w:t>
      </w:r>
      <w:r w:rsidRPr="00B916EC">
        <w:t xml:space="preserve"> </w:t>
      </w:r>
      <w:r w:rsidRPr="00B916EC">
        <w:rPr>
          <w:lang w:val="en-US"/>
        </w:rPr>
        <w:t xml:space="preserve">or </w:t>
      </w:r>
      <w:r>
        <w:rPr>
          <w:lang w:val="en-US"/>
        </w:rPr>
        <w:t xml:space="preserve">the </w:t>
      </w:r>
      <w:r w:rsidRPr="00B916EC">
        <w:rPr>
          <w:lang w:val="en-US"/>
        </w:rPr>
        <w:t>PUSCH</w:t>
      </w:r>
      <w:r>
        <w:rPr>
          <w:lang w:val="en-US"/>
        </w:rPr>
        <w:t xml:space="preserve">, or the PRACH </w:t>
      </w:r>
      <w:r w:rsidRPr="00B916EC">
        <w:t xml:space="preserve">in </w:t>
      </w:r>
      <w:r w:rsidRPr="00B916EC">
        <w:rPr>
          <w:lang w:val="en-US"/>
        </w:rPr>
        <w:t xml:space="preserve">the </w:t>
      </w:r>
      <w:r w:rsidRPr="00B916EC">
        <w:t>slot only if</w:t>
      </w:r>
      <w:r w:rsidR="004967FE" w:rsidRPr="004967FE">
        <w:rPr>
          <w:lang w:val="en-US"/>
        </w:rPr>
        <w:t xml:space="preserve"> </w:t>
      </w:r>
      <w:r w:rsidR="004967FE">
        <w:rPr>
          <w:lang w:val="en-US"/>
        </w:rPr>
        <w:t>an SFI-index field value in</w:t>
      </w:r>
      <w:r w:rsidRPr="00B916EC">
        <w:t xml:space="preserve"> DCI format </w:t>
      </w:r>
      <w:r w:rsidRPr="00F51E74">
        <w:rPr>
          <w:lang w:val="en-US"/>
        </w:rPr>
        <w:t>2_0</w:t>
      </w:r>
      <w:r w:rsidRPr="00F51E74">
        <w:rPr>
          <w:lang w:eastAsia="zh-CN"/>
        </w:rPr>
        <w:t xml:space="preserve"> indicates the set of </w:t>
      </w:r>
      <w:r w:rsidRPr="00B916EC">
        <w:t xml:space="preserve">symbols </w:t>
      </w:r>
      <w:r w:rsidRPr="00F51E74">
        <w:rPr>
          <w:lang w:val="en-US"/>
        </w:rPr>
        <w:t>of</w:t>
      </w:r>
      <w:r w:rsidRPr="00B916EC">
        <w:t xml:space="preserve"> </w:t>
      </w:r>
      <w:r w:rsidRPr="00F51E74">
        <w:rPr>
          <w:lang w:val="en-US"/>
        </w:rPr>
        <w:t xml:space="preserve">the </w:t>
      </w:r>
      <w:r w:rsidRPr="00B916EC">
        <w:t>slot as uplink</w:t>
      </w:r>
    </w:p>
    <w:p w14:paraId="3F55A6B4" w14:textId="77777777" w:rsidR="004967FE" w:rsidRDefault="004967FE" w:rsidP="004967FE">
      <w:pPr>
        <w:pStyle w:val="B1"/>
        <w:rPr>
          <w:lang w:val="en-US"/>
        </w:rPr>
      </w:pPr>
      <w:r>
        <w:rPr>
          <w:lang w:val="en-US"/>
        </w:rPr>
        <w:t>-</w:t>
      </w:r>
      <w:r>
        <w:rPr>
          <w:lang w:val="en-US"/>
        </w:rPr>
        <w:tab/>
      </w:r>
      <w:r w:rsidR="00CE7832">
        <w:rPr>
          <w:lang w:val="en-US"/>
        </w:rPr>
        <w:t>i</w:t>
      </w:r>
      <w:r w:rsidR="00CE7832" w:rsidRPr="00B916EC">
        <w:rPr>
          <w:lang w:val="en-US"/>
        </w:rPr>
        <w:t>f</w:t>
      </w:r>
      <w:r w:rsidR="00CE7832" w:rsidRPr="00B916EC">
        <w:t xml:space="preserve"> </w:t>
      </w:r>
      <w:r>
        <w:t>the</w:t>
      </w:r>
      <w:r w:rsidRPr="00B916EC">
        <w:t xml:space="preserve"> UE </w:t>
      </w:r>
      <w:r w:rsidRPr="00B916EC">
        <w:rPr>
          <w:lang w:val="en-US"/>
        </w:rPr>
        <w:t xml:space="preserve">is </w:t>
      </w:r>
      <w:r w:rsidRPr="00B916EC">
        <w:t xml:space="preserve">configured </w:t>
      </w:r>
      <w:r w:rsidRPr="00B916EC">
        <w:rPr>
          <w:lang w:val="en-US"/>
        </w:rPr>
        <w:t xml:space="preserve">by higher layers </w:t>
      </w:r>
      <w:r>
        <w:rPr>
          <w:lang w:val="en-US"/>
        </w:rPr>
        <w:t xml:space="preserve">to </w:t>
      </w:r>
      <w:r w:rsidRPr="00B916EC">
        <w:t>transmi</w:t>
      </w:r>
      <w:r>
        <w:rPr>
          <w:lang w:val="en-US"/>
        </w:rPr>
        <w:t>t</w:t>
      </w:r>
      <w:r w:rsidRPr="00B916EC">
        <w:t xml:space="preserve"> SRS</w:t>
      </w:r>
      <w:r>
        <w:t xml:space="preserve"> </w:t>
      </w:r>
      <w:r w:rsidRPr="00B916EC">
        <w:t xml:space="preserve">in the set of symbols </w:t>
      </w:r>
      <w:r w:rsidRPr="00B916EC">
        <w:rPr>
          <w:lang w:val="en-US"/>
        </w:rPr>
        <w:t>of</w:t>
      </w:r>
      <w:r w:rsidRPr="00B916EC">
        <w:t xml:space="preserve"> </w:t>
      </w:r>
      <w:r w:rsidRPr="00B916EC">
        <w:rPr>
          <w:lang w:val="en-US"/>
        </w:rPr>
        <w:t xml:space="preserve">the </w:t>
      </w:r>
      <w:r w:rsidRPr="00B916EC">
        <w:t xml:space="preserve">slot, </w:t>
      </w:r>
      <w:r w:rsidRPr="00B916EC">
        <w:rPr>
          <w:lang w:val="en-US"/>
        </w:rPr>
        <w:t>the UE</w:t>
      </w:r>
      <w:r w:rsidRPr="00B916EC">
        <w:t xml:space="preserve"> transmit</w:t>
      </w:r>
      <w:r>
        <w:rPr>
          <w:lang w:val="en-US"/>
        </w:rPr>
        <w:t>s</w:t>
      </w:r>
      <w:r w:rsidRPr="00B916EC">
        <w:t xml:space="preserve"> </w:t>
      </w:r>
      <w:r>
        <w:t xml:space="preserve">the </w:t>
      </w:r>
      <w:r>
        <w:rPr>
          <w:lang w:val="en-US"/>
        </w:rPr>
        <w:t>SRS only in a subset of symbols from the set of symbols of the slot indicated as uplink symbols by</w:t>
      </w:r>
      <w:r w:rsidRPr="00B916EC">
        <w:t xml:space="preserve"> </w:t>
      </w:r>
      <w:r>
        <w:rPr>
          <w:lang w:val="en-US"/>
        </w:rPr>
        <w:t xml:space="preserve">an SFI-index field value in </w:t>
      </w:r>
      <w:r w:rsidRPr="00B916EC">
        <w:t xml:space="preserve">DCI format </w:t>
      </w:r>
      <w:r w:rsidRPr="00F51E74">
        <w:rPr>
          <w:lang w:val="en-US"/>
        </w:rPr>
        <w:t>2_0</w:t>
      </w:r>
    </w:p>
    <w:p w14:paraId="53E92ABF" w14:textId="4EE95C76" w:rsidR="004967FE" w:rsidRDefault="004967FE" w:rsidP="004967FE">
      <w:pPr>
        <w:pStyle w:val="B1"/>
        <w:rPr>
          <w:lang w:val="en-US"/>
        </w:rPr>
      </w:pPr>
      <w:r>
        <w:rPr>
          <w:lang w:val="en-US"/>
        </w:rPr>
        <w:t>-</w:t>
      </w:r>
      <w:r>
        <w:rPr>
          <w:lang w:val="en-US"/>
        </w:rPr>
        <w:tab/>
      </w:r>
      <w:r w:rsidR="00CE7832">
        <w:rPr>
          <w:lang w:val="en-US"/>
        </w:rPr>
        <w:t>a</w:t>
      </w:r>
      <w:r w:rsidR="00CE7832" w:rsidRPr="00B916EC">
        <w:t xml:space="preserve"> </w:t>
      </w:r>
      <w:r w:rsidRPr="00B916EC">
        <w:t xml:space="preserve">UE </w:t>
      </w:r>
      <w:r>
        <w:t>does not expect to dete</w:t>
      </w:r>
      <w:r>
        <w:rPr>
          <w:lang w:val="en-US"/>
        </w:rPr>
        <w:t>ct</w:t>
      </w:r>
      <w:r>
        <w:t xml:space="preserve"> </w:t>
      </w:r>
      <w:r>
        <w:rPr>
          <w:lang w:val="en-US"/>
        </w:rPr>
        <w:t xml:space="preserve">an SFI-index field value in </w:t>
      </w:r>
      <w:r w:rsidRPr="00B916EC">
        <w:rPr>
          <w:lang w:val="en-US"/>
        </w:rPr>
        <w:t>DCI format 2_0 indicat</w:t>
      </w:r>
      <w:r>
        <w:rPr>
          <w:lang w:val="en-US"/>
        </w:rPr>
        <w:t>ing the set of symbols of the</w:t>
      </w:r>
      <w:r w:rsidRPr="00B916EC">
        <w:rPr>
          <w:lang w:val="en-US"/>
        </w:rPr>
        <w:t xml:space="preserve"> slot as</w:t>
      </w:r>
      <w:r>
        <w:rPr>
          <w:lang w:val="en-US"/>
        </w:rPr>
        <w:t xml:space="preserve"> downlink and also detect a </w:t>
      </w:r>
      <w:r w:rsidRPr="00B916EC">
        <w:rPr>
          <w:lang w:val="en-US"/>
        </w:rPr>
        <w:t>DCI format</w:t>
      </w:r>
      <w:r w:rsidR="00C96B33">
        <w:rPr>
          <w:lang w:val="en-US"/>
        </w:rPr>
        <w:t>,</w:t>
      </w:r>
      <w:r w:rsidR="00CE7832">
        <w:rPr>
          <w:lang w:val="en-US"/>
        </w:rPr>
        <w:t xml:space="preserve"> a RAR UL grant</w:t>
      </w:r>
      <w:r w:rsidR="00C96B33">
        <w:rPr>
          <w:lang w:val="en-US"/>
        </w:rPr>
        <w:t>, fallbackRAR UL grant, or successRAR</w:t>
      </w:r>
      <w:r>
        <w:rPr>
          <w:lang w:val="en-US"/>
        </w:rPr>
        <w:t xml:space="preserve"> </w:t>
      </w:r>
      <w:r w:rsidRPr="00B916EC">
        <w:rPr>
          <w:lang w:val="en-US"/>
        </w:rPr>
        <w:t>i</w:t>
      </w:r>
      <w:r>
        <w:rPr>
          <w:lang w:val="en-US"/>
        </w:rPr>
        <w:t xml:space="preserve">ndicating to the UE to transmit SRS, PUSCH, </w:t>
      </w:r>
      <w:r w:rsidRPr="00B916EC">
        <w:rPr>
          <w:lang w:val="en-US"/>
        </w:rPr>
        <w:t xml:space="preserve">PUCCH, </w:t>
      </w:r>
      <w:r>
        <w:rPr>
          <w:lang w:val="en-US"/>
        </w:rPr>
        <w:t>or PRACH, in one or more symbols from the</w:t>
      </w:r>
      <w:r w:rsidRPr="00B916EC">
        <w:rPr>
          <w:lang w:val="en-US"/>
        </w:rPr>
        <w:t xml:space="preserve"> set of symbols of the slot</w:t>
      </w:r>
    </w:p>
    <w:p w14:paraId="3319B5AF" w14:textId="4949A592" w:rsidR="004967FE" w:rsidRPr="00B170FC" w:rsidRDefault="004967FE" w:rsidP="004967FE">
      <w:pPr>
        <w:pStyle w:val="B1"/>
        <w:rPr>
          <w:lang w:val="en-US"/>
        </w:rPr>
      </w:pPr>
      <w:r>
        <w:rPr>
          <w:lang w:val="en-US"/>
        </w:rPr>
        <w:t>-</w:t>
      </w:r>
      <w:r>
        <w:rPr>
          <w:lang w:val="en-US"/>
        </w:rPr>
        <w:tab/>
      </w:r>
      <w:r w:rsidR="00CE7832">
        <w:rPr>
          <w:lang w:val="en-US"/>
        </w:rPr>
        <w:t>a</w:t>
      </w:r>
      <w:r w:rsidR="00CE7832" w:rsidRPr="00B916EC">
        <w:t xml:space="preserve"> </w:t>
      </w:r>
      <w:r w:rsidRPr="00B916EC">
        <w:t xml:space="preserve">UE </w:t>
      </w:r>
      <w:r>
        <w:t>does not expect to dete</w:t>
      </w:r>
      <w:r>
        <w:rPr>
          <w:lang w:val="en-US"/>
        </w:rPr>
        <w:t>ct</w:t>
      </w:r>
      <w:r>
        <w:t xml:space="preserve"> </w:t>
      </w:r>
      <w:r>
        <w:rPr>
          <w:lang w:val="en-US"/>
        </w:rPr>
        <w:t xml:space="preserve">an SFI-index field value in </w:t>
      </w:r>
      <w:r w:rsidRPr="00B916EC">
        <w:rPr>
          <w:lang w:val="en-US"/>
        </w:rPr>
        <w:t>DCI format 2_0 indicat</w:t>
      </w:r>
      <w:r>
        <w:rPr>
          <w:lang w:val="en-US"/>
        </w:rPr>
        <w:t>ing the set of symbols of the</w:t>
      </w:r>
      <w:r w:rsidRPr="00B916EC">
        <w:rPr>
          <w:lang w:val="en-US"/>
        </w:rPr>
        <w:t xml:space="preserve"> slot as</w:t>
      </w:r>
      <w:r>
        <w:rPr>
          <w:lang w:val="en-US"/>
        </w:rPr>
        <w:t xml:space="preserve"> downlink </w:t>
      </w:r>
      <w:r w:rsidR="00C90D1C" w:rsidRPr="00D20E88">
        <w:rPr>
          <w:lang w:val="en-US"/>
        </w:rPr>
        <w:t xml:space="preserve">or flexible </w:t>
      </w:r>
      <w:r>
        <w:rPr>
          <w:lang w:val="en-US"/>
        </w:rPr>
        <w:t xml:space="preserve">if the set of symbols of the slot includes symbols corresponding to </w:t>
      </w:r>
      <w:r w:rsidR="00C90D1C">
        <w:rPr>
          <w:lang w:val="en-US"/>
        </w:rPr>
        <w:t>any</w:t>
      </w:r>
      <w:r>
        <w:rPr>
          <w:lang w:val="en-US"/>
        </w:rPr>
        <w:t xml:space="preserve"> repetition of a PUSCH transmission activated by an </w:t>
      </w:r>
      <w:r>
        <w:rPr>
          <w:rFonts w:eastAsia="DengXian"/>
          <w:lang w:eastAsia="zh-CN"/>
        </w:rPr>
        <w:t>UL Type 2</w:t>
      </w:r>
      <w:r w:rsidRPr="003918C5">
        <w:rPr>
          <w:rFonts w:eastAsia="DengXian"/>
          <w:lang w:eastAsia="zh-CN"/>
        </w:rPr>
        <w:t xml:space="preserve"> grant </w:t>
      </w:r>
      <w:r>
        <w:rPr>
          <w:rFonts w:eastAsia="DengXian"/>
          <w:lang w:eastAsia="zh-CN"/>
        </w:rPr>
        <w:t>PDCCH</w:t>
      </w:r>
      <w:r>
        <w:rPr>
          <w:rFonts w:eastAsia="DengXian"/>
          <w:lang w:val="en-US" w:eastAsia="zh-CN"/>
        </w:rPr>
        <w:t xml:space="preserve"> as described </w:t>
      </w:r>
      <w:r w:rsidR="006F5F9E">
        <w:rPr>
          <w:rFonts w:eastAsia="DengXian"/>
          <w:lang w:val="en-US" w:eastAsia="zh-CN"/>
        </w:rPr>
        <w:t>in clause</w:t>
      </w:r>
      <w:r>
        <w:rPr>
          <w:rFonts w:eastAsia="DengXian"/>
          <w:lang w:val="en-US" w:eastAsia="zh-CN"/>
        </w:rPr>
        <w:t xml:space="preserve"> 10.2</w:t>
      </w:r>
    </w:p>
    <w:p w14:paraId="7C5BBB4F" w14:textId="1CB987FF" w:rsidR="004967FE" w:rsidRDefault="004967FE" w:rsidP="004967FE">
      <w:pPr>
        <w:pStyle w:val="B1"/>
        <w:rPr>
          <w:lang w:val="en-US"/>
        </w:rPr>
      </w:pPr>
      <w:r>
        <w:rPr>
          <w:lang w:val="en-US"/>
        </w:rPr>
        <w:t>-</w:t>
      </w:r>
      <w:r>
        <w:rPr>
          <w:lang w:val="en-US"/>
        </w:rPr>
        <w:tab/>
      </w:r>
      <w:r w:rsidR="00CE7832">
        <w:rPr>
          <w:lang w:val="en-US"/>
        </w:rPr>
        <w:t>a</w:t>
      </w:r>
      <w:r w:rsidR="00CE7832" w:rsidRPr="00B916EC">
        <w:t xml:space="preserve"> </w:t>
      </w:r>
      <w:r w:rsidRPr="00B916EC">
        <w:t xml:space="preserve">UE </w:t>
      </w:r>
      <w:r>
        <w:t xml:space="preserve">does not expect to </w:t>
      </w:r>
      <w:r>
        <w:rPr>
          <w:lang w:val="en-US"/>
        </w:rPr>
        <w:t>detect</w:t>
      </w:r>
      <w:r>
        <w:t xml:space="preserve"> </w:t>
      </w:r>
      <w:r>
        <w:rPr>
          <w:lang w:val="en-US"/>
        </w:rPr>
        <w:t>an SFI-index field value in</w:t>
      </w:r>
      <w:r>
        <w:t xml:space="preserve"> </w:t>
      </w:r>
      <w:r w:rsidRPr="00B916EC">
        <w:rPr>
          <w:lang w:val="en-US"/>
        </w:rPr>
        <w:t>DCI format 2_0 indicat</w:t>
      </w:r>
      <w:r>
        <w:rPr>
          <w:lang w:val="en-US"/>
        </w:rPr>
        <w:t>ing the</w:t>
      </w:r>
      <w:r w:rsidRPr="00B916EC">
        <w:rPr>
          <w:lang w:val="en-US"/>
        </w:rPr>
        <w:t xml:space="preserve"> set of symbol</w:t>
      </w:r>
      <w:r>
        <w:rPr>
          <w:lang w:val="en-US"/>
        </w:rPr>
        <w:t>s of the</w:t>
      </w:r>
      <w:r w:rsidRPr="00B916EC">
        <w:rPr>
          <w:lang w:val="en-US"/>
        </w:rPr>
        <w:t xml:space="preserve"> slot as</w:t>
      </w:r>
      <w:r>
        <w:rPr>
          <w:lang w:val="en-US"/>
        </w:rPr>
        <w:t xml:space="preserve"> uplink and also detect</w:t>
      </w:r>
      <w:r w:rsidRPr="00B916EC">
        <w:rPr>
          <w:lang w:val="en-US"/>
        </w:rPr>
        <w:t xml:space="preserve"> a DCI format</w:t>
      </w:r>
      <w:r>
        <w:rPr>
          <w:lang w:val="en-US"/>
        </w:rPr>
        <w:t xml:space="preserve"> </w:t>
      </w:r>
      <w:r w:rsidRPr="00B916EC">
        <w:rPr>
          <w:lang w:val="en-US"/>
        </w:rPr>
        <w:t xml:space="preserve">indicating to the UE to receive PDSCH or CSI-RS in </w:t>
      </w:r>
      <w:r>
        <w:rPr>
          <w:lang w:val="en-US"/>
        </w:rPr>
        <w:t xml:space="preserve">one or more symbols from </w:t>
      </w:r>
      <w:r w:rsidRPr="00B916EC">
        <w:rPr>
          <w:lang w:val="en-US"/>
        </w:rPr>
        <w:t>the set of symbols of the slot</w:t>
      </w:r>
    </w:p>
    <w:p w14:paraId="662DC380" w14:textId="4CA793EE" w:rsidR="004967FE" w:rsidRPr="001322F1" w:rsidRDefault="004967FE" w:rsidP="001322F1">
      <w:r w:rsidRPr="00B916EC">
        <w:rPr>
          <w:lang w:val="en-US"/>
        </w:rPr>
        <w:t xml:space="preserve">If </w:t>
      </w:r>
      <w:r w:rsidRPr="00B916EC">
        <w:t xml:space="preserve">a UE </w:t>
      </w:r>
      <w:r w:rsidRPr="00B916EC">
        <w:rPr>
          <w:lang w:val="en-US"/>
        </w:rPr>
        <w:t xml:space="preserve">is </w:t>
      </w:r>
      <w:r w:rsidRPr="00B916EC">
        <w:t xml:space="preserve">configured </w:t>
      </w:r>
      <w:r w:rsidRPr="00B916EC">
        <w:rPr>
          <w:lang w:val="en-US"/>
        </w:rPr>
        <w:t xml:space="preserve">by higher layers </w:t>
      </w:r>
      <w:r>
        <w:rPr>
          <w:lang w:val="en-US"/>
        </w:rPr>
        <w:t>to receive</w:t>
      </w:r>
      <w:r w:rsidRPr="00B916EC">
        <w:t xml:space="preserve"> </w:t>
      </w:r>
      <w:r>
        <w:t xml:space="preserve">a </w:t>
      </w:r>
      <w:r w:rsidRPr="00B916EC">
        <w:t>CSI-RS</w:t>
      </w:r>
      <w:r>
        <w:rPr>
          <w:lang w:val="en-US"/>
        </w:rPr>
        <w:t xml:space="preserve"> or a PDSCH in a</w:t>
      </w:r>
      <w:r w:rsidRPr="00B916EC">
        <w:rPr>
          <w:lang w:val="en-US"/>
        </w:rPr>
        <w:t xml:space="preserve"> set of symbols of </w:t>
      </w:r>
      <w:r>
        <w:rPr>
          <w:lang w:val="en-US"/>
        </w:rPr>
        <w:t>a</w:t>
      </w:r>
      <w:r w:rsidRPr="00B916EC">
        <w:rPr>
          <w:lang w:val="en-US"/>
        </w:rPr>
        <w:t xml:space="preserve"> slot</w:t>
      </w:r>
      <w:r>
        <w:rPr>
          <w:lang w:val="en-US"/>
        </w:rPr>
        <w:t xml:space="preserve"> and the UE detects a DCI format 2_0 </w:t>
      </w:r>
      <w:r>
        <w:rPr>
          <w:lang w:val="en-US" w:eastAsia="zh-CN"/>
        </w:rPr>
        <w:t xml:space="preserve">with a slot format value other than 255 that </w:t>
      </w:r>
      <w:r>
        <w:rPr>
          <w:lang w:val="en-US"/>
        </w:rPr>
        <w:t>indicates a slot format with a subset of symbols from the set of symbols as uplink or flexible</w:t>
      </w:r>
      <w:r w:rsidRPr="00B916EC">
        <w:rPr>
          <w:lang w:val="en-US"/>
        </w:rPr>
        <w:t xml:space="preserve">, </w:t>
      </w:r>
      <w:r w:rsidRPr="0091228A">
        <w:rPr>
          <w:lang w:val="en-US"/>
        </w:rPr>
        <w:t xml:space="preserve">or the UE detects a DCI </w:t>
      </w:r>
      <w:r>
        <w:rPr>
          <w:lang w:val="en-US"/>
        </w:rPr>
        <w:t>format</w:t>
      </w:r>
      <w:r w:rsidRPr="0091228A">
        <w:rPr>
          <w:lang w:val="en-US"/>
        </w:rPr>
        <w:t xml:space="preserve"> indicating </w:t>
      </w:r>
      <w:r>
        <w:rPr>
          <w:lang w:val="en-US"/>
        </w:rPr>
        <w:t xml:space="preserve">to </w:t>
      </w:r>
      <w:r w:rsidRPr="0091228A">
        <w:rPr>
          <w:lang w:val="en-US"/>
        </w:rPr>
        <w:t xml:space="preserve">the UE to transmit PUSCH, PUCCH, SRS, or PRACH in at least one symbol in the set of the symbols, </w:t>
      </w:r>
      <w:r w:rsidRPr="00B916EC">
        <w:rPr>
          <w:lang w:val="en-US"/>
        </w:rPr>
        <w:t xml:space="preserve">the UE </w:t>
      </w:r>
      <w:r>
        <w:t>cancels the</w:t>
      </w:r>
      <w:r w:rsidRPr="00B916EC">
        <w:t xml:space="preserve"> CSI-RS </w:t>
      </w:r>
      <w:r>
        <w:t xml:space="preserve">reception </w:t>
      </w:r>
      <w:r>
        <w:rPr>
          <w:lang w:val="en-US"/>
        </w:rPr>
        <w:t>in the set of symbols of the slot or cancels the</w:t>
      </w:r>
      <w:r w:rsidRPr="00B916EC">
        <w:rPr>
          <w:lang w:val="en-US"/>
        </w:rPr>
        <w:t xml:space="preserve"> PDSCH </w:t>
      </w:r>
      <w:r>
        <w:rPr>
          <w:lang w:val="en-US"/>
        </w:rPr>
        <w:t>reception in the slot</w:t>
      </w:r>
      <w:r w:rsidRPr="00B916EC">
        <w:t xml:space="preserve">. </w:t>
      </w:r>
    </w:p>
    <w:p w14:paraId="5DDF52A8" w14:textId="0AD16515" w:rsidR="00CB12F8" w:rsidRPr="00A641EE" w:rsidRDefault="00CB12F8" w:rsidP="00CB12F8">
      <w:bookmarkStart w:id="746" w:name="_Hlk42334731"/>
      <w:r>
        <w:t xml:space="preserve">For </w:t>
      </w:r>
      <w:r w:rsidR="00C354EA">
        <w:t xml:space="preserve">a UE </w:t>
      </w:r>
      <w:r>
        <w:t>operation with shared spectrum channel access</w:t>
      </w:r>
      <w:r w:rsidR="00C354EA" w:rsidRPr="005E225A">
        <w:t xml:space="preserve"> </w:t>
      </w:r>
      <w:r w:rsidR="00C354EA">
        <w:t xml:space="preserve">in FR1, or in FR2-2 when the UE is provided </w:t>
      </w:r>
      <w:r w:rsidR="00C354EA" w:rsidRPr="00A60998">
        <w:rPr>
          <w:i/>
          <w:iCs/>
        </w:rPr>
        <w:t>ChannelAccessMode2</w:t>
      </w:r>
      <w:r w:rsidR="00C354EA">
        <w:t xml:space="preserve"> = </w:t>
      </w:r>
      <w:r w:rsidR="00F22988">
        <w:t>'</w:t>
      </w:r>
      <w:r w:rsidR="00C354EA" w:rsidRPr="00A60998">
        <w:rPr>
          <w:i/>
          <w:iCs/>
        </w:rPr>
        <w:t>enabled</w:t>
      </w:r>
      <w:r w:rsidR="00F22988">
        <w:t>'</w:t>
      </w:r>
      <w:r>
        <w:t xml:space="preserve">, if a UE is </w:t>
      </w:r>
      <w:r w:rsidRPr="00B916EC">
        <w:t xml:space="preserve">configured </w:t>
      </w:r>
      <w:r w:rsidRPr="00B916EC">
        <w:rPr>
          <w:lang w:val="en-US"/>
        </w:rPr>
        <w:t xml:space="preserve">by higher layers </w:t>
      </w:r>
      <w:r>
        <w:rPr>
          <w:lang w:val="en-US"/>
        </w:rPr>
        <w:t>to receive</w:t>
      </w:r>
      <w:r w:rsidRPr="00B916EC">
        <w:t xml:space="preserve"> </w:t>
      </w:r>
      <w:r>
        <w:t xml:space="preserve">a </w:t>
      </w:r>
      <w:r w:rsidRPr="00B916EC">
        <w:t>CSI-RS</w:t>
      </w:r>
      <w:r>
        <w:rPr>
          <w:lang w:val="en-US"/>
        </w:rPr>
        <w:t xml:space="preserve"> and the UE </w:t>
      </w:r>
      <w:r>
        <w:t xml:space="preserve">is provided </w:t>
      </w:r>
      <w:r>
        <w:rPr>
          <w:i/>
          <w:iCs/>
        </w:rPr>
        <w:t>CO-Duration</w:t>
      </w:r>
      <w:r w:rsidR="009D470E">
        <w:rPr>
          <w:i/>
          <w:iCs/>
        </w:rPr>
        <w:t>s</w:t>
      </w:r>
      <w:r>
        <w:rPr>
          <w:i/>
          <w:iCs/>
        </w:rPr>
        <w:t>PerCell</w:t>
      </w:r>
      <w:r>
        <w:t>, for a set of symbols of a slot that are indicated a</w:t>
      </w:r>
      <w:r w:rsidRPr="00A641EE">
        <w:t>s downlink or flex</w:t>
      </w:r>
      <w:r>
        <w:t xml:space="preserve">ible by </w:t>
      </w:r>
      <w:r>
        <w:rPr>
          <w:i/>
          <w:iCs/>
        </w:rPr>
        <w:t>tdd-UL-DL-ConfigurationCommon</w:t>
      </w:r>
      <w:r>
        <w:t xml:space="preserve"> or </w:t>
      </w:r>
      <w:r>
        <w:rPr>
          <w:i/>
          <w:iCs/>
        </w:rPr>
        <w:t>tdd</w:t>
      </w:r>
      <w:r>
        <w:t>-</w:t>
      </w:r>
      <w:r>
        <w:rPr>
          <w:i/>
          <w:iCs/>
        </w:rPr>
        <w:t>UL-DL-ConfigurationDedicated</w:t>
      </w:r>
      <w:r>
        <w:t xml:space="preserve">, or when </w:t>
      </w:r>
      <w:r>
        <w:rPr>
          <w:i/>
          <w:iCs/>
        </w:rPr>
        <w:t>tdd-UL-DL-ConfigurationCommon</w:t>
      </w:r>
      <w:r>
        <w:t xml:space="preserve"> and </w:t>
      </w:r>
      <w:r>
        <w:rPr>
          <w:i/>
          <w:iCs/>
        </w:rPr>
        <w:t>tdd</w:t>
      </w:r>
      <w:r>
        <w:t>-</w:t>
      </w:r>
      <w:r>
        <w:rPr>
          <w:i/>
          <w:iCs/>
        </w:rPr>
        <w:t>UL-DL-ConfigurationDedicated</w:t>
      </w:r>
      <w:r>
        <w:t xml:space="preserve"> are not provided, the UE cancels the CSI-RS reception</w:t>
      </w:r>
      <w:r w:rsidRPr="00A641EE">
        <w:t xml:space="preserve"> in the set of symbols </w:t>
      </w:r>
      <w:r>
        <w:t xml:space="preserve">of the slot </w:t>
      </w:r>
      <w:r w:rsidRPr="00A641EE">
        <w:t>that are not within the remaining chan</w:t>
      </w:r>
      <w:r>
        <w:t>nel occupancy duration.</w:t>
      </w:r>
    </w:p>
    <w:bookmarkEnd w:id="746"/>
    <w:p w14:paraId="695BE40B" w14:textId="77777777" w:rsidR="00854FE3" w:rsidRDefault="00854FE3" w:rsidP="00854FE3">
      <w:r w:rsidRPr="00641131">
        <w:t xml:space="preserve">If a UE is configured by higher layers to receive a DL PRS in a set of symbols of a slot and the UE detects a DCI format 2_0 </w:t>
      </w:r>
      <w:r w:rsidRPr="00641131">
        <w:rPr>
          <w:lang w:eastAsia="zh-CN"/>
        </w:rPr>
        <w:t xml:space="preserve">with a slot format value other than 255 that </w:t>
      </w:r>
      <w:r w:rsidRPr="00641131">
        <w:t>indicates a slot format with a subset of symbols from the set of symbols as uplink,</w:t>
      </w:r>
      <w:r>
        <w:t xml:space="preserve"> or the UE detects a DCI format</w:t>
      </w:r>
      <w:r w:rsidRPr="00641131">
        <w:t xml:space="preserve"> indicating to the UE to transmit PUSCH, PUCCH, SRS, or PRACH in at least one symbol in the set of the symbols, the UE cancels the DL PRS reception in the set of symbols of the slot.</w:t>
      </w:r>
    </w:p>
    <w:p w14:paraId="04B204CF" w14:textId="1D3484CC" w:rsidR="004967FE" w:rsidRPr="00F24E06" w:rsidRDefault="004967FE" w:rsidP="004967FE">
      <w:pPr>
        <w:rPr>
          <w:lang w:eastAsia="zh-CN"/>
        </w:rPr>
      </w:pPr>
      <w:r w:rsidRPr="00B916EC">
        <w:rPr>
          <w:lang w:val="en-US"/>
        </w:rPr>
        <w:t>If</w:t>
      </w:r>
      <w:r w:rsidRPr="00B916EC">
        <w:t xml:space="preserve"> </w:t>
      </w:r>
      <w:r>
        <w:t>a</w:t>
      </w:r>
      <w:r w:rsidRPr="00B916EC">
        <w:t xml:space="preserve"> UE </w:t>
      </w:r>
      <w:r w:rsidRPr="00B916EC">
        <w:rPr>
          <w:lang w:val="en-US"/>
        </w:rPr>
        <w:t xml:space="preserve">is </w:t>
      </w:r>
      <w:r w:rsidRPr="00B916EC">
        <w:t xml:space="preserve">configured </w:t>
      </w:r>
      <w:r w:rsidRPr="00B916EC">
        <w:rPr>
          <w:lang w:val="en-US"/>
        </w:rPr>
        <w:t xml:space="preserve">by higher layers </w:t>
      </w:r>
      <w:r>
        <w:rPr>
          <w:lang w:val="en-US"/>
        </w:rPr>
        <w:t xml:space="preserve">to </w:t>
      </w:r>
      <w:r w:rsidRPr="00B916EC">
        <w:t>transmi</w:t>
      </w:r>
      <w:r>
        <w:t>t</w:t>
      </w:r>
      <w:r w:rsidRPr="00B916EC">
        <w:t xml:space="preserve"> SRS</w:t>
      </w:r>
      <w:r>
        <w:t>,</w:t>
      </w:r>
      <w:r w:rsidRPr="00B916EC">
        <w:t xml:space="preserve"> or PUCCH</w:t>
      </w:r>
      <w:r>
        <w:t>,</w:t>
      </w:r>
      <w:r w:rsidRPr="00B916EC">
        <w:t xml:space="preserve"> </w:t>
      </w:r>
      <w:r w:rsidRPr="00B916EC">
        <w:rPr>
          <w:lang w:val="en-US"/>
        </w:rPr>
        <w:t>or PUSCH</w:t>
      </w:r>
      <w:r>
        <w:rPr>
          <w:lang w:val="en-US"/>
        </w:rPr>
        <w:t xml:space="preserve">, or PRACH in a set of symbols of a slot and the UE detects a DCI format 2_0 </w:t>
      </w:r>
      <w:r>
        <w:rPr>
          <w:lang w:val="en-US" w:eastAsia="zh-CN"/>
        </w:rPr>
        <w:t xml:space="preserve">with a slot format value other than 255 that </w:t>
      </w:r>
      <w:r>
        <w:rPr>
          <w:lang w:val="en-US"/>
        </w:rPr>
        <w:t xml:space="preserve">indicates a slot format with a subset of symbols from the set of symbols as </w:t>
      </w:r>
      <w:r w:rsidRPr="00F24E06">
        <w:rPr>
          <w:lang w:val="en-US"/>
        </w:rPr>
        <w:t xml:space="preserve">downlink or flexible, or the UE detects a DCI format indicating </w:t>
      </w:r>
      <w:r>
        <w:rPr>
          <w:lang w:val="en-US"/>
        </w:rPr>
        <w:t xml:space="preserve">to </w:t>
      </w:r>
      <w:r w:rsidRPr="00F24E06">
        <w:rPr>
          <w:lang w:val="en-US"/>
        </w:rPr>
        <w:t xml:space="preserve">the UE to receive CSI-RS or PDSCH in </w:t>
      </w:r>
      <w:r w:rsidR="00CE7832">
        <w:rPr>
          <w:lang w:val="en-US"/>
        </w:rPr>
        <w:t>a subset of symbols from</w:t>
      </w:r>
      <w:r w:rsidRPr="00F24E06">
        <w:rPr>
          <w:lang w:val="en-US"/>
        </w:rPr>
        <w:t xml:space="preserve"> the set of symbols, then </w:t>
      </w:r>
    </w:p>
    <w:p w14:paraId="3C6F1D9D" w14:textId="6B48B678" w:rsidR="004967FE" w:rsidRPr="00991649" w:rsidRDefault="004967FE" w:rsidP="00265098">
      <w:pPr>
        <w:ind w:left="568" w:hanging="284"/>
      </w:pPr>
      <w:r>
        <w:t>-</w:t>
      </w:r>
      <w:r>
        <w:tab/>
      </w:r>
      <w:r w:rsidR="00A60570">
        <w:t xml:space="preserve">If the UE does not indicate the capability of [partialCancellation], </w:t>
      </w:r>
      <w:r w:rsidRPr="00BB6487">
        <w:t xml:space="preserve">the UE </w:t>
      </w:r>
      <w:r>
        <w:rPr>
          <w:lang w:val="en-US"/>
        </w:rPr>
        <w:t>does</w:t>
      </w:r>
      <w:r w:rsidRPr="00BB6487">
        <w:t xml:space="preserve"> not expect to cancel the transmission </w:t>
      </w:r>
      <w:r w:rsidR="00A60570">
        <w:t xml:space="preserve">of the PUCCH or PUSCH or PRACH </w:t>
      </w:r>
      <w:r w:rsidRPr="00BB6487">
        <w:t>in the set of symbol</w:t>
      </w:r>
      <w:r>
        <w:t>s</w:t>
      </w:r>
      <w:r w:rsidRPr="00BB6487">
        <w:t xml:space="preserve"> </w:t>
      </w:r>
      <w:r w:rsidR="00A60570">
        <w:t>if the first symbol in the set</w:t>
      </w:r>
      <w:r>
        <w:t xml:space="preserve"> occur</w:t>
      </w:r>
      <w:r w:rsidR="00A60570">
        <w:t xml:space="preserve">s within </w:t>
      </w:r>
      <m:oMath>
        <m:sSub>
          <m:sSubPr>
            <m:ctrlPr>
              <w:rPr>
                <w:rFonts w:ascii="Cambria Math" w:hAnsi="Cambria Math"/>
                <w:i/>
              </w:rPr>
            </m:ctrlPr>
          </m:sSubPr>
          <m:e>
            <m:r>
              <w:rPr>
                <w:rFonts w:ascii="Cambria Math" w:hAnsi="Cambria Math"/>
              </w:rPr>
              <m:t>T</m:t>
            </m:r>
          </m:e>
          <m:sub>
            <m:r>
              <w:rPr>
                <w:rFonts w:ascii="Cambria Math" w:hAnsi="Cambria Math"/>
              </w:rPr>
              <m:t>proc,2</m:t>
            </m:r>
          </m:sub>
        </m:sSub>
      </m:oMath>
      <w:r>
        <w:t xml:space="preserve"> relative to</w:t>
      </w:r>
      <w:r w:rsidRPr="00BB6487">
        <w:t xml:space="preserve"> </w:t>
      </w:r>
      <w:r>
        <w:t xml:space="preserve">a last symbol of a </w:t>
      </w:r>
      <w:r w:rsidR="006F4839">
        <w:t>PDCCH reception</w:t>
      </w:r>
      <w:r>
        <w:t xml:space="preserve"> where the UE detects the DCI format</w:t>
      </w:r>
      <w:r w:rsidR="00A60570">
        <w:t xml:space="preserve">; </w:t>
      </w:r>
      <w:r w:rsidR="00A60570">
        <w:rPr>
          <w:lang w:val="en-US"/>
        </w:rPr>
        <w:t xml:space="preserve">otherwise, the UE cancels the PUCCH, or the PUSCH, or an actual repetition of the PUSCH [6, </w:t>
      </w:r>
      <w:r w:rsidR="00295E42">
        <w:rPr>
          <w:lang w:val="en-US"/>
        </w:rPr>
        <w:t>TS 38.</w:t>
      </w:r>
      <w:r w:rsidR="00A60570">
        <w:rPr>
          <w:lang w:val="en-US"/>
        </w:rPr>
        <w:t xml:space="preserve">214], determined from </w:t>
      </w:r>
      <w:r w:rsidR="006F5F9E">
        <w:rPr>
          <w:lang w:val="en-US"/>
        </w:rPr>
        <w:t>clause</w:t>
      </w:r>
      <w:r w:rsidR="00A60570">
        <w:rPr>
          <w:lang w:val="en-US"/>
        </w:rPr>
        <w:t>s 9</w:t>
      </w:r>
      <w:r w:rsidR="00295E42">
        <w:rPr>
          <w:lang w:val="en-US"/>
        </w:rPr>
        <w:t>,</w:t>
      </w:r>
      <w:r w:rsidR="00A60570">
        <w:rPr>
          <w:lang w:val="en-US"/>
        </w:rPr>
        <w:t xml:space="preserve"> 9.2.5</w:t>
      </w:r>
      <w:r w:rsidR="00295E42">
        <w:rPr>
          <w:lang w:val="en-US"/>
        </w:rPr>
        <w:t xml:space="preserve"> and 9.2.6</w:t>
      </w:r>
      <w:r w:rsidR="00A60570">
        <w:rPr>
          <w:lang w:val="en-US"/>
        </w:rPr>
        <w:t xml:space="preserve"> or </w:t>
      </w:r>
      <w:r w:rsidR="006F5F9E">
        <w:rPr>
          <w:lang w:val="en-US"/>
        </w:rPr>
        <w:t>clause</w:t>
      </w:r>
      <w:r w:rsidR="00A60570">
        <w:rPr>
          <w:lang w:val="en-US"/>
        </w:rPr>
        <w:t xml:space="preserve"> 6.1 of [6, </w:t>
      </w:r>
      <w:r w:rsidR="00295E42">
        <w:rPr>
          <w:lang w:val="en-US"/>
        </w:rPr>
        <w:t>TS 38.</w:t>
      </w:r>
      <w:r w:rsidR="00A60570">
        <w:rPr>
          <w:lang w:val="en-US"/>
        </w:rPr>
        <w:t xml:space="preserve">214], or the PRACH transmission in the set of symbols. </w:t>
      </w:r>
    </w:p>
    <w:p w14:paraId="26F678BB" w14:textId="7E277C20" w:rsidR="00A60570" w:rsidRPr="001F460E" w:rsidRDefault="00A60570" w:rsidP="004455AE">
      <w:pPr>
        <w:pStyle w:val="B1"/>
      </w:pPr>
      <w:r w:rsidRPr="001F460E">
        <w:t>-</w:t>
      </w:r>
      <w:r>
        <w:tab/>
      </w:r>
      <w:r w:rsidRPr="001F460E">
        <w:t xml:space="preserve">If the UE indicates the capability of [partialCancellation], </w:t>
      </w:r>
      <w:r w:rsidRPr="001F460E">
        <w:rPr>
          <w:rFonts w:hint="eastAsia"/>
        </w:rPr>
        <w:t xml:space="preserve">the UE does not expect to cancel the transmission </w:t>
      </w:r>
      <w:r w:rsidRPr="001F460E">
        <w:t xml:space="preserve">of the PUCCH or PUSCH or PRACH </w:t>
      </w:r>
      <w:r w:rsidRPr="001F460E">
        <w:rPr>
          <w:rFonts w:hint="eastAsia"/>
        </w:rPr>
        <w:t>in</w:t>
      </w:r>
      <w:r w:rsidRPr="001F460E">
        <w:rPr>
          <w:lang w:val="en-US"/>
        </w:rPr>
        <w:t xml:space="preserve"> symbols from the set of symbols </w:t>
      </w:r>
      <w:r w:rsidRPr="001F460E">
        <w:t>that</w:t>
      </w:r>
      <w:r w:rsidRPr="001F460E">
        <w:rPr>
          <w:rFonts w:hint="eastAsia"/>
        </w:rPr>
        <w:t xml:space="preserve"> occur </w:t>
      </w:r>
      <w:r>
        <w:rPr>
          <w:lang w:val="en-US"/>
        </w:rPr>
        <w:t xml:space="preserve">within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proc,2</m:t>
            </m:r>
          </m:sub>
        </m:sSub>
      </m:oMath>
      <w:r>
        <w:rPr>
          <w:lang w:val="en-US"/>
        </w:rPr>
        <w:t xml:space="preserve"> </w:t>
      </w:r>
      <w:r w:rsidRPr="001F460E">
        <w:rPr>
          <w:rFonts w:hint="eastAsia"/>
        </w:rPr>
        <w:t xml:space="preserve">relative to a last symbol of a </w:t>
      </w:r>
      <w:r w:rsidR="006F4839">
        <w:t>PDCCH reception</w:t>
      </w:r>
      <w:r w:rsidRPr="001F460E">
        <w:rPr>
          <w:rFonts w:hint="eastAsia"/>
        </w:rPr>
        <w:t xml:space="preserve"> where the UE detects the DCI format</w:t>
      </w:r>
      <w:r>
        <w:rPr>
          <w:lang w:val="en-US"/>
        </w:rPr>
        <w:t xml:space="preserve">. </w:t>
      </w:r>
      <w:r w:rsidRPr="001F460E">
        <w:t xml:space="preserve">The UE cancels the PUCCH, or the PUSCH, or an actual repetition of the PUSCH [6, TS 38.214], determined from </w:t>
      </w:r>
      <w:r w:rsidR="006F5F9E">
        <w:t>clause</w:t>
      </w:r>
      <w:r w:rsidRPr="001F460E">
        <w:t>s 9</w:t>
      </w:r>
      <w:r w:rsidR="00295E42">
        <w:rPr>
          <w:lang w:val="en-GB"/>
        </w:rPr>
        <w:t>,</w:t>
      </w:r>
      <w:r w:rsidRPr="001F460E">
        <w:t xml:space="preserve"> 9.2.5</w:t>
      </w:r>
      <w:r w:rsidR="00295E42">
        <w:rPr>
          <w:lang w:val="en-US"/>
        </w:rPr>
        <w:t xml:space="preserve"> and 9.2.6</w:t>
      </w:r>
      <w:r w:rsidRPr="001F460E">
        <w:t xml:space="preserve"> or </w:t>
      </w:r>
      <w:r w:rsidR="006F5F9E">
        <w:t>clause</w:t>
      </w:r>
      <w:r w:rsidRPr="001F460E">
        <w:t xml:space="preserve"> 6.1 of [6</w:t>
      </w:r>
      <w:r>
        <w:rPr>
          <w:lang w:val="en-US"/>
        </w:rPr>
        <w:t>,</w:t>
      </w:r>
      <w:r w:rsidRPr="001F460E">
        <w:t xml:space="preserve"> TS 38.214], or the PRACH transmission in remaining symbols from the set of symbols. </w:t>
      </w:r>
    </w:p>
    <w:p w14:paraId="588254DB" w14:textId="16F85605" w:rsidR="00A60570" w:rsidRPr="008418E3" w:rsidRDefault="00A60570" w:rsidP="004455AE">
      <w:pPr>
        <w:pStyle w:val="B1"/>
        <w:rPr>
          <w:lang w:val="en-US" w:eastAsia="zh-CN"/>
        </w:rPr>
      </w:pPr>
      <w:r>
        <w:rPr>
          <w:lang w:val="en-US" w:eastAsia="zh-CN"/>
        </w:rPr>
        <w:t>-</w:t>
      </w:r>
      <w:r>
        <w:rPr>
          <w:lang w:val="en-US" w:eastAsia="zh-CN"/>
        </w:rPr>
        <w:tab/>
        <w:t xml:space="preserve">The UE does not expect to cancel the transmission of SRS in symbols from the subset of symbols that occur within </w:t>
      </w:r>
      <m:oMath>
        <m:sSub>
          <m:sSubPr>
            <m:ctrlPr>
              <w:rPr>
                <w:rFonts w:ascii="Cambria Math" w:hAnsi="Cambria Math"/>
                <w:i/>
                <w:lang w:val="en-US" w:eastAsia="zh-CN"/>
              </w:rPr>
            </m:ctrlPr>
          </m:sSubPr>
          <m:e>
            <m:r>
              <w:rPr>
                <w:rFonts w:ascii="Cambria Math" w:hAnsi="Cambria Math"/>
                <w:lang w:val="en-US" w:eastAsia="zh-CN"/>
              </w:rPr>
              <m:t>T</m:t>
            </m:r>
          </m:e>
          <m:sub>
            <m:r>
              <w:rPr>
                <w:rFonts w:ascii="Cambria Math" w:hAnsi="Cambria Math"/>
                <w:lang w:val="en-US" w:eastAsia="zh-CN"/>
              </w:rPr>
              <m:t>proc,2</m:t>
            </m:r>
          </m:sub>
        </m:sSub>
      </m:oMath>
      <w:r>
        <w:rPr>
          <w:lang w:val="en-US" w:eastAsia="zh-CN"/>
        </w:rPr>
        <w:t xml:space="preserve"> relative to a last symbol of a </w:t>
      </w:r>
      <w:r w:rsidR="006F4839">
        <w:t>PDCCH reception</w:t>
      </w:r>
      <w:r>
        <w:rPr>
          <w:lang w:val="en-US" w:eastAsia="zh-CN"/>
        </w:rPr>
        <w:t xml:space="preserve"> where the UE detects the DCI format. The UE cancels the SRS transmission in remaining symbols from the subset of symbols. </w:t>
      </w:r>
    </w:p>
    <w:p w14:paraId="15B49113" w14:textId="58EADD88" w:rsidR="00A60570" w:rsidRPr="00BB6487" w:rsidRDefault="00A60570" w:rsidP="00A60570">
      <w:pPr>
        <w:pStyle w:val="B1"/>
        <w:rPr>
          <w:lang w:eastAsia="zh-CN"/>
        </w:rPr>
      </w:pPr>
      <w:r>
        <w:lastRenderedPageBreak/>
        <w:tab/>
      </w:r>
      <m:oMath>
        <m:sSub>
          <m:sSubPr>
            <m:ctrlPr>
              <w:rPr>
                <w:rFonts w:ascii="Cambria Math" w:hAnsi="Cambria Math"/>
                <w:i/>
              </w:rPr>
            </m:ctrlPr>
          </m:sSubPr>
          <m:e>
            <m:r>
              <w:rPr>
                <w:rFonts w:ascii="Cambria Math" w:hAnsi="Cambria Math"/>
              </w:rPr>
              <m:t>T</m:t>
            </m:r>
          </m:e>
          <m:sub>
            <m:r>
              <m:rPr>
                <m:sty m:val="p"/>
              </m:rPr>
              <w:rPr>
                <w:rFonts w:ascii="Cambria Math" w:hAnsi="Cambria Math"/>
              </w:rPr>
              <m:t>proc,2</m:t>
            </m:r>
          </m:sub>
        </m:sSub>
      </m:oMath>
      <w:r w:rsidRPr="001F460E">
        <w:rPr>
          <w:lang w:val="en-US"/>
        </w:rPr>
        <w:t xml:space="preserve"> is the PUSCH preparation time </w:t>
      </w:r>
      <w:r w:rsidRPr="001F460E">
        <w:rPr>
          <w:rFonts w:hint="eastAsia"/>
        </w:rPr>
        <w:t xml:space="preserve">for the corresponding </w:t>
      </w:r>
      <w:r w:rsidRPr="001F460E">
        <w:rPr>
          <w:lang w:val="en-US"/>
        </w:rPr>
        <w:t>UE processing</w:t>
      </w:r>
      <w:r w:rsidRPr="001F460E">
        <w:rPr>
          <w:rFonts w:hint="eastAsia"/>
        </w:rPr>
        <w:t xml:space="preserve"> capability [6, TS 38.214]</w:t>
      </w:r>
      <w:r w:rsidRPr="001F460E">
        <w:t xml:space="preserve"> assuming </w:t>
      </w:r>
      <m:oMath>
        <m:sSub>
          <m:sSubPr>
            <m:ctrlPr>
              <w:rPr>
                <w:rFonts w:ascii="Cambria Math" w:hAnsi="Cambria Math"/>
                <w:i/>
              </w:rPr>
            </m:ctrlPr>
          </m:sSubPr>
          <m:e>
            <m:r>
              <w:rPr>
                <w:rFonts w:ascii="Cambria Math" w:hAnsi="Cambria Math"/>
              </w:rPr>
              <m:t>d</m:t>
            </m:r>
          </m:e>
          <m:sub>
            <m:r>
              <m:rPr>
                <m:sty m:val="p"/>
              </m:rPr>
              <w:rPr>
                <w:rFonts w:ascii="Cambria Math" w:hAnsi="Cambria Math"/>
              </w:rPr>
              <m:t>2,1</m:t>
            </m:r>
          </m:sub>
        </m:sSub>
        <m:r>
          <w:rPr>
            <w:rFonts w:ascii="Cambria Math" w:hAnsi="Cambria Math"/>
          </w:rPr>
          <m:t>=1</m:t>
        </m:r>
      </m:oMath>
      <w:r w:rsidRPr="001F460E">
        <w:rPr>
          <w:lang w:val="en-US"/>
        </w:rPr>
        <w:t xml:space="preserve"> </w:t>
      </w:r>
      <w:r w:rsidRPr="001F460E">
        <w:rPr>
          <w:rFonts w:eastAsia="DengXian" w:hint="eastAsia"/>
          <w:lang w:eastAsia="zh-CN"/>
        </w:rPr>
        <w:t xml:space="preserve">and </w:t>
      </w:r>
      <m:oMath>
        <m:r>
          <w:rPr>
            <w:rFonts w:ascii="Cambria Math" w:eastAsia="DengXian" w:hAnsi="Cambria Math"/>
            <w:lang w:eastAsia="zh-CN"/>
          </w:rPr>
          <m:t>μ</m:t>
        </m:r>
      </m:oMath>
      <w:r w:rsidRPr="001F460E">
        <w:rPr>
          <w:rFonts w:eastAsia="DengXian" w:hint="eastAsia"/>
          <w:lang w:eastAsia="zh-CN"/>
        </w:rPr>
        <w:t xml:space="preserve"> corresponds to the smallest SCS configuration </w:t>
      </w:r>
      <w:r w:rsidRPr="001F460E">
        <w:rPr>
          <w:rFonts w:hint="eastAsia"/>
          <w:lang w:eastAsia="zh-CN"/>
        </w:rPr>
        <w:t>between</w:t>
      </w:r>
      <w:r w:rsidRPr="001F460E">
        <w:rPr>
          <w:rFonts w:eastAsia="DengXian" w:hint="eastAsia"/>
          <w:lang w:eastAsia="zh-CN"/>
        </w:rPr>
        <w:t xml:space="preserve"> the SCS configuration of the PDCCH carrying the DCI format </w:t>
      </w:r>
      <w:r w:rsidRPr="001F460E">
        <w:rPr>
          <w:rFonts w:hint="eastAsia"/>
          <w:lang w:eastAsia="zh-CN"/>
        </w:rPr>
        <w:t>and</w:t>
      </w:r>
      <w:r w:rsidRPr="001F460E">
        <w:rPr>
          <w:rFonts w:eastAsia="DengXian" w:hint="eastAsia"/>
          <w:lang w:eastAsia="zh-CN"/>
        </w:rPr>
        <w:t xml:space="preserve"> the SCS configuration of the SRS, PUCCH, PUSCH</w:t>
      </w:r>
      <w:r w:rsidRPr="001F460E">
        <w:rPr>
          <w:rFonts w:hint="eastAsia"/>
          <w:lang w:eastAsia="zh-CN"/>
        </w:rPr>
        <w:t xml:space="preserve"> or</w:t>
      </w:r>
      <w:r w:rsidRPr="001F460E">
        <w:rPr>
          <w:rFonts w:eastAsia="DengXian" w:hint="eastAsia"/>
          <w:lang w:eastAsia="zh-CN"/>
        </w:rPr>
        <w:t xml:space="preserve"> </w:t>
      </w:r>
      <m:oMath>
        <m:sSub>
          <m:sSubPr>
            <m:ctrlPr>
              <w:rPr>
                <w:rFonts w:ascii="Cambria Math" w:hAnsi="Cambria Math"/>
                <w:i/>
              </w:rPr>
            </m:ctrlPr>
          </m:sSubPr>
          <m:e>
            <m:r>
              <w:rPr>
                <w:rFonts w:ascii="Cambria Math" w:hAnsi="Cambria Math"/>
              </w:rPr>
              <m:t>μ</m:t>
            </m:r>
          </m:e>
          <m:sub>
            <m:r>
              <w:rPr>
                <w:rFonts w:ascii="Cambria Math" w:hAnsi="Cambria Math"/>
              </w:rPr>
              <m:t>r</m:t>
            </m:r>
          </m:sub>
        </m:sSub>
      </m:oMath>
      <w:r w:rsidRPr="001F460E">
        <w:t xml:space="preserve">, where </w:t>
      </w:r>
      <m:oMath>
        <m:sSub>
          <m:sSubPr>
            <m:ctrlPr>
              <w:rPr>
                <w:rFonts w:ascii="Cambria Math" w:hAnsi="Cambria Math"/>
                <w:i/>
              </w:rPr>
            </m:ctrlPr>
          </m:sSubPr>
          <m:e>
            <m:r>
              <w:rPr>
                <w:rFonts w:ascii="Cambria Math" w:hAnsi="Cambria Math"/>
              </w:rPr>
              <m:t>μ</m:t>
            </m:r>
          </m:e>
          <m:sub>
            <m:r>
              <w:rPr>
                <w:rFonts w:ascii="Cambria Math" w:hAnsi="Cambria Math"/>
              </w:rPr>
              <m:t>r</m:t>
            </m:r>
          </m:sub>
        </m:sSub>
      </m:oMath>
      <w:r w:rsidRPr="001F460E">
        <w:t xml:space="preserve"> corresponds to the SCS configuration of the PRACH if it is 15kHz or higher; otherwise </w:t>
      </w:r>
      <m:oMath>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=0</m:t>
        </m:r>
      </m:oMath>
      <w:r w:rsidRPr="001F460E">
        <w:t>.</w:t>
      </w:r>
    </w:p>
    <w:p w14:paraId="0373B417" w14:textId="77777777" w:rsidR="00AF2DCE" w:rsidRPr="00370E38" w:rsidRDefault="00AF2DCE" w:rsidP="00AF2DCE">
      <w:r w:rsidRPr="00370E38">
        <w:t xml:space="preserve">If a UE is configured by higher layers to receive a CSI-RS or </w:t>
      </w:r>
      <w:r w:rsidRPr="00370E38">
        <w:rPr>
          <w:lang w:val="en-US"/>
        </w:rPr>
        <w:t>detects a DCI format 0_1 indicating to the UE to receive</w:t>
      </w:r>
      <w:r w:rsidRPr="00370E38">
        <w:t xml:space="preserve"> a CSI-RS in one or more RB sets and a set of symbols of a slot</w:t>
      </w:r>
      <w:r w:rsidRPr="00370E38">
        <w:rPr>
          <w:lang w:val="en-US"/>
        </w:rPr>
        <w:t>, and the UE detects a DCI format 2_0 with bitmap indicating that any RB set from the one or more RB sets is not available for reception, the UE cancels the CSI-RS reception in the set of symbols of the slot.</w:t>
      </w:r>
    </w:p>
    <w:p w14:paraId="7DE435AE" w14:textId="0A395DA1" w:rsidR="00B06F8A" w:rsidRPr="001845F3" w:rsidRDefault="00B06F8A" w:rsidP="00B06F8A">
      <w:r w:rsidRPr="001845F3">
        <w:t xml:space="preserve">A UE assumes that flexible symbols in a </w:t>
      </w:r>
      <w:r w:rsidR="00C76664">
        <w:t>CORESET</w:t>
      </w:r>
      <w:r w:rsidRPr="001845F3">
        <w:t xml:space="preserve"> configured to the UE for PDCCH monitoring are downlink symbols</w:t>
      </w:r>
      <w:r w:rsidRPr="005B7BBD">
        <w:t xml:space="preserve"> if the UE does not detect </w:t>
      </w:r>
      <w:r w:rsidR="004967FE">
        <w:rPr>
          <w:lang w:val="en-US"/>
        </w:rPr>
        <w:t>an SFI-index field value in</w:t>
      </w:r>
      <w:r w:rsidRPr="005B7BBD">
        <w:t xml:space="preserve"> DCI format 2_0 indicating the set of symbols of the slot as flexible or uplink</w:t>
      </w:r>
      <w:r w:rsidR="004967FE">
        <w:t xml:space="preserve"> and the UE does not </w:t>
      </w:r>
      <w:r w:rsidR="004967FE">
        <w:rPr>
          <w:lang w:val="en-US"/>
        </w:rPr>
        <w:t xml:space="preserve">detect a </w:t>
      </w:r>
      <w:r w:rsidR="004967FE" w:rsidRPr="00B916EC">
        <w:rPr>
          <w:lang w:val="en-US"/>
        </w:rPr>
        <w:t>DCI format</w:t>
      </w:r>
      <w:r w:rsidR="004967FE">
        <w:rPr>
          <w:lang w:val="en-US"/>
        </w:rPr>
        <w:t xml:space="preserve"> </w:t>
      </w:r>
      <w:r w:rsidR="004967FE" w:rsidRPr="00B916EC">
        <w:rPr>
          <w:lang w:val="en-US"/>
        </w:rPr>
        <w:t>i</w:t>
      </w:r>
      <w:r w:rsidR="004967FE">
        <w:rPr>
          <w:lang w:val="en-US"/>
        </w:rPr>
        <w:t xml:space="preserve">ndicating to the UE to transmit SRS, PUSCH, </w:t>
      </w:r>
      <w:r w:rsidR="004967FE" w:rsidRPr="00B916EC">
        <w:rPr>
          <w:lang w:val="en-US"/>
        </w:rPr>
        <w:t xml:space="preserve">PUCCH, </w:t>
      </w:r>
      <w:r w:rsidR="004967FE">
        <w:rPr>
          <w:lang w:val="en-US"/>
        </w:rPr>
        <w:t>or PRACH in the set of symbols</w:t>
      </w:r>
      <w:r w:rsidRPr="001845F3">
        <w:t xml:space="preserve">. </w:t>
      </w:r>
    </w:p>
    <w:p w14:paraId="36EC4A39" w14:textId="77777777" w:rsidR="00B06F8A" w:rsidRPr="00490D27" w:rsidRDefault="00B06F8A" w:rsidP="0009732E">
      <w:pPr>
        <w:rPr>
          <w:lang w:val="en-US"/>
        </w:rPr>
      </w:pPr>
      <w:r w:rsidRPr="00B916EC">
        <w:rPr>
          <w:lang w:val="en-US"/>
        </w:rPr>
        <w:t>F</w:t>
      </w:r>
      <w:r w:rsidRPr="00B916EC">
        <w:t xml:space="preserve">or a set of symbols </w:t>
      </w:r>
      <w:r w:rsidRPr="00B916EC">
        <w:rPr>
          <w:lang w:val="en-US"/>
        </w:rPr>
        <w:t>of</w:t>
      </w:r>
      <w:r w:rsidRPr="00B916EC">
        <w:t xml:space="preserve"> a slot that are indicated as </w:t>
      </w:r>
      <w:r w:rsidRPr="00B916EC">
        <w:rPr>
          <w:lang w:val="en-US"/>
        </w:rPr>
        <w:t>flexible</w:t>
      </w:r>
      <w:r w:rsidRPr="00B916EC">
        <w:t xml:space="preserve"> by </w:t>
      </w:r>
      <w:r w:rsidR="00A567A6">
        <w:rPr>
          <w:i/>
        </w:rPr>
        <w:t>tdd</w:t>
      </w:r>
      <w:r w:rsidR="004967FE" w:rsidRPr="00FE7E1C">
        <w:rPr>
          <w:i/>
        </w:rPr>
        <w:t>-</w:t>
      </w:r>
      <w:r w:rsidR="004967FE" w:rsidRPr="00B916EC">
        <w:rPr>
          <w:i/>
          <w:lang w:val="en-US"/>
        </w:rPr>
        <w:t>UL-DL-</w:t>
      </w:r>
      <w:r w:rsidR="004967FE">
        <w:rPr>
          <w:i/>
          <w:lang w:val="en-US"/>
        </w:rPr>
        <w:t>C</w:t>
      </w:r>
      <w:r w:rsidR="004967FE" w:rsidRPr="00B916EC">
        <w:rPr>
          <w:i/>
          <w:lang w:val="en-US"/>
        </w:rPr>
        <w:t>onfiguration</w:t>
      </w:r>
      <w:r w:rsidR="004967FE">
        <w:rPr>
          <w:i/>
          <w:lang w:val="en-US"/>
        </w:rPr>
        <w:t>C</w:t>
      </w:r>
      <w:r w:rsidR="004967FE" w:rsidRPr="00B916EC">
        <w:rPr>
          <w:i/>
          <w:lang w:val="en-US"/>
        </w:rPr>
        <w:t>ommon</w:t>
      </w:r>
      <w:r w:rsidR="004967FE">
        <w:rPr>
          <w:lang w:val="en-US"/>
        </w:rPr>
        <w:t>,</w:t>
      </w:r>
      <w:r w:rsidR="004967FE" w:rsidRPr="00B916EC">
        <w:rPr>
          <w:lang w:val="en-US"/>
        </w:rPr>
        <w:t xml:space="preserve"> </w:t>
      </w:r>
      <w:r w:rsidR="004967FE">
        <w:rPr>
          <w:lang w:val="en-US"/>
        </w:rPr>
        <w:t>and</w:t>
      </w:r>
      <w:r w:rsidR="004967FE" w:rsidRPr="00B916EC">
        <w:rPr>
          <w:lang w:val="en-US"/>
        </w:rPr>
        <w:t xml:space="preserve"> </w:t>
      </w:r>
      <w:r w:rsidR="00A567A6">
        <w:rPr>
          <w:i/>
          <w:lang w:val="en-US"/>
        </w:rPr>
        <w:t>tdd</w:t>
      </w:r>
      <w:r w:rsidR="004967FE" w:rsidRPr="0049596A">
        <w:rPr>
          <w:i/>
          <w:lang w:val="en-US"/>
        </w:rPr>
        <w:t>-</w:t>
      </w:r>
      <w:r w:rsidR="004967FE" w:rsidRPr="00B916EC">
        <w:rPr>
          <w:i/>
          <w:lang w:val="en-US"/>
        </w:rPr>
        <w:t>UL-DL-</w:t>
      </w:r>
      <w:r w:rsidR="004967FE">
        <w:rPr>
          <w:i/>
          <w:lang w:val="en-US"/>
        </w:rPr>
        <w:t>C</w:t>
      </w:r>
      <w:r w:rsidR="004967FE" w:rsidRPr="00B916EC">
        <w:rPr>
          <w:i/>
          <w:lang w:val="en-US"/>
        </w:rPr>
        <w:t>onfig</w:t>
      </w:r>
      <w:r w:rsidR="00A567A6">
        <w:rPr>
          <w:i/>
          <w:lang w:val="en-US"/>
        </w:rPr>
        <w:t>uration</w:t>
      </w:r>
      <w:r w:rsidR="004967FE">
        <w:rPr>
          <w:i/>
          <w:lang w:val="en-US"/>
        </w:rPr>
        <w:t>D</w:t>
      </w:r>
      <w:r w:rsidR="004967FE" w:rsidRPr="00B916EC">
        <w:rPr>
          <w:i/>
          <w:lang w:val="en-US"/>
        </w:rPr>
        <w:t>edicated</w:t>
      </w:r>
      <w:r w:rsidR="00613833" w:rsidRPr="00A639A0">
        <w:rPr>
          <w:rFonts w:eastAsia="DengXian" w:hint="eastAsia"/>
          <w:lang w:val="en-US" w:eastAsia="zh-CN"/>
        </w:rPr>
        <w:t xml:space="preserve"> </w:t>
      </w:r>
      <w:r w:rsidR="00613833" w:rsidRPr="00376326">
        <w:rPr>
          <w:rFonts w:eastAsia="DengXian" w:hint="eastAsia"/>
          <w:lang w:val="en-US" w:eastAsia="zh-CN"/>
        </w:rPr>
        <w:t>if provided</w:t>
      </w:r>
      <w:r>
        <w:rPr>
          <w:lang w:val="en-US"/>
        </w:rPr>
        <w:t xml:space="preserve">, or when </w:t>
      </w:r>
      <w:r w:rsidR="00A567A6">
        <w:rPr>
          <w:i/>
          <w:lang w:val="en-US"/>
        </w:rPr>
        <w:t>tdd</w:t>
      </w:r>
      <w:r w:rsidR="004967FE" w:rsidRPr="00FE7E1C">
        <w:rPr>
          <w:i/>
          <w:lang w:val="en-US"/>
        </w:rPr>
        <w:t>-</w:t>
      </w:r>
      <w:r w:rsidR="004967FE" w:rsidRPr="00B916EC">
        <w:rPr>
          <w:i/>
          <w:lang w:val="en-US"/>
        </w:rPr>
        <w:t>UL-DL-</w:t>
      </w:r>
      <w:r w:rsidR="004967FE">
        <w:rPr>
          <w:i/>
          <w:lang w:val="en-US"/>
        </w:rPr>
        <w:t>C</w:t>
      </w:r>
      <w:r w:rsidR="004967FE" w:rsidRPr="00B916EC">
        <w:rPr>
          <w:i/>
          <w:lang w:val="en-US"/>
        </w:rPr>
        <w:t>onfiguration</w:t>
      </w:r>
      <w:r w:rsidR="004967FE">
        <w:rPr>
          <w:i/>
          <w:lang w:val="en-US"/>
        </w:rPr>
        <w:t>C</w:t>
      </w:r>
      <w:r w:rsidR="004967FE" w:rsidRPr="00B916EC">
        <w:rPr>
          <w:i/>
          <w:lang w:val="en-US"/>
        </w:rPr>
        <w:t>ommon</w:t>
      </w:r>
      <w:r w:rsidR="004967FE">
        <w:rPr>
          <w:lang w:val="en-US"/>
        </w:rPr>
        <w:t>, and</w:t>
      </w:r>
      <w:r w:rsidR="004967FE" w:rsidRPr="00B916EC">
        <w:rPr>
          <w:lang w:val="en-US"/>
        </w:rPr>
        <w:t xml:space="preserve"> </w:t>
      </w:r>
      <w:r w:rsidR="00A567A6">
        <w:rPr>
          <w:i/>
          <w:lang w:val="en-US"/>
        </w:rPr>
        <w:t>tdd</w:t>
      </w:r>
      <w:r w:rsidR="004967FE" w:rsidRPr="0023005A">
        <w:rPr>
          <w:i/>
          <w:lang w:val="en-US"/>
        </w:rPr>
        <w:t>-</w:t>
      </w:r>
      <w:r w:rsidR="004967FE" w:rsidRPr="00B916EC">
        <w:rPr>
          <w:i/>
          <w:lang w:val="en-US"/>
        </w:rPr>
        <w:t>UL-DL-</w:t>
      </w:r>
      <w:r w:rsidR="004967FE">
        <w:rPr>
          <w:i/>
          <w:lang w:val="en-US"/>
        </w:rPr>
        <w:t>C</w:t>
      </w:r>
      <w:r w:rsidR="004967FE" w:rsidRPr="00B916EC">
        <w:rPr>
          <w:i/>
          <w:lang w:val="en-US"/>
        </w:rPr>
        <w:t>onfig</w:t>
      </w:r>
      <w:r w:rsidR="00A567A6">
        <w:rPr>
          <w:i/>
          <w:lang w:val="en-US"/>
        </w:rPr>
        <w:t>uration</w:t>
      </w:r>
      <w:r w:rsidR="004967FE">
        <w:rPr>
          <w:i/>
          <w:lang w:val="en-US"/>
        </w:rPr>
        <w:t>D</w:t>
      </w:r>
      <w:r w:rsidR="004967FE" w:rsidRPr="00B916EC">
        <w:rPr>
          <w:i/>
          <w:lang w:val="en-US"/>
        </w:rPr>
        <w:t>edicated</w:t>
      </w:r>
      <w:r>
        <w:rPr>
          <w:lang w:val="en-US"/>
        </w:rPr>
        <w:t xml:space="preserve"> are not provided to the UE, and if the UE does not </w:t>
      </w:r>
      <w:r>
        <w:rPr>
          <w:lang w:eastAsia="zh-CN"/>
        </w:rPr>
        <w:t>detect</w:t>
      </w:r>
      <w:r w:rsidRPr="00B916EC">
        <w:rPr>
          <w:lang w:eastAsia="zh-CN"/>
        </w:rPr>
        <w:t xml:space="preserve"> </w:t>
      </w:r>
      <w:r w:rsidRPr="00B916EC">
        <w:rPr>
          <w:lang w:val="en-US" w:eastAsia="zh-CN"/>
        </w:rPr>
        <w:t>a DCI format</w:t>
      </w:r>
      <w:r w:rsidRPr="00B916EC">
        <w:rPr>
          <w:lang w:eastAsia="zh-CN"/>
        </w:rPr>
        <w:t xml:space="preserve"> </w:t>
      </w:r>
      <w:r w:rsidRPr="00B916EC">
        <w:rPr>
          <w:lang w:val="en-US" w:eastAsia="zh-CN"/>
        </w:rPr>
        <w:t>2_0</w:t>
      </w:r>
      <w:r w:rsidRPr="00F66B70">
        <w:rPr>
          <w:lang w:val="en-US"/>
        </w:rPr>
        <w:t xml:space="preserve"> </w:t>
      </w:r>
      <w:r>
        <w:rPr>
          <w:lang w:val="en-US" w:eastAsia="zh-CN"/>
        </w:rPr>
        <w:t xml:space="preserve">providing a </w:t>
      </w:r>
      <w:r w:rsidR="004967FE">
        <w:rPr>
          <w:lang w:val="en-US" w:eastAsia="zh-CN"/>
        </w:rPr>
        <w:t xml:space="preserve">slot </w:t>
      </w:r>
      <w:r>
        <w:rPr>
          <w:lang w:val="en-US" w:eastAsia="zh-CN"/>
        </w:rPr>
        <w:t>format for the slot</w:t>
      </w:r>
    </w:p>
    <w:p w14:paraId="21E849D8" w14:textId="30B1B742" w:rsidR="00B06F8A" w:rsidRPr="00B916EC" w:rsidRDefault="00B06F8A" w:rsidP="0009732E">
      <w:pPr>
        <w:pStyle w:val="B1"/>
      </w:pPr>
      <w:r>
        <w:t>-</w:t>
      </w:r>
      <w:r>
        <w:tab/>
      </w:r>
      <w:r w:rsidR="00D77DEB">
        <w:rPr>
          <w:lang w:val="en-US"/>
        </w:rPr>
        <w:t>t</w:t>
      </w:r>
      <w:r w:rsidR="00D77DEB">
        <w:t>he</w:t>
      </w:r>
      <w:r w:rsidR="00D77DEB" w:rsidRPr="00B916EC">
        <w:t xml:space="preserve"> </w:t>
      </w:r>
      <w:r w:rsidRPr="00B916EC">
        <w:t>UE receive</w:t>
      </w:r>
      <w:r w:rsidR="0090436D">
        <w:rPr>
          <w:lang w:val="en-US"/>
        </w:rPr>
        <w:t>s</w:t>
      </w:r>
      <w:r w:rsidRPr="00B916EC">
        <w:t xml:space="preserve"> PDSCH or CSI-RS in the set of symbols of the slot if the UE receives a corresponding indication by a DCI format</w:t>
      </w:r>
    </w:p>
    <w:p w14:paraId="6765B4D7" w14:textId="525B22CB" w:rsidR="00B06F8A" w:rsidRPr="00B916EC" w:rsidRDefault="00B06F8A" w:rsidP="0009732E">
      <w:pPr>
        <w:pStyle w:val="B1"/>
      </w:pPr>
      <w:r>
        <w:t>-</w:t>
      </w:r>
      <w:r>
        <w:tab/>
      </w:r>
      <w:r w:rsidR="00D77DEB">
        <w:rPr>
          <w:lang w:val="en-US"/>
        </w:rPr>
        <w:t>t</w:t>
      </w:r>
      <w:r w:rsidR="00D77DEB">
        <w:t>he</w:t>
      </w:r>
      <w:r w:rsidR="00D77DEB" w:rsidRPr="00B916EC">
        <w:t xml:space="preserve"> </w:t>
      </w:r>
      <w:r w:rsidRPr="00B916EC">
        <w:t>UE transmit</w:t>
      </w:r>
      <w:r w:rsidR="0090436D">
        <w:rPr>
          <w:lang w:val="en-US"/>
        </w:rPr>
        <w:t>s</w:t>
      </w:r>
      <w:r w:rsidRPr="00B916EC">
        <w:t xml:space="preserve"> PUSCH, PUCCH, PRACH, or SRS in the set of symbols of the slot if the UE receives a corresponding indication by a DCI format</w:t>
      </w:r>
      <w:r w:rsidR="00C96B33">
        <w:rPr>
          <w:lang w:val="en-US"/>
        </w:rPr>
        <w:t>,</w:t>
      </w:r>
      <w:r w:rsidR="00337E47">
        <w:rPr>
          <w:lang w:val="en-US"/>
        </w:rPr>
        <w:t xml:space="preserve"> a RAR UL grant</w:t>
      </w:r>
      <w:r w:rsidR="00C96B33">
        <w:rPr>
          <w:lang w:val="en-US"/>
        </w:rPr>
        <w:t>, fallbackRAR UL grant, or successRAR</w:t>
      </w:r>
    </w:p>
    <w:p w14:paraId="43D77FFC" w14:textId="221A3347" w:rsidR="00B06F8A" w:rsidRPr="00CD24FD" w:rsidRDefault="00B06F8A" w:rsidP="0009732E">
      <w:pPr>
        <w:pStyle w:val="B1"/>
      </w:pPr>
      <w:r>
        <w:t>-</w:t>
      </w:r>
      <w:r>
        <w:tab/>
      </w:r>
      <w:r w:rsidR="00D77DEB">
        <w:rPr>
          <w:lang w:val="en-US"/>
        </w:rPr>
        <w:t>t</w:t>
      </w:r>
      <w:r w:rsidR="00D77DEB">
        <w:t xml:space="preserve">he </w:t>
      </w:r>
      <w:r>
        <w:t>UE receive</w:t>
      </w:r>
      <w:r w:rsidR="0090436D">
        <w:rPr>
          <w:lang w:val="en-US"/>
        </w:rPr>
        <w:t>s</w:t>
      </w:r>
      <w:r>
        <w:t xml:space="preserve"> PDCCH as described </w:t>
      </w:r>
      <w:r w:rsidR="006F5F9E">
        <w:t>in clause</w:t>
      </w:r>
      <w:r>
        <w:rPr>
          <w:lang w:val="en-US"/>
        </w:rPr>
        <w:t xml:space="preserve"> </w:t>
      </w:r>
      <w:r w:rsidR="00D77DEB">
        <w:rPr>
          <w:lang w:val="en-US"/>
        </w:rPr>
        <w:t>10</w:t>
      </w:r>
      <w:r>
        <w:rPr>
          <w:lang w:val="en-US"/>
        </w:rPr>
        <w:t>.1</w:t>
      </w:r>
    </w:p>
    <w:p w14:paraId="3D55C542" w14:textId="58060CA0" w:rsidR="00B06F8A" w:rsidRDefault="00B06F8A" w:rsidP="0009732E">
      <w:pPr>
        <w:pStyle w:val="B1"/>
      </w:pPr>
      <w:r>
        <w:t>-</w:t>
      </w:r>
      <w:r>
        <w:tab/>
      </w:r>
      <w:r w:rsidR="00D77DEB">
        <w:rPr>
          <w:lang w:val="en-US"/>
        </w:rPr>
        <w:t>i</w:t>
      </w:r>
      <w:r w:rsidR="00D77DEB">
        <w:t xml:space="preserve">f </w:t>
      </w:r>
      <w:r>
        <w:t>the</w:t>
      </w:r>
      <w:r w:rsidRPr="00B916EC">
        <w:t xml:space="preserve"> UE </w:t>
      </w:r>
      <w:r>
        <w:t xml:space="preserve">is </w:t>
      </w:r>
      <w:r w:rsidRPr="00B916EC">
        <w:t xml:space="preserve">configured </w:t>
      </w:r>
      <w:r>
        <w:t xml:space="preserve">by higher layers </w:t>
      </w:r>
      <w:r w:rsidR="0090436D">
        <w:rPr>
          <w:lang w:val="en-US"/>
        </w:rPr>
        <w:t>to receive</w:t>
      </w:r>
      <w:r>
        <w:t xml:space="preserve"> PDSCH</w:t>
      </w:r>
      <w:r w:rsidRPr="00B916EC">
        <w:t xml:space="preserve"> in the set of symbols of the slot</w:t>
      </w:r>
      <w:r>
        <w:t>, the UE</w:t>
      </w:r>
      <w:r w:rsidRPr="00B916EC">
        <w:t xml:space="preserve"> </w:t>
      </w:r>
      <w:r w:rsidR="0090436D">
        <w:rPr>
          <w:lang w:val="en-US"/>
        </w:rPr>
        <w:t>does</w:t>
      </w:r>
      <w:r w:rsidRPr="00B916EC">
        <w:t xml:space="preserve"> </w:t>
      </w:r>
      <w:r>
        <w:t xml:space="preserve">not </w:t>
      </w:r>
      <w:r w:rsidRPr="00B916EC">
        <w:t xml:space="preserve">receive </w:t>
      </w:r>
      <w:r>
        <w:t>the PDSCH</w:t>
      </w:r>
      <w:r w:rsidRPr="00B916EC">
        <w:t xml:space="preserve"> </w:t>
      </w:r>
      <w:r w:rsidRPr="00B916EC">
        <w:rPr>
          <w:lang w:eastAsia="zh-CN"/>
        </w:rPr>
        <w:t xml:space="preserve">in the set of </w:t>
      </w:r>
      <w:r w:rsidRPr="00B916EC">
        <w:t>symbols of the slot</w:t>
      </w:r>
    </w:p>
    <w:p w14:paraId="41ED476B" w14:textId="5EC05A4F" w:rsidR="00A16711" w:rsidRDefault="00A16711" w:rsidP="0009732E">
      <w:pPr>
        <w:pStyle w:val="B1"/>
      </w:pPr>
      <w:r>
        <w:rPr>
          <w:lang w:val="en-US"/>
        </w:rPr>
        <w:t>-</w:t>
      </w:r>
      <w:r>
        <w:rPr>
          <w:lang w:val="en-US"/>
        </w:rPr>
        <w:tab/>
      </w:r>
      <w:r w:rsidRPr="00ED01C5">
        <w:t xml:space="preserve">if the UE is configured by higher layers to receive CSI-RS in the set of symbols of the slot, the UE does not receive the CSI-RS </w:t>
      </w:r>
      <w:r w:rsidRPr="00ED01C5">
        <w:rPr>
          <w:lang w:eastAsia="zh-CN"/>
        </w:rPr>
        <w:t xml:space="preserve">in the set of </w:t>
      </w:r>
      <w:r w:rsidRPr="00ED01C5">
        <w:t xml:space="preserve">symbols of the slot, except when UE is provided </w:t>
      </w:r>
      <w:r w:rsidRPr="00ED01C5">
        <w:rPr>
          <w:i/>
          <w:iCs/>
        </w:rPr>
        <w:t>CO-Duration</w:t>
      </w:r>
      <w:r w:rsidR="009D470E">
        <w:rPr>
          <w:i/>
          <w:iCs/>
          <w:lang w:val="en-US"/>
        </w:rPr>
        <w:t>s</w:t>
      </w:r>
      <w:r w:rsidRPr="00ED01C5">
        <w:rPr>
          <w:i/>
          <w:iCs/>
        </w:rPr>
        <w:t>PerCell</w:t>
      </w:r>
      <w:r w:rsidRPr="00ED01C5">
        <w:t xml:space="preserve"> and the set of symbols of the slot are within the remaining channel occupancy duration.</w:t>
      </w:r>
    </w:p>
    <w:p w14:paraId="7EA02441" w14:textId="012FFD33" w:rsidR="006A324A" w:rsidRPr="00DA4DCE" w:rsidRDefault="006A324A" w:rsidP="0009732E">
      <w:pPr>
        <w:pStyle w:val="B1"/>
        <w:rPr>
          <w:i/>
          <w:iCs/>
          <w:lang w:val="en-US"/>
        </w:rPr>
      </w:pPr>
      <w:r w:rsidRPr="00641131">
        <w:rPr>
          <w:lang w:val="en-US"/>
        </w:rPr>
        <w:t>-</w:t>
      </w:r>
      <w:r w:rsidRPr="00641131">
        <w:rPr>
          <w:lang w:val="en-US"/>
        </w:rPr>
        <w:tab/>
        <w:t>if the UE is configured by higher layers to receive DL PRS in the set of symbols of the slot, the UE receives the DL PRS</w:t>
      </w:r>
    </w:p>
    <w:p w14:paraId="1E7D3F3C" w14:textId="3521A7F2" w:rsidR="0090436D" w:rsidRDefault="00B06F8A" w:rsidP="0090436D">
      <w:pPr>
        <w:pStyle w:val="B1"/>
      </w:pPr>
      <w:r>
        <w:t>-</w:t>
      </w:r>
      <w:r>
        <w:tab/>
      </w:r>
      <w:r w:rsidR="00020E6A">
        <w:rPr>
          <w:lang w:val="en-US"/>
        </w:rPr>
        <w:t>if</w:t>
      </w:r>
      <w:r w:rsidR="00D77DEB">
        <w:t xml:space="preserve"> </w:t>
      </w:r>
      <w:r>
        <w:t>the</w:t>
      </w:r>
      <w:r w:rsidRPr="00B916EC">
        <w:t xml:space="preserve"> UE </w:t>
      </w:r>
      <w:r>
        <w:t xml:space="preserve">is </w:t>
      </w:r>
      <w:r w:rsidRPr="00B916EC">
        <w:t xml:space="preserve">configured </w:t>
      </w:r>
      <w:r>
        <w:t xml:space="preserve">by higher layers </w:t>
      </w:r>
      <w:r w:rsidR="0090436D">
        <w:rPr>
          <w:lang w:val="en-US"/>
        </w:rPr>
        <w:t>to</w:t>
      </w:r>
      <w:r w:rsidR="0090436D" w:rsidRPr="00B916EC">
        <w:t xml:space="preserve"> transmi</w:t>
      </w:r>
      <w:r w:rsidR="0090436D">
        <w:rPr>
          <w:lang w:val="en-US"/>
        </w:rPr>
        <w:t>t</w:t>
      </w:r>
      <w:r w:rsidRPr="00B916EC">
        <w:t xml:space="preserve"> SRS</w:t>
      </w:r>
      <w:r>
        <w:t>,</w:t>
      </w:r>
      <w:r w:rsidRPr="00B916EC">
        <w:t xml:space="preserve"> or PUCCH</w:t>
      </w:r>
      <w:r>
        <w:t>, or PUSCH, or PRACH</w:t>
      </w:r>
      <w:r w:rsidRPr="00B916EC">
        <w:t xml:space="preserve"> in the set of symbols </w:t>
      </w:r>
      <w:r>
        <w:t>of</w:t>
      </w:r>
      <w:r w:rsidRPr="00B916EC">
        <w:t xml:space="preserve"> the slot</w:t>
      </w:r>
      <w:r w:rsidR="00421DE7" w:rsidRPr="00421DE7">
        <w:t xml:space="preserve"> </w:t>
      </w:r>
      <w:r w:rsidR="00421DE7" w:rsidRPr="0056417A">
        <w:t>and the UE is not provided</w:t>
      </w:r>
      <w:r w:rsidR="00421DE7" w:rsidRPr="0056417A">
        <w:rPr>
          <w:i/>
        </w:rPr>
        <w:t xml:space="preserve"> </w:t>
      </w:r>
      <w:r w:rsidR="009D470E">
        <w:rPr>
          <w:rFonts w:eastAsia="Malgun Gothic"/>
          <w:i/>
          <w:lang w:val="en-US"/>
        </w:rPr>
        <w:t>e</w:t>
      </w:r>
      <w:r w:rsidR="009D470E" w:rsidRPr="0056417A">
        <w:rPr>
          <w:rFonts w:eastAsia="Malgun Gothic"/>
          <w:i/>
        </w:rPr>
        <w:t>nableConfiguredUL</w:t>
      </w:r>
      <w:r w:rsidRPr="00B916EC">
        <w:t>,</w:t>
      </w:r>
      <w:r>
        <w:t xml:space="preserve"> the</w:t>
      </w:r>
      <w:r w:rsidR="00883880">
        <w:rPr>
          <w:lang w:val="en-US"/>
        </w:rPr>
        <w:t>n</w:t>
      </w:r>
      <w:r w:rsidRPr="00B916EC">
        <w:t xml:space="preserve"> </w:t>
      </w:r>
    </w:p>
    <w:p w14:paraId="5289F134" w14:textId="6C3F49E3" w:rsidR="00883880" w:rsidRPr="005258CF" w:rsidRDefault="00883880" w:rsidP="005258CF">
      <w:pPr>
        <w:pStyle w:val="B2"/>
        <w:rPr>
          <w:lang w:val="en-US"/>
        </w:rPr>
      </w:pPr>
      <w:r>
        <w:t>-</w:t>
      </w:r>
      <w:r>
        <w:tab/>
        <w:t>i</w:t>
      </w:r>
      <w:r w:rsidRPr="001F460E">
        <w:t xml:space="preserve">f the UE </w:t>
      </w:r>
      <w:r>
        <w:t xml:space="preserve">does not </w:t>
      </w:r>
      <w:r w:rsidRPr="001F460E">
        <w:t xml:space="preserve">indicate the capability of [partialCancellation], </w:t>
      </w:r>
      <w:r>
        <w:rPr>
          <w:lang w:val="en-US"/>
        </w:rPr>
        <w:t xml:space="preserve">the UE </w:t>
      </w:r>
      <w:r w:rsidRPr="00D109B3">
        <w:rPr>
          <w:lang w:val="en-US"/>
        </w:rPr>
        <w:t>does</w:t>
      </w:r>
      <w:r w:rsidRPr="00D109B3">
        <w:t xml:space="preserve"> not expect to cancel the transmission of the PUCCH, or the PUSCH, </w:t>
      </w:r>
      <w:r w:rsidRPr="00072C05">
        <w:t xml:space="preserve">or an actual repetition of the PUSCH [6, TS 38.214], as determined </w:t>
      </w:r>
      <w:r w:rsidR="006F5F9E">
        <w:t>in clause</w:t>
      </w:r>
      <w:r w:rsidRPr="00072C05">
        <w:t>s 9</w:t>
      </w:r>
      <w:r w:rsidR="00295E42">
        <w:rPr>
          <w:lang w:val="en-GB"/>
        </w:rPr>
        <w:t>,</w:t>
      </w:r>
      <w:r w:rsidRPr="00072C05">
        <w:t xml:space="preserve"> 9.2.5 </w:t>
      </w:r>
      <w:r w:rsidR="00295E42">
        <w:rPr>
          <w:lang w:val="en-US"/>
        </w:rPr>
        <w:t xml:space="preserve">and 9.2.6 </w:t>
      </w:r>
      <w:r w:rsidRPr="00072C05">
        <w:t xml:space="preserve">or </w:t>
      </w:r>
      <w:r w:rsidR="006F5F9E">
        <w:t>in clause</w:t>
      </w:r>
      <w:r w:rsidRPr="00072C05">
        <w:t xml:space="preserve"> 6.1 of [6. TS 38.214], </w:t>
      </w:r>
      <w:r w:rsidRPr="00D109B3">
        <w:t>or the PRACH in the slot</w:t>
      </w:r>
      <w:r>
        <w:rPr>
          <w:lang w:val="en-US"/>
        </w:rPr>
        <w:t xml:space="preserve"> </w:t>
      </w:r>
      <w:r>
        <w:t xml:space="preserve">if the first symbol of the PUCCH or the PUSCH or actual repetition of the PUSCH or the PRACH in the slot occurs within </w:t>
      </w:r>
      <m:oMath>
        <m:sSub>
          <m:sSubPr>
            <m:ctrlPr>
              <w:rPr>
                <w:rFonts w:ascii="Cambria Math" w:hAnsi="Cambria Math"/>
                <w:i/>
              </w:rPr>
            </m:ctrlPr>
          </m:sSubPr>
          <m:e>
            <m:r>
              <w:rPr>
                <w:rFonts w:ascii="Cambria Math" w:hAnsi="Cambria Math"/>
              </w:rPr>
              <m:t>T</m:t>
            </m:r>
          </m:e>
          <m:sub>
            <m:r>
              <m:rPr>
                <m:sty m:val="p"/>
              </m:rPr>
              <w:rPr>
                <w:rFonts w:ascii="Cambria Math" w:hAnsi="Cambria Math"/>
              </w:rPr>
              <m:t>proc,2</m:t>
            </m:r>
          </m:sub>
        </m:sSub>
      </m:oMath>
      <w:r w:rsidRPr="000549F8">
        <w:t xml:space="preserve"> </w:t>
      </w:r>
      <w:r>
        <w:t xml:space="preserve">relative to </w:t>
      </w:r>
      <w:r w:rsidRPr="008835E7">
        <w:t xml:space="preserve">a last symbol of a </w:t>
      </w:r>
      <w:r w:rsidR="006F4839">
        <w:t>PDCCH reception</w:t>
      </w:r>
      <w:r w:rsidRPr="008835E7">
        <w:t xml:space="preserve"> where the UE is configured to monitor PDCCH for DCI format 2_0</w:t>
      </w:r>
      <w:r>
        <w:rPr>
          <w:lang w:val="en-US"/>
        </w:rPr>
        <w:t>; o</w:t>
      </w:r>
      <w:r>
        <w:t xml:space="preserve">therwise, the UE cancels the PUCCH, or the PUSCH, </w:t>
      </w:r>
      <w:r w:rsidRPr="00072C05">
        <w:t xml:space="preserve">or </w:t>
      </w:r>
      <w:r>
        <w:rPr>
          <w:lang w:val="en-US"/>
        </w:rPr>
        <w:t>an</w:t>
      </w:r>
      <w:r w:rsidRPr="00072C05">
        <w:t xml:space="preserve"> actual repetition of the PUSCH</w:t>
      </w:r>
      <w:r>
        <w:rPr>
          <w:lang w:val="en-US"/>
        </w:rPr>
        <w:t xml:space="preserve"> </w:t>
      </w:r>
      <w:r w:rsidRPr="00072C05">
        <w:t xml:space="preserve">[6, TS 38.214], as determined </w:t>
      </w:r>
      <w:r w:rsidR="006F5F9E">
        <w:t>in clause</w:t>
      </w:r>
      <w:r w:rsidRPr="00072C05">
        <w:t>s 9</w:t>
      </w:r>
      <w:r w:rsidR="00295E42">
        <w:rPr>
          <w:lang w:val="en-GB"/>
        </w:rPr>
        <w:t>,</w:t>
      </w:r>
      <w:r w:rsidRPr="00072C05">
        <w:t xml:space="preserve"> 9.2.5</w:t>
      </w:r>
      <w:r w:rsidR="00295E42">
        <w:rPr>
          <w:lang w:val="en-US"/>
        </w:rPr>
        <w:t xml:space="preserve"> and 9.2.6</w:t>
      </w:r>
      <w:r w:rsidRPr="00072C05">
        <w:t xml:space="preserve"> or </w:t>
      </w:r>
      <w:r w:rsidR="006F5F9E">
        <w:t>in clause</w:t>
      </w:r>
      <w:r w:rsidRPr="00072C05">
        <w:t xml:space="preserve"> 6.1 of [6. TS 38.214]</w:t>
      </w:r>
      <w:r>
        <w:rPr>
          <w:lang w:val="en-US"/>
        </w:rPr>
        <w:t>,</w:t>
      </w:r>
      <w:r w:rsidRPr="00072C05">
        <w:t xml:space="preserve"> </w:t>
      </w:r>
      <w:r>
        <w:t>or the PRACH in the slot</w:t>
      </w:r>
      <w:r>
        <w:rPr>
          <w:lang w:val="en-US"/>
        </w:rPr>
        <w:t>;</w:t>
      </w:r>
    </w:p>
    <w:p w14:paraId="10F72C27" w14:textId="3F3DA359" w:rsidR="00883880" w:rsidRPr="005258CF" w:rsidRDefault="00883880" w:rsidP="005258CF">
      <w:pPr>
        <w:pStyle w:val="B2"/>
        <w:rPr>
          <w:lang w:val="en-US"/>
        </w:rPr>
      </w:pPr>
      <w:r>
        <w:t>-</w:t>
      </w:r>
      <w:r>
        <w:tab/>
        <w:t>i</w:t>
      </w:r>
      <w:r w:rsidRPr="001F460E">
        <w:t>f the UE indicate</w:t>
      </w:r>
      <w:r>
        <w:t>s</w:t>
      </w:r>
      <w:r w:rsidRPr="001F460E">
        <w:t xml:space="preserve"> the capability of [partialCancellation], </w:t>
      </w:r>
      <w:r>
        <w:rPr>
          <w:lang w:val="en-US"/>
        </w:rPr>
        <w:t xml:space="preserve">the UE </w:t>
      </w:r>
      <w:r w:rsidRPr="00D109B3">
        <w:rPr>
          <w:lang w:val="en-US"/>
        </w:rPr>
        <w:t>does</w:t>
      </w:r>
      <w:r w:rsidRPr="00D109B3">
        <w:t xml:space="preserve"> not expect to cancel the transmission of the PUCCH, or the PUSCH, </w:t>
      </w:r>
      <w:r w:rsidRPr="00072C05">
        <w:t xml:space="preserve">or an actual repetition of the PUSCH [6, TS 38.214], as determined </w:t>
      </w:r>
      <w:r w:rsidR="006F5F9E">
        <w:t>in clause</w:t>
      </w:r>
      <w:r w:rsidRPr="00072C05">
        <w:t>s 9</w:t>
      </w:r>
      <w:r w:rsidR="00295E42">
        <w:rPr>
          <w:lang w:val="en-GB"/>
        </w:rPr>
        <w:t>,</w:t>
      </w:r>
      <w:r w:rsidRPr="00072C05">
        <w:t xml:space="preserve"> 9.2.5</w:t>
      </w:r>
      <w:r w:rsidR="00295E42">
        <w:rPr>
          <w:lang w:val="en-US"/>
        </w:rPr>
        <w:t xml:space="preserve"> and 9.2.6</w:t>
      </w:r>
      <w:r w:rsidRPr="00072C05">
        <w:t xml:space="preserve"> or </w:t>
      </w:r>
      <w:r w:rsidR="006F5F9E">
        <w:t>in clause</w:t>
      </w:r>
      <w:r w:rsidRPr="00072C05">
        <w:t xml:space="preserve"> 6.1 of [6. TS 38.214], </w:t>
      </w:r>
      <w:r w:rsidRPr="00D109B3">
        <w:t xml:space="preserve">or the PRACH in </w:t>
      </w:r>
      <w:r w:rsidRPr="001F460E">
        <w:rPr>
          <w:lang w:val="en-US"/>
        </w:rPr>
        <w:t xml:space="preserve">symbols from the set of symbols </w:t>
      </w:r>
      <w:r w:rsidRPr="001F460E">
        <w:t>that</w:t>
      </w:r>
      <w:r w:rsidRPr="001F460E">
        <w:rPr>
          <w:rFonts w:hint="eastAsia"/>
        </w:rPr>
        <w:t xml:space="preserve"> occur</w:t>
      </w:r>
      <w:r>
        <w:rPr>
          <w:lang w:val="en-US"/>
        </w:rPr>
        <w:t xml:space="preserve"> within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proc,2</m:t>
            </m:r>
          </m:sub>
        </m:sSub>
      </m:oMath>
      <w:r w:rsidRPr="001F460E">
        <w:rPr>
          <w:rFonts w:hint="eastAsia"/>
        </w:rPr>
        <w:t xml:space="preserve"> relative to a last symbol of a </w:t>
      </w:r>
      <w:r w:rsidR="006F4839">
        <w:t>PDCCH reception</w:t>
      </w:r>
      <w:r w:rsidRPr="008835E7">
        <w:t xml:space="preserve"> where the UE is configured to monitor PDCCH for DCI format 2_0. T</w:t>
      </w:r>
      <w:r>
        <w:t xml:space="preserve">he UE cancels the PUCCH, or the PUSCH, </w:t>
      </w:r>
      <w:r w:rsidRPr="001F460E">
        <w:t>o</w:t>
      </w:r>
      <w:r>
        <w:t>r an</w:t>
      </w:r>
      <w:r w:rsidRPr="001F460E">
        <w:t xml:space="preserve"> actual repetition of the PUSCH</w:t>
      </w:r>
      <w:r>
        <w:t xml:space="preserve"> </w:t>
      </w:r>
      <w:r w:rsidRPr="00072C05">
        <w:t xml:space="preserve">[6, TS 38.214], as determined </w:t>
      </w:r>
      <w:r w:rsidR="006F5F9E">
        <w:t>in clause</w:t>
      </w:r>
      <w:r w:rsidRPr="00072C05">
        <w:t>s 9</w:t>
      </w:r>
      <w:r w:rsidR="00295E42">
        <w:rPr>
          <w:lang w:val="en-GB"/>
        </w:rPr>
        <w:t>,</w:t>
      </w:r>
      <w:r w:rsidRPr="00072C05">
        <w:t xml:space="preserve"> 9.2.5</w:t>
      </w:r>
      <w:r w:rsidR="00295E42">
        <w:rPr>
          <w:lang w:val="en-US"/>
        </w:rPr>
        <w:t xml:space="preserve"> and 9.2.6</w:t>
      </w:r>
      <w:r w:rsidRPr="00072C05">
        <w:t xml:space="preserve"> or </w:t>
      </w:r>
      <w:r w:rsidR="006F5F9E">
        <w:t>in clause</w:t>
      </w:r>
      <w:r w:rsidRPr="00072C05">
        <w:t xml:space="preserve"> 6.1 of [6. TS 38.214]</w:t>
      </w:r>
      <w:r>
        <w:t xml:space="preserve">, or the PRACH transmission </w:t>
      </w:r>
      <w:r w:rsidRPr="001F460E">
        <w:t>in remaining symbols from the set of symbols</w:t>
      </w:r>
      <w:r>
        <w:rPr>
          <w:lang w:val="en-US"/>
        </w:rPr>
        <w:t>;</w:t>
      </w:r>
    </w:p>
    <w:p w14:paraId="75657E46" w14:textId="1FD50F7C" w:rsidR="00883880" w:rsidRPr="005258CF" w:rsidRDefault="00883880" w:rsidP="005258CF">
      <w:pPr>
        <w:pStyle w:val="B2"/>
        <w:rPr>
          <w:lang w:val="en-US"/>
        </w:rPr>
      </w:pPr>
      <w:r>
        <w:rPr>
          <w:lang w:val="en-US"/>
        </w:rPr>
        <w:t>-</w:t>
      </w:r>
      <w:r>
        <w:rPr>
          <w:lang w:val="en-US"/>
        </w:rPr>
        <w:tab/>
        <w:t xml:space="preserve">the UE </w:t>
      </w:r>
      <w:r w:rsidRPr="008835E7">
        <w:t>does not expect to cancel the transmission of SRS in</w:t>
      </w:r>
      <w:r w:rsidR="00D93E79">
        <w:rPr>
          <w:lang w:val="en-GB"/>
        </w:rPr>
        <w:t xml:space="preserve"> </w:t>
      </w:r>
      <w:r w:rsidRPr="008835E7">
        <w:t>symbols</w:t>
      </w:r>
      <w:r w:rsidR="00D93E79">
        <w:rPr>
          <w:lang w:val="en-GB"/>
        </w:rPr>
        <w:t xml:space="preserve"> </w:t>
      </w:r>
      <w:r w:rsidRPr="008835E7">
        <w:t>from the set of symbols</w:t>
      </w:r>
      <w:r w:rsidR="00D93E79">
        <w:rPr>
          <w:lang w:val="en-GB"/>
        </w:rPr>
        <w:t xml:space="preserve"> </w:t>
      </w:r>
      <w:r w:rsidRPr="008835E7">
        <w:t>that occur</w:t>
      </w:r>
      <w:r>
        <w:t xml:space="preserve"> within </w:t>
      </w:r>
      <m:oMath>
        <m:sSub>
          <m:sSubPr>
            <m:ctrlPr>
              <w:rPr>
                <w:rFonts w:ascii="Cambria Math" w:hAnsi="Cambria Math"/>
                <w:i/>
              </w:rPr>
            </m:ctrlPr>
          </m:sSubPr>
          <m:e>
            <m:r>
              <w:rPr>
                <w:rFonts w:ascii="Cambria Math" w:hAnsi="Cambria Math"/>
              </w:rPr>
              <m:t>T</m:t>
            </m:r>
          </m:e>
          <m:sub>
            <m:r>
              <w:rPr>
                <w:rFonts w:ascii="Cambria Math" w:hAnsi="Cambria Math"/>
              </w:rPr>
              <m:t>proc,2</m:t>
            </m:r>
          </m:sub>
        </m:sSub>
        <m:r>
          <w:rPr>
            <w:rFonts w:ascii="Cambria Math" w:hAnsi="Cambria Math"/>
          </w:rPr>
          <m:t xml:space="preserve"> </m:t>
        </m:r>
      </m:oMath>
      <w:r w:rsidRPr="008835E7">
        <w:t xml:space="preserve">relative to a last symbol of a </w:t>
      </w:r>
      <w:r w:rsidR="006F4839">
        <w:t>PDCCH reception</w:t>
      </w:r>
      <w:r w:rsidRPr="008835E7">
        <w:t xml:space="preserve"> where the UE is configured to monitor PDCCH for DCI format 2_0. The UE cancels the SRS transmission in remaining symbols from the set of symbols</w:t>
      </w:r>
      <w:r>
        <w:rPr>
          <w:lang w:val="en-US"/>
        </w:rPr>
        <w:t>;</w:t>
      </w:r>
    </w:p>
    <w:p w14:paraId="1320B2B7" w14:textId="30B22C1E" w:rsidR="00D77DEB" w:rsidRPr="005258CF" w:rsidRDefault="00883880" w:rsidP="00557F46">
      <w:pPr>
        <w:pStyle w:val="B2"/>
        <w:rPr>
          <w:rFonts w:eastAsia="DengXian"/>
          <w:lang w:val="en-US"/>
        </w:rPr>
      </w:pPr>
      <w:r>
        <w:rPr>
          <w:lang w:val="en-US"/>
        </w:rPr>
        <w:lastRenderedPageBreak/>
        <w:t>-</w:t>
      </w:r>
      <w:r>
        <w:rPr>
          <w:lang w:val="en-US"/>
        </w:rPr>
        <w:tab/>
      </w:r>
      <m:oMath>
        <m:sSub>
          <m:sSubPr>
            <m:ctrlPr>
              <w:rPr>
                <w:rFonts w:ascii="Cambria Math" w:hAnsi="Cambria Math"/>
                <w:i/>
              </w:rPr>
            </m:ctrlPr>
          </m:sSubPr>
          <m:e>
            <m:r>
              <w:rPr>
                <w:rFonts w:ascii="Cambria Math" w:hAnsi="Cambria Math"/>
              </w:rPr>
              <m:t>T</m:t>
            </m:r>
          </m:e>
          <m:sub>
            <m:r>
              <m:rPr>
                <m:sty m:val="p"/>
              </m:rPr>
              <w:rPr>
                <w:rFonts w:ascii="Cambria Math" w:hAnsi="Cambria Math"/>
              </w:rPr>
              <m:t>proc,2</m:t>
            </m:r>
          </m:sub>
        </m:sSub>
      </m:oMath>
      <w:r>
        <w:rPr>
          <w:lang w:val="en-US"/>
        </w:rPr>
        <w:t xml:space="preserve"> is </w:t>
      </w:r>
      <w:r w:rsidRPr="00D109B3">
        <w:t>the PUSCH</w:t>
      </w:r>
      <w:r>
        <w:rPr>
          <w:lang w:val="en-US"/>
        </w:rPr>
        <w:t xml:space="preserve"> preparation</w:t>
      </w:r>
      <w:r w:rsidRPr="00D109B3">
        <w:t xml:space="preserve"> tim</w:t>
      </w:r>
      <w:r>
        <w:rPr>
          <w:lang w:val="en-US"/>
        </w:rPr>
        <w:t>e</w:t>
      </w:r>
      <w:r w:rsidRPr="00D109B3">
        <w:t xml:space="preserve"> </w:t>
      </w:r>
      <w:r>
        <w:rPr>
          <w:lang w:val="en-US"/>
        </w:rPr>
        <w:t xml:space="preserve">for the corresponding UE processing </w:t>
      </w:r>
      <w:r w:rsidRPr="00D109B3">
        <w:t xml:space="preserve">capability </w:t>
      </w:r>
      <w:r w:rsidRPr="00D109B3">
        <w:rPr>
          <w:rFonts w:eastAsia="DengXian" w:hint="eastAsia"/>
          <w:lang w:eastAsia="zh-CN"/>
        </w:rPr>
        <w:t>[6, TS 38.214]</w:t>
      </w:r>
      <w:r w:rsidRPr="00D109B3">
        <w:rPr>
          <w:rFonts w:eastAsia="DengXian"/>
        </w:rPr>
        <w:t xml:space="preserve"> </w:t>
      </w:r>
      <w:r w:rsidRPr="00D109B3">
        <w:rPr>
          <w:rFonts w:eastAsia="DengXian" w:hint="eastAsia"/>
          <w:lang w:eastAsia="zh-CN"/>
        </w:rPr>
        <w:t xml:space="preserve">assuming </w:t>
      </w:r>
      <m:oMath>
        <m:sSub>
          <m:sSubPr>
            <m:ctrlPr>
              <w:rPr>
                <w:rFonts w:ascii="Cambria Math" w:hAnsi="Cambria Math"/>
                <w:i/>
              </w:rPr>
            </m:ctrlPr>
          </m:sSubPr>
          <m:e>
            <m:r>
              <w:rPr>
                <w:rFonts w:ascii="Cambria Math" w:hAnsi="Cambria Math"/>
              </w:rPr>
              <m:t>d</m:t>
            </m:r>
          </m:e>
          <m:sub>
            <m:r>
              <m:rPr>
                <m:sty m:val="p"/>
              </m:rPr>
              <w:rPr>
                <w:rFonts w:ascii="Cambria Math" w:hAnsi="Cambria Math"/>
              </w:rPr>
              <m:t>2,1</m:t>
            </m:r>
          </m:sub>
        </m:sSub>
        <m:r>
          <w:rPr>
            <w:rFonts w:ascii="Cambria Math" w:hAnsi="Cambria Math"/>
          </w:rPr>
          <m:t>=1</m:t>
        </m:r>
      </m:oMath>
      <w:r w:rsidRPr="00D109B3">
        <w:rPr>
          <w:rFonts w:eastAsia="DengXian" w:hint="eastAsia"/>
          <w:lang w:eastAsia="zh-CN"/>
        </w:rPr>
        <w:t xml:space="preserve"> </w:t>
      </w:r>
      <w:r w:rsidR="00991649">
        <w:rPr>
          <w:rFonts w:eastAsia="DengXian" w:hint="eastAsia"/>
          <w:lang w:eastAsia="zh-CN"/>
        </w:rPr>
        <w:t xml:space="preserve">and </w:t>
      </w:r>
      <m:oMath>
        <m:r>
          <w:rPr>
            <w:rFonts w:ascii="Cambria Math" w:eastAsia="DengXian" w:hAnsi="Cambria Math"/>
            <w:lang w:eastAsia="zh-CN"/>
          </w:rPr>
          <m:t>μ</m:t>
        </m:r>
      </m:oMath>
      <w:r w:rsidR="00991649">
        <w:rPr>
          <w:rFonts w:eastAsia="DengXian" w:hint="eastAsia"/>
          <w:lang w:eastAsia="zh-CN"/>
        </w:rPr>
        <w:t xml:space="preserve"> corresponds to the smallest SCS configuration </w:t>
      </w:r>
      <w:r w:rsidR="00991649">
        <w:rPr>
          <w:rFonts w:hint="eastAsia"/>
          <w:lang w:eastAsia="zh-CN"/>
        </w:rPr>
        <w:t>between</w:t>
      </w:r>
      <w:r w:rsidR="00991649" w:rsidRPr="00D811B4">
        <w:rPr>
          <w:rFonts w:eastAsia="DengXian" w:hint="eastAsia"/>
          <w:lang w:eastAsia="zh-CN"/>
        </w:rPr>
        <w:t xml:space="preserve"> </w:t>
      </w:r>
      <w:r w:rsidR="00991649">
        <w:rPr>
          <w:rFonts w:eastAsia="DengXian" w:hint="eastAsia"/>
          <w:lang w:eastAsia="zh-CN"/>
        </w:rPr>
        <w:t>the SCS configuration of the PDCCH carrying the DCI format 2_0</w:t>
      </w:r>
      <w:r w:rsidR="00991649">
        <w:rPr>
          <w:rFonts w:hint="eastAsia"/>
          <w:lang w:eastAsia="zh-CN"/>
        </w:rPr>
        <w:t xml:space="preserve"> and</w:t>
      </w:r>
      <w:r w:rsidR="00991649">
        <w:rPr>
          <w:rFonts w:eastAsia="DengXian" w:hint="eastAsia"/>
          <w:lang w:eastAsia="zh-CN"/>
        </w:rPr>
        <w:t xml:space="preserve"> the SCS configuration of the </w:t>
      </w:r>
      <w:r w:rsidR="00991649">
        <w:rPr>
          <w:rFonts w:hint="eastAsia"/>
          <w:lang w:eastAsia="zh-CN"/>
        </w:rPr>
        <w:t xml:space="preserve">SRS, </w:t>
      </w:r>
      <w:r w:rsidR="00991649">
        <w:rPr>
          <w:rFonts w:eastAsia="DengXian" w:hint="eastAsia"/>
          <w:lang w:eastAsia="zh-CN"/>
        </w:rPr>
        <w:t>PUCCH</w:t>
      </w:r>
      <w:r w:rsidR="00991649">
        <w:rPr>
          <w:rFonts w:hint="eastAsia"/>
          <w:lang w:eastAsia="zh-CN"/>
        </w:rPr>
        <w:t>,</w:t>
      </w:r>
      <w:r w:rsidR="00991649">
        <w:rPr>
          <w:rFonts w:eastAsia="DengXian" w:hint="eastAsia"/>
          <w:lang w:eastAsia="zh-CN"/>
        </w:rPr>
        <w:t xml:space="preserve"> PUSCH </w:t>
      </w:r>
      <w:r w:rsidR="00991649">
        <w:rPr>
          <w:rFonts w:hint="eastAsia"/>
          <w:lang w:eastAsia="zh-CN"/>
        </w:rPr>
        <w:t>or</w:t>
      </w:r>
      <w:r w:rsidR="00991649" w:rsidRPr="00C934D9">
        <w:rPr>
          <w:rFonts w:eastAsia="DengXian" w:hint="eastAsia"/>
          <w:lang w:eastAsia="zh-CN"/>
        </w:rPr>
        <w:t xml:space="preserve"> </w:t>
      </w:r>
      <m:oMath>
        <m:sSub>
          <m:sSubPr>
            <m:ctrlPr>
              <w:rPr>
                <w:rFonts w:ascii="Cambria Math" w:hAnsi="Cambria Math"/>
                <w:i/>
              </w:rPr>
            </m:ctrlPr>
          </m:sSubPr>
          <m:e>
            <m:r>
              <w:rPr>
                <w:rFonts w:ascii="Cambria Math" w:hAnsi="Cambria Math"/>
              </w:rPr>
              <m:t>μ</m:t>
            </m:r>
          </m:e>
          <m:sub>
            <m:r>
              <w:rPr>
                <w:rFonts w:ascii="Cambria Math" w:hAnsi="Cambria Math"/>
              </w:rPr>
              <m:t>r</m:t>
            </m:r>
          </m:sub>
        </m:sSub>
      </m:oMath>
      <w:r w:rsidR="00991649" w:rsidRPr="00C934D9">
        <w:t xml:space="preserve">, where </w:t>
      </w:r>
      <m:oMath>
        <m:sSub>
          <m:sSubPr>
            <m:ctrlPr>
              <w:rPr>
                <w:rFonts w:ascii="Cambria Math" w:hAnsi="Cambria Math"/>
                <w:i/>
              </w:rPr>
            </m:ctrlPr>
          </m:sSubPr>
          <m:e>
            <m:r>
              <w:rPr>
                <w:rFonts w:ascii="Cambria Math" w:hAnsi="Cambria Math"/>
              </w:rPr>
              <m:t>μ</m:t>
            </m:r>
          </m:e>
          <m:sub>
            <m:r>
              <w:rPr>
                <w:rFonts w:ascii="Cambria Math" w:hAnsi="Cambria Math"/>
              </w:rPr>
              <m:t>r</m:t>
            </m:r>
          </m:sub>
        </m:sSub>
      </m:oMath>
      <w:r w:rsidR="00991649" w:rsidRPr="00C934D9">
        <w:t xml:space="preserve"> corresponds to the SCS configuration of the PRACH if it is 15kHz or higher; otherwise </w:t>
      </w:r>
      <m:oMath>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=0</m:t>
        </m:r>
      </m:oMath>
      <w:r>
        <w:rPr>
          <w:lang w:val="en-US"/>
        </w:rPr>
        <w:t>;</w:t>
      </w:r>
    </w:p>
    <w:p w14:paraId="721FA257" w14:textId="303C1870" w:rsidR="00421DE7" w:rsidRPr="0056417A" w:rsidRDefault="00421DE7" w:rsidP="00421DE7">
      <w:pPr>
        <w:pStyle w:val="B1"/>
      </w:pPr>
      <w:r w:rsidRPr="00D26445">
        <w:t>-</w:t>
      </w:r>
      <w:r w:rsidRPr="00D26445">
        <w:tab/>
      </w:r>
      <w:r w:rsidRPr="00D26445">
        <w:rPr>
          <w:lang w:val="en-US"/>
        </w:rPr>
        <w:t>i</w:t>
      </w:r>
      <w:r w:rsidRPr="00D26445">
        <w:t xml:space="preserve">f the UE is </w:t>
      </w:r>
      <w:r w:rsidRPr="0056417A">
        <w:t xml:space="preserve">configured by higher layers </w:t>
      </w:r>
      <w:r w:rsidRPr="0056417A">
        <w:rPr>
          <w:lang w:val="en-US"/>
        </w:rPr>
        <w:t>to</w:t>
      </w:r>
      <w:r w:rsidRPr="0056417A">
        <w:t xml:space="preserve"> transmi</w:t>
      </w:r>
      <w:r w:rsidRPr="0056417A">
        <w:rPr>
          <w:lang w:val="en-US"/>
        </w:rPr>
        <w:t>t</w:t>
      </w:r>
      <w:r w:rsidRPr="0056417A">
        <w:t xml:space="preserve"> SRS, or PUCCH, or PUSCH, or PRACH in the set of symbols of the slot and the UE is provided </w:t>
      </w:r>
      <w:r w:rsidR="009D470E">
        <w:rPr>
          <w:rFonts w:eastAsia="Malgun Gothic"/>
          <w:i/>
          <w:lang w:val="en-US"/>
        </w:rPr>
        <w:t>e</w:t>
      </w:r>
      <w:r w:rsidR="009D470E" w:rsidRPr="0056417A">
        <w:rPr>
          <w:rFonts w:eastAsia="Malgun Gothic"/>
          <w:i/>
        </w:rPr>
        <w:t>nableConfiguredUL</w:t>
      </w:r>
      <w:r w:rsidRPr="0056417A">
        <w:t>, the UE can transmit the SRS, or PUCCH, or PUSCH, or PRACH, respectively.</w:t>
      </w:r>
    </w:p>
    <w:p w14:paraId="6874E381" w14:textId="4F33C35A" w:rsidR="0090436D" w:rsidRPr="00256F55" w:rsidRDefault="00D77DEB" w:rsidP="003A061C">
      <w:pPr>
        <w:rPr>
          <w:lang w:val="en-US"/>
        </w:rPr>
      </w:pPr>
      <w:r w:rsidRPr="00F354E2">
        <w:rPr>
          <w:lang w:val="en-US"/>
        </w:rPr>
        <w:t xml:space="preserve">For unpaired spectrum operation </w:t>
      </w:r>
      <w:r w:rsidRPr="007A220B">
        <w:rPr>
          <w:lang w:val="en-US"/>
        </w:rPr>
        <w:t xml:space="preserve">for a UE on a cell in a frequency band of </w:t>
      </w:r>
      <w:r w:rsidR="009859BB">
        <w:rPr>
          <w:lang w:val="en-US"/>
        </w:rPr>
        <w:t>FR</w:t>
      </w:r>
      <w:r w:rsidRPr="007A220B">
        <w:rPr>
          <w:lang w:val="en-US"/>
        </w:rPr>
        <w:t xml:space="preserve">1, </w:t>
      </w:r>
      <w:r w:rsidR="009859BB" w:rsidRPr="00E2077A">
        <w:rPr>
          <w:color w:val="000000" w:themeColor="text1"/>
        </w:rPr>
        <w:t xml:space="preserve">and when the scheduling restrictions </w:t>
      </w:r>
      <w:r w:rsidR="009859BB">
        <w:rPr>
          <w:color w:val="000000" w:themeColor="text1"/>
        </w:rPr>
        <w:t>due to RRM measurements [10</w:t>
      </w:r>
      <w:r w:rsidR="009859BB" w:rsidRPr="00E2077A">
        <w:rPr>
          <w:color w:val="000000" w:themeColor="text1"/>
        </w:rPr>
        <w:t>, TS</w:t>
      </w:r>
      <w:r w:rsidR="009859BB">
        <w:rPr>
          <w:color w:val="000000" w:themeColor="text1"/>
          <w:lang w:val="en-US"/>
        </w:rPr>
        <w:t xml:space="preserve"> </w:t>
      </w:r>
      <w:r w:rsidR="009859BB" w:rsidRPr="00E2077A">
        <w:rPr>
          <w:color w:val="000000" w:themeColor="text1"/>
        </w:rPr>
        <w:t>38.133</w:t>
      </w:r>
      <w:r w:rsidR="009859BB">
        <w:rPr>
          <w:color w:val="000000" w:themeColor="text1"/>
        </w:rPr>
        <w:t>] are</w:t>
      </w:r>
      <w:r w:rsidR="009859BB" w:rsidRPr="00E2077A">
        <w:rPr>
          <w:color w:val="000000" w:themeColor="text1"/>
        </w:rPr>
        <w:t xml:space="preserve"> not applicable</w:t>
      </w:r>
      <w:r w:rsidR="009859BB">
        <w:rPr>
          <w:color w:val="000000" w:themeColor="text1"/>
        </w:rPr>
        <w:t>,</w:t>
      </w:r>
      <w:r w:rsidR="009859BB">
        <w:rPr>
          <w:color w:val="000000" w:themeColor="text1"/>
          <w:lang w:val="en-US"/>
        </w:rPr>
        <w:t xml:space="preserve"> </w:t>
      </w:r>
      <w:r w:rsidRPr="007A220B">
        <w:t xml:space="preserve">if the UE detects a DCI format </w:t>
      </w:r>
      <w:r w:rsidRPr="005D317B">
        <w:t>indicating to the UE to transmit in a set of symbols</w:t>
      </w:r>
      <w:r w:rsidRPr="00162E2F">
        <w:t xml:space="preserve">, the UE is not required to perform </w:t>
      </w:r>
      <w:r w:rsidRPr="00DF375E">
        <w:rPr>
          <w:lang w:eastAsia="ja-JP"/>
        </w:rPr>
        <w:t xml:space="preserve">RRM </w:t>
      </w:r>
      <w:r w:rsidRPr="00B908D3">
        <w:rPr>
          <w:lang w:eastAsia="ja-JP"/>
        </w:rPr>
        <w:t xml:space="preserve">measurements </w:t>
      </w:r>
      <w:r w:rsidRPr="00B908D3">
        <w:t xml:space="preserve">[10, TS 38.133] </w:t>
      </w:r>
      <w:r w:rsidRPr="00B908D3">
        <w:rPr>
          <w:lang w:val="en-US"/>
        </w:rPr>
        <w:t xml:space="preserve">based on a </w:t>
      </w:r>
      <w:r w:rsidRPr="0012483E">
        <w:rPr>
          <w:lang w:val="en-US"/>
        </w:rPr>
        <w:t xml:space="preserve">SS/PBCH </w:t>
      </w:r>
      <w:r>
        <w:rPr>
          <w:lang w:val="en-US"/>
        </w:rPr>
        <w:t xml:space="preserve">block </w:t>
      </w:r>
      <w:r w:rsidRPr="007A220B">
        <w:rPr>
          <w:lang w:val="en-US"/>
        </w:rPr>
        <w:t xml:space="preserve">or CSI-RS reception on a different cell in the frequency band </w:t>
      </w:r>
      <w:r w:rsidRPr="007A220B">
        <w:t xml:space="preserve">if the SS/PBCH </w:t>
      </w:r>
      <w:r>
        <w:rPr>
          <w:lang w:val="en-US"/>
        </w:rPr>
        <w:t xml:space="preserve">block </w:t>
      </w:r>
      <w:r w:rsidRPr="007A220B">
        <w:t>or CSI-RS reception includes at least one symbol from the set of symbols</w:t>
      </w:r>
      <w:r w:rsidR="0090436D">
        <w:t>.</w:t>
      </w:r>
    </w:p>
    <w:p w14:paraId="6748C193" w14:textId="77777777" w:rsidR="002A7F99" w:rsidRPr="00B916EC" w:rsidRDefault="00C208F0" w:rsidP="00D32835">
      <w:pPr>
        <w:pStyle w:val="Heading2"/>
      </w:pPr>
      <w:bookmarkStart w:id="747" w:name="_Toc12021491"/>
      <w:bookmarkStart w:id="748" w:name="_Toc20311603"/>
      <w:bookmarkStart w:id="749" w:name="_Toc26719428"/>
      <w:bookmarkStart w:id="750" w:name="_Toc29894864"/>
      <w:bookmarkStart w:id="751" w:name="_Toc29899163"/>
      <w:bookmarkStart w:id="752" w:name="_Toc29899581"/>
      <w:bookmarkStart w:id="753" w:name="_Toc29917320"/>
      <w:bookmarkStart w:id="754" w:name="_Toc36498194"/>
      <w:bookmarkStart w:id="755" w:name="_Toc45699222"/>
      <w:bookmarkStart w:id="756" w:name="_Toc161999155"/>
      <w:r w:rsidRPr="00B916EC">
        <w:rPr>
          <w:lang w:eastAsia="zh-CN"/>
        </w:rPr>
        <w:t>11.2</w:t>
      </w:r>
      <w:r w:rsidRPr="00B916EC">
        <w:rPr>
          <w:lang w:eastAsia="zh-CN"/>
        </w:rPr>
        <w:tab/>
      </w:r>
      <w:r w:rsidR="00E03C77">
        <w:rPr>
          <w:lang w:eastAsia="zh-CN"/>
        </w:rPr>
        <w:t>Interrupted</w:t>
      </w:r>
      <w:r w:rsidRPr="00B916EC">
        <w:rPr>
          <w:lang w:eastAsia="zh-CN"/>
        </w:rPr>
        <w:t xml:space="preserve"> transmission indication</w:t>
      </w:r>
      <w:bookmarkEnd w:id="747"/>
      <w:bookmarkEnd w:id="748"/>
      <w:bookmarkEnd w:id="749"/>
      <w:bookmarkEnd w:id="750"/>
      <w:bookmarkEnd w:id="751"/>
      <w:bookmarkEnd w:id="752"/>
      <w:bookmarkEnd w:id="753"/>
      <w:bookmarkEnd w:id="754"/>
      <w:bookmarkEnd w:id="755"/>
      <w:bookmarkEnd w:id="756"/>
      <w:r w:rsidR="002A7F99" w:rsidRPr="00B916EC">
        <w:t xml:space="preserve"> </w:t>
      </w:r>
    </w:p>
    <w:p w14:paraId="6D370BF3" w14:textId="77777777" w:rsidR="003F40E2" w:rsidRPr="00B916EC" w:rsidRDefault="003F40E2" w:rsidP="003A1B2A">
      <w:pPr>
        <w:rPr>
          <w:lang w:val="en-US"/>
        </w:rPr>
      </w:pPr>
      <w:r w:rsidRPr="00B916EC">
        <w:rPr>
          <w:lang w:eastAsia="zh-CN"/>
        </w:rPr>
        <w:t xml:space="preserve">If a UE is </w:t>
      </w:r>
      <w:r w:rsidR="00466AF8" w:rsidRPr="00B916EC">
        <w:rPr>
          <w:lang w:eastAsia="zh-CN"/>
        </w:rPr>
        <w:t>provided</w:t>
      </w:r>
      <w:r w:rsidRPr="00B916EC">
        <w:rPr>
          <w:lang w:eastAsia="zh-CN"/>
        </w:rPr>
        <w:t xml:space="preserve"> </w:t>
      </w:r>
      <w:r w:rsidR="0090436D" w:rsidRPr="008F75A2">
        <w:rPr>
          <w:i/>
        </w:rPr>
        <w:t>DownlinkPreemption</w:t>
      </w:r>
      <w:r w:rsidRPr="00B916EC">
        <w:rPr>
          <w:lang w:val="en-US"/>
        </w:rPr>
        <w:t xml:space="preserve">, the UE is configured with </w:t>
      </w:r>
      <w:r w:rsidRPr="00B916EC">
        <w:t>a</w:t>
      </w:r>
      <w:r w:rsidR="00312176" w:rsidRPr="00B916EC">
        <w:t>n</w:t>
      </w:r>
      <w:r w:rsidRPr="00B916EC">
        <w:t xml:space="preserve"> </w:t>
      </w:r>
      <w:r w:rsidRPr="00B916EC">
        <w:rPr>
          <w:lang w:val="en-US"/>
        </w:rPr>
        <w:t xml:space="preserve">INT-RNTI provided by </w:t>
      </w:r>
      <w:r w:rsidR="0090436D">
        <w:rPr>
          <w:i/>
          <w:lang w:val="en-US"/>
        </w:rPr>
        <w:t>int</w:t>
      </w:r>
      <w:r w:rsidR="0090436D" w:rsidRPr="00B916EC">
        <w:rPr>
          <w:i/>
          <w:lang w:val="en-US"/>
        </w:rPr>
        <w:t>-RNTI</w:t>
      </w:r>
      <w:r w:rsidRPr="00B916EC">
        <w:rPr>
          <w:lang w:val="en-US"/>
        </w:rPr>
        <w:t xml:space="preserve"> for monitoring PDCCH conveying DCI format </w:t>
      </w:r>
      <w:r w:rsidR="0040224E" w:rsidRPr="00B916EC">
        <w:rPr>
          <w:lang w:val="en-US"/>
        </w:rPr>
        <w:t>2_1</w:t>
      </w:r>
      <w:r w:rsidR="009F1BA7" w:rsidRPr="00B916EC">
        <w:rPr>
          <w:lang w:val="en-US"/>
        </w:rPr>
        <w:t xml:space="preserve"> [5, TS 38.212]</w:t>
      </w:r>
      <w:r w:rsidRPr="00B916EC">
        <w:rPr>
          <w:lang w:val="en-US"/>
        </w:rPr>
        <w:t xml:space="preserve">. </w:t>
      </w:r>
      <w:r w:rsidR="00EF6479" w:rsidRPr="00B916EC">
        <w:rPr>
          <w:lang w:val="en-US"/>
        </w:rPr>
        <w:t>T</w:t>
      </w:r>
      <w:r w:rsidRPr="00B916EC">
        <w:rPr>
          <w:lang w:val="en-US"/>
        </w:rPr>
        <w:t xml:space="preserve">he UE is </w:t>
      </w:r>
      <w:r w:rsidR="00EF6479" w:rsidRPr="00B916EC">
        <w:rPr>
          <w:lang w:val="en-US"/>
        </w:rPr>
        <w:t xml:space="preserve">additionally </w:t>
      </w:r>
      <w:r w:rsidRPr="00B916EC">
        <w:rPr>
          <w:lang w:val="en-US"/>
        </w:rPr>
        <w:t>configured</w:t>
      </w:r>
      <w:r w:rsidR="00E03C77">
        <w:rPr>
          <w:lang w:val="en-US"/>
        </w:rPr>
        <w:t xml:space="preserve"> with</w:t>
      </w:r>
    </w:p>
    <w:p w14:paraId="73D26A87" w14:textId="77777777" w:rsidR="00074D96" w:rsidRPr="00B916EC" w:rsidRDefault="00D15604" w:rsidP="00D15604">
      <w:pPr>
        <w:pStyle w:val="B1"/>
      </w:pPr>
      <w:r>
        <w:rPr>
          <w:lang w:val="en-US"/>
        </w:rPr>
        <w:t>-</w:t>
      </w:r>
      <w:r>
        <w:rPr>
          <w:lang w:val="en-US"/>
        </w:rPr>
        <w:tab/>
      </w:r>
      <w:r w:rsidR="00074D96" w:rsidRPr="00B916EC">
        <w:rPr>
          <w:lang w:val="en-US"/>
        </w:rPr>
        <w:t xml:space="preserve">a set of serving cells by </w:t>
      </w:r>
      <w:r w:rsidR="00A567A6">
        <w:rPr>
          <w:i/>
          <w:lang w:val="en-US"/>
        </w:rPr>
        <w:t>int</w:t>
      </w:r>
      <w:r w:rsidR="0090436D" w:rsidRPr="008F75A2">
        <w:rPr>
          <w:i/>
        </w:rPr>
        <w:t>-ConfigurationPerServingCell</w:t>
      </w:r>
      <w:r w:rsidR="0090436D">
        <w:rPr>
          <w:i/>
          <w:lang w:val="en-US"/>
        </w:rPr>
        <w:t xml:space="preserve"> </w:t>
      </w:r>
      <w:r w:rsidR="0090436D" w:rsidRPr="008F75A2">
        <w:rPr>
          <w:lang w:val="en-US"/>
        </w:rPr>
        <w:t xml:space="preserve">that </w:t>
      </w:r>
      <w:r w:rsidR="0090436D">
        <w:rPr>
          <w:lang w:val="en-US"/>
        </w:rPr>
        <w:t xml:space="preserve">includes a set of serving cell indexes provided by corresponding </w:t>
      </w:r>
      <w:r w:rsidR="0090436D" w:rsidRPr="008F75A2">
        <w:rPr>
          <w:i/>
        </w:rPr>
        <w:t>servingCellId</w:t>
      </w:r>
      <w:r w:rsidR="0090436D" w:rsidRPr="00B916EC" w:rsidDel="008F75A2">
        <w:rPr>
          <w:i/>
          <w:lang w:val="en-US"/>
        </w:rPr>
        <w:t xml:space="preserve"> </w:t>
      </w:r>
      <w:r w:rsidR="0090436D">
        <w:rPr>
          <w:lang w:val="en-US"/>
        </w:rPr>
        <w:t xml:space="preserve">and a corresponding set of locations for fields in DCI format 2_1 by </w:t>
      </w:r>
      <w:r w:rsidR="0090436D" w:rsidRPr="008F75A2">
        <w:rPr>
          <w:i/>
        </w:rPr>
        <w:t>positionInDCI</w:t>
      </w:r>
    </w:p>
    <w:p w14:paraId="6A4DA39E" w14:textId="77777777" w:rsidR="008F5350" w:rsidRPr="00B916EC" w:rsidRDefault="00D15604" w:rsidP="00D15604">
      <w:pPr>
        <w:pStyle w:val="B1"/>
      </w:pPr>
      <w:r>
        <w:rPr>
          <w:lang w:val="en-US"/>
        </w:rPr>
        <w:t>-</w:t>
      </w:r>
      <w:r>
        <w:rPr>
          <w:lang w:val="en-US"/>
        </w:rPr>
        <w:tab/>
      </w:r>
      <w:r w:rsidR="00322C5D" w:rsidRPr="00B916EC">
        <w:rPr>
          <w:lang w:val="en-US"/>
        </w:rPr>
        <w:t>an information payload size for</w:t>
      </w:r>
      <w:r w:rsidR="008F5350" w:rsidRPr="00B916EC">
        <w:rPr>
          <w:lang w:val="en-US"/>
        </w:rPr>
        <w:t xml:space="preserve"> DCI format </w:t>
      </w:r>
      <w:r w:rsidR="00322C5D" w:rsidRPr="00B916EC">
        <w:rPr>
          <w:lang w:val="en-US"/>
        </w:rPr>
        <w:t>2_1</w:t>
      </w:r>
      <w:r w:rsidR="008F5350" w:rsidRPr="00B916EC">
        <w:rPr>
          <w:lang w:val="en-US"/>
        </w:rPr>
        <w:t xml:space="preserve"> by </w:t>
      </w:r>
      <w:r w:rsidR="0090436D" w:rsidRPr="008F75A2">
        <w:rPr>
          <w:i/>
        </w:rPr>
        <w:t>dci-PayloadSize</w:t>
      </w:r>
    </w:p>
    <w:p w14:paraId="3F8AD7DD" w14:textId="77777777" w:rsidR="00547A21" w:rsidRPr="00B916EC" w:rsidRDefault="00D15604" w:rsidP="00D15604">
      <w:pPr>
        <w:pStyle w:val="B1"/>
      </w:pPr>
      <w:r>
        <w:rPr>
          <w:lang w:val="en-US"/>
        </w:rPr>
        <w:t>-</w:t>
      </w:r>
      <w:r>
        <w:rPr>
          <w:lang w:val="en-US"/>
        </w:rPr>
        <w:tab/>
      </w:r>
      <w:r w:rsidR="00547A21" w:rsidRPr="00B916EC">
        <w:rPr>
          <w:lang w:val="en-US"/>
        </w:rPr>
        <w:t xml:space="preserve">an indication granularity for time-frequency resources by </w:t>
      </w:r>
      <w:r w:rsidR="0090436D" w:rsidRPr="008F75A2">
        <w:rPr>
          <w:i/>
        </w:rPr>
        <w:t>timeFrequencySet</w:t>
      </w:r>
    </w:p>
    <w:p w14:paraId="4C880F9A" w14:textId="77777777" w:rsidR="00FA71CF" w:rsidRPr="00B916EC" w:rsidRDefault="002A7F99" w:rsidP="002A7F99">
      <w:pPr>
        <w:rPr>
          <w:lang w:eastAsia="zh-CN"/>
        </w:rPr>
      </w:pPr>
      <w:r w:rsidRPr="00B916EC">
        <w:rPr>
          <w:rFonts w:eastAsia="MS Mincho"/>
        </w:rPr>
        <w:t>I</w:t>
      </w:r>
      <w:r w:rsidRPr="00B916EC">
        <w:rPr>
          <w:lang w:eastAsia="zh-CN"/>
        </w:rPr>
        <w:t xml:space="preserve">f </w:t>
      </w:r>
      <w:r w:rsidR="0043087C" w:rsidRPr="00B916EC">
        <w:rPr>
          <w:lang w:eastAsia="zh-CN"/>
        </w:rPr>
        <w:t>a</w:t>
      </w:r>
      <w:r w:rsidRPr="00B916EC">
        <w:rPr>
          <w:lang w:eastAsia="zh-CN"/>
        </w:rPr>
        <w:t xml:space="preserve"> UE detects </w:t>
      </w:r>
      <w:r w:rsidR="0043087C" w:rsidRPr="00B916EC">
        <w:rPr>
          <w:lang w:eastAsia="zh-CN"/>
        </w:rPr>
        <w:t>a</w:t>
      </w:r>
      <w:r w:rsidRPr="00B916EC">
        <w:rPr>
          <w:lang w:eastAsia="zh-CN"/>
        </w:rPr>
        <w:t xml:space="preserve"> DCI format </w:t>
      </w:r>
      <w:r w:rsidR="0040224E" w:rsidRPr="00B916EC">
        <w:rPr>
          <w:lang w:eastAsia="zh-CN"/>
        </w:rPr>
        <w:t>2_1</w:t>
      </w:r>
      <w:r w:rsidR="00F56060" w:rsidRPr="00B916EC">
        <w:rPr>
          <w:lang w:eastAsia="zh-CN"/>
        </w:rPr>
        <w:t xml:space="preserve"> for </w:t>
      </w:r>
      <w:r w:rsidR="0040224E" w:rsidRPr="00B916EC">
        <w:rPr>
          <w:lang w:eastAsia="zh-CN"/>
        </w:rPr>
        <w:t>a</w:t>
      </w:r>
      <w:r w:rsidR="00F56060" w:rsidRPr="00B916EC">
        <w:rPr>
          <w:lang w:eastAsia="zh-CN"/>
        </w:rPr>
        <w:t xml:space="preserve"> serving cell</w:t>
      </w:r>
      <w:r w:rsidR="0040224E" w:rsidRPr="00B916EC">
        <w:rPr>
          <w:lang w:eastAsia="zh-CN"/>
        </w:rPr>
        <w:t xml:space="preserve"> from the configured set of serving cells</w:t>
      </w:r>
      <w:r w:rsidRPr="00B916EC">
        <w:rPr>
          <w:lang w:eastAsia="zh-CN"/>
        </w:rPr>
        <w:t>, the UE may assume that no transmission to the UE is present in PRBs and in symbols</w:t>
      </w:r>
      <w:r w:rsidR="00D77DEB">
        <w:rPr>
          <w:lang w:eastAsia="zh-CN"/>
        </w:rPr>
        <w:t xml:space="preserve"> </w:t>
      </w:r>
      <w:r w:rsidR="00D77DEB" w:rsidRPr="00B916EC">
        <w:rPr>
          <w:lang w:eastAsia="zh-CN"/>
        </w:rPr>
        <w:t>that are indicated by the DCI format</w:t>
      </w:r>
      <w:r w:rsidR="00D77DEB">
        <w:rPr>
          <w:lang w:eastAsia="zh-CN"/>
        </w:rPr>
        <w:t xml:space="preserve"> 2_1</w:t>
      </w:r>
      <w:r w:rsidRPr="00B916EC">
        <w:rPr>
          <w:lang w:eastAsia="zh-CN"/>
        </w:rPr>
        <w:t xml:space="preserve">, from </w:t>
      </w:r>
      <w:r w:rsidR="0043087C" w:rsidRPr="00B916EC">
        <w:rPr>
          <w:lang w:eastAsia="zh-CN"/>
        </w:rPr>
        <w:t>a</w:t>
      </w:r>
      <w:r w:rsidRPr="00B916EC">
        <w:rPr>
          <w:lang w:eastAsia="zh-CN"/>
        </w:rPr>
        <w:t xml:space="preserve"> set of PRBs and </w:t>
      </w:r>
      <w:r w:rsidR="0043087C" w:rsidRPr="00B916EC">
        <w:rPr>
          <w:lang w:eastAsia="zh-CN"/>
        </w:rPr>
        <w:t xml:space="preserve">a set of </w:t>
      </w:r>
      <w:r w:rsidRPr="00B916EC">
        <w:rPr>
          <w:lang w:eastAsia="zh-CN"/>
        </w:rPr>
        <w:t>symbols of the last monitoring period</w:t>
      </w:r>
      <w:r w:rsidR="00E56109" w:rsidRPr="00B916EC">
        <w:rPr>
          <w:lang w:eastAsia="zh-CN"/>
        </w:rPr>
        <w:t>.</w:t>
      </w:r>
      <w:r w:rsidR="00E56109">
        <w:rPr>
          <w:lang w:eastAsia="zh-CN"/>
        </w:rPr>
        <w:t xml:space="preserve"> The indication by the DCI format 2_1 is not applicable to receptions of SS/PBCH blocks</w:t>
      </w:r>
      <w:r w:rsidRPr="00B916EC">
        <w:rPr>
          <w:lang w:eastAsia="zh-CN"/>
        </w:rPr>
        <w:t>.</w:t>
      </w:r>
      <w:r w:rsidR="0043087C" w:rsidRPr="00B916EC">
        <w:rPr>
          <w:lang w:eastAsia="zh-CN"/>
        </w:rPr>
        <w:t xml:space="preserve"> </w:t>
      </w:r>
    </w:p>
    <w:p w14:paraId="1ACB6A61" w14:textId="249BB82B" w:rsidR="00072774" w:rsidRPr="00B916EC" w:rsidRDefault="00F56060" w:rsidP="00D15604">
      <w:pPr>
        <w:rPr>
          <w:lang w:eastAsia="zh-CN"/>
        </w:rPr>
      </w:pPr>
      <w:r w:rsidRPr="00B916EC">
        <w:rPr>
          <w:lang w:eastAsia="zh-CN"/>
        </w:rPr>
        <w:t>T</w:t>
      </w:r>
      <w:r w:rsidR="00072774" w:rsidRPr="00B916EC">
        <w:rPr>
          <w:lang w:eastAsia="zh-CN"/>
        </w:rPr>
        <w:t>he set of PRBs is equal to the activ</w:t>
      </w:r>
      <w:r w:rsidR="00D74FC0">
        <w:rPr>
          <w:lang w:eastAsia="zh-CN"/>
        </w:rPr>
        <w:t>e</w:t>
      </w:r>
      <w:r w:rsidR="00072774" w:rsidRPr="00B916EC">
        <w:rPr>
          <w:lang w:eastAsia="zh-CN"/>
        </w:rPr>
        <w:t xml:space="preserve"> DL BWP as defined </w:t>
      </w:r>
      <w:r w:rsidR="006F5F9E">
        <w:rPr>
          <w:lang w:eastAsia="zh-CN"/>
        </w:rPr>
        <w:t>in clause</w:t>
      </w:r>
      <w:r w:rsidR="00D15604">
        <w:rPr>
          <w:lang w:eastAsia="zh-CN"/>
        </w:rPr>
        <w:t xml:space="preserve"> 12</w:t>
      </w:r>
      <w:r w:rsidR="00F025D1" w:rsidRPr="00B916EC">
        <w:rPr>
          <w:lang w:eastAsia="zh-CN"/>
        </w:rPr>
        <w:t xml:space="preserve"> and includes </w:t>
      </w:r>
      <w:r w:rsidR="00ED3701">
        <w:rPr>
          <w:noProof/>
          <w:position w:val="-10"/>
        </w:rPr>
        <w:drawing>
          <wp:inline distT="0" distB="0" distL="0" distR="0" wp14:anchorId="71FC3D09" wp14:editId="5DC689A7">
            <wp:extent cx="276225" cy="180975"/>
            <wp:effectExtent l="0" t="0" r="0" b="0"/>
            <wp:docPr id="2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00F025D1" w:rsidRPr="00B916EC">
        <w:rPr>
          <w:lang w:val="en-US"/>
        </w:rPr>
        <w:t xml:space="preserve"> PRBs</w:t>
      </w:r>
      <w:r w:rsidR="00072774" w:rsidRPr="00B916EC">
        <w:rPr>
          <w:lang w:eastAsia="zh-CN"/>
        </w:rPr>
        <w:t>.</w:t>
      </w:r>
      <w:r w:rsidR="007D5A3F">
        <w:rPr>
          <w:lang w:eastAsia="zh-CN"/>
        </w:rPr>
        <w:t xml:space="preserve"> </w:t>
      </w:r>
    </w:p>
    <w:p w14:paraId="08BCC024" w14:textId="7E3C4C85" w:rsidR="00E56109" w:rsidRDefault="00E56109" w:rsidP="0009732E">
      <w:pPr>
        <w:rPr>
          <w:lang w:val="en-US"/>
        </w:rPr>
      </w:pPr>
      <w:r w:rsidRPr="005F664F">
        <w:rPr>
          <w:lang w:eastAsia="zh-CN"/>
        </w:rPr>
        <w:t xml:space="preserve">If </w:t>
      </w:r>
      <w:r w:rsidRPr="005F664F">
        <w:rPr>
          <w:lang w:val="en-US" w:eastAsia="zh-CN"/>
        </w:rPr>
        <w:t>a</w:t>
      </w:r>
      <w:r w:rsidRPr="005F664F">
        <w:rPr>
          <w:lang w:eastAsia="zh-CN"/>
        </w:rPr>
        <w:t xml:space="preserve"> UE detects </w:t>
      </w:r>
      <w:r w:rsidRPr="005F664F">
        <w:rPr>
          <w:lang w:val="en-US" w:eastAsia="zh-CN"/>
        </w:rPr>
        <w:t>a DCI format</w:t>
      </w:r>
      <w:r w:rsidRPr="005F664F">
        <w:rPr>
          <w:lang w:eastAsia="zh-CN"/>
        </w:rPr>
        <w:t xml:space="preserve"> </w:t>
      </w:r>
      <w:r w:rsidRPr="005F664F">
        <w:rPr>
          <w:lang w:val="en-US" w:eastAsia="zh-CN"/>
        </w:rPr>
        <w:t>2_1</w:t>
      </w:r>
      <w:r w:rsidRPr="005F664F">
        <w:rPr>
          <w:lang w:eastAsia="zh-CN"/>
        </w:rPr>
        <w:t xml:space="preserve"> </w:t>
      </w:r>
      <w:r w:rsidRPr="005F664F">
        <w:rPr>
          <w:lang w:val="en-US"/>
        </w:rPr>
        <w:t xml:space="preserve">in a PDCCH </w:t>
      </w:r>
      <w:r w:rsidR="004C3224" w:rsidRPr="00F415B1">
        <w:rPr>
          <w:lang w:val="en-US"/>
        </w:rPr>
        <w:t>reception</w:t>
      </w:r>
      <w:r w:rsidRPr="005F664F">
        <w:rPr>
          <w:lang w:eastAsia="zh-CN"/>
        </w:rPr>
        <w:t xml:space="preserve"> in </w:t>
      </w:r>
      <w:r>
        <w:rPr>
          <w:lang w:val="en-US" w:eastAsia="zh-CN"/>
        </w:rPr>
        <w:t xml:space="preserve">a </w:t>
      </w:r>
      <w:r w:rsidRPr="005F664F">
        <w:rPr>
          <w:lang w:val="en-US" w:eastAsia="zh-CN"/>
        </w:rPr>
        <w:t>slot</w:t>
      </w:r>
      <w:r w:rsidRPr="005F664F">
        <w:rPr>
          <w:lang w:eastAsia="zh-CN"/>
        </w:rPr>
        <w:t xml:space="preserve">, the </w:t>
      </w:r>
      <w:r w:rsidRPr="005F664F">
        <w:rPr>
          <w:lang w:val="en-US" w:eastAsia="zh-CN"/>
        </w:rPr>
        <w:t>set of symbols</w:t>
      </w:r>
      <w:r w:rsidRPr="005F664F">
        <w:rPr>
          <w:lang w:eastAsia="zh-CN"/>
        </w:rPr>
        <w:t xml:space="preserve"> </w:t>
      </w:r>
      <w:r w:rsidR="00FE7E3A">
        <w:rPr>
          <w:lang w:val="en-US" w:eastAsia="zh-CN"/>
        </w:rPr>
        <w:t>is</w:t>
      </w:r>
      <w:r w:rsidRPr="005F664F">
        <w:rPr>
          <w:lang w:val="en-US" w:eastAsia="zh-CN"/>
        </w:rPr>
        <w:t xml:space="preserve"> the last</w:t>
      </w:r>
      <w:r>
        <w:rPr>
          <w:lang w:val="en-US" w:eastAsia="zh-CN"/>
        </w:rPr>
        <w:t xml:space="preserve"> </w:t>
      </w:r>
      <w:r w:rsidR="00ED3701">
        <w:rPr>
          <w:noProof/>
          <w:position w:val="-12"/>
        </w:rPr>
        <w:drawing>
          <wp:inline distT="0" distB="0" distL="0" distR="0" wp14:anchorId="74BE7FC6" wp14:editId="0E1CB444">
            <wp:extent cx="1009650" cy="238125"/>
            <wp:effectExtent l="0" t="0" r="0" b="0"/>
            <wp:docPr id="2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009650" cy="238125"/>
                    </a:xfrm>
                    <a:prstGeom prst="rect">
                      <a:avLst/>
                    </a:prstGeom>
                    <a:noFill/>
                    <a:ln>
                      <a:noFill/>
                    </a:ln>
                  </pic:spPr>
                </pic:pic>
              </a:graphicData>
            </a:graphic>
          </wp:inline>
        </w:drawing>
      </w:r>
      <w:r w:rsidR="0009732E">
        <w:rPr>
          <w:lang w:val="en-US" w:eastAsia="zh-CN"/>
        </w:rPr>
        <w:t xml:space="preserve"> </w:t>
      </w:r>
      <w:r w:rsidRPr="005F664F">
        <w:rPr>
          <w:lang w:val="en-US" w:eastAsia="zh-CN"/>
        </w:rPr>
        <w:t xml:space="preserve">symbols prior to the </w:t>
      </w:r>
      <w:r w:rsidRPr="005F664F">
        <w:rPr>
          <w:lang w:val="en-US"/>
        </w:rPr>
        <w:t xml:space="preserve">first symbol of the </w:t>
      </w:r>
      <w:r w:rsidR="004C3224" w:rsidRPr="00F415B1">
        <w:rPr>
          <w:lang w:val="en-US"/>
        </w:rPr>
        <w:t>PDCCH reception</w:t>
      </w:r>
      <w:r w:rsidRPr="005F664F">
        <w:rPr>
          <w:lang w:val="en-US"/>
        </w:rPr>
        <w:t xml:space="preserve"> </w:t>
      </w:r>
      <w:r w:rsidRPr="005F664F">
        <w:rPr>
          <w:lang w:val="en-US" w:eastAsia="zh-CN"/>
        </w:rPr>
        <w:t xml:space="preserve">in </w:t>
      </w:r>
      <w:r>
        <w:rPr>
          <w:lang w:val="en-US" w:eastAsia="zh-CN"/>
        </w:rPr>
        <w:t xml:space="preserve">the </w:t>
      </w:r>
      <w:r w:rsidRPr="005F664F">
        <w:rPr>
          <w:lang w:val="en-US" w:eastAsia="zh-CN"/>
        </w:rPr>
        <w:t>slot</w:t>
      </w:r>
      <w:r w:rsidR="0009732E">
        <w:rPr>
          <w:lang w:val="en-US" w:eastAsia="zh-CN"/>
        </w:rPr>
        <w:t xml:space="preserve"> </w:t>
      </w:r>
      <w:r w:rsidRPr="005F664F">
        <w:rPr>
          <w:lang w:val="en-US"/>
        </w:rPr>
        <w:t xml:space="preserve">where </w:t>
      </w:r>
      <w:r w:rsidR="00ED3701">
        <w:rPr>
          <w:noProof/>
          <w:position w:val="-10"/>
        </w:rPr>
        <w:drawing>
          <wp:inline distT="0" distB="0" distL="0" distR="0" wp14:anchorId="4B38B25C" wp14:editId="51E71BF9">
            <wp:extent cx="276225" cy="180975"/>
            <wp:effectExtent l="0" t="0" r="0" b="0"/>
            <wp:docPr id="2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4E440D">
        <w:rPr>
          <w:i/>
          <w:lang w:eastAsia="zh-CN"/>
        </w:rPr>
        <w:t xml:space="preserve"> </w:t>
      </w:r>
      <w:r w:rsidRPr="004E440D">
        <w:rPr>
          <w:lang w:val="en-US" w:eastAsia="zh-CN"/>
        </w:rPr>
        <w:t>is</w:t>
      </w:r>
      <w:r w:rsidR="0090436D" w:rsidRPr="0090436D">
        <w:rPr>
          <w:lang w:eastAsia="zh-CN"/>
        </w:rPr>
        <w:t xml:space="preserve"> </w:t>
      </w:r>
      <w:r w:rsidR="0090436D">
        <w:rPr>
          <w:lang w:eastAsia="zh-CN"/>
        </w:rPr>
        <w:t xml:space="preserve">the </w:t>
      </w:r>
      <w:r w:rsidR="0090436D" w:rsidRPr="00B916EC">
        <w:t xml:space="preserve">PDCCH monitoring periodicity </w:t>
      </w:r>
      <w:r w:rsidR="0090436D">
        <w:t>provided by</w:t>
      </w:r>
      <w:r w:rsidRPr="004E440D">
        <w:rPr>
          <w:lang w:eastAsia="zh-CN"/>
        </w:rPr>
        <w:t xml:space="preserve"> the value of </w:t>
      </w:r>
      <w:r w:rsidR="0090436D" w:rsidRPr="00260319">
        <w:rPr>
          <w:i/>
        </w:rPr>
        <w:t>monitoringSlotPeriodicityAndOffset</w:t>
      </w:r>
      <w:r w:rsidR="0090436D">
        <w:rPr>
          <w:i/>
        </w:rPr>
        <w:t>,</w:t>
      </w:r>
      <w:r w:rsidR="0090436D">
        <w:rPr>
          <w:lang w:val="en-US"/>
        </w:rPr>
        <w:t xml:space="preserve"> as described </w:t>
      </w:r>
      <w:r w:rsidR="006F5F9E">
        <w:rPr>
          <w:lang w:val="en-US"/>
        </w:rPr>
        <w:t>in clause</w:t>
      </w:r>
      <w:r w:rsidR="0090436D">
        <w:rPr>
          <w:lang w:val="en-US"/>
        </w:rPr>
        <w:t xml:space="preserve"> 10.1</w:t>
      </w:r>
      <w:r w:rsidRPr="005F664F">
        <w:rPr>
          <w:lang w:val="en-US"/>
        </w:rPr>
        <w:t>,</w:t>
      </w:r>
      <w:r w:rsidRPr="005F664F">
        <w:rPr>
          <w:rFonts w:hint="eastAsia"/>
          <w:lang w:eastAsia="zh-CN"/>
        </w:rPr>
        <w:t xml:space="preserve"> </w:t>
      </w:r>
      <w:r w:rsidR="00ED3701">
        <w:rPr>
          <w:noProof/>
          <w:position w:val="-12"/>
        </w:rPr>
        <w:drawing>
          <wp:inline distT="0" distB="0" distL="0" distR="0" wp14:anchorId="591F4EC2" wp14:editId="338686CB">
            <wp:extent cx="352425" cy="238125"/>
            <wp:effectExtent l="0" t="0" r="0" b="0"/>
            <wp:docPr id="2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52425" cy="238125"/>
                    </a:xfrm>
                    <a:prstGeom prst="rect">
                      <a:avLst/>
                    </a:prstGeom>
                    <a:noFill/>
                    <a:ln>
                      <a:noFill/>
                    </a:ln>
                  </pic:spPr>
                </pic:pic>
              </a:graphicData>
            </a:graphic>
          </wp:inline>
        </w:drawing>
      </w:r>
      <w:r>
        <w:rPr>
          <w:lang w:val="en-US"/>
        </w:rPr>
        <w:t xml:space="preserve"> is the number of symbols per slot,</w:t>
      </w:r>
      <w:r w:rsidRPr="005F664F">
        <w:rPr>
          <w:rFonts w:eastAsia="Malgun Gothic"/>
        </w:rPr>
        <w:t xml:space="preserve"> </w:t>
      </w:r>
      <w:r w:rsidR="00ED3701">
        <w:rPr>
          <w:noProof/>
          <w:position w:val="-10"/>
        </w:rPr>
        <w:drawing>
          <wp:inline distT="0" distB="0" distL="0" distR="0" wp14:anchorId="211D526D" wp14:editId="71B0586C">
            <wp:extent cx="114300" cy="161925"/>
            <wp:effectExtent l="0" t="0" r="0" b="0"/>
            <wp:docPr id="2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14300" cy="161925"/>
                    </a:xfrm>
                    <a:prstGeom prst="rect">
                      <a:avLst/>
                    </a:prstGeom>
                    <a:noFill/>
                    <a:ln>
                      <a:noFill/>
                    </a:ln>
                  </pic:spPr>
                </pic:pic>
              </a:graphicData>
            </a:graphic>
          </wp:inline>
        </w:drawing>
      </w:r>
      <w:r w:rsidR="00F464C5">
        <w:t xml:space="preserve"> </w:t>
      </w:r>
      <w:r>
        <w:rPr>
          <w:lang w:val="en-US" w:eastAsia="zh-CN"/>
        </w:rPr>
        <w:t xml:space="preserve">is the </w:t>
      </w:r>
      <w:r w:rsidR="00143099">
        <w:rPr>
          <w:lang w:val="en-US" w:eastAsia="zh-CN"/>
        </w:rPr>
        <w:t>SCS</w:t>
      </w:r>
      <w:r>
        <w:rPr>
          <w:lang w:val="en-US" w:eastAsia="zh-CN"/>
        </w:rPr>
        <w:t xml:space="preserve"> configuration for</w:t>
      </w:r>
      <w:r w:rsidRPr="005F664F">
        <w:rPr>
          <w:rFonts w:hint="eastAsia"/>
          <w:lang w:val="en-US" w:eastAsia="zh-CN"/>
        </w:rPr>
        <w:t xml:space="preserve"> a </w:t>
      </w:r>
      <w:r w:rsidRPr="005F664F">
        <w:rPr>
          <w:lang w:val="en-US" w:eastAsia="ko-KR"/>
        </w:rPr>
        <w:t>serving cell</w:t>
      </w:r>
      <w:r w:rsidRPr="005F664F">
        <w:rPr>
          <w:rFonts w:hint="eastAsia"/>
          <w:lang w:val="en-US" w:eastAsia="zh-CN"/>
        </w:rPr>
        <w:t xml:space="preserve"> </w:t>
      </w:r>
      <w:r>
        <w:rPr>
          <w:lang w:val="en-US" w:eastAsia="zh-CN"/>
        </w:rPr>
        <w:t xml:space="preserve">with </w:t>
      </w:r>
      <w:r>
        <w:rPr>
          <w:lang w:val="en-US" w:eastAsia="ko-KR"/>
        </w:rPr>
        <w:t>mapping to</w:t>
      </w:r>
      <w:r w:rsidRPr="005F664F">
        <w:rPr>
          <w:rFonts w:hint="eastAsia"/>
          <w:lang w:val="en-US" w:eastAsia="ko-KR"/>
        </w:rPr>
        <w:t xml:space="preserve"> </w:t>
      </w:r>
      <w:r>
        <w:rPr>
          <w:lang w:val="en-US" w:eastAsia="zh-CN"/>
        </w:rPr>
        <w:t>a</w:t>
      </w:r>
      <w:r w:rsidRPr="005F664F">
        <w:rPr>
          <w:lang w:eastAsia="zh-CN"/>
        </w:rPr>
        <w:t xml:space="preserve"> respective</w:t>
      </w:r>
      <w:r w:rsidRPr="005F664F">
        <w:rPr>
          <w:rFonts w:hint="eastAsia"/>
          <w:lang w:val="en-US" w:eastAsia="ko-KR"/>
        </w:rPr>
        <w:t xml:space="preserve"> field</w:t>
      </w:r>
      <w:r w:rsidRPr="005F664F">
        <w:rPr>
          <w:lang w:val="en-US" w:eastAsia="ko-KR"/>
        </w:rPr>
        <w:t xml:space="preserve"> in </w:t>
      </w:r>
      <w:r>
        <w:rPr>
          <w:rFonts w:hint="eastAsia"/>
          <w:lang w:val="en-US" w:eastAsia="zh-CN"/>
        </w:rPr>
        <w:t xml:space="preserve">the </w:t>
      </w:r>
      <w:r w:rsidRPr="005F664F">
        <w:rPr>
          <w:lang w:val="en-US" w:eastAsia="ko-KR"/>
        </w:rPr>
        <w:t>DCI format 2_1</w:t>
      </w:r>
      <w:r w:rsidRPr="005F664F">
        <w:rPr>
          <w:rFonts w:hint="eastAsia"/>
          <w:lang w:val="en-US" w:eastAsia="zh-CN"/>
        </w:rPr>
        <w:t xml:space="preserve">, </w:t>
      </w:r>
      <w:r w:rsidR="00ED3701">
        <w:rPr>
          <w:rFonts w:eastAsia="Malgun Gothic"/>
          <w:noProof/>
          <w:position w:val="-10"/>
        </w:rPr>
        <w:drawing>
          <wp:inline distT="0" distB="0" distL="0" distR="0" wp14:anchorId="7CEFF34A" wp14:editId="1C47D7E9">
            <wp:extent cx="238125" cy="180975"/>
            <wp:effectExtent l="0" t="0" r="0" b="0"/>
            <wp:docPr id="2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38125" cy="180975"/>
                    </a:xfrm>
                    <a:prstGeom prst="rect">
                      <a:avLst/>
                    </a:prstGeom>
                    <a:noFill/>
                    <a:ln>
                      <a:noFill/>
                    </a:ln>
                  </pic:spPr>
                </pic:pic>
              </a:graphicData>
            </a:graphic>
          </wp:inline>
        </w:drawing>
      </w:r>
      <w:r w:rsidRPr="005F664F">
        <w:rPr>
          <w:rFonts w:eastAsia="Malgun Gothic"/>
        </w:rPr>
        <w:t xml:space="preserve"> </w:t>
      </w:r>
      <w:r w:rsidRPr="005F664F">
        <w:rPr>
          <w:rFonts w:hint="eastAsia"/>
          <w:lang w:val="en-US" w:eastAsia="ko-KR"/>
        </w:rPr>
        <w:t xml:space="preserve">is </w:t>
      </w:r>
      <w:r>
        <w:rPr>
          <w:lang w:val="en-US" w:eastAsia="ko-KR"/>
        </w:rPr>
        <w:t>the</w:t>
      </w:r>
      <w:r w:rsidRPr="005F664F">
        <w:rPr>
          <w:rFonts w:hint="eastAsia"/>
          <w:lang w:val="en-US" w:eastAsia="ko-KR"/>
        </w:rPr>
        <w:t xml:space="preserve"> </w:t>
      </w:r>
      <w:r w:rsidR="00143099">
        <w:rPr>
          <w:lang w:val="en-US" w:eastAsia="ko-KR"/>
        </w:rPr>
        <w:t>SCS</w:t>
      </w:r>
      <w:r>
        <w:rPr>
          <w:lang w:val="en-US" w:eastAsia="ko-KR"/>
        </w:rPr>
        <w:t xml:space="preserve"> configuration of the DL BWP</w:t>
      </w:r>
      <w:r w:rsidRPr="005F664F">
        <w:rPr>
          <w:rFonts w:hint="eastAsia"/>
          <w:lang w:val="en-US" w:eastAsia="zh-CN"/>
        </w:rPr>
        <w:t xml:space="preserve"> </w:t>
      </w:r>
      <w:r w:rsidRPr="005F664F">
        <w:rPr>
          <w:lang w:val="en-US" w:eastAsia="ko-KR"/>
        </w:rPr>
        <w:t xml:space="preserve">where </w:t>
      </w:r>
      <w:r w:rsidRPr="005F664F">
        <w:rPr>
          <w:rFonts w:hint="eastAsia"/>
          <w:lang w:eastAsia="zh-CN"/>
        </w:rPr>
        <w:t xml:space="preserve">the </w:t>
      </w:r>
      <w:r>
        <w:rPr>
          <w:lang w:val="en-US" w:eastAsia="zh-CN"/>
        </w:rPr>
        <w:t xml:space="preserve">UE receives the PDCCH </w:t>
      </w:r>
      <w:r w:rsidR="00FE7E3A">
        <w:rPr>
          <w:lang w:val="en-US" w:eastAsia="zh-CN"/>
        </w:rPr>
        <w:t>with</w:t>
      </w:r>
      <w:r>
        <w:rPr>
          <w:lang w:val="en-US" w:eastAsia="zh-CN"/>
        </w:rPr>
        <w:t xml:space="preserve"> the </w:t>
      </w:r>
      <w:r w:rsidRPr="005F664F">
        <w:rPr>
          <w:rFonts w:eastAsia="Malgun Gothic"/>
          <w:lang w:val="en-US"/>
        </w:rPr>
        <w:t>DCI format 2_1</w:t>
      </w:r>
      <w:r w:rsidRPr="005F664F">
        <w:rPr>
          <w:lang w:val="en-US"/>
        </w:rPr>
        <w:t>.</w:t>
      </w:r>
      <w:r>
        <w:rPr>
          <w:lang w:val="en-US"/>
        </w:rPr>
        <w:t xml:space="preserve"> I</w:t>
      </w:r>
      <w:r w:rsidRPr="00B916EC">
        <w:rPr>
          <w:lang w:val="en-US"/>
        </w:rPr>
        <w:t xml:space="preserve">f the UE is </w:t>
      </w:r>
      <w:r w:rsidR="00C67E02">
        <w:rPr>
          <w:lang w:val="en-US"/>
        </w:rPr>
        <w:t xml:space="preserve">provided </w:t>
      </w:r>
      <w:r w:rsidR="00F626A5">
        <w:rPr>
          <w:i/>
          <w:lang w:val="en-US"/>
        </w:rPr>
        <w:t>tdd</w:t>
      </w:r>
      <w:r w:rsidR="0090436D" w:rsidRPr="00D6515C">
        <w:rPr>
          <w:i/>
          <w:lang w:val="en-US"/>
        </w:rPr>
        <w:t>-</w:t>
      </w:r>
      <w:r w:rsidR="0090436D" w:rsidRPr="00D6515C">
        <w:rPr>
          <w:i/>
        </w:rPr>
        <w:t>UL-DL-</w:t>
      </w:r>
      <w:r w:rsidR="0090436D" w:rsidRPr="00D6515C">
        <w:rPr>
          <w:i/>
          <w:lang w:val="en-US"/>
        </w:rPr>
        <w:t>ConfigurationCommon</w:t>
      </w:r>
      <w:r w:rsidRPr="00B916EC">
        <w:rPr>
          <w:lang w:val="en-US"/>
        </w:rPr>
        <w:t xml:space="preserve">, symbols indicated as uplink by </w:t>
      </w:r>
      <w:r w:rsidR="00F626A5">
        <w:rPr>
          <w:i/>
          <w:lang w:val="en-US"/>
        </w:rPr>
        <w:t>tdd</w:t>
      </w:r>
      <w:r w:rsidR="00AD4381" w:rsidRPr="00D6515C">
        <w:rPr>
          <w:i/>
          <w:lang w:val="en-US"/>
        </w:rPr>
        <w:t>-</w:t>
      </w:r>
      <w:r w:rsidR="00AD4381" w:rsidRPr="00D6515C">
        <w:rPr>
          <w:i/>
        </w:rPr>
        <w:t>UL-DL-</w:t>
      </w:r>
      <w:r w:rsidR="00AD4381" w:rsidRPr="00D6515C">
        <w:rPr>
          <w:i/>
          <w:lang w:val="en-US"/>
        </w:rPr>
        <w:t>ConfigurationCommon</w:t>
      </w:r>
      <w:r>
        <w:rPr>
          <w:lang w:val="en-US"/>
        </w:rPr>
        <w:t xml:space="preserve"> </w:t>
      </w:r>
      <w:r w:rsidRPr="00180617">
        <w:rPr>
          <w:lang w:val="en-US"/>
        </w:rPr>
        <w:t>are</w:t>
      </w:r>
      <w:r>
        <w:rPr>
          <w:lang w:val="en-US"/>
        </w:rPr>
        <w:t xml:space="preserve"> excluded from the </w:t>
      </w:r>
      <w:r>
        <w:rPr>
          <w:lang w:val="en-US" w:eastAsia="zh-CN"/>
        </w:rPr>
        <w:t xml:space="preserve">last </w:t>
      </w:r>
      <w:r w:rsidR="00ED3701">
        <w:rPr>
          <w:noProof/>
          <w:position w:val="-12"/>
        </w:rPr>
        <w:drawing>
          <wp:inline distT="0" distB="0" distL="0" distR="0" wp14:anchorId="1C5559F7" wp14:editId="6A1F3FC9">
            <wp:extent cx="1009650" cy="238125"/>
            <wp:effectExtent l="0" t="0" r="0" b="0"/>
            <wp:docPr id="2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009650" cy="238125"/>
                    </a:xfrm>
                    <a:prstGeom prst="rect">
                      <a:avLst/>
                    </a:prstGeom>
                    <a:noFill/>
                    <a:ln>
                      <a:noFill/>
                    </a:ln>
                  </pic:spPr>
                </pic:pic>
              </a:graphicData>
            </a:graphic>
          </wp:inline>
        </w:drawing>
      </w:r>
      <w:r w:rsidRPr="00906D7F">
        <w:rPr>
          <w:i/>
          <w:lang w:val="en-US" w:eastAsia="zh-CN"/>
        </w:rPr>
        <w:t xml:space="preserve"> </w:t>
      </w:r>
      <w:r w:rsidRPr="000A0A2C">
        <w:rPr>
          <w:lang w:val="en-US" w:eastAsia="zh-CN"/>
        </w:rPr>
        <w:t xml:space="preserve">symbols prior to the </w:t>
      </w:r>
      <w:r w:rsidRPr="000A0A2C">
        <w:rPr>
          <w:lang w:val="en-US"/>
        </w:rPr>
        <w:t xml:space="preserve">first symbol of the </w:t>
      </w:r>
      <w:r w:rsidR="004C3224" w:rsidRPr="00F415B1">
        <w:rPr>
          <w:lang w:val="en-US"/>
        </w:rPr>
        <w:t>PDCCH reception</w:t>
      </w:r>
      <w:r>
        <w:rPr>
          <w:lang w:val="en-US"/>
        </w:rPr>
        <w:t xml:space="preserve"> </w:t>
      </w:r>
      <w:r w:rsidRPr="00B916EC">
        <w:rPr>
          <w:lang w:val="en-US" w:eastAsia="zh-CN"/>
        </w:rPr>
        <w:t xml:space="preserve">in </w:t>
      </w:r>
      <w:r>
        <w:rPr>
          <w:lang w:val="en-US" w:eastAsia="zh-CN"/>
        </w:rPr>
        <w:t xml:space="preserve">the </w:t>
      </w:r>
      <w:r w:rsidRPr="00B916EC">
        <w:rPr>
          <w:lang w:val="en-US" w:eastAsia="zh-CN"/>
        </w:rPr>
        <w:t>slot</w:t>
      </w:r>
      <w:r w:rsidRPr="00B916EC">
        <w:rPr>
          <w:lang w:val="en-US"/>
        </w:rPr>
        <w:t xml:space="preserve">. The </w:t>
      </w:r>
      <w:r>
        <w:rPr>
          <w:lang w:val="en-US"/>
        </w:rPr>
        <w:t xml:space="preserve">resulting set </w:t>
      </w:r>
      <w:r w:rsidRPr="00B916EC">
        <w:rPr>
          <w:lang w:val="en-US"/>
        </w:rPr>
        <w:t xml:space="preserve">of symbols </w:t>
      </w:r>
      <w:r>
        <w:rPr>
          <w:lang w:val="en-US"/>
        </w:rPr>
        <w:t xml:space="preserve">includes a number of symbols that </w:t>
      </w:r>
      <w:r w:rsidRPr="00B916EC">
        <w:rPr>
          <w:lang w:val="en-US"/>
        </w:rPr>
        <w:t xml:space="preserve">is denoted as </w:t>
      </w:r>
      <w:r w:rsidR="00ED3701">
        <w:rPr>
          <w:noProof/>
          <w:position w:val="-10"/>
        </w:rPr>
        <w:drawing>
          <wp:inline distT="0" distB="0" distL="0" distR="0" wp14:anchorId="11692AC8" wp14:editId="39FDB478">
            <wp:extent cx="276225" cy="180975"/>
            <wp:effectExtent l="0" t="0" r="0" b="0"/>
            <wp:docPr id="2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B916EC">
        <w:rPr>
          <w:lang w:val="en-US"/>
        </w:rPr>
        <w:t xml:space="preserve">. </w:t>
      </w:r>
    </w:p>
    <w:p w14:paraId="4C23E1B2" w14:textId="776744A9" w:rsidR="00E56109" w:rsidRDefault="00E56109" w:rsidP="00FE7E3A">
      <w:pPr>
        <w:rPr>
          <w:lang w:val="en-US"/>
        </w:rPr>
      </w:pPr>
      <w:r>
        <w:rPr>
          <w:lang w:val="en-US"/>
        </w:rPr>
        <w:t xml:space="preserve">The UE </w:t>
      </w:r>
      <w:r w:rsidR="00AD4381">
        <w:rPr>
          <w:lang w:val="en-US"/>
        </w:rPr>
        <w:t>does</w:t>
      </w:r>
      <w:r>
        <w:rPr>
          <w:lang w:val="en-US"/>
        </w:rPr>
        <w:t xml:space="preserve"> not expect to be provided values of </w:t>
      </w:r>
      <w:r w:rsidR="00ED3701">
        <w:rPr>
          <w:noProof/>
          <w:position w:val="-10"/>
        </w:rPr>
        <w:drawing>
          <wp:inline distT="0" distB="0" distL="0" distR="0" wp14:anchorId="0A9AEA2A" wp14:editId="04CAE95D">
            <wp:extent cx="114300" cy="161925"/>
            <wp:effectExtent l="0" t="0" r="0" b="0"/>
            <wp:docPr id="2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14300" cy="161925"/>
                    </a:xfrm>
                    <a:prstGeom prst="rect">
                      <a:avLst/>
                    </a:prstGeom>
                    <a:noFill/>
                    <a:ln>
                      <a:noFill/>
                    </a:ln>
                  </pic:spPr>
                </pic:pic>
              </a:graphicData>
            </a:graphic>
          </wp:inline>
        </w:drawing>
      </w:r>
      <w:r>
        <w:rPr>
          <w:lang w:val="en-US"/>
        </w:rPr>
        <w:t xml:space="preserve">, </w:t>
      </w:r>
      <w:r w:rsidR="00ED3701">
        <w:rPr>
          <w:rFonts w:eastAsia="Malgun Gothic"/>
          <w:noProof/>
          <w:position w:val="-10"/>
        </w:rPr>
        <w:drawing>
          <wp:inline distT="0" distB="0" distL="0" distR="0" wp14:anchorId="741606E0" wp14:editId="49B884F8">
            <wp:extent cx="257175" cy="180975"/>
            <wp:effectExtent l="0" t="0" r="0" b="0"/>
            <wp:docPr id="2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57175" cy="180975"/>
                    </a:xfrm>
                    <a:prstGeom prst="rect">
                      <a:avLst/>
                    </a:prstGeom>
                    <a:noFill/>
                    <a:ln>
                      <a:noFill/>
                    </a:ln>
                  </pic:spPr>
                </pic:pic>
              </a:graphicData>
            </a:graphic>
          </wp:inline>
        </w:drawing>
      </w:r>
      <w:r>
        <w:rPr>
          <w:lang w:val="en-US"/>
        </w:rPr>
        <w:t xml:space="preserve">, and </w:t>
      </w:r>
      <w:r w:rsidR="00ED3701">
        <w:rPr>
          <w:noProof/>
          <w:position w:val="-10"/>
        </w:rPr>
        <w:drawing>
          <wp:inline distT="0" distB="0" distL="0" distR="0" wp14:anchorId="0C12B35E" wp14:editId="6219B623">
            <wp:extent cx="276225" cy="180975"/>
            <wp:effectExtent l="0" t="0" r="0" b="0"/>
            <wp:docPr id="2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Pr>
          <w:lang w:val="en-US"/>
        </w:rPr>
        <w:t xml:space="preserve"> resulting to a value of</w:t>
      </w:r>
      <w:r w:rsidR="0009732E">
        <w:rPr>
          <w:lang w:val="en-US"/>
        </w:rPr>
        <w:t xml:space="preserve"> </w:t>
      </w:r>
      <w:r w:rsidR="00ED3701">
        <w:rPr>
          <w:noProof/>
          <w:position w:val="-12"/>
        </w:rPr>
        <w:drawing>
          <wp:inline distT="0" distB="0" distL="0" distR="0" wp14:anchorId="4477D785" wp14:editId="1829742D">
            <wp:extent cx="1009650" cy="238125"/>
            <wp:effectExtent l="0" t="0" r="0" b="0"/>
            <wp:docPr id="2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009650" cy="238125"/>
                    </a:xfrm>
                    <a:prstGeom prst="rect">
                      <a:avLst/>
                    </a:prstGeom>
                    <a:noFill/>
                    <a:ln>
                      <a:noFill/>
                    </a:ln>
                  </pic:spPr>
                </pic:pic>
              </a:graphicData>
            </a:graphic>
          </wp:inline>
        </w:drawing>
      </w:r>
      <w:r>
        <w:rPr>
          <w:lang w:val="en-US"/>
        </w:rPr>
        <w:t xml:space="preserve"> that is not an integer.</w:t>
      </w:r>
      <w:r w:rsidR="00FE7E3A">
        <w:rPr>
          <w:lang w:val="en-US"/>
        </w:rPr>
        <w:t xml:space="preserve"> </w:t>
      </w:r>
      <w:r w:rsidR="00FE7E3A" w:rsidRPr="00114EC8">
        <w:rPr>
          <w:lang w:val="en-US"/>
        </w:rPr>
        <w:t xml:space="preserve">The UE does not expect to be </w:t>
      </w:r>
      <w:r w:rsidR="00FE7E3A">
        <w:rPr>
          <w:rFonts w:hint="eastAsia"/>
        </w:rPr>
        <w:t>configured</w:t>
      </w:r>
      <w:r w:rsidR="00FE7E3A" w:rsidRPr="00114EC8">
        <w:rPr>
          <w:rFonts w:hint="eastAsia"/>
        </w:rPr>
        <w:t xml:space="preserve"> by </w:t>
      </w:r>
      <w:r w:rsidR="00FE7E3A" w:rsidRPr="00114EC8">
        <w:rPr>
          <w:i/>
        </w:rPr>
        <w:t>monitoringSymbolsWithinSlot</w:t>
      </w:r>
      <w:r w:rsidR="00FE7E3A">
        <w:t xml:space="preserve"> with </w:t>
      </w:r>
      <w:r w:rsidR="00FE7E3A" w:rsidRPr="00114EC8">
        <w:rPr>
          <w:rFonts w:hint="eastAsia"/>
        </w:rPr>
        <w:t xml:space="preserve">more than one PDCCH </w:t>
      </w:r>
      <w:r w:rsidR="00FE7E3A" w:rsidRPr="00114EC8">
        <w:t>monitoring</w:t>
      </w:r>
      <w:r w:rsidR="00FE7E3A" w:rsidRPr="00114EC8">
        <w:rPr>
          <w:rFonts w:hint="eastAsia"/>
        </w:rPr>
        <w:t xml:space="preserve"> occasion</w:t>
      </w:r>
      <w:r w:rsidR="00FE7E3A">
        <w:t xml:space="preserve"> for DCI format 2_1</w:t>
      </w:r>
      <w:r w:rsidR="00FE7E3A" w:rsidRPr="00114EC8">
        <w:rPr>
          <w:rFonts w:hint="eastAsia"/>
        </w:rPr>
        <w:t xml:space="preserve"> in a slot</w:t>
      </w:r>
      <w:r w:rsidR="00FE7E3A">
        <w:rPr>
          <w:rFonts w:hint="eastAsia"/>
        </w:rPr>
        <w:t>.</w:t>
      </w:r>
    </w:p>
    <w:p w14:paraId="1796417C" w14:textId="77777777" w:rsidR="00E56109" w:rsidRPr="00B916EC" w:rsidRDefault="00E56109" w:rsidP="0009732E">
      <w:r>
        <w:rPr>
          <w:lang w:eastAsia="zh-CN"/>
        </w:rPr>
        <w:t>A</w:t>
      </w:r>
      <w:r w:rsidRPr="00B916EC">
        <w:rPr>
          <w:lang w:eastAsia="zh-CN"/>
        </w:rPr>
        <w:t xml:space="preserve"> UE is </w:t>
      </w:r>
      <w:r>
        <w:rPr>
          <w:lang w:eastAsia="zh-CN"/>
        </w:rPr>
        <w:t>provided</w:t>
      </w:r>
      <w:r w:rsidRPr="00B916EC">
        <w:rPr>
          <w:lang w:eastAsia="zh-CN"/>
        </w:rPr>
        <w:t xml:space="preserve"> the indication granularity for the set of PRBs and for the set of symbols by </w:t>
      </w:r>
      <w:r w:rsidR="00AD4381" w:rsidRPr="008F75A2">
        <w:rPr>
          <w:i/>
        </w:rPr>
        <w:t>timeFrequencySet</w:t>
      </w:r>
      <w:r w:rsidRPr="00B916EC">
        <w:t xml:space="preserve">. </w:t>
      </w:r>
    </w:p>
    <w:p w14:paraId="7A5AE106" w14:textId="16BFF687" w:rsidR="00841759" w:rsidRPr="00B916EC" w:rsidRDefault="00A647D6" w:rsidP="002A7F99">
      <w:r w:rsidRPr="00B916EC">
        <w:t xml:space="preserve">If </w:t>
      </w:r>
      <w:r w:rsidR="00151DDD" w:rsidRPr="00B916EC">
        <w:t xml:space="preserve">the value of </w:t>
      </w:r>
      <w:r w:rsidR="00AD4381" w:rsidRPr="008F75A2">
        <w:rPr>
          <w:i/>
        </w:rPr>
        <w:t>timeFrequencySet</w:t>
      </w:r>
      <w:r w:rsidR="00322C5D" w:rsidRPr="00B916EC">
        <w:rPr>
          <w:lang w:val="en-US"/>
        </w:rPr>
        <w:t xml:space="preserve"> </w:t>
      </w:r>
      <w:r w:rsidR="00151DDD" w:rsidRPr="00B916EC">
        <w:rPr>
          <w:lang w:val="en-US"/>
        </w:rPr>
        <w:t xml:space="preserve">is </w:t>
      </w:r>
      <w:r w:rsidR="00212727" w:rsidRPr="00C6383D">
        <w:rPr>
          <w:lang w:val="en-AU"/>
        </w:rPr>
        <w:t>'</w:t>
      </w:r>
      <w:r w:rsidR="00212727">
        <w:rPr>
          <w:lang w:val="en-AU"/>
        </w:rPr>
        <w:t>set0</w:t>
      </w:r>
      <w:r w:rsidR="00212727" w:rsidRPr="00C6383D">
        <w:rPr>
          <w:lang w:val="en-AU"/>
        </w:rPr>
        <w:t>'</w:t>
      </w:r>
      <w:r w:rsidR="00151DDD" w:rsidRPr="00B916EC">
        <w:rPr>
          <w:lang w:val="en-US"/>
        </w:rPr>
        <w:t xml:space="preserve">, </w:t>
      </w:r>
      <w:r w:rsidR="009F0136" w:rsidRPr="00B916EC">
        <w:t>14</w:t>
      </w:r>
      <w:r w:rsidR="00A90889" w:rsidRPr="00B916EC">
        <w:t xml:space="preserve"> bits</w:t>
      </w:r>
      <w:r w:rsidR="00151DDD" w:rsidRPr="00B916EC">
        <w:rPr>
          <w:lang w:val="en-US"/>
        </w:rPr>
        <w:t xml:space="preserve"> </w:t>
      </w:r>
      <w:r w:rsidR="00212727">
        <w:rPr>
          <w:rFonts w:eastAsia="DengXian"/>
          <w:lang w:val="en-US"/>
        </w:rPr>
        <w:t>from MSB</w:t>
      </w:r>
      <w:r w:rsidR="00212727" w:rsidRPr="001A63D7">
        <w:rPr>
          <w:rFonts w:eastAsia="DengXian"/>
          <w:lang w:val="en-US"/>
        </w:rPr>
        <w:t xml:space="preserve"> </w:t>
      </w:r>
      <w:r w:rsidR="00F025D1" w:rsidRPr="00B916EC">
        <w:rPr>
          <w:lang w:val="en-US"/>
        </w:rPr>
        <w:t xml:space="preserve">of a field </w:t>
      </w:r>
      <w:r w:rsidR="00A90889" w:rsidRPr="00B916EC">
        <w:rPr>
          <w:lang w:val="en-US"/>
        </w:rPr>
        <w:t xml:space="preserve">in </w:t>
      </w:r>
      <w:r w:rsidR="00151DDD" w:rsidRPr="00B916EC">
        <w:rPr>
          <w:lang w:val="en-US"/>
        </w:rPr>
        <w:t xml:space="preserve">DCI format </w:t>
      </w:r>
      <w:r w:rsidR="00B42DB0" w:rsidRPr="00B916EC">
        <w:rPr>
          <w:lang w:val="en-US"/>
        </w:rPr>
        <w:t>2_1</w:t>
      </w:r>
      <w:r w:rsidR="00151DDD" w:rsidRPr="00B916EC">
        <w:rPr>
          <w:lang w:val="en-US"/>
        </w:rPr>
        <w:t xml:space="preserve"> </w:t>
      </w:r>
      <w:r w:rsidR="00A90889" w:rsidRPr="00B916EC">
        <w:rPr>
          <w:lang w:val="en-US"/>
        </w:rPr>
        <w:t>h</w:t>
      </w:r>
      <w:r w:rsidR="00F025D1" w:rsidRPr="00B916EC">
        <w:rPr>
          <w:lang w:val="en-US"/>
        </w:rPr>
        <w:t xml:space="preserve">ave a one-to-one mapping with </w:t>
      </w:r>
      <w:r w:rsidR="009F0136" w:rsidRPr="00B916EC">
        <w:t>14</w:t>
      </w:r>
      <w:r w:rsidR="00A90889" w:rsidRPr="00B916EC">
        <w:t xml:space="preserve"> </w:t>
      </w:r>
      <w:r w:rsidR="00F14011" w:rsidRPr="00B916EC">
        <w:t xml:space="preserve">groups of consecutive </w:t>
      </w:r>
      <w:r w:rsidR="00A90889" w:rsidRPr="00B916EC">
        <w:t xml:space="preserve">symbols </w:t>
      </w:r>
      <w:r w:rsidR="00CA6841" w:rsidRPr="00B916EC">
        <w:t xml:space="preserve">from the set of symbols </w:t>
      </w:r>
      <w:r w:rsidR="00A90889" w:rsidRPr="00B916EC">
        <w:t>wher</w:t>
      </w:r>
      <w:r w:rsidR="003410C3" w:rsidRPr="00B916EC">
        <w:t>e</w:t>
      </w:r>
      <w:r w:rsidR="00F14011" w:rsidRPr="00B916EC">
        <w:t xml:space="preserve"> </w:t>
      </w:r>
      <w:r w:rsidR="00F974C6" w:rsidRPr="00B916EC">
        <w:t xml:space="preserve">each of </w:t>
      </w:r>
      <w:r w:rsidR="00F14011" w:rsidRPr="00B916EC">
        <w:t xml:space="preserve">the first </w:t>
      </w:r>
      <w:r w:rsidR="00ED3701">
        <w:rPr>
          <w:noProof/>
          <w:position w:val="-10"/>
        </w:rPr>
        <w:drawing>
          <wp:inline distT="0" distB="0" distL="0" distR="0" wp14:anchorId="4493CFE6" wp14:editId="2A5194A3">
            <wp:extent cx="1095375" cy="180975"/>
            <wp:effectExtent l="0" t="0" r="0" b="0"/>
            <wp:docPr id="2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095375" cy="180975"/>
                    </a:xfrm>
                    <a:prstGeom prst="rect">
                      <a:avLst/>
                    </a:prstGeom>
                    <a:noFill/>
                    <a:ln>
                      <a:noFill/>
                    </a:ln>
                  </pic:spPr>
                </pic:pic>
              </a:graphicData>
            </a:graphic>
          </wp:inline>
        </w:drawing>
      </w:r>
      <w:r w:rsidR="00F7398E" w:rsidRPr="00B916EC">
        <w:t xml:space="preserve"> </w:t>
      </w:r>
      <w:r w:rsidR="008141AE" w:rsidRPr="00B916EC">
        <w:t xml:space="preserve">symbol </w:t>
      </w:r>
      <w:r w:rsidR="00F14011" w:rsidRPr="00B916EC">
        <w:t>groups include</w:t>
      </w:r>
      <w:r w:rsidR="00CA6841" w:rsidRPr="00B916EC">
        <w:t>s</w:t>
      </w:r>
      <w:r w:rsidR="00F14011" w:rsidRPr="00B916EC">
        <w:t xml:space="preserve"> </w:t>
      </w:r>
      <w:r w:rsidR="00ED3701">
        <w:rPr>
          <w:noProof/>
          <w:position w:val="-10"/>
        </w:rPr>
        <w:drawing>
          <wp:inline distT="0" distB="0" distL="0" distR="0" wp14:anchorId="759B8870" wp14:editId="3E087181">
            <wp:extent cx="561975" cy="190500"/>
            <wp:effectExtent l="0" t="0" r="0" b="0"/>
            <wp:docPr id="2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61975" cy="190500"/>
                    </a:xfrm>
                    <a:prstGeom prst="rect">
                      <a:avLst/>
                    </a:prstGeom>
                    <a:noFill/>
                    <a:ln>
                      <a:noFill/>
                    </a:ln>
                  </pic:spPr>
                </pic:pic>
              </a:graphicData>
            </a:graphic>
          </wp:inline>
        </w:drawing>
      </w:r>
      <w:r w:rsidR="00F14011" w:rsidRPr="00B916EC">
        <w:t xml:space="preserve"> symbols, </w:t>
      </w:r>
      <w:r w:rsidR="00F974C6" w:rsidRPr="00B916EC">
        <w:t xml:space="preserve">each of </w:t>
      </w:r>
      <w:r w:rsidR="00F14011" w:rsidRPr="00B916EC">
        <w:t xml:space="preserve">the last </w:t>
      </w:r>
      <w:r w:rsidR="00ED3701">
        <w:rPr>
          <w:noProof/>
          <w:position w:val="-10"/>
        </w:rPr>
        <w:drawing>
          <wp:inline distT="0" distB="0" distL="0" distR="0" wp14:anchorId="6ACE2161" wp14:editId="13C77EC0">
            <wp:extent cx="1381125" cy="180975"/>
            <wp:effectExtent l="0" t="0" r="0" b="0"/>
            <wp:docPr id="2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381125" cy="180975"/>
                    </a:xfrm>
                    <a:prstGeom prst="rect">
                      <a:avLst/>
                    </a:prstGeom>
                    <a:noFill/>
                    <a:ln>
                      <a:noFill/>
                    </a:ln>
                  </pic:spPr>
                </pic:pic>
              </a:graphicData>
            </a:graphic>
          </wp:inline>
        </w:drawing>
      </w:r>
      <w:r w:rsidR="00F14011" w:rsidRPr="00B916EC">
        <w:t xml:space="preserve"> </w:t>
      </w:r>
      <w:r w:rsidR="004343E6" w:rsidRPr="00B916EC">
        <w:t xml:space="preserve">symbol </w:t>
      </w:r>
      <w:r w:rsidR="00F14011" w:rsidRPr="00B916EC">
        <w:t>groups include</w:t>
      </w:r>
      <w:r w:rsidR="00F974C6" w:rsidRPr="00B916EC">
        <w:t>s</w:t>
      </w:r>
      <w:r w:rsidR="00F14011" w:rsidRPr="00B916EC">
        <w:t xml:space="preserve"> </w:t>
      </w:r>
      <w:r w:rsidR="00ED3701">
        <w:rPr>
          <w:noProof/>
          <w:position w:val="-10"/>
        </w:rPr>
        <w:drawing>
          <wp:inline distT="0" distB="0" distL="0" distR="0" wp14:anchorId="00E36746" wp14:editId="14CD997F">
            <wp:extent cx="561975" cy="180975"/>
            <wp:effectExtent l="0" t="0" r="0" b="0"/>
            <wp:docPr id="2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61975" cy="180975"/>
                    </a:xfrm>
                    <a:prstGeom prst="rect">
                      <a:avLst/>
                    </a:prstGeom>
                    <a:noFill/>
                    <a:ln>
                      <a:noFill/>
                    </a:ln>
                  </pic:spPr>
                </pic:pic>
              </a:graphicData>
            </a:graphic>
          </wp:inline>
        </w:drawing>
      </w:r>
      <w:r w:rsidR="00F14011" w:rsidRPr="00B916EC">
        <w:t xml:space="preserve"> symbols,</w:t>
      </w:r>
      <w:r w:rsidR="003410C3" w:rsidRPr="00B916EC">
        <w:t xml:space="preserve"> a</w:t>
      </w:r>
      <w:r w:rsidR="00A90889" w:rsidRPr="00B916EC">
        <w:t xml:space="preserve"> </w:t>
      </w:r>
      <w:r w:rsidR="00525EBA" w:rsidRPr="00B916EC">
        <w:t xml:space="preserve">bit </w:t>
      </w:r>
      <w:r w:rsidR="00A90889" w:rsidRPr="00B916EC">
        <w:t xml:space="preserve">value </w:t>
      </w:r>
      <w:r w:rsidR="003410C3" w:rsidRPr="00B916EC">
        <w:t xml:space="preserve">of 0 </w:t>
      </w:r>
      <w:r w:rsidR="00A90889" w:rsidRPr="00B916EC">
        <w:t>indicates transmission</w:t>
      </w:r>
      <w:r w:rsidR="00151DDD" w:rsidRPr="00B916EC">
        <w:rPr>
          <w:lang w:val="en-US"/>
        </w:rPr>
        <w:t xml:space="preserve"> </w:t>
      </w:r>
      <w:r w:rsidR="00A90889" w:rsidRPr="00B916EC">
        <w:rPr>
          <w:lang w:val="en-US"/>
        </w:rPr>
        <w:t xml:space="preserve">to the UE in the corresponding </w:t>
      </w:r>
      <w:r w:rsidR="004343E6" w:rsidRPr="00B916EC">
        <w:rPr>
          <w:lang w:val="en-US"/>
        </w:rPr>
        <w:t xml:space="preserve">symbol </w:t>
      </w:r>
      <w:r w:rsidR="00D07AEC" w:rsidRPr="00B916EC">
        <w:rPr>
          <w:lang w:val="en-US"/>
        </w:rPr>
        <w:t xml:space="preserve">group </w:t>
      </w:r>
      <w:r w:rsidR="003410C3" w:rsidRPr="00B916EC">
        <w:t>and a</w:t>
      </w:r>
      <w:r w:rsidR="00A90889" w:rsidRPr="00B916EC">
        <w:t xml:space="preserve"> </w:t>
      </w:r>
      <w:r w:rsidR="00525EBA" w:rsidRPr="00B916EC">
        <w:t xml:space="preserve">bit </w:t>
      </w:r>
      <w:r w:rsidR="00A90889" w:rsidRPr="00B916EC">
        <w:t xml:space="preserve">value </w:t>
      </w:r>
      <w:r w:rsidR="003410C3" w:rsidRPr="00B916EC">
        <w:t xml:space="preserve">of 1 </w:t>
      </w:r>
      <w:r w:rsidR="00A90889" w:rsidRPr="00B916EC">
        <w:t xml:space="preserve">indicates no transmission to the UE in the corresponding </w:t>
      </w:r>
      <w:r w:rsidR="004343E6" w:rsidRPr="00B916EC">
        <w:t xml:space="preserve">symbol </w:t>
      </w:r>
      <w:r w:rsidR="00D07AEC" w:rsidRPr="00B916EC">
        <w:t>group</w:t>
      </w:r>
      <w:r w:rsidR="00A90889" w:rsidRPr="00B916EC">
        <w:t xml:space="preserve">. </w:t>
      </w:r>
    </w:p>
    <w:p w14:paraId="0B779F1D" w14:textId="0F46CC86" w:rsidR="00A647D6" w:rsidRDefault="00A647D6" w:rsidP="00A647D6">
      <w:r w:rsidRPr="00B916EC">
        <w:t xml:space="preserve">If </w:t>
      </w:r>
      <w:r w:rsidR="00A90889" w:rsidRPr="00B916EC">
        <w:t xml:space="preserve">the value of </w:t>
      </w:r>
      <w:r w:rsidR="00AD4381" w:rsidRPr="008F75A2">
        <w:rPr>
          <w:i/>
        </w:rPr>
        <w:t>timeFrequencySet</w:t>
      </w:r>
      <w:r w:rsidR="00A90889" w:rsidRPr="00B916EC">
        <w:rPr>
          <w:lang w:val="en-US"/>
        </w:rPr>
        <w:t xml:space="preserve"> is </w:t>
      </w:r>
      <w:r w:rsidR="00212727" w:rsidRPr="00C6383D">
        <w:rPr>
          <w:lang w:val="en-AU"/>
        </w:rPr>
        <w:t>'</w:t>
      </w:r>
      <w:r w:rsidR="00212727">
        <w:rPr>
          <w:lang w:val="en-AU"/>
        </w:rPr>
        <w:t>set1</w:t>
      </w:r>
      <w:r w:rsidR="00212727" w:rsidRPr="00C6383D">
        <w:rPr>
          <w:lang w:val="en-AU"/>
        </w:rPr>
        <w:t>'</w:t>
      </w:r>
      <w:r w:rsidR="00A90889" w:rsidRPr="00B916EC">
        <w:rPr>
          <w:lang w:val="en-US"/>
        </w:rPr>
        <w:t xml:space="preserve">, </w:t>
      </w:r>
      <w:r w:rsidR="009F0136" w:rsidRPr="00B916EC">
        <w:t>7</w:t>
      </w:r>
      <w:r w:rsidR="00A90889" w:rsidRPr="00B916EC">
        <w:t xml:space="preserve"> </w:t>
      </w:r>
      <w:r w:rsidRPr="00B916EC">
        <w:t xml:space="preserve">pairs of </w:t>
      </w:r>
      <w:r w:rsidR="00A90889" w:rsidRPr="00B916EC">
        <w:t>bits</w:t>
      </w:r>
      <w:r w:rsidR="00A90889" w:rsidRPr="00B916EC">
        <w:rPr>
          <w:lang w:val="en-US"/>
        </w:rPr>
        <w:t xml:space="preserve"> </w:t>
      </w:r>
      <w:r w:rsidR="00212727">
        <w:rPr>
          <w:rFonts w:eastAsia="DengXian"/>
          <w:lang w:val="en-US"/>
        </w:rPr>
        <w:t>from MSB</w:t>
      </w:r>
      <w:r w:rsidR="00212727" w:rsidRPr="001A63D7">
        <w:rPr>
          <w:rFonts w:eastAsia="DengXian"/>
          <w:lang w:val="en-US"/>
        </w:rPr>
        <w:t xml:space="preserve"> </w:t>
      </w:r>
      <w:r w:rsidR="003410C3" w:rsidRPr="00B916EC">
        <w:rPr>
          <w:lang w:val="en-US"/>
        </w:rPr>
        <w:t xml:space="preserve">of a field </w:t>
      </w:r>
      <w:r w:rsidR="00A90889" w:rsidRPr="00B916EC">
        <w:rPr>
          <w:lang w:val="en-US"/>
        </w:rPr>
        <w:t xml:space="preserve">in the DCI format </w:t>
      </w:r>
      <w:r w:rsidRPr="00B916EC">
        <w:rPr>
          <w:lang w:val="en-US"/>
        </w:rPr>
        <w:t>2_1</w:t>
      </w:r>
      <w:r w:rsidR="00A90889" w:rsidRPr="00B916EC">
        <w:rPr>
          <w:lang w:val="en-US"/>
        </w:rPr>
        <w:t xml:space="preserve"> h</w:t>
      </w:r>
      <w:r w:rsidR="00525EBA" w:rsidRPr="00B916EC">
        <w:rPr>
          <w:lang w:val="en-US"/>
        </w:rPr>
        <w:t>ave</w:t>
      </w:r>
      <w:r w:rsidR="00656A29" w:rsidRPr="00B916EC">
        <w:rPr>
          <w:lang w:val="en-US"/>
        </w:rPr>
        <w:t xml:space="preserve"> a</w:t>
      </w:r>
      <w:r w:rsidR="00841759" w:rsidRPr="00B916EC">
        <w:rPr>
          <w:lang w:val="en-US"/>
        </w:rPr>
        <w:t xml:space="preserve"> </w:t>
      </w:r>
      <w:r w:rsidR="00656A29" w:rsidRPr="00B916EC">
        <w:rPr>
          <w:lang w:val="en-US"/>
        </w:rPr>
        <w:t>one-to-one mapping with</w:t>
      </w:r>
      <w:r w:rsidR="00F025D1" w:rsidRPr="00B916EC">
        <w:rPr>
          <w:lang w:val="en-US"/>
        </w:rPr>
        <w:t xml:space="preserve"> </w:t>
      </w:r>
      <w:r w:rsidR="009F0136" w:rsidRPr="00B916EC">
        <w:t>7 groups of consecutive</w:t>
      </w:r>
      <w:r w:rsidR="00A90889" w:rsidRPr="00B916EC">
        <w:t xml:space="preserve"> </w:t>
      </w:r>
      <w:r w:rsidR="003410C3" w:rsidRPr="00B916EC">
        <w:t>symbol</w:t>
      </w:r>
      <w:r w:rsidR="009F0136" w:rsidRPr="00B916EC">
        <w:t>s</w:t>
      </w:r>
      <w:r w:rsidR="00525EBA" w:rsidRPr="00B916EC">
        <w:t xml:space="preserve"> wher</w:t>
      </w:r>
      <w:r w:rsidR="003410C3" w:rsidRPr="00B916EC">
        <w:t>e</w:t>
      </w:r>
      <w:r w:rsidR="007D5A3F">
        <w:t xml:space="preserve"> </w:t>
      </w:r>
      <w:r w:rsidR="00F974C6" w:rsidRPr="00B916EC">
        <w:t xml:space="preserve">each of </w:t>
      </w:r>
      <w:r w:rsidR="009F0136" w:rsidRPr="00B916EC">
        <w:t xml:space="preserve">the first </w:t>
      </w:r>
      <w:r w:rsidR="00ED3701">
        <w:rPr>
          <w:noProof/>
          <w:position w:val="-10"/>
        </w:rPr>
        <w:drawing>
          <wp:inline distT="0" distB="0" distL="0" distR="0" wp14:anchorId="2EFDA499" wp14:editId="00A684F1">
            <wp:extent cx="1009650" cy="180975"/>
            <wp:effectExtent l="0" t="0" r="0" b="0"/>
            <wp:docPr id="2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009650" cy="180975"/>
                    </a:xfrm>
                    <a:prstGeom prst="rect">
                      <a:avLst/>
                    </a:prstGeom>
                    <a:noFill/>
                    <a:ln>
                      <a:noFill/>
                    </a:ln>
                  </pic:spPr>
                </pic:pic>
              </a:graphicData>
            </a:graphic>
          </wp:inline>
        </w:drawing>
      </w:r>
      <w:r w:rsidR="009F0136" w:rsidRPr="00B916EC">
        <w:t xml:space="preserve"> </w:t>
      </w:r>
      <w:r w:rsidR="008141AE" w:rsidRPr="00B916EC">
        <w:t xml:space="preserve">symbol </w:t>
      </w:r>
      <w:r w:rsidR="009F0136" w:rsidRPr="00B916EC">
        <w:t>groups include</w:t>
      </w:r>
      <w:r w:rsidR="00F974C6" w:rsidRPr="00B916EC">
        <w:t>s</w:t>
      </w:r>
      <w:r w:rsidR="009F0136" w:rsidRPr="00B916EC">
        <w:t xml:space="preserve"> </w:t>
      </w:r>
      <w:r w:rsidR="00ED3701">
        <w:rPr>
          <w:noProof/>
          <w:position w:val="-10"/>
        </w:rPr>
        <w:drawing>
          <wp:inline distT="0" distB="0" distL="0" distR="0" wp14:anchorId="53A055F4" wp14:editId="1D5C9EEC">
            <wp:extent cx="561975" cy="180975"/>
            <wp:effectExtent l="0" t="0" r="0" b="0"/>
            <wp:docPr id="2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61975" cy="180975"/>
                    </a:xfrm>
                    <a:prstGeom prst="rect">
                      <a:avLst/>
                    </a:prstGeom>
                    <a:noFill/>
                    <a:ln>
                      <a:noFill/>
                    </a:ln>
                  </pic:spPr>
                </pic:pic>
              </a:graphicData>
            </a:graphic>
          </wp:inline>
        </w:drawing>
      </w:r>
      <w:r w:rsidR="009F0136" w:rsidRPr="00B916EC">
        <w:t xml:space="preserve"> symbols, </w:t>
      </w:r>
      <w:r w:rsidR="00F974C6" w:rsidRPr="00B916EC">
        <w:t xml:space="preserve">each of </w:t>
      </w:r>
      <w:r w:rsidR="009F0136" w:rsidRPr="00B916EC">
        <w:t xml:space="preserve">the last </w:t>
      </w:r>
      <w:r w:rsidR="00ED3701">
        <w:rPr>
          <w:noProof/>
          <w:position w:val="-10"/>
        </w:rPr>
        <w:drawing>
          <wp:inline distT="0" distB="0" distL="0" distR="0" wp14:anchorId="490E44D9" wp14:editId="63FC5D37">
            <wp:extent cx="1190625" cy="180975"/>
            <wp:effectExtent l="0" t="0" r="0" b="0"/>
            <wp:docPr id="2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190625" cy="180975"/>
                    </a:xfrm>
                    <a:prstGeom prst="rect">
                      <a:avLst/>
                    </a:prstGeom>
                    <a:noFill/>
                    <a:ln>
                      <a:noFill/>
                    </a:ln>
                  </pic:spPr>
                </pic:pic>
              </a:graphicData>
            </a:graphic>
          </wp:inline>
        </w:drawing>
      </w:r>
      <w:r w:rsidR="009F0136" w:rsidRPr="00B916EC">
        <w:t xml:space="preserve"> </w:t>
      </w:r>
      <w:r w:rsidR="008141AE" w:rsidRPr="00B916EC">
        <w:t xml:space="preserve">symbol </w:t>
      </w:r>
      <w:r w:rsidR="009F0136" w:rsidRPr="00B916EC">
        <w:t>groups include</w:t>
      </w:r>
      <w:r w:rsidRPr="00B916EC">
        <w:t>s</w:t>
      </w:r>
      <w:r w:rsidR="009F0136" w:rsidRPr="00B916EC">
        <w:t xml:space="preserve"> </w:t>
      </w:r>
      <w:r w:rsidR="00ED3701">
        <w:rPr>
          <w:noProof/>
          <w:position w:val="-10"/>
        </w:rPr>
        <w:drawing>
          <wp:inline distT="0" distB="0" distL="0" distR="0" wp14:anchorId="43741AD7" wp14:editId="3E618066">
            <wp:extent cx="561975" cy="180975"/>
            <wp:effectExtent l="0" t="0" r="0" b="0"/>
            <wp:docPr id="2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61975" cy="180975"/>
                    </a:xfrm>
                    <a:prstGeom prst="rect">
                      <a:avLst/>
                    </a:prstGeom>
                    <a:noFill/>
                    <a:ln>
                      <a:noFill/>
                    </a:ln>
                  </pic:spPr>
                </pic:pic>
              </a:graphicData>
            </a:graphic>
          </wp:inline>
        </w:drawing>
      </w:r>
      <w:r w:rsidR="009F0136" w:rsidRPr="00B916EC">
        <w:t xml:space="preserve"> symbols, </w:t>
      </w:r>
      <w:r w:rsidRPr="00B916EC">
        <w:t xml:space="preserve">a first bit in a pair of bits </w:t>
      </w:r>
      <w:r w:rsidR="008141AE" w:rsidRPr="00B916EC">
        <w:t xml:space="preserve">for a symbol group is applicable to </w:t>
      </w:r>
      <w:r w:rsidR="00CF13E7" w:rsidRPr="00B916EC">
        <w:t>the</w:t>
      </w:r>
      <w:r w:rsidRPr="00B916EC">
        <w:t xml:space="preserve"> subset of</w:t>
      </w:r>
      <w:r w:rsidR="00E56109">
        <w:t xml:space="preserve"> first</w:t>
      </w:r>
      <w:r w:rsidRPr="00B916EC">
        <w:t xml:space="preserve"> </w:t>
      </w:r>
      <w:r w:rsidR="00ED3701">
        <w:rPr>
          <w:noProof/>
          <w:position w:val="-10"/>
        </w:rPr>
        <w:drawing>
          <wp:inline distT="0" distB="0" distL="0" distR="0" wp14:anchorId="5836740F" wp14:editId="683AC827">
            <wp:extent cx="561975" cy="180975"/>
            <wp:effectExtent l="0" t="0" r="0" b="0"/>
            <wp:docPr id="2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61975" cy="180975"/>
                    </a:xfrm>
                    <a:prstGeom prst="rect">
                      <a:avLst/>
                    </a:prstGeom>
                    <a:noFill/>
                    <a:ln>
                      <a:noFill/>
                    </a:ln>
                  </pic:spPr>
                </pic:pic>
              </a:graphicData>
            </a:graphic>
          </wp:inline>
        </w:drawing>
      </w:r>
      <w:r w:rsidR="00CF13E7" w:rsidRPr="00B916EC">
        <w:t xml:space="preserve"> </w:t>
      </w:r>
      <w:r w:rsidRPr="00B916EC">
        <w:t xml:space="preserve">PRBs from the set of </w:t>
      </w:r>
      <w:r w:rsidR="00ED3701">
        <w:rPr>
          <w:noProof/>
          <w:position w:val="-10"/>
        </w:rPr>
        <w:drawing>
          <wp:inline distT="0" distB="0" distL="0" distR="0" wp14:anchorId="3C0F4801" wp14:editId="758C0F63">
            <wp:extent cx="276225" cy="180975"/>
            <wp:effectExtent l="0" t="0" r="0" b="0"/>
            <wp:docPr id="2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008141AE" w:rsidRPr="00B916EC">
        <w:t xml:space="preserve"> </w:t>
      </w:r>
      <w:r w:rsidRPr="00B916EC">
        <w:t xml:space="preserve">PRBs, a </w:t>
      </w:r>
      <w:r w:rsidRPr="00B916EC">
        <w:lastRenderedPageBreak/>
        <w:t xml:space="preserve">second bit in the pair of bits </w:t>
      </w:r>
      <w:r w:rsidR="008141AE" w:rsidRPr="00B916EC">
        <w:t xml:space="preserve">for the symbol group </w:t>
      </w:r>
      <w:r w:rsidRPr="00B916EC">
        <w:t xml:space="preserve">is </w:t>
      </w:r>
      <w:r w:rsidR="008141AE" w:rsidRPr="00B916EC">
        <w:t xml:space="preserve">applicable to </w:t>
      </w:r>
      <w:r w:rsidR="00CF13E7" w:rsidRPr="00B916EC">
        <w:t>the</w:t>
      </w:r>
      <w:r w:rsidRPr="00B916EC">
        <w:t xml:space="preserve"> subset of </w:t>
      </w:r>
      <w:r w:rsidR="00CF13E7" w:rsidRPr="00B916EC">
        <w:t xml:space="preserve">last </w:t>
      </w:r>
      <w:r w:rsidR="00ED3701">
        <w:rPr>
          <w:noProof/>
          <w:position w:val="-10"/>
        </w:rPr>
        <w:drawing>
          <wp:inline distT="0" distB="0" distL="0" distR="0" wp14:anchorId="314A1F10" wp14:editId="44F11967">
            <wp:extent cx="466725" cy="180975"/>
            <wp:effectExtent l="0" t="0" r="0" b="0"/>
            <wp:docPr id="2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466725" cy="180975"/>
                    </a:xfrm>
                    <a:prstGeom prst="rect">
                      <a:avLst/>
                    </a:prstGeom>
                    <a:noFill/>
                    <a:ln>
                      <a:noFill/>
                    </a:ln>
                  </pic:spPr>
                </pic:pic>
              </a:graphicData>
            </a:graphic>
          </wp:inline>
        </w:drawing>
      </w:r>
      <w:r w:rsidRPr="00B916EC">
        <w:t xml:space="preserve"> PRBs from the set of </w:t>
      </w:r>
      <w:r w:rsidR="00ED3701">
        <w:rPr>
          <w:noProof/>
          <w:position w:val="-10"/>
        </w:rPr>
        <w:drawing>
          <wp:inline distT="0" distB="0" distL="0" distR="0" wp14:anchorId="03967458" wp14:editId="07CC4A9D">
            <wp:extent cx="276225" cy="180975"/>
            <wp:effectExtent l="0" t="0" r="0" b="0"/>
            <wp:docPr id="2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008141AE" w:rsidRPr="00B916EC">
        <w:t xml:space="preserve"> </w:t>
      </w:r>
      <w:r w:rsidRPr="00B916EC">
        <w:t xml:space="preserve">PRBs, </w:t>
      </w:r>
      <w:r w:rsidR="003410C3" w:rsidRPr="00B916EC">
        <w:t>a</w:t>
      </w:r>
      <w:r w:rsidR="00525EBA" w:rsidRPr="00B916EC">
        <w:t xml:space="preserve"> bit value </w:t>
      </w:r>
      <w:r w:rsidR="003410C3" w:rsidRPr="00B916EC">
        <w:t xml:space="preserve">of 0 </w:t>
      </w:r>
      <w:r w:rsidR="00525EBA" w:rsidRPr="00B916EC">
        <w:t>indicates transmission</w:t>
      </w:r>
      <w:r w:rsidR="00525EBA" w:rsidRPr="00B916EC">
        <w:rPr>
          <w:lang w:val="en-US"/>
        </w:rPr>
        <w:t xml:space="preserve"> to the UE in the corresponding symbol</w:t>
      </w:r>
      <w:r w:rsidR="00525EBA" w:rsidRPr="00B916EC">
        <w:t xml:space="preserve"> </w:t>
      </w:r>
      <w:r w:rsidRPr="00B916EC">
        <w:t>group and subset of PRBs,</w:t>
      </w:r>
      <w:r w:rsidR="00525EBA" w:rsidRPr="00B916EC">
        <w:t xml:space="preserve"> </w:t>
      </w:r>
      <w:r w:rsidR="003410C3" w:rsidRPr="00B916EC">
        <w:t>and a</w:t>
      </w:r>
      <w:r w:rsidR="00525EBA" w:rsidRPr="00B916EC">
        <w:t xml:space="preserve"> bit value </w:t>
      </w:r>
      <w:r w:rsidR="003410C3" w:rsidRPr="00B916EC">
        <w:t xml:space="preserve">of 1 </w:t>
      </w:r>
      <w:r w:rsidR="00525EBA" w:rsidRPr="00B916EC">
        <w:t xml:space="preserve">indicates no transmission to the UE in the corresponding symbol </w:t>
      </w:r>
      <w:r w:rsidRPr="00B916EC">
        <w:t>group and subset of PRBs.</w:t>
      </w:r>
    </w:p>
    <w:p w14:paraId="6FC76659" w14:textId="77777777" w:rsidR="00AA22CF" w:rsidRPr="00E94087" w:rsidRDefault="00AA22CF" w:rsidP="00AA22CF">
      <w:pPr>
        <w:pStyle w:val="Heading2"/>
      </w:pPr>
      <w:bookmarkStart w:id="757" w:name="_Toc29894870"/>
      <w:bookmarkStart w:id="758" w:name="_Toc29899169"/>
      <w:bookmarkStart w:id="759" w:name="_Toc29899587"/>
      <w:bookmarkStart w:id="760" w:name="_Toc29917321"/>
      <w:bookmarkStart w:id="761" w:name="_Toc36498195"/>
      <w:bookmarkStart w:id="762" w:name="_Toc45699223"/>
      <w:bookmarkStart w:id="763" w:name="_Toc161999156"/>
      <w:r w:rsidRPr="00EE027F">
        <w:rPr>
          <w:lang w:eastAsia="zh-CN"/>
        </w:rPr>
        <w:t>11.</w:t>
      </w:r>
      <w:r>
        <w:rPr>
          <w:lang w:eastAsia="zh-CN"/>
        </w:rPr>
        <w:t>2A</w:t>
      </w:r>
      <w:r w:rsidRPr="00E94087">
        <w:rPr>
          <w:lang w:eastAsia="zh-CN"/>
        </w:rPr>
        <w:tab/>
        <w:t>Cancellation indication</w:t>
      </w:r>
      <w:bookmarkEnd w:id="757"/>
      <w:bookmarkEnd w:id="758"/>
      <w:bookmarkEnd w:id="759"/>
      <w:bookmarkEnd w:id="760"/>
      <w:bookmarkEnd w:id="761"/>
      <w:bookmarkEnd w:id="762"/>
      <w:bookmarkEnd w:id="763"/>
    </w:p>
    <w:p w14:paraId="4FAE6A27" w14:textId="6A71DD14" w:rsidR="00AA22CF" w:rsidRPr="00E94087" w:rsidRDefault="00AA22CF" w:rsidP="00AA22CF">
      <w:pPr>
        <w:rPr>
          <w:lang w:val="en-US"/>
        </w:rPr>
      </w:pPr>
      <w:r w:rsidRPr="00E94087">
        <w:rPr>
          <w:lang w:eastAsia="zh-CN"/>
        </w:rPr>
        <w:t xml:space="preserve">If a UE is provided </w:t>
      </w:r>
      <w:r w:rsidRPr="00E94087">
        <w:rPr>
          <w:i/>
        </w:rPr>
        <w:t>UplinkCancellation</w:t>
      </w:r>
      <w:r w:rsidRPr="00E94087">
        <w:rPr>
          <w:lang w:val="en-US"/>
        </w:rPr>
        <w:t>, the UE is provided</w:t>
      </w:r>
      <w:r w:rsidR="002B0BCC">
        <w:rPr>
          <w:lang w:val="en-US"/>
        </w:rPr>
        <w:t>, in one or more serving cells, search space set</w:t>
      </w:r>
      <w:r w:rsidR="004C3224">
        <w:rPr>
          <w:lang w:val="en-US"/>
        </w:rPr>
        <w:t>s</w:t>
      </w:r>
      <w:r w:rsidR="002B0BCC">
        <w:rPr>
          <w:lang w:val="en-US"/>
        </w:rPr>
        <w:t xml:space="preserve"> </w:t>
      </w:r>
      <w:r w:rsidRPr="00E94087">
        <w:rPr>
          <w:lang w:val="en-US"/>
        </w:rPr>
        <w:t xml:space="preserve">for monitoring </w:t>
      </w:r>
      <w:r w:rsidR="002B0BCC">
        <w:rPr>
          <w:lang w:val="en-US"/>
        </w:rPr>
        <w:t xml:space="preserve">the first </w:t>
      </w:r>
      <w:r w:rsidRPr="00E94087">
        <w:rPr>
          <w:lang w:val="en-US"/>
        </w:rPr>
        <w:t xml:space="preserve">PDCCH candidate </w:t>
      </w:r>
      <w:r w:rsidR="002B0BCC">
        <w:t xml:space="preserve">with a CCE aggregation level of </w:t>
      </w:r>
      <m:oMath>
        <m:sSub>
          <m:sSubPr>
            <m:ctrlPr>
              <w:rPr>
                <w:rFonts w:ascii="Cambria Math" w:hAnsi="Cambria Math"/>
                <w:i/>
                <w:iCs/>
                <w:sz w:val="24"/>
                <w:szCs w:val="24"/>
              </w:rPr>
            </m:ctrlPr>
          </m:sSubPr>
          <m:e>
            <m:r>
              <w:rPr>
                <w:rFonts w:ascii="Cambria Math" w:hAnsi="Cambria Math"/>
              </w:rPr>
              <m:t>L</m:t>
            </m:r>
          </m:e>
          <m:sub>
            <m:r>
              <w:rPr>
                <w:rFonts w:ascii="Cambria Math" w:hAnsi="Cambria Math"/>
              </w:rPr>
              <m:t>CI</m:t>
            </m:r>
          </m:sub>
        </m:sSub>
      </m:oMath>
      <w:r w:rsidR="002B0BCC">
        <w:t xml:space="preserve"> CCEs </w:t>
      </w:r>
      <w:r w:rsidR="002B0BCC">
        <w:rPr>
          <w:lang w:val="en-US"/>
        </w:rPr>
        <w:t xml:space="preserve">of </w:t>
      </w:r>
      <w:r w:rsidR="004C3224">
        <w:rPr>
          <w:lang w:val="en-US"/>
        </w:rPr>
        <w:t xml:space="preserve">each </w:t>
      </w:r>
      <w:r w:rsidR="002B0BCC">
        <w:rPr>
          <w:lang w:val="en-US"/>
        </w:rPr>
        <w:t xml:space="preserve">search space set </w:t>
      </w:r>
      <w:r w:rsidRPr="00E94087">
        <w:rPr>
          <w:lang w:val="en-US"/>
        </w:rPr>
        <w:t xml:space="preserve">for </w:t>
      </w:r>
      <w:r w:rsidR="002B0BCC">
        <w:rPr>
          <w:lang w:val="en-US"/>
        </w:rPr>
        <w:t xml:space="preserve">detection of </w:t>
      </w:r>
      <w:r w:rsidRPr="00E94087">
        <w:rPr>
          <w:lang w:val="en-US"/>
        </w:rPr>
        <w:t>a DCI format 2_4 [5, TS 38.212]</w:t>
      </w:r>
      <w:r w:rsidR="002B0BCC" w:rsidRPr="002B0BCC">
        <w:rPr>
          <w:lang w:val="en-US"/>
        </w:rPr>
        <w:t xml:space="preserve"> </w:t>
      </w:r>
      <w:r w:rsidR="002B0BCC">
        <w:rPr>
          <w:lang w:val="en-US"/>
        </w:rPr>
        <w:t xml:space="preserve">with </w:t>
      </w:r>
      <w:r w:rsidR="002B0BCC">
        <w:t xml:space="preserve">a </w:t>
      </w:r>
      <w:r w:rsidR="002B0BCC">
        <w:rPr>
          <w:lang w:val="en-US"/>
        </w:rPr>
        <w:t xml:space="preserve">CI-RNTI provided by </w:t>
      </w:r>
      <w:r w:rsidR="002B0BCC">
        <w:rPr>
          <w:i/>
          <w:lang w:val="en-US"/>
        </w:rPr>
        <w:t>ci-RNTI</w:t>
      </w:r>
      <w:r w:rsidR="002B0BCC">
        <w:rPr>
          <w:lang w:val="en-US"/>
        </w:rPr>
        <w:t xml:space="preserve"> as described </w:t>
      </w:r>
      <w:r w:rsidR="006F5F9E">
        <w:rPr>
          <w:lang w:val="en-US"/>
        </w:rPr>
        <w:t>in clause</w:t>
      </w:r>
      <w:r w:rsidR="002B0BCC">
        <w:rPr>
          <w:lang w:val="en-US"/>
        </w:rPr>
        <w:t xml:space="preserve"> 10.1</w:t>
      </w:r>
      <w:r w:rsidRPr="00E94087">
        <w:rPr>
          <w:lang w:val="en-US"/>
        </w:rPr>
        <w:t xml:space="preserve">. </w:t>
      </w:r>
      <w:r w:rsidRPr="00E94087">
        <w:rPr>
          <w:i/>
        </w:rPr>
        <w:t>UplinkCancellation</w:t>
      </w:r>
      <w:r w:rsidRPr="00E94087">
        <w:rPr>
          <w:lang w:val="en-US"/>
        </w:rPr>
        <w:t xml:space="preserve"> additionally provides to the UE </w:t>
      </w:r>
    </w:p>
    <w:p w14:paraId="712B43E4" w14:textId="77777777" w:rsidR="00AA22CF" w:rsidRPr="00E94087" w:rsidRDefault="00AA22CF" w:rsidP="00AA22CF">
      <w:pPr>
        <w:pStyle w:val="B1"/>
        <w:rPr>
          <w:i/>
        </w:rPr>
      </w:pPr>
      <w:r w:rsidRPr="00E94087">
        <w:t>-</w:t>
      </w:r>
      <w:r w:rsidRPr="00E94087">
        <w:tab/>
        <w:t xml:space="preserve">a set of serving cells, by </w:t>
      </w:r>
      <w:r w:rsidRPr="00E94087">
        <w:rPr>
          <w:i/>
        </w:rPr>
        <w:t>ci-ConfigurationPerServingCell</w:t>
      </w:r>
      <w:r w:rsidRPr="00E94087">
        <w:rPr>
          <w:iCs/>
        </w:rPr>
        <w:t>,</w:t>
      </w:r>
      <w:r w:rsidRPr="00E94087">
        <w:rPr>
          <w:i/>
        </w:rPr>
        <w:t xml:space="preserve"> </w:t>
      </w:r>
      <w:r w:rsidRPr="00E94087">
        <w:t xml:space="preserve">that includes a set of serving cell indexes and a corresponding set of locations for fields in DCI format 2_4 by </w:t>
      </w:r>
      <w:r w:rsidRPr="00E94087">
        <w:rPr>
          <w:i/>
        </w:rPr>
        <w:t>positionInDCI</w:t>
      </w:r>
    </w:p>
    <w:p w14:paraId="23D866FC" w14:textId="25C13DC7" w:rsidR="00AA22CF" w:rsidRPr="00E94087" w:rsidRDefault="00AA22CF" w:rsidP="00AA22CF">
      <w:pPr>
        <w:pStyle w:val="B1"/>
        <w:rPr>
          <w:i/>
        </w:rPr>
      </w:pPr>
      <w:r w:rsidRPr="00E94087">
        <w:t>-</w:t>
      </w:r>
      <w:r w:rsidRPr="00E94087">
        <w:tab/>
        <w:t xml:space="preserve">a number of fields in DCI format 2_4, </w:t>
      </w:r>
      <w:r w:rsidRPr="00E94087">
        <w:rPr>
          <w:szCs w:val="22"/>
        </w:rPr>
        <w:t xml:space="preserve">by </w:t>
      </w:r>
      <w:r w:rsidRPr="00E94087">
        <w:rPr>
          <w:i/>
          <w:iCs/>
          <w:szCs w:val="22"/>
        </w:rPr>
        <w:t>positionInDCI-forSUL</w:t>
      </w:r>
      <w:r w:rsidRPr="00E94087">
        <w:t>, for each serving cell for a SUL carrier, if the serving cell is configured with a SUL carrier</w:t>
      </w:r>
    </w:p>
    <w:p w14:paraId="7D84FA5D" w14:textId="7B7BA8BA" w:rsidR="00AA22CF" w:rsidRPr="00E94087" w:rsidRDefault="00AA22CF" w:rsidP="00AA22CF">
      <w:pPr>
        <w:pStyle w:val="B1"/>
      </w:pPr>
      <w:r w:rsidRPr="00E94087">
        <w:t>-</w:t>
      </w:r>
      <w:r w:rsidRPr="00E94087">
        <w:tab/>
        <w:t xml:space="preserve">an information payload size for DCI format 2_4 by </w:t>
      </w:r>
      <w:r w:rsidRPr="00E94087">
        <w:rPr>
          <w:i/>
        </w:rPr>
        <w:t>dci-PayloadSize-</w:t>
      </w:r>
      <w:r w:rsidR="0023606D">
        <w:rPr>
          <w:i/>
          <w:lang w:val="en-US"/>
        </w:rPr>
        <w:t>F</w:t>
      </w:r>
      <w:r w:rsidR="0023606D" w:rsidRPr="00E94087">
        <w:rPr>
          <w:i/>
        </w:rPr>
        <w:t>orCI</w:t>
      </w:r>
    </w:p>
    <w:p w14:paraId="7185C056" w14:textId="77777777" w:rsidR="00AA22CF" w:rsidRPr="00E94087" w:rsidRDefault="00AA22CF" w:rsidP="00AA22CF">
      <w:pPr>
        <w:pStyle w:val="B1"/>
      </w:pPr>
      <w:r w:rsidRPr="00E94087">
        <w:t>-</w:t>
      </w:r>
      <w:r w:rsidRPr="00E94087">
        <w:tab/>
        <w:t xml:space="preserve">an indication for time-frequency resources by </w:t>
      </w:r>
      <w:r w:rsidRPr="00E94087">
        <w:rPr>
          <w:i/>
        </w:rPr>
        <w:t>timeFrequencyRegion</w:t>
      </w:r>
    </w:p>
    <w:p w14:paraId="33309B81" w14:textId="0352FD1D" w:rsidR="00AA22CF" w:rsidRPr="00E94087" w:rsidRDefault="00AA22CF" w:rsidP="00AA22CF">
      <w:pPr>
        <w:rPr>
          <w:rFonts w:eastAsia="MS Mincho"/>
        </w:rPr>
      </w:pPr>
      <w:r w:rsidRPr="00E94087">
        <w:rPr>
          <w:rFonts w:eastAsia="MS Mincho"/>
        </w:rPr>
        <w:t xml:space="preserve">For a serving cell having an associated field in </w:t>
      </w:r>
      <w:r w:rsidR="002B0BCC">
        <w:rPr>
          <w:rFonts w:eastAsia="MS Mincho"/>
        </w:rPr>
        <w:t xml:space="preserve">a </w:t>
      </w:r>
      <w:r w:rsidRPr="00E94087">
        <w:rPr>
          <w:rFonts w:eastAsia="MS Mincho"/>
        </w:rPr>
        <w:t xml:space="preserve">DCI format 2_4, for the field denote by </w:t>
      </w:r>
    </w:p>
    <w:p w14:paraId="6ACA6BDE" w14:textId="1FFD58EC" w:rsidR="00AA22CF" w:rsidRPr="00E94087" w:rsidRDefault="00AA22CF" w:rsidP="00AA22CF">
      <w:pPr>
        <w:pStyle w:val="B1"/>
      </w:pPr>
      <w:r w:rsidRPr="00E94087">
        <w:t>-</w:t>
      </w:r>
      <w:r w:rsidRPr="00E94087">
        <w:tab/>
      </w:r>
      <m:oMath>
        <m:sSub>
          <m:sSubPr>
            <m:ctrlPr>
              <w:rPr>
                <w:rFonts w:ascii="Cambria Math" w:hAnsi="Cambria Math"/>
                <w:i/>
              </w:rPr>
            </m:ctrlPr>
          </m:sSubPr>
          <m:e>
            <m:r>
              <w:rPr>
                <w:rFonts w:ascii="Cambria Math"/>
              </w:rPr>
              <m:t>N</m:t>
            </m:r>
          </m:e>
          <m:sub>
            <m:r>
              <m:rPr>
                <m:nor/>
              </m:rPr>
              <w:rPr>
                <w:rFonts w:ascii="Cambria Math"/>
              </w:rPr>
              <m:t>CI</m:t>
            </m:r>
            <m:ctrlPr>
              <w:rPr>
                <w:rFonts w:ascii="Cambria Math" w:hAnsi="Cambria Math"/>
              </w:rPr>
            </m:ctrlPr>
          </m:sub>
        </m:sSub>
      </m:oMath>
      <w:r w:rsidRPr="00E94087">
        <w:t xml:space="preserve"> a number of bits provided by </w:t>
      </w:r>
      <w:r w:rsidR="0023606D">
        <w:rPr>
          <w:i/>
          <w:lang w:val="en-US"/>
        </w:rPr>
        <w:t>ci</w:t>
      </w:r>
      <w:r w:rsidRPr="00E94087">
        <w:rPr>
          <w:i/>
        </w:rPr>
        <w:t>-PayloadSize</w:t>
      </w:r>
    </w:p>
    <w:p w14:paraId="729912D7" w14:textId="77777777" w:rsidR="00AA22CF" w:rsidRPr="00E94087" w:rsidRDefault="00AA22CF" w:rsidP="00AA22CF">
      <w:pPr>
        <w:pStyle w:val="B1"/>
        <w:rPr>
          <w:iCs/>
        </w:rPr>
      </w:pPr>
      <w:r w:rsidRPr="00E94087">
        <w:t>-</w:t>
      </w:r>
      <w:r w:rsidRPr="00E94087">
        <w:tab/>
      </w:r>
      <m:oMath>
        <m:sSub>
          <m:sSubPr>
            <m:ctrlPr>
              <w:rPr>
                <w:rFonts w:ascii="Cambria Math" w:hAnsi="Cambria Math"/>
                <w:i/>
              </w:rPr>
            </m:ctrlPr>
          </m:sSubPr>
          <m:e>
            <m:r>
              <w:rPr>
                <w:rFonts w:ascii="Cambria Math"/>
              </w:rPr>
              <m:t>B</m:t>
            </m:r>
          </m:e>
          <m:sub>
            <m:r>
              <m:rPr>
                <m:nor/>
              </m:rPr>
              <w:rPr>
                <w:rFonts w:ascii="Cambria Math"/>
              </w:rPr>
              <m:t>CI</m:t>
            </m:r>
            <m:ctrlPr>
              <w:rPr>
                <w:rFonts w:ascii="Cambria Math" w:hAnsi="Cambria Math"/>
              </w:rPr>
            </m:ctrlPr>
          </m:sub>
        </m:sSub>
      </m:oMath>
      <w:r w:rsidRPr="00E94087">
        <w:t xml:space="preserve"> a number of PRBs provided by </w:t>
      </w:r>
      <w:r w:rsidRPr="00E94087">
        <w:rPr>
          <w:i/>
          <w:iCs/>
          <w:lang w:eastAsia="zh-CN"/>
        </w:rPr>
        <w:t>frequencyRegionforCI</w:t>
      </w:r>
      <w:r w:rsidRPr="00E94087">
        <w:rPr>
          <w:lang w:eastAsia="zh-CN"/>
        </w:rPr>
        <w:t xml:space="preserve"> in </w:t>
      </w:r>
      <w:r w:rsidRPr="00E94087">
        <w:rPr>
          <w:i/>
        </w:rPr>
        <w:t>timeFrequencyRegion</w:t>
      </w:r>
    </w:p>
    <w:p w14:paraId="088BA1D8" w14:textId="77777777" w:rsidR="00341C11" w:rsidRDefault="00AA22CF" w:rsidP="00341C11">
      <w:pPr>
        <w:pStyle w:val="B1"/>
        <w:rPr>
          <w:lang w:val="en-US" w:eastAsia="zh-CN"/>
        </w:rPr>
      </w:pPr>
      <w:r w:rsidRPr="00E94087">
        <w:t>-</w:t>
      </w:r>
      <w:r w:rsidRPr="00E94087">
        <w:tab/>
      </w:r>
      <m:oMath>
        <m:sSub>
          <m:sSubPr>
            <m:ctrlPr>
              <w:rPr>
                <w:rFonts w:ascii="Cambria Math" w:hAnsi="Cambria Math"/>
                <w:i/>
              </w:rPr>
            </m:ctrlPr>
          </m:sSubPr>
          <m:e>
            <m:r>
              <w:rPr>
                <w:rFonts w:ascii="Cambria Math"/>
              </w:rPr>
              <m:t>T</m:t>
            </m:r>
          </m:e>
          <m:sub>
            <m:r>
              <m:rPr>
                <m:nor/>
              </m:rPr>
              <w:rPr>
                <w:rFonts w:ascii="Cambria Math"/>
              </w:rPr>
              <m:t>CI</m:t>
            </m:r>
            <m:ctrlPr>
              <w:rPr>
                <w:rFonts w:ascii="Cambria Math" w:hAnsi="Cambria Math"/>
              </w:rPr>
            </m:ctrlPr>
          </m:sub>
        </m:sSub>
      </m:oMath>
      <w:r w:rsidRPr="00E94087">
        <w:t xml:space="preserve"> a number of symbols, excluding symbols for reception of SS/PBCH blocks and DL symbols indicated by </w:t>
      </w:r>
      <w:r w:rsidRPr="00E94087">
        <w:rPr>
          <w:i/>
          <w:lang w:eastAsia="zh-CN"/>
        </w:rPr>
        <w:t>tdd-UL-DL-ConfigurationCommon</w:t>
      </w:r>
      <w:r w:rsidRPr="00E94087">
        <w:rPr>
          <w:lang w:eastAsia="zh-CN"/>
        </w:rPr>
        <w:t>,</w:t>
      </w:r>
      <w:r w:rsidR="00341C11">
        <w:rPr>
          <w:lang w:val="en-US" w:eastAsia="zh-CN"/>
        </w:rPr>
        <w:t xml:space="preserve"> from a number of symbols that</w:t>
      </w:r>
    </w:p>
    <w:p w14:paraId="37A901AE" w14:textId="77777777" w:rsidR="00341C11" w:rsidRDefault="00341C11" w:rsidP="00CE0840">
      <w:pPr>
        <w:pStyle w:val="B2"/>
        <w:rPr>
          <w:lang w:val="en-US" w:eastAsia="ko-KR"/>
        </w:rPr>
      </w:pPr>
      <w:r>
        <w:t>-</w:t>
      </w:r>
      <w:r>
        <w:tab/>
      </w:r>
      <w:r>
        <w:rPr>
          <w:lang w:val="en-US"/>
        </w:rPr>
        <w:t xml:space="preserve">is </w:t>
      </w:r>
      <w:r w:rsidR="00AA22CF" w:rsidRPr="00E94087">
        <w:t xml:space="preserve">provided by </w:t>
      </w:r>
      <w:r w:rsidR="00AA22CF" w:rsidRPr="00E94087">
        <w:rPr>
          <w:i/>
          <w:iCs/>
          <w:lang w:eastAsia="zh-CN"/>
        </w:rPr>
        <w:t>timeDurationforCI</w:t>
      </w:r>
      <w:r w:rsidR="00AA22CF" w:rsidRPr="00E94087">
        <w:rPr>
          <w:lang w:eastAsia="zh-CN"/>
        </w:rPr>
        <w:t xml:space="preserve"> in </w:t>
      </w:r>
      <w:r w:rsidR="00AA22CF" w:rsidRPr="00E94087">
        <w:rPr>
          <w:i/>
        </w:rPr>
        <w:t>timeFrequencyRegion</w:t>
      </w:r>
      <w:r>
        <w:rPr>
          <w:iCs/>
          <w:lang w:val="en-US"/>
        </w:rPr>
        <w:t xml:space="preserve">, </w:t>
      </w:r>
      <w:r>
        <w:rPr>
          <w:lang w:eastAsia="ko-KR"/>
        </w:rPr>
        <w:t xml:space="preserve">if the </w:t>
      </w:r>
      <w:r>
        <w:rPr>
          <w:lang w:val="en-US" w:eastAsia="ko-KR"/>
        </w:rPr>
        <w:t>PDCCH</w:t>
      </w:r>
      <w:r>
        <w:rPr>
          <w:lang w:eastAsia="ko-KR"/>
        </w:rPr>
        <w:t xml:space="preserve"> monitoring periodicity</w:t>
      </w:r>
      <w:r>
        <w:rPr>
          <w:lang w:val="en-US" w:eastAsia="ko-KR"/>
        </w:rPr>
        <w:t xml:space="preserve"> for the search space set with the DCI format 2_4 </w:t>
      </w:r>
      <w:r>
        <w:rPr>
          <w:lang w:eastAsia="ko-KR"/>
        </w:rPr>
        <w:t xml:space="preserve">is </w:t>
      </w:r>
      <w:r>
        <w:rPr>
          <w:lang w:val="en-US" w:eastAsia="ko-KR"/>
        </w:rPr>
        <w:t>one</w:t>
      </w:r>
      <w:r>
        <w:rPr>
          <w:lang w:eastAsia="ko-KR"/>
        </w:rPr>
        <w:t xml:space="preserve"> slot </w:t>
      </w:r>
      <w:r>
        <w:rPr>
          <w:lang w:val="en-US" w:eastAsia="ko-KR"/>
        </w:rPr>
        <w:t>and there are</w:t>
      </w:r>
      <w:r>
        <w:rPr>
          <w:lang w:eastAsia="ko-KR"/>
        </w:rPr>
        <w:t xml:space="preserve"> more than one </w:t>
      </w:r>
      <w:r>
        <w:rPr>
          <w:lang w:val="en-US" w:eastAsia="ko-KR"/>
        </w:rPr>
        <w:t xml:space="preserve">PDCCH </w:t>
      </w:r>
      <w:r>
        <w:rPr>
          <w:lang w:eastAsia="ko-KR"/>
        </w:rPr>
        <w:t>monitoring occasions</w:t>
      </w:r>
      <w:r>
        <w:rPr>
          <w:lang w:val="en-US" w:eastAsia="ko-KR"/>
        </w:rPr>
        <w:t xml:space="preserve"> in a slot, or</w:t>
      </w:r>
    </w:p>
    <w:p w14:paraId="7574B139" w14:textId="69B24481" w:rsidR="00AA22CF" w:rsidRPr="00E94087" w:rsidRDefault="00341C11" w:rsidP="00CE0840">
      <w:pPr>
        <w:pStyle w:val="B2"/>
        <w:rPr>
          <w:iCs/>
        </w:rPr>
      </w:pPr>
      <w:r>
        <w:t>-</w:t>
      </w:r>
      <w:r>
        <w:tab/>
      </w:r>
      <w:r>
        <w:rPr>
          <w:lang w:val="en-US"/>
        </w:rPr>
        <w:t>is equal</w:t>
      </w:r>
      <w:r>
        <w:t xml:space="preserve"> </w:t>
      </w:r>
      <w:r>
        <w:rPr>
          <w:lang w:val="en-US"/>
        </w:rPr>
        <w:t>to the PDCCH monitoring periodicity, otherwise.</w:t>
      </w:r>
    </w:p>
    <w:p w14:paraId="18BFBFEF" w14:textId="77777777" w:rsidR="00AA22CF" w:rsidRPr="00E94087" w:rsidRDefault="00AA22CF" w:rsidP="00AA22CF">
      <w:pPr>
        <w:pStyle w:val="B1"/>
        <w:rPr>
          <w:i/>
        </w:rPr>
      </w:pPr>
      <w:r w:rsidRPr="00E94087">
        <w:t>-</w:t>
      </w:r>
      <w:r w:rsidRPr="00E94087">
        <w:tab/>
      </w:r>
      <m:oMath>
        <m:sSub>
          <m:sSubPr>
            <m:ctrlPr>
              <w:rPr>
                <w:rFonts w:ascii="Cambria Math" w:hAnsi="Cambria Math"/>
                <w:i/>
              </w:rPr>
            </m:ctrlPr>
          </m:sSubPr>
          <m:e>
            <m:r>
              <w:rPr>
                <w:rFonts w:ascii="Cambria Math"/>
              </w:rPr>
              <m:t>G</m:t>
            </m:r>
          </m:e>
          <m:sub>
            <m:r>
              <m:rPr>
                <m:nor/>
              </m:rPr>
              <w:rPr>
                <w:rFonts w:ascii="Cambria Math"/>
              </w:rPr>
              <m:t>CI</m:t>
            </m:r>
            <m:ctrlPr>
              <w:rPr>
                <w:rFonts w:ascii="Cambria Math" w:hAnsi="Cambria Math"/>
              </w:rPr>
            </m:ctrlPr>
          </m:sub>
        </m:sSub>
      </m:oMath>
      <w:r w:rsidRPr="00E94087">
        <w:t xml:space="preserve"> a number of partitions for the </w:t>
      </w:r>
      <m:oMath>
        <m:sSub>
          <m:sSubPr>
            <m:ctrlPr>
              <w:rPr>
                <w:rFonts w:ascii="Cambria Math" w:hAnsi="Cambria Math"/>
                <w:i/>
              </w:rPr>
            </m:ctrlPr>
          </m:sSubPr>
          <m:e>
            <m:r>
              <w:rPr>
                <w:rFonts w:ascii="Cambria Math"/>
              </w:rPr>
              <m:t>T</m:t>
            </m:r>
          </m:e>
          <m:sub>
            <m:r>
              <m:rPr>
                <m:nor/>
              </m:rPr>
              <w:rPr>
                <w:rFonts w:ascii="Cambria Math"/>
              </w:rPr>
              <m:t>CI</m:t>
            </m:r>
            <m:ctrlPr>
              <w:rPr>
                <w:rFonts w:ascii="Cambria Math" w:hAnsi="Cambria Math"/>
              </w:rPr>
            </m:ctrlPr>
          </m:sub>
        </m:sSub>
      </m:oMath>
      <w:r w:rsidRPr="00E94087">
        <w:t xml:space="preserve"> symbols provided by </w:t>
      </w:r>
      <w:r w:rsidRPr="00E94087">
        <w:rPr>
          <w:i/>
          <w:iCs/>
          <w:lang w:eastAsia="zh-CN"/>
        </w:rPr>
        <w:t>timeGranularityforCI</w:t>
      </w:r>
      <w:r w:rsidRPr="00E94087">
        <w:rPr>
          <w:lang w:eastAsia="zh-CN"/>
        </w:rPr>
        <w:t xml:space="preserve"> in </w:t>
      </w:r>
      <w:r w:rsidRPr="00E94087">
        <w:rPr>
          <w:i/>
        </w:rPr>
        <w:t>timeFrequencyRegion</w:t>
      </w:r>
    </w:p>
    <w:p w14:paraId="0F3300C7" w14:textId="27FC4325" w:rsidR="00AA22CF" w:rsidRPr="00E94087" w:rsidRDefault="00000000" w:rsidP="00AA22CF">
      <w:pPr>
        <w:rPr>
          <w:lang w:eastAsia="ko-KR"/>
        </w:rPr>
      </w:pPr>
      <m:oMath>
        <m:sSub>
          <m:sSubPr>
            <m:ctrlPr>
              <w:rPr>
                <w:rFonts w:ascii="Cambria Math" w:hAnsi="Cambria Math"/>
                <w:i/>
              </w:rPr>
            </m:ctrlPr>
          </m:sSubPr>
          <m:e>
            <m:r>
              <w:rPr>
                <w:rFonts w:ascii="Cambria Math"/>
              </w:rPr>
              <m:t>G</m:t>
            </m:r>
          </m:e>
          <m:sub>
            <m:r>
              <m:rPr>
                <m:nor/>
              </m:rPr>
              <w:rPr>
                <w:rFonts w:ascii="Cambria Math"/>
              </w:rPr>
              <m:t>CI</m:t>
            </m:r>
            <m:ctrlPr>
              <w:rPr>
                <w:rFonts w:ascii="Cambria Math" w:hAnsi="Cambria Math"/>
              </w:rPr>
            </m:ctrlPr>
          </m:sub>
        </m:sSub>
      </m:oMath>
      <w:r w:rsidR="00AA22CF" w:rsidRPr="00E94087">
        <w:t xml:space="preserve"> sets of bits from the</w:t>
      </w:r>
      <w:r w:rsidR="00341C11">
        <w:t xml:space="preserve"> MSB of the</w:t>
      </w:r>
      <w:r w:rsidR="00AA22CF" w:rsidRPr="00E94087">
        <w:t xml:space="preserve"> </w:t>
      </w:r>
      <m:oMath>
        <m:sSub>
          <m:sSubPr>
            <m:ctrlPr>
              <w:rPr>
                <w:rFonts w:ascii="Cambria Math" w:hAnsi="Cambria Math"/>
                <w:i/>
              </w:rPr>
            </m:ctrlPr>
          </m:sSubPr>
          <m:e>
            <m:r>
              <w:rPr>
                <w:rFonts w:ascii="Cambria Math"/>
              </w:rPr>
              <m:t>N</m:t>
            </m:r>
          </m:e>
          <m:sub>
            <m:r>
              <m:rPr>
                <m:nor/>
              </m:rPr>
              <w:rPr>
                <w:rFonts w:ascii="Cambria Math"/>
              </w:rPr>
              <m:t>CI</m:t>
            </m:r>
            <m:ctrlPr>
              <w:rPr>
                <w:rFonts w:ascii="Cambria Math" w:hAnsi="Cambria Math"/>
              </w:rPr>
            </m:ctrlPr>
          </m:sub>
        </m:sSub>
      </m:oMath>
      <w:r w:rsidR="00AA22CF" w:rsidRPr="00E94087">
        <w:t xml:space="preserve"> bits have a one-to-one mapping with </w:t>
      </w:r>
      <m:oMath>
        <m:sSub>
          <m:sSubPr>
            <m:ctrlPr>
              <w:rPr>
                <w:rFonts w:ascii="Cambria Math" w:hAnsi="Cambria Math"/>
                <w:i/>
              </w:rPr>
            </m:ctrlPr>
          </m:sSubPr>
          <m:e>
            <m:r>
              <w:rPr>
                <w:rFonts w:ascii="Cambria Math"/>
              </w:rPr>
              <m:t>G</m:t>
            </m:r>
          </m:e>
          <m:sub>
            <m:r>
              <m:rPr>
                <m:nor/>
              </m:rPr>
              <w:rPr>
                <w:rFonts w:ascii="Cambria Math"/>
              </w:rPr>
              <m:t>CI</m:t>
            </m:r>
            <m:ctrlPr>
              <w:rPr>
                <w:rFonts w:ascii="Cambria Math" w:hAnsi="Cambria Math"/>
              </w:rPr>
            </m:ctrlPr>
          </m:sub>
        </m:sSub>
      </m:oMath>
      <w:r w:rsidR="00AA22CF" w:rsidRPr="00E94087">
        <w:t xml:space="preserve"> groups of symbols where each of the first </w:t>
      </w:r>
      <m:oMath>
        <m:sSub>
          <m:sSubPr>
            <m:ctrlPr>
              <w:rPr>
                <w:rFonts w:ascii="Cambria Math" w:hAnsi="Cambria Math"/>
                <w:i/>
              </w:rPr>
            </m:ctrlPr>
          </m:sSubPr>
          <m:e>
            <m:r>
              <w:rPr>
                <w:rFonts w:ascii="Cambria Math"/>
              </w:rPr>
              <m:t>G</m:t>
            </m:r>
          </m:e>
          <m:sub>
            <m:r>
              <m:rPr>
                <m:nor/>
              </m:rPr>
              <w:rPr>
                <w:rFonts w:ascii="Cambria Math"/>
              </w:rPr>
              <m:t>CI</m:t>
            </m:r>
            <m:ctrlPr>
              <w:rPr>
                <w:rFonts w:ascii="Cambria Math" w:hAnsi="Cambria Math"/>
              </w:rPr>
            </m:ctrlPr>
          </m:sub>
        </m:sSub>
        <m:r>
          <w:rPr>
            <w:rFonts w:ascii="Cambria Math"/>
          </w:rPr>
          <m:t>-</m:t>
        </m:r>
        <m:sSub>
          <m:sSubPr>
            <m:ctrlPr>
              <w:rPr>
                <w:rFonts w:ascii="Cambria Math" w:hAnsi="Cambria Math"/>
                <w:i/>
              </w:rPr>
            </m:ctrlPr>
          </m:sSubPr>
          <m:e>
            <m:r>
              <w:rPr>
                <w:rFonts w:ascii="Cambria Math"/>
              </w:rPr>
              <m:t>T</m:t>
            </m:r>
          </m:e>
          <m:sub>
            <m:r>
              <m:rPr>
                <m:nor/>
              </m:rPr>
              <w:rPr>
                <w:rFonts w:ascii="Cambria Math"/>
              </w:rPr>
              <m:t>CI</m:t>
            </m:r>
            <m:ctrlPr>
              <w:rPr>
                <w:rFonts w:ascii="Cambria Math" w:hAnsi="Cambria Math"/>
              </w:rPr>
            </m:ctrlPr>
          </m:sub>
        </m:sSub>
        <m:r>
          <w:rPr>
            <w:rFonts w:ascii="Cambria Math"/>
          </w:rPr>
          <m:t>+</m:t>
        </m:r>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rPr>
                      <m:t>T</m:t>
                    </m:r>
                  </m:e>
                  <m:sub>
                    <m:r>
                      <m:rPr>
                        <m:nor/>
                      </m:rPr>
                      <w:rPr>
                        <w:rFonts w:ascii="Cambria Math"/>
                      </w:rPr>
                      <m:t>CI</m:t>
                    </m:r>
                    <m:ctrlPr>
                      <w:rPr>
                        <w:rFonts w:ascii="Cambria Math" w:hAnsi="Cambria Math"/>
                      </w:rPr>
                    </m:ctrlPr>
                  </m:sub>
                </m:sSub>
              </m:num>
              <m:den>
                <m:sSub>
                  <m:sSubPr>
                    <m:ctrlPr>
                      <w:rPr>
                        <w:rFonts w:ascii="Cambria Math" w:hAnsi="Cambria Math"/>
                        <w:i/>
                      </w:rPr>
                    </m:ctrlPr>
                  </m:sSubPr>
                  <m:e>
                    <m:r>
                      <w:rPr>
                        <w:rFonts w:ascii="Cambria Math"/>
                      </w:rPr>
                      <m:t>G</m:t>
                    </m:r>
                  </m:e>
                  <m:sub>
                    <m:r>
                      <m:rPr>
                        <m:nor/>
                      </m:rPr>
                      <w:rPr>
                        <w:rFonts w:ascii="Cambria Math"/>
                      </w:rPr>
                      <m:t>CI</m:t>
                    </m:r>
                    <m:ctrlPr>
                      <w:rPr>
                        <w:rFonts w:ascii="Cambria Math" w:hAnsi="Cambria Math"/>
                      </w:rPr>
                    </m:ctrlPr>
                  </m:sub>
                </m:sSub>
              </m:den>
            </m:f>
          </m:e>
        </m:d>
        <m:r>
          <w:rPr>
            <w:rFonts w:ascii="Cambria Math" w:hAnsi="Cambria Math" w:cs="Cambria Math"/>
          </w:rPr>
          <m:t>⋅</m:t>
        </m:r>
        <m:sSub>
          <m:sSubPr>
            <m:ctrlPr>
              <w:rPr>
                <w:rFonts w:ascii="Cambria Math" w:hAnsi="Cambria Math"/>
                <w:i/>
              </w:rPr>
            </m:ctrlPr>
          </m:sSubPr>
          <m:e>
            <m:r>
              <w:rPr>
                <w:rFonts w:ascii="Cambria Math"/>
              </w:rPr>
              <m:t>G</m:t>
            </m:r>
          </m:e>
          <m:sub>
            <m:r>
              <m:rPr>
                <m:nor/>
              </m:rPr>
              <w:rPr>
                <w:rFonts w:ascii="Cambria Math"/>
              </w:rPr>
              <m:t>CI</m:t>
            </m:r>
            <m:ctrlPr>
              <w:rPr>
                <w:rFonts w:ascii="Cambria Math" w:hAnsi="Cambria Math"/>
              </w:rPr>
            </m:ctrlPr>
          </m:sub>
        </m:sSub>
      </m:oMath>
      <w:r w:rsidR="00AA22CF" w:rsidRPr="00E94087">
        <w:t xml:space="preserve"> groups includes </w:t>
      </w:r>
      <m:oMath>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rPr>
                      <m:t>T</m:t>
                    </m:r>
                  </m:e>
                  <m:sub>
                    <m:r>
                      <m:rPr>
                        <m:sty m:val="p"/>
                      </m:rPr>
                      <w:rPr>
                        <w:rFonts w:ascii="Cambria Math"/>
                      </w:rPr>
                      <m:t>CI</m:t>
                    </m:r>
                    <m:ctrlPr>
                      <w:rPr>
                        <w:rFonts w:ascii="Cambria Math" w:hAnsi="Cambria Math"/>
                      </w:rPr>
                    </m:ctrlPr>
                  </m:sub>
                </m:sSub>
              </m:num>
              <m:den>
                <m:sSub>
                  <m:sSubPr>
                    <m:ctrlPr>
                      <w:rPr>
                        <w:rFonts w:ascii="Cambria Math" w:hAnsi="Cambria Math"/>
                        <w:i/>
                      </w:rPr>
                    </m:ctrlPr>
                  </m:sSubPr>
                  <m:e>
                    <m:r>
                      <w:rPr>
                        <w:rFonts w:ascii="Cambria Math"/>
                      </w:rPr>
                      <m:t>G</m:t>
                    </m:r>
                  </m:e>
                  <m:sub>
                    <m:r>
                      <m:rPr>
                        <m:nor/>
                      </m:rPr>
                      <w:rPr>
                        <w:rFonts w:ascii="Cambria Math"/>
                      </w:rPr>
                      <m:t>CI</m:t>
                    </m:r>
                    <m:ctrlPr>
                      <w:rPr>
                        <w:rFonts w:ascii="Cambria Math" w:hAnsi="Cambria Math"/>
                      </w:rPr>
                    </m:ctrlPr>
                  </m:sub>
                </m:sSub>
              </m:den>
            </m:f>
          </m:e>
        </m:d>
      </m:oMath>
      <w:r w:rsidR="00AA22CF" w:rsidRPr="00E94087">
        <w:t xml:space="preserve"> symbols and each of the remaining </w:t>
      </w:r>
      <m:oMath>
        <m:sSub>
          <m:sSubPr>
            <m:ctrlPr>
              <w:rPr>
                <w:rFonts w:ascii="Cambria Math" w:hAnsi="Cambria Math"/>
                <w:i/>
              </w:rPr>
            </m:ctrlPr>
          </m:sSubPr>
          <m:e>
            <m:r>
              <w:rPr>
                <w:rFonts w:ascii="Cambria Math"/>
              </w:rPr>
              <m:t>T</m:t>
            </m:r>
          </m:e>
          <m:sub>
            <m:r>
              <m:rPr>
                <m:nor/>
              </m:rPr>
              <w:rPr>
                <w:rFonts w:ascii="Cambria Math"/>
              </w:rPr>
              <m:t>CI</m:t>
            </m:r>
            <m:ctrlPr>
              <w:rPr>
                <w:rFonts w:ascii="Cambria Math" w:hAnsi="Cambria Math"/>
              </w:rPr>
            </m:ctrlPr>
          </m:sub>
        </m:sSub>
        <m:r>
          <w:rPr>
            <w:rFonts w:ascii="Cambria Math"/>
          </w:rPr>
          <m:t>-</m:t>
        </m:r>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rPr>
                      <m:t>T</m:t>
                    </m:r>
                  </m:e>
                  <m:sub>
                    <m:r>
                      <m:rPr>
                        <m:nor/>
                      </m:rPr>
                      <w:rPr>
                        <w:rFonts w:ascii="Cambria Math"/>
                      </w:rPr>
                      <m:t>CI</m:t>
                    </m:r>
                    <m:ctrlPr>
                      <w:rPr>
                        <w:rFonts w:ascii="Cambria Math" w:hAnsi="Cambria Math"/>
                      </w:rPr>
                    </m:ctrlPr>
                  </m:sub>
                </m:sSub>
              </m:num>
              <m:den>
                <m:sSub>
                  <m:sSubPr>
                    <m:ctrlPr>
                      <w:rPr>
                        <w:rFonts w:ascii="Cambria Math" w:hAnsi="Cambria Math"/>
                        <w:i/>
                      </w:rPr>
                    </m:ctrlPr>
                  </m:sSubPr>
                  <m:e>
                    <m:r>
                      <w:rPr>
                        <w:rFonts w:ascii="Cambria Math"/>
                      </w:rPr>
                      <m:t>G</m:t>
                    </m:r>
                  </m:e>
                  <m:sub>
                    <m:r>
                      <m:rPr>
                        <m:nor/>
                      </m:rPr>
                      <w:rPr>
                        <w:rFonts w:ascii="Cambria Math"/>
                      </w:rPr>
                      <m:t>CI</m:t>
                    </m:r>
                    <m:ctrlPr>
                      <w:rPr>
                        <w:rFonts w:ascii="Cambria Math" w:hAnsi="Cambria Math"/>
                      </w:rPr>
                    </m:ctrlPr>
                  </m:sub>
                </m:sSub>
              </m:den>
            </m:f>
          </m:e>
        </m:d>
        <m:r>
          <w:rPr>
            <w:rFonts w:ascii="Cambria Math" w:hAnsi="Cambria Math" w:cs="Cambria Math"/>
          </w:rPr>
          <m:t>⋅</m:t>
        </m:r>
        <m:sSub>
          <m:sSubPr>
            <m:ctrlPr>
              <w:rPr>
                <w:rFonts w:ascii="Cambria Math" w:hAnsi="Cambria Math"/>
                <w:i/>
              </w:rPr>
            </m:ctrlPr>
          </m:sSubPr>
          <m:e>
            <m:r>
              <w:rPr>
                <w:rFonts w:ascii="Cambria Math"/>
              </w:rPr>
              <m:t>G</m:t>
            </m:r>
          </m:e>
          <m:sub>
            <m:r>
              <m:rPr>
                <m:nor/>
              </m:rPr>
              <w:rPr>
                <w:rFonts w:ascii="Cambria Math"/>
              </w:rPr>
              <m:t>CI</m:t>
            </m:r>
            <m:ctrlPr>
              <w:rPr>
                <w:rFonts w:ascii="Cambria Math" w:hAnsi="Cambria Math"/>
              </w:rPr>
            </m:ctrlPr>
          </m:sub>
        </m:sSub>
      </m:oMath>
      <w:r w:rsidR="00AA22CF" w:rsidRPr="00E94087">
        <w:t xml:space="preserve"> groups includes </w:t>
      </w:r>
      <m:oMath>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rPr>
                      <m:t>T</m:t>
                    </m:r>
                  </m:e>
                  <m:sub>
                    <m:r>
                      <m:rPr>
                        <m:nor/>
                      </m:rPr>
                      <w:rPr>
                        <w:rFonts w:ascii="Cambria Math"/>
                      </w:rPr>
                      <m:t>CI</m:t>
                    </m:r>
                    <m:ctrlPr>
                      <w:rPr>
                        <w:rFonts w:ascii="Cambria Math" w:hAnsi="Cambria Math"/>
                      </w:rPr>
                    </m:ctrlPr>
                  </m:sub>
                </m:sSub>
              </m:num>
              <m:den>
                <m:sSub>
                  <m:sSubPr>
                    <m:ctrlPr>
                      <w:rPr>
                        <w:rFonts w:ascii="Cambria Math" w:hAnsi="Cambria Math"/>
                        <w:i/>
                      </w:rPr>
                    </m:ctrlPr>
                  </m:sSubPr>
                  <m:e>
                    <m:r>
                      <w:rPr>
                        <w:rFonts w:ascii="Cambria Math"/>
                      </w:rPr>
                      <m:t>G</m:t>
                    </m:r>
                  </m:e>
                  <m:sub>
                    <m:r>
                      <m:rPr>
                        <m:nor/>
                      </m:rPr>
                      <w:rPr>
                        <w:rFonts w:ascii="Cambria Math"/>
                      </w:rPr>
                      <m:t>CI</m:t>
                    </m:r>
                    <m:ctrlPr>
                      <w:rPr>
                        <w:rFonts w:ascii="Cambria Math" w:hAnsi="Cambria Math"/>
                      </w:rPr>
                    </m:ctrlPr>
                  </m:sub>
                </m:sSub>
              </m:den>
            </m:f>
          </m:e>
        </m:d>
      </m:oMath>
      <w:r w:rsidR="00AA22CF" w:rsidRPr="00E94087">
        <w:t xml:space="preserve"> symbols. A UE determines a symbol duration with respect to a SCS configuration of an active DL BWP where the UE monitors PDCCH for DCI format 2_4 detection. </w:t>
      </w:r>
    </w:p>
    <w:p w14:paraId="32B19AAD" w14:textId="1EB743BA" w:rsidR="00AA22CF" w:rsidRPr="00E94087" w:rsidRDefault="00AA22CF" w:rsidP="00AA22CF">
      <w:r w:rsidRPr="00E94087">
        <w:t xml:space="preserve">For a group of symbols, </w:t>
      </w:r>
      <m:oMath>
        <m:sSub>
          <m:sSubPr>
            <m:ctrlPr>
              <w:rPr>
                <w:rFonts w:ascii="Cambria Math" w:hAnsi="Cambria Math" w:cs="Calibri"/>
                <w:i/>
                <w:iCs/>
                <w:sz w:val="21"/>
                <w:szCs w:val="21"/>
              </w:rPr>
            </m:ctrlPr>
          </m:sSubPr>
          <m:e>
            <m:r>
              <w:rPr>
                <w:rFonts w:ascii="Cambria Math" w:hAnsi="Cambria Math"/>
              </w:rPr>
              <m:t>N</m:t>
            </m:r>
          </m:e>
          <m:sub>
            <m:r>
              <m:rPr>
                <m:sty m:val="p"/>
              </m:rPr>
              <w:rPr>
                <w:rFonts w:ascii="Cambria Math" w:hAnsi="Cambria Math"/>
              </w:rPr>
              <m:t>BI</m:t>
            </m:r>
            <m:ctrlPr>
              <w:rPr>
                <w:rFonts w:ascii="Cambria Math" w:hAnsi="Cambria Math" w:cs="Calibri"/>
                <w:sz w:val="21"/>
                <w:szCs w:val="21"/>
              </w:rPr>
            </m:ctrlPr>
          </m:sub>
        </m:sSub>
        <m:r>
          <w:rPr>
            <w:rFonts w:ascii="Cambria Math" w:hAnsi="Cambria Math"/>
          </w:rPr>
          <m:t>=</m:t>
        </m:r>
        <m:f>
          <m:fPr>
            <m:type m:val="lin"/>
            <m:ctrlPr>
              <w:rPr>
                <w:rFonts w:ascii="Cambria Math" w:hAnsi="Cambria Math" w:cs="Calibri"/>
                <w:i/>
                <w:iCs/>
                <w:sz w:val="21"/>
                <w:szCs w:val="21"/>
              </w:rPr>
            </m:ctrlPr>
          </m:fPr>
          <m:num>
            <m:sSub>
              <m:sSubPr>
                <m:ctrlPr>
                  <w:rPr>
                    <w:rFonts w:ascii="Cambria Math" w:hAnsi="Cambria Math" w:cs="Calibri"/>
                    <w:i/>
                    <w:iCs/>
                    <w:sz w:val="21"/>
                    <w:szCs w:val="21"/>
                  </w:rPr>
                </m:ctrlPr>
              </m:sSubPr>
              <m:e>
                <m:r>
                  <w:rPr>
                    <w:rFonts w:ascii="Cambria Math" w:hAnsi="Cambria Math"/>
                  </w:rPr>
                  <m:t>N</m:t>
                </m:r>
              </m:e>
              <m:sub>
                <m:r>
                  <m:rPr>
                    <m:sty m:val="p"/>
                  </m:rPr>
                  <w:rPr>
                    <w:rFonts w:ascii="Cambria Math" w:hAnsi="Cambria Math"/>
                  </w:rPr>
                  <m:t>CI</m:t>
                </m:r>
                <m:ctrlPr>
                  <w:rPr>
                    <w:rFonts w:ascii="Cambria Math" w:hAnsi="Cambria Math" w:cs="Calibri"/>
                    <w:sz w:val="21"/>
                    <w:szCs w:val="21"/>
                  </w:rPr>
                </m:ctrlPr>
              </m:sub>
            </m:sSub>
          </m:num>
          <m:den>
            <m:sSub>
              <m:sSubPr>
                <m:ctrlPr>
                  <w:rPr>
                    <w:rFonts w:ascii="Cambria Math" w:hAnsi="Cambria Math" w:cs="Calibri"/>
                    <w:i/>
                    <w:iCs/>
                    <w:sz w:val="21"/>
                    <w:szCs w:val="21"/>
                  </w:rPr>
                </m:ctrlPr>
              </m:sSubPr>
              <m:e>
                <m:r>
                  <w:rPr>
                    <w:rFonts w:ascii="Cambria Math" w:hAnsi="Cambria Math"/>
                  </w:rPr>
                  <m:t>G</m:t>
                </m:r>
              </m:e>
              <m:sub>
                <m:r>
                  <w:rPr>
                    <w:rFonts w:ascii="Cambria Math" w:hAnsi="Cambria Math"/>
                  </w:rPr>
                  <m:t>CI</m:t>
                </m:r>
              </m:sub>
            </m:sSub>
          </m:den>
        </m:f>
      </m:oMath>
      <w:r w:rsidRPr="00E94087">
        <w:t xml:space="preserve"> bits from</w:t>
      </w:r>
      <w:r w:rsidR="00341C11">
        <w:t xml:space="preserve"> MSB of</w:t>
      </w:r>
      <w:r w:rsidRPr="00E94087">
        <w:t xml:space="preserve"> each set of bits have a one-to-one mapping with </w:t>
      </w:r>
      <m:oMath>
        <m:sSub>
          <m:sSubPr>
            <m:ctrlPr>
              <w:rPr>
                <w:rFonts w:ascii="Cambria Math" w:hAnsi="Cambria Math"/>
                <w:i/>
              </w:rPr>
            </m:ctrlPr>
          </m:sSubPr>
          <m:e>
            <m:r>
              <w:rPr>
                <w:rFonts w:ascii="Cambria Math"/>
              </w:rPr>
              <m:t>N</m:t>
            </m:r>
          </m:e>
          <m:sub>
            <m:r>
              <m:rPr>
                <m:nor/>
              </m:rPr>
              <w:rPr>
                <w:rFonts w:ascii="Cambria Math"/>
              </w:rPr>
              <m:t>BI</m:t>
            </m:r>
            <m:ctrlPr>
              <w:rPr>
                <w:rFonts w:ascii="Cambria Math" w:hAnsi="Cambria Math"/>
              </w:rPr>
            </m:ctrlPr>
          </m:sub>
        </m:sSub>
      </m:oMath>
      <w:r w:rsidRPr="00E94087">
        <w:t xml:space="preserve"> groups of PRBs where each of the first </w:t>
      </w:r>
      <m:oMath>
        <m:sSub>
          <m:sSubPr>
            <m:ctrlPr>
              <w:rPr>
                <w:rFonts w:ascii="Cambria Math" w:hAnsi="Cambria Math"/>
                <w:i/>
              </w:rPr>
            </m:ctrlPr>
          </m:sSubPr>
          <m:e>
            <m:r>
              <w:rPr>
                <w:rFonts w:ascii="Cambria Math"/>
              </w:rPr>
              <m:t>N</m:t>
            </m:r>
          </m:e>
          <m:sub>
            <m:r>
              <m:rPr>
                <m:nor/>
              </m:rPr>
              <w:rPr>
                <w:rFonts w:ascii="Cambria Math"/>
              </w:rPr>
              <m:t>BI</m:t>
            </m:r>
            <m:ctrlPr>
              <w:rPr>
                <w:rFonts w:ascii="Cambria Math" w:hAnsi="Cambria Math"/>
              </w:rPr>
            </m:ctrlPr>
          </m:sub>
        </m:sSub>
        <m:r>
          <w:rPr>
            <w:rFonts w:ascii="Cambria Math"/>
          </w:rPr>
          <m:t>-</m:t>
        </m:r>
        <m:sSub>
          <m:sSubPr>
            <m:ctrlPr>
              <w:rPr>
                <w:rFonts w:ascii="Cambria Math" w:hAnsi="Cambria Math"/>
                <w:i/>
              </w:rPr>
            </m:ctrlPr>
          </m:sSubPr>
          <m:e>
            <m:r>
              <w:rPr>
                <w:rFonts w:ascii="Cambria Math"/>
              </w:rPr>
              <m:t>B</m:t>
            </m:r>
          </m:e>
          <m:sub>
            <m:r>
              <m:rPr>
                <m:nor/>
              </m:rPr>
              <w:rPr>
                <w:rFonts w:ascii="Cambria Math"/>
              </w:rPr>
              <m:t>CI</m:t>
            </m:r>
            <m:ctrlPr>
              <w:rPr>
                <w:rFonts w:ascii="Cambria Math" w:hAnsi="Cambria Math"/>
              </w:rPr>
            </m:ctrlPr>
          </m:sub>
        </m:sSub>
        <m:r>
          <w:rPr>
            <w:rFonts w:ascii="Cambria Math"/>
          </w:rPr>
          <m:t>+</m:t>
        </m:r>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rPr>
                      <m:t>B</m:t>
                    </m:r>
                  </m:e>
                  <m:sub>
                    <m:r>
                      <m:rPr>
                        <m:nor/>
                      </m:rPr>
                      <w:rPr>
                        <w:rFonts w:ascii="Cambria Math"/>
                      </w:rPr>
                      <m:t>CI</m:t>
                    </m:r>
                    <m:ctrlPr>
                      <w:rPr>
                        <w:rFonts w:ascii="Cambria Math" w:hAnsi="Cambria Math"/>
                      </w:rPr>
                    </m:ctrlPr>
                  </m:sub>
                </m:sSub>
              </m:num>
              <m:den>
                <m:sSub>
                  <m:sSubPr>
                    <m:ctrlPr>
                      <w:rPr>
                        <w:rFonts w:ascii="Cambria Math" w:hAnsi="Cambria Math"/>
                        <w:i/>
                      </w:rPr>
                    </m:ctrlPr>
                  </m:sSubPr>
                  <m:e>
                    <m:r>
                      <w:rPr>
                        <w:rFonts w:ascii="Cambria Math"/>
                      </w:rPr>
                      <m:t>N</m:t>
                    </m:r>
                  </m:e>
                  <m:sub>
                    <m:r>
                      <m:rPr>
                        <m:nor/>
                      </m:rPr>
                      <w:rPr>
                        <w:rFonts w:ascii="Cambria Math"/>
                      </w:rPr>
                      <m:t>BI</m:t>
                    </m:r>
                    <m:ctrlPr>
                      <w:rPr>
                        <w:rFonts w:ascii="Cambria Math" w:hAnsi="Cambria Math"/>
                      </w:rPr>
                    </m:ctrlPr>
                  </m:sub>
                </m:sSub>
              </m:den>
            </m:f>
          </m:e>
        </m:d>
        <m:r>
          <w:rPr>
            <w:rFonts w:ascii="Cambria Math" w:hAnsi="Cambria Math" w:cs="Cambria Math"/>
          </w:rPr>
          <m:t>⋅</m:t>
        </m:r>
        <m:sSub>
          <m:sSubPr>
            <m:ctrlPr>
              <w:rPr>
                <w:rFonts w:ascii="Cambria Math" w:hAnsi="Cambria Math"/>
                <w:i/>
              </w:rPr>
            </m:ctrlPr>
          </m:sSubPr>
          <m:e>
            <m:r>
              <w:rPr>
                <w:rFonts w:ascii="Cambria Math"/>
              </w:rPr>
              <m:t>N</m:t>
            </m:r>
          </m:e>
          <m:sub>
            <m:r>
              <m:rPr>
                <m:nor/>
              </m:rPr>
              <w:rPr>
                <w:rFonts w:ascii="Cambria Math"/>
              </w:rPr>
              <m:t>BI</m:t>
            </m:r>
            <m:ctrlPr>
              <w:rPr>
                <w:rFonts w:ascii="Cambria Math" w:hAnsi="Cambria Math"/>
              </w:rPr>
            </m:ctrlPr>
          </m:sub>
        </m:sSub>
      </m:oMath>
      <w:r w:rsidRPr="00E94087">
        <w:t xml:space="preserve"> groups includes </w:t>
      </w:r>
      <m:oMath>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rPr>
                      <m:t>B</m:t>
                    </m:r>
                  </m:e>
                  <m:sub>
                    <m:r>
                      <m:rPr>
                        <m:nor/>
                      </m:rPr>
                      <w:rPr>
                        <w:rFonts w:ascii="Cambria Math"/>
                      </w:rPr>
                      <m:t>CI</m:t>
                    </m:r>
                    <m:ctrlPr>
                      <w:rPr>
                        <w:rFonts w:ascii="Cambria Math" w:hAnsi="Cambria Math"/>
                      </w:rPr>
                    </m:ctrlPr>
                  </m:sub>
                </m:sSub>
              </m:num>
              <m:den>
                <m:sSub>
                  <m:sSubPr>
                    <m:ctrlPr>
                      <w:rPr>
                        <w:rFonts w:ascii="Cambria Math" w:hAnsi="Cambria Math"/>
                        <w:i/>
                      </w:rPr>
                    </m:ctrlPr>
                  </m:sSubPr>
                  <m:e>
                    <m:r>
                      <w:rPr>
                        <w:rFonts w:ascii="Cambria Math"/>
                      </w:rPr>
                      <m:t>N</m:t>
                    </m:r>
                  </m:e>
                  <m:sub>
                    <m:r>
                      <m:rPr>
                        <m:nor/>
                      </m:rPr>
                      <w:rPr>
                        <w:rFonts w:ascii="Cambria Math"/>
                      </w:rPr>
                      <m:t>BI</m:t>
                    </m:r>
                    <m:ctrlPr>
                      <w:rPr>
                        <w:rFonts w:ascii="Cambria Math" w:hAnsi="Cambria Math"/>
                      </w:rPr>
                    </m:ctrlPr>
                  </m:sub>
                </m:sSub>
              </m:den>
            </m:f>
          </m:e>
        </m:d>
      </m:oMath>
      <w:r w:rsidRPr="00E94087">
        <w:t xml:space="preserve"> PRBs and each of the remaining </w:t>
      </w:r>
      <m:oMath>
        <m:sSub>
          <m:sSubPr>
            <m:ctrlPr>
              <w:rPr>
                <w:rFonts w:ascii="Cambria Math" w:hAnsi="Cambria Math"/>
                <w:i/>
              </w:rPr>
            </m:ctrlPr>
          </m:sSubPr>
          <m:e>
            <m:r>
              <w:rPr>
                <w:rFonts w:ascii="Cambria Math"/>
              </w:rPr>
              <m:t>B</m:t>
            </m:r>
          </m:e>
          <m:sub>
            <m:r>
              <m:rPr>
                <m:nor/>
              </m:rPr>
              <w:rPr>
                <w:rFonts w:ascii="Cambria Math"/>
              </w:rPr>
              <m:t>CI</m:t>
            </m:r>
            <m:ctrlPr>
              <w:rPr>
                <w:rFonts w:ascii="Cambria Math" w:hAnsi="Cambria Math"/>
              </w:rPr>
            </m:ctrlPr>
          </m:sub>
        </m:sSub>
        <m:r>
          <w:rPr>
            <w:rFonts w:ascii="Cambria Math"/>
          </w:rPr>
          <m:t>-</m:t>
        </m:r>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rPr>
                      <m:t>B</m:t>
                    </m:r>
                  </m:e>
                  <m:sub>
                    <m:r>
                      <m:rPr>
                        <m:nor/>
                      </m:rPr>
                      <w:rPr>
                        <w:rFonts w:ascii="Cambria Math"/>
                      </w:rPr>
                      <m:t>CI</m:t>
                    </m:r>
                    <m:ctrlPr>
                      <w:rPr>
                        <w:rFonts w:ascii="Cambria Math" w:hAnsi="Cambria Math"/>
                      </w:rPr>
                    </m:ctrlPr>
                  </m:sub>
                </m:sSub>
              </m:num>
              <m:den>
                <m:sSub>
                  <m:sSubPr>
                    <m:ctrlPr>
                      <w:rPr>
                        <w:rFonts w:ascii="Cambria Math" w:hAnsi="Cambria Math"/>
                        <w:i/>
                      </w:rPr>
                    </m:ctrlPr>
                  </m:sSubPr>
                  <m:e>
                    <m:r>
                      <w:rPr>
                        <w:rFonts w:ascii="Cambria Math"/>
                      </w:rPr>
                      <m:t>N</m:t>
                    </m:r>
                  </m:e>
                  <m:sub>
                    <m:r>
                      <m:rPr>
                        <m:nor/>
                      </m:rPr>
                      <w:rPr>
                        <w:rFonts w:ascii="Cambria Math"/>
                      </w:rPr>
                      <m:t>BI</m:t>
                    </m:r>
                    <m:ctrlPr>
                      <w:rPr>
                        <w:rFonts w:ascii="Cambria Math" w:hAnsi="Cambria Math"/>
                      </w:rPr>
                    </m:ctrlPr>
                  </m:sub>
                </m:sSub>
              </m:den>
            </m:f>
          </m:e>
        </m:d>
        <m:r>
          <w:rPr>
            <w:rFonts w:ascii="Cambria Math" w:hAnsi="Cambria Math" w:cs="Cambria Math"/>
          </w:rPr>
          <m:t>⋅</m:t>
        </m:r>
        <m:sSub>
          <m:sSubPr>
            <m:ctrlPr>
              <w:rPr>
                <w:rFonts w:ascii="Cambria Math" w:hAnsi="Cambria Math"/>
                <w:i/>
              </w:rPr>
            </m:ctrlPr>
          </m:sSubPr>
          <m:e>
            <m:r>
              <w:rPr>
                <w:rFonts w:ascii="Cambria Math"/>
              </w:rPr>
              <m:t>N</m:t>
            </m:r>
          </m:e>
          <m:sub>
            <m:r>
              <m:rPr>
                <m:nor/>
              </m:rPr>
              <w:rPr>
                <w:rFonts w:ascii="Cambria Math"/>
              </w:rPr>
              <m:t>BI</m:t>
            </m:r>
            <m:ctrlPr>
              <w:rPr>
                <w:rFonts w:ascii="Cambria Math" w:hAnsi="Cambria Math"/>
              </w:rPr>
            </m:ctrlPr>
          </m:sub>
        </m:sSub>
      </m:oMath>
      <w:r w:rsidRPr="00E94087">
        <w:t xml:space="preserve"> groups includes </w:t>
      </w:r>
      <m:oMath>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rPr>
                      <m:t>B</m:t>
                    </m:r>
                  </m:e>
                  <m:sub>
                    <m:r>
                      <m:rPr>
                        <m:nor/>
                      </m:rPr>
                      <w:rPr>
                        <w:rFonts w:ascii="Cambria Math"/>
                      </w:rPr>
                      <m:t>CI</m:t>
                    </m:r>
                    <m:ctrlPr>
                      <w:rPr>
                        <w:rFonts w:ascii="Cambria Math" w:hAnsi="Cambria Math"/>
                      </w:rPr>
                    </m:ctrlPr>
                  </m:sub>
                </m:sSub>
              </m:num>
              <m:den>
                <m:sSub>
                  <m:sSubPr>
                    <m:ctrlPr>
                      <w:rPr>
                        <w:rFonts w:ascii="Cambria Math" w:hAnsi="Cambria Math"/>
                        <w:i/>
                      </w:rPr>
                    </m:ctrlPr>
                  </m:sSubPr>
                  <m:e>
                    <m:r>
                      <w:rPr>
                        <w:rFonts w:ascii="Cambria Math"/>
                      </w:rPr>
                      <m:t>N</m:t>
                    </m:r>
                  </m:e>
                  <m:sub>
                    <m:r>
                      <m:rPr>
                        <m:nor/>
                      </m:rPr>
                      <w:rPr>
                        <w:rFonts w:ascii="Cambria Math"/>
                      </w:rPr>
                      <m:t>BI</m:t>
                    </m:r>
                    <m:ctrlPr>
                      <w:rPr>
                        <w:rFonts w:ascii="Cambria Math" w:hAnsi="Cambria Math"/>
                      </w:rPr>
                    </m:ctrlPr>
                  </m:sub>
                </m:sSub>
              </m:den>
            </m:f>
          </m:e>
        </m:d>
      </m:oMath>
      <w:r w:rsidRPr="00E94087">
        <w:t xml:space="preserve"> PRBs. </w:t>
      </w:r>
      <w:r w:rsidRPr="00E94087">
        <w:rPr>
          <w:lang w:val="en-US"/>
        </w:rPr>
        <w:t>A UE determines a first PRB index as</w:t>
      </w:r>
      <w:r w:rsidRPr="00E94087">
        <w:t xml:space="preserve"> </w:t>
      </w:r>
      <m:oMath>
        <m:sSub>
          <m:sSubPr>
            <m:ctrlPr>
              <w:rPr>
                <w:rFonts w:ascii="Cambria Math" w:hAnsi="Cambria Math"/>
                <w:i/>
                <w:lang w:val="x-none"/>
              </w:rPr>
            </m:ctrlPr>
          </m:sSubPr>
          <m:e>
            <m:sSubSup>
              <m:sSubSupPr>
                <m:ctrlPr>
                  <w:rPr>
                    <w:rFonts w:ascii="Cambria Math" w:hAnsi="Cambria Math"/>
                    <w:i/>
                    <w:lang w:val="x-none"/>
                  </w:rPr>
                </m:ctrlPr>
              </m:sSubSupPr>
              <m:e>
                <m:r>
                  <w:rPr>
                    <w:rFonts w:ascii="Cambria Math"/>
                    <w:lang w:val="x-none"/>
                  </w:rPr>
                  <m:t>N</m:t>
                </m:r>
              </m:e>
              <m:sub>
                <m:r>
                  <w:rPr>
                    <w:rFonts w:ascii="Cambria Math"/>
                    <w:lang w:val="x-none"/>
                  </w:rPr>
                  <m:t>RFR</m:t>
                </m:r>
              </m:sub>
              <m:sup>
                <m:r>
                  <w:rPr>
                    <w:rFonts w:ascii="Cambria Math"/>
                    <w:lang w:val="x-none"/>
                  </w:rPr>
                  <m:t>start</m:t>
                </m:r>
              </m:sup>
            </m:sSubSup>
            <m:r>
              <w:rPr>
                <w:rFonts w:ascii="Cambria Math"/>
                <w:lang w:val="x-none"/>
              </w:rPr>
              <m:t>=O</m:t>
            </m:r>
          </m:e>
          <m:sub>
            <m:r>
              <m:rPr>
                <m:nor/>
              </m:rPr>
              <w:rPr>
                <w:rFonts w:ascii="Cambria Math"/>
                <w:lang w:val="x-none"/>
              </w:rPr>
              <m:t>carrier</m:t>
            </m:r>
            <m:ctrlPr>
              <w:rPr>
                <w:rFonts w:ascii="Cambria Math" w:hAnsi="Cambria Math"/>
                <w:lang w:val="x-none"/>
              </w:rPr>
            </m:ctrlPr>
          </m:sub>
        </m:sSub>
        <m:r>
          <w:rPr>
            <w:rFonts w:ascii="Cambria Math" w:hAnsi="Cambria Math"/>
            <w:lang w:val="x-none"/>
          </w:rPr>
          <m:t>+</m:t>
        </m:r>
        <m:sSub>
          <m:sSubPr>
            <m:ctrlPr>
              <w:rPr>
                <w:rFonts w:ascii="Cambria Math" w:hAnsi="Cambria Math"/>
                <w:i/>
                <w:lang w:val="x-none"/>
              </w:rPr>
            </m:ctrlPr>
          </m:sSubPr>
          <m:e>
            <m:r>
              <w:rPr>
                <w:rFonts w:ascii="Cambria Math" w:hAnsi="Cambria Math"/>
                <w:lang w:val="x-none"/>
              </w:rPr>
              <m:t>RB</m:t>
            </m:r>
          </m:e>
          <m:sub>
            <m:r>
              <w:rPr>
                <w:rFonts w:ascii="Cambria Math" w:hAnsi="Cambria Math"/>
                <w:lang w:val="x-none"/>
              </w:rPr>
              <m:t>start</m:t>
            </m:r>
          </m:sub>
        </m:sSub>
      </m:oMath>
      <w:r w:rsidRPr="00E94087">
        <w:t xml:space="preserve"> and a number of contiguous RBs as </w:t>
      </w:r>
      <m:oMath>
        <m:sSub>
          <m:sSubPr>
            <m:ctrlPr>
              <w:rPr>
                <w:rFonts w:ascii="Cambria Math" w:hAnsi="Cambria Math"/>
                <w:i/>
                <w:sz w:val="24"/>
                <w:szCs w:val="24"/>
                <w:lang w:val="x-none"/>
              </w:rPr>
            </m:ctrlPr>
          </m:sSubPr>
          <m:e>
            <m:sSub>
              <m:sSubPr>
                <m:ctrlPr>
                  <w:rPr>
                    <w:rFonts w:ascii="Cambria Math" w:hAnsi="Cambria Math"/>
                    <w:i/>
                    <w:sz w:val="24"/>
                    <w:szCs w:val="24"/>
                  </w:rPr>
                </m:ctrlPr>
              </m:sSubPr>
              <m:e>
                <m:r>
                  <w:rPr>
                    <w:rFonts w:ascii="Cambria Math"/>
                  </w:rPr>
                  <m:t>B</m:t>
                </m:r>
              </m:e>
              <m:sub>
                <m:r>
                  <m:rPr>
                    <m:sty m:val="p"/>
                  </m:rPr>
                  <w:rPr>
                    <w:rFonts w:ascii="Cambria Math"/>
                  </w:rPr>
                  <m:t>CI</m:t>
                </m:r>
                <m:ctrlPr>
                  <w:rPr>
                    <w:rFonts w:ascii="Cambria Math" w:hAnsi="Cambria Math"/>
                    <w:sz w:val="24"/>
                    <w:szCs w:val="24"/>
                  </w:rPr>
                </m:ctrlPr>
              </m:sub>
            </m:sSub>
            <m:r>
              <w:rPr>
                <w:rFonts w:ascii="Cambria Math"/>
                <w:lang w:val="x-none"/>
              </w:rPr>
              <m:t>=L</m:t>
            </m:r>
          </m:e>
          <m:sub>
            <m:r>
              <m:rPr>
                <m:sty m:val="p"/>
              </m:rPr>
              <w:rPr>
                <w:rFonts w:ascii="Cambria Math"/>
                <w:lang w:val="x-none"/>
              </w:rPr>
              <m:t>RB</m:t>
            </m:r>
            <m:ctrlPr>
              <w:rPr>
                <w:rFonts w:ascii="Cambria Math" w:hAnsi="Cambria Math"/>
                <w:sz w:val="24"/>
                <w:szCs w:val="24"/>
                <w:lang w:val="x-none"/>
              </w:rPr>
            </m:ctrlPr>
          </m:sub>
        </m:sSub>
        <m:r>
          <m:rPr>
            <m:sty m:val="p"/>
          </m:rPr>
          <w:rPr>
            <w:rFonts w:ascii="Cambria Math" w:hAnsi="Cambria Math"/>
          </w:rPr>
          <m:t xml:space="preserve"> </m:t>
        </m:r>
      </m:oMath>
      <w:r w:rsidRPr="00E94087">
        <w:rPr>
          <w:lang w:val="en-US"/>
        </w:rPr>
        <w:t xml:space="preserve"> from</w:t>
      </w:r>
      <w:r w:rsidRPr="00E94087">
        <w:t xml:space="preserve"> </w:t>
      </w:r>
      <w:r w:rsidRPr="00E94087">
        <w:rPr>
          <w:i/>
          <w:iCs/>
          <w:lang w:val="x-none" w:eastAsia="zh-CN"/>
        </w:rPr>
        <w:t>frequencyRegion</w:t>
      </w:r>
      <w:r w:rsidRPr="00E94087">
        <w:rPr>
          <w:i/>
          <w:iCs/>
          <w:lang w:val="en-US" w:eastAsia="zh-CN"/>
        </w:rPr>
        <w:t>forCI</w:t>
      </w:r>
      <w:r w:rsidRPr="00E94087">
        <w:rPr>
          <w:i/>
        </w:rPr>
        <w:t xml:space="preserve"> </w:t>
      </w:r>
      <w:r w:rsidRPr="00E94087">
        <w:t xml:space="preserve">that </w:t>
      </w:r>
      <w:r w:rsidRPr="00E94087">
        <w:rPr>
          <w:lang w:val="en-US"/>
        </w:rPr>
        <w:t>indicates</w:t>
      </w:r>
      <w:r w:rsidRPr="00E94087">
        <w:t xml:space="preserve"> </w:t>
      </w:r>
      <w:r w:rsidRPr="00E94087">
        <w:rPr>
          <w:lang w:val="en-US"/>
        </w:rPr>
        <w:t xml:space="preserve">an offset </w:t>
      </w:r>
      <m:oMath>
        <m:sSub>
          <m:sSubPr>
            <m:ctrlPr>
              <w:rPr>
                <w:rFonts w:ascii="Cambria Math" w:hAnsi="Cambria Math"/>
                <w:i/>
                <w:lang w:val="x-none"/>
              </w:rPr>
            </m:ctrlPr>
          </m:sSubPr>
          <m:e>
            <m:r>
              <w:rPr>
                <w:rFonts w:ascii="Cambria Math" w:hAnsi="Cambria Math"/>
                <w:lang w:val="x-none"/>
              </w:rPr>
              <m:t>RB</m:t>
            </m:r>
          </m:e>
          <m:sub>
            <m:r>
              <w:rPr>
                <w:rFonts w:ascii="Cambria Math" w:hAnsi="Cambria Math"/>
                <w:lang w:val="x-none"/>
              </w:rPr>
              <m:t>start</m:t>
            </m:r>
          </m:sub>
        </m:sSub>
      </m:oMath>
      <w:r w:rsidRPr="00E94087">
        <w:rPr>
          <w:lang w:val="en-US"/>
        </w:rPr>
        <w:t xml:space="preserve"> and a length </w:t>
      </w:r>
      <m:oMath>
        <m:sSub>
          <m:sSubPr>
            <m:ctrlPr>
              <w:rPr>
                <w:rFonts w:ascii="Cambria Math" w:hAnsi="Cambria Math"/>
                <w:i/>
                <w:lang w:val="x-none"/>
              </w:rPr>
            </m:ctrlPr>
          </m:sSubPr>
          <m:e>
            <m:r>
              <w:rPr>
                <w:rFonts w:ascii="Cambria Math"/>
                <w:lang w:val="x-none"/>
              </w:rPr>
              <m:t>L</m:t>
            </m:r>
          </m:e>
          <m:sub>
            <m:r>
              <m:rPr>
                <m:nor/>
              </m:rPr>
              <w:rPr>
                <w:rFonts w:ascii="Cambria Math"/>
                <w:lang w:val="x-none"/>
              </w:rPr>
              <m:t>RB</m:t>
            </m:r>
            <m:ctrlPr>
              <w:rPr>
                <w:rFonts w:ascii="Cambria Math" w:hAnsi="Cambria Math"/>
                <w:lang w:val="x-none"/>
              </w:rPr>
            </m:ctrlPr>
          </m:sub>
        </m:sSub>
      </m:oMath>
      <w:r w:rsidRPr="00E94087">
        <w:rPr>
          <w:lang w:val="en-US"/>
        </w:rPr>
        <w:t xml:space="preserve"> </w:t>
      </w:r>
      <w:r w:rsidRPr="00E94087">
        <w:t>as RIV according to [</w:t>
      </w:r>
      <w:r w:rsidRPr="00E94087">
        <w:rPr>
          <w:lang w:val="en-US"/>
        </w:rPr>
        <w:t>6</w:t>
      </w:r>
      <w:r w:rsidRPr="00E94087">
        <w:t>, TS 38.214],</w:t>
      </w:r>
      <w:r w:rsidRPr="00E94087">
        <w:rPr>
          <w:lang w:val="en-US"/>
        </w:rPr>
        <w:t xml:space="preserve"> and from </w:t>
      </w:r>
      <w:r w:rsidRPr="00E94087">
        <w:rPr>
          <w:i/>
        </w:rPr>
        <w:t>offsetToCarrier</w:t>
      </w:r>
      <w:r w:rsidRPr="00E94087">
        <w:t xml:space="preserve"> </w:t>
      </w:r>
      <w:r w:rsidR="00DB01E2" w:rsidRPr="00DD2D2B">
        <w:rPr>
          <w:rFonts w:hint="eastAsia"/>
        </w:rPr>
        <w:t>in</w:t>
      </w:r>
      <w:r w:rsidR="00DB01E2">
        <w:t xml:space="preserve"> </w:t>
      </w:r>
      <w:r w:rsidR="00DB01E2" w:rsidRPr="00DD2D2B">
        <w:rPr>
          <w:rStyle w:val="Emphasis"/>
          <w:rFonts w:hint="eastAsia"/>
        </w:rPr>
        <w:t>FrequencyInfoUL-SIB</w:t>
      </w:r>
      <w:r w:rsidR="00DB01E2" w:rsidRPr="00DD2D2B">
        <w:rPr>
          <w:lang w:val="en-US"/>
        </w:rPr>
        <w:t xml:space="preserve"> </w:t>
      </w:r>
      <w:r w:rsidR="00341C11">
        <w:t xml:space="preserve">or </w:t>
      </w:r>
      <w:r w:rsidR="00341C11">
        <w:rPr>
          <w:rStyle w:val="Emphasis"/>
        </w:rPr>
        <w:t>FrequencyInfoUL</w:t>
      </w:r>
      <w:r w:rsidR="00341C11">
        <w:rPr>
          <w:lang w:val="en-US"/>
        </w:rPr>
        <w:t xml:space="preserve"> </w:t>
      </w:r>
      <w:r w:rsidRPr="00E94087">
        <w:rPr>
          <w:lang w:val="en-US"/>
        </w:rPr>
        <w:t>that indicates</w:t>
      </w:r>
      <w:r w:rsidRPr="00E94087">
        <w:t xml:space="preserve"> </w:t>
      </w:r>
      <m:oMath>
        <m:sSub>
          <m:sSubPr>
            <m:ctrlPr>
              <w:rPr>
                <w:rFonts w:ascii="Cambria Math" w:hAnsi="Cambria Math"/>
                <w:i/>
                <w:lang w:val="x-none"/>
              </w:rPr>
            </m:ctrlPr>
          </m:sSubPr>
          <m:e>
            <m:r>
              <w:rPr>
                <w:rFonts w:ascii="Cambria Math"/>
                <w:lang w:val="x-none"/>
              </w:rPr>
              <m:t>O</m:t>
            </m:r>
          </m:e>
          <m:sub>
            <m:r>
              <m:rPr>
                <m:nor/>
              </m:rPr>
              <w:rPr>
                <w:rFonts w:ascii="Cambria Math"/>
                <w:lang w:val="x-none"/>
              </w:rPr>
              <m:t>carrier</m:t>
            </m:r>
            <m:ctrlPr>
              <w:rPr>
                <w:rFonts w:ascii="Cambria Math" w:hAnsi="Cambria Math"/>
                <w:lang w:val="x-none"/>
              </w:rPr>
            </m:ctrlPr>
          </m:sub>
        </m:sSub>
      </m:oMath>
      <w:r w:rsidRPr="00E94087">
        <w:rPr>
          <w:lang w:val="en-US"/>
        </w:rPr>
        <w:t xml:space="preserve"> for a</w:t>
      </w:r>
      <w:r w:rsidRPr="00E94087">
        <w:t xml:space="preserve"> SCS configuration of an active DL BWP where the UE monitors PDCCH for DCI format 2_4 detection.</w:t>
      </w:r>
    </w:p>
    <w:p w14:paraId="39ED08FB" w14:textId="77777777" w:rsidR="004C3224" w:rsidRDefault="00341C11" w:rsidP="00341C11">
      <w:r>
        <w:rPr>
          <w:rFonts w:eastAsia="MS Mincho"/>
        </w:rPr>
        <w:t xml:space="preserve">An indication by a DCI format 2_4 for a serving cell is applicable to a PUSCH transmission or an SRS transmission on the serving cell. </w:t>
      </w:r>
      <w:r>
        <w:t xml:space="preserve">If the PUSCH transmission or the SRS transmission is scheduled by a DCI format, the indication by the DCI format 2_4 is applicable to the PUSCH transmission or SRS transmission only if the last symbol of the PDCCH reception providing the DCI format is earlier than the first symbol of the PDCCH reception providing the DCI format 2_4. </w:t>
      </w:r>
    </w:p>
    <w:p w14:paraId="56D8D093" w14:textId="6BD346C2" w:rsidR="00341C11" w:rsidRDefault="00341C11" w:rsidP="00341C11">
      <w:pPr>
        <w:rPr>
          <w:rFonts w:eastAsia="DengXian"/>
          <w:lang w:val="en-US" w:eastAsia="zh-CN"/>
        </w:rPr>
      </w:pPr>
      <w:r>
        <w:rPr>
          <w:rFonts w:eastAsia="MS Mincho"/>
        </w:rPr>
        <w:t xml:space="preserve">For the serving cell, the UE determines the first symbol of the </w:t>
      </w:r>
      <m:oMath>
        <m:sSub>
          <m:sSubPr>
            <m:ctrlPr>
              <w:rPr>
                <w:rFonts w:ascii="Cambria Math" w:hAnsi="Cambria Math"/>
                <w:i/>
              </w:rPr>
            </m:ctrlPr>
          </m:sSubPr>
          <m:e>
            <m:r>
              <w:rPr>
                <w:rFonts w:ascii="Cambria Math" w:hAnsi="Cambria Math"/>
              </w:rPr>
              <m:t>T</m:t>
            </m:r>
          </m:e>
          <m:sub>
            <m:r>
              <m:rPr>
                <m:sty m:val="p"/>
              </m:rPr>
              <w:rPr>
                <w:rFonts w:ascii="Cambria Math" w:hAnsi="Cambria Math"/>
              </w:rPr>
              <m:t>CI</m:t>
            </m:r>
            <m:ctrlPr>
              <w:rPr>
                <w:rFonts w:ascii="Cambria Math" w:hAnsi="Cambria Math"/>
              </w:rPr>
            </m:ctrlPr>
          </m:sub>
        </m:sSub>
      </m:oMath>
      <w:r>
        <w:rPr>
          <w:rFonts w:eastAsia="MS Mincho"/>
        </w:rPr>
        <w:t xml:space="preserve"> symbols </w:t>
      </w:r>
      <w:r>
        <w:rPr>
          <w:lang w:val="en-US"/>
        </w:rPr>
        <w:t xml:space="preserve">to be the first symbol that is after </w:t>
      </w:r>
      <m:oMath>
        <m:sSub>
          <m:sSubPr>
            <m:ctrlPr>
              <w:rPr>
                <w:rFonts w:ascii="Cambria Math" w:eastAsiaTheme="minorHAnsi" w:hAnsi="Cambria Math"/>
                <w:i/>
              </w:rPr>
            </m:ctrlPr>
          </m:sSubPr>
          <m:e>
            <m:r>
              <w:rPr>
                <w:rFonts w:ascii="Cambria Math" w:hAnsi="Cambria Math"/>
              </w:rPr>
              <m:t>T'</m:t>
            </m:r>
          </m:e>
          <m:sub>
            <m:r>
              <m:rPr>
                <m:sty m:val="p"/>
              </m:rPr>
              <w:rPr>
                <w:rFonts w:ascii="Cambria Math" w:hAnsi="Cambria Math"/>
              </w:rPr>
              <m:t>proc,2</m:t>
            </m:r>
            <m:ctrlPr>
              <w:rPr>
                <w:rFonts w:ascii="Cambria Math" w:eastAsiaTheme="minorHAnsi" w:hAnsi="Cambria Math"/>
              </w:rPr>
            </m:ctrlPr>
          </m:sub>
        </m:sSub>
      </m:oMath>
      <w:r>
        <w:rPr>
          <w:lang w:val="en-US"/>
        </w:rPr>
        <w:t xml:space="preserve"> </w:t>
      </w:r>
      <w:r>
        <w:t xml:space="preserve">from the end of a PDCCH reception where the UE detects the DCI format 2_4, where </w:t>
      </w:r>
      <m:oMath>
        <m:sSub>
          <m:sSubPr>
            <m:ctrlPr>
              <w:rPr>
                <w:rFonts w:ascii="Cambria Math" w:eastAsiaTheme="minorHAnsi" w:hAnsi="Cambria Math"/>
                <w:i/>
              </w:rPr>
            </m:ctrlPr>
          </m:sSubPr>
          <m:e>
            <m:r>
              <w:rPr>
                <w:rFonts w:ascii="Cambria Math" w:hAnsi="Cambria Math"/>
              </w:rPr>
              <m:t>T'</m:t>
            </m:r>
          </m:e>
          <m:sub>
            <m:r>
              <m:rPr>
                <m:sty m:val="p"/>
              </m:rPr>
              <w:rPr>
                <w:rFonts w:ascii="Cambria Math" w:hAnsi="Cambria Math"/>
              </w:rPr>
              <m:t>proc,2</m:t>
            </m:r>
            <m:ctrlPr>
              <w:rPr>
                <w:rFonts w:ascii="Cambria Math" w:eastAsiaTheme="minorHAnsi" w:hAnsi="Cambria Math"/>
              </w:rPr>
            </m:ctrlPr>
          </m:sub>
        </m:sSub>
      </m:oMath>
      <w:r>
        <w:rPr>
          <w:rFonts w:eastAsiaTheme="minorEastAsia"/>
        </w:rPr>
        <w:t xml:space="preserve"> is obtained from</w:t>
      </w:r>
      <w:r>
        <w:t xml:space="preserve"> </w:t>
      </w:r>
      <m:oMath>
        <m:sSub>
          <m:sSubPr>
            <m:ctrlPr>
              <w:rPr>
                <w:rFonts w:ascii="Cambria Math" w:hAnsi="Cambria Math"/>
                <w:i/>
              </w:rPr>
            </m:ctrlPr>
          </m:sSubPr>
          <m:e>
            <m:r>
              <w:rPr>
                <w:rFonts w:ascii="Cambria Math" w:hAnsi="Cambria Math"/>
              </w:rPr>
              <m:t>T</m:t>
            </m:r>
          </m:e>
          <m:sub>
            <m:r>
              <m:rPr>
                <m:sty m:val="p"/>
              </m:rPr>
              <w:rPr>
                <w:rFonts w:ascii="Cambria Math" w:hAnsi="Cambria Math"/>
              </w:rPr>
              <m:t>proc,2</m:t>
            </m:r>
            <m:ctrlPr>
              <w:rPr>
                <w:rFonts w:ascii="Cambria Math" w:hAnsi="Cambria Math"/>
              </w:rPr>
            </m:ctrlPr>
          </m:sub>
        </m:sSub>
      </m:oMath>
      <w:r>
        <w:t xml:space="preserve"> for PUSCH processing capability 2 </w:t>
      </w:r>
      <w:r>
        <w:rPr>
          <w:rFonts w:eastAsia="DengXian"/>
          <w:lang w:val="x-none" w:eastAsia="zh-CN"/>
        </w:rPr>
        <w:t>[6, TS 38.214]</w:t>
      </w:r>
      <w:r>
        <w:rPr>
          <w:rFonts w:eastAsia="DengXian"/>
          <w:lang w:val="x-none"/>
        </w:rPr>
        <w:t xml:space="preserve"> </w:t>
      </w:r>
      <w:r>
        <w:rPr>
          <w:rFonts w:eastAsia="DengXian"/>
          <w:lang w:val="x-none" w:eastAsia="zh-CN"/>
        </w:rPr>
        <w:t>assuming</w:t>
      </w:r>
      <w:r>
        <w:rPr>
          <w:rFonts w:eastAsia="DengXian"/>
          <w:lang w:val="en-US" w:eastAsia="zh-CN"/>
        </w:rPr>
        <w:t xml:space="preserve"> </w:t>
      </w:r>
      <m:oMath>
        <m:sSub>
          <m:sSubPr>
            <m:ctrlPr>
              <w:rPr>
                <w:rFonts w:ascii="Cambria Math" w:eastAsiaTheme="minorHAnsi" w:hAnsi="Cambria Math"/>
                <w:i/>
              </w:rPr>
            </m:ctrlPr>
          </m:sSubPr>
          <m:e>
            <m:r>
              <w:rPr>
                <w:rFonts w:ascii="Cambria Math" w:hAnsi="Cambria Math"/>
              </w:rPr>
              <m:t>d</m:t>
            </m:r>
          </m:e>
          <m:sub>
            <m:r>
              <m:rPr>
                <m:sty m:val="p"/>
              </m:rPr>
              <w:rPr>
                <w:rFonts w:ascii="Cambria Math" w:hAnsi="Cambria Math"/>
              </w:rPr>
              <m:t>2,1</m:t>
            </m:r>
            <m:ctrlPr>
              <w:rPr>
                <w:rFonts w:ascii="Cambria Math" w:eastAsiaTheme="minorHAnsi" w:hAnsi="Cambria Math"/>
              </w:rPr>
            </m:ctrlPr>
          </m:sub>
        </m:sSub>
        <m:r>
          <w:rPr>
            <w:rFonts w:ascii="Cambria Math" w:hAnsi="Cambria Math"/>
          </w:rPr>
          <m:t>=</m:t>
        </m:r>
        <m:sSub>
          <m:sSubPr>
            <m:ctrlPr>
              <w:rPr>
                <w:rFonts w:ascii="Cambria Math" w:eastAsiaTheme="minorHAnsi" w:hAnsi="Cambria Math"/>
                <w:i/>
              </w:rPr>
            </m:ctrlPr>
          </m:sSubPr>
          <m:e>
            <m:r>
              <w:rPr>
                <w:rFonts w:ascii="Cambria Math" w:hAnsi="Cambria Math"/>
              </w:rPr>
              <m:t>d</m:t>
            </m:r>
          </m:e>
          <m:sub>
            <m:r>
              <m:rPr>
                <m:sty m:val="p"/>
              </m:rPr>
              <w:rPr>
                <w:rFonts w:ascii="Cambria Math" w:hAnsi="Cambria Math"/>
              </w:rPr>
              <m:t>offset</m:t>
            </m:r>
            <m:ctrlPr>
              <w:rPr>
                <w:rFonts w:ascii="Cambria Math" w:eastAsiaTheme="minorHAnsi" w:hAnsi="Cambria Math"/>
              </w:rPr>
            </m:ctrlPr>
          </m:sub>
        </m:sSub>
        <m:r>
          <w:rPr>
            <w:rFonts w:ascii="Cambria Math" w:hAnsi="Cambria Math" w:cs="Cambria Math"/>
          </w:rPr>
          <m:t>⋅</m:t>
        </m:r>
        <m:f>
          <m:fPr>
            <m:type m:val="lin"/>
            <m:ctrlPr>
              <w:rPr>
                <w:rFonts w:ascii="Cambria Math" w:hAnsi="Cambria Math"/>
                <w:i/>
              </w:rPr>
            </m:ctrlPr>
          </m:fPr>
          <m:num>
            <m:sSup>
              <m:sSupPr>
                <m:ctrlPr>
                  <w:rPr>
                    <w:rFonts w:ascii="Cambria Math" w:hAnsi="Cambria Math"/>
                    <w:i/>
                  </w:rPr>
                </m:ctrlPr>
              </m:sSupPr>
              <m:e>
                <m:r>
                  <w:rPr>
                    <w:rFonts w:ascii="Cambria Math"/>
                  </w:rPr>
                  <m:t>2</m:t>
                </m:r>
              </m:e>
              <m:sup>
                <m:r>
                  <w:rPr>
                    <w:rFonts w:ascii="Cambria Math"/>
                  </w:rPr>
                  <m:t>-</m:t>
                </m:r>
                <m:sSub>
                  <m:sSubPr>
                    <m:ctrlPr>
                      <w:rPr>
                        <w:rFonts w:ascii="Cambria Math" w:hAnsi="Cambria Math"/>
                        <w:i/>
                      </w:rPr>
                    </m:ctrlPr>
                  </m:sSubPr>
                  <m:e>
                    <m:r>
                      <w:rPr>
                        <w:rFonts w:ascii="Cambria Math"/>
                      </w:rPr>
                      <m:t>μ</m:t>
                    </m:r>
                  </m:e>
                  <m:sub>
                    <m:r>
                      <w:rPr>
                        <w:rFonts w:ascii="Cambria Math"/>
                      </w:rPr>
                      <m:t>UL</m:t>
                    </m:r>
                  </m:sub>
                </m:sSub>
              </m:sup>
            </m:sSup>
          </m:num>
          <m:den>
            <m:sSup>
              <m:sSupPr>
                <m:ctrlPr>
                  <w:rPr>
                    <w:rFonts w:ascii="Cambria Math" w:hAnsi="Cambria Math"/>
                    <w:i/>
                  </w:rPr>
                </m:ctrlPr>
              </m:sSupPr>
              <m:e>
                <m:r>
                  <w:rPr>
                    <w:rFonts w:ascii="Cambria Math"/>
                  </w:rPr>
                  <m:t>2</m:t>
                </m:r>
              </m:e>
              <m:sup>
                <m:r>
                  <w:rPr>
                    <w:rFonts w:ascii="Cambria Math"/>
                  </w:rPr>
                  <m:t>-</m:t>
                </m:r>
                <m:r>
                  <w:rPr>
                    <w:rFonts w:ascii="Cambria Math"/>
                  </w:rPr>
                  <m:t>μ</m:t>
                </m:r>
              </m:sup>
            </m:sSup>
          </m:den>
        </m:f>
      </m:oMath>
      <w:r>
        <w:rPr>
          <w:rFonts w:eastAsia="DengXian"/>
        </w:rPr>
        <w:t xml:space="preserve"> where </w:t>
      </w:r>
      <m:oMath>
        <m:sSub>
          <m:sSubPr>
            <m:ctrlPr>
              <w:rPr>
                <w:rFonts w:ascii="Cambria Math" w:eastAsiaTheme="minorHAnsi" w:hAnsi="Cambria Math"/>
                <w:i/>
              </w:rPr>
            </m:ctrlPr>
          </m:sSubPr>
          <m:e>
            <m:r>
              <w:rPr>
                <w:rFonts w:ascii="Cambria Math" w:hAnsi="Cambria Math"/>
              </w:rPr>
              <m:t>d</m:t>
            </m:r>
          </m:e>
          <m:sub>
            <m:r>
              <m:rPr>
                <m:sty m:val="p"/>
              </m:rPr>
              <w:rPr>
                <w:rFonts w:ascii="Cambria Math" w:hAnsi="Cambria Math"/>
              </w:rPr>
              <m:t>offset</m:t>
            </m:r>
            <m:ctrlPr>
              <w:rPr>
                <w:rFonts w:ascii="Cambria Math" w:eastAsiaTheme="minorHAnsi" w:hAnsi="Cambria Math"/>
              </w:rPr>
            </m:ctrlPr>
          </m:sub>
        </m:sSub>
      </m:oMath>
      <w:r>
        <w:rPr>
          <w:rFonts w:eastAsia="DengXian"/>
        </w:rPr>
        <w:t xml:space="preserve"> is provided by </w:t>
      </w:r>
      <w:r>
        <w:rPr>
          <w:rFonts w:eastAsia="DengXian"/>
          <w:i/>
          <w:iCs/>
        </w:rPr>
        <w:t>delta_</w:t>
      </w:r>
      <w:r w:rsidR="0023606D">
        <w:rPr>
          <w:rFonts w:eastAsia="DengXian"/>
          <w:i/>
          <w:iCs/>
        </w:rPr>
        <w:t>Offset</w:t>
      </w:r>
      <w:r>
        <w:rPr>
          <w:rFonts w:eastAsia="DengXian"/>
        </w:rPr>
        <w:t>,</w:t>
      </w:r>
      <w:r>
        <w:rPr>
          <w:rFonts w:eastAsia="DengXian"/>
          <w:lang w:val="x-none" w:eastAsia="zh-CN"/>
        </w:rPr>
        <w:t xml:space="preserve"> </w:t>
      </w:r>
      <m:oMath>
        <m:r>
          <w:rPr>
            <w:rFonts w:ascii="Cambria Math" w:hAnsi="Cambria Math"/>
          </w:rPr>
          <m:t>μ</m:t>
        </m:r>
      </m:oMath>
      <w:r>
        <w:rPr>
          <w:rFonts w:eastAsia="DengXian"/>
          <w:lang w:val="x-none" w:eastAsia="zh-CN"/>
        </w:rPr>
        <w:t xml:space="preserve"> </w:t>
      </w:r>
      <w:r>
        <w:rPr>
          <w:rFonts w:eastAsia="DengXian"/>
          <w:lang w:val="en-US" w:eastAsia="zh-CN"/>
        </w:rPr>
        <w:t>being</w:t>
      </w:r>
      <w:r>
        <w:rPr>
          <w:rFonts w:eastAsia="DengXian"/>
          <w:lang w:val="x-none" w:eastAsia="zh-CN"/>
        </w:rPr>
        <w:t xml:space="preserve"> the smallest SCS configuration </w:t>
      </w:r>
      <w:r>
        <w:rPr>
          <w:lang w:val="x-none" w:eastAsia="zh-CN"/>
        </w:rPr>
        <w:t>between</w:t>
      </w:r>
      <w:r>
        <w:rPr>
          <w:rFonts w:eastAsia="DengXian"/>
          <w:lang w:val="x-none" w:eastAsia="zh-CN"/>
        </w:rPr>
        <w:t xml:space="preserve"> the SCS configuration of the PDCCH</w:t>
      </w:r>
      <w:r>
        <w:rPr>
          <w:lang w:val="x-none" w:eastAsia="zh-CN"/>
        </w:rPr>
        <w:t xml:space="preserve"> and</w:t>
      </w:r>
      <w:r>
        <w:rPr>
          <w:rFonts w:eastAsia="DengXian"/>
          <w:lang w:val="x-none" w:eastAsia="zh-CN"/>
        </w:rPr>
        <w:t xml:space="preserve"> </w:t>
      </w:r>
      <w:r>
        <w:rPr>
          <w:rFonts w:eastAsia="DengXian"/>
          <w:lang w:val="en-US" w:eastAsia="zh-CN"/>
        </w:rPr>
        <w:t xml:space="preserve">the smallest </w:t>
      </w:r>
      <w:r>
        <w:rPr>
          <w:iCs/>
        </w:rPr>
        <w:t xml:space="preserve">SCS configuration </w:t>
      </w:r>
      <m:oMath>
        <m:sSub>
          <m:sSubPr>
            <m:ctrlPr>
              <w:rPr>
                <w:rFonts w:ascii="Cambria Math" w:hAnsi="Cambria Math"/>
                <w:i/>
                <w:iCs/>
              </w:rPr>
            </m:ctrlPr>
          </m:sSubPr>
          <m:e>
            <m:r>
              <w:rPr>
                <w:rFonts w:ascii="Cambria Math" w:hAnsi="Cambria Math"/>
              </w:rPr>
              <m:t>μ</m:t>
            </m:r>
          </m:e>
          <m:sub>
            <m:r>
              <m:rPr>
                <m:sty m:val="p"/>
              </m:rPr>
              <w:rPr>
                <w:rFonts w:ascii="Cambria Math" w:hAnsi="Cambria Math"/>
              </w:rPr>
              <m:t>UL</m:t>
            </m:r>
          </m:sub>
        </m:sSub>
      </m:oMath>
      <w:r>
        <w:rPr>
          <w:iCs/>
        </w:rPr>
        <w:t xml:space="preserve"> provided in </w:t>
      </w:r>
      <w:r>
        <w:rPr>
          <w:i/>
        </w:rPr>
        <w:t>scs-SpecificCarrierList</w:t>
      </w:r>
      <w:r>
        <w:rPr>
          <w:iCs/>
        </w:rPr>
        <w:t xml:space="preserve"> of </w:t>
      </w:r>
      <w:r>
        <w:rPr>
          <w:i/>
        </w:rPr>
        <w:t>FrequencyInfoUL</w:t>
      </w:r>
      <w:r>
        <w:rPr>
          <w:iCs/>
        </w:rPr>
        <w:t xml:space="preserve"> or </w:t>
      </w:r>
      <w:r>
        <w:rPr>
          <w:i/>
        </w:rPr>
        <w:t>FrequencyInfoUL-SIB</w:t>
      </w:r>
      <w:r>
        <w:rPr>
          <w:rFonts w:eastAsia="DengXian"/>
          <w:lang w:val="en-US" w:eastAsia="zh-CN"/>
        </w:rPr>
        <w:t xml:space="preserve">. The UE </w:t>
      </w:r>
      <w:r>
        <w:lastRenderedPageBreak/>
        <w:t xml:space="preserve">does not expect to cancel the PUSCH transmission or the SRS transmission before a corresponding symbol that is </w:t>
      </w:r>
      <m:oMath>
        <m:sSub>
          <m:sSubPr>
            <m:ctrlPr>
              <w:rPr>
                <w:rFonts w:ascii="Cambria Math" w:hAnsi="Cambria Math"/>
                <w:i/>
              </w:rPr>
            </m:ctrlPr>
          </m:sSubPr>
          <m:e>
            <m:r>
              <w:rPr>
                <w:rFonts w:ascii="Cambria Math" w:hAnsi="Cambria Math"/>
              </w:rPr>
              <m:t>T</m:t>
            </m:r>
          </m:e>
          <m:sub>
            <m:r>
              <m:rPr>
                <m:sty m:val="p"/>
              </m:rPr>
              <w:rPr>
                <w:rFonts w:ascii="Cambria Math" w:hAnsi="Cambria Math"/>
              </w:rPr>
              <m:t>proc,2</m:t>
            </m:r>
            <m:ctrlPr>
              <w:rPr>
                <w:rFonts w:ascii="Cambria Math" w:hAnsi="Cambria Math"/>
              </w:rPr>
            </m:ctrlPr>
          </m:sub>
        </m:sSub>
      </m:oMath>
      <w:r>
        <w:rPr>
          <w:rFonts w:eastAsiaTheme="minorEastAsia"/>
          <w:lang w:eastAsia="zh-CN"/>
        </w:rPr>
        <w:t xml:space="preserve"> assuming that </w:t>
      </w:r>
      <m:oMath>
        <m:sSub>
          <m:sSubPr>
            <m:ctrlPr>
              <w:rPr>
                <w:rFonts w:ascii="Cambria Math" w:eastAsiaTheme="minorHAnsi" w:hAnsi="Cambria Math"/>
                <w:i/>
              </w:rPr>
            </m:ctrlPr>
          </m:sSubPr>
          <m:e>
            <m:r>
              <w:rPr>
                <w:rFonts w:ascii="Cambria Math" w:hAnsi="Cambria Math"/>
              </w:rPr>
              <m:t>d</m:t>
            </m:r>
          </m:e>
          <m:sub>
            <m:r>
              <m:rPr>
                <m:sty m:val="p"/>
              </m:rPr>
              <w:rPr>
                <w:rFonts w:ascii="Cambria Math" w:hAnsi="Cambria Math"/>
              </w:rPr>
              <m:t>2,1</m:t>
            </m:r>
            <m:ctrlPr>
              <w:rPr>
                <w:rFonts w:ascii="Cambria Math" w:eastAsiaTheme="minorHAnsi" w:hAnsi="Cambria Math"/>
              </w:rPr>
            </m:ctrlPr>
          </m:sub>
        </m:sSub>
        <m:r>
          <w:rPr>
            <w:rFonts w:ascii="Cambria Math" w:hAnsi="Cambria Math"/>
          </w:rPr>
          <m:t>=</m:t>
        </m:r>
        <m:r>
          <w:rPr>
            <w:rFonts w:ascii="Cambria Math" w:eastAsiaTheme="minorHAnsi" w:hAnsi="Cambria Math"/>
          </w:rPr>
          <m:t>0</m:t>
        </m:r>
      </m:oMath>
      <w:r>
        <w:rPr>
          <w:rFonts w:eastAsiaTheme="minorEastAsia"/>
        </w:rPr>
        <w:t xml:space="preserve"> </w:t>
      </w:r>
      <w:r>
        <w:t xml:space="preserve">after a last symbol of </w:t>
      </w:r>
      <w:r w:rsidR="004C3224" w:rsidRPr="00F415B1">
        <w:t>the PDCCH reception</w:t>
      </w:r>
      <w:r>
        <w:t xml:space="preserve"> where the UE detects the DCI format 2_4.</w:t>
      </w:r>
    </w:p>
    <w:p w14:paraId="08B16D0C" w14:textId="20326A7B" w:rsidR="00AA22CF" w:rsidRDefault="00AA22CF" w:rsidP="00AA22CF">
      <w:pPr>
        <w:rPr>
          <w:rFonts w:eastAsia="DengXian"/>
          <w:lang w:val="en-US" w:eastAsia="zh-CN"/>
        </w:rPr>
      </w:pPr>
      <w:r w:rsidRPr="00E94087">
        <w:rPr>
          <w:rFonts w:eastAsia="DengXian"/>
          <w:lang w:val="en-US" w:eastAsia="zh-CN"/>
        </w:rPr>
        <w:t>A UE that detects a DCI format 2_4 for a serving cell cancels a PUSCH transmission or a</w:t>
      </w:r>
      <w:r w:rsidR="00341C11">
        <w:rPr>
          <w:rFonts w:eastAsia="DengXian"/>
          <w:lang w:val="en-US" w:eastAsia="zh-CN"/>
        </w:rPr>
        <w:t>n actual</w:t>
      </w:r>
      <w:r w:rsidRPr="00E94087">
        <w:rPr>
          <w:rFonts w:eastAsia="DengXian"/>
          <w:lang w:val="en-US" w:eastAsia="zh-CN"/>
        </w:rPr>
        <w:t xml:space="preserve"> repetition of a PUSCH transmission [6, TS 38.214] if the PUSCH transmission is with repetition</w:t>
      </w:r>
      <w:r w:rsidR="007013CE">
        <w:rPr>
          <w:rFonts w:eastAsia="DengXian"/>
          <w:lang w:val="en-US" w:eastAsia="zh-CN"/>
        </w:rPr>
        <w:t xml:space="preserve"> Type B</w:t>
      </w:r>
      <w:r w:rsidRPr="00E94087">
        <w:rPr>
          <w:rFonts w:eastAsia="DengXian"/>
          <w:lang w:val="en-US" w:eastAsia="zh-CN"/>
        </w:rPr>
        <w:t xml:space="preserve">, </w:t>
      </w:r>
      <w:r w:rsidR="00341C11">
        <w:rPr>
          <w:rFonts w:eastAsia="DengXian"/>
          <w:lang w:val="en-US" w:eastAsia="zh-CN"/>
        </w:rPr>
        <w:t xml:space="preserve">as determined </w:t>
      </w:r>
      <w:r w:rsidR="006F5F9E">
        <w:rPr>
          <w:rFonts w:eastAsia="DengXian"/>
          <w:lang w:val="en-US" w:eastAsia="zh-CN"/>
        </w:rPr>
        <w:t>in clause</w:t>
      </w:r>
      <w:r w:rsidR="00341C11">
        <w:rPr>
          <w:rFonts w:eastAsia="DengXian"/>
          <w:lang w:val="en-US" w:eastAsia="zh-CN"/>
        </w:rPr>
        <w:t xml:space="preserve">s 9 and 9.2.5 or </w:t>
      </w:r>
      <w:r w:rsidR="006F5F9E">
        <w:rPr>
          <w:rFonts w:eastAsia="DengXian"/>
          <w:lang w:val="en-US" w:eastAsia="zh-CN"/>
        </w:rPr>
        <w:t>in clause</w:t>
      </w:r>
      <w:r w:rsidR="00341C11">
        <w:rPr>
          <w:rFonts w:eastAsia="DengXian"/>
          <w:lang w:val="en-US" w:eastAsia="zh-CN"/>
        </w:rPr>
        <w:t xml:space="preserve"> 6.1 of [6, TS 38.214], </w:t>
      </w:r>
      <w:r w:rsidRPr="00E94087">
        <w:rPr>
          <w:rFonts w:eastAsia="DengXian"/>
          <w:lang w:val="en-US" w:eastAsia="zh-CN"/>
        </w:rPr>
        <w:t>or an SRS transmission on the serving cell if, respectively,</w:t>
      </w:r>
    </w:p>
    <w:p w14:paraId="6F5EE6F8" w14:textId="6311CE3B" w:rsidR="00341C11" w:rsidRPr="008D7B0A" w:rsidRDefault="00341C11" w:rsidP="008D7B0A">
      <w:pPr>
        <w:pStyle w:val="B1"/>
        <w:rPr>
          <w:rFonts w:eastAsia="DengXian"/>
          <w:lang w:eastAsia="zh-CN"/>
        </w:rPr>
      </w:pPr>
      <w:r>
        <w:t>-</w:t>
      </w:r>
      <w:r>
        <w:tab/>
      </w:r>
      <w:r>
        <w:rPr>
          <w:lang w:val="en-US"/>
        </w:rPr>
        <w:t xml:space="preserve">the transmission is PUSCH with priority 0, if the UE is provided </w:t>
      </w:r>
      <w:r w:rsidR="0023606D" w:rsidRPr="00882C4D">
        <w:rPr>
          <w:i/>
          <w:iCs/>
        </w:rPr>
        <w:t>uplinkCancellationPriority</w:t>
      </w:r>
      <w:r>
        <w:rPr>
          <w:rFonts w:eastAsia="DengXian"/>
          <w:lang w:eastAsia="zh-CN"/>
        </w:rPr>
        <w:t>,</w:t>
      </w:r>
    </w:p>
    <w:p w14:paraId="19B12906" w14:textId="0C6E8442" w:rsidR="00AA22CF" w:rsidRPr="00E94087" w:rsidRDefault="00AA22CF" w:rsidP="00AA22CF">
      <w:pPr>
        <w:pStyle w:val="B1"/>
        <w:rPr>
          <w:rFonts w:eastAsia="DengXian"/>
          <w:lang w:eastAsia="zh-CN"/>
        </w:rPr>
      </w:pPr>
      <w:r w:rsidRPr="00E94087">
        <w:t>-</w:t>
      </w:r>
      <w:r w:rsidRPr="00E94087">
        <w:tab/>
        <w:t xml:space="preserve">a group of symbols, </w:t>
      </w:r>
      <w:r w:rsidRPr="00E94087">
        <w:rPr>
          <w:rFonts w:eastAsia="DengXian"/>
          <w:lang w:eastAsia="zh-CN"/>
        </w:rPr>
        <w:t xml:space="preserve">from the </w:t>
      </w:r>
      <m:oMath>
        <m:sSub>
          <m:sSubPr>
            <m:ctrlPr>
              <w:rPr>
                <w:rFonts w:ascii="Cambria Math" w:hAnsi="Cambria Math"/>
                <w:i/>
              </w:rPr>
            </m:ctrlPr>
          </m:sSubPr>
          <m:e>
            <m:r>
              <w:rPr>
                <w:rFonts w:ascii="Cambria Math"/>
              </w:rPr>
              <m:t>T</m:t>
            </m:r>
          </m:e>
          <m:sub>
            <m:r>
              <m:rPr>
                <m:nor/>
              </m:rPr>
              <w:rPr>
                <w:rFonts w:ascii="Cambria Math"/>
              </w:rPr>
              <m:t>CI</m:t>
            </m:r>
            <m:ctrlPr>
              <w:rPr>
                <w:rFonts w:ascii="Cambria Math" w:hAnsi="Cambria Math"/>
              </w:rPr>
            </m:ctrlPr>
          </m:sub>
        </m:sSub>
      </m:oMath>
      <w:r w:rsidRPr="00E94087">
        <w:rPr>
          <w:rFonts w:eastAsia="DengXian"/>
          <w:lang w:eastAsia="zh-CN"/>
        </w:rPr>
        <w:t xml:space="preserve"> symbols, has </w:t>
      </w:r>
      <w:r w:rsidR="00341C11">
        <w:rPr>
          <w:rFonts w:eastAsia="DengXian"/>
          <w:lang w:val="en-US" w:eastAsia="zh-CN"/>
        </w:rPr>
        <w:t>at least one</w:t>
      </w:r>
      <w:r w:rsidRPr="00E94087">
        <w:rPr>
          <w:rFonts w:eastAsia="DengXian"/>
          <w:lang w:eastAsia="zh-CN"/>
        </w:rPr>
        <w:t xml:space="preserve"> bit value of </w:t>
      </w:r>
      <w:r>
        <w:rPr>
          <w:rFonts w:eastAsia="DengXian"/>
          <w:lang w:eastAsia="zh-CN"/>
        </w:rPr>
        <w:t>'</w:t>
      </w:r>
      <w:r w:rsidRPr="00E94087">
        <w:rPr>
          <w:rFonts w:eastAsia="DengXian"/>
          <w:lang w:eastAsia="zh-CN"/>
        </w:rPr>
        <w:t>1</w:t>
      </w:r>
      <w:r>
        <w:rPr>
          <w:rFonts w:eastAsia="DengXian"/>
          <w:lang w:eastAsia="zh-CN"/>
        </w:rPr>
        <w:t>'</w:t>
      </w:r>
      <w:r w:rsidRPr="00E94087">
        <w:rPr>
          <w:rFonts w:eastAsia="DengXian"/>
          <w:lang w:eastAsia="zh-CN"/>
        </w:rPr>
        <w:t xml:space="preserve"> </w:t>
      </w:r>
      <w:r w:rsidR="00341C11">
        <w:rPr>
          <w:rFonts w:eastAsia="DengXian"/>
          <w:lang w:val="en-US" w:eastAsia="zh-CN"/>
        </w:rPr>
        <w:t xml:space="preserve">in the corresponding set of </w:t>
      </w:r>
      <m:oMath>
        <m:sSub>
          <m:sSubPr>
            <m:ctrlPr>
              <w:rPr>
                <w:rFonts w:ascii="Cambria Math" w:hAnsi="Cambria Math" w:cs="Calibri"/>
                <w:i/>
                <w:iCs/>
                <w:sz w:val="21"/>
                <w:szCs w:val="21"/>
              </w:rPr>
            </m:ctrlPr>
          </m:sSubPr>
          <m:e>
            <m:r>
              <w:rPr>
                <w:rFonts w:ascii="Cambria Math" w:hAnsi="Cambria Math"/>
              </w:rPr>
              <m:t>N</m:t>
            </m:r>
          </m:e>
          <m:sub>
            <m:r>
              <m:rPr>
                <m:sty m:val="p"/>
              </m:rPr>
              <w:rPr>
                <w:rFonts w:ascii="Cambria Math" w:hAnsi="Cambria Math"/>
              </w:rPr>
              <m:t>BI</m:t>
            </m:r>
            <m:ctrlPr>
              <w:rPr>
                <w:rFonts w:ascii="Cambria Math" w:hAnsi="Cambria Math" w:cs="Calibri"/>
                <w:sz w:val="21"/>
                <w:szCs w:val="21"/>
              </w:rPr>
            </m:ctrlPr>
          </m:sub>
        </m:sSub>
      </m:oMath>
      <w:r w:rsidR="00341C11">
        <w:rPr>
          <w:rFonts w:eastAsia="DengXian"/>
          <w:lang w:val="en-US" w:eastAsia="zh-CN"/>
        </w:rPr>
        <w:t xml:space="preserve"> bits </w:t>
      </w:r>
      <w:r w:rsidRPr="00E94087">
        <w:rPr>
          <w:rFonts w:eastAsia="DengXian"/>
          <w:lang w:eastAsia="zh-CN"/>
        </w:rPr>
        <w:t>in the DCI format 2_4 and includes a symbol of the (repetition of the) PUSCH transmission or of the SRS transmission, and</w:t>
      </w:r>
    </w:p>
    <w:p w14:paraId="3C7F7F7B" w14:textId="186EB311" w:rsidR="00AA22CF" w:rsidRPr="00AA22CF" w:rsidRDefault="00AA22CF" w:rsidP="00AA22CF">
      <w:pPr>
        <w:pStyle w:val="B1"/>
        <w:rPr>
          <w:rFonts w:eastAsia="DengXian"/>
          <w:lang w:val="en-US" w:eastAsia="zh-CN"/>
        </w:rPr>
      </w:pPr>
      <w:r w:rsidRPr="00E94087">
        <w:t>-</w:t>
      </w:r>
      <w:r w:rsidRPr="00E94087">
        <w:tab/>
        <w:t xml:space="preserve">a group of PRBs, </w:t>
      </w:r>
      <w:r w:rsidRPr="00E94087">
        <w:rPr>
          <w:rFonts w:eastAsia="DengXian"/>
          <w:lang w:eastAsia="zh-CN"/>
        </w:rPr>
        <w:t xml:space="preserve">from the </w:t>
      </w:r>
      <m:oMath>
        <m:sSub>
          <m:sSubPr>
            <m:ctrlPr>
              <w:rPr>
                <w:rFonts w:ascii="Cambria Math" w:hAnsi="Cambria Math"/>
                <w:i/>
              </w:rPr>
            </m:ctrlPr>
          </m:sSubPr>
          <m:e>
            <m:r>
              <w:rPr>
                <w:rFonts w:ascii="Cambria Math"/>
              </w:rPr>
              <m:t>B</m:t>
            </m:r>
          </m:e>
          <m:sub>
            <m:r>
              <m:rPr>
                <m:nor/>
              </m:rPr>
              <w:rPr>
                <w:rFonts w:ascii="Cambria Math"/>
              </w:rPr>
              <m:t>CI</m:t>
            </m:r>
            <m:ctrlPr>
              <w:rPr>
                <w:rFonts w:ascii="Cambria Math" w:hAnsi="Cambria Math"/>
              </w:rPr>
            </m:ctrlPr>
          </m:sub>
        </m:sSub>
      </m:oMath>
      <w:r w:rsidRPr="00E94087">
        <w:rPr>
          <w:rFonts w:eastAsia="DengXian"/>
          <w:lang w:eastAsia="zh-CN"/>
        </w:rPr>
        <w:t xml:space="preserve"> PRBs, has a corresponding bit value of </w:t>
      </w:r>
      <w:r>
        <w:rPr>
          <w:rFonts w:eastAsia="DengXian"/>
          <w:lang w:eastAsia="zh-CN"/>
        </w:rPr>
        <w:t>'</w:t>
      </w:r>
      <w:r w:rsidRPr="00E94087">
        <w:rPr>
          <w:rFonts w:eastAsia="DengXian"/>
          <w:lang w:eastAsia="zh-CN"/>
        </w:rPr>
        <w:t>1</w:t>
      </w:r>
      <w:r>
        <w:rPr>
          <w:rFonts w:eastAsia="DengXian"/>
          <w:lang w:eastAsia="zh-CN"/>
        </w:rPr>
        <w:t>'</w:t>
      </w:r>
      <w:r w:rsidRPr="00E94087">
        <w:rPr>
          <w:rFonts w:eastAsia="DengXian"/>
          <w:lang w:eastAsia="zh-CN"/>
        </w:rPr>
        <w:t xml:space="preserve"> </w:t>
      </w:r>
      <w:r w:rsidR="00341C11">
        <w:rPr>
          <w:rFonts w:eastAsia="DengXian"/>
          <w:lang w:val="en-US" w:eastAsia="zh-CN"/>
        </w:rPr>
        <w:t xml:space="preserve">in the set of bits corresponding to the group of symbols </w:t>
      </w:r>
      <w:r w:rsidRPr="00E94087">
        <w:rPr>
          <w:rFonts w:eastAsia="DengXian"/>
          <w:lang w:eastAsia="zh-CN"/>
        </w:rPr>
        <w:t>in the DCI format 2_4 and includes a PRB of the (repetition of the) PUSCH transmission or of the SRS transmission</w:t>
      </w:r>
      <w:r>
        <w:rPr>
          <w:rFonts w:eastAsia="DengXian"/>
          <w:lang w:val="en-US" w:eastAsia="zh-CN"/>
        </w:rPr>
        <w:t>,</w:t>
      </w:r>
    </w:p>
    <w:p w14:paraId="024A6349" w14:textId="77777777" w:rsidR="00AA22CF" w:rsidRPr="00E94087" w:rsidRDefault="00AA22CF" w:rsidP="00AA22CF">
      <w:pPr>
        <w:rPr>
          <w:rFonts w:eastAsia="DengXian"/>
          <w:lang w:val="en-US" w:eastAsia="zh-CN"/>
        </w:rPr>
      </w:pPr>
      <w:r w:rsidRPr="00E94087">
        <w:rPr>
          <w:rFonts w:eastAsia="DengXian"/>
          <w:lang w:val="en-US" w:eastAsia="zh-CN"/>
        </w:rPr>
        <w:t xml:space="preserve">where </w:t>
      </w:r>
    </w:p>
    <w:p w14:paraId="7ACF9393" w14:textId="22B1B5EB" w:rsidR="00AA22CF" w:rsidRPr="00E94087" w:rsidRDefault="00AA22CF" w:rsidP="00AA22CF">
      <w:pPr>
        <w:pStyle w:val="B1"/>
        <w:rPr>
          <w:rFonts w:eastAsia="DengXian"/>
          <w:lang w:eastAsia="zh-CN"/>
        </w:rPr>
      </w:pPr>
      <w:r w:rsidRPr="00E94087">
        <w:t>-</w:t>
      </w:r>
      <w:r w:rsidRPr="00E94087">
        <w:tab/>
      </w:r>
      <w:r w:rsidRPr="00E94087">
        <w:rPr>
          <w:rFonts w:eastAsia="DengXian"/>
          <w:lang w:eastAsia="zh-CN"/>
        </w:rPr>
        <w:t xml:space="preserve">the cancellation of the (repetition of the) PUSCH transmission includes all symbols from the earliest symbol of the (repetition of the) PUSCH transmission that </w:t>
      </w:r>
      <w:r w:rsidR="00341C11">
        <w:rPr>
          <w:rFonts w:eastAsia="DengXian"/>
          <w:lang w:val="en-US" w:eastAsia="zh-CN"/>
        </w:rPr>
        <w:t xml:space="preserve">is in a </w:t>
      </w:r>
      <w:r w:rsidRPr="00E94087">
        <w:rPr>
          <w:rFonts w:eastAsia="DengXian"/>
          <w:lang w:eastAsia="zh-CN"/>
        </w:rPr>
        <w:t xml:space="preserve">group of symbols having corresponding bit values of </w:t>
      </w:r>
      <w:r>
        <w:rPr>
          <w:rFonts w:eastAsia="DengXian"/>
          <w:lang w:eastAsia="zh-CN"/>
        </w:rPr>
        <w:t>'</w:t>
      </w:r>
      <w:r w:rsidRPr="00E94087">
        <w:rPr>
          <w:rFonts w:eastAsia="DengXian"/>
          <w:lang w:eastAsia="zh-CN"/>
        </w:rPr>
        <w:t>1</w:t>
      </w:r>
      <w:r>
        <w:rPr>
          <w:rFonts w:eastAsia="DengXian"/>
          <w:lang w:eastAsia="zh-CN"/>
        </w:rPr>
        <w:t>'</w:t>
      </w:r>
      <w:r w:rsidRPr="00E94087">
        <w:rPr>
          <w:rFonts w:eastAsia="DengXian"/>
          <w:lang w:eastAsia="zh-CN"/>
        </w:rPr>
        <w:t xml:space="preserve"> in the DCI format 2_4</w:t>
      </w:r>
      <w:r>
        <w:rPr>
          <w:rFonts w:eastAsia="DengXian"/>
          <w:lang w:val="en-US" w:eastAsia="zh-CN"/>
        </w:rPr>
        <w:t>;</w:t>
      </w:r>
      <w:r w:rsidRPr="00E94087">
        <w:rPr>
          <w:rFonts w:eastAsia="DengXian"/>
          <w:lang w:eastAsia="zh-CN"/>
        </w:rPr>
        <w:t xml:space="preserve"> </w:t>
      </w:r>
    </w:p>
    <w:p w14:paraId="459AED53" w14:textId="092B8420" w:rsidR="00AA22CF" w:rsidRDefault="00AA22CF" w:rsidP="00AA22CF">
      <w:pPr>
        <w:pStyle w:val="B1"/>
        <w:rPr>
          <w:rFonts w:eastAsia="DengXian"/>
          <w:lang w:val="en-US" w:eastAsia="zh-CN"/>
        </w:rPr>
      </w:pPr>
      <w:r w:rsidRPr="00E94087">
        <w:t>-</w:t>
      </w:r>
      <w:r w:rsidRPr="00E94087">
        <w:tab/>
      </w:r>
      <w:r w:rsidRPr="00E94087">
        <w:rPr>
          <w:rFonts w:eastAsia="DengXian"/>
          <w:lang w:eastAsia="zh-CN"/>
        </w:rPr>
        <w:t xml:space="preserve">the cancellation of the SRS transmission includes only symbols that are in one or more groups of symbols having corresponding bit values of </w:t>
      </w:r>
      <w:r>
        <w:rPr>
          <w:rFonts w:eastAsia="DengXian"/>
          <w:lang w:eastAsia="zh-CN"/>
        </w:rPr>
        <w:t>'</w:t>
      </w:r>
      <w:r w:rsidRPr="00E94087">
        <w:rPr>
          <w:rFonts w:eastAsia="DengXian"/>
          <w:lang w:eastAsia="zh-CN"/>
        </w:rPr>
        <w:t>1</w:t>
      </w:r>
      <w:r>
        <w:rPr>
          <w:rFonts w:eastAsia="DengXian"/>
          <w:lang w:eastAsia="zh-CN"/>
        </w:rPr>
        <w:t>'</w:t>
      </w:r>
      <w:r w:rsidRPr="00E94087">
        <w:rPr>
          <w:rFonts w:eastAsia="DengXian"/>
          <w:lang w:eastAsia="zh-CN"/>
        </w:rPr>
        <w:t xml:space="preserve"> in the DCI format 2_4</w:t>
      </w:r>
      <w:r>
        <w:rPr>
          <w:rFonts w:eastAsia="DengXian"/>
          <w:lang w:val="en-US" w:eastAsia="zh-CN"/>
        </w:rPr>
        <w:t>.</w:t>
      </w:r>
    </w:p>
    <w:p w14:paraId="657873EC" w14:textId="3934AD58" w:rsidR="00341C11" w:rsidRPr="00AA22CF" w:rsidRDefault="00341C11" w:rsidP="008D7B0A">
      <w:pPr>
        <w:rPr>
          <w:i/>
          <w:lang w:val="en-US" w:eastAsia="zh-CN"/>
        </w:rPr>
      </w:pPr>
      <w:r>
        <w:t xml:space="preserve">If, based on an indication by a DCI format 2_4, a UE cancels a PUSCH transmission or an SRS transmission, the UE does not expect to be scheduled by a second DCI format to transmit a PUSCH or an SRS over symbols that include symbols of the cancelled PUSCH transmission or SRS transmission, where the last symbol of the PDCCH reception providing the second DCI format is </w:t>
      </w:r>
      <w:r w:rsidR="005D78E0">
        <w:t>no earlier</w:t>
      </w:r>
      <w:r>
        <w:t xml:space="preserve"> than the first symbol of the PDCCH reception providing the DCI format 2_4.</w:t>
      </w:r>
    </w:p>
    <w:p w14:paraId="071FDFCC" w14:textId="77777777" w:rsidR="00E56109" w:rsidRPr="00B916EC" w:rsidRDefault="00E56109" w:rsidP="00E56109">
      <w:pPr>
        <w:pStyle w:val="Heading2"/>
        <w:rPr>
          <w:lang w:eastAsia="zh-CN"/>
        </w:rPr>
      </w:pPr>
      <w:bookmarkStart w:id="764" w:name="_Toc12021492"/>
      <w:bookmarkStart w:id="765" w:name="_Toc20311604"/>
      <w:bookmarkStart w:id="766" w:name="_Toc26719429"/>
      <w:bookmarkStart w:id="767" w:name="_Toc29894865"/>
      <w:bookmarkStart w:id="768" w:name="_Toc29899164"/>
      <w:bookmarkStart w:id="769" w:name="_Toc29899582"/>
      <w:bookmarkStart w:id="770" w:name="_Toc29917322"/>
      <w:bookmarkStart w:id="771" w:name="_Toc36498196"/>
      <w:bookmarkStart w:id="772" w:name="_Toc45699224"/>
      <w:bookmarkStart w:id="773" w:name="_Toc161999157"/>
      <w:r>
        <w:rPr>
          <w:lang w:eastAsia="zh-CN"/>
        </w:rPr>
        <w:t>11.3</w:t>
      </w:r>
      <w:r>
        <w:rPr>
          <w:lang w:eastAsia="zh-CN"/>
        </w:rPr>
        <w:tab/>
        <w:t>Group TPC commands for PUCCH/PUSCH</w:t>
      </w:r>
      <w:bookmarkEnd w:id="764"/>
      <w:bookmarkEnd w:id="765"/>
      <w:bookmarkEnd w:id="766"/>
      <w:bookmarkEnd w:id="767"/>
      <w:bookmarkEnd w:id="768"/>
      <w:bookmarkEnd w:id="769"/>
      <w:bookmarkEnd w:id="770"/>
      <w:bookmarkEnd w:id="771"/>
      <w:bookmarkEnd w:id="772"/>
      <w:bookmarkEnd w:id="773"/>
    </w:p>
    <w:p w14:paraId="6CD95ACA" w14:textId="77777777" w:rsidR="00AD4381" w:rsidRDefault="00FE7E3A" w:rsidP="00AD4381">
      <w:pPr>
        <w:rPr>
          <w:lang w:eastAsia="zh-CN"/>
        </w:rPr>
      </w:pPr>
      <w:r>
        <w:rPr>
          <w:lang w:eastAsia="zh-CN"/>
        </w:rPr>
        <w:t>For PUCCH transmission on a serving cell, a</w:t>
      </w:r>
      <w:r w:rsidR="00AD4381">
        <w:rPr>
          <w:lang w:eastAsia="zh-CN"/>
        </w:rPr>
        <w:t xml:space="preserve"> UE can be provided</w:t>
      </w:r>
    </w:p>
    <w:p w14:paraId="697CF4BC" w14:textId="77777777" w:rsidR="00AD4381" w:rsidRDefault="00AD4381" w:rsidP="00AD4381">
      <w:pPr>
        <w:pStyle w:val="B1"/>
      </w:pPr>
      <w:r>
        <w:rPr>
          <w:lang w:eastAsia="zh-CN"/>
        </w:rPr>
        <w:t>-</w:t>
      </w:r>
      <w:r>
        <w:rPr>
          <w:lang w:eastAsia="zh-CN"/>
        </w:rPr>
        <w:tab/>
        <w:t xml:space="preserve">a </w:t>
      </w:r>
      <w:r>
        <w:t xml:space="preserve">TPC-PUCCH-RNTI for a DCI format 2_2 </w:t>
      </w:r>
      <w:r w:rsidRPr="00B916EC">
        <w:t xml:space="preserve">by </w:t>
      </w:r>
      <w:r>
        <w:rPr>
          <w:i/>
        </w:rPr>
        <w:t>tpc</w:t>
      </w:r>
      <w:r w:rsidRPr="00B916EC">
        <w:rPr>
          <w:i/>
        </w:rPr>
        <w:t>-</w:t>
      </w:r>
      <w:r>
        <w:rPr>
          <w:i/>
        </w:rPr>
        <w:t>PUCCH-</w:t>
      </w:r>
      <w:r w:rsidRPr="00B916EC">
        <w:rPr>
          <w:i/>
        </w:rPr>
        <w:t>RNTI</w:t>
      </w:r>
    </w:p>
    <w:p w14:paraId="79C5CC26" w14:textId="698DCD0B" w:rsidR="00AD4381" w:rsidRPr="0048563B" w:rsidRDefault="00AD4381" w:rsidP="001322F1">
      <w:pPr>
        <w:pStyle w:val="B2"/>
      </w:pPr>
      <w:r>
        <w:t>-</w:t>
      </w:r>
      <w:r>
        <w:tab/>
      </w:r>
      <w:r w:rsidR="00FE7E3A">
        <w:rPr>
          <w:lang w:val="en-US"/>
        </w:rPr>
        <w:t>a</w:t>
      </w:r>
      <w:r w:rsidR="00FE7E3A">
        <w:t xml:space="preserve"> </w:t>
      </w:r>
      <w:r>
        <w:t xml:space="preserve">field in DCI format 2_2 is a TPC command of 2 bits mapping to </w:t>
      </w:r>
      <m:oMath>
        <m:sSub>
          <m:sSubPr>
            <m:ctrlPr>
              <w:rPr>
                <w:rFonts w:ascii="Cambria Math" w:hAnsi="Cambria Math"/>
                <w:iCs/>
              </w:rPr>
            </m:ctrlPr>
          </m:sSubPr>
          <m:e>
            <m:r>
              <w:rPr>
                <w:rFonts w:ascii="Cambria Math" w:hAnsi="Cambria Math"/>
              </w:rPr>
              <m:t>δ</m:t>
            </m:r>
          </m:e>
          <m:sub>
            <m:r>
              <m:rPr>
                <m:sty m:val="p"/>
              </m:rPr>
              <w:rPr>
                <w:rFonts w:ascii="Cambria Math"/>
              </w:rPr>
              <m:t>PUCCH</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oMath>
      <w:r>
        <w:t xml:space="preserve"> values as described </w:t>
      </w:r>
      <w:r w:rsidR="006F5F9E">
        <w:t>in clause</w:t>
      </w:r>
      <w:r>
        <w:t xml:space="preserve"> 7.2.1</w:t>
      </w:r>
    </w:p>
    <w:p w14:paraId="3435D7AC" w14:textId="36B64EED" w:rsidR="00AD4381" w:rsidRDefault="00AD4381" w:rsidP="00AD4381">
      <w:pPr>
        <w:pStyle w:val="B1"/>
        <w:rPr>
          <w:i/>
        </w:rPr>
      </w:pPr>
      <w:r>
        <w:t>-</w:t>
      </w:r>
      <w:r>
        <w:tab/>
        <w:t xml:space="preserve">an index for a location in DCI format 2_2 of a first bit for a TPC command field for the PCell, or for a carrier of the PCell by </w:t>
      </w:r>
      <w:r w:rsidRPr="00C72E83">
        <w:rPr>
          <w:i/>
        </w:rPr>
        <w:t>tpc-IndexPCell</w:t>
      </w:r>
    </w:p>
    <w:p w14:paraId="0AFEB91C" w14:textId="3D3FEE89" w:rsidR="00474658" w:rsidRPr="00474658" w:rsidRDefault="00474658" w:rsidP="00AD4381">
      <w:pPr>
        <w:pStyle w:val="B1"/>
        <w:rPr>
          <w:lang w:val="en-US"/>
        </w:rPr>
      </w:pPr>
      <w:r w:rsidRPr="00111FF6">
        <w:t>-</w:t>
      </w:r>
      <w:r w:rsidRPr="00111FF6">
        <w:tab/>
        <w:t xml:space="preserve">an index for a location in DCI format 2_2 of a first bit for a TPC command field for </w:t>
      </w:r>
      <w:r w:rsidRPr="00111FF6">
        <w:rPr>
          <w:lang w:val="en-US"/>
        </w:rPr>
        <w:t>a</w:t>
      </w:r>
      <w:r w:rsidRPr="00111FF6">
        <w:t xml:space="preserve"> </w:t>
      </w:r>
      <w:r w:rsidRPr="00111FF6">
        <w:rPr>
          <w:lang w:val="en-US"/>
        </w:rPr>
        <w:t>PUCCH-sSCell</w:t>
      </w:r>
      <w:r>
        <w:rPr>
          <w:lang w:val="en-US"/>
        </w:rPr>
        <w:t xml:space="preserve"> in the primary PUCCH cell group</w:t>
      </w:r>
      <w:r w:rsidRPr="00111FF6">
        <w:t>,</w:t>
      </w:r>
      <w:r>
        <w:rPr>
          <w:lang w:val="en-US"/>
        </w:rPr>
        <w:t xml:space="preserve"> by</w:t>
      </w:r>
      <w:r w:rsidRPr="00111FF6">
        <w:t xml:space="preserve"> </w:t>
      </w:r>
      <w:r w:rsidRPr="00111FF6">
        <w:rPr>
          <w:i/>
          <w:iCs/>
        </w:rPr>
        <w:t>tpc-Index</w:t>
      </w:r>
      <w:r w:rsidR="00265EEE">
        <w:rPr>
          <w:i/>
          <w:iCs/>
          <w:lang w:val="en-US"/>
        </w:rPr>
        <w:t>PUCCH-</w:t>
      </w:r>
      <w:r w:rsidRPr="00111FF6">
        <w:rPr>
          <w:i/>
          <w:iCs/>
          <w:lang w:val="en-US"/>
        </w:rPr>
        <w:t>s</w:t>
      </w:r>
      <w:r w:rsidRPr="00111FF6">
        <w:rPr>
          <w:i/>
          <w:iCs/>
        </w:rPr>
        <w:t>Scel</w:t>
      </w:r>
      <w:r w:rsidRPr="00111FF6">
        <w:rPr>
          <w:i/>
          <w:iCs/>
          <w:lang w:val="en-US"/>
        </w:rPr>
        <w:t>l</w:t>
      </w:r>
    </w:p>
    <w:p w14:paraId="109FC3B8" w14:textId="51F8C927" w:rsidR="00AD4381" w:rsidRDefault="00AD4381" w:rsidP="00AD4381">
      <w:pPr>
        <w:pStyle w:val="B1"/>
        <w:rPr>
          <w:i/>
        </w:rPr>
      </w:pPr>
      <w:r>
        <w:t>-</w:t>
      </w:r>
      <w:r>
        <w:tab/>
        <w:t xml:space="preserve">an index for a location in DCI format 2_2 of a first bit for a TPC command field for the </w:t>
      </w:r>
      <w:r w:rsidR="00613ED7">
        <w:rPr>
          <w:lang w:val="en-US"/>
        </w:rPr>
        <w:t>PUCCH-SCell</w:t>
      </w:r>
      <w:r w:rsidR="00613ED7">
        <w:t xml:space="preserve"> </w:t>
      </w:r>
      <w:r>
        <w:t xml:space="preserve">or for a carrier for the </w:t>
      </w:r>
      <w:r w:rsidR="00613ED7">
        <w:rPr>
          <w:lang w:val="en-US"/>
        </w:rPr>
        <w:t>PUCCH-SCell</w:t>
      </w:r>
      <w:r>
        <w:t xml:space="preserve"> by </w:t>
      </w:r>
      <w:r w:rsidRPr="00C72E83">
        <w:rPr>
          <w:i/>
        </w:rPr>
        <w:t>tpc-IndexPUCCH-Scell</w:t>
      </w:r>
    </w:p>
    <w:p w14:paraId="5049C325" w14:textId="465BA9AE" w:rsidR="00474658" w:rsidRPr="00474658" w:rsidRDefault="00474658" w:rsidP="00AD4381">
      <w:pPr>
        <w:pStyle w:val="B1"/>
        <w:rPr>
          <w:lang w:val="en-US"/>
        </w:rPr>
      </w:pPr>
      <w:r w:rsidRPr="00111FF6">
        <w:t>-</w:t>
      </w:r>
      <w:r w:rsidRPr="00111FF6">
        <w:tab/>
        <w:t xml:space="preserve">an index for a location in DCI format 2_2 of a first bit for a TPC command field for </w:t>
      </w:r>
      <w:r w:rsidRPr="00111FF6">
        <w:rPr>
          <w:lang w:val="en-US"/>
        </w:rPr>
        <w:t>a</w:t>
      </w:r>
      <w:r w:rsidRPr="00111FF6">
        <w:t xml:space="preserve"> </w:t>
      </w:r>
      <w:r w:rsidRPr="00111FF6">
        <w:rPr>
          <w:lang w:val="en-US"/>
        </w:rPr>
        <w:t>PUCCH-sSCell</w:t>
      </w:r>
      <w:r>
        <w:rPr>
          <w:lang w:val="en-US"/>
        </w:rPr>
        <w:t xml:space="preserve"> in the secondary PUCCH cell group</w:t>
      </w:r>
      <w:r w:rsidRPr="00111FF6">
        <w:t>,</w:t>
      </w:r>
      <w:r>
        <w:rPr>
          <w:lang w:val="en-US"/>
        </w:rPr>
        <w:t xml:space="preserve"> by</w:t>
      </w:r>
      <w:r w:rsidRPr="00111FF6">
        <w:t xml:space="preserve"> </w:t>
      </w:r>
      <w:r w:rsidRPr="00111FF6">
        <w:rPr>
          <w:i/>
          <w:iCs/>
        </w:rPr>
        <w:t>tpc-Index</w:t>
      </w:r>
      <w:r w:rsidR="00265EEE">
        <w:rPr>
          <w:i/>
          <w:iCs/>
          <w:lang w:val="en-US"/>
        </w:rPr>
        <w:t>PUCCH-</w:t>
      </w:r>
      <w:r w:rsidRPr="00111FF6">
        <w:rPr>
          <w:i/>
          <w:iCs/>
          <w:lang w:val="en-US"/>
        </w:rPr>
        <w:t>s</w:t>
      </w:r>
      <w:r w:rsidRPr="00111FF6">
        <w:rPr>
          <w:i/>
          <w:iCs/>
        </w:rPr>
        <w:t>Scel</w:t>
      </w:r>
      <w:r w:rsidRPr="00111FF6">
        <w:rPr>
          <w:i/>
          <w:iCs/>
          <w:lang w:val="en-US"/>
        </w:rPr>
        <w:t>l</w:t>
      </w:r>
      <w:r w:rsidR="00265EEE">
        <w:rPr>
          <w:i/>
          <w:iCs/>
          <w:lang w:val="en-US"/>
        </w:rPr>
        <w:t>S</w:t>
      </w:r>
      <w:r>
        <w:rPr>
          <w:i/>
          <w:iCs/>
          <w:lang w:val="en-US"/>
        </w:rPr>
        <w:t>econdaryPUCCHgroup</w:t>
      </w:r>
    </w:p>
    <w:p w14:paraId="5C242257" w14:textId="0EF3141C" w:rsidR="00AD4381" w:rsidRPr="00EF5C3C" w:rsidRDefault="00AD4381" w:rsidP="00AD4381">
      <w:pPr>
        <w:pStyle w:val="B1"/>
        <w:rPr>
          <w:i/>
        </w:rPr>
      </w:pPr>
      <w:r>
        <w:t>-</w:t>
      </w:r>
      <w:r>
        <w:tab/>
        <w:t>a mapping</w:t>
      </w:r>
      <w:r w:rsidRPr="0030121B">
        <w:t xml:space="preserve"> for </w:t>
      </w:r>
      <w:r>
        <w:t xml:space="preserve">the </w:t>
      </w:r>
      <w:r w:rsidRPr="0030121B">
        <w:t>PUCCH p</w:t>
      </w:r>
      <w:r>
        <w:t xml:space="preserve">ower control adjustment state </w:t>
      </w:r>
      <m:oMath>
        <m:r>
          <w:rPr>
            <w:rFonts w:ascii="Cambria Math" w:hAnsi="Cambria Math"/>
          </w:rPr>
          <m:t>l∈</m:t>
        </m:r>
        <m:d>
          <m:dPr>
            <m:begChr m:val="{"/>
            <m:endChr m:val="}"/>
            <m:ctrlPr>
              <w:rPr>
                <w:rFonts w:ascii="Cambria Math" w:hAnsi="Cambria Math"/>
                <w:i/>
              </w:rPr>
            </m:ctrlPr>
          </m:dPr>
          <m:e>
            <m:r>
              <w:rPr>
                <w:rFonts w:ascii="Cambria Math" w:hAnsi="Cambria Math"/>
              </w:rPr>
              <m:t>0,1</m:t>
            </m:r>
          </m:e>
        </m:d>
      </m:oMath>
      <w:r>
        <w:t>,</w:t>
      </w:r>
      <w:r w:rsidRPr="0030121B">
        <w:t xml:space="preserve"> </w:t>
      </w:r>
      <w:r w:rsidRPr="00E537FB">
        <w:t xml:space="preserve">by </w:t>
      </w:r>
      <w:r>
        <w:t xml:space="preserve">a corresponding {0, 1} value of a closed loop index field that is appended to the TPC command field in DCI format 2_2 if the UE indicates a capability to support two PUCCH power control adjustment states by </w:t>
      </w:r>
      <w:r w:rsidRPr="00611390">
        <w:rPr>
          <w:rFonts w:eastAsia="Yu Mincho"/>
          <w:i/>
          <w:lang w:eastAsia="ja-JP"/>
        </w:rPr>
        <w:t>twoDifferentTPC-Loop-PUCCH</w:t>
      </w:r>
      <w:r>
        <w:t xml:space="preserve">, and if the UE is configured for two PUCCH power control adjustment states </w:t>
      </w:r>
      <w:r w:rsidRPr="0030121B">
        <w:t xml:space="preserve">by </w:t>
      </w:r>
      <w:r w:rsidRPr="0030121B">
        <w:rPr>
          <w:i/>
        </w:rPr>
        <w:t>twoPUCCH-PC-AdjustmentStates</w:t>
      </w:r>
    </w:p>
    <w:p w14:paraId="71463BCB" w14:textId="555FCB5E" w:rsidR="00AD4381" w:rsidRDefault="00AD4381" w:rsidP="00AD4381">
      <w:pPr>
        <w:rPr>
          <w:lang w:val="en-US"/>
        </w:rPr>
      </w:pPr>
      <w:r>
        <w:t xml:space="preserve">The UE is also provided on a serving cell with a configuration for a search space set </w:t>
      </w:r>
      <m:oMath>
        <m:r>
          <w:rPr>
            <w:rFonts w:ascii="Cambria Math" w:hAnsi="Cambria Math"/>
          </w:rPr>
          <m:t>s</m:t>
        </m:r>
      </m:oMath>
      <w:r>
        <w:rPr>
          <w:i/>
        </w:rPr>
        <w:t xml:space="preserve"> </w:t>
      </w:r>
      <w:r>
        <w:t xml:space="preserve">and a corresponding </w:t>
      </w:r>
      <w:r w:rsidR="00C76664">
        <w:t>CORESET</w:t>
      </w:r>
      <w:r>
        <w:t xml:space="preserve"> </w:t>
      </w:r>
      <m:oMath>
        <m:r>
          <w:rPr>
            <w:rFonts w:ascii="Cambria Math" w:hAnsi="Cambria Math"/>
          </w:rPr>
          <m:t>p</m:t>
        </m:r>
      </m:oMath>
      <w:r>
        <w:t xml:space="preserve"> for monitoring PDCCH candidates for DCI format 2_2 with CRC scrambled by a TPC-PUCCH-RNTI as described </w:t>
      </w:r>
      <w:r w:rsidR="006F5F9E">
        <w:t>in clause</w:t>
      </w:r>
      <w:r>
        <w:t xml:space="preserve"> 10.1.</w:t>
      </w:r>
    </w:p>
    <w:p w14:paraId="2E70D2EF" w14:textId="77777777" w:rsidR="00AD4381" w:rsidRDefault="00AD4381" w:rsidP="00AD4381">
      <w:pPr>
        <w:rPr>
          <w:lang w:eastAsia="zh-CN"/>
        </w:rPr>
      </w:pPr>
      <w:r>
        <w:rPr>
          <w:lang w:eastAsia="zh-CN"/>
        </w:rPr>
        <w:t>For PUSCH transmission on a serving cell, a UE can be provided</w:t>
      </w:r>
    </w:p>
    <w:p w14:paraId="3958DBCA" w14:textId="77777777" w:rsidR="00AD4381" w:rsidRDefault="00AD4381" w:rsidP="00AD4381">
      <w:pPr>
        <w:pStyle w:val="B1"/>
      </w:pPr>
      <w:r>
        <w:rPr>
          <w:lang w:eastAsia="zh-CN"/>
        </w:rPr>
        <w:t>-</w:t>
      </w:r>
      <w:r>
        <w:rPr>
          <w:lang w:eastAsia="zh-CN"/>
        </w:rPr>
        <w:tab/>
        <w:t xml:space="preserve">a </w:t>
      </w:r>
      <w:r>
        <w:t xml:space="preserve">TPC-PUSCH-RNTI for a DCI format 2_2 </w:t>
      </w:r>
      <w:r w:rsidRPr="00B916EC">
        <w:t xml:space="preserve">by </w:t>
      </w:r>
      <w:r>
        <w:rPr>
          <w:i/>
        </w:rPr>
        <w:t>tpc</w:t>
      </w:r>
      <w:r w:rsidRPr="00B916EC">
        <w:rPr>
          <w:i/>
        </w:rPr>
        <w:t>-</w:t>
      </w:r>
      <w:r>
        <w:rPr>
          <w:i/>
        </w:rPr>
        <w:t>PUSCH-</w:t>
      </w:r>
      <w:r w:rsidRPr="00B916EC">
        <w:rPr>
          <w:i/>
        </w:rPr>
        <w:t>RNTI</w:t>
      </w:r>
    </w:p>
    <w:p w14:paraId="20F49A5E" w14:textId="12DDC079" w:rsidR="00AD4381" w:rsidRPr="0048563B" w:rsidRDefault="00AD4381" w:rsidP="001322F1">
      <w:pPr>
        <w:pStyle w:val="B2"/>
      </w:pPr>
      <w:r>
        <w:lastRenderedPageBreak/>
        <w:t>-</w:t>
      </w:r>
      <w:r>
        <w:tab/>
      </w:r>
      <w:r w:rsidR="00FE7E3A">
        <w:rPr>
          <w:lang w:val="en-US"/>
        </w:rPr>
        <w:t>a</w:t>
      </w:r>
      <w:r w:rsidR="00FE7E3A">
        <w:t xml:space="preserve"> </w:t>
      </w:r>
      <w:r>
        <w:t xml:space="preserve">field in DCI format 2_2 is a TPC command of 2 bits mapping to </w:t>
      </w:r>
      <m:oMath>
        <m:sSub>
          <m:sSubPr>
            <m:ctrlPr>
              <w:rPr>
                <w:rFonts w:ascii="Cambria Math" w:hAnsi="Cambria Math"/>
                <w:iCs/>
              </w:rPr>
            </m:ctrlPr>
          </m:sSubPr>
          <m:e>
            <m:r>
              <w:rPr>
                <w:rFonts w:ascii="Cambria Math" w:hAnsi="Cambria Math"/>
              </w:rPr>
              <m:t>δ</m:t>
            </m:r>
          </m:e>
          <m:sub>
            <m:r>
              <m:rPr>
                <m:sty m:val="p"/>
              </m:rPr>
              <w:rPr>
                <w:rFonts w:ascii="Cambria Math"/>
              </w:rPr>
              <m:t>PUSCH</m:t>
            </m:r>
            <m:r>
              <w:rPr>
                <w:rFonts w:ascii="Cambria Math"/>
              </w:rPr>
              <m:t>,b</m:t>
            </m:r>
            <m:r>
              <m:rPr>
                <m:sty m:val="p"/>
              </m:rPr>
              <w:rPr>
                <w:rFonts w:ascii="Cambria Math"/>
              </w:rPr>
              <m:t>,</m:t>
            </m:r>
            <m:r>
              <w:rPr>
                <w:rFonts w:ascii="Cambria Math"/>
              </w:rPr>
              <m:t>f</m:t>
            </m:r>
            <m:r>
              <m:rPr>
                <m:sty m:val="p"/>
              </m:rPr>
              <w:rPr>
                <w:rFonts w:ascii="Cambria Math"/>
              </w:rPr>
              <m:t>,</m:t>
            </m:r>
            <m:r>
              <w:rPr>
                <w:rFonts w:ascii="Cambria Math"/>
              </w:rPr>
              <m:t>c</m:t>
            </m:r>
          </m:sub>
        </m:sSub>
      </m:oMath>
      <w:r>
        <w:t xml:space="preserve"> values as described </w:t>
      </w:r>
      <w:r w:rsidR="006F5F9E">
        <w:t>in clause</w:t>
      </w:r>
      <w:r>
        <w:t xml:space="preserve"> 7.1.1</w:t>
      </w:r>
    </w:p>
    <w:p w14:paraId="62D2D4A6" w14:textId="77777777" w:rsidR="00AD4381" w:rsidRDefault="00AD4381" w:rsidP="00AD4381">
      <w:pPr>
        <w:pStyle w:val="B1"/>
        <w:rPr>
          <w:i/>
        </w:rPr>
      </w:pPr>
      <w:r>
        <w:t>-</w:t>
      </w:r>
      <w:r>
        <w:tab/>
        <w:t xml:space="preserve">an index for a location in DCI format 2_2 of a first bit for a TPC command field for </w:t>
      </w:r>
      <w:r w:rsidR="00FE7E3A">
        <w:rPr>
          <w:lang w:val="en-US"/>
        </w:rPr>
        <w:t>an</w:t>
      </w:r>
      <w:r w:rsidR="00FE7E3A">
        <w:t xml:space="preserve"> </w:t>
      </w:r>
      <w:r>
        <w:t xml:space="preserve">uplink carrier of the serving cell by </w:t>
      </w:r>
      <w:r>
        <w:rPr>
          <w:i/>
        </w:rPr>
        <w:t>tpc-Index</w:t>
      </w:r>
    </w:p>
    <w:p w14:paraId="4D34CF9A" w14:textId="77777777" w:rsidR="00AD4381" w:rsidRDefault="00AD4381" w:rsidP="00AD4381">
      <w:pPr>
        <w:pStyle w:val="B1"/>
        <w:rPr>
          <w:i/>
        </w:rPr>
      </w:pPr>
      <w:r>
        <w:t>-</w:t>
      </w:r>
      <w:r>
        <w:tab/>
        <w:t xml:space="preserve">an index for a location in DCI format 2_2 of a first bit for a TPC command field for </w:t>
      </w:r>
      <w:r w:rsidR="00FE7E3A">
        <w:rPr>
          <w:lang w:val="en-US"/>
        </w:rPr>
        <w:t>a</w:t>
      </w:r>
      <w:r w:rsidR="00FE7E3A">
        <w:t xml:space="preserve"> </w:t>
      </w:r>
      <w:r w:rsidR="00FE7E3A">
        <w:rPr>
          <w:lang w:val="en-US"/>
        </w:rPr>
        <w:t>supplementary</w:t>
      </w:r>
      <w:r>
        <w:t xml:space="preserve"> uplink carrier of the serving cell by </w:t>
      </w:r>
      <w:r>
        <w:rPr>
          <w:i/>
        </w:rPr>
        <w:t>tpc-IndexSUL</w:t>
      </w:r>
    </w:p>
    <w:p w14:paraId="7E0D24FA" w14:textId="77777777" w:rsidR="00AD4381" w:rsidRPr="00BC1CF7" w:rsidRDefault="00AD4381" w:rsidP="00AD4381">
      <w:pPr>
        <w:pStyle w:val="B1"/>
        <w:rPr>
          <w:i/>
        </w:rPr>
      </w:pPr>
      <w:r>
        <w:t>-</w:t>
      </w:r>
      <w:r>
        <w:tab/>
        <w:t>an index of th</w:t>
      </w:r>
      <w:r w:rsidRPr="00FE7E3A">
        <w:t xml:space="preserve">e </w:t>
      </w:r>
      <w:r w:rsidRPr="003A061C">
        <w:t xml:space="preserve">serving cell by </w:t>
      </w:r>
      <w:r>
        <w:rPr>
          <w:i/>
        </w:rPr>
        <w:t>targetCell</w:t>
      </w:r>
      <w:r w:rsidRPr="00BC1CF7">
        <w:t>.</w:t>
      </w:r>
      <w:r>
        <w:t xml:space="preserve"> If </w:t>
      </w:r>
      <w:r>
        <w:rPr>
          <w:i/>
        </w:rPr>
        <w:t>targetCell</w:t>
      </w:r>
      <w:r>
        <w:t xml:space="preserve"> is not provided, the serving cell is the cell of the PDCCH reception for DCI format 2_2</w:t>
      </w:r>
    </w:p>
    <w:p w14:paraId="59508973" w14:textId="4048D517" w:rsidR="00AD4381" w:rsidRPr="00EF5C3C" w:rsidRDefault="00AD4381" w:rsidP="005D2B05">
      <w:pPr>
        <w:pStyle w:val="B1"/>
        <w:rPr>
          <w:i/>
        </w:rPr>
      </w:pPr>
      <w:r>
        <w:t>-</w:t>
      </w:r>
      <w:r>
        <w:tab/>
        <w:t>a mapping</w:t>
      </w:r>
      <w:r w:rsidRPr="0030121B">
        <w:t xml:space="preserve"> for </w:t>
      </w:r>
      <w:r>
        <w:t>the PUS</w:t>
      </w:r>
      <w:r w:rsidRPr="0030121B">
        <w:t>CH p</w:t>
      </w:r>
      <w:r>
        <w:t xml:space="preserve">ower control adjustment state </w:t>
      </w:r>
      <m:oMath>
        <m:r>
          <w:rPr>
            <w:rFonts w:ascii="Cambria Math" w:hAnsi="Cambria Math"/>
          </w:rPr>
          <m:t>l∈</m:t>
        </m:r>
        <m:d>
          <m:dPr>
            <m:begChr m:val="{"/>
            <m:endChr m:val="}"/>
            <m:ctrlPr>
              <w:rPr>
                <w:rFonts w:ascii="Cambria Math" w:hAnsi="Cambria Math"/>
                <w:i/>
              </w:rPr>
            </m:ctrlPr>
          </m:dPr>
          <m:e>
            <m:r>
              <w:rPr>
                <w:rFonts w:ascii="Cambria Math" w:hAnsi="Cambria Math"/>
              </w:rPr>
              <m:t>0,1</m:t>
            </m:r>
          </m:e>
        </m:d>
      </m:oMath>
      <w:r>
        <w:t>,</w:t>
      </w:r>
      <w:r w:rsidRPr="0030121B">
        <w:t xml:space="preserve"> </w:t>
      </w:r>
      <w:r w:rsidRPr="00E537FB">
        <w:t xml:space="preserve">by </w:t>
      </w:r>
      <w:r>
        <w:t>a corresponding {0, 1} value of a</w:t>
      </w:r>
      <w:r w:rsidRPr="00E537FB" w:rsidDel="0038597D">
        <w:t xml:space="preserve"> </w:t>
      </w:r>
      <w:r>
        <w:t xml:space="preserve">closed loop index field that is appended to the TPC command field for the uplink carrier or for the </w:t>
      </w:r>
      <w:r w:rsidR="006F0256">
        <w:rPr>
          <w:lang w:val="en-US"/>
        </w:rPr>
        <w:t>supplementary</w:t>
      </w:r>
      <w:r>
        <w:t xml:space="preserve"> uplink carrier of the serving cell in DCI format 2_2 if the UE indicates a capability to support two PUSCH power control adjustment states, by </w:t>
      </w:r>
      <w:r w:rsidRPr="00611390">
        <w:rPr>
          <w:rFonts w:eastAsia="Yu Mincho"/>
          <w:i/>
          <w:lang w:eastAsia="ja-JP"/>
        </w:rPr>
        <w:t>twoDiffe</w:t>
      </w:r>
      <w:r>
        <w:rPr>
          <w:rFonts w:eastAsia="Yu Mincho"/>
          <w:i/>
          <w:lang w:eastAsia="ja-JP"/>
        </w:rPr>
        <w:t>rentTPC-Loop-PUS</w:t>
      </w:r>
      <w:r w:rsidRPr="00611390">
        <w:rPr>
          <w:rFonts w:eastAsia="Yu Mincho"/>
          <w:i/>
          <w:lang w:eastAsia="ja-JP"/>
        </w:rPr>
        <w:t>CH</w:t>
      </w:r>
      <w:r>
        <w:t xml:space="preserve">, and if the UE is configured for two PUSCH power control adjustment states </w:t>
      </w:r>
      <w:r w:rsidRPr="0030121B">
        <w:t xml:space="preserve">by </w:t>
      </w:r>
      <w:r>
        <w:rPr>
          <w:i/>
        </w:rPr>
        <w:t>twoPUS</w:t>
      </w:r>
      <w:r w:rsidRPr="0030121B">
        <w:rPr>
          <w:i/>
        </w:rPr>
        <w:t>CH-PC-AdjustmentStates</w:t>
      </w:r>
    </w:p>
    <w:p w14:paraId="01B5D9B9" w14:textId="0461B62A" w:rsidR="00AD4381" w:rsidRPr="00B916EC" w:rsidRDefault="00AD4381" w:rsidP="00AD4381">
      <w:r>
        <w:t xml:space="preserve">The UE is also provided for the serving cell of the PDCCH reception for DCI format 2_2 with a configuration for a search space set </w:t>
      </w:r>
      <m:oMath>
        <m:r>
          <w:rPr>
            <w:rFonts w:ascii="Cambria Math" w:hAnsi="Cambria Math"/>
          </w:rPr>
          <m:t>s</m:t>
        </m:r>
      </m:oMath>
      <w:r>
        <w:rPr>
          <w:i/>
        </w:rPr>
        <w:t xml:space="preserve"> </w:t>
      </w:r>
      <w:r>
        <w:t xml:space="preserve">and a corresponding </w:t>
      </w:r>
      <w:r w:rsidR="00C76664">
        <w:t>CORESET</w:t>
      </w:r>
      <w:r>
        <w:t xml:space="preserve"> </w:t>
      </w:r>
      <m:oMath>
        <m:r>
          <w:rPr>
            <w:rFonts w:ascii="Cambria Math" w:hAnsi="Cambria Math"/>
          </w:rPr>
          <m:t>p</m:t>
        </m:r>
      </m:oMath>
      <w:r>
        <w:t xml:space="preserve"> for monitoring PDCCH candidates for DCI format 2_2 with CRC scrambled by a TPC-PUSCH-RNTI as described </w:t>
      </w:r>
      <w:r w:rsidR="006F5F9E">
        <w:t>in clause</w:t>
      </w:r>
      <w:r>
        <w:t xml:space="preserve"> 10.1. </w:t>
      </w:r>
    </w:p>
    <w:p w14:paraId="386E329F" w14:textId="77777777" w:rsidR="00C208F0" w:rsidRPr="00B916EC" w:rsidRDefault="00C208F0" w:rsidP="00C208F0">
      <w:pPr>
        <w:pStyle w:val="Heading2"/>
        <w:rPr>
          <w:lang w:eastAsia="zh-CN"/>
        </w:rPr>
      </w:pPr>
      <w:bookmarkStart w:id="774" w:name="_Toc12021493"/>
      <w:bookmarkStart w:id="775" w:name="_Toc20311605"/>
      <w:bookmarkStart w:id="776" w:name="_Toc26719430"/>
      <w:bookmarkStart w:id="777" w:name="_Toc29894866"/>
      <w:bookmarkStart w:id="778" w:name="_Toc29899165"/>
      <w:bookmarkStart w:id="779" w:name="_Toc29899583"/>
      <w:bookmarkStart w:id="780" w:name="_Toc29917323"/>
      <w:bookmarkStart w:id="781" w:name="_Toc36498197"/>
      <w:bookmarkStart w:id="782" w:name="_Toc45699225"/>
      <w:bookmarkStart w:id="783" w:name="_Toc161999158"/>
      <w:r w:rsidRPr="00B916EC">
        <w:rPr>
          <w:lang w:eastAsia="zh-CN"/>
        </w:rPr>
        <w:t>11.</w:t>
      </w:r>
      <w:r w:rsidR="00E56109">
        <w:rPr>
          <w:lang w:eastAsia="zh-CN"/>
        </w:rPr>
        <w:t>4</w:t>
      </w:r>
      <w:r w:rsidRPr="00B916EC">
        <w:rPr>
          <w:lang w:eastAsia="zh-CN"/>
        </w:rPr>
        <w:tab/>
        <w:t>SRS switching</w:t>
      </w:r>
      <w:bookmarkEnd w:id="774"/>
      <w:bookmarkEnd w:id="775"/>
      <w:bookmarkEnd w:id="776"/>
      <w:bookmarkEnd w:id="777"/>
      <w:bookmarkEnd w:id="778"/>
      <w:bookmarkEnd w:id="779"/>
      <w:bookmarkEnd w:id="780"/>
      <w:bookmarkEnd w:id="781"/>
      <w:bookmarkEnd w:id="782"/>
      <w:bookmarkEnd w:id="783"/>
    </w:p>
    <w:p w14:paraId="7698E23D" w14:textId="77777777" w:rsidR="005D2B05" w:rsidRDefault="005D2B05" w:rsidP="005D2B05">
      <w:pPr>
        <w:rPr>
          <w:lang w:val="en-US"/>
        </w:rPr>
      </w:pPr>
      <w:r>
        <w:rPr>
          <w:lang w:eastAsia="zh-CN"/>
        </w:rPr>
        <w:t xml:space="preserve">DCI format 2_3 is applicable for </w:t>
      </w:r>
      <w:r w:rsidR="00E10F65">
        <w:rPr>
          <w:rFonts w:hint="eastAsia"/>
          <w:lang w:eastAsia="zh-CN"/>
        </w:rPr>
        <w:t xml:space="preserve">uplink carrier(s) of </w:t>
      </w:r>
      <w:r>
        <w:rPr>
          <w:lang w:eastAsia="zh-CN"/>
        </w:rPr>
        <w:t xml:space="preserve">serving cells </w:t>
      </w:r>
      <w:r w:rsidRPr="00B916EC">
        <w:t>where a UE is not configured for PUSCH/PUCCH transmission</w:t>
      </w:r>
      <w:r>
        <w:t xml:space="preserve"> or for </w:t>
      </w:r>
      <w:r w:rsidR="004917D8">
        <w:rPr>
          <w:rFonts w:hint="eastAsia"/>
          <w:lang w:eastAsia="zh-CN"/>
        </w:rPr>
        <w:t>uplink carrier(s) of</w:t>
      </w:r>
      <w:r w:rsidR="004917D8">
        <w:t xml:space="preserve"> </w:t>
      </w:r>
      <w:r>
        <w:t>a serving cell where</w:t>
      </w:r>
      <w:r w:rsidRPr="00B916EC">
        <w:rPr>
          <w:lang w:val="en-US"/>
        </w:rPr>
        <w:t xml:space="preserve"> </w:t>
      </w:r>
      <w:r w:rsidR="004917D8" w:rsidRPr="00241482">
        <w:rPr>
          <w:i/>
        </w:rPr>
        <w:t>srs-PowerControlAdjustmentStates</w:t>
      </w:r>
      <w:r w:rsidRPr="00B916EC">
        <w:rPr>
          <w:lang w:val="en-US"/>
        </w:rPr>
        <w:t xml:space="preserve"> indicates a separate power control adjustment state between SRS transmissions and PUSCH transmissions</w:t>
      </w:r>
      <w:r>
        <w:rPr>
          <w:lang w:val="en-US"/>
        </w:rPr>
        <w:t xml:space="preserve">. </w:t>
      </w:r>
    </w:p>
    <w:p w14:paraId="622C4541" w14:textId="01DFA420" w:rsidR="005D2B05" w:rsidRPr="002C420A" w:rsidRDefault="005D2B05" w:rsidP="005D2B05">
      <w:pPr>
        <w:rPr>
          <w:lang w:eastAsia="zh-CN"/>
        </w:rPr>
      </w:pPr>
      <w:r>
        <w:rPr>
          <w:lang w:eastAsia="zh-CN"/>
        </w:rPr>
        <w:t>A</w:t>
      </w:r>
      <w:r w:rsidRPr="00B916EC">
        <w:rPr>
          <w:lang w:eastAsia="zh-CN"/>
        </w:rPr>
        <w:t xml:space="preserve"> UE configured by higher layers with parameter </w:t>
      </w:r>
      <w:r w:rsidR="00516957">
        <w:rPr>
          <w:i/>
        </w:rPr>
        <w:t>c</w:t>
      </w:r>
      <w:r w:rsidRPr="006B0AA9">
        <w:rPr>
          <w:i/>
        </w:rPr>
        <w:t>arrierSwitching</w:t>
      </w:r>
      <w:r w:rsidRPr="00B916EC">
        <w:rPr>
          <w:lang w:val="en-US"/>
        </w:rPr>
        <w:t xml:space="preserve"> </w:t>
      </w:r>
      <w:r w:rsidR="006F4839">
        <w:rPr>
          <w:lang w:val="en-US"/>
        </w:rPr>
        <w:t>can be</w:t>
      </w:r>
      <w:r w:rsidRPr="00B916EC">
        <w:rPr>
          <w:lang w:val="en-US"/>
        </w:rPr>
        <w:t xml:space="preserve"> </w:t>
      </w:r>
      <w:r>
        <w:rPr>
          <w:lang w:val="en-US"/>
        </w:rPr>
        <w:t>provided</w:t>
      </w:r>
      <w:r w:rsidRPr="00B916EC">
        <w:rPr>
          <w:lang w:val="en-US"/>
        </w:rPr>
        <w:t xml:space="preserve"> </w:t>
      </w:r>
    </w:p>
    <w:p w14:paraId="5769BBA2" w14:textId="77777777" w:rsidR="005D2B05" w:rsidRDefault="005D2B05" w:rsidP="005D2B05">
      <w:pPr>
        <w:pStyle w:val="B1"/>
      </w:pPr>
      <w:r>
        <w:t>-</w:t>
      </w:r>
      <w:r>
        <w:tab/>
      </w:r>
      <w:r w:rsidRPr="00B916EC">
        <w:t xml:space="preserve">a TPC-SRS-RNTI </w:t>
      </w:r>
      <w:r>
        <w:t xml:space="preserve">for a DCI format 2_3 </w:t>
      </w:r>
      <w:r w:rsidRPr="00B916EC">
        <w:t xml:space="preserve">by </w:t>
      </w:r>
      <w:r w:rsidR="001443B3">
        <w:rPr>
          <w:i/>
          <w:lang w:val="en-US"/>
        </w:rPr>
        <w:t>tpc</w:t>
      </w:r>
      <w:r w:rsidR="001443B3" w:rsidRPr="00B916EC">
        <w:rPr>
          <w:i/>
        </w:rPr>
        <w:t>-</w:t>
      </w:r>
      <w:r w:rsidR="001443B3">
        <w:rPr>
          <w:i/>
          <w:lang w:val="en-US"/>
        </w:rPr>
        <w:t>SRS</w:t>
      </w:r>
      <w:r w:rsidRPr="00B916EC">
        <w:rPr>
          <w:i/>
        </w:rPr>
        <w:t>-RNTI</w:t>
      </w:r>
      <w:r w:rsidRPr="00B916EC">
        <w:t xml:space="preserve"> </w:t>
      </w:r>
    </w:p>
    <w:p w14:paraId="0E501AB5" w14:textId="77777777" w:rsidR="004917D8" w:rsidRDefault="005D2B05" w:rsidP="004917D8">
      <w:pPr>
        <w:pStyle w:val="B1"/>
        <w:rPr>
          <w:i/>
          <w:lang w:eastAsia="zh-CN"/>
        </w:rPr>
      </w:pPr>
      <w:r>
        <w:t>-</w:t>
      </w:r>
      <w:r>
        <w:tab/>
      </w:r>
      <w:r w:rsidRPr="00B916EC">
        <w:t>a</w:t>
      </w:r>
      <w:r>
        <w:t xml:space="preserve">n index of a serving cell where the UE interrupts transmission in order to transmit SRS on one or more other serving cells by </w:t>
      </w:r>
      <w:bookmarkStart w:id="784" w:name="_Hlk508197889"/>
      <w:r w:rsidRPr="004C2E38">
        <w:rPr>
          <w:i/>
        </w:rPr>
        <w:t>srs-SwitchFromServCellIndex</w:t>
      </w:r>
      <w:bookmarkEnd w:id="784"/>
    </w:p>
    <w:p w14:paraId="321D57F7" w14:textId="77777777" w:rsidR="005D2B05" w:rsidRDefault="004917D8" w:rsidP="004917D8">
      <w:pPr>
        <w:pStyle w:val="B1"/>
      </w:pPr>
      <w:r>
        <w:t>-</w:t>
      </w:r>
      <w:r>
        <w:tab/>
        <w:t>a</w:t>
      </w:r>
      <w:r>
        <w:rPr>
          <w:rFonts w:hint="eastAsia"/>
          <w:lang w:eastAsia="zh-CN"/>
        </w:rPr>
        <w:t xml:space="preserve">n indication of an uplink carrier where the UE </w:t>
      </w:r>
      <w:r>
        <w:t>interrupts transmission in order to transmit SRS on one or more other serving cells</w:t>
      </w:r>
      <w:r>
        <w:rPr>
          <w:rFonts w:hint="eastAsia"/>
          <w:lang w:eastAsia="zh-CN"/>
        </w:rPr>
        <w:t xml:space="preserve"> by </w:t>
      </w:r>
      <w:r w:rsidRPr="00083B3C">
        <w:rPr>
          <w:i/>
        </w:rPr>
        <w:t>srs-SwitchFromCarrier</w:t>
      </w:r>
    </w:p>
    <w:p w14:paraId="2AC459C7" w14:textId="77777777" w:rsidR="005D2B05" w:rsidRDefault="005D2B05">
      <w:pPr>
        <w:pStyle w:val="B1"/>
      </w:pPr>
      <w:r>
        <w:t>-</w:t>
      </w:r>
      <w:r>
        <w:tab/>
      </w:r>
      <w:r w:rsidRPr="00B916EC">
        <w:t>a</w:t>
      </w:r>
      <w:r>
        <w:t xml:space="preserve"> DCI format 2_3 field configuration type by </w:t>
      </w:r>
      <w:r w:rsidRPr="00C30F67">
        <w:rPr>
          <w:i/>
        </w:rPr>
        <w:t>typeA</w:t>
      </w:r>
      <w:r>
        <w:t xml:space="preserve"> or </w:t>
      </w:r>
      <w:r w:rsidRPr="00C30F67">
        <w:rPr>
          <w:i/>
        </w:rPr>
        <w:t>typeB</w:t>
      </w:r>
    </w:p>
    <w:p w14:paraId="49B4DFDD" w14:textId="77777777" w:rsidR="005D2B05" w:rsidRPr="00C30F67" w:rsidRDefault="005D2B05" w:rsidP="001322F1">
      <w:pPr>
        <w:pStyle w:val="B2"/>
      </w:pPr>
      <w:r>
        <w:t>-</w:t>
      </w:r>
      <w:r>
        <w:tab/>
        <w:t xml:space="preserve">for </w:t>
      </w:r>
      <w:r>
        <w:rPr>
          <w:i/>
        </w:rPr>
        <w:t>typeA</w:t>
      </w:r>
      <w:r>
        <w:t xml:space="preserve">, an index for a set of serving cells is provided by </w:t>
      </w:r>
      <w:r w:rsidRPr="00527EB8">
        <w:rPr>
          <w:i/>
        </w:rPr>
        <w:t>cc-SetIndex</w:t>
      </w:r>
      <w:r>
        <w:t xml:space="preserve">, indexes of serving cells in the set of serving cells are provided by </w:t>
      </w:r>
      <w:r w:rsidRPr="00527EB8">
        <w:rPr>
          <w:i/>
        </w:rPr>
        <w:t>cc-IndexInOneCC-Set</w:t>
      </w:r>
      <w:r>
        <w:t xml:space="preserve">, and a DCI format 2_3 field includes a TPC command for each serving cell from the set of serving cells and can also include a SRS request for SRS transmission on the set of serving cells </w:t>
      </w:r>
    </w:p>
    <w:p w14:paraId="3AFD0072" w14:textId="77777777" w:rsidR="005D2B05" w:rsidRPr="005A1B13" w:rsidRDefault="005D2B05" w:rsidP="001322F1">
      <w:pPr>
        <w:pStyle w:val="B2"/>
      </w:pPr>
      <w:r>
        <w:t>-</w:t>
      </w:r>
      <w:r>
        <w:tab/>
      </w:r>
      <w:r w:rsidRPr="00A23F38">
        <w:t>for</w:t>
      </w:r>
      <w:r w:rsidRPr="000927C2">
        <w:t xml:space="preserve"> </w:t>
      </w:r>
      <w:r w:rsidRPr="000927C2">
        <w:rPr>
          <w:i/>
        </w:rPr>
        <w:t>typeB</w:t>
      </w:r>
      <w:r w:rsidRPr="000927C2">
        <w:t xml:space="preserve">, DCI format 2_3 field includes a TPC command for a serving cell </w:t>
      </w:r>
      <w:r w:rsidRPr="00052FB1">
        <w:t xml:space="preserve">index </w:t>
      </w:r>
      <w:r w:rsidRPr="005A1B13">
        <w:t>and can also include a SRS request for SRS transmission on the serving cell</w:t>
      </w:r>
    </w:p>
    <w:p w14:paraId="1706E31E" w14:textId="77777777" w:rsidR="005D2B05" w:rsidRPr="005A1B13" w:rsidRDefault="005D2B05" w:rsidP="005D2B05">
      <w:pPr>
        <w:pStyle w:val="B1"/>
      </w:pPr>
      <w:r>
        <w:t>-</w:t>
      </w:r>
      <w:r>
        <w:tab/>
      </w:r>
      <w:r w:rsidRPr="000927C2">
        <w:t xml:space="preserve">an indication </w:t>
      </w:r>
      <w:r w:rsidRPr="00052FB1">
        <w:t>for a serving cell for whether or not a field in DCI f</w:t>
      </w:r>
      <w:r w:rsidRPr="005A1B13">
        <w:t xml:space="preserve">ormat 2_3 includes a SRS request by </w:t>
      </w:r>
      <w:r w:rsidRPr="005A1B13">
        <w:rPr>
          <w:i/>
        </w:rPr>
        <w:t>fieldTypeFormat2-3</w:t>
      </w:r>
      <w:r w:rsidRPr="005A1B13">
        <w:t xml:space="preserve"> where a value of 0/1 indicates absence/presence of the SRS request – a mapping for a 2 bit SRS request to SRS resource sets is as provided in [6, TS 38.214]</w:t>
      </w:r>
    </w:p>
    <w:p w14:paraId="7E43B73C" w14:textId="77777777" w:rsidR="004917D8" w:rsidRDefault="005D2B05" w:rsidP="004917D8">
      <w:pPr>
        <w:pStyle w:val="B1"/>
        <w:rPr>
          <w:i/>
          <w:lang w:eastAsia="zh-CN"/>
        </w:rPr>
      </w:pPr>
      <w:r>
        <w:t>-</w:t>
      </w:r>
      <w:r>
        <w:tab/>
      </w:r>
      <w:r w:rsidRPr="005A1B13">
        <w:t xml:space="preserve">an index for a location in DCI format 2_3 of a first bit for a field </w:t>
      </w:r>
      <w:r w:rsidR="004917D8">
        <w:t>for a</w:t>
      </w:r>
      <w:r w:rsidR="004917D8">
        <w:rPr>
          <w:rFonts w:hint="eastAsia"/>
          <w:lang w:eastAsia="zh-CN"/>
        </w:rPr>
        <w:t xml:space="preserve"> non-supplementary</w:t>
      </w:r>
      <w:r w:rsidR="004917D8">
        <w:t xml:space="preserve"> uplink carrier of the serving cell </w:t>
      </w:r>
      <w:r w:rsidRPr="005A1B13">
        <w:t xml:space="preserve">by </w:t>
      </w:r>
      <w:r w:rsidRPr="005A1B13">
        <w:rPr>
          <w:i/>
        </w:rPr>
        <w:t>startingBitOfFormat2-3</w:t>
      </w:r>
    </w:p>
    <w:p w14:paraId="06D961A0" w14:textId="07E82782" w:rsidR="005D2B05" w:rsidRDefault="004917D8" w:rsidP="004917D8">
      <w:pPr>
        <w:pStyle w:val="B1"/>
        <w:rPr>
          <w:i/>
          <w:lang w:eastAsia="zh-CN"/>
        </w:rPr>
      </w:pPr>
      <w:r>
        <w:t>-</w:t>
      </w:r>
      <w:r>
        <w:tab/>
      </w:r>
      <w:r w:rsidRPr="005A1B13">
        <w:t xml:space="preserve">an index for a location in DCI format 2_3 of a first bit for a field </w:t>
      </w:r>
      <w:r>
        <w:t>for a</w:t>
      </w:r>
      <w:r>
        <w:rPr>
          <w:rFonts w:hint="eastAsia"/>
          <w:lang w:eastAsia="zh-CN"/>
        </w:rPr>
        <w:t xml:space="preserve"> supplementary</w:t>
      </w:r>
      <w:r>
        <w:t xml:space="preserve"> uplink carrier of the serving cell </w:t>
      </w:r>
      <w:r w:rsidRPr="005A1B13">
        <w:t xml:space="preserve">by </w:t>
      </w:r>
      <w:r w:rsidRPr="00733F15">
        <w:rPr>
          <w:i/>
          <w:lang w:eastAsia="zh-CN"/>
        </w:rPr>
        <w:t>startingBitOfFormat2-3SUL-v1530</w:t>
      </w:r>
    </w:p>
    <w:p w14:paraId="698BCE0C" w14:textId="77777777" w:rsidR="005366F8" w:rsidRPr="005366F8" w:rsidRDefault="005366F8" w:rsidP="005366F8">
      <w:pPr>
        <w:pStyle w:val="Heading2"/>
        <w:rPr>
          <w:lang w:eastAsia="zh-CN"/>
        </w:rPr>
      </w:pPr>
      <w:bookmarkStart w:id="785" w:name="_Toc137056426"/>
      <w:bookmarkStart w:id="786" w:name="_Toc161999159"/>
      <w:r w:rsidRPr="005366F8">
        <w:rPr>
          <w:lang w:eastAsia="zh-CN"/>
        </w:rPr>
        <w:t>11.5</w:t>
      </w:r>
      <w:r w:rsidRPr="005366F8">
        <w:rPr>
          <w:lang w:eastAsia="zh-CN"/>
        </w:rPr>
        <w:tab/>
      </w:r>
      <w:bookmarkEnd w:id="785"/>
      <w:r w:rsidRPr="005366F8">
        <w:rPr>
          <w:lang w:eastAsia="zh-CN"/>
        </w:rPr>
        <w:t>Adaptation of cell operation</w:t>
      </w:r>
      <w:bookmarkEnd w:id="786"/>
    </w:p>
    <w:p w14:paraId="566EDA45" w14:textId="77777777" w:rsidR="002D5F43" w:rsidRPr="002D5F43" w:rsidRDefault="002D5F43" w:rsidP="002D5F43">
      <w:pPr>
        <w:rPr>
          <w:lang w:eastAsia="zh-CN"/>
        </w:rPr>
      </w:pPr>
      <w:r w:rsidRPr="002D5F43">
        <w:rPr>
          <w:lang w:eastAsia="zh-CN"/>
        </w:rPr>
        <w:t>A UE configured for operation on a serving cell according to one or both of a cell DTX operation and a cell DRX operation by c</w:t>
      </w:r>
      <w:r w:rsidRPr="002D5F43">
        <w:rPr>
          <w:i/>
          <w:iCs/>
          <w:lang w:eastAsia="zh-CN"/>
        </w:rPr>
        <w:t>ellDTXDRX-Config</w:t>
      </w:r>
      <w:r w:rsidRPr="002D5F43">
        <w:rPr>
          <w:lang w:eastAsia="zh-CN"/>
        </w:rPr>
        <w:t xml:space="preserve"> for the serving cell </w:t>
      </w:r>
      <w:r w:rsidRPr="002D5F43">
        <w:t>[</w:t>
      </w:r>
      <w:r w:rsidRPr="002D5F43">
        <w:rPr>
          <w:lang w:val="en-US"/>
        </w:rPr>
        <w:t>11, TS 38.321</w:t>
      </w:r>
      <w:r w:rsidRPr="002D5F43">
        <w:t>],</w:t>
      </w:r>
      <w:r w:rsidRPr="002D5F43">
        <w:rPr>
          <w:lang w:eastAsia="zh-CN"/>
        </w:rPr>
        <w:t xml:space="preserve"> </w:t>
      </w:r>
      <w:r w:rsidRPr="002D5F43">
        <w:t xml:space="preserve">can be additionally provided by </w:t>
      </w:r>
      <w:r w:rsidRPr="002D5F43">
        <w:rPr>
          <w:i/>
          <w:iCs/>
        </w:rPr>
        <w:t>dci-Format2-9</w:t>
      </w:r>
      <w:r w:rsidRPr="002D5F43">
        <w:t xml:space="preserve"> a Type3-PDCCH CSS set to monitor PDCCH for detection of DCI format </w:t>
      </w:r>
      <w:r w:rsidRPr="002D5F43">
        <w:rPr>
          <w:lang w:val="en-US"/>
        </w:rPr>
        <w:t>2_9</w:t>
      </w:r>
      <w:r w:rsidRPr="002D5F43">
        <w:t xml:space="preserve"> </w:t>
      </w:r>
      <w:r w:rsidRPr="002D5F43">
        <w:rPr>
          <w:lang w:eastAsia="zh-CN"/>
        </w:rPr>
        <w:t xml:space="preserve">as described in clause 10.1 during Active </w:t>
      </w:r>
      <w:r w:rsidRPr="002D5F43">
        <w:rPr>
          <w:lang w:eastAsia="zh-CN"/>
        </w:rPr>
        <w:lastRenderedPageBreak/>
        <w:t xml:space="preserve">Time [11, TS 38.321], </w:t>
      </w:r>
      <w:r w:rsidRPr="002D5F43">
        <w:rPr>
          <w:iCs/>
        </w:rPr>
        <w:t xml:space="preserve">and </w:t>
      </w:r>
      <w:r w:rsidRPr="002D5F43">
        <w:t xml:space="preserve">a location in DCI format 2_9 by </w:t>
      </w:r>
      <w:r w:rsidRPr="002D5F43">
        <w:rPr>
          <w:i/>
          <w:iCs/>
        </w:rPr>
        <w:t>positionInDCI-cellDTRX</w:t>
      </w:r>
      <w:r w:rsidRPr="002D5F43">
        <w:t xml:space="preserve"> of a cell DTX/DRX indication field for the serving cell and/or a NES-</w:t>
      </w:r>
      <w:r w:rsidRPr="002D5F43">
        <w:rPr>
          <w:rFonts w:eastAsia="PMingLiU" w:hint="eastAsia"/>
          <w:lang w:eastAsia="zh-TW"/>
        </w:rPr>
        <w:t>m</w:t>
      </w:r>
      <w:r w:rsidRPr="002D5F43">
        <w:rPr>
          <w:rFonts w:eastAsia="PMingLiU"/>
          <w:lang w:eastAsia="zh-TW"/>
        </w:rPr>
        <w:t>ode</w:t>
      </w:r>
      <w:r w:rsidRPr="002D5F43">
        <w:t xml:space="preserve"> indication field for the PCell</w:t>
      </w:r>
      <w:r w:rsidRPr="002D5F43">
        <w:rPr>
          <w:lang w:eastAsia="zh-CN"/>
        </w:rPr>
        <w:t xml:space="preserve"> </w:t>
      </w:r>
    </w:p>
    <w:p w14:paraId="75B87363" w14:textId="77777777" w:rsidR="002D5F43" w:rsidRPr="002D5F43" w:rsidRDefault="002D5F43" w:rsidP="002D5F43">
      <w:pPr>
        <w:pStyle w:val="B1"/>
      </w:pPr>
      <w:r w:rsidRPr="002D5F43">
        <w:t>-</w:t>
      </w:r>
      <w:r w:rsidRPr="002D5F43">
        <w:tab/>
        <w:t xml:space="preserve">if the UE is configured with both cell DTX operation and cell DRX operation for the serving cell and if </w:t>
      </w:r>
      <w:r w:rsidRPr="002D5F43">
        <w:rPr>
          <w:i/>
        </w:rPr>
        <w:t>cellDTXDRX-L1activation</w:t>
      </w:r>
      <w:r w:rsidRPr="002D5F43">
        <w:rPr>
          <w:iCs/>
        </w:rPr>
        <w:t xml:space="preserve"> is provided</w:t>
      </w:r>
      <w:r w:rsidRPr="002D5F43">
        <w:t>, the cell DTX/DRX indication field includes two bits where the first bit indicates the cell DTX operation and the second bit indicates the cell DRX operation</w:t>
      </w:r>
    </w:p>
    <w:p w14:paraId="402F9380" w14:textId="77777777" w:rsidR="002D5F43" w:rsidRPr="002D5F43" w:rsidRDefault="002D5F43" w:rsidP="002D5F43">
      <w:pPr>
        <w:pStyle w:val="B1"/>
      </w:pPr>
      <w:r w:rsidRPr="002D5F43">
        <w:t>-</w:t>
      </w:r>
      <w:r w:rsidRPr="002D5F43">
        <w:tab/>
        <w:t xml:space="preserve">if the UE is configured with only one of the cell DTX operation and cell DRX operation for the serving cell and if </w:t>
      </w:r>
      <w:r w:rsidRPr="002D5F43">
        <w:rPr>
          <w:i/>
        </w:rPr>
        <w:t>cellDTXDRX-L1activation</w:t>
      </w:r>
      <w:r w:rsidRPr="002D5F43">
        <w:rPr>
          <w:iCs/>
        </w:rPr>
        <w:t xml:space="preserve"> is provided</w:t>
      </w:r>
      <w:r w:rsidRPr="002D5F43">
        <w:t>, the cell DTX/DRX indication field includes one bit indicating one of the cell DTX operation and cell DRX operation, respectively, for the serving cell</w:t>
      </w:r>
    </w:p>
    <w:p w14:paraId="7C3A7D1F" w14:textId="77777777" w:rsidR="002D5F43" w:rsidRPr="002D5F43" w:rsidRDefault="002D5F43" w:rsidP="002D5F43">
      <w:pPr>
        <w:pStyle w:val="B1"/>
      </w:pPr>
      <w:r w:rsidRPr="002D5F43">
        <w:t>-</w:t>
      </w:r>
      <w:r w:rsidRPr="002D5F43">
        <w:tab/>
        <w:t xml:space="preserve">a </w:t>
      </w:r>
      <w:r w:rsidRPr="002D5F43">
        <w:rPr>
          <w:lang w:val="en-US"/>
        </w:rPr>
        <w:t>'</w:t>
      </w:r>
      <w:r w:rsidRPr="002D5F43">
        <w:t>0</w:t>
      </w:r>
      <w:r w:rsidRPr="002D5F43">
        <w:rPr>
          <w:lang w:val="en-US"/>
        </w:rPr>
        <w:t>'</w:t>
      </w:r>
      <w:r w:rsidRPr="002D5F43">
        <w:t xml:space="preserve"> value for a bit of the cell DTX/DRX indication field indicates </w:t>
      </w:r>
      <w:r w:rsidRPr="002D5F43">
        <w:rPr>
          <w:rFonts w:hint="eastAsia"/>
          <w:lang w:eastAsia="zh-CN"/>
        </w:rPr>
        <w:t xml:space="preserve">deactivation of cell </w:t>
      </w:r>
      <w:r w:rsidRPr="002D5F43">
        <w:t>DTX or of cell DRX</w:t>
      </w:r>
    </w:p>
    <w:p w14:paraId="6ADF167B" w14:textId="77777777" w:rsidR="002D5F43" w:rsidRPr="002D5F43" w:rsidRDefault="002D5F43" w:rsidP="002D5F43">
      <w:pPr>
        <w:pStyle w:val="B1"/>
      </w:pPr>
      <w:r w:rsidRPr="002D5F43">
        <w:t>-</w:t>
      </w:r>
      <w:r w:rsidRPr="002D5F43">
        <w:tab/>
        <w:t xml:space="preserve">a </w:t>
      </w:r>
      <w:r w:rsidRPr="002D5F43">
        <w:rPr>
          <w:lang w:val="en-US"/>
        </w:rPr>
        <w:t>'</w:t>
      </w:r>
      <w:r w:rsidRPr="002D5F43">
        <w:t>1</w:t>
      </w:r>
      <w:r w:rsidRPr="002D5F43">
        <w:rPr>
          <w:lang w:val="en-US"/>
        </w:rPr>
        <w:t>'</w:t>
      </w:r>
      <w:r w:rsidRPr="002D5F43">
        <w:t xml:space="preserve"> value for a bit of the cell DTX/DRX indication field indicates activation of cell DTX or of cell DRX</w:t>
      </w:r>
    </w:p>
    <w:p w14:paraId="0B6E4F38" w14:textId="77777777" w:rsidR="002D5F43" w:rsidRPr="002D5F43" w:rsidRDefault="002D5F43" w:rsidP="002D5F43">
      <w:pPr>
        <w:pStyle w:val="B1"/>
      </w:pPr>
      <w:r w:rsidRPr="002D5F43">
        <w:t>-</w:t>
      </w:r>
      <w:r w:rsidRPr="002D5F43">
        <w:tab/>
        <w:t>if the serving cell is configured with a SUL carrier, the cell DTX/DRX indication field indication for activation or deactivation of cell DRX applies to both the UL carrier and the SUL carrier</w:t>
      </w:r>
    </w:p>
    <w:p w14:paraId="21E1C56D" w14:textId="77777777" w:rsidR="002D5F43" w:rsidRPr="002D5F43" w:rsidRDefault="002D5F43" w:rsidP="002D5F43">
      <w:pPr>
        <w:pStyle w:val="B1"/>
      </w:pPr>
      <w:r w:rsidRPr="002D5F43">
        <w:t>-</w:t>
      </w:r>
      <w:r w:rsidRPr="002D5F43">
        <w:tab/>
        <w:t xml:space="preserve">if </w:t>
      </w:r>
      <w:r w:rsidRPr="002D5F43">
        <w:rPr>
          <w:rFonts w:eastAsia="DengXian"/>
          <w:i/>
          <w:lang w:eastAsia="zh-CN"/>
        </w:rPr>
        <w:t>nesEvent</w:t>
      </w:r>
      <w:r w:rsidRPr="002D5F43">
        <w:t xml:space="preserve"> is configured, the NES-</w:t>
      </w:r>
      <w:r w:rsidRPr="002D5F43">
        <w:rPr>
          <w:rFonts w:eastAsia="Microsoft JhengHei"/>
          <w:lang w:eastAsia="zh-TW"/>
        </w:rPr>
        <w:t>mode</w:t>
      </w:r>
      <w:r w:rsidRPr="002D5F43">
        <w:t xml:space="preserve"> indication field includes one bit indicating NES-specific CHO execution condition, as described in [12, TS 38.331]</w:t>
      </w:r>
    </w:p>
    <w:p w14:paraId="6D5FB545" w14:textId="63904BED" w:rsidR="002D5F43" w:rsidRPr="002D5F43" w:rsidRDefault="002D5F43" w:rsidP="002D5F43">
      <w:pPr>
        <w:pStyle w:val="B2"/>
      </w:pPr>
      <w:r w:rsidRPr="002D5F43">
        <w:t>-</w:t>
      </w:r>
      <w:r w:rsidRPr="002D5F43">
        <w:tab/>
        <w:t xml:space="preserve">a </w:t>
      </w:r>
      <w:r>
        <w:t>'</w:t>
      </w:r>
      <w:r w:rsidRPr="002D5F43">
        <w:t>0</w:t>
      </w:r>
      <w:r>
        <w:t>'</w:t>
      </w:r>
      <w:r w:rsidRPr="002D5F43">
        <w:t xml:space="preserve"> value for the NES-mode indication field indicates NES-specific CHO execution condition is disabled</w:t>
      </w:r>
    </w:p>
    <w:p w14:paraId="0BBA0DA2" w14:textId="77777777" w:rsidR="002D5F43" w:rsidRPr="002D5F43" w:rsidRDefault="002D5F43" w:rsidP="002D5F43">
      <w:pPr>
        <w:pStyle w:val="B2"/>
      </w:pPr>
      <w:r w:rsidRPr="002D5F43">
        <w:t>-</w:t>
      </w:r>
      <w:r w:rsidRPr="002D5F43">
        <w:tab/>
        <w:t>a '1' value for the NES-mode indication field, indicates NES-specific CHO execution condition is enabled</w:t>
      </w:r>
    </w:p>
    <w:p w14:paraId="7BA9B32D" w14:textId="77777777" w:rsidR="002D5F43" w:rsidRPr="002D5F43" w:rsidRDefault="002D5F43" w:rsidP="002D5F43">
      <w:pPr>
        <w:rPr>
          <w:lang w:eastAsia="zh-CN"/>
        </w:rPr>
      </w:pPr>
      <w:r w:rsidRPr="002D5F43">
        <w:rPr>
          <w:lang w:eastAsia="zh-CN"/>
        </w:rPr>
        <w:t>A UE does not expect to monitor PDCCH for detection of DCI format 2_9 on more than one serving cells of one cell group.</w:t>
      </w:r>
    </w:p>
    <w:p w14:paraId="6C3A73C5" w14:textId="77777777" w:rsidR="005366F8" w:rsidRPr="005366F8" w:rsidRDefault="005366F8" w:rsidP="005366F8">
      <w:r w:rsidRPr="005366F8">
        <w:t xml:space="preserve">When a UE receives in slot </w:t>
      </w:r>
      <m:oMath>
        <m:r>
          <w:rPr>
            <w:rFonts w:ascii="Cambria Math" w:hAnsi="Cambria Math"/>
          </w:rPr>
          <m:t>m</m:t>
        </m:r>
      </m:oMath>
      <w:r w:rsidRPr="005366F8">
        <w:rPr>
          <w:iCs/>
        </w:rPr>
        <w:t xml:space="preserve"> </w:t>
      </w:r>
      <w:r w:rsidRPr="005366F8">
        <w:t xml:space="preserve">on the active DL BWP of a first serving cell a PDCCH providing DCI format 2_9 that indicates a change in activation or deactivation of a current cell DTX operation or cell DRX operation for a second serving cell, the UE operates on the second serving cell according to the indicated cell DTX operation or cell DRX operation starting from a slot on the active DL BWP or on the active UL BWP of the second serving cell, respectively, that is not before the beginning of the slot </w:t>
      </w:r>
      <m:oMath>
        <m:r>
          <w:rPr>
            <w:rFonts w:ascii="Cambria Math" w:hAnsi="Cambria Math"/>
          </w:rPr>
          <m:t>m+d</m:t>
        </m:r>
      </m:oMath>
      <w:r w:rsidRPr="005366F8">
        <w:rPr>
          <w:iCs/>
        </w:rPr>
        <w:t xml:space="preserve"> on the </w:t>
      </w:r>
      <w:r w:rsidRPr="005366F8">
        <w:t xml:space="preserve">active DL BWP of the first serving cell where </w:t>
      </w:r>
      <m:oMath>
        <m:r>
          <w:rPr>
            <w:rFonts w:ascii="Cambria Math" w:hAnsi="Cambria Math"/>
          </w:rPr>
          <m:t>d</m:t>
        </m:r>
      </m:oMath>
      <w:r w:rsidRPr="005366F8">
        <w:rPr>
          <w:iCs/>
        </w:rPr>
        <w:t xml:space="preserve"> is a number of slots for the SCS of the </w:t>
      </w:r>
      <w:r w:rsidRPr="005366F8">
        <w:t>active DL BWP of the first serving cell in Table 11.5-1.</w:t>
      </w:r>
    </w:p>
    <w:p w14:paraId="197836D1" w14:textId="77777777" w:rsidR="005366F8" w:rsidRPr="005366F8" w:rsidRDefault="005366F8" w:rsidP="005366F8">
      <w:pPr>
        <w:pStyle w:val="TH"/>
      </w:pPr>
      <w:r w:rsidRPr="005366F8">
        <w:t xml:space="preserve">Table 11.5-1: Minimum time gap value </w:t>
      </w:r>
      <m:oMath>
        <m:r>
          <m:rPr>
            <m:sty m:val="bi"/>
          </m:rPr>
          <w:rPr>
            <w:rFonts w:ascii="Cambria Math" w:hAnsi="Cambria Math"/>
          </w:rPr>
          <m:t>d</m:t>
        </m:r>
      </m:oMath>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7"/>
        <w:gridCol w:w="1587"/>
      </w:tblGrid>
      <w:tr w:rsidR="005366F8" w:rsidRPr="005366F8" w14:paraId="6A14ABD1" w14:textId="77777777" w:rsidTr="00BE6E85">
        <w:trPr>
          <w:trHeight w:val="424"/>
          <w:jc w:val="center"/>
        </w:trPr>
        <w:tc>
          <w:tcPr>
            <w:tcW w:w="0" w:type="auto"/>
            <w:shd w:val="clear" w:color="auto" w:fill="E0E0E0"/>
            <w:vAlign w:val="center"/>
          </w:tcPr>
          <w:p w14:paraId="33DBB948" w14:textId="77777777" w:rsidR="005366F8" w:rsidRPr="005366F8" w:rsidRDefault="005366F8" w:rsidP="005366F8">
            <w:pPr>
              <w:keepNext/>
              <w:keepLines/>
              <w:spacing w:after="0"/>
              <w:jc w:val="center"/>
              <w:rPr>
                <w:rFonts w:ascii="Arial" w:hAnsi="Arial"/>
                <w:b/>
                <w:sz w:val="18"/>
                <w:szCs w:val="18"/>
              </w:rPr>
            </w:pPr>
            <w:r w:rsidRPr="005366F8">
              <w:rPr>
                <w:rFonts w:ascii="Arial" w:hAnsi="Arial"/>
                <w:b/>
                <w:sz w:val="18"/>
                <w:szCs w:val="18"/>
              </w:rPr>
              <w:t>SCS (kHz)</w:t>
            </w:r>
          </w:p>
        </w:tc>
        <w:tc>
          <w:tcPr>
            <w:tcW w:w="0" w:type="auto"/>
            <w:shd w:val="clear" w:color="auto" w:fill="E0E0E0"/>
            <w:vAlign w:val="center"/>
          </w:tcPr>
          <w:p w14:paraId="0F5FD254" w14:textId="77777777" w:rsidR="005366F8" w:rsidRPr="005366F8" w:rsidRDefault="005366F8" w:rsidP="005366F8">
            <w:pPr>
              <w:keepNext/>
              <w:keepLines/>
              <w:spacing w:after="0"/>
              <w:jc w:val="center"/>
              <w:rPr>
                <w:rFonts w:ascii="Arial" w:hAnsi="Arial"/>
                <w:b/>
                <w:sz w:val="18"/>
                <w:szCs w:val="18"/>
                <w:u w:val="single"/>
              </w:rPr>
            </w:pPr>
            <w:r w:rsidRPr="005366F8">
              <w:rPr>
                <w:rFonts w:ascii="Arial" w:hAnsi="Arial"/>
                <w:b/>
                <w:sz w:val="18"/>
                <w:u w:val="single"/>
              </w:rPr>
              <w:t xml:space="preserve">Number of slots </w:t>
            </w:r>
          </w:p>
        </w:tc>
      </w:tr>
      <w:tr w:rsidR="005366F8" w:rsidRPr="005366F8" w14:paraId="7758300A" w14:textId="77777777" w:rsidTr="00BE6E85">
        <w:trPr>
          <w:trHeight w:hRule="exact" w:val="227"/>
          <w:jc w:val="center"/>
        </w:trPr>
        <w:tc>
          <w:tcPr>
            <w:tcW w:w="0" w:type="auto"/>
            <w:vAlign w:val="center"/>
          </w:tcPr>
          <w:p w14:paraId="36105FD2" w14:textId="77777777" w:rsidR="005366F8" w:rsidRPr="005366F8" w:rsidRDefault="005366F8" w:rsidP="005366F8">
            <w:pPr>
              <w:keepNext/>
              <w:keepLines/>
              <w:spacing w:after="0"/>
              <w:jc w:val="center"/>
              <w:rPr>
                <w:rFonts w:ascii="Arial" w:hAnsi="Arial"/>
                <w:sz w:val="18"/>
              </w:rPr>
            </w:pPr>
            <w:r w:rsidRPr="005366F8">
              <w:rPr>
                <w:rFonts w:ascii="Arial" w:hAnsi="Arial"/>
                <w:sz w:val="18"/>
              </w:rPr>
              <w:t>15</w:t>
            </w:r>
          </w:p>
        </w:tc>
        <w:tc>
          <w:tcPr>
            <w:tcW w:w="0" w:type="auto"/>
            <w:vAlign w:val="center"/>
          </w:tcPr>
          <w:p w14:paraId="2D38CE89" w14:textId="77777777" w:rsidR="005366F8" w:rsidRPr="005366F8" w:rsidRDefault="005366F8" w:rsidP="005366F8">
            <w:pPr>
              <w:keepNext/>
              <w:keepLines/>
              <w:spacing w:after="0"/>
              <w:jc w:val="center"/>
              <w:rPr>
                <w:rFonts w:ascii="Arial" w:hAnsi="Arial"/>
                <w:sz w:val="18"/>
              </w:rPr>
            </w:pPr>
            <w:r w:rsidRPr="005366F8">
              <w:rPr>
                <w:rFonts w:ascii="Arial" w:hAnsi="Arial"/>
                <w:sz w:val="18"/>
              </w:rPr>
              <w:t>3</w:t>
            </w:r>
          </w:p>
        </w:tc>
      </w:tr>
      <w:tr w:rsidR="005366F8" w:rsidRPr="005366F8" w14:paraId="6ED36D09" w14:textId="77777777" w:rsidTr="00BE6E85">
        <w:trPr>
          <w:trHeight w:hRule="exact" w:val="227"/>
          <w:jc w:val="center"/>
        </w:trPr>
        <w:tc>
          <w:tcPr>
            <w:tcW w:w="0" w:type="auto"/>
            <w:vAlign w:val="center"/>
          </w:tcPr>
          <w:p w14:paraId="0D37DA69" w14:textId="77777777" w:rsidR="005366F8" w:rsidRPr="005366F8" w:rsidRDefault="005366F8" w:rsidP="005366F8">
            <w:pPr>
              <w:keepNext/>
              <w:keepLines/>
              <w:spacing w:after="0"/>
              <w:jc w:val="center"/>
              <w:rPr>
                <w:rFonts w:ascii="Arial" w:hAnsi="Arial"/>
                <w:sz w:val="18"/>
              </w:rPr>
            </w:pPr>
            <w:r w:rsidRPr="005366F8">
              <w:rPr>
                <w:rFonts w:ascii="Arial" w:hAnsi="Arial"/>
                <w:sz w:val="18"/>
              </w:rPr>
              <w:t>30</w:t>
            </w:r>
          </w:p>
        </w:tc>
        <w:tc>
          <w:tcPr>
            <w:tcW w:w="0" w:type="auto"/>
            <w:vAlign w:val="center"/>
          </w:tcPr>
          <w:p w14:paraId="32C29B7A" w14:textId="77777777" w:rsidR="005366F8" w:rsidRPr="005366F8" w:rsidRDefault="005366F8" w:rsidP="005366F8">
            <w:pPr>
              <w:keepNext/>
              <w:keepLines/>
              <w:spacing w:after="0"/>
              <w:jc w:val="center"/>
              <w:rPr>
                <w:rFonts w:ascii="Arial" w:hAnsi="Arial"/>
                <w:sz w:val="18"/>
              </w:rPr>
            </w:pPr>
            <w:r w:rsidRPr="005366F8">
              <w:rPr>
                <w:rFonts w:ascii="Arial" w:hAnsi="Arial"/>
                <w:sz w:val="18"/>
              </w:rPr>
              <w:t>6</w:t>
            </w:r>
          </w:p>
        </w:tc>
      </w:tr>
      <w:tr w:rsidR="005366F8" w:rsidRPr="005366F8" w14:paraId="2C1F1E1F" w14:textId="77777777" w:rsidTr="00BE6E85">
        <w:trPr>
          <w:trHeight w:hRule="exact" w:val="227"/>
          <w:jc w:val="center"/>
        </w:trPr>
        <w:tc>
          <w:tcPr>
            <w:tcW w:w="0" w:type="auto"/>
            <w:vAlign w:val="center"/>
          </w:tcPr>
          <w:p w14:paraId="400AEAAE" w14:textId="77777777" w:rsidR="005366F8" w:rsidRPr="005366F8" w:rsidRDefault="005366F8" w:rsidP="005366F8">
            <w:pPr>
              <w:keepNext/>
              <w:keepLines/>
              <w:spacing w:after="0"/>
              <w:jc w:val="center"/>
              <w:rPr>
                <w:rFonts w:ascii="Arial" w:hAnsi="Arial"/>
                <w:sz w:val="18"/>
              </w:rPr>
            </w:pPr>
            <w:r w:rsidRPr="005366F8">
              <w:rPr>
                <w:rFonts w:ascii="Arial" w:hAnsi="Arial"/>
                <w:sz w:val="18"/>
              </w:rPr>
              <w:t>60</w:t>
            </w:r>
          </w:p>
        </w:tc>
        <w:tc>
          <w:tcPr>
            <w:tcW w:w="0" w:type="auto"/>
            <w:vAlign w:val="center"/>
          </w:tcPr>
          <w:p w14:paraId="7DD9EB26" w14:textId="77777777" w:rsidR="005366F8" w:rsidRPr="005366F8" w:rsidRDefault="005366F8" w:rsidP="005366F8">
            <w:pPr>
              <w:keepNext/>
              <w:keepLines/>
              <w:spacing w:after="0"/>
              <w:jc w:val="center"/>
              <w:rPr>
                <w:rFonts w:ascii="Arial" w:hAnsi="Arial"/>
                <w:sz w:val="18"/>
              </w:rPr>
            </w:pPr>
            <w:r w:rsidRPr="005366F8">
              <w:rPr>
                <w:rFonts w:ascii="Arial" w:hAnsi="Arial"/>
                <w:sz w:val="18"/>
              </w:rPr>
              <w:t>12</w:t>
            </w:r>
          </w:p>
        </w:tc>
      </w:tr>
      <w:tr w:rsidR="005366F8" w:rsidRPr="005366F8" w14:paraId="326FC7E8" w14:textId="77777777" w:rsidTr="00BE6E85">
        <w:trPr>
          <w:trHeight w:hRule="exact" w:val="227"/>
          <w:jc w:val="center"/>
        </w:trPr>
        <w:tc>
          <w:tcPr>
            <w:tcW w:w="0" w:type="auto"/>
            <w:vAlign w:val="center"/>
          </w:tcPr>
          <w:p w14:paraId="40D354EB" w14:textId="77777777" w:rsidR="005366F8" w:rsidRPr="005366F8" w:rsidRDefault="005366F8" w:rsidP="005366F8">
            <w:pPr>
              <w:keepNext/>
              <w:keepLines/>
              <w:spacing w:after="0"/>
              <w:jc w:val="center"/>
              <w:rPr>
                <w:rFonts w:ascii="Arial" w:hAnsi="Arial"/>
                <w:sz w:val="18"/>
              </w:rPr>
            </w:pPr>
            <w:r w:rsidRPr="005366F8">
              <w:rPr>
                <w:rFonts w:ascii="Arial" w:hAnsi="Arial"/>
                <w:sz w:val="18"/>
              </w:rPr>
              <w:t>120</w:t>
            </w:r>
          </w:p>
        </w:tc>
        <w:tc>
          <w:tcPr>
            <w:tcW w:w="0" w:type="auto"/>
            <w:vAlign w:val="center"/>
          </w:tcPr>
          <w:p w14:paraId="066D840E" w14:textId="77777777" w:rsidR="005366F8" w:rsidRPr="005366F8" w:rsidRDefault="005366F8" w:rsidP="005366F8">
            <w:pPr>
              <w:keepNext/>
              <w:keepLines/>
              <w:spacing w:after="0"/>
              <w:jc w:val="center"/>
              <w:rPr>
                <w:rFonts w:ascii="Arial" w:hAnsi="Arial"/>
                <w:sz w:val="18"/>
              </w:rPr>
            </w:pPr>
            <w:r w:rsidRPr="005366F8">
              <w:rPr>
                <w:rFonts w:ascii="Arial" w:hAnsi="Arial"/>
                <w:sz w:val="18"/>
              </w:rPr>
              <w:t>24</w:t>
            </w:r>
          </w:p>
        </w:tc>
      </w:tr>
      <w:tr w:rsidR="005366F8" w:rsidRPr="005366F8" w14:paraId="5AB33248" w14:textId="77777777" w:rsidTr="00BE6E85">
        <w:trPr>
          <w:trHeight w:hRule="exact" w:val="227"/>
          <w:jc w:val="center"/>
        </w:trPr>
        <w:tc>
          <w:tcPr>
            <w:tcW w:w="0" w:type="auto"/>
            <w:tcBorders>
              <w:top w:val="single" w:sz="4" w:space="0" w:color="auto"/>
              <w:left w:val="single" w:sz="4" w:space="0" w:color="auto"/>
              <w:bottom w:val="single" w:sz="4" w:space="0" w:color="auto"/>
              <w:right w:val="single" w:sz="4" w:space="0" w:color="auto"/>
            </w:tcBorders>
            <w:vAlign w:val="center"/>
          </w:tcPr>
          <w:p w14:paraId="0554D950" w14:textId="77777777" w:rsidR="005366F8" w:rsidRPr="005366F8" w:rsidRDefault="005366F8" w:rsidP="005366F8">
            <w:pPr>
              <w:keepNext/>
              <w:keepLines/>
              <w:spacing w:after="0"/>
              <w:jc w:val="center"/>
              <w:rPr>
                <w:rFonts w:ascii="Arial" w:hAnsi="Arial"/>
                <w:sz w:val="18"/>
              </w:rPr>
            </w:pPr>
            <w:r w:rsidRPr="005366F8">
              <w:rPr>
                <w:rFonts w:ascii="Arial" w:hAnsi="Arial"/>
                <w:sz w:val="18"/>
              </w:rPr>
              <w:t>480</w:t>
            </w:r>
          </w:p>
        </w:tc>
        <w:tc>
          <w:tcPr>
            <w:tcW w:w="0" w:type="auto"/>
            <w:tcBorders>
              <w:top w:val="single" w:sz="4" w:space="0" w:color="auto"/>
              <w:left w:val="single" w:sz="4" w:space="0" w:color="auto"/>
              <w:bottom w:val="single" w:sz="4" w:space="0" w:color="auto"/>
              <w:right w:val="single" w:sz="4" w:space="0" w:color="auto"/>
            </w:tcBorders>
            <w:vAlign w:val="center"/>
          </w:tcPr>
          <w:p w14:paraId="23219739" w14:textId="77777777" w:rsidR="005366F8" w:rsidRPr="005366F8" w:rsidRDefault="005366F8" w:rsidP="005366F8">
            <w:pPr>
              <w:keepNext/>
              <w:keepLines/>
              <w:spacing w:after="0"/>
              <w:jc w:val="center"/>
              <w:rPr>
                <w:rFonts w:ascii="Arial" w:hAnsi="Arial"/>
                <w:sz w:val="18"/>
              </w:rPr>
            </w:pPr>
            <w:r w:rsidRPr="005366F8">
              <w:rPr>
                <w:rFonts w:ascii="Arial" w:hAnsi="Arial"/>
                <w:sz w:val="18"/>
              </w:rPr>
              <w:t>96</w:t>
            </w:r>
          </w:p>
        </w:tc>
      </w:tr>
      <w:tr w:rsidR="005366F8" w:rsidRPr="005366F8" w14:paraId="4DF36572" w14:textId="77777777" w:rsidTr="00BE6E85">
        <w:trPr>
          <w:trHeight w:hRule="exact" w:val="227"/>
          <w:jc w:val="center"/>
        </w:trPr>
        <w:tc>
          <w:tcPr>
            <w:tcW w:w="0" w:type="auto"/>
            <w:tcBorders>
              <w:top w:val="single" w:sz="4" w:space="0" w:color="auto"/>
              <w:left w:val="single" w:sz="4" w:space="0" w:color="auto"/>
              <w:bottom w:val="single" w:sz="4" w:space="0" w:color="auto"/>
              <w:right w:val="single" w:sz="4" w:space="0" w:color="auto"/>
            </w:tcBorders>
            <w:vAlign w:val="center"/>
          </w:tcPr>
          <w:p w14:paraId="279CE66C" w14:textId="77777777" w:rsidR="005366F8" w:rsidRPr="005366F8" w:rsidRDefault="005366F8" w:rsidP="005366F8">
            <w:pPr>
              <w:keepNext/>
              <w:keepLines/>
              <w:spacing w:after="0"/>
              <w:jc w:val="center"/>
              <w:rPr>
                <w:rFonts w:ascii="Arial" w:hAnsi="Arial"/>
                <w:sz w:val="18"/>
              </w:rPr>
            </w:pPr>
            <w:r w:rsidRPr="005366F8">
              <w:rPr>
                <w:rFonts w:ascii="Arial" w:hAnsi="Arial"/>
                <w:sz w:val="18"/>
              </w:rPr>
              <w:t>960</w:t>
            </w:r>
          </w:p>
        </w:tc>
        <w:tc>
          <w:tcPr>
            <w:tcW w:w="0" w:type="auto"/>
            <w:tcBorders>
              <w:top w:val="single" w:sz="4" w:space="0" w:color="auto"/>
              <w:left w:val="single" w:sz="4" w:space="0" w:color="auto"/>
              <w:bottom w:val="single" w:sz="4" w:space="0" w:color="auto"/>
              <w:right w:val="single" w:sz="4" w:space="0" w:color="auto"/>
            </w:tcBorders>
            <w:vAlign w:val="center"/>
          </w:tcPr>
          <w:p w14:paraId="49409726" w14:textId="77777777" w:rsidR="005366F8" w:rsidRPr="005366F8" w:rsidRDefault="005366F8" w:rsidP="005366F8">
            <w:pPr>
              <w:keepNext/>
              <w:keepLines/>
              <w:spacing w:after="0"/>
              <w:jc w:val="center"/>
              <w:rPr>
                <w:rFonts w:ascii="Arial" w:hAnsi="Arial"/>
                <w:sz w:val="18"/>
              </w:rPr>
            </w:pPr>
            <w:r w:rsidRPr="005366F8">
              <w:rPr>
                <w:rFonts w:ascii="Arial" w:hAnsi="Arial"/>
                <w:sz w:val="18"/>
              </w:rPr>
              <w:t>192</w:t>
            </w:r>
          </w:p>
        </w:tc>
      </w:tr>
    </w:tbl>
    <w:p w14:paraId="791D7CD0" w14:textId="77777777" w:rsidR="005366F8" w:rsidRDefault="005366F8" w:rsidP="005366F8">
      <w:pPr>
        <w:rPr>
          <w:lang w:eastAsia="zh-CN"/>
        </w:rPr>
      </w:pPr>
    </w:p>
    <w:p w14:paraId="5C82EF18" w14:textId="77777777" w:rsidR="00621303" w:rsidRPr="00B916EC" w:rsidRDefault="00621303" w:rsidP="00621303">
      <w:pPr>
        <w:pStyle w:val="Heading1"/>
        <w:tabs>
          <w:tab w:val="left" w:pos="1134"/>
        </w:tabs>
      </w:pPr>
      <w:bookmarkStart w:id="787" w:name="_Ref496621482"/>
      <w:bookmarkStart w:id="788" w:name="_Toc12021494"/>
      <w:bookmarkStart w:id="789" w:name="_Toc20311606"/>
      <w:bookmarkStart w:id="790" w:name="_Toc26719431"/>
      <w:bookmarkStart w:id="791" w:name="_Toc29894871"/>
      <w:bookmarkStart w:id="792" w:name="_Toc29899170"/>
      <w:bookmarkStart w:id="793" w:name="_Toc29899588"/>
      <w:bookmarkStart w:id="794" w:name="_Toc29917324"/>
      <w:bookmarkStart w:id="795" w:name="_Toc36498198"/>
      <w:bookmarkStart w:id="796" w:name="_Toc45699226"/>
      <w:bookmarkStart w:id="797" w:name="_Toc161999160"/>
      <w:r w:rsidRPr="00B916EC">
        <w:t>1</w:t>
      </w:r>
      <w:r w:rsidR="00C208F0" w:rsidRPr="00B916EC">
        <w:t>2</w:t>
      </w:r>
      <w:r w:rsidRPr="00B916EC">
        <w:rPr>
          <w:rFonts w:hint="eastAsia"/>
        </w:rPr>
        <w:tab/>
      </w:r>
      <w:r w:rsidRPr="00B916EC">
        <w:t>Bandwidth part operation</w:t>
      </w:r>
      <w:bookmarkEnd w:id="787"/>
      <w:bookmarkEnd w:id="788"/>
      <w:bookmarkEnd w:id="789"/>
      <w:bookmarkEnd w:id="790"/>
      <w:bookmarkEnd w:id="791"/>
      <w:bookmarkEnd w:id="792"/>
      <w:bookmarkEnd w:id="793"/>
      <w:bookmarkEnd w:id="794"/>
      <w:bookmarkEnd w:id="795"/>
      <w:bookmarkEnd w:id="796"/>
      <w:bookmarkEnd w:id="797"/>
      <w:r w:rsidRPr="00B916EC">
        <w:t xml:space="preserve"> </w:t>
      </w:r>
    </w:p>
    <w:p w14:paraId="261B5FDC" w14:textId="77777777" w:rsidR="00546551" w:rsidRPr="00B916EC" w:rsidRDefault="00546551" w:rsidP="00546551">
      <w:r w:rsidRPr="00B916EC">
        <w:t>If the UE is configured with a SCG, the UE shall apply the procedures described in this clause for both MCG and SCG</w:t>
      </w:r>
    </w:p>
    <w:p w14:paraId="0339433B" w14:textId="1994BC9C" w:rsidR="00546551" w:rsidRPr="00B916EC" w:rsidRDefault="00B06B6C" w:rsidP="00B06B6C">
      <w:pPr>
        <w:pStyle w:val="B1"/>
      </w:pPr>
      <w:r>
        <w:t>-</w:t>
      </w:r>
      <w:r>
        <w:tab/>
      </w:r>
      <w:r w:rsidR="00546551" w:rsidRPr="00B916EC">
        <w:t xml:space="preserve">When the procedures are applied for MCG, the terms </w:t>
      </w:r>
      <w:r w:rsidR="002A01CD">
        <w:rPr>
          <w:lang w:val="en-US"/>
        </w:rPr>
        <w:t>'</w:t>
      </w:r>
      <w:r w:rsidR="00546551" w:rsidRPr="00B916EC">
        <w:rPr>
          <w:lang w:val="en-US"/>
        </w:rPr>
        <w:t>secondary cell</w:t>
      </w:r>
      <w:r w:rsidR="002A01CD">
        <w:rPr>
          <w:lang w:val="en-US"/>
        </w:rPr>
        <w:t>'</w:t>
      </w:r>
      <w:r w:rsidR="00546551" w:rsidRPr="00B916EC">
        <w:rPr>
          <w:lang w:val="en-US"/>
        </w:rPr>
        <w:t xml:space="preserve">, </w:t>
      </w:r>
      <w:r w:rsidR="002A01CD">
        <w:rPr>
          <w:lang w:val="en-US"/>
        </w:rPr>
        <w:t>'</w:t>
      </w:r>
      <w:r w:rsidR="00546551" w:rsidRPr="00B916EC">
        <w:rPr>
          <w:lang w:val="en-US"/>
        </w:rPr>
        <w:t>secondary cells</w:t>
      </w:r>
      <w:r w:rsidR="002A01CD">
        <w:rPr>
          <w:lang w:val="en-US"/>
        </w:rPr>
        <w:t>'</w:t>
      </w:r>
      <w:r w:rsidR="00546551" w:rsidRPr="00B916EC">
        <w:rPr>
          <w:lang w:val="en-US"/>
        </w:rPr>
        <w:t xml:space="preserve">, </w:t>
      </w:r>
      <w:r w:rsidR="002A01CD">
        <w:t>'</w:t>
      </w:r>
      <w:r w:rsidR="00546551" w:rsidRPr="00B916EC">
        <w:t>serving cell</w:t>
      </w:r>
      <w:r w:rsidR="002A01CD">
        <w:t>'</w:t>
      </w:r>
      <w:r w:rsidR="00546551" w:rsidRPr="00B916EC">
        <w:rPr>
          <w:lang w:val="en-US"/>
        </w:rPr>
        <w:t xml:space="preserve">, </w:t>
      </w:r>
      <w:r w:rsidR="002A01CD">
        <w:t>'</w:t>
      </w:r>
      <w:r w:rsidR="00546551" w:rsidRPr="00B916EC">
        <w:t>serving cells</w:t>
      </w:r>
      <w:r w:rsidR="002A01CD">
        <w:t>'</w:t>
      </w:r>
      <w:r w:rsidR="00546551" w:rsidRPr="00B916EC">
        <w:t xml:space="preserve"> in this clause refer to </w:t>
      </w:r>
      <w:r w:rsidR="00546551" w:rsidRPr="00B916EC">
        <w:rPr>
          <w:lang w:val="en-US"/>
        </w:rPr>
        <w:t xml:space="preserve">secondary cell, secondary cells, </w:t>
      </w:r>
      <w:r w:rsidR="00546551" w:rsidRPr="00B916EC">
        <w:t>serving cell</w:t>
      </w:r>
      <w:r w:rsidR="00546551" w:rsidRPr="00B916EC">
        <w:rPr>
          <w:lang w:val="en-US"/>
        </w:rPr>
        <w:t xml:space="preserve">, </w:t>
      </w:r>
      <w:r w:rsidR="00546551" w:rsidRPr="00B916EC">
        <w:t>serving cells belonging to the MCG</w:t>
      </w:r>
      <w:r w:rsidR="00546551" w:rsidRPr="00B916EC">
        <w:rPr>
          <w:lang w:val="en-US"/>
        </w:rPr>
        <w:t xml:space="preserve"> respectively</w:t>
      </w:r>
      <w:r w:rsidR="00546551" w:rsidRPr="00B916EC">
        <w:t>.</w:t>
      </w:r>
    </w:p>
    <w:p w14:paraId="46D4ECC6" w14:textId="77777777" w:rsidR="00546551" w:rsidRPr="00B916EC" w:rsidRDefault="00B06B6C" w:rsidP="00B06B6C">
      <w:pPr>
        <w:pStyle w:val="B1"/>
      </w:pPr>
      <w:r>
        <w:t>-</w:t>
      </w:r>
      <w:r>
        <w:tab/>
      </w:r>
      <w:r w:rsidR="00546551" w:rsidRPr="00B916EC">
        <w:t xml:space="preserve">When the procedures are applied for SCG, the terms </w:t>
      </w:r>
      <w:r w:rsidR="002A01CD">
        <w:rPr>
          <w:lang w:val="en-US"/>
        </w:rPr>
        <w:t>'</w:t>
      </w:r>
      <w:r w:rsidR="00546551" w:rsidRPr="00B916EC">
        <w:rPr>
          <w:lang w:val="en-US"/>
        </w:rPr>
        <w:t>secondary cell</w:t>
      </w:r>
      <w:r w:rsidR="002A01CD">
        <w:rPr>
          <w:lang w:val="en-US"/>
        </w:rPr>
        <w:t>'</w:t>
      </w:r>
      <w:r w:rsidR="00546551" w:rsidRPr="00B916EC">
        <w:rPr>
          <w:lang w:val="en-US"/>
        </w:rPr>
        <w:t xml:space="preserve">, </w:t>
      </w:r>
      <w:r w:rsidR="002A01CD">
        <w:rPr>
          <w:lang w:val="en-US"/>
        </w:rPr>
        <w:t>'</w:t>
      </w:r>
      <w:r w:rsidR="00546551" w:rsidRPr="00B916EC">
        <w:rPr>
          <w:lang w:val="en-US"/>
        </w:rPr>
        <w:t>secondary cells</w:t>
      </w:r>
      <w:r w:rsidR="002A01CD">
        <w:rPr>
          <w:lang w:val="en-US"/>
        </w:rPr>
        <w:t>'</w:t>
      </w:r>
      <w:r w:rsidR="00546551" w:rsidRPr="00B916EC">
        <w:rPr>
          <w:lang w:val="en-US"/>
        </w:rPr>
        <w:t>,</w:t>
      </w:r>
      <w:r w:rsidR="00546551" w:rsidRPr="00B916EC">
        <w:t xml:space="preserve"> </w:t>
      </w:r>
      <w:r w:rsidR="002A01CD">
        <w:t>'</w:t>
      </w:r>
      <w:r w:rsidR="00546551" w:rsidRPr="00B916EC">
        <w:t>serving cell</w:t>
      </w:r>
      <w:r w:rsidR="002A01CD">
        <w:t>'</w:t>
      </w:r>
      <w:r w:rsidR="00546551" w:rsidRPr="00B916EC">
        <w:rPr>
          <w:lang w:val="en-US"/>
        </w:rPr>
        <w:t xml:space="preserve">, </w:t>
      </w:r>
      <w:r w:rsidR="002A01CD">
        <w:t>'</w:t>
      </w:r>
      <w:r w:rsidR="00546551" w:rsidRPr="00B916EC">
        <w:t>serving cells</w:t>
      </w:r>
      <w:r w:rsidR="002A01CD">
        <w:t>'</w:t>
      </w:r>
      <w:r w:rsidR="00546551" w:rsidRPr="00B916EC">
        <w:t xml:space="preserve"> in this clause refer to </w:t>
      </w:r>
      <w:r w:rsidR="00546551" w:rsidRPr="00B916EC">
        <w:rPr>
          <w:lang w:val="en-US"/>
        </w:rPr>
        <w:t xml:space="preserve">secondary cell, secondary cells (not including PSCell), </w:t>
      </w:r>
      <w:r w:rsidR="00546551" w:rsidRPr="00B916EC">
        <w:t>serving cell</w:t>
      </w:r>
      <w:r w:rsidR="00546551" w:rsidRPr="00B916EC">
        <w:rPr>
          <w:lang w:val="en-US"/>
        </w:rPr>
        <w:t xml:space="preserve">, </w:t>
      </w:r>
      <w:r w:rsidR="00546551" w:rsidRPr="00B916EC">
        <w:t>serving cells belonging to the SCG</w:t>
      </w:r>
      <w:r w:rsidR="00546551" w:rsidRPr="00B916EC">
        <w:rPr>
          <w:lang w:val="en-US"/>
        </w:rPr>
        <w:t xml:space="preserve"> respectively</w:t>
      </w:r>
      <w:r w:rsidR="00546551" w:rsidRPr="00B916EC">
        <w:t xml:space="preserve">. The term </w:t>
      </w:r>
      <w:r w:rsidR="002A01CD">
        <w:t>'</w:t>
      </w:r>
      <w:r w:rsidR="00546551" w:rsidRPr="00B916EC">
        <w:t>primary cell</w:t>
      </w:r>
      <w:r w:rsidR="002A01CD">
        <w:t>'</w:t>
      </w:r>
      <w:r w:rsidR="00546551" w:rsidRPr="00B916EC">
        <w:t xml:space="preserve"> in this clause refers to the PSCell of the SCG.</w:t>
      </w:r>
    </w:p>
    <w:p w14:paraId="0EB02E11" w14:textId="77777777" w:rsidR="008E450D" w:rsidRDefault="00621303" w:rsidP="008E450D">
      <w:pPr>
        <w:rPr>
          <w:rFonts w:eastAsia="MS Mincho"/>
        </w:rPr>
      </w:pPr>
      <w:r w:rsidRPr="00B916EC">
        <w:rPr>
          <w:rFonts w:eastAsia="MS Mincho"/>
        </w:rPr>
        <w:t xml:space="preserve">A UE configured for operation in bandwidth parts (BWPs) of a serving cell, is configured by higher layers for the serving cell a set of </w:t>
      </w:r>
      <w:r w:rsidR="009F013D" w:rsidRPr="00B916EC">
        <w:rPr>
          <w:rFonts w:eastAsia="MS Mincho"/>
        </w:rPr>
        <w:t xml:space="preserve">at most four </w:t>
      </w:r>
      <w:r w:rsidRPr="00B916EC">
        <w:rPr>
          <w:rFonts w:eastAsia="MS Mincho"/>
        </w:rPr>
        <w:t xml:space="preserve">bandwidth parts (BWPs) for receptions by the UE (DL BWP set) </w:t>
      </w:r>
      <w:r w:rsidR="00037877" w:rsidRPr="00B916EC">
        <w:rPr>
          <w:rFonts w:eastAsia="MS Mincho"/>
        </w:rPr>
        <w:t xml:space="preserve">in a DL bandwidth </w:t>
      </w:r>
      <w:r w:rsidR="00170183" w:rsidRPr="00B916EC">
        <w:rPr>
          <w:rFonts w:eastAsia="MS Mincho"/>
        </w:rPr>
        <w:t xml:space="preserve">by parameter </w:t>
      </w:r>
      <w:r w:rsidR="005D2B05" w:rsidRPr="00B916EC">
        <w:rPr>
          <w:rFonts w:eastAsia="MS Mincho"/>
          <w:i/>
        </w:rPr>
        <w:t>BWP</w:t>
      </w:r>
      <w:r w:rsidR="005D2B05">
        <w:rPr>
          <w:rFonts w:eastAsia="MS Mincho"/>
          <w:i/>
        </w:rPr>
        <w:t>-Downlink</w:t>
      </w:r>
      <w:r w:rsidR="00170183" w:rsidRPr="00B916EC">
        <w:rPr>
          <w:rFonts w:eastAsia="MS Mincho"/>
        </w:rPr>
        <w:t xml:space="preserve"> </w:t>
      </w:r>
      <w:r w:rsidR="00516957">
        <w:rPr>
          <w:rFonts w:eastAsia="MS Mincho"/>
        </w:rPr>
        <w:t xml:space="preserve">or by parameter </w:t>
      </w:r>
      <w:r w:rsidR="00516957" w:rsidRPr="00D56427">
        <w:rPr>
          <w:rFonts w:eastAsia="MS Mincho"/>
          <w:i/>
        </w:rPr>
        <w:t>initialDownlinkBWP</w:t>
      </w:r>
      <w:r w:rsidR="00516957">
        <w:rPr>
          <w:rFonts w:eastAsia="MS Mincho"/>
        </w:rPr>
        <w:t xml:space="preserve"> with </w:t>
      </w:r>
      <w:r w:rsidR="00516957">
        <w:rPr>
          <w:lang w:val="en-US"/>
        </w:rPr>
        <w:t xml:space="preserve">a set of parameters configured by </w:t>
      </w:r>
      <w:r w:rsidR="00516957" w:rsidRPr="00275A2D">
        <w:rPr>
          <w:i/>
          <w:noProof/>
          <w:lang w:val="en-US"/>
        </w:rPr>
        <w:t>BWP-DownlinkCommon</w:t>
      </w:r>
      <w:r w:rsidR="00516957">
        <w:rPr>
          <w:lang w:val="en-US"/>
        </w:rPr>
        <w:t xml:space="preserve"> and </w:t>
      </w:r>
      <w:r w:rsidR="00516957" w:rsidRPr="00275A2D">
        <w:rPr>
          <w:i/>
          <w:noProof/>
          <w:lang w:val="en-US"/>
        </w:rPr>
        <w:t>BWP-Downlink</w:t>
      </w:r>
      <w:r w:rsidR="00516957">
        <w:rPr>
          <w:i/>
          <w:noProof/>
          <w:lang w:val="en-US"/>
        </w:rPr>
        <w:t>Dedicated</w:t>
      </w:r>
      <w:r w:rsidR="00516957">
        <w:rPr>
          <w:rFonts w:eastAsia="MS Mincho"/>
        </w:rPr>
        <w:t xml:space="preserve">, </w:t>
      </w:r>
      <w:r w:rsidR="009F013D" w:rsidRPr="00B916EC">
        <w:rPr>
          <w:rFonts w:eastAsia="MS Mincho"/>
        </w:rPr>
        <w:t>and</w:t>
      </w:r>
      <w:r w:rsidRPr="00B916EC">
        <w:rPr>
          <w:rFonts w:eastAsia="MS Mincho"/>
        </w:rPr>
        <w:t xml:space="preserve"> a set of </w:t>
      </w:r>
      <w:r w:rsidR="009F013D" w:rsidRPr="00B916EC">
        <w:rPr>
          <w:rFonts w:eastAsia="MS Mincho"/>
        </w:rPr>
        <w:t xml:space="preserve">at most four </w:t>
      </w:r>
      <w:r w:rsidRPr="00B916EC">
        <w:rPr>
          <w:rFonts w:eastAsia="MS Mincho"/>
        </w:rPr>
        <w:t xml:space="preserve">BWPs for transmissions by the UE (UL </w:t>
      </w:r>
      <w:r w:rsidRPr="00B916EC">
        <w:rPr>
          <w:rFonts w:eastAsia="MS Mincho"/>
        </w:rPr>
        <w:lastRenderedPageBreak/>
        <w:t>BWP set)</w:t>
      </w:r>
      <w:r w:rsidR="00294149" w:rsidRPr="00B916EC">
        <w:rPr>
          <w:rFonts w:eastAsia="MS Mincho"/>
        </w:rPr>
        <w:t xml:space="preserve"> </w:t>
      </w:r>
      <w:r w:rsidR="00037877" w:rsidRPr="00B916EC">
        <w:rPr>
          <w:rFonts w:eastAsia="MS Mincho"/>
        </w:rPr>
        <w:t>in an UL bandwidth</w:t>
      </w:r>
      <w:r w:rsidR="00170183" w:rsidRPr="00B916EC">
        <w:rPr>
          <w:rFonts w:eastAsia="MS Mincho"/>
        </w:rPr>
        <w:t xml:space="preserve"> by parameter </w:t>
      </w:r>
      <w:r w:rsidR="005D2B05" w:rsidRPr="00B916EC">
        <w:rPr>
          <w:rFonts w:eastAsia="MS Mincho"/>
          <w:i/>
        </w:rPr>
        <w:t>BWP</w:t>
      </w:r>
      <w:r w:rsidR="005D2B05">
        <w:rPr>
          <w:rFonts w:eastAsia="MS Mincho"/>
          <w:i/>
        </w:rPr>
        <w:t>-Uplink</w:t>
      </w:r>
      <w:r w:rsidR="00516957">
        <w:rPr>
          <w:rFonts w:eastAsia="MS Mincho"/>
        </w:rPr>
        <w:t xml:space="preserve"> or by parameter </w:t>
      </w:r>
      <w:r w:rsidR="00516957" w:rsidRPr="00D56427">
        <w:rPr>
          <w:rFonts w:eastAsia="MS Mincho"/>
          <w:i/>
        </w:rPr>
        <w:t>initial</w:t>
      </w:r>
      <w:r w:rsidR="00516957">
        <w:rPr>
          <w:rFonts w:eastAsia="MS Mincho"/>
          <w:i/>
        </w:rPr>
        <w:t>Up</w:t>
      </w:r>
      <w:r w:rsidR="00516957" w:rsidRPr="00D56427">
        <w:rPr>
          <w:rFonts w:eastAsia="MS Mincho"/>
          <w:i/>
        </w:rPr>
        <w:t>linkBWP</w:t>
      </w:r>
      <w:r w:rsidR="00516957">
        <w:rPr>
          <w:rFonts w:eastAsia="MS Mincho"/>
        </w:rPr>
        <w:t xml:space="preserve"> with </w:t>
      </w:r>
      <w:r w:rsidR="00516957">
        <w:rPr>
          <w:lang w:val="en-US"/>
        </w:rPr>
        <w:t xml:space="preserve">a set of parameters configured by </w:t>
      </w:r>
      <w:r w:rsidR="00516957" w:rsidRPr="00275A2D">
        <w:rPr>
          <w:i/>
          <w:noProof/>
          <w:lang w:val="en-US"/>
        </w:rPr>
        <w:t>BWP-</w:t>
      </w:r>
      <w:r w:rsidR="00516957">
        <w:rPr>
          <w:i/>
          <w:noProof/>
          <w:lang w:val="en-US"/>
        </w:rPr>
        <w:t>Up</w:t>
      </w:r>
      <w:r w:rsidR="00516957" w:rsidRPr="00275A2D">
        <w:rPr>
          <w:i/>
          <w:noProof/>
          <w:lang w:val="en-US"/>
        </w:rPr>
        <w:t>linkCommon</w:t>
      </w:r>
      <w:r w:rsidR="00516957">
        <w:rPr>
          <w:lang w:val="en-US"/>
        </w:rPr>
        <w:t xml:space="preserve"> and </w:t>
      </w:r>
      <w:r w:rsidR="00516957" w:rsidRPr="00275A2D">
        <w:rPr>
          <w:i/>
          <w:noProof/>
          <w:lang w:val="en-US"/>
        </w:rPr>
        <w:t>BWP-</w:t>
      </w:r>
      <w:r w:rsidR="00516957">
        <w:rPr>
          <w:i/>
          <w:noProof/>
          <w:lang w:val="en-US"/>
        </w:rPr>
        <w:t>UplinkDedicated</w:t>
      </w:r>
      <w:r w:rsidRPr="00B916EC">
        <w:rPr>
          <w:rFonts w:eastAsia="MS Mincho"/>
        </w:rPr>
        <w:t xml:space="preserve">. </w:t>
      </w:r>
    </w:p>
    <w:p w14:paraId="718C4690" w14:textId="17E40996" w:rsidR="00270922" w:rsidRDefault="008E450D" w:rsidP="008E450D">
      <w:pPr>
        <w:rPr>
          <w:rFonts w:eastAsia="MS Mincho"/>
        </w:rPr>
      </w:pPr>
      <w:r w:rsidRPr="003A2268">
        <w:rPr>
          <w:rFonts w:eastAsia="MS Mincho"/>
        </w:rPr>
        <w:t>For operation with shared spectrum channel access, a UE expect</w:t>
      </w:r>
      <w:r>
        <w:rPr>
          <w:rFonts w:eastAsia="MS Mincho"/>
        </w:rPr>
        <w:t xml:space="preserve">s that the </w:t>
      </w:r>
      <w:r w:rsidRPr="003A2268">
        <w:rPr>
          <w:rFonts w:eastAsia="MS Mincho"/>
        </w:rPr>
        <w:t xml:space="preserve">BWP configured by </w:t>
      </w:r>
      <w:r>
        <w:rPr>
          <w:rFonts w:eastAsia="MS Mincho"/>
        </w:rPr>
        <w:t xml:space="preserve">the </w:t>
      </w:r>
      <w:r w:rsidRPr="003A2268">
        <w:rPr>
          <w:rFonts w:eastAsia="MS Mincho"/>
        </w:rPr>
        <w:t xml:space="preserve">parameter </w:t>
      </w:r>
      <w:r w:rsidRPr="00D45471">
        <w:rPr>
          <w:rFonts w:eastAsia="MS Mincho"/>
          <w:i/>
        </w:rPr>
        <w:t>initialUplinkBWP</w:t>
      </w:r>
      <w:r w:rsidRPr="00D45471">
        <w:rPr>
          <w:rFonts w:eastAsia="MS Mincho"/>
        </w:rPr>
        <w:t xml:space="preserve"> provided in </w:t>
      </w:r>
      <w:r w:rsidRPr="00D45471">
        <w:rPr>
          <w:rFonts w:eastAsia="MS Mincho"/>
          <w:i/>
          <w:iCs/>
        </w:rPr>
        <w:t>UplinkConfigCommonSIB</w:t>
      </w:r>
      <w:r w:rsidRPr="00D45471">
        <w:rPr>
          <w:rFonts w:eastAsia="MS Mincho"/>
        </w:rPr>
        <w:t xml:space="preserve"> is mapped to </w:t>
      </w:r>
      <w:r>
        <w:rPr>
          <w:rFonts w:eastAsia="MS Mincho"/>
        </w:rPr>
        <w:t xml:space="preserve">only a single </w:t>
      </w:r>
      <w:r w:rsidRPr="003A2268">
        <w:rPr>
          <w:rFonts w:eastAsia="MS Mincho"/>
        </w:rPr>
        <w:t>RB set.</w:t>
      </w:r>
    </w:p>
    <w:p w14:paraId="2D7C02F7" w14:textId="34AEEC38" w:rsidR="00270922" w:rsidRDefault="006F0256" w:rsidP="00621303">
      <w:pPr>
        <w:rPr>
          <w:rFonts w:eastAsia="MS Mincho"/>
        </w:rPr>
      </w:pPr>
      <w:r w:rsidRPr="00AF26AC">
        <w:rPr>
          <w:lang w:eastAsia="ja-JP"/>
        </w:rPr>
        <w:t xml:space="preserve">If a UE is not provided </w:t>
      </w:r>
      <w:r w:rsidRPr="00D77191">
        <w:rPr>
          <w:rFonts w:eastAsia="Yu Mincho"/>
          <w:i/>
        </w:rPr>
        <w:t>initialDownlinkBWP</w:t>
      </w:r>
      <w:r w:rsidRPr="00AF26AC">
        <w:rPr>
          <w:rFonts w:eastAsia="Yu Mincho"/>
        </w:rPr>
        <w:t>,</w:t>
      </w:r>
      <w:r w:rsidRPr="00AF26AC">
        <w:rPr>
          <w:lang w:eastAsia="ja-JP"/>
        </w:rPr>
        <w:t xml:space="preserve"> an initial DL BWP is defined by a location and</w:t>
      </w:r>
      <w:r w:rsidRPr="00D77191">
        <w:rPr>
          <w:lang w:eastAsia="ja-JP"/>
        </w:rPr>
        <w:t xml:space="preserve"> number of </w:t>
      </w:r>
      <w:r w:rsidRPr="00A65DA0">
        <w:rPr>
          <w:lang w:eastAsia="ja-JP"/>
        </w:rPr>
        <w:t xml:space="preserve">contiguous PRBs, </w:t>
      </w:r>
      <w:r>
        <w:rPr>
          <w:rFonts w:eastAsia="Yu Mincho"/>
        </w:rPr>
        <w:t>starting from a</w:t>
      </w:r>
      <w:r w:rsidRPr="00A65DA0">
        <w:rPr>
          <w:rFonts w:eastAsia="Yu Mincho"/>
        </w:rPr>
        <w:t xml:space="preserve"> PRB </w:t>
      </w:r>
      <w:r>
        <w:rPr>
          <w:rFonts w:eastAsia="Yu Mincho"/>
        </w:rPr>
        <w:t xml:space="preserve">with the lowest index and ending at a PRB with the highest index </w:t>
      </w:r>
      <w:r w:rsidRPr="00A65DA0">
        <w:rPr>
          <w:rFonts w:eastAsia="Yu Mincho"/>
        </w:rPr>
        <w:t xml:space="preserve">among PRBs of </w:t>
      </w:r>
      <w:r>
        <w:rPr>
          <w:rFonts w:eastAsia="Yu Mincho"/>
        </w:rPr>
        <w:t xml:space="preserve">a </w:t>
      </w:r>
      <w:r w:rsidR="00C76664">
        <w:rPr>
          <w:rFonts w:eastAsia="Yu Mincho"/>
        </w:rPr>
        <w:t>CORESET</w:t>
      </w:r>
      <w:r w:rsidRPr="00A65DA0">
        <w:rPr>
          <w:rFonts w:eastAsia="Yu Mincho"/>
        </w:rPr>
        <w:t xml:space="preserve"> for Type0-PDCCH </w:t>
      </w:r>
      <w:r w:rsidR="00B026AD">
        <w:rPr>
          <w:rFonts w:eastAsia="Yu Mincho"/>
        </w:rPr>
        <w:t>CSS set</w:t>
      </w:r>
      <w:r w:rsidRPr="00A65DA0">
        <w:rPr>
          <w:rFonts w:eastAsia="Yu Mincho"/>
        </w:rPr>
        <w:t xml:space="preserve">, </w:t>
      </w:r>
      <w:r w:rsidR="001149BC">
        <w:rPr>
          <w:rFonts w:eastAsia="Yu Mincho"/>
        </w:rPr>
        <w:t>after puncturing if any [</w:t>
      </w:r>
      <w:r w:rsidR="001149BC" w:rsidRPr="003F4FF9">
        <w:t>4, TS 38.211</w:t>
      </w:r>
      <w:r w:rsidR="001149BC">
        <w:rPr>
          <w:rFonts w:eastAsia="Yu Mincho"/>
        </w:rPr>
        <w:t xml:space="preserve">], </w:t>
      </w:r>
      <w:r>
        <w:rPr>
          <w:rFonts w:eastAsia="Yu Mincho"/>
        </w:rPr>
        <w:t xml:space="preserve">and </w:t>
      </w:r>
      <w:r w:rsidRPr="00A65DA0">
        <w:rPr>
          <w:lang w:eastAsia="ja-JP"/>
        </w:rPr>
        <w:t xml:space="preserve">a </w:t>
      </w:r>
      <w:r w:rsidR="00143099">
        <w:rPr>
          <w:lang w:eastAsia="ja-JP"/>
        </w:rPr>
        <w:t>SCS</w:t>
      </w:r>
      <w:r w:rsidRPr="00A65DA0">
        <w:rPr>
          <w:lang w:eastAsia="ja-JP"/>
        </w:rPr>
        <w:t xml:space="preserve"> and a cyclic prefix for </w:t>
      </w:r>
      <w:r>
        <w:rPr>
          <w:lang w:eastAsia="ja-JP"/>
        </w:rPr>
        <w:t xml:space="preserve">PDCCH reception in </w:t>
      </w:r>
      <w:r w:rsidRPr="00A65DA0">
        <w:rPr>
          <w:lang w:eastAsia="ja-JP"/>
        </w:rPr>
        <w:t xml:space="preserve">the </w:t>
      </w:r>
      <w:r w:rsidR="00C76664">
        <w:rPr>
          <w:lang w:eastAsia="ja-JP"/>
        </w:rPr>
        <w:t>CORESET</w:t>
      </w:r>
      <w:r w:rsidRPr="00D77191">
        <w:rPr>
          <w:lang w:eastAsia="ja-JP"/>
        </w:rPr>
        <w:t xml:space="preserve"> for Type0-PDCCH </w:t>
      </w:r>
      <w:r w:rsidR="00B026AD">
        <w:rPr>
          <w:rFonts w:eastAsia="Yu Mincho"/>
        </w:rPr>
        <w:t>CSS set</w:t>
      </w:r>
      <w:r w:rsidRPr="00D77191">
        <w:rPr>
          <w:lang w:eastAsia="ja-JP"/>
        </w:rPr>
        <w:t xml:space="preserve">; otherwise, the initial DL BWP is provided by </w:t>
      </w:r>
      <w:r w:rsidRPr="00D77191">
        <w:rPr>
          <w:rFonts w:eastAsia="Yu Mincho"/>
          <w:i/>
        </w:rPr>
        <w:t>initialDownlinkBWP</w:t>
      </w:r>
      <w:r w:rsidR="00D74FC0" w:rsidRPr="00B916EC">
        <w:rPr>
          <w:lang w:eastAsia="ja-JP"/>
        </w:rPr>
        <w:t xml:space="preserve">. </w:t>
      </w:r>
      <w:r w:rsidR="000C24AB" w:rsidRPr="00B916EC">
        <w:rPr>
          <w:lang w:eastAsia="ja-JP"/>
        </w:rPr>
        <w:t xml:space="preserve">For operation on the </w:t>
      </w:r>
      <w:r w:rsidR="00270922">
        <w:rPr>
          <w:lang w:eastAsia="ja-JP"/>
        </w:rPr>
        <w:t>primary cell</w:t>
      </w:r>
      <w:r w:rsidR="005D2B05">
        <w:rPr>
          <w:lang w:eastAsia="ja-JP"/>
        </w:rPr>
        <w:t xml:space="preserve"> or on a secondary cell</w:t>
      </w:r>
      <w:r w:rsidR="000C24AB" w:rsidRPr="00B916EC">
        <w:rPr>
          <w:lang w:eastAsia="ja-JP"/>
        </w:rPr>
        <w:t xml:space="preserve">, </w:t>
      </w:r>
      <w:r w:rsidR="00DB7C5D">
        <w:rPr>
          <w:lang w:eastAsia="ja-JP"/>
        </w:rPr>
        <w:t>a</w:t>
      </w:r>
      <w:r w:rsidR="000C24AB" w:rsidRPr="00B916EC">
        <w:rPr>
          <w:lang w:eastAsia="ja-JP"/>
        </w:rPr>
        <w:t xml:space="preserve"> UE is</w:t>
      </w:r>
      <w:r w:rsidR="000C24AB" w:rsidRPr="00B916EC" w:rsidDel="00E015D5">
        <w:rPr>
          <w:rFonts w:eastAsia="MS Mincho"/>
        </w:rPr>
        <w:t xml:space="preserve"> </w:t>
      </w:r>
      <w:r w:rsidR="000C24AB" w:rsidRPr="00B916EC">
        <w:rPr>
          <w:rFonts w:eastAsia="MS Mincho"/>
        </w:rPr>
        <w:t xml:space="preserve">provided </w:t>
      </w:r>
      <w:r w:rsidR="005D2B05" w:rsidRPr="00FB1A0C">
        <w:t>an initial UL BWP</w:t>
      </w:r>
      <w:r w:rsidR="005D2B05" w:rsidRPr="00B916EC">
        <w:t xml:space="preserve"> by </w:t>
      </w:r>
      <w:r w:rsidR="00516957" w:rsidRPr="00FB1A0C">
        <w:rPr>
          <w:i/>
        </w:rPr>
        <w:t>initial</w:t>
      </w:r>
      <w:r w:rsidR="00516957">
        <w:rPr>
          <w:i/>
        </w:rPr>
        <w:t>U</w:t>
      </w:r>
      <w:r w:rsidR="00516957" w:rsidRPr="00FB1A0C">
        <w:rPr>
          <w:i/>
        </w:rPr>
        <w:t>plinkBWP</w:t>
      </w:r>
      <w:r w:rsidR="005D2B05" w:rsidRPr="00FB1A0C">
        <w:t>.</w:t>
      </w:r>
      <w:r w:rsidR="005D2B05" w:rsidRPr="00FB1A0C">
        <w:rPr>
          <w:rFonts w:eastAsia="MS Mincho"/>
        </w:rPr>
        <w:t xml:space="preserve"> </w:t>
      </w:r>
      <w:r w:rsidR="005D2B05" w:rsidRPr="00FB1A0C">
        <w:t xml:space="preserve">If the UE is configured with a </w:t>
      </w:r>
      <w:r w:rsidR="005D2B05">
        <w:t>supplementary</w:t>
      </w:r>
      <w:r w:rsidR="005D2B05" w:rsidRPr="00FB1A0C">
        <w:t xml:space="preserve"> </w:t>
      </w:r>
      <w:r>
        <w:t xml:space="preserve">UL </w:t>
      </w:r>
      <w:r w:rsidR="005D2B05" w:rsidRPr="00FB1A0C">
        <w:t>carrier</w:t>
      </w:r>
      <w:r w:rsidR="005D2B05" w:rsidRPr="00FB1A0C">
        <w:rPr>
          <w:rFonts w:eastAsia="MS Mincho"/>
        </w:rPr>
        <w:t xml:space="preserve">, the UE can be </w:t>
      </w:r>
      <w:r w:rsidR="005D2B05">
        <w:rPr>
          <w:rFonts w:eastAsia="MS Mincho"/>
        </w:rPr>
        <w:t>provided an initial</w:t>
      </w:r>
      <w:r w:rsidR="006817C6">
        <w:rPr>
          <w:rFonts w:eastAsia="MS Mincho"/>
        </w:rPr>
        <w:t xml:space="preserve"> </w:t>
      </w:r>
      <w:r w:rsidR="005D2B05">
        <w:rPr>
          <w:rFonts w:eastAsia="MS Mincho"/>
        </w:rPr>
        <w:t>UL BWP</w:t>
      </w:r>
      <w:r w:rsidR="005D2B05" w:rsidRPr="00FB1A0C">
        <w:rPr>
          <w:rFonts w:eastAsia="MS Mincho"/>
        </w:rPr>
        <w:t xml:space="preserve"> on the </w:t>
      </w:r>
      <w:r w:rsidR="005D2B05">
        <w:rPr>
          <w:rFonts w:eastAsia="MS Mincho"/>
        </w:rPr>
        <w:t>supplementary</w:t>
      </w:r>
      <w:r w:rsidR="005D2B05" w:rsidRPr="00FB1A0C">
        <w:rPr>
          <w:rFonts w:eastAsia="MS Mincho"/>
        </w:rPr>
        <w:t xml:space="preserve"> </w:t>
      </w:r>
      <w:r>
        <w:t xml:space="preserve">UL </w:t>
      </w:r>
      <w:r w:rsidR="005D2B05" w:rsidRPr="00FB1A0C">
        <w:rPr>
          <w:rFonts w:eastAsia="MS Mincho"/>
        </w:rPr>
        <w:t>carrier</w:t>
      </w:r>
      <w:r w:rsidR="005D2B05" w:rsidRPr="00FB1A0C">
        <w:rPr>
          <w:lang w:eastAsia="zh-CN"/>
        </w:rPr>
        <w:t xml:space="preserve"> by </w:t>
      </w:r>
      <w:r w:rsidR="005D2B05" w:rsidRPr="00FB1A0C">
        <w:rPr>
          <w:i/>
          <w:iCs/>
          <w:lang w:eastAsia="zh-CN"/>
        </w:rPr>
        <w:t>initialUplinkBWP</w:t>
      </w:r>
      <w:r w:rsidR="00DB7C5D">
        <w:rPr>
          <w:rFonts w:eastAsia="MS Mincho"/>
        </w:rPr>
        <w:t>.</w:t>
      </w:r>
    </w:p>
    <w:p w14:paraId="098A92ED" w14:textId="77777777" w:rsidR="002456FD" w:rsidRPr="0045233A" w:rsidRDefault="002456FD" w:rsidP="002456FD">
      <w:r w:rsidRPr="008D01AE">
        <w:t xml:space="preserve">If a UE has dedicated BWP configuration, the UE can be provided by </w:t>
      </w:r>
      <w:r w:rsidR="00A15B6B" w:rsidRPr="00E25D0D">
        <w:rPr>
          <w:i/>
        </w:rPr>
        <w:t>firstActiveDownlinkBWP-Id</w:t>
      </w:r>
      <w:r w:rsidRPr="0045233A">
        <w:t xml:space="preserve"> a first active DL BWP for receptions and by </w:t>
      </w:r>
      <w:r w:rsidR="00A15B6B" w:rsidRPr="00E25D0D">
        <w:rPr>
          <w:i/>
        </w:rPr>
        <w:t>firstActiveUplinkBWP-Id</w:t>
      </w:r>
      <w:r w:rsidRPr="0045233A">
        <w:t xml:space="preserve"> a first active UL BWP for transmissions on </w:t>
      </w:r>
      <w:r w:rsidR="006817C6">
        <w:t xml:space="preserve">a carrier of </w:t>
      </w:r>
      <w:r w:rsidRPr="0045233A">
        <w:t xml:space="preserve">the primary cell. </w:t>
      </w:r>
    </w:p>
    <w:p w14:paraId="243355BB" w14:textId="77777777" w:rsidR="00621303" w:rsidRPr="00B916EC" w:rsidRDefault="00621303" w:rsidP="00621303">
      <w:r w:rsidRPr="00B916EC">
        <w:rPr>
          <w:rFonts w:eastAsia="MS Mincho"/>
        </w:rPr>
        <w:t xml:space="preserve">For each DL BWP or UL BWP in a set of DL BWPs or UL BWPs, respectively, the UE is </w:t>
      </w:r>
      <w:r w:rsidR="006F0256">
        <w:rPr>
          <w:rFonts w:eastAsia="MS Mincho"/>
        </w:rPr>
        <w:t>provided</w:t>
      </w:r>
      <w:r w:rsidRPr="00B916EC">
        <w:rPr>
          <w:rFonts w:eastAsia="MS Mincho"/>
        </w:rPr>
        <w:t xml:space="preserve"> the following </w:t>
      </w:r>
      <w:r w:rsidR="001315EA" w:rsidRPr="00B916EC">
        <w:rPr>
          <w:rFonts w:eastAsia="MS Mincho"/>
        </w:rPr>
        <w:t xml:space="preserve">parameters </w:t>
      </w:r>
      <w:r w:rsidRPr="00B916EC">
        <w:rPr>
          <w:rFonts w:eastAsia="MS Mincho"/>
        </w:rPr>
        <w:t xml:space="preserve">for the serving cell as defined in </w:t>
      </w:r>
      <w:r w:rsidRPr="00B916EC">
        <w:rPr>
          <w:kern w:val="2"/>
          <w:lang w:eastAsia="zh-CN"/>
        </w:rPr>
        <w:t>[4, TS 38.211]</w:t>
      </w:r>
      <w:r w:rsidR="00A41699" w:rsidRPr="00B916EC">
        <w:rPr>
          <w:kern w:val="2"/>
          <w:lang w:eastAsia="zh-CN"/>
        </w:rPr>
        <w:t xml:space="preserve"> or [6, TS 38.214]</w:t>
      </w:r>
      <w:r w:rsidRPr="00B916EC">
        <w:t>:</w:t>
      </w:r>
    </w:p>
    <w:p w14:paraId="606CB349" w14:textId="77777777" w:rsidR="00621303" w:rsidRPr="00B916EC" w:rsidRDefault="00B06B6C" w:rsidP="00B06B6C">
      <w:pPr>
        <w:pStyle w:val="B1"/>
        <w:rPr>
          <w:rFonts w:eastAsia="MS Mincho"/>
        </w:rPr>
      </w:pPr>
      <w:r>
        <w:rPr>
          <w:rFonts w:eastAsia="MS Mincho"/>
        </w:rPr>
        <w:t>-</w:t>
      </w:r>
      <w:r>
        <w:rPr>
          <w:rFonts w:eastAsia="MS Mincho"/>
        </w:rPr>
        <w:tab/>
      </w:r>
      <w:r w:rsidR="00621303" w:rsidRPr="00B916EC">
        <w:rPr>
          <w:rFonts w:eastAsia="MS Mincho"/>
        </w:rPr>
        <w:t xml:space="preserve">a </w:t>
      </w:r>
      <w:r w:rsidR="00143099">
        <w:rPr>
          <w:rFonts w:eastAsia="MS Mincho"/>
        </w:rPr>
        <w:t>SCS</w:t>
      </w:r>
      <w:r w:rsidR="00621303" w:rsidRPr="00B916EC">
        <w:rPr>
          <w:rFonts w:eastAsia="MS Mincho"/>
        </w:rPr>
        <w:t xml:space="preserve"> by </w:t>
      </w:r>
      <w:r w:rsidR="00A15B6B" w:rsidRPr="00E25D0D">
        <w:rPr>
          <w:i/>
        </w:rPr>
        <w:t>subcarrierSpacing</w:t>
      </w:r>
    </w:p>
    <w:p w14:paraId="4526D4E1" w14:textId="77777777" w:rsidR="00A15B6B" w:rsidRPr="00D156EB" w:rsidRDefault="00B06B6C" w:rsidP="00A15B6B">
      <w:pPr>
        <w:pStyle w:val="B1"/>
        <w:rPr>
          <w:rFonts w:eastAsia="MS Mincho"/>
        </w:rPr>
      </w:pPr>
      <w:r>
        <w:rPr>
          <w:rFonts w:eastAsia="MS Mincho"/>
        </w:rPr>
        <w:t>-</w:t>
      </w:r>
      <w:r>
        <w:rPr>
          <w:rFonts w:eastAsia="MS Mincho"/>
        </w:rPr>
        <w:tab/>
      </w:r>
      <w:r w:rsidR="00621303" w:rsidRPr="00B916EC">
        <w:rPr>
          <w:rFonts w:eastAsia="MS Mincho"/>
        </w:rPr>
        <w:t xml:space="preserve">a cyclic prefix by </w:t>
      </w:r>
      <w:r w:rsidR="00A15B6B" w:rsidRPr="00E25D0D">
        <w:rPr>
          <w:i/>
        </w:rPr>
        <w:t>cyclicPrefix</w:t>
      </w:r>
    </w:p>
    <w:p w14:paraId="29D37B42" w14:textId="77777777" w:rsidR="004C3224" w:rsidRPr="00F415B1" w:rsidRDefault="004C3224" w:rsidP="004C3224">
      <w:pPr>
        <w:pStyle w:val="B1"/>
        <w:rPr>
          <w:lang w:val="en-US"/>
        </w:rPr>
      </w:pPr>
      <w:r w:rsidRPr="00F415B1">
        <w:rPr>
          <w:rFonts w:eastAsia="MS Mincho"/>
        </w:rPr>
        <w:t>-</w:t>
      </w:r>
      <w:r w:rsidRPr="00F415B1">
        <w:rPr>
          <w:rFonts w:eastAsia="MS Mincho"/>
        </w:rPr>
        <w:tab/>
      </w:r>
      <w:r w:rsidRPr="00F415B1">
        <w:t xml:space="preserve">a </w:t>
      </w:r>
      <w:r w:rsidRPr="00F415B1">
        <w:rPr>
          <w:lang w:val="en-US"/>
        </w:rPr>
        <w:t>common</w:t>
      </w:r>
      <w:r w:rsidRPr="00F415B1">
        <w:t xml:space="preserve"> RB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BWP</m:t>
            </m:r>
          </m:sub>
          <m:sup>
            <m:r>
              <m:rPr>
                <m:sty m:val="p"/>
              </m:rPr>
              <w:rPr>
                <w:rFonts w:ascii="Cambria Math" w:hAnsi="Cambria Math"/>
              </w:rPr>
              <m:t>start</m:t>
            </m:r>
          </m:sup>
        </m:sSubSup>
        <m:r>
          <w:rPr>
            <w:rFonts w:ascii="Cambria Math" w:hAnsi="Cambria Math"/>
          </w:rPr>
          <m:t>=</m:t>
        </m:r>
        <m:sSub>
          <m:sSubPr>
            <m:ctrlPr>
              <w:rPr>
                <w:rFonts w:ascii="Cambria Math" w:hAnsi="Cambria Math"/>
                <w:i/>
              </w:rPr>
            </m:ctrlPr>
          </m:sSubPr>
          <m:e>
            <m:r>
              <w:rPr>
                <w:rFonts w:ascii="Cambria Math" w:hAnsi="Cambria Math"/>
              </w:rPr>
              <m:t>O</m:t>
            </m:r>
          </m:e>
          <m:sub>
            <m:r>
              <m:rPr>
                <m:sty m:val="p"/>
              </m:rPr>
              <w:rPr>
                <w:rFonts w:ascii="Cambria Math" w:hAnsi="Cambria Math"/>
              </w:rPr>
              <m:t>carrier</m:t>
            </m:r>
          </m:sub>
        </m:sSub>
        <m:r>
          <w:rPr>
            <w:rFonts w:ascii="Cambria Math" w:hAnsi="Cambria Math"/>
          </w:rPr>
          <m:t>+</m:t>
        </m:r>
        <m:sSub>
          <m:sSubPr>
            <m:ctrlPr>
              <w:rPr>
                <w:rFonts w:ascii="Cambria Math" w:hAnsi="Cambria Math"/>
                <w:i/>
              </w:rPr>
            </m:ctrlPr>
          </m:sSubPr>
          <m:e>
            <m:r>
              <w:rPr>
                <w:rFonts w:ascii="Cambria Math" w:hAnsi="Cambria Math"/>
              </w:rPr>
              <m:t>RB</m:t>
            </m:r>
          </m:e>
          <m:sub>
            <m:r>
              <m:rPr>
                <m:sty m:val="p"/>
              </m:rPr>
              <w:rPr>
                <w:rFonts w:ascii="Cambria Math" w:hAnsi="Cambria Math"/>
              </w:rPr>
              <m:t>start</m:t>
            </m:r>
          </m:sub>
        </m:sSub>
      </m:oMath>
      <w:r w:rsidRPr="00F415B1">
        <w:rPr>
          <w:lang w:val="en-US"/>
        </w:rPr>
        <w:t xml:space="preserve"> </w:t>
      </w:r>
      <w:r w:rsidRPr="00F415B1">
        <w:t xml:space="preserve">and a number of contiguous RBs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BWP</m:t>
            </m:r>
          </m:sub>
          <m:sup>
            <m:r>
              <m:rPr>
                <m:sty m:val="p"/>
              </m:rPr>
              <w:rPr>
                <w:rFonts w:ascii="Cambria Math" w:hAnsi="Cambria Math"/>
              </w:rPr>
              <m:t>size</m:t>
            </m:r>
          </m:sup>
        </m:sSubSup>
        <m:r>
          <w:rPr>
            <w:rFonts w:ascii="Cambria Math" w:hAnsi="Cambria Math"/>
          </w:rPr>
          <m:t>=</m:t>
        </m:r>
        <m:sSub>
          <m:sSubPr>
            <m:ctrlPr>
              <w:rPr>
                <w:rFonts w:ascii="Cambria Math" w:hAnsi="Cambria Math"/>
                <w:i/>
              </w:rPr>
            </m:ctrlPr>
          </m:sSubPr>
          <m:e>
            <m:r>
              <w:rPr>
                <w:rFonts w:ascii="Cambria Math" w:hAnsi="Cambria Math"/>
              </w:rPr>
              <m:t>L</m:t>
            </m:r>
          </m:e>
          <m:sub>
            <m:r>
              <m:rPr>
                <m:sty m:val="p"/>
              </m:rPr>
              <w:rPr>
                <w:rFonts w:ascii="Cambria Math" w:hAnsi="Cambria Math"/>
              </w:rPr>
              <m:t>RB</m:t>
            </m:r>
          </m:sub>
        </m:sSub>
      </m:oMath>
      <w:r w:rsidRPr="00F415B1">
        <w:rPr>
          <w:lang w:val="en-US"/>
        </w:rPr>
        <w:t xml:space="preserve"> provided </w:t>
      </w:r>
      <w:r w:rsidRPr="00F415B1">
        <w:t xml:space="preserve">by </w:t>
      </w:r>
      <w:r w:rsidRPr="00F415B1">
        <w:rPr>
          <w:i/>
        </w:rPr>
        <w:t xml:space="preserve">locationAndBandwidth </w:t>
      </w:r>
      <w:r w:rsidRPr="00F415B1">
        <w:t xml:space="preserve">that </w:t>
      </w:r>
      <w:r w:rsidRPr="00F415B1">
        <w:rPr>
          <w:lang w:val="en-US"/>
        </w:rPr>
        <w:t>indicates</w:t>
      </w:r>
      <w:r w:rsidRPr="00F415B1">
        <w:t xml:space="preserve"> </w:t>
      </w:r>
      <w:r w:rsidRPr="00F415B1">
        <w:rPr>
          <w:lang w:val="en-US"/>
        </w:rPr>
        <w:t xml:space="preserve">an offset </w:t>
      </w:r>
      <m:oMath>
        <m:sSub>
          <m:sSubPr>
            <m:ctrlPr>
              <w:rPr>
                <w:rFonts w:ascii="Cambria Math" w:hAnsi="Cambria Math"/>
                <w:i/>
              </w:rPr>
            </m:ctrlPr>
          </m:sSubPr>
          <m:e>
            <m:r>
              <w:rPr>
                <w:rFonts w:ascii="Cambria Math" w:hAnsi="Cambria Math"/>
              </w:rPr>
              <m:t>RB</m:t>
            </m:r>
          </m:e>
          <m:sub>
            <m:r>
              <m:rPr>
                <m:sty m:val="p"/>
              </m:rPr>
              <w:rPr>
                <w:rFonts w:ascii="Cambria Math" w:hAnsi="Cambria Math"/>
              </w:rPr>
              <m:t>start</m:t>
            </m:r>
          </m:sub>
        </m:sSub>
      </m:oMath>
      <w:r w:rsidRPr="00F415B1">
        <w:rPr>
          <w:lang w:val="en-US"/>
        </w:rPr>
        <w:t xml:space="preserve"> and a length </w:t>
      </w:r>
      <m:oMath>
        <m:sSub>
          <m:sSubPr>
            <m:ctrlPr>
              <w:rPr>
                <w:rFonts w:ascii="Cambria Math" w:hAnsi="Cambria Math"/>
                <w:i/>
              </w:rPr>
            </m:ctrlPr>
          </m:sSubPr>
          <m:e>
            <m:r>
              <w:rPr>
                <w:rFonts w:ascii="Cambria Math" w:hAnsi="Cambria Math"/>
              </w:rPr>
              <m:t>L</m:t>
            </m:r>
          </m:e>
          <m:sub>
            <m:r>
              <m:rPr>
                <m:sty m:val="p"/>
              </m:rPr>
              <w:rPr>
                <w:rFonts w:ascii="Cambria Math" w:hAnsi="Cambria Math"/>
              </w:rPr>
              <m:t>RB</m:t>
            </m:r>
          </m:sub>
        </m:sSub>
      </m:oMath>
      <w:r w:rsidRPr="00F415B1">
        <w:rPr>
          <w:lang w:val="en-US"/>
        </w:rPr>
        <w:t xml:space="preserve"> </w:t>
      </w:r>
      <w:r w:rsidRPr="00F415B1">
        <w:t>as RIV according to [</w:t>
      </w:r>
      <w:r w:rsidRPr="00F415B1">
        <w:rPr>
          <w:lang w:val="en-US"/>
        </w:rPr>
        <w:t>6</w:t>
      </w:r>
      <w:r w:rsidRPr="00F415B1">
        <w:t xml:space="preserve">, TS 38.214], setting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BWP</m:t>
            </m:r>
          </m:sub>
          <m:sup>
            <m:r>
              <m:rPr>
                <m:sty m:val="p"/>
              </m:rPr>
              <w:rPr>
                <w:rFonts w:ascii="Cambria Math" w:hAnsi="Cambria Math"/>
              </w:rPr>
              <m:t>size</m:t>
            </m:r>
          </m:sup>
        </m:sSubSup>
        <m:r>
          <w:rPr>
            <w:rFonts w:ascii="Cambria Math" w:hAnsi="Cambria Math"/>
          </w:rPr>
          <m:t>=275</m:t>
        </m:r>
      </m:oMath>
      <w:r w:rsidRPr="00F415B1">
        <w:rPr>
          <w:lang w:val="en-US"/>
        </w:rPr>
        <w:t>,</w:t>
      </w:r>
      <w:r w:rsidRPr="00F415B1">
        <w:t xml:space="preserve"> and </w:t>
      </w:r>
      <w:r w:rsidRPr="00F415B1">
        <w:rPr>
          <w:lang w:val="en-US"/>
        </w:rPr>
        <w:t xml:space="preserve">a value </w:t>
      </w:r>
      <m:oMath>
        <m:sSub>
          <m:sSubPr>
            <m:ctrlPr>
              <w:rPr>
                <w:rFonts w:ascii="Cambria Math" w:hAnsi="Cambria Math"/>
                <w:i/>
              </w:rPr>
            </m:ctrlPr>
          </m:sSubPr>
          <m:e>
            <m:r>
              <w:rPr>
                <w:rFonts w:ascii="Cambria Math" w:hAnsi="Cambria Math"/>
              </w:rPr>
              <m:t>O</m:t>
            </m:r>
          </m:e>
          <m:sub>
            <m:r>
              <m:rPr>
                <m:sty m:val="p"/>
              </m:rPr>
              <w:rPr>
                <w:rFonts w:ascii="Cambria Math" w:hAnsi="Cambria Math"/>
              </w:rPr>
              <m:t>carrier</m:t>
            </m:r>
          </m:sub>
        </m:sSub>
      </m:oMath>
      <w:r w:rsidRPr="00F415B1">
        <w:rPr>
          <w:lang w:val="en-US"/>
        </w:rPr>
        <w:t xml:space="preserve"> provided by</w:t>
      </w:r>
      <w:r w:rsidRPr="00F415B1">
        <w:t xml:space="preserve"> </w:t>
      </w:r>
      <w:r w:rsidRPr="00F415B1">
        <w:rPr>
          <w:i/>
        </w:rPr>
        <w:t>offsetToCarrier</w:t>
      </w:r>
      <w:r w:rsidRPr="00F415B1">
        <w:t xml:space="preserve"> </w:t>
      </w:r>
      <w:r w:rsidRPr="00F415B1">
        <w:rPr>
          <w:lang w:val="en-US"/>
        </w:rPr>
        <w:t>for the</w:t>
      </w:r>
      <w:r w:rsidRPr="00F415B1">
        <w:t xml:space="preserve"> </w:t>
      </w:r>
      <w:r w:rsidRPr="00F415B1">
        <w:rPr>
          <w:i/>
        </w:rPr>
        <w:t>subcarrierSpacing</w:t>
      </w:r>
    </w:p>
    <w:p w14:paraId="08714AF9" w14:textId="77777777" w:rsidR="00E015D5" w:rsidRPr="00B916EC" w:rsidRDefault="00B06B6C" w:rsidP="00B06B6C">
      <w:pPr>
        <w:pStyle w:val="B1"/>
      </w:pPr>
      <w:r>
        <w:t>-</w:t>
      </w:r>
      <w:r>
        <w:tab/>
      </w:r>
      <w:r w:rsidR="00E015D5" w:rsidRPr="00B916EC">
        <w:t xml:space="preserve">an index in the set of DL BWPs or UL BWPs by respective </w:t>
      </w:r>
      <w:r w:rsidR="00516957" w:rsidRPr="0062263B">
        <w:rPr>
          <w:i/>
          <w:lang w:val="en-US"/>
        </w:rPr>
        <w:t>BWP-Id</w:t>
      </w:r>
    </w:p>
    <w:p w14:paraId="7D55EBEC" w14:textId="77777777" w:rsidR="00A15B6B" w:rsidRPr="00B916EC" w:rsidRDefault="00A15B6B" w:rsidP="00A15B6B">
      <w:pPr>
        <w:pStyle w:val="B1"/>
      </w:pPr>
      <w:r>
        <w:t>-</w:t>
      </w:r>
      <w:r>
        <w:tab/>
      </w:r>
      <w:r>
        <w:rPr>
          <w:lang w:val="en-US"/>
        </w:rPr>
        <w:t xml:space="preserve">a set of BWP-common and a set of BWP-dedicated parameters by </w:t>
      </w:r>
      <w:r w:rsidR="00516957" w:rsidRPr="00275A2D">
        <w:rPr>
          <w:i/>
          <w:noProof/>
          <w:lang w:val="en-US"/>
        </w:rPr>
        <w:t>BWP-DownlinkCommon</w:t>
      </w:r>
      <w:r w:rsidR="00516957">
        <w:rPr>
          <w:lang w:val="en-US"/>
        </w:rPr>
        <w:t xml:space="preserve"> and </w:t>
      </w:r>
      <w:r w:rsidR="00516957" w:rsidRPr="00275A2D">
        <w:rPr>
          <w:i/>
          <w:noProof/>
          <w:lang w:val="en-US"/>
        </w:rPr>
        <w:t>BWP-Downlink</w:t>
      </w:r>
      <w:r w:rsidR="00516957">
        <w:rPr>
          <w:i/>
          <w:noProof/>
          <w:lang w:val="en-US"/>
        </w:rPr>
        <w:t xml:space="preserve">Dedicated </w:t>
      </w:r>
      <w:r w:rsidR="00516957">
        <w:rPr>
          <w:noProof/>
          <w:lang w:val="en-US"/>
        </w:rPr>
        <w:t>for the DL BWP, or</w:t>
      </w:r>
      <w:r w:rsidR="00516957">
        <w:rPr>
          <w:lang w:val="en-US"/>
        </w:rPr>
        <w:t xml:space="preserve"> </w:t>
      </w:r>
      <w:r w:rsidR="00516957" w:rsidRPr="00275A2D">
        <w:rPr>
          <w:i/>
          <w:noProof/>
          <w:lang w:val="en-US"/>
        </w:rPr>
        <w:t>BWP-</w:t>
      </w:r>
      <w:r w:rsidR="00516957">
        <w:rPr>
          <w:i/>
          <w:noProof/>
          <w:lang w:val="en-US"/>
        </w:rPr>
        <w:t>Up</w:t>
      </w:r>
      <w:r w:rsidR="00516957" w:rsidRPr="00275A2D">
        <w:rPr>
          <w:i/>
          <w:noProof/>
          <w:lang w:val="en-US"/>
        </w:rPr>
        <w:t>linkCommon</w:t>
      </w:r>
      <w:r w:rsidR="00516957">
        <w:rPr>
          <w:lang w:val="en-US"/>
        </w:rPr>
        <w:t xml:space="preserve"> and </w:t>
      </w:r>
      <w:r w:rsidR="00516957" w:rsidRPr="00275A2D">
        <w:rPr>
          <w:i/>
          <w:noProof/>
          <w:lang w:val="en-US"/>
        </w:rPr>
        <w:t>BWP-</w:t>
      </w:r>
      <w:r w:rsidR="00516957">
        <w:rPr>
          <w:i/>
          <w:noProof/>
          <w:lang w:val="en-US"/>
        </w:rPr>
        <w:t>Up</w:t>
      </w:r>
      <w:r w:rsidR="00516957" w:rsidRPr="00275A2D">
        <w:rPr>
          <w:i/>
          <w:noProof/>
          <w:lang w:val="en-US"/>
        </w:rPr>
        <w:t>link</w:t>
      </w:r>
      <w:r w:rsidR="00516957">
        <w:rPr>
          <w:i/>
          <w:noProof/>
          <w:lang w:val="en-US"/>
        </w:rPr>
        <w:t xml:space="preserve">Dedicated </w:t>
      </w:r>
      <w:r w:rsidR="00516957">
        <w:rPr>
          <w:noProof/>
          <w:lang w:val="en-US"/>
        </w:rPr>
        <w:t>for the UL BWP</w:t>
      </w:r>
      <w:r w:rsidRPr="00B916EC" w:rsidDel="00E25D0D">
        <w:t xml:space="preserve"> </w:t>
      </w:r>
      <w:r>
        <w:rPr>
          <w:lang w:val="en-US"/>
        </w:rPr>
        <w:t>[12, TS 38.331]</w:t>
      </w:r>
    </w:p>
    <w:p w14:paraId="6448C926" w14:textId="77777777" w:rsidR="00335065" w:rsidRPr="0080392F" w:rsidRDefault="00335065" w:rsidP="00335065">
      <w:pPr>
        <w:rPr>
          <w:sz w:val="24"/>
          <w:lang w:eastAsia="zh-TW"/>
        </w:rPr>
      </w:pPr>
      <w:r w:rsidRPr="0080392F">
        <w:rPr>
          <w:rFonts w:eastAsia="MS Mincho"/>
        </w:rPr>
        <w:t xml:space="preserve">For unpaired spectrum operation, a DL BWP from the set of configured DL BWPs with index provided by </w:t>
      </w:r>
      <w:r w:rsidR="00516957">
        <w:rPr>
          <w:i/>
        </w:rPr>
        <w:t>BWP</w:t>
      </w:r>
      <w:r w:rsidR="00176A9A" w:rsidRPr="00E25D0D">
        <w:rPr>
          <w:i/>
        </w:rPr>
        <w:t>-Id</w:t>
      </w:r>
      <w:r w:rsidR="00176A9A" w:rsidRPr="0080392F">
        <w:rPr>
          <w:lang w:eastAsia="ja-JP"/>
        </w:rPr>
        <w:t xml:space="preserve"> </w:t>
      </w:r>
      <w:r w:rsidR="00176A9A" w:rsidRPr="0080392F">
        <w:rPr>
          <w:rFonts w:eastAsia="MS Mincho"/>
        </w:rPr>
        <w:t xml:space="preserve">is </w:t>
      </w:r>
      <w:r w:rsidR="00176A9A">
        <w:rPr>
          <w:rFonts w:eastAsia="MS Mincho"/>
        </w:rPr>
        <w:t>linked</w:t>
      </w:r>
      <w:r w:rsidRPr="0080392F">
        <w:rPr>
          <w:rFonts w:eastAsia="MS Mincho"/>
        </w:rPr>
        <w:t xml:space="preserve"> with an UL BWP from the set of configured UL BWPs with index provided by </w:t>
      </w:r>
      <w:r w:rsidR="00516957">
        <w:rPr>
          <w:i/>
        </w:rPr>
        <w:t>BWP</w:t>
      </w:r>
      <w:r w:rsidR="00176A9A" w:rsidRPr="00E25D0D">
        <w:rPr>
          <w:i/>
        </w:rPr>
        <w:t>-Id</w:t>
      </w:r>
      <w:r w:rsidR="00176A9A" w:rsidRPr="0080392F">
        <w:rPr>
          <w:lang w:eastAsia="ja-JP"/>
        </w:rPr>
        <w:t xml:space="preserve"> </w:t>
      </w:r>
      <w:r w:rsidRPr="0080392F">
        <w:rPr>
          <w:rFonts w:eastAsia="MS Mincho"/>
        </w:rPr>
        <w:t xml:space="preserve">when the DL BWP index and the UL BWP index are </w:t>
      </w:r>
      <w:r w:rsidR="005A182A">
        <w:rPr>
          <w:rFonts w:eastAsia="MS Mincho"/>
        </w:rPr>
        <w:t>same</w:t>
      </w:r>
      <w:r w:rsidRPr="0080392F">
        <w:rPr>
          <w:rFonts w:eastAsia="MS Mincho"/>
        </w:rPr>
        <w:t>.</w:t>
      </w:r>
      <w:r w:rsidRPr="0080392F">
        <w:rPr>
          <w:lang w:eastAsia="ja-JP"/>
        </w:rPr>
        <w:t xml:space="preserve"> For unpaired spectrum operation, a UE </w:t>
      </w:r>
      <w:r w:rsidR="00176A9A">
        <w:rPr>
          <w:lang w:eastAsia="ja-JP"/>
        </w:rPr>
        <w:t>does</w:t>
      </w:r>
      <w:r w:rsidR="00176A9A" w:rsidRPr="0080392F">
        <w:rPr>
          <w:lang w:eastAsia="ja-JP"/>
        </w:rPr>
        <w:t xml:space="preserve"> </w:t>
      </w:r>
      <w:r w:rsidRPr="0080392F">
        <w:rPr>
          <w:lang w:eastAsia="ja-JP"/>
        </w:rPr>
        <w:t xml:space="preserve">not expect to receive a configuration where the center frequency for a DL BWP is different than the center frequency for an UL BWP when the </w:t>
      </w:r>
      <w:r w:rsidR="00516957">
        <w:rPr>
          <w:i/>
        </w:rPr>
        <w:t>BWP</w:t>
      </w:r>
      <w:r w:rsidR="00176A9A" w:rsidRPr="00E25D0D">
        <w:rPr>
          <w:i/>
        </w:rPr>
        <w:t>-Id</w:t>
      </w:r>
      <w:r w:rsidRPr="0080392F">
        <w:rPr>
          <w:lang w:eastAsia="ja-JP"/>
        </w:rPr>
        <w:t xml:space="preserve"> of the DL BWP is </w:t>
      </w:r>
      <w:r w:rsidR="005A182A">
        <w:rPr>
          <w:lang w:eastAsia="ja-JP"/>
        </w:rPr>
        <w:t>same as</w:t>
      </w:r>
      <w:r w:rsidRPr="0080392F">
        <w:rPr>
          <w:lang w:eastAsia="ja-JP"/>
        </w:rPr>
        <w:t xml:space="preserve"> the </w:t>
      </w:r>
      <w:r w:rsidR="00516957">
        <w:rPr>
          <w:i/>
        </w:rPr>
        <w:t>BWP</w:t>
      </w:r>
      <w:r w:rsidR="00176A9A" w:rsidRPr="00E25D0D">
        <w:rPr>
          <w:i/>
        </w:rPr>
        <w:t>-Id</w:t>
      </w:r>
      <w:r w:rsidRPr="0080392F">
        <w:rPr>
          <w:lang w:eastAsia="ja-JP"/>
        </w:rPr>
        <w:t xml:space="preserve"> of the UL BWP.</w:t>
      </w:r>
    </w:p>
    <w:p w14:paraId="57599FEE" w14:textId="2E88BFFF" w:rsidR="00621303" w:rsidRPr="00B916EC" w:rsidRDefault="00F9442C" w:rsidP="00D91FB6">
      <w:pPr>
        <w:tabs>
          <w:tab w:val="left" w:pos="720"/>
        </w:tabs>
        <w:rPr>
          <w:rFonts w:eastAsia="MS Mincho"/>
        </w:rPr>
      </w:pPr>
      <w:bookmarkStart w:id="798" w:name="_Hlk535002764"/>
      <w:r w:rsidRPr="00B916EC">
        <w:rPr>
          <w:rFonts w:eastAsia="MS Mincho"/>
        </w:rPr>
        <w:t>For each DL BWP in a set of DL BWPs</w:t>
      </w:r>
      <w:r w:rsidR="005A182A">
        <w:rPr>
          <w:rFonts w:eastAsia="MS Mincho"/>
        </w:rPr>
        <w:t xml:space="preserve"> of the PCell</w:t>
      </w:r>
      <w:r w:rsidR="00C67E02">
        <w:rPr>
          <w:rFonts w:eastAsia="MS Mincho"/>
        </w:rPr>
        <w:t>,</w:t>
      </w:r>
      <w:r w:rsidR="005A182A">
        <w:rPr>
          <w:rFonts w:eastAsia="MS Mincho"/>
        </w:rPr>
        <w:t xml:space="preserve"> </w:t>
      </w:r>
      <w:r w:rsidR="00FD39F6" w:rsidRPr="00B916EC">
        <w:rPr>
          <w:rFonts w:eastAsia="MS Mincho"/>
        </w:rPr>
        <w:t>a</w:t>
      </w:r>
      <w:r w:rsidRPr="00B916EC">
        <w:rPr>
          <w:rFonts w:eastAsia="MS Mincho"/>
        </w:rPr>
        <w:t xml:space="preserve"> UE </w:t>
      </w:r>
      <w:r w:rsidR="00CE5F3B" w:rsidRPr="00B916EC">
        <w:rPr>
          <w:rFonts w:eastAsia="MS Mincho"/>
        </w:rPr>
        <w:t>can be</w:t>
      </w:r>
      <w:r w:rsidRPr="00B916EC">
        <w:rPr>
          <w:rFonts w:eastAsia="MS Mincho"/>
        </w:rPr>
        <w:t xml:space="preserve"> configured </w:t>
      </w:r>
      <w:r w:rsidR="00C76664">
        <w:rPr>
          <w:rFonts w:eastAsia="MS Mincho"/>
        </w:rPr>
        <w:t>CORESET</w:t>
      </w:r>
      <w:r w:rsidRPr="00B916EC">
        <w:rPr>
          <w:rFonts w:eastAsia="MS Mincho"/>
        </w:rPr>
        <w:t xml:space="preserve">s </w:t>
      </w:r>
      <w:r w:rsidR="00B402EA" w:rsidRPr="00B916EC">
        <w:rPr>
          <w:rFonts w:eastAsia="MS Mincho"/>
        </w:rPr>
        <w:t xml:space="preserve">for </w:t>
      </w:r>
      <w:r w:rsidR="00F70D28" w:rsidRPr="00B916EC">
        <w:rPr>
          <w:rFonts w:eastAsia="MS Mincho"/>
        </w:rPr>
        <w:t xml:space="preserve">every type of </w:t>
      </w:r>
      <w:r w:rsidR="007D591D" w:rsidRPr="00D20E88">
        <w:rPr>
          <w:rFonts w:eastAsia="MS Mincho"/>
        </w:rPr>
        <w:t>CSS</w:t>
      </w:r>
      <w:r w:rsidR="007D591D">
        <w:rPr>
          <w:rFonts w:eastAsia="MS Mincho"/>
        </w:rPr>
        <w:t xml:space="preserve"> sets</w:t>
      </w:r>
      <w:r w:rsidR="00F70D28" w:rsidRPr="00B916EC">
        <w:rPr>
          <w:rFonts w:eastAsia="MS Mincho"/>
        </w:rPr>
        <w:t xml:space="preserve"> and for </w:t>
      </w:r>
      <w:r w:rsidR="007D591D" w:rsidRPr="00D20E88">
        <w:rPr>
          <w:rFonts w:eastAsia="MS Mincho"/>
        </w:rPr>
        <w:t>USS</w:t>
      </w:r>
      <w:r w:rsidR="003B2B2B" w:rsidRPr="00B916EC">
        <w:rPr>
          <w:rFonts w:eastAsia="MS Mincho"/>
        </w:rPr>
        <w:t xml:space="preserve"> </w:t>
      </w:r>
      <w:r w:rsidRPr="00B916EC">
        <w:rPr>
          <w:rFonts w:eastAsia="MS Mincho"/>
        </w:rPr>
        <w:t xml:space="preserve">as described </w:t>
      </w:r>
      <w:r w:rsidR="006F5F9E">
        <w:rPr>
          <w:rFonts w:eastAsia="MS Mincho"/>
        </w:rPr>
        <w:t>in clause</w:t>
      </w:r>
      <w:r w:rsidR="00B06B6C">
        <w:rPr>
          <w:rFonts w:eastAsia="MS Mincho"/>
        </w:rPr>
        <w:t xml:space="preserve"> 10.1</w:t>
      </w:r>
      <w:r w:rsidRPr="00B916EC">
        <w:rPr>
          <w:rFonts w:eastAsia="MS Mincho"/>
        </w:rPr>
        <w:t>.</w:t>
      </w:r>
      <w:r w:rsidR="00FD39F6" w:rsidRPr="00B916EC">
        <w:rPr>
          <w:rFonts w:eastAsia="MS Mincho"/>
        </w:rPr>
        <w:t xml:space="preserve"> The </w:t>
      </w:r>
      <w:r w:rsidR="00FD39F6" w:rsidRPr="00B916EC">
        <w:rPr>
          <w:lang w:val="en-US" w:eastAsia="x-none"/>
        </w:rPr>
        <w:t xml:space="preserve">UE </w:t>
      </w:r>
      <w:r w:rsidR="00176A9A">
        <w:rPr>
          <w:lang w:val="en-US" w:eastAsia="x-none"/>
        </w:rPr>
        <w:t>does</w:t>
      </w:r>
      <w:r w:rsidR="00176A9A" w:rsidRPr="00B916EC">
        <w:rPr>
          <w:lang w:val="en-US" w:eastAsia="x-none"/>
        </w:rPr>
        <w:t xml:space="preserve"> </w:t>
      </w:r>
      <w:r w:rsidR="00FD39F6" w:rsidRPr="00B916EC">
        <w:rPr>
          <w:lang w:val="en-US" w:eastAsia="x-none"/>
        </w:rPr>
        <w:t xml:space="preserve">not expect to be configured without a </w:t>
      </w:r>
      <w:r w:rsidR="007D591D" w:rsidRPr="00D20E88">
        <w:rPr>
          <w:lang w:val="en-US" w:eastAsia="x-none"/>
        </w:rPr>
        <w:t>CSS</w:t>
      </w:r>
      <w:r w:rsidR="007D591D">
        <w:rPr>
          <w:lang w:val="en-US" w:eastAsia="x-none"/>
        </w:rPr>
        <w:t xml:space="preserve"> set</w:t>
      </w:r>
      <w:r w:rsidR="00FD39F6" w:rsidRPr="00B916EC">
        <w:rPr>
          <w:lang w:val="en-US" w:eastAsia="x-none"/>
        </w:rPr>
        <w:t xml:space="preserve"> on the PCell</w:t>
      </w:r>
      <w:r w:rsidR="005A182A">
        <w:rPr>
          <w:lang w:val="en-US" w:eastAsia="x-none"/>
        </w:rPr>
        <w:t xml:space="preserve"> </w:t>
      </w:r>
      <w:r w:rsidR="004D0A13" w:rsidRPr="00B916EC">
        <w:rPr>
          <w:lang w:val="en-US" w:eastAsia="x-none"/>
        </w:rPr>
        <w:t>in the activ</w:t>
      </w:r>
      <w:r w:rsidR="00D74FC0">
        <w:rPr>
          <w:lang w:val="en-US" w:eastAsia="x-none"/>
        </w:rPr>
        <w:t>e</w:t>
      </w:r>
      <w:r w:rsidR="00FD39F6" w:rsidRPr="00B916EC">
        <w:rPr>
          <w:lang w:val="en-US" w:eastAsia="x-none"/>
        </w:rPr>
        <w:t xml:space="preserve"> DL BWP.</w:t>
      </w:r>
    </w:p>
    <w:bookmarkEnd w:id="798"/>
    <w:p w14:paraId="2459413C" w14:textId="15782151" w:rsidR="007D591D" w:rsidRPr="00D20E88" w:rsidRDefault="007D591D" w:rsidP="007D591D">
      <w:pPr>
        <w:textAlignment w:val="bottom"/>
        <w:rPr>
          <w:lang w:val="en-US"/>
        </w:rPr>
      </w:pPr>
      <w:r w:rsidRPr="00D20E88">
        <w:t xml:space="preserve">If a UE is provided </w:t>
      </w:r>
      <w:r w:rsidRPr="00D20E88">
        <w:rPr>
          <w:i/>
        </w:rPr>
        <w:t>controlResourceSetZero</w:t>
      </w:r>
      <w:r w:rsidRPr="00D20E88">
        <w:t xml:space="preserve"> and </w:t>
      </w:r>
      <w:r w:rsidRPr="00D20E88">
        <w:rPr>
          <w:i/>
        </w:rPr>
        <w:t>searchSpaceZero</w:t>
      </w:r>
      <w:r w:rsidRPr="00D20E88">
        <w:t xml:space="preserve"> in </w:t>
      </w:r>
      <w:r w:rsidRPr="00D20E88">
        <w:rPr>
          <w:i/>
          <w:iCs/>
        </w:rPr>
        <w:t>PDCCH-Config</w:t>
      </w:r>
      <w:r w:rsidRPr="00D20E88">
        <w:rPr>
          <w:i/>
          <w:iCs/>
          <w:lang w:eastAsia="zh-CN"/>
        </w:rPr>
        <w:t>SIB1</w:t>
      </w:r>
      <w:r w:rsidRPr="00D20E88">
        <w:rPr>
          <w:iCs/>
          <w:lang w:eastAsia="zh-CN"/>
        </w:rPr>
        <w:t xml:space="preserve"> or</w:t>
      </w:r>
      <w:r w:rsidRPr="00D20E88">
        <w:rPr>
          <w:iCs/>
        </w:rPr>
        <w:t xml:space="preserve"> </w:t>
      </w:r>
      <w:r w:rsidRPr="00D20E88">
        <w:rPr>
          <w:i/>
          <w:iCs/>
        </w:rPr>
        <w:t>PDCCH-Config</w:t>
      </w:r>
      <w:r w:rsidRPr="00D20E88">
        <w:rPr>
          <w:rFonts w:hint="eastAsia"/>
          <w:i/>
          <w:iCs/>
          <w:lang w:eastAsia="zh-CN"/>
        </w:rPr>
        <w:t>Common</w:t>
      </w:r>
      <w:r w:rsidRPr="00D20E88">
        <w:rPr>
          <w:iCs/>
        </w:rPr>
        <w:t xml:space="preserve">, the UE determines a CORESET for a </w:t>
      </w:r>
      <w:r>
        <w:t>search space</w:t>
      </w:r>
      <w:r w:rsidRPr="00D20E88">
        <w:rPr>
          <w:lang w:val="en-US"/>
        </w:rPr>
        <w:t xml:space="preserve"> set from </w:t>
      </w:r>
      <w:r w:rsidRPr="00D20E88">
        <w:rPr>
          <w:i/>
          <w:lang w:val="en-US"/>
        </w:rPr>
        <w:t>controlResourcesetZero</w:t>
      </w:r>
      <w:r w:rsidRPr="00D20E88">
        <w:rPr>
          <w:lang w:val="en-US"/>
        </w:rPr>
        <w:t xml:space="preserve"> as described </w:t>
      </w:r>
      <w:r w:rsidR="006F5F9E">
        <w:rPr>
          <w:lang w:val="en-US"/>
        </w:rPr>
        <w:t>in clause</w:t>
      </w:r>
      <w:r w:rsidRPr="00D20E88">
        <w:rPr>
          <w:lang w:val="en-US"/>
        </w:rPr>
        <w:t xml:space="preserve"> 13 and for Tables 13-</w:t>
      </w:r>
      <w:r w:rsidR="00512AD8">
        <w:rPr>
          <w:lang w:val="en-US"/>
        </w:rPr>
        <w:t>0</w:t>
      </w:r>
      <w:r w:rsidR="00512AD8" w:rsidRPr="00D20E88">
        <w:rPr>
          <w:lang w:val="en-US"/>
        </w:rPr>
        <w:t xml:space="preserve"> </w:t>
      </w:r>
      <w:r w:rsidRPr="00D20E88">
        <w:rPr>
          <w:lang w:val="en-US"/>
        </w:rPr>
        <w:t xml:space="preserve">through 13-10, and determines corresponding PDCCH monitoring occasions as described </w:t>
      </w:r>
      <w:r w:rsidR="006F5F9E">
        <w:rPr>
          <w:lang w:val="en-US"/>
        </w:rPr>
        <w:t>in clause</w:t>
      </w:r>
      <w:r w:rsidRPr="00D20E88">
        <w:rPr>
          <w:lang w:val="en-US"/>
        </w:rPr>
        <w:t xml:space="preserve"> 13 and for Tables 13-11 through 13-15. If </w:t>
      </w:r>
      <w:r w:rsidRPr="00D20E88">
        <w:t>the active DL BWP is not the initial DL BWP,</w:t>
      </w:r>
      <w:r w:rsidRPr="00D20E88">
        <w:rPr>
          <w:iCs/>
        </w:rPr>
        <w:t xml:space="preserve"> </w:t>
      </w:r>
      <w:r w:rsidRPr="00D20E88">
        <w:rPr>
          <w:lang w:val="en-US"/>
        </w:rPr>
        <w:t>t</w:t>
      </w:r>
      <w:r w:rsidRPr="00D20E88">
        <w:rPr>
          <w:iCs/>
        </w:rPr>
        <w:t xml:space="preserve">he UE </w:t>
      </w:r>
      <w:r w:rsidRPr="00D20E88">
        <w:rPr>
          <w:lang w:val="en-US"/>
        </w:rPr>
        <w:t>determines PDCCH monitoring occasions</w:t>
      </w:r>
      <w:r>
        <w:rPr>
          <w:iCs/>
        </w:rPr>
        <w:t xml:space="preserve"> for the</w:t>
      </w:r>
      <w:r w:rsidRPr="00D20E88">
        <w:rPr>
          <w:iCs/>
        </w:rPr>
        <w:t xml:space="preserve"> </w:t>
      </w:r>
      <w:r>
        <w:t>search space</w:t>
      </w:r>
      <w:r w:rsidRPr="00D20E88">
        <w:rPr>
          <w:lang w:val="en-US"/>
        </w:rPr>
        <w:t xml:space="preserve"> set </w:t>
      </w:r>
      <w:r w:rsidRPr="00D20E88">
        <w:t xml:space="preserve">only </w:t>
      </w:r>
      <w:r w:rsidRPr="00D20E88">
        <w:rPr>
          <w:lang w:val="en-US"/>
        </w:rPr>
        <w:t>i</w:t>
      </w:r>
      <w:r w:rsidRPr="00D20E88">
        <w:t xml:space="preserve">f the CORESET bandwidth </w:t>
      </w:r>
      <w:r w:rsidRPr="00D20E88">
        <w:rPr>
          <w:iCs/>
        </w:rPr>
        <w:t xml:space="preserve">is within the active DL BWP and the active DL BWP has same </w:t>
      </w:r>
      <w:r>
        <w:rPr>
          <w:iCs/>
        </w:rPr>
        <w:t>SCS</w:t>
      </w:r>
      <w:r w:rsidRPr="00D20E88">
        <w:rPr>
          <w:iCs/>
        </w:rPr>
        <w:t xml:space="preserve"> configuration and same cyclic prefix as the initial DL BWP</w:t>
      </w:r>
      <w:r w:rsidRPr="00D20E88">
        <w:t>.</w:t>
      </w:r>
    </w:p>
    <w:p w14:paraId="0F285120" w14:textId="18F5A3BC" w:rsidR="00F9442C" w:rsidRPr="00B916EC" w:rsidRDefault="00F9442C" w:rsidP="00D91FB6">
      <w:pPr>
        <w:tabs>
          <w:tab w:val="left" w:pos="720"/>
        </w:tabs>
      </w:pPr>
      <w:r w:rsidRPr="00B916EC">
        <w:rPr>
          <w:rFonts w:eastAsia="MS Mincho"/>
        </w:rPr>
        <w:t>For each UL BWP in a set of UL BWPs</w:t>
      </w:r>
      <w:r w:rsidR="00013D40">
        <w:rPr>
          <w:rFonts w:eastAsia="MS Mincho"/>
        </w:rPr>
        <w:t xml:space="preserve"> of the PCell</w:t>
      </w:r>
      <w:r w:rsidR="00816A6D">
        <w:rPr>
          <w:rFonts w:eastAsia="MS Mincho"/>
        </w:rPr>
        <w:t>,</w:t>
      </w:r>
      <w:r w:rsidR="00013D40">
        <w:rPr>
          <w:rFonts w:eastAsia="MS Mincho"/>
        </w:rPr>
        <w:t xml:space="preserve"> or of the PUCCH-SCell</w:t>
      </w:r>
      <w:r w:rsidRPr="00B916EC">
        <w:rPr>
          <w:rFonts w:eastAsia="MS Mincho"/>
        </w:rPr>
        <w:t xml:space="preserve">, </w:t>
      </w:r>
      <w:r w:rsidR="00816A6D" w:rsidRPr="00E72864">
        <w:rPr>
          <w:rFonts w:eastAsia="MS Mincho"/>
        </w:rPr>
        <w:t>or of the PUCCH-sSCell</w:t>
      </w:r>
      <w:r w:rsidR="00816A6D" w:rsidRPr="00B916EC">
        <w:rPr>
          <w:rFonts w:eastAsia="MS Mincho"/>
        </w:rPr>
        <w:t xml:space="preserve"> </w:t>
      </w:r>
      <w:r w:rsidRPr="00B916EC">
        <w:rPr>
          <w:rFonts w:eastAsia="MS Mincho"/>
        </w:rPr>
        <w:t xml:space="preserve">the UE is configured resource sets for PUCCH transmissions </w:t>
      </w:r>
      <w:r w:rsidR="005A62D0" w:rsidRPr="00B916EC">
        <w:rPr>
          <w:rFonts w:eastAsia="MS Mincho"/>
        </w:rPr>
        <w:t xml:space="preserve">as described </w:t>
      </w:r>
      <w:r w:rsidR="006F5F9E">
        <w:rPr>
          <w:rFonts w:eastAsia="MS Mincho"/>
        </w:rPr>
        <w:t>in clause</w:t>
      </w:r>
      <w:r w:rsidR="00B06B6C">
        <w:rPr>
          <w:rFonts w:eastAsia="MS Mincho"/>
        </w:rPr>
        <w:t xml:space="preserve"> 9.2</w:t>
      </w:r>
      <w:r w:rsidR="005A182A">
        <w:rPr>
          <w:rFonts w:eastAsia="MS Mincho"/>
        </w:rPr>
        <w:t>.1</w:t>
      </w:r>
      <w:r w:rsidR="005A62D0" w:rsidRPr="00B916EC">
        <w:rPr>
          <w:rFonts w:eastAsia="MS Mincho"/>
        </w:rPr>
        <w:t>.</w:t>
      </w:r>
      <w:r w:rsidR="007D5A3F">
        <w:rPr>
          <w:rFonts w:eastAsia="MS Mincho"/>
        </w:rPr>
        <w:t xml:space="preserve"> </w:t>
      </w:r>
    </w:p>
    <w:p w14:paraId="18BCE031" w14:textId="77777777" w:rsidR="001315EA" w:rsidRPr="00B916EC" w:rsidRDefault="00621303" w:rsidP="00D91FB6">
      <w:r w:rsidRPr="00B916EC">
        <w:t xml:space="preserve">A UE receives PDCCH and PDSCH in a DL BWP according to a configured </w:t>
      </w:r>
      <w:r w:rsidR="00143099">
        <w:t>SCS</w:t>
      </w:r>
      <w:r w:rsidRPr="00B916EC">
        <w:t xml:space="preserve"> and CP length for the DL BWP. A UE transmits PUCCH and PUSCH in an UL BWP according to a configured </w:t>
      </w:r>
      <w:r w:rsidR="00143099">
        <w:t>SCS</w:t>
      </w:r>
      <w:r w:rsidRPr="00B916EC">
        <w:t xml:space="preserve"> and CP length for the UL BWP. </w:t>
      </w:r>
    </w:p>
    <w:p w14:paraId="3859790C" w14:textId="77777777" w:rsidR="00540049" w:rsidRPr="00540049" w:rsidRDefault="0043292C" w:rsidP="00540049">
      <w:pPr>
        <w:rPr>
          <w:rFonts w:eastAsia="Times New Roman"/>
          <w:lang w:eastAsia="ja-JP"/>
        </w:rPr>
      </w:pPr>
      <w:r w:rsidRPr="00B916EC">
        <w:rPr>
          <w:lang w:eastAsia="ja-JP"/>
        </w:rPr>
        <w:t xml:space="preserve">If a </w:t>
      </w:r>
      <w:r w:rsidR="00A26948" w:rsidRPr="00B916EC">
        <w:rPr>
          <w:lang w:eastAsia="ja-JP"/>
        </w:rPr>
        <w:t>bandwidth pa</w:t>
      </w:r>
      <w:r w:rsidR="00335065">
        <w:rPr>
          <w:lang w:eastAsia="ja-JP"/>
        </w:rPr>
        <w:t>rt</w:t>
      </w:r>
      <w:r w:rsidR="00A26948" w:rsidRPr="00B916EC">
        <w:rPr>
          <w:lang w:eastAsia="ja-JP"/>
        </w:rPr>
        <w:t xml:space="preserve"> indicator</w:t>
      </w:r>
      <w:r w:rsidRPr="00B916EC">
        <w:rPr>
          <w:lang w:eastAsia="ja-JP"/>
        </w:rPr>
        <w:t xml:space="preserve"> field is configured in </w:t>
      </w:r>
      <w:r w:rsidR="0023606D">
        <w:rPr>
          <w:lang w:eastAsia="ja-JP"/>
        </w:rPr>
        <w:t xml:space="preserve">a </w:t>
      </w:r>
      <w:r w:rsidRPr="00B916EC">
        <w:rPr>
          <w:lang w:eastAsia="ja-JP"/>
        </w:rPr>
        <w:t xml:space="preserve">DCI format, the </w:t>
      </w:r>
      <w:r w:rsidR="00A26948" w:rsidRPr="00B916EC">
        <w:rPr>
          <w:lang w:eastAsia="ja-JP"/>
        </w:rPr>
        <w:t>bandwidth pa</w:t>
      </w:r>
      <w:r w:rsidR="00335065">
        <w:rPr>
          <w:lang w:eastAsia="ja-JP"/>
        </w:rPr>
        <w:t>rt</w:t>
      </w:r>
      <w:r w:rsidR="00A26948" w:rsidRPr="00B916EC">
        <w:rPr>
          <w:lang w:eastAsia="ja-JP"/>
        </w:rPr>
        <w:t xml:space="preserve"> indicator </w:t>
      </w:r>
      <w:r w:rsidRPr="00B916EC">
        <w:rPr>
          <w:lang w:eastAsia="ja-JP"/>
        </w:rPr>
        <w:t xml:space="preserve">field value indicates the </w:t>
      </w:r>
      <w:r w:rsidR="00C72F94" w:rsidRPr="00B916EC">
        <w:rPr>
          <w:lang w:eastAsia="ja-JP"/>
        </w:rPr>
        <w:t>activ</w:t>
      </w:r>
      <w:r w:rsidR="00D74FC0">
        <w:rPr>
          <w:lang w:eastAsia="ja-JP"/>
        </w:rPr>
        <w:t>e</w:t>
      </w:r>
      <w:r w:rsidR="00C72F94" w:rsidRPr="00B916EC">
        <w:rPr>
          <w:lang w:eastAsia="ja-JP"/>
        </w:rPr>
        <w:t xml:space="preserve"> </w:t>
      </w:r>
      <w:r w:rsidRPr="00B916EC">
        <w:rPr>
          <w:lang w:eastAsia="ja-JP"/>
        </w:rPr>
        <w:t>DL BWP, from the configured DL BWP set, for DL receptions</w:t>
      </w:r>
      <w:r w:rsidR="005A182A">
        <w:rPr>
          <w:lang w:eastAsia="ja-JP"/>
        </w:rPr>
        <w:t xml:space="preserve"> as described in [</w:t>
      </w:r>
      <w:r w:rsidR="007D591D">
        <w:rPr>
          <w:lang w:eastAsia="ja-JP"/>
        </w:rPr>
        <w:t>5</w:t>
      </w:r>
      <w:r w:rsidR="005A182A">
        <w:rPr>
          <w:lang w:eastAsia="ja-JP"/>
        </w:rPr>
        <w:t>, TS</w:t>
      </w:r>
      <w:r w:rsidR="007D591D">
        <w:rPr>
          <w:lang w:eastAsia="ja-JP"/>
        </w:rPr>
        <w:t xml:space="preserve"> </w:t>
      </w:r>
      <w:r w:rsidR="005A182A">
        <w:rPr>
          <w:lang w:eastAsia="ja-JP"/>
        </w:rPr>
        <w:t>38.212]</w:t>
      </w:r>
      <w:r w:rsidRPr="00B916EC">
        <w:rPr>
          <w:lang w:eastAsia="ja-JP"/>
        </w:rPr>
        <w:t xml:space="preserve">. If a </w:t>
      </w:r>
      <w:r w:rsidR="00A26948" w:rsidRPr="00B916EC">
        <w:rPr>
          <w:lang w:eastAsia="ja-JP"/>
        </w:rPr>
        <w:t>bandwidth pa</w:t>
      </w:r>
      <w:r w:rsidR="00335065">
        <w:rPr>
          <w:lang w:eastAsia="ja-JP"/>
        </w:rPr>
        <w:t>rt</w:t>
      </w:r>
      <w:r w:rsidR="00A26948" w:rsidRPr="00B916EC">
        <w:rPr>
          <w:lang w:eastAsia="ja-JP"/>
        </w:rPr>
        <w:t xml:space="preserve"> indicator </w:t>
      </w:r>
      <w:r w:rsidRPr="00B916EC">
        <w:rPr>
          <w:lang w:eastAsia="ja-JP"/>
        </w:rPr>
        <w:t xml:space="preserve">field is configured in </w:t>
      </w:r>
      <w:r w:rsidR="0023606D">
        <w:rPr>
          <w:lang w:eastAsia="ja-JP"/>
        </w:rPr>
        <w:t xml:space="preserve">a </w:t>
      </w:r>
      <w:r w:rsidRPr="00B916EC">
        <w:rPr>
          <w:lang w:eastAsia="ja-JP"/>
        </w:rPr>
        <w:t xml:space="preserve">DCI format, the </w:t>
      </w:r>
      <w:r w:rsidR="00A26948" w:rsidRPr="00B916EC">
        <w:rPr>
          <w:lang w:eastAsia="ja-JP"/>
        </w:rPr>
        <w:t>bandwidth pa</w:t>
      </w:r>
      <w:r w:rsidR="00335065">
        <w:rPr>
          <w:lang w:eastAsia="ja-JP"/>
        </w:rPr>
        <w:t>rt</w:t>
      </w:r>
      <w:r w:rsidR="00A26948" w:rsidRPr="00B916EC">
        <w:rPr>
          <w:lang w:eastAsia="ja-JP"/>
        </w:rPr>
        <w:t xml:space="preserve"> indicator</w:t>
      </w:r>
      <w:r w:rsidRPr="00B916EC">
        <w:rPr>
          <w:lang w:eastAsia="ja-JP"/>
        </w:rPr>
        <w:t xml:space="preserve"> field value indicates the </w:t>
      </w:r>
      <w:r w:rsidR="00C72F94" w:rsidRPr="00B916EC">
        <w:rPr>
          <w:lang w:eastAsia="ja-JP"/>
        </w:rPr>
        <w:t>activ</w:t>
      </w:r>
      <w:r w:rsidR="00D74FC0">
        <w:rPr>
          <w:lang w:eastAsia="ja-JP"/>
        </w:rPr>
        <w:t>e</w:t>
      </w:r>
      <w:r w:rsidR="00C72F94" w:rsidRPr="00B916EC">
        <w:rPr>
          <w:lang w:eastAsia="ja-JP"/>
        </w:rPr>
        <w:t xml:space="preserve"> </w:t>
      </w:r>
      <w:r w:rsidRPr="00B916EC">
        <w:rPr>
          <w:lang w:eastAsia="ja-JP"/>
        </w:rPr>
        <w:t>UL BWP, from the configured UL BWP set, for UL transmissions</w:t>
      </w:r>
      <w:r w:rsidR="005A182A">
        <w:rPr>
          <w:lang w:eastAsia="ja-JP"/>
        </w:rPr>
        <w:t xml:space="preserve"> as described in [</w:t>
      </w:r>
      <w:r w:rsidR="00142AB7">
        <w:rPr>
          <w:lang w:eastAsia="ja-JP"/>
        </w:rPr>
        <w:t>5</w:t>
      </w:r>
      <w:r w:rsidR="005A182A">
        <w:rPr>
          <w:lang w:eastAsia="ja-JP"/>
        </w:rPr>
        <w:t>, TS</w:t>
      </w:r>
      <w:r w:rsidR="00142AB7">
        <w:rPr>
          <w:lang w:eastAsia="ja-JP"/>
        </w:rPr>
        <w:t xml:space="preserve"> </w:t>
      </w:r>
      <w:r w:rsidR="005A182A">
        <w:rPr>
          <w:lang w:eastAsia="ja-JP"/>
        </w:rPr>
        <w:t>38.212]</w:t>
      </w:r>
      <w:r w:rsidRPr="00B916EC">
        <w:rPr>
          <w:lang w:eastAsia="ja-JP"/>
        </w:rPr>
        <w:t xml:space="preserve">. </w:t>
      </w:r>
    </w:p>
    <w:p w14:paraId="5B85961A" w14:textId="77777777" w:rsidR="00540049" w:rsidRPr="00540049" w:rsidRDefault="00540049" w:rsidP="00540049">
      <w:pPr>
        <w:rPr>
          <w:rFonts w:eastAsia="Times New Roman"/>
          <w:lang w:eastAsia="ja-JP"/>
        </w:rPr>
      </w:pPr>
      <w:r w:rsidRPr="00540049">
        <w:rPr>
          <w:rFonts w:eastAsia="Times New Roman"/>
          <w:lang w:eastAsia="ja-JP"/>
        </w:rPr>
        <w:t xml:space="preserve">If a bandwidth part indicator field is provided by a DCI format 0_3/1_3, </w:t>
      </w:r>
    </w:p>
    <w:p w14:paraId="2EDC4DFF" w14:textId="77777777" w:rsidR="00540049" w:rsidRPr="00540049" w:rsidRDefault="00540049" w:rsidP="00540049">
      <w:pPr>
        <w:pStyle w:val="B1"/>
        <w:rPr>
          <w:lang w:eastAsia="ja-JP"/>
        </w:rPr>
      </w:pPr>
      <w:r w:rsidRPr="00540049">
        <w:lastRenderedPageBreak/>
        <w:t>-</w:t>
      </w:r>
      <w:r w:rsidRPr="00540049">
        <w:tab/>
        <w:t xml:space="preserve">the UE </w:t>
      </w:r>
      <w:r w:rsidRPr="00540049">
        <w:rPr>
          <w:lang w:eastAsia="ja-JP"/>
        </w:rPr>
        <w:t>applies for a serving cell the value of the bandwidth part indicator field, if</w:t>
      </w:r>
    </w:p>
    <w:p w14:paraId="54A8EE5A" w14:textId="77777777" w:rsidR="00540049" w:rsidRPr="00540049" w:rsidRDefault="00540049" w:rsidP="00540049">
      <w:pPr>
        <w:pStyle w:val="B2"/>
        <w:rPr>
          <w:lang w:eastAsia="ja-JP"/>
        </w:rPr>
      </w:pPr>
      <w:r w:rsidRPr="00540049">
        <w:t>-</w:t>
      </w:r>
      <w:r w:rsidRPr="00540049">
        <w:tab/>
      </w:r>
      <w:r w:rsidRPr="00540049">
        <w:rPr>
          <w:lang w:eastAsia="ja-JP"/>
        </w:rPr>
        <w:t>the UE is scheduled by the DCI format 0_3/1_3 to transmit PUSCH/receive PDSCH, respectively, on the serving cell, and</w:t>
      </w:r>
    </w:p>
    <w:p w14:paraId="137F7566" w14:textId="77777777" w:rsidR="00F03493" w:rsidRPr="00F03493" w:rsidRDefault="00540049" w:rsidP="00F03493">
      <w:pPr>
        <w:pStyle w:val="B2"/>
        <w:rPr>
          <w:rFonts w:eastAsia="Times New Roman"/>
          <w:lang w:val="en-GB" w:eastAsia="ja-JP"/>
        </w:rPr>
      </w:pPr>
      <w:r w:rsidRPr="00540049">
        <w:t>-</w:t>
      </w:r>
      <w:r w:rsidRPr="00540049">
        <w:tab/>
        <w:t xml:space="preserve">the serving cell includes a configured UL/DL BWP with index corresponding to the value of </w:t>
      </w:r>
      <w:r w:rsidRPr="00540049">
        <w:rPr>
          <w:lang w:eastAsia="ja-JP"/>
        </w:rPr>
        <w:t>the bandwidth part indicator field</w:t>
      </w:r>
      <w:r w:rsidR="00F03493" w:rsidRPr="00F03493">
        <w:rPr>
          <w:rFonts w:eastAsia="Times New Roman"/>
          <w:lang w:val="en-GB" w:eastAsia="ja-JP"/>
        </w:rPr>
        <w:t>, and</w:t>
      </w:r>
    </w:p>
    <w:p w14:paraId="1BC77584" w14:textId="77777777" w:rsidR="00F03493" w:rsidRPr="00F03493" w:rsidRDefault="00F03493" w:rsidP="00F03493">
      <w:pPr>
        <w:pStyle w:val="B2"/>
        <w:rPr>
          <w:lang w:eastAsia="zh-CN"/>
        </w:rPr>
      </w:pPr>
      <w:r w:rsidRPr="00F03493">
        <w:t>-</w:t>
      </w:r>
      <w:r w:rsidRPr="00F03493">
        <w:tab/>
      </w:r>
      <w:r w:rsidRPr="00F03493">
        <w:rPr>
          <w:i/>
          <w:szCs w:val="22"/>
          <w:lang w:eastAsia="ja-JP"/>
        </w:rPr>
        <w:t>resourceAllocation</w:t>
      </w:r>
      <w:r w:rsidRPr="00F03493">
        <w:t xml:space="preserve"> = </w:t>
      </w:r>
      <w:r w:rsidRPr="00F03493">
        <w:rPr>
          <w:i/>
        </w:rPr>
        <w:t>resourceAllocationType0</w:t>
      </w:r>
      <w:r w:rsidRPr="00F03493">
        <w:t xml:space="preserve"> and not all bits of </w:t>
      </w:r>
      <w:r w:rsidRPr="00F03493">
        <w:rPr>
          <w:lang w:val="en-US"/>
        </w:rPr>
        <w:t xml:space="preserve">a </w:t>
      </w:r>
      <w:r w:rsidRPr="00F03493">
        <w:rPr>
          <w:lang w:eastAsia="zh-CN"/>
        </w:rPr>
        <w:t>block</w:t>
      </w:r>
      <w:r w:rsidRPr="00F03493">
        <w:rPr>
          <w:lang w:val="en-US" w:eastAsia="zh-CN"/>
        </w:rPr>
        <w:t xml:space="preserve"> </w:t>
      </w:r>
      <w:r w:rsidRPr="00F03493">
        <w:rPr>
          <w:lang w:eastAsia="zh-CN"/>
        </w:rPr>
        <w:t xml:space="preserve">of the </w:t>
      </w:r>
      <w:r w:rsidRPr="00F03493">
        <w:rPr>
          <w:rFonts w:hint="eastAsia"/>
          <w:lang w:eastAsia="zh-CN"/>
        </w:rPr>
        <w:t>frequency domain resource assignment</w:t>
      </w:r>
      <w:r w:rsidRPr="00F03493">
        <w:rPr>
          <w:lang w:eastAsia="zh-CN"/>
        </w:rPr>
        <w:t xml:space="preserve"> </w:t>
      </w:r>
      <w:r w:rsidRPr="00F03493">
        <w:rPr>
          <w:rFonts w:hint="eastAsia"/>
          <w:lang w:eastAsia="zh-CN"/>
        </w:rPr>
        <w:t xml:space="preserve">field </w:t>
      </w:r>
      <w:r w:rsidRPr="00F03493">
        <w:rPr>
          <w:lang w:val="en-US" w:eastAsia="zh-CN"/>
        </w:rPr>
        <w:t xml:space="preserve">associated with the </w:t>
      </w:r>
      <w:r w:rsidRPr="00F03493">
        <w:t xml:space="preserve">serving cell </w:t>
      </w:r>
      <w:r w:rsidRPr="00F03493">
        <w:rPr>
          <w:lang w:eastAsia="zh-CN"/>
        </w:rPr>
        <w:t xml:space="preserve">in </w:t>
      </w:r>
      <w:r w:rsidRPr="00F03493">
        <w:rPr>
          <w:lang w:val="en-US" w:eastAsia="zh-CN"/>
        </w:rPr>
        <w:t xml:space="preserve">the </w:t>
      </w:r>
      <w:r w:rsidRPr="00F03493">
        <w:rPr>
          <w:lang w:eastAsia="zh-CN"/>
        </w:rPr>
        <w:t xml:space="preserve">DCI format </w:t>
      </w:r>
      <w:r w:rsidRPr="00F03493">
        <w:rPr>
          <w:lang w:val="en-US" w:eastAsia="zh-CN"/>
        </w:rPr>
        <w:t>0_3/</w:t>
      </w:r>
      <w:r w:rsidRPr="00F03493">
        <w:rPr>
          <w:lang w:eastAsia="zh-CN"/>
        </w:rPr>
        <w:t>1_3 are</w:t>
      </w:r>
      <w:r w:rsidRPr="00F03493">
        <w:rPr>
          <w:lang w:val="en-US" w:eastAsia="zh-CN"/>
        </w:rPr>
        <w:t xml:space="preserve"> </w:t>
      </w:r>
      <w:r w:rsidRPr="00F03493">
        <w:rPr>
          <w:lang w:eastAsia="zh-CN"/>
        </w:rPr>
        <w:t>equal to 0, or</w:t>
      </w:r>
    </w:p>
    <w:p w14:paraId="4DF409EA" w14:textId="77777777" w:rsidR="00F03493" w:rsidRPr="00F03493" w:rsidRDefault="00F03493" w:rsidP="00F03493">
      <w:pPr>
        <w:pStyle w:val="B2"/>
        <w:rPr>
          <w:lang w:val="en-US" w:eastAsia="zh-CN"/>
        </w:rPr>
      </w:pPr>
      <w:r w:rsidRPr="00F03493">
        <w:t>-</w:t>
      </w:r>
      <w:r w:rsidRPr="00F03493">
        <w:tab/>
      </w:r>
      <w:r w:rsidRPr="00F03493">
        <w:rPr>
          <w:i/>
          <w:szCs w:val="22"/>
          <w:lang w:eastAsia="ja-JP"/>
        </w:rPr>
        <w:t>resourceAllocation</w:t>
      </w:r>
      <w:r w:rsidRPr="00F03493">
        <w:t xml:space="preserve"> = </w:t>
      </w:r>
      <w:r w:rsidRPr="00F03493">
        <w:rPr>
          <w:i/>
        </w:rPr>
        <w:t>resourceAllocationType1</w:t>
      </w:r>
      <w:r w:rsidRPr="00F03493">
        <w:t xml:space="preserve"> and not all bits of </w:t>
      </w:r>
      <w:r w:rsidRPr="00F03493">
        <w:rPr>
          <w:lang w:val="en-US"/>
        </w:rPr>
        <w:t xml:space="preserve">a </w:t>
      </w:r>
      <w:r w:rsidRPr="00F03493">
        <w:rPr>
          <w:lang w:eastAsia="zh-CN"/>
        </w:rPr>
        <w:t xml:space="preserve">block of the </w:t>
      </w:r>
      <w:r w:rsidRPr="00F03493">
        <w:rPr>
          <w:rFonts w:hint="eastAsia"/>
          <w:lang w:eastAsia="zh-CN"/>
        </w:rPr>
        <w:t>frequency domain resource assignment</w:t>
      </w:r>
      <w:r w:rsidRPr="00F03493">
        <w:rPr>
          <w:lang w:eastAsia="zh-CN"/>
        </w:rPr>
        <w:t xml:space="preserve"> </w:t>
      </w:r>
      <w:r w:rsidRPr="00F03493">
        <w:rPr>
          <w:rFonts w:hint="eastAsia"/>
          <w:lang w:eastAsia="zh-CN"/>
        </w:rPr>
        <w:t xml:space="preserve">field </w:t>
      </w:r>
      <w:r w:rsidRPr="00F03493">
        <w:rPr>
          <w:lang w:val="en-US" w:eastAsia="zh-CN"/>
        </w:rPr>
        <w:t xml:space="preserve">associated with the </w:t>
      </w:r>
      <w:r w:rsidRPr="00F03493">
        <w:t xml:space="preserve">serving cell </w:t>
      </w:r>
      <w:r w:rsidRPr="00F03493">
        <w:rPr>
          <w:lang w:eastAsia="zh-CN"/>
        </w:rPr>
        <w:t xml:space="preserve">in </w:t>
      </w:r>
      <w:r w:rsidRPr="00F03493">
        <w:rPr>
          <w:lang w:val="en-US" w:eastAsia="zh-CN"/>
        </w:rPr>
        <w:t xml:space="preserve">the </w:t>
      </w:r>
      <w:r w:rsidRPr="00F03493">
        <w:rPr>
          <w:lang w:eastAsia="zh-CN"/>
        </w:rPr>
        <w:t xml:space="preserve">DCI format </w:t>
      </w:r>
      <w:r w:rsidRPr="00F03493">
        <w:rPr>
          <w:lang w:val="en-US" w:eastAsia="zh-CN"/>
        </w:rPr>
        <w:t>0_3/</w:t>
      </w:r>
      <w:r w:rsidRPr="00F03493">
        <w:rPr>
          <w:lang w:eastAsia="zh-CN"/>
        </w:rPr>
        <w:t>1_3 are</w:t>
      </w:r>
      <w:r w:rsidRPr="00F03493">
        <w:rPr>
          <w:lang w:val="en-US" w:eastAsia="zh-CN"/>
        </w:rPr>
        <w:t xml:space="preserve"> </w:t>
      </w:r>
      <w:r w:rsidRPr="00F03493">
        <w:rPr>
          <w:lang w:eastAsia="zh-CN"/>
        </w:rPr>
        <w:t>equal to 1</w:t>
      </w:r>
      <w:r w:rsidRPr="00F03493">
        <w:rPr>
          <w:lang w:val="en-US" w:eastAsia="zh-CN"/>
        </w:rPr>
        <w:t>, or</w:t>
      </w:r>
    </w:p>
    <w:p w14:paraId="262D425B" w14:textId="77777777" w:rsidR="00F03493" w:rsidRPr="00F03493" w:rsidRDefault="00F03493" w:rsidP="00F03493">
      <w:pPr>
        <w:pStyle w:val="B2"/>
        <w:rPr>
          <w:lang w:val="en-US" w:eastAsia="zh-CN"/>
        </w:rPr>
      </w:pPr>
      <w:r w:rsidRPr="00F03493">
        <w:t>-</w:t>
      </w:r>
      <w:r w:rsidRPr="00F03493">
        <w:tab/>
      </w:r>
      <w:r w:rsidRPr="00F03493">
        <w:rPr>
          <w:i/>
          <w:iCs/>
          <w:lang w:eastAsia="zh-CN"/>
        </w:rPr>
        <w:t>resourceAllocation = dynamicSwitch</w:t>
      </w:r>
      <w:r w:rsidRPr="00F03493">
        <w:rPr>
          <w:lang w:eastAsia="zh-CN"/>
        </w:rPr>
        <w:t xml:space="preserve"> and not all bits of </w:t>
      </w:r>
      <w:r w:rsidRPr="00F03493">
        <w:rPr>
          <w:lang w:val="en-US"/>
        </w:rPr>
        <w:t xml:space="preserve">a </w:t>
      </w:r>
      <w:r w:rsidRPr="00F03493">
        <w:rPr>
          <w:lang w:eastAsia="zh-CN"/>
        </w:rPr>
        <w:t xml:space="preserve">block of the </w:t>
      </w:r>
      <w:r w:rsidRPr="00F03493">
        <w:rPr>
          <w:rFonts w:hint="eastAsia"/>
          <w:lang w:eastAsia="zh-CN"/>
        </w:rPr>
        <w:t>frequency domain resource assignment</w:t>
      </w:r>
      <w:r w:rsidRPr="00F03493">
        <w:rPr>
          <w:lang w:eastAsia="zh-CN"/>
        </w:rPr>
        <w:t xml:space="preserve"> </w:t>
      </w:r>
      <w:r w:rsidRPr="00F03493">
        <w:rPr>
          <w:rFonts w:hint="eastAsia"/>
          <w:lang w:eastAsia="zh-CN"/>
        </w:rPr>
        <w:t xml:space="preserve">field </w:t>
      </w:r>
      <w:r w:rsidRPr="00F03493">
        <w:rPr>
          <w:lang w:val="en-US" w:eastAsia="zh-CN"/>
        </w:rPr>
        <w:t xml:space="preserve">associated with the </w:t>
      </w:r>
      <w:r w:rsidRPr="00F03493">
        <w:t xml:space="preserve">serving cell </w:t>
      </w:r>
      <w:r w:rsidRPr="00F03493">
        <w:rPr>
          <w:lang w:eastAsia="zh-CN"/>
        </w:rPr>
        <w:t xml:space="preserve">in </w:t>
      </w:r>
      <w:r w:rsidRPr="00F03493">
        <w:rPr>
          <w:lang w:val="en-US" w:eastAsia="zh-CN"/>
        </w:rPr>
        <w:t xml:space="preserve">the </w:t>
      </w:r>
      <w:r w:rsidRPr="00F03493">
        <w:rPr>
          <w:lang w:eastAsia="zh-CN"/>
        </w:rPr>
        <w:t>DCI format 0_3/1_3 are</w:t>
      </w:r>
      <w:r w:rsidRPr="00F03493">
        <w:rPr>
          <w:lang w:val="en-US" w:eastAsia="zh-CN"/>
        </w:rPr>
        <w:t xml:space="preserve"> </w:t>
      </w:r>
      <w:r w:rsidRPr="00F03493">
        <w:rPr>
          <w:lang w:eastAsia="zh-CN"/>
        </w:rPr>
        <w:t>equal to either 0 or 1</w:t>
      </w:r>
      <w:r w:rsidRPr="00F03493">
        <w:rPr>
          <w:lang w:val="en-US" w:eastAsia="zh-CN"/>
        </w:rPr>
        <w:t>, or</w:t>
      </w:r>
    </w:p>
    <w:p w14:paraId="6FCCCDCE" w14:textId="31576990" w:rsidR="00540049" w:rsidRPr="00540049" w:rsidRDefault="00F03493" w:rsidP="00F03493">
      <w:pPr>
        <w:pStyle w:val="B2"/>
        <w:rPr>
          <w:lang w:eastAsia="ja-JP"/>
        </w:rPr>
      </w:pPr>
      <w:r w:rsidRPr="00F03493">
        <w:rPr>
          <w:lang w:val="en-GB"/>
        </w:rPr>
        <w:t>-</w:t>
      </w:r>
      <w:r w:rsidRPr="00F03493">
        <w:rPr>
          <w:lang w:val="en-GB"/>
        </w:rPr>
        <w:tab/>
      </w:r>
      <w:r w:rsidRPr="00F03493">
        <w:rPr>
          <w:i/>
          <w:iCs/>
          <w:lang w:val="en-GB" w:eastAsia="zh-CN"/>
        </w:rPr>
        <w:t>useInterlacePUCCH-PUSCH</w:t>
      </w:r>
      <w:r w:rsidRPr="00F03493">
        <w:rPr>
          <w:lang w:val="en-GB" w:eastAsia="zh-CN"/>
        </w:rPr>
        <w:t xml:space="preserve"> is provided and not all bits of </w:t>
      </w:r>
      <w:r w:rsidRPr="00F03493">
        <w:rPr>
          <w:lang w:val="en-US"/>
        </w:rPr>
        <w:t xml:space="preserve">a </w:t>
      </w:r>
      <w:r w:rsidRPr="00F03493">
        <w:rPr>
          <w:lang w:val="en-GB" w:eastAsia="zh-CN"/>
        </w:rPr>
        <w:t xml:space="preserve">block of the </w:t>
      </w:r>
      <w:r w:rsidRPr="00F03493">
        <w:rPr>
          <w:rFonts w:hint="eastAsia"/>
          <w:lang w:val="en-GB" w:eastAsia="zh-CN"/>
        </w:rPr>
        <w:t>frequency domain resource assignment</w:t>
      </w:r>
      <w:r w:rsidRPr="00F03493">
        <w:rPr>
          <w:lang w:val="en-GB" w:eastAsia="zh-CN"/>
        </w:rPr>
        <w:t xml:space="preserve"> </w:t>
      </w:r>
      <w:r w:rsidRPr="00F03493">
        <w:rPr>
          <w:rFonts w:hint="eastAsia"/>
          <w:lang w:val="en-GB" w:eastAsia="zh-CN"/>
        </w:rPr>
        <w:t xml:space="preserve">field </w:t>
      </w:r>
      <w:r w:rsidRPr="00F03493">
        <w:rPr>
          <w:lang w:val="en-US" w:eastAsia="zh-CN"/>
        </w:rPr>
        <w:t xml:space="preserve">associated with the </w:t>
      </w:r>
      <w:r w:rsidRPr="00F03493">
        <w:rPr>
          <w:lang w:val="en-GB"/>
        </w:rPr>
        <w:t xml:space="preserve">serving cell </w:t>
      </w:r>
      <w:r w:rsidRPr="00F03493">
        <w:rPr>
          <w:lang w:val="en-GB" w:eastAsia="zh-CN"/>
        </w:rPr>
        <w:t xml:space="preserve">in </w:t>
      </w:r>
      <w:r w:rsidRPr="00F03493">
        <w:rPr>
          <w:lang w:val="en-US" w:eastAsia="zh-CN"/>
        </w:rPr>
        <w:t xml:space="preserve">the </w:t>
      </w:r>
      <w:r w:rsidRPr="00F03493">
        <w:rPr>
          <w:lang w:val="en-GB" w:eastAsia="zh-CN"/>
        </w:rPr>
        <w:t xml:space="preserve">DCI format </w:t>
      </w:r>
      <w:r w:rsidRPr="00F03493">
        <w:rPr>
          <w:lang w:val="en-US" w:eastAsia="zh-CN"/>
        </w:rPr>
        <w:t xml:space="preserve">0_3 </w:t>
      </w:r>
      <w:r w:rsidRPr="00F03493">
        <w:rPr>
          <w:lang w:val="en-GB" w:eastAsia="zh-CN"/>
        </w:rPr>
        <w:t>are</w:t>
      </w:r>
      <w:r w:rsidRPr="00F03493">
        <w:rPr>
          <w:lang w:val="en-US" w:eastAsia="zh-CN"/>
        </w:rPr>
        <w:t xml:space="preserve"> </w:t>
      </w:r>
      <w:r w:rsidRPr="00F03493">
        <w:rPr>
          <w:lang w:val="en-GB" w:eastAsia="zh-CN"/>
        </w:rPr>
        <w:t>equal to 1</w:t>
      </w:r>
      <w:r w:rsidRPr="00F03493">
        <w:rPr>
          <w:lang w:val="en-US" w:eastAsia="zh-CN"/>
        </w:rPr>
        <w:t xml:space="preserve"> for </w:t>
      </w:r>
      <m:oMath>
        <m:r>
          <w:rPr>
            <w:rFonts w:ascii="Cambria Math" w:hAnsi="Cambria Math" w:cs="Arial"/>
            <w:sz w:val="18"/>
            <w:szCs w:val="18"/>
            <w:lang w:val="sv-SE" w:eastAsia="ja-JP"/>
          </w:rPr>
          <m:t>μ</m:t>
        </m:r>
        <m:r>
          <w:rPr>
            <w:rFonts w:ascii="Cambria Math" w:hAnsi="Cambria Math" w:cs="Arial"/>
            <w:sz w:val="18"/>
            <w:szCs w:val="18"/>
            <w:lang w:val="en-GB" w:eastAsia="ja-JP"/>
          </w:rPr>
          <m:t>=0</m:t>
        </m:r>
      </m:oMath>
      <w:r w:rsidRPr="00F03493">
        <w:rPr>
          <w:lang w:val="en-GB" w:eastAsia="zh-CN"/>
        </w:rPr>
        <w:t xml:space="preserve"> or </w:t>
      </w:r>
      <w:r w:rsidRPr="00F03493">
        <w:rPr>
          <w:lang w:val="en-US" w:eastAsia="zh-CN"/>
        </w:rPr>
        <w:t xml:space="preserve">are not equal to </w:t>
      </w:r>
      <w:r w:rsidRPr="00F03493">
        <w:rPr>
          <w:lang w:val="en-GB" w:eastAsia="zh-CN"/>
        </w:rPr>
        <w:t>0</w:t>
      </w:r>
      <w:r w:rsidRPr="00F03493">
        <w:rPr>
          <w:lang w:val="en-US" w:eastAsia="zh-CN"/>
        </w:rPr>
        <w:t xml:space="preserve"> for </w:t>
      </w:r>
      <m:oMath>
        <m:r>
          <w:rPr>
            <w:rFonts w:ascii="Cambria Math" w:hAnsi="Cambria Math" w:cs="Arial"/>
            <w:sz w:val="18"/>
            <w:szCs w:val="18"/>
            <w:lang w:val="sv-SE" w:eastAsia="ja-JP"/>
          </w:rPr>
          <m:t>μ</m:t>
        </m:r>
        <m:r>
          <w:rPr>
            <w:rFonts w:ascii="Cambria Math" w:hAnsi="Cambria Math" w:cs="Arial"/>
            <w:sz w:val="18"/>
            <w:szCs w:val="18"/>
            <w:lang w:val="en-GB" w:eastAsia="ja-JP"/>
          </w:rPr>
          <m:t>=1</m:t>
        </m:r>
      </m:oMath>
    </w:p>
    <w:p w14:paraId="763A8565" w14:textId="359F6F7F" w:rsidR="00540049" w:rsidRPr="00540049" w:rsidRDefault="00540049" w:rsidP="00540049">
      <w:pPr>
        <w:pStyle w:val="B1"/>
        <w:rPr>
          <w:lang w:val="en-GB" w:eastAsia="ja-JP"/>
        </w:rPr>
      </w:pPr>
      <w:r w:rsidRPr="00540049">
        <w:t>-</w:t>
      </w:r>
      <w:r w:rsidRPr="00540049">
        <w:tab/>
        <w:t xml:space="preserve">otherwise, the UE does not </w:t>
      </w:r>
      <w:r w:rsidRPr="00540049">
        <w:rPr>
          <w:lang w:eastAsia="ja-JP"/>
        </w:rPr>
        <w:t>apply for the serving cell the value of the bandwidth part indicator field</w:t>
      </w:r>
      <w:r>
        <w:rPr>
          <w:lang w:val="en-GB" w:eastAsia="ja-JP"/>
        </w:rPr>
        <w:t>.</w:t>
      </w:r>
    </w:p>
    <w:p w14:paraId="6FA067CD" w14:textId="77777777" w:rsidR="00F03493" w:rsidRPr="00F03493" w:rsidRDefault="00F03493" w:rsidP="00F03493">
      <w:pPr>
        <w:rPr>
          <w:rFonts w:eastAsia="Times New Roman"/>
        </w:rPr>
      </w:pPr>
      <w:r w:rsidRPr="00F03493">
        <w:rPr>
          <w:rFonts w:eastAsia="Times New Roman"/>
        </w:rPr>
        <w:t>The UE does not expect to be scheduled by a DCI format 1_3 to receive a PDSCH on an activated SCell, if:</w:t>
      </w:r>
    </w:p>
    <w:p w14:paraId="77BB1E47" w14:textId="77777777" w:rsidR="00F03493" w:rsidRPr="00F03493" w:rsidRDefault="00F03493" w:rsidP="00F03493">
      <w:pPr>
        <w:pStyle w:val="B1"/>
        <w:rPr>
          <w:lang w:eastAsia="ja-JP"/>
        </w:rPr>
      </w:pPr>
      <w:r w:rsidRPr="00F03493">
        <w:t>-</w:t>
      </w:r>
      <w:r w:rsidRPr="00F03493">
        <w:tab/>
      </w:r>
      <w:r w:rsidRPr="00F03493">
        <w:rPr>
          <w:lang w:val="en-US"/>
        </w:rPr>
        <w:t xml:space="preserve">the DCI format 1_3 indicates </w:t>
      </w:r>
      <w:r w:rsidRPr="00F03493">
        <w:t xml:space="preserve">an active DL BWP provided by </w:t>
      </w:r>
      <w:r w:rsidRPr="00F03493">
        <w:rPr>
          <w:i/>
        </w:rPr>
        <w:t>dormantBWP-Id</w:t>
      </w:r>
      <w:r w:rsidRPr="00F03493">
        <w:t xml:space="preserve"> for </w:t>
      </w:r>
      <w:r w:rsidRPr="00F03493">
        <w:rPr>
          <w:rFonts w:eastAsia="Malgun Gothic"/>
          <w:bCs/>
        </w:rPr>
        <w:t xml:space="preserve">the </w:t>
      </w:r>
      <w:r w:rsidRPr="00F03493">
        <w:t>activated</w:t>
      </w:r>
      <w:r w:rsidRPr="00F03493">
        <w:rPr>
          <w:rFonts w:eastAsia="Malgun Gothic"/>
          <w:bCs/>
        </w:rPr>
        <w:t xml:space="preserve"> SCell</w:t>
      </w:r>
      <w:r w:rsidRPr="00F03493">
        <w:rPr>
          <w:lang w:val="en-US"/>
        </w:rPr>
        <w:t>, and</w:t>
      </w:r>
    </w:p>
    <w:p w14:paraId="60857EE7" w14:textId="77777777" w:rsidR="00F03493" w:rsidRPr="00F03493" w:rsidRDefault="00F03493" w:rsidP="00F03493">
      <w:pPr>
        <w:pStyle w:val="B1"/>
        <w:rPr>
          <w:lang w:eastAsia="zh-CN"/>
        </w:rPr>
      </w:pPr>
      <w:r w:rsidRPr="00F03493">
        <w:t>-</w:t>
      </w:r>
      <w:r w:rsidRPr="00F03493">
        <w:tab/>
      </w:r>
      <w:r w:rsidRPr="00F03493">
        <w:rPr>
          <w:i/>
          <w:lang w:eastAsia="ja-JP"/>
        </w:rPr>
        <w:t>resourceAllocation</w:t>
      </w:r>
      <w:r w:rsidRPr="00F03493">
        <w:t xml:space="preserve"> = </w:t>
      </w:r>
      <w:r w:rsidRPr="00F03493">
        <w:rPr>
          <w:i/>
        </w:rPr>
        <w:t>resourceAllocationType0</w:t>
      </w:r>
      <w:r w:rsidRPr="00F03493">
        <w:t xml:space="preserve"> and not all bits of </w:t>
      </w:r>
      <w:r w:rsidRPr="00F03493">
        <w:rPr>
          <w:lang w:val="en-US"/>
        </w:rPr>
        <w:t xml:space="preserve">a </w:t>
      </w:r>
      <w:r w:rsidRPr="00F03493">
        <w:rPr>
          <w:lang w:eastAsia="zh-CN"/>
        </w:rPr>
        <w:t>block</w:t>
      </w:r>
      <w:r w:rsidRPr="00F03493">
        <w:rPr>
          <w:lang w:val="en-US" w:eastAsia="zh-CN"/>
        </w:rPr>
        <w:t xml:space="preserve"> </w:t>
      </w:r>
      <w:r w:rsidRPr="00F03493">
        <w:rPr>
          <w:lang w:eastAsia="zh-CN"/>
        </w:rPr>
        <w:t xml:space="preserve">of the </w:t>
      </w:r>
      <w:r w:rsidRPr="00F03493">
        <w:rPr>
          <w:rFonts w:hint="eastAsia"/>
          <w:lang w:eastAsia="zh-CN"/>
        </w:rPr>
        <w:t>frequency domain resource assignment</w:t>
      </w:r>
      <w:r w:rsidRPr="00F03493">
        <w:rPr>
          <w:lang w:eastAsia="zh-CN"/>
        </w:rPr>
        <w:t xml:space="preserve"> </w:t>
      </w:r>
      <w:r w:rsidRPr="00F03493">
        <w:rPr>
          <w:rFonts w:hint="eastAsia"/>
          <w:lang w:eastAsia="zh-CN"/>
        </w:rPr>
        <w:t xml:space="preserve">field </w:t>
      </w:r>
      <w:r w:rsidRPr="00F03493">
        <w:rPr>
          <w:lang w:val="en-US" w:eastAsia="zh-CN"/>
        </w:rPr>
        <w:t xml:space="preserve">associated with the </w:t>
      </w:r>
      <w:r w:rsidRPr="00F03493">
        <w:t>activated SCell</w:t>
      </w:r>
      <w:r w:rsidRPr="00F03493">
        <w:rPr>
          <w:lang w:eastAsia="zh-CN"/>
        </w:rPr>
        <w:t xml:space="preserve"> in </w:t>
      </w:r>
      <w:r w:rsidRPr="00F03493">
        <w:rPr>
          <w:lang w:val="en-US" w:eastAsia="zh-CN"/>
        </w:rPr>
        <w:t xml:space="preserve">the </w:t>
      </w:r>
      <w:r w:rsidRPr="00F03493">
        <w:rPr>
          <w:lang w:eastAsia="zh-CN"/>
        </w:rPr>
        <w:t>DCI format 1_3 are</w:t>
      </w:r>
      <w:r w:rsidRPr="00F03493">
        <w:rPr>
          <w:lang w:val="en-US" w:eastAsia="zh-CN"/>
        </w:rPr>
        <w:t xml:space="preserve"> </w:t>
      </w:r>
      <w:r w:rsidRPr="00F03493">
        <w:rPr>
          <w:lang w:eastAsia="zh-CN"/>
        </w:rPr>
        <w:t>equal to 0, or</w:t>
      </w:r>
    </w:p>
    <w:p w14:paraId="7C626085" w14:textId="77777777" w:rsidR="00F03493" w:rsidRPr="00F03493" w:rsidRDefault="00F03493" w:rsidP="00F03493">
      <w:pPr>
        <w:pStyle w:val="B1"/>
        <w:rPr>
          <w:lang w:val="en-US" w:eastAsia="zh-CN"/>
        </w:rPr>
      </w:pPr>
      <w:r w:rsidRPr="00F03493">
        <w:t>-</w:t>
      </w:r>
      <w:r w:rsidRPr="00F03493">
        <w:tab/>
      </w:r>
      <w:r w:rsidRPr="00F03493">
        <w:rPr>
          <w:i/>
          <w:lang w:eastAsia="ja-JP"/>
        </w:rPr>
        <w:t>resourceAllocation</w:t>
      </w:r>
      <w:r w:rsidRPr="00F03493">
        <w:t xml:space="preserve"> = </w:t>
      </w:r>
      <w:r w:rsidRPr="00F03493">
        <w:rPr>
          <w:i/>
        </w:rPr>
        <w:t>resourceAllocationType1</w:t>
      </w:r>
      <w:r w:rsidRPr="00F03493">
        <w:t xml:space="preserve"> and not all bits of </w:t>
      </w:r>
      <w:r w:rsidRPr="00F03493">
        <w:rPr>
          <w:lang w:val="en-US"/>
        </w:rPr>
        <w:t xml:space="preserve">a </w:t>
      </w:r>
      <w:r w:rsidRPr="00F03493">
        <w:rPr>
          <w:lang w:eastAsia="zh-CN"/>
        </w:rPr>
        <w:t xml:space="preserve">block of the </w:t>
      </w:r>
      <w:r w:rsidRPr="00F03493">
        <w:rPr>
          <w:rFonts w:hint="eastAsia"/>
          <w:lang w:eastAsia="zh-CN"/>
        </w:rPr>
        <w:t>frequency domain resource assignment</w:t>
      </w:r>
      <w:r w:rsidRPr="00F03493">
        <w:rPr>
          <w:lang w:eastAsia="zh-CN"/>
        </w:rPr>
        <w:t xml:space="preserve"> </w:t>
      </w:r>
      <w:r w:rsidRPr="00F03493">
        <w:rPr>
          <w:rFonts w:hint="eastAsia"/>
          <w:lang w:eastAsia="zh-CN"/>
        </w:rPr>
        <w:t xml:space="preserve">field </w:t>
      </w:r>
      <w:r w:rsidRPr="00F03493">
        <w:rPr>
          <w:lang w:val="en-US" w:eastAsia="zh-CN"/>
        </w:rPr>
        <w:t xml:space="preserve">associated with the </w:t>
      </w:r>
      <w:r w:rsidRPr="00F03493">
        <w:t>activated SCell</w:t>
      </w:r>
      <w:r w:rsidRPr="00F03493">
        <w:rPr>
          <w:lang w:eastAsia="zh-CN"/>
        </w:rPr>
        <w:t xml:space="preserve"> in </w:t>
      </w:r>
      <w:r w:rsidRPr="00F03493">
        <w:rPr>
          <w:lang w:val="en-US" w:eastAsia="zh-CN"/>
        </w:rPr>
        <w:t xml:space="preserve">the </w:t>
      </w:r>
      <w:r w:rsidRPr="00F03493">
        <w:rPr>
          <w:lang w:eastAsia="zh-CN"/>
        </w:rPr>
        <w:t>DCI format 1_3 are</w:t>
      </w:r>
      <w:r w:rsidRPr="00F03493">
        <w:rPr>
          <w:lang w:val="en-US" w:eastAsia="zh-CN"/>
        </w:rPr>
        <w:t xml:space="preserve"> </w:t>
      </w:r>
      <w:r w:rsidRPr="00F03493">
        <w:rPr>
          <w:lang w:eastAsia="zh-CN"/>
        </w:rPr>
        <w:t>equal to 1</w:t>
      </w:r>
      <w:r w:rsidRPr="00F03493">
        <w:rPr>
          <w:lang w:val="en-US" w:eastAsia="zh-CN"/>
        </w:rPr>
        <w:t>, or</w:t>
      </w:r>
    </w:p>
    <w:p w14:paraId="651DD124" w14:textId="77777777" w:rsidR="00F03493" w:rsidRPr="00F03493" w:rsidRDefault="00F03493" w:rsidP="00F03493">
      <w:pPr>
        <w:pStyle w:val="B1"/>
        <w:rPr>
          <w:lang w:val="en-US" w:eastAsia="zh-CN"/>
        </w:rPr>
      </w:pPr>
      <w:r w:rsidRPr="00F03493">
        <w:t>-</w:t>
      </w:r>
      <w:r w:rsidRPr="00F03493">
        <w:tab/>
      </w:r>
      <w:r w:rsidRPr="00F03493">
        <w:rPr>
          <w:i/>
          <w:iCs/>
          <w:lang w:eastAsia="zh-CN"/>
        </w:rPr>
        <w:t>resourceAllocation = dynamicSwitch</w:t>
      </w:r>
      <w:r w:rsidRPr="00F03493">
        <w:rPr>
          <w:lang w:eastAsia="zh-CN"/>
        </w:rPr>
        <w:t xml:space="preserve"> and not all bits of </w:t>
      </w:r>
      <w:r w:rsidRPr="00F03493">
        <w:rPr>
          <w:lang w:val="en-US"/>
        </w:rPr>
        <w:t xml:space="preserve">a </w:t>
      </w:r>
      <w:r w:rsidRPr="00F03493">
        <w:rPr>
          <w:lang w:eastAsia="zh-CN"/>
        </w:rPr>
        <w:t xml:space="preserve">block of the </w:t>
      </w:r>
      <w:r w:rsidRPr="00F03493">
        <w:rPr>
          <w:rFonts w:hint="eastAsia"/>
          <w:lang w:eastAsia="zh-CN"/>
        </w:rPr>
        <w:t>frequency domain resource assignment</w:t>
      </w:r>
      <w:r w:rsidRPr="00F03493">
        <w:rPr>
          <w:lang w:eastAsia="zh-CN"/>
        </w:rPr>
        <w:t xml:space="preserve"> </w:t>
      </w:r>
      <w:r w:rsidRPr="00F03493">
        <w:rPr>
          <w:rFonts w:hint="eastAsia"/>
          <w:lang w:eastAsia="zh-CN"/>
        </w:rPr>
        <w:t xml:space="preserve">field </w:t>
      </w:r>
      <w:r w:rsidRPr="00F03493">
        <w:rPr>
          <w:lang w:val="en-US" w:eastAsia="zh-CN"/>
        </w:rPr>
        <w:t xml:space="preserve">associated with the </w:t>
      </w:r>
      <w:r w:rsidRPr="00F03493">
        <w:t>activated SCell</w:t>
      </w:r>
      <w:r w:rsidRPr="00F03493">
        <w:rPr>
          <w:lang w:eastAsia="zh-CN"/>
        </w:rPr>
        <w:t xml:space="preserve"> in </w:t>
      </w:r>
      <w:r w:rsidRPr="00F03493">
        <w:rPr>
          <w:lang w:val="en-US" w:eastAsia="zh-CN"/>
        </w:rPr>
        <w:t xml:space="preserve">the </w:t>
      </w:r>
      <w:r w:rsidRPr="00F03493">
        <w:rPr>
          <w:lang w:eastAsia="zh-CN"/>
        </w:rPr>
        <w:t>DCI format 1_3 are</w:t>
      </w:r>
      <w:r w:rsidRPr="00F03493">
        <w:rPr>
          <w:lang w:val="en-US" w:eastAsia="zh-CN"/>
        </w:rPr>
        <w:t xml:space="preserve"> </w:t>
      </w:r>
      <w:r w:rsidRPr="00F03493">
        <w:rPr>
          <w:lang w:eastAsia="zh-CN"/>
        </w:rPr>
        <w:t>equal to either 0 or 1</w:t>
      </w:r>
      <w:r w:rsidRPr="00F03493">
        <w:rPr>
          <w:lang w:val="en-US" w:eastAsia="zh-CN"/>
        </w:rPr>
        <w:t>.</w:t>
      </w:r>
    </w:p>
    <w:p w14:paraId="20F167AF" w14:textId="1BA3CEA0" w:rsidR="00335065" w:rsidRPr="0080392F" w:rsidRDefault="00335065" w:rsidP="00335065">
      <w:pPr>
        <w:rPr>
          <w:lang w:val="en-US"/>
        </w:rPr>
      </w:pPr>
      <w:r w:rsidRPr="0080392F">
        <w:t xml:space="preserve">If a bandwidth part indicator field </w:t>
      </w:r>
      <w:r w:rsidRPr="0080392F">
        <w:rPr>
          <w:lang w:eastAsia="ja-JP"/>
        </w:rPr>
        <w:t xml:space="preserve">is configured in </w:t>
      </w:r>
      <w:r w:rsidR="00B538FF">
        <w:rPr>
          <w:lang w:eastAsia="ja-JP"/>
        </w:rPr>
        <w:t xml:space="preserve">a </w:t>
      </w:r>
      <w:r w:rsidRPr="0080392F">
        <w:rPr>
          <w:lang w:eastAsia="ja-JP"/>
        </w:rPr>
        <w:t>DCI format and</w:t>
      </w:r>
      <w:r w:rsidRPr="0080392F">
        <w:t xml:space="preserve"> indicates an UL BWP or a DL BWP different from the active UL BWP or DL BWP, respectively, the UE shall</w:t>
      </w:r>
    </w:p>
    <w:p w14:paraId="68235AAC" w14:textId="3E364C62" w:rsidR="00335065" w:rsidRPr="0080392F" w:rsidRDefault="00335065" w:rsidP="0009732E">
      <w:pPr>
        <w:pStyle w:val="B1"/>
      </w:pPr>
      <w:r>
        <w:t>-</w:t>
      </w:r>
      <w:r>
        <w:tab/>
      </w:r>
      <w:r w:rsidRPr="0080392F">
        <w:t xml:space="preserve">for each information field in the DCI format </w:t>
      </w:r>
    </w:p>
    <w:p w14:paraId="2F5A57DF" w14:textId="423961E2" w:rsidR="00335065" w:rsidRPr="0080392F" w:rsidRDefault="00335065" w:rsidP="0009732E">
      <w:pPr>
        <w:pStyle w:val="B2"/>
      </w:pPr>
      <w:r>
        <w:t>-</w:t>
      </w:r>
      <w:r>
        <w:tab/>
      </w:r>
      <w:r w:rsidRPr="0080392F">
        <w:t>if the size of the information field is smaller than the one required for the DCI format interpretation for the UL BWP or DL BWP that is indicated by the bandwidth part indicator, the UE prepend</w:t>
      </w:r>
      <w:r w:rsidR="00176A9A">
        <w:rPr>
          <w:lang w:val="en-US"/>
        </w:rPr>
        <w:t>s</w:t>
      </w:r>
      <w:r w:rsidRPr="0080392F">
        <w:t xml:space="preserve"> zeros to the information field until its size is the one required for the interpretation of the information field for the UL BWP or DL BWP prior to interpreting the DCI format information fields, respectively</w:t>
      </w:r>
    </w:p>
    <w:p w14:paraId="37E9C241" w14:textId="404D8C38" w:rsidR="00335065" w:rsidRDefault="00335065" w:rsidP="0009732E">
      <w:pPr>
        <w:pStyle w:val="B2"/>
      </w:pPr>
      <w:r>
        <w:t>-</w:t>
      </w:r>
      <w:r>
        <w:tab/>
      </w:r>
      <w:r w:rsidRPr="0080392F">
        <w:t>if the size of the information field is larger than the one required for the DCI format interpretation for the UL BWP or DL BWP that is indicated by the bandwidth part indicator, the UE use</w:t>
      </w:r>
      <w:r w:rsidR="00176A9A">
        <w:rPr>
          <w:lang w:val="en-US"/>
        </w:rPr>
        <w:t>s</w:t>
      </w:r>
      <w:r w:rsidRPr="0080392F">
        <w:t xml:space="preserve"> a number of least significant bits of </w:t>
      </w:r>
      <w:r w:rsidR="002F39E4">
        <w:rPr>
          <w:lang w:val="en-US"/>
        </w:rPr>
        <w:t xml:space="preserve">the </w:t>
      </w:r>
      <w:r w:rsidRPr="0080392F">
        <w:t>DCI format equal to the one required for the UL BWP or DL BWP indicated by bandwidth part indicator prior to interpreting the DCI format information fields, respectively</w:t>
      </w:r>
    </w:p>
    <w:p w14:paraId="57538DED" w14:textId="22BA65D8" w:rsidR="00540049" w:rsidRPr="00540049" w:rsidRDefault="00540049" w:rsidP="00540049">
      <w:pPr>
        <w:pStyle w:val="B2"/>
      </w:pPr>
      <w:r w:rsidRPr="00540049">
        <w:t>-</w:t>
      </w:r>
      <w:r w:rsidRPr="00540049">
        <w:tab/>
        <w:t xml:space="preserve">for a DCI format 0_3, or for a DCI format 1_3, and for an information field that includes a number of blocks [5, TS 38.212], the above procedures apply separately for each block of the information field </w:t>
      </w:r>
    </w:p>
    <w:p w14:paraId="1DCE12F4" w14:textId="7A0913BC" w:rsidR="00335065" w:rsidRPr="0080392F" w:rsidRDefault="00335065" w:rsidP="0009732E">
      <w:pPr>
        <w:pStyle w:val="B1"/>
      </w:pPr>
      <w:r>
        <w:t>-</w:t>
      </w:r>
      <w:r>
        <w:tab/>
      </w:r>
      <w:r w:rsidRPr="0080392F">
        <w:t xml:space="preserve">set the active UL BWP or DL BWP to the UL BWP or DL BWP indicated by the bandwidth part indicator in the DCI format </w:t>
      </w:r>
    </w:p>
    <w:p w14:paraId="75942DAB" w14:textId="62BF1B85" w:rsidR="00AF2DCE" w:rsidRPr="00370E38" w:rsidRDefault="00AF2DCE" w:rsidP="00DA4DCE">
      <w:r w:rsidRPr="00370E38">
        <w:rPr>
          <w:lang w:eastAsia="ja-JP"/>
        </w:rPr>
        <w:t xml:space="preserve">If a bandwidth part indicator field is configured in </w:t>
      </w:r>
      <w:r w:rsidR="002F39E4">
        <w:rPr>
          <w:lang w:eastAsia="ja-JP"/>
        </w:rPr>
        <w:t xml:space="preserve">a </w:t>
      </w:r>
      <w:r w:rsidRPr="00370E38">
        <w:rPr>
          <w:lang w:eastAsia="ja-JP"/>
        </w:rPr>
        <w:t>DCI format 0_1</w:t>
      </w:r>
      <w:r w:rsidR="00A13F6A">
        <w:rPr>
          <w:lang w:eastAsia="ja-JP"/>
        </w:rPr>
        <w:t>/0_3</w:t>
      </w:r>
      <w:r w:rsidRPr="00370E38">
        <w:rPr>
          <w:lang w:eastAsia="ja-JP"/>
        </w:rPr>
        <w:t xml:space="preserve"> and </w:t>
      </w:r>
      <w:r w:rsidRPr="00370E38">
        <w:t xml:space="preserve">indicates an active UL BWP with different SCS configuration </w:t>
      </w:r>
      <m:oMath>
        <m:r>
          <w:rPr>
            <w:rFonts w:ascii="Cambria Math" w:eastAsiaTheme="minorHAnsi" w:hAnsi="Cambria Math"/>
            <w:sz w:val="22"/>
            <w:szCs w:val="22"/>
          </w:rPr>
          <m:t>μ</m:t>
        </m:r>
      </m:oMath>
      <w:r w:rsidRPr="00370E38">
        <w:rPr>
          <w:iCs/>
          <w:sz w:val="22"/>
          <w:szCs w:val="22"/>
        </w:rPr>
        <w:t>,</w:t>
      </w:r>
      <w:r w:rsidRPr="00370E38">
        <w:t xml:space="preserve"> or with different number </w:t>
      </w:r>
      <m:oMath>
        <m:sSubSup>
          <m:sSubSupPr>
            <m:ctrlPr>
              <w:rPr>
                <w:rFonts w:ascii="Cambria Math" w:eastAsiaTheme="minorHAnsi" w:hAnsi="Cambria Math"/>
                <w:i/>
                <w:iCs/>
                <w:sz w:val="22"/>
                <w:szCs w:val="22"/>
              </w:rPr>
            </m:ctrlPr>
          </m:sSubSupPr>
          <m:e>
            <m:r>
              <w:rPr>
                <w:rFonts w:ascii="Cambria Math" w:hAnsi="Cambria Math"/>
              </w:rPr>
              <m:t>N</m:t>
            </m:r>
          </m:e>
          <m:sub>
            <m:r>
              <m:rPr>
                <m:sty m:val="p"/>
              </m:rPr>
              <w:rPr>
                <w:rFonts w:ascii="Cambria Math" w:hAnsi="Cambria Math"/>
              </w:rPr>
              <m:t>RB-set,UL</m:t>
            </m:r>
          </m:sub>
          <m:sup>
            <m:r>
              <m:rPr>
                <m:sty m:val="p"/>
              </m:rPr>
              <w:rPr>
                <w:rFonts w:ascii="Cambria Math" w:hAnsi="Cambria Math"/>
              </w:rPr>
              <m:t>BWP</m:t>
            </m:r>
          </m:sup>
        </m:sSubSup>
      </m:oMath>
      <w:r w:rsidRPr="00370E38">
        <w:t xml:space="preserve"> of RB sets</w:t>
      </w:r>
      <w:r w:rsidR="00A13F6A">
        <w:t xml:space="preserve"> for a serving cell</w:t>
      </w:r>
      <w:r w:rsidRPr="00370E38">
        <w:t>, than a current active UL BWP</w:t>
      </w:r>
      <w:r w:rsidR="00E0020B">
        <w:t xml:space="preserve"> for the serving cell</w:t>
      </w:r>
      <w:r w:rsidRPr="00370E38">
        <w:t xml:space="preserve">, the UE determines an uplink frequency domain resource allocation Type 2 </w:t>
      </w:r>
      <w:r w:rsidR="00A13F6A">
        <w:t>for the serving cell</w:t>
      </w:r>
      <w:r w:rsidR="00A13F6A" w:rsidRPr="00370E38">
        <w:t xml:space="preserve"> </w:t>
      </w:r>
      <w:r w:rsidRPr="00370E38">
        <w:t xml:space="preserve">based on </w:t>
      </w:r>
      <m:oMath>
        <m:r>
          <w:rPr>
            <w:rFonts w:ascii="Cambria Math" w:hAnsi="Cambria Math"/>
          </w:rPr>
          <m:t>X'</m:t>
        </m:r>
      </m:oMath>
      <w:r w:rsidRPr="00370E38">
        <w:t xml:space="preserve"> bits and </w:t>
      </w:r>
      <m:oMath>
        <m:r>
          <w:rPr>
            <w:rFonts w:ascii="Cambria Math" w:hAnsi="Cambria Math"/>
          </w:rPr>
          <m:t>Y'</m:t>
        </m:r>
      </m:oMath>
      <w:r w:rsidRPr="00370E38">
        <w:t xml:space="preserve"> bits that are generated by independently truncating or padding the </w:t>
      </w:r>
      <m:oMath>
        <m:r>
          <w:rPr>
            <w:rFonts w:ascii="Cambria Math" w:hAnsi="Cambria Math"/>
          </w:rPr>
          <m:t>X</m:t>
        </m:r>
      </m:oMath>
      <w:r w:rsidRPr="00370E38">
        <w:t xml:space="preserve"> MSBs and the </w:t>
      </w:r>
      <m:oMath>
        <m:r>
          <w:rPr>
            <w:rFonts w:ascii="Cambria Math" w:hAnsi="Cambria Math"/>
          </w:rPr>
          <m:t>Y</m:t>
        </m:r>
      </m:oMath>
      <w:r w:rsidRPr="00370E38">
        <w:t xml:space="preserve"> LSBs [6, TS 38.214] of the frequency domain resource assignment field of DCI format 0_1, </w:t>
      </w:r>
      <w:r w:rsidR="00E0020B">
        <w:t xml:space="preserve">or the block </w:t>
      </w:r>
      <w:r w:rsidR="00E0020B" w:rsidRPr="00370E38">
        <w:t xml:space="preserve">of the frequency domain resource assignment field </w:t>
      </w:r>
      <w:r w:rsidR="00E0020B">
        <w:t>in</w:t>
      </w:r>
      <w:r w:rsidR="00E0020B" w:rsidRPr="00370E38">
        <w:t xml:space="preserve"> DCI format 0_</w:t>
      </w:r>
      <w:r w:rsidR="00E0020B">
        <w:t>3</w:t>
      </w:r>
      <w:r w:rsidR="00E0020B" w:rsidRPr="00C71C0B">
        <w:t xml:space="preserve"> </w:t>
      </w:r>
      <w:r w:rsidR="00E0020B">
        <w:t xml:space="preserve">corresponding to the serving cell, </w:t>
      </w:r>
      <w:r w:rsidRPr="00370E38">
        <w:t>where truncation starts from the MSBs of the X bits or the Y bits, zero-padding prepends zeros to the X bits or the Y bits, and</w:t>
      </w:r>
    </w:p>
    <w:p w14:paraId="50A8F534" w14:textId="3D3DBA7B" w:rsidR="00AF2DCE" w:rsidRPr="00370E38" w:rsidRDefault="00AF2DCE" w:rsidP="00DA4DCE">
      <w:pPr>
        <w:pStyle w:val="B1"/>
        <w:rPr>
          <w:lang w:val="en-GB"/>
        </w:rPr>
      </w:pPr>
      <w:r w:rsidRPr="00370E38">
        <w:lastRenderedPageBreak/>
        <w:t>-</w:t>
      </w:r>
      <w:r w:rsidRPr="00370E38">
        <w:tab/>
        <w:t xml:space="preserve">if the indicated active UL BWP </w:t>
      </w:r>
      <w:r w:rsidR="00E0020B">
        <w:t>for the serving cell</w:t>
      </w:r>
      <w:r w:rsidR="00E0020B" w:rsidRPr="00370E38">
        <w:t xml:space="preserve"> </w:t>
      </w:r>
      <w:r w:rsidRPr="00370E38">
        <w:t>has SCS configuration</w:t>
      </w:r>
      <w:r w:rsidRPr="00370E38">
        <w:rPr>
          <w:lang w:val="en-GB"/>
        </w:rPr>
        <w:t xml:space="preserve"> </w:t>
      </w:r>
      <m:oMath>
        <m:r>
          <w:rPr>
            <w:rFonts w:ascii="Cambria Math" w:eastAsiaTheme="minorHAnsi" w:hAnsi="Cambria Math"/>
            <w:sz w:val="22"/>
            <w:szCs w:val="22"/>
          </w:rPr>
          <m:t>μ=1</m:t>
        </m:r>
      </m:oMath>
      <w:r w:rsidRPr="00370E38">
        <w:rPr>
          <w:lang w:val="en-GB"/>
        </w:rPr>
        <w:t xml:space="preserve"> and the current active </w:t>
      </w:r>
      <w:r w:rsidRPr="00370E38">
        <w:t xml:space="preserve">BWP </w:t>
      </w:r>
      <w:r w:rsidR="00E0020B">
        <w:t>for the serving cell</w:t>
      </w:r>
      <w:r w:rsidR="00E0020B" w:rsidRPr="00370E38">
        <w:t xml:space="preserve"> </w:t>
      </w:r>
      <w:r w:rsidRPr="00370E38">
        <w:t>has SCS configuration</w:t>
      </w:r>
      <w:r w:rsidRPr="00370E38">
        <w:rPr>
          <w:lang w:val="en-GB"/>
        </w:rPr>
        <w:t xml:space="preserve"> </w:t>
      </w:r>
      <m:oMath>
        <m:r>
          <w:rPr>
            <w:rFonts w:ascii="Cambria Math" w:eastAsiaTheme="minorHAnsi" w:hAnsi="Cambria Math"/>
            <w:sz w:val="22"/>
            <w:szCs w:val="22"/>
          </w:rPr>
          <m:t>μ=0</m:t>
        </m:r>
      </m:oMath>
      <w:r w:rsidRPr="00370E38">
        <w:rPr>
          <w:iCs/>
          <w:sz w:val="22"/>
          <w:szCs w:val="22"/>
          <w:lang w:val="en-US"/>
        </w:rPr>
        <w:t xml:space="preserve">, </w:t>
      </w:r>
      <w:r w:rsidRPr="00370E38">
        <w:t xml:space="preserve">the </w:t>
      </w:r>
      <m:oMath>
        <m:r>
          <w:rPr>
            <w:rFonts w:ascii="Cambria Math" w:hAnsi="Cambria Math"/>
          </w:rPr>
          <m:t>X</m:t>
        </m:r>
      </m:oMath>
      <w:r w:rsidRPr="00370E38">
        <w:t xml:space="preserve"> MSBs</w:t>
      </w:r>
      <w:r w:rsidRPr="00370E38">
        <w:rPr>
          <w:lang w:val="en-GB"/>
        </w:rPr>
        <w:t xml:space="preserve"> </w:t>
      </w:r>
      <w:r w:rsidRPr="00370E38">
        <w:t xml:space="preserve">are </w:t>
      </w:r>
      <w:r w:rsidRPr="00370E38">
        <w:rPr>
          <w:lang w:val="en-GB"/>
        </w:rPr>
        <w:t xml:space="preserve">truncated to </w:t>
      </w:r>
      <m:oMath>
        <m:sSup>
          <m:sSupPr>
            <m:ctrlPr>
              <w:rPr>
                <w:rFonts w:ascii="Cambria Math" w:eastAsiaTheme="minorHAnsi" w:hAnsi="Cambria Math"/>
                <w:i/>
                <w:iCs/>
                <w:sz w:val="22"/>
                <w:szCs w:val="22"/>
                <w:lang w:val="en-GB" w:eastAsia="zh-CN"/>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=X-1</m:t>
        </m:r>
      </m:oMath>
      <w:r w:rsidRPr="00370E38">
        <w:rPr>
          <w:lang w:val="en-GB"/>
        </w:rPr>
        <w:t xml:space="preserve"> bits, or</w:t>
      </w:r>
    </w:p>
    <w:p w14:paraId="7CD39DEF" w14:textId="010DBF86" w:rsidR="00AF2DCE" w:rsidRPr="00370E38" w:rsidRDefault="00AF2DCE" w:rsidP="00DA4DCE">
      <w:pPr>
        <w:pStyle w:val="B1"/>
        <w:rPr>
          <w:lang w:val="en-GB"/>
        </w:rPr>
      </w:pPr>
      <w:r w:rsidRPr="00370E38">
        <w:t>-</w:t>
      </w:r>
      <w:r w:rsidRPr="00370E38">
        <w:tab/>
        <w:t xml:space="preserve">if the indicated active UL BWP </w:t>
      </w:r>
      <w:r w:rsidR="00E0020B">
        <w:t>for the serving cell</w:t>
      </w:r>
      <w:r w:rsidR="00E0020B" w:rsidRPr="00370E38">
        <w:t xml:space="preserve"> </w:t>
      </w:r>
      <w:r w:rsidRPr="00370E38">
        <w:t>has SCS configuration</w:t>
      </w:r>
      <w:r w:rsidRPr="00370E38">
        <w:rPr>
          <w:lang w:val="en-GB"/>
        </w:rPr>
        <w:t xml:space="preserve"> </w:t>
      </w:r>
      <m:oMath>
        <m:r>
          <w:rPr>
            <w:rFonts w:ascii="Cambria Math" w:eastAsiaTheme="minorHAnsi" w:hAnsi="Cambria Math"/>
            <w:sz w:val="22"/>
            <w:szCs w:val="22"/>
          </w:rPr>
          <m:t>μ=0</m:t>
        </m:r>
      </m:oMath>
      <w:r w:rsidRPr="00370E38">
        <w:rPr>
          <w:lang w:val="en-GB"/>
        </w:rPr>
        <w:t xml:space="preserve"> and the current active BWP </w:t>
      </w:r>
      <w:r w:rsidR="00E0020B">
        <w:t>for the serving cell</w:t>
      </w:r>
      <w:r w:rsidR="00E0020B" w:rsidRPr="00370E38">
        <w:t xml:space="preserve"> </w:t>
      </w:r>
      <w:r w:rsidRPr="00370E38">
        <w:t>has SCS configuration</w:t>
      </w:r>
      <w:r w:rsidRPr="00370E38">
        <w:rPr>
          <w:lang w:val="en-GB"/>
        </w:rPr>
        <w:t xml:space="preserve"> </w:t>
      </w:r>
      <m:oMath>
        <m:r>
          <w:rPr>
            <w:rFonts w:ascii="Cambria Math" w:eastAsiaTheme="minorHAnsi" w:hAnsi="Cambria Math"/>
            <w:sz w:val="22"/>
            <w:szCs w:val="22"/>
          </w:rPr>
          <m:t>μ=1</m:t>
        </m:r>
      </m:oMath>
      <w:r w:rsidRPr="00370E38">
        <w:rPr>
          <w:lang w:val="en-GB"/>
        </w:rPr>
        <w:t xml:space="preserve">, the </w:t>
      </w:r>
      <m:oMath>
        <m:r>
          <w:rPr>
            <w:rFonts w:ascii="Cambria Math" w:hAnsi="Cambria Math"/>
          </w:rPr>
          <m:t>X</m:t>
        </m:r>
      </m:oMath>
      <w:r w:rsidRPr="00370E38">
        <w:t xml:space="preserve"> MSBs</w:t>
      </w:r>
      <w:r w:rsidRPr="00370E38">
        <w:rPr>
          <w:lang w:val="en-GB"/>
        </w:rPr>
        <w:t xml:space="preserve"> are zero-padded to </w:t>
      </w:r>
      <m:oMath>
        <m:sSup>
          <m:sSupPr>
            <m:ctrlPr>
              <w:rPr>
                <w:rFonts w:ascii="Cambria Math" w:eastAsiaTheme="minorHAnsi" w:hAnsi="Cambria Math"/>
                <w:i/>
                <w:iCs/>
                <w:sz w:val="22"/>
                <w:szCs w:val="22"/>
                <w:lang w:val="en-GB" w:eastAsia="zh-CN"/>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=X+1</m:t>
        </m:r>
      </m:oMath>
      <w:r w:rsidRPr="00370E38">
        <w:rPr>
          <w:lang w:val="en-GB"/>
        </w:rPr>
        <w:t xml:space="preserve"> bits </w:t>
      </w:r>
    </w:p>
    <w:p w14:paraId="5D5ED60E" w14:textId="47D28D71" w:rsidR="00AF2DCE" w:rsidRPr="00370E38" w:rsidRDefault="00AF2DCE" w:rsidP="00DA4DCE">
      <w:pPr>
        <w:pStyle w:val="B1"/>
        <w:rPr>
          <w:lang w:val="en-GB"/>
        </w:rPr>
      </w:pPr>
      <w:r w:rsidRPr="00370E38">
        <w:t>-</w:t>
      </w:r>
      <w:r w:rsidRPr="00370E38">
        <w:tab/>
      </w:r>
      <w:r w:rsidRPr="00370E38">
        <w:rPr>
          <w:lang w:val="en-GB"/>
        </w:rPr>
        <w:t>otherwise, the</w:t>
      </w:r>
      <w:r w:rsidR="004C3224">
        <w:rPr>
          <w:lang w:val="en-GB"/>
        </w:rPr>
        <w:t xml:space="preserve"> </w:t>
      </w:r>
      <m:oMath>
        <m:r>
          <w:rPr>
            <w:rFonts w:ascii="Cambria Math" w:hAnsi="Cambria Math"/>
          </w:rPr>
          <m:t>X</m:t>
        </m:r>
      </m:oMath>
      <w:r w:rsidRPr="00370E38">
        <w:t xml:space="preserve"> MSBs</w:t>
      </w:r>
      <w:r w:rsidRPr="00370E38">
        <w:rPr>
          <w:lang w:val="en-GB"/>
        </w:rPr>
        <w:t xml:space="preserve"> are unchanged</w:t>
      </w:r>
    </w:p>
    <w:p w14:paraId="1A46B739" w14:textId="77777777" w:rsidR="00AF2DCE" w:rsidRPr="00370E38" w:rsidRDefault="00AF2DCE" w:rsidP="00DA4DCE">
      <w:r w:rsidRPr="00370E38">
        <w:t>and</w:t>
      </w:r>
    </w:p>
    <w:p w14:paraId="25EFBAE8" w14:textId="43939784" w:rsidR="00AF2DCE" w:rsidRPr="00E0020B" w:rsidRDefault="00AF2DCE" w:rsidP="00DA4DCE">
      <w:pPr>
        <w:pStyle w:val="B1"/>
        <w:rPr>
          <w:lang w:val="en-GB"/>
        </w:rPr>
      </w:pPr>
      <w:r w:rsidRPr="00370E38">
        <w:t>-</w:t>
      </w:r>
      <w:r w:rsidRPr="00370E38">
        <w:tab/>
        <w:t xml:space="preserve">the </w:t>
      </w:r>
      <m:oMath>
        <m:r>
          <w:rPr>
            <w:rFonts w:ascii="Cambria Math" w:hAnsi="Cambria Math"/>
          </w:rPr>
          <m:t>Y</m:t>
        </m:r>
      </m:oMath>
      <w:r w:rsidRPr="00370E38">
        <w:t xml:space="preserve"> LSBs </w:t>
      </w:r>
      <w:r w:rsidRPr="00370E38">
        <w:rPr>
          <w:lang w:val="en-US"/>
        </w:rPr>
        <w:t xml:space="preserve">are </w:t>
      </w:r>
      <w:r w:rsidRPr="00370E38">
        <w:t xml:space="preserve">truncated or zero-padded to </w:t>
      </w:r>
      <m:oMath>
        <m:r>
          <w:rPr>
            <w:rFonts w:ascii="Cambria Math" w:eastAsia="Malgun Gothic" w:hAnsi="Cambria Math"/>
            <w:lang w:val="zh-CN"/>
          </w:rPr>
          <m:t>Y</m:t>
        </m:r>
        <m:r>
          <m:rPr>
            <m:sty m:val="p"/>
          </m:rPr>
          <w:rPr>
            <w:rFonts w:ascii="Cambria Math" w:eastAsia="Malgun Gothic" w:hAnsi="Cambria Math"/>
            <w:lang w:val="en-US"/>
          </w:rPr>
          <m:t>'=</m:t>
        </m:r>
        <m:d>
          <m:dPr>
            <m:begChr m:val="⌈"/>
            <m:endChr m:val="⌉"/>
            <m:ctrlPr>
              <w:rPr>
                <w:rFonts w:ascii="Cambria Math" w:eastAsia="Calibri" w:hAnsi="Cambria Math"/>
                <w:sz w:val="22"/>
                <w:szCs w:val="22"/>
                <w:lang w:val="zh-CN"/>
              </w:rPr>
            </m:ctrlPr>
          </m:dPr>
          <m:e>
            <m:sSub>
              <m:sSubPr>
                <m:ctrlPr>
                  <w:rPr>
                    <w:rFonts w:ascii="Cambria Math" w:eastAsia="Calibri" w:hAnsi="Cambria Math"/>
                    <w:sz w:val="22"/>
                    <w:szCs w:val="22"/>
                    <w:lang w:val="zh-CN"/>
                  </w:rPr>
                </m:ctrlPr>
              </m:sSubPr>
              <m:e>
                <m:r>
                  <m:rPr>
                    <m:nor/>
                  </m:rPr>
                  <w:rPr>
                    <w:rFonts w:eastAsia="Malgun Gothic"/>
                    <w:lang w:val="en-US"/>
                  </w:rPr>
                  <m:t>log</m:t>
                </m:r>
              </m:e>
              <m:sub>
                <m:r>
                  <m:rPr>
                    <m:sty m:val="p"/>
                  </m:rPr>
                  <w:rPr>
                    <w:rFonts w:ascii="Cambria Math" w:eastAsia="Malgun Gothic" w:hAnsi="Cambria Math"/>
                    <w:lang w:val="en-US"/>
                  </w:rPr>
                  <m:t>2</m:t>
                </m:r>
              </m:sub>
            </m:sSub>
            <m:d>
              <m:dPr>
                <m:ctrlPr>
                  <w:rPr>
                    <w:rFonts w:ascii="Cambria Math" w:eastAsia="Calibri" w:hAnsi="Cambria Math"/>
                    <w:sz w:val="22"/>
                    <w:szCs w:val="22"/>
                    <w:lang w:val="zh-CN"/>
                  </w:rPr>
                </m:ctrlPr>
              </m:dPr>
              <m:e>
                <m:f>
                  <m:fPr>
                    <m:ctrlPr>
                      <w:rPr>
                        <w:rFonts w:ascii="Cambria Math" w:eastAsia="Calibri" w:hAnsi="Cambria Math"/>
                        <w:sz w:val="22"/>
                        <w:szCs w:val="22"/>
                        <w:lang w:val="zh-CN"/>
                      </w:rPr>
                    </m:ctrlPr>
                  </m:fPr>
                  <m:num>
                    <m:sSubSup>
                      <m:sSubSupPr>
                        <m:ctrlPr>
                          <w:rPr>
                            <w:rFonts w:ascii="Cambria Math" w:eastAsia="Calibri" w:hAnsi="Cambria Math"/>
                            <w:i/>
                            <w:iCs/>
                            <w:sz w:val="22"/>
                            <w:szCs w:val="22"/>
                          </w:rPr>
                        </m:ctrlPr>
                      </m:sSubSupPr>
                      <m:e>
                        <m:r>
                          <w:rPr>
                            <w:rFonts w:ascii="Cambria Math" w:eastAsia="Malgun Gothic" w:hAnsi="Cambria Math"/>
                          </w:rPr>
                          <m:t>N</m:t>
                        </m:r>
                      </m:e>
                      <m:sub>
                        <m:r>
                          <m:rPr>
                            <m:sty m:val="p"/>
                          </m:rPr>
                          <w:rPr>
                            <w:rFonts w:ascii="Cambria Math" w:eastAsia="Malgun Gothic" w:hAnsi="Cambria Math"/>
                          </w:rPr>
                          <m:t>RB-set,UL</m:t>
                        </m:r>
                      </m:sub>
                      <m:sup>
                        <m:r>
                          <m:rPr>
                            <m:sty m:val="p"/>
                          </m:rPr>
                          <w:rPr>
                            <w:rFonts w:ascii="Cambria Math" w:eastAsia="Malgun Gothic" w:hAnsi="Cambria Math"/>
                          </w:rPr>
                          <m:t>BWP</m:t>
                        </m:r>
                      </m:sup>
                    </m:sSubSup>
                    <m:d>
                      <m:dPr>
                        <m:ctrlPr>
                          <w:rPr>
                            <w:rFonts w:ascii="Cambria Math" w:eastAsia="Calibri" w:hAnsi="Cambria Math"/>
                            <w:sz w:val="22"/>
                            <w:szCs w:val="22"/>
                            <w:lang w:val="zh-CN"/>
                          </w:rPr>
                        </m:ctrlPr>
                      </m:dPr>
                      <m:e>
                        <m:sSubSup>
                          <m:sSubSupPr>
                            <m:ctrlPr>
                              <w:rPr>
                                <w:rFonts w:ascii="Cambria Math" w:eastAsia="Calibri" w:hAnsi="Cambria Math"/>
                                <w:i/>
                                <w:iCs/>
                                <w:sz w:val="22"/>
                                <w:szCs w:val="22"/>
                              </w:rPr>
                            </m:ctrlPr>
                          </m:sSubSupPr>
                          <m:e>
                            <m:r>
                              <w:rPr>
                                <w:rFonts w:ascii="Cambria Math" w:eastAsia="Malgun Gothic" w:hAnsi="Cambria Math"/>
                              </w:rPr>
                              <m:t>N</m:t>
                            </m:r>
                          </m:e>
                          <m:sub>
                            <m:r>
                              <m:rPr>
                                <m:sty m:val="p"/>
                              </m:rPr>
                              <w:rPr>
                                <w:rFonts w:ascii="Cambria Math" w:eastAsia="Malgun Gothic" w:hAnsi="Cambria Math"/>
                              </w:rPr>
                              <m:t>RB-set,UL</m:t>
                            </m:r>
                          </m:sub>
                          <m:sup>
                            <m:r>
                              <m:rPr>
                                <m:sty m:val="p"/>
                              </m:rPr>
                              <w:rPr>
                                <w:rFonts w:ascii="Cambria Math" w:eastAsia="Malgun Gothic" w:hAnsi="Cambria Math"/>
                              </w:rPr>
                              <m:t>BWP</m:t>
                            </m:r>
                          </m:sup>
                        </m:sSubSup>
                        <m:r>
                          <m:rPr>
                            <m:sty m:val="p"/>
                          </m:rPr>
                          <w:rPr>
                            <w:rFonts w:ascii="Cambria Math" w:eastAsia="Malgun Gothic" w:hAnsi="Cambria Math"/>
                            <w:lang w:val="en-US"/>
                          </w:rPr>
                          <m:t>+1</m:t>
                        </m:r>
                      </m:e>
                    </m:d>
                  </m:num>
                  <m:den>
                    <m:r>
                      <m:rPr>
                        <m:sty m:val="p"/>
                      </m:rPr>
                      <w:rPr>
                        <w:rFonts w:ascii="Cambria Math" w:eastAsia="Malgun Gothic" w:hAnsi="Cambria Math"/>
                        <w:lang w:val="en-US"/>
                      </w:rPr>
                      <m:t>2</m:t>
                    </m:r>
                  </m:den>
                </m:f>
              </m:e>
            </m:d>
          </m:e>
        </m:d>
      </m:oMath>
      <w:r w:rsidRPr="00370E38">
        <w:t xml:space="preserve"> bits where </w:t>
      </w:r>
      <m:oMath>
        <m:sSubSup>
          <m:sSubSupPr>
            <m:ctrlPr>
              <w:rPr>
                <w:rFonts w:ascii="Cambria Math" w:eastAsiaTheme="minorHAnsi" w:hAnsi="Cambria Math"/>
                <w:i/>
                <w:iCs/>
                <w:sz w:val="22"/>
                <w:szCs w:val="22"/>
              </w:rPr>
            </m:ctrlPr>
          </m:sSubSupPr>
          <m:e>
            <m:r>
              <w:rPr>
                <w:rFonts w:ascii="Cambria Math" w:hAnsi="Cambria Math"/>
              </w:rPr>
              <m:t>N</m:t>
            </m:r>
          </m:e>
          <m:sub>
            <m:r>
              <m:rPr>
                <m:sty m:val="p"/>
              </m:rPr>
              <w:rPr>
                <w:rFonts w:ascii="Cambria Math" w:hAnsi="Cambria Math"/>
              </w:rPr>
              <m:t>RB-set,UL</m:t>
            </m:r>
          </m:sub>
          <m:sup>
            <m:r>
              <m:rPr>
                <m:sty m:val="p"/>
              </m:rPr>
              <w:rPr>
                <w:rFonts w:ascii="Cambria Math" w:hAnsi="Cambria Math"/>
              </w:rPr>
              <m:t>BWP</m:t>
            </m:r>
          </m:sup>
        </m:sSubSup>
      </m:oMath>
      <w:r w:rsidRPr="00370E38">
        <w:t xml:space="preserve"> is a number of RB sets configured for the indicated active UL BWP</w:t>
      </w:r>
      <w:r w:rsidR="00E0020B">
        <w:rPr>
          <w:lang w:val="en-GB"/>
        </w:rPr>
        <w:t xml:space="preserve"> </w:t>
      </w:r>
      <w:r w:rsidR="00E0020B">
        <w:t>for the serving cell</w:t>
      </w:r>
      <w:r w:rsidR="00E0020B">
        <w:rPr>
          <w:lang w:val="en-GB"/>
        </w:rPr>
        <w:t>.</w:t>
      </w:r>
    </w:p>
    <w:p w14:paraId="05B9DE3B" w14:textId="3F5BC0DE" w:rsidR="005A182A" w:rsidRPr="00A24F88" w:rsidRDefault="005A182A" w:rsidP="00DA4DCE">
      <w:r w:rsidRPr="00A24F88">
        <w:t xml:space="preserve">A UE does not expect to detect a DCI format </w:t>
      </w:r>
      <w:r w:rsidR="0057224D">
        <w:rPr>
          <w:lang w:eastAsia="zh-TW"/>
        </w:rPr>
        <w:t xml:space="preserve">with a BWP indicator field that </w:t>
      </w:r>
      <w:r w:rsidR="0057224D" w:rsidRPr="00BC3FF1">
        <w:t>indicat</w:t>
      </w:r>
      <w:r w:rsidR="0057224D">
        <w:t>es</w:t>
      </w:r>
      <w:r w:rsidR="0057224D" w:rsidRPr="00BC3FF1">
        <w:t xml:space="preserve"> </w:t>
      </w:r>
      <w:r w:rsidRPr="00BC3FF1">
        <w:rPr>
          <w:lang w:val="en-US"/>
        </w:rPr>
        <w:t xml:space="preserve">an </w:t>
      </w:r>
      <w:r w:rsidRPr="00BC3FF1">
        <w:t xml:space="preserve">active DL </w:t>
      </w:r>
      <w:r w:rsidRPr="00BC3FF1">
        <w:rPr>
          <w:lang w:val="en-US"/>
        </w:rPr>
        <w:t xml:space="preserve">BWP </w:t>
      </w:r>
      <w:r w:rsidRPr="00BC3FF1">
        <w:t xml:space="preserve">or </w:t>
      </w:r>
      <w:r w:rsidRPr="00BC3FF1">
        <w:rPr>
          <w:lang w:val="en-US"/>
        </w:rPr>
        <w:t xml:space="preserve">an active </w:t>
      </w:r>
      <w:r w:rsidRPr="00E93E80">
        <w:t xml:space="preserve">UL BWP change with the </w:t>
      </w:r>
      <w:r w:rsidRPr="00442F95">
        <w:rPr>
          <w:lang w:val="en-US"/>
        </w:rPr>
        <w:t>c</w:t>
      </w:r>
      <w:r w:rsidRPr="008F3705">
        <w:rPr>
          <w:lang w:val="en-US"/>
        </w:rPr>
        <w:t xml:space="preserve">orresponding </w:t>
      </w:r>
      <w:r w:rsidRPr="001C7A8F">
        <w:t xml:space="preserve">time domain resource assignment field providing a slot offset </w:t>
      </w:r>
      <w:r w:rsidRPr="00547812">
        <w:rPr>
          <w:lang w:val="en-US"/>
        </w:rPr>
        <w:t>va</w:t>
      </w:r>
      <w:r w:rsidRPr="000906B0">
        <w:rPr>
          <w:lang w:val="en-US"/>
        </w:rPr>
        <w:t xml:space="preserve">lue </w:t>
      </w:r>
      <w:r w:rsidRPr="000906B0">
        <w:t xml:space="preserve">for </w:t>
      </w:r>
      <w:r w:rsidRPr="00457748">
        <w:rPr>
          <w:lang w:val="en-US"/>
        </w:rPr>
        <w:t>a</w:t>
      </w:r>
      <w:r w:rsidRPr="00E21B41">
        <w:t xml:space="preserve"> PDSCH reception or PUSCH transmission that is smaller than a </w:t>
      </w:r>
      <w:r w:rsidR="00142AB7" w:rsidRPr="00E21B41">
        <w:t>d</w:t>
      </w:r>
      <w:r w:rsidR="00142AB7">
        <w:rPr>
          <w:lang w:val="en-US"/>
        </w:rPr>
        <w:t>elay</w:t>
      </w:r>
      <w:r w:rsidR="00142AB7" w:rsidRPr="00E21B41">
        <w:t xml:space="preserve"> </w:t>
      </w:r>
      <w:r w:rsidRPr="00E21B41">
        <w:rPr>
          <w:lang w:val="en-US"/>
        </w:rPr>
        <w:t xml:space="preserve">required by the UE for an </w:t>
      </w:r>
      <w:r w:rsidRPr="00E21B41">
        <w:t xml:space="preserve">active DL </w:t>
      </w:r>
      <w:r w:rsidRPr="00E21B41">
        <w:rPr>
          <w:lang w:val="en-US"/>
        </w:rPr>
        <w:t xml:space="preserve">BWP </w:t>
      </w:r>
      <w:r w:rsidRPr="00444F8F">
        <w:rPr>
          <w:lang w:val="en-US"/>
        </w:rPr>
        <w:t xml:space="preserve">change </w:t>
      </w:r>
      <w:r w:rsidRPr="00A24F88">
        <w:t>or UL BWP change</w:t>
      </w:r>
      <w:r w:rsidR="002F39E4">
        <w:t>, respectively</w:t>
      </w:r>
      <w:r w:rsidRPr="00A24F88">
        <w:t xml:space="preserve"> [</w:t>
      </w:r>
      <w:r w:rsidR="00142AB7">
        <w:rPr>
          <w:lang w:val="en-US"/>
        </w:rPr>
        <w:t xml:space="preserve">10, </w:t>
      </w:r>
      <w:r w:rsidRPr="00A24F88">
        <w:t xml:space="preserve">TS 38.133]. </w:t>
      </w:r>
    </w:p>
    <w:p w14:paraId="468F2AC4" w14:textId="24F3CD53" w:rsidR="005A182A" w:rsidRPr="00A24F88" w:rsidRDefault="005A182A" w:rsidP="00DA4DCE">
      <w:r w:rsidRPr="00A24F88">
        <w:t xml:space="preserve">If a UE detects </w:t>
      </w:r>
      <w:r w:rsidRPr="00A24F88">
        <w:rPr>
          <w:lang w:val="en-US"/>
        </w:rPr>
        <w:t xml:space="preserve">a </w:t>
      </w:r>
      <w:r w:rsidRPr="00A24F88">
        <w:t xml:space="preserve">DCI format </w:t>
      </w:r>
      <w:r w:rsidR="0057224D">
        <w:rPr>
          <w:lang w:eastAsia="zh-TW"/>
        </w:rPr>
        <w:t xml:space="preserve">with a BWP indicator field that </w:t>
      </w:r>
      <w:r w:rsidR="0057224D" w:rsidRPr="00A24F88">
        <w:t>indicat</w:t>
      </w:r>
      <w:r w:rsidR="0057224D">
        <w:t>es</w:t>
      </w:r>
      <w:r w:rsidR="0057224D" w:rsidRPr="00A24F88">
        <w:t xml:space="preserve"> </w:t>
      </w:r>
      <w:r w:rsidRPr="00A24F88">
        <w:rPr>
          <w:lang w:val="en-US"/>
        </w:rPr>
        <w:t xml:space="preserve">an </w:t>
      </w:r>
      <w:r w:rsidRPr="00A24F88">
        <w:t xml:space="preserve">active DL BWP change for a cell, the UE is not required to receive or transmit in the cell during a time duration from the end of the third symbol of a slot where the UE receives the PDCCH that includes the DCI format in a scheduling cell </w:t>
      </w:r>
      <w:r w:rsidR="005E5A27">
        <w:rPr>
          <w:lang w:val="en-US"/>
        </w:rPr>
        <w:t>until</w:t>
      </w:r>
      <w:r w:rsidRPr="00A24F88">
        <w:t xml:space="preserve"> the beginning of a slot indicated by the slot offset </w:t>
      </w:r>
      <w:r w:rsidRPr="00A24F88">
        <w:rPr>
          <w:lang w:val="en-US"/>
        </w:rPr>
        <w:t xml:space="preserve">value </w:t>
      </w:r>
      <w:r w:rsidRPr="00A24F88">
        <w:t>of the time domain resource assignment field in the DCI format.</w:t>
      </w:r>
    </w:p>
    <w:p w14:paraId="158ECC12" w14:textId="77777777" w:rsidR="0057224D" w:rsidRPr="00D40E2A" w:rsidRDefault="0057224D" w:rsidP="0057224D">
      <w:pPr>
        <w:rPr>
          <w:lang w:val="en-US"/>
        </w:rPr>
      </w:pPr>
      <w:r w:rsidRPr="00D40E2A">
        <w:t xml:space="preserve">If a UE detects a DCI format with SCell dormancy indication that indicates an active DL BWP change for an Scell in slot </w:t>
      </w:r>
      <w:r w:rsidRPr="00D40E2A">
        <w:rPr>
          <w:i/>
          <w:iCs/>
        </w:rPr>
        <w:t>n</w:t>
      </w:r>
      <w:r w:rsidRPr="00D40E2A">
        <w:t xml:space="preserve"> of primary cell, the UE is not required to receive or transmit in the SCell during a time duration specified in [10, TS 38.133].</w:t>
      </w:r>
    </w:p>
    <w:p w14:paraId="7D6876EB" w14:textId="33A54427" w:rsidR="005A182A" w:rsidRPr="00A24F88" w:rsidRDefault="005A182A" w:rsidP="005A182A">
      <w:r w:rsidRPr="00A24F88">
        <w:t xml:space="preserve">If a UE detects a DCI format indicating an active UL BWP change for a cell, the UE is not required to receive or transmit in the cell during a time duration from the end of the third symbol of a slot where the UE receives the PDCCH that includes the DCI format in the scheduling cell until the beginning of a slot indicated by the slot offset </w:t>
      </w:r>
      <w:r w:rsidRPr="00A24F88">
        <w:rPr>
          <w:lang w:val="en-US"/>
        </w:rPr>
        <w:t xml:space="preserve">value </w:t>
      </w:r>
      <w:r w:rsidRPr="00A24F88">
        <w:t>of the time domain resource assignment field in the DCI format.</w:t>
      </w:r>
    </w:p>
    <w:p w14:paraId="2BA70DC8" w14:textId="008E0B2F" w:rsidR="00142AB7" w:rsidRPr="00A24F88" w:rsidRDefault="00142AB7" w:rsidP="00142AB7">
      <w:r>
        <w:rPr>
          <w:lang w:eastAsia="zh-TW"/>
        </w:rPr>
        <w:t>A</w:t>
      </w:r>
      <w:r w:rsidRPr="00E26EF9">
        <w:rPr>
          <w:lang w:eastAsia="zh-TW"/>
        </w:rPr>
        <w:t xml:space="preserve"> UE</w:t>
      </w:r>
      <w:r>
        <w:rPr>
          <w:lang w:eastAsia="zh-TW"/>
        </w:rPr>
        <w:t xml:space="preserve"> does not expect to detect</w:t>
      </w:r>
      <w:r w:rsidRPr="00E26EF9">
        <w:rPr>
          <w:lang w:eastAsia="zh-TW"/>
        </w:rPr>
        <w:t xml:space="preserve"> a DCI format indicating an active DL BWP change or an active UL BWP change for a </w:t>
      </w:r>
      <w:r w:rsidR="00E40274">
        <w:rPr>
          <w:lang w:eastAsia="zh-TW"/>
        </w:rPr>
        <w:t xml:space="preserve">scheduled </w:t>
      </w:r>
      <w:r w:rsidRPr="00E26EF9">
        <w:rPr>
          <w:lang w:eastAsia="zh-TW"/>
        </w:rPr>
        <w:t xml:space="preserve">cell </w:t>
      </w:r>
      <w:r w:rsidR="00E40274">
        <w:rPr>
          <w:lang w:eastAsia="zh-TW"/>
        </w:rPr>
        <w:t xml:space="preserve">within FR1 (or FR2) </w:t>
      </w:r>
      <w:r w:rsidRPr="00E26EF9">
        <w:rPr>
          <w:lang w:eastAsia="zh-TW"/>
        </w:rPr>
        <w:t>in a slot other than the fi</w:t>
      </w:r>
      <w:r>
        <w:rPr>
          <w:lang w:eastAsia="zh-TW"/>
        </w:rPr>
        <w:t xml:space="preserve">rst slot of a set of slots for the </w:t>
      </w:r>
      <w:r w:rsidR="00E40274">
        <w:rPr>
          <w:lang w:eastAsia="zh-TW"/>
        </w:rPr>
        <w:t xml:space="preserve">DL </w:t>
      </w:r>
      <w:r>
        <w:rPr>
          <w:lang w:eastAsia="zh-TW"/>
        </w:rPr>
        <w:t xml:space="preserve">SCS of the </w:t>
      </w:r>
      <w:r w:rsidR="00E40274">
        <w:rPr>
          <w:lang w:eastAsia="zh-TW"/>
        </w:rPr>
        <w:t xml:space="preserve">scheduling </w:t>
      </w:r>
      <w:r>
        <w:rPr>
          <w:lang w:eastAsia="zh-TW"/>
        </w:rPr>
        <w:t xml:space="preserve">cell that </w:t>
      </w:r>
      <w:r w:rsidRPr="00E26EF9">
        <w:rPr>
          <w:lang w:eastAsia="zh-TW"/>
        </w:rPr>
        <w:t>overlap</w:t>
      </w:r>
      <w:r>
        <w:rPr>
          <w:lang w:eastAsia="zh-TW"/>
        </w:rPr>
        <w:t>s</w:t>
      </w:r>
      <w:r w:rsidRPr="00E26EF9">
        <w:t xml:space="preserve"> </w:t>
      </w:r>
      <w:r w:rsidRPr="00E26EF9">
        <w:rPr>
          <w:lang w:eastAsia="zh-TW"/>
        </w:rPr>
        <w:t xml:space="preserve">with </w:t>
      </w:r>
      <w:r w:rsidRPr="00E26EF9">
        <w:t xml:space="preserve">a </w:t>
      </w:r>
      <w:r w:rsidRPr="00E26EF9">
        <w:rPr>
          <w:lang w:val="en-US"/>
        </w:rPr>
        <w:t>time duration</w:t>
      </w:r>
      <w:r w:rsidRPr="00E26EF9">
        <w:t xml:space="preserve"> </w:t>
      </w:r>
      <w:r>
        <w:t xml:space="preserve">where </w:t>
      </w:r>
      <w:r w:rsidRPr="00E26EF9">
        <w:rPr>
          <w:lang w:val="en-US"/>
        </w:rPr>
        <w:t>the UE is not required to receive or transmit</w:t>
      </w:r>
      <w:r w:rsidR="00F1088C">
        <w:rPr>
          <w:lang w:val="en-US"/>
        </w:rPr>
        <w:t>, respectively,</w:t>
      </w:r>
      <w:r w:rsidRPr="00E26EF9">
        <w:rPr>
          <w:lang w:val="en-US"/>
        </w:rPr>
        <w:t xml:space="preserve"> for an </w:t>
      </w:r>
      <w:r w:rsidRPr="00E26EF9">
        <w:t xml:space="preserve">active BWP change </w:t>
      </w:r>
      <w:r w:rsidRPr="00E26EF9">
        <w:rPr>
          <w:lang w:eastAsia="zh-TW"/>
        </w:rPr>
        <w:t>in a di</w:t>
      </w:r>
      <w:r>
        <w:rPr>
          <w:lang w:eastAsia="zh-TW"/>
        </w:rPr>
        <w:t>fferent cell</w:t>
      </w:r>
      <w:r w:rsidR="00E40274">
        <w:rPr>
          <w:lang w:eastAsia="zh-TW"/>
        </w:rPr>
        <w:t xml:space="preserve"> from the scheduled cell within FR1 (or FR2)</w:t>
      </w:r>
      <w:r>
        <w:rPr>
          <w:lang w:eastAsia="zh-TW"/>
        </w:rPr>
        <w:t>.</w:t>
      </w:r>
    </w:p>
    <w:p w14:paraId="42C88799" w14:textId="5742C309" w:rsidR="00335065" w:rsidRPr="0080392F" w:rsidRDefault="00335065" w:rsidP="00335065">
      <w:pPr>
        <w:rPr>
          <w:lang w:eastAsia="ja-JP"/>
        </w:rPr>
      </w:pPr>
      <w:r w:rsidRPr="0080392F">
        <w:rPr>
          <w:lang w:eastAsia="zh-TW"/>
        </w:rPr>
        <w:t xml:space="preserve">A UE </w:t>
      </w:r>
      <w:r w:rsidR="00176A9A" w:rsidRPr="0080392F">
        <w:rPr>
          <w:lang w:eastAsia="zh-TW"/>
        </w:rPr>
        <w:t>expect</w:t>
      </w:r>
      <w:r w:rsidR="00176A9A">
        <w:rPr>
          <w:lang w:eastAsia="zh-TW"/>
        </w:rPr>
        <w:t>s</w:t>
      </w:r>
      <w:r w:rsidR="00176A9A" w:rsidRPr="0080392F">
        <w:rPr>
          <w:lang w:eastAsia="zh-TW"/>
        </w:rPr>
        <w:t xml:space="preserve"> </w:t>
      </w:r>
      <w:r w:rsidRPr="0080392F">
        <w:rPr>
          <w:lang w:eastAsia="zh-TW"/>
        </w:rPr>
        <w:t xml:space="preserve">to detect a DCI format </w:t>
      </w:r>
      <w:r w:rsidR="0057224D">
        <w:rPr>
          <w:lang w:eastAsia="zh-TW"/>
        </w:rPr>
        <w:t xml:space="preserve">with a BWP indicator field that </w:t>
      </w:r>
      <w:r w:rsidR="0057224D" w:rsidRPr="0080392F">
        <w:rPr>
          <w:lang w:eastAsia="zh-TW"/>
        </w:rPr>
        <w:t>indicat</w:t>
      </w:r>
      <w:r w:rsidR="0057224D">
        <w:rPr>
          <w:lang w:eastAsia="zh-TW"/>
        </w:rPr>
        <w:t>es</w:t>
      </w:r>
      <w:r w:rsidR="0057224D" w:rsidRPr="0080392F">
        <w:rPr>
          <w:lang w:eastAsia="zh-TW"/>
        </w:rPr>
        <w:t xml:space="preserve"> </w:t>
      </w:r>
      <w:r w:rsidR="00F1088C">
        <w:rPr>
          <w:lang w:eastAsia="zh-TW"/>
        </w:rPr>
        <w:t xml:space="preserve">an </w:t>
      </w:r>
      <w:r w:rsidRPr="0080392F">
        <w:rPr>
          <w:lang w:eastAsia="zh-TW"/>
        </w:rPr>
        <w:t>active UL BWP change or a</w:t>
      </w:r>
      <w:r w:rsidR="00F1088C">
        <w:rPr>
          <w:lang w:eastAsia="zh-TW"/>
        </w:rPr>
        <w:t>n</w:t>
      </w:r>
      <w:r w:rsidRPr="0080392F">
        <w:rPr>
          <w:lang w:eastAsia="zh-TW"/>
        </w:rPr>
        <w:t xml:space="preserve"> active DL BWP change only if a corresponding PDCCH is received within the first 3 symbols of a slot.</w:t>
      </w:r>
      <w:r w:rsidRPr="0080392F">
        <w:rPr>
          <w:lang w:eastAsia="ja-JP"/>
        </w:rPr>
        <w:t xml:space="preserve"> </w:t>
      </w:r>
      <w:r w:rsidR="004C3224" w:rsidRPr="00F415B1">
        <w:rPr>
          <w:lang w:val="en-US"/>
        </w:rPr>
        <w:t>If</w:t>
      </w:r>
      <w:r w:rsidR="004C3224" w:rsidRPr="00F415B1">
        <w:rPr>
          <w:lang w:eastAsia="zh-CN"/>
        </w:rPr>
        <w:t xml:space="preserve"> the UE detects the DCI format from two PDCCH receptions in search space sets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4C3224" w:rsidRPr="00F415B1">
        <w:t xml:space="preserve"> and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4C3224" w:rsidRPr="00F415B1">
        <w:t xml:space="preserve"> that include </w:t>
      </w:r>
      <w:r w:rsidR="004C3224" w:rsidRPr="00F415B1">
        <w:rPr>
          <w:i/>
          <w:lang w:val="en-US"/>
        </w:rPr>
        <w:t>searchSpaceLinking</w:t>
      </w:r>
      <w:r w:rsidR="00265EEE">
        <w:rPr>
          <w:i/>
          <w:lang w:val="en-US"/>
        </w:rPr>
        <w:t>Id</w:t>
      </w:r>
      <w:r w:rsidR="004C3224" w:rsidRPr="00F415B1">
        <w:rPr>
          <w:iCs/>
        </w:rPr>
        <w:t xml:space="preserve"> with </w:t>
      </w:r>
      <w:r w:rsidR="00265EEE">
        <w:rPr>
          <w:iCs/>
        </w:rPr>
        <w:t xml:space="preserve">same </w:t>
      </w:r>
      <w:r w:rsidR="004C3224" w:rsidRPr="00F415B1">
        <w:rPr>
          <w:iCs/>
        </w:rPr>
        <w:t>value</w:t>
      </w:r>
      <w:r w:rsidR="004C3224" w:rsidRPr="00F415B1">
        <w:t xml:space="preserve">, as described in clause 10.1, the UE considers the PDCCH reception where the UE detects </w:t>
      </w:r>
      <w:r w:rsidR="004C3224" w:rsidRPr="00F415B1">
        <w:rPr>
          <w:lang w:val="en-US"/>
        </w:rPr>
        <w:t xml:space="preserve">the </w:t>
      </w:r>
      <w:r w:rsidR="004C3224" w:rsidRPr="00F415B1">
        <w:t xml:space="preserve">DCI format to be the one from the </w:t>
      </w:r>
      <w:r w:rsidR="004C3224" w:rsidRPr="00F415B1">
        <w:rPr>
          <w:lang w:eastAsia="zh-CN"/>
        </w:rPr>
        <w:t>two PDCCH receptions that ends later.</w:t>
      </w:r>
    </w:p>
    <w:p w14:paraId="2206DF89" w14:textId="77777777" w:rsidR="0045523B" w:rsidRDefault="0045523B" w:rsidP="00D91FB6">
      <w:pPr>
        <w:rPr>
          <w:lang w:eastAsia="ja-JP"/>
        </w:rPr>
      </w:pPr>
      <w:r>
        <w:rPr>
          <w:lang w:eastAsia="ja-JP"/>
        </w:rPr>
        <w:t xml:space="preserve">For </w:t>
      </w:r>
      <w:r w:rsidR="00142AB7">
        <w:rPr>
          <w:lang w:eastAsia="ja-JP"/>
        </w:rPr>
        <w:t>a serving</w:t>
      </w:r>
      <w:r>
        <w:rPr>
          <w:lang w:eastAsia="ja-JP"/>
        </w:rPr>
        <w:t xml:space="preserve"> cell,</w:t>
      </w:r>
      <w:r w:rsidR="00EB2910" w:rsidRPr="00B916EC">
        <w:rPr>
          <w:lang w:eastAsia="ja-JP"/>
        </w:rPr>
        <w:t xml:space="preserve"> a UE </w:t>
      </w:r>
      <w:r>
        <w:rPr>
          <w:lang w:eastAsia="ja-JP"/>
        </w:rPr>
        <w:t>can be provided</w:t>
      </w:r>
      <w:r w:rsidR="00EB2910" w:rsidRPr="00B916EC">
        <w:rPr>
          <w:lang w:eastAsia="ja-JP"/>
        </w:rPr>
        <w:t xml:space="preserve"> </w:t>
      </w:r>
      <w:r>
        <w:rPr>
          <w:lang w:eastAsia="ja-JP"/>
        </w:rPr>
        <w:t>by</w:t>
      </w:r>
      <w:r w:rsidR="00EB2910" w:rsidRPr="00B916EC">
        <w:rPr>
          <w:lang w:eastAsia="ja-JP"/>
        </w:rPr>
        <w:t xml:space="preserve"> </w:t>
      </w:r>
      <w:r w:rsidR="00176A9A" w:rsidRPr="00D815D3">
        <w:rPr>
          <w:i/>
        </w:rPr>
        <w:t>defaultDownlinkBWP-Id</w:t>
      </w:r>
      <w:r w:rsidR="00EB2910" w:rsidRPr="00B916EC">
        <w:rPr>
          <w:lang w:eastAsia="ja-JP"/>
        </w:rPr>
        <w:t xml:space="preserve"> a default DL BWP </w:t>
      </w:r>
      <w:r w:rsidR="007B3B9E" w:rsidRPr="00B916EC">
        <w:rPr>
          <w:lang w:eastAsia="ja-JP"/>
        </w:rPr>
        <w:t>among the configured DL BWPs</w:t>
      </w:r>
      <w:r>
        <w:rPr>
          <w:lang w:eastAsia="ja-JP"/>
        </w:rPr>
        <w:t>.</w:t>
      </w:r>
      <w:r w:rsidR="00EB2910" w:rsidRPr="00B916EC">
        <w:rPr>
          <w:lang w:eastAsia="ja-JP"/>
        </w:rPr>
        <w:t xml:space="preserve"> </w:t>
      </w:r>
      <w:r>
        <w:rPr>
          <w:lang w:eastAsia="ja-JP"/>
        </w:rPr>
        <w:t xml:space="preserve">If a UE is not provided a default DL BWP by </w:t>
      </w:r>
      <w:r w:rsidR="00176A9A" w:rsidRPr="00D815D3">
        <w:rPr>
          <w:i/>
        </w:rPr>
        <w:t>defaultDownlinkBWP-Id</w:t>
      </w:r>
      <w:r>
        <w:rPr>
          <w:lang w:eastAsia="ja-JP"/>
        </w:rPr>
        <w:t xml:space="preserve">, the default </w:t>
      </w:r>
      <w:r w:rsidR="00A90ADB">
        <w:rPr>
          <w:lang w:eastAsia="ja-JP"/>
        </w:rPr>
        <w:t xml:space="preserve">DL </w:t>
      </w:r>
      <w:r>
        <w:rPr>
          <w:lang w:eastAsia="ja-JP"/>
        </w:rPr>
        <w:t>BWP is the initial DL BWP.</w:t>
      </w:r>
      <w:r w:rsidR="007D5A3F">
        <w:rPr>
          <w:lang w:eastAsia="ja-JP"/>
        </w:rPr>
        <w:t xml:space="preserve"> </w:t>
      </w:r>
    </w:p>
    <w:p w14:paraId="7CBA5445" w14:textId="77777777" w:rsidR="00142AB7" w:rsidRPr="006A3AB7" w:rsidRDefault="00142AB7" w:rsidP="00142AB7">
      <w:pPr>
        <w:rPr>
          <w:lang w:eastAsia="ko-KR"/>
        </w:rPr>
      </w:pPr>
      <w:r w:rsidRPr="0080392F">
        <w:rPr>
          <w:rFonts w:hint="eastAsia"/>
          <w:lang w:eastAsia="ko-KR"/>
        </w:rPr>
        <w:t xml:space="preserve">If a UE is </w:t>
      </w:r>
      <w:r>
        <w:rPr>
          <w:lang w:eastAsia="ko-KR"/>
        </w:rPr>
        <w:t>provided</w:t>
      </w:r>
      <w:r w:rsidRPr="0080392F">
        <w:rPr>
          <w:rFonts w:hint="eastAsia"/>
          <w:lang w:eastAsia="ko-KR"/>
        </w:rPr>
        <w:t xml:space="preserve"> </w:t>
      </w:r>
      <w:r w:rsidRPr="0080392F">
        <w:rPr>
          <w:lang w:eastAsia="ja-JP"/>
        </w:rPr>
        <w:t xml:space="preserve">by </w:t>
      </w:r>
      <w:r>
        <w:rPr>
          <w:i/>
          <w:noProof/>
        </w:rPr>
        <w:t>bwp</w:t>
      </w:r>
      <w:r w:rsidRPr="00B916EC">
        <w:rPr>
          <w:i/>
          <w:noProof/>
        </w:rPr>
        <w:t>-InactivityTimer</w:t>
      </w:r>
      <w:r w:rsidRPr="0080392F">
        <w:rPr>
          <w:lang w:eastAsia="ja-JP"/>
        </w:rPr>
        <w:t xml:space="preserve"> a timer value for the </w:t>
      </w:r>
      <w:r w:rsidR="00E00584">
        <w:rPr>
          <w:lang w:eastAsia="ja-JP"/>
        </w:rPr>
        <w:t>serving</w:t>
      </w:r>
      <w:r w:rsidRPr="0080392F">
        <w:rPr>
          <w:lang w:eastAsia="ja-JP"/>
        </w:rPr>
        <w:t xml:space="preserve"> cell </w:t>
      </w:r>
      <w:r w:rsidRPr="0080392F">
        <w:t>[</w:t>
      </w:r>
      <w:r w:rsidRPr="0080392F">
        <w:rPr>
          <w:lang w:val="en-US"/>
        </w:rPr>
        <w:t>11, TS 38.321</w:t>
      </w:r>
      <w:r w:rsidRPr="0080392F">
        <w:t>] and</w:t>
      </w:r>
      <w:r w:rsidRPr="0080392F">
        <w:rPr>
          <w:rFonts w:hint="eastAsia"/>
          <w:lang w:eastAsia="ko-KR"/>
        </w:rPr>
        <w:t xml:space="preserve"> the timer is running, the UE </w:t>
      </w:r>
      <w:r>
        <w:rPr>
          <w:lang w:eastAsia="ko-KR"/>
        </w:rPr>
        <w:t>decrements</w:t>
      </w:r>
      <w:r w:rsidRPr="0080392F">
        <w:rPr>
          <w:rFonts w:hint="eastAsia"/>
          <w:lang w:eastAsia="ko-KR"/>
        </w:rPr>
        <w:t xml:space="preserve"> the timer </w:t>
      </w:r>
      <w:r>
        <w:rPr>
          <w:lang w:eastAsia="ja-JP"/>
        </w:rPr>
        <w:t xml:space="preserve">at the end of a subframe </w:t>
      </w:r>
      <w:r w:rsidRPr="0080392F">
        <w:rPr>
          <w:lang w:eastAsia="ja-JP"/>
        </w:rPr>
        <w:t xml:space="preserve">for </w:t>
      </w:r>
      <w:r>
        <w:rPr>
          <w:lang w:eastAsia="ja-JP"/>
        </w:rPr>
        <w:t>FR</w:t>
      </w:r>
      <w:r w:rsidRPr="0080392F">
        <w:rPr>
          <w:lang w:eastAsia="ja-JP"/>
        </w:rPr>
        <w:t xml:space="preserve">1 or </w:t>
      </w:r>
      <w:r>
        <w:rPr>
          <w:lang w:eastAsia="ja-JP"/>
        </w:rPr>
        <w:t>at the end of a half subframe</w:t>
      </w:r>
      <w:r w:rsidRPr="0080392F">
        <w:rPr>
          <w:lang w:eastAsia="ja-JP"/>
        </w:rPr>
        <w:t xml:space="preserve"> for </w:t>
      </w:r>
      <w:r>
        <w:rPr>
          <w:lang w:eastAsia="ja-JP"/>
        </w:rPr>
        <w:t>FR</w:t>
      </w:r>
      <w:r w:rsidRPr="0080392F">
        <w:rPr>
          <w:lang w:eastAsia="ja-JP"/>
        </w:rPr>
        <w:t xml:space="preserve">2 if </w:t>
      </w:r>
      <w:r>
        <w:rPr>
          <w:lang w:eastAsia="ja-JP"/>
        </w:rPr>
        <w:t xml:space="preserve">the restarting conditions in [11, TS 38.321] are not met </w:t>
      </w:r>
      <w:r w:rsidRPr="0080392F">
        <w:rPr>
          <w:lang w:eastAsia="ja-JP"/>
        </w:rPr>
        <w:t>during the interval</w:t>
      </w:r>
      <w:r>
        <w:rPr>
          <w:lang w:eastAsia="ja-JP"/>
        </w:rPr>
        <w:t xml:space="preserve"> of the subframe for FR1 or of the half subframe for FR2</w:t>
      </w:r>
      <w:r w:rsidRPr="0080392F">
        <w:rPr>
          <w:lang w:eastAsia="ja-JP"/>
        </w:rPr>
        <w:t>.</w:t>
      </w:r>
    </w:p>
    <w:p w14:paraId="133FE28A" w14:textId="77777777" w:rsidR="00EA04A8" w:rsidRPr="00BC3FF1" w:rsidRDefault="00EA04A8" w:rsidP="003A061C">
      <w:r>
        <w:t>For a cell where a UE changes an active DL BWP</w:t>
      </w:r>
      <w:r w:rsidRPr="00BC3FF1">
        <w:t xml:space="preserve"> due to </w:t>
      </w:r>
      <w:r>
        <w:rPr>
          <w:lang w:val="en-US"/>
        </w:rPr>
        <w:t xml:space="preserve">a </w:t>
      </w:r>
      <w:r w:rsidRPr="00BC3FF1">
        <w:t>BW</w:t>
      </w:r>
      <w:r>
        <w:t>P inactivity timer expiration and for accommodating a delay in the active</w:t>
      </w:r>
      <w:r w:rsidRPr="00BC3FF1">
        <w:t xml:space="preserve"> </w:t>
      </w:r>
      <w:r>
        <w:rPr>
          <w:lang w:val="en-US"/>
        </w:rPr>
        <w:t xml:space="preserve">DL </w:t>
      </w:r>
      <w:r w:rsidRPr="00BC3FF1">
        <w:t xml:space="preserve">BWP </w:t>
      </w:r>
      <w:r>
        <w:rPr>
          <w:lang w:val="en-US"/>
        </w:rPr>
        <w:t>change or the active UL BWP change</w:t>
      </w:r>
      <w:r>
        <w:t xml:space="preserve"> required by the UE [</w:t>
      </w:r>
      <w:r w:rsidR="00142AB7">
        <w:t xml:space="preserve">10, </w:t>
      </w:r>
      <w:r>
        <w:t>TS 38.133], the</w:t>
      </w:r>
      <w:r w:rsidRPr="00BC3FF1">
        <w:t xml:space="preserve"> UE is not require</w:t>
      </w:r>
      <w:r>
        <w:t>d to receive or transmit in the</w:t>
      </w:r>
      <w:r w:rsidRPr="00BC3FF1">
        <w:t xml:space="preserve"> cell during a time duration from the beginning</w:t>
      </w:r>
      <w:r>
        <w:t xml:space="preserve"> of a</w:t>
      </w:r>
      <w:r w:rsidRPr="00BC3FF1">
        <w:t xml:space="preserve"> subfr</w:t>
      </w:r>
      <w:r>
        <w:t xml:space="preserve">ame for </w:t>
      </w:r>
      <w:r w:rsidR="00142AB7">
        <w:t>FR</w:t>
      </w:r>
      <w:r>
        <w:t>1</w:t>
      </w:r>
      <w:r>
        <w:rPr>
          <w:lang w:val="en-US"/>
        </w:rPr>
        <w:t>,</w:t>
      </w:r>
      <w:r>
        <w:t xml:space="preserve"> or of</w:t>
      </w:r>
      <w:r w:rsidRPr="00BC3FF1">
        <w:t xml:space="preserve"> half of a subframe for </w:t>
      </w:r>
      <w:r w:rsidR="00142AB7">
        <w:t>FR</w:t>
      </w:r>
      <w:r w:rsidRPr="00BC3FF1">
        <w:t>2</w:t>
      </w:r>
      <w:r>
        <w:rPr>
          <w:lang w:val="en-US"/>
        </w:rPr>
        <w:t>, that is</w:t>
      </w:r>
      <w:r>
        <w:t xml:space="preserve"> immediately after the</w:t>
      </w:r>
      <w:r w:rsidRPr="00BC3FF1">
        <w:t xml:space="preserve"> BWP inactivity timer expires </w:t>
      </w:r>
      <w:r w:rsidR="00013D40">
        <w:rPr>
          <w:lang w:val="en-US"/>
        </w:rPr>
        <w:t>until</w:t>
      </w:r>
      <w:r>
        <w:t xml:space="preserve"> </w:t>
      </w:r>
      <w:r>
        <w:rPr>
          <w:lang w:val="en-US"/>
        </w:rPr>
        <w:t>the</w:t>
      </w:r>
      <w:r>
        <w:t xml:space="preserve"> beginning of a</w:t>
      </w:r>
      <w:r w:rsidRPr="00BC3FF1">
        <w:t xml:space="preserve"> slot </w:t>
      </w:r>
      <w:r>
        <w:rPr>
          <w:lang w:val="en-US"/>
        </w:rPr>
        <w:t xml:space="preserve">where </w:t>
      </w:r>
      <w:r w:rsidRPr="00BC3FF1">
        <w:t>t</w:t>
      </w:r>
      <w:r>
        <w:t>he UE can receive or transmit.</w:t>
      </w:r>
    </w:p>
    <w:p w14:paraId="14E28B32" w14:textId="77777777" w:rsidR="00142AB7" w:rsidRPr="00BC3FF1" w:rsidRDefault="00142AB7" w:rsidP="00142AB7">
      <w:pPr>
        <w:pStyle w:val="B1"/>
        <w:ind w:left="0" w:firstLine="0"/>
      </w:pPr>
      <w:r>
        <w:rPr>
          <w:lang w:eastAsia="zh-TW"/>
        </w:rPr>
        <w:t>When a UE</w:t>
      </w:r>
      <w:r w:rsidR="00E7283E">
        <w:rPr>
          <w:lang w:eastAsia="zh-TW"/>
        </w:rPr>
        <w:t>'</w:t>
      </w:r>
      <w:r>
        <w:rPr>
          <w:lang w:val="en-US" w:eastAsia="zh-TW"/>
        </w:rPr>
        <w:t>s</w:t>
      </w:r>
      <w:r>
        <w:rPr>
          <w:lang w:eastAsia="zh-TW"/>
        </w:rPr>
        <w:t xml:space="preserve"> BWP inactivity timer</w:t>
      </w:r>
      <w:r>
        <w:rPr>
          <w:lang w:val="en-US" w:eastAsia="zh-TW"/>
        </w:rPr>
        <w:t xml:space="preserve"> </w:t>
      </w:r>
      <w:r>
        <w:rPr>
          <w:lang w:eastAsia="zh-TW"/>
        </w:rPr>
        <w:t>for a cell</w:t>
      </w:r>
      <w:r w:rsidRPr="00E26EF9">
        <w:rPr>
          <w:lang w:eastAsia="zh-TW"/>
        </w:rPr>
        <w:t xml:space="preserve"> </w:t>
      </w:r>
      <w:r w:rsidR="00F626A5">
        <w:rPr>
          <w:lang w:eastAsia="zh-TW"/>
        </w:rPr>
        <w:t xml:space="preserve">within FR1 (or FR2) </w:t>
      </w:r>
      <w:r w:rsidRPr="00E26EF9">
        <w:rPr>
          <w:lang w:eastAsia="zh-TW"/>
        </w:rPr>
        <w:t xml:space="preserve">expires within </w:t>
      </w:r>
      <w:r w:rsidRPr="00E26EF9">
        <w:t xml:space="preserve">a </w:t>
      </w:r>
      <w:r w:rsidRPr="00E26EF9">
        <w:rPr>
          <w:lang w:val="en-US"/>
        </w:rPr>
        <w:t>time duration</w:t>
      </w:r>
      <w:r w:rsidRPr="00E26EF9">
        <w:t xml:space="preserve"> </w:t>
      </w:r>
      <w:r>
        <w:rPr>
          <w:lang w:val="en-US"/>
        </w:rPr>
        <w:t xml:space="preserve">where </w:t>
      </w:r>
      <w:r w:rsidRPr="00E26EF9">
        <w:rPr>
          <w:lang w:val="en-US"/>
        </w:rPr>
        <w:t xml:space="preserve">the UE is not required to receive or transmit for an </w:t>
      </w:r>
      <w:r w:rsidRPr="00E26EF9">
        <w:t xml:space="preserve">active </w:t>
      </w:r>
      <w:r>
        <w:rPr>
          <w:lang w:val="en-US"/>
        </w:rPr>
        <w:t xml:space="preserve">UL/DL </w:t>
      </w:r>
      <w:r w:rsidRPr="00E26EF9">
        <w:t>BWP change</w:t>
      </w:r>
      <w:r w:rsidRPr="00E26EF9">
        <w:rPr>
          <w:lang w:eastAsia="zh-TW"/>
        </w:rPr>
        <w:t xml:space="preserve"> in the </w:t>
      </w:r>
      <w:r>
        <w:rPr>
          <w:lang w:val="en-US" w:eastAsia="zh-TW"/>
        </w:rPr>
        <w:t>cell</w:t>
      </w:r>
      <w:r w:rsidRPr="00E26EF9">
        <w:rPr>
          <w:lang w:eastAsia="zh-TW"/>
        </w:rPr>
        <w:t xml:space="preserve"> or </w:t>
      </w:r>
      <w:r>
        <w:rPr>
          <w:lang w:val="en-US" w:eastAsia="zh-TW"/>
        </w:rPr>
        <w:t xml:space="preserve">in </w:t>
      </w:r>
      <w:r w:rsidRPr="00E26EF9">
        <w:rPr>
          <w:lang w:eastAsia="zh-TW"/>
        </w:rPr>
        <w:t>a di</w:t>
      </w:r>
      <w:r>
        <w:rPr>
          <w:lang w:eastAsia="zh-TW"/>
        </w:rPr>
        <w:t>fferent cell</w:t>
      </w:r>
      <w:r w:rsidR="00F626A5">
        <w:rPr>
          <w:lang w:val="en-US" w:eastAsia="zh-TW"/>
        </w:rPr>
        <w:t xml:space="preserve"> </w:t>
      </w:r>
      <w:r w:rsidR="00F626A5">
        <w:rPr>
          <w:lang w:eastAsia="zh-TW"/>
        </w:rPr>
        <w:t>within FR1 (or FR2)</w:t>
      </w:r>
      <w:r w:rsidRPr="00E26EF9">
        <w:rPr>
          <w:lang w:eastAsia="zh-TW"/>
        </w:rPr>
        <w:t xml:space="preserve">, the UE delays the active </w:t>
      </w:r>
      <w:r>
        <w:rPr>
          <w:lang w:val="en-US" w:eastAsia="zh-TW"/>
        </w:rPr>
        <w:t xml:space="preserve">UL/DL </w:t>
      </w:r>
      <w:r w:rsidRPr="00E26EF9">
        <w:rPr>
          <w:lang w:eastAsia="zh-TW"/>
        </w:rPr>
        <w:t xml:space="preserve">BWP change triggered by the BWP inactivity timer expiration </w:t>
      </w:r>
      <w:r w:rsidR="00013D40">
        <w:rPr>
          <w:lang w:val="en-US" w:eastAsia="zh-TW"/>
        </w:rPr>
        <w:t>until</w:t>
      </w:r>
      <w:r>
        <w:rPr>
          <w:lang w:eastAsia="zh-TW"/>
        </w:rPr>
        <w:t xml:space="preserve"> a subframe for FR1 or half</w:t>
      </w:r>
      <w:r w:rsidRPr="00E26EF9">
        <w:rPr>
          <w:lang w:eastAsia="zh-TW"/>
        </w:rPr>
        <w:t xml:space="preserve"> a subframe for FR2</w:t>
      </w:r>
      <w:r>
        <w:rPr>
          <w:lang w:val="en-US" w:eastAsia="zh-TW"/>
        </w:rPr>
        <w:t xml:space="preserve"> that is</w:t>
      </w:r>
      <w:r w:rsidRPr="00E26EF9">
        <w:rPr>
          <w:lang w:eastAsia="zh-TW"/>
        </w:rPr>
        <w:t xml:space="preserve"> immediately after th</w:t>
      </w:r>
      <w:r>
        <w:rPr>
          <w:lang w:eastAsia="zh-TW"/>
        </w:rPr>
        <w:t>e UE completes the</w:t>
      </w:r>
      <w:r w:rsidRPr="00E26EF9">
        <w:rPr>
          <w:lang w:eastAsia="zh-TW"/>
        </w:rPr>
        <w:t xml:space="preserve"> active </w:t>
      </w:r>
      <w:r>
        <w:rPr>
          <w:lang w:val="en-US" w:eastAsia="zh-TW"/>
        </w:rPr>
        <w:t>UL/</w:t>
      </w:r>
      <w:r w:rsidRPr="00E26EF9">
        <w:rPr>
          <w:lang w:eastAsia="zh-TW"/>
        </w:rPr>
        <w:t xml:space="preserve">DL </w:t>
      </w:r>
      <w:r>
        <w:rPr>
          <w:lang w:val="en-US" w:eastAsia="zh-TW"/>
        </w:rPr>
        <w:t>BWP</w:t>
      </w:r>
      <w:r>
        <w:rPr>
          <w:lang w:eastAsia="zh-TW"/>
        </w:rPr>
        <w:t xml:space="preserve"> change in the cell or in the</w:t>
      </w:r>
      <w:r w:rsidRPr="00E26EF9">
        <w:rPr>
          <w:lang w:eastAsia="zh-TW"/>
        </w:rPr>
        <w:t xml:space="preserve"> di</w:t>
      </w:r>
      <w:r>
        <w:rPr>
          <w:lang w:eastAsia="zh-TW"/>
        </w:rPr>
        <w:t>fferent cell</w:t>
      </w:r>
      <w:r w:rsidR="00F626A5">
        <w:rPr>
          <w:lang w:val="en-US" w:eastAsia="zh-TW"/>
        </w:rPr>
        <w:t xml:space="preserve"> </w:t>
      </w:r>
      <w:r w:rsidR="00F626A5">
        <w:rPr>
          <w:lang w:eastAsia="zh-TW"/>
        </w:rPr>
        <w:t>within FR1 (or FR2)</w:t>
      </w:r>
      <w:r w:rsidRPr="00E26EF9">
        <w:t>.</w:t>
      </w:r>
    </w:p>
    <w:p w14:paraId="5202C671" w14:textId="77777777" w:rsidR="00C455F6" w:rsidRPr="00B916EC" w:rsidRDefault="00E415EA" w:rsidP="00D91FB6">
      <w:r w:rsidRPr="00B916EC">
        <w:rPr>
          <w:lang w:eastAsia="ja-JP"/>
        </w:rPr>
        <w:lastRenderedPageBreak/>
        <w:t xml:space="preserve">If </w:t>
      </w:r>
      <w:r w:rsidR="00A90ADB">
        <w:rPr>
          <w:lang w:eastAsia="ja-JP"/>
        </w:rPr>
        <w:t>a</w:t>
      </w:r>
      <w:r w:rsidR="00A90ADB" w:rsidRPr="00B916EC">
        <w:rPr>
          <w:lang w:eastAsia="ja-JP"/>
        </w:rPr>
        <w:t xml:space="preserve"> </w:t>
      </w:r>
      <w:r w:rsidRPr="00B916EC">
        <w:rPr>
          <w:lang w:eastAsia="ja-JP"/>
        </w:rPr>
        <w:t xml:space="preserve">UE is </w:t>
      </w:r>
      <w:r w:rsidR="00142AB7">
        <w:rPr>
          <w:lang w:eastAsia="ja-JP"/>
        </w:rPr>
        <w:t>provided by</w:t>
      </w:r>
      <w:r w:rsidRPr="00B916EC">
        <w:rPr>
          <w:lang w:eastAsia="ja-JP"/>
        </w:rPr>
        <w:t xml:space="preserve"> </w:t>
      </w:r>
      <w:r w:rsidR="00176A9A" w:rsidRPr="00E25D0D">
        <w:rPr>
          <w:i/>
        </w:rPr>
        <w:t>firstActiveDownlinkBWP-Id</w:t>
      </w:r>
      <w:r w:rsidRPr="00B916EC">
        <w:rPr>
          <w:lang w:eastAsia="ja-JP"/>
        </w:rPr>
        <w:t xml:space="preserve"> a first activ</w:t>
      </w:r>
      <w:r w:rsidR="00D74FC0">
        <w:rPr>
          <w:lang w:eastAsia="ja-JP"/>
        </w:rPr>
        <w:t>e</w:t>
      </w:r>
      <w:r w:rsidRPr="00B916EC">
        <w:rPr>
          <w:lang w:eastAsia="ja-JP"/>
        </w:rPr>
        <w:t xml:space="preserve"> DL BWP </w:t>
      </w:r>
      <w:r w:rsidR="00D25A0F" w:rsidRPr="00B916EC">
        <w:rPr>
          <w:lang w:eastAsia="ja-JP"/>
        </w:rPr>
        <w:t xml:space="preserve">and </w:t>
      </w:r>
      <w:r w:rsidR="000814A4" w:rsidRPr="00B916EC">
        <w:rPr>
          <w:lang w:eastAsia="ja-JP"/>
        </w:rPr>
        <w:t xml:space="preserve">by </w:t>
      </w:r>
      <w:r w:rsidR="00176A9A">
        <w:rPr>
          <w:i/>
        </w:rPr>
        <w:t>firstActiveUp</w:t>
      </w:r>
      <w:r w:rsidR="00176A9A" w:rsidRPr="00E25D0D">
        <w:rPr>
          <w:i/>
        </w:rPr>
        <w:t>linkBWP-Id</w:t>
      </w:r>
      <w:r w:rsidR="000814A4" w:rsidRPr="00B916EC">
        <w:rPr>
          <w:lang w:eastAsia="ja-JP"/>
        </w:rPr>
        <w:t xml:space="preserve"> </w:t>
      </w:r>
      <w:r w:rsidR="00D25A0F" w:rsidRPr="00B916EC">
        <w:rPr>
          <w:lang w:eastAsia="ja-JP"/>
        </w:rPr>
        <w:t>a first activ</w:t>
      </w:r>
      <w:r w:rsidR="00D74FC0">
        <w:rPr>
          <w:lang w:eastAsia="ja-JP"/>
        </w:rPr>
        <w:t>e</w:t>
      </w:r>
      <w:r w:rsidR="00D25A0F" w:rsidRPr="00B916EC">
        <w:rPr>
          <w:lang w:eastAsia="ja-JP"/>
        </w:rPr>
        <w:t xml:space="preserve"> UL BWP </w:t>
      </w:r>
      <w:r w:rsidRPr="00B916EC">
        <w:rPr>
          <w:lang w:eastAsia="ja-JP"/>
        </w:rPr>
        <w:t xml:space="preserve">on a </w:t>
      </w:r>
      <w:r w:rsidR="00142AB7">
        <w:rPr>
          <w:lang w:eastAsia="ja-JP"/>
        </w:rPr>
        <w:t xml:space="preserve">carrier of a </w:t>
      </w:r>
      <w:r w:rsidRPr="00B916EC">
        <w:rPr>
          <w:lang w:eastAsia="ja-JP"/>
        </w:rPr>
        <w:t xml:space="preserve">secondary cell, the UE uses the indicated DL BWP </w:t>
      </w:r>
      <w:r w:rsidR="00D25A0F" w:rsidRPr="00B916EC">
        <w:rPr>
          <w:lang w:eastAsia="ja-JP"/>
        </w:rPr>
        <w:t xml:space="preserve">and the indicated UL BWP </w:t>
      </w:r>
      <w:r w:rsidRPr="00B916EC">
        <w:rPr>
          <w:lang w:eastAsia="ja-JP"/>
        </w:rPr>
        <w:t xml:space="preserve">as the </w:t>
      </w:r>
      <w:r w:rsidR="00D25A0F" w:rsidRPr="00B916EC">
        <w:rPr>
          <w:lang w:eastAsia="ja-JP"/>
        </w:rPr>
        <w:t xml:space="preserve">respective </w:t>
      </w:r>
      <w:r w:rsidRPr="00B916EC">
        <w:rPr>
          <w:lang w:eastAsia="ja-JP"/>
        </w:rPr>
        <w:t>first activ</w:t>
      </w:r>
      <w:r w:rsidR="00D74FC0">
        <w:rPr>
          <w:lang w:eastAsia="ja-JP"/>
        </w:rPr>
        <w:t>e</w:t>
      </w:r>
      <w:r w:rsidRPr="00B916EC">
        <w:rPr>
          <w:lang w:eastAsia="ja-JP"/>
        </w:rPr>
        <w:t xml:space="preserve"> </w:t>
      </w:r>
      <w:r w:rsidR="00CA757E" w:rsidRPr="00B916EC">
        <w:rPr>
          <w:lang w:eastAsia="ja-JP"/>
        </w:rPr>
        <w:t>DL BWP</w:t>
      </w:r>
      <w:r w:rsidR="00EA04A8">
        <w:rPr>
          <w:lang w:eastAsia="ja-JP"/>
        </w:rPr>
        <w:t xml:space="preserve"> </w:t>
      </w:r>
      <w:r w:rsidR="00EA04A8" w:rsidRPr="00B916EC">
        <w:rPr>
          <w:lang w:eastAsia="ja-JP"/>
        </w:rPr>
        <w:t xml:space="preserve">on </w:t>
      </w:r>
      <w:r w:rsidR="00142AB7">
        <w:rPr>
          <w:lang w:eastAsia="ja-JP"/>
        </w:rPr>
        <w:t xml:space="preserve">the </w:t>
      </w:r>
      <w:r w:rsidR="00EA04A8" w:rsidRPr="00B916EC">
        <w:rPr>
          <w:lang w:eastAsia="ja-JP"/>
        </w:rPr>
        <w:t>secondary cell</w:t>
      </w:r>
      <w:r w:rsidRPr="00B916EC">
        <w:rPr>
          <w:lang w:eastAsia="ja-JP"/>
        </w:rPr>
        <w:t xml:space="preserve"> </w:t>
      </w:r>
      <w:r w:rsidR="00D25A0F" w:rsidRPr="00B916EC">
        <w:rPr>
          <w:lang w:eastAsia="ja-JP"/>
        </w:rPr>
        <w:t>and first activ</w:t>
      </w:r>
      <w:r w:rsidR="00D74FC0">
        <w:rPr>
          <w:lang w:eastAsia="ja-JP"/>
        </w:rPr>
        <w:t>e</w:t>
      </w:r>
      <w:r w:rsidR="00D25A0F" w:rsidRPr="00B916EC">
        <w:rPr>
          <w:lang w:eastAsia="ja-JP"/>
        </w:rPr>
        <w:t xml:space="preserve"> UL BWP </w:t>
      </w:r>
      <w:r w:rsidRPr="00B916EC">
        <w:rPr>
          <w:lang w:eastAsia="ja-JP"/>
        </w:rPr>
        <w:t xml:space="preserve">on the </w:t>
      </w:r>
      <w:r w:rsidR="00013D40">
        <w:rPr>
          <w:lang w:eastAsia="ja-JP"/>
        </w:rPr>
        <w:t xml:space="preserve">carrier of the </w:t>
      </w:r>
      <w:r w:rsidRPr="00B916EC">
        <w:rPr>
          <w:lang w:eastAsia="ja-JP"/>
        </w:rPr>
        <w:t xml:space="preserve">secondary cell. </w:t>
      </w:r>
    </w:p>
    <w:p w14:paraId="66DD3355" w14:textId="4637BBE4" w:rsidR="00E33222" w:rsidRPr="00E33222" w:rsidRDefault="00E33222" w:rsidP="00E33222">
      <w:pPr>
        <w:rPr>
          <w:rFonts w:eastAsia="Malgun Gothic"/>
          <w:kern w:val="2"/>
          <w:lang w:eastAsia="ja-JP"/>
        </w:rPr>
      </w:pPr>
      <w:r w:rsidRPr="00E33222">
        <w:rPr>
          <w:rFonts w:eastAsia="Times New Roman"/>
          <w:lang w:eastAsia="zh-CN"/>
        </w:rPr>
        <w:t xml:space="preserve">If a UE is provided </w:t>
      </w:r>
      <w:r w:rsidRPr="00E33222">
        <w:rPr>
          <w:rFonts w:eastAsia="Times New Roman"/>
          <w:i/>
          <w:iCs/>
          <w:lang w:eastAsia="zh-CN"/>
        </w:rPr>
        <w:t>NonCellDefiningSSB</w:t>
      </w:r>
      <w:r w:rsidRPr="00E33222">
        <w:rPr>
          <w:rFonts w:eastAsia="Times New Roman"/>
          <w:lang w:eastAsia="zh-CN"/>
        </w:rPr>
        <w:t xml:space="preserve"> in </w:t>
      </w:r>
      <w:r w:rsidRPr="00E33222">
        <w:rPr>
          <w:rFonts w:eastAsia="Times New Roman"/>
          <w:i/>
          <w:iCs/>
        </w:rPr>
        <w:t>BWP-DownlinkDedicated</w:t>
      </w:r>
      <w:r w:rsidRPr="00E33222">
        <w:rPr>
          <w:rFonts w:eastAsia="Times New Roman"/>
          <w:lang w:eastAsia="zh-CN"/>
        </w:rPr>
        <w:t xml:space="preserve"> for an active DL BWP</w:t>
      </w:r>
      <w:r w:rsidRPr="00E33222">
        <w:rPr>
          <w:rFonts w:eastAsia="Times New Roman"/>
        </w:rPr>
        <w:t xml:space="preserve">, the UE assumes that the active DL BWP includes the SS/PBCH blocks provided by </w:t>
      </w:r>
      <w:r w:rsidRPr="00E33222">
        <w:rPr>
          <w:rFonts w:eastAsia="Times New Roman"/>
          <w:i/>
          <w:iCs/>
        </w:rPr>
        <w:t>NonCellDefiningSSB</w:t>
      </w:r>
      <w:r w:rsidRPr="00E33222">
        <w:rPr>
          <w:rFonts w:eastAsia="Times New Roman"/>
        </w:rPr>
        <w:t xml:space="preserve">. The SS/PBCH blocks provided by </w:t>
      </w:r>
      <w:r w:rsidRPr="00E33222">
        <w:rPr>
          <w:rFonts w:eastAsia="Times New Roman"/>
          <w:i/>
          <w:iCs/>
        </w:rPr>
        <w:t>NonCellDefiningSSB</w:t>
      </w:r>
      <w:r w:rsidRPr="00E33222">
        <w:rPr>
          <w:rFonts w:eastAsia="Times New Roman"/>
        </w:rPr>
        <w:t xml:space="preserve"> and the SS/PBCH blocks that the UE used to obtain SIB1 have same QCL properties if they have a same index</w:t>
      </w:r>
      <w:r w:rsidRPr="00E33222">
        <w:rPr>
          <w:rFonts w:eastAsia="Times New Roman"/>
          <w:i/>
          <w:iCs/>
        </w:rPr>
        <w:t>.</w:t>
      </w:r>
      <w:r w:rsidRPr="00E33222">
        <w:rPr>
          <w:rFonts w:eastAsia="Times New Roman"/>
        </w:rPr>
        <w:t xml:space="preserve"> Unless otherwise stated, handling of overlapping between </w:t>
      </w:r>
      <w:r w:rsidRPr="00E33222">
        <w:rPr>
          <w:rFonts w:eastAsia="Times New Roman"/>
          <w:lang w:eastAsia="zh-CN"/>
        </w:rPr>
        <w:t xml:space="preserve">downlink receptions or uplink transmissions and the SS/PBCH blocks provided by </w:t>
      </w:r>
      <w:r w:rsidRPr="00E33222">
        <w:rPr>
          <w:rFonts w:eastAsia="Times New Roman"/>
          <w:i/>
          <w:iCs/>
          <w:lang w:eastAsia="zh-CN"/>
        </w:rPr>
        <w:t>NonCellDefiningSSB</w:t>
      </w:r>
      <w:r w:rsidRPr="00E33222">
        <w:rPr>
          <w:rFonts w:eastAsia="Times New Roman"/>
          <w:lang w:eastAsia="zh-CN"/>
        </w:rPr>
        <w:t xml:space="preserve"> is same as </w:t>
      </w:r>
      <w:r w:rsidRPr="00E33222">
        <w:rPr>
          <w:rFonts w:eastAsia="Times New Roman"/>
        </w:rPr>
        <w:t xml:space="preserve">handling of overlapping between </w:t>
      </w:r>
      <w:r w:rsidRPr="00E33222">
        <w:rPr>
          <w:rFonts w:eastAsia="Times New Roman"/>
          <w:lang w:eastAsia="zh-CN"/>
        </w:rPr>
        <w:t xml:space="preserve">downlink receptions or uplink transmissions and the </w:t>
      </w:r>
      <w:r w:rsidRPr="00E33222">
        <w:rPr>
          <w:rFonts w:eastAsia="Times New Roman"/>
        </w:rPr>
        <w:t>SS/PBCH blocks</w:t>
      </w:r>
      <w:r w:rsidRPr="00E33222">
        <w:rPr>
          <w:rFonts w:eastAsia="Times New Roman"/>
          <w:lang w:eastAsia="zh-CN"/>
        </w:rPr>
        <w:t xml:space="preserve"> provided by </w:t>
      </w:r>
      <w:r w:rsidRPr="00E33222">
        <w:rPr>
          <w:rFonts w:eastAsia="Times New Roman"/>
          <w:i/>
        </w:rPr>
        <w:t>ssb-PositionsInBurst</w:t>
      </w:r>
      <w:r w:rsidRPr="00E33222">
        <w:rPr>
          <w:rFonts w:eastAsia="Times New Roman"/>
        </w:rPr>
        <w:t xml:space="preserve"> in </w:t>
      </w:r>
      <w:r w:rsidRPr="00E33222">
        <w:rPr>
          <w:rFonts w:eastAsia="Times New Roman"/>
          <w:i/>
        </w:rPr>
        <w:t>SIB1</w:t>
      </w:r>
      <w:r w:rsidRPr="00E33222">
        <w:rPr>
          <w:rFonts w:eastAsia="Times New Roman"/>
        </w:rPr>
        <w:t xml:space="preserve"> or in </w:t>
      </w:r>
      <w:r w:rsidRPr="00E33222">
        <w:rPr>
          <w:rFonts w:eastAsia="Times New Roman"/>
          <w:i/>
        </w:rPr>
        <w:t>ServingCellConfigCommon</w:t>
      </w:r>
      <w:r w:rsidRPr="00E33222">
        <w:rPr>
          <w:rFonts w:eastAsia="Times New Roman"/>
          <w:lang w:eastAsia="zh-CN"/>
        </w:rPr>
        <w:t>.</w:t>
      </w:r>
      <w:r w:rsidR="00653294">
        <w:rPr>
          <w:rFonts w:eastAsia="Times New Roman"/>
          <w:lang w:eastAsia="zh-CN"/>
        </w:rPr>
        <w:t xml:space="preserve"> </w:t>
      </w:r>
      <w:r w:rsidR="00653294">
        <w:rPr>
          <w:lang w:eastAsia="zh-CN"/>
        </w:rPr>
        <w:t xml:space="preserve">The SS/PBCH blocks in Clause 11.1 for resolving directional collisions for a set of serving cells among multiple serving cells, when the UE is provided </w:t>
      </w:r>
      <w:r w:rsidR="00653294" w:rsidRPr="002C4C6E">
        <w:rPr>
          <w:i/>
        </w:rPr>
        <w:t>directionalCollisionHandling</w:t>
      </w:r>
      <w:r w:rsidR="00653294">
        <w:rPr>
          <w:lang w:eastAsia="zh-CN"/>
        </w:rPr>
        <w:t xml:space="preserve"> and indicates</w:t>
      </w:r>
      <w:r w:rsidR="00653294">
        <w:t xml:space="preserve"> support of </w:t>
      </w:r>
      <w:r w:rsidR="00653294" w:rsidRPr="00DF14F2">
        <w:rPr>
          <w:rFonts w:eastAsia="MS Mincho"/>
          <w:i/>
          <w:iCs/>
          <w:color w:val="000000"/>
        </w:rPr>
        <w:t>half-DuplexTDD-CA-SameSCS</w:t>
      </w:r>
      <w:r w:rsidR="00653294">
        <w:rPr>
          <w:lang w:eastAsia="zh-CN"/>
        </w:rPr>
        <w:t>, correspond to the SS/PBCH blocks the UE used to obtain SIB1.</w:t>
      </w:r>
    </w:p>
    <w:p w14:paraId="4F83CF9E" w14:textId="77777777" w:rsidR="0043292C" w:rsidRPr="00B916EC" w:rsidRDefault="0043292C" w:rsidP="0043292C">
      <w:pPr>
        <w:spacing w:after="60"/>
        <w:rPr>
          <w:lang w:eastAsia="ja-JP"/>
        </w:rPr>
      </w:pPr>
      <w:r w:rsidRPr="00B916EC">
        <w:rPr>
          <w:lang w:eastAsia="ja-JP"/>
        </w:rPr>
        <w:t xml:space="preserve">A UE </w:t>
      </w:r>
      <w:r w:rsidR="009F21F0">
        <w:rPr>
          <w:lang w:eastAsia="ja-JP"/>
        </w:rPr>
        <w:t>does</w:t>
      </w:r>
      <w:r w:rsidR="009F21F0" w:rsidRPr="00B916EC">
        <w:rPr>
          <w:lang w:eastAsia="ja-JP"/>
        </w:rPr>
        <w:t xml:space="preserve"> </w:t>
      </w:r>
      <w:r w:rsidRPr="00B916EC">
        <w:rPr>
          <w:lang w:eastAsia="ja-JP"/>
        </w:rPr>
        <w:t xml:space="preserve">not expect to monitor PDCCH when the UE performs </w:t>
      </w:r>
      <w:r w:rsidR="00A72641">
        <w:rPr>
          <w:lang w:eastAsia="ja-JP"/>
        </w:rPr>
        <w:t xml:space="preserve">RRM </w:t>
      </w:r>
      <w:r w:rsidRPr="00B916EC">
        <w:rPr>
          <w:lang w:eastAsia="ja-JP"/>
        </w:rPr>
        <w:t xml:space="preserve">measurements </w:t>
      </w:r>
      <w:r w:rsidR="00A72641" w:rsidRPr="0080392F">
        <w:t xml:space="preserve">[10, TS 38.133] </w:t>
      </w:r>
      <w:r w:rsidRPr="00B916EC">
        <w:rPr>
          <w:lang w:eastAsia="ja-JP"/>
        </w:rPr>
        <w:t>over a bandwidth that is not within the</w:t>
      </w:r>
      <w:r w:rsidR="00A72641">
        <w:rPr>
          <w:lang w:eastAsia="ja-JP"/>
        </w:rPr>
        <w:t xml:space="preserve"> active</w:t>
      </w:r>
      <w:r w:rsidRPr="00B916EC">
        <w:rPr>
          <w:lang w:eastAsia="ja-JP"/>
        </w:rPr>
        <w:t xml:space="preserve"> DL BWP for the UE.</w:t>
      </w:r>
    </w:p>
    <w:p w14:paraId="0EC0AFD3" w14:textId="77777777" w:rsidR="000D080C" w:rsidRPr="00B916EC" w:rsidRDefault="000D080C" w:rsidP="000D080C">
      <w:pPr>
        <w:pStyle w:val="Heading1"/>
        <w:rPr>
          <w:rFonts w:eastAsia="MS Mincho"/>
          <w:lang w:eastAsia="ja-JP"/>
        </w:rPr>
      </w:pPr>
      <w:bookmarkStart w:id="799" w:name="_Ref500334477"/>
      <w:bookmarkStart w:id="800" w:name="_Toc12021495"/>
      <w:bookmarkStart w:id="801" w:name="_Toc20311607"/>
      <w:bookmarkStart w:id="802" w:name="_Toc26719432"/>
      <w:bookmarkStart w:id="803" w:name="_Toc29894872"/>
      <w:bookmarkStart w:id="804" w:name="_Toc29899171"/>
      <w:bookmarkStart w:id="805" w:name="_Toc29899589"/>
      <w:bookmarkStart w:id="806" w:name="_Toc29917325"/>
      <w:bookmarkStart w:id="807" w:name="_Toc36498199"/>
      <w:bookmarkStart w:id="808" w:name="_Toc45699227"/>
      <w:bookmarkStart w:id="809" w:name="_Toc161999161"/>
      <w:r w:rsidRPr="00B916EC">
        <w:rPr>
          <w:rFonts w:hint="eastAsia"/>
          <w:lang w:eastAsia="zh-CN"/>
        </w:rPr>
        <w:t>1</w:t>
      </w:r>
      <w:r w:rsidR="00EC0649">
        <w:rPr>
          <w:lang w:eastAsia="zh-CN"/>
        </w:rPr>
        <w:t>3</w:t>
      </w:r>
      <w:r w:rsidRPr="00B916EC">
        <w:tab/>
      </w:r>
      <w:r w:rsidRPr="00B916EC">
        <w:rPr>
          <w:rFonts w:eastAsia="MS Mincho"/>
          <w:lang w:eastAsia="ja-JP"/>
        </w:rPr>
        <w:t xml:space="preserve">UE procedure for monitoring Type0-PDCCH </w:t>
      </w:r>
      <w:r w:rsidR="00142AB7">
        <w:rPr>
          <w:rFonts w:eastAsia="MS Mincho"/>
          <w:lang w:eastAsia="ja-JP"/>
        </w:rPr>
        <w:t>CSS sets</w:t>
      </w:r>
      <w:bookmarkEnd w:id="799"/>
      <w:bookmarkEnd w:id="800"/>
      <w:bookmarkEnd w:id="801"/>
      <w:bookmarkEnd w:id="802"/>
      <w:bookmarkEnd w:id="803"/>
      <w:bookmarkEnd w:id="804"/>
      <w:bookmarkEnd w:id="805"/>
      <w:bookmarkEnd w:id="806"/>
      <w:bookmarkEnd w:id="807"/>
      <w:bookmarkEnd w:id="808"/>
      <w:bookmarkEnd w:id="809"/>
    </w:p>
    <w:p w14:paraId="1125F9D0" w14:textId="4956647F" w:rsidR="00CB0C9E" w:rsidRPr="00D20E88" w:rsidRDefault="00CB0C9E" w:rsidP="00CB0C9E">
      <w:pPr>
        <w:textAlignment w:val="bottom"/>
      </w:pPr>
      <w:r w:rsidRPr="0058428E">
        <w:t xml:space="preserve">If </w:t>
      </w:r>
      <w:r>
        <w:t xml:space="preserve">during cell </w:t>
      </w:r>
      <w:r w:rsidRPr="00D20E88">
        <w:t xml:space="preserve">search a UE determines from </w:t>
      </w:r>
      <w:r>
        <w:rPr>
          <w:rFonts w:eastAsia="Yu Mincho"/>
          <w:i/>
          <w:szCs w:val="24"/>
        </w:rPr>
        <w:t>MIB</w:t>
      </w:r>
      <w:r w:rsidRPr="00D20E88">
        <w:t xml:space="preserve"> </w:t>
      </w:r>
      <w:r w:rsidRPr="00D20E88">
        <w:rPr>
          <w:szCs w:val="24"/>
        </w:rPr>
        <w:t xml:space="preserve">that a CORESET for Type0-PDCCH CSS set is present, as described </w:t>
      </w:r>
      <w:r w:rsidR="006F5F9E">
        <w:rPr>
          <w:szCs w:val="24"/>
        </w:rPr>
        <w:t>in clause</w:t>
      </w:r>
      <w:r w:rsidRPr="00D20E88">
        <w:rPr>
          <w:szCs w:val="24"/>
        </w:rPr>
        <w:t xml:space="preserve"> 4.1,</w:t>
      </w:r>
      <w:r w:rsidRPr="00D20E88">
        <w:rPr>
          <w:lang w:val="en-US"/>
        </w:rPr>
        <w:t xml:space="preserve"> the UE determines a number of consecutive resource blocks and a number of consecutive symbols for the CORESET of the Type0-PDCCH CSS set from </w:t>
      </w:r>
      <w:r w:rsidR="00E00584" w:rsidRPr="00596D36">
        <w:rPr>
          <w:i/>
          <w:iCs/>
        </w:rPr>
        <w:t>controlResourceSetZero</w:t>
      </w:r>
      <w:r w:rsidR="00E00584" w:rsidRPr="00596D36">
        <w:rPr>
          <w:iCs/>
        </w:rPr>
        <w:t xml:space="preserve"> in</w:t>
      </w:r>
      <w:r w:rsidRPr="00D20E88">
        <w:rPr>
          <w:lang w:val="en-US"/>
        </w:rPr>
        <w:t xml:space="preserve"> </w:t>
      </w:r>
      <w:r w:rsidRPr="00D20E88">
        <w:rPr>
          <w:i/>
        </w:rPr>
        <w:t>pdcch-ConfigSIB1</w:t>
      </w:r>
      <w:r w:rsidRPr="00D20E88">
        <w:t>,</w:t>
      </w:r>
      <w:r w:rsidRPr="00D20E88">
        <w:rPr>
          <w:lang w:val="en-US"/>
        </w:rPr>
        <w:t xml:space="preserve"> as described in Tables 13-</w:t>
      </w:r>
      <w:r w:rsidR="00512AD8">
        <w:rPr>
          <w:lang w:val="en-US"/>
        </w:rPr>
        <w:t>0</w:t>
      </w:r>
      <w:r w:rsidR="00512AD8" w:rsidRPr="00D20E88">
        <w:rPr>
          <w:lang w:val="en-US"/>
        </w:rPr>
        <w:t xml:space="preserve"> </w:t>
      </w:r>
      <w:r w:rsidRPr="00D20E88">
        <w:rPr>
          <w:lang w:val="en-US"/>
        </w:rPr>
        <w:t xml:space="preserve">through 13-10, </w:t>
      </w:r>
      <w:r w:rsidR="006E1E1F" w:rsidRPr="00D26445">
        <w:rPr>
          <w:lang w:val="en-US"/>
        </w:rPr>
        <w:t>for operation without shared spectrum channel access</w:t>
      </w:r>
      <w:r w:rsidR="0069307D">
        <w:rPr>
          <w:lang w:val="en-US"/>
        </w:rPr>
        <w:t xml:space="preserve"> </w:t>
      </w:r>
      <w:r w:rsidR="0069307D" w:rsidRPr="00B27E56">
        <w:rPr>
          <w:lang w:val="en-US"/>
        </w:rPr>
        <w:t>in FR1 and FR2-1</w:t>
      </w:r>
      <w:r w:rsidR="006E1E1F" w:rsidRPr="00D26445">
        <w:rPr>
          <w:lang w:val="en-US"/>
        </w:rPr>
        <w:t>, or as described in Tables 13-1A and 13-</w:t>
      </w:r>
      <w:r w:rsidR="006E1E1F">
        <w:rPr>
          <w:lang w:val="en-US"/>
        </w:rPr>
        <w:t>4</w:t>
      </w:r>
      <w:r w:rsidR="006E1E1F" w:rsidRPr="00D26445">
        <w:rPr>
          <w:lang w:val="en-US"/>
        </w:rPr>
        <w:t>A for operation with shared spectrum channel access</w:t>
      </w:r>
      <w:r w:rsidR="0069307D" w:rsidRPr="0069307D">
        <w:rPr>
          <w:lang w:val="en-US"/>
        </w:rPr>
        <w:t xml:space="preserve"> </w:t>
      </w:r>
      <w:r w:rsidR="0069307D" w:rsidRPr="00B27E56">
        <w:rPr>
          <w:lang w:val="en-US"/>
        </w:rPr>
        <w:t>in FR1, or as described in Table 13-10A for FR2-2</w:t>
      </w:r>
      <w:r w:rsidR="006E1E1F" w:rsidRPr="00D26445">
        <w:rPr>
          <w:lang w:val="en-US"/>
        </w:rPr>
        <w:t>,</w:t>
      </w:r>
      <w:r w:rsidR="006E1E1F">
        <w:rPr>
          <w:lang w:val="en-US"/>
        </w:rPr>
        <w:t xml:space="preserve"> </w:t>
      </w:r>
      <w:r w:rsidRPr="00D20E88">
        <w:rPr>
          <w:lang w:val="en-US"/>
        </w:rPr>
        <w:t xml:space="preserve">and determines PDCCH monitoring occasions from </w:t>
      </w:r>
      <w:r w:rsidR="00E00584" w:rsidRPr="00596D36">
        <w:rPr>
          <w:i/>
          <w:iCs/>
        </w:rPr>
        <w:t>searchSpaceZero</w:t>
      </w:r>
      <w:r w:rsidR="00E00584">
        <w:rPr>
          <w:iCs/>
        </w:rPr>
        <w:t xml:space="preserve"> in </w:t>
      </w:r>
      <w:r w:rsidRPr="00D20E88">
        <w:rPr>
          <w:i/>
        </w:rPr>
        <w:t>pdcch-ConfigSIB1</w:t>
      </w:r>
      <w:r w:rsidRPr="00D20E88">
        <w:rPr>
          <w:lang w:val="en-US"/>
        </w:rPr>
        <w:t xml:space="preserve">, </w:t>
      </w:r>
      <w:r w:rsidRPr="00D20E88">
        <w:rPr>
          <w:rFonts w:eastAsia="MS Mincho"/>
        </w:rPr>
        <w:t xml:space="preserve">included in </w:t>
      </w:r>
      <w:r>
        <w:rPr>
          <w:i/>
        </w:rPr>
        <w:t>MIB</w:t>
      </w:r>
      <w:r w:rsidRPr="00D20E88">
        <w:t xml:space="preserve">, </w:t>
      </w:r>
      <w:r w:rsidRPr="00D20E88">
        <w:rPr>
          <w:lang w:val="en-US"/>
        </w:rPr>
        <w:t>as described in Tables 13-11 through 13-15</w:t>
      </w:r>
      <w:r w:rsidR="00393F9D">
        <w:rPr>
          <w:rFonts w:hint="eastAsia"/>
          <w:lang w:val="en-US" w:eastAsia="zh-CN"/>
        </w:rPr>
        <w:t>A</w:t>
      </w:r>
      <w:r w:rsidRPr="00D20E88">
        <w:rPr>
          <w:lang w:val="en-US"/>
        </w:rPr>
        <w:t xml:space="preserve">. </w:t>
      </w:r>
      <m:oMath>
        <m:sSub>
          <m:sSubPr>
            <m:ctrlPr>
              <w:rPr>
                <w:rFonts w:ascii="Cambria Math" w:hAnsi="Cambria Math"/>
                <w:iCs/>
                <w:lang w:val="en-US"/>
              </w:rPr>
            </m:ctrlPr>
          </m:sSubPr>
          <m:e>
            <m:r>
              <m:rPr>
                <m:sty m:val="p"/>
              </m:rPr>
              <w:rPr>
                <w:rFonts w:ascii="Cambria Math" w:hAnsi="Cambria Math"/>
                <w:lang w:val="en-US"/>
              </w:rPr>
              <m:t>SFN</m:t>
            </m:r>
          </m:e>
          <m:sub>
            <m:r>
              <m:rPr>
                <m:sty m:val="p"/>
              </m:rPr>
              <w:rPr>
                <w:rFonts w:ascii="Cambria Math" w:hAnsi="Cambria Math"/>
                <w:lang w:val="en-US"/>
              </w:rPr>
              <m:t>c</m:t>
            </m:r>
          </m:sub>
        </m:sSub>
      </m:oMath>
      <w:r w:rsidRPr="00D20E88">
        <w:t xml:space="preserve"> and </w:t>
      </w:r>
      <m:oMath>
        <m:sSub>
          <m:sSubPr>
            <m:ctrlPr>
              <w:rPr>
                <w:rFonts w:ascii="Cambria Math" w:hAnsi="Cambria Math"/>
                <w:iCs/>
                <w:lang w:val="en-US"/>
              </w:rPr>
            </m:ctrlPr>
          </m:sSubPr>
          <m:e>
            <m:r>
              <w:rPr>
                <w:rFonts w:ascii="Cambria Math" w:hAnsi="Cambria Math"/>
                <w:lang w:val="en-US"/>
              </w:rPr>
              <m:t>n</m:t>
            </m:r>
          </m:e>
          <m:sub>
            <m:r>
              <m:rPr>
                <m:sty m:val="p"/>
              </m:rPr>
              <w:rPr>
                <w:rFonts w:ascii="Cambria Math" w:hAnsi="Cambria Math"/>
                <w:lang w:val="en-US"/>
              </w:rPr>
              <m:t>c</m:t>
            </m:r>
          </m:sub>
        </m:sSub>
      </m:oMath>
      <w:r w:rsidRPr="00D20E88">
        <w:t xml:space="preserve"> are the SFN and slot index within a frame of the CORESET based on </w:t>
      </w:r>
      <w:r>
        <w:t>SCS</w:t>
      </w:r>
      <w:r w:rsidRPr="00D20E88">
        <w:t xml:space="preserve"> of the CORESET and </w:t>
      </w:r>
      <m:oMath>
        <m:sSub>
          <m:sSubPr>
            <m:ctrlPr>
              <w:rPr>
                <w:rFonts w:ascii="Cambria Math" w:hAnsi="Cambria Math"/>
                <w:iCs/>
                <w:lang w:val="en-US"/>
              </w:rPr>
            </m:ctrlPr>
          </m:sSubPr>
          <m:e>
            <m:r>
              <m:rPr>
                <m:sty m:val="p"/>
              </m:rPr>
              <w:rPr>
                <w:rFonts w:ascii="Cambria Math" w:hAnsi="Cambria Math"/>
                <w:lang w:val="en-US"/>
              </w:rPr>
              <m:t>SFN</m:t>
            </m:r>
          </m:e>
          <m:sub>
            <m:r>
              <m:rPr>
                <m:sty m:val="p"/>
              </m:rPr>
              <w:rPr>
                <w:rFonts w:ascii="Cambria Math" w:hAnsi="Cambria Math"/>
                <w:lang w:val="en-US"/>
              </w:rPr>
              <m:t>SSB,</m:t>
            </m:r>
            <m:r>
              <w:rPr>
                <w:rFonts w:ascii="Cambria Math" w:hAnsi="Cambria Math"/>
                <w:lang w:val="en-US"/>
              </w:rPr>
              <m:t>i</m:t>
            </m:r>
          </m:sub>
        </m:sSub>
      </m:oMath>
      <w:r w:rsidRPr="00D20E88">
        <w:t xml:space="preserve"> and </w:t>
      </w:r>
      <m:oMath>
        <m:sSub>
          <m:sSubPr>
            <m:ctrlPr>
              <w:rPr>
                <w:rFonts w:ascii="Cambria Math" w:hAnsi="Cambria Math"/>
                <w:iCs/>
                <w:lang w:val="en-US"/>
              </w:rPr>
            </m:ctrlPr>
          </m:sSubPr>
          <m:e>
            <m:r>
              <w:rPr>
                <w:rFonts w:ascii="Cambria Math" w:hAnsi="Cambria Math"/>
                <w:lang w:val="en-US"/>
              </w:rPr>
              <m:t>n</m:t>
            </m:r>
          </m:e>
          <m:sub>
            <m:r>
              <m:rPr>
                <m:sty m:val="p"/>
              </m:rPr>
              <w:rPr>
                <w:rFonts w:ascii="Cambria Math" w:hAnsi="Cambria Math"/>
                <w:lang w:val="en-US"/>
              </w:rPr>
              <m:t>SSB,</m:t>
            </m:r>
            <m:r>
              <w:rPr>
                <w:rFonts w:ascii="Cambria Math" w:hAnsi="Cambria Math"/>
                <w:lang w:val="en-US"/>
              </w:rPr>
              <m:t>i</m:t>
            </m:r>
          </m:sub>
        </m:sSub>
      </m:oMath>
      <w:r w:rsidRPr="00D20E88">
        <w:t xml:space="preserve"> are the SFN and slot index based on </w:t>
      </w:r>
      <w:r>
        <w:t>SCS</w:t>
      </w:r>
      <w:r w:rsidRPr="00D20E88">
        <w:t xml:space="preserve"> of the CORESET, respectively, where the SS/PBCH block with index </w:t>
      </w:r>
      <m:oMath>
        <m:r>
          <w:rPr>
            <w:rFonts w:ascii="Cambria Math" w:hAnsi="Cambria Math"/>
            <w:lang w:val="en-US"/>
          </w:rPr>
          <m:t>i</m:t>
        </m:r>
      </m:oMath>
      <w:r w:rsidRPr="00D20E88">
        <w:t xml:space="preserve"> overlaps in time with system frame </w:t>
      </w:r>
      <m:oMath>
        <m:sSub>
          <m:sSubPr>
            <m:ctrlPr>
              <w:rPr>
                <w:rFonts w:ascii="Cambria Math" w:hAnsi="Cambria Math"/>
                <w:iCs/>
                <w:lang w:val="en-US"/>
              </w:rPr>
            </m:ctrlPr>
          </m:sSubPr>
          <m:e>
            <m:r>
              <m:rPr>
                <m:sty m:val="p"/>
              </m:rPr>
              <w:rPr>
                <w:rFonts w:ascii="Cambria Math" w:hAnsi="Cambria Math"/>
                <w:lang w:val="en-US"/>
              </w:rPr>
              <m:t>SFN</m:t>
            </m:r>
          </m:e>
          <m:sub>
            <m:r>
              <m:rPr>
                <m:sty m:val="p"/>
              </m:rPr>
              <w:rPr>
                <w:rFonts w:ascii="Cambria Math" w:hAnsi="Cambria Math"/>
                <w:lang w:val="en-US"/>
              </w:rPr>
              <m:t>SSB,</m:t>
            </m:r>
            <m:r>
              <w:rPr>
                <w:rFonts w:ascii="Cambria Math" w:hAnsi="Cambria Math"/>
                <w:lang w:val="en-US"/>
              </w:rPr>
              <m:t>i</m:t>
            </m:r>
          </m:sub>
        </m:sSub>
      </m:oMath>
      <w:r w:rsidRPr="00D20E88">
        <w:t xml:space="preserve"> and slot </w:t>
      </w:r>
      <m:oMath>
        <m:sSub>
          <m:sSubPr>
            <m:ctrlPr>
              <w:rPr>
                <w:rFonts w:ascii="Cambria Math" w:hAnsi="Cambria Math"/>
                <w:iCs/>
                <w:lang w:val="en-US"/>
              </w:rPr>
            </m:ctrlPr>
          </m:sSubPr>
          <m:e>
            <m:r>
              <w:rPr>
                <w:rFonts w:ascii="Cambria Math" w:hAnsi="Cambria Math"/>
                <w:lang w:val="en-US"/>
              </w:rPr>
              <m:t>n</m:t>
            </m:r>
          </m:e>
          <m:sub>
            <m:r>
              <m:rPr>
                <m:sty m:val="p"/>
              </m:rPr>
              <w:rPr>
                <w:rFonts w:ascii="Cambria Math" w:hAnsi="Cambria Math"/>
                <w:lang w:val="en-US"/>
              </w:rPr>
              <m:t>SSB,</m:t>
            </m:r>
            <m:r>
              <w:rPr>
                <w:rFonts w:ascii="Cambria Math" w:hAnsi="Cambria Math"/>
                <w:lang w:val="en-US"/>
              </w:rPr>
              <m:t>i</m:t>
            </m:r>
          </m:sub>
        </m:sSub>
      </m:oMath>
      <w:r w:rsidRPr="00D20E88">
        <w:t xml:space="preserve">. The symbols of the CORESET associated </w:t>
      </w:r>
      <w:r w:rsidRPr="00D20E88">
        <w:rPr>
          <w:lang w:val="en-US" w:eastAsia="x-none"/>
        </w:rPr>
        <w:t xml:space="preserve">with </w:t>
      </w:r>
      <w:r w:rsidRPr="00D20E88">
        <w:rPr>
          <w:i/>
        </w:rPr>
        <w:t>pdcch-ConfigSIB1</w:t>
      </w:r>
      <w:r w:rsidRPr="00D20E88">
        <w:rPr>
          <w:lang w:val="en-US"/>
        </w:rPr>
        <w:t xml:space="preserve"> </w:t>
      </w:r>
      <w:r w:rsidRPr="00D20E88">
        <w:rPr>
          <w:rFonts w:eastAsia="MS Mincho"/>
        </w:rPr>
        <w:t xml:space="preserve">in </w:t>
      </w:r>
      <w:r>
        <w:rPr>
          <w:i/>
        </w:rPr>
        <w:t>MIB</w:t>
      </w:r>
      <w:r w:rsidRPr="00D20E88">
        <w:rPr>
          <w:lang w:val="en-US" w:eastAsia="x-none"/>
        </w:rPr>
        <w:t xml:space="preserve"> or with </w:t>
      </w:r>
      <w:r w:rsidRPr="00D20E88">
        <w:rPr>
          <w:i/>
          <w:iCs/>
          <w:lang w:val="en-US" w:eastAsia="x-none"/>
        </w:rPr>
        <w:t xml:space="preserve">searchSpaceSIB1 </w:t>
      </w:r>
      <w:r w:rsidRPr="00D20E88">
        <w:rPr>
          <w:iCs/>
          <w:lang w:val="en-US" w:eastAsia="x-none"/>
        </w:rPr>
        <w:t xml:space="preserve">in </w:t>
      </w:r>
      <w:r w:rsidRPr="00D20E88">
        <w:rPr>
          <w:i/>
          <w:iCs/>
          <w:lang w:val="en-US" w:eastAsia="x-none"/>
        </w:rPr>
        <w:t>PDCCH-ConfigCommon</w:t>
      </w:r>
      <w:r w:rsidRPr="00D20E88">
        <w:rPr>
          <w:iCs/>
          <w:lang w:val="en-US" w:eastAsia="x-none"/>
        </w:rPr>
        <w:t xml:space="preserve"> have normal cyclic prefix. </w:t>
      </w:r>
      <w:r w:rsidR="00512AD8">
        <w:rPr>
          <w:iCs/>
          <w:lang w:val="en-US" w:eastAsia="x-none"/>
        </w:rPr>
        <w:t>In Table 13-0, configurations with index 0 to 9 are applicable when an associated SS/PBCH block is located according to Table 5.4.3.3-2 in [</w:t>
      </w:r>
      <w:r w:rsidR="00512AD8" w:rsidRPr="003F4FF9">
        <w:rPr>
          <w:lang w:val="en-US" w:eastAsia="ko-KR"/>
        </w:rPr>
        <w:t>8-1, TS 38.101-1</w:t>
      </w:r>
      <w:r w:rsidR="00512AD8">
        <w:rPr>
          <w:iCs/>
          <w:lang w:val="en-US" w:eastAsia="x-none"/>
        </w:rPr>
        <w:t>], configurations with index 10 to 11 are applicable when an associated SS/PBCH block is located according to NOTE 12 of Table 5.4.3.3-1 in [</w:t>
      </w:r>
      <w:r w:rsidR="00512AD8" w:rsidRPr="003F4FF9">
        <w:rPr>
          <w:lang w:val="en-US" w:eastAsia="ko-KR"/>
        </w:rPr>
        <w:t>8-1, TS 38.101-1</w:t>
      </w:r>
      <w:r w:rsidR="00512AD8">
        <w:rPr>
          <w:iCs/>
          <w:lang w:val="en-US" w:eastAsia="x-none"/>
        </w:rPr>
        <w:t>], and non-interleaved CCE-to-REG mapping applies for configurations with index 6 to 9. In Table 13-1, the associated SS/PBCH block is not located according to NOTE 12 of Table 5.4.3.3-1 in [</w:t>
      </w:r>
      <w:r w:rsidR="00512AD8" w:rsidRPr="003F4FF9">
        <w:rPr>
          <w:lang w:val="en-US" w:eastAsia="ko-KR"/>
        </w:rPr>
        <w:t>8-1, TS 38.101-1</w:t>
      </w:r>
      <w:r w:rsidR="00512AD8">
        <w:rPr>
          <w:iCs/>
          <w:lang w:val="en-US" w:eastAsia="x-none"/>
        </w:rPr>
        <w:t>].</w:t>
      </w:r>
    </w:p>
    <w:p w14:paraId="78ED50F7" w14:textId="65BFD5AB" w:rsidR="00EA04A8" w:rsidRPr="00C92A5F" w:rsidRDefault="001D0642" w:rsidP="00EA04A8">
      <w:pPr>
        <w:rPr>
          <w:lang w:val="en-US"/>
        </w:rPr>
      </w:pPr>
      <w:r w:rsidRPr="00842081">
        <w:t xml:space="preserve">For </w:t>
      </w:r>
      <w:r w:rsidR="00034267" w:rsidRPr="00F52ECE">
        <w:t>operation with shared spectrum channel access in FR2-2</w:t>
      </w:r>
      <w:r w:rsidR="00034267">
        <w:t xml:space="preserve"> and for </w:t>
      </w:r>
      <w:r w:rsidRPr="00842081">
        <w:t xml:space="preserve">operation without shared spectrum channel access, a UE assumes </w:t>
      </w:r>
      <w:r>
        <w:t xml:space="preserve">that </w:t>
      </w:r>
      <w:r>
        <w:rPr>
          <w:lang w:val="en-US"/>
        </w:rPr>
        <w:t>t</w:t>
      </w:r>
      <w:r w:rsidRPr="00C92A5F">
        <w:rPr>
          <w:lang w:val="en-US"/>
        </w:rPr>
        <w:t xml:space="preserve">he </w:t>
      </w:r>
      <w:r w:rsidR="00EA04A8" w:rsidRPr="00C92A5F">
        <w:rPr>
          <w:lang w:val="en-US"/>
        </w:rPr>
        <w:t>offset in Tables 13-</w:t>
      </w:r>
      <w:r w:rsidR="00512AD8">
        <w:rPr>
          <w:lang w:val="en-US"/>
        </w:rPr>
        <w:t>0</w:t>
      </w:r>
      <w:r w:rsidR="00512AD8" w:rsidRPr="00C92A5F">
        <w:rPr>
          <w:lang w:val="en-US"/>
        </w:rPr>
        <w:t xml:space="preserve"> </w:t>
      </w:r>
      <w:r w:rsidR="00EA04A8" w:rsidRPr="00C92A5F">
        <w:rPr>
          <w:lang w:val="en-US"/>
        </w:rPr>
        <w:t>through 13-10</w:t>
      </w:r>
      <w:r w:rsidR="00034267">
        <w:rPr>
          <w:lang w:val="en-US"/>
        </w:rPr>
        <w:t>A</w:t>
      </w:r>
      <w:r w:rsidR="00EA04A8" w:rsidRPr="00C92A5F">
        <w:rPr>
          <w:lang w:val="en-US"/>
        </w:rPr>
        <w:t xml:space="preserve"> is defined with respect to the </w:t>
      </w:r>
      <w:r w:rsidR="00143099">
        <w:rPr>
          <w:lang w:val="en-US"/>
        </w:rPr>
        <w:t>SCS</w:t>
      </w:r>
      <w:r w:rsidR="00EA04A8" w:rsidRPr="00C92A5F">
        <w:rPr>
          <w:lang w:val="en-US"/>
        </w:rPr>
        <w:t xml:space="preserve"> of the </w:t>
      </w:r>
      <w:r w:rsidR="00C76664">
        <w:rPr>
          <w:lang w:val="en-US"/>
        </w:rPr>
        <w:t>CORESET</w:t>
      </w:r>
      <w:r w:rsidR="00EA04A8" w:rsidRPr="00C92A5F">
        <w:rPr>
          <w:lang w:val="en-US"/>
        </w:rPr>
        <w:t xml:space="preserve"> for Type0-PDCCH </w:t>
      </w:r>
      <w:r w:rsidR="00CB0C9E" w:rsidRPr="00D20E88">
        <w:rPr>
          <w:lang w:val="en-US"/>
        </w:rPr>
        <w:t>CSS set</w:t>
      </w:r>
      <w:r w:rsidR="00EA04A8" w:rsidRPr="00C92A5F">
        <w:rPr>
          <w:iCs/>
        </w:rPr>
        <w:t xml:space="preserve"> </w:t>
      </w:r>
      <w:r w:rsidR="00EA04A8" w:rsidRPr="00C92A5F">
        <w:rPr>
          <w:lang w:val="en-US"/>
        </w:rPr>
        <w:t xml:space="preserve">from the smallest RB index of the </w:t>
      </w:r>
      <w:r w:rsidR="00C76664">
        <w:rPr>
          <w:lang w:val="en-US"/>
        </w:rPr>
        <w:t>CORESET</w:t>
      </w:r>
      <w:r w:rsidR="00EA04A8" w:rsidRPr="00C92A5F">
        <w:rPr>
          <w:lang w:val="en-US"/>
        </w:rPr>
        <w:t xml:space="preserve"> for Type0-PDCCH </w:t>
      </w:r>
      <w:r w:rsidR="00CB0C9E" w:rsidRPr="00D20E88">
        <w:rPr>
          <w:lang w:val="en-US"/>
        </w:rPr>
        <w:t>CSS set</w:t>
      </w:r>
      <w:r w:rsidR="00EA04A8" w:rsidRPr="00C92A5F">
        <w:rPr>
          <w:lang w:val="en-US"/>
        </w:rPr>
        <w:t xml:space="preserve"> to the smallest RB index of the common RB overlapping with the first RB </w:t>
      </w:r>
      <w:r w:rsidR="00EA04A8" w:rsidRPr="0085214D">
        <w:rPr>
          <w:lang w:val="en-US"/>
        </w:rPr>
        <w:t>of the corresponding SS/PBCH block</w:t>
      </w:r>
      <w:r w:rsidR="00512AD8">
        <w:rPr>
          <w:lang w:val="en-US"/>
        </w:rPr>
        <w:t xml:space="preserve">, after puncturing if any </w:t>
      </w:r>
      <w:r w:rsidR="00512AD8" w:rsidRPr="003F4FF9">
        <w:t>[4, TS 38.211]</w:t>
      </w:r>
      <w:r w:rsidR="00EA04A8" w:rsidRPr="0085214D">
        <w:rPr>
          <w:lang w:val="en-US"/>
        </w:rPr>
        <w:t xml:space="preserve">. </w:t>
      </w:r>
      <w:r w:rsidR="0069307D" w:rsidRPr="00B27E56">
        <w:rPr>
          <w:lang w:val="en-US"/>
        </w:rPr>
        <w:t xml:space="preserve">The SCS of the CORESET for Type0-PDCCH CSS set is provided by </w:t>
      </w:r>
      <w:r w:rsidR="0069307D" w:rsidRPr="00B27E56">
        <w:rPr>
          <w:i/>
          <w:iCs/>
        </w:rPr>
        <w:t>subCarrierSpacingCommon</w:t>
      </w:r>
      <w:r w:rsidR="0069307D" w:rsidRPr="00B27E56">
        <w:rPr>
          <w:iCs/>
        </w:rPr>
        <w:t xml:space="preserve"> for FR1 and FR2-1 and same as the SCS of the corresponding SS/PBCH block for FR2-2. </w:t>
      </w:r>
      <w:r w:rsidR="00EA04A8" w:rsidRPr="0085214D">
        <w:rPr>
          <w:lang w:val="en-US"/>
        </w:rPr>
        <w:t>In Tables 13-7, 13-8, and 13-10</w:t>
      </w:r>
      <w:r w:rsidR="00034267">
        <w:rPr>
          <w:lang w:val="en-US"/>
        </w:rPr>
        <w:t>,</w:t>
      </w:r>
      <w:r w:rsidR="00EA04A8" w:rsidRPr="0085214D">
        <w:rPr>
          <w:lang w:val="en-US"/>
        </w:rPr>
        <w:t xml:space="preserve"> </w:t>
      </w:r>
      <m:oMath>
        <m:sSub>
          <m:sSubPr>
            <m:ctrlPr>
              <w:rPr>
                <w:rFonts w:ascii="Cambria Math" w:hAnsi="Cambria Math"/>
                <w:iCs/>
                <w:lang w:val="en-US"/>
              </w:rPr>
            </m:ctrlPr>
          </m:sSubPr>
          <m:e>
            <m:r>
              <w:rPr>
                <w:rFonts w:ascii="Cambria Math" w:hAnsi="Cambria Math"/>
                <w:lang w:val="en-US"/>
              </w:rPr>
              <m:t>k</m:t>
            </m:r>
          </m:e>
          <m:sub>
            <m:r>
              <m:rPr>
                <m:sty m:val="p"/>
              </m:rPr>
              <w:rPr>
                <w:rFonts w:ascii="Cambria Math" w:hAnsi="Cambria Math"/>
                <w:lang w:val="en-US"/>
              </w:rPr>
              <m:t>SSB</m:t>
            </m:r>
          </m:sub>
        </m:sSub>
      </m:oMath>
      <w:r w:rsidR="00EA04A8" w:rsidRPr="00C92A5F">
        <w:t xml:space="preserve"> is defined in [4, TS 38.211]</w:t>
      </w:r>
      <w:r w:rsidR="00EA04A8" w:rsidRPr="00C92A5F">
        <w:rPr>
          <w:lang w:val="en-US"/>
        </w:rPr>
        <w:t xml:space="preserve">. </w:t>
      </w:r>
    </w:p>
    <w:p w14:paraId="6678D314" w14:textId="69E64E3A" w:rsidR="00CA44FD" w:rsidRPr="00D26445" w:rsidRDefault="00CA44FD" w:rsidP="00CA44FD">
      <w:pPr>
        <w:rPr>
          <w:lang w:val="en-US"/>
        </w:rPr>
      </w:pPr>
      <w:r w:rsidRPr="00D26445">
        <w:rPr>
          <w:lang w:val="en-US"/>
        </w:rPr>
        <w:t>For operation with shared spectrum channel access</w:t>
      </w:r>
      <w:r w:rsidR="00034267">
        <w:rPr>
          <w:lang w:val="en-US"/>
        </w:rPr>
        <w:t xml:space="preserve"> in FR1</w:t>
      </w:r>
      <w:r w:rsidRPr="00D26445">
        <w:rPr>
          <w:lang w:val="en-US"/>
        </w:rPr>
        <w:t>, a UE determines an offset from a smallest RB index of the CORESET for Type0-PDCCH CSS set to a smallest RB index of the common RB overlapping with a first RB of the corresponding SS/PBCH block</w:t>
      </w:r>
    </w:p>
    <w:p w14:paraId="4446A6C5" w14:textId="3E12032F" w:rsidR="00CA44FD" w:rsidRPr="00D26445" w:rsidRDefault="00CA44FD" w:rsidP="00CA44FD">
      <w:pPr>
        <w:pStyle w:val="B1"/>
        <w:rPr>
          <w:i/>
        </w:rPr>
      </w:pPr>
      <w:r w:rsidRPr="00D26445">
        <w:t>-</w:t>
      </w:r>
      <w:r w:rsidRPr="00D26445">
        <w:tab/>
      </w:r>
      <w:r w:rsidRPr="00D26445">
        <w:rPr>
          <w:iCs/>
          <w:lang w:val="en-US"/>
        </w:rPr>
        <w:t xml:space="preserve">according to the offset in </w:t>
      </w:r>
      <w:r w:rsidRPr="00D26445">
        <w:rPr>
          <w:lang w:val="en-US"/>
        </w:rPr>
        <w:t xml:space="preserve">Table 13-1A </w:t>
      </w:r>
      <w:r w:rsidR="00AF2DCE">
        <w:rPr>
          <w:lang w:val="en-US"/>
        </w:rPr>
        <w:t>or</w:t>
      </w:r>
      <w:r w:rsidR="00AF2DCE" w:rsidRPr="00D26445">
        <w:rPr>
          <w:lang w:val="en-US"/>
        </w:rPr>
        <w:t xml:space="preserve"> </w:t>
      </w:r>
      <w:r w:rsidRPr="00D26445">
        <w:rPr>
          <w:lang w:val="en-US"/>
        </w:rPr>
        <w:t>Table 13-</w:t>
      </w:r>
      <w:r w:rsidR="00B47A11">
        <w:rPr>
          <w:lang w:val="en-US"/>
        </w:rPr>
        <w:t>4</w:t>
      </w:r>
      <w:r w:rsidR="00B47A11" w:rsidRPr="00D26445">
        <w:rPr>
          <w:lang w:val="en-US"/>
        </w:rPr>
        <w:t>A</w:t>
      </w:r>
      <w:r w:rsidRPr="00D26445">
        <w:rPr>
          <w:lang w:val="en-US"/>
        </w:rPr>
        <w:t xml:space="preserve">, </w:t>
      </w:r>
      <w:r w:rsidRPr="00D26445">
        <w:rPr>
          <w:iCs/>
          <w:lang w:val="en-US"/>
        </w:rPr>
        <w:t xml:space="preserve">if the </w:t>
      </w:r>
      <w:r w:rsidRPr="00D26445">
        <w:rPr>
          <w:rFonts w:eastAsia="Yu Mincho"/>
        </w:rPr>
        <w:t xml:space="preserve">frequency position </w:t>
      </w:r>
      <w:r w:rsidRPr="00D26445">
        <w:rPr>
          <w:iCs/>
          <w:lang w:val="en-US"/>
        </w:rPr>
        <w:t xml:space="preserve">of the </w:t>
      </w:r>
      <w:r w:rsidRPr="00D26445">
        <w:rPr>
          <w:lang w:val="en-US"/>
        </w:rPr>
        <w:t xml:space="preserve">SS/PBCH block </w:t>
      </w:r>
      <w:r w:rsidRPr="00D26445">
        <w:t>corresponds to the GSCN of a synchronization raster entry</w:t>
      </w:r>
      <w:r w:rsidRPr="00D26445">
        <w:rPr>
          <w:lang w:val="en-US"/>
        </w:rPr>
        <w:t xml:space="preserve"> as </w:t>
      </w:r>
      <w:r w:rsidRPr="00D26445">
        <w:t>defined in [8-1, TS 38.101</w:t>
      </w:r>
      <w:r w:rsidRPr="00D26445">
        <w:rPr>
          <w:lang w:val="en-US"/>
        </w:rPr>
        <w:t>-1</w:t>
      </w:r>
      <w:r w:rsidRPr="00D26445">
        <w:t>], and</w:t>
      </w:r>
    </w:p>
    <w:p w14:paraId="65789ABF" w14:textId="12F8D4F6" w:rsidR="00CA44FD" w:rsidRPr="00D26445" w:rsidRDefault="00CA44FD" w:rsidP="00CA44FD">
      <w:pPr>
        <w:pStyle w:val="B1"/>
        <w:rPr>
          <w:iCs/>
          <w:lang w:val="en-US"/>
        </w:rPr>
      </w:pPr>
      <w:r w:rsidRPr="00D26445">
        <w:t>-</w:t>
      </w:r>
      <w:r w:rsidRPr="00D26445">
        <w:tab/>
        <w:t xml:space="preserve">according to </w:t>
      </w:r>
      <w:r w:rsidRPr="00D26445">
        <w:rPr>
          <w:iCs/>
          <w:lang w:val="en-US"/>
        </w:rPr>
        <w:t>a sum of a first offset and a second offset</w:t>
      </w:r>
      <w:r w:rsidR="00B47A11" w:rsidRPr="00370E38">
        <w:rPr>
          <w:iCs/>
          <w:lang w:val="en-US"/>
        </w:rPr>
        <w:t xml:space="preserve"> </w:t>
      </w:r>
      <w:r w:rsidR="00B47A11" w:rsidRPr="00370E38">
        <w:rPr>
          <w:lang w:val="en-US" w:eastAsia="ko-KR"/>
        </w:rPr>
        <w:t xml:space="preserve">if the frequency position of the SS/PBCH block is provided by </w:t>
      </w:r>
      <w:r w:rsidR="00B47A11" w:rsidRPr="00370E38">
        <w:rPr>
          <w:i/>
          <w:iCs/>
          <w:lang w:val="en-US" w:eastAsia="ko-KR"/>
        </w:rPr>
        <w:t>ssbFrequency</w:t>
      </w:r>
      <w:r w:rsidR="00B47A11" w:rsidRPr="00370E38">
        <w:rPr>
          <w:lang w:val="en-US" w:eastAsia="ko-KR"/>
        </w:rPr>
        <w:t xml:space="preserve"> in a measurement configuration associated with a reporting configuration providing </w:t>
      </w:r>
      <w:r w:rsidR="00B47A11" w:rsidRPr="00370E38">
        <w:rPr>
          <w:i/>
          <w:iCs/>
          <w:lang w:val="en-US" w:eastAsia="ko-KR"/>
        </w:rPr>
        <w:t>reportCGI</w:t>
      </w:r>
      <w:r w:rsidR="00B47A11" w:rsidRPr="00370E38">
        <w:rPr>
          <w:lang w:val="en-US" w:eastAsia="ko-KR"/>
        </w:rPr>
        <w:t xml:space="preserve"> and does not correspond to the GSCN of a synchronization raster entry as defined in [8-1, TS 38.101-1]</w:t>
      </w:r>
      <w:r w:rsidRPr="00D26445">
        <w:rPr>
          <w:iCs/>
          <w:lang w:val="en-US"/>
        </w:rPr>
        <w:t>, where</w:t>
      </w:r>
    </w:p>
    <w:p w14:paraId="5ED580A7" w14:textId="2960DFE8" w:rsidR="00CA44FD" w:rsidRPr="00D26445" w:rsidRDefault="00CA44FD" w:rsidP="00E94087">
      <w:pPr>
        <w:pStyle w:val="B2"/>
      </w:pPr>
      <w:r w:rsidRPr="00D26445">
        <w:t>-</w:t>
      </w:r>
      <w:r w:rsidRPr="00D26445">
        <w:tab/>
        <w:t xml:space="preserve">the first offset is </w:t>
      </w:r>
      <w:r w:rsidRPr="00D26445">
        <w:rPr>
          <w:iCs/>
        </w:rPr>
        <w:t xml:space="preserve">provided in </w:t>
      </w:r>
      <w:r w:rsidRPr="00D26445">
        <w:t xml:space="preserve">Table 13-1A </w:t>
      </w:r>
      <w:r w:rsidR="00B47A11">
        <w:rPr>
          <w:lang w:val="en-US"/>
        </w:rPr>
        <w:t>or</w:t>
      </w:r>
      <w:r w:rsidR="00B47A11" w:rsidRPr="00D26445">
        <w:t xml:space="preserve"> </w:t>
      </w:r>
      <w:r w:rsidRPr="00D26445">
        <w:t>Table 13-</w:t>
      </w:r>
      <w:r w:rsidR="00B47A11">
        <w:rPr>
          <w:lang w:val="en-US"/>
        </w:rPr>
        <w:t>4</w:t>
      </w:r>
      <w:r w:rsidR="00B47A11" w:rsidRPr="00D26445">
        <w:t>A</w:t>
      </w:r>
      <w:r w:rsidRPr="00D26445">
        <w:t xml:space="preserve">, and </w:t>
      </w:r>
    </w:p>
    <w:p w14:paraId="3FB57CC1" w14:textId="75D7CD04" w:rsidR="00CA44FD" w:rsidRPr="00D26445" w:rsidRDefault="00CA44FD" w:rsidP="00E94087">
      <w:pPr>
        <w:pStyle w:val="B2"/>
        <w:rPr>
          <w:i/>
        </w:rPr>
      </w:pPr>
      <w:r w:rsidRPr="00D26445">
        <w:t>-</w:t>
      </w:r>
      <w:r w:rsidRPr="00D26445">
        <w:tab/>
        <w:t xml:space="preserve">the second offset is determined as </w:t>
      </w:r>
      <w:r w:rsidR="00B47A11" w:rsidRPr="00370E38">
        <w:rPr>
          <w:lang w:eastAsia="ko-KR"/>
        </w:rPr>
        <w:t xml:space="preserve">the offset from a smallest RB index of the common RB overlapping with the first RB of the SS/PBCH block indicated in the measurement configuration to a smallest RB index of the common RB overlapping with the first RB of a SS/PBCH block hypothetically located at the GSCN of a </w:t>
      </w:r>
      <w:r w:rsidR="00B47A11" w:rsidRPr="00370E38">
        <w:rPr>
          <w:lang w:eastAsia="ko-KR"/>
        </w:rPr>
        <w:lastRenderedPageBreak/>
        <w:t>synchronization raster entry</w:t>
      </w:r>
      <w:r w:rsidRPr="00D26445">
        <w:t xml:space="preserve">, where the </w:t>
      </w:r>
      <w:r w:rsidR="00B47A11" w:rsidRPr="00370E38">
        <w:rPr>
          <w:lang w:val="en-US"/>
        </w:rPr>
        <w:t xml:space="preserve">single </w:t>
      </w:r>
      <w:r w:rsidRPr="00D26445">
        <w:t>synchronization raster entry is located in the same channel as the SS/PBCH block used for the shared spectrum channel access procedure, as described in [15, TS 37.213]</w:t>
      </w:r>
    </w:p>
    <w:p w14:paraId="307FDC25" w14:textId="6284B27E" w:rsidR="00CA44FD" w:rsidRPr="00D26445" w:rsidRDefault="00CA44FD" w:rsidP="00CA44FD">
      <w:pPr>
        <w:rPr>
          <w:lang w:val="en-US"/>
        </w:rPr>
      </w:pPr>
      <w:r w:rsidRPr="00D26445">
        <w:rPr>
          <w:lang w:val="en-US"/>
        </w:rPr>
        <w:t>where the offsets are defined with respect to the SCS of the CORESET for Type0-PDCCH CSS set that is</w:t>
      </w:r>
      <w:r w:rsidRPr="00D26445">
        <w:rPr>
          <w:iCs/>
        </w:rPr>
        <w:t xml:space="preserve"> same as the SCS of the corresponding SS/PBCH block.</w:t>
      </w:r>
    </w:p>
    <w:p w14:paraId="72EF9CDE" w14:textId="63F4169F" w:rsidR="007E261C" w:rsidRPr="00B27E56" w:rsidRDefault="000646B8" w:rsidP="007E261C">
      <w:r w:rsidRPr="00B916EC">
        <w:rPr>
          <w:lang w:val="en-US"/>
        </w:rPr>
        <w:t>For</w:t>
      </w:r>
      <w:r w:rsidR="00ED1279">
        <w:rPr>
          <w:lang w:val="en-US"/>
        </w:rPr>
        <w:t xml:space="preserve"> </w:t>
      </w:r>
      <w:r w:rsidR="00ED1279" w:rsidRPr="00D26445">
        <w:t>operation without shared spectrum channel access and for</w:t>
      </w:r>
      <w:r w:rsidRPr="00B916EC">
        <w:rPr>
          <w:lang w:val="en-US"/>
        </w:rPr>
        <w:t xml:space="preserve"> </w:t>
      </w:r>
      <w:r>
        <w:rPr>
          <w:lang w:val="en-US"/>
        </w:rPr>
        <w:t>the</w:t>
      </w:r>
      <w:r w:rsidRPr="00B916EC">
        <w:rPr>
          <w:lang w:val="en-US"/>
        </w:rPr>
        <w:t xml:space="preserve"> SS/PBCH block and </w:t>
      </w:r>
      <w:r w:rsidR="00C76664">
        <w:rPr>
          <w:lang w:val="en-US"/>
        </w:rPr>
        <w:t>CORESET</w:t>
      </w:r>
      <w:r w:rsidRPr="00B916EC">
        <w:rPr>
          <w:lang w:val="en-US"/>
        </w:rPr>
        <w:t xml:space="preserve"> multiplexing pattern</w:t>
      </w:r>
      <w:r>
        <w:rPr>
          <w:lang w:val="en-US"/>
        </w:rPr>
        <w:t xml:space="preserve"> 1</w:t>
      </w:r>
      <w:r w:rsidRPr="00B916EC">
        <w:rPr>
          <w:lang w:val="en-US"/>
        </w:rPr>
        <w:t xml:space="preserve">, a UE monitors PDCCH in the Type0-PDCCH </w:t>
      </w:r>
      <w:r w:rsidR="00CB0C9E" w:rsidRPr="00D20E88">
        <w:rPr>
          <w:lang w:val="en-US"/>
        </w:rPr>
        <w:t>CSS set</w:t>
      </w:r>
      <w:r w:rsidRPr="00B916EC">
        <w:rPr>
          <w:lang w:val="en-US"/>
        </w:rPr>
        <w:t xml:space="preserve"> over two </w:t>
      </w:r>
      <w:r w:rsidR="00386ACC" w:rsidRPr="00B27E56">
        <w:rPr>
          <w:lang w:val="en-US"/>
        </w:rPr>
        <w:t>slots</w:t>
      </w:r>
      <w:r w:rsidRPr="00B916EC">
        <w:rPr>
          <w:lang w:val="en-US"/>
        </w:rPr>
        <w:t xml:space="preserve">. For SS/PBCH block with index </w:t>
      </w:r>
      <m:oMath>
        <m:r>
          <w:rPr>
            <w:rFonts w:ascii="Cambria Math" w:hAnsi="Cambria Math"/>
            <w:lang w:val="en-US"/>
          </w:rPr>
          <m:t>i</m:t>
        </m:r>
      </m:oMath>
      <w:r w:rsidRPr="00B916EC">
        <w:t xml:space="preserve">, the UE determines an index of slot </w:t>
      </w:r>
      <m:oMath>
        <m:sSub>
          <m:sSubPr>
            <m:ctrlPr>
              <w:rPr>
                <w:rFonts w:ascii="Cambria Math" w:hAnsi="Cambria Math"/>
                <w:iCs/>
                <w:lang w:val="en-US"/>
              </w:rPr>
            </m:ctrlPr>
          </m:sSubPr>
          <m:e>
            <m:r>
              <w:rPr>
                <w:rFonts w:ascii="Cambria Math" w:hAnsi="Cambria Math"/>
                <w:lang w:val="en-US"/>
              </w:rPr>
              <m:t>n</m:t>
            </m:r>
          </m:e>
          <m:sub>
            <m:r>
              <m:rPr>
                <m:sty m:val="p"/>
              </m:rPr>
              <w:rPr>
                <w:rFonts w:ascii="Cambria Math" w:hAnsi="Cambria Math"/>
                <w:lang w:val="en-US"/>
              </w:rPr>
              <m:t>0</m:t>
            </m:r>
          </m:sub>
        </m:sSub>
      </m:oMath>
      <w:r w:rsidRPr="00B916EC">
        <w:t xml:space="preserve"> as </w:t>
      </w:r>
      <m:oMath>
        <m:sSub>
          <m:sSubPr>
            <m:ctrlPr>
              <w:rPr>
                <w:rFonts w:ascii="Cambria Math" w:hAnsi="Cambria Math"/>
                <w:iCs/>
                <w:lang w:val="en-US"/>
              </w:rPr>
            </m:ctrlPr>
          </m:sSubPr>
          <m:e>
            <m:r>
              <w:rPr>
                <w:rFonts w:ascii="Cambria Math" w:hAnsi="Cambria Math"/>
                <w:lang w:val="en-US"/>
              </w:rPr>
              <m:t>n</m:t>
            </m:r>
          </m:e>
          <m:sub>
            <m:r>
              <m:rPr>
                <m:sty m:val="p"/>
              </m:rPr>
              <w:rPr>
                <w:rFonts w:ascii="Cambria Math" w:hAnsi="Cambria Math"/>
                <w:lang w:val="en-US"/>
              </w:rPr>
              <m:t>0</m:t>
            </m:r>
          </m:sub>
        </m:sSub>
        <m:r>
          <w:rPr>
            <w:rFonts w:ascii="Cambria Math" w:hAnsi="Cambria Math"/>
            <w:lang w:val="en-US"/>
          </w:rPr>
          <m:t>=</m:t>
        </m:r>
        <m:d>
          <m:dPr>
            <m:ctrlPr>
              <w:rPr>
                <w:rFonts w:ascii="Cambria Math" w:hAnsi="Cambria Math"/>
                <w:i/>
                <w:iCs/>
                <w:lang w:val="en-US"/>
              </w:rPr>
            </m:ctrlPr>
          </m:dPr>
          <m:e>
            <m:r>
              <w:rPr>
                <w:rFonts w:ascii="Cambria Math" w:hAnsi="Cambria Math"/>
                <w:lang w:val="en-US"/>
              </w:rPr>
              <m:t>O</m:t>
            </m:r>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μ</m:t>
                </m:r>
              </m:sup>
            </m:sSup>
            <m:r>
              <w:rPr>
                <w:rFonts w:ascii="Cambria Math" w:hAnsi="Cambria Math"/>
              </w:rPr>
              <m:t>+</m:t>
            </m:r>
            <m:d>
              <m:dPr>
                <m:begChr m:val="⌊"/>
                <m:endChr m:val="⌋"/>
                <m:ctrlPr>
                  <w:rPr>
                    <w:rFonts w:ascii="Cambria Math" w:hAnsi="Cambria Math"/>
                    <w:i/>
                  </w:rPr>
                </m:ctrlPr>
              </m:dPr>
              <m:e>
                <m:r>
                  <w:rPr>
                    <w:rFonts w:ascii="Cambria Math" w:hAnsi="Cambria Math"/>
                  </w:rPr>
                  <m:t>i∙M</m:t>
                </m:r>
              </m:e>
            </m:d>
          </m:e>
        </m:d>
        <m:r>
          <m:rPr>
            <m:sty m:val="p"/>
          </m:rPr>
          <w:rPr>
            <w:rFonts w:ascii="Cambria Math" w:hAnsi="Cambria Math"/>
            <w:lang w:val="en-US"/>
          </w:rPr>
          <m:t>mod</m:t>
        </m:r>
        <m:sSubSup>
          <m:sSubSupPr>
            <m:ctrlPr>
              <w:rPr>
                <w:rFonts w:ascii="Cambria Math" w:hAnsi="Cambria Math"/>
                <w:i/>
                <w:iCs/>
                <w:lang w:val="en-US"/>
              </w:rPr>
            </m:ctrlPr>
          </m:sSubSupPr>
          <m:e>
            <m:r>
              <w:rPr>
                <w:rFonts w:ascii="Cambria Math" w:hAnsi="Cambria Math"/>
                <w:lang w:val="en-US"/>
              </w:rPr>
              <m:t>N</m:t>
            </m:r>
          </m:e>
          <m:sub>
            <m:r>
              <m:rPr>
                <m:sty m:val="p"/>
              </m:rPr>
              <w:rPr>
                <w:rFonts w:ascii="Cambria Math" w:hAnsi="Cambria Math"/>
                <w:lang w:val="en-US"/>
              </w:rPr>
              <m:t>slot</m:t>
            </m:r>
          </m:sub>
          <m:sup>
            <m:r>
              <m:rPr>
                <m:sty m:val="p"/>
              </m:rPr>
              <w:rPr>
                <w:rFonts w:ascii="Cambria Math" w:hAnsi="Cambria Math"/>
                <w:lang w:val="en-US"/>
              </w:rPr>
              <m:t>frame</m:t>
            </m:r>
            <m:r>
              <w:rPr>
                <w:rFonts w:ascii="Cambria Math" w:hAnsi="Cambria Math"/>
                <w:lang w:val="en-US"/>
              </w:rPr>
              <m:t>,μ</m:t>
            </m:r>
          </m:sup>
        </m:sSubSup>
        <m:r>
          <w:rPr>
            <w:rFonts w:ascii="Cambria Math" w:hAnsi="Cambria Math"/>
            <w:lang w:val="en-US"/>
          </w:rPr>
          <m:t xml:space="preserve"> </m:t>
        </m:r>
      </m:oMath>
      <w:r w:rsidRPr="00B916EC">
        <w:t xml:space="preserve"> </w:t>
      </w:r>
      <w:r w:rsidR="00D6668A" w:rsidRPr="00D26445">
        <w:t>that is</w:t>
      </w:r>
      <w:r w:rsidRPr="00B916EC">
        <w:t xml:space="preserve"> in a frame with system frame number (SFN) </w:t>
      </w:r>
      <m:oMath>
        <m:sSub>
          <m:sSubPr>
            <m:ctrlPr>
              <w:rPr>
                <w:rFonts w:ascii="Cambria Math" w:hAnsi="Cambria Math"/>
                <w:iCs/>
                <w:lang w:val="en-US"/>
              </w:rPr>
            </m:ctrlPr>
          </m:sSubPr>
          <m:e>
            <m:r>
              <m:rPr>
                <m:sty m:val="p"/>
              </m:rPr>
              <w:rPr>
                <w:rFonts w:ascii="Cambria Math" w:hAnsi="Cambria Math"/>
                <w:lang w:val="en-US"/>
              </w:rPr>
              <m:t>SFN</m:t>
            </m:r>
          </m:e>
          <m:sub>
            <m:r>
              <m:rPr>
                <m:sty m:val="p"/>
              </m:rPr>
              <w:rPr>
                <w:rFonts w:ascii="Cambria Math" w:hAnsi="Cambria Math"/>
                <w:lang w:val="en-US"/>
              </w:rPr>
              <m:t>C</m:t>
            </m:r>
          </m:sub>
        </m:sSub>
      </m:oMath>
      <w:r>
        <w:t xml:space="preserve"> </w:t>
      </w:r>
      <w:r w:rsidRPr="00B916EC">
        <w:t xml:space="preserve">satisfying </w:t>
      </w:r>
      <m:oMath>
        <m:sSub>
          <m:sSubPr>
            <m:ctrlPr>
              <w:rPr>
                <w:rFonts w:ascii="Cambria Math" w:hAnsi="Cambria Math"/>
                <w:iCs/>
                <w:lang w:val="en-US"/>
              </w:rPr>
            </m:ctrlPr>
          </m:sSubPr>
          <m:e>
            <m:r>
              <m:rPr>
                <m:sty m:val="p"/>
              </m:rPr>
              <w:rPr>
                <w:rFonts w:ascii="Cambria Math" w:hAnsi="Cambria Math"/>
                <w:lang w:val="en-US"/>
              </w:rPr>
              <m:t>SFN</m:t>
            </m:r>
          </m:e>
          <m:sub>
            <m:r>
              <m:rPr>
                <m:sty m:val="p"/>
              </m:rPr>
              <w:rPr>
                <w:rFonts w:ascii="Cambria Math" w:hAnsi="Cambria Math"/>
                <w:lang w:val="en-US"/>
              </w:rPr>
              <m:t>c</m:t>
            </m:r>
          </m:sub>
        </m:sSub>
        <m:r>
          <m:rPr>
            <m:sty m:val="p"/>
          </m:rPr>
          <w:rPr>
            <w:rFonts w:ascii="Cambria Math" w:hAnsi="Cambria Math"/>
            <w:lang w:val="en-US"/>
          </w:rPr>
          <m:t>mod</m:t>
        </m:r>
        <m:r>
          <w:rPr>
            <w:rFonts w:ascii="Cambria Math" w:hAnsi="Cambria Math"/>
            <w:lang w:val="en-US"/>
          </w:rPr>
          <m:t>2=0</m:t>
        </m:r>
      </m:oMath>
      <w:r w:rsidRPr="00B916EC">
        <w:t xml:space="preserve"> if </w:t>
      </w:r>
      <m:oMath>
        <m:d>
          <m:dPr>
            <m:begChr m:val="⌊"/>
            <m:endChr m:val="⌋"/>
            <m:ctrlPr>
              <w:rPr>
                <w:rFonts w:ascii="Cambria Math" w:hAnsi="Cambria Math"/>
                <w:i/>
                <w:iCs/>
                <w:lang w:val="en-US"/>
              </w:rPr>
            </m:ctrlPr>
          </m:dPr>
          <m:e>
            <m:f>
              <m:fPr>
                <m:type m:val="lin"/>
                <m:ctrlPr>
                  <w:rPr>
                    <w:rFonts w:ascii="Cambria Math" w:hAnsi="Cambria Math"/>
                    <w:i/>
                    <w:iCs/>
                    <w:lang w:val="en-US"/>
                  </w:rPr>
                </m:ctrlPr>
              </m:fPr>
              <m:num>
                <m:d>
                  <m:dPr>
                    <m:ctrlPr>
                      <w:rPr>
                        <w:rFonts w:ascii="Cambria Math" w:hAnsi="Cambria Math"/>
                        <w:i/>
                        <w:iCs/>
                        <w:lang w:val="en-US"/>
                      </w:rPr>
                    </m:ctrlPr>
                  </m:dPr>
                  <m:e>
                    <m:r>
                      <w:rPr>
                        <w:rFonts w:ascii="Cambria Math" w:hAnsi="Cambria Math"/>
                        <w:lang w:val="en-US"/>
                      </w:rPr>
                      <m:t>O</m:t>
                    </m:r>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μ</m:t>
                        </m:r>
                      </m:sup>
                    </m:sSup>
                    <m:r>
                      <w:rPr>
                        <w:rFonts w:ascii="Cambria Math" w:hAnsi="Cambria Math"/>
                      </w:rPr>
                      <m:t>+</m:t>
                    </m:r>
                    <m:d>
                      <m:dPr>
                        <m:begChr m:val="⌊"/>
                        <m:endChr m:val="⌋"/>
                        <m:ctrlPr>
                          <w:rPr>
                            <w:rFonts w:ascii="Cambria Math" w:hAnsi="Cambria Math"/>
                            <w:i/>
                          </w:rPr>
                        </m:ctrlPr>
                      </m:dPr>
                      <m:e>
                        <m:r>
                          <w:rPr>
                            <w:rFonts w:ascii="Cambria Math" w:hAnsi="Cambria Math"/>
                          </w:rPr>
                          <m:t>i∙M</m:t>
                        </m:r>
                      </m:e>
                    </m:d>
                  </m:e>
                </m:d>
              </m:num>
              <m:den>
                <m:sSubSup>
                  <m:sSubSupPr>
                    <m:ctrlPr>
                      <w:rPr>
                        <w:rFonts w:ascii="Cambria Math" w:hAnsi="Cambria Math"/>
                        <w:i/>
                        <w:iCs/>
                        <w:lang w:val="en-US"/>
                      </w:rPr>
                    </m:ctrlPr>
                  </m:sSubSupPr>
                  <m:e>
                    <m:r>
                      <w:rPr>
                        <w:rFonts w:ascii="Cambria Math" w:hAnsi="Cambria Math"/>
                        <w:lang w:val="en-US"/>
                      </w:rPr>
                      <m:t>N</m:t>
                    </m:r>
                  </m:e>
                  <m:sub>
                    <m:r>
                      <m:rPr>
                        <m:sty m:val="p"/>
                      </m:rPr>
                      <w:rPr>
                        <w:rFonts w:ascii="Cambria Math" w:hAnsi="Cambria Math"/>
                        <w:lang w:val="en-US"/>
                      </w:rPr>
                      <m:t>slot</m:t>
                    </m:r>
                  </m:sub>
                  <m:sup>
                    <m:r>
                      <m:rPr>
                        <m:sty m:val="p"/>
                      </m:rPr>
                      <w:rPr>
                        <w:rFonts w:ascii="Cambria Math" w:hAnsi="Cambria Math"/>
                        <w:lang w:val="en-US"/>
                      </w:rPr>
                      <m:t>frame</m:t>
                    </m:r>
                    <m:r>
                      <w:rPr>
                        <w:rFonts w:ascii="Cambria Math" w:hAnsi="Cambria Math"/>
                        <w:lang w:val="en-US"/>
                      </w:rPr>
                      <m:t>,μ</m:t>
                    </m:r>
                  </m:sup>
                </m:sSubSup>
              </m:den>
            </m:f>
          </m:e>
        </m:d>
        <m:r>
          <m:rPr>
            <m:sty m:val="p"/>
          </m:rPr>
          <w:rPr>
            <w:rFonts w:ascii="Cambria Math" w:hAnsi="Cambria Math"/>
            <w:lang w:val="en-US"/>
          </w:rPr>
          <m:t>mod</m:t>
        </m:r>
        <m:r>
          <w:rPr>
            <w:rFonts w:ascii="Cambria Math" w:hAnsi="Cambria Math"/>
            <w:lang w:val="en-US"/>
          </w:rPr>
          <m:t>2=0</m:t>
        </m:r>
      </m:oMath>
      <w:r w:rsidR="00D6668A">
        <w:t>,</w:t>
      </w:r>
      <w:r w:rsidRPr="00B916EC">
        <w:t xml:space="preserve"> or in a frame with SFN satisfying </w:t>
      </w:r>
      <m:oMath>
        <m:sSub>
          <m:sSubPr>
            <m:ctrlPr>
              <w:rPr>
                <w:rFonts w:ascii="Cambria Math" w:hAnsi="Cambria Math"/>
                <w:iCs/>
                <w:lang w:val="en-US"/>
              </w:rPr>
            </m:ctrlPr>
          </m:sSubPr>
          <m:e>
            <m:r>
              <m:rPr>
                <m:sty m:val="p"/>
              </m:rPr>
              <w:rPr>
                <w:rFonts w:ascii="Cambria Math" w:hAnsi="Cambria Math"/>
                <w:lang w:val="en-US"/>
              </w:rPr>
              <m:t>SFN</m:t>
            </m:r>
          </m:e>
          <m:sub>
            <m:r>
              <m:rPr>
                <m:sty m:val="p"/>
              </m:rPr>
              <w:rPr>
                <w:rFonts w:ascii="Cambria Math" w:hAnsi="Cambria Math"/>
                <w:lang w:val="en-US"/>
              </w:rPr>
              <m:t>c</m:t>
            </m:r>
          </m:sub>
        </m:sSub>
        <m:r>
          <m:rPr>
            <m:sty m:val="p"/>
          </m:rPr>
          <w:rPr>
            <w:rFonts w:ascii="Cambria Math" w:hAnsi="Cambria Math"/>
            <w:lang w:val="en-US"/>
          </w:rPr>
          <m:t>mod</m:t>
        </m:r>
        <m:r>
          <w:rPr>
            <w:rFonts w:ascii="Cambria Math" w:hAnsi="Cambria Math"/>
            <w:lang w:val="en-US"/>
          </w:rPr>
          <m:t>2=1</m:t>
        </m:r>
      </m:oMath>
      <w:r w:rsidRPr="00B916EC">
        <w:t xml:space="preserve"> if </w:t>
      </w:r>
      <m:oMath>
        <m:d>
          <m:dPr>
            <m:begChr m:val="⌊"/>
            <m:endChr m:val="⌋"/>
            <m:ctrlPr>
              <w:rPr>
                <w:rFonts w:ascii="Cambria Math" w:hAnsi="Cambria Math"/>
                <w:i/>
                <w:iCs/>
                <w:lang w:val="en-US"/>
              </w:rPr>
            </m:ctrlPr>
          </m:dPr>
          <m:e>
            <m:f>
              <m:fPr>
                <m:type m:val="lin"/>
                <m:ctrlPr>
                  <w:rPr>
                    <w:rFonts w:ascii="Cambria Math" w:hAnsi="Cambria Math"/>
                    <w:i/>
                    <w:iCs/>
                    <w:lang w:val="en-US"/>
                  </w:rPr>
                </m:ctrlPr>
              </m:fPr>
              <m:num>
                <m:d>
                  <m:dPr>
                    <m:ctrlPr>
                      <w:rPr>
                        <w:rFonts w:ascii="Cambria Math" w:hAnsi="Cambria Math"/>
                        <w:i/>
                        <w:iCs/>
                        <w:lang w:val="en-US"/>
                      </w:rPr>
                    </m:ctrlPr>
                  </m:dPr>
                  <m:e>
                    <m:r>
                      <w:rPr>
                        <w:rFonts w:ascii="Cambria Math" w:hAnsi="Cambria Math"/>
                        <w:lang w:val="en-US"/>
                      </w:rPr>
                      <m:t>O</m:t>
                    </m:r>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μ</m:t>
                        </m:r>
                      </m:sup>
                    </m:sSup>
                    <m:r>
                      <w:rPr>
                        <w:rFonts w:ascii="Cambria Math" w:hAnsi="Cambria Math"/>
                      </w:rPr>
                      <m:t>+</m:t>
                    </m:r>
                    <m:d>
                      <m:dPr>
                        <m:begChr m:val="⌊"/>
                        <m:endChr m:val="⌋"/>
                        <m:ctrlPr>
                          <w:rPr>
                            <w:rFonts w:ascii="Cambria Math" w:hAnsi="Cambria Math"/>
                            <w:i/>
                          </w:rPr>
                        </m:ctrlPr>
                      </m:dPr>
                      <m:e>
                        <m:r>
                          <w:rPr>
                            <w:rFonts w:ascii="Cambria Math" w:hAnsi="Cambria Math"/>
                          </w:rPr>
                          <m:t>i∙M</m:t>
                        </m:r>
                      </m:e>
                    </m:d>
                  </m:e>
                </m:d>
              </m:num>
              <m:den>
                <m:sSubSup>
                  <m:sSubSupPr>
                    <m:ctrlPr>
                      <w:rPr>
                        <w:rFonts w:ascii="Cambria Math" w:hAnsi="Cambria Math"/>
                        <w:i/>
                        <w:iCs/>
                        <w:lang w:val="en-US"/>
                      </w:rPr>
                    </m:ctrlPr>
                  </m:sSubSupPr>
                  <m:e>
                    <m:r>
                      <w:rPr>
                        <w:rFonts w:ascii="Cambria Math" w:hAnsi="Cambria Math"/>
                        <w:lang w:val="en-US"/>
                      </w:rPr>
                      <m:t>N</m:t>
                    </m:r>
                  </m:e>
                  <m:sub>
                    <m:r>
                      <m:rPr>
                        <m:sty m:val="p"/>
                      </m:rPr>
                      <w:rPr>
                        <w:rFonts w:ascii="Cambria Math" w:hAnsi="Cambria Math"/>
                        <w:lang w:val="en-US"/>
                      </w:rPr>
                      <m:t>slot</m:t>
                    </m:r>
                  </m:sub>
                  <m:sup>
                    <m:r>
                      <m:rPr>
                        <m:sty m:val="p"/>
                      </m:rPr>
                      <w:rPr>
                        <w:rFonts w:ascii="Cambria Math" w:hAnsi="Cambria Math"/>
                        <w:lang w:val="en-US"/>
                      </w:rPr>
                      <m:t>frame</m:t>
                    </m:r>
                    <m:r>
                      <w:rPr>
                        <w:rFonts w:ascii="Cambria Math" w:hAnsi="Cambria Math"/>
                        <w:lang w:val="en-US"/>
                      </w:rPr>
                      <m:t>,μ</m:t>
                    </m:r>
                  </m:sup>
                </m:sSubSup>
              </m:den>
            </m:f>
          </m:e>
        </m:d>
        <m:r>
          <m:rPr>
            <m:sty m:val="p"/>
          </m:rPr>
          <w:rPr>
            <w:rFonts w:ascii="Cambria Math" w:hAnsi="Cambria Math"/>
            <w:lang w:val="en-US"/>
          </w:rPr>
          <m:t>mod</m:t>
        </m:r>
        <m:r>
          <w:rPr>
            <w:rFonts w:ascii="Cambria Math" w:hAnsi="Cambria Math"/>
            <w:lang w:val="en-US"/>
          </w:rPr>
          <m:t>2=1</m:t>
        </m:r>
      </m:oMath>
      <w:r w:rsidR="00BB49CF" w:rsidRPr="00B27E56">
        <w:t xml:space="preserve"> where </w:t>
      </w:r>
      <m:oMath>
        <m:r>
          <w:rPr>
            <w:rFonts w:ascii="Cambria Math" w:hAnsi="Cambria Math"/>
          </w:rPr>
          <m:t>μ∈</m:t>
        </m:r>
        <m:d>
          <m:dPr>
            <m:begChr m:val="{"/>
            <m:endChr m:val="}"/>
            <m:ctrlPr>
              <w:rPr>
                <w:rFonts w:ascii="Cambria Math" w:hAnsi="Cambria Math"/>
                <w:i/>
              </w:rPr>
            </m:ctrlPr>
          </m:dPr>
          <m:e>
            <m:r>
              <w:rPr>
                <w:rFonts w:ascii="Cambria Math" w:hAnsi="Cambria Math"/>
              </w:rPr>
              <m:t>0,1,2,3,5,6</m:t>
            </m:r>
          </m:e>
        </m:d>
      </m:oMath>
      <w:r w:rsidR="00BB49CF" w:rsidRPr="00B27E56">
        <w:t xml:space="preserve"> </w:t>
      </w:r>
      <w:r>
        <w:t xml:space="preserve">based </w:t>
      </w:r>
      <w:r w:rsidRPr="004826D6">
        <w:t xml:space="preserve">on the </w:t>
      </w:r>
      <w:r w:rsidR="00143099">
        <w:t>SCS</w:t>
      </w:r>
      <w:r>
        <w:t xml:space="preserve"> for PDCCH receptions in the </w:t>
      </w:r>
      <w:r w:rsidR="00C76664">
        <w:t>CORESET</w:t>
      </w:r>
      <w:r>
        <w:t xml:space="preserve"> </w:t>
      </w:r>
      <w:r w:rsidRPr="004826D6">
        <w:t>[4, TS 38.211]</w:t>
      </w:r>
      <w:r w:rsidR="007E261C" w:rsidRPr="00B27E56">
        <w:t>.</w:t>
      </w:r>
    </w:p>
    <w:p w14:paraId="6D61DE91" w14:textId="77777777" w:rsidR="007E261C" w:rsidRPr="00B27E56" w:rsidRDefault="007E261C" w:rsidP="007E261C">
      <w:pPr>
        <w:pStyle w:val="B1"/>
        <w:rPr>
          <w:lang w:val="en-US"/>
        </w:rPr>
      </w:pPr>
      <w:r w:rsidRPr="00B27E56">
        <w:t>-</w:t>
      </w:r>
      <w:r w:rsidRPr="00B27E56">
        <w:tab/>
      </w:r>
      <w:r w:rsidRPr="00B27E56">
        <w:rPr>
          <w:lang w:val="en-US"/>
        </w:rPr>
        <w:t>F</w:t>
      </w:r>
      <w:r w:rsidRPr="00B27E56">
        <w:t xml:space="preserve">or </w:t>
      </w:r>
      <m:oMath>
        <m:r>
          <w:rPr>
            <w:rFonts w:ascii="Cambria Math" w:hAnsi="Cambria Math"/>
          </w:rPr>
          <m:t>μ∈{0, 1, 2, 3}</m:t>
        </m:r>
      </m:oMath>
      <w:r w:rsidRPr="00B27E56">
        <w:t xml:space="preserve"> and for a </w:t>
      </w:r>
      <w:r w:rsidRPr="00B27E56">
        <w:rPr>
          <w:lang w:val="en-US"/>
        </w:rPr>
        <w:t>SS/PBCH block index</w:t>
      </w:r>
      <w:r w:rsidRPr="00B27E56">
        <w:t xml:space="preserve"> </w:t>
      </w:r>
      <m:oMath>
        <m:r>
          <w:rPr>
            <w:rFonts w:ascii="Cambria Math" w:hAnsi="Cambria Math"/>
          </w:rPr>
          <m:t>i</m:t>
        </m:r>
      </m:oMath>
      <w:r w:rsidRPr="00B27E56">
        <w:t xml:space="preserve">, the two slots including the associated Type0-PDCCH monitoring occasions are slots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Pr="00B27E56">
        <w:t xml:space="preserve"> and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+1</m:t>
        </m:r>
      </m:oMath>
      <w:r w:rsidRPr="00B27E56">
        <w:t xml:space="preserve">. </w:t>
      </w:r>
      <m:oMath>
        <m:r>
          <w:rPr>
            <w:rFonts w:ascii="Cambria Math" w:hAnsi="Cambria Math"/>
          </w:rPr>
          <m:t>M</m:t>
        </m:r>
      </m:oMath>
      <w:r w:rsidRPr="00B27E56">
        <w:t xml:space="preserve">, </w:t>
      </w:r>
      <m:oMath>
        <m:r>
          <w:rPr>
            <w:rFonts w:ascii="Cambria Math" w:hAnsi="Cambria Math"/>
          </w:rPr>
          <m:t>O</m:t>
        </m:r>
      </m:oMath>
      <w:r w:rsidRPr="00B27E56">
        <w:t xml:space="preserve">, and the index of the first symbol of the CORESET in slots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Pr="00B27E56">
        <w:t xml:space="preserve"> and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+1</m:t>
        </m:r>
      </m:oMath>
      <w:r w:rsidRPr="00B27E56">
        <w:t xml:space="preserve"> are provided by Table 13-11 and Table 13-12</w:t>
      </w:r>
      <w:r w:rsidRPr="00B27E56">
        <w:rPr>
          <w:lang w:val="en-US"/>
        </w:rPr>
        <w:t>.</w:t>
      </w:r>
    </w:p>
    <w:p w14:paraId="5EA44C7F" w14:textId="77777777" w:rsidR="007E261C" w:rsidRPr="00B27E56" w:rsidRDefault="007E261C" w:rsidP="007E261C">
      <w:pPr>
        <w:pStyle w:val="B1"/>
      </w:pPr>
      <w:r w:rsidRPr="00B27E56">
        <w:t>-</w:t>
      </w:r>
      <w:r w:rsidRPr="00B27E56">
        <w:tab/>
        <w:t xml:space="preserve">For </w:t>
      </w:r>
      <m:oMath>
        <m:r>
          <w:rPr>
            <w:rFonts w:ascii="Cambria Math" w:hAnsi="Cambria Math"/>
          </w:rPr>
          <m:t>μ=5</m:t>
        </m:r>
      </m:oMath>
      <w:r w:rsidRPr="00B27E56">
        <w:t xml:space="preserve"> and for a </w:t>
      </w:r>
      <w:r w:rsidRPr="00B27E56">
        <w:rPr>
          <w:lang w:val="en-US"/>
        </w:rPr>
        <w:t>SS/PBCH block index</w:t>
      </w:r>
      <w:r w:rsidRPr="00B27E56">
        <w:t xml:space="preserve"> </w:t>
      </w:r>
      <m:oMath>
        <m:r>
          <w:rPr>
            <w:rFonts w:ascii="Cambria Math" w:hAnsi="Cambria Math"/>
          </w:rPr>
          <m:t>i</m:t>
        </m:r>
      </m:oMath>
      <w:r w:rsidRPr="00B27E56">
        <w:t xml:space="preserve">, the two slots including the associated Type0-PDCCH monitoring occasions are slots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Pr="00B27E56">
        <w:t xml:space="preserve"> and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+4</m:t>
        </m:r>
      </m:oMath>
      <w:r w:rsidRPr="00B27E56">
        <w:t xml:space="preserve">. </w:t>
      </w:r>
      <m:oMath>
        <m:r>
          <w:rPr>
            <w:rFonts w:ascii="Cambria Math" w:hAnsi="Cambria Math"/>
          </w:rPr>
          <m:t>M</m:t>
        </m:r>
      </m:oMath>
      <w:r w:rsidRPr="00B27E56">
        <w:t xml:space="preserve">, </w:t>
      </w:r>
      <m:oMath>
        <m:r>
          <w:rPr>
            <w:rFonts w:ascii="Cambria Math" w:hAnsi="Cambria Math"/>
          </w:rPr>
          <m:t>O</m:t>
        </m:r>
      </m:oMath>
      <w:r w:rsidRPr="00B27E56">
        <w:t xml:space="preserve">, and the index of the first symbol of the CORESET in slots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Pr="00B27E56">
        <w:t xml:space="preserve"> and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+4</m:t>
        </m:r>
      </m:oMath>
      <w:r w:rsidRPr="00B27E56">
        <w:t xml:space="preserve"> are provided by Table 13-12A, where </w:t>
      </w:r>
      <m:oMath>
        <m:r>
          <w:rPr>
            <w:rFonts w:ascii="Cambria Math" w:hAnsi="Cambria Math"/>
          </w:rPr>
          <m:t>X=1.25</m:t>
        </m:r>
      </m:oMath>
      <w:r w:rsidRPr="00B27E56">
        <w:rPr>
          <w:lang w:val="en-US"/>
        </w:rPr>
        <w:t>.</w:t>
      </w:r>
    </w:p>
    <w:p w14:paraId="4347FA9B" w14:textId="0EA74AC8" w:rsidR="000646B8" w:rsidRPr="00B916EC" w:rsidRDefault="007E261C" w:rsidP="007E261C">
      <w:pPr>
        <w:pStyle w:val="B1"/>
      </w:pPr>
      <w:r w:rsidRPr="00B27E56">
        <w:t>-</w:t>
      </w:r>
      <w:r w:rsidRPr="00B27E56">
        <w:tab/>
        <w:t xml:space="preserve">For </w:t>
      </w:r>
      <m:oMath>
        <m:r>
          <w:rPr>
            <w:rFonts w:ascii="Cambria Math" w:hAnsi="Cambria Math"/>
          </w:rPr>
          <m:t>μ=6</m:t>
        </m:r>
      </m:oMath>
      <w:r w:rsidRPr="00B27E56">
        <w:t xml:space="preserve"> and for a </w:t>
      </w:r>
      <w:r w:rsidRPr="00B27E56">
        <w:rPr>
          <w:lang w:val="en-US"/>
        </w:rPr>
        <w:t>SS/PBCH block index</w:t>
      </w:r>
      <w:r w:rsidRPr="00B27E56">
        <w:t xml:space="preserve"> </w:t>
      </w:r>
      <m:oMath>
        <m:r>
          <w:rPr>
            <w:rFonts w:ascii="Cambria Math" w:hAnsi="Cambria Math"/>
          </w:rPr>
          <m:t>i</m:t>
        </m:r>
      </m:oMath>
      <w:r w:rsidRPr="00B27E56">
        <w:t xml:space="preserve">, the two slots including the associated Type0-PDCCH monitoring occasions are slots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Pr="00B27E56">
        <w:t xml:space="preserve"> and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+8</m:t>
        </m:r>
      </m:oMath>
      <w:r w:rsidRPr="00B27E56">
        <w:t xml:space="preserve">. </w:t>
      </w:r>
      <m:oMath>
        <m:r>
          <w:rPr>
            <w:rFonts w:ascii="Cambria Math" w:hAnsi="Cambria Math"/>
          </w:rPr>
          <m:t>M</m:t>
        </m:r>
      </m:oMath>
      <w:r w:rsidRPr="00B27E56">
        <w:t xml:space="preserve">, </w:t>
      </w:r>
      <m:oMath>
        <m:r>
          <w:rPr>
            <w:rFonts w:ascii="Cambria Math" w:hAnsi="Cambria Math"/>
          </w:rPr>
          <m:t>O</m:t>
        </m:r>
      </m:oMath>
      <w:r w:rsidRPr="00B27E56">
        <w:t xml:space="preserve">, and the index of the first symbol of the CORESET in slots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Pr="00B27E56">
        <w:t xml:space="preserve"> and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+8</m:t>
        </m:r>
      </m:oMath>
      <w:r w:rsidRPr="00B27E56">
        <w:t xml:space="preserve"> are provided by Table 13-12A, where </w:t>
      </w:r>
      <m:oMath>
        <m:r>
          <w:rPr>
            <w:rFonts w:ascii="Cambria Math" w:hAnsi="Cambria Math"/>
          </w:rPr>
          <m:t>X=0.625</m:t>
        </m:r>
      </m:oMath>
      <w:r w:rsidR="000646B8" w:rsidRPr="00B916EC">
        <w:t>.</w:t>
      </w:r>
    </w:p>
    <w:p w14:paraId="7E34CE6B" w14:textId="6876ECAA" w:rsidR="00D03E23" w:rsidRPr="00B27E56" w:rsidRDefault="00F12E6F" w:rsidP="00D03E23">
      <w:r w:rsidRPr="00D26445">
        <w:t xml:space="preserve">For operation with shared spectrum channel access </w:t>
      </w:r>
      <w:r w:rsidRPr="00D26445">
        <w:rPr>
          <w:lang w:val="en-US"/>
        </w:rPr>
        <w:t xml:space="preserve">and for the SS/PBCH block and CORESET multiplexing pattern 1, </w:t>
      </w:r>
      <w:r w:rsidRPr="00D26445">
        <w:t xml:space="preserve">a UE monitors PDCCH in the </w:t>
      </w:r>
      <w:r w:rsidRPr="00D26445">
        <w:rPr>
          <w:lang w:val="en-US"/>
        </w:rPr>
        <w:t xml:space="preserve">Type0-PDCCH CSS set over slots that include Type0-PDCCH monitoring occasions associated with </w:t>
      </w:r>
      <w:r w:rsidRPr="00D26445">
        <w:rPr>
          <w:lang w:eastAsia="ja-JP"/>
        </w:rPr>
        <w:t xml:space="preserve">SS/PBCH blocks that are </w:t>
      </w:r>
      <w:r w:rsidRPr="00D26445">
        <w:t xml:space="preserve">quasi co-located </w:t>
      </w:r>
      <w:r w:rsidRPr="00D26445">
        <w:rPr>
          <w:lang w:eastAsia="ja-JP"/>
        </w:rPr>
        <w:t>with the SS/PBCH block that provides a CORESET for Type0-PDCCH CSS set</w:t>
      </w:r>
      <w:r w:rsidRPr="00D26445">
        <w:t xml:space="preserve"> with respect to average gain, </w:t>
      </w:r>
      <w:r w:rsidR="00E613EA" w:rsidRPr="00882C4D">
        <w:t xml:space="preserve">quasi co-location </w:t>
      </w:r>
      <w:r w:rsidR="00E613EA">
        <w:t>'t</w:t>
      </w:r>
      <w:r w:rsidRPr="00D26445">
        <w:t>ypeA</w:t>
      </w:r>
      <w:r w:rsidR="00E613EA">
        <w:t>'</w:t>
      </w:r>
      <w:r w:rsidRPr="00D26445">
        <w:t xml:space="preserve"> and </w:t>
      </w:r>
      <w:r w:rsidR="00E613EA">
        <w:t>'t</w:t>
      </w:r>
      <w:r w:rsidRPr="00D26445">
        <w:t>ypeD</w:t>
      </w:r>
      <w:r w:rsidR="00E613EA">
        <w:t>'</w:t>
      </w:r>
      <w:r w:rsidRPr="00D26445">
        <w:t xml:space="preserve"> properties, when applicable</w:t>
      </w:r>
      <w:r w:rsidRPr="00D26445">
        <w:rPr>
          <w:kern w:val="2"/>
          <w:lang w:eastAsia="zh-CN"/>
        </w:rPr>
        <w:t xml:space="preserve"> [6, TS 38.214]. </w:t>
      </w:r>
      <w:r w:rsidRPr="00D26445">
        <w:rPr>
          <w:lang w:val="en-US"/>
        </w:rPr>
        <w:t>For a candidate SS/PBCH block index</w:t>
      </w:r>
      <w:r w:rsidRPr="00D26445">
        <w:t xml:space="preserve"> </w:t>
      </w:r>
      <m:oMath>
        <m:acc>
          <m:accPr>
            <m:chr m:val="̅"/>
            <m:ctrlPr>
              <w:rPr>
                <w:rFonts w:ascii="Cambria Math" w:hAnsi="Cambria Math"/>
                <w:i/>
              </w:rPr>
            </m:ctrlPr>
          </m:accPr>
          <m:e>
            <m:r>
              <w:rPr>
                <w:rFonts w:ascii="Cambria Math" w:hAnsi="Cambria Math"/>
              </w:rPr>
              <m:t>i</m:t>
            </m:r>
          </m:e>
        </m:acc>
      </m:oMath>
      <w:r w:rsidRPr="00D26445">
        <w:t xml:space="preserve">, where </w:t>
      </w:r>
      <m:oMath>
        <m:r>
          <w:rPr>
            <w:rFonts w:ascii="Cambria Math" w:hAnsi="Cambria Math"/>
          </w:rPr>
          <m:t>0≤</m:t>
        </m:r>
        <m:acc>
          <m:accPr>
            <m:chr m:val="̅"/>
            <m:ctrlPr>
              <w:rPr>
                <w:rFonts w:ascii="Cambria Math" w:hAnsi="Cambria Math"/>
                <w:i/>
              </w:rPr>
            </m:ctrlPr>
          </m:accPr>
          <m:e>
            <m:r>
              <w:rPr>
                <w:rFonts w:ascii="Cambria Math" w:hAnsi="Cambria Math"/>
              </w:rPr>
              <m:t>i</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L</m:t>
                </m:r>
              </m:e>
            </m:acc>
          </m:e>
          <m:sub>
            <m:r>
              <w:rPr>
                <w:rFonts w:ascii="Cambria Math" w:hAnsi="Cambria Math"/>
              </w:rPr>
              <m:t>max</m:t>
            </m:r>
          </m:sub>
        </m:sSub>
        <m:r>
          <w:rPr>
            <w:rFonts w:ascii="Cambria Math" w:hAnsi="Cambria Math"/>
          </w:rPr>
          <m:t>-1</m:t>
        </m:r>
      </m:oMath>
      <w:r w:rsidRPr="00D26445">
        <w:t>,</w:t>
      </w:r>
      <w:r w:rsidRPr="00D26445">
        <w:rPr>
          <w:lang w:val="en-US"/>
        </w:rPr>
        <w:t xml:space="preserve"> </w:t>
      </w:r>
      <w:r w:rsidR="00D03E23" w:rsidRPr="00B27E56">
        <w:rPr>
          <w:lang w:val="en-US"/>
        </w:rPr>
        <w:t xml:space="preserve">two slots </w:t>
      </w:r>
      <w:r w:rsidR="00D03E23" w:rsidRPr="00B27E56">
        <w:t>include</w:t>
      </w:r>
      <w:r w:rsidRPr="00D26445">
        <w:t xml:space="preserve"> the associated </w:t>
      </w:r>
      <w:r w:rsidRPr="00D26445">
        <w:rPr>
          <w:lang w:val="en-US"/>
        </w:rPr>
        <w:t>Type0-PDCCH monitoring occasions. The UE determines</w:t>
      </w:r>
      <w:r w:rsidRPr="00D26445">
        <w:t xml:space="preserve"> an index of slot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Pr="00D26445">
        <w:t xml:space="preserve"> as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O⋅</m:t>
            </m:r>
            <m:sSup>
              <m:sSupPr>
                <m:ctrlPr>
                  <w:rPr>
                    <w:rFonts w:ascii="Cambria Math" w:hAnsi="Cambria Math"/>
                    <w:i/>
                  </w:rPr>
                </m:ctrlPr>
              </m:sSupPr>
              <m:e>
                <m:r>
                  <w:rPr>
                    <w:rFonts w:ascii="Cambria Math" w:hAnsi="Cambria Math"/>
                  </w:rPr>
                  <m:t>2</m:t>
                </m:r>
              </m:e>
              <m:sup>
                <m:r>
                  <w:rPr>
                    <w:rFonts w:ascii="Cambria Math" w:hAnsi="Cambria Math"/>
                  </w:rPr>
                  <m:t>μ</m:t>
                </m:r>
              </m:sup>
            </m:sSup>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i</m:t>
                    </m:r>
                  </m:e>
                </m:acc>
                <m:r>
                  <w:rPr>
                    <w:rFonts w:ascii="Cambria Math" w:hAnsi="Cambria Math"/>
                  </w:rPr>
                  <m:t>⋅M</m:t>
                </m:r>
              </m:e>
            </m:d>
          </m:e>
        </m:d>
        <m:r>
          <m:rPr>
            <m:sty m:val="p"/>
          </m:rPr>
          <w:rPr>
            <w:rFonts w:ascii="Cambria Math" w:hAnsi="Cambria Math"/>
          </w:rPr>
          <m:t xml:space="preserve"> mod </m:t>
        </m:r>
        <m:sSubSup>
          <m:sSubSupPr>
            <m:ctrlPr>
              <w:rPr>
                <w:rFonts w:ascii="Cambria Math" w:hAnsi="Cambria Math"/>
                <w:i/>
              </w:rPr>
            </m:ctrlPr>
          </m:sSubSupPr>
          <m:e>
            <m:r>
              <w:rPr>
                <w:rFonts w:ascii="Cambria Math" w:hAnsi="Cambria Math"/>
              </w:rPr>
              <m:t>N</m:t>
            </m:r>
          </m:e>
          <m:sub>
            <m:r>
              <m:rPr>
                <m:sty m:val="p"/>
              </m:rPr>
              <w:rPr>
                <w:rFonts w:ascii="Cambria Math" w:hAnsi="Cambria Math"/>
              </w:rPr>
              <m:t>slot</m:t>
            </m:r>
          </m:sub>
          <m:sup>
            <m:r>
              <m:rPr>
                <m:sty m:val="p"/>
              </m:rPr>
              <w:rPr>
                <w:rFonts w:ascii="Cambria Math" w:hAnsi="Cambria Math"/>
              </w:rPr>
              <m:t>frame, μ</m:t>
            </m:r>
          </m:sup>
        </m:sSubSup>
      </m:oMath>
      <w:r w:rsidRPr="00D26445">
        <w:t xml:space="preserve"> that is in a frame with system frame number (SFN) </w:t>
      </w:r>
      <m:oMath>
        <m:sSub>
          <m:sSubPr>
            <m:ctrlPr>
              <w:rPr>
                <w:rFonts w:ascii="Cambria Math" w:hAnsi="Cambria Math"/>
                <w:i/>
              </w:rPr>
            </m:ctrlPr>
          </m:sSubPr>
          <m:e>
            <m:r>
              <m:rPr>
                <m:sty m:val="p"/>
              </m:rPr>
              <w:rPr>
                <w:rFonts w:ascii="Cambria Math" w:hAnsi="Cambria Math"/>
              </w:rPr>
              <m:t>SFN</m:t>
            </m:r>
          </m:e>
          <m:sub>
            <m:r>
              <w:rPr>
                <w:rFonts w:ascii="Cambria Math" w:hAnsi="Cambria Math"/>
              </w:rPr>
              <m:t>C</m:t>
            </m:r>
          </m:sub>
        </m:sSub>
      </m:oMath>
      <w:r w:rsidRPr="00D26445">
        <w:t xml:space="preserve"> satisfying </w:t>
      </w:r>
      <m:oMath>
        <m:sSub>
          <m:sSubPr>
            <m:ctrlPr>
              <w:rPr>
                <w:rFonts w:ascii="Cambria Math" w:hAnsi="Cambria Math"/>
                <w:i/>
              </w:rPr>
            </m:ctrlPr>
          </m:sSubPr>
          <m:e>
            <m:r>
              <m:rPr>
                <m:sty m:val="p"/>
              </m:rPr>
              <w:rPr>
                <w:rFonts w:ascii="Cambria Math" w:hAnsi="Cambria Math"/>
              </w:rPr>
              <m:t>SFN</m:t>
            </m:r>
          </m:e>
          <m:sub>
            <m:r>
              <w:rPr>
                <w:rFonts w:ascii="Cambria Math" w:hAnsi="Cambria Math"/>
              </w:rPr>
              <m:t>C</m:t>
            </m:r>
          </m:sub>
        </m:sSub>
        <m:r>
          <w:rPr>
            <w:rFonts w:ascii="Cambria Math" w:hAnsi="Cambria Math"/>
          </w:rPr>
          <m:t xml:space="preserve"> mod 2=0</m:t>
        </m:r>
      </m:oMath>
      <w:r w:rsidRPr="00D26445">
        <w:t xml:space="preserve"> if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O⋅</m:t>
                </m:r>
                <m:sSup>
                  <m:sSupPr>
                    <m:ctrlPr>
                      <w:rPr>
                        <w:rFonts w:ascii="Cambria Math" w:hAnsi="Cambria Math"/>
                        <w:i/>
                      </w:rPr>
                    </m:ctrlPr>
                  </m:sSupPr>
                  <m:e>
                    <m:r>
                      <w:rPr>
                        <w:rFonts w:ascii="Cambria Math" w:hAnsi="Cambria Math"/>
                      </w:rPr>
                      <m:t>2</m:t>
                    </m:r>
                  </m:e>
                  <m:sup>
                    <m:r>
                      <w:rPr>
                        <w:rFonts w:ascii="Cambria Math" w:hAnsi="Cambria Math"/>
                      </w:rPr>
                      <m:t>μ</m:t>
                    </m:r>
                  </m:sup>
                </m:sSup>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i</m:t>
                        </m:r>
                      </m:e>
                    </m:acc>
                    <m:r>
                      <w:rPr>
                        <w:rFonts w:ascii="Cambria Math" w:hAnsi="Cambria Math"/>
                      </w:rPr>
                      <m:t>⋅M</m:t>
                    </m:r>
                  </m:e>
                </m:d>
              </m:e>
            </m:d>
            <m:r>
              <m:rPr>
                <m:sty m:val="p"/>
              </m:rP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slot</m:t>
                </m:r>
              </m:sub>
              <m:sup>
                <m:r>
                  <m:rPr>
                    <m:sty m:val="p"/>
                  </m:rPr>
                  <w:rPr>
                    <w:rFonts w:ascii="Cambria Math" w:hAnsi="Cambria Math"/>
                  </w:rPr>
                  <m:t>frame, μ</m:t>
                </m:r>
              </m:sup>
            </m:sSubSup>
          </m:e>
        </m:d>
        <m:r>
          <w:rPr>
            <w:rFonts w:ascii="Cambria Math" w:hAnsi="Cambria Math"/>
          </w:rPr>
          <m:t xml:space="preserve"> mod 2=0</m:t>
        </m:r>
      </m:oMath>
      <w:r w:rsidRPr="00D26445">
        <w:t xml:space="preserve">, or in a frame with SFN satisfying </w:t>
      </w:r>
      <m:oMath>
        <m:sSub>
          <m:sSubPr>
            <m:ctrlPr>
              <w:rPr>
                <w:rFonts w:ascii="Cambria Math" w:hAnsi="Cambria Math"/>
                <w:i/>
              </w:rPr>
            </m:ctrlPr>
          </m:sSubPr>
          <m:e>
            <m:r>
              <m:rPr>
                <m:sty m:val="p"/>
              </m:rPr>
              <w:rPr>
                <w:rFonts w:ascii="Cambria Math" w:hAnsi="Cambria Math"/>
              </w:rPr>
              <m:t>SFN</m:t>
            </m:r>
          </m:e>
          <m:sub>
            <m:r>
              <w:rPr>
                <w:rFonts w:ascii="Cambria Math" w:hAnsi="Cambria Math"/>
              </w:rPr>
              <m:t>C</m:t>
            </m:r>
          </m:sub>
        </m:sSub>
        <m:r>
          <w:rPr>
            <w:rFonts w:ascii="Cambria Math" w:hAnsi="Cambria Math"/>
          </w:rPr>
          <m:t xml:space="preserve"> mod 2=1</m:t>
        </m:r>
      </m:oMath>
      <w:r w:rsidRPr="00D26445">
        <w:t xml:space="preserve"> if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O⋅</m:t>
                </m:r>
                <m:sSup>
                  <m:sSupPr>
                    <m:ctrlPr>
                      <w:rPr>
                        <w:rFonts w:ascii="Cambria Math" w:hAnsi="Cambria Math"/>
                        <w:i/>
                      </w:rPr>
                    </m:ctrlPr>
                  </m:sSupPr>
                  <m:e>
                    <m:r>
                      <w:rPr>
                        <w:rFonts w:ascii="Cambria Math" w:hAnsi="Cambria Math"/>
                      </w:rPr>
                      <m:t>2</m:t>
                    </m:r>
                  </m:e>
                  <m:sup>
                    <m:r>
                      <w:rPr>
                        <w:rFonts w:ascii="Cambria Math" w:hAnsi="Cambria Math"/>
                      </w:rPr>
                      <m:t>μ</m:t>
                    </m:r>
                  </m:sup>
                </m:sSup>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i</m:t>
                        </m:r>
                      </m:e>
                    </m:acc>
                    <m:r>
                      <w:rPr>
                        <w:rFonts w:ascii="Cambria Math" w:hAnsi="Cambria Math"/>
                      </w:rPr>
                      <m:t>⋅M</m:t>
                    </m:r>
                  </m:e>
                </m:d>
              </m:e>
            </m:d>
            <m:r>
              <m:rPr>
                <m:sty m:val="p"/>
              </m:rP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slot</m:t>
                </m:r>
              </m:sub>
              <m:sup>
                <m:r>
                  <m:rPr>
                    <m:sty m:val="p"/>
                  </m:rPr>
                  <w:rPr>
                    <w:rFonts w:ascii="Cambria Math" w:hAnsi="Cambria Math"/>
                  </w:rPr>
                  <m:t>frame, μ</m:t>
                </m:r>
              </m:sup>
            </m:sSubSup>
          </m:e>
        </m:d>
        <m:r>
          <w:rPr>
            <w:rFonts w:ascii="Cambria Math" w:hAnsi="Cambria Math"/>
          </w:rPr>
          <m:t xml:space="preserve"> mod 2=1</m:t>
        </m:r>
      </m:oMath>
      <w:r w:rsidR="00D03E23" w:rsidRPr="00B27E56">
        <w:t xml:space="preserve"> where </w:t>
      </w:r>
      <m:oMath>
        <m:r>
          <w:rPr>
            <w:rFonts w:ascii="Cambria Math" w:hAnsi="Cambria Math"/>
          </w:rPr>
          <m:t>μ∈{0, 1,3,5,6}</m:t>
        </m:r>
      </m:oMath>
      <w:r w:rsidR="00D03E23" w:rsidRPr="00B27E56">
        <w:t xml:space="preserve"> based on the SCS for PDCCH receptions in the CORESET [4, TS 38.211]. </w:t>
      </w:r>
    </w:p>
    <w:p w14:paraId="4ADFDDF3" w14:textId="77777777" w:rsidR="00D03E23" w:rsidRPr="00B27E56" w:rsidRDefault="00D03E23" w:rsidP="00D03E23">
      <w:pPr>
        <w:pStyle w:val="B1"/>
        <w:rPr>
          <w:lang w:val="en-US"/>
        </w:rPr>
      </w:pPr>
      <w:r w:rsidRPr="00B27E56">
        <w:t>-</w:t>
      </w:r>
      <w:r w:rsidRPr="00B27E56">
        <w:tab/>
        <w:t xml:space="preserve">For </w:t>
      </w:r>
      <m:oMath>
        <m:r>
          <w:rPr>
            <w:rFonts w:ascii="Cambria Math" w:hAnsi="Cambria Math"/>
          </w:rPr>
          <m:t>μ∈{0, 1}</m:t>
        </m:r>
      </m:oMath>
      <w:r w:rsidRPr="00B27E56">
        <w:t xml:space="preserve"> and for a </w:t>
      </w:r>
      <w:r w:rsidRPr="00B27E56">
        <w:rPr>
          <w:lang w:val="en-US"/>
        </w:rPr>
        <w:t>candidate SS/PBCH block index</w:t>
      </w:r>
      <w:r w:rsidRPr="00B27E56">
        <w:t xml:space="preserve"> </w:t>
      </w:r>
      <m:oMath>
        <m:acc>
          <m:accPr>
            <m:chr m:val="̅"/>
            <m:ctrlPr>
              <w:rPr>
                <w:rFonts w:ascii="Cambria Math" w:hAnsi="Cambria Math"/>
                <w:i/>
              </w:rPr>
            </m:ctrlPr>
          </m:accPr>
          <m:e>
            <m:r>
              <w:rPr>
                <w:rFonts w:ascii="Cambria Math" w:hAnsi="Cambria Math"/>
              </w:rPr>
              <m:t>i</m:t>
            </m:r>
          </m:e>
        </m:acc>
      </m:oMath>
      <w:r w:rsidRPr="00B27E56">
        <w:t xml:space="preserve">, the two slots including the associated Type0-PDCCH monitoring occasions are slots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Pr="00B27E56">
        <w:t xml:space="preserve"> and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+1</m:t>
        </m:r>
      </m:oMath>
      <w:r w:rsidRPr="00B27E56">
        <w:t xml:space="preserve">. </w:t>
      </w:r>
      <m:oMath>
        <m:r>
          <w:rPr>
            <w:rFonts w:ascii="Cambria Math" w:hAnsi="Cambria Math"/>
          </w:rPr>
          <m:t>M</m:t>
        </m:r>
      </m:oMath>
      <w:r w:rsidRPr="00B27E56">
        <w:t xml:space="preserve">, </w:t>
      </w:r>
      <m:oMath>
        <m:r>
          <w:rPr>
            <w:rFonts w:ascii="Cambria Math" w:hAnsi="Cambria Math"/>
          </w:rPr>
          <m:t>O</m:t>
        </m:r>
      </m:oMath>
      <w:r w:rsidRPr="00B27E56">
        <w:t xml:space="preserve">, and the index of the first symbol of the CORESET in slots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Pr="00B27E56">
        <w:t xml:space="preserve"> and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+1</m:t>
        </m:r>
      </m:oMath>
      <w:r w:rsidRPr="00B27E56">
        <w:t xml:space="preserve"> are provided by Table 13-11. The UE does not expect to be configured with </w:t>
      </w:r>
      <m:oMath>
        <m:r>
          <w:rPr>
            <w:rFonts w:ascii="Cambria Math" w:hAnsi="Cambria Math"/>
          </w:rPr>
          <m:t>M=1/2</m:t>
        </m:r>
      </m:oMath>
      <w:r w:rsidRPr="00B27E56">
        <w:t xml:space="preserve">, or with </w:t>
      </w:r>
      <m:oMath>
        <m:r>
          <w:rPr>
            <w:rFonts w:ascii="Cambria Math" w:hAnsi="Cambria Math"/>
          </w:rPr>
          <m:t>M=2</m:t>
        </m:r>
      </m:oMath>
      <w:r w:rsidRPr="00B27E56">
        <w:t xml:space="preserve">, when </w:t>
      </w:r>
      <m:oMath>
        <m:sSubSup>
          <m:sSubSupPr>
            <m:ctrlPr>
              <w:rPr>
                <w:rFonts w:ascii="Cambria Math" w:hAnsi="Cambria Math"/>
                <w:i/>
              </w:rPr>
            </m:ctrlPr>
          </m:sSubSupPr>
          <m:e>
            <m:r>
              <w:rPr>
                <w:rFonts w:ascii="Cambria Math" w:hAnsi="Cambria Math"/>
              </w:rPr>
              <m:t>N</m:t>
            </m:r>
          </m:e>
          <m:sub>
            <m:r>
              <w:rPr>
                <w:rFonts w:ascii="Cambria Math" w:hAnsi="Cambria Math"/>
              </w:rPr>
              <m:t>SSB</m:t>
            </m:r>
          </m:sub>
          <m:sup>
            <m:r>
              <w:rPr>
                <w:rFonts w:ascii="Cambria Math" w:hAnsi="Cambria Math"/>
              </w:rPr>
              <m:t>QCL</m:t>
            </m:r>
          </m:sup>
        </m:sSubSup>
        <m:r>
          <w:rPr>
            <w:rFonts w:ascii="Cambria Math" w:hAnsi="Cambria Math"/>
          </w:rPr>
          <m:t>=1</m:t>
        </m:r>
      </m:oMath>
      <w:r w:rsidRPr="00B27E56">
        <w:rPr>
          <w:lang w:val="en-US"/>
        </w:rPr>
        <w:t>.</w:t>
      </w:r>
    </w:p>
    <w:p w14:paraId="09528F85" w14:textId="77777777" w:rsidR="00D03E23" w:rsidRPr="00B27E56" w:rsidRDefault="00D03E23" w:rsidP="00D03E23">
      <w:pPr>
        <w:pStyle w:val="B1"/>
      </w:pPr>
      <w:r w:rsidRPr="00B27E56">
        <w:t>-</w:t>
      </w:r>
      <w:r w:rsidRPr="00B27E56">
        <w:tab/>
        <w:t xml:space="preserve">For </w:t>
      </w:r>
      <m:oMath>
        <m:r>
          <w:rPr>
            <w:rFonts w:ascii="Cambria Math" w:hAnsi="Cambria Math"/>
          </w:rPr>
          <m:t>μ=3</m:t>
        </m:r>
      </m:oMath>
      <w:r w:rsidRPr="00B27E56">
        <w:t xml:space="preserve"> and for a </w:t>
      </w:r>
      <w:r w:rsidRPr="00B27E56">
        <w:rPr>
          <w:lang w:val="en-US"/>
        </w:rPr>
        <w:t>candidate SS/PBCH block index</w:t>
      </w:r>
      <w:r w:rsidRPr="00B27E56">
        <w:t xml:space="preserve"> </w:t>
      </w:r>
      <m:oMath>
        <m:acc>
          <m:accPr>
            <m:chr m:val="̅"/>
            <m:ctrlPr>
              <w:rPr>
                <w:rFonts w:ascii="Cambria Math" w:hAnsi="Cambria Math"/>
                <w:i/>
              </w:rPr>
            </m:ctrlPr>
          </m:accPr>
          <m:e>
            <m:r>
              <w:rPr>
                <w:rFonts w:ascii="Cambria Math" w:hAnsi="Cambria Math"/>
              </w:rPr>
              <m:t>i</m:t>
            </m:r>
          </m:e>
        </m:acc>
      </m:oMath>
      <w:r w:rsidRPr="00B27E56">
        <w:t xml:space="preserve">, the two slots including the associated Type0-PDCCH monitoring occasions are slots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Pr="00B27E56">
        <w:t xml:space="preserve"> and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+1</m:t>
        </m:r>
      </m:oMath>
      <w:r w:rsidRPr="00B27E56">
        <w:t xml:space="preserve">. </w:t>
      </w:r>
      <m:oMath>
        <m:r>
          <w:rPr>
            <w:rFonts w:ascii="Cambria Math" w:hAnsi="Cambria Math"/>
          </w:rPr>
          <m:t>M</m:t>
        </m:r>
      </m:oMath>
      <w:r w:rsidRPr="00B27E56">
        <w:t xml:space="preserve">, </w:t>
      </w:r>
      <m:oMath>
        <m:r>
          <w:rPr>
            <w:rFonts w:ascii="Cambria Math" w:hAnsi="Cambria Math"/>
          </w:rPr>
          <m:t>O</m:t>
        </m:r>
      </m:oMath>
      <w:r w:rsidRPr="00B27E56">
        <w:t>, and the index of the first symbol of the CORESET in</w:t>
      </w:r>
      <w:r w:rsidRPr="00B27E56">
        <w:rPr>
          <w:lang w:val="en-US"/>
        </w:rPr>
        <w:t xml:space="preserve"> slots</w:t>
      </w:r>
      <w:r w:rsidRPr="00B27E56">
        <w:t xml:space="preserve">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Pr="00B27E56">
        <w:t xml:space="preserve"> and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+1</m:t>
        </m:r>
      </m:oMath>
      <w:r w:rsidRPr="00B27E56">
        <w:t xml:space="preserve"> are provided by Table 13-12</w:t>
      </w:r>
      <w:r w:rsidRPr="00B27E56">
        <w:rPr>
          <w:lang w:val="en-US"/>
        </w:rPr>
        <w:t>.</w:t>
      </w:r>
    </w:p>
    <w:p w14:paraId="3F58856F" w14:textId="77777777" w:rsidR="00D03E23" w:rsidRPr="00B27E56" w:rsidRDefault="00D03E23" w:rsidP="00D03E23">
      <w:pPr>
        <w:pStyle w:val="B1"/>
      </w:pPr>
      <w:r w:rsidRPr="00B27E56">
        <w:t>-</w:t>
      </w:r>
      <w:r w:rsidRPr="00B27E56">
        <w:tab/>
        <w:t xml:space="preserve">For </w:t>
      </w:r>
      <m:oMath>
        <m:r>
          <w:rPr>
            <w:rFonts w:ascii="Cambria Math" w:hAnsi="Cambria Math"/>
          </w:rPr>
          <m:t>μ=5</m:t>
        </m:r>
      </m:oMath>
      <w:r w:rsidRPr="00B27E56">
        <w:t xml:space="preserve"> and for a </w:t>
      </w:r>
      <w:r w:rsidRPr="00B27E56">
        <w:rPr>
          <w:lang w:val="en-US"/>
        </w:rPr>
        <w:t>candidate SS/PBCH block index</w:t>
      </w:r>
      <w:r w:rsidRPr="00B27E56">
        <w:t xml:space="preserve"> </w:t>
      </w:r>
      <m:oMath>
        <m:acc>
          <m:accPr>
            <m:chr m:val="̅"/>
            <m:ctrlPr>
              <w:rPr>
                <w:rFonts w:ascii="Cambria Math" w:hAnsi="Cambria Math"/>
                <w:i/>
              </w:rPr>
            </m:ctrlPr>
          </m:accPr>
          <m:e>
            <m:r>
              <w:rPr>
                <w:rFonts w:ascii="Cambria Math" w:hAnsi="Cambria Math"/>
              </w:rPr>
              <m:t>i</m:t>
            </m:r>
          </m:e>
        </m:acc>
      </m:oMath>
      <w:r w:rsidRPr="00B27E56">
        <w:t xml:space="preserve">, the two slots including the associated Type0-PDCCH monitoring occasions are slots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Pr="00B27E56">
        <w:t xml:space="preserve"> and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+4</m:t>
        </m:r>
      </m:oMath>
      <w:r w:rsidRPr="00B27E56">
        <w:t xml:space="preserve">. </w:t>
      </w:r>
      <m:oMath>
        <m:r>
          <w:rPr>
            <w:rFonts w:ascii="Cambria Math" w:hAnsi="Cambria Math"/>
          </w:rPr>
          <m:t>M</m:t>
        </m:r>
      </m:oMath>
      <w:r w:rsidRPr="00B27E56">
        <w:t xml:space="preserve">, </w:t>
      </w:r>
      <m:oMath>
        <m:r>
          <w:rPr>
            <w:rFonts w:ascii="Cambria Math" w:hAnsi="Cambria Math"/>
          </w:rPr>
          <m:t>O</m:t>
        </m:r>
      </m:oMath>
      <w:r w:rsidRPr="00B27E56">
        <w:t xml:space="preserve">, and the index of the first symbol of the CORESET in slots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Pr="00B27E56">
        <w:t xml:space="preserve"> and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+4</m:t>
        </m:r>
      </m:oMath>
      <w:r w:rsidRPr="00B27E56">
        <w:t xml:space="preserve"> are provided by Table 13-12A, where </w:t>
      </w:r>
      <m:oMath>
        <m:r>
          <w:rPr>
            <w:rFonts w:ascii="Cambria Math" w:hAnsi="Cambria Math"/>
          </w:rPr>
          <m:t>X=1.25</m:t>
        </m:r>
      </m:oMath>
      <w:r w:rsidRPr="00B27E56">
        <w:rPr>
          <w:lang w:val="en-US"/>
        </w:rPr>
        <w:t>.</w:t>
      </w:r>
    </w:p>
    <w:p w14:paraId="4203BBEE" w14:textId="77777777" w:rsidR="00D03E23" w:rsidRPr="00B27E56" w:rsidRDefault="00D03E23" w:rsidP="00D03E23">
      <w:pPr>
        <w:pStyle w:val="B1"/>
      </w:pPr>
      <w:r w:rsidRPr="00B27E56">
        <w:t>-</w:t>
      </w:r>
      <w:r w:rsidRPr="00B27E56">
        <w:tab/>
        <w:t xml:space="preserve">For </w:t>
      </w:r>
      <m:oMath>
        <m:r>
          <w:rPr>
            <w:rFonts w:ascii="Cambria Math" w:hAnsi="Cambria Math"/>
          </w:rPr>
          <m:t>μ=6</m:t>
        </m:r>
      </m:oMath>
      <w:r w:rsidRPr="00B27E56">
        <w:t xml:space="preserve"> and for a </w:t>
      </w:r>
      <w:r w:rsidRPr="00B27E56">
        <w:rPr>
          <w:lang w:val="en-US"/>
        </w:rPr>
        <w:t>candidate SS/PBCH block index</w:t>
      </w:r>
      <w:r w:rsidRPr="00B27E56">
        <w:t xml:space="preserve"> </w:t>
      </w:r>
      <m:oMath>
        <m:acc>
          <m:accPr>
            <m:chr m:val="̅"/>
            <m:ctrlPr>
              <w:rPr>
                <w:rFonts w:ascii="Cambria Math" w:hAnsi="Cambria Math"/>
                <w:i/>
              </w:rPr>
            </m:ctrlPr>
          </m:accPr>
          <m:e>
            <m:r>
              <w:rPr>
                <w:rFonts w:ascii="Cambria Math" w:hAnsi="Cambria Math"/>
              </w:rPr>
              <m:t>i</m:t>
            </m:r>
          </m:e>
        </m:acc>
      </m:oMath>
      <w:r w:rsidRPr="00B27E56">
        <w:t xml:space="preserve">, the two slots including the associated Type0-PDCCH monitoring occasions are slots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Pr="00B27E56">
        <w:t xml:space="preserve"> and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+8</m:t>
        </m:r>
      </m:oMath>
      <w:r w:rsidRPr="00B27E56">
        <w:t xml:space="preserve">. </w:t>
      </w:r>
      <m:oMath>
        <m:r>
          <w:rPr>
            <w:rFonts w:ascii="Cambria Math" w:hAnsi="Cambria Math"/>
          </w:rPr>
          <m:t>M</m:t>
        </m:r>
      </m:oMath>
      <w:r w:rsidRPr="00B27E56">
        <w:t xml:space="preserve">, </w:t>
      </w:r>
      <m:oMath>
        <m:r>
          <w:rPr>
            <w:rFonts w:ascii="Cambria Math" w:hAnsi="Cambria Math"/>
          </w:rPr>
          <m:t>O</m:t>
        </m:r>
      </m:oMath>
      <w:r w:rsidRPr="00B27E56">
        <w:t xml:space="preserve">, and the index of the first symbol of the CORESET in slots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Pr="00B27E56">
        <w:t xml:space="preserve"> and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+8</m:t>
        </m:r>
      </m:oMath>
      <w:r w:rsidRPr="00B27E56">
        <w:t xml:space="preserve"> are provided by Table 13-12A, where </w:t>
      </w:r>
      <m:oMath>
        <m:r>
          <w:rPr>
            <w:rFonts w:ascii="Cambria Math" w:hAnsi="Cambria Math"/>
          </w:rPr>
          <m:t>X=0.625</m:t>
        </m:r>
      </m:oMath>
      <w:r w:rsidRPr="00B27E56">
        <w:rPr>
          <w:lang w:val="en-US"/>
        </w:rPr>
        <w:t>.</w:t>
      </w:r>
    </w:p>
    <w:p w14:paraId="3B65F549" w14:textId="702A1265" w:rsidR="000646B8" w:rsidRDefault="00D03E23" w:rsidP="00D03E23">
      <w:r w:rsidRPr="00B27E56">
        <w:rPr>
          <w:lang w:val="en-US"/>
        </w:rPr>
        <w:t xml:space="preserve">For </w:t>
      </w:r>
      <w:r w:rsidRPr="00B27E56">
        <w:t>operation without shared spectrum channel access and for</w:t>
      </w:r>
      <w:r w:rsidR="000646B8" w:rsidRPr="00B916EC">
        <w:t xml:space="preserve"> </w:t>
      </w:r>
      <w:r w:rsidR="000646B8">
        <w:t xml:space="preserve">the </w:t>
      </w:r>
      <w:r w:rsidR="000646B8" w:rsidRPr="00B916EC">
        <w:t>SS/PBCH block an</w:t>
      </w:r>
      <w:r w:rsidR="000646B8">
        <w:t xml:space="preserve">d </w:t>
      </w:r>
      <w:r w:rsidR="00C76664">
        <w:t>CORESET</w:t>
      </w:r>
      <w:r w:rsidR="000646B8" w:rsidRPr="00B916EC">
        <w:t xml:space="preserve"> multiplexing pattern</w:t>
      </w:r>
      <w:r w:rsidR="000646B8">
        <w:t>s 2 and 3</w:t>
      </w:r>
      <w:r w:rsidR="000646B8" w:rsidRPr="00B916EC">
        <w:t xml:space="preserve">, a UE monitors PDCCH in the Type0-PDCCH </w:t>
      </w:r>
      <w:r w:rsidR="00CB0C9E" w:rsidRPr="00D20E88">
        <w:rPr>
          <w:lang w:val="en-US"/>
        </w:rPr>
        <w:t>CSS set</w:t>
      </w:r>
      <w:r w:rsidR="000646B8" w:rsidRPr="00B916EC">
        <w:t xml:space="preserve"> over </w:t>
      </w:r>
      <w:r w:rsidR="000646B8">
        <w:t xml:space="preserve">one </w:t>
      </w:r>
      <w:r w:rsidR="000646B8" w:rsidRPr="00B916EC">
        <w:t>slot</w:t>
      </w:r>
      <w:r w:rsidR="000646B8" w:rsidRPr="00817923">
        <w:t xml:space="preserve"> with </w:t>
      </w:r>
      <w:r w:rsidR="000646B8">
        <w:t>Type0-</w:t>
      </w:r>
      <w:r w:rsidR="000646B8" w:rsidRPr="00817923">
        <w:t>PDCCH</w:t>
      </w:r>
      <w:r w:rsidR="000646B8" w:rsidRPr="00C14186">
        <w:t xml:space="preserve"> </w:t>
      </w:r>
      <w:r w:rsidR="00CB0C9E" w:rsidRPr="00D20E88">
        <w:rPr>
          <w:lang w:val="en-US"/>
        </w:rPr>
        <w:t>CSS set</w:t>
      </w:r>
      <w:r w:rsidR="000646B8" w:rsidRPr="00817923">
        <w:t xml:space="preserve"> periodicity equal to the</w:t>
      </w:r>
      <w:r w:rsidR="000646B8">
        <w:t xml:space="preserve"> periodicity of SS/PBCH block. </w:t>
      </w:r>
      <w:r w:rsidR="000646B8" w:rsidRPr="00817923">
        <w:t xml:space="preserve">For </w:t>
      </w:r>
      <w:r w:rsidR="000646B8">
        <w:t xml:space="preserve">a </w:t>
      </w:r>
      <w:r w:rsidR="000646B8" w:rsidRPr="00817923">
        <w:t xml:space="preserve">SS/PBCH block with index </w:t>
      </w:r>
      <m:oMath>
        <m:r>
          <w:rPr>
            <w:rFonts w:ascii="Cambria Math" w:hAnsi="Cambria Math"/>
            <w:lang w:val="en-US"/>
          </w:rPr>
          <m:t>i</m:t>
        </m:r>
      </m:oMath>
      <w:r w:rsidR="000646B8" w:rsidRPr="00817923">
        <w:t>, the</w:t>
      </w:r>
      <w:r w:rsidR="000646B8" w:rsidRPr="00B916EC">
        <w:t xml:space="preserve"> UE determines </w:t>
      </w:r>
      <w:r w:rsidR="000646B8">
        <w:t>the</w:t>
      </w:r>
      <w:r w:rsidR="000646B8" w:rsidRPr="00B916EC">
        <w:t xml:space="preserve"> slot index </w:t>
      </w:r>
      <m:oMath>
        <m:sSub>
          <m:sSubPr>
            <m:ctrlPr>
              <w:rPr>
                <w:rFonts w:ascii="Cambria Math" w:hAnsi="Cambria Math"/>
                <w:iCs/>
                <w:lang w:val="en-US"/>
              </w:rPr>
            </m:ctrlPr>
          </m:sSubPr>
          <m:e>
            <m:r>
              <w:rPr>
                <w:rFonts w:ascii="Cambria Math" w:hAnsi="Cambria Math"/>
                <w:lang w:val="en-US"/>
              </w:rPr>
              <m:t>n</m:t>
            </m:r>
          </m:e>
          <m:sub>
            <m:r>
              <m:rPr>
                <m:sty m:val="p"/>
              </m:rPr>
              <w:rPr>
                <w:rFonts w:ascii="Cambria Math" w:hAnsi="Cambria Math"/>
                <w:lang w:val="en-US"/>
              </w:rPr>
              <m:t>c</m:t>
            </m:r>
          </m:sub>
        </m:sSub>
      </m:oMath>
      <w:r w:rsidR="000646B8">
        <w:t xml:space="preserve"> and </w:t>
      </w:r>
      <m:oMath>
        <m:sSub>
          <m:sSubPr>
            <m:ctrlPr>
              <w:rPr>
                <w:rFonts w:ascii="Cambria Math" w:hAnsi="Cambria Math"/>
                <w:iCs/>
                <w:lang w:val="en-US"/>
              </w:rPr>
            </m:ctrlPr>
          </m:sSubPr>
          <m:e>
            <m:r>
              <m:rPr>
                <m:sty m:val="p"/>
              </m:rPr>
              <w:rPr>
                <w:rFonts w:ascii="Cambria Math" w:hAnsi="Cambria Math"/>
                <w:lang w:val="en-US"/>
              </w:rPr>
              <m:t>SFN</m:t>
            </m:r>
          </m:e>
          <m:sub>
            <m:r>
              <m:rPr>
                <m:sty m:val="p"/>
              </m:rPr>
              <w:rPr>
                <w:rFonts w:ascii="Cambria Math" w:hAnsi="Cambria Math"/>
                <w:lang w:val="en-US"/>
              </w:rPr>
              <m:t>c</m:t>
            </m:r>
          </m:sub>
        </m:sSub>
      </m:oMath>
      <w:r w:rsidR="000646B8">
        <w:t xml:space="preserve"> based on parameter</w:t>
      </w:r>
      <w:r w:rsidR="00EA04A8">
        <w:t>s</w:t>
      </w:r>
      <w:r w:rsidR="000646B8">
        <w:t xml:space="preserve"> provided by Tables 13-13 through 13-15</w:t>
      </w:r>
      <w:r>
        <w:t>A</w:t>
      </w:r>
      <w:r w:rsidR="000646B8">
        <w:t>.</w:t>
      </w:r>
    </w:p>
    <w:p w14:paraId="4361D633" w14:textId="77777777" w:rsidR="00D03E23" w:rsidRPr="00B27E56" w:rsidRDefault="00D03E23" w:rsidP="00D03E23">
      <w:pPr>
        <w:rPr>
          <w:kern w:val="2"/>
          <w:lang w:eastAsia="zh-CN"/>
        </w:rPr>
      </w:pPr>
      <w:r w:rsidRPr="00B27E56">
        <w:rPr>
          <w:lang w:val="en-US"/>
        </w:rPr>
        <w:t xml:space="preserve">For </w:t>
      </w:r>
      <w:r w:rsidRPr="00B27E56">
        <w:t xml:space="preserve">operation with shared spectrum channel access and for SS/PBCH block and CORESET multiplexing pattern 3, a UE monitors PDCCH in the </w:t>
      </w:r>
      <w:r w:rsidRPr="00B27E56">
        <w:rPr>
          <w:lang w:val="en-US"/>
        </w:rPr>
        <w:t xml:space="preserve">Type0-PDCCH CSS set over slots that include Type0-PDCCH monitoring occasions associated with </w:t>
      </w:r>
      <w:r w:rsidRPr="00B27E56">
        <w:rPr>
          <w:lang w:eastAsia="ja-JP"/>
        </w:rPr>
        <w:t xml:space="preserve">SS/PBCH blocks that are </w:t>
      </w:r>
      <w:r w:rsidRPr="00B27E56">
        <w:t xml:space="preserve">quasi co-located </w:t>
      </w:r>
      <w:r w:rsidRPr="00B27E56">
        <w:rPr>
          <w:lang w:eastAsia="ja-JP"/>
        </w:rPr>
        <w:t>with the SS/PBCH block that provides a CORESET for Type0-PDCCH CSS set</w:t>
      </w:r>
      <w:r w:rsidRPr="00B27E56">
        <w:t xml:space="preserve"> with respect to average gain, quasi co-location 'typeA' and 'typeD' properties, when applicable</w:t>
      </w:r>
      <w:r w:rsidRPr="00B27E56">
        <w:rPr>
          <w:kern w:val="2"/>
          <w:lang w:eastAsia="zh-CN"/>
        </w:rPr>
        <w:t xml:space="preserve">. </w:t>
      </w:r>
      <w:r w:rsidRPr="00B27E56">
        <w:rPr>
          <w:rFonts w:eastAsia="Batang"/>
          <w:iCs/>
        </w:rPr>
        <w:lastRenderedPageBreak/>
        <w:t xml:space="preserve">For a candidate SS/PBCH block index </w:t>
      </w:r>
      <m:oMath>
        <m:acc>
          <m:accPr>
            <m:chr m:val="̅"/>
            <m:ctrlPr>
              <w:rPr>
                <w:rFonts w:ascii="Cambria Math" w:eastAsia="Batang" w:hAnsi="Cambria Math"/>
                <w:i/>
                <w:iCs/>
              </w:rPr>
            </m:ctrlPr>
          </m:accPr>
          <m:e>
            <m:r>
              <w:rPr>
                <w:rFonts w:ascii="Cambria Math" w:eastAsia="Batang" w:hAnsi="Cambria Math"/>
              </w:rPr>
              <m:t>i</m:t>
            </m:r>
          </m:e>
        </m:acc>
      </m:oMath>
      <w:r w:rsidRPr="00B27E56">
        <w:rPr>
          <w:rFonts w:eastAsia="Batang"/>
          <w:iCs/>
        </w:rPr>
        <w:t xml:space="preserve">, where </w:t>
      </w:r>
      <m:oMath>
        <m:r>
          <w:rPr>
            <w:rFonts w:ascii="Cambria Math" w:eastAsia="Malgun Gothic" w:hAnsi="Cambria Math"/>
            <w:lang w:eastAsia="ko-KR"/>
          </w:rPr>
          <m:t>0≤</m:t>
        </m:r>
        <m:acc>
          <m:accPr>
            <m:chr m:val="̅"/>
            <m:ctrlPr>
              <w:rPr>
                <w:rFonts w:ascii="Cambria Math" w:eastAsia="Malgun Gothic" w:hAnsi="Cambria Math"/>
                <w:i/>
                <w:lang w:eastAsia="ko-KR"/>
              </w:rPr>
            </m:ctrlPr>
          </m:accPr>
          <m:e>
            <m:r>
              <w:rPr>
                <w:rFonts w:ascii="Cambria Math" w:eastAsia="Malgun Gothic" w:hAnsi="Cambria Math"/>
                <w:lang w:eastAsia="ko-KR"/>
              </w:rPr>
              <m:t>i</m:t>
            </m:r>
          </m:e>
        </m:acc>
        <m:r>
          <w:rPr>
            <w:rFonts w:ascii="Cambria Math" w:eastAsia="Malgun Gothic" w:hAnsi="Cambria Math"/>
            <w:lang w:eastAsia="ko-KR"/>
          </w:rPr>
          <m:t>≤</m:t>
        </m:r>
        <m:sSub>
          <m:sSubPr>
            <m:ctrlPr>
              <w:rPr>
                <w:rFonts w:ascii="Cambria Math" w:eastAsia="Malgun Gothic" w:hAnsi="Cambria Math"/>
                <w:i/>
                <w:lang w:eastAsia="ko-KR"/>
              </w:rPr>
            </m:ctrlPr>
          </m:sSubPr>
          <m:e>
            <m:acc>
              <m:accPr>
                <m:chr m:val="̅"/>
                <m:ctrlPr>
                  <w:rPr>
                    <w:rFonts w:ascii="Cambria Math" w:eastAsia="Malgun Gothic" w:hAnsi="Cambria Math"/>
                    <w:i/>
                    <w:lang w:eastAsia="ko-KR"/>
                  </w:rPr>
                </m:ctrlPr>
              </m:accPr>
              <m:e>
                <m:r>
                  <w:rPr>
                    <w:rFonts w:ascii="Cambria Math" w:eastAsia="Malgun Gothic" w:hAnsi="Cambria Math"/>
                    <w:lang w:eastAsia="ko-KR"/>
                  </w:rPr>
                  <m:t>L</m:t>
                </m:r>
              </m:e>
            </m:acc>
          </m:e>
          <m:sub>
            <m:r>
              <m:rPr>
                <m:sty m:val="p"/>
              </m:rPr>
              <w:rPr>
                <w:rFonts w:ascii="Cambria Math" w:eastAsia="Malgun Gothic" w:hAnsi="Cambria Math"/>
                <w:lang w:eastAsia="ko-KR"/>
              </w:rPr>
              <m:t>max</m:t>
            </m:r>
          </m:sub>
        </m:sSub>
        <m:r>
          <w:rPr>
            <w:rFonts w:ascii="Cambria Math" w:eastAsia="Malgun Gothic" w:hAnsi="Cambria Math"/>
            <w:lang w:eastAsia="ko-KR"/>
          </w:rPr>
          <m:t>-1</m:t>
        </m:r>
      </m:oMath>
      <w:r w:rsidRPr="00B27E56">
        <w:rPr>
          <w:rFonts w:eastAsia="Batang"/>
          <w:lang w:eastAsia="ko-KR"/>
        </w:rPr>
        <w:t>,</w:t>
      </w:r>
      <w:r w:rsidRPr="00B27E56">
        <w:rPr>
          <w:rFonts w:eastAsia="Batang"/>
          <w:iCs/>
        </w:rPr>
        <w:t xml:space="preserve"> the periodicity of</w:t>
      </w:r>
      <w:r w:rsidRPr="00B27E56">
        <w:rPr>
          <w:rFonts w:eastAsia="Batang"/>
          <w:lang w:eastAsia="ko-KR"/>
        </w:rPr>
        <w:t xml:space="preserve"> the slot including </w:t>
      </w:r>
      <w:r w:rsidRPr="00B27E56">
        <w:rPr>
          <w:rFonts w:eastAsia="Batang"/>
          <w:iCs/>
        </w:rPr>
        <w:t xml:space="preserve">the associated Type0-PDCCH monitoring occasion is same as the periodicity of the </w:t>
      </w:r>
      <w:r w:rsidRPr="00B27E56">
        <w:rPr>
          <w:rFonts w:eastAsia="Batang"/>
          <w:lang w:eastAsia="ko-KR"/>
        </w:rPr>
        <w:t xml:space="preserve">candidate SS/PBCH block, and the </w:t>
      </w:r>
      <w:r w:rsidRPr="00B27E56">
        <w:t xml:space="preserve">UE determines the slot index </w:t>
      </w:r>
      <m:oMath>
        <m:sSub>
          <m:sSubPr>
            <m:ctrlPr>
              <w:rPr>
                <w:rFonts w:ascii="Cambria Math" w:hAnsi="Cambria Math"/>
                <w:iCs/>
                <w:lang w:val="en-US"/>
              </w:rPr>
            </m:ctrlPr>
          </m:sSubPr>
          <m:e>
            <m:r>
              <w:rPr>
                <w:rFonts w:ascii="Cambria Math" w:hAnsi="Cambria Math"/>
                <w:lang w:val="en-US"/>
              </w:rPr>
              <m:t>n</m:t>
            </m:r>
          </m:e>
          <m:sub>
            <m:r>
              <m:rPr>
                <m:sty m:val="p"/>
              </m:rPr>
              <w:rPr>
                <w:rFonts w:ascii="Cambria Math" w:hAnsi="Cambria Math"/>
                <w:lang w:val="en-US"/>
              </w:rPr>
              <m:t>c</m:t>
            </m:r>
          </m:sub>
        </m:sSub>
      </m:oMath>
      <w:r w:rsidRPr="00B27E56">
        <w:t xml:space="preserve"> and </w:t>
      </w:r>
      <m:oMath>
        <m:sSub>
          <m:sSubPr>
            <m:ctrlPr>
              <w:rPr>
                <w:rFonts w:ascii="Cambria Math" w:hAnsi="Cambria Math"/>
                <w:iCs/>
                <w:lang w:val="en-US"/>
              </w:rPr>
            </m:ctrlPr>
          </m:sSubPr>
          <m:e>
            <m:r>
              <m:rPr>
                <m:sty m:val="p"/>
              </m:rPr>
              <w:rPr>
                <w:rFonts w:ascii="Cambria Math" w:hAnsi="Cambria Math"/>
                <w:lang w:val="en-US"/>
              </w:rPr>
              <m:t>SFN</m:t>
            </m:r>
          </m:e>
          <m:sub>
            <m:r>
              <m:rPr>
                <m:sty m:val="p"/>
              </m:rPr>
              <w:rPr>
                <w:rFonts w:ascii="Cambria Math" w:hAnsi="Cambria Math"/>
                <w:lang w:val="en-US"/>
              </w:rPr>
              <m:t>c</m:t>
            </m:r>
          </m:sub>
        </m:sSub>
      </m:oMath>
      <w:r w:rsidRPr="00B27E56">
        <w:t xml:space="preserve"> based on parameters provided by Tables 13-15 and 13-15A, where </w:t>
      </w:r>
      <m:oMath>
        <m:r>
          <w:rPr>
            <w:rFonts w:ascii="Cambria Math" w:hAnsi="Cambria Math"/>
          </w:rPr>
          <m:t>i</m:t>
        </m:r>
      </m:oMath>
      <w:r w:rsidRPr="00B27E56">
        <w:rPr>
          <w:iCs/>
        </w:rPr>
        <w:t xml:space="preserve"> </w:t>
      </w:r>
      <w:r>
        <w:rPr>
          <w:iCs/>
        </w:rPr>
        <w:t xml:space="preserve">is replaced by </w:t>
      </w:r>
      <m:oMath>
        <m:acc>
          <m:accPr>
            <m:chr m:val="̅"/>
            <m:ctrlPr>
              <w:rPr>
                <w:rFonts w:ascii="Cambria Math" w:eastAsia="Batang" w:hAnsi="Cambria Math"/>
                <w:i/>
                <w:iCs/>
              </w:rPr>
            </m:ctrlPr>
          </m:accPr>
          <m:e>
            <m:r>
              <w:rPr>
                <w:rFonts w:ascii="Cambria Math" w:eastAsia="Batang" w:hAnsi="Cambria Math"/>
              </w:rPr>
              <m:t>i</m:t>
            </m:r>
          </m:e>
        </m:acc>
      </m:oMath>
      <w:r>
        <w:rPr>
          <w:iCs/>
        </w:rPr>
        <w:t xml:space="preserve"> </w:t>
      </w:r>
      <w:r w:rsidRPr="00B27E56">
        <w:rPr>
          <w:iCs/>
        </w:rPr>
        <w:t xml:space="preserve">for </w:t>
      </w:r>
      <w:r>
        <w:rPr>
          <w:iCs/>
        </w:rPr>
        <w:t xml:space="preserve">operation with shared spectrum channel access in </w:t>
      </w:r>
      <w:r w:rsidRPr="00B27E56">
        <w:rPr>
          <w:iCs/>
        </w:rPr>
        <w:t>FR2-2</w:t>
      </w:r>
      <w:r w:rsidRPr="00B27E56">
        <w:t>.</w:t>
      </w:r>
    </w:p>
    <w:p w14:paraId="175DEF58" w14:textId="66707686" w:rsidR="00D03E23" w:rsidRDefault="00D03E23" w:rsidP="00D03E23">
      <w:r w:rsidRPr="00B27E56">
        <w:t xml:space="preserve">For the SS/PBCH block and CORESET multiplexing patterns 2 and 3, if the active DL BWP is the initial DL BWP, the UE is expected to be able to perform radio link monitoring, as described in clause 5, and measurements for radio resource management [10, TS 38.133] using a SS/PBCH block that provides a CORESET for Type0-PDCCH </w:t>
      </w:r>
      <w:r w:rsidRPr="00B27E56">
        <w:rPr>
          <w:lang w:val="en-US"/>
        </w:rPr>
        <w:t>CSS set</w:t>
      </w:r>
      <w:r w:rsidRPr="00B27E56">
        <w:t>.</w:t>
      </w:r>
    </w:p>
    <w:p w14:paraId="7E55837B" w14:textId="77777777" w:rsidR="00512AD8" w:rsidRPr="00512AD8" w:rsidRDefault="00512AD8" w:rsidP="00512AD8">
      <w:pPr>
        <w:pStyle w:val="TH"/>
        <w:rPr>
          <w:rFonts w:eastAsia="Times New Roman"/>
        </w:rPr>
      </w:pPr>
      <w:r w:rsidRPr="00512AD8">
        <w:t>Table 13-0: Set of resource blocks and slot symbols of CORESET for Type0-PDCCH search space set when {SS/PBCH block, PDCCH} SCS is {15, 15} kHz</w:t>
      </w:r>
      <w:r w:rsidRPr="00512AD8">
        <w:rPr>
          <w:rFonts w:cs="Arial" w:hint="eastAsia"/>
          <w:lang w:val="en-US" w:eastAsia="zh-CN"/>
        </w:rPr>
        <w:t xml:space="preserve"> for frequency bands</w:t>
      </w:r>
      <w:r w:rsidRPr="00512AD8">
        <w:rPr>
          <w:rFonts w:cs="Arial"/>
        </w:rPr>
        <w:t xml:space="preserve"> with minimum channel bandwidth 3 MHz and channel bandwidth 3 MHz or 5 MHz.</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
        <w:gridCol w:w="3349"/>
        <w:gridCol w:w="1520"/>
        <w:gridCol w:w="1857"/>
        <w:gridCol w:w="1824"/>
      </w:tblGrid>
      <w:tr w:rsidR="00512AD8" w:rsidRPr="00512AD8" w14:paraId="419BE4FF" w14:textId="77777777" w:rsidTr="00B60B79">
        <w:trPr>
          <w:cantSplit/>
        </w:trPr>
        <w:tc>
          <w:tcPr>
            <w:tcW w:w="791" w:type="dxa"/>
            <w:tcBorders>
              <w:bottom w:val="double" w:sz="4" w:space="0" w:color="auto"/>
              <w:right w:val="double" w:sz="4" w:space="0" w:color="auto"/>
            </w:tcBorders>
            <w:shd w:val="clear" w:color="auto" w:fill="E0E0E0"/>
            <w:vAlign w:val="center"/>
          </w:tcPr>
          <w:p w14:paraId="31A20836" w14:textId="77777777" w:rsidR="00512AD8" w:rsidRPr="00512AD8" w:rsidRDefault="00512AD8" w:rsidP="00512AD8">
            <w:pPr>
              <w:keepNext/>
              <w:keepLines/>
              <w:spacing w:after="0"/>
              <w:jc w:val="center"/>
              <w:rPr>
                <w:rFonts w:ascii="Arial" w:hAnsi="Arial"/>
                <w:b/>
                <w:bCs/>
                <w:sz w:val="18"/>
                <w:lang w:val="en-US"/>
              </w:rPr>
            </w:pPr>
            <w:r w:rsidRPr="00512AD8">
              <w:rPr>
                <w:rFonts w:ascii="Arial" w:hAnsi="Arial"/>
                <w:b/>
                <w:bCs/>
                <w:sz w:val="18"/>
                <w:lang w:val="en-US"/>
              </w:rPr>
              <w:t>Index</w:t>
            </w:r>
          </w:p>
        </w:tc>
        <w:tc>
          <w:tcPr>
            <w:tcW w:w="3349" w:type="dxa"/>
            <w:tcBorders>
              <w:left w:val="double" w:sz="4" w:space="0" w:color="auto"/>
              <w:bottom w:val="double" w:sz="4" w:space="0" w:color="auto"/>
            </w:tcBorders>
            <w:shd w:val="clear" w:color="auto" w:fill="E0E0E0"/>
            <w:vAlign w:val="center"/>
          </w:tcPr>
          <w:p w14:paraId="3021C347" w14:textId="77777777" w:rsidR="00512AD8" w:rsidRPr="00512AD8" w:rsidRDefault="00512AD8" w:rsidP="00512AD8">
            <w:pPr>
              <w:keepNext/>
              <w:keepLines/>
              <w:spacing w:after="0"/>
              <w:jc w:val="center"/>
              <w:rPr>
                <w:rFonts w:ascii="Arial" w:hAnsi="Arial"/>
                <w:b/>
                <w:bCs/>
                <w:sz w:val="18"/>
                <w:lang w:val="en-US"/>
              </w:rPr>
            </w:pPr>
            <w:r w:rsidRPr="00512AD8">
              <w:rPr>
                <w:rFonts w:ascii="Arial" w:hAnsi="Arial" w:cs="Arial"/>
                <w:b/>
                <w:kern w:val="24"/>
                <w:sz w:val="18"/>
              </w:rPr>
              <w:t xml:space="preserve">SS/PBCH block and CORESET multiplexing pattern </w:t>
            </w:r>
          </w:p>
        </w:tc>
        <w:tc>
          <w:tcPr>
            <w:tcW w:w="1520" w:type="dxa"/>
            <w:tcBorders>
              <w:bottom w:val="double" w:sz="4" w:space="0" w:color="auto"/>
            </w:tcBorders>
            <w:shd w:val="clear" w:color="auto" w:fill="E0E0E0"/>
            <w:vAlign w:val="center"/>
          </w:tcPr>
          <w:p w14:paraId="1A4D5575" w14:textId="77777777" w:rsidR="00512AD8" w:rsidRPr="00512AD8" w:rsidRDefault="00512AD8" w:rsidP="00512AD8">
            <w:pPr>
              <w:keepNext/>
              <w:keepLines/>
              <w:spacing w:after="0"/>
              <w:jc w:val="center"/>
              <w:rPr>
                <w:rFonts w:ascii="Arial" w:hAnsi="Arial"/>
                <w:b/>
                <w:bCs/>
                <w:sz w:val="18"/>
                <w:lang w:val="en-US"/>
              </w:rPr>
            </w:pPr>
            <w:r w:rsidRPr="00512AD8">
              <w:rPr>
                <w:rFonts w:ascii="Arial" w:hAnsi="Arial" w:cs="Arial"/>
                <w:b/>
                <w:kern w:val="24"/>
                <w:sz w:val="18"/>
              </w:rPr>
              <w:t xml:space="preserve">Number of RBs </w:t>
            </w:r>
            <m:oMath>
              <m:sSubSup>
                <m:sSubSupPr>
                  <m:ctrlPr>
                    <w:rPr>
                      <w:rFonts w:ascii="Cambria Math" w:hAnsi="Cambria Math"/>
                      <w:b/>
                      <w:i/>
                      <w:sz w:val="18"/>
                    </w:rPr>
                  </m:ctrlPr>
                </m:sSubSupPr>
                <m:e>
                  <m:r>
                    <m:rPr>
                      <m:sty m:val="bi"/>
                    </m:rPr>
                    <w:rPr>
                      <w:rFonts w:ascii="Cambria Math" w:hAnsi="Arial"/>
                      <w:sz w:val="18"/>
                    </w:rPr>
                    <m:t>N</m:t>
                  </m:r>
                </m:e>
                <m:sub>
                  <m:r>
                    <m:rPr>
                      <m:sty m:val="b"/>
                    </m:rPr>
                    <w:rPr>
                      <w:rFonts w:ascii="Cambria Math" w:hAnsi="Cambria Math"/>
                      <w:sz w:val="18"/>
                    </w:rPr>
                    <m:t>RB</m:t>
                  </m:r>
                </m:sub>
                <m:sup>
                  <m:r>
                    <m:rPr>
                      <m:sty m:val="b"/>
                    </m:rPr>
                    <w:rPr>
                      <w:rFonts w:ascii="Cambria Math" w:hAnsi="Arial"/>
                      <w:sz w:val="18"/>
                    </w:rPr>
                    <m:t>CORESET</m:t>
                  </m:r>
                </m:sup>
              </m:sSubSup>
            </m:oMath>
          </w:p>
        </w:tc>
        <w:tc>
          <w:tcPr>
            <w:tcW w:w="1857" w:type="dxa"/>
            <w:tcBorders>
              <w:bottom w:val="double" w:sz="4" w:space="0" w:color="auto"/>
            </w:tcBorders>
            <w:shd w:val="clear" w:color="auto" w:fill="E0E0E0"/>
            <w:vAlign w:val="center"/>
          </w:tcPr>
          <w:p w14:paraId="23D43B1A" w14:textId="77777777" w:rsidR="00512AD8" w:rsidRPr="00512AD8" w:rsidRDefault="00512AD8" w:rsidP="00512AD8">
            <w:pPr>
              <w:keepNext/>
              <w:keepLines/>
              <w:spacing w:after="0"/>
              <w:jc w:val="center"/>
              <w:rPr>
                <w:rFonts w:ascii="Arial" w:hAnsi="Arial"/>
                <w:b/>
                <w:bCs/>
                <w:sz w:val="18"/>
                <w:lang w:val="en-US"/>
              </w:rPr>
            </w:pPr>
            <w:r w:rsidRPr="00512AD8">
              <w:rPr>
                <w:rFonts w:ascii="Arial" w:hAnsi="Arial" w:cs="Arial"/>
                <w:b/>
                <w:kern w:val="24"/>
                <w:sz w:val="18"/>
              </w:rPr>
              <w:t xml:space="preserve">Number of Symbols </w:t>
            </w:r>
            <m:oMath>
              <m:sSubSup>
                <m:sSubSupPr>
                  <m:ctrlPr>
                    <w:rPr>
                      <w:rFonts w:ascii="Cambria Math" w:hAnsi="Cambria Math"/>
                      <w:b/>
                      <w:i/>
                      <w:sz w:val="18"/>
                    </w:rPr>
                  </m:ctrlPr>
                </m:sSubSupPr>
                <m:e>
                  <m:r>
                    <m:rPr>
                      <m:sty m:val="bi"/>
                    </m:rPr>
                    <w:rPr>
                      <w:rFonts w:ascii="Cambria Math" w:hAnsi="Arial"/>
                      <w:sz w:val="18"/>
                    </w:rPr>
                    <m:t>N</m:t>
                  </m:r>
                </m:e>
                <m:sub>
                  <m:r>
                    <m:rPr>
                      <m:sty m:val="b"/>
                    </m:rPr>
                    <w:rPr>
                      <w:rFonts w:ascii="Cambria Math" w:hAnsi="Cambria Math"/>
                      <w:sz w:val="18"/>
                    </w:rPr>
                    <m:t>symb</m:t>
                  </m:r>
                </m:sub>
                <m:sup>
                  <m:r>
                    <m:rPr>
                      <m:sty m:val="b"/>
                    </m:rPr>
                    <w:rPr>
                      <w:rFonts w:ascii="Cambria Math" w:hAnsi="Arial"/>
                      <w:sz w:val="18"/>
                    </w:rPr>
                    <m:t>CORESET</m:t>
                  </m:r>
                </m:sup>
              </m:sSubSup>
            </m:oMath>
            <w:r w:rsidRPr="00512AD8">
              <w:rPr>
                <w:rFonts w:ascii="Arial" w:hAnsi="Arial" w:cs="Arial"/>
                <w:b/>
                <w:kern w:val="24"/>
                <w:sz w:val="18"/>
              </w:rPr>
              <w:t xml:space="preserve"> </w:t>
            </w:r>
          </w:p>
        </w:tc>
        <w:tc>
          <w:tcPr>
            <w:tcW w:w="1824" w:type="dxa"/>
            <w:tcBorders>
              <w:bottom w:val="double" w:sz="4" w:space="0" w:color="auto"/>
            </w:tcBorders>
            <w:shd w:val="clear" w:color="auto" w:fill="E0E0E0"/>
            <w:vAlign w:val="center"/>
          </w:tcPr>
          <w:p w14:paraId="1FEC26DE" w14:textId="77777777" w:rsidR="00512AD8" w:rsidRPr="00512AD8" w:rsidRDefault="00512AD8" w:rsidP="00512AD8">
            <w:pPr>
              <w:keepNext/>
              <w:keepLines/>
              <w:spacing w:after="0"/>
              <w:jc w:val="center"/>
              <w:rPr>
                <w:rFonts w:ascii="Arial" w:hAnsi="Arial"/>
                <w:b/>
                <w:bCs/>
                <w:sz w:val="18"/>
                <w:lang w:val="en-US"/>
              </w:rPr>
            </w:pPr>
            <w:r w:rsidRPr="00512AD8">
              <w:rPr>
                <w:rFonts w:ascii="Arial" w:hAnsi="Arial" w:cs="Arial"/>
                <w:b/>
                <w:kern w:val="24"/>
                <w:sz w:val="18"/>
              </w:rPr>
              <w:t xml:space="preserve">Offset (RBs) </w:t>
            </w:r>
          </w:p>
        </w:tc>
      </w:tr>
      <w:tr w:rsidR="00512AD8" w:rsidRPr="00512AD8" w14:paraId="290B80E1" w14:textId="77777777" w:rsidTr="00B60B79">
        <w:trPr>
          <w:cantSplit/>
        </w:trPr>
        <w:tc>
          <w:tcPr>
            <w:tcW w:w="791" w:type="dxa"/>
            <w:tcBorders>
              <w:top w:val="double" w:sz="4" w:space="0" w:color="auto"/>
              <w:right w:val="double" w:sz="4" w:space="0" w:color="auto"/>
            </w:tcBorders>
            <w:shd w:val="clear" w:color="auto" w:fill="auto"/>
            <w:vAlign w:val="center"/>
          </w:tcPr>
          <w:p w14:paraId="14ACD604" w14:textId="77777777" w:rsidR="00512AD8" w:rsidRPr="00512AD8" w:rsidRDefault="00512AD8" w:rsidP="00512AD8">
            <w:pPr>
              <w:keepNext/>
              <w:keepLines/>
              <w:spacing w:after="0"/>
              <w:jc w:val="center"/>
              <w:rPr>
                <w:rFonts w:ascii="Arial" w:hAnsi="Arial"/>
                <w:sz w:val="18"/>
                <w:lang w:val="en-US"/>
              </w:rPr>
            </w:pPr>
            <w:r w:rsidRPr="00512AD8">
              <w:rPr>
                <w:rFonts w:ascii="Arial" w:hAnsi="Arial"/>
                <w:sz w:val="18"/>
                <w:lang w:val="en-US"/>
              </w:rPr>
              <w:t>0</w:t>
            </w:r>
          </w:p>
        </w:tc>
        <w:tc>
          <w:tcPr>
            <w:tcW w:w="3349" w:type="dxa"/>
            <w:tcBorders>
              <w:top w:val="double" w:sz="4" w:space="0" w:color="auto"/>
              <w:left w:val="double" w:sz="4" w:space="0" w:color="auto"/>
            </w:tcBorders>
            <w:vAlign w:val="center"/>
          </w:tcPr>
          <w:p w14:paraId="459B26F4" w14:textId="77777777" w:rsidR="00512AD8" w:rsidRPr="00512AD8" w:rsidRDefault="00512AD8" w:rsidP="00512AD8">
            <w:pPr>
              <w:keepNext/>
              <w:keepLines/>
              <w:spacing w:after="0"/>
              <w:jc w:val="center"/>
              <w:rPr>
                <w:rFonts w:ascii="Arial" w:hAnsi="Arial"/>
                <w:sz w:val="18"/>
                <w:lang w:val="en-US"/>
              </w:rPr>
            </w:pPr>
            <w:r w:rsidRPr="00512AD8">
              <w:rPr>
                <w:rFonts w:ascii="Arial" w:hAnsi="Arial" w:cs="Arial"/>
                <w:kern w:val="24"/>
                <w:sz w:val="18"/>
                <w:szCs w:val="18"/>
              </w:rPr>
              <w:t xml:space="preserve">1 </w:t>
            </w:r>
          </w:p>
        </w:tc>
        <w:tc>
          <w:tcPr>
            <w:tcW w:w="1520" w:type="dxa"/>
            <w:tcBorders>
              <w:top w:val="double" w:sz="4" w:space="0" w:color="auto"/>
            </w:tcBorders>
            <w:vAlign w:val="center"/>
          </w:tcPr>
          <w:p w14:paraId="6C322DC3" w14:textId="77777777" w:rsidR="00512AD8" w:rsidRPr="00512AD8" w:rsidRDefault="00512AD8" w:rsidP="00512AD8">
            <w:pPr>
              <w:keepNext/>
              <w:keepLines/>
              <w:spacing w:after="0"/>
              <w:jc w:val="center"/>
              <w:rPr>
                <w:rFonts w:ascii="Arial" w:hAnsi="Arial"/>
                <w:sz w:val="18"/>
                <w:lang w:val="en-US"/>
              </w:rPr>
            </w:pPr>
            <w:r w:rsidRPr="00512AD8">
              <w:rPr>
                <w:rFonts w:ascii="Arial" w:hAnsi="Arial" w:cs="Arial"/>
                <w:kern w:val="24"/>
                <w:sz w:val="18"/>
                <w:szCs w:val="18"/>
              </w:rPr>
              <w:t>12</w:t>
            </w:r>
          </w:p>
        </w:tc>
        <w:tc>
          <w:tcPr>
            <w:tcW w:w="1857" w:type="dxa"/>
            <w:tcBorders>
              <w:top w:val="double" w:sz="4" w:space="0" w:color="auto"/>
            </w:tcBorders>
            <w:vAlign w:val="center"/>
          </w:tcPr>
          <w:p w14:paraId="5C128AD9" w14:textId="77777777" w:rsidR="00512AD8" w:rsidRPr="00512AD8" w:rsidRDefault="00512AD8" w:rsidP="00512AD8">
            <w:pPr>
              <w:keepNext/>
              <w:keepLines/>
              <w:spacing w:after="0"/>
              <w:jc w:val="center"/>
              <w:rPr>
                <w:rFonts w:ascii="Arial" w:hAnsi="Arial"/>
                <w:sz w:val="18"/>
                <w:lang w:val="en-US"/>
              </w:rPr>
            </w:pPr>
            <w:r w:rsidRPr="00512AD8">
              <w:rPr>
                <w:rFonts w:ascii="Arial" w:hAnsi="Arial" w:cs="Arial"/>
                <w:kern w:val="24"/>
                <w:sz w:val="18"/>
                <w:szCs w:val="18"/>
              </w:rPr>
              <w:t>2</w:t>
            </w:r>
          </w:p>
        </w:tc>
        <w:tc>
          <w:tcPr>
            <w:tcW w:w="1824" w:type="dxa"/>
            <w:tcBorders>
              <w:top w:val="double" w:sz="4" w:space="0" w:color="auto"/>
            </w:tcBorders>
            <w:vAlign w:val="center"/>
          </w:tcPr>
          <w:p w14:paraId="4E658E28" w14:textId="77777777" w:rsidR="00512AD8" w:rsidRPr="00512AD8" w:rsidRDefault="00512AD8" w:rsidP="00512AD8">
            <w:pPr>
              <w:keepNext/>
              <w:keepLines/>
              <w:spacing w:after="0"/>
              <w:jc w:val="center"/>
              <w:rPr>
                <w:rFonts w:ascii="Arial" w:hAnsi="Arial"/>
                <w:sz w:val="18"/>
                <w:lang w:val="en-US"/>
              </w:rPr>
            </w:pPr>
            <w:r w:rsidRPr="00512AD8">
              <w:rPr>
                <w:rFonts w:ascii="Arial" w:hAnsi="Arial"/>
                <w:sz w:val="18"/>
              </w:rPr>
              <w:t>0</w:t>
            </w:r>
          </w:p>
        </w:tc>
      </w:tr>
      <w:tr w:rsidR="00512AD8" w:rsidRPr="00512AD8" w14:paraId="43FE65AD" w14:textId="77777777" w:rsidTr="00B60B79">
        <w:trPr>
          <w:cantSplit/>
        </w:trPr>
        <w:tc>
          <w:tcPr>
            <w:tcW w:w="791" w:type="dxa"/>
            <w:tcBorders>
              <w:right w:val="double" w:sz="4" w:space="0" w:color="auto"/>
            </w:tcBorders>
            <w:shd w:val="clear" w:color="auto" w:fill="auto"/>
            <w:vAlign w:val="center"/>
          </w:tcPr>
          <w:p w14:paraId="395C043E" w14:textId="77777777" w:rsidR="00512AD8" w:rsidRPr="00512AD8" w:rsidRDefault="00512AD8" w:rsidP="00512AD8">
            <w:pPr>
              <w:keepNext/>
              <w:keepLines/>
              <w:spacing w:after="0"/>
              <w:jc w:val="center"/>
              <w:rPr>
                <w:rFonts w:ascii="Arial" w:hAnsi="Arial"/>
                <w:sz w:val="18"/>
                <w:lang w:val="en-US"/>
              </w:rPr>
            </w:pPr>
            <w:r w:rsidRPr="00512AD8">
              <w:rPr>
                <w:rFonts w:ascii="Arial" w:hAnsi="Arial"/>
                <w:sz w:val="18"/>
                <w:lang w:val="en-US"/>
              </w:rPr>
              <w:t>1</w:t>
            </w:r>
          </w:p>
        </w:tc>
        <w:tc>
          <w:tcPr>
            <w:tcW w:w="3349" w:type="dxa"/>
            <w:tcBorders>
              <w:left w:val="double" w:sz="4" w:space="0" w:color="auto"/>
            </w:tcBorders>
            <w:vAlign w:val="center"/>
          </w:tcPr>
          <w:p w14:paraId="1A1B8376" w14:textId="77777777" w:rsidR="00512AD8" w:rsidRPr="00512AD8" w:rsidRDefault="00512AD8" w:rsidP="00512AD8">
            <w:pPr>
              <w:keepNext/>
              <w:keepLines/>
              <w:spacing w:after="0"/>
              <w:jc w:val="center"/>
              <w:rPr>
                <w:rFonts w:ascii="Arial" w:hAnsi="Arial"/>
                <w:sz w:val="18"/>
                <w:lang w:val="en-US"/>
              </w:rPr>
            </w:pPr>
            <w:r w:rsidRPr="00512AD8">
              <w:rPr>
                <w:rFonts w:ascii="Arial" w:hAnsi="Arial" w:cs="Arial"/>
                <w:kern w:val="24"/>
                <w:sz w:val="18"/>
                <w:szCs w:val="18"/>
              </w:rPr>
              <w:t xml:space="preserve">1 </w:t>
            </w:r>
          </w:p>
        </w:tc>
        <w:tc>
          <w:tcPr>
            <w:tcW w:w="1520" w:type="dxa"/>
            <w:vAlign w:val="center"/>
          </w:tcPr>
          <w:p w14:paraId="2C8EFD8A" w14:textId="77777777" w:rsidR="00512AD8" w:rsidRPr="00512AD8" w:rsidRDefault="00512AD8" w:rsidP="00512AD8">
            <w:pPr>
              <w:keepNext/>
              <w:keepLines/>
              <w:spacing w:after="0"/>
              <w:jc w:val="center"/>
              <w:rPr>
                <w:rFonts w:ascii="Arial" w:hAnsi="Arial"/>
                <w:sz w:val="18"/>
                <w:lang w:val="en-US"/>
              </w:rPr>
            </w:pPr>
            <w:r w:rsidRPr="00512AD8">
              <w:rPr>
                <w:rFonts w:ascii="Arial" w:hAnsi="Arial" w:cs="Arial"/>
                <w:kern w:val="24"/>
                <w:sz w:val="18"/>
                <w:szCs w:val="18"/>
              </w:rPr>
              <w:t>12</w:t>
            </w:r>
          </w:p>
        </w:tc>
        <w:tc>
          <w:tcPr>
            <w:tcW w:w="1857" w:type="dxa"/>
            <w:vAlign w:val="center"/>
          </w:tcPr>
          <w:p w14:paraId="04A16F67" w14:textId="77777777" w:rsidR="00512AD8" w:rsidRPr="00512AD8" w:rsidRDefault="00512AD8" w:rsidP="00512AD8">
            <w:pPr>
              <w:keepNext/>
              <w:keepLines/>
              <w:spacing w:after="0"/>
              <w:jc w:val="center"/>
              <w:rPr>
                <w:rFonts w:ascii="Arial" w:hAnsi="Arial"/>
                <w:sz w:val="18"/>
                <w:lang w:val="en-US"/>
              </w:rPr>
            </w:pPr>
            <w:r w:rsidRPr="00512AD8">
              <w:rPr>
                <w:rFonts w:ascii="Arial" w:hAnsi="Arial" w:cs="Arial"/>
                <w:kern w:val="24"/>
                <w:sz w:val="18"/>
                <w:szCs w:val="18"/>
              </w:rPr>
              <w:t>3</w:t>
            </w:r>
          </w:p>
        </w:tc>
        <w:tc>
          <w:tcPr>
            <w:tcW w:w="1824" w:type="dxa"/>
            <w:vAlign w:val="center"/>
          </w:tcPr>
          <w:p w14:paraId="403B74D8" w14:textId="77777777" w:rsidR="00512AD8" w:rsidRPr="00512AD8" w:rsidRDefault="00512AD8" w:rsidP="00512AD8">
            <w:pPr>
              <w:keepNext/>
              <w:keepLines/>
              <w:spacing w:after="0"/>
              <w:jc w:val="center"/>
              <w:rPr>
                <w:rFonts w:ascii="Arial" w:hAnsi="Arial"/>
                <w:sz w:val="18"/>
                <w:lang w:val="en-US"/>
              </w:rPr>
            </w:pPr>
            <w:r w:rsidRPr="00512AD8">
              <w:rPr>
                <w:rFonts w:ascii="Arial" w:hAnsi="Arial"/>
                <w:sz w:val="18"/>
              </w:rPr>
              <w:t>0</w:t>
            </w:r>
          </w:p>
        </w:tc>
      </w:tr>
      <w:tr w:rsidR="00512AD8" w:rsidRPr="00512AD8" w14:paraId="7CD70F44" w14:textId="77777777" w:rsidTr="00B60B79">
        <w:trPr>
          <w:cantSplit/>
        </w:trPr>
        <w:tc>
          <w:tcPr>
            <w:tcW w:w="791" w:type="dxa"/>
            <w:tcBorders>
              <w:right w:val="double" w:sz="4" w:space="0" w:color="auto"/>
            </w:tcBorders>
            <w:shd w:val="clear" w:color="auto" w:fill="auto"/>
            <w:vAlign w:val="center"/>
          </w:tcPr>
          <w:p w14:paraId="118F6435" w14:textId="77777777" w:rsidR="00512AD8" w:rsidRPr="00512AD8" w:rsidRDefault="00512AD8" w:rsidP="00512AD8">
            <w:pPr>
              <w:keepNext/>
              <w:keepLines/>
              <w:spacing w:after="0"/>
              <w:jc w:val="center"/>
              <w:rPr>
                <w:rFonts w:ascii="Arial" w:hAnsi="Arial"/>
                <w:sz w:val="18"/>
              </w:rPr>
            </w:pPr>
            <w:r w:rsidRPr="00512AD8">
              <w:rPr>
                <w:rFonts w:ascii="Arial" w:hAnsi="Arial"/>
                <w:sz w:val="18"/>
              </w:rPr>
              <w:t>2</w:t>
            </w:r>
          </w:p>
        </w:tc>
        <w:tc>
          <w:tcPr>
            <w:tcW w:w="3349" w:type="dxa"/>
            <w:tcBorders>
              <w:left w:val="double" w:sz="4" w:space="0" w:color="auto"/>
            </w:tcBorders>
            <w:vAlign w:val="center"/>
          </w:tcPr>
          <w:p w14:paraId="45040E3C"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1 </w:t>
            </w:r>
          </w:p>
        </w:tc>
        <w:tc>
          <w:tcPr>
            <w:tcW w:w="1520" w:type="dxa"/>
            <w:vAlign w:val="center"/>
          </w:tcPr>
          <w:p w14:paraId="47A2EA7D"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24 </w:t>
            </w:r>
          </w:p>
        </w:tc>
        <w:tc>
          <w:tcPr>
            <w:tcW w:w="1857" w:type="dxa"/>
            <w:vAlign w:val="center"/>
          </w:tcPr>
          <w:p w14:paraId="500A9D51"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2 </w:t>
            </w:r>
          </w:p>
        </w:tc>
        <w:tc>
          <w:tcPr>
            <w:tcW w:w="1824" w:type="dxa"/>
            <w:vAlign w:val="center"/>
          </w:tcPr>
          <w:p w14:paraId="42421972"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0 </w:t>
            </w:r>
          </w:p>
        </w:tc>
      </w:tr>
      <w:tr w:rsidR="00512AD8" w:rsidRPr="00512AD8" w14:paraId="459770AB" w14:textId="77777777" w:rsidTr="00B60B79">
        <w:trPr>
          <w:cantSplit/>
        </w:trPr>
        <w:tc>
          <w:tcPr>
            <w:tcW w:w="791" w:type="dxa"/>
            <w:tcBorders>
              <w:right w:val="double" w:sz="4" w:space="0" w:color="auto"/>
            </w:tcBorders>
            <w:shd w:val="clear" w:color="auto" w:fill="auto"/>
            <w:vAlign w:val="center"/>
          </w:tcPr>
          <w:p w14:paraId="61719046" w14:textId="77777777" w:rsidR="00512AD8" w:rsidRPr="00512AD8" w:rsidRDefault="00512AD8" w:rsidP="00512AD8">
            <w:pPr>
              <w:keepNext/>
              <w:keepLines/>
              <w:spacing w:after="0"/>
              <w:jc w:val="center"/>
              <w:rPr>
                <w:rFonts w:ascii="Arial" w:hAnsi="Arial"/>
                <w:sz w:val="18"/>
              </w:rPr>
            </w:pPr>
            <w:r w:rsidRPr="00512AD8">
              <w:rPr>
                <w:rFonts w:ascii="Arial" w:hAnsi="Arial"/>
                <w:sz w:val="18"/>
              </w:rPr>
              <w:t>3</w:t>
            </w:r>
          </w:p>
        </w:tc>
        <w:tc>
          <w:tcPr>
            <w:tcW w:w="3349" w:type="dxa"/>
            <w:tcBorders>
              <w:left w:val="double" w:sz="4" w:space="0" w:color="auto"/>
            </w:tcBorders>
            <w:vAlign w:val="center"/>
          </w:tcPr>
          <w:p w14:paraId="5CB8AEE9"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1 </w:t>
            </w:r>
          </w:p>
        </w:tc>
        <w:tc>
          <w:tcPr>
            <w:tcW w:w="1520" w:type="dxa"/>
            <w:vAlign w:val="center"/>
          </w:tcPr>
          <w:p w14:paraId="341B068C"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24 </w:t>
            </w:r>
          </w:p>
        </w:tc>
        <w:tc>
          <w:tcPr>
            <w:tcW w:w="1857" w:type="dxa"/>
            <w:vAlign w:val="center"/>
          </w:tcPr>
          <w:p w14:paraId="0BD703E7"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2 </w:t>
            </w:r>
          </w:p>
        </w:tc>
        <w:tc>
          <w:tcPr>
            <w:tcW w:w="1824" w:type="dxa"/>
            <w:vAlign w:val="center"/>
          </w:tcPr>
          <w:p w14:paraId="52BD5CA1"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2</w:t>
            </w:r>
          </w:p>
        </w:tc>
      </w:tr>
      <w:tr w:rsidR="00512AD8" w:rsidRPr="00512AD8" w14:paraId="6D93DBC3" w14:textId="77777777" w:rsidTr="00B60B79">
        <w:trPr>
          <w:cantSplit/>
        </w:trPr>
        <w:tc>
          <w:tcPr>
            <w:tcW w:w="791" w:type="dxa"/>
            <w:tcBorders>
              <w:right w:val="double" w:sz="4" w:space="0" w:color="auto"/>
            </w:tcBorders>
            <w:shd w:val="clear" w:color="auto" w:fill="auto"/>
            <w:vAlign w:val="center"/>
          </w:tcPr>
          <w:p w14:paraId="5DCA2457" w14:textId="77777777" w:rsidR="00512AD8" w:rsidRPr="00512AD8" w:rsidRDefault="00512AD8" w:rsidP="00512AD8">
            <w:pPr>
              <w:keepNext/>
              <w:keepLines/>
              <w:spacing w:after="0"/>
              <w:jc w:val="center"/>
              <w:rPr>
                <w:rFonts w:ascii="Arial" w:hAnsi="Arial"/>
                <w:sz w:val="18"/>
              </w:rPr>
            </w:pPr>
            <w:r w:rsidRPr="00512AD8">
              <w:rPr>
                <w:rFonts w:ascii="Arial" w:hAnsi="Arial"/>
                <w:sz w:val="18"/>
              </w:rPr>
              <w:t>4</w:t>
            </w:r>
          </w:p>
        </w:tc>
        <w:tc>
          <w:tcPr>
            <w:tcW w:w="3349" w:type="dxa"/>
            <w:tcBorders>
              <w:left w:val="double" w:sz="4" w:space="0" w:color="auto"/>
            </w:tcBorders>
            <w:vAlign w:val="center"/>
          </w:tcPr>
          <w:p w14:paraId="2EE0FDBD"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1 </w:t>
            </w:r>
          </w:p>
        </w:tc>
        <w:tc>
          <w:tcPr>
            <w:tcW w:w="1520" w:type="dxa"/>
            <w:vAlign w:val="center"/>
          </w:tcPr>
          <w:p w14:paraId="0873173A"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24 </w:t>
            </w:r>
          </w:p>
        </w:tc>
        <w:tc>
          <w:tcPr>
            <w:tcW w:w="1857" w:type="dxa"/>
            <w:vAlign w:val="center"/>
          </w:tcPr>
          <w:p w14:paraId="424EBE33"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3 </w:t>
            </w:r>
          </w:p>
        </w:tc>
        <w:tc>
          <w:tcPr>
            <w:tcW w:w="1824" w:type="dxa"/>
            <w:vAlign w:val="center"/>
          </w:tcPr>
          <w:p w14:paraId="61E371DB"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0 </w:t>
            </w:r>
          </w:p>
        </w:tc>
      </w:tr>
      <w:tr w:rsidR="00512AD8" w:rsidRPr="00512AD8" w14:paraId="7594E1D8" w14:textId="77777777" w:rsidTr="00B60B79">
        <w:trPr>
          <w:cantSplit/>
        </w:trPr>
        <w:tc>
          <w:tcPr>
            <w:tcW w:w="791" w:type="dxa"/>
            <w:tcBorders>
              <w:right w:val="double" w:sz="4" w:space="0" w:color="auto"/>
            </w:tcBorders>
            <w:shd w:val="clear" w:color="auto" w:fill="auto"/>
            <w:vAlign w:val="center"/>
          </w:tcPr>
          <w:p w14:paraId="5C62B5AF" w14:textId="77777777" w:rsidR="00512AD8" w:rsidRPr="00512AD8" w:rsidRDefault="00512AD8" w:rsidP="00512AD8">
            <w:pPr>
              <w:keepNext/>
              <w:keepLines/>
              <w:spacing w:after="0"/>
              <w:jc w:val="center"/>
              <w:rPr>
                <w:rFonts w:ascii="Arial" w:hAnsi="Arial"/>
                <w:sz w:val="18"/>
              </w:rPr>
            </w:pPr>
            <w:r w:rsidRPr="00512AD8">
              <w:rPr>
                <w:rFonts w:ascii="Arial" w:hAnsi="Arial"/>
                <w:sz w:val="18"/>
              </w:rPr>
              <w:t>5</w:t>
            </w:r>
          </w:p>
        </w:tc>
        <w:tc>
          <w:tcPr>
            <w:tcW w:w="3349" w:type="dxa"/>
            <w:tcBorders>
              <w:left w:val="double" w:sz="4" w:space="0" w:color="auto"/>
            </w:tcBorders>
            <w:vAlign w:val="center"/>
          </w:tcPr>
          <w:p w14:paraId="51E0DF80"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1 </w:t>
            </w:r>
          </w:p>
        </w:tc>
        <w:tc>
          <w:tcPr>
            <w:tcW w:w="1520" w:type="dxa"/>
            <w:vAlign w:val="center"/>
          </w:tcPr>
          <w:p w14:paraId="3AEB250A"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24 </w:t>
            </w:r>
          </w:p>
        </w:tc>
        <w:tc>
          <w:tcPr>
            <w:tcW w:w="1857" w:type="dxa"/>
            <w:vAlign w:val="center"/>
          </w:tcPr>
          <w:p w14:paraId="69F8CDEB"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3 </w:t>
            </w:r>
          </w:p>
        </w:tc>
        <w:tc>
          <w:tcPr>
            <w:tcW w:w="1824" w:type="dxa"/>
            <w:vAlign w:val="center"/>
          </w:tcPr>
          <w:p w14:paraId="09008FAF"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2</w:t>
            </w:r>
          </w:p>
        </w:tc>
      </w:tr>
      <w:tr w:rsidR="00512AD8" w:rsidRPr="00512AD8" w14:paraId="7AA87C29" w14:textId="77777777" w:rsidTr="00B60B79">
        <w:trPr>
          <w:cantSplit/>
        </w:trPr>
        <w:tc>
          <w:tcPr>
            <w:tcW w:w="791" w:type="dxa"/>
            <w:tcBorders>
              <w:right w:val="double" w:sz="4" w:space="0" w:color="auto"/>
            </w:tcBorders>
            <w:shd w:val="clear" w:color="auto" w:fill="auto"/>
            <w:vAlign w:val="center"/>
          </w:tcPr>
          <w:p w14:paraId="6BA9214A" w14:textId="77777777" w:rsidR="00512AD8" w:rsidRPr="00512AD8" w:rsidRDefault="00512AD8" w:rsidP="00512AD8">
            <w:pPr>
              <w:keepNext/>
              <w:keepLines/>
              <w:spacing w:after="0"/>
              <w:jc w:val="center"/>
              <w:rPr>
                <w:rFonts w:ascii="Arial" w:hAnsi="Arial"/>
                <w:sz w:val="18"/>
              </w:rPr>
            </w:pPr>
            <w:r w:rsidRPr="00512AD8">
              <w:rPr>
                <w:rFonts w:ascii="Arial" w:hAnsi="Arial"/>
                <w:sz w:val="18"/>
              </w:rPr>
              <w:t>6</w:t>
            </w:r>
          </w:p>
        </w:tc>
        <w:tc>
          <w:tcPr>
            <w:tcW w:w="3349" w:type="dxa"/>
            <w:tcBorders>
              <w:left w:val="double" w:sz="4" w:space="0" w:color="auto"/>
            </w:tcBorders>
            <w:vAlign w:val="center"/>
          </w:tcPr>
          <w:p w14:paraId="526EFD9B"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1 </w:t>
            </w:r>
          </w:p>
        </w:tc>
        <w:tc>
          <w:tcPr>
            <w:tcW w:w="1520" w:type="dxa"/>
            <w:vAlign w:val="center"/>
          </w:tcPr>
          <w:p w14:paraId="0704088A"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24 </w:t>
            </w:r>
          </w:p>
        </w:tc>
        <w:tc>
          <w:tcPr>
            <w:tcW w:w="1857" w:type="dxa"/>
            <w:vAlign w:val="center"/>
          </w:tcPr>
          <w:p w14:paraId="40C858D2"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2 </w:t>
            </w:r>
          </w:p>
        </w:tc>
        <w:tc>
          <w:tcPr>
            <w:tcW w:w="1824" w:type="dxa"/>
            <w:vAlign w:val="center"/>
          </w:tcPr>
          <w:p w14:paraId="61043D17"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0 </w:t>
            </w:r>
          </w:p>
        </w:tc>
      </w:tr>
      <w:tr w:rsidR="00512AD8" w:rsidRPr="00512AD8" w14:paraId="5A337383" w14:textId="77777777" w:rsidTr="00B60B79">
        <w:trPr>
          <w:cantSplit/>
        </w:trPr>
        <w:tc>
          <w:tcPr>
            <w:tcW w:w="791" w:type="dxa"/>
            <w:tcBorders>
              <w:right w:val="double" w:sz="4" w:space="0" w:color="auto"/>
            </w:tcBorders>
            <w:shd w:val="clear" w:color="auto" w:fill="auto"/>
            <w:vAlign w:val="center"/>
          </w:tcPr>
          <w:p w14:paraId="2CB024CF" w14:textId="77777777" w:rsidR="00512AD8" w:rsidRPr="00512AD8" w:rsidRDefault="00512AD8" w:rsidP="00512AD8">
            <w:pPr>
              <w:keepNext/>
              <w:keepLines/>
              <w:spacing w:after="0"/>
              <w:jc w:val="center"/>
              <w:rPr>
                <w:rFonts w:ascii="Arial" w:hAnsi="Arial"/>
                <w:sz w:val="18"/>
              </w:rPr>
            </w:pPr>
            <w:r w:rsidRPr="00512AD8">
              <w:rPr>
                <w:rFonts w:ascii="Arial" w:hAnsi="Arial"/>
                <w:sz w:val="18"/>
              </w:rPr>
              <w:t>7</w:t>
            </w:r>
          </w:p>
        </w:tc>
        <w:tc>
          <w:tcPr>
            <w:tcW w:w="3349" w:type="dxa"/>
            <w:tcBorders>
              <w:left w:val="double" w:sz="4" w:space="0" w:color="auto"/>
            </w:tcBorders>
            <w:vAlign w:val="center"/>
          </w:tcPr>
          <w:p w14:paraId="7C80F309"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1 </w:t>
            </w:r>
          </w:p>
        </w:tc>
        <w:tc>
          <w:tcPr>
            <w:tcW w:w="1520" w:type="dxa"/>
            <w:vAlign w:val="center"/>
          </w:tcPr>
          <w:p w14:paraId="79F8984D"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24 </w:t>
            </w:r>
          </w:p>
        </w:tc>
        <w:tc>
          <w:tcPr>
            <w:tcW w:w="1857" w:type="dxa"/>
            <w:vAlign w:val="center"/>
          </w:tcPr>
          <w:p w14:paraId="50F7C1E0"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2 </w:t>
            </w:r>
          </w:p>
        </w:tc>
        <w:tc>
          <w:tcPr>
            <w:tcW w:w="1824" w:type="dxa"/>
            <w:vAlign w:val="center"/>
          </w:tcPr>
          <w:p w14:paraId="4BD58A9D"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2</w:t>
            </w:r>
          </w:p>
        </w:tc>
      </w:tr>
      <w:tr w:rsidR="00512AD8" w:rsidRPr="00512AD8" w14:paraId="0263ECE5" w14:textId="77777777" w:rsidTr="00B60B79">
        <w:trPr>
          <w:cantSplit/>
        </w:trPr>
        <w:tc>
          <w:tcPr>
            <w:tcW w:w="791" w:type="dxa"/>
            <w:tcBorders>
              <w:right w:val="double" w:sz="4" w:space="0" w:color="auto"/>
            </w:tcBorders>
            <w:shd w:val="clear" w:color="auto" w:fill="auto"/>
            <w:vAlign w:val="center"/>
          </w:tcPr>
          <w:p w14:paraId="02E35790" w14:textId="77777777" w:rsidR="00512AD8" w:rsidRPr="00512AD8" w:rsidRDefault="00512AD8" w:rsidP="00512AD8">
            <w:pPr>
              <w:keepNext/>
              <w:keepLines/>
              <w:spacing w:after="0"/>
              <w:jc w:val="center"/>
              <w:rPr>
                <w:rFonts w:ascii="Arial" w:hAnsi="Arial"/>
                <w:sz w:val="18"/>
              </w:rPr>
            </w:pPr>
            <w:r w:rsidRPr="00512AD8">
              <w:rPr>
                <w:rFonts w:ascii="Arial" w:hAnsi="Arial"/>
                <w:sz w:val="18"/>
              </w:rPr>
              <w:t>8</w:t>
            </w:r>
          </w:p>
        </w:tc>
        <w:tc>
          <w:tcPr>
            <w:tcW w:w="3349" w:type="dxa"/>
            <w:tcBorders>
              <w:left w:val="double" w:sz="4" w:space="0" w:color="auto"/>
            </w:tcBorders>
            <w:vAlign w:val="center"/>
          </w:tcPr>
          <w:p w14:paraId="66A2E329"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1 </w:t>
            </w:r>
          </w:p>
        </w:tc>
        <w:tc>
          <w:tcPr>
            <w:tcW w:w="1520" w:type="dxa"/>
            <w:vAlign w:val="center"/>
          </w:tcPr>
          <w:p w14:paraId="11F1906A"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24 </w:t>
            </w:r>
          </w:p>
        </w:tc>
        <w:tc>
          <w:tcPr>
            <w:tcW w:w="1857" w:type="dxa"/>
            <w:vAlign w:val="center"/>
          </w:tcPr>
          <w:p w14:paraId="7B3DE7EE"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3 </w:t>
            </w:r>
          </w:p>
        </w:tc>
        <w:tc>
          <w:tcPr>
            <w:tcW w:w="1824" w:type="dxa"/>
            <w:vAlign w:val="center"/>
          </w:tcPr>
          <w:p w14:paraId="10F782DC"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0 </w:t>
            </w:r>
          </w:p>
        </w:tc>
      </w:tr>
      <w:tr w:rsidR="00512AD8" w:rsidRPr="00512AD8" w14:paraId="10948CE8" w14:textId="77777777" w:rsidTr="00B60B79">
        <w:trPr>
          <w:cantSplit/>
        </w:trPr>
        <w:tc>
          <w:tcPr>
            <w:tcW w:w="791" w:type="dxa"/>
            <w:tcBorders>
              <w:right w:val="double" w:sz="4" w:space="0" w:color="auto"/>
            </w:tcBorders>
            <w:shd w:val="clear" w:color="auto" w:fill="auto"/>
            <w:vAlign w:val="center"/>
          </w:tcPr>
          <w:p w14:paraId="4E83BECB" w14:textId="77777777" w:rsidR="00512AD8" w:rsidRPr="00512AD8" w:rsidRDefault="00512AD8" w:rsidP="00512AD8">
            <w:pPr>
              <w:keepNext/>
              <w:keepLines/>
              <w:spacing w:after="0"/>
              <w:jc w:val="center"/>
              <w:rPr>
                <w:rFonts w:ascii="Arial" w:hAnsi="Arial"/>
                <w:sz w:val="18"/>
              </w:rPr>
            </w:pPr>
            <w:r w:rsidRPr="00512AD8">
              <w:rPr>
                <w:rFonts w:ascii="Arial" w:hAnsi="Arial"/>
                <w:sz w:val="18"/>
              </w:rPr>
              <w:t>9</w:t>
            </w:r>
          </w:p>
        </w:tc>
        <w:tc>
          <w:tcPr>
            <w:tcW w:w="3349" w:type="dxa"/>
            <w:tcBorders>
              <w:left w:val="double" w:sz="4" w:space="0" w:color="auto"/>
            </w:tcBorders>
            <w:vAlign w:val="center"/>
          </w:tcPr>
          <w:p w14:paraId="2F3B5508"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1 </w:t>
            </w:r>
          </w:p>
        </w:tc>
        <w:tc>
          <w:tcPr>
            <w:tcW w:w="1520" w:type="dxa"/>
            <w:vAlign w:val="center"/>
          </w:tcPr>
          <w:p w14:paraId="1239D1E0"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24 </w:t>
            </w:r>
          </w:p>
        </w:tc>
        <w:tc>
          <w:tcPr>
            <w:tcW w:w="1857" w:type="dxa"/>
            <w:vAlign w:val="center"/>
          </w:tcPr>
          <w:p w14:paraId="4F353A2B"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 xml:space="preserve">3 </w:t>
            </w:r>
          </w:p>
        </w:tc>
        <w:tc>
          <w:tcPr>
            <w:tcW w:w="1824" w:type="dxa"/>
            <w:vAlign w:val="center"/>
          </w:tcPr>
          <w:p w14:paraId="48055B83" w14:textId="77777777" w:rsidR="00512AD8" w:rsidRPr="00512AD8" w:rsidRDefault="00512AD8" w:rsidP="00512AD8">
            <w:pPr>
              <w:keepNext/>
              <w:keepLines/>
              <w:spacing w:after="0"/>
              <w:jc w:val="center"/>
              <w:rPr>
                <w:rFonts w:ascii="Arial" w:hAnsi="Arial"/>
                <w:sz w:val="18"/>
              </w:rPr>
            </w:pPr>
            <w:r w:rsidRPr="00512AD8">
              <w:rPr>
                <w:rFonts w:ascii="Arial" w:hAnsi="Arial" w:cs="Arial"/>
                <w:kern w:val="24"/>
                <w:sz w:val="18"/>
                <w:szCs w:val="18"/>
              </w:rPr>
              <w:t>2</w:t>
            </w:r>
          </w:p>
        </w:tc>
      </w:tr>
      <w:tr w:rsidR="00512AD8" w:rsidRPr="00512AD8" w14:paraId="6BA0B215" w14:textId="77777777" w:rsidTr="00B60B79">
        <w:trPr>
          <w:cantSplit/>
        </w:trPr>
        <w:tc>
          <w:tcPr>
            <w:tcW w:w="791" w:type="dxa"/>
            <w:tcBorders>
              <w:right w:val="double" w:sz="4" w:space="0" w:color="auto"/>
            </w:tcBorders>
            <w:shd w:val="clear" w:color="auto" w:fill="auto"/>
            <w:vAlign w:val="center"/>
          </w:tcPr>
          <w:p w14:paraId="2DEE4B5E" w14:textId="77777777" w:rsidR="00512AD8" w:rsidRPr="00512AD8" w:rsidRDefault="00512AD8" w:rsidP="00512AD8">
            <w:pPr>
              <w:keepNext/>
              <w:keepLines/>
              <w:spacing w:after="0"/>
              <w:jc w:val="center"/>
              <w:rPr>
                <w:rFonts w:ascii="Arial" w:hAnsi="Arial"/>
                <w:sz w:val="18"/>
              </w:rPr>
            </w:pPr>
            <w:r w:rsidRPr="00512AD8">
              <w:rPr>
                <w:rFonts w:ascii="Arial" w:hAnsi="Arial"/>
                <w:sz w:val="18"/>
              </w:rPr>
              <w:t>10</w:t>
            </w:r>
          </w:p>
        </w:tc>
        <w:tc>
          <w:tcPr>
            <w:tcW w:w="3349" w:type="dxa"/>
            <w:tcBorders>
              <w:left w:val="double" w:sz="4" w:space="0" w:color="auto"/>
            </w:tcBorders>
            <w:vAlign w:val="center"/>
          </w:tcPr>
          <w:p w14:paraId="29CE19A2" w14:textId="77777777" w:rsidR="00512AD8" w:rsidRPr="00512AD8" w:rsidRDefault="00512AD8" w:rsidP="00512AD8">
            <w:pPr>
              <w:keepNext/>
              <w:keepLines/>
              <w:spacing w:after="0"/>
              <w:jc w:val="center"/>
              <w:rPr>
                <w:rFonts w:ascii="Arial" w:hAnsi="Arial" w:cs="Arial"/>
                <w:kern w:val="24"/>
                <w:sz w:val="18"/>
                <w:szCs w:val="18"/>
              </w:rPr>
            </w:pPr>
            <w:r w:rsidRPr="00512AD8">
              <w:rPr>
                <w:rFonts w:ascii="Arial" w:hAnsi="Arial" w:cs="Arial"/>
                <w:kern w:val="24"/>
                <w:sz w:val="18"/>
                <w:szCs w:val="18"/>
              </w:rPr>
              <w:t xml:space="preserve">1 </w:t>
            </w:r>
          </w:p>
        </w:tc>
        <w:tc>
          <w:tcPr>
            <w:tcW w:w="1520" w:type="dxa"/>
            <w:vAlign w:val="center"/>
          </w:tcPr>
          <w:p w14:paraId="62BA3670" w14:textId="77777777" w:rsidR="00512AD8" w:rsidRPr="00512AD8" w:rsidRDefault="00512AD8" w:rsidP="00512AD8">
            <w:pPr>
              <w:keepNext/>
              <w:keepLines/>
              <w:spacing w:after="0"/>
              <w:jc w:val="center"/>
              <w:rPr>
                <w:rFonts w:ascii="Arial" w:hAnsi="Arial" w:cs="Arial"/>
                <w:kern w:val="24"/>
                <w:sz w:val="18"/>
                <w:szCs w:val="18"/>
              </w:rPr>
            </w:pPr>
            <w:r w:rsidRPr="00512AD8">
              <w:rPr>
                <w:rFonts w:ascii="Arial" w:hAnsi="Arial" w:cs="Arial"/>
                <w:kern w:val="24"/>
                <w:sz w:val="18"/>
                <w:szCs w:val="18"/>
              </w:rPr>
              <w:t xml:space="preserve">24 </w:t>
            </w:r>
          </w:p>
        </w:tc>
        <w:tc>
          <w:tcPr>
            <w:tcW w:w="1857" w:type="dxa"/>
            <w:vAlign w:val="center"/>
          </w:tcPr>
          <w:p w14:paraId="1CC757AF" w14:textId="77777777" w:rsidR="00512AD8" w:rsidRPr="00512AD8" w:rsidRDefault="00512AD8" w:rsidP="00512AD8">
            <w:pPr>
              <w:keepNext/>
              <w:keepLines/>
              <w:spacing w:after="0"/>
              <w:jc w:val="center"/>
              <w:rPr>
                <w:rFonts w:ascii="Arial" w:hAnsi="Arial" w:cs="Arial"/>
                <w:kern w:val="24"/>
                <w:sz w:val="18"/>
                <w:szCs w:val="18"/>
              </w:rPr>
            </w:pPr>
            <w:r w:rsidRPr="00512AD8">
              <w:rPr>
                <w:rFonts w:ascii="Arial" w:hAnsi="Arial" w:cs="Arial"/>
                <w:kern w:val="24"/>
                <w:sz w:val="18"/>
                <w:szCs w:val="18"/>
              </w:rPr>
              <w:t xml:space="preserve">2 </w:t>
            </w:r>
          </w:p>
        </w:tc>
        <w:tc>
          <w:tcPr>
            <w:tcW w:w="1824" w:type="dxa"/>
            <w:vAlign w:val="center"/>
          </w:tcPr>
          <w:p w14:paraId="267B84C1" w14:textId="77777777" w:rsidR="00512AD8" w:rsidRPr="00512AD8" w:rsidRDefault="00512AD8" w:rsidP="00512AD8">
            <w:pPr>
              <w:keepNext/>
              <w:keepLines/>
              <w:spacing w:after="0"/>
              <w:jc w:val="center"/>
              <w:rPr>
                <w:rFonts w:ascii="Arial" w:hAnsi="Arial" w:cs="Arial"/>
                <w:kern w:val="24"/>
                <w:sz w:val="18"/>
                <w:szCs w:val="18"/>
              </w:rPr>
            </w:pPr>
            <w:r w:rsidRPr="00512AD8">
              <w:rPr>
                <w:rFonts w:ascii="Arial" w:hAnsi="Arial" w:cs="Arial"/>
                <w:kern w:val="24"/>
                <w:sz w:val="18"/>
                <w:szCs w:val="18"/>
              </w:rPr>
              <w:t xml:space="preserve">0 </w:t>
            </w:r>
          </w:p>
        </w:tc>
      </w:tr>
      <w:tr w:rsidR="00512AD8" w:rsidRPr="00512AD8" w14:paraId="5C7D7860" w14:textId="77777777" w:rsidTr="00B60B79">
        <w:trPr>
          <w:cantSplit/>
        </w:trPr>
        <w:tc>
          <w:tcPr>
            <w:tcW w:w="791" w:type="dxa"/>
            <w:tcBorders>
              <w:right w:val="double" w:sz="4" w:space="0" w:color="auto"/>
            </w:tcBorders>
            <w:shd w:val="clear" w:color="auto" w:fill="auto"/>
            <w:vAlign w:val="center"/>
          </w:tcPr>
          <w:p w14:paraId="0EDCC4E5" w14:textId="77777777" w:rsidR="00512AD8" w:rsidRPr="00512AD8" w:rsidRDefault="00512AD8" w:rsidP="00512AD8">
            <w:pPr>
              <w:keepNext/>
              <w:keepLines/>
              <w:spacing w:after="0"/>
              <w:jc w:val="center"/>
              <w:rPr>
                <w:rFonts w:ascii="Arial" w:hAnsi="Arial"/>
                <w:sz w:val="18"/>
              </w:rPr>
            </w:pPr>
            <w:r w:rsidRPr="00512AD8">
              <w:rPr>
                <w:rFonts w:ascii="Arial" w:hAnsi="Arial"/>
                <w:sz w:val="18"/>
              </w:rPr>
              <w:t>11</w:t>
            </w:r>
          </w:p>
        </w:tc>
        <w:tc>
          <w:tcPr>
            <w:tcW w:w="3349" w:type="dxa"/>
            <w:tcBorders>
              <w:left w:val="double" w:sz="4" w:space="0" w:color="auto"/>
            </w:tcBorders>
            <w:vAlign w:val="center"/>
          </w:tcPr>
          <w:p w14:paraId="467A4302" w14:textId="77777777" w:rsidR="00512AD8" w:rsidRPr="00512AD8" w:rsidRDefault="00512AD8" w:rsidP="00512AD8">
            <w:pPr>
              <w:keepNext/>
              <w:keepLines/>
              <w:spacing w:after="0"/>
              <w:jc w:val="center"/>
              <w:rPr>
                <w:rFonts w:ascii="Arial" w:hAnsi="Arial" w:cs="Arial"/>
                <w:kern w:val="24"/>
                <w:sz w:val="18"/>
                <w:szCs w:val="18"/>
              </w:rPr>
            </w:pPr>
            <w:r w:rsidRPr="00512AD8">
              <w:rPr>
                <w:rFonts w:ascii="Arial" w:hAnsi="Arial" w:cs="Arial"/>
                <w:kern w:val="24"/>
                <w:sz w:val="18"/>
                <w:szCs w:val="18"/>
              </w:rPr>
              <w:t xml:space="preserve">1 </w:t>
            </w:r>
          </w:p>
        </w:tc>
        <w:tc>
          <w:tcPr>
            <w:tcW w:w="1520" w:type="dxa"/>
            <w:vAlign w:val="center"/>
          </w:tcPr>
          <w:p w14:paraId="5B6977F2" w14:textId="77777777" w:rsidR="00512AD8" w:rsidRPr="00512AD8" w:rsidRDefault="00512AD8" w:rsidP="00512AD8">
            <w:pPr>
              <w:keepNext/>
              <w:keepLines/>
              <w:spacing w:after="0"/>
              <w:jc w:val="center"/>
              <w:rPr>
                <w:rFonts w:ascii="Arial" w:hAnsi="Arial" w:cs="Arial"/>
                <w:kern w:val="24"/>
                <w:sz w:val="18"/>
                <w:szCs w:val="18"/>
              </w:rPr>
            </w:pPr>
            <w:r w:rsidRPr="00512AD8">
              <w:rPr>
                <w:rFonts w:ascii="Arial" w:hAnsi="Arial" w:cs="Arial"/>
                <w:kern w:val="24"/>
                <w:sz w:val="18"/>
                <w:szCs w:val="18"/>
              </w:rPr>
              <w:t xml:space="preserve">24 </w:t>
            </w:r>
          </w:p>
        </w:tc>
        <w:tc>
          <w:tcPr>
            <w:tcW w:w="1857" w:type="dxa"/>
            <w:vAlign w:val="center"/>
          </w:tcPr>
          <w:p w14:paraId="782B5F0B" w14:textId="77777777" w:rsidR="00512AD8" w:rsidRPr="00512AD8" w:rsidRDefault="00512AD8" w:rsidP="00512AD8">
            <w:pPr>
              <w:keepNext/>
              <w:keepLines/>
              <w:spacing w:after="0"/>
              <w:jc w:val="center"/>
              <w:rPr>
                <w:rFonts w:ascii="Arial" w:hAnsi="Arial" w:cs="Arial"/>
                <w:kern w:val="24"/>
                <w:sz w:val="18"/>
                <w:szCs w:val="18"/>
              </w:rPr>
            </w:pPr>
            <w:r w:rsidRPr="00512AD8">
              <w:rPr>
                <w:rFonts w:ascii="Arial" w:hAnsi="Arial" w:cs="Arial"/>
                <w:kern w:val="24"/>
                <w:sz w:val="18"/>
                <w:szCs w:val="18"/>
              </w:rPr>
              <w:t xml:space="preserve">3 </w:t>
            </w:r>
          </w:p>
        </w:tc>
        <w:tc>
          <w:tcPr>
            <w:tcW w:w="1824" w:type="dxa"/>
            <w:vAlign w:val="center"/>
          </w:tcPr>
          <w:p w14:paraId="32EA2AEC" w14:textId="77777777" w:rsidR="00512AD8" w:rsidRPr="00512AD8" w:rsidRDefault="00512AD8" w:rsidP="00512AD8">
            <w:pPr>
              <w:keepNext/>
              <w:keepLines/>
              <w:spacing w:after="0"/>
              <w:jc w:val="center"/>
              <w:rPr>
                <w:rFonts w:ascii="Arial" w:hAnsi="Arial" w:cs="Arial"/>
                <w:kern w:val="24"/>
                <w:sz w:val="18"/>
                <w:szCs w:val="18"/>
              </w:rPr>
            </w:pPr>
            <w:r w:rsidRPr="00512AD8">
              <w:rPr>
                <w:rFonts w:ascii="Arial" w:hAnsi="Arial" w:cs="Arial"/>
                <w:kern w:val="24"/>
                <w:sz w:val="18"/>
                <w:szCs w:val="18"/>
              </w:rPr>
              <w:t>0</w:t>
            </w:r>
          </w:p>
        </w:tc>
      </w:tr>
      <w:tr w:rsidR="00512AD8" w:rsidRPr="00512AD8" w14:paraId="0EFF703B" w14:textId="77777777" w:rsidTr="00B60B79">
        <w:trPr>
          <w:cantSplit/>
        </w:trPr>
        <w:tc>
          <w:tcPr>
            <w:tcW w:w="791" w:type="dxa"/>
            <w:tcBorders>
              <w:right w:val="double" w:sz="4" w:space="0" w:color="auto"/>
            </w:tcBorders>
            <w:shd w:val="clear" w:color="auto" w:fill="auto"/>
            <w:vAlign w:val="center"/>
          </w:tcPr>
          <w:p w14:paraId="547FD024" w14:textId="77777777" w:rsidR="00512AD8" w:rsidRPr="00512AD8" w:rsidRDefault="00512AD8" w:rsidP="00512AD8">
            <w:pPr>
              <w:keepNext/>
              <w:keepLines/>
              <w:spacing w:after="0"/>
              <w:jc w:val="center"/>
              <w:rPr>
                <w:rFonts w:ascii="Arial" w:hAnsi="Arial"/>
                <w:sz w:val="18"/>
              </w:rPr>
            </w:pPr>
            <w:r w:rsidRPr="00512AD8">
              <w:rPr>
                <w:rFonts w:ascii="Arial" w:hAnsi="Arial"/>
                <w:sz w:val="18"/>
              </w:rPr>
              <w:t>12</w:t>
            </w:r>
          </w:p>
        </w:tc>
        <w:tc>
          <w:tcPr>
            <w:tcW w:w="8550" w:type="dxa"/>
            <w:gridSpan w:val="4"/>
            <w:tcBorders>
              <w:left w:val="double" w:sz="4" w:space="0" w:color="auto"/>
            </w:tcBorders>
            <w:vAlign w:val="center"/>
          </w:tcPr>
          <w:p w14:paraId="4660EA0B" w14:textId="77777777" w:rsidR="00512AD8" w:rsidRPr="00512AD8" w:rsidRDefault="00512AD8" w:rsidP="00512AD8">
            <w:pPr>
              <w:keepNext/>
              <w:keepLines/>
              <w:spacing w:after="0"/>
              <w:jc w:val="center"/>
              <w:rPr>
                <w:rFonts w:ascii="Arial" w:hAnsi="Arial" w:cs="Arial"/>
                <w:kern w:val="24"/>
                <w:sz w:val="18"/>
                <w:szCs w:val="18"/>
              </w:rPr>
            </w:pPr>
            <w:r w:rsidRPr="00512AD8">
              <w:rPr>
                <w:rFonts w:ascii="Arial" w:hAnsi="Arial" w:cs="Arial"/>
                <w:kern w:val="24"/>
                <w:sz w:val="18"/>
                <w:szCs w:val="18"/>
              </w:rPr>
              <w:t>Reserved</w:t>
            </w:r>
          </w:p>
        </w:tc>
      </w:tr>
      <w:tr w:rsidR="00512AD8" w:rsidRPr="00512AD8" w14:paraId="42EE5548" w14:textId="77777777" w:rsidTr="00B60B79">
        <w:trPr>
          <w:cantSplit/>
        </w:trPr>
        <w:tc>
          <w:tcPr>
            <w:tcW w:w="791" w:type="dxa"/>
            <w:tcBorders>
              <w:right w:val="double" w:sz="4" w:space="0" w:color="auto"/>
            </w:tcBorders>
            <w:shd w:val="clear" w:color="auto" w:fill="auto"/>
            <w:vAlign w:val="center"/>
          </w:tcPr>
          <w:p w14:paraId="78813ECD" w14:textId="77777777" w:rsidR="00512AD8" w:rsidRPr="00512AD8" w:rsidRDefault="00512AD8" w:rsidP="00512AD8">
            <w:pPr>
              <w:keepNext/>
              <w:keepLines/>
              <w:spacing w:after="0"/>
              <w:jc w:val="center"/>
              <w:rPr>
                <w:rFonts w:ascii="Arial" w:hAnsi="Arial"/>
                <w:sz w:val="18"/>
              </w:rPr>
            </w:pPr>
            <w:r w:rsidRPr="00512AD8">
              <w:rPr>
                <w:rFonts w:ascii="Arial" w:hAnsi="Arial"/>
                <w:sz w:val="18"/>
              </w:rPr>
              <w:t>13</w:t>
            </w:r>
          </w:p>
        </w:tc>
        <w:tc>
          <w:tcPr>
            <w:tcW w:w="8550" w:type="dxa"/>
            <w:gridSpan w:val="4"/>
            <w:tcBorders>
              <w:left w:val="double" w:sz="4" w:space="0" w:color="auto"/>
            </w:tcBorders>
            <w:vAlign w:val="center"/>
          </w:tcPr>
          <w:p w14:paraId="11534798" w14:textId="77777777" w:rsidR="00512AD8" w:rsidRPr="00512AD8" w:rsidRDefault="00512AD8" w:rsidP="00512AD8">
            <w:pPr>
              <w:keepNext/>
              <w:keepLines/>
              <w:spacing w:after="0"/>
              <w:jc w:val="center"/>
              <w:rPr>
                <w:rFonts w:ascii="Arial" w:hAnsi="Arial" w:cs="Arial"/>
                <w:kern w:val="24"/>
                <w:sz w:val="18"/>
                <w:szCs w:val="18"/>
              </w:rPr>
            </w:pPr>
            <w:r w:rsidRPr="00512AD8">
              <w:rPr>
                <w:rFonts w:ascii="Arial" w:hAnsi="Arial" w:cs="Arial"/>
                <w:kern w:val="24"/>
                <w:sz w:val="18"/>
                <w:szCs w:val="18"/>
              </w:rPr>
              <w:t>Reserved</w:t>
            </w:r>
          </w:p>
        </w:tc>
      </w:tr>
      <w:tr w:rsidR="00512AD8" w:rsidRPr="00512AD8" w14:paraId="42FED241" w14:textId="77777777" w:rsidTr="00B60B79">
        <w:trPr>
          <w:cantSplit/>
        </w:trPr>
        <w:tc>
          <w:tcPr>
            <w:tcW w:w="791" w:type="dxa"/>
            <w:tcBorders>
              <w:right w:val="double" w:sz="4" w:space="0" w:color="auto"/>
            </w:tcBorders>
            <w:shd w:val="clear" w:color="auto" w:fill="auto"/>
            <w:vAlign w:val="center"/>
          </w:tcPr>
          <w:p w14:paraId="4C4A7470" w14:textId="77777777" w:rsidR="00512AD8" w:rsidRPr="00512AD8" w:rsidRDefault="00512AD8" w:rsidP="00512AD8">
            <w:pPr>
              <w:keepNext/>
              <w:keepLines/>
              <w:spacing w:after="0"/>
              <w:jc w:val="center"/>
              <w:rPr>
                <w:rFonts w:ascii="Arial" w:hAnsi="Arial"/>
                <w:sz w:val="18"/>
              </w:rPr>
            </w:pPr>
            <w:r w:rsidRPr="00512AD8">
              <w:rPr>
                <w:rFonts w:ascii="Arial" w:hAnsi="Arial"/>
                <w:sz w:val="18"/>
              </w:rPr>
              <w:t>14</w:t>
            </w:r>
          </w:p>
        </w:tc>
        <w:tc>
          <w:tcPr>
            <w:tcW w:w="8550" w:type="dxa"/>
            <w:gridSpan w:val="4"/>
            <w:tcBorders>
              <w:left w:val="double" w:sz="4" w:space="0" w:color="auto"/>
            </w:tcBorders>
            <w:vAlign w:val="center"/>
          </w:tcPr>
          <w:p w14:paraId="5F61B8E3" w14:textId="77777777" w:rsidR="00512AD8" w:rsidRPr="00512AD8" w:rsidRDefault="00512AD8" w:rsidP="00512AD8">
            <w:pPr>
              <w:keepNext/>
              <w:keepLines/>
              <w:spacing w:after="0"/>
              <w:jc w:val="center"/>
              <w:rPr>
                <w:rFonts w:ascii="Arial" w:hAnsi="Arial" w:cs="Arial"/>
                <w:kern w:val="24"/>
                <w:sz w:val="18"/>
                <w:szCs w:val="18"/>
              </w:rPr>
            </w:pPr>
            <w:r w:rsidRPr="00512AD8">
              <w:rPr>
                <w:rFonts w:ascii="Arial" w:hAnsi="Arial" w:cs="Arial"/>
                <w:kern w:val="24"/>
                <w:sz w:val="18"/>
                <w:szCs w:val="18"/>
              </w:rPr>
              <w:t>Reserved</w:t>
            </w:r>
          </w:p>
        </w:tc>
      </w:tr>
      <w:tr w:rsidR="00512AD8" w:rsidRPr="00512AD8" w14:paraId="5C0E96C1" w14:textId="77777777" w:rsidTr="00B60B79">
        <w:trPr>
          <w:cantSplit/>
        </w:trPr>
        <w:tc>
          <w:tcPr>
            <w:tcW w:w="791" w:type="dxa"/>
            <w:tcBorders>
              <w:right w:val="double" w:sz="4" w:space="0" w:color="auto"/>
            </w:tcBorders>
            <w:shd w:val="clear" w:color="auto" w:fill="auto"/>
            <w:vAlign w:val="center"/>
          </w:tcPr>
          <w:p w14:paraId="44D4CFC5" w14:textId="77777777" w:rsidR="00512AD8" w:rsidRPr="00512AD8" w:rsidRDefault="00512AD8" w:rsidP="00512AD8">
            <w:pPr>
              <w:keepNext/>
              <w:keepLines/>
              <w:spacing w:after="0"/>
              <w:jc w:val="center"/>
              <w:rPr>
                <w:rFonts w:ascii="Arial" w:hAnsi="Arial"/>
                <w:sz w:val="18"/>
              </w:rPr>
            </w:pPr>
            <w:r w:rsidRPr="00512AD8">
              <w:rPr>
                <w:rFonts w:ascii="Arial" w:hAnsi="Arial"/>
                <w:sz w:val="18"/>
              </w:rPr>
              <w:t>15</w:t>
            </w:r>
          </w:p>
        </w:tc>
        <w:tc>
          <w:tcPr>
            <w:tcW w:w="8550" w:type="dxa"/>
            <w:gridSpan w:val="4"/>
            <w:tcBorders>
              <w:left w:val="double" w:sz="4" w:space="0" w:color="auto"/>
            </w:tcBorders>
            <w:vAlign w:val="center"/>
          </w:tcPr>
          <w:p w14:paraId="33338F56" w14:textId="77777777" w:rsidR="00512AD8" w:rsidRPr="00512AD8" w:rsidRDefault="00512AD8" w:rsidP="00512AD8">
            <w:pPr>
              <w:keepNext/>
              <w:keepLines/>
              <w:spacing w:after="0"/>
              <w:jc w:val="center"/>
              <w:rPr>
                <w:rFonts w:ascii="Arial" w:hAnsi="Arial" w:cs="Arial"/>
                <w:kern w:val="24"/>
                <w:sz w:val="18"/>
                <w:szCs w:val="18"/>
              </w:rPr>
            </w:pPr>
            <w:r w:rsidRPr="00512AD8">
              <w:rPr>
                <w:rFonts w:ascii="Arial" w:hAnsi="Arial" w:cs="Arial"/>
                <w:kern w:val="24"/>
                <w:sz w:val="18"/>
                <w:szCs w:val="18"/>
              </w:rPr>
              <w:t>Reserved</w:t>
            </w:r>
          </w:p>
        </w:tc>
      </w:tr>
    </w:tbl>
    <w:p w14:paraId="7798B0F6" w14:textId="77777777" w:rsidR="00512AD8" w:rsidRDefault="00512AD8" w:rsidP="00D03E23"/>
    <w:p w14:paraId="517FB75A" w14:textId="010FBD30" w:rsidR="004A0D85" w:rsidRPr="000646B8" w:rsidRDefault="004A0D85" w:rsidP="00B06B6C">
      <w:pPr>
        <w:pStyle w:val="TH"/>
      </w:pPr>
      <w:r w:rsidRPr="00B916EC">
        <w:t xml:space="preserve">Table </w:t>
      </w:r>
      <w:r w:rsidR="00522D3C" w:rsidRPr="00B916EC">
        <w:t>1</w:t>
      </w:r>
      <w:r w:rsidR="00EC0649">
        <w:t>3</w:t>
      </w:r>
      <w:r w:rsidR="00522D3C" w:rsidRPr="00B916EC">
        <w:t>-</w:t>
      </w:r>
      <w:r w:rsidRPr="00B916EC">
        <w:t>1</w:t>
      </w:r>
      <w:r w:rsidR="00BD6C3E" w:rsidRPr="00B916EC">
        <w:t xml:space="preserve">: </w:t>
      </w:r>
      <w:r w:rsidR="00522D3C" w:rsidRPr="00B916EC">
        <w:t xml:space="preserve">Set of resource blocks and slot symbols of </w:t>
      </w:r>
      <w:r w:rsidR="00C76664">
        <w:t>CORESET</w:t>
      </w:r>
      <w:r w:rsidR="00522D3C" w:rsidRPr="00B916EC">
        <w:t xml:space="preserve"> for Type0-PDCCH search space</w:t>
      </w:r>
      <w:r w:rsidR="00CB0C9E">
        <w:t xml:space="preserve"> set</w:t>
      </w:r>
      <w:r w:rsidR="00522D3C" w:rsidRPr="00B916EC">
        <w:t xml:space="preserve"> when {SS/PBCH block, PDCCH} </w:t>
      </w:r>
      <w:r w:rsidR="00143099">
        <w:t>SCS</w:t>
      </w:r>
      <w:r w:rsidR="00522D3C" w:rsidRPr="00B916EC">
        <w:t xml:space="preserve"> is</w:t>
      </w:r>
      <w:r w:rsidRPr="00B916EC">
        <w:t xml:space="preserve"> {15, 15}</w:t>
      </w:r>
      <w:r w:rsidR="00522D3C" w:rsidRPr="00B916EC">
        <w:t xml:space="preserve"> </w:t>
      </w:r>
      <w:r w:rsidRPr="00B916EC">
        <w:t>kHz</w:t>
      </w:r>
      <w:r w:rsidR="009F21F0" w:rsidRPr="009F21F0">
        <w:rPr>
          <w:rFonts w:cs="Arial" w:hint="eastAsia"/>
          <w:lang w:val="en-US" w:eastAsia="zh-CN"/>
        </w:rPr>
        <w:t xml:space="preserve"> </w:t>
      </w:r>
      <w:r w:rsidR="009F21F0" w:rsidRPr="00F548CF">
        <w:rPr>
          <w:rFonts w:cs="Arial" w:hint="eastAsia"/>
          <w:lang w:val="en-US" w:eastAsia="zh-CN"/>
        </w:rPr>
        <w:t>for frequency bands</w:t>
      </w:r>
      <w:r w:rsidR="000646B8" w:rsidRPr="0009732E">
        <w:rPr>
          <w:rFonts w:cs="Arial"/>
        </w:rPr>
        <w:t xml:space="preserve"> with minimum channel bandwidth 5 MHz</w:t>
      </w:r>
      <w:r w:rsidR="009F21F0">
        <w:rPr>
          <w:rFonts w:cs="Arial"/>
        </w:rPr>
        <w:t xml:space="preserve"> or 10 MHz</w:t>
      </w:r>
      <w:r w:rsidR="00512AD8">
        <w:rPr>
          <w:rFonts w:cs="Arial"/>
        </w:rPr>
        <w:t xml:space="preserve"> or with </w:t>
      </w:r>
      <w:r w:rsidR="00512AD8" w:rsidRPr="0009732E">
        <w:rPr>
          <w:rFonts w:cs="Arial"/>
        </w:rPr>
        <w:t>minimum channel bandwidth</w:t>
      </w:r>
      <w:r w:rsidR="00512AD8">
        <w:rPr>
          <w:rFonts w:cs="Arial"/>
        </w:rPr>
        <w:t xml:space="preserve"> 3 MHz and channel bandwidth larger than 3 MHz</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
        <w:gridCol w:w="3584"/>
        <w:gridCol w:w="1587"/>
        <w:gridCol w:w="1958"/>
        <w:gridCol w:w="1411"/>
      </w:tblGrid>
      <w:tr w:rsidR="00092B0D" w:rsidRPr="00B916EC" w14:paraId="0EB03AFE" w14:textId="77777777" w:rsidTr="00B73508">
        <w:trPr>
          <w:cantSplit/>
        </w:trPr>
        <w:tc>
          <w:tcPr>
            <w:tcW w:w="803" w:type="dxa"/>
            <w:tcBorders>
              <w:bottom w:val="double" w:sz="4" w:space="0" w:color="auto"/>
              <w:right w:val="double" w:sz="4" w:space="0" w:color="auto"/>
            </w:tcBorders>
            <w:shd w:val="clear" w:color="auto" w:fill="E0E0E0"/>
            <w:vAlign w:val="center"/>
          </w:tcPr>
          <w:p w14:paraId="2BA9DCA0" w14:textId="77777777" w:rsidR="00092B0D" w:rsidRPr="00B916EC" w:rsidRDefault="00092B0D" w:rsidP="00092B0D">
            <w:pPr>
              <w:pStyle w:val="TAH"/>
              <w:rPr>
                <w:bCs/>
                <w:lang w:val="en-US"/>
              </w:rPr>
            </w:pPr>
            <w:r w:rsidRPr="00B916EC">
              <w:rPr>
                <w:bCs/>
                <w:lang w:val="en-US"/>
              </w:rPr>
              <w:t>Index</w:t>
            </w:r>
          </w:p>
        </w:tc>
        <w:tc>
          <w:tcPr>
            <w:tcW w:w="3584" w:type="dxa"/>
            <w:tcBorders>
              <w:left w:val="double" w:sz="4" w:space="0" w:color="auto"/>
              <w:bottom w:val="double" w:sz="4" w:space="0" w:color="auto"/>
            </w:tcBorders>
            <w:shd w:val="clear" w:color="auto" w:fill="E0E0E0"/>
            <w:vAlign w:val="center"/>
          </w:tcPr>
          <w:p w14:paraId="2E81B34D" w14:textId="77777777" w:rsidR="00092B0D" w:rsidRPr="00B916EC" w:rsidRDefault="00092B0D" w:rsidP="00092B0D">
            <w:pPr>
              <w:pStyle w:val="TAH"/>
              <w:rPr>
                <w:bCs/>
                <w:lang w:val="en-US"/>
              </w:rPr>
            </w:pPr>
            <w:r w:rsidRPr="00B916EC">
              <w:rPr>
                <w:rFonts w:cs="Arial"/>
                <w:kern w:val="24"/>
              </w:rPr>
              <w:t xml:space="preserve">SS/PBCH block and </w:t>
            </w:r>
            <w:r>
              <w:rPr>
                <w:rFonts w:cs="Arial"/>
                <w:kern w:val="24"/>
              </w:rPr>
              <w:t>CORESET</w:t>
            </w:r>
            <w:r w:rsidRPr="00B916EC">
              <w:rPr>
                <w:rFonts w:cs="Arial"/>
                <w:kern w:val="24"/>
              </w:rPr>
              <w:t xml:space="preserve"> multiplexing pattern </w:t>
            </w:r>
          </w:p>
        </w:tc>
        <w:tc>
          <w:tcPr>
            <w:tcW w:w="1587" w:type="dxa"/>
            <w:tcBorders>
              <w:bottom w:val="double" w:sz="4" w:space="0" w:color="auto"/>
            </w:tcBorders>
            <w:shd w:val="clear" w:color="auto" w:fill="E0E0E0"/>
            <w:vAlign w:val="center"/>
          </w:tcPr>
          <w:p w14:paraId="40C86E42" w14:textId="040DEBAB" w:rsidR="00092B0D" w:rsidRPr="00B916EC" w:rsidRDefault="00092B0D" w:rsidP="00092B0D">
            <w:pPr>
              <w:pStyle w:val="TAH"/>
              <w:rPr>
                <w:bCs/>
                <w:lang w:val="en-US"/>
              </w:rPr>
            </w:pPr>
            <w:r w:rsidRPr="00B27E56">
              <w:rPr>
                <w:rFonts w:cs="Arial"/>
                <w:kern w:val="24"/>
              </w:rPr>
              <w:t xml:space="preserve">Number of RBs </w:t>
            </w:r>
            <m:oMath>
              <m:sSubSup>
                <m:sSubSupPr>
                  <m:ctrlPr>
                    <w:rPr>
                      <w:rFonts w:ascii="Cambria Math" w:hAnsi="Cambria Math"/>
                      <w:i/>
                    </w:rPr>
                  </m:ctrlPr>
                </m:sSubSupPr>
                <m:e>
                  <m:r>
                    <m:rPr>
                      <m:sty m:val="bi"/>
                    </m:rPr>
                    <w:rPr>
                      <w:rFonts w:ascii="Cambria Math"/>
                    </w:rPr>
                    <m:t>N</m:t>
                  </m:r>
                </m:e>
                <m:sub>
                  <m:r>
                    <m:rPr>
                      <m:sty m:val="b"/>
                    </m:rPr>
                    <w:rPr>
                      <w:rFonts w:ascii="Cambria Math" w:hAnsi="Cambria Math"/>
                    </w:rPr>
                    <m:t>RB</m:t>
                  </m:r>
                </m:sub>
                <m:sup>
                  <m:r>
                    <m:rPr>
                      <m:sty m:val="b"/>
                    </m:rPr>
                    <w:rPr>
                      <w:rFonts w:ascii="Cambria Math"/>
                    </w:rPr>
                    <m:t>CORESET</m:t>
                  </m:r>
                </m:sup>
              </m:sSubSup>
            </m:oMath>
          </w:p>
        </w:tc>
        <w:tc>
          <w:tcPr>
            <w:tcW w:w="1958" w:type="dxa"/>
            <w:tcBorders>
              <w:bottom w:val="double" w:sz="4" w:space="0" w:color="auto"/>
            </w:tcBorders>
            <w:shd w:val="clear" w:color="auto" w:fill="E0E0E0"/>
            <w:vAlign w:val="center"/>
          </w:tcPr>
          <w:p w14:paraId="643AB949" w14:textId="328B35F7" w:rsidR="00092B0D" w:rsidRPr="00B916EC" w:rsidRDefault="00092B0D" w:rsidP="00092B0D">
            <w:pPr>
              <w:pStyle w:val="TAH"/>
              <w:rPr>
                <w:bCs/>
                <w:lang w:val="en-US"/>
              </w:rPr>
            </w:pPr>
            <w:r w:rsidRPr="00B27E56">
              <w:rPr>
                <w:rFonts w:cs="Arial"/>
                <w:kern w:val="24"/>
              </w:rPr>
              <w:t xml:space="preserve">Number of Symbols </w:t>
            </w:r>
            <m:oMath>
              <m:sSubSup>
                <m:sSubSupPr>
                  <m:ctrlPr>
                    <w:rPr>
                      <w:rFonts w:ascii="Cambria Math" w:hAnsi="Cambria Math"/>
                      <w:i/>
                    </w:rPr>
                  </m:ctrlPr>
                </m:sSubSupPr>
                <m:e>
                  <m:r>
                    <m:rPr>
                      <m:sty m:val="bi"/>
                    </m:rPr>
                    <w:rPr>
                      <w:rFonts w:ascii="Cambria Math"/>
                    </w:rPr>
                    <m:t>N</m:t>
                  </m:r>
                </m:e>
                <m:sub>
                  <m:r>
                    <m:rPr>
                      <m:sty m:val="b"/>
                    </m:rPr>
                    <w:rPr>
                      <w:rFonts w:ascii="Cambria Math" w:hAnsi="Cambria Math"/>
                    </w:rPr>
                    <m:t>symb</m:t>
                  </m:r>
                </m:sub>
                <m:sup>
                  <m:r>
                    <m:rPr>
                      <m:sty m:val="b"/>
                    </m:rPr>
                    <w:rPr>
                      <w:rFonts w:ascii="Cambria Math"/>
                    </w:rPr>
                    <m:t>CORESET</m:t>
                  </m:r>
                </m:sup>
              </m:sSubSup>
            </m:oMath>
            <w:r w:rsidRPr="00B27E56">
              <w:rPr>
                <w:rFonts w:cs="Arial"/>
                <w:kern w:val="24"/>
              </w:rPr>
              <w:t xml:space="preserve"> </w:t>
            </w:r>
          </w:p>
        </w:tc>
        <w:tc>
          <w:tcPr>
            <w:tcW w:w="1411" w:type="dxa"/>
            <w:tcBorders>
              <w:bottom w:val="double" w:sz="4" w:space="0" w:color="auto"/>
            </w:tcBorders>
            <w:shd w:val="clear" w:color="auto" w:fill="E0E0E0"/>
            <w:vAlign w:val="center"/>
          </w:tcPr>
          <w:p w14:paraId="3BE30128" w14:textId="77777777" w:rsidR="00092B0D" w:rsidRPr="00B916EC" w:rsidRDefault="00092B0D" w:rsidP="00092B0D">
            <w:pPr>
              <w:pStyle w:val="TAH"/>
              <w:rPr>
                <w:bCs/>
                <w:lang w:val="en-US"/>
              </w:rPr>
            </w:pPr>
            <w:r w:rsidRPr="00B916EC">
              <w:rPr>
                <w:rFonts w:cs="Arial"/>
                <w:kern w:val="24"/>
              </w:rPr>
              <w:t xml:space="preserve">Offset (RBs) </w:t>
            </w:r>
          </w:p>
        </w:tc>
      </w:tr>
      <w:tr w:rsidR="005F4734" w:rsidRPr="00B916EC" w14:paraId="321B2400" w14:textId="77777777" w:rsidTr="00B73508">
        <w:trPr>
          <w:cantSplit/>
        </w:trPr>
        <w:tc>
          <w:tcPr>
            <w:tcW w:w="803" w:type="dxa"/>
            <w:tcBorders>
              <w:top w:val="double" w:sz="4" w:space="0" w:color="auto"/>
              <w:right w:val="double" w:sz="4" w:space="0" w:color="auto"/>
            </w:tcBorders>
            <w:shd w:val="clear" w:color="auto" w:fill="auto"/>
            <w:vAlign w:val="center"/>
          </w:tcPr>
          <w:p w14:paraId="19D3E57D" w14:textId="77777777" w:rsidR="005F4734" w:rsidRPr="00B916EC" w:rsidRDefault="005F4734" w:rsidP="0060031D">
            <w:pPr>
              <w:pStyle w:val="TAC"/>
              <w:rPr>
                <w:lang w:val="en-US"/>
              </w:rPr>
            </w:pPr>
            <w:r w:rsidRPr="00B916EC">
              <w:rPr>
                <w:lang w:val="en-US"/>
              </w:rPr>
              <w:t>0</w:t>
            </w:r>
          </w:p>
        </w:tc>
        <w:tc>
          <w:tcPr>
            <w:tcW w:w="3584" w:type="dxa"/>
            <w:tcBorders>
              <w:top w:val="double" w:sz="4" w:space="0" w:color="auto"/>
              <w:left w:val="double" w:sz="4" w:space="0" w:color="auto"/>
            </w:tcBorders>
            <w:vAlign w:val="center"/>
          </w:tcPr>
          <w:p w14:paraId="71179D43" w14:textId="77777777" w:rsidR="005F4734" w:rsidRPr="00B916EC" w:rsidRDefault="005F4734" w:rsidP="0060031D">
            <w:pPr>
              <w:pStyle w:val="TAC"/>
              <w:rPr>
                <w:lang w:val="en-US"/>
              </w:rPr>
            </w:pPr>
            <w:r w:rsidRPr="00B916EC">
              <w:rPr>
                <w:rFonts w:cs="Arial"/>
                <w:kern w:val="24"/>
                <w:szCs w:val="18"/>
              </w:rPr>
              <w:t xml:space="preserve">1 </w:t>
            </w:r>
          </w:p>
        </w:tc>
        <w:tc>
          <w:tcPr>
            <w:tcW w:w="1587" w:type="dxa"/>
            <w:tcBorders>
              <w:top w:val="double" w:sz="4" w:space="0" w:color="auto"/>
            </w:tcBorders>
            <w:vAlign w:val="center"/>
          </w:tcPr>
          <w:p w14:paraId="31F8FDAA" w14:textId="77777777" w:rsidR="005F4734" w:rsidRPr="00B916EC" w:rsidRDefault="005F4734" w:rsidP="0060031D">
            <w:pPr>
              <w:pStyle w:val="TAC"/>
              <w:rPr>
                <w:lang w:val="en-US"/>
              </w:rPr>
            </w:pPr>
            <w:r w:rsidRPr="00B916EC">
              <w:rPr>
                <w:rFonts w:cs="Arial"/>
                <w:kern w:val="24"/>
                <w:szCs w:val="18"/>
              </w:rPr>
              <w:t xml:space="preserve">24 </w:t>
            </w:r>
          </w:p>
        </w:tc>
        <w:tc>
          <w:tcPr>
            <w:tcW w:w="1958" w:type="dxa"/>
            <w:tcBorders>
              <w:top w:val="double" w:sz="4" w:space="0" w:color="auto"/>
            </w:tcBorders>
            <w:vAlign w:val="center"/>
          </w:tcPr>
          <w:p w14:paraId="38283302" w14:textId="77777777" w:rsidR="005F4734" w:rsidRPr="00B916EC" w:rsidRDefault="005F4734" w:rsidP="0060031D">
            <w:pPr>
              <w:pStyle w:val="TAC"/>
              <w:rPr>
                <w:lang w:val="en-US"/>
              </w:rPr>
            </w:pPr>
            <w:r w:rsidRPr="00B916EC">
              <w:rPr>
                <w:rFonts w:cs="Arial"/>
                <w:kern w:val="24"/>
                <w:szCs w:val="18"/>
              </w:rPr>
              <w:t xml:space="preserve">2 </w:t>
            </w:r>
          </w:p>
        </w:tc>
        <w:tc>
          <w:tcPr>
            <w:tcW w:w="1411" w:type="dxa"/>
            <w:tcBorders>
              <w:top w:val="double" w:sz="4" w:space="0" w:color="auto"/>
            </w:tcBorders>
            <w:vAlign w:val="center"/>
          </w:tcPr>
          <w:p w14:paraId="79399BCE" w14:textId="77777777" w:rsidR="005F4734" w:rsidRPr="00B916EC" w:rsidRDefault="005F4734" w:rsidP="0060031D">
            <w:pPr>
              <w:pStyle w:val="TAC"/>
              <w:rPr>
                <w:lang w:val="en-US"/>
              </w:rPr>
            </w:pPr>
            <w:r w:rsidRPr="00B916EC">
              <w:rPr>
                <w:rFonts w:cs="Arial"/>
                <w:kern w:val="24"/>
                <w:szCs w:val="18"/>
              </w:rPr>
              <w:t xml:space="preserve">0 </w:t>
            </w:r>
          </w:p>
        </w:tc>
      </w:tr>
      <w:tr w:rsidR="005F4734" w:rsidRPr="00B916EC" w14:paraId="649E556E" w14:textId="77777777" w:rsidTr="00B73508">
        <w:trPr>
          <w:cantSplit/>
        </w:trPr>
        <w:tc>
          <w:tcPr>
            <w:tcW w:w="803" w:type="dxa"/>
            <w:tcBorders>
              <w:right w:val="double" w:sz="4" w:space="0" w:color="auto"/>
            </w:tcBorders>
            <w:shd w:val="clear" w:color="auto" w:fill="auto"/>
            <w:vAlign w:val="center"/>
          </w:tcPr>
          <w:p w14:paraId="5640D8B5" w14:textId="77777777" w:rsidR="005F4734" w:rsidRPr="00B916EC" w:rsidRDefault="005F4734" w:rsidP="0060031D">
            <w:pPr>
              <w:pStyle w:val="TAC"/>
              <w:rPr>
                <w:lang w:val="en-US"/>
              </w:rPr>
            </w:pPr>
            <w:r w:rsidRPr="00B916EC">
              <w:rPr>
                <w:lang w:val="en-US"/>
              </w:rPr>
              <w:t>1</w:t>
            </w:r>
          </w:p>
        </w:tc>
        <w:tc>
          <w:tcPr>
            <w:tcW w:w="3584" w:type="dxa"/>
            <w:tcBorders>
              <w:left w:val="double" w:sz="4" w:space="0" w:color="auto"/>
            </w:tcBorders>
            <w:vAlign w:val="center"/>
          </w:tcPr>
          <w:p w14:paraId="10C68740" w14:textId="77777777" w:rsidR="005F4734" w:rsidRPr="00B916EC" w:rsidRDefault="005F4734" w:rsidP="0060031D">
            <w:pPr>
              <w:pStyle w:val="TAC"/>
              <w:rPr>
                <w:lang w:val="en-US"/>
              </w:rPr>
            </w:pPr>
            <w:r w:rsidRPr="00B916EC">
              <w:rPr>
                <w:rFonts w:cs="Arial"/>
                <w:kern w:val="24"/>
                <w:szCs w:val="18"/>
              </w:rPr>
              <w:t xml:space="preserve">1 </w:t>
            </w:r>
          </w:p>
        </w:tc>
        <w:tc>
          <w:tcPr>
            <w:tcW w:w="1587" w:type="dxa"/>
            <w:vAlign w:val="center"/>
          </w:tcPr>
          <w:p w14:paraId="2B3F6084" w14:textId="77777777" w:rsidR="005F4734" w:rsidRPr="00B916EC" w:rsidRDefault="005F4734" w:rsidP="0060031D">
            <w:pPr>
              <w:pStyle w:val="TAC"/>
              <w:rPr>
                <w:lang w:val="en-US"/>
              </w:rPr>
            </w:pPr>
            <w:r w:rsidRPr="00B916EC">
              <w:rPr>
                <w:rFonts w:cs="Arial"/>
                <w:kern w:val="24"/>
                <w:szCs w:val="18"/>
              </w:rPr>
              <w:t xml:space="preserve">24 </w:t>
            </w:r>
          </w:p>
        </w:tc>
        <w:tc>
          <w:tcPr>
            <w:tcW w:w="1958" w:type="dxa"/>
            <w:vAlign w:val="center"/>
          </w:tcPr>
          <w:p w14:paraId="39667F9F" w14:textId="77777777" w:rsidR="005F4734" w:rsidRPr="00B916EC" w:rsidRDefault="005F4734" w:rsidP="0060031D">
            <w:pPr>
              <w:pStyle w:val="TAC"/>
              <w:rPr>
                <w:lang w:val="en-US"/>
              </w:rPr>
            </w:pPr>
            <w:r w:rsidRPr="00B916EC">
              <w:rPr>
                <w:rFonts w:cs="Arial"/>
                <w:kern w:val="24"/>
                <w:szCs w:val="18"/>
              </w:rPr>
              <w:t xml:space="preserve">2 </w:t>
            </w:r>
          </w:p>
        </w:tc>
        <w:tc>
          <w:tcPr>
            <w:tcW w:w="1411" w:type="dxa"/>
            <w:vAlign w:val="center"/>
          </w:tcPr>
          <w:p w14:paraId="2C3ABE2B" w14:textId="77777777" w:rsidR="005F4734" w:rsidRPr="00B916EC" w:rsidRDefault="005F4734" w:rsidP="0060031D">
            <w:pPr>
              <w:pStyle w:val="TAC"/>
              <w:rPr>
                <w:lang w:val="en-US"/>
              </w:rPr>
            </w:pPr>
            <w:r w:rsidRPr="00B916EC">
              <w:rPr>
                <w:rFonts w:cs="Arial"/>
                <w:kern w:val="24"/>
                <w:szCs w:val="18"/>
              </w:rPr>
              <w:t xml:space="preserve">2 </w:t>
            </w:r>
          </w:p>
        </w:tc>
      </w:tr>
      <w:tr w:rsidR="005F4734" w:rsidRPr="00B916EC" w14:paraId="7712A4F4" w14:textId="77777777" w:rsidTr="00B73508">
        <w:trPr>
          <w:cantSplit/>
        </w:trPr>
        <w:tc>
          <w:tcPr>
            <w:tcW w:w="803" w:type="dxa"/>
            <w:tcBorders>
              <w:right w:val="double" w:sz="4" w:space="0" w:color="auto"/>
            </w:tcBorders>
            <w:shd w:val="clear" w:color="auto" w:fill="auto"/>
            <w:vAlign w:val="center"/>
          </w:tcPr>
          <w:p w14:paraId="294046B0" w14:textId="77777777" w:rsidR="005F4734" w:rsidRPr="00B916EC" w:rsidRDefault="005F4734" w:rsidP="0060031D">
            <w:pPr>
              <w:pStyle w:val="TAC"/>
            </w:pPr>
            <w:r w:rsidRPr="00B916EC">
              <w:t>2</w:t>
            </w:r>
          </w:p>
        </w:tc>
        <w:tc>
          <w:tcPr>
            <w:tcW w:w="3584" w:type="dxa"/>
            <w:tcBorders>
              <w:left w:val="double" w:sz="4" w:space="0" w:color="auto"/>
            </w:tcBorders>
            <w:vAlign w:val="center"/>
          </w:tcPr>
          <w:p w14:paraId="21E48CBB" w14:textId="77777777" w:rsidR="005F4734" w:rsidRPr="00B916EC" w:rsidRDefault="005F4734" w:rsidP="0060031D">
            <w:pPr>
              <w:pStyle w:val="TAC"/>
            </w:pPr>
            <w:r w:rsidRPr="00B916EC">
              <w:rPr>
                <w:rFonts w:cs="Arial"/>
                <w:kern w:val="24"/>
                <w:szCs w:val="18"/>
              </w:rPr>
              <w:t xml:space="preserve">1 </w:t>
            </w:r>
          </w:p>
        </w:tc>
        <w:tc>
          <w:tcPr>
            <w:tcW w:w="1587" w:type="dxa"/>
            <w:vAlign w:val="center"/>
          </w:tcPr>
          <w:p w14:paraId="57F79DA6" w14:textId="77777777" w:rsidR="005F4734" w:rsidRPr="00B916EC" w:rsidRDefault="005F4734" w:rsidP="0060031D">
            <w:pPr>
              <w:pStyle w:val="TAC"/>
            </w:pPr>
            <w:r w:rsidRPr="00B916EC">
              <w:rPr>
                <w:rFonts w:cs="Arial"/>
                <w:kern w:val="24"/>
                <w:szCs w:val="18"/>
              </w:rPr>
              <w:t xml:space="preserve">24 </w:t>
            </w:r>
          </w:p>
        </w:tc>
        <w:tc>
          <w:tcPr>
            <w:tcW w:w="1958" w:type="dxa"/>
            <w:vAlign w:val="center"/>
          </w:tcPr>
          <w:p w14:paraId="5167E097" w14:textId="77777777" w:rsidR="005F4734" w:rsidRPr="00B916EC" w:rsidRDefault="005F4734" w:rsidP="0060031D">
            <w:pPr>
              <w:pStyle w:val="TAC"/>
            </w:pPr>
            <w:r w:rsidRPr="00B916EC">
              <w:rPr>
                <w:rFonts w:cs="Arial"/>
                <w:kern w:val="24"/>
                <w:szCs w:val="18"/>
              </w:rPr>
              <w:t xml:space="preserve">2 </w:t>
            </w:r>
          </w:p>
        </w:tc>
        <w:tc>
          <w:tcPr>
            <w:tcW w:w="1411" w:type="dxa"/>
            <w:vAlign w:val="center"/>
          </w:tcPr>
          <w:p w14:paraId="191FE14A" w14:textId="77777777" w:rsidR="005F4734" w:rsidRPr="00B916EC" w:rsidRDefault="005F4734" w:rsidP="0060031D">
            <w:pPr>
              <w:pStyle w:val="TAC"/>
            </w:pPr>
            <w:r w:rsidRPr="00B916EC">
              <w:rPr>
                <w:rFonts w:cs="Arial"/>
                <w:kern w:val="24"/>
                <w:szCs w:val="18"/>
              </w:rPr>
              <w:t xml:space="preserve">4 </w:t>
            </w:r>
          </w:p>
        </w:tc>
      </w:tr>
      <w:tr w:rsidR="005F4734" w:rsidRPr="00B916EC" w14:paraId="6D0E549B" w14:textId="77777777" w:rsidTr="00B73508">
        <w:trPr>
          <w:cantSplit/>
        </w:trPr>
        <w:tc>
          <w:tcPr>
            <w:tcW w:w="803" w:type="dxa"/>
            <w:tcBorders>
              <w:right w:val="double" w:sz="4" w:space="0" w:color="auto"/>
            </w:tcBorders>
            <w:shd w:val="clear" w:color="auto" w:fill="auto"/>
            <w:vAlign w:val="center"/>
          </w:tcPr>
          <w:p w14:paraId="214F1303" w14:textId="77777777" w:rsidR="005F4734" w:rsidRPr="00B916EC" w:rsidRDefault="005F4734" w:rsidP="0060031D">
            <w:pPr>
              <w:pStyle w:val="TAC"/>
            </w:pPr>
            <w:r w:rsidRPr="00B916EC">
              <w:t>3</w:t>
            </w:r>
          </w:p>
        </w:tc>
        <w:tc>
          <w:tcPr>
            <w:tcW w:w="3584" w:type="dxa"/>
            <w:tcBorders>
              <w:left w:val="double" w:sz="4" w:space="0" w:color="auto"/>
            </w:tcBorders>
            <w:vAlign w:val="center"/>
          </w:tcPr>
          <w:p w14:paraId="719922FE" w14:textId="77777777" w:rsidR="005F4734" w:rsidRPr="00B916EC" w:rsidRDefault="005F4734" w:rsidP="0060031D">
            <w:pPr>
              <w:pStyle w:val="TAC"/>
            </w:pPr>
            <w:r w:rsidRPr="00B916EC">
              <w:rPr>
                <w:rFonts w:cs="Arial"/>
                <w:kern w:val="24"/>
                <w:szCs w:val="18"/>
              </w:rPr>
              <w:t xml:space="preserve">1 </w:t>
            </w:r>
          </w:p>
        </w:tc>
        <w:tc>
          <w:tcPr>
            <w:tcW w:w="1587" w:type="dxa"/>
            <w:vAlign w:val="center"/>
          </w:tcPr>
          <w:p w14:paraId="1AE0605D" w14:textId="77777777" w:rsidR="005F4734" w:rsidRPr="00B916EC" w:rsidRDefault="005F4734" w:rsidP="0060031D">
            <w:pPr>
              <w:pStyle w:val="TAC"/>
            </w:pPr>
            <w:r w:rsidRPr="00B916EC">
              <w:rPr>
                <w:rFonts w:cs="Arial"/>
                <w:kern w:val="24"/>
                <w:szCs w:val="18"/>
              </w:rPr>
              <w:t xml:space="preserve">24 </w:t>
            </w:r>
          </w:p>
        </w:tc>
        <w:tc>
          <w:tcPr>
            <w:tcW w:w="1958" w:type="dxa"/>
            <w:vAlign w:val="center"/>
          </w:tcPr>
          <w:p w14:paraId="2CDD8D74" w14:textId="77777777" w:rsidR="005F4734" w:rsidRPr="00B916EC" w:rsidRDefault="005F4734" w:rsidP="0060031D">
            <w:pPr>
              <w:pStyle w:val="TAC"/>
            </w:pPr>
            <w:r w:rsidRPr="00B916EC">
              <w:rPr>
                <w:rFonts w:cs="Arial"/>
                <w:kern w:val="24"/>
                <w:szCs w:val="18"/>
              </w:rPr>
              <w:t xml:space="preserve">3 </w:t>
            </w:r>
          </w:p>
        </w:tc>
        <w:tc>
          <w:tcPr>
            <w:tcW w:w="1411" w:type="dxa"/>
            <w:vAlign w:val="center"/>
          </w:tcPr>
          <w:p w14:paraId="4A88616C" w14:textId="77777777" w:rsidR="005F4734" w:rsidRPr="00B916EC" w:rsidRDefault="005F4734" w:rsidP="0060031D">
            <w:pPr>
              <w:pStyle w:val="TAC"/>
            </w:pPr>
            <w:r w:rsidRPr="00B916EC">
              <w:rPr>
                <w:rFonts w:cs="Arial"/>
                <w:kern w:val="24"/>
                <w:szCs w:val="18"/>
              </w:rPr>
              <w:t xml:space="preserve">0 </w:t>
            </w:r>
          </w:p>
        </w:tc>
      </w:tr>
      <w:tr w:rsidR="005F4734" w:rsidRPr="00B916EC" w14:paraId="3CBFEE11" w14:textId="77777777" w:rsidTr="00B73508">
        <w:trPr>
          <w:cantSplit/>
        </w:trPr>
        <w:tc>
          <w:tcPr>
            <w:tcW w:w="803" w:type="dxa"/>
            <w:tcBorders>
              <w:right w:val="double" w:sz="4" w:space="0" w:color="auto"/>
            </w:tcBorders>
            <w:shd w:val="clear" w:color="auto" w:fill="auto"/>
            <w:vAlign w:val="center"/>
          </w:tcPr>
          <w:p w14:paraId="59D0BF7C" w14:textId="77777777" w:rsidR="005F4734" w:rsidRPr="00B916EC" w:rsidRDefault="005F4734" w:rsidP="0060031D">
            <w:pPr>
              <w:pStyle w:val="TAC"/>
            </w:pPr>
            <w:r w:rsidRPr="00B916EC">
              <w:t>4</w:t>
            </w:r>
          </w:p>
        </w:tc>
        <w:tc>
          <w:tcPr>
            <w:tcW w:w="3584" w:type="dxa"/>
            <w:tcBorders>
              <w:left w:val="double" w:sz="4" w:space="0" w:color="auto"/>
            </w:tcBorders>
            <w:vAlign w:val="center"/>
          </w:tcPr>
          <w:p w14:paraId="384ED795" w14:textId="77777777" w:rsidR="005F4734" w:rsidRPr="00B916EC" w:rsidRDefault="005F4734" w:rsidP="0060031D">
            <w:pPr>
              <w:pStyle w:val="TAC"/>
            </w:pPr>
            <w:r w:rsidRPr="00B916EC">
              <w:rPr>
                <w:rFonts w:cs="Arial"/>
                <w:kern w:val="24"/>
                <w:szCs w:val="18"/>
              </w:rPr>
              <w:t xml:space="preserve">1 </w:t>
            </w:r>
          </w:p>
        </w:tc>
        <w:tc>
          <w:tcPr>
            <w:tcW w:w="1587" w:type="dxa"/>
            <w:vAlign w:val="center"/>
          </w:tcPr>
          <w:p w14:paraId="43B1394F" w14:textId="77777777" w:rsidR="005F4734" w:rsidRPr="00B916EC" w:rsidRDefault="005F4734" w:rsidP="0060031D">
            <w:pPr>
              <w:pStyle w:val="TAC"/>
            </w:pPr>
            <w:r w:rsidRPr="00B916EC">
              <w:rPr>
                <w:rFonts w:cs="Arial"/>
                <w:kern w:val="24"/>
                <w:szCs w:val="18"/>
              </w:rPr>
              <w:t xml:space="preserve">24 </w:t>
            </w:r>
          </w:p>
        </w:tc>
        <w:tc>
          <w:tcPr>
            <w:tcW w:w="1958" w:type="dxa"/>
            <w:vAlign w:val="center"/>
          </w:tcPr>
          <w:p w14:paraId="00F05ECD" w14:textId="77777777" w:rsidR="005F4734" w:rsidRPr="00B916EC" w:rsidRDefault="005F4734" w:rsidP="0060031D">
            <w:pPr>
              <w:pStyle w:val="TAC"/>
            </w:pPr>
            <w:r w:rsidRPr="00B916EC">
              <w:rPr>
                <w:rFonts w:cs="Arial"/>
                <w:kern w:val="24"/>
                <w:szCs w:val="18"/>
              </w:rPr>
              <w:t xml:space="preserve">3 </w:t>
            </w:r>
          </w:p>
        </w:tc>
        <w:tc>
          <w:tcPr>
            <w:tcW w:w="1411" w:type="dxa"/>
            <w:vAlign w:val="center"/>
          </w:tcPr>
          <w:p w14:paraId="20717C72" w14:textId="77777777" w:rsidR="005F4734" w:rsidRPr="00B916EC" w:rsidRDefault="005F4734" w:rsidP="0060031D">
            <w:pPr>
              <w:pStyle w:val="TAC"/>
            </w:pPr>
            <w:r w:rsidRPr="00B916EC">
              <w:rPr>
                <w:rFonts w:cs="Arial"/>
                <w:kern w:val="24"/>
                <w:szCs w:val="18"/>
              </w:rPr>
              <w:t xml:space="preserve">2 </w:t>
            </w:r>
          </w:p>
        </w:tc>
      </w:tr>
      <w:tr w:rsidR="005F4734" w:rsidRPr="00B916EC" w14:paraId="333EB89B" w14:textId="77777777" w:rsidTr="00B73508">
        <w:trPr>
          <w:cantSplit/>
        </w:trPr>
        <w:tc>
          <w:tcPr>
            <w:tcW w:w="803" w:type="dxa"/>
            <w:tcBorders>
              <w:right w:val="double" w:sz="4" w:space="0" w:color="auto"/>
            </w:tcBorders>
            <w:shd w:val="clear" w:color="auto" w:fill="auto"/>
            <w:vAlign w:val="center"/>
          </w:tcPr>
          <w:p w14:paraId="2A1CE08D" w14:textId="77777777" w:rsidR="005F4734" w:rsidRPr="00B916EC" w:rsidRDefault="005F4734" w:rsidP="0060031D">
            <w:pPr>
              <w:pStyle w:val="TAC"/>
            </w:pPr>
            <w:r w:rsidRPr="00B916EC">
              <w:t>5</w:t>
            </w:r>
          </w:p>
        </w:tc>
        <w:tc>
          <w:tcPr>
            <w:tcW w:w="3584" w:type="dxa"/>
            <w:tcBorders>
              <w:left w:val="double" w:sz="4" w:space="0" w:color="auto"/>
            </w:tcBorders>
            <w:vAlign w:val="center"/>
          </w:tcPr>
          <w:p w14:paraId="30DF3F44" w14:textId="77777777" w:rsidR="005F4734" w:rsidRPr="00B916EC" w:rsidRDefault="005F4734" w:rsidP="0060031D">
            <w:pPr>
              <w:pStyle w:val="TAC"/>
            </w:pPr>
            <w:r w:rsidRPr="00B916EC">
              <w:rPr>
                <w:rFonts w:cs="Arial"/>
                <w:kern w:val="24"/>
                <w:szCs w:val="18"/>
              </w:rPr>
              <w:t xml:space="preserve">1 </w:t>
            </w:r>
          </w:p>
        </w:tc>
        <w:tc>
          <w:tcPr>
            <w:tcW w:w="1587" w:type="dxa"/>
            <w:vAlign w:val="center"/>
          </w:tcPr>
          <w:p w14:paraId="7F8AD676" w14:textId="77777777" w:rsidR="005F4734" w:rsidRPr="00B916EC" w:rsidRDefault="005F4734" w:rsidP="0060031D">
            <w:pPr>
              <w:pStyle w:val="TAC"/>
            </w:pPr>
            <w:r w:rsidRPr="00B916EC">
              <w:rPr>
                <w:rFonts w:cs="Arial"/>
                <w:kern w:val="24"/>
                <w:szCs w:val="18"/>
              </w:rPr>
              <w:t xml:space="preserve">24 </w:t>
            </w:r>
          </w:p>
        </w:tc>
        <w:tc>
          <w:tcPr>
            <w:tcW w:w="1958" w:type="dxa"/>
            <w:vAlign w:val="center"/>
          </w:tcPr>
          <w:p w14:paraId="0C526701" w14:textId="77777777" w:rsidR="005F4734" w:rsidRPr="00B916EC" w:rsidRDefault="005F4734" w:rsidP="0060031D">
            <w:pPr>
              <w:pStyle w:val="TAC"/>
            </w:pPr>
            <w:r w:rsidRPr="00B916EC">
              <w:rPr>
                <w:rFonts w:cs="Arial"/>
                <w:kern w:val="24"/>
                <w:szCs w:val="18"/>
              </w:rPr>
              <w:t xml:space="preserve">3 </w:t>
            </w:r>
          </w:p>
        </w:tc>
        <w:tc>
          <w:tcPr>
            <w:tcW w:w="1411" w:type="dxa"/>
            <w:vAlign w:val="center"/>
          </w:tcPr>
          <w:p w14:paraId="504647D6" w14:textId="77777777" w:rsidR="005F4734" w:rsidRPr="00B916EC" w:rsidRDefault="005F4734" w:rsidP="0060031D">
            <w:pPr>
              <w:pStyle w:val="TAC"/>
            </w:pPr>
            <w:r w:rsidRPr="00B916EC">
              <w:rPr>
                <w:rFonts w:cs="Arial"/>
                <w:kern w:val="24"/>
                <w:szCs w:val="18"/>
              </w:rPr>
              <w:t xml:space="preserve">4 </w:t>
            </w:r>
          </w:p>
        </w:tc>
      </w:tr>
      <w:tr w:rsidR="005F4734" w:rsidRPr="00B916EC" w14:paraId="33E5310B" w14:textId="77777777" w:rsidTr="00B73508">
        <w:trPr>
          <w:cantSplit/>
        </w:trPr>
        <w:tc>
          <w:tcPr>
            <w:tcW w:w="803" w:type="dxa"/>
            <w:tcBorders>
              <w:right w:val="double" w:sz="4" w:space="0" w:color="auto"/>
            </w:tcBorders>
            <w:shd w:val="clear" w:color="auto" w:fill="auto"/>
            <w:vAlign w:val="center"/>
          </w:tcPr>
          <w:p w14:paraId="083CE050" w14:textId="77777777" w:rsidR="005F4734" w:rsidRPr="00B916EC" w:rsidRDefault="005F4734" w:rsidP="0060031D">
            <w:pPr>
              <w:pStyle w:val="TAC"/>
            </w:pPr>
            <w:r w:rsidRPr="00B916EC">
              <w:t>6</w:t>
            </w:r>
          </w:p>
        </w:tc>
        <w:tc>
          <w:tcPr>
            <w:tcW w:w="3584" w:type="dxa"/>
            <w:tcBorders>
              <w:left w:val="double" w:sz="4" w:space="0" w:color="auto"/>
            </w:tcBorders>
            <w:vAlign w:val="center"/>
          </w:tcPr>
          <w:p w14:paraId="227613EA" w14:textId="77777777" w:rsidR="005F4734" w:rsidRPr="00B916EC" w:rsidRDefault="005F4734" w:rsidP="0060031D">
            <w:pPr>
              <w:pStyle w:val="TAC"/>
            </w:pPr>
            <w:r w:rsidRPr="00B916EC">
              <w:rPr>
                <w:rFonts w:cs="Arial"/>
                <w:kern w:val="24"/>
                <w:szCs w:val="18"/>
              </w:rPr>
              <w:t xml:space="preserve">1 </w:t>
            </w:r>
          </w:p>
        </w:tc>
        <w:tc>
          <w:tcPr>
            <w:tcW w:w="1587" w:type="dxa"/>
            <w:vAlign w:val="center"/>
          </w:tcPr>
          <w:p w14:paraId="26E6A9FD" w14:textId="77777777" w:rsidR="005F4734" w:rsidRPr="00B916EC" w:rsidRDefault="005F4734" w:rsidP="0060031D">
            <w:pPr>
              <w:pStyle w:val="TAC"/>
            </w:pPr>
            <w:r w:rsidRPr="00B916EC">
              <w:rPr>
                <w:rFonts w:cs="Arial"/>
                <w:kern w:val="24"/>
                <w:szCs w:val="18"/>
              </w:rPr>
              <w:t xml:space="preserve">48 </w:t>
            </w:r>
          </w:p>
        </w:tc>
        <w:tc>
          <w:tcPr>
            <w:tcW w:w="1958" w:type="dxa"/>
            <w:vAlign w:val="center"/>
          </w:tcPr>
          <w:p w14:paraId="7A14084D" w14:textId="77777777" w:rsidR="005F4734" w:rsidRPr="00B916EC" w:rsidRDefault="005F4734" w:rsidP="0060031D">
            <w:pPr>
              <w:pStyle w:val="TAC"/>
            </w:pPr>
            <w:r w:rsidRPr="00B916EC">
              <w:rPr>
                <w:rFonts w:cs="Arial"/>
                <w:kern w:val="24"/>
                <w:szCs w:val="18"/>
              </w:rPr>
              <w:t xml:space="preserve">1 </w:t>
            </w:r>
          </w:p>
        </w:tc>
        <w:tc>
          <w:tcPr>
            <w:tcW w:w="1411" w:type="dxa"/>
            <w:vAlign w:val="center"/>
          </w:tcPr>
          <w:p w14:paraId="6D8F776B" w14:textId="77777777" w:rsidR="005F4734" w:rsidRPr="00B916EC" w:rsidRDefault="005F4734" w:rsidP="0060031D">
            <w:pPr>
              <w:pStyle w:val="TAC"/>
            </w:pPr>
            <w:r w:rsidRPr="00B916EC">
              <w:rPr>
                <w:rFonts w:cs="Arial"/>
                <w:kern w:val="24"/>
                <w:szCs w:val="18"/>
              </w:rPr>
              <w:t xml:space="preserve">12 </w:t>
            </w:r>
          </w:p>
        </w:tc>
      </w:tr>
      <w:tr w:rsidR="005F4734" w:rsidRPr="00B916EC" w14:paraId="3034B9C7" w14:textId="77777777" w:rsidTr="00B73508">
        <w:trPr>
          <w:cantSplit/>
        </w:trPr>
        <w:tc>
          <w:tcPr>
            <w:tcW w:w="803" w:type="dxa"/>
            <w:tcBorders>
              <w:right w:val="double" w:sz="4" w:space="0" w:color="auto"/>
            </w:tcBorders>
            <w:shd w:val="clear" w:color="auto" w:fill="auto"/>
            <w:vAlign w:val="center"/>
          </w:tcPr>
          <w:p w14:paraId="7A973F7F" w14:textId="77777777" w:rsidR="005F4734" w:rsidRPr="00B916EC" w:rsidRDefault="005F4734" w:rsidP="0060031D">
            <w:pPr>
              <w:pStyle w:val="TAC"/>
            </w:pPr>
            <w:r w:rsidRPr="00B916EC">
              <w:t>7</w:t>
            </w:r>
          </w:p>
        </w:tc>
        <w:tc>
          <w:tcPr>
            <w:tcW w:w="3584" w:type="dxa"/>
            <w:tcBorders>
              <w:left w:val="double" w:sz="4" w:space="0" w:color="auto"/>
            </w:tcBorders>
            <w:vAlign w:val="center"/>
          </w:tcPr>
          <w:p w14:paraId="176BD670" w14:textId="77777777" w:rsidR="005F4734" w:rsidRPr="00B916EC" w:rsidRDefault="005F4734" w:rsidP="0060031D">
            <w:pPr>
              <w:pStyle w:val="TAC"/>
            </w:pPr>
            <w:r w:rsidRPr="00B916EC">
              <w:rPr>
                <w:rFonts w:cs="Arial"/>
                <w:kern w:val="24"/>
                <w:szCs w:val="18"/>
              </w:rPr>
              <w:t xml:space="preserve">1 </w:t>
            </w:r>
          </w:p>
        </w:tc>
        <w:tc>
          <w:tcPr>
            <w:tcW w:w="1587" w:type="dxa"/>
            <w:vAlign w:val="center"/>
          </w:tcPr>
          <w:p w14:paraId="1F0E3E5D" w14:textId="77777777" w:rsidR="005F4734" w:rsidRPr="00B916EC" w:rsidRDefault="005F4734" w:rsidP="0060031D">
            <w:pPr>
              <w:pStyle w:val="TAC"/>
            </w:pPr>
            <w:r w:rsidRPr="00B916EC">
              <w:rPr>
                <w:rFonts w:cs="Arial"/>
                <w:kern w:val="24"/>
                <w:szCs w:val="18"/>
              </w:rPr>
              <w:t xml:space="preserve">48 </w:t>
            </w:r>
          </w:p>
        </w:tc>
        <w:tc>
          <w:tcPr>
            <w:tcW w:w="1958" w:type="dxa"/>
            <w:vAlign w:val="center"/>
          </w:tcPr>
          <w:p w14:paraId="007B27B1" w14:textId="77777777" w:rsidR="005F4734" w:rsidRPr="00B916EC" w:rsidRDefault="005F4734" w:rsidP="0060031D">
            <w:pPr>
              <w:pStyle w:val="TAC"/>
            </w:pPr>
            <w:r w:rsidRPr="00B916EC">
              <w:rPr>
                <w:rFonts w:cs="Arial"/>
                <w:kern w:val="24"/>
                <w:szCs w:val="18"/>
              </w:rPr>
              <w:t xml:space="preserve">1 </w:t>
            </w:r>
          </w:p>
        </w:tc>
        <w:tc>
          <w:tcPr>
            <w:tcW w:w="1411" w:type="dxa"/>
            <w:vAlign w:val="center"/>
          </w:tcPr>
          <w:p w14:paraId="0FAE63BB" w14:textId="77777777" w:rsidR="005F4734" w:rsidRPr="00B916EC" w:rsidRDefault="005F4734" w:rsidP="0060031D">
            <w:pPr>
              <w:pStyle w:val="TAC"/>
            </w:pPr>
            <w:r w:rsidRPr="00B916EC">
              <w:rPr>
                <w:rFonts w:cs="Arial"/>
                <w:kern w:val="24"/>
                <w:szCs w:val="18"/>
              </w:rPr>
              <w:t xml:space="preserve">16 </w:t>
            </w:r>
          </w:p>
        </w:tc>
      </w:tr>
      <w:tr w:rsidR="005F4734" w:rsidRPr="00B916EC" w14:paraId="46F96BCA" w14:textId="77777777" w:rsidTr="00B73508">
        <w:trPr>
          <w:cantSplit/>
        </w:trPr>
        <w:tc>
          <w:tcPr>
            <w:tcW w:w="803" w:type="dxa"/>
            <w:tcBorders>
              <w:right w:val="double" w:sz="4" w:space="0" w:color="auto"/>
            </w:tcBorders>
            <w:shd w:val="clear" w:color="auto" w:fill="auto"/>
            <w:vAlign w:val="center"/>
          </w:tcPr>
          <w:p w14:paraId="71C7D926" w14:textId="77777777" w:rsidR="005F4734" w:rsidRPr="00B916EC" w:rsidRDefault="005F4734" w:rsidP="0060031D">
            <w:pPr>
              <w:pStyle w:val="TAC"/>
            </w:pPr>
            <w:r w:rsidRPr="00B916EC">
              <w:t>8</w:t>
            </w:r>
          </w:p>
        </w:tc>
        <w:tc>
          <w:tcPr>
            <w:tcW w:w="3584" w:type="dxa"/>
            <w:tcBorders>
              <w:left w:val="double" w:sz="4" w:space="0" w:color="auto"/>
            </w:tcBorders>
            <w:vAlign w:val="center"/>
          </w:tcPr>
          <w:p w14:paraId="1AE284CD" w14:textId="77777777" w:rsidR="005F4734" w:rsidRPr="00B916EC" w:rsidRDefault="005F4734" w:rsidP="0060031D">
            <w:pPr>
              <w:pStyle w:val="TAC"/>
            </w:pPr>
            <w:r w:rsidRPr="00B916EC">
              <w:rPr>
                <w:rFonts w:cs="Arial"/>
                <w:kern w:val="24"/>
                <w:szCs w:val="18"/>
              </w:rPr>
              <w:t xml:space="preserve">1 </w:t>
            </w:r>
          </w:p>
        </w:tc>
        <w:tc>
          <w:tcPr>
            <w:tcW w:w="1587" w:type="dxa"/>
            <w:vAlign w:val="center"/>
          </w:tcPr>
          <w:p w14:paraId="7F0D5D3F" w14:textId="77777777" w:rsidR="005F4734" w:rsidRPr="00B916EC" w:rsidRDefault="005F4734" w:rsidP="0060031D">
            <w:pPr>
              <w:pStyle w:val="TAC"/>
            </w:pPr>
            <w:r w:rsidRPr="00B916EC">
              <w:rPr>
                <w:rFonts w:cs="Arial"/>
                <w:kern w:val="24"/>
                <w:szCs w:val="18"/>
              </w:rPr>
              <w:t xml:space="preserve">48 </w:t>
            </w:r>
          </w:p>
        </w:tc>
        <w:tc>
          <w:tcPr>
            <w:tcW w:w="1958" w:type="dxa"/>
            <w:vAlign w:val="center"/>
          </w:tcPr>
          <w:p w14:paraId="3EBF439B" w14:textId="77777777" w:rsidR="005F4734" w:rsidRPr="00B916EC" w:rsidRDefault="005F4734" w:rsidP="0060031D">
            <w:pPr>
              <w:pStyle w:val="TAC"/>
            </w:pPr>
            <w:r w:rsidRPr="00B916EC">
              <w:rPr>
                <w:rFonts w:cs="Arial"/>
                <w:kern w:val="24"/>
                <w:szCs w:val="18"/>
              </w:rPr>
              <w:t xml:space="preserve">2 </w:t>
            </w:r>
          </w:p>
        </w:tc>
        <w:tc>
          <w:tcPr>
            <w:tcW w:w="1411" w:type="dxa"/>
            <w:vAlign w:val="center"/>
          </w:tcPr>
          <w:p w14:paraId="4A9165C1" w14:textId="77777777" w:rsidR="005F4734" w:rsidRPr="00B916EC" w:rsidRDefault="005F4734" w:rsidP="0060031D">
            <w:pPr>
              <w:pStyle w:val="TAC"/>
            </w:pPr>
            <w:r w:rsidRPr="00B916EC">
              <w:rPr>
                <w:rFonts w:cs="Arial"/>
                <w:kern w:val="24"/>
                <w:szCs w:val="18"/>
              </w:rPr>
              <w:t xml:space="preserve">12 </w:t>
            </w:r>
          </w:p>
        </w:tc>
      </w:tr>
      <w:tr w:rsidR="005F4734" w:rsidRPr="00B916EC" w14:paraId="64860F0F" w14:textId="77777777" w:rsidTr="00B73508">
        <w:trPr>
          <w:cantSplit/>
        </w:trPr>
        <w:tc>
          <w:tcPr>
            <w:tcW w:w="803" w:type="dxa"/>
            <w:tcBorders>
              <w:right w:val="double" w:sz="4" w:space="0" w:color="auto"/>
            </w:tcBorders>
            <w:shd w:val="clear" w:color="auto" w:fill="auto"/>
            <w:vAlign w:val="center"/>
          </w:tcPr>
          <w:p w14:paraId="69A8F394" w14:textId="77777777" w:rsidR="005F4734" w:rsidRPr="00B916EC" w:rsidRDefault="005F4734" w:rsidP="0060031D">
            <w:pPr>
              <w:pStyle w:val="TAC"/>
            </w:pPr>
            <w:r w:rsidRPr="00B916EC">
              <w:t>9</w:t>
            </w:r>
          </w:p>
        </w:tc>
        <w:tc>
          <w:tcPr>
            <w:tcW w:w="3584" w:type="dxa"/>
            <w:tcBorders>
              <w:left w:val="double" w:sz="4" w:space="0" w:color="auto"/>
            </w:tcBorders>
            <w:vAlign w:val="center"/>
          </w:tcPr>
          <w:p w14:paraId="119574BF" w14:textId="77777777" w:rsidR="005F4734" w:rsidRPr="00B916EC" w:rsidRDefault="005F4734" w:rsidP="0060031D">
            <w:pPr>
              <w:pStyle w:val="TAC"/>
            </w:pPr>
            <w:r w:rsidRPr="00B916EC">
              <w:rPr>
                <w:rFonts w:cs="Arial"/>
                <w:kern w:val="24"/>
                <w:szCs w:val="18"/>
              </w:rPr>
              <w:t xml:space="preserve">1 </w:t>
            </w:r>
          </w:p>
        </w:tc>
        <w:tc>
          <w:tcPr>
            <w:tcW w:w="1587" w:type="dxa"/>
            <w:vAlign w:val="center"/>
          </w:tcPr>
          <w:p w14:paraId="2DAC8028" w14:textId="77777777" w:rsidR="005F4734" w:rsidRPr="00B916EC" w:rsidRDefault="005F4734" w:rsidP="0060031D">
            <w:pPr>
              <w:pStyle w:val="TAC"/>
            </w:pPr>
            <w:r w:rsidRPr="00B916EC">
              <w:rPr>
                <w:rFonts w:cs="Arial"/>
                <w:kern w:val="24"/>
                <w:szCs w:val="18"/>
              </w:rPr>
              <w:t xml:space="preserve">48 </w:t>
            </w:r>
          </w:p>
        </w:tc>
        <w:tc>
          <w:tcPr>
            <w:tcW w:w="1958" w:type="dxa"/>
            <w:vAlign w:val="center"/>
          </w:tcPr>
          <w:p w14:paraId="4DBD3DEC" w14:textId="77777777" w:rsidR="005F4734" w:rsidRPr="00B916EC" w:rsidRDefault="005F4734" w:rsidP="0060031D">
            <w:pPr>
              <w:pStyle w:val="TAC"/>
            </w:pPr>
            <w:r w:rsidRPr="00B916EC">
              <w:rPr>
                <w:rFonts w:cs="Arial"/>
                <w:kern w:val="24"/>
                <w:szCs w:val="18"/>
              </w:rPr>
              <w:t xml:space="preserve">2 </w:t>
            </w:r>
          </w:p>
        </w:tc>
        <w:tc>
          <w:tcPr>
            <w:tcW w:w="1411" w:type="dxa"/>
            <w:vAlign w:val="center"/>
          </w:tcPr>
          <w:p w14:paraId="6FFD53D5" w14:textId="77777777" w:rsidR="005F4734" w:rsidRPr="00B916EC" w:rsidRDefault="005F4734" w:rsidP="0060031D">
            <w:pPr>
              <w:pStyle w:val="TAC"/>
            </w:pPr>
            <w:r w:rsidRPr="00B916EC">
              <w:rPr>
                <w:rFonts w:cs="Arial"/>
                <w:kern w:val="24"/>
                <w:szCs w:val="18"/>
              </w:rPr>
              <w:t xml:space="preserve">16 </w:t>
            </w:r>
          </w:p>
        </w:tc>
      </w:tr>
      <w:tr w:rsidR="005F4734" w:rsidRPr="00B916EC" w14:paraId="369DA18A" w14:textId="77777777" w:rsidTr="00B73508">
        <w:trPr>
          <w:cantSplit/>
        </w:trPr>
        <w:tc>
          <w:tcPr>
            <w:tcW w:w="803" w:type="dxa"/>
            <w:tcBorders>
              <w:right w:val="double" w:sz="4" w:space="0" w:color="auto"/>
            </w:tcBorders>
            <w:shd w:val="clear" w:color="auto" w:fill="auto"/>
            <w:vAlign w:val="center"/>
          </w:tcPr>
          <w:p w14:paraId="05FC95E2" w14:textId="77777777" w:rsidR="005F4734" w:rsidRPr="00B916EC" w:rsidRDefault="005F4734" w:rsidP="0060031D">
            <w:pPr>
              <w:pStyle w:val="TAC"/>
            </w:pPr>
            <w:r w:rsidRPr="00B916EC">
              <w:t>10</w:t>
            </w:r>
          </w:p>
        </w:tc>
        <w:tc>
          <w:tcPr>
            <w:tcW w:w="3584" w:type="dxa"/>
            <w:tcBorders>
              <w:left w:val="double" w:sz="4" w:space="0" w:color="auto"/>
            </w:tcBorders>
            <w:vAlign w:val="center"/>
          </w:tcPr>
          <w:p w14:paraId="460EB400" w14:textId="77777777" w:rsidR="005F4734" w:rsidRPr="00B916EC" w:rsidRDefault="005F4734" w:rsidP="0060031D">
            <w:pPr>
              <w:pStyle w:val="TAC"/>
            </w:pPr>
            <w:r w:rsidRPr="00B916EC">
              <w:rPr>
                <w:rFonts w:cs="Arial"/>
                <w:kern w:val="24"/>
                <w:szCs w:val="18"/>
              </w:rPr>
              <w:t xml:space="preserve">1 </w:t>
            </w:r>
          </w:p>
        </w:tc>
        <w:tc>
          <w:tcPr>
            <w:tcW w:w="1587" w:type="dxa"/>
            <w:vAlign w:val="center"/>
          </w:tcPr>
          <w:p w14:paraId="3D1C46FB" w14:textId="77777777" w:rsidR="005F4734" w:rsidRPr="00B916EC" w:rsidRDefault="005F4734" w:rsidP="0060031D">
            <w:pPr>
              <w:pStyle w:val="TAC"/>
            </w:pPr>
            <w:r w:rsidRPr="00B916EC">
              <w:rPr>
                <w:rFonts w:cs="Arial"/>
                <w:kern w:val="24"/>
                <w:szCs w:val="18"/>
              </w:rPr>
              <w:t xml:space="preserve">48 </w:t>
            </w:r>
          </w:p>
        </w:tc>
        <w:tc>
          <w:tcPr>
            <w:tcW w:w="1958" w:type="dxa"/>
            <w:vAlign w:val="center"/>
          </w:tcPr>
          <w:p w14:paraId="00DBE301" w14:textId="77777777" w:rsidR="005F4734" w:rsidRPr="00B916EC" w:rsidRDefault="005F4734" w:rsidP="0060031D">
            <w:pPr>
              <w:pStyle w:val="TAC"/>
            </w:pPr>
            <w:r w:rsidRPr="00B916EC">
              <w:rPr>
                <w:rFonts w:cs="Arial"/>
                <w:kern w:val="24"/>
                <w:szCs w:val="18"/>
              </w:rPr>
              <w:t xml:space="preserve">3 </w:t>
            </w:r>
          </w:p>
        </w:tc>
        <w:tc>
          <w:tcPr>
            <w:tcW w:w="1411" w:type="dxa"/>
            <w:vAlign w:val="center"/>
          </w:tcPr>
          <w:p w14:paraId="0EA04C59" w14:textId="77777777" w:rsidR="005F4734" w:rsidRPr="00B916EC" w:rsidRDefault="005F4734" w:rsidP="0060031D">
            <w:pPr>
              <w:pStyle w:val="TAC"/>
            </w:pPr>
            <w:r w:rsidRPr="00B916EC">
              <w:rPr>
                <w:rFonts w:cs="Arial"/>
                <w:kern w:val="24"/>
                <w:szCs w:val="18"/>
              </w:rPr>
              <w:t xml:space="preserve">12 </w:t>
            </w:r>
          </w:p>
        </w:tc>
      </w:tr>
      <w:tr w:rsidR="005F4734" w:rsidRPr="00B916EC" w14:paraId="357E2A7B" w14:textId="77777777" w:rsidTr="00B73508">
        <w:trPr>
          <w:cantSplit/>
        </w:trPr>
        <w:tc>
          <w:tcPr>
            <w:tcW w:w="803" w:type="dxa"/>
            <w:tcBorders>
              <w:right w:val="double" w:sz="4" w:space="0" w:color="auto"/>
            </w:tcBorders>
            <w:shd w:val="clear" w:color="auto" w:fill="auto"/>
            <w:vAlign w:val="center"/>
          </w:tcPr>
          <w:p w14:paraId="584AFABE" w14:textId="77777777" w:rsidR="005F4734" w:rsidRPr="00B916EC" w:rsidRDefault="005F4734" w:rsidP="0060031D">
            <w:pPr>
              <w:pStyle w:val="TAC"/>
            </w:pPr>
            <w:r w:rsidRPr="00B916EC">
              <w:t>11</w:t>
            </w:r>
          </w:p>
        </w:tc>
        <w:tc>
          <w:tcPr>
            <w:tcW w:w="3584" w:type="dxa"/>
            <w:tcBorders>
              <w:left w:val="double" w:sz="4" w:space="0" w:color="auto"/>
            </w:tcBorders>
            <w:vAlign w:val="center"/>
          </w:tcPr>
          <w:p w14:paraId="4F8237D2" w14:textId="77777777" w:rsidR="005F4734" w:rsidRPr="00B916EC" w:rsidRDefault="005F4734" w:rsidP="0060031D">
            <w:pPr>
              <w:pStyle w:val="TAC"/>
            </w:pPr>
            <w:r w:rsidRPr="00B916EC">
              <w:rPr>
                <w:rFonts w:cs="Arial"/>
                <w:kern w:val="24"/>
                <w:szCs w:val="18"/>
              </w:rPr>
              <w:t xml:space="preserve">1 </w:t>
            </w:r>
          </w:p>
        </w:tc>
        <w:tc>
          <w:tcPr>
            <w:tcW w:w="1587" w:type="dxa"/>
            <w:vAlign w:val="center"/>
          </w:tcPr>
          <w:p w14:paraId="51A4433D" w14:textId="77777777" w:rsidR="005F4734" w:rsidRPr="00B916EC" w:rsidRDefault="005F4734" w:rsidP="0060031D">
            <w:pPr>
              <w:pStyle w:val="TAC"/>
            </w:pPr>
            <w:r w:rsidRPr="00B916EC">
              <w:rPr>
                <w:rFonts w:cs="Arial"/>
                <w:kern w:val="24"/>
                <w:szCs w:val="18"/>
              </w:rPr>
              <w:t xml:space="preserve">48 </w:t>
            </w:r>
          </w:p>
        </w:tc>
        <w:tc>
          <w:tcPr>
            <w:tcW w:w="1958" w:type="dxa"/>
            <w:vAlign w:val="center"/>
          </w:tcPr>
          <w:p w14:paraId="25B44DBC" w14:textId="77777777" w:rsidR="005F4734" w:rsidRPr="00B916EC" w:rsidRDefault="005F4734" w:rsidP="0060031D">
            <w:pPr>
              <w:pStyle w:val="TAC"/>
            </w:pPr>
            <w:r w:rsidRPr="00B916EC">
              <w:rPr>
                <w:rFonts w:cs="Arial"/>
                <w:kern w:val="24"/>
                <w:szCs w:val="18"/>
              </w:rPr>
              <w:t xml:space="preserve">3 </w:t>
            </w:r>
          </w:p>
        </w:tc>
        <w:tc>
          <w:tcPr>
            <w:tcW w:w="1411" w:type="dxa"/>
            <w:vAlign w:val="center"/>
          </w:tcPr>
          <w:p w14:paraId="1116DF38" w14:textId="77777777" w:rsidR="005F4734" w:rsidRPr="00B916EC" w:rsidRDefault="005F4734" w:rsidP="0060031D">
            <w:pPr>
              <w:pStyle w:val="TAC"/>
            </w:pPr>
            <w:r w:rsidRPr="00B916EC">
              <w:rPr>
                <w:rFonts w:cs="Arial"/>
                <w:kern w:val="24"/>
                <w:szCs w:val="18"/>
              </w:rPr>
              <w:t xml:space="preserve">16 </w:t>
            </w:r>
          </w:p>
        </w:tc>
      </w:tr>
      <w:tr w:rsidR="005F4734" w:rsidRPr="00B916EC" w14:paraId="1DF9270A" w14:textId="77777777" w:rsidTr="00B73508">
        <w:trPr>
          <w:cantSplit/>
        </w:trPr>
        <w:tc>
          <w:tcPr>
            <w:tcW w:w="803" w:type="dxa"/>
            <w:tcBorders>
              <w:right w:val="double" w:sz="4" w:space="0" w:color="auto"/>
            </w:tcBorders>
            <w:shd w:val="clear" w:color="auto" w:fill="auto"/>
            <w:vAlign w:val="center"/>
          </w:tcPr>
          <w:p w14:paraId="443080EF" w14:textId="77777777" w:rsidR="005F4734" w:rsidRPr="00B916EC" w:rsidRDefault="005F4734" w:rsidP="0060031D">
            <w:pPr>
              <w:pStyle w:val="TAC"/>
            </w:pPr>
            <w:r w:rsidRPr="00B916EC">
              <w:t>12</w:t>
            </w:r>
          </w:p>
        </w:tc>
        <w:tc>
          <w:tcPr>
            <w:tcW w:w="3584" w:type="dxa"/>
            <w:tcBorders>
              <w:left w:val="double" w:sz="4" w:space="0" w:color="auto"/>
            </w:tcBorders>
            <w:vAlign w:val="center"/>
          </w:tcPr>
          <w:p w14:paraId="13CF18E9" w14:textId="77777777" w:rsidR="005F4734" w:rsidRPr="00B916EC" w:rsidRDefault="005F4734" w:rsidP="0060031D">
            <w:pPr>
              <w:pStyle w:val="TAC"/>
            </w:pPr>
            <w:r w:rsidRPr="00B916EC">
              <w:rPr>
                <w:rFonts w:cs="Arial"/>
                <w:kern w:val="24"/>
                <w:szCs w:val="18"/>
              </w:rPr>
              <w:t xml:space="preserve">1 </w:t>
            </w:r>
          </w:p>
        </w:tc>
        <w:tc>
          <w:tcPr>
            <w:tcW w:w="1587" w:type="dxa"/>
            <w:vAlign w:val="center"/>
          </w:tcPr>
          <w:p w14:paraId="0AFB4C15" w14:textId="77777777" w:rsidR="005F4734" w:rsidRPr="00B916EC" w:rsidRDefault="005F4734" w:rsidP="0060031D">
            <w:pPr>
              <w:pStyle w:val="TAC"/>
            </w:pPr>
            <w:r w:rsidRPr="00B916EC">
              <w:rPr>
                <w:rFonts w:cs="Arial"/>
                <w:kern w:val="24"/>
                <w:szCs w:val="18"/>
              </w:rPr>
              <w:t xml:space="preserve">96 </w:t>
            </w:r>
          </w:p>
        </w:tc>
        <w:tc>
          <w:tcPr>
            <w:tcW w:w="1958" w:type="dxa"/>
            <w:vAlign w:val="center"/>
          </w:tcPr>
          <w:p w14:paraId="65A28643" w14:textId="77777777" w:rsidR="005F4734" w:rsidRPr="00B916EC" w:rsidRDefault="005F4734" w:rsidP="0060031D">
            <w:pPr>
              <w:pStyle w:val="TAC"/>
            </w:pPr>
            <w:r w:rsidRPr="00B916EC">
              <w:rPr>
                <w:rFonts w:cs="Arial"/>
                <w:kern w:val="24"/>
                <w:szCs w:val="18"/>
              </w:rPr>
              <w:t xml:space="preserve">1 </w:t>
            </w:r>
          </w:p>
        </w:tc>
        <w:tc>
          <w:tcPr>
            <w:tcW w:w="1411" w:type="dxa"/>
            <w:vAlign w:val="center"/>
          </w:tcPr>
          <w:p w14:paraId="2705A0DE" w14:textId="77777777" w:rsidR="005F4734" w:rsidRPr="00B916EC" w:rsidRDefault="005F4734" w:rsidP="0060031D">
            <w:pPr>
              <w:pStyle w:val="TAC"/>
            </w:pPr>
            <w:r w:rsidRPr="00B916EC">
              <w:rPr>
                <w:rFonts w:cs="Arial"/>
                <w:kern w:val="24"/>
                <w:szCs w:val="18"/>
              </w:rPr>
              <w:t xml:space="preserve">38 </w:t>
            </w:r>
          </w:p>
        </w:tc>
      </w:tr>
      <w:tr w:rsidR="005F4734" w:rsidRPr="00B916EC" w14:paraId="328781DA" w14:textId="77777777" w:rsidTr="00B73508">
        <w:trPr>
          <w:cantSplit/>
        </w:trPr>
        <w:tc>
          <w:tcPr>
            <w:tcW w:w="803" w:type="dxa"/>
            <w:tcBorders>
              <w:right w:val="double" w:sz="4" w:space="0" w:color="auto"/>
            </w:tcBorders>
            <w:shd w:val="clear" w:color="auto" w:fill="auto"/>
            <w:vAlign w:val="center"/>
          </w:tcPr>
          <w:p w14:paraId="7A5B5B8F" w14:textId="77777777" w:rsidR="005F4734" w:rsidRPr="00B916EC" w:rsidRDefault="005F4734" w:rsidP="0060031D">
            <w:pPr>
              <w:pStyle w:val="TAC"/>
            </w:pPr>
            <w:r w:rsidRPr="00B916EC">
              <w:t>13</w:t>
            </w:r>
          </w:p>
        </w:tc>
        <w:tc>
          <w:tcPr>
            <w:tcW w:w="3584" w:type="dxa"/>
            <w:tcBorders>
              <w:left w:val="double" w:sz="4" w:space="0" w:color="auto"/>
            </w:tcBorders>
            <w:vAlign w:val="center"/>
          </w:tcPr>
          <w:p w14:paraId="1DD46E3E" w14:textId="77777777" w:rsidR="005F4734" w:rsidRPr="00B916EC" w:rsidRDefault="005F4734" w:rsidP="0060031D">
            <w:pPr>
              <w:pStyle w:val="TAC"/>
            </w:pPr>
            <w:r w:rsidRPr="00B916EC">
              <w:rPr>
                <w:rFonts w:cs="Arial"/>
                <w:kern w:val="24"/>
                <w:szCs w:val="18"/>
              </w:rPr>
              <w:t xml:space="preserve">1 </w:t>
            </w:r>
          </w:p>
        </w:tc>
        <w:tc>
          <w:tcPr>
            <w:tcW w:w="1587" w:type="dxa"/>
            <w:vAlign w:val="center"/>
          </w:tcPr>
          <w:p w14:paraId="79960C93" w14:textId="77777777" w:rsidR="005F4734" w:rsidRPr="00B916EC" w:rsidRDefault="005F4734" w:rsidP="0060031D">
            <w:pPr>
              <w:pStyle w:val="TAC"/>
            </w:pPr>
            <w:r w:rsidRPr="00B916EC">
              <w:rPr>
                <w:rFonts w:cs="Arial"/>
                <w:kern w:val="24"/>
                <w:szCs w:val="18"/>
              </w:rPr>
              <w:t xml:space="preserve">96 </w:t>
            </w:r>
          </w:p>
        </w:tc>
        <w:tc>
          <w:tcPr>
            <w:tcW w:w="1958" w:type="dxa"/>
            <w:vAlign w:val="center"/>
          </w:tcPr>
          <w:p w14:paraId="0C6D4B42" w14:textId="77777777" w:rsidR="005F4734" w:rsidRPr="00B916EC" w:rsidRDefault="005F4734" w:rsidP="0060031D">
            <w:pPr>
              <w:pStyle w:val="TAC"/>
            </w:pPr>
            <w:r w:rsidRPr="00B916EC">
              <w:rPr>
                <w:rFonts w:cs="Arial"/>
                <w:kern w:val="24"/>
                <w:szCs w:val="18"/>
              </w:rPr>
              <w:t xml:space="preserve">2 </w:t>
            </w:r>
          </w:p>
        </w:tc>
        <w:tc>
          <w:tcPr>
            <w:tcW w:w="1411" w:type="dxa"/>
            <w:vAlign w:val="center"/>
          </w:tcPr>
          <w:p w14:paraId="57ECCD29" w14:textId="77777777" w:rsidR="005F4734" w:rsidRPr="00B916EC" w:rsidRDefault="005F4734" w:rsidP="0060031D">
            <w:pPr>
              <w:pStyle w:val="TAC"/>
            </w:pPr>
            <w:r w:rsidRPr="00B916EC">
              <w:rPr>
                <w:rFonts w:cs="Arial"/>
                <w:kern w:val="24"/>
                <w:szCs w:val="18"/>
              </w:rPr>
              <w:t xml:space="preserve">38 </w:t>
            </w:r>
          </w:p>
        </w:tc>
      </w:tr>
      <w:tr w:rsidR="005F4734" w:rsidRPr="00B916EC" w14:paraId="18F3CE76" w14:textId="77777777" w:rsidTr="00B73508">
        <w:trPr>
          <w:cantSplit/>
        </w:trPr>
        <w:tc>
          <w:tcPr>
            <w:tcW w:w="803" w:type="dxa"/>
            <w:tcBorders>
              <w:right w:val="double" w:sz="4" w:space="0" w:color="auto"/>
            </w:tcBorders>
            <w:shd w:val="clear" w:color="auto" w:fill="auto"/>
            <w:vAlign w:val="center"/>
          </w:tcPr>
          <w:p w14:paraId="138D4783" w14:textId="77777777" w:rsidR="005F4734" w:rsidRPr="00B916EC" w:rsidRDefault="005F4734" w:rsidP="0060031D">
            <w:pPr>
              <w:pStyle w:val="TAC"/>
            </w:pPr>
            <w:r w:rsidRPr="00B916EC">
              <w:t>14</w:t>
            </w:r>
          </w:p>
        </w:tc>
        <w:tc>
          <w:tcPr>
            <w:tcW w:w="3584" w:type="dxa"/>
            <w:tcBorders>
              <w:left w:val="double" w:sz="4" w:space="0" w:color="auto"/>
            </w:tcBorders>
            <w:vAlign w:val="center"/>
          </w:tcPr>
          <w:p w14:paraId="2DFD32B9" w14:textId="77777777" w:rsidR="005F4734" w:rsidRPr="00B916EC" w:rsidRDefault="005F4734" w:rsidP="0060031D">
            <w:pPr>
              <w:pStyle w:val="TAC"/>
            </w:pPr>
            <w:r w:rsidRPr="00B916EC">
              <w:rPr>
                <w:rFonts w:cs="Arial"/>
                <w:kern w:val="24"/>
                <w:szCs w:val="18"/>
              </w:rPr>
              <w:t xml:space="preserve">1 </w:t>
            </w:r>
          </w:p>
        </w:tc>
        <w:tc>
          <w:tcPr>
            <w:tcW w:w="1587" w:type="dxa"/>
            <w:vAlign w:val="center"/>
          </w:tcPr>
          <w:p w14:paraId="658FBDA5" w14:textId="77777777" w:rsidR="005F4734" w:rsidRPr="00B916EC" w:rsidRDefault="005F4734" w:rsidP="0060031D">
            <w:pPr>
              <w:pStyle w:val="TAC"/>
            </w:pPr>
            <w:r w:rsidRPr="00B916EC">
              <w:rPr>
                <w:rFonts w:cs="Arial"/>
                <w:kern w:val="24"/>
                <w:szCs w:val="18"/>
              </w:rPr>
              <w:t xml:space="preserve">96 </w:t>
            </w:r>
          </w:p>
        </w:tc>
        <w:tc>
          <w:tcPr>
            <w:tcW w:w="1958" w:type="dxa"/>
            <w:vAlign w:val="center"/>
          </w:tcPr>
          <w:p w14:paraId="566B45FF" w14:textId="77777777" w:rsidR="005F4734" w:rsidRPr="00B916EC" w:rsidRDefault="005F4734" w:rsidP="0060031D">
            <w:pPr>
              <w:pStyle w:val="TAC"/>
            </w:pPr>
            <w:r w:rsidRPr="00B916EC">
              <w:rPr>
                <w:rFonts w:cs="Arial"/>
                <w:kern w:val="24"/>
                <w:szCs w:val="18"/>
              </w:rPr>
              <w:t xml:space="preserve">3 </w:t>
            </w:r>
          </w:p>
        </w:tc>
        <w:tc>
          <w:tcPr>
            <w:tcW w:w="1411" w:type="dxa"/>
            <w:vAlign w:val="center"/>
          </w:tcPr>
          <w:p w14:paraId="6C69266B" w14:textId="77777777" w:rsidR="005F4734" w:rsidRPr="00B916EC" w:rsidRDefault="005F4734" w:rsidP="0060031D">
            <w:pPr>
              <w:pStyle w:val="TAC"/>
            </w:pPr>
            <w:r w:rsidRPr="00B916EC">
              <w:rPr>
                <w:rFonts w:cs="Arial"/>
                <w:kern w:val="24"/>
                <w:szCs w:val="18"/>
              </w:rPr>
              <w:t xml:space="preserve">38 </w:t>
            </w:r>
          </w:p>
        </w:tc>
      </w:tr>
      <w:tr w:rsidR="005F4734" w:rsidRPr="00B916EC" w14:paraId="00583FA8" w14:textId="77777777" w:rsidTr="00B73508">
        <w:trPr>
          <w:cantSplit/>
        </w:trPr>
        <w:tc>
          <w:tcPr>
            <w:tcW w:w="803" w:type="dxa"/>
            <w:tcBorders>
              <w:right w:val="double" w:sz="4" w:space="0" w:color="auto"/>
            </w:tcBorders>
            <w:shd w:val="clear" w:color="auto" w:fill="auto"/>
            <w:vAlign w:val="center"/>
          </w:tcPr>
          <w:p w14:paraId="5C443472" w14:textId="77777777" w:rsidR="005F4734" w:rsidRPr="00B916EC" w:rsidRDefault="005F4734" w:rsidP="0060031D">
            <w:pPr>
              <w:pStyle w:val="TAC"/>
            </w:pPr>
            <w:r w:rsidRPr="00B916EC">
              <w:t>15</w:t>
            </w:r>
          </w:p>
        </w:tc>
        <w:tc>
          <w:tcPr>
            <w:tcW w:w="8540" w:type="dxa"/>
            <w:gridSpan w:val="4"/>
            <w:tcBorders>
              <w:left w:val="double" w:sz="4" w:space="0" w:color="auto"/>
            </w:tcBorders>
            <w:vAlign w:val="center"/>
          </w:tcPr>
          <w:p w14:paraId="3F9CE05E" w14:textId="77777777" w:rsidR="005F4734" w:rsidRPr="00B916EC" w:rsidRDefault="005F4734" w:rsidP="0060031D">
            <w:pPr>
              <w:pStyle w:val="TAC"/>
            </w:pPr>
            <w:r w:rsidRPr="00B916EC">
              <w:rPr>
                <w:rFonts w:cs="Arial"/>
                <w:kern w:val="24"/>
                <w:szCs w:val="18"/>
              </w:rPr>
              <w:t>Reserved</w:t>
            </w:r>
          </w:p>
        </w:tc>
      </w:tr>
    </w:tbl>
    <w:p w14:paraId="548ECAC6" w14:textId="03BB8B9C" w:rsidR="005F4734" w:rsidRDefault="005F4734" w:rsidP="003A061C"/>
    <w:p w14:paraId="1F13A1E5" w14:textId="77777777" w:rsidR="00690C97" w:rsidRPr="00D26445" w:rsidRDefault="00690C97" w:rsidP="00690C97">
      <w:pPr>
        <w:pStyle w:val="TH"/>
      </w:pPr>
      <w:r w:rsidRPr="00D26445">
        <w:lastRenderedPageBreak/>
        <w:t xml:space="preserve">Table </w:t>
      </w:r>
      <w:r>
        <w:t>13-1</w:t>
      </w:r>
      <w:r w:rsidRPr="00D26445">
        <w:t>A: Set of resource blocks and slot symbols of CORESET for Type0-PDCCH search space set when {SS/PBCH block, PDCCH} SCS is {15, 15} kHz</w:t>
      </w:r>
      <w:r w:rsidRPr="00D26445">
        <w:rPr>
          <w:rFonts w:cs="Arial" w:hint="eastAsia"/>
          <w:lang w:val="en-US" w:eastAsia="zh-CN"/>
        </w:rPr>
        <w:t xml:space="preserve"> for frequency bands</w:t>
      </w:r>
      <w:r w:rsidRPr="00D26445">
        <w:rPr>
          <w:rFonts w:cs="Arial"/>
        </w:rPr>
        <w:t xml:space="preserve"> operated with shared spectrum channel access</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3442"/>
        <w:gridCol w:w="1556"/>
        <w:gridCol w:w="1898"/>
        <w:gridCol w:w="1370"/>
      </w:tblGrid>
      <w:tr w:rsidR="00690C97" w:rsidRPr="00D26445" w14:paraId="14098732" w14:textId="77777777" w:rsidTr="00454E5E">
        <w:trPr>
          <w:cantSplit/>
        </w:trPr>
        <w:tc>
          <w:tcPr>
            <w:tcW w:w="796" w:type="dxa"/>
            <w:tcBorders>
              <w:bottom w:val="double" w:sz="4" w:space="0" w:color="auto"/>
              <w:right w:val="double" w:sz="4" w:space="0" w:color="auto"/>
            </w:tcBorders>
            <w:shd w:val="clear" w:color="auto" w:fill="E0E0E0"/>
            <w:vAlign w:val="center"/>
          </w:tcPr>
          <w:p w14:paraId="4F369B38" w14:textId="77777777" w:rsidR="00690C97" w:rsidRPr="00D26445" w:rsidRDefault="00690C97" w:rsidP="00454E5E">
            <w:pPr>
              <w:pStyle w:val="TAH"/>
              <w:rPr>
                <w:bCs/>
                <w:lang w:val="en-US"/>
              </w:rPr>
            </w:pPr>
            <w:r w:rsidRPr="00D26445">
              <w:rPr>
                <w:bCs/>
                <w:lang w:val="en-US"/>
              </w:rPr>
              <w:t>Index</w:t>
            </w:r>
          </w:p>
        </w:tc>
        <w:tc>
          <w:tcPr>
            <w:tcW w:w="3442" w:type="dxa"/>
            <w:tcBorders>
              <w:left w:val="double" w:sz="4" w:space="0" w:color="auto"/>
              <w:bottom w:val="double" w:sz="4" w:space="0" w:color="auto"/>
            </w:tcBorders>
            <w:shd w:val="clear" w:color="auto" w:fill="E0E0E0"/>
            <w:vAlign w:val="center"/>
          </w:tcPr>
          <w:p w14:paraId="7CED82B0" w14:textId="77777777" w:rsidR="00690C97" w:rsidRPr="00D26445" w:rsidRDefault="00690C97" w:rsidP="00454E5E">
            <w:pPr>
              <w:pStyle w:val="TAH"/>
              <w:rPr>
                <w:bCs/>
                <w:lang w:val="en-US"/>
              </w:rPr>
            </w:pPr>
            <w:r w:rsidRPr="00D26445">
              <w:rPr>
                <w:rFonts w:cs="Arial"/>
                <w:kern w:val="24"/>
              </w:rPr>
              <w:t xml:space="preserve">SS/PBCH block and CORESET multiplexing pattern </w:t>
            </w:r>
          </w:p>
        </w:tc>
        <w:tc>
          <w:tcPr>
            <w:tcW w:w="1556" w:type="dxa"/>
            <w:tcBorders>
              <w:bottom w:val="double" w:sz="4" w:space="0" w:color="auto"/>
            </w:tcBorders>
            <w:shd w:val="clear" w:color="auto" w:fill="E0E0E0"/>
            <w:vAlign w:val="center"/>
          </w:tcPr>
          <w:p w14:paraId="3EBBA7DA" w14:textId="77777777" w:rsidR="00690C97" w:rsidRPr="00D26445" w:rsidRDefault="00690C97" w:rsidP="00454E5E">
            <w:pPr>
              <w:pStyle w:val="TAH"/>
              <w:rPr>
                <w:bCs/>
                <w:lang w:val="en-US"/>
              </w:rPr>
            </w:pPr>
            <w:r w:rsidRPr="00D26445">
              <w:rPr>
                <w:rFonts w:cs="Arial"/>
                <w:kern w:val="24"/>
              </w:rPr>
              <w:t xml:space="preserve">Number of RBs </w:t>
            </w:r>
            <m:oMath>
              <m:sSubSup>
                <m:sSubSupPr>
                  <m:ctrlPr>
                    <w:rPr>
                      <w:rFonts w:ascii="Cambria Math" w:hAnsi="Cambria Math"/>
                      <w:i/>
                    </w:rPr>
                  </m:ctrlPr>
                </m:sSubSupPr>
                <m:e>
                  <m:r>
                    <m:rPr>
                      <m:sty m:val="bi"/>
                    </m:rPr>
                    <w:rPr>
                      <w:rFonts w:ascii="Cambria Math"/>
                    </w:rPr>
                    <m:t>N</m:t>
                  </m:r>
                </m:e>
                <m:sub>
                  <m:r>
                    <m:rPr>
                      <m:nor/>
                    </m:rPr>
                    <w:rPr>
                      <w:rFonts w:ascii="Cambria Math"/>
                    </w:rPr>
                    <m:t>RB</m:t>
                  </m:r>
                  <m:ctrlPr>
                    <w:rPr>
                      <w:rFonts w:ascii="Cambria Math" w:hAnsi="Cambria Math"/>
                    </w:rPr>
                  </m:ctrlPr>
                </m:sub>
                <m:sup>
                  <m:r>
                    <m:rPr>
                      <m:nor/>
                    </m:rPr>
                    <w:rPr>
                      <w:rFonts w:ascii="Cambria Math"/>
                    </w:rPr>
                    <m:t>CORESET</m:t>
                  </m:r>
                  <m:ctrlPr>
                    <w:rPr>
                      <w:rFonts w:ascii="Cambria Math" w:hAnsi="Cambria Math"/>
                    </w:rPr>
                  </m:ctrlPr>
                </m:sup>
              </m:sSubSup>
            </m:oMath>
          </w:p>
        </w:tc>
        <w:tc>
          <w:tcPr>
            <w:tcW w:w="1898" w:type="dxa"/>
            <w:tcBorders>
              <w:bottom w:val="double" w:sz="4" w:space="0" w:color="auto"/>
            </w:tcBorders>
            <w:shd w:val="clear" w:color="auto" w:fill="E0E0E0"/>
            <w:vAlign w:val="center"/>
          </w:tcPr>
          <w:p w14:paraId="4023313C" w14:textId="77777777" w:rsidR="00690C97" w:rsidRPr="00D26445" w:rsidRDefault="00690C97" w:rsidP="00454E5E">
            <w:pPr>
              <w:pStyle w:val="TAH"/>
              <w:rPr>
                <w:bCs/>
                <w:lang w:val="en-US"/>
              </w:rPr>
            </w:pPr>
            <w:r w:rsidRPr="00D26445">
              <w:rPr>
                <w:rFonts w:cs="Arial"/>
                <w:kern w:val="24"/>
              </w:rPr>
              <w:t xml:space="preserve">Number of Symbols </w:t>
            </w:r>
            <m:oMath>
              <m:sSubSup>
                <m:sSubSupPr>
                  <m:ctrlPr>
                    <w:rPr>
                      <w:rFonts w:ascii="Cambria Math" w:hAnsi="Cambria Math"/>
                      <w:i/>
                    </w:rPr>
                  </m:ctrlPr>
                </m:sSubSupPr>
                <m:e>
                  <m:r>
                    <m:rPr>
                      <m:sty m:val="bi"/>
                    </m:rPr>
                    <w:rPr>
                      <w:rFonts w:ascii="Cambria Math"/>
                    </w:rPr>
                    <m:t>N</m:t>
                  </m:r>
                </m:e>
                <m:sub>
                  <m:r>
                    <m:rPr>
                      <m:nor/>
                    </m:rPr>
                    <w:rPr>
                      <w:rFonts w:ascii="Cambria Math"/>
                    </w:rPr>
                    <m:t>symb</m:t>
                  </m:r>
                  <m:ctrlPr>
                    <w:rPr>
                      <w:rFonts w:ascii="Cambria Math" w:hAnsi="Cambria Math"/>
                    </w:rPr>
                  </m:ctrlPr>
                </m:sub>
                <m:sup>
                  <m:r>
                    <m:rPr>
                      <m:nor/>
                    </m:rPr>
                    <w:rPr>
                      <w:rFonts w:ascii="Cambria Math"/>
                    </w:rPr>
                    <m:t>CORESET</m:t>
                  </m:r>
                  <m:ctrlPr>
                    <w:rPr>
                      <w:rFonts w:ascii="Cambria Math" w:hAnsi="Cambria Math"/>
                    </w:rPr>
                  </m:ctrlPr>
                </m:sup>
              </m:sSubSup>
            </m:oMath>
            <w:r w:rsidRPr="00D26445">
              <w:rPr>
                <w:rFonts w:cs="Arial"/>
                <w:kern w:val="24"/>
              </w:rPr>
              <w:t xml:space="preserve"> </w:t>
            </w:r>
          </w:p>
        </w:tc>
        <w:tc>
          <w:tcPr>
            <w:tcW w:w="1370" w:type="dxa"/>
            <w:tcBorders>
              <w:bottom w:val="double" w:sz="4" w:space="0" w:color="auto"/>
            </w:tcBorders>
            <w:shd w:val="clear" w:color="auto" w:fill="E0E0E0"/>
            <w:vAlign w:val="center"/>
          </w:tcPr>
          <w:p w14:paraId="212498E0" w14:textId="77777777" w:rsidR="00690C97" w:rsidRPr="00D26445" w:rsidRDefault="00690C97" w:rsidP="00454E5E">
            <w:pPr>
              <w:pStyle w:val="TAH"/>
              <w:rPr>
                <w:bCs/>
                <w:lang w:val="en-US"/>
              </w:rPr>
            </w:pPr>
            <w:r w:rsidRPr="00D26445">
              <w:rPr>
                <w:rFonts w:cs="Arial"/>
                <w:kern w:val="24"/>
              </w:rPr>
              <w:t xml:space="preserve">Offset (RBs) </w:t>
            </w:r>
          </w:p>
        </w:tc>
      </w:tr>
      <w:tr w:rsidR="00690C97" w:rsidRPr="00D26445" w14:paraId="212FC2A2" w14:textId="77777777" w:rsidTr="00454E5E">
        <w:trPr>
          <w:cantSplit/>
        </w:trPr>
        <w:tc>
          <w:tcPr>
            <w:tcW w:w="796" w:type="dxa"/>
            <w:tcBorders>
              <w:top w:val="double" w:sz="4" w:space="0" w:color="auto"/>
              <w:right w:val="double" w:sz="4" w:space="0" w:color="auto"/>
            </w:tcBorders>
            <w:shd w:val="clear" w:color="auto" w:fill="auto"/>
            <w:vAlign w:val="center"/>
          </w:tcPr>
          <w:p w14:paraId="4C943705" w14:textId="77777777" w:rsidR="00690C97" w:rsidRPr="00D26445" w:rsidRDefault="00690C97" w:rsidP="00454E5E">
            <w:pPr>
              <w:pStyle w:val="TAC"/>
              <w:rPr>
                <w:lang w:val="en-US"/>
              </w:rPr>
            </w:pPr>
            <w:r w:rsidRPr="00D26445">
              <w:rPr>
                <w:lang w:val="en-US"/>
              </w:rPr>
              <w:t>0</w:t>
            </w:r>
          </w:p>
        </w:tc>
        <w:tc>
          <w:tcPr>
            <w:tcW w:w="3442" w:type="dxa"/>
            <w:tcBorders>
              <w:top w:val="double" w:sz="4" w:space="0" w:color="auto"/>
              <w:left w:val="double" w:sz="4" w:space="0" w:color="auto"/>
            </w:tcBorders>
            <w:vAlign w:val="center"/>
          </w:tcPr>
          <w:p w14:paraId="6D0F9AF2" w14:textId="77777777" w:rsidR="00690C97" w:rsidRPr="00D26445" w:rsidRDefault="00690C97" w:rsidP="00454E5E">
            <w:pPr>
              <w:pStyle w:val="TAC"/>
              <w:rPr>
                <w:lang w:val="en-US"/>
              </w:rPr>
            </w:pPr>
            <w:r w:rsidRPr="00D26445">
              <w:rPr>
                <w:rFonts w:cs="Arial"/>
                <w:kern w:val="24"/>
                <w:szCs w:val="18"/>
              </w:rPr>
              <w:t xml:space="preserve">1 </w:t>
            </w:r>
          </w:p>
        </w:tc>
        <w:tc>
          <w:tcPr>
            <w:tcW w:w="1556" w:type="dxa"/>
            <w:tcBorders>
              <w:top w:val="double" w:sz="4" w:space="0" w:color="auto"/>
            </w:tcBorders>
            <w:vAlign w:val="center"/>
          </w:tcPr>
          <w:p w14:paraId="0AB837D8" w14:textId="77777777" w:rsidR="00690C97" w:rsidRPr="00D26445" w:rsidRDefault="00690C97" w:rsidP="00454E5E">
            <w:pPr>
              <w:pStyle w:val="TAC"/>
              <w:rPr>
                <w:lang w:val="en-US"/>
              </w:rPr>
            </w:pPr>
            <w:r w:rsidRPr="00D26445">
              <w:rPr>
                <w:lang w:val="en-US"/>
              </w:rPr>
              <w:t>96</w:t>
            </w:r>
          </w:p>
        </w:tc>
        <w:tc>
          <w:tcPr>
            <w:tcW w:w="1898" w:type="dxa"/>
            <w:tcBorders>
              <w:top w:val="double" w:sz="4" w:space="0" w:color="auto"/>
            </w:tcBorders>
            <w:vAlign w:val="center"/>
          </w:tcPr>
          <w:p w14:paraId="58430BBF" w14:textId="77777777" w:rsidR="00690C97" w:rsidRPr="00D26445" w:rsidRDefault="00690C97" w:rsidP="00454E5E">
            <w:pPr>
              <w:pStyle w:val="TAC"/>
              <w:rPr>
                <w:lang w:val="en-US"/>
              </w:rPr>
            </w:pPr>
            <w:r w:rsidRPr="00D26445">
              <w:rPr>
                <w:lang w:val="en-US"/>
              </w:rPr>
              <w:t>1</w:t>
            </w:r>
          </w:p>
        </w:tc>
        <w:tc>
          <w:tcPr>
            <w:tcW w:w="1370" w:type="dxa"/>
            <w:tcBorders>
              <w:top w:val="double" w:sz="4" w:space="0" w:color="auto"/>
            </w:tcBorders>
            <w:vAlign w:val="center"/>
          </w:tcPr>
          <w:p w14:paraId="1F2673A8" w14:textId="77777777" w:rsidR="00690C97" w:rsidRPr="00D26445" w:rsidRDefault="00690C97" w:rsidP="00454E5E">
            <w:pPr>
              <w:pStyle w:val="TAC"/>
              <w:rPr>
                <w:lang w:val="en-US"/>
              </w:rPr>
            </w:pPr>
            <w:r w:rsidRPr="00D26445">
              <w:rPr>
                <w:lang w:val="en-US"/>
              </w:rPr>
              <w:t>10</w:t>
            </w:r>
          </w:p>
        </w:tc>
      </w:tr>
      <w:tr w:rsidR="00690C97" w:rsidRPr="00D26445" w14:paraId="4B75BBDB" w14:textId="77777777" w:rsidTr="00454E5E">
        <w:trPr>
          <w:cantSplit/>
        </w:trPr>
        <w:tc>
          <w:tcPr>
            <w:tcW w:w="796" w:type="dxa"/>
            <w:tcBorders>
              <w:right w:val="double" w:sz="4" w:space="0" w:color="auto"/>
            </w:tcBorders>
            <w:shd w:val="clear" w:color="auto" w:fill="auto"/>
            <w:vAlign w:val="center"/>
          </w:tcPr>
          <w:p w14:paraId="404A8915" w14:textId="77777777" w:rsidR="00690C97" w:rsidRPr="00D26445" w:rsidRDefault="00690C97" w:rsidP="00454E5E">
            <w:pPr>
              <w:pStyle w:val="TAC"/>
              <w:rPr>
                <w:lang w:val="en-US"/>
              </w:rPr>
            </w:pPr>
            <w:r w:rsidRPr="00D26445">
              <w:rPr>
                <w:lang w:val="en-US"/>
              </w:rPr>
              <w:t>1</w:t>
            </w:r>
          </w:p>
        </w:tc>
        <w:tc>
          <w:tcPr>
            <w:tcW w:w="3442" w:type="dxa"/>
            <w:tcBorders>
              <w:left w:val="double" w:sz="4" w:space="0" w:color="auto"/>
            </w:tcBorders>
            <w:vAlign w:val="center"/>
          </w:tcPr>
          <w:p w14:paraId="0679C85E" w14:textId="77777777" w:rsidR="00690C97" w:rsidRPr="00D26445" w:rsidRDefault="00690C97" w:rsidP="00454E5E">
            <w:pPr>
              <w:pStyle w:val="TAC"/>
              <w:rPr>
                <w:lang w:val="en-US"/>
              </w:rPr>
            </w:pPr>
            <w:r w:rsidRPr="00D26445">
              <w:rPr>
                <w:rFonts w:cs="Arial"/>
                <w:kern w:val="24"/>
                <w:szCs w:val="18"/>
              </w:rPr>
              <w:t xml:space="preserve">1 </w:t>
            </w:r>
          </w:p>
        </w:tc>
        <w:tc>
          <w:tcPr>
            <w:tcW w:w="1556" w:type="dxa"/>
            <w:vAlign w:val="center"/>
          </w:tcPr>
          <w:p w14:paraId="09087A8B" w14:textId="77777777" w:rsidR="00690C97" w:rsidRPr="00D26445" w:rsidRDefault="00690C97" w:rsidP="00454E5E">
            <w:pPr>
              <w:pStyle w:val="TAC"/>
              <w:rPr>
                <w:lang w:val="en-US"/>
              </w:rPr>
            </w:pPr>
            <w:r w:rsidRPr="00D26445">
              <w:rPr>
                <w:lang w:val="en-US"/>
              </w:rPr>
              <w:t>96</w:t>
            </w:r>
          </w:p>
        </w:tc>
        <w:tc>
          <w:tcPr>
            <w:tcW w:w="1898" w:type="dxa"/>
            <w:vAlign w:val="center"/>
          </w:tcPr>
          <w:p w14:paraId="2551E969" w14:textId="77777777" w:rsidR="00690C97" w:rsidRPr="00D26445" w:rsidRDefault="00690C97" w:rsidP="00454E5E">
            <w:pPr>
              <w:pStyle w:val="TAC"/>
              <w:rPr>
                <w:lang w:val="en-US"/>
              </w:rPr>
            </w:pPr>
            <w:r w:rsidRPr="00D26445">
              <w:rPr>
                <w:lang w:val="en-US"/>
              </w:rPr>
              <w:t>1</w:t>
            </w:r>
          </w:p>
        </w:tc>
        <w:tc>
          <w:tcPr>
            <w:tcW w:w="1370" w:type="dxa"/>
            <w:vAlign w:val="center"/>
          </w:tcPr>
          <w:p w14:paraId="52741C7D" w14:textId="77777777" w:rsidR="00690C97" w:rsidRPr="00D26445" w:rsidRDefault="00690C97" w:rsidP="00454E5E">
            <w:pPr>
              <w:pStyle w:val="TAC"/>
              <w:rPr>
                <w:lang w:val="en-US"/>
              </w:rPr>
            </w:pPr>
            <w:r w:rsidRPr="00D26445">
              <w:rPr>
                <w:lang w:val="en-US"/>
              </w:rPr>
              <w:t>12</w:t>
            </w:r>
          </w:p>
        </w:tc>
      </w:tr>
      <w:tr w:rsidR="00690C97" w:rsidRPr="00D26445" w14:paraId="71539677" w14:textId="77777777" w:rsidTr="00454E5E">
        <w:trPr>
          <w:cantSplit/>
        </w:trPr>
        <w:tc>
          <w:tcPr>
            <w:tcW w:w="796" w:type="dxa"/>
            <w:tcBorders>
              <w:right w:val="double" w:sz="4" w:space="0" w:color="auto"/>
            </w:tcBorders>
            <w:shd w:val="clear" w:color="auto" w:fill="auto"/>
            <w:vAlign w:val="center"/>
          </w:tcPr>
          <w:p w14:paraId="7EB48F3B" w14:textId="77777777" w:rsidR="00690C97" w:rsidRPr="00D26445" w:rsidRDefault="00690C97" w:rsidP="00454E5E">
            <w:pPr>
              <w:pStyle w:val="TAC"/>
            </w:pPr>
            <w:r w:rsidRPr="00D26445">
              <w:t>2</w:t>
            </w:r>
          </w:p>
        </w:tc>
        <w:tc>
          <w:tcPr>
            <w:tcW w:w="3442" w:type="dxa"/>
            <w:tcBorders>
              <w:left w:val="double" w:sz="4" w:space="0" w:color="auto"/>
            </w:tcBorders>
            <w:vAlign w:val="center"/>
          </w:tcPr>
          <w:p w14:paraId="6FE7BFFE" w14:textId="77777777" w:rsidR="00690C97" w:rsidRPr="00D26445" w:rsidRDefault="00690C97" w:rsidP="00454E5E">
            <w:pPr>
              <w:pStyle w:val="TAC"/>
            </w:pPr>
            <w:r w:rsidRPr="00D26445">
              <w:t>1</w:t>
            </w:r>
          </w:p>
        </w:tc>
        <w:tc>
          <w:tcPr>
            <w:tcW w:w="1556" w:type="dxa"/>
            <w:vAlign w:val="center"/>
          </w:tcPr>
          <w:p w14:paraId="28BD7354" w14:textId="77777777" w:rsidR="00690C97" w:rsidRPr="00D26445" w:rsidRDefault="00690C97" w:rsidP="00454E5E">
            <w:pPr>
              <w:pStyle w:val="TAC"/>
            </w:pPr>
            <w:r w:rsidRPr="00D26445">
              <w:rPr>
                <w:lang w:val="en-US"/>
              </w:rPr>
              <w:t>96</w:t>
            </w:r>
          </w:p>
        </w:tc>
        <w:tc>
          <w:tcPr>
            <w:tcW w:w="1898" w:type="dxa"/>
            <w:vAlign w:val="center"/>
          </w:tcPr>
          <w:p w14:paraId="06FE2154" w14:textId="77777777" w:rsidR="00690C97" w:rsidRPr="00D26445" w:rsidRDefault="00690C97" w:rsidP="00454E5E">
            <w:pPr>
              <w:pStyle w:val="TAC"/>
            </w:pPr>
            <w:r w:rsidRPr="00D26445">
              <w:t>1</w:t>
            </w:r>
          </w:p>
        </w:tc>
        <w:tc>
          <w:tcPr>
            <w:tcW w:w="1370" w:type="dxa"/>
            <w:vAlign w:val="center"/>
          </w:tcPr>
          <w:p w14:paraId="5E5155C0" w14:textId="77777777" w:rsidR="00690C97" w:rsidRPr="00D26445" w:rsidRDefault="00690C97" w:rsidP="00454E5E">
            <w:pPr>
              <w:pStyle w:val="TAC"/>
            </w:pPr>
            <w:r w:rsidRPr="00D26445">
              <w:t>14</w:t>
            </w:r>
          </w:p>
        </w:tc>
      </w:tr>
      <w:tr w:rsidR="00690C97" w:rsidRPr="00D26445" w14:paraId="28D522D5" w14:textId="77777777" w:rsidTr="00454E5E">
        <w:trPr>
          <w:cantSplit/>
        </w:trPr>
        <w:tc>
          <w:tcPr>
            <w:tcW w:w="796" w:type="dxa"/>
            <w:tcBorders>
              <w:right w:val="double" w:sz="4" w:space="0" w:color="auto"/>
            </w:tcBorders>
            <w:shd w:val="clear" w:color="auto" w:fill="auto"/>
            <w:vAlign w:val="center"/>
          </w:tcPr>
          <w:p w14:paraId="2EC04CC4" w14:textId="77777777" w:rsidR="00690C97" w:rsidRPr="00D26445" w:rsidRDefault="00690C97" w:rsidP="00454E5E">
            <w:pPr>
              <w:pStyle w:val="TAC"/>
            </w:pPr>
            <w:r w:rsidRPr="00D26445">
              <w:t>3</w:t>
            </w:r>
          </w:p>
        </w:tc>
        <w:tc>
          <w:tcPr>
            <w:tcW w:w="3442" w:type="dxa"/>
            <w:tcBorders>
              <w:left w:val="double" w:sz="4" w:space="0" w:color="auto"/>
            </w:tcBorders>
            <w:vAlign w:val="center"/>
          </w:tcPr>
          <w:p w14:paraId="224DC6A8" w14:textId="77777777" w:rsidR="00690C97" w:rsidRPr="00D26445" w:rsidRDefault="00690C97" w:rsidP="00454E5E">
            <w:pPr>
              <w:pStyle w:val="TAC"/>
            </w:pPr>
            <w:r w:rsidRPr="00D26445">
              <w:t>1</w:t>
            </w:r>
          </w:p>
        </w:tc>
        <w:tc>
          <w:tcPr>
            <w:tcW w:w="1556" w:type="dxa"/>
            <w:vAlign w:val="center"/>
          </w:tcPr>
          <w:p w14:paraId="1CCAF180" w14:textId="77777777" w:rsidR="00690C97" w:rsidRPr="00D26445" w:rsidRDefault="00690C97" w:rsidP="00454E5E">
            <w:pPr>
              <w:pStyle w:val="TAC"/>
            </w:pPr>
            <w:r w:rsidRPr="00D26445">
              <w:rPr>
                <w:lang w:val="en-US"/>
              </w:rPr>
              <w:t>96</w:t>
            </w:r>
          </w:p>
        </w:tc>
        <w:tc>
          <w:tcPr>
            <w:tcW w:w="1898" w:type="dxa"/>
            <w:vAlign w:val="center"/>
          </w:tcPr>
          <w:p w14:paraId="309F8681" w14:textId="77777777" w:rsidR="00690C97" w:rsidRPr="00D26445" w:rsidRDefault="00690C97" w:rsidP="00454E5E">
            <w:pPr>
              <w:pStyle w:val="TAC"/>
            </w:pPr>
            <w:r w:rsidRPr="00D26445">
              <w:t>1</w:t>
            </w:r>
          </w:p>
        </w:tc>
        <w:tc>
          <w:tcPr>
            <w:tcW w:w="1370" w:type="dxa"/>
            <w:vAlign w:val="center"/>
          </w:tcPr>
          <w:p w14:paraId="72F7D5E2" w14:textId="77777777" w:rsidR="00690C97" w:rsidRPr="00D26445" w:rsidRDefault="00690C97" w:rsidP="00454E5E">
            <w:pPr>
              <w:pStyle w:val="TAC"/>
            </w:pPr>
            <w:r w:rsidRPr="00D26445">
              <w:t>16</w:t>
            </w:r>
          </w:p>
        </w:tc>
      </w:tr>
      <w:tr w:rsidR="00690C97" w:rsidRPr="00D26445" w14:paraId="0D349F14" w14:textId="77777777" w:rsidTr="00454E5E">
        <w:trPr>
          <w:cantSplit/>
        </w:trPr>
        <w:tc>
          <w:tcPr>
            <w:tcW w:w="796" w:type="dxa"/>
            <w:tcBorders>
              <w:right w:val="double" w:sz="4" w:space="0" w:color="auto"/>
            </w:tcBorders>
            <w:shd w:val="clear" w:color="auto" w:fill="auto"/>
            <w:vAlign w:val="center"/>
          </w:tcPr>
          <w:p w14:paraId="13A6163B" w14:textId="77777777" w:rsidR="00690C97" w:rsidRPr="00D26445" w:rsidRDefault="00690C97" w:rsidP="00454E5E">
            <w:pPr>
              <w:pStyle w:val="TAC"/>
            </w:pPr>
            <w:r w:rsidRPr="00D26445">
              <w:t>4</w:t>
            </w:r>
          </w:p>
        </w:tc>
        <w:tc>
          <w:tcPr>
            <w:tcW w:w="3442" w:type="dxa"/>
            <w:tcBorders>
              <w:left w:val="double" w:sz="4" w:space="0" w:color="auto"/>
            </w:tcBorders>
            <w:vAlign w:val="center"/>
          </w:tcPr>
          <w:p w14:paraId="65AF8888" w14:textId="77777777" w:rsidR="00690C97" w:rsidRPr="00D26445" w:rsidRDefault="00690C97" w:rsidP="00454E5E">
            <w:pPr>
              <w:pStyle w:val="TAC"/>
            </w:pPr>
            <w:r w:rsidRPr="00D26445">
              <w:t>1</w:t>
            </w:r>
          </w:p>
        </w:tc>
        <w:tc>
          <w:tcPr>
            <w:tcW w:w="1556" w:type="dxa"/>
            <w:vAlign w:val="center"/>
          </w:tcPr>
          <w:p w14:paraId="1A15C4F7" w14:textId="77777777" w:rsidR="00690C97" w:rsidRPr="00D26445" w:rsidRDefault="00690C97" w:rsidP="00454E5E">
            <w:pPr>
              <w:pStyle w:val="TAC"/>
            </w:pPr>
            <w:r w:rsidRPr="00D26445">
              <w:rPr>
                <w:lang w:val="en-US"/>
              </w:rPr>
              <w:t>96</w:t>
            </w:r>
          </w:p>
        </w:tc>
        <w:tc>
          <w:tcPr>
            <w:tcW w:w="1898" w:type="dxa"/>
            <w:vAlign w:val="center"/>
          </w:tcPr>
          <w:p w14:paraId="5031FF5C" w14:textId="77777777" w:rsidR="00690C97" w:rsidRPr="00D26445" w:rsidRDefault="00690C97" w:rsidP="00454E5E">
            <w:pPr>
              <w:pStyle w:val="TAC"/>
            </w:pPr>
            <w:r w:rsidRPr="00D26445">
              <w:t>2</w:t>
            </w:r>
          </w:p>
        </w:tc>
        <w:tc>
          <w:tcPr>
            <w:tcW w:w="1370" w:type="dxa"/>
            <w:vAlign w:val="center"/>
          </w:tcPr>
          <w:p w14:paraId="291E5F24" w14:textId="77777777" w:rsidR="00690C97" w:rsidRPr="00D26445" w:rsidRDefault="00690C97" w:rsidP="00454E5E">
            <w:pPr>
              <w:pStyle w:val="TAC"/>
            </w:pPr>
            <w:r w:rsidRPr="00D26445">
              <w:t>10</w:t>
            </w:r>
          </w:p>
        </w:tc>
      </w:tr>
      <w:tr w:rsidR="00690C97" w:rsidRPr="00D26445" w14:paraId="45EEE05F" w14:textId="77777777" w:rsidTr="00454E5E">
        <w:trPr>
          <w:cantSplit/>
        </w:trPr>
        <w:tc>
          <w:tcPr>
            <w:tcW w:w="796" w:type="dxa"/>
            <w:tcBorders>
              <w:right w:val="double" w:sz="4" w:space="0" w:color="auto"/>
            </w:tcBorders>
            <w:shd w:val="clear" w:color="auto" w:fill="auto"/>
            <w:vAlign w:val="center"/>
          </w:tcPr>
          <w:p w14:paraId="36C7822E" w14:textId="77777777" w:rsidR="00690C97" w:rsidRPr="00D26445" w:rsidRDefault="00690C97" w:rsidP="00454E5E">
            <w:pPr>
              <w:pStyle w:val="TAC"/>
            </w:pPr>
            <w:r w:rsidRPr="00D26445">
              <w:t>5</w:t>
            </w:r>
          </w:p>
        </w:tc>
        <w:tc>
          <w:tcPr>
            <w:tcW w:w="3442" w:type="dxa"/>
            <w:tcBorders>
              <w:left w:val="double" w:sz="4" w:space="0" w:color="auto"/>
            </w:tcBorders>
            <w:vAlign w:val="center"/>
          </w:tcPr>
          <w:p w14:paraId="1ED9F63B" w14:textId="77777777" w:rsidR="00690C97" w:rsidRPr="00D26445" w:rsidRDefault="00690C97" w:rsidP="00454E5E">
            <w:pPr>
              <w:pStyle w:val="TAC"/>
            </w:pPr>
            <w:r w:rsidRPr="00D26445">
              <w:t>1</w:t>
            </w:r>
          </w:p>
        </w:tc>
        <w:tc>
          <w:tcPr>
            <w:tcW w:w="1556" w:type="dxa"/>
            <w:vAlign w:val="center"/>
          </w:tcPr>
          <w:p w14:paraId="2AC7EEE8" w14:textId="77777777" w:rsidR="00690C97" w:rsidRPr="00D26445" w:rsidRDefault="00690C97" w:rsidP="00454E5E">
            <w:pPr>
              <w:pStyle w:val="TAC"/>
            </w:pPr>
            <w:r w:rsidRPr="00D26445">
              <w:rPr>
                <w:lang w:val="en-US"/>
              </w:rPr>
              <w:t>96</w:t>
            </w:r>
          </w:p>
        </w:tc>
        <w:tc>
          <w:tcPr>
            <w:tcW w:w="1898" w:type="dxa"/>
            <w:vAlign w:val="center"/>
          </w:tcPr>
          <w:p w14:paraId="5324F9F8" w14:textId="77777777" w:rsidR="00690C97" w:rsidRPr="00D26445" w:rsidRDefault="00690C97" w:rsidP="00454E5E">
            <w:pPr>
              <w:pStyle w:val="TAC"/>
            </w:pPr>
            <w:r w:rsidRPr="00D26445">
              <w:t>2</w:t>
            </w:r>
          </w:p>
        </w:tc>
        <w:tc>
          <w:tcPr>
            <w:tcW w:w="1370" w:type="dxa"/>
            <w:vAlign w:val="center"/>
          </w:tcPr>
          <w:p w14:paraId="4C968811" w14:textId="77777777" w:rsidR="00690C97" w:rsidRPr="00D26445" w:rsidRDefault="00690C97" w:rsidP="00454E5E">
            <w:pPr>
              <w:pStyle w:val="TAC"/>
            </w:pPr>
            <w:r w:rsidRPr="00D26445">
              <w:t>12</w:t>
            </w:r>
          </w:p>
        </w:tc>
      </w:tr>
      <w:tr w:rsidR="00690C97" w:rsidRPr="00D26445" w14:paraId="1110ECE3" w14:textId="77777777" w:rsidTr="00454E5E">
        <w:trPr>
          <w:cantSplit/>
        </w:trPr>
        <w:tc>
          <w:tcPr>
            <w:tcW w:w="796" w:type="dxa"/>
            <w:tcBorders>
              <w:right w:val="double" w:sz="4" w:space="0" w:color="auto"/>
            </w:tcBorders>
            <w:shd w:val="clear" w:color="auto" w:fill="auto"/>
            <w:vAlign w:val="center"/>
          </w:tcPr>
          <w:p w14:paraId="78228170" w14:textId="77777777" w:rsidR="00690C97" w:rsidRPr="00D26445" w:rsidRDefault="00690C97" w:rsidP="00454E5E">
            <w:pPr>
              <w:pStyle w:val="TAC"/>
            </w:pPr>
            <w:r w:rsidRPr="00D26445">
              <w:t>6</w:t>
            </w:r>
          </w:p>
        </w:tc>
        <w:tc>
          <w:tcPr>
            <w:tcW w:w="3442" w:type="dxa"/>
            <w:tcBorders>
              <w:left w:val="double" w:sz="4" w:space="0" w:color="auto"/>
            </w:tcBorders>
            <w:vAlign w:val="center"/>
          </w:tcPr>
          <w:p w14:paraId="5ECC993A" w14:textId="77777777" w:rsidR="00690C97" w:rsidRPr="00D26445" w:rsidRDefault="00690C97" w:rsidP="00454E5E">
            <w:pPr>
              <w:pStyle w:val="TAC"/>
            </w:pPr>
            <w:r w:rsidRPr="00D26445">
              <w:t>1</w:t>
            </w:r>
          </w:p>
        </w:tc>
        <w:tc>
          <w:tcPr>
            <w:tcW w:w="1556" w:type="dxa"/>
            <w:vAlign w:val="center"/>
          </w:tcPr>
          <w:p w14:paraId="6A1F2381" w14:textId="77777777" w:rsidR="00690C97" w:rsidRPr="00D26445" w:rsidRDefault="00690C97" w:rsidP="00454E5E">
            <w:pPr>
              <w:pStyle w:val="TAC"/>
            </w:pPr>
            <w:r w:rsidRPr="00D26445">
              <w:rPr>
                <w:lang w:val="en-US"/>
              </w:rPr>
              <w:t>96</w:t>
            </w:r>
          </w:p>
        </w:tc>
        <w:tc>
          <w:tcPr>
            <w:tcW w:w="1898" w:type="dxa"/>
            <w:vAlign w:val="center"/>
          </w:tcPr>
          <w:p w14:paraId="47A1F91C" w14:textId="77777777" w:rsidR="00690C97" w:rsidRPr="00D26445" w:rsidRDefault="00690C97" w:rsidP="00454E5E">
            <w:pPr>
              <w:pStyle w:val="TAC"/>
            </w:pPr>
            <w:r w:rsidRPr="00D26445">
              <w:t>2</w:t>
            </w:r>
          </w:p>
        </w:tc>
        <w:tc>
          <w:tcPr>
            <w:tcW w:w="1370" w:type="dxa"/>
            <w:vAlign w:val="center"/>
          </w:tcPr>
          <w:p w14:paraId="2BDE7A92" w14:textId="77777777" w:rsidR="00690C97" w:rsidRPr="00D26445" w:rsidRDefault="00690C97" w:rsidP="00454E5E">
            <w:pPr>
              <w:pStyle w:val="TAC"/>
            </w:pPr>
            <w:r w:rsidRPr="00D26445">
              <w:t>14</w:t>
            </w:r>
          </w:p>
        </w:tc>
      </w:tr>
      <w:tr w:rsidR="00690C97" w:rsidRPr="00D26445" w14:paraId="623C9844" w14:textId="77777777" w:rsidTr="00454E5E">
        <w:trPr>
          <w:cantSplit/>
        </w:trPr>
        <w:tc>
          <w:tcPr>
            <w:tcW w:w="796" w:type="dxa"/>
            <w:tcBorders>
              <w:right w:val="double" w:sz="4" w:space="0" w:color="auto"/>
            </w:tcBorders>
            <w:shd w:val="clear" w:color="auto" w:fill="auto"/>
            <w:vAlign w:val="center"/>
          </w:tcPr>
          <w:p w14:paraId="515C7CA2" w14:textId="77777777" w:rsidR="00690C97" w:rsidRPr="00D26445" w:rsidRDefault="00690C97" w:rsidP="00454E5E">
            <w:pPr>
              <w:pStyle w:val="TAC"/>
            </w:pPr>
            <w:r w:rsidRPr="00D26445">
              <w:t>7</w:t>
            </w:r>
          </w:p>
        </w:tc>
        <w:tc>
          <w:tcPr>
            <w:tcW w:w="3442" w:type="dxa"/>
            <w:tcBorders>
              <w:left w:val="double" w:sz="4" w:space="0" w:color="auto"/>
            </w:tcBorders>
            <w:vAlign w:val="center"/>
          </w:tcPr>
          <w:p w14:paraId="64262738" w14:textId="77777777" w:rsidR="00690C97" w:rsidRPr="00D26445" w:rsidRDefault="00690C97" w:rsidP="00454E5E">
            <w:pPr>
              <w:pStyle w:val="TAC"/>
            </w:pPr>
            <w:r w:rsidRPr="00D26445">
              <w:t>1</w:t>
            </w:r>
          </w:p>
        </w:tc>
        <w:tc>
          <w:tcPr>
            <w:tcW w:w="1556" w:type="dxa"/>
            <w:vAlign w:val="center"/>
          </w:tcPr>
          <w:p w14:paraId="26BB7D6A" w14:textId="77777777" w:rsidR="00690C97" w:rsidRPr="00D26445" w:rsidRDefault="00690C97" w:rsidP="00454E5E">
            <w:pPr>
              <w:pStyle w:val="TAC"/>
            </w:pPr>
            <w:r w:rsidRPr="00D26445">
              <w:rPr>
                <w:lang w:val="en-US"/>
              </w:rPr>
              <w:t>96</w:t>
            </w:r>
          </w:p>
        </w:tc>
        <w:tc>
          <w:tcPr>
            <w:tcW w:w="1898" w:type="dxa"/>
            <w:vAlign w:val="center"/>
          </w:tcPr>
          <w:p w14:paraId="01C71ED5" w14:textId="77777777" w:rsidR="00690C97" w:rsidRPr="00D26445" w:rsidRDefault="00690C97" w:rsidP="00454E5E">
            <w:pPr>
              <w:pStyle w:val="TAC"/>
            </w:pPr>
            <w:r w:rsidRPr="00D26445">
              <w:t>2</w:t>
            </w:r>
          </w:p>
        </w:tc>
        <w:tc>
          <w:tcPr>
            <w:tcW w:w="1370" w:type="dxa"/>
            <w:vAlign w:val="center"/>
          </w:tcPr>
          <w:p w14:paraId="4EF68441" w14:textId="77777777" w:rsidR="00690C97" w:rsidRPr="00D26445" w:rsidRDefault="00690C97" w:rsidP="00454E5E">
            <w:pPr>
              <w:pStyle w:val="TAC"/>
            </w:pPr>
            <w:r w:rsidRPr="00D26445">
              <w:t>16</w:t>
            </w:r>
          </w:p>
        </w:tc>
      </w:tr>
      <w:tr w:rsidR="00690C97" w:rsidRPr="00D26445" w14:paraId="615523F8" w14:textId="77777777" w:rsidTr="00454E5E">
        <w:trPr>
          <w:cantSplit/>
        </w:trPr>
        <w:tc>
          <w:tcPr>
            <w:tcW w:w="796" w:type="dxa"/>
            <w:tcBorders>
              <w:right w:val="double" w:sz="4" w:space="0" w:color="auto"/>
            </w:tcBorders>
            <w:shd w:val="clear" w:color="auto" w:fill="auto"/>
            <w:vAlign w:val="center"/>
          </w:tcPr>
          <w:p w14:paraId="49AA53B3" w14:textId="77777777" w:rsidR="00690C97" w:rsidRPr="00D26445" w:rsidRDefault="00690C97" w:rsidP="00454E5E">
            <w:pPr>
              <w:pStyle w:val="TAC"/>
            </w:pPr>
            <w:r w:rsidRPr="00D26445">
              <w:t>8</w:t>
            </w:r>
          </w:p>
        </w:tc>
        <w:tc>
          <w:tcPr>
            <w:tcW w:w="8266" w:type="dxa"/>
            <w:gridSpan w:val="4"/>
            <w:tcBorders>
              <w:left w:val="double" w:sz="4" w:space="0" w:color="auto"/>
            </w:tcBorders>
            <w:vAlign w:val="center"/>
          </w:tcPr>
          <w:p w14:paraId="2659E28E" w14:textId="77777777" w:rsidR="00690C97" w:rsidRPr="00D26445" w:rsidRDefault="00690C97" w:rsidP="00454E5E">
            <w:pPr>
              <w:pStyle w:val="TAC"/>
            </w:pPr>
            <w:r w:rsidRPr="00D26445">
              <w:t>Reserved</w:t>
            </w:r>
          </w:p>
        </w:tc>
      </w:tr>
      <w:tr w:rsidR="00690C97" w:rsidRPr="00D26445" w14:paraId="61CD7D43" w14:textId="77777777" w:rsidTr="00454E5E">
        <w:trPr>
          <w:cantSplit/>
        </w:trPr>
        <w:tc>
          <w:tcPr>
            <w:tcW w:w="796" w:type="dxa"/>
            <w:tcBorders>
              <w:right w:val="double" w:sz="4" w:space="0" w:color="auto"/>
            </w:tcBorders>
            <w:shd w:val="clear" w:color="auto" w:fill="auto"/>
            <w:vAlign w:val="center"/>
          </w:tcPr>
          <w:p w14:paraId="1A51DEC0" w14:textId="77777777" w:rsidR="00690C97" w:rsidRPr="00D26445" w:rsidRDefault="00690C97" w:rsidP="00454E5E">
            <w:pPr>
              <w:pStyle w:val="TAC"/>
            </w:pPr>
            <w:r w:rsidRPr="00D26445">
              <w:t>9</w:t>
            </w:r>
          </w:p>
        </w:tc>
        <w:tc>
          <w:tcPr>
            <w:tcW w:w="8266" w:type="dxa"/>
            <w:gridSpan w:val="4"/>
            <w:tcBorders>
              <w:left w:val="double" w:sz="4" w:space="0" w:color="auto"/>
            </w:tcBorders>
            <w:vAlign w:val="center"/>
          </w:tcPr>
          <w:p w14:paraId="51DB36AD" w14:textId="77777777" w:rsidR="00690C97" w:rsidRPr="00D26445" w:rsidRDefault="00690C97" w:rsidP="00454E5E">
            <w:pPr>
              <w:pStyle w:val="TAC"/>
            </w:pPr>
            <w:r w:rsidRPr="00D26445">
              <w:t>Reserved</w:t>
            </w:r>
          </w:p>
        </w:tc>
      </w:tr>
      <w:tr w:rsidR="00690C97" w:rsidRPr="00D26445" w14:paraId="2CB0758C" w14:textId="77777777" w:rsidTr="00454E5E">
        <w:trPr>
          <w:cantSplit/>
        </w:trPr>
        <w:tc>
          <w:tcPr>
            <w:tcW w:w="796" w:type="dxa"/>
            <w:tcBorders>
              <w:right w:val="double" w:sz="4" w:space="0" w:color="auto"/>
            </w:tcBorders>
            <w:shd w:val="clear" w:color="auto" w:fill="auto"/>
            <w:vAlign w:val="center"/>
          </w:tcPr>
          <w:p w14:paraId="234B5B31" w14:textId="77777777" w:rsidR="00690C97" w:rsidRPr="00D26445" w:rsidRDefault="00690C97" w:rsidP="00454E5E">
            <w:pPr>
              <w:pStyle w:val="TAC"/>
            </w:pPr>
            <w:r w:rsidRPr="00D26445">
              <w:t>10</w:t>
            </w:r>
          </w:p>
        </w:tc>
        <w:tc>
          <w:tcPr>
            <w:tcW w:w="8266" w:type="dxa"/>
            <w:gridSpan w:val="4"/>
            <w:tcBorders>
              <w:left w:val="double" w:sz="4" w:space="0" w:color="auto"/>
            </w:tcBorders>
            <w:vAlign w:val="center"/>
          </w:tcPr>
          <w:p w14:paraId="1CF63734" w14:textId="77777777" w:rsidR="00690C97" w:rsidRPr="00D26445" w:rsidRDefault="00690C97" w:rsidP="00454E5E">
            <w:pPr>
              <w:pStyle w:val="TAC"/>
            </w:pPr>
            <w:r w:rsidRPr="00D26445">
              <w:t>Reserved</w:t>
            </w:r>
          </w:p>
        </w:tc>
      </w:tr>
      <w:tr w:rsidR="00690C97" w:rsidRPr="00D26445" w14:paraId="5CB71018" w14:textId="77777777" w:rsidTr="00454E5E">
        <w:trPr>
          <w:cantSplit/>
        </w:trPr>
        <w:tc>
          <w:tcPr>
            <w:tcW w:w="796" w:type="dxa"/>
            <w:tcBorders>
              <w:right w:val="double" w:sz="4" w:space="0" w:color="auto"/>
            </w:tcBorders>
            <w:shd w:val="clear" w:color="auto" w:fill="auto"/>
            <w:vAlign w:val="center"/>
          </w:tcPr>
          <w:p w14:paraId="089A436B" w14:textId="77777777" w:rsidR="00690C97" w:rsidRPr="00D26445" w:rsidRDefault="00690C97" w:rsidP="00454E5E">
            <w:pPr>
              <w:pStyle w:val="TAC"/>
            </w:pPr>
            <w:r w:rsidRPr="00D26445">
              <w:t>11</w:t>
            </w:r>
          </w:p>
        </w:tc>
        <w:tc>
          <w:tcPr>
            <w:tcW w:w="8266" w:type="dxa"/>
            <w:gridSpan w:val="4"/>
            <w:tcBorders>
              <w:left w:val="double" w:sz="4" w:space="0" w:color="auto"/>
            </w:tcBorders>
            <w:vAlign w:val="center"/>
          </w:tcPr>
          <w:p w14:paraId="21192542" w14:textId="77777777" w:rsidR="00690C97" w:rsidRPr="00D26445" w:rsidRDefault="00690C97" w:rsidP="00454E5E">
            <w:pPr>
              <w:pStyle w:val="TAC"/>
            </w:pPr>
            <w:r w:rsidRPr="00D26445">
              <w:t>Reserved</w:t>
            </w:r>
          </w:p>
        </w:tc>
      </w:tr>
      <w:tr w:rsidR="00690C97" w:rsidRPr="00D26445" w14:paraId="5C5EFA9F" w14:textId="77777777" w:rsidTr="00454E5E">
        <w:trPr>
          <w:cantSplit/>
        </w:trPr>
        <w:tc>
          <w:tcPr>
            <w:tcW w:w="796" w:type="dxa"/>
            <w:tcBorders>
              <w:right w:val="double" w:sz="4" w:space="0" w:color="auto"/>
            </w:tcBorders>
            <w:shd w:val="clear" w:color="auto" w:fill="auto"/>
            <w:vAlign w:val="center"/>
          </w:tcPr>
          <w:p w14:paraId="75F14E9E" w14:textId="77777777" w:rsidR="00690C97" w:rsidRPr="00D26445" w:rsidRDefault="00690C97" w:rsidP="00454E5E">
            <w:pPr>
              <w:pStyle w:val="TAC"/>
            </w:pPr>
            <w:r w:rsidRPr="00D26445">
              <w:t>12</w:t>
            </w:r>
          </w:p>
        </w:tc>
        <w:tc>
          <w:tcPr>
            <w:tcW w:w="8266" w:type="dxa"/>
            <w:gridSpan w:val="4"/>
            <w:tcBorders>
              <w:left w:val="double" w:sz="4" w:space="0" w:color="auto"/>
            </w:tcBorders>
            <w:vAlign w:val="center"/>
          </w:tcPr>
          <w:p w14:paraId="456204CD" w14:textId="77777777" w:rsidR="00690C97" w:rsidRPr="00D26445" w:rsidRDefault="00690C97" w:rsidP="00454E5E">
            <w:pPr>
              <w:pStyle w:val="TAC"/>
            </w:pPr>
            <w:r w:rsidRPr="00D26445">
              <w:t>Reserved</w:t>
            </w:r>
          </w:p>
        </w:tc>
      </w:tr>
      <w:tr w:rsidR="00690C97" w:rsidRPr="00D26445" w14:paraId="5265FB88" w14:textId="77777777" w:rsidTr="00454E5E">
        <w:trPr>
          <w:cantSplit/>
        </w:trPr>
        <w:tc>
          <w:tcPr>
            <w:tcW w:w="796" w:type="dxa"/>
            <w:tcBorders>
              <w:right w:val="double" w:sz="4" w:space="0" w:color="auto"/>
            </w:tcBorders>
            <w:shd w:val="clear" w:color="auto" w:fill="auto"/>
            <w:vAlign w:val="center"/>
          </w:tcPr>
          <w:p w14:paraId="42C190E9" w14:textId="77777777" w:rsidR="00690C97" w:rsidRPr="00D26445" w:rsidRDefault="00690C97" w:rsidP="00454E5E">
            <w:pPr>
              <w:pStyle w:val="TAC"/>
            </w:pPr>
            <w:r w:rsidRPr="00D26445">
              <w:t>13</w:t>
            </w:r>
          </w:p>
        </w:tc>
        <w:tc>
          <w:tcPr>
            <w:tcW w:w="8266" w:type="dxa"/>
            <w:gridSpan w:val="4"/>
            <w:tcBorders>
              <w:left w:val="double" w:sz="4" w:space="0" w:color="auto"/>
            </w:tcBorders>
            <w:vAlign w:val="center"/>
          </w:tcPr>
          <w:p w14:paraId="16E10ABF" w14:textId="77777777" w:rsidR="00690C97" w:rsidRPr="00D26445" w:rsidRDefault="00690C97" w:rsidP="00454E5E">
            <w:pPr>
              <w:pStyle w:val="TAC"/>
            </w:pPr>
            <w:r w:rsidRPr="00D26445">
              <w:t>Reserved</w:t>
            </w:r>
          </w:p>
        </w:tc>
      </w:tr>
      <w:tr w:rsidR="00690C97" w:rsidRPr="00D26445" w14:paraId="6D268DF6" w14:textId="77777777" w:rsidTr="00454E5E">
        <w:trPr>
          <w:cantSplit/>
        </w:trPr>
        <w:tc>
          <w:tcPr>
            <w:tcW w:w="796" w:type="dxa"/>
            <w:tcBorders>
              <w:right w:val="double" w:sz="4" w:space="0" w:color="auto"/>
            </w:tcBorders>
            <w:shd w:val="clear" w:color="auto" w:fill="auto"/>
            <w:vAlign w:val="center"/>
          </w:tcPr>
          <w:p w14:paraId="2D6F6873" w14:textId="77777777" w:rsidR="00690C97" w:rsidRPr="00D26445" w:rsidRDefault="00690C97" w:rsidP="00454E5E">
            <w:pPr>
              <w:pStyle w:val="TAC"/>
            </w:pPr>
            <w:r w:rsidRPr="00D26445">
              <w:t>14</w:t>
            </w:r>
          </w:p>
        </w:tc>
        <w:tc>
          <w:tcPr>
            <w:tcW w:w="8266" w:type="dxa"/>
            <w:gridSpan w:val="4"/>
            <w:tcBorders>
              <w:left w:val="double" w:sz="4" w:space="0" w:color="auto"/>
            </w:tcBorders>
            <w:vAlign w:val="center"/>
          </w:tcPr>
          <w:p w14:paraId="2606C7AA" w14:textId="77777777" w:rsidR="00690C97" w:rsidRPr="00D26445" w:rsidRDefault="00690C97" w:rsidP="00454E5E">
            <w:pPr>
              <w:pStyle w:val="TAC"/>
            </w:pPr>
            <w:r w:rsidRPr="00D26445">
              <w:t>Reserved</w:t>
            </w:r>
          </w:p>
        </w:tc>
      </w:tr>
      <w:tr w:rsidR="00690C97" w:rsidRPr="00D26445" w14:paraId="2BC34FA7" w14:textId="77777777" w:rsidTr="00454E5E">
        <w:trPr>
          <w:cantSplit/>
        </w:trPr>
        <w:tc>
          <w:tcPr>
            <w:tcW w:w="796" w:type="dxa"/>
            <w:tcBorders>
              <w:right w:val="double" w:sz="4" w:space="0" w:color="auto"/>
            </w:tcBorders>
            <w:shd w:val="clear" w:color="auto" w:fill="auto"/>
            <w:vAlign w:val="center"/>
          </w:tcPr>
          <w:p w14:paraId="7B2101F6" w14:textId="77777777" w:rsidR="00690C97" w:rsidRPr="00D26445" w:rsidRDefault="00690C97" w:rsidP="00454E5E">
            <w:pPr>
              <w:pStyle w:val="TAC"/>
            </w:pPr>
            <w:r w:rsidRPr="00D26445">
              <w:t>15</w:t>
            </w:r>
          </w:p>
        </w:tc>
        <w:tc>
          <w:tcPr>
            <w:tcW w:w="8266" w:type="dxa"/>
            <w:gridSpan w:val="4"/>
            <w:tcBorders>
              <w:left w:val="double" w:sz="4" w:space="0" w:color="auto"/>
            </w:tcBorders>
            <w:vAlign w:val="center"/>
          </w:tcPr>
          <w:p w14:paraId="3C553447" w14:textId="77777777" w:rsidR="00690C97" w:rsidRPr="00D26445" w:rsidRDefault="00690C97" w:rsidP="00454E5E">
            <w:pPr>
              <w:pStyle w:val="TAC"/>
            </w:pPr>
            <w:r w:rsidRPr="00D26445">
              <w:t>Reserved</w:t>
            </w:r>
          </w:p>
        </w:tc>
      </w:tr>
    </w:tbl>
    <w:p w14:paraId="4CE79CE3" w14:textId="77777777" w:rsidR="005046B2" w:rsidRDefault="005046B2" w:rsidP="003A061C"/>
    <w:p w14:paraId="0505F75C" w14:textId="77777777" w:rsidR="00EA04A8" w:rsidRPr="00B916EC" w:rsidRDefault="00EA04A8">
      <w:pPr>
        <w:pStyle w:val="TH"/>
      </w:pPr>
      <w:r w:rsidRPr="00B916EC">
        <w:t>Table 1</w:t>
      </w:r>
      <w:r>
        <w:t>3</w:t>
      </w:r>
      <w:r w:rsidRPr="00B916EC">
        <w:t xml:space="preserve">-2: Set of resource blocks and slot symbols of </w:t>
      </w:r>
      <w:r w:rsidR="00C76664">
        <w:t>CORESET</w:t>
      </w:r>
      <w:r w:rsidRPr="00B916EC">
        <w:t xml:space="preserve"> for Type0-PDCCH search space</w:t>
      </w:r>
      <w:r w:rsidR="00CB0C9E">
        <w:t xml:space="preserve"> set</w:t>
      </w:r>
      <w:r w:rsidRPr="00B916EC">
        <w:t xml:space="preserve"> when {SS/PBCH block, PDCCH} </w:t>
      </w:r>
      <w:r w:rsidR="00143099">
        <w:t>SCS</w:t>
      </w:r>
      <w:r w:rsidRPr="00B916EC">
        <w:t xml:space="preserve"> is {15, 30} kHz</w:t>
      </w:r>
      <w:r w:rsidRPr="009F21F0">
        <w:rPr>
          <w:rFonts w:cs="Arial" w:hint="eastAsia"/>
          <w:lang w:val="en-US" w:eastAsia="zh-CN"/>
        </w:rPr>
        <w:t xml:space="preserve"> </w:t>
      </w:r>
      <w:r w:rsidRPr="00F548CF">
        <w:rPr>
          <w:rFonts w:cs="Arial" w:hint="eastAsia"/>
          <w:lang w:val="en-US" w:eastAsia="zh-CN"/>
        </w:rPr>
        <w:t>for frequency bands</w:t>
      </w:r>
      <w:r w:rsidRPr="000646B8">
        <w:t xml:space="preserve"> with minimum channel bandwidth 5 MHz</w:t>
      </w:r>
      <w:r>
        <w:t xml:space="preserve"> or 10 MHz</w:t>
      </w:r>
    </w:p>
    <w:tbl>
      <w:tblPr>
        <w:tblW w:w="0" w:type="auto"/>
        <w:tblInd w:w="4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3473"/>
        <w:gridCol w:w="1630"/>
        <w:gridCol w:w="1933"/>
        <w:gridCol w:w="1393"/>
      </w:tblGrid>
      <w:tr w:rsidR="00092B0D" w:rsidRPr="00F548CF" w14:paraId="289E08A6" w14:textId="77777777" w:rsidTr="008E6A8A">
        <w:trPr>
          <w:cantSplit/>
        </w:trPr>
        <w:tc>
          <w:tcPr>
            <w:tcW w:w="801" w:type="dxa"/>
            <w:tcBorders>
              <w:bottom w:val="double" w:sz="4" w:space="0" w:color="auto"/>
              <w:right w:val="double" w:sz="4" w:space="0" w:color="auto"/>
            </w:tcBorders>
            <w:shd w:val="clear" w:color="auto" w:fill="E0E0E0"/>
            <w:vAlign w:val="center"/>
          </w:tcPr>
          <w:p w14:paraId="50EF35B9" w14:textId="77777777" w:rsidR="00092B0D" w:rsidRPr="007B0A0A" w:rsidRDefault="00092B0D" w:rsidP="00092B0D">
            <w:pPr>
              <w:pStyle w:val="TAH"/>
              <w:rPr>
                <w:bCs/>
                <w:lang w:val="en-US"/>
              </w:rPr>
            </w:pPr>
            <w:r w:rsidRPr="007B0A0A">
              <w:rPr>
                <w:bCs/>
                <w:lang w:val="en-US"/>
              </w:rPr>
              <w:t>Index</w:t>
            </w:r>
          </w:p>
        </w:tc>
        <w:tc>
          <w:tcPr>
            <w:tcW w:w="3473" w:type="dxa"/>
            <w:tcBorders>
              <w:left w:val="double" w:sz="4" w:space="0" w:color="auto"/>
              <w:bottom w:val="double" w:sz="4" w:space="0" w:color="auto"/>
            </w:tcBorders>
            <w:shd w:val="clear" w:color="auto" w:fill="E0E0E0"/>
            <w:vAlign w:val="center"/>
          </w:tcPr>
          <w:p w14:paraId="03ECE7FB" w14:textId="77777777" w:rsidR="00092B0D" w:rsidRPr="000230F1" w:rsidRDefault="00092B0D" w:rsidP="00092B0D">
            <w:pPr>
              <w:pStyle w:val="TAH"/>
              <w:rPr>
                <w:bCs/>
                <w:lang w:val="en-US"/>
              </w:rPr>
            </w:pPr>
            <w:r w:rsidRPr="00864605">
              <w:rPr>
                <w:rFonts w:cs="Arial"/>
                <w:kern w:val="24"/>
              </w:rPr>
              <w:t xml:space="preserve">SS/PBCH block and </w:t>
            </w:r>
            <w:r>
              <w:rPr>
                <w:rFonts w:cs="Arial"/>
                <w:kern w:val="24"/>
              </w:rPr>
              <w:t>CORESET</w:t>
            </w:r>
            <w:r w:rsidRPr="00864605">
              <w:rPr>
                <w:rFonts w:cs="Arial"/>
                <w:kern w:val="24"/>
              </w:rPr>
              <w:t xml:space="preserve"> multiplexing </w:t>
            </w:r>
            <w:r w:rsidRPr="00D970A4">
              <w:rPr>
                <w:rFonts w:cs="Arial"/>
                <w:kern w:val="24"/>
              </w:rPr>
              <w:t>pattern</w:t>
            </w:r>
            <w:r w:rsidRPr="004F0407">
              <w:rPr>
                <w:rFonts w:cs="Arial"/>
                <w:kern w:val="24"/>
              </w:rPr>
              <w:t xml:space="preserve"> </w:t>
            </w:r>
          </w:p>
        </w:tc>
        <w:tc>
          <w:tcPr>
            <w:tcW w:w="1630" w:type="dxa"/>
            <w:tcBorders>
              <w:bottom w:val="double" w:sz="4" w:space="0" w:color="auto"/>
            </w:tcBorders>
            <w:shd w:val="clear" w:color="auto" w:fill="E0E0E0"/>
            <w:vAlign w:val="center"/>
          </w:tcPr>
          <w:p w14:paraId="328C3FA2" w14:textId="026C4E68" w:rsidR="00092B0D" w:rsidRPr="00F548CF" w:rsidRDefault="00092B0D" w:rsidP="00092B0D">
            <w:pPr>
              <w:pStyle w:val="TAH"/>
              <w:rPr>
                <w:bCs/>
                <w:lang w:val="en-US"/>
              </w:rPr>
            </w:pPr>
            <w:r w:rsidRPr="00B27E56">
              <w:rPr>
                <w:rFonts w:cs="Arial"/>
                <w:kern w:val="24"/>
              </w:rPr>
              <w:t xml:space="preserve">Number of RBs </w:t>
            </w:r>
            <m:oMath>
              <m:sSubSup>
                <m:sSubSupPr>
                  <m:ctrlPr>
                    <w:rPr>
                      <w:rFonts w:ascii="Cambria Math" w:hAnsi="Cambria Math"/>
                      <w:i/>
                    </w:rPr>
                  </m:ctrlPr>
                </m:sSubSupPr>
                <m:e>
                  <m:r>
                    <m:rPr>
                      <m:sty m:val="bi"/>
                    </m:rPr>
                    <w:rPr>
                      <w:rFonts w:ascii="Cambria Math"/>
                    </w:rPr>
                    <m:t>N</m:t>
                  </m:r>
                </m:e>
                <m:sub>
                  <m:r>
                    <m:rPr>
                      <m:nor/>
                    </m:rPr>
                    <w:rPr>
                      <w:rFonts w:ascii="Cambria Math"/>
                    </w:rPr>
                    <m:t>RB</m:t>
                  </m:r>
                  <m:ctrlPr>
                    <w:rPr>
                      <w:rFonts w:ascii="Cambria Math" w:hAnsi="Cambria Math"/>
                    </w:rPr>
                  </m:ctrlPr>
                </m:sub>
                <m:sup>
                  <m:r>
                    <m:rPr>
                      <m:nor/>
                    </m:rPr>
                    <w:rPr>
                      <w:rFonts w:ascii="Cambria Math"/>
                    </w:rPr>
                    <m:t>CORESET</m:t>
                  </m:r>
                  <m:ctrlPr>
                    <w:rPr>
                      <w:rFonts w:ascii="Cambria Math" w:hAnsi="Cambria Math"/>
                    </w:rPr>
                  </m:ctrlPr>
                </m:sup>
              </m:sSubSup>
            </m:oMath>
          </w:p>
        </w:tc>
        <w:tc>
          <w:tcPr>
            <w:tcW w:w="1933" w:type="dxa"/>
            <w:tcBorders>
              <w:bottom w:val="double" w:sz="4" w:space="0" w:color="auto"/>
            </w:tcBorders>
            <w:shd w:val="clear" w:color="auto" w:fill="E0E0E0"/>
            <w:vAlign w:val="center"/>
          </w:tcPr>
          <w:p w14:paraId="4971ED36" w14:textId="1008AB53" w:rsidR="00092B0D" w:rsidRPr="00F548CF" w:rsidRDefault="00092B0D" w:rsidP="00092B0D">
            <w:pPr>
              <w:pStyle w:val="TAH"/>
              <w:rPr>
                <w:bCs/>
                <w:lang w:val="en-US"/>
              </w:rPr>
            </w:pPr>
            <w:r w:rsidRPr="00B27E56">
              <w:rPr>
                <w:rFonts w:cs="Arial"/>
                <w:kern w:val="24"/>
              </w:rPr>
              <w:t xml:space="preserve">Number of Symbols </w:t>
            </w:r>
            <m:oMath>
              <m:sSubSup>
                <m:sSubSupPr>
                  <m:ctrlPr>
                    <w:rPr>
                      <w:rFonts w:ascii="Cambria Math" w:hAnsi="Cambria Math"/>
                      <w:i/>
                    </w:rPr>
                  </m:ctrlPr>
                </m:sSubSupPr>
                <m:e>
                  <m:r>
                    <m:rPr>
                      <m:sty m:val="bi"/>
                    </m:rPr>
                    <w:rPr>
                      <w:rFonts w:ascii="Cambria Math"/>
                    </w:rPr>
                    <m:t>N</m:t>
                  </m:r>
                </m:e>
                <m:sub>
                  <m:r>
                    <m:rPr>
                      <m:nor/>
                    </m:rPr>
                    <w:rPr>
                      <w:rFonts w:ascii="Cambria Math"/>
                    </w:rPr>
                    <m:t>symb</m:t>
                  </m:r>
                  <m:ctrlPr>
                    <w:rPr>
                      <w:rFonts w:ascii="Cambria Math" w:hAnsi="Cambria Math"/>
                    </w:rPr>
                  </m:ctrlPr>
                </m:sub>
                <m:sup>
                  <m:r>
                    <m:rPr>
                      <m:nor/>
                    </m:rPr>
                    <w:rPr>
                      <w:rFonts w:ascii="Cambria Math"/>
                    </w:rPr>
                    <m:t>CORESET</m:t>
                  </m:r>
                  <m:ctrlPr>
                    <w:rPr>
                      <w:rFonts w:ascii="Cambria Math" w:hAnsi="Cambria Math"/>
                    </w:rPr>
                  </m:ctrlPr>
                </m:sup>
              </m:sSubSup>
            </m:oMath>
            <w:r w:rsidRPr="00B27E56">
              <w:rPr>
                <w:rFonts w:cs="Arial"/>
                <w:kern w:val="24"/>
              </w:rPr>
              <w:t xml:space="preserve"> </w:t>
            </w:r>
          </w:p>
        </w:tc>
        <w:tc>
          <w:tcPr>
            <w:tcW w:w="1393" w:type="dxa"/>
            <w:tcBorders>
              <w:bottom w:val="double" w:sz="4" w:space="0" w:color="auto"/>
            </w:tcBorders>
            <w:shd w:val="clear" w:color="auto" w:fill="E0E0E0"/>
            <w:vAlign w:val="center"/>
          </w:tcPr>
          <w:p w14:paraId="32A615C6" w14:textId="77777777" w:rsidR="00092B0D" w:rsidRPr="00E6244A" w:rsidRDefault="00092B0D" w:rsidP="00092B0D">
            <w:pPr>
              <w:pStyle w:val="TAH"/>
              <w:rPr>
                <w:bCs/>
                <w:lang w:val="en-US"/>
              </w:rPr>
            </w:pPr>
            <w:r w:rsidRPr="00737531">
              <w:rPr>
                <w:rFonts w:cs="Arial"/>
                <w:kern w:val="24"/>
              </w:rPr>
              <w:t xml:space="preserve">Offset (RBs) </w:t>
            </w:r>
          </w:p>
        </w:tc>
      </w:tr>
      <w:tr w:rsidR="009F21F0" w:rsidRPr="00F548CF" w14:paraId="7C882364" w14:textId="77777777" w:rsidTr="008E6A8A">
        <w:trPr>
          <w:cantSplit/>
        </w:trPr>
        <w:tc>
          <w:tcPr>
            <w:tcW w:w="801" w:type="dxa"/>
            <w:tcBorders>
              <w:top w:val="double" w:sz="4" w:space="0" w:color="auto"/>
              <w:right w:val="double" w:sz="4" w:space="0" w:color="auto"/>
            </w:tcBorders>
            <w:shd w:val="clear" w:color="auto" w:fill="auto"/>
            <w:vAlign w:val="center"/>
          </w:tcPr>
          <w:p w14:paraId="51BE993A" w14:textId="77777777" w:rsidR="009F21F0" w:rsidRPr="00F548CF" w:rsidRDefault="009F21F0" w:rsidP="009F21F0">
            <w:pPr>
              <w:pStyle w:val="TAC"/>
              <w:rPr>
                <w:lang w:val="en-US"/>
              </w:rPr>
            </w:pPr>
            <w:r>
              <w:rPr>
                <w:lang w:val="en-US"/>
              </w:rPr>
              <w:t>0</w:t>
            </w:r>
          </w:p>
        </w:tc>
        <w:tc>
          <w:tcPr>
            <w:tcW w:w="3473" w:type="dxa"/>
            <w:tcBorders>
              <w:top w:val="double" w:sz="4" w:space="0" w:color="auto"/>
              <w:left w:val="double" w:sz="4" w:space="0" w:color="auto"/>
            </w:tcBorders>
            <w:vAlign w:val="center"/>
          </w:tcPr>
          <w:p w14:paraId="18092681" w14:textId="77777777" w:rsidR="009F21F0" w:rsidRPr="00F548CF" w:rsidRDefault="009F21F0" w:rsidP="009F21F0">
            <w:pPr>
              <w:pStyle w:val="TAC"/>
              <w:rPr>
                <w:lang w:val="en-US"/>
              </w:rPr>
            </w:pPr>
            <w:r>
              <w:rPr>
                <w:lang w:val="en-US"/>
              </w:rPr>
              <w:t>1</w:t>
            </w:r>
          </w:p>
        </w:tc>
        <w:tc>
          <w:tcPr>
            <w:tcW w:w="1630" w:type="dxa"/>
            <w:tcBorders>
              <w:top w:val="double" w:sz="4" w:space="0" w:color="auto"/>
            </w:tcBorders>
            <w:vAlign w:val="center"/>
          </w:tcPr>
          <w:p w14:paraId="3216F3F0" w14:textId="77777777" w:rsidR="009F21F0" w:rsidRPr="00F548CF" w:rsidRDefault="009F21F0" w:rsidP="009F21F0">
            <w:pPr>
              <w:pStyle w:val="TAC"/>
              <w:rPr>
                <w:lang w:val="en-US"/>
              </w:rPr>
            </w:pPr>
            <w:r>
              <w:rPr>
                <w:lang w:val="en-US"/>
              </w:rPr>
              <w:t>24</w:t>
            </w:r>
          </w:p>
        </w:tc>
        <w:tc>
          <w:tcPr>
            <w:tcW w:w="1933" w:type="dxa"/>
            <w:tcBorders>
              <w:top w:val="double" w:sz="4" w:space="0" w:color="auto"/>
            </w:tcBorders>
            <w:vAlign w:val="center"/>
          </w:tcPr>
          <w:p w14:paraId="35990632" w14:textId="77777777" w:rsidR="009F21F0" w:rsidRPr="00F548CF" w:rsidRDefault="009F21F0" w:rsidP="009F21F0">
            <w:pPr>
              <w:pStyle w:val="TAC"/>
              <w:rPr>
                <w:lang w:val="en-US"/>
              </w:rPr>
            </w:pPr>
            <w:r>
              <w:rPr>
                <w:lang w:val="en-US"/>
              </w:rPr>
              <w:t>2</w:t>
            </w:r>
          </w:p>
        </w:tc>
        <w:tc>
          <w:tcPr>
            <w:tcW w:w="1393" w:type="dxa"/>
            <w:tcBorders>
              <w:top w:val="double" w:sz="4" w:space="0" w:color="auto"/>
            </w:tcBorders>
            <w:vAlign w:val="center"/>
          </w:tcPr>
          <w:p w14:paraId="4A8F74FE" w14:textId="77777777" w:rsidR="009F21F0" w:rsidRPr="00F548CF" w:rsidRDefault="009F21F0" w:rsidP="009F21F0">
            <w:pPr>
              <w:pStyle w:val="TAC"/>
              <w:rPr>
                <w:lang w:val="en-US"/>
              </w:rPr>
            </w:pPr>
            <w:r>
              <w:rPr>
                <w:lang w:val="en-US"/>
              </w:rPr>
              <w:t>5</w:t>
            </w:r>
          </w:p>
        </w:tc>
      </w:tr>
      <w:tr w:rsidR="009F21F0" w:rsidRPr="00F548CF" w14:paraId="4678A776" w14:textId="77777777" w:rsidTr="008E6A8A">
        <w:trPr>
          <w:cantSplit/>
        </w:trPr>
        <w:tc>
          <w:tcPr>
            <w:tcW w:w="801" w:type="dxa"/>
            <w:tcBorders>
              <w:right w:val="double" w:sz="4" w:space="0" w:color="auto"/>
            </w:tcBorders>
            <w:shd w:val="clear" w:color="auto" w:fill="auto"/>
            <w:vAlign w:val="center"/>
          </w:tcPr>
          <w:p w14:paraId="0DC29B7B" w14:textId="77777777" w:rsidR="009F21F0" w:rsidRPr="00F548CF" w:rsidRDefault="009F21F0" w:rsidP="009F21F0">
            <w:pPr>
              <w:pStyle w:val="TAC"/>
              <w:rPr>
                <w:lang w:val="en-US"/>
              </w:rPr>
            </w:pPr>
            <w:r>
              <w:rPr>
                <w:lang w:val="en-US"/>
              </w:rPr>
              <w:t>1</w:t>
            </w:r>
          </w:p>
        </w:tc>
        <w:tc>
          <w:tcPr>
            <w:tcW w:w="3473" w:type="dxa"/>
            <w:tcBorders>
              <w:left w:val="double" w:sz="4" w:space="0" w:color="auto"/>
            </w:tcBorders>
            <w:vAlign w:val="center"/>
          </w:tcPr>
          <w:p w14:paraId="7DD383BD" w14:textId="77777777" w:rsidR="009F21F0" w:rsidRPr="00F548CF" w:rsidRDefault="009F21F0" w:rsidP="009F21F0">
            <w:pPr>
              <w:pStyle w:val="TAC"/>
              <w:rPr>
                <w:rFonts w:cs="Arial"/>
                <w:kern w:val="24"/>
                <w:szCs w:val="18"/>
              </w:rPr>
            </w:pPr>
            <w:r w:rsidRPr="00F548CF">
              <w:rPr>
                <w:rFonts w:cs="Arial"/>
                <w:kern w:val="24"/>
                <w:szCs w:val="18"/>
              </w:rPr>
              <w:t>1</w:t>
            </w:r>
          </w:p>
        </w:tc>
        <w:tc>
          <w:tcPr>
            <w:tcW w:w="1630" w:type="dxa"/>
            <w:vAlign w:val="center"/>
          </w:tcPr>
          <w:p w14:paraId="3671E37F" w14:textId="77777777" w:rsidR="009F21F0" w:rsidRPr="00F548CF" w:rsidRDefault="009F21F0" w:rsidP="009F21F0">
            <w:pPr>
              <w:pStyle w:val="TAC"/>
              <w:rPr>
                <w:rFonts w:cs="Arial"/>
                <w:kern w:val="24"/>
                <w:szCs w:val="18"/>
              </w:rPr>
            </w:pPr>
            <w:r w:rsidRPr="00F548CF">
              <w:rPr>
                <w:rFonts w:cs="Arial"/>
                <w:kern w:val="24"/>
                <w:szCs w:val="18"/>
              </w:rPr>
              <w:t>24</w:t>
            </w:r>
          </w:p>
        </w:tc>
        <w:tc>
          <w:tcPr>
            <w:tcW w:w="1933" w:type="dxa"/>
            <w:vAlign w:val="center"/>
          </w:tcPr>
          <w:p w14:paraId="4A314019" w14:textId="77777777" w:rsidR="009F21F0" w:rsidRPr="00F548CF" w:rsidRDefault="009F21F0" w:rsidP="009F21F0">
            <w:pPr>
              <w:pStyle w:val="TAC"/>
              <w:rPr>
                <w:rFonts w:cs="Arial"/>
                <w:kern w:val="24"/>
                <w:szCs w:val="18"/>
              </w:rPr>
            </w:pPr>
            <w:r w:rsidRPr="00F548CF">
              <w:rPr>
                <w:rFonts w:cs="Arial"/>
                <w:kern w:val="24"/>
                <w:szCs w:val="18"/>
              </w:rPr>
              <w:t>2</w:t>
            </w:r>
          </w:p>
        </w:tc>
        <w:tc>
          <w:tcPr>
            <w:tcW w:w="1393" w:type="dxa"/>
            <w:vAlign w:val="center"/>
          </w:tcPr>
          <w:p w14:paraId="5E74EB6D" w14:textId="77777777" w:rsidR="009F21F0" w:rsidRPr="00F548CF" w:rsidRDefault="009F21F0" w:rsidP="009F21F0">
            <w:pPr>
              <w:pStyle w:val="TAC"/>
              <w:rPr>
                <w:rFonts w:cs="Arial"/>
                <w:kern w:val="24"/>
                <w:szCs w:val="18"/>
              </w:rPr>
            </w:pPr>
            <w:r w:rsidRPr="00F548CF">
              <w:rPr>
                <w:rFonts w:cs="Arial"/>
                <w:kern w:val="24"/>
                <w:szCs w:val="18"/>
              </w:rPr>
              <w:t>6</w:t>
            </w:r>
          </w:p>
        </w:tc>
      </w:tr>
      <w:tr w:rsidR="009F21F0" w:rsidRPr="00F548CF" w14:paraId="584E70FC" w14:textId="77777777" w:rsidTr="008E6A8A">
        <w:trPr>
          <w:cantSplit/>
        </w:trPr>
        <w:tc>
          <w:tcPr>
            <w:tcW w:w="801" w:type="dxa"/>
            <w:tcBorders>
              <w:right w:val="double" w:sz="4" w:space="0" w:color="auto"/>
            </w:tcBorders>
            <w:shd w:val="clear" w:color="auto" w:fill="auto"/>
            <w:vAlign w:val="center"/>
          </w:tcPr>
          <w:p w14:paraId="1DBD452B" w14:textId="77777777" w:rsidR="009F21F0" w:rsidRPr="00F548CF" w:rsidRDefault="009F21F0" w:rsidP="009F21F0">
            <w:pPr>
              <w:pStyle w:val="TAC"/>
              <w:rPr>
                <w:lang w:val="en-US"/>
              </w:rPr>
            </w:pPr>
            <w:r>
              <w:rPr>
                <w:lang w:val="en-US"/>
              </w:rPr>
              <w:t>2</w:t>
            </w:r>
          </w:p>
        </w:tc>
        <w:tc>
          <w:tcPr>
            <w:tcW w:w="3473" w:type="dxa"/>
            <w:tcBorders>
              <w:left w:val="double" w:sz="4" w:space="0" w:color="auto"/>
            </w:tcBorders>
            <w:vAlign w:val="center"/>
          </w:tcPr>
          <w:p w14:paraId="01133A4C" w14:textId="77777777" w:rsidR="009F21F0" w:rsidRPr="00F548CF" w:rsidRDefault="009F21F0" w:rsidP="009F21F0">
            <w:pPr>
              <w:pStyle w:val="TAC"/>
              <w:rPr>
                <w:lang w:val="en-US"/>
              </w:rPr>
            </w:pPr>
            <w:r w:rsidRPr="00F548CF">
              <w:rPr>
                <w:rFonts w:cs="Arial"/>
                <w:kern w:val="24"/>
                <w:szCs w:val="18"/>
              </w:rPr>
              <w:t>1</w:t>
            </w:r>
          </w:p>
        </w:tc>
        <w:tc>
          <w:tcPr>
            <w:tcW w:w="1630" w:type="dxa"/>
            <w:vAlign w:val="center"/>
          </w:tcPr>
          <w:p w14:paraId="59B02783" w14:textId="77777777" w:rsidR="009F21F0" w:rsidRPr="00F548CF" w:rsidRDefault="009F21F0" w:rsidP="009F21F0">
            <w:pPr>
              <w:pStyle w:val="TAC"/>
              <w:rPr>
                <w:lang w:val="en-US"/>
              </w:rPr>
            </w:pPr>
            <w:r w:rsidRPr="00F548CF">
              <w:rPr>
                <w:rFonts w:cs="Arial"/>
                <w:kern w:val="24"/>
                <w:szCs w:val="18"/>
              </w:rPr>
              <w:t>24</w:t>
            </w:r>
          </w:p>
        </w:tc>
        <w:tc>
          <w:tcPr>
            <w:tcW w:w="1933" w:type="dxa"/>
            <w:vAlign w:val="center"/>
          </w:tcPr>
          <w:p w14:paraId="55E8A561" w14:textId="77777777" w:rsidR="009F21F0" w:rsidRPr="00F548CF" w:rsidRDefault="009F21F0" w:rsidP="009F21F0">
            <w:pPr>
              <w:pStyle w:val="TAC"/>
              <w:rPr>
                <w:lang w:val="en-US"/>
              </w:rPr>
            </w:pPr>
            <w:r w:rsidRPr="00F548CF">
              <w:rPr>
                <w:rFonts w:cs="Arial"/>
                <w:kern w:val="24"/>
                <w:szCs w:val="18"/>
              </w:rPr>
              <w:t>2</w:t>
            </w:r>
          </w:p>
        </w:tc>
        <w:tc>
          <w:tcPr>
            <w:tcW w:w="1393" w:type="dxa"/>
            <w:vAlign w:val="center"/>
          </w:tcPr>
          <w:p w14:paraId="591D68E8" w14:textId="77777777" w:rsidR="009F21F0" w:rsidRPr="00F548CF" w:rsidRDefault="009F21F0" w:rsidP="009F21F0">
            <w:pPr>
              <w:pStyle w:val="TAC"/>
              <w:rPr>
                <w:lang w:val="en-US"/>
              </w:rPr>
            </w:pPr>
            <w:r w:rsidRPr="00F548CF">
              <w:rPr>
                <w:rFonts w:cs="Arial"/>
                <w:kern w:val="24"/>
                <w:szCs w:val="18"/>
              </w:rPr>
              <w:t>7</w:t>
            </w:r>
          </w:p>
        </w:tc>
      </w:tr>
      <w:tr w:rsidR="009F21F0" w:rsidRPr="00F548CF" w14:paraId="775007AB" w14:textId="77777777" w:rsidTr="008E6A8A">
        <w:trPr>
          <w:cantSplit/>
        </w:trPr>
        <w:tc>
          <w:tcPr>
            <w:tcW w:w="801" w:type="dxa"/>
            <w:tcBorders>
              <w:right w:val="double" w:sz="4" w:space="0" w:color="auto"/>
            </w:tcBorders>
            <w:shd w:val="clear" w:color="auto" w:fill="auto"/>
            <w:vAlign w:val="center"/>
          </w:tcPr>
          <w:p w14:paraId="5451522E" w14:textId="77777777" w:rsidR="009F21F0" w:rsidRPr="00F548CF" w:rsidRDefault="009F21F0" w:rsidP="009F21F0">
            <w:pPr>
              <w:pStyle w:val="TAC"/>
            </w:pPr>
            <w:r>
              <w:t>3</w:t>
            </w:r>
          </w:p>
        </w:tc>
        <w:tc>
          <w:tcPr>
            <w:tcW w:w="3473" w:type="dxa"/>
            <w:tcBorders>
              <w:left w:val="double" w:sz="4" w:space="0" w:color="auto"/>
            </w:tcBorders>
            <w:vAlign w:val="center"/>
          </w:tcPr>
          <w:p w14:paraId="4ECA985C" w14:textId="77777777" w:rsidR="009F21F0" w:rsidRPr="00F548CF" w:rsidRDefault="009F21F0" w:rsidP="009F21F0">
            <w:pPr>
              <w:pStyle w:val="TAC"/>
            </w:pPr>
            <w:r w:rsidRPr="00F548CF">
              <w:rPr>
                <w:rFonts w:cs="Arial"/>
                <w:kern w:val="24"/>
                <w:szCs w:val="18"/>
              </w:rPr>
              <w:t>1</w:t>
            </w:r>
          </w:p>
        </w:tc>
        <w:tc>
          <w:tcPr>
            <w:tcW w:w="1630" w:type="dxa"/>
            <w:vAlign w:val="center"/>
          </w:tcPr>
          <w:p w14:paraId="4D43DF9B" w14:textId="77777777" w:rsidR="009F21F0" w:rsidRPr="00F548CF" w:rsidRDefault="009F21F0" w:rsidP="009F21F0">
            <w:pPr>
              <w:pStyle w:val="TAC"/>
            </w:pPr>
            <w:r w:rsidRPr="00F548CF">
              <w:rPr>
                <w:rFonts w:cs="Arial"/>
                <w:kern w:val="24"/>
                <w:szCs w:val="18"/>
              </w:rPr>
              <w:t>24</w:t>
            </w:r>
          </w:p>
        </w:tc>
        <w:tc>
          <w:tcPr>
            <w:tcW w:w="1933" w:type="dxa"/>
            <w:vAlign w:val="center"/>
          </w:tcPr>
          <w:p w14:paraId="3FE62383" w14:textId="77777777" w:rsidR="009F21F0" w:rsidRPr="00F548CF" w:rsidRDefault="009F21F0" w:rsidP="009F21F0">
            <w:pPr>
              <w:pStyle w:val="TAC"/>
            </w:pPr>
            <w:r w:rsidRPr="00F548CF">
              <w:rPr>
                <w:rFonts w:cs="Arial"/>
                <w:kern w:val="24"/>
                <w:szCs w:val="18"/>
              </w:rPr>
              <w:t>2</w:t>
            </w:r>
          </w:p>
        </w:tc>
        <w:tc>
          <w:tcPr>
            <w:tcW w:w="1393" w:type="dxa"/>
            <w:vAlign w:val="center"/>
          </w:tcPr>
          <w:p w14:paraId="7AED2922" w14:textId="77777777" w:rsidR="009F21F0" w:rsidRPr="00F548CF" w:rsidRDefault="009F21F0" w:rsidP="009F21F0">
            <w:pPr>
              <w:pStyle w:val="TAC"/>
            </w:pPr>
            <w:r w:rsidRPr="00F548CF">
              <w:rPr>
                <w:rFonts w:cs="Arial"/>
                <w:kern w:val="24"/>
                <w:szCs w:val="18"/>
              </w:rPr>
              <w:t>8</w:t>
            </w:r>
          </w:p>
        </w:tc>
      </w:tr>
      <w:tr w:rsidR="009F21F0" w:rsidRPr="00F548CF" w14:paraId="32CADD26" w14:textId="77777777" w:rsidTr="008E6A8A">
        <w:trPr>
          <w:cantSplit/>
        </w:trPr>
        <w:tc>
          <w:tcPr>
            <w:tcW w:w="801" w:type="dxa"/>
            <w:tcBorders>
              <w:right w:val="double" w:sz="4" w:space="0" w:color="auto"/>
            </w:tcBorders>
            <w:shd w:val="clear" w:color="auto" w:fill="auto"/>
            <w:vAlign w:val="center"/>
          </w:tcPr>
          <w:p w14:paraId="544310F3" w14:textId="77777777" w:rsidR="009F21F0" w:rsidRDefault="009F21F0" w:rsidP="009F21F0">
            <w:pPr>
              <w:pStyle w:val="TAC"/>
            </w:pPr>
            <w:r>
              <w:t>4</w:t>
            </w:r>
          </w:p>
        </w:tc>
        <w:tc>
          <w:tcPr>
            <w:tcW w:w="3473" w:type="dxa"/>
            <w:tcBorders>
              <w:left w:val="double" w:sz="4" w:space="0" w:color="auto"/>
            </w:tcBorders>
            <w:vAlign w:val="center"/>
          </w:tcPr>
          <w:p w14:paraId="2BEE0E6C" w14:textId="77777777" w:rsidR="009F21F0" w:rsidRPr="00F548CF" w:rsidRDefault="009F21F0" w:rsidP="009F21F0">
            <w:pPr>
              <w:pStyle w:val="TAC"/>
              <w:rPr>
                <w:rFonts w:cs="Arial"/>
                <w:kern w:val="24"/>
                <w:szCs w:val="18"/>
              </w:rPr>
            </w:pPr>
            <w:r>
              <w:rPr>
                <w:rFonts w:cs="Arial"/>
                <w:kern w:val="24"/>
                <w:szCs w:val="18"/>
              </w:rPr>
              <w:t>1</w:t>
            </w:r>
          </w:p>
        </w:tc>
        <w:tc>
          <w:tcPr>
            <w:tcW w:w="1630" w:type="dxa"/>
            <w:vAlign w:val="center"/>
          </w:tcPr>
          <w:p w14:paraId="66AC1E66" w14:textId="77777777" w:rsidR="009F21F0" w:rsidRPr="00F548CF" w:rsidRDefault="009F21F0" w:rsidP="009F21F0">
            <w:pPr>
              <w:pStyle w:val="TAC"/>
              <w:rPr>
                <w:rFonts w:cs="Arial"/>
                <w:kern w:val="24"/>
                <w:szCs w:val="18"/>
              </w:rPr>
            </w:pPr>
            <w:r>
              <w:rPr>
                <w:rFonts w:cs="Arial"/>
                <w:kern w:val="24"/>
                <w:szCs w:val="18"/>
              </w:rPr>
              <w:t>24</w:t>
            </w:r>
          </w:p>
        </w:tc>
        <w:tc>
          <w:tcPr>
            <w:tcW w:w="1933" w:type="dxa"/>
            <w:vAlign w:val="center"/>
          </w:tcPr>
          <w:p w14:paraId="74170EBC" w14:textId="77777777" w:rsidR="009F21F0" w:rsidRPr="00F548CF" w:rsidRDefault="009F21F0" w:rsidP="009F21F0">
            <w:pPr>
              <w:pStyle w:val="TAC"/>
              <w:rPr>
                <w:rFonts w:cs="Arial"/>
                <w:kern w:val="24"/>
                <w:szCs w:val="18"/>
              </w:rPr>
            </w:pPr>
            <w:r>
              <w:rPr>
                <w:rFonts w:cs="Arial"/>
                <w:kern w:val="24"/>
                <w:szCs w:val="18"/>
              </w:rPr>
              <w:t>3</w:t>
            </w:r>
          </w:p>
        </w:tc>
        <w:tc>
          <w:tcPr>
            <w:tcW w:w="1393" w:type="dxa"/>
            <w:vAlign w:val="center"/>
          </w:tcPr>
          <w:p w14:paraId="339D40C7" w14:textId="77777777" w:rsidR="009F21F0" w:rsidRPr="00F548CF" w:rsidRDefault="009F21F0" w:rsidP="009F21F0">
            <w:pPr>
              <w:pStyle w:val="TAC"/>
              <w:rPr>
                <w:rFonts w:cs="Arial"/>
                <w:kern w:val="24"/>
                <w:szCs w:val="18"/>
              </w:rPr>
            </w:pPr>
            <w:r>
              <w:rPr>
                <w:rFonts w:cs="Arial"/>
                <w:kern w:val="24"/>
                <w:szCs w:val="18"/>
              </w:rPr>
              <w:t>5</w:t>
            </w:r>
          </w:p>
        </w:tc>
      </w:tr>
      <w:tr w:rsidR="009F21F0" w:rsidRPr="00F548CF" w14:paraId="1EF3A424" w14:textId="77777777" w:rsidTr="008E6A8A">
        <w:trPr>
          <w:cantSplit/>
        </w:trPr>
        <w:tc>
          <w:tcPr>
            <w:tcW w:w="801" w:type="dxa"/>
            <w:tcBorders>
              <w:right w:val="double" w:sz="4" w:space="0" w:color="auto"/>
            </w:tcBorders>
            <w:shd w:val="clear" w:color="auto" w:fill="auto"/>
            <w:vAlign w:val="center"/>
          </w:tcPr>
          <w:p w14:paraId="2B92BFE4" w14:textId="77777777" w:rsidR="009F21F0" w:rsidRPr="00F548CF" w:rsidRDefault="009F21F0" w:rsidP="009F21F0">
            <w:pPr>
              <w:pStyle w:val="TAC"/>
            </w:pPr>
            <w:r>
              <w:t>5</w:t>
            </w:r>
          </w:p>
        </w:tc>
        <w:tc>
          <w:tcPr>
            <w:tcW w:w="3473" w:type="dxa"/>
            <w:tcBorders>
              <w:left w:val="double" w:sz="4" w:space="0" w:color="auto"/>
            </w:tcBorders>
            <w:vAlign w:val="center"/>
          </w:tcPr>
          <w:p w14:paraId="37D85370" w14:textId="77777777" w:rsidR="009F21F0" w:rsidRPr="00F548CF" w:rsidRDefault="009F21F0" w:rsidP="009F21F0">
            <w:pPr>
              <w:pStyle w:val="TAC"/>
            </w:pPr>
            <w:r w:rsidRPr="00F548CF">
              <w:rPr>
                <w:rFonts w:cs="Arial"/>
                <w:kern w:val="24"/>
                <w:szCs w:val="18"/>
              </w:rPr>
              <w:t>1</w:t>
            </w:r>
          </w:p>
        </w:tc>
        <w:tc>
          <w:tcPr>
            <w:tcW w:w="1630" w:type="dxa"/>
            <w:vAlign w:val="center"/>
          </w:tcPr>
          <w:p w14:paraId="0105BFB7" w14:textId="77777777" w:rsidR="009F21F0" w:rsidRPr="00F548CF" w:rsidRDefault="009F21F0" w:rsidP="009F21F0">
            <w:pPr>
              <w:pStyle w:val="TAC"/>
            </w:pPr>
            <w:r w:rsidRPr="00F548CF">
              <w:rPr>
                <w:rFonts w:cs="Arial"/>
                <w:kern w:val="24"/>
                <w:szCs w:val="18"/>
              </w:rPr>
              <w:t>24</w:t>
            </w:r>
          </w:p>
        </w:tc>
        <w:tc>
          <w:tcPr>
            <w:tcW w:w="1933" w:type="dxa"/>
            <w:vAlign w:val="center"/>
          </w:tcPr>
          <w:p w14:paraId="549882A8" w14:textId="77777777" w:rsidR="009F21F0" w:rsidRPr="00F548CF" w:rsidRDefault="009F21F0" w:rsidP="009F21F0">
            <w:pPr>
              <w:pStyle w:val="TAC"/>
            </w:pPr>
            <w:r w:rsidRPr="00F548CF">
              <w:rPr>
                <w:rFonts w:cs="Arial"/>
                <w:kern w:val="24"/>
                <w:szCs w:val="18"/>
              </w:rPr>
              <w:t>3</w:t>
            </w:r>
          </w:p>
        </w:tc>
        <w:tc>
          <w:tcPr>
            <w:tcW w:w="1393" w:type="dxa"/>
            <w:vAlign w:val="center"/>
          </w:tcPr>
          <w:p w14:paraId="79D94331" w14:textId="77777777" w:rsidR="009F21F0" w:rsidRPr="00F548CF" w:rsidRDefault="009F21F0" w:rsidP="009F21F0">
            <w:pPr>
              <w:pStyle w:val="TAC"/>
            </w:pPr>
            <w:r w:rsidRPr="00F548CF">
              <w:rPr>
                <w:rFonts w:cs="Arial"/>
                <w:kern w:val="24"/>
                <w:szCs w:val="18"/>
              </w:rPr>
              <w:t>6</w:t>
            </w:r>
          </w:p>
        </w:tc>
      </w:tr>
      <w:tr w:rsidR="009F21F0" w:rsidRPr="00F548CF" w14:paraId="41609EC3" w14:textId="77777777" w:rsidTr="008E6A8A">
        <w:trPr>
          <w:cantSplit/>
        </w:trPr>
        <w:tc>
          <w:tcPr>
            <w:tcW w:w="801" w:type="dxa"/>
            <w:tcBorders>
              <w:right w:val="double" w:sz="4" w:space="0" w:color="auto"/>
            </w:tcBorders>
            <w:shd w:val="clear" w:color="auto" w:fill="auto"/>
            <w:vAlign w:val="center"/>
          </w:tcPr>
          <w:p w14:paraId="03ECBDF1" w14:textId="77777777" w:rsidR="009F21F0" w:rsidRPr="00F548CF" w:rsidRDefault="009F21F0" w:rsidP="009F21F0">
            <w:pPr>
              <w:pStyle w:val="TAC"/>
            </w:pPr>
            <w:r>
              <w:t>6</w:t>
            </w:r>
          </w:p>
        </w:tc>
        <w:tc>
          <w:tcPr>
            <w:tcW w:w="3473" w:type="dxa"/>
            <w:tcBorders>
              <w:left w:val="double" w:sz="4" w:space="0" w:color="auto"/>
            </w:tcBorders>
            <w:vAlign w:val="center"/>
          </w:tcPr>
          <w:p w14:paraId="2C3F7741" w14:textId="77777777" w:rsidR="009F21F0" w:rsidRPr="00F548CF" w:rsidRDefault="009F21F0" w:rsidP="009F21F0">
            <w:pPr>
              <w:pStyle w:val="TAC"/>
            </w:pPr>
            <w:r w:rsidRPr="00F548CF">
              <w:rPr>
                <w:rFonts w:cs="Arial"/>
                <w:kern w:val="24"/>
                <w:szCs w:val="18"/>
              </w:rPr>
              <w:t>1</w:t>
            </w:r>
          </w:p>
        </w:tc>
        <w:tc>
          <w:tcPr>
            <w:tcW w:w="1630" w:type="dxa"/>
            <w:vAlign w:val="center"/>
          </w:tcPr>
          <w:p w14:paraId="19CED501" w14:textId="77777777" w:rsidR="009F21F0" w:rsidRPr="00F548CF" w:rsidRDefault="009F21F0" w:rsidP="009F21F0">
            <w:pPr>
              <w:pStyle w:val="TAC"/>
            </w:pPr>
            <w:r w:rsidRPr="00F548CF">
              <w:rPr>
                <w:rFonts w:cs="Arial"/>
                <w:kern w:val="24"/>
                <w:szCs w:val="18"/>
              </w:rPr>
              <w:t>24</w:t>
            </w:r>
          </w:p>
        </w:tc>
        <w:tc>
          <w:tcPr>
            <w:tcW w:w="1933" w:type="dxa"/>
            <w:vAlign w:val="center"/>
          </w:tcPr>
          <w:p w14:paraId="2ECE396B" w14:textId="77777777" w:rsidR="009F21F0" w:rsidRPr="00F548CF" w:rsidRDefault="009F21F0" w:rsidP="009F21F0">
            <w:pPr>
              <w:pStyle w:val="TAC"/>
            </w:pPr>
            <w:r w:rsidRPr="00F548CF">
              <w:rPr>
                <w:rFonts w:cs="Arial"/>
                <w:kern w:val="24"/>
                <w:szCs w:val="18"/>
              </w:rPr>
              <w:t>3</w:t>
            </w:r>
          </w:p>
        </w:tc>
        <w:tc>
          <w:tcPr>
            <w:tcW w:w="1393" w:type="dxa"/>
            <w:vAlign w:val="center"/>
          </w:tcPr>
          <w:p w14:paraId="387D7E3C" w14:textId="77777777" w:rsidR="009F21F0" w:rsidRPr="00F548CF" w:rsidRDefault="009F21F0" w:rsidP="009F21F0">
            <w:pPr>
              <w:pStyle w:val="TAC"/>
            </w:pPr>
            <w:r w:rsidRPr="00F548CF">
              <w:rPr>
                <w:rFonts w:cs="Arial"/>
                <w:kern w:val="24"/>
                <w:szCs w:val="18"/>
              </w:rPr>
              <w:t>7</w:t>
            </w:r>
          </w:p>
        </w:tc>
      </w:tr>
      <w:tr w:rsidR="009F21F0" w:rsidRPr="00F548CF" w14:paraId="0E3D1F7C" w14:textId="77777777" w:rsidTr="008E6A8A">
        <w:trPr>
          <w:cantSplit/>
        </w:trPr>
        <w:tc>
          <w:tcPr>
            <w:tcW w:w="801" w:type="dxa"/>
            <w:tcBorders>
              <w:right w:val="double" w:sz="4" w:space="0" w:color="auto"/>
            </w:tcBorders>
            <w:shd w:val="clear" w:color="auto" w:fill="auto"/>
            <w:vAlign w:val="center"/>
          </w:tcPr>
          <w:p w14:paraId="32B765F3" w14:textId="77777777" w:rsidR="009F21F0" w:rsidRPr="00F548CF" w:rsidRDefault="009F21F0" w:rsidP="009F21F0">
            <w:pPr>
              <w:pStyle w:val="TAC"/>
            </w:pPr>
            <w:r>
              <w:t>7</w:t>
            </w:r>
          </w:p>
        </w:tc>
        <w:tc>
          <w:tcPr>
            <w:tcW w:w="3473" w:type="dxa"/>
            <w:tcBorders>
              <w:left w:val="double" w:sz="4" w:space="0" w:color="auto"/>
            </w:tcBorders>
            <w:vAlign w:val="center"/>
          </w:tcPr>
          <w:p w14:paraId="40CEDD37" w14:textId="77777777" w:rsidR="009F21F0" w:rsidRPr="00F548CF" w:rsidRDefault="009F21F0" w:rsidP="009F21F0">
            <w:pPr>
              <w:pStyle w:val="TAC"/>
            </w:pPr>
            <w:r w:rsidRPr="00F548CF">
              <w:rPr>
                <w:rFonts w:cs="Arial"/>
                <w:kern w:val="24"/>
                <w:szCs w:val="18"/>
              </w:rPr>
              <w:t>1</w:t>
            </w:r>
          </w:p>
        </w:tc>
        <w:tc>
          <w:tcPr>
            <w:tcW w:w="1630" w:type="dxa"/>
            <w:vAlign w:val="center"/>
          </w:tcPr>
          <w:p w14:paraId="5B095AD3" w14:textId="77777777" w:rsidR="009F21F0" w:rsidRPr="00F548CF" w:rsidRDefault="009F21F0" w:rsidP="009F21F0">
            <w:pPr>
              <w:pStyle w:val="TAC"/>
            </w:pPr>
            <w:r w:rsidRPr="00F548CF">
              <w:rPr>
                <w:rFonts w:cs="Arial"/>
                <w:kern w:val="24"/>
                <w:szCs w:val="18"/>
              </w:rPr>
              <w:t>24</w:t>
            </w:r>
          </w:p>
        </w:tc>
        <w:tc>
          <w:tcPr>
            <w:tcW w:w="1933" w:type="dxa"/>
            <w:vAlign w:val="center"/>
          </w:tcPr>
          <w:p w14:paraId="10EE344F" w14:textId="77777777" w:rsidR="009F21F0" w:rsidRPr="00F548CF" w:rsidRDefault="009F21F0" w:rsidP="009F21F0">
            <w:pPr>
              <w:pStyle w:val="TAC"/>
            </w:pPr>
            <w:r w:rsidRPr="00F548CF">
              <w:rPr>
                <w:rFonts w:cs="Arial"/>
                <w:kern w:val="24"/>
                <w:szCs w:val="18"/>
              </w:rPr>
              <w:t>3</w:t>
            </w:r>
          </w:p>
        </w:tc>
        <w:tc>
          <w:tcPr>
            <w:tcW w:w="1393" w:type="dxa"/>
            <w:vAlign w:val="center"/>
          </w:tcPr>
          <w:p w14:paraId="1D598482" w14:textId="77777777" w:rsidR="009F21F0" w:rsidRPr="00F548CF" w:rsidRDefault="009F21F0" w:rsidP="009F21F0">
            <w:pPr>
              <w:pStyle w:val="TAC"/>
            </w:pPr>
            <w:r w:rsidRPr="00F548CF">
              <w:rPr>
                <w:rFonts w:cs="Arial"/>
                <w:kern w:val="24"/>
                <w:szCs w:val="18"/>
              </w:rPr>
              <w:t>8</w:t>
            </w:r>
          </w:p>
        </w:tc>
      </w:tr>
      <w:tr w:rsidR="009F21F0" w:rsidRPr="00F548CF" w14:paraId="07056530" w14:textId="77777777" w:rsidTr="008E6A8A">
        <w:trPr>
          <w:cantSplit/>
        </w:trPr>
        <w:tc>
          <w:tcPr>
            <w:tcW w:w="801" w:type="dxa"/>
            <w:tcBorders>
              <w:right w:val="double" w:sz="4" w:space="0" w:color="auto"/>
            </w:tcBorders>
            <w:shd w:val="clear" w:color="auto" w:fill="auto"/>
            <w:vAlign w:val="center"/>
          </w:tcPr>
          <w:p w14:paraId="59ED8A9F" w14:textId="77777777" w:rsidR="009F21F0" w:rsidRPr="00F548CF" w:rsidRDefault="009F21F0" w:rsidP="009F21F0">
            <w:pPr>
              <w:pStyle w:val="TAC"/>
            </w:pPr>
            <w:r>
              <w:t>8</w:t>
            </w:r>
          </w:p>
        </w:tc>
        <w:tc>
          <w:tcPr>
            <w:tcW w:w="3473" w:type="dxa"/>
            <w:tcBorders>
              <w:left w:val="double" w:sz="4" w:space="0" w:color="auto"/>
            </w:tcBorders>
            <w:vAlign w:val="center"/>
          </w:tcPr>
          <w:p w14:paraId="08EBE6E8" w14:textId="77777777" w:rsidR="009F21F0" w:rsidRPr="00F548CF" w:rsidRDefault="009F21F0" w:rsidP="009F21F0">
            <w:pPr>
              <w:pStyle w:val="TAC"/>
            </w:pPr>
            <w:r w:rsidRPr="00F548CF">
              <w:rPr>
                <w:rFonts w:cs="Arial"/>
                <w:kern w:val="24"/>
                <w:szCs w:val="18"/>
              </w:rPr>
              <w:t>1</w:t>
            </w:r>
          </w:p>
        </w:tc>
        <w:tc>
          <w:tcPr>
            <w:tcW w:w="1630" w:type="dxa"/>
            <w:vAlign w:val="center"/>
          </w:tcPr>
          <w:p w14:paraId="5D061065" w14:textId="77777777" w:rsidR="009F21F0" w:rsidRPr="00F548CF" w:rsidRDefault="009F21F0" w:rsidP="009F21F0">
            <w:pPr>
              <w:pStyle w:val="TAC"/>
            </w:pPr>
            <w:r w:rsidRPr="00F548CF">
              <w:rPr>
                <w:rFonts w:cs="Arial"/>
                <w:kern w:val="24"/>
                <w:szCs w:val="18"/>
              </w:rPr>
              <w:t>48</w:t>
            </w:r>
          </w:p>
        </w:tc>
        <w:tc>
          <w:tcPr>
            <w:tcW w:w="1933" w:type="dxa"/>
            <w:vAlign w:val="center"/>
          </w:tcPr>
          <w:p w14:paraId="4CAFE2C9" w14:textId="77777777" w:rsidR="009F21F0" w:rsidRPr="00F548CF" w:rsidRDefault="009F21F0" w:rsidP="009F21F0">
            <w:pPr>
              <w:pStyle w:val="TAC"/>
            </w:pPr>
            <w:r w:rsidRPr="00F548CF">
              <w:rPr>
                <w:rFonts w:cs="Arial"/>
                <w:kern w:val="24"/>
                <w:szCs w:val="18"/>
              </w:rPr>
              <w:t>1</w:t>
            </w:r>
          </w:p>
        </w:tc>
        <w:tc>
          <w:tcPr>
            <w:tcW w:w="1393" w:type="dxa"/>
            <w:vAlign w:val="center"/>
          </w:tcPr>
          <w:p w14:paraId="129C08AC" w14:textId="77777777" w:rsidR="009F21F0" w:rsidRPr="00F548CF" w:rsidRDefault="009F21F0" w:rsidP="009F21F0">
            <w:pPr>
              <w:pStyle w:val="TAC"/>
            </w:pPr>
            <w:r w:rsidRPr="00F548CF">
              <w:rPr>
                <w:rFonts w:cs="Arial"/>
                <w:kern w:val="24"/>
                <w:szCs w:val="18"/>
              </w:rPr>
              <w:t>18</w:t>
            </w:r>
          </w:p>
        </w:tc>
      </w:tr>
      <w:tr w:rsidR="009F21F0" w:rsidRPr="00F548CF" w14:paraId="543BCB86" w14:textId="77777777" w:rsidTr="008E6A8A">
        <w:trPr>
          <w:cantSplit/>
        </w:trPr>
        <w:tc>
          <w:tcPr>
            <w:tcW w:w="801" w:type="dxa"/>
            <w:tcBorders>
              <w:right w:val="double" w:sz="4" w:space="0" w:color="auto"/>
            </w:tcBorders>
            <w:shd w:val="clear" w:color="auto" w:fill="auto"/>
            <w:vAlign w:val="center"/>
          </w:tcPr>
          <w:p w14:paraId="7507867A" w14:textId="77777777" w:rsidR="009F21F0" w:rsidRPr="00F548CF" w:rsidRDefault="009F21F0" w:rsidP="009F21F0">
            <w:pPr>
              <w:pStyle w:val="TAC"/>
            </w:pPr>
            <w:r>
              <w:t>9</w:t>
            </w:r>
          </w:p>
        </w:tc>
        <w:tc>
          <w:tcPr>
            <w:tcW w:w="3473" w:type="dxa"/>
            <w:tcBorders>
              <w:left w:val="double" w:sz="4" w:space="0" w:color="auto"/>
            </w:tcBorders>
            <w:vAlign w:val="center"/>
          </w:tcPr>
          <w:p w14:paraId="3CBEDE52" w14:textId="77777777" w:rsidR="009F21F0" w:rsidRPr="00F548CF" w:rsidRDefault="009F21F0" w:rsidP="009F21F0">
            <w:pPr>
              <w:pStyle w:val="TAC"/>
            </w:pPr>
            <w:r w:rsidRPr="00F548CF">
              <w:rPr>
                <w:rFonts w:cs="Arial"/>
                <w:kern w:val="24"/>
                <w:szCs w:val="18"/>
              </w:rPr>
              <w:t>1</w:t>
            </w:r>
          </w:p>
        </w:tc>
        <w:tc>
          <w:tcPr>
            <w:tcW w:w="1630" w:type="dxa"/>
            <w:vAlign w:val="center"/>
          </w:tcPr>
          <w:p w14:paraId="0163CE21" w14:textId="77777777" w:rsidR="009F21F0" w:rsidRPr="00F548CF" w:rsidRDefault="009F21F0" w:rsidP="009F21F0">
            <w:pPr>
              <w:pStyle w:val="TAC"/>
            </w:pPr>
            <w:r w:rsidRPr="00F548CF">
              <w:rPr>
                <w:rFonts w:cs="Arial"/>
                <w:kern w:val="24"/>
                <w:szCs w:val="18"/>
              </w:rPr>
              <w:t>48</w:t>
            </w:r>
          </w:p>
        </w:tc>
        <w:tc>
          <w:tcPr>
            <w:tcW w:w="1933" w:type="dxa"/>
            <w:vAlign w:val="center"/>
          </w:tcPr>
          <w:p w14:paraId="6CE76F66" w14:textId="77777777" w:rsidR="009F21F0" w:rsidRPr="00F548CF" w:rsidRDefault="009F21F0" w:rsidP="009F21F0">
            <w:pPr>
              <w:pStyle w:val="TAC"/>
            </w:pPr>
            <w:r w:rsidRPr="00F548CF">
              <w:rPr>
                <w:rFonts w:cs="Arial"/>
                <w:kern w:val="24"/>
                <w:szCs w:val="18"/>
              </w:rPr>
              <w:t>1</w:t>
            </w:r>
          </w:p>
        </w:tc>
        <w:tc>
          <w:tcPr>
            <w:tcW w:w="1393" w:type="dxa"/>
            <w:vAlign w:val="center"/>
          </w:tcPr>
          <w:p w14:paraId="05A98ABB" w14:textId="77777777" w:rsidR="009F21F0" w:rsidRPr="00F548CF" w:rsidRDefault="009F21F0" w:rsidP="009F21F0">
            <w:pPr>
              <w:pStyle w:val="TAC"/>
            </w:pPr>
            <w:r w:rsidRPr="00F548CF">
              <w:rPr>
                <w:rFonts w:cs="Arial"/>
                <w:kern w:val="24"/>
                <w:szCs w:val="18"/>
              </w:rPr>
              <w:t>20</w:t>
            </w:r>
          </w:p>
        </w:tc>
      </w:tr>
      <w:tr w:rsidR="009F21F0" w:rsidRPr="00F548CF" w14:paraId="444EA4E8" w14:textId="77777777" w:rsidTr="008E6A8A">
        <w:trPr>
          <w:cantSplit/>
        </w:trPr>
        <w:tc>
          <w:tcPr>
            <w:tcW w:w="801" w:type="dxa"/>
            <w:tcBorders>
              <w:right w:val="double" w:sz="4" w:space="0" w:color="auto"/>
            </w:tcBorders>
            <w:shd w:val="clear" w:color="auto" w:fill="auto"/>
            <w:vAlign w:val="center"/>
          </w:tcPr>
          <w:p w14:paraId="14FBB83D" w14:textId="77777777" w:rsidR="009F21F0" w:rsidRPr="00F548CF" w:rsidRDefault="009F21F0" w:rsidP="009F21F0">
            <w:pPr>
              <w:pStyle w:val="TAC"/>
            </w:pPr>
            <w:r>
              <w:t>10</w:t>
            </w:r>
          </w:p>
        </w:tc>
        <w:tc>
          <w:tcPr>
            <w:tcW w:w="3473" w:type="dxa"/>
            <w:tcBorders>
              <w:left w:val="double" w:sz="4" w:space="0" w:color="auto"/>
            </w:tcBorders>
            <w:vAlign w:val="center"/>
          </w:tcPr>
          <w:p w14:paraId="17D7A67F" w14:textId="77777777" w:rsidR="009F21F0" w:rsidRPr="00F548CF" w:rsidRDefault="009F21F0" w:rsidP="009F21F0">
            <w:pPr>
              <w:pStyle w:val="TAC"/>
            </w:pPr>
            <w:r w:rsidRPr="00F548CF">
              <w:rPr>
                <w:rFonts w:cs="Arial"/>
                <w:kern w:val="24"/>
                <w:szCs w:val="18"/>
              </w:rPr>
              <w:t>1</w:t>
            </w:r>
          </w:p>
        </w:tc>
        <w:tc>
          <w:tcPr>
            <w:tcW w:w="1630" w:type="dxa"/>
            <w:vAlign w:val="center"/>
          </w:tcPr>
          <w:p w14:paraId="471B21AA" w14:textId="77777777" w:rsidR="009F21F0" w:rsidRPr="00F548CF" w:rsidRDefault="009F21F0" w:rsidP="009F21F0">
            <w:pPr>
              <w:pStyle w:val="TAC"/>
            </w:pPr>
            <w:r w:rsidRPr="00F548CF">
              <w:rPr>
                <w:rFonts w:cs="Arial"/>
                <w:kern w:val="24"/>
                <w:szCs w:val="18"/>
              </w:rPr>
              <w:t>48</w:t>
            </w:r>
          </w:p>
        </w:tc>
        <w:tc>
          <w:tcPr>
            <w:tcW w:w="1933" w:type="dxa"/>
            <w:vAlign w:val="center"/>
          </w:tcPr>
          <w:p w14:paraId="76E75431" w14:textId="77777777" w:rsidR="009F21F0" w:rsidRPr="00F548CF" w:rsidRDefault="009F21F0" w:rsidP="009F21F0">
            <w:pPr>
              <w:pStyle w:val="TAC"/>
            </w:pPr>
            <w:r w:rsidRPr="00F548CF">
              <w:rPr>
                <w:rFonts w:cs="Arial"/>
                <w:kern w:val="24"/>
                <w:szCs w:val="18"/>
              </w:rPr>
              <w:t>2</w:t>
            </w:r>
          </w:p>
        </w:tc>
        <w:tc>
          <w:tcPr>
            <w:tcW w:w="1393" w:type="dxa"/>
            <w:vAlign w:val="center"/>
          </w:tcPr>
          <w:p w14:paraId="2395C90C" w14:textId="77777777" w:rsidR="009F21F0" w:rsidRPr="00F548CF" w:rsidRDefault="009F21F0" w:rsidP="009F21F0">
            <w:pPr>
              <w:pStyle w:val="TAC"/>
            </w:pPr>
            <w:r w:rsidRPr="00F548CF">
              <w:rPr>
                <w:rFonts w:cs="Arial"/>
                <w:kern w:val="24"/>
                <w:szCs w:val="18"/>
              </w:rPr>
              <w:t>18</w:t>
            </w:r>
          </w:p>
        </w:tc>
      </w:tr>
      <w:tr w:rsidR="009F21F0" w:rsidRPr="00F548CF" w14:paraId="754B2340" w14:textId="77777777" w:rsidTr="008E6A8A">
        <w:trPr>
          <w:cantSplit/>
        </w:trPr>
        <w:tc>
          <w:tcPr>
            <w:tcW w:w="801" w:type="dxa"/>
            <w:tcBorders>
              <w:right w:val="double" w:sz="4" w:space="0" w:color="auto"/>
            </w:tcBorders>
            <w:shd w:val="clear" w:color="auto" w:fill="auto"/>
            <w:vAlign w:val="center"/>
          </w:tcPr>
          <w:p w14:paraId="18192011" w14:textId="77777777" w:rsidR="009F21F0" w:rsidRPr="00F548CF" w:rsidRDefault="009F21F0" w:rsidP="009F21F0">
            <w:pPr>
              <w:pStyle w:val="TAC"/>
            </w:pPr>
            <w:r>
              <w:t>11</w:t>
            </w:r>
          </w:p>
        </w:tc>
        <w:tc>
          <w:tcPr>
            <w:tcW w:w="3473" w:type="dxa"/>
            <w:tcBorders>
              <w:left w:val="double" w:sz="4" w:space="0" w:color="auto"/>
            </w:tcBorders>
            <w:vAlign w:val="center"/>
          </w:tcPr>
          <w:p w14:paraId="16EFE01B" w14:textId="77777777" w:rsidR="009F21F0" w:rsidRPr="00F548CF" w:rsidRDefault="009F21F0" w:rsidP="009F21F0">
            <w:pPr>
              <w:pStyle w:val="TAC"/>
            </w:pPr>
            <w:r w:rsidRPr="00F548CF">
              <w:rPr>
                <w:rFonts w:cs="Arial"/>
                <w:kern w:val="24"/>
                <w:szCs w:val="18"/>
              </w:rPr>
              <w:t>1</w:t>
            </w:r>
          </w:p>
        </w:tc>
        <w:tc>
          <w:tcPr>
            <w:tcW w:w="1630" w:type="dxa"/>
            <w:vAlign w:val="center"/>
          </w:tcPr>
          <w:p w14:paraId="0B751A91" w14:textId="77777777" w:rsidR="009F21F0" w:rsidRPr="00F548CF" w:rsidRDefault="009F21F0" w:rsidP="009F21F0">
            <w:pPr>
              <w:pStyle w:val="TAC"/>
            </w:pPr>
            <w:r w:rsidRPr="00F548CF">
              <w:rPr>
                <w:rFonts w:cs="Arial"/>
                <w:kern w:val="24"/>
                <w:szCs w:val="18"/>
              </w:rPr>
              <w:t>48</w:t>
            </w:r>
          </w:p>
        </w:tc>
        <w:tc>
          <w:tcPr>
            <w:tcW w:w="1933" w:type="dxa"/>
            <w:vAlign w:val="center"/>
          </w:tcPr>
          <w:p w14:paraId="2688ED57" w14:textId="77777777" w:rsidR="009F21F0" w:rsidRPr="00F548CF" w:rsidRDefault="009F21F0" w:rsidP="009F21F0">
            <w:pPr>
              <w:pStyle w:val="TAC"/>
            </w:pPr>
            <w:r w:rsidRPr="00F548CF">
              <w:rPr>
                <w:rFonts w:cs="Arial"/>
                <w:kern w:val="24"/>
                <w:szCs w:val="18"/>
              </w:rPr>
              <w:t>2</w:t>
            </w:r>
          </w:p>
        </w:tc>
        <w:tc>
          <w:tcPr>
            <w:tcW w:w="1393" w:type="dxa"/>
            <w:vAlign w:val="center"/>
          </w:tcPr>
          <w:p w14:paraId="6E05F313" w14:textId="77777777" w:rsidR="009F21F0" w:rsidRPr="00F548CF" w:rsidRDefault="009F21F0" w:rsidP="009F21F0">
            <w:pPr>
              <w:pStyle w:val="TAC"/>
            </w:pPr>
            <w:r w:rsidRPr="00F548CF">
              <w:rPr>
                <w:rFonts w:cs="Arial"/>
                <w:kern w:val="24"/>
                <w:szCs w:val="18"/>
              </w:rPr>
              <w:t>20</w:t>
            </w:r>
          </w:p>
        </w:tc>
      </w:tr>
      <w:tr w:rsidR="009F21F0" w:rsidRPr="00F548CF" w14:paraId="5CB4BBA5" w14:textId="77777777" w:rsidTr="008E6A8A">
        <w:trPr>
          <w:cantSplit/>
        </w:trPr>
        <w:tc>
          <w:tcPr>
            <w:tcW w:w="801" w:type="dxa"/>
            <w:tcBorders>
              <w:right w:val="double" w:sz="4" w:space="0" w:color="auto"/>
            </w:tcBorders>
            <w:shd w:val="clear" w:color="auto" w:fill="auto"/>
            <w:vAlign w:val="center"/>
          </w:tcPr>
          <w:p w14:paraId="5E94381F" w14:textId="77777777" w:rsidR="009F21F0" w:rsidRPr="00F548CF" w:rsidRDefault="009F21F0" w:rsidP="009F21F0">
            <w:pPr>
              <w:pStyle w:val="TAC"/>
            </w:pPr>
            <w:r w:rsidRPr="00F548CF">
              <w:t>1</w:t>
            </w:r>
            <w:r>
              <w:t>2</w:t>
            </w:r>
          </w:p>
        </w:tc>
        <w:tc>
          <w:tcPr>
            <w:tcW w:w="3473" w:type="dxa"/>
            <w:tcBorders>
              <w:left w:val="double" w:sz="4" w:space="0" w:color="auto"/>
            </w:tcBorders>
            <w:vAlign w:val="center"/>
          </w:tcPr>
          <w:p w14:paraId="7739F06C" w14:textId="77777777" w:rsidR="009F21F0" w:rsidRPr="00F548CF" w:rsidRDefault="009F21F0" w:rsidP="009F21F0">
            <w:pPr>
              <w:pStyle w:val="TAC"/>
            </w:pPr>
            <w:r w:rsidRPr="00F548CF">
              <w:rPr>
                <w:rFonts w:cs="Arial"/>
                <w:kern w:val="24"/>
                <w:szCs w:val="18"/>
              </w:rPr>
              <w:t>1</w:t>
            </w:r>
          </w:p>
        </w:tc>
        <w:tc>
          <w:tcPr>
            <w:tcW w:w="1630" w:type="dxa"/>
            <w:vAlign w:val="center"/>
          </w:tcPr>
          <w:p w14:paraId="04C96669" w14:textId="77777777" w:rsidR="009F21F0" w:rsidRPr="00F548CF" w:rsidRDefault="009F21F0" w:rsidP="009F21F0">
            <w:pPr>
              <w:pStyle w:val="TAC"/>
            </w:pPr>
            <w:r w:rsidRPr="00F548CF">
              <w:rPr>
                <w:rFonts w:cs="Arial"/>
                <w:kern w:val="24"/>
                <w:szCs w:val="18"/>
              </w:rPr>
              <w:t>48</w:t>
            </w:r>
          </w:p>
        </w:tc>
        <w:tc>
          <w:tcPr>
            <w:tcW w:w="1933" w:type="dxa"/>
            <w:vAlign w:val="center"/>
          </w:tcPr>
          <w:p w14:paraId="3D6A7155" w14:textId="77777777" w:rsidR="009F21F0" w:rsidRPr="00F548CF" w:rsidRDefault="009F21F0" w:rsidP="009F21F0">
            <w:pPr>
              <w:pStyle w:val="TAC"/>
            </w:pPr>
            <w:r w:rsidRPr="00F548CF">
              <w:rPr>
                <w:rFonts w:cs="Arial"/>
                <w:kern w:val="24"/>
                <w:szCs w:val="18"/>
              </w:rPr>
              <w:t>3</w:t>
            </w:r>
          </w:p>
        </w:tc>
        <w:tc>
          <w:tcPr>
            <w:tcW w:w="1393" w:type="dxa"/>
            <w:vAlign w:val="center"/>
          </w:tcPr>
          <w:p w14:paraId="378AA3A5" w14:textId="77777777" w:rsidR="009F21F0" w:rsidRPr="00F548CF" w:rsidRDefault="009F21F0" w:rsidP="009F21F0">
            <w:pPr>
              <w:pStyle w:val="TAC"/>
            </w:pPr>
            <w:r w:rsidRPr="00F548CF">
              <w:rPr>
                <w:rFonts w:cs="Arial"/>
                <w:kern w:val="24"/>
                <w:szCs w:val="18"/>
              </w:rPr>
              <w:t>18</w:t>
            </w:r>
          </w:p>
        </w:tc>
      </w:tr>
      <w:tr w:rsidR="009F21F0" w:rsidRPr="00F548CF" w14:paraId="39C5B694" w14:textId="77777777" w:rsidTr="008E6A8A">
        <w:trPr>
          <w:cantSplit/>
        </w:trPr>
        <w:tc>
          <w:tcPr>
            <w:tcW w:w="801" w:type="dxa"/>
            <w:tcBorders>
              <w:right w:val="double" w:sz="4" w:space="0" w:color="auto"/>
            </w:tcBorders>
            <w:shd w:val="clear" w:color="auto" w:fill="auto"/>
            <w:vAlign w:val="center"/>
          </w:tcPr>
          <w:p w14:paraId="1C8F8674" w14:textId="77777777" w:rsidR="009F21F0" w:rsidRPr="00F548CF" w:rsidRDefault="009F21F0" w:rsidP="009F21F0">
            <w:pPr>
              <w:pStyle w:val="TAC"/>
            </w:pPr>
            <w:r w:rsidRPr="00F548CF">
              <w:t>1</w:t>
            </w:r>
            <w:r>
              <w:t>3</w:t>
            </w:r>
          </w:p>
        </w:tc>
        <w:tc>
          <w:tcPr>
            <w:tcW w:w="3473" w:type="dxa"/>
            <w:tcBorders>
              <w:left w:val="double" w:sz="4" w:space="0" w:color="auto"/>
            </w:tcBorders>
            <w:vAlign w:val="center"/>
          </w:tcPr>
          <w:p w14:paraId="4925DDFE" w14:textId="77777777" w:rsidR="009F21F0" w:rsidRPr="00F548CF" w:rsidRDefault="009F21F0" w:rsidP="009F21F0">
            <w:pPr>
              <w:pStyle w:val="TAC"/>
            </w:pPr>
            <w:r w:rsidRPr="00F548CF">
              <w:rPr>
                <w:rFonts w:cs="Arial"/>
                <w:kern w:val="24"/>
                <w:szCs w:val="18"/>
              </w:rPr>
              <w:t>1</w:t>
            </w:r>
          </w:p>
        </w:tc>
        <w:tc>
          <w:tcPr>
            <w:tcW w:w="1630" w:type="dxa"/>
            <w:vAlign w:val="center"/>
          </w:tcPr>
          <w:p w14:paraId="4CC2288C" w14:textId="77777777" w:rsidR="009F21F0" w:rsidRPr="00F548CF" w:rsidRDefault="009F21F0" w:rsidP="009F21F0">
            <w:pPr>
              <w:pStyle w:val="TAC"/>
            </w:pPr>
            <w:r w:rsidRPr="00F548CF">
              <w:rPr>
                <w:rFonts w:cs="Arial"/>
                <w:kern w:val="24"/>
                <w:szCs w:val="18"/>
              </w:rPr>
              <w:t>48</w:t>
            </w:r>
          </w:p>
        </w:tc>
        <w:tc>
          <w:tcPr>
            <w:tcW w:w="1933" w:type="dxa"/>
            <w:vAlign w:val="center"/>
          </w:tcPr>
          <w:p w14:paraId="4F9A6371" w14:textId="77777777" w:rsidR="009F21F0" w:rsidRPr="00F548CF" w:rsidRDefault="009F21F0" w:rsidP="009F21F0">
            <w:pPr>
              <w:pStyle w:val="TAC"/>
            </w:pPr>
            <w:r w:rsidRPr="00F548CF">
              <w:rPr>
                <w:rFonts w:cs="Arial"/>
                <w:kern w:val="24"/>
                <w:szCs w:val="18"/>
              </w:rPr>
              <w:t>3</w:t>
            </w:r>
          </w:p>
        </w:tc>
        <w:tc>
          <w:tcPr>
            <w:tcW w:w="1393" w:type="dxa"/>
            <w:vAlign w:val="center"/>
          </w:tcPr>
          <w:p w14:paraId="70E5C50F" w14:textId="77777777" w:rsidR="009F21F0" w:rsidRPr="00F548CF" w:rsidRDefault="009F21F0" w:rsidP="009F21F0">
            <w:pPr>
              <w:pStyle w:val="TAC"/>
            </w:pPr>
            <w:r w:rsidRPr="00F548CF">
              <w:rPr>
                <w:rFonts w:cs="Arial"/>
                <w:kern w:val="24"/>
                <w:szCs w:val="18"/>
              </w:rPr>
              <w:t>20</w:t>
            </w:r>
          </w:p>
        </w:tc>
      </w:tr>
      <w:tr w:rsidR="009F21F0" w:rsidRPr="00F548CF" w14:paraId="423B2A57" w14:textId="77777777" w:rsidTr="008E6A8A">
        <w:trPr>
          <w:cantSplit/>
        </w:trPr>
        <w:tc>
          <w:tcPr>
            <w:tcW w:w="801" w:type="dxa"/>
            <w:tcBorders>
              <w:right w:val="double" w:sz="4" w:space="0" w:color="auto"/>
            </w:tcBorders>
            <w:shd w:val="clear" w:color="auto" w:fill="auto"/>
            <w:vAlign w:val="center"/>
          </w:tcPr>
          <w:p w14:paraId="70FA156B" w14:textId="77777777" w:rsidR="009F21F0" w:rsidRPr="00F548CF" w:rsidRDefault="009F21F0" w:rsidP="009F21F0">
            <w:pPr>
              <w:pStyle w:val="TAC"/>
            </w:pPr>
            <w:r w:rsidRPr="00F548CF">
              <w:t>14</w:t>
            </w:r>
          </w:p>
        </w:tc>
        <w:tc>
          <w:tcPr>
            <w:tcW w:w="8429" w:type="dxa"/>
            <w:gridSpan w:val="4"/>
            <w:tcBorders>
              <w:left w:val="double" w:sz="4" w:space="0" w:color="auto"/>
            </w:tcBorders>
            <w:vAlign w:val="center"/>
          </w:tcPr>
          <w:p w14:paraId="451498EA" w14:textId="77777777" w:rsidR="009F21F0" w:rsidRPr="00F548CF" w:rsidRDefault="009F21F0" w:rsidP="009F21F0">
            <w:pPr>
              <w:pStyle w:val="TAC"/>
            </w:pPr>
            <w:r w:rsidRPr="00F548CF">
              <w:rPr>
                <w:rFonts w:cs="Arial"/>
                <w:kern w:val="24"/>
                <w:szCs w:val="18"/>
              </w:rPr>
              <w:t>Reserved</w:t>
            </w:r>
          </w:p>
        </w:tc>
      </w:tr>
      <w:tr w:rsidR="009F21F0" w:rsidRPr="00F548CF" w14:paraId="0338C632" w14:textId="77777777" w:rsidTr="008E6A8A">
        <w:trPr>
          <w:cantSplit/>
        </w:trPr>
        <w:tc>
          <w:tcPr>
            <w:tcW w:w="801" w:type="dxa"/>
            <w:tcBorders>
              <w:right w:val="double" w:sz="4" w:space="0" w:color="auto"/>
            </w:tcBorders>
            <w:shd w:val="clear" w:color="auto" w:fill="auto"/>
            <w:vAlign w:val="center"/>
          </w:tcPr>
          <w:p w14:paraId="72D42392" w14:textId="77777777" w:rsidR="009F21F0" w:rsidRPr="00F548CF" w:rsidRDefault="009F21F0" w:rsidP="009F21F0">
            <w:pPr>
              <w:pStyle w:val="TAC"/>
            </w:pPr>
            <w:r w:rsidRPr="00F548CF">
              <w:t>15</w:t>
            </w:r>
          </w:p>
        </w:tc>
        <w:tc>
          <w:tcPr>
            <w:tcW w:w="8429" w:type="dxa"/>
            <w:gridSpan w:val="4"/>
            <w:tcBorders>
              <w:left w:val="double" w:sz="4" w:space="0" w:color="auto"/>
            </w:tcBorders>
            <w:vAlign w:val="center"/>
          </w:tcPr>
          <w:p w14:paraId="4F657B52" w14:textId="77777777" w:rsidR="009F21F0" w:rsidRPr="00F548CF" w:rsidRDefault="009F21F0" w:rsidP="009F21F0">
            <w:pPr>
              <w:pStyle w:val="TAC"/>
            </w:pPr>
            <w:r w:rsidRPr="00F548CF">
              <w:rPr>
                <w:rFonts w:cs="Arial"/>
                <w:kern w:val="24"/>
                <w:szCs w:val="18"/>
              </w:rPr>
              <w:t>Reserved</w:t>
            </w:r>
          </w:p>
        </w:tc>
      </w:tr>
    </w:tbl>
    <w:p w14:paraId="341811A1" w14:textId="77777777" w:rsidR="009F21F0" w:rsidRPr="00B916EC" w:rsidRDefault="009F21F0" w:rsidP="004A0D85"/>
    <w:p w14:paraId="1A692070" w14:textId="152F5FC3" w:rsidR="004A0D85" w:rsidRPr="00B06B6C" w:rsidRDefault="0044436D" w:rsidP="00F96B12">
      <w:pPr>
        <w:pStyle w:val="TH"/>
      </w:pPr>
      <w:r w:rsidRPr="00B06B6C">
        <w:lastRenderedPageBreak/>
        <w:t>Table 1</w:t>
      </w:r>
      <w:r w:rsidR="00EC0649" w:rsidRPr="00B06B6C">
        <w:t>3</w:t>
      </w:r>
      <w:r w:rsidRPr="00B06B6C">
        <w:t>-</w:t>
      </w:r>
      <w:r w:rsidR="00EB7E79" w:rsidRPr="00B06B6C">
        <w:t>3</w:t>
      </w:r>
      <w:r w:rsidRPr="00B06B6C">
        <w:t xml:space="preserve">: Set of resource blocks and slot symbols of </w:t>
      </w:r>
      <w:r w:rsidR="00C76664">
        <w:t>CORESET</w:t>
      </w:r>
      <w:r w:rsidRPr="00B06B6C">
        <w:t xml:space="preserve"> for Type0-PDCCH search space</w:t>
      </w:r>
      <w:r w:rsidR="00ED0EE2">
        <w:t xml:space="preserve"> set</w:t>
      </w:r>
      <w:r w:rsidRPr="00B916EC">
        <w:t xml:space="preserve"> </w:t>
      </w:r>
      <w:r w:rsidRPr="00B06B6C">
        <w:t xml:space="preserve">when {SS/PBCH block, PDCCH} </w:t>
      </w:r>
      <w:r w:rsidR="00143099">
        <w:t>SCS</w:t>
      </w:r>
      <w:r w:rsidRPr="00B06B6C">
        <w:t xml:space="preserve"> is {30, 15} kHz</w:t>
      </w:r>
      <w:r w:rsidR="00D561F4" w:rsidRPr="00D561F4">
        <w:rPr>
          <w:rFonts w:cs="Arial" w:hint="eastAsia"/>
          <w:lang w:val="en-US" w:eastAsia="zh-CN"/>
        </w:rPr>
        <w:t xml:space="preserve"> </w:t>
      </w:r>
      <w:r w:rsidR="00D561F4" w:rsidRPr="00F548CF">
        <w:rPr>
          <w:rFonts w:cs="Arial" w:hint="eastAsia"/>
          <w:lang w:val="en-US" w:eastAsia="zh-CN"/>
        </w:rPr>
        <w:t>for frequency bands</w:t>
      </w:r>
      <w:r w:rsidR="000646B8" w:rsidRPr="000646B8">
        <w:t xml:space="preserve"> with minimum channel bandwidth 5 MHz or 10 MHz</w:t>
      </w:r>
      <w:r w:rsidR="00D54F38">
        <w:t xml:space="preserve"> </w:t>
      </w:r>
      <w:r w:rsidR="00D54F38" w:rsidRPr="0024770A">
        <w:t xml:space="preserve">except for the frequency bands </w:t>
      </w:r>
      <w:r w:rsidR="00466CED">
        <w:t>defined by note 17 of Table 5.2-1</w:t>
      </w:r>
      <w:r w:rsidR="00D54F38" w:rsidRPr="0024770A">
        <w:t xml:space="preserve"> in [</w:t>
      </w:r>
      <w:r w:rsidR="006A7896">
        <w:t>8-1</w:t>
      </w:r>
      <w:r w:rsidR="00D54F38" w:rsidRPr="0024770A">
        <w:t xml:space="preserve">, </w:t>
      </w:r>
      <w:r w:rsidR="00295E42">
        <w:t>TS 38.</w:t>
      </w:r>
      <w:r w:rsidR="00D54F38" w:rsidRPr="0024770A">
        <w:t>101-1]</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
        <w:gridCol w:w="3584"/>
        <w:gridCol w:w="1587"/>
        <w:gridCol w:w="1958"/>
        <w:gridCol w:w="1411"/>
      </w:tblGrid>
      <w:tr w:rsidR="00092B0D" w:rsidRPr="00B916EC" w14:paraId="25DD4D85" w14:textId="77777777" w:rsidTr="00B73508">
        <w:trPr>
          <w:cantSplit/>
        </w:trPr>
        <w:tc>
          <w:tcPr>
            <w:tcW w:w="803" w:type="dxa"/>
            <w:tcBorders>
              <w:bottom w:val="double" w:sz="4" w:space="0" w:color="auto"/>
              <w:right w:val="double" w:sz="4" w:space="0" w:color="auto"/>
            </w:tcBorders>
            <w:shd w:val="clear" w:color="auto" w:fill="E0E0E0"/>
            <w:vAlign w:val="center"/>
          </w:tcPr>
          <w:p w14:paraId="4E0E3617" w14:textId="77777777" w:rsidR="00092B0D" w:rsidRPr="00B916EC" w:rsidRDefault="00092B0D" w:rsidP="00092B0D">
            <w:pPr>
              <w:pStyle w:val="TAH"/>
              <w:rPr>
                <w:bCs/>
                <w:lang w:val="en-US"/>
              </w:rPr>
            </w:pPr>
            <w:r w:rsidRPr="00B916EC">
              <w:rPr>
                <w:bCs/>
                <w:lang w:val="en-US"/>
              </w:rPr>
              <w:t>Index</w:t>
            </w:r>
          </w:p>
        </w:tc>
        <w:tc>
          <w:tcPr>
            <w:tcW w:w="3584" w:type="dxa"/>
            <w:tcBorders>
              <w:left w:val="double" w:sz="4" w:space="0" w:color="auto"/>
              <w:bottom w:val="double" w:sz="4" w:space="0" w:color="auto"/>
            </w:tcBorders>
            <w:shd w:val="clear" w:color="auto" w:fill="E0E0E0"/>
            <w:vAlign w:val="center"/>
          </w:tcPr>
          <w:p w14:paraId="123DDC30" w14:textId="77777777" w:rsidR="00092B0D" w:rsidRPr="00B916EC" w:rsidRDefault="00092B0D" w:rsidP="00092B0D">
            <w:pPr>
              <w:pStyle w:val="TAH"/>
              <w:rPr>
                <w:bCs/>
                <w:lang w:val="en-US"/>
              </w:rPr>
            </w:pPr>
            <w:r w:rsidRPr="00B916EC">
              <w:rPr>
                <w:rFonts w:cs="Arial"/>
                <w:kern w:val="24"/>
              </w:rPr>
              <w:t xml:space="preserve">SS/PBCH block and </w:t>
            </w:r>
            <w:r>
              <w:rPr>
                <w:rFonts w:cs="Arial"/>
                <w:kern w:val="24"/>
              </w:rPr>
              <w:t>CORESET</w:t>
            </w:r>
            <w:r w:rsidRPr="00B916EC">
              <w:rPr>
                <w:rFonts w:cs="Arial"/>
                <w:kern w:val="24"/>
              </w:rPr>
              <w:t xml:space="preserve"> multiplexing pattern </w:t>
            </w:r>
          </w:p>
        </w:tc>
        <w:tc>
          <w:tcPr>
            <w:tcW w:w="1587" w:type="dxa"/>
            <w:tcBorders>
              <w:bottom w:val="double" w:sz="4" w:space="0" w:color="auto"/>
            </w:tcBorders>
            <w:shd w:val="clear" w:color="auto" w:fill="E0E0E0"/>
            <w:vAlign w:val="center"/>
          </w:tcPr>
          <w:p w14:paraId="6A34CA05" w14:textId="37A143D5" w:rsidR="00092B0D" w:rsidRPr="00B916EC" w:rsidRDefault="00092B0D" w:rsidP="00092B0D">
            <w:pPr>
              <w:pStyle w:val="TAH"/>
              <w:rPr>
                <w:bCs/>
                <w:lang w:val="en-US"/>
              </w:rPr>
            </w:pPr>
            <w:r w:rsidRPr="00B27E56">
              <w:rPr>
                <w:rFonts w:cs="Arial"/>
                <w:kern w:val="24"/>
              </w:rPr>
              <w:t xml:space="preserve">Number of RBs </w:t>
            </w:r>
            <m:oMath>
              <m:sSubSup>
                <m:sSubSupPr>
                  <m:ctrlPr>
                    <w:rPr>
                      <w:rFonts w:ascii="Cambria Math" w:hAnsi="Cambria Math"/>
                      <w:i/>
                    </w:rPr>
                  </m:ctrlPr>
                </m:sSubSupPr>
                <m:e>
                  <m:r>
                    <m:rPr>
                      <m:sty m:val="bi"/>
                    </m:rPr>
                    <w:rPr>
                      <w:rFonts w:ascii="Cambria Math"/>
                    </w:rPr>
                    <m:t>N</m:t>
                  </m:r>
                </m:e>
                <m:sub>
                  <m:r>
                    <m:rPr>
                      <m:nor/>
                    </m:rPr>
                    <w:rPr>
                      <w:rFonts w:ascii="Cambria Math"/>
                    </w:rPr>
                    <m:t>RB</m:t>
                  </m:r>
                  <m:ctrlPr>
                    <w:rPr>
                      <w:rFonts w:ascii="Cambria Math" w:hAnsi="Cambria Math"/>
                    </w:rPr>
                  </m:ctrlPr>
                </m:sub>
                <m:sup>
                  <m:r>
                    <m:rPr>
                      <m:nor/>
                    </m:rPr>
                    <w:rPr>
                      <w:rFonts w:ascii="Cambria Math"/>
                    </w:rPr>
                    <m:t>CORESET</m:t>
                  </m:r>
                  <m:ctrlPr>
                    <w:rPr>
                      <w:rFonts w:ascii="Cambria Math" w:hAnsi="Cambria Math"/>
                    </w:rPr>
                  </m:ctrlPr>
                </m:sup>
              </m:sSubSup>
            </m:oMath>
          </w:p>
        </w:tc>
        <w:tc>
          <w:tcPr>
            <w:tcW w:w="1958" w:type="dxa"/>
            <w:tcBorders>
              <w:bottom w:val="double" w:sz="4" w:space="0" w:color="auto"/>
            </w:tcBorders>
            <w:shd w:val="clear" w:color="auto" w:fill="E0E0E0"/>
            <w:vAlign w:val="center"/>
          </w:tcPr>
          <w:p w14:paraId="0636FE95" w14:textId="40B40118" w:rsidR="00092B0D" w:rsidRPr="00B916EC" w:rsidRDefault="00092B0D" w:rsidP="00092B0D">
            <w:pPr>
              <w:pStyle w:val="TAH"/>
              <w:rPr>
                <w:bCs/>
                <w:lang w:val="en-US"/>
              </w:rPr>
            </w:pPr>
            <w:r w:rsidRPr="00B27E56">
              <w:rPr>
                <w:rFonts w:cs="Arial"/>
                <w:kern w:val="24"/>
              </w:rPr>
              <w:t xml:space="preserve">Number of Symbols </w:t>
            </w:r>
            <m:oMath>
              <m:sSubSup>
                <m:sSubSupPr>
                  <m:ctrlPr>
                    <w:rPr>
                      <w:rFonts w:ascii="Cambria Math" w:hAnsi="Cambria Math"/>
                      <w:i/>
                    </w:rPr>
                  </m:ctrlPr>
                </m:sSubSupPr>
                <m:e>
                  <m:r>
                    <m:rPr>
                      <m:sty m:val="bi"/>
                    </m:rPr>
                    <w:rPr>
                      <w:rFonts w:ascii="Cambria Math"/>
                    </w:rPr>
                    <m:t>N</m:t>
                  </m:r>
                </m:e>
                <m:sub>
                  <m:r>
                    <m:rPr>
                      <m:nor/>
                    </m:rPr>
                    <w:rPr>
                      <w:rFonts w:ascii="Cambria Math"/>
                    </w:rPr>
                    <m:t>symb</m:t>
                  </m:r>
                  <m:ctrlPr>
                    <w:rPr>
                      <w:rFonts w:ascii="Cambria Math" w:hAnsi="Cambria Math"/>
                    </w:rPr>
                  </m:ctrlPr>
                </m:sub>
                <m:sup>
                  <m:r>
                    <m:rPr>
                      <m:nor/>
                    </m:rPr>
                    <w:rPr>
                      <w:rFonts w:ascii="Cambria Math"/>
                    </w:rPr>
                    <m:t>CORESET</m:t>
                  </m:r>
                  <m:ctrlPr>
                    <w:rPr>
                      <w:rFonts w:ascii="Cambria Math" w:hAnsi="Cambria Math"/>
                    </w:rPr>
                  </m:ctrlPr>
                </m:sup>
              </m:sSubSup>
            </m:oMath>
            <w:r w:rsidRPr="00B27E56">
              <w:rPr>
                <w:rFonts w:cs="Arial"/>
                <w:kern w:val="24"/>
              </w:rPr>
              <w:t xml:space="preserve"> </w:t>
            </w:r>
          </w:p>
        </w:tc>
        <w:tc>
          <w:tcPr>
            <w:tcW w:w="1411" w:type="dxa"/>
            <w:tcBorders>
              <w:bottom w:val="double" w:sz="4" w:space="0" w:color="auto"/>
            </w:tcBorders>
            <w:shd w:val="clear" w:color="auto" w:fill="E0E0E0"/>
            <w:vAlign w:val="center"/>
          </w:tcPr>
          <w:p w14:paraId="06D148AA" w14:textId="77777777" w:rsidR="00092B0D" w:rsidRPr="00B916EC" w:rsidRDefault="00092B0D" w:rsidP="00092B0D">
            <w:pPr>
              <w:pStyle w:val="TAH"/>
              <w:rPr>
                <w:bCs/>
                <w:lang w:val="en-US"/>
              </w:rPr>
            </w:pPr>
            <w:r w:rsidRPr="00B916EC">
              <w:rPr>
                <w:rFonts w:cs="Arial"/>
                <w:kern w:val="24"/>
              </w:rPr>
              <w:t xml:space="preserve">Offset (RBs) </w:t>
            </w:r>
          </w:p>
        </w:tc>
      </w:tr>
      <w:tr w:rsidR="002268E7" w:rsidRPr="00B916EC" w14:paraId="4683CB32" w14:textId="77777777" w:rsidTr="00B73508">
        <w:trPr>
          <w:cantSplit/>
        </w:trPr>
        <w:tc>
          <w:tcPr>
            <w:tcW w:w="803" w:type="dxa"/>
            <w:tcBorders>
              <w:top w:val="double" w:sz="4" w:space="0" w:color="auto"/>
              <w:right w:val="double" w:sz="4" w:space="0" w:color="auto"/>
            </w:tcBorders>
            <w:shd w:val="clear" w:color="auto" w:fill="auto"/>
            <w:vAlign w:val="center"/>
          </w:tcPr>
          <w:p w14:paraId="35F39DCA" w14:textId="77777777" w:rsidR="002268E7" w:rsidRPr="00B916EC" w:rsidRDefault="002268E7" w:rsidP="0060031D">
            <w:pPr>
              <w:pStyle w:val="TAC"/>
              <w:rPr>
                <w:lang w:val="en-US"/>
              </w:rPr>
            </w:pPr>
            <w:r w:rsidRPr="00B916EC">
              <w:rPr>
                <w:lang w:val="en-US"/>
              </w:rPr>
              <w:t>0</w:t>
            </w:r>
          </w:p>
        </w:tc>
        <w:tc>
          <w:tcPr>
            <w:tcW w:w="3584" w:type="dxa"/>
            <w:tcBorders>
              <w:top w:val="double" w:sz="4" w:space="0" w:color="auto"/>
              <w:left w:val="double" w:sz="4" w:space="0" w:color="auto"/>
            </w:tcBorders>
            <w:vAlign w:val="center"/>
          </w:tcPr>
          <w:p w14:paraId="5DF92A3E" w14:textId="77777777" w:rsidR="002268E7" w:rsidRPr="00B916EC" w:rsidRDefault="002268E7" w:rsidP="0060031D">
            <w:pPr>
              <w:pStyle w:val="TAC"/>
              <w:rPr>
                <w:lang w:val="en-US"/>
              </w:rPr>
            </w:pPr>
            <w:r w:rsidRPr="00B916EC">
              <w:rPr>
                <w:rFonts w:cs="Arial"/>
                <w:kern w:val="24"/>
                <w:szCs w:val="18"/>
              </w:rPr>
              <w:t>1</w:t>
            </w:r>
          </w:p>
        </w:tc>
        <w:tc>
          <w:tcPr>
            <w:tcW w:w="1587" w:type="dxa"/>
            <w:tcBorders>
              <w:top w:val="double" w:sz="4" w:space="0" w:color="auto"/>
            </w:tcBorders>
            <w:vAlign w:val="center"/>
          </w:tcPr>
          <w:p w14:paraId="3AD680E3" w14:textId="77777777" w:rsidR="002268E7" w:rsidRPr="00B916EC" w:rsidRDefault="002268E7" w:rsidP="0060031D">
            <w:pPr>
              <w:pStyle w:val="TAC"/>
              <w:rPr>
                <w:lang w:val="en-US"/>
              </w:rPr>
            </w:pPr>
            <w:r w:rsidRPr="00B916EC">
              <w:rPr>
                <w:rFonts w:cs="Arial"/>
                <w:kern w:val="24"/>
                <w:szCs w:val="18"/>
              </w:rPr>
              <w:t>48</w:t>
            </w:r>
          </w:p>
        </w:tc>
        <w:tc>
          <w:tcPr>
            <w:tcW w:w="1958" w:type="dxa"/>
            <w:tcBorders>
              <w:top w:val="double" w:sz="4" w:space="0" w:color="auto"/>
            </w:tcBorders>
            <w:vAlign w:val="center"/>
          </w:tcPr>
          <w:p w14:paraId="521B61AD" w14:textId="77777777" w:rsidR="002268E7" w:rsidRPr="00B916EC" w:rsidRDefault="002268E7" w:rsidP="0060031D">
            <w:pPr>
              <w:pStyle w:val="TAC"/>
              <w:rPr>
                <w:lang w:val="en-US"/>
              </w:rPr>
            </w:pPr>
            <w:r w:rsidRPr="00B916EC">
              <w:rPr>
                <w:rFonts w:cs="Arial"/>
                <w:kern w:val="24"/>
                <w:szCs w:val="18"/>
              </w:rPr>
              <w:t>1</w:t>
            </w:r>
          </w:p>
        </w:tc>
        <w:tc>
          <w:tcPr>
            <w:tcW w:w="1411" w:type="dxa"/>
            <w:tcBorders>
              <w:top w:val="double" w:sz="4" w:space="0" w:color="auto"/>
            </w:tcBorders>
            <w:vAlign w:val="center"/>
          </w:tcPr>
          <w:p w14:paraId="7F7F022F" w14:textId="77777777" w:rsidR="002268E7" w:rsidRPr="00B916EC" w:rsidRDefault="002268E7" w:rsidP="0060031D">
            <w:pPr>
              <w:pStyle w:val="TAC"/>
              <w:rPr>
                <w:lang w:val="en-US"/>
              </w:rPr>
            </w:pPr>
            <w:r w:rsidRPr="00B916EC">
              <w:rPr>
                <w:rFonts w:cs="Arial"/>
                <w:kern w:val="24"/>
                <w:szCs w:val="18"/>
              </w:rPr>
              <w:t>2</w:t>
            </w:r>
          </w:p>
        </w:tc>
      </w:tr>
      <w:tr w:rsidR="002268E7" w:rsidRPr="00B916EC" w14:paraId="3D11CE32" w14:textId="77777777" w:rsidTr="00B73508">
        <w:trPr>
          <w:cantSplit/>
        </w:trPr>
        <w:tc>
          <w:tcPr>
            <w:tcW w:w="803" w:type="dxa"/>
            <w:tcBorders>
              <w:right w:val="double" w:sz="4" w:space="0" w:color="auto"/>
            </w:tcBorders>
            <w:shd w:val="clear" w:color="auto" w:fill="auto"/>
            <w:vAlign w:val="center"/>
          </w:tcPr>
          <w:p w14:paraId="49171C66" w14:textId="77777777" w:rsidR="002268E7" w:rsidRPr="00B916EC" w:rsidRDefault="002268E7" w:rsidP="0060031D">
            <w:pPr>
              <w:pStyle w:val="TAC"/>
              <w:rPr>
                <w:lang w:val="en-US"/>
              </w:rPr>
            </w:pPr>
            <w:r w:rsidRPr="00B916EC">
              <w:rPr>
                <w:lang w:val="en-US"/>
              </w:rPr>
              <w:t>1</w:t>
            </w:r>
          </w:p>
        </w:tc>
        <w:tc>
          <w:tcPr>
            <w:tcW w:w="3584" w:type="dxa"/>
            <w:tcBorders>
              <w:left w:val="double" w:sz="4" w:space="0" w:color="auto"/>
            </w:tcBorders>
            <w:vAlign w:val="center"/>
          </w:tcPr>
          <w:p w14:paraId="16A949BA" w14:textId="77777777" w:rsidR="002268E7" w:rsidRPr="00B916EC" w:rsidRDefault="002268E7" w:rsidP="0060031D">
            <w:pPr>
              <w:pStyle w:val="TAC"/>
              <w:rPr>
                <w:lang w:val="en-US"/>
              </w:rPr>
            </w:pPr>
            <w:r w:rsidRPr="00B916EC">
              <w:rPr>
                <w:rFonts w:cs="Arial"/>
                <w:kern w:val="24"/>
                <w:szCs w:val="18"/>
              </w:rPr>
              <w:t>1</w:t>
            </w:r>
          </w:p>
        </w:tc>
        <w:tc>
          <w:tcPr>
            <w:tcW w:w="1587" w:type="dxa"/>
            <w:vAlign w:val="center"/>
          </w:tcPr>
          <w:p w14:paraId="777E21C9" w14:textId="77777777" w:rsidR="002268E7" w:rsidRPr="00B916EC" w:rsidRDefault="002268E7" w:rsidP="0060031D">
            <w:pPr>
              <w:pStyle w:val="TAC"/>
              <w:rPr>
                <w:lang w:val="en-US"/>
              </w:rPr>
            </w:pPr>
            <w:r w:rsidRPr="00B916EC">
              <w:rPr>
                <w:rFonts w:cs="Arial"/>
                <w:kern w:val="24"/>
                <w:szCs w:val="18"/>
              </w:rPr>
              <w:t>48</w:t>
            </w:r>
          </w:p>
        </w:tc>
        <w:tc>
          <w:tcPr>
            <w:tcW w:w="1958" w:type="dxa"/>
            <w:vAlign w:val="center"/>
          </w:tcPr>
          <w:p w14:paraId="3CE30538" w14:textId="77777777" w:rsidR="002268E7" w:rsidRPr="00B916EC" w:rsidRDefault="002268E7" w:rsidP="0060031D">
            <w:pPr>
              <w:pStyle w:val="TAC"/>
              <w:rPr>
                <w:lang w:val="en-US"/>
              </w:rPr>
            </w:pPr>
            <w:r w:rsidRPr="00B916EC">
              <w:rPr>
                <w:rFonts w:cs="Arial"/>
                <w:kern w:val="24"/>
                <w:szCs w:val="18"/>
              </w:rPr>
              <w:t>1</w:t>
            </w:r>
          </w:p>
        </w:tc>
        <w:tc>
          <w:tcPr>
            <w:tcW w:w="1411" w:type="dxa"/>
            <w:vAlign w:val="center"/>
          </w:tcPr>
          <w:p w14:paraId="6C4C1014" w14:textId="77777777" w:rsidR="002268E7" w:rsidRPr="00B916EC" w:rsidRDefault="002268E7" w:rsidP="0060031D">
            <w:pPr>
              <w:pStyle w:val="TAC"/>
              <w:rPr>
                <w:lang w:val="en-US"/>
              </w:rPr>
            </w:pPr>
            <w:r w:rsidRPr="00B916EC">
              <w:rPr>
                <w:rFonts w:cs="Arial"/>
                <w:kern w:val="24"/>
                <w:szCs w:val="18"/>
              </w:rPr>
              <w:t>6</w:t>
            </w:r>
          </w:p>
        </w:tc>
      </w:tr>
      <w:tr w:rsidR="002268E7" w:rsidRPr="00B916EC" w14:paraId="6F7E2E8E" w14:textId="77777777" w:rsidTr="00B73508">
        <w:trPr>
          <w:cantSplit/>
        </w:trPr>
        <w:tc>
          <w:tcPr>
            <w:tcW w:w="803" w:type="dxa"/>
            <w:tcBorders>
              <w:right w:val="double" w:sz="4" w:space="0" w:color="auto"/>
            </w:tcBorders>
            <w:shd w:val="clear" w:color="auto" w:fill="auto"/>
            <w:vAlign w:val="center"/>
          </w:tcPr>
          <w:p w14:paraId="6F20229D" w14:textId="77777777" w:rsidR="002268E7" w:rsidRPr="00B916EC" w:rsidRDefault="002268E7" w:rsidP="0060031D">
            <w:pPr>
              <w:pStyle w:val="TAC"/>
            </w:pPr>
            <w:r w:rsidRPr="00B916EC">
              <w:t>2</w:t>
            </w:r>
          </w:p>
        </w:tc>
        <w:tc>
          <w:tcPr>
            <w:tcW w:w="3584" w:type="dxa"/>
            <w:tcBorders>
              <w:left w:val="double" w:sz="4" w:space="0" w:color="auto"/>
            </w:tcBorders>
            <w:vAlign w:val="center"/>
          </w:tcPr>
          <w:p w14:paraId="3EDCC1B1" w14:textId="77777777" w:rsidR="002268E7" w:rsidRPr="00B916EC" w:rsidRDefault="002268E7" w:rsidP="0060031D">
            <w:pPr>
              <w:pStyle w:val="TAC"/>
            </w:pPr>
            <w:r w:rsidRPr="00B916EC">
              <w:rPr>
                <w:rFonts w:cs="Arial"/>
                <w:kern w:val="24"/>
                <w:szCs w:val="18"/>
              </w:rPr>
              <w:t>1</w:t>
            </w:r>
          </w:p>
        </w:tc>
        <w:tc>
          <w:tcPr>
            <w:tcW w:w="1587" w:type="dxa"/>
            <w:vAlign w:val="center"/>
          </w:tcPr>
          <w:p w14:paraId="35FF896E" w14:textId="77777777" w:rsidR="002268E7" w:rsidRPr="00B916EC" w:rsidRDefault="002268E7" w:rsidP="0060031D">
            <w:pPr>
              <w:pStyle w:val="TAC"/>
            </w:pPr>
            <w:r w:rsidRPr="00B916EC">
              <w:rPr>
                <w:rFonts w:cs="Arial"/>
                <w:kern w:val="24"/>
                <w:szCs w:val="18"/>
              </w:rPr>
              <w:t>48</w:t>
            </w:r>
          </w:p>
        </w:tc>
        <w:tc>
          <w:tcPr>
            <w:tcW w:w="1958" w:type="dxa"/>
            <w:vAlign w:val="center"/>
          </w:tcPr>
          <w:p w14:paraId="27480A8B" w14:textId="77777777" w:rsidR="002268E7" w:rsidRPr="00B916EC" w:rsidRDefault="002268E7" w:rsidP="0060031D">
            <w:pPr>
              <w:pStyle w:val="TAC"/>
            </w:pPr>
            <w:r w:rsidRPr="00B916EC">
              <w:rPr>
                <w:rFonts w:cs="Arial"/>
                <w:kern w:val="24"/>
                <w:szCs w:val="18"/>
              </w:rPr>
              <w:t>2</w:t>
            </w:r>
          </w:p>
        </w:tc>
        <w:tc>
          <w:tcPr>
            <w:tcW w:w="1411" w:type="dxa"/>
            <w:vAlign w:val="center"/>
          </w:tcPr>
          <w:p w14:paraId="11C93836" w14:textId="77777777" w:rsidR="002268E7" w:rsidRPr="00B916EC" w:rsidRDefault="002268E7" w:rsidP="0060031D">
            <w:pPr>
              <w:pStyle w:val="TAC"/>
            </w:pPr>
            <w:r w:rsidRPr="00B916EC">
              <w:rPr>
                <w:rFonts w:cs="Arial"/>
                <w:kern w:val="24"/>
                <w:szCs w:val="18"/>
              </w:rPr>
              <w:t>2</w:t>
            </w:r>
          </w:p>
        </w:tc>
      </w:tr>
      <w:tr w:rsidR="002268E7" w:rsidRPr="00B916EC" w14:paraId="7D27A496" w14:textId="77777777" w:rsidTr="00B73508">
        <w:trPr>
          <w:cantSplit/>
        </w:trPr>
        <w:tc>
          <w:tcPr>
            <w:tcW w:w="803" w:type="dxa"/>
            <w:tcBorders>
              <w:right w:val="double" w:sz="4" w:space="0" w:color="auto"/>
            </w:tcBorders>
            <w:shd w:val="clear" w:color="auto" w:fill="auto"/>
            <w:vAlign w:val="center"/>
          </w:tcPr>
          <w:p w14:paraId="56CCED9A" w14:textId="77777777" w:rsidR="002268E7" w:rsidRPr="00B916EC" w:rsidRDefault="002268E7" w:rsidP="0060031D">
            <w:pPr>
              <w:pStyle w:val="TAC"/>
            </w:pPr>
            <w:r w:rsidRPr="00B916EC">
              <w:t>3</w:t>
            </w:r>
          </w:p>
        </w:tc>
        <w:tc>
          <w:tcPr>
            <w:tcW w:w="3584" w:type="dxa"/>
            <w:tcBorders>
              <w:left w:val="double" w:sz="4" w:space="0" w:color="auto"/>
            </w:tcBorders>
            <w:vAlign w:val="center"/>
          </w:tcPr>
          <w:p w14:paraId="0EC41C11" w14:textId="77777777" w:rsidR="002268E7" w:rsidRPr="00B916EC" w:rsidRDefault="002268E7" w:rsidP="0060031D">
            <w:pPr>
              <w:pStyle w:val="TAC"/>
            </w:pPr>
            <w:r w:rsidRPr="00B916EC">
              <w:rPr>
                <w:rFonts w:cs="Arial"/>
                <w:kern w:val="24"/>
                <w:szCs w:val="18"/>
              </w:rPr>
              <w:t>1</w:t>
            </w:r>
          </w:p>
        </w:tc>
        <w:tc>
          <w:tcPr>
            <w:tcW w:w="1587" w:type="dxa"/>
            <w:vAlign w:val="center"/>
          </w:tcPr>
          <w:p w14:paraId="147579F7" w14:textId="77777777" w:rsidR="002268E7" w:rsidRPr="00B916EC" w:rsidRDefault="002268E7" w:rsidP="0060031D">
            <w:pPr>
              <w:pStyle w:val="TAC"/>
            </w:pPr>
            <w:r w:rsidRPr="00B916EC">
              <w:rPr>
                <w:rFonts w:cs="Arial"/>
                <w:kern w:val="24"/>
                <w:szCs w:val="18"/>
              </w:rPr>
              <w:t>48</w:t>
            </w:r>
          </w:p>
        </w:tc>
        <w:tc>
          <w:tcPr>
            <w:tcW w:w="1958" w:type="dxa"/>
            <w:vAlign w:val="center"/>
          </w:tcPr>
          <w:p w14:paraId="79D4BEA3" w14:textId="77777777" w:rsidR="002268E7" w:rsidRPr="00B916EC" w:rsidRDefault="002268E7" w:rsidP="0060031D">
            <w:pPr>
              <w:pStyle w:val="TAC"/>
            </w:pPr>
            <w:r w:rsidRPr="00B916EC">
              <w:rPr>
                <w:rFonts w:cs="Arial"/>
                <w:kern w:val="24"/>
                <w:szCs w:val="18"/>
              </w:rPr>
              <w:t>2</w:t>
            </w:r>
          </w:p>
        </w:tc>
        <w:tc>
          <w:tcPr>
            <w:tcW w:w="1411" w:type="dxa"/>
            <w:vAlign w:val="center"/>
          </w:tcPr>
          <w:p w14:paraId="71A25F1C" w14:textId="77777777" w:rsidR="002268E7" w:rsidRPr="00B916EC" w:rsidRDefault="002268E7" w:rsidP="0060031D">
            <w:pPr>
              <w:pStyle w:val="TAC"/>
            </w:pPr>
            <w:r w:rsidRPr="00B916EC">
              <w:rPr>
                <w:rFonts w:cs="Arial"/>
                <w:kern w:val="24"/>
                <w:szCs w:val="18"/>
              </w:rPr>
              <w:t>6</w:t>
            </w:r>
          </w:p>
        </w:tc>
      </w:tr>
      <w:tr w:rsidR="002268E7" w:rsidRPr="00B916EC" w14:paraId="031D0681" w14:textId="77777777" w:rsidTr="00B73508">
        <w:trPr>
          <w:cantSplit/>
        </w:trPr>
        <w:tc>
          <w:tcPr>
            <w:tcW w:w="803" w:type="dxa"/>
            <w:tcBorders>
              <w:right w:val="double" w:sz="4" w:space="0" w:color="auto"/>
            </w:tcBorders>
            <w:shd w:val="clear" w:color="auto" w:fill="auto"/>
            <w:vAlign w:val="center"/>
          </w:tcPr>
          <w:p w14:paraId="74E21296" w14:textId="77777777" w:rsidR="002268E7" w:rsidRPr="00B916EC" w:rsidRDefault="002268E7" w:rsidP="0060031D">
            <w:pPr>
              <w:pStyle w:val="TAC"/>
            </w:pPr>
            <w:r w:rsidRPr="00B916EC">
              <w:t>4</w:t>
            </w:r>
          </w:p>
        </w:tc>
        <w:tc>
          <w:tcPr>
            <w:tcW w:w="3584" w:type="dxa"/>
            <w:tcBorders>
              <w:left w:val="double" w:sz="4" w:space="0" w:color="auto"/>
            </w:tcBorders>
            <w:vAlign w:val="center"/>
          </w:tcPr>
          <w:p w14:paraId="1FF00DB0" w14:textId="77777777" w:rsidR="002268E7" w:rsidRPr="00B916EC" w:rsidRDefault="002268E7" w:rsidP="0060031D">
            <w:pPr>
              <w:pStyle w:val="TAC"/>
            </w:pPr>
            <w:r w:rsidRPr="00B916EC">
              <w:rPr>
                <w:rFonts w:cs="Arial"/>
                <w:kern w:val="24"/>
                <w:szCs w:val="18"/>
              </w:rPr>
              <w:t>1</w:t>
            </w:r>
          </w:p>
        </w:tc>
        <w:tc>
          <w:tcPr>
            <w:tcW w:w="1587" w:type="dxa"/>
            <w:vAlign w:val="center"/>
          </w:tcPr>
          <w:p w14:paraId="5749E2E4" w14:textId="77777777" w:rsidR="002268E7" w:rsidRPr="00B916EC" w:rsidRDefault="002268E7" w:rsidP="0060031D">
            <w:pPr>
              <w:pStyle w:val="TAC"/>
            </w:pPr>
            <w:r w:rsidRPr="00B916EC">
              <w:rPr>
                <w:rFonts w:cs="Arial"/>
                <w:kern w:val="24"/>
                <w:szCs w:val="18"/>
              </w:rPr>
              <w:t>48</w:t>
            </w:r>
          </w:p>
        </w:tc>
        <w:tc>
          <w:tcPr>
            <w:tcW w:w="1958" w:type="dxa"/>
            <w:vAlign w:val="center"/>
          </w:tcPr>
          <w:p w14:paraId="48922962" w14:textId="77777777" w:rsidR="002268E7" w:rsidRPr="00B916EC" w:rsidRDefault="002268E7" w:rsidP="0060031D">
            <w:pPr>
              <w:pStyle w:val="TAC"/>
            </w:pPr>
            <w:r w:rsidRPr="00B916EC">
              <w:rPr>
                <w:rFonts w:cs="Arial"/>
                <w:kern w:val="24"/>
                <w:szCs w:val="18"/>
              </w:rPr>
              <w:t>3</w:t>
            </w:r>
          </w:p>
        </w:tc>
        <w:tc>
          <w:tcPr>
            <w:tcW w:w="1411" w:type="dxa"/>
            <w:vAlign w:val="center"/>
          </w:tcPr>
          <w:p w14:paraId="2A4A654D" w14:textId="77777777" w:rsidR="002268E7" w:rsidRPr="00B916EC" w:rsidRDefault="002268E7" w:rsidP="0060031D">
            <w:pPr>
              <w:pStyle w:val="TAC"/>
            </w:pPr>
            <w:r w:rsidRPr="00B916EC">
              <w:rPr>
                <w:rFonts w:cs="Arial"/>
                <w:kern w:val="24"/>
                <w:szCs w:val="18"/>
              </w:rPr>
              <w:t>2</w:t>
            </w:r>
          </w:p>
        </w:tc>
      </w:tr>
      <w:tr w:rsidR="002268E7" w:rsidRPr="00B916EC" w14:paraId="080B24A2" w14:textId="77777777" w:rsidTr="00B73508">
        <w:trPr>
          <w:cantSplit/>
        </w:trPr>
        <w:tc>
          <w:tcPr>
            <w:tcW w:w="803" w:type="dxa"/>
            <w:tcBorders>
              <w:right w:val="double" w:sz="4" w:space="0" w:color="auto"/>
            </w:tcBorders>
            <w:shd w:val="clear" w:color="auto" w:fill="auto"/>
            <w:vAlign w:val="center"/>
          </w:tcPr>
          <w:p w14:paraId="0B8F39F0" w14:textId="77777777" w:rsidR="002268E7" w:rsidRPr="00B916EC" w:rsidRDefault="002268E7" w:rsidP="0060031D">
            <w:pPr>
              <w:pStyle w:val="TAC"/>
            </w:pPr>
            <w:r w:rsidRPr="00B916EC">
              <w:t>5</w:t>
            </w:r>
          </w:p>
        </w:tc>
        <w:tc>
          <w:tcPr>
            <w:tcW w:w="3584" w:type="dxa"/>
            <w:tcBorders>
              <w:left w:val="double" w:sz="4" w:space="0" w:color="auto"/>
            </w:tcBorders>
            <w:vAlign w:val="center"/>
          </w:tcPr>
          <w:p w14:paraId="10AE7313" w14:textId="77777777" w:rsidR="002268E7" w:rsidRPr="00B916EC" w:rsidRDefault="002268E7" w:rsidP="0060031D">
            <w:pPr>
              <w:pStyle w:val="TAC"/>
            </w:pPr>
            <w:r w:rsidRPr="00B916EC">
              <w:rPr>
                <w:rFonts w:cs="Arial"/>
                <w:kern w:val="24"/>
                <w:szCs w:val="18"/>
              </w:rPr>
              <w:t>1</w:t>
            </w:r>
          </w:p>
        </w:tc>
        <w:tc>
          <w:tcPr>
            <w:tcW w:w="1587" w:type="dxa"/>
            <w:vAlign w:val="center"/>
          </w:tcPr>
          <w:p w14:paraId="0F8163EE" w14:textId="77777777" w:rsidR="002268E7" w:rsidRPr="00B916EC" w:rsidRDefault="002268E7" w:rsidP="0060031D">
            <w:pPr>
              <w:pStyle w:val="TAC"/>
            </w:pPr>
            <w:r w:rsidRPr="00B916EC">
              <w:rPr>
                <w:rFonts w:cs="Arial"/>
                <w:kern w:val="24"/>
                <w:szCs w:val="18"/>
              </w:rPr>
              <w:t>48</w:t>
            </w:r>
          </w:p>
        </w:tc>
        <w:tc>
          <w:tcPr>
            <w:tcW w:w="1958" w:type="dxa"/>
            <w:vAlign w:val="center"/>
          </w:tcPr>
          <w:p w14:paraId="71E3695A" w14:textId="77777777" w:rsidR="002268E7" w:rsidRPr="00B916EC" w:rsidRDefault="002268E7" w:rsidP="0060031D">
            <w:pPr>
              <w:pStyle w:val="TAC"/>
            </w:pPr>
            <w:r w:rsidRPr="00B916EC">
              <w:rPr>
                <w:rFonts w:cs="Arial"/>
                <w:kern w:val="24"/>
                <w:szCs w:val="18"/>
              </w:rPr>
              <w:t>3</w:t>
            </w:r>
          </w:p>
        </w:tc>
        <w:tc>
          <w:tcPr>
            <w:tcW w:w="1411" w:type="dxa"/>
            <w:vAlign w:val="center"/>
          </w:tcPr>
          <w:p w14:paraId="3C4D999E" w14:textId="77777777" w:rsidR="002268E7" w:rsidRPr="00B916EC" w:rsidRDefault="002268E7" w:rsidP="0060031D">
            <w:pPr>
              <w:pStyle w:val="TAC"/>
            </w:pPr>
            <w:r w:rsidRPr="00B916EC">
              <w:rPr>
                <w:rFonts w:cs="Arial"/>
                <w:kern w:val="24"/>
                <w:szCs w:val="18"/>
              </w:rPr>
              <w:t>6</w:t>
            </w:r>
          </w:p>
        </w:tc>
      </w:tr>
      <w:tr w:rsidR="002268E7" w:rsidRPr="00B916EC" w14:paraId="1C9F6BA7" w14:textId="77777777" w:rsidTr="00B73508">
        <w:trPr>
          <w:cantSplit/>
        </w:trPr>
        <w:tc>
          <w:tcPr>
            <w:tcW w:w="803" w:type="dxa"/>
            <w:tcBorders>
              <w:right w:val="double" w:sz="4" w:space="0" w:color="auto"/>
            </w:tcBorders>
            <w:shd w:val="clear" w:color="auto" w:fill="auto"/>
            <w:vAlign w:val="center"/>
          </w:tcPr>
          <w:p w14:paraId="2E891359" w14:textId="77777777" w:rsidR="002268E7" w:rsidRPr="00B916EC" w:rsidRDefault="002268E7" w:rsidP="0060031D">
            <w:pPr>
              <w:pStyle w:val="TAC"/>
            </w:pPr>
            <w:r w:rsidRPr="00B916EC">
              <w:t>6</w:t>
            </w:r>
          </w:p>
        </w:tc>
        <w:tc>
          <w:tcPr>
            <w:tcW w:w="3584" w:type="dxa"/>
            <w:tcBorders>
              <w:left w:val="double" w:sz="4" w:space="0" w:color="auto"/>
            </w:tcBorders>
            <w:vAlign w:val="center"/>
          </w:tcPr>
          <w:p w14:paraId="5BB81585" w14:textId="77777777" w:rsidR="002268E7" w:rsidRPr="00B916EC" w:rsidRDefault="002268E7" w:rsidP="0060031D">
            <w:pPr>
              <w:pStyle w:val="TAC"/>
            </w:pPr>
            <w:r w:rsidRPr="00B916EC">
              <w:rPr>
                <w:rFonts w:cs="Arial"/>
                <w:kern w:val="24"/>
                <w:szCs w:val="18"/>
              </w:rPr>
              <w:t>1</w:t>
            </w:r>
          </w:p>
        </w:tc>
        <w:tc>
          <w:tcPr>
            <w:tcW w:w="1587" w:type="dxa"/>
            <w:vAlign w:val="center"/>
          </w:tcPr>
          <w:p w14:paraId="401E8780" w14:textId="77777777" w:rsidR="002268E7" w:rsidRPr="00B916EC" w:rsidRDefault="002268E7" w:rsidP="0060031D">
            <w:pPr>
              <w:pStyle w:val="TAC"/>
            </w:pPr>
            <w:r w:rsidRPr="00B916EC">
              <w:rPr>
                <w:rFonts w:cs="Arial"/>
                <w:kern w:val="24"/>
                <w:szCs w:val="18"/>
              </w:rPr>
              <w:t>96</w:t>
            </w:r>
          </w:p>
        </w:tc>
        <w:tc>
          <w:tcPr>
            <w:tcW w:w="1958" w:type="dxa"/>
            <w:vAlign w:val="center"/>
          </w:tcPr>
          <w:p w14:paraId="6E4120D3" w14:textId="77777777" w:rsidR="002268E7" w:rsidRPr="00B916EC" w:rsidRDefault="002268E7" w:rsidP="0060031D">
            <w:pPr>
              <w:pStyle w:val="TAC"/>
            </w:pPr>
            <w:r w:rsidRPr="00B916EC">
              <w:rPr>
                <w:rFonts w:cs="Arial"/>
                <w:kern w:val="24"/>
                <w:szCs w:val="18"/>
              </w:rPr>
              <w:t>1</w:t>
            </w:r>
          </w:p>
        </w:tc>
        <w:tc>
          <w:tcPr>
            <w:tcW w:w="1411" w:type="dxa"/>
            <w:vAlign w:val="center"/>
          </w:tcPr>
          <w:p w14:paraId="53952AFF" w14:textId="77777777" w:rsidR="002268E7" w:rsidRPr="00B916EC" w:rsidRDefault="002268E7" w:rsidP="0060031D">
            <w:pPr>
              <w:pStyle w:val="TAC"/>
            </w:pPr>
            <w:r w:rsidRPr="00B916EC">
              <w:rPr>
                <w:rFonts w:cs="Arial"/>
                <w:kern w:val="24"/>
                <w:szCs w:val="18"/>
              </w:rPr>
              <w:t>28</w:t>
            </w:r>
          </w:p>
        </w:tc>
      </w:tr>
      <w:tr w:rsidR="002268E7" w:rsidRPr="00B916EC" w14:paraId="07036A10" w14:textId="77777777" w:rsidTr="00B73508">
        <w:trPr>
          <w:cantSplit/>
        </w:trPr>
        <w:tc>
          <w:tcPr>
            <w:tcW w:w="803" w:type="dxa"/>
            <w:tcBorders>
              <w:right w:val="double" w:sz="4" w:space="0" w:color="auto"/>
            </w:tcBorders>
            <w:shd w:val="clear" w:color="auto" w:fill="auto"/>
            <w:vAlign w:val="center"/>
          </w:tcPr>
          <w:p w14:paraId="2AF1B88A" w14:textId="77777777" w:rsidR="002268E7" w:rsidRPr="00B916EC" w:rsidRDefault="002268E7" w:rsidP="0060031D">
            <w:pPr>
              <w:pStyle w:val="TAC"/>
            </w:pPr>
            <w:r w:rsidRPr="00B916EC">
              <w:t>7</w:t>
            </w:r>
          </w:p>
        </w:tc>
        <w:tc>
          <w:tcPr>
            <w:tcW w:w="3584" w:type="dxa"/>
            <w:tcBorders>
              <w:left w:val="double" w:sz="4" w:space="0" w:color="auto"/>
            </w:tcBorders>
            <w:vAlign w:val="center"/>
          </w:tcPr>
          <w:p w14:paraId="16415BEE" w14:textId="77777777" w:rsidR="002268E7" w:rsidRPr="00B916EC" w:rsidRDefault="002268E7" w:rsidP="0060031D">
            <w:pPr>
              <w:pStyle w:val="TAC"/>
            </w:pPr>
            <w:r w:rsidRPr="00B916EC">
              <w:rPr>
                <w:rFonts w:cs="Arial"/>
                <w:kern w:val="24"/>
                <w:szCs w:val="18"/>
              </w:rPr>
              <w:t>1</w:t>
            </w:r>
          </w:p>
        </w:tc>
        <w:tc>
          <w:tcPr>
            <w:tcW w:w="1587" w:type="dxa"/>
            <w:vAlign w:val="center"/>
          </w:tcPr>
          <w:p w14:paraId="64706C1C" w14:textId="77777777" w:rsidR="002268E7" w:rsidRPr="00B916EC" w:rsidRDefault="002268E7" w:rsidP="0060031D">
            <w:pPr>
              <w:pStyle w:val="TAC"/>
            </w:pPr>
            <w:r w:rsidRPr="00B916EC">
              <w:rPr>
                <w:rFonts w:cs="Arial"/>
                <w:kern w:val="24"/>
                <w:szCs w:val="18"/>
              </w:rPr>
              <w:t>96</w:t>
            </w:r>
          </w:p>
        </w:tc>
        <w:tc>
          <w:tcPr>
            <w:tcW w:w="1958" w:type="dxa"/>
            <w:vAlign w:val="center"/>
          </w:tcPr>
          <w:p w14:paraId="47F06648" w14:textId="77777777" w:rsidR="002268E7" w:rsidRPr="00B916EC" w:rsidRDefault="002268E7" w:rsidP="0060031D">
            <w:pPr>
              <w:pStyle w:val="TAC"/>
            </w:pPr>
            <w:r w:rsidRPr="00B916EC">
              <w:rPr>
                <w:rFonts w:cs="Arial"/>
                <w:kern w:val="24"/>
                <w:szCs w:val="18"/>
              </w:rPr>
              <w:t>2</w:t>
            </w:r>
          </w:p>
        </w:tc>
        <w:tc>
          <w:tcPr>
            <w:tcW w:w="1411" w:type="dxa"/>
            <w:vAlign w:val="center"/>
          </w:tcPr>
          <w:p w14:paraId="6C90B883" w14:textId="77777777" w:rsidR="002268E7" w:rsidRPr="00B916EC" w:rsidRDefault="002268E7" w:rsidP="0060031D">
            <w:pPr>
              <w:pStyle w:val="TAC"/>
            </w:pPr>
            <w:r w:rsidRPr="00B916EC">
              <w:rPr>
                <w:rFonts w:cs="Arial"/>
                <w:kern w:val="24"/>
                <w:szCs w:val="18"/>
              </w:rPr>
              <w:t>28</w:t>
            </w:r>
          </w:p>
        </w:tc>
      </w:tr>
      <w:tr w:rsidR="002268E7" w:rsidRPr="00B916EC" w14:paraId="09F67F9E" w14:textId="77777777" w:rsidTr="00B73508">
        <w:trPr>
          <w:cantSplit/>
        </w:trPr>
        <w:tc>
          <w:tcPr>
            <w:tcW w:w="803" w:type="dxa"/>
            <w:tcBorders>
              <w:right w:val="double" w:sz="4" w:space="0" w:color="auto"/>
            </w:tcBorders>
            <w:shd w:val="clear" w:color="auto" w:fill="auto"/>
            <w:vAlign w:val="center"/>
          </w:tcPr>
          <w:p w14:paraId="29088DA7" w14:textId="77777777" w:rsidR="002268E7" w:rsidRPr="00B916EC" w:rsidRDefault="002268E7" w:rsidP="0060031D">
            <w:pPr>
              <w:pStyle w:val="TAC"/>
            </w:pPr>
            <w:r w:rsidRPr="00B916EC">
              <w:t>8</w:t>
            </w:r>
          </w:p>
        </w:tc>
        <w:tc>
          <w:tcPr>
            <w:tcW w:w="3584" w:type="dxa"/>
            <w:tcBorders>
              <w:left w:val="double" w:sz="4" w:space="0" w:color="auto"/>
            </w:tcBorders>
            <w:vAlign w:val="center"/>
          </w:tcPr>
          <w:p w14:paraId="482F0F17" w14:textId="77777777" w:rsidR="002268E7" w:rsidRPr="00B916EC" w:rsidRDefault="002268E7" w:rsidP="0060031D">
            <w:pPr>
              <w:pStyle w:val="TAC"/>
            </w:pPr>
            <w:r w:rsidRPr="00B916EC">
              <w:rPr>
                <w:rFonts w:cs="Arial"/>
                <w:kern w:val="24"/>
                <w:szCs w:val="18"/>
              </w:rPr>
              <w:t>1</w:t>
            </w:r>
          </w:p>
        </w:tc>
        <w:tc>
          <w:tcPr>
            <w:tcW w:w="1587" w:type="dxa"/>
            <w:vAlign w:val="center"/>
          </w:tcPr>
          <w:p w14:paraId="5062D3E0" w14:textId="77777777" w:rsidR="002268E7" w:rsidRPr="00B916EC" w:rsidRDefault="002268E7" w:rsidP="0060031D">
            <w:pPr>
              <w:pStyle w:val="TAC"/>
            </w:pPr>
            <w:r w:rsidRPr="00B916EC">
              <w:rPr>
                <w:rFonts w:cs="Arial"/>
                <w:kern w:val="24"/>
                <w:szCs w:val="18"/>
              </w:rPr>
              <w:t>96</w:t>
            </w:r>
          </w:p>
        </w:tc>
        <w:tc>
          <w:tcPr>
            <w:tcW w:w="1958" w:type="dxa"/>
            <w:vAlign w:val="center"/>
          </w:tcPr>
          <w:p w14:paraId="7A670F24" w14:textId="77777777" w:rsidR="002268E7" w:rsidRPr="00B916EC" w:rsidRDefault="002268E7" w:rsidP="0060031D">
            <w:pPr>
              <w:pStyle w:val="TAC"/>
            </w:pPr>
            <w:r w:rsidRPr="00B916EC">
              <w:rPr>
                <w:rFonts w:cs="Arial"/>
                <w:kern w:val="24"/>
                <w:szCs w:val="18"/>
              </w:rPr>
              <w:t>3</w:t>
            </w:r>
          </w:p>
        </w:tc>
        <w:tc>
          <w:tcPr>
            <w:tcW w:w="1411" w:type="dxa"/>
            <w:vAlign w:val="center"/>
          </w:tcPr>
          <w:p w14:paraId="5EBCBEF4" w14:textId="77777777" w:rsidR="002268E7" w:rsidRPr="00B916EC" w:rsidRDefault="002268E7" w:rsidP="0060031D">
            <w:pPr>
              <w:pStyle w:val="TAC"/>
            </w:pPr>
            <w:r w:rsidRPr="00B916EC">
              <w:rPr>
                <w:rFonts w:cs="Arial"/>
                <w:kern w:val="24"/>
                <w:szCs w:val="18"/>
              </w:rPr>
              <w:t>28</w:t>
            </w:r>
          </w:p>
        </w:tc>
      </w:tr>
      <w:tr w:rsidR="002268E7" w:rsidRPr="00B916EC" w14:paraId="2375CEF7" w14:textId="77777777" w:rsidTr="00B73508">
        <w:trPr>
          <w:cantSplit/>
        </w:trPr>
        <w:tc>
          <w:tcPr>
            <w:tcW w:w="803" w:type="dxa"/>
            <w:tcBorders>
              <w:right w:val="double" w:sz="4" w:space="0" w:color="auto"/>
            </w:tcBorders>
            <w:shd w:val="clear" w:color="auto" w:fill="auto"/>
            <w:vAlign w:val="center"/>
          </w:tcPr>
          <w:p w14:paraId="508A963B" w14:textId="77777777" w:rsidR="002268E7" w:rsidRPr="00B916EC" w:rsidRDefault="002268E7" w:rsidP="0060031D">
            <w:pPr>
              <w:pStyle w:val="TAC"/>
            </w:pPr>
            <w:r w:rsidRPr="00B916EC">
              <w:t>9</w:t>
            </w:r>
          </w:p>
        </w:tc>
        <w:tc>
          <w:tcPr>
            <w:tcW w:w="8540" w:type="dxa"/>
            <w:gridSpan w:val="4"/>
            <w:tcBorders>
              <w:left w:val="double" w:sz="4" w:space="0" w:color="auto"/>
            </w:tcBorders>
            <w:vAlign w:val="center"/>
          </w:tcPr>
          <w:p w14:paraId="6FB23A5C" w14:textId="77777777" w:rsidR="002268E7" w:rsidRPr="00B916EC" w:rsidRDefault="002268E7" w:rsidP="0060031D">
            <w:pPr>
              <w:pStyle w:val="TAC"/>
            </w:pPr>
            <w:r w:rsidRPr="00B916EC">
              <w:rPr>
                <w:rFonts w:cs="Arial"/>
                <w:kern w:val="24"/>
                <w:szCs w:val="18"/>
              </w:rPr>
              <w:t>Reserved</w:t>
            </w:r>
          </w:p>
        </w:tc>
      </w:tr>
      <w:tr w:rsidR="002268E7" w:rsidRPr="00B916EC" w14:paraId="4F1B6763" w14:textId="77777777" w:rsidTr="00B73508">
        <w:trPr>
          <w:cantSplit/>
        </w:trPr>
        <w:tc>
          <w:tcPr>
            <w:tcW w:w="803" w:type="dxa"/>
            <w:tcBorders>
              <w:right w:val="double" w:sz="4" w:space="0" w:color="auto"/>
            </w:tcBorders>
            <w:shd w:val="clear" w:color="auto" w:fill="auto"/>
            <w:vAlign w:val="center"/>
          </w:tcPr>
          <w:p w14:paraId="799190CD" w14:textId="77777777" w:rsidR="002268E7" w:rsidRPr="00B916EC" w:rsidRDefault="002268E7" w:rsidP="0060031D">
            <w:pPr>
              <w:pStyle w:val="TAC"/>
            </w:pPr>
            <w:r w:rsidRPr="00B916EC">
              <w:t>10</w:t>
            </w:r>
          </w:p>
        </w:tc>
        <w:tc>
          <w:tcPr>
            <w:tcW w:w="8540" w:type="dxa"/>
            <w:gridSpan w:val="4"/>
            <w:tcBorders>
              <w:left w:val="double" w:sz="4" w:space="0" w:color="auto"/>
            </w:tcBorders>
            <w:vAlign w:val="center"/>
          </w:tcPr>
          <w:p w14:paraId="606CF5B7" w14:textId="77777777" w:rsidR="002268E7" w:rsidRPr="00B916EC" w:rsidRDefault="002268E7" w:rsidP="0060031D">
            <w:pPr>
              <w:pStyle w:val="TAC"/>
            </w:pPr>
            <w:r w:rsidRPr="00B916EC">
              <w:rPr>
                <w:rFonts w:cs="Arial"/>
                <w:kern w:val="24"/>
                <w:szCs w:val="18"/>
              </w:rPr>
              <w:t>Reserved</w:t>
            </w:r>
          </w:p>
        </w:tc>
      </w:tr>
      <w:tr w:rsidR="002268E7" w:rsidRPr="00B916EC" w14:paraId="5599C6FC" w14:textId="77777777" w:rsidTr="00B73508">
        <w:trPr>
          <w:cantSplit/>
        </w:trPr>
        <w:tc>
          <w:tcPr>
            <w:tcW w:w="803" w:type="dxa"/>
            <w:tcBorders>
              <w:right w:val="double" w:sz="4" w:space="0" w:color="auto"/>
            </w:tcBorders>
            <w:shd w:val="clear" w:color="auto" w:fill="auto"/>
            <w:vAlign w:val="center"/>
          </w:tcPr>
          <w:p w14:paraId="695A2F1B" w14:textId="77777777" w:rsidR="002268E7" w:rsidRPr="00B916EC" w:rsidRDefault="002268E7" w:rsidP="0060031D">
            <w:pPr>
              <w:pStyle w:val="TAC"/>
            </w:pPr>
            <w:r w:rsidRPr="00B916EC">
              <w:t>11</w:t>
            </w:r>
          </w:p>
        </w:tc>
        <w:tc>
          <w:tcPr>
            <w:tcW w:w="8540" w:type="dxa"/>
            <w:gridSpan w:val="4"/>
            <w:tcBorders>
              <w:left w:val="double" w:sz="4" w:space="0" w:color="auto"/>
            </w:tcBorders>
            <w:vAlign w:val="center"/>
          </w:tcPr>
          <w:p w14:paraId="43CE1F76" w14:textId="77777777" w:rsidR="002268E7" w:rsidRPr="00B916EC" w:rsidRDefault="002268E7" w:rsidP="0060031D">
            <w:pPr>
              <w:pStyle w:val="TAC"/>
            </w:pPr>
            <w:r w:rsidRPr="00B916EC">
              <w:rPr>
                <w:rFonts w:cs="Arial"/>
                <w:kern w:val="24"/>
                <w:szCs w:val="18"/>
              </w:rPr>
              <w:t>Reserved</w:t>
            </w:r>
          </w:p>
        </w:tc>
      </w:tr>
      <w:tr w:rsidR="002268E7" w:rsidRPr="00B916EC" w14:paraId="3BBAE15D" w14:textId="77777777" w:rsidTr="00B73508">
        <w:trPr>
          <w:cantSplit/>
        </w:trPr>
        <w:tc>
          <w:tcPr>
            <w:tcW w:w="803" w:type="dxa"/>
            <w:tcBorders>
              <w:right w:val="double" w:sz="4" w:space="0" w:color="auto"/>
            </w:tcBorders>
            <w:shd w:val="clear" w:color="auto" w:fill="auto"/>
            <w:vAlign w:val="center"/>
          </w:tcPr>
          <w:p w14:paraId="07739894" w14:textId="77777777" w:rsidR="002268E7" w:rsidRPr="00B916EC" w:rsidRDefault="002268E7" w:rsidP="0060031D">
            <w:pPr>
              <w:pStyle w:val="TAC"/>
            </w:pPr>
            <w:r w:rsidRPr="00B916EC">
              <w:t>12</w:t>
            </w:r>
          </w:p>
        </w:tc>
        <w:tc>
          <w:tcPr>
            <w:tcW w:w="8540" w:type="dxa"/>
            <w:gridSpan w:val="4"/>
            <w:tcBorders>
              <w:left w:val="double" w:sz="4" w:space="0" w:color="auto"/>
            </w:tcBorders>
            <w:vAlign w:val="center"/>
          </w:tcPr>
          <w:p w14:paraId="78B10FDF" w14:textId="77777777" w:rsidR="002268E7" w:rsidRPr="00B916EC" w:rsidRDefault="002268E7" w:rsidP="0060031D">
            <w:pPr>
              <w:pStyle w:val="TAC"/>
            </w:pPr>
            <w:r w:rsidRPr="00B916EC">
              <w:rPr>
                <w:rFonts w:cs="Arial"/>
                <w:kern w:val="24"/>
                <w:szCs w:val="18"/>
              </w:rPr>
              <w:t>Reserved</w:t>
            </w:r>
          </w:p>
        </w:tc>
      </w:tr>
      <w:tr w:rsidR="002268E7" w:rsidRPr="00B916EC" w14:paraId="328F1D15" w14:textId="77777777" w:rsidTr="00B73508">
        <w:trPr>
          <w:cantSplit/>
        </w:trPr>
        <w:tc>
          <w:tcPr>
            <w:tcW w:w="803" w:type="dxa"/>
            <w:tcBorders>
              <w:right w:val="double" w:sz="4" w:space="0" w:color="auto"/>
            </w:tcBorders>
            <w:shd w:val="clear" w:color="auto" w:fill="auto"/>
            <w:vAlign w:val="center"/>
          </w:tcPr>
          <w:p w14:paraId="0B64704D" w14:textId="77777777" w:rsidR="002268E7" w:rsidRPr="00B916EC" w:rsidRDefault="002268E7" w:rsidP="0060031D">
            <w:pPr>
              <w:pStyle w:val="TAC"/>
            </w:pPr>
            <w:r w:rsidRPr="00B916EC">
              <w:t>13</w:t>
            </w:r>
          </w:p>
        </w:tc>
        <w:tc>
          <w:tcPr>
            <w:tcW w:w="8540" w:type="dxa"/>
            <w:gridSpan w:val="4"/>
            <w:tcBorders>
              <w:left w:val="double" w:sz="4" w:space="0" w:color="auto"/>
            </w:tcBorders>
            <w:vAlign w:val="center"/>
          </w:tcPr>
          <w:p w14:paraId="2734E056" w14:textId="77777777" w:rsidR="002268E7" w:rsidRPr="00B916EC" w:rsidRDefault="002268E7" w:rsidP="0060031D">
            <w:pPr>
              <w:pStyle w:val="TAC"/>
            </w:pPr>
            <w:r w:rsidRPr="00B916EC">
              <w:rPr>
                <w:rFonts w:cs="Arial"/>
                <w:kern w:val="24"/>
                <w:szCs w:val="18"/>
              </w:rPr>
              <w:t>Reserved</w:t>
            </w:r>
          </w:p>
        </w:tc>
      </w:tr>
      <w:tr w:rsidR="002268E7" w:rsidRPr="00B916EC" w14:paraId="16003503" w14:textId="77777777" w:rsidTr="00B73508">
        <w:trPr>
          <w:cantSplit/>
        </w:trPr>
        <w:tc>
          <w:tcPr>
            <w:tcW w:w="803" w:type="dxa"/>
            <w:tcBorders>
              <w:right w:val="double" w:sz="4" w:space="0" w:color="auto"/>
            </w:tcBorders>
            <w:shd w:val="clear" w:color="auto" w:fill="auto"/>
            <w:vAlign w:val="center"/>
          </w:tcPr>
          <w:p w14:paraId="375B804D" w14:textId="77777777" w:rsidR="002268E7" w:rsidRPr="00B916EC" w:rsidRDefault="002268E7" w:rsidP="0060031D">
            <w:pPr>
              <w:pStyle w:val="TAC"/>
            </w:pPr>
            <w:r w:rsidRPr="00B916EC">
              <w:t>14</w:t>
            </w:r>
          </w:p>
        </w:tc>
        <w:tc>
          <w:tcPr>
            <w:tcW w:w="8540" w:type="dxa"/>
            <w:gridSpan w:val="4"/>
            <w:tcBorders>
              <w:left w:val="double" w:sz="4" w:space="0" w:color="auto"/>
            </w:tcBorders>
            <w:vAlign w:val="center"/>
          </w:tcPr>
          <w:p w14:paraId="4C55E35D" w14:textId="77777777" w:rsidR="002268E7" w:rsidRPr="00B916EC" w:rsidRDefault="002268E7" w:rsidP="0060031D">
            <w:pPr>
              <w:pStyle w:val="TAC"/>
            </w:pPr>
            <w:r w:rsidRPr="00B916EC">
              <w:rPr>
                <w:rFonts w:cs="Arial"/>
                <w:kern w:val="24"/>
                <w:szCs w:val="18"/>
              </w:rPr>
              <w:t>Reserved</w:t>
            </w:r>
          </w:p>
        </w:tc>
      </w:tr>
      <w:tr w:rsidR="002268E7" w:rsidRPr="00B916EC" w14:paraId="3B56EF4C" w14:textId="77777777" w:rsidTr="00B73508">
        <w:trPr>
          <w:cantSplit/>
        </w:trPr>
        <w:tc>
          <w:tcPr>
            <w:tcW w:w="803" w:type="dxa"/>
            <w:tcBorders>
              <w:right w:val="double" w:sz="4" w:space="0" w:color="auto"/>
            </w:tcBorders>
            <w:shd w:val="clear" w:color="auto" w:fill="auto"/>
            <w:vAlign w:val="center"/>
          </w:tcPr>
          <w:p w14:paraId="20FE7FD8" w14:textId="77777777" w:rsidR="002268E7" w:rsidRPr="00B916EC" w:rsidRDefault="002268E7" w:rsidP="0060031D">
            <w:pPr>
              <w:pStyle w:val="TAC"/>
            </w:pPr>
            <w:r w:rsidRPr="00B916EC">
              <w:t>15</w:t>
            </w:r>
          </w:p>
        </w:tc>
        <w:tc>
          <w:tcPr>
            <w:tcW w:w="8540" w:type="dxa"/>
            <w:gridSpan w:val="4"/>
            <w:tcBorders>
              <w:left w:val="double" w:sz="4" w:space="0" w:color="auto"/>
            </w:tcBorders>
            <w:vAlign w:val="center"/>
          </w:tcPr>
          <w:p w14:paraId="5E7B4D72" w14:textId="77777777" w:rsidR="002268E7" w:rsidRPr="00B916EC" w:rsidRDefault="002268E7" w:rsidP="0060031D">
            <w:pPr>
              <w:pStyle w:val="TAC"/>
            </w:pPr>
            <w:r w:rsidRPr="00B916EC">
              <w:rPr>
                <w:rFonts w:cs="Arial"/>
                <w:kern w:val="24"/>
                <w:szCs w:val="18"/>
              </w:rPr>
              <w:t>Reserved</w:t>
            </w:r>
          </w:p>
        </w:tc>
      </w:tr>
    </w:tbl>
    <w:p w14:paraId="11270B22" w14:textId="77777777" w:rsidR="004A0D85" w:rsidRPr="00B916EC" w:rsidRDefault="004A0D85" w:rsidP="004A0D85"/>
    <w:p w14:paraId="21E2C6A2" w14:textId="6A431ECC" w:rsidR="009B1799" w:rsidRPr="00B916EC" w:rsidRDefault="009B1799" w:rsidP="00B06B6C">
      <w:pPr>
        <w:pStyle w:val="TH"/>
      </w:pPr>
      <w:r w:rsidRPr="00B916EC">
        <w:t>Table 1</w:t>
      </w:r>
      <w:r w:rsidR="00EC0649">
        <w:t>3</w:t>
      </w:r>
      <w:r w:rsidRPr="00B916EC">
        <w:t xml:space="preserve">-4: Set of resource blocks and slot symbols of </w:t>
      </w:r>
      <w:r w:rsidR="00C76664">
        <w:t>CORESET</w:t>
      </w:r>
      <w:r w:rsidRPr="00B916EC">
        <w:t xml:space="preserve"> for Type0-PDCCH search space</w:t>
      </w:r>
      <w:r w:rsidR="00ED0EE2">
        <w:t xml:space="preserve"> set</w:t>
      </w:r>
      <w:r w:rsidRPr="00B916EC">
        <w:t xml:space="preserve"> when {SS/PBCH block, PDCCH} </w:t>
      </w:r>
      <w:r w:rsidR="00143099">
        <w:t>SCS</w:t>
      </w:r>
      <w:r w:rsidRPr="00B916EC">
        <w:t xml:space="preserve"> is {30, 30} kHz</w:t>
      </w:r>
      <w:r w:rsidR="00D561F4" w:rsidRPr="00D561F4">
        <w:rPr>
          <w:rFonts w:cs="Arial" w:hint="eastAsia"/>
          <w:lang w:val="en-US" w:eastAsia="zh-CN"/>
        </w:rPr>
        <w:t xml:space="preserve"> </w:t>
      </w:r>
      <w:r w:rsidR="00D561F4" w:rsidRPr="00F548CF">
        <w:rPr>
          <w:rFonts w:cs="Arial" w:hint="eastAsia"/>
          <w:lang w:val="en-US" w:eastAsia="zh-CN"/>
        </w:rPr>
        <w:t>for frequency bands</w:t>
      </w:r>
      <w:r w:rsidR="00BC794F" w:rsidRPr="00BC794F">
        <w:t xml:space="preserve"> with minimum channel bandwidth 5 MHz or 10 MHz</w:t>
      </w:r>
      <w:r w:rsidR="00D54F38">
        <w:t xml:space="preserve"> </w:t>
      </w:r>
      <w:r w:rsidR="00D54F38" w:rsidRPr="0024770A">
        <w:t xml:space="preserve">except for the frequency bands </w:t>
      </w:r>
      <w:r w:rsidR="00466CED">
        <w:t>defined by note 17 of Table 5.2-1</w:t>
      </w:r>
      <w:r w:rsidR="00D54F38" w:rsidRPr="0024770A">
        <w:t xml:space="preserve"> in [</w:t>
      </w:r>
      <w:r w:rsidR="006A7896">
        <w:t>8-1</w:t>
      </w:r>
      <w:r w:rsidR="00D54F38" w:rsidRPr="0024770A">
        <w:t xml:space="preserve">, </w:t>
      </w:r>
      <w:r w:rsidR="00295E42">
        <w:t>TS 38.</w:t>
      </w:r>
      <w:r w:rsidR="00D54F38" w:rsidRPr="0024770A">
        <w:t>101-1]</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
        <w:gridCol w:w="3584"/>
        <w:gridCol w:w="1587"/>
        <w:gridCol w:w="1958"/>
        <w:gridCol w:w="1411"/>
      </w:tblGrid>
      <w:tr w:rsidR="000C2450" w:rsidRPr="00B916EC" w14:paraId="235F0E4D" w14:textId="77777777" w:rsidTr="00B73508">
        <w:trPr>
          <w:cantSplit/>
        </w:trPr>
        <w:tc>
          <w:tcPr>
            <w:tcW w:w="803" w:type="dxa"/>
            <w:tcBorders>
              <w:bottom w:val="double" w:sz="4" w:space="0" w:color="auto"/>
              <w:right w:val="double" w:sz="4" w:space="0" w:color="auto"/>
            </w:tcBorders>
            <w:shd w:val="clear" w:color="auto" w:fill="E0E0E0"/>
            <w:vAlign w:val="center"/>
          </w:tcPr>
          <w:p w14:paraId="13EAFFEF" w14:textId="77777777" w:rsidR="000C2450" w:rsidRPr="00B916EC" w:rsidRDefault="000C2450" w:rsidP="000C2450">
            <w:pPr>
              <w:pStyle w:val="TAH"/>
              <w:rPr>
                <w:bCs/>
                <w:lang w:val="en-US"/>
              </w:rPr>
            </w:pPr>
            <w:r w:rsidRPr="00B916EC">
              <w:rPr>
                <w:bCs/>
                <w:lang w:val="en-US"/>
              </w:rPr>
              <w:t>Index</w:t>
            </w:r>
          </w:p>
        </w:tc>
        <w:tc>
          <w:tcPr>
            <w:tcW w:w="3584" w:type="dxa"/>
            <w:tcBorders>
              <w:left w:val="double" w:sz="4" w:space="0" w:color="auto"/>
              <w:bottom w:val="double" w:sz="4" w:space="0" w:color="auto"/>
            </w:tcBorders>
            <w:shd w:val="clear" w:color="auto" w:fill="E0E0E0"/>
            <w:vAlign w:val="center"/>
          </w:tcPr>
          <w:p w14:paraId="39692773" w14:textId="77777777" w:rsidR="000C2450" w:rsidRPr="00B916EC" w:rsidRDefault="000C2450" w:rsidP="000C2450">
            <w:pPr>
              <w:pStyle w:val="TAH"/>
              <w:rPr>
                <w:bCs/>
                <w:lang w:val="en-US"/>
              </w:rPr>
            </w:pPr>
            <w:r w:rsidRPr="00B916EC">
              <w:rPr>
                <w:rFonts w:cs="Arial"/>
                <w:kern w:val="24"/>
              </w:rPr>
              <w:t xml:space="preserve">SS/PBCH block and </w:t>
            </w:r>
            <w:r>
              <w:rPr>
                <w:rFonts w:cs="Arial"/>
                <w:kern w:val="24"/>
              </w:rPr>
              <w:t>CORESET</w:t>
            </w:r>
            <w:r w:rsidRPr="00B916EC">
              <w:rPr>
                <w:rFonts w:cs="Arial"/>
                <w:kern w:val="24"/>
              </w:rPr>
              <w:t xml:space="preserve"> multiplexing pattern </w:t>
            </w:r>
          </w:p>
        </w:tc>
        <w:tc>
          <w:tcPr>
            <w:tcW w:w="1587" w:type="dxa"/>
            <w:tcBorders>
              <w:bottom w:val="double" w:sz="4" w:space="0" w:color="auto"/>
            </w:tcBorders>
            <w:shd w:val="clear" w:color="auto" w:fill="E0E0E0"/>
            <w:vAlign w:val="center"/>
          </w:tcPr>
          <w:p w14:paraId="121B4664" w14:textId="549AD0D5" w:rsidR="000C2450" w:rsidRPr="00B916EC" w:rsidRDefault="000C2450" w:rsidP="000C2450">
            <w:pPr>
              <w:pStyle w:val="TAH"/>
              <w:rPr>
                <w:bCs/>
                <w:lang w:val="en-US"/>
              </w:rPr>
            </w:pPr>
            <w:r w:rsidRPr="00B27E56">
              <w:rPr>
                <w:rFonts w:cs="Arial"/>
                <w:kern w:val="24"/>
              </w:rPr>
              <w:t xml:space="preserve">Number of RBs </w:t>
            </w:r>
            <m:oMath>
              <m:sSubSup>
                <m:sSubSupPr>
                  <m:ctrlPr>
                    <w:rPr>
                      <w:rFonts w:ascii="Cambria Math" w:hAnsi="Cambria Math"/>
                      <w:i/>
                    </w:rPr>
                  </m:ctrlPr>
                </m:sSubSupPr>
                <m:e>
                  <m:r>
                    <m:rPr>
                      <m:sty m:val="bi"/>
                    </m:rPr>
                    <w:rPr>
                      <w:rFonts w:ascii="Cambria Math"/>
                    </w:rPr>
                    <m:t>N</m:t>
                  </m:r>
                </m:e>
                <m:sub>
                  <m:r>
                    <m:rPr>
                      <m:nor/>
                    </m:rPr>
                    <w:rPr>
                      <w:rFonts w:ascii="Cambria Math"/>
                    </w:rPr>
                    <m:t>RB</m:t>
                  </m:r>
                  <m:ctrlPr>
                    <w:rPr>
                      <w:rFonts w:ascii="Cambria Math" w:hAnsi="Cambria Math"/>
                    </w:rPr>
                  </m:ctrlPr>
                </m:sub>
                <m:sup>
                  <m:r>
                    <m:rPr>
                      <m:nor/>
                    </m:rPr>
                    <w:rPr>
                      <w:rFonts w:ascii="Cambria Math"/>
                    </w:rPr>
                    <m:t>CORESET</m:t>
                  </m:r>
                  <m:ctrlPr>
                    <w:rPr>
                      <w:rFonts w:ascii="Cambria Math" w:hAnsi="Cambria Math"/>
                    </w:rPr>
                  </m:ctrlPr>
                </m:sup>
              </m:sSubSup>
            </m:oMath>
          </w:p>
        </w:tc>
        <w:tc>
          <w:tcPr>
            <w:tcW w:w="1958" w:type="dxa"/>
            <w:tcBorders>
              <w:bottom w:val="double" w:sz="4" w:space="0" w:color="auto"/>
            </w:tcBorders>
            <w:shd w:val="clear" w:color="auto" w:fill="E0E0E0"/>
            <w:vAlign w:val="center"/>
          </w:tcPr>
          <w:p w14:paraId="3B68151D" w14:textId="524A506C" w:rsidR="000C2450" w:rsidRPr="00B916EC" w:rsidRDefault="000C2450" w:rsidP="000C2450">
            <w:pPr>
              <w:pStyle w:val="TAH"/>
              <w:rPr>
                <w:bCs/>
                <w:lang w:val="en-US"/>
              </w:rPr>
            </w:pPr>
            <w:r w:rsidRPr="00B27E56">
              <w:rPr>
                <w:rFonts w:cs="Arial"/>
                <w:kern w:val="24"/>
              </w:rPr>
              <w:t xml:space="preserve">Number of Symbols </w:t>
            </w:r>
            <m:oMath>
              <m:sSubSup>
                <m:sSubSupPr>
                  <m:ctrlPr>
                    <w:rPr>
                      <w:rFonts w:ascii="Cambria Math" w:hAnsi="Cambria Math"/>
                      <w:i/>
                    </w:rPr>
                  </m:ctrlPr>
                </m:sSubSupPr>
                <m:e>
                  <m:r>
                    <m:rPr>
                      <m:sty m:val="bi"/>
                    </m:rPr>
                    <w:rPr>
                      <w:rFonts w:ascii="Cambria Math"/>
                    </w:rPr>
                    <m:t>N</m:t>
                  </m:r>
                </m:e>
                <m:sub>
                  <m:r>
                    <m:rPr>
                      <m:nor/>
                    </m:rPr>
                    <w:rPr>
                      <w:rFonts w:ascii="Cambria Math"/>
                    </w:rPr>
                    <m:t>symb</m:t>
                  </m:r>
                  <m:ctrlPr>
                    <w:rPr>
                      <w:rFonts w:ascii="Cambria Math" w:hAnsi="Cambria Math"/>
                    </w:rPr>
                  </m:ctrlPr>
                </m:sub>
                <m:sup>
                  <m:r>
                    <m:rPr>
                      <m:nor/>
                    </m:rPr>
                    <w:rPr>
                      <w:rFonts w:ascii="Cambria Math"/>
                    </w:rPr>
                    <m:t>CORESET</m:t>
                  </m:r>
                  <m:ctrlPr>
                    <w:rPr>
                      <w:rFonts w:ascii="Cambria Math" w:hAnsi="Cambria Math"/>
                    </w:rPr>
                  </m:ctrlPr>
                </m:sup>
              </m:sSubSup>
            </m:oMath>
            <w:r w:rsidRPr="00B27E56">
              <w:rPr>
                <w:rFonts w:cs="Arial"/>
                <w:kern w:val="24"/>
              </w:rPr>
              <w:t xml:space="preserve"> </w:t>
            </w:r>
          </w:p>
        </w:tc>
        <w:tc>
          <w:tcPr>
            <w:tcW w:w="1411" w:type="dxa"/>
            <w:tcBorders>
              <w:bottom w:val="double" w:sz="4" w:space="0" w:color="auto"/>
            </w:tcBorders>
            <w:shd w:val="clear" w:color="auto" w:fill="E0E0E0"/>
            <w:vAlign w:val="center"/>
          </w:tcPr>
          <w:p w14:paraId="22FEC883" w14:textId="77777777" w:rsidR="000C2450" w:rsidRPr="00B916EC" w:rsidRDefault="000C2450" w:rsidP="000C2450">
            <w:pPr>
              <w:pStyle w:val="TAH"/>
              <w:rPr>
                <w:bCs/>
                <w:lang w:val="en-US"/>
              </w:rPr>
            </w:pPr>
            <w:r w:rsidRPr="00B916EC">
              <w:rPr>
                <w:rFonts w:cs="Arial"/>
                <w:kern w:val="24"/>
              </w:rPr>
              <w:t xml:space="preserve">Offset (RBs) </w:t>
            </w:r>
          </w:p>
        </w:tc>
      </w:tr>
      <w:tr w:rsidR="002268E7" w:rsidRPr="00B916EC" w14:paraId="44BE065D" w14:textId="77777777" w:rsidTr="00B73508">
        <w:trPr>
          <w:cantSplit/>
        </w:trPr>
        <w:tc>
          <w:tcPr>
            <w:tcW w:w="803" w:type="dxa"/>
            <w:tcBorders>
              <w:top w:val="double" w:sz="4" w:space="0" w:color="auto"/>
              <w:right w:val="double" w:sz="4" w:space="0" w:color="auto"/>
            </w:tcBorders>
            <w:shd w:val="clear" w:color="auto" w:fill="auto"/>
            <w:vAlign w:val="center"/>
          </w:tcPr>
          <w:p w14:paraId="10B4691B" w14:textId="77777777" w:rsidR="002268E7" w:rsidRPr="00B916EC" w:rsidRDefault="002268E7" w:rsidP="0060031D">
            <w:pPr>
              <w:pStyle w:val="TAC"/>
              <w:rPr>
                <w:lang w:val="en-US"/>
              </w:rPr>
            </w:pPr>
            <w:r w:rsidRPr="00B916EC">
              <w:rPr>
                <w:lang w:val="en-US"/>
              </w:rPr>
              <w:t>0</w:t>
            </w:r>
          </w:p>
        </w:tc>
        <w:tc>
          <w:tcPr>
            <w:tcW w:w="3584" w:type="dxa"/>
            <w:tcBorders>
              <w:top w:val="double" w:sz="4" w:space="0" w:color="auto"/>
              <w:left w:val="double" w:sz="4" w:space="0" w:color="auto"/>
            </w:tcBorders>
            <w:vAlign w:val="center"/>
          </w:tcPr>
          <w:p w14:paraId="7430EF12" w14:textId="77777777" w:rsidR="002268E7" w:rsidRPr="00B916EC" w:rsidRDefault="002268E7" w:rsidP="0060031D">
            <w:pPr>
              <w:pStyle w:val="TAC"/>
              <w:rPr>
                <w:lang w:val="en-US"/>
              </w:rPr>
            </w:pPr>
            <w:r w:rsidRPr="00B916EC">
              <w:rPr>
                <w:rFonts w:cs="Arial"/>
                <w:kern w:val="24"/>
                <w:szCs w:val="18"/>
              </w:rPr>
              <w:t xml:space="preserve">1 </w:t>
            </w:r>
          </w:p>
        </w:tc>
        <w:tc>
          <w:tcPr>
            <w:tcW w:w="1587" w:type="dxa"/>
            <w:tcBorders>
              <w:top w:val="double" w:sz="4" w:space="0" w:color="auto"/>
            </w:tcBorders>
            <w:vAlign w:val="center"/>
          </w:tcPr>
          <w:p w14:paraId="14508392" w14:textId="77777777" w:rsidR="002268E7" w:rsidRPr="00B916EC" w:rsidRDefault="002268E7" w:rsidP="0060031D">
            <w:pPr>
              <w:pStyle w:val="TAC"/>
              <w:rPr>
                <w:lang w:val="en-US"/>
              </w:rPr>
            </w:pPr>
            <w:r w:rsidRPr="00B916EC">
              <w:rPr>
                <w:rFonts w:cs="Arial"/>
                <w:kern w:val="24"/>
                <w:szCs w:val="18"/>
              </w:rPr>
              <w:t>24</w:t>
            </w:r>
          </w:p>
        </w:tc>
        <w:tc>
          <w:tcPr>
            <w:tcW w:w="1958" w:type="dxa"/>
            <w:tcBorders>
              <w:top w:val="double" w:sz="4" w:space="0" w:color="auto"/>
            </w:tcBorders>
            <w:vAlign w:val="center"/>
          </w:tcPr>
          <w:p w14:paraId="6FD43F98" w14:textId="77777777" w:rsidR="002268E7" w:rsidRPr="00B916EC" w:rsidRDefault="002268E7" w:rsidP="0060031D">
            <w:pPr>
              <w:pStyle w:val="TAC"/>
              <w:rPr>
                <w:lang w:val="en-US"/>
              </w:rPr>
            </w:pPr>
            <w:r w:rsidRPr="00B916EC">
              <w:rPr>
                <w:rFonts w:cs="Arial"/>
                <w:kern w:val="24"/>
                <w:szCs w:val="18"/>
              </w:rPr>
              <w:t>2</w:t>
            </w:r>
          </w:p>
        </w:tc>
        <w:tc>
          <w:tcPr>
            <w:tcW w:w="1411" w:type="dxa"/>
            <w:tcBorders>
              <w:top w:val="double" w:sz="4" w:space="0" w:color="auto"/>
            </w:tcBorders>
            <w:vAlign w:val="center"/>
          </w:tcPr>
          <w:p w14:paraId="3C9895F7" w14:textId="77777777" w:rsidR="002268E7" w:rsidRPr="00B916EC" w:rsidRDefault="002268E7" w:rsidP="0060031D">
            <w:pPr>
              <w:pStyle w:val="TAC"/>
              <w:rPr>
                <w:lang w:val="en-US"/>
              </w:rPr>
            </w:pPr>
            <w:r w:rsidRPr="00B916EC">
              <w:rPr>
                <w:rFonts w:cs="Arial"/>
                <w:kern w:val="24"/>
                <w:szCs w:val="18"/>
              </w:rPr>
              <w:t>0</w:t>
            </w:r>
          </w:p>
        </w:tc>
      </w:tr>
      <w:tr w:rsidR="002268E7" w:rsidRPr="00B916EC" w14:paraId="5B7F9491" w14:textId="77777777" w:rsidTr="00B73508">
        <w:trPr>
          <w:cantSplit/>
        </w:trPr>
        <w:tc>
          <w:tcPr>
            <w:tcW w:w="803" w:type="dxa"/>
            <w:tcBorders>
              <w:right w:val="double" w:sz="4" w:space="0" w:color="auto"/>
            </w:tcBorders>
            <w:shd w:val="clear" w:color="auto" w:fill="auto"/>
            <w:vAlign w:val="center"/>
          </w:tcPr>
          <w:p w14:paraId="4906EB43" w14:textId="77777777" w:rsidR="002268E7" w:rsidRPr="00B916EC" w:rsidRDefault="002268E7" w:rsidP="0060031D">
            <w:pPr>
              <w:pStyle w:val="TAC"/>
              <w:rPr>
                <w:lang w:val="en-US"/>
              </w:rPr>
            </w:pPr>
            <w:r w:rsidRPr="00B916EC">
              <w:rPr>
                <w:lang w:val="en-US"/>
              </w:rPr>
              <w:t>1</w:t>
            </w:r>
          </w:p>
        </w:tc>
        <w:tc>
          <w:tcPr>
            <w:tcW w:w="3584" w:type="dxa"/>
            <w:tcBorders>
              <w:left w:val="double" w:sz="4" w:space="0" w:color="auto"/>
            </w:tcBorders>
            <w:vAlign w:val="center"/>
          </w:tcPr>
          <w:p w14:paraId="297C3C23" w14:textId="77777777" w:rsidR="002268E7" w:rsidRPr="00B916EC" w:rsidRDefault="002268E7" w:rsidP="0060031D">
            <w:pPr>
              <w:pStyle w:val="TAC"/>
              <w:rPr>
                <w:lang w:val="en-US"/>
              </w:rPr>
            </w:pPr>
            <w:r w:rsidRPr="00B916EC">
              <w:rPr>
                <w:rFonts w:cs="Arial"/>
                <w:kern w:val="24"/>
                <w:szCs w:val="18"/>
              </w:rPr>
              <w:t xml:space="preserve">1 </w:t>
            </w:r>
          </w:p>
        </w:tc>
        <w:tc>
          <w:tcPr>
            <w:tcW w:w="1587" w:type="dxa"/>
            <w:vAlign w:val="center"/>
          </w:tcPr>
          <w:p w14:paraId="1E1BD98B" w14:textId="77777777" w:rsidR="002268E7" w:rsidRPr="00B916EC" w:rsidRDefault="002268E7" w:rsidP="0060031D">
            <w:pPr>
              <w:pStyle w:val="TAC"/>
              <w:rPr>
                <w:lang w:val="en-US"/>
              </w:rPr>
            </w:pPr>
            <w:r w:rsidRPr="00B916EC">
              <w:rPr>
                <w:rFonts w:cs="Arial"/>
                <w:kern w:val="24"/>
                <w:szCs w:val="18"/>
              </w:rPr>
              <w:t>24</w:t>
            </w:r>
          </w:p>
        </w:tc>
        <w:tc>
          <w:tcPr>
            <w:tcW w:w="1958" w:type="dxa"/>
            <w:vAlign w:val="center"/>
          </w:tcPr>
          <w:p w14:paraId="2D756045" w14:textId="77777777" w:rsidR="002268E7" w:rsidRPr="00B916EC" w:rsidRDefault="002268E7" w:rsidP="0060031D">
            <w:pPr>
              <w:pStyle w:val="TAC"/>
              <w:rPr>
                <w:lang w:val="en-US"/>
              </w:rPr>
            </w:pPr>
            <w:r w:rsidRPr="00B916EC">
              <w:rPr>
                <w:rFonts w:cs="Arial"/>
                <w:kern w:val="24"/>
                <w:szCs w:val="18"/>
              </w:rPr>
              <w:t>2</w:t>
            </w:r>
          </w:p>
        </w:tc>
        <w:tc>
          <w:tcPr>
            <w:tcW w:w="1411" w:type="dxa"/>
            <w:vAlign w:val="center"/>
          </w:tcPr>
          <w:p w14:paraId="0AFB0871" w14:textId="77777777" w:rsidR="002268E7" w:rsidRPr="00B916EC" w:rsidRDefault="002268E7" w:rsidP="0060031D">
            <w:pPr>
              <w:pStyle w:val="TAC"/>
              <w:rPr>
                <w:lang w:val="en-US"/>
              </w:rPr>
            </w:pPr>
            <w:r w:rsidRPr="00B916EC">
              <w:rPr>
                <w:rFonts w:cs="Arial"/>
                <w:kern w:val="24"/>
                <w:szCs w:val="18"/>
              </w:rPr>
              <w:t>1</w:t>
            </w:r>
          </w:p>
        </w:tc>
      </w:tr>
      <w:tr w:rsidR="002268E7" w:rsidRPr="00B916EC" w14:paraId="34D7B400" w14:textId="77777777" w:rsidTr="00B73508">
        <w:trPr>
          <w:cantSplit/>
        </w:trPr>
        <w:tc>
          <w:tcPr>
            <w:tcW w:w="803" w:type="dxa"/>
            <w:tcBorders>
              <w:right w:val="double" w:sz="4" w:space="0" w:color="auto"/>
            </w:tcBorders>
            <w:shd w:val="clear" w:color="auto" w:fill="auto"/>
            <w:vAlign w:val="center"/>
          </w:tcPr>
          <w:p w14:paraId="48735D63" w14:textId="77777777" w:rsidR="002268E7" w:rsidRPr="00B916EC" w:rsidRDefault="002268E7" w:rsidP="0060031D">
            <w:pPr>
              <w:pStyle w:val="TAC"/>
            </w:pPr>
            <w:r w:rsidRPr="00B916EC">
              <w:t>2</w:t>
            </w:r>
          </w:p>
        </w:tc>
        <w:tc>
          <w:tcPr>
            <w:tcW w:w="3584" w:type="dxa"/>
            <w:tcBorders>
              <w:left w:val="double" w:sz="4" w:space="0" w:color="auto"/>
            </w:tcBorders>
            <w:vAlign w:val="center"/>
          </w:tcPr>
          <w:p w14:paraId="0CD26939" w14:textId="77777777" w:rsidR="002268E7" w:rsidRPr="00B916EC" w:rsidRDefault="002268E7" w:rsidP="0060031D">
            <w:pPr>
              <w:pStyle w:val="TAC"/>
            </w:pPr>
            <w:r w:rsidRPr="00B916EC">
              <w:rPr>
                <w:rFonts w:cs="Arial"/>
                <w:kern w:val="24"/>
                <w:szCs w:val="18"/>
              </w:rPr>
              <w:t xml:space="preserve">1 </w:t>
            </w:r>
          </w:p>
        </w:tc>
        <w:tc>
          <w:tcPr>
            <w:tcW w:w="1587" w:type="dxa"/>
            <w:vAlign w:val="center"/>
          </w:tcPr>
          <w:p w14:paraId="7F1B6367" w14:textId="77777777" w:rsidR="002268E7" w:rsidRPr="00B916EC" w:rsidRDefault="002268E7" w:rsidP="0060031D">
            <w:pPr>
              <w:pStyle w:val="TAC"/>
            </w:pPr>
            <w:r w:rsidRPr="00B916EC">
              <w:rPr>
                <w:rFonts w:cs="Arial"/>
                <w:kern w:val="24"/>
                <w:szCs w:val="18"/>
              </w:rPr>
              <w:t>24</w:t>
            </w:r>
          </w:p>
        </w:tc>
        <w:tc>
          <w:tcPr>
            <w:tcW w:w="1958" w:type="dxa"/>
            <w:vAlign w:val="center"/>
          </w:tcPr>
          <w:p w14:paraId="58C1735B" w14:textId="77777777" w:rsidR="002268E7" w:rsidRPr="00B916EC" w:rsidRDefault="002268E7" w:rsidP="0060031D">
            <w:pPr>
              <w:pStyle w:val="TAC"/>
            </w:pPr>
            <w:r w:rsidRPr="00B916EC">
              <w:rPr>
                <w:rFonts w:cs="Arial"/>
                <w:kern w:val="24"/>
                <w:szCs w:val="18"/>
              </w:rPr>
              <w:t>2</w:t>
            </w:r>
          </w:p>
        </w:tc>
        <w:tc>
          <w:tcPr>
            <w:tcW w:w="1411" w:type="dxa"/>
            <w:vAlign w:val="center"/>
          </w:tcPr>
          <w:p w14:paraId="10735D87" w14:textId="77777777" w:rsidR="002268E7" w:rsidRPr="00B916EC" w:rsidRDefault="002268E7" w:rsidP="0060031D">
            <w:pPr>
              <w:pStyle w:val="TAC"/>
            </w:pPr>
            <w:r w:rsidRPr="00B916EC">
              <w:rPr>
                <w:rFonts w:cs="Arial"/>
                <w:kern w:val="24"/>
                <w:szCs w:val="18"/>
              </w:rPr>
              <w:t>2</w:t>
            </w:r>
          </w:p>
        </w:tc>
      </w:tr>
      <w:tr w:rsidR="002268E7" w:rsidRPr="00B916EC" w14:paraId="5549BCFA" w14:textId="77777777" w:rsidTr="00B73508">
        <w:trPr>
          <w:cantSplit/>
        </w:trPr>
        <w:tc>
          <w:tcPr>
            <w:tcW w:w="803" w:type="dxa"/>
            <w:tcBorders>
              <w:right w:val="double" w:sz="4" w:space="0" w:color="auto"/>
            </w:tcBorders>
            <w:shd w:val="clear" w:color="auto" w:fill="auto"/>
            <w:vAlign w:val="center"/>
          </w:tcPr>
          <w:p w14:paraId="52212111" w14:textId="77777777" w:rsidR="002268E7" w:rsidRPr="00B916EC" w:rsidRDefault="002268E7" w:rsidP="0060031D">
            <w:pPr>
              <w:pStyle w:val="TAC"/>
            </w:pPr>
            <w:r w:rsidRPr="00B916EC">
              <w:t>3</w:t>
            </w:r>
          </w:p>
        </w:tc>
        <w:tc>
          <w:tcPr>
            <w:tcW w:w="3584" w:type="dxa"/>
            <w:tcBorders>
              <w:left w:val="double" w:sz="4" w:space="0" w:color="auto"/>
            </w:tcBorders>
            <w:vAlign w:val="center"/>
          </w:tcPr>
          <w:p w14:paraId="5BFE6470" w14:textId="77777777" w:rsidR="002268E7" w:rsidRPr="00B916EC" w:rsidRDefault="002268E7" w:rsidP="0060031D">
            <w:pPr>
              <w:pStyle w:val="TAC"/>
            </w:pPr>
            <w:r w:rsidRPr="00B916EC">
              <w:rPr>
                <w:rFonts w:cs="Arial"/>
                <w:kern w:val="24"/>
                <w:szCs w:val="18"/>
              </w:rPr>
              <w:t xml:space="preserve">1 </w:t>
            </w:r>
          </w:p>
        </w:tc>
        <w:tc>
          <w:tcPr>
            <w:tcW w:w="1587" w:type="dxa"/>
            <w:vAlign w:val="center"/>
          </w:tcPr>
          <w:p w14:paraId="495FFFAB" w14:textId="77777777" w:rsidR="002268E7" w:rsidRPr="00B916EC" w:rsidRDefault="002268E7" w:rsidP="0060031D">
            <w:pPr>
              <w:pStyle w:val="TAC"/>
            </w:pPr>
            <w:r w:rsidRPr="00B916EC">
              <w:rPr>
                <w:rFonts w:cs="Arial"/>
                <w:kern w:val="24"/>
                <w:szCs w:val="18"/>
              </w:rPr>
              <w:t>24</w:t>
            </w:r>
          </w:p>
        </w:tc>
        <w:tc>
          <w:tcPr>
            <w:tcW w:w="1958" w:type="dxa"/>
            <w:vAlign w:val="center"/>
          </w:tcPr>
          <w:p w14:paraId="02E01AF1" w14:textId="77777777" w:rsidR="002268E7" w:rsidRPr="00B916EC" w:rsidRDefault="002268E7" w:rsidP="0060031D">
            <w:pPr>
              <w:pStyle w:val="TAC"/>
            </w:pPr>
            <w:r w:rsidRPr="00B916EC">
              <w:rPr>
                <w:rFonts w:cs="Arial"/>
                <w:kern w:val="24"/>
                <w:szCs w:val="18"/>
              </w:rPr>
              <w:t>2</w:t>
            </w:r>
          </w:p>
        </w:tc>
        <w:tc>
          <w:tcPr>
            <w:tcW w:w="1411" w:type="dxa"/>
            <w:vAlign w:val="center"/>
          </w:tcPr>
          <w:p w14:paraId="6A763E87" w14:textId="77777777" w:rsidR="002268E7" w:rsidRPr="00B916EC" w:rsidRDefault="002268E7" w:rsidP="0060031D">
            <w:pPr>
              <w:pStyle w:val="TAC"/>
            </w:pPr>
            <w:r w:rsidRPr="00B916EC">
              <w:rPr>
                <w:rFonts w:cs="Arial"/>
                <w:kern w:val="24"/>
                <w:szCs w:val="18"/>
              </w:rPr>
              <w:t>3</w:t>
            </w:r>
          </w:p>
        </w:tc>
      </w:tr>
      <w:tr w:rsidR="002268E7" w:rsidRPr="00B916EC" w14:paraId="71C88ADE" w14:textId="77777777" w:rsidTr="00B73508">
        <w:trPr>
          <w:cantSplit/>
        </w:trPr>
        <w:tc>
          <w:tcPr>
            <w:tcW w:w="803" w:type="dxa"/>
            <w:tcBorders>
              <w:right w:val="double" w:sz="4" w:space="0" w:color="auto"/>
            </w:tcBorders>
            <w:shd w:val="clear" w:color="auto" w:fill="auto"/>
            <w:vAlign w:val="center"/>
          </w:tcPr>
          <w:p w14:paraId="08E39DF0" w14:textId="77777777" w:rsidR="002268E7" w:rsidRPr="00B916EC" w:rsidRDefault="002268E7" w:rsidP="0060031D">
            <w:pPr>
              <w:pStyle w:val="TAC"/>
            </w:pPr>
            <w:r w:rsidRPr="00B916EC">
              <w:t>4</w:t>
            </w:r>
          </w:p>
        </w:tc>
        <w:tc>
          <w:tcPr>
            <w:tcW w:w="3584" w:type="dxa"/>
            <w:tcBorders>
              <w:left w:val="double" w:sz="4" w:space="0" w:color="auto"/>
            </w:tcBorders>
            <w:vAlign w:val="center"/>
          </w:tcPr>
          <w:p w14:paraId="1F2EAEDF" w14:textId="77777777" w:rsidR="002268E7" w:rsidRPr="00B916EC" w:rsidRDefault="002268E7" w:rsidP="0060031D">
            <w:pPr>
              <w:pStyle w:val="TAC"/>
            </w:pPr>
            <w:r w:rsidRPr="00B916EC">
              <w:rPr>
                <w:rFonts w:cs="Arial"/>
                <w:kern w:val="24"/>
                <w:szCs w:val="18"/>
              </w:rPr>
              <w:t xml:space="preserve">1 </w:t>
            </w:r>
          </w:p>
        </w:tc>
        <w:tc>
          <w:tcPr>
            <w:tcW w:w="1587" w:type="dxa"/>
            <w:vAlign w:val="center"/>
          </w:tcPr>
          <w:p w14:paraId="5CF75AB4" w14:textId="77777777" w:rsidR="002268E7" w:rsidRPr="00B916EC" w:rsidRDefault="002268E7" w:rsidP="0060031D">
            <w:pPr>
              <w:pStyle w:val="TAC"/>
            </w:pPr>
            <w:r w:rsidRPr="00B916EC">
              <w:rPr>
                <w:rFonts w:cs="Arial"/>
                <w:kern w:val="24"/>
                <w:szCs w:val="18"/>
              </w:rPr>
              <w:t>24</w:t>
            </w:r>
          </w:p>
        </w:tc>
        <w:tc>
          <w:tcPr>
            <w:tcW w:w="1958" w:type="dxa"/>
            <w:vAlign w:val="center"/>
          </w:tcPr>
          <w:p w14:paraId="185FA65A" w14:textId="77777777" w:rsidR="002268E7" w:rsidRPr="00B916EC" w:rsidRDefault="002268E7" w:rsidP="0060031D">
            <w:pPr>
              <w:pStyle w:val="TAC"/>
            </w:pPr>
            <w:r w:rsidRPr="00B916EC">
              <w:rPr>
                <w:rFonts w:cs="Arial"/>
                <w:kern w:val="24"/>
                <w:szCs w:val="18"/>
              </w:rPr>
              <w:t>2</w:t>
            </w:r>
          </w:p>
        </w:tc>
        <w:tc>
          <w:tcPr>
            <w:tcW w:w="1411" w:type="dxa"/>
            <w:vAlign w:val="center"/>
          </w:tcPr>
          <w:p w14:paraId="287D80F2" w14:textId="77777777" w:rsidR="002268E7" w:rsidRPr="00B916EC" w:rsidRDefault="002268E7" w:rsidP="0060031D">
            <w:pPr>
              <w:pStyle w:val="TAC"/>
            </w:pPr>
            <w:r w:rsidRPr="00B916EC">
              <w:rPr>
                <w:rFonts w:cs="Arial"/>
                <w:kern w:val="24"/>
                <w:szCs w:val="18"/>
              </w:rPr>
              <w:t>4</w:t>
            </w:r>
          </w:p>
        </w:tc>
      </w:tr>
      <w:tr w:rsidR="002268E7" w:rsidRPr="00B916EC" w14:paraId="6EB0C7E8" w14:textId="77777777" w:rsidTr="00B73508">
        <w:trPr>
          <w:cantSplit/>
        </w:trPr>
        <w:tc>
          <w:tcPr>
            <w:tcW w:w="803" w:type="dxa"/>
            <w:tcBorders>
              <w:right w:val="double" w:sz="4" w:space="0" w:color="auto"/>
            </w:tcBorders>
            <w:shd w:val="clear" w:color="auto" w:fill="auto"/>
            <w:vAlign w:val="center"/>
          </w:tcPr>
          <w:p w14:paraId="35846760" w14:textId="77777777" w:rsidR="002268E7" w:rsidRPr="00B916EC" w:rsidRDefault="002268E7" w:rsidP="0060031D">
            <w:pPr>
              <w:pStyle w:val="TAC"/>
            </w:pPr>
            <w:r w:rsidRPr="00B916EC">
              <w:t>5</w:t>
            </w:r>
          </w:p>
        </w:tc>
        <w:tc>
          <w:tcPr>
            <w:tcW w:w="3584" w:type="dxa"/>
            <w:tcBorders>
              <w:left w:val="double" w:sz="4" w:space="0" w:color="auto"/>
            </w:tcBorders>
            <w:vAlign w:val="center"/>
          </w:tcPr>
          <w:p w14:paraId="337EAA1D" w14:textId="77777777" w:rsidR="002268E7" w:rsidRPr="00B916EC" w:rsidRDefault="002268E7" w:rsidP="0060031D">
            <w:pPr>
              <w:pStyle w:val="TAC"/>
            </w:pPr>
            <w:r w:rsidRPr="00B916EC">
              <w:rPr>
                <w:rFonts w:cs="Arial"/>
                <w:kern w:val="24"/>
                <w:szCs w:val="18"/>
              </w:rPr>
              <w:t xml:space="preserve">1 </w:t>
            </w:r>
          </w:p>
        </w:tc>
        <w:tc>
          <w:tcPr>
            <w:tcW w:w="1587" w:type="dxa"/>
            <w:vAlign w:val="center"/>
          </w:tcPr>
          <w:p w14:paraId="1D50E504" w14:textId="77777777" w:rsidR="002268E7" w:rsidRPr="00B916EC" w:rsidRDefault="002268E7" w:rsidP="0060031D">
            <w:pPr>
              <w:pStyle w:val="TAC"/>
            </w:pPr>
            <w:r w:rsidRPr="00B916EC">
              <w:rPr>
                <w:rFonts w:cs="Arial"/>
                <w:kern w:val="24"/>
                <w:szCs w:val="18"/>
              </w:rPr>
              <w:t>24</w:t>
            </w:r>
          </w:p>
        </w:tc>
        <w:tc>
          <w:tcPr>
            <w:tcW w:w="1958" w:type="dxa"/>
            <w:vAlign w:val="center"/>
          </w:tcPr>
          <w:p w14:paraId="436E930F" w14:textId="77777777" w:rsidR="002268E7" w:rsidRPr="00B916EC" w:rsidRDefault="002268E7" w:rsidP="0060031D">
            <w:pPr>
              <w:pStyle w:val="TAC"/>
            </w:pPr>
            <w:r w:rsidRPr="00B916EC">
              <w:rPr>
                <w:rFonts w:cs="Arial"/>
                <w:kern w:val="24"/>
                <w:szCs w:val="18"/>
              </w:rPr>
              <w:t>3</w:t>
            </w:r>
          </w:p>
        </w:tc>
        <w:tc>
          <w:tcPr>
            <w:tcW w:w="1411" w:type="dxa"/>
            <w:vAlign w:val="center"/>
          </w:tcPr>
          <w:p w14:paraId="040C80AB" w14:textId="77777777" w:rsidR="002268E7" w:rsidRPr="00B916EC" w:rsidRDefault="002268E7" w:rsidP="0060031D">
            <w:pPr>
              <w:pStyle w:val="TAC"/>
            </w:pPr>
            <w:r w:rsidRPr="00B916EC">
              <w:rPr>
                <w:rFonts w:cs="Arial"/>
                <w:kern w:val="24"/>
                <w:szCs w:val="18"/>
              </w:rPr>
              <w:t>0</w:t>
            </w:r>
          </w:p>
        </w:tc>
      </w:tr>
      <w:tr w:rsidR="002268E7" w:rsidRPr="00B916EC" w14:paraId="6AAA6C9C" w14:textId="77777777" w:rsidTr="00B73508">
        <w:trPr>
          <w:cantSplit/>
        </w:trPr>
        <w:tc>
          <w:tcPr>
            <w:tcW w:w="803" w:type="dxa"/>
            <w:tcBorders>
              <w:right w:val="double" w:sz="4" w:space="0" w:color="auto"/>
            </w:tcBorders>
            <w:shd w:val="clear" w:color="auto" w:fill="auto"/>
            <w:vAlign w:val="center"/>
          </w:tcPr>
          <w:p w14:paraId="0EF1FA6F" w14:textId="77777777" w:rsidR="002268E7" w:rsidRPr="00B916EC" w:rsidRDefault="002268E7" w:rsidP="0060031D">
            <w:pPr>
              <w:pStyle w:val="TAC"/>
            </w:pPr>
            <w:r w:rsidRPr="00B916EC">
              <w:t>6</w:t>
            </w:r>
          </w:p>
        </w:tc>
        <w:tc>
          <w:tcPr>
            <w:tcW w:w="3584" w:type="dxa"/>
            <w:tcBorders>
              <w:left w:val="double" w:sz="4" w:space="0" w:color="auto"/>
            </w:tcBorders>
            <w:vAlign w:val="center"/>
          </w:tcPr>
          <w:p w14:paraId="74211E35" w14:textId="77777777" w:rsidR="002268E7" w:rsidRPr="00B916EC" w:rsidRDefault="002268E7" w:rsidP="0060031D">
            <w:pPr>
              <w:pStyle w:val="TAC"/>
            </w:pPr>
            <w:r w:rsidRPr="00B916EC">
              <w:rPr>
                <w:rFonts w:cs="Arial"/>
                <w:kern w:val="24"/>
                <w:szCs w:val="18"/>
              </w:rPr>
              <w:t xml:space="preserve">1 </w:t>
            </w:r>
          </w:p>
        </w:tc>
        <w:tc>
          <w:tcPr>
            <w:tcW w:w="1587" w:type="dxa"/>
            <w:vAlign w:val="center"/>
          </w:tcPr>
          <w:p w14:paraId="3590C5B3" w14:textId="77777777" w:rsidR="002268E7" w:rsidRPr="00B916EC" w:rsidRDefault="002268E7" w:rsidP="0060031D">
            <w:pPr>
              <w:pStyle w:val="TAC"/>
            </w:pPr>
            <w:r w:rsidRPr="00B916EC">
              <w:rPr>
                <w:rFonts w:cs="Arial"/>
                <w:kern w:val="24"/>
                <w:szCs w:val="18"/>
              </w:rPr>
              <w:t>24</w:t>
            </w:r>
          </w:p>
        </w:tc>
        <w:tc>
          <w:tcPr>
            <w:tcW w:w="1958" w:type="dxa"/>
            <w:vAlign w:val="center"/>
          </w:tcPr>
          <w:p w14:paraId="0DFD33FB" w14:textId="77777777" w:rsidR="002268E7" w:rsidRPr="00B916EC" w:rsidRDefault="002268E7" w:rsidP="0060031D">
            <w:pPr>
              <w:pStyle w:val="TAC"/>
            </w:pPr>
            <w:r w:rsidRPr="00B916EC">
              <w:rPr>
                <w:rFonts w:cs="Arial"/>
                <w:kern w:val="24"/>
                <w:szCs w:val="18"/>
              </w:rPr>
              <w:t>3</w:t>
            </w:r>
          </w:p>
        </w:tc>
        <w:tc>
          <w:tcPr>
            <w:tcW w:w="1411" w:type="dxa"/>
            <w:vAlign w:val="center"/>
          </w:tcPr>
          <w:p w14:paraId="45BFD064" w14:textId="77777777" w:rsidR="002268E7" w:rsidRPr="00B916EC" w:rsidRDefault="002268E7" w:rsidP="0060031D">
            <w:pPr>
              <w:pStyle w:val="TAC"/>
            </w:pPr>
            <w:r w:rsidRPr="00B916EC">
              <w:rPr>
                <w:rFonts w:cs="Arial"/>
                <w:kern w:val="24"/>
                <w:szCs w:val="18"/>
              </w:rPr>
              <w:t>1</w:t>
            </w:r>
          </w:p>
        </w:tc>
      </w:tr>
      <w:tr w:rsidR="002268E7" w:rsidRPr="00B916EC" w14:paraId="17565383" w14:textId="77777777" w:rsidTr="00B73508">
        <w:trPr>
          <w:cantSplit/>
        </w:trPr>
        <w:tc>
          <w:tcPr>
            <w:tcW w:w="803" w:type="dxa"/>
            <w:tcBorders>
              <w:right w:val="double" w:sz="4" w:space="0" w:color="auto"/>
            </w:tcBorders>
            <w:shd w:val="clear" w:color="auto" w:fill="auto"/>
            <w:vAlign w:val="center"/>
          </w:tcPr>
          <w:p w14:paraId="2715862C" w14:textId="77777777" w:rsidR="002268E7" w:rsidRPr="00B916EC" w:rsidRDefault="002268E7" w:rsidP="0060031D">
            <w:pPr>
              <w:pStyle w:val="TAC"/>
            </w:pPr>
            <w:r w:rsidRPr="00B916EC">
              <w:t>7</w:t>
            </w:r>
          </w:p>
        </w:tc>
        <w:tc>
          <w:tcPr>
            <w:tcW w:w="3584" w:type="dxa"/>
            <w:tcBorders>
              <w:left w:val="double" w:sz="4" w:space="0" w:color="auto"/>
            </w:tcBorders>
            <w:vAlign w:val="center"/>
          </w:tcPr>
          <w:p w14:paraId="7FC9163B" w14:textId="77777777" w:rsidR="002268E7" w:rsidRPr="00B916EC" w:rsidRDefault="002268E7" w:rsidP="0060031D">
            <w:pPr>
              <w:pStyle w:val="TAC"/>
            </w:pPr>
            <w:r w:rsidRPr="00B916EC">
              <w:rPr>
                <w:rFonts w:cs="Arial"/>
                <w:kern w:val="24"/>
                <w:szCs w:val="18"/>
              </w:rPr>
              <w:t xml:space="preserve">1 </w:t>
            </w:r>
          </w:p>
        </w:tc>
        <w:tc>
          <w:tcPr>
            <w:tcW w:w="1587" w:type="dxa"/>
            <w:vAlign w:val="center"/>
          </w:tcPr>
          <w:p w14:paraId="6066C3E0" w14:textId="77777777" w:rsidR="002268E7" w:rsidRPr="00B916EC" w:rsidRDefault="002268E7" w:rsidP="0060031D">
            <w:pPr>
              <w:pStyle w:val="TAC"/>
            </w:pPr>
            <w:r w:rsidRPr="00B916EC">
              <w:rPr>
                <w:rFonts w:cs="Arial"/>
                <w:kern w:val="24"/>
                <w:szCs w:val="18"/>
              </w:rPr>
              <w:t>24</w:t>
            </w:r>
          </w:p>
        </w:tc>
        <w:tc>
          <w:tcPr>
            <w:tcW w:w="1958" w:type="dxa"/>
            <w:vAlign w:val="center"/>
          </w:tcPr>
          <w:p w14:paraId="61755EAF" w14:textId="77777777" w:rsidR="002268E7" w:rsidRPr="00B916EC" w:rsidRDefault="002268E7" w:rsidP="0060031D">
            <w:pPr>
              <w:pStyle w:val="TAC"/>
            </w:pPr>
            <w:r w:rsidRPr="00B916EC">
              <w:rPr>
                <w:rFonts w:cs="Arial"/>
                <w:kern w:val="24"/>
                <w:szCs w:val="18"/>
              </w:rPr>
              <w:t>3</w:t>
            </w:r>
          </w:p>
        </w:tc>
        <w:tc>
          <w:tcPr>
            <w:tcW w:w="1411" w:type="dxa"/>
            <w:vAlign w:val="center"/>
          </w:tcPr>
          <w:p w14:paraId="6EBE5882" w14:textId="77777777" w:rsidR="002268E7" w:rsidRPr="00B916EC" w:rsidRDefault="002268E7" w:rsidP="0060031D">
            <w:pPr>
              <w:pStyle w:val="TAC"/>
            </w:pPr>
            <w:r w:rsidRPr="00B916EC">
              <w:rPr>
                <w:rFonts w:cs="Arial"/>
                <w:kern w:val="24"/>
                <w:szCs w:val="18"/>
              </w:rPr>
              <w:t>2</w:t>
            </w:r>
          </w:p>
        </w:tc>
      </w:tr>
      <w:tr w:rsidR="002268E7" w:rsidRPr="00B916EC" w14:paraId="49122F18" w14:textId="77777777" w:rsidTr="00B73508">
        <w:trPr>
          <w:cantSplit/>
        </w:trPr>
        <w:tc>
          <w:tcPr>
            <w:tcW w:w="803" w:type="dxa"/>
            <w:tcBorders>
              <w:right w:val="double" w:sz="4" w:space="0" w:color="auto"/>
            </w:tcBorders>
            <w:shd w:val="clear" w:color="auto" w:fill="auto"/>
            <w:vAlign w:val="center"/>
          </w:tcPr>
          <w:p w14:paraId="65CE8BCC" w14:textId="77777777" w:rsidR="002268E7" w:rsidRPr="00B916EC" w:rsidRDefault="002268E7" w:rsidP="0060031D">
            <w:pPr>
              <w:pStyle w:val="TAC"/>
            </w:pPr>
            <w:r w:rsidRPr="00B916EC">
              <w:t>8</w:t>
            </w:r>
          </w:p>
        </w:tc>
        <w:tc>
          <w:tcPr>
            <w:tcW w:w="3584" w:type="dxa"/>
            <w:tcBorders>
              <w:left w:val="double" w:sz="4" w:space="0" w:color="auto"/>
            </w:tcBorders>
            <w:vAlign w:val="center"/>
          </w:tcPr>
          <w:p w14:paraId="3FD60EB1" w14:textId="77777777" w:rsidR="002268E7" w:rsidRPr="00B916EC" w:rsidRDefault="002268E7" w:rsidP="0060031D">
            <w:pPr>
              <w:pStyle w:val="TAC"/>
            </w:pPr>
            <w:r w:rsidRPr="00B916EC">
              <w:rPr>
                <w:rFonts w:cs="Arial"/>
                <w:kern w:val="24"/>
                <w:szCs w:val="18"/>
              </w:rPr>
              <w:t xml:space="preserve">1 </w:t>
            </w:r>
          </w:p>
        </w:tc>
        <w:tc>
          <w:tcPr>
            <w:tcW w:w="1587" w:type="dxa"/>
            <w:vAlign w:val="center"/>
          </w:tcPr>
          <w:p w14:paraId="11FE6044" w14:textId="77777777" w:rsidR="002268E7" w:rsidRPr="00B916EC" w:rsidRDefault="002268E7" w:rsidP="0060031D">
            <w:pPr>
              <w:pStyle w:val="TAC"/>
            </w:pPr>
            <w:r w:rsidRPr="00B916EC">
              <w:rPr>
                <w:rFonts w:cs="Arial"/>
                <w:kern w:val="24"/>
                <w:szCs w:val="18"/>
              </w:rPr>
              <w:t>24</w:t>
            </w:r>
          </w:p>
        </w:tc>
        <w:tc>
          <w:tcPr>
            <w:tcW w:w="1958" w:type="dxa"/>
            <w:vAlign w:val="center"/>
          </w:tcPr>
          <w:p w14:paraId="66BFBA83" w14:textId="77777777" w:rsidR="002268E7" w:rsidRPr="00B916EC" w:rsidRDefault="002268E7" w:rsidP="0060031D">
            <w:pPr>
              <w:pStyle w:val="TAC"/>
            </w:pPr>
            <w:r w:rsidRPr="00B916EC">
              <w:rPr>
                <w:rFonts w:cs="Arial"/>
                <w:kern w:val="24"/>
                <w:szCs w:val="18"/>
              </w:rPr>
              <w:t>3</w:t>
            </w:r>
          </w:p>
        </w:tc>
        <w:tc>
          <w:tcPr>
            <w:tcW w:w="1411" w:type="dxa"/>
            <w:vAlign w:val="center"/>
          </w:tcPr>
          <w:p w14:paraId="64631B10" w14:textId="77777777" w:rsidR="002268E7" w:rsidRPr="00B916EC" w:rsidRDefault="002268E7" w:rsidP="0060031D">
            <w:pPr>
              <w:pStyle w:val="TAC"/>
            </w:pPr>
            <w:r w:rsidRPr="00B916EC">
              <w:rPr>
                <w:rFonts w:cs="Arial"/>
                <w:kern w:val="24"/>
                <w:szCs w:val="18"/>
              </w:rPr>
              <w:t>3</w:t>
            </w:r>
          </w:p>
        </w:tc>
      </w:tr>
      <w:tr w:rsidR="002268E7" w:rsidRPr="00B916EC" w14:paraId="595A296F" w14:textId="77777777" w:rsidTr="00B73508">
        <w:trPr>
          <w:cantSplit/>
        </w:trPr>
        <w:tc>
          <w:tcPr>
            <w:tcW w:w="803" w:type="dxa"/>
            <w:tcBorders>
              <w:right w:val="double" w:sz="4" w:space="0" w:color="auto"/>
            </w:tcBorders>
            <w:shd w:val="clear" w:color="auto" w:fill="auto"/>
            <w:vAlign w:val="center"/>
          </w:tcPr>
          <w:p w14:paraId="59A59657" w14:textId="77777777" w:rsidR="002268E7" w:rsidRPr="00B916EC" w:rsidRDefault="002268E7" w:rsidP="0060031D">
            <w:pPr>
              <w:pStyle w:val="TAC"/>
            </w:pPr>
            <w:r w:rsidRPr="00B916EC">
              <w:t>9</w:t>
            </w:r>
          </w:p>
        </w:tc>
        <w:tc>
          <w:tcPr>
            <w:tcW w:w="3584" w:type="dxa"/>
            <w:tcBorders>
              <w:left w:val="double" w:sz="4" w:space="0" w:color="auto"/>
            </w:tcBorders>
            <w:vAlign w:val="center"/>
          </w:tcPr>
          <w:p w14:paraId="408573A7" w14:textId="77777777" w:rsidR="002268E7" w:rsidRPr="00B916EC" w:rsidRDefault="002268E7" w:rsidP="0060031D">
            <w:pPr>
              <w:pStyle w:val="TAC"/>
            </w:pPr>
            <w:r w:rsidRPr="00B916EC">
              <w:rPr>
                <w:rFonts w:cs="Arial"/>
                <w:kern w:val="24"/>
                <w:szCs w:val="18"/>
              </w:rPr>
              <w:t xml:space="preserve">1 </w:t>
            </w:r>
          </w:p>
        </w:tc>
        <w:tc>
          <w:tcPr>
            <w:tcW w:w="1587" w:type="dxa"/>
            <w:vAlign w:val="center"/>
          </w:tcPr>
          <w:p w14:paraId="5AB2A4A9" w14:textId="77777777" w:rsidR="002268E7" w:rsidRPr="00B916EC" w:rsidRDefault="002268E7" w:rsidP="0060031D">
            <w:pPr>
              <w:pStyle w:val="TAC"/>
            </w:pPr>
            <w:r w:rsidRPr="00B916EC">
              <w:rPr>
                <w:rFonts w:cs="Arial"/>
                <w:kern w:val="24"/>
                <w:szCs w:val="18"/>
              </w:rPr>
              <w:t>24</w:t>
            </w:r>
          </w:p>
        </w:tc>
        <w:tc>
          <w:tcPr>
            <w:tcW w:w="1958" w:type="dxa"/>
            <w:vAlign w:val="center"/>
          </w:tcPr>
          <w:p w14:paraId="1263BCD1" w14:textId="77777777" w:rsidR="002268E7" w:rsidRPr="00B916EC" w:rsidRDefault="002268E7" w:rsidP="0060031D">
            <w:pPr>
              <w:pStyle w:val="TAC"/>
            </w:pPr>
            <w:r w:rsidRPr="00B916EC">
              <w:rPr>
                <w:rFonts w:cs="Arial"/>
                <w:kern w:val="24"/>
                <w:szCs w:val="18"/>
              </w:rPr>
              <w:t>3</w:t>
            </w:r>
          </w:p>
        </w:tc>
        <w:tc>
          <w:tcPr>
            <w:tcW w:w="1411" w:type="dxa"/>
            <w:vAlign w:val="center"/>
          </w:tcPr>
          <w:p w14:paraId="174F541A" w14:textId="77777777" w:rsidR="002268E7" w:rsidRPr="00B916EC" w:rsidRDefault="002268E7" w:rsidP="0060031D">
            <w:pPr>
              <w:pStyle w:val="TAC"/>
            </w:pPr>
            <w:r w:rsidRPr="00B916EC">
              <w:rPr>
                <w:rFonts w:cs="Arial"/>
                <w:kern w:val="24"/>
                <w:szCs w:val="18"/>
              </w:rPr>
              <w:t>4</w:t>
            </w:r>
          </w:p>
        </w:tc>
      </w:tr>
      <w:tr w:rsidR="002268E7" w:rsidRPr="00B916EC" w14:paraId="7E44F515" w14:textId="77777777" w:rsidTr="00B73508">
        <w:trPr>
          <w:cantSplit/>
        </w:trPr>
        <w:tc>
          <w:tcPr>
            <w:tcW w:w="803" w:type="dxa"/>
            <w:tcBorders>
              <w:right w:val="double" w:sz="4" w:space="0" w:color="auto"/>
            </w:tcBorders>
            <w:shd w:val="clear" w:color="auto" w:fill="auto"/>
            <w:vAlign w:val="center"/>
          </w:tcPr>
          <w:p w14:paraId="72F465CE" w14:textId="77777777" w:rsidR="002268E7" w:rsidRPr="00B916EC" w:rsidRDefault="002268E7" w:rsidP="0060031D">
            <w:pPr>
              <w:pStyle w:val="TAC"/>
            </w:pPr>
            <w:r w:rsidRPr="00B916EC">
              <w:t>10</w:t>
            </w:r>
          </w:p>
        </w:tc>
        <w:tc>
          <w:tcPr>
            <w:tcW w:w="3584" w:type="dxa"/>
            <w:tcBorders>
              <w:left w:val="double" w:sz="4" w:space="0" w:color="auto"/>
            </w:tcBorders>
            <w:vAlign w:val="center"/>
          </w:tcPr>
          <w:p w14:paraId="24F291EA" w14:textId="77777777" w:rsidR="002268E7" w:rsidRPr="00B916EC" w:rsidRDefault="002268E7" w:rsidP="0060031D">
            <w:pPr>
              <w:pStyle w:val="TAC"/>
            </w:pPr>
            <w:r w:rsidRPr="00B916EC">
              <w:rPr>
                <w:rFonts w:cs="Arial"/>
                <w:kern w:val="24"/>
                <w:szCs w:val="18"/>
              </w:rPr>
              <w:t xml:space="preserve">1 </w:t>
            </w:r>
          </w:p>
        </w:tc>
        <w:tc>
          <w:tcPr>
            <w:tcW w:w="1587" w:type="dxa"/>
            <w:vAlign w:val="center"/>
          </w:tcPr>
          <w:p w14:paraId="08D47E13" w14:textId="77777777" w:rsidR="002268E7" w:rsidRPr="00B916EC" w:rsidRDefault="002268E7" w:rsidP="0060031D">
            <w:pPr>
              <w:pStyle w:val="TAC"/>
            </w:pPr>
            <w:r w:rsidRPr="00B916EC">
              <w:rPr>
                <w:rFonts w:cs="Arial"/>
                <w:kern w:val="24"/>
                <w:szCs w:val="18"/>
              </w:rPr>
              <w:t>48</w:t>
            </w:r>
          </w:p>
        </w:tc>
        <w:tc>
          <w:tcPr>
            <w:tcW w:w="1958" w:type="dxa"/>
            <w:vAlign w:val="center"/>
          </w:tcPr>
          <w:p w14:paraId="5AF55DFE" w14:textId="77777777" w:rsidR="002268E7" w:rsidRPr="00B916EC" w:rsidRDefault="002268E7" w:rsidP="0060031D">
            <w:pPr>
              <w:pStyle w:val="TAC"/>
            </w:pPr>
            <w:r w:rsidRPr="00B916EC">
              <w:rPr>
                <w:rFonts w:cs="Arial"/>
                <w:kern w:val="24"/>
                <w:szCs w:val="18"/>
              </w:rPr>
              <w:t>1</w:t>
            </w:r>
          </w:p>
        </w:tc>
        <w:tc>
          <w:tcPr>
            <w:tcW w:w="1411" w:type="dxa"/>
            <w:vAlign w:val="center"/>
          </w:tcPr>
          <w:p w14:paraId="1223B0DE" w14:textId="77777777" w:rsidR="002268E7" w:rsidRPr="00B916EC" w:rsidRDefault="002268E7" w:rsidP="0060031D">
            <w:pPr>
              <w:pStyle w:val="TAC"/>
            </w:pPr>
            <w:r w:rsidRPr="00B916EC">
              <w:rPr>
                <w:rFonts w:cs="Arial"/>
                <w:kern w:val="24"/>
                <w:szCs w:val="18"/>
              </w:rPr>
              <w:t>12</w:t>
            </w:r>
          </w:p>
        </w:tc>
      </w:tr>
      <w:tr w:rsidR="002268E7" w:rsidRPr="00B916EC" w14:paraId="496E6576" w14:textId="77777777" w:rsidTr="00B73508">
        <w:trPr>
          <w:cantSplit/>
        </w:trPr>
        <w:tc>
          <w:tcPr>
            <w:tcW w:w="803" w:type="dxa"/>
            <w:tcBorders>
              <w:right w:val="double" w:sz="4" w:space="0" w:color="auto"/>
            </w:tcBorders>
            <w:shd w:val="clear" w:color="auto" w:fill="auto"/>
            <w:vAlign w:val="center"/>
          </w:tcPr>
          <w:p w14:paraId="367B2EED" w14:textId="77777777" w:rsidR="002268E7" w:rsidRPr="00B916EC" w:rsidRDefault="002268E7" w:rsidP="0060031D">
            <w:pPr>
              <w:pStyle w:val="TAC"/>
            </w:pPr>
            <w:r w:rsidRPr="00B916EC">
              <w:t>11</w:t>
            </w:r>
          </w:p>
        </w:tc>
        <w:tc>
          <w:tcPr>
            <w:tcW w:w="3584" w:type="dxa"/>
            <w:tcBorders>
              <w:left w:val="double" w:sz="4" w:space="0" w:color="auto"/>
            </w:tcBorders>
            <w:vAlign w:val="center"/>
          </w:tcPr>
          <w:p w14:paraId="2EC3FD29" w14:textId="77777777" w:rsidR="002268E7" w:rsidRPr="00B916EC" w:rsidRDefault="002268E7" w:rsidP="0060031D">
            <w:pPr>
              <w:pStyle w:val="TAC"/>
            </w:pPr>
            <w:r w:rsidRPr="00B916EC">
              <w:rPr>
                <w:rFonts w:cs="Arial"/>
                <w:kern w:val="24"/>
                <w:szCs w:val="18"/>
              </w:rPr>
              <w:t xml:space="preserve">1 </w:t>
            </w:r>
          </w:p>
        </w:tc>
        <w:tc>
          <w:tcPr>
            <w:tcW w:w="1587" w:type="dxa"/>
            <w:vAlign w:val="center"/>
          </w:tcPr>
          <w:p w14:paraId="2FD3D72D" w14:textId="77777777" w:rsidR="002268E7" w:rsidRPr="00B916EC" w:rsidRDefault="002268E7" w:rsidP="0060031D">
            <w:pPr>
              <w:pStyle w:val="TAC"/>
            </w:pPr>
            <w:r w:rsidRPr="00B916EC">
              <w:rPr>
                <w:rFonts w:cs="Arial"/>
                <w:kern w:val="24"/>
                <w:szCs w:val="18"/>
              </w:rPr>
              <w:t>48</w:t>
            </w:r>
          </w:p>
        </w:tc>
        <w:tc>
          <w:tcPr>
            <w:tcW w:w="1958" w:type="dxa"/>
            <w:vAlign w:val="center"/>
          </w:tcPr>
          <w:p w14:paraId="6CF2A58C" w14:textId="77777777" w:rsidR="002268E7" w:rsidRPr="00B916EC" w:rsidRDefault="002268E7" w:rsidP="0060031D">
            <w:pPr>
              <w:pStyle w:val="TAC"/>
            </w:pPr>
            <w:r w:rsidRPr="00B916EC">
              <w:rPr>
                <w:rFonts w:cs="Arial"/>
                <w:kern w:val="24"/>
                <w:szCs w:val="18"/>
              </w:rPr>
              <w:t>1</w:t>
            </w:r>
          </w:p>
        </w:tc>
        <w:tc>
          <w:tcPr>
            <w:tcW w:w="1411" w:type="dxa"/>
            <w:vAlign w:val="center"/>
          </w:tcPr>
          <w:p w14:paraId="33C5E1A6" w14:textId="77777777" w:rsidR="002268E7" w:rsidRPr="00B916EC" w:rsidRDefault="002268E7" w:rsidP="0060031D">
            <w:pPr>
              <w:pStyle w:val="TAC"/>
            </w:pPr>
            <w:r w:rsidRPr="00B916EC">
              <w:rPr>
                <w:rFonts w:cs="Arial"/>
                <w:kern w:val="24"/>
                <w:szCs w:val="18"/>
              </w:rPr>
              <w:t>14</w:t>
            </w:r>
          </w:p>
        </w:tc>
      </w:tr>
      <w:tr w:rsidR="002268E7" w:rsidRPr="00B916EC" w14:paraId="05AD5D73" w14:textId="77777777" w:rsidTr="00B73508">
        <w:trPr>
          <w:cantSplit/>
        </w:trPr>
        <w:tc>
          <w:tcPr>
            <w:tcW w:w="803" w:type="dxa"/>
            <w:tcBorders>
              <w:right w:val="double" w:sz="4" w:space="0" w:color="auto"/>
            </w:tcBorders>
            <w:shd w:val="clear" w:color="auto" w:fill="auto"/>
            <w:vAlign w:val="center"/>
          </w:tcPr>
          <w:p w14:paraId="2B3736A3" w14:textId="77777777" w:rsidR="002268E7" w:rsidRPr="00B916EC" w:rsidRDefault="002268E7" w:rsidP="0060031D">
            <w:pPr>
              <w:pStyle w:val="TAC"/>
            </w:pPr>
            <w:r w:rsidRPr="00B916EC">
              <w:t>12</w:t>
            </w:r>
          </w:p>
        </w:tc>
        <w:tc>
          <w:tcPr>
            <w:tcW w:w="3584" w:type="dxa"/>
            <w:tcBorders>
              <w:left w:val="double" w:sz="4" w:space="0" w:color="auto"/>
            </w:tcBorders>
            <w:vAlign w:val="center"/>
          </w:tcPr>
          <w:p w14:paraId="0037CBBB" w14:textId="77777777" w:rsidR="002268E7" w:rsidRPr="00B916EC" w:rsidRDefault="002268E7" w:rsidP="0060031D">
            <w:pPr>
              <w:pStyle w:val="TAC"/>
            </w:pPr>
            <w:r w:rsidRPr="00B916EC">
              <w:rPr>
                <w:rFonts w:cs="Arial"/>
                <w:kern w:val="24"/>
                <w:szCs w:val="18"/>
              </w:rPr>
              <w:t xml:space="preserve">1 </w:t>
            </w:r>
          </w:p>
        </w:tc>
        <w:tc>
          <w:tcPr>
            <w:tcW w:w="1587" w:type="dxa"/>
            <w:vAlign w:val="center"/>
          </w:tcPr>
          <w:p w14:paraId="778F8778" w14:textId="77777777" w:rsidR="002268E7" w:rsidRPr="00B916EC" w:rsidRDefault="002268E7" w:rsidP="0060031D">
            <w:pPr>
              <w:pStyle w:val="TAC"/>
            </w:pPr>
            <w:r w:rsidRPr="00B916EC">
              <w:rPr>
                <w:rFonts w:cs="Arial"/>
                <w:kern w:val="24"/>
                <w:szCs w:val="18"/>
              </w:rPr>
              <w:t>48</w:t>
            </w:r>
          </w:p>
        </w:tc>
        <w:tc>
          <w:tcPr>
            <w:tcW w:w="1958" w:type="dxa"/>
            <w:vAlign w:val="center"/>
          </w:tcPr>
          <w:p w14:paraId="584CEBD2" w14:textId="77777777" w:rsidR="002268E7" w:rsidRPr="00B916EC" w:rsidRDefault="002268E7" w:rsidP="0060031D">
            <w:pPr>
              <w:pStyle w:val="TAC"/>
            </w:pPr>
            <w:r w:rsidRPr="00B916EC">
              <w:rPr>
                <w:rFonts w:cs="Arial"/>
                <w:kern w:val="24"/>
                <w:szCs w:val="18"/>
              </w:rPr>
              <w:t>1</w:t>
            </w:r>
          </w:p>
        </w:tc>
        <w:tc>
          <w:tcPr>
            <w:tcW w:w="1411" w:type="dxa"/>
            <w:vAlign w:val="center"/>
          </w:tcPr>
          <w:p w14:paraId="19FFCECD" w14:textId="77777777" w:rsidR="002268E7" w:rsidRPr="00B916EC" w:rsidRDefault="002268E7" w:rsidP="0060031D">
            <w:pPr>
              <w:pStyle w:val="TAC"/>
            </w:pPr>
            <w:r w:rsidRPr="00B916EC">
              <w:rPr>
                <w:rFonts w:cs="Arial"/>
                <w:kern w:val="24"/>
                <w:szCs w:val="18"/>
              </w:rPr>
              <w:t>16</w:t>
            </w:r>
          </w:p>
        </w:tc>
      </w:tr>
      <w:tr w:rsidR="002268E7" w:rsidRPr="00B916EC" w14:paraId="595261BC" w14:textId="77777777" w:rsidTr="00B73508">
        <w:trPr>
          <w:cantSplit/>
        </w:trPr>
        <w:tc>
          <w:tcPr>
            <w:tcW w:w="803" w:type="dxa"/>
            <w:tcBorders>
              <w:right w:val="double" w:sz="4" w:space="0" w:color="auto"/>
            </w:tcBorders>
            <w:shd w:val="clear" w:color="auto" w:fill="auto"/>
            <w:vAlign w:val="center"/>
          </w:tcPr>
          <w:p w14:paraId="66E6C97C" w14:textId="77777777" w:rsidR="002268E7" w:rsidRPr="00B916EC" w:rsidRDefault="002268E7" w:rsidP="0060031D">
            <w:pPr>
              <w:pStyle w:val="TAC"/>
            </w:pPr>
            <w:r w:rsidRPr="00B916EC">
              <w:t>13</w:t>
            </w:r>
          </w:p>
        </w:tc>
        <w:tc>
          <w:tcPr>
            <w:tcW w:w="3584" w:type="dxa"/>
            <w:tcBorders>
              <w:left w:val="double" w:sz="4" w:space="0" w:color="auto"/>
            </w:tcBorders>
            <w:vAlign w:val="center"/>
          </w:tcPr>
          <w:p w14:paraId="3ECC898A" w14:textId="77777777" w:rsidR="002268E7" w:rsidRPr="00B916EC" w:rsidRDefault="002268E7" w:rsidP="0060031D">
            <w:pPr>
              <w:pStyle w:val="TAC"/>
            </w:pPr>
            <w:r w:rsidRPr="00B916EC">
              <w:rPr>
                <w:rFonts w:cs="Arial"/>
                <w:kern w:val="24"/>
                <w:szCs w:val="18"/>
              </w:rPr>
              <w:t xml:space="preserve">1 </w:t>
            </w:r>
          </w:p>
        </w:tc>
        <w:tc>
          <w:tcPr>
            <w:tcW w:w="1587" w:type="dxa"/>
            <w:vAlign w:val="center"/>
          </w:tcPr>
          <w:p w14:paraId="47C557C3" w14:textId="77777777" w:rsidR="002268E7" w:rsidRPr="00B916EC" w:rsidRDefault="002268E7" w:rsidP="0060031D">
            <w:pPr>
              <w:pStyle w:val="TAC"/>
            </w:pPr>
            <w:r w:rsidRPr="00B916EC">
              <w:rPr>
                <w:rFonts w:cs="Arial"/>
                <w:kern w:val="24"/>
                <w:szCs w:val="18"/>
              </w:rPr>
              <w:t>48</w:t>
            </w:r>
          </w:p>
        </w:tc>
        <w:tc>
          <w:tcPr>
            <w:tcW w:w="1958" w:type="dxa"/>
            <w:vAlign w:val="center"/>
          </w:tcPr>
          <w:p w14:paraId="78C4AB81" w14:textId="77777777" w:rsidR="002268E7" w:rsidRPr="00B916EC" w:rsidRDefault="002268E7" w:rsidP="0060031D">
            <w:pPr>
              <w:pStyle w:val="TAC"/>
            </w:pPr>
            <w:r w:rsidRPr="00B916EC">
              <w:rPr>
                <w:rFonts w:cs="Arial"/>
                <w:kern w:val="24"/>
                <w:szCs w:val="18"/>
              </w:rPr>
              <w:t>2</w:t>
            </w:r>
          </w:p>
        </w:tc>
        <w:tc>
          <w:tcPr>
            <w:tcW w:w="1411" w:type="dxa"/>
            <w:vAlign w:val="center"/>
          </w:tcPr>
          <w:p w14:paraId="2BF461A3" w14:textId="77777777" w:rsidR="002268E7" w:rsidRPr="00B916EC" w:rsidRDefault="002268E7" w:rsidP="0060031D">
            <w:pPr>
              <w:pStyle w:val="TAC"/>
            </w:pPr>
            <w:r w:rsidRPr="00B916EC">
              <w:rPr>
                <w:rFonts w:cs="Arial"/>
                <w:kern w:val="24"/>
                <w:szCs w:val="18"/>
              </w:rPr>
              <w:t>12</w:t>
            </w:r>
          </w:p>
        </w:tc>
      </w:tr>
      <w:tr w:rsidR="002268E7" w:rsidRPr="00B916EC" w14:paraId="005386E0" w14:textId="77777777" w:rsidTr="00B73508">
        <w:trPr>
          <w:cantSplit/>
        </w:trPr>
        <w:tc>
          <w:tcPr>
            <w:tcW w:w="803" w:type="dxa"/>
            <w:tcBorders>
              <w:right w:val="double" w:sz="4" w:space="0" w:color="auto"/>
            </w:tcBorders>
            <w:shd w:val="clear" w:color="auto" w:fill="auto"/>
            <w:vAlign w:val="center"/>
          </w:tcPr>
          <w:p w14:paraId="487C59FD" w14:textId="77777777" w:rsidR="002268E7" w:rsidRPr="00B916EC" w:rsidRDefault="002268E7" w:rsidP="0060031D">
            <w:pPr>
              <w:pStyle w:val="TAC"/>
            </w:pPr>
            <w:r w:rsidRPr="00B916EC">
              <w:t>14</w:t>
            </w:r>
          </w:p>
        </w:tc>
        <w:tc>
          <w:tcPr>
            <w:tcW w:w="3584" w:type="dxa"/>
            <w:tcBorders>
              <w:left w:val="double" w:sz="4" w:space="0" w:color="auto"/>
            </w:tcBorders>
            <w:vAlign w:val="center"/>
          </w:tcPr>
          <w:p w14:paraId="65951FF1" w14:textId="77777777" w:rsidR="002268E7" w:rsidRPr="00B916EC" w:rsidRDefault="002268E7" w:rsidP="0060031D">
            <w:pPr>
              <w:pStyle w:val="TAC"/>
            </w:pPr>
            <w:r w:rsidRPr="00B916EC">
              <w:rPr>
                <w:rFonts w:cs="Arial"/>
                <w:kern w:val="24"/>
                <w:szCs w:val="18"/>
              </w:rPr>
              <w:t xml:space="preserve">1 </w:t>
            </w:r>
          </w:p>
        </w:tc>
        <w:tc>
          <w:tcPr>
            <w:tcW w:w="1587" w:type="dxa"/>
            <w:vAlign w:val="center"/>
          </w:tcPr>
          <w:p w14:paraId="24F74302" w14:textId="77777777" w:rsidR="002268E7" w:rsidRPr="00B916EC" w:rsidRDefault="002268E7" w:rsidP="0060031D">
            <w:pPr>
              <w:pStyle w:val="TAC"/>
            </w:pPr>
            <w:r w:rsidRPr="00B916EC">
              <w:rPr>
                <w:rFonts w:cs="Arial"/>
                <w:kern w:val="24"/>
                <w:szCs w:val="18"/>
              </w:rPr>
              <w:t>48</w:t>
            </w:r>
          </w:p>
        </w:tc>
        <w:tc>
          <w:tcPr>
            <w:tcW w:w="1958" w:type="dxa"/>
            <w:vAlign w:val="center"/>
          </w:tcPr>
          <w:p w14:paraId="3CD27121" w14:textId="77777777" w:rsidR="002268E7" w:rsidRPr="00B916EC" w:rsidRDefault="002268E7" w:rsidP="0060031D">
            <w:pPr>
              <w:pStyle w:val="TAC"/>
            </w:pPr>
            <w:r w:rsidRPr="00B916EC">
              <w:rPr>
                <w:rFonts w:cs="Arial"/>
                <w:kern w:val="24"/>
                <w:szCs w:val="18"/>
              </w:rPr>
              <w:t>2</w:t>
            </w:r>
          </w:p>
        </w:tc>
        <w:tc>
          <w:tcPr>
            <w:tcW w:w="1411" w:type="dxa"/>
            <w:vAlign w:val="center"/>
          </w:tcPr>
          <w:p w14:paraId="704ACAD0" w14:textId="77777777" w:rsidR="002268E7" w:rsidRPr="00B916EC" w:rsidRDefault="002268E7" w:rsidP="0060031D">
            <w:pPr>
              <w:pStyle w:val="TAC"/>
            </w:pPr>
            <w:r w:rsidRPr="00B916EC">
              <w:rPr>
                <w:rFonts w:cs="Arial"/>
                <w:kern w:val="24"/>
                <w:szCs w:val="18"/>
              </w:rPr>
              <w:t>14</w:t>
            </w:r>
          </w:p>
        </w:tc>
      </w:tr>
      <w:tr w:rsidR="002268E7" w:rsidRPr="00B916EC" w14:paraId="742C7C03" w14:textId="77777777" w:rsidTr="00B73508">
        <w:trPr>
          <w:cantSplit/>
        </w:trPr>
        <w:tc>
          <w:tcPr>
            <w:tcW w:w="803" w:type="dxa"/>
            <w:tcBorders>
              <w:right w:val="double" w:sz="4" w:space="0" w:color="auto"/>
            </w:tcBorders>
            <w:shd w:val="clear" w:color="auto" w:fill="auto"/>
            <w:vAlign w:val="center"/>
          </w:tcPr>
          <w:p w14:paraId="1F69F5DA" w14:textId="77777777" w:rsidR="002268E7" w:rsidRPr="00B916EC" w:rsidRDefault="002268E7" w:rsidP="0060031D">
            <w:pPr>
              <w:pStyle w:val="TAC"/>
            </w:pPr>
            <w:r w:rsidRPr="00B916EC">
              <w:rPr>
                <w:rFonts w:cs="Arial"/>
                <w:kern w:val="24"/>
                <w:szCs w:val="18"/>
              </w:rPr>
              <w:t>15</w:t>
            </w:r>
          </w:p>
        </w:tc>
        <w:tc>
          <w:tcPr>
            <w:tcW w:w="3584" w:type="dxa"/>
            <w:tcBorders>
              <w:left w:val="double" w:sz="4" w:space="0" w:color="auto"/>
            </w:tcBorders>
            <w:vAlign w:val="center"/>
          </w:tcPr>
          <w:p w14:paraId="3F0961B2" w14:textId="77777777" w:rsidR="002268E7" w:rsidRPr="00B916EC" w:rsidRDefault="002268E7" w:rsidP="0060031D">
            <w:pPr>
              <w:pStyle w:val="TAC"/>
              <w:rPr>
                <w:rFonts w:cs="Arial"/>
                <w:kern w:val="24"/>
                <w:szCs w:val="18"/>
              </w:rPr>
            </w:pPr>
            <w:r w:rsidRPr="00B916EC">
              <w:rPr>
                <w:rFonts w:cs="Arial"/>
                <w:kern w:val="24"/>
                <w:szCs w:val="18"/>
              </w:rPr>
              <w:t xml:space="preserve">1 </w:t>
            </w:r>
          </w:p>
        </w:tc>
        <w:tc>
          <w:tcPr>
            <w:tcW w:w="1587" w:type="dxa"/>
            <w:vAlign w:val="center"/>
          </w:tcPr>
          <w:p w14:paraId="65F5C60C" w14:textId="77777777" w:rsidR="002268E7" w:rsidRPr="00B916EC" w:rsidRDefault="002268E7" w:rsidP="0060031D">
            <w:pPr>
              <w:pStyle w:val="TAC"/>
              <w:rPr>
                <w:rFonts w:cs="Arial"/>
                <w:kern w:val="24"/>
                <w:szCs w:val="18"/>
              </w:rPr>
            </w:pPr>
            <w:r w:rsidRPr="00B916EC">
              <w:rPr>
                <w:rFonts w:cs="Arial"/>
                <w:kern w:val="24"/>
                <w:szCs w:val="18"/>
              </w:rPr>
              <w:t>48</w:t>
            </w:r>
          </w:p>
        </w:tc>
        <w:tc>
          <w:tcPr>
            <w:tcW w:w="1958" w:type="dxa"/>
            <w:vAlign w:val="center"/>
          </w:tcPr>
          <w:p w14:paraId="20BBB924" w14:textId="77777777" w:rsidR="002268E7" w:rsidRPr="00B916EC" w:rsidRDefault="002268E7" w:rsidP="0060031D">
            <w:pPr>
              <w:pStyle w:val="TAC"/>
              <w:rPr>
                <w:rFonts w:cs="Arial"/>
                <w:kern w:val="24"/>
                <w:szCs w:val="18"/>
              </w:rPr>
            </w:pPr>
            <w:r w:rsidRPr="00B916EC">
              <w:rPr>
                <w:rFonts w:cs="Arial"/>
                <w:kern w:val="24"/>
                <w:szCs w:val="18"/>
              </w:rPr>
              <w:t>2</w:t>
            </w:r>
          </w:p>
        </w:tc>
        <w:tc>
          <w:tcPr>
            <w:tcW w:w="1411" w:type="dxa"/>
            <w:vAlign w:val="center"/>
          </w:tcPr>
          <w:p w14:paraId="5CBA5A71" w14:textId="77777777" w:rsidR="002268E7" w:rsidRPr="00B916EC" w:rsidRDefault="002268E7" w:rsidP="0060031D">
            <w:pPr>
              <w:pStyle w:val="TAC"/>
              <w:rPr>
                <w:rFonts w:cs="Arial"/>
                <w:kern w:val="24"/>
                <w:szCs w:val="18"/>
              </w:rPr>
            </w:pPr>
            <w:r w:rsidRPr="00B916EC">
              <w:rPr>
                <w:rFonts w:cs="Arial"/>
                <w:kern w:val="24"/>
                <w:szCs w:val="18"/>
              </w:rPr>
              <w:t>16</w:t>
            </w:r>
          </w:p>
        </w:tc>
      </w:tr>
    </w:tbl>
    <w:p w14:paraId="699E6C8F" w14:textId="5D7333E8" w:rsidR="00BC794F" w:rsidRDefault="00BC794F" w:rsidP="0009732E"/>
    <w:p w14:paraId="2C98483E" w14:textId="7E47D351" w:rsidR="00454E5E" w:rsidRPr="00D26445" w:rsidRDefault="00454E5E" w:rsidP="00454E5E">
      <w:pPr>
        <w:pStyle w:val="TH"/>
      </w:pPr>
      <w:r w:rsidRPr="00D26445">
        <w:lastRenderedPageBreak/>
        <w:t>Table 13-</w:t>
      </w:r>
      <w:r>
        <w:t>4</w:t>
      </w:r>
      <w:r w:rsidRPr="00D26445">
        <w:t>A: Set of resource blocks and slot symbols of CORESET for Type0-PDCCH search space set when {SS/PBCH block, PDCCH} SCS is {30, 30} kHz</w:t>
      </w:r>
      <w:r w:rsidRPr="00D26445">
        <w:rPr>
          <w:rFonts w:cs="Arial" w:hint="eastAsia"/>
          <w:lang w:val="en-US" w:eastAsia="zh-CN"/>
        </w:rPr>
        <w:t xml:space="preserve"> for frequency bands</w:t>
      </w:r>
      <w:r w:rsidRPr="00D26445">
        <w:rPr>
          <w:rFonts w:cs="Arial"/>
        </w:rPr>
        <w:t xml:space="preserve"> operated with shared spectrum channel access</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3442"/>
        <w:gridCol w:w="1556"/>
        <w:gridCol w:w="1898"/>
        <w:gridCol w:w="1370"/>
      </w:tblGrid>
      <w:tr w:rsidR="00454E5E" w:rsidRPr="00D26445" w14:paraId="7E04E203" w14:textId="77777777" w:rsidTr="00454E5E">
        <w:trPr>
          <w:cantSplit/>
        </w:trPr>
        <w:tc>
          <w:tcPr>
            <w:tcW w:w="796" w:type="dxa"/>
            <w:tcBorders>
              <w:bottom w:val="double" w:sz="4" w:space="0" w:color="auto"/>
              <w:right w:val="double" w:sz="4" w:space="0" w:color="auto"/>
            </w:tcBorders>
            <w:shd w:val="clear" w:color="auto" w:fill="E0E0E0"/>
            <w:vAlign w:val="center"/>
          </w:tcPr>
          <w:p w14:paraId="69184205" w14:textId="77777777" w:rsidR="00454E5E" w:rsidRPr="00D26445" w:rsidRDefault="00454E5E" w:rsidP="00454E5E">
            <w:pPr>
              <w:pStyle w:val="TAH"/>
              <w:rPr>
                <w:bCs/>
                <w:lang w:val="en-US"/>
              </w:rPr>
            </w:pPr>
            <w:r w:rsidRPr="00D26445">
              <w:rPr>
                <w:bCs/>
                <w:lang w:val="en-US"/>
              </w:rPr>
              <w:t>Index</w:t>
            </w:r>
          </w:p>
        </w:tc>
        <w:tc>
          <w:tcPr>
            <w:tcW w:w="3442" w:type="dxa"/>
            <w:tcBorders>
              <w:left w:val="double" w:sz="4" w:space="0" w:color="auto"/>
              <w:bottom w:val="double" w:sz="4" w:space="0" w:color="auto"/>
            </w:tcBorders>
            <w:shd w:val="clear" w:color="auto" w:fill="E0E0E0"/>
            <w:vAlign w:val="center"/>
          </w:tcPr>
          <w:p w14:paraId="62A9AF4D" w14:textId="77777777" w:rsidR="00454E5E" w:rsidRPr="00D26445" w:rsidRDefault="00454E5E" w:rsidP="00454E5E">
            <w:pPr>
              <w:pStyle w:val="TAH"/>
              <w:rPr>
                <w:bCs/>
                <w:lang w:val="en-US"/>
              </w:rPr>
            </w:pPr>
            <w:r w:rsidRPr="00D26445">
              <w:rPr>
                <w:rFonts w:cs="Arial"/>
                <w:kern w:val="24"/>
              </w:rPr>
              <w:t xml:space="preserve">SS/PBCH block and CORESET multiplexing pattern </w:t>
            </w:r>
          </w:p>
        </w:tc>
        <w:tc>
          <w:tcPr>
            <w:tcW w:w="1556" w:type="dxa"/>
            <w:tcBorders>
              <w:bottom w:val="double" w:sz="4" w:space="0" w:color="auto"/>
            </w:tcBorders>
            <w:shd w:val="clear" w:color="auto" w:fill="E0E0E0"/>
            <w:vAlign w:val="center"/>
          </w:tcPr>
          <w:p w14:paraId="22B715FC" w14:textId="77777777" w:rsidR="00454E5E" w:rsidRPr="00D26445" w:rsidRDefault="00454E5E" w:rsidP="00454E5E">
            <w:pPr>
              <w:pStyle w:val="TAH"/>
              <w:rPr>
                <w:bCs/>
                <w:lang w:val="en-US"/>
              </w:rPr>
            </w:pPr>
            <w:r w:rsidRPr="00D26445">
              <w:rPr>
                <w:rFonts w:cs="Arial"/>
                <w:kern w:val="24"/>
              </w:rPr>
              <w:t xml:space="preserve">Number of RBs </w:t>
            </w:r>
            <m:oMath>
              <m:sSubSup>
                <m:sSubSupPr>
                  <m:ctrlPr>
                    <w:rPr>
                      <w:rFonts w:ascii="Cambria Math" w:hAnsi="Cambria Math"/>
                      <w:i/>
                    </w:rPr>
                  </m:ctrlPr>
                </m:sSubSupPr>
                <m:e>
                  <m:r>
                    <m:rPr>
                      <m:sty m:val="bi"/>
                    </m:rPr>
                    <w:rPr>
                      <w:rFonts w:ascii="Cambria Math"/>
                    </w:rPr>
                    <m:t>N</m:t>
                  </m:r>
                </m:e>
                <m:sub>
                  <m:r>
                    <m:rPr>
                      <m:nor/>
                    </m:rPr>
                    <w:rPr>
                      <w:rFonts w:ascii="Cambria Math"/>
                    </w:rPr>
                    <m:t>RB</m:t>
                  </m:r>
                  <m:ctrlPr>
                    <w:rPr>
                      <w:rFonts w:ascii="Cambria Math" w:hAnsi="Cambria Math"/>
                    </w:rPr>
                  </m:ctrlPr>
                </m:sub>
                <m:sup>
                  <m:r>
                    <m:rPr>
                      <m:nor/>
                    </m:rPr>
                    <w:rPr>
                      <w:rFonts w:ascii="Cambria Math"/>
                    </w:rPr>
                    <m:t>CORESET</m:t>
                  </m:r>
                  <m:ctrlPr>
                    <w:rPr>
                      <w:rFonts w:ascii="Cambria Math" w:hAnsi="Cambria Math"/>
                    </w:rPr>
                  </m:ctrlPr>
                </m:sup>
              </m:sSubSup>
            </m:oMath>
          </w:p>
        </w:tc>
        <w:tc>
          <w:tcPr>
            <w:tcW w:w="1898" w:type="dxa"/>
            <w:tcBorders>
              <w:bottom w:val="double" w:sz="4" w:space="0" w:color="auto"/>
            </w:tcBorders>
            <w:shd w:val="clear" w:color="auto" w:fill="E0E0E0"/>
            <w:vAlign w:val="center"/>
          </w:tcPr>
          <w:p w14:paraId="64D3256F" w14:textId="77777777" w:rsidR="00454E5E" w:rsidRPr="00D26445" w:rsidRDefault="00454E5E" w:rsidP="00454E5E">
            <w:pPr>
              <w:pStyle w:val="TAH"/>
              <w:rPr>
                <w:bCs/>
                <w:lang w:val="en-US"/>
              </w:rPr>
            </w:pPr>
            <w:r w:rsidRPr="00D26445">
              <w:rPr>
                <w:rFonts w:cs="Arial"/>
                <w:kern w:val="24"/>
              </w:rPr>
              <w:t xml:space="preserve">Number of Symbols </w:t>
            </w:r>
            <m:oMath>
              <m:sSubSup>
                <m:sSubSupPr>
                  <m:ctrlPr>
                    <w:rPr>
                      <w:rFonts w:ascii="Cambria Math" w:hAnsi="Cambria Math"/>
                      <w:i/>
                    </w:rPr>
                  </m:ctrlPr>
                </m:sSubSupPr>
                <m:e>
                  <m:r>
                    <m:rPr>
                      <m:sty m:val="bi"/>
                    </m:rPr>
                    <w:rPr>
                      <w:rFonts w:ascii="Cambria Math"/>
                    </w:rPr>
                    <m:t>N</m:t>
                  </m:r>
                </m:e>
                <m:sub>
                  <m:r>
                    <m:rPr>
                      <m:nor/>
                    </m:rPr>
                    <w:rPr>
                      <w:rFonts w:ascii="Cambria Math"/>
                    </w:rPr>
                    <m:t>symb</m:t>
                  </m:r>
                  <m:ctrlPr>
                    <w:rPr>
                      <w:rFonts w:ascii="Cambria Math" w:hAnsi="Cambria Math"/>
                    </w:rPr>
                  </m:ctrlPr>
                </m:sub>
                <m:sup>
                  <m:r>
                    <m:rPr>
                      <m:nor/>
                    </m:rPr>
                    <w:rPr>
                      <w:rFonts w:ascii="Cambria Math"/>
                    </w:rPr>
                    <m:t>CORESET</m:t>
                  </m:r>
                  <m:ctrlPr>
                    <w:rPr>
                      <w:rFonts w:ascii="Cambria Math" w:hAnsi="Cambria Math"/>
                    </w:rPr>
                  </m:ctrlPr>
                </m:sup>
              </m:sSubSup>
            </m:oMath>
            <w:r w:rsidRPr="00D26445">
              <w:rPr>
                <w:rFonts w:cs="Arial"/>
                <w:kern w:val="24"/>
              </w:rPr>
              <w:t xml:space="preserve"> </w:t>
            </w:r>
          </w:p>
        </w:tc>
        <w:tc>
          <w:tcPr>
            <w:tcW w:w="1370" w:type="dxa"/>
            <w:tcBorders>
              <w:bottom w:val="double" w:sz="4" w:space="0" w:color="auto"/>
            </w:tcBorders>
            <w:shd w:val="clear" w:color="auto" w:fill="E0E0E0"/>
            <w:vAlign w:val="center"/>
          </w:tcPr>
          <w:p w14:paraId="134FF8B5" w14:textId="77777777" w:rsidR="00454E5E" w:rsidRPr="00D26445" w:rsidRDefault="00454E5E" w:rsidP="00454E5E">
            <w:pPr>
              <w:pStyle w:val="TAH"/>
              <w:rPr>
                <w:bCs/>
                <w:lang w:val="en-US"/>
              </w:rPr>
            </w:pPr>
            <w:r w:rsidRPr="00D26445">
              <w:rPr>
                <w:rFonts w:cs="Arial"/>
                <w:kern w:val="24"/>
              </w:rPr>
              <w:t xml:space="preserve">Offset (RBs) </w:t>
            </w:r>
          </w:p>
        </w:tc>
      </w:tr>
      <w:tr w:rsidR="00454E5E" w:rsidRPr="00D26445" w14:paraId="16BD7562" w14:textId="77777777" w:rsidTr="00454E5E">
        <w:trPr>
          <w:cantSplit/>
        </w:trPr>
        <w:tc>
          <w:tcPr>
            <w:tcW w:w="796" w:type="dxa"/>
            <w:tcBorders>
              <w:top w:val="double" w:sz="4" w:space="0" w:color="auto"/>
              <w:right w:val="double" w:sz="4" w:space="0" w:color="auto"/>
            </w:tcBorders>
            <w:shd w:val="clear" w:color="auto" w:fill="auto"/>
            <w:vAlign w:val="center"/>
          </w:tcPr>
          <w:p w14:paraId="1C5F7804" w14:textId="77777777" w:rsidR="00454E5E" w:rsidRPr="00D26445" w:rsidRDefault="00454E5E" w:rsidP="00454E5E">
            <w:pPr>
              <w:pStyle w:val="TAC"/>
              <w:rPr>
                <w:lang w:val="en-US"/>
              </w:rPr>
            </w:pPr>
            <w:r w:rsidRPr="00D26445">
              <w:rPr>
                <w:lang w:val="en-US"/>
              </w:rPr>
              <w:t>0</w:t>
            </w:r>
          </w:p>
        </w:tc>
        <w:tc>
          <w:tcPr>
            <w:tcW w:w="3442" w:type="dxa"/>
            <w:tcBorders>
              <w:top w:val="double" w:sz="4" w:space="0" w:color="auto"/>
              <w:left w:val="double" w:sz="4" w:space="0" w:color="auto"/>
            </w:tcBorders>
            <w:vAlign w:val="center"/>
          </w:tcPr>
          <w:p w14:paraId="158BECB9" w14:textId="77777777" w:rsidR="00454E5E" w:rsidRPr="00D26445" w:rsidRDefault="00454E5E" w:rsidP="00454E5E">
            <w:pPr>
              <w:pStyle w:val="TAC"/>
              <w:rPr>
                <w:lang w:val="en-US"/>
              </w:rPr>
            </w:pPr>
            <w:r w:rsidRPr="00D26445">
              <w:rPr>
                <w:rFonts w:cs="Arial"/>
                <w:kern w:val="24"/>
                <w:szCs w:val="18"/>
              </w:rPr>
              <w:t xml:space="preserve">1 </w:t>
            </w:r>
          </w:p>
        </w:tc>
        <w:tc>
          <w:tcPr>
            <w:tcW w:w="1556" w:type="dxa"/>
            <w:tcBorders>
              <w:top w:val="double" w:sz="4" w:space="0" w:color="auto"/>
            </w:tcBorders>
            <w:vAlign w:val="center"/>
          </w:tcPr>
          <w:p w14:paraId="340542AF" w14:textId="77777777" w:rsidR="00454E5E" w:rsidRPr="00D26445" w:rsidRDefault="00454E5E" w:rsidP="00454E5E">
            <w:pPr>
              <w:pStyle w:val="TAC"/>
              <w:rPr>
                <w:lang w:val="en-US"/>
              </w:rPr>
            </w:pPr>
            <w:r w:rsidRPr="00D26445">
              <w:rPr>
                <w:lang w:val="en-US"/>
              </w:rPr>
              <w:t>48</w:t>
            </w:r>
          </w:p>
        </w:tc>
        <w:tc>
          <w:tcPr>
            <w:tcW w:w="1898" w:type="dxa"/>
            <w:tcBorders>
              <w:top w:val="double" w:sz="4" w:space="0" w:color="auto"/>
            </w:tcBorders>
            <w:vAlign w:val="center"/>
          </w:tcPr>
          <w:p w14:paraId="48DC065F" w14:textId="77777777" w:rsidR="00454E5E" w:rsidRPr="00D26445" w:rsidRDefault="00454E5E" w:rsidP="00454E5E">
            <w:pPr>
              <w:pStyle w:val="TAC"/>
              <w:rPr>
                <w:lang w:val="en-US"/>
              </w:rPr>
            </w:pPr>
            <w:r w:rsidRPr="00D26445">
              <w:rPr>
                <w:lang w:val="en-US"/>
              </w:rPr>
              <w:t>1</w:t>
            </w:r>
          </w:p>
        </w:tc>
        <w:tc>
          <w:tcPr>
            <w:tcW w:w="1370" w:type="dxa"/>
            <w:tcBorders>
              <w:top w:val="double" w:sz="4" w:space="0" w:color="auto"/>
            </w:tcBorders>
            <w:vAlign w:val="center"/>
          </w:tcPr>
          <w:p w14:paraId="3BED3956" w14:textId="77777777" w:rsidR="00454E5E" w:rsidRPr="00D26445" w:rsidRDefault="00454E5E" w:rsidP="00454E5E">
            <w:pPr>
              <w:pStyle w:val="TAC"/>
              <w:rPr>
                <w:lang w:val="en-US"/>
              </w:rPr>
            </w:pPr>
            <w:r w:rsidRPr="00D26445">
              <w:rPr>
                <w:lang w:val="en-US"/>
              </w:rPr>
              <w:t>0</w:t>
            </w:r>
          </w:p>
        </w:tc>
      </w:tr>
      <w:tr w:rsidR="00454E5E" w:rsidRPr="00D26445" w14:paraId="7CCA934B" w14:textId="77777777" w:rsidTr="00454E5E">
        <w:trPr>
          <w:cantSplit/>
        </w:trPr>
        <w:tc>
          <w:tcPr>
            <w:tcW w:w="796" w:type="dxa"/>
            <w:tcBorders>
              <w:right w:val="double" w:sz="4" w:space="0" w:color="auto"/>
            </w:tcBorders>
            <w:shd w:val="clear" w:color="auto" w:fill="auto"/>
            <w:vAlign w:val="center"/>
          </w:tcPr>
          <w:p w14:paraId="7D4CDB9B" w14:textId="77777777" w:rsidR="00454E5E" w:rsidRPr="00D26445" w:rsidRDefault="00454E5E" w:rsidP="00454E5E">
            <w:pPr>
              <w:pStyle w:val="TAC"/>
              <w:rPr>
                <w:lang w:val="en-US"/>
              </w:rPr>
            </w:pPr>
            <w:r w:rsidRPr="00D26445">
              <w:rPr>
                <w:lang w:val="en-US"/>
              </w:rPr>
              <w:t>1</w:t>
            </w:r>
          </w:p>
        </w:tc>
        <w:tc>
          <w:tcPr>
            <w:tcW w:w="3442" w:type="dxa"/>
            <w:tcBorders>
              <w:left w:val="double" w:sz="4" w:space="0" w:color="auto"/>
            </w:tcBorders>
            <w:vAlign w:val="center"/>
          </w:tcPr>
          <w:p w14:paraId="0891D38E" w14:textId="77777777" w:rsidR="00454E5E" w:rsidRPr="00D26445" w:rsidRDefault="00454E5E" w:rsidP="00454E5E">
            <w:pPr>
              <w:pStyle w:val="TAC"/>
              <w:rPr>
                <w:lang w:val="en-US"/>
              </w:rPr>
            </w:pPr>
            <w:r w:rsidRPr="00D26445">
              <w:rPr>
                <w:rFonts w:cs="Arial"/>
                <w:kern w:val="24"/>
                <w:szCs w:val="18"/>
              </w:rPr>
              <w:t xml:space="preserve">1 </w:t>
            </w:r>
          </w:p>
        </w:tc>
        <w:tc>
          <w:tcPr>
            <w:tcW w:w="1556" w:type="dxa"/>
            <w:vAlign w:val="center"/>
          </w:tcPr>
          <w:p w14:paraId="5D6DA701" w14:textId="77777777" w:rsidR="00454E5E" w:rsidRPr="00D26445" w:rsidRDefault="00454E5E" w:rsidP="00454E5E">
            <w:pPr>
              <w:pStyle w:val="TAC"/>
              <w:rPr>
                <w:lang w:val="en-US"/>
              </w:rPr>
            </w:pPr>
            <w:r w:rsidRPr="00D26445">
              <w:rPr>
                <w:lang w:val="en-US"/>
              </w:rPr>
              <w:t>48</w:t>
            </w:r>
          </w:p>
        </w:tc>
        <w:tc>
          <w:tcPr>
            <w:tcW w:w="1898" w:type="dxa"/>
            <w:vAlign w:val="center"/>
          </w:tcPr>
          <w:p w14:paraId="52ACC8F3" w14:textId="62B79B11" w:rsidR="00454E5E" w:rsidRPr="00D26445" w:rsidRDefault="00454E5E" w:rsidP="00454E5E">
            <w:pPr>
              <w:pStyle w:val="TAC"/>
              <w:rPr>
                <w:lang w:val="en-US"/>
              </w:rPr>
            </w:pPr>
            <w:r w:rsidRPr="00D26445">
              <w:rPr>
                <w:lang w:val="en-US"/>
              </w:rPr>
              <w:t>1</w:t>
            </w:r>
          </w:p>
        </w:tc>
        <w:tc>
          <w:tcPr>
            <w:tcW w:w="1370" w:type="dxa"/>
            <w:vAlign w:val="center"/>
          </w:tcPr>
          <w:p w14:paraId="49A5E838" w14:textId="77777777" w:rsidR="00454E5E" w:rsidRPr="00D26445" w:rsidRDefault="00454E5E" w:rsidP="00454E5E">
            <w:pPr>
              <w:pStyle w:val="TAC"/>
              <w:rPr>
                <w:lang w:val="en-US"/>
              </w:rPr>
            </w:pPr>
            <w:r w:rsidRPr="00D26445">
              <w:rPr>
                <w:lang w:val="en-US"/>
              </w:rPr>
              <w:t>1</w:t>
            </w:r>
          </w:p>
        </w:tc>
      </w:tr>
      <w:tr w:rsidR="00454E5E" w:rsidRPr="00D26445" w14:paraId="7B4C81AA" w14:textId="77777777" w:rsidTr="00454E5E">
        <w:trPr>
          <w:cantSplit/>
        </w:trPr>
        <w:tc>
          <w:tcPr>
            <w:tcW w:w="796" w:type="dxa"/>
            <w:tcBorders>
              <w:right w:val="double" w:sz="4" w:space="0" w:color="auto"/>
            </w:tcBorders>
            <w:shd w:val="clear" w:color="auto" w:fill="auto"/>
            <w:vAlign w:val="center"/>
          </w:tcPr>
          <w:p w14:paraId="0281941E" w14:textId="77777777" w:rsidR="00454E5E" w:rsidRPr="00D26445" w:rsidRDefault="00454E5E" w:rsidP="00454E5E">
            <w:pPr>
              <w:pStyle w:val="TAC"/>
            </w:pPr>
            <w:r w:rsidRPr="00D26445">
              <w:t>2</w:t>
            </w:r>
          </w:p>
        </w:tc>
        <w:tc>
          <w:tcPr>
            <w:tcW w:w="3442" w:type="dxa"/>
            <w:tcBorders>
              <w:left w:val="double" w:sz="4" w:space="0" w:color="auto"/>
            </w:tcBorders>
            <w:vAlign w:val="center"/>
          </w:tcPr>
          <w:p w14:paraId="401BFDB8" w14:textId="77777777" w:rsidR="00454E5E" w:rsidRPr="00D26445" w:rsidRDefault="00454E5E" w:rsidP="00454E5E">
            <w:pPr>
              <w:pStyle w:val="TAC"/>
            </w:pPr>
            <w:r w:rsidRPr="00D26445">
              <w:t>1</w:t>
            </w:r>
          </w:p>
        </w:tc>
        <w:tc>
          <w:tcPr>
            <w:tcW w:w="1556" w:type="dxa"/>
            <w:vAlign w:val="center"/>
          </w:tcPr>
          <w:p w14:paraId="0CE145E1" w14:textId="77777777" w:rsidR="00454E5E" w:rsidRPr="00D26445" w:rsidRDefault="00454E5E" w:rsidP="00454E5E">
            <w:pPr>
              <w:pStyle w:val="TAC"/>
            </w:pPr>
            <w:r w:rsidRPr="00D26445">
              <w:rPr>
                <w:lang w:val="en-US"/>
              </w:rPr>
              <w:t>48</w:t>
            </w:r>
          </w:p>
        </w:tc>
        <w:tc>
          <w:tcPr>
            <w:tcW w:w="1898" w:type="dxa"/>
            <w:vAlign w:val="center"/>
          </w:tcPr>
          <w:p w14:paraId="39427E8A" w14:textId="77777777" w:rsidR="00454E5E" w:rsidRPr="00D26445" w:rsidRDefault="00454E5E" w:rsidP="00454E5E">
            <w:pPr>
              <w:pStyle w:val="TAC"/>
            </w:pPr>
            <w:r w:rsidRPr="00D26445">
              <w:t>1</w:t>
            </w:r>
          </w:p>
        </w:tc>
        <w:tc>
          <w:tcPr>
            <w:tcW w:w="1370" w:type="dxa"/>
            <w:vAlign w:val="center"/>
          </w:tcPr>
          <w:p w14:paraId="46FD37A5" w14:textId="77777777" w:rsidR="00454E5E" w:rsidRPr="00D26445" w:rsidRDefault="00454E5E" w:rsidP="00454E5E">
            <w:pPr>
              <w:pStyle w:val="TAC"/>
            </w:pPr>
            <w:r w:rsidRPr="00D26445">
              <w:t>2</w:t>
            </w:r>
          </w:p>
        </w:tc>
      </w:tr>
      <w:tr w:rsidR="00454E5E" w:rsidRPr="00D26445" w14:paraId="5BA8F61D" w14:textId="77777777" w:rsidTr="00454E5E">
        <w:trPr>
          <w:cantSplit/>
        </w:trPr>
        <w:tc>
          <w:tcPr>
            <w:tcW w:w="796" w:type="dxa"/>
            <w:tcBorders>
              <w:right w:val="double" w:sz="4" w:space="0" w:color="auto"/>
            </w:tcBorders>
            <w:shd w:val="clear" w:color="auto" w:fill="auto"/>
            <w:vAlign w:val="center"/>
          </w:tcPr>
          <w:p w14:paraId="411756F6" w14:textId="77777777" w:rsidR="00454E5E" w:rsidRPr="00D26445" w:rsidRDefault="00454E5E" w:rsidP="00454E5E">
            <w:pPr>
              <w:pStyle w:val="TAC"/>
            </w:pPr>
            <w:r w:rsidRPr="00D26445">
              <w:t>3</w:t>
            </w:r>
          </w:p>
        </w:tc>
        <w:tc>
          <w:tcPr>
            <w:tcW w:w="3442" w:type="dxa"/>
            <w:tcBorders>
              <w:left w:val="double" w:sz="4" w:space="0" w:color="auto"/>
            </w:tcBorders>
            <w:vAlign w:val="center"/>
          </w:tcPr>
          <w:p w14:paraId="376FED1D" w14:textId="77777777" w:rsidR="00454E5E" w:rsidRPr="00D26445" w:rsidRDefault="00454E5E" w:rsidP="00454E5E">
            <w:pPr>
              <w:pStyle w:val="TAC"/>
            </w:pPr>
            <w:r w:rsidRPr="00D26445">
              <w:t>1</w:t>
            </w:r>
          </w:p>
        </w:tc>
        <w:tc>
          <w:tcPr>
            <w:tcW w:w="1556" w:type="dxa"/>
            <w:vAlign w:val="center"/>
          </w:tcPr>
          <w:p w14:paraId="5BE851E4" w14:textId="77777777" w:rsidR="00454E5E" w:rsidRPr="00D26445" w:rsidRDefault="00454E5E" w:rsidP="00454E5E">
            <w:pPr>
              <w:pStyle w:val="TAC"/>
            </w:pPr>
            <w:r w:rsidRPr="00D26445">
              <w:rPr>
                <w:lang w:val="en-US"/>
              </w:rPr>
              <w:t>48</w:t>
            </w:r>
          </w:p>
        </w:tc>
        <w:tc>
          <w:tcPr>
            <w:tcW w:w="1898" w:type="dxa"/>
            <w:vAlign w:val="center"/>
          </w:tcPr>
          <w:p w14:paraId="7A9A884B" w14:textId="77777777" w:rsidR="00454E5E" w:rsidRPr="00D26445" w:rsidRDefault="00454E5E" w:rsidP="00454E5E">
            <w:pPr>
              <w:pStyle w:val="TAC"/>
            </w:pPr>
            <w:r w:rsidRPr="00D26445">
              <w:t>1</w:t>
            </w:r>
          </w:p>
        </w:tc>
        <w:tc>
          <w:tcPr>
            <w:tcW w:w="1370" w:type="dxa"/>
            <w:vAlign w:val="center"/>
          </w:tcPr>
          <w:p w14:paraId="156B97BD" w14:textId="77777777" w:rsidR="00454E5E" w:rsidRPr="00D26445" w:rsidRDefault="00454E5E" w:rsidP="00454E5E">
            <w:pPr>
              <w:pStyle w:val="TAC"/>
            </w:pPr>
            <w:r w:rsidRPr="00D26445">
              <w:t>3</w:t>
            </w:r>
          </w:p>
        </w:tc>
      </w:tr>
      <w:tr w:rsidR="00454E5E" w:rsidRPr="00D26445" w14:paraId="536AF01D" w14:textId="77777777" w:rsidTr="00454E5E">
        <w:trPr>
          <w:cantSplit/>
        </w:trPr>
        <w:tc>
          <w:tcPr>
            <w:tcW w:w="796" w:type="dxa"/>
            <w:tcBorders>
              <w:right w:val="double" w:sz="4" w:space="0" w:color="auto"/>
            </w:tcBorders>
            <w:shd w:val="clear" w:color="auto" w:fill="auto"/>
            <w:vAlign w:val="center"/>
          </w:tcPr>
          <w:p w14:paraId="7BF6A92C" w14:textId="77777777" w:rsidR="00454E5E" w:rsidRPr="00D26445" w:rsidRDefault="00454E5E" w:rsidP="00454E5E">
            <w:pPr>
              <w:pStyle w:val="TAC"/>
            </w:pPr>
            <w:r w:rsidRPr="00D26445">
              <w:t>4</w:t>
            </w:r>
          </w:p>
        </w:tc>
        <w:tc>
          <w:tcPr>
            <w:tcW w:w="3442" w:type="dxa"/>
            <w:tcBorders>
              <w:left w:val="double" w:sz="4" w:space="0" w:color="auto"/>
            </w:tcBorders>
            <w:vAlign w:val="center"/>
          </w:tcPr>
          <w:p w14:paraId="40C4F9BE" w14:textId="77777777" w:rsidR="00454E5E" w:rsidRPr="00D26445" w:rsidRDefault="00454E5E" w:rsidP="00454E5E">
            <w:pPr>
              <w:pStyle w:val="TAC"/>
            </w:pPr>
            <w:r w:rsidRPr="00D26445">
              <w:t>1</w:t>
            </w:r>
          </w:p>
        </w:tc>
        <w:tc>
          <w:tcPr>
            <w:tcW w:w="1556" w:type="dxa"/>
            <w:vAlign w:val="center"/>
          </w:tcPr>
          <w:p w14:paraId="5FADB222" w14:textId="77777777" w:rsidR="00454E5E" w:rsidRPr="00D26445" w:rsidRDefault="00454E5E" w:rsidP="00454E5E">
            <w:pPr>
              <w:pStyle w:val="TAC"/>
            </w:pPr>
            <w:r w:rsidRPr="00D26445">
              <w:rPr>
                <w:lang w:val="en-US"/>
              </w:rPr>
              <w:t>48</w:t>
            </w:r>
          </w:p>
        </w:tc>
        <w:tc>
          <w:tcPr>
            <w:tcW w:w="1898" w:type="dxa"/>
            <w:vAlign w:val="center"/>
          </w:tcPr>
          <w:p w14:paraId="2597A077" w14:textId="77777777" w:rsidR="00454E5E" w:rsidRPr="00D26445" w:rsidRDefault="00454E5E" w:rsidP="00454E5E">
            <w:pPr>
              <w:pStyle w:val="TAC"/>
            </w:pPr>
            <w:r w:rsidRPr="00D26445">
              <w:t>2</w:t>
            </w:r>
          </w:p>
        </w:tc>
        <w:tc>
          <w:tcPr>
            <w:tcW w:w="1370" w:type="dxa"/>
            <w:vAlign w:val="center"/>
          </w:tcPr>
          <w:p w14:paraId="44F3AE1A" w14:textId="77777777" w:rsidR="00454E5E" w:rsidRPr="00D26445" w:rsidRDefault="00454E5E" w:rsidP="00454E5E">
            <w:pPr>
              <w:pStyle w:val="TAC"/>
            </w:pPr>
            <w:r w:rsidRPr="00D26445">
              <w:t>0</w:t>
            </w:r>
          </w:p>
        </w:tc>
      </w:tr>
      <w:tr w:rsidR="00454E5E" w:rsidRPr="00D26445" w14:paraId="289D4DEF" w14:textId="77777777" w:rsidTr="00454E5E">
        <w:trPr>
          <w:cantSplit/>
        </w:trPr>
        <w:tc>
          <w:tcPr>
            <w:tcW w:w="796" w:type="dxa"/>
            <w:tcBorders>
              <w:right w:val="double" w:sz="4" w:space="0" w:color="auto"/>
            </w:tcBorders>
            <w:shd w:val="clear" w:color="auto" w:fill="auto"/>
            <w:vAlign w:val="center"/>
          </w:tcPr>
          <w:p w14:paraId="488A6C1D" w14:textId="77777777" w:rsidR="00454E5E" w:rsidRPr="00D26445" w:rsidRDefault="00454E5E" w:rsidP="00454E5E">
            <w:pPr>
              <w:pStyle w:val="TAC"/>
            </w:pPr>
            <w:r w:rsidRPr="00D26445">
              <w:t>5</w:t>
            </w:r>
          </w:p>
        </w:tc>
        <w:tc>
          <w:tcPr>
            <w:tcW w:w="3442" w:type="dxa"/>
            <w:tcBorders>
              <w:left w:val="double" w:sz="4" w:space="0" w:color="auto"/>
            </w:tcBorders>
            <w:vAlign w:val="center"/>
          </w:tcPr>
          <w:p w14:paraId="01627DBD" w14:textId="77777777" w:rsidR="00454E5E" w:rsidRPr="00D26445" w:rsidRDefault="00454E5E" w:rsidP="00454E5E">
            <w:pPr>
              <w:pStyle w:val="TAC"/>
            </w:pPr>
            <w:r w:rsidRPr="00D26445">
              <w:t>1</w:t>
            </w:r>
          </w:p>
        </w:tc>
        <w:tc>
          <w:tcPr>
            <w:tcW w:w="1556" w:type="dxa"/>
            <w:vAlign w:val="center"/>
          </w:tcPr>
          <w:p w14:paraId="3A7E7009" w14:textId="77777777" w:rsidR="00454E5E" w:rsidRPr="00D26445" w:rsidRDefault="00454E5E" w:rsidP="00454E5E">
            <w:pPr>
              <w:pStyle w:val="TAC"/>
            </w:pPr>
            <w:r w:rsidRPr="00D26445">
              <w:rPr>
                <w:lang w:val="en-US"/>
              </w:rPr>
              <w:t>48</w:t>
            </w:r>
          </w:p>
        </w:tc>
        <w:tc>
          <w:tcPr>
            <w:tcW w:w="1898" w:type="dxa"/>
            <w:vAlign w:val="center"/>
          </w:tcPr>
          <w:p w14:paraId="1F9CE1D7" w14:textId="77777777" w:rsidR="00454E5E" w:rsidRPr="00D26445" w:rsidRDefault="00454E5E" w:rsidP="00454E5E">
            <w:pPr>
              <w:pStyle w:val="TAC"/>
            </w:pPr>
            <w:r w:rsidRPr="00D26445">
              <w:t>2</w:t>
            </w:r>
          </w:p>
        </w:tc>
        <w:tc>
          <w:tcPr>
            <w:tcW w:w="1370" w:type="dxa"/>
            <w:vAlign w:val="center"/>
          </w:tcPr>
          <w:p w14:paraId="6090A881" w14:textId="77777777" w:rsidR="00454E5E" w:rsidRPr="00D26445" w:rsidRDefault="00454E5E" w:rsidP="00454E5E">
            <w:pPr>
              <w:pStyle w:val="TAC"/>
            </w:pPr>
            <w:r w:rsidRPr="00D26445">
              <w:t>1</w:t>
            </w:r>
          </w:p>
        </w:tc>
      </w:tr>
      <w:tr w:rsidR="00454E5E" w:rsidRPr="00D26445" w14:paraId="46472F93" w14:textId="77777777" w:rsidTr="00454E5E">
        <w:trPr>
          <w:cantSplit/>
        </w:trPr>
        <w:tc>
          <w:tcPr>
            <w:tcW w:w="796" w:type="dxa"/>
            <w:tcBorders>
              <w:right w:val="double" w:sz="4" w:space="0" w:color="auto"/>
            </w:tcBorders>
            <w:shd w:val="clear" w:color="auto" w:fill="auto"/>
            <w:vAlign w:val="center"/>
          </w:tcPr>
          <w:p w14:paraId="35C380F9" w14:textId="77777777" w:rsidR="00454E5E" w:rsidRPr="00D26445" w:rsidRDefault="00454E5E" w:rsidP="00454E5E">
            <w:pPr>
              <w:pStyle w:val="TAC"/>
            </w:pPr>
            <w:r w:rsidRPr="00D26445">
              <w:t>6</w:t>
            </w:r>
          </w:p>
        </w:tc>
        <w:tc>
          <w:tcPr>
            <w:tcW w:w="3442" w:type="dxa"/>
            <w:tcBorders>
              <w:left w:val="double" w:sz="4" w:space="0" w:color="auto"/>
            </w:tcBorders>
            <w:vAlign w:val="center"/>
          </w:tcPr>
          <w:p w14:paraId="28379E4F" w14:textId="77777777" w:rsidR="00454E5E" w:rsidRPr="00D26445" w:rsidRDefault="00454E5E" w:rsidP="00454E5E">
            <w:pPr>
              <w:pStyle w:val="TAC"/>
            </w:pPr>
            <w:r w:rsidRPr="00D26445">
              <w:t>1</w:t>
            </w:r>
          </w:p>
        </w:tc>
        <w:tc>
          <w:tcPr>
            <w:tcW w:w="1556" w:type="dxa"/>
            <w:vAlign w:val="center"/>
          </w:tcPr>
          <w:p w14:paraId="78C10BF8" w14:textId="77777777" w:rsidR="00454E5E" w:rsidRPr="00D26445" w:rsidRDefault="00454E5E" w:rsidP="00454E5E">
            <w:pPr>
              <w:pStyle w:val="TAC"/>
            </w:pPr>
            <w:r w:rsidRPr="00D26445">
              <w:rPr>
                <w:lang w:val="en-US"/>
              </w:rPr>
              <w:t>48</w:t>
            </w:r>
          </w:p>
        </w:tc>
        <w:tc>
          <w:tcPr>
            <w:tcW w:w="1898" w:type="dxa"/>
            <w:vAlign w:val="center"/>
          </w:tcPr>
          <w:p w14:paraId="20F5300B" w14:textId="77777777" w:rsidR="00454E5E" w:rsidRPr="00D26445" w:rsidRDefault="00454E5E" w:rsidP="00454E5E">
            <w:pPr>
              <w:pStyle w:val="TAC"/>
            </w:pPr>
            <w:r w:rsidRPr="00D26445">
              <w:t>2</w:t>
            </w:r>
          </w:p>
        </w:tc>
        <w:tc>
          <w:tcPr>
            <w:tcW w:w="1370" w:type="dxa"/>
            <w:vAlign w:val="center"/>
          </w:tcPr>
          <w:p w14:paraId="7940CEB7" w14:textId="77777777" w:rsidR="00454E5E" w:rsidRPr="00D26445" w:rsidRDefault="00454E5E" w:rsidP="00454E5E">
            <w:pPr>
              <w:pStyle w:val="TAC"/>
            </w:pPr>
            <w:r w:rsidRPr="00D26445">
              <w:t>2</w:t>
            </w:r>
          </w:p>
        </w:tc>
      </w:tr>
      <w:tr w:rsidR="00454E5E" w:rsidRPr="00D26445" w14:paraId="5C7CBDD7" w14:textId="77777777" w:rsidTr="00454E5E">
        <w:trPr>
          <w:cantSplit/>
        </w:trPr>
        <w:tc>
          <w:tcPr>
            <w:tcW w:w="796" w:type="dxa"/>
            <w:tcBorders>
              <w:right w:val="double" w:sz="4" w:space="0" w:color="auto"/>
            </w:tcBorders>
            <w:shd w:val="clear" w:color="auto" w:fill="auto"/>
            <w:vAlign w:val="center"/>
          </w:tcPr>
          <w:p w14:paraId="33F9063A" w14:textId="77777777" w:rsidR="00454E5E" w:rsidRPr="00D26445" w:rsidRDefault="00454E5E" w:rsidP="00454E5E">
            <w:pPr>
              <w:pStyle w:val="TAC"/>
            </w:pPr>
            <w:r w:rsidRPr="00D26445">
              <w:t>7</w:t>
            </w:r>
          </w:p>
        </w:tc>
        <w:tc>
          <w:tcPr>
            <w:tcW w:w="3442" w:type="dxa"/>
            <w:tcBorders>
              <w:left w:val="double" w:sz="4" w:space="0" w:color="auto"/>
            </w:tcBorders>
            <w:vAlign w:val="center"/>
          </w:tcPr>
          <w:p w14:paraId="7370A127" w14:textId="77777777" w:rsidR="00454E5E" w:rsidRPr="00D26445" w:rsidRDefault="00454E5E" w:rsidP="00454E5E">
            <w:pPr>
              <w:pStyle w:val="TAC"/>
            </w:pPr>
            <w:r w:rsidRPr="00D26445">
              <w:t>1</w:t>
            </w:r>
          </w:p>
        </w:tc>
        <w:tc>
          <w:tcPr>
            <w:tcW w:w="1556" w:type="dxa"/>
            <w:vAlign w:val="center"/>
          </w:tcPr>
          <w:p w14:paraId="42E35D50" w14:textId="77777777" w:rsidR="00454E5E" w:rsidRPr="00D26445" w:rsidRDefault="00454E5E" w:rsidP="00454E5E">
            <w:pPr>
              <w:pStyle w:val="TAC"/>
            </w:pPr>
            <w:r w:rsidRPr="00D26445">
              <w:rPr>
                <w:lang w:val="en-US"/>
              </w:rPr>
              <w:t>48</w:t>
            </w:r>
          </w:p>
        </w:tc>
        <w:tc>
          <w:tcPr>
            <w:tcW w:w="1898" w:type="dxa"/>
            <w:vAlign w:val="center"/>
          </w:tcPr>
          <w:p w14:paraId="277FA18D" w14:textId="77777777" w:rsidR="00454E5E" w:rsidRPr="00D26445" w:rsidRDefault="00454E5E" w:rsidP="00454E5E">
            <w:pPr>
              <w:pStyle w:val="TAC"/>
            </w:pPr>
            <w:r w:rsidRPr="00D26445">
              <w:t>2</w:t>
            </w:r>
          </w:p>
        </w:tc>
        <w:tc>
          <w:tcPr>
            <w:tcW w:w="1370" w:type="dxa"/>
            <w:vAlign w:val="center"/>
          </w:tcPr>
          <w:p w14:paraId="66656FBE" w14:textId="77777777" w:rsidR="00454E5E" w:rsidRPr="00D26445" w:rsidRDefault="00454E5E" w:rsidP="00454E5E">
            <w:pPr>
              <w:pStyle w:val="TAC"/>
            </w:pPr>
            <w:r w:rsidRPr="00D26445">
              <w:t>3</w:t>
            </w:r>
          </w:p>
        </w:tc>
      </w:tr>
      <w:tr w:rsidR="00454E5E" w:rsidRPr="00D26445" w14:paraId="36BC61CD" w14:textId="77777777" w:rsidTr="00454E5E">
        <w:trPr>
          <w:cantSplit/>
        </w:trPr>
        <w:tc>
          <w:tcPr>
            <w:tcW w:w="796" w:type="dxa"/>
            <w:tcBorders>
              <w:right w:val="double" w:sz="4" w:space="0" w:color="auto"/>
            </w:tcBorders>
            <w:shd w:val="clear" w:color="auto" w:fill="auto"/>
            <w:vAlign w:val="center"/>
          </w:tcPr>
          <w:p w14:paraId="388BB793" w14:textId="77777777" w:rsidR="00454E5E" w:rsidRPr="00D26445" w:rsidRDefault="00454E5E" w:rsidP="00454E5E">
            <w:pPr>
              <w:pStyle w:val="TAC"/>
            </w:pPr>
            <w:r w:rsidRPr="00D26445">
              <w:t>8</w:t>
            </w:r>
          </w:p>
        </w:tc>
        <w:tc>
          <w:tcPr>
            <w:tcW w:w="8266" w:type="dxa"/>
            <w:gridSpan w:val="4"/>
            <w:tcBorders>
              <w:left w:val="double" w:sz="4" w:space="0" w:color="auto"/>
            </w:tcBorders>
            <w:vAlign w:val="center"/>
          </w:tcPr>
          <w:p w14:paraId="630E4D67" w14:textId="77777777" w:rsidR="00454E5E" w:rsidRPr="00D26445" w:rsidRDefault="00454E5E" w:rsidP="00454E5E">
            <w:pPr>
              <w:pStyle w:val="TAC"/>
            </w:pPr>
            <w:r w:rsidRPr="00D26445">
              <w:t>Reserved</w:t>
            </w:r>
          </w:p>
        </w:tc>
      </w:tr>
      <w:tr w:rsidR="00454E5E" w:rsidRPr="00D26445" w14:paraId="1C83FC68" w14:textId="77777777" w:rsidTr="00454E5E">
        <w:trPr>
          <w:cantSplit/>
        </w:trPr>
        <w:tc>
          <w:tcPr>
            <w:tcW w:w="796" w:type="dxa"/>
            <w:tcBorders>
              <w:right w:val="double" w:sz="4" w:space="0" w:color="auto"/>
            </w:tcBorders>
            <w:shd w:val="clear" w:color="auto" w:fill="auto"/>
            <w:vAlign w:val="center"/>
          </w:tcPr>
          <w:p w14:paraId="7400D933" w14:textId="77777777" w:rsidR="00454E5E" w:rsidRPr="00D26445" w:rsidRDefault="00454E5E" w:rsidP="00454E5E">
            <w:pPr>
              <w:pStyle w:val="TAC"/>
            </w:pPr>
            <w:r w:rsidRPr="00D26445">
              <w:t>9</w:t>
            </w:r>
          </w:p>
        </w:tc>
        <w:tc>
          <w:tcPr>
            <w:tcW w:w="8266" w:type="dxa"/>
            <w:gridSpan w:val="4"/>
            <w:tcBorders>
              <w:left w:val="double" w:sz="4" w:space="0" w:color="auto"/>
            </w:tcBorders>
            <w:vAlign w:val="center"/>
          </w:tcPr>
          <w:p w14:paraId="5F9970A9" w14:textId="77777777" w:rsidR="00454E5E" w:rsidRPr="00D26445" w:rsidRDefault="00454E5E" w:rsidP="00454E5E">
            <w:pPr>
              <w:pStyle w:val="TAC"/>
            </w:pPr>
            <w:r w:rsidRPr="00D26445">
              <w:t>Reserved</w:t>
            </w:r>
          </w:p>
        </w:tc>
      </w:tr>
      <w:tr w:rsidR="00454E5E" w:rsidRPr="00D26445" w14:paraId="6E0DC21F" w14:textId="77777777" w:rsidTr="00454E5E">
        <w:trPr>
          <w:cantSplit/>
        </w:trPr>
        <w:tc>
          <w:tcPr>
            <w:tcW w:w="796" w:type="dxa"/>
            <w:tcBorders>
              <w:right w:val="double" w:sz="4" w:space="0" w:color="auto"/>
            </w:tcBorders>
            <w:shd w:val="clear" w:color="auto" w:fill="auto"/>
            <w:vAlign w:val="center"/>
          </w:tcPr>
          <w:p w14:paraId="0E76E2AC" w14:textId="77777777" w:rsidR="00454E5E" w:rsidRPr="00D26445" w:rsidRDefault="00454E5E" w:rsidP="00454E5E">
            <w:pPr>
              <w:pStyle w:val="TAC"/>
            </w:pPr>
            <w:r w:rsidRPr="00D26445">
              <w:t>10</w:t>
            </w:r>
          </w:p>
        </w:tc>
        <w:tc>
          <w:tcPr>
            <w:tcW w:w="8266" w:type="dxa"/>
            <w:gridSpan w:val="4"/>
            <w:tcBorders>
              <w:left w:val="double" w:sz="4" w:space="0" w:color="auto"/>
            </w:tcBorders>
            <w:vAlign w:val="center"/>
          </w:tcPr>
          <w:p w14:paraId="01E29F81" w14:textId="77777777" w:rsidR="00454E5E" w:rsidRPr="00D26445" w:rsidRDefault="00454E5E" w:rsidP="00454E5E">
            <w:pPr>
              <w:pStyle w:val="TAC"/>
            </w:pPr>
            <w:r w:rsidRPr="00D26445">
              <w:t>Reserved</w:t>
            </w:r>
          </w:p>
        </w:tc>
      </w:tr>
      <w:tr w:rsidR="00454E5E" w:rsidRPr="00D26445" w14:paraId="5DCB1BA8" w14:textId="77777777" w:rsidTr="00454E5E">
        <w:trPr>
          <w:cantSplit/>
        </w:trPr>
        <w:tc>
          <w:tcPr>
            <w:tcW w:w="796" w:type="dxa"/>
            <w:tcBorders>
              <w:right w:val="double" w:sz="4" w:space="0" w:color="auto"/>
            </w:tcBorders>
            <w:shd w:val="clear" w:color="auto" w:fill="auto"/>
            <w:vAlign w:val="center"/>
          </w:tcPr>
          <w:p w14:paraId="20DD0A30" w14:textId="77777777" w:rsidR="00454E5E" w:rsidRPr="00D26445" w:rsidRDefault="00454E5E" w:rsidP="00454E5E">
            <w:pPr>
              <w:pStyle w:val="TAC"/>
            </w:pPr>
            <w:r w:rsidRPr="00D26445">
              <w:t>11</w:t>
            </w:r>
          </w:p>
        </w:tc>
        <w:tc>
          <w:tcPr>
            <w:tcW w:w="8266" w:type="dxa"/>
            <w:gridSpan w:val="4"/>
            <w:tcBorders>
              <w:left w:val="double" w:sz="4" w:space="0" w:color="auto"/>
            </w:tcBorders>
            <w:vAlign w:val="center"/>
          </w:tcPr>
          <w:p w14:paraId="5ADCA5A2" w14:textId="77777777" w:rsidR="00454E5E" w:rsidRPr="00D26445" w:rsidRDefault="00454E5E" w:rsidP="00454E5E">
            <w:pPr>
              <w:pStyle w:val="TAC"/>
            </w:pPr>
            <w:r w:rsidRPr="00D26445">
              <w:t>Reserved</w:t>
            </w:r>
          </w:p>
        </w:tc>
      </w:tr>
      <w:tr w:rsidR="00454E5E" w:rsidRPr="00D26445" w14:paraId="687F8706" w14:textId="77777777" w:rsidTr="00454E5E">
        <w:trPr>
          <w:cantSplit/>
        </w:trPr>
        <w:tc>
          <w:tcPr>
            <w:tcW w:w="796" w:type="dxa"/>
            <w:tcBorders>
              <w:right w:val="double" w:sz="4" w:space="0" w:color="auto"/>
            </w:tcBorders>
            <w:shd w:val="clear" w:color="auto" w:fill="auto"/>
            <w:vAlign w:val="center"/>
          </w:tcPr>
          <w:p w14:paraId="53F0D3C5" w14:textId="77777777" w:rsidR="00454E5E" w:rsidRPr="00D26445" w:rsidRDefault="00454E5E" w:rsidP="00454E5E">
            <w:pPr>
              <w:pStyle w:val="TAC"/>
            </w:pPr>
            <w:r w:rsidRPr="00D26445">
              <w:t>12</w:t>
            </w:r>
          </w:p>
        </w:tc>
        <w:tc>
          <w:tcPr>
            <w:tcW w:w="8266" w:type="dxa"/>
            <w:gridSpan w:val="4"/>
            <w:tcBorders>
              <w:left w:val="double" w:sz="4" w:space="0" w:color="auto"/>
            </w:tcBorders>
            <w:vAlign w:val="center"/>
          </w:tcPr>
          <w:p w14:paraId="58F9214E" w14:textId="77777777" w:rsidR="00454E5E" w:rsidRPr="00D26445" w:rsidRDefault="00454E5E" w:rsidP="00454E5E">
            <w:pPr>
              <w:pStyle w:val="TAC"/>
            </w:pPr>
            <w:r w:rsidRPr="00D26445">
              <w:t>Reserved</w:t>
            </w:r>
          </w:p>
        </w:tc>
      </w:tr>
      <w:tr w:rsidR="00454E5E" w:rsidRPr="00D26445" w14:paraId="01C46727" w14:textId="77777777" w:rsidTr="00454E5E">
        <w:trPr>
          <w:cantSplit/>
        </w:trPr>
        <w:tc>
          <w:tcPr>
            <w:tcW w:w="796" w:type="dxa"/>
            <w:tcBorders>
              <w:right w:val="double" w:sz="4" w:space="0" w:color="auto"/>
            </w:tcBorders>
            <w:shd w:val="clear" w:color="auto" w:fill="auto"/>
            <w:vAlign w:val="center"/>
          </w:tcPr>
          <w:p w14:paraId="7F6BDB46" w14:textId="77777777" w:rsidR="00454E5E" w:rsidRPr="00D26445" w:rsidRDefault="00454E5E" w:rsidP="00454E5E">
            <w:pPr>
              <w:pStyle w:val="TAC"/>
            </w:pPr>
            <w:r w:rsidRPr="00D26445">
              <w:t>13</w:t>
            </w:r>
          </w:p>
        </w:tc>
        <w:tc>
          <w:tcPr>
            <w:tcW w:w="8266" w:type="dxa"/>
            <w:gridSpan w:val="4"/>
            <w:tcBorders>
              <w:left w:val="double" w:sz="4" w:space="0" w:color="auto"/>
            </w:tcBorders>
            <w:vAlign w:val="center"/>
          </w:tcPr>
          <w:p w14:paraId="67C8146C" w14:textId="77777777" w:rsidR="00454E5E" w:rsidRPr="00D26445" w:rsidRDefault="00454E5E" w:rsidP="00454E5E">
            <w:pPr>
              <w:pStyle w:val="TAC"/>
            </w:pPr>
            <w:r w:rsidRPr="00D26445">
              <w:t>Reserved</w:t>
            </w:r>
          </w:p>
        </w:tc>
      </w:tr>
      <w:tr w:rsidR="00454E5E" w:rsidRPr="00D26445" w14:paraId="219FB28A" w14:textId="77777777" w:rsidTr="00454E5E">
        <w:trPr>
          <w:cantSplit/>
        </w:trPr>
        <w:tc>
          <w:tcPr>
            <w:tcW w:w="796" w:type="dxa"/>
            <w:tcBorders>
              <w:right w:val="double" w:sz="4" w:space="0" w:color="auto"/>
            </w:tcBorders>
            <w:shd w:val="clear" w:color="auto" w:fill="auto"/>
            <w:vAlign w:val="center"/>
          </w:tcPr>
          <w:p w14:paraId="66B5F691" w14:textId="77777777" w:rsidR="00454E5E" w:rsidRPr="00D26445" w:rsidRDefault="00454E5E" w:rsidP="00454E5E">
            <w:pPr>
              <w:pStyle w:val="TAC"/>
            </w:pPr>
            <w:r w:rsidRPr="00D26445">
              <w:t>14</w:t>
            </w:r>
          </w:p>
        </w:tc>
        <w:tc>
          <w:tcPr>
            <w:tcW w:w="8266" w:type="dxa"/>
            <w:gridSpan w:val="4"/>
            <w:tcBorders>
              <w:left w:val="double" w:sz="4" w:space="0" w:color="auto"/>
            </w:tcBorders>
            <w:vAlign w:val="center"/>
          </w:tcPr>
          <w:p w14:paraId="6DC109BE" w14:textId="77777777" w:rsidR="00454E5E" w:rsidRPr="00D26445" w:rsidRDefault="00454E5E" w:rsidP="00454E5E">
            <w:pPr>
              <w:pStyle w:val="TAC"/>
            </w:pPr>
            <w:r w:rsidRPr="00D26445">
              <w:t>Reserved</w:t>
            </w:r>
          </w:p>
        </w:tc>
      </w:tr>
      <w:tr w:rsidR="00454E5E" w:rsidRPr="00D26445" w14:paraId="387CCCFE" w14:textId="77777777" w:rsidTr="00454E5E">
        <w:trPr>
          <w:cantSplit/>
        </w:trPr>
        <w:tc>
          <w:tcPr>
            <w:tcW w:w="796" w:type="dxa"/>
            <w:tcBorders>
              <w:right w:val="double" w:sz="4" w:space="0" w:color="auto"/>
            </w:tcBorders>
            <w:shd w:val="clear" w:color="auto" w:fill="auto"/>
            <w:vAlign w:val="center"/>
          </w:tcPr>
          <w:p w14:paraId="06911CFF" w14:textId="77777777" w:rsidR="00454E5E" w:rsidRPr="00D26445" w:rsidRDefault="00454E5E" w:rsidP="00454E5E">
            <w:pPr>
              <w:pStyle w:val="TAC"/>
            </w:pPr>
            <w:r w:rsidRPr="00D26445">
              <w:t>15</w:t>
            </w:r>
          </w:p>
        </w:tc>
        <w:tc>
          <w:tcPr>
            <w:tcW w:w="8266" w:type="dxa"/>
            <w:gridSpan w:val="4"/>
            <w:tcBorders>
              <w:left w:val="double" w:sz="4" w:space="0" w:color="auto"/>
            </w:tcBorders>
            <w:vAlign w:val="center"/>
          </w:tcPr>
          <w:p w14:paraId="08121358" w14:textId="77777777" w:rsidR="00454E5E" w:rsidRPr="00D26445" w:rsidRDefault="00454E5E" w:rsidP="00454E5E">
            <w:pPr>
              <w:pStyle w:val="TAC"/>
            </w:pPr>
            <w:r w:rsidRPr="00D26445">
              <w:t>Reserved</w:t>
            </w:r>
          </w:p>
        </w:tc>
      </w:tr>
    </w:tbl>
    <w:p w14:paraId="279B42A5" w14:textId="77777777" w:rsidR="004248D8" w:rsidRDefault="004248D8" w:rsidP="0009732E"/>
    <w:p w14:paraId="7DB79252" w14:textId="2C2AB1DD" w:rsidR="00BC794F" w:rsidRDefault="00BC794F" w:rsidP="0009732E">
      <w:pPr>
        <w:pStyle w:val="TH"/>
        <w:rPr>
          <w:lang w:val="en-US"/>
        </w:rPr>
      </w:pPr>
      <w:r w:rsidRPr="00AE20EB">
        <w:t>Table 13-</w:t>
      </w:r>
      <w:r>
        <w:t>5</w:t>
      </w:r>
      <w:r w:rsidRPr="00AE20EB">
        <w:t xml:space="preserve">: Set of resource blocks and slot symbols of </w:t>
      </w:r>
      <w:r w:rsidR="00C76664">
        <w:t>CORESET</w:t>
      </w:r>
      <w:r w:rsidRPr="00AE20EB">
        <w:t xml:space="preserve"> for Type0-PDCCH search space</w:t>
      </w:r>
      <w:r w:rsidR="00ED0EE2">
        <w:t xml:space="preserve"> set</w:t>
      </w:r>
      <w:r w:rsidRPr="00AE20EB">
        <w:t xml:space="preserve"> when {SS/PBCH block, PDCCH} </w:t>
      </w:r>
      <w:r w:rsidR="00143099">
        <w:t>SCS</w:t>
      </w:r>
      <w:r w:rsidRPr="00AE20EB">
        <w:t xml:space="preserve"> is {30, 15} kHz</w:t>
      </w:r>
      <w:r w:rsidR="00D561F4" w:rsidRPr="00D561F4">
        <w:rPr>
          <w:rFonts w:cs="Arial" w:hint="eastAsia"/>
          <w:lang w:val="en-US" w:eastAsia="zh-CN"/>
        </w:rPr>
        <w:t xml:space="preserve"> </w:t>
      </w:r>
      <w:r w:rsidR="00D561F4" w:rsidRPr="00F548CF">
        <w:rPr>
          <w:rFonts w:cs="Arial" w:hint="eastAsia"/>
          <w:lang w:val="en-US" w:eastAsia="zh-CN"/>
        </w:rPr>
        <w:t>for frequency bands</w:t>
      </w:r>
      <w:r w:rsidRPr="00AE20EB">
        <w:t xml:space="preserve"> </w:t>
      </w:r>
      <w:r w:rsidRPr="00C14186">
        <w:rPr>
          <w:rFonts w:eastAsia="Batang"/>
        </w:rPr>
        <w:t>with minimum channel bandwidth 40MHz</w:t>
      </w:r>
      <w:r w:rsidR="00D54F38">
        <w:rPr>
          <w:rFonts w:eastAsia="Batang"/>
        </w:rPr>
        <w:t xml:space="preserve"> </w:t>
      </w:r>
      <w:r w:rsidR="00D54F38" w:rsidRPr="0024770A">
        <w:rPr>
          <w:rFonts w:eastAsia="Batang"/>
        </w:rPr>
        <w:t xml:space="preserve">or for the frequency bands </w:t>
      </w:r>
      <w:r w:rsidR="00466CED">
        <w:t>defined by note 17 of Table 5.2-1</w:t>
      </w:r>
      <w:r w:rsidR="00D54F38" w:rsidRPr="0024770A">
        <w:rPr>
          <w:rFonts w:eastAsia="Batang"/>
        </w:rPr>
        <w:t xml:space="preserve"> in [</w:t>
      </w:r>
      <w:r w:rsidR="006A7896">
        <w:t>8-1</w:t>
      </w:r>
      <w:r w:rsidR="00D54F38" w:rsidRPr="0024770A">
        <w:rPr>
          <w:rFonts w:eastAsia="Batang"/>
        </w:rPr>
        <w:t xml:space="preserve">, </w:t>
      </w:r>
      <w:r w:rsidR="00295E42">
        <w:rPr>
          <w:rFonts w:eastAsia="Batang"/>
        </w:rPr>
        <w:t>TS 38.</w:t>
      </w:r>
      <w:r w:rsidR="00D54F38" w:rsidRPr="0024770A">
        <w:rPr>
          <w:rFonts w:eastAsia="Batang"/>
        </w:rPr>
        <w:t>101-1]</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
        <w:gridCol w:w="3157"/>
        <w:gridCol w:w="1620"/>
        <w:gridCol w:w="1980"/>
        <w:gridCol w:w="1728"/>
      </w:tblGrid>
      <w:tr w:rsidR="000C2450" w:rsidRPr="00B916EC" w14:paraId="437EA4F0" w14:textId="77777777" w:rsidTr="00FE07DA">
        <w:trPr>
          <w:cantSplit/>
        </w:trPr>
        <w:tc>
          <w:tcPr>
            <w:tcW w:w="803" w:type="dxa"/>
            <w:tcBorders>
              <w:bottom w:val="double" w:sz="4" w:space="0" w:color="auto"/>
              <w:right w:val="double" w:sz="4" w:space="0" w:color="auto"/>
            </w:tcBorders>
            <w:shd w:val="clear" w:color="auto" w:fill="E0E0E0"/>
            <w:vAlign w:val="center"/>
          </w:tcPr>
          <w:p w14:paraId="067554F8" w14:textId="77777777" w:rsidR="000C2450" w:rsidRPr="00B916EC" w:rsidRDefault="000C2450" w:rsidP="000C2450">
            <w:pPr>
              <w:pStyle w:val="TAH"/>
              <w:rPr>
                <w:bCs/>
                <w:lang w:val="en-US"/>
              </w:rPr>
            </w:pPr>
            <w:r w:rsidRPr="00B916EC">
              <w:rPr>
                <w:bCs/>
                <w:lang w:val="en-US"/>
              </w:rPr>
              <w:t>Index</w:t>
            </w:r>
          </w:p>
        </w:tc>
        <w:tc>
          <w:tcPr>
            <w:tcW w:w="3157" w:type="dxa"/>
            <w:tcBorders>
              <w:left w:val="double" w:sz="4" w:space="0" w:color="auto"/>
              <w:bottom w:val="double" w:sz="4" w:space="0" w:color="auto"/>
            </w:tcBorders>
            <w:shd w:val="clear" w:color="auto" w:fill="E0E0E0"/>
            <w:vAlign w:val="center"/>
          </w:tcPr>
          <w:p w14:paraId="5E496743" w14:textId="77777777" w:rsidR="000C2450" w:rsidRPr="00B916EC" w:rsidRDefault="000C2450" w:rsidP="000C2450">
            <w:pPr>
              <w:pStyle w:val="TAH"/>
              <w:rPr>
                <w:bCs/>
                <w:lang w:val="en-US"/>
              </w:rPr>
            </w:pPr>
            <w:r w:rsidRPr="00B916EC">
              <w:rPr>
                <w:rFonts w:cs="Arial"/>
                <w:kern w:val="24"/>
              </w:rPr>
              <w:t xml:space="preserve">SS/PBCH block and </w:t>
            </w:r>
            <w:r>
              <w:rPr>
                <w:rFonts w:cs="Arial"/>
                <w:kern w:val="24"/>
              </w:rPr>
              <w:t>CORESET</w:t>
            </w:r>
            <w:r w:rsidRPr="00B916EC">
              <w:rPr>
                <w:rFonts w:cs="Arial"/>
                <w:kern w:val="24"/>
              </w:rPr>
              <w:t xml:space="preserve"> multiplexing pattern </w:t>
            </w:r>
          </w:p>
        </w:tc>
        <w:tc>
          <w:tcPr>
            <w:tcW w:w="1620" w:type="dxa"/>
            <w:tcBorders>
              <w:bottom w:val="double" w:sz="4" w:space="0" w:color="auto"/>
            </w:tcBorders>
            <w:shd w:val="clear" w:color="auto" w:fill="E0E0E0"/>
            <w:vAlign w:val="center"/>
          </w:tcPr>
          <w:p w14:paraId="410B65E2" w14:textId="07FC1F4C" w:rsidR="000C2450" w:rsidRPr="00B916EC" w:rsidRDefault="000C2450" w:rsidP="000C2450">
            <w:pPr>
              <w:pStyle w:val="TAH"/>
              <w:rPr>
                <w:bCs/>
                <w:lang w:val="en-US"/>
              </w:rPr>
            </w:pPr>
            <w:r w:rsidRPr="00B27E56">
              <w:rPr>
                <w:rFonts w:cs="Arial"/>
                <w:kern w:val="24"/>
              </w:rPr>
              <w:t xml:space="preserve">Number of RBs </w:t>
            </w:r>
            <m:oMath>
              <m:sSubSup>
                <m:sSubSupPr>
                  <m:ctrlPr>
                    <w:rPr>
                      <w:rFonts w:ascii="Cambria Math" w:hAnsi="Cambria Math"/>
                      <w:i/>
                    </w:rPr>
                  </m:ctrlPr>
                </m:sSubSupPr>
                <m:e>
                  <m:r>
                    <m:rPr>
                      <m:sty m:val="bi"/>
                    </m:rPr>
                    <w:rPr>
                      <w:rFonts w:ascii="Cambria Math"/>
                    </w:rPr>
                    <m:t>N</m:t>
                  </m:r>
                </m:e>
                <m:sub>
                  <m:r>
                    <m:rPr>
                      <m:nor/>
                    </m:rPr>
                    <w:rPr>
                      <w:rFonts w:ascii="Cambria Math"/>
                    </w:rPr>
                    <m:t>RB</m:t>
                  </m:r>
                  <m:ctrlPr>
                    <w:rPr>
                      <w:rFonts w:ascii="Cambria Math" w:hAnsi="Cambria Math"/>
                    </w:rPr>
                  </m:ctrlPr>
                </m:sub>
                <m:sup>
                  <m:r>
                    <m:rPr>
                      <m:nor/>
                    </m:rPr>
                    <w:rPr>
                      <w:rFonts w:ascii="Cambria Math"/>
                    </w:rPr>
                    <m:t>CORESET</m:t>
                  </m:r>
                  <m:ctrlPr>
                    <w:rPr>
                      <w:rFonts w:ascii="Cambria Math" w:hAnsi="Cambria Math"/>
                    </w:rPr>
                  </m:ctrlPr>
                </m:sup>
              </m:sSubSup>
            </m:oMath>
          </w:p>
        </w:tc>
        <w:tc>
          <w:tcPr>
            <w:tcW w:w="1980" w:type="dxa"/>
            <w:tcBorders>
              <w:bottom w:val="double" w:sz="4" w:space="0" w:color="auto"/>
            </w:tcBorders>
            <w:shd w:val="clear" w:color="auto" w:fill="E0E0E0"/>
            <w:vAlign w:val="center"/>
          </w:tcPr>
          <w:p w14:paraId="6D506232" w14:textId="6E4954D6" w:rsidR="000C2450" w:rsidRPr="00B916EC" w:rsidRDefault="000C2450" w:rsidP="000C2450">
            <w:pPr>
              <w:pStyle w:val="TAH"/>
              <w:rPr>
                <w:bCs/>
                <w:lang w:val="en-US"/>
              </w:rPr>
            </w:pPr>
            <w:r w:rsidRPr="00B27E56">
              <w:rPr>
                <w:rFonts w:cs="Arial"/>
                <w:kern w:val="24"/>
              </w:rPr>
              <w:t xml:space="preserve">Number of Symbols </w:t>
            </w:r>
            <m:oMath>
              <m:sSubSup>
                <m:sSubSupPr>
                  <m:ctrlPr>
                    <w:rPr>
                      <w:rFonts w:ascii="Cambria Math" w:hAnsi="Cambria Math"/>
                      <w:i/>
                    </w:rPr>
                  </m:ctrlPr>
                </m:sSubSupPr>
                <m:e>
                  <m:r>
                    <m:rPr>
                      <m:sty m:val="bi"/>
                    </m:rPr>
                    <w:rPr>
                      <w:rFonts w:ascii="Cambria Math"/>
                    </w:rPr>
                    <m:t>N</m:t>
                  </m:r>
                </m:e>
                <m:sub>
                  <m:r>
                    <m:rPr>
                      <m:nor/>
                    </m:rPr>
                    <w:rPr>
                      <w:rFonts w:ascii="Cambria Math"/>
                    </w:rPr>
                    <m:t>symb</m:t>
                  </m:r>
                  <m:ctrlPr>
                    <w:rPr>
                      <w:rFonts w:ascii="Cambria Math" w:hAnsi="Cambria Math"/>
                    </w:rPr>
                  </m:ctrlPr>
                </m:sub>
                <m:sup>
                  <m:r>
                    <m:rPr>
                      <m:nor/>
                    </m:rPr>
                    <w:rPr>
                      <w:rFonts w:ascii="Cambria Math"/>
                    </w:rPr>
                    <m:t>CORESET</m:t>
                  </m:r>
                  <m:ctrlPr>
                    <w:rPr>
                      <w:rFonts w:ascii="Cambria Math" w:hAnsi="Cambria Math"/>
                    </w:rPr>
                  </m:ctrlPr>
                </m:sup>
              </m:sSubSup>
            </m:oMath>
            <w:r w:rsidRPr="00B27E56">
              <w:rPr>
                <w:rFonts w:cs="Arial"/>
                <w:kern w:val="24"/>
              </w:rPr>
              <w:t xml:space="preserve"> </w:t>
            </w:r>
          </w:p>
        </w:tc>
        <w:tc>
          <w:tcPr>
            <w:tcW w:w="1728" w:type="dxa"/>
            <w:tcBorders>
              <w:bottom w:val="double" w:sz="4" w:space="0" w:color="auto"/>
            </w:tcBorders>
            <w:shd w:val="clear" w:color="auto" w:fill="E0E0E0"/>
            <w:vAlign w:val="center"/>
          </w:tcPr>
          <w:p w14:paraId="3FD402DD" w14:textId="77777777" w:rsidR="000C2450" w:rsidRPr="00B916EC" w:rsidRDefault="000C2450" w:rsidP="000C2450">
            <w:pPr>
              <w:pStyle w:val="TAH"/>
              <w:rPr>
                <w:bCs/>
                <w:lang w:val="en-US"/>
              </w:rPr>
            </w:pPr>
            <w:r w:rsidRPr="00B916EC">
              <w:rPr>
                <w:rFonts w:cs="Arial"/>
                <w:kern w:val="24"/>
              </w:rPr>
              <w:t xml:space="preserve">Offset (RBs) </w:t>
            </w:r>
          </w:p>
        </w:tc>
      </w:tr>
      <w:tr w:rsidR="00BC794F" w:rsidRPr="00B916EC" w14:paraId="2394A277" w14:textId="77777777" w:rsidTr="00FE07DA">
        <w:trPr>
          <w:cantSplit/>
        </w:trPr>
        <w:tc>
          <w:tcPr>
            <w:tcW w:w="803" w:type="dxa"/>
            <w:tcBorders>
              <w:top w:val="double" w:sz="4" w:space="0" w:color="auto"/>
              <w:right w:val="double" w:sz="4" w:space="0" w:color="auto"/>
            </w:tcBorders>
            <w:shd w:val="clear" w:color="auto" w:fill="auto"/>
            <w:vAlign w:val="center"/>
          </w:tcPr>
          <w:p w14:paraId="6C8A5E0E" w14:textId="77777777" w:rsidR="00BC794F" w:rsidRPr="00B916EC" w:rsidRDefault="00BC794F" w:rsidP="00FE07DA">
            <w:pPr>
              <w:pStyle w:val="TAC"/>
              <w:rPr>
                <w:lang w:val="en-US"/>
              </w:rPr>
            </w:pPr>
            <w:r w:rsidRPr="00B916EC">
              <w:rPr>
                <w:lang w:val="en-US"/>
              </w:rPr>
              <w:t>0</w:t>
            </w:r>
          </w:p>
        </w:tc>
        <w:tc>
          <w:tcPr>
            <w:tcW w:w="3157" w:type="dxa"/>
            <w:tcBorders>
              <w:top w:val="double" w:sz="4" w:space="0" w:color="auto"/>
              <w:left w:val="double" w:sz="4" w:space="0" w:color="auto"/>
            </w:tcBorders>
            <w:vAlign w:val="center"/>
          </w:tcPr>
          <w:p w14:paraId="13473B3F" w14:textId="77777777" w:rsidR="00BC794F" w:rsidRPr="00B916EC" w:rsidRDefault="00BC794F" w:rsidP="00FE07DA">
            <w:pPr>
              <w:pStyle w:val="TAC"/>
              <w:rPr>
                <w:lang w:val="en-US"/>
              </w:rPr>
            </w:pPr>
            <w:r w:rsidRPr="00B916EC">
              <w:rPr>
                <w:rFonts w:cs="Arial"/>
                <w:kern w:val="24"/>
                <w:szCs w:val="18"/>
              </w:rPr>
              <w:t>1</w:t>
            </w:r>
          </w:p>
        </w:tc>
        <w:tc>
          <w:tcPr>
            <w:tcW w:w="1620" w:type="dxa"/>
            <w:tcBorders>
              <w:top w:val="double" w:sz="4" w:space="0" w:color="auto"/>
            </w:tcBorders>
            <w:vAlign w:val="center"/>
          </w:tcPr>
          <w:p w14:paraId="2EB8929D" w14:textId="77777777" w:rsidR="00BC794F" w:rsidRPr="00B916EC" w:rsidRDefault="00BC794F" w:rsidP="00FE07DA">
            <w:pPr>
              <w:pStyle w:val="TAC"/>
              <w:rPr>
                <w:lang w:val="en-US"/>
              </w:rPr>
            </w:pPr>
            <w:r w:rsidRPr="00B916EC">
              <w:rPr>
                <w:rFonts w:cs="Arial"/>
                <w:kern w:val="24"/>
                <w:szCs w:val="18"/>
              </w:rPr>
              <w:t>48</w:t>
            </w:r>
          </w:p>
        </w:tc>
        <w:tc>
          <w:tcPr>
            <w:tcW w:w="1980" w:type="dxa"/>
            <w:tcBorders>
              <w:top w:val="double" w:sz="4" w:space="0" w:color="auto"/>
            </w:tcBorders>
            <w:vAlign w:val="center"/>
          </w:tcPr>
          <w:p w14:paraId="79DD69BF" w14:textId="77777777" w:rsidR="00BC794F" w:rsidRPr="00B916EC" w:rsidRDefault="00BC794F" w:rsidP="00FE07DA">
            <w:pPr>
              <w:pStyle w:val="TAC"/>
              <w:rPr>
                <w:lang w:val="en-US"/>
              </w:rPr>
            </w:pPr>
            <w:r>
              <w:rPr>
                <w:lang w:val="en-US"/>
              </w:rPr>
              <w:t>1</w:t>
            </w:r>
          </w:p>
        </w:tc>
        <w:tc>
          <w:tcPr>
            <w:tcW w:w="1728" w:type="dxa"/>
            <w:tcBorders>
              <w:top w:val="double" w:sz="4" w:space="0" w:color="auto"/>
            </w:tcBorders>
            <w:vAlign w:val="center"/>
          </w:tcPr>
          <w:p w14:paraId="3E2EC6FD" w14:textId="77777777" w:rsidR="00BC794F" w:rsidRPr="00B916EC" w:rsidRDefault="00BC794F" w:rsidP="00FE07DA">
            <w:pPr>
              <w:pStyle w:val="TAC"/>
              <w:rPr>
                <w:lang w:val="en-US"/>
              </w:rPr>
            </w:pPr>
            <w:r>
              <w:rPr>
                <w:rFonts w:cs="Arial"/>
                <w:kern w:val="24"/>
                <w:szCs w:val="18"/>
              </w:rPr>
              <w:t>4</w:t>
            </w:r>
          </w:p>
        </w:tc>
      </w:tr>
      <w:tr w:rsidR="00BC794F" w:rsidRPr="00B916EC" w14:paraId="39FB447D" w14:textId="77777777" w:rsidTr="00FE07DA">
        <w:trPr>
          <w:cantSplit/>
        </w:trPr>
        <w:tc>
          <w:tcPr>
            <w:tcW w:w="803" w:type="dxa"/>
            <w:tcBorders>
              <w:right w:val="double" w:sz="4" w:space="0" w:color="auto"/>
            </w:tcBorders>
            <w:shd w:val="clear" w:color="auto" w:fill="auto"/>
            <w:vAlign w:val="center"/>
          </w:tcPr>
          <w:p w14:paraId="18297ECF" w14:textId="77777777" w:rsidR="00BC794F" w:rsidRPr="00B916EC" w:rsidRDefault="00BC794F" w:rsidP="00FE07DA">
            <w:pPr>
              <w:pStyle w:val="TAC"/>
              <w:rPr>
                <w:lang w:val="en-US"/>
              </w:rPr>
            </w:pPr>
            <w:r w:rsidRPr="00B916EC">
              <w:rPr>
                <w:lang w:val="en-US"/>
              </w:rPr>
              <w:t>1</w:t>
            </w:r>
          </w:p>
        </w:tc>
        <w:tc>
          <w:tcPr>
            <w:tcW w:w="3157" w:type="dxa"/>
            <w:tcBorders>
              <w:left w:val="double" w:sz="4" w:space="0" w:color="auto"/>
            </w:tcBorders>
            <w:vAlign w:val="center"/>
          </w:tcPr>
          <w:p w14:paraId="0AF27AEF" w14:textId="77777777" w:rsidR="00BC794F" w:rsidRPr="00B916EC" w:rsidRDefault="00BC794F" w:rsidP="00FE07DA">
            <w:pPr>
              <w:pStyle w:val="TAC"/>
              <w:rPr>
                <w:lang w:val="en-US"/>
              </w:rPr>
            </w:pPr>
            <w:r w:rsidRPr="00B916EC">
              <w:rPr>
                <w:rFonts w:cs="Arial"/>
                <w:kern w:val="24"/>
                <w:szCs w:val="18"/>
              </w:rPr>
              <w:t>1</w:t>
            </w:r>
          </w:p>
        </w:tc>
        <w:tc>
          <w:tcPr>
            <w:tcW w:w="1620" w:type="dxa"/>
            <w:vAlign w:val="center"/>
          </w:tcPr>
          <w:p w14:paraId="1362CAFD" w14:textId="77777777" w:rsidR="00BC794F" w:rsidRPr="00B916EC" w:rsidRDefault="00BC794F" w:rsidP="00FE07DA">
            <w:pPr>
              <w:pStyle w:val="TAC"/>
              <w:rPr>
                <w:lang w:val="en-US"/>
              </w:rPr>
            </w:pPr>
            <w:r w:rsidRPr="00B916EC">
              <w:rPr>
                <w:rFonts w:cs="Arial"/>
                <w:kern w:val="24"/>
                <w:szCs w:val="18"/>
              </w:rPr>
              <w:t>48</w:t>
            </w:r>
          </w:p>
        </w:tc>
        <w:tc>
          <w:tcPr>
            <w:tcW w:w="1980" w:type="dxa"/>
            <w:vAlign w:val="center"/>
          </w:tcPr>
          <w:p w14:paraId="50120D2C" w14:textId="77777777" w:rsidR="00BC794F" w:rsidRPr="00B916EC" w:rsidRDefault="00BC794F" w:rsidP="00FE07DA">
            <w:pPr>
              <w:pStyle w:val="TAC"/>
              <w:rPr>
                <w:lang w:val="en-US"/>
              </w:rPr>
            </w:pPr>
            <w:r>
              <w:rPr>
                <w:lang w:val="en-US"/>
              </w:rPr>
              <w:t>2</w:t>
            </w:r>
          </w:p>
        </w:tc>
        <w:tc>
          <w:tcPr>
            <w:tcW w:w="1728" w:type="dxa"/>
            <w:vAlign w:val="center"/>
          </w:tcPr>
          <w:p w14:paraId="5F9032D7" w14:textId="77777777" w:rsidR="00BC794F" w:rsidRPr="00B916EC" w:rsidRDefault="00BC794F" w:rsidP="00FE07DA">
            <w:pPr>
              <w:pStyle w:val="TAC"/>
              <w:rPr>
                <w:lang w:val="en-US"/>
              </w:rPr>
            </w:pPr>
            <w:r>
              <w:rPr>
                <w:rFonts w:cs="Arial"/>
                <w:kern w:val="24"/>
                <w:szCs w:val="18"/>
              </w:rPr>
              <w:t>4</w:t>
            </w:r>
          </w:p>
        </w:tc>
      </w:tr>
      <w:tr w:rsidR="00BC794F" w:rsidRPr="00B916EC" w14:paraId="455A246E" w14:textId="77777777" w:rsidTr="00FE07DA">
        <w:trPr>
          <w:cantSplit/>
        </w:trPr>
        <w:tc>
          <w:tcPr>
            <w:tcW w:w="803" w:type="dxa"/>
            <w:tcBorders>
              <w:right w:val="double" w:sz="4" w:space="0" w:color="auto"/>
            </w:tcBorders>
            <w:shd w:val="clear" w:color="auto" w:fill="auto"/>
            <w:vAlign w:val="center"/>
          </w:tcPr>
          <w:p w14:paraId="777F35D7" w14:textId="77777777" w:rsidR="00BC794F" w:rsidRPr="00B916EC" w:rsidRDefault="00BC794F" w:rsidP="00FE07DA">
            <w:pPr>
              <w:pStyle w:val="TAC"/>
            </w:pPr>
            <w:r w:rsidRPr="00B916EC">
              <w:t>2</w:t>
            </w:r>
          </w:p>
        </w:tc>
        <w:tc>
          <w:tcPr>
            <w:tcW w:w="3157" w:type="dxa"/>
            <w:tcBorders>
              <w:left w:val="double" w:sz="4" w:space="0" w:color="auto"/>
            </w:tcBorders>
            <w:vAlign w:val="center"/>
          </w:tcPr>
          <w:p w14:paraId="66416F6A" w14:textId="77777777" w:rsidR="00BC794F" w:rsidRPr="00B916EC" w:rsidRDefault="00BC794F" w:rsidP="00FE07DA">
            <w:pPr>
              <w:pStyle w:val="TAC"/>
            </w:pPr>
            <w:r w:rsidRPr="00B916EC">
              <w:rPr>
                <w:rFonts w:cs="Arial"/>
                <w:kern w:val="24"/>
                <w:szCs w:val="18"/>
              </w:rPr>
              <w:t>1</w:t>
            </w:r>
          </w:p>
        </w:tc>
        <w:tc>
          <w:tcPr>
            <w:tcW w:w="1620" w:type="dxa"/>
            <w:vAlign w:val="center"/>
          </w:tcPr>
          <w:p w14:paraId="775C2E84" w14:textId="77777777" w:rsidR="00BC794F" w:rsidRPr="00B916EC" w:rsidRDefault="00BC794F" w:rsidP="00FE07DA">
            <w:pPr>
              <w:pStyle w:val="TAC"/>
            </w:pPr>
            <w:r w:rsidRPr="00B916EC">
              <w:rPr>
                <w:rFonts w:cs="Arial"/>
                <w:kern w:val="24"/>
                <w:szCs w:val="18"/>
              </w:rPr>
              <w:t>48</w:t>
            </w:r>
          </w:p>
        </w:tc>
        <w:tc>
          <w:tcPr>
            <w:tcW w:w="1980" w:type="dxa"/>
            <w:vAlign w:val="center"/>
          </w:tcPr>
          <w:p w14:paraId="26716535" w14:textId="77777777" w:rsidR="00BC794F" w:rsidRPr="00B916EC" w:rsidRDefault="00BC794F" w:rsidP="00FE07DA">
            <w:pPr>
              <w:pStyle w:val="TAC"/>
            </w:pPr>
            <w:r>
              <w:t>3</w:t>
            </w:r>
          </w:p>
        </w:tc>
        <w:tc>
          <w:tcPr>
            <w:tcW w:w="1728" w:type="dxa"/>
            <w:vAlign w:val="center"/>
          </w:tcPr>
          <w:p w14:paraId="6744616B" w14:textId="77777777" w:rsidR="00BC794F" w:rsidRPr="00B916EC" w:rsidRDefault="00BC794F" w:rsidP="00FE07DA">
            <w:pPr>
              <w:pStyle w:val="TAC"/>
            </w:pPr>
            <w:r>
              <w:rPr>
                <w:rFonts w:cs="Arial"/>
                <w:kern w:val="24"/>
                <w:szCs w:val="18"/>
              </w:rPr>
              <w:t>4</w:t>
            </w:r>
          </w:p>
        </w:tc>
      </w:tr>
      <w:tr w:rsidR="00BC794F" w:rsidRPr="00B916EC" w14:paraId="770D4ABF" w14:textId="77777777" w:rsidTr="00FE07DA">
        <w:trPr>
          <w:cantSplit/>
        </w:trPr>
        <w:tc>
          <w:tcPr>
            <w:tcW w:w="803" w:type="dxa"/>
            <w:tcBorders>
              <w:right w:val="double" w:sz="4" w:space="0" w:color="auto"/>
            </w:tcBorders>
            <w:shd w:val="clear" w:color="auto" w:fill="auto"/>
            <w:vAlign w:val="center"/>
          </w:tcPr>
          <w:p w14:paraId="2E3472A5" w14:textId="77777777" w:rsidR="00BC794F" w:rsidRPr="00B916EC" w:rsidRDefault="00BC794F" w:rsidP="00FE07DA">
            <w:pPr>
              <w:pStyle w:val="TAC"/>
            </w:pPr>
            <w:r w:rsidRPr="00B916EC">
              <w:t>3</w:t>
            </w:r>
          </w:p>
        </w:tc>
        <w:tc>
          <w:tcPr>
            <w:tcW w:w="3157" w:type="dxa"/>
            <w:tcBorders>
              <w:left w:val="double" w:sz="4" w:space="0" w:color="auto"/>
            </w:tcBorders>
            <w:vAlign w:val="center"/>
          </w:tcPr>
          <w:p w14:paraId="2D1EDFE3" w14:textId="77777777" w:rsidR="00BC794F" w:rsidRPr="00B916EC" w:rsidRDefault="00BC794F" w:rsidP="00FE07DA">
            <w:pPr>
              <w:pStyle w:val="TAC"/>
            </w:pPr>
            <w:r w:rsidRPr="00B916EC">
              <w:rPr>
                <w:rFonts w:cs="Arial"/>
                <w:kern w:val="24"/>
                <w:szCs w:val="18"/>
              </w:rPr>
              <w:t>1</w:t>
            </w:r>
          </w:p>
        </w:tc>
        <w:tc>
          <w:tcPr>
            <w:tcW w:w="1620" w:type="dxa"/>
            <w:vAlign w:val="center"/>
          </w:tcPr>
          <w:p w14:paraId="147FC6EF" w14:textId="77777777" w:rsidR="00BC794F" w:rsidRPr="00B916EC" w:rsidRDefault="00BC794F" w:rsidP="00FE07DA">
            <w:pPr>
              <w:pStyle w:val="TAC"/>
            </w:pPr>
            <w:r>
              <w:rPr>
                <w:rFonts w:cs="Arial"/>
                <w:kern w:val="24"/>
                <w:szCs w:val="18"/>
              </w:rPr>
              <w:t>96</w:t>
            </w:r>
          </w:p>
        </w:tc>
        <w:tc>
          <w:tcPr>
            <w:tcW w:w="1980" w:type="dxa"/>
            <w:vAlign w:val="center"/>
          </w:tcPr>
          <w:p w14:paraId="04FF6C89" w14:textId="77777777" w:rsidR="00BC794F" w:rsidRPr="00B916EC" w:rsidRDefault="00BC794F" w:rsidP="00FE07DA">
            <w:pPr>
              <w:pStyle w:val="TAC"/>
            </w:pPr>
            <w:r>
              <w:t>1</w:t>
            </w:r>
          </w:p>
        </w:tc>
        <w:tc>
          <w:tcPr>
            <w:tcW w:w="1728" w:type="dxa"/>
            <w:vAlign w:val="center"/>
          </w:tcPr>
          <w:p w14:paraId="55F36F9A" w14:textId="77777777" w:rsidR="00BC794F" w:rsidRPr="00B916EC" w:rsidRDefault="00BC794F" w:rsidP="00FE07DA">
            <w:pPr>
              <w:pStyle w:val="TAC"/>
            </w:pPr>
            <w:r>
              <w:rPr>
                <w:rFonts w:cs="Arial"/>
                <w:kern w:val="24"/>
                <w:szCs w:val="18"/>
              </w:rPr>
              <w:t>0</w:t>
            </w:r>
          </w:p>
        </w:tc>
      </w:tr>
      <w:tr w:rsidR="00BC794F" w:rsidRPr="00B916EC" w14:paraId="5D9757C9" w14:textId="77777777" w:rsidTr="00FE07DA">
        <w:trPr>
          <w:cantSplit/>
        </w:trPr>
        <w:tc>
          <w:tcPr>
            <w:tcW w:w="803" w:type="dxa"/>
            <w:tcBorders>
              <w:right w:val="double" w:sz="4" w:space="0" w:color="auto"/>
            </w:tcBorders>
            <w:shd w:val="clear" w:color="auto" w:fill="auto"/>
            <w:vAlign w:val="center"/>
          </w:tcPr>
          <w:p w14:paraId="53F97F7D" w14:textId="77777777" w:rsidR="00BC794F" w:rsidRPr="00B916EC" w:rsidRDefault="00BC794F" w:rsidP="00FE07DA">
            <w:pPr>
              <w:pStyle w:val="TAC"/>
            </w:pPr>
            <w:r w:rsidRPr="00B916EC">
              <w:t>4</w:t>
            </w:r>
          </w:p>
        </w:tc>
        <w:tc>
          <w:tcPr>
            <w:tcW w:w="3157" w:type="dxa"/>
            <w:tcBorders>
              <w:left w:val="double" w:sz="4" w:space="0" w:color="auto"/>
            </w:tcBorders>
            <w:vAlign w:val="center"/>
          </w:tcPr>
          <w:p w14:paraId="259CD33A" w14:textId="77777777" w:rsidR="00BC794F" w:rsidRPr="00B916EC" w:rsidRDefault="00BC794F" w:rsidP="00FE07DA">
            <w:pPr>
              <w:pStyle w:val="TAC"/>
            </w:pPr>
            <w:r w:rsidRPr="00B916EC">
              <w:rPr>
                <w:rFonts w:cs="Arial"/>
                <w:kern w:val="24"/>
                <w:szCs w:val="18"/>
              </w:rPr>
              <w:t>1</w:t>
            </w:r>
          </w:p>
        </w:tc>
        <w:tc>
          <w:tcPr>
            <w:tcW w:w="1620" w:type="dxa"/>
            <w:vAlign w:val="center"/>
          </w:tcPr>
          <w:p w14:paraId="0C60125E" w14:textId="77777777" w:rsidR="00BC794F" w:rsidRPr="00B916EC" w:rsidRDefault="00BC794F" w:rsidP="00FE07DA">
            <w:pPr>
              <w:pStyle w:val="TAC"/>
            </w:pPr>
            <w:r>
              <w:rPr>
                <w:rFonts w:cs="Arial"/>
                <w:kern w:val="24"/>
                <w:szCs w:val="18"/>
              </w:rPr>
              <w:t>96</w:t>
            </w:r>
          </w:p>
        </w:tc>
        <w:tc>
          <w:tcPr>
            <w:tcW w:w="1980" w:type="dxa"/>
            <w:vAlign w:val="center"/>
          </w:tcPr>
          <w:p w14:paraId="5CAD5FC3" w14:textId="77777777" w:rsidR="00BC794F" w:rsidRPr="00B916EC" w:rsidRDefault="00BC794F" w:rsidP="00FE07DA">
            <w:pPr>
              <w:pStyle w:val="TAC"/>
            </w:pPr>
            <w:r>
              <w:t>1</w:t>
            </w:r>
          </w:p>
        </w:tc>
        <w:tc>
          <w:tcPr>
            <w:tcW w:w="1728" w:type="dxa"/>
            <w:vAlign w:val="center"/>
          </w:tcPr>
          <w:p w14:paraId="023F9DDA" w14:textId="77777777" w:rsidR="00BC794F" w:rsidRPr="00B916EC" w:rsidRDefault="00BC794F" w:rsidP="00FE07DA">
            <w:pPr>
              <w:pStyle w:val="TAC"/>
            </w:pPr>
            <w:r>
              <w:rPr>
                <w:rFonts w:cs="Arial"/>
                <w:kern w:val="24"/>
                <w:szCs w:val="18"/>
              </w:rPr>
              <w:t>56</w:t>
            </w:r>
          </w:p>
        </w:tc>
      </w:tr>
      <w:tr w:rsidR="00BC794F" w:rsidRPr="00B916EC" w14:paraId="342D7779" w14:textId="77777777" w:rsidTr="00FE07DA">
        <w:trPr>
          <w:cantSplit/>
        </w:trPr>
        <w:tc>
          <w:tcPr>
            <w:tcW w:w="803" w:type="dxa"/>
            <w:tcBorders>
              <w:right w:val="double" w:sz="4" w:space="0" w:color="auto"/>
            </w:tcBorders>
            <w:shd w:val="clear" w:color="auto" w:fill="auto"/>
            <w:vAlign w:val="center"/>
          </w:tcPr>
          <w:p w14:paraId="120F9E94" w14:textId="77777777" w:rsidR="00BC794F" w:rsidRPr="00B916EC" w:rsidRDefault="00BC794F" w:rsidP="00FE07DA">
            <w:pPr>
              <w:pStyle w:val="TAC"/>
            </w:pPr>
            <w:r w:rsidRPr="00B916EC">
              <w:t>5</w:t>
            </w:r>
          </w:p>
        </w:tc>
        <w:tc>
          <w:tcPr>
            <w:tcW w:w="3157" w:type="dxa"/>
            <w:tcBorders>
              <w:left w:val="double" w:sz="4" w:space="0" w:color="auto"/>
            </w:tcBorders>
            <w:vAlign w:val="center"/>
          </w:tcPr>
          <w:p w14:paraId="7C43551A" w14:textId="77777777" w:rsidR="00BC794F" w:rsidRPr="00B916EC" w:rsidRDefault="00BC794F" w:rsidP="00FE07DA">
            <w:pPr>
              <w:pStyle w:val="TAC"/>
            </w:pPr>
            <w:r w:rsidRPr="00B916EC">
              <w:rPr>
                <w:rFonts w:cs="Arial"/>
                <w:kern w:val="24"/>
                <w:szCs w:val="18"/>
              </w:rPr>
              <w:t>1</w:t>
            </w:r>
          </w:p>
        </w:tc>
        <w:tc>
          <w:tcPr>
            <w:tcW w:w="1620" w:type="dxa"/>
            <w:vAlign w:val="center"/>
          </w:tcPr>
          <w:p w14:paraId="3E24AF45" w14:textId="77777777" w:rsidR="00BC794F" w:rsidRPr="00B916EC" w:rsidRDefault="00BC794F" w:rsidP="00FE07DA">
            <w:pPr>
              <w:pStyle w:val="TAC"/>
            </w:pPr>
            <w:r>
              <w:rPr>
                <w:rFonts w:cs="Arial"/>
                <w:kern w:val="24"/>
                <w:szCs w:val="18"/>
              </w:rPr>
              <w:t>96</w:t>
            </w:r>
          </w:p>
        </w:tc>
        <w:tc>
          <w:tcPr>
            <w:tcW w:w="1980" w:type="dxa"/>
            <w:vAlign w:val="center"/>
          </w:tcPr>
          <w:p w14:paraId="2064C867" w14:textId="77777777" w:rsidR="00BC794F" w:rsidRPr="00B916EC" w:rsidRDefault="00BC794F" w:rsidP="00FE07DA">
            <w:pPr>
              <w:pStyle w:val="TAC"/>
            </w:pPr>
            <w:r>
              <w:t>2</w:t>
            </w:r>
          </w:p>
        </w:tc>
        <w:tc>
          <w:tcPr>
            <w:tcW w:w="1728" w:type="dxa"/>
            <w:vAlign w:val="center"/>
          </w:tcPr>
          <w:p w14:paraId="5568E531" w14:textId="77777777" w:rsidR="00BC794F" w:rsidRPr="00B916EC" w:rsidRDefault="00BC794F" w:rsidP="00FE07DA">
            <w:pPr>
              <w:pStyle w:val="TAC"/>
            </w:pPr>
            <w:r>
              <w:rPr>
                <w:rFonts w:cs="Arial"/>
                <w:kern w:val="24"/>
                <w:szCs w:val="18"/>
              </w:rPr>
              <w:t>0</w:t>
            </w:r>
          </w:p>
        </w:tc>
      </w:tr>
      <w:tr w:rsidR="00BC794F" w:rsidRPr="00B916EC" w14:paraId="3C239533" w14:textId="77777777" w:rsidTr="00FE07DA">
        <w:trPr>
          <w:cantSplit/>
        </w:trPr>
        <w:tc>
          <w:tcPr>
            <w:tcW w:w="803" w:type="dxa"/>
            <w:tcBorders>
              <w:right w:val="double" w:sz="4" w:space="0" w:color="auto"/>
            </w:tcBorders>
            <w:shd w:val="clear" w:color="auto" w:fill="auto"/>
            <w:vAlign w:val="center"/>
          </w:tcPr>
          <w:p w14:paraId="4F4D1B4C" w14:textId="77777777" w:rsidR="00BC794F" w:rsidRPr="00B916EC" w:rsidRDefault="00BC794F" w:rsidP="00FE07DA">
            <w:pPr>
              <w:pStyle w:val="TAC"/>
            </w:pPr>
            <w:r w:rsidRPr="00B916EC">
              <w:t>6</w:t>
            </w:r>
          </w:p>
        </w:tc>
        <w:tc>
          <w:tcPr>
            <w:tcW w:w="3157" w:type="dxa"/>
            <w:tcBorders>
              <w:left w:val="double" w:sz="4" w:space="0" w:color="auto"/>
            </w:tcBorders>
            <w:vAlign w:val="center"/>
          </w:tcPr>
          <w:p w14:paraId="5C1D113E" w14:textId="77777777" w:rsidR="00BC794F" w:rsidRPr="00B916EC" w:rsidRDefault="00BC794F" w:rsidP="00FE07DA">
            <w:pPr>
              <w:pStyle w:val="TAC"/>
            </w:pPr>
            <w:r w:rsidRPr="00B916EC">
              <w:rPr>
                <w:rFonts w:cs="Arial"/>
                <w:kern w:val="24"/>
                <w:szCs w:val="18"/>
              </w:rPr>
              <w:t>1</w:t>
            </w:r>
          </w:p>
        </w:tc>
        <w:tc>
          <w:tcPr>
            <w:tcW w:w="1620" w:type="dxa"/>
            <w:vAlign w:val="center"/>
          </w:tcPr>
          <w:p w14:paraId="622B612C" w14:textId="77777777" w:rsidR="00BC794F" w:rsidRPr="00B916EC" w:rsidRDefault="00BC794F" w:rsidP="00FE07DA">
            <w:pPr>
              <w:pStyle w:val="TAC"/>
            </w:pPr>
            <w:r w:rsidRPr="00B916EC">
              <w:rPr>
                <w:rFonts w:cs="Arial"/>
                <w:kern w:val="24"/>
                <w:szCs w:val="18"/>
              </w:rPr>
              <w:t>96</w:t>
            </w:r>
          </w:p>
        </w:tc>
        <w:tc>
          <w:tcPr>
            <w:tcW w:w="1980" w:type="dxa"/>
            <w:vAlign w:val="center"/>
          </w:tcPr>
          <w:p w14:paraId="353BB32C" w14:textId="77777777" w:rsidR="00BC794F" w:rsidRPr="00B916EC" w:rsidRDefault="00BC794F" w:rsidP="00FE07DA">
            <w:pPr>
              <w:pStyle w:val="TAC"/>
            </w:pPr>
            <w:r>
              <w:t>2</w:t>
            </w:r>
          </w:p>
        </w:tc>
        <w:tc>
          <w:tcPr>
            <w:tcW w:w="1728" w:type="dxa"/>
            <w:vAlign w:val="center"/>
          </w:tcPr>
          <w:p w14:paraId="4E555ED3" w14:textId="77777777" w:rsidR="00BC794F" w:rsidRPr="00B916EC" w:rsidRDefault="00BC794F" w:rsidP="00FE07DA">
            <w:pPr>
              <w:pStyle w:val="TAC"/>
            </w:pPr>
            <w:r>
              <w:rPr>
                <w:rFonts w:cs="Arial"/>
                <w:kern w:val="24"/>
                <w:szCs w:val="18"/>
              </w:rPr>
              <w:t>56</w:t>
            </w:r>
          </w:p>
        </w:tc>
      </w:tr>
      <w:tr w:rsidR="00BC794F" w:rsidRPr="00B916EC" w14:paraId="1D7CCF66" w14:textId="77777777" w:rsidTr="00FE07DA">
        <w:trPr>
          <w:cantSplit/>
        </w:trPr>
        <w:tc>
          <w:tcPr>
            <w:tcW w:w="803" w:type="dxa"/>
            <w:tcBorders>
              <w:right w:val="double" w:sz="4" w:space="0" w:color="auto"/>
            </w:tcBorders>
            <w:shd w:val="clear" w:color="auto" w:fill="auto"/>
            <w:vAlign w:val="center"/>
          </w:tcPr>
          <w:p w14:paraId="3C1FA97B" w14:textId="77777777" w:rsidR="00BC794F" w:rsidRPr="00B916EC" w:rsidRDefault="00BC794F" w:rsidP="00FE07DA">
            <w:pPr>
              <w:pStyle w:val="TAC"/>
            </w:pPr>
            <w:r w:rsidRPr="00B916EC">
              <w:t>7</w:t>
            </w:r>
          </w:p>
        </w:tc>
        <w:tc>
          <w:tcPr>
            <w:tcW w:w="3157" w:type="dxa"/>
            <w:tcBorders>
              <w:left w:val="double" w:sz="4" w:space="0" w:color="auto"/>
            </w:tcBorders>
            <w:vAlign w:val="center"/>
          </w:tcPr>
          <w:p w14:paraId="25B5B95D" w14:textId="77777777" w:rsidR="00BC794F" w:rsidRPr="00B916EC" w:rsidRDefault="00BC794F" w:rsidP="00FE07DA">
            <w:pPr>
              <w:pStyle w:val="TAC"/>
            </w:pPr>
            <w:r w:rsidRPr="00B916EC">
              <w:rPr>
                <w:rFonts w:cs="Arial"/>
                <w:kern w:val="24"/>
                <w:szCs w:val="18"/>
              </w:rPr>
              <w:t>1</w:t>
            </w:r>
          </w:p>
        </w:tc>
        <w:tc>
          <w:tcPr>
            <w:tcW w:w="1620" w:type="dxa"/>
            <w:vAlign w:val="center"/>
          </w:tcPr>
          <w:p w14:paraId="4794EAEB" w14:textId="77777777" w:rsidR="00BC794F" w:rsidRPr="00B916EC" w:rsidRDefault="00BC794F" w:rsidP="00FE07DA">
            <w:pPr>
              <w:pStyle w:val="TAC"/>
            </w:pPr>
            <w:r w:rsidRPr="00B916EC">
              <w:rPr>
                <w:rFonts w:cs="Arial"/>
                <w:kern w:val="24"/>
                <w:szCs w:val="18"/>
              </w:rPr>
              <w:t>96</w:t>
            </w:r>
          </w:p>
        </w:tc>
        <w:tc>
          <w:tcPr>
            <w:tcW w:w="1980" w:type="dxa"/>
            <w:vAlign w:val="center"/>
          </w:tcPr>
          <w:p w14:paraId="370513CF" w14:textId="77777777" w:rsidR="00BC794F" w:rsidRPr="00B916EC" w:rsidRDefault="00BC794F" w:rsidP="00FE07DA">
            <w:pPr>
              <w:pStyle w:val="TAC"/>
            </w:pPr>
            <w:r>
              <w:t>3</w:t>
            </w:r>
          </w:p>
        </w:tc>
        <w:tc>
          <w:tcPr>
            <w:tcW w:w="1728" w:type="dxa"/>
            <w:vAlign w:val="center"/>
          </w:tcPr>
          <w:p w14:paraId="58D5CF41" w14:textId="77777777" w:rsidR="00BC794F" w:rsidRPr="00B916EC" w:rsidRDefault="00BC794F" w:rsidP="00FE07DA">
            <w:pPr>
              <w:pStyle w:val="TAC"/>
            </w:pPr>
            <w:r>
              <w:rPr>
                <w:rFonts w:cs="Arial"/>
                <w:kern w:val="24"/>
                <w:szCs w:val="18"/>
              </w:rPr>
              <w:t>0</w:t>
            </w:r>
          </w:p>
        </w:tc>
      </w:tr>
      <w:tr w:rsidR="00BC794F" w:rsidRPr="00B916EC" w14:paraId="4B1E97C4" w14:textId="77777777" w:rsidTr="00FE07DA">
        <w:trPr>
          <w:cantSplit/>
        </w:trPr>
        <w:tc>
          <w:tcPr>
            <w:tcW w:w="803" w:type="dxa"/>
            <w:tcBorders>
              <w:right w:val="double" w:sz="4" w:space="0" w:color="auto"/>
            </w:tcBorders>
            <w:shd w:val="clear" w:color="auto" w:fill="auto"/>
            <w:vAlign w:val="center"/>
          </w:tcPr>
          <w:p w14:paraId="582D4D47" w14:textId="77777777" w:rsidR="00BC794F" w:rsidRPr="00B916EC" w:rsidRDefault="00BC794F" w:rsidP="00FE07DA">
            <w:pPr>
              <w:pStyle w:val="TAC"/>
            </w:pPr>
            <w:r w:rsidRPr="00B916EC">
              <w:t>8</w:t>
            </w:r>
          </w:p>
        </w:tc>
        <w:tc>
          <w:tcPr>
            <w:tcW w:w="3157" w:type="dxa"/>
            <w:tcBorders>
              <w:left w:val="double" w:sz="4" w:space="0" w:color="auto"/>
            </w:tcBorders>
            <w:vAlign w:val="center"/>
          </w:tcPr>
          <w:p w14:paraId="5CFA72BC" w14:textId="77777777" w:rsidR="00BC794F" w:rsidRPr="00B916EC" w:rsidRDefault="00BC794F" w:rsidP="00FE07DA">
            <w:pPr>
              <w:pStyle w:val="TAC"/>
            </w:pPr>
            <w:r w:rsidRPr="00B916EC">
              <w:rPr>
                <w:rFonts w:cs="Arial"/>
                <w:kern w:val="24"/>
                <w:szCs w:val="18"/>
              </w:rPr>
              <w:t>1</w:t>
            </w:r>
          </w:p>
        </w:tc>
        <w:tc>
          <w:tcPr>
            <w:tcW w:w="1620" w:type="dxa"/>
            <w:vAlign w:val="center"/>
          </w:tcPr>
          <w:p w14:paraId="0F107D40" w14:textId="77777777" w:rsidR="00BC794F" w:rsidRPr="00B916EC" w:rsidRDefault="00BC794F" w:rsidP="00FE07DA">
            <w:pPr>
              <w:pStyle w:val="TAC"/>
            </w:pPr>
            <w:r w:rsidRPr="00B916EC">
              <w:rPr>
                <w:rFonts w:cs="Arial"/>
                <w:kern w:val="24"/>
                <w:szCs w:val="18"/>
              </w:rPr>
              <w:t>96</w:t>
            </w:r>
          </w:p>
        </w:tc>
        <w:tc>
          <w:tcPr>
            <w:tcW w:w="1980" w:type="dxa"/>
            <w:vAlign w:val="center"/>
          </w:tcPr>
          <w:p w14:paraId="06A1C9C2" w14:textId="77777777" w:rsidR="00BC794F" w:rsidRPr="00B916EC" w:rsidRDefault="00BC794F" w:rsidP="00FE07DA">
            <w:pPr>
              <w:pStyle w:val="TAC"/>
            </w:pPr>
            <w:r>
              <w:t>3</w:t>
            </w:r>
          </w:p>
        </w:tc>
        <w:tc>
          <w:tcPr>
            <w:tcW w:w="1728" w:type="dxa"/>
            <w:vAlign w:val="center"/>
          </w:tcPr>
          <w:p w14:paraId="07C5D239" w14:textId="77777777" w:rsidR="00BC794F" w:rsidRPr="00B916EC" w:rsidRDefault="00BC794F" w:rsidP="00FE07DA">
            <w:pPr>
              <w:pStyle w:val="TAC"/>
            </w:pPr>
            <w:r>
              <w:rPr>
                <w:rFonts w:cs="Arial"/>
                <w:kern w:val="24"/>
                <w:szCs w:val="18"/>
              </w:rPr>
              <w:t>56</w:t>
            </w:r>
          </w:p>
        </w:tc>
      </w:tr>
      <w:tr w:rsidR="00BC794F" w:rsidRPr="00B916EC" w14:paraId="48E8C6C5" w14:textId="77777777" w:rsidTr="00FE07DA">
        <w:trPr>
          <w:cantSplit/>
        </w:trPr>
        <w:tc>
          <w:tcPr>
            <w:tcW w:w="803" w:type="dxa"/>
            <w:tcBorders>
              <w:right w:val="double" w:sz="4" w:space="0" w:color="auto"/>
            </w:tcBorders>
            <w:shd w:val="clear" w:color="auto" w:fill="auto"/>
            <w:vAlign w:val="center"/>
          </w:tcPr>
          <w:p w14:paraId="6FB129D8" w14:textId="77777777" w:rsidR="00BC794F" w:rsidRPr="00B916EC" w:rsidRDefault="00BC794F" w:rsidP="00FE07DA">
            <w:pPr>
              <w:pStyle w:val="TAC"/>
            </w:pPr>
            <w:r w:rsidRPr="00B916EC">
              <w:t>9</w:t>
            </w:r>
          </w:p>
        </w:tc>
        <w:tc>
          <w:tcPr>
            <w:tcW w:w="8485" w:type="dxa"/>
            <w:gridSpan w:val="4"/>
            <w:tcBorders>
              <w:left w:val="double" w:sz="4" w:space="0" w:color="auto"/>
            </w:tcBorders>
            <w:vAlign w:val="center"/>
          </w:tcPr>
          <w:p w14:paraId="7A9F3608" w14:textId="77777777" w:rsidR="00BC794F" w:rsidRPr="00B916EC" w:rsidRDefault="00BC794F" w:rsidP="00FE07DA">
            <w:pPr>
              <w:pStyle w:val="TAC"/>
            </w:pPr>
            <w:r w:rsidRPr="00B916EC">
              <w:rPr>
                <w:rFonts w:cs="Arial"/>
                <w:kern w:val="24"/>
                <w:szCs w:val="18"/>
              </w:rPr>
              <w:t>Reserved</w:t>
            </w:r>
          </w:p>
        </w:tc>
      </w:tr>
      <w:tr w:rsidR="00BC794F" w:rsidRPr="00B916EC" w14:paraId="774E5F0E" w14:textId="77777777" w:rsidTr="00FE07DA">
        <w:trPr>
          <w:cantSplit/>
        </w:trPr>
        <w:tc>
          <w:tcPr>
            <w:tcW w:w="803" w:type="dxa"/>
            <w:tcBorders>
              <w:right w:val="double" w:sz="4" w:space="0" w:color="auto"/>
            </w:tcBorders>
            <w:shd w:val="clear" w:color="auto" w:fill="auto"/>
            <w:vAlign w:val="center"/>
          </w:tcPr>
          <w:p w14:paraId="251E42C5" w14:textId="77777777" w:rsidR="00BC794F" w:rsidRPr="00B916EC" w:rsidRDefault="00BC794F" w:rsidP="00FE07DA">
            <w:pPr>
              <w:pStyle w:val="TAC"/>
            </w:pPr>
            <w:r w:rsidRPr="00B916EC">
              <w:t>10</w:t>
            </w:r>
          </w:p>
        </w:tc>
        <w:tc>
          <w:tcPr>
            <w:tcW w:w="8485" w:type="dxa"/>
            <w:gridSpan w:val="4"/>
            <w:tcBorders>
              <w:left w:val="double" w:sz="4" w:space="0" w:color="auto"/>
            </w:tcBorders>
            <w:vAlign w:val="center"/>
          </w:tcPr>
          <w:p w14:paraId="14F432D2" w14:textId="77777777" w:rsidR="00BC794F" w:rsidRPr="00B916EC" w:rsidRDefault="00BC794F" w:rsidP="00FE07DA">
            <w:pPr>
              <w:pStyle w:val="TAC"/>
            </w:pPr>
            <w:r w:rsidRPr="00B916EC">
              <w:rPr>
                <w:rFonts w:cs="Arial"/>
                <w:kern w:val="24"/>
                <w:szCs w:val="18"/>
              </w:rPr>
              <w:t>Reserved</w:t>
            </w:r>
          </w:p>
        </w:tc>
      </w:tr>
      <w:tr w:rsidR="00BC794F" w:rsidRPr="00B916EC" w14:paraId="573EA150" w14:textId="77777777" w:rsidTr="00FE07DA">
        <w:trPr>
          <w:cantSplit/>
        </w:trPr>
        <w:tc>
          <w:tcPr>
            <w:tcW w:w="803" w:type="dxa"/>
            <w:tcBorders>
              <w:right w:val="double" w:sz="4" w:space="0" w:color="auto"/>
            </w:tcBorders>
            <w:shd w:val="clear" w:color="auto" w:fill="auto"/>
            <w:vAlign w:val="center"/>
          </w:tcPr>
          <w:p w14:paraId="14A181D7" w14:textId="77777777" w:rsidR="00BC794F" w:rsidRPr="00B916EC" w:rsidRDefault="00BC794F" w:rsidP="00FE07DA">
            <w:pPr>
              <w:pStyle w:val="TAC"/>
            </w:pPr>
            <w:r w:rsidRPr="00B916EC">
              <w:t>11</w:t>
            </w:r>
          </w:p>
        </w:tc>
        <w:tc>
          <w:tcPr>
            <w:tcW w:w="8485" w:type="dxa"/>
            <w:gridSpan w:val="4"/>
            <w:tcBorders>
              <w:left w:val="double" w:sz="4" w:space="0" w:color="auto"/>
            </w:tcBorders>
            <w:vAlign w:val="center"/>
          </w:tcPr>
          <w:p w14:paraId="12FEE25C" w14:textId="77777777" w:rsidR="00BC794F" w:rsidRPr="00B916EC" w:rsidRDefault="00BC794F" w:rsidP="00FE07DA">
            <w:pPr>
              <w:pStyle w:val="TAC"/>
            </w:pPr>
            <w:r w:rsidRPr="00B916EC">
              <w:rPr>
                <w:rFonts w:cs="Arial"/>
                <w:kern w:val="24"/>
                <w:szCs w:val="18"/>
              </w:rPr>
              <w:t>Reserved</w:t>
            </w:r>
          </w:p>
        </w:tc>
      </w:tr>
      <w:tr w:rsidR="00BC794F" w:rsidRPr="00B916EC" w14:paraId="624B6A46" w14:textId="77777777" w:rsidTr="00FE07DA">
        <w:trPr>
          <w:cantSplit/>
        </w:trPr>
        <w:tc>
          <w:tcPr>
            <w:tcW w:w="803" w:type="dxa"/>
            <w:tcBorders>
              <w:right w:val="double" w:sz="4" w:space="0" w:color="auto"/>
            </w:tcBorders>
            <w:shd w:val="clear" w:color="auto" w:fill="auto"/>
            <w:vAlign w:val="center"/>
          </w:tcPr>
          <w:p w14:paraId="18BF5541" w14:textId="77777777" w:rsidR="00BC794F" w:rsidRPr="00B916EC" w:rsidRDefault="00BC794F" w:rsidP="00FE07DA">
            <w:pPr>
              <w:pStyle w:val="TAC"/>
            </w:pPr>
            <w:r w:rsidRPr="00B916EC">
              <w:t>12</w:t>
            </w:r>
          </w:p>
        </w:tc>
        <w:tc>
          <w:tcPr>
            <w:tcW w:w="8485" w:type="dxa"/>
            <w:gridSpan w:val="4"/>
            <w:tcBorders>
              <w:left w:val="double" w:sz="4" w:space="0" w:color="auto"/>
            </w:tcBorders>
            <w:vAlign w:val="center"/>
          </w:tcPr>
          <w:p w14:paraId="7F365442" w14:textId="77777777" w:rsidR="00BC794F" w:rsidRPr="00B916EC" w:rsidRDefault="00BC794F" w:rsidP="00FE07DA">
            <w:pPr>
              <w:pStyle w:val="TAC"/>
            </w:pPr>
            <w:r w:rsidRPr="00B916EC">
              <w:rPr>
                <w:rFonts w:cs="Arial"/>
                <w:kern w:val="24"/>
                <w:szCs w:val="18"/>
              </w:rPr>
              <w:t>Reserved</w:t>
            </w:r>
          </w:p>
        </w:tc>
      </w:tr>
      <w:tr w:rsidR="00BC794F" w:rsidRPr="00B916EC" w14:paraId="7B936411" w14:textId="77777777" w:rsidTr="00FE07DA">
        <w:trPr>
          <w:cantSplit/>
        </w:trPr>
        <w:tc>
          <w:tcPr>
            <w:tcW w:w="803" w:type="dxa"/>
            <w:tcBorders>
              <w:right w:val="double" w:sz="4" w:space="0" w:color="auto"/>
            </w:tcBorders>
            <w:shd w:val="clear" w:color="auto" w:fill="auto"/>
            <w:vAlign w:val="center"/>
          </w:tcPr>
          <w:p w14:paraId="0238FAD7" w14:textId="77777777" w:rsidR="00BC794F" w:rsidRPr="00B916EC" w:rsidRDefault="00BC794F" w:rsidP="00FE07DA">
            <w:pPr>
              <w:pStyle w:val="TAC"/>
            </w:pPr>
            <w:r w:rsidRPr="00B916EC">
              <w:t>13</w:t>
            </w:r>
          </w:p>
        </w:tc>
        <w:tc>
          <w:tcPr>
            <w:tcW w:w="8485" w:type="dxa"/>
            <w:gridSpan w:val="4"/>
            <w:tcBorders>
              <w:left w:val="double" w:sz="4" w:space="0" w:color="auto"/>
            </w:tcBorders>
            <w:vAlign w:val="center"/>
          </w:tcPr>
          <w:p w14:paraId="5EFBC3CC" w14:textId="77777777" w:rsidR="00BC794F" w:rsidRPr="00B916EC" w:rsidRDefault="00BC794F" w:rsidP="00FE07DA">
            <w:pPr>
              <w:pStyle w:val="TAC"/>
            </w:pPr>
            <w:r w:rsidRPr="00B916EC">
              <w:rPr>
                <w:rFonts w:cs="Arial"/>
                <w:kern w:val="24"/>
                <w:szCs w:val="18"/>
              </w:rPr>
              <w:t>Reserved</w:t>
            </w:r>
          </w:p>
        </w:tc>
      </w:tr>
      <w:tr w:rsidR="00BC794F" w:rsidRPr="00B916EC" w14:paraId="4EDAB846" w14:textId="77777777" w:rsidTr="00FE07DA">
        <w:trPr>
          <w:cantSplit/>
        </w:trPr>
        <w:tc>
          <w:tcPr>
            <w:tcW w:w="803" w:type="dxa"/>
            <w:tcBorders>
              <w:right w:val="double" w:sz="4" w:space="0" w:color="auto"/>
            </w:tcBorders>
            <w:shd w:val="clear" w:color="auto" w:fill="auto"/>
            <w:vAlign w:val="center"/>
          </w:tcPr>
          <w:p w14:paraId="6072D3CA" w14:textId="77777777" w:rsidR="00BC794F" w:rsidRPr="00B916EC" w:rsidRDefault="00BC794F" w:rsidP="00FE07DA">
            <w:pPr>
              <w:pStyle w:val="TAC"/>
            </w:pPr>
            <w:r w:rsidRPr="00B916EC">
              <w:t>14</w:t>
            </w:r>
          </w:p>
        </w:tc>
        <w:tc>
          <w:tcPr>
            <w:tcW w:w="8485" w:type="dxa"/>
            <w:gridSpan w:val="4"/>
            <w:tcBorders>
              <w:left w:val="double" w:sz="4" w:space="0" w:color="auto"/>
            </w:tcBorders>
            <w:vAlign w:val="center"/>
          </w:tcPr>
          <w:p w14:paraId="3033D0B7" w14:textId="77777777" w:rsidR="00BC794F" w:rsidRPr="00B916EC" w:rsidRDefault="00BC794F" w:rsidP="00FE07DA">
            <w:pPr>
              <w:pStyle w:val="TAC"/>
            </w:pPr>
            <w:r w:rsidRPr="00B916EC">
              <w:rPr>
                <w:rFonts w:cs="Arial"/>
                <w:kern w:val="24"/>
                <w:szCs w:val="18"/>
              </w:rPr>
              <w:t>Reserved</w:t>
            </w:r>
          </w:p>
        </w:tc>
      </w:tr>
      <w:tr w:rsidR="00BC794F" w:rsidRPr="00B916EC" w14:paraId="2AEFD9E5" w14:textId="77777777" w:rsidTr="00FE07DA">
        <w:trPr>
          <w:cantSplit/>
        </w:trPr>
        <w:tc>
          <w:tcPr>
            <w:tcW w:w="803" w:type="dxa"/>
            <w:tcBorders>
              <w:right w:val="double" w:sz="4" w:space="0" w:color="auto"/>
            </w:tcBorders>
            <w:shd w:val="clear" w:color="auto" w:fill="auto"/>
            <w:vAlign w:val="center"/>
          </w:tcPr>
          <w:p w14:paraId="37DC2D52" w14:textId="77777777" w:rsidR="00BC794F" w:rsidRPr="00B916EC" w:rsidRDefault="00BC794F" w:rsidP="00FE07DA">
            <w:pPr>
              <w:pStyle w:val="TAC"/>
            </w:pPr>
            <w:r w:rsidRPr="00B916EC">
              <w:t>15</w:t>
            </w:r>
          </w:p>
        </w:tc>
        <w:tc>
          <w:tcPr>
            <w:tcW w:w="8485" w:type="dxa"/>
            <w:gridSpan w:val="4"/>
            <w:tcBorders>
              <w:left w:val="double" w:sz="4" w:space="0" w:color="auto"/>
            </w:tcBorders>
            <w:vAlign w:val="center"/>
          </w:tcPr>
          <w:p w14:paraId="14C37F1B" w14:textId="77777777" w:rsidR="00BC794F" w:rsidRPr="00B916EC" w:rsidRDefault="00BC794F" w:rsidP="00FE07DA">
            <w:pPr>
              <w:pStyle w:val="TAC"/>
            </w:pPr>
            <w:r w:rsidRPr="00B916EC">
              <w:rPr>
                <w:rFonts w:cs="Arial"/>
                <w:kern w:val="24"/>
                <w:szCs w:val="18"/>
              </w:rPr>
              <w:t>Reserved</w:t>
            </w:r>
          </w:p>
        </w:tc>
      </w:tr>
    </w:tbl>
    <w:p w14:paraId="4E86EAAD" w14:textId="77777777" w:rsidR="00BC794F" w:rsidRDefault="00BC794F" w:rsidP="0009732E"/>
    <w:p w14:paraId="28E5C970" w14:textId="74ADFA08" w:rsidR="00BC794F" w:rsidRPr="00AE20EB" w:rsidRDefault="00BC794F" w:rsidP="0009732E">
      <w:pPr>
        <w:pStyle w:val="TH"/>
        <w:rPr>
          <w:lang w:val="en-US"/>
        </w:rPr>
      </w:pPr>
      <w:r w:rsidRPr="00AE20EB">
        <w:lastRenderedPageBreak/>
        <w:t>Table 13-</w:t>
      </w:r>
      <w:r>
        <w:t>6</w:t>
      </w:r>
      <w:r w:rsidRPr="00AE20EB">
        <w:t xml:space="preserve">: Set of resource blocks and slot symbols of </w:t>
      </w:r>
      <w:r w:rsidR="00C76664">
        <w:t>CORESET</w:t>
      </w:r>
      <w:r w:rsidRPr="00AE20EB">
        <w:t xml:space="preserve"> for Type0-PDCCH search space</w:t>
      </w:r>
      <w:r w:rsidR="00ED0EE2">
        <w:t xml:space="preserve"> set</w:t>
      </w:r>
      <w:r w:rsidRPr="00AE20EB">
        <w:t xml:space="preserve"> when {SS/PBCH block, PDCC</w:t>
      </w:r>
      <w:r>
        <w:t xml:space="preserve">H} </w:t>
      </w:r>
      <w:r w:rsidR="00143099">
        <w:t>SCS</w:t>
      </w:r>
      <w:r>
        <w:t xml:space="preserve"> is {30, 30</w:t>
      </w:r>
      <w:r w:rsidRPr="00AE20EB">
        <w:t>} kHz</w:t>
      </w:r>
      <w:r w:rsidR="00D561F4" w:rsidRPr="00D561F4">
        <w:rPr>
          <w:rFonts w:cs="Arial" w:hint="eastAsia"/>
          <w:lang w:val="en-US" w:eastAsia="zh-CN"/>
        </w:rPr>
        <w:t xml:space="preserve"> </w:t>
      </w:r>
      <w:r w:rsidR="00D561F4" w:rsidRPr="00F548CF">
        <w:rPr>
          <w:rFonts w:cs="Arial" w:hint="eastAsia"/>
          <w:lang w:val="en-US" w:eastAsia="zh-CN"/>
        </w:rPr>
        <w:t>for frequency bands</w:t>
      </w:r>
      <w:r w:rsidRPr="00AE20EB">
        <w:t xml:space="preserve"> </w:t>
      </w:r>
      <w:r w:rsidRPr="00327BF1">
        <w:t>with minimum channel bandwidth 40MHz</w:t>
      </w:r>
      <w:r w:rsidR="00D54F38">
        <w:rPr>
          <w:rFonts w:eastAsia="Batang"/>
        </w:rPr>
        <w:t xml:space="preserve"> </w:t>
      </w:r>
      <w:r w:rsidR="00D54F38" w:rsidRPr="0024770A">
        <w:rPr>
          <w:rFonts w:eastAsia="Batang"/>
        </w:rPr>
        <w:t xml:space="preserve">or for the frequency bands </w:t>
      </w:r>
      <w:r w:rsidR="00466CED">
        <w:t>defined by note 17 of Table 5.2-1</w:t>
      </w:r>
      <w:r w:rsidR="00D54F38" w:rsidRPr="0024770A">
        <w:rPr>
          <w:rFonts w:eastAsia="Batang"/>
        </w:rPr>
        <w:t xml:space="preserve"> in [</w:t>
      </w:r>
      <w:r w:rsidR="006A7896">
        <w:t>8-1</w:t>
      </w:r>
      <w:r w:rsidR="00D54F38" w:rsidRPr="0024770A">
        <w:rPr>
          <w:rFonts w:eastAsia="Batang"/>
        </w:rPr>
        <w:t xml:space="preserve">, </w:t>
      </w:r>
      <w:r w:rsidR="00295E42">
        <w:rPr>
          <w:rFonts w:eastAsia="Batang"/>
        </w:rPr>
        <w:t>TS 38.</w:t>
      </w:r>
      <w:r w:rsidR="00D54F38" w:rsidRPr="0024770A">
        <w:rPr>
          <w:rFonts w:eastAsia="Batang"/>
        </w:rPr>
        <w:t>101-1]</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
        <w:gridCol w:w="3157"/>
        <w:gridCol w:w="1620"/>
        <w:gridCol w:w="1980"/>
        <w:gridCol w:w="1728"/>
      </w:tblGrid>
      <w:tr w:rsidR="000C2450" w:rsidRPr="00B916EC" w14:paraId="2F9502DA" w14:textId="77777777" w:rsidTr="00FE07DA">
        <w:trPr>
          <w:cantSplit/>
        </w:trPr>
        <w:tc>
          <w:tcPr>
            <w:tcW w:w="803" w:type="dxa"/>
            <w:tcBorders>
              <w:bottom w:val="double" w:sz="4" w:space="0" w:color="auto"/>
              <w:right w:val="double" w:sz="4" w:space="0" w:color="auto"/>
            </w:tcBorders>
            <w:shd w:val="clear" w:color="auto" w:fill="E0E0E0"/>
            <w:vAlign w:val="center"/>
          </w:tcPr>
          <w:p w14:paraId="126D9852" w14:textId="77777777" w:rsidR="000C2450" w:rsidRPr="00B916EC" w:rsidRDefault="000C2450" w:rsidP="000C2450">
            <w:pPr>
              <w:pStyle w:val="TAH"/>
              <w:rPr>
                <w:bCs/>
                <w:lang w:val="en-US"/>
              </w:rPr>
            </w:pPr>
            <w:r w:rsidRPr="00B916EC">
              <w:rPr>
                <w:bCs/>
                <w:lang w:val="en-US"/>
              </w:rPr>
              <w:t>Index</w:t>
            </w:r>
          </w:p>
        </w:tc>
        <w:tc>
          <w:tcPr>
            <w:tcW w:w="3157" w:type="dxa"/>
            <w:tcBorders>
              <w:left w:val="double" w:sz="4" w:space="0" w:color="auto"/>
              <w:bottom w:val="double" w:sz="4" w:space="0" w:color="auto"/>
            </w:tcBorders>
            <w:shd w:val="clear" w:color="auto" w:fill="E0E0E0"/>
            <w:vAlign w:val="center"/>
          </w:tcPr>
          <w:p w14:paraId="117931F9" w14:textId="77777777" w:rsidR="000C2450" w:rsidRPr="00B916EC" w:rsidRDefault="000C2450" w:rsidP="000C2450">
            <w:pPr>
              <w:pStyle w:val="TAH"/>
              <w:rPr>
                <w:bCs/>
                <w:lang w:val="en-US"/>
              </w:rPr>
            </w:pPr>
            <w:r w:rsidRPr="00B916EC">
              <w:rPr>
                <w:rFonts w:cs="Arial"/>
                <w:kern w:val="24"/>
              </w:rPr>
              <w:t xml:space="preserve">SS/PBCH block and </w:t>
            </w:r>
            <w:r>
              <w:rPr>
                <w:rFonts w:cs="Arial"/>
                <w:kern w:val="24"/>
              </w:rPr>
              <w:t>CORESET</w:t>
            </w:r>
            <w:r w:rsidRPr="00B916EC">
              <w:rPr>
                <w:rFonts w:cs="Arial"/>
                <w:kern w:val="24"/>
              </w:rPr>
              <w:t xml:space="preserve"> multiplexing pattern </w:t>
            </w:r>
          </w:p>
        </w:tc>
        <w:tc>
          <w:tcPr>
            <w:tcW w:w="1620" w:type="dxa"/>
            <w:tcBorders>
              <w:bottom w:val="double" w:sz="4" w:space="0" w:color="auto"/>
            </w:tcBorders>
            <w:shd w:val="clear" w:color="auto" w:fill="E0E0E0"/>
            <w:vAlign w:val="center"/>
          </w:tcPr>
          <w:p w14:paraId="717EC910" w14:textId="0E4898B8" w:rsidR="000C2450" w:rsidRPr="00B916EC" w:rsidRDefault="000C2450" w:rsidP="000C2450">
            <w:pPr>
              <w:pStyle w:val="TAH"/>
              <w:rPr>
                <w:bCs/>
                <w:lang w:val="en-US"/>
              </w:rPr>
            </w:pPr>
            <w:r w:rsidRPr="00B27E56">
              <w:rPr>
                <w:rFonts w:cs="Arial"/>
                <w:kern w:val="24"/>
              </w:rPr>
              <w:t xml:space="preserve">Number of RBs </w:t>
            </w:r>
            <m:oMath>
              <m:sSubSup>
                <m:sSubSupPr>
                  <m:ctrlPr>
                    <w:rPr>
                      <w:rFonts w:ascii="Cambria Math" w:hAnsi="Cambria Math"/>
                      <w:i/>
                    </w:rPr>
                  </m:ctrlPr>
                </m:sSubSupPr>
                <m:e>
                  <m:r>
                    <m:rPr>
                      <m:sty m:val="bi"/>
                    </m:rPr>
                    <w:rPr>
                      <w:rFonts w:ascii="Cambria Math"/>
                    </w:rPr>
                    <m:t>N</m:t>
                  </m:r>
                </m:e>
                <m:sub>
                  <m:r>
                    <m:rPr>
                      <m:nor/>
                    </m:rPr>
                    <w:rPr>
                      <w:rFonts w:ascii="Cambria Math"/>
                    </w:rPr>
                    <m:t>RB</m:t>
                  </m:r>
                  <m:ctrlPr>
                    <w:rPr>
                      <w:rFonts w:ascii="Cambria Math" w:hAnsi="Cambria Math"/>
                    </w:rPr>
                  </m:ctrlPr>
                </m:sub>
                <m:sup>
                  <m:r>
                    <m:rPr>
                      <m:nor/>
                    </m:rPr>
                    <w:rPr>
                      <w:rFonts w:ascii="Cambria Math"/>
                    </w:rPr>
                    <m:t>CORESET</m:t>
                  </m:r>
                  <m:ctrlPr>
                    <w:rPr>
                      <w:rFonts w:ascii="Cambria Math" w:hAnsi="Cambria Math"/>
                    </w:rPr>
                  </m:ctrlPr>
                </m:sup>
              </m:sSubSup>
            </m:oMath>
          </w:p>
        </w:tc>
        <w:tc>
          <w:tcPr>
            <w:tcW w:w="1980" w:type="dxa"/>
            <w:tcBorders>
              <w:bottom w:val="double" w:sz="4" w:space="0" w:color="auto"/>
            </w:tcBorders>
            <w:shd w:val="clear" w:color="auto" w:fill="E0E0E0"/>
            <w:vAlign w:val="center"/>
          </w:tcPr>
          <w:p w14:paraId="27F46014" w14:textId="121791CE" w:rsidR="000C2450" w:rsidRPr="00B916EC" w:rsidRDefault="000C2450" w:rsidP="000C2450">
            <w:pPr>
              <w:pStyle w:val="TAH"/>
              <w:rPr>
                <w:bCs/>
                <w:lang w:val="en-US"/>
              </w:rPr>
            </w:pPr>
            <w:r w:rsidRPr="00B27E56">
              <w:rPr>
                <w:rFonts w:cs="Arial"/>
                <w:kern w:val="24"/>
              </w:rPr>
              <w:t xml:space="preserve">Number of Symbols </w:t>
            </w:r>
            <m:oMath>
              <m:sSubSup>
                <m:sSubSupPr>
                  <m:ctrlPr>
                    <w:rPr>
                      <w:rFonts w:ascii="Cambria Math" w:hAnsi="Cambria Math"/>
                      <w:i/>
                    </w:rPr>
                  </m:ctrlPr>
                </m:sSubSupPr>
                <m:e>
                  <m:r>
                    <m:rPr>
                      <m:sty m:val="bi"/>
                    </m:rPr>
                    <w:rPr>
                      <w:rFonts w:ascii="Cambria Math"/>
                    </w:rPr>
                    <m:t>N</m:t>
                  </m:r>
                </m:e>
                <m:sub>
                  <m:r>
                    <m:rPr>
                      <m:nor/>
                    </m:rPr>
                    <w:rPr>
                      <w:rFonts w:ascii="Cambria Math"/>
                    </w:rPr>
                    <m:t>symb</m:t>
                  </m:r>
                  <m:ctrlPr>
                    <w:rPr>
                      <w:rFonts w:ascii="Cambria Math" w:hAnsi="Cambria Math"/>
                    </w:rPr>
                  </m:ctrlPr>
                </m:sub>
                <m:sup>
                  <m:r>
                    <m:rPr>
                      <m:nor/>
                    </m:rPr>
                    <w:rPr>
                      <w:rFonts w:ascii="Cambria Math"/>
                    </w:rPr>
                    <m:t>CORESET</m:t>
                  </m:r>
                  <m:ctrlPr>
                    <w:rPr>
                      <w:rFonts w:ascii="Cambria Math" w:hAnsi="Cambria Math"/>
                    </w:rPr>
                  </m:ctrlPr>
                </m:sup>
              </m:sSubSup>
            </m:oMath>
            <w:r w:rsidRPr="00B27E56">
              <w:rPr>
                <w:rFonts w:cs="Arial"/>
                <w:kern w:val="24"/>
              </w:rPr>
              <w:t xml:space="preserve"> </w:t>
            </w:r>
          </w:p>
        </w:tc>
        <w:tc>
          <w:tcPr>
            <w:tcW w:w="1728" w:type="dxa"/>
            <w:tcBorders>
              <w:bottom w:val="double" w:sz="4" w:space="0" w:color="auto"/>
            </w:tcBorders>
            <w:shd w:val="clear" w:color="auto" w:fill="E0E0E0"/>
            <w:vAlign w:val="center"/>
          </w:tcPr>
          <w:p w14:paraId="65169D14" w14:textId="77777777" w:rsidR="000C2450" w:rsidRPr="00B916EC" w:rsidRDefault="000C2450" w:rsidP="000C2450">
            <w:pPr>
              <w:pStyle w:val="TAH"/>
              <w:rPr>
                <w:bCs/>
                <w:lang w:val="en-US"/>
              </w:rPr>
            </w:pPr>
            <w:r w:rsidRPr="00B916EC">
              <w:rPr>
                <w:rFonts w:cs="Arial"/>
                <w:kern w:val="24"/>
              </w:rPr>
              <w:t xml:space="preserve">Offset (RBs) </w:t>
            </w:r>
          </w:p>
        </w:tc>
      </w:tr>
      <w:tr w:rsidR="00BC794F" w:rsidRPr="00B916EC" w14:paraId="1DF70CD1" w14:textId="77777777" w:rsidTr="00FE07DA">
        <w:trPr>
          <w:cantSplit/>
        </w:trPr>
        <w:tc>
          <w:tcPr>
            <w:tcW w:w="803" w:type="dxa"/>
            <w:tcBorders>
              <w:top w:val="double" w:sz="4" w:space="0" w:color="auto"/>
              <w:right w:val="double" w:sz="4" w:space="0" w:color="auto"/>
            </w:tcBorders>
            <w:shd w:val="clear" w:color="auto" w:fill="auto"/>
            <w:vAlign w:val="center"/>
          </w:tcPr>
          <w:p w14:paraId="029B1EF8" w14:textId="77777777" w:rsidR="00BC794F" w:rsidRPr="00B916EC" w:rsidRDefault="00BC794F" w:rsidP="00FE07DA">
            <w:pPr>
              <w:pStyle w:val="TAC"/>
              <w:rPr>
                <w:lang w:val="en-US"/>
              </w:rPr>
            </w:pPr>
            <w:r w:rsidRPr="00B916EC">
              <w:rPr>
                <w:lang w:val="en-US"/>
              </w:rPr>
              <w:t>0</w:t>
            </w:r>
          </w:p>
        </w:tc>
        <w:tc>
          <w:tcPr>
            <w:tcW w:w="3157" w:type="dxa"/>
            <w:tcBorders>
              <w:top w:val="double" w:sz="4" w:space="0" w:color="auto"/>
              <w:left w:val="double" w:sz="4" w:space="0" w:color="auto"/>
            </w:tcBorders>
            <w:vAlign w:val="center"/>
          </w:tcPr>
          <w:p w14:paraId="13FFC54C" w14:textId="77777777" w:rsidR="00BC794F" w:rsidRPr="00B916EC" w:rsidRDefault="00BC794F" w:rsidP="00FE07DA">
            <w:pPr>
              <w:pStyle w:val="TAC"/>
              <w:rPr>
                <w:lang w:val="en-US"/>
              </w:rPr>
            </w:pPr>
            <w:r w:rsidRPr="00B916EC">
              <w:rPr>
                <w:rFonts w:cs="Arial"/>
                <w:kern w:val="24"/>
                <w:szCs w:val="18"/>
              </w:rPr>
              <w:t>1</w:t>
            </w:r>
          </w:p>
        </w:tc>
        <w:tc>
          <w:tcPr>
            <w:tcW w:w="1620" w:type="dxa"/>
            <w:tcBorders>
              <w:top w:val="double" w:sz="4" w:space="0" w:color="auto"/>
            </w:tcBorders>
            <w:vAlign w:val="center"/>
          </w:tcPr>
          <w:p w14:paraId="5640A6BD" w14:textId="77777777" w:rsidR="00BC794F" w:rsidRPr="00B916EC" w:rsidRDefault="00BC794F" w:rsidP="00FE07DA">
            <w:pPr>
              <w:pStyle w:val="TAC"/>
              <w:rPr>
                <w:lang w:val="en-US"/>
              </w:rPr>
            </w:pPr>
            <w:r>
              <w:rPr>
                <w:rFonts w:cs="Arial"/>
                <w:kern w:val="24"/>
                <w:szCs w:val="18"/>
              </w:rPr>
              <w:t>24</w:t>
            </w:r>
          </w:p>
        </w:tc>
        <w:tc>
          <w:tcPr>
            <w:tcW w:w="1980" w:type="dxa"/>
            <w:tcBorders>
              <w:top w:val="double" w:sz="4" w:space="0" w:color="auto"/>
            </w:tcBorders>
            <w:vAlign w:val="center"/>
          </w:tcPr>
          <w:p w14:paraId="09497F00" w14:textId="77777777" w:rsidR="00BC794F" w:rsidRPr="00B916EC" w:rsidRDefault="00BC794F" w:rsidP="00FE07DA">
            <w:pPr>
              <w:pStyle w:val="TAC"/>
              <w:rPr>
                <w:lang w:val="en-US"/>
              </w:rPr>
            </w:pPr>
            <w:r>
              <w:rPr>
                <w:lang w:val="en-US"/>
              </w:rPr>
              <w:t>2</w:t>
            </w:r>
          </w:p>
        </w:tc>
        <w:tc>
          <w:tcPr>
            <w:tcW w:w="1728" w:type="dxa"/>
            <w:tcBorders>
              <w:top w:val="double" w:sz="4" w:space="0" w:color="auto"/>
            </w:tcBorders>
            <w:vAlign w:val="center"/>
          </w:tcPr>
          <w:p w14:paraId="6399CA69" w14:textId="77777777" w:rsidR="00BC794F" w:rsidRPr="00B916EC" w:rsidRDefault="00BC794F" w:rsidP="00FE07DA">
            <w:pPr>
              <w:pStyle w:val="TAC"/>
              <w:rPr>
                <w:lang w:val="en-US"/>
              </w:rPr>
            </w:pPr>
            <w:r>
              <w:rPr>
                <w:lang w:val="en-US"/>
              </w:rPr>
              <w:t>0</w:t>
            </w:r>
          </w:p>
        </w:tc>
      </w:tr>
      <w:tr w:rsidR="00BC794F" w:rsidRPr="00B916EC" w14:paraId="10E2AACC" w14:textId="77777777" w:rsidTr="00FE07DA">
        <w:trPr>
          <w:cantSplit/>
        </w:trPr>
        <w:tc>
          <w:tcPr>
            <w:tcW w:w="803" w:type="dxa"/>
            <w:tcBorders>
              <w:right w:val="double" w:sz="4" w:space="0" w:color="auto"/>
            </w:tcBorders>
            <w:shd w:val="clear" w:color="auto" w:fill="auto"/>
            <w:vAlign w:val="center"/>
          </w:tcPr>
          <w:p w14:paraId="29B36C45" w14:textId="77777777" w:rsidR="00BC794F" w:rsidRPr="00B916EC" w:rsidRDefault="00BC794F" w:rsidP="00FE07DA">
            <w:pPr>
              <w:pStyle w:val="TAC"/>
              <w:rPr>
                <w:lang w:val="en-US"/>
              </w:rPr>
            </w:pPr>
            <w:r w:rsidRPr="00B916EC">
              <w:rPr>
                <w:lang w:val="en-US"/>
              </w:rPr>
              <w:t>1</w:t>
            </w:r>
          </w:p>
        </w:tc>
        <w:tc>
          <w:tcPr>
            <w:tcW w:w="3157" w:type="dxa"/>
            <w:tcBorders>
              <w:left w:val="double" w:sz="4" w:space="0" w:color="auto"/>
            </w:tcBorders>
            <w:vAlign w:val="center"/>
          </w:tcPr>
          <w:p w14:paraId="634D4B56" w14:textId="77777777" w:rsidR="00BC794F" w:rsidRPr="00B916EC" w:rsidRDefault="00BC794F" w:rsidP="00FE07DA">
            <w:pPr>
              <w:pStyle w:val="TAC"/>
              <w:rPr>
                <w:lang w:val="en-US"/>
              </w:rPr>
            </w:pPr>
            <w:r w:rsidRPr="00B916EC">
              <w:rPr>
                <w:rFonts w:cs="Arial"/>
                <w:kern w:val="24"/>
                <w:szCs w:val="18"/>
              </w:rPr>
              <w:t>1</w:t>
            </w:r>
          </w:p>
        </w:tc>
        <w:tc>
          <w:tcPr>
            <w:tcW w:w="1620" w:type="dxa"/>
            <w:vAlign w:val="center"/>
          </w:tcPr>
          <w:p w14:paraId="27500BE5" w14:textId="77777777" w:rsidR="00BC794F" w:rsidRPr="00B916EC" w:rsidRDefault="00BC794F" w:rsidP="00FE07DA">
            <w:pPr>
              <w:pStyle w:val="TAC"/>
              <w:rPr>
                <w:lang w:val="en-US"/>
              </w:rPr>
            </w:pPr>
            <w:r>
              <w:rPr>
                <w:rFonts w:cs="Arial"/>
                <w:kern w:val="24"/>
                <w:szCs w:val="18"/>
              </w:rPr>
              <w:t>24</w:t>
            </w:r>
          </w:p>
        </w:tc>
        <w:tc>
          <w:tcPr>
            <w:tcW w:w="1980" w:type="dxa"/>
            <w:vAlign w:val="center"/>
          </w:tcPr>
          <w:p w14:paraId="44E50803" w14:textId="77777777" w:rsidR="00BC794F" w:rsidRPr="00B916EC" w:rsidRDefault="00BC794F" w:rsidP="00FE07DA">
            <w:pPr>
              <w:pStyle w:val="TAC"/>
              <w:rPr>
                <w:lang w:val="en-US"/>
              </w:rPr>
            </w:pPr>
            <w:r>
              <w:rPr>
                <w:lang w:val="en-US"/>
              </w:rPr>
              <w:t>2</w:t>
            </w:r>
          </w:p>
        </w:tc>
        <w:tc>
          <w:tcPr>
            <w:tcW w:w="1728" w:type="dxa"/>
            <w:vAlign w:val="center"/>
          </w:tcPr>
          <w:p w14:paraId="2171414B" w14:textId="77777777" w:rsidR="00BC794F" w:rsidRPr="00B916EC" w:rsidRDefault="00BC794F" w:rsidP="00FE07DA">
            <w:pPr>
              <w:pStyle w:val="TAC"/>
              <w:rPr>
                <w:lang w:val="en-US"/>
              </w:rPr>
            </w:pPr>
            <w:r>
              <w:rPr>
                <w:lang w:val="en-US"/>
              </w:rPr>
              <w:t>4</w:t>
            </w:r>
          </w:p>
        </w:tc>
      </w:tr>
      <w:tr w:rsidR="00BC794F" w:rsidRPr="00B916EC" w14:paraId="7DA96B3D" w14:textId="77777777" w:rsidTr="00FE07DA">
        <w:trPr>
          <w:cantSplit/>
        </w:trPr>
        <w:tc>
          <w:tcPr>
            <w:tcW w:w="803" w:type="dxa"/>
            <w:tcBorders>
              <w:right w:val="double" w:sz="4" w:space="0" w:color="auto"/>
            </w:tcBorders>
            <w:shd w:val="clear" w:color="auto" w:fill="auto"/>
            <w:vAlign w:val="center"/>
          </w:tcPr>
          <w:p w14:paraId="62BF11B3" w14:textId="77777777" w:rsidR="00BC794F" w:rsidRPr="00B916EC" w:rsidRDefault="00BC794F" w:rsidP="00FE07DA">
            <w:pPr>
              <w:pStyle w:val="TAC"/>
            </w:pPr>
            <w:r w:rsidRPr="00B916EC">
              <w:t>2</w:t>
            </w:r>
          </w:p>
        </w:tc>
        <w:tc>
          <w:tcPr>
            <w:tcW w:w="3157" w:type="dxa"/>
            <w:tcBorders>
              <w:left w:val="double" w:sz="4" w:space="0" w:color="auto"/>
            </w:tcBorders>
            <w:vAlign w:val="center"/>
          </w:tcPr>
          <w:p w14:paraId="5716E5B4" w14:textId="77777777" w:rsidR="00BC794F" w:rsidRPr="00B916EC" w:rsidRDefault="00BC794F" w:rsidP="00FE07DA">
            <w:pPr>
              <w:pStyle w:val="TAC"/>
            </w:pPr>
            <w:r w:rsidRPr="00B916EC">
              <w:rPr>
                <w:rFonts w:cs="Arial"/>
                <w:kern w:val="24"/>
                <w:szCs w:val="18"/>
              </w:rPr>
              <w:t>1</w:t>
            </w:r>
          </w:p>
        </w:tc>
        <w:tc>
          <w:tcPr>
            <w:tcW w:w="1620" w:type="dxa"/>
            <w:vAlign w:val="center"/>
          </w:tcPr>
          <w:p w14:paraId="247716E4" w14:textId="77777777" w:rsidR="00BC794F" w:rsidRPr="00B916EC" w:rsidRDefault="00BC794F" w:rsidP="00FE07DA">
            <w:pPr>
              <w:pStyle w:val="TAC"/>
            </w:pPr>
            <w:r>
              <w:rPr>
                <w:rFonts w:cs="Arial"/>
                <w:kern w:val="24"/>
                <w:szCs w:val="18"/>
              </w:rPr>
              <w:t>24</w:t>
            </w:r>
          </w:p>
        </w:tc>
        <w:tc>
          <w:tcPr>
            <w:tcW w:w="1980" w:type="dxa"/>
            <w:vAlign w:val="center"/>
          </w:tcPr>
          <w:p w14:paraId="07B5DCE8" w14:textId="77777777" w:rsidR="00BC794F" w:rsidRPr="00B916EC" w:rsidRDefault="00BC794F" w:rsidP="00FE07DA">
            <w:pPr>
              <w:pStyle w:val="TAC"/>
            </w:pPr>
            <w:r>
              <w:t>3</w:t>
            </w:r>
          </w:p>
        </w:tc>
        <w:tc>
          <w:tcPr>
            <w:tcW w:w="1728" w:type="dxa"/>
            <w:vAlign w:val="center"/>
          </w:tcPr>
          <w:p w14:paraId="66E86CF9" w14:textId="77777777" w:rsidR="00BC794F" w:rsidRPr="00B916EC" w:rsidRDefault="00BC794F" w:rsidP="00FE07DA">
            <w:pPr>
              <w:pStyle w:val="TAC"/>
            </w:pPr>
            <w:r>
              <w:t>0</w:t>
            </w:r>
          </w:p>
        </w:tc>
      </w:tr>
      <w:tr w:rsidR="00BC794F" w:rsidRPr="00B916EC" w14:paraId="05514FDE" w14:textId="77777777" w:rsidTr="00FE07DA">
        <w:trPr>
          <w:cantSplit/>
        </w:trPr>
        <w:tc>
          <w:tcPr>
            <w:tcW w:w="803" w:type="dxa"/>
            <w:tcBorders>
              <w:right w:val="double" w:sz="4" w:space="0" w:color="auto"/>
            </w:tcBorders>
            <w:shd w:val="clear" w:color="auto" w:fill="auto"/>
            <w:vAlign w:val="center"/>
          </w:tcPr>
          <w:p w14:paraId="6783FABE" w14:textId="77777777" w:rsidR="00BC794F" w:rsidRPr="00B916EC" w:rsidRDefault="00BC794F" w:rsidP="00FE07DA">
            <w:pPr>
              <w:pStyle w:val="TAC"/>
            </w:pPr>
            <w:r w:rsidRPr="00B916EC">
              <w:t>3</w:t>
            </w:r>
          </w:p>
        </w:tc>
        <w:tc>
          <w:tcPr>
            <w:tcW w:w="3157" w:type="dxa"/>
            <w:tcBorders>
              <w:left w:val="double" w:sz="4" w:space="0" w:color="auto"/>
            </w:tcBorders>
            <w:vAlign w:val="center"/>
          </w:tcPr>
          <w:p w14:paraId="4D374754" w14:textId="77777777" w:rsidR="00BC794F" w:rsidRPr="00B916EC" w:rsidRDefault="00BC794F" w:rsidP="00FE07DA">
            <w:pPr>
              <w:pStyle w:val="TAC"/>
            </w:pPr>
            <w:r w:rsidRPr="00B916EC">
              <w:rPr>
                <w:rFonts w:cs="Arial"/>
                <w:kern w:val="24"/>
                <w:szCs w:val="18"/>
              </w:rPr>
              <w:t>1</w:t>
            </w:r>
          </w:p>
        </w:tc>
        <w:tc>
          <w:tcPr>
            <w:tcW w:w="1620" w:type="dxa"/>
            <w:vAlign w:val="center"/>
          </w:tcPr>
          <w:p w14:paraId="5CB84877" w14:textId="77777777" w:rsidR="00BC794F" w:rsidRPr="00B916EC" w:rsidRDefault="00BC794F" w:rsidP="00FE07DA">
            <w:pPr>
              <w:pStyle w:val="TAC"/>
            </w:pPr>
            <w:r>
              <w:rPr>
                <w:rFonts w:cs="Arial"/>
                <w:kern w:val="24"/>
                <w:szCs w:val="18"/>
              </w:rPr>
              <w:t>24</w:t>
            </w:r>
          </w:p>
        </w:tc>
        <w:tc>
          <w:tcPr>
            <w:tcW w:w="1980" w:type="dxa"/>
            <w:vAlign w:val="center"/>
          </w:tcPr>
          <w:p w14:paraId="24C0ED1A" w14:textId="77777777" w:rsidR="00BC794F" w:rsidRPr="00B916EC" w:rsidRDefault="00BC794F" w:rsidP="00FE07DA">
            <w:pPr>
              <w:pStyle w:val="TAC"/>
            </w:pPr>
            <w:r>
              <w:t>3</w:t>
            </w:r>
          </w:p>
        </w:tc>
        <w:tc>
          <w:tcPr>
            <w:tcW w:w="1728" w:type="dxa"/>
            <w:vAlign w:val="center"/>
          </w:tcPr>
          <w:p w14:paraId="1854B931" w14:textId="77777777" w:rsidR="00BC794F" w:rsidRPr="00B916EC" w:rsidRDefault="00BC794F" w:rsidP="00FE07DA">
            <w:pPr>
              <w:pStyle w:val="TAC"/>
            </w:pPr>
            <w:r>
              <w:t>4</w:t>
            </w:r>
          </w:p>
        </w:tc>
      </w:tr>
      <w:tr w:rsidR="00BC794F" w:rsidRPr="00B916EC" w14:paraId="2EBB1F4F" w14:textId="77777777" w:rsidTr="00FE07DA">
        <w:trPr>
          <w:cantSplit/>
        </w:trPr>
        <w:tc>
          <w:tcPr>
            <w:tcW w:w="803" w:type="dxa"/>
            <w:tcBorders>
              <w:right w:val="double" w:sz="4" w:space="0" w:color="auto"/>
            </w:tcBorders>
            <w:shd w:val="clear" w:color="auto" w:fill="auto"/>
            <w:vAlign w:val="center"/>
          </w:tcPr>
          <w:p w14:paraId="1B719A91" w14:textId="77777777" w:rsidR="00BC794F" w:rsidRPr="00B916EC" w:rsidRDefault="00BC794F" w:rsidP="00FE07DA">
            <w:pPr>
              <w:pStyle w:val="TAC"/>
            </w:pPr>
            <w:r w:rsidRPr="00B916EC">
              <w:t>4</w:t>
            </w:r>
          </w:p>
        </w:tc>
        <w:tc>
          <w:tcPr>
            <w:tcW w:w="3157" w:type="dxa"/>
            <w:tcBorders>
              <w:left w:val="double" w:sz="4" w:space="0" w:color="auto"/>
            </w:tcBorders>
            <w:vAlign w:val="center"/>
          </w:tcPr>
          <w:p w14:paraId="704378E0" w14:textId="77777777" w:rsidR="00BC794F" w:rsidRPr="00B916EC" w:rsidRDefault="00BC794F" w:rsidP="00FE07DA">
            <w:pPr>
              <w:pStyle w:val="TAC"/>
            </w:pPr>
            <w:r w:rsidRPr="00B916EC">
              <w:rPr>
                <w:rFonts w:cs="Arial"/>
                <w:kern w:val="24"/>
                <w:szCs w:val="18"/>
              </w:rPr>
              <w:t>1</w:t>
            </w:r>
          </w:p>
        </w:tc>
        <w:tc>
          <w:tcPr>
            <w:tcW w:w="1620" w:type="dxa"/>
            <w:vAlign w:val="center"/>
          </w:tcPr>
          <w:p w14:paraId="67811F29" w14:textId="77777777" w:rsidR="00BC794F" w:rsidRPr="00B916EC" w:rsidRDefault="00BC794F" w:rsidP="00FE07DA">
            <w:pPr>
              <w:pStyle w:val="TAC"/>
            </w:pPr>
            <w:r>
              <w:rPr>
                <w:rFonts w:cs="Arial"/>
                <w:kern w:val="24"/>
                <w:szCs w:val="18"/>
              </w:rPr>
              <w:t>48</w:t>
            </w:r>
          </w:p>
        </w:tc>
        <w:tc>
          <w:tcPr>
            <w:tcW w:w="1980" w:type="dxa"/>
            <w:vAlign w:val="center"/>
          </w:tcPr>
          <w:p w14:paraId="5F95566A" w14:textId="77777777" w:rsidR="00BC794F" w:rsidRPr="00B916EC" w:rsidRDefault="00BC794F" w:rsidP="00FE07DA">
            <w:pPr>
              <w:pStyle w:val="TAC"/>
            </w:pPr>
            <w:r>
              <w:t>1</w:t>
            </w:r>
          </w:p>
        </w:tc>
        <w:tc>
          <w:tcPr>
            <w:tcW w:w="1728" w:type="dxa"/>
            <w:vAlign w:val="center"/>
          </w:tcPr>
          <w:p w14:paraId="7F20F745" w14:textId="77777777" w:rsidR="00BC794F" w:rsidRPr="00B916EC" w:rsidRDefault="00BC794F" w:rsidP="00FE07DA">
            <w:pPr>
              <w:pStyle w:val="TAC"/>
            </w:pPr>
            <w:r>
              <w:t>0</w:t>
            </w:r>
          </w:p>
        </w:tc>
      </w:tr>
      <w:tr w:rsidR="00BC794F" w:rsidRPr="00B916EC" w14:paraId="2549BED8" w14:textId="77777777" w:rsidTr="00FE07DA">
        <w:trPr>
          <w:cantSplit/>
        </w:trPr>
        <w:tc>
          <w:tcPr>
            <w:tcW w:w="803" w:type="dxa"/>
            <w:tcBorders>
              <w:right w:val="double" w:sz="4" w:space="0" w:color="auto"/>
            </w:tcBorders>
            <w:shd w:val="clear" w:color="auto" w:fill="auto"/>
            <w:vAlign w:val="center"/>
          </w:tcPr>
          <w:p w14:paraId="5BACDC4F" w14:textId="77777777" w:rsidR="00BC794F" w:rsidRPr="00B916EC" w:rsidRDefault="00BC794F" w:rsidP="00FE07DA">
            <w:pPr>
              <w:pStyle w:val="TAC"/>
            </w:pPr>
            <w:r w:rsidRPr="00B916EC">
              <w:t>5</w:t>
            </w:r>
          </w:p>
        </w:tc>
        <w:tc>
          <w:tcPr>
            <w:tcW w:w="3157" w:type="dxa"/>
            <w:tcBorders>
              <w:left w:val="double" w:sz="4" w:space="0" w:color="auto"/>
            </w:tcBorders>
            <w:vAlign w:val="center"/>
          </w:tcPr>
          <w:p w14:paraId="118CAEE6" w14:textId="77777777" w:rsidR="00BC794F" w:rsidRPr="00B916EC" w:rsidRDefault="00BC794F" w:rsidP="00FE07DA">
            <w:pPr>
              <w:pStyle w:val="TAC"/>
            </w:pPr>
            <w:r w:rsidRPr="00B916EC">
              <w:rPr>
                <w:rFonts w:cs="Arial"/>
                <w:kern w:val="24"/>
                <w:szCs w:val="18"/>
              </w:rPr>
              <w:t>1</w:t>
            </w:r>
          </w:p>
        </w:tc>
        <w:tc>
          <w:tcPr>
            <w:tcW w:w="1620" w:type="dxa"/>
            <w:vAlign w:val="center"/>
          </w:tcPr>
          <w:p w14:paraId="5D1E6C1E" w14:textId="77777777" w:rsidR="00BC794F" w:rsidRPr="00B916EC" w:rsidRDefault="00BC794F" w:rsidP="00FE07DA">
            <w:pPr>
              <w:pStyle w:val="TAC"/>
            </w:pPr>
            <w:r>
              <w:t>48</w:t>
            </w:r>
          </w:p>
        </w:tc>
        <w:tc>
          <w:tcPr>
            <w:tcW w:w="1980" w:type="dxa"/>
            <w:vAlign w:val="center"/>
          </w:tcPr>
          <w:p w14:paraId="7326AE6F" w14:textId="77777777" w:rsidR="00BC794F" w:rsidRPr="00B916EC" w:rsidRDefault="00BC794F" w:rsidP="00FE07DA">
            <w:pPr>
              <w:pStyle w:val="TAC"/>
            </w:pPr>
            <w:r>
              <w:t>1</w:t>
            </w:r>
          </w:p>
        </w:tc>
        <w:tc>
          <w:tcPr>
            <w:tcW w:w="1728" w:type="dxa"/>
            <w:vAlign w:val="center"/>
          </w:tcPr>
          <w:p w14:paraId="2DFEDBFA" w14:textId="77777777" w:rsidR="00BC794F" w:rsidRPr="00B916EC" w:rsidRDefault="00BC794F" w:rsidP="00FE07DA">
            <w:pPr>
              <w:pStyle w:val="TAC"/>
            </w:pPr>
            <w:r>
              <w:t>28</w:t>
            </w:r>
          </w:p>
        </w:tc>
      </w:tr>
      <w:tr w:rsidR="00BC794F" w:rsidRPr="00B916EC" w14:paraId="1F0F6C19" w14:textId="77777777" w:rsidTr="00FE07DA">
        <w:trPr>
          <w:cantSplit/>
        </w:trPr>
        <w:tc>
          <w:tcPr>
            <w:tcW w:w="803" w:type="dxa"/>
            <w:tcBorders>
              <w:right w:val="double" w:sz="4" w:space="0" w:color="auto"/>
            </w:tcBorders>
            <w:shd w:val="clear" w:color="auto" w:fill="auto"/>
            <w:vAlign w:val="center"/>
          </w:tcPr>
          <w:p w14:paraId="192B20B7" w14:textId="77777777" w:rsidR="00BC794F" w:rsidRPr="00B916EC" w:rsidRDefault="00BC794F" w:rsidP="00FE07DA">
            <w:pPr>
              <w:pStyle w:val="TAC"/>
            </w:pPr>
            <w:r w:rsidRPr="00B916EC">
              <w:t>6</w:t>
            </w:r>
          </w:p>
        </w:tc>
        <w:tc>
          <w:tcPr>
            <w:tcW w:w="3157" w:type="dxa"/>
            <w:tcBorders>
              <w:left w:val="double" w:sz="4" w:space="0" w:color="auto"/>
            </w:tcBorders>
            <w:vAlign w:val="center"/>
          </w:tcPr>
          <w:p w14:paraId="2692C175" w14:textId="77777777" w:rsidR="00BC794F" w:rsidRPr="00B916EC" w:rsidRDefault="00BC794F" w:rsidP="00FE07DA">
            <w:pPr>
              <w:pStyle w:val="TAC"/>
            </w:pPr>
            <w:r w:rsidRPr="00B916EC">
              <w:rPr>
                <w:rFonts w:cs="Arial"/>
                <w:kern w:val="24"/>
                <w:szCs w:val="18"/>
              </w:rPr>
              <w:t>1</w:t>
            </w:r>
          </w:p>
        </w:tc>
        <w:tc>
          <w:tcPr>
            <w:tcW w:w="1620" w:type="dxa"/>
            <w:vAlign w:val="center"/>
          </w:tcPr>
          <w:p w14:paraId="67146916" w14:textId="77777777" w:rsidR="00BC794F" w:rsidRPr="00B916EC" w:rsidRDefault="00BC794F" w:rsidP="00FE07DA">
            <w:pPr>
              <w:pStyle w:val="TAC"/>
            </w:pPr>
            <w:r>
              <w:rPr>
                <w:rFonts w:cs="Arial"/>
                <w:kern w:val="24"/>
                <w:szCs w:val="18"/>
              </w:rPr>
              <w:t>48</w:t>
            </w:r>
          </w:p>
        </w:tc>
        <w:tc>
          <w:tcPr>
            <w:tcW w:w="1980" w:type="dxa"/>
            <w:vAlign w:val="center"/>
          </w:tcPr>
          <w:p w14:paraId="15106B0E" w14:textId="77777777" w:rsidR="00BC794F" w:rsidRPr="00B916EC" w:rsidRDefault="00BC794F" w:rsidP="00FE07DA">
            <w:pPr>
              <w:pStyle w:val="TAC"/>
            </w:pPr>
            <w:r>
              <w:t>2</w:t>
            </w:r>
          </w:p>
        </w:tc>
        <w:tc>
          <w:tcPr>
            <w:tcW w:w="1728" w:type="dxa"/>
            <w:vAlign w:val="center"/>
          </w:tcPr>
          <w:p w14:paraId="31E7A771" w14:textId="77777777" w:rsidR="00BC794F" w:rsidRPr="00B916EC" w:rsidRDefault="00BC794F" w:rsidP="00FE07DA">
            <w:pPr>
              <w:pStyle w:val="TAC"/>
            </w:pPr>
            <w:r>
              <w:t>0</w:t>
            </w:r>
          </w:p>
        </w:tc>
      </w:tr>
      <w:tr w:rsidR="00BC794F" w:rsidRPr="00B916EC" w14:paraId="27848973" w14:textId="77777777" w:rsidTr="00FE07DA">
        <w:trPr>
          <w:cantSplit/>
        </w:trPr>
        <w:tc>
          <w:tcPr>
            <w:tcW w:w="803" w:type="dxa"/>
            <w:tcBorders>
              <w:right w:val="double" w:sz="4" w:space="0" w:color="auto"/>
            </w:tcBorders>
            <w:shd w:val="clear" w:color="auto" w:fill="auto"/>
            <w:vAlign w:val="center"/>
          </w:tcPr>
          <w:p w14:paraId="2DB2D0F4" w14:textId="77777777" w:rsidR="00BC794F" w:rsidRPr="00B916EC" w:rsidRDefault="00BC794F" w:rsidP="00FE07DA">
            <w:pPr>
              <w:pStyle w:val="TAC"/>
            </w:pPr>
            <w:r w:rsidRPr="00B916EC">
              <w:t>7</w:t>
            </w:r>
          </w:p>
        </w:tc>
        <w:tc>
          <w:tcPr>
            <w:tcW w:w="3157" w:type="dxa"/>
            <w:tcBorders>
              <w:left w:val="double" w:sz="4" w:space="0" w:color="auto"/>
            </w:tcBorders>
            <w:vAlign w:val="center"/>
          </w:tcPr>
          <w:p w14:paraId="4006DA43" w14:textId="77777777" w:rsidR="00BC794F" w:rsidRPr="00B916EC" w:rsidRDefault="00BC794F" w:rsidP="00FE07DA">
            <w:pPr>
              <w:pStyle w:val="TAC"/>
            </w:pPr>
            <w:r w:rsidRPr="00B916EC">
              <w:rPr>
                <w:rFonts w:cs="Arial"/>
                <w:kern w:val="24"/>
                <w:szCs w:val="18"/>
              </w:rPr>
              <w:t>1</w:t>
            </w:r>
          </w:p>
        </w:tc>
        <w:tc>
          <w:tcPr>
            <w:tcW w:w="1620" w:type="dxa"/>
            <w:vAlign w:val="center"/>
          </w:tcPr>
          <w:p w14:paraId="61F009F7" w14:textId="77777777" w:rsidR="00BC794F" w:rsidRPr="00B916EC" w:rsidRDefault="00BC794F" w:rsidP="00FE07DA">
            <w:pPr>
              <w:pStyle w:val="TAC"/>
            </w:pPr>
            <w:r>
              <w:rPr>
                <w:rFonts w:cs="Arial"/>
                <w:kern w:val="24"/>
                <w:szCs w:val="18"/>
              </w:rPr>
              <w:t>48</w:t>
            </w:r>
          </w:p>
        </w:tc>
        <w:tc>
          <w:tcPr>
            <w:tcW w:w="1980" w:type="dxa"/>
            <w:vAlign w:val="center"/>
          </w:tcPr>
          <w:p w14:paraId="50BB2976" w14:textId="77777777" w:rsidR="00BC794F" w:rsidRPr="00B916EC" w:rsidRDefault="00BC794F" w:rsidP="00FE07DA">
            <w:pPr>
              <w:pStyle w:val="TAC"/>
            </w:pPr>
            <w:r>
              <w:t>2</w:t>
            </w:r>
          </w:p>
        </w:tc>
        <w:tc>
          <w:tcPr>
            <w:tcW w:w="1728" w:type="dxa"/>
            <w:vAlign w:val="center"/>
          </w:tcPr>
          <w:p w14:paraId="373280D0" w14:textId="77777777" w:rsidR="00BC794F" w:rsidRPr="00B916EC" w:rsidRDefault="00BC794F" w:rsidP="00FE07DA">
            <w:pPr>
              <w:pStyle w:val="TAC"/>
            </w:pPr>
            <w:r>
              <w:t>28</w:t>
            </w:r>
          </w:p>
        </w:tc>
      </w:tr>
      <w:tr w:rsidR="00BC794F" w:rsidRPr="00B916EC" w14:paraId="0EC483CC" w14:textId="77777777" w:rsidTr="00FE07DA">
        <w:trPr>
          <w:cantSplit/>
        </w:trPr>
        <w:tc>
          <w:tcPr>
            <w:tcW w:w="803" w:type="dxa"/>
            <w:tcBorders>
              <w:right w:val="double" w:sz="4" w:space="0" w:color="auto"/>
            </w:tcBorders>
            <w:shd w:val="clear" w:color="auto" w:fill="auto"/>
            <w:vAlign w:val="center"/>
          </w:tcPr>
          <w:p w14:paraId="2299CB1C" w14:textId="77777777" w:rsidR="00BC794F" w:rsidRPr="00B916EC" w:rsidRDefault="00BC794F" w:rsidP="00FE07DA">
            <w:pPr>
              <w:pStyle w:val="TAC"/>
            </w:pPr>
            <w:r>
              <w:t>8</w:t>
            </w:r>
          </w:p>
        </w:tc>
        <w:tc>
          <w:tcPr>
            <w:tcW w:w="3157" w:type="dxa"/>
            <w:tcBorders>
              <w:left w:val="double" w:sz="4" w:space="0" w:color="auto"/>
            </w:tcBorders>
            <w:vAlign w:val="center"/>
          </w:tcPr>
          <w:p w14:paraId="0111ABD8" w14:textId="77777777" w:rsidR="00BC794F" w:rsidRPr="00B916EC" w:rsidRDefault="00BC794F" w:rsidP="00FE07DA">
            <w:pPr>
              <w:pStyle w:val="TAC"/>
              <w:rPr>
                <w:rFonts w:cs="Arial"/>
                <w:kern w:val="24"/>
                <w:szCs w:val="18"/>
              </w:rPr>
            </w:pPr>
            <w:r w:rsidRPr="00B916EC">
              <w:rPr>
                <w:rFonts w:cs="Arial"/>
                <w:kern w:val="24"/>
                <w:szCs w:val="18"/>
              </w:rPr>
              <w:t>1</w:t>
            </w:r>
          </w:p>
        </w:tc>
        <w:tc>
          <w:tcPr>
            <w:tcW w:w="1620" w:type="dxa"/>
            <w:vAlign w:val="center"/>
          </w:tcPr>
          <w:p w14:paraId="1DFA3990" w14:textId="77777777" w:rsidR="00BC794F" w:rsidRDefault="00BC794F" w:rsidP="00FE07DA">
            <w:pPr>
              <w:pStyle w:val="TAC"/>
              <w:rPr>
                <w:rFonts w:cs="Arial"/>
                <w:kern w:val="24"/>
                <w:szCs w:val="18"/>
              </w:rPr>
            </w:pPr>
            <w:r>
              <w:rPr>
                <w:rFonts w:cs="Arial"/>
                <w:kern w:val="24"/>
                <w:szCs w:val="18"/>
              </w:rPr>
              <w:t>48</w:t>
            </w:r>
          </w:p>
        </w:tc>
        <w:tc>
          <w:tcPr>
            <w:tcW w:w="1980" w:type="dxa"/>
            <w:vAlign w:val="center"/>
          </w:tcPr>
          <w:p w14:paraId="237F16B7" w14:textId="77777777" w:rsidR="00BC794F" w:rsidRDefault="00BC794F" w:rsidP="00FE07DA">
            <w:pPr>
              <w:pStyle w:val="TAC"/>
            </w:pPr>
            <w:r>
              <w:t>3</w:t>
            </w:r>
          </w:p>
        </w:tc>
        <w:tc>
          <w:tcPr>
            <w:tcW w:w="1728" w:type="dxa"/>
            <w:vAlign w:val="center"/>
          </w:tcPr>
          <w:p w14:paraId="5D9741CF" w14:textId="77777777" w:rsidR="00BC794F" w:rsidRDefault="00BC794F" w:rsidP="00FE07DA">
            <w:pPr>
              <w:pStyle w:val="TAC"/>
            </w:pPr>
            <w:r>
              <w:t>0</w:t>
            </w:r>
          </w:p>
        </w:tc>
      </w:tr>
      <w:tr w:rsidR="00BC794F" w:rsidRPr="00B916EC" w14:paraId="121416AA" w14:textId="77777777" w:rsidTr="00FE07DA">
        <w:trPr>
          <w:cantSplit/>
        </w:trPr>
        <w:tc>
          <w:tcPr>
            <w:tcW w:w="803" w:type="dxa"/>
            <w:tcBorders>
              <w:right w:val="double" w:sz="4" w:space="0" w:color="auto"/>
            </w:tcBorders>
            <w:shd w:val="clear" w:color="auto" w:fill="auto"/>
            <w:vAlign w:val="center"/>
          </w:tcPr>
          <w:p w14:paraId="2400DFF5" w14:textId="77777777" w:rsidR="00BC794F" w:rsidRPr="00B916EC" w:rsidRDefault="00BC794F" w:rsidP="00FE07DA">
            <w:pPr>
              <w:pStyle w:val="TAC"/>
            </w:pPr>
            <w:r>
              <w:t>9</w:t>
            </w:r>
          </w:p>
        </w:tc>
        <w:tc>
          <w:tcPr>
            <w:tcW w:w="3157" w:type="dxa"/>
            <w:tcBorders>
              <w:left w:val="double" w:sz="4" w:space="0" w:color="auto"/>
            </w:tcBorders>
            <w:vAlign w:val="center"/>
          </w:tcPr>
          <w:p w14:paraId="509C9258" w14:textId="77777777" w:rsidR="00BC794F" w:rsidRPr="00B916EC" w:rsidRDefault="00BC794F" w:rsidP="00FE07DA">
            <w:pPr>
              <w:pStyle w:val="TAC"/>
              <w:rPr>
                <w:rFonts w:cs="Arial"/>
                <w:kern w:val="24"/>
                <w:szCs w:val="18"/>
              </w:rPr>
            </w:pPr>
            <w:r w:rsidRPr="00B916EC">
              <w:rPr>
                <w:rFonts w:cs="Arial"/>
                <w:kern w:val="24"/>
                <w:szCs w:val="18"/>
              </w:rPr>
              <w:t>1</w:t>
            </w:r>
          </w:p>
        </w:tc>
        <w:tc>
          <w:tcPr>
            <w:tcW w:w="1620" w:type="dxa"/>
            <w:vAlign w:val="center"/>
          </w:tcPr>
          <w:p w14:paraId="21A719BB" w14:textId="77777777" w:rsidR="00BC794F" w:rsidRDefault="00BC794F" w:rsidP="00FE07DA">
            <w:pPr>
              <w:pStyle w:val="TAC"/>
              <w:rPr>
                <w:rFonts w:cs="Arial"/>
                <w:kern w:val="24"/>
                <w:szCs w:val="18"/>
              </w:rPr>
            </w:pPr>
            <w:r>
              <w:rPr>
                <w:rFonts w:cs="Arial"/>
                <w:kern w:val="24"/>
                <w:szCs w:val="18"/>
              </w:rPr>
              <w:t>48</w:t>
            </w:r>
          </w:p>
        </w:tc>
        <w:tc>
          <w:tcPr>
            <w:tcW w:w="1980" w:type="dxa"/>
            <w:vAlign w:val="center"/>
          </w:tcPr>
          <w:p w14:paraId="2292D3A8" w14:textId="77777777" w:rsidR="00BC794F" w:rsidRDefault="00BC794F" w:rsidP="00FE07DA">
            <w:pPr>
              <w:pStyle w:val="TAC"/>
            </w:pPr>
            <w:r>
              <w:t>3</w:t>
            </w:r>
          </w:p>
        </w:tc>
        <w:tc>
          <w:tcPr>
            <w:tcW w:w="1728" w:type="dxa"/>
            <w:vAlign w:val="center"/>
          </w:tcPr>
          <w:p w14:paraId="75CE9AC3" w14:textId="77777777" w:rsidR="00BC794F" w:rsidRDefault="00BC794F" w:rsidP="00FE07DA">
            <w:pPr>
              <w:pStyle w:val="TAC"/>
            </w:pPr>
            <w:r>
              <w:t>28</w:t>
            </w:r>
          </w:p>
        </w:tc>
      </w:tr>
      <w:tr w:rsidR="00BC794F" w:rsidRPr="00B916EC" w14:paraId="5D74DD8D" w14:textId="77777777" w:rsidTr="00FE07DA">
        <w:trPr>
          <w:cantSplit/>
        </w:trPr>
        <w:tc>
          <w:tcPr>
            <w:tcW w:w="803" w:type="dxa"/>
            <w:tcBorders>
              <w:right w:val="double" w:sz="4" w:space="0" w:color="auto"/>
            </w:tcBorders>
            <w:shd w:val="clear" w:color="auto" w:fill="auto"/>
            <w:vAlign w:val="center"/>
          </w:tcPr>
          <w:p w14:paraId="27B639EC" w14:textId="77777777" w:rsidR="00BC794F" w:rsidRPr="00B916EC" w:rsidRDefault="00BC794F" w:rsidP="00FE07DA">
            <w:pPr>
              <w:pStyle w:val="TAC"/>
            </w:pPr>
            <w:r w:rsidRPr="00B916EC">
              <w:t>10</w:t>
            </w:r>
          </w:p>
        </w:tc>
        <w:tc>
          <w:tcPr>
            <w:tcW w:w="8485" w:type="dxa"/>
            <w:gridSpan w:val="4"/>
            <w:tcBorders>
              <w:left w:val="double" w:sz="4" w:space="0" w:color="auto"/>
            </w:tcBorders>
            <w:vAlign w:val="center"/>
          </w:tcPr>
          <w:p w14:paraId="14D8D520" w14:textId="77777777" w:rsidR="00BC794F" w:rsidRPr="00B916EC" w:rsidRDefault="00BC794F" w:rsidP="00FE07DA">
            <w:pPr>
              <w:pStyle w:val="TAC"/>
            </w:pPr>
            <w:r w:rsidRPr="00B916EC">
              <w:rPr>
                <w:rFonts w:cs="Arial"/>
                <w:kern w:val="24"/>
                <w:szCs w:val="18"/>
              </w:rPr>
              <w:t>Reserved</w:t>
            </w:r>
          </w:p>
        </w:tc>
      </w:tr>
      <w:tr w:rsidR="00BC794F" w:rsidRPr="00B916EC" w14:paraId="75D54536" w14:textId="77777777" w:rsidTr="00FE07DA">
        <w:trPr>
          <w:cantSplit/>
        </w:trPr>
        <w:tc>
          <w:tcPr>
            <w:tcW w:w="803" w:type="dxa"/>
            <w:tcBorders>
              <w:right w:val="double" w:sz="4" w:space="0" w:color="auto"/>
            </w:tcBorders>
            <w:shd w:val="clear" w:color="auto" w:fill="auto"/>
            <w:vAlign w:val="center"/>
          </w:tcPr>
          <w:p w14:paraId="67645B83" w14:textId="77777777" w:rsidR="00BC794F" w:rsidRPr="00B916EC" w:rsidRDefault="00BC794F" w:rsidP="00FE07DA">
            <w:pPr>
              <w:pStyle w:val="TAC"/>
            </w:pPr>
            <w:r w:rsidRPr="00B916EC">
              <w:t>11</w:t>
            </w:r>
          </w:p>
        </w:tc>
        <w:tc>
          <w:tcPr>
            <w:tcW w:w="8485" w:type="dxa"/>
            <w:gridSpan w:val="4"/>
            <w:tcBorders>
              <w:left w:val="double" w:sz="4" w:space="0" w:color="auto"/>
            </w:tcBorders>
            <w:vAlign w:val="center"/>
          </w:tcPr>
          <w:p w14:paraId="1017A302" w14:textId="77777777" w:rsidR="00BC794F" w:rsidRPr="00B916EC" w:rsidRDefault="00BC794F" w:rsidP="00FE07DA">
            <w:pPr>
              <w:pStyle w:val="TAC"/>
            </w:pPr>
            <w:r w:rsidRPr="00B916EC">
              <w:rPr>
                <w:rFonts w:cs="Arial"/>
                <w:kern w:val="24"/>
                <w:szCs w:val="18"/>
              </w:rPr>
              <w:t>Reserved</w:t>
            </w:r>
          </w:p>
        </w:tc>
      </w:tr>
      <w:tr w:rsidR="00BC794F" w:rsidRPr="00B916EC" w14:paraId="0F156568" w14:textId="77777777" w:rsidTr="00FE07DA">
        <w:trPr>
          <w:cantSplit/>
        </w:trPr>
        <w:tc>
          <w:tcPr>
            <w:tcW w:w="803" w:type="dxa"/>
            <w:tcBorders>
              <w:right w:val="double" w:sz="4" w:space="0" w:color="auto"/>
            </w:tcBorders>
            <w:shd w:val="clear" w:color="auto" w:fill="auto"/>
            <w:vAlign w:val="center"/>
          </w:tcPr>
          <w:p w14:paraId="11CD1F62" w14:textId="77777777" w:rsidR="00BC794F" w:rsidRPr="00B916EC" w:rsidRDefault="00BC794F" w:rsidP="00FE07DA">
            <w:pPr>
              <w:pStyle w:val="TAC"/>
            </w:pPr>
            <w:r w:rsidRPr="00B916EC">
              <w:t>12</w:t>
            </w:r>
          </w:p>
        </w:tc>
        <w:tc>
          <w:tcPr>
            <w:tcW w:w="8485" w:type="dxa"/>
            <w:gridSpan w:val="4"/>
            <w:tcBorders>
              <w:left w:val="double" w:sz="4" w:space="0" w:color="auto"/>
            </w:tcBorders>
            <w:vAlign w:val="center"/>
          </w:tcPr>
          <w:p w14:paraId="0539A256" w14:textId="77777777" w:rsidR="00BC794F" w:rsidRPr="00B916EC" w:rsidRDefault="00BC794F" w:rsidP="00FE07DA">
            <w:pPr>
              <w:pStyle w:val="TAC"/>
            </w:pPr>
            <w:r w:rsidRPr="00B916EC">
              <w:rPr>
                <w:rFonts w:cs="Arial"/>
                <w:kern w:val="24"/>
                <w:szCs w:val="18"/>
              </w:rPr>
              <w:t>Reserved</w:t>
            </w:r>
          </w:p>
        </w:tc>
      </w:tr>
      <w:tr w:rsidR="00BC794F" w:rsidRPr="00B916EC" w14:paraId="774CE093" w14:textId="77777777" w:rsidTr="00FE07DA">
        <w:trPr>
          <w:cantSplit/>
        </w:trPr>
        <w:tc>
          <w:tcPr>
            <w:tcW w:w="803" w:type="dxa"/>
            <w:tcBorders>
              <w:right w:val="double" w:sz="4" w:space="0" w:color="auto"/>
            </w:tcBorders>
            <w:shd w:val="clear" w:color="auto" w:fill="auto"/>
            <w:vAlign w:val="center"/>
          </w:tcPr>
          <w:p w14:paraId="42E0080B" w14:textId="77777777" w:rsidR="00BC794F" w:rsidRPr="00B916EC" w:rsidRDefault="00BC794F" w:rsidP="00FE07DA">
            <w:pPr>
              <w:pStyle w:val="TAC"/>
            </w:pPr>
            <w:r w:rsidRPr="00B916EC">
              <w:t>13</w:t>
            </w:r>
          </w:p>
        </w:tc>
        <w:tc>
          <w:tcPr>
            <w:tcW w:w="8485" w:type="dxa"/>
            <w:gridSpan w:val="4"/>
            <w:tcBorders>
              <w:left w:val="double" w:sz="4" w:space="0" w:color="auto"/>
            </w:tcBorders>
            <w:vAlign w:val="center"/>
          </w:tcPr>
          <w:p w14:paraId="27A16FDB" w14:textId="77777777" w:rsidR="00BC794F" w:rsidRPr="00B916EC" w:rsidRDefault="00BC794F" w:rsidP="00FE07DA">
            <w:pPr>
              <w:pStyle w:val="TAC"/>
            </w:pPr>
            <w:r w:rsidRPr="00B916EC">
              <w:rPr>
                <w:rFonts w:cs="Arial"/>
                <w:kern w:val="24"/>
                <w:szCs w:val="18"/>
              </w:rPr>
              <w:t>Reserved</w:t>
            </w:r>
          </w:p>
        </w:tc>
      </w:tr>
      <w:tr w:rsidR="00BC794F" w:rsidRPr="00B916EC" w14:paraId="26DB32E5" w14:textId="77777777" w:rsidTr="00FE07DA">
        <w:trPr>
          <w:cantSplit/>
        </w:trPr>
        <w:tc>
          <w:tcPr>
            <w:tcW w:w="803" w:type="dxa"/>
            <w:tcBorders>
              <w:right w:val="double" w:sz="4" w:space="0" w:color="auto"/>
            </w:tcBorders>
            <w:shd w:val="clear" w:color="auto" w:fill="auto"/>
            <w:vAlign w:val="center"/>
          </w:tcPr>
          <w:p w14:paraId="5B505432" w14:textId="77777777" w:rsidR="00BC794F" w:rsidRPr="00B916EC" w:rsidRDefault="00BC794F" w:rsidP="00FE07DA">
            <w:pPr>
              <w:pStyle w:val="TAC"/>
            </w:pPr>
            <w:r w:rsidRPr="00B916EC">
              <w:t>14</w:t>
            </w:r>
          </w:p>
        </w:tc>
        <w:tc>
          <w:tcPr>
            <w:tcW w:w="8485" w:type="dxa"/>
            <w:gridSpan w:val="4"/>
            <w:tcBorders>
              <w:left w:val="double" w:sz="4" w:space="0" w:color="auto"/>
            </w:tcBorders>
            <w:vAlign w:val="center"/>
          </w:tcPr>
          <w:p w14:paraId="33BAF87A" w14:textId="77777777" w:rsidR="00BC794F" w:rsidRPr="00B916EC" w:rsidRDefault="00BC794F" w:rsidP="00FE07DA">
            <w:pPr>
              <w:pStyle w:val="TAC"/>
            </w:pPr>
            <w:r w:rsidRPr="00B916EC">
              <w:rPr>
                <w:rFonts w:cs="Arial"/>
                <w:kern w:val="24"/>
                <w:szCs w:val="18"/>
              </w:rPr>
              <w:t>Reserved</w:t>
            </w:r>
          </w:p>
        </w:tc>
      </w:tr>
      <w:tr w:rsidR="00BC794F" w:rsidRPr="00B916EC" w14:paraId="79C602BB" w14:textId="77777777" w:rsidTr="00FE07DA">
        <w:trPr>
          <w:cantSplit/>
        </w:trPr>
        <w:tc>
          <w:tcPr>
            <w:tcW w:w="803" w:type="dxa"/>
            <w:tcBorders>
              <w:right w:val="double" w:sz="4" w:space="0" w:color="auto"/>
            </w:tcBorders>
            <w:shd w:val="clear" w:color="auto" w:fill="auto"/>
            <w:vAlign w:val="center"/>
          </w:tcPr>
          <w:p w14:paraId="423C351C" w14:textId="77777777" w:rsidR="00BC794F" w:rsidRPr="00B916EC" w:rsidRDefault="00BC794F" w:rsidP="00FE07DA">
            <w:pPr>
              <w:pStyle w:val="TAC"/>
            </w:pPr>
            <w:r w:rsidRPr="00B916EC">
              <w:t>15</w:t>
            </w:r>
          </w:p>
        </w:tc>
        <w:tc>
          <w:tcPr>
            <w:tcW w:w="8485" w:type="dxa"/>
            <w:gridSpan w:val="4"/>
            <w:tcBorders>
              <w:left w:val="double" w:sz="4" w:space="0" w:color="auto"/>
            </w:tcBorders>
            <w:vAlign w:val="center"/>
          </w:tcPr>
          <w:p w14:paraId="1ACE5CAC" w14:textId="77777777" w:rsidR="00BC794F" w:rsidRPr="00B916EC" w:rsidRDefault="00BC794F" w:rsidP="00FE07DA">
            <w:pPr>
              <w:pStyle w:val="TAC"/>
            </w:pPr>
            <w:r w:rsidRPr="00B916EC">
              <w:rPr>
                <w:rFonts w:cs="Arial"/>
                <w:kern w:val="24"/>
                <w:szCs w:val="18"/>
              </w:rPr>
              <w:t>Reserved</w:t>
            </w:r>
          </w:p>
        </w:tc>
      </w:tr>
    </w:tbl>
    <w:p w14:paraId="3C63AE61" w14:textId="77777777" w:rsidR="009B1799" w:rsidRPr="00B916EC" w:rsidRDefault="009B1799" w:rsidP="009B1799">
      <w:pPr>
        <w:rPr>
          <w:b/>
        </w:rPr>
      </w:pPr>
    </w:p>
    <w:p w14:paraId="57258F30" w14:textId="77777777" w:rsidR="00514155" w:rsidRPr="00B06B6C" w:rsidRDefault="00514155" w:rsidP="00F96B12">
      <w:pPr>
        <w:pStyle w:val="TH"/>
      </w:pPr>
      <w:r w:rsidRPr="00B06B6C">
        <w:t>Table 1</w:t>
      </w:r>
      <w:r w:rsidR="00EC0649" w:rsidRPr="00B06B6C">
        <w:t>3</w:t>
      </w:r>
      <w:r w:rsidRPr="00B06B6C">
        <w:t>-</w:t>
      </w:r>
      <w:r w:rsidR="00BC794F">
        <w:t>7</w:t>
      </w:r>
      <w:r w:rsidRPr="00B06B6C">
        <w:t xml:space="preserve">: Set of resource blocks and slot symbols of </w:t>
      </w:r>
      <w:r w:rsidR="00C76664">
        <w:t>CORESET</w:t>
      </w:r>
      <w:r w:rsidRPr="00B06B6C">
        <w:t xml:space="preserve"> for Type0-PDCCH search space</w:t>
      </w:r>
      <w:r w:rsidR="00F95DE0">
        <w:t xml:space="preserve"> set</w:t>
      </w:r>
      <w:r w:rsidRPr="00B916EC">
        <w:t xml:space="preserve"> </w:t>
      </w:r>
      <w:r w:rsidRPr="00B06B6C">
        <w:t xml:space="preserve">when {SS/PBCH block, PDCCH} </w:t>
      </w:r>
      <w:r w:rsidR="00143099">
        <w:t>SCS</w:t>
      </w:r>
      <w:r w:rsidRPr="00B06B6C">
        <w:t xml:space="preserve"> is {120, 60} kHz</w:t>
      </w:r>
    </w:p>
    <w:tbl>
      <w:tblPr>
        <w:tblW w:w="0" w:type="auto"/>
        <w:tblInd w:w="4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0"/>
        <w:gridCol w:w="3451"/>
        <w:gridCol w:w="1573"/>
        <w:gridCol w:w="1884"/>
        <w:gridCol w:w="1499"/>
      </w:tblGrid>
      <w:tr w:rsidR="000C2450" w:rsidRPr="00B916EC" w14:paraId="3B9026D0" w14:textId="77777777" w:rsidTr="00B73508">
        <w:trPr>
          <w:cantSplit/>
        </w:trPr>
        <w:tc>
          <w:tcPr>
            <w:tcW w:w="800" w:type="dxa"/>
            <w:tcBorders>
              <w:bottom w:val="double" w:sz="4" w:space="0" w:color="auto"/>
              <w:right w:val="double" w:sz="4" w:space="0" w:color="auto"/>
            </w:tcBorders>
            <w:shd w:val="clear" w:color="auto" w:fill="E0E0E0"/>
            <w:vAlign w:val="center"/>
          </w:tcPr>
          <w:p w14:paraId="56F2F702" w14:textId="77777777" w:rsidR="000C2450" w:rsidRPr="00B916EC" w:rsidRDefault="000C2450" w:rsidP="000C2450">
            <w:pPr>
              <w:pStyle w:val="TAH"/>
              <w:rPr>
                <w:bCs/>
                <w:lang w:val="en-US"/>
              </w:rPr>
            </w:pPr>
            <w:r w:rsidRPr="00B916EC">
              <w:rPr>
                <w:bCs/>
                <w:lang w:val="en-US"/>
              </w:rPr>
              <w:t>Index</w:t>
            </w:r>
          </w:p>
        </w:tc>
        <w:tc>
          <w:tcPr>
            <w:tcW w:w="3451" w:type="dxa"/>
            <w:tcBorders>
              <w:left w:val="double" w:sz="4" w:space="0" w:color="auto"/>
              <w:bottom w:val="double" w:sz="4" w:space="0" w:color="auto"/>
            </w:tcBorders>
            <w:shd w:val="clear" w:color="auto" w:fill="E0E0E0"/>
            <w:vAlign w:val="center"/>
          </w:tcPr>
          <w:p w14:paraId="41FAE802" w14:textId="77777777" w:rsidR="000C2450" w:rsidRPr="00B916EC" w:rsidRDefault="000C2450" w:rsidP="000C2450">
            <w:pPr>
              <w:pStyle w:val="TAH"/>
              <w:rPr>
                <w:bCs/>
                <w:lang w:val="en-US"/>
              </w:rPr>
            </w:pPr>
            <w:r w:rsidRPr="00B916EC">
              <w:rPr>
                <w:rFonts w:cs="Arial"/>
                <w:kern w:val="24"/>
              </w:rPr>
              <w:t xml:space="preserve">SS/PBCH block and </w:t>
            </w:r>
            <w:r>
              <w:rPr>
                <w:rFonts w:cs="Arial"/>
                <w:kern w:val="24"/>
              </w:rPr>
              <w:t>CORESET</w:t>
            </w:r>
            <w:r w:rsidRPr="00B916EC">
              <w:rPr>
                <w:rFonts w:cs="Arial"/>
                <w:kern w:val="24"/>
              </w:rPr>
              <w:t xml:space="preserve"> multiplexing pattern </w:t>
            </w:r>
          </w:p>
        </w:tc>
        <w:tc>
          <w:tcPr>
            <w:tcW w:w="1573" w:type="dxa"/>
            <w:tcBorders>
              <w:bottom w:val="double" w:sz="4" w:space="0" w:color="auto"/>
            </w:tcBorders>
            <w:shd w:val="clear" w:color="auto" w:fill="E0E0E0"/>
            <w:vAlign w:val="center"/>
          </w:tcPr>
          <w:p w14:paraId="51A37E3A" w14:textId="2D413FD6" w:rsidR="000C2450" w:rsidRPr="00B916EC" w:rsidRDefault="000C2450" w:rsidP="000C2450">
            <w:pPr>
              <w:pStyle w:val="TAH"/>
              <w:rPr>
                <w:bCs/>
                <w:lang w:val="en-US"/>
              </w:rPr>
            </w:pPr>
            <w:r w:rsidRPr="00B27E56">
              <w:rPr>
                <w:rFonts w:cs="Arial"/>
                <w:kern w:val="24"/>
              </w:rPr>
              <w:t xml:space="preserve">Number of RBs </w:t>
            </w:r>
            <m:oMath>
              <m:sSubSup>
                <m:sSubSupPr>
                  <m:ctrlPr>
                    <w:rPr>
                      <w:rFonts w:ascii="Cambria Math" w:hAnsi="Cambria Math"/>
                      <w:i/>
                    </w:rPr>
                  </m:ctrlPr>
                </m:sSubSupPr>
                <m:e>
                  <m:r>
                    <m:rPr>
                      <m:sty m:val="bi"/>
                    </m:rPr>
                    <w:rPr>
                      <w:rFonts w:ascii="Cambria Math"/>
                    </w:rPr>
                    <m:t>N</m:t>
                  </m:r>
                </m:e>
                <m:sub>
                  <m:r>
                    <m:rPr>
                      <m:nor/>
                    </m:rPr>
                    <w:rPr>
                      <w:rFonts w:ascii="Cambria Math"/>
                    </w:rPr>
                    <m:t>RB</m:t>
                  </m:r>
                  <m:ctrlPr>
                    <w:rPr>
                      <w:rFonts w:ascii="Cambria Math" w:hAnsi="Cambria Math"/>
                    </w:rPr>
                  </m:ctrlPr>
                </m:sub>
                <m:sup>
                  <m:r>
                    <m:rPr>
                      <m:nor/>
                    </m:rPr>
                    <w:rPr>
                      <w:rFonts w:ascii="Cambria Math"/>
                    </w:rPr>
                    <m:t>CORESET</m:t>
                  </m:r>
                  <m:ctrlPr>
                    <w:rPr>
                      <w:rFonts w:ascii="Cambria Math" w:hAnsi="Cambria Math"/>
                    </w:rPr>
                  </m:ctrlPr>
                </m:sup>
              </m:sSubSup>
            </m:oMath>
          </w:p>
        </w:tc>
        <w:tc>
          <w:tcPr>
            <w:tcW w:w="1884" w:type="dxa"/>
            <w:tcBorders>
              <w:bottom w:val="double" w:sz="4" w:space="0" w:color="auto"/>
            </w:tcBorders>
            <w:shd w:val="clear" w:color="auto" w:fill="E0E0E0"/>
            <w:vAlign w:val="center"/>
          </w:tcPr>
          <w:p w14:paraId="082E4752" w14:textId="3B3AD0D4" w:rsidR="000C2450" w:rsidRPr="00B916EC" w:rsidRDefault="000C2450" w:rsidP="000C2450">
            <w:pPr>
              <w:pStyle w:val="TAH"/>
              <w:rPr>
                <w:bCs/>
                <w:lang w:val="en-US"/>
              </w:rPr>
            </w:pPr>
            <w:r w:rsidRPr="00B27E56">
              <w:rPr>
                <w:rFonts w:cs="Arial"/>
                <w:kern w:val="24"/>
              </w:rPr>
              <w:t xml:space="preserve">Number of Symbols </w:t>
            </w:r>
            <m:oMath>
              <m:sSubSup>
                <m:sSubSupPr>
                  <m:ctrlPr>
                    <w:rPr>
                      <w:rFonts w:ascii="Cambria Math" w:hAnsi="Cambria Math"/>
                      <w:i/>
                    </w:rPr>
                  </m:ctrlPr>
                </m:sSubSupPr>
                <m:e>
                  <m:r>
                    <m:rPr>
                      <m:sty m:val="bi"/>
                    </m:rPr>
                    <w:rPr>
                      <w:rFonts w:ascii="Cambria Math"/>
                    </w:rPr>
                    <m:t>N</m:t>
                  </m:r>
                </m:e>
                <m:sub>
                  <m:r>
                    <m:rPr>
                      <m:nor/>
                    </m:rPr>
                    <w:rPr>
                      <w:rFonts w:ascii="Cambria Math"/>
                    </w:rPr>
                    <m:t>symb</m:t>
                  </m:r>
                  <m:ctrlPr>
                    <w:rPr>
                      <w:rFonts w:ascii="Cambria Math" w:hAnsi="Cambria Math"/>
                    </w:rPr>
                  </m:ctrlPr>
                </m:sub>
                <m:sup>
                  <m:r>
                    <m:rPr>
                      <m:nor/>
                    </m:rPr>
                    <w:rPr>
                      <w:rFonts w:ascii="Cambria Math"/>
                    </w:rPr>
                    <m:t>CORESET</m:t>
                  </m:r>
                  <m:ctrlPr>
                    <w:rPr>
                      <w:rFonts w:ascii="Cambria Math" w:hAnsi="Cambria Math"/>
                    </w:rPr>
                  </m:ctrlPr>
                </m:sup>
              </m:sSubSup>
            </m:oMath>
            <w:r w:rsidRPr="00B27E56">
              <w:rPr>
                <w:rFonts w:cs="Arial"/>
                <w:kern w:val="24"/>
              </w:rPr>
              <w:t xml:space="preserve"> </w:t>
            </w:r>
          </w:p>
        </w:tc>
        <w:tc>
          <w:tcPr>
            <w:tcW w:w="1499" w:type="dxa"/>
            <w:tcBorders>
              <w:bottom w:val="double" w:sz="4" w:space="0" w:color="auto"/>
            </w:tcBorders>
            <w:shd w:val="clear" w:color="auto" w:fill="E0E0E0"/>
            <w:vAlign w:val="center"/>
          </w:tcPr>
          <w:p w14:paraId="7272DCDE" w14:textId="77777777" w:rsidR="000C2450" w:rsidRPr="00B916EC" w:rsidRDefault="000C2450" w:rsidP="000C2450">
            <w:pPr>
              <w:pStyle w:val="TAH"/>
              <w:rPr>
                <w:bCs/>
                <w:lang w:val="en-US"/>
              </w:rPr>
            </w:pPr>
            <w:r w:rsidRPr="00B916EC">
              <w:rPr>
                <w:rFonts w:cs="Arial"/>
                <w:kern w:val="24"/>
              </w:rPr>
              <w:t xml:space="preserve">Offset (RBs) </w:t>
            </w:r>
          </w:p>
        </w:tc>
      </w:tr>
      <w:tr w:rsidR="002268E7" w:rsidRPr="00B916EC" w14:paraId="19649BBF" w14:textId="77777777" w:rsidTr="00B73508">
        <w:trPr>
          <w:cantSplit/>
        </w:trPr>
        <w:tc>
          <w:tcPr>
            <w:tcW w:w="800" w:type="dxa"/>
            <w:tcBorders>
              <w:top w:val="double" w:sz="4" w:space="0" w:color="auto"/>
              <w:right w:val="double" w:sz="4" w:space="0" w:color="auto"/>
            </w:tcBorders>
            <w:shd w:val="clear" w:color="auto" w:fill="auto"/>
            <w:vAlign w:val="center"/>
          </w:tcPr>
          <w:p w14:paraId="242DBE46" w14:textId="77777777" w:rsidR="002268E7" w:rsidRPr="00B916EC" w:rsidRDefault="002268E7" w:rsidP="0060031D">
            <w:pPr>
              <w:pStyle w:val="TAC"/>
              <w:rPr>
                <w:lang w:val="en-US"/>
              </w:rPr>
            </w:pPr>
            <w:r w:rsidRPr="00B916EC">
              <w:rPr>
                <w:lang w:val="en-US"/>
              </w:rPr>
              <w:t>0</w:t>
            </w:r>
          </w:p>
        </w:tc>
        <w:tc>
          <w:tcPr>
            <w:tcW w:w="3451" w:type="dxa"/>
            <w:tcBorders>
              <w:top w:val="double" w:sz="4" w:space="0" w:color="auto"/>
              <w:left w:val="double" w:sz="4" w:space="0" w:color="auto"/>
            </w:tcBorders>
            <w:vAlign w:val="center"/>
          </w:tcPr>
          <w:p w14:paraId="09E94C90" w14:textId="77777777" w:rsidR="002268E7" w:rsidRPr="00B916EC" w:rsidRDefault="002268E7" w:rsidP="0060031D">
            <w:pPr>
              <w:pStyle w:val="TAC"/>
              <w:rPr>
                <w:lang w:val="en-US"/>
              </w:rPr>
            </w:pPr>
            <w:r w:rsidRPr="00B916EC">
              <w:rPr>
                <w:rFonts w:cs="Arial"/>
                <w:kern w:val="24"/>
                <w:szCs w:val="18"/>
              </w:rPr>
              <w:t xml:space="preserve">1 </w:t>
            </w:r>
          </w:p>
        </w:tc>
        <w:tc>
          <w:tcPr>
            <w:tcW w:w="1573" w:type="dxa"/>
            <w:tcBorders>
              <w:top w:val="double" w:sz="4" w:space="0" w:color="auto"/>
            </w:tcBorders>
            <w:vAlign w:val="center"/>
          </w:tcPr>
          <w:p w14:paraId="562AEE94" w14:textId="77777777" w:rsidR="002268E7" w:rsidRPr="00B916EC" w:rsidRDefault="002268E7" w:rsidP="0060031D">
            <w:pPr>
              <w:pStyle w:val="TAC"/>
              <w:rPr>
                <w:lang w:val="en-US"/>
              </w:rPr>
            </w:pPr>
            <w:r w:rsidRPr="00B916EC">
              <w:rPr>
                <w:rFonts w:cs="Arial"/>
                <w:kern w:val="24"/>
                <w:szCs w:val="18"/>
              </w:rPr>
              <w:t>48</w:t>
            </w:r>
          </w:p>
        </w:tc>
        <w:tc>
          <w:tcPr>
            <w:tcW w:w="1884" w:type="dxa"/>
            <w:tcBorders>
              <w:top w:val="double" w:sz="4" w:space="0" w:color="auto"/>
            </w:tcBorders>
            <w:vAlign w:val="center"/>
          </w:tcPr>
          <w:p w14:paraId="480F7B6E" w14:textId="77777777" w:rsidR="002268E7" w:rsidRPr="00B916EC" w:rsidRDefault="002268E7" w:rsidP="0060031D">
            <w:pPr>
              <w:pStyle w:val="TAC"/>
              <w:rPr>
                <w:lang w:val="en-US"/>
              </w:rPr>
            </w:pPr>
            <w:r w:rsidRPr="00B916EC">
              <w:rPr>
                <w:rFonts w:cs="Arial"/>
                <w:kern w:val="24"/>
                <w:szCs w:val="18"/>
              </w:rPr>
              <w:t>1</w:t>
            </w:r>
          </w:p>
        </w:tc>
        <w:tc>
          <w:tcPr>
            <w:tcW w:w="1499" w:type="dxa"/>
            <w:tcBorders>
              <w:top w:val="double" w:sz="4" w:space="0" w:color="auto"/>
            </w:tcBorders>
            <w:vAlign w:val="center"/>
          </w:tcPr>
          <w:p w14:paraId="14FF18BC" w14:textId="77777777" w:rsidR="002268E7" w:rsidRPr="00B916EC" w:rsidRDefault="002268E7" w:rsidP="0060031D">
            <w:pPr>
              <w:pStyle w:val="TAC"/>
              <w:rPr>
                <w:lang w:val="en-US"/>
              </w:rPr>
            </w:pPr>
            <w:r w:rsidRPr="00B916EC">
              <w:rPr>
                <w:rFonts w:cs="Arial"/>
                <w:kern w:val="24"/>
                <w:szCs w:val="18"/>
              </w:rPr>
              <w:t>0</w:t>
            </w:r>
          </w:p>
        </w:tc>
      </w:tr>
      <w:tr w:rsidR="002268E7" w:rsidRPr="00B916EC" w14:paraId="6D69CC87" w14:textId="77777777" w:rsidTr="00B73508">
        <w:trPr>
          <w:cantSplit/>
        </w:trPr>
        <w:tc>
          <w:tcPr>
            <w:tcW w:w="800" w:type="dxa"/>
            <w:tcBorders>
              <w:right w:val="double" w:sz="4" w:space="0" w:color="auto"/>
            </w:tcBorders>
            <w:shd w:val="clear" w:color="auto" w:fill="auto"/>
            <w:vAlign w:val="center"/>
          </w:tcPr>
          <w:p w14:paraId="43B7B1BF" w14:textId="77777777" w:rsidR="002268E7" w:rsidRPr="00B916EC" w:rsidRDefault="002268E7" w:rsidP="0060031D">
            <w:pPr>
              <w:pStyle w:val="TAC"/>
              <w:rPr>
                <w:lang w:val="en-US"/>
              </w:rPr>
            </w:pPr>
            <w:r w:rsidRPr="00B916EC">
              <w:rPr>
                <w:lang w:val="en-US"/>
              </w:rPr>
              <w:t>1</w:t>
            </w:r>
          </w:p>
        </w:tc>
        <w:tc>
          <w:tcPr>
            <w:tcW w:w="3451" w:type="dxa"/>
            <w:tcBorders>
              <w:left w:val="double" w:sz="4" w:space="0" w:color="auto"/>
            </w:tcBorders>
            <w:vAlign w:val="center"/>
          </w:tcPr>
          <w:p w14:paraId="792AD189" w14:textId="77777777" w:rsidR="002268E7" w:rsidRPr="00B916EC" w:rsidRDefault="002268E7" w:rsidP="0060031D">
            <w:pPr>
              <w:pStyle w:val="TAC"/>
              <w:rPr>
                <w:lang w:val="en-US"/>
              </w:rPr>
            </w:pPr>
            <w:r w:rsidRPr="00B916EC">
              <w:rPr>
                <w:rFonts w:cs="Arial"/>
                <w:kern w:val="24"/>
                <w:szCs w:val="18"/>
              </w:rPr>
              <w:t xml:space="preserve">1 </w:t>
            </w:r>
          </w:p>
        </w:tc>
        <w:tc>
          <w:tcPr>
            <w:tcW w:w="1573" w:type="dxa"/>
            <w:vAlign w:val="center"/>
          </w:tcPr>
          <w:p w14:paraId="7AB57D36" w14:textId="77777777" w:rsidR="002268E7" w:rsidRPr="00B916EC" w:rsidRDefault="002268E7" w:rsidP="0060031D">
            <w:pPr>
              <w:pStyle w:val="TAC"/>
              <w:rPr>
                <w:lang w:val="en-US"/>
              </w:rPr>
            </w:pPr>
            <w:r w:rsidRPr="00B916EC">
              <w:rPr>
                <w:rFonts w:cs="Arial"/>
                <w:kern w:val="24"/>
                <w:szCs w:val="18"/>
              </w:rPr>
              <w:t>48</w:t>
            </w:r>
          </w:p>
        </w:tc>
        <w:tc>
          <w:tcPr>
            <w:tcW w:w="1884" w:type="dxa"/>
            <w:vAlign w:val="center"/>
          </w:tcPr>
          <w:p w14:paraId="1F9177FB" w14:textId="77777777" w:rsidR="002268E7" w:rsidRPr="00B916EC" w:rsidRDefault="002268E7" w:rsidP="0060031D">
            <w:pPr>
              <w:pStyle w:val="TAC"/>
              <w:rPr>
                <w:lang w:val="en-US"/>
              </w:rPr>
            </w:pPr>
            <w:r w:rsidRPr="00B916EC">
              <w:rPr>
                <w:rFonts w:cs="Arial"/>
                <w:kern w:val="24"/>
                <w:szCs w:val="18"/>
              </w:rPr>
              <w:t>1</w:t>
            </w:r>
          </w:p>
        </w:tc>
        <w:tc>
          <w:tcPr>
            <w:tcW w:w="1499" w:type="dxa"/>
            <w:vAlign w:val="center"/>
          </w:tcPr>
          <w:p w14:paraId="2AB4994C" w14:textId="77777777" w:rsidR="002268E7" w:rsidRPr="00B916EC" w:rsidRDefault="002268E7" w:rsidP="0060031D">
            <w:pPr>
              <w:pStyle w:val="TAC"/>
              <w:rPr>
                <w:lang w:val="en-US"/>
              </w:rPr>
            </w:pPr>
            <w:r w:rsidRPr="00B916EC">
              <w:rPr>
                <w:rFonts w:cs="Arial"/>
                <w:kern w:val="24"/>
                <w:szCs w:val="18"/>
              </w:rPr>
              <w:t>8</w:t>
            </w:r>
          </w:p>
        </w:tc>
      </w:tr>
      <w:tr w:rsidR="002268E7" w:rsidRPr="00B916EC" w14:paraId="5B217083" w14:textId="77777777" w:rsidTr="00B73508">
        <w:trPr>
          <w:cantSplit/>
        </w:trPr>
        <w:tc>
          <w:tcPr>
            <w:tcW w:w="800" w:type="dxa"/>
            <w:tcBorders>
              <w:right w:val="double" w:sz="4" w:space="0" w:color="auto"/>
            </w:tcBorders>
            <w:shd w:val="clear" w:color="auto" w:fill="auto"/>
            <w:vAlign w:val="center"/>
          </w:tcPr>
          <w:p w14:paraId="0ED841AB" w14:textId="77777777" w:rsidR="002268E7" w:rsidRPr="00B916EC" w:rsidRDefault="002268E7" w:rsidP="0060031D">
            <w:pPr>
              <w:pStyle w:val="TAC"/>
            </w:pPr>
            <w:r w:rsidRPr="00B916EC">
              <w:t>2</w:t>
            </w:r>
          </w:p>
        </w:tc>
        <w:tc>
          <w:tcPr>
            <w:tcW w:w="3451" w:type="dxa"/>
            <w:tcBorders>
              <w:left w:val="double" w:sz="4" w:space="0" w:color="auto"/>
            </w:tcBorders>
            <w:vAlign w:val="center"/>
          </w:tcPr>
          <w:p w14:paraId="195C02E2" w14:textId="77777777" w:rsidR="002268E7" w:rsidRPr="00B916EC" w:rsidRDefault="002268E7" w:rsidP="0060031D">
            <w:pPr>
              <w:pStyle w:val="TAC"/>
            </w:pPr>
            <w:r w:rsidRPr="00B916EC">
              <w:rPr>
                <w:rFonts w:cs="Arial"/>
                <w:kern w:val="24"/>
                <w:szCs w:val="18"/>
              </w:rPr>
              <w:t xml:space="preserve">1 </w:t>
            </w:r>
          </w:p>
        </w:tc>
        <w:tc>
          <w:tcPr>
            <w:tcW w:w="1573" w:type="dxa"/>
            <w:vAlign w:val="center"/>
          </w:tcPr>
          <w:p w14:paraId="79E74FB2" w14:textId="77777777" w:rsidR="002268E7" w:rsidRPr="00B916EC" w:rsidRDefault="002268E7" w:rsidP="0060031D">
            <w:pPr>
              <w:pStyle w:val="TAC"/>
            </w:pPr>
            <w:r w:rsidRPr="00B916EC">
              <w:rPr>
                <w:rFonts w:cs="Arial"/>
                <w:kern w:val="24"/>
                <w:szCs w:val="18"/>
              </w:rPr>
              <w:t>48</w:t>
            </w:r>
          </w:p>
        </w:tc>
        <w:tc>
          <w:tcPr>
            <w:tcW w:w="1884" w:type="dxa"/>
            <w:vAlign w:val="center"/>
          </w:tcPr>
          <w:p w14:paraId="39E95753" w14:textId="77777777" w:rsidR="002268E7" w:rsidRPr="00B916EC" w:rsidRDefault="002268E7" w:rsidP="0060031D">
            <w:pPr>
              <w:pStyle w:val="TAC"/>
            </w:pPr>
            <w:r w:rsidRPr="00B916EC">
              <w:rPr>
                <w:rFonts w:cs="Arial"/>
                <w:kern w:val="24"/>
                <w:szCs w:val="18"/>
              </w:rPr>
              <w:t>2</w:t>
            </w:r>
          </w:p>
        </w:tc>
        <w:tc>
          <w:tcPr>
            <w:tcW w:w="1499" w:type="dxa"/>
            <w:vAlign w:val="center"/>
          </w:tcPr>
          <w:p w14:paraId="47C7E823" w14:textId="77777777" w:rsidR="002268E7" w:rsidRPr="00B916EC" w:rsidRDefault="002268E7" w:rsidP="0060031D">
            <w:pPr>
              <w:pStyle w:val="TAC"/>
            </w:pPr>
            <w:r w:rsidRPr="00B916EC">
              <w:rPr>
                <w:rFonts w:cs="Arial"/>
                <w:kern w:val="24"/>
                <w:szCs w:val="18"/>
              </w:rPr>
              <w:t>0</w:t>
            </w:r>
          </w:p>
        </w:tc>
      </w:tr>
      <w:tr w:rsidR="002268E7" w:rsidRPr="00B916EC" w14:paraId="6A92B703" w14:textId="77777777" w:rsidTr="00B73508">
        <w:trPr>
          <w:cantSplit/>
        </w:trPr>
        <w:tc>
          <w:tcPr>
            <w:tcW w:w="800" w:type="dxa"/>
            <w:tcBorders>
              <w:right w:val="double" w:sz="4" w:space="0" w:color="auto"/>
            </w:tcBorders>
            <w:shd w:val="clear" w:color="auto" w:fill="auto"/>
            <w:vAlign w:val="center"/>
          </w:tcPr>
          <w:p w14:paraId="2CE63DB6" w14:textId="77777777" w:rsidR="002268E7" w:rsidRPr="00B916EC" w:rsidRDefault="002268E7" w:rsidP="0060031D">
            <w:pPr>
              <w:pStyle w:val="TAC"/>
            </w:pPr>
            <w:r w:rsidRPr="00B916EC">
              <w:t>3</w:t>
            </w:r>
          </w:p>
        </w:tc>
        <w:tc>
          <w:tcPr>
            <w:tcW w:w="3451" w:type="dxa"/>
            <w:tcBorders>
              <w:left w:val="double" w:sz="4" w:space="0" w:color="auto"/>
            </w:tcBorders>
            <w:vAlign w:val="center"/>
          </w:tcPr>
          <w:p w14:paraId="17DA4D14" w14:textId="77777777" w:rsidR="002268E7" w:rsidRPr="00B916EC" w:rsidRDefault="002268E7" w:rsidP="0060031D">
            <w:pPr>
              <w:pStyle w:val="TAC"/>
            </w:pPr>
            <w:r w:rsidRPr="00B916EC">
              <w:rPr>
                <w:rFonts w:cs="Arial"/>
                <w:kern w:val="24"/>
                <w:szCs w:val="18"/>
              </w:rPr>
              <w:t xml:space="preserve">1 </w:t>
            </w:r>
          </w:p>
        </w:tc>
        <w:tc>
          <w:tcPr>
            <w:tcW w:w="1573" w:type="dxa"/>
            <w:vAlign w:val="center"/>
          </w:tcPr>
          <w:p w14:paraId="2CCBC990" w14:textId="77777777" w:rsidR="002268E7" w:rsidRPr="00B916EC" w:rsidRDefault="002268E7" w:rsidP="0060031D">
            <w:pPr>
              <w:pStyle w:val="TAC"/>
            </w:pPr>
            <w:r w:rsidRPr="00B916EC">
              <w:rPr>
                <w:rFonts w:cs="Arial"/>
                <w:kern w:val="24"/>
                <w:szCs w:val="18"/>
              </w:rPr>
              <w:t>48</w:t>
            </w:r>
          </w:p>
        </w:tc>
        <w:tc>
          <w:tcPr>
            <w:tcW w:w="1884" w:type="dxa"/>
            <w:vAlign w:val="center"/>
          </w:tcPr>
          <w:p w14:paraId="2100763A" w14:textId="77777777" w:rsidR="002268E7" w:rsidRPr="00B916EC" w:rsidRDefault="002268E7" w:rsidP="0060031D">
            <w:pPr>
              <w:pStyle w:val="TAC"/>
            </w:pPr>
            <w:r w:rsidRPr="00B916EC">
              <w:rPr>
                <w:rFonts w:cs="Arial"/>
                <w:kern w:val="24"/>
                <w:szCs w:val="18"/>
              </w:rPr>
              <w:t>2</w:t>
            </w:r>
          </w:p>
        </w:tc>
        <w:tc>
          <w:tcPr>
            <w:tcW w:w="1499" w:type="dxa"/>
            <w:vAlign w:val="center"/>
          </w:tcPr>
          <w:p w14:paraId="29C44B8A" w14:textId="77777777" w:rsidR="002268E7" w:rsidRPr="00B916EC" w:rsidRDefault="002268E7" w:rsidP="0060031D">
            <w:pPr>
              <w:pStyle w:val="TAC"/>
            </w:pPr>
            <w:r w:rsidRPr="00B916EC">
              <w:rPr>
                <w:rFonts w:cs="Arial"/>
                <w:kern w:val="24"/>
                <w:szCs w:val="18"/>
              </w:rPr>
              <w:t>8</w:t>
            </w:r>
          </w:p>
        </w:tc>
      </w:tr>
      <w:tr w:rsidR="002268E7" w:rsidRPr="00B916EC" w14:paraId="2732668F" w14:textId="77777777" w:rsidTr="00B73508">
        <w:trPr>
          <w:cantSplit/>
        </w:trPr>
        <w:tc>
          <w:tcPr>
            <w:tcW w:w="800" w:type="dxa"/>
            <w:tcBorders>
              <w:right w:val="double" w:sz="4" w:space="0" w:color="auto"/>
            </w:tcBorders>
            <w:shd w:val="clear" w:color="auto" w:fill="auto"/>
            <w:vAlign w:val="center"/>
          </w:tcPr>
          <w:p w14:paraId="1983CBAE" w14:textId="77777777" w:rsidR="002268E7" w:rsidRPr="00B916EC" w:rsidRDefault="002268E7" w:rsidP="0060031D">
            <w:pPr>
              <w:pStyle w:val="TAC"/>
            </w:pPr>
            <w:r w:rsidRPr="00B916EC">
              <w:t>4</w:t>
            </w:r>
          </w:p>
        </w:tc>
        <w:tc>
          <w:tcPr>
            <w:tcW w:w="3451" w:type="dxa"/>
            <w:tcBorders>
              <w:left w:val="double" w:sz="4" w:space="0" w:color="auto"/>
            </w:tcBorders>
            <w:vAlign w:val="center"/>
          </w:tcPr>
          <w:p w14:paraId="702980AA" w14:textId="77777777" w:rsidR="002268E7" w:rsidRPr="00B916EC" w:rsidRDefault="002268E7" w:rsidP="0060031D">
            <w:pPr>
              <w:pStyle w:val="TAC"/>
            </w:pPr>
            <w:r w:rsidRPr="00B916EC">
              <w:rPr>
                <w:rFonts w:cs="Arial"/>
                <w:kern w:val="24"/>
                <w:szCs w:val="18"/>
              </w:rPr>
              <w:t xml:space="preserve">1 </w:t>
            </w:r>
          </w:p>
        </w:tc>
        <w:tc>
          <w:tcPr>
            <w:tcW w:w="1573" w:type="dxa"/>
            <w:vAlign w:val="center"/>
          </w:tcPr>
          <w:p w14:paraId="0339EB47" w14:textId="77777777" w:rsidR="002268E7" w:rsidRPr="00B916EC" w:rsidRDefault="002268E7" w:rsidP="0060031D">
            <w:pPr>
              <w:pStyle w:val="TAC"/>
            </w:pPr>
            <w:r w:rsidRPr="00B916EC">
              <w:rPr>
                <w:rFonts w:cs="Arial"/>
                <w:kern w:val="24"/>
                <w:szCs w:val="18"/>
              </w:rPr>
              <w:t>48</w:t>
            </w:r>
          </w:p>
        </w:tc>
        <w:tc>
          <w:tcPr>
            <w:tcW w:w="1884" w:type="dxa"/>
            <w:vAlign w:val="center"/>
          </w:tcPr>
          <w:p w14:paraId="6003BD76" w14:textId="77777777" w:rsidR="002268E7" w:rsidRPr="00B916EC" w:rsidRDefault="002268E7" w:rsidP="0060031D">
            <w:pPr>
              <w:pStyle w:val="TAC"/>
            </w:pPr>
            <w:r w:rsidRPr="00B916EC">
              <w:rPr>
                <w:rFonts w:cs="Arial"/>
                <w:kern w:val="24"/>
                <w:szCs w:val="18"/>
              </w:rPr>
              <w:t>3</w:t>
            </w:r>
          </w:p>
        </w:tc>
        <w:tc>
          <w:tcPr>
            <w:tcW w:w="1499" w:type="dxa"/>
            <w:vAlign w:val="center"/>
          </w:tcPr>
          <w:p w14:paraId="0A883A54" w14:textId="77777777" w:rsidR="002268E7" w:rsidRPr="00B916EC" w:rsidRDefault="002268E7" w:rsidP="0060031D">
            <w:pPr>
              <w:pStyle w:val="TAC"/>
            </w:pPr>
            <w:r w:rsidRPr="00B916EC">
              <w:rPr>
                <w:rFonts w:cs="Arial"/>
                <w:kern w:val="24"/>
                <w:szCs w:val="18"/>
              </w:rPr>
              <w:t>0</w:t>
            </w:r>
          </w:p>
        </w:tc>
      </w:tr>
      <w:tr w:rsidR="002268E7" w:rsidRPr="00B916EC" w14:paraId="67E039D4" w14:textId="77777777" w:rsidTr="00B73508">
        <w:trPr>
          <w:cantSplit/>
        </w:trPr>
        <w:tc>
          <w:tcPr>
            <w:tcW w:w="800" w:type="dxa"/>
            <w:tcBorders>
              <w:right w:val="double" w:sz="4" w:space="0" w:color="auto"/>
            </w:tcBorders>
            <w:shd w:val="clear" w:color="auto" w:fill="auto"/>
            <w:vAlign w:val="center"/>
          </w:tcPr>
          <w:p w14:paraId="53953EB6" w14:textId="77777777" w:rsidR="002268E7" w:rsidRPr="00B916EC" w:rsidRDefault="002268E7" w:rsidP="0060031D">
            <w:pPr>
              <w:pStyle w:val="TAC"/>
            </w:pPr>
            <w:r w:rsidRPr="00B916EC">
              <w:t>5</w:t>
            </w:r>
          </w:p>
        </w:tc>
        <w:tc>
          <w:tcPr>
            <w:tcW w:w="3451" w:type="dxa"/>
            <w:tcBorders>
              <w:left w:val="double" w:sz="4" w:space="0" w:color="auto"/>
            </w:tcBorders>
            <w:vAlign w:val="center"/>
          </w:tcPr>
          <w:p w14:paraId="1F939FE4" w14:textId="77777777" w:rsidR="002268E7" w:rsidRPr="00B916EC" w:rsidRDefault="002268E7" w:rsidP="0060031D">
            <w:pPr>
              <w:pStyle w:val="TAC"/>
            </w:pPr>
            <w:r w:rsidRPr="00B916EC">
              <w:rPr>
                <w:rFonts w:cs="Arial"/>
                <w:kern w:val="24"/>
                <w:szCs w:val="18"/>
              </w:rPr>
              <w:t xml:space="preserve">1 </w:t>
            </w:r>
          </w:p>
        </w:tc>
        <w:tc>
          <w:tcPr>
            <w:tcW w:w="1573" w:type="dxa"/>
            <w:vAlign w:val="center"/>
          </w:tcPr>
          <w:p w14:paraId="7D69A426" w14:textId="77777777" w:rsidR="002268E7" w:rsidRPr="00B916EC" w:rsidRDefault="002268E7" w:rsidP="0060031D">
            <w:pPr>
              <w:pStyle w:val="TAC"/>
            </w:pPr>
            <w:r w:rsidRPr="00B916EC">
              <w:rPr>
                <w:rFonts w:cs="Arial"/>
                <w:kern w:val="24"/>
                <w:szCs w:val="18"/>
              </w:rPr>
              <w:t>48</w:t>
            </w:r>
          </w:p>
        </w:tc>
        <w:tc>
          <w:tcPr>
            <w:tcW w:w="1884" w:type="dxa"/>
            <w:vAlign w:val="center"/>
          </w:tcPr>
          <w:p w14:paraId="58CB3A18" w14:textId="77777777" w:rsidR="002268E7" w:rsidRPr="00B916EC" w:rsidRDefault="002268E7" w:rsidP="0060031D">
            <w:pPr>
              <w:pStyle w:val="TAC"/>
            </w:pPr>
            <w:r w:rsidRPr="00B916EC">
              <w:rPr>
                <w:rFonts w:cs="Arial"/>
                <w:kern w:val="24"/>
                <w:szCs w:val="18"/>
              </w:rPr>
              <w:t>3</w:t>
            </w:r>
          </w:p>
        </w:tc>
        <w:tc>
          <w:tcPr>
            <w:tcW w:w="1499" w:type="dxa"/>
            <w:vAlign w:val="center"/>
          </w:tcPr>
          <w:p w14:paraId="078080F7" w14:textId="77777777" w:rsidR="002268E7" w:rsidRPr="00B916EC" w:rsidRDefault="002268E7" w:rsidP="0060031D">
            <w:pPr>
              <w:pStyle w:val="TAC"/>
            </w:pPr>
            <w:r w:rsidRPr="00B916EC">
              <w:rPr>
                <w:rFonts w:cs="Arial"/>
                <w:kern w:val="24"/>
                <w:szCs w:val="18"/>
              </w:rPr>
              <w:t>8</w:t>
            </w:r>
          </w:p>
        </w:tc>
      </w:tr>
      <w:tr w:rsidR="002268E7" w:rsidRPr="00B916EC" w14:paraId="3BF88192" w14:textId="77777777" w:rsidTr="00B73508">
        <w:trPr>
          <w:cantSplit/>
        </w:trPr>
        <w:tc>
          <w:tcPr>
            <w:tcW w:w="800" w:type="dxa"/>
            <w:tcBorders>
              <w:right w:val="double" w:sz="4" w:space="0" w:color="auto"/>
            </w:tcBorders>
            <w:shd w:val="clear" w:color="auto" w:fill="auto"/>
            <w:vAlign w:val="center"/>
          </w:tcPr>
          <w:p w14:paraId="20175967" w14:textId="77777777" w:rsidR="002268E7" w:rsidRPr="00B916EC" w:rsidRDefault="002268E7" w:rsidP="0060031D">
            <w:pPr>
              <w:pStyle w:val="TAC"/>
            </w:pPr>
            <w:r w:rsidRPr="00B916EC">
              <w:t>6</w:t>
            </w:r>
          </w:p>
        </w:tc>
        <w:tc>
          <w:tcPr>
            <w:tcW w:w="3451" w:type="dxa"/>
            <w:tcBorders>
              <w:left w:val="double" w:sz="4" w:space="0" w:color="auto"/>
            </w:tcBorders>
            <w:vAlign w:val="center"/>
          </w:tcPr>
          <w:p w14:paraId="3ACD80A9" w14:textId="77777777" w:rsidR="002268E7" w:rsidRPr="00B916EC" w:rsidRDefault="002268E7" w:rsidP="0060031D">
            <w:pPr>
              <w:pStyle w:val="TAC"/>
            </w:pPr>
            <w:r w:rsidRPr="00B916EC">
              <w:rPr>
                <w:rFonts w:cs="Arial"/>
                <w:kern w:val="24"/>
                <w:szCs w:val="18"/>
              </w:rPr>
              <w:t xml:space="preserve">1 </w:t>
            </w:r>
          </w:p>
        </w:tc>
        <w:tc>
          <w:tcPr>
            <w:tcW w:w="1573" w:type="dxa"/>
            <w:vAlign w:val="center"/>
          </w:tcPr>
          <w:p w14:paraId="78CDAEBB" w14:textId="77777777" w:rsidR="002268E7" w:rsidRPr="00B916EC" w:rsidRDefault="002268E7" w:rsidP="0060031D">
            <w:pPr>
              <w:pStyle w:val="TAC"/>
            </w:pPr>
            <w:r w:rsidRPr="00B916EC">
              <w:rPr>
                <w:rFonts w:cs="Arial"/>
                <w:kern w:val="24"/>
                <w:szCs w:val="18"/>
              </w:rPr>
              <w:t>96</w:t>
            </w:r>
          </w:p>
        </w:tc>
        <w:tc>
          <w:tcPr>
            <w:tcW w:w="1884" w:type="dxa"/>
            <w:vAlign w:val="center"/>
          </w:tcPr>
          <w:p w14:paraId="05B525E3" w14:textId="77777777" w:rsidR="002268E7" w:rsidRPr="00B916EC" w:rsidRDefault="002268E7" w:rsidP="0060031D">
            <w:pPr>
              <w:pStyle w:val="TAC"/>
            </w:pPr>
            <w:r w:rsidRPr="00B916EC">
              <w:rPr>
                <w:rFonts w:cs="Arial"/>
                <w:kern w:val="24"/>
                <w:szCs w:val="18"/>
              </w:rPr>
              <w:t>1</w:t>
            </w:r>
          </w:p>
        </w:tc>
        <w:tc>
          <w:tcPr>
            <w:tcW w:w="1499" w:type="dxa"/>
            <w:vAlign w:val="center"/>
          </w:tcPr>
          <w:p w14:paraId="117B22F3" w14:textId="77777777" w:rsidR="002268E7" w:rsidRPr="00B916EC" w:rsidRDefault="002268E7" w:rsidP="0060031D">
            <w:pPr>
              <w:pStyle w:val="TAC"/>
            </w:pPr>
            <w:r w:rsidRPr="00B916EC">
              <w:rPr>
                <w:rFonts w:cs="Arial"/>
                <w:kern w:val="24"/>
                <w:szCs w:val="18"/>
              </w:rPr>
              <w:t>28</w:t>
            </w:r>
          </w:p>
        </w:tc>
      </w:tr>
      <w:tr w:rsidR="002268E7" w:rsidRPr="00B916EC" w14:paraId="6746DE53" w14:textId="77777777" w:rsidTr="00B73508">
        <w:trPr>
          <w:cantSplit/>
        </w:trPr>
        <w:tc>
          <w:tcPr>
            <w:tcW w:w="800" w:type="dxa"/>
            <w:tcBorders>
              <w:right w:val="double" w:sz="4" w:space="0" w:color="auto"/>
            </w:tcBorders>
            <w:shd w:val="clear" w:color="auto" w:fill="auto"/>
            <w:vAlign w:val="center"/>
          </w:tcPr>
          <w:p w14:paraId="478F87D8" w14:textId="77777777" w:rsidR="002268E7" w:rsidRPr="00B916EC" w:rsidRDefault="002268E7" w:rsidP="0060031D">
            <w:pPr>
              <w:pStyle w:val="TAC"/>
            </w:pPr>
            <w:r w:rsidRPr="00B916EC">
              <w:t>7</w:t>
            </w:r>
          </w:p>
        </w:tc>
        <w:tc>
          <w:tcPr>
            <w:tcW w:w="3451" w:type="dxa"/>
            <w:tcBorders>
              <w:left w:val="double" w:sz="4" w:space="0" w:color="auto"/>
            </w:tcBorders>
            <w:vAlign w:val="center"/>
          </w:tcPr>
          <w:p w14:paraId="685B4015" w14:textId="77777777" w:rsidR="002268E7" w:rsidRPr="00B916EC" w:rsidRDefault="002268E7" w:rsidP="0060031D">
            <w:pPr>
              <w:pStyle w:val="TAC"/>
            </w:pPr>
            <w:r w:rsidRPr="00B916EC">
              <w:rPr>
                <w:rFonts w:cs="Arial"/>
                <w:kern w:val="24"/>
                <w:szCs w:val="18"/>
              </w:rPr>
              <w:t xml:space="preserve">1 </w:t>
            </w:r>
          </w:p>
        </w:tc>
        <w:tc>
          <w:tcPr>
            <w:tcW w:w="1573" w:type="dxa"/>
            <w:vAlign w:val="center"/>
          </w:tcPr>
          <w:p w14:paraId="0FB664EF" w14:textId="77777777" w:rsidR="002268E7" w:rsidRPr="00B916EC" w:rsidRDefault="002268E7" w:rsidP="0060031D">
            <w:pPr>
              <w:pStyle w:val="TAC"/>
            </w:pPr>
            <w:r w:rsidRPr="00B916EC">
              <w:rPr>
                <w:rFonts w:cs="Arial"/>
                <w:kern w:val="24"/>
                <w:szCs w:val="18"/>
              </w:rPr>
              <w:t>96</w:t>
            </w:r>
          </w:p>
        </w:tc>
        <w:tc>
          <w:tcPr>
            <w:tcW w:w="1884" w:type="dxa"/>
            <w:vAlign w:val="center"/>
          </w:tcPr>
          <w:p w14:paraId="634AEF9A" w14:textId="77777777" w:rsidR="002268E7" w:rsidRPr="00B916EC" w:rsidRDefault="002268E7" w:rsidP="0060031D">
            <w:pPr>
              <w:pStyle w:val="TAC"/>
            </w:pPr>
            <w:r w:rsidRPr="00B916EC">
              <w:rPr>
                <w:rFonts w:cs="Arial"/>
                <w:kern w:val="24"/>
                <w:szCs w:val="18"/>
              </w:rPr>
              <w:t>2</w:t>
            </w:r>
          </w:p>
        </w:tc>
        <w:tc>
          <w:tcPr>
            <w:tcW w:w="1499" w:type="dxa"/>
            <w:vAlign w:val="center"/>
          </w:tcPr>
          <w:p w14:paraId="4CD6CB6C" w14:textId="77777777" w:rsidR="002268E7" w:rsidRPr="00B916EC" w:rsidRDefault="002268E7" w:rsidP="0060031D">
            <w:pPr>
              <w:pStyle w:val="TAC"/>
            </w:pPr>
            <w:r w:rsidRPr="00B916EC">
              <w:rPr>
                <w:rFonts w:cs="Arial"/>
                <w:kern w:val="24"/>
                <w:szCs w:val="18"/>
              </w:rPr>
              <w:t>28</w:t>
            </w:r>
          </w:p>
        </w:tc>
      </w:tr>
      <w:tr w:rsidR="00A646A7" w:rsidRPr="00B916EC" w14:paraId="542EF1FF" w14:textId="77777777" w:rsidTr="00B73508">
        <w:trPr>
          <w:cantSplit/>
        </w:trPr>
        <w:tc>
          <w:tcPr>
            <w:tcW w:w="800" w:type="dxa"/>
            <w:tcBorders>
              <w:right w:val="double" w:sz="4" w:space="0" w:color="auto"/>
            </w:tcBorders>
            <w:shd w:val="clear" w:color="auto" w:fill="auto"/>
            <w:vAlign w:val="center"/>
          </w:tcPr>
          <w:p w14:paraId="24CC0C2B" w14:textId="77777777" w:rsidR="00A646A7" w:rsidRPr="00B916EC" w:rsidRDefault="00A646A7" w:rsidP="00A646A7">
            <w:pPr>
              <w:pStyle w:val="TAC"/>
            </w:pPr>
            <w:r w:rsidRPr="00B916EC">
              <w:t>8</w:t>
            </w:r>
          </w:p>
        </w:tc>
        <w:tc>
          <w:tcPr>
            <w:tcW w:w="3451" w:type="dxa"/>
            <w:tcBorders>
              <w:left w:val="double" w:sz="4" w:space="0" w:color="auto"/>
            </w:tcBorders>
            <w:vAlign w:val="center"/>
          </w:tcPr>
          <w:p w14:paraId="42FB8452" w14:textId="77777777" w:rsidR="00A646A7" w:rsidRPr="00B916EC" w:rsidRDefault="00A646A7" w:rsidP="00A646A7">
            <w:pPr>
              <w:pStyle w:val="TAC"/>
            </w:pPr>
            <w:r w:rsidRPr="00B916EC">
              <w:rPr>
                <w:rFonts w:cs="Arial"/>
                <w:kern w:val="24"/>
                <w:szCs w:val="18"/>
              </w:rPr>
              <w:t>2</w:t>
            </w:r>
          </w:p>
        </w:tc>
        <w:tc>
          <w:tcPr>
            <w:tcW w:w="1573" w:type="dxa"/>
            <w:vAlign w:val="center"/>
          </w:tcPr>
          <w:p w14:paraId="46100831" w14:textId="77777777" w:rsidR="00A646A7" w:rsidRPr="00B916EC" w:rsidRDefault="00A646A7" w:rsidP="00A646A7">
            <w:pPr>
              <w:pStyle w:val="TAC"/>
            </w:pPr>
            <w:r w:rsidRPr="00B916EC">
              <w:rPr>
                <w:rFonts w:cs="Arial"/>
                <w:kern w:val="24"/>
                <w:szCs w:val="18"/>
              </w:rPr>
              <w:t>48</w:t>
            </w:r>
          </w:p>
        </w:tc>
        <w:tc>
          <w:tcPr>
            <w:tcW w:w="1884" w:type="dxa"/>
            <w:vAlign w:val="center"/>
          </w:tcPr>
          <w:p w14:paraId="701727CC" w14:textId="77777777" w:rsidR="00A646A7" w:rsidRPr="00B916EC" w:rsidRDefault="00A646A7" w:rsidP="00A646A7">
            <w:pPr>
              <w:pStyle w:val="TAC"/>
            </w:pPr>
            <w:r w:rsidRPr="00B916EC">
              <w:rPr>
                <w:rFonts w:cs="Arial"/>
                <w:kern w:val="24"/>
                <w:szCs w:val="18"/>
              </w:rPr>
              <w:t>1</w:t>
            </w:r>
          </w:p>
        </w:tc>
        <w:tc>
          <w:tcPr>
            <w:tcW w:w="1499" w:type="dxa"/>
            <w:vAlign w:val="center"/>
          </w:tcPr>
          <w:p w14:paraId="2DAA371C" w14:textId="5A6A37EB" w:rsidR="00A646A7" w:rsidRPr="00B27E56" w:rsidRDefault="00A646A7" w:rsidP="00A646A7">
            <w:pPr>
              <w:pStyle w:val="TAC"/>
              <w:rPr>
                <w:rFonts w:cs="Arial"/>
                <w:kern w:val="24"/>
                <w:szCs w:val="18"/>
              </w:rPr>
            </w:pPr>
            <w:r w:rsidRPr="00B27E56">
              <w:rPr>
                <w:rFonts w:cs="Arial"/>
                <w:kern w:val="24"/>
                <w:szCs w:val="18"/>
              </w:rPr>
              <w:t xml:space="preserve">-41 if </w:t>
            </w:r>
            <m:oMath>
              <m:sSub>
                <m:sSubPr>
                  <m:ctrlPr>
                    <w:rPr>
                      <w:rFonts w:ascii="Cambria Math" w:hAnsi="Cambria Math"/>
                      <w:iCs/>
                      <w:sz w:val="20"/>
                      <w:lang w:val="en-US"/>
                    </w:rPr>
                  </m:ctrlPr>
                </m:sSubPr>
                <m:e>
                  <m:r>
                    <w:rPr>
                      <w:rFonts w:ascii="Cambria Math" w:hAnsi="Cambria Math"/>
                      <w:lang w:val="en-US"/>
                    </w:rPr>
                    <m:t>k</m:t>
                  </m:r>
                </m:e>
                <m:sub>
                  <m:r>
                    <m:rPr>
                      <m:sty m:val="p"/>
                    </m:rPr>
                    <w:rPr>
                      <w:rFonts w:ascii="Cambria Math" w:hAnsi="Cambria Math"/>
                      <w:lang w:val="en-US"/>
                    </w:rPr>
                    <m:t>SSB</m:t>
                  </m:r>
                </m:sub>
              </m:sSub>
              <m:r>
                <w:rPr>
                  <w:rFonts w:ascii="Cambria Math" w:hAnsi="Cambria Math"/>
                  <w:sz w:val="20"/>
                  <w:lang w:val="en-US"/>
                </w:rPr>
                <m:t>=0</m:t>
              </m:r>
            </m:oMath>
            <w:r w:rsidRPr="00B27E56">
              <w:rPr>
                <w:rFonts w:cs="Arial"/>
                <w:kern w:val="24"/>
                <w:szCs w:val="18"/>
              </w:rPr>
              <w:t xml:space="preserve"> </w:t>
            </w:r>
          </w:p>
          <w:p w14:paraId="253DF00D" w14:textId="37F02995" w:rsidR="00A646A7" w:rsidRPr="00B916EC" w:rsidRDefault="00A646A7" w:rsidP="00A646A7">
            <w:pPr>
              <w:pStyle w:val="TAC"/>
            </w:pPr>
            <w:r w:rsidRPr="00B27E56">
              <w:rPr>
                <w:rFonts w:cs="Arial"/>
                <w:kern w:val="24"/>
                <w:szCs w:val="18"/>
              </w:rPr>
              <w:t xml:space="preserve">-42 if </w:t>
            </w:r>
            <m:oMath>
              <m:sSub>
                <m:sSubPr>
                  <m:ctrlPr>
                    <w:rPr>
                      <w:rFonts w:ascii="Cambria Math" w:hAnsi="Cambria Math"/>
                      <w:iCs/>
                      <w:sz w:val="20"/>
                      <w:lang w:val="en-US"/>
                    </w:rPr>
                  </m:ctrlPr>
                </m:sSubPr>
                <m:e>
                  <m:r>
                    <w:rPr>
                      <w:rFonts w:ascii="Cambria Math" w:hAnsi="Cambria Math"/>
                      <w:lang w:val="en-US"/>
                    </w:rPr>
                    <m:t>k</m:t>
                  </m:r>
                </m:e>
                <m:sub>
                  <m:r>
                    <m:rPr>
                      <m:sty m:val="p"/>
                    </m:rPr>
                    <w:rPr>
                      <w:rFonts w:ascii="Cambria Math" w:hAnsi="Cambria Math"/>
                      <w:lang w:val="en-US"/>
                    </w:rPr>
                    <m:t>SSB</m:t>
                  </m:r>
                </m:sub>
              </m:sSub>
              <m:r>
                <w:rPr>
                  <w:rFonts w:ascii="Cambria Math" w:hAnsi="Cambria Math"/>
                  <w:sz w:val="20"/>
                  <w:lang w:val="en-US"/>
                </w:rPr>
                <m:t>&gt;0</m:t>
              </m:r>
            </m:oMath>
            <w:r w:rsidRPr="00B27E56">
              <w:rPr>
                <w:rFonts w:cs="Arial"/>
                <w:kern w:val="24"/>
                <w:szCs w:val="18"/>
              </w:rPr>
              <w:t xml:space="preserve"> </w:t>
            </w:r>
          </w:p>
        </w:tc>
      </w:tr>
      <w:tr w:rsidR="00A646A7" w:rsidRPr="00B916EC" w14:paraId="3E00DC9B" w14:textId="77777777" w:rsidTr="00B73508">
        <w:trPr>
          <w:cantSplit/>
        </w:trPr>
        <w:tc>
          <w:tcPr>
            <w:tcW w:w="800" w:type="dxa"/>
            <w:tcBorders>
              <w:right w:val="double" w:sz="4" w:space="0" w:color="auto"/>
            </w:tcBorders>
            <w:shd w:val="clear" w:color="auto" w:fill="auto"/>
            <w:vAlign w:val="center"/>
          </w:tcPr>
          <w:p w14:paraId="2806A439" w14:textId="77777777" w:rsidR="00A646A7" w:rsidRPr="00B916EC" w:rsidRDefault="00A646A7" w:rsidP="00A646A7">
            <w:pPr>
              <w:pStyle w:val="TAC"/>
            </w:pPr>
            <w:r w:rsidRPr="00B916EC">
              <w:t>9</w:t>
            </w:r>
          </w:p>
        </w:tc>
        <w:tc>
          <w:tcPr>
            <w:tcW w:w="3451" w:type="dxa"/>
            <w:tcBorders>
              <w:left w:val="double" w:sz="4" w:space="0" w:color="auto"/>
            </w:tcBorders>
            <w:vAlign w:val="center"/>
          </w:tcPr>
          <w:p w14:paraId="21D6D75B" w14:textId="77777777" w:rsidR="00A646A7" w:rsidRPr="00B916EC" w:rsidRDefault="00A646A7" w:rsidP="00A646A7">
            <w:pPr>
              <w:pStyle w:val="TAC"/>
            </w:pPr>
            <w:r w:rsidRPr="00B916EC">
              <w:rPr>
                <w:rFonts w:cs="Arial"/>
                <w:kern w:val="24"/>
                <w:szCs w:val="18"/>
              </w:rPr>
              <w:t xml:space="preserve">2 </w:t>
            </w:r>
          </w:p>
        </w:tc>
        <w:tc>
          <w:tcPr>
            <w:tcW w:w="1573" w:type="dxa"/>
            <w:vAlign w:val="center"/>
          </w:tcPr>
          <w:p w14:paraId="4A107DD3" w14:textId="77777777" w:rsidR="00A646A7" w:rsidRPr="00B916EC" w:rsidRDefault="00A646A7" w:rsidP="00A646A7">
            <w:pPr>
              <w:pStyle w:val="TAC"/>
            </w:pPr>
            <w:r w:rsidRPr="00B916EC">
              <w:rPr>
                <w:rFonts w:cs="Arial"/>
                <w:kern w:val="24"/>
                <w:szCs w:val="18"/>
              </w:rPr>
              <w:t>48</w:t>
            </w:r>
          </w:p>
        </w:tc>
        <w:tc>
          <w:tcPr>
            <w:tcW w:w="1884" w:type="dxa"/>
            <w:vAlign w:val="center"/>
          </w:tcPr>
          <w:p w14:paraId="75B7D13B" w14:textId="77777777" w:rsidR="00A646A7" w:rsidRPr="00B916EC" w:rsidRDefault="00A646A7" w:rsidP="00A646A7">
            <w:pPr>
              <w:pStyle w:val="TAC"/>
            </w:pPr>
            <w:r w:rsidRPr="00B916EC">
              <w:rPr>
                <w:rFonts w:cs="Arial"/>
                <w:kern w:val="24"/>
                <w:szCs w:val="18"/>
              </w:rPr>
              <w:t>1</w:t>
            </w:r>
          </w:p>
        </w:tc>
        <w:tc>
          <w:tcPr>
            <w:tcW w:w="1499" w:type="dxa"/>
            <w:vAlign w:val="center"/>
          </w:tcPr>
          <w:p w14:paraId="27E2AC83" w14:textId="542AE7F5" w:rsidR="00A646A7" w:rsidRPr="00B916EC" w:rsidRDefault="00A646A7" w:rsidP="00A646A7">
            <w:pPr>
              <w:pStyle w:val="TAC"/>
            </w:pPr>
            <w:r w:rsidRPr="00B27E56">
              <w:rPr>
                <w:rFonts w:cs="Arial"/>
                <w:kern w:val="24"/>
                <w:szCs w:val="18"/>
              </w:rPr>
              <w:t xml:space="preserve">49 </w:t>
            </w:r>
          </w:p>
        </w:tc>
      </w:tr>
      <w:tr w:rsidR="00A646A7" w:rsidRPr="00B916EC" w14:paraId="197398F6" w14:textId="77777777" w:rsidTr="00B73508">
        <w:trPr>
          <w:cantSplit/>
        </w:trPr>
        <w:tc>
          <w:tcPr>
            <w:tcW w:w="800" w:type="dxa"/>
            <w:tcBorders>
              <w:right w:val="double" w:sz="4" w:space="0" w:color="auto"/>
            </w:tcBorders>
            <w:shd w:val="clear" w:color="auto" w:fill="auto"/>
            <w:vAlign w:val="center"/>
          </w:tcPr>
          <w:p w14:paraId="421BF6EE" w14:textId="77777777" w:rsidR="00A646A7" w:rsidRPr="00B916EC" w:rsidRDefault="00A646A7" w:rsidP="00A646A7">
            <w:pPr>
              <w:pStyle w:val="TAC"/>
            </w:pPr>
            <w:r w:rsidRPr="00B916EC">
              <w:t>1</w:t>
            </w:r>
            <w:r>
              <w:t>0</w:t>
            </w:r>
          </w:p>
        </w:tc>
        <w:tc>
          <w:tcPr>
            <w:tcW w:w="3451" w:type="dxa"/>
            <w:tcBorders>
              <w:left w:val="double" w:sz="4" w:space="0" w:color="auto"/>
            </w:tcBorders>
            <w:vAlign w:val="center"/>
          </w:tcPr>
          <w:p w14:paraId="45DCF362" w14:textId="77777777" w:rsidR="00A646A7" w:rsidRPr="00B916EC" w:rsidRDefault="00A646A7" w:rsidP="00A646A7">
            <w:pPr>
              <w:pStyle w:val="TAC"/>
            </w:pPr>
            <w:r w:rsidRPr="00B916EC">
              <w:rPr>
                <w:rFonts w:cs="Arial"/>
                <w:kern w:val="24"/>
                <w:szCs w:val="18"/>
              </w:rPr>
              <w:t xml:space="preserve">2 </w:t>
            </w:r>
          </w:p>
        </w:tc>
        <w:tc>
          <w:tcPr>
            <w:tcW w:w="1573" w:type="dxa"/>
            <w:vAlign w:val="center"/>
          </w:tcPr>
          <w:p w14:paraId="4871D828" w14:textId="77777777" w:rsidR="00A646A7" w:rsidRPr="00B916EC" w:rsidRDefault="00A646A7" w:rsidP="00A646A7">
            <w:pPr>
              <w:pStyle w:val="TAC"/>
            </w:pPr>
            <w:r w:rsidRPr="00B916EC">
              <w:rPr>
                <w:rFonts w:cs="Arial"/>
                <w:kern w:val="24"/>
                <w:szCs w:val="18"/>
              </w:rPr>
              <w:t xml:space="preserve">96 </w:t>
            </w:r>
          </w:p>
        </w:tc>
        <w:tc>
          <w:tcPr>
            <w:tcW w:w="1884" w:type="dxa"/>
            <w:vAlign w:val="center"/>
          </w:tcPr>
          <w:p w14:paraId="527E6367" w14:textId="77777777" w:rsidR="00A646A7" w:rsidRPr="00B916EC" w:rsidRDefault="00A646A7" w:rsidP="00A646A7">
            <w:pPr>
              <w:pStyle w:val="TAC"/>
            </w:pPr>
            <w:r w:rsidRPr="00B916EC">
              <w:rPr>
                <w:rFonts w:cs="Arial"/>
                <w:kern w:val="24"/>
                <w:szCs w:val="18"/>
              </w:rPr>
              <w:t>1</w:t>
            </w:r>
          </w:p>
        </w:tc>
        <w:tc>
          <w:tcPr>
            <w:tcW w:w="1499" w:type="dxa"/>
            <w:vAlign w:val="center"/>
          </w:tcPr>
          <w:p w14:paraId="714D7035" w14:textId="13781299" w:rsidR="00A646A7" w:rsidRPr="00B27E56" w:rsidRDefault="00A646A7" w:rsidP="00A646A7">
            <w:pPr>
              <w:pStyle w:val="TAC"/>
              <w:rPr>
                <w:rFonts w:cs="Arial"/>
                <w:kern w:val="24"/>
                <w:szCs w:val="18"/>
              </w:rPr>
            </w:pPr>
            <w:r w:rsidRPr="00B27E56">
              <w:rPr>
                <w:rFonts w:cs="Arial"/>
                <w:kern w:val="24"/>
                <w:szCs w:val="18"/>
              </w:rPr>
              <w:t xml:space="preserve">-41 if </w:t>
            </w:r>
            <m:oMath>
              <m:sSub>
                <m:sSubPr>
                  <m:ctrlPr>
                    <w:rPr>
                      <w:rFonts w:ascii="Cambria Math" w:hAnsi="Cambria Math"/>
                      <w:iCs/>
                      <w:sz w:val="20"/>
                      <w:lang w:val="en-US"/>
                    </w:rPr>
                  </m:ctrlPr>
                </m:sSubPr>
                <m:e>
                  <m:r>
                    <w:rPr>
                      <w:rFonts w:ascii="Cambria Math" w:hAnsi="Cambria Math"/>
                      <w:lang w:val="en-US"/>
                    </w:rPr>
                    <m:t>k</m:t>
                  </m:r>
                </m:e>
                <m:sub>
                  <m:r>
                    <m:rPr>
                      <m:sty m:val="p"/>
                    </m:rPr>
                    <w:rPr>
                      <w:rFonts w:ascii="Cambria Math" w:hAnsi="Cambria Math"/>
                      <w:lang w:val="en-US"/>
                    </w:rPr>
                    <m:t>SSB</m:t>
                  </m:r>
                </m:sub>
              </m:sSub>
              <m:r>
                <w:rPr>
                  <w:rFonts w:ascii="Cambria Math" w:hAnsi="Cambria Math"/>
                  <w:sz w:val="20"/>
                  <w:lang w:val="en-US"/>
                </w:rPr>
                <m:t>=0</m:t>
              </m:r>
            </m:oMath>
          </w:p>
          <w:p w14:paraId="1815DAB2" w14:textId="006E266B" w:rsidR="00A646A7" w:rsidRPr="00B916EC" w:rsidRDefault="00A646A7" w:rsidP="00A646A7">
            <w:pPr>
              <w:pStyle w:val="TAC"/>
            </w:pPr>
            <w:r w:rsidRPr="00B27E56">
              <w:rPr>
                <w:rFonts w:cs="Arial"/>
                <w:kern w:val="24"/>
                <w:szCs w:val="18"/>
              </w:rPr>
              <w:t xml:space="preserve">-42 if </w:t>
            </w:r>
            <m:oMath>
              <m:sSub>
                <m:sSubPr>
                  <m:ctrlPr>
                    <w:rPr>
                      <w:rFonts w:ascii="Cambria Math" w:hAnsi="Cambria Math"/>
                      <w:iCs/>
                      <w:sz w:val="20"/>
                      <w:lang w:val="en-US"/>
                    </w:rPr>
                  </m:ctrlPr>
                </m:sSubPr>
                <m:e>
                  <m:r>
                    <w:rPr>
                      <w:rFonts w:ascii="Cambria Math" w:hAnsi="Cambria Math"/>
                      <w:lang w:val="en-US"/>
                    </w:rPr>
                    <m:t>k</m:t>
                  </m:r>
                </m:e>
                <m:sub>
                  <m:r>
                    <m:rPr>
                      <m:sty m:val="p"/>
                    </m:rPr>
                    <w:rPr>
                      <w:rFonts w:ascii="Cambria Math" w:hAnsi="Cambria Math"/>
                      <w:lang w:val="en-US"/>
                    </w:rPr>
                    <m:t>SSB</m:t>
                  </m:r>
                </m:sub>
              </m:sSub>
              <m:r>
                <w:rPr>
                  <w:rFonts w:ascii="Cambria Math" w:hAnsi="Cambria Math"/>
                  <w:sz w:val="20"/>
                  <w:lang w:val="en-US"/>
                </w:rPr>
                <m:t>&gt;0</m:t>
              </m:r>
            </m:oMath>
          </w:p>
        </w:tc>
      </w:tr>
      <w:tr w:rsidR="002268E7" w:rsidRPr="00B916EC" w14:paraId="2A61B833" w14:textId="77777777" w:rsidTr="00B73508">
        <w:trPr>
          <w:cantSplit/>
        </w:trPr>
        <w:tc>
          <w:tcPr>
            <w:tcW w:w="800" w:type="dxa"/>
            <w:tcBorders>
              <w:right w:val="double" w:sz="4" w:space="0" w:color="auto"/>
            </w:tcBorders>
            <w:shd w:val="clear" w:color="auto" w:fill="auto"/>
            <w:vAlign w:val="center"/>
          </w:tcPr>
          <w:p w14:paraId="02BFD4FC" w14:textId="77777777" w:rsidR="002268E7" w:rsidRPr="00B916EC" w:rsidRDefault="00BC794F" w:rsidP="00BC794F">
            <w:pPr>
              <w:pStyle w:val="TAC"/>
            </w:pPr>
            <w:r w:rsidRPr="00B916EC">
              <w:t>1</w:t>
            </w:r>
            <w:r>
              <w:t>1</w:t>
            </w:r>
          </w:p>
        </w:tc>
        <w:tc>
          <w:tcPr>
            <w:tcW w:w="3451" w:type="dxa"/>
            <w:tcBorders>
              <w:left w:val="double" w:sz="4" w:space="0" w:color="auto"/>
            </w:tcBorders>
            <w:vAlign w:val="center"/>
          </w:tcPr>
          <w:p w14:paraId="145A8331" w14:textId="77777777" w:rsidR="002268E7" w:rsidRPr="00B916EC" w:rsidRDefault="008B12E7" w:rsidP="0060031D">
            <w:pPr>
              <w:pStyle w:val="TAC"/>
            </w:pPr>
            <w:r w:rsidRPr="00B916EC">
              <w:rPr>
                <w:rFonts w:cs="Arial"/>
                <w:kern w:val="24"/>
                <w:szCs w:val="18"/>
              </w:rPr>
              <w:t>2</w:t>
            </w:r>
            <w:r w:rsidR="002268E7" w:rsidRPr="00B916EC">
              <w:rPr>
                <w:rFonts w:cs="Arial"/>
                <w:kern w:val="24"/>
                <w:szCs w:val="18"/>
              </w:rPr>
              <w:t xml:space="preserve"> </w:t>
            </w:r>
          </w:p>
        </w:tc>
        <w:tc>
          <w:tcPr>
            <w:tcW w:w="1573" w:type="dxa"/>
            <w:vAlign w:val="center"/>
          </w:tcPr>
          <w:p w14:paraId="6F67B8C1" w14:textId="77777777" w:rsidR="002268E7" w:rsidRPr="00B916EC" w:rsidRDefault="008B12E7" w:rsidP="0060031D">
            <w:pPr>
              <w:pStyle w:val="TAC"/>
            </w:pPr>
            <w:r w:rsidRPr="00B916EC">
              <w:rPr>
                <w:rFonts w:cs="Arial"/>
                <w:kern w:val="24"/>
                <w:szCs w:val="18"/>
              </w:rPr>
              <w:t>96</w:t>
            </w:r>
            <w:r w:rsidR="002268E7" w:rsidRPr="00B916EC">
              <w:rPr>
                <w:rFonts w:cs="Arial"/>
                <w:kern w:val="24"/>
                <w:szCs w:val="18"/>
              </w:rPr>
              <w:t xml:space="preserve"> </w:t>
            </w:r>
          </w:p>
        </w:tc>
        <w:tc>
          <w:tcPr>
            <w:tcW w:w="1884" w:type="dxa"/>
            <w:vAlign w:val="center"/>
          </w:tcPr>
          <w:p w14:paraId="7927BFAB" w14:textId="77777777" w:rsidR="002268E7" w:rsidRPr="00B916EC" w:rsidRDefault="002268E7" w:rsidP="0060031D">
            <w:pPr>
              <w:pStyle w:val="TAC"/>
            </w:pPr>
            <w:r w:rsidRPr="00B916EC">
              <w:rPr>
                <w:rFonts w:cs="Arial"/>
                <w:kern w:val="24"/>
                <w:szCs w:val="18"/>
              </w:rPr>
              <w:t xml:space="preserve">1 </w:t>
            </w:r>
          </w:p>
        </w:tc>
        <w:tc>
          <w:tcPr>
            <w:tcW w:w="1499" w:type="dxa"/>
            <w:vAlign w:val="center"/>
          </w:tcPr>
          <w:p w14:paraId="04F0F132" w14:textId="77777777" w:rsidR="002268E7" w:rsidRPr="00B916EC" w:rsidRDefault="008B12E7" w:rsidP="0060031D">
            <w:pPr>
              <w:pStyle w:val="TAC"/>
            </w:pPr>
            <w:r w:rsidRPr="00B916EC">
              <w:rPr>
                <w:rFonts w:cs="Arial"/>
                <w:kern w:val="24"/>
                <w:szCs w:val="18"/>
              </w:rPr>
              <w:t>97</w:t>
            </w:r>
            <w:r w:rsidR="002268E7" w:rsidRPr="00B916EC">
              <w:rPr>
                <w:rFonts w:cs="Arial"/>
                <w:kern w:val="24"/>
                <w:szCs w:val="18"/>
              </w:rPr>
              <w:t xml:space="preserve"> </w:t>
            </w:r>
          </w:p>
        </w:tc>
      </w:tr>
      <w:tr w:rsidR="00BC794F" w:rsidRPr="00B916EC" w:rsidDel="00BC794F" w14:paraId="3C8F235E" w14:textId="77777777" w:rsidTr="00B73508">
        <w:trPr>
          <w:cantSplit/>
        </w:trPr>
        <w:tc>
          <w:tcPr>
            <w:tcW w:w="800" w:type="dxa"/>
            <w:tcBorders>
              <w:right w:val="double" w:sz="4" w:space="0" w:color="auto"/>
            </w:tcBorders>
            <w:shd w:val="clear" w:color="auto" w:fill="auto"/>
            <w:vAlign w:val="center"/>
          </w:tcPr>
          <w:p w14:paraId="01E43660" w14:textId="77777777" w:rsidR="00BC794F" w:rsidRPr="00B916EC" w:rsidDel="00BC794F" w:rsidRDefault="00BC794F" w:rsidP="00BC794F">
            <w:pPr>
              <w:pStyle w:val="TAC"/>
              <w:rPr>
                <w:rFonts w:cs="Arial"/>
                <w:kern w:val="24"/>
                <w:szCs w:val="18"/>
              </w:rPr>
            </w:pPr>
            <w:r w:rsidRPr="00B916EC">
              <w:t>12</w:t>
            </w:r>
          </w:p>
        </w:tc>
        <w:tc>
          <w:tcPr>
            <w:tcW w:w="8407" w:type="dxa"/>
            <w:gridSpan w:val="4"/>
            <w:tcBorders>
              <w:left w:val="double" w:sz="4" w:space="0" w:color="auto"/>
            </w:tcBorders>
            <w:vAlign w:val="center"/>
          </w:tcPr>
          <w:p w14:paraId="2B06BD0B" w14:textId="77777777" w:rsidR="00BC794F" w:rsidRPr="00B916EC" w:rsidDel="00BC794F" w:rsidRDefault="00BC794F" w:rsidP="00BC794F">
            <w:pPr>
              <w:pStyle w:val="TAC"/>
              <w:rPr>
                <w:rFonts w:cs="Arial"/>
                <w:kern w:val="24"/>
                <w:szCs w:val="18"/>
              </w:rPr>
            </w:pPr>
            <w:r w:rsidRPr="00B916EC">
              <w:rPr>
                <w:rFonts w:cs="Arial"/>
                <w:kern w:val="24"/>
                <w:szCs w:val="18"/>
              </w:rPr>
              <w:t>Reserved</w:t>
            </w:r>
          </w:p>
        </w:tc>
      </w:tr>
      <w:tr w:rsidR="00BC794F" w:rsidRPr="00B916EC" w:rsidDel="00BC794F" w14:paraId="5AF05569" w14:textId="77777777" w:rsidTr="00B73508">
        <w:trPr>
          <w:cantSplit/>
        </w:trPr>
        <w:tc>
          <w:tcPr>
            <w:tcW w:w="800" w:type="dxa"/>
            <w:tcBorders>
              <w:right w:val="double" w:sz="4" w:space="0" w:color="auto"/>
            </w:tcBorders>
            <w:shd w:val="clear" w:color="auto" w:fill="auto"/>
            <w:vAlign w:val="center"/>
          </w:tcPr>
          <w:p w14:paraId="5A4CABDB" w14:textId="77777777" w:rsidR="00BC794F" w:rsidRPr="00B916EC" w:rsidDel="00BC794F" w:rsidRDefault="00BC794F" w:rsidP="00BC794F">
            <w:pPr>
              <w:pStyle w:val="TAC"/>
              <w:rPr>
                <w:rFonts w:cs="Arial"/>
                <w:kern w:val="24"/>
                <w:szCs w:val="18"/>
              </w:rPr>
            </w:pPr>
            <w:r w:rsidRPr="00B916EC">
              <w:t>13</w:t>
            </w:r>
          </w:p>
        </w:tc>
        <w:tc>
          <w:tcPr>
            <w:tcW w:w="8407" w:type="dxa"/>
            <w:gridSpan w:val="4"/>
            <w:tcBorders>
              <w:left w:val="double" w:sz="4" w:space="0" w:color="auto"/>
            </w:tcBorders>
            <w:vAlign w:val="center"/>
          </w:tcPr>
          <w:p w14:paraId="4A69E12D" w14:textId="77777777" w:rsidR="00BC794F" w:rsidRPr="00B916EC" w:rsidDel="00BC794F" w:rsidRDefault="00BC794F" w:rsidP="00BC794F">
            <w:pPr>
              <w:pStyle w:val="TAC"/>
              <w:rPr>
                <w:rFonts w:cs="Arial"/>
                <w:kern w:val="24"/>
                <w:szCs w:val="18"/>
              </w:rPr>
            </w:pPr>
            <w:r w:rsidRPr="00B916EC">
              <w:rPr>
                <w:rFonts w:cs="Arial"/>
                <w:kern w:val="24"/>
                <w:szCs w:val="18"/>
              </w:rPr>
              <w:t>Reserved</w:t>
            </w:r>
          </w:p>
        </w:tc>
      </w:tr>
      <w:tr w:rsidR="00BC794F" w:rsidRPr="00B916EC" w:rsidDel="00BC794F" w14:paraId="5FE15625" w14:textId="77777777" w:rsidTr="00B73508">
        <w:trPr>
          <w:cantSplit/>
        </w:trPr>
        <w:tc>
          <w:tcPr>
            <w:tcW w:w="800" w:type="dxa"/>
            <w:tcBorders>
              <w:right w:val="double" w:sz="4" w:space="0" w:color="auto"/>
            </w:tcBorders>
            <w:shd w:val="clear" w:color="auto" w:fill="auto"/>
            <w:vAlign w:val="center"/>
          </w:tcPr>
          <w:p w14:paraId="510983B8" w14:textId="77777777" w:rsidR="00BC794F" w:rsidRPr="00B916EC" w:rsidDel="00BC794F" w:rsidRDefault="00BC794F" w:rsidP="00BC794F">
            <w:pPr>
              <w:pStyle w:val="TAC"/>
              <w:rPr>
                <w:rFonts w:cs="Arial"/>
                <w:kern w:val="24"/>
                <w:szCs w:val="18"/>
              </w:rPr>
            </w:pPr>
            <w:r w:rsidRPr="00B916EC">
              <w:t>14</w:t>
            </w:r>
          </w:p>
        </w:tc>
        <w:tc>
          <w:tcPr>
            <w:tcW w:w="8407" w:type="dxa"/>
            <w:gridSpan w:val="4"/>
            <w:tcBorders>
              <w:left w:val="double" w:sz="4" w:space="0" w:color="auto"/>
            </w:tcBorders>
            <w:vAlign w:val="center"/>
          </w:tcPr>
          <w:p w14:paraId="750F1D3B" w14:textId="77777777" w:rsidR="00BC794F" w:rsidRPr="00B916EC" w:rsidDel="00BC794F" w:rsidRDefault="00BC794F" w:rsidP="00BC794F">
            <w:pPr>
              <w:pStyle w:val="TAC"/>
              <w:rPr>
                <w:rFonts w:cs="Arial"/>
                <w:kern w:val="24"/>
                <w:szCs w:val="18"/>
              </w:rPr>
            </w:pPr>
            <w:r w:rsidRPr="00B916EC">
              <w:rPr>
                <w:rFonts w:cs="Arial"/>
                <w:kern w:val="24"/>
                <w:szCs w:val="18"/>
              </w:rPr>
              <w:t>Reserved</w:t>
            </w:r>
          </w:p>
        </w:tc>
      </w:tr>
      <w:tr w:rsidR="00BC794F" w:rsidRPr="00B916EC" w:rsidDel="00BC794F" w14:paraId="33F7044A" w14:textId="77777777" w:rsidTr="00B73508">
        <w:trPr>
          <w:cantSplit/>
        </w:trPr>
        <w:tc>
          <w:tcPr>
            <w:tcW w:w="800" w:type="dxa"/>
            <w:tcBorders>
              <w:right w:val="double" w:sz="4" w:space="0" w:color="auto"/>
            </w:tcBorders>
            <w:shd w:val="clear" w:color="auto" w:fill="auto"/>
            <w:vAlign w:val="center"/>
          </w:tcPr>
          <w:p w14:paraId="62B2B111" w14:textId="77777777" w:rsidR="00BC794F" w:rsidRPr="00B916EC" w:rsidDel="00BC794F" w:rsidRDefault="00BC794F" w:rsidP="00BC794F">
            <w:pPr>
              <w:pStyle w:val="TAC"/>
              <w:rPr>
                <w:rFonts w:cs="Arial"/>
                <w:kern w:val="24"/>
                <w:szCs w:val="18"/>
              </w:rPr>
            </w:pPr>
            <w:r w:rsidRPr="00B916EC">
              <w:rPr>
                <w:rFonts w:cs="Arial"/>
                <w:kern w:val="24"/>
                <w:szCs w:val="18"/>
              </w:rPr>
              <w:t>15</w:t>
            </w:r>
          </w:p>
        </w:tc>
        <w:tc>
          <w:tcPr>
            <w:tcW w:w="8407" w:type="dxa"/>
            <w:gridSpan w:val="4"/>
            <w:tcBorders>
              <w:left w:val="double" w:sz="4" w:space="0" w:color="auto"/>
            </w:tcBorders>
            <w:vAlign w:val="center"/>
          </w:tcPr>
          <w:p w14:paraId="7C3FBB07" w14:textId="77777777" w:rsidR="00BC794F" w:rsidRPr="00B916EC" w:rsidDel="00BC794F" w:rsidRDefault="00BC794F" w:rsidP="00BC794F">
            <w:pPr>
              <w:pStyle w:val="TAC"/>
              <w:rPr>
                <w:rFonts w:cs="Arial"/>
                <w:kern w:val="24"/>
                <w:szCs w:val="18"/>
              </w:rPr>
            </w:pPr>
            <w:r w:rsidRPr="00B916EC">
              <w:rPr>
                <w:rFonts w:cs="Arial"/>
                <w:kern w:val="24"/>
                <w:szCs w:val="18"/>
              </w:rPr>
              <w:t>Reserved</w:t>
            </w:r>
          </w:p>
        </w:tc>
      </w:tr>
    </w:tbl>
    <w:p w14:paraId="266C5164" w14:textId="77777777" w:rsidR="00514155" w:rsidRPr="00B916EC" w:rsidRDefault="00514155" w:rsidP="009B1799">
      <w:pPr>
        <w:rPr>
          <w:b/>
        </w:rPr>
      </w:pPr>
    </w:p>
    <w:p w14:paraId="247B403F" w14:textId="65F4E820" w:rsidR="005D70FE" w:rsidRPr="00B916EC" w:rsidRDefault="005D70FE" w:rsidP="00B06B6C">
      <w:pPr>
        <w:pStyle w:val="TH"/>
      </w:pPr>
      <w:r w:rsidRPr="00B916EC">
        <w:lastRenderedPageBreak/>
        <w:t>Table 1</w:t>
      </w:r>
      <w:r w:rsidR="00EC0649">
        <w:t>3</w:t>
      </w:r>
      <w:r w:rsidRPr="00B916EC">
        <w:t>-</w:t>
      </w:r>
      <w:r w:rsidR="00BC794F">
        <w:t>8</w:t>
      </w:r>
      <w:r w:rsidRPr="00B916EC">
        <w:t xml:space="preserve">: Set of resource blocks and slot symbols of </w:t>
      </w:r>
      <w:r w:rsidR="00C76664">
        <w:t>CORESET</w:t>
      </w:r>
      <w:r w:rsidRPr="00B916EC">
        <w:t xml:space="preserve"> for Type0-PDCCH search space</w:t>
      </w:r>
      <w:r w:rsidR="00F95DE0">
        <w:t xml:space="preserve"> set</w:t>
      </w:r>
      <w:r w:rsidRPr="00B916EC">
        <w:t xml:space="preserve"> when {SS/PBCH block, PDCCH} </w:t>
      </w:r>
      <w:r w:rsidR="00143099">
        <w:t>SCS</w:t>
      </w:r>
      <w:r w:rsidRPr="00B916EC">
        <w:t xml:space="preserve"> is {120, 120} kHz</w:t>
      </w:r>
      <w:r w:rsidR="00A646A7" w:rsidRPr="00B27E56">
        <w:t xml:space="preserve"> for FR2-1</w:t>
      </w:r>
    </w:p>
    <w:tbl>
      <w:tblPr>
        <w:tblW w:w="0" w:type="auto"/>
        <w:tblInd w:w="4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9"/>
        <w:gridCol w:w="3452"/>
        <w:gridCol w:w="1573"/>
        <w:gridCol w:w="1884"/>
        <w:gridCol w:w="1499"/>
      </w:tblGrid>
      <w:tr w:rsidR="00A646A7" w:rsidRPr="00B916EC" w14:paraId="4B9D416C" w14:textId="77777777" w:rsidTr="00B73508">
        <w:trPr>
          <w:cantSplit/>
        </w:trPr>
        <w:tc>
          <w:tcPr>
            <w:tcW w:w="799" w:type="dxa"/>
            <w:tcBorders>
              <w:bottom w:val="double" w:sz="4" w:space="0" w:color="auto"/>
              <w:right w:val="double" w:sz="4" w:space="0" w:color="auto"/>
            </w:tcBorders>
            <w:shd w:val="clear" w:color="auto" w:fill="E0E0E0"/>
            <w:vAlign w:val="center"/>
          </w:tcPr>
          <w:p w14:paraId="275C7F57" w14:textId="77777777" w:rsidR="00A646A7" w:rsidRPr="00B916EC" w:rsidRDefault="00A646A7" w:rsidP="00A646A7">
            <w:pPr>
              <w:pStyle w:val="TAH"/>
              <w:rPr>
                <w:bCs/>
                <w:lang w:val="en-US"/>
              </w:rPr>
            </w:pPr>
            <w:r w:rsidRPr="00B916EC">
              <w:rPr>
                <w:bCs/>
                <w:lang w:val="en-US"/>
              </w:rPr>
              <w:t>Index</w:t>
            </w:r>
          </w:p>
        </w:tc>
        <w:tc>
          <w:tcPr>
            <w:tcW w:w="3452" w:type="dxa"/>
            <w:tcBorders>
              <w:left w:val="double" w:sz="4" w:space="0" w:color="auto"/>
              <w:bottom w:val="double" w:sz="4" w:space="0" w:color="auto"/>
            </w:tcBorders>
            <w:shd w:val="clear" w:color="auto" w:fill="E0E0E0"/>
            <w:vAlign w:val="center"/>
          </w:tcPr>
          <w:p w14:paraId="228DE6E7" w14:textId="77777777" w:rsidR="00A646A7" w:rsidRPr="00B916EC" w:rsidRDefault="00A646A7" w:rsidP="00A646A7">
            <w:pPr>
              <w:pStyle w:val="TAH"/>
              <w:rPr>
                <w:bCs/>
                <w:lang w:val="en-US"/>
              </w:rPr>
            </w:pPr>
            <w:r w:rsidRPr="00B916EC">
              <w:rPr>
                <w:rFonts w:cs="Arial"/>
                <w:kern w:val="24"/>
              </w:rPr>
              <w:t xml:space="preserve">SS/PBCH block and </w:t>
            </w:r>
            <w:r>
              <w:rPr>
                <w:rFonts w:cs="Arial"/>
                <w:kern w:val="24"/>
              </w:rPr>
              <w:t>CORESET</w:t>
            </w:r>
            <w:r w:rsidRPr="00B916EC">
              <w:rPr>
                <w:rFonts w:cs="Arial"/>
                <w:kern w:val="24"/>
              </w:rPr>
              <w:t xml:space="preserve"> multiplexing pattern </w:t>
            </w:r>
          </w:p>
        </w:tc>
        <w:tc>
          <w:tcPr>
            <w:tcW w:w="1573" w:type="dxa"/>
            <w:tcBorders>
              <w:bottom w:val="double" w:sz="4" w:space="0" w:color="auto"/>
            </w:tcBorders>
            <w:shd w:val="clear" w:color="auto" w:fill="E0E0E0"/>
            <w:vAlign w:val="center"/>
          </w:tcPr>
          <w:p w14:paraId="38DFEB88" w14:textId="1CC47824" w:rsidR="00A646A7" w:rsidRPr="00B916EC" w:rsidRDefault="00A646A7" w:rsidP="00A646A7">
            <w:pPr>
              <w:pStyle w:val="TAH"/>
              <w:rPr>
                <w:bCs/>
                <w:lang w:val="en-US"/>
              </w:rPr>
            </w:pPr>
            <w:r w:rsidRPr="00B27E56">
              <w:rPr>
                <w:rFonts w:cs="Arial"/>
                <w:kern w:val="24"/>
              </w:rPr>
              <w:t xml:space="preserve">Number of RBs </w:t>
            </w:r>
            <m:oMath>
              <m:sSubSup>
                <m:sSubSupPr>
                  <m:ctrlPr>
                    <w:rPr>
                      <w:rFonts w:ascii="Cambria Math" w:hAnsi="Cambria Math"/>
                      <w:i/>
                    </w:rPr>
                  </m:ctrlPr>
                </m:sSubSupPr>
                <m:e>
                  <m:r>
                    <m:rPr>
                      <m:sty m:val="bi"/>
                    </m:rPr>
                    <w:rPr>
                      <w:rFonts w:ascii="Cambria Math"/>
                    </w:rPr>
                    <m:t>N</m:t>
                  </m:r>
                </m:e>
                <m:sub>
                  <m:r>
                    <m:rPr>
                      <m:nor/>
                    </m:rPr>
                    <w:rPr>
                      <w:rFonts w:ascii="Cambria Math"/>
                    </w:rPr>
                    <m:t>RB</m:t>
                  </m:r>
                  <m:ctrlPr>
                    <w:rPr>
                      <w:rFonts w:ascii="Cambria Math" w:hAnsi="Cambria Math"/>
                    </w:rPr>
                  </m:ctrlPr>
                </m:sub>
                <m:sup>
                  <m:r>
                    <m:rPr>
                      <m:nor/>
                    </m:rPr>
                    <w:rPr>
                      <w:rFonts w:ascii="Cambria Math"/>
                    </w:rPr>
                    <m:t>CORESET</m:t>
                  </m:r>
                  <m:ctrlPr>
                    <w:rPr>
                      <w:rFonts w:ascii="Cambria Math" w:hAnsi="Cambria Math"/>
                    </w:rPr>
                  </m:ctrlPr>
                </m:sup>
              </m:sSubSup>
            </m:oMath>
          </w:p>
        </w:tc>
        <w:tc>
          <w:tcPr>
            <w:tcW w:w="1884" w:type="dxa"/>
            <w:tcBorders>
              <w:bottom w:val="double" w:sz="4" w:space="0" w:color="auto"/>
            </w:tcBorders>
            <w:shd w:val="clear" w:color="auto" w:fill="E0E0E0"/>
            <w:vAlign w:val="center"/>
          </w:tcPr>
          <w:p w14:paraId="015BA26B" w14:textId="3841C96F" w:rsidR="00A646A7" w:rsidRPr="00B916EC" w:rsidRDefault="00A646A7" w:rsidP="00A646A7">
            <w:pPr>
              <w:pStyle w:val="TAH"/>
              <w:rPr>
                <w:bCs/>
                <w:lang w:val="en-US"/>
              </w:rPr>
            </w:pPr>
            <w:r w:rsidRPr="00B27E56">
              <w:rPr>
                <w:rFonts w:cs="Arial"/>
                <w:kern w:val="24"/>
              </w:rPr>
              <w:t xml:space="preserve">Number of Symbols </w:t>
            </w:r>
            <m:oMath>
              <m:sSubSup>
                <m:sSubSupPr>
                  <m:ctrlPr>
                    <w:rPr>
                      <w:rFonts w:ascii="Cambria Math" w:hAnsi="Cambria Math"/>
                      <w:i/>
                    </w:rPr>
                  </m:ctrlPr>
                </m:sSubSupPr>
                <m:e>
                  <m:r>
                    <m:rPr>
                      <m:sty m:val="bi"/>
                    </m:rPr>
                    <w:rPr>
                      <w:rFonts w:ascii="Cambria Math"/>
                    </w:rPr>
                    <m:t>N</m:t>
                  </m:r>
                </m:e>
                <m:sub>
                  <m:r>
                    <m:rPr>
                      <m:nor/>
                    </m:rPr>
                    <w:rPr>
                      <w:rFonts w:ascii="Cambria Math"/>
                    </w:rPr>
                    <m:t>symb</m:t>
                  </m:r>
                  <m:ctrlPr>
                    <w:rPr>
                      <w:rFonts w:ascii="Cambria Math" w:hAnsi="Cambria Math"/>
                    </w:rPr>
                  </m:ctrlPr>
                </m:sub>
                <m:sup>
                  <m:r>
                    <m:rPr>
                      <m:nor/>
                    </m:rPr>
                    <w:rPr>
                      <w:rFonts w:ascii="Cambria Math"/>
                    </w:rPr>
                    <m:t>CORESET</m:t>
                  </m:r>
                  <m:ctrlPr>
                    <w:rPr>
                      <w:rFonts w:ascii="Cambria Math" w:hAnsi="Cambria Math"/>
                    </w:rPr>
                  </m:ctrlPr>
                </m:sup>
              </m:sSubSup>
            </m:oMath>
            <w:r w:rsidRPr="00B27E56">
              <w:rPr>
                <w:rFonts w:cs="Arial"/>
                <w:kern w:val="24"/>
              </w:rPr>
              <w:t xml:space="preserve"> </w:t>
            </w:r>
          </w:p>
        </w:tc>
        <w:tc>
          <w:tcPr>
            <w:tcW w:w="1499" w:type="dxa"/>
            <w:tcBorders>
              <w:bottom w:val="double" w:sz="4" w:space="0" w:color="auto"/>
            </w:tcBorders>
            <w:shd w:val="clear" w:color="auto" w:fill="E0E0E0"/>
            <w:vAlign w:val="center"/>
          </w:tcPr>
          <w:p w14:paraId="33728677" w14:textId="77777777" w:rsidR="00A646A7" w:rsidRPr="00B916EC" w:rsidRDefault="00A646A7" w:rsidP="00A646A7">
            <w:pPr>
              <w:pStyle w:val="TAH"/>
              <w:rPr>
                <w:bCs/>
                <w:lang w:val="en-US"/>
              </w:rPr>
            </w:pPr>
            <w:r w:rsidRPr="00B916EC">
              <w:rPr>
                <w:rFonts w:cs="Arial"/>
                <w:kern w:val="24"/>
              </w:rPr>
              <w:t xml:space="preserve">Offset (RBs) </w:t>
            </w:r>
          </w:p>
        </w:tc>
      </w:tr>
      <w:tr w:rsidR="003D680C" w:rsidRPr="00B916EC" w14:paraId="1FE24FE9" w14:textId="77777777" w:rsidTr="00B73508">
        <w:trPr>
          <w:cantSplit/>
        </w:trPr>
        <w:tc>
          <w:tcPr>
            <w:tcW w:w="799" w:type="dxa"/>
            <w:tcBorders>
              <w:top w:val="double" w:sz="4" w:space="0" w:color="auto"/>
              <w:right w:val="double" w:sz="4" w:space="0" w:color="auto"/>
            </w:tcBorders>
            <w:shd w:val="clear" w:color="auto" w:fill="auto"/>
            <w:vAlign w:val="center"/>
          </w:tcPr>
          <w:p w14:paraId="6AE3A86E" w14:textId="77777777" w:rsidR="003D680C" w:rsidRPr="00B916EC" w:rsidRDefault="003D680C" w:rsidP="0060031D">
            <w:pPr>
              <w:pStyle w:val="TAC"/>
              <w:rPr>
                <w:lang w:val="en-US"/>
              </w:rPr>
            </w:pPr>
            <w:r w:rsidRPr="00B916EC">
              <w:rPr>
                <w:lang w:val="en-US"/>
              </w:rPr>
              <w:t>0</w:t>
            </w:r>
          </w:p>
        </w:tc>
        <w:tc>
          <w:tcPr>
            <w:tcW w:w="3452" w:type="dxa"/>
            <w:tcBorders>
              <w:top w:val="double" w:sz="4" w:space="0" w:color="auto"/>
              <w:left w:val="double" w:sz="4" w:space="0" w:color="auto"/>
            </w:tcBorders>
            <w:vAlign w:val="center"/>
          </w:tcPr>
          <w:p w14:paraId="3AC1848A" w14:textId="77777777" w:rsidR="003D680C" w:rsidRPr="00B916EC" w:rsidRDefault="003D680C" w:rsidP="0060031D">
            <w:pPr>
              <w:pStyle w:val="TAC"/>
              <w:rPr>
                <w:lang w:val="en-US"/>
              </w:rPr>
            </w:pPr>
            <w:r w:rsidRPr="00B916EC">
              <w:rPr>
                <w:rFonts w:cs="Arial"/>
                <w:kern w:val="24"/>
                <w:szCs w:val="18"/>
              </w:rPr>
              <w:t xml:space="preserve">1 </w:t>
            </w:r>
          </w:p>
        </w:tc>
        <w:tc>
          <w:tcPr>
            <w:tcW w:w="1573" w:type="dxa"/>
            <w:tcBorders>
              <w:top w:val="double" w:sz="4" w:space="0" w:color="auto"/>
            </w:tcBorders>
            <w:vAlign w:val="center"/>
          </w:tcPr>
          <w:p w14:paraId="2D067049" w14:textId="77777777" w:rsidR="003D680C" w:rsidRPr="00B916EC" w:rsidRDefault="003D680C" w:rsidP="0060031D">
            <w:pPr>
              <w:pStyle w:val="TAC"/>
              <w:rPr>
                <w:lang w:val="en-US"/>
              </w:rPr>
            </w:pPr>
            <w:r w:rsidRPr="00B916EC">
              <w:rPr>
                <w:rFonts w:cs="Arial"/>
                <w:kern w:val="24"/>
                <w:szCs w:val="18"/>
              </w:rPr>
              <w:t>24</w:t>
            </w:r>
          </w:p>
        </w:tc>
        <w:tc>
          <w:tcPr>
            <w:tcW w:w="1884" w:type="dxa"/>
            <w:tcBorders>
              <w:top w:val="double" w:sz="4" w:space="0" w:color="auto"/>
            </w:tcBorders>
            <w:vAlign w:val="center"/>
          </w:tcPr>
          <w:p w14:paraId="6B0E654D" w14:textId="77777777" w:rsidR="003D680C" w:rsidRPr="00B916EC" w:rsidRDefault="003D680C" w:rsidP="0060031D">
            <w:pPr>
              <w:pStyle w:val="TAC"/>
              <w:rPr>
                <w:lang w:val="en-US"/>
              </w:rPr>
            </w:pPr>
            <w:r w:rsidRPr="00B916EC">
              <w:rPr>
                <w:rFonts w:cs="Arial"/>
                <w:kern w:val="24"/>
                <w:szCs w:val="18"/>
              </w:rPr>
              <w:t>2</w:t>
            </w:r>
          </w:p>
        </w:tc>
        <w:tc>
          <w:tcPr>
            <w:tcW w:w="1499" w:type="dxa"/>
            <w:tcBorders>
              <w:top w:val="double" w:sz="4" w:space="0" w:color="auto"/>
            </w:tcBorders>
            <w:vAlign w:val="center"/>
          </w:tcPr>
          <w:p w14:paraId="22513170" w14:textId="77777777" w:rsidR="003D680C" w:rsidRPr="00B916EC" w:rsidRDefault="003D680C" w:rsidP="0060031D">
            <w:pPr>
              <w:pStyle w:val="TAC"/>
              <w:rPr>
                <w:lang w:val="en-US"/>
              </w:rPr>
            </w:pPr>
            <w:r w:rsidRPr="00B916EC">
              <w:rPr>
                <w:rFonts w:cs="Arial"/>
                <w:kern w:val="24"/>
                <w:szCs w:val="18"/>
              </w:rPr>
              <w:t>0</w:t>
            </w:r>
          </w:p>
        </w:tc>
      </w:tr>
      <w:tr w:rsidR="003D680C" w:rsidRPr="00B916EC" w14:paraId="647BDB3F" w14:textId="77777777" w:rsidTr="00B73508">
        <w:trPr>
          <w:cantSplit/>
        </w:trPr>
        <w:tc>
          <w:tcPr>
            <w:tcW w:w="799" w:type="dxa"/>
            <w:tcBorders>
              <w:right w:val="double" w:sz="4" w:space="0" w:color="auto"/>
            </w:tcBorders>
            <w:shd w:val="clear" w:color="auto" w:fill="auto"/>
            <w:vAlign w:val="center"/>
          </w:tcPr>
          <w:p w14:paraId="4820564A" w14:textId="77777777" w:rsidR="003D680C" w:rsidRPr="00B916EC" w:rsidRDefault="003D680C" w:rsidP="0060031D">
            <w:pPr>
              <w:pStyle w:val="TAC"/>
              <w:rPr>
                <w:lang w:val="en-US"/>
              </w:rPr>
            </w:pPr>
            <w:r w:rsidRPr="00B916EC">
              <w:rPr>
                <w:lang w:val="en-US"/>
              </w:rPr>
              <w:t>1</w:t>
            </w:r>
          </w:p>
        </w:tc>
        <w:tc>
          <w:tcPr>
            <w:tcW w:w="3452" w:type="dxa"/>
            <w:tcBorders>
              <w:left w:val="double" w:sz="4" w:space="0" w:color="auto"/>
            </w:tcBorders>
            <w:vAlign w:val="center"/>
          </w:tcPr>
          <w:p w14:paraId="1B9B3B03" w14:textId="77777777" w:rsidR="003D680C" w:rsidRPr="00B916EC" w:rsidRDefault="003D680C" w:rsidP="0060031D">
            <w:pPr>
              <w:pStyle w:val="TAC"/>
              <w:rPr>
                <w:lang w:val="en-US"/>
              </w:rPr>
            </w:pPr>
            <w:r w:rsidRPr="00B916EC">
              <w:rPr>
                <w:rFonts w:cs="Arial"/>
                <w:kern w:val="24"/>
                <w:szCs w:val="18"/>
              </w:rPr>
              <w:t xml:space="preserve">1 </w:t>
            </w:r>
          </w:p>
        </w:tc>
        <w:tc>
          <w:tcPr>
            <w:tcW w:w="1573" w:type="dxa"/>
            <w:vAlign w:val="center"/>
          </w:tcPr>
          <w:p w14:paraId="2D33ABAC" w14:textId="77777777" w:rsidR="003D680C" w:rsidRPr="00B916EC" w:rsidRDefault="003D680C" w:rsidP="0060031D">
            <w:pPr>
              <w:pStyle w:val="TAC"/>
              <w:rPr>
                <w:lang w:val="en-US"/>
              </w:rPr>
            </w:pPr>
            <w:r w:rsidRPr="00B916EC">
              <w:rPr>
                <w:rFonts w:cs="Arial"/>
                <w:kern w:val="24"/>
                <w:szCs w:val="18"/>
              </w:rPr>
              <w:t>24</w:t>
            </w:r>
          </w:p>
        </w:tc>
        <w:tc>
          <w:tcPr>
            <w:tcW w:w="1884" w:type="dxa"/>
            <w:vAlign w:val="center"/>
          </w:tcPr>
          <w:p w14:paraId="324DA733" w14:textId="77777777" w:rsidR="003D680C" w:rsidRPr="00B916EC" w:rsidRDefault="003D680C" w:rsidP="0060031D">
            <w:pPr>
              <w:pStyle w:val="TAC"/>
              <w:rPr>
                <w:lang w:val="en-US"/>
              </w:rPr>
            </w:pPr>
            <w:r w:rsidRPr="00B916EC">
              <w:rPr>
                <w:rFonts w:cs="Arial"/>
                <w:kern w:val="24"/>
                <w:szCs w:val="18"/>
              </w:rPr>
              <w:t>2</w:t>
            </w:r>
          </w:p>
        </w:tc>
        <w:tc>
          <w:tcPr>
            <w:tcW w:w="1499" w:type="dxa"/>
            <w:vAlign w:val="center"/>
          </w:tcPr>
          <w:p w14:paraId="68140E77" w14:textId="77777777" w:rsidR="003D680C" w:rsidRPr="00B916EC" w:rsidRDefault="003D680C" w:rsidP="0060031D">
            <w:pPr>
              <w:pStyle w:val="TAC"/>
              <w:rPr>
                <w:lang w:val="en-US"/>
              </w:rPr>
            </w:pPr>
            <w:r w:rsidRPr="00B916EC">
              <w:rPr>
                <w:rFonts w:cs="Arial"/>
                <w:kern w:val="24"/>
                <w:szCs w:val="18"/>
              </w:rPr>
              <w:t>4</w:t>
            </w:r>
          </w:p>
        </w:tc>
      </w:tr>
      <w:tr w:rsidR="003D680C" w:rsidRPr="00B916EC" w14:paraId="07F2CED2" w14:textId="77777777" w:rsidTr="00B73508">
        <w:trPr>
          <w:cantSplit/>
        </w:trPr>
        <w:tc>
          <w:tcPr>
            <w:tcW w:w="799" w:type="dxa"/>
            <w:tcBorders>
              <w:right w:val="double" w:sz="4" w:space="0" w:color="auto"/>
            </w:tcBorders>
            <w:shd w:val="clear" w:color="auto" w:fill="auto"/>
            <w:vAlign w:val="center"/>
          </w:tcPr>
          <w:p w14:paraId="7E96EEED" w14:textId="77777777" w:rsidR="003D680C" w:rsidRPr="00B916EC" w:rsidRDefault="003D680C" w:rsidP="0060031D">
            <w:pPr>
              <w:pStyle w:val="TAC"/>
            </w:pPr>
            <w:r w:rsidRPr="00B916EC">
              <w:t>2</w:t>
            </w:r>
          </w:p>
        </w:tc>
        <w:tc>
          <w:tcPr>
            <w:tcW w:w="3452" w:type="dxa"/>
            <w:tcBorders>
              <w:left w:val="double" w:sz="4" w:space="0" w:color="auto"/>
            </w:tcBorders>
            <w:vAlign w:val="center"/>
          </w:tcPr>
          <w:p w14:paraId="7F5901A4" w14:textId="77777777" w:rsidR="003D680C" w:rsidRPr="00B916EC" w:rsidRDefault="003D680C" w:rsidP="0060031D">
            <w:pPr>
              <w:pStyle w:val="TAC"/>
            </w:pPr>
            <w:r w:rsidRPr="00B916EC">
              <w:rPr>
                <w:rFonts w:cs="Arial"/>
                <w:kern w:val="24"/>
                <w:szCs w:val="18"/>
              </w:rPr>
              <w:t xml:space="preserve">1 </w:t>
            </w:r>
          </w:p>
        </w:tc>
        <w:tc>
          <w:tcPr>
            <w:tcW w:w="1573" w:type="dxa"/>
            <w:vAlign w:val="center"/>
          </w:tcPr>
          <w:p w14:paraId="14A0E10C" w14:textId="77777777" w:rsidR="003D680C" w:rsidRPr="00B916EC" w:rsidRDefault="003D680C" w:rsidP="0060031D">
            <w:pPr>
              <w:pStyle w:val="TAC"/>
            </w:pPr>
            <w:r w:rsidRPr="00B916EC">
              <w:rPr>
                <w:rFonts w:cs="Arial"/>
                <w:kern w:val="24"/>
                <w:szCs w:val="18"/>
              </w:rPr>
              <w:t>48</w:t>
            </w:r>
          </w:p>
        </w:tc>
        <w:tc>
          <w:tcPr>
            <w:tcW w:w="1884" w:type="dxa"/>
            <w:vAlign w:val="center"/>
          </w:tcPr>
          <w:p w14:paraId="7AE6558F" w14:textId="77777777" w:rsidR="003D680C" w:rsidRPr="00B916EC" w:rsidRDefault="003D680C" w:rsidP="0060031D">
            <w:pPr>
              <w:pStyle w:val="TAC"/>
            </w:pPr>
            <w:r w:rsidRPr="00B916EC">
              <w:rPr>
                <w:rFonts w:cs="Arial"/>
                <w:kern w:val="24"/>
                <w:szCs w:val="18"/>
              </w:rPr>
              <w:t>1</w:t>
            </w:r>
          </w:p>
        </w:tc>
        <w:tc>
          <w:tcPr>
            <w:tcW w:w="1499" w:type="dxa"/>
            <w:vAlign w:val="center"/>
          </w:tcPr>
          <w:p w14:paraId="716D44BC" w14:textId="77777777" w:rsidR="003D680C" w:rsidRPr="00B916EC" w:rsidRDefault="003D680C" w:rsidP="0060031D">
            <w:pPr>
              <w:pStyle w:val="TAC"/>
            </w:pPr>
            <w:r w:rsidRPr="00B916EC">
              <w:rPr>
                <w:rFonts w:cs="Arial"/>
                <w:kern w:val="24"/>
                <w:szCs w:val="18"/>
              </w:rPr>
              <w:t>14</w:t>
            </w:r>
          </w:p>
        </w:tc>
      </w:tr>
      <w:tr w:rsidR="003D680C" w:rsidRPr="00B916EC" w14:paraId="3CB81333" w14:textId="77777777" w:rsidTr="00B73508">
        <w:trPr>
          <w:cantSplit/>
        </w:trPr>
        <w:tc>
          <w:tcPr>
            <w:tcW w:w="799" w:type="dxa"/>
            <w:tcBorders>
              <w:right w:val="double" w:sz="4" w:space="0" w:color="auto"/>
            </w:tcBorders>
            <w:shd w:val="clear" w:color="auto" w:fill="auto"/>
            <w:vAlign w:val="center"/>
          </w:tcPr>
          <w:p w14:paraId="08F4FEC5" w14:textId="77777777" w:rsidR="003D680C" w:rsidRPr="00B916EC" w:rsidRDefault="003D680C" w:rsidP="0060031D">
            <w:pPr>
              <w:pStyle w:val="TAC"/>
            </w:pPr>
            <w:r w:rsidRPr="00B916EC">
              <w:t>3</w:t>
            </w:r>
          </w:p>
        </w:tc>
        <w:tc>
          <w:tcPr>
            <w:tcW w:w="3452" w:type="dxa"/>
            <w:tcBorders>
              <w:left w:val="double" w:sz="4" w:space="0" w:color="auto"/>
            </w:tcBorders>
            <w:vAlign w:val="center"/>
          </w:tcPr>
          <w:p w14:paraId="39DE930C" w14:textId="77777777" w:rsidR="003D680C" w:rsidRPr="00B916EC" w:rsidRDefault="003D680C" w:rsidP="0060031D">
            <w:pPr>
              <w:pStyle w:val="TAC"/>
            </w:pPr>
            <w:r w:rsidRPr="00B916EC">
              <w:rPr>
                <w:rFonts w:cs="Arial"/>
                <w:kern w:val="24"/>
                <w:szCs w:val="18"/>
              </w:rPr>
              <w:t xml:space="preserve">1 </w:t>
            </w:r>
          </w:p>
        </w:tc>
        <w:tc>
          <w:tcPr>
            <w:tcW w:w="1573" w:type="dxa"/>
            <w:vAlign w:val="center"/>
          </w:tcPr>
          <w:p w14:paraId="2ABC1824" w14:textId="77777777" w:rsidR="003D680C" w:rsidRPr="00B916EC" w:rsidRDefault="003D680C" w:rsidP="0060031D">
            <w:pPr>
              <w:pStyle w:val="TAC"/>
            </w:pPr>
            <w:r w:rsidRPr="00B916EC">
              <w:rPr>
                <w:rFonts w:cs="Arial"/>
                <w:kern w:val="24"/>
                <w:szCs w:val="18"/>
              </w:rPr>
              <w:t>48</w:t>
            </w:r>
          </w:p>
        </w:tc>
        <w:tc>
          <w:tcPr>
            <w:tcW w:w="1884" w:type="dxa"/>
            <w:vAlign w:val="center"/>
          </w:tcPr>
          <w:p w14:paraId="0CF6DC52" w14:textId="77777777" w:rsidR="003D680C" w:rsidRPr="00B916EC" w:rsidRDefault="003D680C" w:rsidP="0060031D">
            <w:pPr>
              <w:pStyle w:val="TAC"/>
            </w:pPr>
            <w:r w:rsidRPr="00B916EC">
              <w:rPr>
                <w:rFonts w:cs="Arial"/>
                <w:kern w:val="24"/>
                <w:szCs w:val="18"/>
              </w:rPr>
              <w:t>2</w:t>
            </w:r>
          </w:p>
        </w:tc>
        <w:tc>
          <w:tcPr>
            <w:tcW w:w="1499" w:type="dxa"/>
            <w:vAlign w:val="center"/>
          </w:tcPr>
          <w:p w14:paraId="756EF4F3" w14:textId="77777777" w:rsidR="003D680C" w:rsidRPr="00B916EC" w:rsidRDefault="003D680C" w:rsidP="0060031D">
            <w:pPr>
              <w:pStyle w:val="TAC"/>
            </w:pPr>
            <w:r w:rsidRPr="00B916EC">
              <w:rPr>
                <w:rFonts w:cs="Arial"/>
                <w:kern w:val="24"/>
                <w:szCs w:val="18"/>
              </w:rPr>
              <w:t>14</w:t>
            </w:r>
          </w:p>
        </w:tc>
      </w:tr>
      <w:tr w:rsidR="00A646A7" w:rsidRPr="00B916EC" w14:paraId="0E4AEF92" w14:textId="77777777" w:rsidTr="00B73508">
        <w:trPr>
          <w:cantSplit/>
        </w:trPr>
        <w:tc>
          <w:tcPr>
            <w:tcW w:w="799" w:type="dxa"/>
            <w:tcBorders>
              <w:right w:val="double" w:sz="4" w:space="0" w:color="auto"/>
            </w:tcBorders>
            <w:shd w:val="clear" w:color="auto" w:fill="auto"/>
            <w:vAlign w:val="center"/>
          </w:tcPr>
          <w:p w14:paraId="7CC56E5B" w14:textId="77777777" w:rsidR="00A646A7" w:rsidRPr="00B916EC" w:rsidRDefault="00A646A7" w:rsidP="00A646A7">
            <w:pPr>
              <w:pStyle w:val="TAC"/>
            </w:pPr>
            <w:r w:rsidRPr="00B916EC">
              <w:t>4</w:t>
            </w:r>
          </w:p>
        </w:tc>
        <w:tc>
          <w:tcPr>
            <w:tcW w:w="3452" w:type="dxa"/>
            <w:tcBorders>
              <w:left w:val="double" w:sz="4" w:space="0" w:color="auto"/>
            </w:tcBorders>
            <w:vAlign w:val="center"/>
          </w:tcPr>
          <w:p w14:paraId="3D27894D" w14:textId="77777777" w:rsidR="00A646A7" w:rsidRPr="00B916EC" w:rsidRDefault="00A646A7" w:rsidP="00A646A7">
            <w:pPr>
              <w:pStyle w:val="TAC"/>
            </w:pPr>
            <w:r w:rsidRPr="00B916EC">
              <w:rPr>
                <w:rFonts w:cs="Arial"/>
                <w:kern w:val="24"/>
                <w:szCs w:val="18"/>
              </w:rPr>
              <w:t xml:space="preserve">3 </w:t>
            </w:r>
          </w:p>
        </w:tc>
        <w:tc>
          <w:tcPr>
            <w:tcW w:w="1573" w:type="dxa"/>
            <w:vAlign w:val="center"/>
          </w:tcPr>
          <w:p w14:paraId="30CB2CB6" w14:textId="77777777" w:rsidR="00A646A7" w:rsidRPr="00B916EC" w:rsidRDefault="00A646A7" w:rsidP="00A646A7">
            <w:pPr>
              <w:pStyle w:val="TAC"/>
            </w:pPr>
            <w:r>
              <w:rPr>
                <w:rFonts w:cs="Arial"/>
                <w:kern w:val="24"/>
                <w:szCs w:val="18"/>
              </w:rPr>
              <w:t>24</w:t>
            </w:r>
          </w:p>
        </w:tc>
        <w:tc>
          <w:tcPr>
            <w:tcW w:w="1884" w:type="dxa"/>
            <w:vAlign w:val="center"/>
          </w:tcPr>
          <w:p w14:paraId="7D7EFE82" w14:textId="77777777" w:rsidR="00A646A7" w:rsidRPr="00B916EC" w:rsidRDefault="00A646A7" w:rsidP="00A646A7">
            <w:pPr>
              <w:pStyle w:val="TAC"/>
            </w:pPr>
            <w:r>
              <w:rPr>
                <w:rFonts w:cs="Arial"/>
                <w:kern w:val="24"/>
                <w:szCs w:val="18"/>
              </w:rPr>
              <w:t>2</w:t>
            </w:r>
          </w:p>
        </w:tc>
        <w:tc>
          <w:tcPr>
            <w:tcW w:w="1499" w:type="dxa"/>
            <w:vAlign w:val="center"/>
          </w:tcPr>
          <w:p w14:paraId="675DE26B" w14:textId="4ED969D3" w:rsidR="00A646A7" w:rsidRPr="00B27E56" w:rsidRDefault="00A646A7" w:rsidP="00A646A7">
            <w:pPr>
              <w:pStyle w:val="TAC"/>
              <w:rPr>
                <w:rFonts w:cs="Arial"/>
                <w:kern w:val="24"/>
                <w:szCs w:val="18"/>
              </w:rPr>
            </w:pPr>
            <w:r w:rsidRPr="00B27E56">
              <w:rPr>
                <w:rFonts w:cs="Arial"/>
                <w:kern w:val="24"/>
                <w:szCs w:val="18"/>
              </w:rPr>
              <w:t xml:space="preserve">-20 if </w:t>
            </w:r>
            <m:oMath>
              <m:sSub>
                <m:sSubPr>
                  <m:ctrlPr>
                    <w:rPr>
                      <w:rFonts w:ascii="Cambria Math" w:hAnsi="Cambria Math"/>
                      <w:iCs/>
                      <w:sz w:val="20"/>
                      <w:lang w:val="en-US"/>
                    </w:rPr>
                  </m:ctrlPr>
                </m:sSubPr>
                <m:e>
                  <m:r>
                    <w:rPr>
                      <w:rFonts w:ascii="Cambria Math" w:hAnsi="Cambria Math"/>
                      <w:lang w:val="en-US"/>
                    </w:rPr>
                    <m:t>k</m:t>
                  </m:r>
                </m:e>
                <m:sub>
                  <m:r>
                    <m:rPr>
                      <m:sty m:val="p"/>
                    </m:rPr>
                    <w:rPr>
                      <w:rFonts w:ascii="Cambria Math" w:hAnsi="Cambria Math"/>
                      <w:lang w:val="en-US"/>
                    </w:rPr>
                    <m:t>SSB</m:t>
                  </m:r>
                </m:sub>
              </m:sSub>
              <m:r>
                <w:rPr>
                  <w:rFonts w:ascii="Cambria Math" w:hAnsi="Cambria Math"/>
                  <w:sz w:val="20"/>
                  <w:lang w:val="en-US"/>
                </w:rPr>
                <m:t>=0</m:t>
              </m:r>
            </m:oMath>
            <w:r w:rsidRPr="00B27E56">
              <w:rPr>
                <w:rFonts w:cs="Arial"/>
                <w:kern w:val="24"/>
                <w:szCs w:val="18"/>
              </w:rPr>
              <w:t xml:space="preserve"> </w:t>
            </w:r>
          </w:p>
          <w:p w14:paraId="10F7D249" w14:textId="05BD922E" w:rsidR="00A646A7" w:rsidRPr="00B916EC" w:rsidRDefault="00A646A7" w:rsidP="00A646A7">
            <w:pPr>
              <w:pStyle w:val="TAC"/>
            </w:pPr>
            <w:r w:rsidRPr="00B27E56">
              <w:rPr>
                <w:rFonts w:cs="Arial"/>
                <w:kern w:val="24"/>
                <w:szCs w:val="18"/>
              </w:rPr>
              <w:t xml:space="preserve">-21 if </w:t>
            </w:r>
            <m:oMath>
              <m:sSub>
                <m:sSubPr>
                  <m:ctrlPr>
                    <w:rPr>
                      <w:rFonts w:ascii="Cambria Math" w:hAnsi="Cambria Math"/>
                      <w:iCs/>
                      <w:sz w:val="20"/>
                      <w:lang w:val="en-US"/>
                    </w:rPr>
                  </m:ctrlPr>
                </m:sSubPr>
                <m:e>
                  <m:r>
                    <w:rPr>
                      <w:rFonts w:ascii="Cambria Math" w:hAnsi="Cambria Math"/>
                      <w:lang w:val="en-US"/>
                    </w:rPr>
                    <m:t>k</m:t>
                  </m:r>
                </m:e>
                <m:sub>
                  <m:r>
                    <m:rPr>
                      <m:sty m:val="p"/>
                    </m:rPr>
                    <w:rPr>
                      <w:rFonts w:ascii="Cambria Math" w:hAnsi="Cambria Math"/>
                      <w:lang w:val="en-US"/>
                    </w:rPr>
                    <m:t>SSB</m:t>
                  </m:r>
                </m:sub>
              </m:sSub>
              <m:r>
                <w:rPr>
                  <w:rFonts w:ascii="Cambria Math" w:hAnsi="Cambria Math"/>
                  <w:sz w:val="20"/>
                  <w:lang w:val="en-US"/>
                </w:rPr>
                <m:t>&gt;0</m:t>
              </m:r>
            </m:oMath>
          </w:p>
        </w:tc>
      </w:tr>
      <w:tr w:rsidR="00A646A7" w:rsidRPr="00B916EC" w14:paraId="599143B0" w14:textId="77777777" w:rsidTr="00B73508">
        <w:trPr>
          <w:cantSplit/>
        </w:trPr>
        <w:tc>
          <w:tcPr>
            <w:tcW w:w="799" w:type="dxa"/>
            <w:tcBorders>
              <w:right w:val="double" w:sz="4" w:space="0" w:color="auto"/>
            </w:tcBorders>
            <w:shd w:val="clear" w:color="auto" w:fill="auto"/>
            <w:vAlign w:val="center"/>
          </w:tcPr>
          <w:p w14:paraId="6BD57E97" w14:textId="77777777" w:rsidR="00A646A7" w:rsidRPr="00B916EC" w:rsidRDefault="00A646A7" w:rsidP="00A646A7">
            <w:pPr>
              <w:pStyle w:val="TAC"/>
            </w:pPr>
            <w:r w:rsidRPr="00B916EC">
              <w:t>5</w:t>
            </w:r>
          </w:p>
        </w:tc>
        <w:tc>
          <w:tcPr>
            <w:tcW w:w="3452" w:type="dxa"/>
            <w:tcBorders>
              <w:left w:val="double" w:sz="4" w:space="0" w:color="auto"/>
            </w:tcBorders>
            <w:vAlign w:val="center"/>
          </w:tcPr>
          <w:p w14:paraId="78665CCA" w14:textId="77777777" w:rsidR="00A646A7" w:rsidRPr="00B916EC" w:rsidRDefault="00A646A7" w:rsidP="00A646A7">
            <w:pPr>
              <w:pStyle w:val="TAC"/>
            </w:pPr>
            <w:r w:rsidRPr="00B916EC">
              <w:rPr>
                <w:rFonts w:cs="Arial"/>
                <w:kern w:val="24"/>
                <w:szCs w:val="18"/>
              </w:rPr>
              <w:t xml:space="preserve">3 </w:t>
            </w:r>
          </w:p>
        </w:tc>
        <w:tc>
          <w:tcPr>
            <w:tcW w:w="1573" w:type="dxa"/>
            <w:vAlign w:val="center"/>
          </w:tcPr>
          <w:p w14:paraId="0A02ADFE" w14:textId="77777777" w:rsidR="00A646A7" w:rsidRPr="00B916EC" w:rsidRDefault="00A646A7" w:rsidP="00A646A7">
            <w:pPr>
              <w:pStyle w:val="TAC"/>
            </w:pPr>
            <w:r>
              <w:rPr>
                <w:rFonts w:cs="Arial"/>
                <w:kern w:val="24"/>
                <w:szCs w:val="18"/>
              </w:rPr>
              <w:t>24</w:t>
            </w:r>
          </w:p>
        </w:tc>
        <w:tc>
          <w:tcPr>
            <w:tcW w:w="1884" w:type="dxa"/>
            <w:vAlign w:val="center"/>
          </w:tcPr>
          <w:p w14:paraId="23D99F73" w14:textId="77777777" w:rsidR="00A646A7" w:rsidRPr="00B916EC" w:rsidRDefault="00A646A7" w:rsidP="00A646A7">
            <w:pPr>
              <w:pStyle w:val="TAC"/>
            </w:pPr>
            <w:r>
              <w:rPr>
                <w:rFonts w:cs="Arial"/>
                <w:kern w:val="24"/>
                <w:szCs w:val="18"/>
              </w:rPr>
              <w:t>2</w:t>
            </w:r>
          </w:p>
        </w:tc>
        <w:tc>
          <w:tcPr>
            <w:tcW w:w="1499" w:type="dxa"/>
            <w:vAlign w:val="center"/>
          </w:tcPr>
          <w:p w14:paraId="6EC6BEC3" w14:textId="36B3CD02" w:rsidR="00A646A7" w:rsidRPr="00B916EC" w:rsidRDefault="00A646A7" w:rsidP="00A646A7">
            <w:pPr>
              <w:pStyle w:val="TAC"/>
            </w:pPr>
            <w:r w:rsidRPr="00B27E56">
              <w:rPr>
                <w:rFonts w:cs="Arial"/>
                <w:kern w:val="24"/>
                <w:szCs w:val="18"/>
              </w:rPr>
              <w:t>24</w:t>
            </w:r>
          </w:p>
        </w:tc>
      </w:tr>
      <w:tr w:rsidR="00A646A7" w:rsidRPr="00B916EC" w14:paraId="76AF5FB1" w14:textId="77777777" w:rsidTr="00B73508">
        <w:trPr>
          <w:cantSplit/>
        </w:trPr>
        <w:tc>
          <w:tcPr>
            <w:tcW w:w="799" w:type="dxa"/>
            <w:tcBorders>
              <w:right w:val="double" w:sz="4" w:space="0" w:color="auto"/>
            </w:tcBorders>
            <w:shd w:val="clear" w:color="auto" w:fill="auto"/>
            <w:vAlign w:val="center"/>
          </w:tcPr>
          <w:p w14:paraId="34DE92BA" w14:textId="77777777" w:rsidR="00A646A7" w:rsidRPr="00B916EC" w:rsidRDefault="00A646A7" w:rsidP="00A646A7">
            <w:pPr>
              <w:pStyle w:val="TAC"/>
            </w:pPr>
            <w:r w:rsidRPr="00B916EC">
              <w:t>6</w:t>
            </w:r>
          </w:p>
        </w:tc>
        <w:tc>
          <w:tcPr>
            <w:tcW w:w="3452" w:type="dxa"/>
            <w:tcBorders>
              <w:left w:val="double" w:sz="4" w:space="0" w:color="auto"/>
            </w:tcBorders>
            <w:vAlign w:val="center"/>
          </w:tcPr>
          <w:p w14:paraId="59AFB09A" w14:textId="77777777" w:rsidR="00A646A7" w:rsidRPr="00B916EC" w:rsidRDefault="00A646A7" w:rsidP="00A646A7">
            <w:pPr>
              <w:pStyle w:val="TAC"/>
            </w:pPr>
            <w:r w:rsidRPr="00B916EC">
              <w:rPr>
                <w:rFonts w:cs="Arial"/>
                <w:kern w:val="24"/>
                <w:szCs w:val="18"/>
              </w:rPr>
              <w:t xml:space="preserve">3 </w:t>
            </w:r>
          </w:p>
        </w:tc>
        <w:tc>
          <w:tcPr>
            <w:tcW w:w="1573" w:type="dxa"/>
            <w:vAlign w:val="center"/>
          </w:tcPr>
          <w:p w14:paraId="4416E547" w14:textId="77777777" w:rsidR="00A646A7" w:rsidRPr="00B916EC" w:rsidRDefault="00A646A7" w:rsidP="00A646A7">
            <w:pPr>
              <w:pStyle w:val="TAC"/>
            </w:pPr>
            <w:r>
              <w:rPr>
                <w:rFonts w:cs="Arial"/>
                <w:kern w:val="24"/>
                <w:szCs w:val="18"/>
              </w:rPr>
              <w:t>48</w:t>
            </w:r>
          </w:p>
        </w:tc>
        <w:tc>
          <w:tcPr>
            <w:tcW w:w="1884" w:type="dxa"/>
            <w:vAlign w:val="center"/>
          </w:tcPr>
          <w:p w14:paraId="3D66ACC2" w14:textId="77777777" w:rsidR="00A646A7" w:rsidRPr="00B916EC" w:rsidRDefault="00A646A7" w:rsidP="00A646A7">
            <w:pPr>
              <w:pStyle w:val="TAC"/>
            </w:pPr>
            <w:r>
              <w:rPr>
                <w:rFonts w:cs="Arial"/>
                <w:kern w:val="24"/>
                <w:szCs w:val="18"/>
              </w:rPr>
              <w:t>2</w:t>
            </w:r>
          </w:p>
        </w:tc>
        <w:tc>
          <w:tcPr>
            <w:tcW w:w="1499" w:type="dxa"/>
            <w:vAlign w:val="center"/>
          </w:tcPr>
          <w:p w14:paraId="03FEB2C9" w14:textId="549DAFF9" w:rsidR="00A646A7" w:rsidRPr="00B27E56" w:rsidRDefault="00A646A7" w:rsidP="00A646A7">
            <w:pPr>
              <w:pStyle w:val="TAC"/>
              <w:rPr>
                <w:rFonts w:cs="Arial"/>
                <w:kern w:val="24"/>
                <w:szCs w:val="18"/>
              </w:rPr>
            </w:pPr>
            <w:r w:rsidRPr="00B27E56">
              <w:rPr>
                <w:rFonts w:cs="Arial"/>
                <w:kern w:val="24"/>
                <w:szCs w:val="18"/>
              </w:rPr>
              <w:t xml:space="preserve">-20 if </w:t>
            </w:r>
            <m:oMath>
              <m:sSub>
                <m:sSubPr>
                  <m:ctrlPr>
                    <w:rPr>
                      <w:rFonts w:ascii="Cambria Math" w:hAnsi="Cambria Math"/>
                      <w:iCs/>
                      <w:sz w:val="20"/>
                      <w:lang w:val="en-US"/>
                    </w:rPr>
                  </m:ctrlPr>
                </m:sSubPr>
                <m:e>
                  <m:r>
                    <w:rPr>
                      <w:rFonts w:ascii="Cambria Math" w:hAnsi="Cambria Math"/>
                      <w:lang w:val="en-US"/>
                    </w:rPr>
                    <m:t>k</m:t>
                  </m:r>
                </m:e>
                <m:sub>
                  <m:r>
                    <m:rPr>
                      <m:sty m:val="p"/>
                    </m:rPr>
                    <w:rPr>
                      <w:rFonts w:ascii="Cambria Math" w:hAnsi="Cambria Math"/>
                      <w:lang w:val="en-US"/>
                    </w:rPr>
                    <m:t>SSB</m:t>
                  </m:r>
                </m:sub>
              </m:sSub>
              <m:r>
                <w:rPr>
                  <w:rFonts w:ascii="Cambria Math" w:hAnsi="Cambria Math"/>
                  <w:sz w:val="20"/>
                  <w:lang w:val="en-US"/>
                </w:rPr>
                <m:t>=0</m:t>
              </m:r>
            </m:oMath>
            <w:r w:rsidRPr="00B27E56">
              <w:rPr>
                <w:rFonts w:cs="Arial"/>
                <w:kern w:val="24"/>
                <w:szCs w:val="18"/>
              </w:rPr>
              <w:t xml:space="preserve"> </w:t>
            </w:r>
          </w:p>
          <w:p w14:paraId="0A5EECCE" w14:textId="4074C550" w:rsidR="00A646A7" w:rsidRPr="00B916EC" w:rsidRDefault="00A646A7" w:rsidP="00A646A7">
            <w:pPr>
              <w:pStyle w:val="TAC"/>
            </w:pPr>
            <w:r w:rsidRPr="00B27E56">
              <w:rPr>
                <w:rFonts w:cs="Arial"/>
                <w:kern w:val="24"/>
                <w:szCs w:val="18"/>
              </w:rPr>
              <w:t xml:space="preserve">-21 if </w:t>
            </w:r>
            <m:oMath>
              <m:sSub>
                <m:sSubPr>
                  <m:ctrlPr>
                    <w:rPr>
                      <w:rFonts w:ascii="Cambria Math" w:hAnsi="Cambria Math"/>
                      <w:iCs/>
                      <w:sz w:val="20"/>
                      <w:lang w:val="en-US"/>
                    </w:rPr>
                  </m:ctrlPr>
                </m:sSubPr>
                <m:e>
                  <m:r>
                    <w:rPr>
                      <w:rFonts w:ascii="Cambria Math" w:hAnsi="Cambria Math"/>
                      <w:lang w:val="en-US"/>
                    </w:rPr>
                    <m:t>k</m:t>
                  </m:r>
                </m:e>
                <m:sub>
                  <m:r>
                    <m:rPr>
                      <m:sty m:val="p"/>
                    </m:rPr>
                    <w:rPr>
                      <w:rFonts w:ascii="Cambria Math" w:hAnsi="Cambria Math"/>
                      <w:lang w:val="en-US"/>
                    </w:rPr>
                    <m:t>SSB</m:t>
                  </m:r>
                </m:sub>
              </m:sSub>
              <m:r>
                <w:rPr>
                  <w:rFonts w:ascii="Cambria Math" w:hAnsi="Cambria Math"/>
                  <w:sz w:val="20"/>
                  <w:lang w:val="en-US"/>
                </w:rPr>
                <m:t>&gt;0</m:t>
              </m:r>
            </m:oMath>
          </w:p>
        </w:tc>
      </w:tr>
      <w:tr w:rsidR="003D680C" w:rsidRPr="00B916EC" w14:paraId="3A3280A1" w14:textId="77777777" w:rsidTr="00B73508">
        <w:trPr>
          <w:cantSplit/>
        </w:trPr>
        <w:tc>
          <w:tcPr>
            <w:tcW w:w="799" w:type="dxa"/>
            <w:tcBorders>
              <w:right w:val="double" w:sz="4" w:space="0" w:color="auto"/>
            </w:tcBorders>
            <w:shd w:val="clear" w:color="auto" w:fill="auto"/>
            <w:vAlign w:val="center"/>
          </w:tcPr>
          <w:p w14:paraId="40F706BB" w14:textId="77777777" w:rsidR="003D680C" w:rsidRPr="00B916EC" w:rsidRDefault="003D680C" w:rsidP="0060031D">
            <w:pPr>
              <w:pStyle w:val="TAC"/>
            </w:pPr>
            <w:r w:rsidRPr="00B916EC">
              <w:t>7</w:t>
            </w:r>
          </w:p>
        </w:tc>
        <w:tc>
          <w:tcPr>
            <w:tcW w:w="3452" w:type="dxa"/>
            <w:tcBorders>
              <w:left w:val="double" w:sz="4" w:space="0" w:color="auto"/>
            </w:tcBorders>
            <w:vAlign w:val="center"/>
          </w:tcPr>
          <w:p w14:paraId="5FCA1078" w14:textId="77777777" w:rsidR="003D680C" w:rsidRPr="00B916EC" w:rsidRDefault="003D680C" w:rsidP="0060031D">
            <w:pPr>
              <w:pStyle w:val="TAC"/>
            </w:pPr>
            <w:r w:rsidRPr="00B916EC">
              <w:rPr>
                <w:rFonts w:cs="Arial"/>
                <w:kern w:val="24"/>
                <w:szCs w:val="18"/>
              </w:rPr>
              <w:t xml:space="preserve">3 </w:t>
            </w:r>
          </w:p>
        </w:tc>
        <w:tc>
          <w:tcPr>
            <w:tcW w:w="1573" w:type="dxa"/>
            <w:vAlign w:val="center"/>
          </w:tcPr>
          <w:p w14:paraId="65E6B1F2" w14:textId="77777777" w:rsidR="003D680C" w:rsidRPr="00B916EC" w:rsidRDefault="00C929BE" w:rsidP="0060031D">
            <w:pPr>
              <w:pStyle w:val="TAC"/>
            </w:pPr>
            <w:r>
              <w:rPr>
                <w:rFonts w:cs="Arial"/>
                <w:kern w:val="24"/>
                <w:szCs w:val="18"/>
              </w:rPr>
              <w:t>48</w:t>
            </w:r>
          </w:p>
        </w:tc>
        <w:tc>
          <w:tcPr>
            <w:tcW w:w="1884" w:type="dxa"/>
            <w:vAlign w:val="center"/>
          </w:tcPr>
          <w:p w14:paraId="5E456F66" w14:textId="77777777" w:rsidR="003D680C" w:rsidRPr="00B916EC" w:rsidRDefault="003D680C" w:rsidP="0060031D">
            <w:pPr>
              <w:pStyle w:val="TAC"/>
            </w:pPr>
            <w:r w:rsidRPr="00B916EC">
              <w:rPr>
                <w:rFonts w:cs="Arial"/>
                <w:kern w:val="24"/>
                <w:szCs w:val="18"/>
              </w:rPr>
              <w:t>2</w:t>
            </w:r>
          </w:p>
        </w:tc>
        <w:tc>
          <w:tcPr>
            <w:tcW w:w="1499" w:type="dxa"/>
            <w:vAlign w:val="center"/>
          </w:tcPr>
          <w:p w14:paraId="28CF77C5" w14:textId="77777777" w:rsidR="003D680C" w:rsidRPr="00B916EC" w:rsidRDefault="003D680C" w:rsidP="0060031D">
            <w:pPr>
              <w:pStyle w:val="TAC"/>
            </w:pPr>
            <w:r w:rsidRPr="00B916EC">
              <w:rPr>
                <w:rFonts w:cs="Arial"/>
                <w:kern w:val="24"/>
                <w:szCs w:val="18"/>
              </w:rPr>
              <w:t>48</w:t>
            </w:r>
          </w:p>
        </w:tc>
      </w:tr>
      <w:tr w:rsidR="005D70FE" w:rsidRPr="00B916EC" w14:paraId="36F7B9E1" w14:textId="77777777" w:rsidTr="00B73508">
        <w:trPr>
          <w:cantSplit/>
        </w:trPr>
        <w:tc>
          <w:tcPr>
            <w:tcW w:w="799" w:type="dxa"/>
            <w:tcBorders>
              <w:right w:val="double" w:sz="4" w:space="0" w:color="auto"/>
            </w:tcBorders>
            <w:shd w:val="clear" w:color="auto" w:fill="auto"/>
            <w:vAlign w:val="center"/>
          </w:tcPr>
          <w:p w14:paraId="3E7D85F1" w14:textId="77777777" w:rsidR="005D70FE" w:rsidRPr="00B916EC" w:rsidRDefault="005D70FE" w:rsidP="0060031D">
            <w:pPr>
              <w:pStyle w:val="TAC"/>
            </w:pPr>
            <w:r w:rsidRPr="00B916EC">
              <w:t>8</w:t>
            </w:r>
          </w:p>
        </w:tc>
        <w:tc>
          <w:tcPr>
            <w:tcW w:w="8408" w:type="dxa"/>
            <w:gridSpan w:val="4"/>
            <w:tcBorders>
              <w:left w:val="double" w:sz="4" w:space="0" w:color="auto"/>
            </w:tcBorders>
            <w:vAlign w:val="center"/>
          </w:tcPr>
          <w:p w14:paraId="70884624" w14:textId="77777777" w:rsidR="005D70FE" w:rsidRPr="00B916EC" w:rsidRDefault="005D70FE" w:rsidP="0060031D">
            <w:pPr>
              <w:pStyle w:val="TAC"/>
            </w:pPr>
            <w:r w:rsidRPr="00B916EC">
              <w:rPr>
                <w:rFonts w:cs="Arial"/>
                <w:kern w:val="24"/>
                <w:szCs w:val="18"/>
              </w:rPr>
              <w:t>Reserved</w:t>
            </w:r>
          </w:p>
        </w:tc>
      </w:tr>
      <w:tr w:rsidR="005D70FE" w:rsidRPr="00B916EC" w14:paraId="2C5E6745" w14:textId="77777777" w:rsidTr="00B73508">
        <w:trPr>
          <w:cantSplit/>
        </w:trPr>
        <w:tc>
          <w:tcPr>
            <w:tcW w:w="799" w:type="dxa"/>
            <w:tcBorders>
              <w:right w:val="double" w:sz="4" w:space="0" w:color="auto"/>
            </w:tcBorders>
            <w:shd w:val="clear" w:color="auto" w:fill="auto"/>
            <w:vAlign w:val="center"/>
          </w:tcPr>
          <w:p w14:paraId="58A2CEAB" w14:textId="77777777" w:rsidR="005D70FE" w:rsidRPr="00B916EC" w:rsidRDefault="005D70FE" w:rsidP="0060031D">
            <w:pPr>
              <w:pStyle w:val="TAC"/>
            </w:pPr>
            <w:r w:rsidRPr="00B916EC">
              <w:t>9</w:t>
            </w:r>
          </w:p>
        </w:tc>
        <w:tc>
          <w:tcPr>
            <w:tcW w:w="8408" w:type="dxa"/>
            <w:gridSpan w:val="4"/>
            <w:tcBorders>
              <w:left w:val="double" w:sz="4" w:space="0" w:color="auto"/>
            </w:tcBorders>
            <w:vAlign w:val="center"/>
          </w:tcPr>
          <w:p w14:paraId="78DF5F78" w14:textId="77777777" w:rsidR="005D70FE" w:rsidRPr="00B916EC" w:rsidRDefault="005D70FE" w:rsidP="0060031D">
            <w:pPr>
              <w:pStyle w:val="TAC"/>
            </w:pPr>
            <w:r w:rsidRPr="00B916EC">
              <w:rPr>
                <w:rFonts w:cs="Arial"/>
                <w:kern w:val="24"/>
                <w:szCs w:val="18"/>
              </w:rPr>
              <w:t>Reserved</w:t>
            </w:r>
          </w:p>
        </w:tc>
      </w:tr>
      <w:tr w:rsidR="005D70FE" w:rsidRPr="00B916EC" w14:paraId="7BE51FCE" w14:textId="77777777" w:rsidTr="00B73508">
        <w:trPr>
          <w:cantSplit/>
        </w:trPr>
        <w:tc>
          <w:tcPr>
            <w:tcW w:w="799" w:type="dxa"/>
            <w:tcBorders>
              <w:right w:val="double" w:sz="4" w:space="0" w:color="auto"/>
            </w:tcBorders>
            <w:shd w:val="clear" w:color="auto" w:fill="auto"/>
            <w:vAlign w:val="center"/>
          </w:tcPr>
          <w:p w14:paraId="3CAC9277" w14:textId="77777777" w:rsidR="005D70FE" w:rsidRPr="00B916EC" w:rsidRDefault="005D70FE" w:rsidP="0060031D">
            <w:pPr>
              <w:pStyle w:val="TAC"/>
            </w:pPr>
            <w:r w:rsidRPr="00B916EC">
              <w:t>10</w:t>
            </w:r>
          </w:p>
        </w:tc>
        <w:tc>
          <w:tcPr>
            <w:tcW w:w="8408" w:type="dxa"/>
            <w:gridSpan w:val="4"/>
            <w:tcBorders>
              <w:left w:val="double" w:sz="4" w:space="0" w:color="auto"/>
            </w:tcBorders>
            <w:vAlign w:val="center"/>
          </w:tcPr>
          <w:p w14:paraId="437BB540" w14:textId="77777777" w:rsidR="005D70FE" w:rsidRPr="00B916EC" w:rsidRDefault="005D70FE" w:rsidP="0060031D">
            <w:pPr>
              <w:pStyle w:val="TAC"/>
            </w:pPr>
            <w:r w:rsidRPr="00B916EC">
              <w:rPr>
                <w:rFonts w:cs="Arial"/>
                <w:kern w:val="24"/>
                <w:szCs w:val="18"/>
              </w:rPr>
              <w:t>Reserved</w:t>
            </w:r>
          </w:p>
        </w:tc>
      </w:tr>
      <w:tr w:rsidR="005D70FE" w:rsidRPr="00B916EC" w14:paraId="09077C52" w14:textId="77777777" w:rsidTr="00B73508">
        <w:trPr>
          <w:cantSplit/>
        </w:trPr>
        <w:tc>
          <w:tcPr>
            <w:tcW w:w="799" w:type="dxa"/>
            <w:tcBorders>
              <w:right w:val="double" w:sz="4" w:space="0" w:color="auto"/>
            </w:tcBorders>
            <w:shd w:val="clear" w:color="auto" w:fill="auto"/>
            <w:vAlign w:val="center"/>
          </w:tcPr>
          <w:p w14:paraId="20020D96" w14:textId="77777777" w:rsidR="005D70FE" w:rsidRPr="00B916EC" w:rsidRDefault="005D70FE" w:rsidP="0060031D">
            <w:pPr>
              <w:pStyle w:val="TAC"/>
            </w:pPr>
            <w:r w:rsidRPr="00B916EC">
              <w:t>11</w:t>
            </w:r>
          </w:p>
        </w:tc>
        <w:tc>
          <w:tcPr>
            <w:tcW w:w="8408" w:type="dxa"/>
            <w:gridSpan w:val="4"/>
            <w:tcBorders>
              <w:left w:val="double" w:sz="4" w:space="0" w:color="auto"/>
            </w:tcBorders>
            <w:vAlign w:val="center"/>
          </w:tcPr>
          <w:p w14:paraId="09CFEEC4" w14:textId="77777777" w:rsidR="005D70FE" w:rsidRPr="00B916EC" w:rsidRDefault="005D70FE" w:rsidP="0060031D">
            <w:pPr>
              <w:pStyle w:val="TAC"/>
            </w:pPr>
            <w:r w:rsidRPr="00B916EC">
              <w:rPr>
                <w:rFonts w:cs="Arial"/>
                <w:kern w:val="24"/>
                <w:szCs w:val="18"/>
              </w:rPr>
              <w:t>Reserved</w:t>
            </w:r>
          </w:p>
        </w:tc>
      </w:tr>
      <w:tr w:rsidR="005D70FE" w:rsidRPr="00B916EC" w14:paraId="1555258C" w14:textId="77777777" w:rsidTr="00B73508">
        <w:trPr>
          <w:cantSplit/>
        </w:trPr>
        <w:tc>
          <w:tcPr>
            <w:tcW w:w="799" w:type="dxa"/>
            <w:tcBorders>
              <w:right w:val="double" w:sz="4" w:space="0" w:color="auto"/>
            </w:tcBorders>
            <w:shd w:val="clear" w:color="auto" w:fill="auto"/>
            <w:vAlign w:val="center"/>
          </w:tcPr>
          <w:p w14:paraId="7F390238" w14:textId="77777777" w:rsidR="005D70FE" w:rsidRPr="00B916EC" w:rsidRDefault="005D70FE" w:rsidP="0060031D">
            <w:pPr>
              <w:pStyle w:val="TAC"/>
            </w:pPr>
            <w:r w:rsidRPr="00B916EC">
              <w:t>12</w:t>
            </w:r>
          </w:p>
        </w:tc>
        <w:tc>
          <w:tcPr>
            <w:tcW w:w="8408" w:type="dxa"/>
            <w:gridSpan w:val="4"/>
            <w:tcBorders>
              <w:left w:val="double" w:sz="4" w:space="0" w:color="auto"/>
            </w:tcBorders>
            <w:vAlign w:val="center"/>
          </w:tcPr>
          <w:p w14:paraId="49171388" w14:textId="77777777" w:rsidR="005D70FE" w:rsidRPr="00B916EC" w:rsidRDefault="005D70FE" w:rsidP="0060031D">
            <w:pPr>
              <w:pStyle w:val="TAC"/>
            </w:pPr>
            <w:r w:rsidRPr="00B916EC">
              <w:rPr>
                <w:rFonts w:cs="Arial"/>
                <w:kern w:val="24"/>
                <w:szCs w:val="18"/>
              </w:rPr>
              <w:t>Reserved</w:t>
            </w:r>
          </w:p>
        </w:tc>
      </w:tr>
      <w:tr w:rsidR="005D70FE" w:rsidRPr="00B916EC" w14:paraId="02A2E7D5" w14:textId="77777777" w:rsidTr="00B73508">
        <w:trPr>
          <w:cantSplit/>
        </w:trPr>
        <w:tc>
          <w:tcPr>
            <w:tcW w:w="799" w:type="dxa"/>
            <w:tcBorders>
              <w:right w:val="double" w:sz="4" w:space="0" w:color="auto"/>
            </w:tcBorders>
            <w:shd w:val="clear" w:color="auto" w:fill="auto"/>
            <w:vAlign w:val="center"/>
          </w:tcPr>
          <w:p w14:paraId="7E8E16DD" w14:textId="77777777" w:rsidR="005D70FE" w:rsidRPr="00B916EC" w:rsidRDefault="005D70FE" w:rsidP="0060031D">
            <w:pPr>
              <w:pStyle w:val="TAC"/>
            </w:pPr>
            <w:r w:rsidRPr="00B916EC">
              <w:t>13</w:t>
            </w:r>
          </w:p>
        </w:tc>
        <w:tc>
          <w:tcPr>
            <w:tcW w:w="8408" w:type="dxa"/>
            <w:gridSpan w:val="4"/>
            <w:tcBorders>
              <w:left w:val="double" w:sz="4" w:space="0" w:color="auto"/>
            </w:tcBorders>
            <w:vAlign w:val="center"/>
          </w:tcPr>
          <w:p w14:paraId="2C102688" w14:textId="77777777" w:rsidR="005D70FE" w:rsidRPr="00B916EC" w:rsidRDefault="005D70FE" w:rsidP="0060031D">
            <w:pPr>
              <w:pStyle w:val="TAC"/>
            </w:pPr>
            <w:r w:rsidRPr="00B916EC">
              <w:rPr>
                <w:rFonts w:cs="Arial"/>
                <w:kern w:val="24"/>
                <w:szCs w:val="18"/>
              </w:rPr>
              <w:t>Reserved</w:t>
            </w:r>
          </w:p>
        </w:tc>
      </w:tr>
      <w:tr w:rsidR="005D70FE" w:rsidRPr="00B916EC" w14:paraId="168EFE67" w14:textId="77777777" w:rsidTr="00B73508">
        <w:trPr>
          <w:cantSplit/>
        </w:trPr>
        <w:tc>
          <w:tcPr>
            <w:tcW w:w="799" w:type="dxa"/>
            <w:tcBorders>
              <w:right w:val="double" w:sz="4" w:space="0" w:color="auto"/>
            </w:tcBorders>
            <w:shd w:val="clear" w:color="auto" w:fill="auto"/>
            <w:vAlign w:val="center"/>
          </w:tcPr>
          <w:p w14:paraId="3EA4813D" w14:textId="77777777" w:rsidR="005D70FE" w:rsidRPr="00B916EC" w:rsidRDefault="005D70FE" w:rsidP="0060031D">
            <w:pPr>
              <w:pStyle w:val="TAC"/>
            </w:pPr>
            <w:r w:rsidRPr="00B916EC">
              <w:t>14</w:t>
            </w:r>
          </w:p>
        </w:tc>
        <w:tc>
          <w:tcPr>
            <w:tcW w:w="8408" w:type="dxa"/>
            <w:gridSpan w:val="4"/>
            <w:tcBorders>
              <w:left w:val="double" w:sz="4" w:space="0" w:color="auto"/>
            </w:tcBorders>
            <w:vAlign w:val="center"/>
          </w:tcPr>
          <w:p w14:paraId="47FED71B" w14:textId="77777777" w:rsidR="005D70FE" w:rsidRPr="00B916EC" w:rsidRDefault="005D70FE" w:rsidP="0060031D">
            <w:pPr>
              <w:pStyle w:val="TAC"/>
            </w:pPr>
            <w:r w:rsidRPr="00B916EC">
              <w:rPr>
                <w:rFonts w:cs="Arial"/>
                <w:kern w:val="24"/>
                <w:szCs w:val="18"/>
              </w:rPr>
              <w:t>Reserved</w:t>
            </w:r>
          </w:p>
        </w:tc>
      </w:tr>
      <w:tr w:rsidR="005D70FE" w:rsidRPr="00B916EC" w14:paraId="6D5A88C2" w14:textId="77777777" w:rsidTr="00B73508">
        <w:trPr>
          <w:cantSplit/>
        </w:trPr>
        <w:tc>
          <w:tcPr>
            <w:tcW w:w="799" w:type="dxa"/>
            <w:tcBorders>
              <w:right w:val="double" w:sz="4" w:space="0" w:color="auto"/>
            </w:tcBorders>
            <w:shd w:val="clear" w:color="auto" w:fill="auto"/>
            <w:vAlign w:val="center"/>
          </w:tcPr>
          <w:p w14:paraId="06C275DC" w14:textId="77777777" w:rsidR="005D70FE" w:rsidRPr="00B916EC" w:rsidRDefault="005D70FE" w:rsidP="0060031D">
            <w:pPr>
              <w:pStyle w:val="TAC"/>
            </w:pPr>
            <w:r w:rsidRPr="00B916EC">
              <w:rPr>
                <w:rFonts w:cs="Arial"/>
                <w:kern w:val="24"/>
                <w:szCs w:val="18"/>
              </w:rPr>
              <w:t>15</w:t>
            </w:r>
          </w:p>
        </w:tc>
        <w:tc>
          <w:tcPr>
            <w:tcW w:w="8408" w:type="dxa"/>
            <w:gridSpan w:val="4"/>
            <w:tcBorders>
              <w:left w:val="double" w:sz="4" w:space="0" w:color="auto"/>
            </w:tcBorders>
            <w:vAlign w:val="center"/>
          </w:tcPr>
          <w:p w14:paraId="6D30347D" w14:textId="77777777" w:rsidR="005D70FE" w:rsidRPr="00B916EC" w:rsidRDefault="005D70FE" w:rsidP="0060031D">
            <w:pPr>
              <w:pStyle w:val="TAC"/>
              <w:rPr>
                <w:rFonts w:cs="Arial"/>
                <w:kern w:val="24"/>
                <w:szCs w:val="18"/>
              </w:rPr>
            </w:pPr>
            <w:r w:rsidRPr="00B916EC">
              <w:rPr>
                <w:rFonts w:cs="Arial"/>
                <w:kern w:val="24"/>
                <w:szCs w:val="18"/>
              </w:rPr>
              <w:t>Reserved</w:t>
            </w:r>
          </w:p>
        </w:tc>
      </w:tr>
    </w:tbl>
    <w:p w14:paraId="453D634D" w14:textId="77777777" w:rsidR="005D70FE" w:rsidRPr="00B916EC" w:rsidRDefault="005D70FE" w:rsidP="009B1799">
      <w:pPr>
        <w:rPr>
          <w:b/>
        </w:rPr>
      </w:pPr>
    </w:p>
    <w:p w14:paraId="5F175F4E" w14:textId="77777777" w:rsidR="004A0D85" w:rsidRPr="00B06B6C" w:rsidRDefault="003D680C" w:rsidP="00F96B12">
      <w:pPr>
        <w:pStyle w:val="TH"/>
      </w:pPr>
      <w:r w:rsidRPr="00B06B6C">
        <w:t>Table 1</w:t>
      </w:r>
      <w:r w:rsidR="00EC0649" w:rsidRPr="00B06B6C">
        <w:t>3</w:t>
      </w:r>
      <w:r w:rsidRPr="00B06B6C">
        <w:t>-</w:t>
      </w:r>
      <w:r w:rsidR="00C929BE">
        <w:t>9</w:t>
      </w:r>
      <w:r w:rsidRPr="00B06B6C">
        <w:t xml:space="preserve">: Set of resource blocks and slot symbols of </w:t>
      </w:r>
      <w:r w:rsidR="00C76664">
        <w:t>CORESET</w:t>
      </w:r>
      <w:r w:rsidRPr="00B06B6C">
        <w:t xml:space="preserve"> for Type0-PDCCH search space</w:t>
      </w:r>
      <w:r w:rsidR="009F2666">
        <w:t xml:space="preserve"> set</w:t>
      </w:r>
      <w:r w:rsidRPr="00B916EC">
        <w:t xml:space="preserve"> </w:t>
      </w:r>
      <w:r w:rsidRPr="00B06B6C">
        <w:t xml:space="preserve">when {SS/PBCH block, PDCCH} </w:t>
      </w:r>
      <w:r w:rsidR="00143099">
        <w:t>SCS</w:t>
      </w:r>
      <w:r w:rsidRPr="00B06B6C">
        <w:t xml:space="preserve"> is {240, 60} kHz</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4"/>
        <w:gridCol w:w="3583"/>
        <w:gridCol w:w="1588"/>
        <w:gridCol w:w="1957"/>
        <w:gridCol w:w="1411"/>
      </w:tblGrid>
      <w:tr w:rsidR="00B272BA" w:rsidRPr="00B916EC" w14:paraId="35D0EFFA" w14:textId="77777777" w:rsidTr="00B73508">
        <w:trPr>
          <w:cantSplit/>
        </w:trPr>
        <w:tc>
          <w:tcPr>
            <w:tcW w:w="804" w:type="dxa"/>
            <w:tcBorders>
              <w:bottom w:val="double" w:sz="4" w:space="0" w:color="auto"/>
              <w:right w:val="double" w:sz="4" w:space="0" w:color="auto"/>
            </w:tcBorders>
            <w:shd w:val="clear" w:color="auto" w:fill="E0E0E0"/>
            <w:vAlign w:val="center"/>
          </w:tcPr>
          <w:p w14:paraId="1EB0277A" w14:textId="77777777" w:rsidR="00B272BA" w:rsidRPr="00B916EC" w:rsidRDefault="00B272BA" w:rsidP="00B272BA">
            <w:pPr>
              <w:pStyle w:val="TAH"/>
              <w:rPr>
                <w:bCs/>
                <w:lang w:val="en-US"/>
              </w:rPr>
            </w:pPr>
            <w:r w:rsidRPr="00B916EC">
              <w:rPr>
                <w:bCs/>
                <w:lang w:val="en-US"/>
              </w:rPr>
              <w:t>Index</w:t>
            </w:r>
          </w:p>
        </w:tc>
        <w:tc>
          <w:tcPr>
            <w:tcW w:w="3583" w:type="dxa"/>
            <w:tcBorders>
              <w:left w:val="double" w:sz="4" w:space="0" w:color="auto"/>
              <w:bottom w:val="double" w:sz="4" w:space="0" w:color="auto"/>
            </w:tcBorders>
            <w:shd w:val="clear" w:color="auto" w:fill="E0E0E0"/>
            <w:vAlign w:val="center"/>
          </w:tcPr>
          <w:p w14:paraId="66E73BA0" w14:textId="77777777" w:rsidR="00B272BA" w:rsidRPr="00B916EC" w:rsidRDefault="00B272BA" w:rsidP="00B272BA">
            <w:pPr>
              <w:pStyle w:val="TAH"/>
              <w:rPr>
                <w:bCs/>
                <w:lang w:val="en-US"/>
              </w:rPr>
            </w:pPr>
            <w:r w:rsidRPr="00B916EC">
              <w:rPr>
                <w:rFonts w:cs="Arial"/>
                <w:kern w:val="24"/>
              </w:rPr>
              <w:t xml:space="preserve">SS/PBCH block and </w:t>
            </w:r>
            <w:r>
              <w:rPr>
                <w:rFonts w:cs="Arial"/>
                <w:kern w:val="24"/>
              </w:rPr>
              <w:t>CORESET</w:t>
            </w:r>
            <w:r w:rsidRPr="00B916EC">
              <w:rPr>
                <w:rFonts w:cs="Arial"/>
                <w:kern w:val="24"/>
              </w:rPr>
              <w:t xml:space="preserve"> multiplexing pattern </w:t>
            </w:r>
          </w:p>
        </w:tc>
        <w:tc>
          <w:tcPr>
            <w:tcW w:w="1588" w:type="dxa"/>
            <w:tcBorders>
              <w:bottom w:val="double" w:sz="4" w:space="0" w:color="auto"/>
            </w:tcBorders>
            <w:shd w:val="clear" w:color="auto" w:fill="E0E0E0"/>
            <w:vAlign w:val="center"/>
          </w:tcPr>
          <w:p w14:paraId="4FE74DD4" w14:textId="5AC27071" w:rsidR="00B272BA" w:rsidRPr="00B916EC" w:rsidRDefault="00B272BA" w:rsidP="00B272BA">
            <w:pPr>
              <w:pStyle w:val="TAH"/>
              <w:rPr>
                <w:bCs/>
                <w:lang w:val="en-US"/>
              </w:rPr>
            </w:pPr>
            <w:r w:rsidRPr="00B27E56">
              <w:rPr>
                <w:rFonts w:cs="Arial"/>
                <w:kern w:val="24"/>
              </w:rPr>
              <w:t xml:space="preserve">Number of RBs </w:t>
            </w:r>
            <m:oMath>
              <m:sSubSup>
                <m:sSubSupPr>
                  <m:ctrlPr>
                    <w:rPr>
                      <w:rFonts w:ascii="Cambria Math" w:hAnsi="Cambria Math"/>
                      <w:i/>
                    </w:rPr>
                  </m:ctrlPr>
                </m:sSubSupPr>
                <m:e>
                  <m:r>
                    <m:rPr>
                      <m:sty m:val="bi"/>
                    </m:rPr>
                    <w:rPr>
                      <w:rFonts w:ascii="Cambria Math"/>
                    </w:rPr>
                    <m:t>N</m:t>
                  </m:r>
                </m:e>
                <m:sub>
                  <m:r>
                    <m:rPr>
                      <m:nor/>
                    </m:rPr>
                    <w:rPr>
                      <w:rFonts w:ascii="Cambria Math"/>
                    </w:rPr>
                    <m:t>RB</m:t>
                  </m:r>
                  <m:ctrlPr>
                    <w:rPr>
                      <w:rFonts w:ascii="Cambria Math" w:hAnsi="Cambria Math"/>
                    </w:rPr>
                  </m:ctrlPr>
                </m:sub>
                <m:sup>
                  <m:r>
                    <m:rPr>
                      <m:nor/>
                    </m:rPr>
                    <w:rPr>
                      <w:rFonts w:ascii="Cambria Math"/>
                    </w:rPr>
                    <m:t>CORESET</m:t>
                  </m:r>
                  <m:ctrlPr>
                    <w:rPr>
                      <w:rFonts w:ascii="Cambria Math" w:hAnsi="Cambria Math"/>
                    </w:rPr>
                  </m:ctrlPr>
                </m:sup>
              </m:sSubSup>
            </m:oMath>
          </w:p>
        </w:tc>
        <w:tc>
          <w:tcPr>
            <w:tcW w:w="1957" w:type="dxa"/>
            <w:tcBorders>
              <w:bottom w:val="double" w:sz="4" w:space="0" w:color="auto"/>
            </w:tcBorders>
            <w:shd w:val="clear" w:color="auto" w:fill="E0E0E0"/>
            <w:vAlign w:val="center"/>
          </w:tcPr>
          <w:p w14:paraId="77A19CA6" w14:textId="70608BD8" w:rsidR="00B272BA" w:rsidRPr="00B916EC" w:rsidRDefault="00B272BA" w:rsidP="00B272BA">
            <w:pPr>
              <w:pStyle w:val="TAH"/>
              <w:rPr>
                <w:bCs/>
                <w:lang w:val="en-US"/>
              </w:rPr>
            </w:pPr>
            <w:r w:rsidRPr="00B27E56">
              <w:rPr>
                <w:rFonts w:cs="Arial"/>
                <w:kern w:val="24"/>
              </w:rPr>
              <w:t xml:space="preserve">Number of Symbols </w:t>
            </w:r>
            <m:oMath>
              <m:sSubSup>
                <m:sSubSupPr>
                  <m:ctrlPr>
                    <w:rPr>
                      <w:rFonts w:ascii="Cambria Math" w:hAnsi="Cambria Math"/>
                      <w:i/>
                    </w:rPr>
                  </m:ctrlPr>
                </m:sSubSupPr>
                <m:e>
                  <m:r>
                    <m:rPr>
                      <m:sty m:val="bi"/>
                    </m:rPr>
                    <w:rPr>
                      <w:rFonts w:ascii="Cambria Math"/>
                    </w:rPr>
                    <m:t>N</m:t>
                  </m:r>
                </m:e>
                <m:sub>
                  <m:r>
                    <m:rPr>
                      <m:nor/>
                    </m:rPr>
                    <w:rPr>
                      <w:rFonts w:ascii="Cambria Math"/>
                    </w:rPr>
                    <m:t>symb</m:t>
                  </m:r>
                  <m:ctrlPr>
                    <w:rPr>
                      <w:rFonts w:ascii="Cambria Math" w:hAnsi="Cambria Math"/>
                    </w:rPr>
                  </m:ctrlPr>
                </m:sub>
                <m:sup>
                  <m:r>
                    <m:rPr>
                      <m:nor/>
                    </m:rPr>
                    <w:rPr>
                      <w:rFonts w:ascii="Cambria Math"/>
                    </w:rPr>
                    <m:t>CORESET</m:t>
                  </m:r>
                  <m:ctrlPr>
                    <w:rPr>
                      <w:rFonts w:ascii="Cambria Math" w:hAnsi="Cambria Math"/>
                    </w:rPr>
                  </m:ctrlPr>
                </m:sup>
              </m:sSubSup>
            </m:oMath>
            <w:r w:rsidRPr="00B27E56">
              <w:rPr>
                <w:rFonts w:cs="Arial"/>
                <w:kern w:val="24"/>
              </w:rPr>
              <w:t xml:space="preserve"> </w:t>
            </w:r>
          </w:p>
        </w:tc>
        <w:tc>
          <w:tcPr>
            <w:tcW w:w="1411" w:type="dxa"/>
            <w:tcBorders>
              <w:bottom w:val="double" w:sz="4" w:space="0" w:color="auto"/>
            </w:tcBorders>
            <w:shd w:val="clear" w:color="auto" w:fill="E0E0E0"/>
            <w:vAlign w:val="center"/>
          </w:tcPr>
          <w:p w14:paraId="0E0375F5" w14:textId="77777777" w:rsidR="00B272BA" w:rsidRPr="00B916EC" w:rsidRDefault="00B272BA" w:rsidP="00B272BA">
            <w:pPr>
              <w:pStyle w:val="TAH"/>
              <w:rPr>
                <w:bCs/>
                <w:lang w:val="en-US"/>
              </w:rPr>
            </w:pPr>
            <w:r w:rsidRPr="00B916EC">
              <w:rPr>
                <w:rFonts w:cs="Arial"/>
                <w:kern w:val="24"/>
              </w:rPr>
              <w:t xml:space="preserve">Offset (RBs) </w:t>
            </w:r>
          </w:p>
        </w:tc>
      </w:tr>
      <w:tr w:rsidR="00421728" w:rsidRPr="00B916EC" w14:paraId="60520086" w14:textId="77777777" w:rsidTr="00B73508">
        <w:trPr>
          <w:cantSplit/>
        </w:trPr>
        <w:tc>
          <w:tcPr>
            <w:tcW w:w="804" w:type="dxa"/>
            <w:tcBorders>
              <w:top w:val="double" w:sz="4" w:space="0" w:color="auto"/>
              <w:right w:val="double" w:sz="4" w:space="0" w:color="auto"/>
            </w:tcBorders>
            <w:shd w:val="clear" w:color="auto" w:fill="auto"/>
            <w:vAlign w:val="center"/>
          </w:tcPr>
          <w:p w14:paraId="2B931799" w14:textId="77777777" w:rsidR="00421728" w:rsidRPr="00B916EC" w:rsidRDefault="00421728" w:rsidP="0060031D">
            <w:pPr>
              <w:pStyle w:val="TAC"/>
              <w:rPr>
                <w:lang w:val="en-US"/>
              </w:rPr>
            </w:pPr>
            <w:r w:rsidRPr="00B916EC">
              <w:rPr>
                <w:lang w:val="en-US"/>
              </w:rPr>
              <w:t>0</w:t>
            </w:r>
          </w:p>
        </w:tc>
        <w:tc>
          <w:tcPr>
            <w:tcW w:w="3583" w:type="dxa"/>
            <w:tcBorders>
              <w:top w:val="double" w:sz="4" w:space="0" w:color="auto"/>
              <w:left w:val="double" w:sz="4" w:space="0" w:color="auto"/>
            </w:tcBorders>
            <w:vAlign w:val="center"/>
          </w:tcPr>
          <w:p w14:paraId="44FD10E3" w14:textId="77777777" w:rsidR="00421728" w:rsidRPr="00B916EC" w:rsidRDefault="00421728" w:rsidP="0060031D">
            <w:pPr>
              <w:pStyle w:val="TAC"/>
              <w:rPr>
                <w:lang w:val="en-US"/>
              </w:rPr>
            </w:pPr>
            <w:r w:rsidRPr="00B916EC">
              <w:rPr>
                <w:rFonts w:cs="Arial"/>
                <w:kern w:val="24"/>
                <w:szCs w:val="18"/>
              </w:rPr>
              <w:t>1</w:t>
            </w:r>
          </w:p>
        </w:tc>
        <w:tc>
          <w:tcPr>
            <w:tcW w:w="1588" w:type="dxa"/>
            <w:tcBorders>
              <w:top w:val="double" w:sz="4" w:space="0" w:color="auto"/>
            </w:tcBorders>
            <w:vAlign w:val="center"/>
          </w:tcPr>
          <w:p w14:paraId="3B7DB92B" w14:textId="77777777" w:rsidR="00421728" w:rsidRPr="00B916EC" w:rsidRDefault="00421728" w:rsidP="0060031D">
            <w:pPr>
              <w:pStyle w:val="TAC"/>
              <w:rPr>
                <w:lang w:val="en-US"/>
              </w:rPr>
            </w:pPr>
            <w:r w:rsidRPr="00B916EC">
              <w:rPr>
                <w:rFonts w:cs="Arial"/>
                <w:kern w:val="24"/>
              </w:rPr>
              <w:t>96</w:t>
            </w:r>
          </w:p>
        </w:tc>
        <w:tc>
          <w:tcPr>
            <w:tcW w:w="1957" w:type="dxa"/>
            <w:tcBorders>
              <w:top w:val="double" w:sz="4" w:space="0" w:color="auto"/>
            </w:tcBorders>
            <w:vAlign w:val="center"/>
          </w:tcPr>
          <w:p w14:paraId="61358541" w14:textId="77777777" w:rsidR="00421728" w:rsidRPr="00B916EC" w:rsidRDefault="00421728" w:rsidP="0060031D">
            <w:pPr>
              <w:pStyle w:val="TAC"/>
              <w:rPr>
                <w:lang w:val="en-US"/>
              </w:rPr>
            </w:pPr>
            <w:r w:rsidRPr="00B916EC">
              <w:rPr>
                <w:rFonts w:cs="Arial"/>
                <w:kern w:val="24"/>
              </w:rPr>
              <w:t>1</w:t>
            </w:r>
          </w:p>
        </w:tc>
        <w:tc>
          <w:tcPr>
            <w:tcW w:w="1411" w:type="dxa"/>
            <w:tcBorders>
              <w:top w:val="double" w:sz="4" w:space="0" w:color="auto"/>
            </w:tcBorders>
            <w:vAlign w:val="center"/>
          </w:tcPr>
          <w:p w14:paraId="5D45F843" w14:textId="77777777" w:rsidR="00421728" w:rsidRPr="00B916EC" w:rsidRDefault="00421728" w:rsidP="0060031D">
            <w:pPr>
              <w:pStyle w:val="TAC"/>
              <w:rPr>
                <w:lang w:val="en-US"/>
              </w:rPr>
            </w:pPr>
            <w:r w:rsidRPr="00B916EC">
              <w:rPr>
                <w:rFonts w:cs="Arial"/>
                <w:kern w:val="24"/>
              </w:rPr>
              <w:t>0</w:t>
            </w:r>
          </w:p>
        </w:tc>
      </w:tr>
      <w:tr w:rsidR="00421728" w:rsidRPr="00B916EC" w14:paraId="3F5391B2" w14:textId="77777777" w:rsidTr="00B73508">
        <w:trPr>
          <w:cantSplit/>
        </w:trPr>
        <w:tc>
          <w:tcPr>
            <w:tcW w:w="804" w:type="dxa"/>
            <w:tcBorders>
              <w:right w:val="double" w:sz="4" w:space="0" w:color="auto"/>
            </w:tcBorders>
            <w:shd w:val="clear" w:color="auto" w:fill="auto"/>
            <w:vAlign w:val="center"/>
          </w:tcPr>
          <w:p w14:paraId="44EAFAE2" w14:textId="77777777" w:rsidR="00421728" w:rsidRPr="00B916EC" w:rsidRDefault="00421728" w:rsidP="0060031D">
            <w:pPr>
              <w:pStyle w:val="TAC"/>
              <w:rPr>
                <w:lang w:val="en-US"/>
              </w:rPr>
            </w:pPr>
            <w:r w:rsidRPr="00B916EC">
              <w:rPr>
                <w:lang w:val="en-US"/>
              </w:rPr>
              <w:t>1</w:t>
            </w:r>
          </w:p>
        </w:tc>
        <w:tc>
          <w:tcPr>
            <w:tcW w:w="3583" w:type="dxa"/>
            <w:tcBorders>
              <w:left w:val="double" w:sz="4" w:space="0" w:color="auto"/>
            </w:tcBorders>
            <w:vAlign w:val="center"/>
          </w:tcPr>
          <w:p w14:paraId="05A780A7" w14:textId="77777777" w:rsidR="00421728" w:rsidRPr="00B916EC" w:rsidRDefault="00421728" w:rsidP="0060031D">
            <w:pPr>
              <w:pStyle w:val="TAC"/>
              <w:rPr>
                <w:lang w:val="en-US"/>
              </w:rPr>
            </w:pPr>
            <w:r w:rsidRPr="00B916EC">
              <w:rPr>
                <w:rFonts w:cs="Arial"/>
                <w:kern w:val="24"/>
                <w:szCs w:val="18"/>
              </w:rPr>
              <w:t>1</w:t>
            </w:r>
          </w:p>
        </w:tc>
        <w:tc>
          <w:tcPr>
            <w:tcW w:w="1588" w:type="dxa"/>
            <w:vAlign w:val="center"/>
          </w:tcPr>
          <w:p w14:paraId="05FF4443" w14:textId="77777777" w:rsidR="00421728" w:rsidRPr="00B916EC" w:rsidRDefault="00421728" w:rsidP="0060031D">
            <w:pPr>
              <w:pStyle w:val="TAC"/>
              <w:rPr>
                <w:lang w:val="en-US"/>
              </w:rPr>
            </w:pPr>
            <w:r w:rsidRPr="00B916EC">
              <w:rPr>
                <w:rFonts w:cs="Arial"/>
                <w:kern w:val="24"/>
              </w:rPr>
              <w:t>96</w:t>
            </w:r>
          </w:p>
        </w:tc>
        <w:tc>
          <w:tcPr>
            <w:tcW w:w="1957" w:type="dxa"/>
            <w:vAlign w:val="center"/>
          </w:tcPr>
          <w:p w14:paraId="2CEA7DA8" w14:textId="77777777" w:rsidR="00421728" w:rsidRPr="00B916EC" w:rsidRDefault="00421728" w:rsidP="0060031D">
            <w:pPr>
              <w:pStyle w:val="TAC"/>
              <w:rPr>
                <w:lang w:val="en-US"/>
              </w:rPr>
            </w:pPr>
            <w:r w:rsidRPr="00B916EC">
              <w:rPr>
                <w:rFonts w:cs="Arial"/>
                <w:kern w:val="24"/>
              </w:rPr>
              <w:t>1</w:t>
            </w:r>
          </w:p>
        </w:tc>
        <w:tc>
          <w:tcPr>
            <w:tcW w:w="1411" w:type="dxa"/>
            <w:vAlign w:val="center"/>
          </w:tcPr>
          <w:p w14:paraId="3AE35C2A" w14:textId="77777777" w:rsidR="00421728" w:rsidRPr="00B916EC" w:rsidRDefault="00421728" w:rsidP="0060031D">
            <w:pPr>
              <w:pStyle w:val="TAC"/>
              <w:rPr>
                <w:lang w:val="en-US"/>
              </w:rPr>
            </w:pPr>
            <w:r w:rsidRPr="00B916EC">
              <w:rPr>
                <w:rFonts w:cs="Arial"/>
                <w:kern w:val="24"/>
              </w:rPr>
              <w:t>16</w:t>
            </w:r>
          </w:p>
        </w:tc>
      </w:tr>
      <w:tr w:rsidR="00421728" w:rsidRPr="00B916EC" w14:paraId="678384EC" w14:textId="77777777" w:rsidTr="00B73508">
        <w:trPr>
          <w:cantSplit/>
        </w:trPr>
        <w:tc>
          <w:tcPr>
            <w:tcW w:w="804" w:type="dxa"/>
            <w:tcBorders>
              <w:right w:val="double" w:sz="4" w:space="0" w:color="auto"/>
            </w:tcBorders>
            <w:shd w:val="clear" w:color="auto" w:fill="auto"/>
            <w:vAlign w:val="center"/>
          </w:tcPr>
          <w:p w14:paraId="04093CB9" w14:textId="77777777" w:rsidR="00421728" w:rsidRPr="00B916EC" w:rsidRDefault="00421728" w:rsidP="0060031D">
            <w:pPr>
              <w:pStyle w:val="TAC"/>
            </w:pPr>
            <w:r w:rsidRPr="00B916EC">
              <w:t>2</w:t>
            </w:r>
          </w:p>
        </w:tc>
        <w:tc>
          <w:tcPr>
            <w:tcW w:w="3583" w:type="dxa"/>
            <w:tcBorders>
              <w:left w:val="double" w:sz="4" w:space="0" w:color="auto"/>
            </w:tcBorders>
            <w:vAlign w:val="center"/>
          </w:tcPr>
          <w:p w14:paraId="716B3DA0" w14:textId="77777777" w:rsidR="00421728" w:rsidRPr="00B916EC" w:rsidRDefault="00421728" w:rsidP="0060031D">
            <w:pPr>
              <w:pStyle w:val="TAC"/>
            </w:pPr>
            <w:r w:rsidRPr="00B916EC">
              <w:rPr>
                <w:rFonts w:cs="Arial"/>
                <w:kern w:val="24"/>
                <w:szCs w:val="18"/>
              </w:rPr>
              <w:t>1</w:t>
            </w:r>
          </w:p>
        </w:tc>
        <w:tc>
          <w:tcPr>
            <w:tcW w:w="1588" w:type="dxa"/>
            <w:vAlign w:val="center"/>
          </w:tcPr>
          <w:p w14:paraId="3A281AB6" w14:textId="77777777" w:rsidR="00421728" w:rsidRPr="00B916EC" w:rsidRDefault="00421728" w:rsidP="0060031D">
            <w:pPr>
              <w:pStyle w:val="TAC"/>
            </w:pPr>
            <w:r w:rsidRPr="00B916EC">
              <w:rPr>
                <w:rFonts w:cs="Arial"/>
                <w:kern w:val="24"/>
              </w:rPr>
              <w:t>96</w:t>
            </w:r>
          </w:p>
        </w:tc>
        <w:tc>
          <w:tcPr>
            <w:tcW w:w="1957" w:type="dxa"/>
            <w:vAlign w:val="center"/>
          </w:tcPr>
          <w:p w14:paraId="2F958E10" w14:textId="77777777" w:rsidR="00421728" w:rsidRPr="00B916EC" w:rsidRDefault="00421728" w:rsidP="0060031D">
            <w:pPr>
              <w:pStyle w:val="TAC"/>
            </w:pPr>
            <w:r w:rsidRPr="00B916EC">
              <w:rPr>
                <w:rFonts w:cs="Arial"/>
                <w:kern w:val="24"/>
              </w:rPr>
              <w:t>2</w:t>
            </w:r>
          </w:p>
        </w:tc>
        <w:tc>
          <w:tcPr>
            <w:tcW w:w="1411" w:type="dxa"/>
            <w:vAlign w:val="center"/>
          </w:tcPr>
          <w:p w14:paraId="1777BC67" w14:textId="77777777" w:rsidR="00421728" w:rsidRPr="00B916EC" w:rsidRDefault="00421728" w:rsidP="0060031D">
            <w:pPr>
              <w:pStyle w:val="TAC"/>
            </w:pPr>
            <w:r w:rsidRPr="00B916EC">
              <w:rPr>
                <w:rFonts w:cs="Arial"/>
                <w:kern w:val="24"/>
              </w:rPr>
              <w:t>0</w:t>
            </w:r>
          </w:p>
        </w:tc>
      </w:tr>
      <w:tr w:rsidR="00421728" w:rsidRPr="00B916EC" w14:paraId="61204DAB" w14:textId="77777777" w:rsidTr="00B73508">
        <w:trPr>
          <w:cantSplit/>
        </w:trPr>
        <w:tc>
          <w:tcPr>
            <w:tcW w:w="804" w:type="dxa"/>
            <w:tcBorders>
              <w:right w:val="double" w:sz="4" w:space="0" w:color="auto"/>
            </w:tcBorders>
            <w:shd w:val="clear" w:color="auto" w:fill="auto"/>
            <w:vAlign w:val="center"/>
          </w:tcPr>
          <w:p w14:paraId="3B8F32D8" w14:textId="77777777" w:rsidR="00421728" w:rsidRPr="00B916EC" w:rsidRDefault="00421728" w:rsidP="0060031D">
            <w:pPr>
              <w:pStyle w:val="TAC"/>
            </w:pPr>
            <w:r w:rsidRPr="00B916EC">
              <w:t>3</w:t>
            </w:r>
          </w:p>
        </w:tc>
        <w:tc>
          <w:tcPr>
            <w:tcW w:w="3583" w:type="dxa"/>
            <w:tcBorders>
              <w:left w:val="double" w:sz="4" w:space="0" w:color="auto"/>
            </w:tcBorders>
            <w:vAlign w:val="center"/>
          </w:tcPr>
          <w:p w14:paraId="7F9E4B87" w14:textId="77777777" w:rsidR="00421728" w:rsidRPr="00B916EC" w:rsidRDefault="00421728" w:rsidP="0060031D">
            <w:pPr>
              <w:pStyle w:val="TAC"/>
            </w:pPr>
            <w:r w:rsidRPr="00B916EC">
              <w:rPr>
                <w:rFonts w:cs="Arial"/>
                <w:kern w:val="24"/>
                <w:szCs w:val="18"/>
              </w:rPr>
              <w:t>1</w:t>
            </w:r>
          </w:p>
        </w:tc>
        <w:tc>
          <w:tcPr>
            <w:tcW w:w="1588" w:type="dxa"/>
            <w:vAlign w:val="center"/>
          </w:tcPr>
          <w:p w14:paraId="76C469AF" w14:textId="77777777" w:rsidR="00421728" w:rsidRPr="00B916EC" w:rsidRDefault="00421728" w:rsidP="0060031D">
            <w:pPr>
              <w:pStyle w:val="TAC"/>
            </w:pPr>
            <w:r w:rsidRPr="00B916EC">
              <w:rPr>
                <w:rFonts w:cs="Arial"/>
                <w:kern w:val="24"/>
              </w:rPr>
              <w:t>96</w:t>
            </w:r>
          </w:p>
        </w:tc>
        <w:tc>
          <w:tcPr>
            <w:tcW w:w="1957" w:type="dxa"/>
            <w:vAlign w:val="center"/>
          </w:tcPr>
          <w:p w14:paraId="6817514A" w14:textId="77777777" w:rsidR="00421728" w:rsidRPr="00B916EC" w:rsidRDefault="00421728" w:rsidP="0060031D">
            <w:pPr>
              <w:pStyle w:val="TAC"/>
            </w:pPr>
            <w:r w:rsidRPr="00B916EC">
              <w:rPr>
                <w:rFonts w:cs="Arial"/>
                <w:kern w:val="24"/>
              </w:rPr>
              <w:t>2</w:t>
            </w:r>
          </w:p>
        </w:tc>
        <w:tc>
          <w:tcPr>
            <w:tcW w:w="1411" w:type="dxa"/>
            <w:vAlign w:val="center"/>
          </w:tcPr>
          <w:p w14:paraId="61966151" w14:textId="77777777" w:rsidR="00421728" w:rsidRPr="00B916EC" w:rsidRDefault="00421728" w:rsidP="0060031D">
            <w:pPr>
              <w:pStyle w:val="TAC"/>
            </w:pPr>
            <w:r w:rsidRPr="00B916EC">
              <w:rPr>
                <w:rFonts w:cs="Arial"/>
                <w:kern w:val="24"/>
              </w:rPr>
              <w:t>16</w:t>
            </w:r>
          </w:p>
        </w:tc>
      </w:tr>
      <w:tr w:rsidR="00421728" w:rsidRPr="00B916EC" w14:paraId="7594A371" w14:textId="77777777" w:rsidTr="00B73508">
        <w:trPr>
          <w:cantSplit/>
        </w:trPr>
        <w:tc>
          <w:tcPr>
            <w:tcW w:w="804" w:type="dxa"/>
            <w:tcBorders>
              <w:right w:val="double" w:sz="4" w:space="0" w:color="auto"/>
            </w:tcBorders>
            <w:shd w:val="clear" w:color="auto" w:fill="auto"/>
            <w:vAlign w:val="center"/>
          </w:tcPr>
          <w:p w14:paraId="2F5092E2" w14:textId="77777777" w:rsidR="00421728" w:rsidRPr="00B916EC" w:rsidRDefault="00421728" w:rsidP="0060031D">
            <w:pPr>
              <w:pStyle w:val="TAC"/>
            </w:pPr>
            <w:r w:rsidRPr="00B916EC">
              <w:t>4</w:t>
            </w:r>
          </w:p>
        </w:tc>
        <w:tc>
          <w:tcPr>
            <w:tcW w:w="8539" w:type="dxa"/>
            <w:gridSpan w:val="4"/>
            <w:tcBorders>
              <w:left w:val="double" w:sz="4" w:space="0" w:color="auto"/>
            </w:tcBorders>
            <w:vAlign w:val="center"/>
          </w:tcPr>
          <w:p w14:paraId="411FA1F2" w14:textId="77777777" w:rsidR="00421728" w:rsidRPr="00B916EC" w:rsidRDefault="00421728" w:rsidP="0060031D">
            <w:pPr>
              <w:pStyle w:val="TAC"/>
            </w:pPr>
            <w:r w:rsidRPr="00B916EC">
              <w:rPr>
                <w:rFonts w:cs="Arial"/>
                <w:kern w:val="24"/>
                <w:szCs w:val="18"/>
              </w:rPr>
              <w:t>Reserved</w:t>
            </w:r>
          </w:p>
        </w:tc>
      </w:tr>
      <w:tr w:rsidR="00421728" w:rsidRPr="00B916EC" w14:paraId="52A820A2" w14:textId="77777777" w:rsidTr="00B73508">
        <w:trPr>
          <w:cantSplit/>
        </w:trPr>
        <w:tc>
          <w:tcPr>
            <w:tcW w:w="804" w:type="dxa"/>
            <w:tcBorders>
              <w:right w:val="double" w:sz="4" w:space="0" w:color="auto"/>
            </w:tcBorders>
            <w:shd w:val="clear" w:color="auto" w:fill="auto"/>
            <w:vAlign w:val="center"/>
          </w:tcPr>
          <w:p w14:paraId="624F20C8" w14:textId="77777777" w:rsidR="00421728" w:rsidRPr="00B916EC" w:rsidRDefault="00421728" w:rsidP="0060031D">
            <w:pPr>
              <w:pStyle w:val="TAC"/>
            </w:pPr>
            <w:r w:rsidRPr="00B916EC">
              <w:t>5</w:t>
            </w:r>
          </w:p>
        </w:tc>
        <w:tc>
          <w:tcPr>
            <w:tcW w:w="8539" w:type="dxa"/>
            <w:gridSpan w:val="4"/>
            <w:tcBorders>
              <w:left w:val="double" w:sz="4" w:space="0" w:color="auto"/>
            </w:tcBorders>
            <w:vAlign w:val="center"/>
          </w:tcPr>
          <w:p w14:paraId="10A986E1" w14:textId="77777777" w:rsidR="00421728" w:rsidRPr="00B916EC" w:rsidRDefault="00421728" w:rsidP="0060031D">
            <w:pPr>
              <w:pStyle w:val="TAC"/>
            </w:pPr>
            <w:r w:rsidRPr="00B916EC">
              <w:rPr>
                <w:rFonts w:cs="Arial"/>
                <w:kern w:val="24"/>
                <w:szCs w:val="18"/>
              </w:rPr>
              <w:t>Reserved</w:t>
            </w:r>
          </w:p>
        </w:tc>
      </w:tr>
      <w:tr w:rsidR="00421728" w:rsidRPr="00B916EC" w14:paraId="6A00B5BF" w14:textId="77777777" w:rsidTr="00B73508">
        <w:trPr>
          <w:cantSplit/>
        </w:trPr>
        <w:tc>
          <w:tcPr>
            <w:tcW w:w="804" w:type="dxa"/>
            <w:tcBorders>
              <w:right w:val="double" w:sz="4" w:space="0" w:color="auto"/>
            </w:tcBorders>
            <w:shd w:val="clear" w:color="auto" w:fill="auto"/>
            <w:vAlign w:val="center"/>
          </w:tcPr>
          <w:p w14:paraId="16F8B7DA" w14:textId="77777777" w:rsidR="00421728" w:rsidRPr="00B916EC" w:rsidRDefault="00421728" w:rsidP="0060031D">
            <w:pPr>
              <w:pStyle w:val="TAC"/>
            </w:pPr>
            <w:r w:rsidRPr="00B916EC">
              <w:t>6</w:t>
            </w:r>
          </w:p>
        </w:tc>
        <w:tc>
          <w:tcPr>
            <w:tcW w:w="8539" w:type="dxa"/>
            <w:gridSpan w:val="4"/>
            <w:tcBorders>
              <w:left w:val="double" w:sz="4" w:space="0" w:color="auto"/>
            </w:tcBorders>
            <w:vAlign w:val="center"/>
          </w:tcPr>
          <w:p w14:paraId="5EB1E73B" w14:textId="77777777" w:rsidR="00421728" w:rsidRPr="00B916EC" w:rsidRDefault="00421728" w:rsidP="0060031D">
            <w:pPr>
              <w:pStyle w:val="TAC"/>
            </w:pPr>
            <w:r w:rsidRPr="00B916EC">
              <w:rPr>
                <w:rFonts w:cs="Arial"/>
                <w:kern w:val="24"/>
                <w:szCs w:val="18"/>
              </w:rPr>
              <w:t>Reserved</w:t>
            </w:r>
          </w:p>
        </w:tc>
      </w:tr>
      <w:tr w:rsidR="00421728" w:rsidRPr="00B916EC" w14:paraId="59537DE8" w14:textId="77777777" w:rsidTr="00B73508">
        <w:trPr>
          <w:cantSplit/>
        </w:trPr>
        <w:tc>
          <w:tcPr>
            <w:tcW w:w="804" w:type="dxa"/>
            <w:tcBorders>
              <w:right w:val="double" w:sz="4" w:space="0" w:color="auto"/>
            </w:tcBorders>
            <w:shd w:val="clear" w:color="auto" w:fill="auto"/>
            <w:vAlign w:val="center"/>
          </w:tcPr>
          <w:p w14:paraId="38494F22" w14:textId="77777777" w:rsidR="00421728" w:rsidRPr="00B916EC" w:rsidRDefault="00421728" w:rsidP="0060031D">
            <w:pPr>
              <w:pStyle w:val="TAC"/>
            </w:pPr>
            <w:r w:rsidRPr="00B916EC">
              <w:t>7</w:t>
            </w:r>
          </w:p>
        </w:tc>
        <w:tc>
          <w:tcPr>
            <w:tcW w:w="8539" w:type="dxa"/>
            <w:gridSpan w:val="4"/>
            <w:tcBorders>
              <w:left w:val="double" w:sz="4" w:space="0" w:color="auto"/>
            </w:tcBorders>
            <w:vAlign w:val="center"/>
          </w:tcPr>
          <w:p w14:paraId="6F6D90A8" w14:textId="77777777" w:rsidR="00421728" w:rsidRPr="00B916EC" w:rsidRDefault="00421728" w:rsidP="0060031D">
            <w:pPr>
              <w:pStyle w:val="TAC"/>
            </w:pPr>
            <w:r w:rsidRPr="00B916EC">
              <w:rPr>
                <w:rFonts w:cs="Arial"/>
                <w:kern w:val="24"/>
                <w:szCs w:val="18"/>
              </w:rPr>
              <w:t>Reserved</w:t>
            </w:r>
          </w:p>
        </w:tc>
      </w:tr>
      <w:tr w:rsidR="00421728" w:rsidRPr="00B916EC" w14:paraId="74C85FBE" w14:textId="77777777" w:rsidTr="00B73508">
        <w:trPr>
          <w:cantSplit/>
        </w:trPr>
        <w:tc>
          <w:tcPr>
            <w:tcW w:w="804" w:type="dxa"/>
            <w:tcBorders>
              <w:right w:val="double" w:sz="4" w:space="0" w:color="auto"/>
            </w:tcBorders>
            <w:shd w:val="clear" w:color="auto" w:fill="auto"/>
            <w:vAlign w:val="center"/>
          </w:tcPr>
          <w:p w14:paraId="7312174D" w14:textId="77777777" w:rsidR="00421728" w:rsidRPr="00B916EC" w:rsidRDefault="00421728" w:rsidP="0060031D">
            <w:pPr>
              <w:pStyle w:val="TAC"/>
            </w:pPr>
            <w:r w:rsidRPr="00B916EC">
              <w:t>8</w:t>
            </w:r>
          </w:p>
        </w:tc>
        <w:tc>
          <w:tcPr>
            <w:tcW w:w="8539" w:type="dxa"/>
            <w:gridSpan w:val="4"/>
            <w:tcBorders>
              <w:left w:val="double" w:sz="4" w:space="0" w:color="auto"/>
            </w:tcBorders>
            <w:vAlign w:val="center"/>
          </w:tcPr>
          <w:p w14:paraId="1814E600" w14:textId="77777777" w:rsidR="00421728" w:rsidRPr="00B916EC" w:rsidRDefault="00421728" w:rsidP="0060031D">
            <w:pPr>
              <w:pStyle w:val="TAC"/>
            </w:pPr>
            <w:r w:rsidRPr="00B916EC">
              <w:rPr>
                <w:rFonts w:cs="Arial"/>
                <w:kern w:val="24"/>
                <w:szCs w:val="18"/>
              </w:rPr>
              <w:t>Reserved</w:t>
            </w:r>
          </w:p>
        </w:tc>
      </w:tr>
      <w:tr w:rsidR="00421728" w:rsidRPr="00B916EC" w14:paraId="754024A4" w14:textId="77777777" w:rsidTr="00B73508">
        <w:trPr>
          <w:cantSplit/>
        </w:trPr>
        <w:tc>
          <w:tcPr>
            <w:tcW w:w="804" w:type="dxa"/>
            <w:tcBorders>
              <w:right w:val="double" w:sz="4" w:space="0" w:color="auto"/>
            </w:tcBorders>
            <w:shd w:val="clear" w:color="auto" w:fill="auto"/>
            <w:vAlign w:val="center"/>
          </w:tcPr>
          <w:p w14:paraId="460E02BF" w14:textId="77777777" w:rsidR="00421728" w:rsidRPr="00B916EC" w:rsidRDefault="00421728" w:rsidP="0060031D">
            <w:pPr>
              <w:pStyle w:val="TAC"/>
            </w:pPr>
            <w:r w:rsidRPr="00B916EC">
              <w:t>9</w:t>
            </w:r>
          </w:p>
        </w:tc>
        <w:tc>
          <w:tcPr>
            <w:tcW w:w="8539" w:type="dxa"/>
            <w:gridSpan w:val="4"/>
            <w:tcBorders>
              <w:left w:val="double" w:sz="4" w:space="0" w:color="auto"/>
            </w:tcBorders>
            <w:vAlign w:val="center"/>
          </w:tcPr>
          <w:p w14:paraId="228C23A5" w14:textId="77777777" w:rsidR="00421728" w:rsidRPr="00B916EC" w:rsidRDefault="00421728" w:rsidP="0060031D">
            <w:pPr>
              <w:pStyle w:val="TAC"/>
            </w:pPr>
            <w:r w:rsidRPr="00B916EC">
              <w:rPr>
                <w:rFonts w:cs="Arial"/>
                <w:kern w:val="24"/>
                <w:szCs w:val="18"/>
              </w:rPr>
              <w:t>Reserved</w:t>
            </w:r>
          </w:p>
        </w:tc>
      </w:tr>
      <w:tr w:rsidR="00421728" w:rsidRPr="00B916EC" w14:paraId="4EFA5A2B" w14:textId="77777777" w:rsidTr="00B73508">
        <w:trPr>
          <w:cantSplit/>
        </w:trPr>
        <w:tc>
          <w:tcPr>
            <w:tcW w:w="804" w:type="dxa"/>
            <w:tcBorders>
              <w:right w:val="double" w:sz="4" w:space="0" w:color="auto"/>
            </w:tcBorders>
            <w:shd w:val="clear" w:color="auto" w:fill="auto"/>
            <w:vAlign w:val="center"/>
          </w:tcPr>
          <w:p w14:paraId="38CA8E28" w14:textId="77777777" w:rsidR="00421728" w:rsidRPr="00B916EC" w:rsidRDefault="00421728" w:rsidP="0060031D">
            <w:pPr>
              <w:pStyle w:val="TAC"/>
            </w:pPr>
            <w:r w:rsidRPr="00B916EC">
              <w:t>10</w:t>
            </w:r>
          </w:p>
        </w:tc>
        <w:tc>
          <w:tcPr>
            <w:tcW w:w="8539" w:type="dxa"/>
            <w:gridSpan w:val="4"/>
            <w:tcBorders>
              <w:left w:val="double" w:sz="4" w:space="0" w:color="auto"/>
            </w:tcBorders>
            <w:vAlign w:val="center"/>
          </w:tcPr>
          <w:p w14:paraId="4DBC61A2" w14:textId="77777777" w:rsidR="00421728" w:rsidRPr="00B916EC" w:rsidRDefault="00421728" w:rsidP="0060031D">
            <w:pPr>
              <w:pStyle w:val="TAC"/>
            </w:pPr>
            <w:r w:rsidRPr="00B916EC">
              <w:rPr>
                <w:rFonts w:cs="Arial"/>
                <w:kern w:val="24"/>
                <w:szCs w:val="18"/>
              </w:rPr>
              <w:t>Reserved</w:t>
            </w:r>
          </w:p>
        </w:tc>
      </w:tr>
      <w:tr w:rsidR="00421728" w:rsidRPr="00B916EC" w14:paraId="64239EAD" w14:textId="77777777" w:rsidTr="00B73508">
        <w:trPr>
          <w:cantSplit/>
        </w:trPr>
        <w:tc>
          <w:tcPr>
            <w:tcW w:w="804" w:type="dxa"/>
            <w:tcBorders>
              <w:right w:val="double" w:sz="4" w:space="0" w:color="auto"/>
            </w:tcBorders>
            <w:shd w:val="clear" w:color="auto" w:fill="auto"/>
            <w:vAlign w:val="center"/>
          </w:tcPr>
          <w:p w14:paraId="7562070C" w14:textId="77777777" w:rsidR="00421728" w:rsidRPr="00B916EC" w:rsidRDefault="00421728" w:rsidP="0060031D">
            <w:pPr>
              <w:pStyle w:val="TAC"/>
            </w:pPr>
            <w:r w:rsidRPr="00B916EC">
              <w:t>11</w:t>
            </w:r>
          </w:p>
        </w:tc>
        <w:tc>
          <w:tcPr>
            <w:tcW w:w="8539" w:type="dxa"/>
            <w:gridSpan w:val="4"/>
            <w:tcBorders>
              <w:left w:val="double" w:sz="4" w:space="0" w:color="auto"/>
            </w:tcBorders>
            <w:vAlign w:val="center"/>
          </w:tcPr>
          <w:p w14:paraId="4CB558FC" w14:textId="77777777" w:rsidR="00421728" w:rsidRPr="00B916EC" w:rsidRDefault="00421728" w:rsidP="0060031D">
            <w:pPr>
              <w:pStyle w:val="TAC"/>
            </w:pPr>
            <w:r w:rsidRPr="00B916EC">
              <w:rPr>
                <w:rFonts w:cs="Arial"/>
                <w:kern w:val="24"/>
                <w:szCs w:val="18"/>
              </w:rPr>
              <w:t>Reserved</w:t>
            </w:r>
          </w:p>
        </w:tc>
      </w:tr>
      <w:tr w:rsidR="00421728" w:rsidRPr="00B916EC" w14:paraId="752457AD" w14:textId="77777777" w:rsidTr="00B73508">
        <w:trPr>
          <w:cantSplit/>
        </w:trPr>
        <w:tc>
          <w:tcPr>
            <w:tcW w:w="804" w:type="dxa"/>
            <w:tcBorders>
              <w:right w:val="double" w:sz="4" w:space="0" w:color="auto"/>
            </w:tcBorders>
            <w:shd w:val="clear" w:color="auto" w:fill="auto"/>
            <w:vAlign w:val="center"/>
          </w:tcPr>
          <w:p w14:paraId="458B389A" w14:textId="77777777" w:rsidR="00421728" w:rsidRPr="00B916EC" w:rsidRDefault="00421728" w:rsidP="0060031D">
            <w:pPr>
              <w:pStyle w:val="TAC"/>
            </w:pPr>
            <w:r w:rsidRPr="00B916EC">
              <w:t>12</w:t>
            </w:r>
          </w:p>
        </w:tc>
        <w:tc>
          <w:tcPr>
            <w:tcW w:w="8539" w:type="dxa"/>
            <w:gridSpan w:val="4"/>
            <w:tcBorders>
              <w:left w:val="double" w:sz="4" w:space="0" w:color="auto"/>
            </w:tcBorders>
            <w:vAlign w:val="center"/>
          </w:tcPr>
          <w:p w14:paraId="0907390D" w14:textId="77777777" w:rsidR="00421728" w:rsidRPr="00B916EC" w:rsidRDefault="00421728" w:rsidP="0060031D">
            <w:pPr>
              <w:pStyle w:val="TAC"/>
            </w:pPr>
            <w:r w:rsidRPr="00B916EC">
              <w:rPr>
                <w:rFonts w:cs="Arial"/>
                <w:kern w:val="24"/>
                <w:szCs w:val="18"/>
              </w:rPr>
              <w:t>Reserved</w:t>
            </w:r>
          </w:p>
        </w:tc>
      </w:tr>
      <w:tr w:rsidR="00421728" w:rsidRPr="00B916EC" w14:paraId="7B2C01EF" w14:textId="77777777" w:rsidTr="00B73508">
        <w:trPr>
          <w:cantSplit/>
        </w:trPr>
        <w:tc>
          <w:tcPr>
            <w:tcW w:w="804" w:type="dxa"/>
            <w:tcBorders>
              <w:right w:val="double" w:sz="4" w:space="0" w:color="auto"/>
            </w:tcBorders>
            <w:shd w:val="clear" w:color="auto" w:fill="auto"/>
            <w:vAlign w:val="center"/>
          </w:tcPr>
          <w:p w14:paraId="0E446B48" w14:textId="77777777" w:rsidR="00421728" w:rsidRPr="00B916EC" w:rsidRDefault="00421728" w:rsidP="0060031D">
            <w:pPr>
              <w:pStyle w:val="TAC"/>
            </w:pPr>
            <w:r w:rsidRPr="00B916EC">
              <w:t>13</w:t>
            </w:r>
          </w:p>
        </w:tc>
        <w:tc>
          <w:tcPr>
            <w:tcW w:w="8539" w:type="dxa"/>
            <w:gridSpan w:val="4"/>
            <w:tcBorders>
              <w:left w:val="double" w:sz="4" w:space="0" w:color="auto"/>
            </w:tcBorders>
            <w:vAlign w:val="center"/>
          </w:tcPr>
          <w:p w14:paraId="71D45E21" w14:textId="77777777" w:rsidR="00421728" w:rsidRPr="00B916EC" w:rsidRDefault="00421728" w:rsidP="0060031D">
            <w:pPr>
              <w:pStyle w:val="TAC"/>
            </w:pPr>
            <w:r w:rsidRPr="00B916EC">
              <w:rPr>
                <w:rFonts w:cs="Arial"/>
                <w:kern w:val="24"/>
                <w:szCs w:val="18"/>
              </w:rPr>
              <w:t>Reserved</w:t>
            </w:r>
          </w:p>
        </w:tc>
      </w:tr>
      <w:tr w:rsidR="00421728" w:rsidRPr="00B916EC" w14:paraId="7659A3FC" w14:textId="77777777" w:rsidTr="00B73508">
        <w:trPr>
          <w:cantSplit/>
        </w:trPr>
        <w:tc>
          <w:tcPr>
            <w:tcW w:w="804" w:type="dxa"/>
            <w:tcBorders>
              <w:right w:val="double" w:sz="4" w:space="0" w:color="auto"/>
            </w:tcBorders>
            <w:shd w:val="clear" w:color="auto" w:fill="auto"/>
            <w:vAlign w:val="center"/>
          </w:tcPr>
          <w:p w14:paraId="62532808" w14:textId="77777777" w:rsidR="00421728" w:rsidRPr="00B916EC" w:rsidRDefault="00421728" w:rsidP="0060031D">
            <w:pPr>
              <w:pStyle w:val="TAC"/>
            </w:pPr>
            <w:r w:rsidRPr="00B916EC">
              <w:t>14</w:t>
            </w:r>
          </w:p>
        </w:tc>
        <w:tc>
          <w:tcPr>
            <w:tcW w:w="8539" w:type="dxa"/>
            <w:gridSpan w:val="4"/>
            <w:tcBorders>
              <w:left w:val="double" w:sz="4" w:space="0" w:color="auto"/>
            </w:tcBorders>
            <w:vAlign w:val="center"/>
          </w:tcPr>
          <w:p w14:paraId="2B339EA3" w14:textId="77777777" w:rsidR="00421728" w:rsidRPr="00B916EC" w:rsidRDefault="00421728" w:rsidP="0060031D">
            <w:pPr>
              <w:pStyle w:val="TAC"/>
            </w:pPr>
            <w:r w:rsidRPr="00B916EC">
              <w:rPr>
                <w:rFonts w:cs="Arial"/>
                <w:kern w:val="24"/>
                <w:szCs w:val="18"/>
              </w:rPr>
              <w:t>Reserved</w:t>
            </w:r>
          </w:p>
        </w:tc>
      </w:tr>
      <w:tr w:rsidR="00421728" w:rsidRPr="00B916EC" w14:paraId="709B8435" w14:textId="77777777" w:rsidTr="00B73508">
        <w:trPr>
          <w:cantSplit/>
        </w:trPr>
        <w:tc>
          <w:tcPr>
            <w:tcW w:w="804" w:type="dxa"/>
            <w:tcBorders>
              <w:right w:val="double" w:sz="4" w:space="0" w:color="auto"/>
            </w:tcBorders>
            <w:shd w:val="clear" w:color="auto" w:fill="auto"/>
            <w:vAlign w:val="center"/>
          </w:tcPr>
          <w:p w14:paraId="67F4F367" w14:textId="77777777" w:rsidR="00421728" w:rsidRPr="00B916EC" w:rsidRDefault="00421728" w:rsidP="0060031D">
            <w:pPr>
              <w:pStyle w:val="TAC"/>
            </w:pPr>
            <w:r w:rsidRPr="00B916EC">
              <w:t>15</w:t>
            </w:r>
          </w:p>
        </w:tc>
        <w:tc>
          <w:tcPr>
            <w:tcW w:w="8539" w:type="dxa"/>
            <w:gridSpan w:val="4"/>
            <w:tcBorders>
              <w:left w:val="double" w:sz="4" w:space="0" w:color="auto"/>
            </w:tcBorders>
            <w:vAlign w:val="center"/>
          </w:tcPr>
          <w:p w14:paraId="3B2AB62C" w14:textId="77777777" w:rsidR="00421728" w:rsidRPr="00B916EC" w:rsidRDefault="00421728" w:rsidP="0060031D">
            <w:pPr>
              <w:pStyle w:val="TAC"/>
            </w:pPr>
            <w:r w:rsidRPr="00B916EC">
              <w:rPr>
                <w:rFonts w:cs="Arial"/>
                <w:kern w:val="24"/>
                <w:szCs w:val="18"/>
              </w:rPr>
              <w:t>Reserved</w:t>
            </w:r>
          </w:p>
        </w:tc>
      </w:tr>
    </w:tbl>
    <w:p w14:paraId="192BD75F" w14:textId="77777777" w:rsidR="004A0D85" w:rsidRPr="00B916EC" w:rsidRDefault="004A0D85" w:rsidP="004A0D85"/>
    <w:p w14:paraId="41F22390" w14:textId="77777777" w:rsidR="00673A22" w:rsidRPr="00B916EC" w:rsidRDefault="00421728" w:rsidP="00B06B6C">
      <w:pPr>
        <w:pStyle w:val="TH"/>
      </w:pPr>
      <w:r w:rsidRPr="00B916EC">
        <w:lastRenderedPageBreak/>
        <w:t>Table 1</w:t>
      </w:r>
      <w:r w:rsidR="00EC0649">
        <w:t>3</w:t>
      </w:r>
      <w:r w:rsidRPr="00B916EC">
        <w:t>-</w:t>
      </w:r>
      <w:r w:rsidR="00C929BE">
        <w:t>10</w:t>
      </w:r>
      <w:r w:rsidRPr="00B916EC">
        <w:t xml:space="preserve">: Set of resource blocks and slot symbols of </w:t>
      </w:r>
      <w:r w:rsidR="00C76664">
        <w:t>CORESET</w:t>
      </w:r>
      <w:r w:rsidRPr="00B916EC">
        <w:t xml:space="preserve"> for Type0-PDCCH search space</w:t>
      </w:r>
      <w:r w:rsidR="009F2666">
        <w:t xml:space="preserve"> set</w:t>
      </w:r>
      <w:r w:rsidRPr="00B916EC">
        <w:t xml:space="preserve"> when {SS/PBCH block, PDCCH} </w:t>
      </w:r>
      <w:r w:rsidR="00143099">
        <w:t>SCS</w:t>
      </w:r>
      <w:r w:rsidRPr="00B916EC">
        <w:t xml:space="preserve"> is {240, 120} kHz</w:t>
      </w:r>
    </w:p>
    <w:tbl>
      <w:tblPr>
        <w:tblW w:w="0" w:type="auto"/>
        <w:tblInd w:w="8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3"/>
        <w:gridCol w:w="3219"/>
        <w:gridCol w:w="1592"/>
        <w:gridCol w:w="1761"/>
        <w:gridCol w:w="1423"/>
      </w:tblGrid>
      <w:tr w:rsidR="00D03360" w:rsidRPr="00B916EC" w14:paraId="318026F6" w14:textId="77777777" w:rsidTr="00B73508">
        <w:trPr>
          <w:cantSplit/>
        </w:trPr>
        <w:tc>
          <w:tcPr>
            <w:tcW w:w="783" w:type="dxa"/>
            <w:tcBorders>
              <w:bottom w:val="double" w:sz="4" w:space="0" w:color="auto"/>
              <w:right w:val="double" w:sz="4" w:space="0" w:color="auto"/>
            </w:tcBorders>
            <w:shd w:val="clear" w:color="auto" w:fill="E0E0E0"/>
            <w:vAlign w:val="center"/>
          </w:tcPr>
          <w:p w14:paraId="014B332B" w14:textId="77777777" w:rsidR="00D03360" w:rsidRPr="00B916EC" w:rsidRDefault="00D03360" w:rsidP="00D03360">
            <w:pPr>
              <w:pStyle w:val="TAH"/>
              <w:rPr>
                <w:bCs/>
                <w:lang w:val="en-US"/>
              </w:rPr>
            </w:pPr>
            <w:r w:rsidRPr="00B916EC">
              <w:rPr>
                <w:bCs/>
                <w:lang w:val="en-US"/>
              </w:rPr>
              <w:t>Index</w:t>
            </w:r>
          </w:p>
        </w:tc>
        <w:tc>
          <w:tcPr>
            <w:tcW w:w="3219" w:type="dxa"/>
            <w:tcBorders>
              <w:left w:val="double" w:sz="4" w:space="0" w:color="auto"/>
              <w:bottom w:val="double" w:sz="4" w:space="0" w:color="auto"/>
            </w:tcBorders>
            <w:shd w:val="clear" w:color="auto" w:fill="E0E0E0"/>
            <w:vAlign w:val="center"/>
          </w:tcPr>
          <w:p w14:paraId="3CF6A2A8" w14:textId="77777777" w:rsidR="00D03360" w:rsidRPr="00B916EC" w:rsidRDefault="00D03360" w:rsidP="00D03360">
            <w:pPr>
              <w:pStyle w:val="TAH"/>
              <w:rPr>
                <w:bCs/>
                <w:lang w:val="en-US"/>
              </w:rPr>
            </w:pPr>
            <w:r w:rsidRPr="00B916EC">
              <w:rPr>
                <w:rFonts w:cs="Arial"/>
                <w:kern w:val="24"/>
              </w:rPr>
              <w:t xml:space="preserve">SS/PBCH block and </w:t>
            </w:r>
            <w:r>
              <w:rPr>
                <w:rFonts w:cs="Arial"/>
                <w:kern w:val="24"/>
              </w:rPr>
              <w:t>CORESET</w:t>
            </w:r>
            <w:r w:rsidRPr="00B916EC">
              <w:rPr>
                <w:rFonts w:cs="Arial"/>
                <w:kern w:val="24"/>
              </w:rPr>
              <w:t xml:space="preserve"> multiplexing pattern </w:t>
            </w:r>
          </w:p>
        </w:tc>
        <w:tc>
          <w:tcPr>
            <w:tcW w:w="1592" w:type="dxa"/>
            <w:tcBorders>
              <w:bottom w:val="double" w:sz="4" w:space="0" w:color="auto"/>
            </w:tcBorders>
            <w:shd w:val="clear" w:color="auto" w:fill="E0E0E0"/>
            <w:vAlign w:val="center"/>
          </w:tcPr>
          <w:p w14:paraId="5CCADD0C" w14:textId="42E1D3C8" w:rsidR="00D03360" w:rsidRPr="00B916EC" w:rsidRDefault="00D03360" w:rsidP="00D03360">
            <w:pPr>
              <w:pStyle w:val="TAH"/>
              <w:rPr>
                <w:bCs/>
                <w:lang w:val="en-US"/>
              </w:rPr>
            </w:pPr>
            <w:r w:rsidRPr="00B27E56">
              <w:rPr>
                <w:rFonts w:cs="Arial"/>
                <w:kern w:val="24"/>
              </w:rPr>
              <w:t xml:space="preserve">Number of RBs </w:t>
            </w:r>
            <m:oMath>
              <m:sSubSup>
                <m:sSubSupPr>
                  <m:ctrlPr>
                    <w:rPr>
                      <w:rFonts w:ascii="Cambria Math" w:hAnsi="Cambria Math"/>
                      <w:i/>
                    </w:rPr>
                  </m:ctrlPr>
                </m:sSubSupPr>
                <m:e>
                  <m:r>
                    <m:rPr>
                      <m:sty m:val="bi"/>
                    </m:rPr>
                    <w:rPr>
                      <w:rFonts w:ascii="Cambria Math"/>
                    </w:rPr>
                    <m:t>N</m:t>
                  </m:r>
                </m:e>
                <m:sub>
                  <m:r>
                    <m:rPr>
                      <m:nor/>
                    </m:rPr>
                    <w:rPr>
                      <w:rFonts w:ascii="Cambria Math"/>
                    </w:rPr>
                    <m:t>RB</m:t>
                  </m:r>
                  <m:ctrlPr>
                    <w:rPr>
                      <w:rFonts w:ascii="Cambria Math" w:hAnsi="Cambria Math"/>
                    </w:rPr>
                  </m:ctrlPr>
                </m:sub>
                <m:sup>
                  <m:r>
                    <m:rPr>
                      <m:nor/>
                    </m:rPr>
                    <w:rPr>
                      <w:rFonts w:ascii="Cambria Math"/>
                    </w:rPr>
                    <m:t>CORESET</m:t>
                  </m:r>
                  <m:ctrlPr>
                    <w:rPr>
                      <w:rFonts w:ascii="Cambria Math" w:hAnsi="Cambria Math"/>
                    </w:rPr>
                  </m:ctrlPr>
                </m:sup>
              </m:sSubSup>
            </m:oMath>
          </w:p>
        </w:tc>
        <w:tc>
          <w:tcPr>
            <w:tcW w:w="1761" w:type="dxa"/>
            <w:tcBorders>
              <w:bottom w:val="double" w:sz="4" w:space="0" w:color="auto"/>
            </w:tcBorders>
            <w:shd w:val="clear" w:color="auto" w:fill="E0E0E0"/>
            <w:vAlign w:val="center"/>
          </w:tcPr>
          <w:p w14:paraId="6D8F0EBE" w14:textId="6C86724D" w:rsidR="00D03360" w:rsidRPr="00B916EC" w:rsidRDefault="00D03360" w:rsidP="00D03360">
            <w:pPr>
              <w:pStyle w:val="TAH"/>
              <w:rPr>
                <w:bCs/>
                <w:lang w:val="en-US"/>
              </w:rPr>
            </w:pPr>
            <w:r w:rsidRPr="00B27E56">
              <w:rPr>
                <w:rFonts w:cs="Arial"/>
                <w:kern w:val="24"/>
              </w:rPr>
              <w:t xml:space="preserve">Number of Symbols </w:t>
            </w:r>
            <m:oMath>
              <m:sSubSup>
                <m:sSubSupPr>
                  <m:ctrlPr>
                    <w:rPr>
                      <w:rFonts w:ascii="Cambria Math" w:hAnsi="Cambria Math"/>
                      <w:i/>
                    </w:rPr>
                  </m:ctrlPr>
                </m:sSubSupPr>
                <m:e>
                  <m:r>
                    <m:rPr>
                      <m:sty m:val="bi"/>
                    </m:rPr>
                    <w:rPr>
                      <w:rFonts w:ascii="Cambria Math"/>
                    </w:rPr>
                    <m:t>N</m:t>
                  </m:r>
                </m:e>
                <m:sub>
                  <m:r>
                    <m:rPr>
                      <m:nor/>
                    </m:rPr>
                    <w:rPr>
                      <w:rFonts w:ascii="Cambria Math"/>
                    </w:rPr>
                    <m:t>symb</m:t>
                  </m:r>
                  <m:ctrlPr>
                    <w:rPr>
                      <w:rFonts w:ascii="Cambria Math" w:hAnsi="Cambria Math"/>
                    </w:rPr>
                  </m:ctrlPr>
                </m:sub>
                <m:sup>
                  <m:r>
                    <m:rPr>
                      <m:nor/>
                    </m:rPr>
                    <w:rPr>
                      <w:rFonts w:ascii="Cambria Math"/>
                    </w:rPr>
                    <m:t>CORESET</m:t>
                  </m:r>
                  <m:ctrlPr>
                    <w:rPr>
                      <w:rFonts w:ascii="Cambria Math" w:hAnsi="Cambria Math"/>
                    </w:rPr>
                  </m:ctrlPr>
                </m:sup>
              </m:sSubSup>
            </m:oMath>
            <w:r w:rsidRPr="00B27E56">
              <w:rPr>
                <w:rFonts w:cs="Arial"/>
                <w:kern w:val="24"/>
              </w:rPr>
              <w:t xml:space="preserve"> </w:t>
            </w:r>
          </w:p>
        </w:tc>
        <w:tc>
          <w:tcPr>
            <w:tcW w:w="1423" w:type="dxa"/>
            <w:tcBorders>
              <w:bottom w:val="double" w:sz="4" w:space="0" w:color="auto"/>
            </w:tcBorders>
            <w:shd w:val="clear" w:color="auto" w:fill="E0E0E0"/>
            <w:vAlign w:val="center"/>
          </w:tcPr>
          <w:p w14:paraId="243572C1" w14:textId="77777777" w:rsidR="00D03360" w:rsidRPr="00B916EC" w:rsidRDefault="00D03360" w:rsidP="00D03360">
            <w:pPr>
              <w:pStyle w:val="TAH"/>
              <w:rPr>
                <w:bCs/>
                <w:lang w:val="en-US"/>
              </w:rPr>
            </w:pPr>
            <w:r w:rsidRPr="00B916EC">
              <w:rPr>
                <w:rFonts w:cs="Arial"/>
                <w:kern w:val="24"/>
              </w:rPr>
              <w:t xml:space="preserve">Offset (RBs) </w:t>
            </w:r>
          </w:p>
        </w:tc>
      </w:tr>
      <w:tr w:rsidR="00421728" w:rsidRPr="00B916EC" w14:paraId="5057E48A" w14:textId="77777777" w:rsidTr="00B73508">
        <w:trPr>
          <w:cantSplit/>
        </w:trPr>
        <w:tc>
          <w:tcPr>
            <w:tcW w:w="783" w:type="dxa"/>
            <w:tcBorders>
              <w:top w:val="double" w:sz="4" w:space="0" w:color="auto"/>
              <w:right w:val="double" w:sz="4" w:space="0" w:color="auto"/>
            </w:tcBorders>
            <w:shd w:val="clear" w:color="auto" w:fill="auto"/>
            <w:vAlign w:val="center"/>
          </w:tcPr>
          <w:p w14:paraId="1C6384D6" w14:textId="77777777" w:rsidR="00421728" w:rsidRPr="00B916EC" w:rsidRDefault="00421728" w:rsidP="0060031D">
            <w:pPr>
              <w:pStyle w:val="TAC"/>
              <w:rPr>
                <w:lang w:val="en-US"/>
              </w:rPr>
            </w:pPr>
            <w:r w:rsidRPr="00B916EC">
              <w:rPr>
                <w:lang w:val="en-US"/>
              </w:rPr>
              <w:t>0</w:t>
            </w:r>
          </w:p>
        </w:tc>
        <w:tc>
          <w:tcPr>
            <w:tcW w:w="3219" w:type="dxa"/>
            <w:tcBorders>
              <w:top w:val="double" w:sz="4" w:space="0" w:color="auto"/>
              <w:left w:val="double" w:sz="4" w:space="0" w:color="auto"/>
            </w:tcBorders>
            <w:vAlign w:val="center"/>
          </w:tcPr>
          <w:p w14:paraId="30EBB493" w14:textId="77777777" w:rsidR="00421728" w:rsidRPr="00B916EC" w:rsidRDefault="00421728" w:rsidP="0060031D">
            <w:pPr>
              <w:pStyle w:val="TAC"/>
              <w:rPr>
                <w:lang w:val="en-US"/>
              </w:rPr>
            </w:pPr>
            <w:r w:rsidRPr="00B916EC">
              <w:rPr>
                <w:rFonts w:cs="Arial"/>
                <w:kern w:val="24"/>
                <w:szCs w:val="18"/>
              </w:rPr>
              <w:t>1</w:t>
            </w:r>
          </w:p>
        </w:tc>
        <w:tc>
          <w:tcPr>
            <w:tcW w:w="1592" w:type="dxa"/>
            <w:tcBorders>
              <w:top w:val="double" w:sz="4" w:space="0" w:color="auto"/>
            </w:tcBorders>
            <w:vAlign w:val="center"/>
          </w:tcPr>
          <w:p w14:paraId="5D7B3308" w14:textId="77777777" w:rsidR="00421728" w:rsidRPr="00B916EC" w:rsidRDefault="00421728" w:rsidP="0060031D">
            <w:pPr>
              <w:pStyle w:val="TAC"/>
              <w:rPr>
                <w:lang w:val="en-US"/>
              </w:rPr>
            </w:pPr>
            <w:r w:rsidRPr="00B916EC">
              <w:rPr>
                <w:rFonts w:cs="Arial"/>
                <w:kern w:val="24"/>
                <w:szCs w:val="18"/>
              </w:rPr>
              <w:t>48</w:t>
            </w:r>
          </w:p>
        </w:tc>
        <w:tc>
          <w:tcPr>
            <w:tcW w:w="1761" w:type="dxa"/>
            <w:tcBorders>
              <w:top w:val="double" w:sz="4" w:space="0" w:color="auto"/>
            </w:tcBorders>
            <w:vAlign w:val="center"/>
          </w:tcPr>
          <w:p w14:paraId="5A61AC9F" w14:textId="77777777" w:rsidR="00421728" w:rsidRPr="00B916EC" w:rsidRDefault="00421728" w:rsidP="0060031D">
            <w:pPr>
              <w:pStyle w:val="TAC"/>
              <w:rPr>
                <w:lang w:val="en-US"/>
              </w:rPr>
            </w:pPr>
            <w:r w:rsidRPr="00B916EC">
              <w:rPr>
                <w:rFonts w:cs="Arial"/>
                <w:kern w:val="24"/>
                <w:szCs w:val="18"/>
              </w:rPr>
              <w:t>1</w:t>
            </w:r>
          </w:p>
        </w:tc>
        <w:tc>
          <w:tcPr>
            <w:tcW w:w="1423" w:type="dxa"/>
            <w:tcBorders>
              <w:top w:val="double" w:sz="4" w:space="0" w:color="auto"/>
            </w:tcBorders>
            <w:vAlign w:val="center"/>
          </w:tcPr>
          <w:p w14:paraId="70282D1F" w14:textId="77777777" w:rsidR="00421728" w:rsidRPr="00B916EC" w:rsidRDefault="00421728" w:rsidP="0060031D">
            <w:pPr>
              <w:pStyle w:val="TAC"/>
              <w:rPr>
                <w:lang w:val="en-US"/>
              </w:rPr>
            </w:pPr>
            <w:r w:rsidRPr="00B916EC">
              <w:rPr>
                <w:rFonts w:cs="Arial"/>
                <w:kern w:val="24"/>
                <w:szCs w:val="18"/>
              </w:rPr>
              <w:t>0</w:t>
            </w:r>
          </w:p>
        </w:tc>
      </w:tr>
      <w:tr w:rsidR="00421728" w:rsidRPr="00B916EC" w14:paraId="795EDF12" w14:textId="77777777" w:rsidTr="00B73508">
        <w:trPr>
          <w:cantSplit/>
        </w:trPr>
        <w:tc>
          <w:tcPr>
            <w:tcW w:w="783" w:type="dxa"/>
            <w:tcBorders>
              <w:right w:val="double" w:sz="4" w:space="0" w:color="auto"/>
            </w:tcBorders>
            <w:shd w:val="clear" w:color="auto" w:fill="auto"/>
            <w:vAlign w:val="center"/>
          </w:tcPr>
          <w:p w14:paraId="56E759B9" w14:textId="77777777" w:rsidR="00421728" w:rsidRPr="00B916EC" w:rsidRDefault="00421728" w:rsidP="0060031D">
            <w:pPr>
              <w:pStyle w:val="TAC"/>
              <w:rPr>
                <w:lang w:val="en-US"/>
              </w:rPr>
            </w:pPr>
            <w:r w:rsidRPr="00B916EC">
              <w:rPr>
                <w:lang w:val="en-US"/>
              </w:rPr>
              <w:t>1</w:t>
            </w:r>
          </w:p>
        </w:tc>
        <w:tc>
          <w:tcPr>
            <w:tcW w:w="3219" w:type="dxa"/>
            <w:tcBorders>
              <w:left w:val="double" w:sz="4" w:space="0" w:color="auto"/>
            </w:tcBorders>
            <w:vAlign w:val="center"/>
          </w:tcPr>
          <w:p w14:paraId="0469F503" w14:textId="77777777" w:rsidR="00421728" w:rsidRPr="00B916EC" w:rsidRDefault="00421728" w:rsidP="0060031D">
            <w:pPr>
              <w:pStyle w:val="TAC"/>
              <w:rPr>
                <w:lang w:val="en-US"/>
              </w:rPr>
            </w:pPr>
            <w:r w:rsidRPr="00B916EC">
              <w:rPr>
                <w:rFonts w:cs="Arial"/>
                <w:kern w:val="24"/>
                <w:szCs w:val="18"/>
              </w:rPr>
              <w:t>1</w:t>
            </w:r>
          </w:p>
        </w:tc>
        <w:tc>
          <w:tcPr>
            <w:tcW w:w="1592" w:type="dxa"/>
            <w:vAlign w:val="center"/>
          </w:tcPr>
          <w:p w14:paraId="6FE92FA8" w14:textId="77777777" w:rsidR="00421728" w:rsidRPr="00B916EC" w:rsidRDefault="00421728" w:rsidP="0060031D">
            <w:pPr>
              <w:pStyle w:val="TAC"/>
              <w:rPr>
                <w:lang w:val="en-US"/>
              </w:rPr>
            </w:pPr>
            <w:r w:rsidRPr="00B916EC">
              <w:rPr>
                <w:rFonts w:cs="Arial"/>
                <w:kern w:val="24"/>
                <w:szCs w:val="18"/>
              </w:rPr>
              <w:t>48</w:t>
            </w:r>
          </w:p>
        </w:tc>
        <w:tc>
          <w:tcPr>
            <w:tcW w:w="1761" w:type="dxa"/>
            <w:vAlign w:val="center"/>
          </w:tcPr>
          <w:p w14:paraId="5FD62961" w14:textId="77777777" w:rsidR="00421728" w:rsidRPr="00B916EC" w:rsidRDefault="00421728" w:rsidP="0060031D">
            <w:pPr>
              <w:pStyle w:val="TAC"/>
              <w:rPr>
                <w:lang w:val="en-US"/>
              </w:rPr>
            </w:pPr>
            <w:r w:rsidRPr="00B916EC">
              <w:rPr>
                <w:rFonts w:cs="Arial"/>
                <w:kern w:val="24"/>
                <w:szCs w:val="18"/>
              </w:rPr>
              <w:t>1</w:t>
            </w:r>
          </w:p>
        </w:tc>
        <w:tc>
          <w:tcPr>
            <w:tcW w:w="1423" w:type="dxa"/>
            <w:vAlign w:val="center"/>
          </w:tcPr>
          <w:p w14:paraId="35FE5710" w14:textId="77777777" w:rsidR="00421728" w:rsidRPr="00B916EC" w:rsidRDefault="00421728" w:rsidP="0060031D">
            <w:pPr>
              <w:pStyle w:val="TAC"/>
              <w:rPr>
                <w:lang w:val="en-US"/>
              </w:rPr>
            </w:pPr>
            <w:r w:rsidRPr="00B916EC">
              <w:rPr>
                <w:rFonts w:cs="Arial"/>
                <w:kern w:val="24"/>
                <w:szCs w:val="18"/>
              </w:rPr>
              <w:t>8</w:t>
            </w:r>
          </w:p>
        </w:tc>
      </w:tr>
      <w:tr w:rsidR="00421728" w:rsidRPr="00B916EC" w14:paraId="28EA330A" w14:textId="77777777" w:rsidTr="00B73508">
        <w:trPr>
          <w:cantSplit/>
        </w:trPr>
        <w:tc>
          <w:tcPr>
            <w:tcW w:w="783" w:type="dxa"/>
            <w:tcBorders>
              <w:right w:val="double" w:sz="4" w:space="0" w:color="auto"/>
            </w:tcBorders>
            <w:shd w:val="clear" w:color="auto" w:fill="auto"/>
            <w:vAlign w:val="center"/>
          </w:tcPr>
          <w:p w14:paraId="47A0A2B6" w14:textId="77777777" w:rsidR="00421728" w:rsidRPr="00B916EC" w:rsidRDefault="00421728" w:rsidP="0060031D">
            <w:pPr>
              <w:pStyle w:val="TAC"/>
            </w:pPr>
            <w:r w:rsidRPr="00B916EC">
              <w:t>2</w:t>
            </w:r>
          </w:p>
        </w:tc>
        <w:tc>
          <w:tcPr>
            <w:tcW w:w="3219" w:type="dxa"/>
            <w:tcBorders>
              <w:left w:val="double" w:sz="4" w:space="0" w:color="auto"/>
            </w:tcBorders>
            <w:vAlign w:val="center"/>
          </w:tcPr>
          <w:p w14:paraId="788EEC9E" w14:textId="77777777" w:rsidR="00421728" w:rsidRPr="00B916EC" w:rsidRDefault="00421728" w:rsidP="0060031D">
            <w:pPr>
              <w:pStyle w:val="TAC"/>
            </w:pPr>
            <w:r w:rsidRPr="00B916EC">
              <w:rPr>
                <w:rFonts w:cs="Arial"/>
                <w:kern w:val="24"/>
                <w:szCs w:val="18"/>
              </w:rPr>
              <w:t>1</w:t>
            </w:r>
          </w:p>
        </w:tc>
        <w:tc>
          <w:tcPr>
            <w:tcW w:w="1592" w:type="dxa"/>
            <w:vAlign w:val="center"/>
          </w:tcPr>
          <w:p w14:paraId="1E1854B3" w14:textId="77777777" w:rsidR="00421728" w:rsidRPr="00B916EC" w:rsidRDefault="00421728" w:rsidP="0060031D">
            <w:pPr>
              <w:pStyle w:val="TAC"/>
            </w:pPr>
            <w:r w:rsidRPr="00B916EC">
              <w:rPr>
                <w:rFonts w:cs="Arial"/>
                <w:kern w:val="24"/>
                <w:szCs w:val="18"/>
              </w:rPr>
              <w:t>48</w:t>
            </w:r>
          </w:p>
        </w:tc>
        <w:tc>
          <w:tcPr>
            <w:tcW w:w="1761" w:type="dxa"/>
            <w:vAlign w:val="center"/>
          </w:tcPr>
          <w:p w14:paraId="26760EB3" w14:textId="77777777" w:rsidR="00421728" w:rsidRPr="00B916EC" w:rsidRDefault="00421728" w:rsidP="0060031D">
            <w:pPr>
              <w:pStyle w:val="TAC"/>
            </w:pPr>
            <w:r w:rsidRPr="00B916EC">
              <w:rPr>
                <w:rFonts w:cs="Arial"/>
                <w:kern w:val="24"/>
                <w:szCs w:val="18"/>
              </w:rPr>
              <w:t>2</w:t>
            </w:r>
          </w:p>
        </w:tc>
        <w:tc>
          <w:tcPr>
            <w:tcW w:w="1423" w:type="dxa"/>
            <w:vAlign w:val="center"/>
          </w:tcPr>
          <w:p w14:paraId="1A1EC14C" w14:textId="77777777" w:rsidR="00421728" w:rsidRPr="00B916EC" w:rsidRDefault="00421728" w:rsidP="0060031D">
            <w:pPr>
              <w:pStyle w:val="TAC"/>
            </w:pPr>
            <w:r w:rsidRPr="00B916EC">
              <w:rPr>
                <w:rFonts w:cs="Arial"/>
                <w:kern w:val="24"/>
                <w:szCs w:val="18"/>
              </w:rPr>
              <w:t>0</w:t>
            </w:r>
          </w:p>
        </w:tc>
      </w:tr>
      <w:tr w:rsidR="00421728" w:rsidRPr="00B916EC" w14:paraId="514F7C3B" w14:textId="77777777" w:rsidTr="00B73508">
        <w:trPr>
          <w:cantSplit/>
        </w:trPr>
        <w:tc>
          <w:tcPr>
            <w:tcW w:w="783" w:type="dxa"/>
            <w:tcBorders>
              <w:right w:val="double" w:sz="4" w:space="0" w:color="auto"/>
            </w:tcBorders>
            <w:shd w:val="clear" w:color="auto" w:fill="auto"/>
            <w:vAlign w:val="center"/>
          </w:tcPr>
          <w:p w14:paraId="3BB4C37A" w14:textId="77777777" w:rsidR="00421728" w:rsidRPr="00B916EC" w:rsidRDefault="00421728" w:rsidP="0060031D">
            <w:pPr>
              <w:pStyle w:val="TAC"/>
            </w:pPr>
            <w:r w:rsidRPr="00B916EC">
              <w:t>3</w:t>
            </w:r>
          </w:p>
        </w:tc>
        <w:tc>
          <w:tcPr>
            <w:tcW w:w="3219" w:type="dxa"/>
            <w:tcBorders>
              <w:left w:val="double" w:sz="4" w:space="0" w:color="auto"/>
            </w:tcBorders>
            <w:vAlign w:val="center"/>
          </w:tcPr>
          <w:p w14:paraId="20BBE5AE" w14:textId="77777777" w:rsidR="00421728" w:rsidRPr="00B916EC" w:rsidRDefault="00421728" w:rsidP="0060031D">
            <w:pPr>
              <w:pStyle w:val="TAC"/>
            </w:pPr>
            <w:r w:rsidRPr="00B916EC">
              <w:rPr>
                <w:rFonts w:cs="Arial"/>
                <w:kern w:val="24"/>
                <w:szCs w:val="18"/>
              </w:rPr>
              <w:t>1</w:t>
            </w:r>
          </w:p>
        </w:tc>
        <w:tc>
          <w:tcPr>
            <w:tcW w:w="1592" w:type="dxa"/>
            <w:vAlign w:val="center"/>
          </w:tcPr>
          <w:p w14:paraId="63670D30" w14:textId="77777777" w:rsidR="00421728" w:rsidRPr="00B916EC" w:rsidRDefault="00421728" w:rsidP="0060031D">
            <w:pPr>
              <w:pStyle w:val="TAC"/>
            </w:pPr>
            <w:r w:rsidRPr="00B916EC">
              <w:rPr>
                <w:rFonts w:cs="Arial"/>
                <w:kern w:val="24"/>
                <w:szCs w:val="18"/>
              </w:rPr>
              <w:t>48</w:t>
            </w:r>
          </w:p>
        </w:tc>
        <w:tc>
          <w:tcPr>
            <w:tcW w:w="1761" w:type="dxa"/>
            <w:vAlign w:val="center"/>
          </w:tcPr>
          <w:p w14:paraId="0371E77F" w14:textId="77777777" w:rsidR="00421728" w:rsidRPr="00B916EC" w:rsidRDefault="00421728" w:rsidP="0060031D">
            <w:pPr>
              <w:pStyle w:val="TAC"/>
            </w:pPr>
            <w:r w:rsidRPr="00B916EC">
              <w:rPr>
                <w:rFonts w:cs="Arial"/>
                <w:kern w:val="24"/>
                <w:szCs w:val="18"/>
              </w:rPr>
              <w:t>2</w:t>
            </w:r>
          </w:p>
        </w:tc>
        <w:tc>
          <w:tcPr>
            <w:tcW w:w="1423" w:type="dxa"/>
            <w:vAlign w:val="center"/>
          </w:tcPr>
          <w:p w14:paraId="43CAACAF" w14:textId="77777777" w:rsidR="00421728" w:rsidRPr="00B916EC" w:rsidRDefault="00421728" w:rsidP="0060031D">
            <w:pPr>
              <w:pStyle w:val="TAC"/>
            </w:pPr>
            <w:r w:rsidRPr="00B916EC">
              <w:rPr>
                <w:rFonts w:cs="Arial"/>
                <w:kern w:val="24"/>
                <w:szCs w:val="18"/>
              </w:rPr>
              <w:t>8</w:t>
            </w:r>
          </w:p>
        </w:tc>
      </w:tr>
      <w:tr w:rsidR="00D03360" w:rsidRPr="00B916EC" w14:paraId="38AF721A" w14:textId="77777777" w:rsidTr="00B73508">
        <w:trPr>
          <w:cantSplit/>
        </w:trPr>
        <w:tc>
          <w:tcPr>
            <w:tcW w:w="783" w:type="dxa"/>
            <w:tcBorders>
              <w:right w:val="double" w:sz="4" w:space="0" w:color="auto"/>
            </w:tcBorders>
            <w:shd w:val="clear" w:color="auto" w:fill="auto"/>
            <w:vAlign w:val="center"/>
          </w:tcPr>
          <w:p w14:paraId="715DC849" w14:textId="77777777" w:rsidR="00D03360" w:rsidRPr="00B916EC" w:rsidRDefault="00D03360" w:rsidP="00D03360">
            <w:pPr>
              <w:pStyle w:val="TAC"/>
            </w:pPr>
            <w:r w:rsidRPr="00B916EC">
              <w:t>4</w:t>
            </w:r>
          </w:p>
        </w:tc>
        <w:tc>
          <w:tcPr>
            <w:tcW w:w="3219" w:type="dxa"/>
            <w:tcBorders>
              <w:left w:val="double" w:sz="4" w:space="0" w:color="auto"/>
            </w:tcBorders>
            <w:vAlign w:val="center"/>
          </w:tcPr>
          <w:p w14:paraId="35D98517" w14:textId="77777777" w:rsidR="00D03360" w:rsidRPr="00B916EC" w:rsidRDefault="00D03360" w:rsidP="00D03360">
            <w:pPr>
              <w:pStyle w:val="TAC"/>
            </w:pPr>
            <w:r w:rsidRPr="00B916EC">
              <w:rPr>
                <w:rFonts w:cs="Arial"/>
                <w:kern w:val="24"/>
                <w:szCs w:val="18"/>
              </w:rPr>
              <w:t>2</w:t>
            </w:r>
          </w:p>
        </w:tc>
        <w:tc>
          <w:tcPr>
            <w:tcW w:w="1592" w:type="dxa"/>
            <w:vAlign w:val="center"/>
          </w:tcPr>
          <w:p w14:paraId="74D3A4D6" w14:textId="77777777" w:rsidR="00D03360" w:rsidRPr="00B916EC" w:rsidRDefault="00D03360" w:rsidP="00D03360">
            <w:pPr>
              <w:pStyle w:val="TAC"/>
            </w:pPr>
            <w:r w:rsidRPr="00B916EC">
              <w:rPr>
                <w:rFonts w:cs="Arial"/>
                <w:kern w:val="24"/>
                <w:szCs w:val="18"/>
              </w:rPr>
              <w:t xml:space="preserve">24 </w:t>
            </w:r>
          </w:p>
        </w:tc>
        <w:tc>
          <w:tcPr>
            <w:tcW w:w="1761" w:type="dxa"/>
            <w:vAlign w:val="center"/>
          </w:tcPr>
          <w:p w14:paraId="76678BA4" w14:textId="77777777" w:rsidR="00D03360" w:rsidRPr="00B916EC" w:rsidRDefault="00D03360" w:rsidP="00D03360">
            <w:pPr>
              <w:pStyle w:val="TAC"/>
            </w:pPr>
            <w:r w:rsidRPr="00B916EC">
              <w:rPr>
                <w:rFonts w:cs="Arial"/>
                <w:kern w:val="24"/>
                <w:szCs w:val="18"/>
              </w:rPr>
              <w:t>1</w:t>
            </w:r>
          </w:p>
        </w:tc>
        <w:tc>
          <w:tcPr>
            <w:tcW w:w="1423" w:type="dxa"/>
            <w:vAlign w:val="center"/>
          </w:tcPr>
          <w:p w14:paraId="110C12F1" w14:textId="7CDBDB38" w:rsidR="00D03360" w:rsidRPr="00B27E56" w:rsidRDefault="00D03360" w:rsidP="00D03360">
            <w:pPr>
              <w:pStyle w:val="TAC"/>
              <w:rPr>
                <w:rFonts w:cs="Arial"/>
                <w:kern w:val="24"/>
                <w:szCs w:val="18"/>
              </w:rPr>
            </w:pPr>
            <w:r w:rsidRPr="00B27E56">
              <w:rPr>
                <w:rFonts w:cs="Arial"/>
                <w:kern w:val="24"/>
                <w:szCs w:val="18"/>
              </w:rPr>
              <w:t xml:space="preserve">-41 if </w:t>
            </w:r>
            <m:oMath>
              <m:sSub>
                <m:sSubPr>
                  <m:ctrlPr>
                    <w:rPr>
                      <w:rFonts w:ascii="Cambria Math" w:hAnsi="Cambria Math"/>
                      <w:iCs/>
                      <w:sz w:val="20"/>
                      <w:lang w:val="en-US"/>
                    </w:rPr>
                  </m:ctrlPr>
                </m:sSubPr>
                <m:e>
                  <m:r>
                    <w:rPr>
                      <w:rFonts w:ascii="Cambria Math" w:hAnsi="Cambria Math"/>
                      <w:lang w:val="en-US"/>
                    </w:rPr>
                    <m:t>k</m:t>
                  </m:r>
                </m:e>
                <m:sub>
                  <m:r>
                    <m:rPr>
                      <m:sty m:val="p"/>
                    </m:rPr>
                    <w:rPr>
                      <w:rFonts w:ascii="Cambria Math" w:hAnsi="Cambria Math"/>
                      <w:lang w:val="en-US"/>
                    </w:rPr>
                    <m:t>SSB</m:t>
                  </m:r>
                </m:sub>
              </m:sSub>
              <m:r>
                <w:rPr>
                  <w:rFonts w:ascii="Cambria Math" w:hAnsi="Cambria Math"/>
                  <w:sz w:val="20"/>
                  <w:lang w:val="en-US"/>
                </w:rPr>
                <m:t>=0</m:t>
              </m:r>
            </m:oMath>
            <w:r w:rsidRPr="00B27E56">
              <w:rPr>
                <w:rFonts w:cs="Arial"/>
                <w:kern w:val="24"/>
                <w:szCs w:val="18"/>
              </w:rPr>
              <w:t xml:space="preserve"> </w:t>
            </w:r>
          </w:p>
          <w:p w14:paraId="29BC5256" w14:textId="1975FF3D" w:rsidR="00D03360" w:rsidRPr="00B916EC" w:rsidRDefault="00D03360" w:rsidP="00D03360">
            <w:pPr>
              <w:pStyle w:val="TAC"/>
            </w:pPr>
            <w:r w:rsidRPr="00B27E56">
              <w:rPr>
                <w:rFonts w:cs="Arial"/>
                <w:kern w:val="24"/>
                <w:szCs w:val="18"/>
              </w:rPr>
              <w:t xml:space="preserve">-42 if </w:t>
            </w:r>
            <m:oMath>
              <m:sSub>
                <m:sSubPr>
                  <m:ctrlPr>
                    <w:rPr>
                      <w:rFonts w:ascii="Cambria Math" w:hAnsi="Cambria Math"/>
                      <w:iCs/>
                      <w:sz w:val="20"/>
                      <w:lang w:val="en-US"/>
                    </w:rPr>
                  </m:ctrlPr>
                </m:sSubPr>
                <m:e>
                  <m:r>
                    <w:rPr>
                      <w:rFonts w:ascii="Cambria Math" w:hAnsi="Cambria Math"/>
                      <w:lang w:val="en-US"/>
                    </w:rPr>
                    <m:t>k</m:t>
                  </m:r>
                </m:e>
                <m:sub>
                  <m:r>
                    <m:rPr>
                      <m:sty m:val="p"/>
                    </m:rPr>
                    <w:rPr>
                      <w:rFonts w:ascii="Cambria Math" w:hAnsi="Cambria Math"/>
                      <w:lang w:val="en-US"/>
                    </w:rPr>
                    <m:t>SSB</m:t>
                  </m:r>
                </m:sub>
              </m:sSub>
              <m:r>
                <w:rPr>
                  <w:rFonts w:ascii="Cambria Math" w:hAnsi="Cambria Math"/>
                  <w:sz w:val="20"/>
                  <w:lang w:val="en-US"/>
                </w:rPr>
                <m:t>&gt;0</m:t>
              </m:r>
            </m:oMath>
          </w:p>
        </w:tc>
      </w:tr>
      <w:tr w:rsidR="00D03360" w:rsidRPr="00B916EC" w14:paraId="21619659" w14:textId="77777777" w:rsidTr="00B73508">
        <w:trPr>
          <w:cantSplit/>
        </w:trPr>
        <w:tc>
          <w:tcPr>
            <w:tcW w:w="783" w:type="dxa"/>
            <w:tcBorders>
              <w:right w:val="double" w:sz="4" w:space="0" w:color="auto"/>
            </w:tcBorders>
            <w:shd w:val="clear" w:color="auto" w:fill="auto"/>
            <w:vAlign w:val="center"/>
          </w:tcPr>
          <w:p w14:paraId="3DB92683" w14:textId="77777777" w:rsidR="00D03360" w:rsidRPr="00B916EC" w:rsidRDefault="00D03360" w:rsidP="00D03360">
            <w:pPr>
              <w:pStyle w:val="TAC"/>
            </w:pPr>
            <w:r w:rsidRPr="00B916EC">
              <w:t>5</w:t>
            </w:r>
          </w:p>
        </w:tc>
        <w:tc>
          <w:tcPr>
            <w:tcW w:w="3219" w:type="dxa"/>
            <w:tcBorders>
              <w:left w:val="double" w:sz="4" w:space="0" w:color="auto"/>
            </w:tcBorders>
            <w:vAlign w:val="center"/>
          </w:tcPr>
          <w:p w14:paraId="03074BFB" w14:textId="77777777" w:rsidR="00D03360" w:rsidRPr="00B916EC" w:rsidRDefault="00D03360" w:rsidP="00D03360">
            <w:pPr>
              <w:pStyle w:val="TAC"/>
            </w:pPr>
            <w:r w:rsidRPr="00B916EC">
              <w:rPr>
                <w:rFonts w:cs="Arial"/>
                <w:kern w:val="24"/>
                <w:szCs w:val="18"/>
              </w:rPr>
              <w:t>2</w:t>
            </w:r>
          </w:p>
        </w:tc>
        <w:tc>
          <w:tcPr>
            <w:tcW w:w="1592" w:type="dxa"/>
            <w:vAlign w:val="center"/>
          </w:tcPr>
          <w:p w14:paraId="49FA8E3C" w14:textId="77777777" w:rsidR="00D03360" w:rsidRPr="00B916EC" w:rsidRDefault="00D03360" w:rsidP="00D03360">
            <w:pPr>
              <w:pStyle w:val="TAC"/>
            </w:pPr>
            <w:r w:rsidRPr="00B916EC">
              <w:rPr>
                <w:rFonts w:cs="Arial"/>
                <w:kern w:val="24"/>
                <w:szCs w:val="18"/>
              </w:rPr>
              <w:t xml:space="preserve">24 </w:t>
            </w:r>
          </w:p>
        </w:tc>
        <w:tc>
          <w:tcPr>
            <w:tcW w:w="1761" w:type="dxa"/>
            <w:vAlign w:val="center"/>
          </w:tcPr>
          <w:p w14:paraId="2C2F7A87" w14:textId="77777777" w:rsidR="00D03360" w:rsidRPr="00B916EC" w:rsidRDefault="00D03360" w:rsidP="00D03360">
            <w:pPr>
              <w:pStyle w:val="TAC"/>
            </w:pPr>
            <w:r w:rsidRPr="00B916EC">
              <w:rPr>
                <w:rFonts w:cs="Arial"/>
                <w:kern w:val="24"/>
                <w:szCs w:val="18"/>
              </w:rPr>
              <w:t>1</w:t>
            </w:r>
          </w:p>
        </w:tc>
        <w:tc>
          <w:tcPr>
            <w:tcW w:w="1423" w:type="dxa"/>
            <w:vAlign w:val="center"/>
          </w:tcPr>
          <w:p w14:paraId="347C58A6" w14:textId="36F6E503" w:rsidR="00D03360" w:rsidRPr="00B916EC" w:rsidRDefault="00D03360" w:rsidP="00D03360">
            <w:pPr>
              <w:pStyle w:val="TAC"/>
            </w:pPr>
            <w:r w:rsidRPr="00B27E56">
              <w:rPr>
                <w:rFonts w:cs="Arial"/>
                <w:kern w:val="24"/>
                <w:szCs w:val="18"/>
              </w:rPr>
              <w:t xml:space="preserve">25 </w:t>
            </w:r>
          </w:p>
        </w:tc>
      </w:tr>
      <w:tr w:rsidR="00D03360" w:rsidRPr="00B916EC" w14:paraId="7801EB2B" w14:textId="77777777" w:rsidTr="00B73508">
        <w:trPr>
          <w:cantSplit/>
        </w:trPr>
        <w:tc>
          <w:tcPr>
            <w:tcW w:w="783" w:type="dxa"/>
            <w:tcBorders>
              <w:right w:val="double" w:sz="4" w:space="0" w:color="auto"/>
            </w:tcBorders>
            <w:shd w:val="clear" w:color="auto" w:fill="auto"/>
            <w:vAlign w:val="center"/>
          </w:tcPr>
          <w:p w14:paraId="37D19718" w14:textId="77777777" w:rsidR="00D03360" w:rsidRPr="00B916EC" w:rsidRDefault="00D03360" w:rsidP="00D03360">
            <w:pPr>
              <w:pStyle w:val="TAC"/>
            </w:pPr>
            <w:r>
              <w:t>6</w:t>
            </w:r>
          </w:p>
        </w:tc>
        <w:tc>
          <w:tcPr>
            <w:tcW w:w="3219" w:type="dxa"/>
            <w:tcBorders>
              <w:left w:val="double" w:sz="4" w:space="0" w:color="auto"/>
            </w:tcBorders>
            <w:vAlign w:val="center"/>
          </w:tcPr>
          <w:p w14:paraId="7E9E477C" w14:textId="77777777" w:rsidR="00D03360" w:rsidRPr="00B916EC" w:rsidRDefault="00D03360" w:rsidP="00D03360">
            <w:pPr>
              <w:pStyle w:val="TAC"/>
            </w:pPr>
            <w:r w:rsidRPr="00B916EC">
              <w:rPr>
                <w:rFonts w:cs="Arial"/>
                <w:kern w:val="24"/>
                <w:szCs w:val="18"/>
              </w:rPr>
              <w:t>2</w:t>
            </w:r>
          </w:p>
        </w:tc>
        <w:tc>
          <w:tcPr>
            <w:tcW w:w="1592" w:type="dxa"/>
            <w:vAlign w:val="center"/>
          </w:tcPr>
          <w:p w14:paraId="19296319" w14:textId="77777777" w:rsidR="00D03360" w:rsidRPr="00B916EC" w:rsidRDefault="00D03360" w:rsidP="00D03360">
            <w:pPr>
              <w:pStyle w:val="TAC"/>
            </w:pPr>
            <w:r w:rsidRPr="00B916EC">
              <w:rPr>
                <w:rFonts w:cs="Arial"/>
                <w:kern w:val="24"/>
                <w:szCs w:val="18"/>
              </w:rPr>
              <w:t>48</w:t>
            </w:r>
          </w:p>
        </w:tc>
        <w:tc>
          <w:tcPr>
            <w:tcW w:w="1761" w:type="dxa"/>
            <w:vAlign w:val="center"/>
          </w:tcPr>
          <w:p w14:paraId="63CB8415" w14:textId="77777777" w:rsidR="00D03360" w:rsidRPr="00B916EC" w:rsidRDefault="00D03360" w:rsidP="00D03360">
            <w:pPr>
              <w:pStyle w:val="TAC"/>
            </w:pPr>
            <w:r w:rsidRPr="00B916EC">
              <w:rPr>
                <w:rFonts w:cs="Arial"/>
                <w:kern w:val="24"/>
                <w:szCs w:val="18"/>
              </w:rPr>
              <w:t>1</w:t>
            </w:r>
          </w:p>
        </w:tc>
        <w:tc>
          <w:tcPr>
            <w:tcW w:w="1423" w:type="dxa"/>
            <w:vAlign w:val="center"/>
          </w:tcPr>
          <w:p w14:paraId="3220E62B" w14:textId="5ECD7F6E" w:rsidR="00D03360" w:rsidRPr="00B27E56" w:rsidRDefault="00D03360" w:rsidP="00D03360">
            <w:pPr>
              <w:pStyle w:val="TAC"/>
              <w:rPr>
                <w:rFonts w:cs="Arial"/>
                <w:kern w:val="24"/>
                <w:szCs w:val="18"/>
              </w:rPr>
            </w:pPr>
            <w:r w:rsidRPr="00B27E56">
              <w:rPr>
                <w:rFonts w:cs="Arial"/>
                <w:kern w:val="24"/>
                <w:szCs w:val="18"/>
              </w:rPr>
              <w:t xml:space="preserve">-41 if </w:t>
            </w:r>
            <m:oMath>
              <m:sSub>
                <m:sSubPr>
                  <m:ctrlPr>
                    <w:rPr>
                      <w:rFonts w:ascii="Cambria Math" w:hAnsi="Cambria Math"/>
                      <w:iCs/>
                      <w:sz w:val="20"/>
                      <w:lang w:val="en-US"/>
                    </w:rPr>
                  </m:ctrlPr>
                </m:sSubPr>
                <m:e>
                  <m:r>
                    <w:rPr>
                      <w:rFonts w:ascii="Cambria Math" w:hAnsi="Cambria Math"/>
                      <w:lang w:val="en-US"/>
                    </w:rPr>
                    <m:t>k</m:t>
                  </m:r>
                </m:e>
                <m:sub>
                  <m:r>
                    <m:rPr>
                      <m:sty m:val="p"/>
                    </m:rPr>
                    <w:rPr>
                      <w:rFonts w:ascii="Cambria Math" w:hAnsi="Cambria Math"/>
                      <w:lang w:val="en-US"/>
                    </w:rPr>
                    <m:t>SSB</m:t>
                  </m:r>
                </m:sub>
              </m:sSub>
              <m:r>
                <w:rPr>
                  <w:rFonts w:ascii="Cambria Math" w:hAnsi="Cambria Math"/>
                  <w:sz w:val="20"/>
                  <w:lang w:val="en-US"/>
                </w:rPr>
                <m:t>=0</m:t>
              </m:r>
            </m:oMath>
            <w:r w:rsidRPr="00B27E56">
              <w:rPr>
                <w:rFonts w:cs="Arial"/>
                <w:kern w:val="24"/>
                <w:szCs w:val="18"/>
              </w:rPr>
              <w:t xml:space="preserve"> </w:t>
            </w:r>
          </w:p>
          <w:p w14:paraId="67886E72" w14:textId="0C9E889D" w:rsidR="00D03360" w:rsidRPr="00B916EC" w:rsidRDefault="00D03360" w:rsidP="00D03360">
            <w:pPr>
              <w:pStyle w:val="TAC"/>
            </w:pPr>
            <w:r w:rsidRPr="00B27E56">
              <w:rPr>
                <w:rFonts w:cs="Arial"/>
                <w:kern w:val="24"/>
                <w:szCs w:val="18"/>
              </w:rPr>
              <w:t xml:space="preserve">-42 if </w:t>
            </w:r>
            <m:oMath>
              <m:sSub>
                <m:sSubPr>
                  <m:ctrlPr>
                    <w:rPr>
                      <w:rFonts w:ascii="Cambria Math" w:hAnsi="Cambria Math"/>
                      <w:iCs/>
                      <w:sz w:val="20"/>
                      <w:lang w:val="en-US"/>
                    </w:rPr>
                  </m:ctrlPr>
                </m:sSubPr>
                <m:e>
                  <m:r>
                    <w:rPr>
                      <w:rFonts w:ascii="Cambria Math" w:hAnsi="Cambria Math"/>
                      <w:lang w:val="en-US"/>
                    </w:rPr>
                    <m:t>k</m:t>
                  </m:r>
                </m:e>
                <m:sub>
                  <m:r>
                    <m:rPr>
                      <m:sty m:val="p"/>
                    </m:rPr>
                    <w:rPr>
                      <w:rFonts w:ascii="Cambria Math" w:hAnsi="Cambria Math"/>
                      <w:lang w:val="en-US"/>
                    </w:rPr>
                    <m:t>SSB</m:t>
                  </m:r>
                </m:sub>
              </m:sSub>
              <m:r>
                <w:rPr>
                  <w:rFonts w:ascii="Cambria Math" w:hAnsi="Cambria Math"/>
                  <w:sz w:val="20"/>
                  <w:lang w:val="en-US"/>
                </w:rPr>
                <m:t>&gt;0</m:t>
              </m:r>
            </m:oMath>
          </w:p>
        </w:tc>
      </w:tr>
      <w:tr w:rsidR="00421728" w:rsidRPr="00B916EC" w14:paraId="5A60AF5E" w14:textId="77777777" w:rsidTr="00B73508">
        <w:trPr>
          <w:cantSplit/>
        </w:trPr>
        <w:tc>
          <w:tcPr>
            <w:tcW w:w="783" w:type="dxa"/>
            <w:tcBorders>
              <w:right w:val="double" w:sz="4" w:space="0" w:color="auto"/>
            </w:tcBorders>
            <w:shd w:val="clear" w:color="auto" w:fill="auto"/>
            <w:vAlign w:val="center"/>
          </w:tcPr>
          <w:p w14:paraId="7CA7D611" w14:textId="77777777" w:rsidR="00421728" w:rsidRPr="00B916EC" w:rsidRDefault="00D561F4" w:rsidP="0060031D">
            <w:pPr>
              <w:pStyle w:val="TAC"/>
            </w:pPr>
            <w:r>
              <w:t>7</w:t>
            </w:r>
          </w:p>
        </w:tc>
        <w:tc>
          <w:tcPr>
            <w:tcW w:w="3219" w:type="dxa"/>
            <w:tcBorders>
              <w:left w:val="double" w:sz="4" w:space="0" w:color="auto"/>
            </w:tcBorders>
            <w:vAlign w:val="center"/>
          </w:tcPr>
          <w:p w14:paraId="4DCC3759" w14:textId="77777777" w:rsidR="00421728" w:rsidRPr="00B916EC" w:rsidRDefault="00421728" w:rsidP="0060031D">
            <w:pPr>
              <w:pStyle w:val="TAC"/>
            </w:pPr>
            <w:r w:rsidRPr="00B916EC">
              <w:rPr>
                <w:rFonts w:cs="Arial"/>
                <w:kern w:val="24"/>
                <w:szCs w:val="18"/>
              </w:rPr>
              <w:t>2</w:t>
            </w:r>
          </w:p>
        </w:tc>
        <w:tc>
          <w:tcPr>
            <w:tcW w:w="1592" w:type="dxa"/>
            <w:vAlign w:val="center"/>
          </w:tcPr>
          <w:p w14:paraId="2E741DD6" w14:textId="77777777" w:rsidR="00421728" w:rsidRPr="00B916EC" w:rsidRDefault="00421728" w:rsidP="0060031D">
            <w:pPr>
              <w:pStyle w:val="TAC"/>
            </w:pPr>
            <w:r w:rsidRPr="00B916EC">
              <w:rPr>
                <w:rFonts w:cs="Arial"/>
                <w:kern w:val="24"/>
                <w:szCs w:val="18"/>
              </w:rPr>
              <w:t>48</w:t>
            </w:r>
          </w:p>
        </w:tc>
        <w:tc>
          <w:tcPr>
            <w:tcW w:w="1761" w:type="dxa"/>
            <w:vAlign w:val="center"/>
          </w:tcPr>
          <w:p w14:paraId="37A95FAD" w14:textId="77777777" w:rsidR="00421728" w:rsidRPr="00B916EC" w:rsidRDefault="00421728" w:rsidP="0060031D">
            <w:pPr>
              <w:pStyle w:val="TAC"/>
            </w:pPr>
            <w:r w:rsidRPr="00B916EC">
              <w:rPr>
                <w:rFonts w:cs="Arial"/>
                <w:kern w:val="24"/>
                <w:szCs w:val="18"/>
              </w:rPr>
              <w:t>1</w:t>
            </w:r>
          </w:p>
        </w:tc>
        <w:tc>
          <w:tcPr>
            <w:tcW w:w="1423" w:type="dxa"/>
            <w:vAlign w:val="center"/>
          </w:tcPr>
          <w:p w14:paraId="77C84DE1" w14:textId="77777777" w:rsidR="00421728" w:rsidRPr="00B916EC" w:rsidRDefault="00421728" w:rsidP="0060031D">
            <w:pPr>
              <w:pStyle w:val="TAC"/>
            </w:pPr>
            <w:r w:rsidRPr="00B916EC">
              <w:rPr>
                <w:rFonts w:cs="Arial"/>
                <w:kern w:val="24"/>
                <w:szCs w:val="18"/>
              </w:rPr>
              <w:t>49</w:t>
            </w:r>
          </w:p>
        </w:tc>
      </w:tr>
      <w:tr w:rsidR="00D561F4" w:rsidRPr="00B916EC" w14:paraId="5E3A37D4" w14:textId="77777777" w:rsidTr="00B73508">
        <w:trPr>
          <w:cantSplit/>
        </w:trPr>
        <w:tc>
          <w:tcPr>
            <w:tcW w:w="783" w:type="dxa"/>
            <w:tcBorders>
              <w:right w:val="double" w:sz="4" w:space="0" w:color="auto"/>
            </w:tcBorders>
            <w:shd w:val="clear" w:color="auto" w:fill="auto"/>
            <w:vAlign w:val="center"/>
          </w:tcPr>
          <w:p w14:paraId="4A348217" w14:textId="77777777" w:rsidR="00D561F4" w:rsidRPr="00B916EC" w:rsidRDefault="00D561F4" w:rsidP="00D561F4">
            <w:pPr>
              <w:pStyle w:val="TAC"/>
            </w:pPr>
            <w:r>
              <w:t>8</w:t>
            </w:r>
          </w:p>
        </w:tc>
        <w:tc>
          <w:tcPr>
            <w:tcW w:w="7995" w:type="dxa"/>
            <w:gridSpan w:val="4"/>
            <w:tcBorders>
              <w:left w:val="double" w:sz="4" w:space="0" w:color="auto"/>
            </w:tcBorders>
            <w:vAlign w:val="center"/>
          </w:tcPr>
          <w:p w14:paraId="5B6F7722" w14:textId="77777777" w:rsidR="00D561F4" w:rsidRPr="00B916EC" w:rsidRDefault="00D561F4" w:rsidP="00D561F4">
            <w:pPr>
              <w:pStyle w:val="TAC"/>
              <w:rPr>
                <w:rFonts w:cs="Arial"/>
                <w:kern w:val="24"/>
                <w:szCs w:val="18"/>
              </w:rPr>
            </w:pPr>
            <w:r w:rsidRPr="00B916EC">
              <w:rPr>
                <w:rFonts w:cs="Arial"/>
                <w:kern w:val="24"/>
                <w:szCs w:val="18"/>
              </w:rPr>
              <w:t>Reserved</w:t>
            </w:r>
          </w:p>
        </w:tc>
      </w:tr>
      <w:tr w:rsidR="00D561F4" w:rsidRPr="00B916EC" w14:paraId="0055E26E" w14:textId="77777777" w:rsidTr="00B73508">
        <w:trPr>
          <w:cantSplit/>
        </w:trPr>
        <w:tc>
          <w:tcPr>
            <w:tcW w:w="783" w:type="dxa"/>
            <w:tcBorders>
              <w:right w:val="double" w:sz="4" w:space="0" w:color="auto"/>
            </w:tcBorders>
            <w:shd w:val="clear" w:color="auto" w:fill="auto"/>
            <w:vAlign w:val="center"/>
          </w:tcPr>
          <w:p w14:paraId="7A7CB01B" w14:textId="77777777" w:rsidR="00D561F4" w:rsidRPr="00B916EC" w:rsidRDefault="00D561F4" w:rsidP="00D561F4">
            <w:pPr>
              <w:pStyle w:val="TAC"/>
            </w:pPr>
            <w:r>
              <w:t>9</w:t>
            </w:r>
          </w:p>
        </w:tc>
        <w:tc>
          <w:tcPr>
            <w:tcW w:w="7995" w:type="dxa"/>
            <w:gridSpan w:val="4"/>
            <w:tcBorders>
              <w:left w:val="double" w:sz="4" w:space="0" w:color="auto"/>
            </w:tcBorders>
            <w:vAlign w:val="center"/>
          </w:tcPr>
          <w:p w14:paraId="1C7CF1D3" w14:textId="77777777" w:rsidR="00D561F4" w:rsidRPr="00B916EC" w:rsidRDefault="00D561F4" w:rsidP="00D561F4">
            <w:pPr>
              <w:pStyle w:val="TAC"/>
              <w:rPr>
                <w:rFonts w:cs="Arial"/>
                <w:kern w:val="24"/>
                <w:szCs w:val="18"/>
              </w:rPr>
            </w:pPr>
            <w:r w:rsidRPr="00B916EC">
              <w:rPr>
                <w:rFonts w:cs="Arial"/>
                <w:kern w:val="24"/>
                <w:szCs w:val="18"/>
              </w:rPr>
              <w:t>Reserved</w:t>
            </w:r>
          </w:p>
        </w:tc>
      </w:tr>
      <w:tr w:rsidR="00D561F4" w:rsidRPr="00B916EC" w14:paraId="737D36A0" w14:textId="77777777" w:rsidTr="00B73508">
        <w:trPr>
          <w:cantSplit/>
        </w:trPr>
        <w:tc>
          <w:tcPr>
            <w:tcW w:w="783" w:type="dxa"/>
            <w:tcBorders>
              <w:right w:val="double" w:sz="4" w:space="0" w:color="auto"/>
            </w:tcBorders>
            <w:shd w:val="clear" w:color="auto" w:fill="auto"/>
            <w:vAlign w:val="center"/>
          </w:tcPr>
          <w:p w14:paraId="79DC40F7" w14:textId="77777777" w:rsidR="00D561F4" w:rsidRPr="00B916EC" w:rsidRDefault="00D561F4" w:rsidP="00D561F4">
            <w:pPr>
              <w:pStyle w:val="TAC"/>
            </w:pPr>
            <w:r>
              <w:t>10</w:t>
            </w:r>
          </w:p>
        </w:tc>
        <w:tc>
          <w:tcPr>
            <w:tcW w:w="7995" w:type="dxa"/>
            <w:gridSpan w:val="4"/>
            <w:tcBorders>
              <w:left w:val="double" w:sz="4" w:space="0" w:color="auto"/>
            </w:tcBorders>
            <w:vAlign w:val="center"/>
          </w:tcPr>
          <w:p w14:paraId="11B54DFA" w14:textId="77777777" w:rsidR="00D561F4" w:rsidRPr="00B916EC" w:rsidRDefault="00D561F4" w:rsidP="00D561F4">
            <w:pPr>
              <w:pStyle w:val="TAC"/>
              <w:rPr>
                <w:rFonts w:cs="Arial"/>
                <w:kern w:val="24"/>
                <w:szCs w:val="18"/>
              </w:rPr>
            </w:pPr>
            <w:r w:rsidRPr="00B916EC">
              <w:rPr>
                <w:rFonts w:cs="Arial"/>
                <w:kern w:val="24"/>
                <w:szCs w:val="18"/>
              </w:rPr>
              <w:t>Reserved</w:t>
            </w:r>
          </w:p>
        </w:tc>
      </w:tr>
      <w:tr w:rsidR="00D561F4" w:rsidRPr="00B916EC" w14:paraId="55BF2066" w14:textId="77777777" w:rsidTr="00B73508">
        <w:trPr>
          <w:cantSplit/>
        </w:trPr>
        <w:tc>
          <w:tcPr>
            <w:tcW w:w="783" w:type="dxa"/>
            <w:tcBorders>
              <w:right w:val="double" w:sz="4" w:space="0" w:color="auto"/>
            </w:tcBorders>
            <w:shd w:val="clear" w:color="auto" w:fill="auto"/>
            <w:vAlign w:val="center"/>
          </w:tcPr>
          <w:p w14:paraId="25A58AEB" w14:textId="77777777" w:rsidR="00D561F4" w:rsidRPr="00B916EC" w:rsidRDefault="00D561F4" w:rsidP="00D561F4">
            <w:pPr>
              <w:pStyle w:val="TAC"/>
            </w:pPr>
            <w:r>
              <w:t>11</w:t>
            </w:r>
          </w:p>
        </w:tc>
        <w:tc>
          <w:tcPr>
            <w:tcW w:w="7995" w:type="dxa"/>
            <w:gridSpan w:val="4"/>
            <w:tcBorders>
              <w:left w:val="double" w:sz="4" w:space="0" w:color="auto"/>
            </w:tcBorders>
            <w:vAlign w:val="center"/>
          </w:tcPr>
          <w:p w14:paraId="5ACF1756" w14:textId="77777777" w:rsidR="00D561F4" w:rsidRPr="00B916EC" w:rsidRDefault="00D561F4" w:rsidP="00D561F4">
            <w:pPr>
              <w:pStyle w:val="TAC"/>
              <w:rPr>
                <w:rFonts w:cs="Arial"/>
                <w:kern w:val="24"/>
                <w:szCs w:val="18"/>
              </w:rPr>
            </w:pPr>
            <w:r w:rsidRPr="00B916EC">
              <w:rPr>
                <w:rFonts w:cs="Arial"/>
                <w:kern w:val="24"/>
                <w:szCs w:val="18"/>
              </w:rPr>
              <w:t>Reserved</w:t>
            </w:r>
          </w:p>
        </w:tc>
      </w:tr>
      <w:tr w:rsidR="00421728" w:rsidRPr="00B916EC" w14:paraId="111EE285" w14:textId="77777777" w:rsidTr="00B73508">
        <w:trPr>
          <w:cantSplit/>
        </w:trPr>
        <w:tc>
          <w:tcPr>
            <w:tcW w:w="783" w:type="dxa"/>
            <w:tcBorders>
              <w:right w:val="double" w:sz="4" w:space="0" w:color="auto"/>
            </w:tcBorders>
            <w:shd w:val="clear" w:color="auto" w:fill="auto"/>
            <w:vAlign w:val="center"/>
          </w:tcPr>
          <w:p w14:paraId="204AC0F3" w14:textId="77777777" w:rsidR="00421728" w:rsidRPr="00B916EC" w:rsidRDefault="00421728" w:rsidP="0060031D">
            <w:pPr>
              <w:pStyle w:val="TAC"/>
            </w:pPr>
            <w:r w:rsidRPr="00B916EC">
              <w:t>12</w:t>
            </w:r>
          </w:p>
        </w:tc>
        <w:tc>
          <w:tcPr>
            <w:tcW w:w="7995" w:type="dxa"/>
            <w:gridSpan w:val="4"/>
            <w:tcBorders>
              <w:left w:val="double" w:sz="4" w:space="0" w:color="auto"/>
            </w:tcBorders>
            <w:vAlign w:val="center"/>
          </w:tcPr>
          <w:p w14:paraId="6ED8E039" w14:textId="77777777" w:rsidR="00421728" w:rsidRPr="00B916EC" w:rsidRDefault="00421728" w:rsidP="0060031D">
            <w:pPr>
              <w:pStyle w:val="TAC"/>
            </w:pPr>
            <w:r w:rsidRPr="00B916EC">
              <w:rPr>
                <w:rFonts w:cs="Arial"/>
                <w:kern w:val="24"/>
                <w:szCs w:val="18"/>
              </w:rPr>
              <w:t>Reserved</w:t>
            </w:r>
          </w:p>
        </w:tc>
      </w:tr>
      <w:tr w:rsidR="00421728" w:rsidRPr="00B916EC" w14:paraId="5A3C2D55" w14:textId="77777777" w:rsidTr="00B73508">
        <w:trPr>
          <w:cantSplit/>
        </w:trPr>
        <w:tc>
          <w:tcPr>
            <w:tcW w:w="783" w:type="dxa"/>
            <w:tcBorders>
              <w:right w:val="double" w:sz="4" w:space="0" w:color="auto"/>
            </w:tcBorders>
            <w:shd w:val="clear" w:color="auto" w:fill="auto"/>
            <w:vAlign w:val="center"/>
          </w:tcPr>
          <w:p w14:paraId="68E4CCE0" w14:textId="77777777" w:rsidR="00421728" w:rsidRPr="00B916EC" w:rsidRDefault="00421728" w:rsidP="0060031D">
            <w:pPr>
              <w:pStyle w:val="TAC"/>
            </w:pPr>
            <w:r w:rsidRPr="00B916EC">
              <w:t>13</w:t>
            </w:r>
          </w:p>
        </w:tc>
        <w:tc>
          <w:tcPr>
            <w:tcW w:w="7995" w:type="dxa"/>
            <w:gridSpan w:val="4"/>
            <w:tcBorders>
              <w:left w:val="double" w:sz="4" w:space="0" w:color="auto"/>
            </w:tcBorders>
            <w:vAlign w:val="center"/>
          </w:tcPr>
          <w:p w14:paraId="2C948EEF" w14:textId="77777777" w:rsidR="00421728" w:rsidRPr="00B916EC" w:rsidRDefault="00421728" w:rsidP="0060031D">
            <w:pPr>
              <w:pStyle w:val="TAC"/>
            </w:pPr>
            <w:r w:rsidRPr="00B916EC">
              <w:rPr>
                <w:rFonts w:cs="Arial"/>
                <w:kern w:val="24"/>
                <w:szCs w:val="18"/>
              </w:rPr>
              <w:t>Reserved</w:t>
            </w:r>
          </w:p>
        </w:tc>
      </w:tr>
      <w:tr w:rsidR="00421728" w:rsidRPr="00B916EC" w14:paraId="1D147A9C" w14:textId="77777777" w:rsidTr="00B73508">
        <w:trPr>
          <w:cantSplit/>
        </w:trPr>
        <w:tc>
          <w:tcPr>
            <w:tcW w:w="783" w:type="dxa"/>
            <w:tcBorders>
              <w:right w:val="double" w:sz="4" w:space="0" w:color="auto"/>
            </w:tcBorders>
            <w:shd w:val="clear" w:color="auto" w:fill="auto"/>
            <w:vAlign w:val="center"/>
          </w:tcPr>
          <w:p w14:paraId="51A3ECCC" w14:textId="77777777" w:rsidR="00421728" w:rsidRPr="00B916EC" w:rsidRDefault="00421728" w:rsidP="0060031D">
            <w:pPr>
              <w:pStyle w:val="TAC"/>
            </w:pPr>
            <w:r w:rsidRPr="00B916EC">
              <w:t>14</w:t>
            </w:r>
          </w:p>
        </w:tc>
        <w:tc>
          <w:tcPr>
            <w:tcW w:w="7995" w:type="dxa"/>
            <w:gridSpan w:val="4"/>
            <w:tcBorders>
              <w:left w:val="double" w:sz="4" w:space="0" w:color="auto"/>
            </w:tcBorders>
            <w:vAlign w:val="center"/>
          </w:tcPr>
          <w:p w14:paraId="18C01C90" w14:textId="77777777" w:rsidR="00421728" w:rsidRPr="00B916EC" w:rsidRDefault="00421728" w:rsidP="0060031D">
            <w:pPr>
              <w:pStyle w:val="TAC"/>
            </w:pPr>
            <w:r w:rsidRPr="00B916EC">
              <w:rPr>
                <w:rFonts w:cs="Arial"/>
                <w:kern w:val="24"/>
                <w:szCs w:val="18"/>
              </w:rPr>
              <w:t>Reserved</w:t>
            </w:r>
          </w:p>
        </w:tc>
      </w:tr>
      <w:tr w:rsidR="00421728" w:rsidRPr="00B916EC" w14:paraId="75A7D0FF" w14:textId="77777777" w:rsidTr="00B73508">
        <w:trPr>
          <w:cantSplit/>
        </w:trPr>
        <w:tc>
          <w:tcPr>
            <w:tcW w:w="783" w:type="dxa"/>
            <w:tcBorders>
              <w:right w:val="double" w:sz="4" w:space="0" w:color="auto"/>
            </w:tcBorders>
            <w:shd w:val="clear" w:color="auto" w:fill="auto"/>
            <w:vAlign w:val="center"/>
          </w:tcPr>
          <w:p w14:paraId="35B07249" w14:textId="77777777" w:rsidR="00421728" w:rsidRPr="00B916EC" w:rsidRDefault="00421728" w:rsidP="0060031D">
            <w:pPr>
              <w:pStyle w:val="TAC"/>
            </w:pPr>
            <w:r w:rsidRPr="00B916EC">
              <w:t>15</w:t>
            </w:r>
          </w:p>
        </w:tc>
        <w:tc>
          <w:tcPr>
            <w:tcW w:w="7995" w:type="dxa"/>
            <w:gridSpan w:val="4"/>
            <w:tcBorders>
              <w:left w:val="double" w:sz="4" w:space="0" w:color="auto"/>
            </w:tcBorders>
            <w:vAlign w:val="center"/>
          </w:tcPr>
          <w:p w14:paraId="4D1D3C86" w14:textId="77777777" w:rsidR="00421728" w:rsidRPr="00B916EC" w:rsidRDefault="00421728" w:rsidP="0060031D">
            <w:pPr>
              <w:pStyle w:val="TAC"/>
            </w:pPr>
            <w:r w:rsidRPr="00B916EC">
              <w:rPr>
                <w:rFonts w:cs="Arial"/>
                <w:kern w:val="24"/>
                <w:szCs w:val="18"/>
              </w:rPr>
              <w:t>Reserved</w:t>
            </w:r>
          </w:p>
        </w:tc>
      </w:tr>
    </w:tbl>
    <w:p w14:paraId="4209AB31" w14:textId="305562D1" w:rsidR="000D080C" w:rsidRDefault="000D080C" w:rsidP="000D080C"/>
    <w:p w14:paraId="7AC6B660" w14:textId="77777777" w:rsidR="002A384F" w:rsidRDefault="002A384F" w:rsidP="002A384F">
      <w:pPr>
        <w:pStyle w:val="TH"/>
      </w:pPr>
      <w:r>
        <w:t>Table 13-10A: Set of resource blocks and slot symbols of CORESET for Type0-PDCCH search space set when {SS/PBCH block, PDCCH} SCS is {120, 120} kHz, {480, 480} kHz, or {960, 960} kHz for FR2-2</w:t>
      </w:r>
    </w:p>
    <w:tbl>
      <w:tblPr>
        <w:tblW w:w="0" w:type="auto"/>
        <w:tblInd w:w="4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2"/>
        <w:gridCol w:w="3314"/>
        <w:gridCol w:w="1543"/>
        <w:gridCol w:w="1826"/>
        <w:gridCol w:w="1451"/>
      </w:tblGrid>
      <w:tr w:rsidR="002A384F" w14:paraId="5A212741" w14:textId="77777777" w:rsidTr="00B52E7C">
        <w:trPr>
          <w:cantSplit/>
        </w:trPr>
        <w:tc>
          <w:tcPr>
            <w:tcW w:w="792" w:type="dxa"/>
            <w:tcBorders>
              <w:top w:val="single" w:sz="4" w:space="0" w:color="auto"/>
              <w:left w:val="single" w:sz="4" w:space="0" w:color="auto"/>
              <w:bottom w:val="double" w:sz="4" w:space="0" w:color="auto"/>
              <w:right w:val="double" w:sz="4" w:space="0" w:color="auto"/>
            </w:tcBorders>
            <w:shd w:val="clear" w:color="auto" w:fill="E0E0E0"/>
            <w:vAlign w:val="center"/>
            <w:hideMark/>
          </w:tcPr>
          <w:p w14:paraId="344F8B7E" w14:textId="77777777" w:rsidR="002A384F" w:rsidRDefault="002A384F" w:rsidP="00B52E7C">
            <w:pPr>
              <w:pStyle w:val="TAH"/>
              <w:rPr>
                <w:bCs/>
                <w:lang w:val="en-US" w:eastAsia="en-GB"/>
              </w:rPr>
            </w:pPr>
            <w:r>
              <w:rPr>
                <w:bCs/>
                <w:lang w:val="en-US" w:eastAsia="en-GB"/>
              </w:rPr>
              <w:t>Index</w:t>
            </w:r>
          </w:p>
        </w:tc>
        <w:tc>
          <w:tcPr>
            <w:tcW w:w="3314" w:type="dxa"/>
            <w:tcBorders>
              <w:top w:val="single" w:sz="4" w:space="0" w:color="auto"/>
              <w:left w:val="double" w:sz="4" w:space="0" w:color="auto"/>
              <w:bottom w:val="double" w:sz="4" w:space="0" w:color="auto"/>
              <w:right w:val="single" w:sz="4" w:space="0" w:color="auto"/>
            </w:tcBorders>
            <w:shd w:val="clear" w:color="auto" w:fill="E0E0E0"/>
            <w:vAlign w:val="center"/>
            <w:hideMark/>
          </w:tcPr>
          <w:p w14:paraId="6AA73C1C" w14:textId="77777777" w:rsidR="002A384F" w:rsidRDefault="002A384F" w:rsidP="00B52E7C">
            <w:pPr>
              <w:pStyle w:val="TAH"/>
              <w:rPr>
                <w:bCs/>
                <w:lang w:val="en-US" w:eastAsia="en-GB"/>
              </w:rPr>
            </w:pPr>
            <w:r>
              <w:rPr>
                <w:rFonts w:cs="Arial"/>
                <w:kern w:val="24"/>
                <w:lang w:eastAsia="en-GB"/>
              </w:rPr>
              <w:t xml:space="preserve">SS/PBCH block and CORESET multiplexing pattern </w:t>
            </w:r>
          </w:p>
        </w:tc>
        <w:tc>
          <w:tcPr>
            <w:tcW w:w="1543" w:type="dxa"/>
            <w:tcBorders>
              <w:top w:val="single" w:sz="4" w:space="0" w:color="auto"/>
              <w:left w:val="single" w:sz="4" w:space="0" w:color="auto"/>
              <w:bottom w:val="double" w:sz="4" w:space="0" w:color="auto"/>
              <w:right w:val="single" w:sz="4" w:space="0" w:color="auto"/>
            </w:tcBorders>
            <w:shd w:val="clear" w:color="auto" w:fill="E0E0E0"/>
            <w:vAlign w:val="center"/>
            <w:hideMark/>
          </w:tcPr>
          <w:p w14:paraId="2CB9E81F" w14:textId="77777777" w:rsidR="002A384F" w:rsidRDefault="002A384F" w:rsidP="00B52E7C">
            <w:pPr>
              <w:pStyle w:val="TAH"/>
              <w:rPr>
                <w:bCs/>
                <w:lang w:val="en-US" w:eastAsia="en-GB"/>
              </w:rPr>
            </w:pPr>
            <w:r>
              <w:rPr>
                <w:rFonts w:cs="Arial"/>
                <w:kern w:val="24"/>
                <w:lang w:eastAsia="en-GB"/>
              </w:rPr>
              <w:t xml:space="preserve">Number of RBs </w:t>
            </w:r>
            <m:oMath>
              <m:sSubSup>
                <m:sSubSupPr>
                  <m:ctrlPr>
                    <w:rPr>
                      <w:rFonts w:ascii="Cambria Math" w:hAnsi="Cambria Math"/>
                      <w:i/>
                      <w:lang w:eastAsia="en-GB"/>
                    </w:rPr>
                  </m:ctrlPr>
                </m:sSubSupPr>
                <m:e>
                  <m:r>
                    <m:rPr>
                      <m:sty m:val="bi"/>
                    </m:rPr>
                    <w:rPr>
                      <w:rFonts w:ascii="Cambria Math"/>
                      <w:lang w:eastAsia="en-GB"/>
                    </w:rPr>
                    <m:t>N</m:t>
                  </m:r>
                </m:e>
                <m:sub>
                  <m:r>
                    <m:rPr>
                      <m:nor/>
                    </m:rPr>
                    <w:rPr>
                      <w:rFonts w:ascii="Cambria Math"/>
                      <w:lang w:eastAsia="en-GB"/>
                    </w:rPr>
                    <m:t>RB</m:t>
                  </m:r>
                  <m:ctrlPr>
                    <w:rPr>
                      <w:rFonts w:ascii="Cambria Math" w:hAnsi="Cambria Math"/>
                      <w:lang w:eastAsia="en-GB"/>
                    </w:rPr>
                  </m:ctrlPr>
                </m:sub>
                <m:sup>
                  <m:r>
                    <m:rPr>
                      <m:nor/>
                    </m:rPr>
                    <w:rPr>
                      <w:rFonts w:ascii="Cambria Math"/>
                      <w:lang w:eastAsia="en-GB"/>
                    </w:rPr>
                    <m:t>CORESET</m:t>
                  </m:r>
                  <m:ctrlPr>
                    <w:rPr>
                      <w:rFonts w:ascii="Cambria Math" w:hAnsi="Cambria Math"/>
                      <w:lang w:eastAsia="en-GB"/>
                    </w:rPr>
                  </m:ctrlPr>
                </m:sup>
              </m:sSubSup>
            </m:oMath>
          </w:p>
        </w:tc>
        <w:tc>
          <w:tcPr>
            <w:tcW w:w="1826" w:type="dxa"/>
            <w:tcBorders>
              <w:top w:val="single" w:sz="4" w:space="0" w:color="auto"/>
              <w:left w:val="single" w:sz="4" w:space="0" w:color="auto"/>
              <w:bottom w:val="double" w:sz="4" w:space="0" w:color="auto"/>
              <w:right w:val="single" w:sz="4" w:space="0" w:color="auto"/>
            </w:tcBorders>
            <w:shd w:val="clear" w:color="auto" w:fill="E0E0E0"/>
            <w:vAlign w:val="center"/>
            <w:hideMark/>
          </w:tcPr>
          <w:p w14:paraId="730AC0F4" w14:textId="77777777" w:rsidR="002A384F" w:rsidRDefault="002A384F" w:rsidP="00B52E7C">
            <w:pPr>
              <w:pStyle w:val="TAH"/>
              <w:rPr>
                <w:bCs/>
                <w:iCs/>
                <w:lang w:val="en-US" w:eastAsia="en-GB"/>
              </w:rPr>
            </w:pPr>
            <w:r>
              <w:rPr>
                <w:rFonts w:cs="Arial"/>
                <w:kern w:val="24"/>
                <w:lang w:eastAsia="en-GB"/>
              </w:rPr>
              <w:t xml:space="preserve">Number of Symbols </w:t>
            </w:r>
            <m:oMath>
              <m:sSubSup>
                <m:sSubSupPr>
                  <m:ctrlPr>
                    <w:rPr>
                      <w:rFonts w:ascii="Cambria Math" w:hAnsi="Cambria Math"/>
                      <w:i/>
                      <w:lang w:eastAsia="en-GB"/>
                    </w:rPr>
                  </m:ctrlPr>
                </m:sSubSupPr>
                <m:e>
                  <m:r>
                    <m:rPr>
                      <m:sty m:val="bi"/>
                    </m:rPr>
                    <w:rPr>
                      <w:rFonts w:ascii="Cambria Math"/>
                      <w:lang w:eastAsia="en-GB"/>
                    </w:rPr>
                    <m:t>N</m:t>
                  </m:r>
                </m:e>
                <m:sub>
                  <m:r>
                    <m:rPr>
                      <m:nor/>
                    </m:rPr>
                    <w:rPr>
                      <w:rFonts w:ascii="Cambria Math"/>
                      <w:lang w:eastAsia="en-GB"/>
                    </w:rPr>
                    <m:t>symb</m:t>
                  </m:r>
                  <m:ctrlPr>
                    <w:rPr>
                      <w:rFonts w:ascii="Cambria Math" w:hAnsi="Cambria Math"/>
                      <w:lang w:eastAsia="en-GB"/>
                    </w:rPr>
                  </m:ctrlPr>
                </m:sub>
                <m:sup>
                  <m:r>
                    <m:rPr>
                      <m:nor/>
                    </m:rPr>
                    <w:rPr>
                      <w:rFonts w:ascii="Cambria Math"/>
                      <w:lang w:eastAsia="en-GB"/>
                    </w:rPr>
                    <m:t>CORESET</m:t>
                  </m:r>
                  <m:ctrlPr>
                    <w:rPr>
                      <w:rFonts w:ascii="Cambria Math" w:hAnsi="Cambria Math"/>
                      <w:lang w:eastAsia="en-GB"/>
                    </w:rPr>
                  </m:ctrlPr>
                </m:sup>
              </m:sSubSup>
            </m:oMath>
          </w:p>
        </w:tc>
        <w:tc>
          <w:tcPr>
            <w:tcW w:w="1451" w:type="dxa"/>
            <w:tcBorders>
              <w:top w:val="single" w:sz="4" w:space="0" w:color="auto"/>
              <w:left w:val="single" w:sz="4" w:space="0" w:color="auto"/>
              <w:bottom w:val="double" w:sz="4" w:space="0" w:color="auto"/>
              <w:right w:val="single" w:sz="4" w:space="0" w:color="auto"/>
            </w:tcBorders>
            <w:shd w:val="clear" w:color="auto" w:fill="E0E0E0"/>
            <w:vAlign w:val="center"/>
            <w:hideMark/>
          </w:tcPr>
          <w:p w14:paraId="7E994CB8" w14:textId="77777777" w:rsidR="002A384F" w:rsidRDefault="002A384F" w:rsidP="00B52E7C">
            <w:pPr>
              <w:pStyle w:val="TAH"/>
              <w:rPr>
                <w:bCs/>
                <w:lang w:val="en-US" w:eastAsia="en-GB"/>
              </w:rPr>
            </w:pPr>
            <w:r>
              <w:rPr>
                <w:rFonts w:cs="Arial"/>
                <w:kern w:val="24"/>
                <w:lang w:eastAsia="en-GB"/>
              </w:rPr>
              <w:t xml:space="preserve">Offset (RBs) </w:t>
            </w:r>
          </w:p>
        </w:tc>
      </w:tr>
      <w:tr w:rsidR="002A384F" w14:paraId="387E9343" w14:textId="77777777" w:rsidTr="00B52E7C">
        <w:trPr>
          <w:cantSplit/>
        </w:trPr>
        <w:tc>
          <w:tcPr>
            <w:tcW w:w="792" w:type="dxa"/>
            <w:tcBorders>
              <w:top w:val="double" w:sz="4" w:space="0" w:color="auto"/>
              <w:left w:val="single" w:sz="4" w:space="0" w:color="auto"/>
              <w:bottom w:val="single" w:sz="4" w:space="0" w:color="auto"/>
              <w:right w:val="double" w:sz="4" w:space="0" w:color="auto"/>
            </w:tcBorders>
            <w:vAlign w:val="center"/>
            <w:hideMark/>
          </w:tcPr>
          <w:p w14:paraId="44EBBE8E" w14:textId="77777777" w:rsidR="002A384F" w:rsidRDefault="002A384F" w:rsidP="00B52E7C">
            <w:pPr>
              <w:pStyle w:val="TAC"/>
              <w:rPr>
                <w:lang w:val="en-US" w:eastAsia="en-GB"/>
              </w:rPr>
            </w:pPr>
            <w:r>
              <w:rPr>
                <w:lang w:val="en-US" w:eastAsia="en-GB"/>
              </w:rPr>
              <w:t>0</w:t>
            </w:r>
          </w:p>
        </w:tc>
        <w:tc>
          <w:tcPr>
            <w:tcW w:w="3314" w:type="dxa"/>
            <w:tcBorders>
              <w:top w:val="double" w:sz="4" w:space="0" w:color="auto"/>
              <w:left w:val="double" w:sz="4" w:space="0" w:color="auto"/>
              <w:bottom w:val="single" w:sz="4" w:space="0" w:color="auto"/>
              <w:right w:val="single" w:sz="4" w:space="0" w:color="auto"/>
            </w:tcBorders>
            <w:vAlign w:val="center"/>
            <w:hideMark/>
          </w:tcPr>
          <w:p w14:paraId="22FA348A" w14:textId="77777777" w:rsidR="002A384F" w:rsidRDefault="002A384F" w:rsidP="00B52E7C">
            <w:pPr>
              <w:pStyle w:val="TAC"/>
              <w:rPr>
                <w:lang w:val="en-US" w:eastAsia="en-GB"/>
              </w:rPr>
            </w:pPr>
            <w:r>
              <w:rPr>
                <w:rFonts w:cs="Arial"/>
                <w:kern w:val="24"/>
                <w:szCs w:val="18"/>
                <w:lang w:eastAsia="en-GB"/>
              </w:rPr>
              <w:t xml:space="preserve">1 </w:t>
            </w:r>
          </w:p>
        </w:tc>
        <w:tc>
          <w:tcPr>
            <w:tcW w:w="1543" w:type="dxa"/>
            <w:tcBorders>
              <w:top w:val="double" w:sz="4" w:space="0" w:color="auto"/>
              <w:left w:val="single" w:sz="4" w:space="0" w:color="auto"/>
              <w:bottom w:val="single" w:sz="4" w:space="0" w:color="auto"/>
              <w:right w:val="single" w:sz="4" w:space="0" w:color="auto"/>
            </w:tcBorders>
            <w:vAlign w:val="center"/>
            <w:hideMark/>
          </w:tcPr>
          <w:p w14:paraId="73BE5BA2" w14:textId="77777777" w:rsidR="002A384F" w:rsidRDefault="002A384F" w:rsidP="00B52E7C">
            <w:pPr>
              <w:pStyle w:val="TAC"/>
              <w:rPr>
                <w:lang w:val="en-US" w:eastAsia="en-GB"/>
              </w:rPr>
            </w:pPr>
            <w:r>
              <w:rPr>
                <w:rFonts w:cs="Arial"/>
                <w:kern w:val="24"/>
                <w:szCs w:val="18"/>
                <w:lang w:eastAsia="en-GB"/>
              </w:rPr>
              <w:t>24</w:t>
            </w:r>
          </w:p>
        </w:tc>
        <w:tc>
          <w:tcPr>
            <w:tcW w:w="1826" w:type="dxa"/>
            <w:tcBorders>
              <w:top w:val="double" w:sz="4" w:space="0" w:color="auto"/>
              <w:left w:val="single" w:sz="4" w:space="0" w:color="auto"/>
              <w:bottom w:val="single" w:sz="4" w:space="0" w:color="auto"/>
              <w:right w:val="single" w:sz="4" w:space="0" w:color="auto"/>
            </w:tcBorders>
            <w:vAlign w:val="center"/>
            <w:hideMark/>
          </w:tcPr>
          <w:p w14:paraId="68CE5D52" w14:textId="77777777" w:rsidR="002A384F" w:rsidRDefault="002A384F" w:rsidP="00B52E7C">
            <w:pPr>
              <w:pStyle w:val="TAC"/>
              <w:rPr>
                <w:lang w:val="en-US" w:eastAsia="en-GB"/>
              </w:rPr>
            </w:pPr>
            <w:r>
              <w:rPr>
                <w:rFonts w:cs="Arial"/>
                <w:kern w:val="24"/>
                <w:szCs w:val="18"/>
                <w:lang w:eastAsia="en-GB"/>
              </w:rPr>
              <w:t>2</w:t>
            </w:r>
          </w:p>
        </w:tc>
        <w:tc>
          <w:tcPr>
            <w:tcW w:w="1451" w:type="dxa"/>
            <w:tcBorders>
              <w:top w:val="double" w:sz="4" w:space="0" w:color="auto"/>
              <w:left w:val="single" w:sz="4" w:space="0" w:color="auto"/>
              <w:bottom w:val="single" w:sz="4" w:space="0" w:color="auto"/>
              <w:right w:val="single" w:sz="4" w:space="0" w:color="auto"/>
            </w:tcBorders>
            <w:vAlign w:val="center"/>
          </w:tcPr>
          <w:p w14:paraId="4FDEFC36" w14:textId="77777777" w:rsidR="002A384F" w:rsidRDefault="002A384F" w:rsidP="00B52E7C">
            <w:pPr>
              <w:pStyle w:val="TAC"/>
              <w:rPr>
                <w:lang w:val="en-US" w:eastAsia="en-GB"/>
              </w:rPr>
            </w:pPr>
            <w:r>
              <w:rPr>
                <w:lang w:val="en-US" w:eastAsia="en-GB"/>
              </w:rPr>
              <w:t>0</w:t>
            </w:r>
          </w:p>
        </w:tc>
      </w:tr>
      <w:tr w:rsidR="002A384F" w14:paraId="487BC59E" w14:textId="77777777" w:rsidTr="00B52E7C">
        <w:trPr>
          <w:cantSplit/>
        </w:trPr>
        <w:tc>
          <w:tcPr>
            <w:tcW w:w="792" w:type="dxa"/>
            <w:tcBorders>
              <w:top w:val="single" w:sz="4" w:space="0" w:color="auto"/>
              <w:left w:val="single" w:sz="4" w:space="0" w:color="auto"/>
              <w:bottom w:val="single" w:sz="4" w:space="0" w:color="auto"/>
              <w:right w:val="double" w:sz="4" w:space="0" w:color="auto"/>
            </w:tcBorders>
            <w:vAlign w:val="center"/>
            <w:hideMark/>
          </w:tcPr>
          <w:p w14:paraId="6AE43D8A" w14:textId="77777777" w:rsidR="002A384F" w:rsidRDefault="002A384F" w:rsidP="00B52E7C">
            <w:pPr>
              <w:pStyle w:val="TAC"/>
              <w:rPr>
                <w:lang w:val="en-US" w:eastAsia="en-GB"/>
              </w:rPr>
            </w:pPr>
            <w:r>
              <w:rPr>
                <w:lang w:val="en-US" w:eastAsia="en-GB"/>
              </w:rPr>
              <w:t>1</w:t>
            </w:r>
          </w:p>
        </w:tc>
        <w:tc>
          <w:tcPr>
            <w:tcW w:w="3314" w:type="dxa"/>
            <w:tcBorders>
              <w:top w:val="single" w:sz="4" w:space="0" w:color="auto"/>
              <w:left w:val="double" w:sz="4" w:space="0" w:color="auto"/>
              <w:bottom w:val="single" w:sz="4" w:space="0" w:color="auto"/>
              <w:right w:val="single" w:sz="4" w:space="0" w:color="auto"/>
            </w:tcBorders>
            <w:vAlign w:val="center"/>
            <w:hideMark/>
          </w:tcPr>
          <w:p w14:paraId="5119CCEB" w14:textId="77777777" w:rsidR="002A384F" w:rsidRDefault="002A384F" w:rsidP="00B52E7C">
            <w:pPr>
              <w:pStyle w:val="TAC"/>
              <w:rPr>
                <w:lang w:val="en-US" w:eastAsia="en-GB"/>
              </w:rPr>
            </w:pPr>
            <w:r>
              <w:rPr>
                <w:rFonts w:cs="Arial"/>
                <w:kern w:val="24"/>
                <w:szCs w:val="18"/>
                <w:lang w:eastAsia="en-GB"/>
              </w:rPr>
              <w:t xml:space="preserve">1 </w:t>
            </w:r>
          </w:p>
        </w:tc>
        <w:tc>
          <w:tcPr>
            <w:tcW w:w="1543" w:type="dxa"/>
            <w:tcBorders>
              <w:top w:val="single" w:sz="4" w:space="0" w:color="auto"/>
              <w:left w:val="single" w:sz="4" w:space="0" w:color="auto"/>
              <w:bottom w:val="single" w:sz="4" w:space="0" w:color="auto"/>
              <w:right w:val="single" w:sz="4" w:space="0" w:color="auto"/>
            </w:tcBorders>
            <w:vAlign w:val="center"/>
            <w:hideMark/>
          </w:tcPr>
          <w:p w14:paraId="65D741E3" w14:textId="77777777" w:rsidR="002A384F" w:rsidRDefault="002A384F" w:rsidP="00B52E7C">
            <w:pPr>
              <w:pStyle w:val="TAC"/>
              <w:rPr>
                <w:lang w:val="en-US" w:eastAsia="en-GB"/>
              </w:rPr>
            </w:pPr>
            <w:r>
              <w:rPr>
                <w:rFonts w:cs="Arial"/>
                <w:kern w:val="24"/>
                <w:szCs w:val="18"/>
                <w:lang w:eastAsia="en-GB"/>
              </w:rPr>
              <w:t>24</w:t>
            </w:r>
          </w:p>
        </w:tc>
        <w:tc>
          <w:tcPr>
            <w:tcW w:w="1826" w:type="dxa"/>
            <w:tcBorders>
              <w:top w:val="single" w:sz="4" w:space="0" w:color="auto"/>
              <w:left w:val="single" w:sz="4" w:space="0" w:color="auto"/>
              <w:bottom w:val="single" w:sz="4" w:space="0" w:color="auto"/>
              <w:right w:val="single" w:sz="4" w:space="0" w:color="auto"/>
            </w:tcBorders>
            <w:vAlign w:val="center"/>
            <w:hideMark/>
          </w:tcPr>
          <w:p w14:paraId="0E079E99" w14:textId="77777777" w:rsidR="002A384F" w:rsidRDefault="002A384F" w:rsidP="00B52E7C">
            <w:pPr>
              <w:pStyle w:val="TAC"/>
              <w:rPr>
                <w:lang w:val="en-US" w:eastAsia="en-GB"/>
              </w:rPr>
            </w:pPr>
            <w:r>
              <w:rPr>
                <w:rFonts w:cs="Arial"/>
                <w:kern w:val="24"/>
                <w:szCs w:val="18"/>
                <w:lang w:eastAsia="en-GB"/>
              </w:rPr>
              <w:t>2</w:t>
            </w:r>
          </w:p>
        </w:tc>
        <w:tc>
          <w:tcPr>
            <w:tcW w:w="1451" w:type="dxa"/>
            <w:tcBorders>
              <w:top w:val="single" w:sz="4" w:space="0" w:color="auto"/>
              <w:left w:val="single" w:sz="4" w:space="0" w:color="auto"/>
              <w:bottom w:val="single" w:sz="4" w:space="0" w:color="auto"/>
              <w:right w:val="single" w:sz="4" w:space="0" w:color="auto"/>
            </w:tcBorders>
            <w:vAlign w:val="center"/>
          </w:tcPr>
          <w:p w14:paraId="555C1418" w14:textId="77777777" w:rsidR="002A384F" w:rsidRDefault="002A384F" w:rsidP="00B52E7C">
            <w:pPr>
              <w:pStyle w:val="TAC"/>
              <w:rPr>
                <w:lang w:val="en-US" w:eastAsia="en-GB"/>
              </w:rPr>
            </w:pPr>
            <w:r>
              <w:rPr>
                <w:lang w:val="en-US" w:eastAsia="en-GB"/>
              </w:rPr>
              <w:t>4</w:t>
            </w:r>
          </w:p>
        </w:tc>
      </w:tr>
      <w:tr w:rsidR="002A384F" w14:paraId="33D1EB42" w14:textId="77777777" w:rsidTr="00B52E7C">
        <w:trPr>
          <w:cantSplit/>
        </w:trPr>
        <w:tc>
          <w:tcPr>
            <w:tcW w:w="792" w:type="dxa"/>
            <w:tcBorders>
              <w:top w:val="single" w:sz="4" w:space="0" w:color="auto"/>
              <w:left w:val="single" w:sz="4" w:space="0" w:color="auto"/>
              <w:bottom w:val="single" w:sz="4" w:space="0" w:color="auto"/>
              <w:right w:val="double" w:sz="4" w:space="0" w:color="auto"/>
            </w:tcBorders>
            <w:vAlign w:val="center"/>
            <w:hideMark/>
          </w:tcPr>
          <w:p w14:paraId="4F5923A0" w14:textId="77777777" w:rsidR="002A384F" w:rsidRDefault="002A384F" w:rsidP="00B52E7C">
            <w:pPr>
              <w:pStyle w:val="TAC"/>
              <w:rPr>
                <w:lang w:eastAsia="en-GB"/>
              </w:rPr>
            </w:pPr>
            <w:r>
              <w:rPr>
                <w:lang w:eastAsia="en-GB"/>
              </w:rPr>
              <w:t>2</w:t>
            </w:r>
          </w:p>
        </w:tc>
        <w:tc>
          <w:tcPr>
            <w:tcW w:w="3314" w:type="dxa"/>
            <w:tcBorders>
              <w:top w:val="single" w:sz="4" w:space="0" w:color="auto"/>
              <w:left w:val="double" w:sz="4" w:space="0" w:color="auto"/>
              <w:bottom w:val="single" w:sz="4" w:space="0" w:color="auto"/>
              <w:right w:val="single" w:sz="4" w:space="0" w:color="auto"/>
            </w:tcBorders>
            <w:vAlign w:val="center"/>
            <w:hideMark/>
          </w:tcPr>
          <w:p w14:paraId="29B89A2D" w14:textId="77777777" w:rsidR="002A384F" w:rsidRDefault="002A384F" w:rsidP="00B52E7C">
            <w:pPr>
              <w:pStyle w:val="TAC"/>
              <w:rPr>
                <w:lang w:eastAsia="en-GB"/>
              </w:rPr>
            </w:pPr>
            <w:r>
              <w:rPr>
                <w:rFonts w:cs="Arial"/>
                <w:kern w:val="24"/>
                <w:szCs w:val="18"/>
                <w:lang w:eastAsia="en-GB"/>
              </w:rPr>
              <w:t xml:space="preserve">1 </w:t>
            </w:r>
          </w:p>
        </w:tc>
        <w:tc>
          <w:tcPr>
            <w:tcW w:w="1543" w:type="dxa"/>
            <w:tcBorders>
              <w:top w:val="single" w:sz="4" w:space="0" w:color="auto"/>
              <w:left w:val="single" w:sz="4" w:space="0" w:color="auto"/>
              <w:bottom w:val="single" w:sz="4" w:space="0" w:color="auto"/>
              <w:right w:val="single" w:sz="4" w:space="0" w:color="auto"/>
            </w:tcBorders>
            <w:vAlign w:val="center"/>
            <w:hideMark/>
          </w:tcPr>
          <w:p w14:paraId="29FF7D27" w14:textId="77777777" w:rsidR="002A384F" w:rsidRDefault="002A384F" w:rsidP="00B52E7C">
            <w:pPr>
              <w:pStyle w:val="TAC"/>
              <w:rPr>
                <w:lang w:eastAsia="en-GB"/>
              </w:rPr>
            </w:pPr>
            <w:r>
              <w:rPr>
                <w:rFonts w:cs="Arial"/>
                <w:kern w:val="24"/>
                <w:szCs w:val="18"/>
                <w:lang w:eastAsia="en-GB"/>
              </w:rPr>
              <w:t>48</w:t>
            </w:r>
          </w:p>
        </w:tc>
        <w:tc>
          <w:tcPr>
            <w:tcW w:w="1826" w:type="dxa"/>
            <w:tcBorders>
              <w:top w:val="single" w:sz="4" w:space="0" w:color="auto"/>
              <w:left w:val="single" w:sz="4" w:space="0" w:color="auto"/>
              <w:bottom w:val="single" w:sz="4" w:space="0" w:color="auto"/>
              <w:right w:val="single" w:sz="4" w:space="0" w:color="auto"/>
            </w:tcBorders>
            <w:vAlign w:val="center"/>
            <w:hideMark/>
          </w:tcPr>
          <w:p w14:paraId="4970FB9D" w14:textId="77777777" w:rsidR="002A384F" w:rsidRDefault="002A384F" w:rsidP="00B52E7C">
            <w:pPr>
              <w:pStyle w:val="TAC"/>
              <w:rPr>
                <w:lang w:eastAsia="en-GB"/>
              </w:rPr>
            </w:pPr>
            <w:r>
              <w:rPr>
                <w:rFonts w:cs="Arial"/>
                <w:kern w:val="24"/>
                <w:szCs w:val="18"/>
                <w:lang w:eastAsia="en-GB"/>
              </w:rPr>
              <w:t>1</w:t>
            </w:r>
          </w:p>
        </w:tc>
        <w:tc>
          <w:tcPr>
            <w:tcW w:w="1451" w:type="dxa"/>
            <w:tcBorders>
              <w:top w:val="single" w:sz="4" w:space="0" w:color="auto"/>
              <w:left w:val="single" w:sz="4" w:space="0" w:color="auto"/>
              <w:bottom w:val="single" w:sz="4" w:space="0" w:color="auto"/>
              <w:right w:val="single" w:sz="4" w:space="0" w:color="auto"/>
            </w:tcBorders>
            <w:vAlign w:val="center"/>
          </w:tcPr>
          <w:p w14:paraId="0E718397" w14:textId="77777777" w:rsidR="002A384F" w:rsidRDefault="002A384F" w:rsidP="00B52E7C">
            <w:pPr>
              <w:pStyle w:val="TAC"/>
              <w:rPr>
                <w:lang w:eastAsia="en-GB"/>
              </w:rPr>
            </w:pPr>
            <w:r>
              <w:rPr>
                <w:lang w:eastAsia="en-GB"/>
              </w:rPr>
              <w:t>0</w:t>
            </w:r>
          </w:p>
        </w:tc>
      </w:tr>
      <w:tr w:rsidR="002A384F" w14:paraId="4E9C5377" w14:textId="77777777" w:rsidTr="00B52E7C">
        <w:trPr>
          <w:cantSplit/>
        </w:trPr>
        <w:tc>
          <w:tcPr>
            <w:tcW w:w="792" w:type="dxa"/>
            <w:tcBorders>
              <w:top w:val="single" w:sz="4" w:space="0" w:color="auto"/>
              <w:left w:val="single" w:sz="4" w:space="0" w:color="auto"/>
              <w:bottom w:val="single" w:sz="4" w:space="0" w:color="auto"/>
              <w:right w:val="double" w:sz="4" w:space="0" w:color="auto"/>
            </w:tcBorders>
            <w:vAlign w:val="center"/>
            <w:hideMark/>
          </w:tcPr>
          <w:p w14:paraId="173B0DAF" w14:textId="77777777" w:rsidR="002A384F" w:rsidRDefault="002A384F" w:rsidP="00B52E7C">
            <w:pPr>
              <w:pStyle w:val="TAC"/>
              <w:rPr>
                <w:lang w:eastAsia="en-GB"/>
              </w:rPr>
            </w:pPr>
            <w:r>
              <w:rPr>
                <w:lang w:eastAsia="en-GB"/>
              </w:rPr>
              <w:t>3</w:t>
            </w:r>
          </w:p>
        </w:tc>
        <w:tc>
          <w:tcPr>
            <w:tcW w:w="3314" w:type="dxa"/>
            <w:tcBorders>
              <w:top w:val="single" w:sz="4" w:space="0" w:color="auto"/>
              <w:left w:val="double" w:sz="4" w:space="0" w:color="auto"/>
              <w:bottom w:val="single" w:sz="4" w:space="0" w:color="auto"/>
              <w:right w:val="single" w:sz="4" w:space="0" w:color="auto"/>
            </w:tcBorders>
            <w:vAlign w:val="center"/>
            <w:hideMark/>
          </w:tcPr>
          <w:p w14:paraId="4F88A9B9" w14:textId="77777777" w:rsidR="002A384F" w:rsidRDefault="002A384F" w:rsidP="00B52E7C">
            <w:pPr>
              <w:pStyle w:val="TAC"/>
              <w:rPr>
                <w:lang w:eastAsia="en-GB"/>
              </w:rPr>
            </w:pPr>
            <w:r>
              <w:rPr>
                <w:lang w:eastAsia="en-GB"/>
              </w:rPr>
              <w:t>1</w:t>
            </w:r>
          </w:p>
        </w:tc>
        <w:tc>
          <w:tcPr>
            <w:tcW w:w="1543" w:type="dxa"/>
            <w:tcBorders>
              <w:top w:val="single" w:sz="4" w:space="0" w:color="auto"/>
              <w:left w:val="single" w:sz="4" w:space="0" w:color="auto"/>
              <w:bottom w:val="single" w:sz="4" w:space="0" w:color="auto"/>
              <w:right w:val="single" w:sz="4" w:space="0" w:color="auto"/>
            </w:tcBorders>
            <w:vAlign w:val="center"/>
            <w:hideMark/>
          </w:tcPr>
          <w:p w14:paraId="48E3EC0F" w14:textId="77777777" w:rsidR="002A384F" w:rsidRDefault="002A384F" w:rsidP="00B52E7C">
            <w:pPr>
              <w:pStyle w:val="TAC"/>
              <w:rPr>
                <w:lang w:eastAsia="en-GB"/>
              </w:rPr>
            </w:pPr>
            <w:r>
              <w:rPr>
                <w:lang w:eastAsia="en-GB"/>
              </w:rPr>
              <w:t>48</w:t>
            </w:r>
          </w:p>
        </w:tc>
        <w:tc>
          <w:tcPr>
            <w:tcW w:w="1826" w:type="dxa"/>
            <w:tcBorders>
              <w:top w:val="single" w:sz="4" w:space="0" w:color="auto"/>
              <w:left w:val="single" w:sz="4" w:space="0" w:color="auto"/>
              <w:bottom w:val="single" w:sz="4" w:space="0" w:color="auto"/>
              <w:right w:val="single" w:sz="4" w:space="0" w:color="auto"/>
            </w:tcBorders>
            <w:vAlign w:val="center"/>
            <w:hideMark/>
          </w:tcPr>
          <w:p w14:paraId="6AE3CAB9" w14:textId="77777777" w:rsidR="002A384F" w:rsidRDefault="002A384F" w:rsidP="00B52E7C">
            <w:pPr>
              <w:pStyle w:val="TAC"/>
              <w:rPr>
                <w:lang w:eastAsia="en-GB"/>
              </w:rPr>
            </w:pPr>
            <w:r>
              <w:rPr>
                <w:lang w:eastAsia="en-GB"/>
              </w:rPr>
              <w:t>1</w:t>
            </w:r>
          </w:p>
        </w:tc>
        <w:tc>
          <w:tcPr>
            <w:tcW w:w="1451" w:type="dxa"/>
            <w:tcBorders>
              <w:top w:val="single" w:sz="4" w:space="0" w:color="auto"/>
              <w:left w:val="single" w:sz="4" w:space="0" w:color="auto"/>
              <w:bottom w:val="single" w:sz="4" w:space="0" w:color="auto"/>
              <w:right w:val="single" w:sz="4" w:space="0" w:color="auto"/>
            </w:tcBorders>
            <w:vAlign w:val="center"/>
          </w:tcPr>
          <w:p w14:paraId="3FE4FBCA" w14:textId="77777777" w:rsidR="002A384F" w:rsidRDefault="002A384F" w:rsidP="00B52E7C">
            <w:pPr>
              <w:pStyle w:val="TAC"/>
              <w:rPr>
                <w:lang w:eastAsia="en-GB"/>
              </w:rPr>
            </w:pPr>
            <w:r>
              <w:rPr>
                <w:lang w:eastAsia="en-GB"/>
              </w:rPr>
              <w:t>14</w:t>
            </w:r>
          </w:p>
        </w:tc>
      </w:tr>
      <w:tr w:rsidR="002A384F" w14:paraId="0FEE86A1" w14:textId="77777777" w:rsidTr="00B52E7C">
        <w:trPr>
          <w:cantSplit/>
        </w:trPr>
        <w:tc>
          <w:tcPr>
            <w:tcW w:w="792" w:type="dxa"/>
            <w:tcBorders>
              <w:top w:val="single" w:sz="4" w:space="0" w:color="auto"/>
              <w:left w:val="single" w:sz="4" w:space="0" w:color="auto"/>
              <w:bottom w:val="single" w:sz="4" w:space="0" w:color="auto"/>
              <w:right w:val="double" w:sz="4" w:space="0" w:color="auto"/>
            </w:tcBorders>
            <w:vAlign w:val="center"/>
            <w:hideMark/>
          </w:tcPr>
          <w:p w14:paraId="5E3AE953" w14:textId="77777777" w:rsidR="002A384F" w:rsidRDefault="002A384F" w:rsidP="00B52E7C">
            <w:pPr>
              <w:pStyle w:val="TAC"/>
              <w:rPr>
                <w:lang w:eastAsia="en-GB"/>
              </w:rPr>
            </w:pPr>
            <w:r>
              <w:rPr>
                <w:lang w:eastAsia="en-GB"/>
              </w:rPr>
              <w:t>4</w:t>
            </w:r>
          </w:p>
        </w:tc>
        <w:tc>
          <w:tcPr>
            <w:tcW w:w="3314" w:type="dxa"/>
            <w:tcBorders>
              <w:top w:val="single" w:sz="4" w:space="0" w:color="auto"/>
              <w:left w:val="double" w:sz="4" w:space="0" w:color="auto"/>
              <w:bottom w:val="single" w:sz="4" w:space="0" w:color="auto"/>
              <w:right w:val="single" w:sz="4" w:space="0" w:color="auto"/>
            </w:tcBorders>
            <w:vAlign w:val="center"/>
            <w:hideMark/>
          </w:tcPr>
          <w:p w14:paraId="151600FA" w14:textId="77777777" w:rsidR="002A384F" w:rsidRDefault="002A384F" w:rsidP="00B52E7C">
            <w:pPr>
              <w:pStyle w:val="TAC"/>
              <w:rPr>
                <w:lang w:eastAsia="en-GB"/>
              </w:rPr>
            </w:pPr>
            <w:r>
              <w:rPr>
                <w:lang w:eastAsia="en-GB"/>
              </w:rPr>
              <w:t>1</w:t>
            </w:r>
          </w:p>
        </w:tc>
        <w:tc>
          <w:tcPr>
            <w:tcW w:w="1543" w:type="dxa"/>
            <w:tcBorders>
              <w:top w:val="single" w:sz="4" w:space="0" w:color="auto"/>
              <w:left w:val="single" w:sz="4" w:space="0" w:color="auto"/>
              <w:bottom w:val="single" w:sz="4" w:space="0" w:color="auto"/>
              <w:right w:val="single" w:sz="4" w:space="0" w:color="auto"/>
            </w:tcBorders>
            <w:vAlign w:val="center"/>
            <w:hideMark/>
          </w:tcPr>
          <w:p w14:paraId="083038E9" w14:textId="77777777" w:rsidR="002A384F" w:rsidRDefault="002A384F" w:rsidP="00B52E7C">
            <w:pPr>
              <w:pStyle w:val="TAC"/>
              <w:rPr>
                <w:lang w:eastAsia="en-GB"/>
              </w:rPr>
            </w:pPr>
            <w:r>
              <w:rPr>
                <w:lang w:eastAsia="en-GB"/>
              </w:rPr>
              <w:t>48</w:t>
            </w:r>
          </w:p>
        </w:tc>
        <w:tc>
          <w:tcPr>
            <w:tcW w:w="1826" w:type="dxa"/>
            <w:tcBorders>
              <w:top w:val="single" w:sz="4" w:space="0" w:color="auto"/>
              <w:left w:val="single" w:sz="4" w:space="0" w:color="auto"/>
              <w:bottom w:val="single" w:sz="4" w:space="0" w:color="auto"/>
              <w:right w:val="single" w:sz="4" w:space="0" w:color="auto"/>
            </w:tcBorders>
            <w:vAlign w:val="center"/>
            <w:hideMark/>
          </w:tcPr>
          <w:p w14:paraId="3D03FE10" w14:textId="77777777" w:rsidR="002A384F" w:rsidRDefault="002A384F" w:rsidP="00B52E7C">
            <w:pPr>
              <w:pStyle w:val="TAC"/>
              <w:rPr>
                <w:lang w:eastAsia="en-GB"/>
              </w:rPr>
            </w:pPr>
            <w:r>
              <w:rPr>
                <w:lang w:eastAsia="en-GB"/>
              </w:rPr>
              <w:t>1</w:t>
            </w:r>
          </w:p>
        </w:tc>
        <w:tc>
          <w:tcPr>
            <w:tcW w:w="1451" w:type="dxa"/>
            <w:tcBorders>
              <w:top w:val="single" w:sz="4" w:space="0" w:color="auto"/>
              <w:left w:val="single" w:sz="4" w:space="0" w:color="auto"/>
              <w:bottom w:val="single" w:sz="4" w:space="0" w:color="auto"/>
              <w:right w:val="single" w:sz="4" w:space="0" w:color="auto"/>
            </w:tcBorders>
            <w:vAlign w:val="center"/>
          </w:tcPr>
          <w:p w14:paraId="5D368739" w14:textId="77777777" w:rsidR="002A384F" w:rsidRDefault="002A384F" w:rsidP="00B52E7C">
            <w:pPr>
              <w:pStyle w:val="TAC"/>
              <w:rPr>
                <w:lang w:eastAsia="en-GB"/>
              </w:rPr>
            </w:pPr>
            <w:r>
              <w:rPr>
                <w:lang w:eastAsia="en-GB"/>
              </w:rPr>
              <w:t>28</w:t>
            </w:r>
          </w:p>
        </w:tc>
      </w:tr>
      <w:tr w:rsidR="002A384F" w14:paraId="10E354CA" w14:textId="77777777" w:rsidTr="00B52E7C">
        <w:trPr>
          <w:cantSplit/>
        </w:trPr>
        <w:tc>
          <w:tcPr>
            <w:tcW w:w="792" w:type="dxa"/>
            <w:tcBorders>
              <w:top w:val="single" w:sz="4" w:space="0" w:color="auto"/>
              <w:left w:val="single" w:sz="4" w:space="0" w:color="auto"/>
              <w:bottom w:val="single" w:sz="4" w:space="0" w:color="auto"/>
              <w:right w:val="double" w:sz="4" w:space="0" w:color="auto"/>
            </w:tcBorders>
            <w:vAlign w:val="center"/>
            <w:hideMark/>
          </w:tcPr>
          <w:p w14:paraId="4CAF77B3" w14:textId="77777777" w:rsidR="002A384F" w:rsidRDefault="002A384F" w:rsidP="00B52E7C">
            <w:pPr>
              <w:pStyle w:val="TAC"/>
              <w:rPr>
                <w:lang w:eastAsia="en-GB"/>
              </w:rPr>
            </w:pPr>
            <w:r>
              <w:rPr>
                <w:lang w:eastAsia="en-GB"/>
              </w:rPr>
              <w:t>5</w:t>
            </w:r>
          </w:p>
        </w:tc>
        <w:tc>
          <w:tcPr>
            <w:tcW w:w="3314" w:type="dxa"/>
            <w:tcBorders>
              <w:top w:val="single" w:sz="4" w:space="0" w:color="auto"/>
              <w:left w:val="double" w:sz="4" w:space="0" w:color="auto"/>
              <w:bottom w:val="single" w:sz="4" w:space="0" w:color="auto"/>
              <w:right w:val="single" w:sz="4" w:space="0" w:color="auto"/>
            </w:tcBorders>
            <w:vAlign w:val="center"/>
            <w:hideMark/>
          </w:tcPr>
          <w:p w14:paraId="028FE420" w14:textId="77777777" w:rsidR="002A384F" w:rsidRDefault="002A384F" w:rsidP="00B52E7C">
            <w:pPr>
              <w:pStyle w:val="TAC"/>
              <w:rPr>
                <w:lang w:eastAsia="en-GB"/>
              </w:rPr>
            </w:pPr>
            <w:r>
              <w:rPr>
                <w:rFonts w:cs="Arial"/>
                <w:kern w:val="24"/>
                <w:szCs w:val="18"/>
                <w:lang w:eastAsia="en-GB"/>
              </w:rPr>
              <w:t xml:space="preserve">1 </w:t>
            </w:r>
          </w:p>
        </w:tc>
        <w:tc>
          <w:tcPr>
            <w:tcW w:w="1543" w:type="dxa"/>
            <w:tcBorders>
              <w:top w:val="single" w:sz="4" w:space="0" w:color="auto"/>
              <w:left w:val="single" w:sz="4" w:space="0" w:color="auto"/>
              <w:bottom w:val="single" w:sz="4" w:space="0" w:color="auto"/>
              <w:right w:val="single" w:sz="4" w:space="0" w:color="auto"/>
            </w:tcBorders>
            <w:vAlign w:val="center"/>
            <w:hideMark/>
          </w:tcPr>
          <w:p w14:paraId="652F47C9" w14:textId="77777777" w:rsidR="002A384F" w:rsidRDefault="002A384F" w:rsidP="00B52E7C">
            <w:pPr>
              <w:pStyle w:val="TAC"/>
              <w:rPr>
                <w:lang w:eastAsia="en-GB"/>
              </w:rPr>
            </w:pPr>
            <w:r>
              <w:rPr>
                <w:rFonts w:cs="Arial"/>
                <w:kern w:val="24"/>
                <w:szCs w:val="18"/>
                <w:lang w:eastAsia="en-GB"/>
              </w:rPr>
              <w:t>48</w:t>
            </w:r>
          </w:p>
        </w:tc>
        <w:tc>
          <w:tcPr>
            <w:tcW w:w="1826" w:type="dxa"/>
            <w:tcBorders>
              <w:top w:val="single" w:sz="4" w:space="0" w:color="auto"/>
              <w:left w:val="single" w:sz="4" w:space="0" w:color="auto"/>
              <w:bottom w:val="single" w:sz="4" w:space="0" w:color="auto"/>
              <w:right w:val="single" w:sz="4" w:space="0" w:color="auto"/>
            </w:tcBorders>
            <w:vAlign w:val="center"/>
            <w:hideMark/>
          </w:tcPr>
          <w:p w14:paraId="61E1D1A5" w14:textId="77777777" w:rsidR="002A384F" w:rsidRDefault="002A384F" w:rsidP="00B52E7C">
            <w:pPr>
              <w:pStyle w:val="TAC"/>
              <w:rPr>
                <w:lang w:eastAsia="en-GB"/>
              </w:rPr>
            </w:pPr>
            <w:r>
              <w:rPr>
                <w:rFonts w:cs="Arial"/>
                <w:kern w:val="24"/>
                <w:szCs w:val="18"/>
                <w:lang w:eastAsia="en-GB"/>
              </w:rPr>
              <w:t>2</w:t>
            </w:r>
          </w:p>
        </w:tc>
        <w:tc>
          <w:tcPr>
            <w:tcW w:w="1451" w:type="dxa"/>
            <w:tcBorders>
              <w:top w:val="single" w:sz="4" w:space="0" w:color="auto"/>
              <w:left w:val="single" w:sz="4" w:space="0" w:color="auto"/>
              <w:bottom w:val="single" w:sz="4" w:space="0" w:color="auto"/>
              <w:right w:val="single" w:sz="4" w:space="0" w:color="auto"/>
            </w:tcBorders>
            <w:vAlign w:val="center"/>
          </w:tcPr>
          <w:p w14:paraId="2F349FCD" w14:textId="77777777" w:rsidR="002A384F" w:rsidRDefault="002A384F" w:rsidP="00B52E7C">
            <w:pPr>
              <w:pStyle w:val="TAC"/>
              <w:rPr>
                <w:lang w:eastAsia="en-GB"/>
              </w:rPr>
            </w:pPr>
            <w:r>
              <w:rPr>
                <w:lang w:eastAsia="en-GB"/>
              </w:rPr>
              <w:t>0</w:t>
            </w:r>
          </w:p>
        </w:tc>
      </w:tr>
      <w:tr w:rsidR="002A384F" w14:paraId="42EEBC62" w14:textId="77777777" w:rsidTr="00B52E7C">
        <w:trPr>
          <w:cantSplit/>
        </w:trPr>
        <w:tc>
          <w:tcPr>
            <w:tcW w:w="792" w:type="dxa"/>
            <w:tcBorders>
              <w:top w:val="single" w:sz="4" w:space="0" w:color="auto"/>
              <w:left w:val="single" w:sz="4" w:space="0" w:color="auto"/>
              <w:bottom w:val="single" w:sz="4" w:space="0" w:color="auto"/>
              <w:right w:val="double" w:sz="4" w:space="0" w:color="auto"/>
            </w:tcBorders>
            <w:vAlign w:val="center"/>
            <w:hideMark/>
          </w:tcPr>
          <w:p w14:paraId="7C3890A3" w14:textId="77777777" w:rsidR="002A384F" w:rsidRDefault="002A384F" w:rsidP="00B52E7C">
            <w:pPr>
              <w:pStyle w:val="TAC"/>
              <w:rPr>
                <w:lang w:eastAsia="en-GB"/>
              </w:rPr>
            </w:pPr>
            <w:r>
              <w:rPr>
                <w:lang w:eastAsia="en-GB"/>
              </w:rPr>
              <w:t>6</w:t>
            </w:r>
          </w:p>
        </w:tc>
        <w:tc>
          <w:tcPr>
            <w:tcW w:w="3314" w:type="dxa"/>
            <w:tcBorders>
              <w:top w:val="single" w:sz="4" w:space="0" w:color="auto"/>
              <w:left w:val="double" w:sz="4" w:space="0" w:color="auto"/>
              <w:bottom w:val="single" w:sz="4" w:space="0" w:color="auto"/>
              <w:right w:val="single" w:sz="4" w:space="0" w:color="auto"/>
            </w:tcBorders>
            <w:vAlign w:val="center"/>
            <w:hideMark/>
          </w:tcPr>
          <w:p w14:paraId="2111B374" w14:textId="77777777" w:rsidR="002A384F" w:rsidRDefault="002A384F" w:rsidP="00B52E7C">
            <w:pPr>
              <w:pStyle w:val="TAC"/>
              <w:rPr>
                <w:lang w:eastAsia="en-GB"/>
              </w:rPr>
            </w:pPr>
            <w:r>
              <w:rPr>
                <w:rFonts w:cs="Arial"/>
                <w:kern w:val="24"/>
                <w:szCs w:val="18"/>
                <w:lang w:eastAsia="en-GB"/>
              </w:rPr>
              <w:t xml:space="preserve">1 </w:t>
            </w:r>
          </w:p>
        </w:tc>
        <w:tc>
          <w:tcPr>
            <w:tcW w:w="1543" w:type="dxa"/>
            <w:tcBorders>
              <w:top w:val="single" w:sz="4" w:space="0" w:color="auto"/>
              <w:left w:val="single" w:sz="4" w:space="0" w:color="auto"/>
              <w:bottom w:val="single" w:sz="4" w:space="0" w:color="auto"/>
              <w:right w:val="single" w:sz="4" w:space="0" w:color="auto"/>
            </w:tcBorders>
            <w:vAlign w:val="center"/>
            <w:hideMark/>
          </w:tcPr>
          <w:p w14:paraId="3F1E34E5" w14:textId="77777777" w:rsidR="002A384F" w:rsidRDefault="002A384F" w:rsidP="00B52E7C">
            <w:pPr>
              <w:pStyle w:val="TAC"/>
              <w:rPr>
                <w:lang w:eastAsia="en-GB"/>
              </w:rPr>
            </w:pPr>
            <w:r>
              <w:rPr>
                <w:rFonts w:cs="Arial"/>
                <w:kern w:val="24"/>
                <w:szCs w:val="18"/>
                <w:lang w:eastAsia="en-GB"/>
              </w:rPr>
              <w:t>48</w:t>
            </w:r>
          </w:p>
        </w:tc>
        <w:tc>
          <w:tcPr>
            <w:tcW w:w="1826" w:type="dxa"/>
            <w:tcBorders>
              <w:top w:val="single" w:sz="4" w:space="0" w:color="auto"/>
              <w:left w:val="single" w:sz="4" w:space="0" w:color="auto"/>
              <w:bottom w:val="single" w:sz="4" w:space="0" w:color="auto"/>
              <w:right w:val="single" w:sz="4" w:space="0" w:color="auto"/>
            </w:tcBorders>
            <w:vAlign w:val="center"/>
            <w:hideMark/>
          </w:tcPr>
          <w:p w14:paraId="04E0012C" w14:textId="77777777" w:rsidR="002A384F" w:rsidRDefault="002A384F" w:rsidP="00B52E7C">
            <w:pPr>
              <w:pStyle w:val="TAC"/>
              <w:rPr>
                <w:lang w:eastAsia="en-GB"/>
              </w:rPr>
            </w:pPr>
            <w:r>
              <w:rPr>
                <w:rFonts w:cs="Arial"/>
                <w:kern w:val="24"/>
                <w:szCs w:val="18"/>
                <w:lang w:eastAsia="en-GB"/>
              </w:rPr>
              <w:t>2</w:t>
            </w:r>
          </w:p>
        </w:tc>
        <w:tc>
          <w:tcPr>
            <w:tcW w:w="1451" w:type="dxa"/>
            <w:tcBorders>
              <w:top w:val="single" w:sz="4" w:space="0" w:color="auto"/>
              <w:left w:val="single" w:sz="4" w:space="0" w:color="auto"/>
              <w:bottom w:val="single" w:sz="4" w:space="0" w:color="auto"/>
              <w:right w:val="single" w:sz="4" w:space="0" w:color="auto"/>
            </w:tcBorders>
            <w:vAlign w:val="center"/>
          </w:tcPr>
          <w:p w14:paraId="2099AF81" w14:textId="77777777" w:rsidR="002A384F" w:rsidRDefault="002A384F" w:rsidP="00B52E7C">
            <w:pPr>
              <w:pStyle w:val="TAC"/>
              <w:rPr>
                <w:lang w:eastAsia="en-GB"/>
              </w:rPr>
            </w:pPr>
            <w:r>
              <w:rPr>
                <w:lang w:eastAsia="en-GB"/>
              </w:rPr>
              <w:t>14</w:t>
            </w:r>
          </w:p>
        </w:tc>
      </w:tr>
      <w:tr w:rsidR="002A384F" w14:paraId="2248E7EF" w14:textId="77777777" w:rsidTr="00B52E7C">
        <w:trPr>
          <w:cantSplit/>
        </w:trPr>
        <w:tc>
          <w:tcPr>
            <w:tcW w:w="792" w:type="dxa"/>
            <w:tcBorders>
              <w:top w:val="single" w:sz="4" w:space="0" w:color="auto"/>
              <w:left w:val="single" w:sz="4" w:space="0" w:color="auto"/>
              <w:bottom w:val="single" w:sz="4" w:space="0" w:color="auto"/>
              <w:right w:val="double" w:sz="4" w:space="0" w:color="auto"/>
            </w:tcBorders>
            <w:vAlign w:val="center"/>
            <w:hideMark/>
          </w:tcPr>
          <w:p w14:paraId="5BBDD13E" w14:textId="77777777" w:rsidR="002A384F" w:rsidRDefault="002A384F" w:rsidP="00B52E7C">
            <w:pPr>
              <w:pStyle w:val="TAC"/>
              <w:rPr>
                <w:lang w:eastAsia="en-GB"/>
              </w:rPr>
            </w:pPr>
            <w:r>
              <w:rPr>
                <w:lang w:eastAsia="en-GB"/>
              </w:rPr>
              <w:t>7</w:t>
            </w:r>
          </w:p>
        </w:tc>
        <w:tc>
          <w:tcPr>
            <w:tcW w:w="3314" w:type="dxa"/>
            <w:tcBorders>
              <w:top w:val="single" w:sz="4" w:space="0" w:color="auto"/>
              <w:left w:val="double" w:sz="4" w:space="0" w:color="auto"/>
              <w:bottom w:val="single" w:sz="4" w:space="0" w:color="auto"/>
              <w:right w:val="single" w:sz="4" w:space="0" w:color="auto"/>
            </w:tcBorders>
            <w:vAlign w:val="center"/>
          </w:tcPr>
          <w:p w14:paraId="1C1128F8" w14:textId="77777777" w:rsidR="002A384F" w:rsidRDefault="002A384F" w:rsidP="00B52E7C">
            <w:pPr>
              <w:pStyle w:val="TAC"/>
              <w:rPr>
                <w:lang w:eastAsia="en-GB"/>
              </w:rPr>
            </w:pPr>
            <w:r>
              <w:rPr>
                <w:lang w:eastAsia="en-GB"/>
              </w:rPr>
              <w:t>1</w:t>
            </w:r>
          </w:p>
        </w:tc>
        <w:tc>
          <w:tcPr>
            <w:tcW w:w="1543" w:type="dxa"/>
            <w:tcBorders>
              <w:top w:val="single" w:sz="4" w:space="0" w:color="auto"/>
              <w:left w:val="single" w:sz="4" w:space="0" w:color="auto"/>
              <w:bottom w:val="single" w:sz="4" w:space="0" w:color="auto"/>
              <w:right w:val="single" w:sz="4" w:space="0" w:color="auto"/>
            </w:tcBorders>
            <w:vAlign w:val="center"/>
          </w:tcPr>
          <w:p w14:paraId="595D65B8" w14:textId="77777777" w:rsidR="002A384F" w:rsidRDefault="002A384F" w:rsidP="00B52E7C">
            <w:pPr>
              <w:pStyle w:val="TAC"/>
              <w:rPr>
                <w:lang w:eastAsia="en-GB"/>
              </w:rPr>
            </w:pPr>
            <w:r>
              <w:rPr>
                <w:lang w:eastAsia="en-GB"/>
              </w:rPr>
              <w:t>48</w:t>
            </w:r>
          </w:p>
        </w:tc>
        <w:tc>
          <w:tcPr>
            <w:tcW w:w="1826" w:type="dxa"/>
            <w:tcBorders>
              <w:top w:val="single" w:sz="4" w:space="0" w:color="auto"/>
              <w:left w:val="single" w:sz="4" w:space="0" w:color="auto"/>
              <w:bottom w:val="single" w:sz="4" w:space="0" w:color="auto"/>
              <w:right w:val="single" w:sz="4" w:space="0" w:color="auto"/>
            </w:tcBorders>
            <w:vAlign w:val="center"/>
          </w:tcPr>
          <w:p w14:paraId="6F142373" w14:textId="77777777" w:rsidR="002A384F" w:rsidRDefault="002A384F" w:rsidP="00B52E7C">
            <w:pPr>
              <w:pStyle w:val="TAC"/>
              <w:rPr>
                <w:lang w:eastAsia="en-GB"/>
              </w:rPr>
            </w:pPr>
            <w:r>
              <w:rPr>
                <w:lang w:eastAsia="en-GB"/>
              </w:rPr>
              <w:t>2</w:t>
            </w:r>
          </w:p>
        </w:tc>
        <w:tc>
          <w:tcPr>
            <w:tcW w:w="1451" w:type="dxa"/>
            <w:tcBorders>
              <w:top w:val="single" w:sz="4" w:space="0" w:color="auto"/>
              <w:left w:val="single" w:sz="4" w:space="0" w:color="auto"/>
              <w:bottom w:val="single" w:sz="4" w:space="0" w:color="auto"/>
              <w:right w:val="single" w:sz="4" w:space="0" w:color="auto"/>
            </w:tcBorders>
            <w:vAlign w:val="center"/>
          </w:tcPr>
          <w:p w14:paraId="72A0EA49" w14:textId="77777777" w:rsidR="002A384F" w:rsidRDefault="002A384F" w:rsidP="00B52E7C">
            <w:pPr>
              <w:pStyle w:val="TAC"/>
              <w:rPr>
                <w:lang w:eastAsia="en-GB"/>
              </w:rPr>
            </w:pPr>
            <w:r>
              <w:rPr>
                <w:lang w:eastAsia="en-GB"/>
              </w:rPr>
              <w:t>28</w:t>
            </w:r>
          </w:p>
        </w:tc>
      </w:tr>
      <w:tr w:rsidR="002A384F" w14:paraId="5D0038FA" w14:textId="77777777" w:rsidTr="00B52E7C">
        <w:trPr>
          <w:cantSplit/>
        </w:trPr>
        <w:tc>
          <w:tcPr>
            <w:tcW w:w="792" w:type="dxa"/>
            <w:tcBorders>
              <w:top w:val="single" w:sz="4" w:space="0" w:color="auto"/>
              <w:left w:val="single" w:sz="4" w:space="0" w:color="auto"/>
              <w:bottom w:val="single" w:sz="4" w:space="0" w:color="auto"/>
              <w:right w:val="double" w:sz="4" w:space="0" w:color="auto"/>
            </w:tcBorders>
            <w:vAlign w:val="center"/>
            <w:hideMark/>
          </w:tcPr>
          <w:p w14:paraId="61F68793" w14:textId="77777777" w:rsidR="002A384F" w:rsidRDefault="002A384F" w:rsidP="00B52E7C">
            <w:pPr>
              <w:pStyle w:val="TAC"/>
              <w:rPr>
                <w:lang w:eastAsia="en-GB"/>
              </w:rPr>
            </w:pPr>
            <w:r>
              <w:rPr>
                <w:lang w:eastAsia="en-GB"/>
              </w:rPr>
              <w:t>8</w:t>
            </w:r>
          </w:p>
        </w:tc>
        <w:tc>
          <w:tcPr>
            <w:tcW w:w="3314" w:type="dxa"/>
            <w:tcBorders>
              <w:top w:val="single" w:sz="4" w:space="0" w:color="auto"/>
              <w:left w:val="double" w:sz="4" w:space="0" w:color="auto"/>
              <w:bottom w:val="single" w:sz="4" w:space="0" w:color="auto"/>
              <w:right w:val="single" w:sz="4" w:space="0" w:color="auto"/>
            </w:tcBorders>
            <w:vAlign w:val="center"/>
          </w:tcPr>
          <w:p w14:paraId="49BC04BE" w14:textId="77777777" w:rsidR="002A384F" w:rsidRDefault="002A384F" w:rsidP="00B52E7C">
            <w:pPr>
              <w:pStyle w:val="TAC"/>
              <w:rPr>
                <w:rFonts w:cs="Arial"/>
                <w:kern w:val="24"/>
                <w:szCs w:val="18"/>
                <w:lang w:eastAsia="en-GB"/>
              </w:rPr>
            </w:pPr>
            <w:r>
              <w:rPr>
                <w:rFonts w:cs="Arial"/>
                <w:kern w:val="24"/>
                <w:szCs w:val="18"/>
                <w:lang w:eastAsia="en-GB"/>
              </w:rPr>
              <w:t>1</w:t>
            </w:r>
          </w:p>
        </w:tc>
        <w:tc>
          <w:tcPr>
            <w:tcW w:w="1543" w:type="dxa"/>
            <w:tcBorders>
              <w:top w:val="single" w:sz="4" w:space="0" w:color="auto"/>
              <w:left w:val="single" w:sz="4" w:space="0" w:color="auto"/>
              <w:bottom w:val="single" w:sz="4" w:space="0" w:color="auto"/>
              <w:right w:val="single" w:sz="4" w:space="0" w:color="auto"/>
            </w:tcBorders>
            <w:vAlign w:val="center"/>
          </w:tcPr>
          <w:p w14:paraId="4D0ECDE8" w14:textId="77777777" w:rsidR="002A384F" w:rsidRDefault="002A384F" w:rsidP="00B52E7C">
            <w:pPr>
              <w:pStyle w:val="TAC"/>
              <w:rPr>
                <w:rFonts w:cs="Arial"/>
                <w:kern w:val="24"/>
                <w:szCs w:val="18"/>
                <w:lang w:eastAsia="en-GB"/>
              </w:rPr>
            </w:pPr>
            <w:r>
              <w:rPr>
                <w:rFonts w:cs="Arial"/>
                <w:kern w:val="24"/>
                <w:szCs w:val="18"/>
                <w:lang w:eastAsia="en-GB"/>
              </w:rPr>
              <w:t>96</w:t>
            </w:r>
          </w:p>
        </w:tc>
        <w:tc>
          <w:tcPr>
            <w:tcW w:w="1826" w:type="dxa"/>
            <w:tcBorders>
              <w:top w:val="single" w:sz="4" w:space="0" w:color="auto"/>
              <w:left w:val="single" w:sz="4" w:space="0" w:color="auto"/>
              <w:bottom w:val="single" w:sz="4" w:space="0" w:color="auto"/>
              <w:right w:val="single" w:sz="4" w:space="0" w:color="auto"/>
            </w:tcBorders>
            <w:vAlign w:val="center"/>
          </w:tcPr>
          <w:p w14:paraId="4BFE11CD" w14:textId="77777777" w:rsidR="002A384F" w:rsidRDefault="002A384F" w:rsidP="00B52E7C">
            <w:pPr>
              <w:pStyle w:val="TAC"/>
              <w:rPr>
                <w:rFonts w:cs="Arial"/>
                <w:kern w:val="24"/>
                <w:szCs w:val="18"/>
                <w:lang w:eastAsia="en-GB"/>
              </w:rPr>
            </w:pPr>
            <w:r>
              <w:rPr>
                <w:rFonts w:cs="Arial"/>
                <w:kern w:val="24"/>
                <w:szCs w:val="18"/>
                <w:lang w:eastAsia="en-GB"/>
              </w:rPr>
              <w:t>1</w:t>
            </w:r>
          </w:p>
        </w:tc>
        <w:tc>
          <w:tcPr>
            <w:tcW w:w="1451" w:type="dxa"/>
            <w:tcBorders>
              <w:top w:val="single" w:sz="4" w:space="0" w:color="auto"/>
              <w:left w:val="single" w:sz="4" w:space="0" w:color="auto"/>
              <w:bottom w:val="single" w:sz="4" w:space="0" w:color="auto"/>
              <w:right w:val="single" w:sz="4" w:space="0" w:color="auto"/>
            </w:tcBorders>
            <w:vAlign w:val="center"/>
          </w:tcPr>
          <w:p w14:paraId="6CFDBB1D" w14:textId="77777777" w:rsidR="002A384F" w:rsidRDefault="002A384F" w:rsidP="00B52E7C">
            <w:pPr>
              <w:pStyle w:val="TAC"/>
              <w:rPr>
                <w:lang w:eastAsia="en-GB"/>
              </w:rPr>
            </w:pPr>
            <w:r>
              <w:rPr>
                <w:lang w:eastAsia="en-GB"/>
              </w:rPr>
              <w:t>0</w:t>
            </w:r>
          </w:p>
        </w:tc>
      </w:tr>
      <w:tr w:rsidR="006A7896" w14:paraId="2B084B63" w14:textId="77777777" w:rsidTr="00B52E7C">
        <w:trPr>
          <w:cantSplit/>
        </w:trPr>
        <w:tc>
          <w:tcPr>
            <w:tcW w:w="792" w:type="dxa"/>
            <w:tcBorders>
              <w:top w:val="single" w:sz="4" w:space="0" w:color="auto"/>
              <w:left w:val="single" w:sz="4" w:space="0" w:color="auto"/>
              <w:bottom w:val="single" w:sz="4" w:space="0" w:color="auto"/>
              <w:right w:val="double" w:sz="4" w:space="0" w:color="auto"/>
            </w:tcBorders>
            <w:vAlign w:val="center"/>
            <w:hideMark/>
          </w:tcPr>
          <w:p w14:paraId="6C96A8F5" w14:textId="77777777" w:rsidR="006A7896" w:rsidRDefault="006A7896" w:rsidP="006A7896">
            <w:pPr>
              <w:pStyle w:val="TAC"/>
              <w:rPr>
                <w:lang w:eastAsia="en-GB"/>
              </w:rPr>
            </w:pPr>
            <w:r>
              <w:rPr>
                <w:lang w:eastAsia="en-GB"/>
              </w:rPr>
              <w:t>9</w:t>
            </w:r>
          </w:p>
        </w:tc>
        <w:tc>
          <w:tcPr>
            <w:tcW w:w="3314" w:type="dxa"/>
            <w:tcBorders>
              <w:top w:val="single" w:sz="4" w:space="0" w:color="auto"/>
              <w:left w:val="double" w:sz="4" w:space="0" w:color="auto"/>
              <w:bottom w:val="single" w:sz="4" w:space="0" w:color="auto"/>
              <w:right w:val="single" w:sz="4" w:space="0" w:color="auto"/>
            </w:tcBorders>
            <w:vAlign w:val="center"/>
          </w:tcPr>
          <w:p w14:paraId="6ADCAC8C" w14:textId="35321928" w:rsidR="006A7896" w:rsidRDefault="006A7896" w:rsidP="006A7896">
            <w:pPr>
              <w:pStyle w:val="TAC"/>
              <w:rPr>
                <w:rFonts w:cs="Arial"/>
                <w:kern w:val="24"/>
                <w:szCs w:val="18"/>
                <w:lang w:eastAsia="en-GB"/>
              </w:rPr>
            </w:pPr>
            <w:r w:rsidRPr="0069094D">
              <w:rPr>
                <w:kern w:val="24"/>
                <w:szCs w:val="18"/>
                <w:lang w:eastAsia="en-GB"/>
              </w:rPr>
              <w:t>1</w:t>
            </w:r>
          </w:p>
        </w:tc>
        <w:tc>
          <w:tcPr>
            <w:tcW w:w="1543" w:type="dxa"/>
            <w:tcBorders>
              <w:top w:val="single" w:sz="4" w:space="0" w:color="auto"/>
              <w:left w:val="single" w:sz="4" w:space="0" w:color="auto"/>
              <w:bottom w:val="single" w:sz="4" w:space="0" w:color="auto"/>
              <w:right w:val="single" w:sz="4" w:space="0" w:color="auto"/>
            </w:tcBorders>
            <w:vAlign w:val="center"/>
          </w:tcPr>
          <w:p w14:paraId="2ED46647" w14:textId="5DFBEAF9" w:rsidR="006A7896" w:rsidRDefault="006A7896" w:rsidP="006A7896">
            <w:pPr>
              <w:pStyle w:val="TAC"/>
              <w:rPr>
                <w:rFonts w:cs="Arial"/>
                <w:kern w:val="24"/>
                <w:szCs w:val="18"/>
                <w:lang w:eastAsia="en-GB"/>
              </w:rPr>
            </w:pPr>
            <w:r w:rsidRPr="0069094D">
              <w:rPr>
                <w:kern w:val="24"/>
                <w:szCs w:val="18"/>
                <w:lang w:eastAsia="en-GB"/>
              </w:rPr>
              <w:t>96</w:t>
            </w:r>
          </w:p>
        </w:tc>
        <w:tc>
          <w:tcPr>
            <w:tcW w:w="1826" w:type="dxa"/>
            <w:tcBorders>
              <w:top w:val="single" w:sz="4" w:space="0" w:color="auto"/>
              <w:left w:val="single" w:sz="4" w:space="0" w:color="auto"/>
              <w:bottom w:val="single" w:sz="4" w:space="0" w:color="auto"/>
              <w:right w:val="single" w:sz="4" w:space="0" w:color="auto"/>
            </w:tcBorders>
            <w:vAlign w:val="center"/>
          </w:tcPr>
          <w:p w14:paraId="25648F88" w14:textId="24722B53" w:rsidR="006A7896" w:rsidRDefault="006A7896" w:rsidP="006A7896">
            <w:pPr>
              <w:pStyle w:val="TAC"/>
              <w:rPr>
                <w:rFonts w:cs="Arial"/>
                <w:kern w:val="24"/>
                <w:szCs w:val="18"/>
                <w:lang w:eastAsia="en-GB"/>
              </w:rPr>
            </w:pPr>
            <w:r w:rsidRPr="0069094D">
              <w:rPr>
                <w:kern w:val="24"/>
                <w:szCs w:val="18"/>
                <w:lang w:eastAsia="en-GB"/>
              </w:rPr>
              <w:t>1</w:t>
            </w:r>
          </w:p>
        </w:tc>
        <w:tc>
          <w:tcPr>
            <w:tcW w:w="1451" w:type="dxa"/>
            <w:tcBorders>
              <w:top w:val="single" w:sz="4" w:space="0" w:color="auto"/>
              <w:left w:val="single" w:sz="4" w:space="0" w:color="auto"/>
              <w:bottom w:val="single" w:sz="4" w:space="0" w:color="auto"/>
              <w:right w:val="single" w:sz="4" w:space="0" w:color="auto"/>
            </w:tcBorders>
            <w:vAlign w:val="center"/>
          </w:tcPr>
          <w:p w14:paraId="1DE310CD" w14:textId="4AF4D2F6" w:rsidR="006A7896" w:rsidRDefault="006A7896" w:rsidP="006A7896">
            <w:pPr>
              <w:pStyle w:val="TAC"/>
              <w:rPr>
                <w:lang w:eastAsia="en-GB"/>
              </w:rPr>
            </w:pPr>
            <w:r w:rsidRPr="0069094D">
              <w:rPr>
                <w:lang w:eastAsia="en-GB"/>
              </w:rPr>
              <w:t>76</w:t>
            </w:r>
          </w:p>
        </w:tc>
      </w:tr>
      <w:tr w:rsidR="002A384F" w14:paraId="679442FF" w14:textId="77777777" w:rsidTr="00B52E7C">
        <w:trPr>
          <w:cantSplit/>
        </w:trPr>
        <w:tc>
          <w:tcPr>
            <w:tcW w:w="792" w:type="dxa"/>
            <w:tcBorders>
              <w:top w:val="single" w:sz="4" w:space="0" w:color="auto"/>
              <w:left w:val="single" w:sz="4" w:space="0" w:color="auto"/>
              <w:bottom w:val="single" w:sz="4" w:space="0" w:color="auto"/>
              <w:right w:val="double" w:sz="4" w:space="0" w:color="auto"/>
            </w:tcBorders>
            <w:vAlign w:val="center"/>
            <w:hideMark/>
          </w:tcPr>
          <w:p w14:paraId="7840D04E" w14:textId="77777777" w:rsidR="002A384F" w:rsidRDefault="002A384F" w:rsidP="00B52E7C">
            <w:pPr>
              <w:pStyle w:val="TAC"/>
              <w:rPr>
                <w:lang w:eastAsia="en-GB"/>
              </w:rPr>
            </w:pPr>
            <w:r>
              <w:rPr>
                <w:lang w:eastAsia="en-GB"/>
              </w:rPr>
              <w:t>10</w:t>
            </w:r>
          </w:p>
        </w:tc>
        <w:tc>
          <w:tcPr>
            <w:tcW w:w="3314" w:type="dxa"/>
            <w:tcBorders>
              <w:top w:val="single" w:sz="4" w:space="0" w:color="auto"/>
              <w:left w:val="double" w:sz="4" w:space="0" w:color="auto"/>
              <w:bottom w:val="single" w:sz="4" w:space="0" w:color="auto"/>
              <w:right w:val="single" w:sz="4" w:space="0" w:color="auto"/>
            </w:tcBorders>
            <w:vAlign w:val="center"/>
          </w:tcPr>
          <w:p w14:paraId="69843B24" w14:textId="77777777" w:rsidR="002A384F" w:rsidRDefault="002A384F" w:rsidP="00B52E7C">
            <w:pPr>
              <w:pStyle w:val="TAC"/>
              <w:rPr>
                <w:rFonts w:cs="Arial"/>
                <w:kern w:val="24"/>
                <w:szCs w:val="18"/>
                <w:lang w:eastAsia="en-GB"/>
              </w:rPr>
            </w:pPr>
            <w:r>
              <w:rPr>
                <w:rFonts w:cs="Arial"/>
                <w:kern w:val="24"/>
                <w:szCs w:val="18"/>
                <w:lang w:eastAsia="en-GB"/>
              </w:rPr>
              <w:t>1</w:t>
            </w:r>
          </w:p>
        </w:tc>
        <w:tc>
          <w:tcPr>
            <w:tcW w:w="1543" w:type="dxa"/>
            <w:tcBorders>
              <w:top w:val="single" w:sz="4" w:space="0" w:color="auto"/>
              <w:left w:val="single" w:sz="4" w:space="0" w:color="auto"/>
              <w:bottom w:val="single" w:sz="4" w:space="0" w:color="auto"/>
              <w:right w:val="single" w:sz="4" w:space="0" w:color="auto"/>
            </w:tcBorders>
            <w:vAlign w:val="center"/>
          </w:tcPr>
          <w:p w14:paraId="10DDC932" w14:textId="77777777" w:rsidR="002A384F" w:rsidRDefault="002A384F" w:rsidP="00B52E7C">
            <w:pPr>
              <w:pStyle w:val="TAC"/>
              <w:rPr>
                <w:rFonts w:cs="Arial"/>
                <w:kern w:val="24"/>
                <w:szCs w:val="18"/>
                <w:lang w:eastAsia="en-GB"/>
              </w:rPr>
            </w:pPr>
            <w:r>
              <w:rPr>
                <w:rFonts w:cs="Arial"/>
                <w:kern w:val="24"/>
                <w:szCs w:val="18"/>
                <w:lang w:eastAsia="en-GB"/>
              </w:rPr>
              <w:t>96</w:t>
            </w:r>
          </w:p>
        </w:tc>
        <w:tc>
          <w:tcPr>
            <w:tcW w:w="1826" w:type="dxa"/>
            <w:tcBorders>
              <w:top w:val="single" w:sz="4" w:space="0" w:color="auto"/>
              <w:left w:val="single" w:sz="4" w:space="0" w:color="auto"/>
              <w:bottom w:val="single" w:sz="4" w:space="0" w:color="auto"/>
              <w:right w:val="single" w:sz="4" w:space="0" w:color="auto"/>
            </w:tcBorders>
            <w:vAlign w:val="center"/>
          </w:tcPr>
          <w:p w14:paraId="277C32F8" w14:textId="77777777" w:rsidR="002A384F" w:rsidRDefault="002A384F" w:rsidP="00B52E7C">
            <w:pPr>
              <w:pStyle w:val="TAC"/>
              <w:rPr>
                <w:rFonts w:cs="Arial"/>
                <w:kern w:val="24"/>
                <w:szCs w:val="18"/>
                <w:lang w:eastAsia="en-GB"/>
              </w:rPr>
            </w:pPr>
            <w:r>
              <w:rPr>
                <w:rFonts w:cs="Arial"/>
                <w:kern w:val="24"/>
                <w:szCs w:val="18"/>
                <w:lang w:eastAsia="en-GB"/>
              </w:rPr>
              <w:t>2</w:t>
            </w:r>
          </w:p>
        </w:tc>
        <w:tc>
          <w:tcPr>
            <w:tcW w:w="1451" w:type="dxa"/>
            <w:tcBorders>
              <w:top w:val="single" w:sz="4" w:space="0" w:color="auto"/>
              <w:left w:val="single" w:sz="4" w:space="0" w:color="auto"/>
              <w:bottom w:val="single" w:sz="4" w:space="0" w:color="auto"/>
              <w:right w:val="single" w:sz="4" w:space="0" w:color="auto"/>
            </w:tcBorders>
            <w:vAlign w:val="center"/>
          </w:tcPr>
          <w:p w14:paraId="62BC2996" w14:textId="77777777" w:rsidR="002A384F" w:rsidRDefault="002A384F" w:rsidP="00B52E7C">
            <w:pPr>
              <w:pStyle w:val="TAC"/>
              <w:rPr>
                <w:lang w:eastAsia="en-GB"/>
              </w:rPr>
            </w:pPr>
            <w:r>
              <w:rPr>
                <w:lang w:eastAsia="en-GB"/>
              </w:rPr>
              <w:t>0</w:t>
            </w:r>
          </w:p>
        </w:tc>
      </w:tr>
      <w:tr w:rsidR="006A7896" w14:paraId="427F858C" w14:textId="77777777" w:rsidTr="00B52E7C">
        <w:trPr>
          <w:cantSplit/>
        </w:trPr>
        <w:tc>
          <w:tcPr>
            <w:tcW w:w="792" w:type="dxa"/>
            <w:tcBorders>
              <w:top w:val="single" w:sz="4" w:space="0" w:color="auto"/>
              <w:left w:val="single" w:sz="4" w:space="0" w:color="auto"/>
              <w:bottom w:val="single" w:sz="4" w:space="0" w:color="auto"/>
              <w:right w:val="double" w:sz="4" w:space="0" w:color="auto"/>
            </w:tcBorders>
            <w:vAlign w:val="center"/>
            <w:hideMark/>
          </w:tcPr>
          <w:p w14:paraId="3DDB12DE" w14:textId="77777777" w:rsidR="006A7896" w:rsidRDefault="006A7896" w:rsidP="006A7896">
            <w:pPr>
              <w:pStyle w:val="TAC"/>
              <w:rPr>
                <w:lang w:eastAsia="en-GB"/>
              </w:rPr>
            </w:pPr>
            <w:r>
              <w:rPr>
                <w:lang w:eastAsia="en-GB"/>
              </w:rPr>
              <w:t>11</w:t>
            </w:r>
          </w:p>
        </w:tc>
        <w:tc>
          <w:tcPr>
            <w:tcW w:w="3314" w:type="dxa"/>
            <w:tcBorders>
              <w:top w:val="single" w:sz="4" w:space="0" w:color="auto"/>
              <w:left w:val="double" w:sz="4" w:space="0" w:color="auto"/>
              <w:bottom w:val="single" w:sz="4" w:space="0" w:color="auto"/>
              <w:right w:val="single" w:sz="4" w:space="0" w:color="auto"/>
            </w:tcBorders>
            <w:vAlign w:val="center"/>
          </w:tcPr>
          <w:p w14:paraId="186FAD83" w14:textId="0E7EAED7" w:rsidR="006A7896" w:rsidRDefault="006A7896" w:rsidP="006A7896">
            <w:pPr>
              <w:pStyle w:val="TAC"/>
              <w:rPr>
                <w:rFonts w:cs="Arial"/>
                <w:kern w:val="24"/>
                <w:szCs w:val="18"/>
                <w:lang w:eastAsia="en-GB"/>
              </w:rPr>
            </w:pPr>
            <w:r w:rsidRPr="0069094D">
              <w:rPr>
                <w:kern w:val="24"/>
                <w:szCs w:val="18"/>
                <w:lang w:eastAsia="en-GB"/>
              </w:rPr>
              <w:t>1</w:t>
            </w:r>
          </w:p>
        </w:tc>
        <w:tc>
          <w:tcPr>
            <w:tcW w:w="1543" w:type="dxa"/>
            <w:tcBorders>
              <w:top w:val="single" w:sz="4" w:space="0" w:color="auto"/>
              <w:left w:val="single" w:sz="4" w:space="0" w:color="auto"/>
              <w:bottom w:val="single" w:sz="4" w:space="0" w:color="auto"/>
              <w:right w:val="single" w:sz="4" w:space="0" w:color="auto"/>
            </w:tcBorders>
            <w:vAlign w:val="center"/>
          </w:tcPr>
          <w:p w14:paraId="0F602C6C" w14:textId="2D0621BC" w:rsidR="006A7896" w:rsidRDefault="006A7896" w:rsidP="006A7896">
            <w:pPr>
              <w:pStyle w:val="TAC"/>
              <w:rPr>
                <w:rFonts w:cs="Arial"/>
                <w:kern w:val="24"/>
                <w:szCs w:val="18"/>
                <w:lang w:eastAsia="en-GB"/>
              </w:rPr>
            </w:pPr>
            <w:r w:rsidRPr="0069094D">
              <w:rPr>
                <w:kern w:val="24"/>
                <w:szCs w:val="18"/>
                <w:lang w:eastAsia="en-GB"/>
              </w:rPr>
              <w:t>96</w:t>
            </w:r>
          </w:p>
        </w:tc>
        <w:tc>
          <w:tcPr>
            <w:tcW w:w="1826" w:type="dxa"/>
            <w:tcBorders>
              <w:top w:val="single" w:sz="4" w:space="0" w:color="auto"/>
              <w:left w:val="single" w:sz="4" w:space="0" w:color="auto"/>
              <w:bottom w:val="single" w:sz="4" w:space="0" w:color="auto"/>
              <w:right w:val="single" w:sz="4" w:space="0" w:color="auto"/>
            </w:tcBorders>
            <w:vAlign w:val="center"/>
          </w:tcPr>
          <w:p w14:paraId="7794D6B1" w14:textId="6AC5F657" w:rsidR="006A7896" w:rsidRDefault="006A7896" w:rsidP="006A7896">
            <w:pPr>
              <w:pStyle w:val="TAC"/>
              <w:rPr>
                <w:rFonts w:cs="Arial"/>
                <w:kern w:val="24"/>
                <w:szCs w:val="18"/>
                <w:lang w:eastAsia="en-GB"/>
              </w:rPr>
            </w:pPr>
            <w:r>
              <w:rPr>
                <w:rFonts w:cs="Arial"/>
                <w:kern w:val="24"/>
                <w:szCs w:val="18"/>
                <w:lang w:eastAsia="en-GB"/>
              </w:rPr>
              <w:t>2</w:t>
            </w:r>
          </w:p>
        </w:tc>
        <w:tc>
          <w:tcPr>
            <w:tcW w:w="1451" w:type="dxa"/>
            <w:tcBorders>
              <w:top w:val="single" w:sz="4" w:space="0" w:color="auto"/>
              <w:left w:val="single" w:sz="4" w:space="0" w:color="auto"/>
              <w:bottom w:val="single" w:sz="4" w:space="0" w:color="auto"/>
              <w:right w:val="single" w:sz="4" w:space="0" w:color="auto"/>
            </w:tcBorders>
            <w:vAlign w:val="center"/>
          </w:tcPr>
          <w:p w14:paraId="23FD2BA1" w14:textId="0A27BFA6" w:rsidR="006A7896" w:rsidRDefault="006A7896" w:rsidP="006A7896">
            <w:pPr>
              <w:pStyle w:val="TAC"/>
              <w:rPr>
                <w:lang w:eastAsia="en-GB"/>
              </w:rPr>
            </w:pPr>
            <w:r w:rsidRPr="0069094D">
              <w:rPr>
                <w:lang w:eastAsia="en-GB"/>
              </w:rPr>
              <w:t>76</w:t>
            </w:r>
          </w:p>
        </w:tc>
      </w:tr>
      <w:tr w:rsidR="002A384F" w14:paraId="648E5998" w14:textId="77777777" w:rsidTr="00B52E7C">
        <w:trPr>
          <w:cantSplit/>
        </w:trPr>
        <w:tc>
          <w:tcPr>
            <w:tcW w:w="792" w:type="dxa"/>
            <w:tcBorders>
              <w:top w:val="single" w:sz="4" w:space="0" w:color="auto"/>
              <w:left w:val="single" w:sz="4" w:space="0" w:color="auto"/>
              <w:bottom w:val="single" w:sz="4" w:space="0" w:color="auto"/>
              <w:right w:val="double" w:sz="4" w:space="0" w:color="auto"/>
            </w:tcBorders>
            <w:vAlign w:val="center"/>
            <w:hideMark/>
          </w:tcPr>
          <w:p w14:paraId="31331F55" w14:textId="77777777" w:rsidR="002A384F" w:rsidRDefault="002A384F" w:rsidP="00B52E7C">
            <w:pPr>
              <w:pStyle w:val="TAC"/>
              <w:rPr>
                <w:lang w:eastAsia="en-GB"/>
              </w:rPr>
            </w:pPr>
            <w:r>
              <w:rPr>
                <w:lang w:eastAsia="en-GB"/>
              </w:rPr>
              <w:t>12</w:t>
            </w:r>
          </w:p>
        </w:tc>
        <w:tc>
          <w:tcPr>
            <w:tcW w:w="3314" w:type="dxa"/>
            <w:tcBorders>
              <w:top w:val="single" w:sz="4" w:space="0" w:color="auto"/>
              <w:left w:val="double" w:sz="4" w:space="0" w:color="auto"/>
              <w:bottom w:val="single" w:sz="4" w:space="0" w:color="auto"/>
              <w:right w:val="single" w:sz="4" w:space="0" w:color="auto"/>
            </w:tcBorders>
            <w:vAlign w:val="center"/>
          </w:tcPr>
          <w:p w14:paraId="1145C0B2" w14:textId="77777777" w:rsidR="002A384F" w:rsidRDefault="002A384F" w:rsidP="00B52E7C">
            <w:pPr>
              <w:pStyle w:val="TAC"/>
              <w:rPr>
                <w:rFonts w:cs="Arial"/>
                <w:kern w:val="24"/>
                <w:szCs w:val="18"/>
                <w:lang w:eastAsia="en-GB"/>
              </w:rPr>
            </w:pPr>
            <w:r>
              <w:rPr>
                <w:rFonts w:cs="Arial"/>
                <w:kern w:val="24"/>
                <w:szCs w:val="18"/>
                <w:lang w:eastAsia="en-GB"/>
              </w:rPr>
              <w:t>3</w:t>
            </w:r>
          </w:p>
        </w:tc>
        <w:tc>
          <w:tcPr>
            <w:tcW w:w="1543" w:type="dxa"/>
            <w:tcBorders>
              <w:top w:val="single" w:sz="4" w:space="0" w:color="auto"/>
              <w:left w:val="single" w:sz="4" w:space="0" w:color="auto"/>
              <w:bottom w:val="single" w:sz="4" w:space="0" w:color="auto"/>
              <w:right w:val="single" w:sz="4" w:space="0" w:color="auto"/>
            </w:tcBorders>
            <w:vAlign w:val="center"/>
          </w:tcPr>
          <w:p w14:paraId="3BFE24B6" w14:textId="77777777" w:rsidR="002A384F" w:rsidRDefault="002A384F" w:rsidP="00B52E7C">
            <w:pPr>
              <w:pStyle w:val="TAC"/>
              <w:rPr>
                <w:rFonts w:cs="Arial"/>
                <w:kern w:val="24"/>
                <w:szCs w:val="18"/>
                <w:lang w:eastAsia="en-GB"/>
              </w:rPr>
            </w:pPr>
            <w:r>
              <w:rPr>
                <w:rFonts w:cs="Arial"/>
                <w:kern w:val="24"/>
                <w:szCs w:val="18"/>
                <w:lang w:eastAsia="en-GB"/>
              </w:rPr>
              <w:t>24</w:t>
            </w:r>
          </w:p>
        </w:tc>
        <w:tc>
          <w:tcPr>
            <w:tcW w:w="1826" w:type="dxa"/>
            <w:tcBorders>
              <w:top w:val="single" w:sz="4" w:space="0" w:color="auto"/>
              <w:left w:val="single" w:sz="4" w:space="0" w:color="auto"/>
              <w:bottom w:val="single" w:sz="4" w:space="0" w:color="auto"/>
              <w:right w:val="single" w:sz="4" w:space="0" w:color="auto"/>
            </w:tcBorders>
            <w:vAlign w:val="center"/>
          </w:tcPr>
          <w:p w14:paraId="1FD32EDD" w14:textId="77777777" w:rsidR="002A384F" w:rsidRDefault="002A384F" w:rsidP="00B52E7C">
            <w:pPr>
              <w:pStyle w:val="TAC"/>
              <w:rPr>
                <w:rFonts w:cs="Arial"/>
                <w:kern w:val="24"/>
                <w:szCs w:val="18"/>
                <w:lang w:eastAsia="en-GB"/>
              </w:rPr>
            </w:pPr>
            <w:r>
              <w:rPr>
                <w:rFonts w:cs="Arial"/>
                <w:kern w:val="24"/>
                <w:szCs w:val="18"/>
                <w:lang w:eastAsia="en-GB"/>
              </w:rPr>
              <w:t>2</w:t>
            </w:r>
          </w:p>
        </w:tc>
        <w:tc>
          <w:tcPr>
            <w:tcW w:w="1451" w:type="dxa"/>
            <w:tcBorders>
              <w:top w:val="single" w:sz="4" w:space="0" w:color="auto"/>
              <w:left w:val="single" w:sz="4" w:space="0" w:color="auto"/>
              <w:bottom w:val="single" w:sz="4" w:space="0" w:color="auto"/>
              <w:right w:val="single" w:sz="4" w:space="0" w:color="auto"/>
            </w:tcBorders>
            <w:vAlign w:val="center"/>
          </w:tcPr>
          <w:p w14:paraId="03B99879" w14:textId="77777777" w:rsidR="002A384F" w:rsidRDefault="002A384F" w:rsidP="00B52E7C">
            <w:pPr>
              <w:pStyle w:val="TAC"/>
              <w:rPr>
                <w:lang w:val="en-US"/>
              </w:rPr>
            </w:pPr>
            <w:r>
              <w:rPr>
                <w:lang w:eastAsia="en-GB"/>
              </w:rPr>
              <w:t xml:space="preserve">-20 if </w:t>
            </w:r>
            <m:oMath>
              <m:sSub>
                <m:sSubPr>
                  <m:ctrlPr>
                    <w:rPr>
                      <w:rFonts w:ascii="Cambria Math" w:hAnsi="Cambria Math"/>
                      <w:iCs/>
                      <w:sz w:val="24"/>
                      <w:szCs w:val="24"/>
                    </w:rPr>
                  </m:ctrlPr>
                </m:sSubPr>
                <m:e>
                  <m:r>
                    <w:rPr>
                      <w:rFonts w:ascii="Cambria Math" w:hAnsi="Cambria Math"/>
                      <w:lang w:val="en-US"/>
                    </w:rPr>
                    <m:t>k</m:t>
                  </m:r>
                </m:e>
                <m:sub>
                  <m:r>
                    <m:rPr>
                      <m:sty m:val="p"/>
                    </m:rPr>
                    <w:rPr>
                      <w:rFonts w:ascii="Cambria Math" w:hAnsi="Cambria Math"/>
                      <w:lang w:val="en-US"/>
                    </w:rPr>
                    <m:t>SSB</m:t>
                  </m:r>
                </m:sub>
              </m:sSub>
              <m:r>
                <w:rPr>
                  <w:rFonts w:ascii="Cambria Math" w:hAnsi="Cambria Math"/>
                  <w:lang w:val="en-US"/>
                </w:rPr>
                <m:t>=0</m:t>
              </m:r>
            </m:oMath>
          </w:p>
          <w:p w14:paraId="021B18AD" w14:textId="77777777" w:rsidR="002A384F" w:rsidRDefault="002A384F" w:rsidP="00B52E7C">
            <w:pPr>
              <w:pStyle w:val="TAC"/>
              <w:rPr>
                <w:lang w:eastAsia="en-GB"/>
              </w:rPr>
            </w:pPr>
            <w:r>
              <w:rPr>
                <w:lang w:val="en-US"/>
              </w:rPr>
              <w:t xml:space="preserve">-21 if </w:t>
            </w:r>
            <m:oMath>
              <m:sSub>
                <m:sSubPr>
                  <m:ctrlPr>
                    <w:rPr>
                      <w:rFonts w:ascii="Cambria Math" w:hAnsi="Cambria Math"/>
                      <w:iCs/>
                      <w:sz w:val="24"/>
                      <w:szCs w:val="24"/>
                    </w:rPr>
                  </m:ctrlPr>
                </m:sSubPr>
                <m:e>
                  <m:r>
                    <w:rPr>
                      <w:rFonts w:ascii="Cambria Math" w:hAnsi="Cambria Math"/>
                      <w:lang w:val="en-US"/>
                    </w:rPr>
                    <m:t>k</m:t>
                  </m:r>
                </m:e>
                <m:sub>
                  <m:r>
                    <m:rPr>
                      <m:sty m:val="p"/>
                    </m:rPr>
                    <w:rPr>
                      <w:rFonts w:ascii="Cambria Math" w:hAnsi="Cambria Math"/>
                      <w:lang w:val="en-US"/>
                    </w:rPr>
                    <m:t>SSB</m:t>
                  </m:r>
                </m:sub>
              </m:sSub>
              <m:r>
                <w:rPr>
                  <w:rFonts w:ascii="Cambria Math" w:hAnsi="Cambria Math"/>
                  <w:lang w:val="en-US"/>
                </w:rPr>
                <m:t>&gt;0</m:t>
              </m:r>
            </m:oMath>
          </w:p>
        </w:tc>
      </w:tr>
      <w:tr w:rsidR="002A384F" w14:paraId="4BE20121" w14:textId="77777777" w:rsidTr="00B52E7C">
        <w:trPr>
          <w:cantSplit/>
        </w:trPr>
        <w:tc>
          <w:tcPr>
            <w:tcW w:w="792" w:type="dxa"/>
            <w:tcBorders>
              <w:top w:val="single" w:sz="4" w:space="0" w:color="auto"/>
              <w:left w:val="single" w:sz="4" w:space="0" w:color="auto"/>
              <w:bottom w:val="single" w:sz="4" w:space="0" w:color="auto"/>
              <w:right w:val="double" w:sz="4" w:space="0" w:color="auto"/>
            </w:tcBorders>
            <w:vAlign w:val="center"/>
            <w:hideMark/>
          </w:tcPr>
          <w:p w14:paraId="441017A1" w14:textId="77777777" w:rsidR="002A384F" w:rsidRDefault="002A384F" w:rsidP="00B52E7C">
            <w:pPr>
              <w:pStyle w:val="TAC"/>
              <w:rPr>
                <w:lang w:eastAsia="en-GB"/>
              </w:rPr>
            </w:pPr>
            <w:r>
              <w:rPr>
                <w:lang w:eastAsia="en-GB"/>
              </w:rPr>
              <w:t>13</w:t>
            </w:r>
          </w:p>
        </w:tc>
        <w:tc>
          <w:tcPr>
            <w:tcW w:w="3314" w:type="dxa"/>
            <w:tcBorders>
              <w:top w:val="single" w:sz="4" w:space="0" w:color="auto"/>
              <w:left w:val="double" w:sz="4" w:space="0" w:color="auto"/>
              <w:bottom w:val="single" w:sz="4" w:space="0" w:color="auto"/>
              <w:right w:val="single" w:sz="4" w:space="0" w:color="auto"/>
            </w:tcBorders>
            <w:vAlign w:val="center"/>
          </w:tcPr>
          <w:p w14:paraId="38674C30" w14:textId="77777777" w:rsidR="002A384F" w:rsidRDefault="002A384F" w:rsidP="00B52E7C">
            <w:pPr>
              <w:pStyle w:val="TAC"/>
              <w:rPr>
                <w:rFonts w:cs="Arial"/>
                <w:kern w:val="24"/>
                <w:szCs w:val="18"/>
                <w:lang w:eastAsia="en-GB"/>
              </w:rPr>
            </w:pPr>
            <w:r>
              <w:rPr>
                <w:rFonts w:cs="Arial"/>
                <w:kern w:val="24"/>
                <w:szCs w:val="18"/>
                <w:lang w:eastAsia="en-GB"/>
              </w:rPr>
              <w:t>3</w:t>
            </w:r>
          </w:p>
        </w:tc>
        <w:tc>
          <w:tcPr>
            <w:tcW w:w="1543" w:type="dxa"/>
            <w:tcBorders>
              <w:top w:val="single" w:sz="4" w:space="0" w:color="auto"/>
              <w:left w:val="single" w:sz="4" w:space="0" w:color="auto"/>
              <w:bottom w:val="single" w:sz="4" w:space="0" w:color="auto"/>
              <w:right w:val="single" w:sz="4" w:space="0" w:color="auto"/>
            </w:tcBorders>
            <w:vAlign w:val="center"/>
          </w:tcPr>
          <w:p w14:paraId="6DE298F6" w14:textId="77777777" w:rsidR="002A384F" w:rsidRDefault="002A384F" w:rsidP="00B52E7C">
            <w:pPr>
              <w:pStyle w:val="TAC"/>
              <w:rPr>
                <w:rFonts w:cs="Arial"/>
                <w:kern w:val="24"/>
                <w:szCs w:val="18"/>
                <w:lang w:eastAsia="en-GB"/>
              </w:rPr>
            </w:pPr>
            <w:r>
              <w:rPr>
                <w:rFonts w:cs="Arial"/>
                <w:kern w:val="24"/>
                <w:szCs w:val="18"/>
                <w:lang w:eastAsia="en-GB"/>
              </w:rPr>
              <w:t>24</w:t>
            </w:r>
          </w:p>
        </w:tc>
        <w:tc>
          <w:tcPr>
            <w:tcW w:w="1826" w:type="dxa"/>
            <w:tcBorders>
              <w:top w:val="single" w:sz="4" w:space="0" w:color="auto"/>
              <w:left w:val="single" w:sz="4" w:space="0" w:color="auto"/>
              <w:bottom w:val="single" w:sz="4" w:space="0" w:color="auto"/>
              <w:right w:val="single" w:sz="4" w:space="0" w:color="auto"/>
            </w:tcBorders>
            <w:vAlign w:val="center"/>
          </w:tcPr>
          <w:p w14:paraId="2913192B" w14:textId="77777777" w:rsidR="002A384F" w:rsidRDefault="002A384F" w:rsidP="00B52E7C">
            <w:pPr>
              <w:pStyle w:val="TAC"/>
              <w:rPr>
                <w:rFonts w:cs="Arial"/>
                <w:kern w:val="24"/>
                <w:szCs w:val="18"/>
                <w:lang w:eastAsia="en-GB"/>
              </w:rPr>
            </w:pPr>
            <w:r>
              <w:rPr>
                <w:rFonts w:cs="Arial"/>
                <w:kern w:val="24"/>
                <w:szCs w:val="18"/>
                <w:lang w:eastAsia="en-GB"/>
              </w:rPr>
              <w:t>2</w:t>
            </w:r>
          </w:p>
        </w:tc>
        <w:tc>
          <w:tcPr>
            <w:tcW w:w="1451" w:type="dxa"/>
            <w:tcBorders>
              <w:top w:val="single" w:sz="4" w:space="0" w:color="auto"/>
              <w:left w:val="single" w:sz="4" w:space="0" w:color="auto"/>
              <w:bottom w:val="single" w:sz="4" w:space="0" w:color="auto"/>
              <w:right w:val="single" w:sz="4" w:space="0" w:color="auto"/>
            </w:tcBorders>
            <w:vAlign w:val="center"/>
          </w:tcPr>
          <w:p w14:paraId="5CB94D94" w14:textId="6FF52C3A" w:rsidR="002A384F" w:rsidRDefault="002A384F" w:rsidP="00B52E7C">
            <w:pPr>
              <w:pStyle w:val="TAC"/>
              <w:rPr>
                <w:lang w:eastAsia="en-GB"/>
              </w:rPr>
            </w:pPr>
            <w:r>
              <w:rPr>
                <w:lang w:eastAsia="en-GB"/>
              </w:rPr>
              <w:t>24</w:t>
            </w:r>
          </w:p>
        </w:tc>
      </w:tr>
      <w:tr w:rsidR="002A384F" w14:paraId="7F97C994" w14:textId="77777777" w:rsidTr="00B52E7C">
        <w:trPr>
          <w:cantSplit/>
        </w:trPr>
        <w:tc>
          <w:tcPr>
            <w:tcW w:w="792" w:type="dxa"/>
            <w:tcBorders>
              <w:top w:val="single" w:sz="4" w:space="0" w:color="auto"/>
              <w:left w:val="single" w:sz="4" w:space="0" w:color="auto"/>
              <w:bottom w:val="single" w:sz="4" w:space="0" w:color="auto"/>
              <w:right w:val="double" w:sz="4" w:space="0" w:color="auto"/>
            </w:tcBorders>
            <w:vAlign w:val="center"/>
            <w:hideMark/>
          </w:tcPr>
          <w:p w14:paraId="38522B13" w14:textId="77777777" w:rsidR="002A384F" w:rsidRDefault="002A384F" w:rsidP="00B52E7C">
            <w:pPr>
              <w:pStyle w:val="TAC"/>
              <w:rPr>
                <w:lang w:eastAsia="en-GB"/>
              </w:rPr>
            </w:pPr>
            <w:r>
              <w:rPr>
                <w:lang w:eastAsia="en-GB"/>
              </w:rPr>
              <w:t>14</w:t>
            </w:r>
          </w:p>
        </w:tc>
        <w:tc>
          <w:tcPr>
            <w:tcW w:w="3314" w:type="dxa"/>
            <w:tcBorders>
              <w:top w:val="single" w:sz="4" w:space="0" w:color="auto"/>
              <w:left w:val="double" w:sz="4" w:space="0" w:color="auto"/>
              <w:bottom w:val="single" w:sz="4" w:space="0" w:color="auto"/>
              <w:right w:val="single" w:sz="4" w:space="0" w:color="auto"/>
            </w:tcBorders>
            <w:vAlign w:val="center"/>
          </w:tcPr>
          <w:p w14:paraId="434B5ACF" w14:textId="77777777" w:rsidR="002A384F" w:rsidRDefault="002A384F" w:rsidP="00B52E7C">
            <w:pPr>
              <w:pStyle w:val="TAC"/>
              <w:rPr>
                <w:rFonts w:cs="Arial"/>
                <w:kern w:val="24"/>
                <w:szCs w:val="18"/>
                <w:lang w:eastAsia="en-GB"/>
              </w:rPr>
            </w:pPr>
            <w:r>
              <w:rPr>
                <w:rFonts w:cs="Arial"/>
                <w:kern w:val="24"/>
                <w:szCs w:val="18"/>
                <w:lang w:eastAsia="en-GB"/>
              </w:rPr>
              <w:t>3</w:t>
            </w:r>
          </w:p>
        </w:tc>
        <w:tc>
          <w:tcPr>
            <w:tcW w:w="1543" w:type="dxa"/>
            <w:tcBorders>
              <w:top w:val="single" w:sz="4" w:space="0" w:color="auto"/>
              <w:left w:val="single" w:sz="4" w:space="0" w:color="auto"/>
              <w:bottom w:val="single" w:sz="4" w:space="0" w:color="auto"/>
              <w:right w:val="single" w:sz="4" w:space="0" w:color="auto"/>
            </w:tcBorders>
            <w:vAlign w:val="center"/>
          </w:tcPr>
          <w:p w14:paraId="3CE7880C" w14:textId="77777777" w:rsidR="002A384F" w:rsidRDefault="002A384F" w:rsidP="00B52E7C">
            <w:pPr>
              <w:pStyle w:val="TAC"/>
              <w:rPr>
                <w:rFonts w:cs="Arial"/>
                <w:kern w:val="24"/>
                <w:szCs w:val="18"/>
                <w:lang w:eastAsia="en-GB"/>
              </w:rPr>
            </w:pPr>
            <w:r>
              <w:rPr>
                <w:rFonts w:cs="Arial"/>
                <w:kern w:val="24"/>
                <w:szCs w:val="18"/>
                <w:lang w:eastAsia="en-GB"/>
              </w:rPr>
              <w:t>48</w:t>
            </w:r>
          </w:p>
        </w:tc>
        <w:tc>
          <w:tcPr>
            <w:tcW w:w="1826" w:type="dxa"/>
            <w:tcBorders>
              <w:top w:val="single" w:sz="4" w:space="0" w:color="auto"/>
              <w:left w:val="single" w:sz="4" w:space="0" w:color="auto"/>
              <w:bottom w:val="single" w:sz="4" w:space="0" w:color="auto"/>
              <w:right w:val="single" w:sz="4" w:space="0" w:color="auto"/>
            </w:tcBorders>
            <w:vAlign w:val="center"/>
          </w:tcPr>
          <w:p w14:paraId="195B0DD4" w14:textId="77777777" w:rsidR="002A384F" w:rsidRDefault="002A384F" w:rsidP="00B52E7C">
            <w:pPr>
              <w:pStyle w:val="TAC"/>
              <w:rPr>
                <w:rFonts w:cs="Arial"/>
                <w:kern w:val="24"/>
                <w:szCs w:val="18"/>
                <w:lang w:eastAsia="en-GB"/>
              </w:rPr>
            </w:pPr>
            <w:r>
              <w:rPr>
                <w:rFonts w:cs="Arial"/>
                <w:kern w:val="24"/>
                <w:szCs w:val="18"/>
                <w:lang w:eastAsia="en-GB"/>
              </w:rPr>
              <w:t>2</w:t>
            </w:r>
          </w:p>
        </w:tc>
        <w:tc>
          <w:tcPr>
            <w:tcW w:w="1451" w:type="dxa"/>
            <w:tcBorders>
              <w:top w:val="single" w:sz="4" w:space="0" w:color="auto"/>
              <w:left w:val="single" w:sz="4" w:space="0" w:color="auto"/>
              <w:bottom w:val="single" w:sz="4" w:space="0" w:color="auto"/>
              <w:right w:val="single" w:sz="4" w:space="0" w:color="auto"/>
            </w:tcBorders>
            <w:vAlign w:val="center"/>
          </w:tcPr>
          <w:p w14:paraId="552E2CD8" w14:textId="77777777" w:rsidR="002A384F" w:rsidRDefault="002A384F" w:rsidP="00B52E7C">
            <w:pPr>
              <w:pStyle w:val="TAC"/>
              <w:rPr>
                <w:lang w:val="en-US"/>
              </w:rPr>
            </w:pPr>
            <w:r>
              <w:rPr>
                <w:lang w:eastAsia="en-GB"/>
              </w:rPr>
              <w:t xml:space="preserve">-20 if </w:t>
            </w:r>
            <m:oMath>
              <m:sSub>
                <m:sSubPr>
                  <m:ctrlPr>
                    <w:rPr>
                      <w:rFonts w:ascii="Cambria Math" w:hAnsi="Cambria Math"/>
                      <w:iCs/>
                      <w:sz w:val="24"/>
                      <w:szCs w:val="24"/>
                    </w:rPr>
                  </m:ctrlPr>
                </m:sSubPr>
                <m:e>
                  <m:r>
                    <w:rPr>
                      <w:rFonts w:ascii="Cambria Math" w:hAnsi="Cambria Math"/>
                      <w:lang w:val="en-US"/>
                    </w:rPr>
                    <m:t>k</m:t>
                  </m:r>
                </m:e>
                <m:sub>
                  <m:r>
                    <m:rPr>
                      <m:sty m:val="p"/>
                    </m:rPr>
                    <w:rPr>
                      <w:rFonts w:ascii="Cambria Math" w:hAnsi="Cambria Math"/>
                      <w:lang w:val="en-US"/>
                    </w:rPr>
                    <m:t>SSB</m:t>
                  </m:r>
                </m:sub>
              </m:sSub>
              <m:r>
                <w:rPr>
                  <w:rFonts w:ascii="Cambria Math" w:hAnsi="Cambria Math"/>
                  <w:lang w:val="en-US"/>
                </w:rPr>
                <m:t>=0</m:t>
              </m:r>
            </m:oMath>
          </w:p>
          <w:p w14:paraId="677B4876" w14:textId="77777777" w:rsidR="002A384F" w:rsidRDefault="002A384F" w:rsidP="00B52E7C">
            <w:pPr>
              <w:pStyle w:val="TAC"/>
              <w:rPr>
                <w:lang w:eastAsia="en-GB"/>
              </w:rPr>
            </w:pPr>
            <w:r>
              <w:rPr>
                <w:lang w:val="en-US"/>
              </w:rPr>
              <w:t xml:space="preserve">-21 if </w:t>
            </w:r>
            <m:oMath>
              <m:sSub>
                <m:sSubPr>
                  <m:ctrlPr>
                    <w:rPr>
                      <w:rFonts w:ascii="Cambria Math" w:hAnsi="Cambria Math"/>
                      <w:iCs/>
                      <w:sz w:val="24"/>
                      <w:szCs w:val="24"/>
                    </w:rPr>
                  </m:ctrlPr>
                </m:sSubPr>
                <m:e>
                  <m:r>
                    <w:rPr>
                      <w:rFonts w:ascii="Cambria Math" w:hAnsi="Cambria Math"/>
                      <w:lang w:val="en-US"/>
                    </w:rPr>
                    <m:t>k</m:t>
                  </m:r>
                </m:e>
                <m:sub>
                  <m:r>
                    <m:rPr>
                      <m:sty m:val="p"/>
                    </m:rPr>
                    <w:rPr>
                      <w:rFonts w:ascii="Cambria Math" w:hAnsi="Cambria Math"/>
                      <w:lang w:val="en-US"/>
                    </w:rPr>
                    <m:t>SSB</m:t>
                  </m:r>
                </m:sub>
              </m:sSub>
              <m:r>
                <w:rPr>
                  <w:rFonts w:ascii="Cambria Math" w:hAnsi="Cambria Math"/>
                  <w:lang w:val="en-US"/>
                </w:rPr>
                <m:t>&gt;0</m:t>
              </m:r>
            </m:oMath>
          </w:p>
        </w:tc>
      </w:tr>
      <w:tr w:rsidR="002A384F" w14:paraId="1AB68C25" w14:textId="77777777" w:rsidTr="00B52E7C">
        <w:trPr>
          <w:cantSplit/>
        </w:trPr>
        <w:tc>
          <w:tcPr>
            <w:tcW w:w="792" w:type="dxa"/>
            <w:tcBorders>
              <w:top w:val="single" w:sz="4" w:space="0" w:color="auto"/>
              <w:left w:val="single" w:sz="4" w:space="0" w:color="auto"/>
              <w:bottom w:val="single" w:sz="4" w:space="0" w:color="auto"/>
              <w:right w:val="double" w:sz="4" w:space="0" w:color="auto"/>
            </w:tcBorders>
            <w:vAlign w:val="center"/>
            <w:hideMark/>
          </w:tcPr>
          <w:p w14:paraId="7D1D367C" w14:textId="77777777" w:rsidR="002A384F" w:rsidRDefault="002A384F" w:rsidP="00B52E7C">
            <w:pPr>
              <w:pStyle w:val="TAC"/>
              <w:rPr>
                <w:lang w:eastAsia="en-GB"/>
              </w:rPr>
            </w:pPr>
            <w:r>
              <w:rPr>
                <w:lang w:eastAsia="en-GB"/>
              </w:rPr>
              <w:t>15</w:t>
            </w:r>
          </w:p>
        </w:tc>
        <w:tc>
          <w:tcPr>
            <w:tcW w:w="3314" w:type="dxa"/>
            <w:tcBorders>
              <w:top w:val="single" w:sz="4" w:space="0" w:color="auto"/>
              <w:left w:val="double" w:sz="4" w:space="0" w:color="auto"/>
              <w:bottom w:val="single" w:sz="4" w:space="0" w:color="auto"/>
              <w:right w:val="single" w:sz="4" w:space="0" w:color="auto"/>
            </w:tcBorders>
            <w:vAlign w:val="center"/>
          </w:tcPr>
          <w:p w14:paraId="64C03FD6" w14:textId="77777777" w:rsidR="002A384F" w:rsidRDefault="002A384F" w:rsidP="00B52E7C">
            <w:pPr>
              <w:pStyle w:val="TAC"/>
              <w:rPr>
                <w:rFonts w:cs="Arial"/>
                <w:kern w:val="24"/>
                <w:szCs w:val="18"/>
                <w:lang w:eastAsia="en-GB"/>
              </w:rPr>
            </w:pPr>
            <w:r>
              <w:rPr>
                <w:rFonts w:cs="Arial"/>
                <w:kern w:val="24"/>
                <w:szCs w:val="18"/>
                <w:lang w:eastAsia="en-GB"/>
              </w:rPr>
              <w:t>3</w:t>
            </w:r>
          </w:p>
        </w:tc>
        <w:tc>
          <w:tcPr>
            <w:tcW w:w="1543" w:type="dxa"/>
            <w:tcBorders>
              <w:top w:val="single" w:sz="4" w:space="0" w:color="auto"/>
              <w:left w:val="single" w:sz="4" w:space="0" w:color="auto"/>
              <w:bottom w:val="single" w:sz="4" w:space="0" w:color="auto"/>
              <w:right w:val="single" w:sz="4" w:space="0" w:color="auto"/>
            </w:tcBorders>
            <w:vAlign w:val="center"/>
          </w:tcPr>
          <w:p w14:paraId="3E5DDA45" w14:textId="77777777" w:rsidR="002A384F" w:rsidRDefault="002A384F" w:rsidP="00B52E7C">
            <w:pPr>
              <w:pStyle w:val="TAC"/>
              <w:rPr>
                <w:rFonts w:cs="Arial"/>
                <w:kern w:val="24"/>
                <w:szCs w:val="18"/>
                <w:lang w:eastAsia="en-GB"/>
              </w:rPr>
            </w:pPr>
            <w:r>
              <w:rPr>
                <w:rFonts w:cs="Arial"/>
                <w:kern w:val="24"/>
                <w:szCs w:val="18"/>
                <w:lang w:eastAsia="en-GB"/>
              </w:rPr>
              <w:t>48</w:t>
            </w:r>
          </w:p>
        </w:tc>
        <w:tc>
          <w:tcPr>
            <w:tcW w:w="1826" w:type="dxa"/>
            <w:tcBorders>
              <w:top w:val="single" w:sz="4" w:space="0" w:color="auto"/>
              <w:left w:val="single" w:sz="4" w:space="0" w:color="auto"/>
              <w:bottom w:val="single" w:sz="4" w:space="0" w:color="auto"/>
              <w:right w:val="single" w:sz="4" w:space="0" w:color="auto"/>
            </w:tcBorders>
            <w:vAlign w:val="center"/>
          </w:tcPr>
          <w:p w14:paraId="318B67A1" w14:textId="77777777" w:rsidR="002A384F" w:rsidRDefault="002A384F" w:rsidP="00B52E7C">
            <w:pPr>
              <w:pStyle w:val="TAC"/>
              <w:rPr>
                <w:rFonts w:cs="Arial"/>
                <w:kern w:val="24"/>
                <w:szCs w:val="18"/>
                <w:lang w:eastAsia="en-GB"/>
              </w:rPr>
            </w:pPr>
            <w:r>
              <w:rPr>
                <w:rFonts w:cs="Arial"/>
                <w:kern w:val="24"/>
                <w:szCs w:val="18"/>
                <w:lang w:eastAsia="en-GB"/>
              </w:rPr>
              <w:t>2</w:t>
            </w:r>
          </w:p>
        </w:tc>
        <w:tc>
          <w:tcPr>
            <w:tcW w:w="1451" w:type="dxa"/>
            <w:tcBorders>
              <w:top w:val="single" w:sz="4" w:space="0" w:color="auto"/>
              <w:left w:val="single" w:sz="4" w:space="0" w:color="auto"/>
              <w:bottom w:val="single" w:sz="4" w:space="0" w:color="auto"/>
              <w:right w:val="single" w:sz="4" w:space="0" w:color="auto"/>
            </w:tcBorders>
            <w:vAlign w:val="center"/>
          </w:tcPr>
          <w:p w14:paraId="4C1347CE" w14:textId="2BAE98BE" w:rsidR="002A384F" w:rsidRDefault="002A384F" w:rsidP="00B52E7C">
            <w:pPr>
              <w:pStyle w:val="TAC"/>
              <w:rPr>
                <w:lang w:eastAsia="en-GB"/>
              </w:rPr>
            </w:pPr>
            <w:r>
              <w:rPr>
                <w:lang w:eastAsia="en-GB"/>
              </w:rPr>
              <w:t>48</w:t>
            </w:r>
          </w:p>
        </w:tc>
      </w:tr>
    </w:tbl>
    <w:p w14:paraId="56BCAEB0" w14:textId="77777777" w:rsidR="002A384F" w:rsidRDefault="002A384F" w:rsidP="000D080C"/>
    <w:p w14:paraId="07F947A7" w14:textId="77777777" w:rsidR="00946F49" w:rsidRPr="00B916EC" w:rsidRDefault="0060031D" w:rsidP="00B06B6C">
      <w:pPr>
        <w:pStyle w:val="TH"/>
      </w:pPr>
      <w:r w:rsidRPr="00B916EC">
        <w:lastRenderedPageBreak/>
        <w:t>Table 1</w:t>
      </w:r>
      <w:r w:rsidR="00EC0649">
        <w:t>3</w:t>
      </w:r>
      <w:r w:rsidRPr="00B916EC">
        <w:t>-</w:t>
      </w:r>
      <w:r w:rsidR="00C929BE">
        <w:t>11</w:t>
      </w:r>
      <w:r w:rsidRPr="00B916EC">
        <w:t xml:space="preserve">: </w:t>
      </w:r>
      <w:r w:rsidR="0052060F" w:rsidRPr="00B916EC">
        <w:t xml:space="preserve">Parameters for </w:t>
      </w:r>
      <w:r w:rsidRPr="00B916EC">
        <w:t xml:space="preserve">PDCCH monitoring occasions for Type0-PDCCH </w:t>
      </w:r>
      <w:r w:rsidR="00CF02AF">
        <w:t>CSS set</w:t>
      </w:r>
      <w:r w:rsidRPr="00B916EC">
        <w:t xml:space="preserve"> </w:t>
      </w:r>
      <w:r w:rsidR="0052060F" w:rsidRPr="00B916EC">
        <w:t>-</w:t>
      </w:r>
      <w:r w:rsidRPr="00B916EC">
        <w:t xml:space="preserve"> SS/PBCH block and </w:t>
      </w:r>
      <w:r w:rsidR="00C76664">
        <w:t>CORESET</w:t>
      </w:r>
      <w:r w:rsidRPr="00B916EC">
        <w:t xml:space="preserve"> multiplexing </w:t>
      </w:r>
      <w:r w:rsidR="00C929BE">
        <w:t>pattern</w:t>
      </w:r>
      <w:r w:rsidR="00C929BE" w:rsidRPr="00B916EC">
        <w:t xml:space="preserve"> </w:t>
      </w:r>
      <w:r w:rsidRPr="00B916EC">
        <w:t xml:space="preserve">1 and </w:t>
      </w:r>
      <w:r w:rsidR="00CF02AF">
        <w:t>FR</w:t>
      </w:r>
      <w:r w:rsidR="00C929BE" w:rsidRPr="00C929BE">
        <w:t>1</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6"/>
        <w:gridCol w:w="885"/>
        <w:gridCol w:w="3327"/>
        <w:gridCol w:w="972"/>
        <w:gridCol w:w="3443"/>
      </w:tblGrid>
      <w:tr w:rsidR="003E4AF1" w:rsidRPr="00B916EC" w14:paraId="50405EFF" w14:textId="77777777" w:rsidTr="003E4AF1">
        <w:trPr>
          <w:cantSplit/>
        </w:trPr>
        <w:tc>
          <w:tcPr>
            <w:tcW w:w="806" w:type="dxa"/>
            <w:tcBorders>
              <w:bottom w:val="double" w:sz="4" w:space="0" w:color="auto"/>
              <w:right w:val="double" w:sz="4" w:space="0" w:color="auto"/>
            </w:tcBorders>
            <w:shd w:val="clear" w:color="auto" w:fill="E0E0E0"/>
            <w:vAlign w:val="center"/>
          </w:tcPr>
          <w:p w14:paraId="013E84C6" w14:textId="77777777" w:rsidR="003E4AF1" w:rsidRPr="00B916EC" w:rsidRDefault="003E4AF1" w:rsidP="003E4AF1">
            <w:pPr>
              <w:pStyle w:val="TAH"/>
              <w:rPr>
                <w:bCs/>
                <w:lang w:val="en-US"/>
              </w:rPr>
            </w:pPr>
            <w:r w:rsidRPr="00B916EC">
              <w:rPr>
                <w:bCs/>
                <w:lang w:val="en-US"/>
              </w:rPr>
              <w:t>Index</w:t>
            </w:r>
          </w:p>
        </w:tc>
        <w:tc>
          <w:tcPr>
            <w:tcW w:w="885" w:type="dxa"/>
            <w:tcBorders>
              <w:left w:val="double" w:sz="4" w:space="0" w:color="auto"/>
              <w:bottom w:val="double" w:sz="4" w:space="0" w:color="auto"/>
            </w:tcBorders>
            <w:shd w:val="clear" w:color="auto" w:fill="E0E0E0"/>
            <w:vAlign w:val="center"/>
          </w:tcPr>
          <w:p w14:paraId="56784EC2" w14:textId="5A0822CD" w:rsidR="003E4AF1" w:rsidRPr="00B916EC" w:rsidRDefault="003E4AF1" w:rsidP="003E4AF1">
            <w:pPr>
              <w:pStyle w:val="TAH"/>
              <w:rPr>
                <w:bCs/>
                <w:lang w:val="en-US"/>
              </w:rPr>
            </w:pPr>
            <m:oMathPara>
              <m:oMath>
                <m:r>
                  <m:rPr>
                    <m:sty m:val="bi"/>
                  </m:rPr>
                  <w:rPr>
                    <w:rFonts w:ascii="Cambria Math" w:hAnsi="Cambria Math"/>
                    <w:sz w:val="20"/>
                    <w:lang w:val="en-US"/>
                  </w:rPr>
                  <m:t>O</m:t>
                </m:r>
              </m:oMath>
            </m:oMathPara>
          </w:p>
        </w:tc>
        <w:tc>
          <w:tcPr>
            <w:tcW w:w="3327" w:type="dxa"/>
            <w:tcBorders>
              <w:bottom w:val="double" w:sz="4" w:space="0" w:color="auto"/>
            </w:tcBorders>
            <w:shd w:val="clear" w:color="auto" w:fill="E0E0E0"/>
            <w:vAlign w:val="center"/>
          </w:tcPr>
          <w:p w14:paraId="60725679" w14:textId="325402B3" w:rsidR="003E4AF1" w:rsidRPr="00B916EC" w:rsidRDefault="003E4AF1" w:rsidP="003E4AF1">
            <w:pPr>
              <w:pStyle w:val="TAH"/>
              <w:rPr>
                <w:bCs/>
                <w:lang w:val="en-US"/>
              </w:rPr>
            </w:pPr>
            <w:r w:rsidRPr="00B27E56">
              <w:rPr>
                <w:rStyle w:val="CommentReference"/>
                <w:rFonts w:cs="Arial"/>
                <w:sz w:val="18"/>
                <w:szCs w:val="18"/>
              </w:rPr>
              <w:t>Number of search space sets per slot</w:t>
            </w:r>
          </w:p>
        </w:tc>
        <w:tc>
          <w:tcPr>
            <w:tcW w:w="972" w:type="dxa"/>
            <w:tcBorders>
              <w:bottom w:val="double" w:sz="4" w:space="0" w:color="auto"/>
            </w:tcBorders>
            <w:shd w:val="clear" w:color="auto" w:fill="E0E0E0"/>
            <w:vAlign w:val="center"/>
          </w:tcPr>
          <w:p w14:paraId="1D6C37C7" w14:textId="5238ABE4" w:rsidR="003E4AF1" w:rsidRPr="00B916EC" w:rsidRDefault="003E4AF1" w:rsidP="003E4AF1">
            <w:pPr>
              <w:pStyle w:val="TAH"/>
              <w:rPr>
                <w:bCs/>
                <w:lang w:val="en-US"/>
              </w:rPr>
            </w:pPr>
            <m:oMathPara>
              <m:oMath>
                <m:r>
                  <m:rPr>
                    <m:sty m:val="bi"/>
                  </m:rPr>
                  <w:rPr>
                    <w:rFonts w:ascii="Cambria Math" w:hAnsi="Cambria Math"/>
                    <w:sz w:val="20"/>
                    <w:lang w:val="en-US"/>
                  </w:rPr>
                  <m:t>M</m:t>
                </m:r>
              </m:oMath>
            </m:oMathPara>
          </w:p>
        </w:tc>
        <w:tc>
          <w:tcPr>
            <w:tcW w:w="3443" w:type="dxa"/>
            <w:tcBorders>
              <w:bottom w:val="double" w:sz="4" w:space="0" w:color="auto"/>
            </w:tcBorders>
            <w:shd w:val="clear" w:color="auto" w:fill="E0E0E0"/>
            <w:vAlign w:val="center"/>
          </w:tcPr>
          <w:p w14:paraId="5BA47C46" w14:textId="77777777" w:rsidR="003E4AF1" w:rsidRPr="00B916EC" w:rsidRDefault="003E4AF1" w:rsidP="003E4AF1">
            <w:pPr>
              <w:spacing w:after="0"/>
              <w:jc w:val="center"/>
              <w:textAlignment w:val="bottom"/>
              <w:rPr>
                <w:rFonts w:ascii="Arial" w:hAnsi="Arial" w:cs="Arial"/>
                <w:b/>
                <w:sz w:val="18"/>
                <w:szCs w:val="18"/>
              </w:rPr>
            </w:pPr>
            <w:r w:rsidRPr="00B916EC">
              <w:rPr>
                <w:rStyle w:val="CommentReference"/>
                <w:rFonts w:ascii="Arial" w:hAnsi="Arial" w:cs="Arial"/>
                <w:b/>
                <w:sz w:val="18"/>
                <w:szCs w:val="18"/>
              </w:rPr>
              <w:t>First symbol index</w:t>
            </w:r>
          </w:p>
        </w:tc>
      </w:tr>
      <w:tr w:rsidR="00673A22" w:rsidRPr="00B916EC" w14:paraId="79FF012D" w14:textId="77777777" w:rsidTr="003E4AF1">
        <w:trPr>
          <w:cantSplit/>
        </w:trPr>
        <w:tc>
          <w:tcPr>
            <w:tcW w:w="806" w:type="dxa"/>
            <w:tcBorders>
              <w:top w:val="double" w:sz="4" w:space="0" w:color="auto"/>
              <w:right w:val="double" w:sz="4" w:space="0" w:color="auto"/>
            </w:tcBorders>
            <w:shd w:val="clear" w:color="auto" w:fill="auto"/>
            <w:vAlign w:val="center"/>
          </w:tcPr>
          <w:p w14:paraId="5089471C" w14:textId="77777777" w:rsidR="00673A22" w:rsidRPr="00B916EC" w:rsidRDefault="00673A22" w:rsidP="0060031D">
            <w:pPr>
              <w:pStyle w:val="TAC"/>
              <w:rPr>
                <w:lang w:val="en-US"/>
              </w:rPr>
            </w:pPr>
            <w:r w:rsidRPr="00B916EC">
              <w:rPr>
                <w:lang w:val="en-US"/>
              </w:rPr>
              <w:t>0</w:t>
            </w:r>
          </w:p>
        </w:tc>
        <w:tc>
          <w:tcPr>
            <w:tcW w:w="885" w:type="dxa"/>
            <w:tcBorders>
              <w:top w:val="double" w:sz="4" w:space="0" w:color="auto"/>
              <w:left w:val="double" w:sz="4" w:space="0" w:color="auto"/>
            </w:tcBorders>
            <w:vAlign w:val="center"/>
          </w:tcPr>
          <w:p w14:paraId="3D79DB48" w14:textId="77777777" w:rsidR="00673A22" w:rsidRPr="00B916EC" w:rsidRDefault="00673A22" w:rsidP="0060031D">
            <w:pPr>
              <w:pStyle w:val="TAC"/>
              <w:rPr>
                <w:lang w:val="en-US"/>
              </w:rPr>
            </w:pPr>
            <w:r w:rsidRPr="00B916EC">
              <w:rPr>
                <w:rStyle w:val="CommentReference"/>
                <w:rFonts w:cs="Arial"/>
                <w:sz w:val="18"/>
                <w:szCs w:val="18"/>
              </w:rPr>
              <w:t>0</w:t>
            </w:r>
          </w:p>
        </w:tc>
        <w:tc>
          <w:tcPr>
            <w:tcW w:w="3327" w:type="dxa"/>
            <w:tcBorders>
              <w:top w:val="double" w:sz="4" w:space="0" w:color="auto"/>
            </w:tcBorders>
            <w:vAlign w:val="center"/>
          </w:tcPr>
          <w:p w14:paraId="06DE3865" w14:textId="77777777" w:rsidR="00673A22" w:rsidRPr="00B916EC" w:rsidRDefault="00673A22" w:rsidP="0060031D">
            <w:pPr>
              <w:pStyle w:val="TAC"/>
              <w:rPr>
                <w:lang w:val="en-US"/>
              </w:rPr>
            </w:pPr>
            <w:r w:rsidRPr="00B916EC">
              <w:rPr>
                <w:rStyle w:val="CommentReference"/>
                <w:rFonts w:cs="Arial"/>
                <w:sz w:val="18"/>
                <w:szCs w:val="18"/>
              </w:rPr>
              <w:t>1</w:t>
            </w:r>
          </w:p>
        </w:tc>
        <w:tc>
          <w:tcPr>
            <w:tcW w:w="972" w:type="dxa"/>
            <w:tcBorders>
              <w:top w:val="double" w:sz="4" w:space="0" w:color="auto"/>
            </w:tcBorders>
            <w:vAlign w:val="center"/>
          </w:tcPr>
          <w:p w14:paraId="16262900" w14:textId="77777777" w:rsidR="00673A22" w:rsidRPr="00B916EC" w:rsidRDefault="00673A22" w:rsidP="0060031D">
            <w:pPr>
              <w:pStyle w:val="TAC"/>
              <w:rPr>
                <w:lang w:val="en-US"/>
              </w:rPr>
            </w:pPr>
            <w:r w:rsidRPr="00B916EC">
              <w:rPr>
                <w:rStyle w:val="CommentReference"/>
                <w:rFonts w:cs="Arial"/>
                <w:sz w:val="18"/>
                <w:szCs w:val="18"/>
              </w:rPr>
              <w:t>1</w:t>
            </w:r>
          </w:p>
        </w:tc>
        <w:tc>
          <w:tcPr>
            <w:tcW w:w="3443" w:type="dxa"/>
            <w:tcBorders>
              <w:top w:val="double" w:sz="4" w:space="0" w:color="auto"/>
            </w:tcBorders>
            <w:vAlign w:val="center"/>
          </w:tcPr>
          <w:p w14:paraId="50FFA237" w14:textId="77777777" w:rsidR="00673A22" w:rsidRPr="00B916EC" w:rsidRDefault="00673A22" w:rsidP="0060031D">
            <w:pPr>
              <w:pStyle w:val="TAC"/>
              <w:rPr>
                <w:lang w:val="en-US"/>
              </w:rPr>
            </w:pPr>
            <w:r w:rsidRPr="00B916EC">
              <w:rPr>
                <w:rStyle w:val="CommentReference"/>
                <w:rFonts w:cs="Arial"/>
                <w:sz w:val="18"/>
                <w:szCs w:val="18"/>
              </w:rPr>
              <w:t>0</w:t>
            </w:r>
          </w:p>
        </w:tc>
      </w:tr>
      <w:tr w:rsidR="003E4AF1" w:rsidRPr="00B916EC" w14:paraId="4A8BFCC9" w14:textId="77777777" w:rsidTr="003E4AF1">
        <w:trPr>
          <w:cantSplit/>
        </w:trPr>
        <w:tc>
          <w:tcPr>
            <w:tcW w:w="806" w:type="dxa"/>
            <w:tcBorders>
              <w:right w:val="double" w:sz="4" w:space="0" w:color="auto"/>
            </w:tcBorders>
            <w:shd w:val="clear" w:color="auto" w:fill="auto"/>
            <w:vAlign w:val="center"/>
          </w:tcPr>
          <w:p w14:paraId="46DD1C73" w14:textId="77777777" w:rsidR="003E4AF1" w:rsidRPr="00B916EC" w:rsidRDefault="003E4AF1" w:rsidP="003E4AF1">
            <w:pPr>
              <w:pStyle w:val="TAC"/>
              <w:rPr>
                <w:lang w:val="en-US"/>
              </w:rPr>
            </w:pPr>
            <w:r w:rsidRPr="00B916EC">
              <w:rPr>
                <w:lang w:val="en-US"/>
              </w:rPr>
              <w:t>1</w:t>
            </w:r>
          </w:p>
        </w:tc>
        <w:tc>
          <w:tcPr>
            <w:tcW w:w="885" w:type="dxa"/>
            <w:tcBorders>
              <w:left w:val="double" w:sz="4" w:space="0" w:color="auto"/>
            </w:tcBorders>
            <w:vAlign w:val="center"/>
          </w:tcPr>
          <w:p w14:paraId="2B99406B" w14:textId="77777777" w:rsidR="003E4AF1" w:rsidRPr="00B916EC" w:rsidRDefault="003E4AF1" w:rsidP="003E4AF1">
            <w:pPr>
              <w:pStyle w:val="TAC"/>
              <w:rPr>
                <w:lang w:val="en-US"/>
              </w:rPr>
            </w:pPr>
            <w:r w:rsidRPr="00B916EC">
              <w:rPr>
                <w:rStyle w:val="CommentReference"/>
                <w:rFonts w:cs="Arial"/>
                <w:sz w:val="18"/>
                <w:szCs w:val="18"/>
              </w:rPr>
              <w:t>0</w:t>
            </w:r>
          </w:p>
        </w:tc>
        <w:tc>
          <w:tcPr>
            <w:tcW w:w="3327" w:type="dxa"/>
            <w:vAlign w:val="center"/>
          </w:tcPr>
          <w:p w14:paraId="31491E24" w14:textId="77777777" w:rsidR="003E4AF1" w:rsidRPr="00B916EC" w:rsidRDefault="003E4AF1" w:rsidP="003E4AF1">
            <w:pPr>
              <w:pStyle w:val="TAC"/>
              <w:rPr>
                <w:lang w:val="en-US"/>
              </w:rPr>
            </w:pPr>
            <w:r w:rsidRPr="00B916EC">
              <w:rPr>
                <w:rStyle w:val="CommentReference"/>
                <w:rFonts w:cs="Arial"/>
                <w:sz w:val="18"/>
                <w:szCs w:val="18"/>
              </w:rPr>
              <w:t>2</w:t>
            </w:r>
          </w:p>
        </w:tc>
        <w:tc>
          <w:tcPr>
            <w:tcW w:w="972" w:type="dxa"/>
            <w:vAlign w:val="center"/>
          </w:tcPr>
          <w:p w14:paraId="5D1619AD" w14:textId="77777777" w:rsidR="003E4AF1" w:rsidRPr="00B916EC" w:rsidRDefault="003E4AF1" w:rsidP="003E4AF1">
            <w:pPr>
              <w:pStyle w:val="TAC"/>
              <w:rPr>
                <w:lang w:val="en-US"/>
              </w:rPr>
            </w:pPr>
            <w:r w:rsidRPr="00B916EC">
              <w:rPr>
                <w:rStyle w:val="CommentReference"/>
                <w:rFonts w:cs="Arial"/>
                <w:sz w:val="18"/>
                <w:szCs w:val="18"/>
              </w:rPr>
              <w:t>1</w:t>
            </w:r>
            <w:r>
              <w:rPr>
                <w:rStyle w:val="CommentReference"/>
                <w:rFonts w:cs="Arial"/>
                <w:sz w:val="18"/>
                <w:szCs w:val="18"/>
              </w:rPr>
              <w:t>/2</w:t>
            </w:r>
          </w:p>
        </w:tc>
        <w:tc>
          <w:tcPr>
            <w:tcW w:w="3443" w:type="dxa"/>
            <w:vAlign w:val="center"/>
          </w:tcPr>
          <w:p w14:paraId="33E3F071" w14:textId="526C0041" w:rsidR="003E4AF1" w:rsidRPr="00B916EC" w:rsidRDefault="003E4AF1" w:rsidP="003E4AF1">
            <w:pPr>
              <w:pStyle w:val="TAC"/>
              <w:rPr>
                <w:lang w:val="en-US"/>
              </w:rPr>
            </w:pPr>
            <w:r w:rsidRPr="00B27E56">
              <w:rPr>
                <w:rStyle w:val="CommentReference"/>
                <w:rFonts w:cs="Arial"/>
                <w:sz w:val="18"/>
                <w:szCs w:val="18"/>
              </w:rPr>
              <w:t xml:space="preserve">{0, if </w:t>
            </w:r>
            <m:oMath>
              <m:r>
                <w:rPr>
                  <w:rFonts w:ascii="Cambria Math" w:hAnsi="Cambria Math"/>
                </w:rPr>
                <m:t>i</m:t>
              </m:r>
            </m:oMath>
            <w:r w:rsidRPr="00B27E56">
              <w:t xml:space="preserve"> is even}</w:t>
            </w:r>
            <w:r w:rsidRPr="00B27E56">
              <w:rPr>
                <w:rStyle w:val="CommentReference"/>
                <w:rFonts w:cs="Arial"/>
                <w:sz w:val="18"/>
                <w:szCs w:val="18"/>
              </w:rPr>
              <w:t>, {</w:t>
            </w:r>
            <m:oMath>
              <m:sSubSup>
                <m:sSubSupPr>
                  <m:ctrlPr>
                    <w:rPr>
                      <w:rFonts w:ascii="Cambria Math" w:hAnsi="Cambria Math"/>
                      <w:i/>
                    </w:rPr>
                  </m:ctrlPr>
                </m:sSubSupPr>
                <m:e>
                  <m:r>
                    <w:rPr>
                      <w:rFonts w:ascii="Cambria Math"/>
                    </w:rPr>
                    <m:t>N</m:t>
                  </m:r>
                </m:e>
                <m:sub>
                  <m:r>
                    <m:rPr>
                      <m:nor/>
                    </m:rPr>
                    <w:rPr>
                      <w:rFonts w:ascii="Cambria Math"/>
                    </w:rPr>
                    <m:t>symb</m:t>
                  </m:r>
                  <m:ctrlPr>
                    <w:rPr>
                      <w:rFonts w:ascii="Cambria Math" w:hAnsi="Cambria Math"/>
                    </w:rPr>
                  </m:ctrlPr>
                </m:sub>
                <m:sup>
                  <m:r>
                    <m:rPr>
                      <m:nor/>
                    </m:rPr>
                    <w:rPr>
                      <w:rFonts w:ascii="Cambria Math"/>
                    </w:rPr>
                    <m:t>CORESET</m:t>
                  </m:r>
                  <m:ctrlPr>
                    <w:rPr>
                      <w:rFonts w:ascii="Cambria Math" w:hAnsi="Cambria Math"/>
                    </w:rPr>
                  </m:ctrlPr>
                </m:sup>
              </m:sSubSup>
            </m:oMath>
            <w:r w:rsidRPr="00B27E56">
              <w:t xml:space="preserve">, if </w:t>
            </w:r>
            <m:oMath>
              <m:r>
                <w:rPr>
                  <w:rFonts w:ascii="Cambria Math" w:hAnsi="Cambria Math"/>
                </w:rPr>
                <m:t>i</m:t>
              </m:r>
            </m:oMath>
            <w:r w:rsidRPr="00B27E56">
              <w:t xml:space="preserve"> is odd</w:t>
            </w:r>
            <w:r w:rsidRPr="00B27E56">
              <w:rPr>
                <w:rStyle w:val="CommentReference"/>
                <w:rFonts w:cs="Arial"/>
                <w:sz w:val="18"/>
                <w:szCs w:val="18"/>
              </w:rPr>
              <w:t>}</w:t>
            </w:r>
          </w:p>
        </w:tc>
      </w:tr>
      <w:tr w:rsidR="003E4AF1" w:rsidRPr="00B916EC" w14:paraId="2FAEEEBF" w14:textId="77777777" w:rsidTr="003E4AF1">
        <w:trPr>
          <w:cantSplit/>
        </w:trPr>
        <w:tc>
          <w:tcPr>
            <w:tcW w:w="806" w:type="dxa"/>
            <w:tcBorders>
              <w:right w:val="double" w:sz="4" w:space="0" w:color="auto"/>
            </w:tcBorders>
            <w:shd w:val="clear" w:color="auto" w:fill="auto"/>
            <w:vAlign w:val="center"/>
          </w:tcPr>
          <w:p w14:paraId="776D8DC6" w14:textId="77777777" w:rsidR="003E4AF1" w:rsidRPr="00B916EC" w:rsidRDefault="003E4AF1" w:rsidP="003E4AF1">
            <w:pPr>
              <w:pStyle w:val="TAC"/>
            </w:pPr>
            <w:r w:rsidRPr="00B916EC">
              <w:t>2</w:t>
            </w:r>
          </w:p>
        </w:tc>
        <w:tc>
          <w:tcPr>
            <w:tcW w:w="885" w:type="dxa"/>
            <w:tcBorders>
              <w:left w:val="double" w:sz="4" w:space="0" w:color="auto"/>
            </w:tcBorders>
            <w:vAlign w:val="center"/>
          </w:tcPr>
          <w:p w14:paraId="40E4CE34" w14:textId="77777777" w:rsidR="003E4AF1" w:rsidRPr="00B916EC" w:rsidRDefault="003E4AF1" w:rsidP="003E4AF1">
            <w:pPr>
              <w:pStyle w:val="TAC"/>
            </w:pPr>
            <w:r w:rsidRPr="00B916EC">
              <w:rPr>
                <w:rStyle w:val="CommentReference"/>
                <w:rFonts w:cs="Arial"/>
                <w:sz w:val="18"/>
                <w:szCs w:val="18"/>
              </w:rPr>
              <w:t>2</w:t>
            </w:r>
          </w:p>
        </w:tc>
        <w:tc>
          <w:tcPr>
            <w:tcW w:w="3327" w:type="dxa"/>
            <w:vAlign w:val="center"/>
          </w:tcPr>
          <w:p w14:paraId="24C782AD" w14:textId="77777777" w:rsidR="003E4AF1" w:rsidRPr="00B916EC" w:rsidRDefault="003E4AF1" w:rsidP="003E4AF1">
            <w:pPr>
              <w:pStyle w:val="TAC"/>
            </w:pPr>
            <w:r w:rsidRPr="00B916EC">
              <w:rPr>
                <w:rStyle w:val="CommentReference"/>
                <w:rFonts w:cs="Arial"/>
                <w:sz w:val="18"/>
                <w:szCs w:val="18"/>
              </w:rPr>
              <w:t>1</w:t>
            </w:r>
          </w:p>
        </w:tc>
        <w:tc>
          <w:tcPr>
            <w:tcW w:w="972" w:type="dxa"/>
            <w:vAlign w:val="center"/>
          </w:tcPr>
          <w:p w14:paraId="14ECDBE6" w14:textId="77777777" w:rsidR="003E4AF1" w:rsidRPr="00B916EC" w:rsidRDefault="003E4AF1" w:rsidP="003E4AF1">
            <w:pPr>
              <w:pStyle w:val="TAC"/>
            </w:pPr>
            <w:r w:rsidRPr="00B916EC">
              <w:rPr>
                <w:rStyle w:val="CommentReference"/>
                <w:rFonts w:cs="Arial"/>
                <w:sz w:val="18"/>
                <w:szCs w:val="18"/>
              </w:rPr>
              <w:t>1</w:t>
            </w:r>
          </w:p>
        </w:tc>
        <w:tc>
          <w:tcPr>
            <w:tcW w:w="3443" w:type="dxa"/>
            <w:vAlign w:val="center"/>
          </w:tcPr>
          <w:p w14:paraId="5DBCD11B" w14:textId="264235F7" w:rsidR="003E4AF1" w:rsidRPr="00B916EC" w:rsidRDefault="003E4AF1" w:rsidP="003E4AF1">
            <w:pPr>
              <w:pStyle w:val="TAC"/>
            </w:pPr>
            <w:r w:rsidRPr="00B27E56">
              <w:rPr>
                <w:rStyle w:val="CommentReference"/>
                <w:rFonts w:cs="Arial"/>
                <w:sz w:val="18"/>
                <w:szCs w:val="18"/>
              </w:rPr>
              <w:t>0</w:t>
            </w:r>
          </w:p>
        </w:tc>
      </w:tr>
      <w:tr w:rsidR="003E4AF1" w:rsidRPr="00B916EC" w14:paraId="62AFF460" w14:textId="77777777" w:rsidTr="003E4AF1">
        <w:trPr>
          <w:cantSplit/>
        </w:trPr>
        <w:tc>
          <w:tcPr>
            <w:tcW w:w="806" w:type="dxa"/>
            <w:tcBorders>
              <w:right w:val="double" w:sz="4" w:space="0" w:color="auto"/>
            </w:tcBorders>
            <w:shd w:val="clear" w:color="auto" w:fill="auto"/>
            <w:vAlign w:val="center"/>
          </w:tcPr>
          <w:p w14:paraId="6509EB7A" w14:textId="77777777" w:rsidR="003E4AF1" w:rsidRPr="00B916EC" w:rsidRDefault="003E4AF1" w:rsidP="003E4AF1">
            <w:pPr>
              <w:pStyle w:val="TAC"/>
            </w:pPr>
            <w:r w:rsidRPr="00B916EC">
              <w:t>3</w:t>
            </w:r>
          </w:p>
        </w:tc>
        <w:tc>
          <w:tcPr>
            <w:tcW w:w="885" w:type="dxa"/>
            <w:tcBorders>
              <w:left w:val="double" w:sz="4" w:space="0" w:color="auto"/>
            </w:tcBorders>
            <w:vAlign w:val="center"/>
          </w:tcPr>
          <w:p w14:paraId="489B9C35" w14:textId="77777777" w:rsidR="003E4AF1" w:rsidRPr="00B916EC" w:rsidRDefault="003E4AF1" w:rsidP="003E4AF1">
            <w:pPr>
              <w:pStyle w:val="TAC"/>
            </w:pPr>
            <w:r w:rsidRPr="00B916EC">
              <w:rPr>
                <w:rStyle w:val="CommentReference"/>
                <w:rFonts w:cs="Arial"/>
                <w:sz w:val="18"/>
                <w:szCs w:val="18"/>
              </w:rPr>
              <w:t>2</w:t>
            </w:r>
          </w:p>
        </w:tc>
        <w:tc>
          <w:tcPr>
            <w:tcW w:w="3327" w:type="dxa"/>
            <w:vAlign w:val="center"/>
          </w:tcPr>
          <w:p w14:paraId="14C484E2" w14:textId="77777777" w:rsidR="003E4AF1" w:rsidRPr="00B916EC" w:rsidRDefault="003E4AF1" w:rsidP="003E4AF1">
            <w:pPr>
              <w:pStyle w:val="TAC"/>
            </w:pPr>
            <w:r w:rsidRPr="00B916EC">
              <w:rPr>
                <w:rStyle w:val="CommentReference"/>
                <w:rFonts w:cs="Arial"/>
                <w:sz w:val="18"/>
                <w:szCs w:val="18"/>
              </w:rPr>
              <w:t>2</w:t>
            </w:r>
          </w:p>
        </w:tc>
        <w:tc>
          <w:tcPr>
            <w:tcW w:w="972" w:type="dxa"/>
            <w:vAlign w:val="center"/>
          </w:tcPr>
          <w:p w14:paraId="522A8D98" w14:textId="77777777" w:rsidR="003E4AF1" w:rsidRPr="00B916EC" w:rsidRDefault="003E4AF1" w:rsidP="003E4AF1">
            <w:pPr>
              <w:pStyle w:val="TAC"/>
            </w:pPr>
            <w:r w:rsidRPr="00B916EC">
              <w:rPr>
                <w:rStyle w:val="CommentReference"/>
                <w:rFonts w:cs="Arial"/>
                <w:sz w:val="18"/>
                <w:szCs w:val="18"/>
              </w:rPr>
              <w:t>1</w:t>
            </w:r>
            <w:r>
              <w:rPr>
                <w:rStyle w:val="CommentReference"/>
                <w:rFonts w:cs="Arial"/>
                <w:sz w:val="18"/>
                <w:szCs w:val="18"/>
              </w:rPr>
              <w:t>/2</w:t>
            </w:r>
          </w:p>
        </w:tc>
        <w:tc>
          <w:tcPr>
            <w:tcW w:w="3443" w:type="dxa"/>
            <w:vAlign w:val="center"/>
          </w:tcPr>
          <w:p w14:paraId="4586E299" w14:textId="0305EA0A" w:rsidR="003E4AF1" w:rsidRPr="00B916EC" w:rsidRDefault="003E4AF1" w:rsidP="003E4AF1">
            <w:pPr>
              <w:pStyle w:val="TAC"/>
            </w:pPr>
            <w:r w:rsidRPr="00B27E56">
              <w:rPr>
                <w:rStyle w:val="CommentReference"/>
                <w:rFonts w:cs="Arial"/>
                <w:sz w:val="18"/>
                <w:szCs w:val="18"/>
              </w:rPr>
              <w:t xml:space="preserve">{0, if </w:t>
            </w:r>
            <m:oMath>
              <m:r>
                <w:rPr>
                  <w:rFonts w:ascii="Cambria Math" w:hAnsi="Cambria Math"/>
                </w:rPr>
                <m:t>i</m:t>
              </m:r>
            </m:oMath>
            <w:r w:rsidRPr="00B27E56">
              <w:t xml:space="preserve"> is even}</w:t>
            </w:r>
            <w:r w:rsidRPr="00B27E56">
              <w:rPr>
                <w:rStyle w:val="CommentReference"/>
                <w:rFonts w:cs="Arial"/>
                <w:sz w:val="18"/>
                <w:szCs w:val="18"/>
              </w:rPr>
              <w:t>, {</w:t>
            </w:r>
            <m:oMath>
              <m:sSubSup>
                <m:sSubSupPr>
                  <m:ctrlPr>
                    <w:rPr>
                      <w:rFonts w:ascii="Cambria Math" w:hAnsi="Cambria Math"/>
                      <w:i/>
                    </w:rPr>
                  </m:ctrlPr>
                </m:sSubSupPr>
                <m:e>
                  <m:r>
                    <w:rPr>
                      <w:rFonts w:ascii="Cambria Math"/>
                    </w:rPr>
                    <m:t>N</m:t>
                  </m:r>
                </m:e>
                <m:sub>
                  <m:r>
                    <m:rPr>
                      <m:nor/>
                    </m:rPr>
                    <w:rPr>
                      <w:rFonts w:ascii="Cambria Math"/>
                    </w:rPr>
                    <m:t>symb</m:t>
                  </m:r>
                  <m:ctrlPr>
                    <w:rPr>
                      <w:rFonts w:ascii="Cambria Math" w:hAnsi="Cambria Math"/>
                    </w:rPr>
                  </m:ctrlPr>
                </m:sub>
                <m:sup>
                  <m:r>
                    <m:rPr>
                      <m:nor/>
                    </m:rPr>
                    <w:rPr>
                      <w:rFonts w:ascii="Cambria Math"/>
                    </w:rPr>
                    <m:t>CORESET</m:t>
                  </m:r>
                  <m:ctrlPr>
                    <w:rPr>
                      <w:rFonts w:ascii="Cambria Math" w:hAnsi="Cambria Math"/>
                    </w:rPr>
                  </m:ctrlPr>
                </m:sup>
              </m:sSubSup>
            </m:oMath>
            <w:r w:rsidRPr="00B27E56">
              <w:t xml:space="preserve">, if </w:t>
            </w:r>
            <m:oMath>
              <m:r>
                <w:rPr>
                  <w:rFonts w:ascii="Cambria Math" w:hAnsi="Cambria Math"/>
                </w:rPr>
                <m:t>i</m:t>
              </m:r>
            </m:oMath>
            <w:r w:rsidRPr="00B27E56">
              <w:t xml:space="preserve"> is odd</w:t>
            </w:r>
            <w:r w:rsidRPr="00B27E56">
              <w:rPr>
                <w:rStyle w:val="CommentReference"/>
                <w:rFonts w:cs="Arial"/>
                <w:sz w:val="18"/>
                <w:szCs w:val="18"/>
              </w:rPr>
              <w:t>}</w:t>
            </w:r>
          </w:p>
        </w:tc>
      </w:tr>
      <w:tr w:rsidR="003E4AF1" w:rsidRPr="00B916EC" w14:paraId="750C1CC2" w14:textId="77777777" w:rsidTr="003E4AF1">
        <w:trPr>
          <w:cantSplit/>
        </w:trPr>
        <w:tc>
          <w:tcPr>
            <w:tcW w:w="806" w:type="dxa"/>
            <w:tcBorders>
              <w:right w:val="double" w:sz="4" w:space="0" w:color="auto"/>
            </w:tcBorders>
            <w:shd w:val="clear" w:color="auto" w:fill="auto"/>
            <w:vAlign w:val="center"/>
          </w:tcPr>
          <w:p w14:paraId="133EFD31" w14:textId="77777777" w:rsidR="003E4AF1" w:rsidRPr="00B916EC" w:rsidRDefault="003E4AF1" w:rsidP="003E4AF1">
            <w:pPr>
              <w:pStyle w:val="TAC"/>
            </w:pPr>
            <w:r w:rsidRPr="00B916EC">
              <w:t>4</w:t>
            </w:r>
          </w:p>
        </w:tc>
        <w:tc>
          <w:tcPr>
            <w:tcW w:w="885" w:type="dxa"/>
            <w:tcBorders>
              <w:left w:val="double" w:sz="4" w:space="0" w:color="auto"/>
            </w:tcBorders>
            <w:vAlign w:val="center"/>
          </w:tcPr>
          <w:p w14:paraId="7283ED01" w14:textId="77777777" w:rsidR="003E4AF1" w:rsidRPr="00B916EC" w:rsidRDefault="003E4AF1" w:rsidP="003E4AF1">
            <w:pPr>
              <w:pStyle w:val="TAC"/>
            </w:pPr>
            <w:r w:rsidRPr="00B916EC">
              <w:rPr>
                <w:rStyle w:val="CommentReference"/>
                <w:rFonts w:cs="Arial"/>
                <w:sz w:val="18"/>
                <w:szCs w:val="18"/>
              </w:rPr>
              <w:t>5</w:t>
            </w:r>
          </w:p>
        </w:tc>
        <w:tc>
          <w:tcPr>
            <w:tcW w:w="3327" w:type="dxa"/>
            <w:vAlign w:val="center"/>
          </w:tcPr>
          <w:p w14:paraId="4A284602" w14:textId="77777777" w:rsidR="003E4AF1" w:rsidRPr="00B916EC" w:rsidRDefault="003E4AF1" w:rsidP="003E4AF1">
            <w:pPr>
              <w:pStyle w:val="TAC"/>
            </w:pPr>
            <w:r w:rsidRPr="00B916EC">
              <w:rPr>
                <w:rStyle w:val="CommentReference"/>
                <w:rFonts w:cs="Arial"/>
                <w:sz w:val="18"/>
                <w:szCs w:val="18"/>
              </w:rPr>
              <w:t>1</w:t>
            </w:r>
          </w:p>
        </w:tc>
        <w:tc>
          <w:tcPr>
            <w:tcW w:w="972" w:type="dxa"/>
            <w:vAlign w:val="center"/>
          </w:tcPr>
          <w:p w14:paraId="0612A44E" w14:textId="77777777" w:rsidR="003E4AF1" w:rsidRPr="00B916EC" w:rsidRDefault="003E4AF1" w:rsidP="003E4AF1">
            <w:pPr>
              <w:pStyle w:val="TAC"/>
            </w:pPr>
            <w:r w:rsidRPr="00B916EC">
              <w:rPr>
                <w:rStyle w:val="CommentReference"/>
                <w:rFonts w:cs="Arial"/>
                <w:sz w:val="18"/>
                <w:szCs w:val="18"/>
              </w:rPr>
              <w:t>1</w:t>
            </w:r>
          </w:p>
        </w:tc>
        <w:tc>
          <w:tcPr>
            <w:tcW w:w="3443" w:type="dxa"/>
            <w:vAlign w:val="center"/>
          </w:tcPr>
          <w:p w14:paraId="1435F531" w14:textId="714292A2" w:rsidR="003E4AF1" w:rsidRPr="00B916EC" w:rsidRDefault="003E4AF1" w:rsidP="003E4AF1">
            <w:pPr>
              <w:pStyle w:val="TAC"/>
            </w:pPr>
            <w:r w:rsidRPr="00B27E56">
              <w:rPr>
                <w:rStyle w:val="CommentReference"/>
                <w:rFonts w:cs="Arial"/>
                <w:sz w:val="18"/>
                <w:szCs w:val="18"/>
              </w:rPr>
              <w:t>0</w:t>
            </w:r>
          </w:p>
        </w:tc>
      </w:tr>
      <w:tr w:rsidR="003E4AF1" w:rsidRPr="00B916EC" w14:paraId="1D867625" w14:textId="77777777" w:rsidTr="003E4AF1">
        <w:trPr>
          <w:cantSplit/>
        </w:trPr>
        <w:tc>
          <w:tcPr>
            <w:tcW w:w="806" w:type="dxa"/>
            <w:tcBorders>
              <w:right w:val="double" w:sz="4" w:space="0" w:color="auto"/>
            </w:tcBorders>
            <w:shd w:val="clear" w:color="auto" w:fill="auto"/>
            <w:vAlign w:val="center"/>
          </w:tcPr>
          <w:p w14:paraId="6CB83503" w14:textId="77777777" w:rsidR="003E4AF1" w:rsidRPr="00B916EC" w:rsidRDefault="003E4AF1" w:rsidP="003E4AF1">
            <w:pPr>
              <w:pStyle w:val="TAC"/>
            </w:pPr>
            <w:r w:rsidRPr="00B916EC">
              <w:t>5</w:t>
            </w:r>
          </w:p>
        </w:tc>
        <w:tc>
          <w:tcPr>
            <w:tcW w:w="885" w:type="dxa"/>
            <w:tcBorders>
              <w:left w:val="double" w:sz="4" w:space="0" w:color="auto"/>
            </w:tcBorders>
            <w:vAlign w:val="center"/>
          </w:tcPr>
          <w:p w14:paraId="71D69BB7" w14:textId="77777777" w:rsidR="003E4AF1" w:rsidRPr="00B916EC" w:rsidRDefault="003E4AF1" w:rsidP="003E4AF1">
            <w:pPr>
              <w:pStyle w:val="TAC"/>
            </w:pPr>
            <w:r w:rsidRPr="00B916EC">
              <w:rPr>
                <w:rStyle w:val="CommentReference"/>
                <w:rFonts w:cs="Arial"/>
                <w:sz w:val="18"/>
                <w:szCs w:val="18"/>
              </w:rPr>
              <w:t>5</w:t>
            </w:r>
          </w:p>
        </w:tc>
        <w:tc>
          <w:tcPr>
            <w:tcW w:w="3327" w:type="dxa"/>
            <w:vAlign w:val="center"/>
          </w:tcPr>
          <w:p w14:paraId="51209D69" w14:textId="77777777" w:rsidR="003E4AF1" w:rsidRPr="00B916EC" w:rsidRDefault="003E4AF1" w:rsidP="003E4AF1">
            <w:pPr>
              <w:pStyle w:val="TAC"/>
            </w:pPr>
            <w:r w:rsidRPr="00B916EC">
              <w:rPr>
                <w:rStyle w:val="CommentReference"/>
                <w:rFonts w:cs="Arial"/>
                <w:sz w:val="18"/>
                <w:szCs w:val="18"/>
              </w:rPr>
              <w:t>2</w:t>
            </w:r>
          </w:p>
        </w:tc>
        <w:tc>
          <w:tcPr>
            <w:tcW w:w="972" w:type="dxa"/>
            <w:vAlign w:val="center"/>
          </w:tcPr>
          <w:p w14:paraId="6B43AE91" w14:textId="77777777" w:rsidR="003E4AF1" w:rsidRPr="00B916EC" w:rsidRDefault="003E4AF1" w:rsidP="003E4AF1">
            <w:pPr>
              <w:pStyle w:val="TAC"/>
            </w:pPr>
            <w:r w:rsidRPr="00B916EC">
              <w:rPr>
                <w:rStyle w:val="CommentReference"/>
                <w:rFonts w:cs="Arial"/>
                <w:sz w:val="18"/>
                <w:szCs w:val="18"/>
              </w:rPr>
              <w:t>1</w:t>
            </w:r>
            <w:r>
              <w:rPr>
                <w:rStyle w:val="CommentReference"/>
                <w:rFonts w:cs="Arial"/>
                <w:sz w:val="18"/>
                <w:szCs w:val="18"/>
              </w:rPr>
              <w:t>/2</w:t>
            </w:r>
          </w:p>
        </w:tc>
        <w:tc>
          <w:tcPr>
            <w:tcW w:w="3443" w:type="dxa"/>
            <w:vAlign w:val="center"/>
          </w:tcPr>
          <w:p w14:paraId="1E8CE052" w14:textId="7E961386" w:rsidR="003E4AF1" w:rsidRPr="00B916EC" w:rsidRDefault="003E4AF1" w:rsidP="003E4AF1">
            <w:pPr>
              <w:pStyle w:val="TAC"/>
            </w:pPr>
            <w:r w:rsidRPr="00B27E56">
              <w:rPr>
                <w:rStyle w:val="CommentReference"/>
                <w:rFonts w:cs="Arial"/>
                <w:sz w:val="18"/>
                <w:szCs w:val="18"/>
              </w:rPr>
              <w:t xml:space="preserve">{0, if </w:t>
            </w:r>
            <m:oMath>
              <m:r>
                <w:rPr>
                  <w:rFonts w:ascii="Cambria Math" w:hAnsi="Cambria Math"/>
                </w:rPr>
                <m:t>i</m:t>
              </m:r>
            </m:oMath>
            <w:r w:rsidRPr="00B27E56">
              <w:t xml:space="preserve"> is even}</w:t>
            </w:r>
            <w:r w:rsidRPr="00B27E56">
              <w:rPr>
                <w:rStyle w:val="CommentReference"/>
                <w:rFonts w:cs="Arial"/>
                <w:sz w:val="18"/>
                <w:szCs w:val="18"/>
              </w:rPr>
              <w:t>, {</w:t>
            </w:r>
            <m:oMath>
              <m:sSubSup>
                <m:sSubSupPr>
                  <m:ctrlPr>
                    <w:rPr>
                      <w:rFonts w:ascii="Cambria Math" w:hAnsi="Cambria Math"/>
                      <w:i/>
                    </w:rPr>
                  </m:ctrlPr>
                </m:sSubSupPr>
                <m:e>
                  <m:r>
                    <w:rPr>
                      <w:rFonts w:ascii="Cambria Math"/>
                    </w:rPr>
                    <m:t>N</m:t>
                  </m:r>
                </m:e>
                <m:sub>
                  <m:r>
                    <m:rPr>
                      <m:nor/>
                    </m:rPr>
                    <w:rPr>
                      <w:rFonts w:ascii="Cambria Math"/>
                    </w:rPr>
                    <m:t>symb</m:t>
                  </m:r>
                  <m:ctrlPr>
                    <w:rPr>
                      <w:rFonts w:ascii="Cambria Math" w:hAnsi="Cambria Math"/>
                    </w:rPr>
                  </m:ctrlPr>
                </m:sub>
                <m:sup>
                  <m:r>
                    <m:rPr>
                      <m:nor/>
                    </m:rPr>
                    <w:rPr>
                      <w:rFonts w:ascii="Cambria Math"/>
                    </w:rPr>
                    <m:t>CORESET</m:t>
                  </m:r>
                  <m:ctrlPr>
                    <w:rPr>
                      <w:rFonts w:ascii="Cambria Math" w:hAnsi="Cambria Math"/>
                    </w:rPr>
                  </m:ctrlPr>
                </m:sup>
              </m:sSubSup>
            </m:oMath>
            <w:r w:rsidRPr="00B27E56">
              <w:t xml:space="preserve">, if </w:t>
            </w:r>
            <m:oMath>
              <m:r>
                <w:rPr>
                  <w:rFonts w:ascii="Cambria Math" w:hAnsi="Cambria Math"/>
                </w:rPr>
                <m:t>i</m:t>
              </m:r>
            </m:oMath>
            <w:r w:rsidRPr="00B27E56">
              <w:t xml:space="preserve"> is odd</w:t>
            </w:r>
            <w:r w:rsidRPr="00B27E56">
              <w:rPr>
                <w:rStyle w:val="CommentReference"/>
                <w:rFonts w:cs="Arial"/>
                <w:sz w:val="18"/>
                <w:szCs w:val="18"/>
              </w:rPr>
              <w:t>}</w:t>
            </w:r>
          </w:p>
        </w:tc>
      </w:tr>
      <w:tr w:rsidR="003E4AF1" w:rsidRPr="00B916EC" w14:paraId="7CF6972A" w14:textId="77777777" w:rsidTr="003E4AF1">
        <w:trPr>
          <w:cantSplit/>
        </w:trPr>
        <w:tc>
          <w:tcPr>
            <w:tcW w:w="806" w:type="dxa"/>
            <w:tcBorders>
              <w:right w:val="double" w:sz="4" w:space="0" w:color="auto"/>
            </w:tcBorders>
            <w:shd w:val="clear" w:color="auto" w:fill="auto"/>
            <w:vAlign w:val="center"/>
          </w:tcPr>
          <w:p w14:paraId="4A6F2070" w14:textId="77777777" w:rsidR="003E4AF1" w:rsidRPr="00B916EC" w:rsidRDefault="003E4AF1" w:rsidP="003E4AF1">
            <w:pPr>
              <w:pStyle w:val="TAC"/>
            </w:pPr>
            <w:r w:rsidRPr="00B916EC">
              <w:t>6</w:t>
            </w:r>
          </w:p>
        </w:tc>
        <w:tc>
          <w:tcPr>
            <w:tcW w:w="885" w:type="dxa"/>
            <w:tcBorders>
              <w:left w:val="double" w:sz="4" w:space="0" w:color="auto"/>
            </w:tcBorders>
            <w:vAlign w:val="center"/>
          </w:tcPr>
          <w:p w14:paraId="243C4EF7" w14:textId="77777777" w:rsidR="003E4AF1" w:rsidRPr="00B916EC" w:rsidRDefault="003E4AF1" w:rsidP="003E4AF1">
            <w:pPr>
              <w:pStyle w:val="TAC"/>
            </w:pPr>
            <w:r w:rsidRPr="00B916EC">
              <w:rPr>
                <w:rStyle w:val="CommentReference"/>
                <w:rFonts w:cs="Arial"/>
                <w:sz w:val="18"/>
                <w:szCs w:val="18"/>
              </w:rPr>
              <w:t>7</w:t>
            </w:r>
          </w:p>
        </w:tc>
        <w:tc>
          <w:tcPr>
            <w:tcW w:w="3327" w:type="dxa"/>
            <w:vAlign w:val="center"/>
          </w:tcPr>
          <w:p w14:paraId="38AE313F" w14:textId="77777777" w:rsidR="003E4AF1" w:rsidRPr="00B916EC" w:rsidRDefault="003E4AF1" w:rsidP="003E4AF1">
            <w:pPr>
              <w:pStyle w:val="TAC"/>
            </w:pPr>
            <w:r w:rsidRPr="00B916EC">
              <w:rPr>
                <w:rStyle w:val="CommentReference"/>
                <w:rFonts w:cs="Arial"/>
                <w:sz w:val="18"/>
                <w:szCs w:val="18"/>
              </w:rPr>
              <w:t>1</w:t>
            </w:r>
          </w:p>
        </w:tc>
        <w:tc>
          <w:tcPr>
            <w:tcW w:w="972" w:type="dxa"/>
            <w:vAlign w:val="center"/>
          </w:tcPr>
          <w:p w14:paraId="0DA41DB9" w14:textId="77777777" w:rsidR="003E4AF1" w:rsidRPr="00B916EC" w:rsidRDefault="003E4AF1" w:rsidP="003E4AF1">
            <w:pPr>
              <w:pStyle w:val="TAC"/>
            </w:pPr>
            <w:r w:rsidRPr="00B916EC">
              <w:rPr>
                <w:rStyle w:val="CommentReference"/>
                <w:rFonts w:cs="Arial"/>
                <w:sz w:val="18"/>
                <w:szCs w:val="18"/>
              </w:rPr>
              <w:t>1</w:t>
            </w:r>
          </w:p>
        </w:tc>
        <w:tc>
          <w:tcPr>
            <w:tcW w:w="3443" w:type="dxa"/>
            <w:vAlign w:val="center"/>
          </w:tcPr>
          <w:p w14:paraId="6C1501E5" w14:textId="139130AB" w:rsidR="003E4AF1" w:rsidRPr="00B916EC" w:rsidRDefault="003E4AF1" w:rsidP="003E4AF1">
            <w:pPr>
              <w:pStyle w:val="TAC"/>
            </w:pPr>
            <w:r w:rsidRPr="00B27E56">
              <w:rPr>
                <w:rStyle w:val="CommentReference"/>
                <w:rFonts w:cs="Arial"/>
                <w:sz w:val="18"/>
                <w:szCs w:val="18"/>
              </w:rPr>
              <w:t>0</w:t>
            </w:r>
          </w:p>
        </w:tc>
      </w:tr>
      <w:tr w:rsidR="003E4AF1" w:rsidRPr="00B916EC" w14:paraId="27FB8A81" w14:textId="77777777" w:rsidTr="003E4AF1">
        <w:trPr>
          <w:cantSplit/>
        </w:trPr>
        <w:tc>
          <w:tcPr>
            <w:tcW w:w="806" w:type="dxa"/>
            <w:tcBorders>
              <w:right w:val="double" w:sz="4" w:space="0" w:color="auto"/>
            </w:tcBorders>
            <w:shd w:val="clear" w:color="auto" w:fill="auto"/>
            <w:vAlign w:val="center"/>
          </w:tcPr>
          <w:p w14:paraId="1B121288" w14:textId="77777777" w:rsidR="003E4AF1" w:rsidRPr="00B916EC" w:rsidRDefault="003E4AF1" w:rsidP="003E4AF1">
            <w:pPr>
              <w:pStyle w:val="TAC"/>
            </w:pPr>
            <w:r w:rsidRPr="00B916EC">
              <w:t>7</w:t>
            </w:r>
          </w:p>
        </w:tc>
        <w:tc>
          <w:tcPr>
            <w:tcW w:w="885" w:type="dxa"/>
            <w:tcBorders>
              <w:left w:val="double" w:sz="4" w:space="0" w:color="auto"/>
            </w:tcBorders>
            <w:vAlign w:val="center"/>
          </w:tcPr>
          <w:p w14:paraId="1F5DB104" w14:textId="77777777" w:rsidR="003E4AF1" w:rsidRPr="00B916EC" w:rsidRDefault="003E4AF1" w:rsidP="003E4AF1">
            <w:pPr>
              <w:pStyle w:val="TAC"/>
            </w:pPr>
            <w:r w:rsidRPr="00B916EC">
              <w:rPr>
                <w:rStyle w:val="CommentReference"/>
                <w:rFonts w:cs="Arial"/>
                <w:sz w:val="18"/>
                <w:szCs w:val="18"/>
              </w:rPr>
              <w:t>7</w:t>
            </w:r>
          </w:p>
        </w:tc>
        <w:tc>
          <w:tcPr>
            <w:tcW w:w="3327" w:type="dxa"/>
            <w:vAlign w:val="center"/>
          </w:tcPr>
          <w:p w14:paraId="685CB679" w14:textId="77777777" w:rsidR="003E4AF1" w:rsidRPr="00B916EC" w:rsidRDefault="003E4AF1" w:rsidP="003E4AF1">
            <w:pPr>
              <w:pStyle w:val="TAC"/>
            </w:pPr>
            <w:r w:rsidRPr="00B916EC">
              <w:rPr>
                <w:rStyle w:val="CommentReference"/>
                <w:rFonts w:cs="Arial"/>
                <w:sz w:val="18"/>
                <w:szCs w:val="18"/>
              </w:rPr>
              <w:t>2</w:t>
            </w:r>
          </w:p>
        </w:tc>
        <w:tc>
          <w:tcPr>
            <w:tcW w:w="972" w:type="dxa"/>
            <w:vAlign w:val="center"/>
          </w:tcPr>
          <w:p w14:paraId="47D13FDC" w14:textId="77777777" w:rsidR="003E4AF1" w:rsidRPr="00B916EC" w:rsidRDefault="003E4AF1" w:rsidP="003E4AF1">
            <w:pPr>
              <w:pStyle w:val="TAC"/>
            </w:pPr>
            <w:r w:rsidRPr="00B916EC">
              <w:rPr>
                <w:rStyle w:val="CommentReference"/>
                <w:rFonts w:cs="Arial"/>
                <w:sz w:val="18"/>
                <w:szCs w:val="18"/>
              </w:rPr>
              <w:t>1</w:t>
            </w:r>
            <w:r>
              <w:rPr>
                <w:rStyle w:val="CommentReference"/>
                <w:rFonts w:cs="Arial"/>
                <w:sz w:val="18"/>
                <w:szCs w:val="18"/>
              </w:rPr>
              <w:t>/2</w:t>
            </w:r>
          </w:p>
        </w:tc>
        <w:tc>
          <w:tcPr>
            <w:tcW w:w="3443" w:type="dxa"/>
            <w:vAlign w:val="center"/>
          </w:tcPr>
          <w:p w14:paraId="418BB715" w14:textId="6BD046D6" w:rsidR="003E4AF1" w:rsidRPr="00B916EC" w:rsidRDefault="003E4AF1" w:rsidP="003E4AF1">
            <w:pPr>
              <w:pStyle w:val="TAC"/>
            </w:pPr>
            <w:r w:rsidRPr="00B27E56">
              <w:rPr>
                <w:rStyle w:val="CommentReference"/>
                <w:rFonts w:cs="Arial"/>
                <w:sz w:val="18"/>
                <w:szCs w:val="18"/>
              </w:rPr>
              <w:t xml:space="preserve">{0, if </w:t>
            </w:r>
            <m:oMath>
              <m:r>
                <w:rPr>
                  <w:rFonts w:ascii="Cambria Math" w:hAnsi="Cambria Math"/>
                </w:rPr>
                <m:t>i</m:t>
              </m:r>
            </m:oMath>
            <w:r w:rsidRPr="00B27E56">
              <w:t xml:space="preserve"> is even}</w:t>
            </w:r>
            <w:r w:rsidRPr="00B27E56">
              <w:rPr>
                <w:rStyle w:val="CommentReference"/>
                <w:rFonts w:cs="Arial"/>
                <w:sz w:val="18"/>
                <w:szCs w:val="18"/>
              </w:rPr>
              <w:t>, {</w:t>
            </w:r>
            <m:oMath>
              <m:sSubSup>
                <m:sSubSupPr>
                  <m:ctrlPr>
                    <w:rPr>
                      <w:rFonts w:ascii="Cambria Math" w:hAnsi="Cambria Math"/>
                      <w:i/>
                    </w:rPr>
                  </m:ctrlPr>
                </m:sSubSupPr>
                <m:e>
                  <m:r>
                    <w:rPr>
                      <w:rFonts w:ascii="Cambria Math"/>
                    </w:rPr>
                    <m:t>N</m:t>
                  </m:r>
                </m:e>
                <m:sub>
                  <m:r>
                    <m:rPr>
                      <m:nor/>
                    </m:rPr>
                    <w:rPr>
                      <w:rFonts w:ascii="Cambria Math"/>
                    </w:rPr>
                    <m:t>symb</m:t>
                  </m:r>
                  <m:ctrlPr>
                    <w:rPr>
                      <w:rFonts w:ascii="Cambria Math" w:hAnsi="Cambria Math"/>
                    </w:rPr>
                  </m:ctrlPr>
                </m:sub>
                <m:sup>
                  <m:r>
                    <m:rPr>
                      <m:nor/>
                    </m:rPr>
                    <w:rPr>
                      <w:rFonts w:ascii="Cambria Math"/>
                    </w:rPr>
                    <m:t>CORESET</m:t>
                  </m:r>
                  <m:ctrlPr>
                    <w:rPr>
                      <w:rFonts w:ascii="Cambria Math" w:hAnsi="Cambria Math"/>
                    </w:rPr>
                  </m:ctrlPr>
                </m:sup>
              </m:sSubSup>
            </m:oMath>
            <w:r w:rsidRPr="00B27E56">
              <w:t xml:space="preserve">, if </w:t>
            </w:r>
            <m:oMath>
              <m:r>
                <w:rPr>
                  <w:rFonts w:ascii="Cambria Math" w:hAnsi="Cambria Math"/>
                </w:rPr>
                <m:t>i</m:t>
              </m:r>
            </m:oMath>
            <w:r w:rsidRPr="00B27E56">
              <w:t xml:space="preserve"> is odd</w:t>
            </w:r>
            <w:r w:rsidRPr="00B27E56">
              <w:rPr>
                <w:rStyle w:val="CommentReference"/>
                <w:rFonts w:cs="Arial"/>
                <w:sz w:val="18"/>
                <w:szCs w:val="18"/>
              </w:rPr>
              <w:t>}</w:t>
            </w:r>
          </w:p>
        </w:tc>
      </w:tr>
      <w:tr w:rsidR="00673A22" w:rsidRPr="00B916EC" w14:paraId="0DE06F39" w14:textId="77777777" w:rsidTr="003E4AF1">
        <w:trPr>
          <w:cantSplit/>
        </w:trPr>
        <w:tc>
          <w:tcPr>
            <w:tcW w:w="806" w:type="dxa"/>
            <w:tcBorders>
              <w:right w:val="double" w:sz="4" w:space="0" w:color="auto"/>
            </w:tcBorders>
            <w:shd w:val="clear" w:color="auto" w:fill="auto"/>
            <w:vAlign w:val="center"/>
          </w:tcPr>
          <w:p w14:paraId="77FD4396" w14:textId="77777777" w:rsidR="00673A22" w:rsidRPr="00B916EC" w:rsidRDefault="00673A22" w:rsidP="0060031D">
            <w:pPr>
              <w:pStyle w:val="TAC"/>
            </w:pPr>
            <w:r w:rsidRPr="00B916EC">
              <w:t>8</w:t>
            </w:r>
          </w:p>
        </w:tc>
        <w:tc>
          <w:tcPr>
            <w:tcW w:w="885" w:type="dxa"/>
            <w:tcBorders>
              <w:left w:val="double" w:sz="4" w:space="0" w:color="auto"/>
            </w:tcBorders>
            <w:vAlign w:val="center"/>
          </w:tcPr>
          <w:p w14:paraId="4A16D1B2" w14:textId="77777777" w:rsidR="00673A22" w:rsidRPr="00B916EC" w:rsidRDefault="00673A22" w:rsidP="0060031D">
            <w:pPr>
              <w:pStyle w:val="TAC"/>
            </w:pPr>
            <w:r w:rsidRPr="00B916EC">
              <w:rPr>
                <w:rStyle w:val="CommentReference"/>
                <w:rFonts w:cs="Arial"/>
                <w:sz w:val="18"/>
                <w:szCs w:val="18"/>
              </w:rPr>
              <w:t>0</w:t>
            </w:r>
          </w:p>
        </w:tc>
        <w:tc>
          <w:tcPr>
            <w:tcW w:w="3327" w:type="dxa"/>
            <w:vAlign w:val="center"/>
          </w:tcPr>
          <w:p w14:paraId="68776B69" w14:textId="77777777" w:rsidR="00673A22" w:rsidRPr="00B916EC" w:rsidRDefault="00673A22" w:rsidP="0060031D">
            <w:pPr>
              <w:pStyle w:val="TAC"/>
            </w:pPr>
            <w:r w:rsidRPr="00B916EC">
              <w:rPr>
                <w:rStyle w:val="CommentReference"/>
                <w:rFonts w:cs="Arial"/>
                <w:sz w:val="18"/>
                <w:szCs w:val="18"/>
              </w:rPr>
              <w:t>1</w:t>
            </w:r>
          </w:p>
        </w:tc>
        <w:tc>
          <w:tcPr>
            <w:tcW w:w="972" w:type="dxa"/>
            <w:vAlign w:val="center"/>
          </w:tcPr>
          <w:p w14:paraId="48607B81" w14:textId="77777777" w:rsidR="00673A22" w:rsidRPr="00B916EC" w:rsidRDefault="00673A22" w:rsidP="0060031D">
            <w:pPr>
              <w:pStyle w:val="TAC"/>
            </w:pPr>
            <w:r w:rsidRPr="00B916EC">
              <w:rPr>
                <w:rStyle w:val="CommentReference"/>
                <w:rFonts w:cs="Arial"/>
                <w:sz w:val="18"/>
                <w:szCs w:val="18"/>
              </w:rPr>
              <w:t>2</w:t>
            </w:r>
          </w:p>
        </w:tc>
        <w:tc>
          <w:tcPr>
            <w:tcW w:w="3443" w:type="dxa"/>
            <w:vAlign w:val="center"/>
          </w:tcPr>
          <w:p w14:paraId="386ECDF8" w14:textId="77777777" w:rsidR="00673A22" w:rsidRPr="00B916EC" w:rsidRDefault="00673A22" w:rsidP="0060031D">
            <w:pPr>
              <w:pStyle w:val="TAC"/>
            </w:pPr>
            <w:r w:rsidRPr="00B916EC">
              <w:rPr>
                <w:rStyle w:val="CommentReference"/>
                <w:rFonts w:cs="Arial"/>
                <w:sz w:val="18"/>
                <w:szCs w:val="18"/>
              </w:rPr>
              <w:t>0</w:t>
            </w:r>
          </w:p>
        </w:tc>
      </w:tr>
      <w:tr w:rsidR="00673A22" w:rsidRPr="00B916EC" w14:paraId="532FAFB9" w14:textId="77777777" w:rsidTr="003E4AF1">
        <w:trPr>
          <w:cantSplit/>
        </w:trPr>
        <w:tc>
          <w:tcPr>
            <w:tcW w:w="806" w:type="dxa"/>
            <w:tcBorders>
              <w:right w:val="double" w:sz="4" w:space="0" w:color="auto"/>
            </w:tcBorders>
            <w:shd w:val="clear" w:color="auto" w:fill="auto"/>
            <w:vAlign w:val="center"/>
          </w:tcPr>
          <w:p w14:paraId="7617A629" w14:textId="77777777" w:rsidR="00673A22" w:rsidRPr="00B916EC" w:rsidRDefault="00673A22" w:rsidP="0060031D">
            <w:pPr>
              <w:pStyle w:val="TAC"/>
            </w:pPr>
            <w:r w:rsidRPr="00B916EC">
              <w:t>9</w:t>
            </w:r>
          </w:p>
        </w:tc>
        <w:tc>
          <w:tcPr>
            <w:tcW w:w="885" w:type="dxa"/>
            <w:tcBorders>
              <w:left w:val="double" w:sz="4" w:space="0" w:color="auto"/>
            </w:tcBorders>
            <w:vAlign w:val="center"/>
          </w:tcPr>
          <w:p w14:paraId="044E658A" w14:textId="77777777" w:rsidR="00673A22" w:rsidRPr="00B916EC" w:rsidRDefault="00673A22" w:rsidP="0060031D">
            <w:pPr>
              <w:pStyle w:val="TAC"/>
            </w:pPr>
            <w:r w:rsidRPr="00B916EC">
              <w:rPr>
                <w:rStyle w:val="CommentReference"/>
                <w:rFonts w:cs="Arial"/>
                <w:sz w:val="18"/>
                <w:szCs w:val="18"/>
              </w:rPr>
              <w:t>5</w:t>
            </w:r>
          </w:p>
        </w:tc>
        <w:tc>
          <w:tcPr>
            <w:tcW w:w="3327" w:type="dxa"/>
            <w:vAlign w:val="center"/>
          </w:tcPr>
          <w:p w14:paraId="4E9A0F50" w14:textId="77777777" w:rsidR="00673A22" w:rsidRPr="00B916EC" w:rsidRDefault="00673A22" w:rsidP="0060031D">
            <w:pPr>
              <w:pStyle w:val="TAC"/>
            </w:pPr>
            <w:r w:rsidRPr="00B916EC">
              <w:rPr>
                <w:rStyle w:val="CommentReference"/>
                <w:rFonts w:cs="Arial"/>
                <w:sz w:val="18"/>
                <w:szCs w:val="18"/>
              </w:rPr>
              <w:t>1</w:t>
            </w:r>
          </w:p>
        </w:tc>
        <w:tc>
          <w:tcPr>
            <w:tcW w:w="972" w:type="dxa"/>
            <w:vAlign w:val="center"/>
          </w:tcPr>
          <w:p w14:paraId="074A420A" w14:textId="77777777" w:rsidR="00673A22" w:rsidRPr="00B916EC" w:rsidRDefault="00673A22" w:rsidP="0060031D">
            <w:pPr>
              <w:pStyle w:val="TAC"/>
            </w:pPr>
            <w:r w:rsidRPr="00B916EC">
              <w:rPr>
                <w:rStyle w:val="CommentReference"/>
                <w:rFonts w:cs="Arial"/>
                <w:sz w:val="18"/>
                <w:szCs w:val="18"/>
              </w:rPr>
              <w:t>2</w:t>
            </w:r>
          </w:p>
        </w:tc>
        <w:tc>
          <w:tcPr>
            <w:tcW w:w="3443" w:type="dxa"/>
            <w:vAlign w:val="center"/>
          </w:tcPr>
          <w:p w14:paraId="46D4222B" w14:textId="77777777" w:rsidR="00673A22" w:rsidRPr="00B916EC" w:rsidRDefault="00673A22" w:rsidP="0060031D">
            <w:pPr>
              <w:pStyle w:val="TAC"/>
            </w:pPr>
            <w:r w:rsidRPr="00B916EC">
              <w:rPr>
                <w:rStyle w:val="CommentReference"/>
                <w:rFonts w:cs="Arial"/>
                <w:sz w:val="18"/>
                <w:szCs w:val="18"/>
              </w:rPr>
              <w:t>0</w:t>
            </w:r>
          </w:p>
        </w:tc>
      </w:tr>
      <w:tr w:rsidR="00673A22" w:rsidRPr="00B916EC" w14:paraId="5E52E5EE" w14:textId="77777777" w:rsidTr="003E4AF1">
        <w:trPr>
          <w:cantSplit/>
        </w:trPr>
        <w:tc>
          <w:tcPr>
            <w:tcW w:w="806" w:type="dxa"/>
            <w:tcBorders>
              <w:right w:val="double" w:sz="4" w:space="0" w:color="auto"/>
            </w:tcBorders>
            <w:shd w:val="clear" w:color="auto" w:fill="auto"/>
            <w:vAlign w:val="center"/>
          </w:tcPr>
          <w:p w14:paraId="67753FD2" w14:textId="77777777" w:rsidR="00673A22" w:rsidRPr="00B916EC" w:rsidRDefault="00673A22" w:rsidP="0060031D">
            <w:pPr>
              <w:pStyle w:val="TAC"/>
            </w:pPr>
            <w:r w:rsidRPr="00B916EC">
              <w:t>10</w:t>
            </w:r>
          </w:p>
        </w:tc>
        <w:tc>
          <w:tcPr>
            <w:tcW w:w="885" w:type="dxa"/>
            <w:tcBorders>
              <w:left w:val="double" w:sz="4" w:space="0" w:color="auto"/>
            </w:tcBorders>
            <w:vAlign w:val="center"/>
          </w:tcPr>
          <w:p w14:paraId="181E3F8C" w14:textId="77777777" w:rsidR="00673A22" w:rsidRPr="00B916EC" w:rsidRDefault="00673A22" w:rsidP="0060031D">
            <w:pPr>
              <w:pStyle w:val="TAC"/>
            </w:pPr>
            <w:r w:rsidRPr="00B916EC">
              <w:rPr>
                <w:rStyle w:val="CommentReference"/>
                <w:rFonts w:cs="Arial"/>
                <w:sz w:val="18"/>
                <w:szCs w:val="18"/>
              </w:rPr>
              <w:t>0</w:t>
            </w:r>
          </w:p>
        </w:tc>
        <w:tc>
          <w:tcPr>
            <w:tcW w:w="3327" w:type="dxa"/>
            <w:vAlign w:val="center"/>
          </w:tcPr>
          <w:p w14:paraId="5B7892AF" w14:textId="77777777" w:rsidR="00673A22" w:rsidRPr="00B916EC" w:rsidRDefault="00673A22" w:rsidP="0060031D">
            <w:pPr>
              <w:pStyle w:val="TAC"/>
            </w:pPr>
            <w:r w:rsidRPr="00B916EC">
              <w:rPr>
                <w:rStyle w:val="CommentReference"/>
                <w:rFonts w:cs="Arial"/>
                <w:sz w:val="18"/>
                <w:szCs w:val="18"/>
              </w:rPr>
              <w:t>1</w:t>
            </w:r>
          </w:p>
        </w:tc>
        <w:tc>
          <w:tcPr>
            <w:tcW w:w="972" w:type="dxa"/>
            <w:vAlign w:val="center"/>
          </w:tcPr>
          <w:p w14:paraId="3BA01F96" w14:textId="77777777" w:rsidR="00673A22" w:rsidRPr="00B916EC" w:rsidRDefault="00673A22" w:rsidP="0060031D">
            <w:pPr>
              <w:pStyle w:val="TAC"/>
            </w:pPr>
            <w:r w:rsidRPr="00B916EC">
              <w:rPr>
                <w:rStyle w:val="CommentReference"/>
                <w:rFonts w:cs="Arial"/>
                <w:sz w:val="18"/>
                <w:szCs w:val="18"/>
              </w:rPr>
              <w:t>1</w:t>
            </w:r>
          </w:p>
        </w:tc>
        <w:tc>
          <w:tcPr>
            <w:tcW w:w="3443" w:type="dxa"/>
            <w:vAlign w:val="center"/>
          </w:tcPr>
          <w:p w14:paraId="08E8996F" w14:textId="77777777" w:rsidR="00673A22" w:rsidRPr="00B916EC" w:rsidRDefault="00673A22" w:rsidP="0060031D">
            <w:pPr>
              <w:pStyle w:val="TAC"/>
            </w:pPr>
            <w:r w:rsidRPr="00B916EC">
              <w:rPr>
                <w:rStyle w:val="CommentReference"/>
                <w:rFonts w:cs="Arial"/>
                <w:sz w:val="18"/>
                <w:szCs w:val="18"/>
              </w:rPr>
              <w:t>1</w:t>
            </w:r>
          </w:p>
        </w:tc>
      </w:tr>
      <w:tr w:rsidR="00673A22" w:rsidRPr="00B916EC" w14:paraId="58EEBC39" w14:textId="77777777" w:rsidTr="003E4AF1">
        <w:trPr>
          <w:cantSplit/>
        </w:trPr>
        <w:tc>
          <w:tcPr>
            <w:tcW w:w="806" w:type="dxa"/>
            <w:tcBorders>
              <w:right w:val="double" w:sz="4" w:space="0" w:color="auto"/>
            </w:tcBorders>
            <w:shd w:val="clear" w:color="auto" w:fill="auto"/>
            <w:vAlign w:val="center"/>
          </w:tcPr>
          <w:p w14:paraId="2D4BB48D" w14:textId="77777777" w:rsidR="00673A22" w:rsidRPr="00B916EC" w:rsidRDefault="00673A22" w:rsidP="0060031D">
            <w:pPr>
              <w:pStyle w:val="TAC"/>
            </w:pPr>
            <w:r w:rsidRPr="00B916EC">
              <w:t>11</w:t>
            </w:r>
          </w:p>
        </w:tc>
        <w:tc>
          <w:tcPr>
            <w:tcW w:w="885" w:type="dxa"/>
            <w:tcBorders>
              <w:left w:val="double" w:sz="4" w:space="0" w:color="auto"/>
            </w:tcBorders>
            <w:vAlign w:val="center"/>
          </w:tcPr>
          <w:p w14:paraId="4C5A5DF0" w14:textId="77777777" w:rsidR="00673A22" w:rsidRPr="00B916EC" w:rsidRDefault="00673A22" w:rsidP="0060031D">
            <w:pPr>
              <w:pStyle w:val="TAC"/>
            </w:pPr>
            <w:r w:rsidRPr="00B916EC">
              <w:rPr>
                <w:rStyle w:val="CommentReference"/>
                <w:rFonts w:cs="Arial"/>
                <w:sz w:val="18"/>
                <w:szCs w:val="18"/>
              </w:rPr>
              <w:t>0</w:t>
            </w:r>
          </w:p>
        </w:tc>
        <w:tc>
          <w:tcPr>
            <w:tcW w:w="3327" w:type="dxa"/>
            <w:vAlign w:val="center"/>
          </w:tcPr>
          <w:p w14:paraId="41D29C6D" w14:textId="77777777" w:rsidR="00673A22" w:rsidRPr="00B916EC" w:rsidRDefault="00673A22" w:rsidP="0060031D">
            <w:pPr>
              <w:pStyle w:val="TAC"/>
            </w:pPr>
            <w:r w:rsidRPr="00B916EC">
              <w:rPr>
                <w:rStyle w:val="CommentReference"/>
                <w:rFonts w:cs="Arial"/>
                <w:sz w:val="18"/>
                <w:szCs w:val="18"/>
              </w:rPr>
              <w:t>1</w:t>
            </w:r>
          </w:p>
        </w:tc>
        <w:tc>
          <w:tcPr>
            <w:tcW w:w="972" w:type="dxa"/>
            <w:vAlign w:val="center"/>
          </w:tcPr>
          <w:p w14:paraId="47C7CC14" w14:textId="77777777" w:rsidR="00673A22" w:rsidRPr="00B916EC" w:rsidRDefault="00673A22" w:rsidP="0060031D">
            <w:pPr>
              <w:pStyle w:val="TAC"/>
            </w:pPr>
            <w:r w:rsidRPr="00B916EC">
              <w:rPr>
                <w:rStyle w:val="CommentReference"/>
                <w:rFonts w:cs="Arial"/>
                <w:sz w:val="18"/>
                <w:szCs w:val="18"/>
              </w:rPr>
              <w:t>1</w:t>
            </w:r>
          </w:p>
        </w:tc>
        <w:tc>
          <w:tcPr>
            <w:tcW w:w="3443" w:type="dxa"/>
            <w:vAlign w:val="center"/>
          </w:tcPr>
          <w:p w14:paraId="56ECE3DF" w14:textId="77777777" w:rsidR="00673A22" w:rsidRPr="00B916EC" w:rsidRDefault="00673A22" w:rsidP="0060031D">
            <w:pPr>
              <w:pStyle w:val="TAC"/>
            </w:pPr>
            <w:r w:rsidRPr="00B916EC">
              <w:rPr>
                <w:rStyle w:val="CommentReference"/>
                <w:rFonts w:cs="Arial"/>
                <w:sz w:val="18"/>
                <w:szCs w:val="18"/>
              </w:rPr>
              <w:t>2</w:t>
            </w:r>
          </w:p>
        </w:tc>
      </w:tr>
      <w:tr w:rsidR="00673A22" w:rsidRPr="00B916EC" w14:paraId="79B4AB32" w14:textId="77777777" w:rsidTr="003E4AF1">
        <w:trPr>
          <w:cantSplit/>
        </w:trPr>
        <w:tc>
          <w:tcPr>
            <w:tcW w:w="806" w:type="dxa"/>
            <w:tcBorders>
              <w:right w:val="double" w:sz="4" w:space="0" w:color="auto"/>
            </w:tcBorders>
            <w:shd w:val="clear" w:color="auto" w:fill="auto"/>
            <w:vAlign w:val="center"/>
          </w:tcPr>
          <w:p w14:paraId="59B7CB38" w14:textId="77777777" w:rsidR="00673A22" w:rsidRPr="00B916EC" w:rsidRDefault="00673A22" w:rsidP="0060031D">
            <w:pPr>
              <w:pStyle w:val="TAC"/>
            </w:pPr>
            <w:r w:rsidRPr="00B916EC">
              <w:t>12</w:t>
            </w:r>
          </w:p>
        </w:tc>
        <w:tc>
          <w:tcPr>
            <w:tcW w:w="885" w:type="dxa"/>
            <w:tcBorders>
              <w:left w:val="double" w:sz="4" w:space="0" w:color="auto"/>
            </w:tcBorders>
            <w:vAlign w:val="center"/>
          </w:tcPr>
          <w:p w14:paraId="7AFC0E7D" w14:textId="77777777" w:rsidR="00673A22" w:rsidRPr="00B916EC" w:rsidRDefault="00673A22" w:rsidP="0060031D">
            <w:pPr>
              <w:pStyle w:val="TAC"/>
            </w:pPr>
            <w:r w:rsidRPr="00B916EC">
              <w:rPr>
                <w:rStyle w:val="CommentReference"/>
                <w:rFonts w:cs="Arial"/>
                <w:sz w:val="18"/>
                <w:szCs w:val="18"/>
              </w:rPr>
              <w:t>2</w:t>
            </w:r>
          </w:p>
        </w:tc>
        <w:tc>
          <w:tcPr>
            <w:tcW w:w="3327" w:type="dxa"/>
            <w:vAlign w:val="center"/>
          </w:tcPr>
          <w:p w14:paraId="32C4C7DF" w14:textId="77777777" w:rsidR="00673A22" w:rsidRPr="00B916EC" w:rsidRDefault="00673A22" w:rsidP="0060031D">
            <w:pPr>
              <w:pStyle w:val="TAC"/>
            </w:pPr>
            <w:r w:rsidRPr="00B916EC">
              <w:rPr>
                <w:rStyle w:val="CommentReference"/>
                <w:rFonts w:cs="Arial"/>
                <w:sz w:val="18"/>
                <w:szCs w:val="18"/>
              </w:rPr>
              <w:t>1</w:t>
            </w:r>
          </w:p>
        </w:tc>
        <w:tc>
          <w:tcPr>
            <w:tcW w:w="972" w:type="dxa"/>
            <w:vAlign w:val="center"/>
          </w:tcPr>
          <w:p w14:paraId="42349698" w14:textId="77777777" w:rsidR="00673A22" w:rsidRPr="00B916EC" w:rsidRDefault="00673A22" w:rsidP="0060031D">
            <w:pPr>
              <w:pStyle w:val="TAC"/>
            </w:pPr>
            <w:r w:rsidRPr="00B916EC">
              <w:rPr>
                <w:rStyle w:val="CommentReference"/>
                <w:rFonts w:cs="Arial"/>
                <w:sz w:val="18"/>
                <w:szCs w:val="18"/>
              </w:rPr>
              <w:t>1</w:t>
            </w:r>
          </w:p>
        </w:tc>
        <w:tc>
          <w:tcPr>
            <w:tcW w:w="3443" w:type="dxa"/>
            <w:vAlign w:val="center"/>
          </w:tcPr>
          <w:p w14:paraId="7682243A" w14:textId="77777777" w:rsidR="00673A22" w:rsidRPr="00B916EC" w:rsidRDefault="00673A22" w:rsidP="0060031D">
            <w:pPr>
              <w:pStyle w:val="TAC"/>
            </w:pPr>
            <w:r w:rsidRPr="00B916EC">
              <w:rPr>
                <w:rStyle w:val="CommentReference"/>
                <w:rFonts w:cs="Arial"/>
                <w:sz w:val="18"/>
                <w:szCs w:val="18"/>
              </w:rPr>
              <w:t>1</w:t>
            </w:r>
          </w:p>
        </w:tc>
      </w:tr>
      <w:tr w:rsidR="00673A22" w:rsidRPr="00B916EC" w14:paraId="0F7FE465" w14:textId="77777777" w:rsidTr="003E4AF1">
        <w:trPr>
          <w:cantSplit/>
        </w:trPr>
        <w:tc>
          <w:tcPr>
            <w:tcW w:w="806" w:type="dxa"/>
            <w:tcBorders>
              <w:right w:val="double" w:sz="4" w:space="0" w:color="auto"/>
            </w:tcBorders>
            <w:shd w:val="clear" w:color="auto" w:fill="auto"/>
            <w:vAlign w:val="center"/>
          </w:tcPr>
          <w:p w14:paraId="23188D2F" w14:textId="77777777" w:rsidR="00673A22" w:rsidRPr="00B916EC" w:rsidRDefault="00673A22" w:rsidP="0060031D">
            <w:pPr>
              <w:pStyle w:val="TAC"/>
            </w:pPr>
            <w:r w:rsidRPr="00B916EC">
              <w:t>13</w:t>
            </w:r>
          </w:p>
        </w:tc>
        <w:tc>
          <w:tcPr>
            <w:tcW w:w="885" w:type="dxa"/>
            <w:tcBorders>
              <w:left w:val="double" w:sz="4" w:space="0" w:color="auto"/>
            </w:tcBorders>
            <w:vAlign w:val="center"/>
          </w:tcPr>
          <w:p w14:paraId="7FED0CD3" w14:textId="77777777" w:rsidR="00673A22" w:rsidRPr="00B916EC" w:rsidRDefault="00673A22" w:rsidP="0060031D">
            <w:pPr>
              <w:pStyle w:val="TAC"/>
            </w:pPr>
            <w:r w:rsidRPr="00B916EC">
              <w:rPr>
                <w:rStyle w:val="CommentReference"/>
                <w:rFonts w:cs="Arial"/>
                <w:sz w:val="18"/>
                <w:szCs w:val="18"/>
              </w:rPr>
              <w:t>2</w:t>
            </w:r>
          </w:p>
        </w:tc>
        <w:tc>
          <w:tcPr>
            <w:tcW w:w="3327" w:type="dxa"/>
            <w:vAlign w:val="center"/>
          </w:tcPr>
          <w:p w14:paraId="4412092B" w14:textId="77777777" w:rsidR="00673A22" w:rsidRPr="00B916EC" w:rsidRDefault="00673A22" w:rsidP="0060031D">
            <w:pPr>
              <w:pStyle w:val="TAC"/>
            </w:pPr>
            <w:r w:rsidRPr="00B916EC">
              <w:rPr>
                <w:rStyle w:val="CommentReference"/>
                <w:rFonts w:cs="Arial"/>
                <w:sz w:val="18"/>
                <w:szCs w:val="18"/>
              </w:rPr>
              <w:t>1</w:t>
            </w:r>
          </w:p>
        </w:tc>
        <w:tc>
          <w:tcPr>
            <w:tcW w:w="972" w:type="dxa"/>
            <w:vAlign w:val="center"/>
          </w:tcPr>
          <w:p w14:paraId="02F67CAF" w14:textId="77777777" w:rsidR="00673A22" w:rsidRPr="00B916EC" w:rsidRDefault="00673A22" w:rsidP="0060031D">
            <w:pPr>
              <w:pStyle w:val="TAC"/>
            </w:pPr>
            <w:r w:rsidRPr="00B916EC">
              <w:rPr>
                <w:rStyle w:val="CommentReference"/>
                <w:rFonts w:cs="Arial"/>
                <w:sz w:val="18"/>
                <w:szCs w:val="18"/>
              </w:rPr>
              <w:t>1</w:t>
            </w:r>
          </w:p>
        </w:tc>
        <w:tc>
          <w:tcPr>
            <w:tcW w:w="3443" w:type="dxa"/>
            <w:vAlign w:val="center"/>
          </w:tcPr>
          <w:p w14:paraId="4519F2AE" w14:textId="77777777" w:rsidR="00673A22" w:rsidRPr="00B916EC" w:rsidRDefault="00673A22" w:rsidP="0060031D">
            <w:pPr>
              <w:pStyle w:val="TAC"/>
            </w:pPr>
            <w:r w:rsidRPr="00B916EC">
              <w:rPr>
                <w:rStyle w:val="CommentReference"/>
                <w:rFonts w:cs="Arial"/>
                <w:sz w:val="18"/>
                <w:szCs w:val="18"/>
              </w:rPr>
              <w:t>2</w:t>
            </w:r>
          </w:p>
        </w:tc>
      </w:tr>
      <w:tr w:rsidR="00673A22" w:rsidRPr="00B916EC" w14:paraId="0ADA704A" w14:textId="77777777" w:rsidTr="003E4AF1">
        <w:trPr>
          <w:cantSplit/>
        </w:trPr>
        <w:tc>
          <w:tcPr>
            <w:tcW w:w="806" w:type="dxa"/>
            <w:tcBorders>
              <w:right w:val="double" w:sz="4" w:space="0" w:color="auto"/>
            </w:tcBorders>
            <w:shd w:val="clear" w:color="auto" w:fill="auto"/>
            <w:vAlign w:val="center"/>
          </w:tcPr>
          <w:p w14:paraId="38699F61" w14:textId="77777777" w:rsidR="00673A22" w:rsidRPr="00B916EC" w:rsidRDefault="00673A22" w:rsidP="0060031D">
            <w:pPr>
              <w:pStyle w:val="TAC"/>
            </w:pPr>
            <w:r w:rsidRPr="00B916EC">
              <w:t>14</w:t>
            </w:r>
          </w:p>
        </w:tc>
        <w:tc>
          <w:tcPr>
            <w:tcW w:w="885" w:type="dxa"/>
            <w:tcBorders>
              <w:left w:val="double" w:sz="4" w:space="0" w:color="auto"/>
            </w:tcBorders>
            <w:vAlign w:val="center"/>
          </w:tcPr>
          <w:p w14:paraId="471417EA" w14:textId="77777777" w:rsidR="00673A22" w:rsidRPr="00B916EC" w:rsidRDefault="00673A22" w:rsidP="0060031D">
            <w:pPr>
              <w:pStyle w:val="TAC"/>
            </w:pPr>
            <w:r w:rsidRPr="00B916EC">
              <w:rPr>
                <w:rStyle w:val="CommentReference"/>
                <w:rFonts w:cs="Arial"/>
                <w:sz w:val="18"/>
                <w:szCs w:val="18"/>
              </w:rPr>
              <w:t>5</w:t>
            </w:r>
          </w:p>
        </w:tc>
        <w:tc>
          <w:tcPr>
            <w:tcW w:w="3327" w:type="dxa"/>
            <w:vAlign w:val="center"/>
          </w:tcPr>
          <w:p w14:paraId="68E65761" w14:textId="77777777" w:rsidR="00673A22" w:rsidRPr="00B916EC" w:rsidRDefault="00673A22" w:rsidP="0060031D">
            <w:pPr>
              <w:pStyle w:val="TAC"/>
            </w:pPr>
            <w:r w:rsidRPr="00B916EC">
              <w:rPr>
                <w:rStyle w:val="CommentReference"/>
                <w:rFonts w:cs="Arial"/>
                <w:sz w:val="18"/>
                <w:szCs w:val="18"/>
              </w:rPr>
              <w:t>1</w:t>
            </w:r>
          </w:p>
        </w:tc>
        <w:tc>
          <w:tcPr>
            <w:tcW w:w="972" w:type="dxa"/>
            <w:vAlign w:val="center"/>
          </w:tcPr>
          <w:p w14:paraId="67B3093D" w14:textId="77777777" w:rsidR="00673A22" w:rsidRPr="00B916EC" w:rsidRDefault="00673A22" w:rsidP="0060031D">
            <w:pPr>
              <w:pStyle w:val="TAC"/>
            </w:pPr>
            <w:r w:rsidRPr="00B916EC">
              <w:rPr>
                <w:rStyle w:val="CommentReference"/>
                <w:rFonts w:cs="Arial"/>
                <w:sz w:val="18"/>
                <w:szCs w:val="18"/>
              </w:rPr>
              <w:t>1</w:t>
            </w:r>
          </w:p>
        </w:tc>
        <w:tc>
          <w:tcPr>
            <w:tcW w:w="3443" w:type="dxa"/>
            <w:vAlign w:val="center"/>
          </w:tcPr>
          <w:p w14:paraId="5A7663AB" w14:textId="77777777" w:rsidR="00673A22" w:rsidRPr="00B916EC" w:rsidRDefault="00673A22" w:rsidP="0060031D">
            <w:pPr>
              <w:pStyle w:val="TAC"/>
            </w:pPr>
            <w:r w:rsidRPr="00B916EC">
              <w:rPr>
                <w:rStyle w:val="CommentReference"/>
                <w:rFonts w:cs="Arial"/>
                <w:sz w:val="18"/>
                <w:szCs w:val="18"/>
              </w:rPr>
              <w:t>1</w:t>
            </w:r>
          </w:p>
        </w:tc>
      </w:tr>
      <w:tr w:rsidR="00673A22" w:rsidRPr="00B916EC" w14:paraId="1B032EE2" w14:textId="77777777" w:rsidTr="003E4AF1">
        <w:trPr>
          <w:cantSplit/>
        </w:trPr>
        <w:tc>
          <w:tcPr>
            <w:tcW w:w="806" w:type="dxa"/>
            <w:tcBorders>
              <w:right w:val="double" w:sz="4" w:space="0" w:color="auto"/>
            </w:tcBorders>
            <w:shd w:val="clear" w:color="auto" w:fill="auto"/>
            <w:vAlign w:val="center"/>
          </w:tcPr>
          <w:p w14:paraId="79128033" w14:textId="77777777" w:rsidR="00673A22" w:rsidRPr="00B916EC" w:rsidRDefault="00673A22" w:rsidP="0060031D">
            <w:pPr>
              <w:pStyle w:val="TAC"/>
            </w:pPr>
            <w:r w:rsidRPr="00B916EC">
              <w:rPr>
                <w:rFonts w:cs="Arial"/>
                <w:kern w:val="24"/>
                <w:szCs w:val="18"/>
              </w:rPr>
              <w:t>15</w:t>
            </w:r>
          </w:p>
        </w:tc>
        <w:tc>
          <w:tcPr>
            <w:tcW w:w="885" w:type="dxa"/>
            <w:tcBorders>
              <w:left w:val="double" w:sz="4" w:space="0" w:color="auto"/>
            </w:tcBorders>
            <w:vAlign w:val="center"/>
          </w:tcPr>
          <w:p w14:paraId="55CD2301" w14:textId="77777777" w:rsidR="00673A22" w:rsidRPr="00B916EC" w:rsidRDefault="00673A22" w:rsidP="0060031D">
            <w:pPr>
              <w:pStyle w:val="TAC"/>
              <w:rPr>
                <w:rFonts w:cs="Arial"/>
                <w:kern w:val="24"/>
                <w:szCs w:val="18"/>
              </w:rPr>
            </w:pPr>
            <w:r w:rsidRPr="00B916EC">
              <w:rPr>
                <w:rStyle w:val="CommentReference"/>
                <w:rFonts w:cs="Arial"/>
                <w:sz w:val="18"/>
                <w:szCs w:val="18"/>
              </w:rPr>
              <w:t>5</w:t>
            </w:r>
          </w:p>
        </w:tc>
        <w:tc>
          <w:tcPr>
            <w:tcW w:w="3327" w:type="dxa"/>
            <w:vAlign w:val="center"/>
          </w:tcPr>
          <w:p w14:paraId="39C4CE95" w14:textId="77777777" w:rsidR="00673A22" w:rsidRPr="00B916EC" w:rsidRDefault="00673A22" w:rsidP="0060031D">
            <w:pPr>
              <w:pStyle w:val="TAC"/>
              <w:rPr>
                <w:rFonts w:cs="Arial"/>
                <w:kern w:val="24"/>
                <w:szCs w:val="18"/>
              </w:rPr>
            </w:pPr>
            <w:r w:rsidRPr="00B916EC">
              <w:rPr>
                <w:rStyle w:val="CommentReference"/>
                <w:rFonts w:cs="Arial"/>
                <w:sz w:val="18"/>
                <w:szCs w:val="18"/>
              </w:rPr>
              <w:t>1</w:t>
            </w:r>
          </w:p>
        </w:tc>
        <w:tc>
          <w:tcPr>
            <w:tcW w:w="972" w:type="dxa"/>
            <w:vAlign w:val="center"/>
          </w:tcPr>
          <w:p w14:paraId="4E35EF36" w14:textId="77777777" w:rsidR="00673A22" w:rsidRPr="00B916EC" w:rsidRDefault="00673A22" w:rsidP="0060031D">
            <w:pPr>
              <w:pStyle w:val="TAC"/>
              <w:rPr>
                <w:rFonts w:cs="Arial"/>
                <w:kern w:val="24"/>
                <w:szCs w:val="18"/>
              </w:rPr>
            </w:pPr>
            <w:r w:rsidRPr="00B916EC">
              <w:rPr>
                <w:rStyle w:val="CommentReference"/>
                <w:rFonts w:cs="Arial"/>
                <w:sz w:val="18"/>
                <w:szCs w:val="18"/>
              </w:rPr>
              <w:t>1</w:t>
            </w:r>
          </w:p>
        </w:tc>
        <w:tc>
          <w:tcPr>
            <w:tcW w:w="3443" w:type="dxa"/>
            <w:vAlign w:val="center"/>
          </w:tcPr>
          <w:p w14:paraId="0626D698" w14:textId="77777777" w:rsidR="00673A22" w:rsidRPr="00B916EC" w:rsidRDefault="00673A22" w:rsidP="0060031D">
            <w:pPr>
              <w:pStyle w:val="TAC"/>
              <w:rPr>
                <w:rFonts w:cs="Arial"/>
                <w:kern w:val="24"/>
                <w:szCs w:val="18"/>
              </w:rPr>
            </w:pPr>
            <w:r w:rsidRPr="00B916EC">
              <w:rPr>
                <w:rStyle w:val="CommentReference"/>
                <w:rFonts w:cs="Arial"/>
                <w:sz w:val="18"/>
                <w:szCs w:val="18"/>
              </w:rPr>
              <w:t>2</w:t>
            </w:r>
          </w:p>
        </w:tc>
      </w:tr>
    </w:tbl>
    <w:p w14:paraId="642A4747" w14:textId="77777777" w:rsidR="007D38F3" w:rsidRPr="00B916EC" w:rsidRDefault="007D38F3" w:rsidP="0060031D">
      <w:pPr>
        <w:rPr>
          <w:b/>
        </w:rPr>
      </w:pPr>
    </w:p>
    <w:p w14:paraId="44FD4AF4" w14:textId="3B6BF321" w:rsidR="001A0AAE" w:rsidRPr="00B916EC" w:rsidRDefault="001A0AAE" w:rsidP="00B06B6C">
      <w:pPr>
        <w:pStyle w:val="TH"/>
      </w:pPr>
      <w:r w:rsidRPr="00B916EC">
        <w:t>Table 1</w:t>
      </w:r>
      <w:r w:rsidR="00EC0649">
        <w:t>3</w:t>
      </w:r>
      <w:r w:rsidRPr="00B916EC">
        <w:t>-</w:t>
      </w:r>
      <w:r w:rsidR="00C929BE" w:rsidRPr="00B916EC">
        <w:t>1</w:t>
      </w:r>
      <w:r w:rsidR="00C929BE">
        <w:t>2</w:t>
      </w:r>
      <w:r w:rsidRPr="00B916EC">
        <w:t xml:space="preserve">: Parameters for PDCCH monitoring occasions for Type0-PDCCH </w:t>
      </w:r>
      <w:r w:rsidR="00CF02AF">
        <w:t>CSS set</w:t>
      </w:r>
      <w:r w:rsidRPr="00B916EC">
        <w:t xml:space="preserve"> - SS/PBCH block and </w:t>
      </w:r>
      <w:r w:rsidR="00C76664">
        <w:t>CORESET</w:t>
      </w:r>
      <w:r w:rsidRPr="00B916EC">
        <w:t xml:space="preserve"> multiplexing </w:t>
      </w:r>
      <w:r w:rsidR="00C929BE">
        <w:t>pattern</w:t>
      </w:r>
      <w:r w:rsidR="00C929BE" w:rsidRPr="00B916EC">
        <w:t xml:space="preserve"> </w:t>
      </w:r>
      <w:r w:rsidRPr="00B916EC">
        <w:t xml:space="preserve">1 and </w:t>
      </w:r>
      <w:r w:rsidR="00CF02AF">
        <w:t>FR</w:t>
      </w:r>
      <w:r w:rsidR="00C929BE" w:rsidRPr="00C929BE">
        <w:t>2</w:t>
      </w:r>
      <w:r w:rsidR="003E4AF1" w:rsidRPr="00B27E56">
        <w:t>-1, or SS/PBCH block and CORESET multiplexing pattern 1 and {SS/PBCH block, PDCCH} SCS {120, 120} kHz in FR2-2</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5"/>
        <w:gridCol w:w="972"/>
        <w:gridCol w:w="3326"/>
        <w:gridCol w:w="904"/>
        <w:gridCol w:w="3426"/>
      </w:tblGrid>
      <w:tr w:rsidR="003E4AF1" w:rsidRPr="00B916EC" w14:paraId="6F45C498" w14:textId="77777777" w:rsidTr="00B73508">
        <w:trPr>
          <w:cantSplit/>
        </w:trPr>
        <w:tc>
          <w:tcPr>
            <w:tcW w:w="805" w:type="dxa"/>
            <w:tcBorders>
              <w:bottom w:val="double" w:sz="4" w:space="0" w:color="auto"/>
              <w:right w:val="double" w:sz="4" w:space="0" w:color="auto"/>
            </w:tcBorders>
            <w:shd w:val="clear" w:color="auto" w:fill="E0E0E0"/>
            <w:vAlign w:val="center"/>
          </w:tcPr>
          <w:p w14:paraId="44315C84" w14:textId="77777777" w:rsidR="003E4AF1" w:rsidRPr="00B916EC" w:rsidRDefault="003E4AF1" w:rsidP="003E4AF1">
            <w:pPr>
              <w:pStyle w:val="TAH"/>
              <w:rPr>
                <w:bCs/>
                <w:lang w:val="en-US"/>
              </w:rPr>
            </w:pPr>
            <w:r w:rsidRPr="00B916EC">
              <w:rPr>
                <w:bCs/>
                <w:lang w:val="en-US"/>
              </w:rPr>
              <w:t>Index</w:t>
            </w:r>
          </w:p>
        </w:tc>
        <w:tc>
          <w:tcPr>
            <w:tcW w:w="972" w:type="dxa"/>
            <w:tcBorders>
              <w:left w:val="double" w:sz="4" w:space="0" w:color="auto"/>
              <w:bottom w:val="double" w:sz="4" w:space="0" w:color="auto"/>
            </w:tcBorders>
            <w:shd w:val="clear" w:color="auto" w:fill="E0E0E0"/>
            <w:vAlign w:val="center"/>
          </w:tcPr>
          <w:p w14:paraId="34B700AE" w14:textId="63BF3391" w:rsidR="003E4AF1" w:rsidRPr="00B916EC" w:rsidRDefault="003E4AF1" w:rsidP="003E4AF1">
            <w:pPr>
              <w:pStyle w:val="TAH"/>
              <w:rPr>
                <w:bCs/>
                <w:lang w:val="en-US"/>
              </w:rPr>
            </w:pPr>
            <m:oMathPara>
              <m:oMath>
                <m:r>
                  <m:rPr>
                    <m:sty m:val="bi"/>
                  </m:rPr>
                  <w:rPr>
                    <w:rFonts w:ascii="Cambria Math" w:hAnsi="Cambria Math"/>
                    <w:sz w:val="20"/>
                    <w:lang w:val="en-US"/>
                  </w:rPr>
                  <m:t>O</m:t>
                </m:r>
              </m:oMath>
            </m:oMathPara>
          </w:p>
        </w:tc>
        <w:tc>
          <w:tcPr>
            <w:tcW w:w="3326" w:type="dxa"/>
            <w:tcBorders>
              <w:bottom w:val="double" w:sz="4" w:space="0" w:color="auto"/>
            </w:tcBorders>
            <w:shd w:val="clear" w:color="auto" w:fill="E0E0E0"/>
            <w:vAlign w:val="center"/>
          </w:tcPr>
          <w:p w14:paraId="6BA1ED0C" w14:textId="40228F24" w:rsidR="003E4AF1" w:rsidRPr="00B916EC" w:rsidRDefault="003E4AF1" w:rsidP="003E4AF1">
            <w:pPr>
              <w:pStyle w:val="TAH"/>
              <w:rPr>
                <w:bCs/>
                <w:lang w:val="en-US"/>
              </w:rPr>
            </w:pPr>
            <w:r w:rsidRPr="00B27E56">
              <w:rPr>
                <w:rStyle w:val="CommentReference"/>
                <w:rFonts w:cs="Arial"/>
                <w:sz w:val="18"/>
                <w:szCs w:val="18"/>
              </w:rPr>
              <w:t>Number of search space sets per slot</w:t>
            </w:r>
          </w:p>
        </w:tc>
        <w:tc>
          <w:tcPr>
            <w:tcW w:w="904" w:type="dxa"/>
            <w:tcBorders>
              <w:bottom w:val="double" w:sz="4" w:space="0" w:color="auto"/>
            </w:tcBorders>
            <w:shd w:val="clear" w:color="auto" w:fill="E0E0E0"/>
            <w:vAlign w:val="center"/>
          </w:tcPr>
          <w:p w14:paraId="3E0FDD65" w14:textId="48A60A2B" w:rsidR="003E4AF1" w:rsidRPr="00B916EC" w:rsidRDefault="003E4AF1" w:rsidP="003E4AF1">
            <w:pPr>
              <w:pStyle w:val="TAH"/>
              <w:rPr>
                <w:bCs/>
                <w:lang w:val="en-US"/>
              </w:rPr>
            </w:pPr>
            <m:oMathPara>
              <m:oMath>
                <m:r>
                  <m:rPr>
                    <m:sty m:val="bi"/>
                  </m:rPr>
                  <w:rPr>
                    <w:rFonts w:ascii="Cambria Math" w:hAnsi="Cambria Math"/>
                    <w:lang w:val="en-US"/>
                  </w:rPr>
                  <m:t>M</m:t>
                </m:r>
              </m:oMath>
            </m:oMathPara>
          </w:p>
        </w:tc>
        <w:tc>
          <w:tcPr>
            <w:tcW w:w="3426" w:type="dxa"/>
            <w:tcBorders>
              <w:bottom w:val="double" w:sz="4" w:space="0" w:color="auto"/>
            </w:tcBorders>
            <w:shd w:val="clear" w:color="auto" w:fill="E0E0E0"/>
            <w:vAlign w:val="center"/>
          </w:tcPr>
          <w:p w14:paraId="01AD453C" w14:textId="77777777" w:rsidR="003E4AF1" w:rsidRPr="00B916EC" w:rsidRDefault="003E4AF1" w:rsidP="003E4AF1">
            <w:pPr>
              <w:spacing w:after="0"/>
              <w:jc w:val="center"/>
              <w:textAlignment w:val="bottom"/>
              <w:rPr>
                <w:rFonts w:ascii="Arial" w:hAnsi="Arial" w:cs="Arial"/>
                <w:b/>
                <w:sz w:val="18"/>
                <w:szCs w:val="18"/>
              </w:rPr>
            </w:pPr>
            <w:r w:rsidRPr="00B916EC">
              <w:rPr>
                <w:rStyle w:val="CommentReference"/>
                <w:rFonts w:ascii="Arial" w:hAnsi="Arial" w:cs="Arial"/>
                <w:b/>
                <w:sz w:val="18"/>
                <w:szCs w:val="18"/>
              </w:rPr>
              <w:t>First symbol index</w:t>
            </w:r>
          </w:p>
        </w:tc>
      </w:tr>
      <w:tr w:rsidR="00146079" w:rsidRPr="00B916EC" w14:paraId="483F6C27" w14:textId="77777777" w:rsidTr="00B73508">
        <w:trPr>
          <w:cantSplit/>
        </w:trPr>
        <w:tc>
          <w:tcPr>
            <w:tcW w:w="805" w:type="dxa"/>
            <w:tcBorders>
              <w:top w:val="double" w:sz="4" w:space="0" w:color="auto"/>
              <w:right w:val="double" w:sz="4" w:space="0" w:color="auto"/>
            </w:tcBorders>
            <w:shd w:val="clear" w:color="auto" w:fill="auto"/>
            <w:vAlign w:val="center"/>
          </w:tcPr>
          <w:p w14:paraId="6293E518" w14:textId="77777777" w:rsidR="00146079" w:rsidRPr="00B916EC" w:rsidRDefault="00146079" w:rsidP="008F5350">
            <w:pPr>
              <w:pStyle w:val="TAC"/>
              <w:rPr>
                <w:lang w:val="en-US"/>
              </w:rPr>
            </w:pPr>
            <w:r w:rsidRPr="00B916EC">
              <w:rPr>
                <w:lang w:val="en-US"/>
              </w:rPr>
              <w:t>0</w:t>
            </w:r>
          </w:p>
        </w:tc>
        <w:tc>
          <w:tcPr>
            <w:tcW w:w="972" w:type="dxa"/>
            <w:tcBorders>
              <w:top w:val="double" w:sz="4" w:space="0" w:color="auto"/>
              <w:left w:val="double" w:sz="4" w:space="0" w:color="auto"/>
            </w:tcBorders>
            <w:vAlign w:val="center"/>
          </w:tcPr>
          <w:p w14:paraId="5EC8AD72" w14:textId="77777777" w:rsidR="00146079" w:rsidRPr="00B916EC" w:rsidRDefault="00146079" w:rsidP="008F5350">
            <w:pPr>
              <w:pStyle w:val="TAC"/>
              <w:rPr>
                <w:lang w:val="en-US"/>
              </w:rPr>
            </w:pPr>
            <w:r w:rsidRPr="00B916EC">
              <w:rPr>
                <w:rStyle w:val="CommentReference"/>
                <w:rFonts w:cs="Arial"/>
                <w:sz w:val="18"/>
                <w:szCs w:val="18"/>
              </w:rPr>
              <w:t>0</w:t>
            </w:r>
          </w:p>
        </w:tc>
        <w:tc>
          <w:tcPr>
            <w:tcW w:w="3326" w:type="dxa"/>
            <w:tcBorders>
              <w:top w:val="double" w:sz="4" w:space="0" w:color="auto"/>
            </w:tcBorders>
            <w:vAlign w:val="center"/>
          </w:tcPr>
          <w:p w14:paraId="53B2E58D" w14:textId="77777777" w:rsidR="00146079" w:rsidRPr="00B916EC" w:rsidRDefault="00146079" w:rsidP="008F5350">
            <w:pPr>
              <w:pStyle w:val="TAC"/>
              <w:rPr>
                <w:lang w:val="en-US"/>
              </w:rPr>
            </w:pPr>
            <w:r w:rsidRPr="00B916EC">
              <w:rPr>
                <w:rStyle w:val="CommentReference"/>
                <w:rFonts w:cs="Arial"/>
                <w:sz w:val="18"/>
                <w:szCs w:val="18"/>
              </w:rPr>
              <w:t>1</w:t>
            </w:r>
          </w:p>
        </w:tc>
        <w:tc>
          <w:tcPr>
            <w:tcW w:w="904" w:type="dxa"/>
            <w:tcBorders>
              <w:top w:val="double" w:sz="4" w:space="0" w:color="auto"/>
            </w:tcBorders>
            <w:vAlign w:val="center"/>
          </w:tcPr>
          <w:p w14:paraId="111D24B9" w14:textId="77777777" w:rsidR="00146079" w:rsidRPr="00B916EC" w:rsidRDefault="00146079" w:rsidP="008F5350">
            <w:pPr>
              <w:pStyle w:val="TAC"/>
              <w:rPr>
                <w:lang w:val="en-US"/>
              </w:rPr>
            </w:pPr>
            <w:r w:rsidRPr="00B916EC">
              <w:rPr>
                <w:rStyle w:val="CommentReference"/>
                <w:rFonts w:cs="Arial"/>
                <w:sz w:val="18"/>
                <w:szCs w:val="18"/>
              </w:rPr>
              <w:t>1</w:t>
            </w:r>
          </w:p>
        </w:tc>
        <w:tc>
          <w:tcPr>
            <w:tcW w:w="3426" w:type="dxa"/>
            <w:tcBorders>
              <w:top w:val="double" w:sz="4" w:space="0" w:color="auto"/>
            </w:tcBorders>
            <w:vAlign w:val="center"/>
          </w:tcPr>
          <w:p w14:paraId="26168029" w14:textId="77777777" w:rsidR="00146079" w:rsidRPr="00B916EC" w:rsidRDefault="00146079" w:rsidP="008F5350">
            <w:pPr>
              <w:pStyle w:val="TAC"/>
              <w:rPr>
                <w:lang w:val="en-US"/>
              </w:rPr>
            </w:pPr>
            <w:r w:rsidRPr="00B916EC">
              <w:rPr>
                <w:rStyle w:val="CommentReference"/>
                <w:rFonts w:cs="Arial"/>
                <w:sz w:val="18"/>
                <w:szCs w:val="18"/>
              </w:rPr>
              <w:t>0</w:t>
            </w:r>
          </w:p>
        </w:tc>
      </w:tr>
      <w:tr w:rsidR="003E4AF1" w:rsidRPr="00B916EC" w14:paraId="3C93E22C" w14:textId="77777777" w:rsidTr="00B73508">
        <w:trPr>
          <w:cantSplit/>
        </w:trPr>
        <w:tc>
          <w:tcPr>
            <w:tcW w:w="805" w:type="dxa"/>
            <w:tcBorders>
              <w:right w:val="double" w:sz="4" w:space="0" w:color="auto"/>
            </w:tcBorders>
            <w:shd w:val="clear" w:color="auto" w:fill="auto"/>
            <w:vAlign w:val="center"/>
          </w:tcPr>
          <w:p w14:paraId="4424E40B" w14:textId="77777777" w:rsidR="003E4AF1" w:rsidRPr="00B916EC" w:rsidRDefault="003E4AF1" w:rsidP="003E4AF1">
            <w:pPr>
              <w:pStyle w:val="TAC"/>
              <w:rPr>
                <w:lang w:val="en-US"/>
              </w:rPr>
            </w:pPr>
            <w:r w:rsidRPr="00B916EC">
              <w:rPr>
                <w:lang w:val="en-US"/>
              </w:rPr>
              <w:t>1</w:t>
            </w:r>
          </w:p>
        </w:tc>
        <w:tc>
          <w:tcPr>
            <w:tcW w:w="972" w:type="dxa"/>
            <w:tcBorders>
              <w:left w:val="double" w:sz="4" w:space="0" w:color="auto"/>
            </w:tcBorders>
            <w:vAlign w:val="center"/>
          </w:tcPr>
          <w:p w14:paraId="564D4599" w14:textId="77777777" w:rsidR="003E4AF1" w:rsidRPr="00B916EC" w:rsidRDefault="003E4AF1" w:rsidP="003E4AF1">
            <w:pPr>
              <w:pStyle w:val="TAC"/>
              <w:rPr>
                <w:lang w:val="en-US"/>
              </w:rPr>
            </w:pPr>
            <w:r w:rsidRPr="00B916EC">
              <w:rPr>
                <w:rStyle w:val="CommentReference"/>
                <w:rFonts w:cs="Arial"/>
                <w:sz w:val="18"/>
                <w:szCs w:val="18"/>
              </w:rPr>
              <w:t>0</w:t>
            </w:r>
          </w:p>
        </w:tc>
        <w:tc>
          <w:tcPr>
            <w:tcW w:w="3326" w:type="dxa"/>
            <w:vAlign w:val="center"/>
          </w:tcPr>
          <w:p w14:paraId="6D73E2FC" w14:textId="77777777" w:rsidR="003E4AF1" w:rsidRPr="00B916EC" w:rsidRDefault="003E4AF1" w:rsidP="003E4AF1">
            <w:pPr>
              <w:pStyle w:val="TAC"/>
              <w:rPr>
                <w:lang w:val="en-US"/>
              </w:rPr>
            </w:pPr>
            <w:r w:rsidRPr="00B916EC">
              <w:rPr>
                <w:rStyle w:val="CommentReference"/>
                <w:rFonts w:cs="Arial"/>
                <w:sz w:val="18"/>
                <w:szCs w:val="18"/>
              </w:rPr>
              <w:t>2</w:t>
            </w:r>
          </w:p>
        </w:tc>
        <w:tc>
          <w:tcPr>
            <w:tcW w:w="904" w:type="dxa"/>
            <w:vAlign w:val="center"/>
          </w:tcPr>
          <w:p w14:paraId="11D7C6AD" w14:textId="77777777" w:rsidR="003E4AF1" w:rsidRPr="00B916EC" w:rsidRDefault="003E4AF1" w:rsidP="003E4AF1">
            <w:pPr>
              <w:pStyle w:val="TAC"/>
              <w:rPr>
                <w:lang w:val="en-US"/>
              </w:rPr>
            </w:pPr>
            <w:r w:rsidRPr="00B916EC">
              <w:rPr>
                <w:rStyle w:val="CommentReference"/>
                <w:rFonts w:cs="Arial"/>
                <w:sz w:val="18"/>
                <w:szCs w:val="18"/>
              </w:rPr>
              <w:t>1</w:t>
            </w:r>
            <w:r>
              <w:rPr>
                <w:rStyle w:val="CommentReference"/>
                <w:rFonts w:cs="Arial"/>
                <w:sz w:val="18"/>
                <w:szCs w:val="18"/>
              </w:rPr>
              <w:t>/2</w:t>
            </w:r>
          </w:p>
        </w:tc>
        <w:tc>
          <w:tcPr>
            <w:tcW w:w="3426" w:type="dxa"/>
            <w:vAlign w:val="center"/>
          </w:tcPr>
          <w:p w14:paraId="1DED8855" w14:textId="74EDD27E" w:rsidR="003E4AF1" w:rsidRPr="00B916EC" w:rsidRDefault="003E4AF1" w:rsidP="003E4AF1">
            <w:pPr>
              <w:pStyle w:val="TAC"/>
              <w:rPr>
                <w:lang w:val="en-US"/>
              </w:rPr>
            </w:pPr>
            <w:r w:rsidRPr="00B27E56">
              <w:rPr>
                <w:rStyle w:val="CommentReference"/>
                <w:rFonts w:cs="Arial"/>
                <w:sz w:val="18"/>
                <w:szCs w:val="18"/>
              </w:rPr>
              <w:t xml:space="preserve">{0, if </w:t>
            </w:r>
            <m:oMath>
              <m:r>
                <w:rPr>
                  <w:rFonts w:ascii="Cambria Math" w:hAnsi="Cambria Math"/>
                </w:rPr>
                <m:t>i</m:t>
              </m:r>
            </m:oMath>
            <w:r w:rsidRPr="00B27E56">
              <w:t xml:space="preserve"> is even}</w:t>
            </w:r>
            <w:r w:rsidRPr="00B27E56">
              <w:rPr>
                <w:rStyle w:val="CommentReference"/>
                <w:rFonts w:cs="Arial"/>
                <w:sz w:val="18"/>
                <w:szCs w:val="18"/>
              </w:rPr>
              <w:t>, {7</w:t>
            </w:r>
            <w:r w:rsidRPr="00B27E56">
              <w:t xml:space="preserve">, if </w:t>
            </w:r>
            <m:oMath>
              <m:r>
                <w:rPr>
                  <w:rFonts w:ascii="Cambria Math" w:hAnsi="Cambria Math"/>
                </w:rPr>
                <m:t>i</m:t>
              </m:r>
            </m:oMath>
            <w:r w:rsidRPr="00B27E56">
              <w:t xml:space="preserve"> is odd</w:t>
            </w:r>
            <w:r w:rsidRPr="00B27E56">
              <w:rPr>
                <w:rStyle w:val="CommentReference"/>
                <w:rFonts w:cs="Arial"/>
                <w:sz w:val="18"/>
                <w:szCs w:val="18"/>
              </w:rPr>
              <w:t>}</w:t>
            </w:r>
          </w:p>
        </w:tc>
      </w:tr>
      <w:tr w:rsidR="003E4AF1" w:rsidRPr="00B916EC" w14:paraId="1CF26D5E" w14:textId="77777777" w:rsidTr="00B73508">
        <w:trPr>
          <w:cantSplit/>
        </w:trPr>
        <w:tc>
          <w:tcPr>
            <w:tcW w:w="805" w:type="dxa"/>
            <w:tcBorders>
              <w:right w:val="double" w:sz="4" w:space="0" w:color="auto"/>
            </w:tcBorders>
            <w:shd w:val="clear" w:color="auto" w:fill="auto"/>
            <w:vAlign w:val="center"/>
          </w:tcPr>
          <w:p w14:paraId="10587BCB" w14:textId="77777777" w:rsidR="003E4AF1" w:rsidRPr="00B916EC" w:rsidRDefault="003E4AF1" w:rsidP="003E4AF1">
            <w:pPr>
              <w:pStyle w:val="TAC"/>
            </w:pPr>
            <w:r w:rsidRPr="00B916EC">
              <w:t>2</w:t>
            </w:r>
          </w:p>
        </w:tc>
        <w:tc>
          <w:tcPr>
            <w:tcW w:w="972" w:type="dxa"/>
            <w:tcBorders>
              <w:left w:val="double" w:sz="4" w:space="0" w:color="auto"/>
            </w:tcBorders>
            <w:vAlign w:val="center"/>
          </w:tcPr>
          <w:p w14:paraId="2D91CB00" w14:textId="77777777" w:rsidR="003E4AF1" w:rsidRPr="00B916EC" w:rsidRDefault="003E4AF1" w:rsidP="003E4AF1">
            <w:pPr>
              <w:pStyle w:val="TAC"/>
            </w:pPr>
            <w:r w:rsidRPr="00B916EC">
              <w:rPr>
                <w:rStyle w:val="CommentReference"/>
                <w:rFonts w:cs="Arial"/>
                <w:sz w:val="18"/>
                <w:szCs w:val="18"/>
              </w:rPr>
              <w:t xml:space="preserve">2.5 </w:t>
            </w:r>
          </w:p>
        </w:tc>
        <w:tc>
          <w:tcPr>
            <w:tcW w:w="3326" w:type="dxa"/>
            <w:vAlign w:val="center"/>
          </w:tcPr>
          <w:p w14:paraId="4D2597F0" w14:textId="77777777" w:rsidR="003E4AF1" w:rsidRPr="00B916EC" w:rsidRDefault="003E4AF1" w:rsidP="003E4AF1">
            <w:pPr>
              <w:pStyle w:val="TAC"/>
            </w:pPr>
            <w:r w:rsidRPr="00B916EC">
              <w:rPr>
                <w:rStyle w:val="CommentReference"/>
                <w:rFonts w:cs="Arial"/>
                <w:sz w:val="18"/>
                <w:szCs w:val="18"/>
              </w:rPr>
              <w:t>1</w:t>
            </w:r>
          </w:p>
        </w:tc>
        <w:tc>
          <w:tcPr>
            <w:tcW w:w="904" w:type="dxa"/>
            <w:vAlign w:val="center"/>
          </w:tcPr>
          <w:p w14:paraId="3642C355" w14:textId="77777777" w:rsidR="003E4AF1" w:rsidRPr="00B916EC" w:rsidRDefault="003E4AF1" w:rsidP="003E4AF1">
            <w:pPr>
              <w:pStyle w:val="TAC"/>
            </w:pPr>
            <w:r w:rsidRPr="00B916EC">
              <w:rPr>
                <w:rStyle w:val="CommentReference"/>
                <w:rFonts w:cs="Arial"/>
                <w:sz w:val="18"/>
                <w:szCs w:val="18"/>
              </w:rPr>
              <w:t>1</w:t>
            </w:r>
          </w:p>
        </w:tc>
        <w:tc>
          <w:tcPr>
            <w:tcW w:w="3426" w:type="dxa"/>
            <w:vAlign w:val="center"/>
          </w:tcPr>
          <w:p w14:paraId="3A4C51FF" w14:textId="154A6F47" w:rsidR="003E4AF1" w:rsidRPr="00B916EC" w:rsidRDefault="003E4AF1" w:rsidP="003E4AF1">
            <w:pPr>
              <w:pStyle w:val="TAC"/>
            </w:pPr>
            <w:r w:rsidRPr="00B27E56">
              <w:rPr>
                <w:rStyle w:val="CommentReference"/>
                <w:rFonts w:cs="Arial"/>
                <w:sz w:val="18"/>
                <w:szCs w:val="18"/>
              </w:rPr>
              <w:t>0</w:t>
            </w:r>
          </w:p>
        </w:tc>
      </w:tr>
      <w:tr w:rsidR="003E4AF1" w:rsidRPr="00B916EC" w14:paraId="7DAF71D7" w14:textId="77777777" w:rsidTr="00B73508">
        <w:trPr>
          <w:cantSplit/>
        </w:trPr>
        <w:tc>
          <w:tcPr>
            <w:tcW w:w="805" w:type="dxa"/>
            <w:tcBorders>
              <w:right w:val="double" w:sz="4" w:space="0" w:color="auto"/>
            </w:tcBorders>
            <w:shd w:val="clear" w:color="auto" w:fill="auto"/>
            <w:vAlign w:val="center"/>
          </w:tcPr>
          <w:p w14:paraId="1B5A7ECD" w14:textId="77777777" w:rsidR="003E4AF1" w:rsidRPr="00B916EC" w:rsidRDefault="003E4AF1" w:rsidP="003E4AF1">
            <w:pPr>
              <w:pStyle w:val="TAC"/>
            </w:pPr>
            <w:r w:rsidRPr="00B916EC">
              <w:t>3</w:t>
            </w:r>
          </w:p>
        </w:tc>
        <w:tc>
          <w:tcPr>
            <w:tcW w:w="972" w:type="dxa"/>
            <w:tcBorders>
              <w:left w:val="double" w:sz="4" w:space="0" w:color="auto"/>
            </w:tcBorders>
            <w:vAlign w:val="center"/>
          </w:tcPr>
          <w:p w14:paraId="79BF352B" w14:textId="77777777" w:rsidR="003E4AF1" w:rsidRPr="00B916EC" w:rsidRDefault="003E4AF1" w:rsidP="003E4AF1">
            <w:pPr>
              <w:pStyle w:val="TAC"/>
            </w:pPr>
            <w:r w:rsidRPr="00B916EC">
              <w:rPr>
                <w:rStyle w:val="CommentReference"/>
                <w:rFonts w:cs="Arial"/>
                <w:sz w:val="18"/>
                <w:szCs w:val="18"/>
              </w:rPr>
              <w:t>2.5</w:t>
            </w:r>
          </w:p>
        </w:tc>
        <w:tc>
          <w:tcPr>
            <w:tcW w:w="3326" w:type="dxa"/>
            <w:vAlign w:val="center"/>
          </w:tcPr>
          <w:p w14:paraId="3767A364" w14:textId="77777777" w:rsidR="003E4AF1" w:rsidRPr="00B916EC" w:rsidRDefault="003E4AF1" w:rsidP="003E4AF1">
            <w:pPr>
              <w:pStyle w:val="TAC"/>
            </w:pPr>
            <w:r w:rsidRPr="00B916EC">
              <w:rPr>
                <w:rStyle w:val="CommentReference"/>
                <w:rFonts w:cs="Arial"/>
                <w:sz w:val="18"/>
                <w:szCs w:val="18"/>
              </w:rPr>
              <w:t>2</w:t>
            </w:r>
          </w:p>
        </w:tc>
        <w:tc>
          <w:tcPr>
            <w:tcW w:w="904" w:type="dxa"/>
            <w:vAlign w:val="center"/>
          </w:tcPr>
          <w:p w14:paraId="1DF3F50B" w14:textId="77777777" w:rsidR="003E4AF1" w:rsidRPr="00B916EC" w:rsidRDefault="003E4AF1" w:rsidP="003E4AF1">
            <w:pPr>
              <w:pStyle w:val="TAC"/>
            </w:pPr>
            <w:r w:rsidRPr="00B916EC">
              <w:rPr>
                <w:rStyle w:val="CommentReference"/>
                <w:rFonts w:cs="Arial"/>
                <w:sz w:val="18"/>
                <w:szCs w:val="18"/>
              </w:rPr>
              <w:t>1</w:t>
            </w:r>
            <w:r>
              <w:rPr>
                <w:rStyle w:val="CommentReference"/>
                <w:rFonts w:cs="Arial"/>
                <w:sz w:val="18"/>
                <w:szCs w:val="18"/>
              </w:rPr>
              <w:t>/2</w:t>
            </w:r>
          </w:p>
        </w:tc>
        <w:tc>
          <w:tcPr>
            <w:tcW w:w="3426" w:type="dxa"/>
            <w:vAlign w:val="center"/>
          </w:tcPr>
          <w:p w14:paraId="330C65F0" w14:textId="7E962D47" w:rsidR="003E4AF1" w:rsidRPr="00B916EC" w:rsidRDefault="003E4AF1" w:rsidP="003E4AF1">
            <w:pPr>
              <w:pStyle w:val="TAC"/>
            </w:pPr>
            <w:r w:rsidRPr="00B27E56">
              <w:rPr>
                <w:rStyle w:val="CommentReference"/>
                <w:rFonts w:cs="Arial"/>
                <w:sz w:val="18"/>
                <w:szCs w:val="18"/>
              </w:rPr>
              <w:t xml:space="preserve">{0, if </w:t>
            </w:r>
            <m:oMath>
              <m:r>
                <w:rPr>
                  <w:rFonts w:ascii="Cambria Math" w:hAnsi="Cambria Math"/>
                </w:rPr>
                <m:t>i</m:t>
              </m:r>
            </m:oMath>
            <w:r w:rsidRPr="00B27E56">
              <w:t xml:space="preserve"> is even}</w:t>
            </w:r>
            <w:r w:rsidRPr="00B27E56">
              <w:rPr>
                <w:rStyle w:val="CommentReference"/>
                <w:rFonts w:cs="Arial"/>
                <w:sz w:val="18"/>
                <w:szCs w:val="18"/>
              </w:rPr>
              <w:t>, {7</w:t>
            </w:r>
            <w:r w:rsidRPr="00B27E56">
              <w:t xml:space="preserve">, if </w:t>
            </w:r>
            <m:oMath>
              <m:r>
                <w:rPr>
                  <w:rFonts w:ascii="Cambria Math" w:hAnsi="Cambria Math"/>
                </w:rPr>
                <m:t>i</m:t>
              </m:r>
            </m:oMath>
            <w:r w:rsidRPr="00B27E56">
              <w:t xml:space="preserve"> is odd</w:t>
            </w:r>
            <w:r w:rsidRPr="00B27E56">
              <w:rPr>
                <w:rStyle w:val="CommentReference"/>
                <w:rFonts w:cs="Arial"/>
                <w:sz w:val="18"/>
                <w:szCs w:val="18"/>
              </w:rPr>
              <w:t>}</w:t>
            </w:r>
          </w:p>
        </w:tc>
      </w:tr>
      <w:tr w:rsidR="003E4AF1" w:rsidRPr="00B916EC" w14:paraId="60FEF84D" w14:textId="77777777" w:rsidTr="00B73508">
        <w:trPr>
          <w:cantSplit/>
        </w:trPr>
        <w:tc>
          <w:tcPr>
            <w:tcW w:w="805" w:type="dxa"/>
            <w:tcBorders>
              <w:right w:val="double" w:sz="4" w:space="0" w:color="auto"/>
            </w:tcBorders>
            <w:shd w:val="clear" w:color="auto" w:fill="auto"/>
            <w:vAlign w:val="center"/>
          </w:tcPr>
          <w:p w14:paraId="4EAF3426" w14:textId="77777777" w:rsidR="003E4AF1" w:rsidRPr="00B916EC" w:rsidRDefault="003E4AF1" w:rsidP="003E4AF1">
            <w:pPr>
              <w:pStyle w:val="TAC"/>
            </w:pPr>
            <w:r w:rsidRPr="00B916EC">
              <w:t>4</w:t>
            </w:r>
          </w:p>
        </w:tc>
        <w:tc>
          <w:tcPr>
            <w:tcW w:w="972" w:type="dxa"/>
            <w:tcBorders>
              <w:left w:val="double" w:sz="4" w:space="0" w:color="auto"/>
            </w:tcBorders>
            <w:vAlign w:val="center"/>
          </w:tcPr>
          <w:p w14:paraId="32707723" w14:textId="77777777" w:rsidR="003E4AF1" w:rsidRPr="00B916EC" w:rsidRDefault="003E4AF1" w:rsidP="003E4AF1">
            <w:pPr>
              <w:pStyle w:val="TAC"/>
            </w:pPr>
            <w:r w:rsidRPr="00B916EC">
              <w:rPr>
                <w:rStyle w:val="CommentReference"/>
                <w:rFonts w:cs="Arial"/>
                <w:sz w:val="18"/>
                <w:szCs w:val="18"/>
              </w:rPr>
              <w:t>5</w:t>
            </w:r>
          </w:p>
        </w:tc>
        <w:tc>
          <w:tcPr>
            <w:tcW w:w="3326" w:type="dxa"/>
            <w:vAlign w:val="center"/>
          </w:tcPr>
          <w:p w14:paraId="1F9751AF" w14:textId="77777777" w:rsidR="003E4AF1" w:rsidRPr="00B916EC" w:rsidRDefault="003E4AF1" w:rsidP="003E4AF1">
            <w:pPr>
              <w:pStyle w:val="TAC"/>
            </w:pPr>
            <w:r w:rsidRPr="00B916EC">
              <w:rPr>
                <w:rStyle w:val="CommentReference"/>
                <w:rFonts w:cs="Arial"/>
                <w:sz w:val="18"/>
                <w:szCs w:val="18"/>
              </w:rPr>
              <w:t>1</w:t>
            </w:r>
          </w:p>
        </w:tc>
        <w:tc>
          <w:tcPr>
            <w:tcW w:w="904" w:type="dxa"/>
            <w:vAlign w:val="center"/>
          </w:tcPr>
          <w:p w14:paraId="0B25637F" w14:textId="77777777" w:rsidR="003E4AF1" w:rsidRPr="00B916EC" w:rsidRDefault="003E4AF1" w:rsidP="003E4AF1">
            <w:pPr>
              <w:pStyle w:val="TAC"/>
            </w:pPr>
            <w:r w:rsidRPr="00B916EC">
              <w:rPr>
                <w:rStyle w:val="CommentReference"/>
                <w:rFonts w:cs="Arial"/>
                <w:sz w:val="18"/>
                <w:szCs w:val="18"/>
              </w:rPr>
              <w:t>1</w:t>
            </w:r>
          </w:p>
        </w:tc>
        <w:tc>
          <w:tcPr>
            <w:tcW w:w="3426" w:type="dxa"/>
            <w:vAlign w:val="center"/>
          </w:tcPr>
          <w:p w14:paraId="3466A61A" w14:textId="756FE5E1" w:rsidR="003E4AF1" w:rsidRPr="00B916EC" w:rsidRDefault="003E4AF1" w:rsidP="003E4AF1">
            <w:pPr>
              <w:pStyle w:val="TAC"/>
            </w:pPr>
            <w:r w:rsidRPr="00B27E56">
              <w:rPr>
                <w:rStyle w:val="CommentReference"/>
                <w:rFonts w:cs="Arial"/>
                <w:sz w:val="18"/>
                <w:szCs w:val="18"/>
              </w:rPr>
              <w:t>0</w:t>
            </w:r>
          </w:p>
        </w:tc>
      </w:tr>
      <w:tr w:rsidR="003E4AF1" w:rsidRPr="00B916EC" w14:paraId="53C17920" w14:textId="77777777" w:rsidTr="00B73508">
        <w:trPr>
          <w:cantSplit/>
        </w:trPr>
        <w:tc>
          <w:tcPr>
            <w:tcW w:w="805" w:type="dxa"/>
            <w:tcBorders>
              <w:right w:val="double" w:sz="4" w:space="0" w:color="auto"/>
            </w:tcBorders>
            <w:shd w:val="clear" w:color="auto" w:fill="auto"/>
            <w:vAlign w:val="center"/>
          </w:tcPr>
          <w:p w14:paraId="30889F67" w14:textId="77777777" w:rsidR="003E4AF1" w:rsidRPr="00B916EC" w:rsidRDefault="003E4AF1" w:rsidP="003E4AF1">
            <w:pPr>
              <w:pStyle w:val="TAC"/>
            </w:pPr>
            <w:r w:rsidRPr="00B916EC">
              <w:t>5</w:t>
            </w:r>
          </w:p>
        </w:tc>
        <w:tc>
          <w:tcPr>
            <w:tcW w:w="972" w:type="dxa"/>
            <w:tcBorders>
              <w:left w:val="double" w:sz="4" w:space="0" w:color="auto"/>
            </w:tcBorders>
            <w:vAlign w:val="center"/>
          </w:tcPr>
          <w:p w14:paraId="04580ECF" w14:textId="77777777" w:rsidR="003E4AF1" w:rsidRPr="00B916EC" w:rsidRDefault="003E4AF1" w:rsidP="003E4AF1">
            <w:pPr>
              <w:pStyle w:val="TAC"/>
            </w:pPr>
            <w:r w:rsidRPr="00B916EC">
              <w:rPr>
                <w:rStyle w:val="CommentReference"/>
                <w:rFonts w:cs="Arial"/>
                <w:sz w:val="18"/>
                <w:szCs w:val="18"/>
              </w:rPr>
              <w:t>5</w:t>
            </w:r>
          </w:p>
        </w:tc>
        <w:tc>
          <w:tcPr>
            <w:tcW w:w="3326" w:type="dxa"/>
            <w:vAlign w:val="center"/>
          </w:tcPr>
          <w:p w14:paraId="413CCD40" w14:textId="77777777" w:rsidR="003E4AF1" w:rsidRPr="00B916EC" w:rsidRDefault="003E4AF1" w:rsidP="003E4AF1">
            <w:pPr>
              <w:pStyle w:val="TAC"/>
            </w:pPr>
            <w:r w:rsidRPr="00B916EC">
              <w:rPr>
                <w:rStyle w:val="CommentReference"/>
                <w:rFonts w:cs="Arial"/>
                <w:sz w:val="18"/>
                <w:szCs w:val="18"/>
              </w:rPr>
              <w:t>2</w:t>
            </w:r>
          </w:p>
        </w:tc>
        <w:tc>
          <w:tcPr>
            <w:tcW w:w="904" w:type="dxa"/>
            <w:vAlign w:val="center"/>
          </w:tcPr>
          <w:p w14:paraId="549AF6FA" w14:textId="77777777" w:rsidR="003E4AF1" w:rsidRPr="00B916EC" w:rsidRDefault="003E4AF1" w:rsidP="003E4AF1">
            <w:pPr>
              <w:pStyle w:val="TAC"/>
            </w:pPr>
            <w:r w:rsidRPr="00B916EC">
              <w:rPr>
                <w:rStyle w:val="CommentReference"/>
                <w:rFonts w:cs="Arial"/>
                <w:sz w:val="18"/>
                <w:szCs w:val="18"/>
              </w:rPr>
              <w:t>1</w:t>
            </w:r>
            <w:r>
              <w:rPr>
                <w:rStyle w:val="CommentReference"/>
                <w:rFonts w:cs="Arial"/>
                <w:sz w:val="18"/>
                <w:szCs w:val="18"/>
              </w:rPr>
              <w:t>/2</w:t>
            </w:r>
          </w:p>
        </w:tc>
        <w:tc>
          <w:tcPr>
            <w:tcW w:w="3426" w:type="dxa"/>
            <w:vAlign w:val="center"/>
          </w:tcPr>
          <w:p w14:paraId="5801AFC8" w14:textId="77A97D25" w:rsidR="003E4AF1" w:rsidRPr="00B916EC" w:rsidRDefault="003E4AF1" w:rsidP="003E4AF1">
            <w:pPr>
              <w:pStyle w:val="TAC"/>
            </w:pPr>
            <w:r w:rsidRPr="00B27E56">
              <w:rPr>
                <w:rStyle w:val="CommentReference"/>
                <w:rFonts w:cs="Arial"/>
                <w:sz w:val="18"/>
                <w:szCs w:val="18"/>
              </w:rPr>
              <w:t xml:space="preserve">{0, if </w:t>
            </w:r>
            <m:oMath>
              <m:r>
                <w:rPr>
                  <w:rFonts w:ascii="Cambria Math" w:hAnsi="Cambria Math"/>
                </w:rPr>
                <m:t>i</m:t>
              </m:r>
            </m:oMath>
            <w:r w:rsidRPr="00B27E56">
              <w:t xml:space="preserve"> is even}</w:t>
            </w:r>
            <w:r w:rsidRPr="00B27E56">
              <w:rPr>
                <w:rStyle w:val="CommentReference"/>
                <w:rFonts w:cs="Arial"/>
                <w:sz w:val="18"/>
                <w:szCs w:val="18"/>
              </w:rPr>
              <w:t>, {7</w:t>
            </w:r>
            <w:r w:rsidRPr="00B27E56">
              <w:t xml:space="preserve">, if </w:t>
            </w:r>
            <m:oMath>
              <m:r>
                <w:rPr>
                  <w:rFonts w:ascii="Cambria Math" w:hAnsi="Cambria Math"/>
                </w:rPr>
                <m:t>i</m:t>
              </m:r>
            </m:oMath>
            <w:r w:rsidRPr="00B27E56">
              <w:t xml:space="preserve"> is odd</w:t>
            </w:r>
            <w:r w:rsidRPr="00B27E56">
              <w:rPr>
                <w:rStyle w:val="CommentReference"/>
                <w:rFonts w:cs="Arial"/>
                <w:sz w:val="18"/>
                <w:szCs w:val="18"/>
              </w:rPr>
              <w:t>}</w:t>
            </w:r>
          </w:p>
        </w:tc>
      </w:tr>
      <w:tr w:rsidR="003E4AF1" w:rsidRPr="00B916EC" w14:paraId="3EF19E0C" w14:textId="77777777" w:rsidTr="00B73508">
        <w:trPr>
          <w:cantSplit/>
        </w:trPr>
        <w:tc>
          <w:tcPr>
            <w:tcW w:w="805" w:type="dxa"/>
            <w:tcBorders>
              <w:right w:val="double" w:sz="4" w:space="0" w:color="auto"/>
            </w:tcBorders>
            <w:shd w:val="clear" w:color="auto" w:fill="auto"/>
            <w:vAlign w:val="center"/>
          </w:tcPr>
          <w:p w14:paraId="4050A8ED" w14:textId="77777777" w:rsidR="003E4AF1" w:rsidRPr="00B916EC" w:rsidRDefault="003E4AF1" w:rsidP="003E4AF1">
            <w:pPr>
              <w:pStyle w:val="TAC"/>
            </w:pPr>
            <w:r w:rsidRPr="00B916EC">
              <w:t>6</w:t>
            </w:r>
          </w:p>
        </w:tc>
        <w:tc>
          <w:tcPr>
            <w:tcW w:w="972" w:type="dxa"/>
            <w:tcBorders>
              <w:left w:val="double" w:sz="4" w:space="0" w:color="auto"/>
            </w:tcBorders>
            <w:vAlign w:val="center"/>
          </w:tcPr>
          <w:p w14:paraId="716D5FF1" w14:textId="77777777" w:rsidR="003E4AF1" w:rsidRPr="00B916EC" w:rsidRDefault="003E4AF1" w:rsidP="003E4AF1">
            <w:pPr>
              <w:pStyle w:val="TAC"/>
            </w:pPr>
            <w:r w:rsidRPr="00B916EC">
              <w:rPr>
                <w:rStyle w:val="CommentReference"/>
                <w:rFonts w:cs="Arial"/>
                <w:sz w:val="18"/>
                <w:szCs w:val="18"/>
              </w:rPr>
              <w:t>0</w:t>
            </w:r>
          </w:p>
        </w:tc>
        <w:tc>
          <w:tcPr>
            <w:tcW w:w="3326" w:type="dxa"/>
            <w:vAlign w:val="center"/>
          </w:tcPr>
          <w:p w14:paraId="0C068435" w14:textId="77777777" w:rsidR="003E4AF1" w:rsidRPr="00B916EC" w:rsidRDefault="003E4AF1" w:rsidP="003E4AF1">
            <w:pPr>
              <w:pStyle w:val="TAC"/>
            </w:pPr>
            <w:r w:rsidRPr="00B916EC">
              <w:rPr>
                <w:rStyle w:val="CommentReference"/>
                <w:rFonts w:cs="Arial"/>
                <w:sz w:val="18"/>
                <w:szCs w:val="18"/>
              </w:rPr>
              <w:t>2</w:t>
            </w:r>
          </w:p>
        </w:tc>
        <w:tc>
          <w:tcPr>
            <w:tcW w:w="904" w:type="dxa"/>
            <w:vAlign w:val="center"/>
          </w:tcPr>
          <w:p w14:paraId="710AAF35" w14:textId="77777777" w:rsidR="003E4AF1" w:rsidRPr="00B916EC" w:rsidRDefault="003E4AF1" w:rsidP="003E4AF1">
            <w:pPr>
              <w:pStyle w:val="TAC"/>
            </w:pPr>
            <w:r w:rsidRPr="00B916EC">
              <w:rPr>
                <w:rStyle w:val="CommentReference"/>
                <w:rFonts w:cs="Arial"/>
                <w:sz w:val="18"/>
                <w:szCs w:val="18"/>
              </w:rPr>
              <w:t>1</w:t>
            </w:r>
            <w:r>
              <w:rPr>
                <w:rStyle w:val="CommentReference"/>
                <w:rFonts w:cs="Arial"/>
                <w:sz w:val="18"/>
                <w:szCs w:val="18"/>
              </w:rPr>
              <w:t>/2</w:t>
            </w:r>
          </w:p>
        </w:tc>
        <w:tc>
          <w:tcPr>
            <w:tcW w:w="3426" w:type="dxa"/>
            <w:vAlign w:val="center"/>
          </w:tcPr>
          <w:p w14:paraId="41F068CF" w14:textId="35F2075F" w:rsidR="003E4AF1" w:rsidRPr="00B916EC" w:rsidRDefault="003E4AF1" w:rsidP="003E4AF1">
            <w:pPr>
              <w:pStyle w:val="TAC"/>
            </w:pPr>
            <w:r w:rsidRPr="00B27E56">
              <w:rPr>
                <w:rStyle w:val="CommentReference"/>
                <w:rFonts w:cs="Arial"/>
                <w:sz w:val="18"/>
                <w:szCs w:val="18"/>
              </w:rPr>
              <w:t xml:space="preserve"> {0, if </w:t>
            </w:r>
            <m:oMath>
              <m:r>
                <w:rPr>
                  <w:rFonts w:ascii="Cambria Math" w:hAnsi="Cambria Math"/>
                </w:rPr>
                <m:t>i</m:t>
              </m:r>
            </m:oMath>
            <w:r w:rsidRPr="00B27E56">
              <w:t xml:space="preserve"> is even}</w:t>
            </w:r>
            <w:r w:rsidRPr="00B27E56">
              <w:rPr>
                <w:rStyle w:val="CommentReference"/>
                <w:rFonts w:cs="Arial"/>
                <w:sz w:val="18"/>
                <w:szCs w:val="18"/>
              </w:rPr>
              <w:t>, {</w:t>
            </w:r>
            <m:oMath>
              <m:sSubSup>
                <m:sSubSupPr>
                  <m:ctrlPr>
                    <w:rPr>
                      <w:rFonts w:ascii="Cambria Math" w:hAnsi="Cambria Math"/>
                      <w:i/>
                    </w:rPr>
                  </m:ctrlPr>
                </m:sSubSupPr>
                <m:e>
                  <m:r>
                    <w:rPr>
                      <w:rFonts w:ascii="Cambria Math"/>
                    </w:rPr>
                    <m:t>N</m:t>
                  </m:r>
                </m:e>
                <m:sub>
                  <m:r>
                    <m:rPr>
                      <m:nor/>
                    </m:rPr>
                    <w:rPr>
                      <w:rFonts w:ascii="Cambria Math"/>
                    </w:rPr>
                    <m:t>symb</m:t>
                  </m:r>
                  <m:ctrlPr>
                    <w:rPr>
                      <w:rFonts w:ascii="Cambria Math" w:hAnsi="Cambria Math"/>
                    </w:rPr>
                  </m:ctrlPr>
                </m:sub>
                <m:sup>
                  <m:r>
                    <m:rPr>
                      <m:nor/>
                    </m:rPr>
                    <w:rPr>
                      <w:rFonts w:ascii="Cambria Math"/>
                    </w:rPr>
                    <m:t>CORESET</m:t>
                  </m:r>
                  <m:ctrlPr>
                    <w:rPr>
                      <w:rFonts w:ascii="Cambria Math" w:hAnsi="Cambria Math"/>
                    </w:rPr>
                  </m:ctrlPr>
                </m:sup>
              </m:sSubSup>
            </m:oMath>
            <w:r w:rsidRPr="00B27E56">
              <w:t xml:space="preserve">, if </w:t>
            </w:r>
            <m:oMath>
              <m:r>
                <w:rPr>
                  <w:rFonts w:ascii="Cambria Math" w:hAnsi="Cambria Math"/>
                </w:rPr>
                <m:t>i</m:t>
              </m:r>
            </m:oMath>
            <w:r w:rsidRPr="00B27E56">
              <w:t xml:space="preserve"> is odd</w:t>
            </w:r>
            <w:r w:rsidRPr="00B27E56">
              <w:rPr>
                <w:rStyle w:val="CommentReference"/>
                <w:rFonts w:cs="Arial"/>
                <w:sz w:val="18"/>
                <w:szCs w:val="18"/>
              </w:rPr>
              <w:t>}</w:t>
            </w:r>
          </w:p>
        </w:tc>
      </w:tr>
      <w:tr w:rsidR="003E4AF1" w:rsidRPr="00B916EC" w14:paraId="379F45A2" w14:textId="77777777" w:rsidTr="00B73508">
        <w:trPr>
          <w:cantSplit/>
        </w:trPr>
        <w:tc>
          <w:tcPr>
            <w:tcW w:w="805" w:type="dxa"/>
            <w:tcBorders>
              <w:right w:val="double" w:sz="4" w:space="0" w:color="auto"/>
            </w:tcBorders>
            <w:shd w:val="clear" w:color="auto" w:fill="auto"/>
            <w:vAlign w:val="center"/>
          </w:tcPr>
          <w:p w14:paraId="56490BD3" w14:textId="77777777" w:rsidR="003E4AF1" w:rsidRPr="00B916EC" w:rsidRDefault="003E4AF1" w:rsidP="003E4AF1">
            <w:pPr>
              <w:pStyle w:val="TAC"/>
            </w:pPr>
            <w:r w:rsidRPr="00B916EC">
              <w:t>7</w:t>
            </w:r>
          </w:p>
        </w:tc>
        <w:tc>
          <w:tcPr>
            <w:tcW w:w="972" w:type="dxa"/>
            <w:tcBorders>
              <w:left w:val="double" w:sz="4" w:space="0" w:color="auto"/>
            </w:tcBorders>
            <w:vAlign w:val="center"/>
          </w:tcPr>
          <w:p w14:paraId="4B5772D8" w14:textId="77777777" w:rsidR="003E4AF1" w:rsidRPr="00B916EC" w:rsidRDefault="003E4AF1" w:rsidP="003E4AF1">
            <w:pPr>
              <w:pStyle w:val="TAC"/>
            </w:pPr>
            <w:r w:rsidRPr="00B916EC">
              <w:rPr>
                <w:rStyle w:val="CommentReference"/>
                <w:rFonts w:cs="Arial"/>
                <w:sz w:val="18"/>
                <w:szCs w:val="18"/>
              </w:rPr>
              <w:t>2.5</w:t>
            </w:r>
          </w:p>
        </w:tc>
        <w:tc>
          <w:tcPr>
            <w:tcW w:w="3326" w:type="dxa"/>
            <w:vAlign w:val="center"/>
          </w:tcPr>
          <w:p w14:paraId="74DDB676" w14:textId="77777777" w:rsidR="003E4AF1" w:rsidRPr="00B916EC" w:rsidRDefault="003E4AF1" w:rsidP="003E4AF1">
            <w:pPr>
              <w:pStyle w:val="TAC"/>
            </w:pPr>
            <w:r w:rsidRPr="00B916EC">
              <w:rPr>
                <w:rStyle w:val="CommentReference"/>
                <w:rFonts w:cs="Arial"/>
                <w:sz w:val="18"/>
                <w:szCs w:val="18"/>
              </w:rPr>
              <w:t>2</w:t>
            </w:r>
          </w:p>
        </w:tc>
        <w:tc>
          <w:tcPr>
            <w:tcW w:w="904" w:type="dxa"/>
            <w:vAlign w:val="center"/>
          </w:tcPr>
          <w:p w14:paraId="78ADBF94" w14:textId="77777777" w:rsidR="003E4AF1" w:rsidRPr="00B916EC" w:rsidRDefault="003E4AF1" w:rsidP="003E4AF1">
            <w:pPr>
              <w:pStyle w:val="TAC"/>
            </w:pPr>
            <w:r w:rsidRPr="00B916EC">
              <w:rPr>
                <w:rStyle w:val="CommentReference"/>
                <w:rFonts w:cs="Arial"/>
                <w:sz w:val="18"/>
                <w:szCs w:val="18"/>
              </w:rPr>
              <w:t>1</w:t>
            </w:r>
            <w:r>
              <w:rPr>
                <w:rStyle w:val="CommentReference"/>
                <w:rFonts w:cs="Arial"/>
                <w:sz w:val="18"/>
                <w:szCs w:val="18"/>
              </w:rPr>
              <w:t>/2</w:t>
            </w:r>
          </w:p>
        </w:tc>
        <w:tc>
          <w:tcPr>
            <w:tcW w:w="3426" w:type="dxa"/>
            <w:vAlign w:val="center"/>
          </w:tcPr>
          <w:p w14:paraId="3C9B9491" w14:textId="5FD0EE53" w:rsidR="003E4AF1" w:rsidRPr="00B916EC" w:rsidRDefault="003E4AF1" w:rsidP="003E4AF1">
            <w:pPr>
              <w:pStyle w:val="TAC"/>
            </w:pPr>
            <w:r w:rsidRPr="00B27E56">
              <w:rPr>
                <w:rStyle w:val="CommentReference"/>
                <w:rFonts w:cs="Arial"/>
                <w:sz w:val="18"/>
                <w:szCs w:val="18"/>
              </w:rPr>
              <w:t xml:space="preserve"> {0, if </w:t>
            </w:r>
            <m:oMath>
              <m:r>
                <w:rPr>
                  <w:rFonts w:ascii="Cambria Math" w:hAnsi="Cambria Math"/>
                </w:rPr>
                <m:t>i</m:t>
              </m:r>
            </m:oMath>
            <w:r w:rsidRPr="00B27E56">
              <w:t xml:space="preserve"> is even}</w:t>
            </w:r>
            <w:r w:rsidRPr="00B27E56">
              <w:rPr>
                <w:rStyle w:val="CommentReference"/>
                <w:rFonts w:cs="Arial"/>
                <w:sz w:val="18"/>
                <w:szCs w:val="18"/>
              </w:rPr>
              <w:t>, {</w:t>
            </w:r>
            <m:oMath>
              <m:sSubSup>
                <m:sSubSupPr>
                  <m:ctrlPr>
                    <w:rPr>
                      <w:rFonts w:ascii="Cambria Math" w:hAnsi="Cambria Math"/>
                      <w:i/>
                    </w:rPr>
                  </m:ctrlPr>
                </m:sSubSupPr>
                <m:e>
                  <m:r>
                    <w:rPr>
                      <w:rFonts w:ascii="Cambria Math"/>
                    </w:rPr>
                    <m:t>N</m:t>
                  </m:r>
                </m:e>
                <m:sub>
                  <m:r>
                    <m:rPr>
                      <m:nor/>
                    </m:rPr>
                    <w:rPr>
                      <w:rFonts w:ascii="Cambria Math"/>
                    </w:rPr>
                    <m:t>symb</m:t>
                  </m:r>
                  <m:ctrlPr>
                    <w:rPr>
                      <w:rFonts w:ascii="Cambria Math" w:hAnsi="Cambria Math"/>
                    </w:rPr>
                  </m:ctrlPr>
                </m:sub>
                <m:sup>
                  <m:r>
                    <m:rPr>
                      <m:nor/>
                    </m:rPr>
                    <w:rPr>
                      <w:rFonts w:ascii="Cambria Math"/>
                    </w:rPr>
                    <m:t>CORESET</m:t>
                  </m:r>
                  <m:ctrlPr>
                    <w:rPr>
                      <w:rFonts w:ascii="Cambria Math" w:hAnsi="Cambria Math"/>
                    </w:rPr>
                  </m:ctrlPr>
                </m:sup>
              </m:sSubSup>
            </m:oMath>
            <w:r w:rsidRPr="00B27E56">
              <w:t xml:space="preserve">, if </w:t>
            </w:r>
            <m:oMath>
              <m:r>
                <w:rPr>
                  <w:rFonts w:ascii="Cambria Math" w:hAnsi="Cambria Math"/>
                </w:rPr>
                <m:t>i</m:t>
              </m:r>
            </m:oMath>
            <w:r w:rsidRPr="00B27E56">
              <w:t xml:space="preserve"> is odd</w:t>
            </w:r>
            <w:r w:rsidRPr="00B27E56">
              <w:rPr>
                <w:rStyle w:val="CommentReference"/>
                <w:rFonts w:cs="Arial"/>
                <w:sz w:val="18"/>
                <w:szCs w:val="18"/>
              </w:rPr>
              <w:t>}</w:t>
            </w:r>
          </w:p>
        </w:tc>
      </w:tr>
      <w:tr w:rsidR="003E4AF1" w:rsidRPr="00B916EC" w14:paraId="19C1166B" w14:textId="77777777" w:rsidTr="00B73508">
        <w:trPr>
          <w:cantSplit/>
        </w:trPr>
        <w:tc>
          <w:tcPr>
            <w:tcW w:w="805" w:type="dxa"/>
            <w:tcBorders>
              <w:right w:val="double" w:sz="4" w:space="0" w:color="auto"/>
            </w:tcBorders>
            <w:shd w:val="clear" w:color="auto" w:fill="auto"/>
            <w:vAlign w:val="center"/>
          </w:tcPr>
          <w:p w14:paraId="743F3236" w14:textId="77777777" w:rsidR="003E4AF1" w:rsidRPr="00B916EC" w:rsidRDefault="003E4AF1" w:rsidP="003E4AF1">
            <w:pPr>
              <w:pStyle w:val="TAC"/>
            </w:pPr>
            <w:r w:rsidRPr="00B916EC">
              <w:t>8</w:t>
            </w:r>
          </w:p>
        </w:tc>
        <w:tc>
          <w:tcPr>
            <w:tcW w:w="972" w:type="dxa"/>
            <w:tcBorders>
              <w:left w:val="double" w:sz="4" w:space="0" w:color="auto"/>
            </w:tcBorders>
            <w:vAlign w:val="center"/>
          </w:tcPr>
          <w:p w14:paraId="37764411" w14:textId="77777777" w:rsidR="003E4AF1" w:rsidRPr="00B916EC" w:rsidRDefault="003E4AF1" w:rsidP="003E4AF1">
            <w:pPr>
              <w:pStyle w:val="TAC"/>
            </w:pPr>
            <w:r w:rsidRPr="00B916EC">
              <w:rPr>
                <w:rStyle w:val="CommentReference"/>
                <w:rFonts w:cs="Arial"/>
                <w:sz w:val="18"/>
                <w:szCs w:val="18"/>
              </w:rPr>
              <w:t>5</w:t>
            </w:r>
          </w:p>
        </w:tc>
        <w:tc>
          <w:tcPr>
            <w:tcW w:w="3326" w:type="dxa"/>
            <w:vAlign w:val="center"/>
          </w:tcPr>
          <w:p w14:paraId="4F1E2328" w14:textId="77777777" w:rsidR="003E4AF1" w:rsidRPr="00B916EC" w:rsidRDefault="003E4AF1" w:rsidP="003E4AF1">
            <w:pPr>
              <w:pStyle w:val="TAC"/>
            </w:pPr>
            <w:r w:rsidRPr="00B916EC">
              <w:rPr>
                <w:rStyle w:val="CommentReference"/>
                <w:rFonts w:cs="Arial"/>
                <w:sz w:val="18"/>
                <w:szCs w:val="18"/>
              </w:rPr>
              <w:t>2</w:t>
            </w:r>
          </w:p>
        </w:tc>
        <w:tc>
          <w:tcPr>
            <w:tcW w:w="904" w:type="dxa"/>
            <w:vAlign w:val="center"/>
          </w:tcPr>
          <w:p w14:paraId="52378D59" w14:textId="77777777" w:rsidR="003E4AF1" w:rsidRPr="00B916EC" w:rsidRDefault="003E4AF1" w:rsidP="003E4AF1">
            <w:pPr>
              <w:pStyle w:val="TAC"/>
            </w:pPr>
            <w:r w:rsidRPr="00B916EC">
              <w:rPr>
                <w:rStyle w:val="CommentReference"/>
                <w:rFonts w:cs="Arial"/>
                <w:sz w:val="18"/>
                <w:szCs w:val="18"/>
              </w:rPr>
              <w:t>1</w:t>
            </w:r>
            <w:r>
              <w:rPr>
                <w:rStyle w:val="CommentReference"/>
                <w:rFonts w:cs="Arial"/>
                <w:sz w:val="18"/>
                <w:szCs w:val="18"/>
              </w:rPr>
              <w:t>/2</w:t>
            </w:r>
          </w:p>
        </w:tc>
        <w:tc>
          <w:tcPr>
            <w:tcW w:w="3426" w:type="dxa"/>
            <w:vAlign w:val="center"/>
          </w:tcPr>
          <w:p w14:paraId="383664AD" w14:textId="5AC1B620" w:rsidR="003E4AF1" w:rsidRPr="00B916EC" w:rsidRDefault="003E4AF1" w:rsidP="003E4AF1">
            <w:pPr>
              <w:pStyle w:val="TAC"/>
            </w:pPr>
            <w:r w:rsidRPr="00B27E56">
              <w:rPr>
                <w:rStyle w:val="CommentReference"/>
                <w:rFonts w:cs="Arial"/>
                <w:sz w:val="18"/>
                <w:szCs w:val="18"/>
              </w:rPr>
              <w:t xml:space="preserve"> {0, if </w:t>
            </w:r>
            <m:oMath>
              <m:r>
                <w:rPr>
                  <w:rFonts w:ascii="Cambria Math" w:hAnsi="Cambria Math"/>
                </w:rPr>
                <m:t>i</m:t>
              </m:r>
            </m:oMath>
            <w:r w:rsidRPr="00B27E56">
              <w:t xml:space="preserve"> is even}</w:t>
            </w:r>
            <w:r w:rsidRPr="00B27E56">
              <w:rPr>
                <w:rStyle w:val="CommentReference"/>
                <w:rFonts w:cs="Arial"/>
                <w:sz w:val="18"/>
                <w:szCs w:val="18"/>
              </w:rPr>
              <w:t>, {</w:t>
            </w:r>
            <m:oMath>
              <m:sSubSup>
                <m:sSubSupPr>
                  <m:ctrlPr>
                    <w:rPr>
                      <w:rFonts w:ascii="Cambria Math" w:hAnsi="Cambria Math"/>
                      <w:i/>
                    </w:rPr>
                  </m:ctrlPr>
                </m:sSubSupPr>
                <m:e>
                  <m:r>
                    <w:rPr>
                      <w:rFonts w:ascii="Cambria Math"/>
                    </w:rPr>
                    <m:t>N</m:t>
                  </m:r>
                </m:e>
                <m:sub>
                  <m:r>
                    <m:rPr>
                      <m:nor/>
                    </m:rPr>
                    <w:rPr>
                      <w:rFonts w:ascii="Cambria Math"/>
                    </w:rPr>
                    <m:t>symb</m:t>
                  </m:r>
                  <m:ctrlPr>
                    <w:rPr>
                      <w:rFonts w:ascii="Cambria Math" w:hAnsi="Cambria Math"/>
                    </w:rPr>
                  </m:ctrlPr>
                </m:sub>
                <m:sup>
                  <m:r>
                    <m:rPr>
                      <m:nor/>
                    </m:rPr>
                    <w:rPr>
                      <w:rFonts w:ascii="Cambria Math"/>
                    </w:rPr>
                    <m:t>CORESET</m:t>
                  </m:r>
                  <m:ctrlPr>
                    <w:rPr>
                      <w:rFonts w:ascii="Cambria Math" w:hAnsi="Cambria Math"/>
                    </w:rPr>
                  </m:ctrlPr>
                </m:sup>
              </m:sSubSup>
            </m:oMath>
            <w:r w:rsidRPr="00B27E56">
              <w:t xml:space="preserve">, if </w:t>
            </w:r>
            <m:oMath>
              <m:r>
                <w:rPr>
                  <w:rFonts w:ascii="Cambria Math" w:hAnsi="Cambria Math"/>
                </w:rPr>
                <m:t>i</m:t>
              </m:r>
            </m:oMath>
            <w:r w:rsidRPr="00B27E56">
              <w:t xml:space="preserve"> is odd</w:t>
            </w:r>
            <w:r w:rsidRPr="00B27E56">
              <w:rPr>
                <w:rStyle w:val="CommentReference"/>
                <w:rFonts w:cs="Arial"/>
                <w:sz w:val="18"/>
                <w:szCs w:val="18"/>
              </w:rPr>
              <w:t>}</w:t>
            </w:r>
          </w:p>
        </w:tc>
      </w:tr>
      <w:tr w:rsidR="003E4AF1" w:rsidRPr="00B916EC" w14:paraId="39754485" w14:textId="77777777" w:rsidTr="00B73508">
        <w:trPr>
          <w:cantSplit/>
        </w:trPr>
        <w:tc>
          <w:tcPr>
            <w:tcW w:w="805" w:type="dxa"/>
            <w:tcBorders>
              <w:right w:val="double" w:sz="4" w:space="0" w:color="auto"/>
            </w:tcBorders>
            <w:shd w:val="clear" w:color="auto" w:fill="auto"/>
            <w:vAlign w:val="center"/>
          </w:tcPr>
          <w:p w14:paraId="1F85CAFC" w14:textId="77777777" w:rsidR="003E4AF1" w:rsidRPr="00B916EC" w:rsidRDefault="003E4AF1" w:rsidP="003E4AF1">
            <w:pPr>
              <w:pStyle w:val="TAC"/>
            </w:pPr>
            <w:r w:rsidRPr="00B916EC">
              <w:t>9</w:t>
            </w:r>
          </w:p>
        </w:tc>
        <w:tc>
          <w:tcPr>
            <w:tcW w:w="972" w:type="dxa"/>
            <w:tcBorders>
              <w:left w:val="double" w:sz="4" w:space="0" w:color="auto"/>
            </w:tcBorders>
            <w:vAlign w:val="center"/>
          </w:tcPr>
          <w:p w14:paraId="6AC8DD4B" w14:textId="77777777" w:rsidR="003E4AF1" w:rsidRPr="00B916EC" w:rsidRDefault="003E4AF1" w:rsidP="003E4AF1">
            <w:pPr>
              <w:pStyle w:val="TAC"/>
            </w:pPr>
            <w:r w:rsidRPr="00B916EC">
              <w:rPr>
                <w:rStyle w:val="CommentReference"/>
                <w:rFonts w:cs="Arial"/>
                <w:sz w:val="18"/>
                <w:szCs w:val="18"/>
              </w:rPr>
              <w:t>7.5</w:t>
            </w:r>
          </w:p>
        </w:tc>
        <w:tc>
          <w:tcPr>
            <w:tcW w:w="3326" w:type="dxa"/>
            <w:vAlign w:val="center"/>
          </w:tcPr>
          <w:p w14:paraId="36DE657B" w14:textId="77777777" w:rsidR="003E4AF1" w:rsidRPr="00B916EC" w:rsidRDefault="003E4AF1" w:rsidP="003E4AF1">
            <w:pPr>
              <w:pStyle w:val="TAC"/>
            </w:pPr>
            <w:r w:rsidRPr="00B916EC">
              <w:rPr>
                <w:rStyle w:val="CommentReference"/>
                <w:rFonts w:cs="Arial"/>
                <w:sz w:val="18"/>
                <w:szCs w:val="18"/>
              </w:rPr>
              <w:t>1</w:t>
            </w:r>
          </w:p>
        </w:tc>
        <w:tc>
          <w:tcPr>
            <w:tcW w:w="904" w:type="dxa"/>
            <w:vAlign w:val="center"/>
          </w:tcPr>
          <w:p w14:paraId="0CE7F46E" w14:textId="77777777" w:rsidR="003E4AF1" w:rsidRPr="00B916EC" w:rsidRDefault="003E4AF1" w:rsidP="003E4AF1">
            <w:pPr>
              <w:pStyle w:val="TAC"/>
            </w:pPr>
            <w:r w:rsidRPr="00B916EC">
              <w:rPr>
                <w:rStyle w:val="CommentReference"/>
                <w:rFonts w:cs="Arial"/>
                <w:sz w:val="18"/>
                <w:szCs w:val="18"/>
              </w:rPr>
              <w:t>1</w:t>
            </w:r>
          </w:p>
        </w:tc>
        <w:tc>
          <w:tcPr>
            <w:tcW w:w="3426" w:type="dxa"/>
            <w:vAlign w:val="center"/>
          </w:tcPr>
          <w:p w14:paraId="3998E425" w14:textId="107901F8" w:rsidR="003E4AF1" w:rsidRPr="00B916EC" w:rsidRDefault="003E4AF1" w:rsidP="003E4AF1">
            <w:pPr>
              <w:pStyle w:val="TAC"/>
            </w:pPr>
            <w:r w:rsidRPr="00B27E56">
              <w:rPr>
                <w:rStyle w:val="CommentReference"/>
                <w:rFonts w:cs="Arial"/>
                <w:sz w:val="18"/>
                <w:szCs w:val="18"/>
              </w:rPr>
              <w:t xml:space="preserve"> 0</w:t>
            </w:r>
          </w:p>
        </w:tc>
      </w:tr>
      <w:tr w:rsidR="003E4AF1" w:rsidRPr="00B916EC" w14:paraId="4760B772" w14:textId="77777777" w:rsidTr="00B73508">
        <w:trPr>
          <w:cantSplit/>
        </w:trPr>
        <w:tc>
          <w:tcPr>
            <w:tcW w:w="805" w:type="dxa"/>
            <w:tcBorders>
              <w:right w:val="double" w:sz="4" w:space="0" w:color="auto"/>
            </w:tcBorders>
            <w:shd w:val="clear" w:color="auto" w:fill="auto"/>
            <w:vAlign w:val="center"/>
          </w:tcPr>
          <w:p w14:paraId="62D27D6D" w14:textId="77777777" w:rsidR="003E4AF1" w:rsidRPr="00B916EC" w:rsidRDefault="003E4AF1" w:rsidP="003E4AF1">
            <w:pPr>
              <w:pStyle w:val="TAC"/>
            </w:pPr>
            <w:r w:rsidRPr="00B916EC">
              <w:t>10</w:t>
            </w:r>
          </w:p>
        </w:tc>
        <w:tc>
          <w:tcPr>
            <w:tcW w:w="972" w:type="dxa"/>
            <w:tcBorders>
              <w:left w:val="double" w:sz="4" w:space="0" w:color="auto"/>
            </w:tcBorders>
            <w:vAlign w:val="center"/>
          </w:tcPr>
          <w:p w14:paraId="4022BA01" w14:textId="77777777" w:rsidR="003E4AF1" w:rsidRPr="00B916EC" w:rsidRDefault="003E4AF1" w:rsidP="003E4AF1">
            <w:pPr>
              <w:pStyle w:val="TAC"/>
            </w:pPr>
            <w:r w:rsidRPr="00B916EC">
              <w:rPr>
                <w:rStyle w:val="CommentReference"/>
                <w:rFonts w:cs="Arial"/>
                <w:sz w:val="18"/>
                <w:szCs w:val="18"/>
              </w:rPr>
              <w:t>7.5</w:t>
            </w:r>
          </w:p>
        </w:tc>
        <w:tc>
          <w:tcPr>
            <w:tcW w:w="3326" w:type="dxa"/>
            <w:vAlign w:val="center"/>
          </w:tcPr>
          <w:p w14:paraId="0F46986D" w14:textId="77777777" w:rsidR="003E4AF1" w:rsidRPr="00B916EC" w:rsidRDefault="003E4AF1" w:rsidP="003E4AF1">
            <w:pPr>
              <w:pStyle w:val="TAC"/>
            </w:pPr>
            <w:r w:rsidRPr="00B916EC">
              <w:rPr>
                <w:rStyle w:val="CommentReference"/>
                <w:rFonts w:cs="Arial"/>
                <w:sz w:val="18"/>
                <w:szCs w:val="18"/>
              </w:rPr>
              <w:t>2</w:t>
            </w:r>
          </w:p>
        </w:tc>
        <w:tc>
          <w:tcPr>
            <w:tcW w:w="904" w:type="dxa"/>
            <w:vAlign w:val="center"/>
          </w:tcPr>
          <w:p w14:paraId="22523BD5" w14:textId="77777777" w:rsidR="003E4AF1" w:rsidRPr="00B916EC" w:rsidRDefault="003E4AF1" w:rsidP="003E4AF1">
            <w:pPr>
              <w:pStyle w:val="TAC"/>
            </w:pPr>
            <w:r w:rsidRPr="00B916EC">
              <w:rPr>
                <w:rStyle w:val="CommentReference"/>
                <w:rFonts w:cs="Arial"/>
                <w:sz w:val="18"/>
                <w:szCs w:val="18"/>
              </w:rPr>
              <w:t>1</w:t>
            </w:r>
            <w:r>
              <w:rPr>
                <w:rStyle w:val="CommentReference"/>
                <w:rFonts w:cs="Arial"/>
                <w:sz w:val="18"/>
                <w:szCs w:val="18"/>
              </w:rPr>
              <w:t>/2</w:t>
            </w:r>
          </w:p>
        </w:tc>
        <w:tc>
          <w:tcPr>
            <w:tcW w:w="3426" w:type="dxa"/>
            <w:vAlign w:val="center"/>
          </w:tcPr>
          <w:p w14:paraId="47CE10A0" w14:textId="548491ED" w:rsidR="003E4AF1" w:rsidRPr="00B916EC" w:rsidRDefault="003E4AF1" w:rsidP="003E4AF1">
            <w:pPr>
              <w:pStyle w:val="TAC"/>
            </w:pPr>
            <w:r w:rsidRPr="00B27E56">
              <w:rPr>
                <w:rStyle w:val="CommentReference"/>
                <w:rFonts w:cs="Arial"/>
                <w:sz w:val="18"/>
                <w:szCs w:val="18"/>
              </w:rPr>
              <w:t xml:space="preserve"> {0, if </w:t>
            </w:r>
            <m:oMath>
              <m:r>
                <w:rPr>
                  <w:rFonts w:ascii="Cambria Math" w:hAnsi="Cambria Math"/>
                </w:rPr>
                <m:t>i</m:t>
              </m:r>
            </m:oMath>
            <w:r w:rsidRPr="00B27E56">
              <w:t xml:space="preserve"> is even}</w:t>
            </w:r>
            <w:r w:rsidRPr="00B27E56">
              <w:rPr>
                <w:rStyle w:val="CommentReference"/>
                <w:rFonts w:cs="Arial"/>
                <w:sz w:val="18"/>
                <w:szCs w:val="18"/>
              </w:rPr>
              <w:t>, {7</w:t>
            </w:r>
            <w:r w:rsidRPr="00B27E56">
              <w:t xml:space="preserve">, if </w:t>
            </w:r>
            <m:oMath>
              <m:r>
                <w:rPr>
                  <w:rFonts w:ascii="Cambria Math" w:hAnsi="Cambria Math"/>
                </w:rPr>
                <m:t>i</m:t>
              </m:r>
            </m:oMath>
            <w:r w:rsidRPr="00B27E56">
              <w:t xml:space="preserve"> is odd</w:t>
            </w:r>
            <w:r w:rsidRPr="00B27E56">
              <w:rPr>
                <w:rStyle w:val="CommentReference"/>
                <w:rFonts w:cs="Arial"/>
                <w:sz w:val="18"/>
                <w:szCs w:val="18"/>
              </w:rPr>
              <w:t>}</w:t>
            </w:r>
          </w:p>
        </w:tc>
      </w:tr>
      <w:tr w:rsidR="003E4AF1" w:rsidRPr="00B916EC" w14:paraId="2DE1E387" w14:textId="77777777" w:rsidTr="00B73508">
        <w:trPr>
          <w:cantSplit/>
        </w:trPr>
        <w:tc>
          <w:tcPr>
            <w:tcW w:w="805" w:type="dxa"/>
            <w:tcBorders>
              <w:right w:val="double" w:sz="4" w:space="0" w:color="auto"/>
            </w:tcBorders>
            <w:shd w:val="clear" w:color="auto" w:fill="auto"/>
            <w:vAlign w:val="center"/>
          </w:tcPr>
          <w:p w14:paraId="646A6AC7" w14:textId="77777777" w:rsidR="003E4AF1" w:rsidRPr="00B916EC" w:rsidRDefault="003E4AF1" w:rsidP="003E4AF1">
            <w:pPr>
              <w:pStyle w:val="TAC"/>
            </w:pPr>
            <w:r w:rsidRPr="00B916EC">
              <w:t>11</w:t>
            </w:r>
          </w:p>
        </w:tc>
        <w:tc>
          <w:tcPr>
            <w:tcW w:w="972" w:type="dxa"/>
            <w:tcBorders>
              <w:left w:val="double" w:sz="4" w:space="0" w:color="auto"/>
            </w:tcBorders>
            <w:vAlign w:val="center"/>
          </w:tcPr>
          <w:p w14:paraId="618F3061" w14:textId="77777777" w:rsidR="003E4AF1" w:rsidRPr="00B916EC" w:rsidRDefault="003E4AF1" w:rsidP="003E4AF1">
            <w:pPr>
              <w:pStyle w:val="TAC"/>
            </w:pPr>
            <w:r w:rsidRPr="00B916EC">
              <w:rPr>
                <w:rStyle w:val="CommentReference"/>
                <w:rFonts w:cs="Arial"/>
                <w:sz w:val="18"/>
                <w:szCs w:val="18"/>
              </w:rPr>
              <w:t>7.5</w:t>
            </w:r>
          </w:p>
        </w:tc>
        <w:tc>
          <w:tcPr>
            <w:tcW w:w="3326" w:type="dxa"/>
            <w:vAlign w:val="center"/>
          </w:tcPr>
          <w:p w14:paraId="4D3FDC25" w14:textId="77777777" w:rsidR="003E4AF1" w:rsidRPr="00B916EC" w:rsidRDefault="003E4AF1" w:rsidP="003E4AF1">
            <w:pPr>
              <w:pStyle w:val="TAC"/>
            </w:pPr>
            <w:r w:rsidRPr="00B916EC">
              <w:rPr>
                <w:rStyle w:val="CommentReference"/>
                <w:rFonts w:cs="Arial"/>
                <w:sz w:val="18"/>
                <w:szCs w:val="18"/>
              </w:rPr>
              <w:t>2</w:t>
            </w:r>
          </w:p>
        </w:tc>
        <w:tc>
          <w:tcPr>
            <w:tcW w:w="904" w:type="dxa"/>
            <w:vAlign w:val="center"/>
          </w:tcPr>
          <w:p w14:paraId="25ED484A" w14:textId="77777777" w:rsidR="003E4AF1" w:rsidRPr="00B916EC" w:rsidRDefault="003E4AF1" w:rsidP="003E4AF1">
            <w:pPr>
              <w:pStyle w:val="TAC"/>
            </w:pPr>
            <w:r w:rsidRPr="00B916EC">
              <w:rPr>
                <w:rStyle w:val="CommentReference"/>
                <w:rFonts w:cs="Arial"/>
                <w:sz w:val="18"/>
                <w:szCs w:val="18"/>
              </w:rPr>
              <w:t>1</w:t>
            </w:r>
            <w:r>
              <w:rPr>
                <w:rStyle w:val="CommentReference"/>
                <w:rFonts w:cs="Arial"/>
                <w:sz w:val="18"/>
                <w:szCs w:val="18"/>
              </w:rPr>
              <w:t>/2</w:t>
            </w:r>
          </w:p>
        </w:tc>
        <w:tc>
          <w:tcPr>
            <w:tcW w:w="3426" w:type="dxa"/>
            <w:vAlign w:val="center"/>
          </w:tcPr>
          <w:p w14:paraId="1AFB185A" w14:textId="60B51A47" w:rsidR="003E4AF1" w:rsidRPr="00B916EC" w:rsidRDefault="003E4AF1" w:rsidP="003E4AF1">
            <w:pPr>
              <w:pStyle w:val="TAC"/>
            </w:pPr>
            <w:r w:rsidRPr="00B27E56">
              <w:rPr>
                <w:rStyle w:val="CommentReference"/>
                <w:rFonts w:cs="Arial"/>
                <w:sz w:val="18"/>
                <w:szCs w:val="18"/>
              </w:rPr>
              <w:t xml:space="preserve"> {0, if </w:t>
            </w:r>
            <m:oMath>
              <m:r>
                <w:rPr>
                  <w:rFonts w:ascii="Cambria Math" w:hAnsi="Cambria Math"/>
                </w:rPr>
                <m:t>i</m:t>
              </m:r>
            </m:oMath>
            <w:r w:rsidRPr="00B27E56">
              <w:t xml:space="preserve"> is even}</w:t>
            </w:r>
            <w:r w:rsidRPr="00B27E56">
              <w:rPr>
                <w:rStyle w:val="CommentReference"/>
                <w:rFonts w:cs="Arial"/>
                <w:sz w:val="18"/>
                <w:szCs w:val="18"/>
              </w:rPr>
              <w:t>, {</w:t>
            </w:r>
            <m:oMath>
              <m:sSubSup>
                <m:sSubSupPr>
                  <m:ctrlPr>
                    <w:rPr>
                      <w:rFonts w:ascii="Cambria Math" w:hAnsi="Cambria Math"/>
                      <w:i/>
                    </w:rPr>
                  </m:ctrlPr>
                </m:sSubSupPr>
                <m:e>
                  <m:r>
                    <w:rPr>
                      <w:rFonts w:ascii="Cambria Math"/>
                    </w:rPr>
                    <m:t>N</m:t>
                  </m:r>
                </m:e>
                <m:sub>
                  <m:r>
                    <m:rPr>
                      <m:nor/>
                    </m:rPr>
                    <w:rPr>
                      <w:rFonts w:ascii="Cambria Math"/>
                    </w:rPr>
                    <m:t>symb</m:t>
                  </m:r>
                  <m:ctrlPr>
                    <w:rPr>
                      <w:rFonts w:ascii="Cambria Math" w:hAnsi="Cambria Math"/>
                    </w:rPr>
                  </m:ctrlPr>
                </m:sub>
                <m:sup>
                  <m:r>
                    <m:rPr>
                      <m:nor/>
                    </m:rPr>
                    <w:rPr>
                      <w:rFonts w:ascii="Cambria Math"/>
                    </w:rPr>
                    <m:t>CORESET</m:t>
                  </m:r>
                  <m:ctrlPr>
                    <w:rPr>
                      <w:rFonts w:ascii="Cambria Math" w:hAnsi="Cambria Math"/>
                    </w:rPr>
                  </m:ctrlPr>
                </m:sup>
              </m:sSubSup>
            </m:oMath>
            <w:r w:rsidRPr="00B27E56">
              <w:t xml:space="preserve">, if </w:t>
            </w:r>
            <m:oMath>
              <m:r>
                <w:rPr>
                  <w:rFonts w:ascii="Cambria Math" w:hAnsi="Cambria Math"/>
                </w:rPr>
                <m:t>i</m:t>
              </m:r>
            </m:oMath>
            <w:r w:rsidRPr="00B27E56">
              <w:t xml:space="preserve"> is odd</w:t>
            </w:r>
            <w:r w:rsidRPr="00B27E56">
              <w:rPr>
                <w:rStyle w:val="CommentReference"/>
                <w:rFonts w:cs="Arial"/>
                <w:sz w:val="18"/>
                <w:szCs w:val="18"/>
              </w:rPr>
              <w:t>}</w:t>
            </w:r>
          </w:p>
        </w:tc>
      </w:tr>
      <w:tr w:rsidR="00146079" w:rsidRPr="00B916EC" w14:paraId="135BEAF8" w14:textId="77777777" w:rsidTr="00B73508">
        <w:trPr>
          <w:cantSplit/>
        </w:trPr>
        <w:tc>
          <w:tcPr>
            <w:tcW w:w="805" w:type="dxa"/>
            <w:tcBorders>
              <w:right w:val="double" w:sz="4" w:space="0" w:color="auto"/>
            </w:tcBorders>
            <w:shd w:val="clear" w:color="auto" w:fill="auto"/>
            <w:vAlign w:val="center"/>
          </w:tcPr>
          <w:p w14:paraId="4DE279AD" w14:textId="77777777" w:rsidR="00146079" w:rsidRPr="00B916EC" w:rsidRDefault="00146079" w:rsidP="008F5350">
            <w:pPr>
              <w:pStyle w:val="TAC"/>
            </w:pPr>
            <w:r w:rsidRPr="00B916EC">
              <w:t>12</w:t>
            </w:r>
          </w:p>
        </w:tc>
        <w:tc>
          <w:tcPr>
            <w:tcW w:w="972" w:type="dxa"/>
            <w:tcBorders>
              <w:left w:val="double" w:sz="4" w:space="0" w:color="auto"/>
            </w:tcBorders>
            <w:vAlign w:val="center"/>
          </w:tcPr>
          <w:p w14:paraId="0462AE34" w14:textId="77777777" w:rsidR="00146079" w:rsidRPr="00B916EC" w:rsidRDefault="00146079" w:rsidP="008F5350">
            <w:pPr>
              <w:pStyle w:val="TAC"/>
            </w:pPr>
            <w:r w:rsidRPr="00B916EC">
              <w:rPr>
                <w:rStyle w:val="CommentReference"/>
                <w:rFonts w:cs="Arial"/>
                <w:sz w:val="18"/>
                <w:szCs w:val="18"/>
              </w:rPr>
              <w:t>0</w:t>
            </w:r>
          </w:p>
        </w:tc>
        <w:tc>
          <w:tcPr>
            <w:tcW w:w="3326" w:type="dxa"/>
            <w:vAlign w:val="center"/>
          </w:tcPr>
          <w:p w14:paraId="58C1B7E3" w14:textId="77777777" w:rsidR="00146079" w:rsidRPr="00B916EC" w:rsidRDefault="00146079" w:rsidP="008F5350">
            <w:pPr>
              <w:pStyle w:val="TAC"/>
            </w:pPr>
            <w:r w:rsidRPr="00B916EC">
              <w:rPr>
                <w:rStyle w:val="CommentReference"/>
                <w:rFonts w:cs="Arial"/>
                <w:sz w:val="18"/>
                <w:szCs w:val="18"/>
              </w:rPr>
              <w:t>1</w:t>
            </w:r>
          </w:p>
        </w:tc>
        <w:tc>
          <w:tcPr>
            <w:tcW w:w="904" w:type="dxa"/>
            <w:vAlign w:val="center"/>
          </w:tcPr>
          <w:p w14:paraId="1AB865BF" w14:textId="77777777" w:rsidR="00146079" w:rsidRPr="00B916EC" w:rsidRDefault="00146079" w:rsidP="008F5350">
            <w:pPr>
              <w:pStyle w:val="TAC"/>
            </w:pPr>
            <w:r w:rsidRPr="00B916EC">
              <w:rPr>
                <w:rStyle w:val="CommentReference"/>
                <w:rFonts w:cs="Arial"/>
                <w:sz w:val="18"/>
                <w:szCs w:val="18"/>
              </w:rPr>
              <w:t>2</w:t>
            </w:r>
          </w:p>
        </w:tc>
        <w:tc>
          <w:tcPr>
            <w:tcW w:w="3426" w:type="dxa"/>
            <w:vAlign w:val="center"/>
          </w:tcPr>
          <w:p w14:paraId="2F24018B" w14:textId="77777777" w:rsidR="00146079" w:rsidRPr="00B916EC" w:rsidRDefault="00146079" w:rsidP="008F5350">
            <w:pPr>
              <w:pStyle w:val="TAC"/>
            </w:pPr>
            <w:r w:rsidRPr="00B916EC">
              <w:rPr>
                <w:rStyle w:val="CommentReference"/>
                <w:rFonts w:cs="Arial"/>
                <w:sz w:val="18"/>
                <w:szCs w:val="18"/>
              </w:rPr>
              <w:t>0</w:t>
            </w:r>
          </w:p>
        </w:tc>
      </w:tr>
      <w:tr w:rsidR="00146079" w:rsidRPr="00B916EC" w14:paraId="11B2A0DE" w14:textId="77777777" w:rsidTr="00B73508">
        <w:trPr>
          <w:cantSplit/>
        </w:trPr>
        <w:tc>
          <w:tcPr>
            <w:tcW w:w="805" w:type="dxa"/>
            <w:tcBorders>
              <w:right w:val="double" w:sz="4" w:space="0" w:color="auto"/>
            </w:tcBorders>
            <w:shd w:val="clear" w:color="auto" w:fill="auto"/>
            <w:vAlign w:val="center"/>
          </w:tcPr>
          <w:p w14:paraId="4851EBC8" w14:textId="77777777" w:rsidR="00146079" w:rsidRPr="00B916EC" w:rsidRDefault="00146079" w:rsidP="008F5350">
            <w:pPr>
              <w:pStyle w:val="TAC"/>
            </w:pPr>
            <w:r w:rsidRPr="00B916EC">
              <w:t>13</w:t>
            </w:r>
          </w:p>
        </w:tc>
        <w:tc>
          <w:tcPr>
            <w:tcW w:w="972" w:type="dxa"/>
            <w:tcBorders>
              <w:left w:val="double" w:sz="4" w:space="0" w:color="auto"/>
            </w:tcBorders>
            <w:vAlign w:val="center"/>
          </w:tcPr>
          <w:p w14:paraId="09CF40A2" w14:textId="77777777" w:rsidR="00146079" w:rsidRPr="00B916EC" w:rsidRDefault="00146079" w:rsidP="008F5350">
            <w:pPr>
              <w:pStyle w:val="TAC"/>
            </w:pPr>
            <w:r w:rsidRPr="00B916EC">
              <w:rPr>
                <w:rStyle w:val="CommentReference"/>
                <w:rFonts w:cs="Arial"/>
                <w:sz w:val="18"/>
                <w:szCs w:val="18"/>
              </w:rPr>
              <w:t>5</w:t>
            </w:r>
          </w:p>
        </w:tc>
        <w:tc>
          <w:tcPr>
            <w:tcW w:w="3326" w:type="dxa"/>
            <w:vAlign w:val="center"/>
          </w:tcPr>
          <w:p w14:paraId="6EEF4CAF" w14:textId="77777777" w:rsidR="00146079" w:rsidRPr="00B916EC" w:rsidRDefault="00146079" w:rsidP="008F5350">
            <w:pPr>
              <w:pStyle w:val="TAC"/>
            </w:pPr>
            <w:r w:rsidRPr="00B916EC">
              <w:rPr>
                <w:rStyle w:val="CommentReference"/>
                <w:rFonts w:cs="Arial"/>
                <w:sz w:val="18"/>
                <w:szCs w:val="18"/>
              </w:rPr>
              <w:t>1</w:t>
            </w:r>
          </w:p>
        </w:tc>
        <w:tc>
          <w:tcPr>
            <w:tcW w:w="904" w:type="dxa"/>
            <w:vAlign w:val="center"/>
          </w:tcPr>
          <w:p w14:paraId="6D5DBA80" w14:textId="77777777" w:rsidR="00146079" w:rsidRPr="00B916EC" w:rsidRDefault="00146079" w:rsidP="008F5350">
            <w:pPr>
              <w:pStyle w:val="TAC"/>
            </w:pPr>
            <w:r w:rsidRPr="00B916EC">
              <w:rPr>
                <w:rStyle w:val="CommentReference"/>
                <w:rFonts w:cs="Arial"/>
                <w:sz w:val="18"/>
                <w:szCs w:val="18"/>
              </w:rPr>
              <w:t>2</w:t>
            </w:r>
          </w:p>
        </w:tc>
        <w:tc>
          <w:tcPr>
            <w:tcW w:w="3426" w:type="dxa"/>
            <w:vAlign w:val="center"/>
          </w:tcPr>
          <w:p w14:paraId="3FC8B41D" w14:textId="77777777" w:rsidR="00146079" w:rsidRPr="00B916EC" w:rsidRDefault="00146079" w:rsidP="008F5350">
            <w:pPr>
              <w:pStyle w:val="TAC"/>
            </w:pPr>
            <w:r w:rsidRPr="00B916EC">
              <w:rPr>
                <w:rStyle w:val="CommentReference"/>
                <w:rFonts w:cs="Arial"/>
                <w:sz w:val="18"/>
                <w:szCs w:val="18"/>
              </w:rPr>
              <w:t>0</w:t>
            </w:r>
          </w:p>
        </w:tc>
      </w:tr>
      <w:tr w:rsidR="00146079" w:rsidRPr="00B916EC" w14:paraId="730107DC" w14:textId="77777777" w:rsidTr="00B73508">
        <w:trPr>
          <w:cantSplit/>
        </w:trPr>
        <w:tc>
          <w:tcPr>
            <w:tcW w:w="805" w:type="dxa"/>
            <w:tcBorders>
              <w:right w:val="double" w:sz="4" w:space="0" w:color="auto"/>
            </w:tcBorders>
            <w:shd w:val="clear" w:color="auto" w:fill="auto"/>
            <w:vAlign w:val="center"/>
          </w:tcPr>
          <w:p w14:paraId="0CD22072" w14:textId="77777777" w:rsidR="00146079" w:rsidRPr="00B916EC" w:rsidRDefault="00146079" w:rsidP="008F5350">
            <w:pPr>
              <w:pStyle w:val="TAC"/>
            </w:pPr>
            <w:r w:rsidRPr="00B916EC">
              <w:t>14</w:t>
            </w:r>
          </w:p>
        </w:tc>
        <w:tc>
          <w:tcPr>
            <w:tcW w:w="8628" w:type="dxa"/>
            <w:gridSpan w:val="4"/>
            <w:tcBorders>
              <w:left w:val="double" w:sz="4" w:space="0" w:color="auto"/>
            </w:tcBorders>
            <w:vAlign w:val="center"/>
          </w:tcPr>
          <w:p w14:paraId="743366F0" w14:textId="77777777" w:rsidR="00146079" w:rsidRPr="00B916EC" w:rsidRDefault="00146079" w:rsidP="008F5350">
            <w:pPr>
              <w:pStyle w:val="TAC"/>
            </w:pPr>
            <w:r w:rsidRPr="00B916EC">
              <w:rPr>
                <w:rFonts w:cs="Arial"/>
                <w:kern w:val="24"/>
                <w:szCs w:val="18"/>
              </w:rPr>
              <w:t>Reserved</w:t>
            </w:r>
          </w:p>
        </w:tc>
      </w:tr>
      <w:tr w:rsidR="00146079" w:rsidRPr="00B916EC" w14:paraId="6FADAD1D" w14:textId="77777777" w:rsidTr="00B73508">
        <w:trPr>
          <w:cantSplit/>
        </w:trPr>
        <w:tc>
          <w:tcPr>
            <w:tcW w:w="805" w:type="dxa"/>
            <w:tcBorders>
              <w:right w:val="double" w:sz="4" w:space="0" w:color="auto"/>
            </w:tcBorders>
            <w:shd w:val="clear" w:color="auto" w:fill="auto"/>
            <w:vAlign w:val="center"/>
          </w:tcPr>
          <w:p w14:paraId="09977ABC" w14:textId="77777777" w:rsidR="00146079" w:rsidRPr="00B916EC" w:rsidRDefault="00146079" w:rsidP="008F5350">
            <w:pPr>
              <w:pStyle w:val="TAC"/>
            </w:pPr>
            <w:r w:rsidRPr="00B916EC">
              <w:rPr>
                <w:rFonts w:cs="Arial"/>
                <w:kern w:val="24"/>
                <w:szCs w:val="18"/>
              </w:rPr>
              <w:t>15</w:t>
            </w:r>
          </w:p>
        </w:tc>
        <w:tc>
          <w:tcPr>
            <w:tcW w:w="8628" w:type="dxa"/>
            <w:gridSpan w:val="4"/>
            <w:tcBorders>
              <w:left w:val="double" w:sz="4" w:space="0" w:color="auto"/>
            </w:tcBorders>
            <w:vAlign w:val="center"/>
          </w:tcPr>
          <w:p w14:paraId="134C42DC" w14:textId="77777777" w:rsidR="00146079" w:rsidRPr="00B916EC" w:rsidRDefault="00146079" w:rsidP="008F5350">
            <w:pPr>
              <w:pStyle w:val="TAC"/>
              <w:rPr>
                <w:rFonts w:cs="Arial"/>
                <w:kern w:val="24"/>
                <w:szCs w:val="18"/>
              </w:rPr>
            </w:pPr>
            <w:r w:rsidRPr="00B916EC">
              <w:rPr>
                <w:rFonts w:cs="Arial"/>
                <w:kern w:val="24"/>
                <w:szCs w:val="18"/>
              </w:rPr>
              <w:t>Reserved</w:t>
            </w:r>
          </w:p>
        </w:tc>
      </w:tr>
    </w:tbl>
    <w:p w14:paraId="74D71E67" w14:textId="3C01EEB0" w:rsidR="00946F49" w:rsidRDefault="00946F49" w:rsidP="00946F49">
      <w:pPr>
        <w:rPr>
          <w:rStyle w:val="CommentReference"/>
        </w:rPr>
      </w:pPr>
    </w:p>
    <w:p w14:paraId="0E7F12D3" w14:textId="4A150B64" w:rsidR="003E4AF1" w:rsidRPr="00B27E56" w:rsidRDefault="003E4AF1" w:rsidP="003E4AF1">
      <w:pPr>
        <w:pStyle w:val="TH"/>
      </w:pPr>
      <w:r w:rsidRPr="00B27E56">
        <w:lastRenderedPageBreak/>
        <w:t>Table 13-12A: Parameters for PDCCH monitoring occasions for Type0-PDCCH CSS set - SS/PBCH block and CORESET multiplexing pattern 1 and {SS/PBCH block, PDCCH} SCS {480, 480} kHz or {960, 960} kHz in FR2-2</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5"/>
        <w:gridCol w:w="702"/>
        <w:gridCol w:w="3596"/>
        <w:gridCol w:w="904"/>
        <w:gridCol w:w="3426"/>
      </w:tblGrid>
      <w:tr w:rsidR="003E4AF1" w:rsidRPr="00B27E56" w14:paraId="2FCA4465" w14:textId="77777777" w:rsidTr="009B5A01">
        <w:trPr>
          <w:cantSplit/>
        </w:trPr>
        <w:tc>
          <w:tcPr>
            <w:tcW w:w="805" w:type="dxa"/>
            <w:tcBorders>
              <w:bottom w:val="double" w:sz="4" w:space="0" w:color="auto"/>
              <w:right w:val="double" w:sz="4" w:space="0" w:color="auto"/>
            </w:tcBorders>
            <w:shd w:val="clear" w:color="auto" w:fill="E0E0E0"/>
            <w:vAlign w:val="center"/>
          </w:tcPr>
          <w:p w14:paraId="3C01D90E" w14:textId="77777777" w:rsidR="003E4AF1" w:rsidRPr="00B27E56" w:rsidRDefault="003E4AF1" w:rsidP="009B5A01">
            <w:pPr>
              <w:pStyle w:val="TAH"/>
              <w:rPr>
                <w:bCs/>
                <w:lang w:val="en-US"/>
              </w:rPr>
            </w:pPr>
            <w:r w:rsidRPr="00B27E56">
              <w:rPr>
                <w:bCs/>
                <w:lang w:val="en-US"/>
              </w:rPr>
              <w:t>Index</w:t>
            </w:r>
          </w:p>
        </w:tc>
        <w:tc>
          <w:tcPr>
            <w:tcW w:w="702" w:type="dxa"/>
            <w:tcBorders>
              <w:left w:val="double" w:sz="4" w:space="0" w:color="auto"/>
              <w:bottom w:val="double" w:sz="4" w:space="0" w:color="auto"/>
            </w:tcBorders>
            <w:shd w:val="clear" w:color="auto" w:fill="E0E0E0"/>
            <w:vAlign w:val="center"/>
          </w:tcPr>
          <w:p w14:paraId="2DF0D4F7" w14:textId="77777777" w:rsidR="003E4AF1" w:rsidRPr="00B27E56" w:rsidRDefault="003E4AF1" w:rsidP="009B5A01">
            <w:pPr>
              <w:pStyle w:val="TAH"/>
              <w:rPr>
                <w:bCs/>
                <w:lang w:val="en-US"/>
              </w:rPr>
            </w:pPr>
            <m:oMathPara>
              <m:oMath>
                <m:r>
                  <m:rPr>
                    <m:sty m:val="bi"/>
                  </m:rPr>
                  <w:rPr>
                    <w:rFonts w:ascii="Cambria Math" w:hAnsi="Cambria Math"/>
                    <w:sz w:val="20"/>
                    <w:lang w:val="en-US"/>
                  </w:rPr>
                  <m:t>O</m:t>
                </m:r>
              </m:oMath>
            </m:oMathPara>
          </w:p>
        </w:tc>
        <w:tc>
          <w:tcPr>
            <w:tcW w:w="3596" w:type="dxa"/>
            <w:tcBorders>
              <w:bottom w:val="double" w:sz="4" w:space="0" w:color="auto"/>
            </w:tcBorders>
            <w:shd w:val="clear" w:color="auto" w:fill="E0E0E0"/>
            <w:vAlign w:val="center"/>
          </w:tcPr>
          <w:p w14:paraId="0B26CA45" w14:textId="77777777" w:rsidR="003E4AF1" w:rsidRPr="00B27E56" w:rsidRDefault="003E4AF1" w:rsidP="009B5A01">
            <w:pPr>
              <w:pStyle w:val="TAH"/>
              <w:rPr>
                <w:bCs/>
                <w:lang w:val="en-US"/>
              </w:rPr>
            </w:pPr>
            <w:r w:rsidRPr="00B27E56">
              <w:rPr>
                <w:rStyle w:val="CommentReference"/>
                <w:rFonts w:cs="Arial"/>
                <w:sz w:val="18"/>
                <w:szCs w:val="20"/>
              </w:rPr>
              <w:t>Number of search space sets per slot</w:t>
            </w:r>
          </w:p>
        </w:tc>
        <w:tc>
          <w:tcPr>
            <w:tcW w:w="904" w:type="dxa"/>
            <w:tcBorders>
              <w:bottom w:val="double" w:sz="4" w:space="0" w:color="auto"/>
            </w:tcBorders>
            <w:shd w:val="clear" w:color="auto" w:fill="E0E0E0"/>
            <w:vAlign w:val="center"/>
          </w:tcPr>
          <w:p w14:paraId="6A2A77EE" w14:textId="77777777" w:rsidR="003E4AF1" w:rsidRPr="00B27E56" w:rsidRDefault="003E4AF1" w:rsidP="009B5A01">
            <w:pPr>
              <w:pStyle w:val="TAH"/>
              <w:rPr>
                <w:bCs/>
                <w:lang w:val="en-US"/>
              </w:rPr>
            </w:pPr>
            <m:oMathPara>
              <m:oMath>
                <m:r>
                  <m:rPr>
                    <m:sty m:val="bi"/>
                  </m:rPr>
                  <w:rPr>
                    <w:rFonts w:ascii="Cambria Math" w:hAnsi="Cambria Math"/>
                    <w:sz w:val="20"/>
                    <w:lang w:val="en-US"/>
                  </w:rPr>
                  <m:t>M</m:t>
                </m:r>
              </m:oMath>
            </m:oMathPara>
          </w:p>
        </w:tc>
        <w:tc>
          <w:tcPr>
            <w:tcW w:w="3426" w:type="dxa"/>
            <w:tcBorders>
              <w:bottom w:val="double" w:sz="4" w:space="0" w:color="auto"/>
            </w:tcBorders>
            <w:shd w:val="clear" w:color="auto" w:fill="E0E0E0"/>
            <w:vAlign w:val="center"/>
          </w:tcPr>
          <w:p w14:paraId="7A47CE82" w14:textId="77777777" w:rsidR="003E4AF1" w:rsidRPr="00B27E56" w:rsidRDefault="003E4AF1" w:rsidP="009B5A01">
            <w:pPr>
              <w:spacing w:after="0"/>
              <w:jc w:val="center"/>
              <w:textAlignment w:val="bottom"/>
              <w:rPr>
                <w:rFonts w:ascii="Arial" w:hAnsi="Arial" w:cs="Arial"/>
                <w:b/>
                <w:sz w:val="18"/>
                <w:szCs w:val="18"/>
              </w:rPr>
            </w:pPr>
            <w:r w:rsidRPr="00B27E56">
              <w:rPr>
                <w:rStyle w:val="CommentReference"/>
                <w:rFonts w:ascii="Arial" w:hAnsi="Arial" w:cs="Arial"/>
                <w:b/>
                <w:sz w:val="18"/>
                <w:szCs w:val="18"/>
              </w:rPr>
              <w:t>First symbol index</w:t>
            </w:r>
          </w:p>
        </w:tc>
      </w:tr>
      <w:tr w:rsidR="003E4AF1" w:rsidRPr="00B27E56" w14:paraId="4F300405" w14:textId="77777777" w:rsidTr="009B5A01">
        <w:trPr>
          <w:cantSplit/>
        </w:trPr>
        <w:tc>
          <w:tcPr>
            <w:tcW w:w="805" w:type="dxa"/>
            <w:tcBorders>
              <w:top w:val="double" w:sz="4" w:space="0" w:color="auto"/>
              <w:right w:val="double" w:sz="4" w:space="0" w:color="auto"/>
            </w:tcBorders>
            <w:shd w:val="clear" w:color="auto" w:fill="auto"/>
            <w:vAlign w:val="center"/>
          </w:tcPr>
          <w:p w14:paraId="7DAE9135" w14:textId="77777777" w:rsidR="003E4AF1" w:rsidRPr="00B27E56" w:rsidRDefault="003E4AF1" w:rsidP="009B5A01">
            <w:pPr>
              <w:pStyle w:val="TAC"/>
              <w:rPr>
                <w:lang w:val="en-US"/>
              </w:rPr>
            </w:pPr>
            <w:r w:rsidRPr="00B27E56">
              <w:rPr>
                <w:lang w:val="en-US"/>
              </w:rPr>
              <w:t>0</w:t>
            </w:r>
          </w:p>
        </w:tc>
        <w:tc>
          <w:tcPr>
            <w:tcW w:w="702" w:type="dxa"/>
            <w:tcBorders>
              <w:top w:val="double" w:sz="4" w:space="0" w:color="auto"/>
              <w:left w:val="double" w:sz="4" w:space="0" w:color="auto"/>
            </w:tcBorders>
            <w:vAlign w:val="center"/>
          </w:tcPr>
          <w:p w14:paraId="2D059923" w14:textId="77777777" w:rsidR="003E4AF1" w:rsidRPr="00B27E56" w:rsidRDefault="003E4AF1" w:rsidP="009B5A01">
            <w:pPr>
              <w:pStyle w:val="TAC"/>
              <w:rPr>
                <w:lang w:val="en-US"/>
              </w:rPr>
            </w:pPr>
            <w:r w:rsidRPr="00B27E56">
              <w:rPr>
                <w:rStyle w:val="CommentReference"/>
                <w:rFonts w:cs="Arial"/>
                <w:sz w:val="18"/>
                <w:szCs w:val="20"/>
              </w:rPr>
              <w:t>0</w:t>
            </w:r>
          </w:p>
        </w:tc>
        <w:tc>
          <w:tcPr>
            <w:tcW w:w="3596" w:type="dxa"/>
            <w:tcBorders>
              <w:top w:val="double" w:sz="4" w:space="0" w:color="auto"/>
            </w:tcBorders>
            <w:vAlign w:val="center"/>
          </w:tcPr>
          <w:p w14:paraId="4AD0A95C" w14:textId="77777777" w:rsidR="003E4AF1" w:rsidRPr="00B27E56" w:rsidRDefault="003E4AF1" w:rsidP="009B5A01">
            <w:pPr>
              <w:pStyle w:val="TAC"/>
              <w:rPr>
                <w:lang w:val="en-US"/>
              </w:rPr>
            </w:pPr>
            <w:r w:rsidRPr="00B27E56">
              <w:rPr>
                <w:rStyle w:val="CommentReference"/>
                <w:rFonts w:cs="Arial"/>
                <w:sz w:val="18"/>
                <w:szCs w:val="20"/>
              </w:rPr>
              <w:t>1</w:t>
            </w:r>
          </w:p>
        </w:tc>
        <w:tc>
          <w:tcPr>
            <w:tcW w:w="904" w:type="dxa"/>
            <w:tcBorders>
              <w:top w:val="double" w:sz="4" w:space="0" w:color="auto"/>
            </w:tcBorders>
            <w:vAlign w:val="center"/>
          </w:tcPr>
          <w:p w14:paraId="41FDF980" w14:textId="77777777" w:rsidR="003E4AF1" w:rsidRPr="00B27E56" w:rsidRDefault="003E4AF1" w:rsidP="009B5A01">
            <w:pPr>
              <w:pStyle w:val="TAC"/>
              <w:rPr>
                <w:szCs w:val="18"/>
                <w:lang w:val="en-US"/>
              </w:rPr>
            </w:pPr>
            <w:r w:rsidRPr="00B27E56">
              <w:rPr>
                <w:rStyle w:val="CommentReference"/>
                <w:rFonts w:cs="Arial"/>
                <w:sz w:val="18"/>
                <w:szCs w:val="18"/>
              </w:rPr>
              <w:t>1</w:t>
            </w:r>
          </w:p>
        </w:tc>
        <w:tc>
          <w:tcPr>
            <w:tcW w:w="3426" w:type="dxa"/>
            <w:tcBorders>
              <w:top w:val="double" w:sz="4" w:space="0" w:color="auto"/>
            </w:tcBorders>
            <w:vAlign w:val="center"/>
          </w:tcPr>
          <w:p w14:paraId="47597D7D" w14:textId="77777777" w:rsidR="003E4AF1" w:rsidRPr="00B27E56" w:rsidRDefault="003E4AF1" w:rsidP="009B5A01">
            <w:pPr>
              <w:pStyle w:val="TAC"/>
              <w:rPr>
                <w:szCs w:val="18"/>
                <w:lang w:val="en-US"/>
              </w:rPr>
            </w:pPr>
            <w:r w:rsidRPr="00B27E56">
              <w:rPr>
                <w:rStyle w:val="CommentReference"/>
                <w:rFonts w:cs="Arial"/>
                <w:sz w:val="18"/>
                <w:szCs w:val="18"/>
              </w:rPr>
              <w:t>0</w:t>
            </w:r>
          </w:p>
        </w:tc>
      </w:tr>
      <w:tr w:rsidR="003E4AF1" w:rsidRPr="00B27E56" w14:paraId="0437B2F2" w14:textId="77777777" w:rsidTr="009B5A01">
        <w:trPr>
          <w:cantSplit/>
        </w:trPr>
        <w:tc>
          <w:tcPr>
            <w:tcW w:w="805" w:type="dxa"/>
            <w:tcBorders>
              <w:right w:val="double" w:sz="4" w:space="0" w:color="auto"/>
            </w:tcBorders>
            <w:shd w:val="clear" w:color="auto" w:fill="auto"/>
            <w:vAlign w:val="center"/>
          </w:tcPr>
          <w:p w14:paraId="001704F8" w14:textId="77777777" w:rsidR="003E4AF1" w:rsidRPr="00B27E56" w:rsidRDefault="003E4AF1" w:rsidP="009B5A01">
            <w:pPr>
              <w:pStyle w:val="TAC"/>
              <w:rPr>
                <w:lang w:val="en-US"/>
              </w:rPr>
            </w:pPr>
            <w:r w:rsidRPr="00B27E56">
              <w:rPr>
                <w:lang w:val="en-US"/>
              </w:rPr>
              <w:t>1</w:t>
            </w:r>
          </w:p>
        </w:tc>
        <w:tc>
          <w:tcPr>
            <w:tcW w:w="702" w:type="dxa"/>
            <w:tcBorders>
              <w:left w:val="double" w:sz="4" w:space="0" w:color="auto"/>
            </w:tcBorders>
            <w:vAlign w:val="center"/>
          </w:tcPr>
          <w:p w14:paraId="0E2646B5" w14:textId="77777777" w:rsidR="003E4AF1" w:rsidRPr="00B27E56" w:rsidRDefault="003E4AF1" w:rsidP="009B5A01">
            <w:pPr>
              <w:pStyle w:val="TAC"/>
              <w:rPr>
                <w:lang w:val="en-US"/>
              </w:rPr>
            </w:pPr>
            <w:r w:rsidRPr="00B27E56">
              <w:rPr>
                <w:rStyle w:val="CommentReference"/>
                <w:rFonts w:cs="Arial"/>
                <w:sz w:val="18"/>
                <w:szCs w:val="20"/>
              </w:rPr>
              <w:t>0</w:t>
            </w:r>
          </w:p>
        </w:tc>
        <w:tc>
          <w:tcPr>
            <w:tcW w:w="3596" w:type="dxa"/>
            <w:vAlign w:val="center"/>
          </w:tcPr>
          <w:p w14:paraId="6D735276" w14:textId="77777777" w:rsidR="003E4AF1" w:rsidRPr="00B27E56" w:rsidRDefault="003E4AF1" w:rsidP="009B5A01">
            <w:pPr>
              <w:pStyle w:val="TAC"/>
              <w:rPr>
                <w:lang w:val="en-US"/>
              </w:rPr>
            </w:pPr>
            <w:r w:rsidRPr="00B27E56">
              <w:rPr>
                <w:rStyle w:val="CommentReference"/>
                <w:rFonts w:cs="Arial"/>
                <w:sz w:val="18"/>
                <w:szCs w:val="20"/>
              </w:rPr>
              <w:t>2</w:t>
            </w:r>
          </w:p>
        </w:tc>
        <w:tc>
          <w:tcPr>
            <w:tcW w:w="904" w:type="dxa"/>
            <w:vAlign w:val="center"/>
          </w:tcPr>
          <w:p w14:paraId="7C2F7603" w14:textId="77777777" w:rsidR="003E4AF1" w:rsidRPr="00B27E56" w:rsidRDefault="003E4AF1" w:rsidP="009B5A01">
            <w:pPr>
              <w:pStyle w:val="TAC"/>
              <w:rPr>
                <w:szCs w:val="18"/>
                <w:lang w:val="en-US"/>
              </w:rPr>
            </w:pPr>
            <w:r w:rsidRPr="00B27E56">
              <w:rPr>
                <w:rStyle w:val="CommentReference"/>
                <w:rFonts w:cs="Arial"/>
                <w:sz w:val="18"/>
                <w:szCs w:val="18"/>
              </w:rPr>
              <w:t>1/2</w:t>
            </w:r>
          </w:p>
        </w:tc>
        <w:tc>
          <w:tcPr>
            <w:tcW w:w="3426" w:type="dxa"/>
            <w:vAlign w:val="center"/>
          </w:tcPr>
          <w:p w14:paraId="43CF568A" w14:textId="77777777" w:rsidR="003E4AF1" w:rsidRPr="00B27E56" w:rsidRDefault="003E4AF1" w:rsidP="009B5A01">
            <w:pPr>
              <w:pStyle w:val="TAC"/>
              <w:rPr>
                <w:szCs w:val="18"/>
                <w:lang w:val="en-US"/>
              </w:rPr>
            </w:pPr>
            <w:r w:rsidRPr="00B27E56">
              <w:rPr>
                <w:rStyle w:val="CommentReference"/>
                <w:rFonts w:cs="Arial"/>
                <w:sz w:val="18"/>
                <w:szCs w:val="18"/>
              </w:rPr>
              <w:t xml:space="preserve">{0, if </w:t>
            </w:r>
            <m:oMath>
              <m:r>
                <w:rPr>
                  <w:rStyle w:val="CommentReference"/>
                  <w:rFonts w:ascii="Cambria Math" w:hAnsi="Cambria Math" w:cs="Arial"/>
                  <w:sz w:val="18"/>
                  <w:szCs w:val="18"/>
                </w:rPr>
                <m:t>i</m:t>
              </m:r>
            </m:oMath>
            <w:r w:rsidRPr="00B27E56">
              <w:rPr>
                <w:szCs w:val="18"/>
              </w:rPr>
              <w:t xml:space="preserve"> is even}</w:t>
            </w:r>
            <w:r w:rsidRPr="00B27E56">
              <w:rPr>
                <w:rStyle w:val="CommentReference"/>
                <w:rFonts w:cs="Arial"/>
                <w:sz w:val="18"/>
                <w:szCs w:val="18"/>
              </w:rPr>
              <w:t>, {7</w:t>
            </w:r>
            <w:r w:rsidRPr="00B27E56">
              <w:rPr>
                <w:szCs w:val="18"/>
              </w:rPr>
              <w:t xml:space="preserve">, if </w:t>
            </w:r>
            <m:oMath>
              <m:r>
                <w:rPr>
                  <w:rStyle w:val="CommentReference"/>
                  <w:rFonts w:ascii="Cambria Math" w:hAnsi="Cambria Math" w:cs="Arial"/>
                  <w:sz w:val="18"/>
                  <w:szCs w:val="18"/>
                </w:rPr>
                <m:t>i</m:t>
              </m:r>
            </m:oMath>
            <w:r w:rsidRPr="00B27E56">
              <w:rPr>
                <w:szCs w:val="18"/>
              </w:rPr>
              <w:t xml:space="preserve"> is odd</w:t>
            </w:r>
            <w:r w:rsidRPr="00B27E56">
              <w:rPr>
                <w:rStyle w:val="CommentReference"/>
                <w:rFonts w:cs="Arial"/>
                <w:sz w:val="18"/>
                <w:szCs w:val="18"/>
              </w:rPr>
              <w:t>}</w:t>
            </w:r>
          </w:p>
        </w:tc>
      </w:tr>
      <w:tr w:rsidR="003E4AF1" w:rsidRPr="00B27E56" w14:paraId="6A72DA1C" w14:textId="77777777" w:rsidTr="009B5A01">
        <w:trPr>
          <w:cantSplit/>
        </w:trPr>
        <w:tc>
          <w:tcPr>
            <w:tcW w:w="805" w:type="dxa"/>
            <w:tcBorders>
              <w:right w:val="double" w:sz="4" w:space="0" w:color="auto"/>
            </w:tcBorders>
            <w:shd w:val="clear" w:color="auto" w:fill="auto"/>
            <w:vAlign w:val="center"/>
          </w:tcPr>
          <w:p w14:paraId="67D893FA" w14:textId="77777777" w:rsidR="003E4AF1" w:rsidRPr="00B27E56" w:rsidRDefault="003E4AF1" w:rsidP="009B5A01">
            <w:pPr>
              <w:pStyle w:val="TAC"/>
            </w:pPr>
            <w:r w:rsidRPr="00B27E56">
              <w:t>2</w:t>
            </w:r>
          </w:p>
        </w:tc>
        <w:tc>
          <w:tcPr>
            <w:tcW w:w="702" w:type="dxa"/>
            <w:tcBorders>
              <w:left w:val="double" w:sz="4" w:space="0" w:color="auto"/>
            </w:tcBorders>
            <w:vAlign w:val="center"/>
          </w:tcPr>
          <w:p w14:paraId="7AB1C225" w14:textId="77777777" w:rsidR="003E4AF1" w:rsidRPr="00B27E56" w:rsidRDefault="003E4AF1" w:rsidP="009B5A01">
            <w:pPr>
              <w:pStyle w:val="TAC"/>
            </w:pPr>
            <w:r w:rsidRPr="00B27E56">
              <w:rPr>
                <w:rStyle w:val="CommentReference"/>
                <w:rFonts w:cs="Arial"/>
                <w:sz w:val="18"/>
                <w:szCs w:val="20"/>
              </w:rPr>
              <w:t>X</w:t>
            </w:r>
          </w:p>
        </w:tc>
        <w:tc>
          <w:tcPr>
            <w:tcW w:w="3596" w:type="dxa"/>
            <w:vAlign w:val="center"/>
          </w:tcPr>
          <w:p w14:paraId="10720DF7" w14:textId="77777777" w:rsidR="003E4AF1" w:rsidRPr="00B27E56" w:rsidRDefault="003E4AF1" w:rsidP="009B5A01">
            <w:pPr>
              <w:pStyle w:val="TAC"/>
            </w:pPr>
            <w:r w:rsidRPr="00B27E56">
              <w:rPr>
                <w:rStyle w:val="CommentReference"/>
                <w:rFonts w:cs="Arial"/>
                <w:sz w:val="18"/>
                <w:szCs w:val="20"/>
              </w:rPr>
              <w:t>1</w:t>
            </w:r>
          </w:p>
        </w:tc>
        <w:tc>
          <w:tcPr>
            <w:tcW w:w="904" w:type="dxa"/>
            <w:vAlign w:val="center"/>
          </w:tcPr>
          <w:p w14:paraId="028E6E69" w14:textId="77777777" w:rsidR="003E4AF1" w:rsidRPr="00B27E56" w:rsidRDefault="003E4AF1" w:rsidP="009B5A01">
            <w:pPr>
              <w:pStyle w:val="TAC"/>
              <w:rPr>
                <w:szCs w:val="18"/>
              </w:rPr>
            </w:pPr>
            <w:r w:rsidRPr="00B27E56">
              <w:rPr>
                <w:rStyle w:val="CommentReference"/>
                <w:rFonts w:cs="Arial"/>
                <w:sz w:val="18"/>
                <w:szCs w:val="18"/>
              </w:rPr>
              <w:t>1</w:t>
            </w:r>
          </w:p>
        </w:tc>
        <w:tc>
          <w:tcPr>
            <w:tcW w:w="3426" w:type="dxa"/>
            <w:vAlign w:val="center"/>
          </w:tcPr>
          <w:p w14:paraId="2D2E7608" w14:textId="77777777" w:rsidR="003E4AF1" w:rsidRPr="00B27E56" w:rsidRDefault="003E4AF1" w:rsidP="009B5A01">
            <w:pPr>
              <w:pStyle w:val="TAC"/>
              <w:rPr>
                <w:szCs w:val="18"/>
              </w:rPr>
            </w:pPr>
            <w:r w:rsidRPr="00B27E56">
              <w:rPr>
                <w:rStyle w:val="CommentReference"/>
                <w:rFonts w:cs="Arial"/>
                <w:sz w:val="18"/>
                <w:szCs w:val="18"/>
              </w:rPr>
              <w:t>0</w:t>
            </w:r>
          </w:p>
        </w:tc>
      </w:tr>
      <w:tr w:rsidR="003E4AF1" w:rsidRPr="00B27E56" w14:paraId="3317DB36" w14:textId="77777777" w:rsidTr="009B5A01">
        <w:trPr>
          <w:cantSplit/>
        </w:trPr>
        <w:tc>
          <w:tcPr>
            <w:tcW w:w="805" w:type="dxa"/>
            <w:tcBorders>
              <w:right w:val="double" w:sz="4" w:space="0" w:color="auto"/>
            </w:tcBorders>
            <w:shd w:val="clear" w:color="auto" w:fill="auto"/>
            <w:vAlign w:val="center"/>
          </w:tcPr>
          <w:p w14:paraId="532666C5" w14:textId="77777777" w:rsidR="003E4AF1" w:rsidRPr="00B27E56" w:rsidRDefault="003E4AF1" w:rsidP="009B5A01">
            <w:pPr>
              <w:pStyle w:val="TAC"/>
            </w:pPr>
            <w:r w:rsidRPr="00B27E56">
              <w:t>3</w:t>
            </w:r>
          </w:p>
        </w:tc>
        <w:tc>
          <w:tcPr>
            <w:tcW w:w="702" w:type="dxa"/>
            <w:tcBorders>
              <w:left w:val="double" w:sz="4" w:space="0" w:color="auto"/>
            </w:tcBorders>
            <w:vAlign w:val="center"/>
          </w:tcPr>
          <w:p w14:paraId="0341846A" w14:textId="77777777" w:rsidR="003E4AF1" w:rsidRPr="00B27E56" w:rsidRDefault="003E4AF1" w:rsidP="009B5A01">
            <w:pPr>
              <w:pStyle w:val="TAC"/>
            </w:pPr>
            <w:r w:rsidRPr="00B27E56">
              <w:rPr>
                <w:rStyle w:val="CommentReference"/>
                <w:rFonts w:cs="Arial"/>
                <w:sz w:val="18"/>
                <w:szCs w:val="20"/>
              </w:rPr>
              <w:t>X</w:t>
            </w:r>
          </w:p>
        </w:tc>
        <w:tc>
          <w:tcPr>
            <w:tcW w:w="3596" w:type="dxa"/>
            <w:vAlign w:val="center"/>
          </w:tcPr>
          <w:p w14:paraId="038178C1" w14:textId="77777777" w:rsidR="003E4AF1" w:rsidRPr="00B27E56" w:rsidRDefault="003E4AF1" w:rsidP="009B5A01">
            <w:pPr>
              <w:pStyle w:val="TAC"/>
            </w:pPr>
            <w:r w:rsidRPr="00B27E56">
              <w:rPr>
                <w:rStyle w:val="CommentReference"/>
                <w:rFonts w:cs="Arial"/>
                <w:sz w:val="18"/>
                <w:szCs w:val="20"/>
              </w:rPr>
              <w:t>2</w:t>
            </w:r>
          </w:p>
        </w:tc>
        <w:tc>
          <w:tcPr>
            <w:tcW w:w="904" w:type="dxa"/>
            <w:vAlign w:val="center"/>
          </w:tcPr>
          <w:p w14:paraId="190237F8" w14:textId="77777777" w:rsidR="003E4AF1" w:rsidRPr="00B27E56" w:rsidRDefault="003E4AF1" w:rsidP="009B5A01">
            <w:pPr>
              <w:pStyle w:val="TAC"/>
              <w:rPr>
                <w:szCs w:val="18"/>
              </w:rPr>
            </w:pPr>
            <w:r w:rsidRPr="00B27E56">
              <w:rPr>
                <w:rStyle w:val="CommentReference"/>
                <w:rFonts w:cs="Arial"/>
                <w:sz w:val="18"/>
                <w:szCs w:val="18"/>
              </w:rPr>
              <w:t>1/2</w:t>
            </w:r>
          </w:p>
        </w:tc>
        <w:tc>
          <w:tcPr>
            <w:tcW w:w="3426" w:type="dxa"/>
            <w:vAlign w:val="center"/>
          </w:tcPr>
          <w:p w14:paraId="0529E3E1" w14:textId="77777777" w:rsidR="003E4AF1" w:rsidRPr="00B27E56" w:rsidRDefault="003E4AF1" w:rsidP="009B5A01">
            <w:pPr>
              <w:pStyle w:val="TAC"/>
              <w:rPr>
                <w:szCs w:val="18"/>
              </w:rPr>
            </w:pPr>
            <w:r w:rsidRPr="00B27E56">
              <w:rPr>
                <w:rStyle w:val="CommentReference"/>
                <w:rFonts w:cs="Arial"/>
                <w:sz w:val="18"/>
                <w:szCs w:val="18"/>
              </w:rPr>
              <w:t xml:space="preserve">{0, if </w:t>
            </w:r>
            <m:oMath>
              <m:r>
                <w:rPr>
                  <w:rStyle w:val="CommentReference"/>
                  <w:rFonts w:ascii="Cambria Math" w:hAnsi="Cambria Math" w:cs="Arial"/>
                  <w:sz w:val="18"/>
                  <w:szCs w:val="18"/>
                </w:rPr>
                <m:t>i</m:t>
              </m:r>
            </m:oMath>
            <w:r w:rsidRPr="00B27E56">
              <w:rPr>
                <w:szCs w:val="18"/>
              </w:rPr>
              <w:t xml:space="preserve"> is even}</w:t>
            </w:r>
            <w:r w:rsidRPr="00B27E56">
              <w:rPr>
                <w:rStyle w:val="CommentReference"/>
                <w:rFonts w:cs="Arial"/>
                <w:sz w:val="18"/>
                <w:szCs w:val="18"/>
              </w:rPr>
              <w:t>, {7</w:t>
            </w:r>
            <w:r w:rsidRPr="00B27E56">
              <w:rPr>
                <w:szCs w:val="18"/>
              </w:rPr>
              <w:t xml:space="preserve">, if </w:t>
            </w:r>
            <m:oMath>
              <m:r>
                <w:rPr>
                  <w:rStyle w:val="CommentReference"/>
                  <w:rFonts w:ascii="Cambria Math" w:hAnsi="Cambria Math" w:cs="Arial"/>
                  <w:sz w:val="18"/>
                  <w:szCs w:val="18"/>
                </w:rPr>
                <m:t>i</m:t>
              </m:r>
            </m:oMath>
            <w:r w:rsidRPr="00B27E56">
              <w:rPr>
                <w:szCs w:val="18"/>
              </w:rPr>
              <w:t xml:space="preserve"> is odd</w:t>
            </w:r>
            <w:r w:rsidRPr="00B27E56">
              <w:rPr>
                <w:rStyle w:val="CommentReference"/>
                <w:rFonts w:cs="Arial"/>
                <w:sz w:val="18"/>
                <w:szCs w:val="18"/>
              </w:rPr>
              <w:t>}</w:t>
            </w:r>
          </w:p>
        </w:tc>
      </w:tr>
      <w:tr w:rsidR="003E4AF1" w:rsidRPr="00B27E56" w14:paraId="7773A12C" w14:textId="77777777" w:rsidTr="009B5A01">
        <w:trPr>
          <w:cantSplit/>
        </w:trPr>
        <w:tc>
          <w:tcPr>
            <w:tcW w:w="805" w:type="dxa"/>
            <w:tcBorders>
              <w:right w:val="double" w:sz="4" w:space="0" w:color="auto"/>
            </w:tcBorders>
            <w:shd w:val="clear" w:color="auto" w:fill="auto"/>
            <w:vAlign w:val="center"/>
          </w:tcPr>
          <w:p w14:paraId="354165BF" w14:textId="77777777" w:rsidR="003E4AF1" w:rsidRPr="00B27E56" w:rsidRDefault="003E4AF1" w:rsidP="009B5A01">
            <w:pPr>
              <w:pStyle w:val="TAC"/>
            </w:pPr>
            <w:r w:rsidRPr="00B27E56">
              <w:t>4</w:t>
            </w:r>
          </w:p>
        </w:tc>
        <w:tc>
          <w:tcPr>
            <w:tcW w:w="702" w:type="dxa"/>
            <w:tcBorders>
              <w:left w:val="double" w:sz="4" w:space="0" w:color="auto"/>
            </w:tcBorders>
            <w:vAlign w:val="center"/>
          </w:tcPr>
          <w:p w14:paraId="28E91848" w14:textId="77777777" w:rsidR="003E4AF1" w:rsidRPr="00B27E56" w:rsidRDefault="003E4AF1" w:rsidP="009B5A01">
            <w:pPr>
              <w:pStyle w:val="TAC"/>
            </w:pPr>
            <w:r w:rsidRPr="00B27E56">
              <w:rPr>
                <w:rStyle w:val="CommentReference"/>
                <w:rFonts w:cs="Arial"/>
                <w:sz w:val="18"/>
                <w:szCs w:val="20"/>
              </w:rPr>
              <w:t>5</w:t>
            </w:r>
          </w:p>
        </w:tc>
        <w:tc>
          <w:tcPr>
            <w:tcW w:w="3596" w:type="dxa"/>
            <w:vAlign w:val="center"/>
          </w:tcPr>
          <w:p w14:paraId="115553B8" w14:textId="77777777" w:rsidR="003E4AF1" w:rsidRPr="00B27E56" w:rsidRDefault="003E4AF1" w:rsidP="009B5A01">
            <w:pPr>
              <w:pStyle w:val="TAC"/>
            </w:pPr>
            <w:r w:rsidRPr="00B27E56">
              <w:rPr>
                <w:rStyle w:val="CommentReference"/>
                <w:rFonts w:cs="Arial"/>
                <w:sz w:val="18"/>
                <w:szCs w:val="20"/>
              </w:rPr>
              <w:t>1</w:t>
            </w:r>
          </w:p>
        </w:tc>
        <w:tc>
          <w:tcPr>
            <w:tcW w:w="904" w:type="dxa"/>
            <w:vAlign w:val="center"/>
          </w:tcPr>
          <w:p w14:paraId="1179759A" w14:textId="77777777" w:rsidR="003E4AF1" w:rsidRPr="00B27E56" w:rsidRDefault="003E4AF1" w:rsidP="009B5A01">
            <w:pPr>
              <w:pStyle w:val="TAC"/>
              <w:rPr>
                <w:szCs w:val="18"/>
              </w:rPr>
            </w:pPr>
            <w:r w:rsidRPr="00B27E56">
              <w:rPr>
                <w:rStyle w:val="CommentReference"/>
                <w:rFonts w:cs="Arial"/>
                <w:sz w:val="18"/>
                <w:szCs w:val="18"/>
              </w:rPr>
              <w:t>1</w:t>
            </w:r>
          </w:p>
        </w:tc>
        <w:tc>
          <w:tcPr>
            <w:tcW w:w="3426" w:type="dxa"/>
            <w:vAlign w:val="center"/>
          </w:tcPr>
          <w:p w14:paraId="7BA1562B" w14:textId="77777777" w:rsidR="003E4AF1" w:rsidRPr="00B27E56" w:rsidRDefault="003E4AF1" w:rsidP="009B5A01">
            <w:pPr>
              <w:pStyle w:val="TAC"/>
              <w:rPr>
                <w:szCs w:val="18"/>
              </w:rPr>
            </w:pPr>
            <w:r w:rsidRPr="00B27E56">
              <w:rPr>
                <w:rStyle w:val="CommentReference"/>
                <w:rFonts w:cs="Arial"/>
                <w:sz w:val="18"/>
                <w:szCs w:val="18"/>
              </w:rPr>
              <w:t>0</w:t>
            </w:r>
          </w:p>
        </w:tc>
      </w:tr>
      <w:tr w:rsidR="003E4AF1" w:rsidRPr="00B27E56" w14:paraId="7E14DEA0" w14:textId="77777777" w:rsidTr="009B5A01">
        <w:trPr>
          <w:cantSplit/>
        </w:trPr>
        <w:tc>
          <w:tcPr>
            <w:tcW w:w="805" w:type="dxa"/>
            <w:tcBorders>
              <w:right w:val="double" w:sz="4" w:space="0" w:color="auto"/>
            </w:tcBorders>
            <w:shd w:val="clear" w:color="auto" w:fill="auto"/>
            <w:vAlign w:val="center"/>
          </w:tcPr>
          <w:p w14:paraId="29FB0CA6" w14:textId="77777777" w:rsidR="003E4AF1" w:rsidRPr="00B27E56" w:rsidRDefault="003E4AF1" w:rsidP="009B5A01">
            <w:pPr>
              <w:pStyle w:val="TAC"/>
            </w:pPr>
            <w:r w:rsidRPr="00B27E56">
              <w:t>5</w:t>
            </w:r>
          </w:p>
        </w:tc>
        <w:tc>
          <w:tcPr>
            <w:tcW w:w="702" w:type="dxa"/>
            <w:tcBorders>
              <w:left w:val="double" w:sz="4" w:space="0" w:color="auto"/>
            </w:tcBorders>
            <w:vAlign w:val="center"/>
          </w:tcPr>
          <w:p w14:paraId="1F20F2EE" w14:textId="77777777" w:rsidR="003E4AF1" w:rsidRPr="00B27E56" w:rsidRDefault="003E4AF1" w:rsidP="009B5A01">
            <w:pPr>
              <w:pStyle w:val="TAC"/>
            </w:pPr>
            <w:r w:rsidRPr="00B27E56">
              <w:rPr>
                <w:rStyle w:val="CommentReference"/>
                <w:rFonts w:cs="Arial"/>
                <w:sz w:val="18"/>
                <w:szCs w:val="20"/>
              </w:rPr>
              <w:t>5</w:t>
            </w:r>
          </w:p>
        </w:tc>
        <w:tc>
          <w:tcPr>
            <w:tcW w:w="3596" w:type="dxa"/>
            <w:vAlign w:val="center"/>
          </w:tcPr>
          <w:p w14:paraId="4E1457E5" w14:textId="77777777" w:rsidR="003E4AF1" w:rsidRPr="00B27E56" w:rsidRDefault="003E4AF1" w:rsidP="009B5A01">
            <w:pPr>
              <w:pStyle w:val="TAC"/>
            </w:pPr>
            <w:r w:rsidRPr="00B27E56">
              <w:rPr>
                <w:rStyle w:val="CommentReference"/>
                <w:rFonts w:cs="Arial"/>
                <w:sz w:val="18"/>
                <w:szCs w:val="20"/>
              </w:rPr>
              <w:t>2</w:t>
            </w:r>
          </w:p>
        </w:tc>
        <w:tc>
          <w:tcPr>
            <w:tcW w:w="904" w:type="dxa"/>
            <w:vAlign w:val="center"/>
          </w:tcPr>
          <w:p w14:paraId="7D7CD84F" w14:textId="77777777" w:rsidR="003E4AF1" w:rsidRPr="00B27E56" w:rsidRDefault="003E4AF1" w:rsidP="009B5A01">
            <w:pPr>
              <w:pStyle w:val="TAC"/>
              <w:rPr>
                <w:szCs w:val="18"/>
              </w:rPr>
            </w:pPr>
            <w:r w:rsidRPr="00B27E56">
              <w:rPr>
                <w:rStyle w:val="CommentReference"/>
                <w:rFonts w:cs="Arial"/>
                <w:sz w:val="18"/>
                <w:szCs w:val="18"/>
              </w:rPr>
              <w:t>1/2</w:t>
            </w:r>
          </w:p>
        </w:tc>
        <w:tc>
          <w:tcPr>
            <w:tcW w:w="3426" w:type="dxa"/>
            <w:vAlign w:val="center"/>
          </w:tcPr>
          <w:p w14:paraId="39835306" w14:textId="77777777" w:rsidR="003E4AF1" w:rsidRPr="00B27E56" w:rsidRDefault="003E4AF1" w:rsidP="009B5A01">
            <w:pPr>
              <w:pStyle w:val="TAC"/>
              <w:rPr>
                <w:szCs w:val="18"/>
              </w:rPr>
            </w:pPr>
            <w:r w:rsidRPr="00B27E56">
              <w:rPr>
                <w:rStyle w:val="CommentReference"/>
                <w:rFonts w:cs="Arial"/>
                <w:sz w:val="18"/>
                <w:szCs w:val="18"/>
              </w:rPr>
              <w:t xml:space="preserve">{0, if </w:t>
            </w:r>
            <m:oMath>
              <m:r>
                <w:rPr>
                  <w:rStyle w:val="CommentReference"/>
                  <w:rFonts w:ascii="Cambria Math" w:hAnsi="Cambria Math" w:cs="Arial"/>
                  <w:sz w:val="18"/>
                  <w:szCs w:val="18"/>
                </w:rPr>
                <m:t>i</m:t>
              </m:r>
            </m:oMath>
            <w:r w:rsidRPr="00B27E56">
              <w:rPr>
                <w:szCs w:val="18"/>
              </w:rPr>
              <w:t xml:space="preserve"> is even}</w:t>
            </w:r>
            <w:r w:rsidRPr="00B27E56">
              <w:rPr>
                <w:rStyle w:val="CommentReference"/>
                <w:rFonts w:cs="Arial"/>
                <w:sz w:val="18"/>
                <w:szCs w:val="18"/>
              </w:rPr>
              <w:t>, {7</w:t>
            </w:r>
            <w:r w:rsidRPr="00B27E56">
              <w:rPr>
                <w:szCs w:val="18"/>
              </w:rPr>
              <w:t xml:space="preserve">, if </w:t>
            </w:r>
            <m:oMath>
              <m:r>
                <w:rPr>
                  <w:rStyle w:val="CommentReference"/>
                  <w:rFonts w:ascii="Cambria Math" w:hAnsi="Cambria Math" w:cs="Arial"/>
                  <w:sz w:val="18"/>
                  <w:szCs w:val="18"/>
                </w:rPr>
                <m:t>i</m:t>
              </m:r>
            </m:oMath>
            <w:r w:rsidRPr="00B27E56">
              <w:rPr>
                <w:szCs w:val="18"/>
              </w:rPr>
              <w:t xml:space="preserve"> is odd</w:t>
            </w:r>
            <w:r w:rsidRPr="00B27E56">
              <w:rPr>
                <w:rStyle w:val="CommentReference"/>
                <w:rFonts w:cs="Arial"/>
                <w:sz w:val="18"/>
                <w:szCs w:val="18"/>
              </w:rPr>
              <w:t>}</w:t>
            </w:r>
          </w:p>
        </w:tc>
      </w:tr>
      <w:tr w:rsidR="003E4AF1" w:rsidRPr="00B27E56" w14:paraId="5A0FAB7F" w14:textId="77777777" w:rsidTr="009B5A01">
        <w:trPr>
          <w:cantSplit/>
        </w:trPr>
        <w:tc>
          <w:tcPr>
            <w:tcW w:w="805" w:type="dxa"/>
            <w:tcBorders>
              <w:right w:val="double" w:sz="4" w:space="0" w:color="auto"/>
            </w:tcBorders>
            <w:shd w:val="clear" w:color="auto" w:fill="auto"/>
            <w:vAlign w:val="center"/>
          </w:tcPr>
          <w:p w14:paraId="01AD8AFA" w14:textId="77777777" w:rsidR="003E4AF1" w:rsidRPr="00B27E56" w:rsidRDefault="003E4AF1" w:rsidP="009B5A01">
            <w:pPr>
              <w:pStyle w:val="TAC"/>
            </w:pPr>
            <w:r w:rsidRPr="00B27E56">
              <w:t>6</w:t>
            </w:r>
          </w:p>
        </w:tc>
        <w:tc>
          <w:tcPr>
            <w:tcW w:w="702" w:type="dxa"/>
            <w:tcBorders>
              <w:left w:val="double" w:sz="4" w:space="0" w:color="auto"/>
            </w:tcBorders>
            <w:vAlign w:val="center"/>
          </w:tcPr>
          <w:p w14:paraId="79B94D31" w14:textId="77777777" w:rsidR="003E4AF1" w:rsidRPr="00B27E56" w:rsidRDefault="003E4AF1" w:rsidP="009B5A01">
            <w:pPr>
              <w:pStyle w:val="TAC"/>
            </w:pPr>
            <w:r w:rsidRPr="00B27E56">
              <w:rPr>
                <w:rStyle w:val="CommentReference"/>
                <w:rFonts w:cs="Arial"/>
                <w:sz w:val="18"/>
                <w:szCs w:val="20"/>
              </w:rPr>
              <w:t>0</w:t>
            </w:r>
          </w:p>
        </w:tc>
        <w:tc>
          <w:tcPr>
            <w:tcW w:w="3596" w:type="dxa"/>
            <w:vAlign w:val="center"/>
          </w:tcPr>
          <w:p w14:paraId="54D34FBB" w14:textId="77777777" w:rsidR="003E4AF1" w:rsidRPr="00B27E56" w:rsidRDefault="003E4AF1" w:rsidP="009B5A01">
            <w:pPr>
              <w:pStyle w:val="TAC"/>
            </w:pPr>
            <w:r w:rsidRPr="00B27E56">
              <w:rPr>
                <w:rStyle w:val="CommentReference"/>
                <w:rFonts w:cs="Arial"/>
                <w:sz w:val="18"/>
                <w:szCs w:val="20"/>
              </w:rPr>
              <w:t>2</w:t>
            </w:r>
          </w:p>
        </w:tc>
        <w:tc>
          <w:tcPr>
            <w:tcW w:w="904" w:type="dxa"/>
            <w:vAlign w:val="center"/>
          </w:tcPr>
          <w:p w14:paraId="49A69E50" w14:textId="77777777" w:rsidR="003E4AF1" w:rsidRPr="00B27E56" w:rsidRDefault="003E4AF1" w:rsidP="009B5A01">
            <w:pPr>
              <w:pStyle w:val="TAC"/>
              <w:rPr>
                <w:szCs w:val="18"/>
              </w:rPr>
            </w:pPr>
            <w:r w:rsidRPr="00B27E56">
              <w:rPr>
                <w:rStyle w:val="CommentReference"/>
                <w:rFonts w:cs="Arial"/>
                <w:sz w:val="18"/>
                <w:szCs w:val="18"/>
              </w:rPr>
              <w:t>1/2</w:t>
            </w:r>
          </w:p>
        </w:tc>
        <w:tc>
          <w:tcPr>
            <w:tcW w:w="3426" w:type="dxa"/>
            <w:vAlign w:val="center"/>
          </w:tcPr>
          <w:p w14:paraId="181433B0" w14:textId="77777777" w:rsidR="003E4AF1" w:rsidRPr="00B27E56" w:rsidRDefault="003E4AF1" w:rsidP="009B5A01">
            <w:pPr>
              <w:pStyle w:val="TAC"/>
              <w:rPr>
                <w:szCs w:val="18"/>
              </w:rPr>
            </w:pPr>
            <w:r w:rsidRPr="00B27E56">
              <w:rPr>
                <w:rStyle w:val="CommentReference"/>
                <w:rFonts w:cs="Arial"/>
                <w:sz w:val="18"/>
                <w:szCs w:val="18"/>
              </w:rPr>
              <w:t xml:space="preserve"> {0, if </w:t>
            </w:r>
            <m:oMath>
              <m:r>
                <w:rPr>
                  <w:rStyle w:val="CommentReference"/>
                  <w:rFonts w:ascii="Cambria Math" w:hAnsi="Cambria Math" w:cs="Arial"/>
                  <w:sz w:val="18"/>
                  <w:szCs w:val="18"/>
                </w:rPr>
                <m:t>i</m:t>
              </m:r>
            </m:oMath>
            <w:r w:rsidRPr="00B27E56">
              <w:rPr>
                <w:szCs w:val="18"/>
              </w:rPr>
              <w:t xml:space="preserve"> is even}</w:t>
            </w:r>
            <w:r w:rsidRPr="00B27E56">
              <w:rPr>
                <w:rStyle w:val="CommentReference"/>
                <w:rFonts w:cs="Arial"/>
                <w:sz w:val="18"/>
                <w:szCs w:val="18"/>
              </w:rPr>
              <w:t>, {</w:t>
            </w:r>
            <m:oMath>
              <m:sSubSup>
                <m:sSubSupPr>
                  <m:ctrlPr>
                    <w:rPr>
                      <w:rFonts w:ascii="Cambria Math" w:hAnsi="Cambria Math"/>
                      <w:i/>
                    </w:rPr>
                  </m:ctrlPr>
                </m:sSubSupPr>
                <m:e>
                  <m:r>
                    <w:rPr>
                      <w:rFonts w:ascii="Cambria Math"/>
                    </w:rPr>
                    <m:t>N</m:t>
                  </m:r>
                </m:e>
                <m:sub>
                  <m:r>
                    <m:rPr>
                      <m:nor/>
                    </m:rPr>
                    <w:rPr>
                      <w:rFonts w:ascii="Cambria Math"/>
                    </w:rPr>
                    <m:t>symb</m:t>
                  </m:r>
                  <m:ctrlPr>
                    <w:rPr>
                      <w:rFonts w:ascii="Cambria Math" w:hAnsi="Cambria Math"/>
                    </w:rPr>
                  </m:ctrlPr>
                </m:sub>
                <m:sup>
                  <m:r>
                    <m:rPr>
                      <m:nor/>
                    </m:rPr>
                    <w:rPr>
                      <w:rFonts w:ascii="Cambria Math"/>
                    </w:rPr>
                    <m:t>CORESET</m:t>
                  </m:r>
                  <m:ctrlPr>
                    <w:rPr>
                      <w:rFonts w:ascii="Cambria Math" w:hAnsi="Cambria Math"/>
                    </w:rPr>
                  </m:ctrlPr>
                </m:sup>
              </m:sSubSup>
            </m:oMath>
            <w:r w:rsidRPr="00B27E56">
              <w:rPr>
                <w:szCs w:val="18"/>
              </w:rPr>
              <w:t xml:space="preserve">, if </w:t>
            </w:r>
            <m:oMath>
              <m:r>
                <w:rPr>
                  <w:rStyle w:val="CommentReference"/>
                  <w:rFonts w:ascii="Cambria Math" w:hAnsi="Cambria Math" w:cs="Arial"/>
                  <w:sz w:val="18"/>
                  <w:szCs w:val="18"/>
                </w:rPr>
                <m:t>i</m:t>
              </m:r>
            </m:oMath>
            <w:r w:rsidRPr="00B27E56">
              <w:rPr>
                <w:szCs w:val="18"/>
              </w:rPr>
              <w:t xml:space="preserve"> is odd</w:t>
            </w:r>
            <w:r w:rsidRPr="00B27E56">
              <w:rPr>
                <w:rStyle w:val="CommentReference"/>
                <w:rFonts w:cs="Arial"/>
                <w:sz w:val="18"/>
                <w:szCs w:val="18"/>
              </w:rPr>
              <w:t>}</w:t>
            </w:r>
          </w:p>
        </w:tc>
      </w:tr>
      <w:tr w:rsidR="003E4AF1" w:rsidRPr="00B27E56" w14:paraId="745F3FAE" w14:textId="77777777" w:rsidTr="009B5A01">
        <w:trPr>
          <w:cantSplit/>
        </w:trPr>
        <w:tc>
          <w:tcPr>
            <w:tcW w:w="805" w:type="dxa"/>
            <w:tcBorders>
              <w:right w:val="double" w:sz="4" w:space="0" w:color="auto"/>
            </w:tcBorders>
            <w:shd w:val="clear" w:color="auto" w:fill="auto"/>
            <w:vAlign w:val="center"/>
          </w:tcPr>
          <w:p w14:paraId="263308B2" w14:textId="77777777" w:rsidR="003E4AF1" w:rsidRPr="00B27E56" w:rsidRDefault="003E4AF1" w:rsidP="009B5A01">
            <w:pPr>
              <w:pStyle w:val="TAC"/>
            </w:pPr>
            <w:r w:rsidRPr="00B27E56">
              <w:t>7</w:t>
            </w:r>
          </w:p>
        </w:tc>
        <w:tc>
          <w:tcPr>
            <w:tcW w:w="702" w:type="dxa"/>
            <w:tcBorders>
              <w:left w:val="double" w:sz="4" w:space="0" w:color="auto"/>
            </w:tcBorders>
            <w:vAlign w:val="center"/>
          </w:tcPr>
          <w:p w14:paraId="0EE15B2D" w14:textId="77777777" w:rsidR="003E4AF1" w:rsidRPr="00B27E56" w:rsidRDefault="003E4AF1" w:rsidP="009B5A01">
            <w:pPr>
              <w:pStyle w:val="TAC"/>
            </w:pPr>
            <w:r w:rsidRPr="00B27E56">
              <w:rPr>
                <w:rStyle w:val="CommentReference"/>
                <w:rFonts w:cs="Arial"/>
                <w:sz w:val="18"/>
                <w:szCs w:val="20"/>
              </w:rPr>
              <w:t>X</w:t>
            </w:r>
          </w:p>
        </w:tc>
        <w:tc>
          <w:tcPr>
            <w:tcW w:w="3596" w:type="dxa"/>
            <w:vAlign w:val="center"/>
          </w:tcPr>
          <w:p w14:paraId="76737DE6" w14:textId="77777777" w:rsidR="003E4AF1" w:rsidRPr="00B27E56" w:rsidRDefault="003E4AF1" w:rsidP="009B5A01">
            <w:pPr>
              <w:pStyle w:val="TAC"/>
            </w:pPr>
            <w:r w:rsidRPr="00B27E56">
              <w:rPr>
                <w:rStyle w:val="CommentReference"/>
                <w:rFonts w:cs="Arial"/>
                <w:sz w:val="18"/>
                <w:szCs w:val="20"/>
              </w:rPr>
              <w:t>2</w:t>
            </w:r>
          </w:p>
        </w:tc>
        <w:tc>
          <w:tcPr>
            <w:tcW w:w="904" w:type="dxa"/>
            <w:vAlign w:val="center"/>
          </w:tcPr>
          <w:p w14:paraId="47B1D55E" w14:textId="77777777" w:rsidR="003E4AF1" w:rsidRPr="00B27E56" w:rsidRDefault="003E4AF1" w:rsidP="009B5A01">
            <w:pPr>
              <w:pStyle w:val="TAC"/>
              <w:rPr>
                <w:szCs w:val="18"/>
              </w:rPr>
            </w:pPr>
            <w:r w:rsidRPr="00B27E56">
              <w:rPr>
                <w:rStyle w:val="CommentReference"/>
                <w:rFonts w:cs="Arial"/>
                <w:sz w:val="18"/>
                <w:szCs w:val="18"/>
              </w:rPr>
              <w:t>1/2</w:t>
            </w:r>
          </w:p>
        </w:tc>
        <w:tc>
          <w:tcPr>
            <w:tcW w:w="3426" w:type="dxa"/>
            <w:vAlign w:val="center"/>
          </w:tcPr>
          <w:p w14:paraId="0C5357E2" w14:textId="77777777" w:rsidR="003E4AF1" w:rsidRPr="00B27E56" w:rsidRDefault="003E4AF1" w:rsidP="009B5A01">
            <w:pPr>
              <w:pStyle w:val="TAC"/>
              <w:rPr>
                <w:szCs w:val="18"/>
              </w:rPr>
            </w:pPr>
            <w:r w:rsidRPr="00B27E56">
              <w:rPr>
                <w:rStyle w:val="CommentReference"/>
                <w:rFonts w:cs="Arial"/>
                <w:sz w:val="18"/>
                <w:szCs w:val="18"/>
              </w:rPr>
              <w:t xml:space="preserve"> {0, if </w:t>
            </w:r>
            <m:oMath>
              <m:r>
                <w:rPr>
                  <w:rStyle w:val="CommentReference"/>
                  <w:rFonts w:ascii="Cambria Math" w:hAnsi="Cambria Math" w:cs="Arial"/>
                  <w:sz w:val="18"/>
                  <w:szCs w:val="18"/>
                </w:rPr>
                <m:t>i</m:t>
              </m:r>
            </m:oMath>
            <w:r w:rsidRPr="00B27E56">
              <w:rPr>
                <w:szCs w:val="18"/>
              </w:rPr>
              <w:t xml:space="preserve"> is even}</w:t>
            </w:r>
            <w:r w:rsidRPr="00B27E56">
              <w:rPr>
                <w:rStyle w:val="CommentReference"/>
                <w:rFonts w:cs="Arial"/>
                <w:sz w:val="18"/>
                <w:szCs w:val="18"/>
              </w:rPr>
              <w:t>, {</w:t>
            </w:r>
            <m:oMath>
              <m:sSubSup>
                <m:sSubSupPr>
                  <m:ctrlPr>
                    <w:rPr>
                      <w:rFonts w:ascii="Cambria Math" w:hAnsi="Cambria Math"/>
                      <w:i/>
                    </w:rPr>
                  </m:ctrlPr>
                </m:sSubSupPr>
                <m:e>
                  <m:r>
                    <w:rPr>
                      <w:rFonts w:ascii="Cambria Math"/>
                    </w:rPr>
                    <m:t>N</m:t>
                  </m:r>
                </m:e>
                <m:sub>
                  <m:r>
                    <m:rPr>
                      <m:nor/>
                    </m:rPr>
                    <w:rPr>
                      <w:rFonts w:ascii="Cambria Math"/>
                    </w:rPr>
                    <m:t>symb</m:t>
                  </m:r>
                  <m:ctrlPr>
                    <w:rPr>
                      <w:rFonts w:ascii="Cambria Math" w:hAnsi="Cambria Math"/>
                    </w:rPr>
                  </m:ctrlPr>
                </m:sub>
                <m:sup>
                  <m:r>
                    <m:rPr>
                      <m:nor/>
                    </m:rPr>
                    <w:rPr>
                      <w:rFonts w:ascii="Cambria Math"/>
                    </w:rPr>
                    <m:t>CORESET</m:t>
                  </m:r>
                  <m:ctrlPr>
                    <w:rPr>
                      <w:rFonts w:ascii="Cambria Math" w:hAnsi="Cambria Math"/>
                    </w:rPr>
                  </m:ctrlPr>
                </m:sup>
              </m:sSubSup>
            </m:oMath>
            <w:r w:rsidRPr="00B27E56">
              <w:rPr>
                <w:szCs w:val="18"/>
              </w:rPr>
              <w:t xml:space="preserve">, if </w:t>
            </w:r>
            <m:oMath>
              <m:r>
                <w:rPr>
                  <w:rStyle w:val="CommentReference"/>
                  <w:rFonts w:ascii="Cambria Math" w:hAnsi="Cambria Math" w:cs="Arial"/>
                  <w:sz w:val="18"/>
                  <w:szCs w:val="18"/>
                </w:rPr>
                <m:t>i</m:t>
              </m:r>
            </m:oMath>
            <w:r w:rsidRPr="00B27E56">
              <w:rPr>
                <w:szCs w:val="18"/>
              </w:rPr>
              <w:t xml:space="preserve"> is odd</w:t>
            </w:r>
            <w:r w:rsidRPr="00B27E56">
              <w:rPr>
                <w:rStyle w:val="CommentReference"/>
                <w:rFonts w:cs="Arial"/>
                <w:sz w:val="18"/>
                <w:szCs w:val="18"/>
              </w:rPr>
              <w:t>}</w:t>
            </w:r>
          </w:p>
        </w:tc>
      </w:tr>
      <w:tr w:rsidR="003E4AF1" w:rsidRPr="00B27E56" w14:paraId="1689C154" w14:textId="77777777" w:rsidTr="009B5A01">
        <w:trPr>
          <w:cantSplit/>
        </w:trPr>
        <w:tc>
          <w:tcPr>
            <w:tcW w:w="805" w:type="dxa"/>
            <w:tcBorders>
              <w:right w:val="double" w:sz="4" w:space="0" w:color="auto"/>
            </w:tcBorders>
            <w:shd w:val="clear" w:color="auto" w:fill="auto"/>
            <w:vAlign w:val="center"/>
          </w:tcPr>
          <w:p w14:paraId="051AFA77" w14:textId="77777777" w:rsidR="003E4AF1" w:rsidRPr="00B27E56" w:rsidRDefault="003E4AF1" w:rsidP="009B5A01">
            <w:pPr>
              <w:pStyle w:val="TAC"/>
            </w:pPr>
            <w:r w:rsidRPr="00B27E56">
              <w:t>8</w:t>
            </w:r>
          </w:p>
        </w:tc>
        <w:tc>
          <w:tcPr>
            <w:tcW w:w="702" w:type="dxa"/>
            <w:tcBorders>
              <w:left w:val="double" w:sz="4" w:space="0" w:color="auto"/>
            </w:tcBorders>
            <w:vAlign w:val="center"/>
          </w:tcPr>
          <w:p w14:paraId="77074B45" w14:textId="77777777" w:rsidR="003E4AF1" w:rsidRPr="00B27E56" w:rsidRDefault="003E4AF1" w:rsidP="009B5A01">
            <w:pPr>
              <w:pStyle w:val="TAC"/>
            </w:pPr>
            <w:r w:rsidRPr="00B27E56">
              <w:rPr>
                <w:rStyle w:val="CommentReference"/>
                <w:rFonts w:cs="Arial"/>
                <w:sz w:val="18"/>
                <w:szCs w:val="20"/>
              </w:rPr>
              <w:t>5</w:t>
            </w:r>
          </w:p>
        </w:tc>
        <w:tc>
          <w:tcPr>
            <w:tcW w:w="3596" w:type="dxa"/>
            <w:vAlign w:val="center"/>
          </w:tcPr>
          <w:p w14:paraId="6DDF7E10" w14:textId="77777777" w:rsidR="003E4AF1" w:rsidRPr="00B27E56" w:rsidRDefault="003E4AF1" w:rsidP="009B5A01">
            <w:pPr>
              <w:pStyle w:val="TAC"/>
            </w:pPr>
            <w:r w:rsidRPr="00B27E56">
              <w:rPr>
                <w:rStyle w:val="CommentReference"/>
                <w:rFonts w:cs="Arial"/>
                <w:sz w:val="18"/>
                <w:szCs w:val="20"/>
              </w:rPr>
              <w:t>2</w:t>
            </w:r>
          </w:p>
        </w:tc>
        <w:tc>
          <w:tcPr>
            <w:tcW w:w="904" w:type="dxa"/>
            <w:vAlign w:val="center"/>
          </w:tcPr>
          <w:p w14:paraId="31F43083" w14:textId="77777777" w:rsidR="003E4AF1" w:rsidRPr="00B27E56" w:rsidRDefault="003E4AF1" w:rsidP="009B5A01">
            <w:pPr>
              <w:pStyle w:val="TAC"/>
              <w:rPr>
                <w:szCs w:val="18"/>
              </w:rPr>
            </w:pPr>
            <w:r w:rsidRPr="00B27E56">
              <w:rPr>
                <w:rStyle w:val="CommentReference"/>
                <w:rFonts w:cs="Arial"/>
                <w:sz w:val="18"/>
                <w:szCs w:val="18"/>
              </w:rPr>
              <w:t>1/2</w:t>
            </w:r>
          </w:p>
        </w:tc>
        <w:tc>
          <w:tcPr>
            <w:tcW w:w="3426" w:type="dxa"/>
            <w:vAlign w:val="center"/>
          </w:tcPr>
          <w:p w14:paraId="7FF5DF70" w14:textId="77777777" w:rsidR="003E4AF1" w:rsidRPr="00B27E56" w:rsidRDefault="003E4AF1" w:rsidP="009B5A01">
            <w:pPr>
              <w:pStyle w:val="TAC"/>
              <w:rPr>
                <w:szCs w:val="18"/>
              </w:rPr>
            </w:pPr>
            <w:r w:rsidRPr="00B27E56">
              <w:rPr>
                <w:rStyle w:val="CommentReference"/>
                <w:rFonts w:cs="Arial"/>
                <w:sz w:val="18"/>
                <w:szCs w:val="18"/>
              </w:rPr>
              <w:t xml:space="preserve"> {0, if </w:t>
            </w:r>
            <m:oMath>
              <m:r>
                <w:rPr>
                  <w:rStyle w:val="CommentReference"/>
                  <w:rFonts w:ascii="Cambria Math" w:hAnsi="Cambria Math" w:cs="Arial"/>
                  <w:sz w:val="18"/>
                  <w:szCs w:val="18"/>
                </w:rPr>
                <m:t>i</m:t>
              </m:r>
            </m:oMath>
            <w:r w:rsidRPr="00B27E56">
              <w:rPr>
                <w:szCs w:val="18"/>
              </w:rPr>
              <w:t xml:space="preserve"> is even}</w:t>
            </w:r>
            <w:r w:rsidRPr="00B27E56">
              <w:rPr>
                <w:rStyle w:val="CommentReference"/>
                <w:rFonts w:cs="Arial"/>
                <w:sz w:val="18"/>
                <w:szCs w:val="18"/>
              </w:rPr>
              <w:t>, {</w:t>
            </w:r>
            <m:oMath>
              <m:sSubSup>
                <m:sSubSupPr>
                  <m:ctrlPr>
                    <w:rPr>
                      <w:rFonts w:ascii="Cambria Math" w:hAnsi="Cambria Math"/>
                      <w:i/>
                    </w:rPr>
                  </m:ctrlPr>
                </m:sSubSupPr>
                <m:e>
                  <m:r>
                    <w:rPr>
                      <w:rFonts w:ascii="Cambria Math"/>
                    </w:rPr>
                    <m:t>N</m:t>
                  </m:r>
                </m:e>
                <m:sub>
                  <m:r>
                    <m:rPr>
                      <m:nor/>
                    </m:rPr>
                    <w:rPr>
                      <w:rFonts w:ascii="Cambria Math"/>
                    </w:rPr>
                    <m:t>symb</m:t>
                  </m:r>
                  <m:ctrlPr>
                    <w:rPr>
                      <w:rFonts w:ascii="Cambria Math" w:hAnsi="Cambria Math"/>
                    </w:rPr>
                  </m:ctrlPr>
                </m:sub>
                <m:sup>
                  <m:r>
                    <m:rPr>
                      <m:nor/>
                    </m:rPr>
                    <w:rPr>
                      <w:rFonts w:ascii="Cambria Math"/>
                    </w:rPr>
                    <m:t>CORESET</m:t>
                  </m:r>
                  <m:ctrlPr>
                    <w:rPr>
                      <w:rFonts w:ascii="Cambria Math" w:hAnsi="Cambria Math"/>
                    </w:rPr>
                  </m:ctrlPr>
                </m:sup>
              </m:sSubSup>
            </m:oMath>
            <w:r w:rsidRPr="00B27E56">
              <w:rPr>
                <w:szCs w:val="18"/>
              </w:rPr>
              <w:t xml:space="preserve">, if </w:t>
            </w:r>
            <m:oMath>
              <m:r>
                <w:rPr>
                  <w:rStyle w:val="CommentReference"/>
                  <w:rFonts w:ascii="Cambria Math" w:hAnsi="Cambria Math" w:cs="Arial"/>
                  <w:sz w:val="18"/>
                  <w:szCs w:val="18"/>
                </w:rPr>
                <m:t>i</m:t>
              </m:r>
            </m:oMath>
            <w:r w:rsidRPr="00B27E56">
              <w:rPr>
                <w:szCs w:val="18"/>
              </w:rPr>
              <w:t xml:space="preserve"> is odd</w:t>
            </w:r>
            <w:r w:rsidRPr="00B27E56">
              <w:rPr>
                <w:rStyle w:val="CommentReference"/>
                <w:rFonts w:cs="Arial"/>
                <w:sz w:val="18"/>
                <w:szCs w:val="18"/>
              </w:rPr>
              <w:t>}</w:t>
            </w:r>
          </w:p>
        </w:tc>
      </w:tr>
      <w:tr w:rsidR="003E4AF1" w:rsidRPr="00B27E56" w14:paraId="38C3E18C" w14:textId="77777777" w:rsidTr="009B5A01">
        <w:trPr>
          <w:cantSplit/>
        </w:trPr>
        <w:tc>
          <w:tcPr>
            <w:tcW w:w="805" w:type="dxa"/>
            <w:tcBorders>
              <w:right w:val="double" w:sz="4" w:space="0" w:color="auto"/>
            </w:tcBorders>
            <w:shd w:val="clear" w:color="auto" w:fill="auto"/>
            <w:vAlign w:val="center"/>
          </w:tcPr>
          <w:p w14:paraId="3DCA6DE3" w14:textId="77777777" w:rsidR="003E4AF1" w:rsidRPr="00B27E56" w:rsidRDefault="003E4AF1" w:rsidP="009B5A01">
            <w:pPr>
              <w:pStyle w:val="TAC"/>
            </w:pPr>
            <w:r w:rsidRPr="00B27E56">
              <w:t>9</w:t>
            </w:r>
          </w:p>
        </w:tc>
        <w:tc>
          <w:tcPr>
            <w:tcW w:w="702" w:type="dxa"/>
            <w:tcBorders>
              <w:left w:val="double" w:sz="4" w:space="0" w:color="auto"/>
            </w:tcBorders>
            <w:vAlign w:val="center"/>
          </w:tcPr>
          <w:p w14:paraId="19E6640D" w14:textId="77777777" w:rsidR="003E4AF1" w:rsidRPr="00B27E56" w:rsidRDefault="003E4AF1" w:rsidP="009B5A01">
            <w:pPr>
              <w:pStyle w:val="TAC"/>
            </w:pPr>
            <w:r w:rsidRPr="00B27E56">
              <w:rPr>
                <w:rStyle w:val="CommentReference"/>
                <w:rFonts w:cs="Arial"/>
                <w:sz w:val="18"/>
                <w:szCs w:val="20"/>
              </w:rPr>
              <w:t>5+X</w:t>
            </w:r>
          </w:p>
        </w:tc>
        <w:tc>
          <w:tcPr>
            <w:tcW w:w="3596" w:type="dxa"/>
            <w:vAlign w:val="center"/>
          </w:tcPr>
          <w:p w14:paraId="3698FE3F" w14:textId="77777777" w:rsidR="003E4AF1" w:rsidRPr="00B27E56" w:rsidRDefault="003E4AF1" w:rsidP="009B5A01">
            <w:pPr>
              <w:pStyle w:val="TAC"/>
            </w:pPr>
            <w:r w:rsidRPr="00B27E56">
              <w:rPr>
                <w:rStyle w:val="CommentReference"/>
                <w:rFonts w:cs="Arial"/>
                <w:sz w:val="18"/>
                <w:szCs w:val="20"/>
              </w:rPr>
              <w:t>1</w:t>
            </w:r>
          </w:p>
        </w:tc>
        <w:tc>
          <w:tcPr>
            <w:tcW w:w="904" w:type="dxa"/>
            <w:vAlign w:val="center"/>
          </w:tcPr>
          <w:p w14:paraId="265E8138" w14:textId="77777777" w:rsidR="003E4AF1" w:rsidRPr="00B27E56" w:rsidRDefault="003E4AF1" w:rsidP="009B5A01">
            <w:pPr>
              <w:pStyle w:val="TAC"/>
              <w:rPr>
                <w:szCs w:val="18"/>
              </w:rPr>
            </w:pPr>
            <w:r w:rsidRPr="00B27E56">
              <w:rPr>
                <w:rStyle w:val="CommentReference"/>
                <w:rFonts w:cs="Arial"/>
                <w:sz w:val="18"/>
                <w:szCs w:val="18"/>
              </w:rPr>
              <w:t>1</w:t>
            </w:r>
          </w:p>
        </w:tc>
        <w:tc>
          <w:tcPr>
            <w:tcW w:w="3426" w:type="dxa"/>
            <w:vAlign w:val="center"/>
          </w:tcPr>
          <w:p w14:paraId="128FFC04" w14:textId="77777777" w:rsidR="003E4AF1" w:rsidRPr="00B27E56" w:rsidRDefault="003E4AF1" w:rsidP="009B5A01">
            <w:pPr>
              <w:pStyle w:val="TAC"/>
              <w:rPr>
                <w:szCs w:val="18"/>
              </w:rPr>
            </w:pPr>
            <w:r w:rsidRPr="00B27E56">
              <w:rPr>
                <w:rStyle w:val="CommentReference"/>
                <w:rFonts w:cs="Arial"/>
                <w:sz w:val="18"/>
                <w:szCs w:val="18"/>
              </w:rPr>
              <w:t xml:space="preserve"> 0</w:t>
            </w:r>
          </w:p>
        </w:tc>
      </w:tr>
      <w:tr w:rsidR="003E4AF1" w:rsidRPr="00B27E56" w14:paraId="7D2CE93F" w14:textId="77777777" w:rsidTr="009B5A01">
        <w:trPr>
          <w:cantSplit/>
        </w:trPr>
        <w:tc>
          <w:tcPr>
            <w:tcW w:w="805" w:type="dxa"/>
            <w:tcBorders>
              <w:right w:val="double" w:sz="4" w:space="0" w:color="auto"/>
            </w:tcBorders>
            <w:shd w:val="clear" w:color="auto" w:fill="auto"/>
            <w:vAlign w:val="center"/>
          </w:tcPr>
          <w:p w14:paraId="4DB08543" w14:textId="77777777" w:rsidR="003E4AF1" w:rsidRPr="00B27E56" w:rsidRDefault="003E4AF1" w:rsidP="009B5A01">
            <w:pPr>
              <w:pStyle w:val="TAC"/>
            </w:pPr>
            <w:r w:rsidRPr="00B27E56">
              <w:t>10</w:t>
            </w:r>
          </w:p>
        </w:tc>
        <w:tc>
          <w:tcPr>
            <w:tcW w:w="702" w:type="dxa"/>
            <w:tcBorders>
              <w:left w:val="double" w:sz="4" w:space="0" w:color="auto"/>
            </w:tcBorders>
            <w:vAlign w:val="center"/>
          </w:tcPr>
          <w:p w14:paraId="07F5272C" w14:textId="77777777" w:rsidR="003E4AF1" w:rsidRPr="00B27E56" w:rsidRDefault="003E4AF1" w:rsidP="009B5A01">
            <w:pPr>
              <w:pStyle w:val="TAC"/>
            </w:pPr>
            <w:r w:rsidRPr="00B27E56">
              <w:rPr>
                <w:rStyle w:val="CommentReference"/>
                <w:rFonts w:cs="Arial"/>
                <w:sz w:val="18"/>
                <w:szCs w:val="20"/>
              </w:rPr>
              <w:t>5+X</w:t>
            </w:r>
          </w:p>
        </w:tc>
        <w:tc>
          <w:tcPr>
            <w:tcW w:w="3596" w:type="dxa"/>
            <w:vAlign w:val="center"/>
          </w:tcPr>
          <w:p w14:paraId="62EC6F91" w14:textId="77777777" w:rsidR="003E4AF1" w:rsidRPr="00B27E56" w:rsidRDefault="003E4AF1" w:rsidP="009B5A01">
            <w:pPr>
              <w:pStyle w:val="TAC"/>
            </w:pPr>
            <w:r w:rsidRPr="00B27E56">
              <w:rPr>
                <w:rStyle w:val="CommentReference"/>
                <w:rFonts w:cs="Arial"/>
                <w:sz w:val="18"/>
                <w:szCs w:val="20"/>
              </w:rPr>
              <w:t>2</w:t>
            </w:r>
          </w:p>
        </w:tc>
        <w:tc>
          <w:tcPr>
            <w:tcW w:w="904" w:type="dxa"/>
            <w:vAlign w:val="center"/>
          </w:tcPr>
          <w:p w14:paraId="2380EA70" w14:textId="77777777" w:rsidR="003E4AF1" w:rsidRPr="00B27E56" w:rsidRDefault="003E4AF1" w:rsidP="009B5A01">
            <w:pPr>
              <w:pStyle w:val="TAC"/>
              <w:rPr>
                <w:szCs w:val="18"/>
              </w:rPr>
            </w:pPr>
            <w:r w:rsidRPr="00B27E56">
              <w:rPr>
                <w:rStyle w:val="CommentReference"/>
                <w:rFonts w:cs="Arial"/>
                <w:sz w:val="18"/>
                <w:szCs w:val="18"/>
              </w:rPr>
              <w:t>1/2</w:t>
            </w:r>
          </w:p>
        </w:tc>
        <w:tc>
          <w:tcPr>
            <w:tcW w:w="3426" w:type="dxa"/>
            <w:vAlign w:val="center"/>
          </w:tcPr>
          <w:p w14:paraId="23AE9F95" w14:textId="77777777" w:rsidR="003E4AF1" w:rsidRPr="00B27E56" w:rsidRDefault="003E4AF1" w:rsidP="009B5A01">
            <w:pPr>
              <w:pStyle w:val="TAC"/>
              <w:rPr>
                <w:szCs w:val="18"/>
              </w:rPr>
            </w:pPr>
            <w:r w:rsidRPr="00B27E56">
              <w:rPr>
                <w:rStyle w:val="CommentReference"/>
                <w:rFonts w:cs="Arial"/>
                <w:sz w:val="18"/>
                <w:szCs w:val="18"/>
              </w:rPr>
              <w:t xml:space="preserve"> {0, if </w:t>
            </w:r>
            <m:oMath>
              <m:r>
                <w:rPr>
                  <w:rStyle w:val="CommentReference"/>
                  <w:rFonts w:ascii="Cambria Math" w:hAnsi="Cambria Math" w:cs="Arial"/>
                  <w:sz w:val="18"/>
                  <w:szCs w:val="18"/>
                </w:rPr>
                <m:t>i</m:t>
              </m:r>
            </m:oMath>
            <w:r w:rsidRPr="00B27E56">
              <w:rPr>
                <w:szCs w:val="18"/>
              </w:rPr>
              <w:t xml:space="preserve"> is even}</w:t>
            </w:r>
            <w:r w:rsidRPr="00B27E56">
              <w:rPr>
                <w:rStyle w:val="CommentReference"/>
                <w:rFonts w:cs="Arial"/>
                <w:sz w:val="18"/>
                <w:szCs w:val="18"/>
              </w:rPr>
              <w:t>, {7</w:t>
            </w:r>
            <w:r w:rsidRPr="00B27E56">
              <w:rPr>
                <w:szCs w:val="18"/>
              </w:rPr>
              <w:t xml:space="preserve">, if </w:t>
            </w:r>
            <m:oMath>
              <m:r>
                <w:rPr>
                  <w:rStyle w:val="CommentReference"/>
                  <w:rFonts w:ascii="Cambria Math" w:hAnsi="Cambria Math" w:cs="Arial"/>
                  <w:sz w:val="18"/>
                  <w:szCs w:val="18"/>
                </w:rPr>
                <m:t>i</m:t>
              </m:r>
            </m:oMath>
            <w:r w:rsidRPr="00B27E56">
              <w:rPr>
                <w:szCs w:val="18"/>
              </w:rPr>
              <w:t xml:space="preserve"> is odd</w:t>
            </w:r>
            <w:r w:rsidRPr="00B27E56">
              <w:rPr>
                <w:rStyle w:val="CommentReference"/>
                <w:rFonts w:cs="Arial"/>
                <w:sz w:val="18"/>
                <w:szCs w:val="18"/>
              </w:rPr>
              <w:t>}</w:t>
            </w:r>
          </w:p>
        </w:tc>
      </w:tr>
      <w:tr w:rsidR="003E4AF1" w:rsidRPr="00B27E56" w14:paraId="3B1F97ED" w14:textId="77777777" w:rsidTr="009B5A01">
        <w:trPr>
          <w:cantSplit/>
        </w:trPr>
        <w:tc>
          <w:tcPr>
            <w:tcW w:w="805" w:type="dxa"/>
            <w:tcBorders>
              <w:right w:val="double" w:sz="4" w:space="0" w:color="auto"/>
            </w:tcBorders>
            <w:shd w:val="clear" w:color="auto" w:fill="auto"/>
            <w:vAlign w:val="center"/>
          </w:tcPr>
          <w:p w14:paraId="3EFD1916" w14:textId="77777777" w:rsidR="003E4AF1" w:rsidRPr="00B27E56" w:rsidRDefault="003E4AF1" w:rsidP="009B5A01">
            <w:pPr>
              <w:pStyle w:val="TAC"/>
            </w:pPr>
            <w:r w:rsidRPr="00B27E56">
              <w:t>11</w:t>
            </w:r>
          </w:p>
        </w:tc>
        <w:tc>
          <w:tcPr>
            <w:tcW w:w="702" w:type="dxa"/>
            <w:tcBorders>
              <w:left w:val="double" w:sz="4" w:space="0" w:color="auto"/>
            </w:tcBorders>
            <w:vAlign w:val="center"/>
          </w:tcPr>
          <w:p w14:paraId="0EB83CEF" w14:textId="77777777" w:rsidR="003E4AF1" w:rsidRPr="00B27E56" w:rsidRDefault="003E4AF1" w:rsidP="009B5A01">
            <w:pPr>
              <w:pStyle w:val="TAC"/>
            </w:pPr>
            <w:r w:rsidRPr="00B27E56">
              <w:rPr>
                <w:rStyle w:val="CommentReference"/>
                <w:rFonts w:cs="Arial"/>
                <w:sz w:val="18"/>
                <w:szCs w:val="20"/>
              </w:rPr>
              <w:t>5+X</w:t>
            </w:r>
          </w:p>
        </w:tc>
        <w:tc>
          <w:tcPr>
            <w:tcW w:w="3596" w:type="dxa"/>
            <w:vAlign w:val="center"/>
          </w:tcPr>
          <w:p w14:paraId="4D064B6E" w14:textId="77777777" w:rsidR="003E4AF1" w:rsidRPr="00B27E56" w:rsidRDefault="003E4AF1" w:rsidP="009B5A01">
            <w:pPr>
              <w:pStyle w:val="TAC"/>
            </w:pPr>
            <w:r w:rsidRPr="00B27E56">
              <w:rPr>
                <w:rStyle w:val="CommentReference"/>
                <w:rFonts w:cs="Arial"/>
                <w:sz w:val="18"/>
                <w:szCs w:val="20"/>
              </w:rPr>
              <w:t>2</w:t>
            </w:r>
          </w:p>
        </w:tc>
        <w:tc>
          <w:tcPr>
            <w:tcW w:w="904" w:type="dxa"/>
            <w:vAlign w:val="center"/>
          </w:tcPr>
          <w:p w14:paraId="0588940E" w14:textId="77777777" w:rsidR="003E4AF1" w:rsidRPr="00B27E56" w:rsidRDefault="003E4AF1" w:rsidP="009B5A01">
            <w:pPr>
              <w:pStyle w:val="TAC"/>
              <w:rPr>
                <w:szCs w:val="18"/>
              </w:rPr>
            </w:pPr>
            <w:r w:rsidRPr="00B27E56">
              <w:rPr>
                <w:rStyle w:val="CommentReference"/>
                <w:rFonts w:cs="Arial"/>
                <w:sz w:val="18"/>
                <w:szCs w:val="18"/>
              </w:rPr>
              <w:t>1/2</w:t>
            </w:r>
          </w:p>
        </w:tc>
        <w:tc>
          <w:tcPr>
            <w:tcW w:w="3426" w:type="dxa"/>
            <w:vAlign w:val="center"/>
          </w:tcPr>
          <w:p w14:paraId="63A48F70" w14:textId="77777777" w:rsidR="003E4AF1" w:rsidRPr="00B27E56" w:rsidRDefault="003E4AF1" w:rsidP="009B5A01">
            <w:pPr>
              <w:pStyle w:val="TAC"/>
              <w:rPr>
                <w:szCs w:val="18"/>
              </w:rPr>
            </w:pPr>
            <w:r w:rsidRPr="00B27E56">
              <w:rPr>
                <w:rStyle w:val="CommentReference"/>
                <w:rFonts w:cs="Arial"/>
                <w:sz w:val="18"/>
                <w:szCs w:val="18"/>
              </w:rPr>
              <w:t xml:space="preserve"> {0, if </w:t>
            </w:r>
            <m:oMath>
              <m:r>
                <w:rPr>
                  <w:rStyle w:val="CommentReference"/>
                  <w:rFonts w:ascii="Cambria Math" w:hAnsi="Cambria Math" w:cs="Arial"/>
                  <w:sz w:val="18"/>
                  <w:szCs w:val="18"/>
                </w:rPr>
                <m:t>i</m:t>
              </m:r>
            </m:oMath>
            <w:r w:rsidRPr="00B27E56">
              <w:rPr>
                <w:szCs w:val="18"/>
              </w:rPr>
              <w:t xml:space="preserve"> is even}</w:t>
            </w:r>
            <w:r w:rsidRPr="00B27E56">
              <w:rPr>
                <w:rStyle w:val="CommentReference"/>
                <w:rFonts w:cs="Arial"/>
                <w:sz w:val="18"/>
                <w:szCs w:val="18"/>
              </w:rPr>
              <w:t>, {</w:t>
            </w:r>
            <m:oMath>
              <m:sSubSup>
                <m:sSubSupPr>
                  <m:ctrlPr>
                    <w:rPr>
                      <w:rFonts w:ascii="Cambria Math" w:hAnsi="Cambria Math"/>
                      <w:i/>
                    </w:rPr>
                  </m:ctrlPr>
                </m:sSubSupPr>
                <m:e>
                  <m:r>
                    <w:rPr>
                      <w:rFonts w:ascii="Cambria Math"/>
                    </w:rPr>
                    <m:t>N</m:t>
                  </m:r>
                </m:e>
                <m:sub>
                  <m:r>
                    <m:rPr>
                      <m:nor/>
                    </m:rPr>
                    <w:rPr>
                      <w:rFonts w:ascii="Cambria Math"/>
                    </w:rPr>
                    <m:t>symb</m:t>
                  </m:r>
                  <m:ctrlPr>
                    <w:rPr>
                      <w:rFonts w:ascii="Cambria Math" w:hAnsi="Cambria Math"/>
                    </w:rPr>
                  </m:ctrlPr>
                </m:sub>
                <m:sup>
                  <m:r>
                    <m:rPr>
                      <m:nor/>
                    </m:rPr>
                    <w:rPr>
                      <w:rFonts w:ascii="Cambria Math"/>
                    </w:rPr>
                    <m:t>CORESET</m:t>
                  </m:r>
                  <m:ctrlPr>
                    <w:rPr>
                      <w:rFonts w:ascii="Cambria Math" w:hAnsi="Cambria Math"/>
                    </w:rPr>
                  </m:ctrlPr>
                </m:sup>
              </m:sSubSup>
            </m:oMath>
            <w:r w:rsidRPr="00B27E56">
              <w:rPr>
                <w:szCs w:val="18"/>
              </w:rPr>
              <w:t xml:space="preserve">, if </w:t>
            </w:r>
            <m:oMath>
              <m:r>
                <w:rPr>
                  <w:rStyle w:val="CommentReference"/>
                  <w:rFonts w:ascii="Cambria Math" w:hAnsi="Cambria Math" w:cs="Arial"/>
                  <w:sz w:val="18"/>
                  <w:szCs w:val="18"/>
                </w:rPr>
                <m:t>i</m:t>
              </m:r>
            </m:oMath>
            <w:r w:rsidRPr="00B27E56">
              <w:rPr>
                <w:szCs w:val="18"/>
              </w:rPr>
              <w:t xml:space="preserve"> is odd</w:t>
            </w:r>
            <w:r w:rsidRPr="00B27E56">
              <w:rPr>
                <w:rStyle w:val="CommentReference"/>
                <w:rFonts w:cs="Arial"/>
                <w:sz w:val="18"/>
                <w:szCs w:val="18"/>
              </w:rPr>
              <w:t>}</w:t>
            </w:r>
          </w:p>
        </w:tc>
      </w:tr>
      <w:tr w:rsidR="003E4AF1" w:rsidRPr="00B27E56" w14:paraId="4121575F" w14:textId="77777777" w:rsidTr="009B5A01">
        <w:trPr>
          <w:cantSplit/>
        </w:trPr>
        <w:tc>
          <w:tcPr>
            <w:tcW w:w="805" w:type="dxa"/>
            <w:tcBorders>
              <w:right w:val="double" w:sz="4" w:space="0" w:color="auto"/>
            </w:tcBorders>
            <w:shd w:val="clear" w:color="auto" w:fill="auto"/>
            <w:vAlign w:val="center"/>
          </w:tcPr>
          <w:p w14:paraId="46142994" w14:textId="77777777" w:rsidR="003E4AF1" w:rsidRPr="00B27E56" w:rsidRDefault="003E4AF1" w:rsidP="009B5A01">
            <w:pPr>
              <w:pStyle w:val="TAC"/>
            </w:pPr>
            <w:r w:rsidRPr="00B27E56">
              <w:t>12</w:t>
            </w:r>
          </w:p>
        </w:tc>
        <w:tc>
          <w:tcPr>
            <w:tcW w:w="702" w:type="dxa"/>
            <w:tcBorders>
              <w:left w:val="double" w:sz="4" w:space="0" w:color="auto"/>
            </w:tcBorders>
            <w:vAlign w:val="center"/>
          </w:tcPr>
          <w:p w14:paraId="0E8BDB60" w14:textId="77777777" w:rsidR="003E4AF1" w:rsidRPr="00B27E56" w:rsidRDefault="003E4AF1" w:rsidP="009B5A01">
            <w:pPr>
              <w:pStyle w:val="TAC"/>
            </w:pPr>
            <w:r w:rsidRPr="00B27E56">
              <w:rPr>
                <w:rStyle w:val="CommentReference"/>
                <w:rFonts w:cs="Arial"/>
                <w:sz w:val="18"/>
                <w:szCs w:val="20"/>
              </w:rPr>
              <w:t>0</w:t>
            </w:r>
          </w:p>
        </w:tc>
        <w:tc>
          <w:tcPr>
            <w:tcW w:w="3596" w:type="dxa"/>
            <w:vAlign w:val="center"/>
          </w:tcPr>
          <w:p w14:paraId="266BA5BA" w14:textId="77777777" w:rsidR="003E4AF1" w:rsidRPr="00B27E56" w:rsidRDefault="003E4AF1" w:rsidP="009B5A01">
            <w:pPr>
              <w:pStyle w:val="TAC"/>
            </w:pPr>
            <w:r w:rsidRPr="00B27E56">
              <w:rPr>
                <w:rStyle w:val="CommentReference"/>
                <w:rFonts w:cs="Arial"/>
                <w:sz w:val="18"/>
                <w:szCs w:val="20"/>
              </w:rPr>
              <w:t>1</w:t>
            </w:r>
          </w:p>
        </w:tc>
        <w:tc>
          <w:tcPr>
            <w:tcW w:w="904" w:type="dxa"/>
            <w:vAlign w:val="center"/>
          </w:tcPr>
          <w:p w14:paraId="0AC19EB9" w14:textId="77777777" w:rsidR="003E4AF1" w:rsidRPr="00B27E56" w:rsidRDefault="003E4AF1" w:rsidP="009B5A01">
            <w:pPr>
              <w:pStyle w:val="TAC"/>
              <w:rPr>
                <w:szCs w:val="18"/>
              </w:rPr>
            </w:pPr>
            <w:r w:rsidRPr="00B27E56">
              <w:rPr>
                <w:rStyle w:val="CommentReference"/>
                <w:rFonts w:cs="Arial"/>
                <w:sz w:val="18"/>
                <w:szCs w:val="18"/>
              </w:rPr>
              <w:t>2</w:t>
            </w:r>
          </w:p>
        </w:tc>
        <w:tc>
          <w:tcPr>
            <w:tcW w:w="3426" w:type="dxa"/>
            <w:vAlign w:val="center"/>
          </w:tcPr>
          <w:p w14:paraId="40F2E3FE" w14:textId="77777777" w:rsidR="003E4AF1" w:rsidRPr="00B27E56" w:rsidRDefault="003E4AF1" w:rsidP="009B5A01">
            <w:pPr>
              <w:pStyle w:val="TAC"/>
              <w:rPr>
                <w:szCs w:val="18"/>
              </w:rPr>
            </w:pPr>
            <w:r w:rsidRPr="00B27E56">
              <w:rPr>
                <w:rStyle w:val="CommentReference"/>
                <w:rFonts w:cs="Arial"/>
                <w:sz w:val="18"/>
                <w:szCs w:val="18"/>
              </w:rPr>
              <w:t>0</w:t>
            </w:r>
          </w:p>
        </w:tc>
      </w:tr>
      <w:tr w:rsidR="003E4AF1" w:rsidRPr="00B27E56" w14:paraId="36848000" w14:textId="77777777" w:rsidTr="009B5A01">
        <w:trPr>
          <w:cantSplit/>
        </w:trPr>
        <w:tc>
          <w:tcPr>
            <w:tcW w:w="805" w:type="dxa"/>
            <w:tcBorders>
              <w:right w:val="double" w:sz="4" w:space="0" w:color="auto"/>
            </w:tcBorders>
            <w:shd w:val="clear" w:color="auto" w:fill="auto"/>
            <w:vAlign w:val="center"/>
          </w:tcPr>
          <w:p w14:paraId="3721B805" w14:textId="77777777" w:rsidR="003E4AF1" w:rsidRPr="00B27E56" w:rsidRDefault="003E4AF1" w:rsidP="009B5A01">
            <w:pPr>
              <w:pStyle w:val="TAC"/>
            </w:pPr>
            <w:r w:rsidRPr="00B27E56">
              <w:t>13</w:t>
            </w:r>
          </w:p>
        </w:tc>
        <w:tc>
          <w:tcPr>
            <w:tcW w:w="702" w:type="dxa"/>
            <w:tcBorders>
              <w:left w:val="double" w:sz="4" w:space="0" w:color="auto"/>
            </w:tcBorders>
            <w:vAlign w:val="center"/>
          </w:tcPr>
          <w:p w14:paraId="239D6FDC" w14:textId="77777777" w:rsidR="003E4AF1" w:rsidRPr="00B27E56" w:rsidRDefault="003E4AF1" w:rsidP="009B5A01">
            <w:pPr>
              <w:pStyle w:val="TAC"/>
            </w:pPr>
            <w:r w:rsidRPr="00B27E56">
              <w:rPr>
                <w:rStyle w:val="CommentReference"/>
                <w:rFonts w:cs="Arial"/>
                <w:sz w:val="18"/>
                <w:szCs w:val="20"/>
              </w:rPr>
              <w:t>5</w:t>
            </w:r>
          </w:p>
        </w:tc>
        <w:tc>
          <w:tcPr>
            <w:tcW w:w="3596" w:type="dxa"/>
            <w:vAlign w:val="center"/>
          </w:tcPr>
          <w:p w14:paraId="69D90ECE" w14:textId="77777777" w:rsidR="003E4AF1" w:rsidRPr="00B27E56" w:rsidRDefault="003E4AF1" w:rsidP="009B5A01">
            <w:pPr>
              <w:pStyle w:val="TAC"/>
            </w:pPr>
            <w:r w:rsidRPr="00B27E56">
              <w:rPr>
                <w:rStyle w:val="CommentReference"/>
                <w:rFonts w:cs="Arial"/>
                <w:sz w:val="18"/>
                <w:szCs w:val="20"/>
              </w:rPr>
              <w:t>1</w:t>
            </w:r>
          </w:p>
        </w:tc>
        <w:tc>
          <w:tcPr>
            <w:tcW w:w="904" w:type="dxa"/>
            <w:vAlign w:val="center"/>
          </w:tcPr>
          <w:p w14:paraId="4719E467" w14:textId="77777777" w:rsidR="003E4AF1" w:rsidRPr="00B27E56" w:rsidRDefault="003E4AF1" w:rsidP="009B5A01">
            <w:pPr>
              <w:pStyle w:val="TAC"/>
              <w:rPr>
                <w:szCs w:val="18"/>
              </w:rPr>
            </w:pPr>
            <w:r w:rsidRPr="00B27E56">
              <w:rPr>
                <w:rStyle w:val="CommentReference"/>
                <w:rFonts w:cs="Arial"/>
                <w:sz w:val="18"/>
                <w:szCs w:val="18"/>
              </w:rPr>
              <w:t>2</w:t>
            </w:r>
          </w:p>
        </w:tc>
        <w:tc>
          <w:tcPr>
            <w:tcW w:w="3426" w:type="dxa"/>
            <w:vAlign w:val="center"/>
          </w:tcPr>
          <w:p w14:paraId="475C2F04" w14:textId="77777777" w:rsidR="003E4AF1" w:rsidRPr="00B27E56" w:rsidRDefault="003E4AF1" w:rsidP="009B5A01">
            <w:pPr>
              <w:pStyle w:val="TAC"/>
              <w:rPr>
                <w:szCs w:val="18"/>
              </w:rPr>
            </w:pPr>
            <w:r w:rsidRPr="00B27E56">
              <w:rPr>
                <w:rStyle w:val="CommentReference"/>
                <w:rFonts w:cs="Arial"/>
                <w:sz w:val="18"/>
                <w:szCs w:val="18"/>
              </w:rPr>
              <w:t>0</w:t>
            </w:r>
          </w:p>
        </w:tc>
      </w:tr>
      <w:tr w:rsidR="003E4AF1" w:rsidRPr="00B27E56" w14:paraId="0E752209" w14:textId="77777777" w:rsidTr="009B5A01">
        <w:trPr>
          <w:cantSplit/>
        </w:trPr>
        <w:tc>
          <w:tcPr>
            <w:tcW w:w="805" w:type="dxa"/>
            <w:tcBorders>
              <w:right w:val="double" w:sz="4" w:space="0" w:color="auto"/>
            </w:tcBorders>
            <w:shd w:val="clear" w:color="auto" w:fill="auto"/>
            <w:vAlign w:val="center"/>
          </w:tcPr>
          <w:p w14:paraId="142F47C9" w14:textId="77777777" w:rsidR="003E4AF1" w:rsidRPr="00B27E56" w:rsidRDefault="003E4AF1" w:rsidP="009B5A01">
            <w:pPr>
              <w:pStyle w:val="TAC"/>
            </w:pPr>
            <w:r w:rsidRPr="00B27E56">
              <w:t>14</w:t>
            </w:r>
          </w:p>
        </w:tc>
        <w:tc>
          <w:tcPr>
            <w:tcW w:w="8628" w:type="dxa"/>
            <w:gridSpan w:val="4"/>
            <w:tcBorders>
              <w:left w:val="double" w:sz="4" w:space="0" w:color="auto"/>
            </w:tcBorders>
            <w:vAlign w:val="center"/>
          </w:tcPr>
          <w:p w14:paraId="74E19DF1" w14:textId="77777777" w:rsidR="003E4AF1" w:rsidRPr="00B27E56" w:rsidRDefault="003E4AF1" w:rsidP="009B5A01">
            <w:pPr>
              <w:pStyle w:val="TAC"/>
            </w:pPr>
            <w:r w:rsidRPr="00B27E56">
              <w:rPr>
                <w:rFonts w:cs="Arial"/>
                <w:kern w:val="24"/>
                <w:szCs w:val="18"/>
              </w:rPr>
              <w:t>Reserved</w:t>
            </w:r>
          </w:p>
        </w:tc>
      </w:tr>
      <w:tr w:rsidR="003E4AF1" w:rsidRPr="00B27E56" w14:paraId="52090898" w14:textId="77777777" w:rsidTr="009B5A01">
        <w:trPr>
          <w:cantSplit/>
        </w:trPr>
        <w:tc>
          <w:tcPr>
            <w:tcW w:w="805" w:type="dxa"/>
            <w:tcBorders>
              <w:right w:val="double" w:sz="4" w:space="0" w:color="auto"/>
            </w:tcBorders>
            <w:shd w:val="clear" w:color="auto" w:fill="auto"/>
            <w:vAlign w:val="center"/>
          </w:tcPr>
          <w:p w14:paraId="3EA773EF" w14:textId="77777777" w:rsidR="003E4AF1" w:rsidRPr="00B27E56" w:rsidRDefault="003E4AF1" w:rsidP="009B5A01">
            <w:pPr>
              <w:pStyle w:val="TAC"/>
            </w:pPr>
            <w:r w:rsidRPr="00B27E56">
              <w:rPr>
                <w:rFonts w:cs="Arial"/>
                <w:kern w:val="24"/>
                <w:szCs w:val="18"/>
              </w:rPr>
              <w:t>15</w:t>
            </w:r>
          </w:p>
        </w:tc>
        <w:tc>
          <w:tcPr>
            <w:tcW w:w="8628" w:type="dxa"/>
            <w:gridSpan w:val="4"/>
            <w:tcBorders>
              <w:left w:val="double" w:sz="4" w:space="0" w:color="auto"/>
            </w:tcBorders>
            <w:vAlign w:val="center"/>
          </w:tcPr>
          <w:p w14:paraId="3917684C" w14:textId="77777777" w:rsidR="003E4AF1" w:rsidRPr="00B27E56" w:rsidRDefault="003E4AF1" w:rsidP="009B5A01">
            <w:pPr>
              <w:pStyle w:val="TAC"/>
              <w:rPr>
                <w:rFonts w:cs="Arial"/>
                <w:kern w:val="24"/>
                <w:szCs w:val="18"/>
              </w:rPr>
            </w:pPr>
            <w:r w:rsidRPr="00B27E56">
              <w:rPr>
                <w:rFonts w:cs="Arial"/>
                <w:kern w:val="24"/>
                <w:szCs w:val="18"/>
              </w:rPr>
              <w:t>Reserved</w:t>
            </w:r>
          </w:p>
        </w:tc>
      </w:tr>
    </w:tbl>
    <w:p w14:paraId="312EBA0B" w14:textId="77777777" w:rsidR="003E4AF1" w:rsidRPr="00B916EC" w:rsidRDefault="003E4AF1" w:rsidP="00946F49">
      <w:pPr>
        <w:rPr>
          <w:rStyle w:val="CommentReference"/>
        </w:rPr>
      </w:pPr>
    </w:p>
    <w:p w14:paraId="7BB652C5" w14:textId="77777777" w:rsidR="00146079" w:rsidRPr="00B916EC" w:rsidRDefault="00425315" w:rsidP="00B06B6C">
      <w:pPr>
        <w:pStyle w:val="TH"/>
      </w:pPr>
      <w:r w:rsidRPr="00B916EC">
        <w:t>Table 1</w:t>
      </w:r>
      <w:r w:rsidR="00EC0649">
        <w:t>3</w:t>
      </w:r>
      <w:r w:rsidRPr="00B916EC">
        <w:t>-</w:t>
      </w:r>
      <w:r w:rsidR="00C929BE" w:rsidRPr="00B916EC">
        <w:t>1</w:t>
      </w:r>
      <w:r w:rsidR="00C929BE">
        <w:t>3</w:t>
      </w:r>
      <w:r w:rsidRPr="00B916EC">
        <w:t xml:space="preserve">: PDCCH monitoring occasions for Type0-PDCCH </w:t>
      </w:r>
      <w:r w:rsidR="00CF02AF">
        <w:t>CSS set</w:t>
      </w:r>
      <w:r w:rsidRPr="00B916EC">
        <w:t xml:space="preserve"> - SS/PBCH block and </w:t>
      </w:r>
      <w:r w:rsidR="00C76664">
        <w:t>CORESET</w:t>
      </w:r>
      <w:r w:rsidRPr="00B916EC">
        <w:t xml:space="preserve"> multiplexing </w:t>
      </w:r>
      <w:r w:rsidR="00C929BE">
        <w:t>pattern</w:t>
      </w:r>
      <w:r w:rsidR="00C929BE" w:rsidRPr="00B916EC">
        <w:t xml:space="preserve"> </w:t>
      </w:r>
      <w:r w:rsidRPr="00B916EC">
        <w:t xml:space="preserve">2 and {SS/PBCH block, PDCCH} </w:t>
      </w:r>
      <w:r w:rsidR="00143099">
        <w:t>SCS</w:t>
      </w:r>
      <w:r w:rsidRPr="00B916EC">
        <w:t xml:space="preserve"> {120, 60} kHz </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5"/>
        <w:gridCol w:w="4915"/>
        <w:gridCol w:w="3713"/>
      </w:tblGrid>
      <w:tr w:rsidR="00CE05DA" w:rsidRPr="00B916EC" w14:paraId="27DB3655" w14:textId="77777777" w:rsidTr="005661BA">
        <w:trPr>
          <w:cantSplit/>
        </w:trPr>
        <w:tc>
          <w:tcPr>
            <w:tcW w:w="805" w:type="dxa"/>
            <w:tcBorders>
              <w:bottom w:val="double" w:sz="4" w:space="0" w:color="auto"/>
              <w:right w:val="double" w:sz="4" w:space="0" w:color="auto"/>
            </w:tcBorders>
            <w:shd w:val="clear" w:color="auto" w:fill="E0E0E0"/>
            <w:vAlign w:val="center"/>
          </w:tcPr>
          <w:p w14:paraId="1C924B6D" w14:textId="77777777" w:rsidR="00CE05DA" w:rsidRPr="00B916EC" w:rsidRDefault="00CE05DA" w:rsidP="008F5350">
            <w:pPr>
              <w:pStyle w:val="TAH"/>
              <w:rPr>
                <w:bCs/>
                <w:lang w:val="en-US"/>
              </w:rPr>
            </w:pPr>
            <w:r w:rsidRPr="00B916EC">
              <w:rPr>
                <w:bCs/>
                <w:lang w:val="en-US"/>
              </w:rPr>
              <w:t>Index</w:t>
            </w:r>
          </w:p>
        </w:tc>
        <w:tc>
          <w:tcPr>
            <w:tcW w:w="4915" w:type="dxa"/>
            <w:tcBorders>
              <w:left w:val="double" w:sz="4" w:space="0" w:color="auto"/>
              <w:bottom w:val="double" w:sz="4" w:space="0" w:color="auto"/>
            </w:tcBorders>
            <w:shd w:val="clear" w:color="auto" w:fill="E0E0E0"/>
            <w:vAlign w:val="center"/>
          </w:tcPr>
          <w:p w14:paraId="336451D1" w14:textId="77777777" w:rsidR="00CE05DA" w:rsidRPr="00B916EC" w:rsidRDefault="00CE05DA" w:rsidP="008F5350">
            <w:pPr>
              <w:pStyle w:val="TAH"/>
              <w:rPr>
                <w:bCs/>
                <w:lang w:val="en-US"/>
              </w:rPr>
            </w:pPr>
            <w:r w:rsidRPr="00B916EC">
              <w:t>PDCCH monitoring occasions</w:t>
            </w:r>
            <w:r w:rsidRPr="00B916EC">
              <w:rPr>
                <w:rStyle w:val="CommentReference"/>
                <w:rFonts w:cs="Arial"/>
                <w:sz w:val="18"/>
                <w:szCs w:val="18"/>
              </w:rPr>
              <w:t xml:space="preserve"> (SFN and slot number)</w:t>
            </w:r>
          </w:p>
        </w:tc>
        <w:tc>
          <w:tcPr>
            <w:tcW w:w="3713" w:type="dxa"/>
            <w:tcBorders>
              <w:bottom w:val="double" w:sz="4" w:space="0" w:color="auto"/>
            </w:tcBorders>
            <w:shd w:val="clear" w:color="auto" w:fill="E0E0E0"/>
            <w:vAlign w:val="center"/>
          </w:tcPr>
          <w:p w14:paraId="2AA381C3" w14:textId="77777777" w:rsidR="00CE05DA" w:rsidRPr="00B916EC" w:rsidRDefault="00CE05DA" w:rsidP="008F5350">
            <w:pPr>
              <w:spacing w:after="0"/>
              <w:jc w:val="center"/>
              <w:textAlignment w:val="bottom"/>
              <w:rPr>
                <w:rStyle w:val="CommentReference"/>
                <w:rFonts w:ascii="Arial" w:hAnsi="Arial" w:cs="Arial"/>
                <w:b/>
                <w:sz w:val="18"/>
                <w:szCs w:val="18"/>
              </w:rPr>
            </w:pPr>
            <w:r w:rsidRPr="00B916EC">
              <w:rPr>
                <w:rStyle w:val="CommentReference"/>
                <w:rFonts w:ascii="Arial" w:hAnsi="Arial" w:cs="Arial"/>
                <w:b/>
                <w:sz w:val="18"/>
                <w:szCs w:val="18"/>
              </w:rPr>
              <w:t>First symbol index</w:t>
            </w:r>
          </w:p>
          <w:p w14:paraId="5DB5F094" w14:textId="77777777" w:rsidR="00CE05DA" w:rsidRPr="00B916EC" w:rsidRDefault="00CE05DA" w:rsidP="008F5350">
            <w:pPr>
              <w:spacing w:after="0"/>
              <w:jc w:val="center"/>
              <w:textAlignment w:val="bottom"/>
              <w:rPr>
                <w:rFonts w:ascii="Arial" w:hAnsi="Arial" w:cs="Arial"/>
                <w:b/>
                <w:sz w:val="18"/>
                <w:szCs w:val="18"/>
              </w:rPr>
            </w:pPr>
            <w:r w:rsidRPr="00B916EC">
              <w:rPr>
                <w:rStyle w:val="CommentReference"/>
                <w:rFonts w:ascii="Arial" w:hAnsi="Arial" w:cs="Arial"/>
                <w:b/>
                <w:sz w:val="18"/>
                <w:szCs w:val="18"/>
              </w:rPr>
              <w:t>(</w:t>
            </w:r>
            <w:r w:rsidRPr="00B916EC">
              <w:rPr>
                <w:rStyle w:val="CommentReference"/>
                <w:rFonts w:ascii="Arial" w:hAnsi="Arial" w:cs="Arial"/>
                <w:b/>
                <w:i/>
                <w:sz w:val="18"/>
                <w:szCs w:val="18"/>
              </w:rPr>
              <w:t>k</w:t>
            </w:r>
            <w:r w:rsidRPr="00B916EC">
              <w:rPr>
                <w:rStyle w:val="CommentReference"/>
                <w:rFonts w:ascii="Arial" w:hAnsi="Arial" w:cs="Arial"/>
                <w:b/>
                <w:sz w:val="18"/>
                <w:szCs w:val="18"/>
              </w:rPr>
              <w:t xml:space="preserve"> = 0, 1, … 15)</w:t>
            </w:r>
          </w:p>
        </w:tc>
      </w:tr>
      <w:tr w:rsidR="005661BA" w:rsidRPr="00B916EC" w14:paraId="688FA3C1" w14:textId="77777777" w:rsidTr="005661BA">
        <w:trPr>
          <w:cantSplit/>
          <w:trHeight w:val="594"/>
        </w:trPr>
        <w:tc>
          <w:tcPr>
            <w:tcW w:w="805" w:type="dxa"/>
            <w:tcBorders>
              <w:top w:val="double" w:sz="4" w:space="0" w:color="auto"/>
              <w:right w:val="double" w:sz="4" w:space="0" w:color="auto"/>
            </w:tcBorders>
            <w:shd w:val="clear" w:color="auto" w:fill="auto"/>
            <w:vAlign w:val="center"/>
          </w:tcPr>
          <w:p w14:paraId="1FC0292E" w14:textId="79DC838F" w:rsidR="005661BA" w:rsidRPr="00B916EC" w:rsidRDefault="005661BA" w:rsidP="005661BA">
            <w:pPr>
              <w:pStyle w:val="TAC"/>
              <w:rPr>
                <w:lang w:val="en-US"/>
              </w:rPr>
            </w:pPr>
            <w:r w:rsidRPr="00B27E56">
              <w:rPr>
                <w:lang w:val="en-US"/>
              </w:rPr>
              <w:t>0</w:t>
            </w:r>
          </w:p>
        </w:tc>
        <w:tc>
          <w:tcPr>
            <w:tcW w:w="4915" w:type="dxa"/>
            <w:tcBorders>
              <w:top w:val="double" w:sz="4" w:space="0" w:color="auto"/>
              <w:left w:val="double" w:sz="4" w:space="0" w:color="auto"/>
            </w:tcBorders>
            <w:vAlign w:val="center"/>
          </w:tcPr>
          <w:p w14:paraId="475E61F9" w14:textId="3E27CF77" w:rsidR="005661BA" w:rsidRPr="00B27E56" w:rsidRDefault="00000000" w:rsidP="005661BA">
            <w:pPr>
              <w:spacing w:after="0"/>
              <w:jc w:val="center"/>
              <w:textAlignment w:val="bottom"/>
            </w:pPr>
            <m:oMathPara>
              <m:oMath>
                <m:sSub>
                  <m:sSubPr>
                    <m:ctrlPr>
                      <w:rPr>
                        <w:rFonts w:ascii="Cambria Math" w:hAnsi="Cambria Math"/>
                        <w:iCs/>
                        <w:lang w:val="en-US"/>
                      </w:rPr>
                    </m:ctrlPr>
                  </m:sSubPr>
                  <m:e>
                    <m:r>
                      <m:rPr>
                        <m:sty m:val="p"/>
                      </m:rPr>
                      <w:rPr>
                        <w:rFonts w:ascii="Cambria Math" w:hAnsi="Cambria Math"/>
                        <w:lang w:val="en-US"/>
                      </w:rPr>
                      <m:t>SFN</m:t>
                    </m:r>
                  </m:e>
                  <m:sub>
                    <m:r>
                      <m:rPr>
                        <m:sty m:val="p"/>
                      </m:rPr>
                      <w:rPr>
                        <w:rFonts w:ascii="Cambria Math" w:hAnsi="Cambria Math"/>
                        <w:lang w:val="en-US"/>
                      </w:rPr>
                      <m:t>c</m:t>
                    </m:r>
                  </m:sub>
                </m:sSub>
                <m: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SFN</m:t>
                    </m:r>
                  </m:e>
                  <m:sub>
                    <m:r>
                      <m:rPr>
                        <m:sty m:val="p"/>
                      </m:rPr>
                      <w:rPr>
                        <w:rFonts w:ascii="Cambria Math" w:hAnsi="Cambria Math"/>
                        <w:lang w:val="en-US"/>
                      </w:rPr>
                      <m:t>SSB,</m:t>
                    </m:r>
                    <m:r>
                      <w:rPr>
                        <w:rFonts w:ascii="Cambria Math" w:hAnsi="Cambria Math"/>
                        <w:lang w:val="en-US"/>
                      </w:rPr>
                      <m:t>i</m:t>
                    </m:r>
                  </m:sub>
                </m:sSub>
              </m:oMath>
            </m:oMathPara>
          </w:p>
          <w:p w14:paraId="4196162E" w14:textId="5342BF6C" w:rsidR="005661BA" w:rsidRPr="00B916EC" w:rsidRDefault="00000000" w:rsidP="005661BA">
            <w:pPr>
              <w:spacing w:after="0"/>
              <w:jc w:val="center"/>
              <w:textAlignment w:val="bottom"/>
              <w:rPr>
                <w:rFonts w:ascii="Arial" w:hAnsi="Arial" w:cs="Arial"/>
                <w:sz w:val="18"/>
                <w:szCs w:val="18"/>
              </w:rPr>
            </w:pPr>
            <m:oMath>
              <m:sSub>
                <m:sSubPr>
                  <m:ctrlPr>
                    <w:rPr>
                      <w:rFonts w:ascii="Cambria Math" w:hAnsi="Cambria Math"/>
                      <w:iCs/>
                      <w:lang w:val="en-US"/>
                    </w:rPr>
                  </m:ctrlPr>
                </m:sSubPr>
                <m:e>
                  <m:r>
                    <w:rPr>
                      <w:rFonts w:ascii="Cambria Math" w:hAnsi="Cambria Math"/>
                      <w:lang w:val="en-US"/>
                    </w:rPr>
                    <m:t>n</m:t>
                  </m:r>
                </m:e>
                <m:sub>
                  <m:r>
                    <m:rPr>
                      <m:sty m:val="p"/>
                    </m:rPr>
                    <w:rPr>
                      <w:rFonts w:ascii="Cambria Math" w:hAnsi="Cambria Math"/>
                      <w:lang w:val="en-US"/>
                    </w:rPr>
                    <m:t>c</m:t>
                  </m:r>
                </m:sub>
              </m:sSub>
              <m:r>
                <w:rPr>
                  <w:rFonts w:ascii="Cambria Math" w:hAnsi="Cambria Math"/>
                  <w:lang w:val="en-US"/>
                </w:rPr>
                <m:t>=</m:t>
              </m:r>
              <m:sSub>
                <m:sSubPr>
                  <m:ctrlPr>
                    <w:rPr>
                      <w:rFonts w:ascii="Cambria Math" w:hAnsi="Cambria Math"/>
                      <w:iCs/>
                      <w:lang w:val="en-US"/>
                    </w:rPr>
                  </m:ctrlPr>
                </m:sSubPr>
                <m:e>
                  <m:r>
                    <w:rPr>
                      <w:rFonts w:ascii="Cambria Math" w:hAnsi="Cambria Math"/>
                      <w:lang w:val="en-US"/>
                    </w:rPr>
                    <m:t>n</m:t>
                  </m:r>
                </m:e>
                <m:sub>
                  <m:r>
                    <m:rPr>
                      <m:sty m:val="p"/>
                    </m:rPr>
                    <w:rPr>
                      <w:rFonts w:ascii="Cambria Math" w:hAnsi="Cambria Math"/>
                      <w:lang w:val="en-US"/>
                    </w:rPr>
                    <m:t>SSB,</m:t>
                  </m:r>
                  <m:r>
                    <w:rPr>
                      <w:rFonts w:ascii="Cambria Math" w:hAnsi="Cambria Math"/>
                      <w:lang w:val="en-US"/>
                    </w:rPr>
                    <m:t>i</m:t>
                  </m:r>
                </m:sub>
              </m:sSub>
            </m:oMath>
            <w:r w:rsidR="005661BA" w:rsidRPr="00B27E56">
              <w:t xml:space="preserve"> </w:t>
            </w:r>
          </w:p>
        </w:tc>
        <w:tc>
          <w:tcPr>
            <w:tcW w:w="3713" w:type="dxa"/>
            <w:tcBorders>
              <w:top w:val="double" w:sz="4" w:space="0" w:color="auto"/>
            </w:tcBorders>
            <w:vAlign w:val="center"/>
          </w:tcPr>
          <w:p w14:paraId="2B8F7C5E" w14:textId="77777777" w:rsidR="005661BA" w:rsidRPr="00B27E56" w:rsidRDefault="005661BA" w:rsidP="005661BA">
            <w:pPr>
              <w:spacing w:after="120"/>
              <w:jc w:val="center"/>
              <w:textAlignment w:val="bottom"/>
              <w:rPr>
                <w:rFonts w:ascii="Arial" w:hAnsi="Arial" w:cs="Arial"/>
                <w:sz w:val="18"/>
                <w:szCs w:val="18"/>
              </w:rPr>
            </w:pPr>
            <w:r w:rsidRPr="00B27E56">
              <w:rPr>
                <w:rStyle w:val="CommentReference"/>
                <w:rFonts w:ascii="Arial" w:hAnsi="Arial" w:cs="Arial"/>
                <w:sz w:val="18"/>
                <w:szCs w:val="18"/>
              </w:rPr>
              <w:t>0, 1, 6, 7 for</w:t>
            </w:r>
          </w:p>
          <w:p w14:paraId="17B3D218" w14:textId="468BFC60" w:rsidR="005661BA" w:rsidRPr="00B916EC" w:rsidRDefault="005661BA" w:rsidP="005661BA">
            <w:pPr>
              <w:spacing w:after="0"/>
              <w:jc w:val="center"/>
              <w:textAlignment w:val="bottom"/>
              <w:rPr>
                <w:rFonts w:ascii="Arial" w:hAnsi="Arial" w:cs="Arial"/>
                <w:sz w:val="18"/>
                <w:szCs w:val="18"/>
              </w:rPr>
            </w:pPr>
            <m:oMath>
              <m:r>
                <w:rPr>
                  <w:rFonts w:ascii="Cambria Math" w:hAnsi="Cambria Math"/>
                </w:rPr>
                <m:t>i=4k</m:t>
              </m:r>
            </m:oMath>
            <w:r w:rsidRPr="00B27E56">
              <w:rPr>
                <w:rStyle w:val="CommentReference"/>
                <w:rFonts w:ascii="Arial" w:hAnsi="Arial" w:cs="Arial"/>
                <w:sz w:val="18"/>
                <w:szCs w:val="18"/>
              </w:rPr>
              <w:t xml:space="preserve">, </w:t>
            </w:r>
            <m:oMath>
              <m:r>
                <w:rPr>
                  <w:rFonts w:ascii="Cambria Math" w:hAnsi="Cambria Math"/>
                </w:rPr>
                <m:t>i=4k+1</m:t>
              </m:r>
            </m:oMath>
            <w:r w:rsidRPr="00B27E56">
              <w:rPr>
                <w:rStyle w:val="CommentReference"/>
                <w:rFonts w:ascii="Arial" w:hAnsi="Arial" w:cs="Arial"/>
                <w:sz w:val="18"/>
                <w:szCs w:val="18"/>
              </w:rPr>
              <w:t xml:space="preserve">, </w:t>
            </w:r>
            <m:oMath>
              <m:r>
                <w:rPr>
                  <w:rFonts w:ascii="Cambria Math" w:hAnsi="Cambria Math"/>
                </w:rPr>
                <m:t>i=4k+2</m:t>
              </m:r>
            </m:oMath>
            <w:r w:rsidRPr="00B27E56">
              <w:rPr>
                <w:rStyle w:val="CommentReference"/>
                <w:rFonts w:ascii="Arial" w:hAnsi="Arial" w:cs="Arial"/>
                <w:sz w:val="18"/>
                <w:szCs w:val="18"/>
              </w:rPr>
              <w:t xml:space="preserve">, </w:t>
            </w:r>
            <m:oMath>
              <m:r>
                <w:rPr>
                  <w:rFonts w:ascii="Cambria Math" w:hAnsi="Cambria Math"/>
                </w:rPr>
                <m:t>i=4k+3</m:t>
              </m:r>
            </m:oMath>
          </w:p>
        </w:tc>
      </w:tr>
      <w:tr w:rsidR="00CE05DA" w:rsidRPr="00B916EC" w14:paraId="067CEF48" w14:textId="77777777" w:rsidTr="005661BA">
        <w:trPr>
          <w:cantSplit/>
        </w:trPr>
        <w:tc>
          <w:tcPr>
            <w:tcW w:w="805" w:type="dxa"/>
            <w:tcBorders>
              <w:right w:val="double" w:sz="4" w:space="0" w:color="auto"/>
            </w:tcBorders>
            <w:shd w:val="clear" w:color="auto" w:fill="auto"/>
            <w:vAlign w:val="center"/>
          </w:tcPr>
          <w:p w14:paraId="698A166D" w14:textId="77777777" w:rsidR="00CE05DA" w:rsidRPr="00B916EC" w:rsidRDefault="00CE05DA" w:rsidP="008F5350">
            <w:pPr>
              <w:pStyle w:val="TAC"/>
              <w:rPr>
                <w:lang w:val="en-US"/>
              </w:rPr>
            </w:pPr>
            <w:r w:rsidRPr="00B916EC">
              <w:rPr>
                <w:lang w:val="en-US"/>
              </w:rPr>
              <w:t>1</w:t>
            </w:r>
          </w:p>
        </w:tc>
        <w:tc>
          <w:tcPr>
            <w:tcW w:w="8628" w:type="dxa"/>
            <w:gridSpan w:val="2"/>
            <w:tcBorders>
              <w:left w:val="double" w:sz="4" w:space="0" w:color="auto"/>
            </w:tcBorders>
            <w:vAlign w:val="center"/>
          </w:tcPr>
          <w:p w14:paraId="718B4257" w14:textId="77777777" w:rsidR="00CE05DA" w:rsidRPr="00B916EC" w:rsidRDefault="00CE05DA" w:rsidP="008F5350">
            <w:pPr>
              <w:pStyle w:val="TAC"/>
            </w:pPr>
            <w:r w:rsidRPr="00B916EC">
              <w:rPr>
                <w:rFonts w:cs="Arial"/>
                <w:kern w:val="24"/>
                <w:szCs w:val="18"/>
              </w:rPr>
              <w:t>Reserved</w:t>
            </w:r>
          </w:p>
        </w:tc>
      </w:tr>
      <w:tr w:rsidR="00CE05DA" w:rsidRPr="00B916EC" w14:paraId="5FCD98FA" w14:textId="77777777" w:rsidTr="005661BA">
        <w:trPr>
          <w:cantSplit/>
        </w:trPr>
        <w:tc>
          <w:tcPr>
            <w:tcW w:w="805" w:type="dxa"/>
            <w:tcBorders>
              <w:right w:val="double" w:sz="4" w:space="0" w:color="auto"/>
            </w:tcBorders>
            <w:shd w:val="clear" w:color="auto" w:fill="auto"/>
            <w:vAlign w:val="center"/>
          </w:tcPr>
          <w:p w14:paraId="01F45163" w14:textId="77777777" w:rsidR="00CE05DA" w:rsidRPr="00B916EC" w:rsidRDefault="00CE05DA" w:rsidP="008F5350">
            <w:pPr>
              <w:pStyle w:val="TAC"/>
            </w:pPr>
            <w:r w:rsidRPr="00B916EC">
              <w:t>2</w:t>
            </w:r>
          </w:p>
        </w:tc>
        <w:tc>
          <w:tcPr>
            <w:tcW w:w="8628" w:type="dxa"/>
            <w:gridSpan w:val="2"/>
            <w:tcBorders>
              <w:left w:val="double" w:sz="4" w:space="0" w:color="auto"/>
            </w:tcBorders>
            <w:vAlign w:val="center"/>
          </w:tcPr>
          <w:p w14:paraId="14E2E73C" w14:textId="77777777" w:rsidR="00CE05DA" w:rsidRPr="00B916EC" w:rsidRDefault="00CE05DA" w:rsidP="008F5350">
            <w:pPr>
              <w:pStyle w:val="TAC"/>
              <w:rPr>
                <w:rFonts w:cs="Arial"/>
                <w:kern w:val="24"/>
                <w:szCs w:val="18"/>
              </w:rPr>
            </w:pPr>
            <w:r w:rsidRPr="00B916EC">
              <w:rPr>
                <w:rFonts w:cs="Arial"/>
                <w:kern w:val="24"/>
                <w:szCs w:val="18"/>
              </w:rPr>
              <w:t>Reserved</w:t>
            </w:r>
          </w:p>
        </w:tc>
      </w:tr>
      <w:tr w:rsidR="00CE05DA" w:rsidRPr="00B916EC" w14:paraId="1A4D2C7B" w14:textId="77777777" w:rsidTr="005661BA">
        <w:trPr>
          <w:cantSplit/>
        </w:trPr>
        <w:tc>
          <w:tcPr>
            <w:tcW w:w="805" w:type="dxa"/>
            <w:tcBorders>
              <w:right w:val="double" w:sz="4" w:space="0" w:color="auto"/>
            </w:tcBorders>
            <w:shd w:val="clear" w:color="auto" w:fill="auto"/>
            <w:vAlign w:val="center"/>
          </w:tcPr>
          <w:p w14:paraId="6D7297CB" w14:textId="77777777" w:rsidR="00CE05DA" w:rsidRPr="00B916EC" w:rsidRDefault="00CE05DA" w:rsidP="008F5350">
            <w:pPr>
              <w:pStyle w:val="TAC"/>
            </w:pPr>
            <w:r w:rsidRPr="00B916EC">
              <w:t>3</w:t>
            </w:r>
          </w:p>
        </w:tc>
        <w:tc>
          <w:tcPr>
            <w:tcW w:w="8628" w:type="dxa"/>
            <w:gridSpan w:val="2"/>
            <w:tcBorders>
              <w:left w:val="double" w:sz="4" w:space="0" w:color="auto"/>
            </w:tcBorders>
            <w:vAlign w:val="center"/>
          </w:tcPr>
          <w:p w14:paraId="603632F1" w14:textId="77777777" w:rsidR="00CE05DA" w:rsidRPr="00B916EC" w:rsidRDefault="00CE05DA" w:rsidP="008F5350">
            <w:pPr>
              <w:pStyle w:val="TAC"/>
            </w:pPr>
            <w:r w:rsidRPr="00B916EC">
              <w:rPr>
                <w:rFonts w:cs="Arial"/>
                <w:kern w:val="24"/>
                <w:szCs w:val="18"/>
              </w:rPr>
              <w:t>Reserved</w:t>
            </w:r>
          </w:p>
        </w:tc>
      </w:tr>
      <w:tr w:rsidR="00CE05DA" w:rsidRPr="00B916EC" w14:paraId="394F6090" w14:textId="77777777" w:rsidTr="005661BA">
        <w:trPr>
          <w:cantSplit/>
        </w:trPr>
        <w:tc>
          <w:tcPr>
            <w:tcW w:w="805" w:type="dxa"/>
            <w:tcBorders>
              <w:right w:val="double" w:sz="4" w:space="0" w:color="auto"/>
            </w:tcBorders>
            <w:shd w:val="clear" w:color="auto" w:fill="auto"/>
            <w:vAlign w:val="center"/>
          </w:tcPr>
          <w:p w14:paraId="1DB037DD" w14:textId="77777777" w:rsidR="00CE05DA" w:rsidRPr="00B916EC" w:rsidRDefault="00CE05DA" w:rsidP="008F5350">
            <w:pPr>
              <w:pStyle w:val="TAC"/>
            </w:pPr>
            <w:r w:rsidRPr="00B916EC">
              <w:t>4</w:t>
            </w:r>
          </w:p>
        </w:tc>
        <w:tc>
          <w:tcPr>
            <w:tcW w:w="8628" w:type="dxa"/>
            <w:gridSpan w:val="2"/>
            <w:tcBorders>
              <w:left w:val="double" w:sz="4" w:space="0" w:color="auto"/>
            </w:tcBorders>
            <w:vAlign w:val="center"/>
          </w:tcPr>
          <w:p w14:paraId="0C5BD036" w14:textId="77777777" w:rsidR="00CE05DA" w:rsidRPr="00B916EC" w:rsidRDefault="00CE05DA" w:rsidP="008F5350">
            <w:pPr>
              <w:pStyle w:val="TAC"/>
              <w:rPr>
                <w:rFonts w:cs="Arial"/>
                <w:kern w:val="24"/>
                <w:szCs w:val="18"/>
              </w:rPr>
            </w:pPr>
            <w:r w:rsidRPr="00B916EC">
              <w:rPr>
                <w:rFonts w:cs="Arial"/>
                <w:kern w:val="24"/>
                <w:szCs w:val="18"/>
              </w:rPr>
              <w:t>Reserved</w:t>
            </w:r>
          </w:p>
        </w:tc>
      </w:tr>
      <w:tr w:rsidR="00CE05DA" w:rsidRPr="00B916EC" w14:paraId="196FA1E0" w14:textId="77777777" w:rsidTr="005661BA">
        <w:trPr>
          <w:cantSplit/>
        </w:trPr>
        <w:tc>
          <w:tcPr>
            <w:tcW w:w="805" w:type="dxa"/>
            <w:tcBorders>
              <w:right w:val="double" w:sz="4" w:space="0" w:color="auto"/>
            </w:tcBorders>
            <w:shd w:val="clear" w:color="auto" w:fill="auto"/>
            <w:vAlign w:val="center"/>
          </w:tcPr>
          <w:p w14:paraId="35384FF3" w14:textId="77777777" w:rsidR="00CE05DA" w:rsidRPr="00B916EC" w:rsidRDefault="00CE05DA" w:rsidP="008F5350">
            <w:pPr>
              <w:pStyle w:val="TAC"/>
            </w:pPr>
            <w:r w:rsidRPr="00B916EC">
              <w:t>5</w:t>
            </w:r>
          </w:p>
        </w:tc>
        <w:tc>
          <w:tcPr>
            <w:tcW w:w="8628" w:type="dxa"/>
            <w:gridSpan w:val="2"/>
            <w:tcBorders>
              <w:left w:val="double" w:sz="4" w:space="0" w:color="auto"/>
            </w:tcBorders>
            <w:vAlign w:val="center"/>
          </w:tcPr>
          <w:p w14:paraId="4C5FFCBC" w14:textId="77777777" w:rsidR="00CE05DA" w:rsidRPr="00B916EC" w:rsidRDefault="00CE05DA" w:rsidP="008F5350">
            <w:pPr>
              <w:pStyle w:val="TAC"/>
            </w:pPr>
            <w:r w:rsidRPr="00B916EC">
              <w:rPr>
                <w:rFonts w:cs="Arial"/>
                <w:kern w:val="24"/>
                <w:szCs w:val="18"/>
              </w:rPr>
              <w:t>Reserved</w:t>
            </w:r>
          </w:p>
        </w:tc>
      </w:tr>
      <w:tr w:rsidR="00CE05DA" w:rsidRPr="00B916EC" w14:paraId="4AF938DD" w14:textId="77777777" w:rsidTr="005661BA">
        <w:trPr>
          <w:cantSplit/>
        </w:trPr>
        <w:tc>
          <w:tcPr>
            <w:tcW w:w="805" w:type="dxa"/>
            <w:tcBorders>
              <w:right w:val="double" w:sz="4" w:space="0" w:color="auto"/>
            </w:tcBorders>
            <w:shd w:val="clear" w:color="auto" w:fill="auto"/>
            <w:vAlign w:val="center"/>
          </w:tcPr>
          <w:p w14:paraId="6AA1BF3A" w14:textId="77777777" w:rsidR="00CE05DA" w:rsidRPr="00B916EC" w:rsidRDefault="00CE05DA" w:rsidP="008F5350">
            <w:pPr>
              <w:pStyle w:val="TAC"/>
            </w:pPr>
            <w:r w:rsidRPr="00B916EC">
              <w:t>6</w:t>
            </w:r>
          </w:p>
        </w:tc>
        <w:tc>
          <w:tcPr>
            <w:tcW w:w="8628" w:type="dxa"/>
            <w:gridSpan w:val="2"/>
            <w:tcBorders>
              <w:left w:val="double" w:sz="4" w:space="0" w:color="auto"/>
            </w:tcBorders>
            <w:vAlign w:val="center"/>
          </w:tcPr>
          <w:p w14:paraId="5A31FE64" w14:textId="77777777" w:rsidR="00CE05DA" w:rsidRPr="00B916EC" w:rsidRDefault="00CE05DA" w:rsidP="008F5350">
            <w:pPr>
              <w:pStyle w:val="TAC"/>
              <w:rPr>
                <w:rFonts w:cs="Arial"/>
                <w:kern w:val="24"/>
                <w:szCs w:val="18"/>
              </w:rPr>
            </w:pPr>
            <w:r w:rsidRPr="00B916EC">
              <w:rPr>
                <w:rFonts w:cs="Arial"/>
                <w:kern w:val="24"/>
                <w:szCs w:val="18"/>
              </w:rPr>
              <w:t>Reserved</w:t>
            </w:r>
          </w:p>
        </w:tc>
      </w:tr>
      <w:tr w:rsidR="00CE05DA" w:rsidRPr="00B916EC" w14:paraId="15A95E1A" w14:textId="77777777" w:rsidTr="005661BA">
        <w:trPr>
          <w:cantSplit/>
        </w:trPr>
        <w:tc>
          <w:tcPr>
            <w:tcW w:w="805" w:type="dxa"/>
            <w:tcBorders>
              <w:right w:val="double" w:sz="4" w:space="0" w:color="auto"/>
            </w:tcBorders>
            <w:shd w:val="clear" w:color="auto" w:fill="auto"/>
            <w:vAlign w:val="center"/>
          </w:tcPr>
          <w:p w14:paraId="56075DC3" w14:textId="77777777" w:rsidR="00CE05DA" w:rsidRPr="00B916EC" w:rsidRDefault="00CE05DA" w:rsidP="008F5350">
            <w:pPr>
              <w:pStyle w:val="TAC"/>
            </w:pPr>
            <w:r w:rsidRPr="00B916EC">
              <w:t>7</w:t>
            </w:r>
          </w:p>
        </w:tc>
        <w:tc>
          <w:tcPr>
            <w:tcW w:w="8628" w:type="dxa"/>
            <w:gridSpan w:val="2"/>
            <w:tcBorders>
              <w:left w:val="double" w:sz="4" w:space="0" w:color="auto"/>
            </w:tcBorders>
            <w:vAlign w:val="center"/>
          </w:tcPr>
          <w:p w14:paraId="73A4D5C2" w14:textId="77777777" w:rsidR="00CE05DA" w:rsidRPr="00B916EC" w:rsidRDefault="00CE05DA" w:rsidP="008F5350">
            <w:pPr>
              <w:pStyle w:val="TAC"/>
            </w:pPr>
            <w:r w:rsidRPr="00B916EC">
              <w:rPr>
                <w:rFonts w:cs="Arial"/>
                <w:kern w:val="24"/>
                <w:szCs w:val="18"/>
              </w:rPr>
              <w:t>Reserved</w:t>
            </w:r>
          </w:p>
        </w:tc>
      </w:tr>
      <w:tr w:rsidR="00CE05DA" w:rsidRPr="00B916EC" w14:paraId="5DB29D7E" w14:textId="77777777" w:rsidTr="005661BA">
        <w:trPr>
          <w:cantSplit/>
        </w:trPr>
        <w:tc>
          <w:tcPr>
            <w:tcW w:w="805" w:type="dxa"/>
            <w:tcBorders>
              <w:right w:val="double" w:sz="4" w:space="0" w:color="auto"/>
            </w:tcBorders>
            <w:shd w:val="clear" w:color="auto" w:fill="auto"/>
            <w:vAlign w:val="center"/>
          </w:tcPr>
          <w:p w14:paraId="1D8BD135" w14:textId="77777777" w:rsidR="00CE05DA" w:rsidRPr="00B916EC" w:rsidRDefault="00CE05DA" w:rsidP="008F5350">
            <w:pPr>
              <w:pStyle w:val="TAC"/>
            </w:pPr>
            <w:r w:rsidRPr="00B916EC">
              <w:t>8</w:t>
            </w:r>
          </w:p>
        </w:tc>
        <w:tc>
          <w:tcPr>
            <w:tcW w:w="8628" w:type="dxa"/>
            <w:gridSpan w:val="2"/>
            <w:tcBorders>
              <w:left w:val="double" w:sz="4" w:space="0" w:color="auto"/>
            </w:tcBorders>
            <w:vAlign w:val="center"/>
          </w:tcPr>
          <w:p w14:paraId="17E595DA" w14:textId="77777777" w:rsidR="00CE05DA" w:rsidRPr="00B916EC" w:rsidRDefault="00CE05DA" w:rsidP="008F5350">
            <w:pPr>
              <w:pStyle w:val="TAC"/>
              <w:rPr>
                <w:rFonts w:cs="Arial"/>
                <w:kern w:val="24"/>
                <w:szCs w:val="18"/>
              </w:rPr>
            </w:pPr>
            <w:r w:rsidRPr="00B916EC">
              <w:rPr>
                <w:rFonts w:cs="Arial"/>
                <w:kern w:val="24"/>
                <w:szCs w:val="18"/>
              </w:rPr>
              <w:t>Reserved</w:t>
            </w:r>
          </w:p>
        </w:tc>
      </w:tr>
      <w:tr w:rsidR="00CE05DA" w:rsidRPr="00B916EC" w14:paraId="09D0CAAA" w14:textId="77777777" w:rsidTr="005661BA">
        <w:trPr>
          <w:cantSplit/>
        </w:trPr>
        <w:tc>
          <w:tcPr>
            <w:tcW w:w="805" w:type="dxa"/>
            <w:tcBorders>
              <w:right w:val="double" w:sz="4" w:space="0" w:color="auto"/>
            </w:tcBorders>
            <w:shd w:val="clear" w:color="auto" w:fill="auto"/>
            <w:vAlign w:val="center"/>
          </w:tcPr>
          <w:p w14:paraId="2850C7B0" w14:textId="77777777" w:rsidR="00CE05DA" w:rsidRPr="00B916EC" w:rsidRDefault="00CE05DA" w:rsidP="008F5350">
            <w:pPr>
              <w:pStyle w:val="TAC"/>
            </w:pPr>
            <w:r w:rsidRPr="00B916EC">
              <w:t>9</w:t>
            </w:r>
          </w:p>
        </w:tc>
        <w:tc>
          <w:tcPr>
            <w:tcW w:w="8628" w:type="dxa"/>
            <w:gridSpan w:val="2"/>
            <w:tcBorders>
              <w:left w:val="double" w:sz="4" w:space="0" w:color="auto"/>
            </w:tcBorders>
            <w:vAlign w:val="center"/>
          </w:tcPr>
          <w:p w14:paraId="3E096768" w14:textId="77777777" w:rsidR="00CE05DA" w:rsidRPr="00B916EC" w:rsidRDefault="00CE05DA" w:rsidP="008F5350">
            <w:pPr>
              <w:pStyle w:val="TAC"/>
            </w:pPr>
            <w:r w:rsidRPr="00B916EC">
              <w:rPr>
                <w:rFonts w:cs="Arial"/>
                <w:kern w:val="24"/>
                <w:szCs w:val="18"/>
              </w:rPr>
              <w:t>Reserved</w:t>
            </w:r>
          </w:p>
        </w:tc>
      </w:tr>
      <w:tr w:rsidR="00CE05DA" w:rsidRPr="00B916EC" w14:paraId="189BFD85" w14:textId="77777777" w:rsidTr="005661BA">
        <w:trPr>
          <w:cantSplit/>
        </w:trPr>
        <w:tc>
          <w:tcPr>
            <w:tcW w:w="805" w:type="dxa"/>
            <w:tcBorders>
              <w:right w:val="double" w:sz="4" w:space="0" w:color="auto"/>
            </w:tcBorders>
            <w:shd w:val="clear" w:color="auto" w:fill="auto"/>
            <w:vAlign w:val="center"/>
          </w:tcPr>
          <w:p w14:paraId="29FB92FB" w14:textId="77777777" w:rsidR="00CE05DA" w:rsidRPr="00B916EC" w:rsidRDefault="00CE05DA" w:rsidP="008F5350">
            <w:pPr>
              <w:pStyle w:val="TAC"/>
            </w:pPr>
            <w:r w:rsidRPr="00B916EC">
              <w:t>10</w:t>
            </w:r>
          </w:p>
        </w:tc>
        <w:tc>
          <w:tcPr>
            <w:tcW w:w="8628" w:type="dxa"/>
            <w:gridSpan w:val="2"/>
            <w:tcBorders>
              <w:left w:val="double" w:sz="4" w:space="0" w:color="auto"/>
            </w:tcBorders>
            <w:vAlign w:val="center"/>
          </w:tcPr>
          <w:p w14:paraId="33427C01" w14:textId="77777777" w:rsidR="00CE05DA" w:rsidRPr="00B916EC" w:rsidRDefault="00CE05DA" w:rsidP="008F5350">
            <w:pPr>
              <w:pStyle w:val="TAC"/>
              <w:rPr>
                <w:rFonts w:cs="Arial"/>
                <w:kern w:val="24"/>
                <w:szCs w:val="18"/>
              </w:rPr>
            </w:pPr>
            <w:r w:rsidRPr="00B916EC">
              <w:rPr>
                <w:rFonts w:cs="Arial"/>
                <w:kern w:val="24"/>
                <w:szCs w:val="18"/>
              </w:rPr>
              <w:t>Reserved</w:t>
            </w:r>
          </w:p>
        </w:tc>
      </w:tr>
      <w:tr w:rsidR="00CE05DA" w:rsidRPr="00B916EC" w14:paraId="3330B0E0" w14:textId="77777777" w:rsidTr="005661BA">
        <w:trPr>
          <w:cantSplit/>
        </w:trPr>
        <w:tc>
          <w:tcPr>
            <w:tcW w:w="805" w:type="dxa"/>
            <w:tcBorders>
              <w:right w:val="double" w:sz="4" w:space="0" w:color="auto"/>
            </w:tcBorders>
            <w:shd w:val="clear" w:color="auto" w:fill="auto"/>
            <w:vAlign w:val="center"/>
          </w:tcPr>
          <w:p w14:paraId="335991E9" w14:textId="77777777" w:rsidR="00CE05DA" w:rsidRPr="00B916EC" w:rsidRDefault="00CE05DA" w:rsidP="008F5350">
            <w:pPr>
              <w:pStyle w:val="TAC"/>
            </w:pPr>
            <w:r w:rsidRPr="00B916EC">
              <w:t>11</w:t>
            </w:r>
          </w:p>
        </w:tc>
        <w:tc>
          <w:tcPr>
            <w:tcW w:w="8628" w:type="dxa"/>
            <w:gridSpan w:val="2"/>
            <w:tcBorders>
              <w:left w:val="double" w:sz="4" w:space="0" w:color="auto"/>
            </w:tcBorders>
            <w:vAlign w:val="center"/>
          </w:tcPr>
          <w:p w14:paraId="0E3F7323" w14:textId="77777777" w:rsidR="00CE05DA" w:rsidRPr="00B916EC" w:rsidRDefault="00CE05DA" w:rsidP="008F5350">
            <w:pPr>
              <w:pStyle w:val="TAC"/>
            </w:pPr>
            <w:r w:rsidRPr="00B916EC">
              <w:rPr>
                <w:rFonts w:cs="Arial"/>
                <w:kern w:val="24"/>
                <w:szCs w:val="18"/>
              </w:rPr>
              <w:t>Reserved</w:t>
            </w:r>
          </w:p>
        </w:tc>
      </w:tr>
      <w:tr w:rsidR="00CE05DA" w:rsidRPr="00B916EC" w14:paraId="681B5B33" w14:textId="77777777" w:rsidTr="005661BA">
        <w:trPr>
          <w:cantSplit/>
        </w:trPr>
        <w:tc>
          <w:tcPr>
            <w:tcW w:w="805" w:type="dxa"/>
            <w:tcBorders>
              <w:right w:val="double" w:sz="4" w:space="0" w:color="auto"/>
            </w:tcBorders>
            <w:shd w:val="clear" w:color="auto" w:fill="auto"/>
            <w:vAlign w:val="center"/>
          </w:tcPr>
          <w:p w14:paraId="6DFE4CD3" w14:textId="77777777" w:rsidR="00CE05DA" w:rsidRPr="00B916EC" w:rsidRDefault="00CE05DA" w:rsidP="008F5350">
            <w:pPr>
              <w:pStyle w:val="TAC"/>
            </w:pPr>
            <w:r w:rsidRPr="00B916EC">
              <w:t>12</w:t>
            </w:r>
          </w:p>
        </w:tc>
        <w:tc>
          <w:tcPr>
            <w:tcW w:w="8628" w:type="dxa"/>
            <w:gridSpan w:val="2"/>
            <w:tcBorders>
              <w:left w:val="double" w:sz="4" w:space="0" w:color="auto"/>
            </w:tcBorders>
            <w:vAlign w:val="center"/>
          </w:tcPr>
          <w:p w14:paraId="4FD6377B" w14:textId="77777777" w:rsidR="00CE05DA" w:rsidRPr="00B916EC" w:rsidRDefault="00CE05DA" w:rsidP="008F5350">
            <w:pPr>
              <w:pStyle w:val="TAC"/>
              <w:rPr>
                <w:rFonts w:cs="Arial"/>
                <w:kern w:val="24"/>
                <w:szCs w:val="18"/>
              </w:rPr>
            </w:pPr>
            <w:r w:rsidRPr="00B916EC">
              <w:rPr>
                <w:rFonts w:cs="Arial"/>
                <w:kern w:val="24"/>
                <w:szCs w:val="18"/>
              </w:rPr>
              <w:t>Reserved</w:t>
            </w:r>
          </w:p>
        </w:tc>
      </w:tr>
      <w:tr w:rsidR="00CE05DA" w:rsidRPr="00B916EC" w14:paraId="2D1B3D5E" w14:textId="77777777" w:rsidTr="005661BA">
        <w:trPr>
          <w:cantSplit/>
        </w:trPr>
        <w:tc>
          <w:tcPr>
            <w:tcW w:w="805" w:type="dxa"/>
            <w:tcBorders>
              <w:right w:val="double" w:sz="4" w:space="0" w:color="auto"/>
            </w:tcBorders>
            <w:shd w:val="clear" w:color="auto" w:fill="auto"/>
            <w:vAlign w:val="center"/>
          </w:tcPr>
          <w:p w14:paraId="7C86947B" w14:textId="77777777" w:rsidR="00CE05DA" w:rsidRPr="00B916EC" w:rsidRDefault="00CE05DA" w:rsidP="008F5350">
            <w:pPr>
              <w:pStyle w:val="TAC"/>
            </w:pPr>
            <w:r w:rsidRPr="00B916EC">
              <w:t>13</w:t>
            </w:r>
          </w:p>
        </w:tc>
        <w:tc>
          <w:tcPr>
            <w:tcW w:w="8628" w:type="dxa"/>
            <w:gridSpan w:val="2"/>
            <w:tcBorders>
              <w:left w:val="double" w:sz="4" w:space="0" w:color="auto"/>
            </w:tcBorders>
            <w:vAlign w:val="center"/>
          </w:tcPr>
          <w:p w14:paraId="51FB3489" w14:textId="77777777" w:rsidR="00CE05DA" w:rsidRPr="00B916EC" w:rsidRDefault="00CE05DA" w:rsidP="008F5350">
            <w:pPr>
              <w:pStyle w:val="TAC"/>
            </w:pPr>
            <w:r w:rsidRPr="00B916EC">
              <w:rPr>
                <w:rFonts w:cs="Arial"/>
                <w:kern w:val="24"/>
                <w:szCs w:val="18"/>
              </w:rPr>
              <w:t>Reserved</w:t>
            </w:r>
          </w:p>
        </w:tc>
      </w:tr>
      <w:tr w:rsidR="00CE05DA" w:rsidRPr="00B916EC" w14:paraId="4AE10158" w14:textId="77777777" w:rsidTr="005661BA">
        <w:trPr>
          <w:cantSplit/>
        </w:trPr>
        <w:tc>
          <w:tcPr>
            <w:tcW w:w="805" w:type="dxa"/>
            <w:tcBorders>
              <w:right w:val="double" w:sz="4" w:space="0" w:color="auto"/>
            </w:tcBorders>
            <w:shd w:val="clear" w:color="auto" w:fill="auto"/>
            <w:vAlign w:val="center"/>
          </w:tcPr>
          <w:p w14:paraId="090E1193" w14:textId="77777777" w:rsidR="00CE05DA" w:rsidRPr="00B916EC" w:rsidRDefault="00CE05DA" w:rsidP="008F5350">
            <w:pPr>
              <w:pStyle w:val="TAC"/>
            </w:pPr>
            <w:r w:rsidRPr="00B916EC">
              <w:t>14</w:t>
            </w:r>
          </w:p>
        </w:tc>
        <w:tc>
          <w:tcPr>
            <w:tcW w:w="8628" w:type="dxa"/>
            <w:gridSpan w:val="2"/>
            <w:tcBorders>
              <w:left w:val="double" w:sz="4" w:space="0" w:color="auto"/>
            </w:tcBorders>
            <w:vAlign w:val="center"/>
          </w:tcPr>
          <w:p w14:paraId="7BC4E062" w14:textId="77777777" w:rsidR="00CE05DA" w:rsidRPr="00B916EC" w:rsidRDefault="00CE05DA" w:rsidP="008F5350">
            <w:pPr>
              <w:pStyle w:val="TAC"/>
            </w:pPr>
            <w:r w:rsidRPr="00B916EC">
              <w:rPr>
                <w:rFonts w:cs="Arial"/>
                <w:kern w:val="24"/>
                <w:szCs w:val="18"/>
              </w:rPr>
              <w:t>Reserved</w:t>
            </w:r>
          </w:p>
        </w:tc>
      </w:tr>
      <w:tr w:rsidR="00CE05DA" w:rsidRPr="00B916EC" w14:paraId="2FB9D746" w14:textId="77777777" w:rsidTr="005661BA">
        <w:trPr>
          <w:cantSplit/>
        </w:trPr>
        <w:tc>
          <w:tcPr>
            <w:tcW w:w="805" w:type="dxa"/>
            <w:tcBorders>
              <w:right w:val="double" w:sz="4" w:space="0" w:color="auto"/>
            </w:tcBorders>
            <w:shd w:val="clear" w:color="auto" w:fill="auto"/>
            <w:vAlign w:val="center"/>
          </w:tcPr>
          <w:p w14:paraId="34FD5C9E" w14:textId="77777777" w:rsidR="00CE05DA" w:rsidRPr="00B916EC" w:rsidRDefault="00CE05DA" w:rsidP="008F5350">
            <w:pPr>
              <w:pStyle w:val="TAC"/>
            </w:pPr>
            <w:r w:rsidRPr="00B916EC">
              <w:rPr>
                <w:rFonts w:cs="Arial"/>
                <w:kern w:val="24"/>
                <w:szCs w:val="18"/>
              </w:rPr>
              <w:t>15</w:t>
            </w:r>
          </w:p>
        </w:tc>
        <w:tc>
          <w:tcPr>
            <w:tcW w:w="8628" w:type="dxa"/>
            <w:gridSpan w:val="2"/>
            <w:tcBorders>
              <w:left w:val="double" w:sz="4" w:space="0" w:color="auto"/>
            </w:tcBorders>
            <w:vAlign w:val="center"/>
          </w:tcPr>
          <w:p w14:paraId="76D6F675" w14:textId="77777777" w:rsidR="00CE05DA" w:rsidRPr="00B916EC" w:rsidRDefault="00CE05DA" w:rsidP="008F5350">
            <w:pPr>
              <w:pStyle w:val="TAC"/>
              <w:rPr>
                <w:rFonts w:cs="Arial"/>
                <w:kern w:val="24"/>
                <w:szCs w:val="18"/>
              </w:rPr>
            </w:pPr>
            <w:r w:rsidRPr="00B916EC">
              <w:rPr>
                <w:rFonts w:cs="Arial"/>
                <w:kern w:val="24"/>
                <w:szCs w:val="18"/>
              </w:rPr>
              <w:t>Reserved</w:t>
            </w:r>
          </w:p>
        </w:tc>
      </w:tr>
    </w:tbl>
    <w:p w14:paraId="07845A25" w14:textId="77777777" w:rsidR="00146079" w:rsidRPr="00B916EC" w:rsidRDefault="00146079" w:rsidP="00146079">
      <w:pPr>
        <w:rPr>
          <w:rStyle w:val="CommentReference"/>
        </w:rPr>
      </w:pPr>
    </w:p>
    <w:p w14:paraId="7B82FC61" w14:textId="77777777" w:rsidR="00637B3F" w:rsidRPr="00B916EC" w:rsidRDefault="00637B3F" w:rsidP="00B06B6C">
      <w:pPr>
        <w:pStyle w:val="TH"/>
      </w:pPr>
      <w:r w:rsidRPr="00B916EC">
        <w:lastRenderedPageBreak/>
        <w:t>Table 1</w:t>
      </w:r>
      <w:r w:rsidR="00EC0649">
        <w:t>3</w:t>
      </w:r>
      <w:r w:rsidRPr="00B916EC">
        <w:t>-</w:t>
      </w:r>
      <w:r w:rsidR="00282C81" w:rsidRPr="00B916EC">
        <w:t>1</w:t>
      </w:r>
      <w:r w:rsidR="00282C81">
        <w:t>4</w:t>
      </w:r>
      <w:r w:rsidRPr="00B916EC">
        <w:t xml:space="preserve">: PDCCH monitoring occasions for Type0-PDCCH </w:t>
      </w:r>
      <w:r w:rsidR="00CF02AF">
        <w:t>CSS set</w:t>
      </w:r>
      <w:r w:rsidRPr="00B916EC">
        <w:t xml:space="preserve"> - SS/PBCH block and </w:t>
      </w:r>
      <w:r w:rsidR="00C76664">
        <w:t>CORESET</w:t>
      </w:r>
      <w:r w:rsidRPr="00B916EC">
        <w:t xml:space="preserve"> multiplexing </w:t>
      </w:r>
      <w:r w:rsidR="00282C81">
        <w:t>pattern</w:t>
      </w:r>
      <w:r w:rsidR="00282C81" w:rsidRPr="00B916EC">
        <w:t xml:space="preserve"> </w:t>
      </w:r>
      <w:r w:rsidRPr="00B916EC">
        <w:t xml:space="preserve">2 and {SS/PBCH block, PDCCH} </w:t>
      </w:r>
      <w:r w:rsidR="00143099">
        <w:t>SCS</w:t>
      </w:r>
      <w:r w:rsidRPr="00B916EC">
        <w:t xml:space="preserve"> {240, 120} kHz </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6"/>
        <w:gridCol w:w="3002"/>
        <w:gridCol w:w="5625"/>
      </w:tblGrid>
      <w:tr w:rsidR="001E66D2" w:rsidRPr="00B916EC" w14:paraId="7FEC4957" w14:textId="77777777" w:rsidTr="005661BA">
        <w:trPr>
          <w:cantSplit/>
        </w:trPr>
        <w:tc>
          <w:tcPr>
            <w:tcW w:w="806" w:type="dxa"/>
            <w:tcBorders>
              <w:bottom w:val="double" w:sz="4" w:space="0" w:color="auto"/>
              <w:right w:val="double" w:sz="4" w:space="0" w:color="auto"/>
            </w:tcBorders>
            <w:shd w:val="clear" w:color="auto" w:fill="E0E0E0"/>
            <w:vAlign w:val="center"/>
          </w:tcPr>
          <w:p w14:paraId="6B190541" w14:textId="77777777" w:rsidR="00637B3F" w:rsidRPr="00B916EC" w:rsidRDefault="00637B3F" w:rsidP="008F5350">
            <w:pPr>
              <w:pStyle w:val="TAH"/>
              <w:rPr>
                <w:bCs/>
                <w:lang w:val="en-US"/>
              </w:rPr>
            </w:pPr>
            <w:r w:rsidRPr="00B916EC">
              <w:rPr>
                <w:bCs/>
                <w:lang w:val="en-US"/>
              </w:rPr>
              <w:t>Index</w:t>
            </w:r>
          </w:p>
        </w:tc>
        <w:tc>
          <w:tcPr>
            <w:tcW w:w="3002" w:type="dxa"/>
            <w:tcBorders>
              <w:left w:val="double" w:sz="4" w:space="0" w:color="auto"/>
              <w:bottom w:val="double" w:sz="4" w:space="0" w:color="auto"/>
            </w:tcBorders>
            <w:shd w:val="clear" w:color="auto" w:fill="E0E0E0"/>
            <w:vAlign w:val="center"/>
          </w:tcPr>
          <w:p w14:paraId="39EB7DBC" w14:textId="77777777" w:rsidR="00637B3F" w:rsidRPr="00B916EC" w:rsidRDefault="00637B3F" w:rsidP="008F5350">
            <w:pPr>
              <w:pStyle w:val="TAH"/>
              <w:rPr>
                <w:bCs/>
                <w:lang w:val="en-US"/>
              </w:rPr>
            </w:pPr>
            <w:r w:rsidRPr="00B916EC">
              <w:t>PDCCH monitoring occasions</w:t>
            </w:r>
            <w:r w:rsidRPr="00B916EC">
              <w:rPr>
                <w:rStyle w:val="CommentReference"/>
                <w:rFonts w:cs="Arial"/>
                <w:sz w:val="18"/>
                <w:szCs w:val="18"/>
              </w:rPr>
              <w:t xml:space="preserve"> (SFN and slot number)</w:t>
            </w:r>
          </w:p>
        </w:tc>
        <w:tc>
          <w:tcPr>
            <w:tcW w:w="5625" w:type="dxa"/>
            <w:tcBorders>
              <w:bottom w:val="double" w:sz="4" w:space="0" w:color="auto"/>
            </w:tcBorders>
            <w:shd w:val="clear" w:color="auto" w:fill="E0E0E0"/>
            <w:vAlign w:val="center"/>
          </w:tcPr>
          <w:p w14:paraId="1A435729" w14:textId="77777777" w:rsidR="00637B3F" w:rsidRPr="00B916EC" w:rsidRDefault="00637B3F" w:rsidP="008F5350">
            <w:pPr>
              <w:spacing w:after="0"/>
              <w:jc w:val="center"/>
              <w:textAlignment w:val="bottom"/>
              <w:rPr>
                <w:rStyle w:val="CommentReference"/>
                <w:rFonts w:ascii="Arial" w:hAnsi="Arial" w:cs="Arial"/>
                <w:b/>
                <w:sz w:val="18"/>
                <w:szCs w:val="18"/>
              </w:rPr>
            </w:pPr>
            <w:r w:rsidRPr="00B916EC">
              <w:rPr>
                <w:rStyle w:val="CommentReference"/>
                <w:rFonts w:ascii="Arial" w:hAnsi="Arial" w:cs="Arial"/>
                <w:b/>
                <w:sz w:val="18"/>
                <w:szCs w:val="18"/>
              </w:rPr>
              <w:t>First symbol index</w:t>
            </w:r>
          </w:p>
          <w:p w14:paraId="24738CC6" w14:textId="77777777" w:rsidR="00637B3F" w:rsidRPr="00B916EC" w:rsidRDefault="00637B3F" w:rsidP="00282C81">
            <w:pPr>
              <w:spacing w:after="0"/>
              <w:jc w:val="center"/>
              <w:textAlignment w:val="bottom"/>
              <w:rPr>
                <w:rFonts w:ascii="Arial" w:hAnsi="Arial" w:cs="Arial"/>
                <w:b/>
                <w:sz w:val="18"/>
                <w:szCs w:val="18"/>
              </w:rPr>
            </w:pPr>
            <w:r w:rsidRPr="00B916EC">
              <w:rPr>
                <w:rStyle w:val="CommentReference"/>
                <w:rFonts w:ascii="Arial" w:hAnsi="Arial" w:cs="Arial"/>
                <w:b/>
                <w:sz w:val="18"/>
                <w:szCs w:val="18"/>
              </w:rPr>
              <w:t>(</w:t>
            </w:r>
            <w:r w:rsidRPr="00B916EC">
              <w:rPr>
                <w:rStyle w:val="CommentReference"/>
                <w:rFonts w:ascii="Arial" w:hAnsi="Arial" w:cs="Arial"/>
                <w:b/>
                <w:i/>
                <w:sz w:val="18"/>
                <w:szCs w:val="18"/>
              </w:rPr>
              <w:t>k</w:t>
            </w:r>
            <w:r w:rsidRPr="00B916EC">
              <w:rPr>
                <w:rStyle w:val="CommentReference"/>
                <w:rFonts w:ascii="Arial" w:hAnsi="Arial" w:cs="Arial"/>
                <w:b/>
                <w:sz w:val="18"/>
                <w:szCs w:val="18"/>
              </w:rPr>
              <w:t xml:space="preserve"> = 0, 1, …</w:t>
            </w:r>
            <w:r w:rsidR="00282C81">
              <w:rPr>
                <w:rStyle w:val="CommentReference"/>
                <w:rFonts w:ascii="Arial" w:hAnsi="Arial" w:cs="Arial"/>
                <w:b/>
                <w:sz w:val="18"/>
                <w:szCs w:val="18"/>
              </w:rPr>
              <w:t>,</w:t>
            </w:r>
            <w:r w:rsidRPr="00B916EC">
              <w:rPr>
                <w:rStyle w:val="CommentReference"/>
                <w:rFonts w:ascii="Arial" w:hAnsi="Arial" w:cs="Arial"/>
                <w:b/>
                <w:sz w:val="18"/>
                <w:szCs w:val="18"/>
              </w:rPr>
              <w:t xml:space="preserve"> </w:t>
            </w:r>
            <w:r w:rsidR="00282C81">
              <w:rPr>
                <w:rStyle w:val="CommentReference"/>
                <w:rFonts w:ascii="Arial" w:hAnsi="Arial" w:cs="Arial"/>
                <w:b/>
                <w:sz w:val="18"/>
                <w:szCs w:val="18"/>
              </w:rPr>
              <w:t>7</w:t>
            </w:r>
            <w:r w:rsidRPr="00B916EC">
              <w:rPr>
                <w:rStyle w:val="CommentReference"/>
                <w:rFonts w:ascii="Arial" w:hAnsi="Arial" w:cs="Arial"/>
                <w:b/>
                <w:sz w:val="18"/>
                <w:szCs w:val="18"/>
              </w:rPr>
              <w:t>)</w:t>
            </w:r>
          </w:p>
        </w:tc>
      </w:tr>
      <w:tr w:rsidR="005661BA" w:rsidRPr="00B916EC" w14:paraId="4444F222" w14:textId="77777777" w:rsidTr="005661BA">
        <w:trPr>
          <w:cantSplit/>
          <w:trHeight w:val="594"/>
        </w:trPr>
        <w:tc>
          <w:tcPr>
            <w:tcW w:w="806" w:type="dxa"/>
            <w:tcBorders>
              <w:top w:val="double" w:sz="4" w:space="0" w:color="auto"/>
              <w:right w:val="double" w:sz="4" w:space="0" w:color="auto"/>
            </w:tcBorders>
            <w:shd w:val="clear" w:color="auto" w:fill="auto"/>
            <w:vAlign w:val="center"/>
          </w:tcPr>
          <w:p w14:paraId="26C67E66" w14:textId="25073418" w:rsidR="005661BA" w:rsidRPr="00B916EC" w:rsidRDefault="005661BA" w:rsidP="005661BA">
            <w:pPr>
              <w:pStyle w:val="TAC"/>
              <w:rPr>
                <w:lang w:val="en-US"/>
              </w:rPr>
            </w:pPr>
            <w:r w:rsidRPr="00B27E56">
              <w:rPr>
                <w:lang w:val="en-US"/>
              </w:rPr>
              <w:t>0</w:t>
            </w:r>
          </w:p>
        </w:tc>
        <w:tc>
          <w:tcPr>
            <w:tcW w:w="3002" w:type="dxa"/>
            <w:tcBorders>
              <w:top w:val="double" w:sz="4" w:space="0" w:color="auto"/>
              <w:left w:val="double" w:sz="4" w:space="0" w:color="auto"/>
            </w:tcBorders>
            <w:vAlign w:val="center"/>
          </w:tcPr>
          <w:p w14:paraId="0FF12AB0" w14:textId="15DFE1B8" w:rsidR="005661BA" w:rsidRPr="00B27E56" w:rsidRDefault="00000000" w:rsidP="005661BA">
            <w:pPr>
              <w:spacing w:after="0"/>
              <w:jc w:val="center"/>
              <w:textAlignment w:val="bottom"/>
            </w:pPr>
            <m:oMathPara>
              <m:oMath>
                <m:sSub>
                  <m:sSubPr>
                    <m:ctrlPr>
                      <w:rPr>
                        <w:rFonts w:ascii="Cambria Math" w:hAnsi="Cambria Math"/>
                        <w:iCs/>
                        <w:lang w:val="en-US"/>
                      </w:rPr>
                    </m:ctrlPr>
                  </m:sSubPr>
                  <m:e>
                    <m:r>
                      <m:rPr>
                        <m:sty m:val="p"/>
                      </m:rPr>
                      <w:rPr>
                        <w:rFonts w:ascii="Cambria Math" w:hAnsi="Cambria Math"/>
                        <w:lang w:val="en-US"/>
                      </w:rPr>
                      <m:t>SFN</m:t>
                    </m:r>
                  </m:e>
                  <m:sub>
                    <m:r>
                      <m:rPr>
                        <m:sty m:val="p"/>
                      </m:rPr>
                      <w:rPr>
                        <w:rFonts w:ascii="Cambria Math" w:hAnsi="Cambria Math"/>
                        <w:lang w:val="en-US"/>
                      </w:rPr>
                      <m:t>c</m:t>
                    </m:r>
                  </m:sub>
                </m:sSub>
                <m: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SFN</m:t>
                    </m:r>
                  </m:e>
                  <m:sub>
                    <m:r>
                      <m:rPr>
                        <m:sty m:val="p"/>
                      </m:rPr>
                      <w:rPr>
                        <w:rFonts w:ascii="Cambria Math" w:hAnsi="Cambria Math"/>
                        <w:lang w:val="en-US"/>
                      </w:rPr>
                      <m:t>SSB,</m:t>
                    </m:r>
                    <m:r>
                      <w:rPr>
                        <w:rFonts w:ascii="Cambria Math" w:hAnsi="Cambria Math"/>
                        <w:lang w:val="en-US"/>
                      </w:rPr>
                      <m:t>i</m:t>
                    </m:r>
                  </m:sub>
                </m:sSub>
              </m:oMath>
            </m:oMathPara>
          </w:p>
          <w:p w14:paraId="205DEA59" w14:textId="31A05B18" w:rsidR="005661BA" w:rsidRPr="00B916EC" w:rsidRDefault="00000000" w:rsidP="005661BA">
            <w:pPr>
              <w:spacing w:after="0"/>
              <w:jc w:val="center"/>
              <w:textAlignment w:val="bottom"/>
              <w:rPr>
                <w:rFonts w:ascii="Arial" w:hAnsi="Arial" w:cs="Arial"/>
                <w:sz w:val="18"/>
                <w:szCs w:val="18"/>
              </w:rPr>
            </w:pPr>
            <m:oMath>
              <m:sSub>
                <m:sSubPr>
                  <m:ctrlPr>
                    <w:rPr>
                      <w:rFonts w:ascii="Cambria Math" w:hAnsi="Cambria Math"/>
                      <w:iCs/>
                      <w:lang w:val="en-US"/>
                    </w:rPr>
                  </m:ctrlPr>
                </m:sSubPr>
                <m:e>
                  <m:r>
                    <w:rPr>
                      <w:rFonts w:ascii="Cambria Math" w:hAnsi="Cambria Math"/>
                      <w:lang w:val="en-US"/>
                    </w:rPr>
                    <m:t>n</m:t>
                  </m:r>
                </m:e>
                <m:sub>
                  <m:r>
                    <m:rPr>
                      <m:sty m:val="p"/>
                    </m:rPr>
                    <w:rPr>
                      <w:rFonts w:ascii="Cambria Math" w:hAnsi="Cambria Math"/>
                      <w:lang w:val="en-US"/>
                    </w:rPr>
                    <m:t>c</m:t>
                  </m:r>
                </m:sub>
              </m:sSub>
              <m:r>
                <w:rPr>
                  <w:rFonts w:ascii="Cambria Math" w:hAnsi="Cambria Math"/>
                  <w:lang w:val="en-US"/>
                </w:rPr>
                <m:t>=</m:t>
              </m:r>
              <m:sSub>
                <m:sSubPr>
                  <m:ctrlPr>
                    <w:rPr>
                      <w:rFonts w:ascii="Cambria Math" w:hAnsi="Cambria Math"/>
                      <w:iCs/>
                      <w:lang w:val="en-US"/>
                    </w:rPr>
                  </m:ctrlPr>
                </m:sSubPr>
                <m:e>
                  <m:r>
                    <w:rPr>
                      <w:rFonts w:ascii="Cambria Math" w:hAnsi="Cambria Math"/>
                      <w:lang w:val="en-US"/>
                    </w:rPr>
                    <m:t>n</m:t>
                  </m:r>
                </m:e>
                <m:sub>
                  <m:r>
                    <m:rPr>
                      <m:sty m:val="p"/>
                    </m:rPr>
                    <w:rPr>
                      <w:rFonts w:ascii="Cambria Math" w:hAnsi="Cambria Math"/>
                      <w:lang w:val="en-US"/>
                    </w:rPr>
                    <m:t>SSB,</m:t>
                  </m:r>
                  <m:r>
                    <w:rPr>
                      <w:rFonts w:ascii="Cambria Math" w:hAnsi="Cambria Math"/>
                      <w:lang w:val="en-US"/>
                    </w:rPr>
                    <m:t>i</m:t>
                  </m:r>
                </m:sub>
              </m:sSub>
            </m:oMath>
            <w:r w:rsidR="005661BA" w:rsidRPr="00B27E56">
              <w:t xml:space="preserve"> or </w:t>
            </w:r>
            <m:oMath>
              <m:sSub>
                <m:sSubPr>
                  <m:ctrlPr>
                    <w:rPr>
                      <w:rFonts w:ascii="Cambria Math" w:hAnsi="Cambria Math"/>
                      <w:iCs/>
                      <w:lang w:val="en-US"/>
                    </w:rPr>
                  </m:ctrlPr>
                </m:sSubPr>
                <m:e>
                  <m:r>
                    <w:rPr>
                      <w:rFonts w:ascii="Cambria Math" w:hAnsi="Cambria Math"/>
                      <w:lang w:val="en-US"/>
                    </w:rPr>
                    <m:t>n</m:t>
                  </m:r>
                </m:e>
                <m:sub>
                  <m:r>
                    <m:rPr>
                      <m:sty m:val="p"/>
                    </m:rPr>
                    <w:rPr>
                      <w:rFonts w:ascii="Cambria Math" w:hAnsi="Cambria Math"/>
                      <w:lang w:val="en-US"/>
                    </w:rPr>
                    <m:t>c</m:t>
                  </m:r>
                </m:sub>
              </m:sSub>
              <m:r>
                <w:rPr>
                  <w:rFonts w:ascii="Cambria Math" w:hAnsi="Cambria Math"/>
                  <w:lang w:val="en-US"/>
                </w:rPr>
                <m:t>=</m:t>
              </m:r>
              <m:sSub>
                <m:sSubPr>
                  <m:ctrlPr>
                    <w:rPr>
                      <w:rFonts w:ascii="Cambria Math" w:hAnsi="Cambria Math"/>
                      <w:iCs/>
                      <w:lang w:val="en-US"/>
                    </w:rPr>
                  </m:ctrlPr>
                </m:sSubPr>
                <m:e>
                  <m:r>
                    <w:rPr>
                      <w:rFonts w:ascii="Cambria Math" w:hAnsi="Cambria Math"/>
                      <w:lang w:val="en-US"/>
                    </w:rPr>
                    <m:t>n</m:t>
                  </m:r>
                </m:e>
                <m:sub>
                  <m:r>
                    <m:rPr>
                      <m:sty m:val="p"/>
                    </m:rPr>
                    <w:rPr>
                      <w:rFonts w:ascii="Cambria Math" w:hAnsi="Cambria Math"/>
                      <w:lang w:val="en-US"/>
                    </w:rPr>
                    <m:t>SSB,</m:t>
                  </m:r>
                  <m:r>
                    <w:rPr>
                      <w:rFonts w:ascii="Cambria Math" w:hAnsi="Cambria Math"/>
                      <w:lang w:val="en-US"/>
                    </w:rPr>
                    <m:t>i</m:t>
                  </m:r>
                </m:sub>
              </m:sSub>
              <m:r>
                <w:rPr>
                  <w:rFonts w:ascii="Cambria Math" w:hAnsi="Cambria Math"/>
                  <w:lang w:val="en-US"/>
                </w:rPr>
                <m:t>-1</m:t>
              </m:r>
            </m:oMath>
          </w:p>
        </w:tc>
        <w:tc>
          <w:tcPr>
            <w:tcW w:w="5625" w:type="dxa"/>
            <w:tcBorders>
              <w:top w:val="double" w:sz="4" w:space="0" w:color="auto"/>
            </w:tcBorders>
            <w:vAlign w:val="center"/>
          </w:tcPr>
          <w:p w14:paraId="716C6AF1" w14:textId="5BE21DCE" w:rsidR="005661BA" w:rsidRPr="00B27E56" w:rsidRDefault="005661BA" w:rsidP="005661BA">
            <w:pPr>
              <w:spacing w:after="120"/>
              <w:jc w:val="center"/>
              <w:textAlignment w:val="bottom"/>
            </w:pPr>
            <w:r w:rsidRPr="00B27E56">
              <w:rPr>
                <w:rStyle w:val="CommentReference"/>
                <w:rFonts w:ascii="Arial" w:hAnsi="Arial" w:cs="Arial"/>
                <w:sz w:val="18"/>
                <w:szCs w:val="18"/>
              </w:rPr>
              <w:t>0, 1, 2, 3, 0, 1 in</w:t>
            </w:r>
            <w:r w:rsidRPr="00B27E56">
              <w:rPr>
                <w:rFonts w:ascii="Arial" w:hAnsi="Arial" w:cs="Arial"/>
                <w:sz w:val="18"/>
                <w:szCs w:val="18"/>
              </w:rPr>
              <w:t xml:space="preserve"> </w:t>
            </w:r>
            <m:oMath>
              <m:r>
                <w:rPr>
                  <w:rFonts w:ascii="Cambria Math" w:hAnsi="Cambria Math"/>
                </w:rPr>
                <m:t>i=8k</m:t>
              </m:r>
            </m:oMath>
            <w:r w:rsidRPr="00B27E56">
              <w:rPr>
                <w:rStyle w:val="CommentReference"/>
                <w:rFonts w:ascii="Arial" w:hAnsi="Arial" w:cs="Arial"/>
                <w:sz w:val="18"/>
                <w:szCs w:val="18"/>
              </w:rPr>
              <w:t xml:space="preserve">, </w:t>
            </w:r>
            <m:oMath>
              <m:r>
                <w:rPr>
                  <w:rFonts w:ascii="Cambria Math" w:hAnsi="Cambria Math"/>
                </w:rPr>
                <m:t>i=8k+1</m:t>
              </m:r>
            </m:oMath>
            <w:r w:rsidRPr="00B27E56">
              <w:rPr>
                <w:rStyle w:val="CommentReference"/>
                <w:rFonts w:ascii="Arial" w:hAnsi="Arial" w:cs="Arial"/>
                <w:sz w:val="18"/>
                <w:szCs w:val="18"/>
              </w:rPr>
              <w:t xml:space="preserve">, </w:t>
            </w:r>
            <m:oMath>
              <m:r>
                <w:rPr>
                  <w:rFonts w:ascii="Cambria Math" w:hAnsi="Cambria Math"/>
                </w:rPr>
                <m:t>i=8k+2</m:t>
              </m:r>
            </m:oMath>
            <w:r w:rsidRPr="00B27E56">
              <w:rPr>
                <w:rFonts w:ascii="Arial" w:hAnsi="Arial" w:cs="Arial"/>
                <w:sz w:val="18"/>
                <w:szCs w:val="18"/>
              </w:rPr>
              <w:t xml:space="preserve">, </w:t>
            </w:r>
            <m:oMath>
              <m:r>
                <w:rPr>
                  <w:rFonts w:ascii="Cambria Math" w:hAnsi="Cambria Math"/>
                </w:rPr>
                <m:t>i=8k+3</m:t>
              </m:r>
            </m:oMath>
            <w:r w:rsidRPr="00B27E56">
              <w:rPr>
                <w:rFonts w:ascii="Arial" w:hAnsi="Arial" w:cs="Arial"/>
                <w:sz w:val="18"/>
                <w:szCs w:val="18"/>
              </w:rPr>
              <w:t xml:space="preserve">, </w:t>
            </w:r>
            <m:oMath>
              <m:r>
                <w:rPr>
                  <w:rFonts w:ascii="Cambria Math" w:hAnsi="Cambria Math"/>
                </w:rPr>
                <m:t>i=8k+6</m:t>
              </m:r>
            </m:oMath>
            <w:r w:rsidRPr="00B27E56">
              <w:rPr>
                <w:rFonts w:ascii="Arial" w:hAnsi="Arial" w:cs="Arial"/>
                <w:sz w:val="18"/>
                <w:szCs w:val="18"/>
              </w:rPr>
              <w:t xml:space="preserve">, </w:t>
            </w:r>
            <m:oMath>
              <m:r>
                <w:rPr>
                  <w:rFonts w:ascii="Cambria Math" w:hAnsi="Cambria Math"/>
                </w:rPr>
                <m:t>i=8k+7</m:t>
              </m:r>
            </m:oMath>
            <w:r w:rsidRPr="00B27E56">
              <w:rPr>
                <w:rFonts w:ascii="Arial" w:hAnsi="Arial" w:cs="Arial"/>
                <w:sz w:val="18"/>
                <w:szCs w:val="18"/>
              </w:rPr>
              <w:t xml:space="preserve"> (</w:t>
            </w:r>
            <m:oMath>
              <m:sSub>
                <m:sSubPr>
                  <m:ctrlPr>
                    <w:rPr>
                      <w:rFonts w:ascii="Cambria Math" w:hAnsi="Cambria Math"/>
                      <w:iCs/>
                      <w:lang w:val="en-US"/>
                    </w:rPr>
                  </m:ctrlPr>
                </m:sSubPr>
                <m:e>
                  <m:r>
                    <w:rPr>
                      <w:rFonts w:ascii="Cambria Math" w:hAnsi="Cambria Math"/>
                      <w:lang w:val="en-US"/>
                    </w:rPr>
                    <m:t>n</m:t>
                  </m:r>
                </m:e>
                <m:sub>
                  <m:r>
                    <m:rPr>
                      <m:sty m:val="p"/>
                    </m:rPr>
                    <w:rPr>
                      <w:rFonts w:ascii="Cambria Math" w:hAnsi="Cambria Math"/>
                      <w:lang w:val="en-US"/>
                    </w:rPr>
                    <m:t>c</m:t>
                  </m:r>
                </m:sub>
              </m:sSub>
              <m:r>
                <w:rPr>
                  <w:rFonts w:ascii="Cambria Math" w:hAnsi="Cambria Math"/>
                  <w:lang w:val="en-US"/>
                </w:rPr>
                <m:t>=</m:t>
              </m:r>
              <m:sSub>
                <m:sSubPr>
                  <m:ctrlPr>
                    <w:rPr>
                      <w:rFonts w:ascii="Cambria Math" w:hAnsi="Cambria Math"/>
                      <w:iCs/>
                      <w:lang w:val="en-US"/>
                    </w:rPr>
                  </m:ctrlPr>
                </m:sSubPr>
                <m:e>
                  <m:r>
                    <w:rPr>
                      <w:rFonts w:ascii="Cambria Math" w:hAnsi="Cambria Math"/>
                      <w:lang w:val="en-US"/>
                    </w:rPr>
                    <m:t>n</m:t>
                  </m:r>
                </m:e>
                <m:sub>
                  <m:r>
                    <m:rPr>
                      <m:sty m:val="p"/>
                    </m:rPr>
                    <w:rPr>
                      <w:rFonts w:ascii="Cambria Math" w:hAnsi="Cambria Math"/>
                      <w:lang w:val="en-US"/>
                    </w:rPr>
                    <m:t>SSB,</m:t>
                  </m:r>
                  <m:r>
                    <w:rPr>
                      <w:rFonts w:ascii="Cambria Math" w:hAnsi="Cambria Math"/>
                      <w:lang w:val="en-US"/>
                    </w:rPr>
                    <m:t>i</m:t>
                  </m:r>
                </m:sub>
              </m:sSub>
            </m:oMath>
            <w:r w:rsidRPr="00B27E56">
              <w:rPr>
                <w:rFonts w:ascii="Arial" w:hAnsi="Arial" w:cs="Arial"/>
                <w:sz w:val="18"/>
                <w:szCs w:val="18"/>
              </w:rPr>
              <w:t>)</w:t>
            </w:r>
          </w:p>
          <w:p w14:paraId="29ABF0E3" w14:textId="7B2D1911" w:rsidR="005661BA" w:rsidRPr="00B916EC" w:rsidRDefault="005661BA" w:rsidP="005661BA">
            <w:pPr>
              <w:spacing w:after="120"/>
              <w:jc w:val="center"/>
              <w:textAlignment w:val="bottom"/>
            </w:pPr>
            <w:r w:rsidRPr="00B27E56">
              <w:rPr>
                <w:rStyle w:val="CommentReference"/>
                <w:rFonts w:ascii="Arial" w:hAnsi="Arial" w:cs="Arial"/>
                <w:sz w:val="18"/>
                <w:szCs w:val="18"/>
              </w:rPr>
              <w:t xml:space="preserve">12, 13 in </w:t>
            </w:r>
            <m:oMath>
              <m:r>
                <w:rPr>
                  <w:rFonts w:ascii="Cambria Math" w:hAnsi="Cambria Math"/>
                </w:rPr>
                <m:t>i=8k+4</m:t>
              </m:r>
            </m:oMath>
            <w:r w:rsidRPr="00B27E56">
              <w:rPr>
                <w:rStyle w:val="CommentReference"/>
                <w:rFonts w:ascii="Arial" w:hAnsi="Arial" w:cs="Arial"/>
                <w:sz w:val="18"/>
                <w:szCs w:val="18"/>
              </w:rPr>
              <w:t xml:space="preserve">, </w:t>
            </w:r>
            <m:oMath>
              <m:r>
                <w:rPr>
                  <w:rFonts w:ascii="Cambria Math" w:hAnsi="Cambria Math"/>
                </w:rPr>
                <m:t>i=8k+5</m:t>
              </m:r>
            </m:oMath>
            <w:r w:rsidRPr="00B27E56">
              <w:t xml:space="preserve"> (</w:t>
            </w:r>
            <m:oMath>
              <m:sSub>
                <m:sSubPr>
                  <m:ctrlPr>
                    <w:rPr>
                      <w:rFonts w:ascii="Cambria Math" w:hAnsi="Cambria Math"/>
                      <w:iCs/>
                      <w:lang w:val="en-US"/>
                    </w:rPr>
                  </m:ctrlPr>
                </m:sSubPr>
                <m:e>
                  <m:r>
                    <w:rPr>
                      <w:rFonts w:ascii="Cambria Math" w:hAnsi="Cambria Math"/>
                      <w:lang w:val="en-US"/>
                    </w:rPr>
                    <m:t>n</m:t>
                  </m:r>
                </m:e>
                <m:sub>
                  <m:r>
                    <m:rPr>
                      <m:sty m:val="p"/>
                    </m:rPr>
                    <w:rPr>
                      <w:rFonts w:ascii="Cambria Math" w:hAnsi="Cambria Math"/>
                      <w:lang w:val="en-US"/>
                    </w:rPr>
                    <m:t>c</m:t>
                  </m:r>
                </m:sub>
              </m:sSub>
              <m:r>
                <w:rPr>
                  <w:rFonts w:ascii="Cambria Math" w:hAnsi="Cambria Math"/>
                  <w:lang w:val="en-US"/>
                </w:rPr>
                <m:t>=</m:t>
              </m:r>
              <m:sSub>
                <m:sSubPr>
                  <m:ctrlPr>
                    <w:rPr>
                      <w:rFonts w:ascii="Cambria Math" w:hAnsi="Cambria Math"/>
                      <w:iCs/>
                      <w:lang w:val="en-US"/>
                    </w:rPr>
                  </m:ctrlPr>
                </m:sSubPr>
                <m:e>
                  <m:r>
                    <w:rPr>
                      <w:rFonts w:ascii="Cambria Math" w:hAnsi="Cambria Math"/>
                      <w:lang w:val="en-US"/>
                    </w:rPr>
                    <m:t>n</m:t>
                  </m:r>
                </m:e>
                <m:sub>
                  <m:r>
                    <m:rPr>
                      <m:sty m:val="p"/>
                    </m:rPr>
                    <w:rPr>
                      <w:rFonts w:ascii="Cambria Math" w:hAnsi="Cambria Math"/>
                      <w:lang w:val="en-US"/>
                    </w:rPr>
                    <m:t>SSB,</m:t>
                  </m:r>
                  <m:r>
                    <w:rPr>
                      <w:rFonts w:ascii="Cambria Math" w:hAnsi="Cambria Math"/>
                      <w:lang w:val="en-US"/>
                    </w:rPr>
                    <m:t>i</m:t>
                  </m:r>
                </m:sub>
              </m:sSub>
              <m:r>
                <w:rPr>
                  <w:rFonts w:ascii="Cambria Math" w:hAnsi="Cambria Math"/>
                  <w:lang w:val="en-US"/>
                </w:rPr>
                <m:t>-1</m:t>
              </m:r>
            </m:oMath>
            <w:r w:rsidRPr="00B27E56">
              <w:t>)</w:t>
            </w:r>
          </w:p>
        </w:tc>
      </w:tr>
      <w:tr w:rsidR="00637B3F" w:rsidRPr="00B916EC" w14:paraId="38E7A6E2" w14:textId="77777777" w:rsidTr="005661BA">
        <w:trPr>
          <w:cantSplit/>
        </w:trPr>
        <w:tc>
          <w:tcPr>
            <w:tcW w:w="806" w:type="dxa"/>
            <w:tcBorders>
              <w:right w:val="double" w:sz="4" w:space="0" w:color="auto"/>
            </w:tcBorders>
            <w:shd w:val="clear" w:color="auto" w:fill="auto"/>
            <w:vAlign w:val="center"/>
          </w:tcPr>
          <w:p w14:paraId="2409C8A3" w14:textId="77777777" w:rsidR="00637B3F" w:rsidRPr="00B916EC" w:rsidRDefault="00637B3F" w:rsidP="008F5350">
            <w:pPr>
              <w:pStyle w:val="TAC"/>
              <w:rPr>
                <w:lang w:val="en-US"/>
              </w:rPr>
            </w:pPr>
            <w:r w:rsidRPr="00B916EC">
              <w:rPr>
                <w:lang w:val="en-US"/>
              </w:rPr>
              <w:t>1</w:t>
            </w:r>
          </w:p>
        </w:tc>
        <w:tc>
          <w:tcPr>
            <w:tcW w:w="8627" w:type="dxa"/>
            <w:gridSpan w:val="2"/>
            <w:tcBorders>
              <w:left w:val="double" w:sz="4" w:space="0" w:color="auto"/>
            </w:tcBorders>
            <w:vAlign w:val="center"/>
          </w:tcPr>
          <w:p w14:paraId="2662D73B" w14:textId="77777777" w:rsidR="00637B3F" w:rsidRPr="00B916EC" w:rsidRDefault="00637B3F" w:rsidP="008F5350">
            <w:pPr>
              <w:pStyle w:val="TAC"/>
            </w:pPr>
            <w:r w:rsidRPr="00B916EC">
              <w:rPr>
                <w:rFonts w:cs="Arial"/>
                <w:kern w:val="24"/>
                <w:szCs w:val="18"/>
              </w:rPr>
              <w:t>Reserved</w:t>
            </w:r>
          </w:p>
        </w:tc>
      </w:tr>
      <w:tr w:rsidR="00637B3F" w:rsidRPr="00B916EC" w14:paraId="423C93C9" w14:textId="77777777" w:rsidTr="005661BA">
        <w:trPr>
          <w:cantSplit/>
        </w:trPr>
        <w:tc>
          <w:tcPr>
            <w:tcW w:w="806" w:type="dxa"/>
            <w:tcBorders>
              <w:right w:val="double" w:sz="4" w:space="0" w:color="auto"/>
            </w:tcBorders>
            <w:shd w:val="clear" w:color="auto" w:fill="auto"/>
            <w:vAlign w:val="center"/>
          </w:tcPr>
          <w:p w14:paraId="29FA0BA3" w14:textId="77777777" w:rsidR="00637B3F" w:rsidRPr="00B916EC" w:rsidRDefault="00637B3F" w:rsidP="008F5350">
            <w:pPr>
              <w:pStyle w:val="TAC"/>
            </w:pPr>
            <w:r w:rsidRPr="00B916EC">
              <w:t>2</w:t>
            </w:r>
          </w:p>
        </w:tc>
        <w:tc>
          <w:tcPr>
            <w:tcW w:w="8627" w:type="dxa"/>
            <w:gridSpan w:val="2"/>
            <w:tcBorders>
              <w:left w:val="double" w:sz="4" w:space="0" w:color="auto"/>
            </w:tcBorders>
            <w:vAlign w:val="center"/>
          </w:tcPr>
          <w:p w14:paraId="789D3664" w14:textId="77777777" w:rsidR="00637B3F" w:rsidRPr="00B916EC" w:rsidRDefault="00637B3F" w:rsidP="008F5350">
            <w:pPr>
              <w:pStyle w:val="TAC"/>
              <w:rPr>
                <w:rFonts w:cs="Arial"/>
                <w:kern w:val="24"/>
                <w:szCs w:val="18"/>
              </w:rPr>
            </w:pPr>
            <w:r w:rsidRPr="00B916EC">
              <w:rPr>
                <w:rFonts w:cs="Arial"/>
                <w:kern w:val="24"/>
                <w:szCs w:val="18"/>
              </w:rPr>
              <w:t>Reserved</w:t>
            </w:r>
          </w:p>
        </w:tc>
      </w:tr>
      <w:tr w:rsidR="00637B3F" w:rsidRPr="00B916EC" w14:paraId="7DA0B7E5" w14:textId="77777777" w:rsidTr="005661BA">
        <w:trPr>
          <w:cantSplit/>
        </w:trPr>
        <w:tc>
          <w:tcPr>
            <w:tcW w:w="806" w:type="dxa"/>
            <w:tcBorders>
              <w:right w:val="double" w:sz="4" w:space="0" w:color="auto"/>
            </w:tcBorders>
            <w:shd w:val="clear" w:color="auto" w:fill="auto"/>
            <w:vAlign w:val="center"/>
          </w:tcPr>
          <w:p w14:paraId="28FE70CB" w14:textId="77777777" w:rsidR="00637B3F" w:rsidRPr="00B916EC" w:rsidRDefault="00637B3F" w:rsidP="008F5350">
            <w:pPr>
              <w:pStyle w:val="TAC"/>
            </w:pPr>
            <w:r w:rsidRPr="00B916EC">
              <w:t>3</w:t>
            </w:r>
          </w:p>
        </w:tc>
        <w:tc>
          <w:tcPr>
            <w:tcW w:w="8627" w:type="dxa"/>
            <w:gridSpan w:val="2"/>
            <w:tcBorders>
              <w:left w:val="double" w:sz="4" w:space="0" w:color="auto"/>
            </w:tcBorders>
            <w:vAlign w:val="center"/>
          </w:tcPr>
          <w:p w14:paraId="4439EF5E" w14:textId="77777777" w:rsidR="00637B3F" w:rsidRPr="00B916EC" w:rsidRDefault="00637B3F" w:rsidP="008F5350">
            <w:pPr>
              <w:pStyle w:val="TAC"/>
            </w:pPr>
            <w:r w:rsidRPr="00B916EC">
              <w:rPr>
                <w:rFonts w:cs="Arial"/>
                <w:kern w:val="24"/>
                <w:szCs w:val="18"/>
              </w:rPr>
              <w:t>Reserved</w:t>
            </w:r>
          </w:p>
        </w:tc>
      </w:tr>
      <w:tr w:rsidR="00637B3F" w:rsidRPr="00B916EC" w14:paraId="0D151447" w14:textId="77777777" w:rsidTr="005661BA">
        <w:trPr>
          <w:cantSplit/>
        </w:trPr>
        <w:tc>
          <w:tcPr>
            <w:tcW w:w="806" w:type="dxa"/>
            <w:tcBorders>
              <w:right w:val="double" w:sz="4" w:space="0" w:color="auto"/>
            </w:tcBorders>
            <w:shd w:val="clear" w:color="auto" w:fill="auto"/>
            <w:vAlign w:val="center"/>
          </w:tcPr>
          <w:p w14:paraId="19BBC8BA" w14:textId="77777777" w:rsidR="00637B3F" w:rsidRPr="00B916EC" w:rsidRDefault="00637B3F" w:rsidP="008F5350">
            <w:pPr>
              <w:pStyle w:val="TAC"/>
            </w:pPr>
            <w:r w:rsidRPr="00B916EC">
              <w:t>4</w:t>
            </w:r>
          </w:p>
        </w:tc>
        <w:tc>
          <w:tcPr>
            <w:tcW w:w="8627" w:type="dxa"/>
            <w:gridSpan w:val="2"/>
            <w:tcBorders>
              <w:left w:val="double" w:sz="4" w:space="0" w:color="auto"/>
            </w:tcBorders>
            <w:vAlign w:val="center"/>
          </w:tcPr>
          <w:p w14:paraId="541036D9" w14:textId="77777777" w:rsidR="00637B3F" w:rsidRPr="00B916EC" w:rsidRDefault="00637B3F" w:rsidP="008F5350">
            <w:pPr>
              <w:pStyle w:val="TAC"/>
              <w:rPr>
                <w:rFonts w:cs="Arial"/>
                <w:kern w:val="24"/>
                <w:szCs w:val="18"/>
              </w:rPr>
            </w:pPr>
            <w:r w:rsidRPr="00B916EC">
              <w:rPr>
                <w:rFonts w:cs="Arial"/>
                <w:kern w:val="24"/>
                <w:szCs w:val="18"/>
              </w:rPr>
              <w:t>Reserved</w:t>
            </w:r>
          </w:p>
        </w:tc>
      </w:tr>
      <w:tr w:rsidR="00637B3F" w:rsidRPr="00B916EC" w14:paraId="5DA73AD4" w14:textId="77777777" w:rsidTr="005661BA">
        <w:trPr>
          <w:cantSplit/>
        </w:trPr>
        <w:tc>
          <w:tcPr>
            <w:tcW w:w="806" w:type="dxa"/>
            <w:tcBorders>
              <w:right w:val="double" w:sz="4" w:space="0" w:color="auto"/>
            </w:tcBorders>
            <w:shd w:val="clear" w:color="auto" w:fill="auto"/>
            <w:vAlign w:val="center"/>
          </w:tcPr>
          <w:p w14:paraId="7CB79B6A" w14:textId="77777777" w:rsidR="00637B3F" w:rsidRPr="00B916EC" w:rsidRDefault="00637B3F" w:rsidP="008F5350">
            <w:pPr>
              <w:pStyle w:val="TAC"/>
            </w:pPr>
            <w:r w:rsidRPr="00B916EC">
              <w:t>5</w:t>
            </w:r>
          </w:p>
        </w:tc>
        <w:tc>
          <w:tcPr>
            <w:tcW w:w="8627" w:type="dxa"/>
            <w:gridSpan w:val="2"/>
            <w:tcBorders>
              <w:left w:val="double" w:sz="4" w:space="0" w:color="auto"/>
            </w:tcBorders>
            <w:vAlign w:val="center"/>
          </w:tcPr>
          <w:p w14:paraId="2AD2377B" w14:textId="77777777" w:rsidR="00637B3F" w:rsidRPr="00B916EC" w:rsidRDefault="00637B3F" w:rsidP="008F5350">
            <w:pPr>
              <w:pStyle w:val="TAC"/>
            </w:pPr>
            <w:r w:rsidRPr="00B916EC">
              <w:rPr>
                <w:rFonts w:cs="Arial"/>
                <w:kern w:val="24"/>
                <w:szCs w:val="18"/>
              </w:rPr>
              <w:t>Reserved</w:t>
            </w:r>
          </w:p>
        </w:tc>
      </w:tr>
      <w:tr w:rsidR="00637B3F" w:rsidRPr="00B916EC" w14:paraId="480FE5C5" w14:textId="77777777" w:rsidTr="005661BA">
        <w:trPr>
          <w:cantSplit/>
        </w:trPr>
        <w:tc>
          <w:tcPr>
            <w:tcW w:w="806" w:type="dxa"/>
            <w:tcBorders>
              <w:right w:val="double" w:sz="4" w:space="0" w:color="auto"/>
            </w:tcBorders>
            <w:shd w:val="clear" w:color="auto" w:fill="auto"/>
            <w:vAlign w:val="center"/>
          </w:tcPr>
          <w:p w14:paraId="7388CC5A" w14:textId="77777777" w:rsidR="00637B3F" w:rsidRPr="00B916EC" w:rsidRDefault="00637B3F" w:rsidP="008F5350">
            <w:pPr>
              <w:pStyle w:val="TAC"/>
            </w:pPr>
            <w:r w:rsidRPr="00B916EC">
              <w:t>6</w:t>
            </w:r>
          </w:p>
        </w:tc>
        <w:tc>
          <w:tcPr>
            <w:tcW w:w="8627" w:type="dxa"/>
            <w:gridSpan w:val="2"/>
            <w:tcBorders>
              <w:left w:val="double" w:sz="4" w:space="0" w:color="auto"/>
            </w:tcBorders>
            <w:vAlign w:val="center"/>
          </w:tcPr>
          <w:p w14:paraId="621483C4" w14:textId="77777777" w:rsidR="00637B3F" w:rsidRPr="00B916EC" w:rsidRDefault="00637B3F" w:rsidP="008F5350">
            <w:pPr>
              <w:pStyle w:val="TAC"/>
              <w:rPr>
                <w:rFonts w:cs="Arial"/>
                <w:kern w:val="24"/>
                <w:szCs w:val="18"/>
              </w:rPr>
            </w:pPr>
            <w:r w:rsidRPr="00B916EC">
              <w:rPr>
                <w:rFonts w:cs="Arial"/>
                <w:kern w:val="24"/>
                <w:szCs w:val="18"/>
              </w:rPr>
              <w:t>Reserved</w:t>
            </w:r>
          </w:p>
        </w:tc>
      </w:tr>
      <w:tr w:rsidR="00637B3F" w:rsidRPr="00B916EC" w14:paraId="5288BE9E" w14:textId="77777777" w:rsidTr="005661BA">
        <w:trPr>
          <w:cantSplit/>
        </w:trPr>
        <w:tc>
          <w:tcPr>
            <w:tcW w:w="806" w:type="dxa"/>
            <w:tcBorders>
              <w:right w:val="double" w:sz="4" w:space="0" w:color="auto"/>
            </w:tcBorders>
            <w:shd w:val="clear" w:color="auto" w:fill="auto"/>
            <w:vAlign w:val="center"/>
          </w:tcPr>
          <w:p w14:paraId="24EEA22A" w14:textId="77777777" w:rsidR="00637B3F" w:rsidRPr="00B916EC" w:rsidRDefault="00637B3F" w:rsidP="008F5350">
            <w:pPr>
              <w:pStyle w:val="TAC"/>
            </w:pPr>
            <w:r w:rsidRPr="00B916EC">
              <w:t>7</w:t>
            </w:r>
          </w:p>
        </w:tc>
        <w:tc>
          <w:tcPr>
            <w:tcW w:w="8627" w:type="dxa"/>
            <w:gridSpan w:val="2"/>
            <w:tcBorders>
              <w:left w:val="double" w:sz="4" w:space="0" w:color="auto"/>
            </w:tcBorders>
            <w:vAlign w:val="center"/>
          </w:tcPr>
          <w:p w14:paraId="71CFF8CD" w14:textId="77777777" w:rsidR="00637B3F" w:rsidRPr="00B916EC" w:rsidRDefault="00637B3F" w:rsidP="008F5350">
            <w:pPr>
              <w:pStyle w:val="TAC"/>
            </w:pPr>
            <w:r w:rsidRPr="00B916EC">
              <w:rPr>
                <w:rFonts w:cs="Arial"/>
                <w:kern w:val="24"/>
                <w:szCs w:val="18"/>
              </w:rPr>
              <w:t>Reserved</w:t>
            </w:r>
          </w:p>
        </w:tc>
      </w:tr>
      <w:tr w:rsidR="00637B3F" w:rsidRPr="00B916EC" w14:paraId="322CC9E5" w14:textId="77777777" w:rsidTr="005661BA">
        <w:trPr>
          <w:cantSplit/>
        </w:trPr>
        <w:tc>
          <w:tcPr>
            <w:tcW w:w="806" w:type="dxa"/>
            <w:tcBorders>
              <w:right w:val="double" w:sz="4" w:space="0" w:color="auto"/>
            </w:tcBorders>
            <w:shd w:val="clear" w:color="auto" w:fill="auto"/>
            <w:vAlign w:val="center"/>
          </w:tcPr>
          <w:p w14:paraId="63058DD6" w14:textId="77777777" w:rsidR="00637B3F" w:rsidRPr="00B916EC" w:rsidRDefault="00637B3F" w:rsidP="008F5350">
            <w:pPr>
              <w:pStyle w:val="TAC"/>
            </w:pPr>
            <w:r w:rsidRPr="00B916EC">
              <w:t>8</w:t>
            </w:r>
          </w:p>
        </w:tc>
        <w:tc>
          <w:tcPr>
            <w:tcW w:w="8627" w:type="dxa"/>
            <w:gridSpan w:val="2"/>
            <w:tcBorders>
              <w:left w:val="double" w:sz="4" w:space="0" w:color="auto"/>
            </w:tcBorders>
            <w:vAlign w:val="center"/>
          </w:tcPr>
          <w:p w14:paraId="671F2DCC" w14:textId="77777777" w:rsidR="00637B3F" w:rsidRPr="00B916EC" w:rsidRDefault="00637B3F" w:rsidP="008F5350">
            <w:pPr>
              <w:pStyle w:val="TAC"/>
              <w:rPr>
                <w:rFonts w:cs="Arial"/>
                <w:kern w:val="24"/>
                <w:szCs w:val="18"/>
              </w:rPr>
            </w:pPr>
            <w:r w:rsidRPr="00B916EC">
              <w:rPr>
                <w:rFonts w:cs="Arial"/>
                <w:kern w:val="24"/>
                <w:szCs w:val="18"/>
              </w:rPr>
              <w:t>Reserved</w:t>
            </w:r>
          </w:p>
        </w:tc>
      </w:tr>
      <w:tr w:rsidR="00637B3F" w:rsidRPr="00B916EC" w14:paraId="5CE099CD" w14:textId="77777777" w:rsidTr="005661BA">
        <w:trPr>
          <w:cantSplit/>
        </w:trPr>
        <w:tc>
          <w:tcPr>
            <w:tcW w:w="806" w:type="dxa"/>
            <w:tcBorders>
              <w:right w:val="double" w:sz="4" w:space="0" w:color="auto"/>
            </w:tcBorders>
            <w:shd w:val="clear" w:color="auto" w:fill="auto"/>
            <w:vAlign w:val="center"/>
          </w:tcPr>
          <w:p w14:paraId="7B4A2769" w14:textId="77777777" w:rsidR="00637B3F" w:rsidRPr="00B916EC" w:rsidRDefault="00637B3F" w:rsidP="008F5350">
            <w:pPr>
              <w:pStyle w:val="TAC"/>
            </w:pPr>
            <w:r w:rsidRPr="00B916EC">
              <w:t>9</w:t>
            </w:r>
          </w:p>
        </w:tc>
        <w:tc>
          <w:tcPr>
            <w:tcW w:w="8627" w:type="dxa"/>
            <w:gridSpan w:val="2"/>
            <w:tcBorders>
              <w:left w:val="double" w:sz="4" w:space="0" w:color="auto"/>
            </w:tcBorders>
            <w:vAlign w:val="center"/>
          </w:tcPr>
          <w:p w14:paraId="66D6E373" w14:textId="77777777" w:rsidR="00637B3F" w:rsidRPr="00B916EC" w:rsidRDefault="00637B3F" w:rsidP="008F5350">
            <w:pPr>
              <w:pStyle w:val="TAC"/>
            </w:pPr>
            <w:r w:rsidRPr="00B916EC">
              <w:rPr>
                <w:rFonts w:cs="Arial"/>
                <w:kern w:val="24"/>
                <w:szCs w:val="18"/>
              </w:rPr>
              <w:t>Reserved</w:t>
            </w:r>
          </w:p>
        </w:tc>
      </w:tr>
      <w:tr w:rsidR="00637B3F" w:rsidRPr="00B916EC" w14:paraId="271C8E60" w14:textId="77777777" w:rsidTr="005661BA">
        <w:trPr>
          <w:cantSplit/>
        </w:trPr>
        <w:tc>
          <w:tcPr>
            <w:tcW w:w="806" w:type="dxa"/>
            <w:tcBorders>
              <w:right w:val="double" w:sz="4" w:space="0" w:color="auto"/>
            </w:tcBorders>
            <w:shd w:val="clear" w:color="auto" w:fill="auto"/>
            <w:vAlign w:val="center"/>
          </w:tcPr>
          <w:p w14:paraId="2F79444F" w14:textId="77777777" w:rsidR="00637B3F" w:rsidRPr="00B916EC" w:rsidRDefault="00637B3F" w:rsidP="008F5350">
            <w:pPr>
              <w:pStyle w:val="TAC"/>
            </w:pPr>
            <w:r w:rsidRPr="00B916EC">
              <w:t>10</w:t>
            </w:r>
          </w:p>
        </w:tc>
        <w:tc>
          <w:tcPr>
            <w:tcW w:w="8627" w:type="dxa"/>
            <w:gridSpan w:val="2"/>
            <w:tcBorders>
              <w:left w:val="double" w:sz="4" w:space="0" w:color="auto"/>
            </w:tcBorders>
            <w:vAlign w:val="center"/>
          </w:tcPr>
          <w:p w14:paraId="5A3E67AF" w14:textId="77777777" w:rsidR="00637B3F" w:rsidRPr="00B916EC" w:rsidRDefault="00637B3F" w:rsidP="008F5350">
            <w:pPr>
              <w:pStyle w:val="TAC"/>
              <w:rPr>
                <w:rFonts w:cs="Arial"/>
                <w:kern w:val="24"/>
                <w:szCs w:val="18"/>
              </w:rPr>
            </w:pPr>
            <w:r w:rsidRPr="00B916EC">
              <w:rPr>
                <w:rFonts w:cs="Arial"/>
                <w:kern w:val="24"/>
                <w:szCs w:val="18"/>
              </w:rPr>
              <w:t>Reserved</w:t>
            </w:r>
          </w:p>
        </w:tc>
      </w:tr>
      <w:tr w:rsidR="00637B3F" w:rsidRPr="00B916EC" w14:paraId="445B3EDC" w14:textId="77777777" w:rsidTr="005661BA">
        <w:trPr>
          <w:cantSplit/>
        </w:trPr>
        <w:tc>
          <w:tcPr>
            <w:tcW w:w="806" w:type="dxa"/>
            <w:tcBorders>
              <w:right w:val="double" w:sz="4" w:space="0" w:color="auto"/>
            </w:tcBorders>
            <w:shd w:val="clear" w:color="auto" w:fill="auto"/>
            <w:vAlign w:val="center"/>
          </w:tcPr>
          <w:p w14:paraId="0D8EBEA3" w14:textId="77777777" w:rsidR="00637B3F" w:rsidRPr="00B916EC" w:rsidRDefault="00637B3F" w:rsidP="008F5350">
            <w:pPr>
              <w:pStyle w:val="TAC"/>
            </w:pPr>
            <w:r w:rsidRPr="00B916EC">
              <w:t>11</w:t>
            </w:r>
          </w:p>
        </w:tc>
        <w:tc>
          <w:tcPr>
            <w:tcW w:w="8627" w:type="dxa"/>
            <w:gridSpan w:val="2"/>
            <w:tcBorders>
              <w:left w:val="double" w:sz="4" w:space="0" w:color="auto"/>
            </w:tcBorders>
            <w:vAlign w:val="center"/>
          </w:tcPr>
          <w:p w14:paraId="38342AD0" w14:textId="77777777" w:rsidR="00637B3F" w:rsidRPr="00B916EC" w:rsidRDefault="00637B3F" w:rsidP="008F5350">
            <w:pPr>
              <w:pStyle w:val="TAC"/>
            </w:pPr>
            <w:r w:rsidRPr="00B916EC">
              <w:rPr>
                <w:rFonts w:cs="Arial"/>
                <w:kern w:val="24"/>
                <w:szCs w:val="18"/>
              </w:rPr>
              <w:t>Reserved</w:t>
            </w:r>
          </w:p>
        </w:tc>
      </w:tr>
      <w:tr w:rsidR="00637B3F" w:rsidRPr="00B916EC" w14:paraId="31A76193" w14:textId="77777777" w:rsidTr="005661BA">
        <w:trPr>
          <w:cantSplit/>
        </w:trPr>
        <w:tc>
          <w:tcPr>
            <w:tcW w:w="806" w:type="dxa"/>
            <w:tcBorders>
              <w:right w:val="double" w:sz="4" w:space="0" w:color="auto"/>
            </w:tcBorders>
            <w:shd w:val="clear" w:color="auto" w:fill="auto"/>
            <w:vAlign w:val="center"/>
          </w:tcPr>
          <w:p w14:paraId="7B875AD4" w14:textId="77777777" w:rsidR="00637B3F" w:rsidRPr="00B916EC" w:rsidRDefault="00637B3F" w:rsidP="008F5350">
            <w:pPr>
              <w:pStyle w:val="TAC"/>
            </w:pPr>
            <w:r w:rsidRPr="00B916EC">
              <w:t>12</w:t>
            </w:r>
          </w:p>
        </w:tc>
        <w:tc>
          <w:tcPr>
            <w:tcW w:w="8627" w:type="dxa"/>
            <w:gridSpan w:val="2"/>
            <w:tcBorders>
              <w:left w:val="double" w:sz="4" w:space="0" w:color="auto"/>
            </w:tcBorders>
            <w:vAlign w:val="center"/>
          </w:tcPr>
          <w:p w14:paraId="12B48036" w14:textId="77777777" w:rsidR="00637B3F" w:rsidRPr="00B916EC" w:rsidRDefault="00637B3F" w:rsidP="008F5350">
            <w:pPr>
              <w:pStyle w:val="TAC"/>
              <w:rPr>
                <w:rFonts w:cs="Arial"/>
                <w:kern w:val="24"/>
                <w:szCs w:val="18"/>
              </w:rPr>
            </w:pPr>
            <w:r w:rsidRPr="00B916EC">
              <w:rPr>
                <w:rFonts w:cs="Arial"/>
                <w:kern w:val="24"/>
                <w:szCs w:val="18"/>
              </w:rPr>
              <w:t>Reserved</w:t>
            </w:r>
          </w:p>
        </w:tc>
      </w:tr>
      <w:tr w:rsidR="00637B3F" w:rsidRPr="00B916EC" w14:paraId="63526FF9" w14:textId="77777777" w:rsidTr="005661BA">
        <w:trPr>
          <w:cantSplit/>
        </w:trPr>
        <w:tc>
          <w:tcPr>
            <w:tcW w:w="806" w:type="dxa"/>
            <w:tcBorders>
              <w:right w:val="double" w:sz="4" w:space="0" w:color="auto"/>
            </w:tcBorders>
            <w:shd w:val="clear" w:color="auto" w:fill="auto"/>
            <w:vAlign w:val="center"/>
          </w:tcPr>
          <w:p w14:paraId="7D570297" w14:textId="77777777" w:rsidR="00637B3F" w:rsidRPr="00B916EC" w:rsidRDefault="00637B3F" w:rsidP="008F5350">
            <w:pPr>
              <w:pStyle w:val="TAC"/>
            </w:pPr>
            <w:r w:rsidRPr="00B916EC">
              <w:t>13</w:t>
            </w:r>
          </w:p>
        </w:tc>
        <w:tc>
          <w:tcPr>
            <w:tcW w:w="8627" w:type="dxa"/>
            <w:gridSpan w:val="2"/>
            <w:tcBorders>
              <w:left w:val="double" w:sz="4" w:space="0" w:color="auto"/>
            </w:tcBorders>
            <w:vAlign w:val="center"/>
          </w:tcPr>
          <w:p w14:paraId="0E0B51EB" w14:textId="77777777" w:rsidR="00637B3F" w:rsidRPr="00B916EC" w:rsidRDefault="00637B3F" w:rsidP="008F5350">
            <w:pPr>
              <w:pStyle w:val="TAC"/>
            </w:pPr>
            <w:r w:rsidRPr="00B916EC">
              <w:rPr>
                <w:rFonts w:cs="Arial"/>
                <w:kern w:val="24"/>
                <w:szCs w:val="18"/>
              </w:rPr>
              <w:t>Reserved</w:t>
            </w:r>
          </w:p>
        </w:tc>
      </w:tr>
      <w:tr w:rsidR="00637B3F" w:rsidRPr="00B916EC" w14:paraId="55425C34" w14:textId="77777777" w:rsidTr="005661BA">
        <w:trPr>
          <w:cantSplit/>
        </w:trPr>
        <w:tc>
          <w:tcPr>
            <w:tcW w:w="806" w:type="dxa"/>
            <w:tcBorders>
              <w:right w:val="double" w:sz="4" w:space="0" w:color="auto"/>
            </w:tcBorders>
            <w:shd w:val="clear" w:color="auto" w:fill="auto"/>
            <w:vAlign w:val="center"/>
          </w:tcPr>
          <w:p w14:paraId="6C9E87DC" w14:textId="77777777" w:rsidR="00637B3F" w:rsidRPr="00B916EC" w:rsidRDefault="00637B3F" w:rsidP="008F5350">
            <w:pPr>
              <w:pStyle w:val="TAC"/>
            </w:pPr>
            <w:r w:rsidRPr="00B916EC">
              <w:t>14</w:t>
            </w:r>
          </w:p>
        </w:tc>
        <w:tc>
          <w:tcPr>
            <w:tcW w:w="8627" w:type="dxa"/>
            <w:gridSpan w:val="2"/>
            <w:tcBorders>
              <w:left w:val="double" w:sz="4" w:space="0" w:color="auto"/>
            </w:tcBorders>
            <w:vAlign w:val="center"/>
          </w:tcPr>
          <w:p w14:paraId="18CEEC0D" w14:textId="77777777" w:rsidR="00637B3F" w:rsidRPr="00B916EC" w:rsidRDefault="00637B3F" w:rsidP="008F5350">
            <w:pPr>
              <w:pStyle w:val="TAC"/>
            </w:pPr>
            <w:r w:rsidRPr="00B916EC">
              <w:rPr>
                <w:rFonts w:cs="Arial"/>
                <w:kern w:val="24"/>
                <w:szCs w:val="18"/>
              </w:rPr>
              <w:t>Reserved</w:t>
            </w:r>
          </w:p>
        </w:tc>
      </w:tr>
      <w:tr w:rsidR="00637B3F" w:rsidRPr="00B916EC" w14:paraId="2960EE74" w14:textId="77777777" w:rsidTr="005661BA">
        <w:trPr>
          <w:cantSplit/>
        </w:trPr>
        <w:tc>
          <w:tcPr>
            <w:tcW w:w="806" w:type="dxa"/>
            <w:tcBorders>
              <w:right w:val="double" w:sz="4" w:space="0" w:color="auto"/>
            </w:tcBorders>
            <w:shd w:val="clear" w:color="auto" w:fill="auto"/>
            <w:vAlign w:val="center"/>
          </w:tcPr>
          <w:p w14:paraId="6DD81A8B" w14:textId="77777777" w:rsidR="00637B3F" w:rsidRPr="00B916EC" w:rsidRDefault="00637B3F" w:rsidP="008F5350">
            <w:pPr>
              <w:pStyle w:val="TAC"/>
            </w:pPr>
            <w:r w:rsidRPr="00B916EC">
              <w:rPr>
                <w:rFonts w:cs="Arial"/>
                <w:kern w:val="24"/>
                <w:szCs w:val="18"/>
              </w:rPr>
              <w:t>15</w:t>
            </w:r>
          </w:p>
        </w:tc>
        <w:tc>
          <w:tcPr>
            <w:tcW w:w="8627" w:type="dxa"/>
            <w:gridSpan w:val="2"/>
            <w:tcBorders>
              <w:left w:val="double" w:sz="4" w:space="0" w:color="auto"/>
            </w:tcBorders>
            <w:vAlign w:val="center"/>
          </w:tcPr>
          <w:p w14:paraId="167F36AB" w14:textId="77777777" w:rsidR="00637B3F" w:rsidRPr="00B916EC" w:rsidRDefault="00637B3F" w:rsidP="008F5350">
            <w:pPr>
              <w:pStyle w:val="TAC"/>
              <w:rPr>
                <w:rFonts w:cs="Arial"/>
                <w:kern w:val="24"/>
                <w:szCs w:val="18"/>
              </w:rPr>
            </w:pPr>
            <w:r w:rsidRPr="00B916EC">
              <w:rPr>
                <w:rFonts w:cs="Arial"/>
                <w:kern w:val="24"/>
                <w:szCs w:val="18"/>
              </w:rPr>
              <w:t>Reserved</w:t>
            </w:r>
          </w:p>
        </w:tc>
      </w:tr>
    </w:tbl>
    <w:p w14:paraId="06A891B0" w14:textId="77777777" w:rsidR="00637B3F" w:rsidRPr="00B916EC" w:rsidRDefault="00637B3F" w:rsidP="00637B3F">
      <w:pPr>
        <w:rPr>
          <w:rStyle w:val="CommentReference"/>
        </w:rPr>
      </w:pPr>
    </w:p>
    <w:p w14:paraId="0BE9D399" w14:textId="77777777" w:rsidR="001E66D2" w:rsidRPr="00B916EC" w:rsidRDefault="001E66D2" w:rsidP="00B06B6C">
      <w:pPr>
        <w:pStyle w:val="TH"/>
      </w:pPr>
      <w:r w:rsidRPr="00B916EC">
        <w:t>Table 1</w:t>
      </w:r>
      <w:r w:rsidR="00EC0649">
        <w:t>3</w:t>
      </w:r>
      <w:r w:rsidRPr="00B916EC">
        <w:t>-</w:t>
      </w:r>
      <w:r w:rsidR="00282C81" w:rsidRPr="00B916EC">
        <w:t>1</w:t>
      </w:r>
      <w:r w:rsidR="00282C81">
        <w:t>5</w:t>
      </w:r>
      <w:r w:rsidRPr="00B916EC">
        <w:t xml:space="preserve">: PDCCH monitoring occasions for Type0-PDCCH </w:t>
      </w:r>
      <w:r w:rsidR="00CF02AF">
        <w:t>CSS set</w:t>
      </w:r>
      <w:r w:rsidRPr="00B916EC">
        <w:t xml:space="preserve"> - SS/PBCH block and </w:t>
      </w:r>
      <w:r w:rsidR="00C76664">
        <w:t>CORESET</w:t>
      </w:r>
      <w:r w:rsidRPr="00B916EC">
        <w:t xml:space="preserve"> multiplexing </w:t>
      </w:r>
      <w:r w:rsidR="00282C81">
        <w:t>pattern</w:t>
      </w:r>
      <w:r w:rsidR="00282C81" w:rsidRPr="00B916EC">
        <w:t xml:space="preserve"> </w:t>
      </w:r>
      <w:r w:rsidRPr="00B916EC">
        <w:t xml:space="preserve">3 and {SS/PBCH block, PDCCH} </w:t>
      </w:r>
      <w:r w:rsidR="00143099">
        <w:t>SCS</w:t>
      </w:r>
      <w:r w:rsidRPr="00B916EC">
        <w:t xml:space="preserve"> {120, 120} kHz </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5"/>
        <w:gridCol w:w="4915"/>
        <w:gridCol w:w="3713"/>
      </w:tblGrid>
      <w:tr w:rsidR="001E66D2" w:rsidRPr="00B916EC" w14:paraId="265FD730" w14:textId="77777777" w:rsidTr="0080432E">
        <w:trPr>
          <w:cantSplit/>
        </w:trPr>
        <w:tc>
          <w:tcPr>
            <w:tcW w:w="805" w:type="dxa"/>
            <w:tcBorders>
              <w:bottom w:val="double" w:sz="4" w:space="0" w:color="auto"/>
              <w:right w:val="double" w:sz="4" w:space="0" w:color="auto"/>
            </w:tcBorders>
            <w:shd w:val="clear" w:color="auto" w:fill="E0E0E0"/>
            <w:vAlign w:val="center"/>
          </w:tcPr>
          <w:p w14:paraId="24675313" w14:textId="77777777" w:rsidR="001E66D2" w:rsidRPr="00B916EC" w:rsidRDefault="001E66D2" w:rsidP="008F5350">
            <w:pPr>
              <w:pStyle w:val="TAH"/>
              <w:rPr>
                <w:bCs/>
                <w:lang w:val="en-US"/>
              </w:rPr>
            </w:pPr>
            <w:r w:rsidRPr="00B916EC">
              <w:rPr>
                <w:bCs/>
                <w:lang w:val="en-US"/>
              </w:rPr>
              <w:t>Index</w:t>
            </w:r>
          </w:p>
        </w:tc>
        <w:tc>
          <w:tcPr>
            <w:tcW w:w="4915" w:type="dxa"/>
            <w:tcBorders>
              <w:left w:val="double" w:sz="4" w:space="0" w:color="auto"/>
              <w:bottom w:val="double" w:sz="4" w:space="0" w:color="auto"/>
            </w:tcBorders>
            <w:shd w:val="clear" w:color="auto" w:fill="E0E0E0"/>
            <w:vAlign w:val="center"/>
          </w:tcPr>
          <w:p w14:paraId="2AEAC61D" w14:textId="77777777" w:rsidR="001E66D2" w:rsidRPr="00B916EC" w:rsidRDefault="001E66D2" w:rsidP="008F5350">
            <w:pPr>
              <w:pStyle w:val="TAH"/>
              <w:rPr>
                <w:bCs/>
                <w:lang w:val="en-US"/>
              </w:rPr>
            </w:pPr>
            <w:r w:rsidRPr="00B916EC">
              <w:t>PDCCH monitoring occasions</w:t>
            </w:r>
            <w:r w:rsidRPr="00B916EC">
              <w:rPr>
                <w:rStyle w:val="CommentReference"/>
                <w:rFonts w:cs="Arial"/>
                <w:sz w:val="18"/>
                <w:szCs w:val="18"/>
              </w:rPr>
              <w:t xml:space="preserve"> (SFN and slot number)</w:t>
            </w:r>
          </w:p>
        </w:tc>
        <w:tc>
          <w:tcPr>
            <w:tcW w:w="3713" w:type="dxa"/>
            <w:tcBorders>
              <w:bottom w:val="double" w:sz="4" w:space="0" w:color="auto"/>
            </w:tcBorders>
            <w:shd w:val="clear" w:color="auto" w:fill="E0E0E0"/>
            <w:vAlign w:val="center"/>
          </w:tcPr>
          <w:p w14:paraId="0BBF0195" w14:textId="77777777" w:rsidR="001E66D2" w:rsidRPr="00B916EC" w:rsidRDefault="001E66D2" w:rsidP="008F5350">
            <w:pPr>
              <w:spacing w:after="0"/>
              <w:jc w:val="center"/>
              <w:textAlignment w:val="bottom"/>
              <w:rPr>
                <w:rStyle w:val="CommentReference"/>
                <w:rFonts w:ascii="Arial" w:hAnsi="Arial" w:cs="Arial"/>
                <w:b/>
                <w:sz w:val="18"/>
                <w:szCs w:val="18"/>
              </w:rPr>
            </w:pPr>
            <w:r w:rsidRPr="00B916EC">
              <w:rPr>
                <w:rStyle w:val="CommentReference"/>
                <w:rFonts w:ascii="Arial" w:hAnsi="Arial" w:cs="Arial"/>
                <w:b/>
                <w:sz w:val="18"/>
                <w:szCs w:val="18"/>
              </w:rPr>
              <w:t>First symbol index</w:t>
            </w:r>
          </w:p>
          <w:p w14:paraId="39AC69B3" w14:textId="77777777" w:rsidR="001E66D2" w:rsidRPr="00B916EC" w:rsidRDefault="001E66D2" w:rsidP="008F5350">
            <w:pPr>
              <w:spacing w:after="0"/>
              <w:jc w:val="center"/>
              <w:textAlignment w:val="bottom"/>
              <w:rPr>
                <w:rFonts w:ascii="Arial" w:hAnsi="Arial" w:cs="Arial"/>
                <w:b/>
                <w:sz w:val="18"/>
                <w:szCs w:val="18"/>
              </w:rPr>
            </w:pPr>
            <w:r w:rsidRPr="00B916EC">
              <w:rPr>
                <w:rStyle w:val="CommentReference"/>
                <w:rFonts w:ascii="Arial" w:hAnsi="Arial" w:cs="Arial"/>
                <w:b/>
                <w:sz w:val="18"/>
                <w:szCs w:val="18"/>
              </w:rPr>
              <w:t>(</w:t>
            </w:r>
            <w:r w:rsidRPr="00B916EC">
              <w:rPr>
                <w:rStyle w:val="CommentReference"/>
                <w:rFonts w:ascii="Arial" w:hAnsi="Arial" w:cs="Arial"/>
                <w:b/>
                <w:i/>
                <w:sz w:val="18"/>
                <w:szCs w:val="18"/>
              </w:rPr>
              <w:t>k</w:t>
            </w:r>
            <w:r w:rsidRPr="00B916EC">
              <w:rPr>
                <w:rStyle w:val="CommentReference"/>
                <w:rFonts w:ascii="Arial" w:hAnsi="Arial" w:cs="Arial"/>
                <w:b/>
                <w:sz w:val="18"/>
                <w:szCs w:val="18"/>
              </w:rPr>
              <w:t xml:space="preserve"> = 0, 1, … 15)</w:t>
            </w:r>
          </w:p>
        </w:tc>
      </w:tr>
      <w:tr w:rsidR="0080432E" w:rsidRPr="00B916EC" w14:paraId="58CA31E4" w14:textId="77777777" w:rsidTr="0080432E">
        <w:trPr>
          <w:cantSplit/>
          <w:trHeight w:val="594"/>
        </w:trPr>
        <w:tc>
          <w:tcPr>
            <w:tcW w:w="805" w:type="dxa"/>
            <w:tcBorders>
              <w:top w:val="double" w:sz="4" w:space="0" w:color="auto"/>
              <w:right w:val="double" w:sz="4" w:space="0" w:color="auto"/>
            </w:tcBorders>
            <w:shd w:val="clear" w:color="auto" w:fill="auto"/>
            <w:vAlign w:val="center"/>
          </w:tcPr>
          <w:p w14:paraId="45CF1A23" w14:textId="5F67D361" w:rsidR="0080432E" w:rsidRPr="00B916EC" w:rsidRDefault="0080432E" w:rsidP="0080432E">
            <w:pPr>
              <w:pStyle w:val="TAC"/>
              <w:rPr>
                <w:lang w:val="en-US"/>
              </w:rPr>
            </w:pPr>
            <w:r w:rsidRPr="00B27E56">
              <w:rPr>
                <w:lang w:val="en-US"/>
              </w:rPr>
              <w:t>0</w:t>
            </w:r>
          </w:p>
        </w:tc>
        <w:tc>
          <w:tcPr>
            <w:tcW w:w="4915" w:type="dxa"/>
            <w:tcBorders>
              <w:top w:val="double" w:sz="4" w:space="0" w:color="auto"/>
              <w:left w:val="double" w:sz="4" w:space="0" w:color="auto"/>
            </w:tcBorders>
            <w:vAlign w:val="center"/>
          </w:tcPr>
          <w:p w14:paraId="008D781D" w14:textId="0BF50ECC" w:rsidR="0080432E" w:rsidRPr="00B27E56" w:rsidRDefault="00000000" w:rsidP="0080432E">
            <w:pPr>
              <w:spacing w:after="0"/>
              <w:jc w:val="center"/>
              <w:textAlignment w:val="bottom"/>
            </w:pPr>
            <m:oMathPara>
              <m:oMath>
                <m:sSub>
                  <m:sSubPr>
                    <m:ctrlPr>
                      <w:rPr>
                        <w:rFonts w:ascii="Cambria Math" w:hAnsi="Cambria Math"/>
                        <w:iCs/>
                        <w:lang w:val="en-US"/>
                      </w:rPr>
                    </m:ctrlPr>
                  </m:sSubPr>
                  <m:e>
                    <m:r>
                      <m:rPr>
                        <m:sty m:val="p"/>
                      </m:rPr>
                      <w:rPr>
                        <w:rFonts w:ascii="Cambria Math" w:hAnsi="Cambria Math"/>
                        <w:lang w:val="en-US"/>
                      </w:rPr>
                      <m:t>SFN</m:t>
                    </m:r>
                  </m:e>
                  <m:sub>
                    <m:r>
                      <m:rPr>
                        <m:sty m:val="p"/>
                      </m:rPr>
                      <w:rPr>
                        <w:rFonts w:ascii="Cambria Math" w:hAnsi="Cambria Math"/>
                        <w:lang w:val="en-US"/>
                      </w:rPr>
                      <m:t>c</m:t>
                    </m:r>
                  </m:sub>
                </m:sSub>
                <m: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SFN</m:t>
                    </m:r>
                  </m:e>
                  <m:sub>
                    <m:r>
                      <m:rPr>
                        <m:sty m:val="p"/>
                      </m:rPr>
                      <w:rPr>
                        <w:rFonts w:ascii="Cambria Math" w:hAnsi="Cambria Math"/>
                        <w:lang w:val="en-US"/>
                      </w:rPr>
                      <m:t>SSB,</m:t>
                    </m:r>
                    <m:r>
                      <w:rPr>
                        <w:rFonts w:ascii="Cambria Math" w:hAnsi="Cambria Math"/>
                        <w:lang w:val="en-US"/>
                      </w:rPr>
                      <m:t>i</m:t>
                    </m:r>
                  </m:sub>
                </m:sSub>
              </m:oMath>
            </m:oMathPara>
          </w:p>
          <w:p w14:paraId="3E260355" w14:textId="566F7DF2" w:rsidR="0080432E" w:rsidRPr="00B916EC" w:rsidRDefault="00000000" w:rsidP="0080432E">
            <w:pPr>
              <w:spacing w:after="0"/>
              <w:jc w:val="center"/>
              <w:textAlignment w:val="bottom"/>
              <w:rPr>
                <w:rFonts w:ascii="Arial" w:hAnsi="Arial" w:cs="Arial"/>
                <w:sz w:val="18"/>
                <w:szCs w:val="18"/>
              </w:rPr>
            </w:pPr>
            <m:oMath>
              <m:sSub>
                <m:sSubPr>
                  <m:ctrlPr>
                    <w:rPr>
                      <w:rFonts w:ascii="Cambria Math" w:hAnsi="Cambria Math"/>
                      <w:iCs/>
                      <w:lang w:val="en-US"/>
                    </w:rPr>
                  </m:ctrlPr>
                </m:sSubPr>
                <m:e>
                  <m:r>
                    <w:rPr>
                      <w:rFonts w:ascii="Cambria Math" w:hAnsi="Cambria Math"/>
                      <w:lang w:val="en-US"/>
                    </w:rPr>
                    <m:t>n</m:t>
                  </m:r>
                </m:e>
                <m:sub>
                  <m:r>
                    <m:rPr>
                      <m:sty m:val="p"/>
                    </m:rPr>
                    <w:rPr>
                      <w:rFonts w:ascii="Cambria Math" w:hAnsi="Cambria Math"/>
                      <w:lang w:val="en-US"/>
                    </w:rPr>
                    <m:t>c</m:t>
                  </m:r>
                </m:sub>
              </m:sSub>
              <m:r>
                <w:rPr>
                  <w:rFonts w:ascii="Cambria Math" w:hAnsi="Cambria Math"/>
                  <w:lang w:val="en-US"/>
                </w:rPr>
                <m:t>=</m:t>
              </m:r>
              <m:sSub>
                <m:sSubPr>
                  <m:ctrlPr>
                    <w:rPr>
                      <w:rFonts w:ascii="Cambria Math" w:hAnsi="Cambria Math"/>
                      <w:iCs/>
                      <w:lang w:val="en-US"/>
                    </w:rPr>
                  </m:ctrlPr>
                </m:sSubPr>
                <m:e>
                  <m:r>
                    <w:rPr>
                      <w:rFonts w:ascii="Cambria Math" w:hAnsi="Cambria Math"/>
                      <w:lang w:val="en-US"/>
                    </w:rPr>
                    <m:t>n</m:t>
                  </m:r>
                </m:e>
                <m:sub>
                  <m:r>
                    <m:rPr>
                      <m:sty m:val="p"/>
                    </m:rPr>
                    <w:rPr>
                      <w:rFonts w:ascii="Cambria Math" w:hAnsi="Cambria Math"/>
                      <w:lang w:val="en-US"/>
                    </w:rPr>
                    <m:t>SSB,</m:t>
                  </m:r>
                  <m:r>
                    <w:rPr>
                      <w:rFonts w:ascii="Cambria Math" w:hAnsi="Cambria Math"/>
                      <w:lang w:val="en-US"/>
                    </w:rPr>
                    <m:t>i</m:t>
                  </m:r>
                </m:sub>
              </m:sSub>
            </m:oMath>
            <w:r w:rsidR="0080432E" w:rsidRPr="00B27E56">
              <w:t xml:space="preserve"> </w:t>
            </w:r>
          </w:p>
        </w:tc>
        <w:tc>
          <w:tcPr>
            <w:tcW w:w="3713" w:type="dxa"/>
            <w:tcBorders>
              <w:top w:val="double" w:sz="4" w:space="0" w:color="auto"/>
            </w:tcBorders>
            <w:vAlign w:val="center"/>
          </w:tcPr>
          <w:p w14:paraId="276D8A4A" w14:textId="77777777" w:rsidR="0080432E" w:rsidRPr="00B27E56" w:rsidRDefault="0080432E" w:rsidP="0080432E">
            <w:pPr>
              <w:spacing w:after="120"/>
              <w:jc w:val="center"/>
              <w:textAlignment w:val="bottom"/>
              <w:rPr>
                <w:rFonts w:ascii="Arial" w:hAnsi="Arial" w:cs="Arial"/>
                <w:sz w:val="18"/>
                <w:szCs w:val="18"/>
              </w:rPr>
            </w:pPr>
            <w:r w:rsidRPr="00B27E56">
              <w:rPr>
                <w:rStyle w:val="CommentReference"/>
                <w:rFonts w:ascii="Arial" w:hAnsi="Arial" w:cs="Arial"/>
                <w:sz w:val="18"/>
                <w:szCs w:val="18"/>
              </w:rPr>
              <w:t>4, 8, 2, 6 in</w:t>
            </w:r>
          </w:p>
          <w:p w14:paraId="5970D5E2" w14:textId="2080926C" w:rsidR="0080432E" w:rsidRPr="00B916EC" w:rsidRDefault="0080432E" w:rsidP="0080432E">
            <w:pPr>
              <w:spacing w:after="0"/>
              <w:jc w:val="center"/>
              <w:textAlignment w:val="bottom"/>
              <w:rPr>
                <w:rFonts w:ascii="Arial" w:hAnsi="Arial" w:cs="Arial"/>
                <w:sz w:val="18"/>
                <w:szCs w:val="18"/>
              </w:rPr>
            </w:pPr>
            <m:oMath>
              <m:r>
                <w:rPr>
                  <w:rFonts w:ascii="Cambria Math" w:hAnsi="Cambria Math"/>
                </w:rPr>
                <m:t>i=4k</m:t>
              </m:r>
            </m:oMath>
            <w:r w:rsidRPr="00B27E56">
              <w:rPr>
                <w:rStyle w:val="CommentReference"/>
                <w:rFonts w:ascii="Arial" w:hAnsi="Arial" w:cs="Arial"/>
                <w:sz w:val="18"/>
                <w:szCs w:val="18"/>
              </w:rPr>
              <w:t xml:space="preserve">, </w:t>
            </w:r>
            <m:oMath>
              <m:r>
                <w:rPr>
                  <w:rFonts w:ascii="Cambria Math" w:hAnsi="Cambria Math"/>
                </w:rPr>
                <m:t>i=4k+1</m:t>
              </m:r>
            </m:oMath>
            <w:r w:rsidRPr="00B27E56">
              <w:rPr>
                <w:rStyle w:val="CommentReference"/>
                <w:rFonts w:ascii="Arial" w:hAnsi="Arial" w:cs="Arial"/>
                <w:sz w:val="18"/>
                <w:szCs w:val="18"/>
              </w:rPr>
              <w:t xml:space="preserve">, </w:t>
            </w:r>
            <m:oMath>
              <m:r>
                <w:rPr>
                  <w:rFonts w:ascii="Cambria Math" w:hAnsi="Cambria Math"/>
                </w:rPr>
                <m:t>i=4k+2</m:t>
              </m:r>
            </m:oMath>
            <w:r w:rsidRPr="00B27E56">
              <w:rPr>
                <w:rStyle w:val="CommentReference"/>
                <w:rFonts w:ascii="Arial" w:hAnsi="Arial" w:cs="Arial"/>
                <w:sz w:val="18"/>
                <w:szCs w:val="18"/>
              </w:rPr>
              <w:t xml:space="preserve">, </w:t>
            </w:r>
            <m:oMath>
              <m:r>
                <w:rPr>
                  <w:rFonts w:ascii="Cambria Math" w:hAnsi="Cambria Math"/>
                </w:rPr>
                <m:t>i=4k+3</m:t>
              </m:r>
            </m:oMath>
          </w:p>
        </w:tc>
      </w:tr>
      <w:tr w:rsidR="001E66D2" w:rsidRPr="00B916EC" w14:paraId="1A8353D5" w14:textId="77777777" w:rsidTr="0080432E">
        <w:trPr>
          <w:cantSplit/>
        </w:trPr>
        <w:tc>
          <w:tcPr>
            <w:tcW w:w="805" w:type="dxa"/>
            <w:tcBorders>
              <w:right w:val="double" w:sz="4" w:space="0" w:color="auto"/>
            </w:tcBorders>
            <w:shd w:val="clear" w:color="auto" w:fill="auto"/>
            <w:vAlign w:val="center"/>
          </w:tcPr>
          <w:p w14:paraId="5FE8DC28" w14:textId="77777777" w:rsidR="001E66D2" w:rsidRPr="00B916EC" w:rsidRDefault="001E66D2" w:rsidP="008F5350">
            <w:pPr>
              <w:pStyle w:val="TAC"/>
              <w:rPr>
                <w:lang w:val="en-US"/>
              </w:rPr>
            </w:pPr>
            <w:r w:rsidRPr="00B916EC">
              <w:rPr>
                <w:lang w:val="en-US"/>
              </w:rPr>
              <w:t>1</w:t>
            </w:r>
          </w:p>
        </w:tc>
        <w:tc>
          <w:tcPr>
            <w:tcW w:w="8628" w:type="dxa"/>
            <w:gridSpan w:val="2"/>
            <w:tcBorders>
              <w:left w:val="double" w:sz="4" w:space="0" w:color="auto"/>
            </w:tcBorders>
            <w:vAlign w:val="center"/>
          </w:tcPr>
          <w:p w14:paraId="0352CCB1" w14:textId="77777777" w:rsidR="001E66D2" w:rsidRPr="00B916EC" w:rsidRDefault="001E66D2" w:rsidP="008F5350">
            <w:pPr>
              <w:pStyle w:val="TAC"/>
            </w:pPr>
            <w:r w:rsidRPr="00B916EC">
              <w:rPr>
                <w:rFonts w:cs="Arial"/>
                <w:kern w:val="24"/>
                <w:szCs w:val="18"/>
              </w:rPr>
              <w:t>Reserved</w:t>
            </w:r>
          </w:p>
        </w:tc>
      </w:tr>
      <w:tr w:rsidR="001E66D2" w:rsidRPr="00B916EC" w14:paraId="2A78B383" w14:textId="77777777" w:rsidTr="0080432E">
        <w:trPr>
          <w:cantSplit/>
        </w:trPr>
        <w:tc>
          <w:tcPr>
            <w:tcW w:w="805" w:type="dxa"/>
            <w:tcBorders>
              <w:right w:val="double" w:sz="4" w:space="0" w:color="auto"/>
            </w:tcBorders>
            <w:shd w:val="clear" w:color="auto" w:fill="auto"/>
            <w:vAlign w:val="center"/>
          </w:tcPr>
          <w:p w14:paraId="3B33C855" w14:textId="77777777" w:rsidR="001E66D2" w:rsidRPr="00B916EC" w:rsidRDefault="001E66D2" w:rsidP="008F5350">
            <w:pPr>
              <w:pStyle w:val="TAC"/>
            </w:pPr>
            <w:r w:rsidRPr="00B916EC">
              <w:t>2</w:t>
            </w:r>
          </w:p>
        </w:tc>
        <w:tc>
          <w:tcPr>
            <w:tcW w:w="8628" w:type="dxa"/>
            <w:gridSpan w:val="2"/>
            <w:tcBorders>
              <w:left w:val="double" w:sz="4" w:space="0" w:color="auto"/>
            </w:tcBorders>
            <w:vAlign w:val="center"/>
          </w:tcPr>
          <w:p w14:paraId="4C9926F7" w14:textId="77777777" w:rsidR="001E66D2" w:rsidRPr="00B916EC" w:rsidRDefault="001E66D2" w:rsidP="008F5350">
            <w:pPr>
              <w:pStyle w:val="TAC"/>
              <w:rPr>
                <w:rFonts w:cs="Arial"/>
                <w:kern w:val="24"/>
                <w:szCs w:val="18"/>
              </w:rPr>
            </w:pPr>
            <w:r w:rsidRPr="00B916EC">
              <w:rPr>
                <w:rFonts w:cs="Arial"/>
                <w:kern w:val="24"/>
                <w:szCs w:val="18"/>
              </w:rPr>
              <w:t>Reserved</w:t>
            </w:r>
          </w:p>
        </w:tc>
      </w:tr>
      <w:tr w:rsidR="001E66D2" w:rsidRPr="00B916EC" w14:paraId="0F81DB06" w14:textId="77777777" w:rsidTr="0080432E">
        <w:trPr>
          <w:cantSplit/>
        </w:trPr>
        <w:tc>
          <w:tcPr>
            <w:tcW w:w="805" w:type="dxa"/>
            <w:tcBorders>
              <w:right w:val="double" w:sz="4" w:space="0" w:color="auto"/>
            </w:tcBorders>
            <w:shd w:val="clear" w:color="auto" w:fill="auto"/>
            <w:vAlign w:val="center"/>
          </w:tcPr>
          <w:p w14:paraId="738B8400" w14:textId="77777777" w:rsidR="001E66D2" w:rsidRPr="00B916EC" w:rsidRDefault="001E66D2" w:rsidP="008F5350">
            <w:pPr>
              <w:pStyle w:val="TAC"/>
            </w:pPr>
            <w:r w:rsidRPr="00B916EC">
              <w:t>3</w:t>
            </w:r>
          </w:p>
        </w:tc>
        <w:tc>
          <w:tcPr>
            <w:tcW w:w="8628" w:type="dxa"/>
            <w:gridSpan w:val="2"/>
            <w:tcBorders>
              <w:left w:val="double" w:sz="4" w:space="0" w:color="auto"/>
            </w:tcBorders>
            <w:vAlign w:val="center"/>
          </w:tcPr>
          <w:p w14:paraId="4A53E4EB" w14:textId="77777777" w:rsidR="001E66D2" w:rsidRPr="00B916EC" w:rsidRDefault="001E66D2" w:rsidP="008F5350">
            <w:pPr>
              <w:pStyle w:val="TAC"/>
            </w:pPr>
            <w:r w:rsidRPr="00B916EC">
              <w:rPr>
                <w:rFonts w:cs="Arial"/>
                <w:kern w:val="24"/>
                <w:szCs w:val="18"/>
              </w:rPr>
              <w:t>Reserved</w:t>
            </w:r>
          </w:p>
        </w:tc>
      </w:tr>
      <w:tr w:rsidR="001E66D2" w:rsidRPr="00B916EC" w14:paraId="51C04A14" w14:textId="77777777" w:rsidTr="0080432E">
        <w:trPr>
          <w:cantSplit/>
        </w:trPr>
        <w:tc>
          <w:tcPr>
            <w:tcW w:w="805" w:type="dxa"/>
            <w:tcBorders>
              <w:right w:val="double" w:sz="4" w:space="0" w:color="auto"/>
            </w:tcBorders>
            <w:shd w:val="clear" w:color="auto" w:fill="auto"/>
            <w:vAlign w:val="center"/>
          </w:tcPr>
          <w:p w14:paraId="03BC2BE2" w14:textId="77777777" w:rsidR="001E66D2" w:rsidRPr="00B916EC" w:rsidRDefault="001E66D2" w:rsidP="008F5350">
            <w:pPr>
              <w:pStyle w:val="TAC"/>
            </w:pPr>
            <w:r w:rsidRPr="00B916EC">
              <w:t>4</w:t>
            </w:r>
          </w:p>
        </w:tc>
        <w:tc>
          <w:tcPr>
            <w:tcW w:w="8628" w:type="dxa"/>
            <w:gridSpan w:val="2"/>
            <w:tcBorders>
              <w:left w:val="double" w:sz="4" w:space="0" w:color="auto"/>
            </w:tcBorders>
            <w:vAlign w:val="center"/>
          </w:tcPr>
          <w:p w14:paraId="64EC2124" w14:textId="77777777" w:rsidR="001E66D2" w:rsidRPr="00B916EC" w:rsidRDefault="001E66D2" w:rsidP="008F5350">
            <w:pPr>
              <w:pStyle w:val="TAC"/>
              <w:rPr>
                <w:rFonts w:cs="Arial"/>
                <w:kern w:val="24"/>
                <w:szCs w:val="18"/>
              </w:rPr>
            </w:pPr>
            <w:r w:rsidRPr="00B916EC">
              <w:rPr>
                <w:rFonts w:cs="Arial"/>
                <w:kern w:val="24"/>
                <w:szCs w:val="18"/>
              </w:rPr>
              <w:t>Reserved</w:t>
            </w:r>
          </w:p>
        </w:tc>
      </w:tr>
      <w:tr w:rsidR="001E66D2" w:rsidRPr="00B916EC" w14:paraId="73C63583" w14:textId="77777777" w:rsidTr="0080432E">
        <w:trPr>
          <w:cantSplit/>
        </w:trPr>
        <w:tc>
          <w:tcPr>
            <w:tcW w:w="805" w:type="dxa"/>
            <w:tcBorders>
              <w:right w:val="double" w:sz="4" w:space="0" w:color="auto"/>
            </w:tcBorders>
            <w:shd w:val="clear" w:color="auto" w:fill="auto"/>
            <w:vAlign w:val="center"/>
          </w:tcPr>
          <w:p w14:paraId="58E6BF99" w14:textId="77777777" w:rsidR="001E66D2" w:rsidRPr="00B916EC" w:rsidRDefault="001E66D2" w:rsidP="008F5350">
            <w:pPr>
              <w:pStyle w:val="TAC"/>
            </w:pPr>
            <w:r w:rsidRPr="00B916EC">
              <w:t>5</w:t>
            </w:r>
          </w:p>
        </w:tc>
        <w:tc>
          <w:tcPr>
            <w:tcW w:w="8628" w:type="dxa"/>
            <w:gridSpan w:val="2"/>
            <w:tcBorders>
              <w:left w:val="double" w:sz="4" w:space="0" w:color="auto"/>
            </w:tcBorders>
            <w:vAlign w:val="center"/>
          </w:tcPr>
          <w:p w14:paraId="275144B9" w14:textId="77777777" w:rsidR="001E66D2" w:rsidRPr="00B916EC" w:rsidRDefault="001E66D2" w:rsidP="008F5350">
            <w:pPr>
              <w:pStyle w:val="TAC"/>
            </w:pPr>
            <w:r w:rsidRPr="00B916EC">
              <w:rPr>
                <w:rFonts w:cs="Arial"/>
                <w:kern w:val="24"/>
                <w:szCs w:val="18"/>
              </w:rPr>
              <w:t>Reserved</w:t>
            </w:r>
          </w:p>
        </w:tc>
      </w:tr>
      <w:tr w:rsidR="001E66D2" w:rsidRPr="00B916EC" w14:paraId="1BB0AF64" w14:textId="77777777" w:rsidTr="0080432E">
        <w:trPr>
          <w:cantSplit/>
        </w:trPr>
        <w:tc>
          <w:tcPr>
            <w:tcW w:w="805" w:type="dxa"/>
            <w:tcBorders>
              <w:right w:val="double" w:sz="4" w:space="0" w:color="auto"/>
            </w:tcBorders>
            <w:shd w:val="clear" w:color="auto" w:fill="auto"/>
            <w:vAlign w:val="center"/>
          </w:tcPr>
          <w:p w14:paraId="15FFC74C" w14:textId="77777777" w:rsidR="001E66D2" w:rsidRPr="00B916EC" w:rsidRDefault="001E66D2" w:rsidP="008F5350">
            <w:pPr>
              <w:pStyle w:val="TAC"/>
            </w:pPr>
            <w:r w:rsidRPr="00B916EC">
              <w:t>6</w:t>
            </w:r>
          </w:p>
        </w:tc>
        <w:tc>
          <w:tcPr>
            <w:tcW w:w="8628" w:type="dxa"/>
            <w:gridSpan w:val="2"/>
            <w:tcBorders>
              <w:left w:val="double" w:sz="4" w:space="0" w:color="auto"/>
            </w:tcBorders>
            <w:vAlign w:val="center"/>
          </w:tcPr>
          <w:p w14:paraId="108D66E2" w14:textId="77777777" w:rsidR="001E66D2" w:rsidRPr="00B916EC" w:rsidRDefault="001E66D2" w:rsidP="008F5350">
            <w:pPr>
              <w:pStyle w:val="TAC"/>
              <w:rPr>
                <w:rFonts w:cs="Arial"/>
                <w:kern w:val="24"/>
                <w:szCs w:val="18"/>
              </w:rPr>
            </w:pPr>
            <w:r w:rsidRPr="00B916EC">
              <w:rPr>
                <w:rFonts w:cs="Arial"/>
                <w:kern w:val="24"/>
                <w:szCs w:val="18"/>
              </w:rPr>
              <w:t>Reserved</w:t>
            </w:r>
          </w:p>
        </w:tc>
      </w:tr>
      <w:tr w:rsidR="001E66D2" w:rsidRPr="00B916EC" w14:paraId="0C2E1447" w14:textId="77777777" w:rsidTr="0080432E">
        <w:trPr>
          <w:cantSplit/>
        </w:trPr>
        <w:tc>
          <w:tcPr>
            <w:tcW w:w="805" w:type="dxa"/>
            <w:tcBorders>
              <w:right w:val="double" w:sz="4" w:space="0" w:color="auto"/>
            </w:tcBorders>
            <w:shd w:val="clear" w:color="auto" w:fill="auto"/>
            <w:vAlign w:val="center"/>
          </w:tcPr>
          <w:p w14:paraId="64454726" w14:textId="77777777" w:rsidR="001E66D2" w:rsidRPr="00B916EC" w:rsidRDefault="001E66D2" w:rsidP="008F5350">
            <w:pPr>
              <w:pStyle w:val="TAC"/>
            </w:pPr>
            <w:r w:rsidRPr="00B916EC">
              <w:t>7</w:t>
            </w:r>
          </w:p>
        </w:tc>
        <w:tc>
          <w:tcPr>
            <w:tcW w:w="8628" w:type="dxa"/>
            <w:gridSpan w:val="2"/>
            <w:tcBorders>
              <w:left w:val="double" w:sz="4" w:space="0" w:color="auto"/>
            </w:tcBorders>
            <w:vAlign w:val="center"/>
          </w:tcPr>
          <w:p w14:paraId="50C76302" w14:textId="77777777" w:rsidR="001E66D2" w:rsidRPr="00B916EC" w:rsidRDefault="001E66D2" w:rsidP="008F5350">
            <w:pPr>
              <w:pStyle w:val="TAC"/>
            </w:pPr>
            <w:r w:rsidRPr="00B916EC">
              <w:rPr>
                <w:rFonts w:cs="Arial"/>
                <w:kern w:val="24"/>
                <w:szCs w:val="18"/>
              </w:rPr>
              <w:t>Reserved</w:t>
            </w:r>
          </w:p>
        </w:tc>
      </w:tr>
      <w:tr w:rsidR="001E66D2" w:rsidRPr="00B916EC" w14:paraId="2BB93E4A" w14:textId="77777777" w:rsidTr="0080432E">
        <w:trPr>
          <w:cantSplit/>
        </w:trPr>
        <w:tc>
          <w:tcPr>
            <w:tcW w:w="805" w:type="dxa"/>
            <w:tcBorders>
              <w:right w:val="double" w:sz="4" w:space="0" w:color="auto"/>
            </w:tcBorders>
            <w:shd w:val="clear" w:color="auto" w:fill="auto"/>
            <w:vAlign w:val="center"/>
          </w:tcPr>
          <w:p w14:paraId="5ECCA562" w14:textId="77777777" w:rsidR="001E66D2" w:rsidRPr="00B916EC" w:rsidRDefault="001E66D2" w:rsidP="008F5350">
            <w:pPr>
              <w:pStyle w:val="TAC"/>
            </w:pPr>
            <w:r w:rsidRPr="00B916EC">
              <w:t>8</w:t>
            </w:r>
          </w:p>
        </w:tc>
        <w:tc>
          <w:tcPr>
            <w:tcW w:w="8628" w:type="dxa"/>
            <w:gridSpan w:val="2"/>
            <w:tcBorders>
              <w:left w:val="double" w:sz="4" w:space="0" w:color="auto"/>
            </w:tcBorders>
            <w:vAlign w:val="center"/>
          </w:tcPr>
          <w:p w14:paraId="6BF18647" w14:textId="77777777" w:rsidR="001E66D2" w:rsidRPr="00B916EC" w:rsidRDefault="001E66D2" w:rsidP="008F5350">
            <w:pPr>
              <w:pStyle w:val="TAC"/>
              <w:rPr>
                <w:rFonts w:cs="Arial"/>
                <w:kern w:val="24"/>
                <w:szCs w:val="18"/>
              </w:rPr>
            </w:pPr>
            <w:r w:rsidRPr="00B916EC">
              <w:rPr>
                <w:rFonts w:cs="Arial"/>
                <w:kern w:val="24"/>
                <w:szCs w:val="18"/>
              </w:rPr>
              <w:t>Reserved</w:t>
            </w:r>
          </w:p>
        </w:tc>
      </w:tr>
      <w:tr w:rsidR="001E66D2" w:rsidRPr="00B916EC" w14:paraId="1EA1A868" w14:textId="77777777" w:rsidTr="0080432E">
        <w:trPr>
          <w:cantSplit/>
        </w:trPr>
        <w:tc>
          <w:tcPr>
            <w:tcW w:w="805" w:type="dxa"/>
            <w:tcBorders>
              <w:right w:val="double" w:sz="4" w:space="0" w:color="auto"/>
            </w:tcBorders>
            <w:shd w:val="clear" w:color="auto" w:fill="auto"/>
            <w:vAlign w:val="center"/>
          </w:tcPr>
          <w:p w14:paraId="7C977751" w14:textId="77777777" w:rsidR="001E66D2" w:rsidRPr="00B916EC" w:rsidRDefault="001E66D2" w:rsidP="008F5350">
            <w:pPr>
              <w:pStyle w:val="TAC"/>
            </w:pPr>
            <w:r w:rsidRPr="00B916EC">
              <w:t>9</w:t>
            </w:r>
          </w:p>
        </w:tc>
        <w:tc>
          <w:tcPr>
            <w:tcW w:w="8628" w:type="dxa"/>
            <w:gridSpan w:val="2"/>
            <w:tcBorders>
              <w:left w:val="double" w:sz="4" w:space="0" w:color="auto"/>
            </w:tcBorders>
            <w:vAlign w:val="center"/>
          </w:tcPr>
          <w:p w14:paraId="59C967D8" w14:textId="77777777" w:rsidR="001E66D2" w:rsidRPr="00B916EC" w:rsidRDefault="001E66D2" w:rsidP="008F5350">
            <w:pPr>
              <w:pStyle w:val="TAC"/>
            </w:pPr>
            <w:r w:rsidRPr="00B916EC">
              <w:rPr>
                <w:rFonts w:cs="Arial"/>
                <w:kern w:val="24"/>
                <w:szCs w:val="18"/>
              </w:rPr>
              <w:t>Reserved</w:t>
            </w:r>
          </w:p>
        </w:tc>
      </w:tr>
      <w:tr w:rsidR="001E66D2" w:rsidRPr="00B916EC" w14:paraId="654D71EE" w14:textId="77777777" w:rsidTr="0080432E">
        <w:trPr>
          <w:cantSplit/>
        </w:trPr>
        <w:tc>
          <w:tcPr>
            <w:tcW w:w="805" w:type="dxa"/>
            <w:tcBorders>
              <w:right w:val="double" w:sz="4" w:space="0" w:color="auto"/>
            </w:tcBorders>
            <w:shd w:val="clear" w:color="auto" w:fill="auto"/>
            <w:vAlign w:val="center"/>
          </w:tcPr>
          <w:p w14:paraId="3AC65694" w14:textId="77777777" w:rsidR="001E66D2" w:rsidRPr="00B916EC" w:rsidRDefault="001E66D2" w:rsidP="008F5350">
            <w:pPr>
              <w:pStyle w:val="TAC"/>
            </w:pPr>
            <w:r w:rsidRPr="00B916EC">
              <w:t>10</w:t>
            </w:r>
          </w:p>
        </w:tc>
        <w:tc>
          <w:tcPr>
            <w:tcW w:w="8628" w:type="dxa"/>
            <w:gridSpan w:val="2"/>
            <w:tcBorders>
              <w:left w:val="double" w:sz="4" w:space="0" w:color="auto"/>
            </w:tcBorders>
            <w:vAlign w:val="center"/>
          </w:tcPr>
          <w:p w14:paraId="65F43977" w14:textId="77777777" w:rsidR="001E66D2" w:rsidRPr="00B916EC" w:rsidRDefault="001E66D2" w:rsidP="008F5350">
            <w:pPr>
              <w:pStyle w:val="TAC"/>
              <w:rPr>
                <w:rFonts w:cs="Arial"/>
                <w:kern w:val="24"/>
                <w:szCs w:val="18"/>
              </w:rPr>
            </w:pPr>
            <w:r w:rsidRPr="00B916EC">
              <w:rPr>
                <w:rFonts w:cs="Arial"/>
                <w:kern w:val="24"/>
                <w:szCs w:val="18"/>
              </w:rPr>
              <w:t>Reserved</w:t>
            </w:r>
          </w:p>
        </w:tc>
      </w:tr>
      <w:tr w:rsidR="001E66D2" w:rsidRPr="00B916EC" w14:paraId="7BDA3576" w14:textId="77777777" w:rsidTr="0080432E">
        <w:trPr>
          <w:cantSplit/>
        </w:trPr>
        <w:tc>
          <w:tcPr>
            <w:tcW w:w="805" w:type="dxa"/>
            <w:tcBorders>
              <w:right w:val="double" w:sz="4" w:space="0" w:color="auto"/>
            </w:tcBorders>
            <w:shd w:val="clear" w:color="auto" w:fill="auto"/>
            <w:vAlign w:val="center"/>
          </w:tcPr>
          <w:p w14:paraId="6718A049" w14:textId="77777777" w:rsidR="001E66D2" w:rsidRPr="00B916EC" w:rsidRDefault="001E66D2" w:rsidP="008F5350">
            <w:pPr>
              <w:pStyle w:val="TAC"/>
            </w:pPr>
            <w:r w:rsidRPr="00B916EC">
              <w:t>11</w:t>
            </w:r>
          </w:p>
        </w:tc>
        <w:tc>
          <w:tcPr>
            <w:tcW w:w="8628" w:type="dxa"/>
            <w:gridSpan w:val="2"/>
            <w:tcBorders>
              <w:left w:val="double" w:sz="4" w:space="0" w:color="auto"/>
            </w:tcBorders>
            <w:vAlign w:val="center"/>
          </w:tcPr>
          <w:p w14:paraId="36C9EEC8" w14:textId="77777777" w:rsidR="001E66D2" w:rsidRPr="00B916EC" w:rsidRDefault="001E66D2" w:rsidP="008F5350">
            <w:pPr>
              <w:pStyle w:val="TAC"/>
            </w:pPr>
            <w:r w:rsidRPr="00B916EC">
              <w:rPr>
                <w:rFonts w:cs="Arial"/>
                <w:kern w:val="24"/>
                <w:szCs w:val="18"/>
              </w:rPr>
              <w:t>Reserved</w:t>
            </w:r>
          </w:p>
        </w:tc>
      </w:tr>
      <w:tr w:rsidR="001E66D2" w:rsidRPr="00B916EC" w14:paraId="39094AA7" w14:textId="77777777" w:rsidTr="0080432E">
        <w:trPr>
          <w:cantSplit/>
        </w:trPr>
        <w:tc>
          <w:tcPr>
            <w:tcW w:w="805" w:type="dxa"/>
            <w:tcBorders>
              <w:right w:val="double" w:sz="4" w:space="0" w:color="auto"/>
            </w:tcBorders>
            <w:shd w:val="clear" w:color="auto" w:fill="auto"/>
            <w:vAlign w:val="center"/>
          </w:tcPr>
          <w:p w14:paraId="7D41E2A7" w14:textId="77777777" w:rsidR="001E66D2" w:rsidRPr="00B916EC" w:rsidRDefault="001E66D2" w:rsidP="008F5350">
            <w:pPr>
              <w:pStyle w:val="TAC"/>
            </w:pPr>
            <w:r w:rsidRPr="00B916EC">
              <w:t>12</w:t>
            </w:r>
          </w:p>
        </w:tc>
        <w:tc>
          <w:tcPr>
            <w:tcW w:w="8628" w:type="dxa"/>
            <w:gridSpan w:val="2"/>
            <w:tcBorders>
              <w:left w:val="double" w:sz="4" w:space="0" w:color="auto"/>
            </w:tcBorders>
            <w:vAlign w:val="center"/>
          </w:tcPr>
          <w:p w14:paraId="63A12B5C" w14:textId="77777777" w:rsidR="001E66D2" w:rsidRPr="00B916EC" w:rsidRDefault="001E66D2" w:rsidP="008F5350">
            <w:pPr>
              <w:pStyle w:val="TAC"/>
              <w:rPr>
                <w:rFonts w:cs="Arial"/>
                <w:kern w:val="24"/>
                <w:szCs w:val="18"/>
              </w:rPr>
            </w:pPr>
            <w:r w:rsidRPr="00B916EC">
              <w:rPr>
                <w:rFonts w:cs="Arial"/>
                <w:kern w:val="24"/>
                <w:szCs w:val="18"/>
              </w:rPr>
              <w:t>Reserved</w:t>
            </w:r>
          </w:p>
        </w:tc>
      </w:tr>
      <w:tr w:rsidR="001E66D2" w:rsidRPr="00B916EC" w14:paraId="61BBF59E" w14:textId="77777777" w:rsidTr="0080432E">
        <w:trPr>
          <w:cantSplit/>
        </w:trPr>
        <w:tc>
          <w:tcPr>
            <w:tcW w:w="805" w:type="dxa"/>
            <w:tcBorders>
              <w:right w:val="double" w:sz="4" w:space="0" w:color="auto"/>
            </w:tcBorders>
            <w:shd w:val="clear" w:color="auto" w:fill="auto"/>
            <w:vAlign w:val="center"/>
          </w:tcPr>
          <w:p w14:paraId="3481C787" w14:textId="77777777" w:rsidR="001E66D2" w:rsidRPr="00B916EC" w:rsidRDefault="001E66D2" w:rsidP="008F5350">
            <w:pPr>
              <w:pStyle w:val="TAC"/>
            </w:pPr>
            <w:r w:rsidRPr="00B916EC">
              <w:t>13</w:t>
            </w:r>
          </w:p>
        </w:tc>
        <w:tc>
          <w:tcPr>
            <w:tcW w:w="8628" w:type="dxa"/>
            <w:gridSpan w:val="2"/>
            <w:tcBorders>
              <w:left w:val="double" w:sz="4" w:space="0" w:color="auto"/>
            </w:tcBorders>
            <w:vAlign w:val="center"/>
          </w:tcPr>
          <w:p w14:paraId="71D05E3B" w14:textId="77777777" w:rsidR="001E66D2" w:rsidRPr="00B916EC" w:rsidRDefault="001E66D2" w:rsidP="008F5350">
            <w:pPr>
              <w:pStyle w:val="TAC"/>
            </w:pPr>
            <w:r w:rsidRPr="00B916EC">
              <w:rPr>
                <w:rFonts w:cs="Arial"/>
                <w:kern w:val="24"/>
                <w:szCs w:val="18"/>
              </w:rPr>
              <w:t>Reserved</w:t>
            </w:r>
          </w:p>
        </w:tc>
      </w:tr>
      <w:tr w:rsidR="001E66D2" w:rsidRPr="00B916EC" w14:paraId="6D740216" w14:textId="77777777" w:rsidTr="0080432E">
        <w:trPr>
          <w:cantSplit/>
        </w:trPr>
        <w:tc>
          <w:tcPr>
            <w:tcW w:w="805" w:type="dxa"/>
            <w:tcBorders>
              <w:right w:val="double" w:sz="4" w:space="0" w:color="auto"/>
            </w:tcBorders>
            <w:shd w:val="clear" w:color="auto" w:fill="auto"/>
            <w:vAlign w:val="center"/>
          </w:tcPr>
          <w:p w14:paraId="02CA95BB" w14:textId="77777777" w:rsidR="001E66D2" w:rsidRPr="00B916EC" w:rsidRDefault="001E66D2" w:rsidP="008F5350">
            <w:pPr>
              <w:pStyle w:val="TAC"/>
            </w:pPr>
            <w:r w:rsidRPr="00B916EC">
              <w:t>14</w:t>
            </w:r>
          </w:p>
        </w:tc>
        <w:tc>
          <w:tcPr>
            <w:tcW w:w="8628" w:type="dxa"/>
            <w:gridSpan w:val="2"/>
            <w:tcBorders>
              <w:left w:val="double" w:sz="4" w:space="0" w:color="auto"/>
            </w:tcBorders>
            <w:vAlign w:val="center"/>
          </w:tcPr>
          <w:p w14:paraId="30DEC68E" w14:textId="77777777" w:rsidR="001E66D2" w:rsidRPr="00B916EC" w:rsidRDefault="001E66D2" w:rsidP="008F5350">
            <w:pPr>
              <w:pStyle w:val="TAC"/>
            </w:pPr>
            <w:r w:rsidRPr="00B916EC">
              <w:rPr>
                <w:rFonts w:cs="Arial"/>
                <w:kern w:val="24"/>
                <w:szCs w:val="18"/>
              </w:rPr>
              <w:t>Reserved</w:t>
            </w:r>
          </w:p>
        </w:tc>
      </w:tr>
      <w:tr w:rsidR="001E66D2" w:rsidRPr="00B916EC" w14:paraId="6BB9C8F0" w14:textId="77777777" w:rsidTr="0080432E">
        <w:trPr>
          <w:cantSplit/>
        </w:trPr>
        <w:tc>
          <w:tcPr>
            <w:tcW w:w="805" w:type="dxa"/>
            <w:tcBorders>
              <w:right w:val="double" w:sz="4" w:space="0" w:color="auto"/>
            </w:tcBorders>
            <w:shd w:val="clear" w:color="auto" w:fill="auto"/>
            <w:vAlign w:val="center"/>
          </w:tcPr>
          <w:p w14:paraId="1681084C" w14:textId="77777777" w:rsidR="001E66D2" w:rsidRPr="00B916EC" w:rsidRDefault="001E66D2" w:rsidP="008F5350">
            <w:pPr>
              <w:pStyle w:val="TAC"/>
            </w:pPr>
            <w:r w:rsidRPr="00B916EC">
              <w:rPr>
                <w:rFonts w:cs="Arial"/>
                <w:kern w:val="24"/>
                <w:szCs w:val="18"/>
              </w:rPr>
              <w:t>15</w:t>
            </w:r>
          </w:p>
        </w:tc>
        <w:tc>
          <w:tcPr>
            <w:tcW w:w="8628" w:type="dxa"/>
            <w:gridSpan w:val="2"/>
            <w:tcBorders>
              <w:left w:val="double" w:sz="4" w:space="0" w:color="auto"/>
            </w:tcBorders>
            <w:vAlign w:val="center"/>
          </w:tcPr>
          <w:p w14:paraId="6F27FA4A" w14:textId="77777777" w:rsidR="001E66D2" w:rsidRPr="00B916EC" w:rsidRDefault="001E66D2" w:rsidP="008F5350">
            <w:pPr>
              <w:pStyle w:val="TAC"/>
              <w:rPr>
                <w:rFonts w:cs="Arial"/>
                <w:kern w:val="24"/>
                <w:szCs w:val="18"/>
              </w:rPr>
            </w:pPr>
            <w:r w:rsidRPr="00B916EC">
              <w:rPr>
                <w:rFonts w:cs="Arial"/>
                <w:kern w:val="24"/>
                <w:szCs w:val="18"/>
              </w:rPr>
              <w:t>Reserved</w:t>
            </w:r>
          </w:p>
        </w:tc>
      </w:tr>
    </w:tbl>
    <w:p w14:paraId="515E9A4B" w14:textId="071F9CD8" w:rsidR="001E66D2" w:rsidRDefault="001E66D2" w:rsidP="001E66D2">
      <w:pPr>
        <w:rPr>
          <w:rStyle w:val="CommentReference"/>
        </w:rPr>
      </w:pPr>
    </w:p>
    <w:p w14:paraId="67328001" w14:textId="77777777" w:rsidR="0080432E" w:rsidRPr="00B27E56" w:rsidRDefault="0080432E" w:rsidP="0080432E">
      <w:pPr>
        <w:pStyle w:val="TH"/>
      </w:pPr>
      <w:r w:rsidRPr="00B27E56">
        <w:lastRenderedPageBreak/>
        <w:t>Table 13-15A: PDCCH monitoring occasions for Type0-PDCCH CSS set - SS/PBCH block and CORESET multiplexing pattern 3 and {SS/PBCH block, PDCCH} SCS {480, 480} kHz or {960, 960} kHz</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6"/>
        <w:gridCol w:w="4914"/>
        <w:gridCol w:w="3713"/>
      </w:tblGrid>
      <w:tr w:rsidR="002A384F" w:rsidRPr="00B27E56" w14:paraId="5F8E4EE2" w14:textId="77777777" w:rsidTr="002A384F">
        <w:trPr>
          <w:cantSplit/>
        </w:trPr>
        <w:tc>
          <w:tcPr>
            <w:tcW w:w="806" w:type="dxa"/>
            <w:tcBorders>
              <w:bottom w:val="double" w:sz="4" w:space="0" w:color="auto"/>
              <w:right w:val="double" w:sz="4" w:space="0" w:color="auto"/>
            </w:tcBorders>
            <w:shd w:val="clear" w:color="auto" w:fill="E0E0E0"/>
            <w:vAlign w:val="center"/>
          </w:tcPr>
          <w:p w14:paraId="17658CDE" w14:textId="77777777" w:rsidR="002A384F" w:rsidRPr="00B27E56" w:rsidRDefault="002A384F" w:rsidP="002A384F">
            <w:pPr>
              <w:pStyle w:val="TAH"/>
              <w:rPr>
                <w:bCs/>
                <w:lang w:val="en-US"/>
              </w:rPr>
            </w:pPr>
            <w:r w:rsidRPr="00B27E56">
              <w:rPr>
                <w:bCs/>
                <w:lang w:val="en-US"/>
              </w:rPr>
              <w:t>Index</w:t>
            </w:r>
          </w:p>
        </w:tc>
        <w:tc>
          <w:tcPr>
            <w:tcW w:w="4914" w:type="dxa"/>
            <w:tcBorders>
              <w:left w:val="double" w:sz="4" w:space="0" w:color="auto"/>
              <w:bottom w:val="double" w:sz="4" w:space="0" w:color="auto"/>
            </w:tcBorders>
            <w:shd w:val="clear" w:color="auto" w:fill="E0E0E0"/>
            <w:vAlign w:val="center"/>
          </w:tcPr>
          <w:p w14:paraId="2DD9E6B5" w14:textId="77777777" w:rsidR="002A384F" w:rsidRPr="00B27E56" w:rsidRDefault="002A384F" w:rsidP="002A384F">
            <w:pPr>
              <w:pStyle w:val="TAH"/>
              <w:rPr>
                <w:bCs/>
                <w:lang w:val="en-US"/>
              </w:rPr>
            </w:pPr>
            <w:r w:rsidRPr="00B27E56">
              <w:t>PDCCH monitoring occasions</w:t>
            </w:r>
            <w:r w:rsidRPr="00B27E56">
              <w:rPr>
                <w:rStyle w:val="CommentReference"/>
                <w:rFonts w:cs="Arial"/>
                <w:sz w:val="18"/>
                <w:szCs w:val="18"/>
              </w:rPr>
              <w:t xml:space="preserve"> (SFN and slot number)</w:t>
            </w:r>
          </w:p>
        </w:tc>
        <w:tc>
          <w:tcPr>
            <w:tcW w:w="3713" w:type="dxa"/>
            <w:tcBorders>
              <w:bottom w:val="double" w:sz="4" w:space="0" w:color="auto"/>
            </w:tcBorders>
            <w:shd w:val="clear" w:color="auto" w:fill="E0E0E0"/>
            <w:vAlign w:val="center"/>
          </w:tcPr>
          <w:p w14:paraId="5CEFFCD0" w14:textId="77777777" w:rsidR="002A384F" w:rsidRDefault="002A384F" w:rsidP="002A384F">
            <w:pPr>
              <w:spacing w:after="0"/>
              <w:jc w:val="center"/>
              <w:textAlignment w:val="bottom"/>
              <w:rPr>
                <w:rStyle w:val="CommentReference"/>
                <w:rFonts w:ascii="Arial" w:hAnsi="Arial" w:cs="Arial"/>
                <w:b/>
                <w:sz w:val="18"/>
                <w:szCs w:val="18"/>
              </w:rPr>
            </w:pPr>
            <w:r w:rsidRPr="00B27E56">
              <w:rPr>
                <w:rStyle w:val="CommentReference"/>
                <w:rFonts w:ascii="Arial" w:hAnsi="Arial" w:cs="Arial"/>
                <w:b/>
                <w:sz w:val="18"/>
                <w:szCs w:val="18"/>
              </w:rPr>
              <w:t>First symbol index</w:t>
            </w:r>
          </w:p>
          <w:p w14:paraId="1B74813A" w14:textId="5FBB6208" w:rsidR="002A384F" w:rsidRPr="00B27E56" w:rsidRDefault="002A384F" w:rsidP="002A384F">
            <w:pPr>
              <w:spacing w:after="0"/>
              <w:jc w:val="center"/>
              <w:textAlignment w:val="bottom"/>
              <w:rPr>
                <w:rFonts w:ascii="Arial" w:hAnsi="Arial" w:cs="Arial"/>
                <w:b/>
                <w:sz w:val="18"/>
                <w:szCs w:val="18"/>
              </w:rPr>
            </w:pPr>
            <w:r w:rsidRPr="00B916EC">
              <w:rPr>
                <w:rStyle w:val="CommentReference"/>
                <w:rFonts w:ascii="Arial" w:hAnsi="Arial" w:cs="Arial"/>
                <w:b/>
                <w:sz w:val="18"/>
                <w:szCs w:val="18"/>
              </w:rPr>
              <w:t>(</w:t>
            </w:r>
            <w:r w:rsidRPr="00B916EC">
              <w:rPr>
                <w:rStyle w:val="CommentReference"/>
                <w:rFonts w:ascii="Arial" w:hAnsi="Arial" w:cs="Arial"/>
                <w:b/>
                <w:i/>
                <w:sz w:val="18"/>
                <w:szCs w:val="18"/>
              </w:rPr>
              <w:t>k</w:t>
            </w:r>
            <w:r w:rsidRPr="00B916EC">
              <w:rPr>
                <w:rStyle w:val="CommentReference"/>
                <w:rFonts w:ascii="Arial" w:hAnsi="Arial" w:cs="Arial"/>
                <w:b/>
                <w:sz w:val="18"/>
                <w:szCs w:val="18"/>
              </w:rPr>
              <w:t xml:space="preserve"> = 0, 1, … </w:t>
            </w:r>
            <w:r>
              <w:rPr>
                <w:rStyle w:val="CommentReference"/>
                <w:rFonts w:ascii="Arial" w:hAnsi="Arial" w:cs="Arial"/>
                <w:b/>
                <w:sz w:val="18"/>
                <w:szCs w:val="18"/>
              </w:rPr>
              <w:t>3</w:t>
            </w:r>
            <w:r w:rsidRPr="00B916EC">
              <w:rPr>
                <w:rStyle w:val="CommentReference"/>
                <w:rFonts w:ascii="Arial" w:hAnsi="Arial" w:cs="Arial"/>
                <w:b/>
                <w:sz w:val="18"/>
                <w:szCs w:val="18"/>
              </w:rPr>
              <w:t>1)</w:t>
            </w:r>
          </w:p>
        </w:tc>
      </w:tr>
      <w:tr w:rsidR="002A384F" w:rsidRPr="00B27E56" w14:paraId="132FC58D" w14:textId="77777777" w:rsidTr="002A384F">
        <w:trPr>
          <w:cantSplit/>
          <w:trHeight w:val="594"/>
        </w:trPr>
        <w:tc>
          <w:tcPr>
            <w:tcW w:w="806" w:type="dxa"/>
            <w:tcBorders>
              <w:top w:val="double" w:sz="4" w:space="0" w:color="auto"/>
              <w:right w:val="double" w:sz="4" w:space="0" w:color="auto"/>
            </w:tcBorders>
            <w:shd w:val="clear" w:color="auto" w:fill="auto"/>
            <w:vAlign w:val="center"/>
          </w:tcPr>
          <w:p w14:paraId="71751282" w14:textId="77777777" w:rsidR="002A384F" w:rsidRPr="00B27E56" w:rsidRDefault="002A384F" w:rsidP="002A384F">
            <w:pPr>
              <w:pStyle w:val="TAC"/>
              <w:rPr>
                <w:lang w:val="en-US"/>
              </w:rPr>
            </w:pPr>
            <w:r w:rsidRPr="00B27E56">
              <w:rPr>
                <w:lang w:val="en-US"/>
              </w:rPr>
              <w:t>0</w:t>
            </w:r>
          </w:p>
        </w:tc>
        <w:tc>
          <w:tcPr>
            <w:tcW w:w="4914" w:type="dxa"/>
            <w:tcBorders>
              <w:top w:val="double" w:sz="4" w:space="0" w:color="auto"/>
              <w:left w:val="double" w:sz="4" w:space="0" w:color="auto"/>
            </w:tcBorders>
            <w:vAlign w:val="center"/>
          </w:tcPr>
          <w:p w14:paraId="4BD66509" w14:textId="77777777" w:rsidR="002A384F" w:rsidRPr="00B27E56" w:rsidRDefault="00000000" w:rsidP="002A384F">
            <w:pPr>
              <w:spacing w:after="0"/>
              <w:jc w:val="center"/>
              <w:textAlignment w:val="bottom"/>
            </w:pPr>
            <m:oMathPara>
              <m:oMath>
                <m:sSub>
                  <m:sSubPr>
                    <m:ctrlPr>
                      <w:rPr>
                        <w:rFonts w:ascii="Cambria Math" w:hAnsi="Cambria Math"/>
                        <w:iCs/>
                        <w:lang w:val="en-US"/>
                      </w:rPr>
                    </m:ctrlPr>
                  </m:sSubPr>
                  <m:e>
                    <m:r>
                      <m:rPr>
                        <m:sty m:val="p"/>
                      </m:rPr>
                      <w:rPr>
                        <w:rFonts w:ascii="Cambria Math" w:hAnsi="Cambria Math"/>
                        <w:lang w:val="en-US"/>
                      </w:rPr>
                      <m:t>SFN</m:t>
                    </m:r>
                  </m:e>
                  <m:sub>
                    <m:r>
                      <m:rPr>
                        <m:sty m:val="p"/>
                      </m:rPr>
                      <w:rPr>
                        <w:rFonts w:ascii="Cambria Math" w:hAnsi="Cambria Math"/>
                        <w:lang w:val="en-US"/>
                      </w:rPr>
                      <m:t>c</m:t>
                    </m:r>
                  </m:sub>
                </m:sSub>
                <m: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SFN</m:t>
                    </m:r>
                  </m:e>
                  <m:sub>
                    <m:r>
                      <m:rPr>
                        <m:sty m:val="p"/>
                      </m:rPr>
                      <w:rPr>
                        <w:rFonts w:ascii="Cambria Math" w:hAnsi="Cambria Math"/>
                        <w:lang w:val="en-US"/>
                      </w:rPr>
                      <m:t>SSB,</m:t>
                    </m:r>
                    <m:r>
                      <w:rPr>
                        <w:rFonts w:ascii="Cambria Math" w:hAnsi="Cambria Math"/>
                        <w:lang w:val="en-US"/>
                      </w:rPr>
                      <m:t>i</m:t>
                    </m:r>
                  </m:sub>
                </m:sSub>
              </m:oMath>
            </m:oMathPara>
          </w:p>
          <w:p w14:paraId="33540056" w14:textId="7AEEF903" w:rsidR="002A384F" w:rsidRPr="00B27E56" w:rsidRDefault="00000000" w:rsidP="002A384F">
            <w:pPr>
              <w:spacing w:after="0"/>
              <w:jc w:val="center"/>
              <w:textAlignment w:val="bottom"/>
              <w:rPr>
                <w:rFonts w:ascii="Arial" w:hAnsi="Arial" w:cs="Arial"/>
                <w:sz w:val="18"/>
                <w:szCs w:val="18"/>
              </w:rPr>
            </w:pPr>
            <m:oMathPara>
              <m:oMath>
                <m:sSub>
                  <m:sSubPr>
                    <m:ctrlPr>
                      <w:rPr>
                        <w:rFonts w:ascii="Cambria Math" w:hAnsi="Cambria Math"/>
                        <w:iCs/>
                        <w:lang w:val="en-US"/>
                      </w:rPr>
                    </m:ctrlPr>
                  </m:sSubPr>
                  <m:e>
                    <m:r>
                      <w:rPr>
                        <w:rFonts w:ascii="Cambria Math" w:hAnsi="Cambria Math"/>
                        <w:lang w:val="en-US"/>
                      </w:rPr>
                      <m:t>n</m:t>
                    </m:r>
                  </m:e>
                  <m:sub>
                    <m:r>
                      <m:rPr>
                        <m:sty m:val="p"/>
                      </m:rPr>
                      <w:rPr>
                        <w:rFonts w:ascii="Cambria Math" w:hAnsi="Cambria Math"/>
                        <w:lang w:val="en-US"/>
                      </w:rPr>
                      <m:t>c</m:t>
                    </m:r>
                  </m:sub>
                </m:sSub>
                <m:r>
                  <w:rPr>
                    <w:rFonts w:ascii="Cambria Math" w:hAnsi="Cambria Math"/>
                    <w:lang w:val="en-US"/>
                  </w:rPr>
                  <m:t>=</m:t>
                </m:r>
                <m:sSub>
                  <m:sSubPr>
                    <m:ctrlPr>
                      <w:rPr>
                        <w:rFonts w:ascii="Cambria Math" w:hAnsi="Cambria Math"/>
                        <w:iCs/>
                        <w:lang w:val="en-US"/>
                      </w:rPr>
                    </m:ctrlPr>
                  </m:sSubPr>
                  <m:e>
                    <m:r>
                      <w:rPr>
                        <w:rFonts w:ascii="Cambria Math" w:hAnsi="Cambria Math"/>
                        <w:lang w:val="en-US"/>
                      </w:rPr>
                      <m:t>n</m:t>
                    </m:r>
                  </m:e>
                  <m:sub>
                    <m:r>
                      <m:rPr>
                        <m:sty m:val="p"/>
                      </m:rPr>
                      <w:rPr>
                        <w:rFonts w:ascii="Cambria Math" w:hAnsi="Cambria Math"/>
                        <w:lang w:val="en-US"/>
                      </w:rPr>
                      <m:t>SSB,</m:t>
                    </m:r>
                    <m:r>
                      <w:rPr>
                        <w:rFonts w:ascii="Cambria Math" w:hAnsi="Cambria Math"/>
                        <w:lang w:val="en-US"/>
                      </w:rPr>
                      <m:t>i</m:t>
                    </m:r>
                  </m:sub>
                </m:sSub>
              </m:oMath>
            </m:oMathPara>
          </w:p>
        </w:tc>
        <w:tc>
          <w:tcPr>
            <w:tcW w:w="3713" w:type="dxa"/>
            <w:tcBorders>
              <w:top w:val="double" w:sz="4" w:space="0" w:color="auto"/>
            </w:tcBorders>
            <w:vAlign w:val="center"/>
          </w:tcPr>
          <w:p w14:paraId="3CD3D3C3" w14:textId="77777777" w:rsidR="002A384F" w:rsidRPr="00B27E56" w:rsidRDefault="002A384F" w:rsidP="002A384F">
            <w:pPr>
              <w:spacing w:after="120"/>
              <w:jc w:val="center"/>
              <w:textAlignment w:val="bottom"/>
              <w:rPr>
                <w:rFonts w:ascii="Arial" w:hAnsi="Arial" w:cs="Arial"/>
                <w:sz w:val="18"/>
                <w:szCs w:val="18"/>
              </w:rPr>
            </w:pPr>
            <w:r>
              <w:rPr>
                <w:rStyle w:val="CommentReference"/>
                <w:rFonts w:ascii="Arial" w:hAnsi="Arial" w:cs="Arial"/>
                <w:sz w:val="18"/>
                <w:szCs w:val="18"/>
              </w:rPr>
              <w:t>2</w:t>
            </w:r>
            <w:r w:rsidRPr="00B27E56">
              <w:rPr>
                <w:rStyle w:val="CommentReference"/>
                <w:rFonts w:ascii="Arial" w:hAnsi="Arial" w:cs="Arial"/>
                <w:sz w:val="18"/>
                <w:szCs w:val="18"/>
              </w:rPr>
              <w:t xml:space="preserve">, </w:t>
            </w:r>
            <w:r>
              <w:rPr>
                <w:rStyle w:val="CommentReference"/>
                <w:rFonts w:ascii="Arial" w:hAnsi="Arial" w:cs="Arial"/>
                <w:sz w:val="18"/>
                <w:szCs w:val="18"/>
              </w:rPr>
              <w:t>9</w:t>
            </w:r>
            <w:r w:rsidRPr="00B27E56">
              <w:rPr>
                <w:rStyle w:val="CommentReference"/>
                <w:rFonts w:ascii="Arial" w:hAnsi="Arial" w:cs="Arial"/>
                <w:sz w:val="18"/>
                <w:szCs w:val="18"/>
              </w:rPr>
              <w:t xml:space="preserve"> in</w:t>
            </w:r>
          </w:p>
          <w:p w14:paraId="389DA781" w14:textId="256FBA6E" w:rsidR="002A384F" w:rsidRPr="00B27E56" w:rsidRDefault="002A384F" w:rsidP="002A384F">
            <w:pPr>
              <w:spacing w:after="0"/>
              <w:jc w:val="center"/>
              <w:textAlignment w:val="bottom"/>
              <w:rPr>
                <w:rFonts w:ascii="Arial" w:hAnsi="Arial" w:cs="Arial"/>
                <w:sz w:val="18"/>
                <w:szCs w:val="18"/>
              </w:rPr>
            </w:pPr>
            <m:oMath>
              <m:r>
                <w:rPr>
                  <w:rFonts w:ascii="Cambria Math" w:hAnsi="Cambria Math"/>
                </w:rPr>
                <m:t>i=2k</m:t>
              </m:r>
            </m:oMath>
            <w:r w:rsidRPr="00B27E56">
              <w:rPr>
                <w:rStyle w:val="CommentReference"/>
                <w:rFonts w:ascii="Arial" w:hAnsi="Arial" w:cs="Arial"/>
                <w:sz w:val="18"/>
                <w:szCs w:val="18"/>
              </w:rPr>
              <w:t xml:space="preserve">, </w:t>
            </w:r>
            <m:oMath>
              <m:r>
                <w:rPr>
                  <w:rFonts w:ascii="Cambria Math" w:hAnsi="Cambria Math"/>
                </w:rPr>
                <m:t>i=2k+1</m:t>
              </m:r>
            </m:oMath>
          </w:p>
        </w:tc>
      </w:tr>
      <w:tr w:rsidR="0080432E" w:rsidRPr="00B27E56" w14:paraId="005CD593" w14:textId="77777777" w:rsidTr="002A384F">
        <w:trPr>
          <w:cantSplit/>
        </w:trPr>
        <w:tc>
          <w:tcPr>
            <w:tcW w:w="806" w:type="dxa"/>
            <w:tcBorders>
              <w:right w:val="double" w:sz="4" w:space="0" w:color="auto"/>
            </w:tcBorders>
            <w:shd w:val="clear" w:color="auto" w:fill="auto"/>
            <w:vAlign w:val="center"/>
          </w:tcPr>
          <w:p w14:paraId="2ABA62DA" w14:textId="77777777" w:rsidR="0080432E" w:rsidRPr="00B27E56" w:rsidRDefault="0080432E" w:rsidP="009B5A01">
            <w:pPr>
              <w:pStyle w:val="TAC"/>
              <w:rPr>
                <w:lang w:val="en-US"/>
              </w:rPr>
            </w:pPr>
            <w:r w:rsidRPr="00B27E56">
              <w:rPr>
                <w:lang w:val="en-US"/>
              </w:rPr>
              <w:t>1</w:t>
            </w:r>
          </w:p>
        </w:tc>
        <w:tc>
          <w:tcPr>
            <w:tcW w:w="8627" w:type="dxa"/>
            <w:gridSpan w:val="2"/>
            <w:tcBorders>
              <w:left w:val="double" w:sz="4" w:space="0" w:color="auto"/>
            </w:tcBorders>
            <w:vAlign w:val="center"/>
          </w:tcPr>
          <w:p w14:paraId="4B6F1A9D" w14:textId="77777777" w:rsidR="0080432E" w:rsidRPr="00B27E56" w:rsidRDefault="0080432E" w:rsidP="009B5A01">
            <w:pPr>
              <w:pStyle w:val="TAC"/>
            </w:pPr>
            <w:r w:rsidRPr="00B27E56">
              <w:rPr>
                <w:rFonts w:cs="Arial"/>
                <w:kern w:val="24"/>
                <w:szCs w:val="18"/>
              </w:rPr>
              <w:t>Reserved</w:t>
            </w:r>
          </w:p>
        </w:tc>
      </w:tr>
      <w:tr w:rsidR="0080432E" w:rsidRPr="00B27E56" w14:paraId="2217AFA6" w14:textId="77777777" w:rsidTr="002A384F">
        <w:trPr>
          <w:cantSplit/>
        </w:trPr>
        <w:tc>
          <w:tcPr>
            <w:tcW w:w="806" w:type="dxa"/>
            <w:tcBorders>
              <w:right w:val="double" w:sz="4" w:space="0" w:color="auto"/>
            </w:tcBorders>
            <w:shd w:val="clear" w:color="auto" w:fill="auto"/>
            <w:vAlign w:val="center"/>
          </w:tcPr>
          <w:p w14:paraId="047A2865" w14:textId="77777777" w:rsidR="0080432E" w:rsidRPr="00B27E56" w:rsidRDefault="0080432E" w:rsidP="009B5A01">
            <w:pPr>
              <w:pStyle w:val="TAC"/>
            </w:pPr>
            <w:r w:rsidRPr="00B27E56">
              <w:t>2</w:t>
            </w:r>
          </w:p>
        </w:tc>
        <w:tc>
          <w:tcPr>
            <w:tcW w:w="8627" w:type="dxa"/>
            <w:gridSpan w:val="2"/>
            <w:tcBorders>
              <w:left w:val="double" w:sz="4" w:space="0" w:color="auto"/>
            </w:tcBorders>
            <w:vAlign w:val="center"/>
          </w:tcPr>
          <w:p w14:paraId="5D6C62D0" w14:textId="77777777" w:rsidR="0080432E" w:rsidRPr="00B27E56" w:rsidRDefault="0080432E" w:rsidP="009B5A01">
            <w:pPr>
              <w:pStyle w:val="TAC"/>
              <w:rPr>
                <w:rFonts w:cs="Arial"/>
                <w:kern w:val="24"/>
                <w:szCs w:val="18"/>
              </w:rPr>
            </w:pPr>
            <w:r w:rsidRPr="00B27E56">
              <w:rPr>
                <w:rFonts w:cs="Arial"/>
                <w:kern w:val="24"/>
                <w:szCs w:val="18"/>
              </w:rPr>
              <w:t>Reserved</w:t>
            </w:r>
          </w:p>
        </w:tc>
      </w:tr>
      <w:tr w:rsidR="0080432E" w:rsidRPr="00B27E56" w14:paraId="6E614BE7" w14:textId="77777777" w:rsidTr="002A384F">
        <w:trPr>
          <w:cantSplit/>
        </w:trPr>
        <w:tc>
          <w:tcPr>
            <w:tcW w:w="806" w:type="dxa"/>
            <w:tcBorders>
              <w:right w:val="double" w:sz="4" w:space="0" w:color="auto"/>
            </w:tcBorders>
            <w:shd w:val="clear" w:color="auto" w:fill="auto"/>
            <w:vAlign w:val="center"/>
          </w:tcPr>
          <w:p w14:paraId="01BA3E16" w14:textId="77777777" w:rsidR="0080432E" w:rsidRPr="00B27E56" w:rsidRDefault="0080432E" w:rsidP="009B5A01">
            <w:pPr>
              <w:pStyle w:val="TAC"/>
            </w:pPr>
            <w:r w:rsidRPr="00B27E56">
              <w:t>3</w:t>
            </w:r>
          </w:p>
        </w:tc>
        <w:tc>
          <w:tcPr>
            <w:tcW w:w="8627" w:type="dxa"/>
            <w:gridSpan w:val="2"/>
            <w:tcBorders>
              <w:left w:val="double" w:sz="4" w:space="0" w:color="auto"/>
            </w:tcBorders>
            <w:vAlign w:val="center"/>
          </w:tcPr>
          <w:p w14:paraId="60EC901B" w14:textId="77777777" w:rsidR="0080432E" w:rsidRPr="00B27E56" w:rsidRDefault="0080432E" w:rsidP="009B5A01">
            <w:pPr>
              <w:pStyle w:val="TAC"/>
            </w:pPr>
            <w:r w:rsidRPr="00B27E56">
              <w:rPr>
                <w:rFonts w:cs="Arial"/>
                <w:kern w:val="24"/>
                <w:szCs w:val="18"/>
              </w:rPr>
              <w:t>Reserved</w:t>
            </w:r>
          </w:p>
        </w:tc>
      </w:tr>
      <w:tr w:rsidR="0080432E" w:rsidRPr="00B27E56" w14:paraId="01CEC03E" w14:textId="77777777" w:rsidTr="002A384F">
        <w:trPr>
          <w:cantSplit/>
        </w:trPr>
        <w:tc>
          <w:tcPr>
            <w:tcW w:w="806" w:type="dxa"/>
            <w:tcBorders>
              <w:right w:val="double" w:sz="4" w:space="0" w:color="auto"/>
            </w:tcBorders>
            <w:shd w:val="clear" w:color="auto" w:fill="auto"/>
            <w:vAlign w:val="center"/>
          </w:tcPr>
          <w:p w14:paraId="25A9C392" w14:textId="77777777" w:rsidR="0080432E" w:rsidRPr="00B27E56" w:rsidRDefault="0080432E" w:rsidP="009B5A01">
            <w:pPr>
              <w:pStyle w:val="TAC"/>
            </w:pPr>
            <w:r w:rsidRPr="00B27E56">
              <w:t>4</w:t>
            </w:r>
          </w:p>
        </w:tc>
        <w:tc>
          <w:tcPr>
            <w:tcW w:w="8627" w:type="dxa"/>
            <w:gridSpan w:val="2"/>
            <w:tcBorders>
              <w:left w:val="double" w:sz="4" w:space="0" w:color="auto"/>
            </w:tcBorders>
            <w:vAlign w:val="center"/>
          </w:tcPr>
          <w:p w14:paraId="7CC08C2E" w14:textId="77777777" w:rsidR="0080432E" w:rsidRPr="00B27E56" w:rsidRDefault="0080432E" w:rsidP="009B5A01">
            <w:pPr>
              <w:pStyle w:val="TAC"/>
              <w:rPr>
                <w:rFonts w:cs="Arial"/>
                <w:kern w:val="24"/>
                <w:szCs w:val="18"/>
              </w:rPr>
            </w:pPr>
            <w:r w:rsidRPr="00B27E56">
              <w:rPr>
                <w:rFonts w:cs="Arial"/>
                <w:kern w:val="24"/>
                <w:szCs w:val="18"/>
              </w:rPr>
              <w:t>Reserved</w:t>
            </w:r>
          </w:p>
        </w:tc>
      </w:tr>
      <w:tr w:rsidR="0080432E" w:rsidRPr="00B27E56" w14:paraId="1DA9E935" w14:textId="77777777" w:rsidTr="002A384F">
        <w:trPr>
          <w:cantSplit/>
        </w:trPr>
        <w:tc>
          <w:tcPr>
            <w:tcW w:w="806" w:type="dxa"/>
            <w:tcBorders>
              <w:right w:val="double" w:sz="4" w:space="0" w:color="auto"/>
            </w:tcBorders>
            <w:shd w:val="clear" w:color="auto" w:fill="auto"/>
            <w:vAlign w:val="center"/>
          </w:tcPr>
          <w:p w14:paraId="73B1C3FE" w14:textId="77777777" w:rsidR="0080432E" w:rsidRPr="00B27E56" w:rsidRDefault="0080432E" w:rsidP="009B5A01">
            <w:pPr>
              <w:pStyle w:val="TAC"/>
            </w:pPr>
            <w:r w:rsidRPr="00B27E56">
              <w:t>5</w:t>
            </w:r>
          </w:p>
        </w:tc>
        <w:tc>
          <w:tcPr>
            <w:tcW w:w="8627" w:type="dxa"/>
            <w:gridSpan w:val="2"/>
            <w:tcBorders>
              <w:left w:val="double" w:sz="4" w:space="0" w:color="auto"/>
            </w:tcBorders>
            <w:vAlign w:val="center"/>
          </w:tcPr>
          <w:p w14:paraId="05B8CD55" w14:textId="77777777" w:rsidR="0080432E" w:rsidRPr="00B27E56" w:rsidRDefault="0080432E" w:rsidP="009B5A01">
            <w:pPr>
              <w:pStyle w:val="TAC"/>
            </w:pPr>
            <w:r w:rsidRPr="00B27E56">
              <w:rPr>
                <w:rFonts w:cs="Arial"/>
                <w:kern w:val="24"/>
                <w:szCs w:val="18"/>
              </w:rPr>
              <w:t>Reserved</w:t>
            </w:r>
          </w:p>
        </w:tc>
      </w:tr>
      <w:tr w:rsidR="0080432E" w:rsidRPr="00B27E56" w14:paraId="3C3641F9" w14:textId="77777777" w:rsidTr="002A384F">
        <w:trPr>
          <w:cantSplit/>
        </w:trPr>
        <w:tc>
          <w:tcPr>
            <w:tcW w:w="806" w:type="dxa"/>
            <w:tcBorders>
              <w:right w:val="double" w:sz="4" w:space="0" w:color="auto"/>
            </w:tcBorders>
            <w:shd w:val="clear" w:color="auto" w:fill="auto"/>
            <w:vAlign w:val="center"/>
          </w:tcPr>
          <w:p w14:paraId="1A6459FE" w14:textId="77777777" w:rsidR="0080432E" w:rsidRPr="00B27E56" w:rsidRDefault="0080432E" w:rsidP="009B5A01">
            <w:pPr>
              <w:pStyle w:val="TAC"/>
            </w:pPr>
            <w:r w:rsidRPr="00B27E56">
              <w:t>6</w:t>
            </w:r>
          </w:p>
        </w:tc>
        <w:tc>
          <w:tcPr>
            <w:tcW w:w="8627" w:type="dxa"/>
            <w:gridSpan w:val="2"/>
            <w:tcBorders>
              <w:left w:val="double" w:sz="4" w:space="0" w:color="auto"/>
            </w:tcBorders>
            <w:vAlign w:val="center"/>
          </w:tcPr>
          <w:p w14:paraId="16DD208B" w14:textId="77777777" w:rsidR="0080432E" w:rsidRPr="00B27E56" w:rsidRDefault="0080432E" w:rsidP="009B5A01">
            <w:pPr>
              <w:pStyle w:val="TAC"/>
              <w:rPr>
                <w:rFonts w:cs="Arial"/>
                <w:kern w:val="24"/>
                <w:szCs w:val="18"/>
              </w:rPr>
            </w:pPr>
            <w:r w:rsidRPr="00B27E56">
              <w:rPr>
                <w:rFonts w:cs="Arial"/>
                <w:kern w:val="24"/>
                <w:szCs w:val="18"/>
              </w:rPr>
              <w:t>Reserved</w:t>
            </w:r>
          </w:p>
        </w:tc>
      </w:tr>
      <w:tr w:rsidR="0080432E" w:rsidRPr="00B27E56" w14:paraId="692241D2" w14:textId="77777777" w:rsidTr="002A384F">
        <w:trPr>
          <w:cantSplit/>
        </w:trPr>
        <w:tc>
          <w:tcPr>
            <w:tcW w:w="806" w:type="dxa"/>
            <w:tcBorders>
              <w:right w:val="double" w:sz="4" w:space="0" w:color="auto"/>
            </w:tcBorders>
            <w:shd w:val="clear" w:color="auto" w:fill="auto"/>
            <w:vAlign w:val="center"/>
          </w:tcPr>
          <w:p w14:paraId="088DC042" w14:textId="77777777" w:rsidR="0080432E" w:rsidRPr="00B27E56" w:rsidRDefault="0080432E" w:rsidP="009B5A01">
            <w:pPr>
              <w:pStyle w:val="TAC"/>
            </w:pPr>
            <w:r w:rsidRPr="00B27E56">
              <w:t>7</w:t>
            </w:r>
          </w:p>
        </w:tc>
        <w:tc>
          <w:tcPr>
            <w:tcW w:w="8627" w:type="dxa"/>
            <w:gridSpan w:val="2"/>
            <w:tcBorders>
              <w:left w:val="double" w:sz="4" w:space="0" w:color="auto"/>
            </w:tcBorders>
            <w:vAlign w:val="center"/>
          </w:tcPr>
          <w:p w14:paraId="41154C70" w14:textId="77777777" w:rsidR="0080432E" w:rsidRPr="00B27E56" w:rsidRDefault="0080432E" w:rsidP="009B5A01">
            <w:pPr>
              <w:pStyle w:val="TAC"/>
            </w:pPr>
            <w:r w:rsidRPr="00B27E56">
              <w:rPr>
                <w:rFonts w:cs="Arial"/>
                <w:kern w:val="24"/>
                <w:szCs w:val="18"/>
              </w:rPr>
              <w:t>Reserved</w:t>
            </w:r>
          </w:p>
        </w:tc>
      </w:tr>
      <w:tr w:rsidR="0080432E" w:rsidRPr="00B27E56" w14:paraId="1314B529" w14:textId="77777777" w:rsidTr="002A384F">
        <w:trPr>
          <w:cantSplit/>
        </w:trPr>
        <w:tc>
          <w:tcPr>
            <w:tcW w:w="806" w:type="dxa"/>
            <w:tcBorders>
              <w:right w:val="double" w:sz="4" w:space="0" w:color="auto"/>
            </w:tcBorders>
            <w:shd w:val="clear" w:color="auto" w:fill="auto"/>
            <w:vAlign w:val="center"/>
          </w:tcPr>
          <w:p w14:paraId="62440D06" w14:textId="77777777" w:rsidR="0080432E" w:rsidRPr="00B27E56" w:rsidRDefault="0080432E" w:rsidP="009B5A01">
            <w:pPr>
              <w:pStyle w:val="TAC"/>
            </w:pPr>
            <w:r w:rsidRPr="00B27E56">
              <w:t>8</w:t>
            </w:r>
          </w:p>
        </w:tc>
        <w:tc>
          <w:tcPr>
            <w:tcW w:w="8627" w:type="dxa"/>
            <w:gridSpan w:val="2"/>
            <w:tcBorders>
              <w:left w:val="double" w:sz="4" w:space="0" w:color="auto"/>
            </w:tcBorders>
            <w:vAlign w:val="center"/>
          </w:tcPr>
          <w:p w14:paraId="67B4830F" w14:textId="77777777" w:rsidR="0080432E" w:rsidRPr="00B27E56" w:rsidRDefault="0080432E" w:rsidP="009B5A01">
            <w:pPr>
              <w:pStyle w:val="TAC"/>
              <w:rPr>
                <w:rFonts w:cs="Arial"/>
                <w:kern w:val="24"/>
                <w:szCs w:val="18"/>
              </w:rPr>
            </w:pPr>
            <w:r w:rsidRPr="00B27E56">
              <w:rPr>
                <w:rFonts w:cs="Arial"/>
                <w:kern w:val="24"/>
                <w:szCs w:val="18"/>
              </w:rPr>
              <w:t>Reserved</w:t>
            </w:r>
          </w:p>
        </w:tc>
      </w:tr>
      <w:tr w:rsidR="0080432E" w:rsidRPr="00B27E56" w14:paraId="7AACDA39" w14:textId="77777777" w:rsidTr="002A384F">
        <w:trPr>
          <w:cantSplit/>
        </w:trPr>
        <w:tc>
          <w:tcPr>
            <w:tcW w:w="806" w:type="dxa"/>
            <w:tcBorders>
              <w:right w:val="double" w:sz="4" w:space="0" w:color="auto"/>
            </w:tcBorders>
            <w:shd w:val="clear" w:color="auto" w:fill="auto"/>
            <w:vAlign w:val="center"/>
          </w:tcPr>
          <w:p w14:paraId="1C76B027" w14:textId="77777777" w:rsidR="0080432E" w:rsidRPr="00B27E56" w:rsidRDefault="0080432E" w:rsidP="009B5A01">
            <w:pPr>
              <w:pStyle w:val="TAC"/>
            </w:pPr>
            <w:r w:rsidRPr="00B27E56">
              <w:t>9</w:t>
            </w:r>
          </w:p>
        </w:tc>
        <w:tc>
          <w:tcPr>
            <w:tcW w:w="8627" w:type="dxa"/>
            <w:gridSpan w:val="2"/>
            <w:tcBorders>
              <w:left w:val="double" w:sz="4" w:space="0" w:color="auto"/>
            </w:tcBorders>
            <w:vAlign w:val="center"/>
          </w:tcPr>
          <w:p w14:paraId="10507BDF" w14:textId="77777777" w:rsidR="0080432E" w:rsidRPr="00B27E56" w:rsidRDefault="0080432E" w:rsidP="009B5A01">
            <w:pPr>
              <w:pStyle w:val="TAC"/>
            </w:pPr>
            <w:r w:rsidRPr="00B27E56">
              <w:rPr>
                <w:rFonts w:cs="Arial"/>
                <w:kern w:val="24"/>
                <w:szCs w:val="18"/>
              </w:rPr>
              <w:t>Reserved</w:t>
            </w:r>
          </w:p>
        </w:tc>
      </w:tr>
      <w:tr w:rsidR="0080432E" w:rsidRPr="00B27E56" w14:paraId="26CB2984" w14:textId="77777777" w:rsidTr="002A384F">
        <w:trPr>
          <w:cantSplit/>
        </w:trPr>
        <w:tc>
          <w:tcPr>
            <w:tcW w:w="806" w:type="dxa"/>
            <w:tcBorders>
              <w:right w:val="double" w:sz="4" w:space="0" w:color="auto"/>
            </w:tcBorders>
            <w:shd w:val="clear" w:color="auto" w:fill="auto"/>
            <w:vAlign w:val="center"/>
          </w:tcPr>
          <w:p w14:paraId="543CB018" w14:textId="77777777" w:rsidR="0080432E" w:rsidRPr="00B27E56" w:rsidRDefault="0080432E" w:rsidP="009B5A01">
            <w:pPr>
              <w:pStyle w:val="TAC"/>
            </w:pPr>
            <w:r w:rsidRPr="00B27E56">
              <w:t>10</w:t>
            </w:r>
          </w:p>
        </w:tc>
        <w:tc>
          <w:tcPr>
            <w:tcW w:w="8627" w:type="dxa"/>
            <w:gridSpan w:val="2"/>
            <w:tcBorders>
              <w:left w:val="double" w:sz="4" w:space="0" w:color="auto"/>
            </w:tcBorders>
            <w:vAlign w:val="center"/>
          </w:tcPr>
          <w:p w14:paraId="373C7E6F" w14:textId="77777777" w:rsidR="0080432E" w:rsidRPr="00B27E56" w:rsidRDefault="0080432E" w:rsidP="009B5A01">
            <w:pPr>
              <w:pStyle w:val="TAC"/>
              <w:rPr>
                <w:rFonts w:cs="Arial"/>
                <w:kern w:val="24"/>
                <w:szCs w:val="18"/>
              </w:rPr>
            </w:pPr>
            <w:r w:rsidRPr="00B27E56">
              <w:rPr>
                <w:rFonts w:cs="Arial"/>
                <w:kern w:val="24"/>
                <w:szCs w:val="18"/>
              </w:rPr>
              <w:t>Reserved</w:t>
            </w:r>
          </w:p>
        </w:tc>
      </w:tr>
      <w:tr w:rsidR="0080432E" w:rsidRPr="00B27E56" w14:paraId="276143B6" w14:textId="77777777" w:rsidTr="002A384F">
        <w:trPr>
          <w:cantSplit/>
        </w:trPr>
        <w:tc>
          <w:tcPr>
            <w:tcW w:w="806" w:type="dxa"/>
            <w:tcBorders>
              <w:right w:val="double" w:sz="4" w:space="0" w:color="auto"/>
            </w:tcBorders>
            <w:shd w:val="clear" w:color="auto" w:fill="auto"/>
            <w:vAlign w:val="center"/>
          </w:tcPr>
          <w:p w14:paraId="5B04617A" w14:textId="77777777" w:rsidR="0080432E" w:rsidRPr="00B27E56" w:rsidRDefault="0080432E" w:rsidP="009B5A01">
            <w:pPr>
              <w:pStyle w:val="TAC"/>
            </w:pPr>
            <w:r w:rsidRPr="00B27E56">
              <w:t>11</w:t>
            </w:r>
          </w:p>
        </w:tc>
        <w:tc>
          <w:tcPr>
            <w:tcW w:w="8627" w:type="dxa"/>
            <w:gridSpan w:val="2"/>
            <w:tcBorders>
              <w:left w:val="double" w:sz="4" w:space="0" w:color="auto"/>
            </w:tcBorders>
            <w:vAlign w:val="center"/>
          </w:tcPr>
          <w:p w14:paraId="521C6BD2" w14:textId="77777777" w:rsidR="0080432E" w:rsidRPr="00B27E56" w:rsidRDefault="0080432E" w:rsidP="009B5A01">
            <w:pPr>
              <w:pStyle w:val="TAC"/>
            </w:pPr>
            <w:r w:rsidRPr="00B27E56">
              <w:rPr>
                <w:rFonts w:cs="Arial"/>
                <w:kern w:val="24"/>
                <w:szCs w:val="18"/>
              </w:rPr>
              <w:t>Reserved</w:t>
            </w:r>
          </w:p>
        </w:tc>
      </w:tr>
      <w:tr w:rsidR="0080432E" w:rsidRPr="00B27E56" w14:paraId="4595AB88" w14:textId="77777777" w:rsidTr="002A384F">
        <w:trPr>
          <w:cantSplit/>
        </w:trPr>
        <w:tc>
          <w:tcPr>
            <w:tcW w:w="806" w:type="dxa"/>
            <w:tcBorders>
              <w:right w:val="double" w:sz="4" w:space="0" w:color="auto"/>
            </w:tcBorders>
            <w:shd w:val="clear" w:color="auto" w:fill="auto"/>
            <w:vAlign w:val="center"/>
          </w:tcPr>
          <w:p w14:paraId="596F7096" w14:textId="77777777" w:rsidR="0080432E" w:rsidRPr="00B27E56" w:rsidRDefault="0080432E" w:rsidP="009B5A01">
            <w:pPr>
              <w:pStyle w:val="TAC"/>
            </w:pPr>
            <w:r w:rsidRPr="00B27E56">
              <w:t>12</w:t>
            </w:r>
          </w:p>
        </w:tc>
        <w:tc>
          <w:tcPr>
            <w:tcW w:w="8627" w:type="dxa"/>
            <w:gridSpan w:val="2"/>
            <w:tcBorders>
              <w:left w:val="double" w:sz="4" w:space="0" w:color="auto"/>
            </w:tcBorders>
            <w:vAlign w:val="center"/>
          </w:tcPr>
          <w:p w14:paraId="233F11AC" w14:textId="77777777" w:rsidR="0080432E" w:rsidRPr="00B27E56" w:rsidRDefault="0080432E" w:rsidP="009B5A01">
            <w:pPr>
              <w:pStyle w:val="TAC"/>
              <w:rPr>
                <w:rFonts w:cs="Arial"/>
                <w:kern w:val="24"/>
                <w:szCs w:val="18"/>
              </w:rPr>
            </w:pPr>
            <w:r w:rsidRPr="00B27E56">
              <w:rPr>
                <w:rFonts w:cs="Arial"/>
                <w:kern w:val="24"/>
                <w:szCs w:val="18"/>
              </w:rPr>
              <w:t>Reserved</w:t>
            </w:r>
          </w:p>
        </w:tc>
      </w:tr>
      <w:tr w:rsidR="0080432E" w:rsidRPr="00B27E56" w14:paraId="0A7ACAC7" w14:textId="77777777" w:rsidTr="002A384F">
        <w:trPr>
          <w:cantSplit/>
        </w:trPr>
        <w:tc>
          <w:tcPr>
            <w:tcW w:w="806" w:type="dxa"/>
            <w:tcBorders>
              <w:right w:val="double" w:sz="4" w:space="0" w:color="auto"/>
            </w:tcBorders>
            <w:shd w:val="clear" w:color="auto" w:fill="auto"/>
            <w:vAlign w:val="center"/>
          </w:tcPr>
          <w:p w14:paraId="19E25527" w14:textId="77777777" w:rsidR="0080432E" w:rsidRPr="00B27E56" w:rsidRDefault="0080432E" w:rsidP="009B5A01">
            <w:pPr>
              <w:pStyle w:val="TAC"/>
            </w:pPr>
            <w:r w:rsidRPr="00B27E56">
              <w:t>13</w:t>
            </w:r>
          </w:p>
        </w:tc>
        <w:tc>
          <w:tcPr>
            <w:tcW w:w="8627" w:type="dxa"/>
            <w:gridSpan w:val="2"/>
            <w:tcBorders>
              <w:left w:val="double" w:sz="4" w:space="0" w:color="auto"/>
            </w:tcBorders>
            <w:vAlign w:val="center"/>
          </w:tcPr>
          <w:p w14:paraId="1AE97D5B" w14:textId="77777777" w:rsidR="0080432E" w:rsidRPr="00B27E56" w:rsidRDefault="0080432E" w:rsidP="009B5A01">
            <w:pPr>
              <w:pStyle w:val="TAC"/>
            </w:pPr>
            <w:r w:rsidRPr="00B27E56">
              <w:rPr>
                <w:rFonts w:cs="Arial"/>
                <w:kern w:val="24"/>
                <w:szCs w:val="18"/>
              </w:rPr>
              <w:t>Reserved</w:t>
            </w:r>
          </w:p>
        </w:tc>
      </w:tr>
      <w:tr w:rsidR="0080432E" w:rsidRPr="00B27E56" w14:paraId="28D7FFB1" w14:textId="77777777" w:rsidTr="002A384F">
        <w:trPr>
          <w:cantSplit/>
        </w:trPr>
        <w:tc>
          <w:tcPr>
            <w:tcW w:w="806" w:type="dxa"/>
            <w:tcBorders>
              <w:right w:val="double" w:sz="4" w:space="0" w:color="auto"/>
            </w:tcBorders>
            <w:shd w:val="clear" w:color="auto" w:fill="auto"/>
            <w:vAlign w:val="center"/>
          </w:tcPr>
          <w:p w14:paraId="23C1E90B" w14:textId="77777777" w:rsidR="0080432E" w:rsidRPr="00B27E56" w:rsidRDefault="0080432E" w:rsidP="009B5A01">
            <w:pPr>
              <w:pStyle w:val="TAC"/>
            </w:pPr>
            <w:r w:rsidRPr="00B27E56">
              <w:t>14</w:t>
            </w:r>
          </w:p>
        </w:tc>
        <w:tc>
          <w:tcPr>
            <w:tcW w:w="8627" w:type="dxa"/>
            <w:gridSpan w:val="2"/>
            <w:tcBorders>
              <w:left w:val="double" w:sz="4" w:space="0" w:color="auto"/>
            </w:tcBorders>
            <w:vAlign w:val="center"/>
          </w:tcPr>
          <w:p w14:paraId="6116200A" w14:textId="77777777" w:rsidR="0080432E" w:rsidRPr="00B27E56" w:rsidRDefault="0080432E" w:rsidP="009B5A01">
            <w:pPr>
              <w:pStyle w:val="TAC"/>
            </w:pPr>
            <w:r w:rsidRPr="00B27E56">
              <w:rPr>
                <w:rFonts w:cs="Arial"/>
                <w:kern w:val="24"/>
                <w:szCs w:val="18"/>
              </w:rPr>
              <w:t>Reserved</w:t>
            </w:r>
          </w:p>
        </w:tc>
      </w:tr>
      <w:tr w:rsidR="0080432E" w:rsidRPr="00B27E56" w14:paraId="39C4A3CB" w14:textId="77777777" w:rsidTr="002A384F">
        <w:trPr>
          <w:cantSplit/>
        </w:trPr>
        <w:tc>
          <w:tcPr>
            <w:tcW w:w="806" w:type="dxa"/>
            <w:tcBorders>
              <w:right w:val="double" w:sz="4" w:space="0" w:color="auto"/>
            </w:tcBorders>
            <w:shd w:val="clear" w:color="auto" w:fill="auto"/>
            <w:vAlign w:val="center"/>
          </w:tcPr>
          <w:p w14:paraId="0178FDE6" w14:textId="77777777" w:rsidR="0080432E" w:rsidRPr="00B27E56" w:rsidRDefault="0080432E" w:rsidP="009B5A01">
            <w:pPr>
              <w:pStyle w:val="TAC"/>
            </w:pPr>
            <w:r w:rsidRPr="00B27E56">
              <w:rPr>
                <w:rFonts w:cs="Arial"/>
                <w:kern w:val="24"/>
                <w:szCs w:val="18"/>
              </w:rPr>
              <w:t>15</w:t>
            </w:r>
          </w:p>
        </w:tc>
        <w:tc>
          <w:tcPr>
            <w:tcW w:w="8627" w:type="dxa"/>
            <w:gridSpan w:val="2"/>
            <w:tcBorders>
              <w:left w:val="double" w:sz="4" w:space="0" w:color="auto"/>
            </w:tcBorders>
            <w:vAlign w:val="center"/>
          </w:tcPr>
          <w:p w14:paraId="19B116CE" w14:textId="77777777" w:rsidR="0080432E" w:rsidRPr="00B27E56" w:rsidRDefault="0080432E" w:rsidP="009B5A01">
            <w:pPr>
              <w:pStyle w:val="TAC"/>
              <w:rPr>
                <w:rFonts w:cs="Arial"/>
                <w:kern w:val="24"/>
                <w:szCs w:val="18"/>
              </w:rPr>
            </w:pPr>
            <w:r w:rsidRPr="00B27E56">
              <w:rPr>
                <w:rFonts w:cs="Arial"/>
                <w:kern w:val="24"/>
                <w:szCs w:val="18"/>
              </w:rPr>
              <w:t>Reserved</w:t>
            </w:r>
          </w:p>
        </w:tc>
      </w:tr>
    </w:tbl>
    <w:p w14:paraId="62D0CC07" w14:textId="77777777" w:rsidR="0080432E" w:rsidRDefault="0080432E" w:rsidP="001E66D2">
      <w:pPr>
        <w:rPr>
          <w:rStyle w:val="CommentReference"/>
        </w:rPr>
      </w:pPr>
    </w:p>
    <w:p w14:paraId="355219DF" w14:textId="6B900B86" w:rsidR="00282C81" w:rsidRPr="00263A9F" w:rsidRDefault="00282C81" w:rsidP="00282C81">
      <w:pPr>
        <w:textAlignment w:val="bottom"/>
      </w:pPr>
      <w:r w:rsidRPr="00263A9F">
        <w:t xml:space="preserve">If a UE detects a first SS/PBCH block and determines that a </w:t>
      </w:r>
      <w:r w:rsidR="00C76664">
        <w:t>CORESET</w:t>
      </w:r>
      <w:r w:rsidRPr="00263A9F">
        <w:t xml:space="preserve"> for Type0-PDCCH </w:t>
      </w:r>
      <w:r w:rsidR="00CF02AF">
        <w:t>CSS set</w:t>
      </w:r>
      <w:r w:rsidRPr="00263A9F">
        <w:t xml:space="preserve"> is not present, and for </w:t>
      </w:r>
      <m:oMath>
        <m:r>
          <w:rPr>
            <w:rFonts w:ascii="Cambria Math" w:hAnsi="Cambria Math"/>
          </w:rPr>
          <m:t>2</m:t>
        </m:r>
        <m:r>
          <m:rPr>
            <m:sty m:val="p"/>
          </m:rPr>
          <w:rPr>
            <w:rFonts w:ascii="Cambria Math" w:hAnsi="Cambria Math"/>
            <w:lang w:val="en-US"/>
          </w:rPr>
          <m:t>4</m:t>
        </m:r>
        <m:r>
          <w:rPr>
            <w:rFonts w:ascii="Cambria Math" w:hAnsi="Cambria Math"/>
            <w:lang w:val="en-US"/>
          </w:rPr>
          <m:t>≤</m:t>
        </m:r>
        <m:sSub>
          <m:sSubPr>
            <m:ctrlPr>
              <w:rPr>
                <w:rFonts w:ascii="Cambria Math" w:hAnsi="Cambria Math"/>
                <w:iCs/>
                <w:lang w:val="en-US"/>
              </w:rPr>
            </m:ctrlPr>
          </m:sSubPr>
          <m:e>
            <m:r>
              <w:rPr>
                <w:rFonts w:ascii="Cambria Math" w:hAnsi="Cambria Math"/>
                <w:lang w:val="en-US"/>
              </w:rPr>
              <m:t>k</m:t>
            </m:r>
          </m:e>
          <m:sub>
            <m:r>
              <m:rPr>
                <m:sty m:val="p"/>
              </m:rPr>
              <w:rPr>
                <w:rFonts w:ascii="Cambria Math" w:hAnsi="Cambria Math"/>
                <w:lang w:val="en-US"/>
              </w:rPr>
              <m:t>SSB</m:t>
            </m:r>
          </m:sub>
        </m:sSub>
        <m:r>
          <w:rPr>
            <w:rFonts w:ascii="Cambria Math" w:hAnsi="Cambria Math"/>
            <w:lang w:val="en-US"/>
          </w:rPr>
          <m:t>≤29</m:t>
        </m:r>
      </m:oMath>
      <w:r w:rsidRPr="00263A9F">
        <w:t xml:space="preserve"> for FR1 or for </w:t>
      </w:r>
      <m:oMath>
        <m:r>
          <w:rPr>
            <w:rFonts w:ascii="Cambria Math" w:hAnsi="Cambria Math"/>
          </w:rPr>
          <m:t>12</m:t>
        </m:r>
        <m:r>
          <w:rPr>
            <w:rFonts w:ascii="Cambria Math" w:hAnsi="Cambria Math"/>
            <w:lang w:val="en-US"/>
          </w:rPr>
          <m:t>≤</m:t>
        </m:r>
        <m:sSub>
          <m:sSubPr>
            <m:ctrlPr>
              <w:rPr>
                <w:rFonts w:ascii="Cambria Math" w:hAnsi="Cambria Math"/>
                <w:iCs/>
                <w:lang w:val="en-US"/>
              </w:rPr>
            </m:ctrlPr>
          </m:sSubPr>
          <m:e>
            <m:r>
              <w:rPr>
                <w:rFonts w:ascii="Cambria Math" w:hAnsi="Cambria Math"/>
                <w:lang w:val="en-US"/>
              </w:rPr>
              <m:t>k</m:t>
            </m:r>
          </m:e>
          <m:sub>
            <m:r>
              <m:rPr>
                <m:sty m:val="p"/>
              </m:rPr>
              <w:rPr>
                <w:rFonts w:ascii="Cambria Math" w:hAnsi="Cambria Math"/>
                <w:lang w:val="en-US"/>
              </w:rPr>
              <m:t>SSB</m:t>
            </m:r>
          </m:sub>
        </m:sSub>
        <m:r>
          <w:rPr>
            <w:rFonts w:ascii="Cambria Math" w:hAnsi="Cambria Math"/>
            <w:lang w:val="en-US"/>
          </w:rPr>
          <m:t>≤13</m:t>
        </m:r>
      </m:oMath>
      <w:r w:rsidRPr="00263A9F">
        <w:t xml:space="preserve"> for FR2, the UE </w:t>
      </w:r>
      <w:r w:rsidR="00D561F4">
        <w:t xml:space="preserve">may </w:t>
      </w:r>
      <w:r w:rsidRPr="00263A9F">
        <w:t>determine the</w:t>
      </w:r>
      <w:r w:rsidR="00D561F4" w:rsidRPr="00D561F4">
        <w:t xml:space="preserve"> </w:t>
      </w:r>
      <w:r w:rsidR="00D561F4" w:rsidRPr="001B7DCD">
        <w:t>nearest (in the corresponding frequency direction)</w:t>
      </w:r>
      <w:r w:rsidRPr="00263A9F">
        <w:t xml:space="preserve"> global synchronization channel number (GSCN) of a second SS/PBCH block having a </w:t>
      </w:r>
      <w:r w:rsidR="00C76664">
        <w:t>CORESET</w:t>
      </w:r>
      <w:r w:rsidRPr="00263A9F">
        <w:t xml:space="preserve"> for an associated Type0-PDCCH </w:t>
      </w:r>
      <w:r w:rsidR="00CF02AF">
        <w:t>CSS set</w:t>
      </w:r>
      <w:r w:rsidRPr="00263A9F">
        <w:t xml:space="preserve"> as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GSCN</m:t>
            </m:r>
          </m:sub>
          <m:sup>
            <m:r>
              <m:rPr>
                <m:sty m:val="p"/>
              </m:rPr>
              <w:rPr>
                <w:rFonts w:ascii="Cambria Math" w:hAnsi="Cambria Math"/>
              </w:rPr>
              <m:t>Reference</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GSCN</m:t>
            </m:r>
          </m:sub>
          <m:sup>
            <m:r>
              <m:rPr>
                <m:sty m:val="p"/>
              </m:rPr>
              <w:rPr>
                <w:rFonts w:ascii="Cambria Math" w:hAnsi="Cambria Math"/>
              </w:rPr>
              <m:t>Size</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GSCN</m:t>
            </m:r>
          </m:sub>
          <m:sup>
            <m:r>
              <m:rPr>
                <m:sty m:val="p"/>
              </m:rPr>
              <w:rPr>
                <w:rFonts w:ascii="Cambria Math" w:hAnsi="Cambria Math"/>
              </w:rPr>
              <m:t>Offset</m:t>
            </m:r>
          </m:sup>
        </m:sSubSup>
      </m:oMath>
      <w:r w:rsidRPr="00263A9F">
        <w:t xml:space="preserv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GSCN</m:t>
            </m:r>
          </m:sub>
          <m:sup>
            <m:r>
              <m:rPr>
                <m:sty m:val="p"/>
              </m:rPr>
              <w:rPr>
                <w:rFonts w:ascii="Cambria Math" w:hAnsi="Cambria Math"/>
              </w:rPr>
              <m:t>Reference</m:t>
            </m:r>
          </m:sup>
        </m:sSubSup>
      </m:oMath>
      <w:r w:rsidRPr="00263A9F">
        <w:t xml:space="preserve"> is the GSCN of the first SS/PBCH block</w:t>
      </w:r>
      <w:r w:rsidR="00DC6E29">
        <w:rPr>
          <w:rFonts w:hint="eastAsia"/>
          <w:lang w:val="en-US" w:eastAsia="zh-CN"/>
        </w:rPr>
        <w:t xml:space="preserv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GSCN</m:t>
            </m:r>
          </m:sub>
          <m:sup>
            <m:r>
              <m:rPr>
                <m:sty m:val="p"/>
              </m:rPr>
              <w:rPr>
                <w:rFonts w:ascii="Cambria Math" w:hAnsi="Cambria Math"/>
              </w:rPr>
              <m:t>Size</m:t>
            </m:r>
          </m:sup>
        </m:sSubSup>
        <m:r>
          <w:rPr>
            <w:rFonts w:ascii="Cambria Math" w:hAnsi="Cambria Math"/>
          </w:rPr>
          <m:t>=1</m:t>
        </m:r>
      </m:oMath>
      <w:r w:rsidR="00DC6E29">
        <w:t xml:space="preserve"> </w:t>
      </w:r>
      <w:r w:rsidR="00DC6E29">
        <w:rPr>
          <w:rFonts w:hint="eastAsia"/>
          <w:lang w:val="en-US" w:eastAsia="zh-CN"/>
        </w:rPr>
        <w:t>in</w:t>
      </w:r>
      <w:r w:rsidR="00DC6E29">
        <w:t xml:space="preserve"> FR1 and FR2-1,</w:t>
      </w:r>
      <w:r w:rsidR="00DC6E29">
        <w:rPr>
          <w:rFonts w:hint="eastAsia"/>
          <w:lang w:val="en-US" w:eastAsia="zh-CN"/>
        </w:rPr>
        <w:t xml:space="preserv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GSCN</m:t>
            </m:r>
          </m:sub>
          <m:sup>
            <m:r>
              <m:rPr>
                <m:sty m:val="p"/>
              </m:rPr>
              <w:rPr>
                <w:rFonts w:ascii="Cambria Math" w:hAnsi="Cambria Math"/>
              </w:rPr>
              <m:t>Size</m:t>
            </m:r>
          </m:sup>
        </m:sSubSup>
        <m:r>
          <w:rPr>
            <w:rFonts w:ascii="Cambria Math" w:hAnsi="Cambria Math"/>
          </w:rPr>
          <m:t>=</m:t>
        </m:r>
      </m:oMath>
      <w:r w:rsidR="00DC6E29">
        <w:rPr>
          <w:rFonts w:hAnsi="Cambria Math" w:hint="eastAsia"/>
          <w:lang w:val="en-US" w:eastAsia="zh-CN"/>
        </w:rPr>
        <w:t xml:space="preserve"> 3</w:t>
      </w:r>
      <w:r w:rsidR="00DC6E29">
        <w:rPr>
          <w:rFonts w:hint="eastAsia"/>
          <w:lang w:val="en-US" w:eastAsia="zh-CN"/>
        </w:rPr>
        <w:t xml:space="preserve"> </w:t>
      </w:r>
      <w:r w:rsidR="00DC6E29">
        <w:t>in</w:t>
      </w:r>
      <w:r w:rsidR="00DC6E29">
        <w:rPr>
          <w:rFonts w:hint="eastAsia"/>
          <w:lang w:val="en-US" w:eastAsia="zh-CN"/>
        </w:rPr>
        <w:t xml:space="preserve"> </w:t>
      </w:r>
      <w:r w:rsidR="00DC6E29">
        <w:t>FR2-</w:t>
      </w:r>
      <w:r w:rsidR="00DC6E29">
        <w:rPr>
          <w:rFonts w:hint="eastAsia"/>
          <w:lang w:val="en-US" w:eastAsia="zh-CN"/>
        </w:rPr>
        <w:t>2</w:t>
      </w:r>
      <w:r w:rsidR="00DC6E29">
        <w:t>,</w:t>
      </w:r>
      <w:r w:rsidRPr="00263A9F">
        <w:t xml:space="preserve"> and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GSCN</m:t>
            </m:r>
          </m:sub>
          <m:sup>
            <m:r>
              <m:rPr>
                <m:sty m:val="p"/>
              </m:rPr>
              <w:rPr>
                <w:rFonts w:ascii="Cambria Math" w:hAnsi="Cambria Math"/>
              </w:rPr>
              <m:t>Offset</m:t>
            </m:r>
          </m:sup>
        </m:sSubSup>
      </m:oMath>
      <w:r w:rsidRPr="00263A9F">
        <w:t xml:space="preserve"> is a GSCN offset provided by Table 13-16 for FR1 and Table 13-17 for FR2. </w:t>
      </w:r>
      <w:r w:rsidR="00D561F4" w:rsidRPr="001B7DCD">
        <w:rPr>
          <w:rFonts w:eastAsia="Yu Mincho"/>
        </w:rPr>
        <w:t xml:space="preserve">If the UE detects the second SS/PBCH block and the second SS/PBCH block does not provide a </w:t>
      </w:r>
      <w:r w:rsidR="00C76664">
        <w:rPr>
          <w:rFonts w:eastAsia="Yu Mincho"/>
        </w:rPr>
        <w:t>CORESET</w:t>
      </w:r>
      <w:r w:rsidR="00D561F4" w:rsidRPr="001B7DCD">
        <w:rPr>
          <w:rFonts w:eastAsia="Yu Mincho"/>
        </w:rPr>
        <w:t xml:space="preserve"> for Type0-PDCCH </w:t>
      </w:r>
      <w:r w:rsidR="00407696">
        <w:t>CSS set</w:t>
      </w:r>
      <w:r w:rsidR="00D561F4" w:rsidRPr="001B7DCD">
        <w:rPr>
          <w:rFonts w:eastAsia="Yu Mincho"/>
        </w:rPr>
        <w:t xml:space="preserve">, </w:t>
      </w:r>
      <w:r w:rsidR="00D561F4" w:rsidRPr="001B7DCD">
        <w:t xml:space="preserve">as described </w:t>
      </w:r>
      <w:r w:rsidR="006F5F9E">
        <w:t>in clause</w:t>
      </w:r>
      <w:r w:rsidR="00D561F4" w:rsidRPr="001B7DCD">
        <w:t xml:space="preserve"> 4.1, </w:t>
      </w:r>
      <w:r w:rsidR="00D561F4" w:rsidRPr="001B7DCD">
        <w:rPr>
          <w:rFonts w:eastAsia="Yu Mincho"/>
        </w:rPr>
        <w:t xml:space="preserve">the </w:t>
      </w:r>
      <w:r w:rsidR="00D561F4" w:rsidRPr="001B7DCD">
        <w:t>UE may ignore the information related to GSCN of SS/PBCH block locations for performing cell search.</w:t>
      </w:r>
    </w:p>
    <w:p w14:paraId="29B745B2" w14:textId="4BEDE428" w:rsidR="00D561F4" w:rsidRPr="001B7DCD" w:rsidRDefault="00282C81" w:rsidP="00D561F4">
      <w:pPr>
        <w:rPr>
          <w:iCs/>
        </w:rPr>
      </w:pPr>
      <w:r w:rsidRPr="00263A9F">
        <w:t xml:space="preserve">If a UE detects a SS/PBCH block and determines that a </w:t>
      </w:r>
      <w:r w:rsidR="00C76664">
        <w:t>CORESET</w:t>
      </w:r>
      <w:r w:rsidRPr="00263A9F">
        <w:t xml:space="preserve"> for Type0-PDCCH </w:t>
      </w:r>
      <w:r w:rsidR="00493727">
        <w:t>CSS set</w:t>
      </w:r>
      <w:r w:rsidRPr="00263A9F">
        <w:t xml:space="preserve"> is not present, and for </w:t>
      </w:r>
      <m:oMath>
        <m:sSub>
          <m:sSubPr>
            <m:ctrlPr>
              <w:rPr>
                <w:rFonts w:ascii="Cambria Math" w:hAnsi="Cambria Math"/>
                <w:iCs/>
                <w:lang w:val="en-US"/>
              </w:rPr>
            </m:ctrlPr>
          </m:sSubPr>
          <m:e>
            <m:r>
              <w:rPr>
                <w:rFonts w:ascii="Cambria Math" w:hAnsi="Cambria Math"/>
                <w:lang w:val="en-US"/>
              </w:rPr>
              <m:t>k</m:t>
            </m:r>
          </m:e>
          <m:sub>
            <m:r>
              <m:rPr>
                <m:sty m:val="p"/>
              </m:rPr>
              <w:rPr>
                <w:rFonts w:ascii="Cambria Math" w:hAnsi="Cambria Math"/>
                <w:lang w:val="en-US"/>
              </w:rPr>
              <m:t>SSB</m:t>
            </m:r>
          </m:sub>
        </m:sSub>
        <m:r>
          <w:rPr>
            <w:rFonts w:ascii="Cambria Math" w:hAnsi="Cambria Math"/>
            <w:lang w:val="en-US"/>
          </w:rPr>
          <m:t>=31</m:t>
        </m:r>
      </m:oMath>
      <w:r w:rsidRPr="00263A9F">
        <w:t xml:space="preserve"> for FR1 or for </w:t>
      </w:r>
      <m:oMath>
        <m:sSub>
          <m:sSubPr>
            <m:ctrlPr>
              <w:rPr>
                <w:rFonts w:ascii="Cambria Math" w:hAnsi="Cambria Math"/>
                <w:iCs/>
                <w:lang w:val="en-US"/>
              </w:rPr>
            </m:ctrlPr>
          </m:sSubPr>
          <m:e>
            <m:r>
              <w:rPr>
                <w:rFonts w:ascii="Cambria Math" w:hAnsi="Cambria Math"/>
                <w:lang w:val="en-US"/>
              </w:rPr>
              <m:t>k</m:t>
            </m:r>
          </m:e>
          <m:sub>
            <m:r>
              <m:rPr>
                <m:sty m:val="p"/>
              </m:rPr>
              <w:rPr>
                <w:rFonts w:ascii="Cambria Math" w:hAnsi="Cambria Math"/>
                <w:lang w:val="en-US"/>
              </w:rPr>
              <m:t>SSB</m:t>
            </m:r>
          </m:sub>
        </m:sSub>
        <m:r>
          <w:rPr>
            <w:rFonts w:ascii="Cambria Math" w:hAnsi="Cambria Math"/>
            <w:lang w:val="en-US"/>
          </w:rPr>
          <m:t>=15</m:t>
        </m:r>
      </m:oMath>
      <w:r w:rsidRPr="00263A9F">
        <w:t xml:space="preserve"> for FR2, the UE determines that there is no SS/PBCH block having an associated Type0-PDCCH </w:t>
      </w:r>
      <w:r w:rsidR="00493727">
        <w:t>CSS set</w:t>
      </w:r>
      <w:r w:rsidRPr="00263A9F">
        <w:t xml:space="preserve"> within a GSCN range </w:t>
      </w:r>
      <m:oMath>
        <m:d>
          <m:dPr>
            <m:begChr m:val="["/>
            <m:endChr m:val="]"/>
            <m:ctrlPr>
              <w:rPr>
                <w:rFonts w:ascii="Cambria Math" w:hAnsi="Cambria Math"/>
                <w:i/>
              </w:rPr>
            </m:ctrlPr>
          </m:dPr>
          <m:e>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N</m:t>
                    </m:r>
                  </m:e>
                  <m:sub>
                    <m:r>
                      <m:rPr>
                        <m:sty m:val="p"/>
                      </m:rPr>
                      <w:rPr>
                        <w:rFonts w:ascii="Cambria Math" w:hAnsi="Cambria Math"/>
                      </w:rPr>
                      <m:t>GSCN</m:t>
                    </m:r>
                  </m:sub>
                  <m:sup>
                    <m:r>
                      <m:rPr>
                        <m:sty m:val="p"/>
                      </m:rPr>
                      <w:rPr>
                        <w:rFonts w:ascii="Cambria Math" w:hAnsi="Cambria Math"/>
                      </w:rPr>
                      <m:t>Reference</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GSCN</m:t>
                    </m:r>
                  </m:sub>
                  <m:sup>
                    <m:r>
                      <m:rPr>
                        <m:sty m:val="p"/>
                      </m:rPr>
                      <w:rPr>
                        <w:rFonts w:ascii="Cambria Math" w:hAnsi="Cambria Math"/>
                      </w:rPr>
                      <m:t>Start</m:t>
                    </m:r>
                  </m:sup>
                </m:sSubSup>
                <m:r>
                  <w:rPr>
                    <w:rFonts w:ascii="Cambria Math" w:hAnsi="Cambria Math"/>
                  </w:rPr>
                  <m:t>, N</m:t>
                </m:r>
              </m:e>
              <m:sub>
                <m:r>
                  <m:rPr>
                    <m:sty m:val="p"/>
                  </m:rPr>
                  <w:rPr>
                    <w:rFonts w:ascii="Cambria Math" w:hAnsi="Cambria Math"/>
                  </w:rPr>
                  <m:t>GSCN</m:t>
                </m:r>
              </m:sub>
              <m:sup>
                <m:r>
                  <m:rPr>
                    <m:sty m:val="p"/>
                  </m:rPr>
                  <w:rPr>
                    <w:rFonts w:ascii="Cambria Math" w:hAnsi="Cambria Math"/>
                  </w:rPr>
                  <m:t>Reference</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GSCN</m:t>
                </m:r>
              </m:sub>
              <m:sup>
                <m:r>
                  <m:rPr>
                    <m:sty m:val="p"/>
                  </m:rPr>
                  <w:rPr>
                    <w:rFonts w:ascii="Cambria Math" w:hAnsi="Cambria Math"/>
                  </w:rPr>
                  <m:t>End</m:t>
                </m:r>
              </m:sup>
            </m:sSubSup>
          </m:e>
        </m:d>
      </m:oMath>
      <w:r w:rsidRPr="00263A9F">
        <w:t xml:space="preserv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GSCN</m:t>
            </m:r>
          </m:sub>
          <m:sup>
            <m:r>
              <m:rPr>
                <m:sty m:val="p"/>
              </m:rPr>
              <w:rPr>
                <w:rFonts w:ascii="Cambria Math" w:hAnsi="Cambria Math"/>
              </w:rPr>
              <m:t>Start</m:t>
            </m:r>
          </m:sup>
        </m:sSubSup>
      </m:oMath>
      <w:r w:rsidRPr="00263A9F">
        <w:t xml:space="preserve">and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GSCN</m:t>
            </m:r>
          </m:sub>
          <m:sup>
            <m:r>
              <m:rPr>
                <m:sty m:val="p"/>
              </m:rPr>
              <w:rPr>
                <w:rFonts w:ascii="Cambria Math" w:hAnsi="Cambria Math"/>
              </w:rPr>
              <m:t>End</m:t>
            </m:r>
          </m:sup>
        </m:sSubSup>
      </m:oMath>
      <w:r w:rsidRPr="00263A9F">
        <w:t xml:space="preserve"> are respectively determined by </w:t>
      </w:r>
      <w:r w:rsidR="00E00584" w:rsidRPr="002C5E8B">
        <w:rPr>
          <w:i/>
          <w:iCs/>
        </w:rPr>
        <w:t xml:space="preserve">controlResourceSetZero </w:t>
      </w:r>
      <w:r w:rsidR="00E00584" w:rsidRPr="002C5E8B">
        <w:rPr>
          <w:lang w:val="en-US"/>
        </w:rPr>
        <w:t xml:space="preserve">and </w:t>
      </w:r>
      <w:r w:rsidR="00E00584" w:rsidRPr="002C5E8B">
        <w:rPr>
          <w:i/>
          <w:iCs/>
        </w:rPr>
        <w:t>searchSpaceZero</w:t>
      </w:r>
      <w:r w:rsidR="00E00584" w:rsidRPr="002C5E8B">
        <w:rPr>
          <w:iCs/>
        </w:rPr>
        <w:t xml:space="preserve"> in</w:t>
      </w:r>
      <w:r w:rsidR="00E00584" w:rsidRPr="002C5E8B">
        <w:rPr>
          <w:i/>
          <w:iCs/>
        </w:rPr>
        <w:t xml:space="preserve"> </w:t>
      </w:r>
      <w:r w:rsidR="001601D2" w:rsidRPr="00BE7045">
        <w:rPr>
          <w:i/>
          <w:iCs/>
          <w:lang w:eastAsia="ja-JP"/>
        </w:rPr>
        <w:t>pdcch-ConfigSIB1</w:t>
      </w:r>
      <w:r w:rsidR="001601D2" w:rsidRPr="00BE7045">
        <w:rPr>
          <w:iCs/>
        </w:rPr>
        <w:t xml:space="preserve">. </w:t>
      </w:r>
      <w:r w:rsidR="001601D2" w:rsidRPr="00BE7045">
        <w:rPr>
          <w:lang w:eastAsia="ja-JP"/>
        </w:rPr>
        <w:t xml:space="preserve">If the GSCN range is </w:t>
      </w:r>
      <m:oMath>
        <m:d>
          <m:dPr>
            <m:begChr m:val="["/>
            <m:endChr m:val="]"/>
            <m:ctrlPr>
              <w:rPr>
                <w:rFonts w:ascii="Cambria Math" w:hAnsi="Cambria Math"/>
                <w:i/>
              </w:rPr>
            </m:ctrlPr>
          </m:dPr>
          <m:e>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N</m:t>
                    </m:r>
                  </m:e>
                  <m:sub>
                    <m:r>
                      <m:rPr>
                        <m:sty m:val="p"/>
                      </m:rPr>
                      <w:rPr>
                        <w:rFonts w:ascii="Cambria Math" w:hAnsi="Cambria Math"/>
                      </w:rPr>
                      <m:t>GSCN</m:t>
                    </m:r>
                  </m:sub>
                  <m:sup>
                    <m:r>
                      <m:rPr>
                        <m:sty m:val="p"/>
                      </m:rPr>
                      <w:rPr>
                        <w:rFonts w:ascii="Cambria Math" w:hAnsi="Cambria Math"/>
                      </w:rPr>
                      <m:t>Reference</m:t>
                    </m:r>
                  </m:sup>
                </m:sSubSup>
                <m:r>
                  <w:rPr>
                    <w:rFonts w:ascii="Cambria Math" w:hAnsi="Cambria Math"/>
                  </w:rPr>
                  <m:t>, N</m:t>
                </m:r>
              </m:e>
              <m:sub>
                <m:r>
                  <m:rPr>
                    <m:sty m:val="p"/>
                  </m:rPr>
                  <w:rPr>
                    <w:rFonts w:ascii="Cambria Math" w:hAnsi="Cambria Math"/>
                  </w:rPr>
                  <m:t>GSCN</m:t>
                </m:r>
              </m:sub>
              <m:sup>
                <m:r>
                  <m:rPr>
                    <m:sty m:val="p"/>
                  </m:rPr>
                  <w:rPr>
                    <w:rFonts w:ascii="Cambria Math" w:hAnsi="Cambria Math"/>
                  </w:rPr>
                  <m:t>Reference</m:t>
                </m:r>
              </m:sup>
            </m:sSubSup>
          </m:e>
        </m:d>
      </m:oMath>
      <w:r w:rsidR="001601D2" w:rsidRPr="00BE7045">
        <w:t xml:space="preserve">, the UE determines that there is no information for a second SS/PBCH block with a </w:t>
      </w:r>
      <w:r w:rsidR="00C76664">
        <w:t>CORESET</w:t>
      </w:r>
      <w:r w:rsidR="001601D2" w:rsidRPr="00BE7045">
        <w:t xml:space="preserve"> for an associated Type0-PDCCH </w:t>
      </w:r>
      <w:r w:rsidR="00493727">
        <w:t>CSS set</w:t>
      </w:r>
      <w:r w:rsidR="001601D2" w:rsidRPr="00BE7045">
        <w:t xml:space="preserve"> on the detected SS/PBCH block</w:t>
      </w:r>
      <w:r w:rsidRPr="00263A9F">
        <w:rPr>
          <w:iCs/>
        </w:rPr>
        <w:t xml:space="preserve">. </w:t>
      </w:r>
    </w:p>
    <w:p w14:paraId="76F994A7" w14:textId="29C9FF16" w:rsidR="00282C81" w:rsidRPr="00263A9F" w:rsidRDefault="00D561F4" w:rsidP="00282C81">
      <w:r w:rsidRPr="001B7DCD">
        <w:t xml:space="preserve">If a UE does not detect any SS/PBCH block providing a </w:t>
      </w:r>
      <w:r w:rsidR="00C76664">
        <w:t>CORESET</w:t>
      </w:r>
      <w:r w:rsidRPr="001B7DCD">
        <w:t xml:space="preserve"> for Type0-PDCCH </w:t>
      </w:r>
      <w:r w:rsidR="00493727">
        <w:t>CSS set</w:t>
      </w:r>
      <w:r w:rsidRPr="001B7DCD">
        <w:t xml:space="preserve">, as described </w:t>
      </w:r>
      <w:r w:rsidR="006F5F9E">
        <w:t>in clause</w:t>
      </w:r>
      <w:r w:rsidRPr="001B7DCD">
        <w:t xml:space="preserve"> 4.1, within a time period determined by the UE, the UE may ignore the information related to GSCN of SS/PBCH locations in performing cell search.</w:t>
      </w:r>
    </w:p>
    <w:p w14:paraId="5FC8C673" w14:textId="288FFB8B" w:rsidR="00282C81" w:rsidRDefault="00282C81" w:rsidP="0009732E">
      <w:pPr>
        <w:pStyle w:val="TH"/>
      </w:pPr>
      <w:r w:rsidRPr="00692B28">
        <w:lastRenderedPageBreak/>
        <w:t xml:space="preserve">Table 13-16: Mapping between the combination of </w:t>
      </w:r>
      <m:oMath>
        <m:sSub>
          <m:sSubPr>
            <m:ctrlPr>
              <w:rPr>
                <w:rFonts w:ascii="Cambria Math" w:hAnsi="Cambria Math"/>
                <w:b w:val="0"/>
                <w:iCs/>
                <w:lang w:val="en-US"/>
              </w:rPr>
            </m:ctrlPr>
          </m:sSubPr>
          <m:e>
            <m:r>
              <m:rPr>
                <m:sty m:val="bi"/>
              </m:rPr>
              <w:rPr>
                <w:rFonts w:ascii="Cambria Math" w:hAnsi="Cambria Math"/>
                <w:lang w:val="en-US"/>
              </w:rPr>
              <m:t>k</m:t>
            </m:r>
          </m:e>
          <m:sub>
            <m:r>
              <m:rPr>
                <m:sty m:val="b"/>
              </m:rPr>
              <w:rPr>
                <w:rFonts w:ascii="Cambria Math" w:hAnsi="Cambria Math"/>
                <w:lang w:val="en-US"/>
              </w:rPr>
              <m:t>SSB</m:t>
            </m:r>
          </m:sub>
        </m:sSub>
      </m:oMath>
      <w:r w:rsidR="005C3934">
        <w:t xml:space="preserve"> </w:t>
      </w:r>
      <w:r w:rsidRPr="00692B28">
        <w:t xml:space="preserve">and </w:t>
      </w:r>
      <w:r w:rsidR="00E00584" w:rsidRPr="002C5E8B">
        <w:rPr>
          <w:i/>
          <w:iCs/>
        </w:rPr>
        <w:t xml:space="preserve">controlResourceSetZero </w:t>
      </w:r>
      <w:r w:rsidR="00E00584" w:rsidRPr="002C5E8B">
        <w:rPr>
          <w:lang w:val="en-US"/>
        </w:rPr>
        <w:t xml:space="preserve">and </w:t>
      </w:r>
      <w:r w:rsidR="00E00584" w:rsidRPr="002C5E8B">
        <w:rPr>
          <w:i/>
          <w:iCs/>
        </w:rPr>
        <w:t>searchSpaceZero</w:t>
      </w:r>
      <w:r w:rsidR="00E00584" w:rsidRPr="002C5E8B">
        <w:rPr>
          <w:iCs/>
        </w:rPr>
        <w:t xml:space="preserve"> in</w:t>
      </w:r>
      <w:r w:rsidR="00E00584" w:rsidRPr="002C5E8B">
        <w:rPr>
          <w:i/>
          <w:iCs/>
        </w:rPr>
        <w:t xml:space="preserve"> </w:t>
      </w:r>
      <w:r w:rsidR="005C3934" w:rsidRPr="003C5174">
        <w:rPr>
          <w:i/>
          <w:iCs/>
          <w:lang w:eastAsia="ja-JP"/>
        </w:rPr>
        <w:t>pdcch-ConfigSIB1</w:t>
      </w:r>
      <w:r w:rsidRPr="00692B28">
        <w:rPr>
          <w:i/>
        </w:rPr>
        <w:t xml:space="preserve"> </w:t>
      </w:r>
      <w:r w:rsidRPr="00692B28">
        <w:t xml:space="preserve">to </w:t>
      </w:r>
      <m:oMath>
        <m:sSubSup>
          <m:sSubSupPr>
            <m:ctrlPr>
              <w:rPr>
                <w:rFonts w:ascii="Cambria Math" w:hAnsi="Cambria Math"/>
                <w:b w:val="0"/>
                <w:i/>
              </w:rPr>
            </m:ctrlPr>
          </m:sSubSupPr>
          <m:e>
            <m:r>
              <m:rPr>
                <m:sty m:val="bi"/>
              </m:rPr>
              <w:rPr>
                <w:rFonts w:ascii="Cambria Math" w:hAnsi="Cambria Math"/>
              </w:rPr>
              <m:t>N</m:t>
            </m:r>
          </m:e>
          <m:sub>
            <m:r>
              <m:rPr>
                <m:sty m:val="b"/>
              </m:rPr>
              <w:rPr>
                <w:rFonts w:ascii="Cambria Math" w:hAnsi="Cambria Math"/>
              </w:rPr>
              <m:t>GSCN</m:t>
            </m:r>
          </m:sub>
          <m:sup>
            <m:r>
              <m:rPr>
                <m:sty m:val="b"/>
              </m:rPr>
              <w:rPr>
                <w:rFonts w:ascii="Cambria Math" w:hAnsi="Cambria Math"/>
              </w:rPr>
              <m:t>Offset</m:t>
            </m:r>
          </m:sup>
        </m:sSubSup>
      </m:oMath>
      <w:r w:rsidRPr="00692B28">
        <w:t xml:space="preserve"> for FR1</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2700"/>
        <w:gridCol w:w="3600"/>
      </w:tblGrid>
      <w:tr w:rsidR="00DC5DC7" w:rsidRPr="00B916EC" w14:paraId="493004FC" w14:textId="77777777" w:rsidTr="00FE07DA">
        <w:trPr>
          <w:cantSplit/>
        </w:trPr>
        <w:tc>
          <w:tcPr>
            <w:tcW w:w="1620" w:type="dxa"/>
            <w:tcBorders>
              <w:bottom w:val="double" w:sz="4" w:space="0" w:color="auto"/>
              <w:right w:val="double" w:sz="4" w:space="0" w:color="auto"/>
            </w:tcBorders>
            <w:shd w:val="clear" w:color="auto" w:fill="E0E0E0"/>
            <w:vAlign w:val="center"/>
          </w:tcPr>
          <w:p w14:paraId="34720651" w14:textId="0CE88651" w:rsidR="00DC5DC7" w:rsidRPr="00C64ED7" w:rsidRDefault="00000000" w:rsidP="00DC5DC7">
            <w:pPr>
              <w:keepNext/>
              <w:keepLines/>
              <w:overflowPunct w:val="0"/>
              <w:autoSpaceDE w:val="0"/>
              <w:autoSpaceDN w:val="0"/>
              <w:adjustRightInd w:val="0"/>
              <w:spacing w:after="0"/>
              <w:jc w:val="center"/>
              <w:textAlignment w:val="baseline"/>
              <w:rPr>
                <w:b/>
              </w:rPr>
            </w:pPr>
            <m:oMathPara>
              <m:oMath>
                <m:sSub>
                  <m:sSubPr>
                    <m:ctrlPr>
                      <w:rPr>
                        <w:rFonts w:ascii="Cambria Math" w:hAnsi="Cambria Math"/>
                        <w:iCs/>
                        <w:lang w:val="en-US"/>
                      </w:rPr>
                    </m:ctrlPr>
                  </m:sSubPr>
                  <m:e>
                    <m:r>
                      <w:rPr>
                        <w:rFonts w:ascii="Cambria Math" w:hAnsi="Cambria Math"/>
                        <w:lang w:val="en-US"/>
                      </w:rPr>
                      <m:t>k</m:t>
                    </m:r>
                  </m:e>
                  <m:sub>
                    <m:r>
                      <m:rPr>
                        <m:sty m:val="p"/>
                      </m:rPr>
                      <w:rPr>
                        <w:rFonts w:ascii="Cambria Math" w:hAnsi="Cambria Math"/>
                        <w:lang w:val="en-US"/>
                      </w:rPr>
                      <m:t>SSB</m:t>
                    </m:r>
                  </m:sub>
                </m:sSub>
              </m:oMath>
            </m:oMathPara>
          </w:p>
        </w:tc>
        <w:tc>
          <w:tcPr>
            <w:tcW w:w="2700" w:type="dxa"/>
            <w:tcBorders>
              <w:left w:val="double" w:sz="4" w:space="0" w:color="auto"/>
              <w:bottom w:val="double" w:sz="4" w:space="0" w:color="auto"/>
            </w:tcBorders>
            <w:shd w:val="clear" w:color="auto" w:fill="E0E0E0"/>
            <w:vAlign w:val="center"/>
          </w:tcPr>
          <w:p w14:paraId="1569116B" w14:textId="4497C264" w:rsidR="00DC5DC7" w:rsidRPr="00C64ED7" w:rsidRDefault="00DC5DC7" w:rsidP="00DC5DC7">
            <w:pPr>
              <w:keepNext/>
              <w:keepLines/>
              <w:overflowPunct w:val="0"/>
              <w:autoSpaceDE w:val="0"/>
              <w:autoSpaceDN w:val="0"/>
              <w:adjustRightInd w:val="0"/>
              <w:spacing w:after="0"/>
              <w:jc w:val="center"/>
              <w:textAlignment w:val="baseline"/>
              <w:rPr>
                <w:b/>
              </w:rPr>
            </w:pPr>
            <w:r w:rsidRPr="00B27E56">
              <w:rPr>
                <w:i/>
                <w:iCs/>
              </w:rPr>
              <w:t>16×controlResourceSetZero +searchSpaceZero</w:t>
            </w:r>
          </w:p>
        </w:tc>
        <w:tc>
          <w:tcPr>
            <w:tcW w:w="3600" w:type="dxa"/>
            <w:tcBorders>
              <w:bottom w:val="double" w:sz="4" w:space="0" w:color="auto"/>
            </w:tcBorders>
            <w:shd w:val="clear" w:color="auto" w:fill="E0E0E0"/>
            <w:vAlign w:val="center"/>
          </w:tcPr>
          <w:p w14:paraId="7ACDEDFD" w14:textId="7083170C" w:rsidR="00DC5DC7" w:rsidRPr="00C64ED7" w:rsidRDefault="00000000" w:rsidP="00DC5DC7">
            <w:pPr>
              <w:keepNext/>
              <w:keepLines/>
              <w:overflowPunct w:val="0"/>
              <w:autoSpaceDE w:val="0"/>
              <w:autoSpaceDN w:val="0"/>
              <w:adjustRightInd w:val="0"/>
              <w:spacing w:after="0"/>
              <w:jc w:val="center"/>
              <w:textAlignment w:val="baseline"/>
              <w:rPr>
                <w:b/>
              </w:rPr>
            </w:pPr>
            <m:oMathPara>
              <m:oMath>
                <m:sSubSup>
                  <m:sSubSupPr>
                    <m:ctrlPr>
                      <w:rPr>
                        <w:rFonts w:ascii="Cambria Math" w:hAnsi="Cambria Math"/>
                        <w:i/>
                      </w:rPr>
                    </m:ctrlPr>
                  </m:sSubSupPr>
                  <m:e>
                    <m:r>
                      <w:rPr>
                        <w:rFonts w:ascii="Cambria Math" w:hAnsi="Cambria Math"/>
                      </w:rPr>
                      <m:t>N</m:t>
                    </m:r>
                  </m:e>
                  <m:sub>
                    <m:r>
                      <m:rPr>
                        <m:sty m:val="p"/>
                      </m:rPr>
                      <w:rPr>
                        <w:rFonts w:ascii="Cambria Math" w:hAnsi="Cambria Math"/>
                      </w:rPr>
                      <m:t>GSCN</m:t>
                    </m:r>
                  </m:sub>
                  <m:sup>
                    <m:r>
                      <m:rPr>
                        <m:sty m:val="p"/>
                      </m:rPr>
                      <w:rPr>
                        <w:rFonts w:ascii="Cambria Math" w:hAnsi="Cambria Math"/>
                      </w:rPr>
                      <m:t>Offset</m:t>
                    </m:r>
                  </m:sup>
                </m:sSubSup>
              </m:oMath>
            </m:oMathPara>
          </w:p>
        </w:tc>
      </w:tr>
      <w:tr w:rsidR="00282C81" w:rsidRPr="00B916EC" w14:paraId="019C8C9A" w14:textId="77777777" w:rsidTr="00FE07DA">
        <w:trPr>
          <w:cantSplit/>
          <w:trHeight w:val="453"/>
        </w:trPr>
        <w:tc>
          <w:tcPr>
            <w:tcW w:w="1620" w:type="dxa"/>
            <w:tcBorders>
              <w:top w:val="double" w:sz="4" w:space="0" w:color="auto"/>
              <w:right w:val="double" w:sz="4" w:space="0" w:color="auto"/>
            </w:tcBorders>
            <w:shd w:val="clear" w:color="auto" w:fill="auto"/>
            <w:vAlign w:val="center"/>
          </w:tcPr>
          <w:p w14:paraId="523C1DF9"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24</w:t>
            </w:r>
          </w:p>
        </w:tc>
        <w:tc>
          <w:tcPr>
            <w:tcW w:w="2700" w:type="dxa"/>
            <w:tcBorders>
              <w:top w:val="double" w:sz="4" w:space="0" w:color="auto"/>
              <w:left w:val="double" w:sz="4" w:space="0" w:color="auto"/>
            </w:tcBorders>
            <w:vAlign w:val="center"/>
          </w:tcPr>
          <w:p w14:paraId="6756BEE8"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double" w:sz="4" w:space="0" w:color="auto"/>
            </w:tcBorders>
            <w:vAlign w:val="center"/>
          </w:tcPr>
          <w:p w14:paraId="05E6C83D"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1, 2, …, 256</w:t>
            </w:r>
          </w:p>
        </w:tc>
      </w:tr>
      <w:tr w:rsidR="00282C81" w:rsidRPr="00B916EC" w14:paraId="72BF4EB0" w14:textId="77777777" w:rsidTr="00FE07DA">
        <w:trPr>
          <w:cantSplit/>
          <w:trHeight w:val="446"/>
        </w:trPr>
        <w:tc>
          <w:tcPr>
            <w:tcW w:w="1620" w:type="dxa"/>
            <w:tcBorders>
              <w:top w:val="single" w:sz="4" w:space="0" w:color="auto"/>
              <w:right w:val="double" w:sz="4" w:space="0" w:color="auto"/>
            </w:tcBorders>
            <w:shd w:val="clear" w:color="auto" w:fill="auto"/>
            <w:vAlign w:val="center"/>
          </w:tcPr>
          <w:p w14:paraId="6DCAAB83"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25</w:t>
            </w:r>
          </w:p>
        </w:tc>
        <w:tc>
          <w:tcPr>
            <w:tcW w:w="2700" w:type="dxa"/>
            <w:tcBorders>
              <w:top w:val="single" w:sz="4" w:space="0" w:color="auto"/>
              <w:left w:val="double" w:sz="4" w:space="0" w:color="auto"/>
            </w:tcBorders>
            <w:vAlign w:val="center"/>
          </w:tcPr>
          <w:p w14:paraId="1322A9F1"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single" w:sz="4" w:space="0" w:color="auto"/>
            </w:tcBorders>
            <w:vAlign w:val="center"/>
          </w:tcPr>
          <w:p w14:paraId="33DE5067"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257, 258, …, 512</w:t>
            </w:r>
          </w:p>
        </w:tc>
      </w:tr>
      <w:tr w:rsidR="00282C81" w:rsidRPr="00B916EC" w14:paraId="0C658672" w14:textId="77777777" w:rsidTr="00FE07DA">
        <w:trPr>
          <w:cantSplit/>
          <w:trHeight w:val="437"/>
        </w:trPr>
        <w:tc>
          <w:tcPr>
            <w:tcW w:w="1620" w:type="dxa"/>
            <w:tcBorders>
              <w:top w:val="single" w:sz="4" w:space="0" w:color="auto"/>
              <w:right w:val="double" w:sz="4" w:space="0" w:color="auto"/>
            </w:tcBorders>
            <w:shd w:val="clear" w:color="auto" w:fill="auto"/>
            <w:vAlign w:val="center"/>
          </w:tcPr>
          <w:p w14:paraId="303ABCE2"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26</w:t>
            </w:r>
          </w:p>
        </w:tc>
        <w:tc>
          <w:tcPr>
            <w:tcW w:w="2700" w:type="dxa"/>
            <w:tcBorders>
              <w:top w:val="single" w:sz="4" w:space="0" w:color="auto"/>
              <w:left w:val="double" w:sz="4" w:space="0" w:color="auto"/>
            </w:tcBorders>
            <w:vAlign w:val="center"/>
          </w:tcPr>
          <w:p w14:paraId="586D092F"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single" w:sz="4" w:space="0" w:color="auto"/>
            </w:tcBorders>
            <w:vAlign w:val="center"/>
          </w:tcPr>
          <w:p w14:paraId="6A063D2B"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513, 514, …., 768</w:t>
            </w:r>
          </w:p>
        </w:tc>
      </w:tr>
      <w:tr w:rsidR="00282C81" w:rsidRPr="00B916EC" w14:paraId="218DC598" w14:textId="77777777" w:rsidTr="00FE07DA">
        <w:trPr>
          <w:cantSplit/>
          <w:trHeight w:val="437"/>
        </w:trPr>
        <w:tc>
          <w:tcPr>
            <w:tcW w:w="1620" w:type="dxa"/>
            <w:tcBorders>
              <w:top w:val="single" w:sz="4" w:space="0" w:color="auto"/>
              <w:bottom w:val="single" w:sz="4" w:space="0" w:color="auto"/>
              <w:right w:val="double" w:sz="4" w:space="0" w:color="auto"/>
            </w:tcBorders>
            <w:shd w:val="clear" w:color="auto" w:fill="auto"/>
            <w:vAlign w:val="center"/>
          </w:tcPr>
          <w:p w14:paraId="2DE38581"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27</w:t>
            </w:r>
          </w:p>
        </w:tc>
        <w:tc>
          <w:tcPr>
            <w:tcW w:w="2700" w:type="dxa"/>
            <w:tcBorders>
              <w:top w:val="single" w:sz="4" w:space="0" w:color="auto"/>
              <w:left w:val="double" w:sz="4" w:space="0" w:color="auto"/>
              <w:bottom w:val="single" w:sz="4" w:space="0" w:color="auto"/>
            </w:tcBorders>
            <w:vAlign w:val="center"/>
          </w:tcPr>
          <w:p w14:paraId="0C856149"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single" w:sz="4" w:space="0" w:color="auto"/>
              <w:bottom w:val="single" w:sz="4" w:space="0" w:color="auto"/>
            </w:tcBorders>
            <w:vAlign w:val="center"/>
          </w:tcPr>
          <w:p w14:paraId="73F1E291"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-1, -2, …, -256</w:t>
            </w:r>
          </w:p>
        </w:tc>
      </w:tr>
      <w:tr w:rsidR="00282C81" w:rsidRPr="00B916EC" w14:paraId="75865250" w14:textId="77777777" w:rsidTr="00FE07DA">
        <w:trPr>
          <w:cantSplit/>
          <w:trHeight w:val="437"/>
        </w:trPr>
        <w:tc>
          <w:tcPr>
            <w:tcW w:w="1620" w:type="dxa"/>
            <w:tcBorders>
              <w:top w:val="single" w:sz="4" w:space="0" w:color="auto"/>
              <w:bottom w:val="single" w:sz="4" w:space="0" w:color="auto"/>
              <w:right w:val="double" w:sz="4" w:space="0" w:color="auto"/>
            </w:tcBorders>
            <w:shd w:val="clear" w:color="auto" w:fill="auto"/>
            <w:vAlign w:val="center"/>
          </w:tcPr>
          <w:p w14:paraId="56E227DE"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28</w:t>
            </w:r>
          </w:p>
        </w:tc>
        <w:tc>
          <w:tcPr>
            <w:tcW w:w="2700" w:type="dxa"/>
            <w:tcBorders>
              <w:top w:val="single" w:sz="4" w:space="0" w:color="auto"/>
              <w:left w:val="double" w:sz="4" w:space="0" w:color="auto"/>
              <w:bottom w:val="single" w:sz="4" w:space="0" w:color="auto"/>
            </w:tcBorders>
            <w:vAlign w:val="center"/>
          </w:tcPr>
          <w:p w14:paraId="3D204CB6"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single" w:sz="4" w:space="0" w:color="auto"/>
              <w:bottom w:val="single" w:sz="4" w:space="0" w:color="auto"/>
            </w:tcBorders>
            <w:vAlign w:val="center"/>
          </w:tcPr>
          <w:p w14:paraId="1B2BAC86"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-257, -258, …, -512</w:t>
            </w:r>
          </w:p>
        </w:tc>
      </w:tr>
      <w:tr w:rsidR="00282C81" w:rsidRPr="00B916EC" w14:paraId="446375FC" w14:textId="77777777" w:rsidTr="00FE07DA">
        <w:trPr>
          <w:cantSplit/>
          <w:trHeight w:val="437"/>
        </w:trPr>
        <w:tc>
          <w:tcPr>
            <w:tcW w:w="1620" w:type="dxa"/>
            <w:tcBorders>
              <w:top w:val="single" w:sz="4" w:space="0" w:color="auto"/>
              <w:bottom w:val="single" w:sz="4" w:space="0" w:color="auto"/>
              <w:right w:val="double" w:sz="4" w:space="0" w:color="auto"/>
            </w:tcBorders>
            <w:shd w:val="clear" w:color="auto" w:fill="auto"/>
            <w:vAlign w:val="center"/>
          </w:tcPr>
          <w:p w14:paraId="3D10CBC3"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29</w:t>
            </w:r>
          </w:p>
        </w:tc>
        <w:tc>
          <w:tcPr>
            <w:tcW w:w="2700" w:type="dxa"/>
            <w:tcBorders>
              <w:top w:val="single" w:sz="4" w:space="0" w:color="auto"/>
              <w:left w:val="double" w:sz="4" w:space="0" w:color="auto"/>
              <w:bottom w:val="single" w:sz="4" w:space="0" w:color="auto"/>
            </w:tcBorders>
            <w:vAlign w:val="center"/>
          </w:tcPr>
          <w:p w14:paraId="4865C5B1"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single" w:sz="4" w:space="0" w:color="auto"/>
              <w:bottom w:val="single" w:sz="4" w:space="0" w:color="auto"/>
            </w:tcBorders>
            <w:vAlign w:val="center"/>
          </w:tcPr>
          <w:p w14:paraId="035DE694"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-513, -514, …., -768</w:t>
            </w:r>
          </w:p>
        </w:tc>
      </w:tr>
      <w:tr w:rsidR="00282C81" w:rsidRPr="00B916EC" w14:paraId="228FC9AD" w14:textId="77777777" w:rsidTr="00FE07DA">
        <w:trPr>
          <w:cantSplit/>
          <w:trHeight w:val="446"/>
        </w:trPr>
        <w:tc>
          <w:tcPr>
            <w:tcW w:w="1620" w:type="dxa"/>
            <w:tcBorders>
              <w:top w:val="single" w:sz="4" w:space="0" w:color="auto"/>
              <w:right w:val="double" w:sz="4" w:space="0" w:color="auto"/>
            </w:tcBorders>
            <w:shd w:val="clear" w:color="auto" w:fill="auto"/>
            <w:vAlign w:val="center"/>
          </w:tcPr>
          <w:p w14:paraId="36B2238F"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30</w:t>
            </w:r>
          </w:p>
        </w:tc>
        <w:tc>
          <w:tcPr>
            <w:tcW w:w="2700" w:type="dxa"/>
            <w:tcBorders>
              <w:top w:val="single" w:sz="4" w:space="0" w:color="auto"/>
              <w:left w:val="double" w:sz="4" w:space="0" w:color="auto"/>
            </w:tcBorders>
            <w:vAlign w:val="center"/>
          </w:tcPr>
          <w:p w14:paraId="6B0AE4B6"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single" w:sz="4" w:space="0" w:color="auto"/>
            </w:tcBorders>
            <w:vAlign w:val="center"/>
          </w:tcPr>
          <w:p w14:paraId="1BF50A10"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Reserved, Reserved, …, Reserved</w:t>
            </w:r>
          </w:p>
        </w:tc>
      </w:tr>
    </w:tbl>
    <w:p w14:paraId="0138BEBA" w14:textId="77777777" w:rsidR="00282C81" w:rsidRDefault="00282C81" w:rsidP="0009732E"/>
    <w:p w14:paraId="78F9A6FB" w14:textId="598596BA" w:rsidR="00282C81" w:rsidRDefault="00282C81" w:rsidP="0009732E">
      <w:pPr>
        <w:pStyle w:val="TH"/>
      </w:pPr>
      <w:r w:rsidRPr="00692B28">
        <w:t xml:space="preserve">Table 13-17: Mapping between the combination of </w:t>
      </w:r>
      <m:oMath>
        <m:sSub>
          <m:sSubPr>
            <m:ctrlPr>
              <w:rPr>
                <w:rFonts w:ascii="Cambria Math" w:hAnsi="Cambria Math"/>
                <w:b w:val="0"/>
                <w:iCs/>
                <w:lang w:val="en-US"/>
              </w:rPr>
            </m:ctrlPr>
          </m:sSubPr>
          <m:e>
            <m:r>
              <m:rPr>
                <m:sty m:val="bi"/>
              </m:rPr>
              <w:rPr>
                <w:rFonts w:ascii="Cambria Math" w:hAnsi="Cambria Math"/>
                <w:lang w:val="en-US"/>
              </w:rPr>
              <m:t>k</m:t>
            </m:r>
          </m:e>
          <m:sub>
            <m:r>
              <m:rPr>
                <m:sty m:val="b"/>
              </m:rPr>
              <w:rPr>
                <w:rFonts w:ascii="Cambria Math" w:hAnsi="Cambria Math"/>
                <w:lang w:val="en-US"/>
              </w:rPr>
              <m:t>SSB</m:t>
            </m:r>
          </m:sub>
        </m:sSub>
      </m:oMath>
      <w:r w:rsidR="005C3934">
        <w:t xml:space="preserve"> </w:t>
      </w:r>
      <w:r w:rsidRPr="00692B28">
        <w:t xml:space="preserve">and </w:t>
      </w:r>
      <w:r w:rsidR="00E00584" w:rsidRPr="00C9433A">
        <w:rPr>
          <w:i/>
          <w:iCs/>
        </w:rPr>
        <w:t xml:space="preserve">controlResourceSetZero </w:t>
      </w:r>
      <w:r w:rsidR="00E00584" w:rsidRPr="00C9433A">
        <w:rPr>
          <w:lang w:val="en-US"/>
        </w:rPr>
        <w:t xml:space="preserve">and </w:t>
      </w:r>
      <w:r w:rsidR="00E00584" w:rsidRPr="00C9433A">
        <w:rPr>
          <w:i/>
          <w:iCs/>
        </w:rPr>
        <w:t>searchSpaceZero</w:t>
      </w:r>
      <w:r w:rsidR="00E00584" w:rsidRPr="00C9433A">
        <w:rPr>
          <w:iCs/>
        </w:rPr>
        <w:t xml:space="preserve"> in</w:t>
      </w:r>
      <w:r w:rsidR="00E00584" w:rsidRPr="00C9433A">
        <w:rPr>
          <w:i/>
          <w:iCs/>
        </w:rPr>
        <w:t xml:space="preserve"> </w:t>
      </w:r>
      <w:r w:rsidR="005C3934" w:rsidRPr="003C5174">
        <w:rPr>
          <w:i/>
          <w:iCs/>
          <w:lang w:eastAsia="ja-JP"/>
        </w:rPr>
        <w:t>pdcch-ConfigSIB1</w:t>
      </w:r>
      <w:r w:rsidRPr="00692B28">
        <w:rPr>
          <w:i/>
        </w:rPr>
        <w:t xml:space="preserve"> </w:t>
      </w:r>
      <w:r w:rsidRPr="00692B28">
        <w:t xml:space="preserve">to </w:t>
      </w:r>
      <m:oMath>
        <m:sSubSup>
          <m:sSubSupPr>
            <m:ctrlPr>
              <w:rPr>
                <w:rFonts w:ascii="Cambria Math" w:hAnsi="Cambria Math"/>
                <w:b w:val="0"/>
                <w:i/>
              </w:rPr>
            </m:ctrlPr>
          </m:sSubSupPr>
          <m:e>
            <m:r>
              <m:rPr>
                <m:sty m:val="bi"/>
              </m:rPr>
              <w:rPr>
                <w:rFonts w:ascii="Cambria Math" w:hAnsi="Cambria Math"/>
              </w:rPr>
              <m:t>N</m:t>
            </m:r>
          </m:e>
          <m:sub>
            <m:r>
              <m:rPr>
                <m:sty m:val="b"/>
              </m:rPr>
              <w:rPr>
                <w:rFonts w:ascii="Cambria Math" w:hAnsi="Cambria Math"/>
              </w:rPr>
              <m:t>GSCN</m:t>
            </m:r>
          </m:sub>
          <m:sup>
            <m:r>
              <m:rPr>
                <m:sty m:val="b"/>
              </m:rPr>
              <w:rPr>
                <w:rFonts w:ascii="Cambria Math" w:hAnsi="Cambria Math"/>
              </w:rPr>
              <m:t>Offset</m:t>
            </m:r>
          </m:sup>
        </m:sSubSup>
      </m:oMath>
      <w:r w:rsidRPr="00692B28">
        <w:t xml:space="preserve"> for FR2</w:t>
      </w:r>
    </w:p>
    <w:tbl>
      <w:tblPr>
        <w:tblW w:w="0" w:type="auto"/>
        <w:tblInd w:w="11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2700"/>
        <w:gridCol w:w="3600"/>
      </w:tblGrid>
      <w:tr w:rsidR="00DC5DC7" w:rsidRPr="00B916EC" w14:paraId="3F66434A" w14:textId="77777777" w:rsidTr="00A41602">
        <w:trPr>
          <w:cantSplit/>
        </w:trPr>
        <w:tc>
          <w:tcPr>
            <w:tcW w:w="1620" w:type="dxa"/>
            <w:tcBorders>
              <w:bottom w:val="double" w:sz="4" w:space="0" w:color="auto"/>
              <w:right w:val="double" w:sz="4" w:space="0" w:color="auto"/>
            </w:tcBorders>
            <w:shd w:val="clear" w:color="auto" w:fill="E0E0E0"/>
            <w:vAlign w:val="center"/>
          </w:tcPr>
          <w:p w14:paraId="1C87DAFB" w14:textId="701817AD" w:rsidR="00DC5DC7" w:rsidRPr="00C64ED7" w:rsidRDefault="00000000" w:rsidP="00DC5DC7">
            <w:pPr>
              <w:keepNext/>
              <w:keepLines/>
              <w:overflowPunct w:val="0"/>
              <w:autoSpaceDE w:val="0"/>
              <w:autoSpaceDN w:val="0"/>
              <w:adjustRightInd w:val="0"/>
              <w:spacing w:after="0"/>
              <w:jc w:val="center"/>
              <w:textAlignment w:val="baseline"/>
              <w:rPr>
                <w:b/>
              </w:rPr>
            </w:pPr>
            <m:oMathPara>
              <m:oMath>
                <m:sSub>
                  <m:sSubPr>
                    <m:ctrlPr>
                      <w:rPr>
                        <w:rFonts w:ascii="Cambria Math" w:hAnsi="Cambria Math"/>
                        <w:iCs/>
                        <w:lang w:val="en-US"/>
                      </w:rPr>
                    </m:ctrlPr>
                  </m:sSubPr>
                  <m:e>
                    <m:r>
                      <w:rPr>
                        <w:rFonts w:ascii="Cambria Math" w:hAnsi="Cambria Math"/>
                        <w:lang w:val="en-US"/>
                      </w:rPr>
                      <m:t>k</m:t>
                    </m:r>
                  </m:e>
                  <m:sub>
                    <m:r>
                      <m:rPr>
                        <m:sty m:val="p"/>
                      </m:rPr>
                      <w:rPr>
                        <w:rFonts w:ascii="Cambria Math" w:hAnsi="Cambria Math"/>
                        <w:lang w:val="en-US"/>
                      </w:rPr>
                      <m:t>SSB</m:t>
                    </m:r>
                  </m:sub>
                </m:sSub>
              </m:oMath>
            </m:oMathPara>
          </w:p>
        </w:tc>
        <w:tc>
          <w:tcPr>
            <w:tcW w:w="2700" w:type="dxa"/>
            <w:tcBorders>
              <w:left w:val="double" w:sz="4" w:space="0" w:color="auto"/>
              <w:bottom w:val="double" w:sz="4" w:space="0" w:color="auto"/>
            </w:tcBorders>
            <w:shd w:val="clear" w:color="auto" w:fill="E0E0E0"/>
            <w:vAlign w:val="center"/>
          </w:tcPr>
          <w:p w14:paraId="22E88E80" w14:textId="788585B9" w:rsidR="00DC5DC7" w:rsidRPr="00C64ED7" w:rsidRDefault="00DC5DC7" w:rsidP="00DC5DC7">
            <w:pPr>
              <w:keepNext/>
              <w:keepLines/>
              <w:overflowPunct w:val="0"/>
              <w:autoSpaceDE w:val="0"/>
              <w:autoSpaceDN w:val="0"/>
              <w:adjustRightInd w:val="0"/>
              <w:spacing w:after="0"/>
              <w:jc w:val="center"/>
              <w:textAlignment w:val="baseline"/>
              <w:rPr>
                <w:b/>
              </w:rPr>
            </w:pPr>
            <w:r w:rsidRPr="00B27E56">
              <w:rPr>
                <w:i/>
                <w:iCs/>
              </w:rPr>
              <w:t>16×controlResourceSetZero +searchSpaceZero</w:t>
            </w:r>
          </w:p>
        </w:tc>
        <w:tc>
          <w:tcPr>
            <w:tcW w:w="3600" w:type="dxa"/>
            <w:tcBorders>
              <w:bottom w:val="double" w:sz="4" w:space="0" w:color="auto"/>
            </w:tcBorders>
            <w:shd w:val="clear" w:color="auto" w:fill="E0E0E0"/>
            <w:vAlign w:val="center"/>
          </w:tcPr>
          <w:p w14:paraId="4EAF8AA2" w14:textId="67512C79" w:rsidR="00DC5DC7" w:rsidRPr="00C64ED7" w:rsidRDefault="00000000" w:rsidP="00DC5DC7">
            <w:pPr>
              <w:keepNext/>
              <w:keepLines/>
              <w:overflowPunct w:val="0"/>
              <w:autoSpaceDE w:val="0"/>
              <w:autoSpaceDN w:val="0"/>
              <w:adjustRightInd w:val="0"/>
              <w:spacing w:after="0"/>
              <w:jc w:val="center"/>
              <w:textAlignment w:val="baseline"/>
              <w:rPr>
                <w:b/>
              </w:rPr>
            </w:pPr>
            <m:oMathPara>
              <m:oMath>
                <m:sSubSup>
                  <m:sSubSupPr>
                    <m:ctrlPr>
                      <w:rPr>
                        <w:rFonts w:ascii="Cambria Math" w:hAnsi="Cambria Math"/>
                        <w:i/>
                      </w:rPr>
                    </m:ctrlPr>
                  </m:sSubSupPr>
                  <m:e>
                    <m:r>
                      <w:rPr>
                        <w:rFonts w:ascii="Cambria Math" w:hAnsi="Cambria Math"/>
                      </w:rPr>
                      <m:t>N</m:t>
                    </m:r>
                  </m:e>
                  <m:sub>
                    <m:r>
                      <m:rPr>
                        <m:sty m:val="p"/>
                      </m:rPr>
                      <w:rPr>
                        <w:rFonts w:ascii="Cambria Math" w:hAnsi="Cambria Math"/>
                      </w:rPr>
                      <m:t>GSCN</m:t>
                    </m:r>
                  </m:sub>
                  <m:sup>
                    <m:r>
                      <m:rPr>
                        <m:sty m:val="p"/>
                      </m:rPr>
                      <w:rPr>
                        <w:rFonts w:ascii="Cambria Math" w:hAnsi="Cambria Math"/>
                      </w:rPr>
                      <m:t>Offset</m:t>
                    </m:r>
                  </m:sup>
                </m:sSubSup>
              </m:oMath>
            </m:oMathPara>
          </w:p>
        </w:tc>
      </w:tr>
      <w:tr w:rsidR="00282C81" w:rsidRPr="00B916EC" w14:paraId="034CB328" w14:textId="77777777" w:rsidTr="00A41602">
        <w:trPr>
          <w:cantSplit/>
          <w:trHeight w:val="453"/>
        </w:trPr>
        <w:tc>
          <w:tcPr>
            <w:tcW w:w="1620" w:type="dxa"/>
            <w:tcBorders>
              <w:top w:val="double" w:sz="4" w:space="0" w:color="auto"/>
              <w:right w:val="double" w:sz="4" w:space="0" w:color="auto"/>
            </w:tcBorders>
            <w:shd w:val="clear" w:color="auto" w:fill="auto"/>
            <w:vAlign w:val="center"/>
          </w:tcPr>
          <w:p w14:paraId="513050F0"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12</w:t>
            </w:r>
          </w:p>
        </w:tc>
        <w:tc>
          <w:tcPr>
            <w:tcW w:w="2700" w:type="dxa"/>
            <w:tcBorders>
              <w:top w:val="double" w:sz="4" w:space="0" w:color="auto"/>
              <w:left w:val="double" w:sz="4" w:space="0" w:color="auto"/>
            </w:tcBorders>
            <w:vAlign w:val="center"/>
          </w:tcPr>
          <w:p w14:paraId="459DE5F9"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double" w:sz="4" w:space="0" w:color="auto"/>
            </w:tcBorders>
            <w:vAlign w:val="center"/>
          </w:tcPr>
          <w:p w14:paraId="558C52AE"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1, 2, …, 256</w:t>
            </w:r>
          </w:p>
        </w:tc>
      </w:tr>
      <w:tr w:rsidR="00282C81" w:rsidRPr="00B916EC" w14:paraId="7A82B47E" w14:textId="77777777" w:rsidTr="00A41602">
        <w:trPr>
          <w:cantSplit/>
          <w:trHeight w:val="446"/>
        </w:trPr>
        <w:tc>
          <w:tcPr>
            <w:tcW w:w="1620" w:type="dxa"/>
            <w:tcBorders>
              <w:top w:val="single" w:sz="4" w:space="0" w:color="auto"/>
              <w:right w:val="double" w:sz="4" w:space="0" w:color="auto"/>
            </w:tcBorders>
            <w:shd w:val="clear" w:color="auto" w:fill="auto"/>
            <w:vAlign w:val="center"/>
          </w:tcPr>
          <w:p w14:paraId="3081C61F"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13</w:t>
            </w:r>
          </w:p>
        </w:tc>
        <w:tc>
          <w:tcPr>
            <w:tcW w:w="2700" w:type="dxa"/>
            <w:tcBorders>
              <w:top w:val="single" w:sz="4" w:space="0" w:color="auto"/>
              <w:left w:val="double" w:sz="4" w:space="0" w:color="auto"/>
            </w:tcBorders>
            <w:vAlign w:val="center"/>
          </w:tcPr>
          <w:p w14:paraId="7D9A5CC4"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single" w:sz="4" w:space="0" w:color="auto"/>
            </w:tcBorders>
            <w:vAlign w:val="center"/>
          </w:tcPr>
          <w:p w14:paraId="25E5C351"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-1, -2, …, -256</w:t>
            </w:r>
          </w:p>
        </w:tc>
      </w:tr>
      <w:tr w:rsidR="00282C81" w:rsidRPr="00B916EC" w14:paraId="35332C8B" w14:textId="77777777" w:rsidTr="00A41602">
        <w:trPr>
          <w:cantSplit/>
          <w:trHeight w:val="446"/>
        </w:trPr>
        <w:tc>
          <w:tcPr>
            <w:tcW w:w="1620" w:type="dxa"/>
            <w:tcBorders>
              <w:top w:val="single" w:sz="4" w:space="0" w:color="auto"/>
              <w:right w:val="double" w:sz="4" w:space="0" w:color="auto"/>
            </w:tcBorders>
            <w:shd w:val="clear" w:color="auto" w:fill="auto"/>
            <w:vAlign w:val="center"/>
          </w:tcPr>
          <w:p w14:paraId="03533D37"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14</w:t>
            </w:r>
          </w:p>
        </w:tc>
        <w:tc>
          <w:tcPr>
            <w:tcW w:w="2700" w:type="dxa"/>
            <w:tcBorders>
              <w:top w:val="single" w:sz="4" w:space="0" w:color="auto"/>
              <w:left w:val="double" w:sz="4" w:space="0" w:color="auto"/>
            </w:tcBorders>
            <w:vAlign w:val="center"/>
          </w:tcPr>
          <w:p w14:paraId="2B6008C6"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0, 1, …, 255</w:t>
            </w:r>
          </w:p>
        </w:tc>
        <w:tc>
          <w:tcPr>
            <w:tcW w:w="3600" w:type="dxa"/>
            <w:tcBorders>
              <w:top w:val="single" w:sz="4" w:space="0" w:color="auto"/>
            </w:tcBorders>
            <w:vAlign w:val="center"/>
          </w:tcPr>
          <w:p w14:paraId="1E3D6AB4" w14:textId="77777777" w:rsidR="00282C81" w:rsidRPr="00692B28" w:rsidRDefault="00282C81" w:rsidP="00FE07DA">
            <w:pPr>
              <w:keepNext/>
              <w:keepLines/>
              <w:overflowPunct w:val="0"/>
              <w:autoSpaceDE w:val="0"/>
              <w:autoSpaceDN w:val="0"/>
              <w:adjustRightInd w:val="0"/>
              <w:spacing w:after="0"/>
              <w:jc w:val="center"/>
              <w:textAlignment w:val="baseline"/>
            </w:pPr>
            <w:r w:rsidRPr="00692B28">
              <w:t>Reserved, Reserved, …, Reserved</w:t>
            </w:r>
          </w:p>
        </w:tc>
      </w:tr>
    </w:tbl>
    <w:p w14:paraId="0740B055" w14:textId="687C3857" w:rsidR="00A41602" w:rsidRDefault="00A41602" w:rsidP="00A41602"/>
    <w:p w14:paraId="4A488A7B" w14:textId="4EE8ED83" w:rsidR="00E9420D" w:rsidRPr="009861A4" w:rsidRDefault="00E9420D" w:rsidP="00E9420D">
      <w:pPr>
        <w:pStyle w:val="Heading1"/>
        <w:tabs>
          <w:tab w:val="left" w:pos="1134"/>
        </w:tabs>
      </w:pPr>
      <w:bookmarkStart w:id="810" w:name="_Toc29894873"/>
      <w:bookmarkStart w:id="811" w:name="_Toc29899172"/>
      <w:bookmarkStart w:id="812" w:name="_Toc29899590"/>
      <w:bookmarkStart w:id="813" w:name="_Toc29917326"/>
      <w:bookmarkStart w:id="814" w:name="_Toc36498200"/>
      <w:bookmarkStart w:id="815" w:name="_Toc45699228"/>
      <w:bookmarkStart w:id="816" w:name="_Toc161999162"/>
      <w:r w:rsidRPr="009861A4">
        <w:t>14</w:t>
      </w:r>
      <w:r w:rsidRPr="009861A4">
        <w:rPr>
          <w:rFonts w:hint="eastAsia"/>
        </w:rPr>
        <w:tab/>
      </w:r>
      <w:r w:rsidRPr="009861A4">
        <w:t>Integrated access-backhaul operation</w:t>
      </w:r>
      <w:bookmarkEnd w:id="810"/>
      <w:bookmarkEnd w:id="811"/>
      <w:bookmarkEnd w:id="812"/>
      <w:bookmarkEnd w:id="813"/>
      <w:bookmarkEnd w:id="814"/>
      <w:bookmarkEnd w:id="815"/>
      <w:bookmarkEnd w:id="816"/>
      <w:r w:rsidRPr="009861A4">
        <w:t xml:space="preserve"> </w:t>
      </w:r>
    </w:p>
    <w:p w14:paraId="5BF566A0" w14:textId="77D18DFC" w:rsidR="00E9420D" w:rsidRPr="009861A4" w:rsidRDefault="00E9420D" w:rsidP="00E9420D">
      <w:pPr>
        <w:rPr>
          <w:lang w:val="en-US"/>
        </w:rPr>
      </w:pPr>
      <w:r w:rsidRPr="009861A4">
        <w:rPr>
          <w:lang w:val="en-US"/>
        </w:rPr>
        <w:t xml:space="preserve">Throughout this specification, unless otherwise noted, statements using the term </w:t>
      </w:r>
      <w:r w:rsidR="00D93480">
        <w:rPr>
          <w:lang w:val="en-US"/>
        </w:rPr>
        <w:t>"</w:t>
      </w:r>
      <w:r w:rsidRPr="009861A4">
        <w:rPr>
          <w:lang w:val="en-US"/>
        </w:rPr>
        <w:t>UE</w:t>
      </w:r>
      <w:r w:rsidR="00D93480">
        <w:rPr>
          <w:lang w:val="en-US"/>
        </w:rPr>
        <w:t>"</w:t>
      </w:r>
      <w:r w:rsidRPr="009861A4">
        <w:rPr>
          <w:lang w:val="en-US"/>
        </w:rPr>
        <w:t xml:space="preserve"> in clauses 4 through 13 are equally applicable to the IAB-MT of an IAB node. </w:t>
      </w:r>
    </w:p>
    <w:p w14:paraId="706EEF13" w14:textId="3D40FC00" w:rsidR="00E9420D" w:rsidRPr="009861A4" w:rsidRDefault="00E9420D" w:rsidP="00E9420D">
      <w:pPr>
        <w:rPr>
          <w:lang w:val="en-US"/>
        </w:rPr>
      </w:pPr>
      <w:r w:rsidRPr="009861A4">
        <w:rPr>
          <w:lang w:val="en-US"/>
        </w:rPr>
        <w:t xml:space="preserve">A procedure for an IAB-MT to perform cell search, system information acquisition, or random access procedure is same as a corresponding one for a UE except for the following. </w:t>
      </w:r>
    </w:p>
    <w:p w14:paraId="6AD69BC5" w14:textId="011064CB" w:rsidR="00E9420D" w:rsidRPr="009861A4" w:rsidRDefault="00E9420D" w:rsidP="00E9420D">
      <w:pPr>
        <w:rPr>
          <w:lang w:val="en-US"/>
        </w:rPr>
      </w:pPr>
      <w:r w:rsidRPr="009861A4">
        <w:rPr>
          <w:lang w:val="en-US"/>
        </w:rPr>
        <w:t>For initial cell selection, an IAB-MT may assume that half frames with SS/PBCH blocks occur with a periodicity of 16 frames.</w:t>
      </w:r>
    </w:p>
    <w:p w14:paraId="4622B5C0" w14:textId="6CF77C96" w:rsidR="00E9420D" w:rsidRPr="009861A4" w:rsidRDefault="00E9420D" w:rsidP="00E9420D">
      <w:pPr>
        <w:rPr>
          <w:lang w:val="en-US"/>
        </w:rPr>
      </w:pPr>
      <w:r w:rsidRPr="009861A4">
        <w:rPr>
          <w:lang w:val="en-US"/>
        </w:rPr>
        <w:t>For PRACH transmission, an IAB-MT determines frames and subframes</w:t>
      </w:r>
      <w:r w:rsidR="00504FE6">
        <w:rPr>
          <w:lang w:val="en-US"/>
        </w:rPr>
        <w:t>/slots</w:t>
      </w:r>
      <w:r w:rsidRPr="009861A4">
        <w:rPr>
          <w:lang w:val="en-US"/>
        </w:rPr>
        <w:t xml:space="preserve"> within the frames containing </w:t>
      </w:r>
      <w:r w:rsidRPr="009861A4">
        <w:t xml:space="preserve">PRACH occasions as described in </w:t>
      </w:r>
      <w:r w:rsidRPr="009861A4">
        <w:rPr>
          <w:lang w:val="en-US"/>
        </w:rPr>
        <w:t>[4, TS 38.211]</w:t>
      </w:r>
      <w:r w:rsidRPr="009861A4">
        <w:t>.</w:t>
      </w:r>
      <w:r w:rsidRPr="009861A4">
        <w:rPr>
          <w:lang w:val="en-US"/>
        </w:rPr>
        <w:t xml:space="preserve"> </w:t>
      </w:r>
    </w:p>
    <w:p w14:paraId="3CA350DB" w14:textId="0D903AA8" w:rsidR="00E9420D" w:rsidRPr="009861A4" w:rsidRDefault="00E9420D" w:rsidP="00E9420D">
      <w:r w:rsidRPr="009861A4">
        <w:rPr>
          <w:lang w:val="en-US"/>
        </w:rPr>
        <w:t xml:space="preserve">The IAB-MT determines an </w:t>
      </w:r>
      <w:r w:rsidRPr="009861A4">
        <w:t xml:space="preserve">association period for mapping SS/PBCH blocks to PRACH occasions based on a </w:t>
      </w:r>
      <w:r w:rsidRPr="009861A4">
        <w:rPr>
          <w:lang w:eastAsia="zh-CN"/>
        </w:rPr>
        <w:t xml:space="preserve">PRACH configuration period as described </w:t>
      </w:r>
      <w:r w:rsidR="006F5F9E">
        <w:rPr>
          <w:lang w:eastAsia="zh-CN"/>
        </w:rPr>
        <w:t>in clause</w:t>
      </w:r>
      <w:r w:rsidRPr="009861A4">
        <w:rPr>
          <w:lang w:eastAsia="zh-CN"/>
        </w:rPr>
        <w:t xml:space="preserve"> 8.1 and according to Table</w:t>
      </w:r>
      <w:r w:rsidRPr="009861A4">
        <w:t xml:space="preserve"> 14</w:t>
      </w:r>
      <w:r w:rsidR="00977C2F">
        <w:t>-</w:t>
      </w:r>
      <w:r w:rsidRPr="009861A4">
        <w:t xml:space="preserve">1 instead of </w:t>
      </w:r>
      <w:r w:rsidRPr="009861A4">
        <w:rPr>
          <w:lang w:eastAsia="zh-CN"/>
        </w:rPr>
        <w:t>Table</w:t>
      </w:r>
      <w:r w:rsidRPr="009861A4" w:rsidDel="00864605">
        <w:t xml:space="preserve"> </w:t>
      </w:r>
      <w:r w:rsidRPr="009861A4">
        <w:t>8.1-1. An association pattern period includes one or more association periods and is determined so that a pattern between PRACH occasions and SS/PBCH blocks repeats at most every 640 msec.</w:t>
      </w:r>
      <w:r>
        <w:t xml:space="preserve"> </w:t>
      </w:r>
      <w:r w:rsidRPr="009861A4">
        <w:t xml:space="preserve">A PRACH occasion </w:t>
      </w:r>
      <w:r w:rsidRPr="009861A4">
        <w:rPr>
          <w:rStyle w:val="colour"/>
        </w:rPr>
        <w:t>in a PRACH slot</w:t>
      </w:r>
      <w:r w:rsidRPr="009861A4">
        <w:t xml:space="preserve"> is valid according to the conditions </w:t>
      </w:r>
      <w:r w:rsidR="006F5F9E">
        <w:t>in clause</w:t>
      </w:r>
      <w:r w:rsidRPr="009861A4">
        <w:t xml:space="preserve"> 8.1</w:t>
      </w:r>
      <w:r>
        <w:t>.</w:t>
      </w:r>
    </w:p>
    <w:p w14:paraId="6061ADAF" w14:textId="02837549" w:rsidR="00E9420D" w:rsidRPr="009861A4" w:rsidRDefault="00E9420D" w:rsidP="00E9420D">
      <w:pPr>
        <w:pStyle w:val="TH"/>
      </w:pPr>
      <w:r w:rsidRPr="009861A4">
        <w:lastRenderedPageBreak/>
        <w:t>Table 14</w:t>
      </w:r>
      <w:r w:rsidR="00977C2F">
        <w:t>-</w:t>
      </w:r>
      <w:r w:rsidRPr="009861A4">
        <w:t>1: Mapping between PRACH configuration period and SS/PBCH block to PRACH occasion association period for an IAB-MT</w:t>
      </w:r>
    </w:p>
    <w:tbl>
      <w:tblPr>
        <w:tblW w:w="0" w:type="auto"/>
        <w:jc w:val="center"/>
        <w:tblLook w:val="01E0" w:firstRow="1" w:lastRow="1" w:firstColumn="1" w:lastColumn="1" w:noHBand="0" w:noVBand="0"/>
      </w:tblPr>
      <w:tblGrid>
        <w:gridCol w:w="3325"/>
        <w:gridCol w:w="3780"/>
      </w:tblGrid>
      <w:tr w:rsidR="00E9420D" w:rsidRPr="009861A4" w14:paraId="74023F7C" w14:textId="77777777" w:rsidTr="00131932">
        <w:trPr>
          <w:jc w:val="center"/>
        </w:trPr>
        <w:tc>
          <w:tcPr>
            <w:tcW w:w="3325" w:type="dxa"/>
            <w:tcBorders>
              <w:top w:val="single" w:sz="4" w:space="0" w:color="auto"/>
              <w:left w:val="single" w:sz="4" w:space="0" w:color="auto"/>
              <w:bottom w:val="single" w:sz="4" w:space="0" w:color="auto"/>
              <w:right w:val="single" w:sz="4" w:space="0" w:color="auto"/>
            </w:tcBorders>
            <w:shd w:val="clear" w:color="auto" w:fill="E0E0E0"/>
            <w:vAlign w:val="center"/>
          </w:tcPr>
          <w:p w14:paraId="1E510165" w14:textId="77777777" w:rsidR="00E9420D" w:rsidRPr="009861A4" w:rsidRDefault="00E9420D" w:rsidP="00131932">
            <w:pPr>
              <w:pStyle w:val="TAH"/>
            </w:pPr>
            <w:r w:rsidRPr="009861A4">
              <w:t>PRACH configuration period (msec)</w:t>
            </w:r>
          </w:p>
        </w:tc>
        <w:tc>
          <w:tcPr>
            <w:tcW w:w="3780" w:type="dxa"/>
            <w:tcBorders>
              <w:top w:val="single" w:sz="4" w:space="0" w:color="auto"/>
              <w:left w:val="single" w:sz="4" w:space="0" w:color="auto"/>
              <w:bottom w:val="single" w:sz="4" w:space="0" w:color="auto"/>
              <w:right w:val="single" w:sz="4" w:space="0" w:color="auto"/>
            </w:tcBorders>
            <w:shd w:val="clear" w:color="auto" w:fill="E0E0E0"/>
            <w:vAlign w:val="center"/>
          </w:tcPr>
          <w:p w14:paraId="24AF4BF8" w14:textId="77777777" w:rsidR="00E9420D" w:rsidRPr="009861A4" w:rsidRDefault="00E9420D" w:rsidP="00131932">
            <w:pPr>
              <w:pStyle w:val="TAH"/>
            </w:pPr>
            <w:r w:rsidRPr="009861A4">
              <w:t>Association period (number of PRACH configuration periods)</w:t>
            </w:r>
          </w:p>
        </w:tc>
      </w:tr>
      <w:tr w:rsidR="00E9420D" w:rsidRPr="009861A4" w14:paraId="25C9D8F1" w14:textId="77777777" w:rsidTr="00131932">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154A6273" w14:textId="77777777" w:rsidR="00E9420D" w:rsidRPr="009861A4" w:rsidRDefault="00E9420D" w:rsidP="00131932">
            <w:pPr>
              <w:pStyle w:val="TAC"/>
            </w:pPr>
            <w:r w:rsidRPr="009861A4">
              <w:t>10</w:t>
            </w:r>
          </w:p>
        </w:tc>
        <w:tc>
          <w:tcPr>
            <w:tcW w:w="3780" w:type="dxa"/>
            <w:tcBorders>
              <w:top w:val="single" w:sz="4" w:space="0" w:color="auto"/>
              <w:left w:val="single" w:sz="4" w:space="0" w:color="auto"/>
              <w:bottom w:val="single" w:sz="4" w:space="0" w:color="auto"/>
              <w:right w:val="single" w:sz="4" w:space="0" w:color="auto"/>
            </w:tcBorders>
            <w:vAlign w:val="center"/>
          </w:tcPr>
          <w:p w14:paraId="61AF868E" w14:textId="77777777" w:rsidR="00E9420D" w:rsidRPr="009861A4" w:rsidRDefault="00E9420D" w:rsidP="00131932">
            <w:pPr>
              <w:pStyle w:val="TAC"/>
            </w:pPr>
            <w:r w:rsidRPr="009861A4">
              <w:t>{1, 2, 4, 8, 16, 32, 64}</w:t>
            </w:r>
          </w:p>
        </w:tc>
      </w:tr>
      <w:tr w:rsidR="00E9420D" w:rsidRPr="009861A4" w14:paraId="72DE3A7A" w14:textId="77777777" w:rsidTr="00131932">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4B9469D8" w14:textId="77777777" w:rsidR="00E9420D" w:rsidRPr="009861A4" w:rsidRDefault="00E9420D" w:rsidP="00131932">
            <w:pPr>
              <w:pStyle w:val="TAC"/>
            </w:pPr>
            <w:r w:rsidRPr="009861A4">
              <w:t>20</w:t>
            </w:r>
          </w:p>
        </w:tc>
        <w:tc>
          <w:tcPr>
            <w:tcW w:w="3780" w:type="dxa"/>
            <w:tcBorders>
              <w:top w:val="single" w:sz="4" w:space="0" w:color="auto"/>
              <w:left w:val="single" w:sz="4" w:space="0" w:color="auto"/>
              <w:bottom w:val="single" w:sz="4" w:space="0" w:color="auto"/>
              <w:right w:val="single" w:sz="4" w:space="0" w:color="auto"/>
            </w:tcBorders>
            <w:vAlign w:val="center"/>
          </w:tcPr>
          <w:p w14:paraId="17AD6A93" w14:textId="77777777" w:rsidR="00E9420D" w:rsidRPr="009861A4" w:rsidRDefault="00E9420D" w:rsidP="00131932">
            <w:pPr>
              <w:pStyle w:val="TAC"/>
            </w:pPr>
            <w:r w:rsidRPr="009861A4">
              <w:t>{1, 2, 4, 8, 16, 32}</w:t>
            </w:r>
          </w:p>
        </w:tc>
      </w:tr>
      <w:tr w:rsidR="00E9420D" w:rsidRPr="009861A4" w14:paraId="0402ED40" w14:textId="77777777" w:rsidTr="00131932">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5276598C" w14:textId="77777777" w:rsidR="00E9420D" w:rsidRPr="009861A4" w:rsidRDefault="00E9420D" w:rsidP="00131932">
            <w:pPr>
              <w:pStyle w:val="TAC"/>
            </w:pPr>
            <w:r w:rsidRPr="009861A4">
              <w:t>40</w:t>
            </w:r>
          </w:p>
        </w:tc>
        <w:tc>
          <w:tcPr>
            <w:tcW w:w="3780" w:type="dxa"/>
            <w:tcBorders>
              <w:top w:val="single" w:sz="4" w:space="0" w:color="auto"/>
              <w:left w:val="single" w:sz="4" w:space="0" w:color="auto"/>
              <w:bottom w:val="single" w:sz="4" w:space="0" w:color="auto"/>
              <w:right w:val="single" w:sz="4" w:space="0" w:color="auto"/>
            </w:tcBorders>
            <w:vAlign w:val="center"/>
          </w:tcPr>
          <w:p w14:paraId="21563A2F" w14:textId="77777777" w:rsidR="00E9420D" w:rsidRPr="009861A4" w:rsidRDefault="00E9420D" w:rsidP="00131932">
            <w:pPr>
              <w:pStyle w:val="TAC"/>
            </w:pPr>
            <w:r w:rsidRPr="009861A4">
              <w:t>{1, 2, 4, 8, 16}</w:t>
            </w:r>
          </w:p>
        </w:tc>
      </w:tr>
      <w:tr w:rsidR="00E9420D" w:rsidRPr="009861A4" w14:paraId="0C8C7404" w14:textId="77777777" w:rsidTr="00131932">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7F54715C" w14:textId="77777777" w:rsidR="00E9420D" w:rsidRPr="009861A4" w:rsidRDefault="00E9420D" w:rsidP="00131932">
            <w:pPr>
              <w:pStyle w:val="TAC"/>
            </w:pPr>
            <w:r w:rsidRPr="009861A4">
              <w:t>80</w:t>
            </w:r>
          </w:p>
        </w:tc>
        <w:tc>
          <w:tcPr>
            <w:tcW w:w="3780" w:type="dxa"/>
            <w:tcBorders>
              <w:top w:val="single" w:sz="4" w:space="0" w:color="auto"/>
              <w:left w:val="single" w:sz="4" w:space="0" w:color="auto"/>
              <w:bottom w:val="single" w:sz="4" w:space="0" w:color="auto"/>
              <w:right w:val="single" w:sz="4" w:space="0" w:color="auto"/>
            </w:tcBorders>
            <w:vAlign w:val="center"/>
          </w:tcPr>
          <w:p w14:paraId="658DD0B4" w14:textId="77777777" w:rsidR="00E9420D" w:rsidRPr="009861A4" w:rsidRDefault="00E9420D" w:rsidP="00131932">
            <w:pPr>
              <w:pStyle w:val="TAC"/>
            </w:pPr>
            <w:r w:rsidRPr="009861A4">
              <w:t>{1, 2, 4, 8}</w:t>
            </w:r>
          </w:p>
        </w:tc>
      </w:tr>
      <w:tr w:rsidR="00E9420D" w:rsidRPr="009861A4" w14:paraId="32D8712D" w14:textId="77777777" w:rsidTr="00131932">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034B8324" w14:textId="77777777" w:rsidR="00E9420D" w:rsidRPr="009861A4" w:rsidRDefault="00E9420D" w:rsidP="00131932">
            <w:pPr>
              <w:pStyle w:val="TAC"/>
            </w:pPr>
            <w:r w:rsidRPr="009861A4">
              <w:t>160</w:t>
            </w:r>
          </w:p>
        </w:tc>
        <w:tc>
          <w:tcPr>
            <w:tcW w:w="3780" w:type="dxa"/>
            <w:tcBorders>
              <w:top w:val="single" w:sz="4" w:space="0" w:color="auto"/>
              <w:left w:val="single" w:sz="4" w:space="0" w:color="auto"/>
              <w:bottom w:val="single" w:sz="4" w:space="0" w:color="auto"/>
              <w:right w:val="single" w:sz="4" w:space="0" w:color="auto"/>
            </w:tcBorders>
            <w:vAlign w:val="center"/>
          </w:tcPr>
          <w:p w14:paraId="02F2ACB6" w14:textId="77777777" w:rsidR="00E9420D" w:rsidRPr="009861A4" w:rsidRDefault="00E9420D" w:rsidP="00131932">
            <w:pPr>
              <w:pStyle w:val="TAC"/>
            </w:pPr>
            <w:r w:rsidRPr="009861A4">
              <w:t>{1, 2, 4}</w:t>
            </w:r>
          </w:p>
        </w:tc>
      </w:tr>
      <w:tr w:rsidR="00E9420D" w:rsidRPr="009861A4" w14:paraId="7183D771" w14:textId="77777777" w:rsidTr="00131932">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347A9885" w14:textId="77777777" w:rsidR="00E9420D" w:rsidRPr="009861A4" w:rsidRDefault="00E9420D" w:rsidP="00131932">
            <w:pPr>
              <w:pStyle w:val="TAC"/>
            </w:pPr>
            <w:r w:rsidRPr="009861A4">
              <w:t>320</w:t>
            </w:r>
          </w:p>
        </w:tc>
        <w:tc>
          <w:tcPr>
            <w:tcW w:w="3780" w:type="dxa"/>
            <w:tcBorders>
              <w:top w:val="single" w:sz="4" w:space="0" w:color="auto"/>
              <w:left w:val="single" w:sz="4" w:space="0" w:color="auto"/>
              <w:bottom w:val="single" w:sz="4" w:space="0" w:color="auto"/>
              <w:right w:val="single" w:sz="4" w:space="0" w:color="auto"/>
            </w:tcBorders>
            <w:vAlign w:val="center"/>
          </w:tcPr>
          <w:p w14:paraId="5E39FBF5" w14:textId="77777777" w:rsidR="00E9420D" w:rsidRPr="009861A4" w:rsidRDefault="00E9420D" w:rsidP="00131932">
            <w:pPr>
              <w:pStyle w:val="TAC"/>
            </w:pPr>
            <w:r w:rsidRPr="009861A4">
              <w:t>{1, 2}</w:t>
            </w:r>
          </w:p>
        </w:tc>
      </w:tr>
      <w:tr w:rsidR="00E9420D" w:rsidRPr="009861A4" w14:paraId="49924A90" w14:textId="77777777" w:rsidTr="00131932">
        <w:trPr>
          <w:jc w:val="center"/>
        </w:trPr>
        <w:tc>
          <w:tcPr>
            <w:tcW w:w="3325" w:type="dxa"/>
            <w:tcBorders>
              <w:top w:val="single" w:sz="4" w:space="0" w:color="auto"/>
              <w:left w:val="single" w:sz="4" w:space="0" w:color="auto"/>
              <w:bottom w:val="single" w:sz="4" w:space="0" w:color="auto"/>
              <w:right w:val="single" w:sz="4" w:space="0" w:color="auto"/>
            </w:tcBorders>
            <w:vAlign w:val="center"/>
          </w:tcPr>
          <w:p w14:paraId="69ED0A67" w14:textId="77777777" w:rsidR="00E9420D" w:rsidRPr="009861A4" w:rsidRDefault="00E9420D" w:rsidP="00131932">
            <w:pPr>
              <w:pStyle w:val="TAC"/>
            </w:pPr>
            <w:r w:rsidRPr="009861A4">
              <w:t>640</w:t>
            </w:r>
          </w:p>
        </w:tc>
        <w:tc>
          <w:tcPr>
            <w:tcW w:w="3780" w:type="dxa"/>
            <w:tcBorders>
              <w:top w:val="single" w:sz="4" w:space="0" w:color="auto"/>
              <w:left w:val="single" w:sz="4" w:space="0" w:color="auto"/>
              <w:bottom w:val="single" w:sz="4" w:space="0" w:color="auto"/>
              <w:right w:val="single" w:sz="4" w:space="0" w:color="auto"/>
            </w:tcBorders>
            <w:vAlign w:val="center"/>
          </w:tcPr>
          <w:p w14:paraId="45B4F11A" w14:textId="77777777" w:rsidR="00E9420D" w:rsidRPr="009861A4" w:rsidRDefault="00E9420D" w:rsidP="00131932">
            <w:pPr>
              <w:pStyle w:val="TAC"/>
            </w:pPr>
            <w:r w:rsidRPr="009861A4">
              <w:t>{1}</w:t>
            </w:r>
          </w:p>
        </w:tc>
      </w:tr>
    </w:tbl>
    <w:p w14:paraId="05E76C55" w14:textId="1E4AD42F" w:rsidR="00AE2704" w:rsidRDefault="00977C2F" w:rsidP="00977C2F">
      <w:pPr>
        <w:spacing w:before="180"/>
        <w:jc w:val="both"/>
      </w:pPr>
      <w:r w:rsidRPr="00231F5A">
        <w:rPr>
          <w:lang w:eastAsia="zh-CN"/>
        </w:rPr>
        <w:t xml:space="preserve">If an </w:t>
      </w:r>
      <w:r w:rsidRPr="00D770EC">
        <w:rPr>
          <w:lang w:eastAsia="zh-CN"/>
        </w:rPr>
        <w:t>IAB-node</w:t>
      </w:r>
      <w:r w:rsidRPr="00D770EC">
        <w:rPr>
          <w:rFonts w:eastAsia="DengXian"/>
          <w:lang w:eastAsia="zh-CN"/>
        </w:rPr>
        <w:t xml:space="preserve"> is provided an index</w:t>
      </w:r>
      <w:r w:rsidRPr="00D770EC" w:rsidDel="005F1798">
        <w:rPr>
          <w:lang w:eastAsia="zh-CN"/>
        </w:rPr>
        <w:t xml:space="preserve"> </w:t>
      </w:r>
      <m:oMath>
        <m:sSub>
          <m:sSubPr>
            <m:ctrlPr>
              <w:rPr>
                <w:rFonts w:ascii="Cambria Math" w:eastAsia="DengXian" w:hAnsi="Cambria Math"/>
              </w:rPr>
            </m:ctrlPr>
          </m:sSubPr>
          <m:e>
            <m:r>
              <m:rPr>
                <m:sty m:val="p"/>
              </m:rPr>
              <w:rPr>
                <w:rFonts w:ascii="Cambria Math" w:eastAsia="DengXian" w:hAnsi="Cambria Math"/>
              </w:rPr>
              <m:t>T</m:t>
            </m:r>
          </m:e>
          <m:sub>
            <m:r>
              <m:rPr>
                <m:nor/>
              </m:rPr>
              <w:rPr>
                <w:rFonts w:eastAsia="DengXian"/>
              </w:rPr>
              <m:t>delta</m:t>
            </m:r>
          </m:sub>
        </m:sSub>
      </m:oMath>
      <w:r w:rsidRPr="00D770EC">
        <w:t xml:space="preserve"> in a Timing Delta MAC CE [11, TS 38.321] from a serving cell, the IAB-node</w:t>
      </w:r>
      <w:r w:rsidRPr="00D770EC" w:rsidDel="005F1798">
        <w:rPr>
          <w:lang w:eastAsia="zh-CN"/>
        </w:rPr>
        <w:t xml:space="preserve"> </w:t>
      </w:r>
      <w:r w:rsidRPr="00D770EC">
        <w:rPr>
          <w:lang w:eastAsia="zh-CN"/>
        </w:rPr>
        <w:t xml:space="preserve">may assume that </w:t>
      </w:r>
      <m:oMath>
        <m:sSub>
          <m:sSubPr>
            <m:ctrlPr>
              <w:rPr>
                <w:rFonts w:ascii="Cambria Math" w:eastAsia="DengXian" w:hAnsi="Cambria Math"/>
              </w:rPr>
            </m:ctrlPr>
          </m:sSubPr>
          <m:e>
            <m:r>
              <w:rPr>
                <w:rFonts w:ascii="Cambria Math" w:eastAsia="DengXian" w:hAnsi="Cambria Math"/>
              </w:rPr>
              <m:t>T</m:t>
            </m:r>
          </m:e>
          <m:sub>
            <m:r>
              <m:rPr>
                <m:nor/>
              </m:rPr>
              <w:rPr>
                <w:rFonts w:eastAsia="DengXian"/>
              </w:rPr>
              <m:t>TA</m:t>
            </m:r>
          </m:sub>
        </m:sSub>
        <m:r>
          <m:rPr>
            <m:sty m:val="p"/>
          </m:rPr>
          <w:rPr>
            <w:rFonts w:ascii="Cambria Math" w:eastAsia="DengXian" w:hAnsi="Cambria Math"/>
          </w:rPr>
          <m:t>/2+</m:t>
        </m:r>
        <m:d>
          <m:dPr>
            <m:ctrlPr>
              <w:rPr>
                <w:rFonts w:ascii="Cambria Math" w:hAnsi="Cambria Math"/>
              </w:rPr>
            </m:ctrlPr>
          </m:dPr>
          <m:e>
            <m:sSub>
              <m:sSubPr>
                <m:ctrlPr>
                  <w:rPr>
                    <w:rFonts w:ascii="Cambria Math" w:eastAsia="DengXian" w:hAnsi="Cambria Math"/>
                  </w:rPr>
                </m:ctrlPr>
              </m:sSubPr>
              <m:e>
                <m:r>
                  <w:rPr>
                    <w:rFonts w:ascii="Cambria Math" w:eastAsia="DengXian" w:hAnsi="Cambria Math"/>
                  </w:rPr>
                  <m:t>N</m:t>
                </m:r>
              </m:e>
              <m:sub>
                <m:r>
                  <m:rPr>
                    <m:nor/>
                  </m:rPr>
                  <w:rPr>
                    <w:rFonts w:eastAsia="DengXian"/>
                  </w:rPr>
                  <m:t>delta</m:t>
                </m:r>
              </m:sub>
            </m:sSub>
            <m:r>
              <w:rPr>
                <w:rFonts w:ascii="Cambria Math" w:eastAsia="DengXian" w:hAnsi="Cambria Math"/>
              </w:rPr>
              <m:t>+</m:t>
            </m:r>
            <m:sSub>
              <m:sSubPr>
                <m:ctrlPr>
                  <w:rPr>
                    <w:rFonts w:ascii="Cambria Math" w:eastAsia="DengXian" w:hAnsi="Cambria Math"/>
                  </w:rPr>
                </m:ctrlPr>
              </m:sSubPr>
              <m:e>
                <m:r>
                  <w:rPr>
                    <w:rFonts w:ascii="Cambria Math" w:eastAsia="DengXian" w:hAnsi="Cambria Math"/>
                  </w:rPr>
                  <m:t>T</m:t>
                </m:r>
              </m:e>
              <m:sub>
                <m:r>
                  <m:rPr>
                    <m:nor/>
                  </m:rPr>
                  <w:rPr>
                    <w:rFonts w:eastAsia="DengXian"/>
                  </w:rPr>
                  <m:t>delta</m:t>
                </m:r>
              </m:sub>
            </m:sSub>
            <m:r>
              <m:rPr>
                <m:sty m:val="p"/>
              </m:rPr>
              <w:rPr>
                <w:rFonts w:ascii="Cambria Math" w:hAnsi="Cambria Math"/>
              </w:rPr>
              <m:t>⋅</m:t>
            </m:r>
            <m:sSub>
              <m:sSubPr>
                <m:ctrlPr>
                  <w:rPr>
                    <w:rFonts w:ascii="Cambria Math" w:eastAsia="DengXian" w:hAnsi="Cambria Math"/>
                  </w:rPr>
                </m:ctrlPr>
              </m:sSubPr>
              <m:e>
                <m:r>
                  <m:rPr>
                    <m:sty m:val="p"/>
                  </m:rPr>
                  <w:rPr>
                    <w:rFonts w:ascii="Cambria Math" w:eastAsia="DengXian" w:hAnsi="Cambria Math"/>
                  </w:rPr>
                  <m:t>G</m:t>
                </m:r>
              </m:e>
              <m:sub>
                <m:r>
                  <m:rPr>
                    <m:nor/>
                  </m:rPr>
                  <w:rPr>
                    <w:rFonts w:ascii="Cambria Math" w:eastAsia="DengXian"/>
                  </w:rPr>
                  <m:t>step</m:t>
                </m:r>
              </m:sub>
            </m:sSub>
            <m:sSub>
              <m:sSubPr>
                <m:ctrlPr>
                  <w:rPr>
                    <w:rFonts w:ascii="Cambria Math" w:eastAsia="DengXian" w:hAnsi="Cambria Math"/>
                  </w:rPr>
                </m:ctrlPr>
              </m:sSubPr>
              <m:e>
                <m:r>
                  <m:rPr>
                    <m:sty m:val="p"/>
                  </m:rPr>
                  <w:rPr>
                    <w:rFonts w:ascii="Cambria Math" w:eastAsia="DengXian" w:hAnsi="Cambria Math"/>
                  </w:rPr>
                  <m:t>-</m:t>
                </m:r>
                <m:r>
                  <w:rPr>
                    <w:rFonts w:ascii="Cambria Math" w:eastAsia="DengXian" w:hAnsi="Cambria Math"/>
                  </w:rPr>
                  <m:t>N</m:t>
                </m:r>
              </m:e>
              <m:sub>
                <m:r>
                  <m:rPr>
                    <m:nor/>
                  </m:rPr>
                  <w:rPr>
                    <w:rFonts w:eastAsia="DengXian"/>
                  </w:rPr>
                  <m:t>TA</m:t>
                </m:r>
                <m:r>
                  <m:rPr>
                    <m:nor/>
                  </m:rPr>
                  <w:rPr>
                    <w:rFonts w:ascii="Cambria Math" w:eastAsia="DengXian"/>
                  </w:rPr>
                  <m:t>,Offset</m:t>
                </m:r>
              </m:sub>
            </m:sSub>
            <m:r>
              <m:rPr>
                <m:sty m:val="p"/>
              </m:rPr>
              <w:rPr>
                <w:rFonts w:ascii="Cambria Math" w:eastAsia="DengXian" w:hAnsi="Cambria Math"/>
              </w:rPr>
              <m:t>/2</m:t>
            </m:r>
          </m:e>
        </m:d>
        <m:r>
          <m:rPr>
            <m:sty m:val="p"/>
          </m:rPr>
          <w:rPr>
            <w:rFonts w:ascii="Cambria Math" w:hAnsi="Cambria Math"/>
          </w:rPr>
          <m:t>⋅</m:t>
        </m:r>
        <m:sSub>
          <m:sSubPr>
            <m:ctrlPr>
              <w:rPr>
                <w:rFonts w:ascii="Cambria Math" w:eastAsia="DengXian" w:hAnsi="Cambria Math"/>
              </w:rPr>
            </m:ctrlPr>
          </m:sSubPr>
          <m:e>
            <m:r>
              <m:rPr>
                <m:sty m:val="p"/>
              </m:rPr>
              <w:rPr>
                <w:rFonts w:ascii="Cambria Math" w:eastAsia="DengXian" w:hAnsi="Cambria Math"/>
              </w:rPr>
              <m:t>T</m:t>
            </m:r>
          </m:e>
          <m:sub>
            <m:r>
              <m:rPr>
                <m:nor/>
              </m:rPr>
              <w:rPr>
                <w:rFonts w:eastAsia="DengXian"/>
              </w:rPr>
              <m:t>c</m:t>
            </m:r>
          </m:sub>
        </m:sSub>
      </m:oMath>
      <w:r w:rsidRPr="00D770EC">
        <w:t xml:space="preserve"> </w:t>
      </w:r>
      <w:r w:rsidRPr="00D770EC">
        <w:rPr>
          <w:iCs/>
          <w:lang w:val="en-US" w:eastAsia="zh-CN"/>
        </w:rPr>
        <w:t>is a time difference between a DU transmission of a signal from the serving cell and a reception of the signal by the IAB-MT</w:t>
      </w:r>
      <w:r w:rsidRPr="00D770EC">
        <w:t xml:space="preserve"> when</w:t>
      </w:r>
      <w:r w:rsidR="00AE2704">
        <w:t xml:space="preserve"> </w:t>
      </w:r>
      <m:oMath>
        <m:sSub>
          <m:sSubPr>
            <m:ctrlPr>
              <w:rPr>
                <w:rFonts w:ascii="Cambria Math" w:eastAsia="DengXian" w:hAnsi="Cambria Math"/>
              </w:rPr>
            </m:ctrlPr>
          </m:sSubPr>
          <m:e>
            <m:r>
              <w:rPr>
                <w:rFonts w:ascii="Cambria Math" w:eastAsia="DengXian" w:hAnsi="Cambria Math"/>
              </w:rPr>
              <m:t>T</m:t>
            </m:r>
          </m:e>
          <m:sub>
            <m:r>
              <m:rPr>
                <m:nor/>
              </m:rPr>
              <w:rPr>
                <w:rFonts w:eastAsia="DengXian"/>
              </w:rPr>
              <m:t>TA</m:t>
            </m:r>
          </m:sub>
        </m:sSub>
        <m:r>
          <m:rPr>
            <m:sty m:val="p"/>
          </m:rPr>
          <w:rPr>
            <w:rFonts w:ascii="Cambria Math" w:eastAsia="DengXian" w:hAnsi="Cambria Math"/>
          </w:rPr>
          <m:t>/2+</m:t>
        </m:r>
        <m:d>
          <m:dPr>
            <m:ctrlPr>
              <w:rPr>
                <w:rFonts w:ascii="Cambria Math" w:hAnsi="Cambria Math"/>
              </w:rPr>
            </m:ctrlPr>
          </m:dPr>
          <m:e>
            <m:sSub>
              <m:sSubPr>
                <m:ctrlPr>
                  <w:rPr>
                    <w:rFonts w:ascii="Cambria Math" w:eastAsia="DengXian" w:hAnsi="Cambria Math"/>
                  </w:rPr>
                </m:ctrlPr>
              </m:sSubPr>
              <m:e>
                <m:r>
                  <w:rPr>
                    <w:rFonts w:ascii="Cambria Math" w:eastAsia="DengXian" w:hAnsi="Cambria Math"/>
                  </w:rPr>
                  <m:t>N</m:t>
                </m:r>
              </m:e>
              <m:sub>
                <m:r>
                  <m:rPr>
                    <m:nor/>
                  </m:rPr>
                  <w:rPr>
                    <w:rFonts w:eastAsia="DengXian"/>
                  </w:rPr>
                  <m:t>delta</m:t>
                </m:r>
              </m:sub>
            </m:sSub>
            <m:r>
              <w:rPr>
                <w:rFonts w:ascii="Cambria Math" w:eastAsia="DengXian" w:hAnsi="Cambria Math"/>
              </w:rPr>
              <m:t>+</m:t>
            </m:r>
            <m:sSub>
              <m:sSubPr>
                <m:ctrlPr>
                  <w:rPr>
                    <w:rFonts w:ascii="Cambria Math" w:eastAsia="DengXian" w:hAnsi="Cambria Math"/>
                  </w:rPr>
                </m:ctrlPr>
              </m:sSubPr>
              <m:e>
                <m:r>
                  <w:rPr>
                    <w:rFonts w:ascii="Cambria Math" w:eastAsia="DengXian" w:hAnsi="Cambria Math"/>
                  </w:rPr>
                  <m:t>T</m:t>
                </m:r>
              </m:e>
              <m:sub>
                <m:r>
                  <m:rPr>
                    <m:nor/>
                  </m:rPr>
                  <w:rPr>
                    <w:rFonts w:eastAsia="DengXian"/>
                  </w:rPr>
                  <m:t>delta</m:t>
                </m:r>
              </m:sub>
            </m:sSub>
            <m:r>
              <m:rPr>
                <m:sty m:val="p"/>
              </m:rPr>
              <w:rPr>
                <w:rFonts w:ascii="Cambria Math" w:hAnsi="Cambria Math"/>
              </w:rPr>
              <m:t>⋅</m:t>
            </m:r>
            <m:sSub>
              <m:sSubPr>
                <m:ctrlPr>
                  <w:rPr>
                    <w:rFonts w:ascii="Cambria Math" w:eastAsia="DengXian" w:hAnsi="Cambria Math"/>
                  </w:rPr>
                </m:ctrlPr>
              </m:sSubPr>
              <m:e>
                <m:r>
                  <m:rPr>
                    <m:sty m:val="p"/>
                  </m:rPr>
                  <w:rPr>
                    <w:rFonts w:ascii="Cambria Math" w:eastAsia="DengXian" w:hAnsi="Cambria Math"/>
                  </w:rPr>
                  <m:t>G</m:t>
                </m:r>
              </m:e>
              <m:sub>
                <m:r>
                  <m:rPr>
                    <m:nor/>
                  </m:rPr>
                  <w:rPr>
                    <w:rFonts w:ascii="Cambria Math" w:eastAsia="DengXian"/>
                  </w:rPr>
                  <m:t>step</m:t>
                </m:r>
              </m:sub>
            </m:sSub>
            <m:sSub>
              <m:sSubPr>
                <m:ctrlPr>
                  <w:rPr>
                    <w:rFonts w:ascii="Cambria Math" w:eastAsia="DengXian" w:hAnsi="Cambria Math"/>
                  </w:rPr>
                </m:ctrlPr>
              </m:sSubPr>
              <m:e>
                <m:r>
                  <m:rPr>
                    <m:sty m:val="p"/>
                  </m:rPr>
                  <w:rPr>
                    <w:rFonts w:ascii="Cambria Math" w:eastAsia="DengXian" w:hAnsi="Cambria Math"/>
                  </w:rPr>
                  <m:t>-</m:t>
                </m:r>
                <m:r>
                  <w:rPr>
                    <w:rFonts w:ascii="Cambria Math" w:eastAsia="DengXian" w:hAnsi="Cambria Math"/>
                  </w:rPr>
                  <m:t>N</m:t>
                </m:r>
              </m:e>
              <m:sub>
                <m:r>
                  <m:rPr>
                    <m:nor/>
                  </m:rPr>
                  <w:rPr>
                    <w:rFonts w:eastAsia="DengXian"/>
                  </w:rPr>
                  <m:t>TA</m:t>
                </m:r>
                <m:r>
                  <m:rPr>
                    <m:nor/>
                  </m:rPr>
                  <w:rPr>
                    <w:rFonts w:ascii="Cambria Math" w:eastAsia="DengXian"/>
                  </w:rPr>
                  <m:t>,Offset</m:t>
                </m:r>
              </m:sub>
            </m:sSub>
            <m:r>
              <m:rPr>
                <m:sty m:val="p"/>
              </m:rPr>
              <w:rPr>
                <w:rFonts w:ascii="Cambria Math" w:eastAsia="DengXian" w:hAnsi="Cambria Math"/>
              </w:rPr>
              <m:t>/2</m:t>
            </m:r>
          </m:e>
        </m:d>
        <m:r>
          <m:rPr>
            <m:sty m:val="p"/>
          </m:rPr>
          <w:rPr>
            <w:rFonts w:ascii="Cambria Math" w:hAnsi="Cambria Math"/>
          </w:rPr>
          <m:t>⋅</m:t>
        </m:r>
        <m:sSub>
          <m:sSubPr>
            <m:ctrlPr>
              <w:rPr>
                <w:rFonts w:ascii="Cambria Math" w:eastAsia="DengXian" w:hAnsi="Cambria Math"/>
              </w:rPr>
            </m:ctrlPr>
          </m:sSubPr>
          <m:e>
            <m:r>
              <m:rPr>
                <m:sty m:val="p"/>
              </m:rPr>
              <w:rPr>
                <w:rFonts w:ascii="Cambria Math" w:eastAsia="DengXian" w:hAnsi="Cambria Math"/>
              </w:rPr>
              <m:t>T</m:t>
            </m:r>
          </m:e>
          <m:sub>
            <m:r>
              <m:rPr>
                <m:nor/>
              </m:rPr>
              <w:rPr>
                <w:rFonts w:eastAsia="DengXian"/>
              </w:rPr>
              <m:t>c</m:t>
            </m:r>
          </m:sub>
        </m:sSub>
        <m:r>
          <w:rPr>
            <w:rFonts w:ascii="Cambria Math" w:eastAsia="DengXian" w:hAnsi="Cambria Math"/>
          </w:rPr>
          <m:t>&gt;0</m:t>
        </m:r>
      </m:oMath>
      <w:r w:rsidRPr="00D770EC">
        <w:t xml:space="preserve">, where </w:t>
      </w:r>
    </w:p>
    <w:p w14:paraId="6C5E3F8A" w14:textId="727EC61D" w:rsidR="002133B5" w:rsidRPr="006F5D48" w:rsidRDefault="002133B5" w:rsidP="002133B5">
      <w:pPr>
        <w:pStyle w:val="B1"/>
        <w:rPr>
          <w:bCs/>
          <w:iCs/>
        </w:rPr>
      </w:pPr>
      <w:r w:rsidRPr="006F5D48">
        <w:t>-</w:t>
      </w:r>
      <w:r w:rsidRPr="006F5D48">
        <w:tab/>
      </w:r>
      <m:oMath>
        <m:sSub>
          <m:sSubPr>
            <m:ctrlPr>
              <w:rPr>
                <w:rFonts w:ascii="Cambria Math" w:eastAsia="DengXian" w:hAnsi="Cambria Math"/>
              </w:rPr>
            </m:ctrlPr>
          </m:sSubPr>
          <m:e>
            <m:r>
              <w:rPr>
                <w:rFonts w:ascii="Cambria Math" w:eastAsia="DengXian" w:hAnsi="Cambria Math"/>
              </w:rPr>
              <m:t>T</m:t>
            </m:r>
          </m:e>
          <m:sub>
            <m:r>
              <m:rPr>
                <m:nor/>
              </m:rPr>
              <w:rPr>
                <w:rFonts w:eastAsia="DengXian"/>
              </w:rPr>
              <m:t>TA</m:t>
            </m:r>
          </m:sub>
        </m:sSub>
      </m:oMath>
      <w:r w:rsidRPr="006F5D48">
        <w:t xml:space="preserve"> is the difference between the IAB-MT reception time and the IAB-MT transmission time for IAB-MT transmission timing mode </w:t>
      </w:r>
      <w:r w:rsidR="00F22988">
        <w:t>'</w:t>
      </w:r>
      <w:r w:rsidRPr="006F5D48">
        <w:t>Case</w:t>
      </w:r>
      <w:r w:rsidR="0065178A">
        <w:rPr>
          <w:lang w:val="en-GB"/>
        </w:rPr>
        <w:t>-</w:t>
      </w:r>
      <w:r w:rsidRPr="006F5D48">
        <w:t>6</w:t>
      </w:r>
      <w:r w:rsidR="00F22988">
        <w:t>'</w:t>
      </w:r>
      <w:r w:rsidRPr="006F5D48">
        <w:t xml:space="preserve">, and is defined in clause 4.3.1 of [4, TS 38.211] for </w:t>
      </w:r>
      <w:r>
        <w:t xml:space="preserve">IAB-MT </w:t>
      </w:r>
      <w:r w:rsidRPr="006F5D48">
        <w:t xml:space="preserve">transmission timing mode </w:t>
      </w:r>
      <w:r w:rsidR="00F22988">
        <w:t>'</w:t>
      </w:r>
      <w:r w:rsidRPr="006F5D48">
        <w:t>Case</w:t>
      </w:r>
      <w:r w:rsidR="0065178A">
        <w:rPr>
          <w:lang w:val="en-GB"/>
        </w:rPr>
        <w:t>-</w:t>
      </w:r>
      <w:r w:rsidRPr="006F5D48">
        <w:t>1</w:t>
      </w:r>
      <w:r w:rsidR="00F22988">
        <w:t>'</w:t>
      </w:r>
      <w:r w:rsidRPr="006F5D48">
        <w:t xml:space="preserve"> and </w:t>
      </w:r>
      <w:r>
        <w:t xml:space="preserve">parent node reception mode </w:t>
      </w:r>
      <w:r w:rsidR="00F22988">
        <w:t>'</w:t>
      </w:r>
      <w:r w:rsidRPr="006F5D48">
        <w:t>Case</w:t>
      </w:r>
      <w:r w:rsidR="0065178A">
        <w:rPr>
          <w:lang w:val="en-GB"/>
        </w:rPr>
        <w:t>-</w:t>
      </w:r>
      <w:r w:rsidRPr="006F5D48">
        <w:t>7</w:t>
      </w:r>
      <w:r w:rsidR="00F22988">
        <w:t>'</w:t>
      </w:r>
    </w:p>
    <w:p w14:paraId="76B881AC" w14:textId="77777777" w:rsidR="002133B5" w:rsidRPr="006F5D48" w:rsidRDefault="002133B5" w:rsidP="002133B5">
      <w:pPr>
        <w:pStyle w:val="B1"/>
      </w:pPr>
      <w:r w:rsidRPr="006F5D48">
        <w:t>-</w:t>
      </w:r>
      <w:r w:rsidRPr="006F5D48">
        <w:tab/>
      </w:r>
      <m:oMath>
        <m:sSub>
          <m:sSubPr>
            <m:ctrlPr>
              <w:rPr>
                <w:rFonts w:ascii="Cambria Math" w:eastAsia="DengXian" w:hAnsi="Cambria Math"/>
              </w:rPr>
            </m:ctrlPr>
          </m:sSubPr>
          <m:e>
            <m:r>
              <w:rPr>
                <w:rFonts w:ascii="Cambria Math" w:eastAsia="DengXian" w:hAnsi="Cambria Math"/>
              </w:rPr>
              <m:t>N</m:t>
            </m:r>
          </m:e>
          <m:sub>
            <m:r>
              <m:rPr>
                <m:nor/>
              </m:rPr>
              <w:rPr>
                <w:rFonts w:eastAsia="DengXian"/>
              </w:rPr>
              <m:t>delta</m:t>
            </m:r>
          </m:sub>
        </m:sSub>
      </m:oMath>
      <w:r w:rsidRPr="006F5D48">
        <w:t xml:space="preserve"> and </w:t>
      </w:r>
      <m:oMath>
        <m:sSub>
          <m:sSubPr>
            <m:ctrlPr>
              <w:rPr>
                <w:rFonts w:ascii="Cambria Math" w:eastAsia="DengXian" w:hAnsi="Cambria Math"/>
              </w:rPr>
            </m:ctrlPr>
          </m:sSubPr>
          <m:e>
            <m:r>
              <m:rPr>
                <m:sty m:val="p"/>
              </m:rPr>
              <w:rPr>
                <w:rFonts w:ascii="Cambria Math" w:eastAsia="DengXian" w:hAnsi="Cambria Math"/>
              </w:rPr>
              <m:t>G</m:t>
            </m:r>
          </m:e>
          <m:sub>
            <m:r>
              <m:rPr>
                <m:nor/>
              </m:rPr>
              <w:rPr>
                <w:rFonts w:ascii="Cambria Math" w:eastAsia="DengXian"/>
              </w:rPr>
              <m:t>step</m:t>
            </m:r>
          </m:sub>
        </m:sSub>
      </m:oMath>
      <w:r w:rsidRPr="006F5D48">
        <w:t xml:space="preserve"> are determined as</w:t>
      </w:r>
    </w:p>
    <w:p w14:paraId="2BB0505C" w14:textId="4A3FCE43" w:rsidR="00977C2F" w:rsidRPr="007561A2" w:rsidRDefault="00977C2F" w:rsidP="002133B5">
      <w:pPr>
        <w:pStyle w:val="B2"/>
      </w:pPr>
      <w:r>
        <w:t>-</w:t>
      </w:r>
      <w:r>
        <w:tab/>
      </w:r>
      <m:oMath>
        <m:sSub>
          <m:sSubPr>
            <m:ctrlPr>
              <w:rPr>
                <w:rFonts w:ascii="Cambria Math" w:eastAsia="DengXian" w:hAnsi="Cambria Math"/>
                <w:i/>
              </w:rPr>
            </m:ctrlPr>
          </m:sSubPr>
          <m:e>
            <m:r>
              <w:rPr>
                <w:rFonts w:ascii="Cambria Math" w:eastAsia="DengXian" w:hAnsi="Cambria Math"/>
              </w:rPr>
              <m:t>N</m:t>
            </m:r>
          </m:e>
          <m:sub>
            <m:r>
              <m:rPr>
                <m:nor/>
              </m:rPr>
              <w:rPr>
                <w:rFonts w:eastAsia="DengXian"/>
                <w:i/>
              </w:rPr>
              <m:t>delta</m:t>
            </m:r>
          </m:sub>
        </m:sSub>
        <m:r>
          <m:rPr>
            <m:sty m:val="p"/>
          </m:rPr>
          <w:rPr>
            <w:rFonts w:ascii="Cambria Math" w:eastAsia="DengXian" w:hAnsi="Cambria Math"/>
          </w:rPr>
          <m:t>=-70528</m:t>
        </m:r>
      </m:oMath>
      <w:r w:rsidRPr="00D770EC">
        <w:t xml:space="preserve"> and </w:t>
      </w:r>
      <m:oMath>
        <m:sSub>
          <m:sSubPr>
            <m:ctrlPr>
              <w:rPr>
                <w:rFonts w:ascii="Cambria Math" w:hAnsi="Cambria Math"/>
                <w:i/>
              </w:rPr>
            </m:ctrlPr>
          </m:sSubPr>
          <m:e>
            <m:r>
              <w:rPr>
                <w:rFonts w:ascii="Cambria Math" w:hAnsi="Cambria Math"/>
              </w:rPr>
              <m:t>G</m:t>
            </m:r>
          </m:e>
          <m:sub>
            <m:r>
              <w:rPr>
                <w:rFonts w:ascii="Cambria Math" w:hAnsi="Cambria Math"/>
              </w:rPr>
              <m:t>step</m:t>
            </m:r>
          </m:sub>
        </m:sSub>
        <m:r>
          <w:rPr>
            <w:rFonts w:ascii="Cambria Math" w:hAnsi="Cambria Math"/>
          </w:rPr>
          <m:t>=64</m:t>
        </m:r>
      </m:oMath>
      <w:r w:rsidRPr="00D770EC">
        <w:rPr>
          <w:lang w:val="en-US"/>
        </w:rPr>
        <w:t>, if</w:t>
      </w:r>
      <w:r w:rsidRPr="00D770EC">
        <w:t xml:space="preserve"> the serving cell providing the Timing Delta MAC CE operates in FR1 </w:t>
      </w:r>
    </w:p>
    <w:p w14:paraId="26079F55" w14:textId="4B486E60" w:rsidR="00977C2F" w:rsidRPr="00390778" w:rsidRDefault="00977C2F" w:rsidP="002133B5">
      <w:pPr>
        <w:pStyle w:val="B2"/>
        <w:rPr>
          <w:lang w:val="en-US"/>
        </w:rPr>
      </w:pPr>
      <w:r w:rsidRPr="00D770EC">
        <w:t>-</w:t>
      </w:r>
      <w:r w:rsidRPr="00D770EC">
        <w:tab/>
      </w:r>
      <m:oMath>
        <m:sSub>
          <m:sSubPr>
            <m:ctrlPr>
              <w:rPr>
                <w:rFonts w:ascii="Cambria Math" w:eastAsia="DengXian" w:hAnsi="Cambria Math"/>
                <w:i/>
              </w:rPr>
            </m:ctrlPr>
          </m:sSubPr>
          <m:e>
            <m:r>
              <w:rPr>
                <w:rFonts w:ascii="Cambria Math" w:eastAsia="DengXian" w:hAnsi="Cambria Math"/>
              </w:rPr>
              <m:t>N</m:t>
            </m:r>
          </m:e>
          <m:sub>
            <m:r>
              <m:rPr>
                <m:nor/>
              </m:rPr>
              <w:rPr>
                <w:rFonts w:eastAsia="DengXian"/>
                <w:i/>
              </w:rPr>
              <m:t>delta</m:t>
            </m:r>
          </m:sub>
        </m:sSub>
        <m:r>
          <m:rPr>
            <m:sty m:val="p"/>
          </m:rPr>
          <w:rPr>
            <w:rFonts w:ascii="Cambria Math" w:eastAsia="DengXian" w:hAnsi="Cambria Math"/>
          </w:rPr>
          <m:t>=-17664</m:t>
        </m:r>
      </m:oMath>
      <w:r w:rsidRPr="00D770EC">
        <w:t xml:space="preserve"> and </w:t>
      </w:r>
      <m:oMath>
        <m:sSub>
          <m:sSubPr>
            <m:ctrlPr>
              <w:rPr>
                <w:rFonts w:ascii="Cambria Math" w:hAnsi="Cambria Math"/>
                <w:i/>
              </w:rPr>
            </m:ctrlPr>
          </m:sSubPr>
          <m:e>
            <m:r>
              <w:rPr>
                <w:rFonts w:ascii="Cambria Math" w:hAnsi="Cambria Math"/>
              </w:rPr>
              <m:t>G</m:t>
            </m:r>
          </m:e>
          <m:sub>
            <m:r>
              <w:rPr>
                <w:rFonts w:ascii="Cambria Math" w:hAnsi="Cambria Math"/>
              </w:rPr>
              <m:t>step</m:t>
            </m:r>
          </m:sub>
        </m:sSub>
        <m:r>
          <w:rPr>
            <w:rFonts w:ascii="Cambria Math" w:hAnsi="Cambria Math"/>
          </w:rPr>
          <m:t>=32</m:t>
        </m:r>
      </m:oMath>
      <w:r w:rsidRPr="00D770EC">
        <w:rPr>
          <w:lang w:val="en-US"/>
        </w:rPr>
        <w:t>, if</w:t>
      </w:r>
      <w:r w:rsidRPr="00D770EC">
        <w:t xml:space="preserve"> the serving cell providing the Timing Delta MAC CE operates in FR</w:t>
      </w:r>
      <w:r w:rsidRPr="00D770EC">
        <w:rPr>
          <w:lang w:val="en-US"/>
        </w:rPr>
        <w:t>2</w:t>
      </w:r>
    </w:p>
    <w:p w14:paraId="109DCBB7" w14:textId="6BDC057F" w:rsidR="002133B5" w:rsidRPr="006F5D48" w:rsidRDefault="002133B5" w:rsidP="002133B5">
      <w:pPr>
        <w:pStyle w:val="B1"/>
        <w:ind w:left="0" w:firstLine="0"/>
      </w:pPr>
      <w:r w:rsidRPr="006F5D48">
        <w:t xml:space="preserve">The IAB node may assume that a same value of index </w:t>
      </w:r>
      <m:oMath>
        <m:sSub>
          <m:sSubPr>
            <m:ctrlPr>
              <w:rPr>
                <w:rFonts w:ascii="Cambria Math" w:eastAsia="DengXian" w:hAnsi="Cambria Math"/>
              </w:rPr>
            </m:ctrlPr>
          </m:sSubPr>
          <m:e>
            <m:r>
              <w:rPr>
                <w:rFonts w:ascii="Cambria Math" w:eastAsia="DengXian" w:hAnsi="Cambria Math"/>
              </w:rPr>
              <m:t>T</m:t>
            </m:r>
          </m:e>
          <m:sub>
            <m:r>
              <m:rPr>
                <m:nor/>
              </m:rPr>
              <w:rPr>
                <w:rFonts w:eastAsia="DengXian"/>
              </w:rPr>
              <m:t>delta</m:t>
            </m:r>
          </m:sub>
        </m:sSub>
      </m:oMath>
      <w:r w:rsidRPr="006F5D48">
        <w:t xml:space="preserve"> is provided from a serving cell for the IAB-MT transmission timing modes </w:t>
      </w:r>
      <w:r w:rsidR="00F22988">
        <w:t>'</w:t>
      </w:r>
      <w:r w:rsidRPr="006F5D48">
        <w:t>Case</w:t>
      </w:r>
      <w:r w:rsidR="0065178A">
        <w:rPr>
          <w:lang w:val="en-GB"/>
        </w:rPr>
        <w:t>-</w:t>
      </w:r>
      <w:r w:rsidRPr="006F5D48">
        <w:t>7</w:t>
      </w:r>
      <w:r w:rsidR="00F22988">
        <w:t>'</w:t>
      </w:r>
      <w:r w:rsidRPr="006F5D48">
        <w:t xml:space="preserve"> and </w:t>
      </w:r>
      <w:r w:rsidR="00F22988">
        <w:t>'</w:t>
      </w:r>
      <w:r w:rsidRPr="006F5D48">
        <w:t>Case</w:t>
      </w:r>
      <w:r w:rsidR="0065178A">
        <w:rPr>
          <w:lang w:val="en-GB"/>
        </w:rPr>
        <w:t>-</w:t>
      </w:r>
      <w:r w:rsidRPr="006F5D48">
        <w:t>1</w:t>
      </w:r>
      <w:r w:rsidR="00F22988">
        <w:t>'</w:t>
      </w:r>
    </w:p>
    <w:p w14:paraId="0C43412B" w14:textId="4FF6E3BE" w:rsidR="00E9420D" w:rsidRPr="0041541C" w:rsidRDefault="00E9420D" w:rsidP="00E9420D">
      <w:pPr>
        <w:spacing w:before="180"/>
        <w:jc w:val="both"/>
      </w:pPr>
      <w:r>
        <w:rPr>
          <w:color w:val="000000"/>
          <w:lang w:val="en-US" w:eastAsia="zh-CN"/>
        </w:rPr>
        <w:t>The IAB-node may use the time difference to determine a DU transmission time</w:t>
      </w:r>
      <w:r w:rsidRPr="00A740E9">
        <w:rPr>
          <w:color w:val="000000"/>
          <w:lang w:val="en-US" w:eastAsia="zh-CN"/>
        </w:rPr>
        <w:t>.</w:t>
      </w:r>
    </w:p>
    <w:p w14:paraId="22211067" w14:textId="77777777" w:rsidR="008B2BDE" w:rsidRDefault="008B2BDE" w:rsidP="00792BDC">
      <w:r w:rsidRPr="00575441">
        <w:t>For a serving cell of an IAB-MT</w:t>
      </w:r>
      <w:r w:rsidRPr="00575441">
        <w:rPr>
          <w:lang w:val="en-US"/>
        </w:rPr>
        <w:t>,</w:t>
      </w:r>
      <w:r w:rsidRPr="00575441">
        <w:t xml:space="preserve"> the IAB-MT can be provided by Timing Case Indication MAC CE [11, TS 38.321] an indication of the IAB-MT transmission timing mode in a slot. </w:t>
      </w:r>
      <w:r>
        <w:t>Upon reception of the Timing Case Indication for a serving cell in a TAG,</w:t>
      </w:r>
      <w:r w:rsidRPr="00575441">
        <w:t xml:space="preserve"> </w:t>
      </w:r>
      <w:r>
        <w:t xml:space="preserve">the IAB-MT applies a </w:t>
      </w:r>
      <w:r w:rsidRPr="00575441">
        <w:t xml:space="preserve">same IAB-MT transmission timing mode in a slot </w:t>
      </w:r>
      <w:r>
        <w:t>on</w:t>
      </w:r>
      <w:r w:rsidRPr="00575441">
        <w:t xml:space="preserve"> all serving cells in the TAG.</w:t>
      </w:r>
    </w:p>
    <w:p w14:paraId="697F0CE4" w14:textId="4EAC69CB" w:rsidR="008B2BDE" w:rsidRPr="00575441" w:rsidRDefault="008B2BDE" w:rsidP="00792BDC">
      <w:r>
        <w:t xml:space="preserve">If the </w:t>
      </w:r>
      <w:r w:rsidRPr="00575441">
        <w:t xml:space="preserve">indicated IAB-MT transmission timing mode in a slot is set to </w:t>
      </w:r>
      <w:r w:rsidR="005E3B15">
        <w:t>'</w:t>
      </w:r>
      <w:r w:rsidRPr="00575441">
        <w:t>Case</w:t>
      </w:r>
      <w:r w:rsidR="0065178A">
        <w:t>-</w:t>
      </w:r>
      <w:r>
        <w:t>1</w:t>
      </w:r>
      <w:r w:rsidR="005E3B15">
        <w:t>'</w:t>
      </w:r>
      <w:r w:rsidR="007525F9" w:rsidRPr="007525F9">
        <w:t xml:space="preserve"> </w:t>
      </w:r>
      <w:r w:rsidR="007525F9" w:rsidRPr="007525F9">
        <w:rPr>
          <w:lang w:eastAsia="zh-CN"/>
        </w:rPr>
        <w:t xml:space="preserve">or the </w:t>
      </w:r>
      <w:r w:rsidR="007525F9" w:rsidRPr="007525F9">
        <w:t>IAB-MT transmission timing mode</w:t>
      </w:r>
      <w:r w:rsidR="007525F9" w:rsidRPr="007525F9">
        <w:rPr>
          <w:lang w:eastAsia="zh-CN"/>
        </w:rPr>
        <w:t xml:space="preserve"> indication</w:t>
      </w:r>
      <w:r w:rsidR="007525F9" w:rsidRPr="007525F9">
        <w:t xml:space="preserve"> in a slot</w:t>
      </w:r>
      <w:r w:rsidR="007525F9" w:rsidRPr="007525F9">
        <w:rPr>
          <w:lang w:eastAsia="zh-CN"/>
        </w:rPr>
        <w:t xml:space="preserve"> is not provided</w:t>
      </w:r>
      <w:r w:rsidRPr="00575441">
        <w:t xml:space="preserve">, the IAB-MT transmission time </w:t>
      </w:r>
      <w:r>
        <w:t xml:space="preserve">is determined as for a </w:t>
      </w:r>
      <w:r w:rsidRPr="00575441">
        <w:rPr>
          <w:lang w:val="en-US"/>
        </w:rPr>
        <w:t>"UE"</w:t>
      </w:r>
      <w:r>
        <w:t xml:space="preserve"> in clause 4.2.</w:t>
      </w:r>
    </w:p>
    <w:p w14:paraId="4A1E7FFD" w14:textId="3F252399" w:rsidR="008B2BDE" w:rsidRPr="00575441" w:rsidRDefault="008B2BDE" w:rsidP="00792BDC">
      <w:r w:rsidRPr="00575441">
        <w:t xml:space="preserve">If the indicated IAB-MT transmission timing mode in a slot is set to </w:t>
      </w:r>
      <w:r w:rsidR="005E3B15">
        <w:t>'</w:t>
      </w:r>
      <w:r w:rsidRPr="00575441">
        <w:t>Case</w:t>
      </w:r>
      <w:r w:rsidR="0065178A">
        <w:t>-</w:t>
      </w:r>
      <w:r w:rsidRPr="00575441">
        <w:t>6</w:t>
      </w:r>
      <w:r w:rsidR="005E3B15">
        <w:t>'</w:t>
      </w:r>
      <w:r w:rsidRPr="00575441">
        <w:t xml:space="preserve">, the IAB-node sets the IAB-MT transmission time to the transmission time </w:t>
      </w:r>
      <w:r>
        <w:t>of</w:t>
      </w:r>
      <w:r w:rsidRPr="00575441">
        <w:t xml:space="preserve"> the IAB-DU.</w:t>
      </w:r>
    </w:p>
    <w:p w14:paraId="0F20DBBD" w14:textId="245C522C" w:rsidR="008B2BDE" w:rsidRPr="00575441" w:rsidRDefault="008B2BDE" w:rsidP="00792BDC">
      <w:r w:rsidRPr="00575441">
        <w:t xml:space="preserve">If the indicated IAB-MT transmission timing mode in a slot is set to </w:t>
      </w:r>
      <w:r w:rsidR="005E3B15">
        <w:t>'</w:t>
      </w:r>
      <w:r w:rsidRPr="00575441">
        <w:t>Case</w:t>
      </w:r>
      <w:r w:rsidR="0065178A">
        <w:t>-</w:t>
      </w:r>
      <w:r w:rsidRPr="00575441">
        <w:t>7</w:t>
      </w:r>
      <w:r w:rsidR="005E3B15">
        <w:t>'</w:t>
      </w:r>
      <w:r w:rsidRPr="00575441">
        <w:t xml:space="preserve">, the IAB-MT is provided </w:t>
      </w:r>
      <w:r w:rsidRPr="00575441">
        <w:rPr>
          <w:rFonts w:eastAsia="DengXian" w:hint="eastAsia"/>
          <w:lang w:eastAsia="zh-CN"/>
        </w:rPr>
        <w:t xml:space="preserve">a </w:t>
      </w:r>
      <w:r w:rsidRPr="00575441">
        <w:rPr>
          <w:rFonts w:eastAsia="DengXian"/>
          <w:lang w:eastAsia="zh-CN"/>
        </w:rPr>
        <w:t xml:space="preserve">timing advance offset </w:t>
      </w:r>
      <w:r w:rsidRPr="00575441">
        <w:rPr>
          <w:rFonts w:eastAsia="DengXian" w:hint="eastAsia"/>
          <w:lang w:eastAsia="zh-CN"/>
        </w:rPr>
        <w:t xml:space="preserve">value </w:t>
      </w:r>
      <m:oMath>
        <m:sSub>
          <m:sSubPr>
            <m:ctrlPr>
              <w:rPr>
                <w:rFonts w:ascii="Cambria Math" w:hAnsi="Cambria Math"/>
                <w:i/>
              </w:rPr>
            </m:ctrlPr>
          </m:sSubPr>
          <m:e>
            <m:r>
              <w:rPr>
                <w:rFonts w:ascii="Cambria Math" w:hAnsi="Cambria Math"/>
              </w:rPr>
              <m:t>N</m:t>
            </m:r>
          </m:e>
          <m:sub>
            <m:r>
              <m:rPr>
                <m:sty m:val="p"/>
              </m:rPr>
              <w:rPr>
                <w:rFonts w:ascii="Cambria Math" w:hAnsi="Cambria Math"/>
              </w:rPr>
              <m:t>TA,offset,2</m:t>
            </m:r>
          </m:sub>
        </m:sSub>
      </m:oMath>
      <w:r w:rsidRPr="00575441">
        <w:rPr>
          <w:rFonts w:eastAsia="DengXian"/>
          <w:lang w:eastAsia="zh-CN"/>
        </w:rPr>
        <w:t xml:space="preserve"> </w:t>
      </w:r>
      <w:r w:rsidRPr="00575441">
        <w:rPr>
          <w:rFonts w:eastAsia="DengXian" w:hint="eastAsia"/>
          <w:lang w:eastAsia="zh-CN"/>
        </w:rPr>
        <w:t xml:space="preserve">for a serving cell by </w:t>
      </w:r>
      <w:r w:rsidRPr="00575441">
        <w:rPr>
          <w:rFonts w:eastAsia="DengXian"/>
          <w:iCs/>
          <w:lang w:eastAsia="zh-CN"/>
        </w:rPr>
        <w:t>Case</w:t>
      </w:r>
      <w:r w:rsidR="0065178A">
        <w:rPr>
          <w:rFonts w:eastAsia="DengXian"/>
          <w:iCs/>
          <w:lang w:eastAsia="zh-CN"/>
        </w:rPr>
        <w:t>-</w:t>
      </w:r>
      <w:r w:rsidRPr="00575441">
        <w:rPr>
          <w:rFonts w:eastAsia="DengXian"/>
          <w:iCs/>
          <w:lang w:eastAsia="zh-CN"/>
        </w:rPr>
        <w:t xml:space="preserve">7 Timing </w:t>
      </w:r>
      <w:r w:rsidR="0065178A">
        <w:rPr>
          <w:rFonts w:eastAsia="DengXian"/>
          <w:iCs/>
          <w:lang w:eastAsia="zh-CN"/>
        </w:rPr>
        <w:t>advance o</w:t>
      </w:r>
      <w:r w:rsidR="0065178A" w:rsidRPr="00575441">
        <w:rPr>
          <w:rFonts w:eastAsia="DengXian"/>
          <w:iCs/>
          <w:lang w:eastAsia="zh-CN"/>
        </w:rPr>
        <w:t xml:space="preserve">ffset </w:t>
      </w:r>
      <w:r w:rsidRPr="00575441">
        <w:rPr>
          <w:rFonts w:eastAsia="DengXian"/>
          <w:iCs/>
          <w:lang w:eastAsia="zh-CN"/>
        </w:rPr>
        <w:t>MAC CE</w:t>
      </w:r>
      <w:r w:rsidRPr="00575441">
        <w:rPr>
          <w:rFonts w:eastAsia="DengXian" w:hint="eastAsia"/>
          <w:iCs/>
          <w:lang w:eastAsia="zh-CN"/>
        </w:rPr>
        <w:t xml:space="preserve"> </w:t>
      </w:r>
      <w:r w:rsidRPr="00575441">
        <w:t>[11, TS 38.321]. The IAB-MT determine</w:t>
      </w:r>
      <w:r>
        <w:t>s</w:t>
      </w:r>
      <w:r w:rsidRPr="00575441">
        <w:t xml:space="preserve"> its uplink transmission timing as</w:t>
      </w:r>
      <w:r w:rsidR="00BD7E40">
        <w:t xml:space="preserve"> </w:t>
      </w:r>
      <w:r w:rsidR="00BD7E40">
        <w:rPr>
          <w:rFonts w:cs="Arial"/>
          <w:bCs/>
        </w:rPr>
        <w:t>T</w:t>
      </w:r>
      <w:r w:rsidR="00BD7E40">
        <w:rPr>
          <w:rFonts w:cs="Arial"/>
          <w:bCs/>
          <w:vertAlign w:val="subscript"/>
        </w:rPr>
        <w:t>TA</w:t>
      </w:r>
      <w:r w:rsidR="00BD7E40">
        <w:rPr>
          <w:rFonts w:cs="Arial"/>
          <w:bCs/>
        </w:rPr>
        <w:t xml:space="preserve"> + N</w:t>
      </w:r>
      <w:r w:rsidR="00BD7E40">
        <w:rPr>
          <w:rFonts w:cs="Arial"/>
          <w:bCs/>
          <w:vertAlign w:val="subscript"/>
        </w:rPr>
        <w:t xml:space="preserve">TA,offset,2 </w:t>
      </w:r>
      <w:r w:rsidR="00BD7E40">
        <w:rPr>
          <w:rFonts w:cs="Arial"/>
          <w:bCs/>
        </w:rPr>
        <w:t>·T</w:t>
      </w:r>
      <w:r w:rsidR="00BD7E40">
        <w:rPr>
          <w:rFonts w:cs="Arial"/>
          <w:bCs/>
          <w:vertAlign w:val="subscript"/>
        </w:rPr>
        <w:t>c</w:t>
      </w:r>
      <w:r w:rsidR="00BD7E40">
        <w:rPr>
          <w:rFonts w:cs="Arial"/>
          <w:bCs/>
        </w:rPr>
        <w:t xml:space="preserve"> </w:t>
      </w:r>
      <w:r w:rsidR="00BD7E40">
        <w:rPr>
          <w:rFonts w:cs="Arial"/>
          <w:color w:val="000000" w:themeColor="text1"/>
        </w:rPr>
        <w:t xml:space="preserve">where </w:t>
      </w:r>
      <m:oMath>
        <m:sSub>
          <m:sSubPr>
            <m:ctrlPr>
              <w:rPr>
                <w:rFonts w:ascii="Cambria Math" w:eastAsia="DengXian" w:hAnsi="Cambria Math" w:cs="Arial"/>
                <w:color w:val="000000" w:themeColor="text1"/>
              </w:rPr>
            </m:ctrlPr>
          </m:sSubPr>
          <m:e>
            <m:r>
              <w:rPr>
                <w:rFonts w:ascii="Cambria Math" w:eastAsia="DengXian" w:hAnsi="Cambria Math" w:cs="Arial"/>
                <w:color w:val="000000" w:themeColor="text1"/>
              </w:rPr>
              <m:t>T</m:t>
            </m:r>
          </m:e>
          <m:sub>
            <m:r>
              <m:rPr>
                <m:nor/>
              </m:rPr>
              <w:rPr>
                <w:rFonts w:ascii="Cambria Math" w:eastAsia="DengXian" w:hAnsi="Cambria Math" w:cs="Arial"/>
                <w:color w:val="000000" w:themeColor="text1"/>
              </w:rPr>
              <m:t>TA</m:t>
            </m:r>
          </m:sub>
        </m:sSub>
      </m:oMath>
      <w:r w:rsidR="00BD7E40">
        <w:rPr>
          <w:rFonts w:cs="Arial"/>
          <w:color w:val="000000" w:themeColor="text1"/>
        </w:rPr>
        <w:t xml:space="preserve"> is defined in clause 4.3.1 of [4, TS 38.211]</w:t>
      </w:r>
      <w:r w:rsidRPr="00575441">
        <w:t xml:space="preserve"> </w:t>
      </w:r>
      <w:r>
        <w:t xml:space="preserve">and </w:t>
      </w:r>
      <m:oMath>
        <m:sSub>
          <m:sSubPr>
            <m:ctrlPr>
              <w:rPr>
                <w:rFonts w:ascii="Cambria Math" w:hAnsi="Cambria Math"/>
                <w:i/>
              </w:rPr>
            </m:ctrlPr>
          </m:sSubPr>
          <m:e>
            <m:r>
              <w:rPr>
                <w:rFonts w:ascii="Cambria Math" w:hAnsi="Cambria Math"/>
              </w:rPr>
              <m:t>N</m:t>
            </m:r>
          </m:e>
          <m:sub>
            <m:r>
              <m:rPr>
                <m:sty m:val="p"/>
              </m:rPr>
              <w:rPr>
                <w:rFonts w:ascii="Cambria Math" w:hAnsi="Cambria Math"/>
              </w:rPr>
              <m:t>TA,offset,2</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offset,2</m:t>
            </m:r>
          </m:sub>
        </m:sSub>
        <m:r>
          <m:rPr>
            <m:sty m:val="p"/>
          </m:rPr>
          <w:rPr>
            <w:rFonts w:ascii="Cambria Math" w:hAnsi="Cambria Math"/>
          </w:rPr>
          <m:t>⋅16⋅</m:t>
        </m:r>
        <m:f>
          <m:fPr>
            <m:type m:val="lin"/>
            <m:ctrlPr>
              <w:rPr>
                <w:rFonts w:ascii="Cambria Math" w:hAnsi="Cambria Math"/>
              </w:rPr>
            </m:ctrlPr>
          </m:fPr>
          <m:num>
            <m:r>
              <w:rPr>
                <w:rFonts w:ascii="Cambria Math" w:hAnsi="Cambria Math"/>
              </w:rPr>
              <m:t>64</m:t>
            </m:r>
          </m:num>
          <m:den>
            <m:sSup>
              <m:sSupPr>
                <m:ctrlPr>
                  <w:rPr>
                    <w:rFonts w:ascii="Cambria Math" w:hAnsi="Cambria Math"/>
                    <w:i/>
                  </w:rPr>
                </m:ctrlPr>
              </m:sSupPr>
              <m:e>
                <m:r>
                  <w:rPr>
                    <w:rFonts w:ascii="Cambria Math" w:hAnsi="Cambria Math"/>
                  </w:rPr>
                  <m:t>2</m:t>
                </m:r>
              </m:e>
              <m:sup>
                <m:r>
                  <w:rPr>
                    <w:rFonts w:ascii="Cambria Math" w:hAnsi="Cambria Math"/>
                  </w:rPr>
                  <m:t>μ</m:t>
                </m:r>
              </m:sup>
            </m:sSup>
          </m:den>
        </m:f>
      </m:oMath>
      <w:r>
        <w:t xml:space="preserve"> where </w:t>
      </w:r>
      <m:oMath>
        <m:sSub>
          <m:sSubPr>
            <m:ctrlPr>
              <w:rPr>
                <w:rFonts w:ascii="Cambria Math" w:hAnsi="Cambria Math"/>
                <w:i/>
              </w:rPr>
            </m:ctrlPr>
          </m:sSubPr>
          <m:e>
            <m:r>
              <w:rPr>
                <w:rFonts w:ascii="Cambria Math" w:hAnsi="Cambria Math"/>
              </w:rPr>
              <m:t>T</m:t>
            </m:r>
          </m:e>
          <m:sub>
            <m:r>
              <m:rPr>
                <m:sty m:val="p"/>
              </m:rPr>
              <w:rPr>
                <w:rFonts w:ascii="Cambria Math" w:hAnsi="Cambria Math"/>
              </w:rPr>
              <m:t>offset,2</m:t>
            </m:r>
          </m:sub>
        </m:sSub>
      </m:oMath>
      <w:r>
        <w:t xml:space="preserve"> is provided by the </w:t>
      </w:r>
      <w:r w:rsidR="002133B5" w:rsidRPr="006F5D48">
        <w:rPr>
          <w:rFonts w:eastAsia="DengXian"/>
          <w:iCs/>
          <w:lang w:eastAsia="zh-CN"/>
        </w:rPr>
        <w:t>Case</w:t>
      </w:r>
      <w:r w:rsidR="0065178A">
        <w:rPr>
          <w:rFonts w:eastAsia="DengXian"/>
          <w:iCs/>
          <w:lang w:eastAsia="zh-CN"/>
        </w:rPr>
        <w:t>-</w:t>
      </w:r>
      <w:r w:rsidR="002133B5" w:rsidRPr="006F5D48">
        <w:rPr>
          <w:rFonts w:eastAsia="DengXian"/>
          <w:iCs/>
          <w:lang w:eastAsia="zh-CN"/>
        </w:rPr>
        <w:t>7</w:t>
      </w:r>
      <w:r>
        <w:t xml:space="preserve"> </w:t>
      </w:r>
      <w:r w:rsidR="002133B5">
        <w:t xml:space="preserve">Timing </w:t>
      </w:r>
      <w:r w:rsidR="0065178A">
        <w:rPr>
          <w:rFonts w:eastAsia="DengXian"/>
          <w:iCs/>
          <w:lang w:eastAsia="zh-CN"/>
        </w:rPr>
        <w:t xml:space="preserve">advance </w:t>
      </w:r>
      <w:r w:rsidR="0065178A">
        <w:t xml:space="preserve">offset </w:t>
      </w:r>
      <w:r>
        <w:t>MAC CE [11, TS 38.321]</w:t>
      </w:r>
      <w:r w:rsidRPr="00575441">
        <w:t>.</w:t>
      </w:r>
    </w:p>
    <w:p w14:paraId="0B27D3B5" w14:textId="27A5C5C4" w:rsidR="00E9420D" w:rsidRPr="009861A4" w:rsidRDefault="00E9420D" w:rsidP="00E9420D">
      <w:pPr>
        <w:rPr>
          <w:lang w:eastAsia="zh-CN"/>
        </w:rPr>
      </w:pPr>
      <w:r w:rsidRPr="009861A4">
        <w:rPr>
          <w:lang w:eastAsia="zh-CN"/>
        </w:rPr>
        <w:t xml:space="preserve">A slot format for an IAB-DU or an IAB-MT includes downlink symbols, uplink symbols, and flexible symbols. </w:t>
      </w:r>
    </w:p>
    <w:p w14:paraId="77128837" w14:textId="45856D17" w:rsidR="00AD5959" w:rsidRDefault="00E9420D" w:rsidP="00E9420D">
      <w:pPr>
        <w:rPr>
          <w:lang w:eastAsia="zh-CN"/>
        </w:rPr>
      </w:pPr>
      <w:r w:rsidRPr="009861A4">
        <w:rPr>
          <w:lang w:eastAsia="zh-CN"/>
        </w:rPr>
        <w:t>For each cell</w:t>
      </w:r>
      <w:r>
        <w:rPr>
          <w:lang w:eastAsia="zh-CN"/>
        </w:rPr>
        <w:t xml:space="preserve"> of an IAB-DU</w:t>
      </w:r>
      <w:r w:rsidRPr="009861A4">
        <w:rPr>
          <w:lang w:eastAsia="zh-CN"/>
        </w:rPr>
        <w:t xml:space="preserve">, </w:t>
      </w:r>
      <w:r>
        <w:rPr>
          <w:lang w:eastAsia="zh-CN"/>
        </w:rPr>
        <w:t>the</w:t>
      </w:r>
      <w:r w:rsidRPr="009861A4">
        <w:rPr>
          <w:lang w:eastAsia="zh-CN"/>
        </w:rPr>
        <w:t xml:space="preserve"> IAB-DU </w:t>
      </w:r>
      <w:r>
        <w:rPr>
          <w:lang w:eastAsia="zh-CN"/>
        </w:rPr>
        <w:t>can be</w:t>
      </w:r>
      <w:r w:rsidRPr="009861A4">
        <w:rPr>
          <w:lang w:eastAsia="zh-CN"/>
        </w:rPr>
        <w:t xml:space="preserve"> provided an indication for a slot format over a number of slots by </w:t>
      </w:r>
      <w:r w:rsidR="00E613EA" w:rsidRPr="00882C4D">
        <w:rPr>
          <w:i/>
          <w:iCs/>
        </w:rPr>
        <w:t>gNB-DU Cell Resource Configuration</w:t>
      </w:r>
      <w:r w:rsidR="00E613EA" w:rsidRPr="00882C4D">
        <w:rPr>
          <w:lang w:eastAsia="zh-CN"/>
        </w:rPr>
        <w:t xml:space="preserve"> </w:t>
      </w:r>
      <w:r w:rsidR="00E613EA" w:rsidRPr="00882C4D">
        <w:rPr>
          <w:lang w:val="en-US"/>
        </w:rPr>
        <w:t>[16, TS 38.473]</w:t>
      </w:r>
      <w:r w:rsidRPr="009861A4">
        <w:rPr>
          <w:lang w:eastAsia="zh-CN"/>
        </w:rPr>
        <w:t xml:space="preserve">. </w:t>
      </w:r>
    </w:p>
    <w:p w14:paraId="7AA29BCE" w14:textId="4B6FA4D2" w:rsidR="00E9420D" w:rsidRPr="009F2BBA" w:rsidRDefault="00E9420D" w:rsidP="004D5A8C">
      <w:r w:rsidRPr="009861A4">
        <w:rPr>
          <w:lang w:eastAsia="zh-CN"/>
        </w:rPr>
        <w:t xml:space="preserve">For each </w:t>
      </w:r>
      <w:r>
        <w:rPr>
          <w:lang w:eastAsia="zh-CN"/>
        </w:rPr>
        <w:t xml:space="preserve">serving </w:t>
      </w:r>
      <w:r w:rsidRPr="009861A4">
        <w:rPr>
          <w:lang w:eastAsia="zh-CN"/>
        </w:rPr>
        <w:t xml:space="preserve">cell, an IAB-MT </w:t>
      </w:r>
      <w:r>
        <w:rPr>
          <w:lang w:eastAsia="zh-CN"/>
        </w:rPr>
        <w:t>can be</w:t>
      </w:r>
      <w:r w:rsidRPr="009861A4">
        <w:rPr>
          <w:lang w:eastAsia="zh-CN"/>
        </w:rPr>
        <w:t xml:space="preserve"> provided an indication for a slot format over a number of slots by </w:t>
      </w:r>
      <w:r w:rsidRPr="009861A4">
        <w:rPr>
          <w:i/>
          <w:iCs/>
          <w:lang w:eastAsia="zh-CN"/>
        </w:rPr>
        <w:t>tdd-UL-DL-Config</w:t>
      </w:r>
      <w:r w:rsidR="00AD5959" w:rsidRPr="009F6A37">
        <w:rPr>
          <w:i/>
          <w:iCs/>
          <w:lang w:eastAsia="zh-CN"/>
        </w:rPr>
        <w:t>uration</w:t>
      </w:r>
      <w:r>
        <w:rPr>
          <w:i/>
          <w:iCs/>
          <w:lang w:eastAsia="zh-CN"/>
        </w:rPr>
        <w:t>Dedicated</w:t>
      </w:r>
      <w:r w:rsidRPr="009861A4">
        <w:rPr>
          <w:i/>
          <w:iCs/>
          <w:lang w:eastAsia="zh-CN"/>
        </w:rPr>
        <w:t>-IAB-MT</w:t>
      </w:r>
      <w:r w:rsidRPr="009861A4">
        <w:rPr>
          <w:lang w:eastAsia="zh-CN"/>
        </w:rPr>
        <w:t xml:space="preserve">. </w:t>
      </w:r>
      <w:r w:rsidRPr="00A740E9">
        <w:t xml:space="preserve">If the IAB-MT is provided </w:t>
      </w:r>
      <w:r>
        <w:rPr>
          <w:i/>
          <w:iCs/>
        </w:rPr>
        <w:t>tdd</w:t>
      </w:r>
      <w:r w:rsidRPr="00A740E9">
        <w:rPr>
          <w:i/>
          <w:iCs/>
        </w:rPr>
        <w:t>-UL-DL-Config</w:t>
      </w:r>
      <w:r w:rsidR="00E613EA" w:rsidRPr="00882C4D">
        <w:rPr>
          <w:i/>
          <w:iCs/>
        </w:rPr>
        <w:t>uration</w:t>
      </w:r>
      <w:r w:rsidRPr="00A740E9">
        <w:rPr>
          <w:i/>
          <w:iCs/>
        </w:rPr>
        <w:t>Dedicated-IAB-MT</w:t>
      </w:r>
      <w:r w:rsidRPr="00A740E9">
        <w:t xml:space="preserve">, </w:t>
      </w:r>
      <w:r w:rsidR="004D5A8C" w:rsidRPr="00352F48">
        <w:t xml:space="preserve">the statements </w:t>
      </w:r>
      <w:r w:rsidR="006F5F9E">
        <w:t>in clause</w:t>
      </w:r>
      <w:r w:rsidR="004D5A8C" w:rsidRPr="00352F48">
        <w:t xml:space="preserve"> 11.1 that include "</w:t>
      </w:r>
      <w:r w:rsidR="004D5A8C" w:rsidRPr="00352F48">
        <w:rPr>
          <w:i/>
          <w:iCs/>
        </w:rPr>
        <w:t>tdd-UL-DL-ConfigurationDedicated</w:t>
      </w:r>
      <w:r w:rsidR="004D5A8C" w:rsidRPr="00352F48">
        <w:t>" apply to the IAB-MT of an IAB node by replacing "</w:t>
      </w:r>
      <w:r w:rsidR="004D5A8C" w:rsidRPr="00352F48">
        <w:rPr>
          <w:i/>
          <w:iCs/>
        </w:rPr>
        <w:t>tdd-UL-DL-ConfigurationDedicated</w:t>
      </w:r>
      <w:r w:rsidR="004D5A8C" w:rsidRPr="00352F48">
        <w:t>" with "</w:t>
      </w:r>
      <w:r w:rsidR="004D5A8C" w:rsidRPr="00352F48">
        <w:rPr>
          <w:i/>
          <w:iCs/>
        </w:rPr>
        <w:t>tdd-UL-DL-ConfigurationDedicated-IAB-MT</w:t>
      </w:r>
      <w:r w:rsidR="004D5A8C" w:rsidRPr="00352F48">
        <w:t>" for the IAB-MT, except that the</w:t>
      </w:r>
      <w:r>
        <w:t xml:space="preserve"> </w:t>
      </w:r>
      <w:r>
        <w:rPr>
          <w:i/>
          <w:iCs/>
        </w:rPr>
        <w:t>tdd</w:t>
      </w:r>
      <w:r w:rsidRPr="00A740E9">
        <w:rPr>
          <w:i/>
          <w:iCs/>
        </w:rPr>
        <w:t>-UL-DL-Config</w:t>
      </w:r>
      <w:r w:rsidR="00E613EA" w:rsidRPr="00882C4D">
        <w:rPr>
          <w:i/>
          <w:iCs/>
        </w:rPr>
        <w:t>uration</w:t>
      </w:r>
      <w:r w:rsidRPr="00A740E9">
        <w:rPr>
          <w:i/>
          <w:iCs/>
        </w:rPr>
        <w:t>Dedicated-IAB-MT</w:t>
      </w:r>
      <w:r>
        <w:t xml:space="preserve"> provides</w:t>
      </w:r>
    </w:p>
    <w:p w14:paraId="4B402DBD" w14:textId="77777777" w:rsidR="00E9420D" w:rsidRDefault="00E9420D" w:rsidP="00E9420D">
      <w:pPr>
        <w:pStyle w:val="B1"/>
      </w:pPr>
      <w:r>
        <w:t>-</w:t>
      </w:r>
      <w:r>
        <w:tab/>
      </w:r>
      <w:r>
        <w:rPr>
          <w:lang w:val="en-US"/>
        </w:rPr>
        <w:t>a</w:t>
      </w:r>
      <w:r>
        <w:t xml:space="preserve"> set of slot configurations by </w:t>
      </w:r>
      <w:r w:rsidRPr="00A740E9">
        <w:rPr>
          <w:i/>
          <w:iCs/>
        </w:rPr>
        <w:t>slotSpecificConfigurationsToAddModList-IAB-MT</w:t>
      </w:r>
    </w:p>
    <w:p w14:paraId="782787E5" w14:textId="77777777" w:rsidR="00E9420D" w:rsidRDefault="00E9420D" w:rsidP="00E9420D">
      <w:pPr>
        <w:pStyle w:val="B1"/>
      </w:pPr>
      <w:r>
        <w:t>-</w:t>
      </w:r>
      <w:r>
        <w:tab/>
      </w:r>
      <w:r>
        <w:rPr>
          <w:lang w:val="en-US"/>
        </w:rPr>
        <w:t>f</w:t>
      </w:r>
      <w:r>
        <w:t>or each slot configuration from the set of slot configurations</w:t>
      </w:r>
    </w:p>
    <w:p w14:paraId="1F954D09" w14:textId="77777777" w:rsidR="00E9420D" w:rsidRDefault="00E9420D" w:rsidP="00BC0CCB">
      <w:pPr>
        <w:pStyle w:val="B2"/>
      </w:pPr>
      <w:r>
        <w:lastRenderedPageBreak/>
        <w:t>-</w:t>
      </w:r>
      <w:r>
        <w:tab/>
      </w:r>
      <w:r>
        <w:rPr>
          <w:lang w:val="en-US"/>
        </w:rPr>
        <w:t>a</w:t>
      </w:r>
      <w:r>
        <w:t xml:space="preserve"> slot index for a slot provided by </w:t>
      </w:r>
      <w:r w:rsidRPr="00D733F5">
        <w:rPr>
          <w:i/>
        </w:rPr>
        <w:t>slotIndex</w:t>
      </w:r>
    </w:p>
    <w:p w14:paraId="3DB91B06" w14:textId="341320C9" w:rsidR="00E9420D" w:rsidRDefault="00E9420D" w:rsidP="00BC0CCB">
      <w:pPr>
        <w:pStyle w:val="B2"/>
      </w:pPr>
      <w:r>
        <w:t>-</w:t>
      </w:r>
      <w:r>
        <w:tab/>
      </w:r>
      <w:r>
        <w:rPr>
          <w:lang w:val="en-US"/>
        </w:rPr>
        <w:t>a</w:t>
      </w:r>
      <w:r>
        <w:t xml:space="preserve"> set of symbols for a slot by </w:t>
      </w:r>
      <w:r w:rsidRPr="00561653">
        <w:rPr>
          <w:i/>
        </w:rPr>
        <w:t>symbols</w:t>
      </w:r>
      <w:r w:rsidR="004D5A8C">
        <w:rPr>
          <w:i/>
          <w:lang w:val="en-US"/>
        </w:rPr>
        <w:t>-IAB-MT</w:t>
      </w:r>
      <w:r>
        <w:t xml:space="preserve"> where </w:t>
      </w:r>
    </w:p>
    <w:p w14:paraId="014E9D56" w14:textId="57FD3032" w:rsidR="00E9420D" w:rsidRDefault="00E9420D" w:rsidP="00BC0CCB">
      <w:pPr>
        <w:pStyle w:val="B3"/>
      </w:pPr>
      <w:r>
        <w:t>-</w:t>
      </w:r>
      <w:r>
        <w:tab/>
        <w:t xml:space="preserve">if </w:t>
      </w:r>
      <w:r w:rsidRPr="00561653">
        <w:rPr>
          <w:i/>
        </w:rPr>
        <w:t>symbols</w:t>
      </w:r>
      <w:r w:rsidR="004D5A8C">
        <w:rPr>
          <w:i/>
          <w:lang w:val="en-US"/>
        </w:rPr>
        <w:t>-IAB-MT</w:t>
      </w:r>
      <w:r>
        <w:t xml:space="preserve"> = </w:t>
      </w:r>
      <w:r w:rsidRPr="00561653">
        <w:rPr>
          <w:i/>
        </w:rPr>
        <w:t>allDownlink</w:t>
      </w:r>
      <w:r>
        <w:t>, all symbols in the slot are downlink</w:t>
      </w:r>
    </w:p>
    <w:p w14:paraId="3FF68BCA" w14:textId="3D584E3E" w:rsidR="00E9420D" w:rsidRDefault="00E9420D" w:rsidP="00BC0CCB">
      <w:pPr>
        <w:pStyle w:val="B3"/>
      </w:pPr>
      <w:r>
        <w:t>-</w:t>
      </w:r>
      <w:r>
        <w:tab/>
        <w:t xml:space="preserve">if </w:t>
      </w:r>
      <w:r w:rsidRPr="00561653">
        <w:rPr>
          <w:i/>
        </w:rPr>
        <w:t>symbols</w:t>
      </w:r>
      <w:r w:rsidR="004D5A8C">
        <w:rPr>
          <w:i/>
          <w:lang w:val="en-US"/>
        </w:rPr>
        <w:t>-IAB-MT</w:t>
      </w:r>
      <w:r>
        <w:t xml:space="preserve"> = </w:t>
      </w:r>
      <w:r w:rsidRPr="00561653">
        <w:rPr>
          <w:i/>
        </w:rPr>
        <w:t>allUplink</w:t>
      </w:r>
      <w:r>
        <w:t>, all symbols in the slot are uplink</w:t>
      </w:r>
    </w:p>
    <w:p w14:paraId="705D89EA" w14:textId="5BB0D7CE" w:rsidR="00E9420D" w:rsidRDefault="00E9420D" w:rsidP="00BC0CCB">
      <w:pPr>
        <w:pStyle w:val="B3"/>
      </w:pPr>
      <w:r>
        <w:t>-</w:t>
      </w:r>
      <w:r>
        <w:tab/>
        <w:t xml:space="preserve">if </w:t>
      </w:r>
      <w:r w:rsidRPr="00561653">
        <w:rPr>
          <w:i/>
        </w:rPr>
        <w:t>symbols</w:t>
      </w:r>
      <w:r w:rsidR="004D5A8C">
        <w:rPr>
          <w:i/>
          <w:lang w:val="en-US"/>
        </w:rPr>
        <w:t>-IAB-MT</w:t>
      </w:r>
      <w:r>
        <w:t xml:space="preserve"> = </w:t>
      </w:r>
      <w:r>
        <w:rPr>
          <w:i/>
        </w:rPr>
        <w:t>explicit</w:t>
      </w:r>
      <w:r w:rsidRPr="00B42C92">
        <w:rPr>
          <w:lang w:val="en-US"/>
        </w:rPr>
        <w:t>,</w:t>
      </w:r>
      <w:r w:rsidRPr="00E81663">
        <w:t xml:space="preserve"> </w:t>
      </w:r>
      <w:r w:rsidRPr="0026390E">
        <w:rPr>
          <w:i/>
        </w:rPr>
        <w:t>nrofDownlinkSymbols</w:t>
      </w:r>
      <w:r>
        <w:t xml:space="preserve"> provides a number of downlink first symbols in the slot and </w:t>
      </w:r>
      <w:r w:rsidRPr="0026390E">
        <w:rPr>
          <w:i/>
        </w:rPr>
        <w:t>nrofUplinkSymbols</w:t>
      </w:r>
      <w:r>
        <w:t xml:space="preserve"> provides a number of uplink last symbols in the slot. If </w:t>
      </w:r>
      <w:r w:rsidRPr="0026390E">
        <w:rPr>
          <w:i/>
        </w:rPr>
        <w:t>nrofDownlinkSymbols</w:t>
      </w:r>
      <w:r>
        <w:t xml:space="preserve"> is not provided, there are no downlink first symbols in the slot and if </w:t>
      </w:r>
      <w:r w:rsidRPr="0026390E">
        <w:rPr>
          <w:i/>
        </w:rPr>
        <w:t>nrofUplinkSymbols</w:t>
      </w:r>
      <w:r>
        <w:t xml:space="preserve"> is not provided, there are no uplink last symbols in the slot. The remaining symbols in the slot are flexible.</w:t>
      </w:r>
    </w:p>
    <w:p w14:paraId="4F80D0E4" w14:textId="703CAE5D" w:rsidR="00E9420D" w:rsidRDefault="00E9420D" w:rsidP="00BC0CCB">
      <w:pPr>
        <w:pStyle w:val="B3"/>
      </w:pPr>
      <w:r>
        <w:t>-</w:t>
      </w:r>
      <w:r>
        <w:tab/>
        <w:t xml:space="preserve">if </w:t>
      </w:r>
      <w:r w:rsidRPr="00561653">
        <w:rPr>
          <w:i/>
        </w:rPr>
        <w:t>symbols</w:t>
      </w:r>
      <w:r w:rsidR="004D5A8C">
        <w:rPr>
          <w:i/>
          <w:lang w:val="en-US"/>
        </w:rPr>
        <w:t>-IAB-MT</w:t>
      </w:r>
      <w:r>
        <w:t xml:space="preserve"> = </w:t>
      </w:r>
      <w:r>
        <w:rPr>
          <w:i/>
          <w:iCs/>
        </w:rPr>
        <w:t>explicit-</w:t>
      </w:r>
      <w:r w:rsidRPr="00A740E9">
        <w:rPr>
          <w:i/>
          <w:iCs/>
        </w:rPr>
        <w:t>IAB-MT</w:t>
      </w:r>
      <w:r w:rsidRPr="00A740E9">
        <w:t xml:space="preserve">, </w:t>
      </w:r>
      <w:r w:rsidRPr="00A740E9">
        <w:rPr>
          <w:i/>
          <w:iCs/>
        </w:rPr>
        <w:t>nrofUplinkSymbols</w:t>
      </w:r>
      <w:r w:rsidRPr="00A740E9">
        <w:t xml:space="preserve"> provides a number of uplink first symbols in the slot and </w:t>
      </w:r>
      <w:r w:rsidRPr="00A740E9">
        <w:rPr>
          <w:i/>
          <w:iCs/>
        </w:rPr>
        <w:t>nrofDownlinkSymbols</w:t>
      </w:r>
      <w:r w:rsidRPr="00A740E9">
        <w:t xml:space="preserve"> provides a number of downlink last symbols in the slot. If </w:t>
      </w:r>
      <w:r w:rsidRPr="00A740E9">
        <w:rPr>
          <w:i/>
          <w:iCs/>
        </w:rPr>
        <w:t>nrofUplinkSymbols</w:t>
      </w:r>
      <w:r w:rsidRPr="00A740E9">
        <w:t xml:space="preserve"> is not provided, there are no uplink first symbols in the slot and if </w:t>
      </w:r>
      <w:r w:rsidRPr="00A740E9">
        <w:rPr>
          <w:i/>
          <w:iCs/>
        </w:rPr>
        <w:t>nrofDownlinkSymbols</w:t>
      </w:r>
      <w:r w:rsidRPr="00A740E9">
        <w:t xml:space="preserve"> is not provided, there are no downlink last symbols in the slot. The remaining sy</w:t>
      </w:r>
      <w:r>
        <w:t>mbols in the slot are flexible.</w:t>
      </w:r>
    </w:p>
    <w:p w14:paraId="5C08DDA9" w14:textId="37A770EC" w:rsidR="002133B5" w:rsidRDefault="00DD54E6" w:rsidP="00DD54E6">
      <w:pPr>
        <w:rPr>
          <w:lang w:eastAsia="zh-CN"/>
        </w:rPr>
      </w:pPr>
      <w:r w:rsidRPr="00575441">
        <w:rPr>
          <w:lang w:eastAsia="zh-CN"/>
        </w:rPr>
        <w:t xml:space="preserve">If an IAB-MT is configured with an MCG and an SCG, is not capable of simultaneous transmission and reception, and would simultaneously transmit and receive on the MCG and the SCG, </w:t>
      </w:r>
    </w:p>
    <w:p w14:paraId="15725D60" w14:textId="77777777" w:rsidR="002133B5" w:rsidRDefault="002133B5" w:rsidP="002133B5">
      <w:pPr>
        <w:pStyle w:val="B1"/>
        <w:rPr>
          <w:lang w:eastAsia="zh-CN"/>
        </w:rPr>
      </w:pPr>
      <w:r w:rsidRPr="006F5D48">
        <w:t>-</w:t>
      </w:r>
      <w:r w:rsidRPr="006F5D48">
        <w:tab/>
      </w:r>
      <w:r w:rsidRPr="006F5D48">
        <w:rPr>
          <w:lang w:eastAsia="zh-CN"/>
        </w:rPr>
        <w:t>if flexible symbols are configured by both parent nodes for operation with inter-donor NR-DC</w:t>
      </w:r>
      <w:r>
        <w:rPr>
          <w:lang w:eastAsia="zh-CN"/>
        </w:rPr>
        <w:t xml:space="preserve">, </w:t>
      </w:r>
      <w:r w:rsidRPr="006F5D48">
        <w:rPr>
          <w:lang w:eastAsia="zh-CN"/>
        </w:rPr>
        <w:t xml:space="preserve">the IAB-MT operates according to the scheduling from the MCG </w:t>
      </w:r>
    </w:p>
    <w:p w14:paraId="51C735B7" w14:textId="210BFA76" w:rsidR="00DD54E6" w:rsidRPr="00575441" w:rsidRDefault="002133B5" w:rsidP="002133B5">
      <w:pPr>
        <w:pStyle w:val="B1"/>
        <w:rPr>
          <w:lang w:eastAsia="zh-CN"/>
        </w:rPr>
      </w:pPr>
      <w:r w:rsidRPr="006F5D48">
        <w:t>-</w:t>
      </w:r>
      <w:r w:rsidRPr="006F5D48">
        <w:tab/>
      </w:r>
      <w:r w:rsidRPr="006F5D48">
        <w:rPr>
          <w:lang w:eastAsia="zh-CN"/>
        </w:rPr>
        <w:t xml:space="preserve">otherwise, if the IAB-MT is configured with multiple serving cells, is provided </w:t>
      </w:r>
      <w:r w:rsidRPr="006F5D48">
        <w:rPr>
          <w:i/>
          <w:iCs/>
          <w:lang w:eastAsia="zh-CN"/>
        </w:rPr>
        <w:t>directionalCollisionHandling-</w:t>
      </w:r>
      <w:r w:rsidRPr="006F5D48">
        <w:rPr>
          <w:lang w:eastAsia="zh-CN"/>
        </w:rPr>
        <w:t xml:space="preserve">r17 = </w:t>
      </w:r>
      <w:r w:rsidR="00F22988">
        <w:rPr>
          <w:lang w:eastAsia="zh-CN"/>
        </w:rPr>
        <w:t>'</w:t>
      </w:r>
      <w:r w:rsidRPr="006F5D48">
        <w:rPr>
          <w:lang w:eastAsia="zh-CN"/>
        </w:rPr>
        <w:t>enabled</w:t>
      </w:r>
      <w:r w:rsidR="00F22988">
        <w:rPr>
          <w:lang w:eastAsia="zh-CN"/>
        </w:rPr>
        <w:t>'</w:t>
      </w:r>
      <w:r w:rsidRPr="006F5D48">
        <w:rPr>
          <w:lang w:eastAsia="zh-CN"/>
        </w:rPr>
        <w:t xml:space="preserve"> for a set of serving cell(s) from the multiple serving cells, and indicates </w:t>
      </w:r>
      <w:r w:rsidRPr="006F5D48">
        <w:rPr>
          <w:i/>
          <w:iCs/>
          <w:lang w:eastAsia="zh-CN"/>
        </w:rPr>
        <w:t>half-DuplexTDD-CA-SameSCS</w:t>
      </w:r>
      <w:r w:rsidRPr="006F5D48">
        <w:rPr>
          <w:lang w:eastAsia="zh-CN"/>
        </w:rPr>
        <w:t xml:space="preserve"> capability across MCG and SCG for NR-DC operation,</w:t>
      </w:r>
      <w:r w:rsidRPr="006F5D48">
        <w:rPr>
          <w:i/>
          <w:iCs/>
          <w:lang w:eastAsia="zh-CN"/>
        </w:rPr>
        <w:t xml:space="preserve"> </w:t>
      </w:r>
      <w:r w:rsidRPr="006F5D48">
        <w:rPr>
          <w:lang w:eastAsia="zh-CN"/>
        </w:rPr>
        <w:t xml:space="preserve">the IAB-MT applies the procedures for resolving directional collisions as described in clause 11.1 for resolving directional collisions across </w:t>
      </w:r>
      <w:r>
        <w:rPr>
          <w:lang w:eastAsia="zh-CN"/>
        </w:rPr>
        <w:t>serving cells</w:t>
      </w:r>
      <w:r w:rsidR="00DD54E6" w:rsidRPr="00575441">
        <w:rPr>
          <w:lang w:eastAsia="zh-CN"/>
        </w:rPr>
        <w:t>.</w:t>
      </w:r>
    </w:p>
    <w:p w14:paraId="2AE53D09" w14:textId="142B3E12" w:rsidR="00E9420D" w:rsidRPr="00E540D4" w:rsidRDefault="00E9420D" w:rsidP="00E9420D">
      <w:pPr>
        <w:rPr>
          <w:szCs w:val="16"/>
          <w:lang w:eastAsia="zh-CN"/>
        </w:rPr>
      </w:pPr>
      <w:r w:rsidRPr="004052F6">
        <w:rPr>
          <w:lang w:eastAsia="zh-CN"/>
        </w:rPr>
        <w:t>An IAB-MT</w:t>
      </w:r>
      <w:r>
        <w:rPr>
          <w:lang w:eastAsia="zh-CN"/>
        </w:rPr>
        <w:t xml:space="preserve"> can be provided, by</w:t>
      </w:r>
      <w:r w:rsidRPr="004052F6">
        <w:rPr>
          <w:lang w:eastAsia="zh-CN"/>
        </w:rPr>
        <w:t xml:space="preserve"> </w:t>
      </w:r>
      <w:r w:rsidRPr="004052F6">
        <w:rPr>
          <w:i/>
          <w:lang w:eastAsia="zh-CN"/>
        </w:rPr>
        <w:t>SlotFormatCombinationsPerCell</w:t>
      </w:r>
      <w:r>
        <w:rPr>
          <w:lang w:eastAsia="zh-CN"/>
        </w:rPr>
        <w:t xml:space="preserve">, a list of </w:t>
      </w:r>
      <w:r>
        <w:t>s</w:t>
      </w:r>
      <w:r w:rsidRPr="0096519C">
        <w:t>lot</w:t>
      </w:r>
      <w:r>
        <w:t xml:space="preserve"> format c</w:t>
      </w:r>
      <w:r w:rsidRPr="0096519C">
        <w:t>ombinations applicable for one serving cell</w:t>
      </w:r>
      <w:r>
        <w:t xml:space="preserve"> and, by </w:t>
      </w:r>
      <w:r>
        <w:rPr>
          <w:i/>
          <w:lang w:eastAsia="zh-CN"/>
        </w:rPr>
        <w:t>SlotFormatIndicator</w:t>
      </w:r>
      <w:r>
        <w:rPr>
          <w:szCs w:val="16"/>
          <w:lang w:eastAsia="zh-CN"/>
        </w:rPr>
        <w:t xml:space="preserve">, a configuration for monitor a DCI format 2_0 indicating a slot format combination, from the list of slot format combinations, over a number of slots as described </w:t>
      </w:r>
      <w:r w:rsidR="006F5F9E">
        <w:rPr>
          <w:szCs w:val="16"/>
          <w:lang w:eastAsia="zh-CN"/>
        </w:rPr>
        <w:t>in clause</w:t>
      </w:r>
      <w:r>
        <w:rPr>
          <w:szCs w:val="16"/>
          <w:lang w:eastAsia="zh-CN"/>
        </w:rPr>
        <w:t xml:space="preserve"> 11.1.1. In addition to the slot formats in Table 11.1.1-1, an SFI field for an IAB-MT in DCI format 2_0 can indicate to the IAB-MT a slot format from the slot formats in Table 14-</w:t>
      </w:r>
      <w:r w:rsidR="004D5A8C">
        <w:rPr>
          <w:szCs w:val="16"/>
          <w:lang w:eastAsia="zh-CN"/>
        </w:rPr>
        <w:t>2</w:t>
      </w:r>
      <w:r>
        <w:rPr>
          <w:szCs w:val="16"/>
          <w:lang w:eastAsia="zh-CN"/>
        </w:rPr>
        <w:t>.</w:t>
      </w:r>
    </w:p>
    <w:p w14:paraId="37635C42" w14:textId="742290C3" w:rsidR="00E9420D" w:rsidRPr="00CA657A" w:rsidRDefault="00E9420D" w:rsidP="00E9420D">
      <w:pPr>
        <w:pStyle w:val="TH"/>
      </w:pPr>
      <w:r>
        <w:lastRenderedPageBreak/>
        <w:t>Table 14</w:t>
      </w:r>
      <w:r w:rsidRPr="00CA657A">
        <w:t>-</w:t>
      </w:r>
      <w:r w:rsidR="004D5A8C">
        <w:t>2</w:t>
      </w:r>
      <w:r w:rsidRPr="00CA657A">
        <w:t xml:space="preserve">: </w:t>
      </w:r>
      <w:r>
        <w:t>S</w:t>
      </w:r>
      <w:r w:rsidRPr="00CA657A">
        <w:t xml:space="preserve">lot </w:t>
      </w:r>
      <w:r>
        <w:t>formats for normal cyclic prefix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713"/>
        <w:gridCol w:w="571"/>
        <w:gridCol w:w="571"/>
        <w:gridCol w:w="569"/>
        <w:gridCol w:w="569"/>
        <w:gridCol w:w="569"/>
        <w:gridCol w:w="569"/>
        <w:gridCol w:w="569"/>
        <w:gridCol w:w="569"/>
        <w:gridCol w:w="569"/>
        <w:gridCol w:w="569"/>
        <w:gridCol w:w="569"/>
        <w:gridCol w:w="569"/>
        <w:gridCol w:w="569"/>
      </w:tblGrid>
      <w:tr w:rsidR="00E9420D" w:rsidRPr="00CA657A" w14:paraId="1146542B" w14:textId="77777777" w:rsidTr="00131932">
        <w:trPr>
          <w:jc w:val="center"/>
        </w:trPr>
        <w:tc>
          <w:tcPr>
            <w:tcW w:w="1101" w:type="dxa"/>
            <w:vMerge w:val="restart"/>
            <w:shd w:val="clear" w:color="auto" w:fill="auto"/>
          </w:tcPr>
          <w:p w14:paraId="79D72F95" w14:textId="77777777" w:rsidR="00E9420D" w:rsidRDefault="00E9420D" w:rsidP="00131932">
            <w:pPr>
              <w:keepNext/>
              <w:keepLines/>
              <w:spacing w:after="0"/>
              <w:jc w:val="center"/>
              <w:rPr>
                <w:rFonts w:ascii="Arial" w:eastAsia="Batang" w:hAnsi="Arial"/>
                <w:b/>
                <w:sz w:val="18"/>
              </w:rPr>
            </w:pPr>
            <w:r>
              <w:rPr>
                <w:rFonts w:ascii="Arial" w:eastAsia="Batang" w:hAnsi="Arial"/>
                <w:b/>
                <w:sz w:val="18"/>
              </w:rPr>
              <w:t>Slot</w:t>
            </w:r>
          </w:p>
          <w:p w14:paraId="4F495EA4"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Format</w:t>
            </w:r>
          </w:p>
        </w:tc>
        <w:tc>
          <w:tcPr>
            <w:tcW w:w="8114" w:type="dxa"/>
            <w:gridSpan w:val="14"/>
            <w:tcBorders>
              <w:bottom w:val="single" w:sz="4" w:space="0" w:color="auto"/>
            </w:tcBorders>
            <w:shd w:val="clear" w:color="auto" w:fill="auto"/>
          </w:tcPr>
          <w:p w14:paraId="4CC088A1"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Symbol number in a slot</w:t>
            </w:r>
          </w:p>
        </w:tc>
      </w:tr>
      <w:tr w:rsidR="00E9420D" w:rsidRPr="00CA657A" w14:paraId="6E0544C0" w14:textId="77777777" w:rsidTr="00131932">
        <w:trPr>
          <w:jc w:val="center"/>
        </w:trPr>
        <w:tc>
          <w:tcPr>
            <w:tcW w:w="1101" w:type="dxa"/>
            <w:vMerge/>
            <w:tcBorders>
              <w:top w:val="single" w:sz="4" w:space="0" w:color="auto"/>
            </w:tcBorders>
            <w:shd w:val="clear" w:color="auto" w:fill="auto"/>
          </w:tcPr>
          <w:p w14:paraId="5217BAA1" w14:textId="77777777" w:rsidR="00E9420D" w:rsidRPr="00CA657A" w:rsidRDefault="00E9420D" w:rsidP="00131932">
            <w:pPr>
              <w:keepNext/>
              <w:keepLines/>
              <w:spacing w:after="0"/>
              <w:jc w:val="center"/>
              <w:rPr>
                <w:rFonts w:ascii="Arial" w:eastAsia="Batang" w:hAnsi="Arial"/>
                <w:b/>
                <w:sz w:val="18"/>
              </w:rPr>
            </w:pPr>
          </w:p>
        </w:tc>
        <w:tc>
          <w:tcPr>
            <w:tcW w:w="713" w:type="dxa"/>
            <w:tcBorders>
              <w:top w:val="single" w:sz="4" w:space="0" w:color="auto"/>
            </w:tcBorders>
            <w:shd w:val="clear" w:color="auto" w:fill="auto"/>
          </w:tcPr>
          <w:p w14:paraId="735F977D"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0</w:t>
            </w:r>
          </w:p>
        </w:tc>
        <w:tc>
          <w:tcPr>
            <w:tcW w:w="571" w:type="dxa"/>
            <w:tcBorders>
              <w:top w:val="single" w:sz="4" w:space="0" w:color="auto"/>
            </w:tcBorders>
            <w:shd w:val="clear" w:color="auto" w:fill="auto"/>
          </w:tcPr>
          <w:p w14:paraId="354390EB"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1</w:t>
            </w:r>
          </w:p>
        </w:tc>
        <w:tc>
          <w:tcPr>
            <w:tcW w:w="571" w:type="dxa"/>
            <w:tcBorders>
              <w:top w:val="single" w:sz="4" w:space="0" w:color="auto"/>
            </w:tcBorders>
            <w:shd w:val="clear" w:color="auto" w:fill="auto"/>
          </w:tcPr>
          <w:p w14:paraId="7C1B609B"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2</w:t>
            </w:r>
          </w:p>
        </w:tc>
        <w:tc>
          <w:tcPr>
            <w:tcW w:w="569" w:type="dxa"/>
            <w:tcBorders>
              <w:top w:val="single" w:sz="4" w:space="0" w:color="auto"/>
            </w:tcBorders>
            <w:shd w:val="clear" w:color="auto" w:fill="auto"/>
          </w:tcPr>
          <w:p w14:paraId="41562753"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3</w:t>
            </w:r>
          </w:p>
        </w:tc>
        <w:tc>
          <w:tcPr>
            <w:tcW w:w="569" w:type="dxa"/>
            <w:tcBorders>
              <w:top w:val="single" w:sz="4" w:space="0" w:color="auto"/>
            </w:tcBorders>
            <w:shd w:val="clear" w:color="auto" w:fill="auto"/>
          </w:tcPr>
          <w:p w14:paraId="212F6F4D"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4</w:t>
            </w:r>
          </w:p>
        </w:tc>
        <w:tc>
          <w:tcPr>
            <w:tcW w:w="569" w:type="dxa"/>
            <w:tcBorders>
              <w:top w:val="single" w:sz="4" w:space="0" w:color="auto"/>
            </w:tcBorders>
            <w:shd w:val="clear" w:color="auto" w:fill="auto"/>
          </w:tcPr>
          <w:p w14:paraId="33CD8FC6"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5</w:t>
            </w:r>
          </w:p>
        </w:tc>
        <w:tc>
          <w:tcPr>
            <w:tcW w:w="569" w:type="dxa"/>
            <w:tcBorders>
              <w:top w:val="single" w:sz="4" w:space="0" w:color="auto"/>
            </w:tcBorders>
            <w:shd w:val="clear" w:color="auto" w:fill="auto"/>
          </w:tcPr>
          <w:p w14:paraId="70117E9C"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6</w:t>
            </w:r>
          </w:p>
        </w:tc>
        <w:tc>
          <w:tcPr>
            <w:tcW w:w="569" w:type="dxa"/>
            <w:tcBorders>
              <w:top w:val="single" w:sz="4" w:space="0" w:color="auto"/>
            </w:tcBorders>
            <w:shd w:val="clear" w:color="auto" w:fill="auto"/>
          </w:tcPr>
          <w:p w14:paraId="6A332526"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7</w:t>
            </w:r>
          </w:p>
        </w:tc>
        <w:tc>
          <w:tcPr>
            <w:tcW w:w="569" w:type="dxa"/>
            <w:tcBorders>
              <w:top w:val="single" w:sz="4" w:space="0" w:color="auto"/>
            </w:tcBorders>
            <w:shd w:val="clear" w:color="auto" w:fill="auto"/>
          </w:tcPr>
          <w:p w14:paraId="47251405"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8</w:t>
            </w:r>
          </w:p>
        </w:tc>
        <w:tc>
          <w:tcPr>
            <w:tcW w:w="569" w:type="dxa"/>
            <w:tcBorders>
              <w:top w:val="single" w:sz="4" w:space="0" w:color="auto"/>
            </w:tcBorders>
            <w:shd w:val="clear" w:color="auto" w:fill="auto"/>
          </w:tcPr>
          <w:p w14:paraId="747DEF43"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9</w:t>
            </w:r>
          </w:p>
        </w:tc>
        <w:tc>
          <w:tcPr>
            <w:tcW w:w="569" w:type="dxa"/>
            <w:tcBorders>
              <w:top w:val="single" w:sz="4" w:space="0" w:color="auto"/>
            </w:tcBorders>
            <w:shd w:val="clear" w:color="auto" w:fill="auto"/>
          </w:tcPr>
          <w:p w14:paraId="1E50C950"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10</w:t>
            </w:r>
          </w:p>
        </w:tc>
        <w:tc>
          <w:tcPr>
            <w:tcW w:w="569" w:type="dxa"/>
            <w:tcBorders>
              <w:top w:val="single" w:sz="4" w:space="0" w:color="auto"/>
            </w:tcBorders>
            <w:shd w:val="clear" w:color="auto" w:fill="auto"/>
          </w:tcPr>
          <w:p w14:paraId="1C47D22A"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11</w:t>
            </w:r>
          </w:p>
        </w:tc>
        <w:tc>
          <w:tcPr>
            <w:tcW w:w="569" w:type="dxa"/>
            <w:tcBorders>
              <w:top w:val="single" w:sz="4" w:space="0" w:color="auto"/>
            </w:tcBorders>
            <w:shd w:val="clear" w:color="auto" w:fill="auto"/>
          </w:tcPr>
          <w:p w14:paraId="0A564F68"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12</w:t>
            </w:r>
          </w:p>
        </w:tc>
        <w:tc>
          <w:tcPr>
            <w:tcW w:w="569" w:type="dxa"/>
            <w:tcBorders>
              <w:top w:val="single" w:sz="4" w:space="0" w:color="auto"/>
              <w:right w:val="single" w:sz="4" w:space="0" w:color="auto"/>
            </w:tcBorders>
            <w:shd w:val="clear" w:color="auto" w:fill="auto"/>
          </w:tcPr>
          <w:p w14:paraId="2C30FA76" w14:textId="77777777" w:rsidR="00E9420D" w:rsidRPr="00CA657A" w:rsidRDefault="00E9420D" w:rsidP="00131932">
            <w:pPr>
              <w:keepNext/>
              <w:keepLines/>
              <w:spacing w:after="0"/>
              <w:jc w:val="center"/>
              <w:rPr>
                <w:rFonts w:ascii="Arial" w:eastAsia="Batang" w:hAnsi="Arial"/>
                <w:b/>
                <w:sz w:val="18"/>
              </w:rPr>
            </w:pPr>
            <w:r w:rsidRPr="00CA657A">
              <w:rPr>
                <w:rFonts w:ascii="Arial" w:eastAsia="Batang" w:hAnsi="Arial"/>
                <w:b/>
                <w:sz w:val="18"/>
              </w:rPr>
              <w:t>13</w:t>
            </w:r>
          </w:p>
        </w:tc>
      </w:tr>
      <w:tr w:rsidR="00E9420D" w:rsidRPr="00CA657A" w14:paraId="55412D8D" w14:textId="77777777" w:rsidTr="00131932">
        <w:trPr>
          <w:jc w:val="center"/>
        </w:trPr>
        <w:tc>
          <w:tcPr>
            <w:tcW w:w="1101" w:type="dxa"/>
            <w:shd w:val="clear" w:color="auto" w:fill="auto"/>
          </w:tcPr>
          <w:p w14:paraId="5B2B6951"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56</w:t>
            </w:r>
          </w:p>
        </w:tc>
        <w:tc>
          <w:tcPr>
            <w:tcW w:w="713" w:type="dxa"/>
            <w:shd w:val="clear" w:color="auto" w:fill="auto"/>
            <w:vAlign w:val="bottom"/>
          </w:tcPr>
          <w:p w14:paraId="2B743419"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23FF7D99"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1B821A3F"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6935972F"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47F5DE09"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3E53D1B1"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30A045A6"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0F9CBCB0"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0AFF5514"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006F8908"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51E8A430"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64EFACB0"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59C0CCC7"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tcBorders>
              <w:right w:val="single" w:sz="4" w:space="0" w:color="auto"/>
            </w:tcBorders>
            <w:shd w:val="clear" w:color="auto" w:fill="auto"/>
            <w:vAlign w:val="bottom"/>
          </w:tcPr>
          <w:p w14:paraId="547CDD43"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r>
      <w:tr w:rsidR="00E9420D" w:rsidRPr="00CA657A" w14:paraId="70B3F897" w14:textId="77777777" w:rsidTr="00131932">
        <w:trPr>
          <w:jc w:val="center"/>
        </w:trPr>
        <w:tc>
          <w:tcPr>
            <w:tcW w:w="1101" w:type="dxa"/>
            <w:shd w:val="clear" w:color="auto" w:fill="auto"/>
          </w:tcPr>
          <w:p w14:paraId="407D6EBD"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57</w:t>
            </w:r>
          </w:p>
        </w:tc>
        <w:tc>
          <w:tcPr>
            <w:tcW w:w="713" w:type="dxa"/>
            <w:shd w:val="clear" w:color="auto" w:fill="auto"/>
            <w:vAlign w:val="bottom"/>
          </w:tcPr>
          <w:p w14:paraId="270E0D72"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61269E83"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219BE81A"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7523DF1F"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7C339282"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618874F1"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4AFB3B29"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2319662B"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20714408"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344BBA87"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583F9BCB"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1B4890EB"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49EC368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5F3B002"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r>
      <w:tr w:rsidR="00E9420D" w:rsidRPr="00CA657A" w14:paraId="1F0190C4" w14:textId="77777777" w:rsidTr="00131932">
        <w:trPr>
          <w:jc w:val="center"/>
        </w:trPr>
        <w:tc>
          <w:tcPr>
            <w:tcW w:w="1101" w:type="dxa"/>
            <w:shd w:val="clear" w:color="auto" w:fill="auto"/>
          </w:tcPr>
          <w:p w14:paraId="4354BE14"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58</w:t>
            </w:r>
          </w:p>
        </w:tc>
        <w:tc>
          <w:tcPr>
            <w:tcW w:w="713" w:type="dxa"/>
            <w:shd w:val="clear" w:color="auto" w:fill="auto"/>
            <w:vAlign w:val="bottom"/>
          </w:tcPr>
          <w:p w14:paraId="250CDD9C"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799E6310"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4C4B6242"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03056B27"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01EC5D3C"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63C184C3"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120F25FF"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6A316ED1"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05753733"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7CD348E2"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50A0107E"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27A59E7F"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7BE371F"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7555096"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r>
      <w:tr w:rsidR="00E9420D" w:rsidRPr="00CA657A" w14:paraId="1DE13068" w14:textId="77777777" w:rsidTr="00131932">
        <w:trPr>
          <w:jc w:val="center"/>
        </w:trPr>
        <w:tc>
          <w:tcPr>
            <w:tcW w:w="1101" w:type="dxa"/>
            <w:shd w:val="clear" w:color="auto" w:fill="auto"/>
          </w:tcPr>
          <w:p w14:paraId="1A1B75DD"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59</w:t>
            </w:r>
          </w:p>
        </w:tc>
        <w:tc>
          <w:tcPr>
            <w:tcW w:w="713" w:type="dxa"/>
            <w:shd w:val="clear" w:color="auto" w:fill="auto"/>
            <w:vAlign w:val="bottom"/>
          </w:tcPr>
          <w:p w14:paraId="2A855DC7"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596B6180"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07884CE9"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12FB3F38"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4BB50024"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79D332C7"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364FE3FF"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31EA7019"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09DB4D58"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3D32EFC7"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662571B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4588842C"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1436E25"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2E532F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r>
      <w:tr w:rsidR="00E9420D" w:rsidRPr="00CA657A" w14:paraId="7903C306" w14:textId="77777777" w:rsidTr="00131932">
        <w:trPr>
          <w:jc w:val="center"/>
        </w:trPr>
        <w:tc>
          <w:tcPr>
            <w:tcW w:w="1101" w:type="dxa"/>
            <w:shd w:val="clear" w:color="auto" w:fill="auto"/>
          </w:tcPr>
          <w:p w14:paraId="630AD73A"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60</w:t>
            </w:r>
          </w:p>
        </w:tc>
        <w:tc>
          <w:tcPr>
            <w:tcW w:w="713" w:type="dxa"/>
            <w:shd w:val="clear" w:color="auto" w:fill="auto"/>
            <w:vAlign w:val="bottom"/>
          </w:tcPr>
          <w:p w14:paraId="31EFB6EB"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54492FF5"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16C1BB00"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212F9F2E"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3AFA79AF"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361AFD7A"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447AEF10"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3B320610"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091F7812"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174DFF5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64A6ECD"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089640D"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1CFF555"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203709C"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r>
      <w:tr w:rsidR="00E9420D" w:rsidRPr="00CA657A" w14:paraId="728D6150" w14:textId="77777777" w:rsidTr="00131932">
        <w:trPr>
          <w:jc w:val="center"/>
        </w:trPr>
        <w:tc>
          <w:tcPr>
            <w:tcW w:w="1101" w:type="dxa"/>
            <w:shd w:val="clear" w:color="auto" w:fill="auto"/>
          </w:tcPr>
          <w:p w14:paraId="205DB06C"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61</w:t>
            </w:r>
          </w:p>
        </w:tc>
        <w:tc>
          <w:tcPr>
            <w:tcW w:w="713" w:type="dxa"/>
            <w:shd w:val="clear" w:color="auto" w:fill="auto"/>
            <w:vAlign w:val="bottom"/>
          </w:tcPr>
          <w:p w14:paraId="4545E0CC"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24CDC97A"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05B71F39"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5D356F46"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65FAB8A7"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5E8AD1E8"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0EA3990F"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35339DE1"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183C9AE1"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680E70EB"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D0ED6A5"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D4D214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63036B0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52CCBA6"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r>
      <w:tr w:rsidR="00E9420D" w:rsidRPr="00CA657A" w14:paraId="6621ED5F" w14:textId="77777777" w:rsidTr="00131932">
        <w:trPr>
          <w:jc w:val="center"/>
        </w:trPr>
        <w:tc>
          <w:tcPr>
            <w:tcW w:w="1101" w:type="dxa"/>
            <w:shd w:val="clear" w:color="auto" w:fill="auto"/>
          </w:tcPr>
          <w:p w14:paraId="34DB3B3D"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62</w:t>
            </w:r>
          </w:p>
        </w:tc>
        <w:tc>
          <w:tcPr>
            <w:tcW w:w="713" w:type="dxa"/>
            <w:shd w:val="clear" w:color="auto" w:fill="auto"/>
            <w:vAlign w:val="bottom"/>
          </w:tcPr>
          <w:p w14:paraId="597C72B1"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1648E0D9"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04E69191"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1C6B2C03"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56843BBE"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29F4BAE5"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2CB2B8FC"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5F6F748F"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51D78A0F"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54D841C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7616C4F"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F84B877"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61A575AF"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3A0AD37"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r>
      <w:tr w:rsidR="00E9420D" w:rsidRPr="00CA657A" w14:paraId="12FBBE8C" w14:textId="77777777" w:rsidTr="00131932">
        <w:trPr>
          <w:jc w:val="center"/>
        </w:trPr>
        <w:tc>
          <w:tcPr>
            <w:tcW w:w="1101" w:type="dxa"/>
            <w:shd w:val="clear" w:color="auto" w:fill="auto"/>
          </w:tcPr>
          <w:p w14:paraId="3E9C3FE9"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63</w:t>
            </w:r>
          </w:p>
        </w:tc>
        <w:tc>
          <w:tcPr>
            <w:tcW w:w="713" w:type="dxa"/>
            <w:shd w:val="clear" w:color="auto" w:fill="auto"/>
            <w:vAlign w:val="bottom"/>
          </w:tcPr>
          <w:p w14:paraId="0B4CA4CA"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165A9661"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2C47B52C"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55FE19B9"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102DA5A7"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4238AA2B"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12E51DCC"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AB4DD5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79C68B1"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668FB3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54790C5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42DB76B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8672AA4"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8DBCAB1"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r>
      <w:tr w:rsidR="00E9420D" w:rsidRPr="00CA657A" w14:paraId="3448C368" w14:textId="77777777" w:rsidTr="00131932">
        <w:trPr>
          <w:jc w:val="center"/>
        </w:trPr>
        <w:tc>
          <w:tcPr>
            <w:tcW w:w="1101" w:type="dxa"/>
            <w:shd w:val="clear" w:color="auto" w:fill="auto"/>
          </w:tcPr>
          <w:p w14:paraId="5EC9B6F5"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64</w:t>
            </w:r>
          </w:p>
        </w:tc>
        <w:tc>
          <w:tcPr>
            <w:tcW w:w="713" w:type="dxa"/>
            <w:shd w:val="clear" w:color="auto" w:fill="auto"/>
            <w:vAlign w:val="bottom"/>
          </w:tcPr>
          <w:p w14:paraId="7B7CB462"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7A211C91"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6351E860"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584C94E6"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0CF91639"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4AD633F1"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69376FA"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24800C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F53AA3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7B5CF7B"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4E570CF"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612587D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7D950B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66FA883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r>
      <w:tr w:rsidR="00E9420D" w:rsidRPr="00CA657A" w14:paraId="5ED71587" w14:textId="77777777" w:rsidTr="00131932">
        <w:trPr>
          <w:jc w:val="center"/>
        </w:trPr>
        <w:tc>
          <w:tcPr>
            <w:tcW w:w="1101" w:type="dxa"/>
            <w:shd w:val="clear" w:color="auto" w:fill="auto"/>
          </w:tcPr>
          <w:p w14:paraId="667D384F"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65</w:t>
            </w:r>
          </w:p>
        </w:tc>
        <w:tc>
          <w:tcPr>
            <w:tcW w:w="713" w:type="dxa"/>
            <w:shd w:val="clear" w:color="auto" w:fill="auto"/>
            <w:vAlign w:val="bottom"/>
          </w:tcPr>
          <w:p w14:paraId="6CE60C22"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506C6199"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68E8FE20"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4D69FFC5"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768602DA"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E2860A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E11B3E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482E68D9"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77929D2"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E4620BA"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3624555"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C0A857B"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AAF6A9F"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69A0C5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r>
      <w:tr w:rsidR="00E9420D" w:rsidRPr="00CA657A" w14:paraId="305416F3" w14:textId="77777777" w:rsidTr="00131932">
        <w:trPr>
          <w:jc w:val="center"/>
        </w:trPr>
        <w:tc>
          <w:tcPr>
            <w:tcW w:w="1101" w:type="dxa"/>
            <w:shd w:val="clear" w:color="auto" w:fill="auto"/>
          </w:tcPr>
          <w:p w14:paraId="7C61CC48"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66</w:t>
            </w:r>
          </w:p>
        </w:tc>
        <w:tc>
          <w:tcPr>
            <w:tcW w:w="713" w:type="dxa"/>
            <w:shd w:val="clear" w:color="auto" w:fill="auto"/>
            <w:vAlign w:val="bottom"/>
          </w:tcPr>
          <w:p w14:paraId="4EE6EA1B"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0BAFE2B5"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7598E582"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05A9AF6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59BBC489"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36F90B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A107BC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5684D7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D70AA7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56488812"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7990982"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50E9A72"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C47AF34"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51922A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r>
      <w:tr w:rsidR="00E9420D" w:rsidRPr="00CA657A" w14:paraId="4A5FDB00" w14:textId="77777777" w:rsidTr="00131932">
        <w:trPr>
          <w:jc w:val="center"/>
        </w:trPr>
        <w:tc>
          <w:tcPr>
            <w:tcW w:w="1101" w:type="dxa"/>
            <w:shd w:val="clear" w:color="auto" w:fill="auto"/>
          </w:tcPr>
          <w:p w14:paraId="2501226C"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67</w:t>
            </w:r>
          </w:p>
        </w:tc>
        <w:tc>
          <w:tcPr>
            <w:tcW w:w="713" w:type="dxa"/>
            <w:shd w:val="clear" w:color="auto" w:fill="auto"/>
            <w:vAlign w:val="bottom"/>
          </w:tcPr>
          <w:p w14:paraId="37926147"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05AAA4AF"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7E7C706A"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6F17E1C"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97FA55A"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0F75BD7"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C8B218C"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092B48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7256402"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07A71F3"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64724D3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009444C"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4E8DE11D"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401F6A5"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r>
      <w:tr w:rsidR="00E9420D" w:rsidRPr="00CA657A" w14:paraId="7C0AD98A" w14:textId="77777777" w:rsidTr="00131932">
        <w:trPr>
          <w:jc w:val="center"/>
        </w:trPr>
        <w:tc>
          <w:tcPr>
            <w:tcW w:w="1101" w:type="dxa"/>
            <w:shd w:val="clear" w:color="auto" w:fill="auto"/>
          </w:tcPr>
          <w:p w14:paraId="5A617EA4"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68</w:t>
            </w:r>
          </w:p>
        </w:tc>
        <w:tc>
          <w:tcPr>
            <w:tcW w:w="713" w:type="dxa"/>
            <w:shd w:val="clear" w:color="auto" w:fill="auto"/>
            <w:vAlign w:val="bottom"/>
          </w:tcPr>
          <w:p w14:paraId="69444C24"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7C29F6DD"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71" w:type="dxa"/>
            <w:shd w:val="clear" w:color="auto" w:fill="auto"/>
            <w:vAlign w:val="bottom"/>
          </w:tcPr>
          <w:p w14:paraId="70F06ACD"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523E37AD"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7EAD5C5"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4717ABF3"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22C6AC2"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D087A61"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94BB647"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89C8FDF"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9481BD5"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E60683B"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538BA5E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F697719"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r>
      <w:tr w:rsidR="00E9420D" w:rsidRPr="00CA657A" w14:paraId="727F3BB8" w14:textId="77777777" w:rsidTr="00131932">
        <w:trPr>
          <w:jc w:val="center"/>
        </w:trPr>
        <w:tc>
          <w:tcPr>
            <w:tcW w:w="1101" w:type="dxa"/>
            <w:shd w:val="clear" w:color="auto" w:fill="auto"/>
          </w:tcPr>
          <w:p w14:paraId="47486CB5"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69</w:t>
            </w:r>
          </w:p>
        </w:tc>
        <w:tc>
          <w:tcPr>
            <w:tcW w:w="713" w:type="dxa"/>
            <w:shd w:val="clear" w:color="auto" w:fill="auto"/>
            <w:vAlign w:val="bottom"/>
          </w:tcPr>
          <w:p w14:paraId="407F330C"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6AD61E49"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71" w:type="dxa"/>
            <w:shd w:val="clear" w:color="auto" w:fill="auto"/>
            <w:vAlign w:val="bottom"/>
          </w:tcPr>
          <w:p w14:paraId="3354C8F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56AD60C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54657D1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547DB9CB"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64D8F0A"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8755ADC"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692B76DF"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437C37C1"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F73D2CA"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696A438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CADA26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C3D30A0" w14:textId="77777777" w:rsidR="00E9420D" w:rsidRPr="00CA657A" w:rsidRDefault="00E9420D" w:rsidP="00131932">
            <w:pPr>
              <w:keepNext/>
              <w:keepLines/>
              <w:spacing w:after="0"/>
              <w:jc w:val="center"/>
              <w:rPr>
                <w:rFonts w:ascii="Arial" w:eastAsia="Batang" w:hAnsi="Arial"/>
                <w:sz w:val="18"/>
              </w:rPr>
            </w:pPr>
            <w:r w:rsidRPr="00A740E9">
              <w:rPr>
                <w:color w:val="000000"/>
              </w:rPr>
              <w:t>D</w:t>
            </w:r>
          </w:p>
        </w:tc>
      </w:tr>
      <w:tr w:rsidR="00E9420D" w:rsidRPr="00CA657A" w14:paraId="196AD486" w14:textId="77777777" w:rsidTr="00131932">
        <w:trPr>
          <w:jc w:val="center"/>
        </w:trPr>
        <w:tc>
          <w:tcPr>
            <w:tcW w:w="1101" w:type="dxa"/>
            <w:shd w:val="clear" w:color="auto" w:fill="auto"/>
          </w:tcPr>
          <w:p w14:paraId="1622FAA2"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70</w:t>
            </w:r>
          </w:p>
        </w:tc>
        <w:tc>
          <w:tcPr>
            <w:tcW w:w="713" w:type="dxa"/>
            <w:shd w:val="clear" w:color="auto" w:fill="auto"/>
            <w:vAlign w:val="bottom"/>
          </w:tcPr>
          <w:p w14:paraId="56F5C4D5"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2D8D111F"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17D6A1C3"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00884F7"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1E1CA61"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4E1DAC2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63612D01"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20866F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763D9C4"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CA61696"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5ABD3EEC"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923DA0C"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5F70D0E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60C1ABF" w14:textId="77777777" w:rsidR="00E9420D" w:rsidRPr="00CA657A" w:rsidRDefault="00E9420D" w:rsidP="00131932">
            <w:pPr>
              <w:keepNext/>
              <w:keepLines/>
              <w:spacing w:after="0"/>
              <w:jc w:val="center"/>
              <w:rPr>
                <w:rFonts w:ascii="Arial" w:eastAsia="Batang" w:hAnsi="Arial"/>
                <w:sz w:val="18"/>
              </w:rPr>
            </w:pPr>
            <w:r w:rsidRPr="00A740E9">
              <w:rPr>
                <w:color w:val="000000"/>
              </w:rPr>
              <w:t>D</w:t>
            </w:r>
          </w:p>
        </w:tc>
      </w:tr>
      <w:tr w:rsidR="00E9420D" w:rsidRPr="00CA657A" w14:paraId="291960CA" w14:textId="77777777" w:rsidTr="00131932">
        <w:trPr>
          <w:jc w:val="center"/>
        </w:trPr>
        <w:tc>
          <w:tcPr>
            <w:tcW w:w="1101" w:type="dxa"/>
            <w:shd w:val="clear" w:color="auto" w:fill="auto"/>
          </w:tcPr>
          <w:p w14:paraId="3267E8EE"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7</w:t>
            </w:r>
            <w:r w:rsidRPr="00CA657A">
              <w:rPr>
                <w:rFonts w:ascii="Arial" w:eastAsia="Batang" w:hAnsi="Arial"/>
                <w:sz w:val="18"/>
              </w:rPr>
              <w:t>1</w:t>
            </w:r>
          </w:p>
        </w:tc>
        <w:tc>
          <w:tcPr>
            <w:tcW w:w="713" w:type="dxa"/>
            <w:shd w:val="clear" w:color="auto" w:fill="auto"/>
            <w:vAlign w:val="bottom"/>
          </w:tcPr>
          <w:p w14:paraId="575FBA8A"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0E84364C"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0123C63F"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5479210C"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45F5B21C"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DBEBEED"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9AF736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AE9E54A"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A0E49A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12CA2F4"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87413EC"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82D4829"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C361773"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622E6659" w14:textId="77777777" w:rsidR="00E9420D" w:rsidRPr="00CA657A" w:rsidRDefault="00E9420D" w:rsidP="00131932">
            <w:pPr>
              <w:keepNext/>
              <w:keepLines/>
              <w:spacing w:after="0"/>
              <w:jc w:val="center"/>
              <w:rPr>
                <w:rFonts w:ascii="Arial" w:eastAsia="Batang" w:hAnsi="Arial"/>
                <w:sz w:val="18"/>
              </w:rPr>
            </w:pPr>
            <w:r w:rsidRPr="00A740E9">
              <w:rPr>
                <w:color w:val="000000"/>
              </w:rPr>
              <w:t>D</w:t>
            </w:r>
          </w:p>
        </w:tc>
      </w:tr>
      <w:tr w:rsidR="00E9420D" w:rsidRPr="00CA657A" w14:paraId="24A81EF2" w14:textId="77777777" w:rsidTr="00131932">
        <w:trPr>
          <w:jc w:val="center"/>
        </w:trPr>
        <w:tc>
          <w:tcPr>
            <w:tcW w:w="1101" w:type="dxa"/>
            <w:shd w:val="clear" w:color="auto" w:fill="auto"/>
          </w:tcPr>
          <w:p w14:paraId="4DA2F3E8"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72</w:t>
            </w:r>
          </w:p>
        </w:tc>
        <w:tc>
          <w:tcPr>
            <w:tcW w:w="713" w:type="dxa"/>
            <w:shd w:val="clear" w:color="auto" w:fill="auto"/>
            <w:vAlign w:val="bottom"/>
          </w:tcPr>
          <w:p w14:paraId="7F73F2E7"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1E3A9024"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71" w:type="dxa"/>
            <w:shd w:val="clear" w:color="auto" w:fill="auto"/>
            <w:vAlign w:val="bottom"/>
          </w:tcPr>
          <w:p w14:paraId="47B8713F"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9DD5242"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AA975B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2148DE6"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994636F"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CB7599D"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40F5B00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C6EEE23"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6B27647"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770592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C194BCB" w14:textId="77777777" w:rsidR="00E9420D" w:rsidRPr="00CA657A" w:rsidRDefault="00E9420D" w:rsidP="00131932">
            <w:pPr>
              <w:keepNext/>
              <w:keepLines/>
              <w:spacing w:after="0"/>
              <w:jc w:val="center"/>
              <w:rPr>
                <w:rFonts w:ascii="Arial" w:eastAsia="Batang" w:hAnsi="Arial"/>
                <w:sz w:val="18"/>
              </w:rPr>
            </w:pPr>
            <w:r w:rsidRPr="00A740E9">
              <w:rPr>
                <w:color w:val="000000"/>
              </w:rPr>
              <w:t>D</w:t>
            </w:r>
          </w:p>
        </w:tc>
        <w:tc>
          <w:tcPr>
            <w:tcW w:w="569" w:type="dxa"/>
            <w:shd w:val="clear" w:color="auto" w:fill="auto"/>
            <w:vAlign w:val="bottom"/>
          </w:tcPr>
          <w:p w14:paraId="617D72C0" w14:textId="77777777" w:rsidR="00E9420D" w:rsidRPr="00CA657A" w:rsidRDefault="00E9420D" w:rsidP="00131932">
            <w:pPr>
              <w:keepNext/>
              <w:keepLines/>
              <w:spacing w:after="0"/>
              <w:jc w:val="center"/>
              <w:rPr>
                <w:rFonts w:ascii="Arial" w:eastAsia="Batang" w:hAnsi="Arial"/>
                <w:sz w:val="18"/>
              </w:rPr>
            </w:pPr>
            <w:r w:rsidRPr="00A740E9">
              <w:rPr>
                <w:color w:val="000000"/>
              </w:rPr>
              <w:t>D</w:t>
            </w:r>
          </w:p>
        </w:tc>
      </w:tr>
      <w:tr w:rsidR="00E9420D" w:rsidRPr="00CA657A" w14:paraId="0CA9967A" w14:textId="77777777" w:rsidTr="00131932">
        <w:trPr>
          <w:jc w:val="center"/>
        </w:trPr>
        <w:tc>
          <w:tcPr>
            <w:tcW w:w="1101" w:type="dxa"/>
            <w:shd w:val="clear" w:color="auto" w:fill="auto"/>
          </w:tcPr>
          <w:p w14:paraId="60B7F2AB"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73</w:t>
            </w:r>
          </w:p>
        </w:tc>
        <w:tc>
          <w:tcPr>
            <w:tcW w:w="713" w:type="dxa"/>
            <w:shd w:val="clear" w:color="auto" w:fill="auto"/>
            <w:vAlign w:val="bottom"/>
          </w:tcPr>
          <w:p w14:paraId="0BE57246"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7C5DAD56"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30CFA824"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9723623"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D939404"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41A212E1"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1BB08C6"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F4C4EE5"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D7BA586"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B89D9AC"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2708D13"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62E0F9D3"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6BDD1174" w14:textId="77777777" w:rsidR="00E9420D" w:rsidRPr="00CA657A" w:rsidRDefault="00E9420D" w:rsidP="00131932">
            <w:pPr>
              <w:keepNext/>
              <w:keepLines/>
              <w:spacing w:after="0"/>
              <w:jc w:val="center"/>
              <w:rPr>
                <w:rFonts w:ascii="Arial" w:eastAsia="Batang" w:hAnsi="Arial"/>
                <w:sz w:val="18"/>
              </w:rPr>
            </w:pPr>
            <w:r w:rsidRPr="00A740E9">
              <w:rPr>
                <w:color w:val="000000"/>
              </w:rPr>
              <w:t>D</w:t>
            </w:r>
          </w:p>
        </w:tc>
        <w:tc>
          <w:tcPr>
            <w:tcW w:w="569" w:type="dxa"/>
            <w:shd w:val="clear" w:color="auto" w:fill="auto"/>
            <w:vAlign w:val="bottom"/>
          </w:tcPr>
          <w:p w14:paraId="1AF38E5F" w14:textId="77777777" w:rsidR="00E9420D" w:rsidRPr="00CA657A" w:rsidRDefault="00E9420D" w:rsidP="00131932">
            <w:pPr>
              <w:keepNext/>
              <w:keepLines/>
              <w:spacing w:after="0"/>
              <w:jc w:val="center"/>
              <w:rPr>
                <w:rFonts w:ascii="Arial" w:eastAsia="Batang" w:hAnsi="Arial"/>
                <w:sz w:val="18"/>
              </w:rPr>
            </w:pPr>
            <w:r w:rsidRPr="00A740E9">
              <w:rPr>
                <w:color w:val="000000"/>
              </w:rPr>
              <w:t>D</w:t>
            </w:r>
          </w:p>
        </w:tc>
      </w:tr>
      <w:tr w:rsidR="00E9420D" w:rsidRPr="00CA657A" w14:paraId="4F5260A2" w14:textId="77777777" w:rsidTr="00131932">
        <w:trPr>
          <w:jc w:val="center"/>
        </w:trPr>
        <w:tc>
          <w:tcPr>
            <w:tcW w:w="1101" w:type="dxa"/>
            <w:shd w:val="clear" w:color="auto" w:fill="auto"/>
          </w:tcPr>
          <w:p w14:paraId="60FE7021"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74</w:t>
            </w:r>
          </w:p>
        </w:tc>
        <w:tc>
          <w:tcPr>
            <w:tcW w:w="713" w:type="dxa"/>
            <w:shd w:val="clear" w:color="auto" w:fill="auto"/>
            <w:vAlign w:val="bottom"/>
          </w:tcPr>
          <w:p w14:paraId="1C208977"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27466E27"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53FC926D"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69" w:type="dxa"/>
            <w:shd w:val="clear" w:color="auto" w:fill="auto"/>
            <w:vAlign w:val="bottom"/>
          </w:tcPr>
          <w:p w14:paraId="1B8A4BA6"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384CFEF"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929D93E"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57FFC1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69F5B1CD"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1B2E3F6"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6E009B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2BE197E9"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88D84BD"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829F7E4" w14:textId="77777777" w:rsidR="00E9420D" w:rsidRPr="00CA657A" w:rsidRDefault="00E9420D" w:rsidP="00131932">
            <w:pPr>
              <w:keepNext/>
              <w:keepLines/>
              <w:spacing w:after="0"/>
              <w:jc w:val="center"/>
              <w:rPr>
                <w:rFonts w:ascii="Arial" w:eastAsia="Batang" w:hAnsi="Arial"/>
                <w:sz w:val="18"/>
              </w:rPr>
            </w:pPr>
            <w:r w:rsidRPr="00A740E9">
              <w:rPr>
                <w:color w:val="000000"/>
              </w:rPr>
              <w:t>D</w:t>
            </w:r>
          </w:p>
        </w:tc>
        <w:tc>
          <w:tcPr>
            <w:tcW w:w="569" w:type="dxa"/>
            <w:shd w:val="clear" w:color="auto" w:fill="auto"/>
            <w:vAlign w:val="bottom"/>
          </w:tcPr>
          <w:p w14:paraId="3D17A644" w14:textId="77777777" w:rsidR="00E9420D" w:rsidRPr="00CA657A" w:rsidRDefault="00E9420D" w:rsidP="00131932">
            <w:pPr>
              <w:keepNext/>
              <w:keepLines/>
              <w:spacing w:after="0"/>
              <w:jc w:val="center"/>
              <w:rPr>
                <w:rFonts w:ascii="Arial" w:eastAsia="Batang" w:hAnsi="Arial"/>
                <w:sz w:val="18"/>
              </w:rPr>
            </w:pPr>
            <w:r w:rsidRPr="00A740E9">
              <w:rPr>
                <w:color w:val="000000"/>
              </w:rPr>
              <w:t>D</w:t>
            </w:r>
          </w:p>
        </w:tc>
      </w:tr>
      <w:tr w:rsidR="00E9420D" w:rsidRPr="00CA657A" w14:paraId="0B581CEB" w14:textId="77777777" w:rsidTr="00131932">
        <w:trPr>
          <w:jc w:val="center"/>
        </w:trPr>
        <w:tc>
          <w:tcPr>
            <w:tcW w:w="1101" w:type="dxa"/>
            <w:shd w:val="clear" w:color="auto" w:fill="auto"/>
          </w:tcPr>
          <w:p w14:paraId="26521034" w14:textId="77777777" w:rsidR="00E9420D" w:rsidRPr="00CA657A" w:rsidRDefault="00E9420D" w:rsidP="00131932">
            <w:pPr>
              <w:keepNext/>
              <w:keepLines/>
              <w:spacing w:after="0"/>
              <w:jc w:val="center"/>
              <w:rPr>
                <w:rFonts w:ascii="Arial" w:eastAsia="Batang" w:hAnsi="Arial"/>
                <w:sz w:val="18"/>
              </w:rPr>
            </w:pPr>
            <w:r>
              <w:rPr>
                <w:rFonts w:ascii="Arial" w:eastAsia="Batang" w:hAnsi="Arial"/>
                <w:sz w:val="18"/>
              </w:rPr>
              <w:t>75</w:t>
            </w:r>
          </w:p>
        </w:tc>
        <w:tc>
          <w:tcPr>
            <w:tcW w:w="713" w:type="dxa"/>
            <w:shd w:val="clear" w:color="auto" w:fill="auto"/>
            <w:vAlign w:val="bottom"/>
          </w:tcPr>
          <w:p w14:paraId="35445D34" w14:textId="77777777" w:rsidR="00E9420D" w:rsidRPr="00CA657A" w:rsidRDefault="00E9420D" w:rsidP="00131932">
            <w:pPr>
              <w:keepNext/>
              <w:keepLines/>
              <w:spacing w:after="0"/>
              <w:jc w:val="center"/>
              <w:rPr>
                <w:rFonts w:ascii="Arial" w:eastAsia="Batang" w:hAnsi="Arial"/>
                <w:sz w:val="18"/>
              </w:rPr>
            </w:pPr>
            <w:r w:rsidRPr="00A740E9">
              <w:rPr>
                <w:color w:val="000000"/>
              </w:rPr>
              <w:t>U</w:t>
            </w:r>
          </w:p>
        </w:tc>
        <w:tc>
          <w:tcPr>
            <w:tcW w:w="571" w:type="dxa"/>
            <w:shd w:val="clear" w:color="auto" w:fill="auto"/>
            <w:vAlign w:val="bottom"/>
          </w:tcPr>
          <w:p w14:paraId="1AB86437"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71" w:type="dxa"/>
            <w:shd w:val="clear" w:color="auto" w:fill="auto"/>
            <w:vAlign w:val="bottom"/>
          </w:tcPr>
          <w:p w14:paraId="2EE9610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4A3C3B95"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3C6AE81"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821498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300DAE02"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7D95BF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08A9F963"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7BD0F898"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1ADDD0D0" w14:textId="77777777" w:rsidR="00E9420D" w:rsidRPr="00CA657A" w:rsidRDefault="00E9420D" w:rsidP="00131932">
            <w:pPr>
              <w:keepNext/>
              <w:keepLines/>
              <w:spacing w:after="0"/>
              <w:jc w:val="center"/>
              <w:rPr>
                <w:rFonts w:ascii="Arial" w:eastAsia="Batang" w:hAnsi="Arial"/>
                <w:sz w:val="18"/>
              </w:rPr>
            </w:pPr>
            <w:r w:rsidRPr="00A740E9">
              <w:rPr>
                <w:color w:val="000000"/>
              </w:rPr>
              <w:t>F</w:t>
            </w:r>
          </w:p>
        </w:tc>
        <w:tc>
          <w:tcPr>
            <w:tcW w:w="569" w:type="dxa"/>
            <w:shd w:val="clear" w:color="auto" w:fill="auto"/>
            <w:vAlign w:val="bottom"/>
          </w:tcPr>
          <w:p w14:paraId="4AA07D20" w14:textId="77777777" w:rsidR="00E9420D" w:rsidRPr="00CA657A" w:rsidRDefault="00E9420D" w:rsidP="00131932">
            <w:pPr>
              <w:keepNext/>
              <w:keepLines/>
              <w:spacing w:after="0"/>
              <w:jc w:val="center"/>
              <w:rPr>
                <w:rFonts w:ascii="Arial" w:eastAsia="Batang" w:hAnsi="Arial"/>
                <w:sz w:val="18"/>
              </w:rPr>
            </w:pPr>
            <w:r w:rsidRPr="00A740E9">
              <w:rPr>
                <w:color w:val="000000"/>
              </w:rPr>
              <w:t>D</w:t>
            </w:r>
          </w:p>
        </w:tc>
        <w:tc>
          <w:tcPr>
            <w:tcW w:w="569" w:type="dxa"/>
            <w:shd w:val="clear" w:color="auto" w:fill="auto"/>
            <w:vAlign w:val="bottom"/>
          </w:tcPr>
          <w:p w14:paraId="09ED0BFF" w14:textId="77777777" w:rsidR="00E9420D" w:rsidRPr="00CA657A" w:rsidRDefault="00E9420D" w:rsidP="00131932">
            <w:pPr>
              <w:keepNext/>
              <w:keepLines/>
              <w:spacing w:after="0"/>
              <w:jc w:val="center"/>
              <w:rPr>
                <w:rFonts w:ascii="Arial" w:eastAsia="Batang" w:hAnsi="Arial"/>
                <w:sz w:val="18"/>
              </w:rPr>
            </w:pPr>
            <w:r w:rsidRPr="00A740E9">
              <w:rPr>
                <w:color w:val="000000"/>
              </w:rPr>
              <w:t>D</w:t>
            </w:r>
          </w:p>
        </w:tc>
        <w:tc>
          <w:tcPr>
            <w:tcW w:w="569" w:type="dxa"/>
            <w:shd w:val="clear" w:color="auto" w:fill="auto"/>
            <w:vAlign w:val="bottom"/>
          </w:tcPr>
          <w:p w14:paraId="65F1E12B" w14:textId="77777777" w:rsidR="00E9420D" w:rsidRPr="00CA657A" w:rsidRDefault="00E9420D" w:rsidP="00131932">
            <w:pPr>
              <w:keepNext/>
              <w:keepLines/>
              <w:spacing w:after="0"/>
              <w:jc w:val="center"/>
              <w:rPr>
                <w:rFonts w:ascii="Arial" w:eastAsia="Batang" w:hAnsi="Arial"/>
                <w:sz w:val="18"/>
              </w:rPr>
            </w:pPr>
            <w:r w:rsidRPr="00A740E9">
              <w:rPr>
                <w:color w:val="000000"/>
              </w:rPr>
              <w:t>D</w:t>
            </w:r>
          </w:p>
        </w:tc>
      </w:tr>
      <w:tr w:rsidR="00E9420D" w:rsidRPr="00CA657A" w14:paraId="086E84BA" w14:textId="77777777" w:rsidTr="00131932">
        <w:trPr>
          <w:jc w:val="center"/>
        </w:trPr>
        <w:tc>
          <w:tcPr>
            <w:tcW w:w="1101" w:type="dxa"/>
            <w:shd w:val="clear" w:color="auto" w:fill="auto"/>
          </w:tcPr>
          <w:p w14:paraId="4E5A253C" w14:textId="77777777" w:rsidR="00E9420D" w:rsidRDefault="00E9420D" w:rsidP="00131932">
            <w:pPr>
              <w:keepNext/>
              <w:keepLines/>
              <w:spacing w:after="0"/>
              <w:jc w:val="center"/>
              <w:rPr>
                <w:rFonts w:ascii="Arial" w:eastAsia="Batang" w:hAnsi="Arial"/>
                <w:sz w:val="18"/>
              </w:rPr>
            </w:pPr>
            <w:r>
              <w:rPr>
                <w:rFonts w:ascii="Arial" w:eastAsia="Batang" w:hAnsi="Arial"/>
                <w:sz w:val="18"/>
              </w:rPr>
              <w:t>76</w:t>
            </w:r>
          </w:p>
        </w:tc>
        <w:tc>
          <w:tcPr>
            <w:tcW w:w="713" w:type="dxa"/>
            <w:shd w:val="clear" w:color="auto" w:fill="auto"/>
            <w:vAlign w:val="bottom"/>
          </w:tcPr>
          <w:p w14:paraId="73533BAC"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5B251D42"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39E05CD8"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6F56AB93"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6B010FD3"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22C9015F"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14466CC3"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6CC720BF"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2E402A29"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6E9E3A96"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473A8893"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2B964173"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3E59AEA5"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118DCFED"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4DA82D6C" w14:textId="77777777" w:rsidTr="00131932">
        <w:trPr>
          <w:jc w:val="center"/>
        </w:trPr>
        <w:tc>
          <w:tcPr>
            <w:tcW w:w="1101" w:type="dxa"/>
            <w:shd w:val="clear" w:color="auto" w:fill="auto"/>
          </w:tcPr>
          <w:p w14:paraId="12E68DF1" w14:textId="77777777" w:rsidR="00E9420D" w:rsidRDefault="00E9420D" w:rsidP="00131932">
            <w:pPr>
              <w:keepNext/>
              <w:keepLines/>
              <w:spacing w:after="0"/>
              <w:jc w:val="center"/>
              <w:rPr>
                <w:rFonts w:ascii="Arial" w:eastAsia="Batang" w:hAnsi="Arial"/>
                <w:sz w:val="18"/>
              </w:rPr>
            </w:pPr>
            <w:r>
              <w:rPr>
                <w:rFonts w:ascii="Arial" w:eastAsia="Batang" w:hAnsi="Arial"/>
                <w:sz w:val="18"/>
              </w:rPr>
              <w:t>77</w:t>
            </w:r>
          </w:p>
        </w:tc>
        <w:tc>
          <w:tcPr>
            <w:tcW w:w="713" w:type="dxa"/>
            <w:shd w:val="clear" w:color="auto" w:fill="auto"/>
            <w:vAlign w:val="bottom"/>
          </w:tcPr>
          <w:p w14:paraId="31E01D22"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7DCA7F3C"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5C80117D"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382BC971"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02DBD683"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46C106A1"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76281A51"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7B867F5F"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71D159B8"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076BCB94"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4D6D9740"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00504BB8"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37580AD"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6DD6347A"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603B5E64" w14:textId="77777777" w:rsidTr="00131932">
        <w:trPr>
          <w:jc w:val="center"/>
        </w:trPr>
        <w:tc>
          <w:tcPr>
            <w:tcW w:w="1101" w:type="dxa"/>
            <w:shd w:val="clear" w:color="auto" w:fill="auto"/>
          </w:tcPr>
          <w:p w14:paraId="47E360E0" w14:textId="77777777" w:rsidR="00E9420D" w:rsidRDefault="00E9420D" w:rsidP="00131932">
            <w:pPr>
              <w:keepNext/>
              <w:keepLines/>
              <w:spacing w:after="0"/>
              <w:jc w:val="center"/>
              <w:rPr>
                <w:rFonts w:ascii="Arial" w:eastAsia="Batang" w:hAnsi="Arial"/>
                <w:sz w:val="18"/>
              </w:rPr>
            </w:pPr>
            <w:r>
              <w:rPr>
                <w:rFonts w:ascii="Arial" w:eastAsia="Batang" w:hAnsi="Arial"/>
                <w:sz w:val="18"/>
              </w:rPr>
              <w:t>78</w:t>
            </w:r>
          </w:p>
        </w:tc>
        <w:tc>
          <w:tcPr>
            <w:tcW w:w="713" w:type="dxa"/>
            <w:shd w:val="clear" w:color="auto" w:fill="auto"/>
            <w:vAlign w:val="bottom"/>
          </w:tcPr>
          <w:p w14:paraId="790846A4"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4D8AF68A"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6720FACD"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77426F2C"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4AAFEFFB"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5A9659E8"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5503FE6F"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1544CA69"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0B15C8B5"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5DC181D2"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39E4CB9"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4AF24393"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4B174D98"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5808AF56"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40BC3C5E" w14:textId="77777777" w:rsidTr="00131932">
        <w:trPr>
          <w:jc w:val="center"/>
        </w:trPr>
        <w:tc>
          <w:tcPr>
            <w:tcW w:w="1101" w:type="dxa"/>
            <w:shd w:val="clear" w:color="auto" w:fill="auto"/>
          </w:tcPr>
          <w:p w14:paraId="60A10E99" w14:textId="77777777" w:rsidR="00E9420D" w:rsidRDefault="00E9420D" w:rsidP="00131932">
            <w:pPr>
              <w:keepNext/>
              <w:keepLines/>
              <w:spacing w:after="0"/>
              <w:jc w:val="center"/>
              <w:rPr>
                <w:rFonts w:ascii="Arial" w:eastAsia="Batang" w:hAnsi="Arial"/>
                <w:sz w:val="18"/>
              </w:rPr>
            </w:pPr>
            <w:r>
              <w:rPr>
                <w:rFonts w:ascii="Arial" w:eastAsia="Batang" w:hAnsi="Arial"/>
                <w:sz w:val="18"/>
              </w:rPr>
              <w:t>79</w:t>
            </w:r>
          </w:p>
        </w:tc>
        <w:tc>
          <w:tcPr>
            <w:tcW w:w="713" w:type="dxa"/>
            <w:shd w:val="clear" w:color="auto" w:fill="auto"/>
            <w:vAlign w:val="bottom"/>
          </w:tcPr>
          <w:p w14:paraId="1DB9EF7B"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01250ABE"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0519D253"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4AA66F94"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E13534B"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766F4C9E"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26DB4AA7"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45CBA8E2"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311AB321"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856C856"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45072CB"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7D50B0A1"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1B951D5B"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4293F21E"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078392E8" w14:textId="77777777" w:rsidTr="00131932">
        <w:trPr>
          <w:jc w:val="center"/>
        </w:trPr>
        <w:tc>
          <w:tcPr>
            <w:tcW w:w="1101" w:type="dxa"/>
            <w:shd w:val="clear" w:color="auto" w:fill="auto"/>
          </w:tcPr>
          <w:p w14:paraId="1064C954" w14:textId="77777777" w:rsidR="00E9420D" w:rsidRDefault="00E9420D" w:rsidP="00131932">
            <w:pPr>
              <w:keepNext/>
              <w:keepLines/>
              <w:spacing w:after="0"/>
              <w:jc w:val="center"/>
              <w:rPr>
                <w:rFonts w:ascii="Arial" w:eastAsia="Batang" w:hAnsi="Arial"/>
                <w:sz w:val="18"/>
              </w:rPr>
            </w:pPr>
            <w:r>
              <w:rPr>
                <w:rFonts w:ascii="Arial" w:eastAsia="Batang" w:hAnsi="Arial"/>
                <w:sz w:val="18"/>
              </w:rPr>
              <w:t>80</w:t>
            </w:r>
          </w:p>
        </w:tc>
        <w:tc>
          <w:tcPr>
            <w:tcW w:w="713" w:type="dxa"/>
            <w:shd w:val="clear" w:color="auto" w:fill="auto"/>
            <w:vAlign w:val="bottom"/>
          </w:tcPr>
          <w:p w14:paraId="058C5391"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736E900E"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739953A2"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5C2A5314"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5EC20F63"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55D54319"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717BF2C4"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3B1D3D7E"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BCCE103"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2DE132EB"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336B1A8B"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2EE610AD"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4B1A8FF1"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5510FB3F"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08BB2410" w14:textId="77777777" w:rsidTr="00131932">
        <w:trPr>
          <w:jc w:val="center"/>
        </w:trPr>
        <w:tc>
          <w:tcPr>
            <w:tcW w:w="1101" w:type="dxa"/>
            <w:shd w:val="clear" w:color="auto" w:fill="auto"/>
          </w:tcPr>
          <w:p w14:paraId="5DA77ACA" w14:textId="77777777" w:rsidR="00E9420D" w:rsidRDefault="00E9420D" w:rsidP="00131932">
            <w:pPr>
              <w:keepNext/>
              <w:keepLines/>
              <w:spacing w:after="0"/>
              <w:jc w:val="center"/>
              <w:rPr>
                <w:rFonts w:ascii="Arial" w:eastAsia="Batang" w:hAnsi="Arial"/>
                <w:sz w:val="18"/>
              </w:rPr>
            </w:pPr>
            <w:r>
              <w:rPr>
                <w:rFonts w:ascii="Arial" w:eastAsia="Batang" w:hAnsi="Arial"/>
                <w:sz w:val="18"/>
              </w:rPr>
              <w:t>81</w:t>
            </w:r>
          </w:p>
        </w:tc>
        <w:tc>
          <w:tcPr>
            <w:tcW w:w="713" w:type="dxa"/>
            <w:shd w:val="clear" w:color="auto" w:fill="auto"/>
            <w:vAlign w:val="bottom"/>
          </w:tcPr>
          <w:p w14:paraId="7D1E6D2C"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134F305E"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5FFF3188"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5C1C0EC3"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3B6F3F4F"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35DC85D4"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806DE78"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A91943B"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DF09830"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420B53D6"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479C0FE2"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491A3475"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0D5B40CD"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00D1B937"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23B9872A" w14:textId="77777777" w:rsidTr="00131932">
        <w:trPr>
          <w:jc w:val="center"/>
        </w:trPr>
        <w:tc>
          <w:tcPr>
            <w:tcW w:w="1101" w:type="dxa"/>
            <w:shd w:val="clear" w:color="auto" w:fill="auto"/>
          </w:tcPr>
          <w:p w14:paraId="0E632C52" w14:textId="77777777" w:rsidR="00E9420D" w:rsidRDefault="00E9420D" w:rsidP="00131932">
            <w:pPr>
              <w:keepNext/>
              <w:keepLines/>
              <w:spacing w:after="0"/>
              <w:jc w:val="center"/>
              <w:rPr>
                <w:rFonts w:ascii="Arial" w:eastAsia="Batang" w:hAnsi="Arial"/>
                <w:sz w:val="18"/>
              </w:rPr>
            </w:pPr>
            <w:r>
              <w:rPr>
                <w:rFonts w:ascii="Arial" w:eastAsia="Batang" w:hAnsi="Arial"/>
                <w:sz w:val="18"/>
              </w:rPr>
              <w:t>82</w:t>
            </w:r>
          </w:p>
        </w:tc>
        <w:tc>
          <w:tcPr>
            <w:tcW w:w="713" w:type="dxa"/>
            <w:shd w:val="clear" w:color="auto" w:fill="auto"/>
            <w:vAlign w:val="bottom"/>
          </w:tcPr>
          <w:p w14:paraId="0DA7EEBE"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7E7E998B"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59D559A0"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8DC358D"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2FF47AC"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766D8F70"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424A27D"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C7A7757"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31412DF5"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2C8CD278"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3172FD7E"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23739195"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23A4CD8F"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046EA4EB"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6A9926DB" w14:textId="77777777" w:rsidTr="00131932">
        <w:trPr>
          <w:jc w:val="center"/>
        </w:trPr>
        <w:tc>
          <w:tcPr>
            <w:tcW w:w="1101" w:type="dxa"/>
            <w:shd w:val="clear" w:color="auto" w:fill="auto"/>
          </w:tcPr>
          <w:p w14:paraId="1F832E27" w14:textId="77777777" w:rsidR="00E9420D" w:rsidRDefault="00E9420D" w:rsidP="00131932">
            <w:pPr>
              <w:keepNext/>
              <w:keepLines/>
              <w:spacing w:after="0"/>
              <w:jc w:val="center"/>
              <w:rPr>
                <w:rFonts w:ascii="Arial" w:eastAsia="Batang" w:hAnsi="Arial"/>
                <w:sz w:val="18"/>
              </w:rPr>
            </w:pPr>
            <w:r>
              <w:rPr>
                <w:rFonts w:ascii="Arial" w:eastAsia="Batang" w:hAnsi="Arial"/>
                <w:sz w:val="18"/>
              </w:rPr>
              <w:t>83</w:t>
            </w:r>
          </w:p>
        </w:tc>
        <w:tc>
          <w:tcPr>
            <w:tcW w:w="713" w:type="dxa"/>
            <w:shd w:val="clear" w:color="auto" w:fill="auto"/>
            <w:vAlign w:val="bottom"/>
          </w:tcPr>
          <w:p w14:paraId="068E441F"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1AD80459"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6C2B8ED0"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5E12C283"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10BD0CA9"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3F9B668B"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47B9B059"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39AF159B"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0CDCBBE5"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0B20F8D7"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0AF70FDF"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4328A797"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09B233EF"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147F16C4"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636FFAB6" w14:textId="77777777" w:rsidTr="00131932">
        <w:trPr>
          <w:jc w:val="center"/>
        </w:trPr>
        <w:tc>
          <w:tcPr>
            <w:tcW w:w="1101" w:type="dxa"/>
            <w:shd w:val="clear" w:color="auto" w:fill="auto"/>
          </w:tcPr>
          <w:p w14:paraId="10748E9B" w14:textId="77777777" w:rsidR="00E9420D" w:rsidRDefault="00E9420D" w:rsidP="00131932">
            <w:pPr>
              <w:keepNext/>
              <w:keepLines/>
              <w:spacing w:after="0"/>
              <w:jc w:val="center"/>
              <w:rPr>
                <w:rFonts w:ascii="Arial" w:eastAsia="Batang" w:hAnsi="Arial"/>
                <w:sz w:val="18"/>
              </w:rPr>
            </w:pPr>
            <w:r>
              <w:rPr>
                <w:rFonts w:ascii="Arial" w:eastAsia="Batang" w:hAnsi="Arial"/>
                <w:sz w:val="18"/>
              </w:rPr>
              <w:t>84</w:t>
            </w:r>
          </w:p>
        </w:tc>
        <w:tc>
          <w:tcPr>
            <w:tcW w:w="713" w:type="dxa"/>
            <w:shd w:val="clear" w:color="auto" w:fill="auto"/>
            <w:vAlign w:val="bottom"/>
          </w:tcPr>
          <w:p w14:paraId="628F8B20"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37D93B05" w14:textId="77777777" w:rsidR="00E9420D" w:rsidRPr="00C219CF" w:rsidRDefault="00E9420D" w:rsidP="00131932">
            <w:pPr>
              <w:keepNext/>
              <w:keepLines/>
              <w:spacing w:after="0"/>
              <w:jc w:val="center"/>
              <w:rPr>
                <w:color w:val="000000"/>
              </w:rPr>
            </w:pPr>
            <w:r w:rsidRPr="00C219CF">
              <w:rPr>
                <w:color w:val="000000"/>
              </w:rPr>
              <w:t>F</w:t>
            </w:r>
          </w:p>
        </w:tc>
        <w:tc>
          <w:tcPr>
            <w:tcW w:w="571" w:type="dxa"/>
            <w:shd w:val="clear" w:color="auto" w:fill="auto"/>
            <w:vAlign w:val="bottom"/>
          </w:tcPr>
          <w:p w14:paraId="23B9F3FA"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FD18A66"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14B736F6"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53C42EEB"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848C603"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0AE1365D"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7CEF3605"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7FF84C68"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739835E1"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3157DB92"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128F39FF"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1BB0A9D4"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14FA2CCA" w14:textId="77777777" w:rsidTr="00131932">
        <w:trPr>
          <w:jc w:val="center"/>
        </w:trPr>
        <w:tc>
          <w:tcPr>
            <w:tcW w:w="1101" w:type="dxa"/>
            <w:shd w:val="clear" w:color="auto" w:fill="auto"/>
          </w:tcPr>
          <w:p w14:paraId="59F20A02" w14:textId="77777777" w:rsidR="00E9420D" w:rsidRDefault="00E9420D" w:rsidP="00131932">
            <w:pPr>
              <w:keepNext/>
              <w:keepLines/>
              <w:spacing w:after="0"/>
              <w:jc w:val="center"/>
              <w:rPr>
                <w:rFonts w:ascii="Arial" w:eastAsia="Batang" w:hAnsi="Arial"/>
                <w:sz w:val="18"/>
              </w:rPr>
            </w:pPr>
            <w:r>
              <w:rPr>
                <w:rFonts w:ascii="Arial" w:eastAsia="Batang" w:hAnsi="Arial"/>
                <w:sz w:val="18"/>
              </w:rPr>
              <w:t>85</w:t>
            </w:r>
          </w:p>
        </w:tc>
        <w:tc>
          <w:tcPr>
            <w:tcW w:w="713" w:type="dxa"/>
            <w:shd w:val="clear" w:color="auto" w:fill="auto"/>
            <w:vAlign w:val="bottom"/>
          </w:tcPr>
          <w:p w14:paraId="3576CC2A"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29832E24"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288DEE7A"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6802782A"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1C8C5CA"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E58AAC0"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3A9B75D2"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7903CC9B"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1CD55EA"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5D65B25F"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178C17A"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30A32C6E"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7EEC39E5"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7760066"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06122348" w14:textId="77777777" w:rsidTr="00131932">
        <w:trPr>
          <w:jc w:val="center"/>
        </w:trPr>
        <w:tc>
          <w:tcPr>
            <w:tcW w:w="1101" w:type="dxa"/>
            <w:shd w:val="clear" w:color="auto" w:fill="auto"/>
          </w:tcPr>
          <w:p w14:paraId="5C94EBCA" w14:textId="77777777" w:rsidR="00E9420D" w:rsidRDefault="00E9420D" w:rsidP="00131932">
            <w:pPr>
              <w:keepNext/>
              <w:keepLines/>
              <w:spacing w:after="0"/>
              <w:jc w:val="center"/>
              <w:rPr>
                <w:rFonts w:ascii="Arial" w:eastAsia="Batang" w:hAnsi="Arial"/>
                <w:sz w:val="18"/>
              </w:rPr>
            </w:pPr>
            <w:r>
              <w:rPr>
                <w:rFonts w:ascii="Arial" w:eastAsia="Batang" w:hAnsi="Arial"/>
                <w:sz w:val="18"/>
              </w:rPr>
              <w:t>86</w:t>
            </w:r>
          </w:p>
        </w:tc>
        <w:tc>
          <w:tcPr>
            <w:tcW w:w="713" w:type="dxa"/>
            <w:shd w:val="clear" w:color="auto" w:fill="auto"/>
            <w:vAlign w:val="bottom"/>
          </w:tcPr>
          <w:p w14:paraId="58269D3E"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5C6B2CD6"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16A3FB5D"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2BEEEEA9"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08469500"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16CEDF0B"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194F6BC3"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16E5C540"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07CCDE94"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59837B54"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41F1BC3"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5878BDF0"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B1B7F93"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58F9E6A5"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48A4F399" w14:textId="77777777" w:rsidTr="00131932">
        <w:trPr>
          <w:jc w:val="center"/>
        </w:trPr>
        <w:tc>
          <w:tcPr>
            <w:tcW w:w="1101" w:type="dxa"/>
            <w:shd w:val="clear" w:color="auto" w:fill="auto"/>
          </w:tcPr>
          <w:p w14:paraId="00E044BF" w14:textId="77777777" w:rsidR="00E9420D" w:rsidRDefault="00E9420D" w:rsidP="00131932">
            <w:pPr>
              <w:keepNext/>
              <w:keepLines/>
              <w:spacing w:after="0"/>
              <w:jc w:val="center"/>
              <w:rPr>
                <w:rFonts w:ascii="Arial" w:eastAsia="Batang" w:hAnsi="Arial"/>
                <w:sz w:val="18"/>
              </w:rPr>
            </w:pPr>
            <w:r>
              <w:rPr>
                <w:rFonts w:ascii="Arial" w:eastAsia="Batang" w:hAnsi="Arial"/>
                <w:sz w:val="18"/>
              </w:rPr>
              <w:t>87</w:t>
            </w:r>
          </w:p>
        </w:tc>
        <w:tc>
          <w:tcPr>
            <w:tcW w:w="713" w:type="dxa"/>
            <w:shd w:val="clear" w:color="auto" w:fill="auto"/>
            <w:vAlign w:val="bottom"/>
          </w:tcPr>
          <w:p w14:paraId="36BA00B8"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18BA6891" w14:textId="77777777" w:rsidR="00E9420D" w:rsidRPr="00C219CF" w:rsidRDefault="00E9420D" w:rsidP="00131932">
            <w:pPr>
              <w:keepNext/>
              <w:keepLines/>
              <w:spacing w:after="0"/>
              <w:jc w:val="center"/>
              <w:rPr>
                <w:color w:val="000000"/>
              </w:rPr>
            </w:pPr>
            <w:r w:rsidRPr="00C219CF">
              <w:rPr>
                <w:color w:val="000000"/>
              </w:rPr>
              <w:t>F</w:t>
            </w:r>
          </w:p>
        </w:tc>
        <w:tc>
          <w:tcPr>
            <w:tcW w:w="571" w:type="dxa"/>
            <w:shd w:val="clear" w:color="auto" w:fill="auto"/>
            <w:vAlign w:val="bottom"/>
          </w:tcPr>
          <w:p w14:paraId="424A39D3"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34992181"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71A72122"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33AF1C4C"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5FDD6EB1"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CEC6965"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4943384"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6489110A"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795F8E69"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61E753EB"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028B4F4B"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356D9975"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43671C99" w14:textId="77777777" w:rsidTr="00131932">
        <w:trPr>
          <w:jc w:val="center"/>
        </w:trPr>
        <w:tc>
          <w:tcPr>
            <w:tcW w:w="1101" w:type="dxa"/>
            <w:shd w:val="clear" w:color="auto" w:fill="auto"/>
          </w:tcPr>
          <w:p w14:paraId="7B221A1B" w14:textId="77777777" w:rsidR="00E9420D" w:rsidRDefault="00E9420D" w:rsidP="00131932">
            <w:pPr>
              <w:keepNext/>
              <w:keepLines/>
              <w:spacing w:after="0"/>
              <w:jc w:val="center"/>
              <w:rPr>
                <w:rFonts w:ascii="Arial" w:eastAsia="Batang" w:hAnsi="Arial"/>
                <w:sz w:val="18"/>
              </w:rPr>
            </w:pPr>
            <w:r>
              <w:rPr>
                <w:rFonts w:ascii="Arial" w:eastAsia="Batang" w:hAnsi="Arial"/>
                <w:sz w:val="18"/>
              </w:rPr>
              <w:t>88</w:t>
            </w:r>
          </w:p>
        </w:tc>
        <w:tc>
          <w:tcPr>
            <w:tcW w:w="713" w:type="dxa"/>
            <w:shd w:val="clear" w:color="auto" w:fill="auto"/>
            <w:vAlign w:val="bottom"/>
          </w:tcPr>
          <w:p w14:paraId="665082BB"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39B422C4"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4EA68315"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64FF9A36"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3CCC04CD"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79E0F79F"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6889615"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00F27F45"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72093329"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65FC9578"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5FEFF6D"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299C27A"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1FC69FE8"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1F15C1A"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013C7CC1" w14:textId="77777777" w:rsidTr="00131932">
        <w:trPr>
          <w:jc w:val="center"/>
        </w:trPr>
        <w:tc>
          <w:tcPr>
            <w:tcW w:w="1101" w:type="dxa"/>
            <w:shd w:val="clear" w:color="auto" w:fill="auto"/>
          </w:tcPr>
          <w:p w14:paraId="65C0FA8A" w14:textId="77777777" w:rsidR="00E9420D" w:rsidRDefault="00E9420D" w:rsidP="00131932">
            <w:pPr>
              <w:keepNext/>
              <w:keepLines/>
              <w:spacing w:after="0"/>
              <w:jc w:val="center"/>
              <w:rPr>
                <w:rFonts w:ascii="Arial" w:eastAsia="Batang" w:hAnsi="Arial"/>
                <w:sz w:val="18"/>
              </w:rPr>
            </w:pPr>
            <w:r>
              <w:rPr>
                <w:rFonts w:ascii="Arial" w:eastAsia="Batang" w:hAnsi="Arial"/>
                <w:sz w:val="18"/>
              </w:rPr>
              <w:t>89</w:t>
            </w:r>
          </w:p>
        </w:tc>
        <w:tc>
          <w:tcPr>
            <w:tcW w:w="713" w:type="dxa"/>
            <w:shd w:val="clear" w:color="auto" w:fill="auto"/>
            <w:vAlign w:val="bottom"/>
          </w:tcPr>
          <w:p w14:paraId="37585B9F"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53BFB448"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7C741FF8"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0DFB69ED"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011B7441"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15479C36"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774078BD"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7F64EE0B"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5E0D1C7F"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380B21C2"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1E1ADF5A"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07F74B4D"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35108704"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56186737"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51C9DE0F" w14:textId="77777777" w:rsidTr="00131932">
        <w:trPr>
          <w:jc w:val="center"/>
        </w:trPr>
        <w:tc>
          <w:tcPr>
            <w:tcW w:w="1101" w:type="dxa"/>
            <w:shd w:val="clear" w:color="auto" w:fill="auto"/>
          </w:tcPr>
          <w:p w14:paraId="088AAE71" w14:textId="77777777" w:rsidR="00E9420D" w:rsidRDefault="00E9420D" w:rsidP="00131932">
            <w:pPr>
              <w:keepNext/>
              <w:keepLines/>
              <w:spacing w:after="0"/>
              <w:jc w:val="center"/>
              <w:rPr>
                <w:rFonts w:ascii="Arial" w:eastAsia="Batang" w:hAnsi="Arial"/>
                <w:sz w:val="18"/>
              </w:rPr>
            </w:pPr>
            <w:r>
              <w:rPr>
                <w:rFonts w:ascii="Arial" w:eastAsia="Batang" w:hAnsi="Arial"/>
                <w:sz w:val="18"/>
              </w:rPr>
              <w:t>90</w:t>
            </w:r>
          </w:p>
        </w:tc>
        <w:tc>
          <w:tcPr>
            <w:tcW w:w="713" w:type="dxa"/>
            <w:shd w:val="clear" w:color="auto" w:fill="auto"/>
            <w:vAlign w:val="bottom"/>
          </w:tcPr>
          <w:p w14:paraId="4B52CC9D"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428084C7" w14:textId="77777777" w:rsidR="00E9420D" w:rsidRPr="00C219CF" w:rsidRDefault="00E9420D" w:rsidP="00131932">
            <w:pPr>
              <w:keepNext/>
              <w:keepLines/>
              <w:spacing w:after="0"/>
              <w:jc w:val="center"/>
              <w:rPr>
                <w:color w:val="000000"/>
              </w:rPr>
            </w:pPr>
            <w:r w:rsidRPr="00C219CF">
              <w:rPr>
                <w:color w:val="000000"/>
              </w:rPr>
              <w:t>F</w:t>
            </w:r>
          </w:p>
        </w:tc>
        <w:tc>
          <w:tcPr>
            <w:tcW w:w="571" w:type="dxa"/>
            <w:shd w:val="clear" w:color="auto" w:fill="auto"/>
            <w:vAlign w:val="bottom"/>
          </w:tcPr>
          <w:p w14:paraId="5772B170"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660E0C26"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43F4EE50"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6674B1B"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63B90EB1"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D758BDE"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3183AF3F"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3E6D76F"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69E3851A"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58763719"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A2C8F33"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A7E7E8E"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79210DD7" w14:textId="77777777" w:rsidTr="00131932">
        <w:trPr>
          <w:jc w:val="center"/>
        </w:trPr>
        <w:tc>
          <w:tcPr>
            <w:tcW w:w="1101" w:type="dxa"/>
            <w:shd w:val="clear" w:color="auto" w:fill="auto"/>
          </w:tcPr>
          <w:p w14:paraId="4858C26F" w14:textId="77777777" w:rsidR="00E9420D" w:rsidRDefault="00E9420D" w:rsidP="00131932">
            <w:pPr>
              <w:keepNext/>
              <w:keepLines/>
              <w:spacing w:after="0"/>
              <w:jc w:val="center"/>
              <w:rPr>
                <w:rFonts w:ascii="Arial" w:eastAsia="Batang" w:hAnsi="Arial"/>
                <w:sz w:val="18"/>
              </w:rPr>
            </w:pPr>
            <w:r>
              <w:rPr>
                <w:rFonts w:ascii="Arial" w:eastAsia="Batang" w:hAnsi="Arial"/>
                <w:sz w:val="18"/>
              </w:rPr>
              <w:t>91</w:t>
            </w:r>
          </w:p>
        </w:tc>
        <w:tc>
          <w:tcPr>
            <w:tcW w:w="713" w:type="dxa"/>
            <w:shd w:val="clear" w:color="auto" w:fill="auto"/>
            <w:vAlign w:val="bottom"/>
          </w:tcPr>
          <w:p w14:paraId="10280620"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6A7FBF62"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41DDF090"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7A62959B"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33125E96"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62C35CF5"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7BD2133E"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5393579"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3EC537DA"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EFC7851"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6A09844"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79FE1E33"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24D97EE5"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6E5CE1D"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728E22F6" w14:textId="77777777" w:rsidTr="00131932">
        <w:trPr>
          <w:jc w:val="center"/>
        </w:trPr>
        <w:tc>
          <w:tcPr>
            <w:tcW w:w="1101" w:type="dxa"/>
            <w:shd w:val="clear" w:color="auto" w:fill="auto"/>
          </w:tcPr>
          <w:p w14:paraId="041CF31C" w14:textId="77777777" w:rsidR="00E9420D" w:rsidRDefault="00E9420D" w:rsidP="00131932">
            <w:pPr>
              <w:keepNext/>
              <w:keepLines/>
              <w:spacing w:after="0"/>
              <w:jc w:val="center"/>
              <w:rPr>
                <w:rFonts w:ascii="Arial" w:eastAsia="Batang" w:hAnsi="Arial"/>
                <w:sz w:val="18"/>
              </w:rPr>
            </w:pPr>
            <w:r>
              <w:rPr>
                <w:rFonts w:ascii="Arial" w:eastAsia="Batang" w:hAnsi="Arial"/>
                <w:sz w:val="18"/>
              </w:rPr>
              <w:t>92</w:t>
            </w:r>
          </w:p>
        </w:tc>
        <w:tc>
          <w:tcPr>
            <w:tcW w:w="713" w:type="dxa"/>
            <w:shd w:val="clear" w:color="auto" w:fill="auto"/>
            <w:vAlign w:val="bottom"/>
          </w:tcPr>
          <w:p w14:paraId="65A73257"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5A432425"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5CCE98E6"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7CCC9A40"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50467C44"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3B1A0FA6"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71D73010"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675BD111"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87071BC"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1CC81D1B"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4114630"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65BE6DCF"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55879E40"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ECEE759"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1B06A03B" w14:textId="77777777" w:rsidTr="00131932">
        <w:trPr>
          <w:jc w:val="center"/>
        </w:trPr>
        <w:tc>
          <w:tcPr>
            <w:tcW w:w="1101" w:type="dxa"/>
            <w:shd w:val="clear" w:color="auto" w:fill="auto"/>
          </w:tcPr>
          <w:p w14:paraId="51E02B35" w14:textId="77777777" w:rsidR="00E9420D" w:rsidRDefault="00E9420D" w:rsidP="00131932">
            <w:pPr>
              <w:keepNext/>
              <w:keepLines/>
              <w:spacing w:after="0"/>
              <w:jc w:val="center"/>
              <w:rPr>
                <w:rFonts w:ascii="Arial" w:eastAsia="Batang" w:hAnsi="Arial"/>
                <w:sz w:val="18"/>
              </w:rPr>
            </w:pPr>
            <w:r>
              <w:rPr>
                <w:rFonts w:ascii="Arial" w:eastAsia="Batang" w:hAnsi="Arial"/>
                <w:sz w:val="18"/>
              </w:rPr>
              <w:t>93</w:t>
            </w:r>
          </w:p>
        </w:tc>
        <w:tc>
          <w:tcPr>
            <w:tcW w:w="713" w:type="dxa"/>
            <w:shd w:val="clear" w:color="auto" w:fill="auto"/>
            <w:vAlign w:val="bottom"/>
          </w:tcPr>
          <w:p w14:paraId="1FE66334"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64787849"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7CAB83C6"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5AEB3B6A"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0D532E59"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4B25C1D5"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0289D662"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7CF22472"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706D281E"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26A8FDA9"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3C18127D"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028A13F0"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062B9F74"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5290E0A3"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427E8B01" w14:textId="77777777" w:rsidTr="00131932">
        <w:trPr>
          <w:jc w:val="center"/>
        </w:trPr>
        <w:tc>
          <w:tcPr>
            <w:tcW w:w="1101" w:type="dxa"/>
            <w:shd w:val="clear" w:color="auto" w:fill="auto"/>
          </w:tcPr>
          <w:p w14:paraId="683DA583" w14:textId="77777777" w:rsidR="00E9420D" w:rsidRDefault="00E9420D" w:rsidP="00131932">
            <w:pPr>
              <w:keepNext/>
              <w:keepLines/>
              <w:spacing w:after="0"/>
              <w:jc w:val="center"/>
              <w:rPr>
                <w:rFonts w:ascii="Arial" w:eastAsia="Batang" w:hAnsi="Arial"/>
                <w:sz w:val="18"/>
              </w:rPr>
            </w:pPr>
            <w:r>
              <w:rPr>
                <w:rFonts w:ascii="Arial" w:eastAsia="Batang" w:hAnsi="Arial"/>
                <w:sz w:val="18"/>
              </w:rPr>
              <w:t>94</w:t>
            </w:r>
          </w:p>
        </w:tc>
        <w:tc>
          <w:tcPr>
            <w:tcW w:w="713" w:type="dxa"/>
            <w:shd w:val="clear" w:color="auto" w:fill="auto"/>
            <w:vAlign w:val="bottom"/>
          </w:tcPr>
          <w:p w14:paraId="200387A1"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4276FAB0"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697C0B8D"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56D4035A"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1E917973"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4DECFDE1"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17D4770F"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4CE83784"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03A69E38"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2A1086F6"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5716632F"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10E7D76C"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293FF971"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1651282A"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678F0036" w14:textId="77777777" w:rsidTr="00131932">
        <w:trPr>
          <w:jc w:val="center"/>
        </w:trPr>
        <w:tc>
          <w:tcPr>
            <w:tcW w:w="1101" w:type="dxa"/>
            <w:shd w:val="clear" w:color="auto" w:fill="auto"/>
          </w:tcPr>
          <w:p w14:paraId="0BA7849A" w14:textId="77777777" w:rsidR="00E9420D" w:rsidRDefault="00E9420D" w:rsidP="00131932">
            <w:pPr>
              <w:keepNext/>
              <w:keepLines/>
              <w:spacing w:after="0"/>
              <w:jc w:val="center"/>
              <w:rPr>
                <w:rFonts w:ascii="Arial" w:eastAsia="Batang" w:hAnsi="Arial"/>
                <w:sz w:val="18"/>
              </w:rPr>
            </w:pPr>
            <w:r>
              <w:rPr>
                <w:rFonts w:ascii="Arial" w:eastAsia="Batang" w:hAnsi="Arial"/>
                <w:sz w:val="18"/>
              </w:rPr>
              <w:t>95</w:t>
            </w:r>
          </w:p>
        </w:tc>
        <w:tc>
          <w:tcPr>
            <w:tcW w:w="713" w:type="dxa"/>
            <w:shd w:val="clear" w:color="auto" w:fill="auto"/>
            <w:vAlign w:val="bottom"/>
          </w:tcPr>
          <w:p w14:paraId="3496B641"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14DA98D5"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2125E638"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45FDA6B8"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2EF1B969"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0A62BF73"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09574B23"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74EA4591" w14:textId="77777777" w:rsidR="00E9420D" w:rsidRPr="00C219CF" w:rsidRDefault="00E9420D" w:rsidP="00131932">
            <w:pPr>
              <w:keepNext/>
              <w:keepLines/>
              <w:spacing w:after="0"/>
              <w:jc w:val="center"/>
              <w:rPr>
                <w:color w:val="000000"/>
              </w:rPr>
            </w:pPr>
            <w:r w:rsidRPr="00C219CF">
              <w:rPr>
                <w:color w:val="000000"/>
              </w:rPr>
              <w:t>F</w:t>
            </w:r>
          </w:p>
        </w:tc>
        <w:tc>
          <w:tcPr>
            <w:tcW w:w="569" w:type="dxa"/>
            <w:shd w:val="clear" w:color="auto" w:fill="auto"/>
            <w:vAlign w:val="bottom"/>
          </w:tcPr>
          <w:p w14:paraId="5A7BD34B"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5B65DBC1"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6DAC7073"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0B62D6DA"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69D93266"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C6F5EA7" w14:textId="77777777" w:rsidR="00E9420D" w:rsidRPr="00C219CF" w:rsidRDefault="00E9420D" w:rsidP="00131932">
            <w:pPr>
              <w:keepNext/>
              <w:keepLines/>
              <w:spacing w:after="0"/>
              <w:jc w:val="center"/>
              <w:rPr>
                <w:color w:val="000000"/>
              </w:rPr>
            </w:pPr>
            <w:r w:rsidRPr="00C219CF">
              <w:rPr>
                <w:color w:val="000000"/>
              </w:rPr>
              <w:t>D</w:t>
            </w:r>
          </w:p>
        </w:tc>
      </w:tr>
      <w:tr w:rsidR="00E9420D" w:rsidRPr="00CA657A" w14:paraId="10757C6D" w14:textId="77777777" w:rsidTr="00131932">
        <w:trPr>
          <w:jc w:val="center"/>
        </w:trPr>
        <w:tc>
          <w:tcPr>
            <w:tcW w:w="1101" w:type="dxa"/>
            <w:shd w:val="clear" w:color="auto" w:fill="auto"/>
          </w:tcPr>
          <w:p w14:paraId="740805C2" w14:textId="77777777" w:rsidR="00E9420D" w:rsidRDefault="00E9420D" w:rsidP="00131932">
            <w:pPr>
              <w:keepNext/>
              <w:keepLines/>
              <w:spacing w:after="0"/>
              <w:jc w:val="center"/>
              <w:rPr>
                <w:rFonts w:ascii="Arial" w:eastAsia="Batang" w:hAnsi="Arial"/>
                <w:sz w:val="18"/>
              </w:rPr>
            </w:pPr>
            <w:r>
              <w:rPr>
                <w:rFonts w:ascii="Arial" w:eastAsia="Batang" w:hAnsi="Arial"/>
                <w:sz w:val="18"/>
              </w:rPr>
              <w:t>96</w:t>
            </w:r>
          </w:p>
        </w:tc>
        <w:tc>
          <w:tcPr>
            <w:tcW w:w="713" w:type="dxa"/>
            <w:shd w:val="clear" w:color="auto" w:fill="auto"/>
            <w:vAlign w:val="bottom"/>
          </w:tcPr>
          <w:p w14:paraId="72D1E420"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79299B2E" w14:textId="77777777" w:rsidR="00E9420D" w:rsidRPr="00C219CF" w:rsidRDefault="00E9420D" w:rsidP="00131932">
            <w:pPr>
              <w:keepNext/>
              <w:keepLines/>
              <w:spacing w:after="0"/>
              <w:jc w:val="center"/>
              <w:rPr>
                <w:color w:val="000000"/>
              </w:rPr>
            </w:pPr>
            <w:r w:rsidRPr="00C219CF">
              <w:rPr>
                <w:color w:val="000000"/>
              </w:rPr>
              <w:t>U</w:t>
            </w:r>
          </w:p>
        </w:tc>
        <w:tc>
          <w:tcPr>
            <w:tcW w:w="571" w:type="dxa"/>
            <w:shd w:val="clear" w:color="auto" w:fill="auto"/>
            <w:vAlign w:val="bottom"/>
          </w:tcPr>
          <w:p w14:paraId="4C3321C8"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0A3C90D"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0664D7EF"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65BCA7FD"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11858FA5" w14:textId="77777777" w:rsidR="00E9420D" w:rsidRPr="00C219CF" w:rsidRDefault="00E9420D" w:rsidP="00131932">
            <w:pPr>
              <w:keepNext/>
              <w:keepLines/>
              <w:spacing w:after="0"/>
              <w:jc w:val="center"/>
              <w:rPr>
                <w:color w:val="000000"/>
              </w:rPr>
            </w:pPr>
            <w:r w:rsidRPr="00C219CF">
              <w:rPr>
                <w:color w:val="000000"/>
              </w:rPr>
              <w:t>U</w:t>
            </w:r>
          </w:p>
        </w:tc>
        <w:tc>
          <w:tcPr>
            <w:tcW w:w="569" w:type="dxa"/>
            <w:shd w:val="clear" w:color="auto" w:fill="auto"/>
            <w:vAlign w:val="bottom"/>
          </w:tcPr>
          <w:p w14:paraId="4BE474A6"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165BD7A1"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5C6BEE5D"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33A44C70"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11538AF"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662C5CCD" w14:textId="77777777" w:rsidR="00E9420D" w:rsidRPr="00C219CF" w:rsidRDefault="00E9420D" w:rsidP="00131932">
            <w:pPr>
              <w:keepNext/>
              <w:keepLines/>
              <w:spacing w:after="0"/>
              <w:jc w:val="center"/>
              <w:rPr>
                <w:color w:val="000000"/>
              </w:rPr>
            </w:pPr>
            <w:r w:rsidRPr="00C219CF">
              <w:rPr>
                <w:color w:val="000000"/>
              </w:rPr>
              <w:t>D</w:t>
            </w:r>
          </w:p>
        </w:tc>
        <w:tc>
          <w:tcPr>
            <w:tcW w:w="569" w:type="dxa"/>
            <w:shd w:val="clear" w:color="auto" w:fill="auto"/>
            <w:vAlign w:val="bottom"/>
          </w:tcPr>
          <w:p w14:paraId="4EF10C66" w14:textId="77777777" w:rsidR="00E9420D" w:rsidRPr="00C219CF" w:rsidRDefault="00E9420D" w:rsidP="00131932">
            <w:pPr>
              <w:keepNext/>
              <w:keepLines/>
              <w:spacing w:after="0"/>
              <w:jc w:val="center"/>
              <w:rPr>
                <w:color w:val="000000"/>
              </w:rPr>
            </w:pPr>
            <w:r w:rsidRPr="00C219CF">
              <w:rPr>
                <w:color w:val="000000"/>
              </w:rPr>
              <w:t>D</w:t>
            </w:r>
          </w:p>
        </w:tc>
      </w:tr>
    </w:tbl>
    <w:p w14:paraId="06330D23" w14:textId="0647D003" w:rsidR="00E9420D" w:rsidRDefault="00E9420D" w:rsidP="00E9420D">
      <w:pPr>
        <w:spacing w:before="180"/>
        <w:rPr>
          <w:lang w:eastAsia="zh-CN"/>
        </w:rPr>
      </w:pPr>
      <w:r>
        <w:rPr>
          <w:lang w:eastAsia="zh-CN"/>
        </w:rPr>
        <w:t>For a serving cell of an IAB-MT</w:t>
      </w:r>
      <w:r>
        <w:rPr>
          <w:lang w:val="en-US"/>
        </w:rPr>
        <w:t>,</w:t>
      </w:r>
      <w:r w:rsidRPr="009861A4">
        <w:rPr>
          <w:lang w:eastAsia="zh-CN"/>
        </w:rPr>
        <w:t xml:space="preserve"> </w:t>
      </w:r>
      <w:r>
        <w:rPr>
          <w:lang w:eastAsia="zh-CN"/>
        </w:rPr>
        <w:t>the</w:t>
      </w:r>
      <w:r w:rsidRPr="009861A4">
        <w:rPr>
          <w:lang w:eastAsia="zh-CN"/>
        </w:rPr>
        <w:t xml:space="preserve"> IAB-MT can be provided by</w:t>
      </w:r>
      <w:r w:rsidR="00E613EA">
        <w:rPr>
          <w:lang w:eastAsia="zh-CN"/>
        </w:rPr>
        <w:t xml:space="preserve"> </w:t>
      </w:r>
      <w:r w:rsidR="00E613EA" w:rsidRPr="00882C4D">
        <w:t>Provided Guard Symbols MAC CE</w:t>
      </w:r>
      <w:r w:rsidR="00183704" w:rsidRPr="00183704">
        <w:rPr>
          <w:lang w:eastAsia="zh-CN"/>
        </w:rPr>
        <w:t>, for Case-1, Case-6 and Case-7 timing modes, respectively,</w:t>
      </w:r>
      <w:r w:rsidRPr="00183704">
        <w:rPr>
          <w:lang w:eastAsia="zh-CN"/>
        </w:rPr>
        <w:t xml:space="preserve"> </w:t>
      </w:r>
      <w:r w:rsidRPr="009861A4">
        <w:rPr>
          <w:lang w:eastAsia="zh-CN"/>
        </w:rPr>
        <w:t>a number of symbols that will not be used for the IAB-MT in slots where the IAB-node transitions between IAB-MT and IAB-node DU</w:t>
      </w:r>
      <w:r w:rsidR="00E613EA">
        <w:rPr>
          <w:lang w:eastAsia="zh-CN"/>
        </w:rPr>
        <w:t xml:space="preserve"> </w:t>
      </w:r>
      <w:r w:rsidR="00E613EA" w:rsidRPr="00882C4D">
        <w:rPr>
          <w:lang w:eastAsia="zh-CN"/>
        </w:rPr>
        <w:t>and a</w:t>
      </w:r>
      <w:r>
        <w:rPr>
          <w:lang w:eastAsia="zh-CN"/>
        </w:rPr>
        <w:t xml:space="preserve"> SCS configuration for the number of symbols </w:t>
      </w:r>
      <w:r w:rsidR="00E613EA" w:rsidRPr="00882C4D">
        <w:rPr>
          <w:lang w:eastAsia="zh-CN"/>
        </w:rPr>
        <w:t>[11, TS 38.321]</w:t>
      </w:r>
      <w:r>
        <w:rPr>
          <w:lang w:eastAsia="zh-CN"/>
        </w:rPr>
        <w:t>.</w:t>
      </w:r>
    </w:p>
    <w:p w14:paraId="7F887E09" w14:textId="77777777" w:rsidR="007E2F1F" w:rsidRDefault="00E9420D" w:rsidP="00E9420D">
      <w:pPr>
        <w:rPr>
          <w:lang w:eastAsia="zh-CN"/>
        </w:rPr>
      </w:pPr>
      <w:r w:rsidRPr="009861A4">
        <w:rPr>
          <w:lang w:eastAsia="zh-CN"/>
        </w:rPr>
        <w:t>With reference to slots of an IAB-DU</w:t>
      </w:r>
      <w:r>
        <w:rPr>
          <w:lang w:eastAsia="zh-CN"/>
        </w:rPr>
        <w:t xml:space="preserve"> cell</w:t>
      </w:r>
      <w:r w:rsidRPr="009861A4">
        <w:rPr>
          <w:lang w:eastAsia="zh-CN"/>
        </w:rPr>
        <w:t xml:space="preserve">, a symbol in a slot of an IAB-DU </w:t>
      </w:r>
      <w:r>
        <w:rPr>
          <w:lang w:eastAsia="zh-CN"/>
        </w:rPr>
        <w:t xml:space="preserve">cell </w:t>
      </w:r>
      <w:r w:rsidRPr="009861A4">
        <w:rPr>
          <w:lang w:eastAsia="zh-CN"/>
        </w:rPr>
        <w:t xml:space="preserve">can be </w:t>
      </w:r>
      <w:r>
        <w:rPr>
          <w:lang w:eastAsia="zh-CN"/>
        </w:rPr>
        <w:t>configured</w:t>
      </w:r>
      <w:r w:rsidRPr="009861A4">
        <w:rPr>
          <w:lang w:eastAsia="zh-CN"/>
        </w:rPr>
        <w:t xml:space="preserve"> to be of hard, soft, or unavailable type</w:t>
      </w:r>
      <w:r w:rsidR="00DD54E6" w:rsidRPr="00575441">
        <w:rPr>
          <w:lang w:eastAsia="zh-CN"/>
        </w:rPr>
        <w:t xml:space="preserve"> by</w:t>
      </w:r>
      <w:r w:rsidR="00DD54E6" w:rsidRPr="00575441">
        <w:rPr>
          <w:i/>
          <w:iCs/>
          <w:lang w:eastAsia="zh-CN"/>
        </w:rPr>
        <w:t xml:space="preserve"> HSNA Slot Configuration List</w:t>
      </w:r>
      <w:r w:rsidR="00DD54E6" w:rsidRPr="00575441">
        <w:rPr>
          <w:lang w:eastAsia="zh-CN"/>
        </w:rPr>
        <w:t xml:space="preserve"> in </w:t>
      </w:r>
      <w:r w:rsidR="00DD54E6" w:rsidRPr="00575441">
        <w:rPr>
          <w:i/>
          <w:iCs/>
        </w:rPr>
        <w:t>gNB-DU Cell Resource Configuration</w:t>
      </w:r>
      <w:r w:rsidR="00DD54E6" w:rsidRPr="00575441">
        <w:rPr>
          <w:lang w:eastAsia="zh-CN"/>
        </w:rPr>
        <w:t xml:space="preserve"> </w:t>
      </w:r>
      <w:r w:rsidR="00DD54E6" w:rsidRPr="00575441">
        <w:rPr>
          <w:lang w:val="en-US"/>
        </w:rPr>
        <w:t>[16, TS 38.473]</w:t>
      </w:r>
      <w:r w:rsidRPr="009861A4">
        <w:rPr>
          <w:lang w:eastAsia="zh-CN"/>
        </w:rPr>
        <w:t xml:space="preserve">. </w:t>
      </w:r>
    </w:p>
    <w:p w14:paraId="6F8B9948" w14:textId="69678E6C" w:rsidR="00E9420D" w:rsidRDefault="00E9420D" w:rsidP="00E9420D">
      <w:r w:rsidRPr="009861A4">
        <w:t xml:space="preserve">When a downlink, uplink, or flexible symbol is </w:t>
      </w:r>
      <w:r>
        <w:t>configured</w:t>
      </w:r>
      <w:r w:rsidRPr="009861A4">
        <w:t xml:space="preserve"> as hard, the IAB-DU</w:t>
      </w:r>
      <w:r>
        <w:t xml:space="preserve"> cell</w:t>
      </w:r>
      <w:r w:rsidRPr="009861A4">
        <w:t xml:space="preserve"> can respectively transmit, receive, or either transmit or receive in the symbol. </w:t>
      </w:r>
      <w:r w:rsidR="007E2F1F" w:rsidRPr="004540BB">
        <w:rPr>
          <w:lang w:eastAsia="zh-CN"/>
        </w:rPr>
        <w:t>A symbol of a slot is equivalent to being configured as hard if an IAB-DU would transmit a SS/</w:t>
      </w:r>
      <w:r w:rsidR="007E2F1F" w:rsidRPr="004540BB">
        <w:t>PBCH block, PDCCH for Type0-PDCCH CSS sets configured by</w:t>
      </w:r>
      <w:r w:rsidR="007E2F1F" w:rsidRPr="004540BB">
        <w:rPr>
          <w:i/>
          <w:iCs/>
        </w:rPr>
        <w:t xml:space="preserve"> pdcchConfigSIB1</w:t>
      </w:r>
      <w:r w:rsidR="007E2F1F" w:rsidRPr="004540BB">
        <w:rPr>
          <w:iCs/>
        </w:rPr>
        <w:t>,</w:t>
      </w:r>
      <w:r w:rsidR="007E2F1F" w:rsidRPr="004540BB">
        <w:t xml:space="preserve"> or a periodic CSI-RS in the symbol of the slot, or </w:t>
      </w:r>
      <w:r w:rsidR="007E2F1F" w:rsidRPr="004540BB">
        <w:rPr>
          <w:lang w:eastAsia="zh-CN"/>
        </w:rPr>
        <w:t>would receive a PRACH or a SR in the symbol of the slot</w:t>
      </w:r>
      <w:r w:rsidR="007E2F1F" w:rsidRPr="004540BB">
        <w:t>.</w:t>
      </w:r>
    </w:p>
    <w:p w14:paraId="59844761" w14:textId="1D76715E" w:rsidR="00E9420D" w:rsidRPr="008945ED" w:rsidRDefault="00E9420D" w:rsidP="00E9420D">
      <w:pPr>
        <w:rPr>
          <w:iCs/>
        </w:rPr>
      </w:pPr>
      <w:r w:rsidRPr="009861A4">
        <w:t xml:space="preserve">When a downlink, uplink, or flexible symbol is </w:t>
      </w:r>
      <w:r>
        <w:t>configured</w:t>
      </w:r>
      <w:r w:rsidRPr="009861A4">
        <w:t xml:space="preserve"> as soft, the IAB-DU</w:t>
      </w:r>
      <w:r w:rsidR="00C66B23">
        <w:t xml:space="preserve"> cell</w:t>
      </w:r>
      <w:r w:rsidRPr="009861A4">
        <w:t xml:space="preserve"> can respectively transmit, receive or either transmit or receive in the symbol only if</w:t>
      </w:r>
    </w:p>
    <w:p w14:paraId="7C55CB0F" w14:textId="30241C10" w:rsidR="00DD54E6" w:rsidRDefault="00DD54E6" w:rsidP="00792BDC">
      <w:pPr>
        <w:pStyle w:val="B1"/>
      </w:pPr>
      <w:r>
        <w:lastRenderedPageBreak/>
        <w:t>-</w:t>
      </w:r>
      <w:r>
        <w:tab/>
      </w:r>
      <w:r w:rsidR="00504FE6" w:rsidRPr="00092159">
        <w:t>the IAB-MT does not trans</w:t>
      </w:r>
      <w:r w:rsidR="00504FE6">
        <w:t xml:space="preserve">mit or receive </w:t>
      </w:r>
      <w:r w:rsidR="00C66B23">
        <w:rPr>
          <w:lang w:val="en-US"/>
        </w:rPr>
        <w:t>during</w:t>
      </w:r>
      <w:r w:rsidR="00C66B23">
        <w:t xml:space="preserve"> </w:t>
      </w:r>
      <w:r w:rsidR="00504FE6">
        <w:t>the symbol</w:t>
      </w:r>
      <w:r w:rsidR="00C66B23">
        <w:rPr>
          <w:lang w:val="en-US"/>
        </w:rPr>
        <w:t xml:space="preserve"> </w:t>
      </w:r>
      <w:r w:rsidR="00C66B23">
        <w:t>of the IAB-DU cell</w:t>
      </w:r>
      <w:r w:rsidR="00504FE6" w:rsidRPr="00D025F3">
        <w:t>, or</w:t>
      </w:r>
    </w:p>
    <w:p w14:paraId="3EA9A02D" w14:textId="32328F81" w:rsidR="00504FE6" w:rsidRPr="00092159" w:rsidRDefault="00DD54E6" w:rsidP="000E1710">
      <w:pPr>
        <w:pStyle w:val="B1"/>
      </w:pPr>
      <w:r>
        <w:rPr>
          <w:lang w:val="en-US"/>
        </w:rPr>
        <w:t>-</w:t>
      </w:r>
      <w:r>
        <w:rPr>
          <w:lang w:val="en-US"/>
        </w:rPr>
        <w:tab/>
        <w:t>with respect to all serving cells</w:t>
      </w:r>
      <w:r w:rsidR="000E1710">
        <w:rPr>
          <w:lang w:val="en-US"/>
        </w:rPr>
        <w:t xml:space="preserve">, </w:t>
      </w:r>
      <w:r w:rsidR="00504FE6">
        <w:t>the IAB-MT would</w:t>
      </w:r>
      <w:r w:rsidR="00504FE6" w:rsidRPr="00092159">
        <w:t xml:space="preserve"> tr</w:t>
      </w:r>
      <w:r w:rsidR="00504FE6">
        <w:t xml:space="preserve">ansmit or receive </w:t>
      </w:r>
      <w:r w:rsidR="00C66B23">
        <w:rPr>
          <w:lang w:val="en-US"/>
        </w:rPr>
        <w:t>during</w:t>
      </w:r>
      <w:r w:rsidR="00C66B23">
        <w:t xml:space="preserve"> </w:t>
      </w:r>
      <w:r w:rsidR="00504FE6">
        <w:t>the symbol</w:t>
      </w:r>
      <w:r w:rsidR="00C66B23">
        <w:rPr>
          <w:lang w:val="en-US"/>
        </w:rPr>
        <w:t xml:space="preserve"> </w:t>
      </w:r>
      <w:r w:rsidR="00C66B23">
        <w:t>of the IAB-DU cell</w:t>
      </w:r>
      <w:r w:rsidR="00504FE6">
        <w:t>,</w:t>
      </w:r>
      <w:r w:rsidR="00504FE6" w:rsidRPr="00092159">
        <w:t xml:space="preserve"> and the transmission or reception </w:t>
      </w:r>
      <w:r w:rsidR="00C66B23">
        <w:rPr>
          <w:lang w:val="en-US"/>
        </w:rPr>
        <w:t>during</w:t>
      </w:r>
      <w:r w:rsidR="00C66B23" w:rsidRPr="00092159">
        <w:t xml:space="preserve"> </w:t>
      </w:r>
      <w:r w:rsidR="00504FE6" w:rsidRPr="00092159">
        <w:t xml:space="preserve">the symbol </w:t>
      </w:r>
      <w:r w:rsidR="00C66B23">
        <w:t>of the IAB-DU cell</w:t>
      </w:r>
      <w:r w:rsidR="00C66B23" w:rsidRPr="00092159">
        <w:t xml:space="preserve"> </w:t>
      </w:r>
      <w:r w:rsidR="00504FE6" w:rsidRPr="00092159">
        <w:t xml:space="preserve">is not changed due to </w:t>
      </w:r>
      <w:r w:rsidR="00504FE6">
        <w:t xml:space="preserve">a </w:t>
      </w:r>
      <w:r w:rsidR="00504FE6" w:rsidRPr="00092159">
        <w:t xml:space="preserve">use of the symbol by </w:t>
      </w:r>
      <w:r w:rsidR="00504FE6">
        <w:t xml:space="preserve">the </w:t>
      </w:r>
      <w:r w:rsidR="00504FE6" w:rsidRPr="00092159">
        <w:t>IAB-DU, or</w:t>
      </w:r>
    </w:p>
    <w:p w14:paraId="44B51AF3" w14:textId="77777777" w:rsidR="000E1710" w:rsidRPr="006F5D48" w:rsidRDefault="000E1710" w:rsidP="000E1710">
      <w:pPr>
        <w:pStyle w:val="B1"/>
      </w:pPr>
      <w:r w:rsidRPr="006F5D48">
        <w:t>-</w:t>
      </w:r>
      <w:r w:rsidRPr="006F5D48">
        <w:tab/>
        <w:t>the IAB-</w:t>
      </w:r>
      <w:r w:rsidRPr="006F5D48">
        <w:rPr>
          <w:lang w:val="en-US"/>
        </w:rPr>
        <w:t>MT</w:t>
      </w:r>
      <w:r w:rsidRPr="006F5D48">
        <w:t xml:space="preserve"> detects a DCI format 2_5 with an </w:t>
      </w:r>
      <w:r w:rsidRPr="006F5D48">
        <w:rPr>
          <w:lang w:eastAsia="zh-CN"/>
        </w:rPr>
        <w:t xml:space="preserve">AI index field value </w:t>
      </w:r>
      <w:r w:rsidRPr="006F5D48">
        <w:t>indicating the soft symbol as available if the IAB-MT is not configured with an SCG, or</w:t>
      </w:r>
    </w:p>
    <w:p w14:paraId="72D7ADB9" w14:textId="77777777" w:rsidR="000E1710" w:rsidRPr="006F5D48" w:rsidRDefault="000E1710" w:rsidP="000E1710">
      <w:pPr>
        <w:pStyle w:val="B1"/>
      </w:pPr>
      <w:r w:rsidRPr="006F5D48">
        <w:t>-</w:t>
      </w:r>
      <w:r w:rsidRPr="006F5D48">
        <w:tab/>
        <w:t>the IAB-MT detects two DCI formats 2_5 with an AI index field indicating the soft symbol as available from the MCG and SCG, respectively, or</w:t>
      </w:r>
    </w:p>
    <w:p w14:paraId="4C3228FC" w14:textId="375FB471" w:rsidR="00280CA9" w:rsidRPr="00280CA9" w:rsidRDefault="000E1710" w:rsidP="00280CA9">
      <w:pPr>
        <w:pStyle w:val="B1"/>
        <w:rPr>
          <w:rFonts w:eastAsia="Times New Roman"/>
        </w:rPr>
      </w:pPr>
      <w:r w:rsidRPr="006F5D48">
        <w:t>-</w:t>
      </w:r>
      <w:r w:rsidRPr="006F5D48">
        <w:tab/>
        <w:t>the IAB-MT detects a DCI format 2_5 with an AI index field value ind</w:t>
      </w:r>
      <w:r>
        <w:t>i</w:t>
      </w:r>
      <w:r w:rsidRPr="006F5D48">
        <w:t>c</w:t>
      </w:r>
      <w:r>
        <w:t>a</w:t>
      </w:r>
      <w:r w:rsidRPr="006F5D48">
        <w:t xml:space="preserve">ting the soft symbol as available from one cell group and with respect to all serving cells of the other cell group </w:t>
      </w:r>
    </w:p>
    <w:p w14:paraId="3B5B399E" w14:textId="77777777" w:rsidR="00280CA9" w:rsidRPr="00280CA9" w:rsidRDefault="00280CA9" w:rsidP="00280CA9">
      <w:pPr>
        <w:pStyle w:val="B2"/>
      </w:pPr>
      <w:r w:rsidRPr="00280CA9">
        <w:t>-</w:t>
      </w:r>
      <w:r w:rsidRPr="00280CA9">
        <w:tab/>
        <w:t>the IAB-MT does not transmit or receive during the symbol of the IAB-DU cell, or</w:t>
      </w:r>
    </w:p>
    <w:p w14:paraId="5730940F" w14:textId="35BE35B8" w:rsidR="000E1710" w:rsidRPr="006F5D48" w:rsidRDefault="00280CA9" w:rsidP="00280CA9">
      <w:pPr>
        <w:pStyle w:val="B2"/>
      </w:pPr>
      <w:r w:rsidRPr="00280CA9">
        <w:rPr>
          <w:rFonts w:eastAsia="Times New Roman"/>
          <w:lang w:val="en-GB"/>
        </w:rPr>
        <w:t>-</w:t>
      </w:r>
      <w:r w:rsidRPr="00280CA9">
        <w:rPr>
          <w:rFonts w:eastAsia="Times New Roman"/>
          <w:lang w:val="en-GB"/>
        </w:rPr>
        <w:tab/>
      </w:r>
      <w:r w:rsidR="000E1710" w:rsidRPr="006F5D48">
        <w:t>the IAB-MT would transmit or receive during the symbol of the IAB-DU cell, and the transmission or reception during the symbol of the IAB-DU cell does not change due to a use of the symbol by the IAB-DU.</w:t>
      </w:r>
    </w:p>
    <w:p w14:paraId="7DACD50B" w14:textId="6D266D34" w:rsidR="000E1710" w:rsidRPr="006F5D48" w:rsidRDefault="000E1710" w:rsidP="000E1710">
      <w:r w:rsidRPr="006F5D48">
        <w:t>When the IAB-MT receives a DCI format 2_5 from a serving cell in a cell group, the IAB-MT applies the information of the DCI format 2_5 to all serving cells of the cell g</w:t>
      </w:r>
      <w:r>
        <w:t>r</w:t>
      </w:r>
      <w:r w:rsidRPr="006F5D48">
        <w:t>oup.</w:t>
      </w:r>
    </w:p>
    <w:p w14:paraId="37F92167" w14:textId="584699B5" w:rsidR="00E9420D" w:rsidRDefault="00E9420D" w:rsidP="00E9420D">
      <w:r w:rsidRPr="009861A4">
        <w:t xml:space="preserve">When a symbol is </w:t>
      </w:r>
      <w:r>
        <w:t>configured</w:t>
      </w:r>
      <w:r w:rsidRPr="009861A4">
        <w:t xml:space="preserve"> as unavailable, the IAB-DU neither transmits nor receives in the symbol. </w:t>
      </w:r>
    </w:p>
    <w:p w14:paraId="5612CCC8" w14:textId="44570BE1" w:rsidR="00DD54E6" w:rsidRPr="00575441" w:rsidRDefault="00DD54E6" w:rsidP="00DD54E6">
      <w:r w:rsidRPr="00575441">
        <w:rPr>
          <w:lang w:eastAsia="zh-CN"/>
        </w:rPr>
        <w:t xml:space="preserve">With reference to slots of an IAB-DU cell, the IAB-DU can be provided an indication of hard, soft or unavailable type per RB set for symbols configured as downlink, uplink or flexible in a slot by </w:t>
      </w:r>
      <w:r w:rsidR="00280CA9" w:rsidRPr="001F2AE5">
        <w:rPr>
          <w:i/>
          <w:iCs/>
        </w:rPr>
        <w:t>Frequency-Domain HSNA Configuration List</w:t>
      </w:r>
      <w:r w:rsidRPr="00575441">
        <w:rPr>
          <w:i/>
          <w:iCs/>
        </w:rPr>
        <w:t xml:space="preserve"> </w:t>
      </w:r>
      <w:r w:rsidRPr="00575441">
        <w:rPr>
          <w:lang w:val="en-US"/>
        </w:rPr>
        <w:t>[16, TS 38.473]</w:t>
      </w:r>
      <w:r w:rsidRPr="00575441">
        <w:rPr>
          <w:lang w:eastAsia="zh-CN"/>
        </w:rPr>
        <w:t xml:space="preserve">. The RB set size and </w:t>
      </w:r>
      <w:r>
        <w:rPr>
          <w:lang w:eastAsia="zh-CN"/>
        </w:rPr>
        <w:t>the</w:t>
      </w:r>
      <w:r w:rsidRPr="00575441">
        <w:rPr>
          <w:lang w:eastAsia="zh-CN"/>
        </w:rPr>
        <w:t xml:space="preserve"> number of RB sets are configured by </w:t>
      </w:r>
      <w:r w:rsidR="00B0201E" w:rsidRPr="00575441">
        <w:rPr>
          <w:i/>
          <w:iCs/>
          <w:lang w:eastAsia="zh-CN"/>
        </w:rPr>
        <w:t>RB</w:t>
      </w:r>
      <w:r w:rsidR="00B0201E">
        <w:rPr>
          <w:i/>
          <w:iCs/>
          <w:lang w:eastAsia="zh-CN"/>
        </w:rPr>
        <w:t xml:space="preserve"> </w:t>
      </w:r>
      <w:r w:rsidR="00B0201E" w:rsidRPr="00575441">
        <w:rPr>
          <w:i/>
          <w:iCs/>
          <w:lang w:eastAsia="zh-CN"/>
        </w:rPr>
        <w:t>Set</w:t>
      </w:r>
      <w:r w:rsidR="00B0201E">
        <w:rPr>
          <w:i/>
          <w:iCs/>
          <w:lang w:eastAsia="zh-CN"/>
        </w:rPr>
        <w:t xml:space="preserve"> </w:t>
      </w:r>
      <w:r w:rsidR="00B0201E" w:rsidRPr="00575441">
        <w:rPr>
          <w:i/>
          <w:iCs/>
          <w:lang w:eastAsia="zh-CN"/>
        </w:rPr>
        <w:t>Configuration</w:t>
      </w:r>
      <w:r w:rsidR="00D5274C">
        <w:rPr>
          <w:lang w:eastAsia="zh-CN"/>
        </w:rPr>
        <w:t xml:space="preserve"> </w:t>
      </w:r>
      <w:r w:rsidR="00D5274C" w:rsidRPr="006F5D48">
        <w:rPr>
          <w:lang w:val="en-US"/>
        </w:rPr>
        <w:t>[16, TS 38.473]</w:t>
      </w:r>
      <w:r w:rsidRPr="00575441">
        <w:rPr>
          <w:lang w:eastAsia="zh-CN"/>
        </w:rPr>
        <w:t xml:space="preserve">. </w:t>
      </w:r>
      <w:r w:rsidR="00824633" w:rsidRPr="00267E32">
        <w:rPr>
          <w:rFonts w:ascii="TimesNewRomanPSMT" w:hAnsi="TimesNewRomanPSMT"/>
        </w:rPr>
        <w:t>The IAB-node can assume the RB set size for the IAB-DU cell is larger than or equal to the IAB-MT</w:t>
      </w:r>
      <w:r w:rsidR="002D5F43">
        <w:rPr>
          <w:rFonts w:ascii="TimesNewRomanPSMT" w:hAnsi="TimesNewRomanPSMT"/>
        </w:rPr>
        <w:t>'</w:t>
      </w:r>
      <w:r w:rsidR="00824633" w:rsidRPr="00267E32">
        <w:rPr>
          <w:rFonts w:ascii="TimesNewRomanPSMT" w:hAnsi="TimesNewRomanPSMT"/>
        </w:rPr>
        <w:t>s smallest RBG size of the configured BWPs of the FDM required IAB-MT</w:t>
      </w:r>
      <w:r w:rsidR="002D5F43">
        <w:rPr>
          <w:rFonts w:ascii="TimesNewRomanPSMT" w:hAnsi="TimesNewRomanPSMT"/>
        </w:rPr>
        <w:t>'</w:t>
      </w:r>
      <w:r w:rsidR="00824633" w:rsidRPr="00267E32">
        <w:rPr>
          <w:rFonts w:ascii="TimesNewRomanPSMT" w:hAnsi="TimesNewRomanPSMT"/>
        </w:rPr>
        <w:t xml:space="preserve">s serving cell(s) as indicated in Multiplexing Info [16, TS 38.473] of the DU cell. </w:t>
      </w:r>
      <w:r w:rsidRPr="00575441">
        <w:rPr>
          <w:lang w:eastAsia="zh-CN"/>
        </w:rPr>
        <w:t>If an indication of hard, soft or unavailable type is not provided for an RB set of a symbol in a slot, the IAB-DU appl</w:t>
      </w:r>
      <w:r>
        <w:rPr>
          <w:lang w:eastAsia="zh-CN"/>
        </w:rPr>
        <w:t>ies</w:t>
      </w:r>
      <w:r w:rsidRPr="00575441">
        <w:rPr>
          <w:lang w:eastAsia="zh-CN"/>
        </w:rPr>
        <w:t xml:space="preserve"> the configuration of hard, soft or unavailable type provided by </w:t>
      </w:r>
      <w:r w:rsidRPr="00575441">
        <w:rPr>
          <w:i/>
          <w:iCs/>
          <w:lang w:eastAsia="zh-CN"/>
        </w:rPr>
        <w:t>HSNA Slot Configuration List</w:t>
      </w:r>
      <w:r w:rsidRPr="00575441">
        <w:rPr>
          <w:lang w:eastAsia="zh-CN"/>
        </w:rPr>
        <w:t xml:space="preserve"> in </w:t>
      </w:r>
      <w:r w:rsidRPr="00575441">
        <w:rPr>
          <w:i/>
          <w:iCs/>
        </w:rPr>
        <w:t>gNB-DU Cell Resource Configuration</w:t>
      </w:r>
      <w:r w:rsidRPr="00575441">
        <w:rPr>
          <w:lang w:eastAsia="zh-CN"/>
        </w:rPr>
        <w:t xml:space="preserve"> </w:t>
      </w:r>
      <w:r w:rsidRPr="00575441">
        <w:rPr>
          <w:lang w:val="en-US"/>
        </w:rPr>
        <w:t>[16, TS 38.473] for the RB set of the symbol in the slot</w:t>
      </w:r>
      <w:r w:rsidRPr="00575441">
        <w:rPr>
          <w:lang w:eastAsia="zh-CN"/>
        </w:rPr>
        <w:t xml:space="preserve">. If an indication of hard, soft, or unavailable type is provided for an RB set in a symbol of a slot, the IAB-DU applies the configuration of hard, soft, or unavailable type provided by </w:t>
      </w:r>
      <w:r w:rsidR="00280CA9" w:rsidRPr="001F2AE5">
        <w:rPr>
          <w:i/>
          <w:iCs/>
        </w:rPr>
        <w:t>Frequency-Domain HSNA Configuration List</w:t>
      </w:r>
      <w:r w:rsidR="00D5274C" w:rsidRPr="006F5D48">
        <w:rPr>
          <w:lang w:eastAsia="zh-CN"/>
        </w:rPr>
        <w:t xml:space="preserve"> </w:t>
      </w:r>
      <w:r w:rsidR="00D5274C" w:rsidRPr="006F5D48">
        <w:rPr>
          <w:lang w:val="en-US"/>
        </w:rPr>
        <w:t>[16, TS 38.473]</w:t>
      </w:r>
      <w:r w:rsidRPr="00575441">
        <w:rPr>
          <w:lang w:eastAsia="zh-CN"/>
        </w:rPr>
        <w:t xml:space="preserve"> </w:t>
      </w:r>
      <w:r w:rsidR="007525F9">
        <w:rPr>
          <w:lang w:eastAsia="zh-CN"/>
        </w:rPr>
        <w:t>unless the symbol is configured</w:t>
      </w:r>
      <w:r w:rsidR="007525F9" w:rsidRPr="009861A4">
        <w:rPr>
          <w:lang w:eastAsia="zh-CN"/>
        </w:rPr>
        <w:t xml:space="preserve"> </w:t>
      </w:r>
      <w:r w:rsidR="007525F9">
        <w:rPr>
          <w:lang w:eastAsia="zh-CN"/>
        </w:rPr>
        <w:t xml:space="preserve">as </w:t>
      </w:r>
      <w:r w:rsidR="007525F9" w:rsidRPr="009861A4">
        <w:rPr>
          <w:lang w:eastAsia="zh-CN"/>
        </w:rPr>
        <w:t>soft</w:t>
      </w:r>
      <w:r w:rsidR="007525F9">
        <w:rPr>
          <w:lang w:eastAsia="zh-CN"/>
        </w:rPr>
        <w:t xml:space="preserve"> </w:t>
      </w:r>
      <w:r w:rsidR="007525F9" w:rsidRPr="009861A4">
        <w:rPr>
          <w:lang w:eastAsia="zh-CN"/>
        </w:rPr>
        <w:t>type</w:t>
      </w:r>
      <w:r w:rsidR="007525F9" w:rsidRPr="00575441">
        <w:rPr>
          <w:lang w:eastAsia="zh-CN"/>
        </w:rPr>
        <w:t xml:space="preserve"> </w:t>
      </w:r>
      <w:r w:rsidR="007525F9">
        <w:rPr>
          <w:lang w:eastAsia="zh-CN"/>
        </w:rPr>
        <w:t>in</w:t>
      </w:r>
      <w:r w:rsidR="007525F9" w:rsidRPr="00575441">
        <w:rPr>
          <w:i/>
          <w:iCs/>
          <w:lang w:eastAsia="zh-CN"/>
        </w:rPr>
        <w:t xml:space="preserve"> HSNA Slot Configuration List</w:t>
      </w:r>
      <w:r w:rsidR="007525F9" w:rsidRPr="00575441">
        <w:rPr>
          <w:lang w:eastAsia="zh-CN"/>
        </w:rPr>
        <w:t xml:space="preserve"> in </w:t>
      </w:r>
      <w:r w:rsidR="007525F9" w:rsidRPr="00575441">
        <w:rPr>
          <w:i/>
          <w:iCs/>
        </w:rPr>
        <w:t>gNB-DU Cell Resource Configuration</w:t>
      </w:r>
      <w:r w:rsidR="007525F9" w:rsidRPr="00575441">
        <w:rPr>
          <w:lang w:eastAsia="zh-CN"/>
        </w:rPr>
        <w:t xml:space="preserve"> </w:t>
      </w:r>
      <w:r w:rsidR="007525F9" w:rsidRPr="00575441">
        <w:rPr>
          <w:lang w:val="en-US"/>
        </w:rPr>
        <w:t>[16, TS 38.473]</w:t>
      </w:r>
      <w:r w:rsidR="007525F9">
        <w:rPr>
          <w:lang w:val="en-US"/>
        </w:rPr>
        <w:t xml:space="preserve"> and </w:t>
      </w:r>
      <w:r w:rsidR="007525F9" w:rsidRPr="009861A4">
        <w:t>the IAB-DU</w:t>
      </w:r>
      <w:r w:rsidR="007525F9">
        <w:t xml:space="preserve"> cell</w:t>
      </w:r>
      <w:r w:rsidR="007525F9" w:rsidRPr="009861A4">
        <w:t xml:space="preserve"> can transmit</w:t>
      </w:r>
      <w:r w:rsidR="007525F9">
        <w:t xml:space="preserve"> or </w:t>
      </w:r>
      <w:r w:rsidR="007525F9" w:rsidRPr="009861A4">
        <w:t>receive in the symbol</w:t>
      </w:r>
      <w:r w:rsidRPr="00575441">
        <w:rPr>
          <w:lang w:eastAsia="zh-CN"/>
        </w:rPr>
        <w:t>.</w:t>
      </w:r>
    </w:p>
    <w:p w14:paraId="329EE877" w14:textId="613BD482" w:rsidR="00D5274C" w:rsidRPr="006F5D48" w:rsidRDefault="00D5274C" w:rsidP="00D5274C">
      <w:r w:rsidRPr="006F5D48">
        <w:t>When an RB set of a downlink, uplink, or flexible symbol is configured as hard, the IAB-DU cell can respectively transmit, receive, or either transmit or receive on the RB set in the symbol.</w:t>
      </w:r>
      <w:r w:rsidR="00B0201E">
        <w:t xml:space="preserve"> </w:t>
      </w:r>
      <w:r w:rsidR="00B0201E" w:rsidRPr="00FA7DEE">
        <w:t xml:space="preserve">An RB set of a symbol is equivalent to being configured as hard if an IAB-DU would transmit a SS/PBCH block, PDCCH for Type0-PDCCH CSS sets configured by </w:t>
      </w:r>
      <w:r w:rsidR="00B0201E" w:rsidRPr="00FA7DEE">
        <w:rPr>
          <w:i/>
          <w:iCs/>
        </w:rPr>
        <w:t>pdcchConfigSIB1</w:t>
      </w:r>
      <w:r w:rsidR="00B0201E" w:rsidRPr="00FA7DEE">
        <w:t>, or a periodic CSI-RS in the RB set of the symbol, or would receive a PRACH or a SR in the RB set of the symbol.</w:t>
      </w:r>
    </w:p>
    <w:p w14:paraId="1548F31A" w14:textId="77777777" w:rsidR="00D5274C" w:rsidRPr="006F5D48" w:rsidRDefault="00D5274C" w:rsidP="00D5274C">
      <w:r w:rsidRPr="006F5D48">
        <w:t>When an RB set of a downlink, uplink, or flexible symbol is configured as soft, the IAB-DU cell can respectively transmit, receive or either transmit or receive on the RB set in the symbol only if</w:t>
      </w:r>
    </w:p>
    <w:p w14:paraId="2AA2E611" w14:textId="77777777" w:rsidR="00D5274C" w:rsidRPr="006F5D48" w:rsidRDefault="00D5274C" w:rsidP="00D5274C">
      <w:pPr>
        <w:ind w:firstLine="284"/>
      </w:pPr>
      <w:r w:rsidRPr="006F5D48">
        <w:t>-</w:t>
      </w:r>
      <w:r w:rsidRPr="006F5D48">
        <w:tab/>
        <w:t>the IAB-MT does not transmit or receive on the RB set during the symbol of the IAB-DU cell, or</w:t>
      </w:r>
    </w:p>
    <w:p w14:paraId="4660E7CD" w14:textId="77777777" w:rsidR="00D5274C" w:rsidRPr="006F5D48" w:rsidRDefault="00D5274C" w:rsidP="00D5274C">
      <w:pPr>
        <w:ind w:left="568" w:hanging="284"/>
      </w:pPr>
      <w:r w:rsidRPr="006F5D48">
        <w:rPr>
          <w:lang w:val="en-US"/>
        </w:rPr>
        <w:t>-</w:t>
      </w:r>
      <w:r w:rsidRPr="006F5D48">
        <w:rPr>
          <w:lang w:val="en-US"/>
        </w:rPr>
        <w:tab/>
        <w:t xml:space="preserve">with respect to all serving cells, </w:t>
      </w:r>
      <w:r w:rsidRPr="006F5D48">
        <w:t>the IAB-MT would transmit or receive on the RB set during the symbol of the IAB-DU cell, and the transmission or reception on the RB set or any RB set that is configured as unavailable or configured as soft and not indicated as available during the symbol of the IAB-DU cell is not changed due to a use of the RB set in the symbol by the IAB-DU, or</w:t>
      </w:r>
    </w:p>
    <w:p w14:paraId="0EA98435" w14:textId="77777777" w:rsidR="00D5274C" w:rsidRPr="006F5D48" w:rsidRDefault="00D5274C" w:rsidP="00D5274C">
      <w:pPr>
        <w:ind w:left="567" w:hanging="283"/>
      </w:pPr>
      <w:r w:rsidRPr="006F5D48">
        <w:t>-</w:t>
      </w:r>
      <w:r w:rsidRPr="006F5D48">
        <w:tab/>
        <w:t>the IAB-MT detects a DCI format 2_5 with an AI index field value indicating the soft RB set as available if the IAB-MT is not configured with an SCG, or</w:t>
      </w:r>
    </w:p>
    <w:p w14:paraId="1841ABD7" w14:textId="77777777" w:rsidR="00D5274C" w:rsidRPr="006F5D48" w:rsidRDefault="00D5274C" w:rsidP="00D5274C">
      <w:pPr>
        <w:ind w:left="567" w:hanging="283"/>
      </w:pPr>
      <w:r w:rsidRPr="006F5D48">
        <w:t>-</w:t>
      </w:r>
      <w:r w:rsidRPr="006F5D48">
        <w:tab/>
        <w:t>the IAB-MT detects two DCI formats 2_5 with an AI index field value indicating the soft RB set as available from the MCG and SCG, respectively</w:t>
      </w:r>
      <w:r>
        <w:t>,</w:t>
      </w:r>
      <w:r w:rsidRPr="006F5D48">
        <w:t xml:space="preserve"> or</w:t>
      </w:r>
    </w:p>
    <w:p w14:paraId="2A6A0EA1" w14:textId="77777777" w:rsidR="00D5274C" w:rsidRPr="006F5D48" w:rsidRDefault="00D5274C" w:rsidP="00D5274C">
      <w:pPr>
        <w:ind w:left="567" w:hanging="283"/>
      </w:pPr>
      <w:r w:rsidRPr="006F5D48">
        <w:t>-</w:t>
      </w:r>
      <w:r w:rsidRPr="006F5D48">
        <w:tab/>
        <w:t>the IAB-MT detects a DCI format 2_5 with an AI index field value indicating the soft RB set as available from one cell group and with respect to all serving cells of the other cell group, the IAB-MT would transmit or receive on the RB set during the symbol of the IAB-DU cell, and the transmission or reception on the RB set during the symbol of the IAB-DU cell does not change due to a use of the RB set in the symbol by the IAB-DU.</w:t>
      </w:r>
    </w:p>
    <w:p w14:paraId="41C000D1" w14:textId="77777777" w:rsidR="00D5274C" w:rsidRPr="006F5D48" w:rsidRDefault="00D5274C" w:rsidP="00D5274C">
      <w:r w:rsidRPr="006F5D48">
        <w:lastRenderedPageBreak/>
        <w:t>When an RB set of a downlink, uplink, or flexible symbol is configured as unavailable, the IAB-DU neither transmits nor receives in the RB set in the symbol.</w:t>
      </w:r>
    </w:p>
    <w:p w14:paraId="2647E25B" w14:textId="00C59B43" w:rsidR="00E9420D" w:rsidRPr="00395A08" w:rsidRDefault="00E9420D" w:rsidP="00E9420D">
      <w:pPr>
        <w:rPr>
          <w:lang w:val="en-US"/>
        </w:rPr>
      </w:pPr>
      <w:r>
        <w:rPr>
          <w:lang w:eastAsia="zh-CN"/>
        </w:rPr>
        <w:t>If an IAB-node</w:t>
      </w:r>
      <w:r w:rsidRPr="00CA657A">
        <w:rPr>
          <w:lang w:eastAsia="zh-CN"/>
        </w:rPr>
        <w:t xml:space="preserve"> is </w:t>
      </w:r>
      <w:r w:rsidRPr="00CA5C2A">
        <w:rPr>
          <w:lang w:eastAsia="zh-CN"/>
        </w:rPr>
        <w:t xml:space="preserve">provided an </w:t>
      </w:r>
      <w:r w:rsidRPr="00CA5C2A">
        <w:rPr>
          <w:rStyle w:val="fontstyle01"/>
          <w:lang w:eastAsia="zh-CN"/>
        </w:rPr>
        <w:t>AvailabilityIndicator</w:t>
      </w:r>
      <w:r>
        <w:rPr>
          <w:lang w:val="en-US"/>
        </w:rPr>
        <w:t>, the IAB-node</w:t>
      </w:r>
      <w:r w:rsidRPr="00CA657A">
        <w:rPr>
          <w:lang w:val="en-US"/>
        </w:rPr>
        <w:t xml:space="preserve"> is provided </w:t>
      </w:r>
      <w:r w:rsidRPr="00CA657A">
        <w:t>a</w:t>
      </w:r>
      <w:r>
        <w:t>n</w:t>
      </w:r>
      <w:r w:rsidRPr="00CA657A">
        <w:t xml:space="preserve"> </w:t>
      </w:r>
      <w:r>
        <w:rPr>
          <w:lang w:val="en-US"/>
        </w:rPr>
        <w:t>A</w:t>
      </w:r>
      <w:r w:rsidRPr="00CA657A">
        <w:rPr>
          <w:lang w:val="en-US"/>
        </w:rPr>
        <w:t xml:space="preserve">I-RNTI by </w:t>
      </w:r>
      <w:r>
        <w:rPr>
          <w:i/>
          <w:lang w:val="en-US"/>
        </w:rPr>
        <w:t>a</w:t>
      </w:r>
      <w:r w:rsidRPr="00CA657A">
        <w:rPr>
          <w:i/>
          <w:lang w:val="en-US"/>
        </w:rPr>
        <w:t>i-RNTI</w:t>
      </w:r>
      <w:r>
        <w:rPr>
          <w:lang w:val="en-US"/>
        </w:rPr>
        <w:t xml:space="preserve"> and </w:t>
      </w:r>
      <w:r w:rsidRPr="00CA657A">
        <w:rPr>
          <w:lang w:val="en-US"/>
        </w:rPr>
        <w:t xml:space="preserve">a payload size of </w:t>
      </w:r>
      <w:r>
        <w:rPr>
          <w:lang w:val="en-US"/>
        </w:rPr>
        <w:t xml:space="preserve">a </w:t>
      </w:r>
      <w:r w:rsidRPr="00CA657A">
        <w:rPr>
          <w:lang w:val="en-US"/>
        </w:rPr>
        <w:t>DCI</w:t>
      </w:r>
      <w:r>
        <w:rPr>
          <w:lang w:val="en-US"/>
        </w:rPr>
        <w:t xml:space="preserve"> format 2_5</w:t>
      </w:r>
      <w:r w:rsidRPr="00CA657A">
        <w:rPr>
          <w:lang w:val="en-US"/>
        </w:rPr>
        <w:t xml:space="preserve"> by </w:t>
      </w:r>
      <w:r w:rsidRPr="00CA657A">
        <w:rPr>
          <w:i/>
        </w:rPr>
        <w:t>dci-PayloadSize</w:t>
      </w:r>
      <w:r>
        <w:rPr>
          <w:i/>
        </w:rPr>
        <w:t>AI</w:t>
      </w:r>
      <w:r w:rsidRPr="00CA657A">
        <w:rPr>
          <w:lang w:val="en-US"/>
        </w:rPr>
        <w:t xml:space="preserve">. </w:t>
      </w:r>
      <w:r>
        <w:t>The IAB-node</w:t>
      </w:r>
      <w:r w:rsidRPr="007E0898">
        <w:t xml:space="preserve"> is also provided a search space set configuration</w:t>
      </w:r>
      <w:r>
        <w:t>,</w:t>
      </w:r>
      <w:r w:rsidRPr="007E0898">
        <w:t xml:space="preserve"> by </w:t>
      </w:r>
      <w:r w:rsidRPr="007E0898">
        <w:rPr>
          <w:bCs/>
          <w:i/>
          <w:iCs/>
          <w:lang w:eastAsia="zh-CN"/>
        </w:rPr>
        <w:t>SearchSpace</w:t>
      </w:r>
      <w:r>
        <w:rPr>
          <w:bCs/>
          <w:iCs/>
          <w:lang w:eastAsia="zh-CN"/>
        </w:rPr>
        <w:t>,</w:t>
      </w:r>
      <w:r w:rsidRPr="007E0898">
        <w:rPr>
          <w:bCs/>
          <w:iCs/>
          <w:lang w:eastAsia="zh-CN"/>
        </w:rPr>
        <w:t xml:space="preserve"> for monitoring PDCCH</w:t>
      </w:r>
      <w:r>
        <w:rPr>
          <w:bCs/>
          <w:iCs/>
          <w:lang w:eastAsia="zh-CN"/>
        </w:rPr>
        <w:t>.</w:t>
      </w:r>
    </w:p>
    <w:p w14:paraId="2EC3939A" w14:textId="1C62AFE3" w:rsidR="00E9420D" w:rsidRPr="00CA657A" w:rsidRDefault="00E9420D" w:rsidP="00E9420D">
      <w:pPr>
        <w:rPr>
          <w:lang w:val="en-US"/>
        </w:rPr>
      </w:pPr>
      <w:r w:rsidRPr="00CA657A">
        <w:rPr>
          <w:lang w:val="en-US"/>
        </w:rPr>
        <w:t xml:space="preserve">For each cell </w:t>
      </w:r>
      <w:r>
        <w:rPr>
          <w:lang w:val="en-US"/>
        </w:rPr>
        <w:t xml:space="preserve">of an IAB-DU </w:t>
      </w:r>
      <w:r w:rsidRPr="00CA657A">
        <w:rPr>
          <w:lang w:val="en-US"/>
        </w:rPr>
        <w:t xml:space="preserve">in </w:t>
      </w:r>
      <w:r>
        <w:rPr>
          <w:lang w:val="en-US"/>
        </w:rPr>
        <w:t xml:space="preserve">a set of cells of the IAB-DU, the IAB-DU </w:t>
      </w:r>
      <w:r w:rsidRPr="00CA657A">
        <w:rPr>
          <w:lang w:val="en-US"/>
        </w:rPr>
        <w:t xml:space="preserve">can be provided: </w:t>
      </w:r>
    </w:p>
    <w:p w14:paraId="20024CEB" w14:textId="1E9CFDE4" w:rsidR="00E9420D" w:rsidRPr="001F71AF" w:rsidRDefault="00E9420D" w:rsidP="00E9420D">
      <w:pPr>
        <w:pStyle w:val="B1"/>
      </w:pPr>
      <w:r>
        <w:t>-</w:t>
      </w:r>
      <w:r>
        <w:tab/>
        <w:t>an identity of the IAB-DU</w:t>
      </w:r>
      <w:r w:rsidRPr="00CA657A">
        <w:t xml:space="preserve"> cell by </w:t>
      </w:r>
      <w:r w:rsidR="001A0AF2" w:rsidRPr="00882C4D">
        <w:rPr>
          <w:i/>
          <w:iCs/>
        </w:rPr>
        <w:t>iab-DU-CellIdentity</w:t>
      </w:r>
    </w:p>
    <w:p w14:paraId="134DA246" w14:textId="2B2FE9D6" w:rsidR="00E9420D" w:rsidRPr="00CA657A" w:rsidRDefault="00E9420D" w:rsidP="00E9420D">
      <w:pPr>
        <w:pStyle w:val="B1"/>
      </w:pPr>
      <w:r>
        <w:t>-</w:t>
      </w:r>
      <w:r>
        <w:tab/>
        <w:t>a location of an availability indicator (AI)</w:t>
      </w:r>
      <w:r w:rsidRPr="00CA657A">
        <w:t xml:space="preserve"> </w:t>
      </w:r>
      <w:r>
        <w:t>index field in DCI format 2_5</w:t>
      </w:r>
      <w:r w:rsidRPr="00CA657A">
        <w:t xml:space="preserve"> </w:t>
      </w:r>
      <w:r w:rsidRPr="00CA5C2A">
        <w:t xml:space="preserve">by </w:t>
      </w:r>
      <w:r w:rsidRPr="00CA5C2A">
        <w:rPr>
          <w:rStyle w:val="fontstyle01"/>
          <w:lang w:eastAsia="zh-CN"/>
        </w:rPr>
        <w:t>positionInDCI-AI</w:t>
      </w:r>
      <w:r w:rsidR="00D212A2" w:rsidRPr="00D212A2">
        <w:rPr>
          <w:i/>
          <w:iCs/>
          <w:color w:val="000000"/>
          <w:lang w:val="en-GB" w:eastAsia="zh-CN"/>
        </w:rPr>
        <w:t>-r16</w:t>
      </w:r>
      <w:r w:rsidR="00280CA9" w:rsidRPr="00CA657A">
        <w:t xml:space="preserve"> </w:t>
      </w:r>
      <w:r w:rsidR="00816A6D">
        <w:rPr>
          <w:lang w:val="en-GB"/>
        </w:rPr>
        <w:t>and/</w:t>
      </w:r>
      <w:r w:rsidR="00280CA9">
        <w:t xml:space="preserve">or </w:t>
      </w:r>
      <w:r w:rsidR="00280CA9" w:rsidRPr="00CA5C2A">
        <w:t xml:space="preserve">by </w:t>
      </w:r>
      <w:r w:rsidR="00D212A2" w:rsidRPr="00D212A2">
        <w:rPr>
          <w:i/>
          <w:iCs/>
          <w:color w:val="000000"/>
          <w:lang w:val="en-GB"/>
        </w:rPr>
        <w:t>positionInDCI-AI-RBGroups-v1720</w:t>
      </w:r>
    </w:p>
    <w:p w14:paraId="2457152C" w14:textId="2D9DB224" w:rsidR="00E9420D" w:rsidRPr="00D212A2" w:rsidRDefault="00E9420D" w:rsidP="00E9420D">
      <w:pPr>
        <w:pStyle w:val="B1"/>
        <w:rPr>
          <w:lang w:val="en-GB"/>
        </w:rPr>
      </w:pPr>
      <w:r>
        <w:t>-</w:t>
      </w:r>
      <w:r>
        <w:tab/>
      </w:r>
      <w:r w:rsidRPr="00CA657A">
        <w:t xml:space="preserve">a set of </w:t>
      </w:r>
      <w:r>
        <w:t>availability</w:t>
      </w:r>
      <w:r w:rsidRPr="00CA657A">
        <w:t xml:space="preserve"> combinations </w:t>
      </w:r>
      <w:r w:rsidRPr="0034072B">
        <w:t xml:space="preserve">by </w:t>
      </w:r>
      <w:r w:rsidRPr="0034072B">
        <w:rPr>
          <w:rStyle w:val="fontstyle01"/>
          <w:lang w:eastAsia="zh-CN"/>
        </w:rPr>
        <w:t>availabilityCombinations</w:t>
      </w:r>
      <w:r w:rsidR="001F71AF">
        <w:rPr>
          <w:rStyle w:val="fontstyle01"/>
          <w:lang w:val="en-GB" w:eastAsia="zh-CN"/>
        </w:rPr>
        <w:t>-r16</w:t>
      </w:r>
      <w:r w:rsidR="00280CA9" w:rsidRPr="00D212A2">
        <w:t xml:space="preserve"> </w:t>
      </w:r>
      <w:r w:rsidR="00D212A2">
        <w:rPr>
          <w:lang w:val="en-GB"/>
        </w:rPr>
        <w:t>or by</w:t>
      </w:r>
      <w:r w:rsidR="00280CA9" w:rsidRPr="00D212A2">
        <w:rPr>
          <w:rStyle w:val="fontstyle01"/>
        </w:rPr>
        <w:t xml:space="preserve"> </w:t>
      </w:r>
      <w:r w:rsidR="00D212A2" w:rsidRPr="00D212A2">
        <w:rPr>
          <w:i/>
          <w:iCs/>
          <w:color w:val="000000"/>
          <w:lang w:val="en-GB"/>
        </w:rPr>
        <w:t>availabilityCombinationsRB-Groups-r17</w:t>
      </w:r>
      <w:r w:rsidRPr="0034072B">
        <w:t>, where</w:t>
      </w:r>
      <w:r w:rsidRPr="00CA657A">
        <w:t xml:space="preserve"> each </w:t>
      </w:r>
      <w:r>
        <w:t>availability</w:t>
      </w:r>
      <w:r w:rsidRPr="00CA657A">
        <w:t xml:space="preserve"> combi</w:t>
      </w:r>
      <w:r>
        <w:t>nation in the set of availability combinations includes</w:t>
      </w:r>
    </w:p>
    <w:p w14:paraId="3BD4063C" w14:textId="411045E4" w:rsidR="00E9420D" w:rsidRPr="00CA657A" w:rsidRDefault="00E9420D" w:rsidP="00E9420D">
      <w:pPr>
        <w:pStyle w:val="B2"/>
      </w:pPr>
      <w:r>
        <w:t>-</w:t>
      </w:r>
      <w:r>
        <w:tab/>
      </w:r>
      <w:r w:rsidRPr="00CC6B34">
        <w:rPr>
          <w:rStyle w:val="fontstyle01"/>
          <w:szCs w:val="16"/>
          <w:lang w:eastAsia="zh-CN"/>
        </w:rPr>
        <w:t>resourceAvailability</w:t>
      </w:r>
      <w:r w:rsidR="001F71AF">
        <w:rPr>
          <w:rStyle w:val="fontstyle01"/>
          <w:szCs w:val="16"/>
          <w:lang w:val="en-GB" w:eastAsia="zh-CN"/>
        </w:rPr>
        <w:t>-r16</w:t>
      </w:r>
      <w:r w:rsidRPr="00CC6B34">
        <w:rPr>
          <w:sz w:val="24"/>
        </w:rPr>
        <w:t xml:space="preserve"> </w:t>
      </w:r>
      <w:r>
        <w:t>indicating availability of soft symbols in one or more slots for the IAB-DU</w:t>
      </w:r>
      <w:r w:rsidRPr="00CA657A">
        <w:t xml:space="preserve"> cell, </w:t>
      </w:r>
      <w:r w:rsidR="00280CA9">
        <w:t xml:space="preserve">or </w:t>
      </w:r>
      <w:r w:rsidR="00280CA9">
        <w:rPr>
          <w:lang w:val="en-CA"/>
        </w:rPr>
        <w:t xml:space="preserve">one </w:t>
      </w:r>
      <w:r w:rsidR="00280CA9">
        <w:rPr>
          <w:i/>
          <w:iCs/>
          <w:lang w:val="en-CA"/>
        </w:rPr>
        <w:t>resourceAvailability</w:t>
      </w:r>
      <w:r w:rsidR="001F71AF">
        <w:rPr>
          <w:i/>
          <w:iCs/>
          <w:lang w:val="en-CA"/>
        </w:rPr>
        <w:t>-r17</w:t>
      </w:r>
      <w:r w:rsidR="00280CA9">
        <w:rPr>
          <w:i/>
          <w:iCs/>
          <w:lang w:val="en-CA"/>
        </w:rPr>
        <w:t xml:space="preserve"> </w:t>
      </w:r>
      <w:r w:rsidR="00280CA9">
        <w:rPr>
          <w:lang w:val="en-CA"/>
        </w:rPr>
        <w:t>indicating availability of soft resources in all RB sets in one or more slots for the IAB-DU cell,</w:t>
      </w:r>
      <w:r w:rsidR="00280CA9" w:rsidRPr="00575441">
        <w:rPr>
          <w:lang w:val="en-CA"/>
        </w:rPr>
        <w:t xml:space="preserve"> </w:t>
      </w:r>
      <w:r w:rsidR="00434C7A" w:rsidRPr="00575441">
        <w:rPr>
          <w:lang w:val="en-CA"/>
        </w:rPr>
        <w:t>or one or multiple</w:t>
      </w:r>
      <w:r w:rsidR="005A6754">
        <w:rPr>
          <w:lang w:val="en-CA"/>
        </w:rPr>
        <w:t xml:space="preserve"> </w:t>
      </w:r>
      <w:r w:rsidR="005A6754">
        <w:rPr>
          <w:rFonts w:hint="eastAsia"/>
          <w:lang w:val="en-US" w:eastAsia="zh-CN"/>
        </w:rPr>
        <w:t>RB set groups by</w:t>
      </w:r>
      <w:r w:rsidR="00280CA9">
        <w:rPr>
          <w:lang w:val="en-CA"/>
        </w:rPr>
        <w:t xml:space="preserve"> </w:t>
      </w:r>
      <w:r w:rsidR="005A6754">
        <w:rPr>
          <w:i/>
          <w:iCs/>
          <w:lang w:val="en-CA"/>
        </w:rPr>
        <w:t>r</w:t>
      </w:r>
      <w:r w:rsidR="005A6754" w:rsidRPr="00BE4A5B">
        <w:rPr>
          <w:i/>
          <w:iCs/>
          <w:lang w:val="en-CA"/>
        </w:rPr>
        <w:t>b</w:t>
      </w:r>
      <w:r w:rsidR="005A6754">
        <w:rPr>
          <w:i/>
          <w:iCs/>
          <w:lang w:val="en-CA"/>
        </w:rPr>
        <w:t>-</w:t>
      </w:r>
      <w:r w:rsidR="005A6754" w:rsidRPr="00BE4A5B">
        <w:rPr>
          <w:i/>
          <w:iCs/>
          <w:lang w:val="en-CA"/>
        </w:rPr>
        <w:t>SetGroups</w:t>
      </w:r>
      <w:r w:rsidR="001F71AF">
        <w:rPr>
          <w:i/>
          <w:iCs/>
          <w:lang w:val="en-CA"/>
        </w:rPr>
        <w:t>-r17</w:t>
      </w:r>
      <w:r w:rsidR="005A6754">
        <w:rPr>
          <w:lang w:val="en-CA"/>
        </w:rPr>
        <w:t xml:space="preserve"> </w:t>
      </w:r>
      <w:r w:rsidR="00280CA9">
        <w:rPr>
          <w:lang w:val="en-CA"/>
        </w:rPr>
        <w:t>with each</w:t>
      </w:r>
      <w:r w:rsidR="005A6754">
        <w:rPr>
          <w:lang w:val="en-CA"/>
        </w:rPr>
        <w:t xml:space="preserve"> </w:t>
      </w:r>
      <w:r w:rsidR="005A6754">
        <w:rPr>
          <w:rFonts w:hint="eastAsia"/>
          <w:lang w:val="en-US" w:eastAsia="zh-CN"/>
        </w:rPr>
        <w:t>RB set groups by</w:t>
      </w:r>
      <w:r w:rsidR="00280CA9">
        <w:rPr>
          <w:lang w:val="en-CA"/>
        </w:rPr>
        <w:t xml:space="preserve"> </w:t>
      </w:r>
      <w:r w:rsidR="005A6754">
        <w:rPr>
          <w:i/>
          <w:iCs/>
          <w:lang w:val="en-CA"/>
        </w:rPr>
        <w:t>RB-SetGroup</w:t>
      </w:r>
      <w:r w:rsidR="001F71AF">
        <w:rPr>
          <w:i/>
          <w:iCs/>
          <w:lang w:val="en-CA"/>
        </w:rPr>
        <w:t>-r17</w:t>
      </w:r>
      <w:r w:rsidR="005A6754">
        <w:rPr>
          <w:i/>
          <w:iCs/>
          <w:lang w:val="en-CA"/>
        </w:rPr>
        <w:t xml:space="preserve"> </w:t>
      </w:r>
      <w:r w:rsidR="00280CA9">
        <w:rPr>
          <w:lang w:val="en-CA"/>
        </w:rPr>
        <w:t>indicating</w:t>
      </w:r>
      <w:r w:rsidR="00434C7A" w:rsidRPr="00575441">
        <w:rPr>
          <w:lang w:val="en-CA"/>
        </w:rPr>
        <w:t xml:space="preserve"> </w:t>
      </w:r>
      <w:r w:rsidR="00434C7A" w:rsidRPr="00575441">
        <w:rPr>
          <w:i/>
          <w:iCs/>
          <w:lang w:val="en-CA"/>
        </w:rPr>
        <w:t>resourceAvailability</w:t>
      </w:r>
      <w:r w:rsidR="001F71AF">
        <w:rPr>
          <w:i/>
          <w:iCs/>
          <w:lang w:val="en-CA"/>
        </w:rPr>
        <w:t>-r17</w:t>
      </w:r>
      <w:r w:rsidR="00434C7A" w:rsidRPr="00575441">
        <w:rPr>
          <w:i/>
          <w:iCs/>
          <w:lang w:val="en-CA"/>
        </w:rPr>
        <w:t xml:space="preserve"> </w:t>
      </w:r>
      <w:r w:rsidR="00280CA9">
        <w:rPr>
          <w:lang w:val="en-CA"/>
        </w:rPr>
        <w:t>for</w:t>
      </w:r>
      <w:r w:rsidR="00434C7A">
        <w:rPr>
          <w:lang w:val="en-CA"/>
        </w:rPr>
        <w:t xml:space="preserve"> soft resources in one or more slots </w:t>
      </w:r>
      <w:r w:rsidR="00434C7A" w:rsidRPr="00575441">
        <w:rPr>
          <w:lang w:val="en-CA"/>
        </w:rPr>
        <w:t xml:space="preserve">for </w:t>
      </w:r>
      <w:r w:rsidR="00280CA9">
        <w:rPr>
          <w:lang w:val="en-CA"/>
        </w:rPr>
        <w:t xml:space="preserve">the associated </w:t>
      </w:r>
      <w:r w:rsidR="00280CA9">
        <w:rPr>
          <w:i/>
          <w:iCs/>
          <w:lang w:val="en-CA"/>
        </w:rPr>
        <w:t>rb</w:t>
      </w:r>
      <w:r w:rsidR="005A6754">
        <w:rPr>
          <w:i/>
          <w:iCs/>
          <w:lang w:val="en-CA"/>
        </w:rPr>
        <w:t>-</w:t>
      </w:r>
      <w:r w:rsidR="00280CA9">
        <w:rPr>
          <w:i/>
          <w:iCs/>
          <w:lang w:val="en-CA"/>
        </w:rPr>
        <w:t>Sets</w:t>
      </w:r>
      <w:r w:rsidR="001F71AF">
        <w:rPr>
          <w:i/>
          <w:iCs/>
          <w:lang w:val="en-CA"/>
        </w:rPr>
        <w:t>-r17</w:t>
      </w:r>
      <w:r w:rsidR="00434C7A" w:rsidRPr="00575441">
        <w:rPr>
          <w:lang w:val="en-CA"/>
        </w:rPr>
        <w:t>,</w:t>
      </w:r>
      <w:r w:rsidR="00434C7A">
        <w:rPr>
          <w:lang w:val="en-CA"/>
        </w:rPr>
        <w:t xml:space="preserve"> </w:t>
      </w:r>
      <w:r w:rsidRPr="00CA657A">
        <w:t xml:space="preserve">and </w:t>
      </w:r>
    </w:p>
    <w:p w14:paraId="5000100D" w14:textId="46A47C56" w:rsidR="00E9420D" w:rsidRPr="001F71AF" w:rsidRDefault="00E9420D" w:rsidP="00E9420D">
      <w:pPr>
        <w:pStyle w:val="B2"/>
      </w:pPr>
      <w:r w:rsidRPr="001F71AF">
        <w:t>-</w:t>
      </w:r>
      <w:r w:rsidRPr="001F71AF">
        <w:tab/>
        <w:t>a mapping for the soft symbol</w:t>
      </w:r>
      <w:r w:rsidR="00D5274C" w:rsidRPr="001F71AF">
        <w:rPr>
          <w:lang w:val="en-GB"/>
        </w:rPr>
        <w:t xml:space="preserve">, </w:t>
      </w:r>
      <w:r w:rsidR="00D5274C" w:rsidRPr="001F71AF">
        <w:t>and/or for soft resources,</w:t>
      </w:r>
      <w:r w:rsidRPr="001F71AF">
        <w:t xml:space="preserve"> availability combinations provided by </w:t>
      </w:r>
      <w:r w:rsidR="00F65AD5" w:rsidRPr="001F71AF">
        <w:rPr>
          <w:i/>
          <w:iCs/>
          <w:lang w:val="en-US"/>
        </w:rPr>
        <w:t>resource</w:t>
      </w:r>
      <w:r w:rsidRPr="001F71AF">
        <w:rPr>
          <w:rStyle w:val="fontstyle01"/>
          <w:color w:val="auto"/>
          <w:szCs w:val="16"/>
          <w:lang w:eastAsia="zh-CN"/>
        </w:rPr>
        <w:t>Availability</w:t>
      </w:r>
      <w:r w:rsidR="001F71AF" w:rsidRPr="001F71AF">
        <w:rPr>
          <w:i/>
          <w:iCs/>
          <w:lang w:val="en-US" w:eastAsia="zh-CN"/>
        </w:rPr>
        <w:t>-r16 or resourceAvailability-r17</w:t>
      </w:r>
      <w:r w:rsidRPr="001F71AF">
        <w:rPr>
          <w:sz w:val="24"/>
        </w:rPr>
        <w:t xml:space="preserve"> </w:t>
      </w:r>
      <w:r w:rsidRPr="001F71AF">
        <w:t xml:space="preserve">to a corresponding AI index field value in DCI format 2_5 provided by </w:t>
      </w:r>
      <w:r w:rsidRPr="001F71AF">
        <w:rPr>
          <w:rStyle w:val="fontstyle01"/>
          <w:color w:val="auto"/>
          <w:szCs w:val="16"/>
          <w:lang w:eastAsia="zh-CN"/>
        </w:rPr>
        <w:t>availabilityCombinationId</w:t>
      </w:r>
      <w:r w:rsidR="001F71AF" w:rsidRPr="001F71AF">
        <w:rPr>
          <w:i/>
          <w:iCs/>
          <w:lang w:val="en-US" w:eastAsia="zh-CN"/>
        </w:rPr>
        <w:t>-r16 or availabilityCombinationId-r17, respectively</w:t>
      </w:r>
    </w:p>
    <w:p w14:paraId="441EC9FE" w14:textId="77777777" w:rsidR="001F71AF" w:rsidRDefault="001F71AF" w:rsidP="008823B9">
      <w:pPr>
        <w:rPr>
          <w:rFonts w:eastAsia="Malgun Gothic"/>
          <w:lang w:eastAsia="ko-KR"/>
        </w:rPr>
      </w:pPr>
      <w:r w:rsidRPr="002E0F2D">
        <w:rPr>
          <w:rFonts w:eastAsia="Malgun Gothic"/>
          <w:lang w:eastAsia="ko-KR"/>
        </w:rPr>
        <w:t xml:space="preserve">With reference to a slot of an IAB-DU cell, if the IAB-DU is not provided an indication of hard, soft or unavailable type per RB set by </w:t>
      </w:r>
      <w:r w:rsidRPr="002E0F2D">
        <w:rPr>
          <w:rFonts w:eastAsia="Malgun Gothic"/>
          <w:i/>
          <w:iCs/>
          <w:lang w:eastAsia="ko-KR"/>
        </w:rPr>
        <w:t>Frequency-Domain HSNA Configuration List</w:t>
      </w:r>
      <w:r w:rsidRPr="002E0F2D">
        <w:rPr>
          <w:rFonts w:eastAsia="Malgun Gothic"/>
          <w:lang w:eastAsia="ko-KR"/>
        </w:rPr>
        <w:t xml:space="preserve"> [16, TS 38.473], the indication of availability for the slot is based solely on </w:t>
      </w:r>
      <w:r w:rsidRPr="002E0F2D">
        <w:rPr>
          <w:rFonts w:eastAsia="Malgun Gothic"/>
          <w:i/>
          <w:iCs/>
          <w:lang w:eastAsia="ko-KR"/>
        </w:rPr>
        <w:t>availabilityCombinations-r16</w:t>
      </w:r>
      <w:r w:rsidRPr="002E0F2D">
        <w:rPr>
          <w:rFonts w:eastAsia="Malgun Gothic"/>
          <w:lang w:eastAsia="ko-KR"/>
        </w:rPr>
        <w:t>.</w:t>
      </w:r>
    </w:p>
    <w:p w14:paraId="2C41C2A7" w14:textId="65AE9B00" w:rsidR="008823B9" w:rsidRDefault="008823B9" w:rsidP="008823B9">
      <w:r>
        <w:t xml:space="preserve">The IAB-DU can assume a same SCS configuration for </w:t>
      </w:r>
      <w:r w:rsidRPr="00E46426">
        <w:rPr>
          <w:i/>
        </w:rPr>
        <w:t>availabilityCombinations</w:t>
      </w:r>
      <w:r w:rsidR="001F71AF">
        <w:rPr>
          <w:i/>
          <w:iCs/>
          <w:lang w:val="en-CA"/>
        </w:rPr>
        <w:t>-r16</w:t>
      </w:r>
      <w:r>
        <w:t xml:space="preserve"> </w:t>
      </w:r>
      <w:r w:rsidR="00223812" w:rsidRPr="008664B9">
        <w:rPr>
          <w:rFonts w:hint="eastAsia"/>
          <w:lang w:val="en-US" w:eastAsia="zh-CN"/>
        </w:rPr>
        <w:t xml:space="preserve">or </w:t>
      </w:r>
      <w:r w:rsidR="005E5DBA" w:rsidRPr="00DC114F">
        <w:rPr>
          <w:i/>
          <w:iCs/>
          <w:lang w:val="en-CA"/>
        </w:rPr>
        <w:t>availabilityCombinationsRB-Groups-r17</w:t>
      </w:r>
      <w:r w:rsidR="00223812" w:rsidRPr="008664B9">
        <w:rPr>
          <w:rStyle w:val="fontstyle01"/>
          <w:rFonts w:hint="eastAsia"/>
          <w:color w:val="auto"/>
          <w:lang w:val="en-US" w:eastAsia="zh-CN"/>
        </w:rPr>
        <w:t xml:space="preserve"> </w:t>
      </w:r>
      <w:r>
        <w:t>for</w:t>
      </w:r>
      <w:r w:rsidR="0070581B">
        <w:t xml:space="preserve"> slots of</w:t>
      </w:r>
      <w:r>
        <w:t xml:space="preserve"> a cell as an SCS configuration provided by </w:t>
      </w:r>
      <w:r w:rsidR="001A0AF2" w:rsidRPr="00882C4D">
        <w:rPr>
          <w:i/>
          <w:iCs/>
        </w:rPr>
        <w:t>gNB-DU Cell Resource Configuration</w:t>
      </w:r>
      <w:r>
        <w:t xml:space="preserve"> for the cell.</w:t>
      </w:r>
    </w:p>
    <w:p w14:paraId="3020810C" w14:textId="77777777" w:rsidR="0070581B" w:rsidRDefault="0070581B" w:rsidP="00E9420D">
      <w:r w:rsidRPr="00BC15B1">
        <w:t xml:space="preserve">The IAB-DU can assume a same SCS configuration for </w:t>
      </w:r>
      <w:r w:rsidRPr="00BC15B1">
        <w:rPr>
          <w:i/>
          <w:iCs/>
        </w:rPr>
        <w:t>availabilityCombinationsRB-Groups-r17</w:t>
      </w:r>
      <w:r w:rsidRPr="00BC15B1">
        <w:t xml:space="preserve"> for RB sets of a cell as a SCS configuration provided by </w:t>
      </w:r>
      <w:r w:rsidRPr="00BC15B1">
        <w:rPr>
          <w:i/>
          <w:iCs/>
          <w:szCs w:val="18"/>
        </w:rPr>
        <w:t>RB Set Configuration</w:t>
      </w:r>
      <w:r w:rsidRPr="00BC15B1">
        <w:t xml:space="preserve"> for the cell.</w:t>
      </w:r>
    </w:p>
    <w:p w14:paraId="2D749DE9" w14:textId="39FDA936" w:rsidR="00E9420D" w:rsidRPr="00CA657A" w:rsidRDefault="00E9420D" w:rsidP="00E9420D">
      <w:pPr>
        <w:rPr>
          <w:lang w:val="en-US"/>
        </w:rPr>
      </w:pPr>
      <w:r>
        <w:rPr>
          <w:lang w:eastAsia="zh-CN"/>
        </w:rPr>
        <w:t xml:space="preserve">An AI </w:t>
      </w:r>
      <w:r w:rsidRPr="00CA657A">
        <w:t xml:space="preserve">index field </w:t>
      </w:r>
      <w:r w:rsidRPr="00CA657A">
        <w:rPr>
          <w:lang w:val="en-US"/>
        </w:rPr>
        <w:t xml:space="preserve">value in a </w:t>
      </w:r>
      <w:r>
        <w:rPr>
          <w:lang w:eastAsia="zh-CN"/>
        </w:rPr>
        <w:t xml:space="preserve">DCI format 2_5 indicates to an IAB-DU a soft symbol </w:t>
      </w:r>
      <w:r w:rsidR="00816A6D">
        <w:rPr>
          <w:lang w:eastAsia="zh-CN"/>
        </w:rPr>
        <w:t>and/</w:t>
      </w:r>
      <w:r w:rsidR="00434C7A" w:rsidRPr="00575441">
        <w:rPr>
          <w:lang w:eastAsia="zh-CN"/>
        </w:rPr>
        <w:t xml:space="preserve">or </w:t>
      </w:r>
      <w:r w:rsidR="00434C7A">
        <w:rPr>
          <w:lang w:eastAsia="zh-CN"/>
        </w:rPr>
        <w:t xml:space="preserve">a soft RB set in an </w:t>
      </w:r>
      <w:r w:rsidR="00434C7A" w:rsidRPr="00575441">
        <w:rPr>
          <w:lang w:eastAsia="zh-CN"/>
        </w:rPr>
        <w:t>RB set group</w:t>
      </w:r>
      <w:r w:rsidR="00434C7A">
        <w:rPr>
          <w:lang w:eastAsia="zh-CN"/>
        </w:rPr>
        <w:t xml:space="preserve"> </w:t>
      </w:r>
      <w:r>
        <w:rPr>
          <w:lang w:eastAsia="zh-CN"/>
        </w:rPr>
        <w:t>availability</w:t>
      </w:r>
      <w:r>
        <w:rPr>
          <w:lang w:val="en-US" w:eastAsia="zh-CN"/>
        </w:rPr>
        <w:t xml:space="preserve"> in each slot for</w:t>
      </w:r>
      <w:r w:rsidRPr="00CA657A">
        <w:rPr>
          <w:lang w:val="en-US" w:eastAsia="zh-CN"/>
        </w:rPr>
        <w:t xml:space="preserve"> a number of slots starting from </w:t>
      </w:r>
      <w:r w:rsidR="0058254C">
        <w:rPr>
          <w:lang w:val="en-US" w:eastAsia="zh-CN"/>
        </w:rPr>
        <w:t>the earliest</w:t>
      </w:r>
      <w:r w:rsidR="0058254C" w:rsidRPr="00CA657A">
        <w:rPr>
          <w:lang w:val="en-US" w:eastAsia="zh-CN"/>
        </w:rPr>
        <w:t xml:space="preserve"> slot </w:t>
      </w:r>
      <w:r w:rsidR="0058254C">
        <w:rPr>
          <w:lang w:val="en-US" w:eastAsia="zh-CN"/>
        </w:rPr>
        <w:t>of the IAB-DU which overlaps in time with the slot of the IAB-MT</w:t>
      </w:r>
      <w:r w:rsidRPr="00CA657A">
        <w:rPr>
          <w:lang w:val="en-US" w:eastAsia="zh-CN"/>
        </w:rPr>
        <w:t xml:space="preserve"> where</w:t>
      </w:r>
      <w:r>
        <w:rPr>
          <w:lang w:val="en-US" w:eastAsia="zh-CN"/>
        </w:rPr>
        <w:t xml:space="preserve"> the IAB-</w:t>
      </w:r>
      <w:r w:rsidR="0058254C">
        <w:rPr>
          <w:lang w:val="en-US" w:eastAsia="zh-CN"/>
        </w:rPr>
        <w:t xml:space="preserve">MT </w:t>
      </w:r>
      <w:r>
        <w:rPr>
          <w:lang w:val="en-US" w:eastAsia="zh-CN"/>
        </w:rPr>
        <w:t>detects the DCI format 2_5</w:t>
      </w:r>
      <w:r w:rsidRPr="00CA657A">
        <w:rPr>
          <w:lang w:val="en-US" w:eastAsia="zh-CN"/>
        </w:rPr>
        <w:t xml:space="preserve">. The number of slots is equal to or larger than </w:t>
      </w:r>
      <w:r w:rsidRPr="00CA657A">
        <w:t>a PDCCH monitor</w:t>
      </w:r>
      <w:r>
        <w:t xml:space="preserve">ing periodicity for DCI format 2_5 as provided by </w:t>
      </w:r>
      <w:r w:rsidRPr="007E0898">
        <w:rPr>
          <w:bCs/>
          <w:i/>
          <w:iCs/>
          <w:lang w:eastAsia="zh-CN"/>
        </w:rPr>
        <w:t>SearchSpace</w:t>
      </w:r>
      <w:r w:rsidRPr="00CA657A">
        <w:t xml:space="preserve">. </w:t>
      </w:r>
      <w:r w:rsidRPr="00CA657A">
        <w:rPr>
          <w:lang w:val="en-US" w:eastAsia="zh-CN"/>
        </w:rPr>
        <w:t xml:space="preserve">The </w:t>
      </w:r>
      <w:r>
        <w:rPr>
          <w:lang w:val="en-US" w:eastAsia="zh-CN"/>
        </w:rPr>
        <w:t xml:space="preserve">AI </w:t>
      </w:r>
      <w:r w:rsidRPr="00CA657A">
        <w:rPr>
          <w:lang w:val="en-US" w:eastAsia="zh-CN"/>
        </w:rPr>
        <w:t xml:space="preserve">index field includes </w:t>
      </w:r>
      <m:oMath>
        <m:r>
          <m:rPr>
            <m:sty m:val="p"/>
          </m:rPr>
          <w:rPr>
            <w:rFonts w:ascii="Cambria Math" w:hAnsi="Cambria Math"/>
            <w:lang w:val="en-US" w:eastAsia="zh-CN"/>
          </w:rPr>
          <m:t>max</m:t>
        </m:r>
        <m:d>
          <m:dPr>
            <m:begChr m:val="{"/>
            <m:endChr m:val="}"/>
            <m:ctrlPr>
              <w:rPr>
                <w:rFonts w:ascii="Cambria Math" w:hAnsi="Cambria Math"/>
                <w:i/>
                <w:lang w:val="en-US" w:eastAsia="zh-CN"/>
              </w:rPr>
            </m:ctrlPr>
          </m:dPr>
          <m:e>
            <m:d>
              <m:dPr>
                <m:begChr m:val="⌈"/>
                <m:endChr m:val="⌉"/>
                <m:ctrlPr>
                  <w:rPr>
                    <w:rFonts w:ascii="Cambria Math" w:hAnsi="Cambria Math"/>
                    <w:i/>
                    <w:lang w:val="en-US" w:eastAsia="zh-CN"/>
                  </w:rPr>
                </m:ctrlPr>
              </m:dPr>
              <m:e>
                <m:sSub>
                  <m:sSubPr>
                    <m:ctrlPr>
                      <w:rPr>
                        <w:rFonts w:ascii="Cambria Math" w:hAnsi="Cambria Math"/>
                        <w:i/>
                        <w:lang w:val="en-US" w:eastAsia="zh-CN"/>
                      </w:rPr>
                    </m:ctrlPr>
                  </m:sSubPr>
                  <m:e>
                    <m:r>
                      <m:rPr>
                        <m:sty m:val="p"/>
                      </m:rPr>
                      <w:rPr>
                        <w:rFonts w:ascii="Cambria Math" w:hAnsi="Cambria Math"/>
                        <w:lang w:val="en-US" w:eastAsia="zh-CN"/>
                      </w:rPr>
                      <m:t>log</m:t>
                    </m:r>
                  </m:e>
                  <m:sub>
                    <m:r>
                      <w:rPr>
                        <w:rFonts w:ascii="Cambria Math" w:hAnsi="Cambria Math"/>
                        <w:lang w:val="en-US" w:eastAsia="zh-CN"/>
                      </w:rPr>
                      <m:t>2</m:t>
                    </m:r>
                  </m:sub>
                </m:sSub>
                <m:d>
                  <m:dPr>
                    <m:ctrlPr>
                      <w:rPr>
                        <w:rFonts w:ascii="Cambria Math" w:hAnsi="Cambria Math"/>
                        <w:i/>
                        <w:lang w:val="en-US" w:eastAsia="zh-CN"/>
                      </w:rPr>
                    </m:ctrlPr>
                  </m:dPr>
                  <m:e>
                    <m:r>
                      <m:rPr>
                        <m:sty m:val="p"/>
                      </m:rPr>
                      <w:rPr>
                        <w:rFonts w:ascii="Cambria Math" w:hAnsi="Cambria Math"/>
                        <w:lang w:val="en-US" w:eastAsia="zh-CN"/>
                      </w:rPr>
                      <m:t>maxAIindex</m:t>
                    </m:r>
                    <m:r>
                      <w:rPr>
                        <w:rFonts w:ascii="Cambria Math" w:hAnsi="Cambria Math"/>
                        <w:lang w:val="en-US" w:eastAsia="zh-CN"/>
                      </w:rPr>
                      <m:t>+1</m:t>
                    </m:r>
                  </m:e>
                </m:d>
              </m:e>
            </m:d>
            <m:r>
              <w:rPr>
                <w:rFonts w:ascii="Cambria Math" w:hAnsi="Cambria Math"/>
                <w:lang w:val="en-US" w:eastAsia="zh-CN"/>
              </w:rPr>
              <m:t>,1</m:t>
            </m:r>
          </m:e>
        </m:d>
      </m:oMath>
      <w:r>
        <w:t xml:space="preserve"> bits where maxA</w:t>
      </w:r>
      <w:r w:rsidRPr="00CA657A">
        <w:t>Iin</w:t>
      </w:r>
      <w:r>
        <w:t>dex is the maximum of the values provided by corresponding</w:t>
      </w:r>
      <w:r w:rsidRPr="00CA657A">
        <w:t xml:space="preserve"> </w:t>
      </w:r>
      <w:r w:rsidRPr="006D5695">
        <w:rPr>
          <w:rStyle w:val="fontstyle01"/>
          <w:szCs w:val="16"/>
          <w:lang w:eastAsia="zh-CN"/>
        </w:rPr>
        <w:t>availabilityCombinationId</w:t>
      </w:r>
      <w:r w:rsidRPr="00CA657A">
        <w:rPr>
          <w:lang w:val="en-US" w:eastAsia="zh-CN"/>
        </w:rPr>
        <w:t>. A</w:t>
      </w:r>
      <w:r>
        <w:rPr>
          <w:lang w:val="en-US" w:eastAsia="zh-CN"/>
        </w:rPr>
        <w:t>n</w:t>
      </w:r>
      <w:r w:rsidRPr="00CA657A">
        <w:rPr>
          <w:lang w:val="en-US" w:eastAsia="zh-CN"/>
        </w:rPr>
        <w:t xml:space="preserve"> </w:t>
      </w:r>
      <w:r>
        <w:rPr>
          <w:lang w:val="en-US" w:eastAsia="zh-CN"/>
        </w:rPr>
        <w:t>availability</w:t>
      </w:r>
      <w:r w:rsidRPr="00CA657A">
        <w:rPr>
          <w:lang w:val="en-US" w:eastAsia="zh-CN"/>
        </w:rPr>
        <w:t xml:space="preserve"> </w:t>
      </w:r>
      <w:r>
        <w:rPr>
          <w:lang w:val="en-US" w:eastAsia="zh-CN"/>
        </w:rPr>
        <w:t xml:space="preserve">for a soft symbol </w:t>
      </w:r>
      <w:r w:rsidR="00434C7A" w:rsidRPr="00575441">
        <w:rPr>
          <w:lang w:val="en-US" w:eastAsia="zh-CN"/>
        </w:rPr>
        <w:t>or a</w:t>
      </w:r>
      <w:r w:rsidR="00434C7A">
        <w:rPr>
          <w:lang w:val="en-US" w:eastAsia="zh-CN"/>
        </w:rPr>
        <w:t xml:space="preserve"> soft RB set in an</w:t>
      </w:r>
      <w:r w:rsidR="00434C7A" w:rsidRPr="00575441">
        <w:rPr>
          <w:lang w:val="en-US" w:eastAsia="zh-CN"/>
        </w:rPr>
        <w:t xml:space="preserve"> RB set group</w:t>
      </w:r>
      <w:r w:rsidR="00434C7A">
        <w:rPr>
          <w:lang w:val="en-US" w:eastAsia="zh-CN"/>
        </w:rPr>
        <w:t xml:space="preserve"> </w:t>
      </w:r>
      <w:r>
        <w:rPr>
          <w:lang w:val="en-US" w:eastAsia="zh-CN"/>
        </w:rPr>
        <w:t xml:space="preserve">in a slot </w:t>
      </w:r>
      <w:r w:rsidRPr="00CA657A">
        <w:rPr>
          <w:lang w:val="en-US" w:eastAsia="zh-CN"/>
        </w:rPr>
        <w:t xml:space="preserve">is identified by a corresponding </w:t>
      </w:r>
      <w:r>
        <w:rPr>
          <w:lang w:val="en-US" w:eastAsia="zh-CN"/>
        </w:rPr>
        <w:t>value</w:t>
      </w:r>
      <w:r w:rsidRPr="00CA657A">
        <w:rPr>
          <w:lang w:val="en-US" w:eastAsia="zh-CN"/>
        </w:rPr>
        <w:t xml:space="preserve"> </w:t>
      </w:r>
      <w:r w:rsidRPr="00CC6B34">
        <w:rPr>
          <w:rStyle w:val="fontstyle01"/>
          <w:szCs w:val="16"/>
          <w:lang w:eastAsia="zh-CN"/>
        </w:rPr>
        <w:t>resourceAvailability</w:t>
      </w:r>
      <w:r>
        <w:t xml:space="preserve"> as provided in Table 14</w:t>
      </w:r>
      <w:r w:rsidR="00F65AD5">
        <w:t>-3</w:t>
      </w:r>
      <w:r w:rsidRPr="00CA657A">
        <w:rPr>
          <w:lang w:val="en-US"/>
        </w:rPr>
        <w:t>.</w:t>
      </w:r>
    </w:p>
    <w:p w14:paraId="6DDACFA7" w14:textId="494521E6" w:rsidR="00E9420D" w:rsidRPr="00DA4DCE" w:rsidRDefault="00E9420D" w:rsidP="00C94A97">
      <w:pPr>
        <w:pStyle w:val="TH"/>
        <w:rPr>
          <w:rFonts w:cs="Arial"/>
          <w:i/>
        </w:rPr>
      </w:pPr>
      <w:r w:rsidRPr="006B19E1">
        <w:lastRenderedPageBreak/>
        <w:t>Table 14</w:t>
      </w:r>
      <w:r w:rsidR="00F65AD5">
        <w:t>-3</w:t>
      </w:r>
      <w:r w:rsidRPr="006B19E1">
        <w:t xml:space="preserve">: Mapping between values </w:t>
      </w:r>
      <w:r w:rsidRPr="00C94A97">
        <w:rPr>
          <w:rFonts w:cs="Arial"/>
        </w:rPr>
        <w:t xml:space="preserve">of </w:t>
      </w:r>
      <w:r w:rsidRPr="00C94A97">
        <w:rPr>
          <w:rStyle w:val="fontstyle01"/>
          <w:rFonts w:ascii="Arial" w:hAnsi="Arial" w:cs="Arial"/>
          <w:szCs w:val="16"/>
          <w:lang w:eastAsia="zh-CN"/>
        </w:rPr>
        <w:t xml:space="preserve">resourceAvailability </w:t>
      </w:r>
      <w:r w:rsidRPr="00DA4DCE">
        <w:rPr>
          <w:rStyle w:val="fontstyle01"/>
          <w:rFonts w:ascii="Arial" w:hAnsi="Arial" w:cs="Arial"/>
          <w:i w:val="0"/>
          <w:iCs w:val="0"/>
          <w:szCs w:val="16"/>
          <w:lang w:eastAsia="zh-CN"/>
        </w:rPr>
        <w:t xml:space="preserve">elements and types of soft symbol </w:t>
      </w:r>
      <w:r w:rsidR="00434C7A">
        <w:rPr>
          <w:rFonts w:cs="Arial"/>
          <w:szCs w:val="16"/>
          <w:lang w:eastAsia="zh-CN"/>
        </w:rPr>
        <w:t xml:space="preserve">or soft RB set </w:t>
      </w:r>
      <w:r w:rsidRPr="00DA4DCE">
        <w:rPr>
          <w:rStyle w:val="fontstyle01"/>
          <w:rFonts w:ascii="Arial" w:hAnsi="Arial" w:cs="Arial"/>
          <w:i w:val="0"/>
          <w:iCs w:val="0"/>
          <w:szCs w:val="16"/>
          <w:lang w:eastAsia="zh-CN"/>
        </w:rPr>
        <w:t>availability in a slot</w:t>
      </w:r>
    </w:p>
    <w:tbl>
      <w:tblPr>
        <w:tblW w:w="0" w:type="auto"/>
        <w:jc w:val="center"/>
        <w:tblLook w:val="01E0" w:firstRow="1" w:lastRow="1" w:firstColumn="1" w:lastColumn="1" w:noHBand="0" w:noVBand="0"/>
      </w:tblPr>
      <w:tblGrid>
        <w:gridCol w:w="1475"/>
        <w:gridCol w:w="7430"/>
      </w:tblGrid>
      <w:tr w:rsidR="00E9420D" w:rsidRPr="009861A4" w14:paraId="78D814D8" w14:textId="77777777" w:rsidTr="00792BDC">
        <w:trPr>
          <w:jc w:val="center"/>
        </w:trPr>
        <w:tc>
          <w:tcPr>
            <w:tcW w:w="1475" w:type="dxa"/>
            <w:tcBorders>
              <w:top w:val="single" w:sz="4" w:space="0" w:color="auto"/>
              <w:left w:val="single" w:sz="4" w:space="0" w:color="auto"/>
              <w:bottom w:val="single" w:sz="4" w:space="0" w:color="auto"/>
              <w:right w:val="single" w:sz="4" w:space="0" w:color="auto"/>
            </w:tcBorders>
            <w:shd w:val="clear" w:color="auto" w:fill="E0E0E0"/>
            <w:vAlign w:val="center"/>
          </w:tcPr>
          <w:p w14:paraId="7E5D3BF7" w14:textId="77777777" w:rsidR="00E9420D" w:rsidRPr="009861A4" w:rsidRDefault="00E9420D" w:rsidP="00131932">
            <w:pPr>
              <w:pStyle w:val="TAH"/>
            </w:pPr>
            <w:r>
              <w:t>Value</w:t>
            </w:r>
          </w:p>
        </w:tc>
        <w:tc>
          <w:tcPr>
            <w:tcW w:w="7430" w:type="dxa"/>
            <w:tcBorders>
              <w:top w:val="single" w:sz="4" w:space="0" w:color="auto"/>
              <w:left w:val="single" w:sz="4" w:space="0" w:color="auto"/>
              <w:bottom w:val="single" w:sz="4" w:space="0" w:color="auto"/>
              <w:right w:val="single" w:sz="4" w:space="0" w:color="auto"/>
            </w:tcBorders>
            <w:shd w:val="clear" w:color="auto" w:fill="E0E0E0"/>
            <w:vAlign w:val="center"/>
          </w:tcPr>
          <w:p w14:paraId="59D26E23" w14:textId="77777777" w:rsidR="00E9420D" w:rsidRPr="009861A4" w:rsidRDefault="00E9420D" w:rsidP="00131932">
            <w:pPr>
              <w:pStyle w:val="TAH"/>
            </w:pPr>
            <w:r>
              <w:t>Indication</w:t>
            </w:r>
          </w:p>
        </w:tc>
      </w:tr>
      <w:tr w:rsidR="00434C7A" w:rsidRPr="00575441" w14:paraId="3DE10A32" w14:textId="77777777" w:rsidTr="00792BDC">
        <w:trPr>
          <w:jc w:val="center"/>
        </w:trPr>
        <w:tc>
          <w:tcPr>
            <w:tcW w:w="1475" w:type="dxa"/>
            <w:tcBorders>
              <w:top w:val="single" w:sz="4" w:space="0" w:color="auto"/>
              <w:left w:val="single" w:sz="4" w:space="0" w:color="auto"/>
              <w:bottom w:val="single" w:sz="4" w:space="0" w:color="auto"/>
              <w:right w:val="single" w:sz="4" w:space="0" w:color="auto"/>
            </w:tcBorders>
            <w:vAlign w:val="center"/>
          </w:tcPr>
          <w:p w14:paraId="495ED8CE" w14:textId="77777777" w:rsidR="00434C7A" w:rsidRPr="00575441" w:rsidRDefault="00434C7A" w:rsidP="00434C7A">
            <w:pPr>
              <w:pStyle w:val="TAC"/>
            </w:pPr>
            <w:r w:rsidRPr="00575441">
              <w:t>0</w:t>
            </w:r>
          </w:p>
        </w:tc>
        <w:tc>
          <w:tcPr>
            <w:tcW w:w="7430" w:type="dxa"/>
            <w:tcBorders>
              <w:top w:val="single" w:sz="4" w:space="0" w:color="auto"/>
              <w:left w:val="single" w:sz="4" w:space="0" w:color="auto"/>
              <w:bottom w:val="single" w:sz="4" w:space="0" w:color="auto"/>
              <w:right w:val="single" w:sz="4" w:space="0" w:color="auto"/>
            </w:tcBorders>
            <w:vAlign w:val="center"/>
          </w:tcPr>
          <w:p w14:paraId="56B020A4" w14:textId="77777777" w:rsidR="00434C7A" w:rsidRPr="00575441" w:rsidRDefault="00434C7A" w:rsidP="00434C7A">
            <w:pPr>
              <w:pStyle w:val="TAC"/>
            </w:pPr>
            <w:r w:rsidRPr="00575441">
              <w:t xml:space="preserve">No indication of availability for soft symbols or </w:t>
            </w:r>
            <w:r>
              <w:t xml:space="preserve">soft RB sets in an </w:t>
            </w:r>
            <w:r w:rsidRPr="00575441">
              <w:t>RB set group</w:t>
            </w:r>
          </w:p>
        </w:tc>
      </w:tr>
      <w:tr w:rsidR="00434C7A" w:rsidRPr="00575441" w14:paraId="7F57E2ED" w14:textId="77777777" w:rsidTr="00792BDC">
        <w:trPr>
          <w:jc w:val="center"/>
        </w:trPr>
        <w:tc>
          <w:tcPr>
            <w:tcW w:w="1475" w:type="dxa"/>
            <w:tcBorders>
              <w:top w:val="single" w:sz="4" w:space="0" w:color="auto"/>
              <w:left w:val="single" w:sz="4" w:space="0" w:color="auto"/>
              <w:bottom w:val="single" w:sz="4" w:space="0" w:color="auto"/>
              <w:right w:val="single" w:sz="4" w:space="0" w:color="auto"/>
            </w:tcBorders>
            <w:vAlign w:val="center"/>
          </w:tcPr>
          <w:p w14:paraId="7D50F91A" w14:textId="77777777" w:rsidR="00434C7A" w:rsidRPr="00575441" w:rsidRDefault="00434C7A" w:rsidP="00434C7A">
            <w:pPr>
              <w:pStyle w:val="TAC"/>
            </w:pPr>
            <w:r w:rsidRPr="00575441">
              <w:t>1</w:t>
            </w:r>
          </w:p>
        </w:tc>
        <w:tc>
          <w:tcPr>
            <w:tcW w:w="7430" w:type="dxa"/>
            <w:tcBorders>
              <w:top w:val="single" w:sz="4" w:space="0" w:color="auto"/>
              <w:left w:val="single" w:sz="4" w:space="0" w:color="auto"/>
              <w:bottom w:val="single" w:sz="4" w:space="0" w:color="auto"/>
              <w:right w:val="single" w:sz="4" w:space="0" w:color="auto"/>
            </w:tcBorders>
            <w:vAlign w:val="center"/>
          </w:tcPr>
          <w:p w14:paraId="26714B97" w14:textId="77777777" w:rsidR="00434C7A" w:rsidRPr="00575441" w:rsidRDefault="00434C7A" w:rsidP="00434C7A">
            <w:pPr>
              <w:pStyle w:val="TAC"/>
            </w:pPr>
            <w:r w:rsidRPr="00575441">
              <w:t xml:space="preserve">DL soft symbols or </w:t>
            </w:r>
            <w:r>
              <w:t xml:space="preserve">soft RB sets in an </w:t>
            </w:r>
            <w:r w:rsidRPr="00575441">
              <w:t xml:space="preserve">RB set group are indicated available </w:t>
            </w:r>
          </w:p>
          <w:p w14:paraId="636D9E1E" w14:textId="37556BA8" w:rsidR="00434C7A" w:rsidRPr="00575441" w:rsidRDefault="00434C7A" w:rsidP="00434C7A">
            <w:pPr>
              <w:pStyle w:val="TAC"/>
            </w:pPr>
            <w:r w:rsidRPr="00575441">
              <w:t xml:space="preserve">No indication of availability for UL and Flexible soft symbols or </w:t>
            </w:r>
            <w:r w:rsidR="00387787">
              <w:t xml:space="preserve">soft RB sets in an </w:t>
            </w:r>
            <w:r w:rsidRPr="00575441">
              <w:t>RB set group</w:t>
            </w:r>
          </w:p>
        </w:tc>
      </w:tr>
      <w:tr w:rsidR="00434C7A" w:rsidRPr="00575441" w14:paraId="4291D31D" w14:textId="77777777" w:rsidTr="00792BDC">
        <w:trPr>
          <w:jc w:val="center"/>
        </w:trPr>
        <w:tc>
          <w:tcPr>
            <w:tcW w:w="1475" w:type="dxa"/>
            <w:tcBorders>
              <w:top w:val="single" w:sz="4" w:space="0" w:color="auto"/>
              <w:left w:val="single" w:sz="4" w:space="0" w:color="auto"/>
              <w:bottom w:val="single" w:sz="4" w:space="0" w:color="auto"/>
              <w:right w:val="single" w:sz="4" w:space="0" w:color="auto"/>
            </w:tcBorders>
            <w:vAlign w:val="center"/>
          </w:tcPr>
          <w:p w14:paraId="69A98BDE" w14:textId="77777777" w:rsidR="00434C7A" w:rsidRPr="00575441" w:rsidRDefault="00434C7A" w:rsidP="00434C7A">
            <w:pPr>
              <w:pStyle w:val="TAC"/>
            </w:pPr>
            <w:r w:rsidRPr="00575441">
              <w:t>2</w:t>
            </w:r>
          </w:p>
        </w:tc>
        <w:tc>
          <w:tcPr>
            <w:tcW w:w="7430" w:type="dxa"/>
            <w:tcBorders>
              <w:top w:val="single" w:sz="4" w:space="0" w:color="auto"/>
              <w:left w:val="single" w:sz="4" w:space="0" w:color="auto"/>
              <w:bottom w:val="single" w:sz="4" w:space="0" w:color="auto"/>
              <w:right w:val="single" w:sz="4" w:space="0" w:color="auto"/>
            </w:tcBorders>
            <w:vAlign w:val="center"/>
          </w:tcPr>
          <w:p w14:paraId="2867A189" w14:textId="77777777" w:rsidR="00434C7A" w:rsidRPr="00575441" w:rsidRDefault="00434C7A" w:rsidP="00434C7A">
            <w:pPr>
              <w:pStyle w:val="TAC"/>
            </w:pPr>
            <w:r w:rsidRPr="00575441">
              <w:t xml:space="preserve">UL soft symbols or </w:t>
            </w:r>
            <w:r>
              <w:t xml:space="preserve">soft RB sets in an </w:t>
            </w:r>
            <w:r w:rsidRPr="00575441">
              <w:t xml:space="preserve">RB set group are indicated available </w:t>
            </w:r>
          </w:p>
          <w:p w14:paraId="2AACCF1A" w14:textId="53EEEA7A" w:rsidR="00434C7A" w:rsidRPr="00575441" w:rsidRDefault="00434C7A" w:rsidP="00434C7A">
            <w:pPr>
              <w:pStyle w:val="TAC"/>
            </w:pPr>
            <w:r w:rsidRPr="00575441">
              <w:t xml:space="preserve">No indication of availability for DL and Flexible soft symbols or </w:t>
            </w:r>
            <w:r w:rsidR="00387787">
              <w:t xml:space="preserve">soft RB sets in an </w:t>
            </w:r>
            <w:r w:rsidRPr="00575441">
              <w:t>RB set group</w:t>
            </w:r>
          </w:p>
        </w:tc>
      </w:tr>
      <w:tr w:rsidR="00434C7A" w:rsidRPr="00575441" w14:paraId="323B61AA" w14:textId="77777777" w:rsidTr="00792BDC">
        <w:trPr>
          <w:jc w:val="center"/>
        </w:trPr>
        <w:tc>
          <w:tcPr>
            <w:tcW w:w="1475" w:type="dxa"/>
            <w:tcBorders>
              <w:top w:val="single" w:sz="4" w:space="0" w:color="auto"/>
              <w:left w:val="single" w:sz="4" w:space="0" w:color="auto"/>
              <w:bottom w:val="single" w:sz="4" w:space="0" w:color="auto"/>
              <w:right w:val="single" w:sz="4" w:space="0" w:color="auto"/>
            </w:tcBorders>
            <w:vAlign w:val="center"/>
          </w:tcPr>
          <w:p w14:paraId="6F5CE1FD" w14:textId="77777777" w:rsidR="00434C7A" w:rsidRPr="00575441" w:rsidRDefault="00434C7A" w:rsidP="00434C7A">
            <w:pPr>
              <w:pStyle w:val="TAC"/>
            </w:pPr>
            <w:r w:rsidRPr="00575441">
              <w:t>3</w:t>
            </w:r>
          </w:p>
        </w:tc>
        <w:tc>
          <w:tcPr>
            <w:tcW w:w="7430" w:type="dxa"/>
            <w:tcBorders>
              <w:top w:val="single" w:sz="4" w:space="0" w:color="auto"/>
              <w:left w:val="single" w:sz="4" w:space="0" w:color="auto"/>
              <w:bottom w:val="single" w:sz="4" w:space="0" w:color="auto"/>
              <w:right w:val="single" w:sz="4" w:space="0" w:color="auto"/>
            </w:tcBorders>
            <w:vAlign w:val="center"/>
          </w:tcPr>
          <w:p w14:paraId="59569AAC" w14:textId="77777777" w:rsidR="00434C7A" w:rsidRPr="00575441" w:rsidRDefault="00434C7A" w:rsidP="00434C7A">
            <w:pPr>
              <w:pStyle w:val="TAC"/>
            </w:pPr>
            <w:r w:rsidRPr="00575441">
              <w:t xml:space="preserve">DL and UL soft symbols or </w:t>
            </w:r>
            <w:r>
              <w:t xml:space="preserve">soft RB sets in an </w:t>
            </w:r>
            <w:r w:rsidRPr="00575441">
              <w:t xml:space="preserve">RB set group are indicated available </w:t>
            </w:r>
          </w:p>
          <w:p w14:paraId="6A78AABF" w14:textId="25395531" w:rsidR="00434C7A" w:rsidRPr="00575441" w:rsidRDefault="00434C7A" w:rsidP="00434C7A">
            <w:pPr>
              <w:pStyle w:val="TAC"/>
            </w:pPr>
            <w:r w:rsidRPr="00575441">
              <w:t xml:space="preserve">No indication of availability for Flexible soft symbols or </w:t>
            </w:r>
            <w:r w:rsidR="00387787">
              <w:t xml:space="preserve">soft RB sets in an </w:t>
            </w:r>
            <w:r w:rsidRPr="00575441">
              <w:t>RB set group</w:t>
            </w:r>
          </w:p>
        </w:tc>
      </w:tr>
      <w:tr w:rsidR="00434C7A" w:rsidRPr="00575441" w14:paraId="34139358" w14:textId="77777777" w:rsidTr="00792BDC">
        <w:trPr>
          <w:jc w:val="center"/>
        </w:trPr>
        <w:tc>
          <w:tcPr>
            <w:tcW w:w="1475" w:type="dxa"/>
            <w:tcBorders>
              <w:top w:val="single" w:sz="4" w:space="0" w:color="auto"/>
              <w:left w:val="single" w:sz="4" w:space="0" w:color="auto"/>
              <w:bottom w:val="single" w:sz="4" w:space="0" w:color="auto"/>
              <w:right w:val="single" w:sz="4" w:space="0" w:color="auto"/>
            </w:tcBorders>
            <w:vAlign w:val="center"/>
          </w:tcPr>
          <w:p w14:paraId="2B1E8F66" w14:textId="77777777" w:rsidR="00434C7A" w:rsidRPr="00575441" w:rsidRDefault="00434C7A" w:rsidP="00434C7A">
            <w:pPr>
              <w:pStyle w:val="TAC"/>
            </w:pPr>
            <w:r w:rsidRPr="00575441">
              <w:t>4</w:t>
            </w:r>
          </w:p>
        </w:tc>
        <w:tc>
          <w:tcPr>
            <w:tcW w:w="7430" w:type="dxa"/>
            <w:tcBorders>
              <w:top w:val="single" w:sz="4" w:space="0" w:color="auto"/>
              <w:left w:val="single" w:sz="4" w:space="0" w:color="auto"/>
              <w:bottom w:val="single" w:sz="4" w:space="0" w:color="auto"/>
              <w:right w:val="single" w:sz="4" w:space="0" w:color="auto"/>
            </w:tcBorders>
            <w:vAlign w:val="center"/>
          </w:tcPr>
          <w:p w14:paraId="4E701153" w14:textId="77777777" w:rsidR="00434C7A" w:rsidRPr="00575441" w:rsidRDefault="00434C7A" w:rsidP="00434C7A">
            <w:pPr>
              <w:pStyle w:val="TAC"/>
            </w:pPr>
            <w:r w:rsidRPr="00575441">
              <w:t xml:space="preserve">Flexible soft symbols or </w:t>
            </w:r>
            <w:r>
              <w:t xml:space="preserve">soft RB sets in an </w:t>
            </w:r>
            <w:r w:rsidRPr="00575441">
              <w:t xml:space="preserve">RB set group are indicated available </w:t>
            </w:r>
          </w:p>
          <w:p w14:paraId="3C556BC1" w14:textId="6C100C48" w:rsidR="00434C7A" w:rsidRPr="00575441" w:rsidRDefault="00434C7A" w:rsidP="00434C7A">
            <w:pPr>
              <w:pStyle w:val="TAC"/>
            </w:pPr>
            <w:r w:rsidRPr="00575441">
              <w:t xml:space="preserve">No indication of availability for DL and UL soft symbols or </w:t>
            </w:r>
            <w:r w:rsidR="00387787">
              <w:t xml:space="preserve">soft RB sets in an </w:t>
            </w:r>
            <w:r w:rsidRPr="00575441">
              <w:t>RB set group</w:t>
            </w:r>
          </w:p>
        </w:tc>
      </w:tr>
      <w:tr w:rsidR="00434C7A" w:rsidRPr="00575441" w14:paraId="6E9C31ED" w14:textId="77777777" w:rsidTr="00792BDC">
        <w:trPr>
          <w:jc w:val="center"/>
        </w:trPr>
        <w:tc>
          <w:tcPr>
            <w:tcW w:w="1475" w:type="dxa"/>
            <w:tcBorders>
              <w:top w:val="single" w:sz="4" w:space="0" w:color="auto"/>
              <w:left w:val="single" w:sz="4" w:space="0" w:color="auto"/>
              <w:bottom w:val="single" w:sz="4" w:space="0" w:color="auto"/>
              <w:right w:val="single" w:sz="4" w:space="0" w:color="auto"/>
            </w:tcBorders>
            <w:vAlign w:val="center"/>
          </w:tcPr>
          <w:p w14:paraId="6E0874B4" w14:textId="77777777" w:rsidR="00434C7A" w:rsidRPr="00575441" w:rsidRDefault="00434C7A" w:rsidP="00434C7A">
            <w:pPr>
              <w:pStyle w:val="TAC"/>
            </w:pPr>
            <w:r w:rsidRPr="00575441">
              <w:t>5</w:t>
            </w:r>
          </w:p>
        </w:tc>
        <w:tc>
          <w:tcPr>
            <w:tcW w:w="7430" w:type="dxa"/>
            <w:tcBorders>
              <w:top w:val="single" w:sz="4" w:space="0" w:color="auto"/>
              <w:left w:val="single" w:sz="4" w:space="0" w:color="auto"/>
              <w:bottom w:val="single" w:sz="4" w:space="0" w:color="auto"/>
              <w:right w:val="single" w:sz="4" w:space="0" w:color="auto"/>
            </w:tcBorders>
            <w:vAlign w:val="center"/>
          </w:tcPr>
          <w:p w14:paraId="55720025" w14:textId="77777777" w:rsidR="00434C7A" w:rsidRPr="00575441" w:rsidRDefault="00434C7A" w:rsidP="00434C7A">
            <w:pPr>
              <w:pStyle w:val="TAC"/>
            </w:pPr>
            <w:r w:rsidRPr="00575441">
              <w:t xml:space="preserve">DL and Flexible soft symbols or </w:t>
            </w:r>
            <w:r>
              <w:t xml:space="preserve">soft RB sets in an </w:t>
            </w:r>
            <w:r w:rsidRPr="00575441">
              <w:t xml:space="preserve">RB set group are indicated available </w:t>
            </w:r>
          </w:p>
          <w:p w14:paraId="117C74DE" w14:textId="57ADE082" w:rsidR="00434C7A" w:rsidRPr="00575441" w:rsidRDefault="00434C7A" w:rsidP="00434C7A">
            <w:pPr>
              <w:pStyle w:val="TAC"/>
            </w:pPr>
            <w:r w:rsidRPr="00575441">
              <w:t xml:space="preserve">No indication of availability for UL soft symbols or </w:t>
            </w:r>
            <w:r w:rsidR="00387787">
              <w:t xml:space="preserve">soft RB sets in an </w:t>
            </w:r>
            <w:r w:rsidRPr="00575441">
              <w:t>RB set group</w:t>
            </w:r>
          </w:p>
        </w:tc>
      </w:tr>
      <w:tr w:rsidR="00434C7A" w:rsidRPr="00575441" w14:paraId="48363EF6" w14:textId="77777777" w:rsidTr="00792BDC">
        <w:trPr>
          <w:jc w:val="center"/>
        </w:trPr>
        <w:tc>
          <w:tcPr>
            <w:tcW w:w="1475" w:type="dxa"/>
            <w:tcBorders>
              <w:top w:val="single" w:sz="4" w:space="0" w:color="auto"/>
              <w:left w:val="single" w:sz="4" w:space="0" w:color="auto"/>
              <w:bottom w:val="single" w:sz="4" w:space="0" w:color="auto"/>
              <w:right w:val="single" w:sz="4" w:space="0" w:color="auto"/>
            </w:tcBorders>
            <w:vAlign w:val="center"/>
          </w:tcPr>
          <w:p w14:paraId="793443A9" w14:textId="77777777" w:rsidR="00434C7A" w:rsidRPr="00575441" w:rsidRDefault="00434C7A" w:rsidP="00434C7A">
            <w:pPr>
              <w:pStyle w:val="TAC"/>
            </w:pPr>
            <w:r w:rsidRPr="00575441">
              <w:t>6</w:t>
            </w:r>
          </w:p>
        </w:tc>
        <w:tc>
          <w:tcPr>
            <w:tcW w:w="7430" w:type="dxa"/>
            <w:tcBorders>
              <w:top w:val="single" w:sz="4" w:space="0" w:color="auto"/>
              <w:left w:val="single" w:sz="4" w:space="0" w:color="auto"/>
              <w:bottom w:val="single" w:sz="4" w:space="0" w:color="auto"/>
              <w:right w:val="single" w:sz="4" w:space="0" w:color="auto"/>
            </w:tcBorders>
            <w:vAlign w:val="center"/>
          </w:tcPr>
          <w:p w14:paraId="6514A041" w14:textId="77777777" w:rsidR="00434C7A" w:rsidRPr="00575441" w:rsidRDefault="00434C7A" w:rsidP="00434C7A">
            <w:pPr>
              <w:pStyle w:val="TAC"/>
            </w:pPr>
            <w:r w:rsidRPr="00575441">
              <w:t xml:space="preserve">UL and Flexible soft symbols or </w:t>
            </w:r>
            <w:r>
              <w:t xml:space="preserve">soft RB sets in an </w:t>
            </w:r>
            <w:r w:rsidRPr="00575441">
              <w:t xml:space="preserve">RB set group are indicated available </w:t>
            </w:r>
          </w:p>
          <w:p w14:paraId="6354D32D" w14:textId="3E010F6C" w:rsidR="00434C7A" w:rsidRPr="00575441" w:rsidRDefault="00434C7A" w:rsidP="00434C7A">
            <w:pPr>
              <w:pStyle w:val="TAC"/>
            </w:pPr>
            <w:r w:rsidRPr="00575441">
              <w:t xml:space="preserve">No indication of availability for DL soft symbols or </w:t>
            </w:r>
            <w:r w:rsidR="00387787">
              <w:t xml:space="preserve">soft RB sets in an </w:t>
            </w:r>
            <w:r w:rsidRPr="00575441">
              <w:t>RB set group</w:t>
            </w:r>
          </w:p>
        </w:tc>
      </w:tr>
      <w:tr w:rsidR="00434C7A" w:rsidRPr="00575441" w14:paraId="6B4506ED" w14:textId="77777777" w:rsidTr="00792BDC">
        <w:trPr>
          <w:jc w:val="center"/>
        </w:trPr>
        <w:tc>
          <w:tcPr>
            <w:tcW w:w="1475" w:type="dxa"/>
            <w:tcBorders>
              <w:top w:val="single" w:sz="4" w:space="0" w:color="auto"/>
              <w:left w:val="single" w:sz="4" w:space="0" w:color="auto"/>
              <w:bottom w:val="single" w:sz="4" w:space="0" w:color="auto"/>
              <w:right w:val="single" w:sz="4" w:space="0" w:color="auto"/>
            </w:tcBorders>
            <w:vAlign w:val="center"/>
          </w:tcPr>
          <w:p w14:paraId="641A467F" w14:textId="77777777" w:rsidR="00434C7A" w:rsidRPr="00575441" w:rsidRDefault="00434C7A" w:rsidP="00434C7A">
            <w:pPr>
              <w:pStyle w:val="TAC"/>
            </w:pPr>
            <w:r w:rsidRPr="00575441">
              <w:t>7</w:t>
            </w:r>
          </w:p>
        </w:tc>
        <w:tc>
          <w:tcPr>
            <w:tcW w:w="7430" w:type="dxa"/>
            <w:tcBorders>
              <w:top w:val="single" w:sz="4" w:space="0" w:color="auto"/>
              <w:left w:val="single" w:sz="4" w:space="0" w:color="auto"/>
              <w:bottom w:val="single" w:sz="4" w:space="0" w:color="auto"/>
              <w:right w:val="single" w:sz="4" w:space="0" w:color="auto"/>
            </w:tcBorders>
            <w:vAlign w:val="center"/>
          </w:tcPr>
          <w:p w14:paraId="5F0F5BE3" w14:textId="77777777" w:rsidR="00434C7A" w:rsidRPr="00575441" w:rsidRDefault="00434C7A" w:rsidP="00434C7A">
            <w:pPr>
              <w:pStyle w:val="TAC"/>
            </w:pPr>
            <w:r w:rsidRPr="00575441">
              <w:t xml:space="preserve">DL, UL, and Flexible soft symbols or </w:t>
            </w:r>
            <w:r>
              <w:t xml:space="preserve">soft RB sets in an </w:t>
            </w:r>
            <w:r w:rsidRPr="00575441">
              <w:t>RB set group are indicated available</w:t>
            </w:r>
          </w:p>
        </w:tc>
      </w:tr>
    </w:tbl>
    <w:p w14:paraId="793B31FB" w14:textId="3BCA6E3D" w:rsidR="005D2DE1" w:rsidRPr="00636608" w:rsidRDefault="00E9420D" w:rsidP="005D2DE1">
      <w:pPr>
        <w:spacing w:before="180"/>
      </w:pPr>
      <w:r w:rsidRPr="00CA657A">
        <w:rPr>
          <w:lang w:val="en-US"/>
        </w:rPr>
        <w:t>If a PDCCH monitorin</w:t>
      </w:r>
      <w:r>
        <w:rPr>
          <w:lang w:val="en-US"/>
        </w:rPr>
        <w:t>g periodicity for DCI format 2_5</w:t>
      </w:r>
      <w:r w:rsidRPr="00CA657A">
        <w:rPr>
          <w:i/>
        </w:rPr>
        <w:t xml:space="preserve"> </w:t>
      </w:r>
      <w:r w:rsidRPr="00CA657A">
        <w:t xml:space="preserve">is smaller </w:t>
      </w:r>
      <w:r>
        <w:t>than a duration of an availability</w:t>
      </w:r>
      <w:r w:rsidRPr="00CA657A">
        <w:t xml:space="preserve"> </w:t>
      </w:r>
      <w:r w:rsidRPr="00CA657A">
        <w:rPr>
          <w:lang w:val="en-US"/>
        </w:rPr>
        <w:t xml:space="preserve">combination </w:t>
      </w:r>
      <w:r>
        <w:rPr>
          <w:lang w:val="en-US"/>
        </w:rPr>
        <w:t xml:space="preserve">of soft symbols over a number of slots that </w:t>
      </w:r>
      <w:r w:rsidRPr="00CA657A">
        <w:rPr>
          <w:lang w:val="en-US"/>
        </w:rPr>
        <w:t xml:space="preserve">the </w:t>
      </w:r>
      <w:r w:rsidR="008823B9">
        <w:rPr>
          <w:lang w:val="en-US"/>
        </w:rPr>
        <w:t>IAB-MT</w:t>
      </w:r>
      <w:r w:rsidRPr="00CA657A">
        <w:rPr>
          <w:lang w:val="en-US"/>
        </w:rPr>
        <w:t xml:space="preserve"> obtains at a PDCCH monito</w:t>
      </w:r>
      <w:r>
        <w:rPr>
          <w:lang w:val="en-US"/>
        </w:rPr>
        <w:t xml:space="preserve">ring occasion for DCI format 2_5 by a corresponding AI </w:t>
      </w:r>
      <w:r w:rsidRPr="00CA657A">
        <w:rPr>
          <w:lang w:val="en-US"/>
        </w:rPr>
        <w:t xml:space="preserve">index field value, and the </w:t>
      </w:r>
      <w:r w:rsidR="008823B9">
        <w:rPr>
          <w:lang w:val="en-US"/>
        </w:rPr>
        <w:t>IAB-MT</w:t>
      </w:r>
      <w:r w:rsidRPr="00CA657A">
        <w:rPr>
          <w:lang w:val="en-US"/>
        </w:rPr>
        <w:t xml:space="preserve"> detec</w:t>
      </w:r>
      <w:r>
        <w:rPr>
          <w:lang w:val="en-US"/>
        </w:rPr>
        <w:t xml:space="preserve">ts more than one DCI formats 2_5 indicating an availability combination of soft symbols </w:t>
      </w:r>
      <w:r w:rsidR="00434C7A" w:rsidRPr="00575441">
        <w:rPr>
          <w:lang w:val="en-US"/>
        </w:rPr>
        <w:t xml:space="preserve">or of </w:t>
      </w:r>
      <w:r w:rsidR="00434C7A" w:rsidRPr="00542F05">
        <w:rPr>
          <w:szCs w:val="22"/>
        </w:rPr>
        <w:t>soft RB sets in</w:t>
      </w:r>
      <w:r w:rsidR="00434C7A" w:rsidRPr="00542F05">
        <w:rPr>
          <w:rFonts w:ascii="Arial" w:hAnsi="Arial"/>
          <w:szCs w:val="22"/>
        </w:rPr>
        <w:t xml:space="preserve"> </w:t>
      </w:r>
      <w:r w:rsidR="00434C7A" w:rsidRPr="00575441">
        <w:rPr>
          <w:lang w:val="en-US"/>
        </w:rPr>
        <w:t>RB set groups</w:t>
      </w:r>
      <w:r w:rsidR="00434C7A">
        <w:rPr>
          <w:lang w:val="en-US"/>
        </w:rPr>
        <w:t xml:space="preserve"> </w:t>
      </w:r>
      <w:r>
        <w:rPr>
          <w:lang w:val="en-US"/>
        </w:rPr>
        <w:t>in a</w:t>
      </w:r>
      <w:r w:rsidRPr="00CA657A">
        <w:rPr>
          <w:lang w:val="en-US"/>
        </w:rPr>
        <w:t xml:space="preserve"> slot, the </w:t>
      </w:r>
      <w:r w:rsidR="008823B9">
        <w:rPr>
          <w:lang w:val="en-US"/>
        </w:rPr>
        <w:t>IAB-MT</w:t>
      </w:r>
      <w:r w:rsidRPr="00CA657A">
        <w:rPr>
          <w:lang w:val="en-US"/>
        </w:rPr>
        <w:t xml:space="preserve"> expects </w:t>
      </w:r>
      <w:r>
        <w:rPr>
          <w:lang w:val="en-US"/>
        </w:rPr>
        <w:t xml:space="preserve">that </w:t>
      </w:r>
      <w:r w:rsidRPr="00CA657A">
        <w:rPr>
          <w:lang w:val="en-US"/>
        </w:rPr>
        <w:t>each of t</w:t>
      </w:r>
      <w:r>
        <w:rPr>
          <w:lang w:val="en-US"/>
        </w:rPr>
        <w:t>he more than one DCI formats 2_5 indicates a same value for the availability combination of</w:t>
      </w:r>
      <w:r w:rsidRPr="00CA657A">
        <w:rPr>
          <w:lang w:val="en-US"/>
        </w:rPr>
        <w:t xml:space="preserve"> the </w:t>
      </w:r>
      <w:r>
        <w:rPr>
          <w:lang w:val="en-US"/>
        </w:rPr>
        <w:t xml:space="preserve">soft symbols </w:t>
      </w:r>
      <w:r w:rsidR="00434C7A" w:rsidRPr="00575441">
        <w:rPr>
          <w:lang w:val="en-US"/>
        </w:rPr>
        <w:t xml:space="preserve">or of </w:t>
      </w:r>
      <w:r w:rsidR="00434C7A" w:rsidRPr="00542F05">
        <w:rPr>
          <w:szCs w:val="22"/>
        </w:rPr>
        <w:t>soft RB sets in</w:t>
      </w:r>
      <w:r w:rsidR="00434C7A" w:rsidRPr="00542F05">
        <w:rPr>
          <w:rFonts w:ascii="Arial" w:hAnsi="Arial"/>
          <w:szCs w:val="22"/>
        </w:rPr>
        <w:t xml:space="preserve"> </w:t>
      </w:r>
      <w:r w:rsidR="00434C7A">
        <w:rPr>
          <w:lang w:val="en-US"/>
        </w:rPr>
        <w:t>an</w:t>
      </w:r>
      <w:r w:rsidR="00434C7A" w:rsidRPr="00575441">
        <w:rPr>
          <w:lang w:val="en-US"/>
        </w:rPr>
        <w:t xml:space="preserve"> RB set group</w:t>
      </w:r>
      <w:r w:rsidR="00434C7A">
        <w:rPr>
          <w:lang w:val="en-US"/>
        </w:rPr>
        <w:t xml:space="preserve"> </w:t>
      </w:r>
      <w:r>
        <w:rPr>
          <w:lang w:val="en-US"/>
        </w:rPr>
        <w:t xml:space="preserve">in the </w:t>
      </w:r>
      <w:r w:rsidRPr="00CA657A">
        <w:rPr>
          <w:lang w:val="en-US"/>
        </w:rPr>
        <w:t>slot</w:t>
      </w:r>
      <w:r>
        <w:rPr>
          <w:lang w:val="en-US"/>
        </w:rPr>
        <w:t>.</w:t>
      </w:r>
      <w:r w:rsidR="005D2DE1" w:rsidRPr="00636608">
        <w:rPr>
          <w:lang w:val="en-US"/>
        </w:rPr>
        <w:t xml:space="preserve"> </w:t>
      </w:r>
      <w:r w:rsidR="005D2DE1" w:rsidRPr="00636608">
        <w:rPr>
          <w:lang w:eastAsia="zh-CN"/>
        </w:rPr>
        <w:t xml:space="preserve">An </w:t>
      </w:r>
      <w:r w:rsidR="005D2DE1" w:rsidRPr="00636608">
        <w:t xml:space="preserve">IAB-MT </w:t>
      </w:r>
      <w:r w:rsidR="005D2DE1" w:rsidRPr="00636608">
        <w:rPr>
          <w:lang w:eastAsia="zh-CN"/>
        </w:rPr>
        <w:t>monitors PDCCH candidates for a DCI format</w:t>
      </w:r>
      <w:r w:rsidR="005D2DE1" w:rsidRPr="00636608">
        <w:t xml:space="preserve"> 2_5 with CRC scrambled by AI-RNTI in one or both of the following search space sets:</w:t>
      </w:r>
    </w:p>
    <w:p w14:paraId="6EF968BC" w14:textId="1A0214BB" w:rsidR="005D2DE1" w:rsidRPr="00636608" w:rsidRDefault="005D2DE1" w:rsidP="00636608">
      <w:pPr>
        <w:pStyle w:val="B1"/>
        <w:rPr>
          <w:lang w:eastAsia="zh-CN"/>
        </w:rPr>
      </w:pPr>
      <w:r w:rsidRPr="00636608">
        <w:t>-</w:t>
      </w:r>
      <w:r w:rsidRPr="00636608">
        <w:tab/>
        <w:t xml:space="preserve">a Type3-PDCCH CSS set </w:t>
      </w:r>
      <w:r w:rsidRPr="00636608">
        <w:rPr>
          <w:lang w:eastAsia="zh-CN"/>
        </w:rPr>
        <w:t xml:space="preserve">configured by </w:t>
      </w:r>
      <w:r w:rsidRPr="00636608">
        <w:rPr>
          <w:i/>
          <w:iCs/>
          <w:lang w:eastAsia="zh-CN"/>
        </w:rPr>
        <w:t>SearchSpace</w:t>
      </w:r>
      <w:r w:rsidRPr="00636608">
        <w:rPr>
          <w:lang w:eastAsia="zh-CN"/>
        </w:rPr>
        <w:t xml:space="preserve"> in </w:t>
      </w:r>
      <w:r w:rsidRPr="00636608">
        <w:rPr>
          <w:i/>
          <w:iCs/>
          <w:lang w:eastAsia="zh-CN"/>
        </w:rPr>
        <w:t>PDCCH-Config</w:t>
      </w:r>
      <w:r w:rsidRPr="00636608">
        <w:rPr>
          <w:lang w:eastAsia="zh-CN"/>
        </w:rPr>
        <w:t xml:space="preserve"> with </w:t>
      </w:r>
      <w:r w:rsidRPr="00636608">
        <w:rPr>
          <w:i/>
          <w:iCs/>
          <w:lang w:eastAsia="zh-CN"/>
        </w:rPr>
        <w:t>searchSpaceType</w:t>
      </w:r>
      <w:r w:rsidRPr="00636608">
        <w:rPr>
          <w:lang w:eastAsia="zh-CN"/>
        </w:rPr>
        <w:t xml:space="preserve"> = </w:t>
      </w:r>
      <w:r w:rsidRPr="00636608">
        <w:rPr>
          <w:i/>
          <w:iCs/>
          <w:lang w:eastAsia="zh-CN"/>
        </w:rPr>
        <w:t>common</w:t>
      </w:r>
      <w:r w:rsidRPr="00636608">
        <w:rPr>
          <w:lang w:val="en-US" w:eastAsia="zh-CN"/>
        </w:rPr>
        <w:t>;</w:t>
      </w:r>
      <w:r w:rsidRPr="00636608">
        <w:rPr>
          <w:lang w:eastAsia="zh-CN"/>
        </w:rPr>
        <w:t xml:space="preserve"> </w:t>
      </w:r>
    </w:p>
    <w:p w14:paraId="13D7860E" w14:textId="169A2537" w:rsidR="00E9420D" w:rsidRDefault="005D2DE1" w:rsidP="00636608">
      <w:pPr>
        <w:pStyle w:val="B1"/>
        <w:rPr>
          <w:lang w:eastAsia="zh-CN"/>
        </w:rPr>
      </w:pPr>
      <w:r w:rsidRPr="00636608">
        <w:rPr>
          <w:lang w:eastAsia="zh-CN"/>
        </w:rPr>
        <w:t>-</w:t>
      </w:r>
      <w:r w:rsidRPr="00636608">
        <w:rPr>
          <w:lang w:eastAsia="zh-CN"/>
        </w:rPr>
        <w:tab/>
      </w:r>
      <w:r w:rsidRPr="00636608">
        <w:t xml:space="preserve">a USS set </w:t>
      </w:r>
      <w:r w:rsidRPr="00636608">
        <w:rPr>
          <w:lang w:eastAsia="zh-CN"/>
        </w:rPr>
        <w:t xml:space="preserve">configured by </w:t>
      </w:r>
      <w:r w:rsidRPr="00636608">
        <w:rPr>
          <w:iCs/>
          <w:lang w:eastAsia="zh-CN"/>
        </w:rPr>
        <w:t>SearchSpace</w:t>
      </w:r>
      <w:r w:rsidRPr="00636608">
        <w:rPr>
          <w:lang w:eastAsia="zh-CN"/>
        </w:rPr>
        <w:t xml:space="preserve"> in </w:t>
      </w:r>
      <w:r w:rsidRPr="00636608">
        <w:rPr>
          <w:iCs/>
          <w:lang w:eastAsia="zh-CN"/>
        </w:rPr>
        <w:t>PDCCH-Config</w:t>
      </w:r>
      <w:r w:rsidRPr="00636608">
        <w:rPr>
          <w:lang w:eastAsia="zh-CN"/>
        </w:rPr>
        <w:t xml:space="preserve"> with </w:t>
      </w:r>
      <w:r w:rsidRPr="00636608">
        <w:rPr>
          <w:iCs/>
          <w:lang w:eastAsia="zh-CN"/>
        </w:rPr>
        <w:t>searchSpaceType</w:t>
      </w:r>
      <w:r w:rsidRPr="00636608">
        <w:rPr>
          <w:lang w:eastAsia="zh-CN"/>
        </w:rPr>
        <w:t xml:space="preserve"> = </w:t>
      </w:r>
      <w:r w:rsidRPr="00636608">
        <w:t>ue-Specific</w:t>
      </w:r>
      <w:r w:rsidRPr="00636608">
        <w:rPr>
          <w:lang w:eastAsia="zh-CN"/>
        </w:rPr>
        <w:t>.</w:t>
      </w:r>
    </w:p>
    <w:p w14:paraId="07091BF6" w14:textId="77777777" w:rsidR="00D5274C" w:rsidRPr="006F5D48" w:rsidRDefault="00D5274C" w:rsidP="00D5274C">
      <w:r w:rsidRPr="006F5D48">
        <w:t xml:space="preserve">The IAB-node can be provided </w:t>
      </w:r>
      <w:r>
        <w:t xml:space="preserve">by the parent node </w:t>
      </w:r>
      <w:r w:rsidRPr="006F5D48">
        <w:t xml:space="preserve">a set of RS resource indexes that indicate quasi co-location properties of </w:t>
      </w:r>
      <w:r>
        <w:t>an</w:t>
      </w:r>
      <w:r w:rsidRPr="006F5D48">
        <w:t xml:space="preserve"> IAB-DU cell where simultaneous transmission</w:t>
      </w:r>
      <w:r>
        <w:t>/reception</w:t>
      </w:r>
      <w:r w:rsidRPr="006F5D48">
        <w:t xml:space="preserve"> from the IAB-MT and</w:t>
      </w:r>
      <w:r>
        <w:t xml:space="preserve"> transmission from the</w:t>
      </w:r>
      <w:r w:rsidRPr="006F5D48">
        <w:t xml:space="preserve"> IAB-DU cells is restricted by Child IAB-DU Restricted Beam Indication MAC CE as described in [11, TS 38.321]. The IAB-DU does not transmit on a cell if the IAB node is operating in a non-TDM multiplexing mode using an indicated RS resource index on a symbol or RB set configured as soft in an IAB-DU cell</w:t>
      </w:r>
    </w:p>
    <w:p w14:paraId="03826C70" w14:textId="77777777" w:rsidR="00D5274C" w:rsidRPr="006F5D48" w:rsidRDefault="00D5274C" w:rsidP="00D5274C">
      <w:pPr>
        <w:pStyle w:val="B1"/>
      </w:pPr>
      <w:r w:rsidRPr="006F5D48">
        <w:t>-</w:t>
      </w:r>
      <w:r w:rsidRPr="006F5D48">
        <w:tab/>
        <w:t xml:space="preserve">when it is not indicated as available by </w:t>
      </w:r>
      <w:r w:rsidRPr="006F5D48">
        <w:rPr>
          <w:i/>
          <w:iCs/>
        </w:rPr>
        <w:t>resourceAvailability</w:t>
      </w:r>
    </w:p>
    <w:p w14:paraId="3D86ABCB" w14:textId="77777777" w:rsidR="00D5274C" w:rsidRPr="006F5D48" w:rsidRDefault="00D5274C" w:rsidP="00D5274C">
      <w:pPr>
        <w:pStyle w:val="B1"/>
      </w:pPr>
      <w:r w:rsidRPr="006F5D48">
        <w:t>-</w:t>
      </w:r>
      <w:r w:rsidRPr="006F5D48">
        <w:tab/>
        <w:t xml:space="preserve">when the IAB-MT is operating on an associated carrier, if </w:t>
      </w:r>
      <w:r>
        <w:t xml:space="preserve">that indication is </w:t>
      </w:r>
      <w:r w:rsidRPr="006F5D48">
        <w:t>provided</w:t>
      </w:r>
    </w:p>
    <w:p w14:paraId="72794E48" w14:textId="77777777" w:rsidR="00D5274C" w:rsidRPr="006F5D48" w:rsidRDefault="00D5274C" w:rsidP="00D5274C">
      <w:pPr>
        <w:pStyle w:val="B1"/>
      </w:pPr>
      <w:r w:rsidRPr="006F5D48">
        <w:t>-</w:t>
      </w:r>
      <w:r w:rsidRPr="006F5D48">
        <w:tab/>
        <w:t xml:space="preserve">when the current IAB-DU transmission mode corresponds to </w:t>
      </w:r>
      <w:r>
        <w:t>an associated</w:t>
      </w:r>
      <w:r w:rsidRPr="006F5D48">
        <w:t xml:space="preserve"> multiplexing </w:t>
      </w:r>
      <w:r>
        <w:t>mode</w:t>
      </w:r>
      <w:r w:rsidRPr="006F5D48">
        <w:rPr>
          <w:lang w:val="en-US"/>
        </w:rPr>
        <w:t>,</w:t>
      </w:r>
      <w:r w:rsidRPr="006F5D48">
        <w:t xml:space="preserve"> </w:t>
      </w:r>
      <w:r>
        <w:t>if that indication is provided</w:t>
      </w:r>
    </w:p>
    <w:p w14:paraId="32BD1AAA" w14:textId="77777777" w:rsidR="00D5274C" w:rsidRDefault="00D5274C" w:rsidP="00D5274C">
      <w:pPr>
        <w:pStyle w:val="B1"/>
      </w:pPr>
      <w:r w:rsidRPr="006F5D48">
        <w:t>-</w:t>
      </w:r>
      <w:r w:rsidRPr="006F5D48">
        <w:tab/>
        <w:t>when one of the associated TCI states, RS resource indexes, or SRI of the IAB-MT, if provided, is simultaneously used for reception or transmission of the IAB-MT</w:t>
      </w:r>
    </w:p>
    <w:p w14:paraId="1BB4C500" w14:textId="77777777" w:rsidR="00D5274C" w:rsidRDefault="00D5274C" w:rsidP="00D5274C">
      <w:pPr>
        <w:pStyle w:val="B1"/>
      </w:pPr>
      <w:r w:rsidRPr="006F5D48">
        <w:t>-</w:t>
      </w:r>
      <w:r w:rsidRPr="006F5D48">
        <w:tab/>
        <w:t>when simultaneous transmission</w:t>
      </w:r>
      <w:r>
        <w:t xml:space="preserve">/reception by the IAB-MT and transmission from the IAB-DU cell occur in non-overlapping frequency resources, if such indication is provided, or when simultaneous </w:t>
      </w:r>
      <w:r w:rsidRPr="006F5D48">
        <w:t>transmission</w:t>
      </w:r>
      <w:r>
        <w:t>/reception by the IAB-MT and transmission from the IAB-DU cell occur in overlapping frequency resources</w:t>
      </w:r>
    </w:p>
    <w:p w14:paraId="00F6514B" w14:textId="77777777" w:rsidR="00D5274C" w:rsidRPr="006F5D48" w:rsidRDefault="00D5274C" w:rsidP="00D5274C">
      <w:pPr>
        <w:pStyle w:val="B1"/>
      </w:pPr>
      <w:r w:rsidRPr="006F5D48">
        <w:t>-</w:t>
      </w:r>
      <w:r w:rsidRPr="006F5D48">
        <w:tab/>
      </w:r>
      <w:r>
        <w:t>in a given slot</w:t>
      </w:r>
      <w:r w:rsidRPr="006F5D48">
        <w:t xml:space="preserve">, if </w:t>
      </w:r>
      <w:r>
        <w:t xml:space="preserve">that indication is </w:t>
      </w:r>
      <w:r w:rsidRPr="006F5D48">
        <w:t>provided</w:t>
      </w:r>
    </w:p>
    <w:p w14:paraId="58431D68" w14:textId="6E643C56" w:rsidR="00280CA9" w:rsidRPr="00280CA9" w:rsidRDefault="00434C7A" w:rsidP="00280CA9">
      <w:pPr>
        <w:rPr>
          <w:rFonts w:eastAsia="Times New Roman"/>
        </w:rPr>
      </w:pPr>
      <w:r>
        <w:t>For a serving cell of</w:t>
      </w:r>
      <w:r w:rsidRPr="005750E7">
        <w:t xml:space="preserve"> </w:t>
      </w:r>
      <w:r>
        <w:t xml:space="preserve">an </w:t>
      </w:r>
      <w:r w:rsidRPr="00575441">
        <w:t>IAB-</w:t>
      </w:r>
      <w:r>
        <w:t xml:space="preserve">MT, the IAB-MT </w:t>
      </w:r>
      <w:r w:rsidRPr="00575441">
        <w:t xml:space="preserve">can be provided a set of </w:t>
      </w:r>
      <w:r>
        <w:t xml:space="preserve">TCI states or a set of </w:t>
      </w:r>
      <w:r w:rsidRPr="00575441">
        <w:t xml:space="preserve">RS resource indexes </w:t>
      </w:r>
      <w:r>
        <w:t xml:space="preserve">corresponding to a SS/PBCH block or to a CSI-RS resource index for a slot </w:t>
      </w:r>
      <w:r w:rsidRPr="00575441">
        <w:t xml:space="preserve">where </w:t>
      </w:r>
      <w:r>
        <w:t xml:space="preserve">a PDSCH EPRE adjustment is indicated </w:t>
      </w:r>
      <w:r w:rsidRPr="00575441">
        <w:t xml:space="preserve">by </w:t>
      </w:r>
      <w:r>
        <w:t>DL Tx Power Adjustment</w:t>
      </w:r>
      <w:r w:rsidRPr="00575441">
        <w:t xml:space="preserve"> MAC CE as described in [</w:t>
      </w:r>
      <w:r>
        <w:t>11</w:t>
      </w:r>
      <w:r w:rsidRPr="00575441">
        <w:t xml:space="preserve">, TS 38.321]. </w:t>
      </w:r>
      <w:r>
        <w:t xml:space="preserve">The PDSCH EPRE can be derived from a downlink CSI-RS EPRE as described in [6, TS 38.214] and a power offset provided by </w:t>
      </w:r>
      <w:r w:rsidR="00824633" w:rsidRPr="00945C37">
        <w:t xml:space="preserve">the </w:t>
      </w:r>
      <w:r w:rsidR="00824633" w:rsidRPr="00945C37">
        <w:rPr>
          <w:i/>
          <w:iCs/>
        </w:rPr>
        <w:t>DL Tx Power adjustment</w:t>
      </w:r>
      <w:r w:rsidR="00824633" w:rsidRPr="00945C37">
        <w:t xml:space="preserve"> field in</w:t>
      </w:r>
      <w:r w:rsidR="00824633" w:rsidRPr="00945C37">
        <w:rPr>
          <w:i/>
          <w:iCs/>
        </w:rPr>
        <w:t xml:space="preserve"> DL TX Power Adjustment </w:t>
      </w:r>
      <w:r w:rsidR="00824633" w:rsidRPr="00945C37">
        <w:t>MAC CE</w:t>
      </w:r>
      <w:r w:rsidR="00824633" w:rsidRPr="00945C37">
        <w:rPr>
          <w:i/>
          <w:iCs/>
        </w:rPr>
        <w:t xml:space="preserve"> </w:t>
      </w:r>
      <w:r w:rsidR="00824633" w:rsidRPr="00945C37">
        <w:t xml:space="preserve">as described in [11, TS 38.321]. The downlink CSI-RS EPRE refers to the CSI-RS indicated by Reference CSI-RS ID in </w:t>
      </w:r>
      <w:r w:rsidR="00824633" w:rsidRPr="00945C37">
        <w:rPr>
          <w:i/>
          <w:iCs/>
        </w:rPr>
        <w:t>DL Tx Power Adjustment</w:t>
      </w:r>
      <w:r w:rsidR="00824633" w:rsidRPr="00945C37">
        <w:t xml:space="preserve"> MAC CE as described in [11, TS 38.321]. The </w:t>
      </w:r>
      <w:r w:rsidR="00824633" w:rsidRPr="00945C37">
        <w:rPr>
          <w:i/>
          <w:iCs/>
        </w:rPr>
        <w:t>DL TX Power Adjustment</w:t>
      </w:r>
      <w:r w:rsidR="00824633" w:rsidRPr="00945C37">
        <w:t xml:space="preserve"> provides the offset between PDSCH EPRE and CSI-RS EPRE</w:t>
      </w:r>
      <w:r>
        <w:t>. For a downlink DM-RS and/or PT-RS associated with a PDSCH, the IAB-MT may assume that the ratio of PDSCH EPRE to DM-RS EPRE, and/or PT-RS EPRE to PDSCH EPRE,</w:t>
      </w:r>
      <w:r>
        <w:rPr>
          <w:i/>
          <w:iCs/>
        </w:rPr>
        <w:t xml:space="preserve"> </w:t>
      </w:r>
      <w:r w:rsidRPr="00575441">
        <w:t>is obtained as for a "UE" in</w:t>
      </w:r>
      <w:r>
        <w:t xml:space="preserve"> [6, TS 38.214].</w:t>
      </w:r>
      <w:r w:rsidRPr="00575441">
        <w:t xml:space="preserve"> </w:t>
      </w:r>
      <w:r>
        <w:t xml:space="preserve">If no TCI state or RS resource index is provided to the IAB-MT, the IAB-MT may assume that a same PDSCH EPRE adjustment applies to </w:t>
      </w:r>
      <w:r>
        <w:lastRenderedPageBreak/>
        <w:t>all TCI states or RS resource indexes configured for the IAB-MT. A PDSCH EPRE adjustment provided by DL Tx Power Adjustment</w:t>
      </w:r>
      <w:r w:rsidRPr="00575441">
        <w:t xml:space="preserve"> MAC CE</w:t>
      </w:r>
      <w:r>
        <w:t xml:space="preserve"> may be </w:t>
      </w:r>
      <w:r w:rsidR="00280CA9" w:rsidRPr="00280CA9">
        <w:rPr>
          <w:rFonts w:eastAsia="Times New Roman"/>
        </w:rPr>
        <w:t>associated with</w:t>
      </w:r>
    </w:p>
    <w:p w14:paraId="21CBF7CC" w14:textId="7C6734EC" w:rsidR="00280CA9" w:rsidRPr="00280CA9" w:rsidRDefault="00280CA9" w:rsidP="00280CA9">
      <w:pPr>
        <w:pStyle w:val="B1"/>
        <w:rPr>
          <w:lang w:eastAsia="zh-CN"/>
        </w:rPr>
      </w:pPr>
      <w:r>
        <w:rPr>
          <w:lang w:eastAsia="zh-CN"/>
        </w:rPr>
        <w:t>-</w:t>
      </w:r>
      <w:r>
        <w:rPr>
          <w:lang w:eastAsia="zh-CN"/>
        </w:rPr>
        <w:tab/>
      </w:r>
      <w:r w:rsidRPr="00280CA9">
        <w:rPr>
          <w:lang w:eastAsia="zh-CN"/>
        </w:rPr>
        <w:t>multiplexing mode of the IAB-node, if provided, and/or</w:t>
      </w:r>
    </w:p>
    <w:p w14:paraId="28EE1EDC" w14:textId="5355AD6F" w:rsidR="00280CA9" w:rsidRPr="00280CA9" w:rsidRDefault="00280CA9" w:rsidP="00280CA9">
      <w:pPr>
        <w:pStyle w:val="B1"/>
        <w:rPr>
          <w:lang w:eastAsia="zh-CN"/>
        </w:rPr>
      </w:pPr>
      <w:r>
        <w:rPr>
          <w:lang w:eastAsia="zh-CN"/>
        </w:rPr>
        <w:t>-</w:t>
      </w:r>
      <w:r>
        <w:rPr>
          <w:lang w:eastAsia="zh-CN"/>
        </w:rPr>
        <w:tab/>
      </w:r>
      <w:r w:rsidRPr="00280CA9">
        <w:rPr>
          <w:lang w:eastAsia="zh-CN"/>
        </w:rPr>
        <w:t>when simultaneous reception by the IAB-MT and transmission/reception by an IAB-DU cell occur in non-overlapping frequency resources, if provided, or when simultaneous reception by the IAB-MT and transmission/reception by an IAB-DU cell occur in overlapping frequency resources, if provided, and/or</w:t>
      </w:r>
    </w:p>
    <w:p w14:paraId="32927D82" w14:textId="07BC4BD6" w:rsidR="00434C7A" w:rsidRPr="00792BDC" w:rsidRDefault="00280CA9" w:rsidP="00280CA9">
      <w:pPr>
        <w:pStyle w:val="B1"/>
      </w:pPr>
      <w:r>
        <w:rPr>
          <w:lang w:eastAsia="zh-CN"/>
        </w:rPr>
        <w:t>-</w:t>
      </w:r>
      <w:r>
        <w:rPr>
          <w:lang w:eastAsia="zh-CN"/>
        </w:rPr>
        <w:tab/>
      </w:r>
      <w:r w:rsidRPr="00280CA9">
        <w:rPr>
          <w:lang w:eastAsia="zh-CN"/>
        </w:rPr>
        <w:t>slots indicated by slot index</w:t>
      </w:r>
      <w:r w:rsidR="00816A6D">
        <w:rPr>
          <w:lang w:val="en-GB" w:eastAsia="zh-CN"/>
        </w:rPr>
        <w:t>es</w:t>
      </w:r>
      <w:r w:rsidRPr="00280CA9">
        <w:rPr>
          <w:lang w:eastAsia="zh-CN"/>
        </w:rPr>
        <w:t>, if provided</w:t>
      </w:r>
      <w:r w:rsidR="00434C7A">
        <w:t>.</w:t>
      </w:r>
    </w:p>
    <w:p w14:paraId="039B4851" w14:textId="74B4E19A" w:rsidR="00373620" w:rsidRPr="00390429" w:rsidRDefault="00373620" w:rsidP="00D2686C">
      <w:pPr>
        <w:pStyle w:val="Heading1"/>
      </w:pPr>
      <w:bookmarkStart w:id="817" w:name="_Toc29894874"/>
      <w:bookmarkStart w:id="818" w:name="_Toc29899173"/>
      <w:bookmarkStart w:id="819" w:name="_Toc29899591"/>
      <w:bookmarkStart w:id="820" w:name="_Toc29917327"/>
      <w:bookmarkStart w:id="821" w:name="_Toc36498201"/>
      <w:bookmarkStart w:id="822" w:name="_Toc45699229"/>
      <w:bookmarkStart w:id="823" w:name="_Toc161999163"/>
      <w:r w:rsidRPr="00390429">
        <w:t>1</w:t>
      </w:r>
      <w:r>
        <w:t>5</w:t>
      </w:r>
      <w:r w:rsidRPr="00390429">
        <w:tab/>
      </w:r>
      <w:r w:rsidRPr="00390429">
        <w:rPr>
          <w:lang w:eastAsia="zh-CN"/>
        </w:rPr>
        <w:t>Dual active protocol stack based handover</w:t>
      </w:r>
      <w:bookmarkEnd w:id="817"/>
      <w:bookmarkEnd w:id="818"/>
      <w:bookmarkEnd w:id="819"/>
      <w:bookmarkEnd w:id="820"/>
      <w:bookmarkEnd w:id="821"/>
      <w:bookmarkEnd w:id="822"/>
      <w:bookmarkEnd w:id="823"/>
    </w:p>
    <w:p w14:paraId="44EE2CB3" w14:textId="77777777" w:rsidR="00BF5894" w:rsidRDefault="00373620" w:rsidP="00BF5894">
      <w:pPr>
        <w:rPr>
          <w:lang w:val="en-US"/>
        </w:rPr>
      </w:pPr>
      <w:r>
        <w:rPr>
          <w:lang w:val="en-US"/>
        </w:rPr>
        <w:t xml:space="preserve">If a UE indicates a capability for dual active protocol stack based handover (DAPS HO), the UE can be provided with a source MCG and a target MCG. </w:t>
      </w:r>
    </w:p>
    <w:p w14:paraId="7732087D" w14:textId="404C070D" w:rsidR="00373620" w:rsidRDefault="00BF5894" w:rsidP="00BF5894">
      <w:pPr>
        <w:rPr>
          <w:lang w:val="en-US"/>
        </w:rPr>
      </w:pPr>
      <w:r w:rsidRPr="009B20D7">
        <w:t xml:space="preserve">If a UE is configured with a target MCG using NR radio access in FR1 or in FR2 and with a source MCG using NR radio access in FR2 or in FR1, respectively, the UE performs transmission power control independently per cell group as described </w:t>
      </w:r>
      <w:r w:rsidR="006F5F9E">
        <w:t>in clause</w:t>
      </w:r>
      <w:r w:rsidRPr="009B20D7">
        <w:t>s 7.1 through 7.5.</w:t>
      </w:r>
    </w:p>
    <w:p w14:paraId="66594CFE" w14:textId="77777777" w:rsidR="006F4839" w:rsidRPr="00127CB5" w:rsidRDefault="006F4839" w:rsidP="006F4839">
      <w:r w:rsidRPr="00127CB5">
        <w:rPr>
          <w:rFonts w:eastAsia="Malgun Gothic"/>
        </w:rPr>
        <w:t>When a PDCCH reception by a UE includes two PDCCH candidates from corresponding search space sets, as described in clause 10.1, the end of the PDCCH reception is the end of the PDCCH candidate that ends later.</w:t>
      </w:r>
    </w:p>
    <w:p w14:paraId="557CA509" w14:textId="2D5E6CBB" w:rsidR="00373620" w:rsidRDefault="00373620" w:rsidP="00373620">
      <w:r>
        <w:t xml:space="preserve">If a UE is configured with </w:t>
      </w:r>
      <w:r w:rsidR="00BF5894" w:rsidRPr="00ED76C7">
        <w:t>a target MCG using NR radio access in FR1 and a source MCG using NR radio access in FR1</w:t>
      </w:r>
      <w:r>
        <w:rPr>
          <w:lang w:eastAsia="ja-JP"/>
        </w:rPr>
        <w:t xml:space="preserve">, the UE is configured a maximum power </w:t>
      </w:r>
      <m:oMath>
        <m:sSub>
          <m:sSubPr>
            <m:ctrlPr>
              <w:rPr>
                <w:rFonts w:ascii="Cambria Math" w:hAnsi="Cambria Math" w:cs="Times"/>
                <w:i/>
                <w:iCs/>
                <w:color w:val="1F3864"/>
                <w:sz w:val="18"/>
                <w:szCs w:val="18"/>
                <w:lang w:eastAsia="x-none"/>
              </w:rPr>
            </m:ctrlPr>
          </m:sSubPr>
          <m:e>
            <m:r>
              <w:rPr>
                <w:rFonts w:ascii="Cambria Math" w:hAnsi="Cambria Math"/>
              </w:rPr>
              <m:t>P</m:t>
            </m:r>
          </m:e>
          <m:sub>
            <m:r>
              <m:rPr>
                <m:sty m:val="p"/>
              </m:rPr>
              <w:rPr>
                <w:rFonts w:ascii="Cambria Math" w:hAnsi="Cambria Math"/>
              </w:rPr>
              <m:t>MCG</m:t>
            </m:r>
            <m:ctrlPr>
              <w:rPr>
                <w:rFonts w:ascii="Cambria Math" w:hAnsi="Cambria Math" w:cs="Times"/>
                <w:color w:val="1F3864"/>
                <w:sz w:val="18"/>
                <w:szCs w:val="18"/>
                <w:lang w:eastAsia="x-none"/>
              </w:rPr>
            </m:ctrlPr>
          </m:sub>
        </m:sSub>
      </m:oMath>
      <w:r>
        <w:rPr>
          <w:lang w:eastAsia="ja-JP"/>
        </w:rPr>
        <w:t xml:space="preserve"> for transmissions on the </w:t>
      </w:r>
      <w:r w:rsidR="00564ABD">
        <w:rPr>
          <w:lang w:eastAsia="ja-JP"/>
        </w:rPr>
        <w:t xml:space="preserve">target </w:t>
      </w:r>
      <w:r>
        <w:rPr>
          <w:lang w:eastAsia="ja-JP"/>
        </w:rPr>
        <w:t xml:space="preserve">MCG by </w:t>
      </w:r>
      <w:r w:rsidR="0031116D" w:rsidRPr="00A66A03">
        <w:rPr>
          <w:i/>
          <w:iCs/>
          <w:lang w:eastAsia="ja-JP"/>
        </w:rPr>
        <w:t>p-DAP</w:t>
      </w:r>
      <w:r w:rsidR="0031116D">
        <w:rPr>
          <w:i/>
          <w:iCs/>
          <w:lang w:eastAsia="ja-JP"/>
        </w:rPr>
        <w:t>S</w:t>
      </w:r>
      <w:r w:rsidR="0031116D" w:rsidRPr="00A66A03">
        <w:rPr>
          <w:i/>
          <w:iCs/>
          <w:lang w:eastAsia="ja-JP"/>
        </w:rPr>
        <w:t>-Target</w:t>
      </w:r>
      <w:r>
        <w:rPr>
          <w:lang w:eastAsia="ja-JP"/>
        </w:rPr>
        <w:t xml:space="preserve"> and a maximum power </w:t>
      </w:r>
      <m:oMath>
        <m:sSub>
          <m:sSubPr>
            <m:ctrlPr>
              <w:rPr>
                <w:rFonts w:ascii="Cambria Math" w:hAnsi="Cambria Math" w:cs="Times"/>
                <w:i/>
                <w:iCs/>
                <w:color w:val="1F3864"/>
                <w:sz w:val="18"/>
                <w:szCs w:val="18"/>
                <w:lang w:eastAsia="x-none"/>
              </w:rPr>
            </m:ctrlPr>
          </m:sSubPr>
          <m:e>
            <m:r>
              <w:rPr>
                <w:rFonts w:ascii="Cambria Math" w:hAnsi="Cambria Math"/>
              </w:rPr>
              <m:t>P</m:t>
            </m:r>
          </m:e>
          <m:sub>
            <m:r>
              <m:rPr>
                <m:sty m:val="p"/>
              </m:rPr>
              <w:rPr>
                <w:rFonts w:ascii="Cambria Math" w:hAnsi="Cambria Math"/>
              </w:rPr>
              <m:t>SCG</m:t>
            </m:r>
            <m:ctrlPr>
              <w:rPr>
                <w:rFonts w:ascii="Cambria Math" w:hAnsi="Cambria Math" w:cs="Times"/>
                <w:color w:val="1F3864"/>
                <w:sz w:val="18"/>
                <w:szCs w:val="18"/>
                <w:lang w:eastAsia="x-none"/>
              </w:rPr>
            </m:ctrlPr>
          </m:sub>
        </m:sSub>
      </m:oMath>
      <w:r>
        <w:t xml:space="preserve"> </w:t>
      </w:r>
      <w:r>
        <w:rPr>
          <w:lang w:eastAsia="ja-JP"/>
        </w:rPr>
        <w:t>for transmissions on the</w:t>
      </w:r>
      <w:r w:rsidR="00564ABD" w:rsidRPr="00564ABD">
        <w:t xml:space="preserve"> </w:t>
      </w:r>
      <w:r w:rsidR="00564ABD">
        <w:t>source</w:t>
      </w:r>
      <w:r>
        <w:rPr>
          <w:lang w:eastAsia="ja-JP"/>
        </w:rPr>
        <w:t xml:space="preserve"> </w:t>
      </w:r>
      <w:r w:rsidR="00564ABD">
        <w:rPr>
          <w:lang w:eastAsia="ja-JP"/>
        </w:rPr>
        <w:t xml:space="preserve">MCG </w:t>
      </w:r>
      <w:r>
        <w:rPr>
          <w:lang w:eastAsia="ja-JP"/>
        </w:rPr>
        <w:t xml:space="preserve">by </w:t>
      </w:r>
      <w:r w:rsidR="0031116D" w:rsidRPr="00A66A03">
        <w:rPr>
          <w:i/>
          <w:iCs/>
          <w:lang w:eastAsia="ja-JP"/>
        </w:rPr>
        <w:t>p-DAPS-Source</w:t>
      </w:r>
      <w:r>
        <w:rPr>
          <w:lang w:eastAsia="ja-JP"/>
        </w:rPr>
        <w:t xml:space="preserve"> and with an inter-CG power sharing mode by </w:t>
      </w:r>
      <w:r w:rsidR="0031116D" w:rsidRPr="0076069D">
        <w:rPr>
          <w:i/>
          <w:iCs/>
          <w:lang w:eastAsia="ja-JP"/>
        </w:rPr>
        <w:t>uplinkPowerSh</w:t>
      </w:r>
      <w:r w:rsidR="0031116D">
        <w:rPr>
          <w:i/>
          <w:iCs/>
          <w:lang w:eastAsia="ja-JP"/>
        </w:rPr>
        <w:t>a</w:t>
      </w:r>
      <w:r w:rsidR="0031116D" w:rsidRPr="0076069D">
        <w:rPr>
          <w:i/>
          <w:iCs/>
          <w:lang w:eastAsia="ja-JP"/>
        </w:rPr>
        <w:t>ringDAPS-Mode</w:t>
      </w:r>
      <w:r>
        <w:rPr>
          <w:lang w:eastAsia="ja-JP"/>
        </w:rPr>
        <w:t xml:space="preserve">. The UE determines a transmission power on the </w:t>
      </w:r>
      <w:r w:rsidR="00564ABD">
        <w:rPr>
          <w:lang w:eastAsia="ja-JP"/>
        </w:rPr>
        <w:t xml:space="preserve">target </w:t>
      </w:r>
      <w:r>
        <w:rPr>
          <w:lang w:eastAsia="ja-JP"/>
        </w:rPr>
        <w:t xml:space="preserve">MCG and a transmission power on the </w:t>
      </w:r>
      <w:r w:rsidR="00564ABD">
        <w:t xml:space="preserve">source </w:t>
      </w:r>
      <w:r w:rsidR="00564ABD">
        <w:rPr>
          <w:lang w:eastAsia="ja-JP"/>
        </w:rPr>
        <w:t xml:space="preserve">MCG </w:t>
      </w:r>
      <w:r>
        <w:rPr>
          <w:lang w:eastAsia="ja-JP"/>
        </w:rPr>
        <w:t>per frequency range</w:t>
      </w:r>
      <w:r>
        <w:t>.</w:t>
      </w:r>
    </w:p>
    <w:p w14:paraId="29D42D67" w14:textId="79A6A9F6" w:rsidR="00373620" w:rsidRPr="007D01DD" w:rsidRDefault="00373620" w:rsidP="00373620">
      <w:r>
        <w:t xml:space="preserve">If the UE </w:t>
      </w:r>
      <w:r w:rsidRPr="00CA308E">
        <w:t xml:space="preserve">indicates </w:t>
      </w:r>
      <w:r w:rsidR="0031116D" w:rsidRPr="004A775D">
        <w:t>support for semi-static power sharing mode1</w:t>
      </w:r>
      <w:r>
        <w:rPr>
          <w:i/>
          <w:lang w:eastAsia="ja-JP"/>
        </w:rPr>
        <w:t xml:space="preserve"> </w:t>
      </w:r>
      <w:r>
        <w:rPr>
          <w:lang w:eastAsia="ja-JP"/>
        </w:rPr>
        <w:t xml:space="preserve">and is provided </w:t>
      </w:r>
      <w:r w:rsidR="0031116D" w:rsidRPr="0076069D">
        <w:rPr>
          <w:i/>
          <w:iCs/>
          <w:lang w:eastAsia="ja-JP"/>
        </w:rPr>
        <w:t>uplinkPowerSh</w:t>
      </w:r>
      <w:r w:rsidR="0031116D">
        <w:rPr>
          <w:i/>
          <w:iCs/>
          <w:lang w:eastAsia="ja-JP"/>
        </w:rPr>
        <w:t>a</w:t>
      </w:r>
      <w:r w:rsidR="0031116D" w:rsidRPr="0076069D">
        <w:rPr>
          <w:i/>
          <w:iCs/>
          <w:lang w:eastAsia="ja-JP"/>
        </w:rPr>
        <w:t>ringDAPS-Mode</w:t>
      </w:r>
      <w:r>
        <w:rPr>
          <w:lang w:eastAsia="ja-JP"/>
        </w:rPr>
        <w:t xml:space="preserve"> = </w:t>
      </w:r>
      <w:r w:rsidRPr="00F15057">
        <w:rPr>
          <w:i/>
          <w:lang w:eastAsia="ja-JP"/>
        </w:rPr>
        <w:t>Semi-static-mode1</w:t>
      </w:r>
      <w:r>
        <w:rPr>
          <w:lang w:eastAsia="ja-JP"/>
        </w:rPr>
        <w:t xml:space="preserve">, </w:t>
      </w:r>
      <w:r w:rsidRPr="007D01DD">
        <w:t xml:space="preserve">the UE determines </w:t>
      </w:r>
      <w:r>
        <w:t>a transmission power for the target M</w:t>
      </w:r>
      <w:r w:rsidRPr="007D01DD">
        <w:t xml:space="preserve">CG </w:t>
      </w:r>
      <w:r>
        <w:t>or for the source MCG</w:t>
      </w:r>
      <w:r w:rsidRPr="007D01DD">
        <w:t xml:space="preserve"> </w:t>
      </w:r>
      <w:r>
        <w:t>as described</w:t>
      </w:r>
      <w:r w:rsidRPr="001C7D27">
        <w:t xml:space="preserve"> </w:t>
      </w:r>
      <w:r w:rsidR="006F5F9E">
        <w:t>in clause</w:t>
      </w:r>
      <w:r>
        <w:t xml:space="preserve"> 7.6.2 for </w:t>
      </w:r>
      <w:r w:rsidR="00BF5894" w:rsidRPr="007971B9">
        <w:rPr>
          <w:bCs/>
          <w:i/>
          <w:iCs/>
          <w:lang w:eastAsia="ko-KR"/>
        </w:rPr>
        <w:t>nrdc-PCmode-FR1</w:t>
      </w:r>
      <w:r w:rsidRPr="00CF3657" w:rsidDel="00A60B3F">
        <w:rPr>
          <w:i/>
          <w:iCs/>
          <w:lang w:eastAsia="ja-JP"/>
        </w:rPr>
        <w:t xml:space="preserve"> </w:t>
      </w:r>
      <w:r>
        <w:rPr>
          <w:lang w:eastAsia="ja-JP"/>
        </w:rPr>
        <w:t xml:space="preserve">= </w:t>
      </w:r>
      <w:r w:rsidRPr="00F15057">
        <w:rPr>
          <w:i/>
          <w:lang w:eastAsia="ja-JP"/>
        </w:rPr>
        <w:t>Semi-static-mode1</w:t>
      </w:r>
      <w:r>
        <w:t xml:space="preserve"> by considering the target MCG as the MCG and the source MCG as the SCG.</w:t>
      </w:r>
    </w:p>
    <w:p w14:paraId="4BDE87CF" w14:textId="07EA3595" w:rsidR="00373620" w:rsidRPr="007D01DD" w:rsidRDefault="00373620" w:rsidP="00373620">
      <w:r>
        <w:t xml:space="preserve">If the UE </w:t>
      </w:r>
      <w:r w:rsidRPr="00CA308E">
        <w:t xml:space="preserve">indicates </w:t>
      </w:r>
      <w:r w:rsidR="0031116D" w:rsidRPr="004A775D">
        <w:t>support for semi-static power sharing mod</w:t>
      </w:r>
      <w:r w:rsidR="0031116D">
        <w:t>e2</w:t>
      </w:r>
      <w:r>
        <w:rPr>
          <w:lang w:eastAsia="ja-JP"/>
        </w:rPr>
        <w:t xml:space="preserve"> and is provided </w:t>
      </w:r>
      <w:r w:rsidR="0031116D" w:rsidRPr="0076069D">
        <w:rPr>
          <w:i/>
          <w:iCs/>
          <w:lang w:eastAsia="ja-JP"/>
        </w:rPr>
        <w:t>uplinkPowerSh</w:t>
      </w:r>
      <w:r w:rsidR="0031116D">
        <w:rPr>
          <w:i/>
          <w:iCs/>
          <w:lang w:eastAsia="ja-JP"/>
        </w:rPr>
        <w:t>a</w:t>
      </w:r>
      <w:r w:rsidR="0031116D" w:rsidRPr="0076069D">
        <w:rPr>
          <w:i/>
          <w:iCs/>
          <w:lang w:eastAsia="ja-JP"/>
        </w:rPr>
        <w:t>ringDAPS-Mode</w:t>
      </w:r>
      <w:r>
        <w:rPr>
          <w:lang w:eastAsia="ja-JP"/>
        </w:rPr>
        <w:t xml:space="preserve"> = </w:t>
      </w:r>
      <w:r w:rsidRPr="00F15057">
        <w:rPr>
          <w:i/>
          <w:lang w:eastAsia="ja-JP"/>
        </w:rPr>
        <w:t>Semi-static-mode</w:t>
      </w:r>
      <w:r>
        <w:rPr>
          <w:i/>
          <w:lang w:eastAsia="ja-JP"/>
        </w:rPr>
        <w:t>2</w:t>
      </w:r>
      <w:r>
        <w:rPr>
          <w:lang w:eastAsia="ja-JP"/>
        </w:rPr>
        <w:t xml:space="preserve">, </w:t>
      </w:r>
      <w:r w:rsidRPr="007D01DD">
        <w:t xml:space="preserve">the UE determines </w:t>
      </w:r>
      <w:r>
        <w:t>a transmission power for the target M</w:t>
      </w:r>
      <w:r w:rsidRPr="007D01DD">
        <w:t xml:space="preserve">CG </w:t>
      </w:r>
      <w:r>
        <w:t>or for the source SCG</w:t>
      </w:r>
      <w:r w:rsidRPr="007D01DD">
        <w:t xml:space="preserve"> </w:t>
      </w:r>
      <w:r>
        <w:t>as described</w:t>
      </w:r>
      <w:r w:rsidRPr="001C7D27">
        <w:t xml:space="preserve"> </w:t>
      </w:r>
      <w:r w:rsidR="006F5F9E">
        <w:t>in clause</w:t>
      </w:r>
      <w:r>
        <w:t xml:space="preserve"> 7.6.2 for </w:t>
      </w:r>
      <w:r w:rsidR="00BF5894" w:rsidRPr="007971B9">
        <w:rPr>
          <w:bCs/>
          <w:i/>
          <w:iCs/>
          <w:lang w:eastAsia="ko-KR"/>
        </w:rPr>
        <w:t>nrdc-PCmode-FR1</w:t>
      </w:r>
      <w:r w:rsidRPr="00CF3657" w:rsidDel="00A60B3F">
        <w:rPr>
          <w:i/>
          <w:iCs/>
          <w:lang w:eastAsia="ja-JP"/>
        </w:rPr>
        <w:t xml:space="preserve"> </w:t>
      </w:r>
      <w:r>
        <w:rPr>
          <w:lang w:eastAsia="ja-JP"/>
        </w:rPr>
        <w:t xml:space="preserve">= </w:t>
      </w:r>
      <w:r w:rsidRPr="00F15057">
        <w:rPr>
          <w:i/>
          <w:lang w:eastAsia="ja-JP"/>
        </w:rPr>
        <w:t>Semi-static-mode</w:t>
      </w:r>
      <w:r>
        <w:rPr>
          <w:i/>
          <w:lang w:eastAsia="ja-JP"/>
        </w:rPr>
        <w:t>2</w:t>
      </w:r>
      <w:r>
        <w:t xml:space="preserve"> by considering the target MCG as the MCG and the source MCG as the SCG.</w:t>
      </w:r>
      <w:r w:rsidR="0031116D">
        <w:t xml:space="preserve"> </w:t>
      </w:r>
      <w:r w:rsidR="0031116D">
        <w:rPr>
          <w:lang w:eastAsia="ja-JP"/>
        </w:rPr>
        <w:t xml:space="preserve">The UE expects to be provided </w:t>
      </w:r>
      <w:r w:rsidR="0031116D" w:rsidRPr="0076069D">
        <w:rPr>
          <w:i/>
          <w:iCs/>
          <w:lang w:eastAsia="ja-JP"/>
        </w:rPr>
        <w:t>uplinkPowerSh</w:t>
      </w:r>
      <w:r w:rsidR="0031116D">
        <w:rPr>
          <w:i/>
          <w:iCs/>
          <w:lang w:eastAsia="ja-JP"/>
        </w:rPr>
        <w:t>a</w:t>
      </w:r>
      <w:r w:rsidR="0031116D" w:rsidRPr="0076069D">
        <w:rPr>
          <w:i/>
          <w:iCs/>
          <w:lang w:eastAsia="ja-JP"/>
        </w:rPr>
        <w:t>ringDAPS-Mode</w:t>
      </w:r>
      <w:r w:rsidR="0031116D">
        <w:rPr>
          <w:lang w:eastAsia="ja-JP"/>
        </w:rPr>
        <w:t xml:space="preserve"> = </w:t>
      </w:r>
      <w:r w:rsidR="0031116D" w:rsidRPr="00B67882">
        <w:rPr>
          <w:i/>
          <w:lang w:eastAsia="ja-JP"/>
        </w:rPr>
        <w:t>Semi-static-mode2</w:t>
      </w:r>
      <w:r w:rsidR="0031116D">
        <w:rPr>
          <w:lang w:eastAsia="ja-JP"/>
        </w:rPr>
        <w:t xml:space="preserve"> only for synchronous DAPS HO operation [10, TS 38.133].</w:t>
      </w:r>
    </w:p>
    <w:p w14:paraId="2C0E2503" w14:textId="57A6B48E" w:rsidR="00AD4171" w:rsidRDefault="00373620" w:rsidP="00AD4171">
      <w:r>
        <w:t xml:space="preserve">If the UE </w:t>
      </w:r>
      <w:r w:rsidRPr="00CA308E">
        <w:t xml:space="preserve">indicates </w:t>
      </w:r>
      <w:r w:rsidR="0031116D" w:rsidRPr="004A775D">
        <w:t xml:space="preserve">support for </w:t>
      </w:r>
      <w:r w:rsidR="0031116D">
        <w:t>dynamic</w:t>
      </w:r>
      <w:r w:rsidR="0031116D" w:rsidRPr="004A775D">
        <w:t xml:space="preserve"> power sharing</w:t>
      </w:r>
      <w:r>
        <w:rPr>
          <w:i/>
          <w:lang w:eastAsia="ja-JP"/>
        </w:rPr>
        <w:t xml:space="preserve"> </w:t>
      </w:r>
      <w:r>
        <w:rPr>
          <w:lang w:eastAsia="ja-JP"/>
        </w:rPr>
        <w:t>and is provided</w:t>
      </w:r>
      <w:r>
        <w:rPr>
          <w:i/>
          <w:lang w:eastAsia="ja-JP"/>
        </w:rPr>
        <w:t xml:space="preserve"> </w:t>
      </w:r>
      <w:r w:rsidR="0031116D" w:rsidRPr="0076069D">
        <w:rPr>
          <w:i/>
          <w:iCs/>
          <w:lang w:eastAsia="ja-JP"/>
        </w:rPr>
        <w:t>uplinkPowerSh</w:t>
      </w:r>
      <w:r w:rsidR="0031116D">
        <w:rPr>
          <w:i/>
          <w:iCs/>
          <w:lang w:eastAsia="ja-JP"/>
        </w:rPr>
        <w:t>a</w:t>
      </w:r>
      <w:r w:rsidR="0031116D" w:rsidRPr="0076069D">
        <w:rPr>
          <w:i/>
          <w:iCs/>
          <w:lang w:eastAsia="ja-JP"/>
        </w:rPr>
        <w:t>ringDAPS-Mode</w:t>
      </w:r>
      <w:r>
        <w:rPr>
          <w:iCs/>
          <w:lang w:eastAsia="ko-KR"/>
        </w:rPr>
        <w:t xml:space="preserve"> </w:t>
      </w:r>
      <w:r>
        <w:rPr>
          <w:lang w:eastAsia="ja-JP"/>
        </w:rPr>
        <w:t xml:space="preserve">= </w:t>
      </w:r>
      <w:r>
        <w:rPr>
          <w:i/>
          <w:lang w:eastAsia="ja-JP"/>
        </w:rPr>
        <w:t>Dynamic</w:t>
      </w:r>
      <w:r>
        <w:rPr>
          <w:lang w:eastAsia="ja-JP"/>
        </w:rPr>
        <w:t xml:space="preserve">, </w:t>
      </w:r>
      <w:r w:rsidRPr="007D01DD">
        <w:t xml:space="preserve">the UE determines </w:t>
      </w:r>
      <w:r>
        <w:t>a transmission power for the target M</w:t>
      </w:r>
      <w:r w:rsidRPr="007D01DD">
        <w:t xml:space="preserve">CG </w:t>
      </w:r>
      <w:r>
        <w:t>or for the source MCG</w:t>
      </w:r>
      <w:r w:rsidRPr="007D01DD">
        <w:t xml:space="preserve"> </w:t>
      </w:r>
      <w:r>
        <w:t>as described</w:t>
      </w:r>
      <w:r w:rsidRPr="001C7D27">
        <w:t xml:space="preserve"> </w:t>
      </w:r>
      <w:r w:rsidR="006F5F9E">
        <w:t>in clause</w:t>
      </w:r>
      <w:r>
        <w:t xml:space="preserve"> 7.6.2 for </w:t>
      </w:r>
      <w:r w:rsidR="00BF5894" w:rsidRPr="007971B9">
        <w:rPr>
          <w:bCs/>
          <w:i/>
          <w:iCs/>
          <w:lang w:eastAsia="ko-KR"/>
        </w:rPr>
        <w:t>nrdc-PCmode-FR1</w:t>
      </w:r>
      <w:r w:rsidRPr="00CF3657" w:rsidDel="00843D52">
        <w:rPr>
          <w:i/>
          <w:iCs/>
          <w:lang w:eastAsia="ja-JP"/>
        </w:rPr>
        <w:t xml:space="preserve"> </w:t>
      </w:r>
      <w:r>
        <w:rPr>
          <w:lang w:eastAsia="ja-JP"/>
        </w:rPr>
        <w:t xml:space="preserve">= </w:t>
      </w:r>
      <w:r>
        <w:rPr>
          <w:i/>
          <w:lang w:eastAsia="ja-JP"/>
        </w:rPr>
        <w:t>Dynamic</w:t>
      </w:r>
      <w:r>
        <w:t xml:space="preserve"> by considering the target MCG as the MCG and the source MCG as the SCG.</w:t>
      </w:r>
      <w:r w:rsidR="00AD4171" w:rsidRPr="00AD4171">
        <w:t xml:space="preserve"> </w:t>
      </w:r>
    </w:p>
    <w:p w14:paraId="35AEAE1F" w14:textId="749CD384" w:rsidR="00AD4171" w:rsidRPr="00636608" w:rsidRDefault="00AD4171" w:rsidP="00AD4171">
      <w:r w:rsidRPr="00636608">
        <w:t xml:space="preserve">Intra-frequency DAPS handover is described </w:t>
      </w:r>
      <w:r w:rsidR="006F5F9E">
        <w:t>in clause</w:t>
      </w:r>
      <w:r w:rsidRPr="00636608">
        <w:t xml:space="preserve"> </w:t>
      </w:r>
      <w:r w:rsidRPr="00636608">
        <w:rPr>
          <w:lang w:eastAsia="zh-CN"/>
        </w:rPr>
        <w:t>6.1.3.2</w:t>
      </w:r>
      <w:r w:rsidRPr="00636608">
        <w:t xml:space="preserve"> of [10, </w:t>
      </w:r>
      <w:r w:rsidR="00295E42">
        <w:t>TS 38.</w:t>
      </w:r>
      <w:r w:rsidRPr="00636608">
        <w:t>133].</w:t>
      </w:r>
    </w:p>
    <w:p w14:paraId="330CDD4D" w14:textId="095AA06D" w:rsidR="00373620" w:rsidRDefault="00AD4171" w:rsidP="00AD4171">
      <w:r>
        <w:t>For DAPS handover that is not intra-frequency, if</w:t>
      </w:r>
    </w:p>
    <w:p w14:paraId="64C3FB69" w14:textId="1E8B3722" w:rsidR="00BF5894" w:rsidRDefault="00BF5894" w:rsidP="00BF5894">
      <w:pPr>
        <w:pStyle w:val="B1"/>
        <w:ind w:left="560" w:hanging="276"/>
      </w:pPr>
      <w:r>
        <w:t>-</w:t>
      </w:r>
      <w:r>
        <w:tab/>
        <w:t xml:space="preserve">the UE does not indicate support of </w:t>
      </w:r>
      <w:r w:rsidR="005644CA" w:rsidRPr="00883FB9">
        <w:rPr>
          <w:i/>
          <w:iCs/>
        </w:rPr>
        <w:t>interFreqUL-TransCancellationDAPS-r16</w:t>
      </w:r>
      <w:r>
        <w:t>, and</w:t>
      </w:r>
    </w:p>
    <w:p w14:paraId="4D90E0B5" w14:textId="0BA065DF" w:rsidR="00BF5894" w:rsidRDefault="00BF5894" w:rsidP="00BF5894">
      <w:pPr>
        <w:pStyle w:val="B1"/>
        <w:ind w:left="560" w:hanging="276"/>
      </w:pPr>
      <w:r>
        <w:t>-</w:t>
      </w:r>
      <w:r>
        <w:tab/>
        <w:t xml:space="preserve">UE does not indicate a capability for power sharing between source and target MCG in DAPS handover or the UE is not provided with </w:t>
      </w:r>
      <w:r w:rsidRPr="00484CB1">
        <w:rPr>
          <w:i/>
          <w:iCs/>
        </w:rPr>
        <w:t>uplinkPowerSharingDAPS-Mode</w:t>
      </w:r>
      <w:r>
        <w:t xml:space="preserve">, </w:t>
      </w:r>
    </w:p>
    <w:p w14:paraId="4A09595E" w14:textId="77777777" w:rsidR="00BF5894" w:rsidRDefault="00BF5894" w:rsidP="00BF5894">
      <w:r>
        <w:t>the UE does not expect transmissions on the target and source cell in overlapping time resources.</w:t>
      </w:r>
    </w:p>
    <w:p w14:paraId="476B419B" w14:textId="77777777" w:rsidR="00636608" w:rsidRDefault="00892149" w:rsidP="005258CF">
      <w:r>
        <w:t>For DAPS handover that is not intra-frequency, if</w:t>
      </w:r>
    </w:p>
    <w:p w14:paraId="63E5DF8B" w14:textId="64129DA1" w:rsidR="00BF5894" w:rsidRDefault="00BF5894" w:rsidP="00BF5894">
      <w:pPr>
        <w:pStyle w:val="B1"/>
        <w:ind w:left="560" w:hanging="276"/>
      </w:pPr>
      <w:r>
        <w:t>-</w:t>
      </w:r>
      <w:r>
        <w:tab/>
        <w:t xml:space="preserve">the UE indicates support of </w:t>
      </w:r>
      <w:r w:rsidR="005644CA" w:rsidRPr="00883FB9">
        <w:rPr>
          <w:i/>
          <w:iCs/>
        </w:rPr>
        <w:t>interFreqUL-TransCancellationDAPS-r16</w:t>
      </w:r>
      <w:r>
        <w:t>, and</w:t>
      </w:r>
    </w:p>
    <w:p w14:paraId="002015B0" w14:textId="3A4C1E75" w:rsidR="00BF5894" w:rsidRDefault="00BF5894" w:rsidP="00BF5894">
      <w:pPr>
        <w:pStyle w:val="B1"/>
        <w:ind w:left="560" w:hanging="276"/>
      </w:pPr>
      <w:r>
        <w:t>-</w:t>
      </w:r>
      <w:r>
        <w:tab/>
        <w:t xml:space="preserve">UE does not indicate a capability for power sharing between source and target MCG in DAPS handover or the UE is not provided with </w:t>
      </w:r>
      <w:r w:rsidRPr="00484CB1">
        <w:rPr>
          <w:i/>
          <w:iCs/>
        </w:rPr>
        <w:t>uplinkPowerSharingDAPS-Mode</w:t>
      </w:r>
      <w:r>
        <w:t xml:space="preserve">, and </w:t>
      </w:r>
    </w:p>
    <w:p w14:paraId="69ECBE00" w14:textId="77777777" w:rsidR="00BF5894" w:rsidRDefault="00BF5894" w:rsidP="00BF5894">
      <w:pPr>
        <w:pStyle w:val="B1"/>
        <w:ind w:left="560" w:hanging="276"/>
      </w:pPr>
      <w:r>
        <w:t>-</w:t>
      </w:r>
      <w:r>
        <w:tab/>
        <w:t xml:space="preserve">UE transmissions on the target cell and the source cell are in overlapping time resources, </w:t>
      </w:r>
    </w:p>
    <w:p w14:paraId="3A4207A1" w14:textId="2FFC8C1B" w:rsidR="00BF5894" w:rsidRDefault="00BF5894" w:rsidP="00BF5894">
      <w:r>
        <w:t>the UE transmits only on the target cell, and cancels the transmission to source cell</w:t>
      </w:r>
      <w:r w:rsidR="005644CA">
        <w:t>.</w:t>
      </w:r>
    </w:p>
    <w:p w14:paraId="08755F51" w14:textId="45E8F826" w:rsidR="00373620" w:rsidRDefault="00EE5F2F" w:rsidP="005258CF">
      <w:r>
        <w:lastRenderedPageBreak/>
        <w:t>For intra-frequency DAPS handover, if</w:t>
      </w:r>
      <w:r w:rsidR="00373620">
        <w:t xml:space="preserve"> </w:t>
      </w:r>
    </w:p>
    <w:p w14:paraId="19D65B54" w14:textId="4DA645C7" w:rsidR="00373620" w:rsidRDefault="00373620" w:rsidP="00373620">
      <w:pPr>
        <w:pStyle w:val="B1"/>
        <w:ind w:left="560" w:hanging="276"/>
      </w:pPr>
      <w:r>
        <w:t>-</w:t>
      </w:r>
      <w:r>
        <w:tab/>
        <w:t xml:space="preserve">UE transmissions on the target cell and the source cell </w:t>
      </w:r>
      <w:r w:rsidR="00EE5F2F">
        <w:t xml:space="preserve">are in </w:t>
      </w:r>
      <w:r w:rsidR="00BF5894" w:rsidRPr="00181045">
        <w:t>overlapping time resources,</w:t>
      </w:r>
      <w:r>
        <w:t xml:space="preserve"> </w:t>
      </w:r>
    </w:p>
    <w:p w14:paraId="3ABEA8AF" w14:textId="2ABF4117" w:rsidR="00BF5894" w:rsidRDefault="00373620" w:rsidP="00D2686C">
      <w:pPr>
        <w:rPr>
          <w:lang w:eastAsia="zh-TW"/>
        </w:rPr>
      </w:pPr>
      <w:r>
        <w:t xml:space="preserve">the UE transmits only on the target cell </w:t>
      </w:r>
      <w:r w:rsidR="0031116D" w:rsidRPr="009A007E">
        <w:t>and cancels the transmission</w:t>
      </w:r>
      <w:r w:rsidR="0031116D" w:rsidRPr="009A007E">
        <w:rPr>
          <w:lang w:eastAsia="zh-TW"/>
        </w:rPr>
        <w:t xml:space="preserve"> on the source cell</w:t>
      </w:r>
      <w:r w:rsidR="005644CA">
        <w:rPr>
          <w:lang w:eastAsia="zh-TW"/>
        </w:rPr>
        <w:t>.</w:t>
      </w:r>
    </w:p>
    <w:p w14:paraId="6039111A" w14:textId="0434211A" w:rsidR="00BF5894" w:rsidRDefault="0031116D" w:rsidP="00BF5894">
      <w:pPr>
        <w:rPr>
          <w:lang w:eastAsia="zh-TW"/>
        </w:rPr>
      </w:pPr>
      <w:r w:rsidRPr="009A007E">
        <w:rPr>
          <w:lang w:eastAsia="zh-TW"/>
        </w:rPr>
        <w:t xml:space="preserve">The UE does not expect to cancel a transmission on the source cell </w:t>
      </w:r>
      <w:r>
        <w:rPr>
          <w:lang w:eastAsia="zh-TW"/>
        </w:rPr>
        <w:t xml:space="preserve">if </w:t>
      </w:r>
      <w:r w:rsidRPr="009A007E">
        <w:t xml:space="preserve">a first symbol </w:t>
      </w:r>
      <w:r>
        <w:t>of the transmission</w:t>
      </w:r>
      <w:r w:rsidRPr="009A007E">
        <w:rPr>
          <w:lang w:eastAsia="zh-TW"/>
        </w:rPr>
        <w:t xml:space="preserve"> </w:t>
      </w:r>
      <w:r>
        <w:rPr>
          <w:lang w:eastAsia="zh-TW"/>
        </w:rPr>
        <w:t xml:space="preserve">on the source cell </w:t>
      </w:r>
      <w:r w:rsidRPr="009A007E">
        <w:rPr>
          <w:lang w:eastAsia="zh-TW"/>
        </w:rPr>
        <w:t xml:space="preserve">is less than </w:t>
      </w:r>
      <m:oMath>
        <m:sSub>
          <m:sSubPr>
            <m:ctrlPr>
              <w:rPr>
                <w:rFonts w:ascii="Cambria Math" w:hAnsi="Cambria Math" w:cs="Calibri"/>
                <w:i/>
                <w:iCs/>
              </w:rPr>
            </m:ctrlPr>
          </m:sSubPr>
          <m:e>
            <m:r>
              <w:rPr>
                <w:rFonts w:ascii="Cambria Math" w:hAnsi="Cambria Math"/>
              </w:rPr>
              <m:t>T</m:t>
            </m:r>
          </m:e>
          <m:sub>
            <m:r>
              <m:rPr>
                <m:nor/>
              </m:rPr>
              <m:t>proc,2</m:t>
            </m:r>
            <m:ctrlPr>
              <w:rPr>
                <w:rFonts w:ascii="Cambria Math" w:hAnsi="Cambria Math" w:cs="Calibri"/>
              </w:rPr>
            </m:ctrlPr>
          </m:sub>
        </m:sSub>
        <m:r>
          <w:rPr>
            <w:rFonts w:ascii="Cambria Math" w:hAnsi="Cambria Math" w:cs="Calibri"/>
          </w:rPr>
          <m:t>+d</m:t>
        </m:r>
      </m:oMath>
      <w:r w:rsidRPr="009A007E">
        <w:rPr>
          <w:i/>
          <w:iCs/>
          <w:lang w:eastAsia="zh-TW"/>
        </w:rPr>
        <w:t xml:space="preserve"> </w:t>
      </w:r>
      <w:r w:rsidRPr="009A007E">
        <w:rPr>
          <w:lang w:eastAsia="zh-TW"/>
        </w:rPr>
        <w:t xml:space="preserve">after a last symbol of a </w:t>
      </w:r>
      <w:r w:rsidR="006F4839">
        <w:t>PDCCH reception</w:t>
      </w:r>
      <w:r w:rsidRPr="009A007E">
        <w:rPr>
          <w:lang w:eastAsia="zh-TW"/>
        </w:rPr>
        <w:t xml:space="preserve"> where the UE receives a PDCCH providing a DCI format scheduling a transmission on the target cell. </w:t>
      </w:r>
      <m:oMath>
        <m:sSub>
          <m:sSubPr>
            <m:ctrlPr>
              <w:rPr>
                <w:rFonts w:ascii="Cambria Math" w:hAnsi="Cambria Math" w:cs="Calibri"/>
                <w:i/>
                <w:iCs/>
              </w:rPr>
            </m:ctrlPr>
          </m:sSubPr>
          <m:e>
            <m:r>
              <w:rPr>
                <w:rFonts w:ascii="Cambria Math" w:hAnsi="Cambria Math"/>
              </w:rPr>
              <m:t>T</m:t>
            </m:r>
          </m:e>
          <m:sub>
            <m:r>
              <m:rPr>
                <m:nor/>
              </m:rPr>
              <m:t>proc,2</m:t>
            </m:r>
            <m:ctrlPr>
              <w:rPr>
                <w:rFonts w:ascii="Cambria Math" w:hAnsi="Cambria Math" w:cs="Calibri"/>
              </w:rPr>
            </m:ctrlPr>
          </m:sub>
        </m:sSub>
      </m:oMath>
      <w:r w:rsidRPr="009A007E">
        <w:rPr>
          <w:lang w:eastAsia="zh-TW"/>
        </w:rPr>
        <w:t xml:space="preserve"> is the PUSCH preparation time for the corresponding PUSCH processing capability [6, TS 38.214] assuming </w:t>
      </w:r>
      <m:oMath>
        <m:sSub>
          <m:sSubPr>
            <m:ctrlPr>
              <w:rPr>
                <w:rFonts w:ascii="Cambria Math" w:hAnsi="Cambria Math" w:cs="Calibri"/>
                <w:i/>
                <w:iCs/>
              </w:rPr>
            </m:ctrlPr>
          </m:sSubPr>
          <m:e>
            <m:r>
              <w:rPr>
                <w:rFonts w:ascii="Cambria Math" w:hAnsi="Cambria Math"/>
              </w:rPr>
              <m:t>d</m:t>
            </m:r>
          </m:e>
          <m:sub>
            <m:r>
              <m:rPr>
                <m:nor/>
              </m:rPr>
              <m:t>2</m:t>
            </m:r>
            <m:r>
              <m:rPr>
                <m:nor/>
              </m:rPr>
              <w:rPr>
                <w:rFonts w:ascii="Cambria Math"/>
              </w:rPr>
              <m:t>,1</m:t>
            </m:r>
            <m:ctrlPr>
              <w:rPr>
                <w:rFonts w:ascii="Cambria Math" w:hAnsi="Cambria Math" w:cs="Calibri"/>
              </w:rPr>
            </m:ctrlPr>
          </m:sub>
        </m:sSub>
        <m:r>
          <w:rPr>
            <w:rFonts w:ascii="Cambria Math" w:hAnsi="Cambria Math" w:cs="Calibri"/>
          </w:rPr>
          <m:t>=1</m:t>
        </m:r>
      </m:oMath>
      <w:r w:rsidRPr="00EF4145">
        <w:t>,</w:t>
      </w:r>
      <w:r w:rsidRPr="009A007E">
        <w:rPr>
          <w:lang w:eastAsia="zh-TW"/>
        </w:rPr>
        <w:t xml:space="preserve">  </w:t>
      </w:r>
      <m:oMath>
        <m:r>
          <w:rPr>
            <w:rFonts w:ascii="Cambria Math" w:hAnsi="Cambria Math" w:cs="Calibri"/>
          </w:rPr>
          <m:t>d</m:t>
        </m:r>
      </m:oMath>
      <w:r w:rsidRPr="009A007E">
        <w:rPr>
          <w:lang w:eastAsia="zh-TW"/>
        </w:rPr>
        <w:t xml:space="preserve"> is a time duration corresponding to 2 symbols for SCS configuration </w:t>
      </w:r>
      <m:oMath>
        <m:r>
          <w:rPr>
            <w:rFonts w:ascii="Cambria Math" w:hAnsi="Cambria Math"/>
            <w:lang w:eastAsia="zh-TW"/>
          </w:rPr>
          <m:t>μ</m:t>
        </m:r>
      </m:oMath>
      <w:r w:rsidRPr="009A007E">
        <w:rPr>
          <w:lang w:eastAsia="zh-TW"/>
        </w:rPr>
        <w:t xml:space="preserve">, and </w:t>
      </w:r>
      <m:oMath>
        <m:r>
          <w:rPr>
            <w:rFonts w:ascii="Cambria Math" w:hAnsi="Cambria Math"/>
            <w:lang w:eastAsia="zh-TW"/>
          </w:rPr>
          <m:t>μ</m:t>
        </m:r>
      </m:oMath>
      <w:r w:rsidRPr="009A007E">
        <w:rPr>
          <w:lang w:eastAsia="zh-TW"/>
        </w:rPr>
        <w:t xml:space="preserve"> is the smallest SCS configuration between the SCS configuration of the PDCCH providing the DCI format and the SCS configuration for the transmission on the source cell. If the UE transmits PRACH using 1.25 kHz or 5 kHz SCS on the source cell, the UE determines </w:t>
      </w:r>
      <m:oMath>
        <m:sSub>
          <m:sSubPr>
            <m:ctrlPr>
              <w:rPr>
                <w:rFonts w:ascii="Cambria Math" w:hAnsi="Cambria Math" w:cs="Calibri"/>
                <w:i/>
                <w:iCs/>
              </w:rPr>
            </m:ctrlPr>
          </m:sSubPr>
          <m:e>
            <m:r>
              <w:rPr>
                <w:rFonts w:ascii="Cambria Math" w:hAnsi="Cambria Math"/>
              </w:rPr>
              <m:t>T</m:t>
            </m:r>
          </m:e>
          <m:sub>
            <m:r>
              <m:rPr>
                <m:nor/>
              </m:rPr>
              <m:t>proc,2</m:t>
            </m:r>
            <m:ctrlPr>
              <w:rPr>
                <w:rFonts w:ascii="Cambria Math" w:hAnsi="Cambria Math" w:cs="Calibri"/>
              </w:rPr>
            </m:ctrlPr>
          </m:sub>
        </m:sSub>
      </m:oMath>
      <w:r w:rsidRPr="009A007E">
        <w:rPr>
          <w:lang w:eastAsia="zh-TW"/>
        </w:rPr>
        <w:t xml:space="preserve"> assuming SCS configuration </w:t>
      </w:r>
      <m:oMath>
        <m:r>
          <w:rPr>
            <w:rFonts w:ascii="Cambria Math" w:hAnsi="Cambria Math"/>
            <w:lang w:eastAsia="zh-TW"/>
          </w:rPr>
          <m:t>μ=0</m:t>
        </m:r>
      </m:oMath>
      <w:r w:rsidRPr="009A007E">
        <w:rPr>
          <w:lang w:eastAsia="zh-TW"/>
        </w:rPr>
        <w:t>.</w:t>
      </w:r>
      <w:r w:rsidR="00BF5894" w:rsidRPr="00BF5894">
        <w:rPr>
          <w:lang w:eastAsia="zh-TW"/>
        </w:rPr>
        <w:t xml:space="preserve"> </w:t>
      </w:r>
    </w:p>
    <w:p w14:paraId="08520550" w14:textId="1584471F" w:rsidR="00BF5894" w:rsidRDefault="00BF5894" w:rsidP="00BF5894">
      <w:r w:rsidRPr="00004AA9">
        <w:t xml:space="preserve">A UE does not expect to cancel a transmission on the source cell </w:t>
      </w:r>
      <w:r w:rsidR="007C2D2A">
        <w:t>if the first symbol of the source cell transmission</w:t>
      </w:r>
      <w:r w:rsidRPr="00004AA9">
        <w:t xml:space="preserve"> occur</w:t>
      </w:r>
      <w:r w:rsidR="007C2D2A">
        <w:t>s</w:t>
      </w:r>
      <w:r w:rsidRPr="00004AA9">
        <w:t xml:space="preserve">, relative to a last symbol of a PDSCH reception conveying a RAR message with a RAR UL grant on the target cell, after a number of symbols that is smaller than </w:t>
      </w:r>
      <m:oMath>
        <m:sSub>
          <m:sSubPr>
            <m:ctrlPr>
              <w:rPr>
                <w:rFonts w:ascii="Cambria Math" w:hAnsi="Cambria Math" w:cs="Calibri"/>
                <w:i/>
                <w:iCs/>
              </w:rPr>
            </m:ctrlPr>
          </m:sSubPr>
          <m:e>
            <m:r>
              <w:rPr>
                <w:rFonts w:ascii="Cambria Math" w:hAnsi="Cambria Math"/>
              </w:rPr>
              <m:t>N</m:t>
            </m:r>
          </m:e>
          <m:sub>
            <m:r>
              <m:rPr>
                <m:nor/>
              </m:rPr>
              <w:rPr>
                <w:rFonts w:ascii="Cambria Math"/>
              </w:rPr>
              <m:t>T,1</m:t>
            </m:r>
            <m:ctrlPr>
              <w:rPr>
                <w:rFonts w:ascii="Cambria Math" w:hAnsi="Cambria Math" w:cs="Calibri"/>
              </w:rPr>
            </m:ctrlPr>
          </m:sub>
        </m:sSub>
        <m:r>
          <w:rPr>
            <w:rFonts w:ascii="Cambria Math" w:hAnsi="Cambria Math" w:cs="Calibri"/>
          </w:rPr>
          <m:t>+</m:t>
        </m:r>
        <m:sSub>
          <m:sSubPr>
            <m:ctrlPr>
              <w:rPr>
                <w:rFonts w:ascii="Cambria Math" w:hAnsi="Cambria Math" w:cs="Calibri"/>
                <w:i/>
                <w:iCs/>
              </w:rPr>
            </m:ctrlPr>
          </m:sSubPr>
          <m:e>
            <m:r>
              <w:rPr>
                <w:rFonts w:ascii="Cambria Math" w:hAnsi="Cambria Math"/>
              </w:rPr>
              <m:t>N</m:t>
            </m:r>
          </m:e>
          <m:sub>
            <m:r>
              <m:rPr>
                <m:nor/>
              </m:rPr>
              <w:rPr>
                <w:rFonts w:ascii="Cambria Math"/>
              </w:rPr>
              <m:t>T,2</m:t>
            </m:r>
            <m:ctrlPr>
              <w:rPr>
                <w:rFonts w:ascii="Cambria Math" w:hAnsi="Cambria Math" w:cs="Calibri"/>
              </w:rPr>
            </m:ctrlPr>
          </m:sub>
        </m:sSub>
        <m:r>
          <w:rPr>
            <w:rFonts w:ascii="Cambria Math" w:hAnsi="Cambria Math" w:cs="Calibri"/>
          </w:rPr>
          <m:t>+0.5</m:t>
        </m:r>
      </m:oMath>
      <w:r w:rsidRPr="00004AA9">
        <w:t xml:space="preserve"> msec, where </w:t>
      </w:r>
      <m:oMath>
        <m:sSub>
          <m:sSubPr>
            <m:ctrlPr>
              <w:rPr>
                <w:rFonts w:ascii="Cambria Math" w:hAnsi="Cambria Math" w:cs="Calibri"/>
                <w:i/>
                <w:iCs/>
              </w:rPr>
            </m:ctrlPr>
          </m:sSubPr>
          <m:e>
            <m:r>
              <w:rPr>
                <w:rFonts w:ascii="Cambria Math" w:hAnsi="Cambria Math"/>
              </w:rPr>
              <m:t>N</m:t>
            </m:r>
          </m:e>
          <m:sub>
            <m:r>
              <m:rPr>
                <m:nor/>
              </m:rPr>
              <w:rPr>
                <w:rFonts w:ascii="Cambria Math"/>
              </w:rPr>
              <m:t>T,1</m:t>
            </m:r>
            <m:ctrlPr>
              <w:rPr>
                <w:rFonts w:ascii="Cambria Math" w:hAnsi="Cambria Math" w:cs="Calibri"/>
              </w:rPr>
            </m:ctrlPr>
          </m:sub>
        </m:sSub>
      </m:oMath>
      <w:r w:rsidRPr="00004AA9">
        <w:t xml:space="preserve">  is a time duration of </w:t>
      </w:r>
      <m:oMath>
        <m:sSub>
          <m:sSubPr>
            <m:ctrlPr>
              <w:rPr>
                <w:rFonts w:ascii="Cambria Math" w:hAnsi="Cambria Math" w:cs="Calibri"/>
                <w:i/>
                <w:iCs/>
              </w:rPr>
            </m:ctrlPr>
          </m:sSubPr>
          <m:e>
            <m:r>
              <w:rPr>
                <w:rFonts w:ascii="Cambria Math" w:hAnsi="Cambria Math"/>
              </w:rPr>
              <m:t>N</m:t>
            </m:r>
          </m:e>
          <m:sub>
            <m:r>
              <m:rPr>
                <m:nor/>
              </m:rPr>
              <w:rPr>
                <w:rFonts w:ascii="Cambria Math"/>
              </w:rPr>
              <m:t>1</m:t>
            </m:r>
            <m:ctrlPr>
              <w:rPr>
                <w:rFonts w:ascii="Cambria Math" w:hAnsi="Cambria Math" w:cs="Calibri"/>
              </w:rPr>
            </m:ctrlPr>
          </m:sub>
        </m:sSub>
      </m:oMath>
      <w:r w:rsidRPr="00004AA9">
        <w:t xml:space="preserve"> symbols corresponding to a PDSCH processing time for UE processing capability 1 when additional PDSCH DM-RS is configured, </w:t>
      </w:r>
      <m:oMath>
        <m:sSub>
          <m:sSubPr>
            <m:ctrlPr>
              <w:rPr>
                <w:rFonts w:ascii="Cambria Math" w:hAnsi="Cambria Math" w:cs="Calibri"/>
                <w:i/>
                <w:iCs/>
              </w:rPr>
            </m:ctrlPr>
          </m:sSubPr>
          <m:e>
            <m:r>
              <w:rPr>
                <w:rFonts w:ascii="Cambria Math" w:hAnsi="Cambria Math"/>
              </w:rPr>
              <m:t>N</m:t>
            </m:r>
          </m:e>
          <m:sub>
            <m:r>
              <m:rPr>
                <m:nor/>
              </m:rPr>
              <w:rPr>
                <w:rFonts w:ascii="Cambria Math"/>
              </w:rPr>
              <m:t>T,2</m:t>
            </m:r>
            <m:ctrlPr>
              <w:rPr>
                <w:rFonts w:ascii="Cambria Math" w:hAnsi="Cambria Math" w:cs="Calibri"/>
              </w:rPr>
            </m:ctrlPr>
          </m:sub>
        </m:sSub>
      </m:oMath>
      <w:r w:rsidRPr="00004AA9">
        <w:t xml:space="preserve">  is a time duration of </w:t>
      </w:r>
      <m:oMath>
        <m:sSub>
          <m:sSubPr>
            <m:ctrlPr>
              <w:rPr>
                <w:rFonts w:ascii="Cambria Math" w:hAnsi="Cambria Math" w:cs="Calibri"/>
                <w:i/>
                <w:iCs/>
              </w:rPr>
            </m:ctrlPr>
          </m:sSubPr>
          <m:e>
            <m:r>
              <w:rPr>
                <w:rFonts w:ascii="Cambria Math" w:hAnsi="Cambria Math"/>
              </w:rPr>
              <m:t>N</m:t>
            </m:r>
          </m:e>
          <m:sub>
            <m:r>
              <m:rPr>
                <m:nor/>
              </m:rPr>
              <w:rPr>
                <w:rFonts w:ascii="Cambria Math"/>
              </w:rPr>
              <m:t>2</m:t>
            </m:r>
            <m:ctrlPr>
              <w:rPr>
                <w:rFonts w:ascii="Cambria Math" w:hAnsi="Cambria Math" w:cs="Calibri"/>
              </w:rPr>
            </m:ctrlPr>
          </m:sub>
        </m:sSub>
      </m:oMath>
      <w:r w:rsidRPr="00004AA9">
        <w:t xml:space="preserve"> symbols corresponding to a PUSCH preparation time for UE processing capability 1 [6, TS 38.214] and the UE considers that </w:t>
      </w:r>
      <m:oMath>
        <m:sSub>
          <m:sSubPr>
            <m:ctrlPr>
              <w:rPr>
                <w:rFonts w:ascii="Cambria Math" w:hAnsi="Cambria Math" w:cs="Calibri"/>
                <w:i/>
                <w:iCs/>
              </w:rPr>
            </m:ctrlPr>
          </m:sSubPr>
          <m:e>
            <m:r>
              <w:rPr>
                <w:rFonts w:ascii="Cambria Math" w:hAnsi="Cambria Math"/>
              </w:rPr>
              <m:t>N</m:t>
            </m:r>
          </m:e>
          <m:sub>
            <m:r>
              <m:rPr>
                <m:nor/>
              </m:rPr>
              <w:rPr>
                <w:rFonts w:ascii="Cambria Math"/>
              </w:rPr>
              <m:t>1</m:t>
            </m:r>
            <m:ctrlPr>
              <w:rPr>
                <w:rFonts w:ascii="Cambria Math" w:hAnsi="Cambria Math" w:cs="Calibri"/>
              </w:rPr>
            </m:ctrlPr>
          </m:sub>
        </m:sSub>
      </m:oMath>
      <w:r w:rsidRPr="00004AA9">
        <w:t xml:space="preserve"> and </w:t>
      </w:r>
      <m:oMath>
        <m:sSub>
          <m:sSubPr>
            <m:ctrlPr>
              <w:rPr>
                <w:rFonts w:ascii="Cambria Math" w:hAnsi="Cambria Math" w:cs="Calibri"/>
                <w:i/>
                <w:iCs/>
              </w:rPr>
            </m:ctrlPr>
          </m:sSubPr>
          <m:e>
            <m:r>
              <w:rPr>
                <w:rFonts w:ascii="Cambria Math" w:hAnsi="Cambria Math"/>
              </w:rPr>
              <m:t>N</m:t>
            </m:r>
          </m:e>
          <m:sub>
            <m:r>
              <w:rPr>
                <w:rFonts w:ascii="Cambria Math" w:hAnsi="Cambria Math" w:cs="Calibri"/>
              </w:rPr>
              <m:t>2</m:t>
            </m:r>
            <m:ctrlPr>
              <w:rPr>
                <w:rFonts w:ascii="Cambria Math" w:hAnsi="Cambria Math" w:cs="Calibri"/>
              </w:rPr>
            </m:ctrlPr>
          </m:sub>
        </m:sSub>
      </m:oMath>
      <w:r w:rsidRPr="00004AA9">
        <w:t xml:space="preserve"> correspond to the smaller of the SCS configurations for the PDSCH on the target cell and the transmission on the source cell. For </w:t>
      </w:r>
      <m:oMath>
        <m:r>
          <w:rPr>
            <w:rFonts w:ascii="Cambria Math" w:hAnsi="Cambria Math"/>
          </w:rPr>
          <m:t>μ=0</m:t>
        </m:r>
      </m:oMath>
      <w:r w:rsidRPr="00004AA9">
        <w:t xml:space="preserve">, the UE assumes </w:t>
      </w:r>
      <m:oMath>
        <m:sSub>
          <m:sSubPr>
            <m:ctrlPr>
              <w:rPr>
                <w:rFonts w:ascii="Cambria Math" w:hAnsi="Cambria Math" w:cs="Calibri"/>
                <w:i/>
                <w:iCs/>
              </w:rPr>
            </m:ctrlPr>
          </m:sSubPr>
          <m:e>
            <m:r>
              <w:rPr>
                <w:rFonts w:ascii="Cambria Math" w:hAnsi="Cambria Math"/>
              </w:rPr>
              <m:t>N</m:t>
            </m:r>
          </m:e>
          <m:sub>
            <m:r>
              <m:rPr>
                <m:nor/>
              </m:rPr>
              <w:rPr>
                <w:rFonts w:ascii="Cambria Math"/>
              </w:rPr>
              <m:t>1,0</m:t>
            </m:r>
            <m:ctrlPr>
              <w:rPr>
                <w:rFonts w:ascii="Cambria Math" w:hAnsi="Cambria Math" w:cs="Calibri"/>
              </w:rPr>
            </m:ctrlPr>
          </m:sub>
        </m:sSub>
        <m:r>
          <w:rPr>
            <w:rFonts w:ascii="Cambria Math" w:hAnsi="Cambria Math" w:cs="Calibri"/>
          </w:rPr>
          <m:t>=14</m:t>
        </m:r>
      </m:oMath>
      <w:r>
        <w:t xml:space="preserve"> </w:t>
      </w:r>
      <w:r w:rsidRPr="00004AA9">
        <w:t>[6, TS 38.214].</w:t>
      </w:r>
    </w:p>
    <w:p w14:paraId="0FF79185" w14:textId="062E6CC7" w:rsidR="00D52D67" w:rsidRDefault="00373620" w:rsidP="00D52D67">
      <w:r>
        <w:t xml:space="preserve">For intra-frequency DAPS </w:t>
      </w:r>
      <w:r w:rsidR="00EE5F2F">
        <w:t>handover</w:t>
      </w:r>
      <w:r>
        <w:t xml:space="preserve"> operation, the UE expects that an active DL BWP and an active UL BWP on the target cell are within an active DL BWP and an active UL BWP on the source cell, respectively.</w:t>
      </w:r>
      <w:r w:rsidR="00D52D67" w:rsidRPr="00D52D67">
        <w:t xml:space="preserve"> </w:t>
      </w:r>
    </w:p>
    <w:p w14:paraId="546BCB3B" w14:textId="279645A7" w:rsidR="00373620" w:rsidRDefault="00D52D67" w:rsidP="00D52D67">
      <w:r>
        <w:t>If a UE is provided search space sets on both the target MCG and the source MCG, in any slot the UE does not expect to have USS sets on both the target MCG and the source MCG that result in the number of monitored PDCCH candidates and the total number of non-overlapped CCEs in both cells that each exceed the corresponding maximum numbers per slot defined in Table 10.1-2 and Table 10.1-3.</w:t>
      </w:r>
    </w:p>
    <w:p w14:paraId="787591EA" w14:textId="546F7D14" w:rsidR="00564ABD" w:rsidRPr="00CA308E" w:rsidRDefault="00564ABD" w:rsidP="00373620">
      <w:pPr>
        <w:rPr>
          <w:lang w:val="en-US"/>
        </w:rPr>
      </w:pPr>
      <w:r w:rsidRPr="009B0690">
        <w:t xml:space="preserve">For DAPS operation in a same frequency band, a UE does not transmit PUSCH/PUCCH/SRS to </w:t>
      </w:r>
      <w:r>
        <w:t xml:space="preserve">the </w:t>
      </w:r>
      <w:r w:rsidRPr="009B0690">
        <w:t xml:space="preserve">source MCG in a slot </w:t>
      </w:r>
      <w:r>
        <w:t>overlap</w:t>
      </w:r>
      <w:r w:rsidR="0031116D">
        <w:t>ping</w:t>
      </w:r>
      <w:r>
        <w:t xml:space="preserve"> in time</w:t>
      </w:r>
      <w:r w:rsidRPr="009B0690">
        <w:t xml:space="preserve"> with </w:t>
      </w:r>
      <w:r>
        <w:t xml:space="preserve">a </w:t>
      </w:r>
      <w:r w:rsidRPr="009B0690">
        <w:t xml:space="preserve">PRACH transmission to </w:t>
      </w:r>
      <w:r>
        <w:t xml:space="preserve">the </w:t>
      </w:r>
      <w:r w:rsidRPr="009B0690">
        <w:t>target MCG or whe</w:t>
      </w:r>
      <w:r>
        <w:t>n a gap between a</w:t>
      </w:r>
      <w:r w:rsidRPr="009B0690">
        <w:t xml:space="preserve"> first or last symbol of a PRACH transmission </w:t>
      </w:r>
      <w:r>
        <w:t>to the target MCG in a first slot would be separated</w:t>
      </w:r>
      <w:r w:rsidRPr="009B0690">
        <w:t xml:space="preserve"> by less </w:t>
      </w:r>
      <w:r w:rsidRPr="00DA4DCE">
        <w:t xml:space="preserve">than </w:t>
      </w:r>
      <m:oMath>
        <m:r>
          <w:rPr>
            <w:rFonts w:ascii="Cambria Math" w:eastAsia="DengXian" w:hAnsi="Cambria Math"/>
          </w:rPr>
          <m:t>N</m:t>
        </m:r>
      </m:oMath>
      <w:r w:rsidRPr="00DA4DCE">
        <w:t xml:space="preserve"> symbols from a last or first symbol, respectively, of the PUSCH/PUCCH/SRS transmission to the source MCG in a second slot.</w:t>
      </w:r>
      <w:r w:rsidR="0031116D">
        <w:t xml:space="preserve"> </w:t>
      </w:r>
      <w:r w:rsidR="0031116D" w:rsidRPr="00C6263D">
        <w:t xml:space="preserve">For DAPS operation in a same frequency band, a UE does not transmit PRACH on the source MCG in a slot overlapping in time with a PUSCH/PUCCH/SRS transmission on the target MCG or when a gap between the first or last symbol of a PUSCH/PUCCH/SRS transmission on the target MCG is separated by less than </w:t>
      </w:r>
      <m:oMath>
        <m:r>
          <w:rPr>
            <w:rFonts w:ascii="Cambria Math" w:eastAsia="DengXian" w:hAnsi="Cambria Math"/>
          </w:rPr>
          <m:t>N</m:t>
        </m:r>
      </m:oMath>
      <w:r w:rsidR="0031116D" w:rsidRPr="00C6263D">
        <w:t xml:space="preserve"> symbols from a last or a first symbol, respectively, of a PRACH transmission on the source MCG. </w:t>
      </w:r>
      <w:r w:rsidRPr="00DA4DCE">
        <w:t xml:space="preserve"> </w:t>
      </w:r>
      <m:oMath>
        <m:r>
          <w:rPr>
            <w:rFonts w:ascii="Cambria Math" w:eastAsia="DengXian" w:hAnsi="Cambria Math"/>
          </w:rPr>
          <m:t>N=2</m:t>
        </m:r>
      </m:oMath>
      <w:r w:rsidRPr="00DA4DCE">
        <w:t xml:space="preserve"> for </w:t>
      </w:r>
      <m:oMath>
        <m:r>
          <w:rPr>
            <w:rFonts w:ascii="Cambria Math" w:eastAsia="DengXian" w:hAnsi="Cambria Math"/>
          </w:rPr>
          <m:t>μ</m:t>
        </m:r>
        <m:r>
          <w:rPr>
            <w:rFonts w:ascii="Cambria Math" w:hAnsi="Cambria Math"/>
          </w:rPr>
          <m:t>=0</m:t>
        </m:r>
      </m:oMath>
      <w:r w:rsidRPr="00DA4DCE">
        <w:t xml:space="preserve"> or </w:t>
      </w:r>
      <m:oMath>
        <m:r>
          <w:rPr>
            <w:rFonts w:ascii="Cambria Math" w:eastAsia="DengXian" w:hAnsi="Cambria Math"/>
          </w:rPr>
          <m:t>μ</m:t>
        </m:r>
        <m:r>
          <w:rPr>
            <w:rFonts w:ascii="Cambria Math" w:hAnsi="Cambria Math"/>
          </w:rPr>
          <m:t>=1</m:t>
        </m:r>
      </m:oMath>
      <w:r w:rsidRPr="00DA4DCE">
        <w:t>,</w:t>
      </w:r>
      <w:r w:rsidR="006B633C" w:rsidRPr="00DA4DCE">
        <w:t xml:space="preserve"> </w:t>
      </w:r>
      <m:oMath>
        <m:r>
          <w:rPr>
            <w:rFonts w:ascii="Cambria Math" w:eastAsia="DengXian" w:hAnsi="Cambria Math"/>
          </w:rPr>
          <m:t>N=4</m:t>
        </m:r>
      </m:oMath>
      <w:r w:rsidRPr="00DA4DCE">
        <w:t xml:space="preserve"> for </w:t>
      </w:r>
      <m:oMath>
        <m:r>
          <w:rPr>
            <w:rFonts w:ascii="Cambria Math" w:eastAsia="DengXian" w:hAnsi="Cambria Math"/>
          </w:rPr>
          <m:t>μ</m:t>
        </m:r>
        <m:r>
          <w:rPr>
            <w:rFonts w:ascii="Cambria Math" w:hAnsi="Cambria Math"/>
          </w:rPr>
          <m:t>=2</m:t>
        </m:r>
      </m:oMath>
      <w:r w:rsidRPr="00DA4DCE">
        <w:t xml:space="preserve"> or </w:t>
      </w:r>
      <m:oMath>
        <m:r>
          <w:rPr>
            <w:rFonts w:ascii="Cambria Math" w:eastAsia="DengXian" w:hAnsi="Cambria Math"/>
          </w:rPr>
          <m:t>μ</m:t>
        </m:r>
        <m:r>
          <w:rPr>
            <w:rFonts w:ascii="Cambria Math" w:hAnsi="Cambria Math"/>
          </w:rPr>
          <m:t>=3</m:t>
        </m:r>
      </m:oMath>
      <w:r w:rsidRPr="00DA4DCE">
        <w:t xml:space="preserve">, and </w:t>
      </w:r>
      <m:oMath>
        <m:r>
          <w:rPr>
            <w:rFonts w:ascii="Cambria Math" w:eastAsia="DengXian" w:hAnsi="Cambria Math"/>
          </w:rPr>
          <m:t>μ</m:t>
        </m:r>
      </m:oMath>
      <w:r w:rsidRPr="00DA4DCE">
        <w:t xml:space="preserve"> is the SCS configuration of the active UL</w:t>
      </w:r>
      <w:r>
        <w:t xml:space="preserve"> BWP for the </w:t>
      </w:r>
      <w:r w:rsidRPr="009B0690">
        <w:t>PUS</w:t>
      </w:r>
      <w:r>
        <w:t>CH/PUCCH/SRS transmission</w:t>
      </w:r>
      <w:r w:rsidRPr="009B0690">
        <w:t>.</w:t>
      </w:r>
      <w:r w:rsidR="007C2D2A" w:rsidRPr="00636608">
        <w:t xml:space="preserve"> </w:t>
      </w:r>
      <w:r w:rsidR="007C2D2A" w:rsidRPr="00636608">
        <w:rPr>
          <w:lang w:eastAsia="zh-TW"/>
        </w:rPr>
        <w:t>The PUSCH processing capability is the processing capability of source cell.</w:t>
      </w:r>
    </w:p>
    <w:p w14:paraId="16D67803" w14:textId="77777777" w:rsidR="00E21265" w:rsidRPr="003E27DA" w:rsidRDefault="00E21265" w:rsidP="00E21265">
      <w:pPr>
        <w:pStyle w:val="Heading1"/>
        <w:tabs>
          <w:tab w:val="left" w:pos="1134"/>
        </w:tabs>
      </w:pPr>
      <w:bookmarkStart w:id="824" w:name="_Toc29894875"/>
      <w:bookmarkStart w:id="825" w:name="_Toc29899174"/>
      <w:bookmarkStart w:id="826" w:name="_Toc29899592"/>
      <w:bookmarkStart w:id="827" w:name="_Toc29917328"/>
      <w:bookmarkStart w:id="828" w:name="_Toc36498202"/>
      <w:bookmarkStart w:id="829" w:name="_Toc45699230"/>
      <w:bookmarkStart w:id="830" w:name="_Toc161999164"/>
      <w:r w:rsidRPr="00B916EC">
        <w:t>1</w:t>
      </w:r>
      <w:r>
        <w:t>6</w:t>
      </w:r>
      <w:r w:rsidRPr="00B916EC">
        <w:rPr>
          <w:rFonts w:hint="eastAsia"/>
        </w:rPr>
        <w:tab/>
      </w:r>
      <w:r w:rsidRPr="00B916EC">
        <w:t>UE</w:t>
      </w:r>
      <w:r w:rsidRPr="001A7C01">
        <w:rPr>
          <w:bCs/>
        </w:rPr>
        <w:t xml:space="preserve"> procedures </w:t>
      </w:r>
      <w:r>
        <w:rPr>
          <w:bCs/>
        </w:rPr>
        <w:t>for</w:t>
      </w:r>
      <w:r w:rsidRPr="001A7C01">
        <w:rPr>
          <w:bCs/>
        </w:rPr>
        <w:t xml:space="preserve"> </w:t>
      </w:r>
      <w:r>
        <w:rPr>
          <w:bCs/>
        </w:rPr>
        <w:t>s</w:t>
      </w:r>
      <w:r w:rsidRPr="001A7C01">
        <w:rPr>
          <w:bCs/>
        </w:rPr>
        <w:t>idelink</w:t>
      </w:r>
      <w:bookmarkEnd w:id="824"/>
      <w:bookmarkEnd w:id="825"/>
      <w:bookmarkEnd w:id="826"/>
      <w:bookmarkEnd w:id="827"/>
      <w:bookmarkEnd w:id="828"/>
      <w:bookmarkEnd w:id="829"/>
      <w:bookmarkEnd w:id="830"/>
    </w:p>
    <w:p w14:paraId="3BF6F3A1" w14:textId="77777777" w:rsidR="00DD6A51" w:rsidRDefault="00E21265" w:rsidP="003A5FED">
      <w:pPr>
        <w:rPr>
          <w:rFonts w:eastAsia="MS Mincho"/>
        </w:rPr>
      </w:pPr>
      <w:r w:rsidRPr="00821220">
        <w:rPr>
          <w:rFonts w:eastAsia="MS Mincho"/>
        </w:rPr>
        <w:t xml:space="preserve">A UE is provided by </w:t>
      </w:r>
      <w:r w:rsidR="007B6046" w:rsidRPr="00882C4D">
        <w:rPr>
          <w:i/>
        </w:rPr>
        <w:t>SL-BWP-Config</w:t>
      </w:r>
      <w:r>
        <w:rPr>
          <w:rFonts w:eastAsia="MS Mincho"/>
        </w:rPr>
        <w:t xml:space="preserve"> </w:t>
      </w:r>
      <w:r w:rsidR="00FA4CFB">
        <w:rPr>
          <w:rFonts w:eastAsia="MS Mincho"/>
        </w:rPr>
        <w:t xml:space="preserve">or </w:t>
      </w:r>
      <w:r w:rsidR="00FA4CFB">
        <w:rPr>
          <w:i/>
          <w:iCs/>
        </w:rPr>
        <w:t>SL-BWP-ConfigCommon</w:t>
      </w:r>
      <w:r w:rsidR="00FA4CFB">
        <w:rPr>
          <w:rFonts w:eastAsia="MS Mincho"/>
        </w:rPr>
        <w:t xml:space="preserve"> </w:t>
      </w:r>
      <w:r>
        <w:rPr>
          <w:rFonts w:eastAsia="MS Mincho"/>
        </w:rPr>
        <w:t>a BWP for SL</w:t>
      </w:r>
      <w:r w:rsidRPr="00821220">
        <w:rPr>
          <w:rFonts w:eastAsia="MS Mincho"/>
        </w:rPr>
        <w:t xml:space="preserve"> transmissions (SL BWP) with numerology and resource grid determined as described in [4, TS</w:t>
      </w:r>
      <w:r w:rsidR="007B6046">
        <w:rPr>
          <w:rFonts w:eastAsia="MS Mincho"/>
        </w:rPr>
        <w:t xml:space="preserve"> </w:t>
      </w:r>
      <w:r w:rsidRPr="00821220">
        <w:rPr>
          <w:rFonts w:eastAsia="MS Mincho"/>
        </w:rPr>
        <w:t xml:space="preserve">38.211]. </w:t>
      </w:r>
    </w:p>
    <w:p w14:paraId="4F73D6E2" w14:textId="77777777" w:rsidR="00DD6A51" w:rsidRDefault="00E21265" w:rsidP="003A5FED">
      <w:pPr>
        <w:rPr>
          <w:rFonts w:eastAsia="MS Mincho"/>
        </w:rPr>
      </w:pPr>
      <w:r>
        <w:rPr>
          <w:rFonts w:eastAsia="MS Mincho"/>
        </w:rPr>
        <w:t>For a resource pool within</w:t>
      </w:r>
      <w:r w:rsidRPr="00821220">
        <w:rPr>
          <w:rFonts w:eastAsia="MS Mincho"/>
        </w:rPr>
        <w:t xml:space="preserve"> the SL BWP, </w:t>
      </w:r>
    </w:p>
    <w:p w14:paraId="738427F1" w14:textId="6505CF5B" w:rsidR="00DD6A51" w:rsidRPr="00DD6A51" w:rsidRDefault="00DD6A51" w:rsidP="00DD6A51">
      <w:pPr>
        <w:pStyle w:val="B1"/>
        <w:rPr>
          <w:rFonts w:eastAsia="MS Mincho"/>
        </w:rPr>
      </w:pPr>
      <w:r w:rsidRPr="00DD6A51">
        <w:rPr>
          <w:lang w:eastAsia="ja-JP"/>
        </w:rPr>
        <w:t>-</w:t>
      </w:r>
      <w:r w:rsidRPr="00DD6A51">
        <w:rPr>
          <w:lang w:eastAsia="ja-JP"/>
        </w:rPr>
        <w:tab/>
        <w:t>f</w:t>
      </w:r>
      <w:r w:rsidRPr="00DD6A51">
        <w:rPr>
          <w:rFonts w:hint="eastAsia"/>
          <w:lang w:eastAsia="ja-JP"/>
        </w:rPr>
        <w:t xml:space="preserve">or </w:t>
      </w:r>
      <w:r w:rsidRPr="00DD6A51">
        <w:rPr>
          <w:lang w:eastAsia="ja-JP"/>
        </w:rPr>
        <w:t xml:space="preserve">operation without shared spectrum channel access, or for operation with shared spectrum channel access and when </w:t>
      </w:r>
      <w:r w:rsidRPr="00DD6A51">
        <w:rPr>
          <w:i/>
          <w:lang w:val="en-US"/>
        </w:rPr>
        <w:t>sl-</w:t>
      </w:r>
      <w:r w:rsidR="0024141F">
        <w:rPr>
          <w:i/>
          <w:lang w:val="en-US"/>
        </w:rPr>
        <w:t>T</w:t>
      </w:r>
      <w:r w:rsidR="0024141F" w:rsidRPr="00DD6A51">
        <w:rPr>
          <w:i/>
          <w:lang w:val="en-US"/>
        </w:rPr>
        <w:t xml:space="preserve">ransmissionStructureForPSCCHandPSSCH </w:t>
      </w:r>
      <w:r w:rsidRPr="00DD6A51">
        <w:rPr>
          <w:lang w:val="en-US"/>
        </w:rPr>
        <w:t xml:space="preserve">= </w:t>
      </w:r>
      <w:r w:rsidR="0024141F">
        <w:rPr>
          <w:lang w:val="en-US"/>
        </w:rPr>
        <w:t>'</w:t>
      </w:r>
      <w:r w:rsidRPr="00DD6A51">
        <w:rPr>
          <w:lang w:val="en-US"/>
        </w:rPr>
        <w:t>contiguousRB</w:t>
      </w:r>
      <w:r w:rsidR="0024141F">
        <w:rPr>
          <w:lang w:val="en-US"/>
        </w:rPr>
        <w:t>'</w:t>
      </w:r>
      <w:r w:rsidRPr="00DD6A51">
        <w:rPr>
          <w:lang w:val="en-US"/>
        </w:rPr>
        <w:t>,</w:t>
      </w:r>
      <w:r w:rsidRPr="00DD6A51">
        <w:rPr>
          <w:i/>
          <w:lang w:val="en-US"/>
        </w:rPr>
        <w:t xml:space="preserve"> </w:t>
      </w:r>
      <w:r w:rsidRPr="00DD6A51">
        <w:rPr>
          <w:rFonts w:eastAsia="MS Mincho"/>
        </w:rPr>
        <w:t xml:space="preserve">the UE is provided by </w:t>
      </w:r>
      <w:r w:rsidRPr="00DD6A51">
        <w:rPr>
          <w:i/>
          <w:iCs/>
          <w:lang w:val="en-US"/>
        </w:rPr>
        <w:t>sl-NumSubchannel</w:t>
      </w:r>
      <w:r w:rsidRPr="00DD6A51">
        <w:rPr>
          <w:lang w:val="en-US"/>
        </w:rPr>
        <w:t xml:space="preserve"> </w:t>
      </w:r>
      <w:r w:rsidRPr="00DD6A51">
        <w:rPr>
          <w:rFonts w:eastAsia="MS Mincho"/>
        </w:rPr>
        <w:t xml:space="preserve">a number of sub-channels where each sub-channel includes a number of contiguous RBs provided by </w:t>
      </w:r>
      <w:r w:rsidRPr="00DD6A51">
        <w:rPr>
          <w:rFonts w:eastAsia="MS Mincho"/>
          <w:i/>
          <w:iCs/>
        </w:rPr>
        <w:t>sl-SubchannelSize</w:t>
      </w:r>
      <w:r w:rsidRPr="00DD6A51">
        <w:rPr>
          <w:rFonts w:eastAsia="MS Mincho"/>
        </w:rPr>
        <w:t xml:space="preserve">. The first RB of the first sub-channel in the SL BWP is indicated by </w:t>
      </w:r>
      <w:r w:rsidRPr="00DD6A51">
        <w:rPr>
          <w:rFonts w:eastAsia="MS Mincho"/>
          <w:i/>
          <w:iCs/>
        </w:rPr>
        <w:t>sl-StartRB-Subchannel</w:t>
      </w:r>
      <w:r w:rsidRPr="00DD6A51">
        <w:rPr>
          <w:rFonts w:eastAsia="MS Mincho"/>
        </w:rPr>
        <w:t xml:space="preserve"> </w:t>
      </w:r>
    </w:p>
    <w:p w14:paraId="2FFD40BD" w14:textId="7D3FE298" w:rsidR="00DD6A51" w:rsidRPr="00DD6A51" w:rsidRDefault="00DD6A51" w:rsidP="00DD6A51">
      <w:pPr>
        <w:pStyle w:val="B1"/>
        <w:rPr>
          <w:rFonts w:eastAsia="MS Mincho"/>
        </w:rPr>
      </w:pPr>
      <w:r w:rsidRPr="00DD6A51">
        <w:rPr>
          <w:lang w:eastAsia="ja-JP"/>
        </w:rPr>
        <w:t>-</w:t>
      </w:r>
      <w:r w:rsidRPr="00DD6A51">
        <w:rPr>
          <w:lang w:eastAsia="ja-JP"/>
        </w:rPr>
        <w:tab/>
        <w:t>f</w:t>
      </w:r>
      <w:r w:rsidRPr="00DD6A51">
        <w:rPr>
          <w:rFonts w:hint="eastAsia"/>
          <w:lang w:eastAsia="ja-JP"/>
        </w:rPr>
        <w:t xml:space="preserve">or </w:t>
      </w:r>
      <w:r w:rsidRPr="00DD6A51">
        <w:rPr>
          <w:lang w:eastAsia="ja-JP"/>
        </w:rPr>
        <w:t xml:space="preserve">operation with shared spectrum channel access and when </w:t>
      </w:r>
      <w:r w:rsidRPr="00DD6A51">
        <w:rPr>
          <w:i/>
          <w:lang w:val="en-US"/>
        </w:rPr>
        <w:t>sl-</w:t>
      </w:r>
      <w:r w:rsidR="0024141F">
        <w:rPr>
          <w:i/>
          <w:lang w:val="en-US"/>
        </w:rPr>
        <w:t>T</w:t>
      </w:r>
      <w:r w:rsidR="0024141F" w:rsidRPr="00DD6A51">
        <w:rPr>
          <w:i/>
          <w:lang w:val="en-US"/>
        </w:rPr>
        <w:t xml:space="preserve">ransmissionStructureForPSCCHandPSSCH </w:t>
      </w:r>
      <w:r w:rsidRPr="00DD6A51">
        <w:rPr>
          <w:lang w:val="en-US"/>
        </w:rPr>
        <w:t xml:space="preserve">= </w:t>
      </w:r>
      <w:r w:rsidR="0024141F">
        <w:rPr>
          <w:lang w:val="en-US"/>
        </w:rPr>
        <w:t>'</w:t>
      </w:r>
      <w:r w:rsidRPr="00DD6A51">
        <w:rPr>
          <w:lang w:val="en-US"/>
        </w:rPr>
        <w:t>interlaceRB</w:t>
      </w:r>
      <w:r w:rsidR="0024141F">
        <w:rPr>
          <w:lang w:val="en-US"/>
        </w:rPr>
        <w:t>'</w:t>
      </w:r>
      <w:r w:rsidRPr="00DD6A51">
        <w:rPr>
          <w:i/>
          <w:lang w:val="en-US"/>
        </w:rPr>
        <w:t xml:space="preserve">, </w:t>
      </w:r>
      <w:r w:rsidRPr="00DD6A51">
        <w:rPr>
          <w:rFonts w:eastAsia="MS Mincho"/>
        </w:rPr>
        <w:t xml:space="preserve">the UE is provided by </w:t>
      </w:r>
      <w:r w:rsidRPr="00DD6A51">
        <w:rPr>
          <w:i/>
          <w:iCs/>
          <w:lang w:val="en-US"/>
        </w:rPr>
        <w:t>sl-NumSubchannel</w:t>
      </w:r>
      <w:r w:rsidRPr="00DD6A51">
        <w:rPr>
          <w:lang w:val="en-US"/>
        </w:rPr>
        <w:t xml:space="preserve"> </w:t>
      </w:r>
      <w:r w:rsidRPr="00DD6A51">
        <w:rPr>
          <w:rFonts w:eastAsia="MS Mincho"/>
        </w:rPr>
        <w:t>a number of sub-channels where each sub-channel includes a number</w:t>
      </w:r>
      <w:r w:rsidRPr="00DD6A51">
        <w:rPr>
          <w:rFonts w:eastAsia="MS Mincho"/>
          <w:lang w:val="en-US"/>
        </w:rPr>
        <w:t xml:space="preserve"> </w:t>
      </w:r>
      <w:r w:rsidRPr="00DD6A51">
        <w:rPr>
          <w:rFonts w:eastAsia="MS Mincho"/>
        </w:rPr>
        <w:t xml:space="preserve">of </w:t>
      </w:r>
      <w:r w:rsidRPr="00DD6A51">
        <w:rPr>
          <w:rFonts w:eastAsia="MS Mincho"/>
          <w:lang w:val="en-US"/>
        </w:rPr>
        <w:t xml:space="preserve">interlaces, provided by </w:t>
      </w:r>
      <w:r w:rsidRPr="00DD6A51">
        <w:rPr>
          <w:rFonts w:eastAsia="MS Mincho"/>
          <w:i/>
          <w:lang w:val="en-US"/>
        </w:rPr>
        <w:t>sl-</w:t>
      </w:r>
      <w:r w:rsidR="0024141F">
        <w:rPr>
          <w:i/>
          <w:color w:val="000000"/>
          <w:lang w:val="en-GB" w:eastAsia="ko-KR"/>
        </w:rPr>
        <w:t>N</w:t>
      </w:r>
      <w:r w:rsidR="0024141F" w:rsidRPr="00DD6A51">
        <w:rPr>
          <w:i/>
          <w:color w:val="000000"/>
          <w:lang w:eastAsia="ko-KR"/>
        </w:rPr>
        <w:t>umInterlacePerSubchannel</w:t>
      </w:r>
      <w:r w:rsidRPr="00DD6A51">
        <w:rPr>
          <w:color w:val="000000"/>
          <w:lang w:eastAsia="ko-KR"/>
        </w:rPr>
        <w:t>,</w:t>
      </w:r>
      <w:r w:rsidRPr="00DD6A51">
        <w:rPr>
          <w:rFonts w:eastAsia="MS Mincho"/>
          <w:lang w:val="en-US"/>
        </w:rPr>
        <w:t xml:space="preserve"> and the interlaces have contiguous interlace indexes</w:t>
      </w:r>
      <w:r w:rsidRPr="00DD6A51">
        <w:rPr>
          <w:rFonts w:eastAsia="MS Mincho"/>
        </w:rPr>
        <w:t xml:space="preserve"> </w:t>
      </w:r>
    </w:p>
    <w:p w14:paraId="20896327" w14:textId="77777777" w:rsidR="0024141F" w:rsidRDefault="0024141F" w:rsidP="0024141F">
      <w:pPr>
        <w:rPr>
          <w:lang w:val="en-US" w:eastAsia="ko-KR"/>
        </w:rPr>
      </w:pPr>
      <w:r w:rsidRPr="00821220">
        <w:rPr>
          <w:rFonts w:eastAsia="MS Mincho"/>
        </w:rPr>
        <w:lastRenderedPageBreak/>
        <w:t xml:space="preserve">Available slots for </w:t>
      </w:r>
      <w:r>
        <w:rPr>
          <w:rFonts w:eastAsia="MS Mincho"/>
        </w:rPr>
        <w:t>a resource pool</w:t>
      </w:r>
      <w:r w:rsidRPr="00821220">
        <w:rPr>
          <w:rFonts w:eastAsia="MS Mincho"/>
        </w:rPr>
        <w:t xml:space="preserve"> are provided by </w:t>
      </w:r>
      <w:r w:rsidRPr="00EA4257">
        <w:rPr>
          <w:rFonts w:eastAsia="MS Mincho"/>
          <w:i/>
          <w:iCs/>
        </w:rPr>
        <w:t>sl-TimeResource</w:t>
      </w:r>
      <w:r w:rsidRPr="00821220">
        <w:rPr>
          <w:rFonts w:eastAsia="MS Mincho"/>
        </w:rPr>
        <w:t xml:space="preserve"> and occur with a periodicity </w:t>
      </w:r>
      <w:r>
        <w:rPr>
          <w:rFonts w:eastAsia="MS Mincho"/>
        </w:rPr>
        <w:t>of 10240 ms</w:t>
      </w:r>
      <w:r w:rsidRPr="00821220">
        <w:rPr>
          <w:lang w:val="en-US" w:eastAsia="ko-KR"/>
        </w:rPr>
        <w:t xml:space="preserve">. </w:t>
      </w:r>
      <w:r>
        <w:rPr>
          <w:lang w:val="en-US" w:eastAsia="ko-KR"/>
        </w:rPr>
        <w:t>F</w:t>
      </w:r>
      <w:r w:rsidRPr="00821220">
        <w:rPr>
          <w:lang w:val="en-US" w:eastAsia="ko-KR"/>
        </w:rPr>
        <w:t xml:space="preserve">or </w:t>
      </w:r>
      <w:r>
        <w:rPr>
          <w:lang w:val="en-US" w:eastAsia="ko-KR"/>
        </w:rPr>
        <w:t>operation without shared spectrum channel access and for an available slot</w:t>
      </w:r>
      <w:r w:rsidRPr="00821220">
        <w:rPr>
          <w:lang w:val="en-US" w:eastAsia="ko-KR"/>
        </w:rPr>
        <w:t xml:space="preserve"> without S-SS/P</w:t>
      </w:r>
      <w:r>
        <w:rPr>
          <w:lang w:val="en-US" w:eastAsia="ko-KR"/>
        </w:rPr>
        <w:t>S</w:t>
      </w:r>
      <w:r w:rsidRPr="00821220">
        <w:rPr>
          <w:lang w:val="en-US" w:eastAsia="ko-KR"/>
        </w:rPr>
        <w:t xml:space="preserve">BCH blocks, SL transmissions can start from a </w:t>
      </w:r>
      <w:r>
        <w:rPr>
          <w:lang w:val="en-US" w:eastAsia="ko-KR"/>
        </w:rPr>
        <w:t xml:space="preserve">first </w:t>
      </w:r>
      <w:r w:rsidRPr="00821220">
        <w:rPr>
          <w:lang w:val="en-US" w:eastAsia="ko-KR"/>
        </w:rPr>
        <w:t xml:space="preserve">symbol indicated by </w:t>
      </w:r>
      <w:r w:rsidRPr="00882C4D">
        <w:rPr>
          <w:i/>
          <w:iCs/>
          <w:lang w:val="en-US" w:eastAsia="ko-KR"/>
        </w:rPr>
        <w:t>sl-StartSymbol</w:t>
      </w:r>
      <w:r>
        <w:rPr>
          <w:lang w:val="en-US" w:eastAsia="ko-KR"/>
        </w:rPr>
        <w:t xml:space="preserve"> </w:t>
      </w:r>
      <w:r w:rsidRPr="00297533">
        <w:rPr>
          <w:lang w:eastAsia="ko-KR"/>
        </w:rPr>
        <w:t xml:space="preserve">and be within a number of consecutive symbols indicated by </w:t>
      </w:r>
      <w:r w:rsidRPr="0076750C">
        <w:rPr>
          <w:i/>
          <w:lang w:eastAsia="ko-KR"/>
        </w:rPr>
        <w:t>sl-LengthSymbols</w:t>
      </w:r>
      <w:r>
        <w:rPr>
          <w:lang w:eastAsia="ko-KR"/>
        </w:rPr>
        <w:t>.</w:t>
      </w:r>
      <w:r>
        <w:rPr>
          <w:lang w:val="en-US" w:eastAsia="ko-KR"/>
        </w:rPr>
        <w:t xml:space="preserve"> For operation with shared spectrum channel access</w:t>
      </w:r>
      <w:r w:rsidRPr="00CC1476">
        <w:rPr>
          <w:lang w:val="en-US" w:eastAsia="ko-KR"/>
        </w:rPr>
        <w:t xml:space="preserve"> </w:t>
      </w:r>
      <w:r>
        <w:rPr>
          <w:lang w:val="en-US" w:eastAsia="ko-KR"/>
        </w:rPr>
        <w:t>and for an available slot</w:t>
      </w:r>
      <w:r w:rsidRPr="00821220">
        <w:rPr>
          <w:lang w:val="en-US" w:eastAsia="ko-KR"/>
        </w:rPr>
        <w:t xml:space="preserve"> without S-SS/P</w:t>
      </w:r>
      <w:r>
        <w:rPr>
          <w:lang w:val="en-US" w:eastAsia="ko-KR"/>
        </w:rPr>
        <w:t>S</w:t>
      </w:r>
      <w:r w:rsidRPr="00821220">
        <w:rPr>
          <w:lang w:val="en-US" w:eastAsia="ko-KR"/>
        </w:rPr>
        <w:t>BCH blocks</w:t>
      </w:r>
      <w:r>
        <w:rPr>
          <w:lang w:val="en-US" w:eastAsia="ko-KR"/>
        </w:rPr>
        <w:t>,</w:t>
      </w:r>
      <w:r w:rsidRPr="003E3CBC">
        <w:rPr>
          <w:iCs/>
          <w:lang w:val="en-US" w:eastAsia="ko-KR"/>
        </w:rPr>
        <w:t xml:space="preserve"> </w:t>
      </w:r>
      <w:r w:rsidRPr="00821220">
        <w:rPr>
          <w:lang w:val="en-US" w:eastAsia="ko-KR"/>
        </w:rPr>
        <w:t>SL transmissions</w:t>
      </w:r>
      <w:r w:rsidRPr="003E3CBC">
        <w:rPr>
          <w:iCs/>
          <w:lang w:val="en-US" w:eastAsia="ko-KR"/>
        </w:rPr>
        <w:t xml:space="preserve"> can start from a first symbol indicated by</w:t>
      </w:r>
      <w:r>
        <w:rPr>
          <w:i/>
          <w:iCs/>
          <w:lang w:val="en-US" w:eastAsia="ko-KR"/>
        </w:rPr>
        <w:t xml:space="preserve"> sl-</w:t>
      </w:r>
      <w:r>
        <w:rPr>
          <w:rFonts w:ascii="Times" w:eastAsia="Batang" w:hAnsi="Times"/>
          <w:i/>
          <w:iCs/>
          <w:szCs w:val="24"/>
          <w:lang w:val="en-US"/>
        </w:rPr>
        <w:t>S</w:t>
      </w:r>
      <w:r w:rsidRPr="00CF4A77">
        <w:rPr>
          <w:rFonts w:ascii="Times" w:eastAsia="Batang" w:hAnsi="Times"/>
          <w:i/>
          <w:iCs/>
          <w:szCs w:val="24"/>
        </w:rPr>
        <w:t xml:space="preserve">tartingSymbolFirst </w:t>
      </w:r>
      <w:r w:rsidRPr="00A9335C">
        <w:rPr>
          <w:rFonts w:ascii="Times" w:eastAsia="Batang" w:hAnsi="Times"/>
          <w:iCs/>
          <w:szCs w:val="24"/>
        </w:rPr>
        <w:t xml:space="preserve">and be within a number of consecutive symbols indicated by </w:t>
      </w:r>
      <w:r w:rsidRPr="004F7689">
        <w:rPr>
          <w:rFonts w:ascii="Times" w:eastAsia="Batang" w:hAnsi="Times"/>
          <w:i/>
          <w:iCs/>
          <w:szCs w:val="24"/>
        </w:rPr>
        <w:t>sl-LengthSymbols</w:t>
      </w:r>
      <w:r w:rsidRPr="00A9335C">
        <w:rPr>
          <w:rFonts w:ascii="Times" w:eastAsia="Batang" w:hAnsi="Times"/>
          <w:iCs/>
          <w:szCs w:val="24"/>
        </w:rPr>
        <w:t xml:space="preserve">, </w:t>
      </w:r>
      <w:r>
        <w:rPr>
          <w:rFonts w:ascii="Times" w:eastAsia="Batang" w:hAnsi="Times"/>
          <w:szCs w:val="24"/>
          <w:lang w:val="en-US"/>
        </w:rPr>
        <w:t>or from a second symbol indicated by</w:t>
      </w:r>
      <w:r w:rsidRPr="00CF4A77">
        <w:rPr>
          <w:rFonts w:ascii="Times" w:eastAsia="Batang" w:hAnsi="Times"/>
          <w:szCs w:val="24"/>
        </w:rPr>
        <w:t xml:space="preserve"> </w:t>
      </w:r>
      <w:r w:rsidRPr="006A07E8">
        <w:rPr>
          <w:rFonts w:ascii="Times" w:eastAsia="Batang" w:hAnsi="Times"/>
          <w:i/>
          <w:szCs w:val="24"/>
          <w:lang w:val="en-US"/>
        </w:rPr>
        <w:t>sl-</w:t>
      </w:r>
      <w:r>
        <w:rPr>
          <w:rFonts w:ascii="Times" w:eastAsia="Batang" w:hAnsi="Times"/>
          <w:i/>
          <w:iCs/>
          <w:szCs w:val="24"/>
          <w:lang w:val="en-US"/>
        </w:rPr>
        <w:t>S</w:t>
      </w:r>
      <w:r w:rsidRPr="00CF4A77">
        <w:rPr>
          <w:rFonts w:ascii="Times" w:eastAsia="Batang" w:hAnsi="Times"/>
          <w:i/>
          <w:iCs/>
          <w:szCs w:val="24"/>
        </w:rPr>
        <w:t>tartingSymbolSecond</w:t>
      </w:r>
      <w:r>
        <w:rPr>
          <w:rFonts w:ascii="Times" w:eastAsia="Batang" w:hAnsi="Times"/>
          <w:szCs w:val="24"/>
        </w:rPr>
        <w:t xml:space="preserve"> [6, TS 38.214]</w:t>
      </w:r>
      <w:r>
        <w:rPr>
          <w:lang w:val="en-US" w:eastAsia="ko-KR"/>
        </w:rPr>
        <w:t>, where the ending symbol of SL transmissions starting from the first symbol is same as the ending symbol of SL transmissions starting from the second symbol.  F</w:t>
      </w:r>
      <w:r w:rsidRPr="00821220">
        <w:rPr>
          <w:lang w:val="en-US" w:eastAsia="ko-KR"/>
        </w:rPr>
        <w:t xml:space="preserve">or </w:t>
      </w:r>
      <w:r>
        <w:rPr>
          <w:lang w:val="en-US" w:eastAsia="ko-KR"/>
        </w:rPr>
        <w:t>an available slot with</w:t>
      </w:r>
      <w:r w:rsidRPr="00821220">
        <w:rPr>
          <w:lang w:val="en-US" w:eastAsia="ko-KR"/>
        </w:rPr>
        <w:t xml:space="preserve"> S-SS/P</w:t>
      </w:r>
      <w:r>
        <w:rPr>
          <w:lang w:val="en-US" w:eastAsia="ko-KR"/>
        </w:rPr>
        <w:t>S</w:t>
      </w:r>
      <w:r w:rsidRPr="00821220">
        <w:rPr>
          <w:lang w:val="en-US" w:eastAsia="ko-KR"/>
        </w:rPr>
        <w:t xml:space="preserve">BCH blocks, </w:t>
      </w:r>
      <w:r>
        <w:rPr>
          <w:lang w:val="en-US" w:eastAsia="ko-KR"/>
        </w:rPr>
        <w:t xml:space="preserve">the first symbol and the number of consecutive symbols are predetermined. </w:t>
      </w:r>
    </w:p>
    <w:p w14:paraId="30ABE549" w14:textId="77777777" w:rsidR="00E21265" w:rsidRPr="00FF5069" w:rsidRDefault="00E21265" w:rsidP="00D2686C">
      <w:pPr>
        <w:rPr>
          <w:lang w:eastAsia="ko-KR"/>
        </w:rPr>
      </w:pPr>
      <w:r>
        <w:rPr>
          <w:szCs w:val="18"/>
          <w:lang w:eastAsia="ko-KR"/>
        </w:rPr>
        <w:t xml:space="preserve">The </w:t>
      </w:r>
      <w:r w:rsidRPr="004803BB">
        <w:rPr>
          <w:szCs w:val="18"/>
          <w:lang w:eastAsia="ko-KR"/>
        </w:rPr>
        <w:t>UE expect</w:t>
      </w:r>
      <w:r>
        <w:rPr>
          <w:szCs w:val="18"/>
          <w:lang w:eastAsia="ko-KR"/>
        </w:rPr>
        <w:t>s</w:t>
      </w:r>
      <w:r w:rsidRPr="004803BB">
        <w:rPr>
          <w:szCs w:val="18"/>
          <w:lang w:eastAsia="ko-KR"/>
        </w:rPr>
        <w:t xml:space="preserve"> to use </w:t>
      </w:r>
      <w:r>
        <w:rPr>
          <w:szCs w:val="18"/>
          <w:lang w:eastAsia="ko-KR"/>
        </w:rPr>
        <w:t>a same</w:t>
      </w:r>
      <w:r w:rsidRPr="004803BB">
        <w:rPr>
          <w:szCs w:val="18"/>
          <w:lang w:eastAsia="ko-KR"/>
        </w:rPr>
        <w:t xml:space="preserve"> </w:t>
      </w:r>
      <w:r>
        <w:rPr>
          <w:szCs w:val="18"/>
          <w:lang w:eastAsia="ko-KR"/>
        </w:rPr>
        <w:t>numerology</w:t>
      </w:r>
      <w:r w:rsidRPr="004803BB">
        <w:rPr>
          <w:szCs w:val="18"/>
          <w:lang w:eastAsia="ko-KR"/>
        </w:rPr>
        <w:t xml:space="preserve"> in </w:t>
      </w:r>
      <w:r>
        <w:rPr>
          <w:szCs w:val="18"/>
          <w:lang w:eastAsia="ko-KR"/>
        </w:rPr>
        <w:t>the</w:t>
      </w:r>
      <w:r w:rsidRPr="004803BB">
        <w:rPr>
          <w:szCs w:val="18"/>
          <w:lang w:eastAsia="ko-KR"/>
        </w:rPr>
        <w:t xml:space="preserve"> SL BWP and </w:t>
      </w:r>
      <w:r>
        <w:rPr>
          <w:szCs w:val="18"/>
          <w:lang w:eastAsia="ko-KR"/>
        </w:rPr>
        <w:t xml:space="preserve">in an </w:t>
      </w:r>
      <w:r w:rsidRPr="004803BB">
        <w:rPr>
          <w:szCs w:val="18"/>
          <w:lang w:eastAsia="ko-KR"/>
        </w:rPr>
        <w:t xml:space="preserve">active UL BWP in </w:t>
      </w:r>
      <w:r>
        <w:rPr>
          <w:szCs w:val="18"/>
          <w:lang w:eastAsia="ko-KR"/>
        </w:rPr>
        <w:t>a</w:t>
      </w:r>
      <w:r w:rsidRPr="004803BB">
        <w:rPr>
          <w:szCs w:val="18"/>
          <w:lang w:eastAsia="ko-KR"/>
        </w:rPr>
        <w:t xml:space="preserve"> same carrier</w:t>
      </w:r>
      <w:r>
        <w:rPr>
          <w:szCs w:val="18"/>
          <w:lang w:eastAsia="ko-KR"/>
        </w:rPr>
        <w:t xml:space="preserve"> of a same cell</w:t>
      </w:r>
      <w:r w:rsidRPr="004803BB">
        <w:rPr>
          <w:szCs w:val="18"/>
          <w:lang w:eastAsia="ko-KR"/>
        </w:rPr>
        <w:t xml:space="preserve">. </w:t>
      </w:r>
      <w:r>
        <w:rPr>
          <w:szCs w:val="18"/>
          <w:lang w:eastAsia="ko-KR"/>
        </w:rPr>
        <w:t>I</w:t>
      </w:r>
      <w:r w:rsidRPr="004803BB">
        <w:rPr>
          <w:lang w:eastAsia="ko-KR"/>
        </w:rPr>
        <w:t xml:space="preserve">f </w:t>
      </w:r>
      <w:r>
        <w:rPr>
          <w:lang w:eastAsia="ko-KR"/>
        </w:rPr>
        <w:t>the active UL BWP numerology is different than the SL BWP numerology</w:t>
      </w:r>
      <w:r w:rsidRPr="004803BB">
        <w:rPr>
          <w:lang w:eastAsia="ko-KR"/>
        </w:rPr>
        <w:t xml:space="preserve">, </w:t>
      </w:r>
      <w:r>
        <w:rPr>
          <w:lang w:eastAsia="ko-KR"/>
        </w:rPr>
        <w:t xml:space="preserve">the </w:t>
      </w:r>
      <w:r w:rsidRPr="004803BB">
        <w:rPr>
          <w:lang w:eastAsia="ko-KR"/>
        </w:rPr>
        <w:t>SL BWP is deactivate</w:t>
      </w:r>
      <w:r>
        <w:rPr>
          <w:lang w:eastAsia="ko-KR"/>
        </w:rPr>
        <w:t>d</w:t>
      </w:r>
      <w:r w:rsidRPr="004803BB">
        <w:rPr>
          <w:lang w:eastAsia="ko-KR"/>
        </w:rPr>
        <w:t xml:space="preserve">. </w:t>
      </w:r>
    </w:p>
    <w:p w14:paraId="758EE0E9" w14:textId="08BE7B92" w:rsidR="00E21265" w:rsidRDefault="00E21265" w:rsidP="009D1348">
      <w:r>
        <w:t>A priority of a</w:t>
      </w:r>
      <w:r w:rsidRPr="00E7565B">
        <w:t xml:space="preserve"> </w:t>
      </w:r>
      <w:r>
        <w:t xml:space="preserve">PSSCH according to </w:t>
      </w:r>
      <w:r w:rsidRPr="00073F8C">
        <w:rPr>
          <w:bCs/>
          <w:kern w:val="32"/>
          <w:lang w:val="en-US" w:eastAsia="zh-CN"/>
        </w:rPr>
        <w:t>NR radio access</w:t>
      </w:r>
      <w:r>
        <w:t xml:space="preserve"> or according to E-UTRA</w:t>
      </w:r>
      <w:r w:rsidRPr="00073F8C">
        <w:rPr>
          <w:bCs/>
          <w:kern w:val="32"/>
          <w:lang w:val="en-US" w:eastAsia="zh-CN"/>
        </w:rPr>
        <w:t xml:space="preserve"> radio access</w:t>
      </w:r>
      <w:r>
        <w:t xml:space="preserve"> is indicated by a priority field in a respective scheduling</w:t>
      </w:r>
      <w:r w:rsidRPr="00E7565B">
        <w:t xml:space="preserve"> SCI</w:t>
      </w:r>
      <w:r>
        <w:t xml:space="preserve"> format. A priority of a PSSS/SSSS/PSBCH</w:t>
      </w:r>
      <w:r w:rsidRPr="00E7565B">
        <w:t xml:space="preserve"> </w:t>
      </w:r>
      <w:r>
        <w:t>according to E-UTRA radio access</w:t>
      </w:r>
      <w:r w:rsidRPr="00E7565B">
        <w:t xml:space="preserve"> is</w:t>
      </w:r>
      <w:r>
        <w:t xml:space="preserve"> provided by</w:t>
      </w:r>
      <w:r w:rsidRPr="00E7565B">
        <w:t xml:space="preserve"> </w:t>
      </w:r>
      <w:r w:rsidR="007B6046" w:rsidRPr="00882C4D">
        <w:rPr>
          <w:i/>
          <w:iCs/>
        </w:rPr>
        <w:t>sl-SSB-PriorityEUTRA</w:t>
      </w:r>
      <w:r w:rsidR="007B6046" w:rsidRPr="00882C4D">
        <w:rPr>
          <w:rFonts w:eastAsia="MS Mincho"/>
        </w:rPr>
        <w:t xml:space="preserve"> [13, TS 36.213]</w:t>
      </w:r>
      <w:r>
        <w:t>. A priority of an</w:t>
      </w:r>
      <w:r w:rsidRPr="00E7565B">
        <w:t xml:space="preserve"> </w:t>
      </w:r>
      <w:r>
        <w:t>S-</w:t>
      </w:r>
      <w:r w:rsidRPr="00E7565B">
        <w:t>SS</w:t>
      </w:r>
      <w:r>
        <w:t>/P</w:t>
      </w:r>
      <w:r w:rsidR="00025E35">
        <w:t>S</w:t>
      </w:r>
      <w:r>
        <w:t>BCH block is provided by</w:t>
      </w:r>
      <w:r w:rsidRPr="00E7565B">
        <w:t xml:space="preserve"> </w:t>
      </w:r>
      <w:r w:rsidR="003638A6" w:rsidRPr="00B20F51">
        <w:rPr>
          <w:rFonts w:eastAsiaTheme="minorEastAsia"/>
          <w:i/>
        </w:rPr>
        <w:t>sl-SSB-PriorityNR</w:t>
      </w:r>
      <w:r>
        <w:t xml:space="preserve">. A priority of a PSFCH is </w:t>
      </w:r>
      <w:r w:rsidR="00342B2C" w:rsidRPr="007053C7">
        <w:t>determined as described in clause 16.2.4.2</w:t>
      </w:r>
      <w:r w:rsidRPr="00E7565B">
        <w:t>.</w:t>
      </w:r>
    </w:p>
    <w:p w14:paraId="64CB2DC6" w14:textId="44558F21" w:rsidR="00691237" w:rsidRPr="00D84934" w:rsidRDefault="00691237" w:rsidP="009D1348">
      <w:r>
        <w:rPr>
          <w:bCs/>
        </w:rPr>
        <w:t>A UE does not expect to be provided search space sets associated with CORESETs on more than one cell to monitor PDCCH for detection of DCI format 3_0 or DCI format 3_1</w:t>
      </w:r>
      <w:r w:rsidR="006E2918">
        <w:rPr>
          <w:bCs/>
        </w:rPr>
        <w:t xml:space="preserve"> or DCI format 3_2</w:t>
      </w:r>
      <w:r>
        <w:rPr>
          <w:bCs/>
        </w:rPr>
        <w:t>.</w:t>
      </w:r>
    </w:p>
    <w:p w14:paraId="05573259" w14:textId="77777777" w:rsidR="00E21265" w:rsidRPr="00FB646D" w:rsidRDefault="00E21265" w:rsidP="00E21265">
      <w:pPr>
        <w:pStyle w:val="Heading2"/>
        <w:ind w:left="1136" w:hanging="1136"/>
      </w:pPr>
      <w:bookmarkStart w:id="831" w:name="_Toc29894876"/>
      <w:bookmarkStart w:id="832" w:name="_Toc29899175"/>
      <w:bookmarkStart w:id="833" w:name="_Toc29899593"/>
      <w:bookmarkStart w:id="834" w:name="_Toc29917329"/>
      <w:bookmarkStart w:id="835" w:name="_Toc36498203"/>
      <w:bookmarkStart w:id="836" w:name="_Toc45699231"/>
      <w:bookmarkStart w:id="837" w:name="_Toc161999165"/>
      <w:r>
        <w:t>16</w:t>
      </w:r>
      <w:r w:rsidRPr="00B916EC">
        <w:t>.</w:t>
      </w:r>
      <w:r>
        <w:t>1</w:t>
      </w:r>
      <w:r w:rsidRPr="00B916EC">
        <w:rPr>
          <w:rFonts w:hint="eastAsia"/>
        </w:rPr>
        <w:tab/>
      </w:r>
      <w:r>
        <w:t>Synchronization procedures</w:t>
      </w:r>
      <w:bookmarkEnd w:id="831"/>
      <w:bookmarkEnd w:id="832"/>
      <w:bookmarkEnd w:id="833"/>
      <w:bookmarkEnd w:id="834"/>
      <w:bookmarkEnd w:id="835"/>
      <w:bookmarkEnd w:id="836"/>
      <w:bookmarkEnd w:id="837"/>
    </w:p>
    <w:p w14:paraId="7D3342CA" w14:textId="77777777" w:rsidR="00E21265" w:rsidRPr="00B916EC" w:rsidRDefault="00E21265" w:rsidP="00E21265">
      <w:pPr>
        <w:kinsoku w:val="0"/>
        <w:overflowPunct w:val="0"/>
      </w:pPr>
      <w:r w:rsidRPr="00B916EC">
        <w:t xml:space="preserve">A UE receives the following </w:t>
      </w:r>
      <w:r>
        <w:t>SL synchronization signals</w:t>
      </w:r>
      <w:r w:rsidRPr="00B916EC">
        <w:t xml:space="preserve"> in order to perform </w:t>
      </w:r>
      <w:r>
        <w:t xml:space="preserve">synchronization procedures based on S-SS/PSBCH blocks: SL </w:t>
      </w:r>
      <w:r w:rsidRPr="00B916EC">
        <w:t>primary synchronization signal</w:t>
      </w:r>
      <w:r>
        <w:t>s</w:t>
      </w:r>
      <w:r w:rsidRPr="00B916EC">
        <w:t xml:space="preserve"> (</w:t>
      </w:r>
      <w:r>
        <w:t>S-</w:t>
      </w:r>
      <w:r w:rsidRPr="00B916EC">
        <w:t xml:space="preserve">PSS) and </w:t>
      </w:r>
      <w:r>
        <w:t xml:space="preserve">SL </w:t>
      </w:r>
      <w:r w:rsidRPr="00B916EC">
        <w:t>secondary synchronization signal</w:t>
      </w:r>
      <w:r>
        <w:t>s</w:t>
      </w:r>
      <w:r w:rsidRPr="00B916EC">
        <w:t xml:space="preserve"> (</w:t>
      </w:r>
      <w:r>
        <w:t>S-</w:t>
      </w:r>
      <w:r w:rsidRPr="00B916EC">
        <w:t xml:space="preserve">SSS) [4, TS 38.211]. </w:t>
      </w:r>
    </w:p>
    <w:p w14:paraId="32964402" w14:textId="24022F8A" w:rsidR="00E21265" w:rsidRPr="00B916EC" w:rsidRDefault="00E21265" w:rsidP="00E21265">
      <w:pPr>
        <w:kinsoku w:val="0"/>
        <w:overflowPunct w:val="0"/>
        <w:spacing w:after="160" w:line="259" w:lineRule="auto"/>
      </w:pPr>
      <w:r w:rsidRPr="00B916EC">
        <w:t>A UE assume</w:t>
      </w:r>
      <w:r>
        <w:t>s</w:t>
      </w:r>
      <w:r w:rsidRPr="00B916EC">
        <w:t xml:space="preserve"> that reception occasions of a physical </w:t>
      </w:r>
      <w:r>
        <w:t xml:space="preserve">sidelink </w:t>
      </w:r>
      <w:r w:rsidRPr="00B916EC">
        <w:t>broadcast channel (P</w:t>
      </w:r>
      <w:r>
        <w:t>S</w:t>
      </w:r>
      <w:r w:rsidRPr="00B916EC">
        <w:t xml:space="preserve">BCH), </w:t>
      </w:r>
      <w:r>
        <w:t>S-</w:t>
      </w:r>
      <w:r w:rsidRPr="00B916EC">
        <w:t xml:space="preserve">PSS, and </w:t>
      </w:r>
      <w:r>
        <w:t>S-</w:t>
      </w:r>
      <w:r w:rsidRPr="00B916EC">
        <w:t>SSS ar</w:t>
      </w:r>
      <w:r>
        <w:t>e in consecutive symbols [4, TS 38.211]</w:t>
      </w:r>
      <w:r w:rsidRPr="00B916EC">
        <w:t xml:space="preserve"> and form a </w:t>
      </w:r>
      <w:r>
        <w:t>S-</w:t>
      </w:r>
      <w:r w:rsidRPr="00B916EC">
        <w:t>SS/P</w:t>
      </w:r>
      <w:r>
        <w:t>S</w:t>
      </w:r>
      <w:r w:rsidRPr="00B916EC">
        <w:t>BCH block.</w:t>
      </w:r>
    </w:p>
    <w:p w14:paraId="61B2FAE7" w14:textId="77777777" w:rsidR="000E3D53" w:rsidRDefault="00E21265" w:rsidP="00E21265">
      <w:pPr>
        <w:kinsoku w:val="0"/>
        <w:overflowPunct w:val="0"/>
      </w:pPr>
      <w:r>
        <w:t xml:space="preserve">For reception of a S-SS/PSBCH block, </w:t>
      </w:r>
    </w:p>
    <w:p w14:paraId="0C4EE5F4" w14:textId="322A54D8" w:rsidR="000E3D53" w:rsidRDefault="000E3D53" w:rsidP="000E3D53">
      <w:pPr>
        <w:pStyle w:val="B1"/>
      </w:pPr>
      <w:r>
        <w:rPr>
          <w:lang w:eastAsia="ja-JP"/>
        </w:rPr>
        <w:t>-</w:t>
      </w:r>
      <w:r>
        <w:rPr>
          <w:lang w:eastAsia="ja-JP"/>
        </w:rPr>
        <w:tab/>
      </w:r>
      <w:r w:rsidRPr="00430B5F">
        <w:rPr>
          <w:lang w:eastAsia="ja-JP"/>
        </w:rPr>
        <w:t>f</w:t>
      </w:r>
      <w:r w:rsidRPr="00430B5F">
        <w:rPr>
          <w:rFonts w:hint="eastAsia"/>
          <w:lang w:eastAsia="ja-JP"/>
        </w:rPr>
        <w:t xml:space="preserve">or </w:t>
      </w:r>
      <w:r w:rsidRPr="00430B5F">
        <w:rPr>
          <w:lang w:eastAsia="ja-JP"/>
        </w:rPr>
        <w:t xml:space="preserve">operation without shared spectrum channel access, or for operation with shared spectrum channel access and when </w:t>
      </w:r>
      <w:r w:rsidR="0024141F" w:rsidRPr="00792655">
        <w:rPr>
          <w:i/>
        </w:rPr>
        <w:t>sl-NumOfSSS-Brepetition</w:t>
      </w:r>
      <w:r w:rsidRPr="00430B5F">
        <w:t xml:space="preserve"> is not provided </w:t>
      </w:r>
      <w:r>
        <w:t xml:space="preserve">and </w:t>
      </w:r>
      <w:r w:rsidRPr="00430B5F">
        <w:t xml:space="preserve">for RB-set </w:t>
      </w:r>
      <m:oMath>
        <m:r>
          <w:rPr>
            <w:rFonts w:ascii="Cambria Math" w:hAnsi="Cambria Math"/>
          </w:rPr>
          <m:t>j</m:t>
        </m:r>
      </m:oMath>
      <w:r w:rsidRPr="00430B5F">
        <w:t xml:space="preserve">, </w:t>
      </w:r>
      <w:r w:rsidR="00E21265">
        <w:t>a UE assumes a frequency location corresponding to the subcarrier with index 66 in the S-</w:t>
      </w:r>
      <w:r w:rsidR="00E21265" w:rsidRPr="00B916EC">
        <w:t>SS/P</w:t>
      </w:r>
      <w:r w:rsidR="00E21265">
        <w:t>S</w:t>
      </w:r>
      <w:r w:rsidR="00E21265" w:rsidRPr="00B916EC">
        <w:t xml:space="preserve">BCH </w:t>
      </w:r>
      <w:r w:rsidR="00E21265" w:rsidRPr="00E93803">
        <w:t>block [4, TS 38.211], is provided by</w:t>
      </w:r>
    </w:p>
    <w:p w14:paraId="569C957E" w14:textId="3B3EBF64" w:rsidR="000E3D53" w:rsidRDefault="000E3D53" w:rsidP="000E3D53">
      <w:pPr>
        <w:pStyle w:val="B2"/>
      </w:pPr>
      <w:r>
        <w:t>-</w:t>
      </w:r>
      <w:r>
        <w:tab/>
      </w:r>
      <w:r w:rsidR="007B6046">
        <w:rPr>
          <w:i/>
        </w:rPr>
        <w:t>sl-A</w:t>
      </w:r>
      <w:r w:rsidR="007B6046" w:rsidRPr="00E93803">
        <w:rPr>
          <w:i/>
        </w:rPr>
        <w:t>bsoluteFrequencySSB</w:t>
      </w:r>
      <w:r w:rsidRPr="00430B5F">
        <w:rPr>
          <w:iCs/>
        </w:rPr>
        <w:t xml:space="preserve">, </w:t>
      </w:r>
      <w:r w:rsidRPr="00430B5F">
        <w:rPr>
          <w:lang w:eastAsia="ja-JP"/>
        </w:rPr>
        <w:t>f</w:t>
      </w:r>
      <w:r w:rsidRPr="00430B5F">
        <w:rPr>
          <w:rFonts w:hint="eastAsia"/>
          <w:lang w:eastAsia="ja-JP"/>
        </w:rPr>
        <w:t xml:space="preserve">or </w:t>
      </w:r>
      <w:r w:rsidRPr="00430B5F">
        <w:rPr>
          <w:lang w:eastAsia="ja-JP"/>
        </w:rPr>
        <w:t xml:space="preserve">operation without shared spectrum channel access or </w:t>
      </w:r>
      <w:r w:rsidRPr="00430B5F">
        <w:rPr>
          <w:iCs/>
        </w:rPr>
        <w:t>when</w:t>
      </w:r>
      <w:r w:rsidRPr="00430B5F">
        <w:rPr>
          <w:lang w:eastAsia="ja-JP"/>
        </w:rPr>
        <w:t xml:space="preserve"> RB-set </w:t>
      </w:r>
      <m:oMath>
        <m:r>
          <w:rPr>
            <w:rFonts w:ascii="Cambria Math" w:hAnsi="Cambria Math"/>
            <w:lang w:eastAsia="ja-JP"/>
          </w:rPr>
          <m:t>j</m:t>
        </m:r>
      </m:oMath>
      <w:r w:rsidRPr="00430B5F">
        <w:t xml:space="preserve"> is the anchor RB-set </w:t>
      </w:r>
      <w:r>
        <w:t>that is the RB set that includes the S-SS/PSBCH block</w:t>
      </w:r>
    </w:p>
    <w:p w14:paraId="5893DE22" w14:textId="23E6434A" w:rsidR="00CC2EEE" w:rsidRPr="00CC2EEE" w:rsidRDefault="00CC2EEE" w:rsidP="000E3D53">
      <w:pPr>
        <w:pStyle w:val="B2"/>
        <w:rPr>
          <w:lang w:val="en-GB"/>
        </w:rPr>
      </w:pPr>
      <w:r>
        <w:rPr>
          <w:lang w:val="en-GB"/>
        </w:rPr>
        <w:t>-</w:t>
      </w:r>
      <w:r>
        <w:rPr>
          <w:lang w:val="en-GB"/>
        </w:rPr>
        <w:tab/>
      </w:r>
      <w:r>
        <w:rPr>
          <w:lang w:val="en-US"/>
        </w:rPr>
        <w:t xml:space="preserve">a corresponding value in </w:t>
      </w:r>
      <w:r>
        <w:rPr>
          <w:i/>
        </w:rPr>
        <w:t>sl-A</w:t>
      </w:r>
      <w:r w:rsidRPr="00E93803">
        <w:rPr>
          <w:i/>
        </w:rPr>
        <w:t>bsoluteFrequencySSB</w:t>
      </w:r>
      <w:r>
        <w:rPr>
          <w:i/>
          <w:lang w:val="en-US"/>
        </w:rPr>
        <w:t xml:space="preserve">-NonAnchorList </w:t>
      </w:r>
      <w:r w:rsidRPr="004E690F">
        <w:rPr>
          <w:lang w:val="en-US"/>
        </w:rPr>
        <w:t>when RB-set</w:t>
      </w:r>
      <w:r>
        <w:rPr>
          <w:i/>
          <w:lang w:val="en-US"/>
        </w:rPr>
        <w:t xml:space="preserve"> </w:t>
      </w:r>
      <m:oMath>
        <m:r>
          <w:rPr>
            <w:rFonts w:ascii="Cambria Math" w:hAnsi="Cambria Math"/>
            <w:lang w:eastAsia="ja-JP"/>
          </w:rPr>
          <m:t>j</m:t>
        </m:r>
      </m:oMath>
      <w:r w:rsidRPr="00430B5F">
        <w:t xml:space="preserve"> is </w:t>
      </w:r>
      <w:r>
        <w:rPr>
          <w:lang w:val="en-US"/>
        </w:rPr>
        <w:t>a non-</w:t>
      </w:r>
      <w:r w:rsidRPr="00430B5F">
        <w:t>anchor RB-set</w:t>
      </w:r>
    </w:p>
    <w:p w14:paraId="501FF99C" w14:textId="2CFE11E0" w:rsidR="000E3D53" w:rsidRPr="00430B5F" w:rsidRDefault="000E3D53" w:rsidP="000E3D53">
      <w:pPr>
        <w:pStyle w:val="B1"/>
      </w:pPr>
      <w:r w:rsidRPr="00430B5F">
        <w:t>-</w:t>
      </w:r>
      <w:r w:rsidRPr="00430B5F">
        <w:tab/>
      </w:r>
      <w:r w:rsidRPr="00430B5F">
        <w:rPr>
          <w:lang w:eastAsia="ja-JP"/>
        </w:rPr>
        <w:t xml:space="preserve">for operation with shared spectrum channel access when </w:t>
      </w:r>
      <w:r w:rsidR="0024141F" w:rsidRPr="00792655">
        <w:rPr>
          <w:i/>
        </w:rPr>
        <w:t>sl-NumOfSSS-Brepetition</w:t>
      </w:r>
      <w:r w:rsidRPr="00430B5F">
        <w:rPr>
          <w:i/>
        </w:rPr>
        <w:t xml:space="preserve"> </w:t>
      </w:r>
      <w:r w:rsidRPr="00430B5F">
        <w:t>is provided</w:t>
      </w:r>
      <w:r w:rsidRPr="00430B5F">
        <w:rPr>
          <w:lang w:eastAsia="ja-JP"/>
        </w:rPr>
        <w:t xml:space="preserve"> and in RB-set </w:t>
      </w:r>
      <m:oMath>
        <m:r>
          <w:rPr>
            <w:rFonts w:ascii="Cambria Math" w:hAnsi="Cambria Math"/>
            <w:lang w:eastAsia="ja-JP"/>
          </w:rPr>
          <m:t>j</m:t>
        </m:r>
      </m:oMath>
      <w:r w:rsidRPr="00430B5F">
        <w:rPr>
          <w:lang w:eastAsia="ja-JP"/>
        </w:rPr>
        <w:t xml:space="preserve">, </w:t>
      </w:r>
      <w:r w:rsidRPr="00430B5F">
        <w:t xml:space="preserve">a UE assumes a frequency location corresponding to the subcarrier with index 66 in the S-SS/PSBCH block [4, TS 38.211] is provided by </w:t>
      </w:r>
      <m:oMath>
        <m:sSubSup>
          <m:sSubSupPr>
            <m:ctrlPr>
              <w:rPr>
                <w:rFonts w:ascii="Cambria Math" w:hAnsi="Cambria Math"/>
                <w:i/>
              </w:rPr>
            </m:ctrlPr>
          </m:sSubSupPr>
          <m:e>
            <m:r>
              <w:rPr>
                <w:rFonts w:ascii="Cambria Math" w:hAnsi="Cambria Math"/>
              </w:rPr>
              <m:t>f</m:t>
            </m:r>
          </m:e>
          <m:sub>
            <m:r>
              <m:rPr>
                <m:sty m:val="p"/>
              </m:rPr>
              <w:rPr>
                <w:rFonts w:ascii="Cambria Math" w:hAnsi="Cambria Math"/>
              </w:rPr>
              <m:t>start,</m:t>
            </m:r>
            <m:r>
              <w:rPr>
                <w:rFonts w:ascii="Cambria Math" w:hAnsi="Cambria Math"/>
              </w:rPr>
              <m:t>j</m:t>
            </m:r>
            <m:ctrlPr>
              <w:rPr>
                <w:rFonts w:ascii="Cambria Math" w:hAnsi="Cambria Math"/>
              </w:rPr>
            </m:ctrlPr>
          </m:sub>
          <m:sup>
            <m:r>
              <m:rPr>
                <m:sty m:val="p"/>
              </m:rPr>
              <w:rPr>
                <w:rFonts w:ascii="Cambria Math" w:hAnsi="Cambria Math"/>
              </w:rPr>
              <m:t>S-SSB</m:t>
            </m:r>
          </m:sup>
        </m:sSubSup>
      </m:oMath>
      <w:r w:rsidRPr="00430B5F">
        <w:t>+</w:t>
      </w:r>
      <m:oMath>
        <m:r>
          <w:rPr>
            <w:rFonts w:ascii="Cambria Math" w:hAnsi="Cambria Math"/>
          </w:rPr>
          <m:t xml:space="preserve"> </m:t>
        </m:r>
        <m:sSub>
          <m:sSubPr>
            <m:ctrlPr>
              <w:rPr>
                <w:rFonts w:ascii="Cambria Math" w:hAnsi="Cambria Math"/>
                <w:i/>
              </w:rPr>
            </m:ctrlPr>
          </m:sSubPr>
          <m:e>
            <m:r>
              <w:rPr>
                <w:rFonts w:ascii="Cambria Math" w:hAnsi="Cambria Math"/>
              </w:rPr>
              <m:t>k</m:t>
            </m:r>
          </m:e>
          <m:sub>
            <m:r>
              <m:rPr>
                <m:sty m:val="p"/>
              </m:rPr>
              <w:rPr>
                <w:rFonts w:ascii="Cambria Math" w:hAnsi="Cambria Math"/>
              </w:rPr>
              <m:t>S-SSB,</m:t>
            </m:r>
            <m:r>
              <w:rPr>
                <w:rFonts w:ascii="Cambria Math" w:hAnsi="Cambria Math"/>
              </w:rPr>
              <m:t>j</m:t>
            </m:r>
          </m:sub>
        </m:sSub>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sty m:val="p"/>
                  </m:rPr>
                  <w:rPr>
                    <w:rFonts w:ascii="Cambria Math" w:hAnsi="Cambria Math"/>
                  </w:rPr>
                  <m:t>gap,</m:t>
                </m:r>
                <m:r>
                  <w:rPr>
                    <w:rFonts w:ascii="Cambria Math" w:hAnsi="Cambria Math"/>
                  </w:rPr>
                  <m:t>j</m:t>
                </m:r>
                <m:ctrlPr>
                  <w:rPr>
                    <w:rFonts w:ascii="Cambria Math" w:hAnsi="Cambria Math"/>
                  </w:rPr>
                </m:ctrlPr>
              </m:sub>
              <m:sup>
                <m:r>
                  <m:rPr>
                    <m:sty m:val="p"/>
                  </m:rPr>
                  <w:rPr>
                    <w:rFonts w:ascii="Cambria Math" w:hAnsi="Cambria Math"/>
                  </w:rPr>
                  <m:t>S-SSB</m:t>
                </m:r>
              </m:sup>
            </m:sSubSup>
            <m:r>
              <w:rPr>
                <w:rFonts w:ascii="Cambria Math" w:hAnsi="Cambria Math"/>
              </w:rPr>
              <m:t>+</m:t>
            </m:r>
            <m:sSubSup>
              <m:sSubSupPr>
                <m:ctrlPr>
                  <w:rPr>
                    <w:rFonts w:ascii="Cambria Math" w:hAnsi="Cambria Math" w:cs="Calibri"/>
                    <w:sz w:val="21"/>
                    <w:szCs w:val="21"/>
                  </w:rPr>
                </m:ctrlPr>
              </m:sSubSupPr>
              <m:e>
                <m:r>
                  <w:rPr>
                    <w:rFonts w:ascii="Cambria Math" w:hAnsi="Cambria Math"/>
                  </w:rPr>
                  <m:t>M</m:t>
                </m:r>
              </m:e>
              <m:sub>
                <m:r>
                  <m:rPr>
                    <m:sty m:val="p"/>
                  </m:rPr>
                  <w:rPr>
                    <w:rFonts w:ascii="Cambria Math" w:hAnsi="Cambria Math"/>
                  </w:rPr>
                  <m:t>RB</m:t>
                </m:r>
              </m:sub>
              <m:sup>
                <m:r>
                  <m:rPr>
                    <m:sty m:val="p"/>
                  </m:rPr>
                  <w:rPr>
                    <w:rFonts w:ascii="Cambria Math" w:hAnsi="Cambria Math"/>
                  </w:rPr>
                  <m:t>S-SSB</m:t>
                </m:r>
              </m:sup>
            </m:sSubSup>
          </m:e>
        </m:d>
        <m:r>
          <w:rPr>
            <w:rFonts w:ascii="Cambria Math" w:hAnsi="Cambria Math"/>
          </w:rPr>
          <m:t>⋅12⋅</m:t>
        </m:r>
        <m:sSup>
          <m:sSupPr>
            <m:ctrlPr>
              <w:rPr>
                <w:rFonts w:ascii="Cambria Math" w:hAnsi="Cambria Math"/>
              </w:rPr>
            </m:ctrlPr>
          </m:sSupPr>
          <m:e>
            <m:r>
              <m:rPr>
                <m:sty m:val="p"/>
              </m:rPr>
              <w:rPr>
                <w:rFonts w:ascii="Cambria Math" w:hAnsi="Cambria Math"/>
              </w:rPr>
              <m:t>2</m:t>
            </m:r>
          </m:e>
          <m:sup>
            <m:r>
              <w:rPr>
                <w:rFonts w:ascii="Cambria Math" w:hAnsi="Cambria Math"/>
              </w:rPr>
              <m:t>μ</m:t>
            </m:r>
          </m:sup>
        </m:sSup>
        <m:r>
          <m:rPr>
            <m:sty m:val="p"/>
          </m:rPr>
          <w:rPr>
            <w:rFonts w:ascii="Cambria Math" w:hAnsi="Cambria Math"/>
          </w:rPr>
          <m:t>∙15 kHz</m:t>
        </m:r>
      </m:oMath>
      <w:r w:rsidRPr="00430B5F">
        <w:t>, where</w:t>
      </w:r>
    </w:p>
    <w:p w14:paraId="75B7B2A8" w14:textId="727C4EB3" w:rsidR="000E3D53" w:rsidRPr="00430B5F" w:rsidRDefault="000E3D53" w:rsidP="000E3D53">
      <w:pPr>
        <w:pStyle w:val="B2"/>
        <w:rPr>
          <w:lang w:eastAsia="ja-JP"/>
        </w:rPr>
      </w:pPr>
      <w:r w:rsidRPr="00430B5F">
        <w:rPr>
          <w:lang w:eastAsia="ja-JP"/>
        </w:rPr>
        <w:t>-</w:t>
      </w:r>
      <w:r w:rsidRPr="00430B5F">
        <w:rPr>
          <w:lang w:eastAsia="ja-JP"/>
        </w:rPr>
        <w:tab/>
      </w:r>
      <m:oMath>
        <m:sSubSup>
          <m:sSubSupPr>
            <m:ctrlPr>
              <w:rPr>
                <w:rFonts w:ascii="Cambria Math" w:hAnsi="Cambria Math"/>
                <w:i/>
              </w:rPr>
            </m:ctrlPr>
          </m:sSubSupPr>
          <m:e>
            <m:r>
              <w:rPr>
                <w:rFonts w:ascii="Cambria Math" w:hAnsi="Cambria Math"/>
              </w:rPr>
              <m:t>f</m:t>
            </m:r>
          </m:e>
          <m:sub>
            <m:r>
              <m:rPr>
                <m:sty m:val="p"/>
              </m:rPr>
              <w:rPr>
                <w:rFonts w:ascii="Cambria Math" w:hAnsi="Cambria Math"/>
              </w:rPr>
              <m:t xml:space="preserve">start, </m:t>
            </m:r>
            <m:r>
              <w:rPr>
                <w:rFonts w:ascii="Cambria Math" w:hAnsi="Cambria Math"/>
              </w:rPr>
              <m:t>j</m:t>
            </m:r>
            <m:ctrlPr>
              <w:rPr>
                <w:rFonts w:ascii="Cambria Math" w:hAnsi="Cambria Math"/>
              </w:rPr>
            </m:ctrlPr>
          </m:sub>
          <m:sup>
            <m:r>
              <m:rPr>
                <m:sty m:val="p"/>
              </m:rPr>
              <w:rPr>
                <w:rFonts w:ascii="Cambria Math" w:hAnsi="Cambria Math"/>
              </w:rPr>
              <m:t>S-SSB</m:t>
            </m:r>
          </m:sup>
        </m:sSubSup>
      </m:oMath>
      <w:r w:rsidRPr="00430B5F">
        <w:t xml:space="preserve"> is a frequency location of a lowest S-SS/PSBCH block in RB-set </w:t>
      </w:r>
      <m:oMath>
        <m:r>
          <w:rPr>
            <w:rFonts w:ascii="Cambria Math" w:hAnsi="Cambria Math"/>
            <w:lang w:eastAsia="ja-JP"/>
          </w:rPr>
          <m:t>j</m:t>
        </m:r>
      </m:oMath>
      <w:r w:rsidRPr="00430B5F">
        <w:rPr>
          <w:lang w:eastAsia="ja-JP"/>
        </w:rPr>
        <w:t xml:space="preserve">, where </w:t>
      </w:r>
      <m:oMath>
        <m:sSubSup>
          <m:sSubSupPr>
            <m:ctrlPr>
              <w:rPr>
                <w:rFonts w:ascii="Cambria Math" w:hAnsi="Cambria Math"/>
                <w:i/>
              </w:rPr>
            </m:ctrlPr>
          </m:sSubSupPr>
          <m:e>
            <m:r>
              <w:rPr>
                <w:rFonts w:ascii="Cambria Math" w:hAnsi="Cambria Math"/>
              </w:rPr>
              <m:t>f</m:t>
            </m:r>
          </m:e>
          <m:sub>
            <m:r>
              <m:rPr>
                <m:sty m:val="p"/>
              </m:rPr>
              <w:rPr>
                <w:rFonts w:ascii="Cambria Math" w:hAnsi="Cambria Math"/>
              </w:rPr>
              <m:t xml:space="preserve">start, </m:t>
            </m:r>
            <m:r>
              <w:rPr>
                <w:rFonts w:ascii="Cambria Math" w:hAnsi="Cambria Math"/>
              </w:rPr>
              <m:t>j</m:t>
            </m:r>
            <m:ctrlPr>
              <w:rPr>
                <w:rFonts w:ascii="Cambria Math" w:hAnsi="Cambria Math"/>
              </w:rPr>
            </m:ctrlPr>
          </m:sub>
          <m:sup>
            <m:r>
              <m:rPr>
                <m:sty m:val="p"/>
              </m:rPr>
              <w:rPr>
                <w:rFonts w:ascii="Cambria Math" w:hAnsi="Cambria Math"/>
              </w:rPr>
              <m:t>S-SSB</m:t>
            </m:r>
          </m:sup>
        </m:sSubSup>
      </m:oMath>
      <w:r w:rsidRPr="00430B5F">
        <w:t xml:space="preserve"> is provided by</w:t>
      </w:r>
      <w:r w:rsidRPr="00430B5F">
        <w:rPr>
          <w:lang w:eastAsia="ja-JP"/>
        </w:rPr>
        <w:t xml:space="preserve"> </w:t>
      </w:r>
    </w:p>
    <w:p w14:paraId="234DC0D5" w14:textId="439FF7BC" w:rsidR="000E3D53" w:rsidRDefault="000E3D53" w:rsidP="00CC2EEE">
      <w:pPr>
        <w:pStyle w:val="B3"/>
      </w:pPr>
      <w:r w:rsidRPr="00430B5F">
        <w:rPr>
          <w:lang w:eastAsia="ja-JP"/>
        </w:rPr>
        <w:t>-</w:t>
      </w:r>
      <w:r w:rsidRPr="00430B5F">
        <w:rPr>
          <w:lang w:eastAsia="ja-JP"/>
        </w:rPr>
        <w:tab/>
      </w:r>
      <w:r w:rsidRPr="00430B5F">
        <w:rPr>
          <w:i/>
        </w:rPr>
        <w:t xml:space="preserve">sl-AbsoluteFrequencySSB </w:t>
      </w:r>
      <w:r w:rsidRPr="00430B5F">
        <w:t>when RB-set</w:t>
      </w:r>
      <w:r w:rsidRPr="00430B5F">
        <w:rPr>
          <w:i/>
        </w:rPr>
        <w:t xml:space="preserve"> j </w:t>
      </w:r>
      <w:r w:rsidRPr="00430B5F">
        <w:t xml:space="preserve">is the anchor RB-set, </w:t>
      </w:r>
    </w:p>
    <w:p w14:paraId="10F476F9" w14:textId="515145B8" w:rsidR="00CC2EEE" w:rsidRPr="00430B5F" w:rsidRDefault="00CC2EEE" w:rsidP="00CC2EEE">
      <w:pPr>
        <w:pStyle w:val="B3"/>
      </w:pPr>
      <w:r>
        <w:t>-</w:t>
      </w:r>
      <w:r>
        <w:tab/>
      </w:r>
      <w:r>
        <w:rPr>
          <w:lang w:val="en-US"/>
        </w:rPr>
        <w:t xml:space="preserve">a corresponding value in </w:t>
      </w:r>
      <w:r>
        <w:rPr>
          <w:i/>
        </w:rPr>
        <w:t>sl-A</w:t>
      </w:r>
      <w:r w:rsidRPr="00E93803">
        <w:rPr>
          <w:i/>
        </w:rPr>
        <w:t>bsoluteFrequencySSB</w:t>
      </w:r>
      <w:r>
        <w:rPr>
          <w:i/>
          <w:lang w:val="en-US"/>
        </w:rPr>
        <w:t xml:space="preserve">-NonAnchorList </w:t>
      </w:r>
      <w:r>
        <w:rPr>
          <w:lang w:val="en-US"/>
        </w:rPr>
        <w:t xml:space="preserve">when </w:t>
      </w:r>
      <w:r w:rsidRPr="009B4B89">
        <w:rPr>
          <w:lang w:val="en-US"/>
        </w:rPr>
        <w:t>RB-set</w:t>
      </w:r>
      <w:r>
        <w:rPr>
          <w:i/>
          <w:lang w:val="en-US"/>
        </w:rPr>
        <w:t xml:space="preserve"> </w:t>
      </w:r>
      <m:oMath>
        <m:r>
          <w:rPr>
            <w:rFonts w:ascii="Cambria Math" w:hAnsi="Cambria Math"/>
            <w:lang w:eastAsia="ja-JP"/>
          </w:rPr>
          <m:t>j</m:t>
        </m:r>
      </m:oMath>
      <w:r w:rsidRPr="00430B5F">
        <w:t xml:space="preserve"> is </w:t>
      </w:r>
      <w:r>
        <w:rPr>
          <w:lang w:val="en-US"/>
        </w:rPr>
        <w:t>a non-</w:t>
      </w:r>
      <w:r w:rsidRPr="00430B5F">
        <w:t>anchor RB-set</w:t>
      </w:r>
    </w:p>
    <w:p w14:paraId="78EB7122" w14:textId="08E49EF7" w:rsidR="000E3D53" w:rsidRPr="00430B5F" w:rsidRDefault="000E3D53" w:rsidP="000E3D53">
      <w:pPr>
        <w:pStyle w:val="B2"/>
      </w:pPr>
      <w:r w:rsidRPr="00430B5F">
        <w:rPr>
          <w:lang w:eastAsia="ja-JP"/>
        </w:rPr>
        <w:t>-</w:t>
      </w:r>
      <w:r w:rsidRPr="00430B5F">
        <w:rPr>
          <w:lang w:eastAsia="ja-JP"/>
        </w:rPr>
        <w:tab/>
      </w:r>
      <m:oMath>
        <m:sSub>
          <m:sSubPr>
            <m:ctrlPr>
              <w:rPr>
                <w:rFonts w:ascii="Cambria Math" w:hAnsi="Cambria Math"/>
                <w:i/>
              </w:rPr>
            </m:ctrlPr>
          </m:sSubPr>
          <m:e>
            <m:r>
              <w:rPr>
                <w:rFonts w:ascii="Cambria Math" w:hAnsi="Cambria Math"/>
              </w:rPr>
              <m:t>k</m:t>
            </m:r>
          </m:e>
          <m:sub>
            <m:r>
              <m:rPr>
                <m:sty m:val="p"/>
              </m:rPr>
              <w:rPr>
                <w:rFonts w:ascii="Cambria Math" w:hAnsi="Cambria Math"/>
              </w:rPr>
              <m:t>S-SSB,</m:t>
            </m:r>
            <m:r>
              <w:rPr>
                <w:rFonts w:ascii="Cambria Math" w:hAnsi="Cambria Math"/>
              </w:rPr>
              <m:t>j</m:t>
            </m:r>
          </m:sub>
        </m:sSub>
      </m:oMath>
      <w:r w:rsidRPr="00430B5F">
        <w:t xml:space="preserve"> is an index of an S-SS/PSBCH block from repeated S-SS/PSBCH blocks in the frequency domain and within the RB-set </w:t>
      </w:r>
      <m:oMath>
        <m:r>
          <w:rPr>
            <w:rFonts w:ascii="Cambria Math" w:hAnsi="Cambria Math"/>
          </w:rPr>
          <m:t>j</m:t>
        </m:r>
      </m:oMath>
      <w:r w:rsidRPr="00430B5F">
        <w:t xml:space="preserve">, where </w:t>
      </w:r>
      <m:oMath>
        <m:r>
          <w:rPr>
            <w:rFonts w:ascii="Cambria Math" w:hAnsi="Cambria Math"/>
          </w:rPr>
          <m:t>0≤</m:t>
        </m:r>
        <m:sSub>
          <m:sSubPr>
            <m:ctrlPr>
              <w:rPr>
                <w:rFonts w:ascii="Cambria Math" w:hAnsi="Cambria Math"/>
                <w:i/>
              </w:rPr>
            </m:ctrlPr>
          </m:sSubPr>
          <m:e>
            <m:r>
              <w:rPr>
                <w:rFonts w:ascii="Cambria Math" w:hAnsi="Cambria Math"/>
              </w:rPr>
              <m:t>k</m:t>
            </m:r>
          </m:e>
          <m:sub>
            <m:r>
              <m:rPr>
                <m:sty m:val="p"/>
              </m:rPr>
              <w:rPr>
                <w:rFonts w:ascii="Cambria Math" w:hAnsi="Cambria Math"/>
              </w:rPr>
              <m:t>S-SSB,</m:t>
            </m:r>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repetition,</m:t>
            </m:r>
            <m:r>
              <w:rPr>
                <w:rFonts w:ascii="Cambria Math" w:hAnsi="Cambria Math"/>
              </w:rPr>
              <m:t>j</m:t>
            </m:r>
          </m:sub>
          <m:sup>
            <m:r>
              <m:rPr>
                <m:sty m:val="p"/>
              </m:rPr>
              <w:rPr>
                <w:rFonts w:ascii="Cambria Math" w:hAnsi="Cambria Math"/>
              </w:rPr>
              <m:t>S-SSB</m:t>
            </m:r>
          </m:sup>
        </m:sSubSup>
        <m:r>
          <w:rPr>
            <w:rFonts w:ascii="Cambria Math" w:hAnsi="Cambria Math"/>
          </w:rPr>
          <m:t>-1</m:t>
        </m:r>
      </m:oMath>
      <w:r w:rsidRPr="00430B5F">
        <w:t xml:space="preserve">, and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repetition,</m:t>
            </m:r>
            <m:r>
              <w:rPr>
                <w:rFonts w:ascii="Cambria Math" w:hAnsi="Cambria Math"/>
              </w:rPr>
              <m:t>j</m:t>
            </m:r>
          </m:sub>
          <m:sup>
            <m:r>
              <m:rPr>
                <m:sty m:val="p"/>
              </m:rPr>
              <w:rPr>
                <w:rFonts w:ascii="Cambria Math" w:hAnsi="Cambria Math"/>
              </w:rPr>
              <m:t>S-SSB</m:t>
            </m:r>
          </m:sup>
        </m:sSubSup>
      </m:oMath>
      <w:r w:rsidRPr="00430B5F">
        <w:t xml:space="preserve"> is provided by a value in </w:t>
      </w:r>
      <w:r w:rsidR="0024141F" w:rsidRPr="00792655">
        <w:rPr>
          <w:i/>
        </w:rPr>
        <w:t>sl-NumOfSSS-Brepetition</w:t>
      </w:r>
      <w:r w:rsidRPr="00430B5F">
        <w:rPr>
          <w:i/>
        </w:rPr>
        <w:t xml:space="preserve"> </w:t>
      </w:r>
      <w:r w:rsidRPr="00430B5F">
        <w:t xml:space="preserve">corresponding to RB-set </w:t>
      </w:r>
      <m:oMath>
        <m:r>
          <w:rPr>
            <w:rFonts w:ascii="Cambria Math" w:hAnsi="Cambria Math"/>
          </w:rPr>
          <m:t>j</m:t>
        </m:r>
      </m:oMath>
      <w:r w:rsidRPr="00430B5F">
        <w:t>;</w:t>
      </w:r>
    </w:p>
    <w:p w14:paraId="7B6029AC" w14:textId="09F44357" w:rsidR="000E3D53" w:rsidRPr="00430B5F" w:rsidRDefault="000E3D53" w:rsidP="000E3D53">
      <w:pPr>
        <w:pStyle w:val="B2"/>
      </w:pPr>
      <w:r w:rsidRPr="00430B5F">
        <w:t>-</w:t>
      </w:r>
      <w:r w:rsidRPr="00430B5F">
        <w:tab/>
      </w:r>
      <m:oMath>
        <m:sSubSup>
          <m:sSubSupPr>
            <m:ctrlPr>
              <w:rPr>
                <w:rFonts w:ascii="Cambria Math" w:hAnsi="Cambria Math"/>
                <w:i/>
              </w:rPr>
            </m:ctrlPr>
          </m:sSubSupPr>
          <m:e>
            <m:r>
              <w:rPr>
                <w:rFonts w:ascii="Cambria Math" w:hAnsi="Cambria Math"/>
              </w:rPr>
              <m:t>N</m:t>
            </m:r>
          </m:e>
          <m:sub>
            <m:r>
              <m:rPr>
                <m:sty m:val="p"/>
              </m:rPr>
              <w:rPr>
                <w:rFonts w:ascii="Cambria Math" w:hAnsi="Cambria Math"/>
              </w:rPr>
              <m:t>gap,</m:t>
            </m:r>
            <m:r>
              <w:rPr>
                <w:rFonts w:ascii="Cambria Math" w:hAnsi="Cambria Math"/>
              </w:rPr>
              <m:t>j</m:t>
            </m:r>
            <m:ctrlPr>
              <w:rPr>
                <w:rFonts w:ascii="Cambria Math" w:hAnsi="Cambria Math"/>
              </w:rPr>
            </m:ctrlPr>
          </m:sub>
          <m:sup>
            <m:r>
              <m:rPr>
                <m:sty m:val="p"/>
              </m:rPr>
              <w:rPr>
                <w:rFonts w:ascii="Cambria Math" w:hAnsi="Cambria Math"/>
              </w:rPr>
              <m:t>S-SSB</m:t>
            </m:r>
          </m:sup>
        </m:sSubSup>
      </m:oMath>
      <w:r w:rsidRPr="00430B5F">
        <w:t xml:space="preserve"> is a number of resource blocks, provided by </w:t>
      </w:r>
      <w:r w:rsidRPr="00430B5F">
        <w:rPr>
          <w:i/>
        </w:rPr>
        <w:t>sl-GapRepeatedSSB</w:t>
      </w:r>
      <w:r w:rsidRPr="00430B5F">
        <w:t xml:space="preserve">, for a gap between </w:t>
      </w:r>
      <w:r>
        <w:t xml:space="preserve">two adjacent </w:t>
      </w:r>
      <w:r w:rsidRPr="00430B5F">
        <w:t>repeated S-SS/PSBCH blocks;</w:t>
      </w:r>
    </w:p>
    <w:p w14:paraId="332BA34C" w14:textId="2A01E943" w:rsidR="000E3D53" w:rsidRPr="00430B5F" w:rsidRDefault="000E3D53" w:rsidP="000E3D53">
      <w:pPr>
        <w:pStyle w:val="B2"/>
      </w:pPr>
      <w:r w:rsidRPr="00430B5F">
        <w:t>-</w:t>
      </w:r>
      <w:r w:rsidRPr="00430B5F">
        <w:tab/>
      </w:r>
      <m:oMath>
        <m:sSubSup>
          <m:sSubSupPr>
            <m:ctrlPr>
              <w:rPr>
                <w:rFonts w:ascii="Cambria Math" w:hAnsi="Cambria Math" w:cs="Calibri"/>
                <w:sz w:val="21"/>
                <w:szCs w:val="21"/>
              </w:rPr>
            </m:ctrlPr>
          </m:sSubSupPr>
          <m:e>
            <m:r>
              <w:rPr>
                <w:rFonts w:ascii="Cambria Math" w:hAnsi="Cambria Math"/>
              </w:rPr>
              <m:t>M</m:t>
            </m:r>
          </m:e>
          <m:sub>
            <m:r>
              <m:rPr>
                <m:sty m:val="p"/>
              </m:rPr>
              <w:rPr>
                <w:rFonts w:ascii="Cambria Math" w:hAnsi="Cambria Math"/>
              </w:rPr>
              <m:t>RB</m:t>
            </m:r>
          </m:sub>
          <m:sup>
            <m:r>
              <m:rPr>
                <m:sty m:val="p"/>
              </m:rPr>
              <w:rPr>
                <w:rFonts w:ascii="Cambria Math" w:hAnsi="Cambria Math"/>
              </w:rPr>
              <m:t>S-SSB</m:t>
            </m:r>
          </m:sup>
        </m:sSubSup>
        <m:r>
          <m:rPr>
            <m:sty m:val="p"/>
          </m:rPr>
          <w:rPr>
            <w:rFonts w:ascii="Cambria Math" w:hAnsi="Cambria Math"/>
          </w:rPr>
          <m:t>=11</m:t>
        </m:r>
      </m:oMath>
      <w:r w:rsidRPr="00430B5F">
        <w:t xml:space="preserve"> is a number of resource blocks for a S-SS/PSBCH block transmission with SCS configuration </w:t>
      </w:r>
      <m:oMath>
        <m:r>
          <w:rPr>
            <w:rFonts w:ascii="Cambria Math" w:hAnsi="Cambria Math"/>
          </w:rPr>
          <m:t>μ</m:t>
        </m:r>
      </m:oMath>
      <w:r w:rsidRPr="00430B5F">
        <w:t>.</w:t>
      </w:r>
    </w:p>
    <w:p w14:paraId="24849BFC" w14:textId="33D9E68C" w:rsidR="000E3D53" w:rsidRDefault="000E3D53" w:rsidP="000E3D53">
      <w:r w:rsidRPr="00430B5F">
        <w:t xml:space="preserve">For </w:t>
      </w:r>
      <w:r w:rsidRPr="00430B5F">
        <w:rPr>
          <w:lang w:eastAsia="ja-JP"/>
        </w:rPr>
        <w:t xml:space="preserve">operation with shared spectrum channel access, a </w:t>
      </w:r>
      <w:r w:rsidRPr="008A7672">
        <w:rPr>
          <w:lang w:eastAsia="ja-JP"/>
        </w:rPr>
        <w:t>UE attempts to transmit at least S-SS/PSBCH blocks in the slots including S-SS/PSBCH blocks in the anchor RB set. The UE applies CP extension to the first symbol of an S-</w:t>
      </w:r>
      <w:r w:rsidRPr="008A7672">
        <w:rPr>
          <w:lang w:eastAsia="ja-JP"/>
        </w:rPr>
        <w:lastRenderedPageBreak/>
        <w:t xml:space="preserve">SS/PSBCH block and within the first one or two symbols before </w:t>
      </w:r>
      <w:r w:rsidRPr="00F36215">
        <w:rPr>
          <w:lang w:eastAsia="ja-JP"/>
        </w:rPr>
        <w:t xml:space="preserve">the first symbol of the </w:t>
      </w:r>
      <w:r>
        <w:rPr>
          <w:lang w:eastAsia="ja-JP"/>
        </w:rPr>
        <w:t>S-SS/PSBCH block</w:t>
      </w:r>
      <w:r w:rsidRPr="00F36215">
        <w:rPr>
          <w:lang w:eastAsia="ja-JP"/>
        </w:rPr>
        <w:t xml:space="preserve"> </w:t>
      </w:r>
      <w:r>
        <w:rPr>
          <w:lang w:eastAsia="ja-JP"/>
        </w:rPr>
        <w:t xml:space="preserve">according to an index [4, TS 38.211] provided by </w:t>
      </w:r>
      <w:r w:rsidR="0024141F" w:rsidRPr="00792655">
        <w:rPr>
          <w:i/>
          <w:iCs/>
          <w:lang w:eastAsia="ja-JP"/>
        </w:rPr>
        <w:t>sl-CPE-StartingPositionS-SSB</w:t>
      </w:r>
      <w:r w:rsidR="00E21265" w:rsidRPr="00E93803">
        <w:t xml:space="preserve">. </w:t>
      </w:r>
      <w:r w:rsidR="00CC2EEE">
        <w:t xml:space="preserve">The UE assumes PRB(s) in an intra-cell guard band </w:t>
      </w:r>
      <w:r w:rsidR="00CC2EEE">
        <w:rPr>
          <w:lang w:eastAsia="ja-JP"/>
        </w:rPr>
        <w:t xml:space="preserve">[6, TS 38.214] </w:t>
      </w:r>
      <w:r w:rsidR="00CC2EEE">
        <w:t>are not used for transmission of S-</w:t>
      </w:r>
      <w:r w:rsidR="00CC2EEE" w:rsidRPr="008A7672">
        <w:rPr>
          <w:lang w:eastAsia="ja-JP"/>
        </w:rPr>
        <w:t>SS/PSBCH blocks</w:t>
      </w:r>
      <w:r w:rsidR="00CC2EEE">
        <w:rPr>
          <w:lang w:eastAsia="ja-JP"/>
        </w:rPr>
        <w:t>.</w:t>
      </w:r>
    </w:p>
    <w:p w14:paraId="49BBC7AF" w14:textId="3F7C7440" w:rsidR="00E21265" w:rsidRDefault="00E21265" w:rsidP="00E21265">
      <w:pPr>
        <w:kinsoku w:val="0"/>
        <w:overflowPunct w:val="0"/>
      </w:pPr>
      <w:r w:rsidRPr="00E93803">
        <w:t xml:space="preserve">The UE assumes that </w:t>
      </w:r>
      <w:r w:rsidR="00025E35">
        <w:t xml:space="preserve">a </w:t>
      </w:r>
      <w:r w:rsidRPr="00E93803">
        <w:t>S-</w:t>
      </w:r>
      <w:r>
        <w:t>PSS</w:t>
      </w:r>
      <w:r w:rsidR="00025E35">
        <w:t xml:space="preserve"> symbol</w:t>
      </w:r>
      <w:r>
        <w:t xml:space="preserve">, </w:t>
      </w:r>
      <w:r w:rsidR="00025E35">
        <w:t xml:space="preserve">a </w:t>
      </w:r>
      <w:r>
        <w:t>S-SSS</w:t>
      </w:r>
      <w:r w:rsidR="00025E35">
        <w:t xml:space="preserve"> symbol</w:t>
      </w:r>
      <w:r>
        <w:t xml:space="preserve">, and </w:t>
      </w:r>
      <w:r w:rsidR="00025E35">
        <w:t xml:space="preserve">a </w:t>
      </w:r>
      <w:r>
        <w:t>PSBCH</w:t>
      </w:r>
      <w:r w:rsidR="00025E35">
        <w:t xml:space="preserve"> symbol</w:t>
      </w:r>
      <w:r>
        <w:t xml:space="preserve"> have </w:t>
      </w:r>
      <w:r w:rsidR="00025E35">
        <w:t xml:space="preserve">a </w:t>
      </w:r>
      <w:r w:rsidRPr="00E93803">
        <w:t xml:space="preserve">same </w:t>
      </w:r>
      <w:r w:rsidR="006A00C3">
        <w:t>transmission power</w:t>
      </w:r>
      <w:r w:rsidRPr="00E93803">
        <w:t xml:space="preserve">. The UE assumes a same numerology of the S-SS/PSBCH as for a SL BWP of the S-SS/PSBCH block reception, and that a bandwidth of the S-SS/PSBCH is within a bandwidth of the </w:t>
      </w:r>
      <w:r w:rsidRPr="00E93803">
        <w:rPr>
          <w:rFonts w:eastAsia="MS Mincho"/>
        </w:rPr>
        <w:t xml:space="preserve">SL BWP. </w:t>
      </w:r>
      <w:r w:rsidRPr="00E93803">
        <w:t>The UE assumes</w:t>
      </w:r>
      <w:r>
        <w:rPr>
          <w:rFonts w:ascii="sans-serif-black" w:hAnsi="sans-serif-black"/>
        </w:rPr>
        <w:t xml:space="preserve"> the subcarrier with index 0 in the S-SS/P</w:t>
      </w:r>
      <w:r w:rsidR="006A00C3">
        <w:rPr>
          <w:rFonts w:ascii="sans-serif-black" w:hAnsi="sans-serif-black"/>
        </w:rPr>
        <w:t>S</w:t>
      </w:r>
      <w:r>
        <w:rPr>
          <w:rFonts w:ascii="sans-serif-black" w:hAnsi="sans-serif-black"/>
        </w:rPr>
        <w:t xml:space="preserve">BCH block is aligned with a subcarrier with index 0 in </w:t>
      </w:r>
      <w:r w:rsidR="003638A6">
        <w:rPr>
          <w:rFonts w:ascii="sans-serif-black" w:hAnsi="sans-serif-black"/>
        </w:rPr>
        <w:t xml:space="preserve">an RB of </w:t>
      </w:r>
      <w:r>
        <w:rPr>
          <w:rFonts w:ascii="sans-serif-black" w:hAnsi="sans-serif-black"/>
        </w:rPr>
        <w:t>the SL BWP.</w:t>
      </w:r>
    </w:p>
    <w:p w14:paraId="43E85EF0" w14:textId="2A1BA3C2" w:rsidR="00E21265" w:rsidRDefault="00E21265" w:rsidP="00E21265">
      <w:pPr>
        <w:rPr>
          <w:lang w:eastAsia="ja-JP"/>
        </w:rPr>
      </w:pPr>
      <w:r>
        <w:t xml:space="preserve">A UE is provided, by </w:t>
      </w:r>
      <w:r w:rsidR="007B6046" w:rsidRPr="00882C4D">
        <w:rPr>
          <w:i/>
          <w:iCs/>
        </w:rPr>
        <w:t>sl-</w:t>
      </w:r>
      <w:r w:rsidR="007B6046" w:rsidRPr="00882C4D">
        <w:rPr>
          <w:i/>
        </w:rPr>
        <w:t>NumSSB-WithinPeriod</w:t>
      </w:r>
      <w:r>
        <w:t xml:space="preserve">, a number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period</m:t>
            </m:r>
          </m:sub>
          <m:sup>
            <m:r>
              <m:rPr>
                <m:sty m:val="p"/>
              </m:rPr>
              <w:rPr>
                <w:rFonts w:ascii="Cambria Math" w:hAnsi="Cambria Math"/>
              </w:rPr>
              <m:t>S-SSB</m:t>
            </m:r>
          </m:sup>
        </m:sSubSup>
      </m:oMath>
      <w:r>
        <w:t xml:space="preserve"> of S-SS/PSBCH blocks in a period of 16 frames. The UE assumes that a transmission of the S-SS/PSBCH blocks in the period is with a periodicity of 16 frames. T</w:t>
      </w:r>
      <w:r w:rsidRPr="00B916EC">
        <w:t xml:space="preserve">he </w:t>
      </w:r>
      <w:r>
        <w:t xml:space="preserve">UE determines </w:t>
      </w:r>
      <w:r w:rsidRPr="00B916EC">
        <w:t>indexes</w:t>
      </w:r>
      <w:r>
        <w:t xml:space="preserve"> of slots that include</w:t>
      </w:r>
      <w:r w:rsidRPr="00B916EC">
        <w:t xml:space="preserve"> </w:t>
      </w:r>
      <w:r>
        <w:t>S-</w:t>
      </w:r>
      <w:r w:rsidRPr="00B916EC">
        <w:t>SS/P</w:t>
      </w:r>
      <w:r>
        <w:t>SBCH block</w:t>
      </w:r>
      <w:r w:rsidRPr="00B916EC">
        <w:t xml:space="preserve"> </w:t>
      </w:r>
      <w:r>
        <w:t xml:space="preserve">as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offset</m:t>
            </m:r>
            <m:ctrlPr>
              <w:rPr>
                <w:rFonts w:ascii="Cambria Math" w:hAnsi="Cambria Math"/>
              </w:rPr>
            </m:ctrlPr>
          </m:sub>
          <m:sup>
            <m:r>
              <m:rPr>
                <m:sty m:val="p"/>
              </m:rPr>
              <w:rPr>
                <w:rFonts w:ascii="Cambria Math" w:hAnsi="Cambria Math"/>
              </w:rPr>
              <m:t>S-SSB</m:t>
            </m:r>
          </m:sup>
        </m:sSubSup>
      </m:oMath>
      <w:r>
        <w:t>+</w:t>
      </w:r>
      <m:oMath>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sty m:val="p"/>
                  </m:rPr>
                  <w:rPr>
                    <w:rFonts w:ascii="Cambria Math" w:hAnsi="Cambria Math"/>
                  </w:rPr>
                  <m:t>interval</m:t>
                </m:r>
                <m:ctrlPr>
                  <w:rPr>
                    <w:rFonts w:ascii="Cambria Math" w:hAnsi="Cambria Math"/>
                  </w:rPr>
                </m:ctrlPr>
              </m:sub>
              <m:sup>
                <m:r>
                  <m:rPr>
                    <m:sty m:val="p"/>
                  </m:rPr>
                  <w:rPr>
                    <w:rFonts w:ascii="Cambria Math" w:hAnsi="Cambria Math"/>
                  </w:rPr>
                  <m:t>S-SSB</m:t>
                </m:r>
              </m:sup>
            </m:sSubSup>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i</m:t>
            </m:r>
          </m:e>
          <m:sub>
            <m:r>
              <m:rPr>
                <m:sty m:val="p"/>
              </m:rPr>
              <w:rPr>
                <w:rFonts w:ascii="Cambria Math" w:hAnsi="Cambria Math"/>
              </w:rPr>
              <m:t>S-SSB</m:t>
            </m:r>
          </m:sub>
        </m:sSub>
      </m:oMath>
      <w:r w:rsidRPr="00F827FD">
        <w:t xml:space="preserve">, </w:t>
      </w:r>
      <w:r>
        <w:rPr>
          <w:lang w:eastAsia="ja-JP"/>
        </w:rPr>
        <w:t>where</w:t>
      </w:r>
    </w:p>
    <w:p w14:paraId="448EF946" w14:textId="64B4C15C" w:rsidR="00E21265" w:rsidRPr="00F56BF9" w:rsidRDefault="00E21265" w:rsidP="00E21265">
      <w:pPr>
        <w:pStyle w:val="B1"/>
        <w:rPr>
          <w:lang w:val="en-GB"/>
        </w:rPr>
      </w:pPr>
      <w:r w:rsidRPr="0068348F">
        <w:t>-</w:t>
      </w:r>
      <w:r w:rsidRPr="0068348F">
        <w:tab/>
      </w:r>
      <w:r>
        <w:rPr>
          <w:lang w:eastAsia="ja-JP"/>
        </w:rPr>
        <w:t>index 0 corresponds to a</w:t>
      </w:r>
      <w:r w:rsidRPr="00F827FD">
        <w:rPr>
          <w:lang w:eastAsia="ja-JP"/>
        </w:rPr>
        <w:t xml:space="preserve"> first slot in a </w:t>
      </w:r>
      <w:r>
        <w:rPr>
          <w:lang w:eastAsia="ja-JP"/>
        </w:rPr>
        <w:t xml:space="preserve">frame with SFN </w:t>
      </w:r>
      <w:r w:rsidR="000656C3">
        <w:rPr>
          <w:lang w:eastAsia="ja-JP"/>
        </w:rPr>
        <w:t xml:space="preserve">of the serving cell </w:t>
      </w:r>
      <w:r>
        <w:rPr>
          <w:lang w:eastAsia="ja-JP"/>
        </w:rPr>
        <w:t xml:space="preserve">satisfying </w:t>
      </w:r>
      <m:oMath>
        <m:r>
          <m:rPr>
            <m:sty m:val="p"/>
          </m:rPr>
          <w:rPr>
            <w:rFonts w:ascii="Cambria Math" w:hAnsi="Cambria Math"/>
            <w:lang w:eastAsia="ja-JP"/>
          </w:rPr>
          <m:t>(SFN mod 16)=0</m:t>
        </m:r>
      </m:oMath>
      <w:r w:rsidR="000656C3">
        <w:rPr>
          <w:lang w:val="en-GB" w:eastAsia="ja-JP"/>
        </w:rPr>
        <w:t xml:space="preserve"> </w:t>
      </w:r>
      <w:r w:rsidR="000656C3">
        <w:rPr>
          <w:lang w:eastAsia="ko-KR"/>
        </w:rPr>
        <w:t>or DFN satisfying (DFN mod 16) = 0</w:t>
      </w:r>
    </w:p>
    <w:p w14:paraId="3BFDD556" w14:textId="77777777" w:rsidR="00E21265" w:rsidRDefault="00E21265" w:rsidP="00E21265">
      <w:pPr>
        <w:pStyle w:val="B1"/>
      </w:pPr>
      <w:r w:rsidRPr="0068348F">
        <w:t>-</w:t>
      </w:r>
      <w:r w:rsidRPr="0068348F">
        <w:tab/>
      </w:r>
      <m:oMath>
        <m:sSub>
          <m:sSubPr>
            <m:ctrlPr>
              <w:rPr>
                <w:rFonts w:ascii="Cambria Math" w:hAnsi="Cambria Math"/>
                <w:i/>
              </w:rPr>
            </m:ctrlPr>
          </m:sSubPr>
          <m:e>
            <m:r>
              <w:rPr>
                <w:rFonts w:ascii="Cambria Math" w:hAnsi="Cambria Math"/>
              </w:rPr>
              <m:t>i</m:t>
            </m:r>
          </m:e>
          <m:sub>
            <m:r>
              <m:rPr>
                <m:sty m:val="p"/>
              </m:rPr>
              <w:rPr>
                <w:rFonts w:ascii="Cambria Math" w:hAnsi="Cambria Math"/>
              </w:rPr>
              <m:t>S-SSB</m:t>
            </m:r>
          </m:sub>
        </m:sSub>
      </m:oMath>
      <w:r>
        <w:t xml:space="preserve"> is a S-SS/PSBCH block index within the number of S-SS/PSBCH blocks in the period, with </w:t>
      </w:r>
      <m:oMath>
        <m:r>
          <w:rPr>
            <w:rFonts w:ascii="Cambria Math" w:hAnsi="Cambria Math"/>
          </w:rPr>
          <m:t>0≤</m:t>
        </m:r>
        <m:sSub>
          <m:sSubPr>
            <m:ctrlPr>
              <w:rPr>
                <w:rFonts w:ascii="Cambria Math" w:hAnsi="Cambria Math"/>
                <w:i/>
              </w:rPr>
            </m:ctrlPr>
          </m:sSubPr>
          <m:e>
            <m:r>
              <w:rPr>
                <w:rFonts w:ascii="Cambria Math" w:hAnsi="Cambria Math"/>
              </w:rPr>
              <m:t>i</m:t>
            </m:r>
          </m:e>
          <m:sub>
            <m:r>
              <m:rPr>
                <m:sty m:val="p"/>
              </m:rPr>
              <w:rPr>
                <w:rFonts w:ascii="Cambria Math" w:hAnsi="Cambria Math"/>
              </w:rPr>
              <m:t>S-SSB</m:t>
            </m:r>
          </m:sub>
        </m:sSub>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period</m:t>
            </m:r>
          </m:sub>
          <m:sup>
            <m:r>
              <m:rPr>
                <m:sty m:val="p"/>
              </m:rPr>
              <w:rPr>
                <w:rFonts w:ascii="Cambria Math" w:hAnsi="Cambria Math"/>
              </w:rPr>
              <m:t>S-SSB</m:t>
            </m:r>
          </m:sup>
        </m:sSubSup>
        <m:r>
          <w:rPr>
            <w:rFonts w:ascii="Cambria Math" w:hAnsi="Cambria Math"/>
          </w:rPr>
          <m:t>-1</m:t>
        </m:r>
      </m:oMath>
    </w:p>
    <w:p w14:paraId="13EE1518" w14:textId="7FF1434B" w:rsidR="00E21265" w:rsidRDefault="00E21265" w:rsidP="00E21265">
      <w:pPr>
        <w:pStyle w:val="B1"/>
      </w:pPr>
      <w:r w:rsidRPr="0068348F">
        <w:t>-</w:t>
      </w:r>
      <w:r w:rsidRPr="0068348F">
        <w:tab/>
      </w:r>
      <m:oMath>
        <m:sSubSup>
          <m:sSubSupPr>
            <m:ctrlPr>
              <w:rPr>
                <w:rFonts w:ascii="Cambria Math" w:hAnsi="Cambria Math"/>
                <w:i/>
              </w:rPr>
            </m:ctrlPr>
          </m:sSubSupPr>
          <m:e>
            <m:r>
              <w:rPr>
                <w:rFonts w:ascii="Cambria Math" w:hAnsi="Cambria Math"/>
              </w:rPr>
              <m:t>N</m:t>
            </m:r>
          </m:e>
          <m:sub>
            <m:r>
              <m:rPr>
                <m:sty m:val="p"/>
              </m:rPr>
              <w:rPr>
                <w:rFonts w:ascii="Cambria Math" w:hAnsi="Cambria Math"/>
              </w:rPr>
              <m:t>offset</m:t>
            </m:r>
            <m:ctrlPr>
              <w:rPr>
                <w:rFonts w:ascii="Cambria Math" w:hAnsi="Cambria Math"/>
              </w:rPr>
            </m:ctrlPr>
          </m:sub>
          <m:sup>
            <m:r>
              <m:rPr>
                <m:sty m:val="p"/>
              </m:rPr>
              <w:rPr>
                <w:rFonts w:ascii="Cambria Math" w:hAnsi="Cambria Math"/>
              </w:rPr>
              <m:t>S-SSB</m:t>
            </m:r>
          </m:sup>
        </m:sSubSup>
      </m:oMath>
      <w:r>
        <w:t xml:space="preserve"> is a slot offset from a start of the period to the first slot including S-SS/PSBCH block, provided by </w:t>
      </w:r>
      <w:r w:rsidR="007B6046" w:rsidRPr="00882C4D">
        <w:rPr>
          <w:i/>
          <w:iCs/>
          <w:lang w:val="en-US"/>
        </w:rPr>
        <w:t>sl-</w:t>
      </w:r>
      <w:r w:rsidR="007B6046" w:rsidRPr="00882C4D">
        <w:rPr>
          <w:i/>
          <w:lang w:val="en-US"/>
        </w:rPr>
        <w:t>T</w:t>
      </w:r>
      <w:r w:rsidR="007B6046" w:rsidRPr="00882C4D">
        <w:rPr>
          <w:i/>
        </w:rPr>
        <w:t>imeOffsetSSB</w:t>
      </w:r>
    </w:p>
    <w:p w14:paraId="2FABECD2" w14:textId="29B3CC79" w:rsidR="00E21265" w:rsidRDefault="00E21265" w:rsidP="00E21265">
      <w:pPr>
        <w:pStyle w:val="B1"/>
      </w:pPr>
      <w:r w:rsidRPr="0068348F">
        <w:t>-</w:t>
      </w:r>
      <w:r w:rsidRPr="0068348F">
        <w:tab/>
      </w:r>
      <m:oMath>
        <m:sSubSup>
          <m:sSubSupPr>
            <m:ctrlPr>
              <w:rPr>
                <w:rFonts w:ascii="Cambria Math" w:hAnsi="Cambria Math"/>
                <w:i/>
              </w:rPr>
            </m:ctrlPr>
          </m:sSubSupPr>
          <m:e>
            <m:r>
              <w:rPr>
                <w:rFonts w:ascii="Cambria Math" w:hAnsi="Cambria Math"/>
              </w:rPr>
              <m:t>N</m:t>
            </m:r>
          </m:e>
          <m:sub>
            <m:r>
              <m:rPr>
                <m:sty m:val="p"/>
              </m:rPr>
              <w:rPr>
                <w:rFonts w:ascii="Cambria Math" w:hAnsi="Cambria Math"/>
              </w:rPr>
              <m:t>interval</m:t>
            </m:r>
            <m:ctrlPr>
              <w:rPr>
                <w:rFonts w:ascii="Cambria Math" w:hAnsi="Cambria Math"/>
              </w:rPr>
            </m:ctrlPr>
          </m:sub>
          <m:sup>
            <m:r>
              <m:rPr>
                <m:sty m:val="p"/>
              </m:rPr>
              <w:rPr>
                <w:rFonts w:ascii="Cambria Math" w:hAnsi="Cambria Math"/>
              </w:rPr>
              <m:t>S-SSB</m:t>
            </m:r>
          </m:sup>
        </m:sSubSup>
      </m:oMath>
      <w:r>
        <w:t xml:space="preserve"> is a slot interval between S-</w:t>
      </w:r>
      <w:r w:rsidRPr="00B916EC">
        <w:t>SS/P</w:t>
      </w:r>
      <w:r>
        <w:t xml:space="preserve">SBCH blocks, provided by </w:t>
      </w:r>
      <w:r w:rsidR="007B6046" w:rsidRPr="00882C4D">
        <w:rPr>
          <w:i/>
          <w:iCs/>
          <w:lang w:val="en-US"/>
        </w:rPr>
        <w:t>sl-</w:t>
      </w:r>
      <w:r w:rsidR="00483119">
        <w:rPr>
          <w:i/>
          <w:lang w:val="en-GB"/>
        </w:rPr>
        <w:t>T</w:t>
      </w:r>
      <w:r w:rsidR="00483119" w:rsidRPr="00882C4D">
        <w:rPr>
          <w:i/>
        </w:rPr>
        <w:t>imeInterval</w:t>
      </w:r>
    </w:p>
    <w:p w14:paraId="347B23ED" w14:textId="6C444EC1" w:rsidR="000E3D53" w:rsidRPr="00A340B0" w:rsidRDefault="000E3D53" w:rsidP="000E3D53">
      <w:bookmarkStart w:id="838" w:name="_Toc29894877"/>
      <w:r w:rsidRPr="00A340B0">
        <w:t xml:space="preserve">For </w:t>
      </w:r>
      <w:r w:rsidRPr="00A340B0">
        <w:rPr>
          <w:lang w:eastAsia="ja-JP"/>
        </w:rPr>
        <w:t xml:space="preserve">operation with shared spectrum channel access and for each slot </w:t>
      </w:r>
      <w:r w:rsidRPr="00A340B0">
        <w:t>that includes S-SS/PSBCH blocks, a</w:t>
      </w:r>
      <w:r w:rsidRPr="00A340B0">
        <w:rPr>
          <w:lang w:eastAsia="ja-JP"/>
        </w:rPr>
        <w:t xml:space="preserve"> UE is provided, by</w:t>
      </w:r>
      <w:r w:rsidRPr="00A340B0">
        <w:rPr>
          <w:i/>
          <w:iCs/>
        </w:rPr>
        <w:t xml:space="preserve"> </w:t>
      </w:r>
      <w:r w:rsidR="0024141F" w:rsidRPr="00614E9C">
        <w:rPr>
          <w:rFonts w:eastAsia="Times New Roman"/>
          <w:i/>
          <w:iCs/>
          <w:kern w:val="2"/>
          <w:lang w:eastAsia="ja-JP"/>
        </w:rPr>
        <w:t>sl-NumOfAdditionalSSSBOccasion</w:t>
      </w:r>
      <w:r w:rsidRPr="00A340B0">
        <w:t>, a number</w:t>
      </w:r>
      <w:r w:rsidRPr="00A340B0">
        <w:rPr>
          <w:lang w:eastAsia="ja-JP"/>
        </w:rPr>
        <w:t xml:space="preserv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additional</m:t>
            </m:r>
          </m:sub>
          <m:sup>
            <m:r>
              <m:rPr>
                <m:sty m:val="p"/>
              </m:rPr>
              <w:rPr>
                <w:rFonts w:ascii="Cambria Math" w:hAnsi="Cambria Math"/>
              </w:rPr>
              <m:t>S-SSB</m:t>
            </m:r>
          </m:sup>
        </m:sSubSup>
      </m:oMath>
      <w:r w:rsidRPr="00A340B0">
        <w:t xml:space="preserve"> of additional candidate S-SS/P</w:t>
      </w:r>
      <w:r>
        <w:t>S</w:t>
      </w:r>
      <w:r w:rsidRPr="00A340B0">
        <w:t xml:space="preserve">BCH block transmission occasions. </w:t>
      </w:r>
      <w:r w:rsidR="0059041D" w:rsidRPr="00B306D7">
        <w:t xml:space="preserve">When </w:t>
      </w:r>
      <w:r w:rsidR="0059041D">
        <w:t>the</w:t>
      </w:r>
      <w:r w:rsidR="0059041D" w:rsidRPr="00B306D7">
        <w:t xml:space="preserve"> UE determines to transmit </w:t>
      </w:r>
      <w:r w:rsidR="0059041D" w:rsidRPr="005A545C">
        <w:t>S-SS/PSBCH block</w:t>
      </w:r>
      <w:r w:rsidR="0059041D" w:rsidRPr="008E4A6F">
        <w:t>s</w:t>
      </w:r>
      <w:r w:rsidR="0059041D" w:rsidRPr="001D4CC8">
        <w:t xml:space="preserve"> on additional candidate S-SS/PSBCH block transmission occasions, the UE attempts to transmit S-SS/PSBCH blocks </w:t>
      </w:r>
      <w:r w:rsidR="0059041D" w:rsidRPr="00B306D7">
        <w:t xml:space="preserve">at least in the anchor RB set. </w:t>
      </w:r>
      <w:r w:rsidRPr="00A340B0">
        <w:t xml:space="preserve">When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additional</m:t>
            </m:r>
          </m:sub>
          <m:sup>
            <m:r>
              <m:rPr>
                <m:sty m:val="p"/>
              </m:rPr>
              <w:rPr>
                <w:rFonts w:ascii="Cambria Math" w:hAnsi="Cambria Math"/>
              </w:rPr>
              <m:t>S-SSB</m:t>
            </m:r>
          </m:sup>
        </m:sSubSup>
        <m:r>
          <w:rPr>
            <w:rFonts w:ascii="Cambria Math" w:hAnsi="Cambria Math"/>
          </w:rPr>
          <m:t>&gt;0</m:t>
        </m:r>
      </m:oMath>
      <w:r w:rsidRPr="00A340B0">
        <w:t xml:space="preserve">, for S-SS/PSBCH block with index </w:t>
      </w:r>
      <m:oMath>
        <m:sSub>
          <m:sSubPr>
            <m:ctrlPr>
              <w:rPr>
                <w:rFonts w:ascii="Cambria Math" w:hAnsi="Cambria Math"/>
                <w:i/>
                <w:lang w:val="x-none"/>
              </w:rPr>
            </m:ctrlPr>
          </m:sSubPr>
          <m:e>
            <m:r>
              <w:rPr>
                <w:rFonts w:ascii="Cambria Math" w:hAnsi="Cambria Math"/>
                <w:lang w:val="x-none"/>
              </w:rPr>
              <m:t>i</m:t>
            </m:r>
          </m:e>
          <m:sub>
            <m:r>
              <m:rPr>
                <m:sty m:val="p"/>
              </m:rPr>
              <w:rPr>
                <w:rFonts w:ascii="Cambria Math" w:hAnsi="Cambria Math"/>
                <w:lang w:val="x-none"/>
              </w:rPr>
              <m:t>S-SSB</m:t>
            </m:r>
          </m:sub>
        </m:sSub>
      </m:oMath>
      <w:r w:rsidRPr="00A340B0">
        <w:t>, the UE determines indexes of slots that include the additional candidate S-SS/P</w:t>
      </w:r>
      <w:r>
        <w:t>S</w:t>
      </w:r>
      <w:r w:rsidRPr="00A340B0">
        <w:t xml:space="preserve">BCH block transmission occasions as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offset</m:t>
            </m:r>
            <m:ctrlPr>
              <w:rPr>
                <w:rFonts w:ascii="Cambria Math" w:hAnsi="Cambria Math"/>
              </w:rPr>
            </m:ctrlPr>
          </m:sub>
          <m:sup>
            <m:r>
              <m:rPr>
                <m:sty m:val="p"/>
              </m:rPr>
              <w:rPr>
                <w:rFonts w:ascii="Cambria Math" w:hAnsi="Cambria Math"/>
              </w:rPr>
              <m:t>S-SSB</m:t>
            </m:r>
          </m:sup>
        </m:sSubSup>
      </m:oMath>
      <w:r w:rsidRPr="00A340B0">
        <w:t>+</w:t>
      </w:r>
      <m:oMath>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sty m:val="p"/>
                  </m:rPr>
                  <w:rPr>
                    <w:rFonts w:ascii="Cambria Math" w:hAnsi="Cambria Math"/>
                  </w:rPr>
                  <m:t>interval</m:t>
                </m:r>
                <m:ctrlPr>
                  <w:rPr>
                    <w:rFonts w:ascii="Cambria Math" w:hAnsi="Cambria Math"/>
                  </w:rPr>
                </m:ctrlPr>
              </m:sub>
              <m:sup>
                <m:r>
                  <m:rPr>
                    <m:sty m:val="p"/>
                  </m:rPr>
                  <w:rPr>
                    <w:rFonts w:ascii="Cambria Math" w:hAnsi="Cambria Math"/>
                  </w:rPr>
                  <m:t>S-SSB</m:t>
                </m:r>
              </m:sup>
            </m:sSubSup>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i</m:t>
            </m:r>
          </m:e>
          <m:sub>
            <m:r>
              <m:rPr>
                <m:sty m:val="p"/>
              </m:rPr>
              <w:rPr>
                <w:rFonts w:ascii="Cambria Math" w:hAnsi="Cambria Math"/>
              </w:rPr>
              <m:t>S-SSB</m:t>
            </m:r>
          </m:sub>
        </m:sSub>
      </m:oMath>
      <w:r w:rsidRPr="00A340B0">
        <w:t xml:space="preserve"> +</w:t>
      </w:r>
      <m:oMath>
        <m:r>
          <w:rPr>
            <w:rFonts w:ascii="Cambria Math" w:hAnsi="Cambria Math"/>
          </w:rPr>
          <m:t xml:space="preserve">( </m:t>
        </m:r>
        <m:sSubSup>
          <m:sSubSupPr>
            <m:ctrlPr>
              <w:rPr>
                <w:rFonts w:ascii="Cambria Math" w:hAnsi="Cambria Math"/>
                <w:i/>
              </w:rPr>
            </m:ctrlPr>
          </m:sSubSupPr>
          <m:e>
            <m:r>
              <w:rPr>
                <w:rFonts w:ascii="Cambria Math" w:hAnsi="Cambria Math"/>
              </w:rPr>
              <m:t>N</m:t>
            </m:r>
          </m:e>
          <m:sub>
            <m:r>
              <m:rPr>
                <m:sty m:val="p"/>
              </m:rPr>
              <w:rPr>
                <w:rFonts w:ascii="Cambria Math" w:hAnsi="Cambria Math"/>
              </w:rPr>
              <m:t>gap</m:t>
            </m:r>
            <m:ctrlPr>
              <w:rPr>
                <w:rFonts w:ascii="Cambria Math" w:hAnsi="Cambria Math"/>
              </w:rPr>
            </m:ctrlPr>
          </m:sub>
          <m:sup>
            <m:r>
              <m:rPr>
                <m:sty m:val="p"/>
              </m:rPr>
              <w:rPr>
                <w:rFonts w:ascii="Cambria Math" w:hAnsi="Cambria Math"/>
              </w:rPr>
              <m:t>S-SSB</m:t>
            </m:r>
          </m:sup>
        </m:sSubSup>
        <m:r>
          <w:rPr>
            <w:rFonts w:ascii="Cambria Math" w:hAnsi="Cambria Math"/>
          </w:rPr>
          <m:t>+1)⋅(</m:t>
        </m:r>
        <m:sSub>
          <m:sSubPr>
            <m:ctrlPr>
              <w:rPr>
                <w:rFonts w:ascii="Cambria Math" w:hAnsi="Cambria Math"/>
                <w:i/>
              </w:rPr>
            </m:ctrlPr>
          </m:sSubPr>
          <m:e>
            <m:acc>
              <m:accPr>
                <m:chr m:val="̅"/>
                <m:ctrlPr>
                  <w:rPr>
                    <w:rFonts w:ascii="Cambria Math" w:hAnsi="Cambria Math"/>
                    <w:i/>
                  </w:rPr>
                </m:ctrlPr>
              </m:accPr>
              <m:e>
                <m:r>
                  <w:rPr>
                    <w:rFonts w:ascii="Cambria Math" w:hAnsi="Cambria Math"/>
                  </w:rPr>
                  <m:t>i</m:t>
                </m:r>
              </m:e>
            </m:acc>
          </m:e>
          <m:sub>
            <m:r>
              <m:rPr>
                <m:sty m:val="p"/>
              </m:rPr>
              <w:rPr>
                <w:rFonts w:ascii="Cambria Math" w:hAnsi="Cambria Math"/>
              </w:rPr>
              <m:t>S-SSB</m:t>
            </m:r>
          </m:sub>
        </m:sSub>
        <m:r>
          <w:rPr>
            <w:rFonts w:ascii="Cambria Math" w:hAnsi="Cambria Math"/>
          </w:rPr>
          <m:t>+1)</m:t>
        </m:r>
      </m:oMath>
      <w:r w:rsidRPr="00A340B0">
        <w:t xml:space="preserve">, where </w:t>
      </w:r>
    </w:p>
    <w:p w14:paraId="731E00EE" w14:textId="605E6A0C" w:rsidR="000E3D53" w:rsidRPr="00A340B0" w:rsidRDefault="000E3D53" w:rsidP="000E3D53">
      <w:pPr>
        <w:pStyle w:val="B1"/>
        <w:rPr>
          <w:i/>
        </w:rPr>
      </w:pPr>
      <w:r w:rsidRPr="00A340B0">
        <w:t>-</w:t>
      </w:r>
      <w:r w:rsidRPr="00A340B0">
        <w:tab/>
      </w:r>
      <m:oMath>
        <m:sSubSup>
          <m:sSubSupPr>
            <m:ctrlPr>
              <w:rPr>
                <w:rFonts w:ascii="Cambria Math" w:hAnsi="Cambria Math"/>
                <w:i/>
              </w:rPr>
            </m:ctrlPr>
          </m:sSubSupPr>
          <m:e>
            <m:r>
              <w:rPr>
                <w:rFonts w:ascii="Cambria Math" w:hAnsi="Cambria Math"/>
              </w:rPr>
              <m:t>N</m:t>
            </m:r>
          </m:e>
          <m:sub>
            <m:r>
              <m:rPr>
                <m:sty m:val="p"/>
              </m:rPr>
              <w:rPr>
                <w:rFonts w:ascii="Cambria Math" w:hAnsi="Cambria Math"/>
              </w:rPr>
              <m:t>gap</m:t>
            </m:r>
            <m:ctrlPr>
              <w:rPr>
                <w:rFonts w:ascii="Cambria Math" w:hAnsi="Cambria Math"/>
              </w:rPr>
            </m:ctrlPr>
          </m:sub>
          <m:sup>
            <m:r>
              <m:rPr>
                <m:sty m:val="p"/>
              </m:rPr>
              <w:rPr>
                <w:rFonts w:ascii="Cambria Math" w:hAnsi="Cambria Math"/>
              </w:rPr>
              <m:t>S-SSB</m:t>
            </m:r>
          </m:sup>
        </m:sSubSup>
      </m:oMath>
      <w:r w:rsidRPr="00A340B0">
        <w:t xml:space="preserve"> is a slot gap, provided by </w:t>
      </w:r>
      <w:r w:rsidR="0024141F" w:rsidRPr="00806BC4">
        <w:rPr>
          <w:i/>
          <w:iCs/>
        </w:rPr>
        <w:t>sl-GapOfAdditionalSSSB-Occasion</w:t>
      </w:r>
      <w:r w:rsidRPr="00A340B0">
        <w:t>, for determining the additional candidate S-SS/P</w:t>
      </w:r>
      <w:r>
        <w:t>S</w:t>
      </w:r>
      <w:r w:rsidRPr="00A340B0">
        <w:t>BCH block transmission occasions, and</w:t>
      </w:r>
    </w:p>
    <w:p w14:paraId="61168F63" w14:textId="2847E65C" w:rsidR="000E3D53" w:rsidRPr="000E3D53" w:rsidRDefault="000E3D53" w:rsidP="000E3D53">
      <w:pPr>
        <w:pStyle w:val="B1"/>
        <w:rPr>
          <w:i/>
          <w:lang w:val="en-GB"/>
        </w:rPr>
      </w:pPr>
      <w:r w:rsidRPr="00A340B0">
        <w:t>-</w:t>
      </w:r>
      <w:r w:rsidRPr="00A340B0">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i</m:t>
                </m:r>
              </m:e>
            </m:acc>
          </m:e>
          <m:sub>
            <m:r>
              <m:rPr>
                <m:sty m:val="p"/>
              </m:rPr>
              <w:rPr>
                <w:rFonts w:ascii="Cambria Math" w:hAnsi="Cambria Math"/>
              </w:rPr>
              <m:t>S-SSB</m:t>
            </m:r>
          </m:sub>
        </m:sSub>
      </m:oMath>
      <w:r w:rsidRPr="00A340B0">
        <w:t xml:space="preserve"> is an index of the additional candidate S-SS/P</w:t>
      </w:r>
      <w:r>
        <w:t>S</w:t>
      </w:r>
      <w:r w:rsidRPr="00A340B0">
        <w:t xml:space="preserve">BCH block transmission occasions, with </w:t>
      </w:r>
      <m:oMath>
        <m:sSub>
          <m:sSubPr>
            <m:ctrlPr>
              <w:rPr>
                <w:rFonts w:ascii="Cambria Math" w:hAnsi="Cambria Math"/>
                <w:i/>
              </w:rPr>
            </m:ctrlPr>
          </m:sSubPr>
          <m:e>
            <m:r>
              <w:rPr>
                <w:rFonts w:ascii="Cambria Math" w:hAnsi="Cambria Math"/>
              </w:rPr>
              <m:t>0≤</m:t>
            </m:r>
            <m:acc>
              <m:accPr>
                <m:chr m:val="̅"/>
                <m:ctrlPr>
                  <w:rPr>
                    <w:rFonts w:ascii="Cambria Math" w:hAnsi="Cambria Math"/>
                    <w:i/>
                  </w:rPr>
                </m:ctrlPr>
              </m:accPr>
              <m:e>
                <m:r>
                  <w:rPr>
                    <w:rFonts w:ascii="Cambria Math" w:hAnsi="Cambria Math"/>
                  </w:rPr>
                  <m:t>i</m:t>
                </m:r>
              </m:e>
            </m:acc>
          </m:e>
          <m:sub>
            <m:r>
              <m:rPr>
                <m:sty m:val="p"/>
              </m:rPr>
              <w:rPr>
                <w:rFonts w:ascii="Cambria Math" w:hAnsi="Cambria Math"/>
              </w:rPr>
              <m:t>S-SSB</m:t>
            </m:r>
          </m:sub>
        </m:sSub>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additional</m:t>
            </m:r>
          </m:sub>
          <m:sup>
            <m:r>
              <m:rPr>
                <m:sty m:val="p"/>
              </m:rPr>
              <w:rPr>
                <w:rFonts w:ascii="Cambria Math" w:hAnsi="Cambria Math"/>
              </w:rPr>
              <m:t>S-SSB</m:t>
            </m:r>
          </m:sup>
        </m:sSubSup>
        <m:r>
          <w:rPr>
            <w:rFonts w:ascii="Cambria Math" w:hAnsi="Cambria Math"/>
          </w:rPr>
          <m:t>-1</m:t>
        </m:r>
      </m:oMath>
      <w:r>
        <w:rPr>
          <w:lang w:val="en-GB"/>
        </w:rPr>
        <w:t>.</w:t>
      </w:r>
    </w:p>
    <w:p w14:paraId="05B5A8AC" w14:textId="43196CBA" w:rsidR="00674122" w:rsidRDefault="00674122" w:rsidP="000E3D53">
      <w:r w:rsidRPr="00D809F4">
        <w:t xml:space="preserve">For paired spectrum, an S-SS/PSBCH block can be transmitted/received only in a slot of an UL carrier. For unpaired spectrum, an S-SS/PSBCH block can be transmitted/received only in a slot of which all OFDM symbols are configured as UL </w:t>
      </w:r>
      <w:r w:rsidR="00483119">
        <w:rPr>
          <w:lang w:eastAsia="ko-KR"/>
        </w:rPr>
        <w:t>by</w:t>
      </w:r>
      <w:r w:rsidRPr="00D809F4">
        <w:rPr>
          <w:lang w:eastAsia="ko-KR"/>
        </w:rPr>
        <w:t xml:space="preserve"> </w:t>
      </w:r>
      <w:r w:rsidRPr="00D809F4">
        <w:rPr>
          <w:i/>
          <w:iCs/>
          <w:lang w:eastAsia="ko-KR"/>
        </w:rPr>
        <w:t>tdd-UL-DL-ConfigurationCommon</w:t>
      </w:r>
      <w:r w:rsidRPr="00D809F4">
        <w:rPr>
          <w:lang w:eastAsia="ko-KR"/>
        </w:rPr>
        <w:t xml:space="preserve"> </w:t>
      </w:r>
      <w:r w:rsidRPr="00D809F4">
        <w:t>of the serving cell if provided</w:t>
      </w:r>
      <w:r w:rsidRPr="00D809F4">
        <w:rPr>
          <w:i/>
          <w:iCs/>
          <w:lang w:eastAsia="ko-KR"/>
        </w:rPr>
        <w:t xml:space="preserve"> </w:t>
      </w:r>
      <w:r w:rsidRPr="00D809F4">
        <w:rPr>
          <w:lang w:eastAsia="ko-KR"/>
        </w:rPr>
        <w:t>or</w:t>
      </w:r>
      <w:r w:rsidRPr="00D809F4">
        <w:rPr>
          <w:i/>
          <w:iCs/>
          <w:lang w:eastAsia="ko-KR"/>
        </w:rPr>
        <w:t xml:space="preserve"> sl-TDD-Configuration</w:t>
      </w:r>
      <w:r w:rsidRPr="00D809F4">
        <w:rPr>
          <w:i/>
          <w:iCs/>
        </w:rPr>
        <w:t xml:space="preserve"> </w:t>
      </w:r>
      <w:r w:rsidRPr="00D809F4">
        <w:t xml:space="preserve">if provided or </w:t>
      </w:r>
      <w:r w:rsidRPr="00D809F4">
        <w:rPr>
          <w:i/>
          <w:iCs/>
        </w:rPr>
        <w:t>sl-TDD-Config</w:t>
      </w:r>
      <w:r w:rsidRPr="00D809F4">
        <w:t xml:space="preserve"> of the received PSBCH if provided</w:t>
      </w:r>
      <w:r w:rsidRPr="00D809F4">
        <w:rPr>
          <w:lang w:eastAsia="ko-KR"/>
        </w:rPr>
        <w:t xml:space="preserve">. </w:t>
      </w:r>
      <w:r w:rsidR="000E3D53">
        <w:t>If</w:t>
      </w:r>
      <w:r w:rsidRPr="00D809F4">
        <w:t xml:space="preserve"> </w:t>
      </w:r>
      <w:r w:rsidRPr="00D809F4">
        <w:rPr>
          <w:i/>
          <w:iCs/>
        </w:rPr>
        <w:t>tdd-UL-DL-ConfigurationCommon</w:t>
      </w:r>
      <w:r w:rsidRPr="00D809F4">
        <w:t xml:space="preserve"> and </w:t>
      </w:r>
      <w:r w:rsidRPr="00D809F4">
        <w:rPr>
          <w:i/>
          <w:iCs/>
        </w:rPr>
        <w:t>sl-TDD-Configuration</w:t>
      </w:r>
      <w:r w:rsidRPr="00D809F4">
        <w:t xml:space="preserve"> are not provided for a spectrum indicated with only PC5 interface in Table 5.2E.1-1 in [TS 38.101-1], an S-SS/PSBCH block can be transmitted/received in any slot of the spectrum.</w:t>
      </w:r>
    </w:p>
    <w:p w14:paraId="4E6FD813" w14:textId="70C30C24" w:rsidR="003638A6" w:rsidRDefault="003638A6" w:rsidP="003638A6">
      <w:pPr>
        <w:jc w:val="both"/>
        <w:rPr>
          <w:rFonts w:eastAsia="DengXian"/>
          <w:lang w:eastAsia="zh-CN"/>
        </w:rPr>
      </w:pPr>
      <w:r w:rsidRPr="001E2A52">
        <w:rPr>
          <w:rFonts w:eastAsiaTheme="minorEastAsia"/>
          <w:lang w:eastAsia="zh-CN"/>
        </w:rPr>
        <w:t xml:space="preserve">For transmission of an S-SS/PSBCH block, a UE includes </w:t>
      </w:r>
      <w:r w:rsidRPr="001E2A52">
        <w:rPr>
          <w:rFonts w:eastAsia="DengXian"/>
          <w:lang w:eastAsia="zh-CN"/>
        </w:rPr>
        <w:t xml:space="preserve">a bit sequence </w:t>
      </w:r>
      <m:oMath>
        <m:sSub>
          <m:sSubPr>
            <m:ctrlPr>
              <w:rPr>
                <w:rFonts w:ascii="Cambria Math" w:eastAsia="DengXian" w:hAnsi="Cambria Math"/>
                <w:i/>
              </w:rPr>
            </m:ctrlPr>
          </m:sSubPr>
          <m:e>
            <m:r>
              <w:rPr>
                <w:rFonts w:ascii="Cambria Math" w:eastAsia="DengXian" w:hAnsi="Cambria Math"/>
                <w:lang w:eastAsia="zh-CN"/>
              </w:rPr>
              <m:t>a</m:t>
            </m:r>
          </m:e>
          <m:sub>
            <m:r>
              <w:rPr>
                <w:rFonts w:ascii="Cambria Math" w:eastAsia="DengXian" w:hAnsi="Cambria Math"/>
                <w:lang w:eastAsia="zh-CN"/>
              </w:rPr>
              <m:t>0</m:t>
            </m:r>
          </m:sub>
        </m:sSub>
        <m:r>
          <w:rPr>
            <w:rFonts w:ascii="Cambria Math" w:eastAsia="DengXian" w:hAnsi="Cambria Math"/>
            <w:lang w:eastAsia="zh-CN"/>
          </w:rPr>
          <m:t xml:space="preserve">, </m:t>
        </m:r>
        <m:sSub>
          <m:sSubPr>
            <m:ctrlPr>
              <w:rPr>
                <w:rFonts w:ascii="Cambria Math" w:eastAsia="DengXian" w:hAnsi="Cambria Math"/>
                <w:i/>
              </w:rPr>
            </m:ctrlPr>
          </m:sSubPr>
          <m:e>
            <m:r>
              <w:rPr>
                <w:rFonts w:ascii="Cambria Math" w:eastAsia="DengXian" w:hAnsi="Cambria Math"/>
                <w:lang w:eastAsia="zh-CN"/>
              </w:rPr>
              <m:t>a</m:t>
            </m:r>
          </m:e>
          <m:sub>
            <m:r>
              <w:rPr>
                <w:rFonts w:ascii="Cambria Math" w:eastAsia="DengXian" w:hAnsi="Cambria Math"/>
                <w:lang w:eastAsia="zh-CN"/>
              </w:rPr>
              <m:t>1</m:t>
            </m:r>
          </m:sub>
        </m:sSub>
        <m:r>
          <w:rPr>
            <w:rFonts w:ascii="Cambria Math" w:eastAsia="DengXian" w:hAnsi="Cambria Math"/>
            <w:lang w:eastAsia="zh-CN"/>
          </w:rPr>
          <m:t xml:space="preserve">, </m:t>
        </m:r>
        <m:sSub>
          <m:sSubPr>
            <m:ctrlPr>
              <w:rPr>
                <w:rFonts w:ascii="Cambria Math" w:eastAsia="DengXian" w:hAnsi="Cambria Math"/>
                <w:i/>
              </w:rPr>
            </m:ctrlPr>
          </m:sSubPr>
          <m:e>
            <m:r>
              <w:rPr>
                <w:rFonts w:ascii="Cambria Math" w:eastAsia="DengXian" w:hAnsi="Cambria Math"/>
                <w:lang w:eastAsia="zh-CN"/>
              </w:rPr>
              <m:t>a</m:t>
            </m:r>
          </m:e>
          <m:sub>
            <m:r>
              <w:rPr>
                <w:rFonts w:ascii="Cambria Math" w:eastAsia="DengXian" w:hAnsi="Cambria Math"/>
                <w:lang w:eastAsia="zh-CN"/>
              </w:rPr>
              <m:t>2</m:t>
            </m:r>
          </m:sub>
        </m:sSub>
        <m:r>
          <w:rPr>
            <w:rFonts w:ascii="Cambria Math" w:eastAsia="DengXian" w:hAnsi="Cambria Math"/>
            <w:lang w:eastAsia="zh-CN"/>
          </w:rPr>
          <m:t xml:space="preserve">, </m:t>
        </m:r>
        <m:sSub>
          <m:sSubPr>
            <m:ctrlPr>
              <w:rPr>
                <w:rFonts w:ascii="Cambria Math" w:eastAsia="DengXian" w:hAnsi="Cambria Math"/>
                <w:i/>
              </w:rPr>
            </m:ctrlPr>
          </m:sSubPr>
          <m:e>
            <m:r>
              <w:rPr>
                <w:rFonts w:ascii="Cambria Math" w:eastAsia="DengXian" w:hAnsi="Cambria Math"/>
                <w:lang w:eastAsia="zh-CN"/>
              </w:rPr>
              <m:t>a</m:t>
            </m:r>
          </m:e>
          <m:sub>
            <m:r>
              <w:rPr>
                <w:rFonts w:ascii="Cambria Math" w:eastAsia="DengXian" w:hAnsi="Cambria Math"/>
                <w:lang w:eastAsia="zh-CN"/>
              </w:rPr>
              <m:t>3</m:t>
            </m:r>
          </m:sub>
        </m:sSub>
        <m:r>
          <w:rPr>
            <w:rFonts w:ascii="Cambria Math" w:eastAsia="DengXian" w:hAnsi="Cambria Math"/>
            <w:lang w:eastAsia="zh-CN"/>
          </w:rPr>
          <m:t>, …,</m:t>
        </m:r>
        <m:r>
          <m:rPr>
            <m:sty m:val="p"/>
          </m:rPr>
          <w:rPr>
            <w:rFonts w:ascii="Cambria Math" w:eastAsia="DengXian" w:hAnsi="Cambria Math"/>
            <w:lang w:eastAsia="zh-CN"/>
          </w:rPr>
          <m:t xml:space="preserve"> </m:t>
        </m:r>
        <m:sSub>
          <m:sSubPr>
            <m:ctrlPr>
              <w:rPr>
                <w:rFonts w:ascii="Cambria Math" w:eastAsia="DengXian" w:hAnsi="Cambria Math"/>
                <w:i/>
              </w:rPr>
            </m:ctrlPr>
          </m:sSubPr>
          <m:e>
            <m:r>
              <w:rPr>
                <w:rFonts w:ascii="Cambria Math" w:eastAsia="DengXian" w:hAnsi="Cambria Math"/>
                <w:lang w:eastAsia="zh-CN"/>
              </w:rPr>
              <m:t>a</m:t>
            </m:r>
          </m:e>
          <m:sub>
            <m:r>
              <w:rPr>
                <w:rFonts w:ascii="Cambria Math" w:eastAsia="DengXian" w:hAnsi="Cambria Math"/>
                <w:lang w:eastAsia="zh-CN"/>
              </w:rPr>
              <m:t>11</m:t>
            </m:r>
          </m:sub>
        </m:sSub>
      </m:oMath>
      <w:r w:rsidRPr="001E2A52">
        <w:rPr>
          <w:rFonts w:eastAsia="DengXian"/>
          <w:lang w:eastAsia="zh-CN"/>
        </w:rPr>
        <w:t xml:space="preserve"> in the PSBCH payload to indicate </w:t>
      </w:r>
      <w:r w:rsidRPr="001E2A52">
        <w:rPr>
          <w:i/>
        </w:rPr>
        <w:t>sl-TDD-Config</w:t>
      </w:r>
      <w:r w:rsidRPr="001E2A52">
        <w:rPr>
          <w:rFonts w:eastAsia="DengXian"/>
          <w:lang w:eastAsia="zh-CN"/>
        </w:rPr>
        <w:t xml:space="preserve"> and provide a slot format over a number of slots</w:t>
      </w:r>
      <w:r w:rsidR="00691237">
        <w:rPr>
          <w:rFonts w:eastAsia="DengXian"/>
          <w:lang w:eastAsia="zh-CN"/>
        </w:rPr>
        <w:t>.</w:t>
      </w:r>
    </w:p>
    <w:p w14:paraId="53899DE1" w14:textId="0F5F897B" w:rsidR="00691237" w:rsidRDefault="00691237" w:rsidP="00691237">
      <w:pPr>
        <w:jc w:val="both"/>
        <w:rPr>
          <w:rFonts w:eastAsiaTheme="minorEastAsia"/>
          <w:lang w:eastAsia="zh-CN"/>
        </w:rPr>
      </w:pPr>
      <w:r>
        <w:rPr>
          <w:rFonts w:eastAsia="DengXian"/>
          <w:lang w:eastAsia="zh-CN"/>
        </w:rPr>
        <w:t xml:space="preserve">For paired spectrum, or if </w:t>
      </w:r>
      <w:r w:rsidRPr="005D6701">
        <w:rPr>
          <w:i/>
        </w:rPr>
        <w:t>tdd-UL-DL-ConfigurationCommon</w:t>
      </w:r>
      <w:r>
        <w:rPr>
          <w:rFonts w:eastAsiaTheme="minorEastAsia" w:hint="eastAsia"/>
          <w:lang w:eastAsia="zh-CN"/>
        </w:rPr>
        <w:t xml:space="preserve"> </w:t>
      </w:r>
      <w:r>
        <w:rPr>
          <w:rFonts w:eastAsiaTheme="minorEastAsia"/>
          <w:lang w:eastAsia="zh-CN"/>
        </w:rPr>
        <w:t>and</w:t>
      </w:r>
      <w:r>
        <w:rPr>
          <w:rFonts w:eastAsiaTheme="minorEastAsia" w:hint="eastAsia"/>
          <w:lang w:eastAsia="zh-CN"/>
        </w:rPr>
        <w:t xml:space="preserve"> </w:t>
      </w:r>
      <w:r w:rsidRPr="000B4D68">
        <w:rPr>
          <w:rFonts w:eastAsia="Gulim"/>
          <w:i/>
          <w:iCs/>
          <w:lang w:eastAsia="ko-KR"/>
        </w:rPr>
        <w:t>sl-TDD-Configuration</w:t>
      </w:r>
      <w:r>
        <w:rPr>
          <w:rFonts w:eastAsiaTheme="minorEastAsia" w:hint="eastAsia"/>
          <w:lang w:eastAsia="zh-CN"/>
        </w:rPr>
        <w:t xml:space="preserve"> </w:t>
      </w:r>
      <w:r>
        <w:rPr>
          <w:rFonts w:eastAsiaTheme="minorEastAsia"/>
          <w:lang w:eastAsia="zh-CN"/>
        </w:rPr>
        <w:t>are not</w:t>
      </w:r>
      <w:r>
        <w:rPr>
          <w:rFonts w:eastAsiaTheme="minorEastAsia" w:hint="eastAsia"/>
          <w:lang w:eastAsia="zh-CN"/>
        </w:rPr>
        <w:t xml:space="preserve"> provided for a spectrum indicated with only PC5 interface in Table 5.2E.1-1 </w:t>
      </w:r>
      <w:r>
        <w:rPr>
          <w:rFonts w:eastAsiaTheme="minorEastAsia"/>
          <w:lang w:eastAsia="zh-CN"/>
        </w:rPr>
        <w:t>in</w:t>
      </w:r>
      <w:r>
        <w:rPr>
          <w:rFonts w:eastAsiaTheme="minorEastAsia" w:hint="eastAsia"/>
          <w:lang w:eastAsia="zh-CN"/>
        </w:rPr>
        <w:t xml:space="preserve"> [TS 38.101-1]</w:t>
      </w:r>
      <w:r>
        <w:rPr>
          <w:rFonts w:eastAsiaTheme="minorEastAsia"/>
          <w:lang w:eastAsia="zh-CN"/>
        </w:rPr>
        <w:t>,</w:t>
      </w:r>
      <w:r>
        <w:rPr>
          <w:rFonts w:eastAsiaTheme="minorEastAsia" w:hint="eastAsia"/>
          <w:lang w:eastAsia="zh-CN"/>
        </w:rPr>
        <w:t xml:space="preserve"> </w:t>
      </w:r>
    </w:p>
    <w:p w14:paraId="617A9D7F" w14:textId="76B448F7" w:rsidR="00691237" w:rsidRPr="00A31DA3" w:rsidRDefault="00691237" w:rsidP="00691237">
      <w:pPr>
        <w:pStyle w:val="B1"/>
        <w:ind w:leftChars="142"/>
        <w:rPr>
          <w:rFonts w:eastAsiaTheme="minorEastAsia"/>
          <w:lang w:val="en-US" w:eastAsia="zh-CN"/>
        </w:rPr>
      </w:pPr>
      <w:r w:rsidRPr="005D6701">
        <w:t>-</w:t>
      </w:r>
      <w:r w:rsidRPr="005D6701">
        <w:tab/>
      </w:r>
      <m:oMath>
        <m:sSub>
          <m:sSubPr>
            <m:ctrlPr>
              <w:rPr>
                <w:rFonts w:ascii="Cambria Math" w:hAnsi="Cambria Math"/>
              </w:rPr>
            </m:ctrlPr>
          </m:sSubPr>
          <m:e>
            <m:r>
              <w:rPr>
                <w:rFonts w:ascii="Cambria Math" w:hAnsi="Cambria Math"/>
              </w:rPr>
              <m:t>a</m:t>
            </m:r>
          </m:e>
          <m:sub>
            <m:r>
              <m:rPr>
                <m:sty m:val="p"/>
              </m:rP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4</m:t>
            </m:r>
          </m:sub>
        </m:sSub>
        <m:sSub>
          <m:sSubPr>
            <m:ctrlPr>
              <w:rPr>
                <w:rFonts w:ascii="Cambria Math" w:hAnsi="Cambria Math"/>
              </w:rPr>
            </m:ctrlPr>
          </m:sSubPr>
          <m:e>
            <m:r>
              <w:rPr>
                <w:rFonts w:ascii="Cambria Math" w:hAnsi="Cambria Math"/>
              </w:rPr>
              <m:t>, a</m:t>
            </m:r>
          </m:e>
          <m:sub>
            <m:r>
              <m:rPr>
                <m:sty m:val="p"/>
              </m:rPr>
              <w:rPr>
                <w:rFonts w:ascii="Cambria Math" w:hAnsi="Cambria Math"/>
              </w:rPr>
              <m:t>5</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6</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8</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9</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11</m:t>
            </m:r>
          </m:sub>
        </m:sSub>
      </m:oMath>
      <w:r>
        <w:rPr>
          <w:rFonts w:eastAsiaTheme="minorEastAsia" w:hint="eastAsia"/>
          <w:lang w:eastAsia="zh-CN"/>
        </w:rPr>
        <w:t xml:space="preserve"> are set to</w:t>
      </w:r>
      <w:r>
        <w:rPr>
          <w:rFonts w:eastAsiaTheme="minorEastAsia"/>
          <w:lang w:val="en-US" w:eastAsia="zh-CN"/>
        </w:rPr>
        <w:t xml:space="preserve"> '</w:t>
      </w:r>
      <w:r>
        <w:rPr>
          <w:rFonts w:eastAsiaTheme="minorEastAsia" w:hint="eastAsia"/>
          <w:lang w:eastAsia="zh-CN"/>
        </w:rPr>
        <w:t>1</w:t>
      </w:r>
      <w:r>
        <w:rPr>
          <w:rFonts w:eastAsiaTheme="minorEastAsia"/>
          <w:lang w:val="en-US" w:eastAsia="zh-CN"/>
        </w:rPr>
        <w:t>'</w:t>
      </w:r>
      <w:r>
        <w:rPr>
          <w:rFonts w:eastAsiaTheme="minorEastAsia" w:hint="eastAsia"/>
          <w:lang w:eastAsia="zh-CN"/>
        </w:rPr>
        <w:t>;</w:t>
      </w:r>
    </w:p>
    <w:p w14:paraId="2685DBC5" w14:textId="37F90C65" w:rsidR="00691237" w:rsidRPr="001E2A52" w:rsidRDefault="00691237" w:rsidP="00691237">
      <w:pPr>
        <w:jc w:val="both"/>
        <w:rPr>
          <w:rFonts w:eastAsia="DengXian"/>
          <w:lang w:eastAsia="zh-CN"/>
        </w:rPr>
      </w:pPr>
      <w:r>
        <w:rPr>
          <w:rFonts w:eastAsia="DengXian"/>
          <w:lang w:eastAsia="zh-CN"/>
        </w:rPr>
        <w:t>else</w:t>
      </w:r>
    </w:p>
    <w:p w14:paraId="33C12CFE" w14:textId="0AB66AD2" w:rsidR="003638A6" w:rsidRPr="00FA0DC9" w:rsidRDefault="003638A6" w:rsidP="003638A6">
      <w:pPr>
        <w:pStyle w:val="B1"/>
        <w:rPr>
          <w:lang w:val="en-US"/>
        </w:rPr>
      </w:pPr>
      <w:r w:rsidRPr="0068348F">
        <w:t>-</w:t>
      </w:r>
      <w:r w:rsidRPr="0068348F">
        <w:tab/>
      </w:r>
      <m:oMath>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=0</m:t>
        </m:r>
      </m:oMath>
      <w:r w:rsidRPr="00FA0DC9">
        <w:t xml:space="preserve"> if </w:t>
      </w:r>
      <w:r w:rsidRPr="00FA0DC9">
        <w:rPr>
          <w:i/>
        </w:rPr>
        <w:t>pattern1</w:t>
      </w:r>
      <w:r w:rsidRPr="00FA0DC9">
        <w:t xml:space="preserve"> </w:t>
      </w:r>
      <w:r w:rsidRPr="00FA0DC9">
        <w:rPr>
          <w:lang w:val="en-US"/>
        </w:rPr>
        <w:t>is</w:t>
      </w:r>
      <w:r w:rsidRPr="00FA0DC9">
        <w:t xml:space="preserve"> provided by</w:t>
      </w:r>
      <w:r w:rsidR="009F6EA2">
        <w:rPr>
          <w:lang w:val="en-US"/>
        </w:rPr>
        <w:t xml:space="preserve"> </w:t>
      </w:r>
      <w:r w:rsidR="009F6EA2" w:rsidRPr="00F67668">
        <w:rPr>
          <w:rFonts w:eastAsiaTheme="minorEastAsia"/>
          <w:i/>
          <w:kern w:val="2"/>
          <w:sz w:val="21"/>
          <w:szCs w:val="22"/>
          <w:lang w:val="en-US"/>
        </w:rPr>
        <w:t>sl-TDD-Configuration</w:t>
      </w:r>
      <w:r w:rsidR="009F6EA2" w:rsidRPr="00104BB9">
        <w:rPr>
          <w:rFonts w:eastAsiaTheme="minorEastAsia"/>
          <w:iCs/>
          <w:kern w:val="2"/>
          <w:sz w:val="21"/>
          <w:szCs w:val="22"/>
          <w:lang w:val="en-US"/>
        </w:rPr>
        <w:t xml:space="preserve"> or</w:t>
      </w:r>
      <w:r w:rsidRPr="009F6EA2">
        <w:rPr>
          <w:iCs/>
        </w:rPr>
        <w:t xml:space="preserve"> </w:t>
      </w:r>
      <w:r>
        <w:rPr>
          <w:i/>
          <w:lang w:val="en-US"/>
        </w:rPr>
        <w:t>tdd</w:t>
      </w:r>
      <w:r w:rsidRPr="00FA0DC9">
        <w:rPr>
          <w:i/>
        </w:rPr>
        <w:t>-UL-DL-</w:t>
      </w:r>
      <w:r>
        <w:rPr>
          <w:i/>
          <w:lang w:val="en-US"/>
        </w:rPr>
        <w:t>Configuration</w:t>
      </w:r>
      <w:r w:rsidRPr="00FA0DC9">
        <w:rPr>
          <w:i/>
        </w:rPr>
        <w:t>Common</w:t>
      </w:r>
      <w:r w:rsidRPr="00FA0DC9">
        <w:rPr>
          <w:lang w:val="en-US"/>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=1</m:t>
        </m:r>
      </m:oMath>
      <w:r w:rsidRPr="00FA0DC9">
        <w:t xml:space="preserve"> if both </w:t>
      </w:r>
      <w:r w:rsidRPr="00FA0DC9">
        <w:rPr>
          <w:i/>
        </w:rPr>
        <w:t>pattern1</w:t>
      </w:r>
      <w:r w:rsidRPr="00FA0DC9">
        <w:t xml:space="preserve"> and </w:t>
      </w:r>
      <w:r w:rsidRPr="00FA0DC9">
        <w:rPr>
          <w:i/>
        </w:rPr>
        <w:t>pattern2</w:t>
      </w:r>
      <w:r w:rsidRPr="00FA0DC9">
        <w:t xml:space="preserve"> are provided by </w:t>
      </w:r>
      <w:r w:rsidR="009F6EA2" w:rsidRPr="00F67668">
        <w:rPr>
          <w:rFonts w:eastAsiaTheme="minorEastAsia"/>
          <w:i/>
          <w:kern w:val="2"/>
          <w:sz w:val="21"/>
          <w:szCs w:val="22"/>
          <w:lang w:val="en-US"/>
        </w:rPr>
        <w:t>sl-TDD-Configuration</w:t>
      </w:r>
      <w:r w:rsidR="009F6EA2" w:rsidRPr="00104BB9">
        <w:rPr>
          <w:rFonts w:eastAsiaTheme="minorEastAsia"/>
          <w:iCs/>
          <w:kern w:val="2"/>
          <w:sz w:val="21"/>
          <w:szCs w:val="22"/>
          <w:lang w:val="en-US"/>
        </w:rPr>
        <w:t xml:space="preserve"> or</w:t>
      </w:r>
      <w:r w:rsidR="009F6EA2" w:rsidRPr="00104BB9">
        <w:rPr>
          <w:iCs/>
          <w:lang w:val="en-US"/>
        </w:rPr>
        <w:t xml:space="preserve"> </w:t>
      </w:r>
      <w:r>
        <w:rPr>
          <w:i/>
          <w:lang w:val="en-US"/>
        </w:rPr>
        <w:t>tdd</w:t>
      </w:r>
      <w:r w:rsidRPr="00FA0DC9">
        <w:rPr>
          <w:i/>
        </w:rPr>
        <w:t>-UL-DL-Config</w:t>
      </w:r>
      <w:r>
        <w:rPr>
          <w:i/>
          <w:lang w:val="en-US"/>
        </w:rPr>
        <w:t>uration</w:t>
      </w:r>
      <w:r w:rsidRPr="00FA0DC9">
        <w:rPr>
          <w:i/>
        </w:rPr>
        <w:t>Common</w:t>
      </w:r>
      <w:r w:rsidRPr="00FA0DC9">
        <w:t xml:space="preserve"> as described </w:t>
      </w:r>
      <w:r w:rsidR="006F5F9E">
        <w:t>in clause</w:t>
      </w:r>
      <w:r w:rsidRPr="00FA0DC9">
        <w:t xml:space="preserve"> 11.1</w:t>
      </w:r>
    </w:p>
    <w:p w14:paraId="14E7C8D2" w14:textId="77777777" w:rsidR="003638A6" w:rsidRPr="002368C9" w:rsidRDefault="003638A6" w:rsidP="003638A6">
      <w:pPr>
        <w:pStyle w:val="B1"/>
        <w:rPr>
          <w:lang w:val="en-US"/>
        </w:rPr>
      </w:pPr>
      <w:r w:rsidRPr="0068348F">
        <w:t>-</w:t>
      </w:r>
      <w:r w:rsidRPr="0068348F">
        <w:tab/>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4</m:t>
            </m:r>
          </m:sub>
        </m:sSub>
      </m:oMath>
      <w:r w:rsidRPr="002368C9">
        <w:t xml:space="preserve"> are determined based on</w:t>
      </w:r>
    </w:p>
    <w:p w14:paraId="1B0FCAC7" w14:textId="77777777" w:rsidR="003638A6" w:rsidRDefault="003638A6" w:rsidP="005A1C83">
      <w:pPr>
        <w:pStyle w:val="B2"/>
      </w:pPr>
      <w:r w:rsidRPr="0068348F">
        <w:t>-</w:t>
      </w:r>
      <w:r w:rsidRPr="0068348F">
        <w:tab/>
      </w:r>
      <m:oMath>
        <m:r>
          <w:rPr>
            <w:rFonts w:ascii="Cambria Math" w:hAnsi="Cambria Math"/>
          </w:rPr>
          <m:t>P</m:t>
        </m:r>
      </m:oMath>
      <w:r w:rsidRPr="00FA0DC9">
        <w:rPr>
          <w:iCs/>
        </w:rPr>
        <w:t xml:space="preserve"> in </w:t>
      </w:r>
      <w:r w:rsidRPr="00FA0DC9">
        <w:rPr>
          <w:i/>
        </w:rPr>
        <w:t xml:space="preserve">pattern1 </w:t>
      </w:r>
      <w:r w:rsidRPr="00FA0DC9">
        <w:t>as described in Table 16.</w:t>
      </w:r>
      <w:r w:rsidRPr="00FA0DC9">
        <w:rPr>
          <w:lang w:val="en-US"/>
        </w:rPr>
        <w:t>1</w:t>
      </w:r>
      <w:r w:rsidRPr="00FA0DC9">
        <w:t xml:space="preserve">-1 for </w:t>
      </w:r>
      <m:oMath>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=0</m:t>
        </m:r>
      </m:oMath>
      <w:r w:rsidRPr="00FA0DC9">
        <w:t xml:space="preserve"> </w:t>
      </w:r>
    </w:p>
    <w:p w14:paraId="47E2E765" w14:textId="77777777" w:rsidR="003638A6" w:rsidRDefault="003638A6" w:rsidP="005A1C83">
      <w:pPr>
        <w:pStyle w:val="B2"/>
      </w:pPr>
      <w:r w:rsidRPr="0068348F">
        <w:t>-</w:t>
      </w:r>
      <w:r w:rsidRPr="0068348F">
        <w:tab/>
      </w:r>
      <m:oMath>
        <m:r>
          <w:rPr>
            <w:rFonts w:ascii="Cambria Math" w:hAnsi="Cambria Math"/>
          </w:rPr>
          <m:t>P</m:t>
        </m:r>
      </m:oMath>
      <w:r w:rsidRPr="00FA0DC9">
        <w:rPr>
          <w:iCs/>
        </w:rPr>
        <w:t xml:space="preserve"> in </w:t>
      </w:r>
      <w:r w:rsidRPr="00FA0DC9">
        <w:rPr>
          <w:i/>
        </w:rPr>
        <w:t xml:space="preserve">pattern1 </w:t>
      </w:r>
      <w:r w:rsidRPr="00FA0DC9">
        <w:t>and</w:t>
      </w:r>
      <w:r w:rsidRPr="00FA0DC9">
        <w:rPr>
          <w:i/>
        </w:rPr>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FA0DC9">
        <w:rPr>
          <w:i/>
        </w:rPr>
        <w:t xml:space="preserve"> in pattern2 </w:t>
      </w:r>
      <w:r w:rsidRPr="00FA0DC9">
        <w:t>as described in Table 16.</w:t>
      </w:r>
      <w:r w:rsidRPr="00FA0DC9">
        <w:rPr>
          <w:lang w:val="en-US"/>
        </w:rPr>
        <w:t>1</w:t>
      </w:r>
      <w:r w:rsidRPr="00FA0DC9">
        <w:t xml:space="preserve">-2 for </w:t>
      </w:r>
      <m:oMath>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=1</m:t>
        </m:r>
      </m:oMath>
    </w:p>
    <w:p w14:paraId="66D3E2E2" w14:textId="478D1B6F" w:rsidR="003638A6" w:rsidRDefault="003638A6" w:rsidP="003638A6">
      <w:pPr>
        <w:pStyle w:val="B1"/>
        <w:ind w:firstLine="0"/>
      </w:pPr>
      <w:r w:rsidRPr="00FA0DC9">
        <w:lastRenderedPageBreak/>
        <w:t xml:space="preserve">where </w:t>
      </w:r>
      <m:oMath>
        <m:r>
          <w:rPr>
            <w:rFonts w:ascii="Cambria Math" w:hAnsi="Cambria Math"/>
          </w:rPr>
          <m:t>P</m:t>
        </m:r>
      </m:oMath>
      <w:r w:rsidRPr="00FA0DC9">
        <w:t xml:space="preserve"> and </w:t>
      </w: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Pr="00FA0DC9">
        <w:t xml:space="preserve"> are as described </w:t>
      </w:r>
      <w:r w:rsidR="006F5F9E">
        <w:t>in clause</w:t>
      </w:r>
      <w:r w:rsidRPr="00FA0DC9">
        <w:t xml:space="preserve"> 11.1</w:t>
      </w:r>
    </w:p>
    <w:p w14:paraId="69B3E618" w14:textId="77777777" w:rsidR="003638A6" w:rsidRDefault="003638A6" w:rsidP="003638A6">
      <w:pPr>
        <w:pStyle w:val="B1"/>
        <w:rPr>
          <w:iCs/>
          <w:lang w:val="en-US"/>
        </w:rPr>
      </w:pPr>
      <w:r w:rsidRPr="0068348F">
        <w:t>-</w:t>
      </w:r>
      <w:r w:rsidRPr="0068348F">
        <w:tab/>
      </w:r>
      <m:oMath>
        <m:sSub>
          <m:sSubPr>
            <m:ctrlPr>
              <w:rPr>
                <w:rFonts w:ascii="Cambria Math" w:hAnsi="Cambria Math"/>
              </w:rPr>
            </m:ctrlPr>
          </m:sSubPr>
          <m:e>
            <m:r>
              <w:rPr>
                <w:rFonts w:ascii="Cambria Math" w:hAnsi="Cambria Math"/>
              </w:rPr>
              <m:t>a</m:t>
            </m:r>
          </m:e>
          <m:sub>
            <m:r>
              <m:rPr>
                <m:sty m:val="p"/>
              </m:rPr>
              <w:rPr>
                <w:rFonts w:ascii="Cambria Math" w:hAnsi="Cambria Math"/>
              </w:rPr>
              <m:t>5</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6</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8</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9</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11</m:t>
            </m:r>
          </m:sub>
        </m:sSub>
      </m:oMath>
      <w:r w:rsidRPr="002368C9">
        <w:t xml:space="preserve"> are</w:t>
      </w:r>
      <w:r>
        <w:rPr>
          <w:lang w:val="en-US"/>
        </w:rPr>
        <w:t xml:space="preserve"> the</w:t>
      </w:r>
      <w:r w:rsidRPr="002368C9">
        <w:t xml:space="preserve"> </w:t>
      </w:r>
      <w:r>
        <w:rPr>
          <w:lang w:val="en-US"/>
        </w:rPr>
        <w:t>7th</w:t>
      </w:r>
      <w:r w:rsidRPr="002368C9">
        <w:t xml:space="preserve"> to </w:t>
      </w:r>
      <w:r>
        <w:rPr>
          <w:lang w:val="en-US"/>
        </w:rPr>
        <w:t>1st</w:t>
      </w:r>
      <w:r w:rsidRPr="002368C9">
        <w:t xml:space="preserve"> </w:t>
      </w:r>
      <w:r>
        <w:rPr>
          <w:lang w:val="en-US"/>
        </w:rPr>
        <w:t>L</w:t>
      </w:r>
      <w:r w:rsidRPr="002368C9">
        <w:t xml:space="preserve">SBs of </w:t>
      </w:r>
      <m:oMath>
        <m:sSubSup>
          <m:sSubSupPr>
            <m:ctrlPr>
              <w:rPr>
                <w:rFonts w:ascii="Cambria Math" w:hAnsi="Cambria Math"/>
                <w:iCs/>
              </w:rPr>
            </m:ctrlPr>
          </m:sSubSupPr>
          <m:e>
            <m:r>
              <w:rPr>
                <w:rFonts w:ascii="Cambria Math" w:hAnsi="Cambria Math"/>
              </w:rPr>
              <m:t>u</m:t>
            </m:r>
          </m:e>
          <m:sub>
            <m:r>
              <m:rPr>
                <m:sty m:val="p"/>
              </m:rPr>
              <w:rPr>
                <w:rFonts w:ascii="Cambria Math" w:hAnsi="Cambria Math"/>
              </w:rPr>
              <m:t>slots</m:t>
            </m:r>
          </m:sub>
          <m:sup>
            <m:r>
              <m:rPr>
                <m:sty m:val="p"/>
              </m:rPr>
              <w:rPr>
                <w:rFonts w:ascii="Cambria Math" w:hAnsi="Cambria Math"/>
              </w:rPr>
              <m:t>SL</m:t>
            </m:r>
          </m:sup>
        </m:sSubSup>
      </m:oMath>
      <w:r w:rsidRPr="002368C9">
        <w:rPr>
          <w:iCs/>
        </w:rPr>
        <w:t>, respectivel</w:t>
      </w:r>
      <w:r>
        <w:rPr>
          <w:iCs/>
          <w:lang w:val="en-US"/>
        </w:rPr>
        <w:t>y</w:t>
      </w:r>
    </w:p>
    <w:p w14:paraId="358F196F" w14:textId="77777777" w:rsidR="003638A6" w:rsidRDefault="003638A6" w:rsidP="005A1C83">
      <w:pPr>
        <w:pStyle w:val="B2"/>
        <w:rPr>
          <w:rFonts w:eastAsiaTheme="minorEastAsia"/>
          <w:lang w:eastAsia="zh-CN"/>
        </w:rPr>
      </w:pPr>
      <w:r w:rsidRPr="0068348F">
        <w:t>-</w:t>
      </w:r>
      <w:r w:rsidRPr="0068348F">
        <w:tab/>
      </w:r>
      <w:r>
        <w:rPr>
          <w:rFonts w:eastAsiaTheme="minorEastAsia"/>
          <w:lang w:eastAsia="zh-CN"/>
        </w:rPr>
        <w:t xml:space="preserve">for </w:t>
      </w:r>
      <m:oMath>
        <m:sSub>
          <m:sSubPr>
            <m:ctrlPr>
              <w:rPr>
                <w:rFonts w:ascii="Cambria Math" w:eastAsiaTheme="minorEastAsia" w:hAnsi="Cambria Math"/>
                <w:lang w:eastAsia="zh-CN"/>
              </w:rPr>
            </m:ctrlPr>
          </m:sSubPr>
          <m:e>
            <m:r>
              <w:rPr>
                <w:rFonts w:ascii="Cambria Math" w:eastAsiaTheme="minorEastAsia" w:hAnsi="Cambria Math"/>
                <w:lang w:eastAsia="zh-CN"/>
              </w:rPr>
              <m:t>a</m:t>
            </m:r>
          </m:e>
          <m:sub>
            <m:r>
              <m:rPr>
                <m:sty m:val="p"/>
              </m:rPr>
              <w:rPr>
                <w:rFonts w:ascii="Cambria Math" w:eastAsiaTheme="minorEastAsia" w:hAnsi="Cambria Math"/>
                <w:lang w:eastAsia="zh-CN"/>
              </w:rPr>
              <m:t>0</m:t>
            </m:r>
          </m:sub>
        </m:sSub>
        <m:r>
          <m:rPr>
            <m:sty m:val="p"/>
          </m:rPr>
          <w:rPr>
            <w:rFonts w:ascii="Cambria Math" w:eastAsiaTheme="minorEastAsia" w:hAnsi="Cambria Math"/>
            <w:lang w:eastAsia="zh-CN"/>
          </w:rPr>
          <m:t>=0</m:t>
        </m:r>
      </m:oMath>
      <w:r>
        <w:rPr>
          <w:rFonts w:eastAsiaTheme="minorEastAsia"/>
          <w:lang w:eastAsia="zh-CN"/>
        </w:rPr>
        <w:t xml:space="preserve">, </w:t>
      </w:r>
      <m:oMath>
        <m:sSubSup>
          <m:sSubSupPr>
            <m:ctrlPr>
              <w:rPr>
                <w:rFonts w:ascii="Cambria Math" w:eastAsiaTheme="minorEastAsia" w:hAnsi="Cambria Math"/>
                <w:lang w:eastAsia="zh-CN"/>
              </w:rPr>
            </m:ctrlPr>
          </m:sSubSupPr>
          <m:e>
            <m:r>
              <w:rPr>
                <w:rFonts w:ascii="Cambria Math" w:eastAsiaTheme="minorEastAsia" w:hAnsi="Cambria Math"/>
                <w:lang w:eastAsia="zh-CN"/>
              </w:rPr>
              <m:t>u</m:t>
            </m:r>
          </m:e>
          <m:sub>
            <m:r>
              <m:rPr>
                <m:sty m:val="p"/>
              </m:rPr>
              <w:rPr>
                <w:rFonts w:ascii="Cambria Math" w:eastAsiaTheme="minorEastAsia" w:hAnsi="Cambria Math"/>
                <w:lang w:eastAsia="zh-CN"/>
              </w:rPr>
              <m:t>slots</m:t>
            </m:r>
          </m:sub>
          <m:sup>
            <m:r>
              <m:rPr>
                <m:sty m:val="p"/>
              </m:rPr>
              <w:rPr>
                <w:rFonts w:ascii="Cambria Math" w:eastAsiaTheme="minorEastAsia" w:hAnsi="Cambria Math"/>
                <w:lang w:eastAsia="zh-CN"/>
              </w:rPr>
              <m:t>SL</m:t>
            </m:r>
          </m:sup>
        </m:sSubSup>
        <m:r>
          <m:rPr>
            <m:sty m:val="p"/>
          </m:rPr>
          <w:rPr>
            <w:rFonts w:ascii="Cambria Math" w:eastAsiaTheme="minorEastAsia" w:hAnsi="Cambria Math"/>
            <w:lang w:eastAsia="zh-CN"/>
          </w:rPr>
          <m:t>=</m:t>
        </m:r>
        <m:sSub>
          <m:sSubPr>
            <m:ctrlPr>
              <w:rPr>
                <w:rFonts w:ascii="Cambria Math" w:eastAsiaTheme="minorEastAsia" w:hAnsi="Cambria Math"/>
                <w:lang w:eastAsia="zh-CN"/>
              </w:rPr>
            </m:ctrlPr>
          </m:sSubPr>
          <m:e>
            <m:r>
              <w:rPr>
                <w:rFonts w:ascii="Cambria Math" w:eastAsiaTheme="minorEastAsia" w:hAnsi="Cambria Math"/>
                <w:lang w:eastAsia="zh-CN"/>
              </w:rPr>
              <m:t>u</m:t>
            </m:r>
          </m:e>
          <m:sub>
            <m:r>
              <m:rPr>
                <m:sty m:val="p"/>
              </m:rPr>
              <w:rPr>
                <w:rFonts w:ascii="Cambria Math" w:eastAsiaTheme="minorEastAsia" w:hAnsi="Cambria Math"/>
                <w:lang w:eastAsia="zh-CN"/>
              </w:rPr>
              <m:t>slots</m:t>
            </m:r>
          </m:sub>
        </m:sSub>
        <m:r>
          <m:rPr>
            <m:sty m:val="p"/>
          </m:rPr>
          <w:rPr>
            <w:rFonts w:ascii="Cambria Math" w:hAnsi="Cambria Math"/>
          </w:rPr>
          <m:t>*</m:t>
        </m:r>
        <m:sSup>
          <m:sSupPr>
            <m:ctrlPr>
              <w:rPr>
                <w:rFonts w:ascii="Cambria Math" w:eastAsia="DengXian" w:hAnsi="Cambria Math" w:cs="Calibri"/>
                <w:bCs/>
                <w:iCs/>
              </w:rPr>
            </m:ctrlPr>
          </m:sSupPr>
          <m:e>
            <m:r>
              <m:rPr>
                <m:sty m:val="p"/>
              </m:rPr>
              <w:rPr>
                <w:rFonts w:ascii="Cambria Math" w:hAnsi="Cambria Math"/>
              </w:rPr>
              <m:t>2</m:t>
            </m:r>
          </m:e>
          <m:sup>
            <m:r>
              <w:rPr>
                <w:rFonts w:ascii="Cambria Math" w:hAnsi="Cambria Math"/>
              </w:rPr>
              <m:t>μ</m:t>
            </m:r>
            <m:r>
              <m:rPr>
                <m:sty m:val="p"/>
              </m:rPr>
              <w:rPr>
                <w:rFonts w:ascii="Cambria Math" w:hAnsi="Cambria Math"/>
              </w:rPr>
              <m:t>-</m:t>
            </m:r>
            <m:sSub>
              <m:sSubPr>
                <m:ctrlPr>
                  <w:rPr>
                    <w:rFonts w:ascii="Cambria Math" w:hAnsi="Cambria Math"/>
                    <w:iCs/>
                  </w:rPr>
                </m:ctrlPr>
              </m:sSubPr>
              <m:e>
                <m:r>
                  <w:rPr>
                    <w:rFonts w:ascii="Cambria Math" w:hAnsi="Cambria Math"/>
                  </w:rPr>
                  <m:t>μ</m:t>
                </m:r>
              </m:e>
              <m:sub>
                <m:r>
                  <m:rPr>
                    <m:sty m:val="p"/>
                  </m:rPr>
                  <w:rPr>
                    <w:rFonts w:ascii="Cambria Math" w:hAnsi="Cambria Math"/>
                  </w:rPr>
                  <m:t>ref</m:t>
                </m:r>
              </m:sub>
            </m:sSub>
          </m:sup>
        </m:sSup>
        <m:r>
          <m:rPr>
            <m:sty m:val="p"/>
          </m:rPr>
          <w:rPr>
            <w:rFonts w:ascii="Cambria Math" w:eastAsiaTheme="minorEastAsia" w:hAnsi="Cambria Math"/>
            <w:lang w:eastAsia="zh-CN"/>
          </w:rPr>
          <m:t>+</m:t>
        </m:r>
        <m:d>
          <m:dPr>
            <m:begChr m:val="⌊"/>
            <m:endChr m:val="⌋"/>
            <m:ctrlPr>
              <w:rPr>
                <w:rFonts w:ascii="Cambria Math" w:eastAsiaTheme="minorEastAsia" w:hAnsi="Cambria Math"/>
                <w:lang w:eastAsia="zh-CN"/>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u</m:t>
                    </m:r>
                  </m:e>
                  <m:sub>
                    <m:r>
                      <m:rPr>
                        <m:sty m:val="p"/>
                      </m:rPr>
                      <w:rPr>
                        <w:rFonts w:ascii="Cambria Math" w:hAnsi="Cambria Math"/>
                      </w:rPr>
                      <m:t>sym</m:t>
                    </m:r>
                  </m:sub>
                </m:sSub>
                <m:r>
                  <m:rPr>
                    <m:sty m:val="p"/>
                  </m:rPr>
                  <w:rPr>
                    <w:rFonts w:ascii="Cambria Math" w:hAnsi="Cambria Math"/>
                  </w:rPr>
                  <m:t>*</m:t>
                </m:r>
                <m:sSup>
                  <m:sSupPr>
                    <m:ctrlPr>
                      <w:rPr>
                        <w:rFonts w:ascii="Cambria Math" w:eastAsia="DengXian" w:hAnsi="Cambria Math" w:cs="Calibri"/>
                        <w:bCs/>
                        <w:iCs/>
                      </w:rPr>
                    </m:ctrlPr>
                  </m:sSupPr>
                  <m:e>
                    <m:r>
                      <m:rPr>
                        <m:sty m:val="p"/>
                      </m:rPr>
                      <w:rPr>
                        <w:rFonts w:ascii="Cambria Math" w:hAnsi="Cambria Math"/>
                      </w:rPr>
                      <m:t>2</m:t>
                    </m:r>
                  </m:e>
                  <m:sup>
                    <m:r>
                      <w:rPr>
                        <w:rFonts w:ascii="Cambria Math" w:hAnsi="Cambria Math"/>
                      </w:rPr>
                      <m:t>μ</m:t>
                    </m:r>
                    <m:r>
                      <m:rPr>
                        <m:sty m:val="p"/>
                      </m:rPr>
                      <w:rPr>
                        <w:rFonts w:ascii="Cambria Math" w:hAnsi="Cambria Math"/>
                      </w:rPr>
                      <m:t>-</m:t>
                    </m:r>
                    <m:sSub>
                      <m:sSubPr>
                        <m:ctrlPr>
                          <w:rPr>
                            <w:rFonts w:ascii="Cambria Math" w:hAnsi="Cambria Math"/>
                            <w:iCs/>
                          </w:rPr>
                        </m:ctrlPr>
                      </m:sSubPr>
                      <m:e>
                        <m:r>
                          <w:rPr>
                            <w:rFonts w:ascii="Cambria Math" w:hAnsi="Cambria Math"/>
                          </w:rPr>
                          <m:t>μ</m:t>
                        </m:r>
                      </m:e>
                      <m:sub>
                        <m:r>
                          <m:rPr>
                            <m:sty m:val="p"/>
                          </m:rPr>
                          <w:rPr>
                            <w:rFonts w:ascii="Cambria Math" w:hAnsi="Cambria Math"/>
                          </w:rPr>
                          <m:t>ref</m:t>
                        </m:r>
                      </m:sub>
                    </m:sSub>
                  </m:sup>
                </m:sSup>
              </m:num>
              <m:den>
                <m:r>
                  <w:rPr>
                    <w:rFonts w:ascii="Cambria Math" w:hAnsi="Cambria Math"/>
                  </w:rPr>
                  <m:t>L</m:t>
                </m:r>
              </m:den>
            </m:f>
          </m:e>
        </m:d>
        <m:r>
          <m:rPr>
            <m:sty m:val="p"/>
          </m:rPr>
          <w:rPr>
            <w:rFonts w:ascii="Cambria Math" w:hAnsi="Cambria Math"/>
          </w:rPr>
          <m:t>+</m:t>
        </m:r>
        <m:sSub>
          <m:sSubPr>
            <m:ctrlPr>
              <w:rPr>
                <w:rFonts w:ascii="Cambria Math" w:hAnsi="Cambria Math"/>
                <w:iCs/>
              </w:rPr>
            </m:ctrlPr>
          </m:sSubPr>
          <m:e>
            <m:r>
              <w:rPr>
                <w:rFonts w:ascii="Cambria Math" w:hAnsi="Cambria Math"/>
              </w:rPr>
              <m:t>I</m:t>
            </m:r>
          </m:e>
          <m:sub>
            <m:r>
              <m:rPr>
                <m:sty m:val="p"/>
              </m:rPr>
              <w:rPr>
                <w:rFonts w:ascii="Cambria Math" w:hAnsi="Cambria Math"/>
              </w:rPr>
              <m:t>1</m:t>
            </m:r>
          </m:sub>
        </m:sSub>
      </m:oMath>
    </w:p>
    <w:p w14:paraId="4DCF94AF" w14:textId="77777777" w:rsidR="003638A6" w:rsidRPr="002368C9" w:rsidRDefault="003638A6" w:rsidP="005A1C83">
      <w:pPr>
        <w:pStyle w:val="B2"/>
      </w:pPr>
      <w:r w:rsidRPr="0068348F">
        <w:t>-</w:t>
      </w:r>
      <w:r w:rsidRPr="0068348F">
        <w:tab/>
      </w:r>
      <w:r>
        <w:rPr>
          <w:rFonts w:eastAsiaTheme="minorEastAsia"/>
          <w:lang w:eastAsia="zh-CN"/>
        </w:rPr>
        <w:t xml:space="preserve">for </w:t>
      </w:r>
      <m:oMath>
        <m:sSub>
          <m:sSubPr>
            <m:ctrlPr>
              <w:rPr>
                <w:rFonts w:ascii="Cambria Math" w:eastAsiaTheme="minorEastAsia" w:hAnsi="Cambria Math"/>
                <w:lang w:eastAsia="zh-CN"/>
              </w:rPr>
            </m:ctrlPr>
          </m:sSubPr>
          <m:e>
            <m:r>
              <w:rPr>
                <w:rFonts w:ascii="Cambria Math" w:eastAsiaTheme="minorEastAsia" w:hAnsi="Cambria Math"/>
                <w:lang w:eastAsia="zh-CN"/>
              </w:rPr>
              <m:t>a</m:t>
            </m:r>
          </m:e>
          <m:sub>
            <m:r>
              <m:rPr>
                <m:sty m:val="p"/>
              </m:rPr>
              <w:rPr>
                <w:rFonts w:ascii="Cambria Math" w:eastAsiaTheme="minorEastAsia" w:hAnsi="Cambria Math"/>
                <w:lang w:eastAsia="zh-CN"/>
              </w:rPr>
              <m:t>0</m:t>
            </m:r>
          </m:sub>
        </m:sSub>
        <m:r>
          <m:rPr>
            <m:sty m:val="p"/>
          </m:rPr>
          <w:rPr>
            <w:rFonts w:ascii="Cambria Math" w:eastAsiaTheme="minorEastAsia" w:hAnsi="Cambria Math"/>
            <w:lang w:eastAsia="zh-CN"/>
          </w:rPr>
          <m:t>=1</m:t>
        </m:r>
      </m:oMath>
      <w:r>
        <w:rPr>
          <w:rFonts w:eastAsiaTheme="minorEastAsia"/>
          <w:lang w:eastAsia="zh-CN"/>
        </w:rPr>
        <w:t xml:space="preserve">, </w:t>
      </w:r>
      <m:oMath>
        <m:sSubSup>
          <m:sSubSupPr>
            <m:ctrlPr>
              <w:rPr>
                <w:rFonts w:ascii="Cambria Math" w:eastAsiaTheme="minorEastAsia" w:hAnsi="Cambria Math"/>
                <w:lang w:eastAsia="zh-CN"/>
              </w:rPr>
            </m:ctrlPr>
          </m:sSubSupPr>
          <m:e>
            <m:r>
              <w:rPr>
                <w:rFonts w:ascii="Cambria Math" w:eastAsiaTheme="minorEastAsia" w:hAnsi="Cambria Math"/>
                <w:lang w:eastAsia="zh-CN"/>
              </w:rPr>
              <m:t>u</m:t>
            </m:r>
          </m:e>
          <m:sub>
            <m:r>
              <m:rPr>
                <m:sty m:val="p"/>
              </m:rPr>
              <w:rPr>
                <w:rFonts w:ascii="Cambria Math" w:eastAsiaTheme="minorEastAsia" w:hAnsi="Cambria Math"/>
                <w:lang w:eastAsia="zh-CN"/>
              </w:rPr>
              <m:t>slots</m:t>
            </m:r>
          </m:sub>
          <m:sup>
            <m:r>
              <m:rPr>
                <m:sty m:val="p"/>
              </m:rPr>
              <w:rPr>
                <w:rFonts w:ascii="Cambria Math" w:eastAsiaTheme="minorEastAsia" w:hAnsi="Cambria Math"/>
                <w:lang w:eastAsia="zh-CN"/>
              </w:rPr>
              <m:t>SL</m:t>
            </m:r>
          </m:sup>
        </m:sSubSup>
        <m:r>
          <m:rPr>
            <m:sty m:val="p"/>
          </m:rPr>
          <w:rPr>
            <w:rFonts w:ascii="Cambria Math" w:eastAsiaTheme="minorEastAsia" w:hAnsi="Cambria Math"/>
            <w:lang w:eastAsia="zh-CN"/>
          </w:rPr>
          <m:t>=</m:t>
        </m:r>
        <m:d>
          <m:dPr>
            <m:begChr m:val="⌊"/>
            <m:endChr m:val="⌋"/>
            <m:ctrlPr>
              <w:rPr>
                <w:rFonts w:ascii="Cambria Math" w:eastAsiaTheme="minorEastAsia" w:hAnsi="Cambria Math"/>
                <w:lang w:eastAsia="zh-CN"/>
              </w:rPr>
            </m:ctrlPr>
          </m:dPr>
          <m:e>
            <m:f>
              <m:fPr>
                <m:ctrlPr>
                  <w:rPr>
                    <w:rFonts w:ascii="Cambria Math" w:eastAsiaTheme="minorEastAsia" w:hAnsi="Cambria Math"/>
                    <w:lang w:eastAsia="zh-CN"/>
                  </w:rPr>
                </m:ctrlPr>
              </m:fPr>
              <m:num>
                <m:sSub>
                  <m:sSubPr>
                    <m:ctrlPr>
                      <w:rPr>
                        <w:rFonts w:ascii="Cambria Math" w:eastAsiaTheme="minorEastAsia" w:hAnsi="Cambria Math"/>
                        <w:lang w:eastAsia="zh-CN"/>
                      </w:rPr>
                    </m:ctrlPr>
                  </m:sSubPr>
                  <m:e>
                    <m:r>
                      <w:rPr>
                        <w:rFonts w:ascii="Cambria Math" w:eastAsiaTheme="minorEastAsia" w:hAnsi="Cambria Math"/>
                        <w:lang w:eastAsia="zh-CN"/>
                      </w:rPr>
                      <m:t>u</m:t>
                    </m:r>
                  </m:e>
                  <m:sub>
                    <m:r>
                      <m:rPr>
                        <m:sty m:val="p"/>
                      </m:rPr>
                      <w:rPr>
                        <w:rFonts w:ascii="Cambria Math" w:eastAsiaTheme="minorEastAsia" w:hAnsi="Cambria Math"/>
                        <w:lang w:eastAsia="zh-CN"/>
                      </w:rPr>
                      <m:t>slots,2</m:t>
                    </m:r>
                  </m:sub>
                </m:sSub>
                <m:r>
                  <m:rPr>
                    <m:sty m:val="p"/>
                  </m:rPr>
                  <w:rPr>
                    <w:rFonts w:ascii="Cambria Math" w:hAnsi="Cambria Math"/>
                  </w:rPr>
                  <m:t>*</m:t>
                </m:r>
                <m:sSup>
                  <m:sSupPr>
                    <m:ctrlPr>
                      <w:rPr>
                        <w:rFonts w:ascii="Cambria Math" w:eastAsia="DengXian" w:hAnsi="Cambria Math" w:cs="Calibri"/>
                        <w:bCs/>
                        <w:iCs/>
                      </w:rPr>
                    </m:ctrlPr>
                  </m:sSupPr>
                  <m:e>
                    <m:r>
                      <m:rPr>
                        <m:sty m:val="p"/>
                      </m:rPr>
                      <w:rPr>
                        <w:rFonts w:ascii="Cambria Math" w:hAnsi="Cambria Math"/>
                      </w:rPr>
                      <m:t>2</m:t>
                    </m:r>
                  </m:e>
                  <m:sup>
                    <m:r>
                      <w:rPr>
                        <w:rFonts w:ascii="Cambria Math" w:hAnsi="Cambria Math"/>
                      </w:rPr>
                      <m:t>μ</m:t>
                    </m:r>
                    <m:r>
                      <m:rPr>
                        <m:sty m:val="p"/>
                      </m:rPr>
                      <w:rPr>
                        <w:rFonts w:ascii="Cambria Math" w:hAnsi="Cambria Math"/>
                      </w:rPr>
                      <m:t>-</m:t>
                    </m:r>
                    <m:sSub>
                      <m:sSubPr>
                        <m:ctrlPr>
                          <w:rPr>
                            <w:rFonts w:ascii="Cambria Math" w:hAnsi="Cambria Math"/>
                            <w:iCs/>
                          </w:rPr>
                        </m:ctrlPr>
                      </m:sSubPr>
                      <m:e>
                        <m:r>
                          <w:rPr>
                            <w:rFonts w:ascii="Cambria Math" w:hAnsi="Cambria Math"/>
                          </w:rPr>
                          <m:t>μ</m:t>
                        </m:r>
                      </m:e>
                      <m:sub>
                        <m:r>
                          <m:rPr>
                            <m:sty m:val="p"/>
                          </m:rPr>
                          <w:rPr>
                            <w:rFonts w:ascii="Cambria Math" w:hAnsi="Cambria Math"/>
                          </w:rPr>
                          <m:t>ref</m:t>
                        </m:r>
                      </m:sub>
                    </m:sSub>
                  </m:sup>
                </m:sSup>
                <m:r>
                  <m:rPr>
                    <m:sty m:val="p"/>
                  </m:rPr>
                  <w:rPr>
                    <w:rFonts w:ascii="Cambria Math" w:eastAsiaTheme="minorEastAsia" w:hAnsi="Cambria Math"/>
                    <w:lang w:eastAsia="zh-CN"/>
                  </w:rPr>
                  <m:t>+</m:t>
                </m:r>
                <m:d>
                  <m:dPr>
                    <m:begChr m:val="⌊"/>
                    <m:endChr m:val="⌋"/>
                    <m:ctrlPr>
                      <w:rPr>
                        <w:rFonts w:ascii="Cambria Math" w:eastAsiaTheme="minorEastAsia" w:hAnsi="Cambria Math"/>
                        <w:lang w:eastAsia="zh-CN"/>
                      </w:rPr>
                    </m:ctrlPr>
                  </m:dPr>
                  <m:e>
                    <m:f>
                      <m:fPr>
                        <m:ctrlPr>
                          <w:rPr>
                            <w:rFonts w:ascii="Cambria Math" w:eastAsiaTheme="minorEastAsia" w:hAnsi="Cambria Math"/>
                            <w:lang w:eastAsia="zh-CN"/>
                          </w:rPr>
                        </m:ctrlPr>
                      </m:fPr>
                      <m:num>
                        <m:sSub>
                          <m:sSubPr>
                            <m:ctrlPr>
                              <w:rPr>
                                <w:rFonts w:ascii="Cambria Math" w:eastAsiaTheme="minorEastAsia" w:hAnsi="Cambria Math"/>
                                <w:lang w:eastAsia="zh-CN"/>
                              </w:rPr>
                            </m:ctrlPr>
                          </m:sSubPr>
                          <m:e>
                            <m:r>
                              <w:rPr>
                                <w:rFonts w:ascii="Cambria Math" w:eastAsiaTheme="minorEastAsia" w:hAnsi="Cambria Math"/>
                                <w:lang w:eastAsia="zh-CN"/>
                              </w:rPr>
                              <m:t>u</m:t>
                            </m:r>
                          </m:e>
                          <m:sub>
                            <m:r>
                              <m:rPr>
                                <m:sty m:val="p"/>
                              </m:rPr>
                              <w:rPr>
                                <w:rFonts w:ascii="Cambria Math" w:eastAsiaTheme="minorEastAsia" w:hAnsi="Cambria Math"/>
                                <w:lang w:eastAsia="zh-CN"/>
                              </w:rPr>
                              <m:t>sym,2</m:t>
                            </m:r>
                          </m:sub>
                        </m:sSub>
                        <m:r>
                          <m:rPr>
                            <m:sty m:val="p"/>
                          </m:rPr>
                          <w:rPr>
                            <w:rFonts w:ascii="Cambria Math" w:hAnsi="Cambria Math"/>
                          </w:rPr>
                          <m:t>*</m:t>
                        </m:r>
                        <m:sSup>
                          <m:sSupPr>
                            <m:ctrlPr>
                              <w:rPr>
                                <w:rFonts w:ascii="Cambria Math" w:eastAsia="DengXian" w:hAnsi="Cambria Math" w:cs="Calibri"/>
                                <w:bCs/>
                                <w:iCs/>
                              </w:rPr>
                            </m:ctrlPr>
                          </m:sSupPr>
                          <m:e>
                            <m:r>
                              <m:rPr>
                                <m:sty m:val="p"/>
                              </m:rPr>
                              <w:rPr>
                                <w:rFonts w:ascii="Cambria Math" w:hAnsi="Cambria Math"/>
                              </w:rPr>
                              <m:t>2</m:t>
                            </m:r>
                          </m:e>
                          <m:sup>
                            <m:r>
                              <w:rPr>
                                <w:rFonts w:ascii="Cambria Math" w:hAnsi="Cambria Math"/>
                              </w:rPr>
                              <m:t>μ</m:t>
                            </m:r>
                            <m:r>
                              <m:rPr>
                                <m:sty m:val="p"/>
                              </m:rPr>
                              <w:rPr>
                                <w:rFonts w:ascii="Cambria Math" w:hAnsi="Cambria Math"/>
                              </w:rPr>
                              <m:t>-</m:t>
                            </m:r>
                            <m:sSub>
                              <m:sSubPr>
                                <m:ctrlPr>
                                  <w:rPr>
                                    <w:rFonts w:ascii="Cambria Math" w:hAnsi="Cambria Math"/>
                                    <w:iCs/>
                                  </w:rPr>
                                </m:ctrlPr>
                              </m:sSubPr>
                              <m:e>
                                <m:r>
                                  <w:rPr>
                                    <w:rFonts w:ascii="Cambria Math" w:hAnsi="Cambria Math"/>
                                  </w:rPr>
                                  <m:t>μ</m:t>
                                </m:r>
                              </m:e>
                              <m:sub>
                                <m:r>
                                  <m:rPr>
                                    <m:sty m:val="p"/>
                                  </m:rPr>
                                  <w:rPr>
                                    <w:rFonts w:ascii="Cambria Math" w:hAnsi="Cambria Math"/>
                                  </w:rPr>
                                  <m:t>ref</m:t>
                                </m:r>
                              </m:sub>
                            </m:sSub>
                          </m:sup>
                        </m:sSup>
                      </m:num>
                      <m:den>
                        <m:r>
                          <w:rPr>
                            <w:rFonts w:ascii="Cambria Math" w:eastAsiaTheme="minorEastAsia" w:hAnsi="Cambria Math"/>
                            <w:lang w:eastAsia="zh-CN"/>
                          </w:rPr>
                          <m:t>L</m:t>
                        </m:r>
                      </m:den>
                    </m:f>
                  </m:e>
                </m:d>
                <m:r>
                  <m:rPr>
                    <m:sty m:val="p"/>
                  </m:rPr>
                  <w:rPr>
                    <w:rFonts w:ascii="Cambria Math" w:hAnsi="Cambria Math"/>
                  </w:rPr>
                  <m:t>+</m:t>
                </m:r>
                <m:sSub>
                  <m:sSubPr>
                    <m:ctrlPr>
                      <w:rPr>
                        <w:rFonts w:ascii="Cambria Math" w:hAnsi="Cambria Math"/>
                        <w:iCs/>
                      </w:rPr>
                    </m:ctrlPr>
                  </m:sSubPr>
                  <m:e>
                    <m:r>
                      <w:rPr>
                        <w:rFonts w:ascii="Cambria Math" w:hAnsi="Cambria Math"/>
                      </w:rPr>
                      <m:t>I</m:t>
                    </m:r>
                  </m:e>
                  <m:sub>
                    <m:r>
                      <m:rPr>
                        <m:sty m:val="p"/>
                      </m:rPr>
                      <w:rPr>
                        <w:rFonts w:ascii="Cambria Math" w:hAnsi="Cambria Math"/>
                      </w:rPr>
                      <m:t>2</m:t>
                    </m:r>
                  </m:sub>
                </m:sSub>
              </m:num>
              <m:den>
                <m:r>
                  <w:rPr>
                    <w:rFonts w:ascii="Cambria Math" w:eastAsiaTheme="minorEastAsia" w:hAnsi="Cambria Math"/>
                    <w:lang w:eastAsia="zh-CN"/>
                  </w:rPr>
                  <m:t>w</m:t>
                </m:r>
              </m:den>
            </m:f>
          </m:e>
        </m:d>
        <m:r>
          <m:rPr>
            <m:sty m:val="p"/>
          </m:rPr>
          <w:rPr>
            <w:rFonts w:ascii="Cambria Math" w:eastAsiaTheme="minorEastAsia" w:hAnsi="Cambria Math"/>
            <w:lang w:eastAsia="zh-CN"/>
          </w:rPr>
          <m:t>*</m:t>
        </m:r>
        <m:d>
          <m:dPr>
            <m:begChr m:val="⌈"/>
            <m:endChr m:val="⌉"/>
            <m:ctrlPr>
              <w:rPr>
                <w:rFonts w:ascii="Cambria Math" w:eastAsiaTheme="minorEastAsia" w:hAnsi="Cambria Math"/>
                <w:lang w:eastAsia="zh-CN"/>
              </w:rPr>
            </m:ctrlPr>
          </m:dPr>
          <m:e>
            <m:f>
              <m:fPr>
                <m:ctrlPr>
                  <w:rPr>
                    <w:rFonts w:ascii="Cambria Math" w:eastAsiaTheme="minorEastAsia" w:hAnsi="Cambria Math"/>
                    <w:lang w:eastAsia="zh-CN"/>
                  </w:rPr>
                </m:ctrlPr>
              </m:fPr>
              <m:num>
                <m:sSup>
                  <m:sSupPr>
                    <m:ctrlPr>
                      <w:rPr>
                        <w:rFonts w:ascii="Cambria Math" w:eastAsiaTheme="minorEastAsia" w:hAnsi="Cambria Math"/>
                        <w:lang w:eastAsia="zh-CN"/>
                      </w:rPr>
                    </m:ctrlPr>
                  </m:sSupPr>
                  <m:e>
                    <m:r>
                      <w:rPr>
                        <w:rFonts w:ascii="Cambria Math" w:eastAsiaTheme="minorEastAsia" w:hAnsi="Cambria Math"/>
                        <w:lang w:eastAsia="zh-CN"/>
                      </w:rPr>
                      <m:t>P</m:t>
                    </m:r>
                    <m:r>
                      <m:rPr>
                        <m:sty m:val="p"/>
                      </m:rPr>
                      <w:rPr>
                        <w:rFonts w:ascii="Cambria Math" w:eastAsiaTheme="minorEastAsia" w:hAnsi="Cambria Math"/>
                        <w:lang w:eastAsia="zh-CN"/>
                      </w:rPr>
                      <m:t>*2</m:t>
                    </m:r>
                  </m:e>
                  <m:sup>
                    <m:r>
                      <w:rPr>
                        <w:rFonts w:ascii="Cambria Math" w:eastAsiaTheme="minorEastAsia" w:hAnsi="Cambria Math"/>
                        <w:lang w:eastAsia="zh-CN"/>
                      </w:rPr>
                      <m:t>μ</m:t>
                    </m:r>
                  </m:sup>
                </m:sSup>
                <m:r>
                  <m:rPr>
                    <m:sty m:val="p"/>
                  </m:rPr>
                  <w:rPr>
                    <w:rFonts w:ascii="Cambria Math" w:eastAsiaTheme="minorEastAsia" w:hAnsi="Cambria Math"/>
                    <w:lang w:eastAsia="zh-CN"/>
                  </w:rPr>
                  <m:t>+1</m:t>
                </m:r>
              </m:num>
              <m:den>
                <m:r>
                  <w:rPr>
                    <w:rFonts w:ascii="Cambria Math" w:eastAsiaTheme="minorEastAsia" w:hAnsi="Cambria Math"/>
                    <w:lang w:eastAsia="zh-CN"/>
                  </w:rPr>
                  <m:t>w</m:t>
                </m:r>
              </m:den>
            </m:f>
          </m:e>
        </m:d>
        <m:r>
          <m:rPr>
            <m:sty m:val="p"/>
          </m:rPr>
          <w:rPr>
            <w:rFonts w:ascii="Cambria Math" w:eastAsiaTheme="minorEastAsia" w:hAnsi="Cambria Math"/>
            <w:lang w:eastAsia="zh-CN"/>
          </w:rPr>
          <m:t>+</m:t>
        </m:r>
        <m:d>
          <m:dPr>
            <m:begChr m:val="⌊"/>
            <m:endChr m:val="⌋"/>
            <m:ctrlPr>
              <w:rPr>
                <w:rFonts w:ascii="Cambria Math" w:eastAsiaTheme="minorEastAsia" w:hAnsi="Cambria Math"/>
                <w:lang w:eastAsia="zh-CN"/>
              </w:rPr>
            </m:ctrlPr>
          </m:dPr>
          <m:e>
            <m:f>
              <m:fPr>
                <m:ctrlPr>
                  <w:rPr>
                    <w:rFonts w:ascii="Cambria Math" w:eastAsiaTheme="minorEastAsia" w:hAnsi="Cambria Math"/>
                    <w:lang w:eastAsia="zh-CN"/>
                  </w:rPr>
                </m:ctrlPr>
              </m:fPr>
              <m:num>
                <m:sSub>
                  <m:sSubPr>
                    <m:ctrlPr>
                      <w:rPr>
                        <w:rFonts w:ascii="Cambria Math" w:eastAsiaTheme="minorEastAsia" w:hAnsi="Cambria Math"/>
                        <w:lang w:eastAsia="zh-CN"/>
                      </w:rPr>
                    </m:ctrlPr>
                  </m:sSubPr>
                  <m:e>
                    <m:r>
                      <w:rPr>
                        <w:rFonts w:ascii="Cambria Math" w:eastAsiaTheme="minorEastAsia" w:hAnsi="Cambria Math"/>
                        <w:lang w:eastAsia="zh-CN"/>
                      </w:rPr>
                      <m:t>u</m:t>
                    </m:r>
                  </m:e>
                  <m:sub>
                    <m:r>
                      <m:rPr>
                        <m:sty m:val="p"/>
                      </m:rPr>
                      <w:rPr>
                        <w:rFonts w:ascii="Cambria Math" w:eastAsiaTheme="minorEastAsia" w:hAnsi="Cambria Math"/>
                        <w:lang w:eastAsia="zh-CN"/>
                      </w:rPr>
                      <m:t>slots</m:t>
                    </m:r>
                  </m:sub>
                </m:sSub>
                <m:r>
                  <m:rPr>
                    <m:sty m:val="p"/>
                  </m:rPr>
                  <w:rPr>
                    <w:rFonts w:ascii="Cambria Math" w:hAnsi="Cambria Math"/>
                  </w:rPr>
                  <m:t>*</m:t>
                </m:r>
                <m:sSup>
                  <m:sSupPr>
                    <m:ctrlPr>
                      <w:rPr>
                        <w:rFonts w:ascii="Cambria Math" w:eastAsia="DengXian" w:hAnsi="Cambria Math" w:cs="Calibri"/>
                        <w:bCs/>
                        <w:iCs/>
                      </w:rPr>
                    </m:ctrlPr>
                  </m:sSupPr>
                  <m:e>
                    <m:r>
                      <m:rPr>
                        <m:sty m:val="p"/>
                      </m:rPr>
                      <w:rPr>
                        <w:rFonts w:ascii="Cambria Math" w:hAnsi="Cambria Math"/>
                      </w:rPr>
                      <m:t>2</m:t>
                    </m:r>
                  </m:e>
                  <m:sup>
                    <m:r>
                      <w:rPr>
                        <w:rFonts w:ascii="Cambria Math" w:hAnsi="Cambria Math"/>
                      </w:rPr>
                      <m:t>μ</m:t>
                    </m:r>
                    <m:r>
                      <m:rPr>
                        <m:sty m:val="p"/>
                      </m:rPr>
                      <w:rPr>
                        <w:rFonts w:ascii="Cambria Math" w:hAnsi="Cambria Math"/>
                      </w:rPr>
                      <m:t>-</m:t>
                    </m:r>
                    <m:sSub>
                      <m:sSubPr>
                        <m:ctrlPr>
                          <w:rPr>
                            <w:rFonts w:ascii="Cambria Math" w:hAnsi="Cambria Math"/>
                            <w:iCs/>
                          </w:rPr>
                        </m:ctrlPr>
                      </m:sSubPr>
                      <m:e>
                        <m:r>
                          <w:rPr>
                            <w:rFonts w:ascii="Cambria Math" w:hAnsi="Cambria Math"/>
                          </w:rPr>
                          <m:t>μ</m:t>
                        </m:r>
                      </m:e>
                      <m:sub>
                        <m:r>
                          <m:rPr>
                            <m:sty m:val="p"/>
                          </m:rPr>
                          <w:rPr>
                            <w:rFonts w:ascii="Cambria Math" w:hAnsi="Cambria Math"/>
                          </w:rPr>
                          <m:t>ref</m:t>
                        </m:r>
                      </m:sub>
                    </m:sSub>
                  </m:sup>
                </m:sSup>
                <m:r>
                  <m:rPr>
                    <m:sty m:val="p"/>
                  </m:rPr>
                  <w:rPr>
                    <w:rFonts w:ascii="Cambria Math" w:eastAsiaTheme="minorEastAsia" w:hAnsi="Cambria Math"/>
                    <w:lang w:eastAsia="zh-CN"/>
                  </w:rPr>
                  <m:t>+</m:t>
                </m:r>
                <m:d>
                  <m:dPr>
                    <m:begChr m:val="⌊"/>
                    <m:endChr m:val="⌋"/>
                    <m:ctrlPr>
                      <w:rPr>
                        <w:rFonts w:ascii="Cambria Math" w:eastAsiaTheme="minorEastAsia" w:hAnsi="Cambria Math"/>
                        <w:lang w:eastAsia="zh-CN"/>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u</m:t>
                            </m:r>
                          </m:e>
                          <m:sub>
                            <m:r>
                              <m:rPr>
                                <m:sty m:val="p"/>
                              </m:rPr>
                              <w:rPr>
                                <w:rFonts w:ascii="Cambria Math" w:hAnsi="Cambria Math"/>
                              </w:rPr>
                              <m:t>sym</m:t>
                            </m:r>
                          </m:sub>
                        </m:sSub>
                        <m:r>
                          <m:rPr>
                            <m:sty m:val="p"/>
                          </m:rPr>
                          <w:rPr>
                            <w:rFonts w:ascii="Cambria Math" w:hAnsi="Cambria Math"/>
                          </w:rPr>
                          <m:t>*</m:t>
                        </m:r>
                        <m:sSup>
                          <m:sSupPr>
                            <m:ctrlPr>
                              <w:rPr>
                                <w:rFonts w:ascii="Cambria Math" w:eastAsia="DengXian" w:hAnsi="Cambria Math" w:cs="Calibri"/>
                                <w:bCs/>
                                <w:iCs/>
                              </w:rPr>
                            </m:ctrlPr>
                          </m:sSupPr>
                          <m:e>
                            <m:r>
                              <m:rPr>
                                <m:sty m:val="p"/>
                              </m:rPr>
                              <w:rPr>
                                <w:rFonts w:ascii="Cambria Math" w:hAnsi="Cambria Math"/>
                              </w:rPr>
                              <m:t>2</m:t>
                            </m:r>
                          </m:e>
                          <m:sup>
                            <m:r>
                              <w:rPr>
                                <w:rFonts w:ascii="Cambria Math" w:hAnsi="Cambria Math"/>
                              </w:rPr>
                              <m:t>μ</m:t>
                            </m:r>
                            <m:r>
                              <m:rPr>
                                <m:sty m:val="p"/>
                              </m:rPr>
                              <w:rPr>
                                <w:rFonts w:ascii="Cambria Math" w:hAnsi="Cambria Math"/>
                              </w:rPr>
                              <m:t>-</m:t>
                            </m:r>
                            <m:sSub>
                              <m:sSubPr>
                                <m:ctrlPr>
                                  <w:rPr>
                                    <w:rFonts w:ascii="Cambria Math" w:hAnsi="Cambria Math"/>
                                    <w:iCs/>
                                  </w:rPr>
                                </m:ctrlPr>
                              </m:sSubPr>
                              <m:e>
                                <m:r>
                                  <w:rPr>
                                    <w:rFonts w:ascii="Cambria Math" w:hAnsi="Cambria Math"/>
                                  </w:rPr>
                                  <m:t>μ</m:t>
                                </m:r>
                              </m:e>
                              <m:sub>
                                <m:r>
                                  <m:rPr>
                                    <m:sty m:val="p"/>
                                  </m:rPr>
                                  <w:rPr>
                                    <w:rFonts w:ascii="Cambria Math" w:hAnsi="Cambria Math"/>
                                  </w:rPr>
                                  <m:t>ref</m:t>
                                </m:r>
                              </m:sub>
                            </m:sSub>
                          </m:sup>
                        </m:sSup>
                      </m:num>
                      <m:den>
                        <m:r>
                          <w:rPr>
                            <w:rFonts w:ascii="Cambria Math" w:hAnsi="Cambria Math"/>
                          </w:rPr>
                          <m:t>L</m:t>
                        </m:r>
                      </m:den>
                    </m:f>
                  </m:e>
                </m:d>
                <m:r>
                  <m:rPr>
                    <m:sty m:val="p"/>
                  </m:rPr>
                  <w:rPr>
                    <w:rFonts w:ascii="Cambria Math" w:hAnsi="Cambria Math"/>
                  </w:rPr>
                  <m:t>+</m:t>
                </m:r>
                <m:sSub>
                  <m:sSubPr>
                    <m:ctrlPr>
                      <w:rPr>
                        <w:rFonts w:ascii="Cambria Math" w:hAnsi="Cambria Math"/>
                        <w:iCs/>
                      </w:rPr>
                    </m:ctrlPr>
                  </m:sSubPr>
                  <m:e>
                    <m:r>
                      <w:rPr>
                        <w:rFonts w:ascii="Cambria Math" w:hAnsi="Cambria Math"/>
                      </w:rPr>
                      <m:t>I</m:t>
                    </m:r>
                  </m:e>
                  <m:sub>
                    <m:r>
                      <m:rPr>
                        <m:sty m:val="p"/>
                      </m:rPr>
                      <w:rPr>
                        <w:rFonts w:ascii="Cambria Math" w:hAnsi="Cambria Math"/>
                      </w:rPr>
                      <m:t>1</m:t>
                    </m:r>
                  </m:sub>
                </m:sSub>
              </m:num>
              <m:den>
                <m:r>
                  <w:rPr>
                    <w:rFonts w:ascii="Cambria Math" w:eastAsiaTheme="minorEastAsia" w:hAnsi="Cambria Math"/>
                    <w:lang w:eastAsia="zh-CN"/>
                  </w:rPr>
                  <m:t>w</m:t>
                </m:r>
              </m:den>
            </m:f>
          </m:e>
        </m:d>
      </m:oMath>
    </w:p>
    <w:p w14:paraId="2F87E3DA" w14:textId="77777777" w:rsidR="003638A6" w:rsidRDefault="003638A6" w:rsidP="003638A6">
      <w:pPr>
        <w:pStyle w:val="B1"/>
        <w:ind w:left="852"/>
        <w:rPr>
          <w:rFonts w:eastAsiaTheme="minorEastAsia"/>
          <w:lang w:eastAsia="zh-CN"/>
        </w:rPr>
      </w:pPr>
      <w:r>
        <w:rPr>
          <w:rFonts w:eastAsiaTheme="minorEastAsia"/>
          <w:lang w:val="en-US" w:eastAsia="zh-CN"/>
        </w:rPr>
        <w:t>w</w:t>
      </w:r>
      <w:r>
        <w:rPr>
          <w:rFonts w:eastAsiaTheme="minorEastAsia"/>
          <w:lang w:eastAsia="zh-CN"/>
        </w:rPr>
        <w:t>here</w:t>
      </w:r>
    </w:p>
    <w:p w14:paraId="0B3CF9B7" w14:textId="64B608A7" w:rsidR="003638A6" w:rsidRDefault="003638A6" w:rsidP="005A1C83">
      <w:pPr>
        <w:pStyle w:val="B3"/>
        <w:rPr>
          <w:rFonts w:eastAsiaTheme="minorEastAsia"/>
          <w:lang w:eastAsia="zh-CN"/>
        </w:rPr>
      </w:pPr>
      <w:r w:rsidRPr="0068348F">
        <w:t>-</w:t>
      </w:r>
      <w:r w:rsidRPr="0068348F">
        <w:tab/>
      </w:r>
      <m:oMath>
        <m:r>
          <w:rPr>
            <w:rFonts w:ascii="Cambria Math" w:hAnsi="Cambria Math"/>
          </w:rPr>
          <m:t>L</m:t>
        </m:r>
      </m:oMath>
      <w:r w:rsidRPr="001E2A52">
        <w:rPr>
          <w:rFonts w:eastAsiaTheme="minorEastAsia"/>
          <w:lang w:eastAsia="zh-CN"/>
        </w:rPr>
        <w:t xml:space="preserve"> is the number of symbols in a slot: </w:t>
      </w:r>
      <m:oMath>
        <m:r>
          <w:rPr>
            <w:rFonts w:ascii="Cambria Math" w:hAnsi="Cambria Math"/>
          </w:rPr>
          <m:t>L</m:t>
        </m:r>
        <m:r>
          <w:rPr>
            <w:rFonts w:ascii="Cambria Math" w:eastAsiaTheme="minorEastAsia" w:hAnsi="Cambria Math"/>
          </w:rPr>
          <m:t>=12</m:t>
        </m:r>
      </m:oMath>
      <w:r>
        <w:rPr>
          <w:rFonts w:eastAsiaTheme="minorEastAsia" w:hint="eastAsia"/>
          <w:lang w:eastAsia="zh-CN"/>
        </w:rPr>
        <w:t xml:space="preserve"> if </w:t>
      </w:r>
      <w:r w:rsidRPr="005B5099">
        <w:rPr>
          <w:rFonts w:eastAsiaTheme="minorEastAsia" w:hint="eastAsia"/>
          <w:i/>
          <w:lang w:eastAsia="zh-CN"/>
        </w:rPr>
        <w:t>cyclicPrefix</w:t>
      </w:r>
      <w:r>
        <w:rPr>
          <w:rFonts w:eastAsiaTheme="minorEastAsia" w:hint="eastAsia"/>
          <w:lang w:eastAsia="zh-CN"/>
        </w:rPr>
        <w:t xml:space="preserve"> </w:t>
      </w:r>
      <w:r>
        <w:rPr>
          <w:rFonts w:eastAsiaTheme="minorEastAsia"/>
          <w:lang w:eastAsia="zh-CN"/>
        </w:rPr>
        <w:t>=</w:t>
      </w:r>
      <w:r>
        <w:rPr>
          <w:rFonts w:eastAsiaTheme="minorEastAsia" w:hint="eastAsia"/>
          <w:lang w:eastAsia="zh-CN"/>
        </w:rPr>
        <w:t xml:space="preserve"> </w:t>
      </w:r>
      <w:r w:rsidR="006C1D66">
        <w:rPr>
          <w:rFonts w:eastAsiaTheme="minorEastAsia"/>
          <w:lang w:eastAsia="zh-CN"/>
        </w:rPr>
        <w:t>"</w:t>
      </w:r>
      <w:r>
        <w:rPr>
          <w:rFonts w:eastAsiaTheme="minorEastAsia" w:hint="eastAsia"/>
          <w:lang w:eastAsia="zh-CN"/>
        </w:rPr>
        <w:t>ECP</w:t>
      </w:r>
      <w:r w:rsidR="006C1D66">
        <w:rPr>
          <w:rFonts w:eastAsiaTheme="minorEastAsia"/>
          <w:lang w:eastAsia="zh-CN"/>
        </w:rPr>
        <w:t>"</w:t>
      </w:r>
      <w:r>
        <w:rPr>
          <w:rFonts w:eastAsiaTheme="minorEastAsia"/>
          <w:lang w:eastAsia="zh-CN"/>
        </w:rPr>
        <w:t xml:space="preserve">; </w:t>
      </w:r>
      <w:r>
        <w:rPr>
          <w:rFonts w:eastAsiaTheme="minorEastAsia"/>
          <w:lang w:val="en-US" w:eastAsia="zh-CN"/>
        </w:rPr>
        <w:t>el</w:t>
      </w:r>
      <w:r>
        <w:rPr>
          <w:rFonts w:eastAsiaTheme="minorEastAsia"/>
          <w:lang w:eastAsia="zh-CN"/>
        </w:rPr>
        <w:t>se,</w:t>
      </w:r>
      <w:r w:rsidRPr="0031072E">
        <w:rPr>
          <w:rFonts w:eastAsiaTheme="minorEastAsia" w:hint="eastAsia"/>
          <w:i/>
          <w:lang w:eastAsia="zh-CN"/>
        </w:rPr>
        <w:t xml:space="preserve"> </w:t>
      </w:r>
      <m:oMath>
        <m:r>
          <w:rPr>
            <w:rFonts w:ascii="Cambria Math" w:hAnsi="Cambria Math"/>
          </w:rPr>
          <m:t>L=14</m:t>
        </m:r>
      </m:oMath>
    </w:p>
    <w:p w14:paraId="3D449AF3" w14:textId="77777777" w:rsidR="003638A6" w:rsidRDefault="003638A6" w:rsidP="005A1C83">
      <w:pPr>
        <w:pStyle w:val="B3"/>
        <w:rPr>
          <w:rFonts w:eastAsiaTheme="minorEastAsia"/>
          <w:lang w:eastAsia="zh-CN"/>
        </w:rPr>
      </w:pPr>
      <w:r w:rsidRPr="0068348F">
        <w:t>-</w:t>
      </w:r>
      <w:r w:rsidRPr="0068348F">
        <w:tab/>
      </w:r>
      <m:oMath>
        <m:sSub>
          <m:sSubPr>
            <m:ctrlPr>
              <w:rPr>
                <w:rFonts w:ascii="Cambria Math" w:hAnsi="Cambria Math"/>
                <w:i/>
                <w:iCs/>
              </w:rPr>
            </m:ctrlPr>
          </m:sSubPr>
          <m:e>
            <m:r>
              <w:rPr>
                <w:rFonts w:ascii="Cambria Math" w:hAnsi="Cambria Math"/>
              </w:rPr>
              <m:t>I</m:t>
            </m:r>
          </m:e>
          <m:sub>
            <m:r>
              <m:rPr>
                <m:sty m:val="p"/>
              </m:rPr>
              <w:rPr>
                <w:rFonts w:ascii="Cambria Math" w:hAnsi="Cambria Math"/>
              </w:rPr>
              <m:t>1</m:t>
            </m:r>
          </m:sub>
        </m:sSub>
      </m:oMath>
      <w:r w:rsidRPr="001E2A52">
        <w:rPr>
          <w:rFonts w:eastAsiaTheme="minorEastAsia"/>
          <w:lang w:eastAsia="zh-CN"/>
        </w:rPr>
        <w:t xml:space="preserve"> is 1 if </w:t>
      </w:r>
      <m:oMath>
        <m:sSub>
          <m:sSubPr>
            <m:ctrlPr>
              <w:rPr>
                <w:rFonts w:ascii="Cambria Math" w:hAnsi="Cambria Math"/>
                <w:i/>
                <w:iCs/>
              </w:rPr>
            </m:ctrlPr>
          </m:sSubPr>
          <m:e>
            <m:r>
              <w:rPr>
                <w:rFonts w:ascii="Cambria Math" w:hAnsi="Cambria Math"/>
              </w:rPr>
              <m:t>u</m:t>
            </m:r>
          </m:e>
          <m:sub>
            <m:r>
              <m:rPr>
                <m:sty m:val="p"/>
              </m:rPr>
              <w:rPr>
                <w:rFonts w:ascii="Cambria Math" w:hAnsi="Cambria Math"/>
              </w:rPr>
              <m:t>sym</m:t>
            </m:r>
          </m:sub>
        </m:sSub>
        <m:r>
          <w:rPr>
            <w:rFonts w:ascii="Cambria Math" w:hAnsi="Cambria Math"/>
          </w:rPr>
          <m:t>*</m:t>
        </m:r>
        <m:sSup>
          <m:sSupPr>
            <m:ctrlPr>
              <w:rPr>
                <w:rFonts w:ascii="Cambria Math" w:eastAsia="DengXian" w:hAnsi="Cambria Math"/>
                <w:bCs/>
                <w:i/>
                <w:iCs/>
              </w:rPr>
            </m:ctrlPr>
          </m:sSupPr>
          <m:e>
            <m:r>
              <w:rPr>
                <w:rFonts w:ascii="Cambria Math" w:hAnsi="Cambria Math"/>
              </w:rPr>
              <m:t>2</m:t>
            </m:r>
          </m:e>
          <m:sup>
            <m:r>
              <w:rPr>
                <w:rFonts w:ascii="Cambria Math" w:hAnsi="Cambria Math"/>
              </w:rPr>
              <m:t>μ-</m:t>
            </m:r>
            <m:sSub>
              <m:sSubPr>
                <m:ctrlPr>
                  <w:rPr>
                    <w:rFonts w:ascii="Cambria Math" w:hAnsi="Cambria Math"/>
                    <w:i/>
                    <w:iCs/>
                  </w:rPr>
                </m:ctrlPr>
              </m:sSubPr>
              <m:e>
                <m:r>
                  <w:rPr>
                    <w:rFonts w:ascii="Cambria Math" w:hAnsi="Cambria Math"/>
                  </w:rPr>
                  <m:t>μ</m:t>
                </m:r>
              </m:e>
              <m:sub>
                <m:r>
                  <m:rPr>
                    <m:sty m:val="p"/>
                  </m:rPr>
                  <w:rPr>
                    <w:rFonts w:ascii="Cambria Math" w:hAnsi="Cambria Math"/>
                  </w:rPr>
                  <m:t>ref</m:t>
                </m:r>
              </m:sub>
            </m:sSub>
          </m:sup>
        </m:sSup>
        <m:r>
          <w:rPr>
            <w:rFonts w:ascii="Cambria Math" w:hAnsi="Cambria Math"/>
          </w:rPr>
          <m:t xml:space="preserve"> mod L≥ L-Y</m:t>
        </m:r>
      </m:oMath>
      <w:r w:rsidRPr="001E2A52">
        <w:rPr>
          <w:rFonts w:eastAsiaTheme="minorEastAsia"/>
          <w:lang w:eastAsia="zh-CN"/>
        </w:rPr>
        <w:t xml:space="preserve">, </w:t>
      </w:r>
      <w:r>
        <w:rPr>
          <w:rFonts w:eastAsiaTheme="minorEastAsia"/>
          <w:lang w:val="en-US" w:eastAsia="zh-CN"/>
        </w:rPr>
        <w:t>el</w:t>
      </w:r>
      <w:r w:rsidRPr="001E2A52">
        <w:rPr>
          <w:rFonts w:eastAsiaTheme="minorEastAsia"/>
          <w:lang w:eastAsia="zh-CN"/>
        </w:rPr>
        <w:t xml:space="preserve">se </w:t>
      </w:r>
      <m:oMath>
        <m:sSub>
          <m:sSubPr>
            <m:ctrlPr>
              <w:rPr>
                <w:rFonts w:ascii="Cambria Math" w:hAnsi="Cambria Math"/>
                <w:i/>
                <w:iCs/>
              </w:rPr>
            </m:ctrlPr>
          </m:sSubPr>
          <m:e>
            <m:r>
              <w:rPr>
                <w:rFonts w:ascii="Cambria Math" w:hAnsi="Cambria Math"/>
              </w:rPr>
              <m:t>I</m:t>
            </m:r>
          </m:e>
          <m:sub>
            <m:r>
              <m:rPr>
                <m:sty m:val="p"/>
              </m:rPr>
              <w:rPr>
                <w:rFonts w:ascii="Cambria Math" w:hAnsi="Cambria Math"/>
              </w:rPr>
              <m:t>1</m:t>
            </m:r>
          </m:sub>
        </m:sSub>
      </m:oMath>
      <w:r w:rsidRPr="001E2A52">
        <w:rPr>
          <w:rFonts w:eastAsiaTheme="minorEastAsia"/>
          <w:lang w:eastAsia="zh-CN"/>
        </w:rPr>
        <w:t xml:space="preserve"> is 0</w:t>
      </w:r>
    </w:p>
    <w:p w14:paraId="0BF94255" w14:textId="77777777" w:rsidR="003638A6" w:rsidRDefault="003638A6" w:rsidP="005A1C83">
      <w:pPr>
        <w:pStyle w:val="B3"/>
        <w:rPr>
          <w:rFonts w:eastAsiaTheme="minorEastAsia"/>
          <w:lang w:eastAsia="zh-CN"/>
        </w:rPr>
      </w:pPr>
      <w:r w:rsidRPr="0068348F">
        <w:t>-</w:t>
      </w:r>
      <w:r w:rsidRPr="0068348F">
        <w:tab/>
      </w:r>
      <m:oMath>
        <m:sSub>
          <m:sSubPr>
            <m:ctrlPr>
              <w:rPr>
                <w:rFonts w:ascii="Cambria Math" w:hAnsi="Cambria Math"/>
                <w:i/>
                <w:iCs/>
              </w:rPr>
            </m:ctrlPr>
          </m:sSubPr>
          <m:e>
            <m:r>
              <w:rPr>
                <w:rFonts w:ascii="Cambria Math" w:hAnsi="Cambria Math"/>
              </w:rPr>
              <m:t>I</m:t>
            </m:r>
          </m:e>
          <m:sub>
            <m:r>
              <m:rPr>
                <m:sty m:val="p"/>
              </m:rPr>
              <w:rPr>
                <w:rFonts w:ascii="Cambria Math" w:hAnsi="Cambria Math"/>
              </w:rPr>
              <m:t>2</m:t>
            </m:r>
          </m:sub>
        </m:sSub>
      </m:oMath>
      <w:r w:rsidRPr="001E2A52">
        <w:rPr>
          <w:rFonts w:eastAsiaTheme="minorEastAsia"/>
          <w:lang w:eastAsia="zh-CN"/>
        </w:rPr>
        <w:t xml:space="preserve"> is 1 if </w:t>
      </w:r>
      <m:oMath>
        <m:sSub>
          <m:sSubPr>
            <m:ctrlPr>
              <w:rPr>
                <w:rFonts w:ascii="Cambria Math" w:hAnsi="Cambria Math"/>
                <w:i/>
                <w:iCs/>
              </w:rPr>
            </m:ctrlPr>
          </m:sSubPr>
          <m:e>
            <m:r>
              <w:rPr>
                <w:rFonts w:ascii="Cambria Math" w:hAnsi="Cambria Math"/>
              </w:rPr>
              <m:t>u</m:t>
            </m:r>
          </m:e>
          <m:sub>
            <m:r>
              <m:rPr>
                <m:sty m:val="p"/>
              </m:rPr>
              <w:rPr>
                <w:rFonts w:ascii="Cambria Math" w:hAnsi="Cambria Math"/>
              </w:rPr>
              <m:t>sym,2</m:t>
            </m:r>
          </m:sub>
        </m:sSub>
        <m:r>
          <w:rPr>
            <w:rFonts w:ascii="Cambria Math" w:hAnsi="Cambria Math"/>
          </w:rPr>
          <m:t>*</m:t>
        </m:r>
        <m:sSup>
          <m:sSupPr>
            <m:ctrlPr>
              <w:rPr>
                <w:rFonts w:ascii="Cambria Math" w:eastAsia="DengXian" w:hAnsi="Cambria Math"/>
                <w:bCs/>
                <w:i/>
                <w:iCs/>
              </w:rPr>
            </m:ctrlPr>
          </m:sSupPr>
          <m:e>
            <m:r>
              <w:rPr>
                <w:rFonts w:ascii="Cambria Math" w:hAnsi="Cambria Math"/>
              </w:rPr>
              <m:t>2</m:t>
            </m:r>
          </m:e>
          <m:sup>
            <m:r>
              <w:rPr>
                <w:rFonts w:ascii="Cambria Math" w:hAnsi="Cambria Math"/>
              </w:rPr>
              <m:t>μ-</m:t>
            </m:r>
            <m:sSub>
              <m:sSubPr>
                <m:ctrlPr>
                  <w:rPr>
                    <w:rFonts w:ascii="Cambria Math" w:hAnsi="Cambria Math"/>
                    <w:i/>
                    <w:iCs/>
                  </w:rPr>
                </m:ctrlPr>
              </m:sSubPr>
              <m:e>
                <m:r>
                  <w:rPr>
                    <w:rFonts w:ascii="Cambria Math" w:hAnsi="Cambria Math"/>
                  </w:rPr>
                  <m:t>μ</m:t>
                </m:r>
              </m:e>
              <m:sub>
                <m:r>
                  <m:rPr>
                    <m:sty m:val="p"/>
                  </m:rPr>
                  <w:rPr>
                    <w:rFonts w:ascii="Cambria Math" w:hAnsi="Cambria Math"/>
                  </w:rPr>
                  <m:t>ref</m:t>
                </m:r>
              </m:sub>
            </m:sSub>
          </m:sup>
        </m:sSup>
        <m:r>
          <w:rPr>
            <w:rFonts w:ascii="Cambria Math" w:hAnsi="Cambria Math"/>
          </w:rPr>
          <m:t xml:space="preserve"> mod L≥L-Y</m:t>
        </m:r>
      </m:oMath>
      <w:r w:rsidRPr="001E2A52">
        <w:rPr>
          <w:rFonts w:eastAsiaTheme="minorEastAsia"/>
          <w:lang w:eastAsia="zh-CN"/>
        </w:rPr>
        <w:t xml:space="preserve">, </w:t>
      </w:r>
      <w:r>
        <w:rPr>
          <w:rFonts w:eastAsiaTheme="minorEastAsia"/>
          <w:lang w:val="en-US" w:eastAsia="zh-CN"/>
        </w:rPr>
        <w:t>else</w:t>
      </w:r>
      <w:r w:rsidRPr="001E2A52">
        <w:rPr>
          <w:rFonts w:eastAsiaTheme="minorEastAsia"/>
          <w:lang w:eastAsia="zh-CN"/>
        </w:rPr>
        <w:t xml:space="preserve"> </w:t>
      </w:r>
      <m:oMath>
        <m:sSub>
          <m:sSubPr>
            <m:ctrlPr>
              <w:rPr>
                <w:rFonts w:ascii="Cambria Math" w:hAnsi="Cambria Math"/>
                <w:i/>
                <w:iCs/>
              </w:rPr>
            </m:ctrlPr>
          </m:sSubPr>
          <m:e>
            <m:r>
              <w:rPr>
                <w:rFonts w:ascii="Cambria Math" w:hAnsi="Cambria Math"/>
              </w:rPr>
              <m:t>I</m:t>
            </m:r>
          </m:e>
          <m:sub>
            <m:r>
              <m:rPr>
                <m:sty m:val="p"/>
              </m:rPr>
              <w:rPr>
                <w:rFonts w:ascii="Cambria Math" w:hAnsi="Cambria Math"/>
              </w:rPr>
              <m:t>2</m:t>
            </m:r>
          </m:sub>
        </m:sSub>
      </m:oMath>
      <w:r w:rsidRPr="001E2A52">
        <w:rPr>
          <w:rFonts w:eastAsiaTheme="minorEastAsia"/>
          <w:lang w:eastAsia="zh-CN"/>
        </w:rPr>
        <w:t xml:space="preserve"> is 0 </w:t>
      </w:r>
    </w:p>
    <w:p w14:paraId="7472797D" w14:textId="77777777" w:rsidR="003638A6" w:rsidRDefault="003638A6" w:rsidP="005A1C83">
      <w:pPr>
        <w:pStyle w:val="B3"/>
      </w:pPr>
      <w:r w:rsidRPr="0068348F">
        <w:t>-</w:t>
      </w:r>
      <w:r w:rsidRPr="0068348F">
        <w:tab/>
      </w:r>
      <m:oMath>
        <m:r>
          <w:rPr>
            <w:rFonts w:ascii="Cambria Math" w:hAnsi="Cambria Math"/>
          </w:rPr>
          <m:t>Y</m:t>
        </m:r>
      </m:oMath>
      <w:r w:rsidRPr="001E2A52">
        <w:rPr>
          <w:rFonts w:eastAsiaTheme="minorEastAsia"/>
          <w:lang w:eastAsia="zh-CN"/>
        </w:rPr>
        <w:t xml:space="preserve"> is the sidelink starting symbol index </w:t>
      </w:r>
      <w:r>
        <w:rPr>
          <w:rFonts w:eastAsiaTheme="minorEastAsia"/>
          <w:lang w:val="en-US" w:eastAsia="zh-CN"/>
        </w:rPr>
        <w:t>provided</w:t>
      </w:r>
      <w:r w:rsidRPr="001E2A52">
        <w:rPr>
          <w:rFonts w:eastAsiaTheme="minorEastAsia"/>
          <w:lang w:eastAsia="zh-CN"/>
        </w:rPr>
        <w:t xml:space="preserve"> by</w:t>
      </w:r>
      <w:r w:rsidRPr="001E2A52">
        <w:t xml:space="preserve"> </w:t>
      </w:r>
      <w:r w:rsidRPr="001E2A52">
        <w:rPr>
          <w:i/>
        </w:rPr>
        <w:t>sl-StartSymbol</w:t>
      </w:r>
    </w:p>
    <w:p w14:paraId="66AB9C9B" w14:textId="77777777" w:rsidR="003638A6" w:rsidRDefault="003638A6" w:rsidP="005A1C83">
      <w:pPr>
        <w:pStyle w:val="B3"/>
        <w:rPr>
          <w:rFonts w:eastAsiaTheme="minorEastAsia"/>
          <w:lang w:eastAsia="zh-CN"/>
        </w:rPr>
      </w:pPr>
      <w:r w:rsidRPr="0068348F">
        <w:t>-</w:t>
      </w:r>
      <w:r w:rsidRPr="0068348F">
        <w:tab/>
      </w:r>
      <m:oMath>
        <m:r>
          <w:rPr>
            <w:rFonts w:ascii="Cambria Math" w:eastAsiaTheme="minorEastAsia" w:hAnsi="Cambria Math"/>
            <w:lang w:eastAsia="zh-CN"/>
          </w:rPr>
          <m:t>w</m:t>
        </m:r>
      </m:oMath>
      <w:r>
        <w:rPr>
          <w:lang w:val="en-US" w:eastAsia="zh-CN"/>
        </w:rPr>
        <w:t xml:space="preserve"> </w:t>
      </w:r>
      <w:r w:rsidRPr="001E2A52">
        <w:rPr>
          <w:rFonts w:eastAsiaTheme="minorEastAsia"/>
          <w:lang w:eastAsia="zh-CN"/>
        </w:rPr>
        <w:t>is the granularity of slots indication as described in Table 16.1-2</w:t>
      </w:r>
    </w:p>
    <w:p w14:paraId="60A3CB3C" w14:textId="5DF9A81D" w:rsidR="003638A6" w:rsidRDefault="003638A6" w:rsidP="005A1C83">
      <w:pPr>
        <w:pStyle w:val="B3"/>
        <w:rPr>
          <w:rFonts w:eastAsiaTheme="minorEastAsia"/>
          <w:lang w:eastAsia="zh-CN"/>
        </w:rPr>
      </w:pPr>
      <w:r w:rsidRPr="0068348F">
        <w:t>-</w:t>
      </w:r>
      <w:r w:rsidRPr="0068348F">
        <w:tab/>
      </w:r>
      <m:oMath>
        <m:sSub>
          <m:sSubPr>
            <m:ctrlPr>
              <w:rPr>
                <w:rFonts w:ascii="Cambria Math" w:hAnsi="Cambria Math"/>
                <w:i/>
                <w:iCs/>
              </w:rPr>
            </m:ctrlPr>
          </m:sSubPr>
          <m:e>
            <m:r>
              <w:rPr>
                <w:rFonts w:ascii="Cambria Math" w:hAnsi="Cambria Math"/>
              </w:rPr>
              <m:t>μ</m:t>
            </m:r>
          </m:e>
          <m:sub>
            <m:r>
              <m:rPr>
                <m:sty m:val="p"/>
              </m:rPr>
              <w:rPr>
                <w:rFonts w:ascii="Cambria Math" w:hAnsi="Cambria Math"/>
              </w:rPr>
              <m:t>ref</m:t>
            </m:r>
          </m:sub>
        </m:sSub>
      </m:oMath>
      <w:r w:rsidRPr="001E2A52">
        <w:rPr>
          <w:rFonts w:eastAsiaTheme="minorEastAsia"/>
          <w:iCs/>
          <w:lang w:eastAsia="zh-CN"/>
        </w:rPr>
        <w:t>,</w:t>
      </w:r>
      <w:r w:rsidRPr="001E2A52">
        <w:rPr>
          <w:rFonts w:eastAsiaTheme="minorEastAsia"/>
          <w:lang w:eastAsia="zh-CN"/>
        </w:rPr>
        <w:t xml:space="preserve"> </w:t>
      </w:r>
      <m:oMath>
        <m:sSub>
          <m:sSubPr>
            <m:ctrlPr>
              <w:rPr>
                <w:rFonts w:ascii="Cambria Math" w:eastAsiaTheme="minorEastAsia" w:hAnsi="Cambria Math"/>
                <w:lang w:eastAsia="zh-CN"/>
              </w:rPr>
            </m:ctrlPr>
          </m:sSubPr>
          <m:e>
            <m:r>
              <w:rPr>
                <w:rFonts w:ascii="Cambria Math" w:eastAsiaTheme="minorEastAsia" w:hAnsi="Cambria Math"/>
                <w:lang w:eastAsia="zh-CN"/>
              </w:rPr>
              <m:t>u</m:t>
            </m:r>
          </m:e>
          <m:sub>
            <m:r>
              <m:rPr>
                <m:sty m:val="p"/>
              </m:rPr>
              <w:rPr>
                <w:rFonts w:ascii="Cambria Math" w:eastAsiaTheme="minorEastAsia" w:hAnsi="Cambria Math"/>
                <w:lang w:eastAsia="zh-CN"/>
              </w:rPr>
              <m:t>slots</m:t>
            </m:r>
          </m:sub>
        </m:sSub>
      </m:oMath>
      <w:r w:rsidRPr="001E2A52">
        <w:rPr>
          <w:rFonts w:eastAsiaTheme="minorEastAsia"/>
          <w:lang w:eastAsia="zh-CN"/>
        </w:rPr>
        <w:t xml:space="preserve">, </w:t>
      </w:r>
      <m:oMath>
        <m:sSub>
          <m:sSubPr>
            <m:ctrlPr>
              <w:rPr>
                <w:rFonts w:ascii="Cambria Math" w:eastAsiaTheme="minorEastAsia" w:hAnsi="Cambria Math"/>
                <w:lang w:eastAsia="zh-CN"/>
              </w:rPr>
            </m:ctrlPr>
          </m:sSubPr>
          <m:e>
            <m:r>
              <w:rPr>
                <w:rFonts w:ascii="Cambria Math" w:eastAsiaTheme="minorEastAsia" w:hAnsi="Cambria Math"/>
                <w:lang w:eastAsia="zh-CN"/>
              </w:rPr>
              <m:t>u</m:t>
            </m:r>
          </m:e>
          <m:sub>
            <m:r>
              <m:rPr>
                <m:sty m:val="p"/>
              </m:rPr>
              <w:rPr>
                <w:rFonts w:ascii="Cambria Math" w:eastAsiaTheme="minorEastAsia" w:hAnsi="Cambria Math"/>
                <w:lang w:eastAsia="zh-CN"/>
              </w:rPr>
              <m:t>sym</m:t>
            </m:r>
          </m:sub>
        </m:sSub>
      </m:oMath>
      <w:r w:rsidRPr="001E2A52">
        <w:rPr>
          <w:rFonts w:eastAsiaTheme="minorEastAsia"/>
          <w:lang w:eastAsia="zh-CN"/>
        </w:rPr>
        <w:t xml:space="preserve">, </w:t>
      </w:r>
      <m:oMath>
        <m:sSub>
          <m:sSubPr>
            <m:ctrlPr>
              <w:rPr>
                <w:rFonts w:ascii="Cambria Math" w:eastAsiaTheme="minorEastAsia" w:hAnsi="Cambria Math"/>
                <w:lang w:eastAsia="zh-CN"/>
              </w:rPr>
            </m:ctrlPr>
          </m:sSubPr>
          <m:e>
            <m:r>
              <w:rPr>
                <w:rFonts w:ascii="Cambria Math" w:eastAsiaTheme="minorEastAsia" w:hAnsi="Cambria Math"/>
                <w:lang w:eastAsia="zh-CN"/>
              </w:rPr>
              <m:t>u</m:t>
            </m:r>
          </m:e>
          <m:sub>
            <m:r>
              <m:rPr>
                <m:sty m:val="p"/>
              </m:rPr>
              <w:rPr>
                <w:rFonts w:ascii="Cambria Math" w:eastAsiaTheme="minorEastAsia" w:hAnsi="Cambria Math"/>
                <w:lang w:eastAsia="zh-CN"/>
              </w:rPr>
              <m:t>slots,2</m:t>
            </m:r>
          </m:sub>
        </m:sSub>
      </m:oMath>
      <w:r w:rsidRPr="001E2A52">
        <w:rPr>
          <w:rFonts w:eastAsiaTheme="minorEastAsia"/>
          <w:lang w:eastAsia="zh-CN"/>
        </w:rPr>
        <w:t xml:space="preserve">, </w:t>
      </w:r>
      <m:oMath>
        <m:sSub>
          <m:sSubPr>
            <m:ctrlPr>
              <w:rPr>
                <w:rFonts w:ascii="Cambria Math" w:eastAsiaTheme="minorEastAsia" w:hAnsi="Cambria Math"/>
                <w:lang w:eastAsia="zh-CN"/>
              </w:rPr>
            </m:ctrlPr>
          </m:sSubPr>
          <m:e>
            <m:r>
              <w:rPr>
                <w:rFonts w:ascii="Cambria Math" w:eastAsiaTheme="minorEastAsia" w:hAnsi="Cambria Math"/>
                <w:lang w:eastAsia="zh-CN"/>
              </w:rPr>
              <m:t>u</m:t>
            </m:r>
          </m:e>
          <m:sub>
            <m:r>
              <m:rPr>
                <m:sty m:val="p"/>
              </m:rPr>
              <w:rPr>
                <w:rFonts w:ascii="Cambria Math" w:eastAsiaTheme="minorEastAsia" w:hAnsi="Cambria Math"/>
                <w:lang w:eastAsia="zh-CN"/>
              </w:rPr>
              <m:t>sym,2</m:t>
            </m:r>
          </m:sub>
        </m:sSub>
      </m:oMath>
      <w:r w:rsidRPr="001E2A52">
        <w:rPr>
          <w:rFonts w:eastAsiaTheme="minorEastAsia"/>
          <w:lang w:eastAsia="zh-CN"/>
        </w:rPr>
        <w:t xml:space="preserve"> are </w:t>
      </w:r>
      <w:r w:rsidR="009F6EA2" w:rsidRPr="00F67668">
        <w:rPr>
          <w:rFonts w:eastAsiaTheme="minorEastAsia"/>
          <w:lang w:eastAsia="zh-CN"/>
        </w:rPr>
        <w:t xml:space="preserve">the parameters of </w:t>
      </w:r>
      <w:r w:rsidR="00B43E55">
        <w:rPr>
          <w:rFonts w:eastAsiaTheme="minorEastAsia"/>
          <w:i/>
          <w:lang w:eastAsia="zh-CN"/>
        </w:rPr>
        <w:t>tdd</w:t>
      </w:r>
      <w:r w:rsidR="009F6EA2" w:rsidRPr="00F67668">
        <w:rPr>
          <w:rFonts w:eastAsiaTheme="minorEastAsia"/>
          <w:i/>
          <w:lang w:eastAsia="zh-CN"/>
        </w:rPr>
        <w:t>-UL</w:t>
      </w:r>
      <w:r w:rsidR="009230EE">
        <w:rPr>
          <w:rFonts w:eastAsiaTheme="minorEastAsia"/>
          <w:i/>
          <w:lang w:eastAsia="zh-CN"/>
        </w:rPr>
        <w:t>-DL</w:t>
      </w:r>
      <w:r w:rsidR="009F6EA2" w:rsidRPr="00F67668">
        <w:rPr>
          <w:rFonts w:eastAsiaTheme="minorEastAsia"/>
          <w:i/>
          <w:lang w:eastAsia="zh-CN"/>
        </w:rPr>
        <w:t>-ConfigurationCommon</w:t>
      </w:r>
      <w:r w:rsidR="009F6EA2" w:rsidRPr="00F67668">
        <w:rPr>
          <w:rFonts w:eastAsiaTheme="minorEastAsia"/>
          <w:lang w:eastAsia="zh-CN"/>
        </w:rPr>
        <w:t xml:space="preserve"> as</w:t>
      </w:r>
      <w:r w:rsidR="009F6EA2" w:rsidRPr="001E2A52">
        <w:rPr>
          <w:rFonts w:eastAsiaTheme="minorEastAsia"/>
          <w:lang w:eastAsia="zh-CN"/>
        </w:rPr>
        <w:t xml:space="preserve"> </w:t>
      </w:r>
      <w:r w:rsidRPr="001E2A52">
        <w:rPr>
          <w:rFonts w:eastAsiaTheme="minorEastAsia"/>
          <w:lang w:eastAsia="zh-CN"/>
        </w:rPr>
        <w:t xml:space="preserve">described </w:t>
      </w:r>
      <w:r w:rsidR="006F5F9E">
        <w:rPr>
          <w:rFonts w:eastAsiaTheme="minorEastAsia"/>
          <w:lang w:eastAsia="zh-CN"/>
        </w:rPr>
        <w:t>in clause</w:t>
      </w:r>
      <w:r w:rsidRPr="001E2A52">
        <w:rPr>
          <w:rFonts w:eastAsiaTheme="minorEastAsia"/>
          <w:lang w:eastAsia="zh-CN"/>
        </w:rPr>
        <w:t xml:space="preserve"> 11.1</w:t>
      </w:r>
      <w:r w:rsidR="009F6EA2">
        <w:rPr>
          <w:rFonts w:eastAsiaTheme="minorEastAsia"/>
          <w:lang w:eastAsia="zh-CN"/>
        </w:rPr>
        <w:t xml:space="preserve">, or </w:t>
      </w:r>
      <w:r w:rsidR="009F6EA2" w:rsidRPr="00F67668">
        <w:rPr>
          <w:rFonts w:eastAsiaTheme="minorEastAsia"/>
          <w:lang w:eastAsia="zh-CN"/>
        </w:rPr>
        <w:t xml:space="preserve">the parameters of </w:t>
      </w:r>
      <w:r w:rsidR="009F6EA2" w:rsidRPr="00F67668">
        <w:rPr>
          <w:rFonts w:eastAsiaTheme="minorEastAsia"/>
          <w:i/>
          <w:lang w:eastAsia="zh-CN"/>
        </w:rPr>
        <w:t>sl-TDD-Configuration</w:t>
      </w:r>
      <w:r w:rsidR="009F6EA2" w:rsidRPr="00F67668">
        <w:rPr>
          <w:rFonts w:eastAsiaTheme="minorEastAsia"/>
          <w:lang w:eastAsia="zh-CN"/>
        </w:rPr>
        <w:t xml:space="preserve"> as defined in [</w:t>
      </w:r>
      <w:r w:rsidR="009230EE">
        <w:rPr>
          <w:rFonts w:eastAsiaTheme="minorEastAsia"/>
          <w:lang w:eastAsia="zh-CN"/>
        </w:rPr>
        <w:t>12</w:t>
      </w:r>
      <w:r w:rsidR="009F6EA2" w:rsidRPr="00F67668">
        <w:rPr>
          <w:rFonts w:eastAsiaTheme="minorEastAsia"/>
          <w:lang w:eastAsia="zh-CN"/>
        </w:rPr>
        <w:t>, TS 38.331]</w:t>
      </w:r>
    </w:p>
    <w:p w14:paraId="06B8B057" w14:textId="77777777" w:rsidR="003638A6" w:rsidRPr="001E2A52" w:rsidRDefault="003638A6" w:rsidP="005A1C83">
      <w:pPr>
        <w:pStyle w:val="B3"/>
        <w:rPr>
          <w:rFonts w:eastAsiaTheme="minorEastAsia"/>
          <w:lang w:eastAsia="zh-CN"/>
        </w:rPr>
      </w:pPr>
      <w:r w:rsidRPr="0068348F">
        <w:t>-</w:t>
      </w:r>
      <w:r w:rsidRPr="0068348F">
        <w:tab/>
      </w:r>
      <m:oMath>
        <m:r>
          <w:rPr>
            <w:rFonts w:ascii="Cambria Math" w:eastAsiaTheme="minorEastAsia" w:hAnsi="Cambria Math"/>
            <w:lang w:eastAsia="zh-CN"/>
          </w:rPr>
          <m:t>μ</m:t>
        </m:r>
        <m:r>
          <m:rPr>
            <m:sty m:val="p"/>
          </m:rPr>
          <w:rPr>
            <w:rFonts w:ascii="Cambria Math" w:eastAsiaTheme="minorEastAsia" w:hAnsi="Cambria Math"/>
            <w:lang w:eastAsia="zh-CN"/>
          </w:rPr>
          <m:t>=0, 1, 2, 3</m:t>
        </m:r>
      </m:oMath>
      <w:r w:rsidRPr="001E2A52">
        <w:rPr>
          <w:rFonts w:eastAsiaTheme="minorEastAsia"/>
          <w:lang w:eastAsia="zh-CN"/>
        </w:rPr>
        <w:t xml:space="preserve"> corresponds to SL SCS as defined in [4, TS 38.211]</w:t>
      </w:r>
    </w:p>
    <w:p w14:paraId="7651B086" w14:textId="6A34B342" w:rsidR="003638A6" w:rsidRPr="00B26A4A" w:rsidRDefault="003638A6" w:rsidP="005A1C83">
      <w:pPr>
        <w:pStyle w:val="TH"/>
      </w:pPr>
      <w:r w:rsidRPr="00B26A4A">
        <w:t>Table 16.1-1: Slot configuration period when one pattern is indicated</w:t>
      </w:r>
    </w:p>
    <w:tbl>
      <w:tblPr>
        <w:tblW w:w="485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1391"/>
        <w:gridCol w:w="3459"/>
      </w:tblGrid>
      <w:tr w:rsidR="003638A6" w:rsidRPr="00B26A4A" w14:paraId="6BACC2D0" w14:textId="77777777" w:rsidTr="00312C7C">
        <w:trPr>
          <w:cantSplit/>
          <w:jc w:val="center"/>
        </w:trPr>
        <w:tc>
          <w:tcPr>
            <w:tcW w:w="1391" w:type="dxa"/>
            <w:tcBorders>
              <w:top w:val="single" w:sz="8" w:space="0" w:color="auto"/>
              <w:left w:val="single" w:sz="8" w:space="0" w:color="auto"/>
              <w:bottom w:val="single" w:sz="8" w:space="0" w:color="auto"/>
              <w:right w:val="single" w:sz="8" w:space="0" w:color="auto"/>
            </w:tcBorders>
            <w:shd w:val="clear" w:color="auto" w:fill="E0E0E0"/>
            <w:vAlign w:val="center"/>
          </w:tcPr>
          <w:p w14:paraId="36EE0A5A" w14:textId="77777777" w:rsidR="003638A6" w:rsidRPr="00B26A4A" w:rsidRDefault="00000000" w:rsidP="003638A6">
            <w:pPr>
              <w:pStyle w:val="TAH"/>
              <w:rPr>
                <w:rFonts w:ascii="Times New Roman" w:hAnsi="Times New Roman"/>
                <w:i/>
              </w:rPr>
            </w:pPr>
            <m:oMathPara>
              <m:oMath>
                <m:sSub>
                  <m:sSubPr>
                    <m:ctrlPr>
                      <w:rPr>
                        <w:rFonts w:ascii="Cambria Math" w:hAnsi="Cambria Math"/>
                      </w:rPr>
                    </m:ctrlPr>
                  </m:sSubPr>
                  <m:e>
                    <m:r>
                      <m:rPr>
                        <m:sty m:val="bi"/>
                      </m:rPr>
                      <w:rPr>
                        <w:rFonts w:ascii="Cambria Math" w:hAnsi="Cambria Math"/>
                      </w:rPr>
                      <m:t>a</m:t>
                    </m:r>
                  </m:e>
                  <m:sub>
                    <m:r>
                      <m:rPr>
                        <m:sty m:val="b"/>
                      </m:rPr>
                      <w:rPr>
                        <w:rFonts w:ascii="Cambria Math" w:hAnsi="Cambria Math"/>
                      </w:rPr>
                      <m:t>1</m:t>
                    </m:r>
                  </m:sub>
                </m:sSub>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a</m:t>
                    </m:r>
                  </m:e>
                  <m:sub>
                    <m:r>
                      <m:rPr>
                        <m:sty m:val="b"/>
                      </m:rPr>
                      <w:rPr>
                        <w:rFonts w:ascii="Cambria Math" w:hAnsi="Cambria Math"/>
                      </w:rPr>
                      <m:t>2</m:t>
                    </m:r>
                  </m:sub>
                </m:sSub>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a</m:t>
                    </m:r>
                  </m:e>
                  <m:sub>
                    <m:r>
                      <m:rPr>
                        <m:sty m:val="b"/>
                      </m:rPr>
                      <w:rPr>
                        <w:rFonts w:ascii="Cambria Math" w:hAnsi="Cambria Math"/>
                      </w:rPr>
                      <m:t>3</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a</m:t>
                    </m:r>
                  </m:e>
                  <m:sub>
                    <m:r>
                      <m:rPr>
                        <m:sty m:val="b"/>
                      </m:rPr>
                      <w:rPr>
                        <w:rFonts w:ascii="Cambria Math" w:hAnsi="Cambria Math"/>
                      </w:rPr>
                      <m:t>4</m:t>
                    </m:r>
                  </m:sub>
                </m:sSub>
              </m:oMath>
            </m:oMathPara>
          </w:p>
        </w:tc>
        <w:tc>
          <w:tcPr>
            <w:tcW w:w="3459" w:type="dxa"/>
            <w:tcBorders>
              <w:top w:val="single" w:sz="8" w:space="0" w:color="auto"/>
              <w:left w:val="single" w:sz="8" w:space="0" w:color="auto"/>
              <w:bottom w:val="single" w:sz="8" w:space="0" w:color="auto"/>
              <w:right w:val="single" w:sz="8" w:space="0" w:color="auto"/>
            </w:tcBorders>
            <w:shd w:val="clear" w:color="auto" w:fill="E0E0E0"/>
          </w:tcPr>
          <w:p w14:paraId="650FFA55" w14:textId="77777777" w:rsidR="003638A6" w:rsidRPr="00B26A4A" w:rsidRDefault="003638A6" w:rsidP="00E545B0">
            <w:pPr>
              <w:pStyle w:val="TAH"/>
              <w:rPr>
                <w:rFonts w:ascii="Times New Roman" w:hAnsi="Times New Roman"/>
              </w:rPr>
            </w:pPr>
            <w:r w:rsidRPr="00B26A4A">
              <w:rPr>
                <w:rFonts w:ascii="Times New Roman" w:hAnsi="Times New Roman"/>
              </w:rPr>
              <w:t xml:space="preserve">Slot configuration period of </w:t>
            </w:r>
            <w:r w:rsidRPr="00B26A4A">
              <w:rPr>
                <w:rFonts w:ascii="Times New Roman" w:hAnsi="Times New Roman"/>
                <w:i/>
              </w:rPr>
              <w:t>pattern1</w:t>
            </w:r>
          </w:p>
          <w:p w14:paraId="31036E57" w14:textId="77777777" w:rsidR="003638A6" w:rsidRPr="00B26A4A" w:rsidRDefault="003638A6" w:rsidP="00B931CF">
            <w:pPr>
              <w:pStyle w:val="TAH"/>
              <w:rPr>
                <w:rFonts w:ascii="Times New Roman" w:eastAsia="DengXian" w:hAnsi="Times New Roman"/>
                <w:lang w:eastAsia="zh-CN"/>
              </w:rPr>
            </w:pPr>
            <m:oMath>
              <m:r>
                <m:rPr>
                  <m:sty m:val="bi"/>
                </m:rPr>
                <w:rPr>
                  <w:rFonts w:ascii="Cambria Math" w:hAnsi="Cambria Math"/>
                </w:rPr>
                <m:t>P</m:t>
              </m:r>
            </m:oMath>
            <w:r w:rsidRPr="00B26A4A">
              <w:rPr>
                <w:rFonts w:ascii="Times New Roman" w:eastAsia="DengXian" w:hAnsi="Times New Roman"/>
                <w:lang w:eastAsia="zh-CN"/>
              </w:rPr>
              <w:t xml:space="preserve"> (msec)</w:t>
            </w:r>
          </w:p>
        </w:tc>
      </w:tr>
      <w:tr w:rsidR="003638A6" w:rsidRPr="00B26A4A" w14:paraId="275DED98" w14:textId="77777777" w:rsidTr="00312C7C">
        <w:trPr>
          <w:cantSplit/>
          <w:jc w:val="center"/>
        </w:trPr>
        <w:tc>
          <w:tcPr>
            <w:tcW w:w="1391" w:type="dxa"/>
            <w:tcBorders>
              <w:top w:val="single" w:sz="8" w:space="0" w:color="auto"/>
              <w:left w:val="single" w:sz="8" w:space="0" w:color="auto"/>
              <w:bottom w:val="single" w:sz="8" w:space="0" w:color="auto"/>
              <w:right w:val="single" w:sz="8" w:space="0" w:color="auto"/>
            </w:tcBorders>
            <w:vAlign w:val="center"/>
          </w:tcPr>
          <w:p w14:paraId="5DBAA324" w14:textId="77777777" w:rsidR="003638A6" w:rsidRPr="00B26A4A" w:rsidRDefault="003638A6" w:rsidP="003638A6">
            <w:pPr>
              <w:pStyle w:val="TAC"/>
            </w:pPr>
            <w:r w:rsidRPr="00B26A4A">
              <w:t>0</w:t>
            </w:r>
            <w:r>
              <w:t>, 0, 0, 0</w:t>
            </w:r>
          </w:p>
        </w:tc>
        <w:tc>
          <w:tcPr>
            <w:tcW w:w="3459" w:type="dxa"/>
            <w:tcBorders>
              <w:top w:val="single" w:sz="8" w:space="0" w:color="auto"/>
              <w:left w:val="single" w:sz="8" w:space="0" w:color="auto"/>
              <w:bottom w:val="single" w:sz="8" w:space="0" w:color="auto"/>
              <w:right w:val="single" w:sz="8" w:space="0" w:color="auto"/>
            </w:tcBorders>
          </w:tcPr>
          <w:p w14:paraId="5C118666" w14:textId="77777777" w:rsidR="003638A6" w:rsidRPr="00B26A4A" w:rsidRDefault="003638A6" w:rsidP="005A1C83">
            <w:pPr>
              <w:pStyle w:val="TAC"/>
            </w:pPr>
            <w:r w:rsidRPr="00B26A4A">
              <w:t>0.5</w:t>
            </w:r>
          </w:p>
        </w:tc>
      </w:tr>
      <w:tr w:rsidR="003638A6" w:rsidRPr="00B26A4A" w14:paraId="3E2035BC" w14:textId="77777777" w:rsidTr="00312C7C">
        <w:trPr>
          <w:cantSplit/>
          <w:jc w:val="center"/>
        </w:trPr>
        <w:tc>
          <w:tcPr>
            <w:tcW w:w="1391" w:type="dxa"/>
            <w:tcBorders>
              <w:top w:val="single" w:sz="8" w:space="0" w:color="auto"/>
              <w:left w:val="single" w:sz="8" w:space="0" w:color="auto"/>
              <w:bottom w:val="single" w:sz="8" w:space="0" w:color="auto"/>
              <w:right w:val="single" w:sz="8" w:space="0" w:color="auto"/>
            </w:tcBorders>
            <w:vAlign w:val="center"/>
          </w:tcPr>
          <w:p w14:paraId="5970A155" w14:textId="77777777" w:rsidR="003638A6" w:rsidRPr="00B26A4A" w:rsidRDefault="003638A6" w:rsidP="003638A6">
            <w:pPr>
              <w:pStyle w:val="TAC"/>
              <w:rPr>
                <w:rFonts w:eastAsia="DengXian"/>
                <w:lang w:eastAsia="zh-CN"/>
              </w:rPr>
            </w:pPr>
            <w:r>
              <w:rPr>
                <w:rFonts w:eastAsia="DengXian"/>
                <w:lang w:eastAsia="zh-CN"/>
              </w:rPr>
              <w:t xml:space="preserve">0, 0, 0, </w:t>
            </w:r>
            <w:r w:rsidRPr="00B26A4A">
              <w:rPr>
                <w:rFonts w:eastAsia="DengXian"/>
                <w:lang w:eastAsia="zh-CN"/>
              </w:rPr>
              <w:t>1</w:t>
            </w:r>
          </w:p>
        </w:tc>
        <w:tc>
          <w:tcPr>
            <w:tcW w:w="3459" w:type="dxa"/>
            <w:tcBorders>
              <w:top w:val="single" w:sz="8" w:space="0" w:color="auto"/>
              <w:left w:val="single" w:sz="8" w:space="0" w:color="auto"/>
              <w:bottom w:val="single" w:sz="8" w:space="0" w:color="auto"/>
              <w:right w:val="single" w:sz="8" w:space="0" w:color="auto"/>
            </w:tcBorders>
          </w:tcPr>
          <w:p w14:paraId="50EA0DCC" w14:textId="77777777" w:rsidR="003638A6" w:rsidRPr="00B26A4A" w:rsidRDefault="003638A6" w:rsidP="005A1C83">
            <w:pPr>
              <w:pStyle w:val="TAC"/>
            </w:pPr>
            <w:r w:rsidRPr="00B26A4A">
              <w:t>0.625</w:t>
            </w:r>
          </w:p>
        </w:tc>
      </w:tr>
      <w:tr w:rsidR="003638A6" w:rsidRPr="00B26A4A" w14:paraId="64BAF9D7" w14:textId="77777777" w:rsidTr="00312C7C">
        <w:trPr>
          <w:cantSplit/>
          <w:jc w:val="center"/>
        </w:trPr>
        <w:tc>
          <w:tcPr>
            <w:tcW w:w="1391" w:type="dxa"/>
            <w:tcBorders>
              <w:top w:val="single" w:sz="8" w:space="0" w:color="auto"/>
              <w:left w:val="single" w:sz="8" w:space="0" w:color="auto"/>
              <w:bottom w:val="single" w:sz="8" w:space="0" w:color="auto"/>
              <w:right w:val="single" w:sz="8" w:space="0" w:color="auto"/>
            </w:tcBorders>
            <w:vAlign w:val="center"/>
          </w:tcPr>
          <w:p w14:paraId="74BA32FA" w14:textId="77777777" w:rsidR="003638A6" w:rsidRPr="00B26A4A" w:rsidRDefault="003638A6" w:rsidP="003638A6">
            <w:pPr>
              <w:pStyle w:val="TAC"/>
              <w:rPr>
                <w:rFonts w:eastAsia="DengXian"/>
                <w:lang w:eastAsia="zh-CN"/>
              </w:rPr>
            </w:pPr>
            <w:r>
              <w:rPr>
                <w:rFonts w:eastAsia="DengXian"/>
                <w:lang w:eastAsia="zh-CN"/>
              </w:rPr>
              <w:t>0, 0, 1, 0</w:t>
            </w:r>
          </w:p>
        </w:tc>
        <w:tc>
          <w:tcPr>
            <w:tcW w:w="3459" w:type="dxa"/>
            <w:tcBorders>
              <w:top w:val="single" w:sz="8" w:space="0" w:color="auto"/>
              <w:left w:val="single" w:sz="8" w:space="0" w:color="auto"/>
              <w:bottom w:val="single" w:sz="8" w:space="0" w:color="auto"/>
              <w:right w:val="single" w:sz="8" w:space="0" w:color="auto"/>
            </w:tcBorders>
          </w:tcPr>
          <w:p w14:paraId="26429E2D" w14:textId="77777777" w:rsidR="003638A6" w:rsidRPr="00B26A4A" w:rsidRDefault="003638A6" w:rsidP="005A1C83">
            <w:pPr>
              <w:pStyle w:val="TAC"/>
            </w:pPr>
            <w:r w:rsidRPr="00B26A4A">
              <w:t>1</w:t>
            </w:r>
          </w:p>
        </w:tc>
      </w:tr>
      <w:tr w:rsidR="003638A6" w:rsidRPr="00B26A4A" w14:paraId="66AF86DA" w14:textId="77777777" w:rsidTr="00312C7C">
        <w:trPr>
          <w:cantSplit/>
          <w:jc w:val="center"/>
        </w:trPr>
        <w:tc>
          <w:tcPr>
            <w:tcW w:w="1391" w:type="dxa"/>
            <w:tcBorders>
              <w:top w:val="single" w:sz="8" w:space="0" w:color="auto"/>
              <w:left w:val="single" w:sz="8" w:space="0" w:color="auto"/>
              <w:bottom w:val="single" w:sz="8" w:space="0" w:color="auto"/>
              <w:right w:val="single" w:sz="8" w:space="0" w:color="auto"/>
            </w:tcBorders>
            <w:vAlign w:val="center"/>
          </w:tcPr>
          <w:p w14:paraId="740F909B" w14:textId="77777777" w:rsidR="003638A6" w:rsidRPr="00B26A4A" w:rsidRDefault="003638A6" w:rsidP="003638A6">
            <w:pPr>
              <w:pStyle w:val="TAC"/>
              <w:rPr>
                <w:rFonts w:eastAsia="DengXian"/>
                <w:lang w:eastAsia="zh-CN"/>
              </w:rPr>
            </w:pPr>
            <w:r>
              <w:rPr>
                <w:rFonts w:eastAsia="DengXian"/>
                <w:lang w:eastAsia="zh-CN"/>
              </w:rPr>
              <w:t>0, 0, 1, 1</w:t>
            </w:r>
          </w:p>
        </w:tc>
        <w:tc>
          <w:tcPr>
            <w:tcW w:w="3459" w:type="dxa"/>
            <w:tcBorders>
              <w:top w:val="single" w:sz="8" w:space="0" w:color="auto"/>
              <w:left w:val="single" w:sz="8" w:space="0" w:color="auto"/>
              <w:bottom w:val="single" w:sz="8" w:space="0" w:color="auto"/>
              <w:right w:val="single" w:sz="8" w:space="0" w:color="auto"/>
            </w:tcBorders>
          </w:tcPr>
          <w:p w14:paraId="142B92E8" w14:textId="77777777" w:rsidR="003638A6" w:rsidRPr="00B26A4A" w:rsidRDefault="003638A6" w:rsidP="005A1C83">
            <w:pPr>
              <w:pStyle w:val="TAC"/>
            </w:pPr>
            <w:r w:rsidRPr="00B26A4A">
              <w:t>1.25</w:t>
            </w:r>
          </w:p>
        </w:tc>
      </w:tr>
      <w:tr w:rsidR="003638A6" w:rsidRPr="00B26A4A" w14:paraId="6025A240" w14:textId="77777777" w:rsidTr="00312C7C">
        <w:trPr>
          <w:cantSplit/>
          <w:jc w:val="center"/>
        </w:trPr>
        <w:tc>
          <w:tcPr>
            <w:tcW w:w="1391" w:type="dxa"/>
            <w:tcBorders>
              <w:top w:val="single" w:sz="8" w:space="0" w:color="auto"/>
              <w:left w:val="single" w:sz="8" w:space="0" w:color="auto"/>
              <w:bottom w:val="single" w:sz="8" w:space="0" w:color="auto"/>
              <w:right w:val="single" w:sz="8" w:space="0" w:color="auto"/>
            </w:tcBorders>
            <w:vAlign w:val="center"/>
          </w:tcPr>
          <w:p w14:paraId="76D5385A" w14:textId="77777777" w:rsidR="003638A6" w:rsidRPr="00B26A4A" w:rsidRDefault="003638A6" w:rsidP="003638A6">
            <w:pPr>
              <w:pStyle w:val="TAC"/>
              <w:rPr>
                <w:rFonts w:eastAsia="DengXian"/>
                <w:lang w:eastAsia="zh-CN"/>
              </w:rPr>
            </w:pPr>
            <w:r>
              <w:rPr>
                <w:rFonts w:eastAsia="DengXian"/>
                <w:lang w:eastAsia="zh-CN"/>
              </w:rPr>
              <w:t>0, 1, 0, 0</w:t>
            </w:r>
          </w:p>
        </w:tc>
        <w:tc>
          <w:tcPr>
            <w:tcW w:w="3459" w:type="dxa"/>
            <w:tcBorders>
              <w:top w:val="single" w:sz="8" w:space="0" w:color="auto"/>
              <w:left w:val="single" w:sz="8" w:space="0" w:color="auto"/>
              <w:bottom w:val="single" w:sz="8" w:space="0" w:color="auto"/>
              <w:right w:val="single" w:sz="8" w:space="0" w:color="auto"/>
            </w:tcBorders>
          </w:tcPr>
          <w:p w14:paraId="6CDFC8C2" w14:textId="77777777" w:rsidR="003638A6" w:rsidRPr="00B26A4A" w:rsidRDefault="003638A6" w:rsidP="005A1C83">
            <w:pPr>
              <w:pStyle w:val="TAC"/>
            </w:pPr>
            <w:r w:rsidRPr="00B26A4A">
              <w:t>2</w:t>
            </w:r>
          </w:p>
        </w:tc>
      </w:tr>
      <w:tr w:rsidR="003638A6" w:rsidRPr="00B26A4A" w14:paraId="714418C9" w14:textId="77777777" w:rsidTr="00312C7C">
        <w:trPr>
          <w:cantSplit/>
          <w:jc w:val="center"/>
        </w:trPr>
        <w:tc>
          <w:tcPr>
            <w:tcW w:w="1391" w:type="dxa"/>
            <w:tcBorders>
              <w:top w:val="single" w:sz="8" w:space="0" w:color="auto"/>
              <w:left w:val="single" w:sz="8" w:space="0" w:color="auto"/>
              <w:bottom w:val="single" w:sz="8" w:space="0" w:color="auto"/>
              <w:right w:val="single" w:sz="8" w:space="0" w:color="auto"/>
            </w:tcBorders>
            <w:vAlign w:val="center"/>
          </w:tcPr>
          <w:p w14:paraId="1ECE611F" w14:textId="77777777" w:rsidR="003638A6" w:rsidRPr="00B26A4A" w:rsidRDefault="003638A6" w:rsidP="003638A6">
            <w:pPr>
              <w:pStyle w:val="TAC"/>
              <w:rPr>
                <w:rFonts w:eastAsia="DengXian"/>
                <w:lang w:eastAsia="zh-CN"/>
              </w:rPr>
            </w:pPr>
            <w:r>
              <w:rPr>
                <w:rFonts w:eastAsia="DengXian"/>
                <w:lang w:eastAsia="zh-CN"/>
              </w:rPr>
              <w:t>0, 1, 0, 1</w:t>
            </w:r>
          </w:p>
        </w:tc>
        <w:tc>
          <w:tcPr>
            <w:tcW w:w="3459" w:type="dxa"/>
            <w:tcBorders>
              <w:top w:val="single" w:sz="8" w:space="0" w:color="auto"/>
              <w:left w:val="single" w:sz="8" w:space="0" w:color="auto"/>
              <w:bottom w:val="single" w:sz="8" w:space="0" w:color="auto"/>
              <w:right w:val="single" w:sz="8" w:space="0" w:color="auto"/>
            </w:tcBorders>
          </w:tcPr>
          <w:p w14:paraId="6E709D01" w14:textId="77777777" w:rsidR="003638A6" w:rsidRPr="00B26A4A" w:rsidRDefault="003638A6" w:rsidP="005A1C83">
            <w:pPr>
              <w:pStyle w:val="TAC"/>
            </w:pPr>
            <w:r w:rsidRPr="00B26A4A">
              <w:t>2.5</w:t>
            </w:r>
          </w:p>
        </w:tc>
      </w:tr>
      <w:tr w:rsidR="003638A6" w:rsidRPr="00B26A4A" w14:paraId="55D87D8D" w14:textId="77777777" w:rsidTr="00312C7C">
        <w:trPr>
          <w:cantSplit/>
          <w:jc w:val="center"/>
        </w:trPr>
        <w:tc>
          <w:tcPr>
            <w:tcW w:w="1391" w:type="dxa"/>
            <w:tcBorders>
              <w:top w:val="single" w:sz="8" w:space="0" w:color="auto"/>
              <w:left w:val="single" w:sz="8" w:space="0" w:color="auto"/>
              <w:bottom w:val="single" w:sz="8" w:space="0" w:color="auto"/>
              <w:right w:val="single" w:sz="8" w:space="0" w:color="auto"/>
            </w:tcBorders>
            <w:vAlign w:val="center"/>
          </w:tcPr>
          <w:p w14:paraId="5C77C6BC" w14:textId="77777777" w:rsidR="003638A6" w:rsidRPr="00B26A4A" w:rsidRDefault="003638A6" w:rsidP="003638A6">
            <w:pPr>
              <w:pStyle w:val="TAC"/>
              <w:rPr>
                <w:rFonts w:eastAsia="DengXian"/>
                <w:lang w:eastAsia="zh-CN"/>
              </w:rPr>
            </w:pPr>
            <w:r>
              <w:rPr>
                <w:rFonts w:eastAsia="DengXian"/>
                <w:lang w:eastAsia="zh-CN"/>
              </w:rPr>
              <w:t>0, 1, 1, 0</w:t>
            </w:r>
          </w:p>
        </w:tc>
        <w:tc>
          <w:tcPr>
            <w:tcW w:w="3459" w:type="dxa"/>
            <w:tcBorders>
              <w:top w:val="single" w:sz="8" w:space="0" w:color="auto"/>
              <w:left w:val="single" w:sz="8" w:space="0" w:color="auto"/>
              <w:bottom w:val="single" w:sz="8" w:space="0" w:color="auto"/>
              <w:right w:val="single" w:sz="8" w:space="0" w:color="auto"/>
            </w:tcBorders>
          </w:tcPr>
          <w:p w14:paraId="7A1013E7" w14:textId="77777777" w:rsidR="003638A6" w:rsidRPr="00B26A4A" w:rsidRDefault="003638A6" w:rsidP="005A1C83">
            <w:pPr>
              <w:pStyle w:val="TAC"/>
            </w:pPr>
            <w:r w:rsidRPr="00B26A4A">
              <w:t>4</w:t>
            </w:r>
          </w:p>
        </w:tc>
      </w:tr>
      <w:tr w:rsidR="003638A6" w:rsidRPr="00B26A4A" w14:paraId="67663CA8" w14:textId="77777777" w:rsidTr="00312C7C">
        <w:trPr>
          <w:cantSplit/>
          <w:jc w:val="center"/>
        </w:trPr>
        <w:tc>
          <w:tcPr>
            <w:tcW w:w="1391" w:type="dxa"/>
            <w:tcBorders>
              <w:top w:val="single" w:sz="8" w:space="0" w:color="auto"/>
              <w:left w:val="single" w:sz="8" w:space="0" w:color="auto"/>
              <w:bottom w:val="single" w:sz="8" w:space="0" w:color="auto"/>
              <w:right w:val="single" w:sz="8" w:space="0" w:color="auto"/>
            </w:tcBorders>
            <w:vAlign w:val="center"/>
          </w:tcPr>
          <w:p w14:paraId="6D557525" w14:textId="77777777" w:rsidR="003638A6" w:rsidRPr="00B26A4A" w:rsidRDefault="003638A6" w:rsidP="003638A6">
            <w:pPr>
              <w:pStyle w:val="TAC"/>
              <w:rPr>
                <w:rFonts w:eastAsia="DengXian"/>
                <w:lang w:eastAsia="zh-CN"/>
              </w:rPr>
            </w:pPr>
            <w:r>
              <w:rPr>
                <w:rFonts w:eastAsia="DengXian"/>
                <w:lang w:eastAsia="zh-CN"/>
              </w:rPr>
              <w:t>0, 1, 1, 1</w:t>
            </w:r>
          </w:p>
        </w:tc>
        <w:tc>
          <w:tcPr>
            <w:tcW w:w="3459" w:type="dxa"/>
            <w:tcBorders>
              <w:top w:val="single" w:sz="8" w:space="0" w:color="auto"/>
              <w:left w:val="single" w:sz="8" w:space="0" w:color="auto"/>
              <w:bottom w:val="single" w:sz="8" w:space="0" w:color="auto"/>
              <w:right w:val="single" w:sz="8" w:space="0" w:color="auto"/>
            </w:tcBorders>
          </w:tcPr>
          <w:p w14:paraId="027BEE01" w14:textId="77777777" w:rsidR="003638A6" w:rsidRPr="00B26A4A" w:rsidRDefault="003638A6" w:rsidP="005A1C83">
            <w:pPr>
              <w:pStyle w:val="TAC"/>
            </w:pPr>
            <w:r w:rsidRPr="00B26A4A">
              <w:t>5</w:t>
            </w:r>
          </w:p>
        </w:tc>
      </w:tr>
      <w:tr w:rsidR="003638A6" w:rsidRPr="00B26A4A" w14:paraId="62E40730" w14:textId="77777777" w:rsidTr="00312C7C">
        <w:trPr>
          <w:cantSplit/>
          <w:jc w:val="center"/>
        </w:trPr>
        <w:tc>
          <w:tcPr>
            <w:tcW w:w="1391" w:type="dxa"/>
            <w:tcBorders>
              <w:top w:val="single" w:sz="8" w:space="0" w:color="auto"/>
              <w:left w:val="single" w:sz="8" w:space="0" w:color="auto"/>
              <w:bottom w:val="single" w:sz="8" w:space="0" w:color="auto"/>
              <w:right w:val="single" w:sz="8" w:space="0" w:color="auto"/>
            </w:tcBorders>
            <w:vAlign w:val="center"/>
          </w:tcPr>
          <w:p w14:paraId="5831DDE3" w14:textId="77777777" w:rsidR="003638A6" w:rsidRPr="00B26A4A" w:rsidRDefault="003638A6" w:rsidP="003638A6">
            <w:pPr>
              <w:pStyle w:val="TAC"/>
              <w:rPr>
                <w:rFonts w:eastAsia="DengXian"/>
                <w:lang w:eastAsia="zh-CN"/>
              </w:rPr>
            </w:pPr>
            <w:r>
              <w:rPr>
                <w:rFonts w:eastAsia="DengXian"/>
                <w:lang w:eastAsia="zh-CN"/>
              </w:rPr>
              <w:t>1, 0, 0, 0</w:t>
            </w:r>
          </w:p>
        </w:tc>
        <w:tc>
          <w:tcPr>
            <w:tcW w:w="3459" w:type="dxa"/>
            <w:tcBorders>
              <w:top w:val="single" w:sz="8" w:space="0" w:color="auto"/>
              <w:left w:val="single" w:sz="8" w:space="0" w:color="auto"/>
              <w:bottom w:val="single" w:sz="8" w:space="0" w:color="auto"/>
              <w:right w:val="single" w:sz="8" w:space="0" w:color="auto"/>
            </w:tcBorders>
          </w:tcPr>
          <w:p w14:paraId="0C1A2AAE" w14:textId="77777777" w:rsidR="003638A6" w:rsidRPr="00B26A4A" w:rsidRDefault="003638A6" w:rsidP="005A1C83">
            <w:pPr>
              <w:pStyle w:val="TAC"/>
            </w:pPr>
            <w:r w:rsidRPr="00B26A4A">
              <w:t>10</w:t>
            </w:r>
          </w:p>
        </w:tc>
      </w:tr>
      <w:tr w:rsidR="003638A6" w:rsidRPr="00B26A4A" w14:paraId="1284A2FC" w14:textId="77777777" w:rsidTr="00312C7C">
        <w:trPr>
          <w:cantSplit/>
          <w:jc w:val="center"/>
        </w:trPr>
        <w:tc>
          <w:tcPr>
            <w:tcW w:w="1391" w:type="dxa"/>
            <w:tcBorders>
              <w:top w:val="single" w:sz="8" w:space="0" w:color="auto"/>
              <w:left w:val="single" w:sz="8" w:space="0" w:color="auto"/>
              <w:bottom w:val="single" w:sz="8" w:space="0" w:color="auto"/>
              <w:right w:val="single" w:sz="8" w:space="0" w:color="auto"/>
            </w:tcBorders>
            <w:vAlign w:val="center"/>
          </w:tcPr>
          <w:p w14:paraId="60F49C32" w14:textId="77777777" w:rsidR="003638A6" w:rsidRPr="00B26A4A" w:rsidRDefault="003638A6" w:rsidP="003638A6">
            <w:pPr>
              <w:pStyle w:val="TAC"/>
              <w:rPr>
                <w:rFonts w:eastAsia="DengXian"/>
                <w:lang w:eastAsia="zh-CN"/>
              </w:rPr>
            </w:pPr>
            <w:r>
              <w:rPr>
                <w:rFonts w:eastAsia="DengXian"/>
                <w:lang w:eastAsia="zh-CN"/>
              </w:rPr>
              <w:t>Reserved</w:t>
            </w:r>
          </w:p>
        </w:tc>
        <w:tc>
          <w:tcPr>
            <w:tcW w:w="3459" w:type="dxa"/>
            <w:tcBorders>
              <w:top w:val="single" w:sz="8" w:space="0" w:color="auto"/>
              <w:left w:val="single" w:sz="8" w:space="0" w:color="auto"/>
              <w:bottom w:val="single" w:sz="8" w:space="0" w:color="auto"/>
              <w:right w:val="single" w:sz="8" w:space="0" w:color="auto"/>
            </w:tcBorders>
            <w:vAlign w:val="center"/>
          </w:tcPr>
          <w:p w14:paraId="23190940" w14:textId="77777777" w:rsidR="003638A6" w:rsidRPr="00B26A4A" w:rsidRDefault="003638A6" w:rsidP="005A1C83">
            <w:pPr>
              <w:pStyle w:val="TAC"/>
            </w:pPr>
            <w:r w:rsidRPr="00B26A4A">
              <w:t>Reserved</w:t>
            </w:r>
          </w:p>
        </w:tc>
      </w:tr>
    </w:tbl>
    <w:p w14:paraId="4192AE60" w14:textId="77777777" w:rsidR="003638A6" w:rsidRDefault="003638A6" w:rsidP="005A1C83"/>
    <w:p w14:paraId="056D6302" w14:textId="4B136190" w:rsidR="003638A6" w:rsidRPr="00B26A4A" w:rsidRDefault="003638A6" w:rsidP="005A1C83">
      <w:pPr>
        <w:pStyle w:val="TH"/>
      </w:pPr>
      <w:r w:rsidRPr="00B26A4A">
        <w:t>Table 16.1-2: Slot configuration period</w:t>
      </w:r>
      <w:r w:rsidRPr="00B26A4A">
        <w:rPr>
          <w:rFonts w:eastAsiaTheme="minorEastAsia"/>
          <w:lang w:eastAsia="zh-CN"/>
        </w:rPr>
        <w:t xml:space="preserve"> and granularity</w:t>
      </w:r>
      <w:r w:rsidRPr="00B26A4A">
        <w:t xml:space="preserve"> when two patterns are indicated</w:t>
      </w:r>
    </w:p>
    <w:tbl>
      <w:tblPr>
        <w:tblW w:w="8901" w:type="dxa"/>
        <w:jc w:val="center"/>
        <w:tblLayout w:type="fixed"/>
        <w:tblCellMar>
          <w:left w:w="0" w:type="dxa"/>
          <w:right w:w="0" w:type="dxa"/>
        </w:tblCellMar>
        <w:tblLook w:val="04A0" w:firstRow="1" w:lastRow="0" w:firstColumn="1" w:lastColumn="0" w:noHBand="0" w:noVBand="1"/>
      </w:tblPr>
      <w:tblGrid>
        <w:gridCol w:w="1260"/>
        <w:gridCol w:w="1880"/>
        <w:gridCol w:w="1980"/>
        <w:gridCol w:w="1029"/>
        <w:gridCol w:w="850"/>
        <w:gridCol w:w="993"/>
        <w:gridCol w:w="909"/>
      </w:tblGrid>
      <w:tr w:rsidR="003638A6" w:rsidRPr="00B26A4A" w14:paraId="61ABB2A5" w14:textId="77777777" w:rsidTr="005A1C83">
        <w:trPr>
          <w:trHeight w:val="20"/>
          <w:jc w:val="center"/>
        </w:trPr>
        <w:tc>
          <w:tcPr>
            <w:tcW w:w="1260" w:type="dxa"/>
            <w:vMerge w:val="restar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vAlign w:val="center"/>
          </w:tcPr>
          <w:p w14:paraId="507C05D0" w14:textId="77777777" w:rsidR="003638A6" w:rsidRPr="00B26A4A" w:rsidRDefault="00000000" w:rsidP="005A1C83">
            <w:pPr>
              <w:pStyle w:val="TAH"/>
              <w:rPr>
                <w:rFonts w:ascii="Times New Roman" w:hAnsi="Times New Roman"/>
              </w:rPr>
            </w:pPr>
            <m:oMathPara>
              <m:oMath>
                <m:sSub>
                  <m:sSubPr>
                    <m:ctrlPr>
                      <w:rPr>
                        <w:rFonts w:ascii="Cambria Math" w:hAnsi="Cambria Math"/>
                      </w:rPr>
                    </m:ctrlPr>
                  </m:sSubPr>
                  <m:e>
                    <m:r>
                      <m:rPr>
                        <m:sty m:val="bi"/>
                      </m:rPr>
                      <w:rPr>
                        <w:rFonts w:ascii="Cambria Math" w:hAnsi="Cambria Math"/>
                      </w:rPr>
                      <m:t>a</m:t>
                    </m:r>
                  </m:e>
                  <m:sub>
                    <m:r>
                      <m:rPr>
                        <m:sty m:val="b"/>
                      </m:rPr>
                      <w:rPr>
                        <w:rFonts w:ascii="Cambria Math" w:hAnsi="Cambria Math"/>
                      </w:rPr>
                      <m:t>1</m:t>
                    </m:r>
                  </m:sub>
                </m:sSub>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a</m:t>
                    </m:r>
                  </m:e>
                  <m:sub>
                    <m:r>
                      <m:rPr>
                        <m:sty m:val="b"/>
                      </m:rPr>
                      <w:rPr>
                        <w:rFonts w:ascii="Cambria Math" w:hAnsi="Cambria Math"/>
                      </w:rPr>
                      <m:t>2</m:t>
                    </m:r>
                  </m:sub>
                </m:sSub>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a</m:t>
                    </m:r>
                  </m:e>
                  <m:sub>
                    <m:r>
                      <m:rPr>
                        <m:sty m:val="b"/>
                      </m:rPr>
                      <w:rPr>
                        <w:rFonts w:ascii="Cambria Math" w:hAnsi="Cambria Math"/>
                      </w:rPr>
                      <m:t>3</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a</m:t>
                    </m:r>
                  </m:e>
                  <m:sub>
                    <m:r>
                      <m:rPr>
                        <m:sty m:val="b"/>
                      </m:rPr>
                      <w:rPr>
                        <w:rFonts w:ascii="Cambria Math" w:hAnsi="Cambria Math"/>
                      </w:rPr>
                      <m:t>4</m:t>
                    </m:r>
                  </m:sub>
                </m:sSub>
              </m:oMath>
            </m:oMathPara>
          </w:p>
        </w:tc>
        <w:tc>
          <w:tcPr>
            <w:tcW w:w="1880" w:type="dxa"/>
            <w:vMerge w:val="restart"/>
            <w:tcBorders>
              <w:top w:val="single" w:sz="8" w:space="0" w:color="auto"/>
              <w:left w:val="nil"/>
              <w:right w:val="single" w:sz="8" w:space="0" w:color="auto"/>
            </w:tcBorders>
            <w:shd w:val="clear" w:color="auto" w:fill="BFBFBF"/>
            <w:tcMar>
              <w:top w:w="0" w:type="dxa"/>
              <w:left w:w="108" w:type="dxa"/>
              <w:bottom w:w="0" w:type="dxa"/>
              <w:right w:w="108" w:type="dxa"/>
            </w:tcMar>
            <w:vAlign w:val="center"/>
          </w:tcPr>
          <w:p w14:paraId="40F7DE58" w14:textId="77777777" w:rsidR="003638A6" w:rsidRPr="00B26A4A" w:rsidRDefault="003638A6" w:rsidP="005A1C83">
            <w:pPr>
              <w:pStyle w:val="TAH"/>
              <w:rPr>
                <w:rFonts w:ascii="Times New Roman" w:hAnsi="Times New Roman"/>
              </w:rPr>
            </w:pPr>
            <w:r w:rsidRPr="00B26A4A">
              <w:rPr>
                <w:rFonts w:ascii="Times New Roman" w:hAnsi="Times New Roman"/>
              </w:rPr>
              <w:t xml:space="preserve">Slot configuration period of </w:t>
            </w:r>
            <w:r w:rsidRPr="00B26A4A">
              <w:rPr>
                <w:rFonts w:ascii="Times New Roman" w:hAnsi="Times New Roman"/>
                <w:i/>
              </w:rPr>
              <w:t>pattern1</w:t>
            </w:r>
          </w:p>
          <w:p w14:paraId="0019B163" w14:textId="77777777" w:rsidR="003638A6" w:rsidRPr="00B26A4A" w:rsidRDefault="003638A6" w:rsidP="005A1C83">
            <w:pPr>
              <w:pStyle w:val="TAH"/>
              <w:rPr>
                <w:color w:val="000000"/>
              </w:rPr>
            </w:pPr>
            <m:oMath>
              <m:r>
                <m:rPr>
                  <m:sty m:val="bi"/>
                </m:rPr>
                <w:rPr>
                  <w:rFonts w:ascii="Cambria Math" w:hAnsi="Cambria Math"/>
                </w:rPr>
                <m:t>P</m:t>
              </m:r>
            </m:oMath>
            <w:r w:rsidRPr="00B26A4A">
              <w:rPr>
                <w:rFonts w:eastAsia="DengXian"/>
                <w:lang w:eastAsia="zh-CN"/>
              </w:rPr>
              <w:t xml:space="preserve"> (msec)</w:t>
            </w:r>
          </w:p>
        </w:tc>
        <w:tc>
          <w:tcPr>
            <w:tcW w:w="1980" w:type="dxa"/>
            <w:vMerge w:val="restart"/>
            <w:tcBorders>
              <w:top w:val="single" w:sz="8" w:space="0" w:color="auto"/>
              <w:left w:val="nil"/>
              <w:right w:val="single" w:sz="8" w:space="0" w:color="auto"/>
            </w:tcBorders>
            <w:shd w:val="clear" w:color="auto" w:fill="BFBFBF"/>
            <w:vAlign w:val="center"/>
          </w:tcPr>
          <w:p w14:paraId="74B6C727" w14:textId="77777777" w:rsidR="003638A6" w:rsidRPr="00B26A4A" w:rsidRDefault="003638A6" w:rsidP="005A1C83">
            <w:pPr>
              <w:pStyle w:val="TAH"/>
              <w:rPr>
                <w:rFonts w:ascii="Times New Roman" w:hAnsi="Times New Roman"/>
              </w:rPr>
            </w:pPr>
            <w:r w:rsidRPr="00B26A4A">
              <w:rPr>
                <w:rFonts w:ascii="Times New Roman" w:hAnsi="Times New Roman"/>
              </w:rPr>
              <w:t xml:space="preserve">Slot configuration period of </w:t>
            </w:r>
            <w:r w:rsidRPr="00B26A4A">
              <w:rPr>
                <w:rFonts w:ascii="Times New Roman" w:hAnsi="Times New Roman"/>
                <w:i/>
              </w:rPr>
              <w:t>pattern2</w:t>
            </w:r>
          </w:p>
          <w:p w14:paraId="2303191C" w14:textId="77777777" w:rsidR="003638A6" w:rsidRPr="00B26A4A" w:rsidRDefault="00000000" w:rsidP="005A1C83">
            <w:pPr>
              <w:pStyle w:val="TAH"/>
              <w:rPr>
                <w:color w:val="000000"/>
              </w:rPr>
            </w:pPr>
            <m:oMath>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2</m:t>
                  </m:r>
                </m:sub>
              </m:sSub>
            </m:oMath>
            <w:r w:rsidR="003638A6" w:rsidRPr="00B26A4A">
              <w:rPr>
                <w:rFonts w:eastAsia="DengXian"/>
                <w:lang w:eastAsia="zh-CN"/>
              </w:rPr>
              <w:t xml:space="preserve"> (msec)</w:t>
            </w:r>
          </w:p>
        </w:tc>
        <w:tc>
          <w:tcPr>
            <w:tcW w:w="3781" w:type="dxa"/>
            <w:gridSpan w:val="4"/>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tcPr>
          <w:p w14:paraId="48E704B0" w14:textId="77777777" w:rsidR="003638A6" w:rsidRPr="003028E6" w:rsidRDefault="003638A6" w:rsidP="005A1C83">
            <w:pPr>
              <w:pStyle w:val="TAH"/>
              <w:rPr>
                <w:bCs/>
                <w:color w:val="000000"/>
              </w:rPr>
            </w:pPr>
            <w:r w:rsidRPr="003028E6">
              <w:rPr>
                <w:bCs/>
                <w:color w:val="000000"/>
              </w:rPr>
              <w:t>Granularity</w:t>
            </w:r>
            <w:r w:rsidRPr="003028E6">
              <w:rPr>
                <w:rFonts w:eastAsiaTheme="minorEastAsia"/>
                <w:bCs/>
                <w:color w:val="000000"/>
                <w:lang w:eastAsia="zh-CN"/>
              </w:rPr>
              <w:t xml:space="preserve"> </w:t>
            </w:r>
            <m:oMath>
              <m:r>
                <m:rPr>
                  <m:sty m:val="bi"/>
                </m:rPr>
                <w:rPr>
                  <w:rFonts w:ascii="Cambria Math" w:eastAsiaTheme="minorEastAsia" w:hAnsi="Cambria Math"/>
                  <w:color w:val="000000"/>
                  <w:lang w:eastAsia="zh-CN"/>
                </w:rPr>
                <m:t>w</m:t>
              </m:r>
            </m:oMath>
            <w:r w:rsidRPr="003028E6">
              <w:rPr>
                <w:bCs/>
                <w:color w:val="000000"/>
              </w:rPr>
              <w:t xml:space="preserve"> in slots with different SCS</w:t>
            </w:r>
          </w:p>
        </w:tc>
      </w:tr>
      <w:tr w:rsidR="003638A6" w:rsidRPr="00B26A4A" w14:paraId="68684F6F" w14:textId="77777777" w:rsidTr="005A1C83">
        <w:trPr>
          <w:trHeight w:val="20"/>
          <w:jc w:val="center"/>
        </w:trPr>
        <w:tc>
          <w:tcPr>
            <w:tcW w:w="1260" w:type="dxa"/>
            <w:vMerge/>
            <w:tcBorders>
              <w:top w:val="single" w:sz="8" w:space="0" w:color="auto"/>
              <w:left w:val="single" w:sz="8" w:space="0" w:color="auto"/>
              <w:bottom w:val="single" w:sz="8" w:space="0" w:color="auto"/>
              <w:right w:val="single" w:sz="8" w:space="0" w:color="auto"/>
            </w:tcBorders>
            <w:vAlign w:val="center"/>
          </w:tcPr>
          <w:p w14:paraId="12F15490" w14:textId="77777777" w:rsidR="003638A6" w:rsidRPr="00B26A4A" w:rsidRDefault="003638A6" w:rsidP="00312C7C">
            <w:pPr>
              <w:keepLines/>
              <w:rPr>
                <w:rFonts w:eastAsia="DengXian"/>
              </w:rPr>
            </w:pPr>
          </w:p>
        </w:tc>
        <w:tc>
          <w:tcPr>
            <w:tcW w:w="1880" w:type="dxa"/>
            <w:vMerge/>
            <w:tcBorders>
              <w:left w:val="nil"/>
              <w:bottom w:val="single" w:sz="8" w:space="0" w:color="auto"/>
              <w:right w:val="single" w:sz="8" w:space="0" w:color="auto"/>
            </w:tcBorders>
            <w:shd w:val="clear" w:color="auto" w:fill="BFBFBF"/>
            <w:tcMar>
              <w:top w:w="0" w:type="dxa"/>
              <w:left w:w="108" w:type="dxa"/>
              <w:bottom w:w="0" w:type="dxa"/>
              <w:right w:w="108" w:type="dxa"/>
            </w:tcMar>
            <w:vAlign w:val="center"/>
          </w:tcPr>
          <w:p w14:paraId="4F45CC03" w14:textId="77777777" w:rsidR="003638A6" w:rsidRPr="00B26A4A" w:rsidRDefault="003638A6" w:rsidP="00312C7C">
            <w:pPr>
              <w:keepLines/>
              <w:jc w:val="center"/>
              <w:rPr>
                <w:color w:val="000000"/>
              </w:rPr>
            </w:pPr>
          </w:p>
        </w:tc>
        <w:tc>
          <w:tcPr>
            <w:tcW w:w="1980" w:type="dxa"/>
            <w:vMerge/>
            <w:tcBorders>
              <w:left w:val="nil"/>
              <w:bottom w:val="single" w:sz="8" w:space="0" w:color="auto"/>
              <w:right w:val="single" w:sz="8" w:space="0" w:color="auto"/>
            </w:tcBorders>
            <w:shd w:val="clear" w:color="auto" w:fill="BFBFBF"/>
            <w:vAlign w:val="center"/>
          </w:tcPr>
          <w:p w14:paraId="43B075AB" w14:textId="77777777" w:rsidR="003638A6" w:rsidRPr="00B26A4A" w:rsidRDefault="003638A6" w:rsidP="00312C7C">
            <w:pPr>
              <w:keepLines/>
              <w:jc w:val="center"/>
              <w:rPr>
                <w:color w:val="000000"/>
              </w:rPr>
            </w:pPr>
          </w:p>
        </w:tc>
        <w:tc>
          <w:tcPr>
            <w:tcW w:w="1029" w:type="dxa"/>
            <w:tcBorders>
              <w:top w:val="nil"/>
              <w:left w:val="nil"/>
              <w:bottom w:val="single" w:sz="8" w:space="0" w:color="auto"/>
              <w:right w:val="single" w:sz="8" w:space="0" w:color="auto"/>
            </w:tcBorders>
            <w:shd w:val="clear" w:color="auto" w:fill="BFBFBF"/>
            <w:tcMar>
              <w:top w:w="0" w:type="dxa"/>
              <w:left w:w="108" w:type="dxa"/>
              <w:bottom w:w="0" w:type="dxa"/>
              <w:right w:w="108" w:type="dxa"/>
            </w:tcMar>
          </w:tcPr>
          <w:p w14:paraId="639EEE25" w14:textId="77777777" w:rsidR="003638A6" w:rsidRPr="00B26A4A" w:rsidRDefault="003638A6" w:rsidP="005A1C83">
            <w:pPr>
              <w:pStyle w:val="TAC"/>
            </w:pPr>
            <w:r w:rsidRPr="00B26A4A">
              <w:t>15kHz</w:t>
            </w:r>
          </w:p>
        </w:tc>
        <w:tc>
          <w:tcPr>
            <w:tcW w:w="850" w:type="dxa"/>
            <w:tcBorders>
              <w:top w:val="nil"/>
              <w:left w:val="nil"/>
              <w:bottom w:val="single" w:sz="8" w:space="0" w:color="auto"/>
              <w:right w:val="single" w:sz="8" w:space="0" w:color="auto"/>
            </w:tcBorders>
            <w:shd w:val="clear" w:color="auto" w:fill="BFBFBF"/>
            <w:tcMar>
              <w:top w:w="0" w:type="dxa"/>
              <w:left w:w="108" w:type="dxa"/>
              <w:bottom w:w="0" w:type="dxa"/>
              <w:right w:w="108" w:type="dxa"/>
            </w:tcMar>
          </w:tcPr>
          <w:p w14:paraId="6322F727" w14:textId="77777777" w:rsidR="003638A6" w:rsidRPr="00B26A4A" w:rsidRDefault="003638A6" w:rsidP="005A1C83">
            <w:pPr>
              <w:pStyle w:val="TAC"/>
            </w:pPr>
            <w:r w:rsidRPr="00B26A4A">
              <w:t>30 kHz</w:t>
            </w:r>
          </w:p>
        </w:tc>
        <w:tc>
          <w:tcPr>
            <w:tcW w:w="993" w:type="dxa"/>
            <w:tcBorders>
              <w:top w:val="nil"/>
              <w:left w:val="nil"/>
              <w:bottom w:val="single" w:sz="8" w:space="0" w:color="auto"/>
              <w:right w:val="single" w:sz="8" w:space="0" w:color="auto"/>
            </w:tcBorders>
            <w:shd w:val="clear" w:color="auto" w:fill="BFBFBF"/>
            <w:tcMar>
              <w:top w:w="0" w:type="dxa"/>
              <w:left w:w="108" w:type="dxa"/>
              <w:bottom w:w="0" w:type="dxa"/>
              <w:right w:w="108" w:type="dxa"/>
            </w:tcMar>
          </w:tcPr>
          <w:p w14:paraId="4F707AB8" w14:textId="77777777" w:rsidR="003638A6" w:rsidRPr="00B26A4A" w:rsidRDefault="003638A6" w:rsidP="005A1C83">
            <w:pPr>
              <w:pStyle w:val="TAC"/>
            </w:pPr>
            <w:r w:rsidRPr="00B26A4A">
              <w:t>60 kHz</w:t>
            </w:r>
          </w:p>
        </w:tc>
        <w:tc>
          <w:tcPr>
            <w:tcW w:w="909" w:type="dxa"/>
            <w:tcBorders>
              <w:top w:val="nil"/>
              <w:left w:val="nil"/>
              <w:bottom w:val="single" w:sz="8" w:space="0" w:color="auto"/>
              <w:right w:val="single" w:sz="8" w:space="0" w:color="auto"/>
            </w:tcBorders>
            <w:shd w:val="clear" w:color="auto" w:fill="BFBFBF"/>
            <w:tcMar>
              <w:top w:w="0" w:type="dxa"/>
              <w:left w:w="108" w:type="dxa"/>
              <w:bottom w:w="0" w:type="dxa"/>
              <w:right w:w="108" w:type="dxa"/>
            </w:tcMar>
          </w:tcPr>
          <w:p w14:paraId="2920BFBC" w14:textId="77777777" w:rsidR="003638A6" w:rsidRPr="00B26A4A" w:rsidRDefault="003638A6" w:rsidP="005A1C83">
            <w:pPr>
              <w:pStyle w:val="TAC"/>
            </w:pPr>
            <w:r w:rsidRPr="00B26A4A">
              <w:t>120 kHz</w:t>
            </w:r>
          </w:p>
        </w:tc>
      </w:tr>
      <w:tr w:rsidR="003638A6" w:rsidRPr="00B26A4A" w14:paraId="0B015980"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04BC41C0" w14:textId="77777777" w:rsidR="003638A6" w:rsidRPr="00B26A4A" w:rsidRDefault="003638A6" w:rsidP="005A1C83">
            <w:pPr>
              <w:pStyle w:val="TAC"/>
            </w:pPr>
            <w:r w:rsidRPr="00B26A4A">
              <w:lastRenderedPageBreak/>
              <w:t>0</w:t>
            </w:r>
            <w:r>
              <w:t>, 0, 0, 0</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45330FDB" w14:textId="77777777" w:rsidR="003638A6" w:rsidRPr="00B26A4A" w:rsidRDefault="003638A6" w:rsidP="005A1C83">
            <w:pPr>
              <w:pStyle w:val="TAC"/>
            </w:pPr>
            <w:r w:rsidRPr="00B26A4A">
              <w:rPr>
                <w:color w:val="000000"/>
              </w:rPr>
              <w:t>0.5</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52F42BBC" w14:textId="77777777" w:rsidR="003638A6" w:rsidRPr="00B26A4A" w:rsidRDefault="003638A6" w:rsidP="005A1C83">
            <w:pPr>
              <w:pStyle w:val="TAC"/>
              <w:rPr>
                <w:color w:val="000000"/>
              </w:rPr>
            </w:pPr>
            <w:r w:rsidRPr="00B26A4A">
              <w:rPr>
                <w:color w:val="000000"/>
              </w:rPr>
              <w:t>0.5</w:t>
            </w:r>
          </w:p>
        </w:tc>
        <w:tc>
          <w:tcPr>
            <w:tcW w:w="3781" w:type="dxa"/>
            <w:gridSpan w:val="4"/>
            <w:vMerge w:val="restart"/>
            <w:tcBorders>
              <w:top w:val="nil"/>
              <w:left w:val="nil"/>
              <w:bottom w:val="single" w:sz="8" w:space="0" w:color="auto"/>
              <w:right w:val="single" w:sz="8" w:space="0" w:color="auto"/>
            </w:tcBorders>
            <w:tcMar>
              <w:top w:w="0" w:type="dxa"/>
              <w:left w:w="108" w:type="dxa"/>
              <w:bottom w:w="0" w:type="dxa"/>
              <w:right w:w="108" w:type="dxa"/>
            </w:tcMar>
            <w:vAlign w:val="center"/>
          </w:tcPr>
          <w:p w14:paraId="7C3EA9B4" w14:textId="77777777" w:rsidR="003638A6" w:rsidRPr="00B26A4A" w:rsidRDefault="003638A6" w:rsidP="005A1C83">
            <w:pPr>
              <w:pStyle w:val="TAC"/>
              <w:rPr>
                <w:color w:val="000000"/>
              </w:rPr>
            </w:pPr>
            <w:r w:rsidRPr="00B26A4A">
              <w:rPr>
                <w:color w:val="000000"/>
              </w:rPr>
              <w:t>1</w:t>
            </w:r>
          </w:p>
        </w:tc>
      </w:tr>
      <w:tr w:rsidR="003638A6" w:rsidRPr="00B26A4A" w14:paraId="3DDF3974"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4DD347C2" w14:textId="77777777" w:rsidR="003638A6" w:rsidRPr="00B26A4A" w:rsidRDefault="003638A6" w:rsidP="005A1C83">
            <w:pPr>
              <w:pStyle w:val="TAC"/>
            </w:pPr>
            <w:r>
              <w:rPr>
                <w:rFonts w:eastAsia="DengXian"/>
                <w:lang w:eastAsia="zh-CN"/>
              </w:rPr>
              <w:t xml:space="preserve">0, 0, 0, </w:t>
            </w:r>
            <w:r w:rsidRPr="00B26A4A">
              <w:rPr>
                <w:rFonts w:eastAsia="DengXian"/>
                <w:lang w:eastAsia="zh-CN"/>
              </w:rPr>
              <w:t>1</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3D74C986" w14:textId="77777777" w:rsidR="003638A6" w:rsidRPr="00B26A4A" w:rsidRDefault="003638A6" w:rsidP="005A1C83">
            <w:pPr>
              <w:pStyle w:val="TAC"/>
            </w:pPr>
            <w:r w:rsidRPr="00B26A4A">
              <w:rPr>
                <w:color w:val="000000"/>
              </w:rPr>
              <w:t>0.625</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4463F0AC" w14:textId="77777777" w:rsidR="003638A6" w:rsidRPr="00B26A4A" w:rsidRDefault="003638A6" w:rsidP="005A1C83">
            <w:pPr>
              <w:pStyle w:val="TAC"/>
              <w:rPr>
                <w:color w:val="000000"/>
              </w:rPr>
            </w:pPr>
            <w:r w:rsidRPr="00B26A4A">
              <w:rPr>
                <w:color w:val="000000"/>
              </w:rPr>
              <w:t>0.625</w:t>
            </w:r>
          </w:p>
        </w:tc>
        <w:tc>
          <w:tcPr>
            <w:tcW w:w="3781" w:type="dxa"/>
            <w:gridSpan w:val="4"/>
            <w:vMerge/>
            <w:tcBorders>
              <w:top w:val="nil"/>
              <w:left w:val="nil"/>
              <w:bottom w:val="single" w:sz="8" w:space="0" w:color="auto"/>
              <w:right w:val="single" w:sz="8" w:space="0" w:color="auto"/>
            </w:tcBorders>
            <w:vAlign w:val="center"/>
          </w:tcPr>
          <w:p w14:paraId="4914CBE7" w14:textId="77777777" w:rsidR="003638A6" w:rsidRPr="00B26A4A" w:rsidRDefault="003638A6" w:rsidP="005A1C83">
            <w:pPr>
              <w:pStyle w:val="TAC"/>
              <w:rPr>
                <w:rFonts w:eastAsia="DengXian"/>
                <w:color w:val="000000"/>
              </w:rPr>
            </w:pPr>
          </w:p>
        </w:tc>
      </w:tr>
      <w:tr w:rsidR="003638A6" w:rsidRPr="00B26A4A" w14:paraId="3975873D"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37ABFD7E" w14:textId="77777777" w:rsidR="003638A6" w:rsidRPr="00B26A4A" w:rsidRDefault="003638A6" w:rsidP="005A1C83">
            <w:pPr>
              <w:pStyle w:val="TAC"/>
            </w:pPr>
            <w:r>
              <w:rPr>
                <w:rFonts w:eastAsia="DengXian"/>
                <w:lang w:eastAsia="zh-CN"/>
              </w:rPr>
              <w:t>0, 0, 1, 0</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5C28A942" w14:textId="77777777" w:rsidR="003638A6" w:rsidRPr="00B26A4A" w:rsidRDefault="003638A6" w:rsidP="005A1C83">
            <w:pPr>
              <w:pStyle w:val="TAC"/>
            </w:pPr>
            <w:r w:rsidRPr="00B26A4A">
              <w:rPr>
                <w:color w:val="000000"/>
              </w:rPr>
              <w:t>1</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1EF224B1" w14:textId="77777777" w:rsidR="003638A6" w:rsidRPr="00B26A4A" w:rsidRDefault="003638A6" w:rsidP="005A1C83">
            <w:pPr>
              <w:pStyle w:val="TAC"/>
              <w:rPr>
                <w:color w:val="000000"/>
              </w:rPr>
            </w:pPr>
            <w:r w:rsidRPr="00B26A4A">
              <w:rPr>
                <w:color w:val="000000"/>
              </w:rPr>
              <w:t>1</w:t>
            </w:r>
          </w:p>
        </w:tc>
        <w:tc>
          <w:tcPr>
            <w:tcW w:w="3781" w:type="dxa"/>
            <w:gridSpan w:val="4"/>
            <w:vMerge/>
            <w:tcBorders>
              <w:top w:val="nil"/>
              <w:left w:val="nil"/>
              <w:bottom w:val="single" w:sz="8" w:space="0" w:color="auto"/>
              <w:right w:val="single" w:sz="8" w:space="0" w:color="auto"/>
            </w:tcBorders>
            <w:vAlign w:val="center"/>
          </w:tcPr>
          <w:p w14:paraId="4A765A5D" w14:textId="77777777" w:rsidR="003638A6" w:rsidRPr="00B26A4A" w:rsidRDefault="003638A6" w:rsidP="005A1C83">
            <w:pPr>
              <w:pStyle w:val="TAC"/>
              <w:rPr>
                <w:rFonts w:eastAsia="DengXian"/>
                <w:color w:val="000000"/>
              </w:rPr>
            </w:pPr>
          </w:p>
        </w:tc>
      </w:tr>
      <w:tr w:rsidR="003638A6" w:rsidRPr="00B26A4A" w14:paraId="52936AA1"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CD206C0" w14:textId="77777777" w:rsidR="003638A6" w:rsidRPr="00B26A4A" w:rsidRDefault="003638A6" w:rsidP="005A1C83">
            <w:pPr>
              <w:pStyle w:val="TAC"/>
            </w:pPr>
            <w:r>
              <w:rPr>
                <w:rFonts w:eastAsia="DengXian"/>
                <w:lang w:eastAsia="zh-CN"/>
              </w:rPr>
              <w:t>0, 0, 1, 1</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5059DA8D" w14:textId="77777777" w:rsidR="003638A6" w:rsidRPr="00B26A4A" w:rsidRDefault="003638A6" w:rsidP="005A1C83">
            <w:pPr>
              <w:pStyle w:val="TAC"/>
            </w:pPr>
            <w:r w:rsidRPr="00B26A4A">
              <w:t>0.5</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22223528" w14:textId="77777777" w:rsidR="003638A6" w:rsidRPr="00B26A4A" w:rsidRDefault="003638A6" w:rsidP="005A1C83">
            <w:pPr>
              <w:pStyle w:val="TAC"/>
            </w:pPr>
            <w:r w:rsidRPr="00B26A4A">
              <w:t>2</w:t>
            </w:r>
          </w:p>
        </w:tc>
        <w:tc>
          <w:tcPr>
            <w:tcW w:w="3781" w:type="dxa"/>
            <w:gridSpan w:val="4"/>
            <w:vMerge/>
            <w:tcBorders>
              <w:top w:val="nil"/>
              <w:left w:val="nil"/>
              <w:bottom w:val="single" w:sz="8" w:space="0" w:color="auto"/>
              <w:right w:val="single" w:sz="8" w:space="0" w:color="auto"/>
            </w:tcBorders>
            <w:vAlign w:val="center"/>
          </w:tcPr>
          <w:p w14:paraId="155E0285" w14:textId="77777777" w:rsidR="003638A6" w:rsidRPr="00B26A4A" w:rsidRDefault="003638A6" w:rsidP="005A1C83">
            <w:pPr>
              <w:pStyle w:val="TAC"/>
              <w:rPr>
                <w:rFonts w:eastAsia="DengXian"/>
                <w:color w:val="000000"/>
              </w:rPr>
            </w:pPr>
          </w:p>
        </w:tc>
      </w:tr>
      <w:tr w:rsidR="003638A6" w:rsidRPr="00B26A4A" w14:paraId="63892D4D"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7C6E72CF" w14:textId="77777777" w:rsidR="003638A6" w:rsidRPr="00B26A4A" w:rsidRDefault="003638A6" w:rsidP="005A1C83">
            <w:pPr>
              <w:pStyle w:val="TAC"/>
            </w:pPr>
            <w:r>
              <w:rPr>
                <w:rFonts w:eastAsia="DengXian"/>
                <w:lang w:eastAsia="zh-CN"/>
              </w:rPr>
              <w:t>0, 1, 0, 0</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3437649D" w14:textId="77777777" w:rsidR="003638A6" w:rsidRPr="00B26A4A" w:rsidRDefault="003638A6" w:rsidP="005A1C83">
            <w:pPr>
              <w:pStyle w:val="TAC"/>
            </w:pPr>
            <w:r w:rsidRPr="00B26A4A">
              <w:rPr>
                <w:color w:val="000000"/>
              </w:rPr>
              <w:t>1.25</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4C1BA6CA" w14:textId="77777777" w:rsidR="003638A6" w:rsidRPr="00B26A4A" w:rsidRDefault="003638A6" w:rsidP="005A1C83">
            <w:pPr>
              <w:pStyle w:val="TAC"/>
              <w:rPr>
                <w:color w:val="000000"/>
              </w:rPr>
            </w:pPr>
            <w:r w:rsidRPr="00B26A4A">
              <w:rPr>
                <w:color w:val="000000"/>
              </w:rPr>
              <w:t>1.25</w:t>
            </w:r>
          </w:p>
        </w:tc>
        <w:tc>
          <w:tcPr>
            <w:tcW w:w="3781" w:type="dxa"/>
            <w:gridSpan w:val="4"/>
            <w:vMerge/>
            <w:tcBorders>
              <w:top w:val="nil"/>
              <w:left w:val="nil"/>
              <w:bottom w:val="single" w:sz="8" w:space="0" w:color="auto"/>
              <w:right w:val="single" w:sz="8" w:space="0" w:color="auto"/>
            </w:tcBorders>
            <w:vAlign w:val="center"/>
          </w:tcPr>
          <w:p w14:paraId="5BDA5F5C" w14:textId="77777777" w:rsidR="003638A6" w:rsidRPr="00B26A4A" w:rsidRDefault="003638A6" w:rsidP="005A1C83">
            <w:pPr>
              <w:pStyle w:val="TAC"/>
              <w:rPr>
                <w:rFonts w:eastAsia="DengXian"/>
                <w:color w:val="000000"/>
              </w:rPr>
            </w:pPr>
          </w:p>
        </w:tc>
      </w:tr>
      <w:tr w:rsidR="003638A6" w:rsidRPr="00B26A4A" w14:paraId="5584263D"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209BDDDB" w14:textId="77777777" w:rsidR="003638A6" w:rsidRPr="00B26A4A" w:rsidRDefault="003638A6" w:rsidP="005A1C83">
            <w:pPr>
              <w:pStyle w:val="TAC"/>
            </w:pPr>
            <w:r>
              <w:rPr>
                <w:rFonts w:eastAsia="DengXian"/>
                <w:lang w:eastAsia="zh-CN"/>
              </w:rPr>
              <w:t>0, 1, 0, 1</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169AF034" w14:textId="77777777" w:rsidR="003638A6" w:rsidRPr="00B26A4A" w:rsidRDefault="003638A6" w:rsidP="005A1C83">
            <w:pPr>
              <w:pStyle w:val="TAC"/>
            </w:pPr>
            <w:r w:rsidRPr="00B26A4A">
              <w:rPr>
                <w:color w:val="000000"/>
              </w:rPr>
              <w:t>2</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50FDC5F8" w14:textId="77777777" w:rsidR="003638A6" w:rsidRPr="00B26A4A" w:rsidRDefault="003638A6" w:rsidP="005A1C83">
            <w:pPr>
              <w:pStyle w:val="TAC"/>
              <w:rPr>
                <w:color w:val="000000"/>
              </w:rPr>
            </w:pPr>
            <w:r w:rsidRPr="00B26A4A">
              <w:rPr>
                <w:color w:val="000000"/>
              </w:rPr>
              <w:t>0.5</w:t>
            </w:r>
          </w:p>
        </w:tc>
        <w:tc>
          <w:tcPr>
            <w:tcW w:w="3781" w:type="dxa"/>
            <w:gridSpan w:val="4"/>
            <w:vMerge/>
            <w:tcBorders>
              <w:top w:val="nil"/>
              <w:left w:val="nil"/>
              <w:bottom w:val="single" w:sz="8" w:space="0" w:color="auto"/>
              <w:right w:val="single" w:sz="8" w:space="0" w:color="auto"/>
            </w:tcBorders>
            <w:vAlign w:val="center"/>
          </w:tcPr>
          <w:p w14:paraId="32A09515" w14:textId="77777777" w:rsidR="003638A6" w:rsidRPr="00B26A4A" w:rsidRDefault="003638A6" w:rsidP="005A1C83">
            <w:pPr>
              <w:pStyle w:val="TAC"/>
              <w:rPr>
                <w:rFonts w:eastAsia="DengXian"/>
                <w:color w:val="000000"/>
              </w:rPr>
            </w:pPr>
          </w:p>
        </w:tc>
      </w:tr>
      <w:tr w:rsidR="003638A6" w:rsidRPr="00B26A4A" w14:paraId="63B17FDB"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49BBC34F" w14:textId="77777777" w:rsidR="003638A6" w:rsidRPr="00B26A4A" w:rsidRDefault="003638A6" w:rsidP="005A1C83">
            <w:pPr>
              <w:pStyle w:val="TAC"/>
            </w:pPr>
            <w:r>
              <w:rPr>
                <w:rFonts w:eastAsia="DengXian"/>
                <w:lang w:eastAsia="zh-CN"/>
              </w:rPr>
              <w:t>0, 1, 1, 0</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43407CAC" w14:textId="77777777" w:rsidR="003638A6" w:rsidRPr="00B26A4A" w:rsidRDefault="003638A6" w:rsidP="005A1C83">
            <w:pPr>
              <w:pStyle w:val="TAC"/>
            </w:pPr>
            <w:r w:rsidRPr="00B26A4A">
              <w:t>1</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1BFBBD8F" w14:textId="77777777" w:rsidR="003638A6" w:rsidRPr="00B26A4A" w:rsidRDefault="003638A6" w:rsidP="005A1C83">
            <w:pPr>
              <w:pStyle w:val="TAC"/>
            </w:pPr>
            <w:r w:rsidRPr="00B26A4A">
              <w:t>3</w:t>
            </w:r>
          </w:p>
        </w:tc>
        <w:tc>
          <w:tcPr>
            <w:tcW w:w="2872" w:type="dxa"/>
            <w:gridSpan w:val="3"/>
            <w:vMerge w:val="restart"/>
            <w:tcBorders>
              <w:top w:val="nil"/>
              <w:left w:val="nil"/>
              <w:bottom w:val="single" w:sz="8" w:space="0" w:color="auto"/>
              <w:right w:val="single" w:sz="8" w:space="0" w:color="auto"/>
            </w:tcBorders>
            <w:tcMar>
              <w:top w:w="0" w:type="dxa"/>
              <w:left w:w="108" w:type="dxa"/>
              <w:bottom w:w="0" w:type="dxa"/>
              <w:right w:w="108" w:type="dxa"/>
            </w:tcMar>
            <w:vAlign w:val="center"/>
          </w:tcPr>
          <w:p w14:paraId="23A3E015" w14:textId="77777777" w:rsidR="003638A6" w:rsidRPr="00B26A4A" w:rsidRDefault="003638A6" w:rsidP="005A1C83">
            <w:pPr>
              <w:pStyle w:val="TAC"/>
            </w:pPr>
            <w:r w:rsidRPr="00B26A4A">
              <w:t>1</w:t>
            </w:r>
          </w:p>
        </w:tc>
        <w:tc>
          <w:tcPr>
            <w:tcW w:w="909"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tcPr>
          <w:p w14:paraId="60D843E5" w14:textId="77777777" w:rsidR="003638A6" w:rsidRPr="00B26A4A" w:rsidRDefault="003638A6" w:rsidP="005A1C83">
            <w:pPr>
              <w:pStyle w:val="TAC"/>
            </w:pPr>
            <w:r w:rsidRPr="00B26A4A">
              <w:t>2</w:t>
            </w:r>
          </w:p>
        </w:tc>
      </w:tr>
      <w:tr w:rsidR="003638A6" w:rsidRPr="00B26A4A" w14:paraId="1E9D768D"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2B82E255" w14:textId="77777777" w:rsidR="003638A6" w:rsidRPr="00B26A4A" w:rsidRDefault="003638A6" w:rsidP="005A1C83">
            <w:pPr>
              <w:pStyle w:val="TAC"/>
              <w:rPr>
                <w:color w:val="000000"/>
              </w:rPr>
            </w:pPr>
            <w:r>
              <w:rPr>
                <w:rFonts w:eastAsia="DengXian"/>
                <w:lang w:eastAsia="zh-CN"/>
              </w:rPr>
              <w:t>0, 1, 1, 1</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57318E53" w14:textId="77777777" w:rsidR="003638A6" w:rsidRPr="00B26A4A" w:rsidRDefault="003638A6" w:rsidP="005A1C83">
            <w:pPr>
              <w:pStyle w:val="TAC"/>
            </w:pPr>
            <w:r w:rsidRPr="00B26A4A">
              <w:t>2</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232DEFE1" w14:textId="77777777" w:rsidR="003638A6" w:rsidRPr="00B26A4A" w:rsidRDefault="003638A6" w:rsidP="005A1C83">
            <w:pPr>
              <w:pStyle w:val="TAC"/>
            </w:pPr>
            <w:r w:rsidRPr="00B26A4A">
              <w:t>2</w:t>
            </w:r>
          </w:p>
        </w:tc>
        <w:tc>
          <w:tcPr>
            <w:tcW w:w="2872" w:type="dxa"/>
            <w:gridSpan w:val="3"/>
            <w:vMerge/>
            <w:tcBorders>
              <w:top w:val="nil"/>
              <w:left w:val="nil"/>
              <w:bottom w:val="single" w:sz="8" w:space="0" w:color="auto"/>
              <w:right w:val="single" w:sz="8" w:space="0" w:color="auto"/>
            </w:tcBorders>
            <w:vAlign w:val="center"/>
          </w:tcPr>
          <w:p w14:paraId="34584987" w14:textId="77777777" w:rsidR="003638A6" w:rsidRPr="00B26A4A" w:rsidRDefault="003638A6" w:rsidP="005A1C83">
            <w:pPr>
              <w:pStyle w:val="TAC"/>
              <w:rPr>
                <w:rFonts w:eastAsia="DengXian"/>
              </w:rPr>
            </w:pPr>
          </w:p>
        </w:tc>
        <w:tc>
          <w:tcPr>
            <w:tcW w:w="909" w:type="dxa"/>
            <w:vMerge/>
            <w:tcBorders>
              <w:top w:val="nil"/>
              <w:left w:val="nil"/>
              <w:bottom w:val="single" w:sz="8" w:space="0" w:color="auto"/>
              <w:right w:val="single" w:sz="8" w:space="0" w:color="auto"/>
            </w:tcBorders>
            <w:vAlign w:val="center"/>
          </w:tcPr>
          <w:p w14:paraId="3A09A220" w14:textId="77777777" w:rsidR="003638A6" w:rsidRPr="00B26A4A" w:rsidRDefault="003638A6" w:rsidP="005A1C83">
            <w:pPr>
              <w:pStyle w:val="TAC"/>
              <w:rPr>
                <w:rFonts w:eastAsia="DengXian"/>
              </w:rPr>
            </w:pPr>
          </w:p>
        </w:tc>
      </w:tr>
      <w:tr w:rsidR="003638A6" w:rsidRPr="00B26A4A" w14:paraId="76F2D87C"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19D9B94B" w14:textId="77777777" w:rsidR="003638A6" w:rsidRPr="00B26A4A" w:rsidRDefault="003638A6" w:rsidP="005A1C83">
            <w:pPr>
              <w:pStyle w:val="TAC"/>
              <w:rPr>
                <w:color w:val="000000"/>
              </w:rPr>
            </w:pPr>
            <w:r>
              <w:rPr>
                <w:rFonts w:eastAsia="DengXian"/>
                <w:lang w:eastAsia="zh-CN"/>
              </w:rPr>
              <w:t>1, 0, 0, 0</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50A64351" w14:textId="77777777" w:rsidR="003638A6" w:rsidRPr="00B26A4A" w:rsidRDefault="003638A6" w:rsidP="005A1C83">
            <w:pPr>
              <w:pStyle w:val="TAC"/>
            </w:pPr>
            <w:r w:rsidRPr="00B26A4A">
              <w:t>3</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157168CC" w14:textId="77777777" w:rsidR="003638A6" w:rsidRPr="00B26A4A" w:rsidRDefault="003638A6" w:rsidP="005A1C83">
            <w:pPr>
              <w:pStyle w:val="TAC"/>
            </w:pPr>
            <w:r w:rsidRPr="00B26A4A">
              <w:t>1</w:t>
            </w:r>
          </w:p>
        </w:tc>
        <w:tc>
          <w:tcPr>
            <w:tcW w:w="2872" w:type="dxa"/>
            <w:gridSpan w:val="3"/>
            <w:vMerge/>
            <w:tcBorders>
              <w:top w:val="nil"/>
              <w:left w:val="nil"/>
              <w:bottom w:val="single" w:sz="8" w:space="0" w:color="auto"/>
              <w:right w:val="single" w:sz="8" w:space="0" w:color="auto"/>
            </w:tcBorders>
            <w:vAlign w:val="center"/>
          </w:tcPr>
          <w:p w14:paraId="3ACE22F1" w14:textId="77777777" w:rsidR="003638A6" w:rsidRPr="00B26A4A" w:rsidRDefault="003638A6" w:rsidP="005A1C83">
            <w:pPr>
              <w:pStyle w:val="TAC"/>
              <w:rPr>
                <w:rFonts w:eastAsia="DengXian"/>
              </w:rPr>
            </w:pPr>
          </w:p>
        </w:tc>
        <w:tc>
          <w:tcPr>
            <w:tcW w:w="909" w:type="dxa"/>
            <w:vMerge/>
            <w:tcBorders>
              <w:top w:val="nil"/>
              <w:left w:val="nil"/>
              <w:bottom w:val="single" w:sz="8" w:space="0" w:color="auto"/>
              <w:right w:val="single" w:sz="8" w:space="0" w:color="auto"/>
            </w:tcBorders>
            <w:vAlign w:val="center"/>
          </w:tcPr>
          <w:p w14:paraId="111F404F" w14:textId="77777777" w:rsidR="003638A6" w:rsidRPr="00B26A4A" w:rsidRDefault="003638A6" w:rsidP="005A1C83">
            <w:pPr>
              <w:pStyle w:val="TAC"/>
              <w:rPr>
                <w:rFonts w:eastAsia="DengXian"/>
              </w:rPr>
            </w:pPr>
          </w:p>
        </w:tc>
      </w:tr>
      <w:tr w:rsidR="003638A6" w:rsidRPr="00B26A4A" w14:paraId="4E4A8B83"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5D67F951" w14:textId="77777777" w:rsidR="003638A6" w:rsidRPr="00B26A4A" w:rsidRDefault="003638A6" w:rsidP="005A1C83">
            <w:pPr>
              <w:pStyle w:val="TAC"/>
            </w:pPr>
            <w:r>
              <w:t>1, 0, 0, 1</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78D48465" w14:textId="77777777" w:rsidR="003638A6" w:rsidRPr="00B26A4A" w:rsidRDefault="003638A6" w:rsidP="005A1C83">
            <w:pPr>
              <w:pStyle w:val="TAC"/>
            </w:pPr>
            <w:r w:rsidRPr="00B26A4A">
              <w:t>1</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0BE80D15" w14:textId="77777777" w:rsidR="003638A6" w:rsidRPr="00B26A4A" w:rsidRDefault="003638A6" w:rsidP="005A1C83">
            <w:pPr>
              <w:pStyle w:val="TAC"/>
            </w:pPr>
            <w:r w:rsidRPr="00B26A4A">
              <w:t>4</w:t>
            </w:r>
          </w:p>
        </w:tc>
        <w:tc>
          <w:tcPr>
            <w:tcW w:w="2872" w:type="dxa"/>
            <w:gridSpan w:val="3"/>
            <w:vMerge/>
            <w:tcBorders>
              <w:top w:val="nil"/>
              <w:left w:val="nil"/>
              <w:bottom w:val="single" w:sz="8" w:space="0" w:color="auto"/>
              <w:right w:val="single" w:sz="8" w:space="0" w:color="auto"/>
            </w:tcBorders>
            <w:vAlign w:val="center"/>
          </w:tcPr>
          <w:p w14:paraId="604A91CE" w14:textId="77777777" w:rsidR="003638A6" w:rsidRPr="00B26A4A" w:rsidRDefault="003638A6" w:rsidP="005A1C83">
            <w:pPr>
              <w:pStyle w:val="TAC"/>
              <w:rPr>
                <w:rFonts w:eastAsia="DengXian"/>
              </w:rPr>
            </w:pPr>
          </w:p>
        </w:tc>
        <w:tc>
          <w:tcPr>
            <w:tcW w:w="909" w:type="dxa"/>
            <w:vMerge/>
            <w:tcBorders>
              <w:top w:val="nil"/>
              <w:left w:val="nil"/>
              <w:bottom w:val="single" w:sz="8" w:space="0" w:color="auto"/>
              <w:right w:val="single" w:sz="8" w:space="0" w:color="auto"/>
            </w:tcBorders>
            <w:vAlign w:val="center"/>
          </w:tcPr>
          <w:p w14:paraId="27C86800" w14:textId="77777777" w:rsidR="003638A6" w:rsidRPr="00B26A4A" w:rsidRDefault="003638A6" w:rsidP="005A1C83">
            <w:pPr>
              <w:pStyle w:val="TAC"/>
              <w:rPr>
                <w:rFonts w:eastAsia="DengXian"/>
              </w:rPr>
            </w:pPr>
          </w:p>
        </w:tc>
      </w:tr>
      <w:tr w:rsidR="003638A6" w:rsidRPr="00B26A4A" w14:paraId="73B3ABFE"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1CD6ED52" w14:textId="77777777" w:rsidR="003638A6" w:rsidRPr="00B26A4A" w:rsidRDefault="003638A6" w:rsidP="005A1C83">
            <w:pPr>
              <w:pStyle w:val="TAC"/>
              <w:rPr>
                <w:color w:val="000000"/>
              </w:rPr>
            </w:pPr>
            <w:r w:rsidRPr="00B26A4A">
              <w:rPr>
                <w:color w:val="000000"/>
              </w:rPr>
              <w:t>1</w:t>
            </w:r>
            <w:r>
              <w:rPr>
                <w:color w:val="000000"/>
              </w:rPr>
              <w:t>, 0, 1, 0</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7C5B1643" w14:textId="77777777" w:rsidR="003638A6" w:rsidRPr="00B26A4A" w:rsidRDefault="003638A6" w:rsidP="005A1C83">
            <w:pPr>
              <w:pStyle w:val="TAC"/>
            </w:pPr>
            <w:r w:rsidRPr="00B26A4A">
              <w:t>2</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4D720060" w14:textId="77777777" w:rsidR="003638A6" w:rsidRPr="00B26A4A" w:rsidRDefault="003638A6" w:rsidP="005A1C83">
            <w:pPr>
              <w:pStyle w:val="TAC"/>
            </w:pPr>
            <w:r w:rsidRPr="00B26A4A">
              <w:t>3</w:t>
            </w:r>
          </w:p>
        </w:tc>
        <w:tc>
          <w:tcPr>
            <w:tcW w:w="2872" w:type="dxa"/>
            <w:gridSpan w:val="3"/>
            <w:vMerge/>
            <w:tcBorders>
              <w:top w:val="nil"/>
              <w:left w:val="nil"/>
              <w:bottom w:val="single" w:sz="8" w:space="0" w:color="auto"/>
              <w:right w:val="single" w:sz="8" w:space="0" w:color="auto"/>
            </w:tcBorders>
            <w:vAlign w:val="center"/>
          </w:tcPr>
          <w:p w14:paraId="29853C6A" w14:textId="77777777" w:rsidR="003638A6" w:rsidRPr="00B26A4A" w:rsidRDefault="003638A6" w:rsidP="005A1C83">
            <w:pPr>
              <w:pStyle w:val="TAC"/>
              <w:rPr>
                <w:rFonts w:eastAsia="DengXian"/>
              </w:rPr>
            </w:pPr>
          </w:p>
        </w:tc>
        <w:tc>
          <w:tcPr>
            <w:tcW w:w="909" w:type="dxa"/>
            <w:vMerge/>
            <w:tcBorders>
              <w:top w:val="nil"/>
              <w:left w:val="nil"/>
              <w:bottom w:val="single" w:sz="8" w:space="0" w:color="auto"/>
              <w:right w:val="single" w:sz="8" w:space="0" w:color="auto"/>
            </w:tcBorders>
            <w:vAlign w:val="center"/>
          </w:tcPr>
          <w:p w14:paraId="776B8AAB" w14:textId="77777777" w:rsidR="003638A6" w:rsidRPr="00B26A4A" w:rsidRDefault="003638A6" w:rsidP="005A1C83">
            <w:pPr>
              <w:pStyle w:val="TAC"/>
              <w:rPr>
                <w:rFonts w:eastAsia="DengXian"/>
              </w:rPr>
            </w:pPr>
          </w:p>
        </w:tc>
      </w:tr>
      <w:tr w:rsidR="003638A6" w:rsidRPr="00B26A4A" w14:paraId="2842DE9A"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4EDA2270" w14:textId="77777777" w:rsidR="003638A6" w:rsidRPr="00B26A4A" w:rsidRDefault="003638A6" w:rsidP="005A1C83">
            <w:pPr>
              <w:pStyle w:val="TAC"/>
              <w:rPr>
                <w:color w:val="000000"/>
              </w:rPr>
            </w:pPr>
            <w:r w:rsidRPr="00B26A4A">
              <w:rPr>
                <w:color w:val="000000"/>
              </w:rPr>
              <w:t>1</w:t>
            </w:r>
            <w:r>
              <w:rPr>
                <w:color w:val="000000"/>
              </w:rPr>
              <w:t>, 0, 1, 1</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21680392" w14:textId="77777777" w:rsidR="003638A6" w:rsidRPr="00B26A4A" w:rsidRDefault="003638A6" w:rsidP="005A1C83">
            <w:pPr>
              <w:pStyle w:val="TAC"/>
            </w:pPr>
            <w:r w:rsidRPr="00B26A4A">
              <w:t>2.5</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2E5DCC8F" w14:textId="77777777" w:rsidR="003638A6" w:rsidRPr="00B26A4A" w:rsidRDefault="003638A6" w:rsidP="005A1C83">
            <w:pPr>
              <w:pStyle w:val="TAC"/>
            </w:pPr>
            <w:r w:rsidRPr="00B26A4A">
              <w:t>2.5</w:t>
            </w:r>
          </w:p>
        </w:tc>
        <w:tc>
          <w:tcPr>
            <w:tcW w:w="2872" w:type="dxa"/>
            <w:gridSpan w:val="3"/>
            <w:vMerge/>
            <w:tcBorders>
              <w:top w:val="nil"/>
              <w:left w:val="nil"/>
              <w:bottom w:val="single" w:sz="8" w:space="0" w:color="auto"/>
              <w:right w:val="single" w:sz="8" w:space="0" w:color="auto"/>
            </w:tcBorders>
            <w:vAlign w:val="center"/>
          </w:tcPr>
          <w:p w14:paraId="5F7D5F97" w14:textId="77777777" w:rsidR="003638A6" w:rsidRPr="00B26A4A" w:rsidRDefault="003638A6" w:rsidP="005A1C83">
            <w:pPr>
              <w:pStyle w:val="TAC"/>
              <w:rPr>
                <w:rFonts w:eastAsia="DengXian"/>
              </w:rPr>
            </w:pPr>
          </w:p>
        </w:tc>
        <w:tc>
          <w:tcPr>
            <w:tcW w:w="909" w:type="dxa"/>
            <w:vMerge/>
            <w:tcBorders>
              <w:top w:val="nil"/>
              <w:left w:val="nil"/>
              <w:bottom w:val="single" w:sz="8" w:space="0" w:color="auto"/>
              <w:right w:val="single" w:sz="8" w:space="0" w:color="auto"/>
            </w:tcBorders>
            <w:vAlign w:val="center"/>
          </w:tcPr>
          <w:p w14:paraId="67C9154B" w14:textId="77777777" w:rsidR="003638A6" w:rsidRPr="00B26A4A" w:rsidRDefault="003638A6" w:rsidP="005A1C83">
            <w:pPr>
              <w:pStyle w:val="TAC"/>
              <w:rPr>
                <w:rFonts w:eastAsia="DengXian"/>
              </w:rPr>
            </w:pPr>
          </w:p>
        </w:tc>
      </w:tr>
      <w:tr w:rsidR="003638A6" w:rsidRPr="00B26A4A" w14:paraId="1B00B1CA"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28627331" w14:textId="77777777" w:rsidR="003638A6" w:rsidRPr="00B26A4A" w:rsidRDefault="003638A6" w:rsidP="005A1C83">
            <w:pPr>
              <w:pStyle w:val="TAC"/>
              <w:rPr>
                <w:color w:val="000000"/>
              </w:rPr>
            </w:pPr>
            <w:r w:rsidRPr="00B26A4A">
              <w:rPr>
                <w:color w:val="000000"/>
              </w:rPr>
              <w:t>1</w:t>
            </w:r>
            <w:r>
              <w:rPr>
                <w:color w:val="000000"/>
              </w:rPr>
              <w:t>, 1, 0, 0</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63E9EFF2" w14:textId="77777777" w:rsidR="003638A6" w:rsidRPr="00B26A4A" w:rsidRDefault="003638A6" w:rsidP="005A1C83">
            <w:pPr>
              <w:pStyle w:val="TAC"/>
            </w:pPr>
            <w:r w:rsidRPr="00B26A4A">
              <w:t>3</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20A70C41" w14:textId="77777777" w:rsidR="003638A6" w:rsidRPr="00B26A4A" w:rsidRDefault="003638A6" w:rsidP="005A1C83">
            <w:pPr>
              <w:pStyle w:val="TAC"/>
            </w:pPr>
            <w:r w:rsidRPr="00B26A4A">
              <w:t>2</w:t>
            </w:r>
          </w:p>
        </w:tc>
        <w:tc>
          <w:tcPr>
            <w:tcW w:w="2872" w:type="dxa"/>
            <w:gridSpan w:val="3"/>
            <w:vMerge/>
            <w:tcBorders>
              <w:top w:val="nil"/>
              <w:left w:val="nil"/>
              <w:bottom w:val="single" w:sz="8" w:space="0" w:color="auto"/>
              <w:right w:val="single" w:sz="8" w:space="0" w:color="auto"/>
            </w:tcBorders>
            <w:vAlign w:val="center"/>
          </w:tcPr>
          <w:p w14:paraId="438DDE53" w14:textId="77777777" w:rsidR="003638A6" w:rsidRPr="00B26A4A" w:rsidRDefault="003638A6" w:rsidP="005A1C83">
            <w:pPr>
              <w:pStyle w:val="TAC"/>
              <w:rPr>
                <w:rFonts w:eastAsia="DengXian"/>
              </w:rPr>
            </w:pPr>
          </w:p>
        </w:tc>
        <w:tc>
          <w:tcPr>
            <w:tcW w:w="909" w:type="dxa"/>
            <w:vMerge/>
            <w:tcBorders>
              <w:top w:val="nil"/>
              <w:left w:val="nil"/>
              <w:bottom w:val="single" w:sz="8" w:space="0" w:color="auto"/>
              <w:right w:val="single" w:sz="8" w:space="0" w:color="auto"/>
            </w:tcBorders>
            <w:vAlign w:val="center"/>
          </w:tcPr>
          <w:p w14:paraId="3496DF49" w14:textId="77777777" w:rsidR="003638A6" w:rsidRPr="00B26A4A" w:rsidRDefault="003638A6" w:rsidP="005A1C83">
            <w:pPr>
              <w:pStyle w:val="TAC"/>
              <w:rPr>
                <w:rFonts w:eastAsia="DengXian"/>
              </w:rPr>
            </w:pPr>
          </w:p>
        </w:tc>
      </w:tr>
      <w:tr w:rsidR="003638A6" w:rsidRPr="00B26A4A" w14:paraId="08B99D8B"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04B143B1" w14:textId="77777777" w:rsidR="003638A6" w:rsidRPr="00B26A4A" w:rsidRDefault="003638A6" w:rsidP="005A1C83">
            <w:pPr>
              <w:pStyle w:val="TAC"/>
              <w:rPr>
                <w:color w:val="000000"/>
              </w:rPr>
            </w:pPr>
            <w:r w:rsidRPr="00B26A4A">
              <w:rPr>
                <w:color w:val="000000"/>
              </w:rPr>
              <w:t>1</w:t>
            </w:r>
            <w:r>
              <w:rPr>
                <w:color w:val="000000"/>
              </w:rPr>
              <w:t>, 1, 0, 1</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1F7E7E59" w14:textId="77777777" w:rsidR="003638A6" w:rsidRPr="00B26A4A" w:rsidRDefault="003638A6" w:rsidP="005A1C83">
            <w:pPr>
              <w:pStyle w:val="TAC"/>
            </w:pPr>
            <w:r w:rsidRPr="00B26A4A">
              <w:t>4</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52C1D3C7" w14:textId="77777777" w:rsidR="003638A6" w:rsidRPr="00B26A4A" w:rsidRDefault="003638A6" w:rsidP="005A1C83">
            <w:pPr>
              <w:pStyle w:val="TAC"/>
            </w:pPr>
            <w:r w:rsidRPr="00B26A4A">
              <w:t>1</w:t>
            </w:r>
          </w:p>
        </w:tc>
        <w:tc>
          <w:tcPr>
            <w:tcW w:w="2872" w:type="dxa"/>
            <w:gridSpan w:val="3"/>
            <w:vMerge/>
            <w:tcBorders>
              <w:top w:val="nil"/>
              <w:left w:val="nil"/>
              <w:bottom w:val="single" w:sz="8" w:space="0" w:color="auto"/>
              <w:right w:val="single" w:sz="8" w:space="0" w:color="auto"/>
            </w:tcBorders>
            <w:vAlign w:val="center"/>
          </w:tcPr>
          <w:p w14:paraId="70E66304" w14:textId="77777777" w:rsidR="003638A6" w:rsidRPr="00B26A4A" w:rsidRDefault="003638A6" w:rsidP="005A1C83">
            <w:pPr>
              <w:pStyle w:val="TAC"/>
              <w:rPr>
                <w:rFonts w:eastAsia="DengXian"/>
              </w:rPr>
            </w:pPr>
          </w:p>
        </w:tc>
        <w:tc>
          <w:tcPr>
            <w:tcW w:w="909" w:type="dxa"/>
            <w:vMerge/>
            <w:tcBorders>
              <w:top w:val="nil"/>
              <w:left w:val="nil"/>
              <w:bottom w:val="single" w:sz="8" w:space="0" w:color="auto"/>
              <w:right w:val="single" w:sz="8" w:space="0" w:color="auto"/>
            </w:tcBorders>
            <w:vAlign w:val="center"/>
          </w:tcPr>
          <w:p w14:paraId="5171759B" w14:textId="77777777" w:rsidR="003638A6" w:rsidRPr="00B26A4A" w:rsidRDefault="003638A6" w:rsidP="005A1C83">
            <w:pPr>
              <w:pStyle w:val="TAC"/>
              <w:rPr>
                <w:rFonts w:eastAsia="DengXian"/>
              </w:rPr>
            </w:pPr>
          </w:p>
        </w:tc>
      </w:tr>
      <w:tr w:rsidR="003638A6" w:rsidRPr="00B26A4A" w14:paraId="560BCAFC"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53DD95FE" w14:textId="77777777" w:rsidR="003638A6" w:rsidRPr="00B26A4A" w:rsidRDefault="003638A6" w:rsidP="005A1C83">
            <w:pPr>
              <w:pStyle w:val="TAC"/>
            </w:pPr>
            <w:r w:rsidRPr="00B26A4A">
              <w:t>1</w:t>
            </w:r>
            <w:r>
              <w:t>, 1, 1, 0</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76D00976" w14:textId="77777777" w:rsidR="003638A6" w:rsidRPr="00B26A4A" w:rsidRDefault="003638A6" w:rsidP="005A1C83">
            <w:pPr>
              <w:pStyle w:val="TAC"/>
            </w:pPr>
            <w:r w:rsidRPr="00B26A4A">
              <w:t>5</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2607EC0E" w14:textId="77777777" w:rsidR="003638A6" w:rsidRPr="00B26A4A" w:rsidRDefault="003638A6" w:rsidP="005A1C83">
            <w:pPr>
              <w:pStyle w:val="TAC"/>
            </w:pPr>
            <w:r w:rsidRPr="00B26A4A">
              <w:t>5</w:t>
            </w:r>
          </w:p>
        </w:tc>
        <w:tc>
          <w:tcPr>
            <w:tcW w:w="1879"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14:paraId="18F7960D" w14:textId="77777777" w:rsidR="003638A6" w:rsidRPr="00B26A4A" w:rsidRDefault="003638A6" w:rsidP="005A1C83">
            <w:pPr>
              <w:pStyle w:val="TAC"/>
            </w:pPr>
            <w:r w:rsidRPr="00B26A4A">
              <w:t>1</w:t>
            </w:r>
          </w:p>
        </w:tc>
        <w:tc>
          <w:tcPr>
            <w:tcW w:w="993" w:type="dxa"/>
            <w:tcBorders>
              <w:top w:val="nil"/>
              <w:left w:val="nil"/>
              <w:bottom w:val="single" w:sz="8" w:space="0" w:color="auto"/>
              <w:right w:val="single" w:sz="8" w:space="0" w:color="auto"/>
            </w:tcBorders>
            <w:tcMar>
              <w:top w:w="0" w:type="dxa"/>
              <w:left w:w="108" w:type="dxa"/>
              <w:bottom w:w="0" w:type="dxa"/>
              <w:right w:w="108" w:type="dxa"/>
            </w:tcMar>
          </w:tcPr>
          <w:p w14:paraId="6D4436B4" w14:textId="77777777" w:rsidR="003638A6" w:rsidRPr="00B26A4A" w:rsidRDefault="003638A6" w:rsidP="005A1C83">
            <w:pPr>
              <w:pStyle w:val="TAC"/>
            </w:pPr>
            <w:r w:rsidRPr="00B26A4A">
              <w:t>2</w:t>
            </w:r>
          </w:p>
        </w:tc>
        <w:tc>
          <w:tcPr>
            <w:tcW w:w="909" w:type="dxa"/>
            <w:tcBorders>
              <w:top w:val="nil"/>
              <w:left w:val="nil"/>
              <w:bottom w:val="single" w:sz="8" w:space="0" w:color="auto"/>
              <w:right w:val="single" w:sz="8" w:space="0" w:color="auto"/>
            </w:tcBorders>
            <w:tcMar>
              <w:top w:w="0" w:type="dxa"/>
              <w:left w:w="108" w:type="dxa"/>
              <w:bottom w:w="0" w:type="dxa"/>
              <w:right w:w="108" w:type="dxa"/>
            </w:tcMar>
          </w:tcPr>
          <w:p w14:paraId="6CF38A41" w14:textId="77777777" w:rsidR="003638A6" w:rsidRPr="00B26A4A" w:rsidRDefault="003638A6" w:rsidP="005A1C83">
            <w:pPr>
              <w:pStyle w:val="TAC"/>
            </w:pPr>
            <w:r w:rsidRPr="00B26A4A">
              <w:t>4</w:t>
            </w:r>
          </w:p>
        </w:tc>
      </w:tr>
      <w:tr w:rsidR="003638A6" w:rsidRPr="00B26A4A" w14:paraId="685FAB24" w14:textId="77777777" w:rsidTr="005A1C83">
        <w:trPr>
          <w:trHeight w:val="20"/>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1D770AA1" w14:textId="77777777" w:rsidR="003638A6" w:rsidRPr="00B26A4A" w:rsidRDefault="003638A6" w:rsidP="005A1C83">
            <w:pPr>
              <w:pStyle w:val="TAC"/>
            </w:pPr>
            <w:r w:rsidRPr="00B26A4A">
              <w:t>1</w:t>
            </w:r>
            <w:r>
              <w:t>, 1, 1, 1</w:t>
            </w:r>
          </w:p>
        </w:tc>
        <w:tc>
          <w:tcPr>
            <w:tcW w:w="1880" w:type="dxa"/>
            <w:tcBorders>
              <w:top w:val="nil"/>
              <w:left w:val="nil"/>
              <w:bottom w:val="single" w:sz="8" w:space="0" w:color="auto"/>
              <w:right w:val="single" w:sz="8" w:space="0" w:color="auto"/>
            </w:tcBorders>
            <w:tcMar>
              <w:top w:w="0" w:type="dxa"/>
              <w:left w:w="108" w:type="dxa"/>
              <w:bottom w:w="0" w:type="dxa"/>
              <w:right w:w="108" w:type="dxa"/>
            </w:tcMar>
            <w:vAlign w:val="center"/>
          </w:tcPr>
          <w:p w14:paraId="7ADF773C" w14:textId="77777777" w:rsidR="003638A6" w:rsidRPr="00B26A4A" w:rsidRDefault="003638A6" w:rsidP="005A1C83">
            <w:pPr>
              <w:pStyle w:val="TAC"/>
            </w:pPr>
            <w:r w:rsidRPr="00B26A4A">
              <w:t>10</w:t>
            </w:r>
          </w:p>
        </w:tc>
        <w:tc>
          <w:tcPr>
            <w:tcW w:w="1980" w:type="dxa"/>
            <w:tcBorders>
              <w:top w:val="nil"/>
              <w:left w:val="nil"/>
              <w:bottom w:val="single" w:sz="8" w:space="0" w:color="auto"/>
              <w:right w:val="single" w:sz="8" w:space="0" w:color="auto"/>
            </w:tcBorders>
            <w:tcMar>
              <w:top w:w="0" w:type="dxa"/>
              <w:left w:w="108" w:type="dxa"/>
              <w:bottom w:w="0" w:type="dxa"/>
              <w:right w:w="108" w:type="dxa"/>
            </w:tcMar>
          </w:tcPr>
          <w:p w14:paraId="69EE3434" w14:textId="77777777" w:rsidR="003638A6" w:rsidRPr="00B26A4A" w:rsidRDefault="003638A6" w:rsidP="005A1C83">
            <w:pPr>
              <w:pStyle w:val="TAC"/>
            </w:pPr>
            <w:r w:rsidRPr="00B26A4A">
              <w:t>10</w:t>
            </w:r>
          </w:p>
        </w:tc>
        <w:tc>
          <w:tcPr>
            <w:tcW w:w="1029" w:type="dxa"/>
            <w:tcBorders>
              <w:top w:val="nil"/>
              <w:left w:val="nil"/>
              <w:bottom w:val="single" w:sz="8" w:space="0" w:color="auto"/>
              <w:right w:val="single" w:sz="8" w:space="0" w:color="auto"/>
            </w:tcBorders>
            <w:tcMar>
              <w:top w:w="0" w:type="dxa"/>
              <w:left w:w="108" w:type="dxa"/>
              <w:bottom w:w="0" w:type="dxa"/>
              <w:right w:w="108" w:type="dxa"/>
            </w:tcMar>
          </w:tcPr>
          <w:p w14:paraId="72558F05" w14:textId="77777777" w:rsidR="003638A6" w:rsidRPr="00B26A4A" w:rsidRDefault="003638A6" w:rsidP="005A1C83">
            <w:pPr>
              <w:pStyle w:val="TAC"/>
            </w:pPr>
            <w:r w:rsidRPr="00B26A4A">
              <w:t>1</w:t>
            </w:r>
          </w:p>
        </w:tc>
        <w:tc>
          <w:tcPr>
            <w:tcW w:w="850" w:type="dxa"/>
            <w:tcBorders>
              <w:top w:val="nil"/>
              <w:left w:val="nil"/>
              <w:bottom w:val="single" w:sz="8" w:space="0" w:color="auto"/>
              <w:right w:val="single" w:sz="8" w:space="0" w:color="auto"/>
            </w:tcBorders>
            <w:tcMar>
              <w:top w:w="0" w:type="dxa"/>
              <w:left w:w="108" w:type="dxa"/>
              <w:bottom w:w="0" w:type="dxa"/>
              <w:right w:w="108" w:type="dxa"/>
            </w:tcMar>
          </w:tcPr>
          <w:p w14:paraId="575CB4BE" w14:textId="77777777" w:rsidR="003638A6" w:rsidRPr="00B26A4A" w:rsidRDefault="003638A6" w:rsidP="005A1C83">
            <w:pPr>
              <w:pStyle w:val="TAC"/>
            </w:pPr>
            <w:r w:rsidRPr="00B26A4A">
              <w:t>2</w:t>
            </w:r>
          </w:p>
        </w:tc>
        <w:tc>
          <w:tcPr>
            <w:tcW w:w="993" w:type="dxa"/>
            <w:tcBorders>
              <w:top w:val="nil"/>
              <w:left w:val="nil"/>
              <w:bottom w:val="single" w:sz="8" w:space="0" w:color="auto"/>
              <w:right w:val="single" w:sz="8" w:space="0" w:color="auto"/>
            </w:tcBorders>
            <w:tcMar>
              <w:top w:w="0" w:type="dxa"/>
              <w:left w:w="108" w:type="dxa"/>
              <w:bottom w:w="0" w:type="dxa"/>
              <w:right w:w="108" w:type="dxa"/>
            </w:tcMar>
          </w:tcPr>
          <w:p w14:paraId="1A8EB5AB" w14:textId="77777777" w:rsidR="003638A6" w:rsidRPr="00B26A4A" w:rsidRDefault="003638A6" w:rsidP="005A1C83">
            <w:pPr>
              <w:pStyle w:val="TAC"/>
            </w:pPr>
            <w:r w:rsidRPr="00B26A4A">
              <w:t>4</w:t>
            </w:r>
          </w:p>
        </w:tc>
        <w:tc>
          <w:tcPr>
            <w:tcW w:w="909" w:type="dxa"/>
            <w:tcBorders>
              <w:top w:val="nil"/>
              <w:left w:val="nil"/>
              <w:bottom w:val="single" w:sz="8" w:space="0" w:color="auto"/>
              <w:right w:val="single" w:sz="8" w:space="0" w:color="auto"/>
            </w:tcBorders>
            <w:tcMar>
              <w:top w:w="0" w:type="dxa"/>
              <w:left w:w="108" w:type="dxa"/>
              <w:bottom w:w="0" w:type="dxa"/>
              <w:right w:w="108" w:type="dxa"/>
            </w:tcMar>
          </w:tcPr>
          <w:p w14:paraId="6FDC1006" w14:textId="77777777" w:rsidR="003638A6" w:rsidRPr="00B26A4A" w:rsidRDefault="003638A6" w:rsidP="005A1C83">
            <w:pPr>
              <w:pStyle w:val="TAC"/>
            </w:pPr>
            <w:r w:rsidRPr="00B26A4A">
              <w:t>8</w:t>
            </w:r>
          </w:p>
        </w:tc>
      </w:tr>
    </w:tbl>
    <w:p w14:paraId="44990F32" w14:textId="77777777" w:rsidR="003638A6" w:rsidRDefault="003638A6" w:rsidP="00567C0B">
      <w:pPr>
        <w:rPr>
          <w:color w:val="000000"/>
        </w:rPr>
      </w:pPr>
    </w:p>
    <w:p w14:paraId="4DF35816" w14:textId="76E43F33" w:rsidR="00567C0B" w:rsidRDefault="00E21265" w:rsidP="00567C0B">
      <w:pPr>
        <w:rPr>
          <w:lang w:val="en-US"/>
        </w:rPr>
      </w:pPr>
      <w:r>
        <w:rPr>
          <w:color w:val="000000"/>
          <w:lang w:val="en-US"/>
        </w:rPr>
        <w:t>If a UE would transmit or receive an S-SS/PSBCH block</w:t>
      </w:r>
      <w:r>
        <w:rPr>
          <w:lang w:val="en-US"/>
        </w:rPr>
        <w:t>, and the transmission or reception would overlap in time with transmissions or receptions on the sidelink</w:t>
      </w:r>
      <w:r w:rsidR="00974DFD" w:rsidRPr="00B26A4A">
        <w:rPr>
          <w:lang w:val="en-US"/>
        </w:rPr>
        <w:t xml:space="preserve"> using E-UTRA radio access</w:t>
      </w:r>
      <w:r>
        <w:rPr>
          <w:lang w:val="en-US"/>
        </w:rPr>
        <w:t>, the UE transmits or receives the signal/channel with the higher priority.</w:t>
      </w:r>
    </w:p>
    <w:p w14:paraId="50D2E221" w14:textId="4AA04218" w:rsidR="00974DFD" w:rsidRDefault="00974DFD" w:rsidP="00567C0B">
      <w:pPr>
        <w:rPr>
          <w:lang w:val="en-US"/>
        </w:rPr>
      </w:pPr>
      <w:r>
        <w:rPr>
          <w:lang w:val="en-US"/>
        </w:rPr>
        <w:t>If a UE would transmit or receive sidelink synchronization signals for E-UTRA radio access, and the transmission or reception would overlap in time with sidelink transmissions or receptions using NR radio access, the UE transmits or receives the signal/channel with the higher priority.</w:t>
      </w:r>
    </w:p>
    <w:p w14:paraId="7CDDA1AD" w14:textId="0054BD6B" w:rsidR="00E21265" w:rsidRDefault="00E21265" w:rsidP="00E21265">
      <w:pPr>
        <w:pStyle w:val="Heading2"/>
        <w:spacing w:before="0"/>
        <w:ind w:left="1136" w:hanging="1136"/>
        <w:rPr>
          <w:rFonts w:cs="Arial"/>
        </w:rPr>
      </w:pPr>
      <w:bookmarkStart w:id="839" w:name="_Toc29899176"/>
      <w:bookmarkStart w:id="840" w:name="_Toc29899594"/>
      <w:bookmarkStart w:id="841" w:name="_Toc29917330"/>
      <w:bookmarkStart w:id="842" w:name="_Toc36498204"/>
      <w:bookmarkStart w:id="843" w:name="_Toc45699232"/>
      <w:bookmarkStart w:id="844" w:name="_Toc161999166"/>
      <w:r>
        <w:rPr>
          <w:rFonts w:cs="Arial"/>
        </w:rPr>
        <w:t>16</w:t>
      </w:r>
      <w:r w:rsidRPr="00D84934">
        <w:rPr>
          <w:rFonts w:cs="Arial"/>
        </w:rPr>
        <w:t>.</w:t>
      </w:r>
      <w:r>
        <w:rPr>
          <w:rFonts w:cs="Arial"/>
        </w:rPr>
        <w:t>2</w:t>
      </w:r>
      <w:r w:rsidRPr="00D84934">
        <w:rPr>
          <w:rFonts w:cs="Arial"/>
        </w:rPr>
        <w:tab/>
        <w:t>Power control</w:t>
      </w:r>
      <w:bookmarkEnd w:id="838"/>
      <w:bookmarkEnd w:id="839"/>
      <w:bookmarkEnd w:id="840"/>
      <w:bookmarkEnd w:id="841"/>
      <w:bookmarkEnd w:id="842"/>
      <w:bookmarkEnd w:id="843"/>
      <w:bookmarkEnd w:id="844"/>
    </w:p>
    <w:p w14:paraId="3593E809" w14:textId="77777777" w:rsidR="006A00C3" w:rsidRDefault="006A00C3" w:rsidP="006A00C3">
      <w:pPr>
        <w:pStyle w:val="Heading3"/>
        <w:spacing w:before="0"/>
      </w:pPr>
      <w:bookmarkStart w:id="845" w:name="_Toc36498205"/>
      <w:bookmarkStart w:id="846" w:name="_Toc45699233"/>
      <w:bookmarkStart w:id="847" w:name="_Toc161999167"/>
      <w:r>
        <w:t>16</w:t>
      </w:r>
      <w:r w:rsidRPr="00B35299">
        <w:t>.</w:t>
      </w:r>
      <w:r>
        <w:t>2</w:t>
      </w:r>
      <w:r w:rsidRPr="00B35299">
        <w:t>.</w:t>
      </w:r>
      <w:r>
        <w:t>0</w:t>
      </w:r>
      <w:r w:rsidRPr="00B35299">
        <w:tab/>
      </w:r>
      <w:r w:rsidRPr="007B25D4">
        <w:rPr>
          <w:rFonts w:cs="Arial"/>
          <w:szCs w:val="24"/>
          <w:lang w:val="x-none" w:eastAsia="x-none"/>
        </w:rPr>
        <w:t>S-SS/PSBCH blocks</w:t>
      </w:r>
      <w:bookmarkEnd w:id="845"/>
      <w:bookmarkEnd w:id="846"/>
      <w:bookmarkEnd w:id="847"/>
    </w:p>
    <w:p w14:paraId="0639696E" w14:textId="4D52C291" w:rsidR="006A00C3" w:rsidRPr="003D1EEB" w:rsidRDefault="006A00C3" w:rsidP="006A00C3">
      <w:pPr>
        <w:rPr>
          <w:rFonts w:eastAsiaTheme="minorEastAsia"/>
          <w:szCs w:val="18"/>
        </w:rPr>
      </w:pPr>
      <w:r w:rsidRPr="003D1EEB">
        <w:rPr>
          <w:rFonts w:eastAsiaTheme="minorEastAsia"/>
          <w:szCs w:val="18"/>
        </w:rPr>
        <w:t xml:space="preserve">A UE determines a power </w:t>
      </w:r>
      <m:oMath>
        <m:sSub>
          <m:sSubPr>
            <m:ctrlPr>
              <w:rPr>
                <w:rFonts w:ascii="Cambria Math" w:eastAsiaTheme="minorEastAsia" w:hAnsi="Cambria Math"/>
                <w:i/>
                <w:iCs/>
                <w:szCs w:val="18"/>
              </w:rPr>
            </m:ctrlPr>
          </m:sSubPr>
          <m:e>
            <m:r>
              <w:rPr>
                <w:rFonts w:ascii="Cambria Math" w:eastAsiaTheme="minorEastAsia" w:hAnsi="Cambria Math"/>
                <w:szCs w:val="18"/>
              </w:rPr>
              <m:t>P</m:t>
            </m:r>
          </m:e>
          <m:sub>
            <m:r>
              <m:rPr>
                <m:nor/>
              </m:rPr>
              <w:rPr>
                <w:rFonts w:eastAsiaTheme="minorEastAsia"/>
                <w:iCs/>
                <w:szCs w:val="18"/>
              </w:rPr>
              <m:t>S-SSB</m:t>
            </m:r>
            <m:ctrlPr>
              <w:rPr>
                <w:rFonts w:ascii="Cambria Math" w:eastAsiaTheme="minorEastAsia" w:hAnsi="Cambria Math"/>
                <w:iCs/>
                <w:szCs w:val="18"/>
              </w:rPr>
            </m:ctrlPr>
          </m:sub>
        </m:sSub>
        <m:r>
          <w:rPr>
            <w:rFonts w:ascii="Cambria Math" w:eastAsiaTheme="minorEastAsia" w:hAnsi="Cambria Math"/>
            <w:szCs w:val="18"/>
          </w:rPr>
          <m:t>(i)</m:t>
        </m:r>
      </m:oMath>
      <w:r w:rsidRPr="003D1EEB">
        <w:rPr>
          <w:rFonts w:eastAsiaTheme="minorEastAsia"/>
          <w:iCs/>
          <w:szCs w:val="18"/>
        </w:rPr>
        <w:t xml:space="preserve"> </w:t>
      </w:r>
      <w:r w:rsidRPr="003D1EEB">
        <w:rPr>
          <w:rFonts w:eastAsiaTheme="minorEastAsia"/>
          <w:szCs w:val="18"/>
        </w:rPr>
        <w:t xml:space="preserve">for </w:t>
      </w:r>
      <w:r>
        <w:rPr>
          <w:rFonts w:eastAsiaTheme="minorEastAsia" w:hint="eastAsia"/>
          <w:szCs w:val="18"/>
          <w:lang w:eastAsia="zh-CN"/>
        </w:rPr>
        <w:t xml:space="preserve">an </w:t>
      </w:r>
      <w:r w:rsidRPr="003D1EEB">
        <w:rPr>
          <w:rFonts w:eastAsiaTheme="minorEastAsia"/>
          <w:szCs w:val="18"/>
        </w:rPr>
        <w:t>S-SS/PSBCH block transmission occasion</w:t>
      </w:r>
      <w:r>
        <w:rPr>
          <w:rFonts w:eastAsiaTheme="minorEastAsia" w:hint="eastAsia"/>
          <w:szCs w:val="18"/>
          <w:lang w:eastAsia="zh-CN"/>
        </w:rPr>
        <w:t xml:space="preserve"> in slot</w:t>
      </w:r>
      <w:r w:rsidRPr="003D1EEB">
        <w:rPr>
          <w:rFonts w:eastAsiaTheme="minorEastAsia"/>
          <w:szCs w:val="18"/>
        </w:rPr>
        <w:t xml:space="preserve"> </w:t>
      </w:r>
      <m:oMath>
        <m:r>
          <w:rPr>
            <w:rFonts w:ascii="Cambria Math" w:eastAsiaTheme="minorEastAsia" w:hAnsi="Cambria Math"/>
            <w:szCs w:val="18"/>
          </w:rPr>
          <m:t>i</m:t>
        </m:r>
      </m:oMath>
      <w:r w:rsidR="00A107D2" w:rsidRPr="00A340B0">
        <w:rPr>
          <w:szCs w:val="18"/>
        </w:rPr>
        <w:t>, in the anchor RB-set if applicable,</w:t>
      </w:r>
      <w:r w:rsidRPr="003D1EEB">
        <w:rPr>
          <w:rFonts w:eastAsiaTheme="minorEastAsia"/>
          <w:iCs/>
          <w:szCs w:val="18"/>
        </w:rPr>
        <w:t xml:space="preserve"> </w:t>
      </w:r>
      <w:r w:rsidR="00B51B2F">
        <w:rPr>
          <w:szCs w:val="18"/>
        </w:rPr>
        <w:t xml:space="preserve">on active SL BWP </w:t>
      </w:r>
      <m:oMath>
        <m:r>
          <w:rPr>
            <w:rFonts w:ascii="Cambria Math" w:hAnsi="Cambria Math"/>
            <w:szCs w:val="18"/>
          </w:rPr>
          <m:t>b</m:t>
        </m:r>
      </m:oMath>
      <w:r w:rsidR="00B51B2F">
        <w:rPr>
          <w:szCs w:val="18"/>
        </w:rPr>
        <w:t xml:space="preserve"> of carrier </w:t>
      </w:r>
      <m:oMath>
        <m:r>
          <w:rPr>
            <w:rFonts w:ascii="Cambria Math" w:hAnsi="Cambria Math"/>
            <w:szCs w:val="18"/>
          </w:rPr>
          <m:t>f</m:t>
        </m:r>
      </m:oMath>
      <w:r w:rsidR="00B51B2F" w:rsidRPr="00A77FF5">
        <w:rPr>
          <w:i/>
          <w:szCs w:val="18"/>
        </w:rPr>
        <w:t xml:space="preserve"> </w:t>
      </w:r>
      <w:r w:rsidRPr="003D1EEB">
        <w:rPr>
          <w:rFonts w:eastAsiaTheme="minorEastAsia"/>
          <w:szCs w:val="18"/>
        </w:rPr>
        <w:t>as</w:t>
      </w:r>
    </w:p>
    <w:p w14:paraId="638E515D" w14:textId="12F9AD54" w:rsidR="006A00C3" w:rsidRPr="00244B4C" w:rsidRDefault="00BB0A93" w:rsidP="00393CCA">
      <w:pPr>
        <w:pStyle w:val="EQ"/>
        <w:rPr>
          <w:rFonts w:eastAsiaTheme="minorEastAsia"/>
        </w:rPr>
      </w:pPr>
      <w:r>
        <w:rPr>
          <w:rFonts w:eastAsiaTheme="minorEastAsia"/>
          <w:noProof w:val="0"/>
        </w:rPr>
        <w:tab/>
      </w:r>
      <m:oMath>
        <m:sSub>
          <m:sSubPr>
            <m:ctrlPr>
              <w:rPr>
                <w:rFonts w:ascii="Cambria Math" w:eastAsiaTheme="minorEastAsia" w:hAnsi="Cambria Math"/>
              </w:rPr>
            </m:ctrlPr>
          </m:sSubPr>
          <m:e>
            <m:r>
              <w:rPr>
                <w:rFonts w:ascii="Cambria Math" w:eastAsiaTheme="minorEastAsia" w:hAnsi="Cambria Math"/>
              </w:rPr>
              <m:t>P</m:t>
            </m:r>
          </m:e>
          <m:sub>
            <m:r>
              <m:rPr>
                <m:nor/>
              </m:rPr>
              <w:rPr>
                <w:rFonts w:eastAsiaTheme="minorEastAsia"/>
              </w:rPr>
              <m:t>S-SSB</m:t>
            </m:r>
          </m:sub>
        </m:sSub>
        <m:r>
          <m:rPr>
            <m:sty m:val="p"/>
          </m:rPr>
          <w:rPr>
            <w:rFonts w:ascii="Cambria Math" w:eastAsiaTheme="minorEastAsia" w:hAnsi="Cambria Math"/>
          </w:rPr>
          <m:t>(</m:t>
        </m:r>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min</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P</m:t>
                </m:r>
              </m:e>
              <m:sub>
                <m:r>
                  <m:rPr>
                    <m:nor/>
                  </m:rPr>
                  <w:rPr>
                    <w:rFonts w:eastAsiaTheme="minorEastAsia"/>
                  </w:rPr>
                  <m:t>CMAX</m:t>
                </m:r>
              </m:sub>
            </m:sSub>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offset</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P</m:t>
                </m:r>
              </m:e>
              <m:sub>
                <m:r>
                  <m:rPr>
                    <m:nor/>
                  </m:rPr>
                  <w:rPr>
                    <w:rFonts w:eastAsiaTheme="minorEastAsia"/>
                  </w:rPr>
                  <m:t>O</m:t>
                </m:r>
                <m:r>
                  <m:rPr>
                    <m:sty m:val="p"/>
                  </m:rPr>
                  <w:rPr>
                    <w:rFonts w:ascii="Cambria Math" w:eastAsiaTheme="minorEastAsia" w:hAnsi="Cambria Math"/>
                  </w:rPr>
                  <m:t>,S-SSB</m:t>
                </m:r>
              </m:sub>
            </m:sSub>
            <m:r>
              <m:rPr>
                <m:sty m:val="p"/>
              </m:rPr>
              <w:rPr>
                <w:rFonts w:ascii="Cambria Math" w:eastAsiaTheme="minorEastAsia" w:hAnsi="Cambria Math"/>
              </w:rPr>
              <m:t>+10</m:t>
            </m:r>
            <m:func>
              <m:funcPr>
                <m:ctrlPr>
                  <w:rPr>
                    <w:rFonts w:ascii="Cambria Math" w:eastAsiaTheme="minorEastAsia" w:hAnsi="Cambria Math"/>
                  </w:rPr>
                </m:ctrlPr>
              </m:funcPr>
              <m:fName>
                <m:sSub>
                  <m:sSubPr>
                    <m:ctrlPr>
                      <w:rPr>
                        <w:rFonts w:ascii="Cambria Math" w:eastAsiaTheme="minorEastAsia" w:hAnsi="Cambria Math"/>
                      </w:rPr>
                    </m:ctrlPr>
                  </m:sSubPr>
                  <m:e>
                    <m:r>
                      <w:rPr>
                        <w:rFonts w:ascii="Cambria Math" w:eastAsiaTheme="minorEastAsia" w:hAnsi="Cambria Math"/>
                      </w:rPr>
                      <m:t>log</m:t>
                    </m:r>
                  </m:e>
                  <m:sub>
                    <m:r>
                      <m:rPr>
                        <m:sty m:val="p"/>
                      </m:rPr>
                      <w:rPr>
                        <w:rFonts w:ascii="Cambria Math" w:eastAsiaTheme="minorEastAsia" w:hAnsi="Cambria Math"/>
                      </w:rPr>
                      <m:t>10</m:t>
                    </m:r>
                  </m:sub>
                </m:sSub>
              </m:fName>
              <m:e>
                <m:d>
                  <m:dPr>
                    <m:ctrlPr>
                      <w:rPr>
                        <w:rFonts w:ascii="Cambria Math" w:eastAsiaTheme="minorEastAsia" w:hAnsi="Cambria Math"/>
                        <w:lang w:val="x-none"/>
                      </w:rPr>
                    </m:ctrlPr>
                  </m:dPr>
                  <m:e>
                    <m:sSup>
                      <m:sSupPr>
                        <m:ctrlPr>
                          <w:rPr>
                            <w:rFonts w:ascii="Cambria Math" w:eastAsiaTheme="minorEastAsia" w:hAnsi="Cambria Math"/>
                          </w:rPr>
                        </m:ctrlPr>
                      </m:sSupPr>
                      <m:e>
                        <m:r>
                          <m:rPr>
                            <m:sty m:val="p"/>
                          </m:rPr>
                          <w:rPr>
                            <w:rFonts w:ascii="Cambria Math" w:eastAsiaTheme="minorEastAsia" w:hAnsi="Cambria Math"/>
                          </w:rPr>
                          <m:t>2</m:t>
                        </m:r>
                      </m:e>
                      <m:sup>
                        <m:r>
                          <w:rPr>
                            <w:rFonts w:ascii="Cambria Math" w:eastAsiaTheme="minorEastAsia" w:hAnsi="Cambria Math"/>
                          </w:rPr>
                          <m:t>μ</m:t>
                        </m:r>
                      </m:sup>
                    </m:sSup>
                    <m:r>
                      <m:rPr>
                        <m:sty m:val="p"/>
                      </m:rPr>
                      <w:rPr>
                        <w:rFonts w:ascii="Cambria Math" w:hAnsi="Cambria Math"/>
                      </w:rPr>
                      <m:t>∙</m:t>
                    </m:r>
                    <m:sSubSup>
                      <m:sSubSupPr>
                        <m:ctrlPr>
                          <w:rPr>
                            <w:rFonts w:ascii="Cambria Math" w:eastAsiaTheme="minorEastAsia" w:hAnsi="Cambria Math" w:cs="Calibri"/>
                            <w:sz w:val="21"/>
                            <w:szCs w:val="21"/>
                          </w:rPr>
                        </m:ctrlPr>
                      </m:sSubSupPr>
                      <m:e>
                        <m:r>
                          <w:rPr>
                            <w:rFonts w:ascii="Cambria Math" w:hAnsi="Cambria Math"/>
                          </w:rPr>
                          <m:t>M</m:t>
                        </m:r>
                      </m:e>
                      <m:sub>
                        <m:r>
                          <m:rPr>
                            <m:sty m:val="p"/>
                          </m:rPr>
                          <w:rPr>
                            <w:rFonts w:ascii="Cambria Math" w:hAnsi="Cambria Math"/>
                          </w:rPr>
                          <m:t>RB</m:t>
                        </m:r>
                      </m:sub>
                      <m:sup>
                        <m:r>
                          <m:rPr>
                            <m:sty m:val="p"/>
                          </m:rPr>
                          <w:rPr>
                            <w:rFonts w:ascii="Cambria Math" w:hAnsi="Cambria Math"/>
                          </w:rPr>
                          <m:t>S-SSB</m:t>
                        </m:r>
                      </m:sup>
                    </m:sSubSup>
                  </m:e>
                </m:d>
              </m:e>
            </m:func>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α</m:t>
                </m:r>
              </m:e>
              <m:sub>
                <m:r>
                  <m:rPr>
                    <m:sty m:val="p"/>
                  </m:rPr>
                  <w:rPr>
                    <w:rFonts w:ascii="Cambria Math" w:eastAsiaTheme="minorEastAsia" w:hAnsi="Cambria Math"/>
                  </w:rPr>
                  <m:t>S-SSB</m:t>
                </m:r>
              </m:sub>
            </m:sSub>
            <m:r>
              <m:rPr>
                <m:sty m:val="p"/>
              </m:rPr>
              <w:rPr>
                <w:rFonts w:ascii="Cambria Math" w:eastAsiaTheme="minorEastAsia" w:hAnsi="Cambria Math"/>
              </w:rPr>
              <m:t>⋅</m:t>
            </m:r>
            <m:r>
              <w:rPr>
                <w:rFonts w:ascii="Cambria Math" w:eastAsiaTheme="minorEastAsia" w:hAnsi="Cambria Math"/>
              </w:rPr>
              <m:t>PL</m:t>
            </m:r>
          </m:e>
        </m:d>
      </m:oMath>
      <w:r w:rsidR="006A00C3" w:rsidRPr="00E8797A">
        <w:rPr>
          <w:rFonts w:eastAsiaTheme="minorEastAsia"/>
        </w:rPr>
        <w:t xml:space="preserve"> [dBm]</w:t>
      </w:r>
    </w:p>
    <w:p w14:paraId="65D443A9" w14:textId="77777777" w:rsidR="006A00C3" w:rsidRPr="003D1EEB" w:rsidRDefault="006A00C3" w:rsidP="006A00C3">
      <w:pPr>
        <w:rPr>
          <w:szCs w:val="18"/>
        </w:rPr>
      </w:pPr>
      <w:r w:rsidRPr="003D1EEB">
        <w:rPr>
          <w:rFonts w:eastAsiaTheme="minorEastAsia"/>
          <w:szCs w:val="18"/>
        </w:rPr>
        <w:t>w</w:t>
      </w:r>
      <w:r w:rsidRPr="003D1EEB">
        <w:rPr>
          <w:szCs w:val="18"/>
        </w:rPr>
        <w:t>here</w:t>
      </w:r>
    </w:p>
    <w:p w14:paraId="1B34934C" w14:textId="77777777" w:rsidR="006A00C3" w:rsidRPr="003D1EEB" w:rsidRDefault="006A00C3" w:rsidP="00393CCA">
      <w:pPr>
        <w:pStyle w:val="B1"/>
        <w:rPr>
          <w:rFonts w:eastAsiaTheme="minorEastAsia"/>
        </w:rPr>
      </w:pPr>
      <w:r w:rsidRPr="003D1EEB">
        <w:rPr>
          <w:rFonts w:eastAsiaTheme="minorEastAsia"/>
        </w:rPr>
        <w:t>-</w:t>
      </w:r>
      <w:r w:rsidRPr="003D1EEB">
        <w:rPr>
          <w:rFonts w:eastAsiaTheme="minorEastAsia"/>
        </w:rPr>
        <w:tab/>
      </w:r>
      <m:oMath>
        <m:sSub>
          <m:sSubPr>
            <m:ctrlPr>
              <w:rPr>
                <w:rFonts w:ascii="Cambria Math" w:eastAsiaTheme="minorEastAsia" w:hAnsi="Cambria Math"/>
                <w:i/>
              </w:rPr>
            </m:ctrlPr>
          </m:sSubPr>
          <m:e>
            <m:r>
              <w:rPr>
                <w:rFonts w:ascii="Cambria Math" w:eastAsiaTheme="minorEastAsia" w:hAnsi="Cambria Math"/>
              </w:rPr>
              <m:t>P</m:t>
            </m:r>
          </m:e>
          <m:sub>
            <m:r>
              <m:rPr>
                <m:nor/>
              </m:rPr>
              <w:rPr>
                <w:rFonts w:ascii="Cambria Math" w:eastAsiaTheme="minorEastAsia" w:hAnsi="Cambria Math"/>
              </w:rPr>
              <m:t>CMAX</m:t>
            </m:r>
            <m:ctrlPr>
              <w:rPr>
                <w:rFonts w:ascii="Cambria Math" w:eastAsiaTheme="minorEastAsia" w:hAnsi="Cambria Math"/>
              </w:rPr>
            </m:ctrlPr>
          </m:sub>
        </m:sSub>
      </m:oMath>
      <w:r w:rsidRPr="003D1EEB">
        <w:rPr>
          <w:rFonts w:eastAsiaTheme="minorEastAsia"/>
        </w:rPr>
        <w:t xml:space="preserve"> </w:t>
      </w:r>
      <w:r w:rsidRPr="003D1EEB">
        <w:t xml:space="preserve">is defined in </w:t>
      </w:r>
      <w:r w:rsidRPr="003D1EEB">
        <w:rPr>
          <w:rFonts w:eastAsiaTheme="minorEastAsia"/>
        </w:rPr>
        <w:t xml:space="preserve">[8-1, TS 38.101-1]  </w:t>
      </w:r>
    </w:p>
    <w:p w14:paraId="4B038979" w14:textId="42EA1A58" w:rsidR="006A00C3" w:rsidRPr="003D1EEB" w:rsidRDefault="006A00C3" w:rsidP="00393CCA">
      <w:pPr>
        <w:pStyle w:val="B1"/>
        <w:rPr>
          <w:i/>
          <w:iCs/>
        </w:rPr>
      </w:pPr>
      <w:r w:rsidRPr="003D1EEB">
        <w:rPr>
          <w:rFonts w:eastAsiaTheme="minorEastAsia"/>
        </w:rPr>
        <w:t>-</w:t>
      </w:r>
      <w:r w:rsidRPr="003D1EEB">
        <w:rPr>
          <w:rFonts w:eastAsiaTheme="minorEastAsia"/>
        </w:rPr>
        <w:tab/>
      </w:r>
      <m:oMath>
        <m:sSub>
          <m:sSubPr>
            <m:ctrlPr>
              <w:rPr>
                <w:rFonts w:ascii="Cambria Math" w:eastAsiaTheme="minorEastAsia" w:hAnsi="Cambria Math"/>
                <w:i/>
              </w:rPr>
            </m:ctrlPr>
          </m:sSubPr>
          <m:e>
            <m:r>
              <w:rPr>
                <w:rFonts w:ascii="Cambria Math" w:eastAsiaTheme="minorEastAsia" w:hAnsi="Cambria Math"/>
              </w:rPr>
              <m:t>P</m:t>
            </m:r>
          </m:e>
          <m:sub>
            <m:r>
              <m:rPr>
                <m:nor/>
              </m:rPr>
              <w:rPr>
                <w:rFonts w:ascii="Cambria Math" w:eastAsiaTheme="minorEastAsia" w:hAnsi="Cambria Math"/>
              </w:rPr>
              <m:t>O</m:t>
            </m:r>
            <m:r>
              <m:rPr>
                <m:sty m:val="p"/>
              </m:rPr>
              <w:rPr>
                <w:rFonts w:ascii="Cambria Math" w:eastAsiaTheme="minorEastAsia" w:hAnsi="Cambria Math"/>
              </w:rPr>
              <m:t>,S-SSB</m:t>
            </m:r>
            <m:ctrlPr>
              <w:rPr>
                <w:rFonts w:ascii="Cambria Math" w:eastAsiaTheme="minorEastAsia" w:hAnsi="Cambria Math"/>
              </w:rPr>
            </m:ctrlPr>
          </m:sub>
        </m:sSub>
      </m:oMath>
      <w:r w:rsidRPr="003D1EEB">
        <w:rPr>
          <w:rFonts w:eastAsiaTheme="minorEastAsia"/>
        </w:rPr>
        <w:t xml:space="preserve"> is a value of </w:t>
      </w:r>
      <w:r w:rsidR="003E241B" w:rsidRPr="00882C4D">
        <w:rPr>
          <w:i/>
          <w:iCs/>
        </w:rPr>
        <w:t>dl-P0-PSBCH</w:t>
      </w:r>
      <w:r w:rsidR="007C33DD">
        <w:rPr>
          <w:rFonts w:eastAsia="Malgun Gothic"/>
          <w:i/>
          <w:iCs/>
        </w:rPr>
        <w:t>-r17</w:t>
      </w:r>
      <w:r w:rsidRPr="003D1EEB">
        <w:rPr>
          <w:rFonts w:eastAsiaTheme="minorEastAsia"/>
        </w:rPr>
        <w:t xml:space="preserve"> if </w:t>
      </w:r>
      <w:r w:rsidR="007C33DD" w:rsidRPr="007C33DD">
        <w:rPr>
          <w:rFonts w:eastAsia="Malgun Gothic"/>
        </w:rPr>
        <w:t xml:space="preserve">using the parameter is supported by the UE and the parameter is </w:t>
      </w:r>
      <w:r w:rsidRPr="007C33DD">
        <w:rPr>
          <w:rFonts w:eastAsiaTheme="minorEastAsia"/>
        </w:rPr>
        <w:t xml:space="preserve">provided; </w:t>
      </w:r>
      <w:r w:rsidR="007C33DD" w:rsidRPr="007C33DD">
        <w:rPr>
          <w:rFonts w:eastAsia="Malgun Gothic"/>
        </w:rPr>
        <w:t xml:space="preserve">else </w:t>
      </w:r>
      <w:r w:rsidR="007C33DD" w:rsidRPr="007C33DD">
        <w:rPr>
          <w:rFonts w:eastAsia="Malgun Gothic"/>
          <w:i/>
          <w:iCs/>
        </w:rPr>
        <w:t xml:space="preserve">dl-P0-PSBCH-r16 </w:t>
      </w:r>
      <w:r w:rsidR="007C33DD" w:rsidRPr="007C33DD">
        <w:rPr>
          <w:rFonts w:eastAsia="Malgun Gothic"/>
          <w:iCs/>
        </w:rPr>
        <w:t>if</w:t>
      </w:r>
      <w:r w:rsidR="007C33DD" w:rsidRPr="007C33DD">
        <w:rPr>
          <w:rFonts w:eastAsia="Malgun Gothic"/>
          <w:i/>
          <w:iCs/>
        </w:rPr>
        <w:t xml:space="preserve"> </w:t>
      </w:r>
      <w:r w:rsidR="007C33DD" w:rsidRPr="007C33DD">
        <w:rPr>
          <w:rFonts w:eastAsia="Malgun Gothic"/>
          <w:iCs/>
        </w:rPr>
        <w:t>provided;</w:t>
      </w:r>
      <w:r w:rsidR="007C33DD" w:rsidRPr="007C33DD">
        <w:rPr>
          <w:rFonts w:eastAsia="Malgun Gothic"/>
        </w:rPr>
        <w:t xml:space="preserve"> </w:t>
      </w:r>
      <w:r w:rsidR="007C33DD" w:rsidRPr="007C33DD">
        <w:rPr>
          <w:rFonts w:eastAsia="Malgun Gothic"/>
          <w:lang w:val="en-GB"/>
        </w:rPr>
        <w:t>otherwise</w:t>
      </w:r>
      <w:r w:rsidRPr="003D1EE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m:rPr>
                <m:nor/>
              </m:rPr>
              <w:rPr>
                <w:rFonts w:ascii="Cambria Math" w:eastAsiaTheme="minorEastAsia" w:hAnsi="Cambria Math"/>
              </w:rPr>
              <m:t>S-SSB</m:t>
            </m:r>
            <m:ctrlPr>
              <w:rPr>
                <w:rFonts w:ascii="Cambria Math" w:eastAsiaTheme="minorEastAsia" w:hAnsi="Cambria Math"/>
              </w:rPr>
            </m:ctrlP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P</m:t>
            </m:r>
          </m:e>
          <m:sub>
            <m:r>
              <m:rPr>
                <m:nor/>
              </m:rPr>
              <w:rPr>
                <w:rFonts w:ascii="Cambria Math" w:eastAsiaTheme="minorEastAsia" w:hAnsi="Cambria Math"/>
              </w:rPr>
              <m:t>CMAX</m:t>
            </m:r>
            <m:ctrlPr>
              <w:rPr>
                <w:rFonts w:ascii="Cambria Math" w:eastAsiaTheme="minorEastAsia" w:hAnsi="Cambria Math"/>
              </w:rPr>
            </m:ctrlPr>
          </m:sub>
        </m:sSub>
        <m:r>
          <w:rPr>
            <w:rFonts w:ascii="Cambria Math" w:eastAsiaTheme="minorEastAsia" w:hAnsi="Cambria Math"/>
          </w:rPr>
          <m:t>-</m:t>
        </m:r>
        <m:sSub>
          <m:sSubPr>
            <m:ctrlPr>
              <w:rPr>
                <w:rFonts w:ascii="Cambria Math" w:eastAsia="DengXian" w:hAnsi="Cambria Math"/>
                <w:i/>
                <w:noProof/>
              </w:rPr>
            </m:ctrlPr>
          </m:sSubPr>
          <m:e>
            <m:r>
              <w:rPr>
                <w:rFonts w:ascii="Cambria Math" w:eastAsia="DengXian" w:hAnsi="Cambria Math"/>
                <w:noProof/>
              </w:rPr>
              <m:t>P</m:t>
            </m:r>
          </m:e>
          <m:sub>
            <m:r>
              <m:rPr>
                <m:sty m:val="p"/>
              </m:rPr>
              <w:rPr>
                <w:rFonts w:ascii="Cambria Math" w:eastAsia="DengXian" w:hAnsi="Cambria Math"/>
                <w:noProof/>
              </w:rPr>
              <m:t>offset</m:t>
            </m:r>
          </m:sub>
        </m:sSub>
      </m:oMath>
      <w:r w:rsidRPr="003D1EEB">
        <w:rPr>
          <w:rFonts w:eastAsiaTheme="minorEastAsia"/>
        </w:rPr>
        <w:t xml:space="preserve"> </w:t>
      </w:r>
    </w:p>
    <w:p w14:paraId="61BDD001" w14:textId="1FC94045" w:rsidR="006A00C3" w:rsidRPr="003D1EEB" w:rsidRDefault="006A00C3" w:rsidP="00393CCA">
      <w:pPr>
        <w:pStyle w:val="B1"/>
        <w:rPr>
          <w:rFonts w:eastAsiaTheme="minorEastAsia"/>
        </w:rPr>
      </w:pPr>
      <w:r w:rsidRPr="003D1EEB">
        <w:rPr>
          <w:rFonts w:eastAsiaTheme="minorEastAsia"/>
        </w:rPr>
        <w:t>-</w:t>
      </w:r>
      <w:r w:rsidRPr="003D1EEB">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α</m:t>
            </m:r>
          </m:e>
          <m:sub>
            <m:r>
              <m:rPr>
                <m:sty m:val="p"/>
              </m:rPr>
              <w:rPr>
                <w:rFonts w:ascii="Cambria Math" w:eastAsiaTheme="minorEastAsia" w:hAnsi="Cambria Math"/>
              </w:rPr>
              <m:t>S-SSB</m:t>
            </m:r>
          </m:sub>
        </m:sSub>
      </m:oMath>
      <w:r w:rsidRPr="003D1EEB">
        <w:rPr>
          <w:rFonts w:eastAsiaTheme="minorEastAsia"/>
        </w:rPr>
        <w:t xml:space="preserve"> is a value of </w:t>
      </w:r>
      <w:r w:rsidR="003E241B" w:rsidRPr="00882C4D">
        <w:rPr>
          <w:i/>
          <w:iCs/>
        </w:rPr>
        <w:t>dl-</w:t>
      </w:r>
      <w:r w:rsidR="003E241B" w:rsidRPr="00882C4D">
        <w:rPr>
          <w:i/>
          <w:iCs/>
          <w:lang w:val="en-US"/>
        </w:rPr>
        <w:t>Alpha</w:t>
      </w:r>
      <w:r w:rsidR="003E241B" w:rsidRPr="00882C4D">
        <w:rPr>
          <w:i/>
          <w:iCs/>
        </w:rPr>
        <w:t>-PSBCH</w:t>
      </w:r>
      <w:r w:rsidRPr="003D1EEB">
        <w:rPr>
          <w:rFonts w:eastAsiaTheme="minorEastAsia"/>
          <w:iCs/>
          <w:color w:val="000000"/>
        </w:rPr>
        <w:t xml:space="preserve">, if </w:t>
      </w:r>
      <w:r w:rsidRPr="003D1EEB">
        <w:rPr>
          <w:rFonts w:eastAsiaTheme="minorEastAsia"/>
        </w:rPr>
        <w:t>provided; else,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α</m:t>
            </m:r>
          </m:e>
          <m:sub>
            <m:r>
              <m:rPr>
                <m:sty m:val="p"/>
              </m:rPr>
              <w:rPr>
                <w:rFonts w:ascii="Cambria Math" w:eastAsiaTheme="minorEastAsia" w:hAnsi="Cambria Math"/>
              </w:rPr>
              <m:t>S-SSB</m:t>
            </m:r>
          </m:sub>
        </m:sSub>
        <m:r>
          <w:rPr>
            <w:rFonts w:ascii="Cambria Math" w:eastAsiaTheme="minorEastAsia" w:hAnsi="Cambria Math"/>
          </w:rPr>
          <m:t>=1</m:t>
        </m:r>
      </m:oMath>
      <w:r w:rsidRPr="003D1EEB">
        <w:rPr>
          <w:rFonts w:eastAsiaTheme="minorEastAsia"/>
        </w:rPr>
        <w:t xml:space="preserve"> </w:t>
      </w:r>
    </w:p>
    <w:p w14:paraId="65E5C19A" w14:textId="0C59DBB6" w:rsidR="00043627" w:rsidRPr="00F56BF9" w:rsidRDefault="006A00C3" w:rsidP="00043627">
      <w:pPr>
        <w:pStyle w:val="B1"/>
        <w:rPr>
          <w:rFonts w:eastAsiaTheme="minorEastAsia"/>
          <w:szCs w:val="24"/>
          <w:lang w:val="en-US" w:eastAsia="zh-CN"/>
        </w:rPr>
      </w:pPr>
      <w:r w:rsidRPr="00F56BF9">
        <w:rPr>
          <w:rFonts w:eastAsiaTheme="minorEastAsia"/>
        </w:rPr>
        <w:t>-</w:t>
      </w:r>
      <w:r w:rsidRPr="00F56BF9">
        <w:rPr>
          <w:rFonts w:eastAsiaTheme="minorEastAsia"/>
        </w:rPr>
        <w:tab/>
      </w:r>
      <m:oMath>
        <m:r>
          <w:rPr>
            <w:rFonts w:ascii="Cambria Math" w:eastAsiaTheme="minorEastAsia" w:hAnsi="Cambria Math"/>
          </w:rPr>
          <m:t>PL=P</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b,f,c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d</m:t>
            </m:r>
          </m:sub>
        </m:sSub>
        <m:r>
          <w:rPr>
            <w:rFonts w:ascii="Cambria Math" w:eastAsiaTheme="minorEastAsia" w:hAnsi="Cambria Math"/>
          </w:rPr>
          <m:t>)</m:t>
        </m:r>
      </m:oMath>
      <w:r w:rsidRPr="00F56BF9">
        <w:rPr>
          <w:rFonts w:eastAsiaTheme="minorEastAsia"/>
        </w:rPr>
        <w:t xml:space="preserve"> </w:t>
      </w:r>
      <w:r w:rsidR="00923EF2" w:rsidRPr="00F56BF9">
        <w:t xml:space="preserve">when the active SL BWP is on a serving cell </w:t>
      </w:r>
      <m:oMath>
        <m:r>
          <w:rPr>
            <w:rFonts w:ascii="Cambria Math" w:hAnsi="Cambria Math"/>
            <w:szCs w:val="18"/>
          </w:rPr>
          <m:t>c</m:t>
        </m:r>
      </m:oMath>
      <w:r w:rsidR="00923EF2" w:rsidRPr="00F56BF9">
        <w:t xml:space="preserve">, </w:t>
      </w:r>
      <w:r w:rsidRPr="00F56BF9">
        <w:rPr>
          <w:rFonts w:eastAsiaTheme="minorEastAsia"/>
        </w:rPr>
        <w:t xml:space="preserve">as described </w:t>
      </w:r>
      <w:r w:rsidR="006F5F9E" w:rsidRPr="00F56BF9">
        <w:rPr>
          <w:rFonts w:eastAsiaTheme="minorEastAsia"/>
        </w:rPr>
        <w:t>in clause</w:t>
      </w:r>
      <w:r w:rsidRPr="00F56BF9">
        <w:rPr>
          <w:rFonts w:eastAsiaTheme="minorEastAsia"/>
        </w:rPr>
        <w:t xml:space="preserve"> 7.1.1 </w:t>
      </w:r>
      <w:r w:rsidR="00043627" w:rsidRPr="00F56BF9">
        <w:rPr>
          <w:rFonts w:eastAsiaTheme="minorEastAsia"/>
          <w:szCs w:val="24"/>
          <w:lang w:val="en-US" w:eastAsia="zh-CN"/>
        </w:rPr>
        <w:t>except that</w:t>
      </w:r>
    </w:p>
    <w:p w14:paraId="3A4121A3" w14:textId="1BA3A708" w:rsidR="00043627" w:rsidRPr="005258CF" w:rsidRDefault="00043627" w:rsidP="00104BB9">
      <w:pPr>
        <w:pStyle w:val="B2"/>
        <w:rPr>
          <w:lang w:val="en-US" w:eastAsia="zh-CN"/>
        </w:rPr>
      </w:pPr>
      <w:r w:rsidRPr="007956F7">
        <w:rPr>
          <w:lang w:eastAsia="zh-CN"/>
        </w:rPr>
        <w:t>-</w:t>
      </w:r>
      <w:r w:rsidRPr="007956F7">
        <w:rPr>
          <w:lang w:eastAsia="zh-CN"/>
        </w:rPr>
        <w:tab/>
        <w:t xml:space="preserve">the RS resource is the one the UE uses for determining a power of a PUSCH transmission scheduled by a DCI format 0_0 </w:t>
      </w:r>
      <w:r w:rsidR="00B51B2F" w:rsidRPr="00110065">
        <w:rPr>
          <w:lang w:eastAsia="zh-CN"/>
        </w:rPr>
        <w:t xml:space="preserve">in serving cell </w:t>
      </w:r>
      <m:oMath>
        <m:r>
          <w:rPr>
            <w:rFonts w:ascii="Cambria Math" w:hAnsi="Cambria Math"/>
            <w:szCs w:val="18"/>
          </w:rPr>
          <m:t>c</m:t>
        </m:r>
      </m:oMath>
      <w:r w:rsidR="00B51B2F" w:rsidRPr="00B5733C">
        <w:rPr>
          <w:lang w:eastAsia="zh-CN"/>
        </w:rPr>
        <w:t xml:space="preserve"> </w:t>
      </w:r>
      <w:r w:rsidRPr="007956F7">
        <w:rPr>
          <w:lang w:eastAsia="zh-CN"/>
        </w:rPr>
        <w:t>when the UE is configured to monitor PDCCH for detection of DCI format 0_0</w:t>
      </w:r>
      <w:r w:rsidR="00B51B2F">
        <w:rPr>
          <w:lang w:val="en-US" w:eastAsia="zh-CN"/>
        </w:rPr>
        <w:t xml:space="preserve"> </w:t>
      </w:r>
      <w:r w:rsidR="00B51B2F" w:rsidRPr="00110065">
        <w:rPr>
          <w:lang w:eastAsia="zh-CN"/>
        </w:rPr>
        <w:t xml:space="preserve">in serving cell </w:t>
      </w:r>
      <m:oMath>
        <m:r>
          <w:rPr>
            <w:rFonts w:ascii="Cambria Math" w:hAnsi="Cambria Math"/>
            <w:szCs w:val="18"/>
          </w:rPr>
          <m:t>c</m:t>
        </m:r>
      </m:oMath>
    </w:p>
    <w:p w14:paraId="49E1A987" w14:textId="237F5F7A" w:rsidR="006A00C3" w:rsidRPr="005258CF" w:rsidRDefault="00043627" w:rsidP="00104BB9">
      <w:pPr>
        <w:pStyle w:val="B2"/>
        <w:rPr>
          <w:lang w:val="en-US" w:eastAsia="zh-CN"/>
        </w:rPr>
      </w:pPr>
      <w:r w:rsidRPr="007956F7">
        <w:rPr>
          <w:lang w:eastAsia="zh-CN"/>
        </w:rPr>
        <w:t>-</w:t>
      </w:r>
      <w:r w:rsidRPr="007956F7">
        <w:rPr>
          <w:lang w:eastAsia="zh-CN"/>
        </w:rPr>
        <w:tab/>
        <w:t>the RS resource is the one corresponding to the SS/PBCH block the UE uses to obtain MIB when the UE is not configured to monitor PDCCH for detection of DCI format 0_0</w:t>
      </w:r>
      <w:r w:rsidR="00B51B2F">
        <w:rPr>
          <w:lang w:val="en-US" w:eastAsia="zh-CN"/>
        </w:rPr>
        <w:t xml:space="preserve"> </w:t>
      </w:r>
      <w:r w:rsidR="00B51B2F" w:rsidRPr="00110065">
        <w:rPr>
          <w:lang w:eastAsia="zh-CN"/>
        </w:rPr>
        <w:t xml:space="preserve">in serving cell </w:t>
      </w:r>
      <m:oMath>
        <m:r>
          <w:rPr>
            <w:rFonts w:ascii="Cambria Math" w:hAnsi="Cambria Math"/>
            <w:szCs w:val="18"/>
          </w:rPr>
          <m:t>c</m:t>
        </m:r>
      </m:oMath>
    </w:p>
    <w:p w14:paraId="713180D9" w14:textId="0CFA6923" w:rsidR="006A00C3" w:rsidRDefault="006A00C3" w:rsidP="00393CCA">
      <w:pPr>
        <w:pStyle w:val="B1"/>
      </w:pPr>
      <w:r w:rsidRPr="00F454E7">
        <w:t>-</w:t>
      </w:r>
      <w:r>
        <w:tab/>
      </w:r>
      <m:oMath>
        <m:sSubSup>
          <m:sSubSupPr>
            <m:ctrlPr>
              <w:rPr>
                <w:rFonts w:ascii="Cambria Math" w:eastAsiaTheme="minorEastAsia" w:hAnsi="Cambria Math" w:cs="Calibri"/>
                <w:sz w:val="21"/>
                <w:szCs w:val="21"/>
              </w:rPr>
            </m:ctrlPr>
          </m:sSubSupPr>
          <m:e>
            <m:r>
              <w:rPr>
                <w:rFonts w:ascii="Cambria Math" w:hAnsi="Cambria Math"/>
              </w:rPr>
              <m:t>M</m:t>
            </m:r>
          </m:e>
          <m:sub>
            <m:r>
              <m:rPr>
                <m:sty m:val="p"/>
              </m:rPr>
              <w:rPr>
                <w:rFonts w:ascii="Cambria Math" w:hAnsi="Cambria Math"/>
              </w:rPr>
              <m:t>RB</m:t>
            </m:r>
          </m:sub>
          <m:sup>
            <m:r>
              <m:rPr>
                <m:sty m:val="p"/>
              </m:rPr>
              <w:rPr>
                <w:rFonts w:ascii="Cambria Math" w:hAnsi="Cambria Math"/>
              </w:rPr>
              <m:t>S-SSB</m:t>
            </m:r>
          </m:sup>
        </m:sSubSup>
        <m:r>
          <m:rPr>
            <m:sty m:val="p"/>
          </m:rPr>
          <w:rPr>
            <w:rFonts w:ascii="Cambria Math" w:hAnsi="Cambria Math"/>
          </w:rPr>
          <m:t>=11</m:t>
        </m:r>
      </m:oMath>
      <w:r w:rsidRPr="00F454E7">
        <w:t xml:space="preserve"> </w:t>
      </w:r>
      <w:r>
        <w:t>is a</w:t>
      </w:r>
      <w:r w:rsidRPr="00F454E7">
        <w:t xml:space="preserve"> n</w:t>
      </w:r>
      <w:r>
        <w:t>umber of resource blocks for a</w:t>
      </w:r>
      <w:r w:rsidRPr="00F454E7">
        <w:t xml:space="preserve"> S-SS/PSBCH block transmission </w:t>
      </w:r>
      <w:r>
        <w:t>with</w:t>
      </w:r>
      <w:r w:rsidRPr="00F454E7">
        <w:t xml:space="preserve"> SCS configuration</w:t>
      </w:r>
      <w:r>
        <w:t xml:space="preserve"> </w:t>
      </w:r>
      <m:oMath>
        <m:r>
          <w:rPr>
            <w:rFonts w:ascii="Cambria Math" w:eastAsiaTheme="minorEastAsia" w:hAnsi="Cambria Math"/>
          </w:rPr>
          <m:t>μ</m:t>
        </m:r>
      </m:oMath>
    </w:p>
    <w:p w14:paraId="6AF5822B" w14:textId="0A603B79" w:rsidR="00A107D2" w:rsidRPr="00A340B0" w:rsidRDefault="00A107D2" w:rsidP="00A107D2">
      <w:pPr>
        <w:pStyle w:val="B1"/>
      </w:pPr>
      <w:r w:rsidRPr="00A340B0">
        <w:t>-</w:t>
      </w:r>
      <w:r w:rsidRPr="00A340B0">
        <w:tab/>
      </w:r>
      <m:oMath>
        <m:sSub>
          <m:sSubPr>
            <m:ctrlPr>
              <w:rPr>
                <w:rFonts w:ascii="Cambria Math" w:hAnsi="Cambria Math"/>
                <w:i/>
                <w:noProof/>
              </w:rPr>
            </m:ctrlPr>
          </m:sSubPr>
          <m:e>
            <m:r>
              <w:rPr>
                <w:rFonts w:ascii="Cambria Math" w:hAnsi="Cambria Math"/>
                <w:noProof/>
              </w:rPr>
              <m:t>P</m:t>
            </m:r>
          </m:e>
          <m:sub>
            <m:r>
              <m:rPr>
                <m:sty m:val="p"/>
              </m:rPr>
              <w:rPr>
                <w:rFonts w:ascii="Cambria Math" w:hAnsi="Cambria Math"/>
                <w:noProof/>
              </w:rPr>
              <m:t>offset</m:t>
            </m:r>
          </m:sub>
        </m:sSub>
      </m:oMath>
      <w:r w:rsidRPr="00A340B0">
        <w:t xml:space="preserve"> is a value of </w:t>
      </w:r>
      <w:r w:rsidR="0024141F" w:rsidRPr="0082539E">
        <w:rPr>
          <w:i/>
        </w:rPr>
        <w:t>sl-SSSBPowerOffsetOfAnchorRBSet</w:t>
      </w:r>
      <w:r w:rsidRPr="00A340B0">
        <w:t xml:space="preserve">, if provided; otherwise, </w:t>
      </w:r>
      <m:oMath>
        <m:sSub>
          <m:sSubPr>
            <m:ctrlPr>
              <w:rPr>
                <w:rFonts w:ascii="Cambria Math" w:hAnsi="Cambria Math"/>
                <w:i/>
                <w:noProof/>
              </w:rPr>
            </m:ctrlPr>
          </m:sSubPr>
          <m:e>
            <m:r>
              <w:rPr>
                <w:rFonts w:ascii="Cambria Math" w:hAnsi="Cambria Math"/>
                <w:noProof/>
              </w:rPr>
              <m:t>P</m:t>
            </m:r>
          </m:e>
          <m:sub>
            <m:r>
              <m:rPr>
                <m:sty m:val="p"/>
              </m:rPr>
              <w:rPr>
                <w:rFonts w:ascii="Cambria Math" w:hAnsi="Cambria Math"/>
                <w:noProof/>
              </w:rPr>
              <m:t>offset</m:t>
            </m:r>
          </m:sub>
        </m:sSub>
        <m:r>
          <w:rPr>
            <w:rFonts w:ascii="Cambria Math" w:hAnsi="Cambria Math"/>
            <w:noProof/>
          </w:rPr>
          <m:t>=0</m:t>
        </m:r>
      </m:oMath>
      <w:r w:rsidRPr="00A340B0">
        <w:t>.</w:t>
      </w:r>
    </w:p>
    <w:p w14:paraId="11650B30" w14:textId="77777777" w:rsidR="0059041D" w:rsidRDefault="00A107D2" w:rsidP="00A107D2">
      <w:r w:rsidRPr="00A340B0">
        <w:t xml:space="preserve">For operation with shared spectrum channel access, after allocating power </w:t>
      </w:r>
      <m:oMath>
        <m:sSub>
          <m:sSubPr>
            <m:ctrlPr>
              <w:rPr>
                <w:rFonts w:ascii="Cambria Math" w:hAnsi="Cambria Math"/>
                <w:i/>
                <w:iCs/>
                <w:szCs w:val="18"/>
              </w:rPr>
            </m:ctrlPr>
          </m:sSubPr>
          <m:e>
            <m:r>
              <w:rPr>
                <w:rFonts w:ascii="Cambria Math" w:hAnsi="Cambria Math"/>
                <w:szCs w:val="18"/>
              </w:rPr>
              <m:t>P</m:t>
            </m:r>
          </m:e>
          <m:sub>
            <m:r>
              <m:rPr>
                <m:nor/>
              </m:rPr>
              <w:rPr>
                <w:iCs/>
                <w:szCs w:val="18"/>
              </w:rPr>
              <m:t>S-SSB</m:t>
            </m:r>
            <m:ctrlPr>
              <w:rPr>
                <w:rFonts w:ascii="Cambria Math" w:hAnsi="Cambria Math"/>
                <w:iCs/>
                <w:szCs w:val="18"/>
              </w:rPr>
            </m:ctrlPr>
          </m:sub>
        </m:sSub>
        <m:r>
          <w:rPr>
            <w:rFonts w:ascii="Cambria Math" w:hAnsi="Cambria Math"/>
            <w:szCs w:val="18"/>
          </w:rPr>
          <m:t>(i)</m:t>
        </m:r>
      </m:oMath>
      <w:r w:rsidRPr="00A340B0">
        <w:rPr>
          <w:szCs w:val="18"/>
        </w:rPr>
        <w:t xml:space="preserve"> </w:t>
      </w:r>
      <w:r w:rsidRPr="00A340B0">
        <w:t>for transmission of each S-SS/P</w:t>
      </w:r>
      <w:r>
        <w:t>S</w:t>
      </w:r>
      <w:r w:rsidRPr="00A340B0">
        <w:t xml:space="preserve">BCH block in the anchor RB-set, the UE equally allocates power </w:t>
      </w:r>
      <m:oMath>
        <m:sSub>
          <m:sSubPr>
            <m:ctrlPr>
              <w:rPr>
                <w:rFonts w:ascii="Cambria Math" w:eastAsiaTheme="minorEastAsia" w:hAnsi="Cambria Math"/>
              </w:rPr>
            </m:ctrlPr>
          </m:sSub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sub>
            <m:r>
              <m:rPr>
                <m:nor/>
              </m:rPr>
              <w:rPr>
                <w:rFonts w:eastAsiaTheme="minorEastAsia"/>
              </w:rPr>
              <m:t>S-SSB</m:t>
            </m:r>
          </m:sub>
        </m:sSub>
        <m:d>
          <m:dPr>
            <m:ctrlPr>
              <w:rPr>
                <w:rFonts w:ascii="Cambria Math" w:eastAsiaTheme="minorEastAsia" w:hAnsi="Cambria Math"/>
              </w:rPr>
            </m:ctrlPr>
          </m:dPr>
          <m:e>
            <m:r>
              <w:rPr>
                <w:rFonts w:ascii="Cambria Math" w:eastAsiaTheme="minorEastAsia" w:hAnsi="Cambria Math"/>
              </w:rPr>
              <m:t>i</m:t>
            </m:r>
          </m:e>
        </m:d>
      </m:oMath>
      <w:r w:rsidR="0059041D">
        <w:t xml:space="preserve"> </w:t>
      </w:r>
      <w:r w:rsidRPr="00A340B0">
        <w:t xml:space="preserve">remaining from </w:t>
      </w:r>
      <m:oMath>
        <m:sSub>
          <m:sSubPr>
            <m:ctrlPr>
              <w:rPr>
                <w:rFonts w:ascii="Cambria Math" w:hAnsi="Cambria Math"/>
                <w:noProof/>
              </w:rPr>
            </m:ctrlPr>
          </m:sSubPr>
          <m:e>
            <m:r>
              <w:rPr>
                <w:rFonts w:ascii="Cambria Math" w:hAnsi="Cambria Math"/>
                <w:noProof/>
              </w:rPr>
              <m:t>P</m:t>
            </m:r>
          </m:e>
          <m:sub>
            <m:r>
              <m:rPr>
                <m:nor/>
              </m:rPr>
              <w:rPr>
                <w:noProof/>
              </w:rPr>
              <m:t>CMAX</m:t>
            </m:r>
          </m:sub>
        </m:sSub>
      </m:oMath>
      <w:r w:rsidRPr="00A340B0">
        <w:t>, if any, for transmission of each S-SS/P</w:t>
      </w:r>
      <w:r>
        <w:t>S</w:t>
      </w:r>
      <w:r w:rsidRPr="00A340B0">
        <w:t xml:space="preserve">BCH block in </w:t>
      </w:r>
      <w:r w:rsidR="0059041D">
        <w:t xml:space="preserve">all </w:t>
      </w:r>
      <w:r w:rsidRPr="00A340B0">
        <w:t>non-anchor RB-sets</w:t>
      </w:r>
      <w:r w:rsidR="0059041D">
        <w:t xml:space="preserve"> within the SL BWP</w:t>
      </w:r>
    </w:p>
    <w:p w14:paraId="4E06718B" w14:textId="77777777" w:rsidR="0059041D" w:rsidRPr="0059041D" w:rsidRDefault="0059041D" w:rsidP="0059041D">
      <w:pPr>
        <w:pStyle w:val="B1"/>
        <w:rPr>
          <w:color w:val="000000"/>
        </w:rPr>
      </w:pPr>
      <w:r w:rsidRPr="0059041D">
        <w:t>-</w:t>
      </w:r>
      <w:r w:rsidRPr="0059041D">
        <w:tab/>
        <w:t xml:space="preserve">if </w:t>
      </w:r>
      <w:r w:rsidRPr="0059041D">
        <w:rPr>
          <w:i/>
          <w:iCs/>
        </w:rPr>
        <w:t>dl-P0-PSBCH</w:t>
      </w:r>
      <w:r w:rsidRPr="0059041D">
        <w:rPr>
          <w:iCs/>
        </w:rPr>
        <w:t xml:space="preserve"> is not provided, a power </w:t>
      </w:r>
      <m:oMath>
        <m:sSub>
          <m:sSubPr>
            <m:ctrlPr>
              <w:rPr>
                <w:rFonts w:ascii="Cambria Math" w:hAnsi="Cambria Math"/>
                <w:color w:val="000000"/>
              </w:rPr>
            </m:ctrlPr>
          </m:sSubPr>
          <m:e>
            <m:sSup>
              <m:sSupPr>
                <m:ctrlPr>
                  <w:rPr>
                    <w:rFonts w:ascii="Cambria Math" w:hAnsi="Cambria Math"/>
                    <w:i/>
                    <w:color w:val="000000"/>
                  </w:rPr>
                </m:ctrlPr>
              </m:sSupPr>
              <m:e>
                <m:r>
                  <w:rPr>
                    <w:rFonts w:ascii="Cambria Math" w:hAnsi="Cambria Math"/>
                    <w:color w:val="000000"/>
                  </w:rPr>
                  <m:t>P</m:t>
                </m:r>
              </m:e>
              <m:sup>
                <m:r>
                  <w:rPr>
                    <w:rFonts w:ascii="Cambria Math" w:hAnsi="Cambria Math"/>
                    <w:color w:val="000000"/>
                  </w:rPr>
                  <m:t>''</m:t>
                </m:r>
              </m:sup>
            </m:sSup>
          </m:e>
          <m:sub>
            <m:r>
              <m:rPr>
                <m:nor/>
              </m:rPr>
              <w:rPr>
                <w:color w:val="000000"/>
              </w:rPr>
              <m:t>S-SSB</m:t>
            </m:r>
          </m:sub>
        </m:sSub>
        <m:d>
          <m:dPr>
            <m:ctrlPr>
              <w:rPr>
                <w:rFonts w:ascii="Cambria Math" w:hAnsi="Cambria Math"/>
                <w:color w:val="000000"/>
              </w:rPr>
            </m:ctrlPr>
          </m:dPr>
          <m:e>
            <m:r>
              <w:rPr>
                <w:rFonts w:ascii="Cambria Math" w:hAnsi="Cambria Math"/>
                <w:color w:val="000000"/>
              </w:rPr>
              <m:t>i</m:t>
            </m:r>
          </m:e>
        </m:d>
      </m:oMath>
      <w:r w:rsidRPr="0059041D">
        <w:rPr>
          <w:szCs w:val="18"/>
        </w:rPr>
        <w:t xml:space="preserve"> </w:t>
      </w:r>
      <w:r w:rsidRPr="0059041D">
        <w:t xml:space="preserve">for transmission of each S-SS/PSBCH block in a non-anchor RB-set is </w:t>
      </w:r>
      <m:oMath>
        <m:sSub>
          <m:sSubPr>
            <m:ctrlPr>
              <w:rPr>
                <w:rFonts w:ascii="Cambria Math" w:hAnsi="Cambria Math"/>
                <w:color w:val="000000"/>
              </w:rPr>
            </m:ctrlPr>
          </m:sSubPr>
          <m:e>
            <m:sSup>
              <m:sSupPr>
                <m:ctrlPr>
                  <w:rPr>
                    <w:rFonts w:ascii="Cambria Math" w:hAnsi="Cambria Math"/>
                    <w:i/>
                    <w:color w:val="000000"/>
                  </w:rPr>
                </m:ctrlPr>
              </m:sSupPr>
              <m:e>
                <m:r>
                  <w:rPr>
                    <w:rFonts w:ascii="Cambria Math" w:hAnsi="Cambria Math"/>
                    <w:color w:val="000000"/>
                  </w:rPr>
                  <m:t>P</m:t>
                </m:r>
              </m:e>
              <m:sup>
                <m:r>
                  <w:rPr>
                    <w:rFonts w:ascii="Cambria Math" w:hAnsi="Cambria Math"/>
                    <w:color w:val="000000"/>
                  </w:rPr>
                  <m:t>''</m:t>
                </m:r>
              </m:sup>
            </m:sSup>
          </m:e>
          <m:sub>
            <m:r>
              <m:rPr>
                <m:nor/>
              </m:rPr>
              <w:rPr>
                <w:color w:val="000000"/>
              </w:rPr>
              <m:t>S-SSB</m:t>
            </m:r>
          </m:sub>
        </m:sSub>
        <m:d>
          <m:dPr>
            <m:ctrlPr>
              <w:rPr>
                <w:rFonts w:ascii="Cambria Math" w:hAnsi="Cambria Math"/>
                <w:color w:val="000000"/>
              </w:rPr>
            </m:ctrlPr>
          </m:dPr>
          <m:e>
            <m:r>
              <w:rPr>
                <w:rFonts w:ascii="Cambria Math" w:hAnsi="Cambria Math"/>
                <w:color w:val="000000"/>
              </w:rPr>
              <m:t>i</m:t>
            </m:r>
          </m:e>
        </m:d>
        <m:r>
          <w:rPr>
            <w:rFonts w:ascii="Cambria Math" w:hAnsi="Cambria Math"/>
            <w:szCs w:val="18"/>
          </w:rPr>
          <m:t>=</m:t>
        </m:r>
        <m:sSub>
          <m:sSubPr>
            <m:ctrlPr>
              <w:rPr>
                <w:rFonts w:ascii="Cambria Math" w:hAnsi="Cambria Math"/>
                <w:color w:val="000000"/>
              </w:rPr>
            </m:ctrlPr>
          </m:sSubPr>
          <m:e>
            <m:sSup>
              <m:sSupPr>
                <m:ctrlPr>
                  <w:rPr>
                    <w:rFonts w:ascii="Cambria Math" w:hAnsi="Cambria Math"/>
                    <w:i/>
                    <w:color w:val="000000"/>
                  </w:rPr>
                </m:ctrlPr>
              </m:sSupPr>
              <m:e>
                <m:r>
                  <w:rPr>
                    <w:rFonts w:ascii="Cambria Math" w:hAnsi="Cambria Math"/>
                    <w:color w:val="000000"/>
                  </w:rPr>
                  <m:t>P</m:t>
                </m:r>
              </m:e>
              <m:sup>
                <m:r>
                  <w:rPr>
                    <w:rFonts w:ascii="Cambria Math" w:hAnsi="Cambria Math"/>
                    <w:color w:val="000000"/>
                  </w:rPr>
                  <m:t>'</m:t>
                </m:r>
              </m:sup>
            </m:sSup>
          </m:e>
          <m:sub>
            <m:r>
              <m:rPr>
                <m:nor/>
              </m:rPr>
              <w:rPr>
                <w:color w:val="000000"/>
              </w:rPr>
              <m:t>S-SSB</m:t>
            </m:r>
          </m:sub>
        </m:sSub>
        <m:d>
          <m:dPr>
            <m:ctrlPr>
              <w:rPr>
                <w:rFonts w:ascii="Cambria Math" w:hAnsi="Cambria Math"/>
                <w:color w:val="000000"/>
              </w:rPr>
            </m:ctrlPr>
          </m:dPr>
          <m:e>
            <m:r>
              <w:rPr>
                <w:rFonts w:ascii="Cambria Math" w:hAnsi="Cambria Math"/>
                <w:color w:val="000000"/>
              </w:rPr>
              <m:t>i</m:t>
            </m:r>
          </m:e>
        </m:d>
      </m:oMath>
    </w:p>
    <w:p w14:paraId="09F6A640" w14:textId="080E3AFF" w:rsidR="00A107D2" w:rsidRPr="00A107D2" w:rsidRDefault="0059041D" w:rsidP="0059041D">
      <w:pPr>
        <w:pStyle w:val="B1"/>
      </w:pPr>
      <w:r w:rsidRPr="0059041D">
        <w:lastRenderedPageBreak/>
        <w:t>-</w:t>
      </w:r>
      <w:r w:rsidRPr="0059041D">
        <w:tab/>
        <w:t>otherwise</w:t>
      </w:r>
      <w:r w:rsidRPr="0059041D">
        <w:rPr>
          <w:iCs/>
        </w:rPr>
        <w:t xml:space="preserve">, a power </w:t>
      </w:r>
      <m:oMath>
        <m:sSub>
          <m:sSubPr>
            <m:ctrlPr>
              <w:rPr>
                <w:rFonts w:ascii="Cambria Math" w:hAnsi="Cambria Math"/>
                <w:color w:val="000000"/>
              </w:rPr>
            </m:ctrlPr>
          </m:sSubPr>
          <m:e>
            <m:sSup>
              <m:sSupPr>
                <m:ctrlPr>
                  <w:rPr>
                    <w:rFonts w:ascii="Cambria Math" w:hAnsi="Cambria Math"/>
                    <w:i/>
                    <w:color w:val="000000"/>
                  </w:rPr>
                </m:ctrlPr>
              </m:sSupPr>
              <m:e>
                <m:r>
                  <w:rPr>
                    <w:rFonts w:ascii="Cambria Math" w:hAnsi="Cambria Math"/>
                    <w:color w:val="000000"/>
                  </w:rPr>
                  <m:t>P</m:t>
                </m:r>
              </m:e>
              <m:sup>
                <m:r>
                  <w:rPr>
                    <w:rFonts w:ascii="Cambria Math" w:hAnsi="Cambria Math"/>
                    <w:color w:val="000000"/>
                  </w:rPr>
                  <m:t>''</m:t>
                </m:r>
              </m:sup>
            </m:sSup>
          </m:e>
          <m:sub>
            <m:r>
              <m:rPr>
                <m:nor/>
              </m:rPr>
              <w:rPr>
                <w:color w:val="000000"/>
              </w:rPr>
              <m:t>S-SSB</m:t>
            </m:r>
          </m:sub>
        </m:sSub>
        <m:d>
          <m:dPr>
            <m:ctrlPr>
              <w:rPr>
                <w:rFonts w:ascii="Cambria Math" w:hAnsi="Cambria Math"/>
                <w:color w:val="000000"/>
              </w:rPr>
            </m:ctrlPr>
          </m:dPr>
          <m:e>
            <m:r>
              <w:rPr>
                <w:rFonts w:ascii="Cambria Math" w:hAnsi="Cambria Math"/>
                <w:color w:val="000000"/>
              </w:rPr>
              <m:t>i</m:t>
            </m:r>
          </m:e>
        </m:d>
      </m:oMath>
      <w:r w:rsidRPr="0059041D">
        <w:rPr>
          <w:szCs w:val="18"/>
        </w:rPr>
        <w:t xml:space="preserve"> </w:t>
      </w:r>
      <w:r w:rsidRPr="0059041D">
        <w:t xml:space="preserve">for transmission of each S-SS/PSBCH block in a non-anchor RB-set is </w:t>
      </w:r>
      <w:r w:rsidRPr="0059041D">
        <w:rPr>
          <w:iCs/>
        </w:rPr>
        <w:t xml:space="preserve"> </w:t>
      </w:r>
      <m:oMath>
        <m:sSub>
          <m:sSubPr>
            <m:ctrlPr>
              <w:rPr>
                <w:rFonts w:ascii="Cambria Math" w:hAnsi="Cambria Math"/>
                <w:color w:val="000000"/>
              </w:rPr>
            </m:ctrlPr>
          </m:sSubPr>
          <m:e>
            <m:sSup>
              <m:sSupPr>
                <m:ctrlPr>
                  <w:rPr>
                    <w:rFonts w:ascii="Cambria Math" w:hAnsi="Cambria Math"/>
                    <w:i/>
                    <w:color w:val="000000"/>
                  </w:rPr>
                </m:ctrlPr>
              </m:sSupPr>
              <m:e>
                <m:r>
                  <w:rPr>
                    <w:rFonts w:ascii="Cambria Math" w:hAnsi="Cambria Math"/>
                    <w:color w:val="000000"/>
                  </w:rPr>
                  <m:t>P</m:t>
                </m:r>
              </m:e>
              <m:sup>
                <m:r>
                  <w:rPr>
                    <w:rFonts w:ascii="Cambria Math" w:hAnsi="Cambria Math"/>
                    <w:color w:val="000000"/>
                  </w:rPr>
                  <m:t>''</m:t>
                </m:r>
              </m:sup>
            </m:sSup>
          </m:e>
          <m:sub>
            <m:r>
              <m:rPr>
                <m:nor/>
              </m:rPr>
              <w:rPr>
                <w:color w:val="000000"/>
              </w:rPr>
              <m:t>S-SSB</m:t>
            </m:r>
          </m:sub>
        </m:sSub>
        <m:d>
          <m:dPr>
            <m:ctrlPr>
              <w:rPr>
                <w:rFonts w:ascii="Cambria Math" w:hAnsi="Cambria Math"/>
                <w:color w:val="000000"/>
              </w:rPr>
            </m:ctrlPr>
          </m:dPr>
          <m:e>
            <m:r>
              <w:rPr>
                <w:rFonts w:ascii="Cambria Math" w:hAnsi="Cambria Math"/>
                <w:color w:val="000000"/>
              </w:rPr>
              <m:t>i</m:t>
            </m:r>
          </m:e>
        </m:d>
        <m:r>
          <w:rPr>
            <w:rFonts w:ascii="Cambria Math" w:hAnsi="Cambria Math"/>
            <w:szCs w:val="18"/>
          </w:rPr>
          <m:t>=</m:t>
        </m:r>
        <m:func>
          <m:funcPr>
            <m:ctrlPr>
              <w:rPr>
                <w:rFonts w:ascii="Cambria Math" w:hAnsi="Cambria Math"/>
                <w:color w:val="000000"/>
              </w:rPr>
            </m:ctrlPr>
          </m:funcPr>
          <m:fName>
            <m:r>
              <m:rPr>
                <m:sty m:val="p"/>
              </m:rPr>
              <w:rPr>
                <w:rFonts w:ascii="Cambria Math" w:hAnsi="Cambria Math"/>
                <w:color w:val="000000"/>
              </w:rPr>
              <m:t>min</m:t>
            </m:r>
            <m:ctrlPr>
              <w:rPr>
                <w:rFonts w:ascii="Cambria Math" w:hAnsi="Cambria Math"/>
                <w:i/>
                <w:szCs w:val="18"/>
              </w:rPr>
            </m:ctrlPr>
          </m:fName>
          <m:e>
            <m:d>
              <m:dPr>
                <m:ctrlPr>
                  <w:rPr>
                    <w:rFonts w:ascii="Cambria Math" w:hAnsi="Cambria Math"/>
                    <w:i/>
                    <w:color w:val="000000"/>
                  </w:rPr>
                </m:ctrlPr>
              </m:dPr>
              <m:e>
                <m:sSub>
                  <m:sSubPr>
                    <m:ctrlPr>
                      <w:rPr>
                        <w:rFonts w:ascii="Cambria Math" w:hAnsi="Cambria Math"/>
                        <w:color w:val="000000"/>
                      </w:rPr>
                    </m:ctrlPr>
                  </m:sSubPr>
                  <m:e>
                    <m:sSup>
                      <m:sSupPr>
                        <m:ctrlPr>
                          <w:rPr>
                            <w:rFonts w:ascii="Cambria Math" w:hAnsi="Cambria Math"/>
                            <w:i/>
                            <w:color w:val="000000"/>
                          </w:rPr>
                        </m:ctrlPr>
                      </m:sSupPr>
                      <m:e>
                        <m:r>
                          <w:rPr>
                            <w:rFonts w:ascii="Cambria Math" w:hAnsi="Cambria Math"/>
                            <w:color w:val="000000"/>
                          </w:rPr>
                          <m:t>P</m:t>
                        </m:r>
                      </m:e>
                      <m:sup>
                        <m:r>
                          <w:rPr>
                            <w:rFonts w:ascii="Cambria Math" w:hAnsi="Cambria Math"/>
                            <w:color w:val="000000"/>
                          </w:rPr>
                          <m:t>'</m:t>
                        </m:r>
                      </m:sup>
                    </m:sSup>
                  </m:e>
                  <m:sub>
                    <m:r>
                      <m:rPr>
                        <m:nor/>
                      </m:rPr>
                      <w:rPr>
                        <w:color w:val="000000"/>
                      </w:rPr>
                      <m:t>S-SSB</m:t>
                    </m:r>
                  </m:sub>
                </m:sSub>
                <m:d>
                  <m:dPr>
                    <m:ctrlPr>
                      <w:rPr>
                        <w:rFonts w:ascii="Cambria Math" w:hAnsi="Cambria Math"/>
                        <w:color w:val="000000"/>
                      </w:rPr>
                    </m:ctrlPr>
                  </m:dPr>
                  <m:e>
                    <m:r>
                      <w:rPr>
                        <w:rFonts w:ascii="Cambria Math" w:hAnsi="Cambria Math"/>
                        <w:color w:val="000000"/>
                      </w:rPr>
                      <m:t>i</m:t>
                    </m:r>
                  </m:e>
                </m:d>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0, S-SSB</m:t>
                    </m:r>
                  </m:sub>
                </m:sSub>
                <m:r>
                  <w:rPr>
                    <w:rFonts w:ascii="Cambria Math" w:hAnsi="Cambria Math"/>
                    <w:color w:val="000000"/>
                  </w:rPr>
                  <m:t>+10</m:t>
                </m:r>
                <m:func>
                  <m:funcPr>
                    <m:ctrlPr>
                      <w:rPr>
                        <w:rFonts w:ascii="Cambria Math" w:hAnsi="Cambria Math"/>
                        <w:i/>
                        <w:color w:val="000000"/>
                      </w:rPr>
                    </m:ctrlPr>
                  </m:funcPr>
                  <m:fName>
                    <m:sSub>
                      <m:sSubPr>
                        <m:ctrlPr>
                          <w:rPr>
                            <w:rFonts w:ascii="Cambria Math" w:hAnsi="Cambria Math"/>
                            <w:i/>
                            <w:color w:val="000000"/>
                          </w:rPr>
                        </m:ctrlPr>
                      </m:sSubPr>
                      <m:e>
                        <m:r>
                          <m:rPr>
                            <m:sty m:val="p"/>
                          </m:rPr>
                          <w:rPr>
                            <w:rFonts w:ascii="Cambria Math" w:hAnsi="Cambria Math"/>
                            <w:color w:val="000000"/>
                          </w:rPr>
                          <m:t>log</m:t>
                        </m:r>
                        <m:ctrlPr>
                          <w:rPr>
                            <w:rFonts w:ascii="Cambria Math" w:hAnsi="Cambria Math"/>
                            <w:color w:val="000000"/>
                          </w:rPr>
                        </m:ctrlPr>
                      </m:e>
                      <m:sub>
                        <m:r>
                          <w:rPr>
                            <w:rFonts w:ascii="Cambria Math" w:hAnsi="Cambria Math"/>
                            <w:color w:val="000000"/>
                          </w:rPr>
                          <m:t>10</m:t>
                        </m:r>
                        <m:ctrlPr>
                          <w:rPr>
                            <w:rFonts w:ascii="Cambria Math" w:hAnsi="Cambria Math"/>
                            <w:color w:val="000000"/>
                          </w:rPr>
                        </m:ctrlPr>
                      </m:sub>
                    </m:sSub>
                  </m:fName>
                  <m:e>
                    <m:sSup>
                      <m:sSupPr>
                        <m:ctrlPr>
                          <w:rPr>
                            <w:rFonts w:ascii="Cambria Math" w:hAnsi="Cambria Math"/>
                            <w:i/>
                            <w:color w:val="000000"/>
                          </w:rPr>
                        </m:ctrlPr>
                      </m:sSupPr>
                      <m:e>
                        <m:r>
                          <w:rPr>
                            <w:rFonts w:ascii="Cambria Math" w:hAnsi="Cambria Math"/>
                            <w:color w:val="000000"/>
                          </w:rPr>
                          <m:t>(2</m:t>
                        </m:r>
                      </m:e>
                      <m:sup>
                        <m:r>
                          <w:rPr>
                            <w:rFonts w:ascii="Cambria Math" w:hAnsi="Cambria Math"/>
                            <w:color w:val="000000"/>
                          </w:rPr>
                          <m:t>μ</m:t>
                        </m:r>
                      </m:sup>
                    </m:sSup>
                    <m:r>
                      <w:rPr>
                        <w:rFonts w:ascii="Cambria Math" w:hAnsi="Cambria Math"/>
                        <w:color w:val="000000"/>
                      </w:rPr>
                      <m:t>⋅</m:t>
                    </m:r>
                    <m:sSubSup>
                      <m:sSubSupPr>
                        <m:ctrlPr>
                          <w:rPr>
                            <w:rFonts w:ascii="Cambria Math" w:hAnsi="Cambria Math"/>
                            <w:i/>
                            <w:color w:val="000000"/>
                          </w:rPr>
                        </m:ctrlPr>
                      </m:sSubSupPr>
                      <m:e>
                        <m:r>
                          <w:rPr>
                            <w:rFonts w:ascii="Cambria Math" w:hAnsi="Cambria Math"/>
                            <w:color w:val="000000"/>
                          </w:rPr>
                          <m:t>M</m:t>
                        </m:r>
                      </m:e>
                      <m:sub>
                        <m:r>
                          <w:rPr>
                            <w:rFonts w:ascii="Cambria Math" w:hAnsi="Cambria Math"/>
                            <w:color w:val="000000"/>
                          </w:rPr>
                          <m:t>RB</m:t>
                        </m:r>
                      </m:sub>
                      <m:sup>
                        <m:r>
                          <w:rPr>
                            <w:rFonts w:ascii="Cambria Math" w:hAnsi="Cambria Math"/>
                            <w:color w:val="000000"/>
                          </w:rPr>
                          <m:t>S-SSB</m:t>
                        </m:r>
                      </m:sup>
                    </m:sSubSup>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S-SSB</m:t>
                        </m:r>
                      </m:sub>
                    </m:sSub>
                    <m:r>
                      <w:rPr>
                        <w:rFonts w:ascii="Cambria Math" w:hAnsi="Cambria Math"/>
                        <w:color w:val="000000"/>
                      </w:rPr>
                      <m:t>⋅PL</m:t>
                    </m:r>
                  </m:e>
                </m:func>
              </m:e>
            </m:d>
          </m:e>
        </m:func>
      </m:oMath>
      <w:r w:rsidR="00A107D2" w:rsidRPr="00A340B0">
        <w:t>.</w:t>
      </w:r>
    </w:p>
    <w:p w14:paraId="063BDDC0" w14:textId="77777777" w:rsidR="00E21265" w:rsidRDefault="00E21265" w:rsidP="00E21265">
      <w:pPr>
        <w:pStyle w:val="Heading3"/>
        <w:spacing w:before="0"/>
      </w:pPr>
      <w:bookmarkStart w:id="848" w:name="_Toc29894878"/>
      <w:bookmarkStart w:id="849" w:name="_Toc29899177"/>
      <w:bookmarkStart w:id="850" w:name="_Toc29899595"/>
      <w:bookmarkStart w:id="851" w:name="_Toc29917331"/>
      <w:bookmarkStart w:id="852" w:name="_Toc36498206"/>
      <w:bookmarkStart w:id="853" w:name="_Toc45699234"/>
      <w:bookmarkStart w:id="854" w:name="_Toc161999168"/>
      <w:r>
        <w:t>16</w:t>
      </w:r>
      <w:r w:rsidRPr="00B35299">
        <w:t>.</w:t>
      </w:r>
      <w:r>
        <w:t>2</w:t>
      </w:r>
      <w:r w:rsidRPr="00B35299">
        <w:t>.</w:t>
      </w:r>
      <w:r>
        <w:t>1</w:t>
      </w:r>
      <w:r w:rsidRPr="00B35299">
        <w:tab/>
        <w:t>PSSCH</w:t>
      </w:r>
      <w:bookmarkEnd w:id="848"/>
      <w:bookmarkEnd w:id="849"/>
      <w:bookmarkEnd w:id="850"/>
      <w:bookmarkEnd w:id="851"/>
      <w:bookmarkEnd w:id="852"/>
      <w:bookmarkEnd w:id="853"/>
      <w:bookmarkEnd w:id="854"/>
    </w:p>
    <w:p w14:paraId="41B6D5A2" w14:textId="69DCB034" w:rsidR="00E21265" w:rsidRDefault="00E21265" w:rsidP="00E21265">
      <w:r w:rsidRPr="00D564A7">
        <w:t xml:space="preserve">A UE determines a power </w:t>
      </w:r>
      <m:oMath>
        <m:sSub>
          <m:sSubPr>
            <m:ctrlPr>
              <w:rPr>
                <w:rFonts w:ascii="Cambria Math" w:hAnsi="Cambria Math"/>
                <w:i/>
                <w:iCs/>
              </w:rPr>
            </m:ctrlPr>
          </m:sSubPr>
          <m:e>
            <m:r>
              <w:rPr>
                <w:rFonts w:ascii="Cambria Math" w:hAnsi="Cambria Math"/>
              </w:rPr>
              <m:t>P</m:t>
            </m:r>
          </m:e>
          <m:sub>
            <m:r>
              <m:rPr>
                <m:nor/>
              </m:rPr>
              <w:rPr>
                <w:iCs/>
              </w:rPr>
              <m:t>PSSCH</m:t>
            </m:r>
            <m:ctrlPr>
              <w:rPr>
                <w:rFonts w:ascii="Cambria Math" w:hAnsi="Cambria Math"/>
                <w:iCs/>
              </w:rPr>
            </m:ctrlPr>
          </m:sub>
        </m:sSub>
        <m:r>
          <w:rPr>
            <w:rFonts w:ascii="Cambria Math" w:hAnsi="Cambria Math"/>
          </w:rPr>
          <m:t>(i)</m:t>
        </m:r>
      </m:oMath>
      <w:r w:rsidRPr="00D564A7">
        <w:rPr>
          <w:iCs/>
        </w:rPr>
        <w:t xml:space="preserve"> </w:t>
      </w:r>
      <w:r w:rsidRPr="00D564A7">
        <w:t xml:space="preserve">for a </w:t>
      </w:r>
      <w:r>
        <w:t>PSSCH transmission</w:t>
      </w:r>
      <w:r w:rsidRPr="00D564A7">
        <w:t xml:space="preserve"> on </w:t>
      </w:r>
      <w:r>
        <w:t>a resource pool</w:t>
      </w:r>
      <w:r w:rsidR="006A00C3" w:rsidRPr="006A00C3">
        <w:rPr>
          <w:rFonts w:eastAsia="Malgun Gothic"/>
        </w:rPr>
        <w:t xml:space="preserve"> </w:t>
      </w:r>
      <w:r w:rsidR="006A00C3" w:rsidRPr="00B43268">
        <w:rPr>
          <w:rFonts w:eastAsia="Malgun Gothic"/>
        </w:rPr>
        <w:t xml:space="preserve">in </w:t>
      </w:r>
      <w:r w:rsidR="006A00C3">
        <w:rPr>
          <w:rFonts w:eastAsia="Malgun Gothic"/>
          <w:lang w:eastAsia="ko-KR"/>
        </w:rPr>
        <w:t>symbols where a</w:t>
      </w:r>
      <w:r w:rsidR="006A00C3" w:rsidRPr="00B43268">
        <w:rPr>
          <w:rFonts w:eastAsia="Malgun Gothic"/>
          <w:lang w:eastAsia="ko-KR"/>
        </w:rPr>
        <w:t xml:space="preserve"> corresponding PSCCH is not transmitted</w:t>
      </w:r>
      <w:r w:rsidRPr="00D564A7">
        <w:rPr>
          <w:iCs/>
        </w:rPr>
        <w:t xml:space="preserve"> </w:t>
      </w:r>
      <w:r w:rsidRPr="00D564A7">
        <w:t xml:space="preserve">in </w:t>
      </w:r>
      <w:r w:rsidR="006A00C3">
        <w:t>PSCCH-</w:t>
      </w:r>
      <w:r w:rsidRPr="00D564A7">
        <w:t xml:space="preserve">PSSCH transmission occasion </w:t>
      </w:r>
      <m:oMath>
        <m:r>
          <w:rPr>
            <w:rFonts w:ascii="Cambria Math" w:hAnsi="Cambria Math"/>
          </w:rPr>
          <m:t>i</m:t>
        </m:r>
      </m:oMath>
      <w:r w:rsidRPr="00D564A7">
        <w:rPr>
          <w:iCs/>
        </w:rPr>
        <w:t xml:space="preserve"> </w:t>
      </w:r>
      <w:r w:rsidR="00B51B2F">
        <w:rPr>
          <w:szCs w:val="18"/>
        </w:rPr>
        <w:t xml:space="preserve">on active SL BWP </w:t>
      </w:r>
      <m:oMath>
        <m:r>
          <w:rPr>
            <w:rFonts w:ascii="Cambria Math" w:hAnsi="Cambria Math"/>
            <w:szCs w:val="18"/>
          </w:rPr>
          <m:t>b</m:t>
        </m:r>
      </m:oMath>
      <w:r w:rsidR="00B51B2F">
        <w:rPr>
          <w:szCs w:val="18"/>
        </w:rPr>
        <w:t xml:space="preserve"> of carrier </w:t>
      </w:r>
      <m:oMath>
        <m:r>
          <w:rPr>
            <w:rFonts w:ascii="Cambria Math" w:hAnsi="Cambria Math"/>
            <w:szCs w:val="18"/>
          </w:rPr>
          <m:t>f</m:t>
        </m:r>
      </m:oMath>
      <w:r w:rsidR="00B51B2F" w:rsidRPr="00A77FF5">
        <w:rPr>
          <w:i/>
          <w:szCs w:val="18"/>
        </w:rPr>
        <w:t xml:space="preserve"> </w:t>
      </w:r>
      <w:r w:rsidRPr="00D564A7">
        <w:t>as</w:t>
      </w:r>
      <w:r w:rsidR="00312C7C">
        <w:t>:</w:t>
      </w:r>
    </w:p>
    <w:p w14:paraId="1E2E7B40" w14:textId="33AEF525" w:rsidR="00E21265" w:rsidRDefault="00BB0A93" w:rsidP="00D2686C">
      <w:pPr>
        <w:pStyle w:val="EQ"/>
      </w:pPr>
      <w:r>
        <w:rPr>
          <w:noProof w:val="0"/>
        </w:rPr>
        <w:tab/>
      </w:r>
      <m:oMath>
        <m:sSub>
          <m:sSubPr>
            <m:ctrlPr>
              <w:rPr>
                <w:rFonts w:ascii="Cambria Math" w:hAnsi="Cambria Math"/>
              </w:rPr>
            </m:ctrlPr>
          </m:sSubPr>
          <m:e>
            <m:r>
              <w:rPr>
                <w:rFonts w:ascii="Cambria Math" w:hAnsi="Cambria Math"/>
              </w:rPr>
              <m:t>P</m:t>
            </m:r>
          </m:e>
          <m:sub>
            <m:r>
              <m:rPr>
                <m:nor/>
              </m:rPr>
              <m:t>PSSCH</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P</m:t>
                </m:r>
              </m:e>
              <m:sub>
                <m:r>
                  <m:rPr>
                    <m:nor/>
                  </m:rPr>
                  <m:t>CMAX</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nor/>
                  </m:rPr>
                  <m:t>MAX</m:t>
                </m:r>
                <m:r>
                  <m:rPr>
                    <m:sty m:val="p"/>
                  </m:rPr>
                  <w:rPr>
                    <w:rFonts w:ascii="Cambria Math" w:hAnsi="Cambria Math"/>
                  </w:rPr>
                  <m:t>,CBR</m:t>
                </m:r>
              </m:sub>
            </m:sSub>
            <m:r>
              <m:rPr>
                <m:sty m:val="p"/>
              </m:rPr>
              <w:rPr>
                <w:rFonts w:ascii="Cambria Math" w:hAnsi="Cambria Math"/>
              </w:rPr>
              <m:t>,</m:t>
            </m:r>
            <m: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P</m:t>
                    </m:r>
                  </m:e>
                  <m:sub>
                    <m:r>
                      <m:rPr>
                        <m:nor/>
                      </m:rPr>
                      <m:t>PSSCH</m:t>
                    </m:r>
                    <m:r>
                      <m:rPr>
                        <m:sty m:val="p"/>
                      </m:rPr>
                      <w:rPr>
                        <w:rFonts w:ascii="Cambria Math" w:hAnsi="Cambria Math"/>
                      </w:rPr>
                      <m:t>,</m:t>
                    </m:r>
                    <m:r>
                      <w:rPr>
                        <w:rFonts w:ascii="Cambria Math" w:hAnsi="Cambria Math"/>
                      </w:rPr>
                      <m:t>D</m:t>
                    </m:r>
                  </m:sub>
                </m:sSub>
                <m:d>
                  <m:dPr>
                    <m:ctrlPr>
                      <w:rPr>
                        <w:rFonts w:ascii="Cambria Math" w:hAnsi="Cambria Math"/>
                      </w:rPr>
                    </m:ctrlPr>
                  </m:dPr>
                  <m:e>
                    <m:r>
                      <w:rPr>
                        <w:rFonts w:ascii="Cambria Math" w:hAnsi="Cambria Math"/>
                      </w:rPr>
                      <m:t>i</m:t>
                    </m:r>
                  </m:e>
                </m:d>
                <m:r>
                  <m:rPr>
                    <m:sty m:val="p"/>
                  </m:rPr>
                  <w:rPr>
                    <w:rFonts w:ascii="Cambria Math" w:hAnsi="Cambria Math"/>
                  </w:rPr>
                  <m:t>,</m:t>
                </m:r>
                <m:sSub>
                  <m:sSubPr>
                    <m:ctrlPr>
                      <w:rPr>
                        <w:rFonts w:ascii="Cambria Math" w:hAnsi="Cambria Math"/>
                      </w:rPr>
                    </m:ctrlPr>
                  </m:sSubPr>
                  <m:e>
                    <m:r>
                      <w:rPr>
                        <w:rFonts w:ascii="Cambria Math" w:hAnsi="Cambria Math"/>
                      </w:rPr>
                      <m:t>P</m:t>
                    </m:r>
                  </m:e>
                  <m:sub>
                    <m:r>
                      <m:rPr>
                        <m:nor/>
                      </m:rPr>
                      <m:t>PSSCH</m:t>
                    </m:r>
                    <m:r>
                      <m:rPr>
                        <m:sty m:val="p"/>
                      </m:rPr>
                      <w:rPr>
                        <w:rFonts w:ascii="Cambria Math" w:hAnsi="Cambria Math"/>
                      </w:rPr>
                      <m:t>,</m:t>
                    </m:r>
                    <m:r>
                      <w:rPr>
                        <w:rFonts w:ascii="Cambria Math" w:hAnsi="Cambria Math"/>
                      </w:rPr>
                      <m:t>SL</m:t>
                    </m:r>
                  </m:sub>
                </m:sSub>
                <m:r>
                  <m:rPr>
                    <m:sty m:val="p"/>
                  </m:rPr>
                  <w:rPr>
                    <w:rFonts w:ascii="Cambria Math" w:hAnsi="Cambria Math"/>
                  </w:rPr>
                  <m:t>(</m:t>
                </m:r>
                <m:r>
                  <w:rPr>
                    <w:rFonts w:ascii="Cambria Math" w:hAnsi="Cambria Math"/>
                  </w:rPr>
                  <m:t>i</m:t>
                </m:r>
                <m:r>
                  <m:rPr>
                    <m:sty m:val="p"/>
                  </m:rPr>
                  <w:rPr>
                    <w:rFonts w:ascii="Cambria Math" w:hAnsi="Cambria Math"/>
                  </w:rPr>
                  <m:t>)</m:t>
                </m:r>
              </m:e>
            </m:d>
          </m:e>
        </m:d>
      </m:oMath>
      <w:r w:rsidR="00E21265">
        <w:t xml:space="preserve"> </w:t>
      </w:r>
      <w:r w:rsidR="00E21265" w:rsidRPr="00B916EC">
        <w:t>[dBm]</w:t>
      </w:r>
    </w:p>
    <w:p w14:paraId="783B0017" w14:textId="77777777" w:rsidR="00E21265" w:rsidRDefault="00E21265" w:rsidP="00E21265">
      <w:pPr>
        <w:spacing w:after="0"/>
        <w:rPr>
          <w:rFonts w:eastAsia="Malgun Gothic"/>
          <w:lang w:eastAsia="ko-KR"/>
        </w:rPr>
      </w:pPr>
      <w:r w:rsidRPr="0068348F">
        <w:t>w</w:t>
      </w:r>
      <w:r w:rsidRPr="0068348F">
        <w:rPr>
          <w:rFonts w:eastAsia="Malgun Gothic"/>
          <w:lang w:eastAsia="ko-KR"/>
        </w:rPr>
        <w:t>here</w:t>
      </w:r>
    </w:p>
    <w:p w14:paraId="0A7F7B41" w14:textId="34D1F23C" w:rsidR="00E21265" w:rsidRDefault="00E21265" w:rsidP="00E21265">
      <w:pPr>
        <w:pStyle w:val="B1"/>
        <w:rPr>
          <w:lang w:val="en-US"/>
        </w:rPr>
      </w:pPr>
      <w:r>
        <w:t>-</w:t>
      </w:r>
      <w:r>
        <w:tab/>
      </w:r>
      <m:oMath>
        <m:sSub>
          <m:sSubPr>
            <m:ctrlPr>
              <w:rPr>
                <w:rFonts w:ascii="Cambria Math" w:hAnsi="Cambria Math"/>
                <w:i/>
              </w:rPr>
            </m:ctrlPr>
          </m:sSubPr>
          <m:e>
            <m:r>
              <w:rPr>
                <w:rFonts w:ascii="Cambria Math"/>
              </w:rPr>
              <m:t>P</m:t>
            </m:r>
          </m:e>
          <m:sub>
            <m:r>
              <m:rPr>
                <m:nor/>
              </m:rPr>
              <w:rPr>
                <w:rFonts w:ascii="Cambria Math"/>
              </w:rPr>
              <m:t>CMAX</m:t>
            </m:r>
            <m:ctrlPr>
              <w:rPr>
                <w:rFonts w:ascii="Cambria Math" w:hAnsi="Cambria Math"/>
              </w:rPr>
            </m:ctrlPr>
          </m:sub>
        </m:sSub>
      </m:oMath>
      <w:r>
        <w:rPr>
          <w:lang w:val="en-US"/>
        </w:rPr>
        <w:t xml:space="preserve"> </w:t>
      </w:r>
      <w:r w:rsidRPr="0068348F">
        <w:rPr>
          <w:rFonts w:eastAsia="Malgun Gothic"/>
        </w:rPr>
        <w:t>is</w:t>
      </w:r>
      <w:r>
        <w:rPr>
          <w:rFonts w:eastAsia="Malgun Gothic"/>
        </w:rPr>
        <w:t xml:space="preserve"> defined in </w:t>
      </w:r>
      <w:r w:rsidRPr="00B778C7">
        <w:t>[8-1, TS 38.101-1]</w:t>
      </w:r>
    </w:p>
    <w:p w14:paraId="22EAA1AC" w14:textId="51EAF54F" w:rsidR="006A00C3" w:rsidRDefault="00E21265" w:rsidP="00E21265">
      <w:pPr>
        <w:pStyle w:val="B1"/>
        <w:rPr>
          <w:lang w:val="en-US"/>
        </w:rPr>
      </w:pPr>
      <w:r>
        <w:t>-</w:t>
      </w:r>
      <w:r>
        <w:tab/>
      </w:r>
      <m:oMath>
        <m:sSub>
          <m:sSubPr>
            <m:ctrlPr>
              <w:rPr>
                <w:rFonts w:ascii="Cambria Math" w:hAnsi="Cambria Math"/>
                <w:i/>
              </w:rPr>
            </m:ctrlPr>
          </m:sSubPr>
          <m:e>
            <m:r>
              <w:rPr>
                <w:rFonts w:ascii="Cambria Math" w:hAnsi="Cambria Math"/>
              </w:rPr>
              <m:t>P</m:t>
            </m:r>
          </m:e>
          <m:sub>
            <m:r>
              <m:rPr>
                <m:nor/>
              </m:rPr>
              <m:t>MAX</m:t>
            </m:r>
            <m:r>
              <m:rPr>
                <m:sty m:val="p"/>
              </m:rPr>
              <w:rPr>
                <w:rFonts w:ascii="Cambria Math" w:hAnsi="Cambria Math"/>
              </w:rPr>
              <m:t>,CBR</m:t>
            </m:r>
            <m:ctrlPr>
              <w:rPr>
                <w:rFonts w:ascii="Cambria Math" w:hAnsi="Cambria Math"/>
              </w:rPr>
            </m:ctrlPr>
          </m:sub>
        </m:sSub>
      </m:oMath>
      <w:r w:rsidRPr="0068348F">
        <w:rPr>
          <w:rFonts w:eastAsia="Malgun Gothic"/>
        </w:rPr>
        <w:t xml:space="preserve"> is </w:t>
      </w:r>
      <w:r>
        <w:rPr>
          <w:rFonts w:eastAsia="Malgun Gothic"/>
          <w:lang w:val="en-US"/>
        </w:rPr>
        <w:t>determined</w:t>
      </w:r>
      <w:r w:rsidRPr="0068348F">
        <w:rPr>
          <w:rFonts w:eastAsia="Malgun Gothic"/>
        </w:rPr>
        <w:t xml:space="preserve"> by</w:t>
      </w:r>
      <w:r>
        <w:rPr>
          <w:rFonts w:eastAsia="Malgun Gothic"/>
          <w:lang w:val="en-US"/>
        </w:rPr>
        <w:t xml:space="preserve"> a value of</w:t>
      </w:r>
      <w:r w:rsidRPr="0068348F">
        <w:rPr>
          <w:rFonts w:eastAsia="Malgun Gothic"/>
        </w:rPr>
        <w:t xml:space="preserve"> </w:t>
      </w:r>
      <w:r w:rsidR="00747CB6" w:rsidRPr="00EB0D12">
        <w:rPr>
          <w:i/>
        </w:rPr>
        <w:t>sl-MaxTxPower</w:t>
      </w:r>
      <w:r>
        <w:rPr>
          <w:rFonts w:eastAsia="Malgun Gothic"/>
          <w:iCs/>
          <w:lang w:val="en-US"/>
        </w:rPr>
        <w:t xml:space="preserve"> based on a priority level of the PSSCH transmission and a CBR range that includes a CBR measured in slot </w:t>
      </w:r>
      <m:oMath>
        <m:r>
          <w:rPr>
            <w:rFonts w:ascii="Cambria Math" w:hAnsi="Cambria Math"/>
          </w:rPr>
          <m:t>i</m:t>
        </m:r>
        <m:r>
          <w:rPr>
            <w:rFonts w:ascii="Cambria Math" w:eastAsia="Malgun Gothic" w:hAnsi="Cambria Math"/>
          </w:rPr>
          <m:t>-N</m:t>
        </m:r>
      </m:oMath>
      <w:r>
        <w:rPr>
          <w:rFonts w:eastAsia="Malgun Gothic"/>
          <w:lang w:val="en-US"/>
        </w:rPr>
        <w:t xml:space="preserve"> [6, TS 38.214]</w:t>
      </w:r>
      <w:r w:rsidR="00A35A2A" w:rsidRPr="00164D12">
        <w:rPr>
          <w:lang w:val="en-US"/>
        </w:rPr>
        <w:t xml:space="preserve">; </w:t>
      </w:r>
      <w:r w:rsidR="00A35A2A" w:rsidRPr="00164D12">
        <w:t xml:space="preserve">if </w:t>
      </w:r>
      <w:r w:rsidR="00747CB6" w:rsidRPr="00EB0D12">
        <w:rPr>
          <w:i/>
        </w:rPr>
        <w:t>sl-MaxTxPower</w:t>
      </w:r>
      <w:r w:rsidR="00A35A2A" w:rsidRPr="00164D12">
        <w:rPr>
          <w:iCs/>
          <w:lang w:val="en-US"/>
        </w:rPr>
        <w:t xml:space="preserve"> </w:t>
      </w:r>
      <w:r w:rsidR="00A35A2A" w:rsidRPr="00164D12">
        <w:t xml:space="preserve">is not provided, then </w:t>
      </w:r>
      <m:oMath>
        <m:sSub>
          <m:sSubPr>
            <m:ctrlPr>
              <w:rPr>
                <w:rFonts w:ascii="Cambria Math" w:hAnsi="Cambria Math"/>
                <w:i/>
              </w:rPr>
            </m:ctrlPr>
          </m:sSubPr>
          <m:e>
            <m:r>
              <w:rPr>
                <w:rFonts w:ascii="Cambria Math" w:hAnsi="Cambria Math"/>
              </w:rPr>
              <m:t>P</m:t>
            </m:r>
          </m:e>
          <m:sub>
            <m:r>
              <m:rPr>
                <m:nor/>
              </m:rPr>
              <m:t>MAX</m:t>
            </m:r>
            <m:r>
              <m:rPr>
                <m:sty m:val="p"/>
              </m:rPr>
              <w:rPr>
                <w:rFonts w:ascii="Cambria Math" w:hAnsi="Cambria Math"/>
              </w:rPr>
              <m:t>,CBR</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rPr>
              <m:t>P</m:t>
            </m:r>
          </m:e>
          <m:sub>
            <m:r>
              <m:rPr>
                <m:nor/>
              </m:rPr>
              <w:rPr>
                <w:rFonts w:ascii="Cambria Math"/>
              </w:rPr>
              <m:t>CMAX</m:t>
            </m:r>
            <m:ctrlPr>
              <w:rPr>
                <w:rFonts w:ascii="Cambria Math" w:hAnsi="Cambria Math"/>
              </w:rPr>
            </m:ctrlPr>
          </m:sub>
        </m:sSub>
      </m:oMath>
      <w:r w:rsidR="00A35A2A" w:rsidRPr="00164D12">
        <w:rPr>
          <w:lang w:val="en-US"/>
        </w:rPr>
        <w:t>;</w:t>
      </w:r>
    </w:p>
    <w:p w14:paraId="6714ED56" w14:textId="320A30DC" w:rsidR="00E21265" w:rsidRDefault="00E21265" w:rsidP="00E21265">
      <w:pPr>
        <w:pStyle w:val="B1"/>
        <w:rPr>
          <w:color w:val="000000"/>
          <w:lang w:val="en-US"/>
        </w:rPr>
      </w:pPr>
      <w:r w:rsidRPr="0068348F">
        <w:t>-</w:t>
      </w:r>
      <w:r w:rsidRPr="0068348F">
        <w:tab/>
      </w:r>
      <w:r>
        <w:rPr>
          <w:lang w:val="en-US"/>
        </w:rPr>
        <w:t xml:space="preserve">if </w:t>
      </w:r>
      <w:r w:rsidR="00A35A2A">
        <w:rPr>
          <w:i/>
          <w:iCs/>
          <w:lang w:val="en-US"/>
        </w:rPr>
        <w:t>dl-</w:t>
      </w:r>
      <w:r w:rsidR="00A35A2A">
        <w:rPr>
          <w:i/>
          <w:iCs/>
          <w:color w:val="000000"/>
          <w:lang w:val="en-US"/>
        </w:rPr>
        <w:t>P</w:t>
      </w:r>
      <w:r w:rsidR="00A35A2A" w:rsidRPr="0068348F">
        <w:rPr>
          <w:i/>
          <w:iCs/>
          <w:color w:val="000000"/>
          <w:lang w:val="en-US"/>
        </w:rPr>
        <w:t>0-PS</w:t>
      </w:r>
      <w:r w:rsidR="00A35A2A">
        <w:rPr>
          <w:i/>
          <w:iCs/>
          <w:color w:val="000000"/>
          <w:lang w:val="en-US"/>
        </w:rPr>
        <w:t>S</w:t>
      </w:r>
      <w:r w:rsidR="00A35A2A" w:rsidRPr="0068348F">
        <w:rPr>
          <w:i/>
          <w:iCs/>
          <w:color w:val="000000"/>
          <w:lang w:val="en-US"/>
        </w:rPr>
        <w:t>CH</w:t>
      </w:r>
      <w:r w:rsidR="00A35A2A">
        <w:rPr>
          <w:i/>
          <w:iCs/>
          <w:color w:val="000000"/>
          <w:lang w:val="en-US"/>
        </w:rPr>
        <w:t>-</w:t>
      </w:r>
      <w:r w:rsidR="00A35A2A" w:rsidRPr="0068348F">
        <w:rPr>
          <w:i/>
          <w:iCs/>
          <w:color w:val="000000"/>
          <w:lang w:val="en-US"/>
        </w:rPr>
        <w:t>PS</w:t>
      </w:r>
      <w:r w:rsidR="00A35A2A">
        <w:rPr>
          <w:i/>
          <w:iCs/>
          <w:color w:val="000000"/>
          <w:lang w:val="en-US"/>
        </w:rPr>
        <w:t>C</w:t>
      </w:r>
      <w:r w:rsidR="00A35A2A" w:rsidRPr="0068348F">
        <w:rPr>
          <w:i/>
          <w:iCs/>
          <w:color w:val="000000"/>
          <w:lang w:val="en-US"/>
        </w:rPr>
        <w:t>CH</w:t>
      </w:r>
      <w:r w:rsidRPr="0068348F">
        <w:rPr>
          <w:color w:val="000000"/>
          <w:lang w:val="en-US"/>
        </w:rPr>
        <w:t xml:space="preserve"> </w:t>
      </w:r>
      <w:r>
        <w:rPr>
          <w:color w:val="000000"/>
          <w:lang w:val="en-US"/>
        </w:rPr>
        <w:t>is provided</w:t>
      </w:r>
    </w:p>
    <w:p w14:paraId="28E1F1CE" w14:textId="77777777" w:rsidR="00E21265" w:rsidRDefault="00E21265" w:rsidP="00D2686C">
      <w:pPr>
        <w:pStyle w:val="B2"/>
      </w:pPr>
      <w:r>
        <w:t>-</w:t>
      </w:r>
      <w:r>
        <w:tab/>
      </w:r>
      <m:oMath>
        <m:sSub>
          <m:sSubPr>
            <m:ctrlPr>
              <w:rPr>
                <w:rFonts w:ascii="Cambria Math" w:hAnsi="Cambria Math"/>
              </w:rPr>
            </m:ctrlPr>
          </m:sSubPr>
          <m:e>
            <m:r>
              <w:rPr>
                <w:rFonts w:ascii="Cambria Math" w:hAnsi="Cambria Math"/>
              </w:rPr>
              <m:t>P</m:t>
            </m:r>
          </m:e>
          <m:sub>
            <m:r>
              <m:rPr>
                <m:nor/>
              </m:rPr>
              <m:t>PSSCH</m:t>
            </m:r>
            <m:r>
              <m:rPr>
                <m:sty m:val="p"/>
              </m:rPr>
              <w:rPr>
                <w:rFonts w:ascii="Cambria Math" w:hAnsi="Cambria Math"/>
              </w:rPr>
              <m:t>,</m:t>
            </m:r>
            <m:r>
              <w:rPr>
                <w:rFonts w:ascii="Cambria Math" w:hAnsi="Cambria Math"/>
              </w:rPr>
              <m:t>D</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P</m:t>
            </m:r>
          </m:e>
          <m:sub>
            <m:r>
              <m:rPr>
                <m:nor/>
              </m:rPr>
              <m:t>O</m:t>
            </m:r>
            <m:r>
              <m:rPr>
                <m:sty m:val="p"/>
              </m:rPr>
              <w:rPr>
                <w:rFonts w:ascii="Cambria Math" w:hAnsi="Cambria Math"/>
              </w:rPr>
              <m:t>,</m:t>
            </m:r>
            <m:r>
              <w:rPr>
                <w:rFonts w:ascii="Cambria Math" w:hAnsi="Cambria Math"/>
              </w:rPr>
              <m:t>D</m:t>
            </m:r>
          </m:sub>
        </m:sSub>
        <m:r>
          <m:rPr>
            <m:sty m:val="p"/>
          </m:rPr>
          <w:rPr>
            <w:rFonts w:ascii="Cambria Math" w:hAnsi="Cambria Math"/>
          </w:rPr>
          <m:t>+10</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m:rPr>
                    <m:sty m:val="p"/>
                  </m:rPr>
                  <w:rPr>
                    <w:rFonts w:ascii="Cambria Math" w:hAnsi="Cambria Math"/>
                  </w:rPr>
                  <m:t>10</m:t>
                </m:r>
              </m:sub>
            </m:sSub>
          </m:fName>
          <m:e>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w:rPr>
                        <w:rFonts w:ascii="Cambria Math" w:hAnsi="Cambria Math"/>
                      </w:rPr>
                      <m:t>μ</m:t>
                    </m:r>
                  </m:sup>
                </m:sSup>
                <m:r>
                  <m:rPr>
                    <m:sty m:val="p"/>
                  </m:rPr>
                  <w:rPr>
                    <w:rFonts w:ascii="Cambria Math" w:hAnsi="Cambria Math" w:cs="Cambria Math"/>
                  </w:rPr>
                  <m:t>⋅</m:t>
                </m:r>
                <m:sSubSup>
                  <m:sSubSupPr>
                    <m:ctrlPr>
                      <w:rPr>
                        <w:rFonts w:ascii="Cambria Math" w:hAnsi="Cambria Math"/>
                      </w:rPr>
                    </m:ctrlPr>
                  </m:sSubSupPr>
                  <m:e>
                    <m:r>
                      <w:rPr>
                        <w:rFonts w:ascii="Cambria Math" w:hAnsi="Cambria Math"/>
                      </w:rPr>
                      <m:t>M</m:t>
                    </m:r>
                  </m:e>
                  <m:sub>
                    <m:r>
                      <m:rPr>
                        <m:nor/>
                      </m:rPr>
                      <m:t>RB</m:t>
                    </m:r>
                  </m:sub>
                  <m:sup>
                    <m:r>
                      <m:rPr>
                        <m:nor/>
                      </m:rPr>
                      <m:t>PSSCH</m:t>
                    </m:r>
                  </m:sup>
                </m:sSubSup>
                <m:d>
                  <m:dPr>
                    <m:ctrlPr>
                      <w:rPr>
                        <w:rFonts w:ascii="Cambria Math" w:hAnsi="Cambria Math"/>
                      </w:rPr>
                    </m:ctrlPr>
                  </m:dPr>
                  <m:e>
                    <m:r>
                      <w:rPr>
                        <w:rFonts w:ascii="Cambria Math" w:hAnsi="Cambria Math"/>
                      </w:rPr>
                      <m:t>i</m:t>
                    </m:r>
                  </m:e>
                </m:d>
              </m:e>
            </m:d>
          </m:e>
        </m:func>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D</m:t>
            </m:r>
          </m:sub>
        </m:sSub>
        <m:r>
          <m:rPr>
            <m:sty m:val="p"/>
          </m:rPr>
          <w:rPr>
            <w:rFonts w:ascii="Cambria Math" w:hAnsi="Cambria Math" w:cs="Cambria Math"/>
          </w:rPr>
          <m:t>⋅</m:t>
        </m:r>
        <m:r>
          <w:rPr>
            <w:rFonts w:ascii="Cambria Math" w:hAnsi="Cambria Math"/>
          </w:rPr>
          <m:t>P</m:t>
        </m:r>
        <m:sSub>
          <m:sSubPr>
            <m:ctrlPr>
              <w:rPr>
                <w:rFonts w:ascii="Cambria Math" w:hAnsi="Cambria Math"/>
              </w:rPr>
            </m:ctrlPr>
          </m:sSubPr>
          <m:e>
            <m:r>
              <w:rPr>
                <w:rFonts w:ascii="Cambria Math" w:hAnsi="Cambria Math"/>
              </w:rPr>
              <m:t>L</m:t>
            </m:r>
          </m:e>
          <m:sub>
            <m:r>
              <w:rPr>
                <w:rFonts w:ascii="Cambria Math" w:hAnsi="Cambria Math"/>
              </w:rPr>
              <m:t>D</m:t>
            </m:r>
          </m:sub>
        </m:sSub>
      </m:oMath>
      <w:r>
        <w:t xml:space="preserve"> </w:t>
      </w:r>
      <w:r w:rsidRPr="00B916EC">
        <w:t>[dBm]</w:t>
      </w:r>
    </w:p>
    <w:p w14:paraId="4571BD1C" w14:textId="3F1CE169" w:rsidR="00E21265" w:rsidRDefault="00E21265" w:rsidP="009D1348">
      <w:pPr>
        <w:pStyle w:val="B1"/>
        <w:rPr>
          <w:color w:val="000000"/>
        </w:rPr>
      </w:pPr>
      <w:r w:rsidRPr="0068348F">
        <w:t>-</w:t>
      </w:r>
      <w:r w:rsidRPr="0068348F">
        <w:tab/>
      </w:r>
      <w:r>
        <w:t xml:space="preserve">else </w:t>
      </w:r>
    </w:p>
    <w:p w14:paraId="3770AF3E" w14:textId="77777777" w:rsidR="00E21265" w:rsidRDefault="00E21265" w:rsidP="00D2686C">
      <w:pPr>
        <w:pStyle w:val="B2"/>
      </w:pPr>
      <w:r>
        <w:t>-</w:t>
      </w:r>
      <w:r>
        <w:tab/>
      </w:r>
      <m:oMath>
        <m:sSub>
          <m:sSubPr>
            <m:ctrlPr>
              <w:rPr>
                <w:rFonts w:ascii="Cambria Math" w:hAnsi="Cambria Math"/>
              </w:rPr>
            </m:ctrlPr>
          </m:sSubPr>
          <m:e>
            <m:r>
              <w:rPr>
                <w:rFonts w:ascii="Cambria Math" w:hAnsi="Cambria Math"/>
              </w:rPr>
              <m:t>P</m:t>
            </m:r>
          </m:e>
          <m:sub>
            <m:r>
              <m:rPr>
                <m:nor/>
              </m:rPr>
              <m:t>PSSCH</m:t>
            </m:r>
            <m:r>
              <m:rPr>
                <m:sty m:val="p"/>
              </m:rPr>
              <w:rPr>
                <w:rFonts w:ascii="Cambria Math" w:hAnsi="Cambria Math"/>
              </w:rPr>
              <m:t>,</m:t>
            </m:r>
            <m:r>
              <w:rPr>
                <w:rFonts w:ascii="Cambria Math" w:hAnsi="Cambria Math"/>
              </w:rPr>
              <m:t>D</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P</m:t>
                </m:r>
              </m:e>
              <m:sub>
                <m:r>
                  <m:rPr>
                    <m:nor/>
                  </m:rPr>
                  <m:t>CMAX</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nor/>
                  </m:rPr>
                  <m:t>MAX</m:t>
                </m:r>
                <m:r>
                  <m:rPr>
                    <m:sty m:val="p"/>
                  </m:rPr>
                  <w:rPr>
                    <w:rFonts w:ascii="Cambria Math" w:hAnsi="Cambria Math"/>
                  </w:rPr>
                  <m:t>,CBR</m:t>
                </m:r>
              </m:sub>
            </m:sSub>
          </m:e>
        </m:d>
      </m:oMath>
      <w:r>
        <w:t xml:space="preserve"> </w:t>
      </w:r>
      <w:r w:rsidRPr="00B916EC">
        <w:t>[dBm]</w:t>
      </w:r>
    </w:p>
    <w:p w14:paraId="78FFAFB7" w14:textId="77777777" w:rsidR="00E21265" w:rsidRPr="00216EA2" w:rsidRDefault="00E21265" w:rsidP="00D2686C">
      <w:pPr>
        <w:pStyle w:val="B2"/>
        <w:rPr>
          <w:lang w:eastAsia="zh-CN"/>
        </w:rPr>
      </w:pPr>
      <w:r>
        <w:rPr>
          <w:lang w:eastAsia="zh-CN"/>
        </w:rPr>
        <w:t>where</w:t>
      </w:r>
    </w:p>
    <w:p w14:paraId="040509A7" w14:textId="3911A51E" w:rsidR="00E21265" w:rsidRDefault="00E21265" w:rsidP="00D2686C">
      <w:pPr>
        <w:pStyle w:val="B3"/>
      </w:pPr>
      <w:r>
        <w:t>-</w:t>
      </w:r>
      <w:r>
        <w:tab/>
      </w:r>
      <m:oMath>
        <m:sSub>
          <m:sSubPr>
            <m:ctrlPr>
              <w:rPr>
                <w:rFonts w:ascii="Cambria Math" w:hAnsi="Cambria Math"/>
                <w:i/>
              </w:rPr>
            </m:ctrlPr>
          </m:sSubPr>
          <m:e>
            <m:r>
              <w:rPr>
                <w:rFonts w:ascii="Cambria Math"/>
              </w:rPr>
              <m:t>P</m:t>
            </m:r>
          </m:e>
          <m:sub>
            <m:r>
              <m:rPr>
                <m:nor/>
              </m:rPr>
              <w:rPr>
                <w:rFonts w:ascii="Cambria Math"/>
              </w:rPr>
              <m:t>O</m:t>
            </m:r>
            <m:r>
              <w:rPr>
                <w:rFonts w:ascii="Cambria Math"/>
              </w:rPr>
              <m:t>,D</m:t>
            </m:r>
            <m:ctrlPr>
              <w:rPr>
                <w:rFonts w:ascii="Cambria Math" w:hAnsi="Cambria Math"/>
              </w:rPr>
            </m:ctrlPr>
          </m:sub>
        </m:sSub>
      </m:oMath>
      <w:r w:rsidRPr="0068348F">
        <w:t xml:space="preserve"> </w:t>
      </w:r>
      <w:r>
        <w:t xml:space="preserve">is a value of </w:t>
      </w:r>
      <w:r w:rsidR="00A35A2A">
        <w:rPr>
          <w:i/>
          <w:iCs/>
          <w:lang w:val="en-US"/>
        </w:rPr>
        <w:t>dl-</w:t>
      </w:r>
      <w:r w:rsidR="00A35A2A">
        <w:rPr>
          <w:i/>
          <w:iCs/>
          <w:color w:val="000000"/>
          <w:lang w:val="en-US"/>
        </w:rPr>
        <w:t>P</w:t>
      </w:r>
      <w:r w:rsidR="00A35A2A" w:rsidRPr="0068348F">
        <w:rPr>
          <w:i/>
          <w:iCs/>
          <w:color w:val="000000"/>
          <w:lang w:val="en-US"/>
        </w:rPr>
        <w:t>0-PS</w:t>
      </w:r>
      <w:r w:rsidR="00A35A2A">
        <w:rPr>
          <w:i/>
          <w:iCs/>
          <w:color w:val="000000"/>
          <w:lang w:val="en-US"/>
        </w:rPr>
        <w:t>S</w:t>
      </w:r>
      <w:r w:rsidR="00A35A2A" w:rsidRPr="0068348F">
        <w:rPr>
          <w:i/>
          <w:iCs/>
          <w:color w:val="000000"/>
          <w:lang w:val="en-US"/>
        </w:rPr>
        <w:t>CH</w:t>
      </w:r>
      <w:r w:rsidR="00A35A2A">
        <w:rPr>
          <w:i/>
          <w:iCs/>
          <w:color w:val="000000"/>
          <w:lang w:val="en-US"/>
        </w:rPr>
        <w:t>-</w:t>
      </w:r>
      <w:r w:rsidR="00A35A2A" w:rsidRPr="0068348F">
        <w:rPr>
          <w:i/>
          <w:iCs/>
          <w:color w:val="000000"/>
          <w:lang w:val="en-US"/>
        </w:rPr>
        <w:t>PS</w:t>
      </w:r>
      <w:r w:rsidR="00A35A2A">
        <w:rPr>
          <w:i/>
          <w:iCs/>
          <w:color w:val="000000"/>
          <w:lang w:val="en-US"/>
        </w:rPr>
        <w:t>C</w:t>
      </w:r>
      <w:r w:rsidR="00A35A2A" w:rsidRPr="0068348F">
        <w:rPr>
          <w:i/>
          <w:iCs/>
          <w:color w:val="000000"/>
          <w:lang w:val="en-US"/>
        </w:rPr>
        <w:t>CH</w:t>
      </w:r>
      <w:r w:rsidR="007C33DD">
        <w:rPr>
          <w:rFonts w:eastAsia="Malgun Gothic"/>
          <w:i/>
          <w:iCs/>
          <w:color w:val="000000"/>
        </w:rPr>
        <w:t>-r17</w:t>
      </w:r>
      <w:r w:rsidRPr="0068348F">
        <w:t xml:space="preserve"> </w:t>
      </w:r>
      <w:r>
        <w:t xml:space="preserve">if </w:t>
      </w:r>
      <w:r w:rsidR="007C33DD">
        <w:rPr>
          <w:rFonts w:eastAsia="Malgun Gothic"/>
        </w:rPr>
        <w:t>using the parameter is supported by the UE and the parameter is</w:t>
      </w:r>
      <w:r w:rsidR="007C33DD" w:rsidRPr="00EC6858">
        <w:t xml:space="preserve"> </w:t>
      </w:r>
      <w:r>
        <w:t>provided</w:t>
      </w:r>
      <w:r w:rsidR="007C33DD">
        <w:rPr>
          <w:rFonts w:eastAsia="Malgun Gothic"/>
        </w:rPr>
        <w:t xml:space="preserve">; else </w:t>
      </w:r>
      <w:r w:rsidR="007C33DD" w:rsidRPr="00C05E7D">
        <w:rPr>
          <w:rFonts w:eastAsia="Malgun Gothic"/>
          <w:i/>
          <w:iCs/>
        </w:rPr>
        <w:t>dl-</w:t>
      </w:r>
      <w:r w:rsidR="007C33DD" w:rsidRPr="00C05E7D">
        <w:rPr>
          <w:rFonts w:eastAsia="Malgun Gothic"/>
          <w:i/>
          <w:iCs/>
          <w:color w:val="000000"/>
        </w:rPr>
        <w:t>P0-PSSCH-PSCCH</w:t>
      </w:r>
      <w:r w:rsidR="007C33DD">
        <w:rPr>
          <w:rFonts w:eastAsia="Malgun Gothic"/>
          <w:i/>
          <w:iCs/>
          <w:color w:val="000000"/>
        </w:rPr>
        <w:t>-r16</w:t>
      </w:r>
      <w:r w:rsidR="007C33DD" w:rsidRPr="00B218B3">
        <w:rPr>
          <w:rFonts w:eastAsia="Malgun Gothic"/>
          <w:iCs/>
          <w:color w:val="000000"/>
        </w:rPr>
        <w:t xml:space="preserve"> </w:t>
      </w:r>
      <w:r w:rsidR="007C33DD">
        <w:rPr>
          <w:rFonts w:eastAsia="Malgun Gothic"/>
          <w:iCs/>
          <w:color w:val="000000"/>
        </w:rPr>
        <w:t>if</w:t>
      </w:r>
      <w:r w:rsidR="007C33DD" w:rsidRPr="00B218B3">
        <w:rPr>
          <w:rFonts w:eastAsia="Malgun Gothic"/>
          <w:iCs/>
          <w:color w:val="000000"/>
        </w:rPr>
        <w:t xml:space="preserve"> provided</w:t>
      </w:r>
    </w:p>
    <w:p w14:paraId="504FFD0C" w14:textId="28DB74BE" w:rsidR="00E21265" w:rsidRPr="00DA2EAA" w:rsidRDefault="00E21265" w:rsidP="00D2686C">
      <w:pPr>
        <w:pStyle w:val="B3"/>
      </w:pPr>
      <w:r>
        <w:t>-</w:t>
      </w:r>
      <w:r>
        <w:tab/>
      </w:r>
      <m:oMath>
        <m:sSub>
          <m:sSubPr>
            <m:ctrlPr>
              <w:rPr>
                <w:rFonts w:ascii="Cambria Math" w:hAnsi="Cambria Math"/>
                <w:i/>
              </w:rPr>
            </m:ctrlPr>
          </m:sSubPr>
          <m:e>
            <m:r>
              <w:rPr>
                <w:rFonts w:ascii="Cambria Math"/>
              </w:rPr>
              <m:t>α</m:t>
            </m:r>
          </m:e>
          <m:sub>
            <m:r>
              <w:rPr>
                <w:rFonts w:ascii="Cambria Math"/>
              </w:rPr>
              <m:t>D</m:t>
            </m:r>
          </m:sub>
        </m:sSub>
      </m:oMath>
      <w:r w:rsidRPr="0068348F">
        <w:t xml:space="preserve"> </w:t>
      </w:r>
      <w:r>
        <w:t xml:space="preserve">is a value of </w:t>
      </w:r>
      <w:r w:rsidR="00A35A2A">
        <w:rPr>
          <w:i/>
          <w:iCs/>
          <w:lang w:val="en-US"/>
        </w:rPr>
        <w:t>dl-</w:t>
      </w:r>
      <w:r w:rsidR="00A35A2A">
        <w:rPr>
          <w:i/>
          <w:iCs/>
          <w:color w:val="000000"/>
          <w:lang w:val="en-US"/>
        </w:rPr>
        <w:t>Alpha</w:t>
      </w:r>
      <w:r w:rsidR="00A35A2A" w:rsidRPr="0068348F">
        <w:rPr>
          <w:i/>
          <w:iCs/>
          <w:color w:val="000000"/>
          <w:lang w:val="en-US"/>
        </w:rPr>
        <w:t>-PS</w:t>
      </w:r>
      <w:r w:rsidR="00A35A2A">
        <w:rPr>
          <w:i/>
          <w:iCs/>
          <w:color w:val="000000"/>
          <w:lang w:val="en-US"/>
        </w:rPr>
        <w:t>S</w:t>
      </w:r>
      <w:r w:rsidR="00A35A2A" w:rsidRPr="0068348F">
        <w:rPr>
          <w:i/>
          <w:iCs/>
          <w:color w:val="000000"/>
          <w:lang w:val="en-US"/>
        </w:rPr>
        <w:t>CH</w:t>
      </w:r>
      <w:r w:rsidR="00A35A2A">
        <w:rPr>
          <w:i/>
          <w:iCs/>
          <w:color w:val="000000"/>
          <w:lang w:val="en-US"/>
        </w:rPr>
        <w:t>-</w:t>
      </w:r>
      <w:r w:rsidR="00A35A2A" w:rsidRPr="0068348F">
        <w:rPr>
          <w:i/>
          <w:iCs/>
          <w:color w:val="000000"/>
          <w:lang w:val="en-US"/>
        </w:rPr>
        <w:t>PS</w:t>
      </w:r>
      <w:r w:rsidR="00A35A2A">
        <w:rPr>
          <w:i/>
          <w:iCs/>
          <w:color w:val="000000"/>
          <w:lang w:val="en-US"/>
        </w:rPr>
        <w:t>C</w:t>
      </w:r>
      <w:r w:rsidR="00A35A2A" w:rsidRPr="0068348F">
        <w:rPr>
          <w:i/>
          <w:iCs/>
          <w:color w:val="000000"/>
          <w:lang w:val="en-US"/>
        </w:rPr>
        <w:t>CH</w:t>
      </w:r>
      <w:r>
        <w:rPr>
          <w:iCs/>
          <w:color w:val="000000"/>
          <w:lang w:val="en-US"/>
        </w:rPr>
        <w:t xml:space="preserve">, if </w:t>
      </w:r>
      <w:r>
        <w:t xml:space="preserve">provided; else, </w:t>
      </w:r>
      <m:oMath>
        <m:sSub>
          <m:sSubPr>
            <m:ctrlPr>
              <w:rPr>
                <w:rFonts w:ascii="Cambria Math" w:hAnsi="Cambria Math"/>
                <w:i/>
              </w:rPr>
            </m:ctrlPr>
          </m:sSubPr>
          <m:e>
            <m:r>
              <w:rPr>
                <w:rFonts w:ascii="Cambria Math"/>
              </w:rPr>
              <m:t>α</m:t>
            </m:r>
          </m:e>
          <m:sub>
            <m:r>
              <w:rPr>
                <w:rFonts w:ascii="Cambria Math"/>
              </w:rPr>
              <m:t>D</m:t>
            </m:r>
          </m:sub>
        </m:sSub>
        <m:r>
          <w:rPr>
            <w:rFonts w:ascii="Cambria Math" w:hAnsi="Cambria Math"/>
          </w:rPr>
          <m:t>=1</m:t>
        </m:r>
      </m:oMath>
      <w:r>
        <w:t xml:space="preserve"> </w:t>
      </w:r>
    </w:p>
    <w:p w14:paraId="6E46F120" w14:textId="4D9D25D5" w:rsidR="00BB0A93" w:rsidRPr="0066330F" w:rsidRDefault="00E21265" w:rsidP="00BB0A93">
      <w:pPr>
        <w:pStyle w:val="B3"/>
      </w:pPr>
      <w:r w:rsidRPr="0066330F">
        <w:t>-</w:t>
      </w:r>
      <w:r w:rsidRPr="0066330F">
        <w:tab/>
      </w:r>
      <m:oMath>
        <m:r>
          <w:rPr>
            <w:rFonts w:ascii="Cambria Math" w:hAnsi="Cambria Math"/>
          </w:rPr>
          <m:t>P</m:t>
        </m:r>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=P</m:t>
        </m:r>
        <m:sSub>
          <m:sSubPr>
            <m:ctrlPr>
              <w:rPr>
                <w:rFonts w:ascii="Cambria Math" w:hAnsi="Cambria Math"/>
                <w:i/>
              </w:rPr>
            </m:ctrlPr>
          </m:sSubPr>
          <m:e>
            <m:r>
              <w:rPr>
                <w:rFonts w:ascii="Cambria Math" w:hAnsi="Cambria Math"/>
              </w:rPr>
              <m:t>L</m:t>
            </m:r>
          </m:e>
          <m:sub>
            <m:r>
              <w:rPr>
                <w:rFonts w:ascii="Cambria Math" w:hAnsi="Cambria Math"/>
              </w:rPr>
              <m:t>b,f,c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oMath>
      <w:r w:rsidRPr="0066330F">
        <w:t xml:space="preserve"> </w:t>
      </w:r>
      <w:r w:rsidR="00923EF2" w:rsidRPr="0066330F">
        <w:t xml:space="preserve">when the active SL BWP is on a serving cell </w:t>
      </w:r>
      <m:oMath>
        <m:r>
          <w:rPr>
            <w:rFonts w:ascii="Cambria Math" w:hAnsi="Cambria Math"/>
            <w:szCs w:val="18"/>
          </w:rPr>
          <m:t>c</m:t>
        </m:r>
      </m:oMath>
      <w:r w:rsidR="00923EF2" w:rsidRPr="0066330F">
        <w:t xml:space="preserve">, </w:t>
      </w:r>
      <w:r w:rsidRPr="0066330F">
        <w:t xml:space="preserve">as described </w:t>
      </w:r>
      <w:r w:rsidR="006F5F9E" w:rsidRPr="0066330F">
        <w:t>in clause</w:t>
      </w:r>
      <w:r w:rsidRPr="0066330F">
        <w:t xml:space="preserve"> 7.1.1 </w:t>
      </w:r>
      <w:r w:rsidR="00BB0A93" w:rsidRPr="0066330F">
        <w:t>except that</w:t>
      </w:r>
    </w:p>
    <w:p w14:paraId="329D3D7B" w14:textId="58AC8A69" w:rsidR="00BB0A93" w:rsidRPr="005E3944" w:rsidRDefault="00BB0A93" w:rsidP="0014760F">
      <w:pPr>
        <w:pStyle w:val="B4"/>
      </w:pPr>
      <w:r w:rsidRPr="005E3944">
        <w:t>-</w:t>
      </w:r>
      <w:r w:rsidRPr="005E3944">
        <w:tab/>
      </w:r>
      <w:r w:rsidRPr="005E3944">
        <w:rPr>
          <w:rFonts w:eastAsia="Malgun Gothic"/>
        </w:rPr>
        <w:t xml:space="preserve">the RS resource is the one the UE uses for determining a power of a PUSCH transmission scheduled by a DCI format 0_0 </w:t>
      </w:r>
      <w:r w:rsidR="00B51B2F" w:rsidRPr="00110065">
        <w:rPr>
          <w:lang w:val="x-none" w:eastAsia="zh-CN"/>
        </w:rPr>
        <w:t xml:space="preserve">in serving cell </w:t>
      </w:r>
      <m:oMath>
        <m:r>
          <w:rPr>
            <w:rFonts w:ascii="Cambria Math" w:hAnsi="Cambria Math"/>
            <w:szCs w:val="18"/>
          </w:rPr>
          <m:t>c</m:t>
        </m:r>
      </m:oMath>
      <w:r w:rsidR="00B51B2F" w:rsidRPr="00B5733C">
        <w:rPr>
          <w:rFonts w:eastAsia="Malgun Gothic"/>
        </w:rPr>
        <w:t xml:space="preserve"> </w:t>
      </w:r>
      <w:r w:rsidRPr="005E3944">
        <w:rPr>
          <w:rFonts w:eastAsia="Malgun Gothic"/>
        </w:rPr>
        <w:t>when the UE is configured to monitor PDCCH for detection of DCI format 0_0</w:t>
      </w:r>
      <w:r w:rsidR="00B51B2F">
        <w:rPr>
          <w:rFonts w:eastAsia="Malgun Gothic"/>
        </w:rPr>
        <w:t xml:space="preserve"> </w:t>
      </w:r>
      <w:r w:rsidR="00B51B2F" w:rsidRPr="00110065">
        <w:rPr>
          <w:lang w:val="x-none" w:eastAsia="zh-CN"/>
        </w:rPr>
        <w:t xml:space="preserve">in serving cell </w:t>
      </w:r>
      <m:oMath>
        <m:r>
          <w:rPr>
            <w:rFonts w:ascii="Cambria Math" w:hAnsi="Cambria Math"/>
            <w:szCs w:val="18"/>
          </w:rPr>
          <m:t>c</m:t>
        </m:r>
      </m:oMath>
    </w:p>
    <w:p w14:paraId="27AB83BC" w14:textId="64907D96" w:rsidR="00E21265" w:rsidRPr="0014760F" w:rsidRDefault="00BB0A93" w:rsidP="0014760F">
      <w:pPr>
        <w:pStyle w:val="B4"/>
        <w:rPr>
          <w:rFonts w:eastAsia="Times New Roman"/>
        </w:rPr>
      </w:pPr>
      <w:r w:rsidRPr="005E3944">
        <w:t>-</w:t>
      </w:r>
      <w:r w:rsidRPr="005E3944">
        <w:tab/>
      </w:r>
      <w:r w:rsidRPr="005E3944">
        <w:rPr>
          <w:rFonts w:eastAsia="Malgun Gothic"/>
        </w:rPr>
        <w:t>the RS resource is the one corresponding to the SS/PBCH block the UE uses to obtain MIB when the UE is not configured to monitor PDCCH for detection of DCI format 0_0</w:t>
      </w:r>
      <w:r w:rsidR="00B51B2F">
        <w:rPr>
          <w:rFonts w:eastAsia="Malgun Gothic"/>
        </w:rPr>
        <w:t xml:space="preserve"> </w:t>
      </w:r>
      <w:r w:rsidR="00B51B2F" w:rsidRPr="00110065">
        <w:rPr>
          <w:lang w:val="x-none" w:eastAsia="zh-CN"/>
        </w:rPr>
        <w:t xml:space="preserve">in serving cell </w:t>
      </w:r>
      <m:oMath>
        <m:r>
          <w:rPr>
            <w:rFonts w:ascii="Cambria Math" w:hAnsi="Cambria Math"/>
            <w:szCs w:val="18"/>
          </w:rPr>
          <m:t>c</m:t>
        </m:r>
      </m:oMath>
    </w:p>
    <w:p w14:paraId="79E99CFC" w14:textId="77777777" w:rsidR="00E21265" w:rsidRPr="00B916EC" w:rsidRDefault="00E21265" w:rsidP="00D2686C">
      <w:pPr>
        <w:pStyle w:val="B3"/>
      </w:pPr>
      <w:r w:rsidRPr="0060479F">
        <w:t>-</w:t>
      </w:r>
      <w:r w:rsidRPr="0060479F">
        <w:tab/>
      </w:r>
      <m:oMath>
        <m:sSubSup>
          <m:sSubSupPr>
            <m:ctrlPr>
              <w:rPr>
                <w:rFonts w:ascii="Cambria Math" w:hAnsi="Cambria Math"/>
                <w:i/>
              </w:rPr>
            </m:ctrlPr>
          </m:sSubSupPr>
          <m:e>
            <m:r>
              <w:rPr>
                <w:rFonts w:ascii="Cambria Math"/>
              </w:rPr>
              <m:t>M</m:t>
            </m:r>
          </m:e>
          <m:sub>
            <m:r>
              <m:rPr>
                <m:nor/>
              </m:rPr>
              <w:rPr>
                <w:rFonts w:ascii="Cambria Math"/>
              </w:rPr>
              <m:t>RB</m:t>
            </m:r>
            <m:ctrlPr>
              <w:rPr>
                <w:rFonts w:ascii="Cambria Math" w:hAnsi="Cambria Math"/>
              </w:rPr>
            </m:ctrlPr>
          </m:sub>
          <m:sup>
            <m:r>
              <m:rPr>
                <m:nor/>
              </m:rPr>
              <w:rPr>
                <w:rFonts w:ascii="Cambria Math"/>
              </w:rPr>
              <m:t>PSSCH</m:t>
            </m:r>
            <m:ctrlPr>
              <w:rPr>
                <w:rFonts w:ascii="Cambria Math" w:hAnsi="Cambria Math"/>
              </w:rPr>
            </m:ctrlPr>
          </m:sup>
        </m:sSubSup>
        <m:r>
          <w:rPr>
            <w:rFonts w:ascii="Cambria Math"/>
          </w:rPr>
          <m:t>(i)</m:t>
        </m:r>
      </m:oMath>
      <w:r w:rsidRPr="0060479F">
        <w:rPr>
          <w:rFonts w:eastAsia="Malgun Gothic"/>
          <w:lang w:val="en-US"/>
        </w:rPr>
        <w:t xml:space="preserve"> is a number of </w:t>
      </w:r>
      <w:r w:rsidRPr="0060479F">
        <w:t xml:space="preserve">resource blocks for </w:t>
      </w:r>
      <w:r>
        <w:rPr>
          <w:lang w:val="en-US"/>
        </w:rPr>
        <w:t xml:space="preserve">the </w:t>
      </w:r>
      <w:r w:rsidRPr="0060479F">
        <w:rPr>
          <w:lang w:val="en-US"/>
        </w:rPr>
        <w:t>PSSCH transmission occasion</w:t>
      </w:r>
      <w:r w:rsidRPr="0060479F">
        <w:t xml:space="preserve"> </w:t>
      </w:r>
      <m:oMath>
        <m:r>
          <w:rPr>
            <w:rFonts w:ascii="Cambria Math"/>
          </w:rPr>
          <m:t>i</m:t>
        </m:r>
      </m:oMath>
      <w:r>
        <w:rPr>
          <w:iCs/>
        </w:rPr>
        <w:t xml:space="preserve"> </w:t>
      </w:r>
      <w:r w:rsidRPr="0060479F">
        <w:rPr>
          <w:lang w:val="en-US"/>
        </w:rPr>
        <w:t xml:space="preserve">and </w:t>
      </w:r>
      <m:oMath>
        <m:r>
          <w:rPr>
            <w:rFonts w:ascii="Cambria Math"/>
          </w:rPr>
          <m:t>μ</m:t>
        </m:r>
      </m:oMath>
      <w:r w:rsidRPr="0060479F">
        <w:rPr>
          <w:lang w:val="en-US"/>
        </w:rPr>
        <w:t xml:space="preserve"> is a SCS configuration</w:t>
      </w:r>
    </w:p>
    <w:p w14:paraId="123859A6" w14:textId="7B21B6FF" w:rsidR="00E21265" w:rsidRPr="00342B2C" w:rsidRDefault="00E21265" w:rsidP="009D1348">
      <w:pPr>
        <w:pStyle w:val="B1"/>
        <w:rPr>
          <w:lang w:val="en-GB"/>
        </w:rPr>
      </w:pPr>
      <w:r w:rsidRPr="0068348F">
        <w:t>-</w:t>
      </w:r>
      <w:r w:rsidRPr="0068348F">
        <w:tab/>
      </w:r>
      <w:r>
        <w:t xml:space="preserve">if </w:t>
      </w:r>
      <w:r w:rsidR="00506430">
        <w:rPr>
          <w:i/>
          <w:iCs/>
          <w:lang w:val="en-US"/>
        </w:rPr>
        <w:t>sl-</w:t>
      </w:r>
      <w:r w:rsidR="00506430">
        <w:rPr>
          <w:i/>
          <w:iCs/>
          <w:color w:val="000000"/>
          <w:lang w:val="en-US"/>
        </w:rPr>
        <w:t>P</w:t>
      </w:r>
      <w:r w:rsidR="00506430" w:rsidRPr="0068348F">
        <w:rPr>
          <w:i/>
          <w:iCs/>
          <w:color w:val="000000"/>
          <w:lang w:val="en-US"/>
        </w:rPr>
        <w:t>0-PS</w:t>
      </w:r>
      <w:r w:rsidR="00506430">
        <w:rPr>
          <w:i/>
          <w:iCs/>
          <w:color w:val="000000"/>
          <w:lang w:val="en-US"/>
        </w:rPr>
        <w:t>S</w:t>
      </w:r>
      <w:r w:rsidR="00506430" w:rsidRPr="0068348F">
        <w:rPr>
          <w:i/>
          <w:iCs/>
          <w:color w:val="000000"/>
          <w:lang w:val="en-US"/>
        </w:rPr>
        <w:t>CH</w:t>
      </w:r>
      <w:r w:rsidR="00506430">
        <w:rPr>
          <w:i/>
          <w:iCs/>
          <w:color w:val="000000"/>
          <w:lang w:val="en-US"/>
        </w:rPr>
        <w:t>-</w:t>
      </w:r>
      <w:r w:rsidR="00506430" w:rsidRPr="0068348F">
        <w:rPr>
          <w:i/>
          <w:iCs/>
          <w:color w:val="000000"/>
          <w:lang w:val="en-US"/>
        </w:rPr>
        <w:t>PS</w:t>
      </w:r>
      <w:r w:rsidR="00506430">
        <w:rPr>
          <w:i/>
          <w:iCs/>
          <w:color w:val="000000"/>
          <w:lang w:val="en-US"/>
        </w:rPr>
        <w:t>C</w:t>
      </w:r>
      <w:r w:rsidR="00506430" w:rsidRPr="0068348F">
        <w:rPr>
          <w:i/>
          <w:iCs/>
          <w:color w:val="000000"/>
          <w:lang w:val="en-US"/>
        </w:rPr>
        <w:t>CH</w:t>
      </w:r>
      <w:r w:rsidR="00506430" w:rsidRPr="009A5CA7">
        <w:rPr>
          <w:color w:val="000000"/>
          <w:lang w:val="en-US"/>
        </w:rPr>
        <w:t xml:space="preserve"> is</w:t>
      </w:r>
      <w:r>
        <w:t xml:space="preserve"> provided</w:t>
      </w:r>
      <w:r w:rsidR="00ED4966">
        <w:rPr>
          <w:lang w:val="en-GB"/>
        </w:rPr>
        <w:t>,</w:t>
      </w:r>
      <w:r w:rsidR="00CD415F" w:rsidRPr="005D705A">
        <w:t xml:space="preserve"> if a SCI format scheduling the PSSCH transmission includes a cast type indicator field </w:t>
      </w:r>
      <w:r w:rsidR="00CD415F">
        <w:t>indicating unicast</w:t>
      </w:r>
      <w:r w:rsidR="00342B2C">
        <w:rPr>
          <w:lang w:val="en-GB"/>
        </w:rPr>
        <w:t xml:space="preserve"> </w:t>
      </w:r>
      <w:r w:rsidR="00342B2C" w:rsidRPr="007053C7">
        <w:rPr>
          <w:lang w:val="en-US"/>
        </w:rPr>
        <w:t>or is SCI format 2-C</w:t>
      </w:r>
      <w:r w:rsidR="00ED4966">
        <w:t xml:space="preserve">, and if a </w:t>
      </w:r>
      <m:oMath>
        <m:r>
          <w:rPr>
            <w:rFonts w:ascii="Cambria Math" w:eastAsia="MS Mincho" w:hAnsi="Cambria Math"/>
          </w:rPr>
          <m:t>higher</m:t>
        </m:r>
        <m:r>
          <m:rPr>
            <m:sty m:val="p"/>
          </m:rPr>
          <w:rPr>
            <w:rFonts w:ascii="Cambria Math" w:eastAsia="MS Mincho" w:hAnsi="Cambria Math"/>
          </w:rPr>
          <m:t xml:space="preserve"> </m:t>
        </m:r>
        <m:r>
          <w:rPr>
            <w:rFonts w:ascii="Cambria Math" w:eastAsia="MS Mincho" w:hAnsi="Cambria Math"/>
          </w:rPr>
          <m:t>layer</m:t>
        </m:r>
        <m:r>
          <m:rPr>
            <m:sty m:val="p"/>
          </m:rPr>
          <w:rPr>
            <w:rFonts w:ascii="Cambria Math" w:eastAsia="MS Mincho" w:hAnsi="Cambria Math"/>
          </w:rPr>
          <m:t xml:space="preserve"> </m:t>
        </m:r>
        <m:r>
          <w:rPr>
            <w:rFonts w:ascii="Cambria Math" w:eastAsia="MS Mincho" w:hAnsi="Cambria Math"/>
          </w:rPr>
          <m:t>filtered</m:t>
        </m:r>
        <m:r>
          <m:rPr>
            <m:sty m:val="p"/>
          </m:rPr>
          <w:rPr>
            <w:rFonts w:ascii="Cambria Math" w:eastAsia="MS Mincho" w:hAnsi="Cambria Math"/>
          </w:rPr>
          <m:t xml:space="preserve"> </m:t>
        </m:r>
        <m:r>
          <w:rPr>
            <w:rFonts w:ascii="Cambria Math" w:eastAsia="MS Mincho" w:hAnsi="Cambria Math"/>
          </w:rPr>
          <m:t>RSRP</m:t>
        </m:r>
      </m:oMath>
      <w:r w:rsidR="00ED4966">
        <w:t xml:space="preserve"> is reported to the UE transmitting the PSSCH from the UE intended to receive the PSCCH-PSSCH transmission</w:t>
      </w:r>
    </w:p>
    <w:p w14:paraId="16D3F093" w14:textId="77777777" w:rsidR="00E21265" w:rsidRDefault="00E21265" w:rsidP="00D2686C">
      <w:pPr>
        <w:pStyle w:val="B2"/>
      </w:pPr>
      <w:r>
        <w:t>-</w:t>
      </w:r>
      <w:r>
        <w:tab/>
      </w:r>
      <m:oMath>
        <m:sSub>
          <m:sSubPr>
            <m:ctrlPr>
              <w:rPr>
                <w:rFonts w:ascii="Cambria Math" w:hAnsi="Cambria Math"/>
              </w:rPr>
            </m:ctrlPr>
          </m:sSubPr>
          <m:e>
            <m:r>
              <w:rPr>
                <w:rFonts w:ascii="Cambria Math" w:hAnsi="Cambria Math"/>
              </w:rPr>
              <m:t>P</m:t>
            </m:r>
          </m:e>
          <m:sub>
            <m:r>
              <m:rPr>
                <m:nor/>
              </m:rPr>
              <m:t>PSSCH</m:t>
            </m:r>
            <m:r>
              <m:rPr>
                <m:sty m:val="p"/>
              </m:rPr>
              <w:rPr>
                <w:rFonts w:ascii="Cambria Math" w:hAnsi="Cambria Math"/>
              </w:rPr>
              <m:t>,</m:t>
            </m:r>
            <m:r>
              <w:rPr>
                <w:rFonts w:ascii="Cambria Math" w:hAnsi="Cambria Math"/>
              </w:rPr>
              <m:t>SL</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P</m:t>
            </m:r>
          </m:e>
          <m:sub>
            <m:r>
              <m:rPr>
                <m:nor/>
              </m:rPr>
              <m:t>O</m:t>
            </m:r>
            <m:r>
              <m:rPr>
                <m:sty m:val="p"/>
              </m:rPr>
              <w:rPr>
                <w:rFonts w:ascii="Cambria Math" w:hAnsi="Cambria Math"/>
              </w:rPr>
              <m:t>,</m:t>
            </m:r>
            <m:r>
              <w:rPr>
                <w:rFonts w:ascii="Cambria Math" w:hAnsi="Cambria Math"/>
              </w:rPr>
              <m:t>SL</m:t>
            </m:r>
          </m:sub>
        </m:sSub>
        <m:r>
          <m:rPr>
            <m:sty m:val="p"/>
          </m:rPr>
          <w:rPr>
            <w:rFonts w:ascii="Cambria Math" w:hAnsi="Cambria Math"/>
          </w:rPr>
          <m:t>+10</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m:rPr>
                    <m:sty m:val="p"/>
                  </m:rPr>
                  <w:rPr>
                    <w:rFonts w:ascii="Cambria Math" w:hAnsi="Cambria Math"/>
                  </w:rPr>
                  <m:t>10</m:t>
                </m:r>
              </m:sub>
            </m:sSub>
          </m:fName>
          <m:e>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w:rPr>
                        <w:rFonts w:ascii="Cambria Math" w:hAnsi="Cambria Math"/>
                      </w:rPr>
                      <m:t>μ</m:t>
                    </m:r>
                  </m:sup>
                </m:sSup>
                <m:r>
                  <m:rPr>
                    <m:sty m:val="p"/>
                  </m:rPr>
                  <w:rPr>
                    <w:rFonts w:ascii="Cambria Math" w:hAnsi="Cambria Math" w:cs="Cambria Math"/>
                  </w:rPr>
                  <m:t>⋅</m:t>
                </m:r>
                <m:sSubSup>
                  <m:sSubSupPr>
                    <m:ctrlPr>
                      <w:rPr>
                        <w:rFonts w:ascii="Cambria Math" w:hAnsi="Cambria Math"/>
                      </w:rPr>
                    </m:ctrlPr>
                  </m:sSubSupPr>
                  <m:e>
                    <m:r>
                      <w:rPr>
                        <w:rFonts w:ascii="Cambria Math" w:hAnsi="Cambria Math"/>
                      </w:rPr>
                      <m:t>M</m:t>
                    </m:r>
                  </m:e>
                  <m:sub>
                    <m:r>
                      <m:rPr>
                        <m:nor/>
                      </m:rPr>
                      <m:t>RB</m:t>
                    </m:r>
                  </m:sub>
                  <m:sup>
                    <m:r>
                      <m:rPr>
                        <m:nor/>
                      </m:rPr>
                      <m:t>PSSCH</m:t>
                    </m:r>
                  </m:sup>
                </m:sSubSup>
                <m:d>
                  <m:dPr>
                    <m:ctrlPr>
                      <w:rPr>
                        <w:rFonts w:ascii="Cambria Math" w:hAnsi="Cambria Math"/>
                      </w:rPr>
                    </m:ctrlPr>
                  </m:dPr>
                  <m:e>
                    <m:r>
                      <w:rPr>
                        <w:rFonts w:ascii="Cambria Math" w:hAnsi="Cambria Math"/>
                      </w:rPr>
                      <m:t>i</m:t>
                    </m:r>
                  </m:e>
                </m:d>
              </m:e>
            </m:d>
          </m:e>
        </m:func>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SL</m:t>
            </m:r>
          </m:sub>
        </m:sSub>
        <m:r>
          <m:rPr>
            <m:sty m:val="p"/>
          </m:rPr>
          <w:rPr>
            <w:rFonts w:ascii="Cambria Math" w:hAnsi="Cambria Math" w:cs="Cambria Math"/>
          </w:rPr>
          <m:t>⋅</m:t>
        </m:r>
        <m:r>
          <w:rPr>
            <w:rFonts w:ascii="Cambria Math" w:hAnsi="Cambria Math"/>
          </w:rPr>
          <m:t>P</m:t>
        </m:r>
        <m:sSub>
          <m:sSubPr>
            <m:ctrlPr>
              <w:rPr>
                <w:rFonts w:ascii="Cambria Math" w:hAnsi="Cambria Math"/>
              </w:rPr>
            </m:ctrlPr>
          </m:sSubPr>
          <m:e>
            <m:r>
              <w:rPr>
                <w:rFonts w:ascii="Cambria Math" w:hAnsi="Cambria Math"/>
              </w:rPr>
              <m:t>L</m:t>
            </m:r>
          </m:e>
          <m:sub>
            <m:r>
              <w:rPr>
                <w:rFonts w:ascii="Cambria Math" w:hAnsi="Cambria Math"/>
              </w:rPr>
              <m:t>SL</m:t>
            </m:r>
          </m:sub>
        </m:sSub>
      </m:oMath>
      <w:r>
        <w:rPr>
          <w:lang w:val="en-US"/>
        </w:rPr>
        <w:t xml:space="preserve"> </w:t>
      </w:r>
      <w:r w:rsidRPr="00B916EC">
        <w:t>[dBm]</w:t>
      </w:r>
    </w:p>
    <w:p w14:paraId="5BC104E0" w14:textId="77777777" w:rsidR="00E21265" w:rsidRDefault="00E21265" w:rsidP="00E21265">
      <w:pPr>
        <w:pStyle w:val="B1"/>
        <w:rPr>
          <w:color w:val="000000"/>
          <w:lang w:val="en-US"/>
        </w:rPr>
      </w:pPr>
      <w:r w:rsidRPr="0068348F">
        <w:t>-</w:t>
      </w:r>
      <w:r w:rsidRPr="0068348F">
        <w:tab/>
      </w:r>
      <w:r>
        <w:rPr>
          <w:lang w:val="en-US"/>
        </w:rPr>
        <w:t>else</w:t>
      </w:r>
    </w:p>
    <w:p w14:paraId="16E4FE89" w14:textId="4AD8DBA2" w:rsidR="00E21265" w:rsidRDefault="00E21265" w:rsidP="00D2686C">
      <w:pPr>
        <w:pStyle w:val="B2"/>
      </w:pPr>
      <w:r>
        <w:t>-</w:t>
      </w:r>
      <w:r>
        <w:tab/>
      </w:r>
      <m:oMath>
        <m:sSub>
          <m:sSubPr>
            <m:ctrlPr>
              <w:rPr>
                <w:rFonts w:ascii="Cambria Math" w:hAnsi="Cambria Math"/>
              </w:rPr>
            </m:ctrlPr>
          </m:sSubPr>
          <m:e>
            <m:r>
              <w:rPr>
                <w:rFonts w:ascii="Cambria Math" w:hAnsi="Cambria Math"/>
              </w:rPr>
              <m:t>P</m:t>
            </m:r>
          </m:e>
          <m:sub>
            <m:r>
              <m:rPr>
                <m:nor/>
              </m:rPr>
              <m:t>PSSCH</m:t>
            </m:r>
            <m:r>
              <m:rPr>
                <m:nor/>
              </m:rPr>
              <w:rPr>
                <w:rFonts w:ascii="Cambria Math"/>
                <w:lang w:val="en-US"/>
              </w:rPr>
              <m:t>,SL</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P</m:t>
                </m:r>
              </m:e>
              <m:sub>
                <m:r>
                  <m:rPr>
                    <m:nor/>
                  </m:rPr>
                  <m:t>CMAX</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nor/>
                  </m:rPr>
                  <m:t>PSSCH</m:t>
                </m:r>
                <m:r>
                  <m:rPr>
                    <m:sty m:val="p"/>
                  </m:rPr>
                  <w:rPr>
                    <w:rFonts w:ascii="Cambria Math" w:hAnsi="Cambria Math"/>
                  </w:rPr>
                  <m:t>,</m:t>
                </m:r>
                <m:r>
                  <w:rPr>
                    <w:rFonts w:ascii="Cambria Math" w:hAnsi="Cambria Math"/>
                  </w:rPr>
                  <m:t>D</m:t>
                </m:r>
              </m:sub>
            </m:sSub>
            <m:r>
              <m:rPr>
                <m:sty m:val="p"/>
              </m:rPr>
              <w:rPr>
                <w:rFonts w:ascii="Cambria Math" w:hAnsi="Cambria Math"/>
              </w:rPr>
              <m:t>(</m:t>
            </m:r>
            <m:r>
              <w:rPr>
                <w:rFonts w:ascii="Cambria Math" w:hAnsi="Cambria Math"/>
              </w:rPr>
              <m:t>i</m:t>
            </m:r>
            <m:r>
              <m:rPr>
                <m:sty m:val="p"/>
              </m:rPr>
              <w:rPr>
                <w:rFonts w:ascii="Cambria Math" w:hAnsi="Cambria Math"/>
              </w:rPr>
              <m:t>)</m:t>
            </m:r>
          </m:e>
        </m:d>
      </m:oMath>
      <w:r>
        <w:t xml:space="preserve"> </w:t>
      </w:r>
      <w:r w:rsidRPr="00B916EC">
        <w:t>[dBm]</w:t>
      </w:r>
    </w:p>
    <w:p w14:paraId="6A059C98" w14:textId="0EC96CB5" w:rsidR="00E21265" w:rsidRPr="00216EA2" w:rsidRDefault="00E21265" w:rsidP="00D2686C">
      <w:pPr>
        <w:pStyle w:val="B2"/>
        <w:rPr>
          <w:lang w:eastAsia="zh-CN"/>
        </w:rPr>
      </w:pPr>
      <w:r>
        <w:rPr>
          <w:lang w:eastAsia="zh-CN"/>
        </w:rPr>
        <w:t>where</w:t>
      </w:r>
    </w:p>
    <w:p w14:paraId="7455505A" w14:textId="56B921E3" w:rsidR="00E21265" w:rsidRDefault="00E21265" w:rsidP="00D2686C">
      <w:pPr>
        <w:pStyle w:val="B3"/>
      </w:pPr>
      <w:r>
        <w:t>-</w:t>
      </w:r>
      <w:r>
        <w:tab/>
      </w:r>
      <m:oMath>
        <m:sSub>
          <m:sSubPr>
            <m:ctrlPr>
              <w:rPr>
                <w:rFonts w:ascii="Cambria Math" w:hAnsi="Cambria Math"/>
                <w:i/>
              </w:rPr>
            </m:ctrlPr>
          </m:sSubPr>
          <m:e>
            <m:r>
              <w:rPr>
                <w:rFonts w:ascii="Cambria Math"/>
              </w:rPr>
              <m:t>P</m:t>
            </m:r>
          </m:e>
          <m:sub>
            <m:r>
              <m:rPr>
                <m:nor/>
              </m:rPr>
              <w:rPr>
                <w:rFonts w:ascii="Cambria Math"/>
              </w:rPr>
              <m:t>O</m:t>
            </m:r>
            <m:r>
              <w:rPr>
                <w:rFonts w:ascii="Cambria Math"/>
              </w:rPr>
              <m:t>,SL</m:t>
            </m:r>
            <m:ctrlPr>
              <w:rPr>
                <w:rFonts w:ascii="Cambria Math" w:hAnsi="Cambria Math"/>
              </w:rPr>
            </m:ctrlPr>
          </m:sub>
        </m:sSub>
      </m:oMath>
      <w:r w:rsidRPr="0068348F">
        <w:t xml:space="preserve"> </w:t>
      </w:r>
      <w:r>
        <w:t xml:space="preserve">is a value of </w:t>
      </w:r>
      <w:r w:rsidR="00506430">
        <w:rPr>
          <w:i/>
          <w:iCs/>
          <w:lang w:val="en-US"/>
        </w:rPr>
        <w:t>sl-</w:t>
      </w:r>
      <w:r w:rsidR="00506430">
        <w:rPr>
          <w:i/>
          <w:iCs/>
          <w:color w:val="000000"/>
          <w:lang w:val="en-US"/>
        </w:rPr>
        <w:t>P</w:t>
      </w:r>
      <w:r w:rsidR="00506430" w:rsidRPr="0068348F">
        <w:rPr>
          <w:i/>
          <w:iCs/>
          <w:color w:val="000000"/>
          <w:lang w:val="en-US"/>
        </w:rPr>
        <w:t>0-PS</w:t>
      </w:r>
      <w:r w:rsidR="00506430">
        <w:rPr>
          <w:i/>
          <w:iCs/>
          <w:color w:val="000000"/>
          <w:lang w:val="en-US"/>
        </w:rPr>
        <w:t>S</w:t>
      </w:r>
      <w:r w:rsidR="00506430" w:rsidRPr="0068348F">
        <w:rPr>
          <w:i/>
          <w:iCs/>
          <w:color w:val="000000"/>
          <w:lang w:val="en-US"/>
        </w:rPr>
        <w:t>CH</w:t>
      </w:r>
      <w:r w:rsidR="00506430">
        <w:rPr>
          <w:i/>
          <w:iCs/>
          <w:color w:val="000000"/>
          <w:lang w:val="en-US"/>
        </w:rPr>
        <w:t>-</w:t>
      </w:r>
      <w:r w:rsidR="00506430" w:rsidRPr="0068348F">
        <w:rPr>
          <w:i/>
          <w:iCs/>
          <w:color w:val="000000"/>
          <w:lang w:val="en-US"/>
        </w:rPr>
        <w:t>PS</w:t>
      </w:r>
      <w:r w:rsidR="00506430">
        <w:rPr>
          <w:i/>
          <w:iCs/>
          <w:color w:val="000000"/>
          <w:lang w:val="en-US"/>
        </w:rPr>
        <w:t>C</w:t>
      </w:r>
      <w:r w:rsidR="00506430" w:rsidRPr="0068348F">
        <w:rPr>
          <w:i/>
          <w:iCs/>
          <w:color w:val="000000"/>
          <w:lang w:val="en-US"/>
        </w:rPr>
        <w:t>CH</w:t>
      </w:r>
      <w:r w:rsidR="007C33DD">
        <w:rPr>
          <w:rFonts w:eastAsia="Malgun Gothic"/>
          <w:i/>
          <w:iCs/>
          <w:color w:val="000000"/>
        </w:rPr>
        <w:t>-r17</w:t>
      </w:r>
      <w:r>
        <w:rPr>
          <w:iCs/>
          <w:color w:val="000000"/>
          <w:lang w:val="en-US"/>
        </w:rPr>
        <w:t xml:space="preserve">, if </w:t>
      </w:r>
      <w:r w:rsidR="007C33DD">
        <w:rPr>
          <w:rFonts w:eastAsia="Malgun Gothic"/>
        </w:rPr>
        <w:t>using the parameter is supported by the UE and the parameter is</w:t>
      </w:r>
      <w:r w:rsidR="007C33DD" w:rsidRPr="00EC6858">
        <w:rPr>
          <w:iCs/>
          <w:color w:val="000000"/>
          <w:lang w:val="en-US"/>
        </w:rPr>
        <w:t xml:space="preserve"> </w:t>
      </w:r>
      <w:r>
        <w:rPr>
          <w:iCs/>
          <w:color w:val="000000"/>
          <w:lang w:val="en-US"/>
        </w:rPr>
        <w:t>provided</w:t>
      </w:r>
      <w:r w:rsidR="007C33DD">
        <w:rPr>
          <w:rFonts w:eastAsia="Malgun Gothic"/>
          <w:iCs/>
          <w:color w:val="000000"/>
        </w:rPr>
        <w:t xml:space="preserve">; </w:t>
      </w:r>
      <w:r w:rsidR="007C33DD">
        <w:rPr>
          <w:rFonts w:eastAsia="Malgun Gothic"/>
        </w:rPr>
        <w:t xml:space="preserve">else </w:t>
      </w:r>
      <w:r w:rsidR="007C33DD" w:rsidRPr="00C05E7D">
        <w:rPr>
          <w:rFonts w:eastAsia="Malgun Gothic"/>
          <w:i/>
          <w:iCs/>
        </w:rPr>
        <w:t>sl-</w:t>
      </w:r>
      <w:r w:rsidR="007C33DD" w:rsidRPr="00C05E7D">
        <w:rPr>
          <w:rFonts w:eastAsia="Malgun Gothic"/>
          <w:i/>
          <w:iCs/>
          <w:color w:val="000000"/>
        </w:rPr>
        <w:t>P0-PSSCH-PSCCH</w:t>
      </w:r>
      <w:r w:rsidR="007C33DD">
        <w:rPr>
          <w:rFonts w:eastAsia="Malgun Gothic"/>
          <w:i/>
          <w:iCs/>
          <w:color w:val="000000"/>
        </w:rPr>
        <w:t>-r16</w:t>
      </w:r>
      <w:r w:rsidR="007C33DD" w:rsidRPr="00B218B3">
        <w:rPr>
          <w:rFonts w:eastAsia="Malgun Gothic"/>
          <w:iCs/>
          <w:color w:val="000000"/>
        </w:rPr>
        <w:t xml:space="preserve"> </w:t>
      </w:r>
      <w:r w:rsidR="007C33DD">
        <w:rPr>
          <w:rFonts w:eastAsia="Malgun Gothic"/>
          <w:iCs/>
          <w:color w:val="000000"/>
        </w:rPr>
        <w:t>if</w:t>
      </w:r>
      <w:r w:rsidR="007C33DD" w:rsidRPr="00B218B3">
        <w:rPr>
          <w:rFonts w:eastAsia="Malgun Gothic"/>
          <w:iCs/>
          <w:color w:val="000000"/>
        </w:rPr>
        <w:t xml:space="preserve"> provided</w:t>
      </w:r>
      <w:r w:rsidRPr="0068348F">
        <w:t xml:space="preserve"> </w:t>
      </w:r>
    </w:p>
    <w:p w14:paraId="07F8846F" w14:textId="3B4E191A" w:rsidR="00E21265" w:rsidRPr="00DA2EAA" w:rsidRDefault="00E21265" w:rsidP="00D2686C">
      <w:pPr>
        <w:pStyle w:val="B3"/>
      </w:pPr>
      <w:r>
        <w:t>-</w:t>
      </w:r>
      <w:r>
        <w:tab/>
      </w:r>
      <m:oMath>
        <m:sSub>
          <m:sSubPr>
            <m:ctrlPr>
              <w:rPr>
                <w:rFonts w:ascii="Cambria Math" w:hAnsi="Cambria Math"/>
                <w:i/>
              </w:rPr>
            </m:ctrlPr>
          </m:sSubPr>
          <m:e>
            <m:r>
              <w:rPr>
                <w:rFonts w:ascii="Cambria Math"/>
              </w:rPr>
              <m:t>α</m:t>
            </m:r>
          </m:e>
          <m:sub>
            <m:r>
              <w:rPr>
                <w:rFonts w:ascii="Cambria Math"/>
              </w:rPr>
              <m:t>SL</m:t>
            </m:r>
          </m:sub>
        </m:sSub>
      </m:oMath>
      <w:r w:rsidRPr="0068348F">
        <w:t xml:space="preserve"> </w:t>
      </w:r>
      <w:r>
        <w:t xml:space="preserve">is a value of </w:t>
      </w:r>
      <w:r w:rsidR="00506430">
        <w:rPr>
          <w:i/>
          <w:iCs/>
          <w:lang w:val="en-US"/>
        </w:rPr>
        <w:t>sl-</w:t>
      </w:r>
      <w:r w:rsidR="00506430">
        <w:rPr>
          <w:i/>
          <w:iCs/>
          <w:color w:val="000000"/>
          <w:lang w:val="en-US"/>
        </w:rPr>
        <w:t>Alpha</w:t>
      </w:r>
      <w:r w:rsidR="00506430" w:rsidRPr="0068348F">
        <w:rPr>
          <w:i/>
          <w:iCs/>
          <w:color w:val="000000"/>
          <w:lang w:val="en-US"/>
        </w:rPr>
        <w:t>-PS</w:t>
      </w:r>
      <w:r w:rsidR="00506430">
        <w:rPr>
          <w:i/>
          <w:iCs/>
          <w:color w:val="000000"/>
          <w:lang w:val="en-US"/>
        </w:rPr>
        <w:t>S</w:t>
      </w:r>
      <w:r w:rsidR="00506430" w:rsidRPr="0068348F">
        <w:rPr>
          <w:i/>
          <w:iCs/>
          <w:color w:val="000000"/>
          <w:lang w:val="en-US"/>
        </w:rPr>
        <w:t>CH</w:t>
      </w:r>
      <w:r w:rsidR="00506430">
        <w:rPr>
          <w:i/>
          <w:iCs/>
          <w:color w:val="000000"/>
          <w:lang w:val="en-US"/>
        </w:rPr>
        <w:t>-</w:t>
      </w:r>
      <w:r w:rsidR="00506430" w:rsidRPr="0068348F">
        <w:rPr>
          <w:i/>
          <w:iCs/>
          <w:color w:val="000000"/>
          <w:lang w:val="en-US"/>
        </w:rPr>
        <w:t>PS</w:t>
      </w:r>
      <w:r w:rsidR="00506430">
        <w:rPr>
          <w:i/>
          <w:iCs/>
          <w:color w:val="000000"/>
          <w:lang w:val="en-US"/>
        </w:rPr>
        <w:t>C</w:t>
      </w:r>
      <w:r w:rsidR="00506430" w:rsidRPr="0068348F">
        <w:rPr>
          <w:i/>
          <w:iCs/>
          <w:color w:val="000000"/>
          <w:lang w:val="en-US"/>
        </w:rPr>
        <w:t>CH</w:t>
      </w:r>
      <w:r>
        <w:rPr>
          <w:iCs/>
          <w:color w:val="000000"/>
          <w:lang w:val="en-US"/>
        </w:rPr>
        <w:t xml:space="preserve">, if </w:t>
      </w:r>
      <w:r>
        <w:t xml:space="preserve">provided; else, </w:t>
      </w:r>
      <m:oMath>
        <m:sSub>
          <m:sSubPr>
            <m:ctrlPr>
              <w:rPr>
                <w:rFonts w:ascii="Cambria Math" w:hAnsi="Cambria Math"/>
                <w:i/>
              </w:rPr>
            </m:ctrlPr>
          </m:sSubPr>
          <m:e>
            <m:r>
              <w:rPr>
                <w:rFonts w:ascii="Cambria Math"/>
              </w:rPr>
              <m:t>α</m:t>
            </m:r>
          </m:e>
          <m:sub>
            <m:r>
              <w:rPr>
                <w:rFonts w:ascii="Cambria Math"/>
              </w:rPr>
              <m:t>SL</m:t>
            </m:r>
          </m:sub>
        </m:sSub>
        <m:r>
          <w:rPr>
            <w:rFonts w:ascii="Cambria Math" w:hAnsi="Cambria Math"/>
          </w:rPr>
          <m:t>=1</m:t>
        </m:r>
      </m:oMath>
    </w:p>
    <w:p w14:paraId="63FD53FD" w14:textId="77777777" w:rsidR="00E21265" w:rsidRDefault="00E21265" w:rsidP="00D2686C">
      <w:pPr>
        <w:pStyle w:val="B3"/>
        <w:rPr>
          <w:rFonts w:eastAsia="MS Mincho"/>
        </w:rPr>
      </w:pPr>
      <w:r>
        <w:t>-</w:t>
      </w:r>
      <w:r>
        <w:tab/>
      </w:r>
      <m:oMath>
        <m:r>
          <w:rPr>
            <w:rFonts w:ascii="Cambria Math" w:hAnsi="Cambria Math"/>
          </w:rPr>
          <m:t>P</m:t>
        </m:r>
        <m:sSub>
          <m:sSubPr>
            <m:ctrlPr>
              <w:rPr>
                <w:rFonts w:ascii="Cambria Math" w:hAnsi="Cambria Math"/>
                <w:i/>
              </w:rPr>
            </m:ctrlPr>
          </m:sSubPr>
          <m:e>
            <m:r>
              <w:rPr>
                <w:rFonts w:ascii="Cambria Math" w:hAnsi="Cambria Math"/>
              </w:rPr>
              <m:t>L</m:t>
            </m:r>
          </m:e>
          <m:sub>
            <m:r>
              <w:rPr>
                <w:rFonts w:ascii="Cambria Math" w:hAnsi="Cambria Math"/>
              </w:rPr>
              <m:t>SL</m:t>
            </m:r>
          </m:sub>
        </m:sSub>
        <m:r>
          <w:rPr>
            <w:rFonts w:ascii="Cambria Math" w:hAnsi="Cambria Math"/>
          </w:rPr>
          <m:t xml:space="preserve">= </m:t>
        </m:r>
        <m:r>
          <w:rPr>
            <w:rFonts w:ascii="Cambria Math" w:eastAsia="MS Mincho" w:hAnsi="Cambria Math"/>
          </w:rPr>
          <m:t>referenceSignalPower</m:t>
        </m:r>
        <m:r>
          <m:rPr>
            <m:sty m:val="p"/>
          </m:rPr>
          <w:rPr>
            <w:rFonts w:ascii="Cambria Math" w:eastAsia="MS Mincho" w:hAnsi="Cambria Math"/>
          </w:rPr>
          <m:t xml:space="preserve"> – </m:t>
        </m:r>
        <m:r>
          <w:rPr>
            <w:rFonts w:ascii="Cambria Math" w:eastAsia="MS Mincho" w:hAnsi="Cambria Math"/>
          </w:rPr>
          <m:t>higher layer filtered RSRP</m:t>
        </m:r>
      </m:oMath>
      <w:r w:rsidRPr="00B916EC">
        <w:rPr>
          <w:rFonts w:eastAsia="MS Mincho"/>
        </w:rPr>
        <w:t>, where</w:t>
      </w:r>
    </w:p>
    <w:p w14:paraId="088BFD8F" w14:textId="5F98CCA5" w:rsidR="00E21265" w:rsidRDefault="00E21265" w:rsidP="00D2686C">
      <w:pPr>
        <w:pStyle w:val="B4"/>
        <w:rPr>
          <w:rFonts w:eastAsia="MS Mincho"/>
          <w:lang w:val="en-US"/>
        </w:rPr>
      </w:pPr>
      <w:r>
        <w:lastRenderedPageBreak/>
        <w:t>-</w:t>
      </w:r>
      <w:r>
        <w:tab/>
      </w:r>
      <m:oMath>
        <m:r>
          <w:rPr>
            <w:rFonts w:ascii="Cambria Math" w:eastAsia="MS Mincho" w:hAnsi="Cambria Math"/>
          </w:rPr>
          <m:t>referenceSignalPower</m:t>
        </m:r>
      </m:oMath>
      <w:r>
        <w:rPr>
          <w:rFonts w:eastAsia="MS Mincho"/>
          <w:lang w:val="en-US"/>
        </w:rPr>
        <w:t xml:space="preserve"> is </w:t>
      </w:r>
      <w:r w:rsidR="006A00C3" w:rsidRPr="00B43268">
        <w:t xml:space="preserve">obtained from </w:t>
      </w:r>
      <w:r w:rsidR="006A00C3">
        <w:t xml:space="preserve">a </w:t>
      </w:r>
      <w:r w:rsidR="006A00C3" w:rsidRPr="00B43268">
        <w:t xml:space="preserve">PSSCH transmit power per RE </w:t>
      </w:r>
      <w:r w:rsidR="00CD415F">
        <w:t>summed over the</w:t>
      </w:r>
      <w:r w:rsidR="006A00C3" w:rsidRPr="00B43268">
        <w:t xml:space="preserve"> antenna port</w:t>
      </w:r>
      <w:r w:rsidR="00CD415F">
        <w:t>s</w:t>
      </w:r>
      <w:r w:rsidR="006A00C3" w:rsidRPr="00B43268">
        <w:t xml:space="preserve"> of the UE</w:t>
      </w:r>
      <w:r w:rsidR="006A00C3">
        <w:t>,</w:t>
      </w:r>
      <w:r w:rsidR="006A00C3" w:rsidRPr="00B43268">
        <w:t xml:space="preserve"> </w:t>
      </w:r>
      <w:r w:rsidR="006A00C3">
        <w:t xml:space="preserve">higher layer </w:t>
      </w:r>
      <w:r w:rsidR="006A00C3" w:rsidRPr="00B43268">
        <w:t xml:space="preserve">filtered across PSSCH transmission occasions using a filter configuration provided by </w:t>
      </w:r>
      <w:r w:rsidR="00B768AD" w:rsidRPr="00045999">
        <w:rPr>
          <w:i/>
          <w:iCs/>
        </w:rPr>
        <w:t>sl-</w:t>
      </w:r>
      <w:r w:rsidR="00B768AD">
        <w:rPr>
          <w:i/>
        </w:rPr>
        <w:t>F</w:t>
      </w:r>
      <w:r w:rsidR="00B768AD" w:rsidRPr="00045999">
        <w:rPr>
          <w:i/>
        </w:rPr>
        <w:t>ilterCoefficient</w:t>
      </w:r>
      <w:r>
        <w:rPr>
          <w:rFonts w:eastAsia="MS Mincho"/>
          <w:lang w:val="en-US"/>
        </w:rPr>
        <w:t>, and</w:t>
      </w:r>
    </w:p>
    <w:p w14:paraId="7D8B18F5" w14:textId="60B77CFC" w:rsidR="00E21265" w:rsidRPr="00F70C39" w:rsidRDefault="00E21265" w:rsidP="00D2686C">
      <w:pPr>
        <w:pStyle w:val="B4"/>
        <w:rPr>
          <w:rFonts w:eastAsia="MS Mincho"/>
          <w:lang w:val="en-US"/>
        </w:rPr>
      </w:pPr>
      <w:r>
        <w:t>-</w:t>
      </w:r>
      <w:r>
        <w:tab/>
      </w:r>
      <m:oMath>
        <m:r>
          <w:rPr>
            <w:rFonts w:ascii="Cambria Math" w:eastAsia="MS Mincho" w:hAnsi="Cambria Math"/>
          </w:rPr>
          <m:t>higher</m:t>
        </m:r>
        <m:r>
          <m:rPr>
            <m:sty m:val="p"/>
          </m:rPr>
          <w:rPr>
            <w:rFonts w:ascii="Cambria Math" w:eastAsia="MS Mincho" w:hAnsi="Cambria Math"/>
          </w:rPr>
          <m:t xml:space="preserve"> </m:t>
        </m:r>
        <m:r>
          <w:rPr>
            <w:rFonts w:ascii="Cambria Math" w:eastAsia="MS Mincho" w:hAnsi="Cambria Math"/>
          </w:rPr>
          <m:t>layer</m:t>
        </m:r>
        <m:r>
          <m:rPr>
            <m:sty m:val="p"/>
          </m:rPr>
          <w:rPr>
            <w:rFonts w:ascii="Cambria Math" w:eastAsia="MS Mincho" w:hAnsi="Cambria Math"/>
          </w:rPr>
          <m:t xml:space="preserve"> </m:t>
        </m:r>
        <m:r>
          <w:rPr>
            <w:rFonts w:ascii="Cambria Math" w:eastAsia="MS Mincho" w:hAnsi="Cambria Math"/>
          </w:rPr>
          <m:t>filtered</m:t>
        </m:r>
        <m:r>
          <m:rPr>
            <m:sty m:val="p"/>
          </m:rPr>
          <w:rPr>
            <w:rFonts w:ascii="Cambria Math" w:eastAsia="MS Mincho" w:hAnsi="Cambria Math"/>
          </w:rPr>
          <m:t xml:space="preserve"> </m:t>
        </m:r>
        <m:r>
          <w:rPr>
            <w:rFonts w:ascii="Cambria Math" w:eastAsia="MS Mincho" w:hAnsi="Cambria Math"/>
          </w:rPr>
          <m:t>RSRP</m:t>
        </m:r>
      </m:oMath>
      <w:r>
        <w:rPr>
          <w:rFonts w:eastAsia="MS Mincho"/>
          <w:iCs/>
          <w:lang w:val="en-US"/>
        </w:rPr>
        <w:t xml:space="preserve"> is a </w:t>
      </w:r>
      <w:r w:rsidRPr="00B916EC">
        <w:rPr>
          <w:rFonts w:eastAsia="MS Mincho"/>
        </w:rPr>
        <w:t>RSRP</w:t>
      </w:r>
      <w:r>
        <w:rPr>
          <w:rFonts w:eastAsia="MS Mincho"/>
        </w:rPr>
        <w:t>,</w:t>
      </w:r>
      <w:r w:rsidRPr="00B916EC">
        <w:rPr>
          <w:rFonts w:eastAsia="MS Mincho"/>
        </w:rPr>
        <w:t xml:space="preserve"> </w:t>
      </w:r>
      <w:r>
        <w:rPr>
          <w:rFonts w:eastAsia="MS Mincho"/>
        </w:rPr>
        <w:t>as</w:t>
      </w:r>
      <w:r w:rsidRPr="00B916EC">
        <w:rPr>
          <w:rFonts w:eastAsia="MS Mincho"/>
        </w:rPr>
        <w:t xml:space="preserve"> defined in </w:t>
      </w:r>
      <w:r w:rsidRPr="00B916EC">
        <w:t>[</w:t>
      </w:r>
      <w:r w:rsidRPr="00B916EC">
        <w:rPr>
          <w:lang w:val="en-US"/>
        </w:rPr>
        <w:t>7</w:t>
      </w:r>
      <w:r w:rsidRPr="00B916EC">
        <w:t>, TS 38.21</w:t>
      </w:r>
      <w:r w:rsidRPr="00B916EC">
        <w:rPr>
          <w:lang w:val="en-US"/>
        </w:rPr>
        <w:t>5</w:t>
      </w:r>
      <w:r w:rsidRPr="00B916EC">
        <w:t>]</w:t>
      </w:r>
      <w:r>
        <w:t>, that is</w:t>
      </w:r>
      <w:r w:rsidRPr="00B916EC">
        <w:rPr>
          <w:rFonts w:eastAsia="MS Mincho"/>
        </w:rPr>
        <w:t xml:space="preserve"> </w:t>
      </w:r>
      <w:r>
        <w:rPr>
          <w:rFonts w:eastAsia="MS Mincho"/>
          <w:iCs/>
          <w:lang w:val="en-US"/>
        </w:rPr>
        <w:t xml:space="preserve">reported to the UE from a UE receiving the PSCCH-PSSCH transmission and is obtained from a PSSCH DM-RS using a filter configuration provided by </w:t>
      </w:r>
      <w:r w:rsidR="00B768AD" w:rsidRPr="00045999">
        <w:rPr>
          <w:i/>
          <w:iCs/>
        </w:rPr>
        <w:t>sl-</w:t>
      </w:r>
      <w:r w:rsidR="00B768AD">
        <w:rPr>
          <w:i/>
        </w:rPr>
        <w:t>F</w:t>
      </w:r>
      <w:r w:rsidR="00B768AD" w:rsidRPr="00045999">
        <w:rPr>
          <w:i/>
        </w:rPr>
        <w:t>ilterCoefficient</w:t>
      </w:r>
    </w:p>
    <w:p w14:paraId="5C49702E" w14:textId="7B742806" w:rsidR="00E21265" w:rsidRDefault="00E21265" w:rsidP="00D2686C">
      <w:pPr>
        <w:pStyle w:val="B3"/>
        <w:rPr>
          <w:lang w:val="en-US"/>
        </w:rPr>
      </w:pPr>
      <w:r w:rsidRPr="0068348F">
        <w:t>-</w:t>
      </w:r>
      <w:r w:rsidRPr="0068348F">
        <w:tab/>
      </w:r>
      <m:oMath>
        <m:sSubSup>
          <m:sSubSupPr>
            <m:ctrlPr>
              <w:rPr>
                <w:rFonts w:ascii="Cambria Math" w:hAnsi="Cambria Math"/>
                <w:i/>
              </w:rPr>
            </m:ctrlPr>
          </m:sSubSupPr>
          <m:e>
            <m:r>
              <w:rPr>
                <w:rFonts w:ascii="Cambria Math"/>
              </w:rPr>
              <m:t>M</m:t>
            </m:r>
          </m:e>
          <m:sub>
            <m:r>
              <m:rPr>
                <m:nor/>
              </m:rPr>
              <w:rPr>
                <w:rFonts w:ascii="Cambria Math"/>
              </w:rPr>
              <m:t>RB</m:t>
            </m:r>
            <m:ctrlPr>
              <w:rPr>
                <w:rFonts w:ascii="Cambria Math" w:hAnsi="Cambria Math"/>
              </w:rPr>
            </m:ctrlPr>
          </m:sub>
          <m:sup>
            <m:r>
              <m:rPr>
                <m:nor/>
              </m:rPr>
              <w:rPr>
                <w:rFonts w:ascii="Cambria Math"/>
              </w:rPr>
              <m:t>PSSCH</m:t>
            </m:r>
            <m:ctrlPr>
              <w:rPr>
                <w:rFonts w:ascii="Cambria Math" w:hAnsi="Cambria Math"/>
              </w:rPr>
            </m:ctrlPr>
          </m:sup>
        </m:sSubSup>
        <m:r>
          <w:rPr>
            <w:rFonts w:ascii="Cambria Math"/>
          </w:rPr>
          <m:t>(i)</m:t>
        </m:r>
      </m:oMath>
      <w:r w:rsidRPr="00D252D5">
        <w:rPr>
          <w:rFonts w:eastAsia="Malgun Gothic"/>
          <w:lang w:val="en-US"/>
        </w:rPr>
        <w:t xml:space="preserve"> is a number of </w:t>
      </w:r>
      <w:r w:rsidRPr="00D252D5">
        <w:t>resource blocks for PSCCH-</w:t>
      </w:r>
      <w:r w:rsidRPr="00D252D5">
        <w:rPr>
          <w:lang w:val="en-US"/>
        </w:rPr>
        <w:t>PSSCH transmission occasion</w:t>
      </w:r>
      <w:r w:rsidRPr="00D252D5">
        <w:t xml:space="preserve"> </w:t>
      </w:r>
      <m:oMath>
        <m:r>
          <w:rPr>
            <w:rFonts w:ascii="Cambria Math"/>
          </w:rPr>
          <m:t>i</m:t>
        </m:r>
      </m:oMath>
      <w:r w:rsidRPr="00D252D5">
        <w:rPr>
          <w:lang w:val="en-US"/>
        </w:rPr>
        <w:t xml:space="preserve"> and </w:t>
      </w:r>
      <m:oMath>
        <m:r>
          <w:rPr>
            <w:rFonts w:ascii="Cambria Math"/>
          </w:rPr>
          <m:t>μ</m:t>
        </m:r>
      </m:oMath>
      <w:r w:rsidRPr="00D252D5">
        <w:rPr>
          <w:lang w:val="en-US"/>
        </w:rPr>
        <w:t xml:space="preserve"> is a SCS configuration </w:t>
      </w:r>
    </w:p>
    <w:p w14:paraId="20FC3996" w14:textId="77777777" w:rsidR="006A00C3" w:rsidRPr="003D7FD7" w:rsidRDefault="006A00C3" w:rsidP="006A00C3">
      <w:pPr>
        <w:rPr>
          <w:rFonts w:eastAsia="Malgun Gothic"/>
        </w:rPr>
      </w:pPr>
      <w:r w:rsidRPr="003D7FD7">
        <w:t xml:space="preserve">The UE splits the power </w:t>
      </w:r>
      <m:oMath>
        <m:sSub>
          <m:sSubPr>
            <m:ctrlPr>
              <w:rPr>
                <w:rFonts w:ascii="Cambria Math" w:eastAsia="Malgun Gothic" w:hAnsi="Cambria Math"/>
                <w:noProof/>
              </w:rPr>
            </m:ctrlPr>
          </m:sSubPr>
          <m:e>
            <m:r>
              <w:rPr>
                <w:rFonts w:ascii="Cambria Math" w:eastAsia="Malgun Gothic" w:hAnsi="Cambria Math"/>
                <w:noProof/>
              </w:rPr>
              <m:t>P</m:t>
            </m:r>
          </m:e>
          <m:sub>
            <m:r>
              <m:rPr>
                <m:nor/>
              </m:rPr>
              <w:rPr>
                <w:rFonts w:eastAsia="Malgun Gothic"/>
                <w:noProof/>
              </w:rPr>
              <m:t>PSSCH</m:t>
            </m:r>
          </m:sub>
        </m:sSub>
        <m:r>
          <m:rPr>
            <m:sty m:val="p"/>
          </m:rPr>
          <w:rPr>
            <w:rFonts w:ascii="Cambria Math" w:eastAsia="Malgun Gothic" w:hAnsi="Cambria Math"/>
            <w:noProof/>
          </w:rPr>
          <m:t>(</m:t>
        </m:r>
        <m:r>
          <w:rPr>
            <w:rFonts w:ascii="Cambria Math" w:eastAsia="Malgun Gothic" w:hAnsi="Cambria Math"/>
            <w:noProof/>
          </w:rPr>
          <m:t>i</m:t>
        </m:r>
        <m:r>
          <m:rPr>
            <m:sty m:val="p"/>
          </m:rPr>
          <w:rPr>
            <w:rFonts w:ascii="Cambria Math" w:eastAsia="Malgun Gothic" w:hAnsi="Cambria Math"/>
            <w:noProof/>
          </w:rPr>
          <m:t>)</m:t>
        </m:r>
      </m:oMath>
      <w:r w:rsidRPr="003D7FD7">
        <w:rPr>
          <w:lang w:eastAsia="ko-KR"/>
        </w:rPr>
        <w:t xml:space="preserve"> </w:t>
      </w:r>
      <w:r w:rsidRPr="003D7FD7">
        <w:t>equally across the antenna ports on which the UE transmits the PSSCH with non-zero power.</w:t>
      </w:r>
    </w:p>
    <w:p w14:paraId="0739EFEF" w14:textId="34CFDA01" w:rsidR="006A00C3" w:rsidRPr="003D7FD7" w:rsidRDefault="006A00C3" w:rsidP="006A00C3">
      <w:r w:rsidRPr="003D7FD7">
        <w:rPr>
          <w:rFonts w:eastAsia="Malgun Gothic"/>
        </w:rPr>
        <w:t xml:space="preserve">A UE determines a power </w:t>
      </w:r>
      <m:oMath>
        <m:sSub>
          <m:sSubPr>
            <m:ctrlPr>
              <w:rPr>
                <w:rFonts w:ascii="Cambria Math" w:eastAsia="Malgun Gothic" w:hAnsi="Cambria Math"/>
                <w:i/>
                <w:iCs/>
              </w:rPr>
            </m:ctrlPr>
          </m:sSubPr>
          <m:e>
            <m:r>
              <w:rPr>
                <w:rFonts w:ascii="Cambria Math" w:eastAsia="Malgun Gothic" w:hAnsi="Cambria Math"/>
              </w:rPr>
              <m:t>P</m:t>
            </m:r>
          </m:e>
          <m:sub>
            <m:r>
              <m:rPr>
                <m:nor/>
              </m:rPr>
              <w:rPr>
                <w:rFonts w:eastAsia="Malgun Gothic"/>
                <w:iCs/>
              </w:rPr>
              <m:t>PSSCH2</m:t>
            </m:r>
            <m:ctrlPr>
              <w:rPr>
                <w:rFonts w:ascii="Cambria Math" w:eastAsia="Malgun Gothic" w:hAnsi="Cambria Math"/>
                <w:iCs/>
              </w:rPr>
            </m:ctrlPr>
          </m:sub>
        </m:sSub>
        <m:r>
          <w:rPr>
            <w:rFonts w:ascii="Cambria Math" w:eastAsia="Malgun Gothic" w:hAnsi="Cambria Math"/>
          </w:rPr>
          <m:t>(i)</m:t>
        </m:r>
      </m:oMath>
      <w:r w:rsidRPr="003D7FD7">
        <w:rPr>
          <w:rFonts w:eastAsia="Malgun Gothic"/>
          <w:iCs/>
        </w:rPr>
        <w:t xml:space="preserve"> </w:t>
      </w:r>
      <w:r w:rsidRPr="003D7FD7">
        <w:rPr>
          <w:rFonts w:eastAsia="Malgun Gothic"/>
        </w:rPr>
        <w:t>for a PSSCH transmission on a resource pool</w:t>
      </w:r>
      <w:r w:rsidRPr="003D7FD7">
        <w:rPr>
          <w:rFonts w:eastAsia="Malgun Gothic"/>
          <w:iCs/>
        </w:rPr>
        <w:t xml:space="preserve"> </w:t>
      </w:r>
      <w:r w:rsidRPr="003D7FD7">
        <w:rPr>
          <w:rFonts w:eastAsia="Malgun Gothic"/>
        </w:rPr>
        <w:t xml:space="preserve">in </w:t>
      </w:r>
      <w:r>
        <w:rPr>
          <w:rFonts w:eastAsia="Malgun Gothic"/>
          <w:lang w:eastAsia="ko-KR"/>
        </w:rPr>
        <w:t>the symbols where a</w:t>
      </w:r>
      <w:r w:rsidRPr="003D7FD7">
        <w:rPr>
          <w:rFonts w:eastAsia="Malgun Gothic"/>
          <w:lang w:eastAsia="ko-KR"/>
        </w:rPr>
        <w:t xml:space="preserve"> corresponding PSCCH is transmitted in PSCCH-</w:t>
      </w:r>
      <w:r w:rsidRPr="003D7FD7">
        <w:rPr>
          <w:rFonts w:eastAsia="Malgun Gothic"/>
        </w:rPr>
        <w:t xml:space="preserve">PSSCH transmission occasion </w:t>
      </w:r>
      <m:oMath>
        <m:r>
          <w:rPr>
            <w:rFonts w:ascii="Cambria Math" w:eastAsia="Malgun Gothic" w:hAnsi="Cambria Math"/>
          </w:rPr>
          <m:t>i</m:t>
        </m:r>
      </m:oMath>
      <w:r w:rsidRPr="003D7FD7">
        <w:rPr>
          <w:rFonts w:eastAsia="Malgun Gothic"/>
          <w:iCs/>
        </w:rPr>
        <w:t xml:space="preserve"> </w:t>
      </w:r>
      <w:r w:rsidR="00B51B2F">
        <w:rPr>
          <w:szCs w:val="18"/>
        </w:rPr>
        <w:t xml:space="preserve">on active SL BWP </w:t>
      </w:r>
      <m:oMath>
        <m:r>
          <w:rPr>
            <w:rFonts w:ascii="Cambria Math" w:hAnsi="Cambria Math"/>
            <w:szCs w:val="18"/>
          </w:rPr>
          <m:t>b</m:t>
        </m:r>
      </m:oMath>
      <w:r w:rsidR="00B51B2F">
        <w:rPr>
          <w:szCs w:val="18"/>
        </w:rPr>
        <w:t xml:space="preserve"> of carrier </w:t>
      </w:r>
      <m:oMath>
        <m:r>
          <w:rPr>
            <w:rFonts w:ascii="Cambria Math" w:hAnsi="Cambria Math"/>
            <w:szCs w:val="18"/>
          </w:rPr>
          <m:t>f</m:t>
        </m:r>
      </m:oMath>
      <w:r w:rsidR="00B51B2F" w:rsidRPr="00A77FF5">
        <w:rPr>
          <w:i/>
          <w:szCs w:val="18"/>
        </w:rPr>
        <w:t xml:space="preserve"> </w:t>
      </w:r>
      <w:r w:rsidRPr="003D7FD7">
        <w:rPr>
          <w:rFonts w:eastAsia="Malgun Gothic"/>
        </w:rPr>
        <w:t>as</w:t>
      </w:r>
    </w:p>
    <w:p w14:paraId="54B65F64" w14:textId="77777777" w:rsidR="006A00C3" w:rsidRPr="003D7FD7" w:rsidRDefault="00000000" w:rsidP="00393CCA">
      <w:pPr>
        <w:pStyle w:val="EQ"/>
      </w:pPr>
      <m:oMath>
        <m:sSub>
          <m:sSubPr>
            <m:ctrlPr>
              <w:rPr>
                <w:rFonts w:ascii="Cambria Math" w:eastAsia="Malgun Gothic" w:hAnsi="Cambria Math"/>
              </w:rPr>
            </m:ctrlPr>
          </m:sSubPr>
          <m:e>
            <m:r>
              <w:rPr>
                <w:rFonts w:ascii="Cambria Math" w:hAnsi="Cambria Math"/>
              </w:rPr>
              <m:t>P</m:t>
            </m:r>
          </m:e>
          <m:sub>
            <m:r>
              <m:rPr>
                <m:sty m:val="p"/>
              </m:rPr>
              <w:rPr>
                <w:rFonts w:ascii="Cambria Math" w:hAnsi="Cambria Math"/>
              </w:rPr>
              <m:t>PSSCH2</m:t>
            </m:r>
          </m:sub>
        </m:sSub>
        <m:r>
          <m:rPr>
            <m:sty m:val="p"/>
          </m:rPr>
          <w:rPr>
            <w:rFonts w:ascii="Cambria Math" w:hAnsi="Cambria Math"/>
          </w:rPr>
          <m:t>(</m:t>
        </m:r>
        <m:r>
          <w:rPr>
            <w:rFonts w:ascii="Cambria Math" w:hAnsi="Cambria Math"/>
          </w:rPr>
          <m:t>i</m:t>
        </m:r>
        <m:r>
          <m:rPr>
            <m:sty m:val="p"/>
          </m:rPr>
          <w:rPr>
            <w:rFonts w:ascii="Cambria Math" w:hAnsi="Cambria Math"/>
          </w:rPr>
          <m:t>)=</m:t>
        </m:r>
        <m:r>
          <m:rPr>
            <m:sty m:val="p"/>
          </m:rPr>
          <w:rPr>
            <w:rFonts w:ascii="Cambria Math" w:hAnsi="Cambria Math"/>
            <w:lang w:val="x-none"/>
          </w:rPr>
          <m:t>10</m:t>
        </m:r>
        <m:func>
          <m:funcPr>
            <m:ctrlPr>
              <w:rPr>
                <w:rFonts w:ascii="Cambria Math" w:eastAsia="Malgun Gothic" w:hAnsi="Cambria Math"/>
              </w:rPr>
            </m:ctrlPr>
          </m:funcPr>
          <m:fName>
            <m:sSub>
              <m:sSubPr>
                <m:ctrlPr>
                  <w:rPr>
                    <w:rFonts w:ascii="Cambria Math" w:eastAsia="Malgun Gothic" w:hAnsi="Cambria Math"/>
                  </w:rPr>
                </m:ctrlPr>
              </m:sSubPr>
              <m:e>
                <m:r>
                  <w:rPr>
                    <w:rFonts w:ascii="Cambria Math" w:hAnsi="Cambria Math"/>
                    <w:lang w:val="x-none"/>
                  </w:rPr>
                  <m:t>log</m:t>
                </m:r>
              </m:e>
              <m:sub>
                <m:r>
                  <m:rPr>
                    <m:sty m:val="p"/>
                  </m:rPr>
                  <w:rPr>
                    <w:rFonts w:ascii="Cambria Math" w:hAnsi="Cambria Math"/>
                    <w:lang w:val="x-none"/>
                  </w:rPr>
                  <m:t>10</m:t>
                </m:r>
              </m:sub>
            </m:sSub>
          </m:fName>
          <m:e>
            <m:d>
              <m:dPr>
                <m:ctrlPr>
                  <w:rPr>
                    <w:rFonts w:ascii="Cambria Math" w:eastAsia="Malgun Gothic" w:hAnsi="Cambria Math"/>
                  </w:rPr>
                </m:ctrlPr>
              </m:dPr>
              <m:e>
                <m:f>
                  <m:fPr>
                    <m:ctrlPr>
                      <w:rPr>
                        <w:rFonts w:ascii="Cambria Math" w:eastAsia="Malgun Gothic" w:hAnsi="Cambria Math"/>
                        <w:i/>
                        <w:iCs/>
                      </w:rPr>
                    </m:ctrlPr>
                  </m:fPr>
                  <m:num>
                    <m:sSubSup>
                      <m:sSubSupPr>
                        <m:ctrlPr>
                          <w:rPr>
                            <w:rFonts w:ascii="Cambria Math" w:eastAsia="Malgun Gothic" w:hAnsi="Cambria Math"/>
                          </w:rPr>
                        </m:ctrlPr>
                      </m:sSubSupPr>
                      <m:e>
                        <m:r>
                          <w:rPr>
                            <w:rFonts w:ascii="Cambria Math" w:hAnsi="Cambria Math"/>
                            <w:lang w:val="x-none"/>
                          </w:rPr>
                          <m:t>M</m:t>
                        </m:r>
                      </m:e>
                      <m:sub>
                        <m:r>
                          <m:rPr>
                            <m:sty m:val="p"/>
                          </m:rPr>
                          <w:rPr>
                            <w:rFonts w:ascii="Cambria Math" w:hAnsi="Cambria Math"/>
                            <w:lang w:val="x-none"/>
                          </w:rPr>
                          <m:t>RB</m:t>
                        </m:r>
                      </m:sub>
                      <m:sup>
                        <m:r>
                          <m:rPr>
                            <m:sty m:val="p"/>
                          </m:rPr>
                          <w:rPr>
                            <w:rFonts w:ascii="Cambria Math" w:hAnsi="Cambria Math"/>
                            <w:lang w:val="x-none"/>
                          </w:rPr>
                          <m:t>PSSCH</m:t>
                        </m:r>
                      </m:sup>
                    </m:sSubSup>
                    <m:d>
                      <m:dPr>
                        <m:ctrlPr>
                          <w:rPr>
                            <w:rFonts w:ascii="Cambria Math" w:eastAsia="Malgun Gothic" w:hAnsi="Cambria Math"/>
                          </w:rPr>
                        </m:ctrlPr>
                      </m:dPr>
                      <m:e>
                        <m:r>
                          <w:rPr>
                            <w:rFonts w:ascii="Cambria Math" w:hAnsi="Cambria Math"/>
                            <w:lang w:val="x-none"/>
                          </w:rPr>
                          <m:t>i</m:t>
                        </m:r>
                      </m:e>
                    </m:d>
                    <m:r>
                      <w:rPr>
                        <w:rFonts w:ascii="Cambria Math" w:eastAsia="Malgun Gothic" w:hAnsi="Cambria Math"/>
                      </w:rPr>
                      <m:t>-</m:t>
                    </m:r>
                    <m:sSubSup>
                      <m:sSubSupPr>
                        <m:ctrlPr>
                          <w:rPr>
                            <w:rFonts w:ascii="Cambria Math" w:eastAsia="Malgun Gothic" w:hAnsi="Cambria Math"/>
                          </w:rPr>
                        </m:ctrlPr>
                      </m:sSubSupPr>
                      <m:e>
                        <m:r>
                          <w:rPr>
                            <w:rFonts w:ascii="Cambria Math" w:hAnsi="Cambria Math"/>
                            <w:lang w:val="x-none"/>
                          </w:rPr>
                          <m:t>M</m:t>
                        </m:r>
                      </m:e>
                      <m:sub>
                        <m:r>
                          <m:rPr>
                            <m:sty m:val="p"/>
                          </m:rPr>
                          <w:rPr>
                            <w:rFonts w:ascii="Cambria Math" w:hAnsi="Cambria Math"/>
                            <w:lang w:val="x-none"/>
                          </w:rPr>
                          <m:t>RB</m:t>
                        </m:r>
                      </m:sub>
                      <m:sup>
                        <m:r>
                          <m:rPr>
                            <m:sty m:val="p"/>
                          </m:rPr>
                          <w:rPr>
                            <w:rFonts w:ascii="Cambria Math" w:hAnsi="Cambria Math"/>
                            <w:lang w:val="x-none"/>
                          </w:rPr>
                          <m:t>PSCCH</m:t>
                        </m:r>
                      </m:sup>
                    </m:sSubSup>
                    <m:d>
                      <m:dPr>
                        <m:ctrlPr>
                          <w:rPr>
                            <w:rFonts w:ascii="Cambria Math" w:eastAsia="Malgun Gothic" w:hAnsi="Cambria Math"/>
                          </w:rPr>
                        </m:ctrlPr>
                      </m:dPr>
                      <m:e>
                        <m:r>
                          <w:rPr>
                            <w:rFonts w:ascii="Cambria Math" w:hAnsi="Cambria Math"/>
                            <w:lang w:val="x-none"/>
                          </w:rPr>
                          <m:t>i</m:t>
                        </m:r>
                      </m:e>
                    </m:d>
                  </m:num>
                  <m:den>
                    <m:sSubSup>
                      <m:sSubSupPr>
                        <m:ctrlPr>
                          <w:rPr>
                            <w:rFonts w:ascii="Cambria Math" w:eastAsia="Malgun Gothic" w:hAnsi="Cambria Math"/>
                          </w:rPr>
                        </m:ctrlPr>
                      </m:sSubSupPr>
                      <m:e>
                        <m:r>
                          <w:rPr>
                            <w:rFonts w:ascii="Cambria Math" w:hAnsi="Cambria Math"/>
                            <w:lang w:val="x-none"/>
                          </w:rPr>
                          <m:t>M</m:t>
                        </m:r>
                      </m:e>
                      <m:sub>
                        <m:r>
                          <m:rPr>
                            <m:sty m:val="p"/>
                          </m:rPr>
                          <w:rPr>
                            <w:rFonts w:ascii="Cambria Math" w:hAnsi="Cambria Math"/>
                            <w:lang w:val="x-none"/>
                          </w:rPr>
                          <m:t>RB</m:t>
                        </m:r>
                      </m:sub>
                      <m:sup>
                        <m:r>
                          <m:rPr>
                            <m:sty m:val="p"/>
                          </m:rPr>
                          <w:rPr>
                            <w:rFonts w:ascii="Cambria Math" w:hAnsi="Cambria Math"/>
                            <w:lang w:val="x-none"/>
                          </w:rPr>
                          <m:t>PSSCH</m:t>
                        </m:r>
                      </m:sup>
                    </m:sSubSup>
                    <m:d>
                      <m:dPr>
                        <m:ctrlPr>
                          <w:rPr>
                            <w:rFonts w:ascii="Cambria Math" w:eastAsia="Malgun Gothic" w:hAnsi="Cambria Math"/>
                          </w:rPr>
                        </m:ctrlPr>
                      </m:dPr>
                      <m:e>
                        <m:r>
                          <w:rPr>
                            <w:rFonts w:ascii="Cambria Math" w:hAnsi="Cambria Math"/>
                            <w:lang w:val="x-none"/>
                          </w:rPr>
                          <m:t>i</m:t>
                        </m:r>
                      </m:e>
                    </m:d>
                  </m:den>
                </m:f>
              </m:e>
            </m:d>
          </m:e>
        </m:func>
        <m:r>
          <w:rPr>
            <w:rFonts w:ascii="Cambria Math" w:hAnsi="Cambria Math"/>
            <w:lang w:val="x-none"/>
          </w:rPr>
          <m:t>+</m:t>
        </m:r>
        <m:sSub>
          <m:sSubPr>
            <m:ctrlPr>
              <w:rPr>
                <w:rFonts w:ascii="Cambria Math" w:eastAsia="Malgun Gothic" w:hAnsi="Cambria Math"/>
              </w:rPr>
            </m:ctrlPr>
          </m:sSubPr>
          <m:e>
            <m:r>
              <w:rPr>
                <w:rFonts w:ascii="Cambria Math" w:hAnsi="Cambria Math"/>
              </w:rPr>
              <m:t>P</m:t>
            </m:r>
          </m:e>
          <m:sub>
            <m:r>
              <m:rPr>
                <m:sty m:val="p"/>
              </m:rPr>
              <w:rPr>
                <w:rFonts w:ascii="Cambria Math" w:hAnsi="Cambria Math"/>
              </w:rPr>
              <m:t>PSSCH</m:t>
            </m:r>
          </m:sub>
        </m:sSub>
        <m:r>
          <m:rPr>
            <m:sty m:val="p"/>
          </m:rPr>
          <w:rPr>
            <w:rFonts w:ascii="Cambria Math" w:hAnsi="Cambria Math"/>
          </w:rPr>
          <m:t>(</m:t>
        </m:r>
        <m:r>
          <w:rPr>
            <w:rFonts w:ascii="Cambria Math" w:hAnsi="Cambria Math"/>
          </w:rPr>
          <m:t>i</m:t>
        </m:r>
        <m:r>
          <m:rPr>
            <m:sty m:val="p"/>
          </m:rPr>
          <w:rPr>
            <w:rFonts w:ascii="Cambria Math" w:hAnsi="Cambria Math"/>
          </w:rPr>
          <m:t>)</m:t>
        </m:r>
      </m:oMath>
      <w:r w:rsidR="006A00C3" w:rsidRPr="003D7FD7">
        <w:t xml:space="preserve"> [dBm]</w:t>
      </w:r>
    </w:p>
    <w:p w14:paraId="737668AD" w14:textId="77777777" w:rsidR="006A00C3" w:rsidRPr="003D7FD7" w:rsidRDefault="006A00C3" w:rsidP="006A00C3">
      <w:pPr>
        <w:rPr>
          <w:lang w:val="en-US"/>
        </w:rPr>
      </w:pPr>
      <w:r>
        <w:t>w</w:t>
      </w:r>
      <w:r w:rsidRPr="003D7FD7">
        <w:t>here</w:t>
      </w:r>
      <w:r>
        <w:t xml:space="preserve"> </w:t>
      </w:r>
      <m:oMath>
        <m:sSubSup>
          <m:sSubSupPr>
            <m:ctrlPr>
              <w:rPr>
                <w:rFonts w:ascii="Cambria Math" w:hAnsi="Cambria Math"/>
                <w:lang w:val="x-none"/>
              </w:rPr>
            </m:ctrlPr>
          </m:sSubSupPr>
          <m:e>
            <m:r>
              <w:rPr>
                <w:rFonts w:ascii="Cambria Math" w:hAnsi="Cambria Math"/>
                <w:lang w:val="x-none"/>
              </w:rPr>
              <m:t>M</m:t>
            </m:r>
          </m:e>
          <m:sub>
            <m:r>
              <m:rPr>
                <m:nor/>
              </m:rPr>
              <w:rPr>
                <w:lang w:val="x-none"/>
              </w:rPr>
              <m:t>RB</m:t>
            </m:r>
          </m:sub>
          <m:sup>
            <m:r>
              <m:rPr>
                <m:nor/>
              </m:rPr>
              <w:rPr>
                <w:lang w:val="x-none"/>
              </w:rPr>
              <m:t>PSCCH</m:t>
            </m:r>
          </m:sup>
        </m:sSubSup>
        <m:r>
          <m:rPr>
            <m:sty m:val="p"/>
          </m:rPr>
          <w:rPr>
            <w:rFonts w:ascii="Cambria Math" w:hAnsi="Cambria Math"/>
            <w:lang w:val="x-none"/>
          </w:rPr>
          <m:t>(</m:t>
        </m:r>
        <m:r>
          <w:rPr>
            <w:rFonts w:ascii="Cambria Math" w:hAnsi="Cambria Math"/>
            <w:lang w:val="x-none"/>
          </w:rPr>
          <m:t>i</m:t>
        </m:r>
        <m:r>
          <m:rPr>
            <m:sty m:val="p"/>
          </m:rPr>
          <w:rPr>
            <w:rFonts w:ascii="Cambria Math" w:hAnsi="Cambria Math"/>
            <w:lang w:val="x-none"/>
          </w:rPr>
          <m:t>)</m:t>
        </m:r>
      </m:oMath>
      <w:r w:rsidRPr="003D7FD7">
        <w:rPr>
          <w:lang w:val="x-none"/>
        </w:rPr>
        <w:t xml:space="preserve"> is a number of resource blocks for the corresponding PSCCH transmission in PSCCH-PSSCH transmission occasion </w:t>
      </w:r>
      <m:oMath>
        <m:r>
          <w:rPr>
            <w:rFonts w:ascii="Cambria Math" w:hAnsi="Cambria Math"/>
            <w:lang w:val="x-none"/>
          </w:rPr>
          <m:t>i</m:t>
        </m:r>
      </m:oMath>
      <w:r>
        <w:rPr>
          <w:lang w:val="en-US"/>
        </w:rPr>
        <w:t>.</w:t>
      </w:r>
    </w:p>
    <w:p w14:paraId="32306C49" w14:textId="57B523C7" w:rsidR="006A00C3" w:rsidRDefault="006A00C3" w:rsidP="00393CCA">
      <w:pPr>
        <w:rPr>
          <w:lang w:val="en-US"/>
        </w:rPr>
      </w:pPr>
      <w:r w:rsidRPr="003D7FD7">
        <w:t xml:space="preserve">The UE splits the power </w:t>
      </w:r>
      <m:oMath>
        <m:sSub>
          <m:sSubPr>
            <m:ctrlPr>
              <w:rPr>
                <w:rFonts w:ascii="Cambria Math" w:eastAsia="Malgun Gothic" w:hAnsi="Cambria Math"/>
              </w:rPr>
            </m:ctrlPr>
          </m:sSubPr>
          <m:e>
            <m:r>
              <w:rPr>
                <w:rFonts w:ascii="Cambria Math" w:hAnsi="Cambria Math"/>
              </w:rPr>
              <m:t>P</m:t>
            </m:r>
          </m:e>
          <m:sub>
            <m:r>
              <m:rPr>
                <m:sty m:val="p"/>
              </m:rPr>
              <w:rPr>
                <w:rFonts w:ascii="Cambria Math" w:hAnsi="Cambria Math"/>
              </w:rPr>
              <m:t>PSSCH2</m:t>
            </m:r>
          </m:sub>
        </m:sSub>
        <m:r>
          <m:rPr>
            <m:sty m:val="p"/>
          </m:rPr>
          <w:rPr>
            <w:rFonts w:ascii="Cambria Math" w:hAnsi="Cambria Math"/>
          </w:rPr>
          <m:t>(</m:t>
        </m:r>
        <m:r>
          <w:rPr>
            <w:rFonts w:ascii="Cambria Math" w:hAnsi="Cambria Math"/>
          </w:rPr>
          <m:t>i</m:t>
        </m:r>
        <m:r>
          <m:rPr>
            <m:sty m:val="p"/>
          </m:rPr>
          <w:rPr>
            <w:rFonts w:ascii="Cambria Math" w:hAnsi="Cambria Math"/>
          </w:rPr>
          <m:t>)</m:t>
        </m:r>
      </m:oMath>
      <w:r w:rsidRPr="003D7FD7">
        <w:rPr>
          <w:lang w:eastAsia="ko-KR"/>
        </w:rPr>
        <w:t xml:space="preserve"> </w:t>
      </w:r>
      <w:r w:rsidRPr="003D7FD7">
        <w:t>equally across the antenna ports on which the UE transmits the PSSCH with non-zero power.</w:t>
      </w:r>
    </w:p>
    <w:p w14:paraId="08617440" w14:textId="77777777" w:rsidR="00E21265" w:rsidRDefault="00E21265" w:rsidP="00E21265">
      <w:pPr>
        <w:pStyle w:val="Heading3"/>
        <w:spacing w:before="0"/>
      </w:pPr>
      <w:bookmarkStart w:id="855" w:name="_Toc29894879"/>
      <w:bookmarkStart w:id="856" w:name="_Toc29899178"/>
      <w:bookmarkStart w:id="857" w:name="_Toc29899596"/>
      <w:bookmarkStart w:id="858" w:name="_Toc29917332"/>
      <w:bookmarkStart w:id="859" w:name="_Toc36498207"/>
      <w:bookmarkStart w:id="860" w:name="_Toc45699235"/>
      <w:bookmarkStart w:id="861" w:name="_Toc161999169"/>
      <w:r>
        <w:t>16.2</w:t>
      </w:r>
      <w:r w:rsidRPr="008A4A6B">
        <w:t>.</w:t>
      </w:r>
      <w:r>
        <w:t>2</w:t>
      </w:r>
      <w:r w:rsidRPr="008A4A6B">
        <w:tab/>
        <w:t>PS</w:t>
      </w:r>
      <w:r>
        <w:t>C</w:t>
      </w:r>
      <w:r w:rsidRPr="008A4A6B">
        <w:t>CH</w:t>
      </w:r>
      <w:bookmarkEnd w:id="855"/>
      <w:bookmarkEnd w:id="856"/>
      <w:bookmarkEnd w:id="857"/>
      <w:bookmarkEnd w:id="858"/>
      <w:bookmarkEnd w:id="859"/>
      <w:bookmarkEnd w:id="860"/>
      <w:bookmarkEnd w:id="861"/>
    </w:p>
    <w:p w14:paraId="62A39A77" w14:textId="79320297" w:rsidR="005F05E6" w:rsidRPr="00393CCA" w:rsidRDefault="005F05E6" w:rsidP="005F05E6">
      <w:r w:rsidRPr="00393CCA">
        <w:t xml:space="preserve">A UE determines a power </w:t>
      </w:r>
      <m:oMath>
        <m:sSub>
          <m:sSubPr>
            <m:ctrlPr>
              <w:rPr>
                <w:rFonts w:ascii="Cambria Math" w:eastAsia="Malgun Gothic" w:hAnsi="Cambria Math" w:cs="Gulim"/>
                <w:i/>
                <w:iCs/>
              </w:rPr>
            </m:ctrlPr>
          </m:sSubPr>
          <m:e>
            <m:r>
              <w:rPr>
                <w:rFonts w:ascii="Cambria Math" w:hAnsi="Cambria Math"/>
              </w:rPr>
              <m:t>P</m:t>
            </m:r>
          </m:e>
          <m:sub>
            <m:r>
              <m:rPr>
                <m:sty m:val="p"/>
              </m:rPr>
              <w:rPr>
                <w:rFonts w:ascii="Cambria Math" w:hAnsi="Cambria Math"/>
              </w:rPr>
              <m:t>PSCCH</m:t>
            </m:r>
            <m:ctrlPr>
              <w:rPr>
                <w:rFonts w:ascii="Cambria Math" w:eastAsia="Malgun Gothic" w:hAnsi="Cambria Math" w:cs="Gulim"/>
              </w:rPr>
            </m:ctrlPr>
          </m:sub>
        </m:sSub>
        <m:r>
          <w:rPr>
            <w:rFonts w:ascii="Cambria Math" w:hAnsi="Cambria Math"/>
          </w:rPr>
          <m:t>(i)</m:t>
        </m:r>
      </m:oMath>
      <w:r w:rsidRPr="00393CCA">
        <w:t xml:space="preserve"> for a PSCCH transmission on a resource pool in PSCCH-PSSCH transmission occasion </w:t>
      </w:r>
      <m:oMath>
        <m:r>
          <w:rPr>
            <w:rFonts w:ascii="Cambria Math" w:hAnsi="Cambria Math"/>
          </w:rPr>
          <m:t>i</m:t>
        </m:r>
      </m:oMath>
      <w:r w:rsidRPr="00393CCA">
        <w:t xml:space="preserve"> as</w:t>
      </w:r>
    </w:p>
    <w:p w14:paraId="3969A4E4" w14:textId="77777777" w:rsidR="005F05E6" w:rsidRPr="00393CCA" w:rsidRDefault="00000000" w:rsidP="00393CCA">
      <w:pPr>
        <w:pStyle w:val="EQ"/>
      </w:pPr>
      <m:oMath>
        <m:sSub>
          <m:sSubPr>
            <m:ctrlPr>
              <w:rPr>
                <w:rFonts w:ascii="Cambria Math" w:eastAsia="Malgun Gothic" w:hAnsi="Cambria Math" w:cs="Gulim"/>
              </w:rPr>
            </m:ctrlPr>
          </m:sSubPr>
          <m:e>
            <m:r>
              <w:rPr>
                <w:rFonts w:ascii="Cambria Math" w:hAnsi="Cambria Math"/>
              </w:rPr>
              <m:t>P</m:t>
            </m:r>
          </m:e>
          <m:sub>
            <m:r>
              <m:rPr>
                <m:sty m:val="p"/>
              </m:rPr>
              <w:rPr>
                <w:rFonts w:ascii="Cambria Math" w:hAnsi="Cambria Math"/>
              </w:rPr>
              <m:t>PSCCH</m:t>
            </m:r>
          </m:sub>
        </m:sSub>
        <m:r>
          <m:rPr>
            <m:sty m:val="p"/>
          </m:rPr>
          <w:rPr>
            <w:rFonts w:ascii="Cambria Math" w:hAnsi="Cambria Math"/>
          </w:rPr>
          <m:t>(</m:t>
        </m:r>
        <m:r>
          <w:rPr>
            <w:rFonts w:ascii="Cambria Math" w:hAnsi="Cambria Math"/>
          </w:rPr>
          <m:t>i</m:t>
        </m:r>
        <m:r>
          <m:rPr>
            <m:sty m:val="p"/>
          </m:rPr>
          <w:rPr>
            <w:rFonts w:ascii="Cambria Math" w:hAnsi="Cambria Math"/>
          </w:rPr>
          <m:t>)=</m:t>
        </m:r>
        <m:r>
          <m:rPr>
            <m:sty m:val="p"/>
          </m:rPr>
          <w:rPr>
            <w:rFonts w:ascii="Cambria Math" w:hAnsi="Cambria Math"/>
            <w:lang w:val="x-none"/>
          </w:rPr>
          <m:t>10</m:t>
        </m:r>
        <m:func>
          <m:funcPr>
            <m:ctrlPr>
              <w:rPr>
                <w:rFonts w:ascii="Cambria Math" w:eastAsia="Malgun Gothic" w:hAnsi="Cambria Math" w:cs="Gulim"/>
              </w:rPr>
            </m:ctrlPr>
          </m:funcPr>
          <m:fName>
            <m:sSub>
              <m:sSubPr>
                <m:ctrlPr>
                  <w:rPr>
                    <w:rFonts w:ascii="Cambria Math" w:eastAsia="Malgun Gothic" w:hAnsi="Cambria Math" w:cs="Gulim"/>
                  </w:rPr>
                </m:ctrlPr>
              </m:sSubPr>
              <m:e>
                <m:r>
                  <w:rPr>
                    <w:rFonts w:ascii="Cambria Math" w:hAnsi="Cambria Math"/>
                    <w:lang w:val="x-none"/>
                  </w:rPr>
                  <m:t>log</m:t>
                </m:r>
              </m:e>
              <m:sub>
                <m:r>
                  <m:rPr>
                    <m:sty m:val="p"/>
                  </m:rPr>
                  <w:rPr>
                    <w:rFonts w:ascii="Cambria Math" w:hAnsi="Cambria Math"/>
                    <w:lang w:val="x-none"/>
                  </w:rPr>
                  <m:t>10</m:t>
                </m:r>
              </m:sub>
            </m:sSub>
          </m:fName>
          <m:e>
            <m:d>
              <m:dPr>
                <m:ctrlPr>
                  <w:rPr>
                    <w:rFonts w:ascii="Cambria Math" w:eastAsia="Malgun Gothic" w:hAnsi="Cambria Math" w:cs="Gulim"/>
                  </w:rPr>
                </m:ctrlPr>
              </m:dPr>
              <m:e>
                <m:f>
                  <m:fPr>
                    <m:ctrlPr>
                      <w:rPr>
                        <w:rFonts w:ascii="Cambria Math" w:eastAsia="Malgun Gothic" w:hAnsi="Cambria Math" w:cs="Gulim"/>
                        <w:i/>
                        <w:iCs/>
                      </w:rPr>
                    </m:ctrlPr>
                  </m:fPr>
                  <m:num>
                    <m:sSubSup>
                      <m:sSubSupPr>
                        <m:ctrlPr>
                          <w:rPr>
                            <w:rFonts w:ascii="Cambria Math" w:eastAsia="Malgun Gothic" w:hAnsi="Cambria Math" w:cs="Gulim"/>
                          </w:rPr>
                        </m:ctrlPr>
                      </m:sSubSupPr>
                      <m:e>
                        <m:r>
                          <w:rPr>
                            <w:rFonts w:ascii="Cambria Math" w:hAnsi="Cambria Math"/>
                            <w:lang w:val="x-none"/>
                          </w:rPr>
                          <m:t>M</m:t>
                        </m:r>
                      </m:e>
                      <m:sub>
                        <m:r>
                          <m:rPr>
                            <m:sty m:val="p"/>
                          </m:rPr>
                          <w:rPr>
                            <w:rFonts w:ascii="Cambria Math" w:hAnsi="Cambria Math"/>
                            <w:lang w:val="x-none"/>
                          </w:rPr>
                          <m:t>RB</m:t>
                        </m:r>
                      </m:sub>
                      <m:sup>
                        <m:r>
                          <m:rPr>
                            <m:sty m:val="p"/>
                          </m:rPr>
                          <w:rPr>
                            <w:rFonts w:ascii="Cambria Math" w:hAnsi="Cambria Math"/>
                            <w:lang w:val="x-none"/>
                          </w:rPr>
                          <m:t>PSCCH</m:t>
                        </m:r>
                      </m:sup>
                    </m:sSubSup>
                    <m:d>
                      <m:dPr>
                        <m:ctrlPr>
                          <w:rPr>
                            <w:rFonts w:ascii="Cambria Math" w:eastAsia="Malgun Gothic" w:hAnsi="Cambria Math" w:cs="Gulim"/>
                          </w:rPr>
                        </m:ctrlPr>
                      </m:dPr>
                      <m:e>
                        <m:r>
                          <w:rPr>
                            <w:rFonts w:ascii="Cambria Math" w:hAnsi="Cambria Math"/>
                            <w:lang w:val="x-none"/>
                          </w:rPr>
                          <m:t>i</m:t>
                        </m:r>
                      </m:e>
                    </m:d>
                  </m:num>
                  <m:den>
                    <m:sSubSup>
                      <m:sSubSupPr>
                        <m:ctrlPr>
                          <w:rPr>
                            <w:rFonts w:ascii="Cambria Math" w:eastAsia="Malgun Gothic" w:hAnsi="Cambria Math" w:cs="Gulim"/>
                          </w:rPr>
                        </m:ctrlPr>
                      </m:sSubSupPr>
                      <m:e>
                        <m:r>
                          <w:rPr>
                            <w:rFonts w:ascii="Cambria Math" w:hAnsi="Cambria Math"/>
                            <w:lang w:val="x-none"/>
                          </w:rPr>
                          <m:t>M</m:t>
                        </m:r>
                      </m:e>
                      <m:sub>
                        <m:r>
                          <m:rPr>
                            <m:sty m:val="p"/>
                          </m:rPr>
                          <w:rPr>
                            <w:rFonts w:ascii="Cambria Math" w:hAnsi="Cambria Math"/>
                            <w:lang w:val="x-none"/>
                          </w:rPr>
                          <m:t>RB</m:t>
                        </m:r>
                      </m:sub>
                      <m:sup>
                        <m:r>
                          <m:rPr>
                            <m:sty m:val="p"/>
                          </m:rPr>
                          <w:rPr>
                            <w:rFonts w:ascii="Cambria Math" w:hAnsi="Cambria Math"/>
                            <w:lang w:val="x-none"/>
                          </w:rPr>
                          <m:t>PSSCH</m:t>
                        </m:r>
                      </m:sup>
                    </m:sSubSup>
                    <m:d>
                      <m:dPr>
                        <m:ctrlPr>
                          <w:rPr>
                            <w:rFonts w:ascii="Cambria Math" w:eastAsia="Malgun Gothic" w:hAnsi="Cambria Math" w:cs="Gulim"/>
                          </w:rPr>
                        </m:ctrlPr>
                      </m:dPr>
                      <m:e>
                        <m:r>
                          <w:rPr>
                            <w:rFonts w:ascii="Cambria Math" w:hAnsi="Cambria Math"/>
                            <w:lang w:val="x-none"/>
                          </w:rPr>
                          <m:t>i</m:t>
                        </m:r>
                      </m:e>
                    </m:d>
                  </m:den>
                </m:f>
              </m:e>
            </m:d>
          </m:e>
        </m:func>
        <m:r>
          <w:rPr>
            <w:rFonts w:ascii="Cambria Math" w:hAnsi="Cambria Math"/>
            <w:lang w:val="x-none"/>
          </w:rPr>
          <m:t>+</m:t>
        </m:r>
        <m:sSub>
          <m:sSubPr>
            <m:ctrlPr>
              <w:rPr>
                <w:rFonts w:ascii="Cambria Math" w:eastAsia="Malgun Gothic" w:hAnsi="Cambria Math" w:cs="Gulim"/>
              </w:rPr>
            </m:ctrlPr>
          </m:sSubPr>
          <m:e>
            <m:r>
              <w:rPr>
                <w:rFonts w:ascii="Cambria Math" w:hAnsi="Cambria Math"/>
              </w:rPr>
              <m:t>P</m:t>
            </m:r>
          </m:e>
          <m:sub>
            <m:r>
              <m:rPr>
                <m:sty m:val="p"/>
              </m:rPr>
              <w:rPr>
                <w:rFonts w:ascii="Cambria Math" w:hAnsi="Cambria Math"/>
              </w:rPr>
              <m:t>PSSCH</m:t>
            </m:r>
          </m:sub>
        </m:sSub>
        <m:r>
          <m:rPr>
            <m:sty m:val="p"/>
          </m:rPr>
          <w:rPr>
            <w:rFonts w:ascii="Cambria Math" w:hAnsi="Cambria Math"/>
          </w:rPr>
          <m:t>(</m:t>
        </m:r>
        <m:r>
          <w:rPr>
            <w:rFonts w:ascii="Cambria Math" w:hAnsi="Cambria Math"/>
          </w:rPr>
          <m:t>i</m:t>
        </m:r>
        <m:r>
          <m:rPr>
            <m:sty m:val="p"/>
          </m:rPr>
          <w:rPr>
            <w:rFonts w:ascii="Cambria Math" w:hAnsi="Cambria Math"/>
          </w:rPr>
          <m:t>)</m:t>
        </m:r>
      </m:oMath>
      <w:r w:rsidR="005F05E6" w:rsidRPr="00393CCA">
        <w:t xml:space="preserve"> [dBm]</w:t>
      </w:r>
    </w:p>
    <w:p w14:paraId="24E79A9E" w14:textId="77777777" w:rsidR="005F05E6" w:rsidRPr="00393CCA" w:rsidRDefault="005F05E6" w:rsidP="005F05E6">
      <w:r w:rsidRPr="00393CCA">
        <w:t>where</w:t>
      </w:r>
    </w:p>
    <w:p w14:paraId="6423666E" w14:textId="60E2C66D" w:rsidR="005F05E6" w:rsidRPr="00393CCA" w:rsidRDefault="005F05E6" w:rsidP="005F05E6">
      <w:pPr>
        <w:pStyle w:val="B1"/>
      </w:pPr>
      <w:r w:rsidRPr="00393CCA">
        <w:t>-</w:t>
      </w:r>
      <w:r w:rsidRPr="00393CCA">
        <w:tab/>
      </w:r>
      <m:oMath>
        <m:sSub>
          <m:sSubPr>
            <m:ctrlPr>
              <w:rPr>
                <w:rFonts w:ascii="Cambria Math" w:eastAsia="Malgun Gothic" w:hAnsi="Cambria Math" w:cs="Gulim"/>
              </w:rPr>
            </m:ctrlPr>
          </m:sSubPr>
          <m:e>
            <m:r>
              <w:rPr>
                <w:rFonts w:ascii="Cambria Math" w:hAnsi="Cambria Math"/>
              </w:rPr>
              <m:t>P</m:t>
            </m:r>
          </m:e>
          <m:sub>
            <m:r>
              <m:rPr>
                <m:sty m:val="p"/>
              </m:rPr>
              <w:rPr>
                <w:rFonts w:ascii="Cambria Math" w:hAnsi="Cambria Math"/>
              </w:rPr>
              <m:t>PSSCH</m:t>
            </m:r>
          </m:sub>
        </m:sSub>
        <m:r>
          <m:rPr>
            <m:sty m:val="p"/>
          </m:rPr>
          <w:rPr>
            <w:rFonts w:ascii="Cambria Math" w:hAnsi="Cambria Math"/>
          </w:rPr>
          <m:t>(</m:t>
        </m:r>
        <m:r>
          <w:rPr>
            <w:rFonts w:ascii="Cambria Math" w:hAnsi="Cambria Math"/>
          </w:rPr>
          <m:t>i</m:t>
        </m:r>
        <m:r>
          <m:rPr>
            <m:sty m:val="p"/>
          </m:rPr>
          <w:rPr>
            <w:rFonts w:ascii="Cambria Math" w:hAnsi="Cambria Math"/>
          </w:rPr>
          <m:t>)</m:t>
        </m:r>
      </m:oMath>
      <w:r w:rsidRPr="00393CCA">
        <w:t xml:space="preserve"> is specified </w:t>
      </w:r>
      <w:r w:rsidR="006F5F9E">
        <w:t>in clause</w:t>
      </w:r>
      <w:r w:rsidRPr="00393CCA">
        <w:t xml:space="preserve"> 16.2.1</w:t>
      </w:r>
    </w:p>
    <w:p w14:paraId="3D1D6B4B" w14:textId="77777777" w:rsidR="005F05E6" w:rsidRPr="00393CCA" w:rsidRDefault="005F05E6" w:rsidP="00796986">
      <w:pPr>
        <w:pStyle w:val="B1"/>
        <w:rPr>
          <w:iCs/>
          <w:lang w:eastAsia="ko-KR"/>
        </w:rPr>
      </w:pPr>
      <w:r w:rsidRPr="00393CCA">
        <w:t>-</w:t>
      </w:r>
      <w:r w:rsidRPr="00393CCA">
        <w:tab/>
      </w:r>
      <m:oMath>
        <m:sSubSup>
          <m:sSubSupPr>
            <m:ctrlPr>
              <w:rPr>
                <w:rFonts w:ascii="Cambria Math" w:eastAsia="Malgun Gothic" w:hAnsi="Cambria Math" w:cs="Gulim"/>
              </w:rPr>
            </m:ctrlPr>
          </m:sSubSupPr>
          <m:e>
            <m:r>
              <w:rPr>
                <w:rFonts w:ascii="Cambria Math" w:hAnsi="Cambria Math"/>
              </w:rPr>
              <m:t>M</m:t>
            </m:r>
          </m:e>
          <m:sub>
            <m:r>
              <m:rPr>
                <m:nor/>
              </m:rPr>
              <m:t>RB</m:t>
            </m:r>
          </m:sub>
          <m:sup>
            <m:r>
              <m:rPr>
                <m:nor/>
              </m:rPr>
              <m:t>PSCCH</m:t>
            </m:r>
          </m:sup>
        </m:sSubSup>
        <m:r>
          <m:rPr>
            <m:sty m:val="p"/>
          </m:rPr>
          <w:rPr>
            <w:rFonts w:ascii="Cambria Math" w:hAnsi="Cambria Math"/>
          </w:rPr>
          <m:t>(</m:t>
        </m:r>
        <m:r>
          <w:rPr>
            <w:rFonts w:ascii="Cambria Math" w:hAnsi="Cambria Math"/>
          </w:rPr>
          <m:t>i</m:t>
        </m:r>
        <m:r>
          <m:rPr>
            <m:sty m:val="p"/>
          </m:rPr>
          <w:rPr>
            <w:rFonts w:ascii="Cambria Math" w:hAnsi="Cambria Math"/>
          </w:rPr>
          <m:t>)</m:t>
        </m:r>
      </m:oMath>
      <w:r w:rsidRPr="00393CCA">
        <w:t xml:space="preserve"> is a number of resource blocks for the PSCCH transmission in PSCCH-PSSCH transmission occasion </w:t>
      </w:r>
      <m:oMath>
        <m:r>
          <w:rPr>
            <w:rFonts w:ascii="Cambria Math" w:hAnsi="Cambria Math"/>
          </w:rPr>
          <m:t>i</m:t>
        </m:r>
      </m:oMath>
      <w:r w:rsidRPr="00393CCA">
        <w:rPr>
          <w:rFonts w:hint="eastAsia"/>
          <w:iCs/>
          <w:lang w:eastAsia="ko-KR"/>
        </w:rPr>
        <w:t xml:space="preserve"> </w:t>
      </w:r>
    </w:p>
    <w:p w14:paraId="24901DB7" w14:textId="683C6667" w:rsidR="00393CCA" w:rsidRDefault="005F05E6" w:rsidP="00393CCA">
      <w:pPr>
        <w:pStyle w:val="B1"/>
      </w:pPr>
      <w:r w:rsidRPr="00393CCA">
        <w:t>-</w:t>
      </w:r>
      <w:r w:rsidRPr="00393CCA">
        <w:tab/>
      </w:r>
      <m:oMath>
        <m:sSubSup>
          <m:sSubSupPr>
            <m:ctrlPr>
              <w:rPr>
                <w:rFonts w:ascii="Cambria Math" w:eastAsia="Malgun Gothic" w:hAnsi="Cambria Math" w:cs="Gulim"/>
                <w:i/>
                <w:iCs/>
              </w:rPr>
            </m:ctrlPr>
          </m:sSubSupPr>
          <m:e>
            <m:r>
              <w:rPr>
                <w:rFonts w:ascii="Cambria Math" w:hAnsi="Cambria Math"/>
              </w:rPr>
              <m:t>M</m:t>
            </m:r>
          </m:e>
          <m:sub>
            <m:r>
              <m:rPr>
                <m:sty m:val="p"/>
              </m:rPr>
              <w:rPr>
                <w:rFonts w:ascii="Cambria Math" w:hAnsi="Cambria Math"/>
              </w:rPr>
              <m:t>RB</m:t>
            </m:r>
            <m:ctrlPr>
              <w:rPr>
                <w:rFonts w:ascii="Cambria Math" w:eastAsia="Malgun Gothic" w:hAnsi="Cambria Math" w:cs="Gulim"/>
              </w:rPr>
            </m:ctrlPr>
          </m:sub>
          <m:sup>
            <m:r>
              <m:rPr>
                <m:sty m:val="p"/>
              </m:rPr>
              <w:rPr>
                <w:rFonts w:ascii="Cambria Math" w:hAnsi="Cambria Math"/>
              </w:rPr>
              <m:t>PSSCH</m:t>
            </m:r>
            <m:ctrlPr>
              <w:rPr>
                <w:rFonts w:ascii="Cambria Math" w:eastAsia="Malgun Gothic" w:hAnsi="Cambria Math" w:cs="Gulim"/>
              </w:rPr>
            </m:ctrlPr>
          </m:sup>
        </m:sSubSup>
        <m:r>
          <w:rPr>
            <w:rFonts w:ascii="Cambria Math" w:hAnsi="Cambria Math"/>
          </w:rPr>
          <m:t>(i)</m:t>
        </m:r>
      </m:oMath>
      <w:r w:rsidRPr="00393CCA">
        <w:t xml:space="preserve"> is a number of resource blocks for PSCCH-PSSCH transmission occasion </w:t>
      </w:r>
      <m:oMath>
        <m:r>
          <w:rPr>
            <w:rFonts w:ascii="Cambria Math" w:hAnsi="Cambria Math"/>
          </w:rPr>
          <m:t>i</m:t>
        </m:r>
      </m:oMath>
      <w:r w:rsidRPr="00393CCA">
        <w:t xml:space="preserve"> </w:t>
      </w:r>
    </w:p>
    <w:p w14:paraId="62C1EED4" w14:textId="7E657DC0" w:rsidR="00764F3A" w:rsidRDefault="00764F3A" w:rsidP="00764F3A">
      <w:pPr>
        <w:rPr>
          <w:lang w:eastAsia="ja-JP"/>
        </w:rPr>
      </w:pPr>
      <w:r>
        <w:rPr>
          <w:lang w:val="en-US" w:eastAsia="ja-JP"/>
        </w:rPr>
        <w:t>For</w:t>
      </w:r>
      <w:r>
        <w:rPr>
          <w:lang w:eastAsia="ja-JP"/>
        </w:rPr>
        <w:t xml:space="preserve"> a PSCCH transmission by a UE on a </w:t>
      </w:r>
      <w:r w:rsidRPr="000B5F5D">
        <w:rPr>
          <w:lang w:eastAsia="ja-JP"/>
        </w:rPr>
        <w:t xml:space="preserve">dedicated SL PRS </w:t>
      </w:r>
      <w:r w:rsidR="00E169CB" w:rsidRPr="000B5F5D">
        <w:rPr>
          <w:lang w:eastAsia="ja-JP"/>
        </w:rPr>
        <w:t>resource pool</w:t>
      </w:r>
      <w:r>
        <w:rPr>
          <w:lang w:eastAsia="ja-JP"/>
        </w:rPr>
        <w:t>, a power of the PSCCH transmission in a slot is same as a power of SL PRS transmission by the UE in the slot. The UE determines the power as described in Clause 16.2.3A.</w:t>
      </w:r>
    </w:p>
    <w:p w14:paraId="3ADE1896" w14:textId="56CA5B15" w:rsidR="009C68B4" w:rsidRPr="009C68B4" w:rsidRDefault="009C68B4" w:rsidP="00764F3A">
      <w:pPr>
        <w:rPr>
          <w:lang w:val="en-US"/>
        </w:rPr>
      </w:pPr>
      <w:r w:rsidRPr="00FD0BBC">
        <w:t xml:space="preserve">For sidelink co-channel coexistence between E-UTRA and NR, and for NR PSCCH/PSSCH transmissions with SCS configuration </w:t>
      </w:r>
      <m:oMath>
        <m:r>
          <w:rPr>
            <w:rFonts w:ascii="Cambria Math" w:hAnsi="Cambria Math"/>
            <w:lang w:val="en-US"/>
          </w:rPr>
          <m:t>μ=1</m:t>
        </m:r>
      </m:oMath>
      <w:r w:rsidRPr="00FD0BBC">
        <w:t xml:space="preserve"> in slots that overlap with an E-UTRA subframe</w:t>
      </w:r>
      <w:r>
        <w:t xml:space="preserve"> on the sidelink</w:t>
      </w:r>
      <w:r w:rsidRPr="00FD0BBC">
        <w:t>, the UE transmits NR P</w:t>
      </w:r>
      <w:r>
        <w:t>SC</w:t>
      </w:r>
      <w:r w:rsidRPr="00FD0BBC">
        <w:t>CH/PS</w:t>
      </w:r>
      <w:r>
        <w:t>S</w:t>
      </w:r>
      <w:r w:rsidRPr="00FD0BBC">
        <w:t xml:space="preserve">CH in the </w:t>
      </w:r>
      <w:r>
        <w:t>earlier</w:t>
      </w:r>
      <w:r w:rsidRPr="00FD0BBC">
        <w:t xml:space="preserve"> overlapping slot with a power that is larger than or equal to the power in the</w:t>
      </w:r>
      <w:r>
        <w:t xml:space="preserve"> later</w:t>
      </w:r>
      <w:r w:rsidRPr="00FD0BBC">
        <w:t xml:space="preserve"> overlapping slot</w:t>
      </w:r>
      <w:r w:rsidRPr="007800AA">
        <w:t>.</w:t>
      </w:r>
    </w:p>
    <w:p w14:paraId="520CE245" w14:textId="77777777" w:rsidR="00E21265" w:rsidRDefault="00E21265" w:rsidP="00E21265">
      <w:pPr>
        <w:pStyle w:val="Heading3"/>
        <w:spacing w:before="0"/>
      </w:pPr>
      <w:bookmarkStart w:id="862" w:name="_Toc29894880"/>
      <w:bookmarkStart w:id="863" w:name="_Toc29899179"/>
      <w:bookmarkStart w:id="864" w:name="_Toc29899597"/>
      <w:bookmarkStart w:id="865" w:name="_Toc29917333"/>
      <w:bookmarkStart w:id="866" w:name="_Toc36498208"/>
      <w:bookmarkStart w:id="867" w:name="_Toc45699236"/>
      <w:bookmarkStart w:id="868" w:name="_Toc161999170"/>
      <w:r>
        <w:t>16.2</w:t>
      </w:r>
      <w:r w:rsidRPr="008A4A6B">
        <w:t>.</w:t>
      </w:r>
      <w:r>
        <w:t>3</w:t>
      </w:r>
      <w:r w:rsidRPr="008A4A6B">
        <w:tab/>
        <w:t>PSFCH</w:t>
      </w:r>
      <w:bookmarkEnd w:id="862"/>
      <w:bookmarkEnd w:id="863"/>
      <w:bookmarkEnd w:id="864"/>
      <w:bookmarkEnd w:id="865"/>
      <w:bookmarkEnd w:id="866"/>
      <w:bookmarkEnd w:id="867"/>
      <w:bookmarkEnd w:id="868"/>
    </w:p>
    <w:p w14:paraId="003F7EEF" w14:textId="0C73196A" w:rsidR="00BB0A93" w:rsidRPr="00CD4F4D" w:rsidRDefault="00BB0A93" w:rsidP="00BB0A93">
      <w:r w:rsidRPr="00CD4F4D">
        <w:t xml:space="preserve">A UE with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sch,Tx,PSFCH</m:t>
            </m:r>
          </m:sub>
        </m:sSub>
      </m:oMath>
      <w:r w:rsidRPr="00CD4F4D">
        <w:rPr>
          <w:rFonts w:eastAsia="Malgun Gothic" w:hint="eastAsia"/>
          <w:szCs w:val="22"/>
        </w:rPr>
        <w:t xml:space="preserve"> </w:t>
      </w:r>
      <w:r w:rsidRPr="00CD4F4D">
        <w:rPr>
          <w:rFonts w:eastAsia="Malgun Gothic"/>
          <w:szCs w:val="22"/>
        </w:rPr>
        <w:t xml:space="preserve">scheduled </w:t>
      </w:r>
      <w:r w:rsidRPr="00CD4F4D">
        <w:rPr>
          <w:rFonts w:eastAsia="Malgun Gothic" w:hint="eastAsia"/>
          <w:szCs w:val="22"/>
        </w:rPr>
        <w:t>PSFCH transmissions</w:t>
      </w:r>
      <w:r w:rsidR="00342B2C">
        <w:rPr>
          <w:rFonts w:eastAsia="Malgun Gothic"/>
          <w:szCs w:val="22"/>
        </w:rPr>
        <w:t xml:space="preserve"> for HARQ-ACK information and conflict information</w:t>
      </w:r>
      <w:r w:rsidRPr="00CD4F4D">
        <w:rPr>
          <w:rFonts w:eastAsia="Malgun Gothic"/>
          <w:szCs w:val="22"/>
        </w:rPr>
        <w:t xml:space="preserve">, and capable of transmitting a maximum of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max,PSFCH</m:t>
            </m:r>
          </m:sub>
        </m:sSub>
      </m:oMath>
      <w:r w:rsidRPr="00CD4F4D">
        <w:rPr>
          <w:rFonts w:eastAsia="Malgun Gothic" w:hint="eastAsia"/>
          <w:szCs w:val="22"/>
        </w:rPr>
        <w:t xml:space="preserve"> PSFCH</w:t>
      </w:r>
      <w:r>
        <w:rPr>
          <w:rFonts w:eastAsia="Malgun Gothic"/>
          <w:szCs w:val="22"/>
        </w:rPr>
        <w:t>s</w:t>
      </w:r>
      <w:r w:rsidRPr="00CD4F4D">
        <w:rPr>
          <w:rFonts w:eastAsia="Malgun Gothic"/>
          <w:szCs w:val="22"/>
        </w:rPr>
        <w:t xml:space="preserve">, </w:t>
      </w:r>
      <w:r w:rsidRPr="00CD4F4D">
        <w:t xml:space="preserve">determines a </w:t>
      </w:r>
      <w:r w:rsidRPr="00CD4F4D">
        <w:rPr>
          <w:rFonts w:eastAsia="Malgun Gothic"/>
          <w:szCs w:val="22"/>
        </w:rPr>
        <w:t>number</w:t>
      </w:r>
      <w:r w:rsidRPr="00CD4F4D">
        <w:rPr>
          <w:rFonts w:eastAsia="Malgun Gothic"/>
        </w:rPr>
        <w:t xml:space="preserve">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Tx,PSFCH</m:t>
            </m:r>
          </m:sub>
        </m:sSub>
      </m:oMath>
      <w:r w:rsidRPr="00CD4F4D">
        <w:rPr>
          <w:rFonts w:eastAsia="Malgun Gothic"/>
        </w:rPr>
        <w:t xml:space="preserve"> of simultaneous PSFCH transmissions </w:t>
      </w:r>
      <w:r w:rsidRPr="00CD4F4D">
        <w:rPr>
          <w:rFonts w:eastAsia="Malgun Gothic"/>
          <w:szCs w:val="22"/>
        </w:rPr>
        <w:t xml:space="preserve">and </w:t>
      </w:r>
      <w:r w:rsidRPr="00CD4F4D">
        <w:t xml:space="preserve">a power </w:t>
      </w:r>
      <m:oMath>
        <m:sSub>
          <m:sSubPr>
            <m:ctrlPr>
              <w:rPr>
                <w:rFonts w:ascii="Cambria Math" w:hAnsi="Cambria Math"/>
                <w:i/>
                <w:iCs/>
              </w:rPr>
            </m:ctrlPr>
          </m:sSubPr>
          <m:e>
            <m:r>
              <w:rPr>
                <w:rFonts w:ascii="Cambria Math" w:hAnsi="Cambria Math"/>
              </w:rPr>
              <m:t>P</m:t>
            </m:r>
          </m:e>
          <m:sub>
            <m:r>
              <m:rPr>
                <m:nor/>
              </m:rPr>
              <w:rPr>
                <w:iCs/>
              </w:rPr>
              <m:t>PSFCH</m:t>
            </m:r>
            <m:r>
              <m:rPr>
                <m:nor/>
              </m:rPr>
              <w:rPr>
                <w:rFonts w:ascii="Cambria Math"/>
                <w:iCs/>
              </w:rPr>
              <m:t>,k</m:t>
            </m:r>
            <m:ctrlPr>
              <w:rPr>
                <w:rFonts w:ascii="Cambria Math" w:hAnsi="Cambria Math"/>
                <w:iCs/>
              </w:rPr>
            </m:ctrlPr>
          </m:sub>
        </m:sSub>
        <m:r>
          <w:rPr>
            <w:rFonts w:ascii="Cambria Math" w:hAnsi="Cambria Math"/>
          </w:rPr>
          <m:t>(i)</m:t>
        </m:r>
      </m:oMath>
      <w:r w:rsidRPr="00CD4F4D">
        <w:rPr>
          <w:iCs/>
        </w:rPr>
        <w:t xml:space="preserve"> </w:t>
      </w:r>
      <w:r w:rsidRPr="00CD4F4D">
        <w:t xml:space="preserve">for a PSFCH transmission </w:t>
      </w:r>
      <m:oMath>
        <m:r>
          <w:rPr>
            <w:rFonts w:ascii="Cambria Math" w:hAnsi="Cambria Math"/>
          </w:rPr>
          <m:t>k</m:t>
        </m:r>
      </m:oMath>
      <w:r w:rsidRPr="00CD4F4D">
        <w:t xml:space="preserve">, </w:t>
      </w:r>
      <m:oMath>
        <m:r>
          <m:rPr>
            <m:sty m:val="p"/>
          </m:rPr>
          <w:rPr>
            <w:rFonts w:ascii="Cambria Math" w:eastAsia="Malgun Gothic" w:hAnsi="Cambria Math"/>
            <w:lang w:val="x-none"/>
          </w:rPr>
          <m:t>1≤</m:t>
        </m:r>
        <m:r>
          <w:rPr>
            <w:rFonts w:ascii="Cambria Math" w:eastAsia="Malgun Gothic" w:hAnsi="Cambria Math"/>
            <w:lang w:val="x-none"/>
          </w:rPr>
          <m:t>k≤</m:t>
        </m:r>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Tx,PSFCH</m:t>
            </m:r>
          </m:sub>
        </m:sSub>
      </m:oMath>
      <w:r w:rsidRPr="00CD4F4D">
        <w:rPr>
          <w:lang w:val="en-US"/>
        </w:rPr>
        <w:t>,</w:t>
      </w:r>
      <w:r w:rsidRPr="00CD4F4D">
        <w:t xml:space="preserve"> on a</w:t>
      </w:r>
      <w:r w:rsidR="00664302">
        <w:t>ll the</w:t>
      </w:r>
      <w:r w:rsidRPr="00CD4F4D">
        <w:t xml:space="preserve"> resource pool</w:t>
      </w:r>
      <w:r w:rsidR="00664302">
        <w:t>s</w:t>
      </w:r>
      <w:r w:rsidRPr="00CD4F4D">
        <w:rPr>
          <w:iCs/>
        </w:rPr>
        <w:t xml:space="preserve"> </w:t>
      </w:r>
      <w:r w:rsidRPr="00CD4F4D">
        <w:t xml:space="preserve">in PSFCH transmission occasion </w:t>
      </w:r>
      <m:oMath>
        <m:r>
          <w:rPr>
            <w:rFonts w:ascii="Cambria Math" w:hAnsi="Cambria Math"/>
          </w:rPr>
          <m:t>i</m:t>
        </m:r>
      </m:oMath>
      <w:r w:rsidRPr="00CD4F4D">
        <w:rPr>
          <w:iCs/>
        </w:rPr>
        <w:t xml:space="preserve"> </w:t>
      </w:r>
      <w:r w:rsidR="00B51B2F">
        <w:rPr>
          <w:szCs w:val="18"/>
        </w:rPr>
        <w:t xml:space="preserve">on active SL BWP </w:t>
      </w:r>
      <m:oMath>
        <m:r>
          <w:rPr>
            <w:rFonts w:ascii="Cambria Math" w:hAnsi="Cambria Math"/>
            <w:szCs w:val="18"/>
          </w:rPr>
          <m:t>b</m:t>
        </m:r>
      </m:oMath>
      <w:r w:rsidR="00B51B2F">
        <w:rPr>
          <w:szCs w:val="18"/>
        </w:rPr>
        <w:t xml:space="preserve"> of carrier </w:t>
      </w:r>
      <m:oMath>
        <m:r>
          <w:rPr>
            <w:rFonts w:ascii="Cambria Math" w:hAnsi="Cambria Math"/>
            <w:szCs w:val="18"/>
          </w:rPr>
          <m:t>f</m:t>
        </m:r>
      </m:oMath>
      <w:r w:rsidR="00B51B2F" w:rsidRPr="00A77FF5">
        <w:rPr>
          <w:i/>
          <w:szCs w:val="18"/>
        </w:rPr>
        <w:t xml:space="preserve"> </w:t>
      </w:r>
      <w:r w:rsidRPr="00CD4F4D">
        <w:t>as</w:t>
      </w:r>
    </w:p>
    <w:p w14:paraId="1EF53DA4" w14:textId="5BDC6A7D" w:rsidR="00BB0A93" w:rsidRPr="00CD4F4D" w:rsidRDefault="00BB0A93" w:rsidP="00BB0A93">
      <w:pPr>
        <w:pStyle w:val="B1"/>
        <w:rPr>
          <w:rFonts w:eastAsia="Malgun Gothic"/>
        </w:rPr>
      </w:pPr>
      <w:r w:rsidRPr="00CD4F4D">
        <w:t>-</w:t>
      </w:r>
      <w:r w:rsidRPr="00CD4F4D">
        <w:tab/>
      </w:r>
      <w:r w:rsidRPr="00CD4F4D">
        <w:rPr>
          <w:rFonts w:eastAsia="Malgun Gothic"/>
          <w:lang w:val="en-US"/>
        </w:rPr>
        <w:t>if</w:t>
      </w:r>
      <w:r w:rsidRPr="00CD4F4D">
        <w:rPr>
          <w:rFonts w:eastAsia="Malgun Gothic"/>
        </w:rPr>
        <w:t xml:space="preserve"> </w:t>
      </w:r>
      <w:r w:rsidR="003E241B" w:rsidRPr="00882C4D">
        <w:rPr>
          <w:i/>
          <w:iCs/>
        </w:rPr>
        <w:t>dl-P0-PSFCH</w:t>
      </w:r>
      <w:r w:rsidRPr="00CD4F4D">
        <w:rPr>
          <w:rFonts w:eastAsia="Malgun Gothic"/>
          <w:i/>
        </w:rPr>
        <w:t xml:space="preserve"> </w:t>
      </w:r>
      <w:r w:rsidRPr="00CD4F4D">
        <w:rPr>
          <w:rFonts w:eastAsia="Malgun Gothic"/>
        </w:rPr>
        <w:t>is provided,</w:t>
      </w:r>
    </w:p>
    <w:p w14:paraId="414A7381" w14:textId="77777777" w:rsidR="00BB0A93" w:rsidRPr="00CD4F4D" w:rsidRDefault="00BB0A93" w:rsidP="00BB0A93">
      <w:pPr>
        <w:pStyle w:val="EQ"/>
      </w:pPr>
      <w:r w:rsidRPr="00CD4F4D">
        <w:rPr>
          <w:rFonts w:eastAsia="Malgun Gothic"/>
          <w:noProof w:val="0"/>
        </w:rPr>
        <w:tab/>
      </w:r>
      <m:oMath>
        <m:sSub>
          <m:sSubPr>
            <m:ctrlPr>
              <w:rPr>
                <w:rFonts w:ascii="Cambria Math" w:hAnsi="Cambria Math"/>
                <w:i/>
                <w:iCs/>
              </w:rPr>
            </m:ctrlPr>
          </m:sSubPr>
          <m:e>
            <m:r>
              <w:rPr>
                <w:rFonts w:ascii="Cambria Math" w:hAnsi="Cambria Math"/>
              </w:rPr>
              <m:t>P</m:t>
            </m:r>
          </m:e>
          <m:sub>
            <m:r>
              <m:rPr>
                <m:nor/>
              </m:rPr>
              <w:rPr>
                <w:iCs/>
              </w:rPr>
              <m:t>PSFCH</m:t>
            </m:r>
            <m:r>
              <m:rPr>
                <m:nor/>
              </m:rPr>
              <w:rPr>
                <w:rFonts w:ascii="Cambria Math"/>
                <w:iCs/>
              </w:rPr>
              <m:t>,one</m:t>
            </m:r>
            <m:ctrlPr>
              <w:rPr>
                <w:rFonts w:ascii="Cambria Math" w:hAnsi="Cambria Math"/>
                <w:iCs/>
              </w:rPr>
            </m:ctrlP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nor/>
              </m:rPr>
              <m:t>O</m:t>
            </m:r>
            <m:r>
              <m:rPr>
                <m:sty m:val="p"/>
              </m:rPr>
              <w:rPr>
                <w:rFonts w:ascii="Cambria Math" w:hAnsi="Cambria Math"/>
              </w:rPr>
              <m:t>,</m:t>
            </m:r>
            <m:r>
              <w:rPr>
                <w:rFonts w:ascii="Cambria Math" w:hAnsi="Cambria Math"/>
              </w:rPr>
              <m:t>PSFCH</m:t>
            </m:r>
          </m:sub>
        </m:sSub>
        <m:r>
          <m:rPr>
            <m:sty m:val="p"/>
          </m:rPr>
          <w:rPr>
            <w:rFonts w:ascii="Cambria Math" w:hAnsi="Cambria Math"/>
          </w:rPr>
          <m:t>+10</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m:rPr>
                    <m:sty m:val="p"/>
                  </m:rPr>
                  <w:rPr>
                    <w:rFonts w:ascii="Cambria Math" w:hAnsi="Cambria Math"/>
                  </w:rPr>
                  <m:t>10</m:t>
                </m:r>
              </m:sub>
            </m:sSub>
          </m:fName>
          <m:e>
            <m:d>
              <m:dPr>
                <m:ctrlPr>
                  <w:rPr>
                    <w:rFonts w:ascii="Cambria Math" w:hAnsi="Cambria Math"/>
                    <w:lang w:val="x-none"/>
                  </w:rPr>
                </m:ctrlPr>
              </m:dPr>
              <m:e>
                <m:sSup>
                  <m:sSupPr>
                    <m:ctrlPr>
                      <w:rPr>
                        <w:rFonts w:ascii="Cambria Math" w:hAnsi="Cambria Math"/>
                      </w:rPr>
                    </m:ctrlPr>
                  </m:sSupPr>
                  <m:e>
                    <m:r>
                      <m:rPr>
                        <m:sty m:val="p"/>
                      </m:rPr>
                      <w:rPr>
                        <w:rFonts w:ascii="Cambria Math" w:hAnsi="Cambria Math"/>
                      </w:rPr>
                      <m:t>2</m:t>
                    </m:r>
                  </m:e>
                  <m:sup>
                    <m:r>
                      <w:rPr>
                        <w:rFonts w:ascii="Cambria Math" w:hAnsi="Cambria Math"/>
                      </w:rPr>
                      <m:t>μ</m:t>
                    </m:r>
                  </m:sup>
                </m:sSup>
              </m:e>
            </m:d>
          </m:e>
        </m:func>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PSFCH</m:t>
            </m:r>
          </m:sub>
        </m:sSub>
        <m:r>
          <m:rPr>
            <m:sty m:val="p"/>
          </m:rPr>
          <w:rPr>
            <w:rFonts w:ascii="Cambria Math" w:hAnsi="Cambria Math"/>
          </w:rPr>
          <m:t>⋅</m:t>
        </m:r>
        <m:r>
          <w:rPr>
            <w:rFonts w:ascii="Cambria Math" w:hAnsi="Cambria Math"/>
          </w:rPr>
          <m:t>PL</m:t>
        </m:r>
      </m:oMath>
      <w:r w:rsidRPr="00CD4F4D">
        <w:t xml:space="preserve"> [dBm]</w:t>
      </w:r>
    </w:p>
    <w:p w14:paraId="603DE332" w14:textId="2346319A" w:rsidR="00BB0A93" w:rsidRDefault="0024141F" w:rsidP="0014760F">
      <w:pPr>
        <w:pStyle w:val="B2"/>
        <w:rPr>
          <w:rFonts w:eastAsia="Malgun Gothic"/>
          <w:lang w:eastAsia="ko-KR"/>
        </w:rPr>
      </w:pPr>
      <w:r>
        <w:rPr>
          <w:lang w:val="en-GB"/>
        </w:rPr>
        <w:t>w</w:t>
      </w:r>
      <w:r w:rsidRPr="00CD4F4D">
        <w:rPr>
          <w:rFonts w:eastAsia="Malgun Gothic"/>
          <w:lang w:eastAsia="ko-KR"/>
        </w:rPr>
        <w:t>here</w:t>
      </w:r>
    </w:p>
    <w:p w14:paraId="056F80DF" w14:textId="77777777" w:rsidR="00BB47BB" w:rsidRPr="00B8386D" w:rsidRDefault="00BB47BB" w:rsidP="00BB47BB">
      <w:pPr>
        <w:pStyle w:val="B2"/>
      </w:pPr>
      <w:r w:rsidRPr="00B8386D">
        <w:lastRenderedPageBreak/>
        <w:t>-</w:t>
      </w:r>
      <w:r w:rsidRPr="00B8386D">
        <w:tab/>
      </w:r>
      <m:oMath>
        <m:sSub>
          <m:sSubPr>
            <m:ctrlPr>
              <w:rPr>
                <w:rFonts w:ascii="Cambria Math" w:hAnsi="Cambria Math"/>
                <w:i/>
                <w:noProof/>
              </w:rPr>
            </m:ctrlPr>
          </m:sSubPr>
          <m:e>
            <m:r>
              <w:rPr>
                <w:rFonts w:ascii="Cambria Math" w:hAnsi="Cambria Math"/>
                <w:noProof/>
              </w:rPr>
              <m:t>P</m:t>
            </m:r>
          </m:e>
          <m:sub>
            <m:r>
              <m:rPr>
                <m:nor/>
              </m:rPr>
              <w:rPr>
                <w:noProof/>
              </w:rPr>
              <m:t>PSFCH</m:t>
            </m:r>
            <m:r>
              <m:rPr>
                <m:nor/>
              </m:rPr>
              <w:rPr>
                <w:rFonts w:ascii="Cambria Math"/>
                <w:noProof/>
              </w:rPr>
              <m:t>,one</m:t>
            </m:r>
            <m:ctrlPr>
              <w:rPr>
                <w:rFonts w:ascii="Cambria Math" w:hAnsi="Cambria Math"/>
                <w:noProof/>
              </w:rPr>
            </m:ctrlPr>
          </m:sub>
        </m:sSub>
      </m:oMath>
      <w:r w:rsidRPr="00B8386D">
        <w:t xml:space="preserve"> is applicable for</w:t>
      </w:r>
    </w:p>
    <w:p w14:paraId="21AFB185" w14:textId="77777777" w:rsidR="00BB47BB" w:rsidRPr="00B8386D" w:rsidRDefault="00BB47BB" w:rsidP="00BB47BB">
      <w:pPr>
        <w:pStyle w:val="B3"/>
      </w:pPr>
      <w:r w:rsidRPr="00B8386D">
        <w:t>-</w:t>
      </w:r>
      <w:r w:rsidRPr="00B8386D">
        <w:tab/>
      </w:r>
      <w:r w:rsidRPr="00B8386D">
        <w:rPr>
          <w:iCs/>
        </w:rPr>
        <w:t xml:space="preserve">the PRB of </w:t>
      </w:r>
      <w:r w:rsidRPr="00B8386D">
        <w:t>the PSFCH transmission</w:t>
      </w:r>
      <w:r w:rsidRPr="00B8386D">
        <w:rPr>
          <w:iCs/>
        </w:rPr>
        <w:t xml:space="preserve"> </w:t>
      </w:r>
      <w:r w:rsidRPr="00B8386D">
        <w:t>for operation without shared spectrum channel access,</w:t>
      </w:r>
    </w:p>
    <w:p w14:paraId="6C3A123B" w14:textId="6406DFCB" w:rsidR="00BB47BB" w:rsidRPr="00B8386D" w:rsidRDefault="00BB47BB" w:rsidP="00BB47BB">
      <w:pPr>
        <w:pStyle w:val="B3"/>
      </w:pPr>
      <w:r w:rsidRPr="00B8386D">
        <w:t>-</w:t>
      </w:r>
      <w:r w:rsidRPr="00B8386D">
        <w:tab/>
        <w:t xml:space="preserve">each PRB in the interlace of the PSFCH transmission for operation with shared spectrum channel access and </w:t>
      </w:r>
      <w:r w:rsidR="0024141F" w:rsidRPr="0070461C">
        <w:rPr>
          <w:i/>
        </w:rPr>
        <w:t>sl-TransmissionStructureForPSFCH</w:t>
      </w:r>
      <w:r w:rsidRPr="00B8386D">
        <w:rPr>
          <w:i/>
        </w:rPr>
        <w:t xml:space="preserve"> = </w:t>
      </w:r>
      <w:r w:rsidR="0024141F">
        <w:rPr>
          <w:i/>
        </w:rPr>
        <w:t>'</w:t>
      </w:r>
      <w:r w:rsidR="0024141F">
        <w:t>'</w:t>
      </w:r>
      <w:r w:rsidR="0024141F" w:rsidRPr="0070461C">
        <w:t>dedicatedInterlace</w:t>
      </w:r>
      <w:r w:rsidR="0024141F">
        <w:t>''</w:t>
      </w:r>
      <w:r w:rsidRPr="00B8386D">
        <w:t>,</w:t>
      </w:r>
    </w:p>
    <w:p w14:paraId="038027AC" w14:textId="1E55DA54" w:rsidR="00BB47BB" w:rsidRPr="00BB47BB" w:rsidRDefault="00BB47BB" w:rsidP="00BB47BB">
      <w:pPr>
        <w:pStyle w:val="B3"/>
      </w:pPr>
      <w:r w:rsidRPr="00B8386D">
        <w:t>-</w:t>
      </w:r>
      <w:r w:rsidRPr="00B8386D">
        <w:tab/>
        <w:t xml:space="preserve">each PRB in the subset of PRBs in the second interlace of the PSFCH transmission for operation with shared spectrum channel access and </w:t>
      </w:r>
      <w:r w:rsidR="0024141F" w:rsidRPr="0070461C">
        <w:rPr>
          <w:i/>
        </w:rPr>
        <w:t>sl-TransmissionStructureForPSFCH</w:t>
      </w:r>
      <w:r w:rsidRPr="00B8386D">
        <w:rPr>
          <w:i/>
        </w:rPr>
        <w:t xml:space="preserve"> = </w:t>
      </w:r>
      <w:r w:rsidR="0024141F">
        <w:t>'</w:t>
      </w:r>
      <w:r w:rsidR="0024141F" w:rsidRPr="0070461C">
        <w:t>commonInterlace</w:t>
      </w:r>
      <w:r w:rsidR="0024141F">
        <w:t>'</w:t>
      </w:r>
    </w:p>
    <w:p w14:paraId="4141CC02" w14:textId="3CAA94D9" w:rsidR="00BB0A93" w:rsidRPr="00CD4F4D" w:rsidRDefault="00BB0A93" w:rsidP="0014760F">
      <w:pPr>
        <w:pStyle w:val="B2"/>
        <w:rPr>
          <w:rFonts w:eastAsia="Malgun Gothic"/>
          <w:iCs/>
          <w:lang w:val="en-US"/>
        </w:rPr>
      </w:pPr>
      <w:r w:rsidRPr="00CD4F4D">
        <w:t>-</w:t>
      </w:r>
      <w:r w:rsidRPr="00CD4F4D">
        <w:tab/>
      </w:r>
      <m:oMath>
        <m:sSub>
          <m:sSubPr>
            <m:ctrlPr>
              <w:rPr>
                <w:rFonts w:ascii="Cambria Math" w:hAnsi="Cambria Math"/>
              </w:rPr>
            </m:ctrlPr>
          </m:sSubPr>
          <m:e>
            <m:r>
              <w:rPr>
                <w:rFonts w:ascii="Cambria Math" w:hAnsi="Cambria Math"/>
              </w:rPr>
              <m:t>P</m:t>
            </m:r>
          </m:e>
          <m:sub>
            <m:r>
              <m:rPr>
                <m:nor/>
              </m:rPr>
              <m:t>O</m:t>
            </m:r>
            <m:r>
              <m:rPr>
                <m:sty m:val="p"/>
              </m:rPr>
              <w:rPr>
                <w:rFonts w:ascii="Cambria Math" w:hAnsi="Cambria Math"/>
              </w:rPr>
              <m:t>,</m:t>
            </m:r>
            <m:r>
              <w:rPr>
                <w:rFonts w:ascii="Cambria Math" w:hAnsi="Cambria Math"/>
              </w:rPr>
              <m:t>PSFCH</m:t>
            </m:r>
          </m:sub>
        </m:sSub>
      </m:oMath>
      <w:r w:rsidRPr="00CD4F4D">
        <w:rPr>
          <w:lang w:val="en-US"/>
        </w:rPr>
        <w:t xml:space="preserve"> </w:t>
      </w:r>
      <w:r w:rsidRPr="00CD4F4D">
        <w:t xml:space="preserve">is a value of </w:t>
      </w:r>
      <w:r w:rsidR="003E241B" w:rsidRPr="00882C4D">
        <w:rPr>
          <w:i/>
          <w:iCs/>
        </w:rPr>
        <w:t>dl-P0-PSFCH</w:t>
      </w:r>
      <w:r w:rsidR="007C33DD">
        <w:rPr>
          <w:rFonts w:eastAsia="Malgun Gothic"/>
          <w:i/>
          <w:iCs/>
          <w:color w:val="000000"/>
        </w:rPr>
        <w:t xml:space="preserve">-r17, </w:t>
      </w:r>
      <w:r w:rsidR="007C33DD" w:rsidRPr="00C05E7D">
        <w:rPr>
          <w:rFonts w:eastAsia="Malgun Gothic"/>
          <w:iCs/>
          <w:color w:val="000000"/>
        </w:rPr>
        <w:t xml:space="preserve">if </w:t>
      </w:r>
      <w:r w:rsidR="007C33DD">
        <w:rPr>
          <w:rFonts w:eastAsia="Malgun Gothic"/>
        </w:rPr>
        <w:t xml:space="preserve">using the parameter is supported by the UE and the parameter is </w:t>
      </w:r>
      <w:r w:rsidR="007C33DD" w:rsidRPr="00C05E7D">
        <w:rPr>
          <w:rFonts w:eastAsia="Malgun Gothic"/>
          <w:iCs/>
          <w:color w:val="000000"/>
        </w:rPr>
        <w:t>provided</w:t>
      </w:r>
      <w:r w:rsidR="007C33DD">
        <w:rPr>
          <w:rFonts w:eastAsia="Malgun Gothic"/>
          <w:iCs/>
          <w:color w:val="000000"/>
        </w:rPr>
        <w:t>;</w:t>
      </w:r>
      <w:r w:rsidR="00BB47BB">
        <w:rPr>
          <w:rFonts w:eastAsia="Malgun Gothic"/>
          <w:iCs/>
          <w:color w:val="000000"/>
          <w:lang w:val="en-GB"/>
        </w:rPr>
        <w:t xml:space="preserve"> </w:t>
      </w:r>
      <w:r w:rsidR="007C33DD">
        <w:rPr>
          <w:rFonts w:eastAsia="Malgun Gothic"/>
        </w:rPr>
        <w:t xml:space="preserve">else </w:t>
      </w:r>
      <w:r w:rsidR="007C33DD" w:rsidRPr="00C05E7D">
        <w:rPr>
          <w:rFonts w:eastAsia="Malgun Gothic"/>
          <w:i/>
          <w:iCs/>
        </w:rPr>
        <w:t>dl-P0-PSFCH</w:t>
      </w:r>
      <w:r w:rsidR="007C33DD">
        <w:rPr>
          <w:rFonts w:eastAsia="Malgun Gothic"/>
          <w:i/>
          <w:iCs/>
          <w:color w:val="000000"/>
        </w:rPr>
        <w:t>-r16</w:t>
      </w:r>
      <w:r w:rsidR="007C33DD" w:rsidRPr="00B218B3">
        <w:rPr>
          <w:rFonts w:eastAsia="Malgun Gothic"/>
          <w:iCs/>
          <w:color w:val="000000"/>
        </w:rPr>
        <w:t xml:space="preserve"> </w:t>
      </w:r>
      <w:r w:rsidR="007C33DD">
        <w:rPr>
          <w:rFonts w:eastAsia="Malgun Gothic"/>
          <w:iCs/>
          <w:color w:val="000000"/>
        </w:rPr>
        <w:t>if</w:t>
      </w:r>
      <w:r w:rsidR="007C33DD" w:rsidRPr="00B218B3">
        <w:rPr>
          <w:rFonts w:eastAsia="Malgun Gothic"/>
          <w:iCs/>
          <w:color w:val="000000"/>
        </w:rPr>
        <w:t xml:space="preserve"> provided</w:t>
      </w:r>
      <w:r w:rsidRPr="00CD4F4D">
        <w:t xml:space="preserve"> </w:t>
      </w:r>
    </w:p>
    <w:p w14:paraId="143C3036" w14:textId="7C47A4AD" w:rsidR="00BB0A93" w:rsidRPr="00CD4F4D" w:rsidRDefault="00BB0A93" w:rsidP="0014760F">
      <w:pPr>
        <w:pStyle w:val="B2"/>
      </w:pPr>
      <w:r w:rsidRPr="00CD4F4D">
        <w:t>-</w:t>
      </w:r>
      <w:r w:rsidRPr="00CD4F4D">
        <w:tab/>
      </w:r>
      <m:oMath>
        <m:sSub>
          <m:sSubPr>
            <m:ctrlPr>
              <w:rPr>
                <w:rFonts w:ascii="Cambria Math" w:hAnsi="Cambria Math"/>
              </w:rPr>
            </m:ctrlPr>
          </m:sSubPr>
          <m:e>
            <m:r>
              <w:rPr>
                <w:rFonts w:ascii="Cambria Math" w:hAnsi="Cambria Math"/>
              </w:rPr>
              <m:t>α</m:t>
            </m:r>
          </m:e>
          <m:sub>
            <m:r>
              <w:rPr>
                <w:rFonts w:ascii="Cambria Math" w:hAnsi="Cambria Math"/>
              </w:rPr>
              <m:t>PSFCH</m:t>
            </m:r>
          </m:sub>
        </m:sSub>
      </m:oMath>
      <w:r w:rsidRPr="00CD4F4D">
        <w:t xml:space="preserve"> is a value of </w:t>
      </w:r>
      <w:r w:rsidR="003E241B" w:rsidRPr="00882C4D">
        <w:rPr>
          <w:i/>
          <w:iCs/>
        </w:rPr>
        <w:t>dl-</w:t>
      </w:r>
      <w:r w:rsidR="003E241B" w:rsidRPr="00882C4D">
        <w:rPr>
          <w:i/>
          <w:iCs/>
          <w:lang w:val="en-US"/>
        </w:rPr>
        <w:t>Alpha</w:t>
      </w:r>
      <w:r w:rsidR="003E241B" w:rsidRPr="00882C4D">
        <w:rPr>
          <w:i/>
          <w:iCs/>
        </w:rPr>
        <w:t>-PSFCH</w:t>
      </w:r>
      <w:r w:rsidRPr="00CD4F4D">
        <w:rPr>
          <w:iCs/>
          <w:lang w:val="en-US"/>
        </w:rPr>
        <w:t xml:space="preserve">, if </w:t>
      </w:r>
      <w:r w:rsidRPr="00CD4F4D">
        <w:t xml:space="preserve">provided; else, </w:t>
      </w:r>
      <m:oMath>
        <m:sSub>
          <m:sSubPr>
            <m:ctrlPr>
              <w:rPr>
                <w:rFonts w:ascii="Cambria Math" w:hAnsi="Cambria Math"/>
              </w:rPr>
            </m:ctrlPr>
          </m:sSubPr>
          <m:e>
            <m:r>
              <w:rPr>
                <w:rFonts w:ascii="Cambria Math" w:hAnsi="Cambria Math"/>
              </w:rPr>
              <m:t>α</m:t>
            </m:r>
          </m:e>
          <m:sub>
            <m:r>
              <w:rPr>
                <w:rFonts w:ascii="Cambria Math" w:hAnsi="Cambria Math"/>
              </w:rPr>
              <m:t>PFSCH</m:t>
            </m:r>
          </m:sub>
        </m:sSub>
        <m:r>
          <m:rPr>
            <m:sty m:val="p"/>
          </m:rPr>
          <w:rPr>
            <w:rFonts w:ascii="Cambria Math" w:hAnsi="Cambria Math"/>
          </w:rPr>
          <m:t>=1</m:t>
        </m:r>
      </m:oMath>
      <w:r w:rsidRPr="00CD4F4D">
        <w:t xml:space="preserve"> </w:t>
      </w:r>
    </w:p>
    <w:p w14:paraId="64124608" w14:textId="183D8FE3" w:rsidR="00BB0A93" w:rsidRPr="0066330F" w:rsidRDefault="00BB0A93" w:rsidP="00BB0A93">
      <w:pPr>
        <w:pStyle w:val="B3"/>
      </w:pPr>
      <w:r w:rsidRPr="0066330F">
        <w:t>-</w:t>
      </w:r>
      <w:r w:rsidRPr="0066330F">
        <w:tab/>
      </w:r>
      <m:oMath>
        <m:r>
          <w:rPr>
            <w:rFonts w:ascii="Cambria Math" w:hAnsi="Cambria Math"/>
          </w:rPr>
          <m:t>PL=P</m:t>
        </m:r>
        <m:sSub>
          <m:sSubPr>
            <m:ctrlPr>
              <w:rPr>
                <w:rFonts w:ascii="Cambria Math" w:hAnsi="Cambria Math"/>
                <w:i/>
              </w:rPr>
            </m:ctrlPr>
          </m:sSubPr>
          <m:e>
            <m:r>
              <w:rPr>
                <w:rFonts w:ascii="Cambria Math" w:hAnsi="Cambria Math"/>
              </w:rPr>
              <m:t>L</m:t>
            </m:r>
          </m:e>
          <m:sub>
            <m:r>
              <w:rPr>
                <w:rFonts w:ascii="Cambria Math" w:hAnsi="Cambria Math"/>
              </w:rPr>
              <m:t>b,f,c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oMath>
      <w:r w:rsidRPr="0066330F">
        <w:t xml:space="preserve"> </w:t>
      </w:r>
      <w:r w:rsidR="00923EF2" w:rsidRPr="0066330F">
        <w:t xml:space="preserve">when the active SL BWP is on a serving cell </w:t>
      </w:r>
      <m:oMath>
        <m:r>
          <w:rPr>
            <w:rFonts w:ascii="Cambria Math" w:hAnsi="Cambria Math"/>
            <w:szCs w:val="18"/>
          </w:rPr>
          <m:t>c</m:t>
        </m:r>
      </m:oMath>
      <w:r w:rsidR="00923EF2" w:rsidRPr="0066330F">
        <w:t xml:space="preserve">, </w:t>
      </w:r>
      <w:r w:rsidRPr="0066330F">
        <w:t xml:space="preserve">as described </w:t>
      </w:r>
      <w:r w:rsidR="006F5F9E" w:rsidRPr="0066330F">
        <w:t>in clause</w:t>
      </w:r>
      <w:r w:rsidRPr="0066330F">
        <w:t xml:space="preserve"> 7.1.1 except that</w:t>
      </w:r>
    </w:p>
    <w:p w14:paraId="2C158683" w14:textId="6CC16DA8" w:rsidR="00BB0A93" w:rsidRPr="006C7FF2" w:rsidRDefault="00BB0A93" w:rsidP="0014760F">
      <w:pPr>
        <w:pStyle w:val="B4"/>
      </w:pPr>
      <w:r>
        <w:t>-</w:t>
      </w:r>
      <w:r>
        <w:tab/>
      </w:r>
      <w:r>
        <w:rPr>
          <w:rFonts w:eastAsia="Malgun Gothic"/>
        </w:rPr>
        <w:t>t</w:t>
      </w:r>
      <w:r w:rsidRPr="00617171">
        <w:rPr>
          <w:rFonts w:eastAsia="Malgun Gothic"/>
        </w:rPr>
        <w:t xml:space="preserve">he RS resource </w:t>
      </w:r>
      <w:r>
        <w:rPr>
          <w:rFonts w:eastAsia="Malgun Gothic"/>
        </w:rPr>
        <w:t xml:space="preserve">is the one the UE </w:t>
      </w:r>
      <w:r w:rsidRPr="00617171">
        <w:rPr>
          <w:rFonts w:eastAsia="Malgun Gothic"/>
        </w:rPr>
        <w:t>use</w:t>
      </w:r>
      <w:r>
        <w:rPr>
          <w:rFonts w:eastAsia="Malgun Gothic"/>
        </w:rPr>
        <w:t>s</w:t>
      </w:r>
      <w:r w:rsidRPr="00617171">
        <w:rPr>
          <w:rFonts w:eastAsia="Malgun Gothic"/>
        </w:rPr>
        <w:t xml:space="preserve"> for </w:t>
      </w:r>
      <w:r>
        <w:rPr>
          <w:rFonts w:eastAsia="Malgun Gothic"/>
        </w:rPr>
        <w:t>determining a power</w:t>
      </w:r>
      <w:r w:rsidRPr="00617171">
        <w:rPr>
          <w:rFonts w:eastAsia="Malgun Gothic"/>
        </w:rPr>
        <w:t xml:space="preserve"> </w:t>
      </w:r>
      <w:r>
        <w:rPr>
          <w:rFonts w:eastAsia="Malgun Gothic"/>
        </w:rPr>
        <w:t>of</w:t>
      </w:r>
      <w:r w:rsidRPr="00617171">
        <w:rPr>
          <w:rFonts w:eastAsia="Malgun Gothic"/>
        </w:rPr>
        <w:t xml:space="preserve"> </w:t>
      </w:r>
      <w:r>
        <w:rPr>
          <w:rFonts w:eastAsia="Malgun Gothic"/>
        </w:rPr>
        <w:t xml:space="preserve">a </w:t>
      </w:r>
      <w:r w:rsidRPr="00617171">
        <w:rPr>
          <w:rFonts w:eastAsia="Malgun Gothic"/>
        </w:rPr>
        <w:t xml:space="preserve">PUSCH transmission scheduled by </w:t>
      </w:r>
      <w:r>
        <w:rPr>
          <w:rFonts w:eastAsia="Malgun Gothic"/>
        </w:rPr>
        <w:t xml:space="preserve">a </w:t>
      </w:r>
      <w:r w:rsidRPr="00617171">
        <w:rPr>
          <w:rFonts w:eastAsia="Malgun Gothic"/>
        </w:rPr>
        <w:t xml:space="preserve">DCI format 0_0 </w:t>
      </w:r>
      <w:r w:rsidR="00B51B2F" w:rsidRPr="00110065">
        <w:rPr>
          <w:lang w:val="x-none" w:eastAsia="zh-CN"/>
        </w:rPr>
        <w:t xml:space="preserve">in serving cell </w:t>
      </w:r>
      <m:oMath>
        <m:r>
          <w:rPr>
            <w:rFonts w:ascii="Cambria Math" w:hAnsi="Cambria Math"/>
            <w:szCs w:val="18"/>
          </w:rPr>
          <m:t>c</m:t>
        </m:r>
      </m:oMath>
      <w:r w:rsidR="00B51B2F" w:rsidRPr="00B5733C">
        <w:rPr>
          <w:rFonts w:eastAsia="Malgun Gothic"/>
        </w:rPr>
        <w:t xml:space="preserve"> </w:t>
      </w:r>
      <w:r w:rsidRPr="00617171">
        <w:rPr>
          <w:rFonts w:eastAsia="Malgun Gothic"/>
        </w:rPr>
        <w:t xml:space="preserve">when the UE </w:t>
      </w:r>
      <w:r>
        <w:rPr>
          <w:rFonts w:eastAsia="Malgun Gothic"/>
        </w:rPr>
        <w:t xml:space="preserve">is configured to </w:t>
      </w:r>
      <w:r w:rsidRPr="00617171">
        <w:rPr>
          <w:rFonts w:eastAsia="Malgun Gothic"/>
        </w:rPr>
        <w:t xml:space="preserve">monitor </w:t>
      </w:r>
      <w:r>
        <w:rPr>
          <w:rFonts w:eastAsia="Malgun Gothic"/>
        </w:rPr>
        <w:t xml:space="preserve">PDCCH for detection of </w:t>
      </w:r>
      <w:r w:rsidRPr="00617171">
        <w:rPr>
          <w:rFonts w:eastAsia="Malgun Gothic"/>
        </w:rPr>
        <w:t>DCI format 0_0</w:t>
      </w:r>
      <w:r w:rsidR="00B51B2F">
        <w:rPr>
          <w:rFonts w:eastAsia="Malgun Gothic"/>
        </w:rPr>
        <w:t xml:space="preserve"> </w:t>
      </w:r>
      <w:r w:rsidR="00B51B2F" w:rsidRPr="00110065">
        <w:rPr>
          <w:lang w:val="x-none" w:eastAsia="zh-CN"/>
        </w:rPr>
        <w:t xml:space="preserve">in serving cell </w:t>
      </w:r>
      <m:oMath>
        <m:r>
          <w:rPr>
            <w:rFonts w:ascii="Cambria Math" w:hAnsi="Cambria Math"/>
            <w:szCs w:val="18"/>
          </w:rPr>
          <m:t>c</m:t>
        </m:r>
      </m:oMath>
    </w:p>
    <w:p w14:paraId="50D60EC1" w14:textId="416D749E" w:rsidR="00BB0A93" w:rsidRPr="00CD4F4D" w:rsidRDefault="00BB0A93" w:rsidP="0014760F">
      <w:pPr>
        <w:pStyle w:val="B4"/>
      </w:pPr>
      <w:r>
        <w:t>-</w:t>
      </w:r>
      <w:r>
        <w:tab/>
      </w:r>
      <w:r>
        <w:rPr>
          <w:rFonts w:eastAsia="Malgun Gothic"/>
        </w:rPr>
        <w:t>t</w:t>
      </w:r>
      <w:r w:rsidRPr="00617171">
        <w:rPr>
          <w:rFonts w:eastAsia="Malgun Gothic"/>
        </w:rPr>
        <w:t xml:space="preserve">he RS resource </w:t>
      </w:r>
      <w:r>
        <w:rPr>
          <w:rFonts w:eastAsia="Malgun Gothic"/>
        </w:rPr>
        <w:t xml:space="preserve">is the one corresponding to the </w:t>
      </w:r>
      <w:r w:rsidRPr="00617171">
        <w:rPr>
          <w:rFonts w:eastAsia="Malgun Gothic"/>
        </w:rPr>
        <w:t xml:space="preserve">SS/PBCH block the UE uses to obtain MIB when the UE </w:t>
      </w:r>
      <w:r>
        <w:rPr>
          <w:rFonts w:eastAsia="Malgun Gothic"/>
        </w:rPr>
        <w:t xml:space="preserve">is not configured to </w:t>
      </w:r>
      <w:r w:rsidRPr="00617171">
        <w:rPr>
          <w:rFonts w:eastAsia="Malgun Gothic"/>
        </w:rPr>
        <w:t xml:space="preserve">monitor </w:t>
      </w:r>
      <w:r>
        <w:rPr>
          <w:rFonts w:eastAsia="Malgun Gothic"/>
        </w:rPr>
        <w:t xml:space="preserve">PDCCH for detection of </w:t>
      </w:r>
      <w:r w:rsidRPr="00617171">
        <w:rPr>
          <w:rFonts w:eastAsia="Malgun Gothic"/>
        </w:rPr>
        <w:t>DCI format 0_0</w:t>
      </w:r>
      <w:r w:rsidR="00B51B2F">
        <w:rPr>
          <w:rFonts w:eastAsia="Malgun Gothic"/>
        </w:rPr>
        <w:t xml:space="preserve"> </w:t>
      </w:r>
      <w:r w:rsidR="00B51B2F" w:rsidRPr="00110065">
        <w:rPr>
          <w:lang w:val="x-none" w:eastAsia="zh-CN"/>
        </w:rPr>
        <w:t xml:space="preserve">in serving cell </w:t>
      </w:r>
      <m:oMath>
        <m:r>
          <w:rPr>
            <w:rFonts w:ascii="Cambria Math" w:hAnsi="Cambria Math"/>
            <w:szCs w:val="18"/>
          </w:rPr>
          <m:t>c</m:t>
        </m:r>
      </m:oMath>
    </w:p>
    <w:p w14:paraId="65BC7509" w14:textId="77777777" w:rsidR="0024141F" w:rsidRPr="0024141F" w:rsidRDefault="0024141F" w:rsidP="0024141F">
      <w:pPr>
        <w:pStyle w:val="B2"/>
      </w:pPr>
      <w:r w:rsidRPr="0024141F">
        <w:t>-</w:t>
      </w:r>
      <w:r w:rsidRPr="0024141F">
        <w:tab/>
        <w:t xml:space="preserve">for operation with shared spectrum channel access and </w:t>
      </w:r>
      <w:r w:rsidRPr="0024141F">
        <w:rPr>
          <w:i/>
        </w:rPr>
        <w:t xml:space="preserve">sl-TransmissionStructureForPSFCH = </w:t>
      </w:r>
      <w:r w:rsidRPr="0024141F">
        <w:t xml:space="preserve">‘commonInterlace’, </w:t>
      </w:r>
      <m:oMath>
        <m:sSub>
          <m:sSubPr>
            <m:ctrlPr>
              <w:rPr>
                <w:rFonts w:ascii="Cambria Math" w:hAnsi="Cambria Math"/>
                <w:i/>
                <w:iCs/>
              </w:rPr>
            </m:ctrlPr>
          </m:sSubPr>
          <m:e>
            <m:r>
              <w:rPr>
                <w:rFonts w:ascii="Cambria Math" w:hAnsi="Cambria Math"/>
              </w:rPr>
              <m:t>P</m:t>
            </m:r>
          </m:e>
          <m:sub>
            <m:r>
              <m:rPr>
                <m:nor/>
              </m:rPr>
              <w:rPr>
                <w:iCs/>
              </w:rPr>
              <m:t>PSFCH</m:t>
            </m:r>
            <m:r>
              <m:rPr>
                <m:nor/>
              </m:rPr>
              <w:rPr>
                <w:rFonts w:ascii="Cambria Math"/>
                <w:iCs/>
              </w:rPr>
              <m:t>,k</m:t>
            </m:r>
            <m:ctrlPr>
              <w:rPr>
                <w:rFonts w:ascii="Cambria Math" w:hAnsi="Cambria Math"/>
                <w:iCs/>
              </w:rPr>
            </m:ctrlPr>
          </m:sub>
        </m:sSub>
        <m:r>
          <w:rPr>
            <w:rFonts w:ascii="Cambria Math" w:hAnsi="Cambria Math"/>
          </w:rPr>
          <m:t>(i)</m:t>
        </m:r>
      </m:oMath>
      <w:r w:rsidRPr="0024141F">
        <w:t xml:space="preserve"> includes the power on PRBs in both the first and second interlaces and, for more than one PSFCH transmissions from the UE, the power on any PRB in the first interlace is not accumulated among the more than one PSFCH transmissions within a same RB set and is same as the power </w:t>
      </w:r>
      <m:oMath>
        <m:sSub>
          <m:sSubPr>
            <m:ctrlPr>
              <w:rPr>
                <w:rFonts w:ascii="Cambria Math" w:hAnsi="Cambria Math"/>
                <w:i/>
                <w:iCs/>
                <w:noProof/>
              </w:rPr>
            </m:ctrlPr>
          </m:sSubPr>
          <m:e>
            <m:r>
              <w:rPr>
                <w:rFonts w:ascii="Cambria Math" w:hAnsi="Cambria Math"/>
                <w:noProof/>
              </w:rPr>
              <m:t>P</m:t>
            </m:r>
          </m:e>
          <m:sub>
            <m:r>
              <m:rPr>
                <m:nor/>
              </m:rPr>
              <w:rPr>
                <w:iCs/>
                <w:noProof/>
              </w:rPr>
              <m:t>PSFCH</m:t>
            </m:r>
            <m:r>
              <m:rPr>
                <m:nor/>
              </m:rPr>
              <w:rPr>
                <w:rFonts w:ascii="Cambria Math"/>
                <w:iCs/>
                <w:noProof/>
              </w:rPr>
              <m:t>,PRB,first,</m:t>
            </m:r>
            <m:r>
              <m:rPr>
                <m:nor/>
              </m:rPr>
              <w:rPr>
                <w:rFonts w:ascii="Cambria Math"/>
                <w:i/>
                <w:noProof/>
              </w:rPr>
              <m:t>k</m:t>
            </m:r>
            <m:ctrlPr>
              <w:rPr>
                <w:rFonts w:ascii="Cambria Math" w:hAnsi="Cambria Math"/>
                <w:iCs/>
                <w:noProof/>
              </w:rPr>
            </m:ctrlPr>
          </m:sub>
        </m:sSub>
        <m:r>
          <w:rPr>
            <w:rFonts w:ascii="Cambria Math" w:hAnsi="Cambria Math"/>
            <w:noProof/>
          </w:rPr>
          <m:t>(i)</m:t>
        </m:r>
      </m:oMath>
      <w:r w:rsidRPr="0024141F">
        <w:t xml:space="preserve"> on the PRB in the first interlace for PSFCH transmission </w:t>
      </w:r>
      <m:oMath>
        <m:r>
          <w:rPr>
            <w:rFonts w:ascii="Cambria Math" w:hAnsi="Cambria Math"/>
          </w:rPr>
          <m:t>k</m:t>
        </m:r>
      </m:oMath>
      <w:r w:rsidRPr="0024141F">
        <w:t xml:space="preserve">. </w:t>
      </w:r>
    </w:p>
    <w:p w14:paraId="3F00E0AC" w14:textId="162AE68B" w:rsidR="00BB0A93" w:rsidRPr="00CD4F4D" w:rsidRDefault="00BB0A93" w:rsidP="0014760F">
      <w:pPr>
        <w:pStyle w:val="B2"/>
        <w:rPr>
          <w:rFonts w:eastAsiaTheme="minorEastAsia"/>
          <w:lang w:val="en-GB"/>
        </w:rPr>
      </w:pPr>
      <w:r w:rsidRPr="00CD4F4D">
        <w:t>-</w:t>
      </w:r>
      <w:r w:rsidRPr="00CD4F4D">
        <w:tab/>
      </w:r>
      <w:r w:rsidRPr="00CD4F4D">
        <w:rPr>
          <w:rFonts w:eastAsiaTheme="minorEastAsia" w:hint="eastAsia"/>
        </w:rPr>
        <w:t xml:space="preserve">if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sch,Tx,PSFCH</m:t>
            </m:r>
          </m:sub>
        </m:sSub>
        <m:r>
          <w:rPr>
            <w:rFonts w:ascii="Cambria Math" w:eastAsia="Malgun Gothic" w:hAnsi="Cambria Math" w:hint="eastAsia"/>
            <w:noProof/>
            <w:lang w:val="en-GB"/>
          </w:rPr>
          <m:t>≤</m:t>
        </m:r>
        <m:sSub>
          <m:sSubPr>
            <m:ctrlPr>
              <w:rPr>
                <w:rFonts w:ascii="Cambria Math" w:eastAsia="Malgun Gothic" w:hAnsi="Cambria Math"/>
                <w:i/>
                <w:noProof/>
                <w:lang w:val="en-GB"/>
              </w:rPr>
            </m:ctrlPr>
          </m:sSubPr>
          <m:e>
            <m:r>
              <w:rPr>
                <w:rFonts w:ascii="Cambria Math" w:eastAsia="Malgun Gothic" w:hAnsi="Cambria Math"/>
                <w:noProof/>
                <w:lang w:val="en-GB"/>
              </w:rPr>
              <m:t>N</m:t>
            </m:r>
          </m:e>
          <m:sub>
            <m:r>
              <m:rPr>
                <m:sty m:val="p"/>
              </m:rPr>
              <w:rPr>
                <w:rFonts w:ascii="Cambria Math" w:eastAsia="Malgun Gothic" w:hAnsi="Cambria Math"/>
                <w:noProof/>
                <w:lang w:val="en-GB"/>
              </w:rPr>
              <m:t>max,PSFCH</m:t>
            </m:r>
          </m:sub>
        </m:sSub>
      </m:oMath>
    </w:p>
    <w:p w14:paraId="28B2F2B4" w14:textId="77777777" w:rsidR="005B7DA7" w:rsidRPr="005B7DA7" w:rsidRDefault="005B7DA7" w:rsidP="005B7DA7">
      <w:pPr>
        <w:pStyle w:val="B3"/>
      </w:pPr>
      <w:r w:rsidRPr="005B7DA7">
        <w:t>-</w:t>
      </w:r>
      <w:r w:rsidRPr="005B7DA7">
        <w:tab/>
        <w:t xml:space="preserve">if </w:t>
      </w:r>
      <m:oMath>
        <m:sSub>
          <m:sSubPr>
            <m:ctrlPr>
              <w:rPr>
                <w:rFonts w:ascii="Cambria Math" w:hAnsi="Cambria Math"/>
                <w:i/>
                <w:iCs/>
              </w:rPr>
            </m:ctrlPr>
          </m:sSubPr>
          <m:e>
            <m:r>
              <w:rPr>
                <w:rFonts w:ascii="Cambria Math" w:hAnsi="Cambria Math"/>
              </w:rPr>
              <m:t>P</m:t>
            </m:r>
          </m:e>
          <m:sub>
            <m:r>
              <m:rPr>
                <m:nor/>
              </m:rPr>
              <w:rPr>
                <w:iCs/>
              </w:rPr>
              <m:t>PSFCH</m:t>
            </m:r>
            <m:r>
              <m:rPr>
                <m:nor/>
              </m:rPr>
              <w:rPr>
                <w:rFonts w:ascii="Cambria Math"/>
                <w:iCs/>
              </w:rPr>
              <m:t>,one</m:t>
            </m:r>
            <m:ctrlPr>
              <w:rPr>
                <w:rFonts w:ascii="Cambria Math" w:hAnsi="Cambria Math"/>
                <w:iCs/>
              </w:rPr>
            </m:ctrlPr>
          </m:sub>
        </m:sSub>
        <m:r>
          <w:rPr>
            <w:rFonts w:ascii="Cambria Math" w:hAnsi="Cambria Math"/>
            <w:noProof/>
          </w:rPr>
          <m:t>+10lo</m:t>
        </m:r>
        <m:sSub>
          <m:sSubPr>
            <m:ctrlPr>
              <w:rPr>
                <w:rFonts w:ascii="Cambria Math" w:hAnsi="Cambria Math"/>
                <w:i/>
                <w:noProof/>
              </w:rPr>
            </m:ctrlPr>
          </m:sSubPr>
          <m:e>
            <m:r>
              <w:rPr>
                <w:rFonts w:ascii="Cambria Math" w:hAnsi="Cambria Math"/>
                <w:noProof/>
              </w:rPr>
              <m:t>g</m:t>
            </m:r>
          </m:e>
          <m:sub>
            <m:r>
              <w:rPr>
                <w:rFonts w:ascii="Cambria Math" w:hAnsi="Cambria Math"/>
                <w:noProof/>
              </w:rPr>
              <m:t>10</m:t>
            </m:r>
          </m:sub>
        </m:sSub>
        <m:d>
          <m:dPr>
            <m:ctrlPr>
              <w:rPr>
                <w:rFonts w:ascii="Cambria Math" w:hAnsi="Cambria Math"/>
                <w:i/>
                <w:noProof/>
              </w:rPr>
            </m:ctrlPr>
          </m:dPr>
          <m:e>
            <m:sSub>
              <m:sSubPr>
                <m:ctrlPr>
                  <w:rPr>
                    <w:rFonts w:ascii="Cambria Math" w:hAnsi="Cambria Math"/>
                    <w:i/>
                    <w:iCs/>
                  </w:rPr>
                </m:ctrlPr>
              </m:sSubPr>
              <m:e>
                <m:r>
                  <w:rPr>
                    <w:rFonts w:ascii="Cambria Math" w:hAnsi="Cambria Math"/>
                  </w:rPr>
                  <m:t>N</m:t>
                </m:r>
              </m:e>
              <m:sub>
                <m:r>
                  <m:rPr>
                    <m:nor/>
                  </m:rPr>
                  <w:rPr>
                    <w:iCs/>
                  </w:rPr>
                  <m:t>PSFCH</m:t>
                </m:r>
                <m:r>
                  <m:rPr>
                    <m:nor/>
                  </m:rPr>
                  <w:rPr>
                    <w:rFonts w:ascii="Cambria Math"/>
                    <w:iCs/>
                  </w:rPr>
                  <m:t>,one</m:t>
                </m:r>
                <m:ctrlPr>
                  <w:rPr>
                    <w:rFonts w:ascii="Cambria Math" w:hAnsi="Cambria Math"/>
                    <w:iCs/>
                  </w:rPr>
                </m:ctrlPr>
              </m:sub>
            </m:sSub>
          </m:e>
        </m:d>
        <m:r>
          <w:rPr>
            <w:rFonts w:ascii="Cambria Math" w:hAnsi="Cambria Math"/>
            <w:noProof/>
          </w:rPr>
          <m:t>≤</m:t>
        </m:r>
        <m:sSub>
          <m:sSubPr>
            <m:ctrlPr>
              <w:rPr>
                <w:rFonts w:ascii="Cambria Math" w:hAnsi="Cambria Math"/>
                <w:i/>
              </w:rPr>
            </m:ctrlPr>
          </m:sSubPr>
          <m:e>
            <m:r>
              <w:rPr>
                <w:rFonts w:ascii="Cambria Math" w:hAnsi="Cambria Math"/>
              </w:rPr>
              <m:t>P</m:t>
            </m:r>
          </m:e>
          <m:sub>
            <m:r>
              <m:rPr>
                <m:nor/>
              </m:rPr>
              <m:t>CMAX</m:t>
            </m:r>
            <m:ctrlPr>
              <w:rPr>
                <w:rFonts w:ascii="Cambria Math" w:hAnsi="Cambria Math"/>
              </w:rPr>
            </m:ctrlPr>
          </m:sub>
        </m:sSub>
      </m:oMath>
      <w:r w:rsidRPr="005B7DA7">
        <w:rPr>
          <w:lang w:val="en-US"/>
        </w:rPr>
        <w:t>,</w:t>
      </w:r>
      <w:r w:rsidRPr="005B7DA7">
        <w:t xml:space="preserve"> where </w:t>
      </w:r>
      <m:oMath>
        <m:sSub>
          <m:sSubPr>
            <m:ctrlPr>
              <w:rPr>
                <w:rFonts w:ascii="Cambria Math" w:hAnsi="Cambria Math"/>
                <w:i/>
              </w:rPr>
            </m:ctrlPr>
          </m:sSubPr>
          <m:e>
            <m:r>
              <w:rPr>
                <w:rFonts w:ascii="Cambria Math" w:hAnsi="Cambria Math"/>
              </w:rPr>
              <m:t>P</m:t>
            </m:r>
          </m:e>
          <m:sub>
            <m:r>
              <m:rPr>
                <m:nor/>
              </m:rPr>
              <m:t>CMAX</m:t>
            </m:r>
            <m:ctrlPr>
              <w:rPr>
                <w:rFonts w:ascii="Cambria Math" w:hAnsi="Cambria Math"/>
              </w:rPr>
            </m:ctrlPr>
          </m:sub>
        </m:sSub>
      </m:oMath>
      <w:r w:rsidRPr="005B7DA7">
        <w:t xml:space="preserve"> </w:t>
      </w:r>
      <w:r w:rsidRPr="005B7DA7">
        <w:rPr>
          <w:lang w:val="en-US"/>
        </w:rPr>
        <w:t>is</w:t>
      </w:r>
      <w:r w:rsidRPr="005B7DA7">
        <w:t xml:space="preserve"> determined for </w:t>
      </w:r>
      <m:oMath>
        <m:sSub>
          <m:sSubPr>
            <m:ctrlPr>
              <w:rPr>
                <w:rFonts w:ascii="Cambria Math" w:hAnsi="Cambria Math"/>
                <w:i/>
                <w:noProof/>
              </w:rPr>
            </m:ctrlPr>
          </m:sSubPr>
          <m:e>
            <m:r>
              <w:rPr>
                <w:rFonts w:ascii="Cambria Math" w:hAnsi="Cambria Math"/>
                <w:noProof/>
              </w:rPr>
              <m:t>N</m:t>
            </m:r>
          </m:e>
          <m:sub>
            <m:r>
              <m:rPr>
                <m:sty m:val="p"/>
              </m:rPr>
              <w:rPr>
                <w:rFonts w:ascii="Cambria Math" w:hAnsi="Cambria Math"/>
                <w:noProof/>
              </w:rPr>
              <m:t>sch,Tx,PSFCH</m:t>
            </m:r>
          </m:sub>
        </m:sSub>
      </m:oMath>
      <w:r w:rsidRPr="005B7DA7">
        <w:t xml:space="preserve"> PSFCH transmissions according to [8-1, TS 38.101-1] and</w:t>
      </w:r>
    </w:p>
    <w:p w14:paraId="7415AC25" w14:textId="77777777" w:rsidR="005B7DA7" w:rsidRPr="005B7DA7" w:rsidRDefault="005B7DA7" w:rsidP="005B7DA7">
      <w:pPr>
        <w:pStyle w:val="B4"/>
      </w:pPr>
      <w:bookmarkStart w:id="869" w:name="_Hlk151837463"/>
      <w:r w:rsidRPr="005B7DA7">
        <w:t>-</w:t>
      </w:r>
      <w:r w:rsidRPr="005B7DA7">
        <w:tab/>
      </w:r>
      <m:oMath>
        <m:sSub>
          <m:sSubPr>
            <m:ctrlPr>
              <w:rPr>
                <w:rFonts w:ascii="Cambria Math" w:hAnsi="Cambria Math"/>
                <w:i/>
                <w:iCs/>
              </w:rPr>
            </m:ctrlPr>
          </m:sSubPr>
          <m:e>
            <m:r>
              <w:rPr>
                <w:rFonts w:ascii="Cambria Math" w:hAnsi="Cambria Math"/>
              </w:rPr>
              <m:t>N</m:t>
            </m:r>
          </m:e>
          <m:sub>
            <m:r>
              <m:rPr>
                <m:nor/>
              </m:rPr>
              <w:rPr>
                <w:iCs/>
              </w:rPr>
              <m:t>PSFCH</m:t>
            </m:r>
            <m:r>
              <m:rPr>
                <m:nor/>
              </m:rPr>
              <w:rPr>
                <w:rFonts w:ascii="Cambria Math"/>
                <w:iCs/>
              </w:rPr>
              <m:t>,one</m:t>
            </m:r>
            <m:ctrlPr>
              <w:rPr>
                <w:rFonts w:ascii="Cambria Math" w:hAnsi="Cambria Math"/>
                <w:iCs/>
              </w:rPr>
            </m:ctrlPr>
          </m:sub>
        </m:sSub>
        <m:r>
          <w:rPr>
            <w:rFonts w:ascii="Cambria Math" w:hAnsi="Cambria Math"/>
          </w:rPr>
          <m:t>=</m:t>
        </m:r>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sch,Tx,PSFCH</m:t>
            </m:r>
          </m:sub>
        </m:sSub>
      </m:oMath>
      <w:r w:rsidRPr="005B7DA7">
        <w:t xml:space="preserve"> for operation without shared spectrum channel access</w:t>
      </w:r>
    </w:p>
    <w:bookmarkEnd w:id="869"/>
    <w:p w14:paraId="7E79EF97" w14:textId="77777777" w:rsidR="005B7DA7" w:rsidRPr="005B7DA7" w:rsidRDefault="005B7DA7" w:rsidP="005B7DA7">
      <w:pPr>
        <w:pStyle w:val="B5"/>
      </w:pPr>
      <w:r w:rsidRPr="005B7DA7">
        <w:t>-</w:t>
      </w:r>
      <w:r w:rsidRPr="005B7DA7">
        <w:tab/>
      </w:r>
      <m:oMath>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Tx,PSFCH</m:t>
            </m:r>
          </m:sub>
        </m:sSub>
        <m:r>
          <w:rPr>
            <w:rFonts w:ascii="Cambria Math" w:hAnsi="Cambria Math"/>
          </w:rPr>
          <m:t>=</m:t>
        </m:r>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sch,Tx,PSFCH</m:t>
            </m:r>
          </m:sub>
        </m:sSub>
      </m:oMath>
      <w:r w:rsidRPr="005B7DA7">
        <w:t xml:space="preserve"> and</w:t>
      </w:r>
      <w:r w:rsidRPr="005B7DA7">
        <w:rPr>
          <w:lang w:val="en-US"/>
        </w:rPr>
        <w:t xml:space="preserve"> </w:t>
      </w:r>
      <m:oMath>
        <m:sSub>
          <m:sSubPr>
            <m:ctrlPr>
              <w:rPr>
                <w:rFonts w:ascii="Cambria Math" w:hAnsi="Cambria Math"/>
                <w:noProof/>
              </w:rPr>
            </m:ctrlPr>
          </m:sSubPr>
          <m:e>
            <m:r>
              <w:rPr>
                <w:rFonts w:ascii="Cambria Math" w:hAnsi="Cambria Math"/>
                <w:noProof/>
              </w:rPr>
              <m:t>P</m:t>
            </m:r>
          </m:e>
          <m:sub>
            <m:r>
              <m:rPr>
                <m:nor/>
              </m:rPr>
              <w:rPr>
                <w:noProof/>
              </w:rPr>
              <m:t>PSFCH,k</m:t>
            </m:r>
          </m:sub>
        </m:sSub>
        <m:r>
          <m:rPr>
            <m:sty m:val="p"/>
          </m:rPr>
          <w:rPr>
            <w:rFonts w:ascii="Cambria Math" w:hAnsi="Cambria Math"/>
            <w:noProof/>
          </w:rPr>
          <m:t>(</m:t>
        </m:r>
        <m:r>
          <w:rPr>
            <w:rFonts w:ascii="Cambria Math" w:hAnsi="Cambria Math"/>
            <w:noProof/>
          </w:rPr>
          <m:t>i</m:t>
        </m:r>
        <m:r>
          <m:rPr>
            <m:sty m:val="p"/>
          </m:rPr>
          <w:rPr>
            <w:rFonts w:ascii="Cambria Math" w:hAnsi="Cambria Math"/>
            <w:noProof/>
          </w:rPr>
          <m:t>)=</m:t>
        </m:r>
        <m:sSub>
          <m:sSubPr>
            <m:ctrlPr>
              <w:rPr>
                <w:rFonts w:ascii="Cambria Math" w:hAnsi="Cambria Math"/>
                <w:i/>
                <w:iCs/>
              </w:rPr>
            </m:ctrlPr>
          </m:sSubPr>
          <m:e>
            <m:r>
              <w:rPr>
                <w:rFonts w:ascii="Cambria Math" w:hAnsi="Cambria Math"/>
              </w:rPr>
              <m:t>P</m:t>
            </m:r>
          </m:e>
          <m:sub>
            <m:r>
              <m:rPr>
                <m:nor/>
              </m:rPr>
              <w:rPr>
                <w:iCs/>
              </w:rPr>
              <m:t>PSFCH,one</m:t>
            </m:r>
            <m:ctrlPr>
              <w:rPr>
                <w:rFonts w:ascii="Cambria Math" w:hAnsi="Cambria Math"/>
                <w:iCs/>
              </w:rPr>
            </m:ctrlPr>
          </m:sub>
        </m:sSub>
      </m:oMath>
      <w:r w:rsidRPr="005B7DA7">
        <w:t xml:space="preserve"> [dBm] </w:t>
      </w:r>
    </w:p>
    <w:p w14:paraId="26E96047" w14:textId="697673FC" w:rsidR="005B7DA7" w:rsidRPr="005B7DA7" w:rsidRDefault="005B7DA7" w:rsidP="005B7DA7">
      <w:pPr>
        <w:pStyle w:val="B4"/>
      </w:pPr>
      <w:r w:rsidRPr="005B7DA7">
        <w:t>-</w:t>
      </w:r>
      <w:r w:rsidRPr="005B7DA7">
        <w:tab/>
      </w:r>
      <m:oMath>
        <m:sSub>
          <m:sSubPr>
            <m:ctrlPr>
              <w:rPr>
                <w:rFonts w:ascii="Cambria Math" w:hAnsi="Cambria Math"/>
                <w:i/>
                <w:iCs/>
              </w:rPr>
            </m:ctrlPr>
          </m:sSubPr>
          <m:e>
            <m:r>
              <w:rPr>
                <w:rFonts w:ascii="Cambria Math" w:hAnsi="Cambria Math"/>
              </w:rPr>
              <m:t>N</m:t>
            </m:r>
          </m:e>
          <m:sub>
            <m:r>
              <m:rPr>
                <m:nor/>
              </m:rPr>
              <w:rPr>
                <w:iCs/>
              </w:rPr>
              <m:t>PSFCH</m:t>
            </m:r>
            <m:r>
              <m:rPr>
                <m:nor/>
              </m:rPr>
              <w:rPr>
                <w:rFonts w:ascii="Cambria Math"/>
                <w:iCs/>
              </w:rPr>
              <m:t>,one</m:t>
            </m:r>
            <m:ctrlPr>
              <w:rPr>
                <w:rFonts w:ascii="Cambria Math" w:hAnsi="Cambria Math"/>
                <w:iCs/>
              </w:rPr>
            </m:ctrlPr>
          </m:sub>
        </m:sSub>
        <m:r>
          <w:rPr>
            <w:rFonts w:ascii="Cambria Math" w:hAnsi="Cambria Math"/>
          </w:rPr>
          <m:t>=</m:t>
        </m:r>
        <m:nary>
          <m:naryPr>
            <m:chr m:val="∑"/>
            <m:limLoc m:val="subSup"/>
            <m:ctrlPr>
              <w:rPr>
                <w:rFonts w:ascii="Cambria Math" w:hAnsi="Cambria Math"/>
                <w:i/>
              </w:rPr>
            </m:ctrlPr>
          </m:naryPr>
          <m:sub>
            <m:r>
              <w:rPr>
                <w:rFonts w:ascii="Cambria Math" w:hAnsi="Cambria Math"/>
              </w:rPr>
              <m:t>k=1</m:t>
            </m:r>
          </m:sub>
          <m:sup>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sch,Tx,PSFCH</m:t>
                </m:r>
              </m:sub>
            </m:sSub>
          </m:sup>
          <m:e>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r>
                  <w:rPr>
                    <w:rFonts w:ascii="Cambria Math" w:hAnsi="Cambria Math"/>
                  </w:rPr>
                  <m:t>k</m:t>
                </m:r>
              </m:sub>
              <m:sup>
                <m:r>
                  <m:rPr>
                    <m:sty m:val="p"/>
                  </m:rPr>
                  <w:rPr>
                    <w:rFonts w:ascii="Cambria Math" w:hAnsi="Cambria Math"/>
                  </w:rPr>
                  <m:t>interlace</m:t>
                </m:r>
              </m:sup>
            </m:sSubSup>
          </m:e>
        </m:nary>
      </m:oMath>
      <w:r w:rsidRPr="005B7DA7">
        <w:t xml:space="preserve"> for operation with shared spectrum channel access and </w:t>
      </w:r>
      <w:r w:rsidR="0024141F" w:rsidRPr="0070461C">
        <w:rPr>
          <w:i/>
        </w:rPr>
        <w:t>sl-TransmissionStructureForPSFCH</w:t>
      </w:r>
      <w:r w:rsidRPr="005B7DA7">
        <w:rPr>
          <w:i/>
        </w:rPr>
        <w:t xml:space="preserve"> = </w:t>
      </w:r>
      <w:r w:rsidR="0024141F">
        <w:t>'</w:t>
      </w:r>
      <w:r w:rsidR="0024141F" w:rsidRPr="0070461C">
        <w:t>dedicatedInterlace</w:t>
      </w:r>
      <w:r w:rsidR="0024141F">
        <w:t>'</w:t>
      </w:r>
      <w:r w:rsidRPr="005B7DA7">
        <w:t xml:space="preserve">, where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r>
              <w:rPr>
                <w:rFonts w:ascii="Cambria Math" w:hAnsi="Cambria Math"/>
              </w:rPr>
              <m:t>k</m:t>
            </m:r>
          </m:sub>
          <m:sup>
            <m:r>
              <m:rPr>
                <m:sty m:val="p"/>
              </m:rPr>
              <w:rPr>
                <w:rFonts w:ascii="Cambria Math" w:hAnsi="Cambria Math"/>
              </w:rPr>
              <m:t>interlace</m:t>
            </m:r>
          </m:sup>
        </m:sSubSup>
      </m:oMath>
      <w:r w:rsidRPr="005B7DA7">
        <w:t xml:space="preserve"> is the number of PRBs in the interlace for PSFCH transmission </w:t>
      </w:r>
      <m:oMath>
        <m:r>
          <w:rPr>
            <w:rFonts w:ascii="Cambria Math" w:hAnsi="Cambria Math"/>
          </w:rPr>
          <m:t>k</m:t>
        </m:r>
      </m:oMath>
    </w:p>
    <w:p w14:paraId="621F5756" w14:textId="1C00CA00" w:rsidR="005B7DA7" w:rsidRPr="005B7DA7" w:rsidRDefault="005B7DA7" w:rsidP="005B7DA7">
      <w:pPr>
        <w:pStyle w:val="B5"/>
      </w:pPr>
      <w:r w:rsidRPr="005B7DA7">
        <w:t>-</w:t>
      </w:r>
      <w:r w:rsidRPr="005B7DA7">
        <w:tab/>
      </w:r>
      <m:oMath>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Tx,PSFCH</m:t>
            </m:r>
          </m:sub>
        </m:sSub>
        <m:r>
          <w:rPr>
            <w:rFonts w:ascii="Cambria Math" w:hAnsi="Cambria Math"/>
          </w:rPr>
          <m:t>=</m:t>
        </m:r>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sch,Tx,PSFCH</m:t>
            </m:r>
          </m:sub>
        </m:sSub>
      </m:oMath>
      <w:r w:rsidRPr="005B7DA7">
        <w:t xml:space="preserve"> and </w:t>
      </w:r>
      <m:oMath>
        <m:sSub>
          <m:sSubPr>
            <m:ctrlPr>
              <w:rPr>
                <w:rFonts w:ascii="Cambria Math" w:hAnsi="Cambria Math"/>
                <w:noProof/>
              </w:rPr>
            </m:ctrlPr>
          </m:sSubPr>
          <m:e>
            <m:r>
              <w:rPr>
                <w:rFonts w:ascii="Cambria Math" w:hAnsi="Cambria Math"/>
                <w:noProof/>
              </w:rPr>
              <m:t>P</m:t>
            </m:r>
          </m:e>
          <m:sub>
            <m:r>
              <m:rPr>
                <m:nor/>
              </m:rPr>
              <w:rPr>
                <w:noProof/>
              </w:rPr>
              <m:t>PSFCH,k</m:t>
            </m:r>
          </m:sub>
        </m:sSub>
        <m:d>
          <m:dPr>
            <m:ctrlPr>
              <w:rPr>
                <w:rFonts w:ascii="Cambria Math" w:hAnsi="Cambria Math"/>
                <w:noProof/>
              </w:rPr>
            </m:ctrlPr>
          </m:dPr>
          <m:e>
            <m:r>
              <w:rPr>
                <w:rFonts w:ascii="Cambria Math" w:hAnsi="Cambria Math"/>
                <w:noProof/>
              </w:rPr>
              <m:t>i</m:t>
            </m:r>
          </m:e>
        </m:d>
        <m:r>
          <m:rPr>
            <m:sty m:val="p"/>
          </m:rPr>
          <w:rPr>
            <w:rFonts w:ascii="Cambria Math" w:hAnsi="Cambria Math"/>
            <w:noProof/>
          </w:rPr>
          <m:t>=</m:t>
        </m:r>
        <m:sSub>
          <m:sSubPr>
            <m:ctrlPr>
              <w:rPr>
                <w:rFonts w:ascii="Cambria Math" w:hAnsi="Cambria Math"/>
                <w:i/>
                <w:iCs/>
              </w:rPr>
            </m:ctrlPr>
          </m:sSubPr>
          <m:e>
            <m:r>
              <w:rPr>
                <w:rFonts w:ascii="Cambria Math" w:hAnsi="Cambria Math"/>
              </w:rPr>
              <m:t>P</m:t>
            </m:r>
          </m:e>
          <m:sub>
            <m:r>
              <m:rPr>
                <m:nor/>
              </m:rPr>
              <w:rPr>
                <w:iCs/>
              </w:rPr>
              <m:t>PSFCH,one</m:t>
            </m:r>
            <m:ctrlPr>
              <w:rPr>
                <w:rFonts w:ascii="Cambria Math" w:hAnsi="Cambria Math"/>
                <w:iCs/>
              </w:rPr>
            </m:ctrlPr>
          </m:sub>
        </m:sSub>
        <m:r>
          <w:rPr>
            <w:rFonts w:ascii="Cambria Math" w:hAnsi="Cambria Math"/>
          </w:rPr>
          <m:t>+</m:t>
        </m:r>
        <m:r>
          <w:rPr>
            <w:rFonts w:ascii="Cambria Math" w:hAnsi="Cambria Math"/>
            <w:noProof/>
          </w:rPr>
          <m:t>10lo</m:t>
        </m:r>
        <m:sSub>
          <m:sSubPr>
            <m:ctrlPr>
              <w:rPr>
                <w:rFonts w:ascii="Cambria Math" w:hAnsi="Cambria Math"/>
                <w:i/>
                <w:noProof/>
              </w:rPr>
            </m:ctrlPr>
          </m:sSubPr>
          <m:e>
            <m:r>
              <w:rPr>
                <w:rFonts w:ascii="Cambria Math" w:hAnsi="Cambria Math"/>
                <w:noProof/>
              </w:rPr>
              <m:t>g</m:t>
            </m:r>
          </m:e>
          <m:sub>
            <m:r>
              <w:rPr>
                <w:rFonts w:ascii="Cambria Math" w:hAnsi="Cambria Math"/>
                <w:noProof/>
              </w:rPr>
              <m:t>10</m:t>
            </m:r>
          </m:sub>
        </m:sSub>
        <m:d>
          <m:dPr>
            <m:ctrlPr>
              <w:rPr>
                <w:rFonts w:ascii="Cambria Math" w:hAnsi="Cambria Math"/>
                <w:i/>
                <w:noProof/>
              </w:rPr>
            </m:ctrlPr>
          </m:dPr>
          <m:e>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r>
                  <w:rPr>
                    <w:rFonts w:ascii="Cambria Math" w:hAnsi="Cambria Math"/>
                  </w:rPr>
                  <m:t>k</m:t>
                </m:r>
              </m:sub>
              <m:sup>
                <m:r>
                  <m:rPr>
                    <m:sty m:val="p"/>
                  </m:rPr>
                  <w:rPr>
                    <w:rFonts w:ascii="Cambria Math" w:hAnsi="Cambria Math"/>
                  </w:rPr>
                  <m:t>interlace</m:t>
                </m:r>
              </m:sup>
            </m:sSubSup>
          </m:e>
        </m:d>
      </m:oMath>
      <w:r w:rsidRPr="005B7DA7">
        <w:t xml:space="preserve"> [dBm], where the power on one PRB in the interlace for PSFCH transmission is </w:t>
      </w:r>
      <m:oMath>
        <m:sSub>
          <m:sSubPr>
            <m:ctrlPr>
              <w:rPr>
                <w:rFonts w:ascii="Cambria Math" w:hAnsi="Cambria Math"/>
                <w:i/>
                <w:iCs/>
                <w:noProof/>
              </w:rPr>
            </m:ctrlPr>
          </m:sSubPr>
          <m:e>
            <m:r>
              <w:rPr>
                <w:rFonts w:ascii="Cambria Math" w:hAnsi="Cambria Math"/>
                <w:noProof/>
              </w:rPr>
              <m:t>P</m:t>
            </m:r>
          </m:e>
          <m:sub>
            <m:r>
              <m:rPr>
                <m:nor/>
              </m:rPr>
              <w:rPr>
                <w:iCs/>
                <w:noProof/>
              </w:rPr>
              <m:t>PSFCH</m:t>
            </m:r>
            <m:r>
              <m:rPr>
                <m:nor/>
              </m:rPr>
              <w:rPr>
                <w:rFonts w:ascii="Cambria Math"/>
                <w:iCs/>
                <w:noProof/>
              </w:rPr>
              <m:t>,PRB,</m:t>
            </m:r>
            <m:r>
              <m:rPr>
                <m:nor/>
              </m:rPr>
              <w:rPr>
                <w:rFonts w:ascii="Cambria Math"/>
                <w:i/>
                <w:noProof/>
              </w:rPr>
              <m:t>k</m:t>
            </m:r>
            <m:ctrlPr>
              <w:rPr>
                <w:rFonts w:ascii="Cambria Math" w:hAnsi="Cambria Math"/>
                <w:iCs/>
                <w:noProof/>
              </w:rPr>
            </m:ctrlPr>
          </m:sub>
        </m:sSub>
        <m:r>
          <w:rPr>
            <w:rFonts w:ascii="Cambria Math" w:hAnsi="Cambria Math"/>
            <w:noProof/>
          </w:rPr>
          <m:t>(i)=</m:t>
        </m:r>
        <m:sSub>
          <m:sSubPr>
            <m:ctrlPr>
              <w:rPr>
                <w:rFonts w:ascii="Cambria Math" w:hAnsi="Cambria Math"/>
                <w:i/>
                <w:iCs/>
                <w:noProof/>
              </w:rPr>
            </m:ctrlPr>
          </m:sSubPr>
          <m:e>
            <m:r>
              <w:rPr>
                <w:rFonts w:ascii="Cambria Math" w:hAnsi="Cambria Math"/>
                <w:noProof/>
              </w:rPr>
              <m:t>P</m:t>
            </m:r>
          </m:e>
          <m:sub>
            <m:r>
              <m:rPr>
                <m:nor/>
              </m:rPr>
              <w:rPr>
                <w:iCs/>
                <w:noProof/>
              </w:rPr>
              <m:t>PSFCH</m:t>
            </m:r>
            <m:r>
              <m:rPr>
                <m:nor/>
              </m:rPr>
              <w:rPr>
                <w:rFonts w:ascii="Cambria Math"/>
                <w:iCs/>
                <w:noProof/>
              </w:rPr>
              <m:t>,one</m:t>
            </m:r>
            <m:ctrlPr>
              <w:rPr>
                <w:rFonts w:ascii="Cambria Math" w:hAnsi="Cambria Math"/>
                <w:iCs/>
                <w:noProof/>
              </w:rPr>
            </m:ctrlPr>
          </m:sub>
        </m:sSub>
      </m:oMath>
      <w:r w:rsidRPr="005B7DA7">
        <w:t xml:space="preserve"> </w:t>
      </w:r>
    </w:p>
    <w:p w14:paraId="67666C62" w14:textId="5E121DBE" w:rsidR="005B7DA7" w:rsidRPr="005B7DA7" w:rsidRDefault="005B7DA7" w:rsidP="005B7DA7">
      <w:pPr>
        <w:pStyle w:val="B4"/>
      </w:pPr>
      <w:r w:rsidRPr="005B7DA7">
        <w:t>-</w:t>
      </w:r>
      <w:r w:rsidRPr="005B7DA7">
        <w:tab/>
      </w:r>
      <m:oMath>
        <m:sSub>
          <m:sSubPr>
            <m:ctrlPr>
              <w:rPr>
                <w:rFonts w:ascii="Cambria Math" w:hAnsi="Cambria Math"/>
                <w:i/>
                <w:iCs/>
              </w:rPr>
            </m:ctrlPr>
          </m:sSubPr>
          <m:e>
            <m:r>
              <w:rPr>
                <w:rFonts w:ascii="Cambria Math" w:hAnsi="Cambria Math"/>
              </w:rPr>
              <m:t>N</m:t>
            </m:r>
          </m:e>
          <m:sub>
            <m:r>
              <m:rPr>
                <m:nor/>
              </m:rPr>
              <w:rPr>
                <w:iCs/>
              </w:rPr>
              <m:t>PSFCH,one</m:t>
            </m:r>
            <m:ctrlPr>
              <w:rPr>
                <w:rFonts w:ascii="Cambria Math" w:hAnsi="Cambria Math"/>
                <w:iCs/>
              </w:rPr>
            </m:ctrlPr>
          </m:sub>
        </m:sSub>
        <m:r>
          <w:rPr>
            <w:rFonts w:ascii="Cambria Math" w:hAnsi="Cambria Math"/>
          </w:rPr>
          <m:t>=</m:t>
        </m:r>
        <m:sSubSup>
          <m:sSubSupPr>
            <m:ctrlPr>
              <w:rPr>
                <w:rFonts w:ascii="Cambria Math" w:hAnsi="Cambria Math"/>
                <w:i/>
              </w:rPr>
            </m:ctrlPr>
          </m:sSubSupPr>
          <m:e>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sch,Tx,PSFCH</m:t>
                </m:r>
              </m:sub>
            </m:sSub>
            <m:r>
              <w:rPr>
                <w:rFonts w:ascii="Cambria Math" w:hAnsi="Cambria Math"/>
              </w:rPr>
              <m:t>⋅N</m:t>
            </m:r>
          </m:e>
          <m:sub>
            <m:r>
              <m:rPr>
                <m:sty m:val="p"/>
              </m:rPr>
              <w:rPr>
                <w:rFonts w:ascii="Cambria Math" w:hAnsi="Cambria Math"/>
              </w:rPr>
              <m:t>PSFCH,one</m:t>
            </m:r>
          </m:sub>
          <m:sup>
            <m:r>
              <m:rPr>
                <m:sty m:val="p"/>
              </m:rPr>
              <w:rPr>
                <w:rFonts w:ascii="Cambria Math" w:hAnsi="Cambria Math"/>
              </w:rPr>
              <m:t>interlace2</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sub>
          <m:sup>
            <m:r>
              <m:rPr>
                <m:sty m:val="p"/>
              </m:rPr>
              <w:rPr>
                <w:rFonts w:ascii="Cambria Math" w:hAnsi="Cambria Math"/>
              </w:rPr>
              <m:t>interlace</m:t>
            </m:r>
            <m:r>
              <w:rPr>
                <w:rFonts w:ascii="Cambria Math" w:hAnsi="Cambria Math"/>
              </w:rPr>
              <m:t>1</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PSFCH,offset</m:t>
                </m:r>
              </m:sub>
            </m:sSub>
            <m:r>
              <w:rPr>
                <w:rFonts w:ascii="Cambria Math" w:hAnsi="Cambria Math"/>
              </w:rPr>
              <m:t>/10)</m:t>
            </m:r>
          </m:sup>
        </m:sSup>
      </m:oMath>
      <w:r w:rsidRPr="005B7DA7">
        <w:t xml:space="preserve"> for operation with shared spectrum channel access and </w:t>
      </w:r>
      <w:r w:rsidR="0024141F" w:rsidRPr="0070461C">
        <w:rPr>
          <w:i/>
        </w:rPr>
        <w:t>sl-TransmissionStructureForPSFCH</w:t>
      </w:r>
      <w:r w:rsidRPr="005B7DA7">
        <w:rPr>
          <w:i/>
        </w:rPr>
        <w:t xml:space="preserve"> = </w:t>
      </w:r>
      <w:r w:rsidR="0024141F">
        <w:t>'</w:t>
      </w:r>
      <w:r w:rsidR="0024141F" w:rsidRPr="0070461C">
        <w:t>commonInterlace</w:t>
      </w:r>
      <w:r w:rsidR="0024141F">
        <w:t>'</w:t>
      </w:r>
      <w:r w:rsidRPr="005B7DA7">
        <w:t xml:space="preserve">, where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sub>
          <m:sup>
            <m:r>
              <m:rPr>
                <m:sty m:val="p"/>
              </m:rPr>
              <w:rPr>
                <w:rFonts w:ascii="Cambria Math" w:hAnsi="Cambria Math"/>
              </w:rPr>
              <m:t>interlace2</m:t>
            </m:r>
          </m:sup>
        </m:sSubSup>
      </m:oMath>
      <w:r w:rsidRPr="005B7DA7">
        <w:t xml:space="preserve"> is provided by </w:t>
      </w:r>
      <w:r w:rsidR="0024141F" w:rsidRPr="0070461C">
        <w:rPr>
          <w:i/>
        </w:rPr>
        <w:t>sl-NumDedicatedPRBs-ForPSFCH</w:t>
      </w:r>
      <w:r w:rsidRPr="005B7DA7">
        <w:t xml:space="preserve">, </w:t>
      </w:r>
      <m:oMath>
        <m:sSub>
          <m:sSubPr>
            <m:ctrlPr>
              <w:rPr>
                <w:rFonts w:ascii="Cambria Math" w:hAnsi="Cambria Math"/>
                <w:i/>
              </w:rPr>
            </m:ctrlPr>
          </m:sSubPr>
          <m:e>
            <m:r>
              <w:rPr>
                <w:rFonts w:ascii="Cambria Math" w:hAnsi="Cambria Math"/>
              </w:rPr>
              <m:t>P</m:t>
            </m:r>
          </m:e>
          <m:sub>
            <m:r>
              <m:rPr>
                <m:sty m:val="p"/>
              </m:rPr>
              <w:rPr>
                <w:rFonts w:ascii="Cambria Math" w:hAnsi="Cambria Math"/>
              </w:rPr>
              <m:t>PSFCH,offset</m:t>
            </m:r>
          </m:sub>
        </m:sSub>
      </m:oMath>
      <w:r w:rsidRPr="005B7DA7">
        <w:t xml:space="preserve"> is provided by </w:t>
      </w:r>
      <w:r w:rsidR="0024141F" w:rsidRPr="0070461C">
        <w:rPr>
          <w:i/>
        </w:rPr>
        <w:t>sl-PSFCH-PowerOffset</w:t>
      </w:r>
      <w:r w:rsidRPr="005B7DA7">
        <w:t>, and</w:t>
      </w:r>
      <m:oMath>
        <m:r>
          <w:rPr>
            <w:rFonts w:ascii="Cambria Math" w:hAnsi="Cambria Math"/>
          </w:rPr>
          <m:t xml:space="preserve"> </m:t>
        </m:r>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sub>
          <m:sup>
            <m:r>
              <m:rPr>
                <m:sty m:val="p"/>
              </m:rPr>
              <w:rPr>
                <w:rFonts w:ascii="Cambria Math" w:hAnsi="Cambria Math"/>
              </w:rPr>
              <m:t>interlace</m:t>
            </m:r>
            <m:r>
              <w:rPr>
                <w:rFonts w:ascii="Cambria Math" w:hAnsi="Cambria Math"/>
              </w:rPr>
              <m:t>1</m:t>
            </m:r>
          </m:sup>
        </m:sSubSup>
      </m:oMath>
      <w:r w:rsidRPr="005B7DA7">
        <w:t xml:space="preserve"> is the number of PRBs in the first interlace for all </w:t>
      </w:r>
      <m:oMath>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sch,Tx,PSFCH</m:t>
            </m:r>
          </m:sub>
        </m:sSub>
      </m:oMath>
      <w:r w:rsidRPr="005B7DA7">
        <w:t xml:space="preserve"> PSFCH transmissions after excluding PRBs for PSFCH transmissions as described in Clause 16.3.0</w:t>
      </w:r>
    </w:p>
    <w:p w14:paraId="5F58EC40" w14:textId="780BF316" w:rsidR="005B7DA7" w:rsidRPr="005B7DA7" w:rsidRDefault="005B7DA7" w:rsidP="005B7DA7">
      <w:pPr>
        <w:pStyle w:val="B5"/>
      </w:pPr>
      <w:r w:rsidRPr="005B7DA7">
        <w:t>-</w:t>
      </w:r>
      <w:r w:rsidRPr="005B7DA7">
        <w:tab/>
      </w:r>
      <m:oMath>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Tx,PSFCH</m:t>
            </m:r>
          </m:sub>
        </m:sSub>
        <m:r>
          <w:rPr>
            <w:rFonts w:ascii="Cambria Math" w:hAnsi="Cambria Math"/>
          </w:rPr>
          <m:t>=</m:t>
        </m:r>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sch,Tx,PSFCH</m:t>
            </m:r>
          </m:sub>
        </m:sSub>
      </m:oMath>
      <w:r w:rsidRPr="005B7DA7">
        <w:t xml:space="preserve"> and </w:t>
      </w:r>
      <m:oMath>
        <m:sSub>
          <m:sSubPr>
            <m:ctrlPr>
              <w:rPr>
                <w:rFonts w:ascii="Cambria Math" w:hAnsi="Cambria Math"/>
                <w:noProof/>
              </w:rPr>
            </m:ctrlPr>
          </m:sSubPr>
          <m:e>
            <m:r>
              <w:rPr>
                <w:rFonts w:ascii="Cambria Math" w:hAnsi="Cambria Math"/>
                <w:noProof/>
              </w:rPr>
              <m:t>P</m:t>
            </m:r>
          </m:e>
          <m:sub>
            <m:r>
              <m:rPr>
                <m:nor/>
              </m:rPr>
              <w:rPr>
                <w:noProof/>
              </w:rPr>
              <m:t>PSFCH,k</m:t>
            </m:r>
          </m:sub>
        </m:sSub>
        <m:d>
          <m:dPr>
            <m:ctrlPr>
              <w:rPr>
                <w:rFonts w:ascii="Cambria Math" w:hAnsi="Cambria Math"/>
                <w:noProof/>
              </w:rPr>
            </m:ctrlPr>
          </m:dPr>
          <m:e>
            <m:r>
              <w:rPr>
                <w:rFonts w:ascii="Cambria Math" w:hAnsi="Cambria Math"/>
                <w:noProof/>
              </w:rPr>
              <m:t>i</m:t>
            </m:r>
          </m:e>
        </m:d>
        <m:r>
          <m:rPr>
            <m:sty m:val="p"/>
          </m:rPr>
          <w:rPr>
            <w:rFonts w:ascii="Cambria Math" w:hAnsi="Cambria Math"/>
            <w:noProof/>
          </w:rPr>
          <m:t>=</m:t>
        </m:r>
        <m:sSub>
          <m:sSubPr>
            <m:ctrlPr>
              <w:rPr>
                <w:rFonts w:ascii="Cambria Math" w:hAnsi="Cambria Math"/>
                <w:i/>
                <w:iCs/>
              </w:rPr>
            </m:ctrlPr>
          </m:sSubPr>
          <m:e>
            <m:r>
              <w:rPr>
                <w:rFonts w:ascii="Cambria Math" w:hAnsi="Cambria Math"/>
              </w:rPr>
              <m:t>P</m:t>
            </m:r>
          </m:e>
          <m:sub>
            <m:r>
              <m:rPr>
                <m:nor/>
              </m:rPr>
              <w:rPr>
                <w:iCs/>
              </w:rPr>
              <m:t>PSFCH,one</m:t>
            </m:r>
            <m:ctrlPr>
              <w:rPr>
                <w:rFonts w:ascii="Cambria Math" w:hAnsi="Cambria Math"/>
                <w:iCs/>
              </w:rPr>
            </m:ctrlPr>
          </m:sub>
        </m:sSub>
        <m:r>
          <w:rPr>
            <w:rFonts w:ascii="Cambria Math" w:hAnsi="Cambria Math"/>
          </w:rPr>
          <m:t>+</m:t>
        </m:r>
        <m:r>
          <w:rPr>
            <w:rFonts w:ascii="Cambria Math" w:hAnsi="Cambria Math"/>
            <w:noProof/>
          </w:rPr>
          <m:t>10lo</m:t>
        </m:r>
        <m:sSub>
          <m:sSubPr>
            <m:ctrlPr>
              <w:rPr>
                <w:rFonts w:ascii="Cambria Math" w:hAnsi="Cambria Math"/>
                <w:i/>
                <w:noProof/>
              </w:rPr>
            </m:ctrlPr>
          </m:sSubPr>
          <m:e>
            <m:r>
              <w:rPr>
                <w:rFonts w:ascii="Cambria Math" w:hAnsi="Cambria Math"/>
                <w:noProof/>
              </w:rPr>
              <m:t>g</m:t>
            </m:r>
          </m:e>
          <m:sub>
            <m:r>
              <w:rPr>
                <w:rFonts w:ascii="Cambria Math" w:hAnsi="Cambria Math"/>
                <w:noProof/>
              </w:rPr>
              <m:t>10</m:t>
            </m:r>
          </m:sub>
        </m:sSub>
        <m:d>
          <m:dPr>
            <m:ctrlPr>
              <w:rPr>
                <w:rFonts w:ascii="Cambria Math" w:hAnsi="Cambria Math"/>
                <w:i/>
                <w:noProof/>
              </w:rPr>
            </m:ctrlPr>
          </m:dPr>
          <m:e>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sub>
              <m:sup>
                <m:r>
                  <m:rPr>
                    <m:sty m:val="p"/>
                  </m:rPr>
                  <w:rPr>
                    <w:rFonts w:ascii="Cambria Math" w:hAnsi="Cambria Math"/>
                  </w:rPr>
                  <m:t>interlace2</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sub>
              <m:sup>
                <m:r>
                  <m:rPr>
                    <m:sty m:val="p"/>
                  </m:rPr>
                  <w:rPr>
                    <w:rFonts w:ascii="Cambria Math" w:hAnsi="Cambria Math"/>
                  </w:rPr>
                  <m:t>interlace</m:t>
                </m:r>
                <m:r>
                  <w:rPr>
                    <w:rFonts w:ascii="Cambria Math" w:hAnsi="Cambria Math"/>
                  </w:rPr>
                  <m:t>1</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PSFCH,offset</m:t>
                    </m:r>
                  </m:sub>
                </m:sSub>
                <m:r>
                  <w:rPr>
                    <w:rFonts w:ascii="Cambria Math" w:hAnsi="Cambria Math"/>
                  </w:rPr>
                  <m:t>/10)</m:t>
                </m:r>
              </m:sup>
            </m:sSup>
          </m:e>
        </m:d>
      </m:oMath>
      <w:r w:rsidRPr="005B7DA7">
        <w:t xml:space="preserve"> [dBm], where the power on one PRB in the first interlace for PSFCH transmission is </w:t>
      </w:r>
      <m:oMath>
        <m:sSub>
          <m:sSubPr>
            <m:ctrlPr>
              <w:rPr>
                <w:rFonts w:ascii="Cambria Math" w:hAnsi="Cambria Math"/>
                <w:i/>
                <w:iCs/>
                <w:noProof/>
              </w:rPr>
            </m:ctrlPr>
          </m:sSubPr>
          <m:e>
            <m:r>
              <w:rPr>
                <w:rFonts w:ascii="Cambria Math" w:hAnsi="Cambria Math"/>
                <w:noProof/>
              </w:rPr>
              <m:t>P</m:t>
            </m:r>
          </m:e>
          <m:sub>
            <m:r>
              <m:rPr>
                <m:nor/>
              </m:rPr>
              <w:rPr>
                <w:iCs/>
                <w:noProof/>
              </w:rPr>
              <m:t>PSFCH,PRB,first,</m:t>
            </m:r>
            <m:r>
              <m:rPr>
                <m:nor/>
              </m:rPr>
              <w:rPr>
                <w:i/>
                <w:noProof/>
              </w:rPr>
              <m:t>k</m:t>
            </m:r>
            <m:ctrlPr>
              <w:rPr>
                <w:rFonts w:ascii="Cambria Math" w:hAnsi="Cambria Math"/>
                <w:iCs/>
                <w:noProof/>
              </w:rPr>
            </m:ctrlPr>
          </m:sub>
        </m:sSub>
        <m:r>
          <w:rPr>
            <w:rFonts w:ascii="Cambria Math" w:hAnsi="Cambria Math"/>
            <w:noProof/>
          </w:rPr>
          <m:t>(i)=</m:t>
        </m:r>
        <m:sSub>
          <m:sSubPr>
            <m:ctrlPr>
              <w:rPr>
                <w:rFonts w:ascii="Cambria Math" w:hAnsi="Cambria Math"/>
                <w:i/>
                <w:iCs/>
                <w:noProof/>
              </w:rPr>
            </m:ctrlPr>
          </m:sSubPr>
          <m:e>
            <m:sSub>
              <m:sSubPr>
                <m:ctrlPr>
                  <w:rPr>
                    <w:rFonts w:ascii="Cambria Math" w:hAnsi="Cambria Math"/>
                    <w:i/>
                    <w:iCs/>
                    <w:noProof/>
                  </w:rPr>
                </m:ctrlPr>
              </m:sSubPr>
              <m:e>
                <m:r>
                  <w:rPr>
                    <w:rFonts w:ascii="Cambria Math" w:hAnsi="Cambria Math"/>
                    <w:noProof/>
                  </w:rPr>
                  <m:t>P</m:t>
                </m:r>
              </m:e>
              <m:sub>
                <m:r>
                  <m:rPr>
                    <m:nor/>
                  </m:rPr>
                  <w:rPr>
                    <w:iCs/>
                    <w:noProof/>
                  </w:rPr>
                  <m:t>PSFCH,PRB,second,</m:t>
                </m:r>
                <m:r>
                  <m:rPr>
                    <m:nor/>
                  </m:rPr>
                  <w:rPr>
                    <w:i/>
                    <w:noProof/>
                  </w:rPr>
                  <m:t>k</m:t>
                </m:r>
                <m:ctrlPr>
                  <w:rPr>
                    <w:rFonts w:ascii="Cambria Math" w:hAnsi="Cambria Math"/>
                    <w:iCs/>
                    <w:noProof/>
                  </w:rPr>
                </m:ctrlPr>
              </m:sub>
            </m:sSub>
            <m:d>
              <m:dPr>
                <m:ctrlPr>
                  <w:rPr>
                    <w:rFonts w:ascii="Cambria Math" w:hAnsi="Cambria Math"/>
                    <w:i/>
                    <w:iCs/>
                    <w:noProof/>
                  </w:rPr>
                </m:ctrlPr>
              </m:dPr>
              <m:e>
                <m:r>
                  <w:rPr>
                    <w:rFonts w:ascii="Cambria Math" w:hAnsi="Cambria Math"/>
                    <w:noProof/>
                  </w:rPr>
                  <m:t>i</m:t>
                </m:r>
              </m:e>
            </m:d>
            <m:r>
              <w:rPr>
                <w:rFonts w:ascii="Cambria Math" w:hAnsi="Cambria Math"/>
                <w:noProof/>
              </w:rPr>
              <m:t>-P</m:t>
            </m:r>
          </m:e>
          <m:sub>
            <m:r>
              <m:rPr>
                <m:nor/>
              </m:rPr>
              <w:rPr>
                <w:iCs/>
                <w:noProof/>
              </w:rPr>
              <m:t>PSFCH,offset</m:t>
            </m:r>
            <m:ctrlPr>
              <w:rPr>
                <w:rFonts w:ascii="Cambria Math" w:hAnsi="Cambria Math"/>
                <w:iCs/>
                <w:noProof/>
              </w:rPr>
            </m:ctrlPr>
          </m:sub>
        </m:sSub>
      </m:oMath>
      <w:r w:rsidRPr="005B7DA7">
        <w:rPr>
          <w:iCs/>
        </w:rPr>
        <w:t xml:space="preserve"> and the </w:t>
      </w:r>
      <w:r w:rsidRPr="005B7DA7">
        <w:t xml:space="preserve">power on one PRB in the subset of PRBs in the second interlace for PSFCH transmission is </w:t>
      </w:r>
      <m:oMath>
        <m:sSub>
          <m:sSubPr>
            <m:ctrlPr>
              <w:rPr>
                <w:rFonts w:ascii="Cambria Math" w:hAnsi="Cambria Math"/>
                <w:i/>
                <w:iCs/>
                <w:noProof/>
              </w:rPr>
            </m:ctrlPr>
          </m:sSubPr>
          <m:e>
            <m:r>
              <w:rPr>
                <w:rFonts w:ascii="Cambria Math" w:hAnsi="Cambria Math"/>
                <w:noProof/>
              </w:rPr>
              <m:t>P</m:t>
            </m:r>
          </m:e>
          <m:sub>
            <m:r>
              <m:rPr>
                <m:nor/>
              </m:rPr>
              <w:rPr>
                <w:iCs/>
                <w:noProof/>
              </w:rPr>
              <m:t>PSFCH,PRB,second,</m:t>
            </m:r>
            <m:r>
              <m:rPr>
                <m:nor/>
              </m:rPr>
              <w:rPr>
                <w:i/>
                <w:noProof/>
              </w:rPr>
              <m:t>k</m:t>
            </m:r>
            <m:ctrlPr>
              <w:rPr>
                <w:rFonts w:ascii="Cambria Math" w:hAnsi="Cambria Math"/>
                <w:iCs/>
                <w:noProof/>
              </w:rPr>
            </m:ctrlPr>
          </m:sub>
        </m:sSub>
        <m:r>
          <w:rPr>
            <w:rFonts w:ascii="Cambria Math" w:hAnsi="Cambria Math"/>
            <w:noProof/>
          </w:rPr>
          <m:t>(i)=</m:t>
        </m:r>
        <m:sSub>
          <m:sSubPr>
            <m:ctrlPr>
              <w:rPr>
                <w:rFonts w:ascii="Cambria Math" w:hAnsi="Cambria Math"/>
                <w:i/>
                <w:iCs/>
                <w:noProof/>
              </w:rPr>
            </m:ctrlPr>
          </m:sSubPr>
          <m:e>
            <m:r>
              <w:rPr>
                <w:rFonts w:ascii="Cambria Math" w:hAnsi="Cambria Math"/>
                <w:noProof/>
              </w:rPr>
              <m:t>P</m:t>
            </m:r>
          </m:e>
          <m:sub>
            <m:r>
              <m:rPr>
                <m:nor/>
              </m:rPr>
              <w:rPr>
                <w:iCs/>
                <w:noProof/>
              </w:rPr>
              <m:t>PSFCH,one</m:t>
            </m:r>
            <m:ctrlPr>
              <w:rPr>
                <w:rFonts w:ascii="Cambria Math" w:hAnsi="Cambria Math"/>
                <w:iCs/>
                <w:noProof/>
              </w:rPr>
            </m:ctrlPr>
          </m:sub>
        </m:sSub>
      </m:oMath>
      <w:r w:rsidRPr="005B7DA7">
        <w:t xml:space="preserve">, where </w:t>
      </w:r>
      <m:oMath>
        <m:sSub>
          <m:sSubPr>
            <m:ctrlPr>
              <w:rPr>
                <w:rFonts w:ascii="Cambria Math" w:hAnsi="Cambria Math"/>
                <w:i/>
              </w:rPr>
            </m:ctrlPr>
          </m:sSubPr>
          <m:e>
            <m:r>
              <w:rPr>
                <w:rFonts w:ascii="Cambria Math" w:hAnsi="Cambria Math"/>
              </w:rPr>
              <m:t>P</m:t>
            </m:r>
          </m:e>
          <m:sub>
            <m:r>
              <m:rPr>
                <m:sty m:val="p"/>
              </m:rPr>
              <w:rPr>
                <w:rFonts w:ascii="Cambria Math" w:hAnsi="Cambria Math"/>
              </w:rPr>
              <m:t>PSFCH,offset</m:t>
            </m:r>
          </m:sub>
        </m:sSub>
      </m:oMath>
      <w:r w:rsidRPr="005B7DA7">
        <w:t xml:space="preserve"> is provided by </w:t>
      </w:r>
      <w:r w:rsidR="0024141F" w:rsidRPr="0070461C">
        <w:rPr>
          <w:i/>
        </w:rPr>
        <w:t>sl-PSFCH-PowerOffset</w:t>
      </w:r>
      <w:r w:rsidRPr="005B7DA7">
        <w:rPr>
          <w:iCs/>
        </w:rPr>
        <w:t xml:space="preserve"> </w:t>
      </w:r>
    </w:p>
    <w:p w14:paraId="46EBE424" w14:textId="77777777" w:rsidR="00BB0A93" w:rsidRPr="00CD4F4D" w:rsidRDefault="00BB0A93" w:rsidP="0014760F">
      <w:pPr>
        <w:pStyle w:val="B3"/>
        <w:rPr>
          <w:rFonts w:eastAsiaTheme="minorEastAsia"/>
          <w:lang w:val="en-US"/>
        </w:rPr>
      </w:pPr>
      <w:r w:rsidRPr="00CD4F4D">
        <w:t>-</w:t>
      </w:r>
      <w:r w:rsidRPr="00CD4F4D">
        <w:tab/>
      </w:r>
      <w:r w:rsidRPr="00CD4F4D">
        <w:rPr>
          <w:rFonts w:eastAsiaTheme="minorEastAsia"/>
          <w:lang w:val="en-US"/>
        </w:rPr>
        <w:t>else</w:t>
      </w:r>
    </w:p>
    <w:p w14:paraId="629C0D39" w14:textId="6D792D25" w:rsidR="00BB0A93" w:rsidRDefault="00BB0A93" w:rsidP="0014760F">
      <w:pPr>
        <w:pStyle w:val="B4"/>
        <w:rPr>
          <w:rFonts w:eastAsia="Malgun Gothic"/>
        </w:rPr>
      </w:pPr>
      <w:r w:rsidRPr="00543B26">
        <w:t>-</w:t>
      </w:r>
      <w:r w:rsidRPr="00543B26">
        <w:tab/>
      </w:r>
      <w:r w:rsidRPr="00543B26">
        <w:rPr>
          <w:rFonts w:eastAsia="Malgun Gothic"/>
        </w:rPr>
        <w:t xml:space="preserve">UE </w:t>
      </w:r>
      <w:r w:rsidRPr="00543B26">
        <w:rPr>
          <w:rFonts w:eastAsia="Malgun Gothic"/>
          <w:lang w:val="en-US"/>
        </w:rPr>
        <w:t xml:space="preserve">autonomously </w:t>
      </w:r>
      <w:r w:rsidRPr="00543B26">
        <w:rPr>
          <w:rFonts w:eastAsia="Malgun Gothic"/>
        </w:rPr>
        <w:t>determines</w:t>
      </w:r>
      <w:r w:rsidRPr="00543B26">
        <w:rPr>
          <w:rFonts w:eastAsiaTheme="minorEastAsia"/>
        </w:rPr>
        <w:t xml:space="preserve"> </w:t>
      </w:r>
      <m:oMath>
        <m:sSub>
          <m:sSubPr>
            <m:ctrlPr>
              <w:rPr>
                <w:rFonts w:ascii="Cambria Math" w:eastAsia="Malgun Gothic" w:hAnsi="Cambria Math"/>
                <w:i/>
                <w:noProof/>
                <w:szCs w:val="22"/>
              </w:rPr>
            </m:ctrlPr>
          </m:sSubPr>
          <m:e>
            <m:r>
              <w:rPr>
                <w:rFonts w:ascii="Cambria Math" w:eastAsia="Malgun Gothic" w:hAnsi="Cambria Math"/>
                <w:noProof/>
                <w:szCs w:val="22"/>
              </w:rPr>
              <m:t>N</m:t>
            </m:r>
          </m:e>
          <m:sub>
            <m:r>
              <m:rPr>
                <m:sty m:val="p"/>
              </m:rPr>
              <w:rPr>
                <w:rFonts w:ascii="Cambria Math" w:eastAsia="Malgun Gothic" w:hAnsi="Cambria Math"/>
                <w:noProof/>
                <w:szCs w:val="22"/>
              </w:rPr>
              <m:t>Tx,PSFCH</m:t>
            </m:r>
          </m:sub>
        </m:sSub>
      </m:oMath>
      <w:r w:rsidRPr="00543B26">
        <w:rPr>
          <w:rFonts w:eastAsia="Malgun Gothic"/>
        </w:rPr>
        <w:t xml:space="preserve"> PSFCH transmissions </w:t>
      </w:r>
      <w:r w:rsidR="00045723" w:rsidRPr="007053C7">
        <w:rPr>
          <w:rFonts w:eastAsia="Malgun Gothic"/>
        </w:rPr>
        <w:t xml:space="preserve">first </w:t>
      </w:r>
      <w:r w:rsidRPr="00543B26">
        <w:rPr>
          <w:rFonts w:eastAsia="Malgun Gothic"/>
        </w:rPr>
        <w:t xml:space="preserve">with ascending order </w:t>
      </w:r>
      <w:r w:rsidR="001E61E1" w:rsidRPr="009E3BD0">
        <w:rPr>
          <w:rFonts w:eastAsia="Malgun Gothic"/>
        </w:rPr>
        <w:t xml:space="preserve">of corresponding priority field values </w:t>
      </w:r>
      <w:r w:rsidRPr="00543B26">
        <w:rPr>
          <w:rFonts w:eastAsia="Malgun Gothic"/>
        </w:rPr>
        <w:t xml:space="preserve">as described </w:t>
      </w:r>
      <w:r w:rsidR="006F5F9E">
        <w:rPr>
          <w:rFonts w:eastAsia="Malgun Gothic"/>
        </w:rPr>
        <w:t>in clause</w:t>
      </w:r>
      <w:r w:rsidRPr="00543B26">
        <w:rPr>
          <w:rFonts w:eastAsia="Malgun Gothic"/>
        </w:rPr>
        <w:t xml:space="preserve"> 16.2.4.2 </w:t>
      </w:r>
      <w:r w:rsidR="00045723" w:rsidRPr="007053C7">
        <w:rPr>
          <w:rFonts w:eastAsia="Malgun Gothic"/>
        </w:rPr>
        <w:t xml:space="preserve">over the PSFCH transmissions with HARQ-ACK information, if any, and then with ascending order of priority value over the PSFCH </w:t>
      </w:r>
      <w:r w:rsidR="00045723" w:rsidRPr="007053C7">
        <w:rPr>
          <w:rFonts w:eastAsia="Malgun Gothic"/>
        </w:rPr>
        <w:lastRenderedPageBreak/>
        <w:t>transmissions with conflict information, if any,</w:t>
      </w:r>
      <w:r w:rsidR="00045723">
        <w:rPr>
          <w:rFonts w:eastAsia="Malgun Gothic"/>
        </w:rPr>
        <w:t xml:space="preserve"> </w:t>
      </w:r>
      <w:r w:rsidRPr="00543B26">
        <w:rPr>
          <w:rFonts w:eastAsia="Malgun Gothic"/>
        </w:rPr>
        <w:t xml:space="preserve">such that </w:t>
      </w:r>
      <m:oMath>
        <m:sSub>
          <m:sSubPr>
            <m:ctrlPr>
              <w:rPr>
                <w:rFonts w:ascii="Cambria Math" w:eastAsia="Malgun Gothic" w:hAnsi="Cambria Math"/>
                <w:i/>
                <w:noProof/>
                <w:szCs w:val="22"/>
              </w:rPr>
            </m:ctrlPr>
          </m:sSubPr>
          <m:e>
            <m:r>
              <w:rPr>
                <w:rFonts w:ascii="Cambria Math" w:eastAsia="Malgun Gothic" w:hAnsi="Cambria Math"/>
                <w:noProof/>
                <w:szCs w:val="22"/>
              </w:rPr>
              <m:t>N</m:t>
            </m:r>
          </m:e>
          <m:sub>
            <m:r>
              <m:rPr>
                <m:sty m:val="p"/>
              </m:rPr>
              <w:rPr>
                <w:rFonts w:ascii="Cambria Math" w:eastAsia="Malgun Gothic" w:hAnsi="Cambria Math"/>
                <w:noProof/>
                <w:szCs w:val="22"/>
              </w:rPr>
              <m:t>Tx,PSFCH</m:t>
            </m:r>
          </m:sub>
        </m:sSub>
        <m:r>
          <w:rPr>
            <w:rFonts w:ascii="Cambria Math" w:eastAsia="Malgun Gothic" w:hAnsi="Cambria Math"/>
          </w:rPr>
          <m:t>≥</m:t>
        </m:r>
        <m:func>
          <m:funcPr>
            <m:ctrlPr>
              <w:rPr>
                <w:rFonts w:ascii="Cambria Math" w:eastAsia="Malgun Gothic" w:hAnsi="Cambria Math"/>
                <w:i/>
              </w:rPr>
            </m:ctrlPr>
          </m:funcPr>
          <m:fName>
            <m:r>
              <m:rPr>
                <m:sty m:val="p"/>
              </m:rPr>
              <w:rPr>
                <w:rFonts w:ascii="Cambria Math" w:eastAsia="Malgun Gothic" w:hAnsi="Cambria Math"/>
              </w:rPr>
              <m:t>max</m:t>
            </m:r>
          </m:fName>
          <m:e>
            <m:d>
              <m:dPr>
                <m:ctrlPr>
                  <w:rPr>
                    <w:rFonts w:ascii="Cambria Math" w:eastAsia="Malgun Gothic" w:hAnsi="Cambria Math"/>
                    <w:i/>
                  </w:rPr>
                </m:ctrlPr>
              </m:dPr>
              <m:e>
                <m:r>
                  <w:rPr>
                    <w:rFonts w:ascii="Cambria Math" w:eastAsia="Malgun Gothic" w:hAnsi="Cambria Math"/>
                  </w:rPr>
                  <m:t>1,</m:t>
                </m:r>
                <m:nary>
                  <m:naryPr>
                    <m:chr m:val="∑"/>
                    <m:limLoc m:val="subSup"/>
                    <m:ctrlPr>
                      <w:rPr>
                        <w:rFonts w:ascii="Cambria Math" w:eastAsia="Malgun Gothic" w:hAnsi="Cambria Math"/>
                        <w:i/>
                      </w:rPr>
                    </m:ctrlPr>
                  </m:naryPr>
                  <m:sub>
                    <m:r>
                      <w:rPr>
                        <w:rFonts w:ascii="Cambria Math" w:eastAsia="Malgun Gothic" w:hAnsi="Cambria Math"/>
                      </w:rPr>
                      <m:t>i=1</m:t>
                    </m:r>
                  </m:sub>
                  <m:sup>
                    <m:r>
                      <w:rPr>
                        <w:rFonts w:ascii="Cambria Math" w:eastAsia="Malgun Gothic" w:hAnsi="Cambria Math"/>
                      </w:rPr>
                      <m:t>K</m:t>
                    </m:r>
                  </m:sup>
                  <m:e>
                    <m:sSub>
                      <m:sSubPr>
                        <m:ctrlPr>
                          <w:rPr>
                            <w:rFonts w:ascii="Cambria Math" w:eastAsia="Malgun Gothic" w:hAnsi="Cambria Math"/>
                            <w:i/>
                          </w:rPr>
                        </m:ctrlPr>
                      </m:sSubPr>
                      <m:e>
                        <m:r>
                          <w:rPr>
                            <w:rFonts w:ascii="Cambria Math" w:eastAsia="Malgun Gothic" w:hAnsi="Cambria Math"/>
                          </w:rPr>
                          <m:t>M</m:t>
                        </m:r>
                      </m:e>
                      <m:sub>
                        <m:r>
                          <w:rPr>
                            <w:rFonts w:ascii="Cambria Math" w:eastAsia="Malgun Gothic" w:hAnsi="Cambria Math"/>
                          </w:rPr>
                          <m:t>i</m:t>
                        </m:r>
                      </m:sub>
                    </m:sSub>
                  </m:e>
                </m:nary>
              </m:e>
            </m:d>
          </m:e>
        </m:func>
      </m:oMath>
      <w:r w:rsidRPr="00543B26">
        <w:rPr>
          <w:rFonts w:eastAsia="Malgun Gothic"/>
          <w:lang w:val="en-US"/>
        </w:rPr>
        <w:t xml:space="preserve"> </w:t>
      </w:r>
      <w:r w:rsidRPr="00543B26">
        <w:rPr>
          <w:rFonts w:eastAsia="Malgun Gothic"/>
        </w:rPr>
        <w:t xml:space="preserve">where </w:t>
      </w:r>
      <w:bookmarkStart w:id="870" w:name="_Hlk42444922"/>
      <m:oMath>
        <m:sSub>
          <m:sSubPr>
            <m:ctrlPr>
              <w:rPr>
                <w:rFonts w:ascii="Cambria Math" w:eastAsia="Malgun Gothic" w:hAnsi="Cambria Math"/>
                <w:i/>
              </w:rPr>
            </m:ctrlPr>
          </m:sSubPr>
          <m:e>
            <m:r>
              <w:rPr>
                <w:rFonts w:ascii="Cambria Math" w:eastAsia="Malgun Gothic" w:hAnsi="Cambria Math"/>
              </w:rPr>
              <m:t>M</m:t>
            </m:r>
          </m:e>
          <m:sub>
            <m:r>
              <w:rPr>
                <w:rFonts w:ascii="Cambria Math" w:eastAsia="Malgun Gothic" w:hAnsi="Cambria Math"/>
              </w:rPr>
              <m:t>i</m:t>
            </m:r>
          </m:sub>
        </m:sSub>
      </m:oMath>
      <w:bookmarkEnd w:id="870"/>
      <w:r w:rsidR="00045723" w:rsidRPr="007053C7">
        <w:rPr>
          <w:rFonts w:eastAsia="Malgun Gothic"/>
        </w:rPr>
        <w:t xml:space="preserve">, for </w:t>
      </w:r>
      <m:oMath>
        <m:r>
          <w:rPr>
            <w:rFonts w:ascii="Cambria Math" w:eastAsia="Malgun Gothic" w:hAnsi="Cambria Math"/>
          </w:rPr>
          <m:t>1≤i≤ 8</m:t>
        </m:r>
      </m:oMath>
      <w:r w:rsidR="00045723" w:rsidRPr="007053C7">
        <w:rPr>
          <w:rFonts w:eastAsia="Malgun Gothic"/>
        </w:rPr>
        <w:t>,</w:t>
      </w:r>
      <w:r w:rsidRPr="00543B26">
        <w:rPr>
          <w:rFonts w:eastAsia="Malgun Gothic"/>
          <w:lang w:val="en-US"/>
        </w:rPr>
        <w:t xml:space="preserve"> </w:t>
      </w:r>
      <w:r w:rsidRPr="00543B26">
        <w:rPr>
          <w:rFonts w:eastAsia="Malgun Gothic"/>
        </w:rPr>
        <w:t xml:space="preserve">is </w:t>
      </w:r>
      <w:r>
        <w:rPr>
          <w:rFonts w:eastAsia="Malgun Gothic"/>
          <w:lang w:val="en-US"/>
        </w:rPr>
        <w:t>a</w:t>
      </w:r>
      <w:r w:rsidRPr="00543B26">
        <w:rPr>
          <w:rFonts w:eastAsia="Malgun Gothic"/>
        </w:rPr>
        <w:t xml:space="preserve"> number of PSFCHs with priority value </w:t>
      </w:r>
      <m:oMath>
        <m:r>
          <w:rPr>
            <w:rFonts w:ascii="Cambria Math" w:eastAsia="Malgun Gothic" w:hAnsi="Cambria Math"/>
          </w:rPr>
          <m:t>i</m:t>
        </m:r>
      </m:oMath>
      <w:r w:rsidRPr="00543B26">
        <w:rPr>
          <w:rFonts w:eastAsia="Malgun Gothic"/>
        </w:rPr>
        <w:t xml:space="preserve"> </w:t>
      </w:r>
      <w:r w:rsidR="00045723" w:rsidRPr="007053C7">
        <w:rPr>
          <w:rFonts w:eastAsia="Malgun Gothic"/>
        </w:rPr>
        <w:t xml:space="preserve">for PSFCH with HARQ-ACK information and </w:t>
      </w:r>
      <m:oMath>
        <m:sSub>
          <m:sSubPr>
            <m:ctrlPr>
              <w:rPr>
                <w:rFonts w:ascii="Cambria Math" w:eastAsia="Malgun Gothic" w:hAnsi="Cambria Math"/>
                <w:i/>
              </w:rPr>
            </m:ctrlPr>
          </m:sSubPr>
          <m:e>
            <m:r>
              <w:rPr>
                <w:rFonts w:ascii="Cambria Math" w:eastAsia="Malgun Gothic" w:hAnsi="Cambria Math"/>
              </w:rPr>
              <m:t>M</m:t>
            </m:r>
          </m:e>
          <m:sub>
            <m:r>
              <w:rPr>
                <w:rFonts w:ascii="Cambria Math" w:eastAsia="Malgun Gothic" w:hAnsi="Cambria Math"/>
              </w:rPr>
              <m:t>i</m:t>
            </m:r>
          </m:sub>
        </m:sSub>
      </m:oMath>
      <w:r w:rsidR="00045723" w:rsidRPr="007053C7">
        <w:rPr>
          <w:rFonts w:eastAsia="Malgun Gothic"/>
        </w:rPr>
        <w:t xml:space="preserve">, for </w:t>
      </w:r>
      <m:oMath>
        <m:r>
          <w:rPr>
            <w:rFonts w:ascii="Cambria Math" w:eastAsia="Malgun Gothic" w:hAnsi="Cambria Math"/>
          </w:rPr>
          <m:t>i&gt;8</m:t>
        </m:r>
      </m:oMath>
      <w:r w:rsidR="00045723" w:rsidRPr="007053C7">
        <w:rPr>
          <w:rFonts w:eastAsia="Malgun Gothic"/>
        </w:rPr>
        <w:t>,</w:t>
      </w:r>
      <w:r w:rsidR="00045723" w:rsidRPr="007053C7">
        <w:rPr>
          <w:rFonts w:eastAsia="Malgun Gothic"/>
          <w:lang w:val="en-US"/>
        </w:rPr>
        <w:t xml:space="preserve"> </w:t>
      </w:r>
      <w:r w:rsidR="00045723" w:rsidRPr="007053C7">
        <w:rPr>
          <w:rFonts w:eastAsia="Malgun Gothic"/>
        </w:rPr>
        <w:t xml:space="preserve">is </w:t>
      </w:r>
      <w:r w:rsidR="00045723" w:rsidRPr="007053C7">
        <w:rPr>
          <w:rFonts w:eastAsia="Malgun Gothic"/>
          <w:lang w:val="en-US"/>
        </w:rPr>
        <w:t>a</w:t>
      </w:r>
      <w:r w:rsidR="00045723" w:rsidRPr="007053C7">
        <w:rPr>
          <w:rFonts w:eastAsia="Malgun Gothic"/>
        </w:rPr>
        <w:t xml:space="preserve"> number of PSFCHs with priority value </w:t>
      </w:r>
      <m:oMath>
        <m:r>
          <w:rPr>
            <w:rFonts w:ascii="Cambria Math" w:eastAsia="Malgun Gothic" w:hAnsi="Cambria Math"/>
          </w:rPr>
          <m:t>i-8</m:t>
        </m:r>
      </m:oMath>
      <w:r w:rsidR="00045723" w:rsidRPr="007053C7">
        <w:rPr>
          <w:rFonts w:eastAsia="Malgun Gothic"/>
        </w:rPr>
        <w:t xml:space="preserve"> for PSFCH with conflict information </w:t>
      </w:r>
      <w:r w:rsidRPr="00543B26">
        <w:rPr>
          <w:rFonts w:eastAsia="Malgun Gothic"/>
        </w:rPr>
        <w:t xml:space="preserve">and </w:t>
      </w:r>
      <m:oMath>
        <m:r>
          <w:rPr>
            <w:rFonts w:ascii="Cambria Math" w:eastAsia="Malgun Gothic" w:hAnsi="Cambria Math"/>
          </w:rPr>
          <m:t>K</m:t>
        </m:r>
      </m:oMath>
      <w:r w:rsidRPr="00543B26">
        <w:rPr>
          <w:rFonts w:eastAsia="Malgun Gothic"/>
        </w:rPr>
        <w:t xml:space="preserve"> is defined as </w:t>
      </w:r>
    </w:p>
    <w:p w14:paraId="37948AC6" w14:textId="77777777" w:rsidR="005F7DA0" w:rsidRPr="005F7DA0" w:rsidRDefault="005F7DA0" w:rsidP="005F7DA0">
      <w:pPr>
        <w:pStyle w:val="B5"/>
        <w:rPr>
          <w:i/>
          <w:iCs/>
          <w:lang w:val="en-US"/>
        </w:rPr>
      </w:pPr>
      <w:r w:rsidRPr="005F7DA0">
        <w:t>-</w:t>
      </w:r>
      <w:r w:rsidRPr="005F7DA0">
        <w:tab/>
      </w:r>
      <w:r w:rsidRPr="005F7DA0">
        <w:rPr>
          <w:iCs/>
        </w:rPr>
        <w:t xml:space="preserve">the largest value satisfying </w:t>
      </w:r>
      <m:oMath>
        <m:sSub>
          <m:sSubPr>
            <m:ctrlPr>
              <w:rPr>
                <w:rFonts w:ascii="Cambria Math" w:hAnsi="Cambria Math"/>
                <w:i/>
                <w:iCs/>
              </w:rPr>
            </m:ctrlPr>
          </m:sSubPr>
          <m:e>
            <m:r>
              <w:rPr>
                <w:rFonts w:ascii="Cambria Math" w:hAnsi="Cambria Math"/>
              </w:rPr>
              <m:t>P</m:t>
            </m:r>
          </m:e>
          <m:sub>
            <m:r>
              <m:rPr>
                <m:nor/>
              </m:rPr>
              <w:rPr>
                <w:iCs/>
              </w:rPr>
              <m:t>PSFCH</m:t>
            </m:r>
            <m:r>
              <m:rPr>
                <m:nor/>
              </m:rPr>
              <w:rPr>
                <w:rFonts w:ascii="Cambria Math"/>
                <w:iCs/>
              </w:rPr>
              <m:t>,one</m:t>
            </m:r>
            <m:ctrlPr>
              <w:rPr>
                <w:rFonts w:ascii="Cambria Math" w:hAnsi="Cambria Math"/>
                <w:iCs/>
              </w:rPr>
            </m:ctrlPr>
          </m:sub>
        </m:sSub>
        <m:r>
          <w:rPr>
            <w:rFonts w:ascii="Cambria Math" w:hAnsi="Cambria Math"/>
            <w:noProof/>
          </w:rPr>
          <m:t>+10lo</m:t>
        </m:r>
        <m:sSub>
          <m:sSubPr>
            <m:ctrlPr>
              <w:rPr>
                <w:rFonts w:ascii="Cambria Math" w:hAnsi="Cambria Math"/>
                <w:i/>
                <w:noProof/>
              </w:rPr>
            </m:ctrlPr>
          </m:sSubPr>
          <m:e>
            <m:r>
              <w:rPr>
                <w:rFonts w:ascii="Cambria Math" w:hAnsi="Cambria Math"/>
                <w:noProof/>
              </w:rPr>
              <m:t>g</m:t>
            </m:r>
          </m:e>
          <m:sub>
            <m:r>
              <w:rPr>
                <w:rFonts w:ascii="Cambria Math" w:hAnsi="Cambria Math"/>
                <w:noProof/>
              </w:rPr>
              <m:t>10</m:t>
            </m:r>
          </m:sub>
        </m:sSub>
        <m:d>
          <m:dPr>
            <m:ctrlPr>
              <w:rPr>
                <w:rFonts w:ascii="Cambria Math" w:hAnsi="Cambria Math"/>
                <w:i/>
                <w:noProof/>
              </w:rPr>
            </m:ctrlPr>
          </m:dPr>
          <m:e>
            <m:sSubSup>
              <m:sSubSupPr>
                <m:ctrlPr>
                  <w:rPr>
                    <w:rFonts w:ascii="Cambria Math" w:hAnsi="Cambria Math"/>
                    <w:i/>
                  </w:rPr>
                </m:ctrlPr>
              </m:sSubSupPr>
              <m:e>
                <m:r>
                  <w:rPr>
                    <w:rFonts w:ascii="Cambria Math" w:hAnsi="Cambria Math"/>
                  </w:rPr>
                  <m:t>N</m:t>
                </m:r>
              </m:e>
              <m:sub>
                <m:r>
                  <m:rPr>
                    <m:nor/>
                  </m:rPr>
                  <w:rPr>
                    <w:iCs/>
                  </w:rPr>
                  <m:t>PSFCH</m:t>
                </m:r>
                <m:r>
                  <m:rPr>
                    <m:nor/>
                  </m:rPr>
                  <w:rPr>
                    <w:rFonts w:ascii="Cambria Math"/>
                    <w:iCs/>
                  </w:rPr>
                  <m:t>,one</m:t>
                </m:r>
                <m:ctrlPr>
                  <w:rPr>
                    <w:rFonts w:ascii="Cambria Math" w:hAnsi="Cambria Math"/>
                    <w:iCs/>
                  </w:rPr>
                </m:ctrlPr>
              </m:sub>
              <m:sup>
                <m:r>
                  <w:rPr>
                    <w:rFonts w:ascii="Cambria Math" w:hAnsi="Cambria Math"/>
                  </w:rPr>
                  <m:t>K</m:t>
                </m:r>
              </m:sup>
            </m:sSubSup>
          </m:e>
        </m:d>
        <m:r>
          <w:rPr>
            <w:rFonts w:ascii="Cambria Math" w:hAnsi="Cambria Math"/>
            <w:noProof/>
          </w:rPr>
          <m:t>≤</m:t>
        </m:r>
        <m:sSub>
          <m:sSubPr>
            <m:ctrlPr>
              <w:rPr>
                <w:rFonts w:ascii="Cambria Math" w:hAnsi="Cambria Math"/>
                <w:i/>
              </w:rPr>
            </m:ctrlPr>
          </m:sSubPr>
          <m:e>
            <m:r>
              <w:rPr>
                <w:rFonts w:ascii="Cambria Math" w:hAnsi="Cambria Math"/>
              </w:rPr>
              <m:t>P</m:t>
            </m:r>
          </m:e>
          <m:sub>
            <m:r>
              <m:rPr>
                <m:nor/>
              </m:rPr>
              <m:t>CMAX</m:t>
            </m:r>
            <m:ctrlPr>
              <w:rPr>
                <w:rFonts w:ascii="Cambria Math" w:hAnsi="Cambria Math"/>
              </w:rPr>
            </m:ctrlPr>
          </m:sub>
        </m:sSub>
      </m:oMath>
      <w:r w:rsidRPr="005F7DA0">
        <w:rPr>
          <w:iCs/>
        </w:rPr>
        <w:t xml:space="preserve"> </w:t>
      </w:r>
      <w:r w:rsidRPr="005F7DA0">
        <w:t xml:space="preserve">where </w:t>
      </w:r>
      <m:oMath>
        <m:sSub>
          <m:sSubPr>
            <m:ctrlPr>
              <w:rPr>
                <w:rFonts w:ascii="Cambria Math" w:hAnsi="Cambria Math"/>
                <w:i/>
              </w:rPr>
            </m:ctrlPr>
          </m:sSubPr>
          <m:e>
            <m:r>
              <w:rPr>
                <w:rFonts w:ascii="Cambria Math" w:hAnsi="Cambria Math"/>
              </w:rPr>
              <m:t>P</m:t>
            </m:r>
          </m:e>
          <m:sub>
            <m:r>
              <m:rPr>
                <m:nor/>
              </m:rPr>
              <m:t>CMAX</m:t>
            </m:r>
            <m:ctrlPr>
              <w:rPr>
                <w:rFonts w:ascii="Cambria Math" w:hAnsi="Cambria Math"/>
              </w:rPr>
            </m:ctrlPr>
          </m:sub>
        </m:sSub>
      </m:oMath>
      <w:r w:rsidRPr="005F7DA0">
        <w:t xml:space="preserve"> is determined according to [8-1, TS 38.101-1] for transmission of all PSFCHs in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M</m:t>
                </m:r>
              </m:e>
              <m:sub>
                <m:r>
                  <w:rPr>
                    <w:rFonts w:ascii="Cambria Math" w:hAnsi="Cambria Math"/>
                  </w:rPr>
                  <m:t>i</m:t>
                </m:r>
              </m:sub>
            </m:sSub>
          </m:e>
        </m:nary>
      </m:oMath>
      <w:r w:rsidRPr="005F7DA0">
        <w:rPr>
          <w:iCs/>
          <w:lang w:val="en-US"/>
        </w:rPr>
        <w:t xml:space="preserve">, </w:t>
      </w:r>
      <w:r w:rsidRPr="005F7DA0">
        <w:rPr>
          <w:iCs/>
        </w:rPr>
        <w:t xml:space="preserve">if </w:t>
      </w:r>
      <w:r w:rsidRPr="005F7DA0">
        <w:rPr>
          <w:iCs/>
          <w:lang w:val="en-US"/>
        </w:rPr>
        <w:t>any</w:t>
      </w:r>
    </w:p>
    <w:p w14:paraId="589C9EA0" w14:textId="77777777" w:rsidR="005F7DA0" w:rsidRPr="005F7DA0" w:rsidRDefault="005F7DA0" w:rsidP="005F7DA0">
      <w:pPr>
        <w:pStyle w:val="B5"/>
        <w:ind w:left="1985"/>
      </w:pPr>
      <w:r w:rsidRPr="005F7DA0">
        <w:t>-</w:t>
      </w:r>
      <w:r w:rsidRPr="005F7DA0">
        <w:tab/>
      </w:r>
      <m:oMath>
        <m:sSubSup>
          <m:sSubSupPr>
            <m:ctrlPr>
              <w:rPr>
                <w:rFonts w:ascii="Cambria Math" w:hAnsi="Cambria Math"/>
                <w:i/>
              </w:rPr>
            </m:ctrlPr>
          </m:sSubSupPr>
          <m:e>
            <m:r>
              <w:rPr>
                <w:rFonts w:ascii="Cambria Math" w:hAnsi="Cambria Math"/>
              </w:rPr>
              <m:t>N</m:t>
            </m:r>
          </m:e>
          <m:sub>
            <m:r>
              <m:rPr>
                <m:nor/>
              </m:rPr>
              <w:rPr>
                <w:iCs/>
              </w:rPr>
              <m:t>PSFCH</m:t>
            </m:r>
            <m:r>
              <m:rPr>
                <m:nor/>
              </m:rPr>
              <w:rPr>
                <w:rFonts w:ascii="Cambria Math"/>
                <w:iCs/>
              </w:rPr>
              <m:t>,one</m:t>
            </m:r>
            <m:ctrlPr>
              <w:rPr>
                <w:rFonts w:ascii="Cambria Math" w:hAnsi="Cambria Math"/>
                <w:iCs/>
              </w:rPr>
            </m:ctrlPr>
          </m:sub>
          <m:sup>
            <m:r>
              <w:rPr>
                <w:rFonts w:ascii="Cambria Math" w:hAnsi="Cambria Math"/>
              </w:rPr>
              <m:t>K</m:t>
            </m:r>
          </m:sup>
        </m:sSubSup>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1,</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M</m:t>
                        </m:r>
                      </m:e>
                      <m:sub>
                        <m:r>
                          <w:rPr>
                            <w:rFonts w:ascii="Cambria Math" w:hAnsi="Cambria Math"/>
                          </w:rPr>
                          <m:t>i</m:t>
                        </m:r>
                      </m:sub>
                    </m:sSub>
                  </m:e>
                </m:nary>
              </m:e>
            </m:d>
          </m:e>
        </m:func>
      </m:oMath>
      <w:r w:rsidRPr="005F7DA0">
        <w:t xml:space="preserve"> for operation without shared spectrum channel access</w:t>
      </w:r>
    </w:p>
    <w:p w14:paraId="0B7E5205" w14:textId="10606563" w:rsidR="005F7DA0" w:rsidRPr="005F7DA0" w:rsidRDefault="005F7DA0" w:rsidP="005F7DA0">
      <w:pPr>
        <w:pStyle w:val="B5"/>
        <w:ind w:left="1985"/>
      </w:pPr>
      <w:r w:rsidRPr="005F7DA0">
        <w:t>-</w:t>
      </w:r>
      <w:r w:rsidRPr="005F7DA0">
        <w:tab/>
      </w:r>
      <m:oMath>
        <m:sSubSup>
          <m:sSubSupPr>
            <m:ctrlPr>
              <w:rPr>
                <w:rFonts w:ascii="Cambria Math" w:hAnsi="Cambria Math"/>
                <w:i/>
              </w:rPr>
            </m:ctrlPr>
          </m:sSubSupPr>
          <m:e>
            <m:r>
              <w:rPr>
                <w:rFonts w:ascii="Cambria Math" w:hAnsi="Cambria Math"/>
              </w:rPr>
              <m:t>N</m:t>
            </m:r>
          </m:e>
          <m:sub>
            <m:r>
              <m:rPr>
                <m:nor/>
              </m:rPr>
              <w:rPr>
                <w:iCs/>
              </w:rPr>
              <m:t>PSFCH</m:t>
            </m:r>
            <m:r>
              <m:rPr>
                <m:nor/>
              </m:rPr>
              <w:rPr>
                <w:rFonts w:ascii="Cambria Math"/>
                <w:iCs/>
              </w:rPr>
              <m:t>,one</m:t>
            </m:r>
            <m:ctrlPr>
              <w:rPr>
                <w:rFonts w:ascii="Cambria Math" w:hAnsi="Cambria Math"/>
                <w:iCs/>
              </w:rPr>
            </m:ctrlPr>
          </m:sub>
          <m:sup>
            <m:r>
              <w:rPr>
                <w:rFonts w:ascii="Cambria Math" w:hAnsi="Cambria Math"/>
              </w:rPr>
              <m:t>K</m:t>
            </m:r>
          </m:sup>
        </m:sSubSup>
        <m:r>
          <w:rPr>
            <w:rFonts w:ascii="Cambria Math" w:hAnsi="Cambria Math"/>
          </w:rPr>
          <m:t>=</m:t>
        </m:r>
        <m:nary>
          <m:naryPr>
            <m:chr m:val="∑"/>
            <m:limLoc m:val="subSup"/>
            <m:ctrlPr>
              <w:rPr>
                <w:rFonts w:ascii="Cambria Math" w:hAnsi="Cambria Math"/>
                <w:i/>
              </w:rPr>
            </m:ctrlPr>
          </m:naryPr>
          <m:sub>
            <m:r>
              <w:rPr>
                <w:rFonts w:ascii="Cambria Math" w:hAnsi="Cambria Math"/>
              </w:rPr>
              <m:t>k=1</m:t>
            </m:r>
          </m:sub>
          <m:sup>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1,</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M</m:t>
                            </m:r>
                          </m:e>
                          <m:sub>
                            <m:r>
                              <w:rPr>
                                <w:rFonts w:ascii="Cambria Math" w:hAnsi="Cambria Math"/>
                              </w:rPr>
                              <m:t>i</m:t>
                            </m:r>
                          </m:sub>
                        </m:sSub>
                      </m:e>
                    </m:nary>
                  </m:e>
                </m:d>
              </m:e>
            </m:func>
          </m:sup>
          <m:e>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r>
                  <w:rPr>
                    <w:rFonts w:ascii="Cambria Math" w:hAnsi="Cambria Math"/>
                  </w:rPr>
                  <m:t>k</m:t>
                </m:r>
              </m:sub>
              <m:sup>
                <m:r>
                  <m:rPr>
                    <m:sty m:val="p"/>
                  </m:rPr>
                  <w:rPr>
                    <w:rFonts w:ascii="Cambria Math" w:hAnsi="Cambria Math"/>
                  </w:rPr>
                  <m:t>interlace</m:t>
                </m:r>
              </m:sup>
            </m:sSubSup>
          </m:e>
        </m:nary>
      </m:oMath>
      <w:r w:rsidRPr="005F7DA0">
        <w:t xml:space="preserve"> for operation with shared spectrum channel access and </w:t>
      </w:r>
      <w:r w:rsidR="0024141F" w:rsidRPr="0070461C">
        <w:rPr>
          <w:i/>
        </w:rPr>
        <w:t>sl-TransmissionStructureForPSFCH</w:t>
      </w:r>
      <w:r w:rsidRPr="005F7DA0">
        <w:rPr>
          <w:i/>
        </w:rPr>
        <w:t xml:space="preserve"> = </w:t>
      </w:r>
      <w:r w:rsidR="0024141F">
        <w:t>'</w:t>
      </w:r>
      <w:r w:rsidR="0024141F" w:rsidRPr="0070461C">
        <w:t>dedicatedInterlace</w:t>
      </w:r>
      <w:r w:rsidR="0024141F">
        <w:t>'</w:t>
      </w:r>
    </w:p>
    <w:p w14:paraId="081D40E4" w14:textId="6ABC0AB8" w:rsidR="005F7DA0" w:rsidRPr="005F7DA0" w:rsidRDefault="005F7DA0" w:rsidP="005F7DA0">
      <w:pPr>
        <w:pStyle w:val="B5"/>
        <w:ind w:left="1985"/>
      </w:pPr>
      <w:r w:rsidRPr="005F7DA0">
        <w:t>-</w:t>
      </w:r>
      <w:r w:rsidRPr="005F7DA0">
        <w:tab/>
      </w:r>
      <m:oMath>
        <m:sSubSup>
          <m:sSubSupPr>
            <m:ctrlPr>
              <w:rPr>
                <w:rFonts w:ascii="Cambria Math" w:hAnsi="Cambria Math"/>
                <w:i/>
              </w:rPr>
            </m:ctrlPr>
          </m:sSubSupPr>
          <m:e>
            <m:r>
              <w:rPr>
                <w:rFonts w:ascii="Cambria Math" w:hAnsi="Cambria Math"/>
              </w:rPr>
              <m:t>N</m:t>
            </m:r>
          </m:e>
          <m:sub>
            <m:r>
              <m:rPr>
                <m:nor/>
              </m:rPr>
              <w:rPr>
                <w:iCs/>
              </w:rPr>
              <m:t>PSFCH</m:t>
            </m:r>
            <m:r>
              <m:rPr>
                <m:nor/>
              </m:rPr>
              <w:rPr>
                <w:rFonts w:ascii="Cambria Math"/>
                <w:iCs/>
              </w:rPr>
              <m:t>,one</m:t>
            </m:r>
            <m:ctrlPr>
              <w:rPr>
                <w:rFonts w:ascii="Cambria Math" w:hAnsi="Cambria Math"/>
                <w:iCs/>
              </w:rPr>
            </m:ctrlPr>
          </m:sub>
          <m:sup>
            <m:r>
              <w:rPr>
                <w:rFonts w:ascii="Cambria Math" w:hAnsi="Cambria Math"/>
              </w:rPr>
              <m:t>K</m:t>
            </m:r>
          </m:sup>
        </m:sSubSup>
        <m:r>
          <w:rPr>
            <w:rFonts w:ascii="Cambria Math" w:hAnsi="Cambria Math"/>
          </w:rPr>
          <m:t>=</m:t>
        </m:r>
        <m:sSubSup>
          <m:sSubSupPr>
            <m:ctrlPr>
              <w:rPr>
                <w:rFonts w:ascii="Cambria Math" w:hAnsi="Cambria Math"/>
                <w:i/>
              </w:rPr>
            </m:ctrlPr>
          </m:sSubSup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1,</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M</m:t>
                            </m:r>
                          </m:e>
                          <m:sub>
                            <m:r>
                              <w:rPr>
                                <w:rFonts w:ascii="Cambria Math" w:hAnsi="Cambria Math"/>
                              </w:rPr>
                              <m:t>i</m:t>
                            </m:r>
                          </m:sub>
                        </m:sSub>
                      </m:e>
                    </m:nary>
                  </m:e>
                </m:d>
              </m:e>
            </m:func>
            <m:r>
              <w:rPr>
                <w:rFonts w:ascii="Cambria Math" w:hAnsi="Cambria Math"/>
              </w:rPr>
              <m:t>⋅N</m:t>
            </m:r>
          </m:e>
          <m:sub>
            <m:r>
              <m:rPr>
                <m:sty m:val="p"/>
              </m:rPr>
              <w:rPr>
                <w:rFonts w:ascii="Cambria Math" w:hAnsi="Cambria Math"/>
              </w:rPr>
              <m:t>PSFCH,one</m:t>
            </m:r>
          </m:sub>
          <m:sup>
            <m:r>
              <m:rPr>
                <m:sty m:val="p"/>
              </m:rPr>
              <w:rPr>
                <w:rFonts w:ascii="Cambria Math" w:hAnsi="Cambria Math"/>
              </w:rPr>
              <m:t>interlace2</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sub>
          <m:sup>
            <m:r>
              <m:rPr>
                <m:sty m:val="p"/>
              </m:rPr>
              <w:rPr>
                <w:rFonts w:ascii="Cambria Math" w:hAnsi="Cambria Math"/>
              </w:rPr>
              <m:t>interlace</m:t>
            </m:r>
            <m:r>
              <w:rPr>
                <w:rFonts w:ascii="Cambria Math" w:hAnsi="Cambria Math"/>
              </w:rPr>
              <m:t>1,K</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PSFCH,offset</m:t>
                </m:r>
              </m:sub>
            </m:sSub>
            <m:r>
              <w:rPr>
                <w:rFonts w:ascii="Cambria Math" w:hAnsi="Cambria Math"/>
              </w:rPr>
              <m:t>/10)</m:t>
            </m:r>
          </m:sup>
        </m:sSup>
      </m:oMath>
      <w:r w:rsidRPr="005F7DA0">
        <w:t xml:space="preserve"> for operation with shared spectrum channel access an</w:t>
      </w:r>
      <w:r w:rsidRPr="00C84018">
        <w:t xml:space="preserve">d </w:t>
      </w:r>
      <w:r w:rsidR="0042013B" w:rsidRPr="00C84018">
        <w:rPr>
          <w:i/>
          <w:iCs/>
        </w:rPr>
        <w:t>sl-</w:t>
      </w:r>
      <w:r w:rsidR="0024141F" w:rsidRPr="00C84018">
        <w:rPr>
          <w:i/>
        </w:rPr>
        <w:t>Tr</w:t>
      </w:r>
      <w:r w:rsidR="0024141F" w:rsidRPr="0070461C">
        <w:rPr>
          <w:i/>
        </w:rPr>
        <w:t>ansmissionStructureForPSFCH</w:t>
      </w:r>
      <w:r w:rsidRPr="005F7DA0">
        <w:rPr>
          <w:i/>
        </w:rPr>
        <w:t xml:space="preserve"> = </w:t>
      </w:r>
      <w:r w:rsidR="0024141F">
        <w:t>'</w:t>
      </w:r>
      <w:r w:rsidR="0042013B" w:rsidRPr="0070461C">
        <w:t>commonInterlace</w:t>
      </w:r>
      <w:r w:rsidR="0024141F">
        <w:t>'</w:t>
      </w:r>
      <w:r w:rsidRPr="005F7DA0">
        <w:t xml:space="preserve">, where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sub>
          <m:sup>
            <m:r>
              <m:rPr>
                <m:sty m:val="p"/>
              </m:rPr>
              <w:rPr>
                <w:rFonts w:ascii="Cambria Math" w:hAnsi="Cambria Math"/>
              </w:rPr>
              <m:t>interlace</m:t>
            </m:r>
            <m:r>
              <w:rPr>
                <w:rFonts w:ascii="Cambria Math" w:hAnsi="Cambria Math"/>
              </w:rPr>
              <m:t>1,K</m:t>
            </m:r>
          </m:sup>
        </m:sSubSup>
      </m:oMath>
      <w:r w:rsidRPr="005F7DA0">
        <w:t xml:space="preserve"> is the number of PRBs in the first interlace for the </w:t>
      </w:r>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1,</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M</m:t>
                        </m:r>
                      </m:e>
                      <m:sub>
                        <m:r>
                          <w:rPr>
                            <w:rFonts w:ascii="Cambria Math" w:hAnsi="Cambria Math"/>
                          </w:rPr>
                          <m:t>i</m:t>
                        </m:r>
                      </m:sub>
                    </m:sSub>
                  </m:e>
                </m:nary>
              </m:e>
            </m:d>
          </m:e>
        </m:func>
      </m:oMath>
      <w:r w:rsidRPr="005F7DA0">
        <w:t xml:space="preserve"> PSFCH transmissions after excluding PRBs for PSFCH transmissions as described in Clause 16.3.0</w:t>
      </w:r>
    </w:p>
    <w:p w14:paraId="73C476B1" w14:textId="77777777" w:rsidR="00BB0A93" w:rsidRPr="00543B26" w:rsidRDefault="00BB0A93" w:rsidP="0014760F">
      <w:pPr>
        <w:pStyle w:val="B5"/>
        <w:rPr>
          <w:rFonts w:eastAsiaTheme="minorEastAsia"/>
          <w:lang w:val="en-US"/>
        </w:rPr>
      </w:pPr>
      <w:r w:rsidRPr="00CD4F4D">
        <w:t>-</w:t>
      </w:r>
      <w:r w:rsidRPr="00CD4F4D">
        <w:tab/>
      </w:r>
      <w:r>
        <w:rPr>
          <w:rFonts w:eastAsiaTheme="minorEastAsia"/>
          <w:lang w:val="en-US"/>
        </w:rPr>
        <w:t>zero, otherwise</w:t>
      </w:r>
    </w:p>
    <w:p w14:paraId="530A62C7" w14:textId="77777777" w:rsidR="00BB0A93" w:rsidRPr="00543B26" w:rsidRDefault="00BB0A93" w:rsidP="0014760F">
      <w:pPr>
        <w:pStyle w:val="B5"/>
        <w:rPr>
          <w:rFonts w:eastAsia="Malgun Gothic"/>
        </w:rPr>
      </w:pPr>
      <w:r w:rsidRPr="00543B26">
        <w:rPr>
          <w:rFonts w:eastAsia="Malgun Gothic"/>
        </w:rPr>
        <w:t>and</w:t>
      </w:r>
    </w:p>
    <w:p w14:paraId="1942AB2C" w14:textId="77777777" w:rsidR="009B4751" w:rsidRPr="009B4751" w:rsidRDefault="009B4751" w:rsidP="009B4751">
      <w:pPr>
        <w:pStyle w:val="B5"/>
        <w:rPr>
          <w:noProof/>
        </w:rPr>
      </w:pPr>
      <w:r w:rsidRPr="009B4751">
        <w:t>-</w:t>
      </w:r>
      <w:r w:rsidRPr="009B4751">
        <w:tab/>
      </w:r>
      <m:oMath>
        <m:sSub>
          <m:sSubPr>
            <m:ctrlPr>
              <w:rPr>
                <w:rFonts w:ascii="Cambria Math" w:hAnsi="Cambria Math"/>
              </w:rPr>
            </m:ctrlPr>
          </m:sSubPr>
          <m:e>
            <m:r>
              <w:rPr>
                <w:rFonts w:ascii="Cambria Math" w:hAnsi="Cambria Math"/>
              </w:rPr>
              <m:t>P</m:t>
            </m:r>
          </m:e>
          <m:sub>
            <m:r>
              <m:rPr>
                <m:nor/>
              </m:rPr>
              <m:t>PSFCH,k</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P</m:t>
                </m:r>
              </m:e>
              <m:sub>
                <m:r>
                  <m:rPr>
                    <m:nor/>
                  </m:rPr>
                  <m:t>CMAX</m:t>
                </m:r>
              </m:sub>
            </m:sSub>
            <m:r>
              <w:rPr>
                <w:rFonts w:ascii="Cambria Math" w:hAnsi="Cambria Math"/>
              </w:rPr>
              <m:t>-10lo</m:t>
            </m:r>
            <m:sSub>
              <m:sSubPr>
                <m:ctrlPr>
                  <w:rPr>
                    <w:rFonts w:ascii="Cambria Math" w:hAnsi="Cambria Math"/>
                    <w:i/>
                  </w:rPr>
                </m:ctrlPr>
              </m:sSubPr>
              <m:e>
                <m:r>
                  <w:rPr>
                    <w:rFonts w:ascii="Cambria Math" w:hAnsi="Cambria Math"/>
                  </w:rPr>
                  <m:t>g</m:t>
                </m:r>
              </m:e>
              <m:sub>
                <m:r>
                  <w:rPr>
                    <w:rFonts w:ascii="Cambria Math" w:hAnsi="Cambria Math"/>
                  </w:rPr>
                  <m:t>10</m:t>
                </m:r>
              </m:sub>
            </m:sSub>
            <m:r>
              <w:rPr>
                <w:rFonts w:ascii="Cambria Math" w:hAnsi="Cambria Math"/>
              </w:rPr>
              <m:t>(</m:t>
            </m:r>
            <m:sSub>
              <m:sSubPr>
                <m:ctrlPr>
                  <w:rPr>
                    <w:rFonts w:ascii="Cambria Math" w:hAnsi="Cambria Math" w:cs="Arial"/>
                    <w:i/>
                  </w:rPr>
                </m:ctrlPr>
              </m:sSubPr>
              <m:e>
                <m:r>
                  <w:rPr>
                    <w:rFonts w:ascii="Cambria Math" w:hAnsi="Cambria Math" w:cs="Arial"/>
                  </w:rPr>
                  <m:t>N</m:t>
                </m:r>
              </m:e>
              <m:sub>
                <m:r>
                  <m:rPr>
                    <m:sty m:val="p"/>
                  </m:rPr>
                  <w:rPr>
                    <w:rFonts w:ascii="Cambria Math" w:hAnsi="Cambria Math" w:cs="Arial"/>
                  </w:rPr>
                  <m:t>Tx,PSFCH</m:t>
                </m:r>
              </m:sub>
            </m:sSub>
            <m:r>
              <w:rPr>
                <w:rFonts w:ascii="Cambria Math" w:hAnsi="Cambria Math"/>
              </w:rPr>
              <m:t>)</m:t>
            </m:r>
            <m:r>
              <m:rPr>
                <m:sty m:val="p"/>
              </m:rPr>
              <w:rPr>
                <w:rFonts w:ascii="Cambria Math" w:hAnsi="Cambria Math"/>
              </w:rPr>
              <m:t>,</m:t>
            </m:r>
            <m:sSub>
              <m:sSubPr>
                <m:ctrlPr>
                  <w:rPr>
                    <w:rFonts w:ascii="Cambria Math" w:hAnsi="Cambria Math"/>
                    <w:i/>
                    <w:iCs/>
                  </w:rPr>
                </m:ctrlPr>
              </m:sSubPr>
              <m:e>
                <m:r>
                  <w:rPr>
                    <w:rFonts w:ascii="Cambria Math" w:hAnsi="Cambria Math"/>
                  </w:rPr>
                  <m:t>P</m:t>
                </m:r>
              </m:e>
              <m:sub>
                <m:r>
                  <m:rPr>
                    <m:nor/>
                  </m:rPr>
                  <w:rPr>
                    <w:iCs/>
                  </w:rPr>
                  <m:t>PSFCH,one</m:t>
                </m:r>
                <m:ctrlPr>
                  <w:rPr>
                    <w:rFonts w:ascii="Cambria Math" w:hAnsi="Cambria Math"/>
                    <w:iCs/>
                  </w:rPr>
                </m:ctrlPr>
              </m:sub>
            </m:sSub>
          </m:e>
        </m:d>
      </m:oMath>
      <w:r w:rsidRPr="009B4751">
        <w:t xml:space="preserve"> [dBm] </w:t>
      </w:r>
      <w:r w:rsidRPr="009B4751">
        <w:rPr>
          <w:noProof/>
        </w:rPr>
        <w:t>for operation without shared spectrum channel access</w:t>
      </w:r>
    </w:p>
    <w:p w14:paraId="2DAD7840" w14:textId="447023F8" w:rsidR="009B4751" w:rsidRPr="009B4751" w:rsidRDefault="009B4751" w:rsidP="009B4751">
      <w:pPr>
        <w:pStyle w:val="B5"/>
      </w:pPr>
      <w:r w:rsidRPr="009B4751">
        <w:t>-</w:t>
      </w:r>
      <w:r w:rsidRPr="009B4751">
        <w:tab/>
      </w:r>
      <m:oMath>
        <m:sSub>
          <m:sSubPr>
            <m:ctrlPr>
              <w:rPr>
                <w:rFonts w:ascii="Cambria Math" w:hAnsi="Cambria Math"/>
                <w:noProof/>
              </w:rPr>
            </m:ctrlPr>
          </m:sSubPr>
          <m:e>
            <m:r>
              <w:rPr>
                <w:rFonts w:ascii="Cambria Math" w:hAnsi="Cambria Math"/>
                <w:noProof/>
              </w:rPr>
              <m:t>P</m:t>
            </m:r>
          </m:e>
          <m:sub>
            <m:r>
              <m:rPr>
                <m:nor/>
              </m:rPr>
              <w:rPr>
                <w:noProof/>
              </w:rPr>
              <m:t>PSFCH,k</m:t>
            </m:r>
          </m:sub>
        </m:sSub>
        <m:d>
          <m:dPr>
            <m:ctrlPr>
              <w:rPr>
                <w:rFonts w:ascii="Cambria Math" w:hAnsi="Cambria Math"/>
                <w:noProof/>
              </w:rPr>
            </m:ctrlPr>
          </m:dPr>
          <m:e>
            <m:r>
              <w:rPr>
                <w:rFonts w:ascii="Cambria Math" w:hAnsi="Cambria Math"/>
                <w:noProof/>
              </w:rPr>
              <m:t>i</m:t>
            </m:r>
          </m:e>
        </m:d>
        <m:r>
          <m:rPr>
            <m:sty m:val="p"/>
          </m:rPr>
          <w:rPr>
            <w:rFonts w:ascii="Cambria Math" w:hAnsi="Cambria Math"/>
            <w:noProof/>
          </w:rPr>
          <m:t>=</m:t>
        </m:r>
        <m:r>
          <w:rPr>
            <w:rFonts w:ascii="Cambria Math" w:hAnsi="Cambria Math"/>
            <w:noProof/>
          </w:rPr>
          <m:t>min</m:t>
        </m:r>
        <m:d>
          <m:dPr>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nor/>
                  </m:rPr>
                  <w:rPr>
                    <w:noProof/>
                  </w:rPr>
                  <m:t>CMAX</m:t>
                </m:r>
              </m:sub>
            </m:sSub>
            <m:r>
              <w:rPr>
                <w:rFonts w:ascii="Cambria Math" w:hAnsi="Cambria Math"/>
                <w:noProof/>
              </w:rPr>
              <m:t>-10lo</m:t>
            </m:r>
            <m:sSub>
              <m:sSubPr>
                <m:ctrlPr>
                  <w:rPr>
                    <w:rFonts w:ascii="Cambria Math" w:hAnsi="Cambria Math"/>
                    <w:i/>
                    <w:noProof/>
                  </w:rPr>
                </m:ctrlPr>
              </m:sSubPr>
              <m:e>
                <m:r>
                  <w:rPr>
                    <w:rFonts w:ascii="Cambria Math" w:hAnsi="Cambria Math"/>
                    <w:noProof/>
                  </w:rPr>
                  <m:t>g</m:t>
                </m:r>
              </m:e>
              <m:sub>
                <m:r>
                  <w:rPr>
                    <w:rFonts w:ascii="Cambria Math" w:hAnsi="Cambria Math"/>
                    <w:noProof/>
                  </w:rPr>
                  <m:t>10</m:t>
                </m:r>
              </m:sub>
            </m:sSub>
            <m:d>
              <m:dPr>
                <m:ctrlPr>
                  <w:rPr>
                    <w:rFonts w:ascii="Cambria Math" w:hAnsi="Cambria Math"/>
                    <w:i/>
                    <w:noProof/>
                  </w:rPr>
                </m:ctrlPr>
              </m:dPr>
              <m:e>
                <m:nary>
                  <m:naryPr>
                    <m:chr m:val="∑"/>
                    <m:limLoc m:val="subSup"/>
                    <m:ctrlPr>
                      <w:rPr>
                        <w:rFonts w:ascii="Cambria Math" w:hAnsi="Cambria Math"/>
                        <w:i/>
                      </w:rPr>
                    </m:ctrlPr>
                  </m:naryPr>
                  <m:sub>
                    <m:r>
                      <w:rPr>
                        <w:rFonts w:ascii="Cambria Math" w:hAnsi="Cambria Math"/>
                      </w:rPr>
                      <m:t>k=1</m:t>
                    </m:r>
                  </m:sub>
                  <m:sup>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Tx,PSFCH</m:t>
                        </m:r>
                      </m:sub>
                    </m:sSub>
                  </m:sup>
                  <m:e>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r>
                          <w:rPr>
                            <w:rFonts w:ascii="Cambria Math" w:hAnsi="Cambria Math"/>
                          </w:rPr>
                          <m:t>k</m:t>
                        </m:r>
                      </m:sub>
                      <m:sup>
                        <m:r>
                          <m:rPr>
                            <m:sty m:val="p"/>
                          </m:rPr>
                          <w:rPr>
                            <w:rFonts w:ascii="Cambria Math" w:hAnsi="Cambria Math"/>
                          </w:rPr>
                          <m:t>interlace</m:t>
                        </m:r>
                      </m:sup>
                    </m:sSubSup>
                  </m:e>
                </m:nary>
              </m:e>
            </m:d>
            <m:r>
              <m:rPr>
                <m:sty m:val="p"/>
              </m:rPr>
              <w:rPr>
                <w:rFonts w:ascii="Cambria Math" w:hAnsi="Cambria Math"/>
                <w:noProof/>
              </w:rPr>
              <m:t>,</m:t>
            </m:r>
            <m:sSub>
              <m:sSubPr>
                <m:ctrlPr>
                  <w:rPr>
                    <w:rFonts w:ascii="Cambria Math" w:hAnsi="Cambria Math"/>
                    <w:i/>
                    <w:iCs/>
                  </w:rPr>
                </m:ctrlPr>
              </m:sSubPr>
              <m:e>
                <m:r>
                  <w:rPr>
                    <w:rFonts w:ascii="Cambria Math" w:hAnsi="Cambria Math"/>
                  </w:rPr>
                  <m:t>P</m:t>
                </m:r>
              </m:e>
              <m:sub>
                <m:r>
                  <m:rPr>
                    <m:sty m:val="p"/>
                  </m:rPr>
                  <w:rPr>
                    <w:rFonts w:ascii="Cambria Math" w:hAnsi="Cambria Math"/>
                  </w:rPr>
                  <m:t>PSFCH,one</m:t>
                </m:r>
                <m:ctrlPr>
                  <w:rPr>
                    <w:rFonts w:ascii="Cambria Math" w:hAnsi="Cambria Math"/>
                    <w:iCs/>
                  </w:rPr>
                </m:ctrlPr>
              </m:sub>
            </m:sSub>
            <m:r>
              <w:rPr>
                <w:rFonts w:ascii="Cambria Math" w:hAnsi="Cambria Math"/>
              </w:rPr>
              <m:t>+</m:t>
            </m:r>
            <m:r>
              <m:rPr>
                <m:sty m:val="p"/>
              </m:rPr>
              <w:rPr>
                <w:rFonts w:ascii="Cambria Math" w:hAnsi="Cambria Math"/>
              </w:rPr>
              <m:t xml:space="preserve"> </m:t>
            </m:r>
          </m:e>
        </m:d>
        <m:r>
          <w:rPr>
            <w:rFonts w:ascii="Cambria Math" w:hAnsi="Cambria Math"/>
            <w:noProof/>
          </w:rPr>
          <m:t>+</m:t>
        </m:r>
        <m:r>
          <w:rPr>
            <w:rFonts w:ascii="Cambria Math" w:hAnsi="Cambria Math"/>
          </w:rPr>
          <m:t>10lo</m:t>
        </m:r>
        <m:sSub>
          <m:sSubPr>
            <m:ctrlPr>
              <w:rPr>
                <w:rFonts w:ascii="Cambria Math" w:hAnsi="Cambria Math"/>
                <w:i/>
              </w:rPr>
            </m:ctrlPr>
          </m:sSubPr>
          <m:e>
            <m:r>
              <w:rPr>
                <w:rFonts w:ascii="Cambria Math" w:hAnsi="Cambria Math"/>
              </w:rPr>
              <m:t>g</m:t>
            </m:r>
          </m:e>
          <m:sub>
            <m:r>
              <w:rPr>
                <w:rFonts w:ascii="Cambria Math" w:hAnsi="Cambria Math"/>
              </w:rPr>
              <m:t>10</m:t>
            </m:r>
          </m:sub>
        </m:sSub>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r>
                  <w:rPr>
                    <w:rFonts w:ascii="Cambria Math" w:hAnsi="Cambria Math"/>
                  </w:rPr>
                  <m:t>k</m:t>
                </m:r>
              </m:sub>
              <m:sup>
                <m:r>
                  <m:rPr>
                    <m:sty m:val="p"/>
                  </m:rPr>
                  <w:rPr>
                    <w:rFonts w:ascii="Cambria Math" w:hAnsi="Cambria Math"/>
                  </w:rPr>
                  <m:t>interlace</m:t>
                </m:r>
              </m:sup>
            </m:sSubSup>
          </m:e>
        </m:d>
      </m:oMath>
      <w:r w:rsidRPr="009B4751">
        <w:t xml:space="preserve"> [dBm] for operation with shared spectrum channel access and </w:t>
      </w:r>
      <w:r w:rsidR="0042013B" w:rsidRPr="0070461C">
        <w:rPr>
          <w:i/>
        </w:rPr>
        <w:t>sl-TransmissionStructureForPSFCH</w:t>
      </w:r>
      <w:r w:rsidRPr="009B4751">
        <w:rPr>
          <w:i/>
        </w:rPr>
        <w:t xml:space="preserve"> = </w:t>
      </w:r>
      <w:r w:rsidR="0024141F">
        <w:t>'</w:t>
      </w:r>
      <w:r w:rsidR="0042013B" w:rsidRPr="0070461C">
        <w:t>dedicatedInterlace</w:t>
      </w:r>
      <w:r w:rsidR="0024141F">
        <w:t>'</w:t>
      </w:r>
      <w:r w:rsidRPr="009B4751">
        <w:t xml:space="preserve">, where the power on one PRB in the interlace for PSFCH transmission is </w:t>
      </w:r>
      <m:oMath>
        <m:sSub>
          <m:sSubPr>
            <m:ctrlPr>
              <w:rPr>
                <w:rFonts w:ascii="Cambria Math" w:hAnsi="Cambria Math"/>
                <w:i/>
                <w:iCs/>
                <w:noProof/>
              </w:rPr>
            </m:ctrlPr>
          </m:sSubPr>
          <m:e>
            <m:r>
              <w:rPr>
                <w:rFonts w:ascii="Cambria Math" w:hAnsi="Cambria Math"/>
                <w:noProof/>
              </w:rPr>
              <m:t>P</m:t>
            </m:r>
          </m:e>
          <m:sub>
            <m:r>
              <m:rPr>
                <m:nor/>
              </m:rPr>
              <w:rPr>
                <w:iCs/>
                <w:noProof/>
              </w:rPr>
              <m:t>PSFCH</m:t>
            </m:r>
            <m:r>
              <m:rPr>
                <m:nor/>
              </m:rPr>
              <w:rPr>
                <w:rFonts w:ascii="Cambria Math"/>
                <w:iCs/>
                <w:noProof/>
              </w:rPr>
              <m:t>,PRB,</m:t>
            </m:r>
            <m:r>
              <m:rPr>
                <m:nor/>
              </m:rPr>
              <w:rPr>
                <w:rFonts w:ascii="Cambria Math"/>
                <w:i/>
                <w:noProof/>
              </w:rPr>
              <m:t>k</m:t>
            </m:r>
            <m:ctrlPr>
              <w:rPr>
                <w:rFonts w:ascii="Cambria Math" w:hAnsi="Cambria Math"/>
                <w:iCs/>
                <w:noProof/>
              </w:rPr>
            </m:ctrlPr>
          </m:sub>
        </m:sSub>
        <m:r>
          <w:rPr>
            <w:rFonts w:ascii="Cambria Math" w:hAnsi="Cambria Math"/>
            <w:noProof/>
          </w:rPr>
          <m:t>(i)=min</m:t>
        </m:r>
        <m:d>
          <m:dPr>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nor/>
                  </m:rPr>
                  <w:rPr>
                    <w:noProof/>
                  </w:rPr>
                  <m:t>CMAX</m:t>
                </m:r>
              </m:sub>
            </m:sSub>
            <m:r>
              <w:rPr>
                <w:rFonts w:ascii="Cambria Math" w:hAnsi="Cambria Math"/>
                <w:noProof/>
              </w:rPr>
              <m:t>-10lo</m:t>
            </m:r>
            <m:sSub>
              <m:sSubPr>
                <m:ctrlPr>
                  <w:rPr>
                    <w:rFonts w:ascii="Cambria Math" w:hAnsi="Cambria Math"/>
                    <w:i/>
                    <w:noProof/>
                  </w:rPr>
                </m:ctrlPr>
              </m:sSubPr>
              <m:e>
                <m:r>
                  <w:rPr>
                    <w:rFonts w:ascii="Cambria Math" w:hAnsi="Cambria Math"/>
                    <w:noProof/>
                  </w:rPr>
                  <m:t>g</m:t>
                </m:r>
              </m:e>
              <m:sub>
                <m:r>
                  <w:rPr>
                    <w:rFonts w:ascii="Cambria Math" w:hAnsi="Cambria Math"/>
                    <w:noProof/>
                  </w:rPr>
                  <m:t>10</m:t>
                </m:r>
              </m:sub>
            </m:sSub>
            <m:d>
              <m:dPr>
                <m:ctrlPr>
                  <w:rPr>
                    <w:rFonts w:ascii="Cambria Math" w:hAnsi="Cambria Math"/>
                    <w:i/>
                    <w:noProof/>
                  </w:rPr>
                </m:ctrlPr>
              </m:dPr>
              <m:e>
                <m:nary>
                  <m:naryPr>
                    <m:chr m:val="∑"/>
                    <m:limLoc m:val="subSup"/>
                    <m:ctrlPr>
                      <w:rPr>
                        <w:rFonts w:ascii="Cambria Math" w:hAnsi="Cambria Math"/>
                        <w:i/>
                      </w:rPr>
                    </m:ctrlPr>
                  </m:naryPr>
                  <m:sub>
                    <m:r>
                      <w:rPr>
                        <w:rFonts w:ascii="Cambria Math" w:hAnsi="Cambria Math"/>
                      </w:rPr>
                      <m:t>k=1</m:t>
                    </m:r>
                  </m:sub>
                  <m:sup>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Tx,PSFCH</m:t>
                        </m:r>
                      </m:sub>
                    </m:sSub>
                  </m:sup>
                  <m:e>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r>
                          <w:rPr>
                            <w:rFonts w:ascii="Cambria Math" w:hAnsi="Cambria Math"/>
                          </w:rPr>
                          <m:t>k</m:t>
                        </m:r>
                      </m:sub>
                      <m:sup>
                        <m:r>
                          <m:rPr>
                            <m:sty m:val="p"/>
                          </m:rPr>
                          <w:rPr>
                            <w:rFonts w:ascii="Cambria Math" w:hAnsi="Cambria Math"/>
                          </w:rPr>
                          <m:t>interlace</m:t>
                        </m:r>
                      </m:sup>
                    </m:sSubSup>
                  </m:e>
                </m:nary>
              </m:e>
            </m:d>
            <m:r>
              <m:rPr>
                <m:sty m:val="p"/>
              </m:rPr>
              <w:rPr>
                <w:rFonts w:ascii="Cambria Math" w:hAnsi="Cambria Math"/>
                <w:noProof/>
              </w:rPr>
              <m:t>,</m:t>
            </m:r>
            <m:sSub>
              <m:sSubPr>
                <m:ctrlPr>
                  <w:rPr>
                    <w:rFonts w:ascii="Cambria Math" w:hAnsi="Cambria Math"/>
                    <w:i/>
                    <w:iCs/>
                  </w:rPr>
                </m:ctrlPr>
              </m:sSubPr>
              <m:e>
                <m:r>
                  <w:rPr>
                    <w:rFonts w:ascii="Cambria Math" w:hAnsi="Cambria Math"/>
                  </w:rPr>
                  <m:t>P</m:t>
                </m:r>
              </m:e>
              <m:sub>
                <m:r>
                  <m:rPr>
                    <m:sty m:val="p"/>
                  </m:rPr>
                  <w:rPr>
                    <w:rFonts w:ascii="Cambria Math" w:hAnsi="Cambria Math"/>
                  </w:rPr>
                  <m:t>PSFCH,one</m:t>
                </m:r>
                <m:ctrlPr>
                  <w:rPr>
                    <w:rFonts w:ascii="Cambria Math" w:hAnsi="Cambria Math"/>
                    <w:iCs/>
                  </w:rPr>
                </m:ctrlPr>
              </m:sub>
            </m:sSub>
          </m:e>
        </m:d>
      </m:oMath>
    </w:p>
    <w:p w14:paraId="72EAEABE" w14:textId="1ABAC311" w:rsidR="009B4751" w:rsidRPr="009B4751" w:rsidRDefault="009B4751" w:rsidP="009B4751">
      <w:pPr>
        <w:pStyle w:val="B5"/>
      </w:pPr>
      <w:r w:rsidRPr="009B4751">
        <w:t>-</w:t>
      </w:r>
      <w:r w:rsidRPr="009B4751">
        <w:tab/>
      </w:r>
      <m:oMath>
        <m:sSub>
          <m:sSubPr>
            <m:ctrlPr>
              <w:rPr>
                <w:rFonts w:ascii="Cambria Math" w:hAnsi="Cambria Math"/>
                <w:noProof/>
              </w:rPr>
            </m:ctrlPr>
          </m:sSubPr>
          <m:e>
            <m:r>
              <w:rPr>
                <w:rFonts w:ascii="Cambria Math" w:hAnsi="Cambria Math"/>
                <w:noProof/>
              </w:rPr>
              <m:t>P</m:t>
            </m:r>
          </m:e>
          <m:sub>
            <m:r>
              <m:rPr>
                <m:nor/>
              </m:rPr>
              <w:rPr>
                <w:noProof/>
              </w:rPr>
              <m:t>PSFCH,k</m:t>
            </m:r>
          </m:sub>
        </m:sSub>
        <m:d>
          <m:dPr>
            <m:ctrlPr>
              <w:rPr>
                <w:rFonts w:ascii="Cambria Math" w:hAnsi="Cambria Math"/>
                <w:noProof/>
              </w:rPr>
            </m:ctrlPr>
          </m:dPr>
          <m:e>
            <m:r>
              <w:rPr>
                <w:rFonts w:ascii="Cambria Math" w:hAnsi="Cambria Math"/>
                <w:noProof/>
              </w:rPr>
              <m:t>i</m:t>
            </m:r>
          </m:e>
        </m:d>
        <m:r>
          <m:rPr>
            <m:sty m:val="p"/>
          </m:rPr>
          <w:rPr>
            <w:rFonts w:ascii="Cambria Math" w:hAnsi="Cambria Math"/>
            <w:noProof/>
          </w:rPr>
          <m:t>=</m:t>
        </m:r>
        <m:r>
          <w:rPr>
            <w:rFonts w:ascii="Cambria Math" w:hAnsi="Cambria Math"/>
            <w:noProof/>
          </w:rPr>
          <m:t>min</m:t>
        </m:r>
        <m:d>
          <m:dPr>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nor/>
                  </m:rPr>
                  <w:rPr>
                    <w:noProof/>
                  </w:rPr>
                  <m:t>CMAX</m:t>
                </m:r>
              </m:sub>
            </m:sSub>
            <m:r>
              <w:rPr>
                <w:rFonts w:ascii="Cambria Math" w:hAnsi="Cambria Math"/>
                <w:noProof/>
              </w:rPr>
              <m:t>-10lo</m:t>
            </m:r>
            <m:sSub>
              <m:sSubPr>
                <m:ctrlPr>
                  <w:rPr>
                    <w:rFonts w:ascii="Cambria Math" w:hAnsi="Cambria Math"/>
                    <w:i/>
                    <w:noProof/>
                  </w:rPr>
                </m:ctrlPr>
              </m:sSubPr>
              <m:e>
                <m:r>
                  <w:rPr>
                    <w:rFonts w:ascii="Cambria Math" w:hAnsi="Cambria Math"/>
                    <w:noProof/>
                  </w:rPr>
                  <m:t>g</m:t>
                </m:r>
              </m:e>
              <m:sub>
                <m:r>
                  <w:rPr>
                    <w:rFonts w:ascii="Cambria Math" w:hAnsi="Cambria Math"/>
                    <w:noProof/>
                  </w:rPr>
                  <m:t>10</m:t>
                </m:r>
              </m:sub>
            </m:sSub>
            <m:d>
              <m:dPr>
                <m:ctrlPr>
                  <w:rPr>
                    <w:rFonts w:ascii="Cambria Math" w:hAnsi="Cambria Math"/>
                    <w:i/>
                    <w:noProof/>
                  </w:rPr>
                </m:ctrlPr>
              </m:dPr>
              <m:e>
                <m:sSubSup>
                  <m:sSubSupPr>
                    <m:ctrlPr>
                      <w:rPr>
                        <w:rFonts w:ascii="Cambria Math" w:hAnsi="Cambria Math"/>
                        <w:i/>
                      </w:rPr>
                    </m:ctrlPr>
                  </m:sSubSupPr>
                  <m:e>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Tx,PSFCH</m:t>
                        </m:r>
                      </m:sub>
                    </m:sSub>
                    <m:r>
                      <w:rPr>
                        <w:rFonts w:ascii="Cambria Math" w:hAnsi="Cambria Math"/>
                      </w:rPr>
                      <m:t>⋅N</m:t>
                    </m:r>
                  </m:e>
                  <m:sub>
                    <m:r>
                      <m:rPr>
                        <m:sty m:val="p"/>
                      </m:rPr>
                      <w:rPr>
                        <w:rFonts w:ascii="Cambria Math" w:hAnsi="Cambria Math"/>
                      </w:rPr>
                      <m:t>PSFCH,one</m:t>
                    </m:r>
                  </m:sub>
                  <m:sup>
                    <m:r>
                      <m:rPr>
                        <m:sty m:val="p"/>
                      </m:rPr>
                      <w:rPr>
                        <w:rFonts w:ascii="Cambria Math" w:hAnsi="Cambria Math"/>
                      </w:rPr>
                      <m:t>interlace2</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sub>
                  <m:sup>
                    <m:r>
                      <m:rPr>
                        <m:sty m:val="p"/>
                      </m:rPr>
                      <w:rPr>
                        <w:rFonts w:ascii="Cambria Math" w:hAnsi="Cambria Math"/>
                      </w:rPr>
                      <m:t>interlace</m:t>
                    </m:r>
                    <m:r>
                      <w:rPr>
                        <w:rFonts w:ascii="Cambria Math" w:hAnsi="Cambria Math"/>
                      </w:rPr>
                      <m:t>1</m:t>
                    </m:r>
                  </m:sup>
                </m:sSubSup>
                <m:r>
                  <w:rPr>
                    <w:rFonts w:ascii="Cambria Math" w:hAnsi="Cambria Math"/>
                  </w:rPr>
                  <m:t>⋅</m:t>
                </m:r>
                <m:sSup>
                  <m:sSupPr>
                    <m:ctrlPr>
                      <w:rPr>
                        <w:rFonts w:ascii="Cambria Math" w:hAnsi="Cambria Math"/>
                        <w:i/>
                      </w:rPr>
                    </m:ctrlPr>
                  </m:sSupPr>
                  <m:e>
                    <m:r>
                      <w:rPr>
                        <w:rFonts w:ascii="Cambria Math" w:hAnsi="Cambria Math"/>
                      </w:rPr>
                      <m:t>10</m:t>
                    </m:r>
                  </m:e>
                  <m:sup>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m:rPr>
                                    <m:sty m:val="p"/>
                                  </m:rPr>
                                  <w:rPr>
                                    <w:rFonts w:ascii="Cambria Math" w:hAnsi="Cambria Math"/>
                                  </w:rPr>
                                  <m:t>PSFCH,offset</m:t>
                                </m:r>
                              </m:sub>
                            </m:sSub>
                          </m:num>
                          <m:den>
                            <m:r>
                              <w:rPr>
                                <w:rFonts w:ascii="Cambria Math" w:hAnsi="Cambria Math"/>
                              </w:rPr>
                              <m:t>10</m:t>
                            </m:r>
                          </m:den>
                        </m:f>
                      </m:e>
                    </m:d>
                  </m:sup>
                </m:sSup>
              </m:e>
            </m:d>
            <m:r>
              <m:rPr>
                <m:sty m:val="p"/>
              </m:rPr>
              <w:rPr>
                <w:rFonts w:ascii="Cambria Math" w:hAnsi="Cambria Math"/>
              </w:rPr>
              <m:t xml:space="preserve"> </m:t>
            </m:r>
            <m:r>
              <m:rPr>
                <m:sty m:val="p"/>
              </m:rPr>
              <w:rPr>
                <w:rFonts w:ascii="Cambria Math" w:hAnsi="Cambria Math"/>
                <w:noProof/>
              </w:rPr>
              <m:t>,</m:t>
            </m:r>
            <m:sSub>
              <m:sSubPr>
                <m:ctrlPr>
                  <w:rPr>
                    <w:rFonts w:ascii="Cambria Math" w:hAnsi="Cambria Math"/>
                    <w:i/>
                    <w:iCs/>
                  </w:rPr>
                </m:ctrlPr>
              </m:sSubPr>
              <m:e>
                <m:r>
                  <w:rPr>
                    <w:rFonts w:ascii="Cambria Math" w:hAnsi="Cambria Math"/>
                  </w:rPr>
                  <m:t>P</m:t>
                </m:r>
              </m:e>
              <m:sub>
                <m:r>
                  <m:rPr>
                    <m:sty m:val="p"/>
                  </m:rPr>
                  <w:rPr>
                    <w:rFonts w:ascii="Cambria Math" w:hAnsi="Cambria Math"/>
                  </w:rPr>
                  <m:t>PSFCH,one</m:t>
                </m:r>
                <m:ctrlPr>
                  <w:rPr>
                    <w:rFonts w:ascii="Cambria Math" w:hAnsi="Cambria Math"/>
                    <w:iCs/>
                  </w:rPr>
                </m:ctrlPr>
              </m:sub>
            </m:sSub>
          </m:e>
        </m:d>
        <m:r>
          <w:rPr>
            <w:rFonts w:ascii="Cambria Math" w:hAnsi="Cambria Math"/>
          </w:rPr>
          <m:t>+10lo</m:t>
        </m:r>
        <m:sSub>
          <m:sSubPr>
            <m:ctrlPr>
              <w:rPr>
                <w:rFonts w:ascii="Cambria Math" w:hAnsi="Cambria Math"/>
                <w:i/>
              </w:rPr>
            </m:ctrlPr>
          </m:sSubPr>
          <m:e>
            <m:r>
              <w:rPr>
                <w:rFonts w:ascii="Cambria Math" w:hAnsi="Cambria Math"/>
              </w:rPr>
              <m:t>g</m:t>
            </m:r>
          </m:e>
          <m:sub>
            <m:r>
              <w:rPr>
                <w:rFonts w:ascii="Cambria Math" w:hAnsi="Cambria Math"/>
              </w:rPr>
              <m:t>10</m:t>
            </m:r>
          </m:sub>
        </m:sSub>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sub>
              <m:sup>
                <m:r>
                  <m:rPr>
                    <m:sty m:val="p"/>
                  </m:rPr>
                  <w:rPr>
                    <w:rFonts w:ascii="Cambria Math" w:hAnsi="Cambria Math"/>
                  </w:rPr>
                  <m:t>interlace2</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sub>
              <m:sup>
                <m:r>
                  <m:rPr>
                    <m:sty m:val="p"/>
                  </m:rPr>
                  <w:rPr>
                    <w:rFonts w:ascii="Cambria Math" w:hAnsi="Cambria Math"/>
                  </w:rPr>
                  <m:t>interlace</m:t>
                </m:r>
                <m:r>
                  <w:rPr>
                    <w:rFonts w:ascii="Cambria Math" w:hAnsi="Cambria Math"/>
                  </w:rPr>
                  <m:t>1</m:t>
                </m:r>
              </m:sup>
            </m:sSubSup>
            <m:r>
              <w:rPr>
                <w:rFonts w:ascii="Cambria Math" w:hAnsi="Cambria Math"/>
              </w:rPr>
              <m:t>⋅</m:t>
            </m:r>
            <m:sSup>
              <m:sSupPr>
                <m:ctrlPr>
                  <w:rPr>
                    <w:rFonts w:ascii="Cambria Math" w:hAnsi="Cambria Math"/>
                    <w:i/>
                  </w:rPr>
                </m:ctrlPr>
              </m:sSupPr>
              <m:e>
                <m:r>
                  <w:rPr>
                    <w:rFonts w:ascii="Cambria Math" w:hAnsi="Cambria Math"/>
                  </w:rPr>
                  <m:t>10</m:t>
                </m:r>
              </m:e>
              <m:sup>
                <m:d>
                  <m:dPr>
                    <m:ctrlPr>
                      <w:rPr>
                        <w:rFonts w:ascii="Cambria Math" w:hAnsi="Cambria Math"/>
                        <w:i/>
                      </w:rPr>
                    </m:ctrlPr>
                  </m:dPr>
                  <m:e>
                    <m:sSub>
                      <m:sSubPr>
                        <m:ctrlPr>
                          <w:rPr>
                            <w:rFonts w:ascii="Cambria Math" w:hAnsi="Cambria Math"/>
                            <w:i/>
                          </w:rPr>
                        </m:ctrlPr>
                      </m:sSubPr>
                      <m:e>
                        <m:r>
                          <w:rPr>
                            <w:rFonts w:ascii="Cambria Math" w:hAnsi="Cambria Math"/>
                          </w:rPr>
                          <m:t>-P</m:t>
                        </m:r>
                      </m:e>
                      <m:sub>
                        <m:r>
                          <m:rPr>
                            <m:sty m:val="p"/>
                          </m:rPr>
                          <w:rPr>
                            <w:rFonts w:ascii="Cambria Math" w:hAnsi="Cambria Math"/>
                          </w:rPr>
                          <m:t>PSFCH,offset</m:t>
                        </m:r>
                      </m:sub>
                    </m:sSub>
                    <m:r>
                      <w:rPr>
                        <w:rFonts w:ascii="Cambria Math" w:hAnsi="Cambria Math"/>
                      </w:rPr>
                      <m:t>/10</m:t>
                    </m:r>
                  </m:e>
                </m:d>
              </m:sup>
            </m:sSup>
          </m:e>
        </m:d>
      </m:oMath>
      <w:r w:rsidRPr="009B4751">
        <w:t xml:space="preserve"> [dBm] for operation with shared spectrum channel access and </w:t>
      </w:r>
      <w:r w:rsidR="0042013B" w:rsidRPr="0070461C">
        <w:rPr>
          <w:i/>
        </w:rPr>
        <w:t>sl-TransmissionStructureForPSFCH</w:t>
      </w:r>
      <w:r w:rsidRPr="009B4751">
        <w:rPr>
          <w:i/>
        </w:rPr>
        <w:t xml:space="preserve"> = </w:t>
      </w:r>
      <w:r w:rsidR="0024141F">
        <w:t>'</w:t>
      </w:r>
      <w:r w:rsidR="0042013B" w:rsidRPr="0070461C">
        <w:t>commonInterlace</w:t>
      </w:r>
      <w:r w:rsidR="0024141F">
        <w:t>'</w:t>
      </w:r>
      <w:r w:rsidRPr="009B4751">
        <w:t xml:space="preserve">, where the power on one PRB in the first interlace for PSFCH transmission is </w:t>
      </w:r>
      <m:oMath>
        <m:sSub>
          <m:sSubPr>
            <m:ctrlPr>
              <w:rPr>
                <w:rFonts w:ascii="Cambria Math" w:hAnsi="Cambria Math"/>
                <w:i/>
                <w:iCs/>
                <w:noProof/>
              </w:rPr>
            </m:ctrlPr>
          </m:sSubPr>
          <m:e>
            <m:r>
              <w:rPr>
                <w:rFonts w:ascii="Cambria Math" w:hAnsi="Cambria Math"/>
                <w:noProof/>
              </w:rPr>
              <m:t>P</m:t>
            </m:r>
          </m:e>
          <m:sub>
            <m:r>
              <m:rPr>
                <m:nor/>
              </m:rPr>
              <w:rPr>
                <w:iCs/>
                <w:noProof/>
              </w:rPr>
              <m:t>PSFCH</m:t>
            </m:r>
            <m:r>
              <m:rPr>
                <m:nor/>
              </m:rPr>
              <w:rPr>
                <w:rFonts w:ascii="Cambria Math"/>
                <w:iCs/>
                <w:noProof/>
              </w:rPr>
              <m:t>,PRB,first,</m:t>
            </m:r>
            <m:r>
              <m:rPr>
                <m:nor/>
              </m:rPr>
              <w:rPr>
                <w:rFonts w:ascii="Cambria Math"/>
                <w:i/>
                <w:noProof/>
              </w:rPr>
              <m:t>k</m:t>
            </m:r>
            <m:ctrlPr>
              <w:rPr>
                <w:rFonts w:ascii="Cambria Math" w:hAnsi="Cambria Math"/>
                <w:iCs/>
                <w:noProof/>
              </w:rPr>
            </m:ctrlPr>
          </m:sub>
        </m:sSub>
        <m:r>
          <w:rPr>
            <w:rFonts w:ascii="Cambria Math" w:hAnsi="Cambria Math"/>
            <w:noProof/>
          </w:rPr>
          <m:t>(i)=</m:t>
        </m:r>
        <m:sSub>
          <m:sSubPr>
            <m:ctrlPr>
              <w:rPr>
                <w:rFonts w:ascii="Cambria Math" w:hAnsi="Cambria Math"/>
                <w:i/>
                <w:iCs/>
                <w:noProof/>
              </w:rPr>
            </m:ctrlPr>
          </m:sSubPr>
          <m:e>
            <m:sSub>
              <m:sSubPr>
                <m:ctrlPr>
                  <w:rPr>
                    <w:rFonts w:ascii="Cambria Math" w:hAnsi="Cambria Math"/>
                    <w:i/>
                    <w:iCs/>
                    <w:noProof/>
                  </w:rPr>
                </m:ctrlPr>
              </m:sSubPr>
              <m:e>
                <m:r>
                  <w:rPr>
                    <w:rFonts w:ascii="Cambria Math" w:hAnsi="Cambria Math"/>
                    <w:noProof/>
                  </w:rPr>
                  <m:t>P</m:t>
                </m:r>
              </m:e>
              <m:sub>
                <m:r>
                  <m:rPr>
                    <m:nor/>
                  </m:rPr>
                  <w:rPr>
                    <w:iCs/>
                    <w:noProof/>
                  </w:rPr>
                  <m:t>PSFCH</m:t>
                </m:r>
                <m:r>
                  <m:rPr>
                    <m:nor/>
                  </m:rPr>
                  <w:rPr>
                    <w:rFonts w:ascii="Cambria Math"/>
                    <w:iCs/>
                    <w:noProof/>
                  </w:rPr>
                  <m:t>,PRB,second,</m:t>
                </m:r>
                <m:r>
                  <m:rPr>
                    <m:nor/>
                  </m:rPr>
                  <w:rPr>
                    <w:rFonts w:ascii="Cambria Math"/>
                    <w:i/>
                    <w:noProof/>
                  </w:rPr>
                  <m:t>k</m:t>
                </m:r>
                <m:ctrlPr>
                  <w:rPr>
                    <w:rFonts w:ascii="Cambria Math" w:hAnsi="Cambria Math"/>
                    <w:iCs/>
                    <w:noProof/>
                  </w:rPr>
                </m:ctrlPr>
              </m:sub>
            </m:sSub>
            <m:d>
              <m:dPr>
                <m:ctrlPr>
                  <w:rPr>
                    <w:rFonts w:ascii="Cambria Math" w:hAnsi="Cambria Math"/>
                    <w:i/>
                    <w:iCs/>
                    <w:noProof/>
                  </w:rPr>
                </m:ctrlPr>
              </m:dPr>
              <m:e>
                <m:r>
                  <w:rPr>
                    <w:rFonts w:ascii="Cambria Math" w:hAnsi="Cambria Math"/>
                    <w:noProof/>
                  </w:rPr>
                  <m:t>i</m:t>
                </m:r>
              </m:e>
            </m:d>
            <m:r>
              <w:rPr>
                <w:rFonts w:ascii="Cambria Math" w:hAnsi="Cambria Math"/>
                <w:noProof/>
              </w:rPr>
              <m:t>-P</m:t>
            </m:r>
          </m:e>
          <m:sub>
            <m:r>
              <m:rPr>
                <m:nor/>
              </m:rPr>
              <w:rPr>
                <w:iCs/>
                <w:noProof/>
              </w:rPr>
              <m:t>PSFCH</m:t>
            </m:r>
            <m:r>
              <m:rPr>
                <m:nor/>
              </m:rPr>
              <w:rPr>
                <w:rFonts w:ascii="Cambria Math"/>
                <w:iCs/>
                <w:noProof/>
              </w:rPr>
              <m:t>,offset</m:t>
            </m:r>
            <m:ctrlPr>
              <w:rPr>
                <w:rFonts w:ascii="Cambria Math" w:hAnsi="Cambria Math"/>
                <w:iCs/>
                <w:noProof/>
              </w:rPr>
            </m:ctrlPr>
          </m:sub>
        </m:sSub>
      </m:oMath>
      <w:r w:rsidRPr="009B4751">
        <w:rPr>
          <w:iCs/>
        </w:rPr>
        <w:t xml:space="preserve"> and the </w:t>
      </w:r>
      <w:r w:rsidRPr="009B4751">
        <w:t xml:space="preserve">power on one PRB in the subset of PRBs in the second interlace for PSFCH transmission is </w:t>
      </w:r>
      <m:oMath>
        <m:sSub>
          <m:sSubPr>
            <m:ctrlPr>
              <w:rPr>
                <w:rFonts w:ascii="Cambria Math" w:hAnsi="Cambria Math"/>
                <w:i/>
                <w:iCs/>
                <w:noProof/>
              </w:rPr>
            </m:ctrlPr>
          </m:sSubPr>
          <m:e>
            <m:r>
              <w:rPr>
                <w:rFonts w:ascii="Cambria Math" w:hAnsi="Cambria Math"/>
                <w:noProof/>
              </w:rPr>
              <m:t>P</m:t>
            </m:r>
          </m:e>
          <m:sub>
            <m:r>
              <m:rPr>
                <m:nor/>
              </m:rPr>
              <w:rPr>
                <w:iCs/>
                <w:noProof/>
              </w:rPr>
              <m:t>PSFCH</m:t>
            </m:r>
            <m:r>
              <m:rPr>
                <m:nor/>
              </m:rPr>
              <w:rPr>
                <w:rFonts w:ascii="Cambria Math"/>
                <w:iCs/>
                <w:noProof/>
              </w:rPr>
              <m:t>,PRB,second,</m:t>
            </m:r>
            <m:r>
              <m:rPr>
                <m:nor/>
              </m:rPr>
              <w:rPr>
                <w:rFonts w:ascii="Cambria Math"/>
                <w:i/>
                <w:noProof/>
              </w:rPr>
              <m:t>k</m:t>
            </m:r>
            <m:ctrlPr>
              <w:rPr>
                <w:rFonts w:ascii="Cambria Math" w:hAnsi="Cambria Math"/>
                <w:iCs/>
                <w:noProof/>
              </w:rPr>
            </m:ctrlPr>
          </m:sub>
        </m:sSub>
        <m:r>
          <w:rPr>
            <w:rFonts w:ascii="Cambria Math" w:hAnsi="Cambria Math"/>
            <w:noProof/>
          </w:rPr>
          <m:t>(i)=min</m:t>
        </m:r>
        <m:d>
          <m:dPr>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nor/>
                  </m:rPr>
                  <w:rPr>
                    <w:noProof/>
                  </w:rPr>
                  <m:t>CMAX</m:t>
                </m:r>
              </m:sub>
            </m:sSub>
            <m:r>
              <w:rPr>
                <w:rFonts w:ascii="Cambria Math" w:hAnsi="Cambria Math"/>
                <w:noProof/>
              </w:rPr>
              <m:t>-10lo</m:t>
            </m:r>
            <m:sSub>
              <m:sSubPr>
                <m:ctrlPr>
                  <w:rPr>
                    <w:rFonts w:ascii="Cambria Math" w:hAnsi="Cambria Math"/>
                    <w:i/>
                    <w:noProof/>
                  </w:rPr>
                </m:ctrlPr>
              </m:sSubPr>
              <m:e>
                <m:r>
                  <w:rPr>
                    <w:rFonts w:ascii="Cambria Math" w:hAnsi="Cambria Math"/>
                    <w:noProof/>
                  </w:rPr>
                  <m:t>g</m:t>
                </m:r>
              </m:e>
              <m:sub>
                <m:r>
                  <w:rPr>
                    <w:rFonts w:ascii="Cambria Math" w:hAnsi="Cambria Math"/>
                    <w:noProof/>
                  </w:rPr>
                  <m:t>10</m:t>
                </m:r>
              </m:sub>
            </m:sSub>
            <m:d>
              <m:dPr>
                <m:ctrlPr>
                  <w:rPr>
                    <w:rFonts w:ascii="Cambria Math" w:hAnsi="Cambria Math"/>
                    <w:i/>
                    <w:noProof/>
                  </w:rPr>
                </m:ctrlPr>
              </m:dPr>
              <m:e>
                <m:sSubSup>
                  <m:sSubSupPr>
                    <m:ctrlPr>
                      <w:rPr>
                        <w:rFonts w:ascii="Cambria Math" w:hAnsi="Cambria Math"/>
                        <w:i/>
                      </w:rPr>
                    </m:ctrlPr>
                  </m:sSubSupPr>
                  <m:e>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Tx,PSFCH</m:t>
                        </m:r>
                      </m:sub>
                    </m:sSub>
                    <m:r>
                      <w:rPr>
                        <w:rFonts w:ascii="Cambria Math" w:hAnsi="Cambria Math"/>
                      </w:rPr>
                      <m:t>⋅N</m:t>
                    </m:r>
                  </m:e>
                  <m:sub>
                    <m:r>
                      <m:rPr>
                        <m:sty m:val="p"/>
                      </m:rPr>
                      <w:rPr>
                        <w:rFonts w:ascii="Cambria Math" w:hAnsi="Cambria Math"/>
                      </w:rPr>
                      <m:t>PSFCH,one</m:t>
                    </m:r>
                  </m:sub>
                  <m:sup>
                    <m:r>
                      <m:rPr>
                        <m:sty m:val="p"/>
                      </m:rPr>
                      <w:rPr>
                        <w:rFonts w:ascii="Cambria Math" w:hAnsi="Cambria Math"/>
                      </w:rPr>
                      <m:t>interlace2</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sub>
                  <m:sup>
                    <m:r>
                      <m:rPr>
                        <m:sty m:val="p"/>
                      </m:rPr>
                      <w:rPr>
                        <w:rFonts w:ascii="Cambria Math" w:hAnsi="Cambria Math"/>
                      </w:rPr>
                      <m:t>interlace</m:t>
                    </m:r>
                    <m:r>
                      <w:rPr>
                        <w:rFonts w:ascii="Cambria Math" w:hAnsi="Cambria Math"/>
                      </w:rPr>
                      <m:t>1</m:t>
                    </m:r>
                  </m:sup>
                </m:sSubSup>
                <m:r>
                  <w:rPr>
                    <w:rFonts w:ascii="Cambria Math" w:hAnsi="Cambria Math"/>
                  </w:rPr>
                  <m:t>⋅</m:t>
                </m:r>
                <m:sSup>
                  <m:sSupPr>
                    <m:ctrlPr>
                      <w:rPr>
                        <w:rFonts w:ascii="Cambria Math" w:hAnsi="Cambria Math"/>
                        <w:i/>
                      </w:rPr>
                    </m:ctrlPr>
                  </m:sSupPr>
                  <m:e>
                    <m:r>
                      <w:rPr>
                        <w:rFonts w:ascii="Cambria Math" w:hAnsi="Cambria Math"/>
                      </w:rPr>
                      <m:t>10</m:t>
                    </m:r>
                  </m:e>
                  <m:sup>
                    <m:d>
                      <m:dPr>
                        <m:ctrlPr>
                          <w:rPr>
                            <w:rFonts w:ascii="Cambria Math" w:hAnsi="Cambria Math"/>
                            <w:i/>
                          </w:rPr>
                        </m:ctrlPr>
                      </m:dPr>
                      <m:e>
                        <m:sSub>
                          <m:sSubPr>
                            <m:ctrlPr>
                              <w:rPr>
                                <w:rFonts w:ascii="Cambria Math" w:hAnsi="Cambria Math"/>
                                <w:i/>
                              </w:rPr>
                            </m:ctrlPr>
                          </m:sSubPr>
                          <m:e>
                            <m:r>
                              <w:rPr>
                                <w:rFonts w:ascii="Cambria Math" w:hAnsi="Cambria Math"/>
                              </w:rPr>
                              <m:t>-P</m:t>
                            </m:r>
                          </m:e>
                          <m:sub>
                            <m:r>
                              <m:rPr>
                                <m:sty m:val="p"/>
                              </m:rPr>
                              <w:rPr>
                                <w:rFonts w:ascii="Cambria Math" w:hAnsi="Cambria Math"/>
                              </w:rPr>
                              <m:t>PSFCH,offset</m:t>
                            </m:r>
                          </m:sub>
                        </m:sSub>
                        <m:r>
                          <w:rPr>
                            <w:rFonts w:ascii="Cambria Math" w:hAnsi="Cambria Math"/>
                          </w:rPr>
                          <m:t>/10</m:t>
                        </m:r>
                      </m:e>
                    </m:d>
                  </m:sup>
                </m:sSup>
              </m:e>
            </m:d>
            <m:r>
              <m:rPr>
                <m:sty m:val="p"/>
              </m:rPr>
              <w:rPr>
                <w:rFonts w:ascii="Cambria Math" w:hAnsi="Cambria Math"/>
              </w:rPr>
              <m:t xml:space="preserve"> </m:t>
            </m:r>
            <m:r>
              <m:rPr>
                <m:sty m:val="p"/>
              </m:rPr>
              <w:rPr>
                <w:rFonts w:ascii="Cambria Math" w:hAnsi="Cambria Math"/>
                <w:noProof/>
              </w:rPr>
              <m:t>,</m:t>
            </m:r>
            <m:sSub>
              <m:sSubPr>
                <m:ctrlPr>
                  <w:rPr>
                    <w:rFonts w:ascii="Cambria Math" w:hAnsi="Cambria Math"/>
                    <w:i/>
                    <w:iCs/>
                  </w:rPr>
                </m:ctrlPr>
              </m:sSubPr>
              <m:e>
                <m:r>
                  <w:rPr>
                    <w:rFonts w:ascii="Cambria Math" w:hAnsi="Cambria Math"/>
                  </w:rPr>
                  <m:t>P</m:t>
                </m:r>
              </m:e>
              <m:sub>
                <m:r>
                  <m:rPr>
                    <m:sty m:val="p"/>
                  </m:rPr>
                  <w:rPr>
                    <w:rFonts w:ascii="Cambria Math" w:hAnsi="Cambria Math"/>
                  </w:rPr>
                  <m:t>PSFCH,one</m:t>
                </m:r>
                <m:ctrlPr>
                  <w:rPr>
                    <w:rFonts w:ascii="Cambria Math" w:hAnsi="Cambria Math"/>
                    <w:iCs/>
                  </w:rPr>
                </m:ctrlPr>
              </m:sub>
            </m:sSub>
          </m:e>
        </m:d>
      </m:oMath>
      <w:r w:rsidRPr="009B4751">
        <w:t xml:space="preserve">, where </w:t>
      </w:r>
      <m:oMath>
        <m:sSub>
          <m:sSubPr>
            <m:ctrlPr>
              <w:rPr>
                <w:rFonts w:ascii="Cambria Math" w:hAnsi="Cambria Math"/>
                <w:i/>
              </w:rPr>
            </m:ctrlPr>
          </m:sSubPr>
          <m:e>
            <m:r>
              <w:rPr>
                <w:rFonts w:ascii="Cambria Math" w:hAnsi="Cambria Math"/>
              </w:rPr>
              <m:t>P</m:t>
            </m:r>
          </m:e>
          <m:sub>
            <m:r>
              <m:rPr>
                <m:sty m:val="p"/>
              </m:rPr>
              <w:rPr>
                <w:rFonts w:ascii="Cambria Math" w:hAnsi="Cambria Math"/>
              </w:rPr>
              <m:t>PSFCH,offset</m:t>
            </m:r>
          </m:sub>
        </m:sSub>
      </m:oMath>
      <w:r w:rsidRPr="009B4751">
        <w:t xml:space="preserve"> is provided by </w:t>
      </w:r>
      <w:r w:rsidR="0042013B" w:rsidRPr="0070461C">
        <w:rPr>
          <w:i/>
        </w:rPr>
        <w:t>sl-PSFCH-PowerOffset</w:t>
      </w:r>
      <w:r w:rsidRPr="009B4751">
        <w:rPr>
          <w:iCs/>
        </w:rPr>
        <w:t xml:space="preserve"> </w:t>
      </w:r>
    </w:p>
    <w:p w14:paraId="4E1C2FAC" w14:textId="77777777" w:rsidR="00BB0A93" w:rsidRPr="00CD4F4D" w:rsidRDefault="00BB0A93" w:rsidP="0014760F">
      <w:pPr>
        <w:pStyle w:val="B5"/>
        <w:ind w:left="1418" w:firstLine="0"/>
        <w:rPr>
          <w:rFonts w:eastAsiaTheme="minorEastAsia"/>
        </w:rPr>
      </w:pPr>
      <w:r w:rsidRPr="00CD4F4D">
        <w:rPr>
          <w:rFonts w:eastAsiaTheme="minorEastAsia"/>
        </w:rPr>
        <w:t xml:space="preserve">where </w:t>
      </w:r>
      <m:oMath>
        <m:sSub>
          <m:sSubPr>
            <m:ctrlPr>
              <w:rPr>
                <w:rFonts w:ascii="Cambria Math" w:eastAsia="Malgun Gothic" w:hAnsi="Cambria Math"/>
                <w:i/>
              </w:rPr>
            </m:ctrlPr>
          </m:sSubPr>
          <m:e>
            <m:r>
              <w:rPr>
                <w:rFonts w:ascii="Cambria Math" w:eastAsia="Malgun Gothic" w:hAnsi="Cambria Math"/>
              </w:rPr>
              <m:t>P</m:t>
            </m:r>
          </m:e>
          <m:sub>
            <m:r>
              <m:rPr>
                <m:nor/>
              </m:rPr>
              <w:rPr>
                <w:rFonts w:eastAsia="Malgun Gothic"/>
              </w:rPr>
              <m:t>CMAX</m:t>
            </m:r>
            <m:ctrlPr>
              <w:rPr>
                <w:rFonts w:ascii="Cambria Math" w:eastAsia="Malgun Gothic" w:hAnsi="Cambria Math"/>
              </w:rPr>
            </m:ctrlPr>
          </m:sub>
        </m:sSub>
      </m:oMath>
      <w:r w:rsidRPr="00CD4F4D">
        <w:rPr>
          <w:rFonts w:eastAsiaTheme="minorEastAsia"/>
        </w:rPr>
        <w:tab/>
        <w:t xml:space="preserve">is defined in [8-1, TS 38.101-1] </w:t>
      </w:r>
      <w:r w:rsidRPr="00CD4F4D">
        <w:rPr>
          <w:rFonts w:eastAsiaTheme="minorEastAsia"/>
          <w:lang w:val="en-US"/>
        </w:rPr>
        <w:t xml:space="preserve">and is </w:t>
      </w:r>
      <w:r w:rsidRPr="00CD4F4D">
        <w:rPr>
          <w:rFonts w:eastAsiaTheme="minorEastAsia"/>
        </w:rPr>
        <w:t xml:space="preserve">determined for the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Tx,PSFCH</m:t>
            </m:r>
          </m:sub>
        </m:sSub>
      </m:oMath>
      <w:r w:rsidRPr="00CD4F4D">
        <w:rPr>
          <w:rFonts w:eastAsiaTheme="minorEastAsia"/>
        </w:rPr>
        <w:t xml:space="preserve"> PSFCH transmissions</w:t>
      </w:r>
    </w:p>
    <w:p w14:paraId="2A5DC575" w14:textId="77777777" w:rsidR="00BB0A93" w:rsidRPr="00CD4F4D" w:rsidRDefault="00BB0A93" w:rsidP="0014760F">
      <w:pPr>
        <w:pStyle w:val="B2"/>
        <w:rPr>
          <w:rFonts w:eastAsiaTheme="minorEastAsia"/>
        </w:rPr>
      </w:pPr>
      <w:r w:rsidRPr="00CD4F4D">
        <w:t>-</w:t>
      </w:r>
      <w:r w:rsidRPr="00CD4F4D">
        <w:tab/>
      </w:r>
      <w:r w:rsidRPr="00CD4F4D">
        <w:rPr>
          <w:rFonts w:eastAsiaTheme="minorEastAsia"/>
        </w:rPr>
        <w:t>else</w:t>
      </w:r>
    </w:p>
    <w:p w14:paraId="6A6CE986" w14:textId="6BADDE05" w:rsidR="00BB0A93" w:rsidRPr="00CD4F4D" w:rsidRDefault="00BB0A93" w:rsidP="0014760F">
      <w:pPr>
        <w:pStyle w:val="B3"/>
        <w:rPr>
          <w:rFonts w:eastAsiaTheme="minorEastAsia"/>
        </w:rPr>
      </w:pPr>
      <w:r w:rsidRPr="00CD4F4D">
        <w:t>-</w:t>
      </w:r>
      <w:r w:rsidRPr="00CD4F4D">
        <w:tab/>
      </w:r>
      <w:r w:rsidRPr="00CD4F4D">
        <w:rPr>
          <w:lang w:val="en-US"/>
        </w:rPr>
        <w:t xml:space="preserve">the </w:t>
      </w:r>
      <w:r w:rsidRPr="00CD4F4D">
        <w:rPr>
          <w:rFonts w:eastAsia="Malgun Gothic"/>
          <w:iCs/>
        </w:rPr>
        <w:t xml:space="preserve">UE </w:t>
      </w:r>
      <w:r w:rsidRPr="00CD4F4D">
        <w:rPr>
          <w:rFonts w:eastAsia="Malgun Gothic"/>
          <w:iCs/>
          <w:lang w:val="en-US"/>
        </w:rPr>
        <w:t xml:space="preserve">autonomously </w:t>
      </w:r>
      <w:bookmarkStart w:id="871" w:name="_Hlk39409839"/>
      <w:r w:rsidRPr="00CD4F4D">
        <w:rPr>
          <w:rFonts w:eastAsia="Malgun Gothic"/>
          <w:iCs/>
          <w:lang w:val="en-US"/>
        </w:rPr>
        <w:t>selects</w:t>
      </w:r>
      <w:bookmarkEnd w:id="871"/>
      <w:r w:rsidRPr="00CD4F4D">
        <w:rPr>
          <w:rFonts w:eastAsiaTheme="minorEastAsia"/>
        </w:rPr>
        <w:t xml:space="preserve"> </w:t>
      </w:r>
      <m:oMath>
        <m:sSub>
          <m:sSubPr>
            <m:ctrlPr>
              <w:rPr>
                <w:rFonts w:ascii="Cambria Math" w:eastAsia="Malgun Gothic" w:hAnsi="Cambria Math"/>
                <w:i/>
                <w:noProof/>
              </w:rPr>
            </m:ctrlPr>
          </m:sSubPr>
          <m:e>
            <m:r>
              <w:rPr>
                <w:rFonts w:ascii="Cambria Math" w:eastAsia="Malgun Gothic" w:hAnsi="Cambria Math"/>
                <w:noProof/>
              </w:rPr>
              <m:t>N</m:t>
            </m:r>
          </m:e>
          <m:sub>
            <m:r>
              <m:rPr>
                <m:sty m:val="p"/>
              </m:rPr>
              <w:rPr>
                <w:rFonts w:ascii="Cambria Math" w:eastAsia="Malgun Gothic" w:hAnsi="Cambria Math"/>
                <w:noProof/>
              </w:rPr>
              <m:t>max,PSFCH</m:t>
            </m:r>
          </m:sub>
        </m:sSub>
      </m:oMath>
      <w:r w:rsidRPr="00CD4F4D">
        <w:rPr>
          <w:rFonts w:eastAsiaTheme="minorEastAsia"/>
        </w:rPr>
        <w:t xml:space="preserve"> PSFCH transmissions with ascending order </w:t>
      </w:r>
      <w:r w:rsidR="001E61E1" w:rsidRPr="009E3BD0">
        <w:rPr>
          <w:rFonts w:eastAsia="Malgun Gothic"/>
        </w:rPr>
        <w:t xml:space="preserve">of corresponding priority field values </w:t>
      </w:r>
      <w:r w:rsidRPr="00CD4F4D">
        <w:rPr>
          <w:rFonts w:eastAsiaTheme="minorEastAsia"/>
        </w:rPr>
        <w:t xml:space="preserve">as described </w:t>
      </w:r>
      <w:r w:rsidR="006F5F9E">
        <w:rPr>
          <w:rFonts w:eastAsiaTheme="minorEastAsia"/>
        </w:rPr>
        <w:t>in clause</w:t>
      </w:r>
      <w:r w:rsidRPr="00CD4F4D">
        <w:rPr>
          <w:rFonts w:eastAsiaTheme="minorEastAsia"/>
        </w:rPr>
        <w:t xml:space="preserve"> 16.2.4.2</w:t>
      </w:r>
    </w:p>
    <w:p w14:paraId="6F47B994" w14:textId="37A709D8" w:rsidR="00BB0A93" w:rsidRPr="00CD4F4D" w:rsidRDefault="00BB0A93" w:rsidP="0014760F">
      <w:pPr>
        <w:pStyle w:val="B4"/>
        <w:rPr>
          <w:rFonts w:eastAsiaTheme="minorEastAsia"/>
          <w:lang w:val="en-US"/>
        </w:rPr>
      </w:pPr>
      <w:r w:rsidRPr="00CD4F4D">
        <w:t>-</w:t>
      </w:r>
      <w:r w:rsidRPr="00CD4F4D">
        <w:tab/>
      </w:r>
      <w:r w:rsidRPr="00CD4F4D">
        <w:rPr>
          <w:rFonts w:eastAsiaTheme="minorEastAsia"/>
        </w:rPr>
        <w:t xml:space="preserve">if </w:t>
      </w:r>
      <m:oMath>
        <m:sSub>
          <m:sSubPr>
            <m:ctrlPr>
              <w:rPr>
                <w:rFonts w:ascii="Cambria Math" w:hAnsi="Cambria Math"/>
                <w:i/>
                <w:iCs/>
              </w:rPr>
            </m:ctrlPr>
          </m:sSubPr>
          <m:e>
            <m:r>
              <w:rPr>
                <w:rFonts w:ascii="Cambria Math" w:hAnsi="Cambria Math"/>
              </w:rPr>
              <m:t>P</m:t>
            </m:r>
          </m:e>
          <m:sub>
            <m:r>
              <m:rPr>
                <m:nor/>
              </m:rPr>
              <w:rPr>
                <w:iCs/>
              </w:rPr>
              <m:t>PSFCH</m:t>
            </m:r>
            <m:r>
              <m:rPr>
                <m:nor/>
              </m:rPr>
              <w:rPr>
                <w:rFonts w:ascii="Cambria Math"/>
                <w:iCs/>
              </w:rPr>
              <m:t>,one</m:t>
            </m:r>
            <m:ctrlPr>
              <w:rPr>
                <w:rFonts w:ascii="Cambria Math" w:hAnsi="Cambria Math"/>
                <w:iCs/>
              </w:rPr>
            </m:ctrlPr>
          </m:sub>
        </m:sSub>
        <m:r>
          <w:rPr>
            <w:rFonts w:ascii="Cambria Math" w:eastAsia="Malgun Gothic" w:hAnsi="Cambria Math"/>
            <w:noProof/>
          </w:rPr>
          <m:t>+10lo</m:t>
        </m:r>
        <m:sSub>
          <m:sSubPr>
            <m:ctrlPr>
              <w:rPr>
                <w:rFonts w:ascii="Cambria Math" w:eastAsia="Malgun Gothic" w:hAnsi="Cambria Math"/>
                <w:i/>
                <w:noProof/>
              </w:rPr>
            </m:ctrlPr>
          </m:sSubPr>
          <m:e>
            <m:r>
              <w:rPr>
                <w:rFonts w:ascii="Cambria Math" w:eastAsia="Malgun Gothic" w:hAnsi="Cambria Math"/>
                <w:noProof/>
              </w:rPr>
              <m:t>g</m:t>
            </m:r>
          </m:e>
          <m:sub>
            <m:r>
              <w:rPr>
                <w:rFonts w:ascii="Cambria Math" w:eastAsia="Malgun Gothic" w:hAnsi="Cambria Math"/>
                <w:noProof/>
              </w:rPr>
              <m:t>10</m:t>
            </m:r>
          </m:sub>
        </m:sSub>
        <m:d>
          <m:dPr>
            <m:ctrlPr>
              <w:rPr>
                <w:rFonts w:ascii="Cambria Math" w:eastAsia="Malgun Gothic" w:hAnsi="Cambria Math"/>
                <w:i/>
                <w:noProof/>
              </w:rPr>
            </m:ctrlPr>
          </m:dPr>
          <m:e>
            <m:sSub>
              <m:sSubPr>
                <m:ctrlPr>
                  <w:rPr>
                    <w:rFonts w:ascii="Cambria Math" w:hAnsi="Cambria Math"/>
                    <w:i/>
                    <w:iCs/>
                  </w:rPr>
                </m:ctrlPr>
              </m:sSubPr>
              <m:e>
                <m:r>
                  <w:rPr>
                    <w:rFonts w:ascii="Cambria Math" w:hAnsi="Cambria Math"/>
                  </w:rPr>
                  <m:t>N</m:t>
                </m:r>
              </m:e>
              <m:sub>
                <m:r>
                  <m:rPr>
                    <m:nor/>
                  </m:rPr>
                  <w:rPr>
                    <w:iCs/>
                  </w:rPr>
                  <m:t>PSFCH</m:t>
                </m:r>
                <m:r>
                  <m:rPr>
                    <m:nor/>
                  </m:rPr>
                  <w:rPr>
                    <w:rFonts w:ascii="Cambria Math"/>
                    <w:iCs/>
                  </w:rPr>
                  <m:t>,one,max</m:t>
                </m:r>
                <m:ctrlPr>
                  <w:rPr>
                    <w:rFonts w:ascii="Cambria Math" w:hAnsi="Cambria Math"/>
                    <w:iCs/>
                  </w:rPr>
                </m:ctrlPr>
              </m:sub>
            </m:sSub>
          </m:e>
        </m:d>
        <m:r>
          <w:rPr>
            <w:rFonts w:ascii="Cambria Math" w:eastAsia="Malgun Gothic" w:hAnsi="Cambria Math"/>
            <w:noProof/>
          </w:rPr>
          <m:t>≤</m:t>
        </m:r>
        <m:sSub>
          <m:sSubPr>
            <m:ctrlPr>
              <w:rPr>
                <w:rFonts w:ascii="Cambria Math" w:eastAsia="Malgun Gothic" w:hAnsi="Cambria Math"/>
                <w:i/>
              </w:rPr>
            </m:ctrlPr>
          </m:sSubPr>
          <m:e>
            <m:r>
              <w:rPr>
                <w:rFonts w:ascii="Cambria Math" w:eastAsia="Malgun Gothic" w:hAnsi="Cambria Math"/>
              </w:rPr>
              <m:t>P</m:t>
            </m:r>
          </m:e>
          <m:sub>
            <m:r>
              <m:rPr>
                <m:nor/>
              </m:rPr>
              <w:rPr>
                <w:rFonts w:eastAsia="Malgun Gothic"/>
              </w:rPr>
              <m:t>CMAX</m:t>
            </m:r>
            <m:ctrlPr>
              <w:rPr>
                <w:rFonts w:ascii="Cambria Math" w:eastAsia="Malgun Gothic" w:hAnsi="Cambria Math"/>
              </w:rPr>
            </m:ctrlPr>
          </m:sub>
        </m:sSub>
      </m:oMath>
      <w:r w:rsidRPr="00CD4F4D">
        <w:rPr>
          <w:rFonts w:eastAsiaTheme="minorEastAsia"/>
          <w:lang w:val="en-US"/>
        </w:rPr>
        <w:t>, where</w:t>
      </w:r>
      <w:r w:rsidRPr="00CD4F4D">
        <w:rPr>
          <w:rFonts w:eastAsiaTheme="minorEastAsia" w:hint="eastAsia"/>
        </w:rPr>
        <w:t xml:space="preserve"> </w:t>
      </w:r>
      <m:oMath>
        <m:sSub>
          <m:sSubPr>
            <m:ctrlPr>
              <w:rPr>
                <w:rFonts w:ascii="Cambria Math" w:eastAsia="Malgun Gothic" w:hAnsi="Cambria Math"/>
                <w:i/>
              </w:rPr>
            </m:ctrlPr>
          </m:sSubPr>
          <m:e>
            <m:r>
              <w:rPr>
                <w:rFonts w:ascii="Cambria Math" w:eastAsia="Malgun Gothic"/>
              </w:rPr>
              <m:t>P</m:t>
            </m:r>
          </m:e>
          <m:sub>
            <m:r>
              <m:rPr>
                <m:nor/>
              </m:rPr>
              <w:rPr>
                <w:rFonts w:ascii="Cambria Math" w:eastAsia="Malgun Gothic"/>
              </w:rPr>
              <m:t>CMAX</m:t>
            </m:r>
            <m:ctrlPr>
              <w:rPr>
                <w:rFonts w:ascii="Cambria Math" w:eastAsia="Malgun Gothic" w:hAnsi="Cambria Math"/>
              </w:rPr>
            </m:ctrlPr>
          </m:sub>
        </m:sSub>
      </m:oMath>
      <w:r w:rsidRPr="00CD4F4D">
        <w:rPr>
          <w:rFonts w:eastAsiaTheme="minorEastAsia" w:hint="eastAsia"/>
        </w:rPr>
        <w:t xml:space="preserve"> </w:t>
      </w:r>
      <w:r w:rsidRPr="00CD4F4D">
        <w:rPr>
          <w:rFonts w:eastAsiaTheme="minorEastAsia"/>
          <w:lang w:val="en-US"/>
        </w:rPr>
        <w:t xml:space="preserve">is </w:t>
      </w:r>
      <w:r w:rsidRPr="00CD4F4D">
        <w:rPr>
          <w:rFonts w:eastAsia="Malgun Gothic"/>
        </w:rPr>
        <w:t>determined for</w:t>
      </w:r>
      <w:r w:rsidRPr="00CD4F4D">
        <w:rPr>
          <w:rFonts w:eastAsia="Malgun Gothic"/>
          <w:lang w:val="en-US"/>
        </w:rPr>
        <w:t xml:space="preserve"> the</w:t>
      </w:r>
      <w:r w:rsidRPr="00CD4F4D">
        <w:rPr>
          <w:rFonts w:eastAsia="Malgun Gothic"/>
        </w:rPr>
        <w:t xml:space="preserve"> </w:t>
      </w:r>
      <m:oMath>
        <m:sSub>
          <m:sSubPr>
            <m:ctrlPr>
              <w:rPr>
                <w:rFonts w:ascii="Cambria Math" w:eastAsia="Malgun Gothic" w:hAnsi="Cambria Math"/>
                <w:i/>
                <w:noProof/>
              </w:rPr>
            </m:ctrlPr>
          </m:sSubPr>
          <m:e>
            <m:r>
              <w:rPr>
                <w:rFonts w:ascii="Cambria Math" w:eastAsia="Malgun Gothic" w:hAnsi="Cambria Math"/>
                <w:noProof/>
              </w:rPr>
              <m:t>N</m:t>
            </m:r>
          </m:e>
          <m:sub>
            <m:r>
              <m:rPr>
                <m:sty m:val="p"/>
              </m:rPr>
              <w:rPr>
                <w:rFonts w:ascii="Cambria Math" w:eastAsia="Malgun Gothic" w:hAnsi="Cambria Math"/>
                <w:noProof/>
              </w:rPr>
              <m:t>max,PSFCH</m:t>
            </m:r>
          </m:sub>
        </m:sSub>
      </m:oMath>
      <w:r w:rsidRPr="00CD4F4D">
        <w:rPr>
          <w:rFonts w:eastAsia="Malgun Gothic" w:hint="eastAsia"/>
        </w:rPr>
        <w:t xml:space="preserve"> </w:t>
      </w:r>
      <w:r w:rsidRPr="00CD4F4D">
        <w:rPr>
          <w:rFonts w:eastAsiaTheme="minorEastAsia"/>
        </w:rPr>
        <w:t xml:space="preserve">PSFCH transmissions according to </w:t>
      </w:r>
      <w:r w:rsidRPr="00CD4F4D">
        <w:rPr>
          <w:rFonts w:eastAsia="Malgun Gothic"/>
        </w:rPr>
        <w:t>[8-1, TS 38.101-1]</w:t>
      </w:r>
    </w:p>
    <w:p w14:paraId="03C4BDD5" w14:textId="77777777" w:rsidR="0077498D" w:rsidRPr="0077498D" w:rsidRDefault="0077498D" w:rsidP="0077498D">
      <w:pPr>
        <w:pStyle w:val="B5"/>
        <w:rPr>
          <w:noProof/>
        </w:rPr>
      </w:pPr>
      <w:r w:rsidRPr="0077498D">
        <w:t>-</w:t>
      </w:r>
      <w:r w:rsidRPr="0077498D">
        <w:tab/>
      </w:r>
      <m:oMath>
        <m:sSub>
          <m:sSubPr>
            <m:ctrlPr>
              <w:rPr>
                <w:rFonts w:ascii="Cambria Math" w:hAnsi="Cambria Math"/>
                <w:i/>
                <w:iCs/>
              </w:rPr>
            </m:ctrlPr>
          </m:sSubPr>
          <m:e>
            <m:r>
              <w:rPr>
                <w:rFonts w:ascii="Cambria Math" w:hAnsi="Cambria Math"/>
              </w:rPr>
              <m:t>N</m:t>
            </m:r>
          </m:e>
          <m:sub>
            <m:r>
              <m:rPr>
                <m:nor/>
              </m:rPr>
              <w:rPr>
                <w:iCs/>
              </w:rPr>
              <m:t>PSFCH</m:t>
            </m:r>
            <m:r>
              <m:rPr>
                <m:nor/>
              </m:rPr>
              <w:rPr>
                <w:rFonts w:ascii="Cambria Math"/>
                <w:iCs/>
              </w:rPr>
              <m:t>,one,max</m:t>
            </m:r>
            <m:ctrlPr>
              <w:rPr>
                <w:rFonts w:ascii="Cambria Math" w:hAnsi="Cambria Math"/>
                <w:iCs/>
              </w:rPr>
            </m:ctrlPr>
          </m:sub>
        </m:sSub>
        <m:r>
          <w:rPr>
            <w:rFonts w:ascii="Cambria Math" w:hAnsi="Cambria Math"/>
          </w:rPr>
          <m:t>=</m:t>
        </m:r>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max,PSFCH</m:t>
            </m:r>
          </m:sub>
        </m:sSub>
      </m:oMath>
      <w:r w:rsidRPr="0077498D">
        <w:t xml:space="preserve"> [dBm] </w:t>
      </w:r>
      <w:r w:rsidRPr="0077498D">
        <w:rPr>
          <w:noProof/>
        </w:rPr>
        <w:t>for operation without shared spectrum channel access</w:t>
      </w:r>
    </w:p>
    <w:p w14:paraId="2DB33C78" w14:textId="77777777" w:rsidR="0077498D" w:rsidRPr="0077498D" w:rsidRDefault="0077498D" w:rsidP="0077498D">
      <w:pPr>
        <w:pStyle w:val="B5"/>
        <w:ind w:left="1985"/>
      </w:pPr>
      <w:r w:rsidRPr="0077498D">
        <w:rPr>
          <w:lang w:val="x-none"/>
        </w:rPr>
        <w:t>-</w:t>
      </w:r>
      <w:r w:rsidRPr="0077498D">
        <w:rPr>
          <w:lang w:val="x-none"/>
        </w:rPr>
        <w:tab/>
      </w:r>
      <m:oMath>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Tx,PSFCH</m:t>
            </m:r>
          </m:sub>
        </m:sSub>
        <m:r>
          <w:rPr>
            <w:rFonts w:ascii="Cambria Math" w:hAnsi="Cambria Math"/>
            <w:lang w:val="x-none"/>
          </w:rPr>
          <m:t>=</m:t>
        </m:r>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max,PSFCH</m:t>
            </m:r>
          </m:sub>
        </m:sSub>
      </m:oMath>
      <w:r w:rsidRPr="0077498D">
        <w:rPr>
          <w:rFonts w:hint="eastAsia"/>
        </w:rPr>
        <w:t xml:space="preserve"> and</w:t>
      </w:r>
      <w:r w:rsidRPr="0077498D">
        <w:t xml:space="preserve"> </w:t>
      </w:r>
      <m:oMath>
        <m:sSub>
          <m:sSubPr>
            <m:ctrlPr>
              <w:rPr>
                <w:rFonts w:ascii="Cambria Math" w:hAnsi="Cambria Math"/>
                <w:noProof/>
              </w:rPr>
            </m:ctrlPr>
          </m:sSubPr>
          <m:e>
            <m:r>
              <w:rPr>
                <w:rFonts w:ascii="Cambria Math" w:hAnsi="Cambria Math"/>
                <w:noProof/>
              </w:rPr>
              <m:t>P</m:t>
            </m:r>
          </m:e>
          <m:sub>
            <m:r>
              <m:rPr>
                <m:nor/>
              </m:rPr>
              <w:rPr>
                <w:noProof/>
              </w:rPr>
              <m:t>PSFCH,k</m:t>
            </m:r>
          </m:sub>
        </m:sSub>
        <m:r>
          <m:rPr>
            <m:sty m:val="p"/>
          </m:rPr>
          <w:rPr>
            <w:rFonts w:ascii="Cambria Math" w:hAnsi="Cambria Math"/>
            <w:noProof/>
          </w:rPr>
          <m:t>(</m:t>
        </m:r>
        <m:r>
          <w:rPr>
            <w:rFonts w:ascii="Cambria Math" w:hAnsi="Cambria Math"/>
            <w:noProof/>
          </w:rPr>
          <m:t>i</m:t>
        </m:r>
        <m:r>
          <m:rPr>
            <m:sty m:val="p"/>
          </m:rPr>
          <w:rPr>
            <w:rFonts w:ascii="Cambria Math" w:hAnsi="Cambria Math"/>
            <w:noProof/>
          </w:rPr>
          <m:t>)=</m:t>
        </m:r>
        <m:sSub>
          <m:sSubPr>
            <m:ctrlPr>
              <w:rPr>
                <w:rFonts w:ascii="Cambria Math" w:hAnsi="Cambria Math"/>
                <w:i/>
                <w:iCs/>
              </w:rPr>
            </m:ctrlPr>
          </m:sSubPr>
          <m:e>
            <m:r>
              <w:rPr>
                <w:rFonts w:ascii="Cambria Math" w:hAnsi="Cambria Math"/>
              </w:rPr>
              <m:t>P</m:t>
            </m:r>
          </m:e>
          <m:sub>
            <m:r>
              <m:rPr>
                <m:nor/>
              </m:rPr>
              <w:rPr>
                <w:iCs/>
              </w:rPr>
              <m:t>PSFCH,one</m:t>
            </m:r>
            <m:ctrlPr>
              <w:rPr>
                <w:rFonts w:ascii="Cambria Math" w:hAnsi="Cambria Math"/>
                <w:iCs/>
              </w:rPr>
            </m:ctrlPr>
          </m:sub>
        </m:sSub>
      </m:oMath>
      <w:r w:rsidRPr="0077498D">
        <w:rPr>
          <w:rFonts w:hint="eastAsia"/>
        </w:rPr>
        <w:t xml:space="preserve"> [dBm]</w:t>
      </w:r>
      <w:r w:rsidRPr="0077498D">
        <w:t xml:space="preserve"> </w:t>
      </w:r>
    </w:p>
    <w:p w14:paraId="502381E3" w14:textId="7E71ADCC" w:rsidR="0077498D" w:rsidRPr="0077498D" w:rsidRDefault="0077498D" w:rsidP="0077498D">
      <w:pPr>
        <w:pStyle w:val="B5"/>
      </w:pPr>
      <w:r w:rsidRPr="0077498D">
        <w:lastRenderedPageBreak/>
        <w:t>-</w:t>
      </w:r>
      <w:r w:rsidRPr="0077498D">
        <w:tab/>
      </w:r>
      <m:oMath>
        <m:sSub>
          <m:sSubPr>
            <m:ctrlPr>
              <w:rPr>
                <w:rFonts w:ascii="Cambria Math" w:hAnsi="Cambria Math"/>
                <w:i/>
                <w:iCs/>
              </w:rPr>
            </m:ctrlPr>
          </m:sSubPr>
          <m:e>
            <m:r>
              <w:rPr>
                <w:rFonts w:ascii="Cambria Math" w:hAnsi="Cambria Math"/>
              </w:rPr>
              <m:t>N</m:t>
            </m:r>
          </m:e>
          <m:sub>
            <m:r>
              <m:rPr>
                <m:nor/>
              </m:rPr>
              <w:rPr>
                <w:iCs/>
              </w:rPr>
              <m:t>PSFCH</m:t>
            </m:r>
            <m:r>
              <m:rPr>
                <m:nor/>
              </m:rPr>
              <w:rPr>
                <w:rFonts w:ascii="Cambria Math"/>
                <w:iCs/>
              </w:rPr>
              <m:t>,one,max</m:t>
            </m:r>
            <m:ctrlPr>
              <w:rPr>
                <w:rFonts w:ascii="Cambria Math" w:hAnsi="Cambria Math"/>
                <w:iCs/>
              </w:rPr>
            </m:ctrlPr>
          </m:sub>
        </m:sSub>
        <m:r>
          <w:rPr>
            <w:rFonts w:ascii="Cambria Math" w:hAnsi="Cambria Math"/>
          </w:rPr>
          <m:t>=</m:t>
        </m:r>
        <m:nary>
          <m:naryPr>
            <m:chr m:val="∑"/>
            <m:limLoc m:val="subSup"/>
            <m:ctrlPr>
              <w:rPr>
                <w:rFonts w:ascii="Cambria Math" w:hAnsi="Cambria Math"/>
                <w:i/>
              </w:rPr>
            </m:ctrlPr>
          </m:naryPr>
          <m:sub>
            <m:r>
              <w:rPr>
                <w:rFonts w:ascii="Cambria Math" w:hAnsi="Cambria Math"/>
              </w:rPr>
              <m:t>k=1</m:t>
            </m:r>
          </m:sub>
          <m:sup>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max,PSFCH</m:t>
                </m:r>
              </m:sub>
            </m:sSub>
          </m:sup>
          <m:e>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r>
                  <w:rPr>
                    <w:rFonts w:ascii="Cambria Math" w:hAnsi="Cambria Math"/>
                  </w:rPr>
                  <m:t>k</m:t>
                </m:r>
              </m:sub>
              <m:sup>
                <m:r>
                  <m:rPr>
                    <m:sty m:val="p"/>
                  </m:rPr>
                  <w:rPr>
                    <w:rFonts w:ascii="Cambria Math" w:hAnsi="Cambria Math"/>
                  </w:rPr>
                  <m:t>interlace</m:t>
                </m:r>
              </m:sup>
            </m:sSubSup>
          </m:e>
        </m:nary>
      </m:oMath>
      <w:r w:rsidRPr="0077498D">
        <w:t xml:space="preserve"> for operation with shared spectrum channel access and </w:t>
      </w:r>
      <w:r w:rsidR="00342D2D" w:rsidRPr="0070461C">
        <w:rPr>
          <w:i/>
        </w:rPr>
        <w:t>sl-TransmissionStructureForPSFCH</w:t>
      </w:r>
      <w:r w:rsidRPr="0077498D">
        <w:rPr>
          <w:i/>
        </w:rPr>
        <w:t xml:space="preserve"> = </w:t>
      </w:r>
      <w:r w:rsidR="0024141F">
        <w:t>'</w:t>
      </w:r>
      <w:r w:rsidR="00342D2D" w:rsidRPr="0070461C">
        <w:t>dedicatedInterlace</w:t>
      </w:r>
      <w:r w:rsidR="0024141F">
        <w:t>'</w:t>
      </w:r>
      <w:r w:rsidRPr="0077498D">
        <w:t xml:space="preserve">, where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r>
              <w:rPr>
                <w:rFonts w:ascii="Cambria Math" w:hAnsi="Cambria Math"/>
              </w:rPr>
              <m:t>k</m:t>
            </m:r>
          </m:sub>
          <m:sup>
            <m:r>
              <m:rPr>
                <m:sty m:val="p"/>
              </m:rPr>
              <w:rPr>
                <w:rFonts w:ascii="Cambria Math" w:hAnsi="Cambria Math"/>
              </w:rPr>
              <m:t>interlace</m:t>
            </m:r>
          </m:sup>
        </m:sSubSup>
      </m:oMath>
      <w:r w:rsidRPr="0077498D">
        <w:t xml:space="preserve"> is the number of PRBs in the interlace for the PSFCH transmission </w:t>
      </w:r>
      <m:oMath>
        <m:r>
          <w:rPr>
            <w:rFonts w:ascii="Cambria Math" w:hAnsi="Cambria Math"/>
          </w:rPr>
          <m:t>k</m:t>
        </m:r>
      </m:oMath>
    </w:p>
    <w:p w14:paraId="7D3AC770" w14:textId="77777777" w:rsidR="0077498D" w:rsidRPr="0077498D" w:rsidRDefault="0077498D" w:rsidP="0077498D">
      <w:pPr>
        <w:pStyle w:val="B5"/>
        <w:ind w:left="1985"/>
      </w:pPr>
      <w:r w:rsidRPr="0077498D">
        <w:rPr>
          <w:lang w:val="x-none"/>
        </w:rPr>
        <w:t>-</w:t>
      </w:r>
      <w:r w:rsidRPr="0077498D">
        <w:rPr>
          <w:lang w:val="x-none"/>
        </w:rPr>
        <w:tab/>
      </w:r>
      <m:oMath>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Tx,PSFCH</m:t>
            </m:r>
          </m:sub>
        </m:sSub>
        <m:r>
          <w:rPr>
            <w:rFonts w:ascii="Cambria Math" w:hAnsi="Cambria Math"/>
            <w:lang w:val="x-none"/>
          </w:rPr>
          <m:t>=</m:t>
        </m:r>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max,PSFCH</m:t>
            </m:r>
          </m:sub>
        </m:sSub>
      </m:oMath>
      <w:r w:rsidRPr="0077498D">
        <w:rPr>
          <w:rFonts w:hint="eastAsia"/>
        </w:rPr>
        <w:t xml:space="preserve"> and</w:t>
      </w:r>
      <w:r w:rsidRPr="0077498D">
        <w:t xml:space="preserve"> </w:t>
      </w:r>
      <m:oMath>
        <m:sSub>
          <m:sSubPr>
            <m:ctrlPr>
              <w:rPr>
                <w:rFonts w:ascii="Cambria Math" w:hAnsi="Cambria Math"/>
                <w:noProof/>
              </w:rPr>
            </m:ctrlPr>
          </m:sSubPr>
          <m:e>
            <m:r>
              <w:rPr>
                <w:rFonts w:ascii="Cambria Math" w:hAnsi="Cambria Math"/>
                <w:noProof/>
              </w:rPr>
              <m:t>P</m:t>
            </m:r>
          </m:e>
          <m:sub>
            <m:r>
              <m:rPr>
                <m:nor/>
              </m:rPr>
              <w:rPr>
                <w:noProof/>
              </w:rPr>
              <m:t>PSFCH,k</m:t>
            </m:r>
          </m:sub>
        </m:sSub>
        <m:d>
          <m:dPr>
            <m:ctrlPr>
              <w:rPr>
                <w:rFonts w:ascii="Cambria Math" w:hAnsi="Cambria Math"/>
                <w:noProof/>
              </w:rPr>
            </m:ctrlPr>
          </m:dPr>
          <m:e>
            <m:r>
              <w:rPr>
                <w:rFonts w:ascii="Cambria Math" w:hAnsi="Cambria Math"/>
                <w:noProof/>
              </w:rPr>
              <m:t>i</m:t>
            </m:r>
          </m:e>
        </m:d>
        <m:r>
          <m:rPr>
            <m:sty m:val="p"/>
          </m:rPr>
          <w:rPr>
            <w:rFonts w:ascii="Cambria Math" w:hAnsi="Cambria Math"/>
            <w:noProof/>
          </w:rPr>
          <m:t>=</m:t>
        </m:r>
        <m:sSub>
          <m:sSubPr>
            <m:ctrlPr>
              <w:rPr>
                <w:rFonts w:ascii="Cambria Math" w:hAnsi="Cambria Math"/>
                <w:i/>
                <w:iCs/>
              </w:rPr>
            </m:ctrlPr>
          </m:sSubPr>
          <m:e>
            <m:r>
              <w:rPr>
                <w:rFonts w:ascii="Cambria Math" w:hAnsi="Cambria Math"/>
              </w:rPr>
              <m:t>P</m:t>
            </m:r>
          </m:e>
          <m:sub>
            <m:r>
              <m:rPr>
                <m:nor/>
              </m:rPr>
              <w:rPr>
                <w:iCs/>
              </w:rPr>
              <m:t>PSFCH,one</m:t>
            </m:r>
            <m:ctrlPr>
              <w:rPr>
                <w:rFonts w:ascii="Cambria Math" w:hAnsi="Cambria Math"/>
                <w:iCs/>
              </w:rPr>
            </m:ctrlPr>
          </m:sub>
        </m:sSub>
        <m:r>
          <w:rPr>
            <w:rFonts w:ascii="Cambria Math" w:hAnsi="Cambria Math"/>
          </w:rPr>
          <m:t>+</m:t>
        </m:r>
        <m:r>
          <w:rPr>
            <w:rFonts w:ascii="Cambria Math" w:hAnsi="Cambria Math"/>
            <w:noProof/>
          </w:rPr>
          <m:t>10lo</m:t>
        </m:r>
        <m:sSub>
          <m:sSubPr>
            <m:ctrlPr>
              <w:rPr>
                <w:rFonts w:ascii="Cambria Math" w:hAnsi="Cambria Math"/>
                <w:i/>
                <w:noProof/>
              </w:rPr>
            </m:ctrlPr>
          </m:sSubPr>
          <m:e>
            <m:r>
              <w:rPr>
                <w:rFonts w:ascii="Cambria Math" w:hAnsi="Cambria Math"/>
                <w:noProof/>
              </w:rPr>
              <m:t>g</m:t>
            </m:r>
          </m:e>
          <m:sub>
            <m:r>
              <w:rPr>
                <w:rFonts w:ascii="Cambria Math" w:hAnsi="Cambria Math"/>
                <w:noProof/>
              </w:rPr>
              <m:t>10</m:t>
            </m:r>
          </m:sub>
        </m:sSub>
        <m:d>
          <m:dPr>
            <m:ctrlPr>
              <w:rPr>
                <w:rFonts w:ascii="Cambria Math" w:hAnsi="Cambria Math"/>
                <w:i/>
                <w:noProof/>
              </w:rPr>
            </m:ctrlPr>
          </m:dPr>
          <m:e>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r>
                  <w:rPr>
                    <w:rFonts w:ascii="Cambria Math" w:hAnsi="Cambria Math"/>
                  </w:rPr>
                  <m:t>k</m:t>
                </m:r>
              </m:sub>
              <m:sup>
                <m:r>
                  <m:rPr>
                    <m:sty m:val="p"/>
                  </m:rPr>
                  <w:rPr>
                    <w:rFonts w:ascii="Cambria Math" w:hAnsi="Cambria Math"/>
                  </w:rPr>
                  <m:t>interlace</m:t>
                </m:r>
              </m:sup>
            </m:sSubSup>
          </m:e>
        </m:d>
      </m:oMath>
      <w:r w:rsidRPr="0077498D">
        <w:t xml:space="preserve"> [dBm], where the power on one PRB in the interlace for PSFCH transmission is </w:t>
      </w:r>
      <m:oMath>
        <m:sSub>
          <m:sSubPr>
            <m:ctrlPr>
              <w:rPr>
                <w:rFonts w:ascii="Cambria Math" w:hAnsi="Cambria Math"/>
                <w:i/>
                <w:iCs/>
                <w:noProof/>
              </w:rPr>
            </m:ctrlPr>
          </m:sSubPr>
          <m:e>
            <m:r>
              <w:rPr>
                <w:rFonts w:ascii="Cambria Math" w:hAnsi="Cambria Math"/>
                <w:noProof/>
              </w:rPr>
              <m:t>P</m:t>
            </m:r>
          </m:e>
          <m:sub>
            <m:r>
              <m:rPr>
                <m:nor/>
              </m:rPr>
              <w:rPr>
                <w:iCs/>
                <w:noProof/>
              </w:rPr>
              <m:t>PSFCH</m:t>
            </m:r>
            <m:r>
              <m:rPr>
                <m:nor/>
              </m:rPr>
              <w:rPr>
                <w:rFonts w:ascii="Cambria Math"/>
                <w:iCs/>
                <w:noProof/>
              </w:rPr>
              <m:t>,PRB,</m:t>
            </m:r>
            <m:r>
              <m:rPr>
                <m:nor/>
              </m:rPr>
              <w:rPr>
                <w:rFonts w:ascii="Cambria Math"/>
                <w:i/>
                <w:noProof/>
              </w:rPr>
              <m:t>k</m:t>
            </m:r>
            <m:ctrlPr>
              <w:rPr>
                <w:rFonts w:ascii="Cambria Math" w:hAnsi="Cambria Math"/>
                <w:iCs/>
                <w:noProof/>
              </w:rPr>
            </m:ctrlPr>
          </m:sub>
        </m:sSub>
        <m:r>
          <w:rPr>
            <w:rFonts w:ascii="Cambria Math" w:hAnsi="Cambria Math"/>
            <w:noProof/>
          </w:rPr>
          <m:t>(i)=</m:t>
        </m:r>
        <m:sSub>
          <m:sSubPr>
            <m:ctrlPr>
              <w:rPr>
                <w:rFonts w:ascii="Cambria Math" w:hAnsi="Cambria Math"/>
                <w:i/>
                <w:iCs/>
                <w:noProof/>
              </w:rPr>
            </m:ctrlPr>
          </m:sSubPr>
          <m:e>
            <m:r>
              <w:rPr>
                <w:rFonts w:ascii="Cambria Math" w:hAnsi="Cambria Math"/>
                <w:noProof/>
              </w:rPr>
              <m:t>P</m:t>
            </m:r>
          </m:e>
          <m:sub>
            <m:r>
              <m:rPr>
                <m:nor/>
              </m:rPr>
              <w:rPr>
                <w:iCs/>
                <w:noProof/>
              </w:rPr>
              <m:t>PSFCH</m:t>
            </m:r>
            <m:r>
              <m:rPr>
                <m:nor/>
              </m:rPr>
              <w:rPr>
                <w:rFonts w:ascii="Cambria Math"/>
                <w:iCs/>
                <w:noProof/>
              </w:rPr>
              <m:t>,one</m:t>
            </m:r>
            <m:ctrlPr>
              <w:rPr>
                <w:rFonts w:ascii="Cambria Math" w:hAnsi="Cambria Math"/>
                <w:iCs/>
                <w:noProof/>
              </w:rPr>
            </m:ctrlPr>
          </m:sub>
        </m:sSub>
      </m:oMath>
    </w:p>
    <w:p w14:paraId="53021C0E" w14:textId="6858796E" w:rsidR="0077498D" w:rsidRPr="0077498D" w:rsidRDefault="0077498D" w:rsidP="006B6AB6">
      <w:pPr>
        <w:pStyle w:val="B5"/>
      </w:pPr>
      <w:r w:rsidRPr="0077498D">
        <w:t>-</w:t>
      </w:r>
      <w:r w:rsidRPr="0077498D">
        <w:tab/>
      </w:r>
      <m:oMath>
        <m:sSub>
          <m:sSubPr>
            <m:ctrlPr>
              <w:rPr>
                <w:rFonts w:ascii="Cambria Math" w:hAnsi="Cambria Math"/>
                <w:i/>
                <w:iCs/>
              </w:rPr>
            </m:ctrlPr>
          </m:sSubPr>
          <m:e>
            <m:r>
              <w:rPr>
                <w:rFonts w:ascii="Cambria Math" w:hAnsi="Cambria Math"/>
              </w:rPr>
              <m:t>N</m:t>
            </m:r>
          </m:e>
          <m:sub>
            <m:r>
              <m:rPr>
                <m:nor/>
              </m:rPr>
              <w:rPr>
                <w:iCs/>
              </w:rPr>
              <m:t>PSFCH,one,max</m:t>
            </m:r>
            <m:ctrlPr>
              <w:rPr>
                <w:rFonts w:ascii="Cambria Math" w:hAnsi="Cambria Math"/>
                <w:iCs/>
              </w:rPr>
            </m:ctrlPr>
          </m:sub>
        </m:sSub>
        <m:r>
          <w:rPr>
            <w:rFonts w:ascii="Cambria Math" w:hAnsi="Cambria Math"/>
          </w:rPr>
          <m:t>=</m:t>
        </m:r>
        <m:sSubSup>
          <m:sSubSupPr>
            <m:ctrlPr>
              <w:rPr>
                <w:rFonts w:ascii="Cambria Math" w:hAnsi="Cambria Math"/>
                <w:i/>
              </w:rPr>
            </m:ctrlPr>
          </m:sSubSupPr>
          <m:e>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max,PSFCH</m:t>
                </m:r>
              </m:sub>
            </m:sSub>
            <m:r>
              <w:rPr>
                <w:rFonts w:ascii="Cambria Math" w:hAnsi="Cambria Math"/>
              </w:rPr>
              <m:t>⋅N</m:t>
            </m:r>
          </m:e>
          <m:sub>
            <m:r>
              <m:rPr>
                <m:sty m:val="p"/>
              </m:rPr>
              <w:rPr>
                <w:rFonts w:ascii="Cambria Math" w:hAnsi="Cambria Math"/>
              </w:rPr>
              <m:t>PSFCH,one</m:t>
            </m:r>
          </m:sub>
          <m:sup>
            <m:r>
              <m:rPr>
                <m:sty m:val="p"/>
              </m:rPr>
              <w:rPr>
                <w:rFonts w:ascii="Cambria Math" w:hAnsi="Cambria Math"/>
              </w:rPr>
              <m:t>interlace2</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sub>
          <m:sup>
            <m:r>
              <m:rPr>
                <m:sty m:val="p"/>
              </m:rPr>
              <w:rPr>
                <w:rFonts w:ascii="Cambria Math" w:hAnsi="Cambria Math"/>
              </w:rPr>
              <m:t>interlace</m:t>
            </m:r>
            <m:r>
              <w:rPr>
                <w:rFonts w:ascii="Cambria Math" w:hAnsi="Cambria Math"/>
              </w:rPr>
              <m:t>1</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PSFCH,offset</m:t>
                </m:r>
              </m:sub>
            </m:sSub>
            <m:r>
              <w:rPr>
                <w:rFonts w:ascii="Cambria Math" w:hAnsi="Cambria Math"/>
              </w:rPr>
              <m:t>/10)</m:t>
            </m:r>
          </m:sup>
        </m:sSup>
      </m:oMath>
      <w:r w:rsidRPr="0077498D">
        <w:t xml:space="preserve"> for operation with shared spectrum channel access and </w:t>
      </w:r>
      <w:r w:rsidR="00342D2D" w:rsidRPr="0070461C">
        <w:rPr>
          <w:i/>
        </w:rPr>
        <w:t>sl-TransmissionStructureForPSFCH</w:t>
      </w:r>
      <w:r w:rsidRPr="0077498D">
        <w:rPr>
          <w:i/>
        </w:rPr>
        <w:t xml:space="preserve"> = </w:t>
      </w:r>
      <w:r w:rsidR="0024141F">
        <w:t>'</w:t>
      </w:r>
      <w:r w:rsidR="00342D2D" w:rsidRPr="0070461C">
        <w:t>commonInterlace</w:t>
      </w:r>
      <w:r w:rsidR="0024141F">
        <w:t>'</w:t>
      </w:r>
      <w:r w:rsidRPr="0077498D">
        <w:t xml:space="preserve">, where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sub>
          <m:sup>
            <m:r>
              <m:rPr>
                <m:sty m:val="p"/>
              </m:rPr>
              <w:rPr>
                <w:rFonts w:ascii="Cambria Math" w:hAnsi="Cambria Math"/>
              </w:rPr>
              <m:t>interlace2</m:t>
            </m:r>
          </m:sup>
        </m:sSubSup>
      </m:oMath>
      <w:r w:rsidRPr="0077498D">
        <w:t xml:space="preserve"> is provided by </w:t>
      </w:r>
      <w:r w:rsidR="00342D2D" w:rsidRPr="0070461C">
        <w:rPr>
          <w:i/>
          <w:iCs/>
        </w:rPr>
        <w:t>sl-NumDedicatedPRBs-ForPSFCH</w:t>
      </w:r>
      <w:r w:rsidRPr="0077498D">
        <w:t xml:space="preserve">, </w:t>
      </w:r>
      <m:oMath>
        <m:sSub>
          <m:sSubPr>
            <m:ctrlPr>
              <w:rPr>
                <w:rFonts w:ascii="Cambria Math" w:hAnsi="Cambria Math"/>
                <w:i/>
              </w:rPr>
            </m:ctrlPr>
          </m:sSubPr>
          <m:e>
            <m:r>
              <w:rPr>
                <w:rFonts w:ascii="Cambria Math" w:hAnsi="Cambria Math"/>
              </w:rPr>
              <m:t>P</m:t>
            </m:r>
          </m:e>
          <m:sub>
            <m:r>
              <m:rPr>
                <m:sty m:val="p"/>
              </m:rPr>
              <w:rPr>
                <w:rFonts w:ascii="Cambria Math" w:hAnsi="Cambria Math"/>
              </w:rPr>
              <m:t>PSFCH,offset</m:t>
            </m:r>
          </m:sub>
        </m:sSub>
      </m:oMath>
      <w:r w:rsidRPr="0077498D">
        <w:t xml:space="preserve"> is provided by </w:t>
      </w:r>
      <w:r w:rsidR="00342D2D" w:rsidRPr="0070461C">
        <w:rPr>
          <w:i/>
        </w:rPr>
        <w:t>sl-PSFCH-PowerOffset</w:t>
      </w:r>
      <w:r w:rsidRPr="0077498D">
        <w:t>, and</w:t>
      </w:r>
      <m:oMath>
        <m:r>
          <w:rPr>
            <w:rFonts w:ascii="Cambria Math" w:hAnsi="Cambria Math"/>
          </w:rPr>
          <m:t xml:space="preserve"> </m:t>
        </m:r>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sub>
          <m:sup>
            <m:r>
              <m:rPr>
                <m:sty m:val="p"/>
              </m:rPr>
              <w:rPr>
                <w:rFonts w:ascii="Cambria Math" w:hAnsi="Cambria Math"/>
              </w:rPr>
              <m:t>interlace</m:t>
            </m:r>
            <m:r>
              <w:rPr>
                <w:rFonts w:ascii="Cambria Math" w:hAnsi="Cambria Math"/>
              </w:rPr>
              <m:t>1</m:t>
            </m:r>
          </m:sup>
        </m:sSubSup>
      </m:oMath>
      <w:r w:rsidRPr="0077498D">
        <w:t xml:space="preserve"> is the number of PRBs in the first interlace for all </w:t>
      </w:r>
      <m:oMath>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max,PSFCH</m:t>
            </m:r>
          </m:sub>
        </m:sSub>
      </m:oMath>
      <w:r w:rsidRPr="0077498D">
        <w:t xml:space="preserve"> PSFCH transmissions after excluding PRBs for PSFCH transmissions as described in Clause 16.3.0</w:t>
      </w:r>
    </w:p>
    <w:p w14:paraId="2DA7654B" w14:textId="253763FA" w:rsidR="00BB0A93" w:rsidRDefault="0077498D" w:rsidP="0077498D">
      <w:pPr>
        <w:pStyle w:val="B5"/>
        <w:ind w:left="1985"/>
      </w:pPr>
      <w:r w:rsidRPr="0077498D">
        <w:rPr>
          <w:lang w:val="x-none"/>
        </w:rPr>
        <w:t>-</w:t>
      </w:r>
      <w:r w:rsidRPr="0077498D">
        <w:rPr>
          <w:lang w:val="x-none"/>
        </w:rPr>
        <w:tab/>
      </w:r>
      <m:oMath>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Tx,PSFCH</m:t>
            </m:r>
          </m:sub>
        </m:sSub>
        <m:r>
          <w:rPr>
            <w:rFonts w:ascii="Cambria Math" w:hAnsi="Cambria Math"/>
            <w:lang w:val="x-none"/>
          </w:rPr>
          <m:t>=</m:t>
        </m:r>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max,PSFCH</m:t>
            </m:r>
          </m:sub>
        </m:sSub>
      </m:oMath>
      <w:r w:rsidRPr="0077498D">
        <w:rPr>
          <w:rFonts w:hint="eastAsia"/>
        </w:rPr>
        <w:t xml:space="preserve"> and</w:t>
      </w:r>
      <w:r w:rsidRPr="0077498D">
        <w:t xml:space="preserve"> </w:t>
      </w:r>
      <m:oMath>
        <m:sSub>
          <m:sSubPr>
            <m:ctrlPr>
              <w:rPr>
                <w:rFonts w:ascii="Cambria Math" w:hAnsi="Cambria Math"/>
                <w:noProof/>
              </w:rPr>
            </m:ctrlPr>
          </m:sSubPr>
          <m:e>
            <m:r>
              <w:rPr>
                <w:rFonts w:ascii="Cambria Math" w:hAnsi="Cambria Math"/>
                <w:noProof/>
              </w:rPr>
              <m:t>P</m:t>
            </m:r>
          </m:e>
          <m:sub>
            <m:r>
              <m:rPr>
                <m:nor/>
              </m:rPr>
              <w:rPr>
                <w:noProof/>
              </w:rPr>
              <m:t>PSFCH,k</m:t>
            </m:r>
          </m:sub>
        </m:sSub>
        <m:d>
          <m:dPr>
            <m:ctrlPr>
              <w:rPr>
                <w:rFonts w:ascii="Cambria Math" w:hAnsi="Cambria Math"/>
                <w:noProof/>
              </w:rPr>
            </m:ctrlPr>
          </m:dPr>
          <m:e>
            <m:r>
              <w:rPr>
                <w:rFonts w:ascii="Cambria Math" w:hAnsi="Cambria Math"/>
                <w:noProof/>
              </w:rPr>
              <m:t>i</m:t>
            </m:r>
          </m:e>
        </m:d>
        <m:r>
          <m:rPr>
            <m:sty m:val="p"/>
          </m:rPr>
          <w:rPr>
            <w:rFonts w:ascii="Cambria Math" w:hAnsi="Cambria Math"/>
            <w:noProof/>
          </w:rPr>
          <m:t>=</m:t>
        </m:r>
        <m:sSub>
          <m:sSubPr>
            <m:ctrlPr>
              <w:rPr>
                <w:rFonts w:ascii="Cambria Math" w:hAnsi="Cambria Math"/>
                <w:i/>
                <w:iCs/>
              </w:rPr>
            </m:ctrlPr>
          </m:sSubPr>
          <m:e>
            <m:r>
              <w:rPr>
                <w:rFonts w:ascii="Cambria Math" w:hAnsi="Cambria Math"/>
              </w:rPr>
              <m:t>P</m:t>
            </m:r>
          </m:e>
          <m:sub>
            <m:r>
              <m:rPr>
                <m:nor/>
              </m:rPr>
              <w:rPr>
                <w:iCs/>
              </w:rPr>
              <m:t>PSFCH,one</m:t>
            </m:r>
            <m:ctrlPr>
              <w:rPr>
                <w:rFonts w:ascii="Cambria Math" w:hAnsi="Cambria Math"/>
                <w:iCs/>
              </w:rPr>
            </m:ctrlPr>
          </m:sub>
        </m:sSub>
        <m:r>
          <w:rPr>
            <w:rFonts w:ascii="Cambria Math" w:hAnsi="Cambria Math"/>
          </w:rPr>
          <m:t>+</m:t>
        </m:r>
        <m:r>
          <w:rPr>
            <w:rFonts w:ascii="Cambria Math" w:hAnsi="Cambria Math"/>
            <w:noProof/>
          </w:rPr>
          <m:t>10lo</m:t>
        </m:r>
        <m:sSub>
          <m:sSubPr>
            <m:ctrlPr>
              <w:rPr>
                <w:rFonts w:ascii="Cambria Math" w:hAnsi="Cambria Math"/>
                <w:i/>
                <w:noProof/>
              </w:rPr>
            </m:ctrlPr>
          </m:sSubPr>
          <m:e>
            <m:r>
              <w:rPr>
                <w:rFonts w:ascii="Cambria Math" w:hAnsi="Cambria Math"/>
                <w:noProof/>
              </w:rPr>
              <m:t>g</m:t>
            </m:r>
          </m:e>
          <m:sub>
            <m:r>
              <w:rPr>
                <w:rFonts w:ascii="Cambria Math" w:hAnsi="Cambria Math"/>
                <w:noProof/>
              </w:rPr>
              <m:t>10</m:t>
            </m:r>
          </m:sub>
        </m:sSub>
        <m:d>
          <m:dPr>
            <m:ctrlPr>
              <w:rPr>
                <w:rFonts w:ascii="Cambria Math" w:hAnsi="Cambria Math"/>
                <w:i/>
                <w:noProof/>
              </w:rPr>
            </m:ctrlPr>
          </m:dPr>
          <m:e>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sub>
              <m:sup>
                <m:r>
                  <m:rPr>
                    <m:sty m:val="p"/>
                  </m:rPr>
                  <w:rPr>
                    <w:rFonts w:ascii="Cambria Math" w:hAnsi="Cambria Math"/>
                  </w:rPr>
                  <m:t>interlace2</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sub>
              <m:sup>
                <m:r>
                  <m:rPr>
                    <m:sty m:val="p"/>
                  </m:rPr>
                  <w:rPr>
                    <w:rFonts w:ascii="Cambria Math" w:hAnsi="Cambria Math"/>
                  </w:rPr>
                  <m:t>interlace</m:t>
                </m:r>
                <m:r>
                  <w:rPr>
                    <w:rFonts w:ascii="Cambria Math" w:hAnsi="Cambria Math"/>
                  </w:rPr>
                  <m:t>1</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PSFCH,offset</m:t>
                    </m:r>
                  </m:sub>
                </m:sSub>
                <m:r>
                  <w:rPr>
                    <w:rFonts w:ascii="Cambria Math" w:hAnsi="Cambria Math"/>
                  </w:rPr>
                  <m:t>/10)</m:t>
                </m:r>
              </m:sup>
            </m:sSup>
          </m:e>
        </m:d>
      </m:oMath>
      <w:r w:rsidRPr="0077498D">
        <w:t xml:space="preserve"> [dBm], where the power on one PRB in the first interlace for PSFCH transmission is </w:t>
      </w:r>
      <m:oMath>
        <m:sSub>
          <m:sSubPr>
            <m:ctrlPr>
              <w:rPr>
                <w:rFonts w:ascii="Cambria Math" w:hAnsi="Cambria Math"/>
                <w:i/>
                <w:iCs/>
                <w:noProof/>
              </w:rPr>
            </m:ctrlPr>
          </m:sSubPr>
          <m:e>
            <m:r>
              <w:rPr>
                <w:rFonts w:ascii="Cambria Math" w:hAnsi="Cambria Math"/>
                <w:noProof/>
              </w:rPr>
              <m:t>P</m:t>
            </m:r>
          </m:e>
          <m:sub>
            <m:r>
              <m:rPr>
                <m:nor/>
              </m:rPr>
              <w:rPr>
                <w:iCs/>
                <w:noProof/>
              </w:rPr>
              <m:t>PSFCH</m:t>
            </m:r>
            <m:r>
              <m:rPr>
                <m:nor/>
              </m:rPr>
              <w:rPr>
                <w:rFonts w:ascii="Cambria Math"/>
                <w:iCs/>
                <w:noProof/>
              </w:rPr>
              <m:t>,PRB,first,</m:t>
            </m:r>
            <m:r>
              <m:rPr>
                <m:nor/>
              </m:rPr>
              <w:rPr>
                <w:rFonts w:ascii="Cambria Math"/>
                <w:i/>
                <w:noProof/>
              </w:rPr>
              <m:t>k</m:t>
            </m:r>
            <m:ctrlPr>
              <w:rPr>
                <w:rFonts w:ascii="Cambria Math" w:hAnsi="Cambria Math"/>
                <w:iCs/>
                <w:noProof/>
              </w:rPr>
            </m:ctrlPr>
          </m:sub>
        </m:sSub>
        <m:r>
          <w:rPr>
            <w:rFonts w:ascii="Cambria Math" w:hAnsi="Cambria Math"/>
            <w:noProof/>
          </w:rPr>
          <m:t>(i)=</m:t>
        </m:r>
        <m:sSub>
          <m:sSubPr>
            <m:ctrlPr>
              <w:rPr>
                <w:rFonts w:ascii="Cambria Math" w:hAnsi="Cambria Math"/>
                <w:i/>
                <w:iCs/>
                <w:noProof/>
              </w:rPr>
            </m:ctrlPr>
          </m:sSubPr>
          <m:e>
            <m:sSub>
              <m:sSubPr>
                <m:ctrlPr>
                  <w:rPr>
                    <w:rFonts w:ascii="Cambria Math" w:hAnsi="Cambria Math"/>
                    <w:i/>
                    <w:iCs/>
                    <w:noProof/>
                  </w:rPr>
                </m:ctrlPr>
              </m:sSubPr>
              <m:e>
                <m:r>
                  <w:rPr>
                    <w:rFonts w:ascii="Cambria Math" w:hAnsi="Cambria Math"/>
                    <w:noProof/>
                  </w:rPr>
                  <m:t>P</m:t>
                </m:r>
              </m:e>
              <m:sub>
                <m:r>
                  <m:rPr>
                    <m:nor/>
                  </m:rPr>
                  <w:rPr>
                    <w:iCs/>
                    <w:noProof/>
                  </w:rPr>
                  <m:t>PSFCH</m:t>
                </m:r>
                <m:r>
                  <m:rPr>
                    <m:nor/>
                  </m:rPr>
                  <w:rPr>
                    <w:rFonts w:ascii="Cambria Math"/>
                    <w:iCs/>
                    <w:noProof/>
                  </w:rPr>
                  <m:t>,PRB,second,</m:t>
                </m:r>
                <m:r>
                  <m:rPr>
                    <m:nor/>
                  </m:rPr>
                  <w:rPr>
                    <w:rFonts w:ascii="Cambria Math"/>
                    <w:i/>
                    <w:noProof/>
                  </w:rPr>
                  <m:t>k</m:t>
                </m:r>
                <m:ctrlPr>
                  <w:rPr>
                    <w:rFonts w:ascii="Cambria Math" w:hAnsi="Cambria Math"/>
                    <w:iCs/>
                    <w:noProof/>
                  </w:rPr>
                </m:ctrlPr>
              </m:sub>
            </m:sSub>
            <m:d>
              <m:dPr>
                <m:ctrlPr>
                  <w:rPr>
                    <w:rFonts w:ascii="Cambria Math" w:hAnsi="Cambria Math"/>
                    <w:i/>
                    <w:iCs/>
                    <w:noProof/>
                  </w:rPr>
                </m:ctrlPr>
              </m:dPr>
              <m:e>
                <m:r>
                  <w:rPr>
                    <w:rFonts w:ascii="Cambria Math" w:hAnsi="Cambria Math"/>
                    <w:noProof/>
                  </w:rPr>
                  <m:t>i</m:t>
                </m:r>
              </m:e>
            </m:d>
            <m:r>
              <w:rPr>
                <w:rFonts w:ascii="Cambria Math" w:hAnsi="Cambria Math"/>
                <w:noProof/>
              </w:rPr>
              <m:t>-P</m:t>
            </m:r>
          </m:e>
          <m:sub>
            <m:r>
              <m:rPr>
                <m:nor/>
              </m:rPr>
              <w:rPr>
                <w:iCs/>
                <w:noProof/>
              </w:rPr>
              <m:t>PSFCH</m:t>
            </m:r>
            <m:r>
              <m:rPr>
                <m:nor/>
              </m:rPr>
              <w:rPr>
                <w:rFonts w:ascii="Cambria Math"/>
                <w:iCs/>
                <w:noProof/>
              </w:rPr>
              <m:t>,offset</m:t>
            </m:r>
            <m:ctrlPr>
              <w:rPr>
                <w:rFonts w:ascii="Cambria Math" w:hAnsi="Cambria Math"/>
                <w:iCs/>
                <w:noProof/>
              </w:rPr>
            </m:ctrlPr>
          </m:sub>
        </m:sSub>
      </m:oMath>
      <w:r w:rsidRPr="0077498D">
        <w:rPr>
          <w:iCs/>
        </w:rPr>
        <w:t xml:space="preserve"> and the </w:t>
      </w:r>
      <w:r w:rsidRPr="0077498D">
        <w:t xml:space="preserve">power on one PRB in the subset of PRBs in the second interlace for PSFCH transmission is </w:t>
      </w:r>
      <m:oMath>
        <m:sSub>
          <m:sSubPr>
            <m:ctrlPr>
              <w:rPr>
                <w:rFonts w:ascii="Cambria Math" w:hAnsi="Cambria Math"/>
                <w:i/>
                <w:iCs/>
                <w:noProof/>
              </w:rPr>
            </m:ctrlPr>
          </m:sSubPr>
          <m:e>
            <m:r>
              <w:rPr>
                <w:rFonts w:ascii="Cambria Math" w:hAnsi="Cambria Math"/>
                <w:noProof/>
              </w:rPr>
              <m:t>P</m:t>
            </m:r>
          </m:e>
          <m:sub>
            <m:r>
              <m:rPr>
                <m:nor/>
              </m:rPr>
              <w:rPr>
                <w:iCs/>
                <w:noProof/>
              </w:rPr>
              <m:t>PSFCH</m:t>
            </m:r>
            <m:r>
              <m:rPr>
                <m:nor/>
              </m:rPr>
              <w:rPr>
                <w:rFonts w:ascii="Cambria Math"/>
                <w:iCs/>
                <w:noProof/>
              </w:rPr>
              <m:t>,PRB,second,</m:t>
            </m:r>
            <m:r>
              <m:rPr>
                <m:nor/>
              </m:rPr>
              <w:rPr>
                <w:rFonts w:ascii="Cambria Math"/>
                <w:i/>
                <w:noProof/>
              </w:rPr>
              <m:t>k</m:t>
            </m:r>
            <m:ctrlPr>
              <w:rPr>
                <w:rFonts w:ascii="Cambria Math" w:hAnsi="Cambria Math"/>
                <w:iCs/>
                <w:noProof/>
              </w:rPr>
            </m:ctrlPr>
          </m:sub>
        </m:sSub>
        <m:r>
          <w:rPr>
            <w:rFonts w:ascii="Cambria Math" w:hAnsi="Cambria Math"/>
            <w:noProof/>
          </w:rPr>
          <m:t>(i)=</m:t>
        </m:r>
        <m:sSub>
          <m:sSubPr>
            <m:ctrlPr>
              <w:rPr>
                <w:rFonts w:ascii="Cambria Math" w:hAnsi="Cambria Math"/>
                <w:i/>
                <w:iCs/>
                <w:noProof/>
              </w:rPr>
            </m:ctrlPr>
          </m:sSubPr>
          <m:e>
            <m:r>
              <w:rPr>
                <w:rFonts w:ascii="Cambria Math" w:hAnsi="Cambria Math"/>
                <w:noProof/>
              </w:rPr>
              <m:t>P</m:t>
            </m:r>
          </m:e>
          <m:sub>
            <m:r>
              <m:rPr>
                <m:nor/>
              </m:rPr>
              <w:rPr>
                <w:iCs/>
                <w:noProof/>
              </w:rPr>
              <m:t>PSFCH</m:t>
            </m:r>
            <m:r>
              <m:rPr>
                <m:nor/>
              </m:rPr>
              <w:rPr>
                <w:rFonts w:ascii="Cambria Math"/>
                <w:iCs/>
                <w:noProof/>
              </w:rPr>
              <m:t>,one</m:t>
            </m:r>
            <m:ctrlPr>
              <w:rPr>
                <w:rFonts w:ascii="Cambria Math" w:hAnsi="Cambria Math"/>
                <w:iCs/>
                <w:noProof/>
              </w:rPr>
            </m:ctrlPr>
          </m:sub>
        </m:sSub>
      </m:oMath>
      <w:r w:rsidRPr="0077498D">
        <w:t xml:space="preserve">, where </w:t>
      </w:r>
      <m:oMath>
        <m:sSub>
          <m:sSubPr>
            <m:ctrlPr>
              <w:rPr>
                <w:rFonts w:ascii="Cambria Math" w:hAnsi="Cambria Math"/>
                <w:i/>
              </w:rPr>
            </m:ctrlPr>
          </m:sSubPr>
          <m:e>
            <m:r>
              <w:rPr>
                <w:rFonts w:ascii="Cambria Math" w:hAnsi="Cambria Math"/>
              </w:rPr>
              <m:t>P</m:t>
            </m:r>
          </m:e>
          <m:sub>
            <m:r>
              <m:rPr>
                <m:sty m:val="p"/>
              </m:rPr>
              <w:rPr>
                <w:rFonts w:ascii="Cambria Math" w:hAnsi="Cambria Math"/>
              </w:rPr>
              <m:t>PSFCH,offset</m:t>
            </m:r>
          </m:sub>
        </m:sSub>
      </m:oMath>
      <w:r w:rsidRPr="0077498D">
        <w:t xml:space="preserve"> is provided by </w:t>
      </w:r>
      <w:r w:rsidR="00342D2D" w:rsidRPr="0070461C">
        <w:rPr>
          <w:i/>
        </w:rPr>
        <w:t>sl-PSFCH-PowerOffset</w:t>
      </w:r>
      <w:r w:rsidRPr="0077498D">
        <w:rPr>
          <w:iCs/>
        </w:rPr>
        <w:t xml:space="preserve"> </w:t>
      </w:r>
    </w:p>
    <w:p w14:paraId="09E5B1E9" w14:textId="77777777" w:rsidR="00BB0A93" w:rsidRPr="00DE20B2" w:rsidRDefault="00BB0A93" w:rsidP="006B6AB6">
      <w:pPr>
        <w:pStyle w:val="B4"/>
      </w:pPr>
      <w:r w:rsidRPr="00CD4F4D">
        <w:rPr>
          <w:rFonts w:hint="eastAsia"/>
        </w:rPr>
        <w:t>-</w:t>
      </w:r>
      <w:r w:rsidRPr="00CD4F4D">
        <w:tab/>
      </w:r>
      <w:r w:rsidRPr="00DE20B2">
        <w:t>else</w:t>
      </w:r>
    </w:p>
    <w:p w14:paraId="4BE6EBF2" w14:textId="7E31158C" w:rsidR="00BB0A93" w:rsidRDefault="00BB0A93" w:rsidP="006B6AB6">
      <w:pPr>
        <w:pStyle w:val="B5"/>
      </w:pPr>
      <w:r w:rsidRPr="00DE20B2">
        <w:rPr>
          <w:rFonts w:eastAsiaTheme="minorEastAsia"/>
          <w:szCs w:val="22"/>
        </w:rPr>
        <w:t>-</w:t>
      </w:r>
      <w:r w:rsidRPr="00DE20B2">
        <w:rPr>
          <w:rFonts w:eastAsiaTheme="minorEastAsia"/>
          <w:szCs w:val="22"/>
        </w:rPr>
        <w:tab/>
        <w:t xml:space="preserve">the </w:t>
      </w:r>
      <w:r w:rsidRPr="00DE20B2">
        <w:t>UE aut</w:t>
      </w:r>
      <w:r w:rsidRPr="00CD4F4D">
        <w:t xml:space="preserve">onomously </w:t>
      </w:r>
      <w:r w:rsidRPr="00CD4F4D">
        <w:rPr>
          <w:lang w:val="en-US"/>
        </w:rPr>
        <w:t>selects</w:t>
      </w:r>
      <w:r w:rsidRPr="00CD4F4D">
        <w:t xml:space="preserve"> </w:t>
      </w:r>
      <m:oMath>
        <m:sSub>
          <m:sSubPr>
            <m:ctrlPr>
              <w:rPr>
                <w:rFonts w:ascii="Cambria Math" w:hAnsi="Cambria Math" w:cstheme="minorBidi"/>
                <w:i/>
                <w:noProof/>
                <w:szCs w:val="22"/>
              </w:rPr>
            </m:ctrlPr>
          </m:sSubPr>
          <m:e>
            <m:r>
              <w:rPr>
                <w:rFonts w:ascii="Cambria Math" w:hAnsi="Cambria Math" w:cstheme="minorBidi"/>
                <w:noProof/>
                <w:szCs w:val="22"/>
              </w:rPr>
              <m:t>N</m:t>
            </m:r>
          </m:e>
          <m:sub>
            <m:r>
              <m:rPr>
                <m:sty m:val="p"/>
              </m:rPr>
              <w:rPr>
                <w:rFonts w:ascii="Cambria Math" w:hAnsi="Cambria Math" w:cstheme="minorBidi"/>
                <w:noProof/>
                <w:szCs w:val="22"/>
              </w:rPr>
              <m:t>Tx,PSFCH</m:t>
            </m:r>
          </m:sub>
        </m:sSub>
      </m:oMath>
      <w:r w:rsidRPr="00CD4F4D">
        <w:rPr>
          <w:rFonts w:hint="eastAsia"/>
        </w:rPr>
        <w:t xml:space="preserve"> </w:t>
      </w:r>
      <w:r w:rsidRPr="00CD4F4D">
        <w:t xml:space="preserve">PSFCH transmissions </w:t>
      </w:r>
      <w:r>
        <w:t>in</w:t>
      </w:r>
      <w:r w:rsidRPr="00CD4F4D">
        <w:t xml:space="preserve"> ascending order </w:t>
      </w:r>
      <w:r>
        <w:t xml:space="preserve">of corresponding priority field values </w:t>
      </w:r>
      <w:r w:rsidRPr="00CD4F4D">
        <w:t xml:space="preserve">as described </w:t>
      </w:r>
      <w:r w:rsidR="006F5F9E">
        <w:t>in clause</w:t>
      </w:r>
      <w:r w:rsidRPr="00CD4F4D">
        <w:t xml:space="preserve"> 16.2.4.2</w:t>
      </w:r>
      <w:r w:rsidR="00045723" w:rsidRPr="00045723">
        <w:t xml:space="preserve"> </w:t>
      </w:r>
      <w:r w:rsidR="00045723" w:rsidRPr="007053C7">
        <w:t>over the PSFCH transmissions with HARQ-ACK information, if any, and then with ascending order of priority value over the PSFCH transmissions with conflict information, if any,</w:t>
      </w:r>
      <w:r w:rsidRPr="00CD4F4D">
        <w:t xml:space="preserve"> such that</w:t>
      </w:r>
      <w:r w:rsidRPr="00CD4F4D">
        <w:rPr>
          <w:rFonts w:hint="eastAsia"/>
        </w:rPr>
        <w:t xml:space="preserve"> </w:t>
      </w:r>
      <m:oMath>
        <m:sSub>
          <m:sSubPr>
            <m:ctrlPr>
              <w:rPr>
                <w:rFonts w:ascii="Cambria Math" w:hAnsi="Cambria Math"/>
                <w:i/>
                <w:noProof/>
                <w:szCs w:val="22"/>
              </w:rPr>
            </m:ctrlPr>
          </m:sSubPr>
          <m:e>
            <m:r>
              <w:rPr>
                <w:rFonts w:ascii="Cambria Math" w:hAnsi="Cambria Math"/>
                <w:noProof/>
                <w:szCs w:val="22"/>
              </w:rPr>
              <m:t>N</m:t>
            </m:r>
          </m:e>
          <m:sub>
            <m:r>
              <m:rPr>
                <m:sty m:val="p"/>
              </m:rPr>
              <w:rPr>
                <w:rFonts w:ascii="Cambria Math" w:hAnsi="Cambria Math"/>
                <w:noProof/>
                <w:szCs w:val="22"/>
              </w:rPr>
              <m:t>Tx,PSFCH</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1,</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M</m:t>
                        </m:r>
                      </m:e>
                      <m:sub>
                        <m:r>
                          <w:rPr>
                            <w:rFonts w:ascii="Cambria Math" w:hAnsi="Cambria Math"/>
                          </w:rPr>
                          <m:t>i</m:t>
                        </m:r>
                      </m:sub>
                    </m:sSub>
                  </m:e>
                </m:nary>
              </m:e>
            </m:d>
          </m:e>
        </m:func>
      </m:oMath>
      <w:r>
        <w:rPr>
          <w:lang w:val="en-US"/>
        </w:rPr>
        <w:t xml:space="preserve"> </w:t>
      </w:r>
      <w:r w:rsidRPr="00CD4F4D">
        <w:rPr>
          <w:rFonts w:hint="eastAsia"/>
        </w:rPr>
        <w:t>where</w:t>
      </w:r>
      <w:r>
        <w:rPr>
          <w:lang w:val="en-US"/>
        </w:rPr>
        <w:t xml:space="preserv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8E3EF2">
        <w:t xml:space="preserve">, </w:t>
      </w:r>
      <m:oMath>
        <m:r>
          <w:rPr>
            <w:rFonts w:ascii="Cambria Math" w:hAnsi="Cambria Math"/>
          </w:rPr>
          <m:t>1≤i≤8</m:t>
        </m:r>
      </m:oMath>
      <w:r w:rsidR="008E3EF2">
        <w:t>,</w:t>
      </w:r>
      <w:r w:rsidRPr="00543B26">
        <w:rPr>
          <w:lang w:val="en-US"/>
        </w:rPr>
        <w:t xml:space="preserve"> </w:t>
      </w:r>
      <w:r w:rsidRPr="00543B26">
        <w:t xml:space="preserve">is </w:t>
      </w:r>
      <w:r>
        <w:rPr>
          <w:lang w:val="en-US"/>
        </w:rPr>
        <w:t>a</w:t>
      </w:r>
      <w:r w:rsidRPr="00543B26">
        <w:t xml:space="preserve"> number of PSFCHs with priority value </w:t>
      </w:r>
      <m:oMath>
        <m:r>
          <w:rPr>
            <w:rFonts w:ascii="Cambria Math" w:hAnsi="Cambria Math"/>
          </w:rPr>
          <m:t>i</m:t>
        </m:r>
      </m:oMath>
      <w:r w:rsidRPr="00543B26">
        <w:t xml:space="preserve"> </w:t>
      </w:r>
      <w:r w:rsidR="00045723" w:rsidRPr="007053C7">
        <w:t xml:space="preserve">for PSFCH with HARQ-ACK information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8E3EF2">
        <w:t xml:space="preserve">, </w:t>
      </w:r>
      <m:oMath>
        <m:r>
          <w:rPr>
            <w:rFonts w:ascii="Cambria Math" w:hAnsi="Cambria Math"/>
          </w:rPr>
          <m:t>i&gt;8,</m:t>
        </m:r>
      </m:oMath>
      <w:r w:rsidR="00045723" w:rsidRPr="007053C7">
        <w:rPr>
          <w:lang w:val="en-US"/>
        </w:rPr>
        <w:t xml:space="preserve"> </w:t>
      </w:r>
      <w:r w:rsidR="00045723" w:rsidRPr="007053C7">
        <w:t xml:space="preserve">is </w:t>
      </w:r>
      <w:r w:rsidR="00045723" w:rsidRPr="007053C7">
        <w:rPr>
          <w:lang w:val="en-US"/>
        </w:rPr>
        <w:t>a</w:t>
      </w:r>
      <w:r w:rsidR="00045723" w:rsidRPr="007053C7">
        <w:t xml:space="preserve"> number of PSFCHs with priority value </w:t>
      </w:r>
      <m:oMath>
        <m:r>
          <w:rPr>
            <w:rFonts w:ascii="Cambria Math" w:hAnsi="Cambria Math"/>
          </w:rPr>
          <m:t>i-8</m:t>
        </m:r>
      </m:oMath>
      <w:r w:rsidR="00045723" w:rsidRPr="007053C7">
        <w:t xml:space="preserve"> for PSFCH with conflict information </w:t>
      </w:r>
      <w:r w:rsidRPr="00543B26">
        <w:t xml:space="preserve">and </w:t>
      </w:r>
      <m:oMath>
        <m:r>
          <w:rPr>
            <w:rFonts w:ascii="Cambria Math" w:hAnsi="Cambria Math"/>
          </w:rPr>
          <m:t>K</m:t>
        </m:r>
      </m:oMath>
      <w:r w:rsidRPr="00543B26">
        <w:t xml:space="preserve"> is defined as </w:t>
      </w:r>
    </w:p>
    <w:p w14:paraId="74F67482" w14:textId="26006444" w:rsidR="00BB0A93" w:rsidRDefault="00BB0A93" w:rsidP="006B6AB6">
      <w:pPr>
        <w:pStyle w:val="B5"/>
        <w:ind w:left="1985"/>
        <w:rPr>
          <w:iCs/>
          <w:lang w:val="en-US"/>
        </w:rPr>
      </w:pPr>
      <w:r w:rsidRPr="00543B26">
        <w:t>-</w:t>
      </w:r>
      <w:r w:rsidRPr="00543B26">
        <w:tab/>
      </w:r>
      <w:r w:rsidRPr="00543B26">
        <w:rPr>
          <w:iCs/>
        </w:rPr>
        <w:t xml:space="preserve">the largest value satisfying </w:t>
      </w:r>
      <m:oMath>
        <m:sSub>
          <m:sSubPr>
            <m:ctrlPr>
              <w:rPr>
                <w:rFonts w:ascii="Cambria Math" w:hAnsi="Cambria Math"/>
                <w:i/>
                <w:iCs/>
              </w:rPr>
            </m:ctrlPr>
          </m:sSubPr>
          <m:e>
            <m:r>
              <w:rPr>
                <w:rFonts w:ascii="Cambria Math" w:hAnsi="Cambria Math"/>
              </w:rPr>
              <m:t>P</m:t>
            </m:r>
          </m:e>
          <m:sub>
            <m:r>
              <m:rPr>
                <m:nor/>
              </m:rPr>
              <w:rPr>
                <w:iCs/>
              </w:rPr>
              <m:t>PSFCH</m:t>
            </m:r>
            <m:r>
              <m:rPr>
                <m:nor/>
              </m:rPr>
              <w:rPr>
                <w:rFonts w:ascii="Cambria Math"/>
                <w:iCs/>
              </w:rPr>
              <m:t>,one</m:t>
            </m:r>
            <m:ctrlPr>
              <w:rPr>
                <w:rFonts w:ascii="Cambria Math" w:hAnsi="Cambria Math"/>
                <w:iCs/>
              </w:rPr>
            </m:ctrlPr>
          </m:sub>
        </m:sSub>
        <m:r>
          <w:rPr>
            <w:rFonts w:ascii="Cambria Math" w:hAnsi="Cambria Math"/>
            <w:noProof/>
          </w:rPr>
          <m:t>+10lo</m:t>
        </m:r>
        <m:sSub>
          <m:sSubPr>
            <m:ctrlPr>
              <w:rPr>
                <w:rFonts w:ascii="Cambria Math" w:hAnsi="Cambria Math"/>
                <w:i/>
                <w:noProof/>
              </w:rPr>
            </m:ctrlPr>
          </m:sSubPr>
          <m:e>
            <m:r>
              <w:rPr>
                <w:rFonts w:ascii="Cambria Math" w:hAnsi="Cambria Math"/>
                <w:noProof/>
              </w:rPr>
              <m:t>g</m:t>
            </m:r>
          </m:e>
          <m:sub>
            <m:r>
              <w:rPr>
                <w:rFonts w:ascii="Cambria Math" w:hAnsi="Cambria Math"/>
                <w:noProof/>
              </w:rPr>
              <m:t>10</m:t>
            </m:r>
          </m:sub>
        </m:sSub>
        <m:d>
          <m:dPr>
            <m:ctrlPr>
              <w:rPr>
                <w:rFonts w:ascii="Cambria Math" w:hAnsi="Cambria Math"/>
                <w:i/>
                <w:noProof/>
              </w:rPr>
            </m:ctrlPr>
          </m:dPr>
          <m:e>
            <m:sSubSup>
              <m:sSubSupPr>
                <m:ctrlPr>
                  <w:rPr>
                    <w:rFonts w:ascii="Cambria Math" w:hAnsi="Cambria Math"/>
                    <w:i/>
                  </w:rPr>
                </m:ctrlPr>
              </m:sSubSupPr>
              <m:e>
                <m:r>
                  <w:rPr>
                    <w:rFonts w:ascii="Cambria Math" w:hAnsi="Cambria Math"/>
                  </w:rPr>
                  <m:t>N</m:t>
                </m:r>
              </m:e>
              <m:sub>
                <m:r>
                  <m:rPr>
                    <m:nor/>
                  </m:rPr>
                  <w:rPr>
                    <w:iCs/>
                  </w:rPr>
                  <m:t>PSFCH</m:t>
                </m:r>
                <m:r>
                  <m:rPr>
                    <m:nor/>
                  </m:rPr>
                  <w:rPr>
                    <w:rFonts w:ascii="Cambria Math"/>
                    <w:iCs/>
                  </w:rPr>
                  <m:t>,one</m:t>
                </m:r>
                <m:ctrlPr>
                  <w:rPr>
                    <w:rFonts w:ascii="Cambria Math" w:hAnsi="Cambria Math"/>
                    <w:iCs/>
                  </w:rPr>
                </m:ctrlPr>
              </m:sub>
              <m:sup>
                <m:r>
                  <w:rPr>
                    <w:rFonts w:ascii="Cambria Math" w:hAnsi="Cambria Math"/>
                  </w:rPr>
                  <m:t>K</m:t>
                </m:r>
              </m:sup>
            </m:sSubSup>
          </m:e>
        </m:d>
        <m:r>
          <w:rPr>
            <w:rFonts w:ascii="Cambria Math" w:hAnsi="Cambria Math"/>
            <w:noProof/>
          </w:rPr>
          <m:t>≤</m:t>
        </m:r>
        <m:sSub>
          <m:sSubPr>
            <m:ctrlPr>
              <w:rPr>
                <w:rFonts w:ascii="Cambria Math" w:hAnsi="Cambria Math"/>
                <w:i/>
              </w:rPr>
            </m:ctrlPr>
          </m:sSubPr>
          <m:e>
            <m:r>
              <w:rPr>
                <w:rFonts w:ascii="Cambria Math" w:hAnsi="Cambria Math"/>
              </w:rPr>
              <m:t>P</m:t>
            </m:r>
          </m:e>
          <m:sub>
            <m:r>
              <m:rPr>
                <m:nor/>
              </m:rPr>
              <m:t>CMAX</m:t>
            </m:r>
            <m:ctrlPr>
              <w:rPr>
                <w:rFonts w:ascii="Cambria Math" w:hAnsi="Cambria Math"/>
              </w:rPr>
            </m:ctrlPr>
          </m:sub>
        </m:sSub>
      </m:oMath>
      <w:r w:rsidRPr="00543B26">
        <w:rPr>
          <w:iCs/>
        </w:rPr>
        <w:t xml:space="preserve"> </w:t>
      </w:r>
      <w:r w:rsidRPr="00543B26">
        <w:t xml:space="preserve">where </w:t>
      </w:r>
      <m:oMath>
        <m:sSub>
          <m:sSubPr>
            <m:ctrlPr>
              <w:rPr>
                <w:rFonts w:ascii="Cambria Math" w:hAnsi="Cambria Math"/>
                <w:i/>
              </w:rPr>
            </m:ctrlPr>
          </m:sSubPr>
          <m:e>
            <m:r>
              <w:rPr>
                <w:rFonts w:ascii="Cambria Math" w:hAnsi="Cambria Math"/>
              </w:rPr>
              <m:t>P</m:t>
            </m:r>
          </m:e>
          <m:sub>
            <m:r>
              <m:rPr>
                <m:nor/>
              </m:rPr>
              <m:t>CMAX</m:t>
            </m:r>
            <m:ctrlPr>
              <w:rPr>
                <w:rFonts w:ascii="Cambria Math" w:hAnsi="Cambria Math"/>
              </w:rPr>
            </m:ctrlPr>
          </m:sub>
        </m:sSub>
      </m:oMath>
      <w:r w:rsidRPr="00543B26">
        <w:t xml:space="preserve"> is determined according to [8-1, TS 38.101-1] for transmission of all PSFCHs </w:t>
      </w:r>
      <w:r w:rsidR="00045723" w:rsidRPr="007053C7">
        <w:t xml:space="preserve">in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M</m:t>
                </m:r>
              </m:e>
              <m:sub>
                <m:r>
                  <w:rPr>
                    <w:rFonts w:ascii="Cambria Math" w:hAnsi="Cambria Math"/>
                  </w:rPr>
                  <m:t>i</m:t>
                </m:r>
              </m:sub>
            </m:sSub>
          </m:e>
        </m:nary>
      </m:oMath>
      <w:r>
        <w:rPr>
          <w:iCs/>
          <w:lang w:val="en-US"/>
        </w:rPr>
        <w:t xml:space="preserve">, </w:t>
      </w:r>
      <w:r w:rsidRPr="00543B26">
        <w:rPr>
          <w:iCs/>
        </w:rPr>
        <w:t xml:space="preserve">if </w:t>
      </w:r>
      <w:r>
        <w:rPr>
          <w:iCs/>
          <w:lang w:val="en-US"/>
        </w:rPr>
        <w:t>any</w:t>
      </w:r>
    </w:p>
    <w:p w14:paraId="7CFEE7AD" w14:textId="77777777" w:rsidR="006B6AB6" w:rsidRPr="006B6AB6" w:rsidRDefault="006B6AB6" w:rsidP="006B6AB6">
      <w:pPr>
        <w:pStyle w:val="B5"/>
        <w:ind w:left="2268"/>
      </w:pPr>
      <w:r w:rsidRPr="006B6AB6">
        <w:t>-</w:t>
      </w:r>
      <w:r w:rsidRPr="006B6AB6">
        <w:tab/>
      </w:r>
      <m:oMath>
        <m:sSubSup>
          <m:sSubSupPr>
            <m:ctrlPr>
              <w:rPr>
                <w:rFonts w:ascii="Cambria Math" w:hAnsi="Cambria Math"/>
                <w:i/>
              </w:rPr>
            </m:ctrlPr>
          </m:sSubSupPr>
          <m:e>
            <m:r>
              <w:rPr>
                <w:rFonts w:ascii="Cambria Math" w:hAnsi="Cambria Math"/>
              </w:rPr>
              <m:t>N</m:t>
            </m:r>
          </m:e>
          <m:sub>
            <m:r>
              <m:rPr>
                <m:nor/>
              </m:rPr>
              <w:rPr>
                <w:iCs/>
              </w:rPr>
              <m:t>PSFCH</m:t>
            </m:r>
            <m:r>
              <m:rPr>
                <m:nor/>
              </m:rPr>
              <w:rPr>
                <w:rFonts w:ascii="Cambria Math"/>
                <w:iCs/>
              </w:rPr>
              <m:t>,one</m:t>
            </m:r>
            <m:ctrlPr>
              <w:rPr>
                <w:rFonts w:ascii="Cambria Math" w:hAnsi="Cambria Math"/>
                <w:iCs/>
              </w:rPr>
            </m:ctrlPr>
          </m:sub>
          <m:sup>
            <m:r>
              <w:rPr>
                <w:rFonts w:ascii="Cambria Math" w:hAnsi="Cambria Math"/>
              </w:rPr>
              <m:t>K</m:t>
            </m:r>
          </m:sup>
        </m:sSubSup>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1,</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M</m:t>
                        </m:r>
                      </m:e>
                      <m:sub>
                        <m:r>
                          <w:rPr>
                            <w:rFonts w:ascii="Cambria Math" w:hAnsi="Cambria Math"/>
                          </w:rPr>
                          <m:t>i</m:t>
                        </m:r>
                      </m:sub>
                    </m:sSub>
                  </m:e>
                </m:nary>
              </m:e>
            </m:d>
          </m:e>
        </m:func>
      </m:oMath>
      <w:r w:rsidRPr="006B6AB6">
        <w:t xml:space="preserve"> for operation without shared spectrum channel access</w:t>
      </w:r>
    </w:p>
    <w:p w14:paraId="5A0ACBD6" w14:textId="6CCB870B" w:rsidR="006B6AB6" w:rsidRPr="006B6AB6" w:rsidRDefault="006B6AB6" w:rsidP="006B6AB6">
      <w:pPr>
        <w:pStyle w:val="B5"/>
        <w:ind w:left="2268"/>
      </w:pPr>
      <w:r w:rsidRPr="006B6AB6">
        <w:t>-</w:t>
      </w:r>
      <w:r w:rsidRPr="006B6AB6">
        <w:tab/>
      </w:r>
      <m:oMath>
        <m:sSubSup>
          <m:sSubSupPr>
            <m:ctrlPr>
              <w:rPr>
                <w:rFonts w:ascii="Cambria Math" w:hAnsi="Cambria Math"/>
                <w:i/>
              </w:rPr>
            </m:ctrlPr>
          </m:sSubSupPr>
          <m:e>
            <m:r>
              <w:rPr>
                <w:rFonts w:ascii="Cambria Math" w:hAnsi="Cambria Math"/>
              </w:rPr>
              <m:t>N</m:t>
            </m:r>
          </m:e>
          <m:sub>
            <m:r>
              <m:rPr>
                <m:nor/>
              </m:rPr>
              <w:rPr>
                <w:iCs/>
              </w:rPr>
              <m:t>PSFCH</m:t>
            </m:r>
            <m:r>
              <m:rPr>
                <m:nor/>
              </m:rPr>
              <w:rPr>
                <w:rFonts w:ascii="Cambria Math"/>
                <w:iCs/>
              </w:rPr>
              <m:t>,one</m:t>
            </m:r>
            <m:ctrlPr>
              <w:rPr>
                <w:rFonts w:ascii="Cambria Math" w:hAnsi="Cambria Math"/>
                <w:iCs/>
              </w:rPr>
            </m:ctrlPr>
          </m:sub>
          <m:sup>
            <m:r>
              <w:rPr>
                <w:rFonts w:ascii="Cambria Math" w:hAnsi="Cambria Math"/>
              </w:rPr>
              <m:t>K</m:t>
            </m:r>
          </m:sup>
        </m:sSubSup>
        <m:r>
          <w:rPr>
            <w:rFonts w:ascii="Cambria Math" w:hAnsi="Cambria Math"/>
          </w:rPr>
          <m:t>=</m:t>
        </m:r>
        <m:nary>
          <m:naryPr>
            <m:chr m:val="∑"/>
            <m:limLoc m:val="subSup"/>
            <m:ctrlPr>
              <w:rPr>
                <w:rFonts w:ascii="Cambria Math" w:hAnsi="Cambria Math"/>
                <w:i/>
              </w:rPr>
            </m:ctrlPr>
          </m:naryPr>
          <m:sub>
            <m:r>
              <w:rPr>
                <w:rFonts w:ascii="Cambria Math" w:hAnsi="Cambria Math"/>
              </w:rPr>
              <m:t>k=1</m:t>
            </m:r>
          </m:sub>
          <m:sup>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1,</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M</m:t>
                            </m:r>
                          </m:e>
                          <m:sub>
                            <m:r>
                              <w:rPr>
                                <w:rFonts w:ascii="Cambria Math" w:hAnsi="Cambria Math"/>
                              </w:rPr>
                              <m:t>i</m:t>
                            </m:r>
                          </m:sub>
                        </m:sSub>
                      </m:e>
                    </m:nary>
                  </m:e>
                </m:d>
              </m:e>
            </m:func>
          </m:sup>
          <m:e>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r>
                  <w:rPr>
                    <w:rFonts w:ascii="Cambria Math" w:hAnsi="Cambria Math"/>
                  </w:rPr>
                  <m:t>k</m:t>
                </m:r>
              </m:sub>
              <m:sup>
                <m:r>
                  <m:rPr>
                    <m:sty m:val="p"/>
                  </m:rPr>
                  <w:rPr>
                    <w:rFonts w:ascii="Cambria Math" w:hAnsi="Cambria Math"/>
                  </w:rPr>
                  <m:t>interlace</m:t>
                </m:r>
              </m:sup>
            </m:sSubSup>
          </m:e>
        </m:nary>
      </m:oMath>
      <w:r w:rsidRPr="006B6AB6">
        <w:t xml:space="preserve"> for operation with shared spectrum channel access and </w:t>
      </w:r>
      <w:r w:rsidR="00342D2D" w:rsidRPr="0070461C">
        <w:rPr>
          <w:i/>
        </w:rPr>
        <w:t>sl-TransmissionStructureForPSFCH</w:t>
      </w:r>
      <w:r w:rsidRPr="006B6AB6">
        <w:rPr>
          <w:i/>
        </w:rPr>
        <w:t xml:space="preserve"> = </w:t>
      </w:r>
      <w:r w:rsidR="0024141F">
        <w:t>'</w:t>
      </w:r>
      <w:r w:rsidR="00342D2D" w:rsidRPr="0070461C">
        <w:t>dedicatedInterlace</w:t>
      </w:r>
      <w:r w:rsidR="0024141F">
        <w:t>'</w:t>
      </w:r>
    </w:p>
    <w:p w14:paraId="224606E1" w14:textId="27AD375A" w:rsidR="006B6AB6" w:rsidRPr="006B6AB6" w:rsidRDefault="006B6AB6" w:rsidP="006B6AB6">
      <w:pPr>
        <w:pStyle w:val="B5"/>
        <w:ind w:left="2268"/>
      </w:pPr>
      <w:r w:rsidRPr="006B6AB6">
        <w:t>-</w:t>
      </w:r>
      <w:r w:rsidRPr="006B6AB6">
        <w:tab/>
      </w:r>
      <m:oMath>
        <m:sSubSup>
          <m:sSubSupPr>
            <m:ctrlPr>
              <w:rPr>
                <w:rFonts w:ascii="Cambria Math" w:hAnsi="Cambria Math"/>
                <w:i/>
              </w:rPr>
            </m:ctrlPr>
          </m:sSubSupPr>
          <m:e>
            <m:r>
              <w:rPr>
                <w:rFonts w:ascii="Cambria Math" w:hAnsi="Cambria Math"/>
              </w:rPr>
              <m:t>N</m:t>
            </m:r>
          </m:e>
          <m:sub>
            <m:r>
              <m:rPr>
                <m:nor/>
              </m:rPr>
              <w:rPr>
                <w:iCs/>
              </w:rPr>
              <m:t>PSFCH</m:t>
            </m:r>
            <m:r>
              <m:rPr>
                <m:nor/>
              </m:rPr>
              <w:rPr>
                <w:rFonts w:ascii="Cambria Math"/>
                <w:iCs/>
              </w:rPr>
              <m:t>,one</m:t>
            </m:r>
            <m:ctrlPr>
              <w:rPr>
                <w:rFonts w:ascii="Cambria Math" w:hAnsi="Cambria Math"/>
                <w:iCs/>
              </w:rPr>
            </m:ctrlPr>
          </m:sub>
          <m:sup>
            <m:r>
              <w:rPr>
                <w:rFonts w:ascii="Cambria Math" w:hAnsi="Cambria Math"/>
              </w:rPr>
              <m:t>K</m:t>
            </m:r>
          </m:sup>
        </m:sSubSup>
        <m:r>
          <w:rPr>
            <w:rFonts w:ascii="Cambria Math" w:hAnsi="Cambria Math"/>
          </w:rPr>
          <m:t>=</m:t>
        </m:r>
        <m:sSubSup>
          <m:sSubSupPr>
            <m:ctrlPr>
              <w:rPr>
                <w:rFonts w:ascii="Cambria Math" w:hAnsi="Cambria Math"/>
                <w:i/>
              </w:rPr>
            </m:ctrlPr>
          </m:sSubSup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1,</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M</m:t>
                            </m:r>
                          </m:e>
                          <m:sub>
                            <m:r>
                              <w:rPr>
                                <w:rFonts w:ascii="Cambria Math" w:hAnsi="Cambria Math"/>
                              </w:rPr>
                              <m:t>i</m:t>
                            </m:r>
                          </m:sub>
                        </m:sSub>
                      </m:e>
                    </m:nary>
                  </m:e>
                </m:d>
              </m:e>
            </m:func>
            <m:r>
              <w:rPr>
                <w:rFonts w:ascii="Cambria Math" w:hAnsi="Cambria Math"/>
              </w:rPr>
              <m:t>⋅N</m:t>
            </m:r>
          </m:e>
          <m:sub>
            <m:r>
              <m:rPr>
                <m:sty m:val="p"/>
              </m:rPr>
              <w:rPr>
                <w:rFonts w:ascii="Cambria Math" w:hAnsi="Cambria Math"/>
              </w:rPr>
              <m:t>PSFCH,one</m:t>
            </m:r>
          </m:sub>
          <m:sup>
            <m:r>
              <m:rPr>
                <m:sty m:val="p"/>
              </m:rPr>
              <w:rPr>
                <w:rFonts w:ascii="Cambria Math" w:hAnsi="Cambria Math"/>
              </w:rPr>
              <m:t>interlace2</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sub>
          <m:sup>
            <m:r>
              <m:rPr>
                <m:sty m:val="p"/>
              </m:rPr>
              <w:rPr>
                <w:rFonts w:ascii="Cambria Math" w:hAnsi="Cambria Math"/>
              </w:rPr>
              <m:t>interlace</m:t>
            </m:r>
            <m:r>
              <w:rPr>
                <w:rFonts w:ascii="Cambria Math" w:hAnsi="Cambria Math"/>
              </w:rPr>
              <m:t>1,K</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PSFCH,offset</m:t>
                </m:r>
              </m:sub>
            </m:sSub>
            <m:r>
              <w:rPr>
                <w:rFonts w:ascii="Cambria Math" w:hAnsi="Cambria Math"/>
              </w:rPr>
              <m:t>/10)</m:t>
            </m:r>
          </m:sup>
        </m:sSup>
      </m:oMath>
      <w:r w:rsidRPr="006B6AB6">
        <w:t xml:space="preserve"> for operation with shared spectrum channel access and </w:t>
      </w:r>
      <w:r w:rsidR="00342D2D" w:rsidRPr="0070461C">
        <w:rPr>
          <w:i/>
        </w:rPr>
        <w:t>sl-TransmissionStructureForPSFCH</w:t>
      </w:r>
      <w:r w:rsidRPr="006B6AB6">
        <w:rPr>
          <w:i/>
        </w:rPr>
        <w:t xml:space="preserve"> = </w:t>
      </w:r>
      <w:r w:rsidR="0024141F">
        <w:t>'</w:t>
      </w:r>
      <w:r w:rsidR="00342D2D" w:rsidRPr="0070461C">
        <w:t>commonInterlace</w:t>
      </w:r>
      <w:r w:rsidR="0024141F">
        <w:t>'</w:t>
      </w:r>
      <w:r w:rsidRPr="006B6AB6">
        <w:t xml:space="preserve">, where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sub>
          <m:sup>
            <m:r>
              <m:rPr>
                <m:sty m:val="p"/>
              </m:rPr>
              <w:rPr>
                <w:rFonts w:ascii="Cambria Math" w:hAnsi="Cambria Math"/>
              </w:rPr>
              <m:t>interlace</m:t>
            </m:r>
            <m:r>
              <w:rPr>
                <w:rFonts w:ascii="Cambria Math" w:hAnsi="Cambria Math"/>
              </w:rPr>
              <m:t>1,K</m:t>
            </m:r>
          </m:sup>
        </m:sSubSup>
      </m:oMath>
      <w:r w:rsidRPr="006B6AB6">
        <w:t xml:space="preserve"> is the number of PRBs in the first interlace for the </w:t>
      </w:r>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1,</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M</m:t>
                        </m:r>
                      </m:e>
                      <m:sub>
                        <m:r>
                          <w:rPr>
                            <w:rFonts w:ascii="Cambria Math" w:hAnsi="Cambria Math"/>
                          </w:rPr>
                          <m:t>i</m:t>
                        </m:r>
                      </m:sub>
                    </m:sSub>
                  </m:e>
                </m:nary>
              </m:e>
            </m:d>
          </m:e>
        </m:func>
      </m:oMath>
      <w:r w:rsidRPr="006B6AB6">
        <w:t xml:space="preserve"> PSFCH transmissions after excluding PRBs for PSFCH transmissions as described in Clause 16.3.0</w:t>
      </w:r>
    </w:p>
    <w:p w14:paraId="2DE09803" w14:textId="77777777" w:rsidR="00BB0A93" w:rsidRPr="00357791" w:rsidRDefault="00BB0A93" w:rsidP="006B6AB6">
      <w:pPr>
        <w:pStyle w:val="B5"/>
        <w:ind w:left="1985"/>
        <w:rPr>
          <w:lang w:val="en-US"/>
        </w:rPr>
      </w:pPr>
      <w:r w:rsidRPr="00CD4F4D">
        <w:t>-</w:t>
      </w:r>
      <w:r w:rsidRPr="00CD4F4D">
        <w:tab/>
      </w:r>
      <w:r>
        <w:rPr>
          <w:lang w:val="en-US"/>
        </w:rPr>
        <w:t>zero, otherwise</w:t>
      </w:r>
    </w:p>
    <w:p w14:paraId="1C347D70" w14:textId="5764E9AE" w:rsidR="00BB0A93" w:rsidRPr="00CD4F4D" w:rsidRDefault="00B931CF" w:rsidP="0014760F">
      <w:pPr>
        <w:pStyle w:val="B5"/>
        <w:rPr>
          <w:rFonts w:eastAsia="Malgun Gothic"/>
        </w:rPr>
      </w:pPr>
      <w:r>
        <w:rPr>
          <w:rFonts w:eastAsia="Malgun Gothic"/>
        </w:rPr>
        <w:tab/>
      </w:r>
      <w:r w:rsidR="00BB0A93" w:rsidRPr="00CD4F4D">
        <w:rPr>
          <w:rFonts w:eastAsia="Malgun Gothic"/>
        </w:rPr>
        <w:t>and</w:t>
      </w:r>
    </w:p>
    <w:p w14:paraId="1363829F" w14:textId="77777777" w:rsidR="00DA7EE4" w:rsidRPr="00DA7EE4" w:rsidRDefault="00DA7EE4" w:rsidP="00DA7EE4">
      <w:pPr>
        <w:pStyle w:val="B5"/>
        <w:ind w:left="1985"/>
        <w:rPr>
          <w:noProof/>
        </w:rPr>
      </w:pPr>
      <w:r w:rsidRPr="00DA7EE4">
        <w:t>-</w:t>
      </w:r>
      <w:r w:rsidRPr="00DA7EE4">
        <w:tab/>
      </w:r>
      <m:oMath>
        <m:sSub>
          <m:sSubPr>
            <m:ctrlPr>
              <w:rPr>
                <w:rFonts w:ascii="Cambria Math" w:hAnsi="Cambria Math"/>
              </w:rPr>
            </m:ctrlPr>
          </m:sSubPr>
          <m:e>
            <m:r>
              <w:rPr>
                <w:rFonts w:ascii="Cambria Math" w:hAnsi="Cambria Math"/>
              </w:rPr>
              <m:t>P</m:t>
            </m:r>
          </m:e>
          <m:sub>
            <m:r>
              <m:rPr>
                <m:nor/>
              </m:rPr>
              <m:t>PSFCH,k</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P</m:t>
                </m:r>
              </m:e>
              <m:sub>
                <m:r>
                  <m:rPr>
                    <m:nor/>
                  </m:rPr>
                  <m:t>CMAX</m:t>
                </m:r>
              </m:sub>
            </m:sSub>
            <m:r>
              <w:rPr>
                <w:rFonts w:ascii="Cambria Math" w:hAnsi="Cambria Math"/>
              </w:rPr>
              <m:t>-10lo</m:t>
            </m:r>
            <m:sSub>
              <m:sSubPr>
                <m:ctrlPr>
                  <w:rPr>
                    <w:rFonts w:ascii="Cambria Math" w:hAnsi="Cambria Math"/>
                    <w:i/>
                  </w:rPr>
                </m:ctrlPr>
              </m:sSubPr>
              <m:e>
                <m:r>
                  <w:rPr>
                    <w:rFonts w:ascii="Cambria Math" w:hAnsi="Cambria Math"/>
                  </w:rPr>
                  <m:t>g</m:t>
                </m:r>
              </m:e>
              <m:sub>
                <m:r>
                  <w:rPr>
                    <w:rFonts w:ascii="Cambria Math" w:hAnsi="Cambria Math"/>
                  </w:rPr>
                  <m:t>10</m:t>
                </m:r>
              </m:sub>
            </m:sSub>
            <m:r>
              <w:rPr>
                <w:rFonts w:ascii="Cambria Math" w:hAnsi="Cambria Math"/>
              </w:rPr>
              <m:t>(</m:t>
            </m:r>
            <m:sSub>
              <m:sSubPr>
                <m:ctrlPr>
                  <w:rPr>
                    <w:rFonts w:ascii="Cambria Math" w:hAnsi="Cambria Math" w:cs="Arial"/>
                    <w:i/>
                  </w:rPr>
                </m:ctrlPr>
              </m:sSubPr>
              <m:e>
                <m:r>
                  <w:rPr>
                    <w:rFonts w:ascii="Cambria Math" w:hAnsi="Cambria Math" w:cs="Arial"/>
                  </w:rPr>
                  <m:t>N</m:t>
                </m:r>
              </m:e>
              <m:sub>
                <m:r>
                  <m:rPr>
                    <m:sty m:val="p"/>
                  </m:rPr>
                  <w:rPr>
                    <w:rFonts w:ascii="Cambria Math" w:hAnsi="Cambria Math" w:cs="Arial"/>
                  </w:rPr>
                  <m:t>Tx,PSFCH</m:t>
                </m:r>
              </m:sub>
            </m:sSub>
            <m:r>
              <w:rPr>
                <w:rFonts w:ascii="Cambria Math" w:hAnsi="Cambria Math"/>
              </w:rPr>
              <m:t>)</m:t>
            </m:r>
            <m:r>
              <m:rPr>
                <m:sty m:val="p"/>
              </m:rPr>
              <w:rPr>
                <w:rFonts w:ascii="Cambria Math" w:hAnsi="Cambria Math"/>
              </w:rPr>
              <m:t>,</m:t>
            </m:r>
            <m:sSub>
              <m:sSubPr>
                <m:ctrlPr>
                  <w:rPr>
                    <w:rFonts w:ascii="Cambria Math" w:hAnsi="Cambria Math"/>
                    <w:i/>
                    <w:iCs/>
                  </w:rPr>
                </m:ctrlPr>
              </m:sSubPr>
              <m:e>
                <m:r>
                  <w:rPr>
                    <w:rFonts w:ascii="Cambria Math" w:hAnsi="Cambria Math"/>
                  </w:rPr>
                  <m:t>P</m:t>
                </m:r>
              </m:e>
              <m:sub>
                <m:r>
                  <m:rPr>
                    <m:nor/>
                  </m:rPr>
                  <w:rPr>
                    <w:iCs/>
                  </w:rPr>
                  <m:t>PSFCH,one</m:t>
                </m:r>
                <m:ctrlPr>
                  <w:rPr>
                    <w:rFonts w:ascii="Cambria Math" w:hAnsi="Cambria Math"/>
                    <w:iCs/>
                  </w:rPr>
                </m:ctrlPr>
              </m:sub>
            </m:sSub>
          </m:e>
        </m:d>
      </m:oMath>
      <w:r w:rsidRPr="00DA7EE4">
        <w:t xml:space="preserve"> [dBm] </w:t>
      </w:r>
      <w:r w:rsidRPr="00DA7EE4">
        <w:rPr>
          <w:noProof/>
        </w:rPr>
        <w:t>for operation without shared spectrum channel access</w:t>
      </w:r>
    </w:p>
    <w:p w14:paraId="6B96D803" w14:textId="573A8E51" w:rsidR="00DA7EE4" w:rsidRPr="00DA7EE4" w:rsidRDefault="00DA7EE4" w:rsidP="00DA7EE4">
      <w:pPr>
        <w:pStyle w:val="B5"/>
        <w:ind w:left="1985"/>
      </w:pPr>
      <w:r w:rsidRPr="00DA7EE4">
        <w:t>-</w:t>
      </w:r>
      <w:r w:rsidRPr="00DA7EE4">
        <w:tab/>
      </w:r>
      <m:oMath>
        <m:sSub>
          <m:sSubPr>
            <m:ctrlPr>
              <w:rPr>
                <w:rFonts w:ascii="Cambria Math" w:hAnsi="Cambria Math"/>
                <w:noProof/>
              </w:rPr>
            </m:ctrlPr>
          </m:sSubPr>
          <m:e>
            <m:r>
              <w:rPr>
                <w:rFonts w:ascii="Cambria Math" w:hAnsi="Cambria Math"/>
                <w:noProof/>
              </w:rPr>
              <m:t>P</m:t>
            </m:r>
          </m:e>
          <m:sub>
            <m:r>
              <m:rPr>
                <m:nor/>
              </m:rPr>
              <w:rPr>
                <w:noProof/>
              </w:rPr>
              <m:t>PSFCH,k</m:t>
            </m:r>
          </m:sub>
        </m:sSub>
        <m:r>
          <m:rPr>
            <m:sty m:val="p"/>
          </m:rPr>
          <w:rPr>
            <w:rFonts w:ascii="Cambria Math" w:hAnsi="Cambria Math"/>
            <w:noProof/>
          </w:rPr>
          <m:t>(</m:t>
        </m:r>
        <m:r>
          <w:rPr>
            <w:rFonts w:ascii="Cambria Math" w:hAnsi="Cambria Math"/>
            <w:noProof/>
          </w:rPr>
          <m:t>i</m:t>
        </m:r>
        <m:r>
          <m:rPr>
            <m:sty m:val="p"/>
          </m:rPr>
          <w:rPr>
            <w:rFonts w:ascii="Cambria Math" w:hAnsi="Cambria Math"/>
            <w:noProof/>
          </w:rPr>
          <m:t>)=</m:t>
        </m:r>
        <m:r>
          <w:rPr>
            <w:rFonts w:ascii="Cambria Math" w:hAnsi="Cambria Math"/>
            <w:noProof/>
          </w:rPr>
          <m:t>min</m:t>
        </m:r>
        <m:d>
          <m:dPr>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nor/>
                  </m:rPr>
                  <w:rPr>
                    <w:noProof/>
                  </w:rPr>
                  <m:t>CMAX</m:t>
                </m:r>
              </m:sub>
            </m:sSub>
            <m:r>
              <w:rPr>
                <w:rFonts w:ascii="Cambria Math" w:hAnsi="Cambria Math"/>
                <w:noProof/>
              </w:rPr>
              <m:t>-10lo</m:t>
            </m:r>
            <m:sSub>
              <m:sSubPr>
                <m:ctrlPr>
                  <w:rPr>
                    <w:rFonts w:ascii="Cambria Math" w:hAnsi="Cambria Math"/>
                    <w:i/>
                    <w:noProof/>
                  </w:rPr>
                </m:ctrlPr>
              </m:sSubPr>
              <m:e>
                <m:r>
                  <w:rPr>
                    <w:rFonts w:ascii="Cambria Math" w:hAnsi="Cambria Math"/>
                    <w:noProof/>
                  </w:rPr>
                  <m:t>g</m:t>
                </m:r>
              </m:e>
              <m:sub>
                <m:r>
                  <w:rPr>
                    <w:rFonts w:ascii="Cambria Math" w:hAnsi="Cambria Math"/>
                    <w:noProof/>
                  </w:rPr>
                  <m:t>10</m:t>
                </m:r>
              </m:sub>
            </m:sSub>
            <m:r>
              <w:rPr>
                <w:rFonts w:ascii="Cambria Math" w:hAnsi="Cambria Math"/>
                <w:noProof/>
              </w:rPr>
              <m:t>(</m:t>
            </m:r>
            <m:nary>
              <m:naryPr>
                <m:chr m:val="∑"/>
                <m:limLoc m:val="subSup"/>
                <m:ctrlPr>
                  <w:rPr>
                    <w:rFonts w:ascii="Cambria Math" w:hAnsi="Cambria Math"/>
                    <w:i/>
                  </w:rPr>
                </m:ctrlPr>
              </m:naryPr>
              <m:sub>
                <m:r>
                  <w:rPr>
                    <w:rFonts w:ascii="Cambria Math" w:hAnsi="Cambria Math"/>
                  </w:rPr>
                  <m:t>k=1</m:t>
                </m:r>
              </m:sub>
              <m:sup>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Tx,PSFCH</m:t>
                    </m:r>
                  </m:sub>
                </m:sSub>
              </m:sup>
              <m:e>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r>
                      <w:rPr>
                        <w:rFonts w:ascii="Cambria Math" w:hAnsi="Cambria Math"/>
                      </w:rPr>
                      <m:t>k</m:t>
                    </m:r>
                  </m:sub>
                  <m:sup>
                    <m:r>
                      <m:rPr>
                        <m:sty m:val="p"/>
                      </m:rPr>
                      <w:rPr>
                        <w:rFonts w:ascii="Cambria Math" w:hAnsi="Cambria Math"/>
                      </w:rPr>
                      <m:t>interlace</m:t>
                    </m:r>
                  </m:sup>
                </m:sSubSup>
              </m:e>
            </m:nary>
            <m:r>
              <w:rPr>
                <w:rFonts w:ascii="Cambria Math" w:hAnsi="Cambria Math"/>
                <w:noProof/>
              </w:rPr>
              <m:t>)</m:t>
            </m:r>
            <m:r>
              <m:rPr>
                <m:sty m:val="p"/>
              </m:rPr>
              <w:rPr>
                <w:rFonts w:ascii="Cambria Math" w:hAnsi="Cambria Math"/>
                <w:noProof/>
              </w:rPr>
              <m:t>,</m:t>
            </m:r>
            <m:sSub>
              <m:sSubPr>
                <m:ctrlPr>
                  <w:rPr>
                    <w:rFonts w:ascii="Cambria Math" w:hAnsi="Cambria Math"/>
                    <w:i/>
                    <w:iCs/>
                  </w:rPr>
                </m:ctrlPr>
              </m:sSubPr>
              <m:e>
                <m:r>
                  <w:rPr>
                    <w:rFonts w:ascii="Cambria Math" w:hAnsi="Cambria Math"/>
                  </w:rPr>
                  <m:t>P</m:t>
                </m:r>
              </m:e>
              <m:sub>
                <m:r>
                  <m:rPr>
                    <m:sty m:val="p"/>
                  </m:rPr>
                  <w:rPr>
                    <w:rFonts w:ascii="Cambria Math" w:hAnsi="Cambria Math"/>
                  </w:rPr>
                  <m:t>PSFCH,one</m:t>
                </m:r>
                <m:ctrlPr>
                  <w:rPr>
                    <w:rFonts w:ascii="Cambria Math" w:hAnsi="Cambria Math"/>
                    <w:iCs/>
                  </w:rPr>
                </m:ctrlPr>
              </m:sub>
            </m:sSub>
          </m:e>
        </m:d>
        <m:r>
          <w:rPr>
            <w:rFonts w:ascii="Cambria Math" w:hAnsi="Cambria Math"/>
            <w:noProof/>
          </w:rPr>
          <m:t>+</m:t>
        </m:r>
        <m:r>
          <w:rPr>
            <w:rFonts w:ascii="Cambria Math" w:hAnsi="Cambria Math"/>
          </w:rPr>
          <m:t>10lo</m:t>
        </m:r>
        <m:sSub>
          <m:sSubPr>
            <m:ctrlPr>
              <w:rPr>
                <w:rFonts w:ascii="Cambria Math" w:hAnsi="Cambria Math"/>
                <w:i/>
              </w:rPr>
            </m:ctrlPr>
          </m:sSubPr>
          <m:e>
            <m:r>
              <w:rPr>
                <w:rFonts w:ascii="Cambria Math" w:hAnsi="Cambria Math"/>
              </w:rPr>
              <m:t>g</m:t>
            </m:r>
          </m:e>
          <m:sub>
            <m:r>
              <w:rPr>
                <w:rFonts w:ascii="Cambria Math" w:hAnsi="Cambria Math"/>
              </w:rPr>
              <m:t>10</m:t>
            </m:r>
          </m:sub>
        </m:sSub>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r>
                  <w:rPr>
                    <w:rFonts w:ascii="Cambria Math" w:hAnsi="Cambria Math"/>
                  </w:rPr>
                  <m:t>k</m:t>
                </m:r>
              </m:sub>
              <m:sup>
                <m:r>
                  <m:rPr>
                    <m:sty m:val="p"/>
                  </m:rPr>
                  <w:rPr>
                    <w:rFonts w:ascii="Cambria Math" w:hAnsi="Cambria Math"/>
                  </w:rPr>
                  <m:t>interlace</m:t>
                </m:r>
              </m:sup>
            </m:sSubSup>
          </m:e>
        </m:d>
      </m:oMath>
      <w:r w:rsidRPr="00DA7EE4">
        <w:t xml:space="preserve"> [dBm] for operation with shared spectrum channel access and </w:t>
      </w:r>
      <w:r w:rsidR="00342D2D" w:rsidRPr="0070461C">
        <w:rPr>
          <w:i/>
        </w:rPr>
        <w:t>sl-TransmissionStructureForPSFCH</w:t>
      </w:r>
      <w:r w:rsidRPr="00DA7EE4">
        <w:rPr>
          <w:i/>
        </w:rPr>
        <w:t xml:space="preserve">= </w:t>
      </w:r>
      <w:r w:rsidR="0024141F">
        <w:t>'</w:t>
      </w:r>
      <w:r w:rsidR="00342D2D" w:rsidRPr="0070461C">
        <w:t>dedicatedInterlace</w:t>
      </w:r>
      <w:r w:rsidR="0024141F">
        <w:t>'</w:t>
      </w:r>
      <w:r w:rsidRPr="00DA7EE4">
        <w:t xml:space="preserve">, where the power on one PRB in the interlace for PSFCH transmission is </w:t>
      </w:r>
      <m:oMath>
        <m:sSub>
          <m:sSubPr>
            <m:ctrlPr>
              <w:rPr>
                <w:rFonts w:ascii="Cambria Math" w:hAnsi="Cambria Math"/>
                <w:i/>
                <w:iCs/>
                <w:noProof/>
              </w:rPr>
            </m:ctrlPr>
          </m:sSubPr>
          <m:e>
            <m:r>
              <w:rPr>
                <w:rFonts w:ascii="Cambria Math" w:hAnsi="Cambria Math"/>
                <w:noProof/>
              </w:rPr>
              <m:t>P</m:t>
            </m:r>
          </m:e>
          <m:sub>
            <m:r>
              <m:rPr>
                <m:nor/>
              </m:rPr>
              <w:rPr>
                <w:iCs/>
                <w:noProof/>
              </w:rPr>
              <m:t>PSFCH</m:t>
            </m:r>
            <m:r>
              <m:rPr>
                <m:nor/>
              </m:rPr>
              <w:rPr>
                <w:rFonts w:ascii="Cambria Math"/>
                <w:iCs/>
                <w:noProof/>
              </w:rPr>
              <m:t>,PRB,</m:t>
            </m:r>
            <m:r>
              <m:rPr>
                <m:nor/>
              </m:rPr>
              <w:rPr>
                <w:rFonts w:ascii="Cambria Math"/>
                <w:i/>
                <w:noProof/>
              </w:rPr>
              <m:t>k</m:t>
            </m:r>
            <m:ctrlPr>
              <w:rPr>
                <w:rFonts w:ascii="Cambria Math" w:hAnsi="Cambria Math"/>
                <w:iCs/>
                <w:noProof/>
              </w:rPr>
            </m:ctrlPr>
          </m:sub>
        </m:sSub>
        <m:r>
          <w:rPr>
            <w:rFonts w:ascii="Cambria Math" w:hAnsi="Cambria Math"/>
            <w:noProof/>
          </w:rPr>
          <m:t>(i)=min</m:t>
        </m:r>
        <m:d>
          <m:dPr>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nor/>
                  </m:rPr>
                  <w:rPr>
                    <w:noProof/>
                  </w:rPr>
                  <m:t>CMAX</m:t>
                </m:r>
              </m:sub>
            </m:sSub>
            <m:r>
              <w:rPr>
                <w:rFonts w:ascii="Cambria Math" w:hAnsi="Cambria Math"/>
                <w:noProof/>
              </w:rPr>
              <m:t>-10lo</m:t>
            </m:r>
            <m:sSub>
              <m:sSubPr>
                <m:ctrlPr>
                  <w:rPr>
                    <w:rFonts w:ascii="Cambria Math" w:hAnsi="Cambria Math"/>
                    <w:i/>
                    <w:noProof/>
                  </w:rPr>
                </m:ctrlPr>
              </m:sSubPr>
              <m:e>
                <m:r>
                  <w:rPr>
                    <w:rFonts w:ascii="Cambria Math" w:hAnsi="Cambria Math"/>
                    <w:noProof/>
                  </w:rPr>
                  <m:t>g</m:t>
                </m:r>
              </m:e>
              <m:sub>
                <m:r>
                  <w:rPr>
                    <w:rFonts w:ascii="Cambria Math" w:hAnsi="Cambria Math"/>
                    <w:noProof/>
                  </w:rPr>
                  <m:t>10</m:t>
                </m:r>
              </m:sub>
            </m:sSub>
            <m:d>
              <m:dPr>
                <m:ctrlPr>
                  <w:rPr>
                    <w:rFonts w:ascii="Cambria Math" w:hAnsi="Cambria Math"/>
                    <w:i/>
                    <w:noProof/>
                  </w:rPr>
                </m:ctrlPr>
              </m:dPr>
              <m:e>
                <m:nary>
                  <m:naryPr>
                    <m:chr m:val="∑"/>
                    <m:limLoc m:val="subSup"/>
                    <m:ctrlPr>
                      <w:rPr>
                        <w:rFonts w:ascii="Cambria Math" w:hAnsi="Cambria Math"/>
                        <w:i/>
                      </w:rPr>
                    </m:ctrlPr>
                  </m:naryPr>
                  <m:sub>
                    <m:r>
                      <w:rPr>
                        <w:rFonts w:ascii="Cambria Math" w:hAnsi="Cambria Math"/>
                      </w:rPr>
                      <m:t>k=1</m:t>
                    </m:r>
                  </m:sub>
                  <m:sup>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Tx,PSFCH</m:t>
                        </m:r>
                      </m:sub>
                    </m:sSub>
                  </m:sup>
                  <m:e>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r>
                          <w:rPr>
                            <w:rFonts w:ascii="Cambria Math" w:hAnsi="Cambria Math"/>
                          </w:rPr>
                          <m:t>k</m:t>
                        </m:r>
                      </m:sub>
                      <m:sup>
                        <m:r>
                          <m:rPr>
                            <m:sty m:val="p"/>
                          </m:rPr>
                          <w:rPr>
                            <w:rFonts w:ascii="Cambria Math" w:hAnsi="Cambria Math"/>
                          </w:rPr>
                          <m:t>interlace</m:t>
                        </m:r>
                      </m:sup>
                    </m:sSubSup>
                  </m:e>
                </m:nary>
              </m:e>
            </m:d>
            <m:r>
              <m:rPr>
                <m:sty m:val="p"/>
              </m:rPr>
              <w:rPr>
                <w:rFonts w:ascii="Cambria Math" w:hAnsi="Cambria Math"/>
                <w:noProof/>
              </w:rPr>
              <m:t>,</m:t>
            </m:r>
            <m:sSub>
              <m:sSubPr>
                <m:ctrlPr>
                  <w:rPr>
                    <w:rFonts w:ascii="Cambria Math" w:hAnsi="Cambria Math"/>
                    <w:i/>
                    <w:iCs/>
                  </w:rPr>
                </m:ctrlPr>
              </m:sSubPr>
              <m:e>
                <m:r>
                  <w:rPr>
                    <w:rFonts w:ascii="Cambria Math" w:hAnsi="Cambria Math"/>
                  </w:rPr>
                  <m:t>P</m:t>
                </m:r>
              </m:e>
              <m:sub>
                <m:r>
                  <m:rPr>
                    <m:sty m:val="p"/>
                  </m:rPr>
                  <w:rPr>
                    <w:rFonts w:ascii="Cambria Math" w:hAnsi="Cambria Math"/>
                  </w:rPr>
                  <m:t>PSFCH,one</m:t>
                </m:r>
                <m:ctrlPr>
                  <w:rPr>
                    <w:rFonts w:ascii="Cambria Math" w:hAnsi="Cambria Math"/>
                    <w:iCs/>
                  </w:rPr>
                </m:ctrlPr>
              </m:sub>
            </m:sSub>
          </m:e>
        </m:d>
      </m:oMath>
    </w:p>
    <w:p w14:paraId="14E9EB85" w14:textId="10338472" w:rsidR="00DA7EE4" w:rsidRPr="00DA7EE4" w:rsidRDefault="00DA7EE4" w:rsidP="00DA7EE4">
      <w:pPr>
        <w:pStyle w:val="B5"/>
        <w:ind w:left="1985"/>
      </w:pPr>
      <w:r w:rsidRPr="00DA7EE4">
        <w:lastRenderedPageBreak/>
        <w:t>-</w:t>
      </w:r>
      <w:r w:rsidRPr="00DA7EE4">
        <w:tab/>
      </w:r>
      <m:oMath>
        <m:sSub>
          <m:sSubPr>
            <m:ctrlPr>
              <w:rPr>
                <w:rFonts w:ascii="Cambria Math" w:hAnsi="Cambria Math"/>
                <w:noProof/>
              </w:rPr>
            </m:ctrlPr>
          </m:sSubPr>
          <m:e>
            <m:r>
              <w:rPr>
                <w:rFonts w:ascii="Cambria Math" w:hAnsi="Cambria Math"/>
                <w:noProof/>
              </w:rPr>
              <m:t>P</m:t>
            </m:r>
          </m:e>
          <m:sub>
            <m:r>
              <m:rPr>
                <m:nor/>
              </m:rPr>
              <w:rPr>
                <w:noProof/>
              </w:rPr>
              <m:t>PSFCH,k</m:t>
            </m:r>
          </m:sub>
        </m:sSub>
        <m:r>
          <m:rPr>
            <m:sty m:val="p"/>
          </m:rPr>
          <w:rPr>
            <w:rFonts w:ascii="Cambria Math" w:hAnsi="Cambria Math"/>
            <w:noProof/>
          </w:rPr>
          <m:t>(</m:t>
        </m:r>
        <m:r>
          <w:rPr>
            <w:rFonts w:ascii="Cambria Math" w:hAnsi="Cambria Math"/>
            <w:noProof/>
          </w:rPr>
          <m:t>i</m:t>
        </m:r>
        <m:r>
          <m:rPr>
            <m:sty m:val="p"/>
          </m:rPr>
          <w:rPr>
            <w:rFonts w:ascii="Cambria Math" w:hAnsi="Cambria Math"/>
            <w:noProof/>
          </w:rPr>
          <m:t>)=</m:t>
        </m:r>
        <m:r>
          <w:rPr>
            <w:rFonts w:ascii="Cambria Math" w:hAnsi="Cambria Math"/>
            <w:noProof/>
          </w:rPr>
          <m:t>min</m:t>
        </m:r>
        <m:d>
          <m:dPr>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nor/>
                  </m:rPr>
                  <w:rPr>
                    <w:noProof/>
                  </w:rPr>
                  <m:t>CMAX</m:t>
                </m:r>
              </m:sub>
            </m:sSub>
            <m:r>
              <w:rPr>
                <w:rFonts w:ascii="Cambria Math" w:hAnsi="Cambria Math"/>
                <w:noProof/>
              </w:rPr>
              <m:t>-10lo</m:t>
            </m:r>
            <m:sSub>
              <m:sSubPr>
                <m:ctrlPr>
                  <w:rPr>
                    <w:rFonts w:ascii="Cambria Math" w:hAnsi="Cambria Math"/>
                    <w:i/>
                    <w:noProof/>
                  </w:rPr>
                </m:ctrlPr>
              </m:sSubPr>
              <m:e>
                <m:r>
                  <w:rPr>
                    <w:rFonts w:ascii="Cambria Math" w:hAnsi="Cambria Math"/>
                    <w:noProof/>
                  </w:rPr>
                  <m:t>g</m:t>
                </m:r>
              </m:e>
              <m:sub>
                <m:r>
                  <w:rPr>
                    <w:rFonts w:ascii="Cambria Math" w:hAnsi="Cambria Math"/>
                    <w:noProof/>
                  </w:rPr>
                  <m:t>10</m:t>
                </m:r>
              </m:sub>
            </m:sSub>
            <m:r>
              <w:rPr>
                <w:rFonts w:ascii="Cambria Math" w:hAnsi="Cambria Math"/>
                <w:noProof/>
              </w:rPr>
              <m:t>(</m:t>
            </m:r>
            <m:sSubSup>
              <m:sSubSupPr>
                <m:ctrlPr>
                  <w:rPr>
                    <w:rFonts w:ascii="Cambria Math" w:hAnsi="Cambria Math"/>
                    <w:i/>
                  </w:rPr>
                </m:ctrlPr>
              </m:sSubSupPr>
              <m:e>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Tx,PSFCH</m:t>
                    </m:r>
                  </m:sub>
                </m:sSub>
                <m:r>
                  <w:rPr>
                    <w:rFonts w:ascii="Cambria Math" w:hAnsi="Cambria Math"/>
                  </w:rPr>
                  <m:t>⋅N</m:t>
                </m:r>
              </m:e>
              <m:sub>
                <m:r>
                  <m:rPr>
                    <m:sty m:val="p"/>
                  </m:rPr>
                  <w:rPr>
                    <w:rFonts w:ascii="Cambria Math" w:hAnsi="Cambria Math"/>
                  </w:rPr>
                  <m:t>PSFCH,one</m:t>
                </m:r>
              </m:sub>
              <m:sup>
                <m:r>
                  <m:rPr>
                    <m:sty m:val="p"/>
                  </m:rPr>
                  <w:rPr>
                    <w:rFonts w:ascii="Cambria Math" w:hAnsi="Cambria Math"/>
                  </w:rPr>
                  <m:t>interlace2</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sub>
              <m:sup>
                <m:r>
                  <m:rPr>
                    <m:sty m:val="p"/>
                  </m:rPr>
                  <w:rPr>
                    <w:rFonts w:ascii="Cambria Math" w:hAnsi="Cambria Math"/>
                  </w:rPr>
                  <m:t>interlace</m:t>
                </m:r>
                <m:r>
                  <w:rPr>
                    <w:rFonts w:ascii="Cambria Math" w:hAnsi="Cambria Math"/>
                  </w:rPr>
                  <m:t>1</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PSFCH,offset</m:t>
                    </m:r>
                  </m:sub>
                </m:sSub>
                <m:r>
                  <w:rPr>
                    <w:rFonts w:ascii="Cambria Math" w:hAnsi="Cambria Math"/>
                  </w:rPr>
                  <m:t>/10)</m:t>
                </m:r>
              </m:sup>
            </m:sSup>
            <m:r>
              <w:rPr>
                <w:rFonts w:ascii="Cambria Math" w:hAnsi="Cambria Math"/>
                <w:noProof/>
              </w:rPr>
              <m:t>)</m:t>
            </m:r>
            <m:r>
              <m:rPr>
                <m:sty m:val="p"/>
              </m:rPr>
              <w:rPr>
                <w:rFonts w:ascii="Cambria Math" w:hAnsi="Cambria Math"/>
                <w:noProof/>
              </w:rPr>
              <m:t>,</m:t>
            </m:r>
            <m:sSub>
              <m:sSubPr>
                <m:ctrlPr>
                  <w:rPr>
                    <w:rFonts w:ascii="Cambria Math" w:hAnsi="Cambria Math"/>
                    <w:i/>
                    <w:iCs/>
                  </w:rPr>
                </m:ctrlPr>
              </m:sSubPr>
              <m:e>
                <m:r>
                  <w:rPr>
                    <w:rFonts w:ascii="Cambria Math" w:hAnsi="Cambria Math"/>
                  </w:rPr>
                  <m:t>P</m:t>
                </m:r>
              </m:e>
              <m:sub>
                <m:r>
                  <m:rPr>
                    <m:sty m:val="p"/>
                  </m:rPr>
                  <w:rPr>
                    <w:rFonts w:ascii="Cambria Math" w:hAnsi="Cambria Math"/>
                  </w:rPr>
                  <m:t>PSFCH,one</m:t>
                </m:r>
                <m:ctrlPr>
                  <w:rPr>
                    <w:rFonts w:ascii="Cambria Math" w:hAnsi="Cambria Math"/>
                    <w:iCs/>
                  </w:rPr>
                </m:ctrlPr>
              </m:sub>
            </m:sSub>
          </m:e>
        </m:d>
        <m:r>
          <w:rPr>
            <w:rFonts w:ascii="Cambria Math" w:hAnsi="Cambria Math"/>
          </w:rPr>
          <m:t>+</m:t>
        </m:r>
        <m:r>
          <m:rPr>
            <m:sty m:val="p"/>
          </m:rPr>
          <w:rPr>
            <w:rFonts w:ascii="Cambria Math" w:hAnsi="Cambria Math"/>
          </w:rPr>
          <m:t xml:space="preserve"> </m:t>
        </m:r>
        <m:r>
          <w:rPr>
            <w:rFonts w:ascii="Cambria Math" w:hAnsi="Cambria Math"/>
          </w:rPr>
          <m:t>10lo</m:t>
        </m:r>
        <m:sSub>
          <m:sSubPr>
            <m:ctrlPr>
              <w:rPr>
                <w:rFonts w:ascii="Cambria Math" w:hAnsi="Cambria Math"/>
                <w:i/>
              </w:rPr>
            </m:ctrlPr>
          </m:sSubPr>
          <m:e>
            <m:r>
              <w:rPr>
                <w:rFonts w:ascii="Cambria Math" w:hAnsi="Cambria Math"/>
              </w:rPr>
              <m:t>g</m:t>
            </m:r>
          </m:e>
          <m:sub>
            <m:r>
              <w:rPr>
                <w:rFonts w:ascii="Cambria Math" w:hAnsi="Cambria Math"/>
              </w:rPr>
              <m:t>10</m:t>
            </m:r>
          </m:sub>
        </m:sSub>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sub>
              <m:sup>
                <m:r>
                  <m:rPr>
                    <m:sty m:val="p"/>
                  </m:rPr>
                  <w:rPr>
                    <w:rFonts w:ascii="Cambria Math" w:hAnsi="Cambria Math"/>
                  </w:rPr>
                  <m:t>interlace2</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sub>
              <m:sup>
                <m:r>
                  <m:rPr>
                    <m:sty m:val="p"/>
                  </m:rPr>
                  <w:rPr>
                    <w:rFonts w:ascii="Cambria Math" w:hAnsi="Cambria Math"/>
                  </w:rPr>
                  <m:t>interlace</m:t>
                </m:r>
                <m:r>
                  <w:rPr>
                    <w:rFonts w:ascii="Cambria Math" w:hAnsi="Cambria Math"/>
                  </w:rPr>
                  <m:t>1</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PSFCH,offset</m:t>
                    </m:r>
                  </m:sub>
                </m:sSub>
                <m:r>
                  <w:rPr>
                    <w:rFonts w:ascii="Cambria Math" w:hAnsi="Cambria Math"/>
                  </w:rPr>
                  <m:t>/10)</m:t>
                </m:r>
              </m:sup>
            </m:sSup>
          </m:e>
        </m:d>
      </m:oMath>
      <w:r w:rsidRPr="00DA7EE4">
        <w:t xml:space="preserve"> [dBm] for operation with shared spectrum channel access and </w:t>
      </w:r>
      <w:r w:rsidR="00342D2D" w:rsidRPr="0070461C">
        <w:rPr>
          <w:i/>
        </w:rPr>
        <w:t>sl-TransmissionStructureForPSFCH</w:t>
      </w:r>
      <w:r w:rsidRPr="00DA7EE4">
        <w:rPr>
          <w:i/>
        </w:rPr>
        <w:t xml:space="preserve"> = </w:t>
      </w:r>
      <w:r w:rsidR="0024141F">
        <w:t>'</w:t>
      </w:r>
      <w:r w:rsidR="00342D2D" w:rsidRPr="0070461C">
        <w:t>commonInterlace</w:t>
      </w:r>
      <w:r w:rsidR="0024141F">
        <w:t>'</w:t>
      </w:r>
      <w:r w:rsidRPr="00DA7EE4">
        <w:t xml:space="preserve">, where the power on one PRB in the first interlace for PSFCH transmission is </w:t>
      </w:r>
      <m:oMath>
        <m:sSub>
          <m:sSubPr>
            <m:ctrlPr>
              <w:rPr>
                <w:rFonts w:ascii="Cambria Math" w:hAnsi="Cambria Math"/>
                <w:i/>
                <w:iCs/>
                <w:noProof/>
              </w:rPr>
            </m:ctrlPr>
          </m:sSubPr>
          <m:e>
            <m:r>
              <w:rPr>
                <w:rFonts w:ascii="Cambria Math" w:hAnsi="Cambria Math"/>
                <w:noProof/>
              </w:rPr>
              <m:t>P</m:t>
            </m:r>
          </m:e>
          <m:sub>
            <m:r>
              <m:rPr>
                <m:nor/>
              </m:rPr>
              <w:rPr>
                <w:iCs/>
                <w:noProof/>
              </w:rPr>
              <m:t>PSFCH</m:t>
            </m:r>
            <m:r>
              <m:rPr>
                <m:nor/>
              </m:rPr>
              <w:rPr>
                <w:rFonts w:ascii="Cambria Math"/>
                <w:iCs/>
                <w:noProof/>
              </w:rPr>
              <m:t>,PRB,first,</m:t>
            </m:r>
            <m:r>
              <m:rPr>
                <m:nor/>
              </m:rPr>
              <w:rPr>
                <w:rFonts w:ascii="Cambria Math"/>
                <w:i/>
                <w:noProof/>
              </w:rPr>
              <m:t>k</m:t>
            </m:r>
            <m:ctrlPr>
              <w:rPr>
                <w:rFonts w:ascii="Cambria Math" w:hAnsi="Cambria Math"/>
                <w:iCs/>
                <w:noProof/>
              </w:rPr>
            </m:ctrlPr>
          </m:sub>
        </m:sSub>
        <m:r>
          <w:rPr>
            <w:rFonts w:ascii="Cambria Math" w:hAnsi="Cambria Math"/>
            <w:noProof/>
          </w:rPr>
          <m:t>(i)=</m:t>
        </m:r>
        <m:sSub>
          <m:sSubPr>
            <m:ctrlPr>
              <w:rPr>
                <w:rFonts w:ascii="Cambria Math" w:hAnsi="Cambria Math"/>
                <w:i/>
                <w:iCs/>
                <w:noProof/>
              </w:rPr>
            </m:ctrlPr>
          </m:sSubPr>
          <m:e>
            <m:sSub>
              <m:sSubPr>
                <m:ctrlPr>
                  <w:rPr>
                    <w:rFonts w:ascii="Cambria Math" w:hAnsi="Cambria Math"/>
                    <w:i/>
                    <w:iCs/>
                    <w:noProof/>
                  </w:rPr>
                </m:ctrlPr>
              </m:sSubPr>
              <m:e>
                <m:r>
                  <w:rPr>
                    <w:rFonts w:ascii="Cambria Math" w:hAnsi="Cambria Math"/>
                    <w:noProof/>
                  </w:rPr>
                  <m:t>P</m:t>
                </m:r>
              </m:e>
              <m:sub>
                <m:r>
                  <m:rPr>
                    <m:nor/>
                  </m:rPr>
                  <w:rPr>
                    <w:iCs/>
                    <w:noProof/>
                  </w:rPr>
                  <m:t>PSFCH</m:t>
                </m:r>
                <m:r>
                  <m:rPr>
                    <m:nor/>
                  </m:rPr>
                  <w:rPr>
                    <w:rFonts w:ascii="Cambria Math"/>
                    <w:iCs/>
                    <w:noProof/>
                  </w:rPr>
                  <m:t>,PRB,second,</m:t>
                </m:r>
                <m:r>
                  <m:rPr>
                    <m:nor/>
                  </m:rPr>
                  <w:rPr>
                    <w:rFonts w:ascii="Cambria Math"/>
                    <w:i/>
                    <w:noProof/>
                  </w:rPr>
                  <m:t>k</m:t>
                </m:r>
                <m:ctrlPr>
                  <w:rPr>
                    <w:rFonts w:ascii="Cambria Math" w:hAnsi="Cambria Math"/>
                    <w:iCs/>
                    <w:noProof/>
                  </w:rPr>
                </m:ctrlPr>
              </m:sub>
            </m:sSub>
            <m:d>
              <m:dPr>
                <m:ctrlPr>
                  <w:rPr>
                    <w:rFonts w:ascii="Cambria Math" w:hAnsi="Cambria Math"/>
                    <w:i/>
                    <w:iCs/>
                    <w:noProof/>
                  </w:rPr>
                </m:ctrlPr>
              </m:dPr>
              <m:e>
                <m:r>
                  <w:rPr>
                    <w:rFonts w:ascii="Cambria Math" w:hAnsi="Cambria Math"/>
                    <w:noProof/>
                  </w:rPr>
                  <m:t>i</m:t>
                </m:r>
              </m:e>
            </m:d>
            <m:r>
              <w:rPr>
                <w:rFonts w:ascii="Cambria Math" w:hAnsi="Cambria Math"/>
                <w:noProof/>
              </w:rPr>
              <m:t>-P</m:t>
            </m:r>
          </m:e>
          <m:sub>
            <m:r>
              <m:rPr>
                <m:nor/>
              </m:rPr>
              <w:rPr>
                <w:iCs/>
                <w:noProof/>
              </w:rPr>
              <m:t>PSFCH</m:t>
            </m:r>
            <m:r>
              <m:rPr>
                <m:nor/>
              </m:rPr>
              <w:rPr>
                <w:rFonts w:ascii="Cambria Math"/>
                <w:iCs/>
                <w:noProof/>
              </w:rPr>
              <m:t>,offset</m:t>
            </m:r>
            <m:ctrlPr>
              <w:rPr>
                <w:rFonts w:ascii="Cambria Math" w:hAnsi="Cambria Math"/>
                <w:iCs/>
                <w:noProof/>
              </w:rPr>
            </m:ctrlPr>
          </m:sub>
        </m:sSub>
      </m:oMath>
      <w:r w:rsidRPr="00DA7EE4">
        <w:rPr>
          <w:iCs/>
        </w:rPr>
        <w:t xml:space="preserve"> and the </w:t>
      </w:r>
      <w:r w:rsidRPr="00DA7EE4">
        <w:t xml:space="preserve">power on one PRB in the subset of PRBs in the second interlace for PSFCH transmission is </w:t>
      </w:r>
      <m:oMath>
        <m:sSub>
          <m:sSubPr>
            <m:ctrlPr>
              <w:rPr>
                <w:rFonts w:ascii="Cambria Math" w:hAnsi="Cambria Math"/>
                <w:i/>
                <w:iCs/>
                <w:noProof/>
              </w:rPr>
            </m:ctrlPr>
          </m:sSubPr>
          <m:e>
            <m:r>
              <w:rPr>
                <w:rFonts w:ascii="Cambria Math" w:hAnsi="Cambria Math"/>
                <w:noProof/>
              </w:rPr>
              <m:t>P</m:t>
            </m:r>
          </m:e>
          <m:sub>
            <m:r>
              <m:rPr>
                <m:nor/>
              </m:rPr>
              <w:rPr>
                <w:iCs/>
                <w:noProof/>
              </w:rPr>
              <m:t>PSFCH</m:t>
            </m:r>
            <m:r>
              <m:rPr>
                <m:nor/>
              </m:rPr>
              <w:rPr>
                <w:rFonts w:ascii="Cambria Math"/>
                <w:iCs/>
                <w:noProof/>
              </w:rPr>
              <m:t>,PRB,second,</m:t>
            </m:r>
            <m:r>
              <m:rPr>
                <m:nor/>
              </m:rPr>
              <w:rPr>
                <w:rFonts w:ascii="Cambria Math"/>
                <w:i/>
                <w:noProof/>
              </w:rPr>
              <m:t>k</m:t>
            </m:r>
            <m:ctrlPr>
              <w:rPr>
                <w:rFonts w:ascii="Cambria Math" w:hAnsi="Cambria Math"/>
                <w:iCs/>
                <w:noProof/>
              </w:rPr>
            </m:ctrlPr>
          </m:sub>
        </m:sSub>
        <m:r>
          <w:rPr>
            <w:rFonts w:ascii="Cambria Math" w:hAnsi="Cambria Math"/>
            <w:noProof/>
          </w:rPr>
          <m:t>(i)=min</m:t>
        </m:r>
        <m:d>
          <m:dPr>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nor/>
                  </m:rPr>
                  <w:rPr>
                    <w:noProof/>
                  </w:rPr>
                  <m:t>CMAX</m:t>
                </m:r>
              </m:sub>
            </m:sSub>
            <m:r>
              <w:rPr>
                <w:rFonts w:ascii="Cambria Math" w:hAnsi="Cambria Math"/>
                <w:noProof/>
              </w:rPr>
              <m:t>-10lo</m:t>
            </m:r>
            <m:sSub>
              <m:sSubPr>
                <m:ctrlPr>
                  <w:rPr>
                    <w:rFonts w:ascii="Cambria Math" w:hAnsi="Cambria Math"/>
                    <w:i/>
                    <w:noProof/>
                  </w:rPr>
                </m:ctrlPr>
              </m:sSubPr>
              <m:e>
                <m:r>
                  <w:rPr>
                    <w:rFonts w:ascii="Cambria Math" w:hAnsi="Cambria Math"/>
                    <w:noProof/>
                  </w:rPr>
                  <m:t>g</m:t>
                </m:r>
              </m:e>
              <m:sub>
                <m:r>
                  <w:rPr>
                    <w:rFonts w:ascii="Cambria Math" w:hAnsi="Cambria Math"/>
                    <w:noProof/>
                  </w:rPr>
                  <m:t>10</m:t>
                </m:r>
              </m:sub>
            </m:sSub>
            <m:d>
              <m:dPr>
                <m:ctrlPr>
                  <w:rPr>
                    <w:rFonts w:ascii="Cambria Math" w:hAnsi="Cambria Math"/>
                    <w:i/>
                    <w:noProof/>
                  </w:rPr>
                </m:ctrlPr>
              </m:dPr>
              <m:e>
                <m:sSubSup>
                  <m:sSubSupPr>
                    <m:ctrlPr>
                      <w:rPr>
                        <w:rFonts w:ascii="Cambria Math" w:hAnsi="Cambria Math"/>
                        <w:i/>
                      </w:rPr>
                    </m:ctrlPr>
                  </m:sSubSupPr>
                  <m:e>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Tx,PSFCH</m:t>
                        </m:r>
                      </m:sub>
                    </m:sSub>
                    <m:r>
                      <w:rPr>
                        <w:rFonts w:ascii="Cambria Math" w:hAnsi="Cambria Math"/>
                      </w:rPr>
                      <m:t>⋅N</m:t>
                    </m:r>
                  </m:e>
                  <m:sub>
                    <m:r>
                      <m:rPr>
                        <m:sty m:val="p"/>
                      </m:rPr>
                      <w:rPr>
                        <w:rFonts w:ascii="Cambria Math" w:hAnsi="Cambria Math"/>
                      </w:rPr>
                      <m:t>PSFCH,one</m:t>
                    </m:r>
                  </m:sub>
                  <m:sup>
                    <m:r>
                      <m:rPr>
                        <m:sty m:val="p"/>
                      </m:rPr>
                      <w:rPr>
                        <w:rFonts w:ascii="Cambria Math" w:hAnsi="Cambria Math"/>
                      </w:rPr>
                      <m:t>interlace2</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sub>
                  <m:sup>
                    <m:r>
                      <m:rPr>
                        <m:sty m:val="p"/>
                      </m:rPr>
                      <w:rPr>
                        <w:rFonts w:ascii="Cambria Math" w:hAnsi="Cambria Math"/>
                      </w:rPr>
                      <m:t>interlace</m:t>
                    </m:r>
                    <m:r>
                      <w:rPr>
                        <w:rFonts w:ascii="Cambria Math" w:hAnsi="Cambria Math"/>
                      </w:rPr>
                      <m:t>1</m:t>
                    </m:r>
                  </m:sup>
                </m:sSubSup>
                <m:r>
                  <w:rPr>
                    <w:rFonts w:ascii="Cambria Math" w:hAnsi="Cambria Math"/>
                  </w:rPr>
                  <m:t>⋅</m:t>
                </m:r>
                <m:sSup>
                  <m:sSupPr>
                    <m:ctrlPr>
                      <w:rPr>
                        <w:rFonts w:ascii="Cambria Math" w:hAnsi="Cambria Math"/>
                        <w:i/>
                      </w:rPr>
                    </m:ctrlPr>
                  </m:sSupPr>
                  <m:e>
                    <m:r>
                      <w:rPr>
                        <w:rFonts w:ascii="Cambria Math" w:hAnsi="Cambria Math"/>
                      </w:rPr>
                      <m:t>10</m:t>
                    </m:r>
                  </m:e>
                  <m:sup>
                    <m:d>
                      <m:dPr>
                        <m:ctrlPr>
                          <w:rPr>
                            <w:rFonts w:ascii="Cambria Math" w:hAnsi="Cambria Math"/>
                            <w:i/>
                          </w:rPr>
                        </m:ctrlPr>
                      </m:dPr>
                      <m:e>
                        <m:sSub>
                          <m:sSubPr>
                            <m:ctrlPr>
                              <w:rPr>
                                <w:rFonts w:ascii="Cambria Math" w:hAnsi="Cambria Math"/>
                                <w:i/>
                              </w:rPr>
                            </m:ctrlPr>
                          </m:sSubPr>
                          <m:e>
                            <m:r>
                              <w:rPr>
                                <w:rFonts w:ascii="Cambria Math" w:hAnsi="Cambria Math"/>
                              </w:rPr>
                              <m:t>-P</m:t>
                            </m:r>
                          </m:e>
                          <m:sub>
                            <m:r>
                              <m:rPr>
                                <m:sty m:val="p"/>
                              </m:rPr>
                              <w:rPr>
                                <w:rFonts w:ascii="Cambria Math" w:hAnsi="Cambria Math"/>
                              </w:rPr>
                              <m:t>PSFCH,offset</m:t>
                            </m:r>
                          </m:sub>
                        </m:sSub>
                        <m:r>
                          <w:rPr>
                            <w:rFonts w:ascii="Cambria Math" w:hAnsi="Cambria Math"/>
                          </w:rPr>
                          <m:t>/10</m:t>
                        </m:r>
                      </m:e>
                    </m:d>
                  </m:sup>
                </m:sSup>
              </m:e>
            </m:d>
            <m:r>
              <m:rPr>
                <m:sty m:val="p"/>
              </m:rPr>
              <w:rPr>
                <w:rFonts w:ascii="Cambria Math" w:hAnsi="Cambria Math"/>
              </w:rPr>
              <m:t xml:space="preserve"> </m:t>
            </m:r>
            <m:r>
              <m:rPr>
                <m:sty m:val="p"/>
              </m:rPr>
              <w:rPr>
                <w:rFonts w:ascii="Cambria Math" w:hAnsi="Cambria Math"/>
                <w:noProof/>
              </w:rPr>
              <m:t>,</m:t>
            </m:r>
            <m:sSub>
              <m:sSubPr>
                <m:ctrlPr>
                  <w:rPr>
                    <w:rFonts w:ascii="Cambria Math" w:hAnsi="Cambria Math"/>
                    <w:i/>
                    <w:iCs/>
                  </w:rPr>
                </m:ctrlPr>
              </m:sSubPr>
              <m:e>
                <m:r>
                  <w:rPr>
                    <w:rFonts w:ascii="Cambria Math" w:hAnsi="Cambria Math"/>
                  </w:rPr>
                  <m:t>P</m:t>
                </m:r>
              </m:e>
              <m:sub>
                <m:r>
                  <m:rPr>
                    <m:sty m:val="p"/>
                  </m:rPr>
                  <w:rPr>
                    <w:rFonts w:ascii="Cambria Math" w:hAnsi="Cambria Math"/>
                  </w:rPr>
                  <m:t>PSFCH,one</m:t>
                </m:r>
                <m:ctrlPr>
                  <w:rPr>
                    <w:rFonts w:ascii="Cambria Math" w:hAnsi="Cambria Math"/>
                    <w:iCs/>
                  </w:rPr>
                </m:ctrlPr>
              </m:sub>
            </m:sSub>
          </m:e>
        </m:d>
      </m:oMath>
      <w:r w:rsidRPr="00DA7EE4">
        <w:t xml:space="preserve">, where </w:t>
      </w:r>
      <m:oMath>
        <m:sSub>
          <m:sSubPr>
            <m:ctrlPr>
              <w:rPr>
                <w:rFonts w:ascii="Cambria Math" w:hAnsi="Cambria Math"/>
                <w:i/>
              </w:rPr>
            </m:ctrlPr>
          </m:sSubPr>
          <m:e>
            <m:r>
              <w:rPr>
                <w:rFonts w:ascii="Cambria Math" w:hAnsi="Cambria Math"/>
              </w:rPr>
              <m:t>P</m:t>
            </m:r>
          </m:e>
          <m:sub>
            <m:r>
              <m:rPr>
                <m:sty m:val="p"/>
              </m:rPr>
              <w:rPr>
                <w:rFonts w:ascii="Cambria Math" w:hAnsi="Cambria Math"/>
              </w:rPr>
              <m:t>PSFCH,offset</m:t>
            </m:r>
          </m:sub>
        </m:sSub>
      </m:oMath>
      <w:r w:rsidRPr="00DA7EE4">
        <w:t xml:space="preserve"> is provided by </w:t>
      </w:r>
      <w:r w:rsidR="00342D2D" w:rsidRPr="0070461C">
        <w:rPr>
          <w:i/>
        </w:rPr>
        <w:t>sl-PSFCH-PowerOffset</w:t>
      </w:r>
      <w:r w:rsidRPr="00DA7EE4">
        <w:t xml:space="preserve"> </w:t>
      </w:r>
    </w:p>
    <w:p w14:paraId="014544AE" w14:textId="54C4B4D1" w:rsidR="00BB0A93" w:rsidRDefault="00B931CF" w:rsidP="0014760F">
      <w:pPr>
        <w:pStyle w:val="B5"/>
        <w:rPr>
          <w:rFonts w:eastAsiaTheme="minorEastAsia"/>
        </w:rPr>
      </w:pPr>
      <w:r>
        <w:rPr>
          <w:rFonts w:eastAsiaTheme="minorEastAsia"/>
        </w:rPr>
        <w:tab/>
      </w:r>
      <w:r w:rsidR="00BB0A93" w:rsidRPr="00CD4F4D">
        <w:rPr>
          <w:rFonts w:eastAsiaTheme="minorEastAsia"/>
        </w:rPr>
        <w:t xml:space="preserve">where </w:t>
      </w:r>
      <m:oMath>
        <m:sSub>
          <m:sSubPr>
            <m:ctrlPr>
              <w:rPr>
                <w:rFonts w:ascii="Cambria Math" w:eastAsia="Malgun Gothic" w:hAnsi="Cambria Math"/>
                <w:i/>
              </w:rPr>
            </m:ctrlPr>
          </m:sSubPr>
          <m:e>
            <m:r>
              <w:rPr>
                <w:rFonts w:ascii="Cambria Math" w:eastAsia="Malgun Gothic"/>
              </w:rPr>
              <m:t>P</m:t>
            </m:r>
          </m:e>
          <m:sub>
            <m:r>
              <m:rPr>
                <m:nor/>
              </m:rPr>
              <w:rPr>
                <w:rFonts w:ascii="Cambria Math" w:eastAsia="Malgun Gothic"/>
              </w:rPr>
              <m:t>CMAX</m:t>
            </m:r>
            <m:ctrlPr>
              <w:rPr>
                <w:rFonts w:ascii="Cambria Math" w:eastAsia="Malgun Gothic" w:hAnsi="Cambria Math"/>
              </w:rPr>
            </m:ctrlPr>
          </m:sub>
        </m:sSub>
      </m:oMath>
      <w:r w:rsidR="00BB0A93" w:rsidRPr="00CD4F4D">
        <w:rPr>
          <w:rFonts w:eastAsiaTheme="minorEastAsia"/>
          <w:lang w:val="en-US"/>
        </w:rPr>
        <w:t xml:space="preserve"> </w:t>
      </w:r>
      <w:r w:rsidR="00BB0A93" w:rsidRPr="00CD4F4D">
        <w:rPr>
          <w:rFonts w:eastAsiaTheme="minorEastAsia"/>
        </w:rPr>
        <w:t>is determined for the</w:t>
      </w:r>
      <w:r w:rsidR="00BB0A93" w:rsidRPr="00CD4F4D">
        <w:rPr>
          <w:rFonts w:eastAsiaTheme="minorEastAsia" w:hint="eastAsia"/>
        </w:rPr>
        <w:t xml:space="preserve"> </w:t>
      </w:r>
      <m:oMath>
        <m:r>
          <w:rPr>
            <w:rFonts w:ascii="Cambria Math" w:eastAsia="Malgun Gothic" w:hAnsi="Cambria Math"/>
          </w:rPr>
          <m:t xml:space="preserve"> </m:t>
        </m:r>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Tx,PSFCH</m:t>
            </m:r>
          </m:sub>
        </m:sSub>
      </m:oMath>
      <w:r w:rsidR="00BB0A93" w:rsidRPr="00CD4F4D">
        <w:rPr>
          <w:rFonts w:eastAsiaTheme="minorEastAsia"/>
        </w:rPr>
        <w:t xml:space="preserve"> simultaneous PSFCH transmissions </w:t>
      </w:r>
      <w:r w:rsidR="00BB0A93" w:rsidRPr="00CD4F4D">
        <w:rPr>
          <w:rFonts w:eastAsiaTheme="minorEastAsia"/>
          <w:lang w:val="en-US"/>
        </w:rPr>
        <w:t>according to</w:t>
      </w:r>
      <w:r w:rsidR="00BB0A93" w:rsidRPr="00CD4F4D">
        <w:rPr>
          <w:rFonts w:eastAsiaTheme="minorEastAsia"/>
        </w:rPr>
        <w:t xml:space="preserve"> [8-1, TS 38.101-1] </w:t>
      </w:r>
    </w:p>
    <w:p w14:paraId="59686FF9" w14:textId="77777777" w:rsidR="00BB0A93" w:rsidRPr="00357791" w:rsidRDefault="00BB0A93" w:rsidP="0014760F">
      <w:pPr>
        <w:pStyle w:val="B1"/>
        <w:rPr>
          <w:rFonts w:eastAsia="Malgun Gothic"/>
          <w:iCs/>
        </w:rPr>
      </w:pPr>
      <w:r w:rsidRPr="00357791">
        <w:rPr>
          <w:rFonts w:eastAsia="Malgun Gothic"/>
        </w:rPr>
        <w:t>-</w:t>
      </w:r>
      <w:r w:rsidRPr="00357791">
        <w:rPr>
          <w:rFonts w:eastAsia="Malgun Gothic"/>
        </w:rPr>
        <w:tab/>
        <w:t>else</w:t>
      </w:r>
    </w:p>
    <w:p w14:paraId="2C12FC9F" w14:textId="77777777" w:rsidR="005963ED" w:rsidRPr="005963ED" w:rsidRDefault="005963ED" w:rsidP="005963ED">
      <w:pPr>
        <w:pStyle w:val="B2"/>
        <w:rPr>
          <w:noProof/>
        </w:rPr>
      </w:pPr>
      <w:r w:rsidRPr="005963ED">
        <w:t>-</w:t>
      </w:r>
      <w:r w:rsidRPr="005963ED">
        <w:tab/>
      </w:r>
      <m:oMath>
        <m:sSub>
          <m:sSubPr>
            <m:ctrlPr>
              <w:rPr>
                <w:rFonts w:ascii="Cambria Math" w:hAnsi="Cambria Math"/>
              </w:rPr>
            </m:ctrlPr>
          </m:sSubPr>
          <m:e>
            <m:r>
              <w:rPr>
                <w:rFonts w:ascii="Cambria Math" w:hAnsi="Cambria Math"/>
              </w:rPr>
              <m:t>P</m:t>
            </m:r>
          </m:e>
          <m:sub>
            <m:r>
              <m:rPr>
                <m:nor/>
              </m:rPr>
              <m:t>PSFCH,k</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P</m:t>
            </m:r>
          </m:e>
          <m:sub>
            <m:r>
              <m:rPr>
                <m:nor/>
              </m:rPr>
              <m:t>CMAX</m:t>
            </m:r>
          </m:sub>
        </m:sSub>
        <m:r>
          <w:rPr>
            <w:rFonts w:ascii="Cambria Math" w:hAnsi="Cambria Math"/>
          </w:rPr>
          <m:t>-10lo</m:t>
        </m:r>
        <m:sSub>
          <m:sSubPr>
            <m:ctrlPr>
              <w:rPr>
                <w:rFonts w:ascii="Cambria Math" w:hAnsi="Cambria Math"/>
                <w:i/>
              </w:rPr>
            </m:ctrlPr>
          </m:sSubPr>
          <m:e>
            <m:r>
              <w:rPr>
                <w:rFonts w:ascii="Cambria Math" w:hAnsi="Cambria Math"/>
              </w:rPr>
              <m:t>g</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N</m:t>
            </m:r>
          </m:e>
          <m:sub>
            <m:r>
              <m:rPr>
                <m:sty m:val="p"/>
              </m:rPr>
              <w:rPr>
                <w:rFonts w:ascii="Cambria Math" w:hAnsi="Cambria Math"/>
              </w:rPr>
              <m:t>Tx,PSFCH</m:t>
            </m:r>
          </m:sub>
        </m:sSub>
        <m:r>
          <w:rPr>
            <w:rFonts w:ascii="Cambria Math" w:hAnsi="Cambria Math"/>
          </w:rPr>
          <m:t>)</m:t>
        </m:r>
      </m:oMath>
      <w:r w:rsidRPr="005963ED">
        <w:t xml:space="preserve"> [dBm] </w:t>
      </w:r>
      <w:r w:rsidRPr="005963ED">
        <w:rPr>
          <w:noProof/>
        </w:rPr>
        <w:t>for operation without shared spectrum channel access</w:t>
      </w:r>
    </w:p>
    <w:p w14:paraId="6F723BD9" w14:textId="3F9D19DC" w:rsidR="005963ED" w:rsidRPr="005963ED" w:rsidRDefault="005963ED" w:rsidP="005963ED">
      <w:pPr>
        <w:pStyle w:val="B2"/>
        <w:rPr>
          <w:iCs/>
        </w:rPr>
      </w:pPr>
      <w:r w:rsidRPr="005963ED">
        <w:t>-</w:t>
      </w:r>
      <w:r w:rsidRPr="005963ED">
        <w:tab/>
      </w:r>
      <m:oMath>
        <m:sSub>
          <m:sSubPr>
            <m:ctrlPr>
              <w:rPr>
                <w:rFonts w:ascii="Cambria Math" w:hAnsi="Cambria Math"/>
                <w:noProof/>
              </w:rPr>
            </m:ctrlPr>
          </m:sSubPr>
          <m:e>
            <m:r>
              <w:rPr>
                <w:rFonts w:ascii="Cambria Math" w:hAnsi="Cambria Math"/>
                <w:noProof/>
              </w:rPr>
              <m:t>P</m:t>
            </m:r>
          </m:e>
          <m:sub>
            <m:r>
              <m:rPr>
                <m:nor/>
              </m:rPr>
              <w:rPr>
                <w:noProof/>
              </w:rPr>
              <m:t>PSFCH,k</m:t>
            </m:r>
          </m:sub>
        </m:sSub>
        <m:r>
          <m:rPr>
            <m:sty m:val="p"/>
          </m:rPr>
          <w:rPr>
            <w:rFonts w:ascii="Cambria Math" w:hAnsi="Cambria Math"/>
            <w:noProof/>
          </w:rPr>
          <m:t>(</m:t>
        </m:r>
        <m:r>
          <w:rPr>
            <w:rFonts w:ascii="Cambria Math" w:hAnsi="Cambria Math"/>
            <w:noProof/>
          </w:rPr>
          <m:t>i</m:t>
        </m:r>
        <m:r>
          <m:rPr>
            <m:sty m:val="p"/>
          </m:rPr>
          <w:rPr>
            <w:rFonts w:ascii="Cambria Math" w:hAnsi="Cambria Math"/>
            <w:noProof/>
          </w:rPr>
          <m:t>)=</m:t>
        </m:r>
        <m:sSub>
          <m:sSubPr>
            <m:ctrlPr>
              <w:rPr>
                <w:rFonts w:ascii="Cambria Math" w:hAnsi="Cambria Math"/>
                <w:noProof/>
              </w:rPr>
            </m:ctrlPr>
          </m:sSubPr>
          <m:e>
            <m:r>
              <w:rPr>
                <w:rFonts w:ascii="Cambria Math" w:hAnsi="Cambria Math"/>
                <w:noProof/>
              </w:rPr>
              <m:t>P</m:t>
            </m:r>
          </m:e>
          <m:sub>
            <m:r>
              <m:rPr>
                <m:nor/>
              </m:rPr>
              <w:rPr>
                <w:noProof/>
              </w:rPr>
              <m:t>CMAX</m:t>
            </m:r>
          </m:sub>
        </m:sSub>
        <m:r>
          <w:rPr>
            <w:rFonts w:ascii="Cambria Math" w:hAnsi="Cambria Math"/>
            <w:noProof/>
          </w:rPr>
          <m:t>-10lo</m:t>
        </m:r>
        <m:sSub>
          <m:sSubPr>
            <m:ctrlPr>
              <w:rPr>
                <w:rFonts w:ascii="Cambria Math" w:hAnsi="Cambria Math"/>
                <w:i/>
                <w:noProof/>
              </w:rPr>
            </m:ctrlPr>
          </m:sSubPr>
          <m:e>
            <m:r>
              <w:rPr>
                <w:rFonts w:ascii="Cambria Math" w:hAnsi="Cambria Math"/>
                <w:noProof/>
              </w:rPr>
              <m:t>g</m:t>
            </m:r>
          </m:e>
          <m:sub>
            <m:r>
              <w:rPr>
                <w:rFonts w:ascii="Cambria Math" w:hAnsi="Cambria Math"/>
                <w:noProof/>
              </w:rPr>
              <m:t>10</m:t>
            </m:r>
          </m:sub>
        </m:sSub>
        <m:r>
          <w:rPr>
            <w:rFonts w:ascii="Cambria Math" w:hAnsi="Cambria Math"/>
            <w:noProof/>
          </w:rPr>
          <m:t>(</m:t>
        </m:r>
        <m:nary>
          <m:naryPr>
            <m:chr m:val="∑"/>
            <m:limLoc m:val="subSup"/>
            <m:ctrlPr>
              <w:rPr>
                <w:rFonts w:ascii="Cambria Math" w:hAnsi="Cambria Math"/>
                <w:i/>
              </w:rPr>
            </m:ctrlPr>
          </m:naryPr>
          <m:sub>
            <m:r>
              <w:rPr>
                <w:rFonts w:ascii="Cambria Math" w:hAnsi="Cambria Math"/>
              </w:rPr>
              <m:t>k=1</m:t>
            </m:r>
          </m:sub>
          <m:sup>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Tx,PSFCH</m:t>
                </m:r>
              </m:sub>
            </m:sSub>
          </m:sup>
          <m:e>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r>
                  <w:rPr>
                    <w:rFonts w:ascii="Cambria Math" w:hAnsi="Cambria Math"/>
                  </w:rPr>
                  <m:t>k</m:t>
                </m:r>
              </m:sub>
              <m:sup>
                <m:r>
                  <m:rPr>
                    <m:sty m:val="p"/>
                  </m:rPr>
                  <w:rPr>
                    <w:rFonts w:ascii="Cambria Math" w:hAnsi="Cambria Math"/>
                  </w:rPr>
                  <m:t>interlace</m:t>
                </m:r>
              </m:sup>
            </m:sSubSup>
          </m:e>
        </m:nary>
        <m:r>
          <w:rPr>
            <w:rFonts w:ascii="Cambria Math" w:hAnsi="Cambria Math"/>
          </w:rPr>
          <m:t>)</m:t>
        </m:r>
        <m:r>
          <w:rPr>
            <w:rFonts w:ascii="Cambria Math" w:hAnsi="Cambria Math"/>
            <w:noProof/>
          </w:rPr>
          <m:t>+</m:t>
        </m:r>
        <m:r>
          <w:rPr>
            <w:rFonts w:ascii="Cambria Math" w:hAnsi="Cambria Math"/>
          </w:rPr>
          <m:t>10lo</m:t>
        </m:r>
        <m:sSub>
          <m:sSubPr>
            <m:ctrlPr>
              <w:rPr>
                <w:rFonts w:ascii="Cambria Math" w:hAnsi="Cambria Math"/>
                <w:i/>
              </w:rPr>
            </m:ctrlPr>
          </m:sSubPr>
          <m:e>
            <m:r>
              <w:rPr>
                <w:rFonts w:ascii="Cambria Math" w:hAnsi="Cambria Math"/>
              </w:rPr>
              <m:t>g</m:t>
            </m:r>
          </m:e>
          <m:sub>
            <m:r>
              <w:rPr>
                <w:rFonts w:ascii="Cambria Math" w:hAnsi="Cambria Math"/>
              </w:rPr>
              <m:t>10</m:t>
            </m:r>
          </m:sub>
        </m:sSub>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r>
                  <w:rPr>
                    <w:rFonts w:ascii="Cambria Math" w:hAnsi="Cambria Math"/>
                  </w:rPr>
                  <m:t>k</m:t>
                </m:r>
              </m:sub>
              <m:sup>
                <m:r>
                  <m:rPr>
                    <m:sty m:val="p"/>
                  </m:rPr>
                  <w:rPr>
                    <w:rFonts w:ascii="Cambria Math" w:hAnsi="Cambria Math"/>
                  </w:rPr>
                  <m:t>interlace</m:t>
                </m:r>
              </m:sup>
            </m:sSubSup>
          </m:e>
        </m:d>
      </m:oMath>
      <w:r w:rsidRPr="005963ED">
        <w:rPr>
          <w:noProof/>
        </w:rPr>
        <w:t xml:space="preserve"> [dBm] </w:t>
      </w:r>
      <w:r w:rsidRPr="005963ED">
        <w:t xml:space="preserve">for operation with shared spectrum channel access and </w:t>
      </w:r>
      <w:r w:rsidR="00342D2D" w:rsidRPr="0070461C">
        <w:rPr>
          <w:i/>
        </w:rPr>
        <w:t>sl-TransmissionStructureForPSFCH</w:t>
      </w:r>
      <w:r w:rsidRPr="005963ED">
        <w:rPr>
          <w:i/>
        </w:rPr>
        <w:t xml:space="preserve"> = </w:t>
      </w:r>
      <w:r w:rsidR="0024141F">
        <w:t>'</w:t>
      </w:r>
      <w:r w:rsidR="00342D2D" w:rsidRPr="0070461C">
        <w:t>dedicatedInterlace</w:t>
      </w:r>
      <w:r w:rsidR="0024141F">
        <w:t>'</w:t>
      </w:r>
      <w:r w:rsidRPr="005963ED">
        <w:t xml:space="preserve">, where the power on one PRB in the interlace for PSFCH transmission is </w:t>
      </w:r>
      <m:oMath>
        <m:sSub>
          <m:sSubPr>
            <m:ctrlPr>
              <w:rPr>
                <w:rFonts w:ascii="Cambria Math" w:hAnsi="Cambria Math"/>
                <w:i/>
                <w:iCs/>
                <w:noProof/>
              </w:rPr>
            </m:ctrlPr>
          </m:sSubPr>
          <m:e>
            <m:r>
              <w:rPr>
                <w:rFonts w:ascii="Cambria Math" w:hAnsi="Cambria Math"/>
                <w:noProof/>
              </w:rPr>
              <m:t>P</m:t>
            </m:r>
          </m:e>
          <m:sub>
            <m:r>
              <m:rPr>
                <m:nor/>
              </m:rPr>
              <w:rPr>
                <w:iCs/>
                <w:noProof/>
              </w:rPr>
              <m:t>PSFCH</m:t>
            </m:r>
            <m:r>
              <m:rPr>
                <m:nor/>
              </m:rPr>
              <w:rPr>
                <w:rFonts w:ascii="Cambria Math"/>
                <w:iCs/>
                <w:noProof/>
              </w:rPr>
              <m:t>,PRB,</m:t>
            </m:r>
            <m:r>
              <m:rPr>
                <m:nor/>
              </m:rPr>
              <w:rPr>
                <w:rFonts w:ascii="Cambria Math"/>
                <w:i/>
                <w:noProof/>
              </w:rPr>
              <m:t>k</m:t>
            </m:r>
            <m:ctrlPr>
              <w:rPr>
                <w:rFonts w:ascii="Cambria Math" w:hAnsi="Cambria Math"/>
                <w:iCs/>
                <w:noProof/>
              </w:rPr>
            </m:ctrlPr>
          </m:sub>
        </m:sSub>
        <m:r>
          <w:rPr>
            <w:rFonts w:ascii="Cambria Math" w:hAnsi="Cambria Math"/>
            <w:noProof/>
          </w:rPr>
          <m:t>(i)=</m:t>
        </m:r>
        <m:sSub>
          <m:sSubPr>
            <m:ctrlPr>
              <w:rPr>
                <w:rFonts w:ascii="Cambria Math" w:hAnsi="Cambria Math"/>
                <w:noProof/>
              </w:rPr>
            </m:ctrlPr>
          </m:sSubPr>
          <m:e>
            <m:r>
              <w:rPr>
                <w:rFonts w:ascii="Cambria Math" w:hAnsi="Cambria Math"/>
                <w:noProof/>
              </w:rPr>
              <m:t>P</m:t>
            </m:r>
          </m:e>
          <m:sub>
            <m:r>
              <m:rPr>
                <m:nor/>
              </m:rPr>
              <w:rPr>
                <w:noProof/>
              </w:rPr>
              <m:t>CMAX</m:t>
            </m:r>
          </m:sub>
        </m:sSub>
        <m:r>
          <w:rPr>
            <w:rFonts w:ascii="Cambria Math" w:hAnsi="Cambria Math"/>
            <w:noProof/>
          </w:rPr>
          <m:t>-10lo</m:t>
        </m:r>
        <m:sSub>
          <m:sSubPr>
            <m:ctrlPr>
              <w:rPr>
                <w:rFonts w:ascii="Cambria Math" w:hAnsi="Cambria Math"/>
                <w:i/>
                <w:noProof/>
              </w:rPr>
            </m:ctrlPr>
          </m:sSubPr>
          <m:e>
            <m:r>
              <w:rPr>
                <w:rFonts w:ascii="Cambria Math" w:hAnsi="Cambria Math"/>
                <w:noProof/>
              </w:rPr>
              <m:t>g</m:t>
            </m:r>
          </m:e>
          <m:sub>
            <m:r>
              <w:rPr>
                <w:rFonts w:ascii="Cambria Math" w:hAnsi="Cambria Math"/>
                <w:noProof/>
              </w:rPr>
              <m:t>10</m:t>
            </m:r>
          </m:sub>
        </m:sSub>
        <m:d>
          <m:dPr>
            <m:ctrlPr>
              <w:rPr>
                <w:rFonts w:ascii="Cambria Math" w:hAnsi="Cambria Math"/>
                <w:i/>
                <w:noProof/>
              </w:rPr>
            </m:ctrlPr>
          </m:dPr>
          <m:e>
            <m:nary>
              <m:naryPr>
                <m:chr m:val="∑"/>
                <m:limLoc m:val="subSup"/>
                <m:ctrlPr>
                  <w:rPr>
                    <w:rFonts w:ascii="Cambria Math" w:hAnsi="Cambria Math"/>
                    <w:i/>
                  </w:rPr>
                </m:ctrlPr>
              </m:naryPr>
              <m:sub>
                <m:r>
                  <w:rPr>
                    <w:rFonts w:ascii="Cambria Math" w:hAnsi="Cambria Math"/>
                  </w:rPr>
                  <m:t>k=1</m:t>
                </m:r>
              </m:sub>
              <m:sup>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Tx,PSFCH</m:t>
                    </m:r>
                  </m:sub>
                </m:sSub>
              </m:sup>
              <m:e>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r>
                      <w:rPr>
                        <w:rFonts w:ascii="Cambria Math" w:hAnsi="Cambria Math"/>
                      </w:rPr>
                      <m:t>k</m:t>
                    </m:r>
                  </m:sub>
                  <m:sup>
                    <m:r>
                      <m:rPr>
                        <m:sty m:val="p"/>
                      </m:rPr>
                      <w:rPr>
                        <w:rFonts w:ascii="Cambria Math" w:hAnsi="Cambria Math"/>
                      </w:rPr>
                      <m:t>interlace</m:t>
                    </m:r>
                  </m:sup>
                </m:sSubSup>
              </m:e>
            </m:nary>
          </m:e>
        </m:d>
      </m:oMath>
    </w:p>
    <w:p w14:paraId="0C6ED6BE" w14:textId="3969E42C" w:rsidR="005963ED" w:rsidRDefault="005963ED" w:rsidP="005963ED">
      <w:pPr>
        <w:pStyle w:val="B2"/>
        <w:rPr>
          <w:i/>
          <w:lang w:val="en-GB"/>
        </w:rPr>
      </w:pPr>
      <w:r w:rsidRPr="005963ED">
        <w:rPr>
          <w:iCs/>
          <w:noProof/>
        </w:rPr>
        <w:t>-</w:t>
      </w:r>
      <w:r>
        <w:rPr>
          <w:iCs/>
          <w:noProof/>
        </w:rPr>
        <w:tab/>
      </w:r>
      <m:oMath>
        <m:sSub>
          <m:sSubPr>
            <m:ctrlPr>
              <w:rPr>
                <w:rFonts w:ascii="Cambria Math" w:hAnsi="Cambria Math"/>
                <w:noProof/>
              </w:rPr>
            </m:ctrlPr>
          </m:sSubPr>
          <m:e>
            <m:r>
              <w:rPr>
                <w:rFonts w:ascii="Cambria Math" w:hAnsi="Cambria Math"/>
                <w:noProof/>
              </w:rPr>
              <m:t>P</m:t>
            </m:r>
          </m:e>
          <m:sub>
            <m:r>
              <m:rPr>
                <m:nor/>
              </m:rPr>
              <w:rPr>
                <w:noProof/>
              </w:rPr>
              <m:t>PSFCH,k</m:t>
            </m:r>
          </m:sub>
        </m:sSub>
        <m:r>
          <m:rPr>
            <m:sty m:val="p"/>
          </m:rPr>
          <w:rPr>
            <w:rFonts w:ascii="Cambria Math" w:hAnsi="Cambria Math"/>
            <w:noProof/>
          </w:rPr>
          <m:t>(</m:t>
        </m:r>
        <m:r>
          <w:rPr>
            <w:rFonts w:ascii="Cambria Math" w:hAnsi="Cambria Math"/>
            <w:noProof/>
          </w:rPr>
          <m:t>i</m:t>
        </m:r>
        <m:r>
          <m:rPr>
            <m:sty m:val="p"/>
          </m:rPr>
          <w:rPr>
            <w:rFonts w:ascii="Cambria Math" w:hAnsi="Cambria Math"/>
            <w:noProof/>
          </w:rPr>
          <m:t>)=</m:t>
        </m:r>
        <m:sSub>
          <m:sSubPr>
            <m:ctrlPr>
              <w:rPr>
                <w:rFonts w:ascii="Cambria Math" w:hAnsi="Cambria Math"/>
                <w:noProof/>
              </w:rPr>
            </m:ctrlPr>
          </m:sSubPr>
          <m:e>
            <m:r>
              <w:rPr>
                <w:rFonts w:ascii="Cambria Math" w:hAnsi="Cambria Math"/>
                <w:noProof/>
              </w:rPr>
              <m:t>P</m:t>
            </m:r>
          </m:e>
          <m:sub>
            <m:r>
              <m:rPr>
                <m:nor/>
              </m:rPr>
              <w:rPr>
                <w:noProof/>
              </w:rPr>
              <m:t>CMAX</m:t>
            </m:r>
          </m:sub>
        </m:sSub>
        <m:r>
          <w:rPr>
            <w:rFonts w:ascii="Cambria Math" w:hAnsi="Cambria Math"/>
            <w:noProof/>
          </w:rPr>
          <m:t>-10lo</m:t>
        </m:r>
        <m:sSub>
          <m:sSubPr>
            <m:ctrlPr>
              <w:rPr>
                <w:rFonts w:ascii="Cambria Math" w:hAnsi="Cambria Math"/>
                <w:i/>
                <w:noProof/>
              </w:rPr>
            </m:ctrlPr>
          </m:sSubPr>
          <m:e>
            <m:r>
              <w:rPr>
                <w:rFonts w:ascii="Cambria Math" w:hAnsi="Cambria Math"/>
                <w:noProof/>
              </w:rPr>
              <m:t>g</m:t>
            </m:r>
          </m:e>
          <m:sub>
            <m:r>
              <w:rPr>
                <w:rFonts w:ascii="Cambria Math" w:hAnsi="Cambria Math"/>
                <w:noProof/>
              </w:rPr>
              <m:t>10</m:t>
            </m:r>
          </m:sub>
        </m:sSub>
        <m:r>
          <w:rPr>
            <w:rFonts w:ascii="Cambria Math" w:hAnsi="Cambria Math"/>
            <w:noProof/>
          </w:rPr>
          <m:t>(</m:t>
        </m:r>
        <m:sSubSup>
          <m:sSubSupPr>
            <m:ctrlPr>
              <w:rPr>
                <w:rFonts w:ascii="Cambria Math" w:hAnsi="Cambria Math"/>
                <w:i/>
              </w:rPr>
            </m:ctrlPr>
          </m:sSubSupPr>
          <m:e>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Tx,PSFCH</m:t>
                </m:r>
              </m:sub>
            </m:sSub>
            <m:r>
              <w:rPr>
                <w:rFonts w:ascii="Cambria Math" w:hAnsi="Cambria Math"/>
              </w:rPr>
              <m:t>⋅N</m:t>
            </m:r>
          </m:e>
          <m:sub>
            <m:r>
              <m:rPr>
                <m:sty m:val="p"/>
              </m:rPr>
              <w:rPr>
                <w:rFonts w:ascii="Cambria Math" w:hAnsi="Cambria Math"/>
              </w:rPr>
              <m:t>PSFCH,one</m:t>
            </m:r>
          </m:sub>
          <m:sup>
            <m:r>
              <m:rPr>
                <m:sty m:val="p"/>
              </m:rPr>
              <w:rPr>
                <w:rFonts w:ascii="Cambria Math" w:hAnsi="Cambria Math"/>
              </w:rPr>
              <m:t>interlace2</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sub>
          <m:sup>
            <m:r>
              <m:rPr>
                <m:sty m:val="p"/>
              </m:rPr>
              <w:rPr>
                <w:rFonts w:ascii="Cambria Math" w:hAnsi="Cambria Math"/>
              </w:rPr>
              <m:t>interlace</m:t>
            </m:r>
            <m:r>
              <w:rPr>
                <w:rFonts w:ascii="Cambria Math" w:hAnsi="Cambria Math"/>
              </w:rPr>
              <m:t>1</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PSFCH,offset</m:t>
                </m:r>
              </m:sub>
            </m:sSub>
            <m:r>
              <w:rPr>
                <w:rFonts w:ascii="Cambria Math" w:hAnsi="Cambria Math"/>
              </w:rPr>
              <m:t>/10)</m:t>
            </m:r>
          </m:sup>
        </m:sSup>
        <m:r>
          <w:rPr>
            <w:rFonts w:ascii="Cambria Math" w:hAnsi="Cambria Math"/>
            <w:noProof/>
          </w:rPr>
          <m:t>)</m:t>
        </m:r>
        <m:r>
          <w:rPr>
            <w:rFonts w:ascii="Cambria Math" w:hAnsi="Cambria Math"/>
          </w:rPr>
          <m:t>+</m:t>
        </m:r>
        <m:r>
          <m:rPr>
            <m:sty m:val="p"/>
          </m:rPr>
          <w:rPr>
            <w:rFonts w:ascii="Cambria Math" w:hAnsi="Cambria Math"/>
          </w:rPr>
          <m:t xml:space="preserve"> </m:t>
        </m:r>
        <m:r>
          <w:rPr>
            <w:rFonts w:ascii="Cambria Math" w:hAnsi="Cambria Math"/>
          </w:rPr>
          <m:t>10lo</m:t>
        </m:r>
        <m:sSub>
          <m:sSubPr>
            <m:ctrlPr>
              <w:rPr>
                <w:rFonts w:ascii="Cambria Math" w:hAnsi="Cambria Math"/>
                <w:i/>
              </w:rPr>
            </m:ctrlPr>
          </m:sSubPr>
          <m:e>
            <m:r>
              <w:rPr>
                <w:rFonts w:ascii="Cambria Math" w:hAnsi="Cambria Math"/>
              </w:rPr>
              <m:t>g</m:t>
            </m:r>
          </m:e>
          <m:sub>
            <m:r>
              <w:rPr>
                <w:rFonts w:ascii="Cambria Math" w:hAnsi="Cambria Math"/>
              </w:rPr>
              <m:t>10</m:t>
            </m:r>
          </m:sub>
        </m:sSub>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sub>
              <m:sup>
                <m:r>
                  <m:rPr>
                    <m:sty m:val="p"/>
                  </m:rPr>
                  <w:rPr>
                    <w:rFonts w:ascii="Cambria Math" w:hAnsi="Cambria Math"/>
                  </w:rPr>
                  <m:t>interlace2</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sub>
              <m:sup>
                <m:r>
                  <m:rPr>
                    <m:sty m:val="p"/>
                  </m:rPr>
                  <w:rPr>
                    <w:rFonts w:ascii="Cambria Math" w:hAnsi="Cambria Math"/>
                  </w:rPr>
                  <m:t>interlace</m:t>
                </m:r>
                <m:r>
                  <w:rPr>
                    <w:rFonts w:ascii="Cambria Math" w:hAnsi="Cambria Math"/>
                  </w:rPr>
                  <m:t>1</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PSFCH,offset</m:t>
                    </m:r>
                  </m:sub>
                </m:sSub>
                <m:r>
                  <w:rPr>
                    <w:rFonts w:ascii="Cambria Math" w:hAnsi="Cambria Math"/>
                  </w:rPr>
                  <m:t>/10)</m:t>
                </m:r>
              </m:sup>
            </m:sSup>
          </m:e>
        </m:d>
      </m:oMath>
      <w:r w:rsidRPr="005963ED">
        <w:rPr>
          <w:noProof/>
        </w:rPr>
        <w:t xml:space="preserve"> [dBm] </w:t>
      </w:r>
      <w:r w:rsidRPr="005963ED">
        <w:t xml:space="preserve">for operation with shared spectrum channel access and </w:t>
      </w:r>
      <w:r w:rsidR="00342D2D" w:rsidRPr="0070461C">
        <w:rPr>
          <w:i/>
        </w:rPr>
        <w:t>sl-TransmissionStructureForPSFCH</w:t>
      </w:r>
      <w:r w:rsidRPr="005963ED">
        <w:rPr>
          <w:i/>
        </w:rPr>
        <w:t xml:space="preserve"> = </w:t>
      </w:r>
      <w:r w:rsidR="0024141F">
        <w:t>'</w:t>
      </w:r>
      <w:r w:rsidR="00342D2D" w:rsidRPr="0070461C">
        <w:t>commonInterlace</w:t>
      </w:r>
      <w:r w:rsidR="0024141F">
        <w:t>'</w:t>
      </w:r>
      <w:r w:rsidRPr="005963ED">
        <w:t xml:space="preserve">, where the power on one PRB in the first interlace for PSFCH transmission is </w:t>
      </w:r>
      <m:oMath>
        <m:sSub>
          <m:sSubPr>
            <m:ctrlPr>
              <w:rPr>
                <w:rFonts w:ascii="Cambria Math" w:hAnsi="Cambria Math"/>
                <w:i/>
                <w:iCs/>
                <w:noProof/>
              </w:rPr>
            </m:ctrlPr>
          </m:sSubPr>
          <m:e>
            <m:r>
              <w:rPr>
                <w:rFonts w:ascii="Cambria Math" w:hAnsi="Cambria Math"/>
                <w:noProof/>
              </w:rPr>
              <m:t>P</m:t>
            </m:r>
          </m:e>
          <m:sub>
            <m:r>
              <m:rPr>
                <m:nor/>
              </m:rPr>
              <w:rPr>
                <w:iCs/>
                <w:noProof/>
              </w:rPr>
              <m:t>PSFCH</m:t>
            </m:r>
            <m:r>
              <m:rPr>
                <m:nor/>
              </m:rPr>
              <w:rPr>
                <w:rFonts w:ascii="Cambria Math"/>
                <w:iCs/>
                <w:noProof/>
              </w:rPr>
              <m:t>,PRB,first,</m:t>
            </m:r>
            <m:r>
              <m:rPr>
                <m:nor/>
              </m:rPr>
              <w:rPr>
                <w:rFonts w:ascii="Cambria Math"/>
                <w:i/>
                <w:noProof/>
              </w:rPr>
              <m:t>k</m:t>
            </m:r>
            <m:ctrlPr>
              <w:rPr>
                <w:rFonts w:ascii="Cambria Math" w:hAnsi="Cambria Math"/>
                <w:iCs/>
                <w:noProof/>
              </w:rPr>
            </m:ctrlPr>
          </m:sub>
        </m:sSub>
        <m:r>
          <w:rPr>
            <w:rFonts w:ascii="Cambria Math" w:hAnsi="Cambria Math"/>
            <w:noProof/>
          </w:rPr>
          <m:t>(i)=</m:t>
        </m:r>
        <m:sSub>
          <m:sSubPr>
            <m:ctrlPr>
              <w:rPr>
                <w:rFonts w:ascii="Cambria Math" w:hAnsi="Cambria Math"/>
                <w:i/>
                <w:iCs/>
                <w:noProof/>
              </w:rPr>
            </m:ctrlPr>
          </m:sSubPr>
          <m:e>
            <m:sSub>
              <m:sSubPr>
                <m:ctrlPr>
                  <w:rPr>
                    <w:rFonts w:ascii="Cambria Math" w:hAnsi="Cambria Math"/>
                    <w:i/>
                    <w:iCs/>
                    <w:noProof/>
                  </w:rPr>
                </m:ctrlPr>
              </m:sSubPr>
              <m:e>
                <m:r>
                  <w:rPr>
                    <w:rFonts w:ascii="Cambria Math" w:hAnsi="Cambria Math"/>
                    <w:noProof/>
                  </w:rPr>
                  <m:t>P</m:t>
                </m:r>
              </m:e>
              <m:sub>
                <m:r>
                  <m:rPr>
                    <m:nor/>
                  </m:rPr>
                  <w:rPr>
                    <w:iCs/>
                    <w:noProof/>
                  </w:rPr>
                  <m:t>PSFCH</m:t>
                </m:r>
                <m:r>
                  <m:rPr>
                    <m:nor/>
                  </m:rPr>
                  <w:rPr>
                    <w:rFonts w:ascii="Cambria Math"/>
                    <w:iCs/>
                    <w:noProof/>
                  </w:rPr>
                  <m:t>,PRB,second,</m:t>
                </m:r>
                <m:r>
                  <m:rPr>
                    <m:nor/>
                  </m:rPr>
                  <w:rPr>
                    <w:rFonts w:ascii="Cambria Math"/>
                    <w:i/>
                    <w:noProof/>
                  </w:rPr>
                  <m:t>k</m:t>
                </m:r>
                <m:ctrlPr>
                  <w:rPr>
                    <w:rFonts w:ascii="Cambria Math" w:hAnsi="Cambria Math"/>
                    <w:iCs/>
                    <w:noProof/>
                  </w:rPr>
                </m:ctrlPr>
              </m:sub>
            </m:sSub>
            <m:d>
              <m:dPr>
                <m:ctrlPr>
                  <w:rPr>
                    <w:rFonts w:ascii="Cambria Math" w:hAnsi="Cambria Math"/>
                    <w:i/>
                    <w:iCs/>
                    <w:noProof/>
                  </w:rPr>
                </m:ctrlPr>
              </m:dPr>
              <m:e>
                <m:r>
                  <w:rPr>
                    <w:rFonts w:ascii="Cambria Math" w:hAnsi="Cambria Math"/>
                    <w:noProof/>
                  </w:rPr>
                  <m:t>i</m:t>
                </m:r>
              </m:e>
            </m:d>
            <m:r>
              <w:rPr>
                <w:rFonts w:ascii="Cambria Math" w:hAnsi="Cambria Math"/>
                <w:noProof/>
              </w:rPr>
              <m:t>-P</m:t>
            </m:r>
          </m:e>
          <m:sub>
            <m:r>
              <m:rPr>
                <m:nor/>
              </m:rPr>
              <w:rPr>
                <w:iCs/>
                <w:noProof/>
              </w:rPr>
              <m:t>PSFCH</m:t>
            </m:r>
            <m:r>
              <m:rPr>
                <m:nor/>
              </m:rPr>
              <w:rPr>
                <w:rFonts w:ascii="Cambria Math"/>
                <w:iCs/>
                <w:noProof/>
              </w:rPr>
              <m:t>,offset</m:t>
            </m:r>
            <m:ctrlPr>
              <w:rPr>
                <w:rFonts w:ascii="Cambria Math" w:hAnsi="Cambria Math"/>
                <w:iCs/>
                <w:noProof/>
              </w:rPr>
            </m:ctrlPr>
          </m:sub>
        </m:sSub>
      </m:oMath>
      <w:r w:rsidRPr="005963ED">
        <w:rPr>
          <w:iCs/>
        </w:rPr>
        <w:t xml:space="preserve"> and the </w:t>
      </w:r>
      <w:r w:rsidRPr="005963ED">
        <w:t xml:space="preserve">power on one PRB in the subset of PRBs in the second interlace for PSFCH transmission is </w:t>
      </w:r>
      <m:oMath>
        <m:sSub>
          <m:sSubPr>
            <m:ctrlPr>
              <w:rPr>
                <w:rFonts w:ascii="Cambria Math" w:hAnsi="Cambria Math"/>
                <w:i/>
                <w:iCs/>
                <w:noProof/>
              </w:rPr>
            </m:ctrlPr>
          </m:sSubPr>
          <m:e>
            <m:r>
              <w:rPr>
                <w:rFonts w:ascii="Cambria Math" w:hAnsi="Cambria Math"/>
                <w:noProof/>
              </w:rPr>
              <m:t>P</m:t>
            </m:r>
          </m:e>
          <m:sub>
            <m:r>
              <m:rPr>
                <m:nor/>
              </m:rPr>
              <w:rPr>
                <w:iCs/>
                <w:noProof/>
              </w:rPr>
              <m:t>PSFCH</m:t>
            </m:r>
            <m:r>
              <m:rPr>
                <m:nor/>
              </m:rPr>
              <w:rPr>
                <w:rFonts w:ascii="Cambria Math"/>
                <w:iCs/>
                <w:noProof/>
              </w:rPr>
              <m:t>,PRB,second,</m:t>
            </m:r>
            <m:r>
              <m:rPr>
                <m:nor/>
              </m:rPr>
              <w:rPr>
                <w:rFonts w:ascii="Cambria Math"/>
                <w:i/>
                <w:noProof/>
              </w:rPr>
              <m:t>k</m:t>
            </m:r>
            <m:ctrlPr>
              <w:rPr>
                <w:rFonts w:ascii="Cambria Math" w:hAnsi="Cambria Math"/>
                <w:iCs/>
                <w:noProof/>
              </w:rPr>
            </m:ctrlPr>
          </m:sub>
        </m:sSub>
        <m:r>
          <w:rPr>
            <w:rFonts w:ascii="Cambria Math" w:hAnsi="Cambria Math"/>
            <w:noProof/>
          </w:rPr>
          <m:t>(i)=</m:t>
        </m:r>
        <m:sSub>
          <m:sSubPr>
            <m:ctrlPr>
              <w:rPr>
                <w:rFonts w:ascii="Cambria Math" w:hAnsi="Cambria Math"/>
                <w:noProof/>
              </w:rPr>
            </m:ctrlPr>
          </m:sSubPr>
          <m:e>
            <m:r>
              <w:rPr>
                <w:rFonts w:ascii="Cambria Math" w:hAnsi="Cambria Math"/>
                <w:noProof/>
              </w:rPr>
              <m:t>P</m:t>
            </m:r>
          </m:e>
          <m:sub>
            <m:r>
              <m:rPr>
                <m:nor/>
              </m:rPr>
              <w:rPr>
                <w:noProof/>
              </w:rPr>
              <m:t>CMAX</m:t>
            </m:r>
          </m:sub>
        </m:sSub>
        <m:r>
          <w:rPr>
            <w:rFonts w:ascii="Cambria Math" w:hAnsi="Cambria Math"/>
            <w:noProof/>
          </w:rPr>
          <m:t>-10lo</m:t>
        </m:r>
        <m:sSub>
          <m:sSubPr>
            <m:ctrlPr>
              <w:rPr>
                <w:rFonts w:ascii="Cambria Math" w:hAnsi="Cambria Math"/>
                <w:i/>
                <w:noProof/>
              </w:rPr>
            </m:ctrlPr>
          </m:sSubPr>
          <m:e>
            <m:r>
              <w:rPr>
                <w:rFonts w:ascii="Cambria Math" w:hAnsi="Cambria Math"/>
                <w:noProof/>
              </w:rPr>
              <m:t>g</m:t>
            </m:r>
          </m:e>
          <m:sub>
            <m:r>
              <w:rPr>
                <w:rFonts w:ascii="Cambria Math" w:hAnsi="Cambria Math"/>
                <w:noProof/>
              </w:rPr>
              <m:t>10</m:t>
            </m:r>
          </m:sub>
        </m:sSub>
        <m:d>
          <m:dPr>
            <m:ctrlPr>
              <w:rPr>
                <w:rFonts w:ascii="Cambria Math" w:hAnsi="Cambria Math"/>
                <w:i/>
                <w:noProof/>
              </w:rPr>
            </m:ctrlPr>
          </m:dPr>
          <m:e>
            <m:sSubSup>
              <m:sSubSupPr>
                <m:ctrlPr>
                  <w:rPr>
                    <w:rFonts w:ascii="Cambria Math" w:hAnsi="Cambria Math"/>
                    <w:i/>
                  </w:rPr>
                </m:ctrlPr>
              </m:sSubSupPr>
              <m:e>
                <m:sSub>
                  <m:sSubPr>
                    <m:ctrlPr>
                      <w:rPr>
                        <w:rFonts w:ascii="Cambria Math" w:hAnsi="Cambria Math" w:cs="Arial"/>
                        <w:i/>
                        <w:noProof/>
                      </w:rPr>
                    </m:ctrlPr>
                  </m:sSubPr>
                  <m:e>
                    <m:r>
                      <w:rPr>
                        <w:rFonts w:ascii="Cambria Math" w:hAnsi="Cambria Math" w:cs="Arial"/>
                        <w:noProof/>
                      </w:rPr>
                      <m:t>N</m:t>
                    </m:r>
                  </m:e>
                  <m:sub>
                    <m:r>
                      <m:rPr>
                        <m:sty m:val="p"/>
                      </m:rPr>
                      <w:rPr>
                        <w:rFonts w:ascii="Cambria Math" w:hAnsi="Cambria Math" w:cs="Arial"/>
                        <w:noProof/>
                      </w:rPr>
                      <m:t>Tx,PSFCH</m:t>
                    </m:r>
                  </m:sub>
                </m:sSub>
                <m:r>
                  <w:rPr>
                    <w:rFonts w:ascii="Cambria Math" w:hAnsi="Cambria Math"/>
                  </w:rPr>
                  <m:t>⋅N</m:t>
                </m:r>
              </m:e>
              <m:sub>
                <m:r>
                  <m:rPr>
                    <m:sty m:val="p"/>
                  </m:rPr>
                  <w:rPr>
                    <w:rFonts w:ascii="Cambria Math" w:hAnsi="Cambria Math"/>
                  </w:rPr>
                  <m:t>PSFCH,one</m:t>
                </m:r>
              </m:sub>
              <m:sup>
                <m:r>
                  <m:rPr>
                    <m:sty m:val="p"/>
                  </m:rPr>
                  <w:rPr>
                    <w:rFonts w:ascii="Cambria Math" w:hAnsi="Cambria Math"/>
                  </w:rPr>
                  <m:t>interlace2</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PSFCH,one</m:t>
                </m:r>
              </m:sub>
              <m:sup>
                <m:r>
                  <m:rPr>
                    <m:sty m:val="p"/>
                  </m:rPr>
                  <w:rPr>
                    <w:rFonts w:ascii="Cambria Math" w:hAnsi="Cambria Math"/>
                  </w:rPr>
                  <m:t>interlace</m:t>
                </m:r>
                <m:r>
                  <w:rPr>
                    <w:rFonts w:ascii="Cambria Math" w:hAnsi="Cambria Math"/>
                  </w:rPr>
                  <m:t>1</m:t>
                </m:r>
              </m:sup>
            </m:sSubSup>
            <m:r>
              <w:rPr>
                <w:rFonts w:ascii="Cambria Math" w:hAnsi="Cambria Math"/>
              </w:rPr>
              <m:t>⋅</m:t>
            </m:r>
            <m:sSup>
              <m:sSupPr>
                <m:ctrlPr>
                  <w:rPr>
                    <w:rFonts w:ascii="Cambria Math" w:hAnsi="Cambria Math"/>
                    <w:i/>
                  </w:rPr>
                </m:ctrlPr>
              </m:sSupPr>
              <m:e>
                <m:r>
                  <w:rPr>
                    <w:rFonts w:ascii="Cambria Math" w:hAnsi="Cambria Math"/>
                  </w:rPr>
                  <m:t>10</m:t>
                </m:r>
              </m:e>
              <m:sup>
                <m:d>
                  <m:dPr>
                    <m:ctrlPr>
                      <w:rPr>
                        <w:rFonts w:ascii="Cambria Math" w:hAnsi="Cambria Math"/>
                        <w:i/>
                      </w:rPr>
                    </m:ctrlPr>
                  </m:dPr>
                  <m:e>
                    <m:sSub>
                      <m:sSubPr>
                        <m:ctrlPr>
                          <w:rPr>
                            <w:rFonts w:ascii="Cambria Math" w:hAnsi="Cambria Math"/>
                            <w:i/>
                          </w:rPr>
                        </m:ctrlPr>
                      </m:sSubPr>
                      <m:e>
                        <m:r>
                          <w:rPr>
                            <w:rFonts w:ascii="Cambria Math" w:hAnsi="Cambria Math"/>
                          </w:rPr>
                          <m:t>-P</m:t>
                        </m:r>
                      </m:e>
                      <m:sub>
                        <m:r>
                          <m:rPr>
                            <m:sty m:val="p"/>
                          </m:rPr>
                          <w:rPr>
                            <w:rFonts w:ascii="Cambria Math" w:hAnsi="Cambria Math"/>
                          </w:rPr>
                          <m:t>PSFCH,offset</m:t>
                        </m:r>
                      </m:sub>
                    </m:sSub>
                    <m:r>
                      <w:rPr>
                        <w:rFonts w:ascii="Cambria Math" w:hAnsi="Cambria Math"/>
                      </w:rPr>
                      <m:t>/10</m:t>
                    </m:r>
                  </m:e>
                </m:d>
              </m:sup>
            </m:sSup>
          </m:e>
        </m:d>
      </m:oMath>
      <w:r w:rsidRPr="005963ED">
        <w:t xml:space="preserve">, where </w:t>
      </w:r>
      <m:oMath>
        <m:sSub>
          <m:sSubPr>
            <m:ctrlPr>
              <w:rPr>
                <w:rFonts w:ascii="Cambria Math" w:hAnsi="Cambria Math"/>
                <w:i/>
              </w:rPr>
            </m:ctrlPr>
          </m:sSubPr>
          <m:e>
            <m:r>
              <w:rPr>
                <w:rFonts w:ascii="Cambria Math" w:hAnsi="Cambria Math"/>
              </w:rPr>
              <m:t>P</m:t>
            </m:r>
          </m:e>
          <m:sub>
            <m:r>
              <m:rPr>
                <m:sty m:val="p"/>
              </m:rPr>
              <w:rPr>
                <w:rFonts w:ascii="Cambria Math" w:hAnsi="Cambria Math"/>
              </w:rPr>
              <m:t>PSFCH,offset</m:t>
            </m:r>
          </m:sub>
        </m:sSub>
      </m:oMath>
      <w:r w:rsidRPr="005963ED">
        <w:t xml:space="preserve"> is provided by </w:t>
      </w:r>
      <w:r w:rsidR="00342D2D" w:rsidRPr="0070461C">
        <w:rPr>
          <w:i/>
        </w:rPr>
        <w:t>sl-PSFCH-PowerOffset</w:t>
      </w:r>
      <w:r w:rsidR="00881786">
        <w:rPr>
          <w:i/>
          <w:lang w:val="en-GB"/>
        </w:rPr>
        <w:t xml:space="preserve"> </w:t>
      </w:r>
    </w:p>
    <w:p w14:paraId="0B6BB62A" w14:textId="2E6339C3" w:rsidR="00BB0A93" w:rsidRDefault="00342D2D" w:rsidP="0014760F">
      <w:pPr>
        <w:pStyle w:val="B1"/>
        <w:rPr>
          <w:rFonts w:eastAsia="Malgun Gothic"/>
          <w:lang w:val="en-GB"/>
        </w:rPr>
      </w:pPr>
      <w:r w:rsidRPr="00342D2D">
        <w:t>-</w:t>
      </w:r>
      <w:r w:rsidRPr="00342D2D">
        <w:tab/>
        <w:t xml:space="preserve">for operation with shared spectrum channel access and </w:t>
      </w:r>
      <w:r w:rsidRPr="00342D2D">
        <w:rPr>
          <w:i/>
        </w:rPr>
        <w:t xml:space="preserve">sl-TransmissionStructureForPSFCH = </w:t>
      </w:r>
      <w:r w:rsidRPr="00342D2D">
        <w:t xml:space="preserve">‘commonInterlace’, </w:t>
      </w:r>
      <m:oMath>
        <m:sSub>
          <m:sSubPr>
            <m:ctrlPr>
              <w:rPr>
                <w:rFonts w:ascii="Cambria Math" w:hAnsi="Cambria Math"/>
                <w:i/>
                <w:iCs/>
              </w:rPr>
            </m:ctrlPr>
          </m:sSubPr>
          <m:e>
            <m:r>
              <w:rPr>
                <w:rFonts w:ascii="Cambria Math" w:hAnsi="Cambria Math"/>
              </w:rPr>
              <m:t>P</m:t>
            </m:r>
          </m:e>
          <m:sub>
            <m:r>
              <m:rPr>
                <m:nor/>
              </m:rPr>
              <w:rPr>
                <w:iCs/>
              </w:rPr>
              <m:t>PSFCH</m:t>
            </m:r>
            <m:r>
              <m:rPr>
                <m:nor/>
              </m:rPr>
              <w:rPr>
                <w:rFonts w:ascii="Cambria Math"/>
                <w:iCs/>
              </w:rPr>
              <m:t>,k</m:t>
            </m:r>
            <m:ctrlPr>
              <w:rPr>
                <w:rFonts w:ascii="Cambria Math" w:hAnsi="Cambria Math"/>
                <w:iCs/>
              </w:rPr>
            </m:ctrlPr>
          </m:sub>
        </m:sSub>
        <m:r>
          <w:rPr>
            <w:rFonts w:ascii="Cambria Math" w:hAnsi="Cambria Math"/>
          </w:rPr>
          <m:t>(i)</m:t>
        </m:r>
      </m:oMath>
      <w:r w:rsidRPr="00342D2D">
        <w:t xml:space="preserve"> includes the power on PRBs in both the first and second interlaces and, for more than one PSFCH transmissions from the UE, the power on any PRB in the first interlace is not accumulated among the more than one PSFCH transmissions within a same RB set and is same as the power </w:t>
      </w:r>
      <m:oMath>
        <m:sSub>
          <m:sSubPr>
            <m:ctrlPr>
              <w:rPr>
                <w:rFonts w:ascii="Cambria Math" w:hAnsi="Cambria Math"/>
                <w:i/>
                <w:iCs/>
                <w:noProof/>
              </w:rPr>
            </m:ctrlPr>
          </m:sSubPr>
          <m:e>
            <m:r>
              <w:rPr>
                <w:rFonts w:ascii="Cambria Math" w:hAnsi="Cambria Math"/>
                <w:noProof/>
              </w:rPr>
              <m:t>P</m:t>
            </m:r>
          </m:e>
          <m:sub>
            <m:r>
              <m:rPr>
                <m:nor/>
              </m:rPr>
              <w:rPr>
                <w:iCs/>
                <w:noProof/>
              </w:rPr>
              <m:t>PSFCH</m:t>
            </m:r>
            <m:r>
              <m:rPr>
                <m:nor/>
              </m:rPr>
              <w:rPr>
                <w:rFonts w:ascii="Cambria Math"/>
                <w:iCs/>
                <w:noProof/>
              </w:rPr>
              <m:t>,PRB,first,</m:t>
            </m:r>
            <m:r>
              <m:rPr>
                <m:nor/>
              </m:rPr>
              <w:rPr>
                <w:rFonts w:ascii="Cambria Math"/>
                <w:i/>
                <w:noProof/>
              </w:rPr>
              <m:t>k</m:t>
            </m:r>
            <m:ctrlPr>
              <w:rPr>
                <w:rFonts w:ascii="Cambria Math" w:hAnsi="Cambria Math"/>
                <w:iCs/>
                <w:noProof/>
              </w:rPr>
            </m:ctrlPr>
          </m:sub>
        </m:sSub>
        <m:r>
          <w:rPr>
            <w:rFonts w:ascii="Cambria Math" w:hAnsi="Cambria Math"/>
            <w:noProof/>
          </w:rPr>
          <m:t>(i)</m:t>
        </m:r>
      </m:oMath>
      <w:r w:rsidRPr="00342D2D">
        <w:t xml:space="preserve"> on the PRB in the first interlace for PSFCH transmission </w:t>
      </w:r>
      <m:oMath>
        <m:r>
          <w:rPr>
            <w:rFonts w:ascii="Cambria Math" w:hAnsi="Cambria Math"/>
          </w:rPr>
          <m:t>k</m:t>
        </m:r>
      </m:oMath>
      <w:r w:rsidRPr="00342D2D">
        <w:t xml:space="preserve">. </w:t>
      </w:r>
      <w:r w:rsidR="00B931CF">
        <w:rPr>
          <w:rFonts w:eastAsia="Malgun Gothic"/>
        </w:rPr>
        <w:tab/>
      </w:r>
      <w:r w:rsidR="00BB0A93" w:rsidRPr="00357791">
        <w:rPr>
          <w:rFonts w:eastAsia="Malgun Gothic"/>
        </w:rPr>
        <w:t xml:space="preserve">where </w:t>
      </w:r>
      <w:r w:rsidR="00BB0A93">
        <w:rPr>
          <w:rFonts w:eastAsia="Malgun Gothic"/>
        </w:rPr>
        <w:t xml:space="preserve">the </w:t>
      </w:r>
      <w:r w:rsidR="00BB0A93" w:rsidRPr="00357791">
        <w:rPr>
          <w:rFonts w:eastAsia="Malgun Gothic"/>
          <w:iCs/>
        </w:rPr>
        <w:t>UE autonomously determines</w:t>
      </w:r>
      <w:r w:rsidR="00BB0A93" w:rsidRPr="00357791">
        <w:rPr>
          <w:rFonts w:eastAsia="Malgun Gothic"/>
        </w:rPr>
        <w:t xml:space="preserve"> </w:t>
      </w:r>
      <m:oMath>
        <m:sSub>
          <m:sSubPr>
            <m:ctrlPr>
              <w:rPr>
                <w:rFonts w:ascii="Cambria Math" w:eastAsia="Malgun Gothic" w:hAnsi="Cambria Math"/>
                <w:i/>
                <w:noProof/>
                <w:szCs w:val="22"/>
              </w:rPr>
            </m:ctrlPr>
          </m:sSubPr>
          <m:e>
            <m:r>
              <w:rPr>
                <w:rFonts w:ascii="Cambria Math" w:eastAsia="Malgun Gothic" w:hAnsi="Cambria Math"/>
                <w:noProof/>
                <w:szCs w:val="22"/>
              </w:rPr>
              <m:t>N</m:t>
            </m:r>
          </m:e>
          <m:sub>
            <m:r>
              <m:rPr>
                <m:sty m:val="p"/>
              </m:rPr>
              <w:rPr>
                <w:rFonts w:ascii="Cambria Math" w:eastAsia="Malgun Gothic" w:hAnsi="Cambria Math"/>
                <w:noProof/>
                <w:szCs w:val="22"/>
              </w:rPr>
              <m:t>Tx,PSFCH</m:t>
            </m:r>
          </m:sub>
        </m:sSub>
      </m:oMath>
      <w:r w:rsidR="00BB0A93" w:rsidRPr="00357791">
        <w:rPr>
          <w:rFonts w:eastAsia="Malgun Gothic"/>
          <w:iCs/>
        </w:rPr>
        <w:t xml:space="preserve"> PSFCH transmissions with ascending order </w:t>
      </w:r>
      <w:r w:rsidR="001E61E1" w:rsidRPr="009E3BD0">
        <w:rPr>
          <w:rFonts w:eastAsia="Malgun Gothic"/>
        </w:rPr>
        <w:t xml:space="preserve">of corresponding priority field values </w:t>
      </w:r>
      <w:r w:rsidR="00BB0A93" w:rsidRPr="00357791">
        <w:rPr>
          <w:rFonts w:eastAsia="Malgun Gothic"/>
          <w:iCs/>
        </w:rPr>
        <w:t xml:space="preserve">as described </w:t>
      </w:r>
      <w:r w:rsidR="006F5F9E">
        <w:rPr>
          <w:rFonts w:eastAsia="Malgun Gothic"/>
          <w:iCs/>
        </w:rPr>
        <w:t>in clause</w:t>
      </w:r>
      <w:r w:rsidR="00BB0A93" w:rsidRPr="00357791">
        <w:rPr>
          <w:rFonts w:eastAsia="Malgun Gothic"/>
          <w:iCs/>
        </w:rPr>
        <w:t xml:space="preserve"> 16.2.4.2</w:t>
      </w:r>
      <w:r w:rsidR="00045723" w:rsidRPr="00045723">
        <w:rPr>
          <w:rFonts w:eastAsia="Malgun Gothic"/>
        </w:rPr>
        <w:t xml:space="preserve"> </w:t>
      </w:r>
      <w:r w:rsidR="00045723" w:rsidRPr="007053C7">
        <w:rPr>
          <w:rFonts w:eastAsia="Malgun Gothic"/>
        </w:rPr>
        <w:t>over the PSFCH transmissions with HARQ-ACK information, if any, and then with ascending order of priority value over the PSFCH transmissions with conflict information, if any,</w:t>
      </w:r>
      <w:r w:rsidR="00BB0A93" w:rsidRPr="00357791">
        <w:rPr>
          <w:rFonts w:eastAsia="Malgun Gothic"/>
          <w:iCs/>
        </w:rPr>
        <w:t xml:space="preserve"> such that </w:t>
      </w:r>
      <m:oMath>
        <m:sSub>
          <m:sSubPr>
            <m:ctrlPr>
              <w:rPr>
                <w:rFonts w:ascii="Cambria Math" w:eastAsia="Malgun Gothic" w:hAnsi="Cambria Math"/>
                <w:i/>
                <w:noProof/>
                <w:szCs w:val="22"/>
              </w:rPr>
            </m:ctrlPr>
          </m:sSubPr>
          <m:e>
            <m:r>
              <w:rPr>
                <w:rFonts w:ascii="Cambria Math" w:eastAsia="Malgun Gothic" w:hAnsi="Cambria Math"/>
                <w:noProof/>
                <w:szCs w:val="22"/>
              </w:rPr>
              <m:t>N</m:t>
            </m:r>
          </m:e>
          <m:sub>
            <m:r>
              <m:rPr>
                <m:sty m:val="p"/>
              </m:rPr>
              <w:rPr>
                <w:rFonts w:ascii="Cambria Math" w:eastAsia="Malgun Gothic" w:hAnsi="Cambria Math"/>
                <w:noProof/>
                <w:szCs w:val="22"/>
              </w:rPr>
              <m:t>Tx,PSFCH</m:t>
            </m:r>
          </m:sub>
        </m:sSub>
        <m:r>
          <w:rPr>
            <w:rFonts w:ascii="Cambria Math" w:eastAsia="Malgun Gothic" w:hAnsi="Cambria Math"/>
          </w:rPr>
          <m:t>≥1</m:t>
        </m:r>
      </m:oMath>
      <w:r w:rsidR="00BB0A93">
        <w:rPr>
          <w:rFonts w:eastAsia="Malgun Gothic"/>
          <w:lang w:val="en-US"/>
        </w:rPr>
        <w:t xml:space="preserve"> and </w:t>
      </w:r>
      <w:r w:rsidR="00BB0A93" w:rsidRPr="00CD4F4D">
        <w:rPr>
          <w:rFonts w:eastAsiaTheme="minorEastAsia"/>
          <w:lang w:val="en-US"/>
        </w:rPr>
        <w:t>where</w:t>
      </w:r>
      <w:r w:rsidR="00BB0A93" w:rsidRPr="00CD4F4D">
        <w:rPr>
          <w:rFonts w:eastAsiaTheme="minorEastAsia" w:hint="eastAsia"/>
        </w:rPr>
        <w:t xml:space="preserve"> </w:t>
      </w:r>
      <m:oMath>
        <m:sSub>
          <m:sSubPr>
            <m:ctrlPr>
              <w:rPr>
                <w:rFonts w:ascii="Cambria Math" w:eastAsia="Malgun Gothic" w:hAnsi="Cambria Math"/>
                <w:i/>
              </w:rPr>
            </m:ctrlPr>
          </m:sSubPr>
          <m:e>
            <m:r>
              <w:rPr>
                <w:rFonts w:ascii="Cambria Math" w:eastAsia="Malgun Gothic"/>
              </w:rPr>
              <m:t>P</m:t>
            </m:r>
          </m:e>
          <m:sub>
            <m:r>
              <m:rPr>
                <m:nor/>
              </m:rPr>
              <w:rPr>
                <w:rFonts w:ascii="Cambria Math" w:eastAsia="Malgun Gothic"/>
              </w:rPr>
              <m:t>CMAX</m:t>
            </m:r>
            <m:ctrlPr>
              <w:rPr>
                <w:rFonts w:ascii="Cambria Math" w:eastAsia="Malgun Gothic" w:hAnsi="Cambria Math"/>
              </w:rPr>
            </m:ctrlPr>
          </m:sub>
        </m:sSub>
      </m:oMath>
      <w:r w:rsidR="00BB0A93" w:rsidRPr="00CD4F4D">
        <w:rPr>
          <w:rFonts w:eastAsiaTheme="minorEastAsia" w:hint="eastAsia"/>
        </w:rPr>
        <w:t xml:space="preserve"> </w:t>
      </w:r>
      <w:r w:rsidR="00BB0A93" w:rsidRPr="00CD4F4D">
        <w:rPr>
          <w:rFonts w:eastAsiaTheme="minorEastAsia"/>
          <w:lang w:val="en-US"/>
        </w:rPr>
        <w:t xml:space="preserve">is </w:t>
      </w:r>
      <w:r w:rsidR="00BB0A93" w:rsidRPr="00CD4F4D">
        <w:rPr>
          <w:rFonts w:eastAsia="Malgun Gothic"/>
        </w:rPr>
        <w:t>determined for</w:t>
      </w:r>
      <w:r w:rsidR="00BB0A93" w:rsidRPr="00CD4F4D">
        <w:rPr>
          <w:rFonts w:eastAsia="Malgun Gothic"/>
          <w:lang w:val="en-US"/>
        </w:rPr>
        <w:t xml:space="preserve"> the</w:t>
      </w:r>
      <w:r w:rsidR="00BB0A93" w:rsidRPr="00CD4F4D">
        <w:rPr>
          <w:rFonts w:eastAsia="Malgun Gothic"/>
        </w:rPr>
        <w:t xml:space="preserve"> </w:t>
      </w:r>
      <m:oMath>
        <m:sSub>
          <m:sSubPr>
            <m:ctrlPr>
              <w:rPr>
                <w:rFonts w:ascii="Cambria Math" w:eastAsia="Malgun Gothic" w:hAnsi="Cambria Math"/>
                <w:i/>
                <w:noProof/>
                <w:szCs w:val="22"/>
              </w:rPr>
            </m:ctrlPr>
          </m:sSubPr>
          <m:e>
            <m:r>
              <w:rPr>
                <w:rFonts w:ascii="Cambria Math" w:eastAsia="Malgun Gothic" w:hAnsi="Cambria Math"/>
                <w:noProof/>
                <w:szCs w:val="22"/>
              </w:rPr>
              <m:t>N</m:t>
            </m:r>
          </m:e>
          <m:sub>
            <m:r>
              <m:rPr>
                <m:sty m:val="p"/>
              </m:rPr>
              <w:rPr>
                <w:rFonts w:ascii="Cambria Math" w:eastAsia="Malgun Gothic" w:hAnsi="Cambria Math"/>
                <w:noProof/>
                <w:szCs w:val="22"/>
              </w:rPr>
              <m:t>Tx,PSFCH</m:t>
            </m:r>
          </m:sub>
        </m:sSub>
      </m:oMath>
      <w:r w:rsidR="00BB0A93" w:rsidRPr="00CD4F4D">
        <w:rPr>
          <w:rFonts w:eastAsia="Malgun Gothic" w:hint="eastAsia"/>
        </w:rPr>
        <w:t xml:space="preserve"> </w:t>
      </w:r>
      <w:r w:rsidR="00BB0A93" w:rsidRPr="00CD4F4D">
        <w:rPr>
          <w:rFonts w:eastAsiaTheme="minorEastAsia"/>
        </w:rPr>
        <w:t xml:space="preserve">PSFCH transmissions according to </w:t>
      </w:r>
      <w:r w:rsidR="00BB0A93" w:rsidRPr="00CD4F4D">
        <w:rPr>
          <w:rFonts w:eastAsia="Malgun Gothic"/>
        </w:rPr>
        <w:t>[8-1, TS 38.101-1]</w:t>
      </w:r>
      <w:r w:rsidR="001E61E1">
        <w:rPr>
          <w:rFonts w:eastAsia="Malgun Gothic"/>
          <w:lang w:val="en-GB"/>
        </w:rPr>
        <w:t>.</w:t>
      </w:r>
    </w:p>
    <w:p w14:paraId="0EDB327C" w14:textId="2315CCA4" w:rsidR="00664302" w:rsidRDefault="00664302" w:rsidP="00664302">
      <w:pPr>
        <w:rPr>
          <w:szCs w:val="22"/>
          <w:lang w:eastAsia="ko-KR"/>
        </w:rPr>
      </w:pPr>
      <w:r w:rsidRPr="00277F7B">
        <w:rPr>
          <w:szCs w:val="22"/>
          <w:lang w:eastAsia="ko-KR"/>
        </w:rPr>
        <w:t>For resource pools configured with PSFCH resources overlapping in time, the UE either expect</w:t>
      </w:r>
      <w:r>
        <w:rPr>
          <w:szCs w:val="22"/>
          <w:lang w:eastAsia="ko-KR"/>
        </w:rPr>
        <w:t>s</w:t>
      </w:r>
      <w:r w:rsidRPr="00277F7B">
        <w:rPr>
          <w:szCs w:val="22"/>
          <w:lang w:eastAsia="ko-KR"/>
        </w:rPr>
        <w:t xml:space="preserve"> </w:t>
      </w:r>
      <w:r>
        <w:rPr>
          <w:szCs w:val="22"/>
          <w:lang w:eastAsia="ko-KR"/>
        </w:rPr>
        <w:t xml:space="preserve">not </w:t>
      </w:r>
      <w:r w:rsidRPr="00277F7B">
        <w:rPr>
          <w:szCs w:val="22"/>
          <w:lang w:eastAsia="ko-KR"/>
        </w:rPr>
        <w:t xml:space="preserve">to be provided with </w:t>
      </w:r>
      <w:r w:rsidRPr="00277F7B">
        <w:rPr>
          <w:i/>
          <w:szCs w:val="22"/>
          <w:lang w:eastAsia="ko-KR"/>
        </w:rPr>
        <w:t>dl-P0-PSFCH</w:t>
      </w:r>
      <w:r w:rsidRPr="00277F7B">
        <w:rPr>
          <w:szCs w:val="22"/>
          <w:lang w:eastAsia="ko-KR"/>
        </w:rPr>
        <w:t xml:space="preserve"> or </w:t>
      </w:r>
      <w:r>
        <w:rPr>
          <w:i/>
          <w:szCs w:val="22"/>
          <w:lang w:eastAsia="ko-KR"/>
        </w:rPr>
        <w:t>d</w:t>
      </w:r>
      <w:r w:rsidRPr="00277F7B">
        <w:rPr>
          <w:i/>
          <w:szCs w:val="22"/>
          <w:lang w:eastAsia="ko-KR"/>
        </w:rPr>
        <w:t>l-Alpha-PSFCH</w:t>
      </w:r>
      <w:r w:rsidRPr="00277F7B">
        <w:rPr>
          <w:szCs w:val="22"/>
          <w:lang w:eastAsia="ko-KR"/>
        </w:rPr>
        <w:t xml:space="preserve"> in any of the resource pools, or expects to be provided with the same values of </w:t>
      </w:r>
      <w:r w:rsidRPr="00277F7B">
        <w:rPr>
          <w:i/>
          <w:szCs w:val="22"/>
          <w:lang w:eastAsia="ko-KR"/>
        </w:rPr>
        <w:t xml:space="preserve">dl-P0-PSFCH </w:t>
      </w:r>
      <w:r w:rsidRPr="00277F7B">
        <w:rPr>
          <w:szCs w:val="22"/>
          <w:lang w:eastAsia="ko-KR"/>
        </w:rPr>
        <w:t xml:space="preserve">and the same values of </w:t>
      </w:r>
      <w:r>
        <w:rPr>
          <w:i/>
          <w:szCs w:val="22"/>
          <w:lang w:eastAsia="ko-KR"/>
        </w:rPr>
        <w:t>d</w:t>
      </w:r>
      <w:r w:rsidRPr="00277F7B">
        <w:rPr>
          <w:i/>
          <w:szCs w:val="22"/>
          <w:lang w:eastAsia="ko-KR"/>
        </w:rPr>
        <w:t>l-Alpha-PSFCH</w:t>
      </w:r>
      <w:r w:rsidRPr="00277F7B">
        <w:rPr>
          <w:szCs w:val="22"/>
          <w:lang w:eastAsia="ko-KR"/>
        </w:rPr>
        <w:t xml:space="preserve"> for all the resource pools.</w:t>
      </w:r>
    </w:p>
    <w:p w14:paraId="32CAF688" w14:textId="77777777" w:rsidR="00764F3A" w:rsidRPr="00764F3A" w:rsidRDefault="00764F3A" w:rsidP="00764F3A">
      <w:pPr>
        <w:pStyle w:val="Heading3"/>
      </w:pPr>
      <w:bookmarkStart w:id="872" w:name="_Toc161999171"/>
      <w:r w:rsidRPr="00764F3A">
        <w:t>16.2.3A</w:t>
      </w:r>
      <w:r w:rsidRPr="00764F3A">
        <w:tab/>
        <w:t>SL PRS</w:t>
      </w:r>
      <w:bookmarkEnd w:id="872"/>
    </w:p>
    <w:p w14:paraId="2F607BBA" w14:textId="77777777" w:rsidR="00764F3A" w:rsidRPr="00764F3A" w:rsidRDefault="00764F3A" w:rsidP="00764F3A">
      <w:r w:rsidRPr="00764F3A">
        <w:t xml:space="preserve">A UE determines a power </w:t>
      </w:r>
      <m:oMath>
        <m:sSub>
          <m:sSubPr>
            <m:ctrlPr>
              <w:rPr>
                <w:rFonts w:ascii="Cambria Math" w:hAnsi="Cambria Math"/>
                <w:i/>
              </w:rPr>
            </m:ctrlPr>
          </m:sSubPr>
          <m:e>
            <m:r>
              <w:rPr>
                <w:rFonts w:ascii="Cambria Math" w:hAnsi="Cambria Math"/>
              </w:rPr>
              <m:t>P</m:t>
            </m:r>
          </m:e>
          <m:sub>
            <m:r>
              <m:rPr>
                <m:sty m:val="p"/>
              </m:rPr>
              <w:rPr>
                <w:rFonts w:ascii="Cambria Math" w:hAnsi="Cambria Math"/>
              </w:rPr>
              <m:t>SL-PRS</m:t>
            </m:r>
          </m:sub>
        </m:sSub>
        <m:d>
          <m:dPr>
            <m:ctrlPr>
              <w:rPr>
                <w:rFonts w:ascii="Cambria Math" w:hAnsi="Cambria Math"/>
                <w:i/>
              </w:rPr>
            </m:ctrlPr>
          </m:dPr>
          <m:e>
            <m:r>
              <w:rPr>
                <w:rFonts w:ascii="Cambria Math" w:hAnsi="Cambria Math"/>
              </w:rPr>
              <m:t>i</m:t>
            </m:r>
          </m:e>
        </m:d>
      </m:oMath>
      <w:r w:rsidRPr="00764F3A">
        <w:rPr>
          <w:iCs/>
        </w:rPr>
        <w:t xml:space="preserve"> </w:t>
      </w:r>
      <w:r w:rsidRPr="00764F3A">
        <w:t>for a SL PRS transmission on a resource pool</w:t>
      </w:r>
      <w:r w:rsidRPr="00764F3A">
        <w:rPr>
          <w:rFonts w:eastAsia="Malgun Gothic"/>
        </w:rPr>
        <w:t xml:space="preserve"> </w:t>
      </w:r>
      <w:r w:rsidRPr="00764F3A">
        <w:t xml:space="preserve">in SL PRS transmission occasion </w:t>
      </w:r>
      <m:oMath>
        <m:r>
          <w:rPr>
            <w:rFonts w:ascii="Cambria Math" w:hAnsi="Cambria Math"/>
          </w:rPr>
          <m:t>i</m:t>
        </m:r>
      </m:oMath>
      <w:r w:rsidRPr="00764F3A">
        <w:rPr>
          <w:iCs/>
        </w:rPr>
        <w:t xml:space="preserve"> </w:t>
      </w:r>
      <w:r w:rsidRPr="00764F3A">
        <w:rPr>
          <w:szCs w:val="18"/>
        </w:rPr>
        <w:t xml:space="preserve">on active SL BWP </w:t>
      </w:r>
      <m:oMath>
        <m:r>
          <w:rPr>
            <w:rFonts w:ascii="Cambria Math" w:hAnsi="Cambria Math"/>
            <w:szCs w:val="18"/>
          </w:rPr>
          <m:t>b</m:t>
        </m:r>
      </m:oMath>
      <w:r w:rsidRPr="00764F3A">
        <w:rPr>
          <w:szCs w:val="18"/>
        </w:rPr>
        <w:t xml:space="preserve"> of carrier </w:t>
      </w:r>
      <m:oMath>
        <m:r>
          <w:rPr>
            <w:rFonts w:ascii="Cambria Math" w:hAnsi="Cambria Math"/>
            <w:szCs w:val="18"/>
          </w:rPr>
          <m:t>f</m:t>
        </m:r>
      </m:oMath>
      <w:r w:rsidRPr="00764F3A">
        <w:rPr>
          <w:i/>
          <w:szCs w:val="18"/>
        </w:rPr>
        <w:t xml:space="preserve"> </w:t>
      </w:r>
      <w:r w:rsidRPr="00764F3A">
        <w:t>as:</w:t>
      </w:r>
    </w:p>
    <w:p w14:paraId="23774A84" w14:textId="77777777" w:rsidR="00764F3A" w:rsidRPr="00764F3A" w:rsidRDefault="00000000" w:rsidP="00764F3A">
      <w:pPr>
        <w:pStyle w:val="EQ"/>
      </w:pPr>
      <m:oMathPara>
        <m:oMath>
          <m:sSub>
            <m:sSubPr>
              <m:ctrlPr>
                <w:rPr>
                  <w:rFonts w:ascii="Cambria Math" w:hAnsi="Cambria Math"/>
                </w:rPr>
              </m:ctrlPr>
            </m:sSubPr>
            <m:e>
              <m:r>
                <w:rPr>
                  <w:rFonts w:ascii="Cambria Math" w:hAnsi="Cambria Math"/>
                </w:rPr>
                <m:t>P</m:t>
              </m:r>
            </m:e>
            <m:sub>
              <m:r>
                <m:rPr>
                  <m:sty m:val="p"/>
                </m:rPr>
                <w:rPr>
                  <w:rFonts w:ascii="Cambria Math" w:hAnsi="Cambria Math"/>
                </w:rPr>
                <m:t>SL-PRS</m:t>
              </m:r>
            </m:sub>
          </m:sSub>
          <m:d>
            <m:dPr>
              <m:ctrlPr>
                <w:rPr>
                  <w:rFonts w:ascii="Cambria Math" w:hAnsi="Cambria Math"/>
                </w:rPr>
              </m:ctrlPr>
            </m:dPr>
            <m:e>
              <m:r>
                <w:rPr>
                  <w:rFonts w:ascii="Cambria Math" w:hAnsi="Cambria Math"/>
                </w:rPr>
                <m:t>i</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CMAX</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MAX,CBR</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SL-PRS,D</m:t>
                              </m:r>
                            </m:sub>
                          </m:sSub>
                          <m:d>
                            <m:dPr>
                              <m:ctrlPr>
                                <w:rPr>
                                  <w:rFonts w:ascii="Cambria Math" w:hAnsi="Cambria Math"/>
                                </w:rPr>
                              </m:ctrlPr>
                            </m:dPr>
                            <m:e>
                              <m:r>
                                <w:rPr>
                                  <w:rFonts w:ascii="Cambria Math" w:hAnsi="Cambria Math"/>
                                </w:rPr>
                                <m:t>i</m:t>
                              </m:r>
                            </m:e>
                          </m:d>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m:rPr>
                                  <m:sty m:val="p"/>
                                </m:rPr>
                                <w:rPr>
                                  <w:rFonts w:ascii="Cambria Math" w:hAnsi="Cambria Math"/>
                                </w:rPr>
                                <m:t>SL-PRS,SL</m:t>
                              </m:r>
                            </m:sub>
                          </m:sSub>
                          <m:d>
                            <m:dPr>
                              <m:ctrlPr>
                                <w:rPr>
                                  <w:rFonts w:ascii="Cambria Math" w:hAnsi="Cambria Math"/>
                                </w:rPr>
                              </m:ctrlPr>
                            </m:dPr>
                            <m:e>
                              <m:r>
                                <w:rPr>
                                  <w:rFonts w:ascii="Cambria Math" w:hAnsi="Cambria Math"/>
                                </w:rPr>
                                <m:t>i</m:t>
                              </m:r>
                            </m:e>
                          </m:d>
                        </m:e>
                      </m:d>
                    </m:e>
                  </m:func>
                </m:e>
              </m:d>
            </m:e>
          </m:func>
        </m:oMath>
      </m:oMathPara>
    </w:p>
    <w:p w14:paraId="3272696B" w14:textId="77777777" w:rsidR="00764F3A" w:rsidRDefault="00764F3A" w:rsidP="00764F3A">
      <w:pPr>
        <w:snapToGrid w:val="0"/>
        <w:jc w:val="both"/>
      </w:pPr>
      <w:r w:rsidRPr="00764F3A">
        <w:t>where,</w:t>
      </w:r>
    </w:p>
    <w:p w14:paraId="6A4301F0" w14:textId="369AF43D" w:rsidR="00764F3A" w:rsidRDefault="00764F3A" w:rsidP="00764F3A">
      <w:pPr>
        <w:pStyle w:val="B1"/>
        <w:rPr>
          <w:rFonts w:eastAsia="Calibri"/>
        </w:rPr>
      </w:pPr>
      <w:r>
        <w:t>-</w:t>
      </w:r>
      <w:r>
        <w:tab/>
      </w:r>
      <m:oMath>
        <m:sSub>
          <m:sSubPr>
            <m:ctrlPr>
              <w:rPr>
                <w:rFonts w:ascii="Cambria Math" w:eastAsia="Calibri" w:hAnsi="Cambria Math"/>
                <w:i/>
              </w:rPr>
            </m:ctrlPr>
          </m:sSubPr>
          <m:e>
            <m:r>
              <w:rPr>
                <w:rFonts w:ascii="Cambria Math" w:eastAsia="Calibri" w:hAnsi="Cambria Math"/>
              </w:rPr>
              <m:t>P</m:t>
            </m:r>
          </m:e>
          <m:sub>
            <m:r>
              <m:rPr>
                <m:sty m:val="p"/>
              </m:rPr>
              <w:rPr>
                <w:rFonts w:ascii="Cambria Math" w:eastAsia="Calibri" w:hAnsi="Cambria Math"/>
              </w:rPr>
              <m:t>CMAX</m:t>
            </m:r>
          </m:sub>
        </m:sSub>
      </m:oMath>
      <w:r w:rsidRPr="00764F3A">
        <w:rPr>
          <w:rFonts w:eastAsia="Calibri"/>
        </w:rPr>
        <w:t xml:space="preserve"> is </w:t>
      </w:r>
      <w:r w:rsidRPr="00764F3A">
        <w:rPr>
          <w:rFonts w:eastAsia="Calibri"/>
          <w:lang w:val="en-US"/>
        </w:rPr>
        <w:t>defined in</w:t>
      </w:r>
      <w:r w:rsidRPr="00764F3A">
        <w:rPr>
          <w:rFonts w:eastAsia="Calibri"/>
        </w:rPr>
        <w:t xml:space="preserve"> [8-1, TS 38.101-1]</w:t>
      </w:r>
    </w:p>
    <w:p w14:paraId="1503F1AF" w14:textId="77777777" w:rsidR="006E2918" w:rsidRPr="006E2918" w:rsidRDefault="006E2918" w:rsidP="006E2918">
      <w:pPr>
        <w:pStyle w:val="B1"/>
      </w:pPr>
      <w:r w:rsidRPr="006E2918">
        <w:t>-</w:t>
      </w:r>
      <w:r w:rsidRPr="006E2918">
        <w:tab/>
      </w:r>
      <m:oMath>
        <m:sSub>
          <m:sSubPr>
            <m:ctrlPr>
              <w:rPr>
                <w:rFonts w:ascii="Cambria Math" w:hAnsi="Cambria Math"/>
                <w:i/>
              </w:rPr>
            </m:ctrlPr>
          </m:sSubPr>
          <m:e>
            <m:r>
              <w:rPr>
                <w:rFonts w:ascii="Cambria Math" w:hAnsi="Cambria Math"/>
              </w:rPr>
              <m:t>P</m:t>
            </m:r>
          </m:e>
          <m:sub>
            <m:r>
              <m:rPr>
                <m:sty m:val="p"/>
              </m:rPr>
              <w:rPr>
                <w:rFonts w:ascii="Cambria Math" w:hAnsi="Cambria Math"/>
              </w:rPr>
              <m:t>MAX,CBR</m:t>
            </m:r>
          </m:sub>
        </m:sSub>
      </m:oMath>
      <w:r w:rsidRPr="006E2918">
        <w:t xml:space="preserve"> is determined </w:t>
      </w:r>
      <w:r w:rsidRPr="006E2918">
        <w:rPr>
          <w:rFonts w:eastAsia="Malgun Gothic"/>
        </w:rPr>
        <w:t>by</w:t>
      </w:r>
      <w:r w:rsidRPr="006E2918">
        <w:rPr>
          <w:rFonts w:eastAsia="Malgun Gothic"/>
          <w:lang w:val="en-US"/>
        </w:rPr>
        <w:t xml:space="preserve"> </w:t>
      </w:r>
    </w:p>
    <w:p w14:paraId="535B740E" w14:textId="77777777" w:rsidR="006E2918" w:rsidRPr="006E2918" w:rsidRDefault="006E2918" w:rsidP="006E2918">
      <w:pPr>
        <w:pStyle w:val="B2"/>
      </w:pPr>
      <w:r w:rsidRPr="006E2918">
        <w:rPr>
          <w:lang w:eastAsia="ja-JP"/>
        </w:rPr>
        <w:t>-</w:t>
      </w:r>
      <w:r w:rsidRPr="006E2918">
        <w:rPr>
          <w:lang w:eastAsia="ja-JP"/>
        </w:rPr>
        <w:tab/>
        <w:t xml:space="preserve">if the resource pool is a shared SL PRS resource pool, </w:t>
      </w:r>
      <w:r w:rsidRPr="006E2918">
        <w:rPr>
          <w:rFonts w:eastAsia="Malgun Gothic"/>
          <w:lang w:val="en-US"/>
        </w:rPr>
        <w:t>a value of</w:t>
      </w:r>
      <w:r w:rsidRPr="006E2918">
        <w:rPr>
          <w:rFonts w:eastAsia="Malgun Gothic"/>
        </w:rPr>
        <w:t xml:space="preserve"> </w:t>
      </w:r>
      <w:r w:rsidRPr="006E2918">
        <w:rPr>
          <w:i/>
        </w:rPr>
        <w:t>sl-MaxTxPower</w:t>
      </w:r>
      <w:r w:rsidRPr="006E2918">
        <w:rPr>
          <w:rFonts w:eastAsia="Malgun Gothic"/>
          <w:iCs/>
          <w:lang w:val="en-US"/>
        </w:rPr>
        <w:t xml:space="preserve"> </w:t>
      </w:r>
      <w:r w:rsidRPr="006E2918">
        <w:t xml:space="preserve">based on </w:t>
      </w:r>
      <w:r w:rsidRPr="006E2918">
        <w:rPr>
          <w:lang w:val="en-US"/>
        </w:rPr>
        <w:t>a</w:t>
      </w:r>
      <w:r w:rsidRPr="006E2918">
        <w:t xml:space="preserve"> priority level and a CBR range for a CBR measured in slot </w:t>
      </w:r>
      <m:oMath>
        <m:r>
          <w:rPr>
            <w:rFonts w:ascii="Cambria Math" w:hAnsi="Cambria Math"/>
          </w:rPr>
          <m:t>i-N</m:t>
        </m:r>
      </m:oMath>
      <w:r w:rsidRPr="006E2918">
        <w:rPr>
          <w:lang w:val="en-US"/>
        </w:rPr>
        <w:t>,</w:t>
      </w:r>
      <w:r w:rsidRPr="006E2918">
        <w:t xml:space="preserve"> </w:t>
      </w:r>
      <w:r w:rsidRPr="006E2918">
        <w:rPr>
          <w:lang w:val="en-US"/>
        </w:rPr>
        <w:t>w</w:t>
      </w:r>
      <w:r w:rsidRPr="006E2918">
        <w:t xml:space="preserve">here </w:t>
      </w:r>
      <m:oMath>
        <m:r>
          <w:rPr>
            <w:rFonts w:ascii="Cambria Math" w:hAnsi="Cambria Math"/>
          </w:rPr>
          <m:t>N</m:t>
        </m:r>
      </m:oMath>
      <w:r w:rsidRPr="006E2918">
        <w:t xml:space="preserve"> is the congestion control processing time [</w:t>
      </w:r>
      <w:r w:rsidRPr="006E2918">
        <w:rPr>
          <w:lang w:val="en-US"/>
        </w:rPr>
        <w:t xml:space="preserve">6, </w:t>
      </w:r>
      <w:r w:rsidRPr="006E2918">
        <w:lastRenderedPageBreak/>
        <w:t>TS 38.214]</w:t>
      </w:r>
      <w:r w:rsidRPr="006E2918">
        <w:rPr>
          <w:lang w:val="en-US"/>
        </w:rPr>
        <w:t xml:space="preserve">; </w:t>
      </w:r>
      <w:r w:rsidRPr="006E2918">
        <w:t xml:space="preserve">if </w:t>
      </w:r>
      <w:r w:rsidRPr="006E2918">
        <w:rPr>
          <w:i/>
        </w:rPr>
        <w:t>sl-MaxTxPower</w:t>
      </w:r>
      <w:r w:rsidRPr="006E2918">
        <w:rPr>
          <w:iCs/>
          <w:lang w:val="en-US"/>
        </w:rPr>
        <w:t xml:space="preserve"> </w:t>
      </w:r>
      <w:r w:rsidRPr="006E2918">
        <w:t xml:space="preserve">is not provided, </w:t>
      </w:r>
      <m:oMath>
        <m:sSub>
          <m:sSubPr>
            <m:ctrlPr>
              <w:rPr>
                <w:rFonts w:ascii="Cambria Math" w:hAnsi="Cambria Math"/>
                <w:i/>
              </w:rPr>
            </m:ctrlPr>
          </m:sSubPr>
          <m:e>
            <m:r>
              <w:rPr>
                <w:rFonts w:ascii="Cambria Math" w:hAnsi="Cambria Math"/>
              </w:rPr>
              <m:t>P</m:t>
            </m:r>
          </m:e>
          <m:sub>
            <m:r>
              <m:rPr>
                <m:nor/>
              </m:rPr>
              <m:t>MAX</m:t>
            </m:r>
            <m:r>
              <m:rPr>
                <m:sty m:val="p"/>
              </m:rPr>
              <w:rPr>
                <w:rFonts w:ascii="Cambria Math" w:hAnsi="Cambria Math"/>
              </w:rPr>
              <m:t>,CBR</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P</m:t>
            </m:r>
          </m:e>
          <m:sub>
            <m:r>
              <m:rPr>
                <m:nor/>
              </m:rPr>
              <m:t>CMAX</m:t>
            </m:r>
            <m:ctrlPr>
              <w:rPr>
                <w:rFonts w:ascii="Cambria Math" w:hAnsi="Cambria Math"/>
              </w:rPr>
            </m:ctrlPr>
          </m:sub>
        </m:sSub>
      </m:oMath>
      <w:r w:rsidRPr="006E2918">
        <w:t xml:space="preserve">. </w:t>
      </w:r>
      <w:r w:rsidRPr="006E2918">
        <w:rPr>
          <w:lang w:eastAsia="ja-JP"/>
        </w:rPr>
        <w:t xml:space="preserve">The priority level is same for PSSCH and SL PRS </w:t>
      </w:r>
    </w:p>
    <w:p w14:paraId="768020BD" w14:textId="77777777" w:rsidR="006E2918" w:rsidRPr="006E2918" w:rsidRDefault="006E2918" w:rsidP="006E2918">
      <w:pPr>
        <w:pStyle w:val="B2"/>
      </w:pPr>
      <w:r w:rsidRPr="006E2918">
        <w:rPr>
          <w:lang w:eastAsia="ja-JP"/>
        </w:rPr>
        <w:t>-</w:t>
      </w:r>
      <w:r w:rsidRPr="006E2918">
        <w:rPr>
          <w:lang w:eastAsia="ja-JP"/>
        </w:rPr>
        <w:tab/>
        <w:t xml:space="preserve">if the resource pool is a dedicated SL PRS resource pool, </w:t>
      </w:r>
      <w:r w:rsidRPr="006E2918">
        <w:rPr>
          <w:rFonts w:eastAsia="Malgun Gothic"/>
        </w:rPr>
        <w:t xml:space="preserve">a value of </w:t>
      </w:r>
      <w:r w:rsidRPr="006E2918">
        <w:rPr>
          <w:i/>
        </w:rPr>
        <w:t>sl-PRS-MaxTx-Power</w:t>
      </w:r>
      <w:r w:rsidRPr="006E2918">
        <w:rPr>
          <w:rFonts w:eastAsia="Malgun Gothic"/>
          <w:iCs/>
        </w:rPr>
        <w:t xml:space="preserve"> </w:t>
      </w:r>
      <w:r w:rsidRPr="006E2918">
        <w:t xml:space="preserve">based on a priority level and a CBR range for a CBR measured in slot </w:t>
      </w:r>
      <m:oMath>
        <m:r>
          <w:rPr>
            <w:rFonts w:ascii="Cambria Math" w:hAnsi="Cambria Math"/>
          </w:rPr>
          <m:t>i-N</m:t>
        </m:r>
      </m:oMath>
      <w:r w:rsidRPr="006E2918">
        <w:t xml:space="preserve">, where </w:t>
      </w:r>
      <m:oMath>
        <m:r>
          <w:rPr>
            <w:rFonts w:ascii="Cambria Math" w:hAnsi="Cambria Math"/>
          </w:rPr>
          <m:t>N</m:t>
        </m:r>
      </m:oMath>
      <w:r w:rsidRPr="006E2918">
        <w:t xml:space="preserve"> is the congestion control processing time [6, TS 38.214]; if</w:t>
      </w:r>
      <w:r w:rsidRPr="006E2918">
        <w:rPr>
          <w:i/>
        </w:rPr>
        <w:t xml:space="preserve"> sl-PRS-MaxTx-Power</w:t>
      </w:r>
      <w:r w:rsidRPr="006E2918">
        <w:rPr>
          <w:iCs/>
        </w:rPr>
        <w:t xml:space="preserve"> </w:t>
      </w:r>
      <w:r w:rsidRPr="006E2918">
        <w:t xml:space="preserve">is not provided, </w:t>
      </w:r>
      <m:oMath>
        <m:sSub>
          <m:sSubPr>
            <m:ctrlPr>
              <w:rPr>
                <w:rFonts w:ascii="Cambria Math" w:hAnsi="Cambria Math"/>
                <w:i/>
              </w:rPr>
            </m:ctrlPr>
          </m:sSubPr>
          <m:e>
            <m:r>
              <w:rPr>
                <w:rFonts w:ascii="Cambria Math" w:hAnsi="Cambria Math"/>
              </w:rPr>
              <m:t>P</m:t>
            </m:r>
          </m:e>
          <m:sub>
            <m:r>
              <m:rPr>
                <m:nor/>
              </m:rPr>
              <w:rPr>
                <w:rFonts w:ascii="Cambria Math" w:hAnsi="Cambria Math"/>
              </w:rPr>
              <m:t>MAX,CBR</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P</m:t>
            </m:r>
          </m:e>
          <m:sub>
            <m:r>
              <m:rPr>
                <m:nor/>
              </m:rPr>
              <w:rPr>
                <w:rFonts w:ascii="Cambria Math" w:hAnsi="Cambria Math"/>
              </w:rPr>
              <m:t>CMAX</m:t>
            </m:r>
            <m:ctrlPr>
              <w:rPr>
                <w:rFonts w:ascii="Cambria Math" w:hAnsi="Cambria Math"/>
              </w:rPr>
            </m:ctrlPr>
          </m:sub>
        </m:sSub>
      </m:oMath>
      <w:r w:rsidRPr="006E2918">
        <w:rPr>
          <w:rFonts w:hint="eastAsia"/>
          <w:lang w:eastAsia="zh-CN"/>
        </w:rPr>
        <w:t>.</w:t>
      </w:r>
      <w:r w:rsidRPr="006E2918">
        <w:rPr>
          <w:lang w:eastAsia="zh-CN"/>
        </w:rPr>
        <w:t xml:space="preserve"> </w:t>
      </w:r>
      <w:r w:rsidRPr="006E2918">
        <w:rPr>
          <w:lang w:eastAsia="ja-JP"/>
        </w:rPr>
        <w:t>The priority level is for SL PRS</w:t>
      </w:r>
    </w:p>
    <w:p w14:paraId="3C870CDF" w14:textId="2833D38A" w:rsidR="00764F3A" w:rsidRDefault="00764F3A" w:rsidP="00764F3A">
      <w:pPr>
        <w:pStyle w:val="B1"/>
        <w:rPr>
          <w:color w:val="000000"/>
        </w:rPr>
      </w:pPr>
      <w:r>
        <w:rPr>
          <w:lang w:val="en-GB"/>
        </w:rPr>
        <w:t>-</w:t>
      </w:r>
      <w:r>
        <w:rPr>
          <w:lang w:val="en-GB"/>
        </w:rPr>
        <w:tab/>
      </w:r>
      <w:r w:rsidRPr="00764F3A">
        <w:t xml:space="preserve">if a value for </w:t>
      </w:r>
      <m:oMath>
        <m:sSub>
          <m:sSubPr>
            <m:ctrlPr>
              <w:rPr>
                <w:rFonts w:ascii="Cambria Math" w:hAnsi="Cambria Math"/>
                <w:i/>
              </w:rPr>
            </m:ctrlPr>
          </m:sSubPr>
          <m:e>
            <m:r>
              <w:rPr>
                <w:rFonts w:ascii="Cambria Math" w:hAnsi="Cambria Math"/>
              </w:rPr>
              <m:t>P</m:t>
            </m:r>
          </m:e>
          <m:sub>
            <m:r>
              <m:rPr>
                <m:sty m:val="p"/>
              </m:rPr>
              <w:rPr>
                <w:rFonts w:ascii="Cambria Math" w:hAnsi="Cambria Math"/>
              </w:rPr>
              <m:t>O,D</m:t>
            </m:r>
          </m:sub>
        </m:sSub>
      </m:oMath>
      <w:r w:rsidRPr="00764F3A">
        <w:rPr>
          <w:color w:val="000000"/>
        </w:rPr>
        <w:t xml:space="preserve"> is provided</w:t>
      </w:r>
    </w:p>
    <w:p w14:paraId="2405A0B4" w14:textId="14D5E299" w:rsidR="00764F3A" w:rsidRPr="00764F3A" w:rsidRDefault="00764F3A" w:rsidP="00764F3A">
      <w:pPr>
        <w:pStyle w:val="B2"/>
      </w:pPr>
      <w:r>
        <w:t>-</w:t>
      </w:r>
      <w:r>
        <w:tab/>
      </w:r>
      <m:oMath>
        <m:sSub>
          <m:sSubPr>
            <m:ctrlPr>
              <w:rPr>
                <w:rFonts w:ascii="Cambria Math" w:hAnsi="Cambria Math"/>
              </w:rPr>
            </m:ctrlPr>
          </m:sSubPr>
          <m:e>
            <m:r>
              <w:rPr>
                <w:rFonts w:ascii="Cambria Math" w:hAnsi="Cambria Math"/>
              </w:rPr>
              <m:t>P</m:t>
            </m:r>
          </m:e>
          <m:sub>
            <m:r>
              <m:rPr>
                <m:sty m:val="p"/>
              </m:rPr>
              <w:rPr>
                <w:rFonts w:ascii="Cambria Math" w:hAnsi="Cambria Math"/>
              </w:rPr>
              <m:t>SL-PRS,D</m:t>
            </m:r>
          </m:sub>
        </m:sSub>
        <m:d>
          <m:dPr>
            <m:ctrlPr>
              <w:rPr>
                <w:rFonts w:ascii="Cambria Math" w:eastAsia="Malgun Gothic" w:hAnsi="Cambria Math"/>
                <w:lang w:eastAsia="zh-CN"/>
              </w:rPr>
            </m:ctrlPr>
          </m:dPr>
          <m:e>
            <m:r>
              <w:rPr>
                <w:rFonts w:ascii="Cambria Math" w:hAnsi="Cambria Math"/>
              </w:rPr>
              <m:t>i</m:t>
            </m:r>
          </m:e>
        </m:d>
        <m:r>
          <m:rPr>
            <m:sty m:val="p"/>
          </m:rPr>
          <w:rPr>
            <w:rFonts w:ascii="Cambria Math" w:eastAsia="Malgun Gothic" w:hAnsi="Cambria Math"/>
            <w:lang w:eastAsia="zh-CN"/>
          </w:rPr>
          <m:t>=</m:t>
        </m:r>
        <m:sSub>
          <m:sSubPr>
            <m:ctrlPr>
              <w:rPr>
                <w:rFonts w:ascii="Cambria Math" w:hAnsi="Cambria Math"/>
              </w:rPr>
            </m:ctrlPr>
          </m:sSubPr>
          <m:e>
            <m:r>
              <w:rPr>
                <w:rFonts w:ascii="Cambria Math" w:hAnsi="Cambria Math"/>
              </w:rPr>
              <m:t>P</m:t>
            </m:r>
          </m:e>
          <m:sub>
            <m:r>
              <m:rPr>
                <m:sty m:val="p"/>
              </m:rPr>
              <w:rPr>
                <w:rFonts w:ascii="Cambria Math" w:hAnsi="Cambria Math"/>
              </w:rPr>
              <m:t>O,D</m:t>
            </m:r>
          </m:sub>
        </m:sSub>
        <m:r>
          <m:rPr>
            <m:sty m:val="p"/>
          </m:rPr>
          <w:rPr>
            <w:rFonts w:ascii="Cambria Math" w:hAnsi="Cambria Math"/>
          </w:rPr>
          <m:t>+10</m:t>
        </m:r>
        <m:func>
          <m:funcPr>
            <m:ctrlPr>
              <w:rPr>
                <w:rFonts w:ascii="Cambria Math" w:hAnsi="Cambria Math"/>
              </w:rPr>
            </m:ctrlPr>
          </m:funcPr>
          <m:fName>
            <m:sSub>
              <m:sSubPr>
                <m:ctrlPr>
                  <w:rPr>
                    <w:rFonts w:ascii="Cambria Math" w:eastAsia="Malgun Gothic" w:hAnsi="Cambria Math"/>
                    <w:lang w:eastAsia="zh-CN"/>
                  </w:rPr>
                </m:ctrlPr>
              </m:sSubPr>
              <m:e>
                <m:r>
                  <m:rPr>
                    <m:sty m:val="p"/>
                  </m:rPr>
                  <w:rPr>
                    <w:rFonts w:ascii="Cambria Math" w:hAnsi="Cambria Math"/>
                  </w:rPr>
                  <m:t>log</m:t>
                </m:r>
              </m:e>
              <m:sub>
                <m:r>
                  <m:rPr>
                    <m:sty m:val="p"/>
                  </m:rPr>
                  <w:rPr>
                    <w:rFonts w:ascii="Cambria Math" w:hAnsi="Cambria Math"/>
                  </w:rPr>
                  <m:t>10</m:t>
                </m:r>
              </m:sub>
            </m:sSub>
          </m:fName>
          <m:e>
            <m:d>
              <m:dPr>
                <m:ctrlPr>
                  <w:rPr>
                    <w:rFonts w:ascii="Cambria Math" w:eastAsia="Malgun Gothic" w:hAnsi="Cambria Math"/>
                    <w:lang w:eastAsia="zh-CN"/>
                  </w:rPr>
                </m:ctrlPr>
              </m:dPr>
              <m:e>
                <m:sSup>
                  <m:sSupPr>
                    <m:ctrlPr>
                      <w:rPr>
                        <w:rFonts w:ascii="Cambria Math" w:hAnsi="Cambria Math"/>
                      </w:rPr>
                    </m:ctrlPr>
                  </m:sSupPr>
                  <m:e>
                    <m:r>
                      <m:rPr>
                        <m:sty m:val="p"/>
                      </m:rPr>
                      <w:rPr>
                        <w:rFonts w:ascii="Cambria Math" w:hAnsi="Cambria Math"/>
                      </w:rPr>
                      <m:t>2</m:t>
                    </m:r>
                  </m:e>
                  <m:sup>
                    <m:r>
                      <w:rPr>
                        <w:rFonts w:ascii="Cambria Math" w:hAnsi="Cambria Math"/>
                      </w:rPr>
                      <m:t>μ</m:t>
                    </m:r>
                  </m:sup>
                </m:sSup>
                <m:r>
                  <m:rPr>
                    <m:sty m:val="p"/>
                  </m:rPr>
                  <w:rPr>
                    <w:rFonts w:ascii="Cambria Math" w:hAnsi="Cambria Math"/>
                  </w:rPr>
                  <m:t>∙</m:t>
                </m:r>
                <m:sSubSup>
                  <m:sSubSupPr>
                    <m:ctrlPr>
                      <w:rPr>
                        <w:rFonts w:ascii="Cambria Math" w:hAnsi="Cambria Math"/>
                      </w:rPr>
                    </m:ctrlPr>
                  </m:sSubSupPr>
                  <m:e>
                    <m:r>
                      <w:rPr>
                        <w:rFonts w:ascii="Cambria Math" w:hAnsi="Cambria Math"/>
                      </w:rPr>
                      <m:t>M</m:t>
                    </m:r>
                  </m:e>
                  <m:sub>
                    <m:r>
                      <m:rPr>
                        <m:sty m:val="p"/>
                      </m:rPr>
                      <w:rPr>
                        <w:rFonts w:ascii="Cambria Math" w:hAnsi="Cambria Math"/>
                      </w:rPr>
                      <m:t>RB</m:t>
                    </m:r>
                  </m:sub>
                  <m:sup>
                    <m:r>
                      <m:rPr>
                        <m:sty m:val="p"/>
                      </m:rPr>
                      <w:rPr>
                        <w:rFonts w:ascii="Cambria Math" w:hAnsi="Cambria Math"/>
                      </w:rPr>
                      <m:t>SL-PRS</m:t>
                    </m:r>
                  </m:sup>
                </m:sSubSup>
                <m:d>
                  <m:dPr>
                    <m:ctrlPr>
                      <w:rPr>
                        <w:rFonts w:ascii="Cambria Math" w:hAnsi="Cambria Math"/>
                      </w:rPr>
                    </m:ctrlPr>
                  </m:dPr>
                  <m:e>
                    <m:r>
                      <w:rPr>
                        <w:rFonts w:ascii="Cambria Math" w:hAnsi="Cambria Math"/>
                      </w:rPr>
                      <m:t>i</m:t>
                    </m:r>
                  </m:e>
                </m:d>
              </m:e>
            </m:d>
          </m:e>
        </m:func>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D</m:t>
            </m:r>
          </m:sub>
        </m:sSub>
        <m:r>
          <m:rPr>
            <m:sty m:val="p"/>
          </m:rPr>
          <w:rPr>
            <w:rFonts w:ascii="Cambria Math" w:hAnsi="Cambria Math"/>
          </w:rPr>
          <m:t>∙</m:t>
        </m:r>
        <m:r>
          <w:rPr>
            <w:rFonts w:ascii="Cambria Math" w:hAnsi="Cambria Math"/>
          </w:rPr>
          <m:t>P</m:t>
        </m:r>
        <m:sSub>
          <m:sSubPr>
            <m:ctrlPr>
              <w:rPr>
                <w:rFonts w:ascii="Cambria Math" w:hAnsi="Cambria Math"/>
              </w:rPr>
            </m:ctrlPr>
          </m:sSubPr>
          <m:e>
            <m:r>
              <w:rPr>
                <w:rFonts w:ascii="Cambria Math" w:hAnsi="Cambria Math"/>
              </w:rPr>
              <m:t>L</m:t>
            </m:r>
          </m:e>
          <m:sub>
            <m:r>
              <w:rPr>
                <w:rFonts w:ascii="Cambria Math" w:hAnsi="Cambria Math"/>
              </w:rPr>
              <m:t>D</m:t>
            </m:r>
          </m:sub>
        </m:sSub>
      </m:oMath>
      <w:r w:rsidRPr="00764F3A">
        <w:t xml:space="preserve"> [dBm]</w:t>
      </w:r>
    </w:p>
    <w:p w14:paraId="06F2DD21" w14:textId="66A1B626" w:rsidR="00764F3A" w:rsidRDefault="00764F3A" w:rsidP="00764F3A">
      <w:pPr>
        <w:pStyle w:val="B1"/>
      </w:pPr>
      <w:r>
        <w:rPr>
          <w:lang w:val="en-GB"/>
        </w:rPr>
        <w:t>-</w:t>
      </w:r>
      <w:r>
        <w:rPr>
          <w:lang w:val="en-GB"/>
        </w:rPr>
        <w:tab/>
      </w:r>
      <w:r w:rsidRPr="00764F3A">
        <w:t>else</w:t>
      </w:r>
    </w:p>
    <w:p w14:paraId="2E19F642" w14:textId="438A84A2" w:rsidR="00764F3A" w:rsidRPr="00764F3A" w:rsidRDefault="00764F3A" w:rsidP="00764F3A">
      <w:pPr>
        <w:pStyle w:val="B2"/>
        <w:rPr>
          <w:color w:val="000000"/>
        </w:rPr>
      </w:pPr>
      <w:r>
        <w:t>-</w:t>
      </w:r>
      <w:r>
        <w:tab/>
      </w:r>
      <m:oMath>
        <m:sSub>
          <m:sSubPr>
            <m:ctrlPr>
              <w:rPr>
                <w:rFonts w:ascii="Cambria Math" w:hAnsi="Cambria Math"/>
                <w:i/>
              </w:rPr>
            </m:ctrlPr>
          </m:sSubPr>
          <m:e>
            <m:r>
              <w:rPr>
                <w:rFonts w:ascii="Cambria Math" w:hAnsi="Cambria Math"/>
              </w:rPr>
              <m:t>P</m:t>
            </m:r>
          </m:e>
          <m:sub>
            <m:r>
              <m:rPr>
                <m:sty m:val="p"/>
              </m:rPr>
              <w:rPr>
                <w:rFonts w:ascii="Cambria Math" w:hAnsi="Cambria Math"/>
              </w:rPr>
              <m:t>SL-PRS,D</m:t>
            </m:r>
          </m:sub>
        </m:sSub>
        <m:d>
          <m:dPr>
            <m:ctrlPr>
              <w:rPr>
                <w:rFonts w:ascii="Cambria Math" w:eastAsia="Malgun Gothic" w:hAnsi="Cambria Math"/>
                <w:i/>
                <w:lang w:eastAsia="zh-CN"/>
              </w:rPr>
            </m:ctrlPr>
          </m:dPr>
          <m:e>
            <m:r>
              <w:rPr>
                <w:rFonts w:ascii="Cambria Math" w:hAnsi="Cambria Math"/>
              </w:rPr>
              <m:t>i</m:t>
            </m:r>
          </m:e>
        </m:d>
        <m:r>
          <w:rPr>
            <w:rFonts w:ascii="Cambria Math" w:eastAsia="Malgun Gothic" w:hAnsi="Cambria Math"/>
            <w:lang w:eastAsia="zh-CN"/>
          </w:rPr>
          <m:t>=</m:t>
        </m:r>
        <m:func>
          <m:funcPr>
            <m:ctrlPr>
              <w:rPr>
                <w:rFonts w:ascii="Cambria Math" w:hAnsi="Cambria Math"/>
                <w:i/>
              </w:rPr>
            </m:ctrlPr>
          </m:funcPr>
          <m:fName>
            <m:r>
              <m:rPr>
                <m:sty m:val="p"/>
              </m:rPr>
              <w:rPr>
                <w:rFonts w:ascii="Cambria Math" w:hAnsi="Cambria Math"/>
              </w:rPr>
              <m:t>min</m:t>
            </m:r>
          </m:fName>
          <m:e>
            <m:d>
              <m:dPr>
                <m:ctrlPr>
                  <w:rPr>
                    <w:rFonts w:ascii="Cambria Math" w:eastAsia="Malgun Gothic" w:hAnsi="Cambria Math"/>
                    <w:i/>
                    <w:lang w:eastAsia="zh-CN"/>
                  </w:rPr>
                </m:ctrlPr>
              </m:dPr>
              <m:e>
                <m:sSub>
                  <m:sSubPr>
                    <m:ctrlPr>
                      <w:rPr>
                        <w:rFonts w:ascii="Cambria Math" w:hAnsi="Cambria Math"/>
                        <w:i/>
                      </w:rPr>
                    </m:ctrlPr>
                  </m:sSubPr>
                  <m:e>
                    <m:r>
                      <w:rPr>
                        <w:rFonts w:ascii="Cambria Math" w:hAnsi="Cambria Math"/>
                      </w:rPr>
                      <m:t>P</m:t>
                    </m:r>
                  </m:e>
                  <m:sub>
                    <m:r>
                      <m:rPr>
                        <m:sty m:val="p"/>
                      </m:rPr>
                      <w:rPr>
                        <w:rFonts w:ascii="Cambria Math" w:hAnsi="Cambria Math"/>
                      </w:rPr>
                      <m:t>CMAX</m:t>
                    </m:r>
                  </m:sub>
                </m:sSub>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MAX,CBR</m:t>
                    </m:r>
                  </m:sub>
                </m:sSub>
              </m:e>
            </m:d>
          </m:e>
        </m:func>
      </m:oMath>
      <w:r w:rsidRPr="00764F3A">
        <w:t xml:space="preserve"> [dBm]</w:t>
      </w:r>
    </w:p>
    <w:p w14:paraId="35090F74" w14:textId="77777777" w:rsidR="00764F3A" w:rsidRPr="00764F3A" w:rsidRDefault="00764F3A" w:rsidP="00764F3A">
      <w:pPr>
        <w:pStyle w:val="B2"/>
      </w:pPr>
      <w:r w:rsidRPr="00764F3A">
        <w:t>where</w:t>
      </w:r>
    </w:p>
    <w:p w14:paraId="37A2A7F0" w14:textId="04BBC126" w:rsidR="00764F3A" w:rsidRPr="00764F3A" w:rsidRDefault="00764F3A" w:rsidP="00764F3A">
      <w:pPr>
        <w:pStyle w:val="B3"/>
        <w:rPr>
          <w:color w:val="000000"/>
          <w:lang w:val="en-US"/>
        </w:rPr>
      </w:pPr>
      <w:r>
        <w:rPr>
          <w:lang w:eastAsia="ja-JP"/>
        </w:rPr>
        <w:t>-</w:t>
      </w:r>
      <w:r>
        <w:rPr>
          <w:lang w:eastAsia="ja-JP"/>
        </w:rPr>
        <w:tab/>
      </w:r>
      <w:r w:rsidRPr="00764F3A">
        <w:rPr>
          <w:lang w:eastAsia="ja-JP"/>
        </w:rPr>
        <w:t xml:space="preserve">if the resource pool is </w:t>
      </w:r>
      <w:r w:rsidR="00E169CB">
        <w:rPr>
          <w:lang w:eastAsia="ja-JP"/>
        </w:rPr>
        <w:t>a shared SL PRS resource pool</w:t>
      </w:r>
      <w:r w:rsidRPr="00764F3A">
        <w:rPr>
          <w:lang w:eastAsia="ja-JP"/>
        </w:rPr>
        <w:t xml:space="preserve">, </w:t>
      </w:r>
      <m:oMath>
        <m:sSub>
          <m:sSubPr>
            <m:ctrlPr>
              <w:rPr>
                <w:rFonts w:ascii="Cambria Math" w:hAnsi="Cambria Math"/>
                <w:i/>
              </w:rPr>
            </m:ctrlPr>
          </m:sSubPr>
          <m:e>
            <m:r>
              <w:rPr>
                <w:rFonts w:ascii="Cambria Math" w:hAnsi="Cambria Math"/>
              </w:rPr>
              <m:t>P</m:t>
            </m:r>
          </m:e>
          <m:sub>
            <m:r>
              <m:rPr>
                <m:sty m:val="p"/>
              </m:rPr>
              <w:rPr>
                <w:rFonts w:ascii="Cambria Math" w:hAnsi="Cambria Math"/>
              </w:rPr>
              <m:t>O,D</m:t>
            </m:r>
          </m:sub>
        </m:sSub>
      </m:oMath>
      <w:r w:rsidRPr="00764F3A">
        <w:t xml:space="preserve"> is a value of </w:t>
      </w:r>
      <w:r w:rsidRPr="00764F3A">
        <w:rPr>
          <w:i/>
        </w:rPr>
        <w:t xml:space="preserve">dl-P0-PSSCH-PSCCH </w:t>
      </w:r>
      <w:r w:rsidRPr="00764F3A">
        <w:t>or</w:t>
      </w:r>
      <w:r w:rsidRPr="00764F3A">
        <w:rPr>
          <w:i/>
        </w:rPr>
        <w:t xml:space="preserve"> dl-P0-PSSCH-PSCCH-r17</w:t>
      </w:r>
      <w:r w:rsidRPr="00764F3A">
        <w:rPr>
          <w:lang w:val="en-US"/>
        </w:rPr>
        <w:t xml:space="preserve">; else, </w:t>
      </w:r>
      <w:r w:rsidRPr="00764F3A">
        <w:rPr>
          <w:lang w:eastAsia="ja-JP"/>
        </w:rPr>
        <w:t xml:space="preserve">if the resource pool is </w:t>
      </w:r>
      <w:r w:rsidR="00E169CB">
        <w:rPr>
          <w:lang w:eastAsia="ja-JP"/>
        </w:rPr>
        <w:t xml:space="preserve">a </w:t>
      </w:r>
      <w:r w:rsidRPr="00764F3A">
        <w:rPr>
          <w:lang w:eastAsia="ja-JP"/>
        </w:rPr>
        <w:t xml:space="preserve">dedicated SL PRS </w:t>
      </w:r>
      <w:r w:rsidR="00E169CB" w:rsidRPr="00764F3A">
        <w:rPr>
          <w:lang w:eastAsia="ja-JP"/>
        </w:rPr>
        <w:t>resource pool</w:t>
      </w:r>
      <w:r w:rsidRPr="00764F3A">
        <w:rPr>
          <w:lang w:eastAsia="ja-JP"/>
        </w:rPr>
        <w:t>,</w:t>
      </w:r>
      <w:r w:rsidRPr="00764F3A">
        <w:rPr>
          <w:lang w:val="en-US"/>
        </w:rPr>
        <w:t xml:space="preserve"> </w:t>
      </w:r>
      <m:oMath>
        <m:sSub>
          <m:sSubPr>
            <m:ctrlPr>
              <w:rPr>
                <w:rFonts w:ascii="Cambria Math" w:hAnsi="Cambria Math"/>
                <w:i/>
              </w:rPr>
            </m:ctrlPr>
          </m:sSubPr>
          <m:e>
            <m:r>
              <w:rPr>
                <w:rFonts w:ascii="Cambria Math" w:hAnsi="Cambria Math"/>
              </w:rPr>
              <m:t>P</m:t>
            </m:r>
          </m:e>
          <m:sub>
            <m:r>
              <m:rPr>
                <m:sty m:val="p"/>
              </m:rPr>
              <w:rPr>
                <w:rFonts w:ascii="Cambria Math" w:hAnsi="Cambria Math"/>
              </w:rPr>
              <m:t>O,D</m:t>
            </m:r>
          </m:sub>
        </m:sSub>
      </m:oMath>
      <w:r w:rsidRPr="00764F3A">
        <w:t xml:space="preserve"> is a value of </w:t>
      </w:r>
      <w:r w:rsidRPr="00764F3A">
        <w:rPr>
          <w:i/>
        </w:rPr>
        <w:t>dl-P0-SL</w:t>
      </w:r>
      <w:r w:rsidR="006E2918">
        <w:rPr>
          <w:i/>
        </w:rPr>
        <w:t>-</w:t>
      </w:r>
      <w:r w:rsidRPr="00764F3A">
        <w:rPr>
          <w:i/>
        </w:rPr>
        <w:t>PRS</w:t>
      </w:r>
    </w:p>
    <w:p w14:paraId="76117102" w14:textId="5371F030" w:rsidR="00764F3A" w:rsidRDefault="00764F3A" w:rsidP="00764F3A">
      <w:pPr>
        <w:pStyle w:val="B3"/>
        <w:rPr>
          <w:iCs/>
        </w:rPr>
      </w:pPr>
      <w:r>
        <w:rPr>
          <w:iCs/>
          <w:lang w:eastAsia="ja-JP"/>
        </w:rPr>
        <w:t>-</w:t>
      </w:r>
      <w:r>
        <w:rPr>
          <w:iCs/>
          <w:lang w:eastAsia="ja-JP"/>
        </w:rPr>
        <w:tab/>
      </w:r>
      <w:r w:rsidRPr="00764F3A">
        <w:rPr>
          <w:iCs/>
          <w:lang w:eastAsia="ja-JP"/>
        </w:rPr>
        <w:t>if</w:t>
      </w:r>
      <w:r w:rsidRPr="00764F3A">
        <w:rPr>
          <w:lang w:eastAsia="ja-JP"/>
        </w:rPr>
        <w:t xml:space="preserve"> the resource pool is </w:t>
      </w:r>
      <w:r w:rsidR="00E169CB">
        <w:rPr>
          <w:lang w:eastAsia="ja-JP"/>
        </w:rPr>
        <w:t>a shared SL PRS resource pool</w:t>
      </w:r>
      <w:r w:rsidRPr="00764F3A">
        <w:rPr>
          <w:lang w:eastAsia="ja-JP"/>
        </w:rPr>
        <w:t xml:space="preserve">, </w:t>
      </w:r>
      <m:oMath>
        <m:sSub>
          <m:sSubPr>
            <m:ctrlPr>
              <w:rPr>
                <w:rFonts w:ascii="Cambria Math" w:hAnsi="Cambria Math"/>
                <w:i/>
              </w:rPr>
            </m:ctrlPr>
          </m:sSubPr>
          <m:e>
            <m:r>
              <w:rPr>
                <w:rFonts w:ascii="Cambria Math" w:hAnsi="Cambria Math"/>
              </w:rPr>
              <m:t>α</m:t>
            </m:r>
          </m:e>
          <m:sub>
            <m:r>
              <w:rPr>
                <w:rFonts w:ascii="Cambria Math" w:hAnsi="Cambria Math"/>
              </w:rPr>
              <m:t>D</m:t>
            </m:r>
          </m:sub>
        </m:sSub>
      </m:oMath>
      <w:r w:rsidRPr="00764F3A">
        <w:t xml:space="preserve"> is a value of </w:t>
      </w:r>
      <w:r w:rsidRPr="00764F3A">
        <w:rPr>
          <w:i/>
        </w:rPr>
        <w:t>dl-Alpha-PSSCH-PSCCH</w:t>
      </w:r>
      <w:r w:rsidRPr="00764F3A">
        <w:rPr>
          <w:iCs/>
        </w:rPr>
        <w:t xml:space="preserve">, if provided, and </w:t>
      </w:r>
      <m:oMath>
        <m:sSub>
          <m:sSubPr>
            <m:ctrlPr>
              <w:rPr>
                <w:rFonts w:ascii="Cambria Math" w:hAnsi="Cambria Math"/>
                <w:i/>
              </w:rPr>
            </m:ctrlPr>
          </m:sSubPr>
          <m:e>
            <m:r>
              <w:rPr>
                <w:rFonts w:ascii="Cambria Math" w:hAnsi="Cambria Math"/>
              </w:rPr>
              <m:t>α</m:t>
            </m:r>
          </m:e>
          <m:sub>
            <m:r>
              <w:rPr>
                <w:rFonts w:ascii="Cambria Math" w:hAnsi="Cambria Math"/>
              </w:rPr>
              <m:t>D</m:t>
            </m:r>
          </m:sub>
        </m:sSub>
        <m:r>
          <w:rPr>
            <w:rFonts w:ascii="Cambria Math" w:hAnsi="Cambria Math"/>
          </w:rPr>
          <m:t>=1</m:t>
        </m:r>
      </m:oMath>
      <w:r w:rsidRPr="00764F3A">
        <w:rPr>
          <w:iCs/>
        </w:rPr>
        <w:t xml:space="preserve"> if </w:t>
      </w:r>
      <w:r w:rsidRPr="00764F3A">
        <w:rPr>
          <w:i/>
        </w:rPr>
        <w:t>dl-Alpha-PSSCH-PSCCH</w:t>
      </w:r>
      <w:r w:rsidRPr="00764F3A">
        <w:rPr>
          <w:iCs/>
        </w:rPr>
        <w:t xml:space="preserve"> is not provided</w:t>
      </w:r>
      <w:r w:rsidRPr="00764F3A">
        <w:rPr>
          <w:lang w:val="en-US"/>
        </w:rPr>
        <w:t xml:space="preserve">; else, </w:t>
      </w:r>
      <w:r w:rsidRPr="00764F3A">
        <w:rPr>
          <w:lang w:eastAsia="ja-JP"/>
        </w:rPr>
        <w:t xml:space="preserve">if the resource pool is </w:t>
      </w:r>
      <w:r w:rsidR="00E169CB">
        <w:rPr>
          <w:lang w:eastAsia="ja-JP"/>
        </w:rPr>
        <w:t xml:space="preserve">a </w:t>
      </w:r>
      <w:r w:rsidRPr="00764F3A">
        <w:rPr>
          <w:lang w:eastAsia="ja-JP"/>
        </w:rPr>
        <w:t xml:space="preserve">dedicated SL PRS </w:t>
      </w:r>
      <w:r w:rsidR="00E169CB" w:rsidRPr="00764F3A">
        <w:rPr>
          <w:lang w:eastAsia="ja-JP"/>
        </w:rPr>
        <w:t>resource pool</w:t>
      </w:r>
      <w:r w:rsidRPr="00764F3A">
        <w:rPr>
          <w:lang w:val="en-US"/>
        </w:rPr>
        <w:t xml:space="preserve">, </w:t>
      </w:r>
      <m:oMath>
        <m:sSub>
          <m:sSubPr>
            <m:ctrlPr>
              <w:rPr>
                <w:rFonts w:ascii="Cambria Math" w:hAnsi="Cambria Math"/>
                <w:i/>
              </w:rPr>
            </m:ctrlPr>
          </m:sSubPr>
          <m:e>
            <m:r>
              <w:rPr>
                <w:rFonts w:ascii="Cambria Math" w:hAnsi="Cambria Math"/>
              </w:rPr>
              <m:t>α</m:t>
            </m:r>
          </m:e>
          <m:sub>
            <m:r>
              <w:rPr>
                <w:rFonts w:ascii="Cambria Math" w:hAnsi="Cambria Math"/>
              </w:rPr>
              <m:t>D</m:t>
            </m:r>
          </m:sub>
        </m:sSub>
      </m:oMath>
      <w:r w:rsidRPr="00764F3A">
        <w:t xml:space="preserve"> is provided by </w:t>
      </w:r>
      <w:r w:rsidRPr="00764F3A">
        <w:rPr>
          <w:i/>
        </w:rPr>
        <w:t>dl-Alpha-SLPRS</w:t>
      </w:r>
      <w:r w:rsidRPr="00764F3A">
        <w:rPr>
          <w:iCs/>
        </w:rPr>
        <w:t xml:space="preserve">, if provided, and </w:t>
      </w:r>
      <m:oMath>
        <m:sSub>
          <m:sSubPr>
            <m:ctrlPr>
              <w:rPr>
                <w:rFonts w:ascii="Cambria Math" w:hAnsi="Cambria Math"/>
                <w:i/>
              </w:rPr>
            </m:ctrlPr>
          </m:sSubPr>
          <m:e>
            <m:r>
              <w:rPr>
                <w:rFonts w:ascii="Cambria Math" w:hAnsi="Cambria Math"/>
              </w:rPr>
              <m:t>α</m:t>
            </m:r>
          </m:e>
          <m:sub>
            <m:r>
              <w:rPr>
                <w:rFonts w:ascii="Cambria Math" w:hAnsi="Cambria Math"/>
              </w:rPr>
              <m:t>D</m:t>
            </m:r>
          </m:sub>
        </m:sSub>
        <m:r>
          <w:rPr>
            <w:rFonts w:ascii="Cambria Math" w:hAnsi="Cambria Math"/>
          </w:rPr>
          <m:t>=1</m:t>
        </m:r>
      </m:oMath>
      <w:r w:rsidRPr="00764F3A">
        <w:rPr>
          <w:iCs/>
        </w:rPr>
        <w:t xml:space="preserve"> if </w:t>
      </w:r>
      <w:r w:rsidRPr="00764F3A">
        <w:rPr>
          <w:i/>
        </w:rPr>
        <w:t>dl-Alpha-SL</w:t>
      </w:r>
      <w:r w:rsidR="006E2918">
        <w:rPr>
          <w:i/>
        </w:rPr>
        <w:t>-</w:t>
      </w:r>
      <w:r w:rsidRPr="00764F3A">
        <w:rPr>
          <w:i/>
        </w:rPr>
        <w:t>PRS</w:t>
      </w:r>
      <w:r w:rsidRPr="00764F3A">
        <w:rPr>
          <w:iCs/>
        </w:rPr>
        <w:t xml:space="preserve"> is not provided</w:t>
      </w:r>
    </w:p>
    <w:p w14:paraId="16295D3B" w14:textId="67BD4AF5" w:rsidR="00764F3A" w:rsidRPr="00764F3A" w:rsidRDefault="00764F3A" w:rsidP="00764F3A">
      <w:pPr>
        <w:pStyle w:val="B3"/>
        <w:rPr>
          <w:color w:val="000000"/>
          <w:lang w:val="en-US"/>
        </w:rPr>
      </w:pPr>
      <w:r>
        <w:rPr>
          <w:iCs/>
        </w:rPr>
        <w:t>-</w:t>
      </w:r>
      <w:r>
        <w:rPr>
          <w:iCs/>
        </w:rPr>
        <w:tab/>
      </w:r>
      <m:oMath>
        <m:r>
          <w:rPr>
            <w:rFonts w:ascii="Cambria Math" w:hAnsi="Cambria Math"/>
          </w:rPr>
          <m:t>P</m:t>
        </m:r>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=P</m:t>
        </m:r>
        <m:sSub>
          <m:sSubPr>
            <m:ctrlPr>
              <w:rPr>
                <w:rFonts w:ascii="Cambria Math" w:hAnsi="Cambria Math"/>
                <w:i/>
              </w:rPr>
            </m:ctrlPr>
          </m:sSubPr>
          <m:e>
            <m:r>
              <w:rPr>
                <w:rFonts w:ascii="Cambria Math" w:hAnsi="Cambria Math"/>
              </w:rPr>
              <m:t>L</m:t>
            </m:r>
          </m:e>
          <m:sub>
            <m:r>
              <w:rPr>
                <w:rFonts w:ascii="Cambria Math" w:hAnsi="Cambria Math"/>
              </w:rPr>
              <m:t>b,f,c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oMath>
      <w:r w:rsidRPr="00764F3A">
        <w:t xml:space="preserve"> when the active SL BWP is on a serving cell </w:t>
      </w:r>
      <m:oMath>
        <m:r>
          <w:rPr>
            <w:rFonts w:ascii="Cambria Math" w:hAnsi="Cambria Math"/>
            <w:szCs w:val="18"/>
          </w:rPr>
          <m:t>c</m:t>
        </m:r>
      </m:oMath>
      <w:r w:rsidRPr="00764F3A">
        <w:t>, as described in clause 7.1.1 except that</w:t>
      </w:r>
    </w:p>
    <w:p w14:paraId="4BEA4B84" w14:textId="44D1A647" w:rsidR="00764F3A" w:rsidRPr="00764F3A" w:rsidRDefault="00764F3A" w:rsidP="00764F3A">
      <w:pPr>
        <w:pStyle w:val="B4"/>
      </w:pPr>
      <w:r>
        <w:t>-</w:t>
      </w:r>
      <w:r>
        <w:tab/>
      </w:r>
      <w:r w:rsidRPr="00764F3A">
        <w:t xml:space="preserve">the RS resource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Pr="00764F3A">
        <w:t xml:space="preserve"> is the one the UE uses for determining a power of a PUSCH transmission scheduled by a DCI format 0_0 </w:t>
      </w:r>
      <w:r w:rsidRPr="00764F3A">
        <w:rPr>
          <w:lang w:val="x-none" w:eastAsia="zh-CN"/>
        </w:rPr>
        <w:t xml:space="preserve">in serving cell </w:t>
      </w:r>
      <m:oMath>
        <m:r>
          <w:rPr>
            <w:rFonts w:ascii="Cambria Math" w:hAnsi="Cambria Math"/>
            <w:szCs w:val="18"/>
          </w:rPr>
          <m:t>c</m:t>
        </m:r>
      </m:oMath>
      <w:r w:rsidRPr="00764F3A">
        <w:t xml:space="preserve"> when the UE is configured to monitor PDCCH for detection of DCI format 0_0 </w:t>
      </w:r>
      <w:r w:rsidRPr="00764F3A">
        <w:rPr>
          <w:lang w:val="x-none" w:eastAsia="zh-CN"/>
        </w:rPr>
        <w:t xml:space="preserve">in serving cell </w:t>
      </w:r>
      <m:oMath>
        <m:r>
          <w:rPr>
            <w:rFonts w:ascii="Cambria Math" w:hAnsi="Cambria Math"/>
            <w:szCs w:val="18"/>
          </w:rPr>
          <m:t>c</m:t>
        </m:r>
      </m:oMath>
    </w:p>
    <w:p w14:paraId="765FF1CC" w14:textId="30BF25A6" w:rsidR="00764F3A" w:rsidRDefault="00764F3A" w:rsidP="00764F3A">
      <w:pPr>
        <w:pStyle w:val="B4"/>
        <w:rPr>
          <w:szCs w:val="18"/>
        </w:rPr>
      </w:pPr>
      <w:r>
        <w:t>-</w:t>
      </w:r>
      <w:r>
        <w:tab/>
      </w:r>
      <w:r w:rsidRPr="00764F3A">
        <w:t xml:space="preserve">the RS resource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Pr="00764F3A">
        <w:t xml:space="preserve"> is the one corresponding to the SS/PBCH block the UE uses to obtain MIB when the UE is not configured to monitor PDCCH for detection of DCI format 0_0 </w:t>
      </w:r>
      <w:r w:rsidRPr="00764F3A">
        <w:rPr>
          <w:lang w:val="x-none" w:eastAsia="zh-CN"/>
        </w:rPr>
        <w:t xml:space="preserve">in serving cell </w:t>
      </w:r>
      <m:oMath>
        <m:r>
          <w:rPr>
            <w:rFonts w:ascii="Cambria Math" w:hAnsi="Cambria Math"/>
            <w:szCs w:val="18"/>
          </w:rPr>
          <m:t>c</m:t>
        </m:r>
      </m:oMath>
    </w:p>
    <w:p w14:paraId="59CC200F" w14:textId="4032CBFC" w:rsidR="00764F3A" w:rsidRPr="00764F3A" w:rsidRDefault="00764F3A" w:rsidP="00764F3A">
      <w:pPr>
        <w:pStyle w:val="B3"/>
        <w:rPr>
          <w:rFonts w:eastAsia="Times New Roman"/>
        </w:rPr>
      </w:pPr>
      <w:r>
        <w:t>-</w:t>
      </w:r>
      <w:r>
        <w:tab/>
      </w:r>
      <m:oMath>
        <m:sSubSup>
          <m:sSubSupPr>
            <m:ctrlPr>
              <w:rPr>
                <w:rFonts w:ascii="Cambria Math" w:hAnsi="Cambria Math"/>
                <w:i/>
              </w:rPr>
            </m:ctrlPr>
          </m:sSubSupPr>
          <m:e>
            <m:r>
              <w:rPr>
                <w:rFonts w:ascii="Cambria Math" w:hAnsi="Cambria Math"/>
              </w:rPr>
              <m:t>M</m:t>
            </m:r>
          </m:e>
          <m:sub>
            <m:r>
              <m:rPr>
                <m:sty m:val="p"/>
              </m:rPr>
              <w:rPr>
                <w:rFonts w:ascii="Cambria Math" w:hAnsi="Cambria Math"/>
              </w:rPr>
              <m:t>RB</m:t>
            </m:r>
          </m:sub>
          <m:sup>
            <m:r>
              <m:rPr>
                <m:sty m:val="p"/>
              </m:rPr>
              <w:rPr>
                <w:rFonts w:ascii="Cambria Math" w:hAnsi="Cambria Math"/>
              </w:rPr>
              <m:t>SL-PRS</m:t>
            </m:r>
          </m:sup>
        </m:sSubSup>
        <m:r>
          <w:rPr>
            <w:rFonts w:ascii="Cambria Math"/>
          </w:rPr>
          <m:t>(i)</m:t>
        </m:r>
      </m:oMath>
      <w:r w:rsidRPr="00764F3A">
        <w:rPr>
          <w:rFonts w:eastAsia="Malgun Gothic"/>
          <w:lang w:val="en-US"/>
        </w:rPr>
        <w:t xml:space="preserve"> is a number of </w:t>
      </w:r>
      <w:r w:rsidRPr="00764F3A">
        <w:t xml:space="preserve">resource blocks for </w:t>
      </w:r>
      <w:r w:rsidRPr="00764F3A">
        <w:rPr>
          <w:lang w:val="en-US"/>
        </w:rPr>
        <w:t>the SL PRS transmission occasion</w:t>
      </w:r>
      <w:r w:rsidRPr="00764F3A">
        <w:t xml:space="preserve"> </w:t>
      </w:r>
      <m:oMath>
        <m:r>
          <w:rPr>
            <w:rFonts w:ascii="Cambria Math"/>
          </w:rPr>
          <m:t>i</m:t>
        </m:r>
      </m:oMath>
      <w:r w:rsidRPr="00764F3A">
        <w:rPr>
          <w:iCs/>
        </w:rPr>
        <w:t xml:space="preserve"> </w:t>
      </w:r>
      <w:r w:rsidRPr="00764F3A">
        <w:rPr>
          <w:lang w:val="en-US"/>
        </w:rPr>
        <w:t xml:space="preserve">and </w:t>
      </w:r>
      <m:oMath>
        <m:r>
          <w:rPr>
            <w:rFonts w:ascii="Cambria Math"/>
          </w:rPr>
          <m:t>μ</m:t>
        </m:r>
      </m:oMath>
      <w:r w:rsidRPr="00764F3A">
        <w:rPr>
          <w:lang w:val="en-US"/>
        </w:rPr>
        <w:t xml:space="preserve"> is a SCS configuration for the SL PRS transmission</w:t>
      </w:r>
    </w:p>
    <w:p w14:paraId="06F6D085" w14:textId="3B20E29E" w:rsidR="00764F3A" w:rsidRDefault="007365B8" w:rsidP="007365B8">
      <w:pPr>
        <w:pStyle w:val="B1"/>
        <w:rPr>
          <w:color w:val="000000"/>
        </w:rPr>
      </w:pPr>
      <w:r>
        <w:rPr>
          <w:lang w:val="en-GB"/>
        </w:rPr>
        <w:t>-</w:t>
      </w:r>
      <w:r>
        <w:rPr>
          <w:lang w:val="en-GB"/>
        </w:rPr>
        <w:tab/>
      </w:r>
      <w:r w:rsidR="00764F3A" w:rsidRPr="00764F3A">
        <w:t xml:space="preserve">if a value for </w:t>
      </w:r>
      <m:oMath>
        <m:sSub>
          <m:sSubPr>
            <m:ctrlPr>
              <w:rPr>
                <w:rFonts w:ascii="Cambria Math" w:hAnsi="Cambria Math"/>
                <w:i/>
              </w:rPr>
            </m:ctrlPr>
          </m:sSubPr>
          <m:e>
            <m:r>
              <w:rPr>
                <w:rFonts w:ascii="Cambria Math" w:hAnsi="Cambria Math"/>
              </w:rPr>
              <m:t>P</m:t>
            </m:r>
          </m:e>
          <m:sub>
            <m:r>
              <m:rPr>
                <m:sty m:val="p"/>
              </m:rPr>
              <w:rPr>
                <w:rFonts w:ascii="Cambria Math" w:hAnsi="Cambria Math"/>
              </w:rPr>
              <m:t>O,SL</m:t>
            </m:r>
          </m:sub>
        </m:sSub>
      </m:oMath>
      <w:r w:rsidR="00764F3A" w:rsidRPr="00764F3A">
        <w:rPr>
          <w:color w:val="000000"/>
        </w:rPr>
        <w:t xml:space="preserve"> is provided</w:t>
      </w:r>
    </w:p>
    <w:p w14:paraId="45AA3577" w14:textId="55A0227F" w:rsidR="00764F3A" w:rsidRPr="00764F3A" w:rsidRDefault="007365B8" w:rsidP="007365B8">
      <w:pPr>
        <w:pStyle w:val="B2"/>
      </w:pPr>
      <w:r>
        <w:t>-</w:t>
      </w:r>
      <w:r>
        <w:tab/>
      </w:r>
      <m:oMath>
        <m:sSub>
          <m:sSubPr>
            <m:ctrlPr>
              <w:rPr>
                <w:rFonts w:ascii="Cambria Math" w:hAnsi="Cambria Math"/>
                <w:i/>
              </w:rPr>
            </m:ctrlPr>
          </m:sSubPr>
          <m:e>
            <m:r>
              <w:rPr>
                <w:rFonts w:ascii="Cambria Math" w:hAnsi="Cambria Math"/>
              </w:rPr>
              <m:t>P</m:t>
            </m:r>
          </m:e>
          <m:sub>
            <m:r>
              <m:rPr>
                <m:sty m:val="p"/>
              </m:rPr>
              <w:rPr>
                <w:rFonts w:ascii="Cambria Math" w:hAnsi="Cambria Math"/>
              </w:rPr>
              <m:t>SL-PRS,SL</m:t>
            </m:r>
          </m:sub>
        </m:sSub>
        <m:d>
          <m:dPr>
            <m:ctrlPr>
              <w:rPr>
                <w:rFonts w:ascii="Cambria Math" w:eastAsia="Malgun Gothic" w:hAnsi="Cambria Math"/>
                <w:i/>
                <w:szCs w:val="22"/>
                <w:lang w:eastAsia="zh-CN"/>
              </w:rPr>
            </m:ctrlPr>
          </m:dPr>
          <m:e>
            <m:r>
              <w:rPr>
                <w:rFonts w:ascii="Cambria Math" w:hAnsi="Cambria Math"/>
              </w:rPr>
              <m:t>i</m:t>
            </m:r>
          </m:e>
        </m:d>
        <m:r>
          <w:rPr>
            <w:rFonts w:ascii="Cambria Math" w:eastAsia="Malgun Gothic" w:hAnsi="Cambria Math"/>
            <w:szCs w:val="22"/>
            <w:lang w:eastAsia="zh-CN"/>
          </w:rPr>
          <m:t>=</m:t>
        </m:r>
        <m:sSub>
          <m:sSubPr>
            <m:ctrlPr>
              <w:rPr>
                <w:rFonts w:ascii="Cambria Math" w:hAnsi="Cambria Math"/>
                <w:i/>
              </w:rPr>
            </m:ctrlPr>
          </m:sSubPr>
          <m:e>
            <m:r>
              <w:rPr>
                <w:rFonts w:ascii="Cambria Math" w:hAnsi="Cambria Math"/>
              </w:rPr>
              <m:t>P</m:t>
            </m:r>
          </m:e>
          <m:sub>
            <m:r>
              <m:rPr>
                <m:sty m:val="p"/>
              </m:rPr>
              <w:rPr>
                <w:rFonts w:ascii="Cambria Math" w:hAnsi="Cambria Math"/>
              </w:rPr>
              <m:t>O,SL</m:t>
            </m:r>
          </m:sub>
        </m:sSub>
        <m:r>
          <w:rPr>
            <w:rFonts w:ascii="Cambria Math" w:hAnsi="Cambria Math"/>
          </w:rPr>
          <m:t>+10</m:t>
        </m:r>
        <m:func>
          <m:funcPr>
            <m:ctrlPr>
              <w:rPr>
                <w:rFonts w:ascii="Cambria Math" w:hAnsi="Cambria Math"/>
                <w:i/>
              </w:rPr>
            </m:ctrlPr>
          </m:funcPr>
          <m:fName>
            <m:sSub>
              <m:sSubPr>
                <m:ctrlPr>
                  <w:rPr>
                    <w:rFonts w:ascii="Cambria Math" w:eastAsia="Malgun Gothic" w:hAnsi="Cambria Math"/>
                    <w:szCs w:val="22"/>
                    <w:lang w:eastAsia="zh-CN"/>
                  </w:rPr>
                </m:ctrlPr>
              </m:sSubPr>
              <m:e>
                <m:r>
                  <m:rPr>
                    <m:sty m:val="p"/>
                  </m:rPr>
                  <w:rPr>
                    <w:rFonts w:ascii="Cambria Math" w:hAnsi="Cambria Math"/>
                  </w:rPr>
                  <m:t>log</m:t>
                </m:r>
              </m:e>
              <m:sub>
                <m:r>
                  <w:rPr>
                    <w:rFonts w:ascii="Cambria Math" w:hAnsi="Cambria Math"/>
                  </w:rPr>
                  <m:t>10</m:t>
                </m:r>
              </m:sub>
            </m:sSub>
          </m:fName>
          <m:e>
            <m:d>
              <m:dPr>
                <m:ctrlPr>
                  <w:rPr>
                    <w:rFonts w:ascii="Cambria Math" w:eastAsia="Malgun Gothic" w:hAnsi="Cambria Math"/>
                    <w:i/>
                    <w:szCs w:val="22"/>
                    <w:lang w:eastAsia="zh-CN"/>
                  </w:rPr>
                </m:ctrlPr>
              </m:dPr>
              <m:e>
                <m:sSup>
                  <m:sSupPr>
                    <m:ctrlPr>
                      <w:rPr>
                        <w:rFonts w:ascii="Cambria Math" w:hAnsi="Cambria Math"/>
                        <w:i/>
                      </w:rPr>
                    </m:ctrlPr>
                  </m:sSupPr>
                  <m:e>
                    <m:r>
                      <w:rPr>
                        <w:rFonts w:ascii="Cambria Math" w:hAnsi="Cambria Math"/>
                      </w:rPr>
                      <m:t>2</m:t>
                    </m:r>
                  </m:e>
                  <m:sup>
                    <m:r>
                      <w:rPr>
                        <w:rFonts w:ascii="Cambria Math" w:hAnsi="Cambria Math"/>
                      </w:rPr>
                      <m:t>μ</m:t>
                    </m:r>
                  </m:sup>
                </m:sSup>
                <m:r>
                  <w:rPr>
                    <w:rFonts w:ascii="Cambria Math" w:hAnsi="Cambria Math"/>
                  </w:rPr>
                  <m:t>∙</m:t>
                </m:r>
                <m:sSubSup>
                  <m:sSubSupPr>
                    <m:ctrlPr>
                      <w:rPr>
                        <w:rFonts w:ascii="Cambria Math" w:hAnsi="Cambria Math"/>
                        <w:i/>
                      </w:rPr>
                    </m:ctrlPr>
                  </m:sSubSupPr>
                  <m:e>
                    <m:r>
                      <w:rPr>
                        <w:rFonts w:ascii="Cambria Math" w:hAnsi="Cambria Math"/>
                      </w:rPr>
                      <m:t>M</m:t>
                    </m:r>
                  </m:e>
                  <m:sub>
                    <m:r>
                      <m:rPr>
                        <m:sty m:val="p"/>
                      </m:rPr>
                      <w:rPr>
                        <w:rFonts w:ascii="Cambria Math" w:hAnsi="Cambria Math"/>
                      </w:rPr>
                      <m:t>RB</m:t>
                    </m:r>
                  </m:sub>
                  <m:sup>
                    <m:r>
                      <m:rPr>
                        <m:sty m:val="p"/>
                      </m:rPr>
                      <w:rPr>
                        <w:rFonts w:ascii="Cambria Math" w:hAnsi="Cambria Math"/>
                      </w:rPr>
                      <m:t>SL-PRS</m:t>
                    </m:r>
                  </m:sup>
                </m:sSubSup>
                <m:d>
                  <m:dPr>
                    <m:ctrlPr>
                      <w:rPr>
                        <w:rFonts w:ascii="Cambria Math" w:hAnsi="Cambria Math"/>
                        <w:i/>
                      </w:rPr>
                    </m:ctrlPr>
                  </m:dPr>
                  <m:e>
                    <m:r>
                      <w:rPr>
                        <w:rFonts w:ascii="Cambria Math" w:hAnsi="Cambria Math"/>
                      </w:rPr>
                      <m:t>i</m:t>
                    </m:r>
                  </m:e>
                </m:d>
              </m:e>
            </m:d>
          </m:e>
        </m:fun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SL</m:t>
            </m:r>
          </m:sub>
        </m:sSub>
        <m:r>
          <w:rPr>
            <w:rFonts w:ascii="Cambria Math" w:hAnsi="Cambria Math"/>
          </w:rPr>
          <m:t>∙P</m:t>
        </m:r>
        <m:sSub>
          <m:sSubPr>
            <m:ctrlPr>
              <w:rPr>
                <w:rFonts w:ascii="Cambria Math" w:hAnsi="Cambria Math"/>
                <w:i/>
              </w:rPr>
            </m:ctrlPr>
          </m:sSubPr>
          <m:e>
            <m:r>
              <w:rPr>
                <w:rFonts w:ascii="Cambria Math" w:hAnsi="Cambria Math"/>
              </w:rPr>
              <m:t>L</m:t>
            </m:r>
          </m:e>
          <m:sub>
            <m:r>
              <w:rPr>
                <w:rFonts w:ascii="Cambria Math" w:hAnsi="Cambria Math"/>
              </w:rPr>
              <m:t>SL</m:t>
            </m:r>
          </m:sub>
        </m:sSub>
      </m:oMath>
      <w:r w:rsidR="00764F3A" w:rsidRPr="00764F3A">
        <w:t xml:space="preserve"> [dBm]</w:t>
      </w:r>
    </w:p>
    <w:p w14:paraId="2DD1E415" w14:textId="655A4DC4" w:rsidR="00764F3A" w:rsidRDefault="007365B8" w:rsidP="007365B8">
      <w:pPr>
        <w:pStyle w:val="B1"/>
      </w:pPr>
      <w:r>
        <w:rPr>
          <w:lang w:val="en-GB"/>
        </w:rPr>
        <w:t>-</w:t>
      </w:r>
      <w:r>
        <w:rPr>
          <w:lang w:val="en-GB"/>
        </w:rPr>
        <w:tab/>
      </w:r>
      <w:r w:rsidR="00764F3A" w:rsidRPr="00764F3A">
        <w:t>else</w:t>
      </w:r>
    </w:p>
    <w:p w14:paraId="6827C8E7" w14:textId="5ED6D6B7" w:rsidR="00764F3A" w:rsidRPr="007365B8" w:rsidRDefault="007365B8" w:rsidP="007365B8">
      <w:pPr>
        <w:pStyle w:val="B2"/>
        <w:rPr>
          <w:color w:val="000000"/>
        </w:rPr>
      </w:pPr>
      <w:r>
        <w:t>-</w:t>
      </w:r>
      <w:r>
        <w:tab/>
      </w:r>
      <m:oMath>
        <m:sSub>
          <m:sSubPr>
            <m:ctrlPr>
              <w:rPr>
                <w:rFonts w:ascii="Cambria Math" w:hAnsi="Cambria Math"/>
                <w:i/>
              </w:rPr>
            </m:ctrlPr>
          </m:sSubPr>
          <m:e>
            <m:r>
              <w:rPr>
                <w:rFonts w:ascii="Cambria Math" w:hAnsi="Cambria Math"/>
              </w:rPr>
              <m:t>P</m:t>
            </m:r>
          </m:e>
          <m:sub>
            <m:r>
              <m:rPr>
                <m:sty m:val="p"/>
              </m:rPr>
              <w:rPr>
                <w:rFonts w:ascii="Cambria Math" w:hAnsi="Cambria Math"/>
              </w:rPr>
              <m:t>SL-PRS,SL</m:t>
            </m:r>
          </m:sub>
        </m:sSub>
        <m:d>
          <m:dPr>
            <m:ctrlPr>
              <w:rPr>
                <w:rFonts w:ascii="Cambria Math" w:eastAsia="Malgun Gothic" w:hAnsi="Cambria Math"/>
                <w:i/>
                <w:szCs w:val="22"/>
                <w:lang w:eastAsia="zh-CN"/>
              </w:rPr>
            </m:ctrlPr>
          </m:dPr>
          <m:e>
            <m:r>
              <w:rPr>
                <w:rFonts w:ascii="Cambria Math" w:hAnsi="Cambria Math"/>
              </w:rPr>
              <m:t>i</m:t>
            </m:r>
          </m:e>
        </m:d>
        <m:r>
          <w:rPr>
            <w:rFonts w:ascii="Cambria Math" w:eastAsia="Malgun Gothic" w:hAnsi="Cambria Math"/>
            <w:szCs w:val="22"/>
            <w:lang w:eastAsia="zh-CN"/>
          </w:rPr>
          <m:t>=</m:t>
        </m:r>
        <m:func>
          <m:funcPr>
            <m:ctrlPr>
              <w:rPr>
                <w:rFonts w:ascii="Cambria Math" w:hAnsi="Cambria Math"/>
                <w:i/>
              </w:rPr>
            </m:ctrlPr>
          </m:funcPr>
          <m:fName>
            <m:r>
              <m:rPr>
                <m:sty m:val="p"/>
              </m:rPr>
              <w:rPr>
                <w:rFonts w:ascii="Cambria Math" w:hAnsi="Cambria Math"/>
              </w:rPr>
              <m:t>min</m:t>
            </m:r>
          </m:fName>
          <m:e>
            <m:d>
              <m:dPr>
                <m:ctrlPr>
                  <w:rPr>
                    <w:rFonts w:ascii="Cambria Math" w:eastAsia="Malgun Gothic" w:hAnsi="Cambria Math"/>
                    <w:i/>
                    <w:szCs w:val="22"/>
                    <w:lang w:eastAsia="zh-CN"/>
                  </w:rPr>
                </m:ctrlPr>
              </m:dPr>
              <m:e>
                <m:sSub>
                  <m:sSubPr>
                    <m:ctrlPr>
                      <w:rPr>
                        <w:rFonts w:ascii="Cambria Math" w:hAnsi="Cambria Math"/>
                        <w:i/>
                      </w:rPr>
                    </m:ctrlPr>
                  </m:sSubPr>
                  <m:e>
                    <m:r>
                      <w:rPr>
                        <w:rFonts w:ascii="Cambria Math" w:hAnsi="Cambria Math"/>
                      </w:rPr>
                      <m:t>P</m:t>
                    </m:r>
                  </m:e>
                  <m:sub>
                    <m:r>
                      <m:rPr>
                        <m:sty m:val="p"/>
                      </m:rPr>
                      <w:rPr>
                        <w:rFonts w:ascii="Cambria Math" w:hAnsi="Cambria Math"/>
                      </w:rPr>
                      <m:t>CMAX</m:t>
                    </m:r>
                  </m:sub>
                </m:sSub>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SL-PRS,D</m:t>
                    </m:r>
                  </m:sub>
                </m:sSub>
                <m:d>
                  <m:dPr>
                    <m:ctrlPr>
                      <w:rPr>
                        <w:rFonts w:ascii="Cambria Math" w:eastAsia="Malgun Gothic" w:hAnsi="Cambria Math"/>
                        <w:i/>
                        <w:szCs w:val="22"/>
                        <w:lang w:eastAsia="zh-CN"/>
                      </w:rPr>
                    </m:ctrlPr>
                  </m:dPr>
                  <m:e>
                    <m:r>
                      <w:rPr>
                        <w:rFonts w:ascii="Cambria Math" w:hAnsi="Cambria Math"/>
                      </w:rPr>
                      <m:t>i</m:t>
                    </m:r>
                  </m:e>
                </m:d>
              </m:e>
            </m:d>
          </m:e>
        </m:func>
      </m:oMath>
      <w:r w:rsidR="00764F3A" w:rsidRPr="00764F3A">
        <w:t xml:space="preserve"> [dBm]</w:t>
      </w:r>
    </w:p>
    <w:p w14:paraId="59532680" w14:textId="77777777" w:rsidR="00764F3A" w:rsidRPr="00764F3A" w:rsidRDefault="00764F3A" w:rsidP="007365B8">
      <w:pPr>
        <w:pStyle w:val="B2"/>
      </w:pPr>
      <w:r w:rsidRPr="00764F3A">
        <w:t>where</w:t>
      </w:r>
    </w:p>
    <w:p w14:paraId="65F8DB82" w14:textId="1D30F7AB" w:rsidR="00764F3A" w:rsidRPr="00764F3A" w:rsidRDefault="007365B8" w:rsidP="007365B8">
      <w:pPr>
        <w:pStyle w:val="B3"/>
        <w:rPr>
          <w:color w:val="000000"/>
          <w:lang w:val="en-US"/>
        </w:rPr>
      </w:pPr>
      <w:r>
        <w:rPr>
          <w:lang w:eastAsia="ja-JP"/>
        </w:rPr>
        <w:t>-</w:t>
      </w:r>
      <w:r>
        <w:rPr>
          <w:lang w:eastAsia="ja-JP"/>
        </w:rPr>
        <w:tab/>
      </w:r>
      <w:r w:rsidR="00764F3A" w:rsidRPr="00764F3A">
        <w:rPr>
          <w:lang w:eastAsia="ja-JP"/>
        </w:rPr>
        <w:t xml:space="preserve">if the resource pool is </w:t>
      </w:r>
      <w:r w:rsidR="00E169CB">
        <w:rPr>
          <w:lang w:eastAsia="ja-JP"/>
        </w:rPr>
        <w:t>a shared SL PRS resource pool</w:t>
      </w:r>
      <w:r w:rsidR="00764F3A" w:rsidRPr="00764F3A">
        <w:rPr>
          <w:lang w:eastAsia="ja-JP"/>
        </w:rPr>
        <w:t xml:space="preserve">, </w:t>
      </w:r>
      <m:oMath>
        <m:sSub>
          <m:sSubPr>
            <m:ctrlPr>
              <w:rPr>
                <w:rFonts w:ascii="Cambria Math" w:hAnsi="Cambria Math"/>
                <w:i/>
              </w:rPr>
            </m:ctrlPr>
          </m:sSubPr>
          <m:e>
            <m:r>
              <w:rPr>
                <w:rFonts w:ascii="Cambria Math" w:hAnsi="Cambria Math"/>
              </w:rPr>
              <m:t>P</m:t>
            </m:r>
          </m:e>
          <m:sub>
            <m:r>
              <m:rPr>
                <m:sty m:val="p"/>
              </m:rPr>
              <w:rPr>
                <w:rFonts w:ascii="Cambria Math" w:hAnsi="Cambria Math"/>
              </w:rPr>
              <m:t>O,SL</m:t>
            </m:r>
          </m:sub>
        </m:sSub>
      </m:oMath>
      <w:r w:rsidR="00764F3A" w:rsidRPr="00764F3A">
        <w:t xml:space="preserve"> is a value of </w:t>
      </w:r>
      <w:r w:rsidR="00764F3A" w:rsidRPr="00764F3A">
        <w:rPr>
          <w:i/>
        </w:rPr>
        <w:t xml:space="preserve">sl-P0-PSSCH-PSCCH </w:t>
      </w:r>
      <w:r w:rsidR="00764F3A" w:rsidRPr="00764F3A">
        <w:t>or</w:t>
      </w:r>
      <w:r w:rsidR="00764F3A" w:rsidRPr="00764F3A">
        <w:rPr>
          <w:i/>
        </w:rPr>
        <w:t xml:space="preserve"> sl-P0-PSSCH-PSCCH-r17</w:t>
      </w:r>
      <w:r w:rsidR="00764F3A" w:rsidRPr="00764F3A">
        <w:rPr>
          <w:lang w:val="en-US"/>
        </w:rPr>
        <w:t xml:space="preserve">; else, </w:t>
      </w:r>
      <w:r w:rsidR="00764F3A" w:rsidRPr="00764F3A">
        <w:rPr>
          <w:lang w:eastAsia="ja-JP"/>
        </w:rPr>
        <w:t>if the resource pool is dedicated for SL PRS transmissions</w:t>
      </w:r>
      <w:r w:rsidR="00764F3A" w:rsidRPr="00764F3A">
        <w:rPr>
          <w:lang w:val="en-US"/>
        </w:rPr>
        <w:t xml:space="preserve">, </w:t>
      </w:r>
      <m:oMath>
        <m:sSub>
          <m:sSubPr>
            <m:ctrlPr>
              <w:rPr>
                <w:rFonts w:ascii="Cambria Math" w:hAnsi="Cambria Math"/>
                <w:i/>
              </w:rPr>
            </m:ctrlPr>
          </m:sSubPr>
          <m:e>
            <m:r>
              <w:rPr>
                <w:rFonts w:ascii="Cambria Math" w:hAnsi="Cambria Math"/>
              </w:rPr>
              <m:t>P</m:t>
            </m:r>
          </m:e>
          <m:sub>
            <m:r>
              <m:rPr>
                <m:sty m:val="p"/>
              </m:rPr>
              <w:rPr>
                <w:rFonts w:ascii="Cambria Math" w:hAnsi="Cambria Math"/>
              </w:rPr>
              <m:t>O,SL</m:t>
            </m:r>
          </m:sub>
        </m:sSub>
      </m:oMath>
      <w:r w:rsidR="00764F3A" w:rsidRPr="00764F3A">
        <w:t xml:space="preserve"> is a value of </w:t>
      </w:r>
      <w:r w:rsidR="00764F3A" w:rsidRPr="00764F3A">
        <w:rPr>
          <w:i/>
        </w:rPr>
        <w:t>sl-P0-SL</w:t>
      </w:r>
      <w:r w:rsidR="006E2918">
        <w:rPr>
          <w:i/>
        </w:rPr>
        <w:t>-</w:t>
      </w:r>
      <w:r w:rsidR="00764F3A" w:rsidRPr="00764F3A">
        <w:rPr>
          <w:i/>
        </w:rPr>
        <w:t>PRS</w:t>
      </w:r>
    </w:p>
    <w:p w14:paraId="1709F05B" w14:textId="437D838E" w:rsidR="00764F3A" w:rsidRDefault="007365B8" w:rsidP="007365B8">
      <w:pPr>
        <w:pStyle w:val="B3"/>
        <w:rPr>
          <w:i/>
        </w:rPr>
      </w:pPr>
      <w:r>
        <w:rPr>
          <w:iCs/>
          <w:lang w:eastAsia="ja-JP"/>
        </w:rPr>
        <w:t>-</w:t>
      </w:r>
      <w:r>
        <w:rPr>
          <w:iCs/>
          <w:lang w:eastAsia="ja-JP"/>
        </w:rPr>
        <w:tab/>
      </w:r>
      <w:r w:rsidR="00764F3A" w:rsidRPr="00764F3A">
        <w:rPr>
          <w:iCs/>
          <w:lang w:eastAsia="ja-JP"/>
        </w:rPr>
        <w:t>if</w:t>
      </w:r>
      <w:r w:rsidR="00764F3A" w:rsidRPr="00764F3A">
        <w:rPr>
          <w:lang w:eastAsia="ja-JP"/>
        </w:rPr>
        <w:t xml:space="preserve"> the resource pool is </w:t>
      </w:r>
      <w:r w:rsidR="00E169CB">
        <w:rPr>
          <w:lang w:eastAsia="ja-JP"/>
        </w:rPr>
        <w:t>a shared SL PRS resource pool</w:t>
      </w:r>
      <w:r w:rsidR="00764F3A" w:rsidRPr="00764F3A">
        <w:rPr>
          <w:lang w:eastAsia="ja-JP"/>
        </w:rPr>
        <w:t xml:space="preserve">, </w:t>
      </w:r>
      <m:oMath>
        <m:sSub>
          <m:sSubPr>
            <m:ctrlPr>
              <w:rPr>
                <w:rFonts w:ascii="Cambria Math" w:hAnsi="Cambria Math"/>
                <w:i/>
              </w:rPr>
            </m:ctrlPr>
          </m:sSubPr>
          <m:e>
            <m:r>
              <w:rPr>
                <w:rFonts w:ascii="Cambria Math" w:hAnsi="Cambria Math"/>
              </w:rPr>
              <m:t>α</m:t>
            </m:r>
          </m:e>
          <m:sub>
            <m:r>
              <w:rPr>
                <w:rFonts w:ascii="Cambria Math" w:hAnsi="Cambria Math"/>
              </w:rPr>
              <m:t>SL</m:t>
            </m:r>
          </m:sub>
        </m:sSub>
      </m:oMath>
      <w:r w:rsidR="00764F3A" w:rsidRPr="00764F3A">
        <w:t xml:space="preserve"> is a value of </w:t>
      </w:r>
      <w:r w:rsidR="00764F3A" w:rsidRPr="00764F3A">
        <w:rPr>
          <w:i/>
        </w:rPr>
        <w:t>sl-Alpha-PSSCH-PSCCH</w:t>
      </w:r>
      <w:r w:rsidR="00764F3A" w:rsidRPr="00764F3A">
        <w:rPr>
          <w:iCs/>
        </w:rPr>
        <w:t xml:space="preserve">, if provided and </w:t>
      </w:r>
      <m:oMath>
        <m:sSub>
          <m:sSubPr>
            <m:ctrlPr>
              <w:rPr>
                <w:rFonts w:ascii="Cambria Math" w:hAnsi="Cambria Math"/>
                <w:i/>
              </w:rPr>
            </m:ctrlPr>
          </m:sSubPr>
          <m:e>
            <m:r>
              <w:rPr>
                <w:rFonts w:ascii="Cambria Math" w:hAnsi="Cambria Math"/>
              </w:rPr>
              <m:t>α</m:t>
            </m:r>
          </m:e>
          <m:sub>
            <m:r>
              <w:rPr>
                <w:rFonts w:ascii="Cambria Math" w:hAnsi="Cambria Math"/>
              </w:rPr>
              <m:t>SL</m:t>
            </m:r>
          </m:sub>
        </m:sSub>
        <m:r>
          <w:rPr>
            <w:rFonts w:ascii="Cambria Math" w:hAnsi="Cambria Math"/>
          </w:rPr>
          <m:t>=1</m:t>
        </m:r>
      </m:oMath>
      <w:r w:rsidR="00764F3A" w:rsidRPr="00764F3A">
        <w:rPr>
          <w:iCs/>
        </w:rPr>
        <w:t xml:space="preserve"> if </w:t>
      </w:r>
      <w:r w:rsidR="00764F3A" w:rsidRPr="00764F3A">
        <w:rPr>
          <w:i/>
        </w:rPr>
        <w:t>sl-Alpha-PSSCH-PSCCH</w:t>
      </w:r>
      <w:r w:rsidR="00764F3A" w:rsidRPr="00764F3A">
        <w:rPr>
          <w:iCs/>
        </w:rPr>
        <w:t xml:space="preserve"> is not provided</w:t>
      </w:r>
      <w:r w:rsidR="00764F3A" w:rsidRPr="00764F3A">
        <w:rPr>
          <w:lang w:val="en-US"/>
        </w:rPr>
        <w:t xml:space="preserve">; else, </w:t>
      </w:r>
      <w:r w:rsidR="00764F3A" w:rsidRPr="00764F3A">
        <w:rPr>
          <w:lang w:eastAsia="ja-JP"/>
        </w:rPr>
        <w:t xml:space="preserve">if the resource pool is </w:t>
      </w:r>
      <w:r w:rsidR="00E169CB">
        <w:rPr>
          <w:lang w:eastAsia="ja-JP"/>
        </w:rPr>
        <w:t xml:space="preserve">a </w:t>
      </w:r>
      <w:r w:rsidR="00764F3A" w:rsidRPr="00764F3A">
        <w:rPr>
          <w:lang w:eastAsia="ja-JP"/>
        </w:rPr>
        <w:t xml:space="preserve">dedicated SL PRS </w:t>
      </w:r>
      <w:r w:rsidR="00E169CB" w:rsidRPr="00764F3A">
        <w:rPr>
          <w:lang w:eastAsia="ja-JP"/>
        </w:rPr>
        <w:t>resource pool</w:t>
      </w:r>
      <w:r w:rsidR="00764F3A" w:rsidRPr="00764F3A">
        <w:rPr>
          <w:lang w:val="en-US"/>
        </w:rPr>
        <w:t xml:space="preserve">, </w:t>
      </w:r>
      <m:oMath>
        <m:sSub>
          <m:sSubPr>
            <m:ctrlPr>
              <w:rPr>
                <w:rFonts w:ascii="Cambria Math" w:hAnsi="Cambria Math"/>
                <w:i/>
              </w:rPr>
            </m:ctrlPr>
          </m:sSubPr>
          <m:e>
            <m:r>
              <w:rPr>
                <w:rFonts w:ascii="Cambria Math" w:hAnsi="Cambria Math"/>
              </w:rPr>
              <m:t>α</m:t>
            </m:r>
          </m:e>
          <m:sub>
            <m:r>
              <w:rPr>
                <w:rFonts w:ascii="Cambria Math" w:hAnsi="Cambria Math"/>
              </w:rPr>
              <m:t>SL</m:t>
            </m:r>
          </m:sub>
        </m:sSub>
      </m:oMath>
      <w:r w:rsidR="00764F3A" w:rsidRPr="00764F3A">
        <w:t xml:space="preserve"> is provided by </w:t>
      </w:r>
      <w:r w:rsidR="00764F3A" w:rsidRPr="00764F3A">
        <w:rPr>
          <w:i/>
        </w:rPr>
        <w:t>sl-Alpha-SL</w:t>
      </w:r>
      <w:r w:rsidR="006E2918">
        <w:rPr>
          <w:i/>
        </w:rPr>
        <w:t>-</w:t>
      </w:r>
      <w:r w:rsidR="00764F3A" w:rsidRPr="00764F3A">
        <w:rPr>
          <w:i/>
        </w:rPr>
        <w:t>PRS</w:t>
      </w:r>
      <w:r w:rsidR="006E2918">
        <w:rPr>
          <w:i/>
        </w:rPr>
        <w:t xml:space="preserve"> </w:t>
      </w:r>
      <w:r w:rsidR="006E2918" w:rsidRPr="00E41439">
        <w:rPr>
          <w:iCs/>
        </w:rPr>
        <w:t xml:space="preserve">if provided, and </w:t>
      </w:r>
      <m:oMath>
        <m:sSub>
          <m:sSubPr>
            <m:ctrlPr>
              <w:rPr>
                <w:rFonts w:ascii="Cambria Math" w:hAnsi="Cambria Math"/>
                <w:i/>
              </w:rPr>
            </m:ctrlPr>
          </m:sSubPr>
          <m:e>
            <m:r>
              <w:rPr>
                <w:rFonts w:ascii="Cambria Math" w:hAnsi="Cambria Math"/>
              </w:rPr>
              <m:t>α</m:t>
            </m:r>
          </m:e>
          <m:sub>
            <m:r>
              <w:rPr>
                <w:rFonts w:ascii="Cambria Math" w:hAnsi="Cambria Math"/>
              </w:rPr>
              <m:t>SL</m:t>
            </m:r>
          </m:sub>
        </m:sSub>
        <m:r>
          <w:rPr>
            <w:rFonts w:ascii="Cambria Math" w:hAnsi="Cambria Math"/>
          </w:rPr>
          <m:t>=1</m:t>
        </m:r>
      </m:oMath>
      <w:r w:rsidR="006E2918" w:rsidRPr="00E41439">
        <w:rPr>
          <w:iCs/>
        </w:rPr>
        <w:t xml:space="preserve"> if </w:t>
      </w:r>
      <w:r w:rsidR="006E2918" w:rsidRPr="00E41439">
        <w:rPr>
          <w:i/>
        </w:rPr>
        <w:t>sl-Alpha-SL-PRS</w:t>
      </w:r>
      <w:r w:rsidR="006E2918" w:rsidRPr="00E41439">
        <w:rPr>
          <w:iCs/>
        </w:rPr>
        <w:t xml:space="preserve"> is not provided</w:t>
      </w:r>
    </w:p>
    <w:p w14:paraId="73569CA3" w14:textId="4DEE2176" w:rsidR="00764F3A" w:rsidRPr="00764F3A" w:rsidRDefault="00084410" w:rsidP="00084410">
      <w:pPr>
        <w:pStyle w:val="B3"/>
        <w:rPr>
          <w:color w:val="000000"/>
          <w:lang w:val="en-US"/>
        </w:rPr>
      </w:pPr>
      <w:r>
        <w:rPr>
          <w:i/>
        </w:rPr>
        <w:t>-</w:t>
      </w:r>
      <w:r>
        <w:rPr>
          <w:i/>
        </w:rPr>
        <w:tab/>
      </w:r>
      <m:oMath>
        <m:r>
          <w:rPr>
            <w:rFonts w:ascii="Cambria Math" w:hAnsi="Cambria Math"/>
          </w:rPr>
          <m:t>P</m:t>
        </m:r>
        <m:sSub>
          <m:sSubPr>
            <m:ctrlPr>
              <w:rPr>
                <w:rFonts w:ascii="Cambria Math" w:hAnsi="Cambria Math"/>
                <w:i/>
              </w:rPr>
            </m:ctrlPr>
          </m:sSubPr>
          <m:e>
            <m:r>
              <w:rPr>
                <w:rFonts w:ascii="Cambria Math" w:hAnsi="Cambria Math"/>
              </w:rPr>
              <m:t>L</m:t>
            </m:r>
          </m:e>
          <m:sub>
            <m:r>
              <w:rPr>
                <w:rFonts w:ascii="Cambria Math" w:hAnsi="Cambria Math"/>
              </w:rPr>
              <m:t>SL</m:t>
            </m:r>
          </m:sub>
        </m:sSub>
        <m:r>
          <w:rPr>
            <w:rFonts w:ascii="Cambria Math" w:hAnsi="Cambria Math"/>
          </w:rPr>
          <m:t>=</m:t>
        </m:r>
        <m:r>
          <w:rPr>
            <w:rFonts w:ascii="Cambria Math" w:eastAsia="MS Mincho" w:hAnsi="Cambria Math"/>
          </w:rPr>
          <m:t>referenceSignalPower</m:t>
        </m:r>
        <m:r>
          <m:rPr>
            <m:sty m:val="p"/>
          </m:rPr>
          <w:rPr>
            <w:rFonts w:ascii="Cambria Math" w:eastAsia="MS Mincho" w:hAnsi="Cambria Math"/>
          </w:rPr>
          <m:t xml:space="preserve"> – </m:t>
        </m:r>
        <m:r>
          <w:rPr>
            <w:rFonts w:ascii="Cambria Math" w:eastAsia="MS Mincho" w:hAnsi="Cambria Math"/>
          </w:rPr>
          <m:t>higher layer filtered RSRP</m:t>
        </m:r>
      </m:oMath>
      <w:r w:rsidR="00764F3A" w:rsidRPr="00764F3A">
        <w:t xml:space="preserve">, where </w:t>
      </w:r>
    </w:p>
    <w:p w14:paraId="5CC4014A" w14:textId="6281B1A7" w:rsidR="00764F3A" w:rsidRPr="00764F3A" w:rsidRDefault="00084410" w:rsidP="00084410">
      <w:pPr>
        <w:pStyle w:val="B4"/>
      </w:pPr>
      <w:r>
        <w:rPr>
          <w:iCs/>
        </w:rPr>
        <w:t>-</w:t>
      </w:r>
      <w:r>
        <w:rPr>
          <w:iCs/>
        </w:rPr>
        <w:tab/>
      </w:r>
      <m:oMath>
        <m:r>
          <w:rPr>
            <w:rFonts w:ascii="Cambria Math" w:hAnsi="Cambria Math"/>
          </w:rPr>
          <m:t>referenceSignalPower</m:t>
        </m:r>
      </m:oMath>
      <w:r w:rsidR="00764F3A" w:rsidRPr="00764F3A">
        <w:rPr>
          <w:lang w:val="en-US"/>
        </w:rPr>
        <w:t xml:space="preserve"> is </w:t>
      </w:r>
      <w:r w:rsidR="00764F3A" w:rsidRPr="00764F3A">
        <w:t>obtained</w:t>
      </w:r>
    </w:p>
    <w:p w14:paraId="66725942" w14:textId="6915B52A" w:rsidR="00764F3A" w:rsidRPr="00764F3A" w:rsidRDefault="00084410" w:rsidP="00084410">
      <w:pPr>
        <w:pStyle w:val="B5"/>
      </w:pPr>
      <w:r>
        <w:rPr>
          <w:rFonts w:eastAsia="MS Mincho"/>
          <w:lang w:eastAsia="ja-JP"/>
        </w:rPr>
        <w:lastRenderedPageBreak/>
        <w:t>-</w:t>
      </w:r>
      <w:r>
        <w:rPr>
          <w:rFonts w:eastAsia="MS Mincho"/>
          <w:lang w:eastAsia="ja-JP"/>
        </w:rPr>
        <w:tab/>
      </w:r>
      <w:r w:rsidR="00764F3A" w:rsidRPr="00764F3A">
        <w:rPr>
          <w:rFonts w:eastAsia="MS Mincho"/>
          <w:lang w:eastAsia="ja-JP"/>
        </w:rPr>
        <w:t xml:space="preserve">if the resource pool is </w:t>
      </w:r>
      <w:r w:rsidR="00E169CB">
        <w:rPr>
          <w:lang w:eastAsia="ja-JP"/>
        </w:rPr>
        <w:t>a shared SL PRS resource pool</w:t>
      </w:r>
      <w:r w:rsidR="00764F3A" w:rsidRPr="00764F3A">
        <w:rPr>
          <w:rFonts w:eastAsia="MS Mincho"/>
          <w:lang w:eastAsia="ja-JP"/>
        </w:rPr>
        <w:t>,</w:t>
      </w:r>
      <w:r w:rsidR="00764F3A" w:rsidRPr="00764F3A">
        <w:t xml:space="preserve"> from a PSSCH transmit power per RE summed over the antenna ports of the UE and higher layer filtered across PSSCH transmission occasions using a filter configuration provided by </w:t>
      </w:r>
      <w:r w:rsidR="00764F3A" w:rsidRPr="00764F3A">
        <w:rPr>
          <w:i/>
          <w:iCs/>
        </w:rPr>
        <w:t>sl-</w:t>
      </w:r>
      <w:r w:rsidR="00764F3A" w:rsidRPr="00764F3A">
        <w:rPr>
          <w:i/>
        </w:rPr>
        <w:t>FilterCoefficient</w:t>
      </w:r>
      <w:r w:rsidR="00764F3A" w:rsidRPr="00764F3A">
        <w:rPr>
          <w:rFonts w:eastAsia="MS Mincho"/>
          <w:lang w:eastAsia="ja-JP"/>
        </w:rPr>
        <w:t>,</w:t>
      </w:r>
      <w:r w:rsidR="00764F3A" w:rsidRPr="00764F3A">
        <w:rPr>
          <w:lang w:val="en-US"/>
        </w:rPr>
        <w:t xml:space="preserve"> </w:t>
      </w:r>
    </w:p>
    <w:p w14:paraId="4BD72FF6" w14:textId="5CA21994" w:rsidR="00764F3A" w:rsidRDefault="00084410" w:rsidP="00084410">
      <w:pPr>
        <w:pStyle w:val="B5"/>
        <w:rPr>
          <w:i/>
        </w:rPr>
      </w:pPr>
      <w:r>
        <w:rPr>
          <w:lang w:val="en-US"/>
        </w:rPr>
        <w:t>-</w:t>
      </w:r>
      <w:r>
        <w:rPr>
          <w:lang w:val="en-US"/>
        </w:rPr>
        <w:tab/>
      </w:r>
      <w:r w:rsidR="00764F3A" w:rsidRPr="00764F3A">
        <w:rPr>
          <w:lang w:val="en-US"/>
        </w:rPr>
        <w:t xml:space="preserve">else, </w:t>
      </w:r>
      <w:r w:rsidR="00764F3A" w:rsidRPr="00764F3A">
        <w:rPr>
          <w:rFonts w:eastAsia="MS Mincho"/>
          <w:lang w:eastAsia="ja-JP"/>
        </w:rPr>
        <w:t xml:space="preserve">if the resource pool is </w:t>
      </w:r>
      <w:r w:rsidR="00E169CB">
        <w:rPr>
          <w:rFonts w:eastAsia="MS Mincho"/>
          <w:lang w:eastAsia="ja-JP"/>
        </w:rPr>
        <w:t xml:space="preserve">a </w:t>
      </w:r>
      <w:r w:rsidR="00764F3A" w:rsidRPr="00764F3A">
        <w:rPr>
          <w:rFonts w:eastAsia="MS Mincho"/>
          <w:lang w:eastAsia="ja-JP"/>
        </w:rPr>
        <w:t xml:space="preserve">dedicated SL PRS </w:t>
      </w:r>
      <w:r w:rsidR="00E169CB" w:rsidRPr="00764F3A">
        <w:rPr>
          <w:lang w:eastAsia="ja-JP"/>
        </w:rPr>
        <w:t>resource pool</w:t>
      </w:r>
      <w:r w:rsidR="00764F3A" w:rsidRPr="00764F3A">
        <w:t xml:space="preserve">, from a SL PRS transmit power per RE and higher layer filtered across SL PRS transmission occasions using a filter configuration provided by </w:t>
      </w:r>
      <w:r w:rsidR="00764F3A" w:rsidRPr="00764F3A">
        <w:rPr>
          <w:i/>
          <w:iCs/>
        </w:rPr>
        <w:t>sl-</w:t>
      </w:r>
      <w:r w:rsidR="00764F3A" w:rsidRPr="00764F3A">
        <w:rPr>
          <w:i/>
        </w:rPr>
        <w:t>FilterCoefficient</w:t>
      </w:r>
    </w:p>
    <w:p w14:paraId="34AA997A" w14:textId="65B81145" w:rsidR="00084410" w:rsidRPr="00084410" w:rsidRDefault="00084410" w:rsidP="00084410">
      <w:pPr>
        <w:pStyle w:val="B4"/>
      </w:pPr>
      <w:r>
        <w:t>-</w:t>
      </w:r>
      <w:r>
        <w:tab/>
      </w:r>
      <m:oMath>
        <m:r>
          <w:rPr>
            <w:rFonts w:ascii="Cambria Math" w:hAnsi="Cambria Math"/>
          </w:rPr>
          <m:t>higher</m:t>
        </m:r>
        <m:r>
          <m:rPr>
            <m:sty m:val="p"/>
          </m:rPr>
          <w:rPr>
            <w:rFonts w:ascii="Cambria Math" w:hAnsi="Cambria Math"/>
          </w:rPr>
          <m:t xml:space="preserve"> </m:t>
        </m:r>
        <m:r>
          <w:rPr>
            <w:rFonts w:ascii="Cambria Math" w:hAnsi="Cambria Math"/>
          </w:rPr>
          <m:t>layer</m:t>
        </m:r>
        <m:r>
          <m:rPr>
            <m:sty m:val="p"/>
          </m:rPr>
          <w:rPr>
            <w:rFonts w:ascii="Cambria Math" w:hAnsi="Cambria Math"/>
          </w:rPr>
          <m:t xml:space="preserve"> </m:t>
        </m:r>
        <m:r>
          <w:rPr>
            <w:rFonts w:ascii="Cambria Math" w:hAnsi="Cambria Math"/>
          </w:rPr>
          <m:t>filtered</m:t>
        </m:r>
        <m:r>
          <m:rPr>
            <m:sty m:val="p"/>
          </m:rPr>
          <w:rPr>
            <w:rFonts w:ascii="Cambria Math" w:hAnsi="Cambria Math"/>
          </w:rPr>
          <m:t xml:space="preserve"> </m:t>
        </m:r>
        <m:r>
          <w:rPr>
            <w:rFonts w:ascii="Cambria Math" w:hAnsi="Cambria Math"/>
          </w:rPr>
          <m:t>RSRP</m:t>
        </m:r>
      </m:oMath>
      <w:r w:rsidRPr="00084410">
        <w:rPr>
          <w:iCs/>
          <w:lang w:val="en-US"/>
        </w:rPr>
        <w:t xml:space="preserve"> is a </w:t>
      </w:r>
      <w:r w:rsidRPr="00084410">
        <w:t>RSRP, as defined in [</w:t>
      </w:r>
      <w:r w:rsidRPr="00084410">
        <w:rPr>
          <w:lang w:val="en-US"/>
        </w:rPr>
        <w:t>7</w:t>
      </w:r>
      <w:r w:rsidRPr="00084410">
        <w:t>, TS 38.21</w:t>
      </w:r>
      <w:r w:rsidRPr="00084410">
        <w:rPr>
          <w:lang w:val="en-US"/>
        </w:rPr>
        <w:t>5</w:t>
      </w:r>
      <w:r w:rsidRPr="00084410">
        <w:t xml:space="preserve">], that is </w:t>
      </w:r>
      <w:r w:rsidRPr="00084410">
        <w:rPr>
          <w:iCs/>
          <w:lang w:val="en-US"/>
        </w:rPr>
        <w:t xml:space="preserve">reported to the UE from a UE receiving the SL PRS transmission and is obtained </w:t>
      </w:r>
    </w:p>
    <w:p w14:paraId="5A848770" w14:textId="51BC3721" w:rsidR="00764F3A" w:rsidRPr="00764F3A" w:rsidRDefault="00084410" w:rsidP="00084410">
      <w:pPr>
        <w:pStyle w:val="B5"/>
        <w:rPr>
          <w:rFonts w:eastAsia="Times New Roman"/>
        </w:rPr>
      </w:pPr>
      <w:r>
        <w:rPr>
          <w:rFonts w:eastAsia="MS Mincho"/>
          <w:lang w:eastAsia="ja-JP"/>
        </w:rPr>
        <w:t>-</w:t>
      </w:r>
      <w:r>
        <w:rPr>
          <w:rFonts w:eastAsia="MS Mincho"/>
          <w:lang w:eastAsia="ja-JP"/>
        </w:rPr>
        <w:tab/>
      </w:r>
      <w:r w:rsidR="00764F3A" w:rsidRPr="00764F3A">
        <w:rPr>
          <w:rFonts w:eastAsia="MS Mincho"/>
          <w:lang w:eastAsia="ja-JP"/>
        </w:rPr>
        <w:t xml:space="preserve">if the resource pool is </w:t>
      </w:r>
      <w:r w:rsidR="00E169CB">
        <w:rPr>
          <w:lang w:eastAsia="ja-JP"/>
        </w:rPr>
        <w:t>a shared SL PRS resource pool</w:t>
      </w:r>
      <w:r w:rsidR="00764F3A" w:rsidRPr="00764F3A">
        <w:rPr>
          <w:rFonts w:eastAsia="MS Mincho"/>
          <w:lang w:eastAsia="ja-JP"/>
        </w:rPr>
        <w:t>,</w:t>
      </w:r>
      <w:r w:rsidR="00764F3A" w:rsidRPr="00764F3A">
        <w:t xml:space="preserve"> </w:t>
      </w:r>
      <w:r w:rsidR="00764F3A" w:rsidRPr="00764F3A">
        <w:rPr>
          <w:rFonts w:eastAsia="MS Mincho"/>
          <w:iCs/>
          <w:lang w:val="en-US"/>
        </w:rPr>
        <w:t xml:space="preserve">from a PSSCH DM-RS using a filter configuration provided by </w:t>
      </w:r>
      <w:r w:rsidR="00764F3A" w:rsidRPr="00764F3A">
        <w:rPr>
          <w:i/>
          <w:iCs/>
        </w:rPr>
        <w:t>sl-</w:t>
      </w:r>
      <w:r w:rsidR="00764F3A" w:rsidRPr="00764F3A">
        <w:rPr>
          <w:i/>
        </w:rPr>
        <w:t>FilterCoefficient</w:t>
      </w:r>
    </w:p>
    <w:p w14:paraId="294CC08F" w14:textId="4160AB15" w:rsidR="00764F3A" w:rsidRDefault="00084410" w:rsidP="00084410">
      <w:pPr>
        <w:pStyle w:val="B5"/>
        <w:rPr>
          <w:i/>
        </w:rPr>
      </w:pPr>
      <w:r>
        <w:rPr>
          <w:lang w:val="en-US"/>
        </w:rPr>
        <w:t>-</w:t>
      </w:r>
      <w:r>
        <w:rPr>
          <w:lang w:val="en-US"/>
        </w:rPr>
        <w:tab/>
      </w:r>
      <w:r w:rsidR="00764F3A" w:rsidRPr="00764F3A">
        <w:rPr>
          <w:lang w:val="en-US"/>
        </w:rPr>
        <w:t xml:space="preserve">else, </w:t>
      </w:r>
      <w:r w:rsidR="00764F3A" w:rsidRPr="00764F3A">
        <w:rPr>
          <w:rFonts w:eastAsia="MS Mincho"/>
          <w:lang w:eastAsia="ja-JP"/>
        </w:rPr>
        <w:t xml:space="preserve">if the resource pool is </w:t>
      </w:r>
      <w:r w:rsidR="00E169CB">
        <w:rPr>
          <w:rFonts w:eastAsia="MS Mincho"/>
          <w:lang w:eastAsia="ja-JP"/>
        </w:rPr>
        <w:t xml:space="preserve">a </w:t>
      </w:r>
      <w:r w:rsidR="00764F3A" w:rsidRPr="00764F3A">
        <w:rPr>
          <w:rFonts w:eastAsia="MS Mincho"/>
          <w:lang w:eastAsia="ja-JP"/>
        </w:rPr>
        <w:t xml:space="preserve">dedicated SL PRS </w:t>
      </w:r>
      <w:r w:rsidR="00E169CB" w:rsidRPr="00764F3A">
        <w:rPr>
          <w:lang w:eastAsia="ja-JP"/>
        </w:rPr>
        <w:t>resource pool</w:t>
      </w:r>
      <w:r w:rsidR="00764F3A" w:rsidRPr="00764F3A">
        <w:rPr>
          <w:rFonts w:eastAsia="MS Mincho"/>
          <w:lang w:eastAsia="ja-JP"/>
        </w:rPr>
        <w:t>,</w:t>
      </w:r>
      <w:r w:rsidR="00764F3A" w:rsidRPr="00764F3A">
        <w:t xml:space="preserve"> </w:t>
      </w:r>
      <w:r w:rsidR="00764F3A" w:rsidRPr="00764F3A">
        <w:rPr>
          <w:rFonts w:eastAsia="MS Mincho"/>
          <w:iCs/>
          <w:lang w:val="en-US"/>
        </w:rPr>
        <w:t xml:space="preserve">from a SL PRS using a filter configuration provided by </w:t>
      </w:r>
      <w:r w:rsidR="00764F3A" w:rsidRPr="00764F3A">
        <w:rPr>
          <w:i/>
          <w:iCs/>
        </w:rPr>
        <w:t>sl-</w:t>
      </w:r>
      <w:r w:rsidR="00764F3A" w:rsidRPr="00764F3A">
        <w:rPr>
          <w:i/>
        </w:rPr>
        <w:t>FilterCoefficient</w:t>
      </w:r>
    </w:p>
    <w:p w14:paraId="53FBB918" w14:textId="6D3C7CCD" w:rsidR="00764F3A" w:rsidRPr="00084410" w:rsidRDefault="00084410" w:rsidP="00084410">
      <w:pPr>
        <w:pStyle w:val="B4"/>
        <w:rPr>
          <w:rFonts w:eastAsia="Times New Roman"/>
        </w:rPr>
      </w:pPr>
      <w:r>
        <w:t>-</w:t>
      </w:r>
      <w:r>
        <w:tab/>
      </w:r>
      <m:oMath>
        <m:sSubSup>
          <m:sSubSupPr>
            <m:ctrlPr>
              <w:rPr>
                <w:rFonts w:ascii="Cambria Math" w:hAnsi="Cambria Math"/>
                <w:i/>
              </w:rPr>
            </m:ctrlPr>
          </m:sSubSupPr>
          <m:e>
            <m:r>
              <w:rPr>
                <w:rFonts w:ascii="Cambria Math" w:hAnsi="Cambria Math"/>
              </w:rPr>
              <m:t>M</m:t>
            </m:r>
          </m:e>
          <m:sub>
            <m:r>
              <m:rPr>
                <m:sty m:val="p"/>
              </m:rPr>
              <w:rPr>
                <w:rFonts w:ascii="Cambria Math" w:hAnsi="Cambria Math"/>
              </w:rPr>
              <m:t>RB</m:t>
            </m:r>
          </m:sub>
          <m:sup>
            <m:r>
              <m:rPr>
                <m:sty m:val="p"/>
              </m:rPr>
              <w:rPr>
                <w:rFonts w:ascii="Cambria Math" w:hAnsi="Cambria Math"/>
              </w:rPr>
              <m:t>SL-PRS</m:t>
            </m:r>
          </m:sup>
        </m:sSubSup>
        <m:r>
          <w:rPr>
            <w:rFonts w:ascii="Cambria Math"/>
          </w:rPr>
          <m:t>(i)</m:t>
        </m:r>
      </m:oMath>
      <w:r w:rsidR="00764F3A" w:rsidRPr="00764F3A">
        <w:rPr>
          <w:rFonts w:eastAsia="Malgun Gothic"/>
          <w:lang w:val="en-US"/>
        </w:rPr>
        <w:t xml:space="preserve"> is a number of </w:t>
      </w:r>
      <w:r w:rsidR="00764F3A" w:rsidRPr="00764F3A">
        <w:t xml:space="preserve">resource blocks for </w:t>
      </w:r>
      <w:r w:rsidR="00764F3A" w:rsidRPr="00764F3A">
        <w:rPr>
          <w:lang w:val="en-US"/>
        </w:rPr>
        <w:t>the SL PRS transmission occasion</w:t>
      </w:r>
      <w:r w:rsidR="00764F3A" w:rsidRPr="00764F3A">
        <w:t xml:space="preserve"> </w:t>
      </w:r>
      <m:oMath>
        <m:r>
          <w:rPr>
            <w:rFonts w:ascii="Cambria Math"/>
          </w:rPr>
          <m:t>i</m:t>
        </m:r>
      </m:oMath>
      <w:r w:rsidR="00764F3A" w:rsidRPr="00764F3A">
        <w:rPr>
          <w:iCs/>
        </w:rPr>
        <w:t xml:space="preserve"> </w:t>
      </w:r>
      <w:r w:rsidR="00764F3A" w:rsidRPr="00764F3A">
        <w:rPr>
          <w:lang w:val="en-US"/>
        </w:rPr>
        <w:t xml:space="preserve">and </w:t>
      </w:r>
      <m:oMath>
        <m:r>
          <w:rPr>
            <w:rFonts w:ascii="Cambria Math"/>
          </w:rPr>
          <m:t>μ</m:t>
        </m:r>
      </m:oMath>
      <w:r w:rsidR="00764F3A" w:rsidRPr="00764F3A">
        <w:rPr>
          <w:lang w:val="en-US"/>
        </w:rPr>
        <w:t xml:space="preserve"> is a SCS configuration for the SL PRS transmission</w:t>
      </w:r>
    </w:p>
    <w:p w14:paraId="444E68A8" w14:textId="77777777" w:rsidR="00E21265" w:rsidRPr="009415CA" w:rsidRDefault="00E21265" w:rsidP="00D2686C">
      <w:pPr>
        <w:pStyle w:val="Heading3"/>
      </w:pPr>
      <w:bookmarkStart w:id="873" w:name="_Toc29894881"/>
      <w:bookmarkStart w:id="874" w:name="_Toc29899180"/>
      <w:bookmarkStart w:id="875" w:name="_Toc29899598"/>
      <w:bookmarkStart w:id="876" w:name="_Toc29917334"/>
      <w:bookmarkStart w:id="877" w:name="_Toc36498209"/>
      <w:bookmarkStart w:id="878" w:name="_Toc45699237"/>
      <w:bookmarkStart w:id="879" w:name="_Toc161999172"/>
      <w:r>
        <w:t>16</w:t>
      </w:r>
      <w:r w:rsidRPr="00B916EC">
        <w:t>.</w:t>
      </w:r>
      <w:r>
        <w:t>2</w:t>
      </w:r>
      <w:r w:rsidRPr="00B916EC">
        <w:t>.</w:t>
      </w:r>
      <w:r>
        <w:t>4</w:t>
      </w:r>
      <w:r w:rsidRPr="00B916EC">
        <w:tab/>
      </w:r>
      <w:r>
        <w:t>Prioritization of transmissions/receptions</w:t>
      </w:r>
      <w:bookmarkEnd w:id="873"/>
      <w:bookmarkEnd w:id="874"/>
      <w:bookmarkEnd w:id="875"/>
      <w:bookmarkEnd w:id="876"/>
      <w:bookmarkEnd w:id="877"/>
      <w:bookmarkEnd w:id="878"/>
      <w:bookmarkEnd w:id="879"/>
    </w:p>
    <w:p w14:paraId="0F11D611" w14:textId="77777777" w:rsidR="00E21265" w:rsidRPr="00B916EC" w:rsidRDefault="00E21265" w:rsidP="009D1348">
      <w:pPr>
        <w:pStyle w:val="Heading4"/>
      </w:pPr>
      <w:bookmarkStart w:id="880" w:name="_Toc29894882"/>
      <w:bookmarkStart w:id="881" w:name="_Toc29899181"/>
      <w:bookmarkStart w:id="882" w:name="_Toc29899599"/>
      <w:bookmarkStart w:id="883" w:name="_Toc29917335"/>
      <w:bookmarkStart w:id="884" w:name="_Toc36498210"/>
      <w:bookmarkStart w:id="885" w:name="_Toc45699238"/>
      <w:bookmarkStart w:id="886" w:name="_Toc161999173"/>
      <w:r>
        <w:t>16</w:t>
      </w:r>
      <w:r w:rsidRPr="00B916EC">
        <w:rPr>
          <w:rFonts w:hint="eastAsia"/>
        </w:rPr>
        <w:t>.</w:t>
      </w:r>
      <w:r>
        <w:t>2.4.1</w:t>
      </w:r>
      <w:r w:rsidRPr="00B916EC">
        <w:rPr>
          <w:rFonts w:hint="eastAsia"/>
        </w:rPr>
        <w:tab/>
      </w:r>
      <w:r>
        <w:t>Simultaneous NR and E-UTRA transmission/reception</w:t>
      </w:r>
      <w:bookmarkEnd w:id="880"/>
      <w:bookmarkEnd w:id="881"/>
      <w:bookmarkEnd w:id="882"/>
      <w:bookmarkEnd w:id="883"/>
      <w:bookmarkEnd w:id="884"/>
      <w:bookmarkEnd w:id="885"/>
      <w:bookmarkEnd w:id="886"/>
    </w:p>
    <w:p w14:paraId="3A4E0645" w14:textId="77777777" w:rsidR="00E21265" w:rsidRDefault="00E21265" w:rsidP="00D2686C">
      <w:pPr>
        <w:rPr>
          <w:lang w:val="en-US" w:eastAsia="zh-CN"/>
        </w:rPr>
      </w:pPr>
      <w:r w:rsidRPr="00073F8C">
        <w:rPr>
          <w:lang w:val="en-US" w:eastAsia="zh-CN"/>
        </w:rPr>
        <w:t xml:space="preserve">If a </w:t>
      </w:r>
      <w:r>
        <w:rPr>
          <w:lang w:val="en-US" w:eastAsia="zh-CN"/>
        </w:rPr>
        <w:t xml:space="preserve">UE </w:t>
      </w:r>
    </w:p>
    <w:p w14:paraId="5E535277" w14:textId="768EC01D" w:rsidR="00E21265" w:rsidRDefault="00E21265" w:rsidP="00E21265">
      <w:pPr>
        <w:pStyle w:val="B1"/>
      </w:pPr>
      <w:r>
        <w:t>-</w:t>
      </w:r>
      <w:r>
        <w:tab/>
      </w:r>
      <w:r>
        <w:rPr>
          <w:bCs/>
          <w:kern w:val="32"/>
          <w:lang w:val="en-US" w:eastAsia="zh-CN"/>
        </w:rPr>
        <w:t>would transmit a first channel/signal</w:t>
      </w:r>
      <w:r w:rsidRPr="00073F8C">
        <w:rPr>
          <w:bCs/>
          <w:kern w:val="32"/>
          <w:lang w:val="en-US" w:eastAsia="zh-CN"/>
        </w:rPr>
        <w:t xml:space="preserve"> using</w:t>
      </w:r>
      <w:r w:rsidRPr="00073F8C">
        <w:t xml:space="preserve"> E-UTRA radio access</w:t>
      </w:r>
      <w:r w:rsidRPr="00073F8C">
        <w:rPr>
          <w:bCs/>
          <w:kern w:val="32"/>
          <w:lang w:val="en-US" w:eastAsia="zh-CN"/>
        </w:rPr>
        <w:t xml:space="preserve"> </w:t>
      </w:r>
      <w:r>
        <w:rPr>
          <w:bCs/>
          <w:kern w:val="32"/>
          <w:lang w:val="en-US" w:eastAsia="zh-CN"/>
        </w:rPr>
        <w:t>and second channel</w:t>
      </w:r>
      <w:r w:rsidR="00D74B66">
        <w:rPr>
          <w:bCs/>
          <w:kern w:val="32"/>
          <w:lang w:val="en-US" w:eastAsia="zh-CN"/>
        </w:rPr>
        <w:t>s</w:t>
      </w:r>
      <w:r>
        <w:rPr>
          <w:bCs/>
          <w:kern w:val="32"/>
          <w:lang w:val="en-US" w:eastAsia="zh-CN"/>
        </w:rPr>
        <w:t>/signal</w:t>
      </w:r>
      <w:r w:rsidR="00D74B66">
        <w:rPr>
          <w:bCs/>
          <w:kern w:val="32"/>
          <w:lang w:val="en-US" w:eastAsia="zh-CN"/>
        </w:rPr>
        <w:t>s</w:t>
      </w:r>
      <w:r w:rsidRPr="00073F8C">
        <w:rPr>
          <w:bCs/>
          <w:kern w:val="32"/>
          <w:lang w:val="en-US" w:eastAsia="zh-CN"/>
        </w:rPr>
        <w:t xml:space="preserve"> using</w:t>
      </w:r>
      <w:r>
        <w:rPr>
          <w:bCs/>
          <w:kern w:val="32"/>
          <w:lang w:val="en-US" w:eastAsia="zh-CN"/>
        </w:rPr>
        <w:t xml:space="preserve"> </w:t>
      </w:r>
      <w:r w:rsidRPr="00073F8C">
        <w:rPr>
          <w:bCs/>
          <w:kern w:val="32"/>
          <w:lang w:val="en-US" w:eastAsia="zh-CN"/>
        </w:rPr>
        <w:t>NR radio access</w:t>
      </w:r>
      <w:r>
        <w:rPr>
          <w:bCs/>
          <w:kern w:val="32"/>
          <w:lang w:val="en-US" w:eastAsia="zh-CN"/>
        </w:rPr>
        <w:t>, and</w:t>
      </w:r>
    </w:p>
    <w:p w14:paraId="3D8F916C" w14:textId="5DD401A8" w:rsidR="00E21265" w:rsidRDefault="00E21265" w:rsidP="00E21265">
      <w:pPr>
        <w:pStyle w:val="B1"/>
        <w:rPr>
          <w:bCs/>
          <w:kern w:val="32"/>
          <w:lang w:val="en-US" w:eastAsia="zh-CN"/>
        </w:rPr>
      </w:pPr>
      <w:r>
        <w:t>-</w:t>
      </w:r>
      <w:r>
        <w:tab/>
      </w:r>
      <w:r>
        <w:rPr>
          <w:bCs/>
          <w:kern w:val="32"/>
          <w:lang w:val="en-US" w:eastAsia="zh-CN"/>
        </w:rPr>
        <w:t>a transmission of the first channel/signal</w:t>
      </w:r>
      <w:r w:rsidRPr="00073F8C">
        <w:rPr>
          <w:bCs/>
          <w:kern w:val="32"/>
          <w:lang w:val="en-US" w:eastAsia="zh-CN"/>
        </w:rPr>
        <w:t xml:space="preserve"> </w:t>
      </w:r>
      <w:r>
        <w:rPr>
          <w:bCs/>
          <w:kern w:val="32"/>
          <w:lang w:val="en-US" w:eastAsia="zh-CN"/>
        </w:rPr>
        <w:t>would overlap in time with a transmission of the second channel</w:t>
      </w:r>
      <w:r w:rsidR="00D74B66">
        <w:rPr>
          <w:bCs/>
          <w:kern w:val="32"/>
          <w:lang w:val="en-US" w:eastAsia="zh-CN"/>
        </w:rPr>
        <w:t>s</w:t>
      </w:r>
      <w:r>
        <w:rPr>
          <w:bCs/>
          <w:kern w:val="32"/>
          <w:lang w:val="en-US" w:eastAsia="zh-CN"/>
        </w:rPr>
        <w:t>/signal</w:t>
      </w:r>
      <w:r w:rsidR="00D74B66">
        <w:rPr>
          <w:bCs/>
          <w:kern w:val="32"/>
          <w:lang w:val="en-US" w:eastAsia="zh-CN"/>
        </w:rPr>
        <w:t>s</w:t>
      </w:r>
      <w:r>
        <w:rPr>
          <w:bCs/>
          <w:kern w:val="32"/>
          <w:lang w:val="en-US" w:eastAsia="zh-CN"/>
        </w:rPr>
        <w:t>, and</w:t>
      </w:r>
    </w:p>
    <w:p w14:paraId="47CAAF2E" w14:textId="3FD4D67B" w:rsidR="00E21265" w:rsidRDefault="00E21265" w:rsidP="00E21265">
      <w:pPr>
        <w:pStyle w:val="B1"/>
        <w:rPr>
          <w:bCs/>
          <w:kern w:val="32"/>
          <w:lang w:val="en-US" w:eastAsia="zh-CN"/>
        </w:rPr>
      </w:pPr>
      <w:r>
        <w:t>-</w:t>
      </w:r>
      <w:r>
        <w:tab/>
      </w:r>
      <w:r w:rsidRPr="00073F8C">
        <w:rPr>
          <w:bCs/>
          <w:kern w:val="32"/>
          <w:lang w:val="en-US" w:eastAsia="zh-CN"/>
        </w:rPr>
        <w:t>the priorities of the</w:t>
      </w:r>
      <w:r>
        <w:rPr>
          <w:bCs/>
          <w:kern w:val="32"/>
          <w:lang w:val="en-US" w:eastAsia="zh-CN"/>
        </w:rPr>
        <w:t xml:space="preserve"> channels/signals</w:t>
      </w:r>
      <w:r w:rsidRPr="00073F8C">
        <w:rPr>
          <w:bCs/>
          <w:kern w:val="32"/>
          <w:lang w:val="en-US" w:eastAsia="zh-CN"/>
        </w:rPr>
        <w:t xml:space="preserve"> are known to</w:t>
      </w:r>
      <w:r w:rsidR="00D74B66">
        <w:rPr>
          <w:bCs/>
          <w:kern w:val="32"/>
          <w:lang w:val="en-US" w:eastAsia="zh-CN"/>
        </w:rPr>
        <w:t xml:space="preserve"> both E-UTRA radio access and NR radio access at</w:t>
      </w:r>
      <w:r w:rsidRPr="00073F8C">
        <w:rPr>
          <w:bCs/>
          <w:kern w:val="32"/>
          <w:lang w:val="en-US" w:eastAsia="zh-CN"/>
        </w:rPr>
        <w:t xml:space="preserve"> the UE </w:t>
      </w:r>
      <m:oMath>
        <m:r>
          <w:rPr>
            <w:rFonts w:ascii="Cambria Math" w:hAnsi="Cambria Math"/>
          </w:rPr>
          <m:t>T</m:t>
        </m:r>
      </m:oMath>
      <w:r>
        <w:t xml:space="preserve"> </w:t>
      </w:r>
      <w:r>
        <w:rPr>
          <w:bCs/>
          <w:kern w:val="32"/>
          <w:lang w:val="en-US" w:eastAsia="zh-CN"/>
        </w:rPr>
        <w:t xml:space="preserve">msec prior to the start of the </w:t>
      </w:r>
      <w:r w:rsidR="00D74B66">
        <w:rPr>
          <w:bCs/>
          <w:kern w:val="32"/>
          <w:lang w:val="en-US" w:eastAsia="zh-CN"/>
        </w:rPr>
        <w:t xml:space="preserve">earliest </w:t>
      </w:r>
      <w:r>
        <w:rPr>
          <w:bCs/>
          <w:kern w:val="32"/>
          <w:lang w:val="en-US" w:eastAsia="zh-CN"/>
        </w:rPr>
        <w:t>of the two transmissions</w:t>
      </w:r>
      <w:r w:rsidR="00D74B66">
        <w:rPr>
          <w:bCs/>
          <w:kern w:val="32"/>
          <w:lang w:val="en-US" w:eastAsia="zh-CN"/>
        </w:rPr>
        <w:t xml:space="preserve">, where </w:t>
      </w:r>
      <m:oMath>
        <m:r>
          <w:rPr>
            <w:rFonts w:ascii="Cambria Math" w:hAnsi="Cambria Math"/>
            <w:kern w:val="32"/>
            <w:lang w:val="en-US" w:eastAsia="zh-CN"/>
          </w:rPr>
          <m:t>T≤4</m:t>
        </m:r>
      </m:oMath>
      <w:r w:rsidR="00D74B66">
        <w:rPr>
          <w:bCs/>
          <w:kern w:val="32"/>
          <w:lang w:val="en-US" w:eastAsia="zh-CN"/>
        </w:rPr>
        <w:t xml:space="preserve"> and is based on UE implementation,</w:t>
      </w:r>
      <w:r>
        <w:rPr>
          <w:bCs/>
          <w:kern w:val="32"/>
          <w:lang w:val="en-US" w:eastAsia="zh-CN"/>
        </w:rPr>
        <w:t xml:space="preserve"> </w:t>
      </w:r>
    </w:p>
    <w:p w14:paraId="2B6C7916" w14:textId="77777777" w:rsidR="00045723" w:rsidRDefault="00E21265" w:rsidP="00D2686C">
      <w:pPr>
        <w:rPr>
          <w:rFonts w:eastAsia="Malgun Gothic"/>
          <w:lang w:val="en-US"/>
        </w:rPr>
      </w:pPr>
      <w:r>
        <w:rPr>
          <w:rFonts w:eastAsia="Malgun Gothic"/>
          <w:lang w:val="en-US"/>
        </w:rPr>
        <w:t>the UE transmits only the channel</w:t>
      </w:r>
      <w:r w:rsidR="00D74B66">
        <w:rPr>
          <w:rFonts w:eastAsia="Malgun Gothic"/>
          <w:lang w:val="en-US"/>
        </w:rPr>
        <w:t>s</w:t>
      </w:r>
      <w:r>
        <w:rPr>
          <w:rFonts w:eastAsia="Malgun Gothic"/>
          <w:lang w:val="en-US"/>
        </w:rPr>
        <w:t>/signal</w:t>
      </w:r>
      <w:r w:rsidR="00D74B66">
        <w:rPr>
          <w:rFonts w:eastAsia="Malgun Gothic"/>
          <w:lang w:val="en-US"/>
        </w:rPr>
        <w:t>s of the radio access technology</w:t>
      </w:r>
      <w:r>
        <w:rPr>
          <w:rFonts w:eastAsia="Malgun Gothic"/>
          <w:lang w:val="en-US"/>
        </w:rPr>
        <w:t xml:space="preserve"> with the </w:t>
      </w:r>
      <w:r w:rsidR="00D74B66">
        <w:rPr>
          <w:rFonts w:eastAsia="Malgun Gothic"/>
          <w:lang w:val="en-US"/>
        </w:rPr>
        <w:t xml:space="preserve">highest </w:t>
      </w:r>
      <w:r>
        <w:rPr>
          <w:rFonts w:eastAsia="Malgun Gothic"/>
          <w:lang w:val="en-US"/>
        </w:rPr>
        <w:t xml:space="preserve">priority </w:t>
      </w:r>
    </w:p>
    <w:p w14:paraId="326F0D7C" w14:textId="211C6098" w:rsidR="00045723" w:rsidRDefault="00045723" w:rsidP="00045723">
      <w:pPr>
        <w:pStyle w:val="B1"/>
      </w:pPr>
      <w:r>
        <w:t>-</w:t>
      </w:r>
      <w:r>
        <w:tab/>
      </w:r>
      <w:r w:rsidR="00E21265">
        <w:t>as determined by the SCI formats scheduling the transmissions</w:t>
      </w:r>
      <w:r>
        <w:t>,</w:t>
      </w:r>
      <w:r w:rsidR="00E21265">
        <w:t xml:space="preserve"> or </w:t>
      </w:r>
    </w:p>
    <w:p w14:paraId="2EDC697D" w14:textId="084091D8" w:rsidR="00045723" w:rsidRDefault="00045723" w:rsidP="00045723">
      <w:pPr>
        <w:pStyle w:val="B1"/>
      </w:pPr>
      <w:r>
        <w:t>-</w:t>
      </w:r>
      <w:r>
        <w:tab/>
      </w:r>
      <w:r w:rsidRPr="007053C7">
        <w:t>as indicated by higher layers</w:t>
      </w:r>
      <w:r>
        <w:t xml:space="preserve"> </w:t>
      </w:r>
      <w:r w:rsidR="00E21265">
        <w:t xml:space="preserve">in case of a S-SS/PSBCH block or a sidelink synchronization signal using E-UTRA radio access, </w:t>
      </w:r>
      <w:r>
        <w:t>or</w:t>
      </w:r>
    </w:p>
    <w:p w14:paraId="242047DB" w14:textId="2DB5310F" w:rsidR="00045723" w:rsidRPr="00045723" w:rsidRDefault="00045723" w:rsidP="00045723">
      <w:pPr>
        <w:pStyle w:val="B1"/>
        <w:rPr>
          <w:lang w:val="en-GB"/>
        </w:rPr>
      </w:pPr>
      <w:r>
        <w:t>-</w:t>
      </w:r>
      <w:r>
        <w:tab/>
      </w:r>
      <w:r w:rsidRPr="007053C7">
        <w:t xml:space="preserve">as determined in </w:t>
      </w:r>
      <w:r w:rsidRPr="007053C7">
        <w:rPr>
          <w:rFonts w:eastAsiaTheme="minorEastAsia"/>
        </w:rPr>
        <w:t xml:space="preserve">clause 16.2.4.2 </w:t>
      </w:r>
      <w:r w:rsidRPr="007053C7">
        <w:t>in case of PSFCH transmissions</w:t>
      </w:r>
      <w:r>
        <w:rPr>
          <w:lang w:val="en-GB"/>
        </w:rPr>
        <w:t>.</w:t>
      </w:r>
    </w:p>
    <w:p w14:paraId="72487AD9" w14:textId="7DA715FE" w:rsidR="00E21265" w:rsidRDefault="00E21265" w:rsidP="00D2686C">
      <w:pPr>
        <w:rPr>
          <w:lang w:val="en-US" w:eastAsia="zh-CN"/>
        </w:rPr>
      </w:pPr>
      <w:r w:rsidRPr="00073F8C">
        <w:rPr>
          <w:lang w:val="en-US" w:eastAsia="zh-CN"/>
        </w:rPr>
        <w:t xml:space="preserve">If a </w:t>
      </w:r>
      <w:r>
        <w:rPr>
          <w:lang w:val="en-US" w:eastAsia="zh-CN"/>
        </w:rPr>
        <w:t xml:space="preserve">UE </w:t>
      </w:r>
    </w:p>
    <w:p w14:paraId="619DCF51" w14:textId="4579D12D" w:rsidR="00E21265" w:rsidRDefault="00E21265" w:rsidP="00E21265">
      <w:pPr>
        <w:pStyle w:val="B1"/>
        <w:rPr>
          <w:bCs/>
          <w:kern w:val="32"/>
          <w:lang w:val="en-US" w:eastAsia="zh-CN"/>
        </w:rPr>
      </w:pPr>
      <w:r>
        <w:t>-</w:t>
      </w:r>
      <w:r>
        <w:tab/>
      </w:r>
      <w:r>
        <w:rPr>
          <w:bCs/>
          <w:kern w:val="32"/>
          <w:lang w:val="en-US" w:eastAsia="zh-CN"/>
        </w:rPr>
        <w:t>would respectively transmit or receive a first channel/signal</w:t>
      </w:r>
      <w:r w:rsidRPr="00073F8C">
        <w:rPr>
          <w:bCs/>
          <w:kern w:val="32"/>
          <w:lang w:val="en-US" w:eastAsia="zh-CN"/>
        </w:rPr>
        <w:t xml:space="preserve"> using</w:t>
      </w:r>
      <w:r w:rsidRPr="00073F8C">
        <w:t xml:space="preserve"> E-UTRA radio access</w:t>
      </w:r>
      <w:r w:rsidRPr="00073F8C">
        <w:rPr>
          <w:bCs/>
          <w:kern w:val="32"/>
          <w:lang w:val="en-US" w:eastAsia="zh-CN"/>
        </w:rPr>
        <w:t xml:space="preserve"> </w:t>
      </w:r>
      <w:r>
        <w:rPr>
          <w:bCs/>
          <w:kern w:val="32"/>
          <w:lang w:val="en-US" w:eastAsia="zh-CN"/>
        </w:rPr>
        <w:t xml:space="preserve">and receive </w:t>
      </w:r>
      <w:r w:rsidR="00D74B66">
        <w:rPr>
          <w:bCs/>
          <w:kern w:val="32"/>
          <w:lang w:val="en-US" w:eastAsia="zh-CN"/>
        </w:rPr>
        <w:t xml:space="preserve">a second channel/signal </w:t>
      </w:r>
      <w:r>
        <w:rPr>
          <w:bCs/>
          <w:kern w:val="32"/>
          <w:lang w:val="en-US" w:eastAsia="zh-CN"/>
        </w:rPr>
        <w:t>or transmit second channel</w:t>
      </w:r>
      <w:r w:rsidR="00D74B66">
        <w:rPr>
          <w:bCs/>
          <w:kern w:val="32"/>
          <w:lang w:val="en-US" w:eastAsia="zh-CN"/>
        </w:rPr>
        <w:t>s</w:t>
      </w:r>
      <w:r>
        <w:rPr>
          <w:bCs/>
          <w:kern w:val="32"/>
          <w:lang w:val="en-US" w:eastAsia="zh-CN"/>
        </w:rPr>
        <w:t>/signal</w:t>
      </w:r>
      <w:r w:rsidR="00D74B66">
        <w:rPr>
          <w:bCs/>
          <w:kern w:val="32"/>
          <w:lang w:val="en-US" w:eastAsia="zh-CN"/>
        </w:rPr>
        <w:t>s</w:t>
      </w:r>
      <w:r w:rsidRPr="00073F8C">
        <w:rPr>
          <w:bCs/>
          <w:kern w:val="32"/>
          <w:lang w:val="en-US" w:eastAsia="zh-CN"/>
        </w:rPr>
        <w:t xml:space="preserve"> using</w:t>
      </w:r>
      <w:r>
        <w:rPr>
          <w:bCs/>
          <w:kern w:val="32"/>
          <w:lang w:val="en-US" w:eastAsia="zh-CN"/>
        </w:rPr>
        <w:t xml:space="preserve"> </w:t>
      </w:r>
      <w:r w:rsidRPr="00073F8C">
        <w:rPr>
          <w:bCs/>
          <w:kern w:val="32"/>
          <w:lang w:val="en-US" w:eastAsia="zh-CN"/>
        </w:rPr>
        <w:t>NR radio access</w:t>
      </w:r>
      <w:r>
        <w:rPr>
          <w:bCs/>
          <w:kern w:val="32"/>
          <w:lang w:val="en-US" w:eastAsia="zh-CN"/>
        </w:rPr>
        <w:t>, and</w:t>
      </w:r>
    </w:p>
    <w:p w14:paraId="7E273342" w14:textId="4B86A201" w:rsidR="00E21265" w:rsidRDefault="00E21265" w:rsidP="00E21265">
      <w:pPr>
        <w:pStyle w:val="B1"/>
        <w:rPr>
          <w:bCs/>
          <w:kern w:val="32"/>
          <w:lang w:val="en-US" w:eastAsia="zh-CN"/>
        </w:rPr>
      </w:pPr>
      <w:r>
        <w:t>-</w:t>
      </w:r>
      <w:r>
        <w:tab/>
      </w:r>
      <w:r>
        <w:rPr>
          <w:bCs/>
          <w:kern w:val="32"/>
          <w:lang w:val="en-US" w:eastAsia="zh-CN"/>
        </w:rPr>
        <w:t>a transmission or reception of the first channel/signal</w:t>
      </w:r>
      <w:r w:rsidRPr="00073F8C">
        <w:rPr>
          <w:bCs/>
          <w:kern w:val="32"/>
          <w:lang w:val="en-US" w:eastAsia="zh-CN"/>
        </w:rPr>
        <w:t xml:space="preserve"> </w:t>
      </w:r>
      <w:r>
        <w:rPr>
          <w:bCs/>
          <w:kern w:val="32"/>
          <w:lang w:val="en-US" w:eastAsia="zh-CN"/>
        </w:rPr>
        <w:t>would respectively overlap in time with a reception</w:t>
      </w:r>
      <w:r w:rsidR="00D74B66">
        <w:rPr>
          <w:bCs/>
          <w:kern w:val="32"/>
          <w:lang w:val="en-US" w:eastAsia="zh-CN"/>
        </w:rPr>
        <w:t xml:space="preserve"> of the second channel/signal</w:t>
      </w:r>
      <w:r>
        <w:rPr>
          <w:bCs/>
          <w:kern w:val="32"/>
          <w:lang w:val="en-US" w:eastAsia="zh-CN"/>
        </w:rPr>
        <w:t xml:space="preserve"> or transmission of the second channel</w:t>
      </w:r>
      <w:r w:rsidR="00D74B66">
        <w:rPr>
          <w:bCs/>
          <w:kern w:val="32"/>
          <w:lang w:val="en-US" w:eastAsia="zh-CN"/>
        </w:rPr>
        <w:t>s</w:t>
      </w:r>
      <w:r>
        <w:rPr>
          <w:bCs/>
          <w:kern w:val="32"/>
          <w:lang w:val="en-US" w:eastAsia="zh-CN"/>
        </w:rPr>
        <w:t>/signal</w:t>
      </w:r>
      <w:r w:rsidR="00D74B66">
        <w:rPr>
          <w:bCs/>
          <w:kern w:val="32"/>
          <w:lang w:val="en-US" w:eastAsia="zh-CN"/>
        </w:rPr>
        <w:t>s</w:t>
      </w:r>
      <w:r>
        <w:rPr>
          <w:bCs/>
          <w:kern w:val="32"/>
          <w:lang w:val="en-US" w:eastAsia="zh-CN"/>
        </w:rPr>
        <w:t>, and</w:t>
      </w:r>
    </w:p>
    <w:p w14:paraId="40E66D34" w14:textId="4F492FE1" w:rsidR="00E21265" w:rsidRDefault="00E21265" w:rsidP="00E21265">
      <w:pPr>
        <w:pStyle w:val="B1"/>
        <w:rPr>
          <w:bCs/>
          <w:kern w:val="32"/>
          <w:lang w:val="en-US" w:eastAsia="zh-CN"/>
        </w:rPr>
      </w:pPr>
      <w:r>
        <w:t>-</w:t>
      </w:r>
      <w:r>
        <w:tab/>
      </w:r>
      <w:r w:rsidRPr="00073F8C">
        <w:rPr>
          <w:bCs/>
          <w:kern w:val="32"/>
          <w:lang w:val="en-US" w:eastAsia="zh-CN"/>
        </w:rPr>
        <w:t xml:space="preserve">the priorities of the </w:t>
      </w:r>
      <w:r>
        <w:rPr>
          <w:bCs/>
          <w:kern w:val="32"/>
          <w:lang w:val="en-US" w:eastAsia="zh-CN"/>
        </w:rPr>
        <w:t>channels/signals</w:t>
      </w:r>
      <w:r w:rsidRPr="00073F8C">
        <w:rPr>
          <w:bCs/>
          <w:kern w:val="32"/>
          <w:lang w:val="en-US" w:eastAsia="zh-CN"/>
        </w:rPr>
        <w:t xml:space="preserve"> are known to</w:t>
      </w:r>
      <w:r w:rsidR="00D74B66">
        <w:rPr>
          <w:bCs/>
          <w:kern w:val="32"/>
          <w:lang w:val="en-US" w:eastAsia="zh-CN"/>
        </w:rPr>
        <w:t xml:space="preserve"> both E-UTRA radio access and NR radio access at</w:t>
      </w:r>
      <w:r w:rsidRPr="00073F8C">
        <w:rPr>
          <w:bCs/>
          <w:kern w:val="32"/>
          <w:lang w:val="en-US" w:eastAsia="zh-CN"/>
        </w:rPr>
        <w:t xml:space="preserve"> the UE</w:t>
      </w:r>
      <w:r>
        <w:rPr>
          <w:bCs/>
          <w:kern w:val="32"/>
          <w:lang w:val="en-US" w:eastAsia="zh-CN"/>
        </w:rPr>
        <w:t xml:space="preserve"> </w:t>
      </w:r>
      <m:oMath>
        <m:r>
          <w:rPr>
            <w:rFonts w:ascii="Cambria Math" w:hAnsi="Cambria Math"/>
          </w:rPr>
          <m:t>T</m:t>
        </m:r>
      </m:oMath>
      <w:r>
        <w:t xml:space="preserve"> </w:t>
      </w:r>
      <w:r>
        <w:rPr>
          <w:bCs/>
          <w:kern w:val="32"/>
          <w:lang w:val="en-US" w:eastAsia="zh-CN"/>
        </w:rPr>
        <w:t xml:space="preserve">msec prior to the start of the </w:t>
      </w:r>
      <w:r w:rsidR="00D74B66">
        <w:rPr>
          <w:bCs/>
          <w:kern w:val="32"/>
          <w:lang w:val="en-US" w:eastAsia="zh-CN"/>
        </w:rPr>
        <w:t xml:space="preserve">earliest </w:t>
      </w:r>
      <w:r>
        <w:rPr>
          <w:bCs/>
          <w:kern w:val="32"/>
          <w:lang w:val="en-US" w:eastAsia="zh-CN"/>
        </w:rPr>
        <w:t>transmission or reception</w:t>
      </w:r>
      <w:r w:rsidR="00D74B66">
        <w:rPr>
          <w:bCs/>
          <w:kern w:val="32"/>
          <w:lang w:val="en-US" w:eastAsia="zh-CN"/>
        </w:rPr>
        <w:t xml:space="preserve">, where </w:t>
      </w:r>
      <m:oMath>
        <m:r>
          <w:rPr>
            <w:rFonts w:ascii="Cambria Math" w:hAnsi="Cambria Math"/>
            <w:kern w:val="32"/>
            <w:lang w:val="en-US" w:eastAsia="zh-CN"/>
          </w:rPr>
          <m:t>T≤4</m:t>
        </m:r>
      </m:oMath>
      <w:r w:rsidR="00D74B66">
        <w:rPr>
          <w:bCs/>
          <w:kern w:val="32"/>
          <w:lang w:val="en-US" w:eastAsia="zh-CN"/>
        </w:rPr>
        <w:t xml:space="preserve"> and is based on UE implementation,</w:t>
      </w:r>
    </w:p>
    <w:p w14:paraId="3B4370C2" w14:textId="77777777" w:rsidR="00045723" w:rsidRDefault="00E21265" w:rsidP="00D2686C">
      <w:pPr>
        <w:rPr>
          <w:rFonts w:eastAsia="Malgun Gothic"/>
          <w:lang w:val="en-US"/>
        </w:rPr>
      </w:pPr>
      <w:r>
        <w:rPr>
          <w:rFonts w:eastAsia="Malgun Gothic"/>
          <w:lang w:val="en-US"/>
        </w:rPr>
        <w:t>the UE transmits or receives the channel</w:t>
      </w:r>
      <w:r w:rsidR="00D74B66">
        <w:rPr>
          <w:rFonts w:eastAsia="Malgun Gothic"/>
          <w:lang w:val="en-US"/>
        </w:rPr>
        <w:t>s</w:t>
      </w:r>
      <w:r>
        <w:rPr>
          <w:rFonts w:eastAsia="Malgun Gothic"/>
          <w:lang w:val="en-US"/>
        </w:rPr>
        <w:t>/signal</w:t>
      </w:r>
      <w:r w:rsidR="00D74B66">
        <w:rPr>
          <w:rFonts w:eastAsia="Malgun Gothic"/>
          <w:lang w:val="en-US"/>
        </w:rPr>
        <w:t>s of the radio access technology</w:t>
      </w:r>
      <w:r>
        <w:rPr>
          <w:rFonts w:eastAsia="Malgun Gothic"/>
          <w:lang w:val="en-US"/>
        </w:rPr>
        <w:t xml:space="preserve"> with the </w:t>
      </w:r>
      <w:r w:rsidR="00D74B66">
        <w:rPr>
          <w:rFonts w:eastAsia="Malgun Gothic"/>
          <w:lang w:val="en-US"/>
        </w:rPr>
        <w:t xml:space="preserve">highest </w:t>
      </w:r>
      <w:r>
        <w:rPr>
          <w:rFonts w:eastAsia="Malgun Gothic"/>
          <w:lang w:val="en-US"/>
        </w:rPr>
        <w:t xml:space="preserve">priority </w:t>
      </w:r>
    </w:p>
    <w:p w14:paraId="4CEB0C23" w14:textId="0048231F" w:rsidR="00045723" w:rsidRDefault="00045723" w:rsidP="00045723">
      <w:pPr>
        <w:pStyle w:val="B1"/>
      </w:pPr>
      <w:r>
        <w:t>-</w:t>
      </w:r>
      <w:r>
        <w:tab/>
      </w:r>
      <w:r w:rsidR="00E21265">
        <w:t>as determined by the SCI formats scheduling the transmissions</w:t>
      </w:r>
      <w:r>
        <w:t>,</w:t>
      </w:r>
      <w:r w:rsidR="00E21265">
        <w:t xml:space="preserve"> or</w:t>
      </w:r>
    </w:p>
    <w:p w14:paraId="49C2B001" w14:textId="11475473" w:rsidR="00045723" w:rsidRDefault="00045723" w:rsidP="00045723">
      <w:pPr>
        <w:pStyle w:val="B1"/>
      </w:pPr>
      <w:r>
        <w:t>-</w:t>
      </w:r>
      <w:r>
        <w:tab/>
        <w:t xml:space="preserve">as </w:t>
      </w:r>
      <w:r w:rsidRPr="007053C7">
        <w:t xml:space="preserve">indicated by higher layers </w:t>
      </w:r>
      <w:r w:rsidR="00E21265">
        <w:t xml:space="preserve">in case of a S-SS/PSBCH block or a sidelink synchronization signal using E-UTRA radio access, </w:t>
      </w:r>
      <w:r>
        <w:t>or</w:t>
      </w:r>
    </w:p>
    <w:p w14:paraId="10D29D3A" w14:textId="3A91D5EC" w:rsidR="00045723" w:rsidRPr="00045723" w:rsidRDefault="00045723" w:rsidP="00045723">
      <w:pPr>
        <w:pStyle w:val="B1"/>
        <w:rPr>
          <w:lang w:val="en-GB"/>
        </w:rPr>
      </w:pPr>
      <w:r>
        <w:t>-</w:t>
      </w:r>
      <w:r>
        <w:tab/>
      </w:r>
      <w:r w:rsidRPr="007053C7">
        <w:t xml:space="preserve">as determined in </w:t>
      </w:r>
      <w:r w:rsidRPr="007053C7">
        <w:rPr>
          <w:rFonts w:eastAsiaTheme="minorEastAsia"/>
        </w:rPr>
        <w:t xml:space="preserve">clause 16.2.4.2 </w:t>
      </w:r>
      <w:r w:rsidRPr="007053C7">
        <w:t>among PSFCH transmissions/receptions</w:t>
      </w:r>
      <w:r>
        <w:rPr>
          <w:lang w:val="en-GB"/>
        </w:rPr>
        <w:t>.</w:t>
      </w:r>
    </w:p>
    <w:p w14:paraId="66A494C7" w14:textId="77777777" w:rsidR="00E21265" w:rsidRPr="00B916EC" w:rsidRDefault="00E21265">
      <w:pPr>
        <w:pStyle w:val="Heading4"/>
      </w:pPr>
      <w:bookmarkStart w:id="887" w:name="_Toc29894883"/>
      <w:bookmarkStart w:id="888" w:name="_Toc29899182"/>
      <w:bookmarkStart w:id="889" w:name="_Toc29899600"/>
      <w:bookmarkStart w:id="890" w:name="_Toc29917336"/>
      <w:bookmarkStart w:id="891" w:name="_Toc36498211"/>
      <w:bookmarkStart w:id="892" w:name="_Toc45699239"/>
      <w:bookmarkStart w:id="893" w:name="_Toc161999174"/>
      <w:r>
        <w:lastRenderedPageBreak/>
        <w:t>16</w:t>
      </w:r>
      <w:r w:rsidRPr="00B916EC">
        <w:rPr>
          <w:rFonts w:hint="eastAsia"/>
        </w:rPr>
        <w:t>.</w:t>
      </w:r>
      <w:r>
        <w:t>2.4.2</w:t>
      </w:r>
      <w:r w:rsidRPr="00B916EC">
        <w:rPr>
          <w:rFonts w:hint="eastAsia"/>
        </w:rPr>
        <w:tab/>
      </w:r>
      <w:r>
        <w:t>Simultaneous PSFCH transmission/reception</w:t>
      </w:r>
      <w:bookmarkEnd w:id="887"/>
      <w:bookmarkEnd w:id="888"/>
      <w:bookmarkEnd w:id="889"/>
      <w:bookmarkEnd w:id="890"/>
      <w:bookmarkEnd w:id="891"/>
      <w:bookmarkEnd w:id="892"/>
      <w:bookmarkEnd w:id="893"/>
    </w:p>
    <w:p w14:paraId="3A715A90" w14:textId="77777777" w:rsidR="002773C4" w:rsidRPr="007053C7" w:rsidRDefault="002773C4" w:rsidP="002773C4">
      <w:pPr>
        <w:rPr>
          <w:rFonts w:eastAsia="Malgun Gothic"/>
          <w:lang w:val="en-US"/>
        </w:rPr>
      </w:pPr>
      <w:r w:rsidRPr="007053C7">
        <w:rPr>
          <w:lang w:val="en-US" w:eastAsia="zh-CN"/>
        </w:rPr>
        <w:t xml:space="preserve">For a PSFCH </w:t>
      </w:r>
      <w:r w:rsidRPr="007053C7">
        <w:rPr>
          <w:rFonts w:eastAsia="Malgun Gothic"/>
          <w:lang w:val="en-US"/>
        </w:rPr>
        <w:t>transmission or reception with HARQ-ACK information, a priority value for the PSFCH is equal to the priority value indicated by an SCI format 1-A associated with the PSFCH.</w:t>
      </w:r>
    </w:p>
    <w:p w14:paraId="29AC19B6" w14:textId="46709EE9" w:rsidR="002773C4" w:rsidRPr="007053C7" w:rsidRDefault="002773C4" w:rsidP="002773C4">
      <w:pPr>
        <w:rPr>
          <w:rFonts w:eastAsia="Malgun Gothic"/>
          <w:lang w:val="en-US"/>
        </w:rPr>
      </w:pPr>
      <w:r w:rsidRPr="007053C7">
        <w:rPr>
          <w:lang w:val="en-US" w:eastAsia="zh-CN"/>
        </w:rPr>
        <w:t xml:space="preserve">For PSFCH </w:t>
      </w:r>
      <w:r w:rsidRPr="007053C7">
        <w:rPr>
          <w:rFonts w:eastAsia="Malgun Gothic"/>
          <w:lang w:val="en-US"/>
        </w:rPr>
        <w:t>transmission with conflict information, a priority value for the PSFCH is equal to the smallest priority value determined by the corresponding SCI format</w:t>
      </w:r>
      <w:r w:rsidR="00C17DE3">
        <w:rPr>
          <w:rFonts w:eastAsia="Malgun Gothic"/>
          <w:lang w:val="en-US"/>
        </w:rPr>
        <w:t>(</w:t>
      </w:r>
      <w:r w:rsidRPr="007053C7">
        <w:rPr>
          <w:rFonts w:eastAsia="Malgun Gothic"/>
          <w:lang w:val="en-US"/>
        </w:rPr>
        <w:t>s</w:t>
      </w:r>
      <w:r w:rsidR="00C17DE3">
        <w:rPr>
          <w:rFonts w:eastAsia="Malgun Gothic"/>
          <w:lang w:val="en-US"/>
        </w:rPr>
        <w:t>)</w:t>
      </w:r>
      <w:r w:rsidRPr="007053C7">
        <w:rPr>
          <w:rFonts w:eastAsia="Malgun Gothic"/>
          <w:lang w:val="en-US"/>
        </w:rPr>
        <w:t xml:space="preserve"> 1-A for the conflicting resource</w:t>
      </w:r>
      <w:r w:rsidR="00C17DE3">
        <w:rPr>
          <w:rFonts w:eastAsia="Malgun Gothic"/>
          <w:lang w:val="en-US"/>
        </w:rPr>
        <w:t>(</w:t>
      </w:r>
      <w:r w:rsidRPr="007053C7">
        <w:rPr>
          <w:rFonts w:eastAsia="Malgun Gothic"/>
          <w:lang w:val="en-US"/>
        </w:rPr>
        <w:t>s</w:t>
      </w:r>
      <w:r w:rsidR="00C17DE3">
        <w:rPr>
          <w:rFonts w:eastAsia="Malgun Gothic"/>
          <w:lang w:val="en-US"/>
        </w:rPr>
        <w:t>)</w:t>
      </w:r>
      <w:r w:rsidRPr="007053C7">
        <w:rPr>
          <w:rFonts w:eastAsia="Malgun Gothic"/>
          <w:lang w:val="en-US"/>
        </w:rPr>
        <w:t>.</w:t>
      </w:r>
    </w:p>
    <w:p w14:paraId="4A6314F6" w14:textId="77777777" w:rsidR="002773C4" w:rsidRPr="007053C7" w:rsidRDefault="002773C4" w:rsidP="002773C4">
      <w:pPr>
        <w:rPr>
          <w:rFonts w:eastAsia="Malgun Gothic"/>
          <w:lang w:val="en-US"/>
        </w:rPr>
      </w:pPr>
      <w:r w:rsidRPr="007053C7">
        <w:rPr>
          <w:rFonts w:eastAsia="Malgun Gothic"/>
          <w:lang w:val="en-US"/>
        </w:rPr>
        <w:t>For PSFCH reception with conflict information, a priority value for the PSFCH is equal to the priority value determined by the corresponding SCI format 1-A for the conflicting resource.</w:t>
      </w:r>
    </w:p>
    <w:p w14:paraId="52EC8CC1" w14:textId="77777777" w:rsidR="00E21265" w:rsidRPr="00FC5E0B" w:rsidRDefault="00E21265" w:rsidP="00D2686C">
      <w:pPr>
        <w:rPr>
          <w:lang w:val="en-US" w:eastAsia="zh-CN"/>
        </w:rPr>
      </w:pPr>
      <w:r w:rsidRPr="00073F8C">
        <w:rPr>
          <w:lang w:val="en-US" w:eastAsia="zh-CN"/>
        </w:rPr>
        <w:t xml:space="preserve">If a </w:t>
      </w:r>
      <w:r>
        <w:rPr>
          <w:lang w:val="en-US" w:eastAsia="zh-CN"/>
        </w:rPr>
        <w:t xml:space="preserve">UE </w:t>
      </w:r>
    </w:p>
    <w:p w14:paraId="3219C6DE" w14:textId="66E40414" w:rsidR="00E778F2" w:rsidRPr="00FC5E0B" w:rsidRDefault="00E778F2" w:rsidP="00E778F2">
      <w:pPr>
        <w:pStyle w:val="B1"/>
      </w:pPr>
      <w:r w:rsidRPr="00FC5E0B">
        <w:t>-</w:t>
      </w:r>
      <w:r w:rsidRPr="00FC5E0B">
        <w:tab/>
      </w:r>
      <w:r w:rsidRPr="00FC5E0B">
        <w:rPr>
          <w:bCs/>
          <w:kern w:val="32"/>
          <w:lang w:val="en-US" w:eastAsia="zh-CN"/>
        </w:rPr>
        <w:t xml:space="preserve">would transmit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sch,Tx,PSFCH</m:t>
            </m:r>
          </m:sub>
        </m:sSub>
      </m:oMath>
      <w:r w:rsidRPr="00FC5E0B">
        <w:rPr>
          <w:bCs/>
          <w:kern w:val="32"/>
          <w:lang w:val="en-US" w:eastAsia="zh-CN"/>
        </w:rPr>
        <w:t xml:space="preserve"> PSFCH</w:t>
      </w:r>
      <w:r>
        <w:rPr>
          <w:bCs/>
          <w:kern w:val="32"/>
          <w:lang w:val="en-US" w:eastAsia="zh-CN"/>
        </w:rPr>
        <w:t>s</w:t>
      </w:r>
      <w:r w:rsidRPr="00FC5E0B">
        <w:rPr>
          <w:bCs/>
          <w:kern w:val="32"/>
          <w:lang w:val="en-US" w:eastAsia="zh-CN"/>
        </w:rPr>
        <w:t xml:space="preserve"> and receive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sch,Rx,PSFCH</m:t>
            </m:r>
          </m:sub>
        </m:sSub>
      </m:oMath>
      <w:r w:rsidR="00CF3D85">
        <w:rPr>
          <w:szCs w:val="22"/>
          <w:lang w:val="en-GB"/>
        </w:rPr>
        <w:t xml:space="preserve"> </w:t>
      </w:r>
      <w:r w:rsidRPr="00FC5E0B">
        <w:rPr>
          <w:bCs/>
          <w:kern w:val="32"/>
          <w:lang w:val="en-US" w:eastAsia="zh-CN"/>
        </w:rPr>
        <w:t>PSFCH</w:t>
      </w:r>
      <w:r>
        <w:rPr>
          <w:bCs/>
          <w:kern w:val="32"/>
          <w:lang w:val="en-US" w:eastAsia="zh-CN"/>
        </w:rPr>
        <w:t>s</w:t>
      </w:r>
      <w:r w:rsidRPr="00FC5E0B">
        <w:rPr>
          <w:bCs/>
          <w:kern w:val="32"/>
          <w:lang w:val="en-US" w:eastAsia="zh-CN"/>
        </w:rPr>
        <w:t>, and</w:t>
      </w:r>
    </w:p>
    <w:p w14:paraId="21EEF0FE" w14:textId="77777777" w:rsidR="00E778F2" w:rsidRPr="00FC5E0B" w:rsidRDefault="00E778F2" w:rsidP="00E778F2">
      <w:pPr>
        <w:pStyle w:val="B1"/>
        <w:rPr>
          <w:bCs/>
          <w:kern w:val="32"/>
          <w:lang w:val="en-US" w:eastAsia="zh-CN"/>
        </w:rPr>
      </w:pPr>
      <w:r w:rsidRPr="00FC5E0B">
        <w:t>-</w:t>
      </w:r>
      <w:r w:rsidRPr="00FC5E0B">
        <w:tab/>
      </w:r>
      <w:r w:rsidRPr="00FC5E0B">
        <w:rPr>
          <w:bCs/>
          <w:kern w:val="32"/>
          <w:lang w:val="en-US" w:eastAsia="zh-CN"/>
        </w:rPr>
        <w:t>transmission</w:t>
      </w:r>
      <w:r>
        <w:rPr>
          <w:bCs/>
          <w:kern w:val="32"/>
          <w:lang w:val="en-US" w:eastAsia="zh-CN"/>
        </w:rPr>
        <w:t>s</w:t>
      </w:r>
      <w:r w:rsidRPr="00FC5E0B">
        <w:rPr>
          <w:bCs/>
          <w:kern w:val="32"/>
          <w:lang w:val="en-US" w:eastAsia="zh-CN"/>
        </w:rPr>
        <w:t xml:space="preserve"> of the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sch,Tx,PSFCH</m:t>
            </m:r>
          </m:sub>
        </m:sSub>
      </m:oMath>
      <w:r w:rsidRPr="00FC5E0B">
        <w:rPr>
          <w:bCs/>
          <w:kern w:val="32"/>
          <w:lang w:val="en-US" w:eastAsia="zh-CN"/>
        </w:rPr>
        <w:t xml:space="preserve"> PSFCH</w:t>
      </w:r>
      <w:r>
        <w:rPr>
          <w:bCs/>
          <w:kern w:val="32"/>
          <w:lang w:val="en-US" w:eastAsia="zh-CN"/>
        </w:rPr>
        <w:t>s</w:t>
      </w:r>
      <w:r w:rsidRPr="00FC5E0B">
        <w:rPr>
          <w:bCs/>
          <w:kern w:val="32"/>
          <w:lang w:val="en-US" w:eastAsia="zh-CN"/>
        </w:rPr>
        <w:t xml:space="preserve"> would overlap in time with reception</w:t>
      </w:r>
      <w:r>
        <w:rPr>
          <w:bCs/>
          <w:kern w:val="32"/>
          <w:lang w:val="en-US" w:eastAsia="zh-CN"/>
        </w:rPr>
        <w:t>s</w:t>
      </w:r>
      <w:r w:rsidRPr="00FC5E0B">
        <w:rPr>
          <w:bCs/>
          <w:kern w:val="32"/>
          <w:lang w:val="en-US" w:eastAsia="zh-CN"/>
        </w:rPr>
        <w:t xml:space="preserve"> of the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sch,Rx,PSFCH</m:t>
            </m:r>
          </m:sub>
        </m:sSub>
      </m:oMath>
      <w:r w:rsidRPr="00FC5E0B">
        <w:rPr>
          <w:bCs/>
          <w:kern w:val="32"/>
          <w:lang w:val="en-US" w:eastAsia="zh-CN"/>
        </w:rPr>
        <w:t xml:space="preserve"> PSFCH</w:t>
      </w:r>
      <w:r>
        <w:rPr>
          <w:bCs/>
          <w:kern w:val="32"/>
          <w:lang w:val="en-US" w:eastAsia="zh-CN"/>
        </w:rPr>
        <w:t>s</w:t>
      </w:r>
    </w:p>
    <w:p w14:paraId="669FF88B" w14:textId="6003AC38" w:rsidR="00E778F2" w:rsidRPr="00FC5E0B" w:rsidRDefault="00E778F2" w:rsidP="00582ADB">
      <w:pPr>
        <w:rPr>
          <w:rFonts w:eastAsia="Malgun Gothic"/>
          <w:lang w:val="en-US"/>
        </w:rPr>
      </w:pPr>
      <w:r w:rsidRPr="00FC5E0B">
        <w:rPr>
          <w:rFonts w:eastAsia="Malgun Gothic"/>
          <w:lang w:val="en-US"/>
        </w:rPr>
        <w:t xml:space="preserve">the UE transmits or receives only </w:t>
      </w:r>
      <w:r>
        <w:rPr>
          <w:rFonts w:eastAsia="Malgun Gothic"/>
          <w:lang w:val="en-US"/>
        </w:rPr>
        <w:t>a set of</w:t>
      </w:r>
      <w:r w:rsidRPr="00FC5E0B">
        <w:rPr>
          <w:rFonts w:eastAsia="Malgun Gothic"/>
          <w:lang w:val="en-US"/>
        </w:rPr>
        <w:t xml:space="preserve"> PSFCH</w:t>
      </w:r>
      <w:r>
        <w:rPr>
          <w:rFonts w:eastAsia="Malgun Gothic"/>
          <w:lang w:val="en-US"/>
        </w:rPr>
        <w:t>s</w:t>
      </w:r>
      <w:r w:rsidRPr="00FC5E0B">
        <w:rPr>
          <w:rFonts w:eastAsia="Malgun Gothic"/>
          <w:lang w:val="en-US"/>
        </w:rPr>
        <w:t xml:space="preserve"> </w:t>
      </w:r>
      <w:r>
        <w:rPr>
          <w:rFonts w:eastAsia="Malgun Gothic"/>
          <w:lang w:val="en-US"/>
        </w:rPr>
        <w:t>corresponding to</w:t>
      </w:r>
      <w:r w:rsidRPr="00FC5E0B">
        <w:rPr>
          <w:rFonts w:eastAsia="Malgun Gothic"/>
          <w:lang w:val="en-US"/>
        </w:rPr>
        <w:t xml:space="preserve"> the </w:t>
      </w:r>
      <w:r>
        <w:rPr>
          <w:rFonts w:eastAsia="Malgun Gothic"/>
          <w:lang w:val="en-US"/>
        </w:rPr>
        <w:t>smallest</w:t>
      </w:r>
      <w:r w:rsidRPr="00FC5E0B">
        <w:rPr>
          <w:rFonts w:eastAsia="Malgun Gothic"/>
          <w:lang w:val="en-US"/>
        </w:rPr>
        <w:t xml:space="preserve"> priority </w:t>
      </w:r>
      <w:r>
        <w:rPr>
          <w:rFonts w:eastAsia="Malgun Gothic"/>
          <w:lang w:val="en-US"/>
        </w:rPr>
        <w:t xml:space="preserve">field value, </w:t>
      </w:r>
      <w:r w:rsidRPr="00FC5E0B">
        <w:rPr>
          <w:rFonts w:eastAsia="Malgun Gothic"/>
          <w:lang w:val="en-US"/>
        </w:rPr>
        <w:t xml:space="preserve">as determined by </w:t>
      </w:r>
      <w:r>
        <w:rPr>
          <w:rFonts w:eastAsia="Malgun Gothic"/>
          <w:lang w:val="en-US"/>
        </w:rPr>
        <w:t>a first set of SCI format 1-A and</w:t>
      </w:r>
      <w:r w:rsidR="00CF3D85" w:rsidRPr="007053C7">
        <w:rPr>
          <w:rFonts w:eastAsia="Malgun Gothic"/>
          <w:lang w:val="en-US"/>
        </w:rPr>
        <w:t>/or</w:t>
      </w:r>
      <w:r>
        <w:rPr>
          <w:rFonts w:eastAsia="Malgun Gothic"/>
          <w:lang w:val="en-US"/>
        </w:rPr>
        <w:t xml:space="preserve"> a second set of </w:t>
      </w:r>
      <w:r w:rsidRPr="00FC5E0B">
        <w:rPr>
          <w:rFonts w:eastAsia="Malgun Gothic"/>
          <w:lang w:val="en-US"/>
        </w:rPr>
        <w:t xml:space="preserve">SCI format </w:t>
      </w:r>
      <w:r>
        <w:rPr>
          <w:rFonts w:eastAsia="Malgun Gothic"/>
          <w:lang w:val="en-US"/>
        </w:rPr>
        <w:t>1-A</w:t>
      </w:r>
      <w:r w:rsidRPr="00FC5E0B">
        <w:rPr>
          <w:rFonts w:eastAsia="Malgun Gothic"/>
          <w:lang w:val="en-US"/>
        </w:rPr>
        <w:t xml:space="preserve"> [5, TS 38.212] </w:t>
      </w:r>
      <w:r>
        <w:rPr>
          <w:rFonts w:eastAsia="Malgun Gothic"/>
          <w:lang w:val="en-US"/>
        </w:rPr>
        <w:t xml:space="preserve">that are respectively </w:t>
      </w:r>
      <w:r w:rsidRPr="00FC5E0B">
        <w:rPr>
          <w:rFonts w:eastAsia="Malgun Gothic"/>
          <w:lang w:val="en-US"/>
        </w:rPr>
        <w:t xml:space="preserve">associated </w:t>
      </w:r>
      <w:r>
        <w:rPr>
          <w:rFonts w:eastAsia="Malgun Gothic"/>
          <w:lang w:val="en-US"/>
        </w:rPr>
        <w:t xml:space="preserve">with </w:t>
      </w:r>
      <w:r w:rsidR="00CF3D85" w:rsidRPr="007053C7">
        <w:rPr>
          <w:rFonts w:eastAsia="Malgun Gothic"/>
          <w:lang w:val="en-US"/>
        </w:rPr>
        <w:t xml:space="preserve">PSFCHs with HARQ-ACK information from the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sch,Tx,PSFCH</m:t>
            </m:r>
          </m:sub>
        </m:sSub>
      </m:oMath>
      <w:r w:rsidR="00CF3D85" w:rsidRPr="007053C7">
        <w:rPr>
          <w:rFonts w:eastAsia="Malgun Gothic"/>
          <w:lang w:val="en-US"/>
        </w:rPr>
        <w:t xml:space="preserve"> PSFCHs and PSFCHs with HARQ-ACK information from the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sch,Rx,PSFCH</m:t>
            </m:r>
          </m:sub>
        </m:sSub>
      </m:oMath>
      <w:r w:rsidR="00CF3D85" w:rsidRPr="007053C7">
        <w:rPr>
          <w:rFonts w:eastAsia="Malgun Gothic"/>
          <w:lang w:val="en-US"/>
        </w:rPr>
        <w:t xml:space="preserve"> PSFCHs when one or more of the PSFCHs provide HARQ-ACK information. If none of the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sch,Tx,PSFCH</m:t>
            </m:r>
          </m:sub>
        </m:sSub>
      </m:oMath>
      <w:r w:rsidR="00CF3D85" w:rsidRPr="007053C7">
        <w:rPr>
          <w:rFonts w:eastAsia="Malgun Gothic"/>
          <w:lang w:val="en-US"/>
        </w:rPr>
        <w:t xml:space="preserve"> PSFCHs and none of the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sch,Rx,PSFCH</m:t>
            </m:r>
          </m:sub>
        </m:sSub>
      </m:oMath>
      <w:r w:rsidR="00CF3D85" w:rsidRPr="007053C7">
        <w:rPr>
          <w:rFonts w:eastAsia="Malgun Gothic"/>
          <w:lang w:val="en-US"/>
        </w:rPr>
        <w:t xml:space="preserve"> PSFCHs provide HARQ-ACK information, the UE transmits or receives only a set of PSFCHs corresponding to the smallest priority value of the first set of PSFCHs and the second set of PSFCHs that are respectively associated with the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sch,Tx,PSFCH</m:t>
            </m:r>
          </m:sub>
        </m:sSub>
      </m:oMath>
      <w:r w:rsidR="00CF3D85" w:rsidRPr="007053C7">
        <w:rPr>
          <w:rFonts w:eastAsia="Malgun Gothic"/>
          <w:lang w:val="en-US"/>
        </w:rPr>
        <w:t xml:space="preserve"> PSFCHs and the </w:t>
      </w:r>
      <m:oMath>
        <m:sSub>
          <m:sSubPr>
            <m:ctrlPr>
              <w:rPr>
                <w:rFonts w:ascii="Cambria Math" w:eastAsia="Malgun Gothic" w:hAnsi="Cambria Math" w:cstheme="minorBidi"/>
                <w:i/>
                <w:noProof/>
                <w:szCs w:val="22"/>
              </w:rPr>
            </m:ctrlPr>
          </m:sSubPr>
          <m:e>
            <m:r>
              <w:rPr>
                <w:rFonts w:ascii="Cambria Math" w:eastAsia="Malgun Gothic" w:hAnsi="Cambria Math" w:cstheme="minorBidi"/>
                <w:noProof/>
                <w:szCs w:val="22"/>
              </w:rPr>
              <m:t>N</m:t>
            </m:r>
          </m:e>
          <m:sub>
            <m:r>
              <m:rPr>
                <m:sty m:val="p"/>
              </m:rPr>
              <w:rPr>
                <w:rFonts w:ascii="Cambria Math" w:eastAsia="Malgun Gothic" w:hAnsi="Cambria Math" w:cstheme="minorBidi"/>
                <w:noProof/>
                <w:szCs w:val="22"/>
              </w:rPr>
              <m:t>sch,Rx,PSFCH</m:t>
            </m:r>
          </m:sub>
        </m:sSub>
      </m:oMath>
      <w:r w:rsidR="00CF3D85" w:rsidRPr="007053C7">
        <w:rPr>
          <w:rFonts w:eastAsia="Malgun Gothic"/>
          <w:lang w:val="en-US"/>
        </w:rPr>
        <w:t xml:space="preserve"> PSFCHs when the PSFCHs provide conflict information.</w:t>
      </w:r>
    </w:p>
    <w:p w14:paraId="34E17BDE" w14:textId="7D6EC97D" w:rsidR="00CF3D85" w:rsidRPr="007053C7" w:rsidRDefault="00CF3D85" w:rsidP="00CF3D85">
      <w:pPr>
        <w:rPr>
          <w:lang w:val="en-US"/>
        </w:rPr>
      </w:pPr>
      <w:r w:rsidRPr="007053C7">
        <w:rPr>
          <w:lang w:val="en-US" w:eastAsia="zh-CN"/>
        </w:rPr>
        <w:t xml:space="preserve">If a UE </w:t>
      </w:r>
      <w:r w:rsidRPr="007053C7">
        <w:rPr>
          <w:bCs/>
          <w:kern w:val="32"/>
          <w:lang w:val="en-US" w:eastAsia="zh-CN"/>
        </w:rPr>
        <w:t xml:space="preserve">would transmit </w:t>
      </w:r>
      <m:oMath>
        <m:sSub>
          <m:sSubPr>
            <m:ctrlPr>
              <w:rPr>
                <w:rFonts w:ascii="Cambria Math" w:hAnsi="Cambria Math" w:cstheme="minorBidi"/>
                <w:i/>
                <w:noProof/>
                <w:szCs w:val="22"/>
              </w:rPr>
            </m:ctrlPr>
          </m:sSubPr>
          <m:e>
            <m:r>
              <w:rPr>
                <w:rFonts w:ascii="Cambria Math" w:hAnsi="Cambria Math" w:cstheme="minorBidi"/>
                <w:noProof/>
                <w:szCs w:val="22"/>
              </w:rPr>
              <m:t>N</m:t>
            </m:r>
          </m:e>
          <m:sub>
            <m:r>
              <m:rPr>
                <m:sty m:val="p"/>
              </m:rPr>
              <w:rPr>
                <w:rFonts w:ascii="Cambria Math" w:hAnsi="Cambria Math" w:cstheme="minorBidi"/>
                <w:noProof/>
                <w:szCs w:val="22"/>
              </w:rPr>
              <m:t>sch,Tx,PSFCH</m:t>
            </m:r>
          </m:sub>
        </m:sSub>
      </m:oMath>
      <w:r w:rsidRPr="007053C7">
        <w:rPr>
          <w:bCs/>
          <w:kern w:val="32"/>
          <w:lang w:val="en-US" w:eastAsia="zh-CN"/>
        </w:rPr>
        <w:t xml:space="preserve"> PSFCHs in a PSFCH transmission occasion, </w:t>
      </w:r>
      <w:r w:rsidRPr="007053C7">
        <w:rPr>
          <w:lang w:val="en-US"/>
        </w:rPr>
        <w:t xml:space="preserve">the UE first transmits PSFCHs with HARQ-ACK information from </w:t>
      </w:r>
      <m:oMath>
        <m:sSub>
          <m:sSubPr>
            <m:ctrlPr>
              <w:rPr>
                <w:rFonts w:ascii="Cambria Math" w:hAnsi="Cambria Math" w:cstheme="minorBidi"/>
                <w:i/>
                <w:noProof/>
                <w:szCs w:val="22"/>
              </w:rPr>
            </m:ctrlPr>
          </m:sSubPr>
          <m:e>
            <m:r>
              <w:rPr>
                <w:rFonts w:ascii="Cambria Math" w:hAnsi="Cambria Math" w:cstheme="minorBidi"/>
                <w:noProof/>
                <w:szCs w:val="22"/>
              </w:rPr>
              <m:t>N</m:t>
            </m:r>
          </m:e>
          <m:sub>
            <m:r>
              <m:rPr>
                <m:sty m:val="p"/>
              </m:rPr>
              <w:rPr>
                <w:rFonts w:ascii="Cambria Math" w:hAnsi="Cambria Math" w:cstheme="minorBidi"/>
                <w:noProof/>
                <w:szCs w:val="22"/>
              </w:rPr>
              <m:t>Tx,PSFCH</m:t>
            </m:r>
          </m:sub>
        </m:sSub>
      </m:oMath>
      <w:r w:rsidRPr="007053C7">
        <w:rPr>
          <w:lang w:val="en-US"/>
        </w:rPr>
        <w:t xml:space="preserve"> PSFCHs corresponding to the smallest priority field values from the </w:t>
      </w:r>
      <m:oMath>
        <m:sSub>
          <m:sSubPr>
            <m:ctrlPr>
              <w:rPr>
                <w:rFonts w:ascii="Cambria Math" w:hAnsi="Cambria Math" w:cstheme="minorBidi"/>
                <w:i/>
                <w:noProof/>
                <w:szCs w:val="22"/>
              </w:rPr>
            </m:ctrlPr>
          </m:sSubPr>
          <m:e>
            <m:r>
              <w:rPr>
                <w:rFonts w:ascii="Cambria Math" w:hAnsi="Cambria Math" w:cstheme="minorBidi"/>
                <w:noProof/>
                <w:szCs w:val="22"/>
              </w:rPr>
              <m:t>N</m:t>
            </m:r>
          </m:e>
          <m:sub>
            <m:r>
              <m:rPr>
                <m:sty m:val="p"/>
              </m:rPr>
              <w:rPr>
                <w:rFonts w:ascii="Cambria Math" w:hAnsi="Cambria Math" w:cstheme="minorBidi"/>
                <w:noProof/>
                <w:szCs w:val="22"/>
              </w:rPr>
              <m:t>Tx,PSFCH</m:t>
            </m:r>
          </m:sub>
        </m:sSub>
      </m:oMath>
      <w:r w:rsidRPr="007053C7">
        <w:rPr>
          <w:lang w:val="en-US"/>
        </w:rPr>
        <w:t xml:space="preserve"> priority field values</w:t>
      </w:r>
      <w:r w:rsidR="002B1778">
        <w:rPr>
          <w:lang w:val="en-US"/>
        </w:rPr>
        <w:t>, if any</w:t>
      </w:r>
      <w:r w:rsidRPr="007053C7">
        <w:rPr>
          <w:lang w:val="en-US"/>
        </w:rPr>
        <w:t xml:space="preserve">. Subsequently, the UE transmits remaining PSFCHs with conflict information corresponding to the smallest remaining priority field values from the </w:t>
      </w:r>
      <m:oMath>
        <m:sSub>
          <m:sSubPr>
            <m:ctrlPr>
              <w:rPr>
                <w:rFonts w:ascii="Cambria Math" w:hAnsi="Cambria Math" w:cstheme="minorBidi"/>
                <w:i/>
                <w:noProof/>
                <w:szCs w:val="22"/>
              </w:rPr>
            </m:ctrlPr>
          </m:sSubPr>
          <m:e>
            <m:r>
              <w:rPr>
                <w:rFonts w:ascii="Cambria Math" w:hAnsi="Cambria Math" w:cstheme="minorBidi"/>
                <w:noProof/>
                <w:szCs w:val="22"/>
              </w:rPr>
              <m:t>N</m:t>
            </m:r>
          </m:e>
          <m:sub>
            <m:r>
              <m:rPr>
                <m:sty m:val="p"/>
              </m:rPr>
              <w:rPr>
                <w:rFonts w:ascii="Cambria Math" w:hAnsi="Cambria Math" w:cstheme="minorBidi"/>
                <w:noProof/>
                <w:szCs w:val="22"/>
              </w:rPr>
              <m:t>Tx,PSFCH</m:t>
            </m:r>
          </m:sub>
        </m:sSub>
      </m:oMath>
      <w:r w:rsidRPr="007053C7">
        <w:rPr>
          <w:lang w:val="en-US"/>
        </w:rPr>
        <w:t xml:space="preserve"> priority field values, if any.</w:t>
      </w:r>
    </w:p>
    <w:p w14:paraId="7B08380D" w14:textId="36C882BA" w:rsidR="00B31340" w:rsidRDefault="00B31340" w:rsidP="0024141F">
      <w:r w:rsidRPr="00A340B0">
        <w:t xml:space="preserve">For </w:t>
      </w:r>
      <w:r w:rsidRPr="00A340B0">
        <w:rPr>
          <w:lang w:eastAsia="ja-JP"/>
        </w:rPr>
        <w:t>operation with shared spectrum channel</w:t>
      </w:r>
      <w:r>
        <w:rPr>
          <w:lang w:eastAsia="ja-JP"/>
        </w:rPr>
        <w:t xml:space="preserve"> access, </w:t>
      </w:r>
      <w:r>
        <w:t>i</w:t>
      </w:r>
      <w:r w:rsidRPr="00D94928">
        <w:t xml:space="preserve">f a UE </w:t>
      </w:r>
      <w:r>
        <w:t>does not support</w:t>
      </w:r>
      <w:r w:rsidRPr="00D94928">
        <w:t xml:space="preserve"> </w:t>
      </w:r>
      <w:r>
        <w:t>PSFCH</w:t>
      </w:r>
      <w:r w:rsidRPr="00D94928">
        <w:t xml:space="preserve"> </w:t>
      </w:r>
      <w:r>
        <w:t>transmission in</w:t>
      </w:r>
      <w:r w:rsidRPr="00D94928">
        <w:t xml:space="preserve"> </w:t>
      </w:r>
      <w:r>
        <w:t>non-</w:t>
      </w:r>
      <w:r w:rsidRPr="00D94928">
        <w:t>contiguous RB sets, the</w:t>
      </w:r>
      <w:r>
        <w:t xml:space="preserve"> UE</w:t>
      </w:r>
      <w:r w:rsidRPr="00D94928">
        <w:t xml:space="preserve"> </w:t>
      </w:r>
      <w:r>
        <w:t xml:space="preserve">selects for PSFCH transmission any </w:t>
      </w:r>
      <w:r>
        <w:rPr>
          <w:noProof/>
          <w:lang w:eastAsia="zh-CN"/>
        </w:rPr>
        <w:t xml:space="preserve">contiguous </w:t>
      </w:r>
      <w:r w:rsidRPr="00D94928">
        <w:rPr>
          <w:noProof/>
          <w:lang w:eastAsia="zh-CN"/>
        </w:rPr>
        <w:t>RB set</w:t>
      </w:r>
      <w:r>
        <w:rPr>
          <w:noProof/>
          <w:lang w:eastAsia="zh-CN"/>
        </w:rPr>
        <w:t>(s) that include PSFCH with the smallest priority value</w:t>
      </w:r>
      <w:r w:rsidR="0024141F">
        <w:rPr>
          <w:noProof/>
          <w:lang w:eastAsia="zh-CN"/>
        </w:rPr>
        <w:t xml:space="preserve"> </w:t>
      </w:r>
      <w:r w:rsidR="0024141F" w:rsidRPr="00912E61">
        <w:rPr>
          <w:rFonts w:eastAsia="MS Mincho"/>
          <w:lang w:eastAsia="zh-CN"/>
        </w:rPr>
        <w:t>among the</w:t>
      </w:r>
      <w:r w:rsidR="0024141F" w:rsidRPr="00912E61">
        <w:rPr>
          <w:rFonts w:eastAsia="MS Gothic"/>
          <w:lang w:eastAsia="ja-JP"/>
        </w:rPr>
        <w:t xml:space="preserve"> </w:t>
      </w:r>
      <w:r w:rsidR="0024141F" w:rsidRPr="00912E61">
        <w:rPr>
          <w:rFonts w:eastAsia="MS Mincho"/>
          <w:lang w:eastAsia="zh-CN"/>
        </w:rPr>
        <w:t xml:space="preserve">PSFCHs with </w:t>
      </w:r>
      <w:r w:rsidR="0024141F" w:rsidRPr="00912E61">
        <w:rPr>
          <w:rFonts w:eastAsia="Malgun Gothic"/>
          <w:lang w:eastAsia="ja-JP"/>
        </w:rPr>
        <w:t>HARQ-ACK information</w:t>
      </w:r>
      <w:r w:rsidR="0024141F" w:rsidRPr="00912E61">
        <w:rPr>
          <w:rFonts w:eastAsia="MS Gothic"/>
          <w:lang w:eastAsia="zh-CN"/>
        </w:rPr>
        <w:t xml:space="preserve">. </w:t>
      </w:r>
      <w:r w:rsidR="0024141F" w:rsidRPr="00912E61">
        <w:rPr>
          <w:rFonts w:eastAsia="Malgun Gothic"/>
          <w:lang w:eastAsia="ja-JP"/>
        </w:rPr>
        <w:t xml:space="preserve">If none of the </w:t>
      </w:r>
      <m:oMath>
        <m:sSub>
          <m:sSubPr>
            <m:ctrlPr>
              <w:rPr>
                <w:rFonts w:ascii="Cambria Math" w:eastAsia="Malgun Gothic" w:hAnsi="Cambria Math" w:cs="SimSun"/>
                <w:i/>
                <w:sz w:val="24"/>
                <w:lang w:eastAsia="ja-JP"/>
              </w:rPr>
            </m:ctrlPr>
          </m:sSubPr>
          <m:e>
            <m:r>
              <w:rPr>
                <w:rFonts w:ascii="Cambria Math" w:eastAsia="Malgun Gothic" w:hAnsi="Cambria Math"/>
                <w:szCs w:val="21"/>
                <w:lang w:eastAsia="ja-JP"/>
              </w:rPr>
              <m:t>N</m:t>
            </m:r>
          </m:e>
          <m:sub>
            <m:r>
              <m:rPr>
                <m:sty m:val="p"/>
              </m:rPr>
              <w:rPr>
                <w:rFonts w:ascii="Cambria Math" w:eastAsia="Malgun Gothic" w:hAnsi="Cambria Math"/>
                <w:szCs w:val="21"/>
                <w:lang w:eastAsia="ja-JP"/>
              </w:rPr>
              <m:t>sch,Tx,PSFCH</m:t>
            </m:r>
          </m:sub>
        </m:sSub>
      </m:oMath>
      <w:r w:rsidR="0024141F" w:rsidRPr="00912E61">
        <w:rPr>
          <w:rFonts w:eastAsia="Malgun Gothic"/>
          <w:lang w:eastAsia="ja-JP"/>
        </w:rPr>
        <w:t xml:space="preserve"> PSFCHs and none of the </w:t>
      </w:r>
      <m:oMath>
        <m:sSub>
          <m:sSubPr>
            <m:ctrlPr>
              <w:rPr>
                <w:rFonts w:ascii="Cambria Math" w:eastAsia="Malgun Gothic" w:hAnsi="Cambria Math" w:cs="SimSun"/>
                <w:i/>
                <w:sz w:val="24"/>
                <w:lang w:eastAsia="ja-JP"/>
              </w:rPr>
            </m:ctrlPr>
          </m:sSubPr>
          <m:e>
            <m:r>
              <w:rPr>
                <w:rFonts w:ascii="Cambria Math" w:eastAsia="Malgun Gothic" w:hAnsi="Cambria Math"/>
                <w:szCs w:val="21"/>
                <w:lang w:eastAsia="ja-JP"/>
              </w:rPr>
              <m:t>N</m:t>
            </m:r>
          </m:e>
          <m:sub>
            <m:r>
              <m:rPr>
                <m:sty m:val="p"/>
              </m:rPr>
              <w:rPr>
                <w:rFonts w:ascii="Cambria Math" w:eastAsia="Malgun Gothic" w:hAnsi="Cambria Math"/>
                <w:szCs w:val="21"/>
                <w:lang w:eastAsia="ja-JP"/>
              </w:rPr>
              <m:t>sch,Rx,PSFCH</m:t>
            </m:r>
          </m:sub>
        </m:sSub>
      </m:oMath>
      <w:r w:rsidR="0024141F" w:rsidRPr="00912E61">
        <w:rPr>
          <w:rFonts w:eastAsia="Malgun Gothic"/>
          <w:lang w:eastAsia="ja-JP"/>
        </w:rPr>
        <w:t xml:space="preserve"> PSFCHs provide HARQ-ACK information, </w:t>
      </w:r>
      <w:r w:rsidR="0024141F" w:rsidRPr="00912E61">
        <w:rPr>
          <w:rFonts w:eastAsia="MS Gothic"/>
          <w:lang w:eastAsia="ja-JP"/>
        </w:rPr>
        <w:t xml:space="preserve">the UE selects for PSFCH transmission </w:t>
      </w:r>
      <w:r w:rsidR="0024141F" w:rsidRPr="00912E61">
        <w:rPr>
          <w:lang w:eastAsia="zh-CN"/>
        </w:rPr>
        <w:t xml:space="preserve">any </w:t>
      </w:r>
      <w:r w:rsidR="0024141F" w:rsidRPr="00912E61">
        <w:rPr>
          <w:rFonts w:eastAsia="MS Gothic"/>
          <w:lang w:eastAsia="zh-CN"/>
        </w:rPr>
        <w:t xml:space="preserve">contiguous RB sets that include PSFCH </w:t>
      </w:r>
      <w:r w:rsidR="0024141F" w:rsidRPr="00912E61">
        <w:rPr>
          <w:rFonts w:eastAsia="MS Mincho"/>
          <w:lang w:eastAsia="zh-CN"/>
        </w:rPr>
        <w:t xml:space="preserve">with </w:t>
      </w:r>
      <w:r w:rsidR="0024141F" w:rsidRPr="00912E61">
        <w:rPr>
          <w:rFonts w:eastAsia="MS Gothic"/>
          <w:lang w:eastAsia="zh-CN"/>
        </w:rPr>
        <w:t>the smallest priority value</w:t>
      </w:r>
      <w:r>
        <w:rPr>
          <w:noProof/>
          <w:lang w:eastAsia="zh-CN"/>
        </w:rPr>
        <w:t xml:space="preserve">. </w:t>
      </w:r>
    </w:p>
    <w:p w14:paraId="4959B5CF" w14:textId="77777777" w:rsidR="00CF3D85" w:rsidRPr="007053C7" w:rsidRDefault="00CF3D85" w:rsidP="00CF3D85">
      <w:pPr>
        <w:rPr>
          <w:lang w:val="en-US"/>
        </w:rPr>
      </w:pPr>
      <w:r w:rsidRPr="007053C7">
        <w:rPr>
          <w:lang w:val="en-US"/>
        </w:rPr>
        <w:t xml:space="preserve">If a UE indicates a capability to receive </w:t>
      </w:r>
      <m:oMath>
        <m:sSub>
          <m:sSubPr>
            <m:ctrlPr>
              <w:rPr>
                <w:rFonts w:ascii="Cambria Math" w:hAnsi="Cambria Math" w:cstheme="minorBidi"/>
                <w:i/>
                <w:noProof/>
                <w:szCs w:val="22"/>
              </w:rPr>
            </m:ctrlPr>
          </m:sSubPr>
          <m:e>
            <m:r>
              <w:rPr>
                <w:rFonts w:ascii="Cambria Math" w:hAnsi="Cambria Math" w:cstheme="minorBidi"/>
                <w:noProof/>
                <w:szCs w:val="22"/>
              </w:rPr>
              <m:t>N</m:t>
            </m:r>
          </m:e>
          <m:sub>
            <m:r>
              <m:rPr>
                <m:sty m:val="p"/>
              </m:rPr>
              <w:rPr>
                <w:rFonts w:ascii="Cambria Math" w:hAnsi="Cambria Math" w:cstheme="minorBidi"/>
                <w:noProof/>
                <w:szCs w:val="22"/>
              </w:rPr>
              <m:t>Rx,PSFCH</m:t>
            </m:r>
          </m:sub>
        </m:sSub>
      </m:oMath>
      <w:r w:rsidRPr="007053C7">
        <w:rPr>
          <w:szCs w:val="22"/>
          <w:lang w:val="en-US"/>
        </w:rPr>
        <w:t xml:space="preserve"> </w:t>
      </w:r>
      <w:r w:rsidRPr="007053C7">
        <w:rPr>
          <w:lang w:val="en-US"/>
        </w:rPr>
        <w:t>PSFCHs in a PSFCH reception occasion [18, TS 38.306], the UE first receives PSFCHs with HARQ-ACK information, if any, and subsequently receives PSFCHs with conflict information, if any.</w:t>
      </w:r>
    </w:p>
    <w:p w14:paraId="71879CDA" w14:textId="4C466356" w:rsidR="00E21265" w:rsidRPr="00B916EC" w:rsidRDefault="00E21265" w:rsidP="00E21265">
      <w:pPr>
        <w:pStyle w:val="Heading4"/>
      </w:pPr>
      <w:bookmarkStart w:id="894" w:name="_Toc29894884"/>
      <w:bookmarkStart w:id="895" w:name="_Toc29899183"/>
      <w:bookmarkStart w:id="896" w:name="_Toc29899601"/>
      <w:bookmarkStart w:id="897" w:name="_Toc29917337"/>
      <w:bookmarkStart w:id="898" w:name="_Toc36498212"/>
      <w:bookmarkStart w:id="899" w:name="_Toc45699240"/>
      <w:bookmarkStart w:id="900" w:name="_Toc161999175"/>
      <w:r>
        <w:t>16</w:t>
      </w:r>
      <w:r w:rsidRPr="00B916EC">
        <w:rPr>
          <w:rFonts w:hint="eastAsia"/>
        </w:rPr>
        <w:t>.</w:t>
      </w:r>
      <w:r>
        <w:t>2.4.3</w:t>
      </w:r>
      <w:r w:rsidRPr="00B916EC">
        <w:rPr>
          <w:rFonts w:hint="eastAsia"/>
        </w:rPr>
        <w:tab/>
      </w:r>
      <w:r>
        <w:t>Simultaneous SL and UL transmissions</w:t>
      </w:r>
      <w:bookmarkEnd w:id="894"/>
      <w:bookmarkEnd w:id="895"/>
      <w:bookmarkEnd w:id="896"/>
      <w:bookmarkEnd w:id="897"/>
      <w:bookmarkEnd w:id="898"/>
      <w:bookmarkEnd w:id="899"/>
      <w:r w:rsidR="006959EE" w:rsidRPr="00DB76C6">
        <w:t>/receptions</w:t>
      </w:r>
      <w:bookmarkEnd w:id="900"/>
    </w:p>
    <w:p w14:paraId="7A9940FE" w14:textId="77777777" w:rsidR="00E21265" w:rsidRPr="00FC5E0B" w:rsidRDefault="00E21265" w:rsidP="00D2686C">
      <w:pPr>
        <w:rPr>
          <w:lang w:val="en-US" w:eastAsia="zh-CN"/>
        </w:rPr>
      </w:pPr>
      <w:r w:rsidRPr="00073F8C">
        <w:rPr>
          <w:lang w:val="en-US" w:eastAsia="zh-CN"/>
        </w:rPr>
        <w:t xml:space="preserve">If a </w:t>
      </w:r>
      <w:r>
        <w:rPr>
          <w:lang w:val="en-US" w:eastAsia="zh-CN"/>
        </w:rPr>
        <w:t xml:space="preserve">UE </w:t>
      </w:r>
    </w:p>
    <w:p w14:paraId="645F3C65" w14:textId="1BFF8B44" w:rsidR="00E21265" w:rsidRPr="00FC5E0B" w:rsidRDefault="00E21265" w:rsidP="00E21265">
      <w:pPr>
        <w:pStyle w:val="B1"/>
      </w:pPr>
      <w:r w:rsidRPr="00FC5E0B">
        <w:t>-</w:t>
      </w:r>
      <w:r w:rsidRPr="00FC5E0B">
        <w:tab/>
      </w:r>
      <w:r w:rsidRPr="00FC5E0B">
        <w:rPr>
          <w:bCs/>
          <w:kern w:val="32"/>
          <w:lang w:val="en-US" w:eastAsia="zh-CN"/>
        </w:rPr>
        <w:t xml:space="preserve">would </w:t>
      </w:r>
      <w:r>
        <w:rPr>
          <w:bCs/>
          <w:kern w:val="32"/>
          <w:lang w:val="en-US" w:eastAsia="zh-CN"/>
        </w:rPr>
        <w:t xml:space="preserve">simultaneously </w:t>
      </w:r>
      <w:r w:rsidRPr="00FC5E0B">
        <w:rPr>
          <w:bCs/>
          <w:kern w:val="32"/>
          <w:lang w:val="en-US" w:eastAsia="zh-CN"/>
        </w:rPr>
        <w:t xml:space="preserve">transmit </w:t>
      </w:r>
      <w:r>
        <w:rPr>
          <w:bCs/>
          <w:kern w:val="32"/>
          <w:lang w:val="en-US" w:eastAsia="zh-CN"/>
        </w:rPr>
        <w:t xml:space="preserve">on the UL and on the SL </w:t>
      </w:r>
      <w:r w:rsidR="00502D23" w:rsidRPr="00FB53D7">
        <w:rPr>
          <w:bCs/>
          <w:kern w:val="32"/>
          <w:lang w:eastAsia="zh-CN"/>
        </w:rPr>
        <w:t>in a carrier or in two respective carriers</w:t>
      </w:r>
      <w:r w:rsidRPr="00FC5E0B">
        <w:rPr>
          <w:bCs/>
          <w:kern w:val="32"/>
          <w:lang w:val="en-US" w:eastAsia="zh-CN"/>
        </w:rPr>
        <w:t>, and</w:t>
      </w:r>
    </w:p>
    <w:p w14:paraId="349CCCBA" w14:textId="10906DB9" w:rsidR="00E21265" w:rsidRPr="00FC5E0B" w:rsidRDefault="00E21265" w:rsidP="00E21265">
      <w:pPr>
        <w:pStyle w:val="B1"/>
        <w:rPr>
          <w:bCs/>
          <w:kern w:val="32"/>
          <w:lang w:val="en-US" w:eastAsia="zh-CN"/>
        </w:rPr>
      </w:pPr>
      <w:r w:rsidRPr="00FC5E0B">
        <w:t>-</w:t>
      </w:r>
      <w:r w:rsidRPr="00FC5E0B">
        <w:tab/>
      </w:r>
      <w:r>
        <w:rPr>
          <w:bCs/>
          <w:kern w:val="32"/>
          <w:lang w:val="en-US" w:eastAsia="zh-CN"/>
        </w:rPr>
        <w:t xml:space="preserve">the UE is not capable of simultaneous transmissions on the UL and on the SL </w:t>
      </w:r>
      <w:r w:rsidR="00502D23" w:rsidRPr="00FB53D7">
        <w:rPr>
          <w:bCs/>
          <w:kern w:val="32"/>
          <w:lang w:eastAsia="zh-CN"/>
        </w:rPr>
        <w:t>in the carrier or in the two respective carriers</w:t>
      </w:r>
    </w:p>
    <w:p w14:paraId="7E66D3D5" w14:textId="43D5CE86" w:rsidR="00E21265" w:rsidRDefault="00E21265" w:rsidP="00D2686C">
      <w:pPr>
        <w:rPr>
          <w:rFonts w:eastAsia="Malgun Gothic"/>
          <w:lang w:val="en-US"/>
        </w:rPr>
      </w:pPr>
      <w:r w:rsidRPr="00FC5E0B">
        <w:rPr>
          <w:rFonts w:eastAsia="Malgun Gothic"/>
          <w:lang w:val="en-US"/>
        </w:rPr>
        <w:t>the UE transmits</w:t>
      </w:r>
      <w:r>
        <w:rPr>
          <w:rFonts w:eastAsia="Malgun Gothic"/>
          <w:lang w:val="en-US"/>
        </w:rPr>
        <w:t xml:space="preserve"> only on the link, UL or SL, with the higher priority</w:t>
      </w:r>
      <w:r w:rsidRPr="00FC5E0B">
        <w:rPr>
          <w:rFonts w:eastAsia="Malgun Gothic"/>
          <w:lang w:val="en-US"/>
        </w:rPr>
        <w:t>.</w:t>
      </w:r>
    </w:p>
    <w:p w14:paraId="188A3757" w14:textId="77777777" w:rsidR="006959EE" w:rsidRPr="002C17C9" w:rsidRDefault="006959EE" w:rsidP="006959EE">
      <w:pPr>
        <w:rPr>
          <w:lang w:val="en-US" w:eastAsia="zh-CN"/>
        </w:rPr>
      </w:pPr>
      <w:r w:rsidRPr="002C17C9">
        <w:rPr>
          <w:lang w:val="en-US" w:eastAsia="zh-CN"/>
        </w:rPr>
        <w:t xml:space="preserve">If a UE </w:t>
      </w:r>
    </w:p>
    <w:p w14:paraId="16D981D8" w14:textId="77777777" w:rsidR="00502D23" w:rsidRPr="00FB53D7" w:rsidRDefault="006959EE" w:rsidP="00502D23">
      <w:pPr>
        <w:pStyle w:val="B1"/>
        <w:rPr>
          <w:lang w:val="en-US" w:eastAsia="zh-CN"/>
        </w:rPr>
      </w:pPr>
      <w:r>
        <w:rPr>
          <w:lang w:eastAsia="zh-CN"/>
        </w:rPr>
        <w:t>-</w:t>
      </w:r>
      <w:r>
        <w:rPr>
          <w:lang w:eastAsia="zh-CN"/>
        </w:rPr>
        <w:tab/>
      </w:r>
      <w:r w:rsidRPr="002C17C9">
        <w:rPr>
          <w:lang w:eastAsia="zh-CN"/>
        </w:rPr>
        <w:t xml:space="preserve">would simultaneously transmit on the UL and </w:t>
      </w:r>
      <w:r>
        <w:rPr>
          <w:lang w:eastAsia="zh-CN"/>
        </w:rPr>
        <w:t xml:space="preserve">receive </w:t>
      </w:r>
      <w:r w:rsidRPr="002C17C9">
        <w:rPr>
          <w:lang w:eastAsia="zh-CN"/>
        </w:rPr>
        <w:t xml:space="preserve">on the SL </w:t>
      </w:r>
      <w:r>
        <w:rPr>
          <w:lang w:eastAsia="zh-CN"/>
        </w:rPr>
        <w:t>in a carrier</w:t>
      </w:r>
      <w:r w:rsidRPr="002C17C9">
        <w:rPr>
          <w:lang w:eastAsia="zh-CN"/>
        </w:rPr>
        <w:t>,</w:t>
      </w:r>
      <w:r w:rsidR="00502D23">
        <w:rPr>
          <w:lang w:val="en-US" w:eastAsia="zh-CN"/>
        </w:rPr>
        <w:t xml:space="preserve"> </w:t>
      </w:r>
      <w:r w:rsidR="00502D23" w:rsidRPr="00FB53D7">
        <w:rPr>
          <w:lang w:val="en-US" w:eastAsia="zh-CN"/>
        </w:rPr>
        <w:t>or</w:t>
      </w:r>
    </w:p>
    <w:p w14:paraId="0979CA11" w14:textId="3156E7C1" w:rsidR="006959EE" w:rsidRPr="005258CF" w:rsidRDefault="00502D23" w:rsidP="00502D23">
      <w:pPr>
        <w:pStyle w:val="B1"/>
        <w:rPr>
          <w:lang w:val="en-US"/>
        </w:rPr>
      </w:pPr>
      <w:r w:rsidRPr="00FB53D7">
        <w:rPr>
          <w:lang w:eastAsia="zh-CN"/>
        </w:rPr>
        <w:t>-</w:t>
      </w:r>
      <w:r w:rsidRPr="00FB53D7">
        <w:rPr>
          <w:lang w:eastAsia="zh-CN"/>
        </w:rPr>
        <w:tab/>
      </w:r>
      <w:r w:rsidRPr="00FB53D7">
        <w:rPr>
          <w:bCs/>
          <w:kern w:val="32"/>
          <w:lang w:eastAsia="zh-CN"/>
        </w:rPr>
        <w:t>would simultaneously transmit on the UL and receive on the SL in two respective carriers and the UE is not capable of simultaneous transmission on the UL and reception on the SL in the two respective carriers</w:t>
      </w:r>
    </w:p>
    <w:p w14:paraId="7C60D3A7" w14:textId="2049B044" w:rsidR="006959EE" w:rsidRPr="00FC5E0B" w:rsidRDefault="006959EE" w:rsidP="006959EE">
      <w:pPr>
        <w:rPr>
          <w:rFonts w:eastAsia="Malgun Gothic"/>
          <w:lang w:val="en-US"/>
        </w:rPr>
      </w:pPr>
      <w:r w:rsidRPr="002C17C9">
        <w:rPr>
          <w:rFonts w:eastAsia="Malgun Gothic"/>
          <w:lang w:val="en-US"/>
        </w:rPr>
        <w:t xml:space="preserve">the UE transmits </w:t>
      </w:r>
      <w:r>
        <w:rPr>
          <w:rFonts w:eastAsia="Malgun Gothic"/>
          <w:lang w:val="en-US"/>
        </w:rPr>
        <w:t>on UL or receives on SL</w:t>
      </w:r>
      <w:r w:rsidRPr="002C17C9">
        <w:rPr>
          <w:rFonts w:eastAsia="Malgun Gothic"/>
          <w:lang w:val="en-US"/>
        </w:rPr>
        <w:t>, with the higher priority.</w:t>
      </w:r>
    </w:p>
    <w:p w14:paraId="49D99188" w14:textId="038A195F" w:rsidR="00E21265" w:rsidRDefault="00E21265" w:rsidP="00D2686C">
      <w:pPr>
        <w:rPr>
          <w:bCs/>
          <w:kern w:val="32"/>
          <w:lang w:val="en-US" w:eastAsia="zh-CN"/>
        </w:rPr>
      </w:pPr>
      <w:r w:rsidRPr="00073F8C">
        <w:rPr>
          <w:bCs/>
          <w:kern w:val="32"/>
          <w:lang w:val="en-US" w:eastAsia="zh-CN"/>
        </w:rPr>
        <w:t xml:space="preserve">If a </w:t>
      </w:r>
      <w:r>
        <w:rPr>
          <w:bCs/>
          <w:kern w:val="32"/>
          <w:lang w:val="en-US" w:eastAsia="zh-CN"/>
        </w:rPr>
        <w:t xml:space="preserve">UE </w:t>
      </w:r>
    </w:p>
    <w:p w14:paraId="63FBF819" w14:textId="1DC2C793" w:rsidR="00E778F2" w:rsidRPr="00582ADB" w:rsidRDefault="00E778F2" w:rsidP="00582ADB">
      <w:pPr>
        <w:pStyle w:val="B1"/>
        <w:rPr>
          <w:lang w:val="en-GB" w:eastAsia="zh-CN"/>
        </w:rPr>
      </w:pPr>
      <w:r w:rsidRPr="00E14276">
        <w:rPr>
          <w:lang w:eastAsia="zh-CN"/>
        </w:rPr>
        <w:t>-</w:t>
      </w:r>
      <w:r w:rsidR="001473E9">
        <w:rPr>
          <w:lang w:eastAsia="zh-CN"/>
        </w:rPr>
        <w:tab/>
      </w:r>
      <w:r w:rsidRPr="00E14276">
        <w:rPr>
          <w:lang w:eastAsia="zh-CN"/>
        </w:rPr>
        <w:t xml:space="preserve">is capable of simultaneous transmissions on the UL and on the SL </w:t>
      </w:r>
      <w:r w:rsidR="00593338">
        <w:rPr>
          <w:lang w:val="en-US" w:eastAsia="zh-CN"/>
        </w:rPr>
        <w:t>in</w:t>
      </w:r>
      <w:r w:rsidR="00593338" w:rsidRPr="00E14276">
        <w:rPr>
          <w:lang w:eastAsia="zh-CN"/>
        </w:rPr>
        <w:t xml:space="preserve"> </w:t>
      </w:r>
      <w:r w:rsidRPr="00E14276">
        <w:rPr>
          <w:lang w:eastAsia="zh-CN"/>
        </w:rPr>
        <w:t>two respective carriers,</w:t>
      </w:r>
    </w:p>
    <w:p w14:paraId="3AB0F1B0" w14:textId="3A39BFF1" w:rsidR="00E21265" w:rsidRDefault="00E21265" w:rsidP="00E21265">
      <w:pPr>
        <w:pStyle w:val="B1"/>
        <w:rPr>
          <w:bCs/>
          <w:kern w:val="32"/>
          <w:lang w:val="en-US" w:eastAsia="zh-CN"/>
        </w:rPr>
      </w:pPr>
      <w:r w:rsidRPr="00FC5E0B">
        <w:lastRenderedPageBreak/>
        <w:t>-</w:t>
      </w:r>
      <w:r w:rsidRPr="00FC5E0B">
        <w:tab/>
      </w:r>
      <w:r w:rsidRPr="00FC5E0B">
        <w:rPr>
          <w:bCs/>
          <w:kern w:val="32"/>
          <w:lang w:val="en-US" w:eastAsia="zh-CN"/>
        </w:rPr>
        <w:t xml:space="preserve">would transmit </w:t>
      </w:r>
      <w:r>
        <w:rPr>
          <w:bCs/>
          <w:kern w:val="32"/>
          <w:lang w:val="en-US" w:eastAsia="zh-CN"/>
        </w:rPr>
        <w:t xml:space="preserve">on the UL and on the SL </w:t>
      </w:r>
      <w:r w:rsidR="00593338">
        <w:rPr>
          <w:bCs/>
          <w:kern w:val="32"/>
          <w:lang w:val="en-US" w:eastAsia="zh-CN"/>
        </w:rPr>
        <w:t xml:space="preserve">in </w:t>
      </w:r>
      <w:r w:rsidR="00E778F2">
        <w:rPr>
          <w:bCs/>
          <w:kern w:val="32"/>
          <w:lang w:val="en-US" w:eastAsia="zh-CN"/>
        </w:rPr>
        <w:t xml:space="preserve">the </w:t>
      </w:r>
      <w:r>
        <w:rPr>
          <w:bCs/>
          <w:kern w:val="32"/>
          <w:lang w:val="en-US" w:eastAsia="zh-CN"/>
        </w:rPr>
        <w:t>two respective carriers</w:t>
      </w:r>
      <w:r w:rsidRPr="00FC5E0B">
        <w:rPr>
          <w:bCs/>
          <w:kern w:val="32"/>
          <w:lang w:val="en-US" w:eastAsia="zh-CN"/>
        </w:rPr>
        <w:t xml:space="preserve">, </w:t>
      </w:r>
    </w:p>
    <w:p w14:paraId="3134BA44" w14:textId="77777777" w:rsidR="00E21265" w:rsidRPr="0048154E" w:rsidRDefault="00E21265" w:rsidP="00E21265">
      <w:pPr>
        <w:pStyle w:val="B1"/>
        <w:rPr>
          <w:bCs/>
          <w:kern w:val="32"/>
          <w:lang w:val="en-US" w:eastAsia="zh-CN"/>
        </w:rPr>
      </w:pPr>
      <w:r w:rsidRPr="00FC5E0B">
        <w:t>-</w:t>
      </w:r>
      <w:r w:rsidRPr="00FC5E0B">
        <w:tab/>
      </w:r>
      <w:r>
        <w:rPr>
          <w:bCs/>
          <w:kern w:val="32"/>
          <w:lang w:val="en-US" w:eastAsia="zh-CN"/>
        </w:rPr>
        <w:t>the transmission</w:t>
      </w:r>
      <w:r w:rsidRPr="00FC5E0B">
        <w:rPr>
          <w:bCs/>
          <w:kern w:val="32"/>
          <w:lang w:val="en-US" w:eastAsia="zh-CN"/>
        </w:rPr>
        <w:t xml:space="preserve"> </w:t>
      </w:r>
      <w:r>
        <w:rPr>
          <w:bCs/>
          <w:kern w:val="32"/>
          <w:lang w:val="en-US" w:eastAsia="zh-CN"/>
        </w:rPr>
        <w:t>on the UL would overlap with the transmission on the SL over a time period</w:t>
      </w:r>
      <w:r w:rsidRPr="00FC5E0B">
        <w:rPr>
          <w:bCs/>
          <w:kern w:val="32"/>
          <w:lang w:val="en-US" w:eastAsia="zh-CN"/>
        </w:rPr>
        <w:t>, and</w:t>
      </w:r>
    </w:p>
    <w:p w14:paraId="4EDA8790" w14:textId="77777777" w:rsidR="00E21265" w:rsidRPr="00FC5E0B" w:rsidRDefault="00E21265" w:rsidP="00E21265">
      <w:pPr>
        <w:pStyle w:val="B1"/>
        <w:rPr>
          <w:bCs/>
          <w:kern w:val="32"/>
          <w:lang w:val="en-US" w:eastAsia="zh-CN"/>
        </w:rPr>
      </w:pPr>
      <w:r w:rsidRPr="00FC5E0B">
        <w:t>-</w:t>
      </w:r>
      <w:r w:rsidRPr="00FC5E0B">
        <w:tab/>
      </w:r>
      <w:r>
        <w:rPr>
          <w:bCs/>
          <w:kern w:val="32"/>
          <w:lang w:val="en-US" w:eastAsia="zh-CN"/>
        </w:rPr>
        <w:t xml:space="preserve">the total UE transmission power over the time period would exceed </w:t>
      </w:r>
      <m:oMath>
        <m:sSub>
          <m:sSubPr>
            <m:ctrlPr>
              <w:rPr>
                <w:rFonts w:ascii="Cambria Math" w:hAnsi="Cambria Math"/>
                <w:i/>
              </w:rPr>
            </m:ctrlPr>
          </m:sSubPr>
          <m:e>
            <m:r>
              <w:rPr>
                <w:rFonts w:ascii="Cambria Math" w:hAnsi="Cambria Math"/>
              </w:rPr>
              <m:t>P</m:t>
            </m:r>
          </m:e>
          <m:sub>
            <m:r>
              <m:rPr>
                <m:nor/>
              </m:rPr>
              <m:t>CMAX</m:t>
            </m:r>
            <m:ctrlPr>
              <w:rPr>
                <w:rFonts w:ascii="Cambria Math" w:hAnsi="Cambria Math"/>
              </w:rPr>
            </m:ctrlPr>
          </m:sub>
        </m:sSub>
      </m:oMath>
    </w:p>
    <w:p w14:paraId="308F7661" w14:textId="77777777" w:rsidR="00E21265" w:rsidRDefault="00E21265" w:rsidP="00D2686C">
      <w:pPr>
        <w:rPr>
          <w:rFonts w:eastAsia="Malgun Gothic"/>
          <w:lang w:val="en-US"/>
        </w:rPr>
      </w:pPr>
      <w:r w:rsidRPr="00FC5E0B">
        <w:rPr>
          <w:rFonts w:eastAsia="Malgun Gothic"/>
          <w:lang w:val="en-US"/>
        </w:rPr>
        <w:t xml:space="preserve">the UE </w:t>
      </w:r>
    </w:p>
    <w:p w14:paraId="0ABD43A1" w14:textId="092F5393" w:rsidR="00E21265" w:rsidRDefault="00E21265" w:rsidP="00E21265">
      <w:pPr>
        <w:pStyle w:val="B1"/>
      </w:pPr>
      <w:r w:rsidRPr="00FC5E0B">
        <w:t>-</w:t>
      </w:r>
      <w:r w:rsidRPr="00FC5E0B">
        <w:tab/>
      </w:r>
      <w:r>
        <w:rPr>
          <w:lang w:val="en-US"/>
        </w:rPr>
        <w:t>reduces the power for the UL transmission prior to the start of the UL transmission</w:t>
      </w:r>
      <w:r>
        <w:rPr>
          <w:bCs/>
          <w:kern w:val="32"/>
          <w:lang w:val="en-US" w:eastAsia="zh-CN"/>
        </w:rPr>
        <w:t>, if the SL transmission has higher priority than the UL transmission</w:t>
      </w:r>
      <w:r w:rsidR="00E778F2" w:rsidRPr="000C4406">
        <w:rPr>
          <w:rFonts w:eastAsiaTheme="minorEastAsia"/>
        </w:rPr>
        <w:t xml:space="preserve"> as determined </w:t>
      </w:r>
      <w:r w:rsidR="006F5F9E">
        <w:rPr>
          <w:rFonts w:eastAsiaTheme="minorEastAsia"/>
        </w:rPr>
        <w:t>in clause</w:t>
      </w:r>
      <w:r w:rsidR="00E778F2" w:rsidRPr="000C4406">
        <w:rPr>
          <w:rFonts w:eastAsiaTheme="minorEastAsia"/>
        </w:rPr>
        <w:t xml:space="preserve"> 16.2.4.3.1</w:t>
      </w:r>
      <w:r>
        <w:rPr>
          <w:bCs/>
          <w:kern w:val="32"/>
          <w:lang w:val="en-US" w:eastAsia="zh-CN"/>
        </w:rPr>
        <w:t xml:space="preserve">, so that the total UE transmission power would not exceed </w:t>
      </w:r>
      <m:oMath>
        <m:sSub>
          <m:sSubPr>
            <m:ctrlPr>
              <w:rPr>
                <w:rFonts w:ascii="Cambria Math" w:hAnsi="Cambria Math"/>
                <w:i/>
              </w:rPr>
            </m:ctrlPr>
          </m:sSubPr>
          <m:e>
            <m:r>
              <w:rPr>
                <w:rFonts w:ascii="Cambria Math" w:hAnsi="Cambria Math"/>
              </w:rPr>
              <m:t>P</m:t>
            </m:r>
          </m:e>
          <m:sub>
            <m:r>
              <m:rPr>
                <m:nor/>
              </m:rPr>
              <m:t>CMAX</m:t>
            </m:r>
            <m:ctrlPr>
              <w:rPr>
                <w:rFonts w:ascii="Cambria Math" w:hAnsi="Cambria Math"/>
              </w:rPr>
            </m:ctrlPr>
          </m:sub>
        </m:sSub>
      </m:oMath>
    </w:p>
    <w:p w14:paraId="19D8298B" w14:textId="33A331B8" w:rsidR="00E21265" w:rsidRDefault="00E21265" w:rsidP="00E21265">
      <w:pPr>
        <w:pStyle w:val="B1"/>
      </w:pPr>
      <w:r w:rsidRPr="00FC5E0B">
        <w:t>-</w:t>
      </w:r>
      <w:r w:rsidRPr="00FC5E0B">
        <w:tab/>
      </w:r>
      <w:r>
        <w:rPr>
          <w:lang w:val="en-US"/>
        </w:rPr>
        <w:t>reduces the power for the SL transmission prior to the start of the SL transmission</w:t>
      </w:r>
      <w:r>
        <w:rPr>
          <w:bCs/>
          <w:kern w:val="32"/>
          <w:lang w:val="en-US" w:eastAsia="zh-CN"/>
        </w:rPr>
        <w:t>, if the UL transmission has higher priority than the SL transmission</w:t>
      </w:r>
      <w:r w:rsidR="00E778F2" w:rsidRPr="000C4406">
        <w:rPr>
          <w:rFonts w:eastAsiaTheme="minorEastAsia"/>
        </w:rPr>
        <w:t xml:space="preserve"> as determined </w:t>
      </w:r>
      <w:r w:rsidR="006F5F9E">
        <w:rPr>
          <w:rFonts w:eastAsiaTheme="minorEastAsia"/>
        </w:rPr>
        <w:t>in clause</w:t>
      </w:r>
      <w:r w:rsidR="00E778F2" w:rsidRPr="000C4406">
        <w:rPr>
          <w:rFonts w:eastAsiaTheme="minorEastAsia"/>
        </w:rPr>
        <w:t xml:space="preserve"> 16.2.4.3.1</w:t>
      </w:r>
      <w:r>
        <w:rPr>
          <w:bCs/>
          <w:kern w:val="32"/>
          <w:lang w:val="en-US" w:eastAsia="zh-CN"/>
        </w:rPr>
        <w:t xml:space="preserve">, so that the total UE transmission power would not exceed </w:t>
      </w:r>
      <m:oMath>
        <m:sSub>
          <m:sSubPr>
            <m:ctrlPr>
              <w:rPr>
                <w:rFonts w:ascii="Cambria Math" w:hAnsi="Cambria Math"/>
                <w:i/>
              </w:rPr>
            </m:ctrlPr>
          </m:sSubPr>
          <m:e>
            <m:r>
              <w:rPr>
                <w:rFonts w:ascii="Cambria Math" w:hAnsi="Cambria Math"/>
              </w:rPr>
              <m:t>P</m:t>
            </m:r>
          </m:e>
          <m:sub>
            <m:r>
              <m:rPr>
                <m:nor/>
              </m:rPr>
              <m:t>CMAX</m:t>
            </m:r>
            <m:ctrlPr>
              <w:rPr>
                <w:rFonts w:ascii="Cambria Math" w:hAnsi="Cambria Math"/>
              </w:rPr>
            </m:ctrlPr>
          </m:sub>
        </m:sSub>
      </m:oMath>
    </w:p>
    <w:p w14:paraId="74DFDF4A" w14:textId="0398EF16" w:rsidR="00E778F2" w:rsidRPr="00B20F51" w:rsidRDefault="00E778F2" w:rsidP="00582ADB">
      <w:pPr>
        <w:pStyle w:val="Heading5"/>
        <w:rPr>
          <w:rFonts w:eastAsia="Malgun Gothic"/>
        </w:rPr>
      </w:pPr>
      <w:bookmarkStart w:id="901" w:name="_Toc45699241"/>
      <w:bookmarkStart w:id="902" w:name="_Toc161999176"/>
      <w:r w:rsidRPr="00B20F51">
        <w:rPr>
          <w:rFonts w:eastAsia="Malgun Gothic"/>
        </w:rPr>
        <w:t>16</w:t>
      </w:r>
      <w:r w:rsidRPr="00B20F51">
        <w:rPr>
          <w:rFonts w:eastAsia="Malgun Gothic" w:hint="eastAsia"/>
        </w:rPr>
        <w:t>.</w:t>
      </w:r>
      <w:r w:rsidRPr="00B20F51">
        <w:rPr>
          <w:rFonts w:eastAsia="Malgun Gothic"/>
        </w:rPr>
        <w:t>2.4.3.1</w:t>
      </w:r>
      <w:r w:rsidRPr="00B20F51">
        <w:rPr>
          <w:rFonts w:eastAsia="Malgun Gothic" w:hint="eastAsia"/>
        </w:rPr>
        <w:tab/>
      </w:r>
      <w:r w:rsidRPr="00B20F51">
        <w:rPr>
          <w:rFonts w:eastAsia="Malgun Gothic"/>
        </w:rPr>
        <w:t xml:space="preserve">Prioritizations for </w:t>
      </w:r>
      <w:r>
        <w:rPr>
          <w:rFonts w:eastAsia="Malgun Gothic"/>
        </w:rPr>
        <w:t xml:space="preserve">sidelink and uplink </w:t>
      </w:r>
      <w:r w:rsidRPr="00B20F51">
        <w:rPr>
          <w:rFonts w:eastAsia="Malgun Gothic"/>
        </w:rPr>
        <w:t>transmission</w:t>
      </w:r>
      <w:r>
        <w:rPr>
          <w:rFonts w:eastAsia="Malgun Gothic"/>
        </w:rPr>
        <w:t>s</w:t>
      </w:r>
      <w:bookmarkEnd w:id="901"/>
      <w:r w:rsidR="006959EE">
        <w:rPr>
          <w:rFonts w:eastAsia="Malgun Gothic"/>
        </w:rPr>
        <w:t>/receptions</w:t>
      </w:r>
      <w:bookmarkEnd w:id="902"/>
      <w:r w:rsidRPr="00B20F51">
        <w:rPr>
          <w:rFonts w:eastAsia="Malgun Gothic"/>
        </w:rPr>
        <w:t xml:space="preserve"> </w:t>
      </w:r>
    </w:p>
    <w:p w14:paraId="4B86064E" w14:textId="3D8B77BA" w:rsidR="00E778F2" w:rsidRPr="0014554B" w:rsidRDefault="00E778F2" w:rsidP="00E778F2">
      <w:pPr>
        <w:rPr>
          <w:rFonts w:eastAsia="Malgun Gothic"/>
        </w:rPr>
      </w:pPr>
      <w:r w:rsidRPr="0014554B">
        <w:rPr>
          <w:rFonts w:eastAsia="Malgun Gothic" w:hint="eastAsia"/>
        </w:rPr>
        <w:t xml:space="preserve">A UE </w:t>
      </w:r>
      <w:r w:rsidRPr="0014554B">
        <w:rPr>
          <w:rFonts w:eastAsia="Malgun Gothic"/>
        </w:rPr>
        <w:t>perform</w:t>
      </w:r>
      <w:r>
        <w:rPr>
          <w:rFonts w:eastAsia="Malgun Gothic"/>
        </w:rPr>
        <w:t>s</w:t>
      </w:r>
      <w:r w:rsidRPr="0014554B">
        <w:rPr>
          <w:rFonts w:eastAsia="Malgun Gothic"/>
        </w:rPr>
        <w:t xml:space="preserve"> prioritization between SL transmissions</w:t>
      </w:r>
      <w:r w:rsidR="006959EE" w:rsidRPr="006959EE">
        <w:rPr>
          <w:rFonts w:eastAsia="Malgun Gothic"/>
        </w:rPr>
        <w:t>/receptions</w:t>
      </w:r>
      <w:r w:rsidRPr="0014554B">
        <w:rPr>
          <w:rFonts w:eastAsia="Malgun Gothic"/>
        </w:rPr>
        <w:t xml:space="preserve"> and UL transmissions after performing </w:t>
      </w:r>
      <w:r>
        <w:rPr>
          <w:rFonts w:eastAsia="Malgun Gothic"/>
        </w:rPr>
        <w:t>the</w:t>
      </w:r>
      <w:r w:rsidRPr="0014554B">
        <w:rPr>
          <w:rFonts w:eastAsia="Malgun Gothic"/>
        </w:rPr>
        <w:t xml:space="preserve"> procedure</w:t>
      </w:r>
      <w:r>
        <w:rPr>
          <w:rFonts w:eastAsia="Malgun Gothic"/>
        </w:rPr>
        <w:t>s</w:t>
      </w:r>
      <w:r w:rsidRPr="0014554B">
        <w:rPr>
          <w:rFonts w:eastAsia="Malgun Gothic"/>
        </w:rPr>
        <w:t xml:space="preserve"> described in </w:t>
      </w:r>
      <w:r w:rsidR="00593338">
        <w:rPr>
          <w:rFonts w:eastAsia="Malgun Gothic"/>
        </w:rPr>
        <w:t>c</w:t>
      </w:r>
      <w:r w:rsidR="00593338" w:rsidRPr="00665A3A">
        <w:rPr>
          <w:rFonts w:eastAsia="Malgun Gothic"/>
        </w:rPr>
        <w:t xml:space="preserve">lause 9, </w:t>
      </w:r>
      <w:r w:rsidR="00593338">
        <w:rPr>
          <w:rFonts w:eastAsia="Malgun Gothic"/>
        </w:rPr>
        <w:t>c</w:t>
      </w:r>
      <w:r w:rsidR="00593338" w:rsidRPr="0014554B">
        <w:rPr>
          <w:rFonts w:eastAsia="Malgun Gothic"/>
        </w:rPr>
        <w:t xml:space="preserve">lause </w:t>
      </w:r>
      <w:r w:rsidRPr="0014554B">
        <w:rPr>
          <w:rFonts w:eastAsia="Malgun Gothic"/>
        </w:rPr>
        <w:t>9.2.5</w:t>
      </w:r>
      <w:r w:rsidR="00593338" w:rsidRPr="00665A3A">
        <w:rPr>
          <w:rFonts w:eastAsia="Malgun Gothic"/>
        </w:rPr>
        <w:t xml:space="preserve">, and </w:t>
      </w:r>
      <w:r w:rsidR="00593338">
        <w:rPr>
          <w:rFonts w:eastAsia="Malgun Gothic"/>
        </w:rPr>
        <w:t>c</w:t>
      </w:r>
      <w:r w:rsidR="00593338" w:rsidRPr="00665A3A">
        <w:rPr>
          <w:rFonts w:eastAsia="Malgun Gothic"/>
        </w:rPr>
        <w:t>lause 9.2.6,</w:t>
      </w:r>
      <w:r w:rsidRPr="0014554B">
        <w:rPr>
          <w:rFonts w:eastAsia="Malgun Gothic"/>
        </w:rPr>
        <w:t xml:space="preserve"> and in </w:t>
      </w:r>
      <w:r w:rsidR="00593338">
        <w:rPr>
          <w:rFonts w:eastAsia="Malgun Gothic"/>
        </w:rPr>
        <w:t>c</w:t>
      </w:r>
      <w:r w:rsidR="00593338" w:rsidRPr="0014554B">
        <w:rPr>
          <w:rFonts w:eastAsia="Malgun Gothic"/>
        </w:rPr>
        <w:t xml:space="preserve">lause </w:t>
      </w:r>
      <w:r w:rsidRPr="0014554B">
        <w:rPr>
          <w:rFonts w:eastAsia="Malgun Gothic"/>
        </w:rPr>
        <w:t xml:space="preserve">6.1 </w:t>
      </w:r>
      <w:r>
        <w:rPr>
          <w:rFonts w:eastAsia="Malgun Gothic"/>
        </w:rPr>
        <w:t>of</w:t>
      </w:r>
      <w:r w:rsidRPr="0014554B">
        <w:rPr>
          <w:rFonts w:eastAsia="Malgun Gothic"/>
        </w:rPr>
        <w:t xml:space="preserve"> [6, TS 38.214]. </w:t>
      </w:r>
    </w:p>
    <w:p w14:paraId="6FACB1E1" w14:textId="76670FDF" w:rsidR="00E778F2" w:rsidRPr="00B20F51" w:rsidRDefault="00E778F2" w:rsidP="00E778F2">
      <w:pPr>
        <w:rPr>
          <w:rFonts w:eastAsiaTheme="minorEastAsia"/>
        </w:rPr>
      </w:pPr>
      <w:r w:rsidRPr="00B20F51">
        <w:rPr>
          <w:rFonts w:eastAsiaTheme="minorEastAsia" w:hint="eastAsia"/>
        </w:rPr>
        <w:t>PSFCH</w:t>
      </w:r>
      <w:r w:rsidRPr="00B20F51">
        <w:rPr>
          <w:rFonts w:eastAsiaTheme="minorEastAsia"/>
        </w:rPr>
        <w:t xml:space="preserve"> transmission</w:t>
      </w:r>
      <w:r>
        <w:rPr>
          <w:rFonts w:eastAsiaTheme="minorEastAsia"/>
        </w:rPr>
        <w:t>s in a slot</w:t>
      </w:r>
      <w:r w:rsidR="00CF3D85" w:rsidRPr="007053C7">
        <w:rPr>
          <w:rFonts w:eastAsiaTheme="minorEastAsia"/>
        </w:rPr>
        <w:t>, as determined in clause 16.2.4.2,</w:t>
      </w:r>
      <w:r w:rsidRPr="00B20F51">
        <w:rPr>
          <w:rFonts w:eastAsiaTheme="minorEastAsia"/>
        </w:rPr>
        <w:t xml:space="preserve"> </w:t>
      </w:r>
      <w:r>
        <w:rPr>
          <w:rFonts w:eastAsiaTheme="minorEastAsia"/>
        </w:rPr>
        <w:t>have</w:t>
      </w:r>
      <w:r w:rsidRPr="00B20F51">
        <w:rPr>
          <w:rFonts w:eastAsiaTheme="minorEastAsia"/>
        </w:rPr>
        <w:t xml:space="preserve"> </w:t>
      </w:r>
      <w:r>
        <w:rPr>
          <w:rFonts w:eastAsiaTheme="minorEastAsia"/>
        </w:rPr>
        <w:t>a</w:t>
      </w:r>
      <w:r w:rsidRPr="00B20F51">
        <w:rPr>
          <w:rFonts w:eastAsiaTheme="minorEastAsia"/>
        </w:rPr>
        <w:t xml:space="preserve"> </w:t>
      </w:r>
      <w:r>
        <w:rPr>
          <w:rFonts w:eastAsiaTheme="minorEastAsia"/>
        </w:rPr>
        <w:t xml:space="preserve">same </w:t>
      </w:r>
      <w:r w:rsidRPr="00B20F51">
        <w:rPr>
          <w:rFonts w:eastAsiaTheme="minorEastAsia"/>
        </w:rPr>
        <w:t xml:space="preserve">priority value </w:t>
      </w:r>
      <w:r>
        <w:rPr>
          <w:rFonts w:eastAsiaTheme="minorEastAsia"/>
        </w:rPr>
        <w:t>as the smallest</w:t>
      </w:r>
      <w:r w:rsidRPr="00B20F51">
        <w:rPr>
          <w:rFonts w:eastAsiaTheme="minorEastAsia"/>
        </w:rPr>
        <w:t xml:space="preserve"> priority value </w:t>
      </w:r>
      <w:r>
        <w:rPr>
          <w:rFonts w:eastAsiaTheme="minorEastAsia"/>
        </w:rPr>
        <w:t>among</w:t>
      </w:r>
      <w:r w:rsidRPr="00B20F51">
        <w:rPr>
          <w:rFonts w:eastAsiaTheme="minorEastAsia"/>
        </w:rPr>
        <w:t xml:space="preserve"> PSSCH</w:t>
      </w:r>
      <w:r>
        <w:rPr>
          <w:rFonts w:eastAsiaTheme="minorEastAsia"/>
        </w:rPr>
        <w:t xml:space="preserve"> receptions with corresponding HARQ-ACK information provided by the PSFCH transmissions in the slot</w:t>
      </w:r>
      <w:r w:rsidR="00682BAB">
        <w:rPr>
          <w:rFonts w:eastAsiaTheme="minorEastAsia"/>
        </w:rPr>
        <w:t xml:space="preserve">, </w:t>
      </w:r>
      <w:r w:rsidR="00CF3D85" w:rsidRPr="007053C7">
        <w:rPr>
          <w:rFonts w:eastAsiaTheme="minorEastAsia"/>
        </w:rPr>
        <w:t xml:space="preserve">if any, and </w:t>
      </w:r>
      <w:r w:rsidR="00CF3D85" w:rsidRPr="007053C7">
        <w:rPr>
          <w:rFonts w:eastAsia="Malgun Gothic"/>
          <w:lang w:val="en-US"/>
        </w:rPr>
        <w:t xml:space="preserve">among PSFCH transmissions with conflict information in the slot, if any, where each priority value is equal to the smallest priority value determined by corresponding SCI formats 1-A </w:t>
      </w:r>
      <w:r w:rsidR="00682BAB">
        <w:rPr>
          <w:rFonts w:eastAsiaTheme="minorEastAsia"/>
        </w:rPr>
        <w:t>as described in clause 16.3</w:t>
      </w:r>
      <w:r w:rsidRPr="00B20F51">
        <w:rPr>
          <w:rFonts w:eastAsiaTheme="minorEastAsia"/>
        </w:rPr>
        <w:t>.</w:t>
      </w:r>
    </w:p>
    <w:p w14:paraId="3735C08A" w14:textId="4406056C" w:rsidR="006959EE" w:rsidRDefault="006959EE" w:rsidP="00E778F2">
      <w:r w:rsidRPr="002C17C9">
        <w:rPr>
          <w:rFonts w:hint="eastAsia"/>
        </w:rPr>
        <w:t>PSFCH</w:t>
      </w:r>
      <w:r w:rsidRPr="002C17C9">
        <w:t xml:space="preserve"> </w:t>
      </w:r>
      <w:r>
        <w:t>receptions</w:t>
      </w:r>
      <w:r w:rsidRPr="002C17C9">
        <w:t xml:space="preserve"> in a slot</w:t>
      </w:r>
      <w:r w:rsidR="00CF3D85" w:rsidRPr="007053C7">
        <w:rPr>
          <w:rFonts w:eastAsiaTheme="minorEastAsia"/>
        </w:rPr>
        <w:t>, as determined in clause 16.2.4.2,</w:t>
      </w:r>
      <w:r w:rsidRPr="002C17C9">
        <w:t xml:space="preserve"> have a same priority value as the smallest priority value among PSSCH </w:t>
      </w:r>
      <w:r>
        <w:t>transmissions</w:t>
      </w:r>
      <w:r w:rsidRPr="002C17C9">
        <w:t xml:space="preserve"> with corresponding HARQ-ACK information provided by the PSFCH </w:t>
      </w:r>
      <w:r>
        <w:t>receptions</w:t>
      </w:r>
      <w:r w:rsidRPr="002C17C9">
        <w:t xml:space="preserve"> in the slot</w:t>
      </w:r>
      <w:r w:rsidR="00682BAB">
        <w:rPr>
          <w:rFonts w:eastAsiaTheme="minorEastAsia"/>
        </w:rPr>
        <w:t xml:space="preserve">, </w:t>
      </w:r>
      <w:r w:rsidR="00CF3D85" w:rsidRPr="007053C7">
        <w:t xml:space="preserve">if any, and among PSFCH receptions with conflict information in the slot, if any, where each priority value is </w:t>
      </w:r>
      <w:r w:rsidR="00CF3D85" w:rsidRPr="007053C7">
        <w:rPr>
          <w:rFonts w:eastAsia="Malgun Gothic"/>
          <w:lang w:val="en-US"/>
        </w:rPr>
        <w:t xml:space="preserve">equal to the priority value </w:t>
      </w:r>
      <w:r w:rsidR="00CF3D85" w:rsidRPr="007053C7">
        <w:t>determined by</w:t>
      </w:r>
      <w:r w:rsidR="00CF3D85" w:rsidRPr="007053C7">
        <w:rPr>
          <w:rFonts w:eastAsia="Malgun Gothic"/>
          <w:lang w:val="en-US"/>
        </w:rPr>
        <w:t xml:space="preserve"> corresponding SCI format 1-A </w:t>
      </w:r>
      <w:r w:rsidR="00682BAB">
        <w:rPr>
          <w:rFonts w:eastAsiaTheme="minorEastAsia"/>
        </w:rPr>
        <w:t>as described in clause 16.3</w:t>
      </w:r>
      <w:r w:rsidRPr="002C17C9">
        <w:t>.</w:t>
      </w:r>
    </w:p>
    <w:p w14:paraId="4F30F2E2" w14:textId="6114AA94" w:rsidR="00E778F2" w:rsidRPr="00B20F51" w:rsidRDefault="00E778F2" w:rsidP="00E778F2">
      <w:pPr>
        <w:rPr>
          <w:rFonts w:eastAsiaTheme="minorEastAsia"/>
        </w:rPr>
      </w:pPr>
      <w:r w:rsidRPr="00B20F51">
        <w:rPr>
          <w:rFonts w:eastAsiaTheme="minorEastAsia" w:hint="eastAsia"/>
        </w:rPr>
        <w:t xml:space="preserve">A priority of </w:t>
      </w:r>
      <w:r w:rsidRPr="00B20F51">
        <w:rPr>
          <w:rFonts w:eastAsiaTheme="minorEastAsia"/>
        </w:rPr>
        <w:t xml:space="preserve">S-SS/PSBCH block transmission </w:t>
      </w:r>
      <w:r w:rsidR="006959EE" w:rsidRPr="008446EA">
        <w:t xml:space="preserve">or reception </w:t>
      </w:r>
      <w:r w:rsidRPr="00B20F51">
        <w:rPr>
          <w:rFonts w:eastAsiaTheme="minorEastAsia"/>
        </w:rPr>
        <w:t>is</w:t>
      </w:r>
      <w:r w:rsidRPr="00B20F51">
        <w:rPr>
          <w:rFonts w:eastAsiaTheme="minorEastAsia" w:hint="eastAsia"/>
        </w:rPr>
        <w:t xml:space="preserve"> </w:t>
      </w:r>
      <w:r>
        <w:rPr>
          <w:rFonts w:eastAsiaTheme="minorEastAsia"/>
        </w:rPr>
        <w:t>provided by</w:t>
      </w:r>
      <w:r w:rsidRPr="00B20F51">
        <w:rPr>
          <w:rFonts w:eastAsiaTheme="minorEastAsia"/>
        </w:rPr>
        <w:t xml:space="preserve"> </w:t>
      </w:r>
      <w:r w:rsidRPr="00B20F51">
        <w:rPr>
          <w:rFonts w:eastAsiaTheme="minorEastAsia"/>
          <w:i/>
        </w:rPr>
        <w:t>sl-SSB-PriorityNR.</w:t>
      </w:r>
    </w:p>
    <w:p w14:paraId="23E2A28B" w14:textId="0F18D0D8" w:rsidR="00E778F2" w:rsidRPr="00B20F51" w:rsidRDefault="00E778F2" w:rsidP="00E778F2">
      <w:pPr>
        <w:rPr>
          <w:rFonts w:eastAsiaTheme="minorEastAsia"/>
        </w:rPr>
      </w:pPr>
      <w:r w:rsidRPr="00B20F51">
        <w:rPr>
          <w:rFonts w:eastAsiaTheme="minorEastAsia" w:hint="eastAsia"/>
        </w:rPr>
        <w:t xml:space="preserve">For prioritization between </w:t>
      </w:r>
      <w:r w:rsidR="006959EE" w:rsidRPr="008446EA">
        <w:t>SL</w:t>
      </w:r>
      <w:r w:rsidRPr="00B20F51">
        <w:rPr>
          <w:rFonts w:eastAsiaTheme="minorEastAsia"/>
        </w:rPr>
        <w:t xml:space="preserve"> </w:t>
      </w:r>
      <w:r>
        <w:rPr>
          <w:rFonts w:eastAsiaTheme="minorEastAsia"/>
        </w:rPr>
        <w:t xml:space="preserve">transmission </w:t>
      </w:r>
      <w:r w:rsidR="006959EE" w:rsidRPr="008446EA">
        <w:t>or PSFCH/S-SS/PSBCH block reception</w:t>
      </w:r>
      <w:r w:rsidR="006959EE" w:rsidRPr="00B20F51">
        <w:rPr>
          <w:rFonts w:eastAsiaTheme="minorEastAsia"/>
        </w:rPr>
        <w:t xml:space="preserve"> </w:t>
      </w:r>
      <w:r w:rsidRPr="00B20F51">
        <w:rPr>
          <w:rFonts w:eastAsiaTheme="minorEastAsia"/>
        </w:rPr>
        <w:t xml:space="preserve">and </w:t>
      </w:r>
      <w:r>
        <w:rPr>
          <w:rFonts w:eastAsiaTheme="minorEastAsia"/>
        </w:rPr>
        <w:t xml:space="preserve">UL </w:t>
      </w:r>
      <w:r w:rsidRPr="00B20F51">
        <w:rPr>
          <w:rFonts w:eastAsiaTheme="minorEastAsia"/>
        </w:rPr>
        <w:t xml:space="preserve">transmission other than </w:t>
      </w:r>
      <w:r>
        <w:rPr>
          <w:rFonts w:eastAsiaTheme="minorEastAsia"/>
        </w:rPr>
        <w:t xml:space="preserve">a </w:t>
      </w:r>
      <w:r w:rsidRPr="00B20F51">
        <w:rPr>
          <w:rFonts w:eastAsiaTheme="minorEastAsia"/>
        </w:rPr>
        <w:t>PRACH</w:t>
      </w:r>
      <w:r>
        <w:rPr>
          <w:rFonts w:eastAsiaTheme="minorEastAsia"/>
        </w:rPr>
        <w:t xml:space="preserve">, or a </w:t>
      </w:r>
      <w:r w:rsidRPr="00B20F51">
        <w:rPr>
          <w:rFonts w:eastAsiaTheme="minorEastAsia"/>
        </w:rPr>
        <w:t xml:space="preserve">PUSCH scheduled by </w:t>
      </w:r>
      <w:r>
        <w:rPr>
          <w:rFonts w:eastAsiaTheme="minorEastAsia"/>
        </w:rPr>
        <w:t>an</w:t>
      </w:r>
      <w:r w:rsidRPr="00B20F51">
        <w:rPr>
          <w:rFonts w:eastAsiaTheme="minorEastAsia"/>
        </w:rPr>
        <w:t xml:space="preserve"> UL grant</w:t>
      </w:r>
      <w:r>
        <w:rPr>
          <w:rFonts w:eastAsiaTheme="minorEastAsia"/>
        </w:rPr>
        <w:t xml:space="preserve"> in a RAR</w:t>
      </w:r>
      <w:r w:rsidR="006959EE">
        <w:t xml:space="preserve"> and its retransmission</w:t>
      </w:r>
      <w:r w:rsidR="006959EE" w:rsidRPr="00DB76C6">
        <w:t>, or a PUSCH corresponding to Type-2 random access procedure</w:t>
      </w:r>
      <w:r w:rsidR="006959EE">
        <w:t xml:space="preserve"> and its retransmission</w:t>
      </w:r>
      <w:r>
        <w:rPr>
          <w:rFonts w:eastAsiaTheme="minorEastAsia"/>
        </w:rPr>
        <w:t xml:space="preserve">, or a </w:t>
      </w:r>
      <w:r w:rsidRPr="00B20F51">
        <w:rPr>
          <w:rFonts w:eastAsiaTheme="minorEastAsia"/>
        </w:rPr>
        <w:t xml:space="preserve">PUCCH </w:t>
      </w:r>
      <w:r>
        <w:rPr>
          <w:rFonts w:eastAsiaTheme="minorEastAsia"/>
        </w:rPr>
        <w:t>with</w:t>
      </w:r>
      <w:r w:rsidRPr="00B20F51">
        <w:rPr>
          <w:rFonts w:eastAsiaTheme="minorEastAsia"/>
        </w:rPr>
        <w:t xml:space="preserve"> sidelink HARQ-ACK</w:t>
      </w:r>
      <w:r>
        <w:rPr>
          <w:rFonts w:eastAsiaTheme="minorEastAsia"/>
        </w:rPr>
        <w:t xml:space="preserve"> information report</w:t>
      </w:r>
      <w:r w:rsidRPr="00B20F51">
        <w:rPr>
          <w:rFonts w:eastAsiaTheme="minorEastAsia"/>
        </w:rPr>
        <w:t xml:space="preserve"> </w:t>
      </w:r>
    </w:p>
    <w:p w14:paraId="48826B30" w14:textId="77777777" w:rsidR="00E778F2" w:rsidRPr="00B20F51" w:rsidRDefault="00E778F2" w:rsidP="00582ADB">
      <w:pPr>
        <w:pStyle w:val="B1"/>
        <w:rPr>
          <w:rFonts w:eastAsiaTheme="minorEastAsia"/>
        </w:rPr>
      </w:pPr>
      <w:r w:rsidRPr="00B20F51">
        <w:rPr>
          <w:rFonts w:eastAsiaTheme="minorEastAsia"/>
        </w:rPr>
        <w:t>-</w:t>
      </w:r>
      <w:r>
        <w:rPr>
          <w:rFonts w:eastAsiaTheme="minorEastAsia"/>
        </w:rPr>
        <w:tab/>
        <w:t>if</w:t>
      </w:r>
      <w:r w:rsidRPr="00B20F51">
        <w:rPr>
          <w:rFonts w:eastAsiaTheme="minorEastAsia"/>
        </w:rPr>
        <w:t xml:space="preserve"> the UL transmission is </w:t>
      </w:r>
      <w:r>
        <w:rPr>
          <w:rFonts w:eastAsiaTheme="minorEastAsia"/>
        </w:rPr>
        <w:t xml:space="preserve">for a </w:t>
      </w:r>
      <w:r w:rsidRPr="00B20F51">
        <w:rPr>
          <w:rFonts w:eastAsiaTheme="minorEastAsia"/>
        </w:rPr>
        <w:t xml:space="preserve">PUSCH or </w:t>
      </w:r>
      <w:r>
        <w:rPr>
          <w:rFonts w:eastAsiaTheme="minorEastAsia"/>
        </w:rPr>
        <w:t xml:space="preserve">for a </w:t>
      </w:r>
      <w:r w:rsidRPr="00B20F51">
        <w:rPr>
          <w:rFonts w:eastAsiaTheme="minorEastAsia"/>
        </w:rPr>
        <w:t xml:space="preserve">PUCCH </w:t>
      </w:r>
      <w:r>
        <w:rPr>
          <w:rFonts w:eastAsiaTheme="minorEastAsia"/>
        </w:rPr>
        <w:t>with</w:t>
      </w:r>
      <w:r w:rsidRPr="00B20F51">
        <w:rPr>
          <w:rFonts w:eastAsiaTheme="minorEastAsia"/>
        </w:rPr>
        <w:t xml:space="preserve"> priority index 1, </w:t>
      </w:r>
    </w:p>
    <w:p w14:paraId="4E56EF39" w14:textId="36D0B9F4" w:rsidR="00E778F2" w:rsidRPr="00B20F51" w:rsidRDefault="00E778F2" w:rsidP="00582ADB">
      <w:pPr>
        <w:pStyle w:val="B2"/>
        <w:rPr>
          <w:rFonts w:eastAsia="MS Mincho"/>
        </w:rPr>
      </w:pPr>
      <w:r w:rsidRPr="00B20F51">
        <w:rPr>
          <w:rFonts w:eastAsiaTheme="minorEastAsia"/>
        </w:rPr>
        <w:t>-</w:t>
      </w:r>
      <w:r>
        <w:rPr>
          <w:rFonts w:eastAsiaTheme="minorEastAsia"/>
        </w:rPr>
        <w:tab/>
        <w:t>if</w:t>
      </w:r>
      <w:r w:rsidRPr="00B20F51">
        <w:rPr>
          <w:rFonts w:eastAsiaTheme="minorEastAsia"/>
        </w:rPr>
        <w:t xml:space="preserve"> </w:t>
      </w:r>
      <w:r w:rsidRPr="00104BB9">
        <w:rPr>
          <w:rFonts w:eastAsia="MS Mincho"/>
          <w:i/>
          <w:iCs/>
        </w:rPr>
        <w:t>sl-PriorityThreshold</w:t>
      </w:r>
      <w:r w:rsidR="003E241B" w:rsidRPr="00104BB9">
        <w:rPr>
          <w:rFonts w:eastAsia="MS Mincho"/>
          <w:i/>
          <w:iCs/>
          <w:lang w:val="en-US"/>
        </w:rPr>
        <w:t>-</w:t>
      </w:r>
      <w:r w:rsidRPr="00104BB9">
        <w:rPr>
          <w:rFonts w:eastAsia="MS Mincho"/>
          <w:i/>
          <w:iCs/>
        </w:rPr>
        <w:t>UL</w:t>
      </w:r>
      <w:r w:rsidR="003E241B" w:rsidRPr="00104BB9">
        <w:rPr>
          <w:rFonts w:eastAsia="MS Mincho"/>
          <w:i/>
          <w:iCs/>
          <w:lang w:val="en-US"/>
        </w:rPr>
        <w:t>-</w:t>
      </w:r>
      <w:r w:rsidRPr="00104BB9">
        <w:rPr>
          <w:rFonts w:eastAsia="MS Mincho"/>
          <w:i/>
          <w:iCs/>
        </w:rPr>
        <w:t>URLLC</w:t>
      </w:r>
      <w:r w:rsidRPr="00B20F51">
        <w:rPr>
          <w:rFonts w:eastAsia="MS Mincho"/>
        </w:rPr>
        <w:t xml:space="preserve"> is provided</w:t>
      </w:r>
    </w:p>
    <w:p w14:paraId="78242EED" w14:textId="69425BDF" w:rsidR="00E778F2" w:rsidRPr="00B20F51" w:rsidRDefault="00E778F2" w:rsidP="00582ADB">
      <w:pPr>
        <w:pStyle w:val="B3"/>
        <w:rPr>
          <w:rFonts w:eastAsiaTheme="minorEastAsia"/>
        </w:rPr>
      </w:pPr>
      <w:r w:rsidRPr="00B20F51">
        <w:rPr>
          <w:rFonts w:eastAsiaTheme="minorEastAsia" w:hint="eastAsia"/>
        </w:rPr>
        <w:t>-</w:t>
      </w:r>
      <w:r>
        <w:rPr>
          <w:rFonts w:eastAsiaTheme="minorEastAsia"/>
        </w:rPr>
        <w:tab/>
      </w:r>
      <w:r w:rsidRPr="00B20F51">
        <w:rPr>
          <w:rFonts w:eastAsiaTheme="minorEastAsia"/>
        </w:rPr>
        <w:t xml:space="preserve">the SL transmission </w:t>
      </w:r>
      <w:r w:rsidR="00043627" w:rsidRPr="00DB76C6">
        <w:t xml:space="preserve">or reception </w:t>
      </w:r>
      <w:r w:rsidRPr="00B20F51">
        <w:rPr>
          <w:rFonts w:eastAsiaTheme="minorEastAsia"/>
        </w:rPr>
        <w:t xml:space="preserve">has higher priority than the UL transmission if </w:t>
      </w:r>
      <w:r w:rsidR="00CD415F">
        <w:t>the</w:t>
      </w:r>
      <w:r w:rsidRPr="00B20F51">
        <w:rPr>
          <w:rFonts w:eastAsiaTheme="minorEastAsia"/>
        </w:rPr>
        <w:t xml:space="preserve"> priority value of the SL transmission </w:t>
      </w:r>
      <w:r w:rsidR="00BA55E3" w:rsidRPr="001B7036">
        <w:rPr>
          <w:rFonts w:eastAsia="MS Mincho"/>
          <w:szCs w:val="21"/>
        </w:rPr>
        <w:t>or reception</w:t>
      </w:r>
      <w:r w:rsidR="00BA55E3" w:rsidRPr="00B20F51">
        <w:rPr>
          <w:rFonts w:eastAsiaTheme="minorEastAsia"/>
        </w:rPr>
        <w:t xml:space="preserve"> </w:t>
      </w:r>
      <w:r w:rsidRPr="00B20F51">
        <w:rPr>
          <w:rFonts w:eastAsiaTheme="minorEastAsia"/>
        </w:rPr>
        <w:t xml:space="preserve">is smaller than </w:t>
      </w:r>
      <w:r w:rsidRPr="00B20F51">
        <w:rPr>
          <w:rFonts w:eastAsia="MS Mincho"/>
          <w:i/>
        </w:rPr>
        <w:t>sl-PriorityThreshold</w:t>
      </w:r>
      <w:r w:rsidR="003E241B" w:rsidRPr="00104BB9">
        <w:rPr>
          <w:rFonts w:eastAsia="MS Mincho"/>
          <w:i/>
          <w:iCs/>
          <w:lang w:val="en-US"/>
        </w:rPr>
        <w:t>-</w:t>
      </w:r>
      <w:r w:rsidRPr="00B20F51">
        <w:rPr>
          <w:rFonts w:eastAsia="MS Mincho"/>
          <w:i/>
        </w:rPr>
        <w:t>UL</w:t>
      </w:r>
      <w:r w:rsidR="003E241B" w:rsidRPr="00104BB9">
        <w:rPr>
          <w:rFonts w:eastAsia="MS Mincho"/>
          <w:i/>
          <w:iCs/>
          <w:lang w:val="en-US"/>
        </w:rPr>
        <w:t>-</w:t>
      </w:r>
      <w:r w:rsidRPr="00B20F51">
        <w:rPr>
          <w:rFonts w:eastAsia="MS Mincho"/>
          <w:i/>
        </w:rPr>
        <w:t>URLLC</w:t>
      </w:r>
      <w:r>
        <w:rPr>
          <w:rFonts w:eastAsia="MS Mincho"/>
          <w:iCs/>
        </w:rPr>
        <w:t>;</w:t>
      </w:r>
      <w:r w:rsidRPr="00B20F51">
        <w:rPr>
          <w:rFonts w:eastAsia="MS Mincho"/>
          <w:i/>
        </w:rPr>
        <w:t xml:space="preserve"> </w:t>
      </w:r>
      <w:r w:rsidRPr="00B20F51">
        <w:rPr>
          <w:rFonts w:eastAsia="MS Mincho"/>
        </w:rPr>
        <w:t xml:space="preserve">otherwise, the UL transmission has </w:t>
      </w:r>
      <w:r>
        <w:rPr>
          <w:rFonts w:eastAsia="MS Mincho"/>
        </w:rPr>
        <w:t>high</w:t>
      </w:r>
      <w:r w:rsidRPr="00B20F51">
        <w:rPr>
          <w:rFonts w:eastAsia="MS Mincho"/>
        </w:rPr>
        <w:t>er priority than the SL transmission</w:t>
      </w:r>
      <w:r w:rsidR="00043627">
        <w:rPr>
          <w:rFonts w:eastAsia="MS Mincho"/>
        </w:rPr>
        <w:t xml:space="preserve"> </w:t>
      </w:r>
      <w:r w:rsidR="00043627" w:rsidRPr="00DB76C6">
        <w:rPr>
          <w:rFonts w:eastAsia="MS Mincho"/>
        </w:rPr>
        <w:t>or reception</w:t>
      </w:r>
    </w:p>
    <w:p w14:paraId="1F293668" w14:textId="77777777" w:rsidR="00E778F2" w:rsidRPr="00B20F51" w:rsidRDefault="00E778F2" w:rsidP="00582ADB">
      <w:pPr>
        <w:pStyle w:val="B2"/>
        <w:rPr>
          <w:rFonts w:eastAsia="MS Mincho"/>
        </w:rPr>
      </w:pPr>
      <w:r w:rsidRPr="00B20F51">
        <w:rPr>
          <w:rFonts w:eastAsia="MS Mincho"/>
        </w:rPr>
        <w:t>-</w:t>
      </w:r>
      <w:r>
        <w:rPr>
          <w:rFonts w:eastAsia="MS Mincho"/>
        </w:rPr>
        <w:tab/>
      </w:r>
      <w:r w:rsidRPr="00B20F51">
        <w:rPr>
          <w:rFonts w:eastAsia="MS Mincho"/>
        </w:rPr>
        <w:t>else</w:t>
      </w:r>
    </w:p>
    <w:p w14:paraId="0B18F473" w14:textId="789B3B76" w:rsidR="00E778F2" w:rsidRPr="00B20F51" w:rsidRDefault="00E778F2" w:rsidP="00582ADB">
      <w:pPr>
        <w:pStyle w:val="B3"/>
        <w:rPr>
          <w:rFonts w:eastAsia="MS Mincho"/>
        </w:rPr>
      </w:pPr>
      <w:r w:rsidRPr="00B20F51">
        <w:rPr>
          <w:rFonts w:eastAsia="MS Mincho"/>
        </w:rPr>
        <w:t>-</w:t>
      </w:r>
      <w:r>
        <w:rPr>
          <w:rFonts w:eastAsia="MS Mincho"/>
        </w:rPr>
        <w:tab/>
      </w:r>
      <w:r w:rsidRPr="00B20F51">
        <w:rPr>
          <w:rFonts w:eastAsia="MS Mincho"/>
        </w:rPr>
        <w:t>the UL transmission has higher priority than the SL transmission</w:t>
      </w:r>
      <w:r w:rsidR="00043627">
        <w:rPr>
          <w:rFonts w:eastAsia="MS Mincho"/>
        </w:rPr>
        <w:t xml:space="preserve"> </w:t>
      </w:r>
      <w:r w:rsidR="00043627" w:rsidRPr="00DB76C6">
        <w:rPr>
          <w:rFonts w:eastAsia="MS Mincho"/>
        </w:rPr>
        <w:t>or reception</w:t>
      </w:r>
    </w:p>
    <w:p w14:paraId="576689E3" w14:textId="77777777" w:rsidR="00E778F2" w:rsidRDefault="00E778F2" w:rsidP="00582ADB">
      <w:pPr>
        <w:pStyle w:val="B1"/>
        <w:rPr>
          <w:rFonts w:eastAsia="MS Mincho"/>
        </w:rPr>
      </w:pPr>
      <w:r w:rsidRPr="00B20F51">
        <w:rPr>
          <w:rFonts w:eastAsia="MS Mincho"/>
        </w:rPr>
        <w:t>-</w:t>
      </w:r>
      <w:r>
        <w:rPr>
          <w:rFonts w:eastAsia="MS Mincho"/>
        </w:rPr>
        <w:tab/>
      </w:r>
      <w:r w:rsidRPr="00B20F51">
        <w:rPr>
          <w:rFonts w:eastAsia="MS Mincho"/>
        </w:rPr>
        <w:t>else</w:t>
      </w:r>
    </w:p>
    <w:p w14:paraId="13C4A674" w14:textId="12B6DD5E" w:rsidR="00E778F2" w:rsidRPr="00104BB9" w:rsidRDefault="00E778F2" w:rsidP="00582ADB">
      <w:pPr>
        <w:pStyle w:val="B2"/>
        <w:rPr>
          <w:rFonts w:eastAsia="MS Mincho"/>
          <w:lang w:val="en-US"/>
        </w:rPr>
      </w:pPr>
      <w:r w:rsidRPr="00B20F51">
        <w:rPr>
          <w:rFonts w:eastAsia="MS Mincho"/>
        </w:rPr>
        <w:t>-</w:t>
      </w:r>
      <w:r>
        <w:rPr>
          <w:rFonts w:eastAsia="MS Mincho"/>
        </w:rPr>
        <w:tab/>
      </w:r>
      <w:r w:rsidRPr="00B20F51">
        <w:rPr>
          <w:rFonts w:eastAsiaTheme="minorEastAsia"/>
        </w:rPr>
        <w:t>the SL transmission</w:t>
      </w:r>
      <w:r w:rsidR="00043627">
        <w:rPr>
          <w:rFonts w:eastAsiaTheme="minorEastAsia"/>
          <w:lang w:val="en-US"/>
        </w:rPr>
        <w:t xml:space="preserve"> </w:t>
      </w:r>
      <w:r w:rsidR="00043627" w:rsidRPr="00DB76C6">
        <w:rPr>
          <w:rFonts w:eastAsia="MS Mincho"/>
        </w:rPr>
        <w:t>or reception</w:t>
      </w:r>
      <w:r w:rsidRPr="00B20F51">
        <w:rPr>
          <w:rFonts w:eastAsiaTheme="minorEastAsia"/>
        </w:rPr>
        <w:t xml:space="preserve"> has higher priority than the UL transmission if the</w:t>
      </w:r>
      <w:r>
        <w:rPr>
          <w:rFonts w:eastAsiaTheme="minorEastAsia"/>
        </w:rPr>
        <w:t xml:space="preserve"> </w:t>
      </w:r>
      <w:r w:rsidRPr="00B20F51">
        <w:rPr>
          <w:rFonts w:eastAsiaTheme="minorEastAsia"/>
        </w:rPr>
        <w:t>priority value of the SL transmission(s)</w:t>
      </w:r>
      <w:r w:rsidR="00043627">
        <w:rPr>
          <w:rFonts w:eastAsiaTheme="minorEastAsia"/>
          <w:lang w:val="en-US"/>
        </w:rPr>
        <w:t xml:space="preserve"> </w:t>
      </w:r>
      <w:r w:rsidR="00043627" w:rsidRPr="00DB76C6">
        <w:rPr>
          <w:rFonts w:eastAsia="MS Mincho"/>
        </w:rPr>
        <w:t>or reception</w:t>
      </w:r>
      <w:r w:rsidRPr="00B20F51">
        <w:rPr>
          <w:rFonts w:eastAsiaTheme="minorEastAsia"/>
        </w:rPr>
        <w:t xml:space="preserve"> is smaller than </w:t>
      </w:r>
      <w:r w:rsidRPr="00B20F51">
        <w:rPr>
          <w:rFonts w:eastAsia="MS Mincho"/>
          <w:i/>
        </w:rPr>
        <w:t>sl-PriorityThreshold</w:t>
      </w:r>
      <w:r>
        <w:rPr>
          <w:rFonts w:eastAsia="MS Mincho"/>
          <w:iCs/>
        </w:rPr>
        <w:t>;</w:t>
      </w:r>
      <w:r w:rsidRPr="00B20F51">
        <w:rPr>
          <w:rFonts w:eastAsia="MS Mincho"/>
          <w:i/>
        </w:rPr>
        <w:t xml:space="preserve"> </w:t>
      </w:r>
      <w:r w:rsidRPr="00B20F51">
        <w:rPr>
          <w:rFonts w:eastAsia="MS Mincho"/>
        </w:rPr>
        <w:t>otherwise, the UL transmission has higher priority than the SL transmission</w:t>
      </w:r>
      <w:r w:rsidR="00043627">
        <w:rPr>
          <w:rFonts w:eastAsia="MS Mincho"/>
          <w:lang w:val="en-US"/>
        </w:rPr>
        <w:t xml:space="preserve"> </w:t>
      </w:r>
      <w:r w:rsidR="00043627" w:rsidRPr="00DB76C6">
        <w:rPr>
          <w:rFonts w:eastAsia="MS Mincho"/>
        </w:rPr>
        <w:t>or reception</w:t>
      </w:r>
    </w:p>
    <w:p w14:paraId="7A327393" w14:textId="40B426C6" w:rsidR="00E778F2" w:rsidRPr="00B20F51" w:rsidRDefault="00E778F2" w:rsidP="00E778F2">
      <w:pPr>
        <w:rPr>
          <w:rFonts w:eastAsiaTheme="minorEastAsia"/>
        </w:rPr>
      </w:pPr>
      <w:r w:rsidRPr="00B20F51">
        <w:rPr>
          <w:rFonts w:eastAsiaTheme="minorEastAsia"/>
        </w:rPr>
        <w:t xml:space="preserve">A PRACH </w:t>
      </w:r>
      <w:r>
        <w:rPr>
          <w:rFonts w:eastAsiaTheme="minorEastAsia"/>
        </w:rPr>
        <w:t>transmission, or a</w:t>
      </w:r>
      <w:r w:rsidRPr="00B20F51">
        <w:rPr>
          <w:rFonts w:eastAsiaTheme="minorEastAsia"/>
        </w:rPr>
        <w:t xml:space="preserve"> PUSCH scheduled </w:t>
      </w:r>
      <w:r>
        <w:rPr>
          <w:rFonts w:eastAsiaTheme="minorEastAsia"/>
        </w:rPr>
        <w:t>by</w:t>
      </w:r>
      <w:r w:rsidRPr="00B20F51">
        <w:rPr>
          <w:rFonts w:eastAsiaTheme="minorEastAsia"/>
        </w:rPr>
        <w:t xml:space="preserve"> </w:t>
      </w:r>
      <w:r>
        <w:rPr>
          <w:rFonts w:eastAsiaTheme="minorEastAsia"/>
        </w:rPr>
        <w:t>an</w:t>
      </w:r>
      <w:r w:rsidRPr="00B20F51">
        <w:rPr>
          <w:rFonts w:eastAsiaTheme="minorEastAsia"/>
        </w:rPr>
        <w:t xml:space="preserve"> UL grant </w:t>
      </w:r>
      <w:r>
        <w:rPr>
          <w:rFonts w:eastAsiaTheme="minorEastAsia"/>
        </w:rPr>
        <w:t>in a RAR</w:t>
      </w:r>
      <w:r w:rsidR="00043627" w:rsidRPr="00043627">
        <w:t xml:space="preserve"> </w:t>
      </w:r>
      <w:r w:rsidR="00043627">
        <w:t>and its retransmission</w:t>
      </w:r>
      <w:r w:rsidR="00043627" w:rsidRPr="008446EA">
        <w:t xml:space="preserve">, or a PUSCH </w:t>
      </w:r>
      <w:r w:rsidR="00043627">
        <w:t>for</w:t>
      </w:r>
      <w:r w:rsidR="00043627" w:rsidRPr="008446EA">
        <w:t xml:space="preserve"> Type-2 random access procedure </w:t>
      </w:r>
      <w:r w:rsidR="00043627">
        <w:t>and its retransmission</w:t>
      </w:r>
      <w:r w:rsidR="00BD6CD4" w:rsidRPr="00B9292F">
        <w:t xml:space="preserve">, or a PUCCH </w:t>
      </w:r>
      <w:r w:rsidR="00BD6CD4" w:rsidRPr="000E5A4C">
        <w:t xml:space="preserve">with HARQ-ACK information in response to </w:t>
      </w:r>
      <w:r w:rsidR="00BD6CD4" w:rsidRPr="00B9292F">
        <w:t xml:space="preserve">successRAR, or a PUCCH </w:t>
      </w:r>
      <w:r w:rsidR="00BD6CD4">
        <w:t>indicated</w:t>
      </w:r>
      <w:r w:rsidR="00BD6CD4" w:rsidRPr="00B9292F">
        <w:t xml:space="preserve"> by a DCI format 1_0 with CRC scrambled by a corresponding TC-RNTI</w:t>
      </w:r>
      <w:r w:rsidR="00043627">
        <w:t xml:space="preserve"> </w:t>
      </w:r>
      <w:r w:rsidR="00043627" w:rsidRPr="008446EA">
        <w:t>has higher priority than a SL transmission or reception</w:t>
      </w:r>
      <w:r w:rsidRPr="00B20F51">
        <w:rPr>
          <w:rFonts w:eastAsiaTheme="minorEastAsia"/>
        </w:rPr>
        <w:t>.</w:t>
      </w:r>
    </w:p>
    <w:p w14:paraId="1E98ED08" w14:textId="0D0D4D2F" w:rsidR="00BD6CD4" w:rsidRDefault="00E778F2" w:rsidP="00BD6CD4">
      <w:r w:rsidRPr="00B20F51">
        <w:rPr>
          <w:rFonts w:eastAsiaTheme="minorEastAsia"/>
        </w:rPr>
        <w:t xml:space="preserve">A </w:t>
      </w:r>
      <w:r>
        <w:rPr>
          <w:rFonts w:eastAsiaTheme="minorEastAsia"/>
        </w:rPr>
        <w:t xml:space="preserve">PUCCH </w:t>
      </w:r>
      <w:r w:rsidRPr="00B20F51">
        <w:rPr>
          <w:rFonts w:eastAsiaTheme="minorEastAsia"/>
        </w:rPr>
        <w:t xml:space="preserve">transmission </w:t>
      </w:r>
      <w:r>
        <w:rPr>
          <w:rFonts w:eastAsiaTheme="minorEastAsia"/>
        </w:rPr>
        <w:t>with a</w:t>
      </w:r>
      <w:r w:rsidRPr="00B20F51">
        <w:rPr>
          <w:rFonts w:eastAsiaTheme="minorEastAsia"/>
        </w:rPr>
        <w:t xml:space="preserve"> sidelink HARQ-ACK </w:t>
      </w:r>
      <w:r>
        <w:rPr>
          <w:rFonts w:eastAsiaTheme="minorEastAsia"/>
        </w:rPr>
        <w:t xml:space="preserve">information report </w:t>
      </w:r>
      <w:r w:rsidRPr="00B20F51">
        <w:rPr>
          <w:rFonts w:eastAsiaTheme="minorEastAsia"/>
        </w:rPr>
        <w:t xml:space="preserve">has higher priority than </w:t>
      </w:r>
      <w:r>
        <w:rPr>
          <w:rFonts w:eastAsiaTheme="minorEastAsia"/>
        </w:rPr>
        <w:t>a</w:t>
      </w:r>
      <w:r w:rsidRPr="00B20F51">
        <w:rPr>
          <w:rFonts w:eastAsiaTheme="minorEastAsia"/>
        </w:rPr>
        <w:t xml:space="preserve"> SL transmission if </w:t>
      </w:r>
      <w:r>
        <w:rPr>
          <w:rFonts w:eastAsiaTheme="minorEastAsia"/>
        </w:rPr>
        <w:t>a</w:t>
      </w:r>
      <w:r w:rsidRPr="00B20F51">
        <w:rPr>
          <w:rFonts w:eastAsiaTheme="minorEastAsia"/>
        </w:rPr>
        <w:t xml:space="preserve"> priority value of </w:t>
      </w:r>
      <w:r>
        <w:rPr>
          <w:rFonts w:eastAsiaTheme="minorEastAsia"/>
        </w:rPr>
        <w:t xml:space="preserve">the </w:t>
      </w:r>
      <w:r w:rsidRPr="00B20F51">
        <w:rPr>
          <w:rFonts w:eastAsiaTheme="minorEastAsia"/>
        </w:rPr>
        <w:t>PUCCH</w:t>
      </w:r>
      <w:r>
        <w:rPr>
          <w:rFonts w:eastAsiaTheme="minorEastAsia"/>
        </w:rPr>
        <w:t xml:space="preserve"> </w:t>
      </w:r>
      <w:r w:rsidRPr="00B20F51">
        <w:rPr>
          <w:rFonts w:eastAsiaTheme="minorEastAsia"/>
        </w:rPr>
        <w:t xml:space="preserve">is smaller than </w:t>
      </w:r>
      <w:r>
        <w:rPr>
          <w:rFonts w:eastAsiaTheme="minorEastAsia"/>
        </w:rPr>
        <w:t>a</w:t>
      </w:r>
      <w:r w:rsidRPr="00B20F51">
        <w:rPr>
          <w:rFonts w:eastAsiaTheme="minorEastAsia"/>
        </w:rPr>
        <w:t xml:space="preserve"> priority value of the SL transmission</w:t>
      </w:r>
      <w:r>
        <w:rPr>
          <w:rFonts w:eastAsiaTheme="minorEastAsia"/>
        </w:rPr>
        <w:t>.</w:t>
      </w:r>
      <w:r w:rsidRPr="00B20F51">
        <w:rPr>
          <w:rFonts w:eastAsiaTheme="minorEastAsia"/>
        </w:rPr>
        <w:t xml:space="preserve"> </w:t>
      </w:r>
      <w:r>
        <w:rPr>
          <w:rFonts w:eastAsiaTheme="minorEastAsia"/>
        </w:rPr>
        <w:t>T</w:t>
      </w:r>
      <w:r w:rsidRPr="00B20F51">
        <w:rPr>
          <w:rFonts w:eastAsiaTheme="minorEastAsia"/>
        </w:rPr>
        <w:t xml:space="preserve">he priority value of </w:t>
      </w:r>
      <w:r>
        <w:rPr>
          <w:rFonts w:eastAsiaTheme="minorEastAsia"/>
        </w:rPr>
        <w:t xml:space="preserve">the </w:t>
      </w:r>
      <w:r w:rsidRPr="00B20F51">
        <w:rPr>
          <w:rFonts w:eastAsiaTheme="minorEastAsia"/>
        </w:rPr>
        <w:t xml:space="preserve">PUCCH </w:t>
      </w:r>
      <w:r>
        <w:rPr>
          <w:rFonts w:eastAsiaTheme="minorEastAsia"/>
        </w:rPr>
        <w:t xml:space="preserve">transmission is </w:t>
      </w:r>
      <w:r w:rsidRPr="00B20F51">
        <w:rPr>
          <w:rFonts w:eastAsiaTheme="minorEastAsia"/>
        </w:rPr>
        <w:t xml:space="preserve">as described </w:t>
      </w:r>
      <w:r w:rsidR="006F5F9E">
        <w:rPr>
          <w:rFonts w:eastAsiaTheme="minorEastAsia"/>
        </w:rPr>
        <w:t>in clause</w:t>
      </w:r>
      <w:r w:rsidRPr="00B20F51">
        <w:rPr>
          <w:rFonts w:eastAsiaTheme="minorEastAsia"/>
        </w:rPr>
        <w:t xml:space="preserve"> 16.5. If the priority value of </w:t>
      </w:r>
      <w:r>
        <w:rPr>
          <w:rFonts w:eastAsiaTheme="minorEastAsia"/>
        </w:rPr>
        <w:t xml:space="preserve">the </w:t>
      </w:r>
      <w:r w:rsidRPr="00B20F51">
        <w:rPr>
          <w:rFonts w:eastAsiaTheme="minorEastAsia"/>
        </w:rPr>
        <w:t xml:space="preserve">PUCCH </w:t>
      </w:r>
      <w:r>
        <w:rPr>
          <w:rFonts w:eastAsiaTheme="minorEastAsia"/>
        </w:rPr>
        <w:t xml:space="preserve">transmission </w:t>
      </w:r>
      <w:r w:rsidRPr="00B20F51">
        <w:rPr>
          <w:rFonts w:eastAsiaTheme="minorEastAsia"/>
        </w:rPr>
        <w:t xml:space="preserve">is </w:t>
      </w:r>
      <w:r>
        <w:rPr>
          <w:rFonts w:eastAsiaTheme="minorEastAsia"/>
        </w:rPr>
        <w:t>larg</w:t>
      </w:r>
      <w:r w:rsidRPr="00B20F51">
        <w:rPr>
          <w:rFonts w:eastAsiaTheme="minorEastAsia"/>
        </w:rPr>
        <w:t>er than the priority value of the SL transmission, the SL transmission has higher priority.</w:t>
      </w:r>
    </w:p>
    <w:p w14:paraId="7C88BA85" w14:textId="6BCA14E2" w:rsidR="00E778F2" w:rsidRDefault="00BD6CD4" w:rsidP="00BD6CD4">
      <w:pPr>
        <w:rPr>
          <w:rFonts w:eastAsiaTheme="minorEastAsia"/>
        </w:rPr>
      </w:pPr>
      <w:r w:rsidRPr="00B9292F">
        <w:lastRenderedPageBreak/>
        <w:t>A PUCCH transmission with a sidelink HARQ-ACK information report has higher priority than a PSFCH/S-SS/PSBCH block reception if a priority value of the PUCCH is smaller than a priority value of the SL reception. If the priority value of the PUCCH transmission is larger than the priority value of the PSFCH/S-SS/PSBCH block reception, the SL reception has higher priority.</w:t>
      </w:r>
    </w:p>
    <w:p w14:paraId="246884B7" w14:textId="77777777" w:rsidR="00E778F2" w:rsidRPr="00FF2754" w:rsidRDefault="00E778F2" w:rsidP="00E778F2">
      <w:pPr>
        <w:rPr>
          <w:rFonts w:eastAsia="Malgun Gothic"/>
        </w:rPr>
      </w:pPr>
      <w:r w:rsidRPr="00FF2754">
        <w:rPr>
          <w:rFonts w:eastAsia="Malgun Gothic"/>
        </w:rPr>
        <w:t xml:space="preserve">When one or more SL transmissions </w:t>
      </w:r>
      <w:r>
        <w:rPr>
          <w:rFonts w:eastAsia="Malgun Gothic"/>
        </w:rPr>
        <w:t xml:space="preserve">from a UE </w:t>
      </w:r>
      <w:r w:rsidRPr="00FF2754">
        <w:rPr>
          <w:rFonts w:eastAsia="Malgun Gothic"/>
        </w:rPr>
        <w:t xml:space="preserve">overlap </w:t>
      </w:r>
      <w:r>
        <w:rPr>
          <w:rFonts w:eastAsia="Malgun Gothic"/>
        </w:rPr>
        <w:t xml:space="preserve">in time </w:t>
      </w:r>
      <w:r w:rsidRPr="00FF2754">
        <w:rPr>
          <w:rFonts w:eastAsia="Malgun Gothic"/>
        </w:rPr>
        <w:t xml:space="preserve">with multiple </w:t>
      </w:r>
      <w:r>
        <w:rPr>
          <w:rFonts w:eastAsia="Malgun Gothic"/>
        </w:rPr>
        <w:t xml:space="preserve">non-overlapping </w:t>
      </w:r>
      <w:r w:rsidRPr="00FF2754">
        <w:rPr>
          <w:rFonts w:eastAsia="Malgun Gothic"/>
        </w:rPr>
        <w:t xml:space="preserve">UL transmissions </w:t>
      </w:r>
      <w:r>
        <w:rPr>
          <w:rFonts w:eastAsia="Malgun Gothic"/>
        </w:rPr>
        <w:t>from the UE</w:t>
      </w:r>
      <w:r w:rsidRPr="00FF2754">
        <w:rPr>
          <w:rFonts w:eastAsia="Malgun Gothic"/>
        </w:rPr>
        <w:t xml:space="preserve">, the UE </w:t>
      </w:r>
      <w:r>
        <w:rPr>
          <w:rFonts w:eastAsia="Malgun Gothic"/>
        </w:rPr>
        <w:t>performs</w:t>
      </w:r>
      <w:r w:rsidRPr="00FF2754">
        <w:rPr>
          <w:rFonts w:eastAsia="Malgun Gothic"/>
        </w:rPr>
        <w:t xml:space="preserve"> </w:t>
      </w:r>
      <w:r>
        <w:rPr>
          <w:rFonts w:eastAsia="Malgun Gothic"/>
        </w:rPr>
        <w:t xml:space="preserve">the </w:t>
      </w:r>
      <w:r w:rsidRPr="00FF2754">
        <w:rPr>
          <w:rFonts w:eastAsia="Malgun Gothic"/>
        </w:rPr>
        <w:t xml:space="preserve">SL transmissions if at least one SL transmission is prioritized over all UL transmissions subject to </w:t>
      </w:r>
      <w:r>
        <w:rPr>
          <w:rFonts w:eastAsia="Malgun Gothic"/>
        </w:rPr>
        <w:t xml:space="preserve">the </w:t>
      </w:r>
      <w:r w:rsidRPr="00FF2754">
        <w:rPr>
          <w:rFonts w:eastAsia="Malgun Gothic"/>
        </w:rPr>
        <w:t>UE processing timeline with respect to the first SL</w:t>
      </w:r>
      <w:r>
        <w:rPr>
          <w:rFonts w:eastAsia="Malgun Gothic"/>
        </w:rPr>
        <w:t xml:space="preserve"> transmission and the first </w:t>
      </w:r>
      <w:r w:rsidRPr="00FF2754">
        <w:rPr>
          <w:rFonts w:eastAsia="Malgun Gothic"/>
        </w:rPr>
        <w:t>UL transmission.</w:t>
      </w:r>
    </w:p>
    <w:p w14:paraId="58B838D2" w14:textId="77777777" w:rsidR="00E778F2" w:rsidRPr="00FF2754" w:rsidRDefault="00E778F2" w:rsidP="00E778F2">
      <w:pPr>
        <w:rPr>
          <w:rFonts w:eastAsia="Malgun Gothic"/>
        </w:rPr>
      </w:pPr>
      <w:r w:rsidRPr="00FF2754">
        <w:rPr>
          <w:rFonts w:eastAsia="Malgun Gothic"/>
        </w:rPr>
        <w:t xml:space="preserve">When one or more UL transmissions </w:t>
      </w:r>
      <w:r>
        <w:rPr>
          <w:rFonts w:eastAsia="Malgun Gothic"/>
        </w:rPr>
        <w:t xml:space="preserve">from a UE </w:t>
      </w:r>
      <w:r w:rsidRPr="00FF2754">
        <w:rPr>
          <w:rFonts w:eastAsia="Malgun Gothic"/>
        </w:rPr>
        <w:t xml:space="preserve">overlap </w:t>
      </w:r>
      <w:r>
        <w:rPr>
          <w:rFonts w:eastAsia="Malgun Gothic"/>
        </w:rPr>
        <w:t xml:space="preserve">in time </w:t>
      </w:r>
      <w:r w:rsidRPr="00FF2754">
        <w:rPr>
          <w:rFonts w:eastAsia="Malgun Gothic"/>
        </w:rPr>
        <w:t xml:space="preserve">with multiple </w:t>
      </w:r>
      <w:r>
        <w:rPr>
          <w:rFonts w:eastAsia="Malgun Gothic"/>
        </w:rPr>
        <w:t xml:space="preserve">non-overlapping </w:t>
      </w:r>
      <w:r w:rsidRPr="00FF2754">
        <w:rPr>
          <w:rFonts w:eastAsia="Malgun Gothic"/>
        </w:rPr>
        <w:t xml:space="preserve">SL transmissions, the UE </w:t>
      </w:r>
      <w:r>
        <w:rPr>
          <w:rFonts w:eastAsia="Malgun Gothic"/>
        </w:rPr>
        <w:t>performs the</w:t>
      </w:r>
      <w:r w:rsidRPr="00FF2754">
        <w:rPr>
          <w:rFonts w:eastAsia="Malgun Gothic"/>
        </w:rPr>
        <w:t xml:space="preserve"> UL transmissions if at least one UL transmission is prioritized over all SL transmissions subject to </w:t>
      </w:r>
      <w:r>
        <w:rPr>
          <w:rFonts w:eastAsia="Malgun Gothic"/>
        </w:rPr>
        <w:t xml:space="preserve">the </w:t>
      </w:r>
      <w:r w:rsidRPr="00FF2754">
        <w:rPr>
          <w:rFonts w:eastAsia="Malgun Gothic"/>
        </w:rPr>
        <w:t>UE processing timeline with respect to the first SL</w:t>
      </w:r>
      <w:r>
        <w:rPr>
          <w:rFonts w:eastAsia="Malgun Gothic"/>
        </w:rPr>
        <w:t xml:space="preserve"> transmission and the first </w:t>
      </w:r>
      <w:r w:rsidRPr="00FF2754">
        <w:rPr>
          <w:rFonts w:eastAsia="Malgun Gothic"/>
        </w:rPr>
        <w:t>UL transmission.</w:t>
      </w:r>
    </w:p>
    <w:p w14:paraId="2E68B00C" w14:textId="77777777" w:rsidR="00E778F2" w:rsidRPr="00FF2754" w:rsidRDefault="00E778F2" w:rsidP="00E778F2">
      <w:pPr>
        <w:rPr>
          <w:rFonts w:eastAsia="Malgun Gothic"/>
        </w:rPr>
      </w:pPr>
      <w:r w:rsidRPr="00FF2754">
        <w:rPr>
          <w:rFonts w:eastAsia="Malgun Gothic"/>
        </w:rPr>
        <w:t xml:space="preserve">When one SL transmission overlaps </w:t>
      </w:r>
      <w:r>
        <w:rPr>
          <w:rFonts w:eastAsia="Malgun Gothic"/>
        </w:rPr>
        <w:t xml:space="preserve">in time </w:t>
      </w:r>
      <w:r w:rsidRPr="00FF2754">
        <w:rPr>
          <w:rFonts w:eastAsia="Malgun Gothic"/>
        </w:rPr>
        <w:t xml:space="preserve">with one or more </w:t>
      </w:r>
      <w:r>
        <w:rPr>
          <w:rFonts w:eastAsia="Malgun Gothic"/>
        </w:rPr>
        <w:t xml:space="preserve">overlapping </w:t>
      </w:r>
      <w:r w:rsidRPr="00FF2754">
        <w:rPr>
          <w:rFonts w:eastAsia="Malgun Gothic"/>
        </w:rPr>
        <w:t xml:space="preserve">UL transmissions, the UE </w:t>
      </w:r>
      <w:r>
        <w:rPr>
          <w:rFonts w:eastAsia="Malgun Gothic"/>
        </w:rPr>
        <w:t>performs the</w:t>
      </w:r>
      <w:r w:rsidRPr="00FF2754">
        <w:rPr>
          <w:rFonts w:eastAsia="Malgun Gothic"/>
        </w:rPr>
        <w:t xml:space="preserve"> SL transmission if the SL transmission is prioritized over all UL transmissions subject to both </w:t>
      </w:r>
      <w:r>
        <w:rPr>
          <w:rFonts w:eastAsia="Malgun Gothic"/>
        </w:rPr>
        <w:t xml:space="preserve">the </w:t>
      </w:r>
      <w:r w:rsidRPr="00FF2754">
        <w:rPr>
          <w:rFonts w:eastAsia="Malgun Gothic"/>
        </w:rPr>
        <w:t>UE multiplexing and processing timeline</w:t>
      </w:r>
      <w:r>
        <w:rPr>
          <w:rFonts w:eastAsia="Malgun Gothic"/>
        </w:rPr>
        <w:t>s</w:t>
      </w:r>
      <w:r w:rsidRPr="00FF2754">
        <w:rPr>
          <w:rFonts w:eastAsia="Malgun Gothic"/>
        </w:rPr>
        <w:t xml:space="preserve"> with respect to the first SL</w:t>
      </w:r>
      <w:r>
        <w:rPr>
          <w:rFonts w:eastAsia="Malgun Gothic"/>
        </w:rPr>
        <w:t xml:space="preserve"> transmission and the first </w:t>
      </w:r>
      <w:r w:rsidRPr="00FF2754">
        <w:rPr>
          <w:rFonts w:eastAsia="Malgun Gothic"/>
        </w:rPr>
        <w:t>UL transmission, where the UE processing timeline with respect to the first SL</w:t>
      </w:r>
      <w:r>
        <w:rPr>
          <w:rFonts w:eastAsia="Malgun Gothic"/>
        </w:rPr>
        <w:t xml:space="preserve"> transmission and the first </w:t>
      </w:r>
      <w:r w:rsidRPr="00FF2754">
        <w:rPr>
          <w:rFonts w:eastAsia="Malgun Gothic"/>
        </w:rPr>
        <w:t xml:space="preserve">UL transmission is same as when one or more SL transmissions overlap </w:t>
      </w:r>
      <w:r>
        <w:rPr>
          <w:rFonts w:eastAsia="Malgun Gothic"/>
        </w:rPr>
        <w:t xml:space="preserve">in time </w:t>
      </w:r>
      <w:r w:rsidRPr="00FF2754">
        <w:rPr>
          <w:rFonts w:eastAsia="Malgun Gothic"/>
        </w:rPr>
        <w:t xml:space="preserve">with multiple </w:t>
      </w:r>
      <w:r>
        <w:rPr>
          <w:rFonts w:eastAsia="Malgun Gothic"/>
        </w:rPr>
        <w:t xml:space="preserve">non-overlapping </w:t>
      </w:r>
      <w:r w:rsidRPr="00FF2754">
        <w:rPr>
          <w:rFonts w:eastAsia="Malgun Gothic"/>
        </w:rPr>
        <w:t>UL transmissions.</w:t>
      </w:r>
    </w:p>
    <w:p w14:paraId="73B88798" w14:textId="1B84DB2F" w:rsidR="00E778F2" w:rsidRDefault="00E778F2" w:rsidP="00582ADB">
      <w:pPr>
        <w:rPr>
          <w:rFonts w:eastAsia="Malgun Gothic"/>
        </w:rPr>
      </w:pPr>
      <w:r w:rsidRPr="00FF2754">
        <w:rPr>
          <w:rFonts w:eastAsia="Malgun Gothic"/>
        </w:rPr>
        <w:t xml:space="preserve">When one SL transmission overlaps </w:t>
      </w:r>
      <w:r>
        <w:rPr>
          <w:rFonts w:eastAsia="Malgun Gothic"/>
        </w:rPr>
        <w:t xml:space="preserve">in time </w:t>
      </w:r>
      <w:r w:rsidRPr="00FF2754">
        <w:rPr>
          <w:rFonts w:eastAsia="Malgun Gothic"/>
        </w:rPr>
        <w:t xml:space="preserve">with one or more </w:t>
      </w:r>
      <w:r>
        <w:rPr>
          <w:rFonts w:eastAsia="Malgun Gothic"/>
        </w:rPr>
        <w:t xml:space="preserve">overlapping </w:t>
      </w:r>
      <w:r w:rsidRPr="00FF2754">
        <w:rPr>
          <w:rFonts w:eastAsia="Malgun Gothic"/>
        </w:rPr>
        <w:t xml:space="preserve">UL transmissions, the UE </w:t>
      </w:r>
      <w:r>
        <w:rPr>
          <w:rFonts w:eastAsia="Malgun Gothic"/>
        </w:rPr>
        <w:t>performs the</w:t>
      </w:r>
      <w:r w:rsidRPr="00FF2754">
        <w:rPr>
          <w:rFonts w:eastAsia="Malgun Gothic"/>
        </w:rPr>
        <w:t xml:space="preserve"> UL transmission if at least one UL transmission is prioritized over the SL transmission subject to both </w:t>
      </w:r>
      <w:r>
        <w:rPr>
          <w:rFonts w:eastAsia="Malgun Gothic"/>
        </w:rPr>
        <w:t xml:space="preserve">the </w:t>
      </w:r>
      <w:r w:rsidRPr="00FF2754">
        <w:rPr>
          <w:rFonts w:eastAsia="Malgun Gothic"/>
        </w:rPr>
        <w:t>UE multiplexing and processing timeline</w:t>
      </w:r>
      <w:r>
        <w:rPr>
          <w:rFonts w:eastAsia="Malgun Gothic"/>
        </w:rPr>
        <w:t>s</w:t>
      </w:r>
      <w:r w:rsidRPr="00FF2754">
        <w:rPr>
          <w:rFonts w:eastAsia="Malgun Gothic"/>
        </w:rPr>
        <w:t xml:space="preserve"> with respect to the first SL</w:t>
      </w:r>
      <w:r>
        <w:rPr>
          <w:rFonts w:eastAsia="Malgun Gothic"/>
        </w:rPr>
        <w:t xml:space="preserve"> transmission and the first </w:t>
      </w:r>
      <w:r w:rsidRPr="00FF2754">
        <w:rPr>
          <w:rFonts w:eastAsia="Malgun Gothic"/>
        </w:rPr>
        <w:t>UL transmission, where the UE processing timeline with respect to the first SL</w:t>
      </w:r>
      <w:r>
        <w:rPr>
          <w:rFonts w:eastAsia="Malgun Gothic"/>
        </w:rPr>
        <w:t xml:space="preserve"> transmission and the first </w:t>
      </w:r>
      <w:r w:rsidRPr="00FF2754">
        <w:rPr>
          <w:rFonts w:eastAsia="Malgun Gothic"/>
        </w:rPr>
        <w:t xml:space="preserve">UL transmission is same as when one or more SL transmissions overlap </w:t>
      </w:r>
      <w:r>
        <w:rPr>
          <w:rFonts w:eastAsia="Malgun Gothic"/>
        </w:rPr>
        <w:t xml:space="preserve">in time </w:t>
      </w:r>
      <w:r w:rsidRPr="00FF2754">
        <w:rPr>
          <w:rFonts w:eastAsia="Malgun Gothic"/>
        </w:rPr>
        <w:t xml:space="preserve">with multiple </w:t>
      </w:r>
      <w:r>
        <w:rPr>
          <w:rFonts w:eastAsia="Malgun Gothic"/>
        </w:rPr>
        <w:t xml:space="preserve">non-overlapping </w:t>
      </w:r>
      <w:r w:rsidRPr="00FF2754">
        <w:rPr>
          <w:rFonts w:eastAsia="Malgun Gothic"/>
        </w:rPr>
        <w:t>UL transmissions.</w:t>
      </w:r>
    </w:p>
    <w:p w14:paraId="54C9C403" w14:textId="77777777" w:rsidR="009C68B4" w:rsidRDefault="009C68B4" w:rsidP="009C68B4">
      <w:pPr>
        <w:pStyle w:val="Heading3"/>
      </w:pPr>
      <w:bookmarkStart w:id="903" w:name="_Toc161999177"/>
      <w:r>
        <w:t>16.2</w:t>
      </w:r>
      <w:r w:rsidRPr="008A4A6B">
        <w:t>.</w:t>
      </w:r>
      <w:r>
        <w:t>5</w:t>
      </w:r>
      <w:r w:rsidRPr="008A4A6B">
        <w:tab/>
      </w:r>
      <w:r>
        <w:t>SL Carrier Aggregation</w:t>
      </w:r>
      <w:bookmarkEnd w:id="903"/>
    </w:p>
    <w:p w14:paraId="5B718F17" w14:textId="77777777" w:rsidR="009C68B4" w:rsidRDefault="009C68B4" w:rsidP="009C68B4">
      <w:pPr>
        <w:rPr>
          <w:lang w:eastAsia="zh-CN"/>
        </w:rPr>
      </w:pPr>
      <w:r>
        <w:rPr>
          <w:lang w:eastAsia="zh-CN"/>
        </w:rPr>
        <w:t xml:space="preserve">If a UE is configured for sidelink operation on multiple carriers, the UE applies the synchronization procedures in Clause 16.1 on each of the multiple carriers </w:t>
      </w:r>
      <w:r w:rsidRPr="00975A26">
        <w:rPr>
          <w:lang w:eastAsia="zh-CN"/>
        </w:rPr>
        <w:t>[12, TS 38.331]</w:t>
      </w:r>
      <w:r>
        <w:rPr>
          <w:lang w:eastAsia="zh-CN"/>
        </w:rPr>
        <w:t>.</w:t>
      </w:r>
    </w:p>
    <w:p w14:paraId="2E8B43B1" w14:textId="4C6CF5A9" w:rsidR="009C68B4" w:rsidRPr="00271082" w:rsidRDefault="009C68B4" w:rsidP="009C68B4">
      <w:pPr>
        <w:rPr>
          <w:rFonts w:eastAsia="Malgun Gothic"/>
        </w:rPr>
      </w:pPr>
      <w:r>
        <w:rPr>
          <w:lang w:eastAsia="zh-CN"/>
        </w:rPr>
        <w:t>If</w:t>
      </w:r>
      <w:r w:rsidRPr="00664EA5">
        <w:rPr>
          <w:lang w:eastAsia="zh-CN"/>
        </w:rPr>
        <w:t xml:space="preserve"> a UE would transmit </w:t>
      </w:r>
      <w:r>
        <w:rPr>
          <w:lang w:eastAsia="zh-CN"/>
        </w:rPr>
        <w:t xml:space="preserve">S-SS/PSBCH blocks </w:t>
      </w:r>
      <w:r w:rsidRPr="00664EA5">
        <w:rPr>
          <w:lang w:eastAsia="zh-CN"/>
        </w:rPr>
        <w:t xml:space="preserve">on multiple carriers, the UE determines a power for </w:t>
      </w:r>
      <w:r>
        <w:rPr>
          <w:lang w:eastAsia="zh-CN"/>
        </w:rPr>
        <w:t>each S-SS/PSBCH block</w:t>
      </w:r>
      <w:r w:rsidRPr="00664EA5">
        <w:rPr>
          <w:lang w:eastAsia="zh-CN"/>
        </w:rPr>
        <w:t xml:space="preserve"> transmission as described in Clause 16.2.</w:t>
      </w:r>
      <w:r>
        <w:rPr>
          <w:lang w:eastAsia="zh-CN"/>
        </w:rPr>
        <w:t xml:space="preserve">0. </w:t>
      </w:r>
      <w:r>
        <w:rPr>
          <w:rFonts w:eastAsia="Malgun Gothic"/>
          <w:lang w:eastAsia="ko-KR"/>
        </w:rPr>
        <w:t xml:space="preserve">If the UE would transmit S-SS/PSBCH blocks that would overlap in time on respective carriers and a total power for the transmissions of the S-SS/PSBCH blocks would exceed </w:t>
      </w:r>
      <m:oMath>
        <m:sSub>
          <m:sSubPr>
            <m:ctrlPr>
              <w:rPr>
                <w:rFonts w:ascii="Cambria Math" w:eastAsiaTheme="minorEastAsia" w:hAnsi="Cambria Math"/>
              </w:rPr>
            </m:ctrlPr>
          </m:sSubPr>
          <m:e>
            <m:r>
              <w:rPr>
                <w:rFonts w:ascii="Cambria Math" w:eastAsiaTheme="minorEastAsia" w:hAnsi="Cambria Math"/>
              </w:rPr>
              <m:t>P</m:t>
            </m:r>
          </m:e>
          <m:sub>
            <m:r>
              <m:rPr>
                <m:nor/>
              </m:rPr>
              <w:rPr>
                <w:rFonts w:eastAsiaTheme="minorEastAsia"/>
              </w:rPr>
              <m:t>CMAX</m:t>
            </m:r>
          </m:sub>
        </m:sSub>
      </m:oMath>
      <w:r>
        <w:rPr>
          <w:rFonts w:eastAsia="Malgun Gothic"/>
        </w:rPr>
        <w:t xml:space="preserve"> </w:t>
      </w:r>
      <w:r w:rsidRPr="00A340B0">
        <w:rPr>
          <w:rFonts w:eastAsiaTheme="minorEastAsia"/>
        </w:rPr>
        <w:t>[8-1, TS 38.101-1]</w:t>
      </w:r>
      <w:r>
        <w:rPr>
          <w:rFonts w:eastAsia="Malgun Gothic"/>
        </w:rPr>
        <w:t xml:space="preserve">, the UE autonomously reduces a power for one or more of the S-SS/PSBCH blocks transmissions so that a resulting total power would not exceed </w:t>
      </w:r>
      <m:oMath>
        <m:sSub>
          <m:sSubPr>
            <m:ctrlPr>
              <w:rPr>
                <w:rFonts w:ascii="Cambria Math" w:eastAsiaTheme="minorEastAsia" w:hAnsi="Cambria Math"/>
              </w:rPr>
            </m:ctrlPr>
          </m:sSubPr>
          <m:e>
            <m:r>
              <w:rPr>
                <w:rFonts w:ascii="Cambria Math" w:eastAsiaTheme="minorEastAsia" w:hAnsi="Cambria Math"/>
              </w:rPr>
              <m:t>P</m:t>
            </m:r>
          </m:e>
          <m:sub>
            <m:r>
              <m:rPr>
                <m:nor/>
              </m:rPr>
              <w:rPr>
                <w:rFonts w:eastAsiaTheme="minorEastAsia"/>
              </w:rPr>
              <m:t>CMAX</m:t>
            </m:r>
          </m:sub>
        </m:sSub>
      </m:oMath>
      <w:r>
        <w:rPr>
          <w:rFonts w:eastAsia="Malgun Gothic"/>
        </w:rPr>
        <w:t>.</w:t>
      </w:r>
    </w:p>
    <w:p w14:paraId="3C3F31DB" w14:textId="29DE1630" w:rsidR="00B31340" w:rsidRPr="00344B9A" w:rsidRDefault="00B31340" w:rsidP="00B31340">
      <w:pPr>
        <w:rPr>
          <w:rFonts w:eastAsia="Malgun Gothic"/>
        </w:rPr>
      </w:pPr>
      <w:r>
        <w:rPr>
          <w:lang w:eastAsia="zh-CN"/>
        </w:rPr>
        <w:t>If</w:t>
      </w:r>
      <w:r w:rsidRPr="00664EA5">
        <w:rPr>
          <w:lang w:eastAsia="zh-CN"/>
        </w:rPr>
        <w:t xml:space="preserve"> a UE would transmit PS</w:t>
      </w:r>
      <w:r>
        <w:rPr>
          <w:lang w:eastAsia="zh-CN"/>
        </w:rPr>
        <w:t>C</w:t>
      </w:r>
      <w:r w:rsidRPr="00664EA5">
        <w:rPr>
          <w:lang w:eastAsia="zh-CN"/>
        </w:rPr>
        <w:t>CH</w:t>
      </w:r>
      <w:r>
        <w:rPr>
          <w:lang w:eastAsia="zh-CN"/>
        </w:rPr>
        <w:t xml:space="preserve">s/PSSCHs </w:t>
      </w:r>
      <w:r w:rsidRPr="00664EA5">
        <w:rPr>
          <w:lang w:eastAsia="zh-CN"/>
        </w:rPr>
        <w:t xml:space="preserve">on multiple carriers, the UE determines a power for </w:t>
      </w:r>
      <w:r>
        <w:rPr>
          <w:lang w:eastAsia="zh-CN"/>
        </w:rPr>
        <w:t xml:space="preserve">each </w:t>
      </w:r>
      <w:r w:rsidRPr="00664EA5">
        <w:rPr>
          <w:lang w:eastAsia="zh-CN"/>
        </w:rPr>
        <w:t>PS</w:t>
      </w:r>
      <w:r>
        <w:rPr>
          <w:lang w:eastAsia="zh-CN"/>
        </w:rPr>
        <w:t>C</w:t>
      </w:r>
      <w:r w:rsidRPr="00664EA5">
        <w:rPr>
          <w:lang w:eastAsia="zh-CN"/>
        </w:rPr>
        <w:t>CH</w:t>
      </w:r>
      <w:r>
        <w:rPr>
          <w:lang w:eastAsia="zh-CN"/>
        </w:rPr>
        <w:t>/PSSCH</w:t>
      </w:r>
      <w:r w:rsidRPr="00664EA5">
        <w:rPr>
          <w:lang w:eastAsia="zh-CN"/>
        </w:rPr>
        <w:t xml:space="preserve"> transmission as described in Clause</w:t>
      </w:r>
      <w:r>
        <w:rPr>
          <w:lang w:eastAsia="zh-CN"/>
        </w:rPr>
        <w:t>s</w:t>
      </w:r>
      <w:r w:rsidRPr="00664EA5">
        <w:rPr>
          <w:lang w:eastAsia="zh-CN"/>
        </w:rPr>
        <w:t xml:space="preserve"> 16.2.1</w:t>
      </w:r>
      <w:r>
        <w:rPr>
          <w:lang w:eastAsia="zh-CN"/>
        </w:rPr>
        <w:t xml:space="preserve"> and 16.2.2, respectively</w:t>
      </w:r>
      <w:r w:rsidRPr="00664EA5">
        <w:rPr>
          <w:lang w:eastAsia="zh-CN"/>
        </w:rPr>
        <w:t xml:space="preserve">. </w:t>
      </w:r>
      <w:r>
        <w:rPr>
          <w:rFonts w:eastAsia="Malgun Gothic"/>
          <w:lang w:eastAsia="ko-KR"/>
        </w:rPr>
        <w:t xml:space="preserve">If the UE would transmit PSCCHs/PSSCHs that would overlap in time on respective carriers and a total power for the PSCCH/PSSCH transmissions would exceed </w:t>
      </w:r>
      <m:oMath>
        <m:sSub>
          <m:sSubPr>
            <m:ctrlPr>
              <w:rPr>
                <w:rFonts w:ascii="Cambria Math" w:eastAsiaTheme="minorEastAsia" w:hAnsi="Cambria Math"/>
              </w:rPr>
            </m:ctrlPr>
          </m:sSubPr>
          <m:e>
            <m:r>
              <w:rPr>
                <w:rFonts w:ascii="Cambria Math" w:eastAsiaTheme="minorEastAsia" w:hAnsi="Cambria Math"/>
              </w:rPr>
              <m:t>P</m:t>
            </m:r>
          </m:e>
          <m:sub>
            <m:r>
              <m:rPr>
                <m:nor/>
              </m:rPr>
              <w:rPr>
                <w:rFonts w:eastAsiaTheme="minorEastAsia"/>
              </w:rPr>
              <m:t>CMAX</m:t>
            </m:r>
          </m:sub>
        </m:sSub>
      </m:oMath>
      <w:r>
        <w:rPr>
          <w:rFonts w:eastAsia="Malgun Gothic"/>
        </w:rPr>
        <w:t>, the UE reduces a power for a PSCCH/PSSCH transmission that has the largest priority value as determined by SCI formats provided by the PSCCHs scheduling the respective PSSCHs. If more than one PSCCH/PSSCH transmission have the largest priority value, the UE autonomously selects one of the more than one PSCCH/PSSCH transmissions</w:t>
      </w:r>
      <w:r w:rsidRPr="00344B9A">
        <w:rPr>
          <w:rFonts w:eastAsia="Malgun Gothic"/>
        </w:rPr>
        <w:t xml:space="preserve"> </w:t>
      </w:r>
      <w:r>
        <w:rPr>
          <w:rFonts w:eastAsia="Malgun Gothic"/>
        </w:rPr>
        <w:t xml:space="preserve">to reduce a respective power. If, after the reduction of the power of the PSCCH/PSSCH transmission with the largest priority value, a total power exceeds </w:t>
      </w:r>
      <m:oMath>
        <m:sSub>
          <m:sSubPr>
            <m:ctrlPr>
              <w:rPr>
                <w:rFonts w:ascii="Cambria Math" w:eastAsiaTheme="minorEastAsia" w:hAnsi="Cambria Math"/>
              </w:rPr>
            </m:ctrlPr>
          </m:sSubPr>
          <m:e>
            <m:r>
              <w:rPr>
                <w:rFonts w:ascii="Cambria Math" w:eastAsiaTheme="minorEastAsia" w:hAnsi="Cambria Math"/>
              </w:rPr>
              <m:t>P</m:t>
            </m:r>
          </m:e>
          <m:sub>
            <m:r>
              <m:rPr>
                <m:nor/>
              </m:rPr>
              <w:rPr>
                <w:rFonts w:eastAsiaTheme="minorEastAsia"/>
              </w:rPr>
              <m:t>CMAX</m:t>
            </m:r>
          </m:sub>
        </m:sSub>
      </m:oMath>
      <w:r w:rsidRPr="00344B9A">
        <w:rPr>
          <w:rFonts w:eastAsia="Malgun Gothic"/>
        </w:rPr>
        <w:t xml:space="preserve">, the UE </w:t>
      </w:r>
      <w:r>
        <w:rPr>
          <w:rFonts w:eastAsia="Malgun Gothic"/>
        </w:rPr>
        <w:t>drops</w:t>
      </w:r>
      <w:r w:rsidRPr="00344B9A">
        <w:rPr>
          <w:rFonts w:eastAsia="Malgun Gothic"/>
        </w:rPr>
        <w:t xml:space="preserve"> the PSCCH</w:t>
      </w:r>
      <w:r>
        <w:rPr>
          <w:rFonts w:eastAsia="Malgun Gothic"/>
        </w:rPr>
        <w:t>/</w:t>
      </w:r>
      <w:r w:rsidRPr="00344B9A">
        <w:rPr>
          <w:rFonts w:eastAsia="Malgun Gothic"/>
        </w:rPr>
        <w:t>PSSCH</w:t>
      </w:r>
      <w:r w:rsidRPr="00765B51">
        <w:rPr>
          <w:rFonts w:eastAsia="Malgun Gothic"/>
        </w:rPr>
        <w:t xml:space="preserve"> </w:t>
      </w:r>
      <w:r>
        <w:rPr>
          <w:rFonts w:eastAsia="Malgun Gothic"/>
        </w:rPr>
        <w:t>transmission with the largest priority value</w:t>
      </w:r>
      <w:r w:rsidRPr="00344B9A">
        <w:rPr>
          <w:rFonts w:eastAsia="Malgun Gothic"/>
        </w:rPr>
        <w:t>, respectively</w:t>
      </w:r>
      <w:r>
        <w:rPr>
          <w:rFonts w:eastAsia="Malgun Gothic"/>
        </w:rPr>
        <w:t>, and repeats the procedure over the remaining PSCCH/PSSCH transmission</w:t>
      </w:r>
      <w:r w:rsidR="00662F0B">
        <w:rPr>
          <w:rFonts w:eastAsia="Malgun Gothic"/>
        </w:rPr>
        <w:t>(</w:t>
      </w:r>
      <w:r>
        <w:rPr>
          <w:rFonts w:eastAsia="Malgun Gothic"/>
        </w:rPr>
        <w:t>s</w:t>
      </w:r>
      <w:r w:rsidR="00662F0B">
        <w:rPr>
          <w:rFonts w:eastAsia="Malgun Gothic"/>
        </w:rPr>
        <w:t>)</w:t>
      </w:r>
      <w:r w:rsidRPr="00344B9A">
        <w:rPr>
          <w:rFonts w:eastAsia="Malgun Gothic"/>
        </w:rPr>
        <w:t>.</w:t>
      </w:r>
    </w:p>
    <w:p w14:paraId="5F686092" w14:textId="6A15B03C" w:rsidR="00B31340" w:rsidRPr="009B40A1" w:rsidRDefault="00B31340" w:rsidP="00B31340">
      <w:pPr>
        <w:rPr>
          <w:lang w:eastAsia="zh-CN"/>
        </w:rPr>
      </w:pPr>
      <w:r>
        <w:rPr>
          <w:lang w:eastAsia="zh-CN"/>
        </w:rPr>
        <w:t>If</w:t>
      </w:r>
      <w:r w:rsidRPr="00664EA5">
        <w:rPr>
          <w:lang w:eastAsia="zh-CN"/>
        </w:rPr>
        <w:t xml:space="preserve"> a UE would </w:t>
      </w:r>
      <w:r>
        <w:rPr>
          <w:lang w:eastAsia="zh-CN"/>
        </w:rPr>
        <w:t xml:space="preserve">simultaneously </w:t>
      </w:r>
      <w:r w:rsidRPr="00664EA5">
        <w:rPr>
          <w:lang w:eastAsia="zh-CN"/>
        </w:rPr>
        <w:t>transmit PS</w:t>
      </w:r>
      <w:r>
        <w:rPr>
          <w:lang w:eastAsia="zh-CN"/>
        </w:rPr>
        <w:t>F</w:t>
      </w:r>
      <w:r w:rsidRPr="00664EA5">
        <w:rPr>
          <w:lang w:eastAsia="zh-CN"/>
        </w:rPr>
        <w:t>CH</w:t>
      </w:r>
      <w:r>
        <w:rPr>
          <w:lang w:eastAsia="zh-CN"/>
        </w:rPr>
        <w:t xml:space="preserve">s and receive PSFCHs </w:t>
      </w:r>
      <w:r w:rsidRPr="00664EA5">
        <w:rPr>
          <w:lang w:eastAsia="zh-CN"/>
        </w:rPr>
        <w:t>on multiple carriers</w:t>
      </w:r>
      <w:r>
        <w:rPr>
          <w:lang w:eastAsia="zh-CN"/>
        </w:rPr>
        <w:t>, the UE performs the procedures in Clause 16.2.4.2 by considering all the PSFCHs for transmission and all the PSFCHs for reception in order to determine either PSFCHs to transmit or PSFCHs to receive. If</w:t>
      </w:r>
      <w:r w:rsidRPr="00664EA5">
        <w:rPr>
          <w:lang w:eastAsia="zh-CN"/>
        </w:rPr>
        <w:t xml:space="preserve"> a UE would </w:t>
      </w:r>
      <w:r>
        <w:rPr>
          <w:lang w:eastAsia="zh-CN"/>
        </w:rPr>
        <w:t xml:space="preserve">simultaneously </w:t>
      </w:r>
      <w:r w:rsidRPr="00664EA5">
        <w:rPr>
          <w:lang w:eastAsia="zh-CN"/>
        </w:rPr>
        <w:t>transmit PS</w:t>
      </w:r>
      <w:r>
        <w:rPr>
          <w:lang w:eastAsia="zh-CN"/>
        </w:rPr>
        <w:t>F</w:t>
      </w:r>
      <w:r w:rsidRPr="00664EA5">
        <w:rPr>
          <w:lang w:eastAsia="zh-CN"/>
        </w:rPr>
        <w:t>CH</w:t>
      </w:r>
      <w:r>
        <w:rPr>
          <w:lang w:eastAsia="zh-CN"/>
        </w:rPr>
        <w:t xml:space="preserve">s </w:t>
      </w:r>
      <w:r w:rsidRPr="00664EA5">
        <w:rPr>
          <w:lang w:eastAsia="zh-CN"/>
        </w:rPr>
        <w:t>on multiple carriers</w:t>
      </w:r>
      <w:r>
        <w:rPr>
          <w:lang w:eastAsia="zh-CN"/>
        </w:rPr>
        <w:t xml:space="preserve">, the </w:t>
      </w:r>
      <w:r w:rsidRPr="009B40A1">
        <w:rPr>
          <w:lang w:eastAsia="zh-CN"/>
        </w:rPr>
        <w:t xml:space="preserve">UE performs the procedures for single carrier in Clause 16.2.3 by considering all the PSFCHs for transmission using a corresponding </w:t>
      </w:r>
      <m:oMath>
        <m:sSub>
          <m:sSubPr>
            <m:ctrlPr>
              <w:rPr>
                <w:rFonts w:ascii="Cambria Math" w:hAnsi="Cambria Math"/>
                <w:lang w:eastAsia="zh-CN"/>
              </w:rPr>
            </m:ctrlPr>
          </m:sSubPr>
          <m:e>
            <m:r>
              <w:rPr>
                <w:rFonts w:ascii="Cambria Math" w:hAnsi="Cambria Math"/>
                <w:lang w:eastAsia="zh-CN"/>
              </w:rPr>
              <m:t>N</m:t>
            </m:r>
          </m:e>
          <m:sub>
            <m:r>
              <m:rPr>
                <m:sty m:val="p"/>
              </m:rPr>
              <w:rPr>
                <w:rFonts w:ascii="Cambria Math" w:hAnsi="Cambria Math"/>
                <w:lang w:eastAsia="zh-CN"/>
              </w:rPr>
              <m:t>max, PSFCH</m:t>
            </m:r>
          </m:sub>
        </m:sSub>
      </m:oMath>
      <w:r w:rsidRPr="009B40A1">
        <w:rPr>
          <w:lang w:eastAsia="zh-CN"/>
        </w:rPr>
        <w:t xml:space="preserve"> and </w:t>
      </w:r>
      <m:oMath>
        <m:sSub>
          <m:sSubPr>
            <m:ctrlPr>
              <w:rPr>
                <w:rFonts w:ascii="Cambria Math" w:eastAsiaTheme="minorEastAsia" w:hAnsi="Cambria Math"/>
              </w:rPr>
            </m:ctrlPr>
          </m:sSubPr>
          <m:e>
            <m:r>
              <w:rPr>
                <w:rFonts w:ascii="Cambria Math" w:eastAsiaTheme="minorEastAsia" w:hAnsi="Cambria Math"/>
              </w:rPr>
              <m:t>P</m:t>
            </m:r>
          </m:e>
          <m:sub>
            <m:r>
              <m:rPr>
                <m:nor/>
              </m:rPr>
              <w:rPr>
                <w:rFonts w:eastAsiaTheme="minorEastAsia"/>
              </w:rPr>
              <m:t>CMAX</m:t>
            </m:r>
          </m:sub>
        </m:sSub>
      </m:oMath>
      <w:r w:rsidRPr="009B40A1">
        <w:t xml:space="preserve"> </w:t>
      </w:r>
      <w:r w:rsidRPr="009B40A1">
        <w:rPr>
          <w:lang w:eastAsia="zh-CN"/>
        </w:rPr>
        <w:t>in order to determine PSFCHs to transmit and a corresponding power per PSFCH transmission</w:t>
      </w:r>
      <w:r w:rsidR="00342D2D" w:rsidRPr="00923770">
        <w:rPr>
          <w:lang w:eastAsia="zh-CN"/>
        </w:rPr>
        <w:t xml:space="preserve">, where </w:t>
      </w:r>
      <m:oMath>
        <m:sSub>
          <m:sSubPr>
            <m:ctrlPr>
              <w:rPr>
                <w:rFonts w:ascii="Cambria Math" w:hAnsi="Cambria Math"/>
                <w:lang w:eastAsia="zh-CN"/>
              </w:rPr>
            </m:ctrlPr>
          </m:sSubPr>
          <m:e>
            <m:r>
              <w:rPr>
                <w:rFonts w:ascii="Cambria Math" w:hAnsi="Cambria Math"/>
                <w:lang w:eastAsia="zh-CN"/>
              </w:rPr>
              <m:t>P</m:t>
            </m:r>
          </m:e>
          <m:sub>
            <m:r>
              <m:rPr>
                <m:nor/>
              </m:rPr>
              <w:rPr>
                <w:lang w:eastAsia="zh-CN"/>
              </w:rPr>
              <m:t>CMAX</m:t>
            </m:r>
          </m:sub>
        </m:sSub>
      </m:oMath>
      <w:r w:rsidR="00342D2D" w:rsidRPr="00923770">
        <w:rPr>
          <w:lang w:eastAsia="zh-CN"/>
        </w:rPr>
        <w:t xml:space="preserve"> is defin</w:t>
      </w:r>
      <w:r w:rsidR="00342D2D">
        <w:rPr>
          <w:lang w:eastAsia="zh-CN"/>
        </w:rPr>
        <w:t>ed in Clause</w:t>
      </w:r>
      <w:r w:rsidR="00342D2D" w:rsidRPr="00923770">
        <w:rPr>
          <w:lang w:eastAsia="zh-CN"/>
        </w:rPr>
        <w:t xml:space="preserve"> 6.2E.4A of [8-1, TS 38.101-1]</w:t>
      </w:r>
      <w:r w:rsidRPr="009B40A1">
        <w:rPr>
          <w:lang w:eastAsia="zh-CN"/>
        </w:rPr>
        <w:t xml:space="preserve">. The UE expects to </w:t>
      </w:r>
      <w:r>
        <w:rPr>
          <w:lang w:eastAsia="zh-CN"/>
        </w:rPr>
        <w:t xml:space="preserve">be provided a (pre)configuration such that </w:t>
      </w:r>
      <w:r w:rsidRPr="009B40A1">
        <w:rPr>
          <w:lang w:eastAsia="zh-CN"/>
        </w:rPr>
        <w:t xml:space="preserve">the PSFCH transmissions on </w:t>
      </w:r>
      <w:r>
        <w:rPr>
          <w:lang w:eastAsia="zh-CN"/>
        </w:rPr>
        <w:t xml:space="preserve">the </w:t>
      </w:r>
      <w:r w:rsidRPr="009B40A1">
        <w:rPr>
          <w:lang w:eastAsia="zh-CN"/>
        </w:rPr>
        <w:t>multiple carriers</w:t>
      </w:r>
      <w:r>
        <w:rPr>
          <w:lang w:eastAsia="zh-CN"/>
        </w:rPr>
        <w:t xml:space="preserve"> are with</w:t>
      </w:r>
      <w:r w:rsidRPr="009B40A1">
        <w:rPr>
          <w:lang w:eastAsia="zh-CN"/>
        </w:rPr>
        <w:t xml:space="preserve"> time resource </w:t>
      </w:r>
      <w:r>
        <w:rPr>
          <w:lang w:eastAsia="zh-CN"/>
        </w:rPr>
        <w:t xml:space="preserve">alignment </w:t>
      </w:r>
      <w:r w:rsidRPr="009B40A1">
        <w:rPr>
          <w:lang w:eastAsia="zh-CN"/>
        </w:rPr>
        <w:t>and a same power.</w:t>
      </w:r>
    </w:p>
    <w:p w14:paraId="424D9BDA" w14:textId="77777777" w:rsidR="00B31340" w:rsidRDefault="00B31340" w:rsidP="00B31340">
      <w:pPr>
        <w:spacing w:after="120" w:line="259" w:lineRule="auto"/>
        <w:jc w:val="both"/>
      </w:pPr>
      <w:r>
        <w:rPr>
          <w:lang w:eastAsia="zh-CN"/>
        </w:rPr>
        <w:t xml:space="preserve">A </w:t>
      </w:r>
      <w:r w:rsidRPr="009F6733">
        <w:rPr>
          <w:lang w:eastAsia="zh-CN"/>
        </w:rPr>
        <w:t xml:space="preserve">UE expects that </w:t>
      </w:r>
      <w:r w:rsidRPr="009F6733">
        <w:rPr>
          <w:i/>
          <w:lang w:eastAsia="zh-CN"/>
        </w:rPr>
        <w:t>sl-StartSymbol</w:t>
      </w:r>
      <w:r w:rsidRPr="009F6733">
        <w:rPr>
          <w:lang w:eastAsia="zh-CN"/>
        </w:rPr>
        <w:t xml:space="preserve">, </w:t>
      </w:r>
      <w:r w:rsidRPr="009F6733">
        <w:rPr>
          <w:i/>
          <w:lang w:eastAsia="zh-CN"/>
        </w:rPr>
        <w:t>sl-LengthSymbols</w:t>
      </w:r>
      <w:r w:rsidRPr="009F6733">
        <w:rPr>
          <w:lang w:eastAsia="zh-CN"/>
        </w:rPr>
        <w:t xml:space="preserve">, </w:t>
      </w:r>
      <w:r w:rsidRPr="009F6733">
        <w:rPr>
          <w:i/>
        </w:rPr>
        <w:t>cyclicPrefix</w:t>
      </w:r>
      <w:r w:rsidRPr="009F6733">
        <w:t xml:space="preserve">, and </w:t>
      </w:r>
      <w:r w:rsidRPr="009F6733">
        <w:rPr>
          <w:i/>
        </w:rPr>
        <w:t>subcarrierSpacing</w:t>
      </w:r>
      <w:r w:rsidRPr="009F6733">
        <w:t xml:space="preserve"> </w:t>
      </w:r>
      <w:r>
        <w:rPr>
          <w:lang w:eastAsia="zh-CN"/>
        </w:rPr>
        <w:t>are (pre)configured to have same</w:t>
      </w:r>
      <w:r w:rsidRPr="009F6733">
        <w:rPr>
          <w:lang w:eastAsia="zh-CN"/>
        </w:rPr>
        <w:t xml:space="preserve"> </w:t>
      </w:r>
      <w:r>
        <w:rPr>
          <w:lang w:eastAsia="zh-CN"/>
        </w:rPr>
        <w:t xml:space="preserve">respective values </w:t>
      </w:r>
      <w:r w:rsidRPr="009F6733">
        <w:rPr>
          <w:lang w:eastAsia="zh-CN"/>
        </w:rPr>
        <w:t>on multiple carriers.</w:t>
      </w:r>
    </w:p>
    <w:p w14:paraId="0E8AD026" w14:textId="77777777" w:rsidR="00682BAB" w:rsidRPr="005B0583" w:rsidRDefault="00682BAB" w:rsidP="00682BAB">
      <w:pPr>
        <w:pStyle w:val="Heading2"/>
        <w:spacing w:before="0"/>
        <w:ind w:left="1136" w:hanging="1136"/>
      </w:pPr>
      <w:bookmarkStart w:id="904" w:name="_Toc29894885"/>
      <w:bookmarkStart w:id="905" w:name="_Toc29899184"/>
      <w:bookmarkStart w:id="906" w:name="_Toc29899602"/>
      <w:bookmarkStart w:id="907" w:name="_Toc29917338"/>
      <w:bookmarkStart w:id="908" w:name="_Toc36498213"/>
      <w:bookmarkStart w:id="909" w:name="_Toc45699242"/>
      <w:bookmarkStart w:id="910" w:name="_Toc83289714"/>
      <w:bookmarkStart w:id="911" w:name="_Toc161999178"/>
      <w:r w:rsidRPr="005B0583">
        <w:t>16.3</w:t>
      </w:r>
      <w:r w:rsidRPr="005B0583">
        <w:rPr>
          <w:rFonts w:hint="eastAsia"/>
        </w:rPr>
        <w:tab/>
      </w:r>
      <w:r w:rsidRPr="005B0583">
        <w:t>UE procedure for reporting and obtaining control information in PSFCH</w:t>
      </w:r>
      <w:bookmarkEnd w:id="904"/>
      <w:bookmarkEnd w:id="905"/>
      <w:bookmarkEnd w:id="906"/>
      <w:bookmarkEnd w:id="907"/>
      <w:bookmarkEnd w:id="908"/>
      <w:bookmarkEnd w:id="909"/>
      <w:bookmarkEnd w:id="910"/>
      <w:bookmarkEnd w:id="911"/>
      <w:r w:rsidRPr="005B0583">
        <w:t xml:space="preserve"> </w:t>
      </w:r>
    </w:p>
    <w:p w14:paraId="7E5FF5BA" w14:textId="77777777" w:rsidR="00682BAB" w:rsidRPr="005B0583" w:rsidRDefault="00682BAB" w:rsidP="00682BAB">
      <w:bookmarkStart w:id="912" w:name="_Toc83289718"/>
      <w:r w:rsidRPr="005B0583">
        <w:t>Control information provided by a PSFCH transmission includes HARQ-ACK information or conflict information.</w:t>
      </w:r>
    </w:p>
    <w:p w14:paraId="4262DC0D" w14:textId="77777777" w:rsidR="00682BAB" w:rsidRPr="005B0583" w:rsidRDefault="00682BAB" w:rsidP="00682BAB">
      <w:pPr>
        <w:pStyle w:val="Heading3"/>
      </w:pPr>
      <w:bookmarkStart w:id="913" w:name="_Toc161999179"/>
      <w:r w:rsidRPr="005B0583">
        <w:lastRenderedPageBreak/>
        <w:t>16.3.0</w:t>
      </w:r>
      <w:r w:rsidRPr="005B0583">
        <w:tab/>
        <w:t>UE procedure for transmitting PSFCH</w:t>
      </w:r>
      <w:bookmarkEnd w:id="912"/>
      <w:r w:rsidRPr="005B0583">
        <w:t xml:space="preserve"> with control information</w:t>
      </w:r>
      <w:bookmarkEnd w:id="913"/>
    </w:p>
    <w:p w14:paraId="6A55C7E2" w14:textId="5385328C" w:rsidR="00E21265" w:rsidRDefault="00E21265" w:rsidP="005C0F76">
      <w:r>
        <w:t>A UE can be indicated by an SCI format scheduling a PSSCH</w:t>
      </w:r>
      <w:r w:rsidR="00C57A53">
        <w:t xml:space="preserve"> reception</w:t>
      </w:r>
      <w:r>
        <w:t xml:space="preserve"> to transmit a PSFCH with HARQ-ACK information in response to the PSSCH reception. The UE provides HARQ-ACK information that includes ACK or NACK, or only NACK.</w:t>
      </w:r>
    </w:p>
    <w:p w14:paraId="0423363B" w14:textId="77777777" w:rsidR="00682BAB" w:rsidRDefault="00E21265" w:rsidP="00682BAB">
      <w:r>
        <w:t xml:space="preserve">A UE can be provided, by </w:t>
      </w:r>
      <w:r w:rsidR="00D74B66">
        <w:rPr>
          <w:i/>
          <w:iCs/>
        </w:rPr>
        <w:t>sl-</w:t>
      </w:r>
      <w:r w:rsidR="00D74B66" w:rsidRPr="00386496">
        <w:rPr>
          <w:i/>
        </w:rPr>
        <w:t>PSFCH</w:t>
      </w:r>
      <w:r w:rsidR="00D74B66">
        <w:rPr>
          <w:i/>
        </w:rPr>
        <w:t>-Period</w:t>
      </w:r>
      <w:r>
        <w:t xml:space="preserve">, a number of slots in a resource pool for a period of PSFCH transmission occasion resources. If the number is zero, PSFCH transmissions </w:t>
      </w:r>
      <w:r w:rsidR="00C57A53">
        <w:t xml:space="preserve">from the UE </w:t>
      </w:r>
      <w:r>
        <w:t>in the resource pool are disabled.</w:t>
      </w:r>
    </w:p>
    <w:p w14:paraId="77E21692" w14:textId="6164C6A0" w:rsidR="00E21265" w:rsidRDefault="00682BAB" w:rsidP="00682BAB">
      <w:r>
        <w:t xml:space="preserve">A UE can be enabled, by </w:t>
      </w:r>
      <w:r w:rsidR="002B1778" w:rsidRPr="00017EB8">
        <w:rPr>
          <w:i/>
          <w:iCs/>
        </w:rPr>
        <w:t>sl-</w:t>
      </w:r>
      <w:r w:rsidR="002B1778">
        <w:rPr>
          <w:i/>
          <w:iCs/>
        </w:rPr>
        <w:t>I</w:t>
      </w:r>
      <w:r w:rsidRPr="005B0583">
        <w:rPr>
          <w:i/>
        </w:rPr>
        <w:t>nterUE</w:t>
      </w:r>
      <w:r w:rsidR="002B1778">
        <w:rPr>
          <w:i/>
        </w:rPr>
        <w:t>-</w:t>
      </w:r>
      <w:r w:rsidRPr="005B0583">
        <w:rPr>
          <w:i/>
        </w:rPr>
        <w:t>CoordinationScheme2</w:t>
      </w:r>
      <w:r w:rsidRPr="005B0583">
        <w:t xml:space="preserve">, </w:t>
      </w:r>
      <w:r>
        <w:t>to transmit a PSFCH with conflict information</w:t>
      </w:r>
      <w:r w:rsidRPr="002B77DB">
        <w:t xml:space="preserve"> </w:t>
      </w:r>
      <w:r>
        <w:t>in a resource pool. The UE can determine, based on an indication by a SCI format 1-A, a set of resources that includes one or more slots and resource blocks that are reserved for PSSCH transmission. If the UE determines a conflict for a reserved resource for PSSCH transmission, the UE provides conflict information in a PSFCH.</w:t>
      </w:r>
      <w:r w:rsidR="00E21265">
        <w:t xml:space="preserve"> </w:t>
      </w:r>
    </w:p>
    <w:p w14:paraId="3E279F33" w14:textId="3BCC9BA2" w:rsidR="00D74B66" w:rsidRPr="00BD303E" w:rsidRDefault="00D74B66" w:rsidP="00D74B66">
      <w:pPr>
        <w:rPr>
          <w:rFonts w:eastAsiaTheme="minorEastAsia"/>
          <w:i/>
        </w:rPr>
      </w:pPr>
      <w:r w:rsidRPr="00227C3B">
        <w:rPr>
          <w:rFonts w:eastAsiaTheme="minorEastAsia"/>
        </w:rPr>
        <w:t xml:space="preserve">A UE expects </w:t>
      </w:r>
      <w:r>
        <w:rPr>
          <w:rFonts w:eastAsiaTheme="minorEastAsia"/>
        </w:rPr>
        <w:t xml:space="preserve">that </w:t>
      </w:r>
      <w:r w:rsidRPr="00227C3B">
        <w:rPr>
          <w:rFonts w:eastAsiaTheme="minorEastAsia"/>
        </w:rPr>
        <w:t xml:space="preserve">a slot </w:t>
      </w:r>
      <m:oMath>
        <m:sSubSup>
          <m:sSubSupPr>
            <m:ctrlPr>
              <w:rPr>
                <w:rFonts w:ascii="Cambria Math" w:eastAsia="Malgun Gothic" w:hAnsi="Cambria Math"/>
                <w:i/>
              </w:rPr>
            </m:ctrlPr>
          </m:sSubSupPr>
          <m:e>
            <m:r>
              <w:rPr>
                <w:rFonts w:ascii="Cambria Math" w:eastAsia="Malgun Gothic" w:hAnsi="Cambria Math"/>
              </w:rPr>
              <m:t>t'</m:t>
            </m:r>
          </m:e>
          <m:sub>
            <m:r>
              <w:rPr>
                <w:rFonts w:ascii="Cambria Math" w:eastAsia="Malgun Gothic" w:hAnsi="Cambria Math"/>
              </w:rPr>
              <m:t>k</m:t>
            </m:r>
          </m:sub>
          <m:sup>
            <m:r>
              <w:rPr>
                <w:rFonts w:ascii="Cambria Math" w:eastAsia="Malgun Gothic" w:hAnsi="Cambria Math"/>
              </w:rPr>
              <m:t>SL</m:t>
            </m:r>
          </m:sup>
        </m:sSubSup>
      </m:oMath>
      <w:r w:rsidRPr="00227C3B">
        <w:rPr>
          <w:rFonts w:eastAsiaTheme="minorEastAsia" w:hint="eastAsia"/>
        </w:rPr>
        <w:t xml:space="preserve"> </w:t>
      </w:r>
      <m:oMath>
        <m:r>
          <w:rPr>
            <w:rFonts w:ascii="Cambria Math" w:hAnsi="Cambria Math"/>
            <w:lang w:val="x-none"/>
          </w:rPr>
          <m:t>(0≤k&lt;</m:t>
        </m:r>
        <m:sSub>
          <m:sSubPr>
            <m:ctrlPr>
              <w:rPr>
                <w:rFonts w:ascii="Cambria Math" w:eastAsia="Malgun Gothic" w:hAnsi="Cambria Math"/>
                <w:i/>
              </w:rPr>
            </m:ctrlPr>
          </m:sSubPr>
          <m:e>
            <m:r>
              <w:rPr>
                <w:rFonts w:ascii="Cambria Math" w:eastAsia="Malgun Gothic" w:hAnsi="Cambria Math"/>
              </w:rPr>
              <m:t>T'</m:t>
            </m:r>
          </m:e>
          <m:sub>
            <m:r>
              <w:rPr>
                <w:rFonts w:ascii="Cambria Math" w:eastAsia="Malgun Gothic" w:hAnsi="Cambria Math"/>
              </w:rPr>
              <m:t>max</m:t>
            </m:r>
          </m:sub>
        </m:sSub>
      </m:oMath>
      <w:r w:rsidRPr="00227C3B">
        <w:rPr>
          <w:rFonts w:eastAsiaTheme="minorEastAsia"/>
        </w:rPr>
        <w:t xml:space="preserve">) has </w:t>
      </w:r>
      <w:r>
        <w:rPr>
          <w:rFonts w:eastAsiaTheme="minorEastAsia"/>
        </w:rPr>
        <w:t xml:space="preserve">a </w:t>
      </w:r>
      <w:r w:rsidRPr="00227C3B">
        <w:rPr>
          <w:rFonts w:eastAsiaTheme="minorEastAsia"/>
        </w:rPr>
        <w:t xml:space="preserve">PSFCH transmission occasion resource if </w:t>
      </w:r>
      <m:oMath>
        <m:r>
          <w:rPr>
            <w:rFonts w:ascii="Cambria Math" w:eastAsiaTheme="minorHAnsi" w:hAnsiTheme="minorHAnsi" w:cstheme="minorBidi"/>
          </w:rPr>
          <m:t xml:space="preserve">k </m:t>
        </m:r>
        <m:r>
          <m:rPr>
            <m:sty m:val="p"/>
          </m:rPr>
          <w:rPr>
            <w:rFonts w:ascii="Cambria Math" w:eastAsiaTheme="minorHAnsi" w:hAnsiTheme="minorHAnsi" w:cstheme="minorBidi"/>
          </w:rPr>
          <m:t xml:space="preserve">mod </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r>
          <m:rPr>
            <m:sty m:val="p"/>
          </m:rPr>
          <w:rPr>
            <w:rFonts w:ascii="Cambria Math" w:eastAsiaTheme="minorEastAsia" w:hAnsi="Cambria Math"/>
          </w:rPr>
          <m:t>=0</m:t>
        </m:r>
      </m:oMath>
      <w:r w:rsidRPr="00227C3B">
        <w:rPr>
          <w:rFonts w:eastAsiaTheme="minorEastAsia"/>
        </w:rPr>
        <w:t xml:space="preserve">, where </w:t>
      </w:r>
      <m:oMath>
        <m:sSubSup>
          <m:sSubSupPr>
            <m:ctrlPr>
              <w:rPr>
                <w:rFonts w:ascii="Cambria Math" w:eastAsia="Malgun Gothic" w:hAnsi="Cambria Math"/>
                <w:i/>
              </w:rPr>
            </m:ctrlPr>
          </m:sSubSupPr>
          <m:e>
            <m:r>
              <w:rPr>
                <w:rFonts w:ascii="Cambria Math" w:eastAsia="Malgun Gothic" w:hAnsi="Cambria Math"/>
              </w:rPr>
              <m:t>t'</m:t>
            </m:r>
          </m:e>
          <m:sub>
            <m:r>
              <w:rPr>
                <w:rFonts w:ascii="Cambria Math" w:eastAsia="Malgun Gothic" w:hAnsi="Cambria Math"/>
              </w:rPr>
              <m:t>k</m:t>
            </m:r>
          </m:sub>
          <m:sup>
            <m:r>
              <w:rPr>
                <w:rFonts w:ascii="Cambria Math" w:eastAsia="Malgun Gothic" w:hAnsi="Cambria Math"/>
              </w:rPr>
              <m:t>SL</m:t>
            </m:r>
          </m:sup>
        </m:sSubSup>
      </m:oMath>
      <w:r w:rsidRPr="00227C3B">
        <w:rPr>
          <w:rFonts w:eastAsiaTheme="minorEastAsia" w:hint="eastAsia"/>
        </w:rPr>
        <w:t xml:space="preserve"> is defined in </w:t>
      </w:r>
      <w:r w:rsidRPr="00227C3B">
        <w:rPr>
          <w:rFonts w:eastAsiaTheme="minorEastAsia"/>
        </w:rPr>
        <w:t>[6, TS 38.214],</w:t>
      </w:r>
      <w:r>
        <w:rPr>
          <w:rFonts w:eastAsiaTheme="minorEastAsia"/>
        </w:rPr>
        <w:t xml:space="preserve"> </w:t>
      </w:r>
      <m:oMath>
        <m:sSub>
          <m:sSubPr>
            <m:ctrlPr>
              <w:rPr>
                <w:rFonts w:ascii="Cambria Math" w:eastAsia="Malgun Gothic" w:hAnsi="Cambria Math"/>
                <w:i/>
              </w:rPr>
            </m:ctrlPr>
          </m:sSubPr>
          <m:e>
            <m:r>
              <w:rPr>
                <w:rFonts w:ascii="Cambria Math" w:eastAsia="Malgun Gothic" w:hAnsi="Cambria Math"/>
              </w:rPr>
              <m:t>T'</m:t>
            </m:r>
          </m:e>
          <m:sub>
            <m:r>
              <w:rPr>
                <w:rFonts w:ascii="Cambria Math" w:eastAsia="Malgun Gothic" w:hAnsi="Cambria Math"/>
              </w:rPr>
              <m:t>max</m:t>
            </m:r>
          </m:sub>
        </m:sSub>
      </m:oMath>
      <w:r w:rsidRPr="00227C3B">
        <w:rPr>
          <w:rFonts w:eastAsiaTheme="minorEastAsia"/>
          <w:lang w:val="x-none"/>
        </w:rPr>
        <w:t xml:space="preserve"> </w:t>
      </w:r>
      <w:r w:rsidRPr="00227C3B">
        <w:rPr>
          <w:rFonts w:eastAsiaTheme="minorEastAsia" w:hint="eastAsia"/>
        </w:rPr>
        <w:t xml:space="preserve">is </w:t>
      </w:r>
      <w:r>
        <w:rPr>
          <w:rFonts w:eastAsiaTheme="minorEastAsia"/>
        </w:rPr>
        <w:t>a</w:t>
      </w:r>
      <w:r w:rsidRPr="00227C3B">
        <w:rPr>
          <w:rFonts w:eastAsiaTheme="minorEastAsia" w:hint="eastAsia"/>
        </w:rPr>
        <w:t xml:space="preserve"> number of slots </w:t>
      </w:r>
      <w:r>
        <w:rPr>
          <w:rFonts w:eastAsiaTheme="minorEastAsia"/>
        </w:rPr>
        <w:t>that</w:t>
      </w:r>
      <w:r w:rsidRPr="00227C3B">
        <w:rPr>
          <w:rFonts w:eastAsiaTheme="minorEastAsia" w:hint="eastAsia"/>
        </w:rPr>
        <w:t xml:space="preserve"> belong </w:t>
      </w:r>
      <w:r w:rsidRPr="00227C3B">
        <w:rPr>
          <w:rFonts w:eastAsiaTheme="minorEastAsia"/>
        </w:rPr>
        <w:t>to the resource pool within 10240</w:t>
      </w:r>
      <w:r>
        <w:rPr>
          <w:rFonts w:eastAsiaTheme="minorEastAsia"/>
        </w:rPr>
        <w:t xml:space="preserve"> </w:t>
      </w:r>
      <w:r w:rsidRPr="00227C3B">
        <w:rPr>
          <w:rFonts w:eastAsiaTheme="minorEastAsia"/>
        </w:rPr>
        <w:t>msec according to</w:t>
      </w:r>
      <w:r w:rsidRPr="00BD303E">
        <w:rPr>
          <w:rFonts w:eastAsiaTheme="minorEastAsia" w:hint="eastAsia"/>
        </w:rPr>
        <w:t xml:space="preserve"> </w:t>
      </w:r>
      <w:r w:rsidRPr="00BD303E">
        <w:rPr>
          <w:rFonts w:eastAsiaTheme="minorEastAsia"/>
        </w:rPr>
        <w:t>[6, TS 38.214]</w:t>
      </w:r>
      <w:r>
        <w:rPr>
          <w:rFonts w:eastAsiaTheme="minorEastAsia"/>
        </w:rPr>
        <w:t xml:space="preserve">, and </w:t>
      </w:r>
      <m:oMath>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oMath>
      <w:r>
        <w:rPr>
          <w:rFonts w:eastAsiaTheme="minorEastAsia"/>
        </w:rPr>
        <w:t xml:space="preserve"> is provided by </w:t>
      </w:r>
      <w:r>
        <w:rPr>
          <w:i/>
          <w:iCs/>
        </w:rPr>
        <w:t>sl-</w:t>
      </w:r>
      <w:r w:rsidRPr="00386496">
        <w:rPr>
          <w:i/>
        </w:rPr>
        <w:t>PSFCH</w:t>
      </w:r>
      <w:r>
        <w:rPr>
          <w:i/>
        </w:rPr>
        <w:t>-Period</w:t>
      </w:r>
      <w:r w:rsidRPr="00BD303E">
        <w:rPr>
          <w:rFonts w:eastAsiaTheme="minorEastAsia"/>
        </w:rPr>
        <w:t>.</w:t>
      </w:r>
    </w:p>
    <w:p w14:paraId="3788C757" w14:textId="13AF6722" w:rsidR="00E21265" w:rsidRPr="00F80D33" w:rsidRDefault="00E21265">
      <w:r>
        <w:t xml:space="preserve">A UE may be indicated by higher layers to not transmit a PSFCH </w:t>
      </w:r>
      <w:r w:rsidR="00682BAB" w:rsidRPr="005B0583">
        <w:t xml:space="preserve">that includes HARQ-ACK information </w:t>
      </w:r>
      <w:r>
        <w:t>in response to a PSSCH reception [</w:t>
      </w:r>
      <w:r w:rsidRPr="00326D6E">
        <w:rPr>
          <w:rFonts w:eastAsia="Malgun Gothic"/>
        </w:rPr>
        <w:t>11, TS 38.321]</w:t>
      </w:r>
      <w:r>
        <w:t>.</w:t>
      </w:r>
    </w:p>
    <w:p w14:paraId="15542874" w14:textId="1D2F21CD" w:rsidR="00E21265" w:rsidRDefault="00E21265" w:rsidP="00E21265">
      <w:r>
        <w:t xml:space="preserve">If a UE receives a PSSCH in a resource pool and </w:t>
      </w:r>
      <w:r w:rsidR="003B5163" w:rsidRPr="00EC3083">
        <w:t>the HARQ feedback enabled/disabled indicator</w:t>
      </w:r>
      <w:r w:rsidRPr="005744F2">
        <w:t xml:space="preserve"> field</w:t>
      </w:r>
      <w:r>
        <w:t xml:space="preserve"> in a</w:t>
      </w:r>
      <w:r w:rsidR="003B5163">
        <w:t>n associated</w:t>
      </w:r>
      <w:r>
        <w:t xml:space="preserve"> SCI format </w:t>
      </w:r>
      <w:r w:rsidR="00CF3D85" w:rsidRPr="007053C7">
        <w:t>2-A/2-B/2-C</w:t>
      </w:r>
      <w:r w:rsidR="003B5163">
        <w:t xml:space="preserve"> has value 1</w:t>
      </w:r>
      <w:r>
        <w:t xml:space="preserve"> [5, TS 38.212]</w:t>
      </w:r>
      <w:r w:rsidRPr="00B916EC">
        <w:t>, the UE provide</w:t>
      </w:r>
      <w:r>
        <w:t>s the HARQ-ACK information in a PSF</w:t>
      </w:r>
      <w:r w:rsidRPr="00B916EC">
        <w:t xml:space="preserve">CH transmission </w:t>
      </w:r>
      <w:r>
        <w:t xml:space="preserve">in the resource pool. </w:t>
      </w:r>
      <w:r w:rsidR="000C6EB7" w:rsidRPr="0059124C">
        <w:t>For operation without shared spectrum channel access, the</w:t>
      </w:r>
      <w:r>
        <w:t xml:space="preserve"> UE transmits the PSFCH </w:t>
      </w:r>
      <w:r w:rsidRPr="00B916EC">
        <w:t xml:space="preserve">in </w:t>
      </w:r>
      <w:r>
        <w:t xml:space="preserve">a first </w:t>
      </w:r>
      <w:r w:rsidRPr="00B916EC">
        <w:t>slot</w:t>
      </w:r>
      <w:r>
        <w:t xml:space="preserve"> that includes PSFCH resources and is at least a number of slots, provided by </w:t>
      </w:r>
      <w:r w:rsidR="00D74B66">
        <w:rPr>
          <w:i/>
          <w:iCs/>
        </w:rPr>
        <w:t>sl-</w:t>
      </w:r>
      <w:r w:rsidR="00D74B66" w:rsidRPr="00B343DC">
        <w:rPr>
          <w:i/>
        </w:rPr>
        <w:t>MinTimeGapPSFCH</w:t>
      </w:r>
      <w:r>
        <w:t xml:space="preserve">, of the resource pool after a last slot of the PSSCH reception. </w:t>
      </w:r>
      <w:r w:rsidR="000C6EB7" w:rsidRPr="0059124C">
        <w:t>For operation with shared spectrum channel access, the UE can attempt to transmit the PSFCH over a number of</w:t>
      </w:r>
      <w:r w:rsidR="000C6EB7">
        <w:t xml:space="preserve"> first</w:t>
      </w:r>
      <w:r w:rsidR="000C6EB7" w:rsidRPr="0059124C">
        <w:t xml:space="preserv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occasion</m:t>
            </m:r>
          </m:sub>
          <m:sup>
            <m:r>
              <m:rPr>
                <m:sty m:val="p"/>
              </m:rPr>
              <w:rPr>
                <w:rFonts w:ascii="Cambria Math" w:hAnsi="Cambria Math"/>
              </w:rPr>
              <m:t>PSFCH</m:t>
            </m:r>
          </m:sup>
        </m:sSubSup>
      </m:oMath>
      <w:r w:rsidR="000C6EB7" w:rsidRPr="0059124C">
        <w:t xml:space="preserve"> slots, provided by </w:t>
      </w:r>
      <w:r w:rsidR="00662F0B">
        <w:rPr>
          <w:i/>
        </w:rPr>
        <w:t>sl-NumPSFCH-Occasions</w:t>
      </w:r>
      <w:r w:rsidR="00B31340">
        <w:rPr>
          <w:i/>
        </w:rPr>
        <w:t xml:space="preserve"> </w:t>
      </w:r>
      <w:r w:rsidR="00B31340" w:rsidRPr="004041D7">
        <w:t>and indexed from 1 to</w:t>
      </w:r>
      <w:r w:rsidR="00B31340">
        <w:rPr>
          <w:i/>
        </w:rPr>
        <w:t xml:space="preserv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occasion</m:t>
            </m:r>
          </m:sub>
          <m:sup>
            <m:r>
              <m:rPr>
                <m:sty m:val="p"/>
              </m:rPr>
              <w:rPr>
                <w:rFonts w:ascii="Cambria Math" w:hAnsi="Cambria Math"/>
              </w:rPr>
              <m:t>PSFCH</m:t>
            </m:r>
          </m:sup>
        </m:sSubSup>
      </m:oMath>
      <w:r w:rsidR="00B31340">
        <w:rPr>
          <w:iCs/>
        </w:rPr>
        <w:t xml:space="preserve"> </w:t>
      </w:r>
      <w:r w:rsidR="00B31340">
        <w:t>in ascending order in time</w:t>
      </w:r>
      <w:r w:rsidR="000C6EB7" w:rsidRPr="0059124C">
        <w:t xml:space="preserve">, that </w:t>
      </w:r>
      <w:r w:rsidR="000C6EB7" w:rsidRPr="00A12FA9">
        <w:t xml:space="preserve">include PSFCH resources and are at least a number of slots, provided by </w:t>
      </w:r>
      <w:r w:rsidR="000C6EB7" w:rsidRPr="00A12FA9">
        <w:rPr>
          <w:i/>
          <w:iCs/>
        </w:rPr>
        <w:t>sl-</w:t>
      </w:r>
      <w:r w:rsidR="000C6EB7" w:rsidRPr="00A12FA9">
        <w:rPr>
          <w:i/>
        </w:rPr>
        <w:t>MinTimeGapPSFCH</w:t>
      </w:r>
      <w:r w:rsidR="000C6EB7" w:rsidRPr="00A12FA9">
        <w:t xml:space="preserve">, of the resource pool after a last slot of the PSSCH reception. The UE attempts to transmit </w:t>
      </w:r>
      <w:r w:rsidR="000C6EB7">
        <w:t xml:space="preserve">PSFCH </w:t>
      </w:r>
      <w:r w:rsidR="000C6EB7" w:rsidRPr="00A12FA9">
        <w:t xml:space="preserve">in a slot only when the UE fails to transmit </w:t>
      </w:r>
      <w:r w:rsidR="000C6EB7">
        <w:t>PSFCH associated with the PSSCH</w:t>
      </w:r>
      <w:r w:rsidR="000C6EB7" w:rsidRPr="00A12FA9">
        <w:t xml:space="preserve"> in all previous slots</w:t>
      </w:r>
      <w:r w:rsidR="000C6EB7">
        <w:t xml:space="preserve"> for PSFCH </w:t>
      </w:r>
      <w:r w:rsidR="000C6EB7" w:rsidRPr="00A12FA9">
        <w:t>within the</w:t>
      </w:r>
      <w:r w:rsidR="000C6EB7" w:rsidRPr="00A12FA9">
        <w:rPr>
          <w:rFonts w:hint="eastAsia"/>
          <w:lang w:eastAsia="zh-CN"/>
        </w:rPr>
        <w:t xml:space="preserv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occasion</m:t>
            </m:r>
          </m:sub>
          <m:sup>
            <m:r>
              <m:rPr>
                <m:sty m:val="p"/>
              </m:rPr>
              <w:rPr>
                <w:rFonts w:ascii="Cambria Math" w:hAnsi="Cambria Math"/>
              </w:rPr>
              <m:t>PSFCH</m:t>
            </m:r>
          </m:sup>
        </m:sSubSup>
      </m:oMath>
      <w:r w:rsidR="000C6EB7" w:rsidRPr="00A12FA9">
        <w:t xml:space="preserve"> slots.</w:t>
      </w:r>
    </w:p>
    <w:p w14:paraId="0E928C6C" w14:textId="14BFEC4A" w:rsidR="00257C58" w:rsidRDefault="000C6EB7" w:rsidP="00257C58">
      <w:r w:rsidRPr="0059124C">
        <w:t>For operation without shared spectrum channel access, a</w:t>
      </w:r>
      <w:r w:rsidR="00E21265">
        <w:t xml:space="preserve"> UE is provided by </w:t>
      </w:r>
      <w:r w:rsidR="00D74B66" w:rsidRPr="00617960">
        <w:rPr>
          <w:i/>
          <w:iCs/>
        </w:rPr>
        <w:t>sl-PSFCH-RB-Set</w:t>
      </w:r>
      <w:r w:rsidR="00E21265">
        <w:t xml:space="preserve"> a set of </w:t>
      </w:r>
      <m:oMath>
        <m:sSubSup>
          <m:sSubSupPr>
            <m:ctrlPr>
              <w:rPr>
                <w:rFonts w:ascii="Cambria Math" w:hAnsi="Cambria Math"/>
                <w:i/>
              </w:rPr>
            </m:ctrlPr>
          </m:sSubSupPr>
          <m:e>
            <m:r>
              <w:rPr>
                <w:rFonts w:ascii="Cambria Math"/>
              </w:rPr>
              <m:t>M</m:t>
            </m:r>
          </m:e>
          <m:sub>
            <m:r>
              <m:rPr>
                <m:nor/>
              </m:rPr>
              <w:rPr>
                <w:rFonts w:ascii="Cambria Math"/>
              </w:rPr>
              <m:t xml:space="preserve">PRB, </m:t>
            </m:r>
            <m:r>
              <m:rPr>
                <m:sty m:val="p"/>
              </m:rPr>
              <w:rPr>
                <w:rFonts w:ascii="Cambria Math"/>
              </w:rPr>
              <m:t>set</m:t>
            </m:r>
            <m:ctrlPr>
              <w:rPr>
                <w:rFonts w:ascii="Cambria Math" w:hAnsi="Cambria Math"/>
              </w:rPr>
            </m:ctrlPr>
          </m:sub>
          <m:sup>
            <m:r>
              <m:rPr>
                <m:nor/>
              </m:rPr>
              <w:rPr>
                <w:rFonts w:ascii="Cambria Math"/>
              </w:rPr>
              <m:t>PSFCH</m:t>
            </m:r>
            <m:ctrlPr>
              <w:rPr>
                <w:rFonts w:ascii="Cambria Math" w:hAnsi="Cambria Math"/>
              </w:rPr>
            </m:ctrlPr>
          </m:sup>
        </m:sSubSup>
      </m:oMath>
      <w:r w:rsidR="00E21265">
        <w:t xml:space="preserve"> PRBs in a resource pool for PSFCH transmission </w:t>
      </w:r>
      <w:r w:rsidR="00682BAB" w:rsidRPr="005B0583">
        <w:t xml:space="preserve">with HARQ-ACK information </w:t>
      </w:r>
      <w:r w:rsidR="00E21265">
        <w:t xml:space="preserve">in a PRB of the resource pool. </w:t>
      </w:r>
      <w:r w:rsidR="00682BAB" w:rsidRPr="005B0583">
        <w:t xml:space="preserve">A UE can be provided by </w:t>
      </w:r>
      <w:r w:rsidR="002B1778">
        <w:rPr>
          <w:i/>
          <w:iCs/>
        </w:rPr>
        <w:t>sl-RB-SetPSFCH</w:t>
      </w:r>
      <w:r w:rsidR="00682BAB" w:rsidRPr="005B0583">
        <w:t xml:space="preserve"> a set of </w:t>
      </w:r>
      <m:oMath>
        <m:sSubSup>
          <m:sSubSupPr>
            <m:ctrlPr>
              <w:rPr>
                <w:rFonts w:ascii="Cambria Math" w:hAnsi="Cambria Math"/>
                <w:i/>
              </w:rPr>
            </m:ctrlPr>
          </m:sSubSupPr>
          <m:e>
            <m:r>
              <w:rPr>
                <w:rFonts w:ascii="Cambria Math"/>
              </w:rPr>
              <m:t>M</m:t>
            </m:r>
          </m:e>
          <m:sub>
            <m:r>
              <m:rPr>
                <m:nor/>
              </m:rPr>
              <w:rPr>
                <w:rFonts w:ascii="Cambria Math"/>
              </w:rPr>
              <m:t xml:space="preserve">PRB, </m:t>
            </m:r>
            <m:r>
              <m:rPr>
                <m:sty m:val="p"/>
              </m:rPr>
              <w:rPr>
                <w:rFonts w:ascii="Cambria Math"/>
              </w:rPr>
              <m:t>set</m:t>
            </m:r>
            <m:ctrlPr>
              <w:rPr>
                <w:rFonts w:ascii="Cambria Math" w:hAnsi="Cambria Math"/>
              </w:rPr>
            </m:ctrlPr>
          </m:sub>
          <m:sup>
            <m:r>
              <m:rPr>
                <m:nor/>
              </m:rPr>
              <w:rPr>
                <w:rFonts w:ascii="Cambria Math"/>
              </w:rPr>
              <m:t>PSFCH</m:t>
            </m:r>
            <m:ctrlPr>
              <w:rPr>
                <w:rFonts w:ascii="Cambria Math" w:hAnsi="Cambria Math"/>
              </w:rPr>
            </m:ctrlPr>
          </m:sup>
        </m:sSubSup>
      </m:oMath>
      <w:r w:rsidR="00682BAB" w:rsidRPr="005B0583">
        <w:t xml:space="preserve"> PRBs in a resource pool for PSFCH transmission with conflict information in a PRB of the resource pool. </w:t>
      </w:r>
      <w:r w:rsidR="00CF3D85" w:rsidRPr="007053C7">
        <w:rPr>
          <w:bCs/>
          <w:szCs w:val="21"/>
        </w:rPr>
        <w:t xml:space="preserve">A UE expects that different PRBs are (pre)configured for conflict information and HARQ-ACK information. </w:t>
      </w:r>
      <w:r w:rsidR="00E21265">
        <w:t xml:space="preserve">For a number of </w:t>
      </w:r>
      <m:oMath>
        <m:sSub>
          <m:sSubPr>
            <m:ctrlPr>
              <w:rPr>
                <w:rFonts w:ascii="Cambria Math" w:hAnsi="Cambria Math"/>
                <w:i/>
              </w:rPr>
            </m:ctrlPr>
          </m:sSubPr>
          <m:e>
            <m:r>
              <w:rPr>
                <w:rFonts w:ascii="Cambria Math" w:hAnsi="Cambria Math"/>
              </w:rPr>
              <m:t>N</m:t>
            </m:r>
          </m:e>
          <m:sub>
            <m:r>
              <m:rPr>
                <m:nor/>
              </m:rPr>
              <m:t>sub</m:t>
            </m:r>
            <m:r>
              <m:rPr>
                <m:nor/>
              </m:rPr>
              <w:rPr>
                <w:rFonts w:ascii="Cambria Math"/>
              </w:rPr>
              <m:t>ch</m:t>
            </m:r>
            <m:ctrlPr>
              <w:rPr>
                <w:rFonts w:ascii="Cambria Math" w:hAnsi="Cambria Math"/>
              </w:rPr>
            </m:ctrlPr>
          </m:sub>
        </m:sSub>
      </m:oMath>
      <w:r w:rsidR="00E21265">
        <w:t xml:space="preserve"> sub-channels for the resource pool, provided by </w:t>
      </w:r>
      <w:r w:rsidR="00B227FA">
        <w:rPr>
          <w:i/>
          <w:iCs/>
        </w:rPr>
        <w:t>sl-</w:t>
      </w:r>
      <w:r w:rsidR="00B227FA">
        <w:rPr>
          <w:i/>
        </w:rPr>
        <w:t>N</w:t>
      </w:r>
      <w:r w:rsidR="00B227FA" w:rsidRPr="009429C7">
        <w:rPr>
          <w:i/>
        </w:rPr>
        <w:t>umSubchannel</w:t>
      </w:r>
      <w:r w:rsidR="00E21265">
        <w:t>, and a number of PSSCH slots associated with a PSFCH slot</w:t>
      </w:r>
      <w:r w:rsidR="00B227FA">
        <w:t xml:space="preserve"> that</w:t>
      </w:r>
      <w:r w:rsidR="00B227FA" w:rsidRPr="00BD303E">
        <w:t xml:space="preserve"> </w:t>
      </w:r>
      <w:r w:rsidR="00B227FA" w:rsidRPr="00B81201">
        <w:t xml:space="preserve">is less than or equal to </w:t>
      </w:r>
      <m:oMath>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oMath>
      <w:r w:rsidR="00E21265">
        <w:t xml:space="preserve">, the UE allocates the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i+j⋅</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e>
            </m:d>
            <m:r>
              <w:rPr>
                <w:rFonts w:ascii="Cambria Math" w:hAnsi="Cambria Math"/>
              </w:rPr>
              <m:t>⋅</m:t>
            </m:r>
            <m:sSubSup>
              <m:sSubSupPr>
                <m:ctrlPr>
                  <w:rPr>
                    <w:rFonts w:ascii="Cambria Math" w:hAnsi="Cambria Math"/>
                    <w:i/>
                  </w:rPr>
                </m:ctrlPr>
              </m:sSubSupPr>
              <m:e>
                <m:r>
                  <w:rPr>
                    <w:rFonts w:ascii="Cambria Math"/>
                  </w:rPr>
                  <m:t>M</m:t>
                </m:r>
              </m:e>
              <m:sub>
                <m:r>
                  <m:rPr>
                    <m:nor/>
                  </m:rPr>
                  <w:rPr>
                    <w:rFonts w:ascii="Cambria Math"/>
                  </w:rPr>
                  <m:t xml:space="preserve">subch, </m:t>
                </m:r>
                <m:r>
                  <m:rPr>
                    <m:sty m:val="p"/>
                  </m:rPr>
                  <w:rPr>
                    <w:rFonts w:ascii="Cambria Math"/>
                  </w:rPr>
                  <m:t>slot</m:t>
                </m:r>
                <m:ctrlPr>
                  <w:rPr>
                    <w:rFonts w:ascii="Cambria Math" w:hAnsi="Cambria Math"/>
                  </w:rPr>
                </m:ctrlPr>
              </m:sub>
              <m:sup>
                <m:r>
                  <m:rPr>
                    <m:nor/>
                  </m:rPr>
                  <w:rPr>
                    <w:rFonts w:ascii="Cambria Math"/>
                  </w:rPr>
                  <m:t>PSFCH</m:t>
                </m:r>
                <m:ctrlPr>
                  <w:rPr>
                    <w:rFonts w:ascii="Cambria Math" w:hAnsi="Cambria Math"/>
                  </w:rPr>
                </m:ctrlPr>
              </m:sup>
            </m:sSubSup>
            <m:r>
              <w:rPr>
                <w:rFonts w:ascii="Cambria Math" w:hAnsi="Cambria Math"/>
              </w:rPr>
              <m:t xml:space="preserve">, </m:t>
            </m:r>
            <m:d>
              <m:dPr>
                <m:ctrlPr>
                  <w:rPr>
                    <w:rFonts w:ascii="Cambria Math" w:hAnsi="Cambria Math"/>
                    <w:i/>
                  </w:rPr>
                </m:ctrlPr>
              </m:dPr>
              <m:e>
                <m:r>
                  <w:rPr>
                    <w:rFonts w:ascii="Cambria Math" w:hAnsi="Cambria Math"/>
                  </w:rPr>
                  <m:t>i+1+j⋅</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e>
            </m:d>
            <m:r>
              <w:rPr>
                <w:rFonts w:ascii="Cambria Math" w:hAnsi="Cambria Math"/>
              </w:rPr>
              <m:t>⋅</m:t>
            </m:r>
            <m:sSubSup>
              <m:sSubSupPr>
                <m:ctrlPr>
                  <w:rPr>
                    <w:rFonts w:ascii="Cambria Math" w:hAnsi="Cambria Math"/>
                    <w:i/>
                  </w:rPr>
                </m:ctrlPr>
              </m:sSubSupPr>
              <m:e>
                <m:r>
                  <w:rPr>
                    <w:rFonts w:ascii="Cambria Math"/>
                  </w:rPr>
                  <m:t>M</m:t>
                </m:r>
              </m:e>
              <m:sub>
                <m:r>
                  <m:rPr>
                    <m:nor/>
                  </m:rPr>
                  <w:rPr>
                    <w:rFonts w:ascii="Cambria Math"/>
                  </w:rPr>
                  <m:t xml:space="preserve">subch, </m:t>
                </m:r>
                <m:r>
                  <m:rPr>
                    <m:sty m:val="p"/>
                  </m:rPr>
                  <w:rPr>
                    <w:rFonts w:ascii="Cambria Math"/>
                  </w:rPr>
                  <m:t>slot</m:t>
                </m:r>
                <m:ctrlPr>
                  <w:rPr>
                    <w:rFonts w:ascii="Cambria Math" w:hAnsi="Cambria Math"/>
                  </w:rPr>
                </m:ctrlPr>
              </m:sub>
              <m:sup>
                <m:r>
                  <m:rPr>
                    <m:nor/>
                  </m:rPr>
                  <w:rPr>
                    <w:rFonts w:ascii="Cambria Math"/>
                  </w:rPr>
                  <m:t>PSFCH</m:t>
                </m:r>
                <m:ctrlPr>
                  <w:rPr>
                    <w:rFonts w:ascii="Cambria Math" w:hAnsi="Cambria Math"/>
                  </w:rPr>
                </m:ctrlPr>
              </m:sup>
            </m:sSubSup>
            <m:r>
              <w:rPr>
                <w:rFonts w:ascii="Cambria Math" w:hAnsi="Cambria Math"/>
              </w:rPr>
              <m:t>-1</m:t>
            </m:r>
          </m:e>
        </m:d>
      </m:oMath>
      <w:r w:rsidR="00E21265">
        <w:t xml:space="preserve"> PRBs from the </w:t>
      </w:r>
      <m:oMath>
        <m:sSubSup>
          <m:sSubSupPr>
            <m:ctrlPr>
              <w:rPr>
                <w:rFonts w:ascii="Cambria Math" w:hAnsi="Cambria Math"/>
                <w:i/>
              </w:rPr>
            </m:ctrlPr>
          </m:sSubSupPr>
          <m:e>
            <m:r>
              <w:rPr>
                <w:rFonts w:ascii="Cambria Math"/>
              </w:rPr>
              <m:t>M</m:t>
            </m:r>
          </m:e>
          <m:sub>
            <m:r>
              <m:rPr>
                <m:nor/>
              </m:rPr>
              <w:rPr>
                <w:rFonts w:ascii="Cambria Math"/>
              </w:rPr>
              <m:t xml:space="preserve">PRB, </m:t>
            </m:r>
            <m:r>
              <m:rPr>
                <m:sty m:val="p"/>
              </m:rPr>
              <w:rPr>
                <w:rFonts w:ascii="Cambria Math"/>
              </w:rPr>
              <m:t>set</m:t>
            </m:r>
            <m:ctrlPr>
              <w:rPr>
                <w:rFonts w:ascii="Cambria Math" w:hAnsi="Cambria Math"/>
              </w:rPr>
            </m:ctrlPr>
          </m:sub>
          <m:sup>
            <m:r>
              <m:rPr>
                <m:nor/>
              </m:rPr>
              <w:rPr>
                <w:rFonts w:ascii="Cambria Math"/>
              </w:rPr>
              <m:t>PSFCH</m:t>
            </m:r>
            <m:ctrlPr>
              <w:rPr>
                <w:rFonts w:ascii="Cambria Math" w:hAnsi="Cambria Math"/>
              </w:rPr>
            </m:ctrlPr>
          </m:sup>
        </m:sSubSup>
      </m:oMath>
      <w:r w:rsidR="00E21265">
        <w:t xml:space="preserve"> PRBs to slot </w:t>
      </w:r>
      <m:oMath>
        <m:r>
          <w:rPr>
            <w:rFonts w:ascii="Cambria Math" w:hAnsi="Cambria Math"/>
          </w:rPr>
          <m:t>i</m:t>
        </m:r>
      </m:oMath>
      <w:r w:rsidR="00E21265">
        <w:t xml:space="preserve"> </w:t>
      </w:r>
      <w:r w:rsidR="00B227FA" w:rsidRPr="00227C3B">
        <w:t>among the PSSCH slots associated with the PSFCH slot</w:t>
      </w:r>
      <w:r w:rsidR="00E21265">
        <w:t xml:space="preserve"> and sub-channel </w:t>
      </w:r>
      <m:oMath>
        <m:r>
          <w:rPr>
            <w:rFonts w:ascii="Cambria Math" w:hAnsi="Cambria Math"/>
          </w:rPr>
          <m:t>j</m:t>
        </m:r>
      </m:oMath>
      <w:r w:rsidR="00E21265">
        <w:t xml:space="preserve">, where </w:t>
      </w:r>
      <m:oMath>
        <m:sSubSup>
          <m:sSubSupPr>
            <m:ctrlPr>
              <w:rPr>
                <w:rFonts w:ascii="Cambria Math" w:hAnsi="Cambria Math"/>
                <w:i/>
              </w:rPr>
            </m:ctrlPr>
          </m:sSubSupPr>
          <m:e>
            <m:r>
              <w:rPr>
                <w:rFonts w:ascii="Cambria Math"/>
              </w:rPr>
              <m:t>M</m:t>
            </m:r>
          </m:e>
          <m:sub>
            <m:r>
              <m:rPr>
                <m:nor/>
              </m:rPr>
              <w:rPr>
                <w:rFonts w:ascii="Cambria Math"/>
              </w:rPr>
              <m:t xml:space="preserve">subch, </m:t>
            </m:r>
            <m:r>
              <m:rPr>
                <m:sty m:val="p"/>
              </m:rPr>
              <w:rPr>
                <w:rFonts w:ascii="Cambria Math"/>
              </w:rPr>
              <m:t>slot</m:t>
            </m:r>
            <m:ctrlPr>
              <w:rPr>
                <w:rFonts w:ascii="Cambria Math" w:hAnsi="Cambria Math"/>
              </w:rPr>
            </m:ctrlPr>
          </m:sub>
          <m:sup>
            <m:r>
              <m:rPr>
                <m:nor/>
              </m:rPr>
              <w:rPr>
                <w:rFonts w:ascii="Cambria Math"/>
              </w:rPr>
              <m:t>PSFCH</m:t>
            </m:r>
            <m:ctrlPr>
              <w:rPr>
                <w:rFonts w:ascii="Cambria Math" w:hAnsi="Cambria Math"/>
              </w:rPr>
            </m:ctrlPr>
          </m:sup>
        </m:sSubSup>
        <m:r>
          <w:rPr>
            <w:rFonts w:ascii="Cambria Math" w:hAnsi="Cambria Math"/>
          </w:rPr>
          <m:t>=</m:t>
        </m:r>
        <m:f>
          <m:fPr>
            <m:type m:val="lin"/>
            <m:ctrlPr>
              <w:rPr>
                <w:rFonts w:ascii="Cambria Math" w:hAnsi="Cambria Math"/>
                <w:i/>
              </w:rPr>
            </m:ctrlPr>
          </m:fPr>
          <m:num>
            <m:sSubSup>
              <m:sSubSupPr>
                <m:ctrlPr>
                  <w:rPr>
                    <w:rFonts w:ascii="Cambria Math" w:hAnsi="Cambria Math"/>
                    <w:i/>
                  </w:rPr>
                </m:ctrlPr>
              </m:sSubSupPr>
              <m:e>
                <m:r>
                  <w:rPr>
                    <w:rFonts w:ascii="Cambria Math"/>
                  </w:rPr>
                  <m:t>M</m:t>
                </m:r>
              </m:e>
              <m:sub>
                <m:r>
                  <m:rPr>
                    <m:nor/>
                  </m:rPr>
                  <w:rPr>
                    <w:rFonts w:ascii="Cambria Math"/>
                  </w:rPr>
                  <m:t xml:space="preserve">PRB, </m:t>
                </m:r>
                <m:r>
                  <m:rPr>
                    <m:sty m:val="p"/>
                  </m:rPr>
                  <w:rPr>
                    <w:rFonts w:ascii="Cambria Math"/>
                  </w:rPr>
                  <m:t>set</m:t>
                </m:r>
                <m:ctrlPr>
                  <w:rPr>
                    <w:rFonts w:ascii="Cambria Math" w:hAnsi="Cambria Math"/>
                  </w:rPr>
                </m:ctrlPr>
              </m:sub>
              <m:sup>
                <m:r>
                  <m:rPr>
                    <m:nor/>
                  </m:rPr>
                  <w:rPr>
                    <w:rFonts w:ascii="Cambria Math"/>
                  </w:rPr>
                  <m:t>PSFCH</m:t>
                </m:r>
                <m:ctrlPr>
                  <w:rPr>
                    <w:rFonts w:ascii="Cambria Math" w:hAnsi="Cambria Math"/>
                  </w:rPr>
                </m:ctrlPr>
              </m:sup>
            </m:sSubSup>
          </m:num>
          <m:den>
            <m:d>
              <m:dPr>
                <m:ctrlPr>
                  <w:rPr>
                    <w:rFonts w:ascii="Cambria Math" w:hAnsi="Cambria Math"/>
                    <w:i/>
                  </w:rPr>
                </m:ctrlPr>
              </m:dPr>
              <m:e>
                <m:sSub>
                  <m:sSubPr>
                    <m:ctrlPr>
                      <w:rPr>
                        <w:rFonts w:ascii="Cambria Math" w:hAnsi="Cambria Math"/>
                        <w:i/>
                      </w:rPr>
                    </m:ctrlPr>
                  </m:sSubPr>
                  <m:e>
                    <m:r>
                      <w:rPr>
                        <w:rFonts w:ascii="Cambria Math" w:hAnsi="Cambria Math"/>
                      </w:rPr>
                      <m:t>N</m:t>
                    </m:r>
                  </m:e>
                  <m:sub>
                    <m:r>
                      <m:rPr>
                        <m:nor/>
                      </m:rPr>
                      <m:t>sub</m:t>
                    </m:r>
                    <m:r>
                      <m:rPr>
                        <m:nor/>
                      </m:rPr>
                      <w:rPr>
                        <w:rFonts w:ascii="Cambria Math"/>
                      </w:rPr>
                      <m:t>ch</m:t>
                    </m:r>
                    <m:ctrlPr>
                      <w:rPr>
                        <w:rFonts w:ascii="Cambria Math" w:hAnsi="Cambria Math"/>
                      </w:rPr>
                    </m:ctrlPr>
                  </m:sub>
                </m:sSub>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e>
            </m:d>
          </m:den>
        </m:f>
      </m:oMath>
      <w:r w:rsidR="00E21265">
        <w:t xml:space="preserve">, </w:t>
      </w:r>
      <m:oMath>
        <m:r>
          <w:rPr>
            <w:rFonts w:ascii="Cambria Math" w:hAnsi="Cambria Math"/>
          </w:rPr>
          <m:t>0≤i&lt;</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oMath>
      <w:r w:rsidR="00E21265">
        <w:t xml:space="preserve">, </w:t>
      </w:r>
      <m:oMath>
        <m:r>
          <w:rPr>
            <w:rFonts w:ascii="Cambria Math" w:hAnsi="Cambria Math"/>
          </w:rPr>
          <m:t>0≤j&lt;</m:t>
        </m:r>
        <m:sSub>
          <m:sSubPr>
            <m:ctrlPr>
              <w:rPr>
                <w:rFonts w:ascii="Cambria Math" w:hAnsi="Cambria Math"/>
                <w:i/>
              </w:rPr>
            </m:ctrlPr>
          </m:sSubPr>
          <m:e>
            <m:r>
              <w:rPr>
                <w:rFonts w:ascii="Cambria Math" w:hAnsi="Cambria Math"/>
              </w:rPr>
              <m:t>N</m:t>
            </m:r>
          </m:e>
          <m:sub>
            <m:r>
              <m:rPr>
                <m:nor/>
              </m:rPr>
              <m:t>sub</m:t>
            </m:r>
            <m:r>
              <m:rPr>
                <m:nor/>
              </m:rPr>
              <w:rPr>
                <w:rFonts w:ascii="Cambria Math"/>
              </w:rPr>
              <m:t>ch</m:t>
            </m:r>
            <m:ctrlPr>
              <w:rPr>
                <w:rFonts w:ascii="Cambria Math" w:hAnsi="Cambria Math"/>
              </w:rPr>
            </m:ctrlPr>
          </m:sub>
        </m:sSub>
      </m:oMath>
      <w:r w:rsidR="00E21265">
        <w:t xml:space="preserve">, and the allocation starts in an ascending order of </w:t>
      </w:r>
      <m:oMath>
        <m:r>
          <w:rPr>
            <w:rFonts w:ascii="Cambria Math" w:hAnsi="Cambria Math"/>
          </w:rPr>
          <m:t>i</m:t>
        </m:r>
      </m:oMath>
      <w:r w:rsidR="00E21265">
        <w:t xml:space="preserve"> and continues in an ascending order of </w:t>
      </w:r>
      <m:oMath>
        <m:r>
          <w:rPr>
            <w:rFonts w:ascii="Cambria Math" w:hAnsi="Cambria Math"/>
          </w:rPr>
          <m:t>j</m:t>
        </m:r>
      </m:oMath>
      <w:r w:rsidR="00E21265">
        <w:t xml:space="preserve">. </w:t>
      </w:r>
      <w:r w:rsidR="00C57A53" w:rsidRPr="004912E2">
        <w:t xml:space="preserve">The UE expects that </w:t>
      </w:r>
      <m:oMath>
        <m:sSubSup>
          <m:sSubSupPr>
            <m:ctrlPr>
              <w:rPr>
                <w:rFonts w:ascii="Cambria Math" w:hAnsi="Cambria Math"/>
                <w:i/>
              </w:rPr>
            </m:ctrlPr>
          </m:sSubSupPr>
          <m:e>
            <m:r>
              <w:rPr>
                <w:rFonts w:ascii="Cambria Math"/>
              </w:rPr>
              <m:t>M</m:t>
            </m:r>
          </m:e>
          <m:sub>
            <m:r>
              <m:rPr>
                <m:nor/>
              </m:rPr>
              <w:rPr>
                <w:rFonts w:ascii="Cambria Math"/>
              </w:rPr>
              <m:t xml:space="preserve">PRB, </m:t>
            </m:r>
            <m:r>
              <m:rPr>
                <m:sty m:val="p"/>
              </m:rPr>
              <w:rPr>
                <w:rFonts w:ascii="Cambria Math"/>
              </w:rPr>
              <m:t>set</m:t>
            </m:r>
            <m:ctrlPr>
              <w:rPr>
                <w:rFonts w:ascii="Cambria Math" w:hAnsi="Cambria Math"/>
              </w:rPr>
            </m:ctrlPr>
          </m:sub>
          <m:sup>
            <m:r>
              <m:rPr>
                <m:nor/>
              </m:rPr>
              <w:rPr>
                <w:rFonts w:ascii="Cambria Math"/>
              </w:rPr>
              <m:t>PSFCH</m:t>
            </m:r>
            <m:ctrlPr>
              <w:rPr>
                <w:rFonts w:ascii="Cambria Math" w:hAnsi="Cambria Math"/>
              </w:rPr>
            </m:ctrlPr>
          </m:sup>
        </m:sSubSup>
      </m:oMath>
      <w:r w:rsidR="00C57A53" w:rsidRPr="004912E2">
        <w:rPr>
          <w:rFonts w:hint="eastAsia"/>
          <w:lang w:eastAsia="ko-KR"/>
        </w:rPr>
        <w:t xml:space="preserve"> </w:t>
      </w:r>
      <w:r w:rsidR="00C57A53" w:rsidRPr="004912E2">
        <w:t>is</w:t>
      </w:r>
      <w:r w:rsidR="00C57A53" w:rsidRPr="004912E2">
        <w:rPr>
          <w:i/>
        </w:rPr>
        <w:t xml:space="preserve"> </w:t>
      </w:r>
      <w:r w:rsidR="00C57A53" w:rsidRPr="004912E2">
        <w:t>a multiple of</w:t>
      </w:r>
      <w:r w:rsidR="00C57A53" w:rsidRPr="004912E2">
        <w:rPr>
          <w:i/>
        </w:rPr>
        <w:t xml:space="preserve"> </w:t>
      </w:r>
      <m:oMath>
        <m:sSub>
          <m:sSubPr>
            <m:ctrlPr>
              <w:rPr>
                <w:rFonts w:ascii="Cambria Math" w:hAnsi="Cambria Math"/>
                <w:i/>
              </w:rPr>
            </m:ctrlPr>
          </m:sSubPr>
          <m:e>
            <m:r>
              <w:rPr>
                <w:rFonts w:ascii="Cambria Math" w:hAnsi="Cambria Math"/>
              </w:rPr>
              <m:t>N</m:t>
            </m:r>
          </m:e>
          <m:sub>
            <m:r>
              <m:rPr>
                <m:nor/>
              </m:rPr>
              <m:t>sub</m:t>
            </m:r>
            <m:r>
              <m:rPr>
                <m:nor/>
              </m:rPr>
              <w:rPr>
                <w:rFonts w:ascii="Cambria Math"/>
              </w:rPr>
              <m:t>ch</m:t>
            </m:r>
            <m:ctrlPr>
              <w:rPr>
                <w:rFonts w:ascii="Cambria Math" w:hAnsi="Cambria Math"/>
              </w:rPr>
            </m:ctrlPr>
          </m:sub>
        </m:sSub>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oMath>
      <w:r w:rsidR="00C57A53" w:rsidRPr="004912E2">
        <w:rPr>
          <w:i/>
        </w:rPr>
        <w:t>.</w:t>
      </w:r>
      <w:r w:rsidR="00E21265">
        <w:t xml:space="preserve"> </w:t>
      </w:r>
    </w:p>
    <w:p w14:paraId="24788EDF" w14:textId="16A30D43" w:rsidR="00B31340" w:rsidRPr="006C7227" w:rsidRDefault="00B31340" w:rsidP="00B31340">
      <w:r>
        <w:t>For operation with</w:t>
      </w:r>
      <w:r w:rsidRPr="006C7227">
        <w:t xml:space="preserve"> shared spectrum channel access</w:t>
      </w:r>
      <w:r>
        <w:t xml:space="preserve">, when </w:t>
      </w:r>
      <w:r w:rsidR="00662F0B">
        <w:rPr>
          <w:i/>
        </w:rPr>
        <w:t>sl-TransmissionStructureForPSFCH</w:t>
      </w:r>
      <w:r>
        <w:rPr>
          <w:i/>
        </w:rPr>
        <w:t xml:space="preserve"> </w:t>
      </w:r>
      <w:r w:rsidRPr="006C7227">
        <w:t xml:space="preserve">is not provided and within RB-set </w:t>
      </w:r>
      <m:oMath>
        <m:r>
          <w:rPr>
            <w:rFonts w:ascii="Cambria Math" w:hAnsi="Cambria Math"/>
          </w:rPr>
          <m:t>k</m:t>
        </m:r>
      </m:oMath>
      <w:r w:rsidRPr="006C7227">
        <w:t xml:space="preserve">, </w:t>
      </w:r>
      <w:r>
        <w:rPr>
          <w:iCs/>
        </w:rPr>
        <w:t>f</w:t>
      </w:r>
      <w:r w:rsidRPr="006C7227">
        <w:rPr>
          <w:iCs/>
        </w:rPr>
        <w:t xml:space="preserve">or the </w:t>
      </w:r>
      <m:oMath>
        <m:r>
          <w:rPr>
            <w:rFonts w:ascii="Cambria Math" w:hAnsi="Cambria Math"/>
          </w:rPr>
          <m:t>n</m:t>
        </m:r>
      </m:oMath>
      <w:r w:rsidRPr="006C7227">
        <w:rPr>
          <w:iCs/>
        </w:rPr>
        <w:t xml:space="preserve">-th candidate PSFCH transmission occasion, </w:t>
      </w:r>
      <m:oMath>
        <m:r>
          <w:rPr>
            <w:rFonts w:ascii="Cambria Math" w:hAnsi="Cambria Math"/>
          </w:rPr>
          <m:t>1≤n≤</m:t>
        </m:r>
        <m:sSubSup>
          <m:sSubSupPr>
            <m:ctrlPr>
              <w:rPr>
                <w:rFonts w:ascii="Cambria Math" w:hAnsi="Cambria Math"/>
                <w:i/>
              </w:rPr>
            </m:ctrlPr>
          </m:sSubSupPr>
          <m:e>
            <m:r>
              <w:rPr>
                <w:rFonts w:ascii="Cambria Math" w:hAnsi="Cambria Math"/>
              </w:rPr>
              <m:t>N</m:t>
            </m:r>
          </m:e>
          <m:sub>
            <m:r>
              <m:rPr>
                <m:sty m:val="p"/>
              </m:rPr>
              <w:rPr>
                <w:rFonts w:ascii="Cambria Math" w:hAnsi="Cambria Math"/>
              </w:rPr>
              <m:t>occasion</m:t>
            </m:r>
          </m:sub>
          <m:sup>
            <m:r>
              <m:rPr>
                <m:sty m:val="p"/>
              </m:rPr>
              <w:rPr>
                <w:rFonts w:ascii="Cambria Math" w:hAnsi="Cambria Math"/>
              </w:rPr>
              <m:t>PSFCH</m:t>
            </m:r>
          </m:sup>
        </m:sSubSup>
      </m:oMath>
      <w:r w:rsidRPr="006C7227">
        <w:t>,</w:t>
      </w:r>
      <w:r>
        <w:t xml:space="preserve"> a UE determines</w:t>
      </w:r>
      <w:r w:rsidRPr="006C7227">
        <w:t xml:space="preserve"> a set of </w:t>
      </w:r>
      <m:oMath>
        <m:sSubSup>
          <m:sSubSupPr>
            <m:ctrlPr>
              <w:rPr>
                <w:rFonts w:ascii="Cambria Math" w:hAnsi="Cambria Math"/>
                <w:i/>
              </w:rPr>
            </m:ctrlPr>
          </m:sSubSupPr>
          <m:e>
            <m:r>
              <w:rPr>
                <w:rFonts w:ascii="Cambria Math"/>
              </w:rPr>
              <m:t>M</m:t>
            </m:r>
          </m:e>
          <m:sub>
            <m:r>
              <m:rPr>
                <m:nor/>
              </m:rPr>
              <w:rPr>
                <w:rFonts w:ascii="Cambria Math"/>
              </w:rPr>
              <m:t xml:space="preserve">PRB, </m:t>
            </m:r>
            <m:r>
              <m:rPr>
                <m:sty m:val="p"/>
              </m:rPr>
              <w:rPr>
                <w:rFonts w:ascii="Cambria Math"/>
              </w:rPr>
              <m:t xml:space="preserve">set,  </m:t>
            </m:r>
            <m:r>
              <w:rPr>
                <w:rFonts w:ascii="Cambria Math"/>
              </w:rPr>
              <m:t>k</m:t>
            </m:r>
            <m:ctrlPr>
              <w:rPr>
                <w:rFonts w:ascii="Cambria Math" w:hAnsi="Cambria Math"/>
              </w:rPr>
            </m:ctrlPr>
          </m:sub>
          <m:sup>
            <m:r>
              <m:rPr>
                <m:nor/>
              </m:rPr>
              <w:rPr>
                <w:rFonts w:ascii="Cambria Math"/>
              </w:rPr>
              <m:t>PSFCH,</m:t>
            </m:r>
            <m:r>
              <m:rPr>
                <m:nor/>
              </m:rPr>
              <w:rPr>
                <w:rFonts w:ascii="Cambria Math"/>
                <w:i/>
              </w:rPr>
              <m:t>n</m:t>
            </m:r>
            <m:ctrlPr>
              <w:rPr>
                <w:rFonts w:ascii="Cambria Math" w:hAnsi="Cambria Math"/>
              </w:rPr>
            </m:ctrlPr>
          </m:sup>
        </m:sSubSup>
      </m:oMath>
      <w:r w:rsidRPr="006C7227">
        <w:t xml:space="preserve"> PRBs in a resource pool </w:t>
      </w:r>
      <w:r>
        <w:t xml:space="preserve">based on </w:t>
      </w:r>
      <w:r w:rsidRPr="006C7227">
        <w:rPr>
          <w:iCs/>
        </w:rPr>
        <w:t xml:space="preserve">the </w:t>
      </w:r>
      <m:oMath>
        <m:r>
          <w:rPr>
            <w:rFonts w:ascii="Cambria Math" w:hAnsi="Cambria Math"/>
          </w:rPr>
          <m:t>n</m:t>
        </m:r>
      </m:oMath>
      <w:r w:rsidRPr="006C7227">
        <w:rPr>
          <w:iCs/>
        </w:rPr>
        <w:t xml:space="preserve">-th indication </w:t>
      </w:r>
      <w:r>
        <w:t xml:space="preserve">provided </w:t>
      </w:r>
      <w:r w:rsidRPr="006C7227">
        <w:t xml:space="preserve">by </w:t>
      </w:r>
      <w:r w:rsidRPr="006C7227">
        <w:rPr>
          <w:i/>
          <w:iCs/>
        </w:rPr>
        <w:t>sl-PSFCH-RB-Se</w:t>
      </w:r>
      <w:r>
        <w:rPr>
          <w:i/>
          <w:iCs/>
        </w:rPr>
        <w:t>tList</w:t>
      </w:r>
      <w:r>
        <w:t xml:space="preserve"> or </w:t>
      </w:r>
      <w:r w:rsidR="00662F0B">
        <w:rPr>
          <w:i/>
          <w:iCs/>
        </w:rPr>
        <w:t>sl-IUC-RB-SetList</w:t>
      </w:r>
      <w:r w:rsidRPr="006C7227">
        <w:t xml:space="preserve"> for PSFCH transmission with HARQ-ACK information </w:t>
      </w:r>
      <w:r>
        <w:t xml:space="preserve">or conflict information, respectively. </w:t>
      </w:r>
      <w:r>
        <w:rPr>
          <w:bCs/>
          <w:szCs w:val="21"/>
        </w:rPr>
        <w:t>The</w:t>
      </w:r>
      <w:r w:rsidRPr="006C7227">
        <w:rPr>
          <w:bCs/>
          <w:szCs w:val="21"/>
        </w:rPr>
        <w:t xml:space="preserve"> UE expects that different PRBs are (pre)configured for conflict information and HARQ-ACK information. </w:t>
      </w:r>
      <w:r w:rsidRPr="006C7227">
        <w:t xml:space="preserve">For a number of </w:t>
      </w:r>
      <m:oMath>
        <m:sSubSup>
          <m:sSubSupPr>
            <m:ctrlPr>
              <w:rPr>
                <w:rFonts w:ascii="Cambria Math" w:hAnsi="Cambria Math"/>
                <w:i/>
              </w:rPr>
            </m:ctrlPr>
          </m:sSubSupPr>
          <m:e>
            <m:r>
              <w:rPr>
                <w:rFonts w:ascii="Cambria Math" w:hAnsi="Cambria Math"/>
              </w:rPr>
              <m:t>N</m:t>
            </m:r>
          </m:e>
          <m:sub>
            <m:r>
              <m:rPr>
                <m:nor/>
              </m:rPr>
              <m:t>sub</m:t>
            </m:r>
            <m:r>
              <m:rPr>
                <m:nor/>
              </m:rPr>
              <w:rPr>
                <w:rFonts w:ascii="Cambria Math"/>
              </w:rPr>
              <m:t>ch</m:t>
            </m:r>
            <m:ctrlPr>
              <w:rPr>
                <w:rFonts w:ascii="Cambria Math" w:hAnsi="Cambria Math"/>
              </w:rPr>
            </m:ctrlPr>
          </m:sub>
          <m:sup>
            <m:r>
              <w:rPr>
                <w:rFonts w:ascii="Cambria Math" w:hAnsi="Cambria Math"/>
              </w:rPr>
              <m:t>k</m:t>
            </m:r>
          </m:sup>
        </m:sSubSup>
      </m:oMath>
      <w:r w:rsidRPr="006C7227">
        <w:t xml:space="preserve"> sub-channels </w:t>
      </w:r>
      <w:r w:rsidRPr="00B03E6A">
        <w:t xml:space="preserve">in RB-set </w:t>
      </w:r>
      <m:oMath>
        <m:r>
          <w:rPr>
            <w:rFonts w:ascii="Cambria Math" w:hAnsi="Cambria Math"/>
          </w:rPr>
          <m:t>k</m:t>
        </m:r>
      </m:oMath>
      <w:r w:rsidRPr="006C7227">
        <w:t xml:space="preserve"> and a number of PSSCH slots associated with a PSFCH slot that is less than or equal to </w:t>
      </w:r>
      <m:oMath>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oMath>
      <w:r w:rsidRPr="006C7227">
        <w:t xml:space="preserve">, the UE allocates the </w:t>
      </w:r>
      <w:r w:rsidR="00662F0B" w:rsidRPr="006C7227">
        <w:t xml:space="preserve">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i+j⋅</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e>
            </m:d>
            <m:r>
              <w:rPr>
                <w:rFonts w:ascii="Cambria Math" w:hAnsi="Cambria Math"/>
              </w:rPr>
              <m:t>⋅</m:t>
            </m:r>
            <m:sSubSup>
              <m:sSubSupPr>
                <m:ctrlPr>
                  <w:rPr>
                    <w:rFonts w:ascii="Cambria Math" w:hAnsi="Cambria Math"/>
                    <w:i/>
                  </w:rPr>
                </m:ctrlPr>
              </m:sSubSupPr>
              <m:e>
                <m:r>
                  <w:rPr>
                    <w:rFonts w:ascii="Cambria Math"/>
                  </w:rPr>
                  <m:t>M</m:t>
                </m:r>
              </m:e>
              <m:sub>
                <m:r>
                  <m:rPr>
                    <m:nor/>
                  </m:rPr>
                  <w:rPr>
                    <w:rFonts w:ascii="Cambria Math"/>
                  </w:rPr>
                  <m:t xml:space="preserve">subch, </m:t>
                </m:r>
                <m:r>
                  <m:rPr>
                    <m:sty m:val="p"/>
                  </m:rPr>
                  <w:rPr>
                    <w:rFonts w:ascii="Cambria Math"/>
                  </w:rPr>
                  <m:t>slot,</m:t>
                </m:r>
                <m:r>
                  <w:rPr>
                    <w:rFonts w:ascii="Cambria Math"/>
                  </w:rPr>
                  <m:t>k</m:t>
                </m:r>
                <m:ctrlPr>
                  <w:rPr>
                    <w:rFonts w:ascii="Cambria Math" w:hAnsi="Cambria Math"/>
                  </w:rPr>
                </m:ctrlPr>
              </m:sub>
              <m:sup>
                <m:r>
                  <m:rPr>
                    <m:nor/>
                  </m:rPr>
                  <w:rPr>
                    <w:rFonts w:ascii="Cambria Math"/>
                  </w:rPr>
                  <m:t>PSFCH,</m:t>
                </m:r>
                <m:r>
                  <m:rPr>
                    <m:nor/>
                  </m:rPr>
                  <w:rPr>
                    <w:rFonts w:ascii="Cambria Math"/>
                    <w:i/>
                    <w:iCs/>
                  </w:rPr>
                  <m:t>n</m:t>
                </m:r>
                <m:ctrlPr>
                  <w:rPr>
                    <w:rFonts w:ascii="Cambria Math" w:hAnsi="Cambria Math"/>
                  </w:rPr>
                </m:ctrlPr>
              </m:sup>
            </m:sSubSup>
            <m:r>
              <w:rPr>
                <w:rFonts w:ascii="Cambria Math" w:hAnsi="Cambria Math"/>
              </w:rPr>
              <m:t xml:space="preserve">, </m:t>
            </m:r>
            <m:d>
              <m:dPr>
                <m:ctrlPr>
                  <w:rPr>
                    <w:rFonts w:ascii="Cambria Math" w:hAnsi="Cambria Math"/>
                    <w:i/>
                  </w:rPr>
                </m:ctrlPr>
              </m:dPr>
              <m:e>
                <m:r>
                  <w:rPr>
                    <w:rFonts w:ascii="Cambria Math" w:hAnsi="Cambria Math"/>
                  </w:rPr>
                  <m:t>i+1+j⋅</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e>
            </m:d>
            <m:r>
              <w:rPr>
                <w:rFonts w:ascii="Cambria Math" w:hAnsi="Cambria Math"/>
              </w:rPr>
              <m:t>⋅</m:t>
            </m:r>
            <m:sSubSup>
              <m:sSubSupPr>
                <m:ctrlPr>
                  <w:rPr>
                    <w:rFonts w:ascii="Cambria Math" w:hAnsi="Cambria Math"/>
                    <w:i/>
                  </w:rPr>
                </m:ctrlPr>
              </m:sSubSupPr>
              <m:e>
                <m:r>
                  <w:rPr>
                    <w:rFonts w:ascii="Cambria Math"/>
                  </w:rPr>
                  <m:t>M</m:t>
                </m:r>
              </m:e>
              <m:sub>
                <m:r>
                  <m:rPr>
                    <m:nor/>
                  </m:rPr>
                  <w:rPr>
                    <w:rFonts w:ascii="Cambria Math"/>
                  </w:rPr>
                  <m:t xml:space="preserve">subch, </m:t>
                </m:r>
                <m:r>
                  <m:rPr>
                    <m:sty m:val="p"/>
                  </m:rPr>
                  <w:rPr>
                    <w:rFonts w:ascii="Cambria Math"/>
                  </w:rPr>
                  <m:t>slot,</m:t>
                </m:r>
                <m:r>
                  <w:rPr>
                    <w:rFonts w:ascii="Cambria Math"/>
                  </w:rPr>
                  <m:t>k</m:t>
                </m:r>
                <m:ctrlPr>
                  <w:rPr>
                    <w:rFonts w:ascii="Cambria Math" w:hAnsi="Cambria Math"/>
                  </w:rPr>
                </m:ctrlPr>
              </m:sub>
              <m:sup>
                <m:r>
                  <m:rPr>
                    <m:nor/>
                  </m:rPr>
                  <w:rPr>
                    <w:rFonts w:ascii="Cambria Math"/>
                  </w:rPr>
                  <m:t>PSFCH,</m:t>
                </m:r>
                <m:r>
                  <m:rPr>
                    <m:nor/>
                  </m:rPr>
                  <w:rPr>
                    <w:rFonts w:ascii="Cambria Math"/>
                    <w:i/>
                    <w:iCs/>
                  </w:rPr>
                  <m:t>n</m:t>
                </m:r>
                <m:ctrlPr>
                  <w:rPr>
                    <w:rFonts w:ascii="Cambria Math" w:hAnsi="Cambria Math"/>
                  </w:rPr>
                </m:ctrlPr>
              </m:sup>
            </m:sSubSup>
            <m:r>
              <w:rPr>
                <w:rFonts w:ascii="Cambria Math" w:hAnsi="Cambria Math"/>
              </w:rPr>
              <m:t>-1</m:t>
            </m:r>
          </m:e>
        </m:d>
      </m:oMath>
      <w:r w:rsidR="00662F0B" w:rsidRPr="006C7227">
        <w:t xml:space="preserve"> PRBs from the </w:t>
      </w:r>
      <m:oMath>
        <m:sSubSup>
          <m:sSubSupPr>
            <m:ctrlPr>
              <w:rPr>
                <w:rFonts w:ascii="Cambria Math" w:hAnsi="Cambria Math"/>
                <w:i/>
              </w:rPr>
            </m:ctrlPr>
          </m:sSubSupPr>
          <m:e>
            <m:r>
              <w:rPr>
                <w:rFonts w:ascii="Cambria Math"/>
              </w:rPr>
              <m:t>M</m:t>
            </m:r>
          </m:e>
          <m:sub>
            <m:r>
              <m:rPr>
                <m:nor/>
              </m:rPr>
              <w:rPr>
                <w:rFonts w:ascii="Cambria Math"/>
              </w:rPr>
              <m:t xml:space="preserve">PRB, </m:t>
            </m:r>
            <m:r>
              <m:rPr>
                <m:sty m:val="p"/>
              </m:rPr>
              <w:rPr>
                <w:rFonts w:ascii="Cambria Math"/>
              </w:rPr>
              <m:t xml:space="preserve">set,  </m:t>
            </m:r>
            <m:r>
              <w:rPr>
                <w:rFonts w:ascii="Cambria Math"/>
              </w:rPr>
              <m:t>k</m:t>
            </m:r>
            <m:ctrlPr>
              <w:rPr>
                <w:rFonts w:ascii="Cambria Math" w:hAnsi="Cambria Math"/>
              </w:rPr>
            </m:ctrlPr>
          </m:sub>
          <m:sup>
            <m:r>
              <m:rPr>
                <m:nor/>
              </m:rPr>
              <w:rPr>
                <w:rFonts w:ascii="Cambria Math"/>
              </w:rPr>
              <m:t>PSFCH,</m:t>
            </m:r>
            <m:r>
              <m:rPr>
                <m:nor/>
              </m:rPr>
              <w:rPr>
                <w:rFonts w:ascii="Cambria Math"/>
                <w:i/>
              </w:rPr>
              <m:t>n</m:t>
            </m:r>
            <m:ctrlPr>
              <w:rPr>
                <w:rFonts w:ascii="Cambria Math" w:hAnsi="Cambria Math"/>
              </w:rPr>
            </m:ctrlPr>
          </m:sup>
        </m:sSubSup>
      </m:oMath>
      <w:r w:rsidR="00662F0B" w:rsidRPr="006C7227">
        <w:t xml:space="preserve"> PRBs to slot </w:t>
      </w:r>
      <m:oMath>
        <m:r>
          <w:rPr>
            <w:rFonts w:ascii="Cambria Math" w:hAnsi="Cambria Math"/>
          </w:rPr>
          <m:t>i</m:t>
        </m:r>
      </m:oMath>
      <w:r w:rsidR="00662F0B" w:rsidRPr="006C7227">
        <w:t xml:space="preserve"> among the PSSCH slots associated with the PSFCH slot and sub-channel </w:t>
      </w:r>
      <m:oMath>
        <m:r>
          <w:rPr>
            <w:rFonts w:ascii="Cambria Math" w:hAnsi="Cambria Math"/>
          </w:rPr>
          <m:t>j</m:t>
        </m:r>
      </m:oMath>
      <w:r w:rsidR="00662F0B" w:rsidRPr="006C7227">
        <w:t xml:space="preserve">, where </w:t>
      </w:r>
      <m:oMath>
        <m:sSubSup>
          <m:sSubSupPr>
            <m:ctrlPr>
              <w:rPr>
                <w:rFonts w:ascii="Cambria Math" w:hAnsi="Cambria Math"/>
                <w:i/>
              </w:rPr>
            </m:ctrlPr>
          </m:sSubSupPr>
          <m:e>
            <m:r>
              <w:rPr>
                <w:rFonts w:ascii="Cambria Math"/>
              </w:rPr>
              <m:t>M</m:t>
            </m:r>
          </m:e>
          <m:sub>
            <m:r>
              <m:rPr>
                <m:nor/>
              </m:rPr>
              <w:rPr>
                <w:rFonts w:ascii="Cambria Math"/>
              </w:rPr>
              <m:t xml:space="preserve">subch, </m:t>
            </m:r>
            <m:r>
              <m:rPr>
                <m:sty m:val="p"/>
              </m:rPr>
              <w:rPr>
                <w:rFonts w:ascii="Cambria Math"/>
              </w:rPr>
              <m:t>slot,</m:t>
            </m:r>
            <m:r>
              <w:rPr>
                <w:rFonts w:ascii="Cambria Math"/>
              </w:rPr>
              <m:t>k</m:t>
            </m:r>
            <m:ctrlPr>
              <w:rPr>
                <w:rFonts w:ascii="Cambria Math" w:hAnsi="Cambria Math"/>
              </w:rPr>
            </m:ctrlPr>
          </m:sub>
          <m:sup>
            <m:r>
              <m:rPr>
                <m:nor/>
              </m:rPr>
              <w:rPr>
                <w:rFonts w:ascii="Cambria Math"/>
              </w:rPr>
              <m:t>PSFCH,</m:t>
            </m:r>
            <m:r>
              <m:rPr>
                <m:nor/>
              </m:rPr>
              <w:rPr>
                <w:rFonts w:ascii="Cambria Math"/>
                <w:i/>
                <w:iCs/>
              </w:rPr>
              <m:t>n</m:t>
            </m:r>
            <m:ctrlPr>
              <w:rPr>
                <w:rFonts w:ascii="Cambria Math" w:hAnsi="Cambria Math"/>
              </w:rPr>
            </m:ctrlPr>
          </m:sup>
        </m:sSubSup>
        <m:r>
          <w:rPr>
            <w:rFonts w:ascii="Cambria Math" w:hAnsi="Cambria Math"/>
          </w:rPr>
          <m:t>=</m:t>
        </m:r>
        <m:f>
          <m:fPr>
            <m:type m:val="lin"/>
            <m:ctrlPr>
              <w:rPr>
                <w:rFonts w:ascii="Cambria Math" w:hAnsi="Cambria Math"/>
                <w:i/>
              </w:rPr>
            </m:ctrlPr>
          </m:fPr>
          <m:num>
            <m:sSubSup>
              <m:sSubSupPr>
                <m:ctrlPr>
                  <w:rPr>
                    <w:rFonts w:ascii="Cambria Math" w:hAnsi="Cambria Math"/>
                    <w:i/>
                  </w:rPr>
                </m:ctrlPr>
              </m:sSubSupPr>
              <m:e>
                <m:r>
                  <w:rPr>
                    <w:rFonts w:ascii="Cambria Math"/>
                  </w:rPr>
                  <m:t>M</m:t>
                </m:r>
              </m:e>
              <m:sub>
                <m:r>
                  <m:rPr>
                    <m:nor/>
                  </m:rPr>
                  <w:rPr>
                    <w:rFonts w:ascii="Cambria Math"/>
                  </w:rPr>
                  <m:t xml:space="preserve">PRB, </m:t>
                </m:r>
                <m:r>
                  <m:rPr>
                    <m:sty m:val="p"/>
                  </m:rPr>
                  <w:rPr>
                    <w:rFonts w:ascii="Cambria Math"/>
                  </w:rPr>
                  <m:t>set,</m:t>
                </m:r>
                <m:r>
                  <w:rPr>
                    <w:rFonts w:ascii="Cambria Math"/>
                  </w:rPr>
                  <m:t>k</m:t>
                </m:r>
                <m:ctrlPr>
                  <w:rPr>
                    <w:rFonts w:ascii="Cambria Math" w:hAnsi="Cambria Math"/>
                  </w:rPr>
                </m:ctrlPr>
              </m:sub>
              <m:sup>
                <m:r>
                  <m:rPr>
                    <m:nor/>
                  </m:rPr>
                  <w:rPr>
                    <w:rFonts w:ascii="Cambria Math"/>
                  </w:rPr>
                  <m:t>PSFCH,</m:t>
                </m:r>
                <m:r>
                  <m:rPr>
                    <m:nor/>
                  </m:rPr>
                  <w:rPr>
                    <w:rFonts w:ascii="Cambria Math"/>
                    <w:i/>
                    <w:iCs/>
                  </w:rPr>
                  <m:t>n</m:t>
                </m:r>
                <m:ctrlPr>
                  <w:rPr>
                    <w:rFonts w:ascii="Cambria Math" w:hAnsi="Cambria Math"/>
                  </w:rPr>
                </m:ctrlPr>
              </m:sup>
            </m:sSubSup>
          </m:num>
          <m:den>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nor/>
                      </m:rPr>
                      <m:t>sub</m:t>
                    </m:r>
                    <m:r>
                      <m:rPr>
                        <m:nor/>
                      </m:rPr>
                      <w:rPr>
                        <w:rFonts w:ascii="Cambria Math"/>
                      </w:rPr>
                      <m:t>ch</m:t>
                    </m:r>
                    <m:ctrlPr>
                      <w:rPr>
                        <w:rFonts w:ascii="Cambria Math" w:hAnsi="Cambria Math"/>
                      </w:rPr>
                    </m:ctrlP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e>
            </m:d>
          </m:den>
        </m:f>
      </m:oMath>
      <w:r w:rsidR="00662F0B" w:rsidRPr="006C7227">
        <w:t xml:space="preserve">, </w:t>
      </w:r>
      <m:oMath>
        <m:r>
          <w:rPr>
            <w:rFonts w:ascii="Cambria Math" w:hAnsi="Cambria Math"/>
          </w:rPr>
          <m:t>0≤i&lt;</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oMath>
      <w:r w:rsidR="00662F0B" w:rsidRPr="006C7227">
        <w:t xml:space="preserve">, </w:t>
      </w:r>
      <m:oMath>
        <m:r>
          <w:rPr>
            <w:rFonts w:ascii="Cambria Math" w:hAnsi="Cambria Math"/>
          </w:rPr>
          <m:t>0≤j&lt;</m:t>
        </m:r>
        <m:sSubSup>
          <m:sSubSupPr>
            <m:ctrlPr>
              <w:rPr>
                <w:rFonts w:ascii="Cambria Math" w:hAnsi="Cambria Math"/>
                <w:i/>
              </w:rPr>
            </m:ctrlPr>
          </m:sSubSupPr>
          <m:e>
            <m:r>
              <w:rPr>
                <w:rFonts w:ascii="Cambria Math" w:hAnsi="Cambria Math"/>
              </w:rPr>
              <m:t>N</m:t>
            </m:r>
          </m:e>
          <m:sub>
            <m:r>
              <m:rPr>
                <m:nor/>
              </m:rPr>
              <m:t>sub</m:t>
            </m:r>
            <m:r>
              <m:rPr>
                <m:nor/>
              </m:rPr>
              <w:rPr>
                <w:rFonts w:ascii="Cambria Math"/>
              </w:rPr>
              <m:t>ch</m:t>
            </m:r>
            <m:ctrlPr>
              <w:rPr>
                <w:rFonts w:ascii="Cambria Math" w:hAnsi="Cambria Math"/>
              </w:rPr>
            </m:ctrlPr>
          </m:sub>
          <m:sup>
            <m:r>
              <w:rPr>
                <w:rFonts w:ascii="Cambria Math" w:hAnsi="Cambria Math"/>
              </w:rPr>
              <m:t>k</m:t>
            </m:r>
          </m:sup>
        </m:sSubSup>
      </m:oMath>
      <w:r w:rsidR="00662F0B" w:rsidRPr="006C7227">
        <w:t xml:space="preserve">, and the allocation starts in an ascending order of </w:t>
      </w:r>
      <m:oMath>
        <m:r>
          <w:rPr>
            <w:rFonts w:ascii="Cambria Math" w:hAnsi="Cambria Math"/>
          </w:rPr>
          <m:t>i</m:t>
        </m:r>
      </m:oMath>
      <w:r w:rsidR="00662F0B" w:rsidRPr="006C7227">
        <w:t xml:space="preserve"> and continues in an ascending order of </w:t>
      </w:r>
      <m:oMath>
        <m:r>
          <w:rPr>
            <w:rFonts w:ascii="Cambria Math" w:hAnsi="Cambria Math"/>
          </w:rPr>
          <m:t>j</m:t>
        </m:r>
      </m:oMath>
      <w:r w:rsidRPr="006C7227">
        <w:t xml:space="preserve">. The UE expects that </w:t>
      </w:r>
      <m:oMath>
        <m:sSubSup>
          <m:sSubSupPr>
            <m:ctrlPr>
              <w:rPr>
                <w:rFonts w:ascii="Cambria Math" w:hAnsi="Cambria Math"/>
                <w:i/>
              </w:rPr>
            </m:ctrlPr>
          </m:sSubSupPr>
          <m:e>
            <m:r>
              <w:rPr>
                <w:rFonts w:ascii="Cambria Math"/>
              </w:rPr>
              <m:t>M</m:t>
            </m:r>
          </m:e>
          <m:sub>
            <m:r>
              <m:rPr>
                <m:nor/>
              </m:rPr>
              <w:rPr>
                <w:rFonts w:ascii="Cambria Math"/>
              </w:rPr>
              <m:t xml:space="preserve">PRB, </m:t>
            </m:r>
            <m:r>
              <m:rPr>
                <m:sty m:val="p"/>
              </m:rPr>
              <w:rPr>
                <w:rFonts w:ascii="Cambria Math"/>
              </w:rPr>
              <m:t xml:space="preserve">set,  </m:t>
            </m:r>
            <m:r>
              <w:rPr>
                <w:rFonts w:ascii="Cambria Math"/>
              </w:rPr>
              <m:t>k</m:t>
            </m:r>
            <m:ctrlPr>
              <w:rPr>
                <w:rFonts w:ascii="Cambria Math" w:hAnsi="Cambria Math"/>
              </w:rPr>
            </m:ctrlPr>
          </m:sub>
          <m:sup>
            <m:r>
              <m:rPr>
                <m:nor/>
              </m:rPr>
              <w:rPr>
                <w:rFonts w:ascii="Cambria Math"/>
              </w:rPr>
              <m:t>PSFCH,</m:t>
            </m:r>
            <m:r>
              <m:rPr>
                <m:nor/>
              </m:rPr>
              <w:rPr>
                <w:rFonts w:ascii="Cambria Math"/>
                <w:i/>
              </w:rPr>
              <m:t>n</m:t>
            </m:r>
            <m:ctrlPr>
              <w:rPr>
                <w:rFonts w:ascii="Cambria Math" w:hAnsi="Cambria Math"/>
              </w:rPr>
            </m:ctrlPr>
          </m:sup>
        </m:sSubSup>
      </m:oMath>
      <w:r w:rsidRPr="006C7227">
        <w:rPr>
          <w:rFonts w:hint="eastAsia"/>
          <w:lang w:eastAsia="ko-KR"/>
        </w:rPr>
        <w:t xml:space="preserve"> </w:t>
      </w:r>
      <w:r w:rsidRPr="006C7227">
        <w:t>is</w:t>
      </w:r>
      <w:r w:rsidRPr="006C7227">
        <w:rPr>
          <w:i/>
        </w:rPr>
        <w:t xml:space="preserve"> </w:t>
      </w:r>
      <w:r w:rsidRPr="006C7227">
        <w:t>a multiple of</w:t>
      </w:r>
      <w:r w:rsidRPr="006C7227">
        <w:rPr>
          <w:i/>
        </w:rPr>
        <w:t xml:space="preserve"> </w:t>
      </w:r>
      <m:oMath>
        <m:sSubSup>
          <m:sSubSupPr>
            <m:ctrlPr>
              <w:rPr>
                <w:rFonts w:ascii="Cambria Math" w:hAnsi="Cambria Math"/>
                <w:i/>
              </w:rPr>
            </m:ctrlPr>
          </m:sSubSupPr>
          <m:e>
            <m:r>
              <w:rPr>
                <w:rFonts w:ascii="Cambria Math" w:hAnsi="Cambria Math"/>
              </w:rPr>
              <m:t>N</m:t>
            </m:r>
          </m:e>
          <m:sub>
            <m:r>
              <m:rPr>
                <m:nor/>
              </m:rPr>
              <m:t>sub</m:t>
            </m:r>
            <m:r>
              <m:rPr>
                <m:nor/>
              </m:rPr>
              <w:rPr>
                <w:rFonts w:ascii="Cambria Math"/>
              </w:rPr>
              <m:t>ch</m:t>
            </m:r>
            <m:ctrlPr>
              <w:rPr>
                <w:rFonts w:ascii="Cambria Math" w:hAnsi="Cambria Math"/>
              </w:rPr>
            </m:ctrlP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oMath>
      <w:r w:rsidRPr="006C7227">
        <w:rPr>
          <w:i/>
        </w:rPr>
        <w:t>.</w:t>
      </w:r>
      <w:r w:rsidRPr="006C7227">
        <w:t xml:space="preserve"> </w:t>
      </w:r>
    </w:p>
    <w:p w14:paraId="5D0B445E" w14:textId="22047432" w:rsidR="000C6EB7" w:rsidRPr="0059124C" w:rsidRDefault="000C6EB7" w:rsidP="000C6EB7">
      <w:pPr>
        <w:rPr>
          <w:i/>
          <w:iCs/>
        </w:rPr>
      </w:pPr>
      <w:r w:rsidRPr="0059124C">
        <w:t xml:space="preserve">For operation with shared spectrum channel access, when </w:t>
      </w:r>
      <w:r w:rsidR="00257A05">
        <w:rPr>
          <w:i/>
        </w:rPr>
        <w:t>sl-TransmissionStructureForPSFCH</w:t>
      </w:r>
      <w:r w:rsidRPr="0059124C">
        <w:rPr>
          <w:i/>
        </w:rPr>
        <w:t xml:space="preserve"> = </w:t>
      </w:r>
      <w:r w:rsidR="002D5F43" w:rsidRPr="00B31340">
        <w:rPr>
          <w:iCs/>
        </w:rPr>
        <w:t>'</w:t>
      </w:r>
      <w:r w:rsidR="00257A05" w:rsidRPr="00B13856">
        <w:rPr>
          <w:iCs/>
        </w:rPr>
        <w:t xml:space="preserve"> </w:t>
      </w:r>
      <w:r w:rsidR="00257A05">
        <w:rPr>
          <w:iCs/>
        </w:rPr>
        <w:t>dedicatedInterlace</w:t>
      </w:r>
      <w:r w:rsidR="00257A05" w:rsidRPr="00B31340" w:rsidDel="00257A05">
        <w:rPr>
          <w:iCs/>
        </w:rPr>
        <w:t xml:space="preserve"> </w:t>
      </w:r>
      <w:r w:rsidR="002D5F43" w:rsidRPr="00B31340">
        <w:rPr>
          <w:iCs/>
        </w:rPr>
        <w:t>'</w:t>
      </w:r>
      <w:r w:rsidRPr="0059124C">
        <w:t xml:space="preserve"> and within RB-set </w:t>
      </w:r>
      <m:oMath>
        <m:r>
          <w:rPr>
            <w:rFonts w:ascii="Cambria Math" w:hAnsi="Cambria Math"/>
          </w:rPr>
          <m:t>k</m:t>
        </m:r>
      </m:oMath>
      <w:r w:rsidRPr="0059124C">
        <w:t xml:space="preserve">, a UE determines, based on </w:t>
      </w:r>
      <w:r w:rsidRPr="0059124C">
        <w:rPr>
          <w:i/>
          <w:iCs/>
        </w:rPr>
        <w:t>sl-PSFCH-RB-Set</w:t>
      </w:r>
      <w:r w:rsidR="00B31340" w:rsidRPr="007C178D">
        <w:rPr>
          <w:i/>
          <w:iCs/>
        </w:rPr>
        <w:t>List</w:t>
      </w:r>
      <w:r w:rsidRPr="0059124C">
        <w:t xml:space="preserve">, all PRBs of an interlace for </w:t>
      </w:r>
      <w:r>
        <w:t xml:space="preserve">one </w:t>
      </w:r>
      <w:r w:rsidRPr="0059124C">
        <w:t>PSFCH transmission with HARQ-ACK information in the resource pool</w:t>
      </w:r>
      <w:r w:rsidRPr="0059124C">
        <w:rPr>
          <w:iCs/>
        </w:rPr>
        <w:t xml:space="preserve">. </w:t>
      </w:r>
      <w:r w:rsidR="00B31340" w:rsidRPr="007C178D">
        <w:rPr>
          <w:iCs/>
        </w:rPr>
        <w:t xml:space="preserve">Within RB-set </w:t>
      </w:r>
      <m:oMath>
        <m:r>
          <w:rPr>
            <w:rFonts w:ascii="Cambria Math" w:hAnsi="Cambria Math"/>
          </w:rPr>
          <m:t>k</m:t>
        </m:r>
      </m:oMath>
      <w:r w:rsidR="00B31340" w:rsidRPr="007C178D">
        <w:t xml:space="preserve">, the UE determines, based on </w:t>
      </w:r>
      <w:r w:rsidR="00257A05">
        <w:rPr>
          <w:i/>
          <w:iCs/>
        </w:rPr>
        <w:t>sl-IUC-RB-SetList</w:t>
      </w:r>
      <w:r w:rsidR="00B31340" w:rsidRPr="007C178D">
        <w:t xml:space="preserve">, all PRBs of an interlace for one PSFCH transmission with conflict information in the resource pool. </w:t>
      </w:r>
      <w:r w:rsidRPr="0059124C">
        <w:rPr>
          <w:iCs/>
        </w:rPr>
        <w:t xml:space="preserve">For the </w:t>
      </w:r>
      <m:oMath>
        <m:r>
          <w:rPr>
            <w:rFonts w:ascii="Cambria Math" w:hAnsi="Cambria Math"/>
          </w:rPr>
          <m:t>n</m:t>
        </m:r>
      </m:oMath>
      <w:r w:rsidRPr="0059124C">
        <w:rPr>
          <w:iCs/>
        </w:rPr>
        <w:t xml:space="preserve">-th candidate PSFCH transmission occasion, </w:t>
      </w:r>
      <m:oMath>
        <m:r>
          <w:rPr>
            <w:rFonts w:ascii="Cambria Math" w:hAnsi="Cambria Math"/>
          </w:rPr>
          <m:t>1≤n≤</m:t>
        </m:r>
        <m:sSubSup>
          <m:sSubSupPr>
            <m:ctrlPr>
              <w:rPr>
                <w:rFonts w:ascii="Cambria Math" w:hAnsi="Cambria Math"/>
                <w:i/>
              </w:rPr>
            </m:ctrlPr>
          </m:sSubSupPr>
          <m:e>
            <m:r>
              <w:rPr>
                <w:rFonts w:ascii="Cambria Math" w:hAnsi="Cambria Math"/>
              </w:rPr>
              <m:t>N</m:t>
            </m:r>
          </m:e>
          <m:sub>
            <m:r>
              <m:rPr>
                <m:sty m:val="p"/>
              </m:rPr>
              <w:rPr>
                <w:rFonts w:ascii="Cambria Math" w:hAnsi="Cambria Math"/>
              </w:rPr>
              <m:t>occasion</m:t>
            </m:r>
          </m:sub>
          <m:sup>
            <m:r>
              <m:rPr>
                <m:sty m:val="p"/>
              </m:rPr>
              <w:rPr>
                <w:rFonts w:ascii="Cambria Math" w:hAnsi="Cambria Math"/>
              </w:rPr>
              <m:t>PSFCH</m:t>
            </m:r>
          </m:sup>
        </m:sSubSup>
      </m:oMath>
      <w:r w:rsidRPr="0059124C">
        <w:t xml:space="preserve">, </w:t>
      </w:r>
      <w:r w:rsidRPr="0059124C">
        <w:rPr>
          <w:iCs/>
        </w:rPr>
        <w:t xml:space="preserve">the UE determines </w:t>
      </w:r>
      <w:r>
        <w:rPr>
          <w:iCs/>
        </w:rPr>
        <w:t xml:space="preserve">a set of interlaces that includes </w:t>
      </w:r>
      <w:r w:rsidRPr="0059124C">
        <w:rPr>
          <w:iCs/>
        </w:rPr>
        <w:t xml:space="preserve">a number </w:t>
      </w:r>
      <m:oMath>
        <m:sSubSup>
          <m:sSubSupPr>
            <m:ctrlPr>
              <w:rPr>
                <w:rFonts w:ascii="Cambria Math" w:hAnsi="Cambria Math"/>
                <w:i/>
              </w:rPr>
            </m:ctrlPr>
          </m:sSubSupPr>
          <m:e>
            <m:r>
              <w:rPr>
                <w:rFonts w:ascii="Cambria Math"/>
              </w:rPr>
              <m:t>M</m:t>
            </m:r>
          </m:e>
          <m:sub>
            <m:r>
              <m:rPr>
                <m:nor/>
              </m:rPr>
              <w:rPr>
                <w:rFonts w:ascii="Cambria Math"/>
              </w:rPr>
              <m:t>interlace,</m:t>
            </m:r>
            <m:r>
              <m:rPr>
                <m:nor/>
              </m:rPr>
              <w:rPr>
                <w:rFonts w:ascii="Cambria Math"/>
                <w:i/>
              </w:rPr>
              <m:t>k</m:t>
            </m:r>
            <m:ctrlPr>
              <w:rPr>
                <w:rFonts w:ascii="Cambria Math" w:hAnsi="Cambria Math"/>
              </w:rPr>
            </m:ctrlPr>
          </m:sub>
          <m:sup>
            <m:r>
              <m:rPr>
                <m:nor/>
              </m:rPr>
              <w:rPr>
                <w:rFonts w:ascii="Cambria Math"/>
              </w:rPr>
              <m:t>PSFCH,</m:t>
            </m:r>
            <m:r>
              <m:rPr>
                <m:nor/>
              </m:rPr>
              <w:rPr>
                <w:rFonts w:ascii="Cambria Math"/>
                <w:i/>
              </w:rPr>
              <m:t>n</m:t>
            </m:r>
            <m:ctrlPr>
              <w:rPr>
                <w:rFonts w:ascii="Cambria Math" w:hAnsi="Cambria Math"/>
              </w:rPr>
            </m:ctrlPr>
          </m:sup>
        </m:sSubSup>
      </m:oMath>
      <w:r w:rsidRPr="0059124C">
        <w:t xml:space="preserve"> </w:t>
      </w:r>
      <w:r w:rsidRPr="0059124C">
        <w:rPr>
          <w:iCs/>
        </w:rPr>
        <w:t>of interlaces based on</w:t>
      </w:r>
      <w:r w:rsidRPr="0059124C">
        <w:rPr>
          <w:i/>
          <w:iCs/>
        </w:rPr>
        <w:t xml:space="preserve"> </w:t>
      </w:r>
      <w:r w:rsidR="00B31340">
        <w:rPr>
          <w:iCs/>
        </w:rPr>
        <w:t xml:space="preserve">the </w:t>
      </w:r>
      <m:oMath>
        <m:r>
          <w:rPr>
            <w:rFonts w:ascii="Cambria Math" w:hAnsi="Cambria Math"/>
          </w:rPr>
          <m:t>n</m:t>
        </m:r>
      </m:oMath>
      <w:r w:rsidR="00B31340" w:rsidRPr="007C178D">
        <w:rPr>
          <w:iCs/>
        </w:rPr>
        <w:t>-th indication provided by</w:t>
      </w:r>
      <w:r w:rsidR="00B31340" w:rsidRPr="007C178D">
        <w:rPr>
          <w:i/>
          <w:iCs/>
        </w:rPr>
        <w:t xml:space="preserve"> sl-PSFCH-RB-Set</w:t>
      </w:r>
      <w:r w:rsidR="00B31340">
        <w:rPr>
          <w:i/>
          <w:iCs/>
        </w:rPr>
        <w:t>List</w:t>
      </w:r>
      <w:r w:rsidR="00B31340" w:rsidRPr="007C178D">
        <w:rPr>
          <w:iCs/>
        </w:rPr>
        <w:t xml:space="preserve"> or </w:t>
      </w:r>
      <w:r w:rsidR="00257A05">
        <w:rPr>
          <w:i/>
          <w:iCs/>
        </w:rPr>
        <w:t>sl-IUC-</w:t>
      </w:r>
      <w:r w:rsidR="00257A05">
        <w:rPr>
          <w:i/>
          <w:iCs/>
        </w:rPr>
        <w:lastRenderedPageBreak/>
        <w:t>RB-SetList</w:t>
      </w:r>
      <w:r w:rsidR="00B31340" w:rsidRPr="007C178D">
        <w:t xml:space="preserve"> for HARQ-ACK information or conflict information, respectively</w:t>
      </w:r>
      <w:r w:rsidR="00B31340" w:rsidRPr="007C178D">
        <w:rPr>
          <w:iCs/>
        </w:rPr>
        <w:t xml:space="preserve">. </w:t>
      </w:r>
      <w:r w:rsidR="00B31340" w:rsidRPr="007C178D">
        <w:t>The UE expects that different interlaces are determined for conflict information and HARQ-ACK information</w:t>
      </w:r>
      <w:r w:rsidRPr="0059124C">
        <w:rPr>
          <w:iCs/>
        </w:rPr>
        <w:t xml:space="preserve">. </w:t>
      </w:r>
      <w:r>
        <w:rPr>
          <w:iCs/>
        </w:rPr>
        <w:t>The set of</w:t>
      </w:r>
      <w:r w:rsidRPr="0059124C">
        <w:rPr>
          <w:iCs/>
        </w:rPr>
        <w:t xml:space="preserve"> interlaces are </w:t>
      </w:r>
      <w:r>
        <w:rPr>
          <w:iCs/>
        </w:rPr>
        <w:t>indexed in an ascending order of</w:t>
      </w:r>
      <w:r w:rsidRPr="0059124C">
        <w:rPr>
          <w:iCs/>
        </w:rPr>
        <w:t xml:space="preserve"> interlace indexes. </w:t>
      </w:r>
      <w:r>
        <w:rPr>
          <w:iCs/>
        </w:rPr>
        <w:t>For each interlace of the set of interlaces, all</w:t>
      </w:r>
      <w:r w:rsidRPr="0059124C">
        <w:rPr>
          <w:iCs/>
        </w:rPr>
        <w:t xml:space="preserve"> PRBs in the interlace are available for PSFCH transmission</w:t>
      </w:r>
      <w:r w:rsidRPr="0059124C">
        <w:rPr>
          <w:i/>
          <w:iCs/>
        </w:rPr>
        <w:t xml:space="preserve">. </w:t>
      </w:r>
      <w:r w:rsidRPr="0059124C">
        <w:t xml:space="preserve">For a number of </w:t>
      </w:r>
      <m:oMath>
        <m:sSubSup>
          <m:sSubSupPr>
            <m:ctrlPr>
              <w:rPr>
                <w:rFonts w:ascii="Cambria Math" w:hAnsi="Cambria Math"/>
                <w:i/>
              </w:rPr>
            </m:ctrlPr>
          </m:sSubSupPr>
          <m:e>
            <m:r>
              <w:rPr>
                <w:rFonts w:ascii="Cambria Math" w:hAnsi="Cambria Math"/>
              </w:rPr>
              <m:t>N</m:t>
            </m:r>
          </m:e>
          <m:sub>
            <m:r>
              <m:rPr>
                <m:nor/>
              </m:rPr>
              <m:t>sub</m:t>
            </m:r>
            <m:r>
              <m:rPr>
                <m:nor/>
              </m:rPr>
              <w:rPr>
                <w:rFonts w:ascii="Cambria Math"/>
              </w:rPr>
              <m:t>ch</m:t>
            </m:r>
            <m:ctrlPr>
              <w:rPr>
                <w:rFonts w:ascii="Cambria Math" w:hAnsi="Cambria Math"/>
              </w:rPr>
            </m:ctrlPr>
          </m:sub>
          <m:sup>
            <m:r>
              <w:rPr>
                <w:rFonts w:ascii="Cambria Math" w:hAnsi="Cambria Math"/>
              </w:rPr>
              <m:t>k</m:t>
            </m:r>
          </m:sup>
        </m:sSubSup>
      </m:oMath>
      <w:r w:rsidRPr="0059124C">
        <w:t xml:space="preserve"> sub-channels in RB-set </w:t>
      </w:r>
      <m:oMath>
        <m:r>
          <w:rPr>
            <w:rFonts w:ascii="Cambria Math" w:hAnsi="Cambria Math"/>
          </w:rPr>
          <m:t>k</m:t>
        </m:r>
      </m:oMath>
      <w:r w:rsidRPr="0059124C">
        <w:t xml:space="preserve"> and a number of PSSCH slots that is not larger than </w:t>
      </w:r>
      <m:oMath>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oMath>
      <w:r w:rsidRPr="0059124C">
        <w:t xml:space="preserve"> and is associated with a slot for PSFCH transmission, the UE allocates the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i+j⋅</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e>
            </m:d>
            <m:r>
              <w:rPr>
                <w:rFonts w:ascii="Cambria Math" w:hAnsi="Cambria Math"/>
              </w:rPr>
              <m:t>⋅</m:t>
            </m:r>
            <m:sSubSup>
              <m:sSubSupPr>
                <m:ctrlPr>
                  <w:rPr>
                    <w:rFonts w:ascii="Cambria Math" w:hAnsi="Cambria Math"/>
                    <w:i/>
                  </w:rPr>
                </m:ctrlPr>
              </m:sSubSupPr>
              <m:e>
                <m:r>
                  <w:rPr>
                    <w:rFonts w:ascii="Cambria Math"/>
                  </w:rPr>
                  <m:t>M</m:t>
                </m:r>
              </m:e>
              <m:sub>
                <m:r>
                  <m:rPr>
                    <m:nor/>
                  </m:rPr>
                  <w:rPr>
                    <w:rFonts w:ascii="Cambria Math"/>
                  </w:rPr>
                  <m:t xml:space="preserve">subch, </m:t>
                </m:r>
                <m:r>
                  <m:rPr>
                    <m:sty m:val="p"/>
                  </m:rPr>
                  <w:rPr>
                    <w:rFonts w:ascii="Cambria Math"/>
                  </w:rPr>
                  <m:t>slot,</m:t>
                </m:r>
                <m:r>
                  <w:rPr>
                    <w:rFonts w:ascii="Cambria Math"/>
                  </w:rPr>
                  <m:t>k</m:t>
                </m:r>
                <m:ctrlPr>
                  <w:rPr>
                    <w:rFonts w:ascii="Cambria Math" w:hAnsi="Cambria Math"/>
                  </w:rPr>
                </m:ctrlPr>
              </m:sub>
              <m:sup>
                <m:r>
                  <m:rPr>
                    <m:nor/>
                  </m:rPr>
                  <w:rPr>
                    <w:rFonts w:ascii="Cambria Math"/>
                  </w:rPr>
                  <m:t>PSFCH,</m:t>
                </m:r>
                <m:r>
                  <m:rPr>
                    <m:nor/>
                  </m:rPr>
                  <w:rPr>
                    <w:rFonts w:ascii="Cambria Math"/>
                    <w:i/>
                  </w:rPr>
                  <m:t>n</m:t>
                </m:r>
                <m:ctrlPr>
                  <w:rPr>
                    <w:rFonts w:ascii="Cambria Math" w:hAnsi="Cambria Math"/>
                  </w:rPr>
                </m:ctrlPr>
              </m:sup>
            </m:sSubSup>
            <m:r>
              <w:rPr>
                <w:rFonts w:ascii="Cambria Math" w:hAnsi="Cambria Math"/>
              </w:rPr>
              <m:t xml:space="preserve">, </m:t>
            </m:r>
            <m:d>
              <m:dPr>
                <m:ctrlPr>
                  <w:rPr>
                    <w:rFonts w:ascii="Cambria Math" w:hAnsi="Cambria Math"/>
                    <w:i/>
                  </w:rPr>
                </m:ctrlPr>
              </m:dPr>
              <m:e>
                <m:r>
                  <w:rPr>
                    <w:rFonts w:ascii="Cambria Math" w:hAnsi="Cambria Math"/>
                  </w:rPr>
                  <m:t>i+1+j⋅</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e>
            </m:d>
            <m:r>
              <w:rPr>
                <w:rFonts w:ascii="Cambria Math" w:hAnsi="Cambria Math"/>
              </w:rPr>
              <m:t>⋅</m:t>
            </m:r>
            <m:sSubSup>
              <m:sSubSupPr>
                <m:ctrlPr>
                  <w:rPr>
                    <w:rFonts w:ascii="Cambria Math" w:hAnsi="Cambria Math"/>
                    <w:i/>
                  </w:rPr>
                </m:ctrlPr>
              </m:sSubSupPr>
              <m:e>
                <m:r>
                  <w:rPr>
                    <w:rFonts w:ascii="Cambria Math"/>
                  </w:rPr>
                  <m:t>M</m:t>
                </m:r>
              </m:e>
              <m:sub>
                <m:r>
                  <m:rPr>
                    <m:nor/>
                  </m:rPr>
                  <w:rPr>
                    <w:rFonts w:ascii="Cambria Math"/>
                  </w:rPr>
                  <m:t xml:space="preserve">subch, </m:t>
                </m:r>
                <m:r>
                  <m:rPr>
                    <m:sty m:val="p"/>
                  </m:rPr>
                  <w:rPr>
                    <w:rFonts w:ascii="Cambria Math"/>
                  </w:rPr>
                  <m:t>slot,</m:t>
                </m:r>
                <m:r>
                  <w:rPr>
                    <w:rFonts w:ascii="Cambria Math"/>
                  </w:rPr>
                  <m:t>k</m:t>
                </m:r>
                <m:ctrlPr>
                  <w:rPr>
                    <w:rFonts w:ascii="Cambria Math" w:hAnsi="Cambria Math"/>
                  </w:rPr>
                </m:ctrlPr>
              </m:sub>
              <m:sup>
                <m:r>
                  <m:rPr>
                    <m:nor/>
                  </m:rPr>
                  <w:rPr>
                    <w:rFonts w:ascii="Cambria Math"/>
                  </w:rPr>
                  <m:t>PSFCH,</m:t>
                </m:r>
                <m:r>
                  <m:rPr>
                    <m:nor/>
                  </m:rPr>
                  <w:rPr>
                    <w:rFonts w:ascii="Cambria Math"/>
                    <w:i/>
                  </w:rPr>
                  <m:t>n</m:t>
                </m:r>
                <m:ctrlPr>
                  <w:rPr>
                    <w:rFonts w:ascii="Cambria Math" w:hAnsi="Cambria Math"/>
                  </w:rPr>
                </m:ctrlPr>
              </m:sup>
            </m:sSubSup>
            <m:r>
              <w:rPr>
                <w:rFonts w:ascii="Cambria Math" w:hAnsi="Cambria Math"/>
              </w:rPr>
              <m:t>-1</m:t>
            </m:r>
          </m:e>
        </m:d>
      </m:oMath>
      <w:r w:rsidRPr="0059124C">
        <w:t xml:space="preserve"> interlaces from the </w:t>
      </w:r>
      <m:oMath>
        <m:sSubSup>
          <m:sSubSupPr>
            <m:ctrlPr>
              <w:rPr>
                <w:rFonts w:ascii="Cambria Math" w:hAnsi="Cambria Math"/>
                <w:i/>
              </w:rPr>
            </m:ctrlPr>
          </m:sSubSupPr>
          <m:e>
            <m:r>
              <w:rPr>
                <w:rFonts w:ascii="Cambria Math"/>
              </w:rPr>
              <m:t>M</m:t>
            </m:r>
          </m:e>
          <m:sub>
            <m:r>
              <m:rPr>
                <m:nor/>
              </m:rPr>
              <w:rPr>
                <w:rFonts w:ascii="Cambria Math"/>
              </w:rPr>
              <m:t>interlace,</m:t>
            </m:r>
            <m:r>
              <m:rPr>
                <m:nor/>
              </m:rPr>
              <w:rPr>
                <w:rFonts w:ascii="Cambria Math"/>
                <w:i/>
              </w:rPr>
              <m:t>k</m:t>
            </m:r>
            <m:ctrlPr>
              <w:rPr>
                <w:rFonts w:ascii="Cambria Math" w:hAnsi="Cambria Math"/>
              </w:rPr>
            </m:ctrlPr>
          </m:sub>
          <m:sup>
            <m:r>
              <m:rPr>
                <m:nor/>
              </m:rPr>
              <w:rPr>
                <w:rFonts w:ascii="Cambria Math"/>
              </w:rPr>
              <m:t>PSFCH,</m:t>
            </m:r>
            <m:r>
              <m:rPr>
                <m:nor/>
              </m:rPr>
              <w:rPr>
                <w:rFonts w:ascii="Cambria Math"/>
                <w:i/>
              </w:rPr>
              <m:t>n</m:t>
            </m:r>
            <m:ctrlPr>
              <w:rPr>
                <w:rFonts w:ascii="Cambria Math" w:hAnsi="Cambria Math"/>
              </w:rPr>
            </m:ctrlPr>
          </m:sup>
        </m:sSubSup>
      </m:oMath>
      <w:r w:rsidRPr="0059124C">
        <w:t xml:space="preserve"> interlaces to slot </w:t>
      </w:r>
      <m:oMath>
        <m:r>
          <w:rPr>
            <w:rFonts w:ascii="Cambria Math" w:hAnsi="Cambria Math"/>
          </w:rPr>
          <m:t>i</m:t>
        </m:r>
      </m:oMath>
      <w:r w:rsidRPr="0059124C">
        <w:t xml:space="preserve"> and sub-channel </w:t>
      </w:r>
      <m:oMath>
        <m:r>
          <w:rPr>
            <w:rFonts w:ascii="Cambria Math" w:hAnsi="Cambria Math"/>
          </w:rPr>
          <m:t>j</m:t>
        </m:r>
      </m:oMath>
      <w:r w:rsidRPr="0059124C">
        <w:t xml:space="preserve">, where </w:t>
      </w:r>
      <m:oMath>
        <m:sSubSup>
          <m:sSubSupPr>
            <m:ctrlPr>
              <w:rPr>
                <w:rFonts w:ascii="Cambria Math" w:hAnsi="Cambria Math"/>
                <w:i/>
              </w:rPr>
            </m:ctrlPr>
          </m:sSubSupPr>
          <m:e>
            <m:r>
              <w:rPr>
                <w:rFonts w:ascii="Cambria Math"/>
              </w:rPr>
              <m:t>M</m:t>
            </m:r>
          </m:e>
          <m:sub>
            <m:r>
              <m:rPr>
                <m:nor/>
              </m:rPr>
              <w:rPr>
                <w:rFonts w:ascii="Cambria Math"/>
              </w:rPr>
              <m:t xml:space="preserve">subch, </m:t>
            </m:r>
            <m:r>
              <m:rPr>
                <m:sty m:val="p"/>
              </m:rPr>
              <w:rPr>
                <w:rFonts w:ascii="Cambria Math"/>
              </w:rPr>
              <m:t>slot,</m:t>
            </m:r>
            <m:r>
              <w:rPr>
                <w:rFonts w:ascii="Cambria Math"/>
              </w:rPr>
              <m:t>k</m:t>
            </m:r>
            <m:ctrlPr>
              <w:rPr>
                <w:rFonts w:ascii="Cambria Math" w:hAnsi="Cambria Math"/>
              </w:rPr>
            </m:ctrlPr>
          </m:sub>
          <m:sup>
            <m:r>
              <m:rPr>
                <m:nor/>
              </m:rPr>
              <w:rPr>
                <w:rFonts w:ascii="Cambria Math"/>
              </w:rPr>
              <m:t>PSFCH,</m:t>
            </m:r>
            <m:r>
              <m:rPr>
                <m:nor/>
              </m:rPr>
              <w:rPr>
                <w:rFonts w:ascii="Cambria Math"/>
                <w:i/>
              </w:rPr>
              <m:t>n</m:t>
            </m:r>
            <m:ctrlPr>
              <w:rPr>
                <w:rFonts w:ascii="Cambria Math" w:hAnsi="Cambria Math"/>
              </w:rPr>
            </m:ctrlPr>
          </m:sup>
        </m:sSubSup>
        <m:r>
          <w:rPr>
            <w:rFonts w:ascii="Cambria Math" w:hAnsi="Cambria Math"/>
          </w:rPr>
          <m:t>=</m:t>
        </m:r>
        <m:f>
          <m:fPr>
            <m:type m:val="lin"/>
            <m:ctrlPr>
              <w:rPr>
                <w:rFonts w:ascii="Cambria Math" w:hAnsi="Cambria Math"/>
                <w:i/>
              </w:rPr>
            </m:ctrlPr>
          </m:fPr>
          <m:num>
            <m:sSubSup>
              <m:sSubSupPr>
                <m:ctrlPr>
                  <w:rPr>
                    <w:rFonts w:ascii="Cambria Math" w:hAnsi="Cambria Math"/>
                    <w:i/>
                  </w:rPr>
                </m:ctrlPr>
              </m:sSubSupPr>
              <m:e>
                <m:r>
                  <w:rPr>
                    <w:rFonts w:ascii="Cambria Math"/>
                  </w:rPr>
                  <m:t>M</m:t>
                </m:r>
              </m:e>
              <m:sub>
                <m:r>
                  <m:rPr>
                    <m:nor/>
                  </m:rPr>
                  <w:rPr>
                    <w:rFonts w:ascii="Cambria Math"/>
                  </w:rPr>
                  <m:t>interlace,</m:t>
                </m:r>
                <m:r>
                  <m:rPr>
                    <m:nor/>
                  </m:rPr>
                  <w:rPr>
                    <w:rFonts w:ascii="Cambria Math"/>
                    <w:i/>
                  </w:rPr>
                  <m:t>k</m:t>
                </m:r>
                <m:ctrlPr>
                  <w:rPr>
                    <w:rFonts w:ascii="Cambria Math" w:hAnsi="Cambria Math"/>
                  </w:rPr>
                </m:ctrlPr>
              </m:sub>
              <m:sup>
                <m:r>
                  <m:rPr>
                    <m:nor/>
                  </m:rPr>
                  <w:rPr>
                    <w:rFonts w:ascii="Cambria Math"/>
                  </w:rPr>
                  <m:t>PSFCH,</m:t>
                </m:r>
                <m:r>
                  <m:rPr>
                    <m:nor/>
                  </m:rPr>
                  <w:rPr>
                    <w:rFonts w:ascii="Cambria Math"/>
                    <w:i/>
                  </w:rPr>
                  <m:t>n</m:t>
                </m:r>
                <m:ctrlPr>
                  <w:rPr>
                    <w:rFonts w:ascii="Cambria Math" w:hAnsi="Cambria Math"/>
                  </w:rPr>
                </m:ctrlPr>
              </m:sup>
            </m:sSubSup>
          </m:num>
          <m:den>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nor/>
                      </m:rPr>
                      <m:t>sub</m:t>
                    </m:r>
                    <m:r>
                      <m:rPr>
                        <m:nor/>
                      </m:rPr>
                      <w:rPr>
                        <w:rFonts w:ascii="Cambria Math"/>
                      </w:rPr>
                      <m:t>ch</m:t>
                    </m:r>
                    <m:ctrlPr>
                      <w:rPr>
                        <w:rFonts w:ascii="Cambria Math" w:hAnsi="Cambria Math"/>
                      </w:rPr>
                    </m:ctrlP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e>
            </m:d>
          </m:den>
        </m:f>
      </m:oMath>
      <w:r w:rsidRPr="0059124C">
        <w:t xml:space="preserve">, </w:t>
      </w:r>
      <m:oMath>
        <m:r>
          <w:rPr>
            <w:rFonts w:ascii="Cambria Math" w:hAnsi="Cambria Math"/>
          </w:rPr>
          <m:t>0≤i&lt;</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oMath>
      <w:r w:rsidRPr="0059124C">
        <w:t xml:space="preserve">, </w:t>
      </w:r>
      <m:oMath>
        <m:r>
          <w:rPr>
            <w:rFonts w:ascii="Cambria Math" w:hAnsi="Cambria Math"/>
          </w:rPr>
          <m:t>0≤j&lt;</m:t>
        </m:r>
        <m:sSubSup>
          <m:sSubSupPr>
            <m:ctrlPr>
              <w:rPr>
                <w:rFonts w:ascii="Cambria Math" w:hAnsi="Cambria Math"/>
                <w:i/>
              </w:rPr>
            </m:ctrlPr>
          </m:sSubSupPr>
          <m:e>
            <m:r>
              <w:rPr>
                <w:rFonts w:ascii="Cambria Math" w:hAnsi="Cambria Math"/>
              </w:rPr>
              <m:t>N</m:t>
            </m:r>
          </m:e>
          <m:sub>
            <m:r>
              <m:rPr>
                <m:nor/>
              </m:rPr>
              <m:t>sub</m:t>
            </m:r>
            <m:r>
              <m:rPr>
                <m:nor/>
              </m:rPr>
              <w:rPr>
                <w:rFonts w:ascii="Cambria Math"/>
              </w:rPr>
              <m:t>ch</m:t>
            </m:r>
            <m:ctrlPr>
              <w:rPr>
                <w:rFonts w:ascii="Cambria Math" w:hAnsi="Cambria Math"/>
              </w:rPr>
            </m:ctrlPr>
          </m:sub>
          <m:sup>
            <m:r>
              <w:rPr>
                <w:rFonts w:ascii="Cambria Math" w:hAnsi="Cambria Math"/>
              </w:rPr>
              <m:t>k</m:t>
            </m:r>
          </m:sup>
        </m:sSubSup>
      </m:oMath>
      <w:r w:rsidRPr="0059124C">
        <w:t xml:space="preserve">. The allocation starts in an ascending order of </w:t>
      </w:r>
      <m:oMath>
        <m:r>
          <w:rPr>
            <w:rFonts w:ascii="Cambria Math" w:hAnsi="Cambria Math"/>
          </w:rPr>
          <m:t>i</m:t>
        </m:r>
      </m:oMath>
      <w:r w:rsidRPr="0059124C">
        <w:t xml:space="preserve"> and continues in an ascending order of </w:t>
      </w:r>
      <m:oMath>
        <m:r>
          <w:rPr>
            <w:rFonts w:ascii="Cambria Math" w:hAnsi="Cambria Math"/>
          </w:rPr>
          <m:t>j</m:t>
        </m:r>
      </m:oMath>
      <w:r w:rsidRPr="0059124C">
        <w:t xml:space="preserve">. The UE expects that </w:t>
      </w:r>
      <m:oMath>
        <m:sSubSup>
          <m:sSubSupPr>
            <m:ctrlPr>
              <w:rPr>
                <w:rFonts w:ascii="Cambria Math" w:hAnsi="Cambria Math"/>
                <w:i/>
              </w:rPr>
            </m:ctrlPr>
          </m:sSubSupPr>
          <m:e>
            <m:r>
              <w:rPr>
                <w:rFonts w:ascii="Cambria Math"/>
              </w:rPr>
              <m:t>M</m:t>
            </m:r>
          </m:e>
          <m:sub>
            <m:r>
              <m:rPr>
                <m:nor/>
              </m:rPr>
              <w:rPr>
                <w:rFonts w:ascii="Cambria Math"/>
              </w:rPr>
              <m:t>interlace,</m:t>
            </m:r>
            <m:r>
              <m:rPr>
                <m:nor/>
              </m:rPr>
              <w:rPr>
                <w:rFonts w:ascii="Cambria Math"/>
                <w:i/>
              </w:rPr>
              <m:t>k</m:t>
            </m:r>
            <m:ctrlPr>
              <w:rPr>
                <w:rFonts w:ascii="Cambria Math" w:hAnsi="Cambria Math"/>
              </w:rPr>
            </m:ctrlPr>
          </m:sub>
          <m:sup>
            <m:r>
              <m:rPr>
                <m:nor/>
              </m:rPr>
              <w:rPr>
                <w:rFonts w:ascii="Cambria Math"/>
              </w:rPr>
              <m:t>PSFCH,</m:t>
            </m:r>
            <m:r>
              <m:rPr>
                <m:nor/>
              </m:rPr>
              <w:rPr>
                <w:rFonts w:ascii="Cambria Math"/>
                <w:i/>
              </w:rPr>
              <m:t>n</m:t>
            </m:r>
            <m:ctrlPr>
              <w:rPr>
                <w:rFonts w:ascii="Cambria Math" w:hAnsi="Cambria Math"/>
              </w:rPr>
            </m:ctrlPr>
          </m:sup>
        </m:sSubSup>
      </m:oMath>
      <w:r w:rsidRPr="0059124C">
        <w:rPr>
          <w:rFonts w:hint="eastAsia"/>
          <w:lang w:eastAsia="ko-KR"/>
        </w:rPr>
        <w:t xml:space="preserve"> </w:t>
      </w:r>
      <w:r w:rsidRPr="0059124C">
        <w:t>is</w:t>
      </w:r>
      <w:r w:rsidRPr="0059124C">
        <w:rPr>
          <w:i/>
        </w:rPr>
        <w:t xml:space="preserve"> </w:t>
      </w:r>
      <w:r w:rsidRPr="0059124C">
        <w:t>a multiple of</w:t>
      </w:r>
      <w:r w:rsidRPr="0059124C">
        <w:rPr>
          <w:i/>
        </w:rPr>
        <w:t xml:space="preserve"> </w:t>
      </w:r>
      <m:oMath>
        <m:sSubSup>
          <m:sSubSupPr>
            <m:ctrlPr>
              <w:rPr>
                <w:rFonts w:ascii="Cambria Math" w:hAnsi="Cambria Math"/>
                <w:i/>
              </w:rPr>
            </m:ctrlPr>
          </m:sSubSupPr>
          <m:e>
            <m:r>
              <w:rPr>
                <w:rFonts w:ascii="Cambria Math" w:hAnsi="Cambria Math"/>
              </w:rPr>
              <m:t>N</m:t>
            </m:r>
          </m:e>
          <m:sub>
            <m:r>
              <m:rPr>
                <m:nor/>
              </m:rPr>
              <m:t>sub</m:t>
            </m:r>
            <m:r>
              <m:rPr>
                <m:nor/>
              </m:rPr>
              <w:rPr>
                <w:rFonts w:ascii="Cambria Math"/>
              </w:rPr>
              <m:t>ch</m:t>
            </m:r>
            <m:ctrlPr>
              <w:rPr>
                <w:rFonts w:ascii="Cambria Math" w:hAnsi="Cambria Math"/>
              </w:rPr>
            </m:ctrlP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oMath>
      <w:r w:rsidRPr="0059124C">
        <w:rPr>
          <w:i/>
        </w:rPr>
        <w:t>.</w:t>
      </w:r>
    </w:p>
    <w:p w14:paraId="0CFF47BC" w14:textId="77777777" w:rsidR="00257A05" w:rsidRPr="002C6323" w:rsidRDefault="00257A05" w:rsidP="00257A05">
      <w:pPr>
        <w:rPr>
          <w:bCs/>
          <w:szCs w:val="21"/>
        </w:rPr>
      </w:pPr>
      <w:r w:rsidRPr="0059124C">
        <w:t xml:space="preserve">For operation with shared spectrum channel access, when </w:t>
      </w:r>
      <w:r>
        <w:rPr>
          <w:i/>
        </w:rPr>
        <w:t>sl-TransmissionStructureForPSFCH</w:t>
      </w:r>
      <w:r w:rsidRPr="0059124C">
        <w:rPr>
          <w:i/>
        </w:rPr>
        <w:t xml:space="preserve"> = </w:t>
      </w:r>
      <w:r w:rsidRPr="00BC7538">
        <w:rPr>
          <w:iCs/>
        </w:rPr>
        <w:t>'</w:t>
      </w:r>
      <w:r w:rsidRPr="00B13856">
        <w:rPr>
          <w:iCs/>
        </w:rPr>
        <w:t xml:space="preserve"> </w:t>
      </w:r>
      <w:r>
        <w:rPr>
          <w:iCs/>
        </w:rPr>
        <w:t>commonInterlace</w:t>
      </w:r>
      <w:r w:rsidRPr="00BC7538">
        <w:rPr>
          <w:iCs/>
        </w:rPr>
        <w:t>'</w:t>
      </w:r>
      <w:r w:rsidRPr="0059124C">
        <w:t xml:space="preserve"> and within RB-set </w:t>
      </w:r>
      <m:oMath>
        <m:r>
          <w:rPr>
            <w:rFonts w:ascii="Cambria Math" w:hAnsi="Cambria Math"/>
          </w:rPr>
          <m:t>k</m:t>
        </m:r>
      </m:oMath>
      <w:r w:rsidRPr="0059124C">
        <w:t>, a UE determines</w:t>
      </w:r>
      <w:r>
        <w:t xml:space="preserve"> </w:t>
      </w:r>
      <w:r w:rsidRPr="0059124C">
        <w:t xml:space="preserve">a subset of PRBs in a first interlace and, based on </w:t>
      </w:r>
      <w:r w:rsidRPr="0059124C">
        <w:rPr>
          <w:i/>
          <w:iCs/>
        </w:rPr>
        <w:t>sl-PSFCH-RB-Set</w:t>
      </w:r>
      <w:r w:rsidRPr="007C178D">
        <w:rPr>
          <w:i/>
          <w:iCs/>
        </w:rPr>
        <w:t>List</w:t>
      </w:r>
      <w:r w:rsidRPr="0059124C">
        <w:t xml:space="preserve">, a subset of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PRB</m:t>
            </m:r>
          </m:sub>
          <m:sup>
            <m:r>
              <m:rPr>
                <m:sty m:val="p"/>
              </m:rPr>
              <w:rPr>
                <w:rFonts w:ascii="Cambria Math" w:hAnsi="Cambria Math"/>
              </w:rPr>
              <m:t>PSFCH</m:t>
            </m:r>
          </m:sup>
        </m:sSubSup>
      </m:oMath>
      <w:r w:rsidRPr="0059124C">
        <w:t xml:space="preserve"> PRBs in a second interlace for </w:t>
      </w:r>
      <w:r>
        <w:t xml:space="preserve">a </w:t>
      </w:r>
      <w:r w:rsidRPr="0059124C">
        <w:t>PSFCH transmission with HARQ-ACK information in a resource pool</w:t>
      </w:r>
      <w:r w:rsidRPr="007C178D">
        <w:t xml:space="preserve">, or based on </w:t>
      </w:r>
      <w:r>
        <w:rPr>
          <w:i/>
          <w:iCs/>
        </w:rPr>
        <w:t>sl-IUC-RB-SetList</w:t>
      </w:r>
      <w:r w:rsidRPr="007C178D">
        <w:t xml:space="preserve">, a subset of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PRB</m:t>
            </m:r>
          </m:sub>
          <m:sup>
            <m:r>
              <m:rPr>
                <m:sty m:val="p"/>
              </m:rPr>
              <w:rPr>
                <w:rFonts w:ascii="Cambria Math" w:hAnsi="Cambria Math"/>
              </w:rPr>
              <m:t>PSFCH</m:t>
            </m:r>
          </m:sup>
        </m:sSubSup>
      </m:oMath>
      <w:r w:rsidRPr="007C178D">
        <w:t xml:space="preserve"> PRBs in a second interlace for a PSFCH transmission with conflict information in a resource pool</w:t>
      </w:r>
      <w:r w:rsidRPr="0059124C">
        <w:rPr>
          <w:iCs/>
        </w:rPr>
        <w:t xml:space="preserve">. </w:t>
      </w:r>
      <w:r w:rsidRPr="0059124C">
        <w:rPr>
          <w:bCs/>
          <w:szCs w:val="21"/>
        </w:rPr>
        <w:t xml:space="preserve">An index of the first interlace is provided by </w:t>
      </w:r>
      <w:r w:rsidRPr="00DC7F70">
        <w:rPr>
          <w:bCs/>
          <w:i/>
          <w:szCs w:val="21"/>
        </w:rPr>
        <w:t>sl-PSFCH-CommonInterlaceIndex</w:t>
      </w:r>
      <w:r w:rsidRPr="0059124C">
        <w:rPr>
          <w:bCs/>
          <w:szCs w:val="21"/>
        </w:rPr>
        <w:t xml:space="preserve">. The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PRB</m:t>
            </m:r>
          </m:sub>
          <m:sup>
            <m:r>
              <m:rPr>
                <m:sty m:val="p"/>
              </m:rPr>
              <w:rPr>
                <w:rFonts w:ascii="Cambria Math" w:hAnsi="Cambria Math"/>
              </w:rPr>
              <m:t>PSFCH</m:t>
            </m:r>
          </m:sup>
        </m:sSubSup>
      </m:oMath>
      <w:r w:rsidRPr="0059124C">
        <w:t xml:space="preserve"> PRBs in the second interlace are provided by </w:t>
      </w:r>
      <w:r w:rsidRPr="00DC7F70">
        <w:rPr>
          <w:bCs/>
          <w:i/>
          <w:szCs w:val="21"/>
        </w:rPr>
        <w:t>sl-NumDedicatedPRBs-ForPSFCH</w:t>
      </w:r>
      <w:r w:rsidRPr="0059124C">
        <w:t xml:space="preserve"> </w:t>
      </w:r>
      <w:r w:rsidRPr="0059124C">
        <w:rPr>
          <w:iCs/>
        </w:rPr>
        <w:t>where,</w:t>
      </w:r>
      <w:r w:rsidRPr="0059124C">
        <w:rPr>
          <w:bCs/>
          <w:szCs w:val="21"/>
        </w:rPr>
        <w:t xml:space="preserve"> </w:t>
      </w:r>
      <w:r w:rsidRPr="0059124C">
        <w:rPr>
          <w:iCs/>
        </w:rPr>
        <w:t xml:space="preserve">for the </w:t>
      </w:r>
      <m:oMath>
        <m:r>
          <w:rPr>
            <w:rFonts w:ascii="Cambria Math" w:hAnsi="Cambria Math"/>
          </w:rPr>
          <m:t>n</m:t>
        </m:r>
      </m:oMath>
      <w:r w:rsidRPr="0059124C">
        <w:rPr>
          <w:iCs/>
        </w:rPr>
        <w:t xml:space="preserve">-th candidate PSFCH transmission occasion, </w:t>
      </w:r>
      <m:oMath>
        <m:r>
          <w:rPr>
            <w:rFonts w:ascii="Cambria Math" w:hAnsi="Cambria Math"/>
          </w:rPr>
          <m:t>1≤n≤</m:t>
        </m:r>
        <m:sSubSup>
          <m:sSubSupPr>
            <m:ctrlPr>
              <w:rPr>
                <w:rFonts w:ascii="Cambria Math" w:hAnsi="Cambria Math"/>
                <w:i/>
              </w:rPr>
            </m:ctrlPr>
          </m:sSubSupPr>
          <m:e>
            <m:r>
              <w:rPr>
                <w:rFonts w:ascii="Cambria Math" w:hAnsi="Cambria Math"/>
              </w:rPr>
              <m:t>N</m:t>
            </m:r>
          </m:e>
          <m:sub>
            <m:r>
              <m:rPr>
                <m:sty m:val="p"/>
              </m:rPr>
              <w:rPr>
                <w:rFonts w:ascii="Cambria Math" w:hAnsi="Cambria Math"/>
              </w:rPr>
              <m:t>occasion</m:t>
            </m:r>
          </m:sub>
          <m:sup>
            <m:r>
              <m:rPr>
                <m:sty m:val="p"/>
              </m:rPr>
              <w:rPr>
                <w:rFonts w:ascii="Cambria Math" w:hAnsi="Cambria Math"/>
              </w:rPr>
              <m:t>PSFCH</m:t>
            </m:r>
          </m:sup>
        </m:sSubSup>
      </m:oMath>
      <w:r w:rsidRPr="0059124C">
        <w:t xml:space="preserve">, and for each interlace </w:t>
      </w:r>
      <m:oMath>
        <m:r>
          <w:rPr>
            <w:rFonts w:ascii="Cambria Math" w:hAnsi="Cambria Math"/>
          </w:rPr>
          <m:t>l</m:t>
        </m:r>
      </m:oMath>
      <w:r w:rsidRPr="0059124C">
        <w:t xml:space="preserve">, the UE determines </w:t>
      </w:r>
      <m:oMath>
        <m:sSubSup>
          <m:sSubSupPr>
            <m:ctrlPr>
              <w:rPr>
                <w:rFonts w:ascii="Cambria Math" w:hAnsi="Cambria Math"/>
                <w:i/>
              </w:rPr>
            </m:ctrlPr>
          </m:sSubSupPr>
          <m:e>
            <m:r>
              <w:rPr>
                <w:rFonts w:ascii="Cambria Math"/>
              </w:rPr>
              <m:t>M</m:t>
            </m:r>
          </m:e>
          <m:sub>
            <m:r>
              <m:rPr>
                <m:nor/>
              </m:rPr>
              <w:rPr>
                <w:rFonts w:ascii="Cambria Math"/>
              </w:rPr>
              <m:t>PRB,</m:t>
            </m:r>
            <m:r>
              <m:rPr>
                <m:nor/>
              </m:rPr>
              <w:rPr>
                <w:rFonts w:ascii="Cambria Math"/>
                <w:i/>
              </w:rPr>
              <m:t>k, l</m:t>
            </m:r>
            <m:ctrlPr>
              <w:rPr>
                <w:rFonts w:ascii="Cambria Math" w:hAnsi="Cambria Math"/>
              </w:rPr>
            </m:ctrlPr>
          </m:sub>
          <m:sup>
            <m:r>
              <m:rPr>
                <m:nor/>
              </m:rPr>
              <w:rPr>
                <w:rFonts w:ascii="Cambria Math"/>
              </w:rPr>
              <m:t>PSFCH,</m:t>
            </m:r>
            <m:r>
              <m:rPr>
                <m:nor/>
              </m:rPr>
              <w:rPr>
                <w:rFonts w:ascii="Cambria Math"/>
                <w:i/>
              </w:rPr>
              <m:t>n</m:t>
            </m:r>
            <m:ctrlPr>
              <w:rPr>
                <w:rFonts w:ascii="Cambria Math" w:hAnsi="Cambria Math"/>
              </w:rPr>
            </m:ctrlPr>
          </m:sup>
        </m:sSubSup>
      </m:oMath>
      <w:r w:rsidRPr="0059124C">
        <w:t xml:space="preserve"> PRB</w:t>
      </w:r>
      <w:r>
        <w:t>s</w:t>
      </w:r>
      <w:r w:rsidRPr="0059124C">
        <w:t xml:space="preserve"> </w:t>
      </w:r>
      <w:r w:rsidRPr="0059124C">
        <w:rPr>
          <w:iCs/>
        </w:rPr>
        <w:t>based on</w:t>
      </w:r>
      <w:r w:rsidRPr="0059124C">
        <w:rPr>
          <w:i/>
          <w:iCs/>
        </w:rPr>
        <w:t xml:space="preserve"> </w:t>
      </w:r>
      <w:r>
        <w:rPr>
          <w:iCs/>
        </w:rPr>
        <w:t xml:space="preserve">the </w:t>
      </w:r>
      <m:oMath>
        <m:r>
          <w:rPr>
            <w:rFonts w:ascii="Cambria Math" w:hAnsi="Cambria Math"/>
          </w:rPr>
          <m:t>n</m:t>
        </m:r>
      </m:oMath>
      <w:r w:rsidRPr="007C178D">
        <w:rPr>
          <w:iCs/>
        </w:rPr>
        <w:t>-th</w:t>
      </w:r>
      <w:r w:rsidRPr="007C178D">
        <w:t xml:space="preserve"> indication provided by</w:t>
      </w:r>
      <w:r w:rsidRPr="007C178D">
        <w:rPr>
          <w:i/>
          <w:iCs/>
        </w:rPr>
        <w:t xml:space="preserve"> sl-PSFCH-RB-SetList</w:t>
      </w:r>
      <w:r w:rsidRPr="007C178D">
        <w:rPr>
          <w:iCs/>
        </w:rPr>
        <w:t xml:space="preserve"> or </w:t>
      </w:r>
      <w:r>
        <w:rPr>
          <w:i/>
          <w:iCs/>
        </w:rPr>
        <w:t>sl-IUC-RB-SetList</w:t>
      </w:r>
      <w:r w:rsidRPr="007C178D">
        <w:t xml:space="preserve"> for HARQ-ACK information or conflict information, respectively</w:t>
      </w:r>
      <w:r w:rsidRPr="007C178D">
        <w:rPr>
          <w:iCs/>
        </w:rPr>
        <w:t xml:space="preserve">. The UE expects that different subsets of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PRB</m:t>
            </m:r>
          </m:sub>
          <m:sup>
            <m:r>
              <m:rPr>
                <m:sty m:val="p"/>
              </m:rPr>
              <w:rPr>
                <w:rFonts w:ascii="Cambria Math" w:hAnsi="Cambria Math"/>
              </w:rPr>
              <m:t>PSFCH</m:t>
            </m:r>
          </m:sup>
        </m:sSubSup>
      </m:oMath>
      <w:r w:rsidRPr="007C178D">
        <w:t xml:space="preserve"> PRBs are determined for conflict information and HARQ-ACK information</w:t>
      </w:r>
      <w:r w:rsidRPr="0059124C">
        <w:rPr>
          <w:iCs/>
        </w:rPr>
        <w:t xml:space="preserve">. </w:t>
      </w:r>
      <w:r w:rsidRPr="0059124C">
        <w:t>The UE expects that</w:t>
      </w:r>
      <w:r w:rsidRPr="0059124C">
        <w:rPr>
          <w:iCs/>
        </w:rPr>
        <w:t xml:space="preserve"> </w:t>
      </w:r>
      <m:oMath>
        <m:sSubSup>
          <m:sSubSupPr>
            <m:ctrlPr>
              <w:rPr>
                <w:rFonts w:ascii="Cambria Math" w:hAnsi="Cambria Math"/>
                <w:i/>
              </w:rPr>
            </m:ctrlPr>
          </m:sSubSupPr>
          <m:e>
            <m:r>
              <w:rPr>
                <w:rFonts w:ascii="Cambria Math"/>
              </w:rPr>
              <m:t>M</m:t>
            </m:r>
          </m:e>
          <m:sub>
            <m:r>
              <m:rPr>
                <m:nor/>
              </m:rPr>
              <w:rPr>
                <w:rFonts w:ascii="Cambria Math"/>
              </w:rPr>
              <m:t>PRB,</m:t>
            </m:r>
            <m:r>
              <m:rPr>
                <m:nor/>
              </m:rPr>
              <w:rPr>
                <w:rFonts w:ascii="Cambria Math"/>
                <w:i/>
              </w:rPr>
              <m:t>k,l</m:t>
            </m:r>
            <m:ctrlPr>
              <w:rPr>
                <w:rFonts w:ascii="Cambria Math" w:hAnsi="Cambria Math"/>
              </w:rPr>
            </m:ctrlPr>
          </m:sub>
          <m:sup>
            <m:r>
              <m:rPr>
                <m:nor/>
              </m:rPr>
              <w:rPr>
                <w:rFonts w:ascii="Cambria Math"/>
              </w:rPr>
              <m:t>PSFCH,</m:t>
            </m:r>
            <m:r>
              <m:rPr>
                <m:nor/>
              </m:rPr>
              <w:rPr>
                <w:rFonts w:ascii="Cambria Math"/>
                <w:i/>
              </w:rPr>
              <m:t>n</m:t>
            </m:r>
            <m:ctrlPr>
              <w:rPr>
                <w:rFonts w:ascii="Cambria Math" w:hAnsi="Cambria Math"/>
              </w:rPr>
            </m:ctrlPr>
          </m:sup>
        </m:sSubSup>
      </m:oMath>
      <w:r w:rsidRPr="0059124C">
        <w:t xml:space="preserve"> is a multiple of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PRB</m:t>
            </m:r>
          </m:sub>
          <m:sup>
            <m:r>
              <m:rPr>
                <m:sty m:val="p"/>
              </m:rPr>
              <w:rPr>
                <w:rFonts w:ascii="Cambria Math" w:hAnsi="Cambria Math"/>
              </w:rPr>
              <m:t>PSFCH</m:t>
            </m:r>
          </m:sup>
        </m:sSubSup>
      </m:oMath>
      <w:r w:rsidRPr="0059124C">
        <w:t xml:space="preserve">. For interlace </w:t>
      </w:r>
      <m:oMath>
        <m:r>
          <w:rPr>
            <w:rFonts w:ascii="Cambria Math" w:hAnsi="Cambria Math"/>
          </w:rPr>
          <m:t>l</m:t>
        </m:r>
      </m:oMath>
      <w:r w:rsidRPr="0059124C">
        <w:t xml:space="preserve">, the UE determines a PRB subset with index </w:t>
      </w:r>
      <m:oMath>
        <m:r>
          <w:rPr>
            <w:rFonts w:ascii="Cambria Math" w:hAnsi="Cambria Math"/>
          </w:rPr>
          <m:t>s</m:t>
        </m:r>
      </m:oMath>
      <w:r w:rsidRPr="0059124C">
        <w:t xml:space="preserve"> to </w:t>
      </w:r>
      <w:r w:rsidRPr="002C6323">
        <w:t xml:space="preserve">include PRBs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N</m:t>
                </m:r>
              </m:e>
              <m:sub>
                <m:r>
                  <m:rPr>
                    <m:sty m:val="p"/>
                  </m:rPr>
                  <w:rPr>
                    <w:rFonts w:ascii="Cambria Math" w:hAnsi="Cambria Math"/>
                  </w:rPr>
                  <m:t>PRB</m:t>
                </m:r>
              </m:sub>
              <m:sup>
                <m:r>
                  <m:rPr>
                    <m:sty m:val="p"/>
                  </m:rPr>
                  <w:rPr>
                    <w:rFonts w:ascii="Cambria Math" w:hAnsi="Cambria Math"/>
                  </w:rPr>
                  <m:t>PSFCH</m:t>
                </m:r>
              </m:sup>
            </m:sSubSup>
            <m:r>
              <w:rPr>
                <w:rFonts w:ascii="Cambria Math" w:hAnsi="Cambria Math"/>
              </w:rPr>
              <m:t>⋅s</m:t>
            </m:r>
            <m:r>
              <m:rPr>
                <m:sty m:val="p"/>
              </m:rPr>
              <w:rPr>
                <w:rFonts w:ascii="Cambria Math" w:hAnsi="Cambria Math"/>
              </w:rPr>
              <m:t xml:space="preserve">, </m:t>
            </m:r>
            <m:sSubSup>
              <m:sSubSupPr>
                <m:ctrlPr>
                  <w:rPr>
                    <w:rFonts w:ascii="Cambria Math" w:hAnsi="Cambria Math"/>
                    <w:i/>
                  </w:rPr>
                </m:ctrlPr>
              </m:sSubSupPr>
              <m:e>
                <m:r>
                  <w:rPr>
                    <w:rFonts w:ascii="Cambria Math" w:hAnsi="Cambria Math"/>
                  </w:rPr>
                  <m:t>N</m:t>
                </m:r>
              </m:e>
              <m:sub>
                <m:r>
                  <m:rPr>
                    <m:sty m:val="p"/>
                  </m:rPr>
                  <w:rPr>
                    <w:rFonts w:ascii="Cambria Math" w:hAnsi="Cambria Math"/>
                  </w:rPr>
                  <m:t>PRB</m:t>
                </m:r>
              </m:sub>
              <m:sup>
                <m:r>
                  <m:rPr>
                    <m:sty m:val="p"/>
                  </m:rPr>
                  <w:rPr>
                    <w:rFonts w:ascii="Cambria Math" w:hAnsi="Cambria Math"/>
                  </w:rPr>
                  <m:t>PSFCH</m:t>
                </m:r>
              </m:sup>
            </m:sSubSup>
            <m:r>
              <w:rPr>
                <w:rFonts w:ascii="Cambria Math" w:hAnsi="Cambria Math"/>
              </w:rPr>
              <m:t>⋅s+1</m:t>
            </m:r>
            <m:r>
              <m:rPr>
                <m:sty m:val="p"/>
              </m:rPr>
              <w:rPr>
                <w:rFonts w:ascii="Cambria Math" w:hAnsi="Cambria Math"/>
              </w:rPr>
              <m:t xml:space="preserve">, …, </m:t>
            </m:r>
            <m:sSubSup>
              <m:sSubSupPr>
                <m:ctrlPr>
                  <w:rPr>
                    <w:rFonts w:ascii="Cambria Math" w:hAnsi="Cambria Math"/>
                    <w:i/>
                  </w:rPr>
                </m:ctrlPr>
              </m:sSubSupPr>
              <m:e>
                <m:r>
                  <w:rPr>
                    <w:rFonts w:ascii="Cambria Math" w:hAnsi="Cambria Math"/>
                  </w:rPr>
                  <m:t>N</m:t>
                </m:r>
              </m:e>
              <m:sub>
                <m:r>
                  <m:rPr>
                    <m:sty m:val="p"/>
                  </m:rPr>
                  <w:rPr>
                    <w:rFonts w:ascii="Cambria Math" w:hAnsi="Cambria Math"/>
                  </w:rPr>
                  <m:t>PRB</m:t>
                </m:r>
              </m:sub>
              <m:sup>
                <m:r>
                  <m:rPr>
                    <m:sty m:val="p"/>
                  </m:rPr>
                  <w:rPr>
                    <w:rFonts w:ascii="Cambria Math" w:hAnsi="Cambria Math"/>
                  </w:rPr>
                  <m:t>PSFCH</m:t>
                </m:r>
              </m:sup>
            </m:sSubSup>
            <m:r>
              <w:rPr>
                <w:rFonts w:ascii="Cambria Math" w:hAnsi="Cambria Math"/>
              </w:rPr>
              <m:t>⋅</m:t>
            </m:r>
            <m:d>
              <m:dPr>
                <m:ctrlPr>
                  <w:rPr>
                    <w:rFonts w:ascii="Cambria Math" w:hAnsi="Cambria Math"/>
                    <w:i/>
                  </w:rPr>
                </m:ctrlPr>
              </m:dPr>
              <m:e>
                <m:r>
                  <w:rPr>
                    <w:rFonts w:ascii="Cambria Math" w:hAnsi="Cambria Math"/>
                  </w:rPr>
                  <m:t>s+1</m:t>
                </m:r>
              </m:e>
            </m:d>
            <m:r>
              <w:rPr>
                <w:rFonts w:ascii="Cambria Math" w:hAnsi="Cambria Math"/>
              </w:rPr>
              <m:t>-1</m:t>
            </m:r>
          </m:e>
        </m:d>
      </m:oMath>
      <w:r w:rsidRPr="002C6323">
        <w:t xml:space="preserve">, </w:t>
      </w:r>
      <m:oMath>
        <m:r>
          <w:rPr>
            <w:rFonts w:ascii="Cambria Math" w:hAnsi="Cambria Math"/>
          </w:rPr>
          <m:t>0≤s≤</m:t>
        </m:r>
        <m:sSubSup>
          <m:sSubSupPr>
            <m:ctrlPr>
              <w:rPr>
                <w:rFonts w:ascii="Cambria Math" w:hAnsi="Cambria Math"/>
                <w:i/>
              </w:rPr>
            </m:ctrlPr>
          </m:sSubSupPr>
          <m:e>
            <m:r>
              <w:rPr>
                <w:rFonts w:ascii="Cambria Math"/>
              </w:rPr>
              <m:t>M</m:t>
            </m:r>
          </m:e>
          <m:sub>
            <m:r>
              <m:rPr>
                <m:nor/>
              </m:rPr>
              <w:rPr>
                <w:rFonts w:ascii="Cambria Math"/>
              </w:rPr>
              <m:t>PRB,</m:t>
            </m:r>
            <m:r>
              <m:rPr>
                <m:nor/>
              </m:rPr>
              <w:rPr>
                <w:rFonts w:ascii="Cambria Math"/>
                <w:i/>
              </w:rPr>
              <m:t>k,l</m:t>
            </m:r>
            <m:ctrlPr>
              <w:rPr>
                <w:rFonts w:ascii="Cambria Math" w:hAnsi="Cambria Math"/>
              </w:rPr>
            </m:ctrlPr>
          </m:sub>
          <m:sup>
            <m:r>
              <m:rPr>
                <m:nor/>
              </m:rPr>
              <w:rPr>
                <w:rFonts w:ascii="Cambria Math"/>
              </w:rPr>
              <m:t>PSFCH,</m:t>
            </m:r>
            <m:r>
              <m:rPr>
                <m:nor/>
              </m:rPr>
              <w:rPr>
                <w:rFonts w:ascii="Cambria Math"/>
                <w:i/>
              </w:rPr>
              <m:t>n</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PRB</m:t>
            </m:r>
          </m:sub>
          <m:sup>
            <m:r>
              <m:rPr>
                <m:sty m:val="p"/>
              </m:rPr>
              <w:rPr>
                <w:rFonts w:ascii="Cambria Math" w:hAnsi="Cambria Math"/>
              </w:rPr>
              <m:t>PSFCH</m:t>
            </m:r>
          </m:sup>
        </m:sSubSup>
        <m:r>
          <w:rPr>
            <w:rFonts w:ascii="Cambria Math" w:hAnsi="Cambria Math"/>
          </w:rPr>
          <m:t>-1</m:t>
        </m:r>
      </m:oMath>
      <w:r w:rsidRPr="002C6323">
        <w:t xml:space="preserve">. The UE </w:t>
      </w:r>
      <w:r w:rsidRPr="004A4F07">
        <w:t xml:space="preserve">determines the </w:t>
      </w:r>
      <m:oMath>
        <m:sSubSup>
          <m:sSubSupPr>
            <m:ctrlPr>
              <w:rPr>
                <w:rFonts w:ascii="Cambria Math" w:hAnsi="Cambria Math"/>
                <w:i/>
              </w:rPr>
            </m:ctrlPr>
          </m:sSubSupPr>
          <m:e>
            <m:r>
              <w:rPr>
                <w:rFonts w:ascii="Cambria Math"/>
              </w:rPr>
              <m:t>M</m:t>
            </m:r>
          </m:e>
          <m:sub>
            <m:r>
              <m:rPr>
                <m:nor/>
              </m:rPr>
              <w:rPr>
                <w:rFonts w:ascii="Cambria Math"/>
              </w:rPr>
              <m:t>subset,</m:t>
            </m:r>
            <m:r>
              <m:rPr>
                <m:nor/>
              </m:rPr>
              <w:rPr>
                <w:rFonts w:ascii="Cambria Math"/>
                <w:i/>
              </w:rPr>
              <m:t>k</m:t>
            </m:r>
            <m:ctrlPr>
              <w:rPr>
                <w:rFonts w:ascii="Cambria Math" w:hAnsi="Cambria Math"/>
              </w:rPr>
            </m:ctrlPr>
          </m:sub>
          <m:sup>
            <m:r>
              <m:rPr>
                <m:nor/>
              </m:rPr>
              <w:rPr>
                <w:rFonts w:ascii="Cambria Math"/>
              </w:rPr>
              <m:t>PSFCH,</m:t>
            </m:r>
            <m:r>
              <m:rPr>
                <m:nor/>
              </m:rPr>
              <w:rPr>
                <w:rFonts w:ascii="Cambria Math"/>
                <w:i/>
              </w:rPr>
              <m:t>n</m:t>
            </m:r>
            <m:ctrlPr>
              <w:rPr>
                <w:rFonts w:ascii="Cambria Math" w:hAnsi="Cambria Math"/>
              </w:rPr>
            </m:ctrlPr>
          </m:sup>
        </m:sSubSup>
      </m:oMath>
      <w:r w:rsidRPr="004A4F07">
        <w:t xml:space="preserve"> PRB subsets by ordering the PRB subsets first in an ascending order of PRB subset index within an interlace and second in ascending order of interlace index, where </w:t>
      </w:r>
      <m:oMath>
        <m:sSubSup>
          <m:sSubSupPr>
            <m:ctrlPr>
              <w:rPr>
                <w:rFonts w:ascii="Cambria Math" w:hAnsi="Cambria Math"/>
                <w:i/>
              </w:rPr>
            </m:ctrlPr>
          </m:sSubSupPr>
          <m:e>
            <m:r>
              <w:rPr>
                <w:rFonts w:ascii="Cambria Math" w:hAnsi="Cambria Math"/>
              </w:rPr>
              <m:t>M</m:t>
            </m:r>
          </m:e>
          <m:sub>
            <m:r>
              <m:rPr>
                <m:nor/>
              </m:rPr>
              <m:t>subset,</m:t>
            </m:r>
            <m:r>
              <m:rPr>
                <m:nor/>
              </m:rPr>
              <w:rPr>
                <w:i/>
              </w:rPr>
              <m:t>k</m:t>
            </m:r>
            <m:ctrlPr>
              <w:rPr>
                <w:rFonts w:ascii="Cambria Math" w:hAnsi="Cambria Math"/>
              </w:rPr>
            </m:ctrlPr>
          </m:sub>
          <m:sup>
            <m:r>
              <m:rPr>
                <m:nor/>
              </m:rPr>
              <m:t>PSFCH,</m:t>
            </m:r>
            <m:r>
              <m:rPr>
                <m:nor/>
              </m:rPr>
              <w:rPr>
                <w:i/>
              </w:rPr>
              <m:t>n</m:t>
            </m:r>
            <m:ctrlPr>
              <w:rPr>
                <w:rFonts w:ascii="Cambria Math" w:hAnsi="Cambria Math"/>
              </w:rPr>
            </m:ctrlPr>
          </m:sup>
        </m:sSubSup>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l</m:t>
            </m:r>
          </m:sub>
          <m:sup/>
          <m:e>
            <m:sSubSup>
              <m:sSubSupPr>
                <m:ctrlPr>
                  <w:rPr>
                    <w:rFonts w:ascii="Cambria Math" w:hAnsi="Cambria Math"/>
                    <w:i/>
                  </w:rPr>
                </m:ctrlPr>
              </m:sSubSupPr>
              <m:e>
                <m:r>
                  <w:rPr>
                    <w:rFonts w:ascii="Cambria Math" w:hAnsi="Cambria Math"/>
                  </w:rPr>
                  <m:t>M</m:t>
                </m:r>
              </m:e>
              <m:sub>
                <m:r>
                  <m:rPr>
                    <m:nor/>
                  </m:rPr>
                  <m:t>PRB,</m:t>
                </m:r>
                <m:r>
                  <m:rPr>
                    <m:nor/>
                  </m:rPr>
                  <w:rPr>
                    <w:i/>
                  </w:rPr>
                  <m:t>k,l</m:t>
                </m:r>
                <m:ctrlPr>
                  <w:rPr>
                    <w:rFonts w:ascii="Cambria Math" w:hAnsi="Cambria Math"/>
                  </w:rPr>
                </m:ctrlPr>
              </m:sub>
              <m:sup>
                <m:r>
                  <m:rPr>
                    <m:nor/>
                  </m:rPr>
                  <m:t>PSFCH,</m:t>
                </m:r>
                <m:r>
                  <m:rPr>
                    <m:nor/>
                  </m:rPr>
                  <w:rPr>
                    <w:i/>
                  </w:rPr>
                  <m:t>n</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PRB</m:t>
                </m:r>
              </m:sub>
              <m:sup>
                <m:r>
                  <m:rPr>
                    <m:sty m:val="p"/>
                  </m:rPr>
                  <w:rPr>
                    <w:rFonts w:ascii="Cambria Math" w:hAnsi="Cambria Math"/>
                  </w:rPr>
                  <m:t>PSFCH</m:t>
                </m:r>
              </m:sup>
            </m:sSubSup>
          </m:e>
        </m:nary>
      </m:oMath>
      <w:r w:rsidRPr="004A4F07">
        <w:t xml:space="preserve">. For a number of </w:t>
      </w:r>
      <m:oMath>
        <m:sSubSup>
          <m:sSubSupPr>
            <m:ctrlPr>
              <w:rPr>
                <w:rFonts w:ascii="Cambria Math" w:hAnsi="Cambria Math"/>
                <w:i/>
              </w:rPr>
            </m:ctrlPr>
          </m:sSubSupPr>
          <m:e>
            <m:r>
              <w:rPr>
                <w:rFonts w:ascii="Cambria Math" w:hAnsi="Cambria Math"/>
              </w:rPr>
              <m:t>N</m:t>
            </m:r>
          </m:e>
          <m:sub>
            <m:r>
              <m:rPr>
                <m:nor/>
              </m:rPr>
              <m:t>sub</m:t>
            </m:r>
            <m:r>
              <m:rPr>
                <m:nor/>
              </m:rPr>
              <w:rPr>
                <w:rFonts w:ascii="Cambria Math"/>
              </w:rPr>
              <m:t>ch</m:t>
            </m:r>
            <m:ctrlPr>
              <w:rPr>
                <w:rFonts w:ascii="Cambria Math" w:hAnsi="Cambria Math"/>
              </w:rPr>
            </m:ctrlPr>
          </m:sub>
          <m:sup>
            <m:r>
              <w:rPr>
                <w:rFonts w:ascii="Cambria Math" w:hAnsi="Cambria Math"/>
              </w:rPr>
              <m:t>k</m:t>
            </m:r>
          </m:sup>
        </m:sSubSup>
      </m:oMath>
      <w:r w:rsidRPr="004A4F07">
        <w:t xml:space="preserve"> sub-channels in RB-set </w:t>
      </w:r>
      <m:oMath>
        <m:r>
          <w:rPr>
            <w:rFonts w:ascii="Cambria Math" w:hAnsi="Cambria Math"/>
          </w:rPr>
          <m:t>k</m:t>
        </m:r>
      </m:oMath>
      <w:r w:rsidRPr="004A4F07">
        <w:t xml:space="preserve"> and a number of slots for PSSCH transmissions that is not larger than </w:t>
      </w:r>
      <m:oMath>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oMath>
      <w:r w:rsidRPr="004A4F07">
        <w:t xml:space="preserve"> and is associated with a slot for PSFCH transmission, the UE allocates the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i+j⋅</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e>
            </m:d>
            <m:r>
              <w:rPr>
                <w:rFonts w:ascii="Cambria Math" w:hAnsi="Cambria Math"/>
              </w:rPr>
              <m:t>⋅</m:t>
            </m:r>
            <m:sSubSup>
              <m:sSubSupPr>
                <m:ctrlPr>
                  <w:rPr>
                    <w:rFonts w:ascii="Cambria Math" w:hAnsi="Cambria Math"/>
                    <w:i/>
                  </w:rPr>
                </m:ctrlPr>
              </m:sSubSupPr>
              <m:e>
                <m:r>
                  <w:rPr>
                    <w:rFonts w:ascii="Cambria Math"/>
                  </w:rPr>
                  <m:t>M</m:t>
                </m:r>
              </m:e>
              <m:sub>
                <m:r>
                  <m:rPr>
                    <m:nor/>
                  </m:rPr>
                  <w:rPr>
                    <w:rFonts w:ascii="Cambria Math"/>
                  </w:rPr>
                  <m:t xml:space="preserve">subch, </m:t>
                </m:r>
                <m:r>
                  <m:rPr>
                    <m:sty m:val="p"/>
                  </m:rPr>
                  <w:rPr>
                    <w:rFonts w:ascii="Cambria Math"/>
                  </w:rPr>
                  <m:t>slot,</m:t>
                </m:r>
                <m:r>
                  <w:rPr>
                    <w:rFonts w:ascii="Cambria Math"/>
                  </w:rPr>
                  <m:t>k</m:t>
                </m:r>
                <m:ctrlPr>
                  <w:rPr>
                    <w:rFonts w:ascii="Cambria Math" w:hAnsi="Cambria Math"/>
                  </w:rPr>
                </m:ctrlPr>
              </m:sub>
              <m:sup>
                <m:r>
                  <m:rPr>
                    <m:nor/>
                  </m:rPr>
                  <w:rPr>
                    <w:rFonts w:ascii="Cambria Math"/>
                  </w:rPr>
                  <m:t>PSFCH,</m:t>
                </m:r>
                <m:r>
                  <m:rPr>
                    <m:nor/>
                  </m:rPr>
                  <w:rPr>
                    <w:rFonts w:ascii="Cambria Math"/>
                    <w:i/>
                  </w:rPr>
                  <m:t>n</m:t>
                </m:r>
                <m:ctrlPr>
                  <w:rPr>
                    <w:rFonts w:ascii="Cambria Math" w:hAnsi="Cambria Math"/>
                  </w:rPr>
                </m:ctrlPr>
              </m:sup>
            </m:sSubSup>
            <m:r>
              <w:rPr>
                <w:rFonts w:ascii="Cambria Math" w:hAnsi="Cambria Math"/>
              </w:rPr>
              <m:t xml:space="preserve">, </m:t>
            </m:r>
            <m:d>
              <m:dPr>
                <m:ctrlPr>
                  <w:rPr>
                    <w:rFonts w:ascii="Cambria Math" w:hAnsi="Cambria Math"/>
                    <w:i/>
                  </w:rPr>
                </m:ctrlPr>
              </m:dPr>
              <m:e>
                <m:r>
                  <w:rPr>
                    <w:rFonts w:ascii="Cambria Math" w:hAnsi="Cambria Math"/>
                  </w:rPr>
                  <m:t>i+j⋅</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e>
            </m:d>
            <m:r>
              <w:rPr>
                <w:rFonts w:ascii="Cambria Math" w:hAnsi="Cambria Math"/>
              </w:rPr>
              <m:t>⋅</m:t>
            </m:r>
            <m:sSubSup>
              <m:sSubSupPr>
                <m:ctrlPr>
                  <w:rPr>
                    <w:rFonts w:ascii="Cambria Math" w:hAnsi="Cambria Math"/>
                    <w:i/>
                  </w:rPr>
                </m:ctrlPr>
              </m:sSubSupPr>
              <m:e>
                <m:r>
                  <w:rPr>
                    <w:rFonts w:ascii="Cambria Math"/>
                  </w:rPr>
                  <m:t>M</m:t>
                </m:r>
              </m:e>
              <m:sub>
                <m:r>
                  <m:rPr>
                    <m:nor/>
                  </m:rPr>
                  <w:rPr>
                    <w:rFonts w:ascii="Cambria Math"/>
                  </w:rPr>
                  <m:t xml:space="preserve">subch, </m:t>
                </m:r>
                <m:r>
                  <m:rPr>
                    <m:sty m:val="p"/>
                  </m:rPr>
                  <w:rPr>
                    <w:rFonts w:ascii="Cambria Math"/>
                  </w:rPr>
                  <m:t>slot,</m:t>
                </m:r>
                <m:r>
                  <w:rPr>
                    <w:rFonts w:ascii="Cambria Math"/>
                  </w:rPr>
                  <m:t>k</m:t>
                </m:r>
                <m:ctrlPr>
                  <w:rPr>
                    <w:rFonts w:ascii="Cambria Math" w:hAnsi="Cambria Math"/>
                  </w:rPr>
                </m:ctrlPr>
              </m:sub>
              <m:sup>
                <m:r>
                  <m:rPr>
                    <m:nor/>
                  </m:rPr>
                  <w:rPr>
                    <w:rFonts w:ascii="Cambria Math"/>
                  </w:rPr>
                  <m:t>PSFCH,</m:t>
                </m:r>
                <m:r>
                  <m:rPr>
                    <m:nor/>
                  </m:rPr>
                  <w:rPr>
                    <w:rFonts w:ascii="Cambria Math"/>
                    <w:i/>
                  </w:rPr>
                  <m:t>n</m:t>
                </m:r>
                <m:ctrlPr>
                  <w:rPr>
                    <w:rFonts w:ascii="Cambria Math" w:hAnsi="Cambria Math"/>
                  </w:rPr>
                </m:ctrlPr>
              </m:sup>
            </m:sSubSup>
            <m:r>
              <w:rPr>
                <w:rFonts w:ascii="Cambria Math" w:hAnsi="Cambria Math"/>
              </w:rPr>
              <m:t xml:space="preserve">+1, …, </m:t>
            </m:r>
            <m:d>
              <m:dPr>
                <m:ctrlPr>
                  <w:rPr>
                    <w:rFonts w:ascii="Cambria Math" w:hAnsi="Cambria Math"/>
                    <w:i/>
                  </w:rPr>
                </m:ctrlPr>
              </m:dPr>
              <m:e>
                <m:r>
                  <w:rPr>
                    <w:rFonts w:ascii="Cambria Math" w:hAnsi="Cambria Math"/>
                  </w:rPr>
                  <m:t>i+1+j⋅</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e>
            </m:d>
            <m:r>
              <w:rPr>
                <w:rFonts w:ascii="Cambria Math" w:hAnsi="Cambria Math"/>
              </w:rPr>
              <m:t>⋅</m:t>
            </m:r>
            <m:sSubSup>
              <m:sSubSupPr>
                <m:ctrlPr>
                  <w:rPr>
                    <w:rFonts w:ascii="Cambria Math" w:hAnsi="Cambria Math"/>
                    <w:i/>
                  </w:rPr>
                </m:ctrlPr>
              </m:sSubSupPr>
              <m:e>
                <m:r>
                  <w:rPr>
                    <w:rFonts w:ascii="Cambria Math"/>
                  </w:rPr>
                  <m:t>M</m:t>
                </m:r>
              </m:e>
              <m:sub>
                <m:r>
                  <m:rPr>
                    <m:nor/>
                  </m:rPr>
                  <w:rPr>
                    <w:rFonts w:ascii="Cambria Math"/>
                  </w:rPr>
                  <m:t xml:space="preserve">subch, </m:t>
                </m:r>
                <m:r>
                  <m:rPr>
                    <m:sty m:val="p"/>
                  </m:rPr>
                  <w:rPr>
                    <w:rFonts w:ascii="Cambria Math"/>
                  </w:rPr>
                  <m:t>slot,</m:t>
                </m:r>
                <m:r>
                  <w:rPr>
                    <w:rFonts w:ascii="Cambria Math"/>
                  </w:rPr>
                  <m:t>k</m:t>
                </m:r>
                <m:ctrlPr>
                  <w:rPr>
                    <w:rFonts w:ascii="Cambria Math" w:hAnsi="Cambria Math"/>
                  </w:rPr>
                </m:ctrlPr>
              </m:sub>
              <m:sup>
                <m:r>
                  <m:rPr>
                    <m:nor/>
                  </m:rPr>
                  <w:rPr>
                    <w:rFonts w:ascii="Cambria Math"/>
                  </w:rPr>
                  <m:t>PSFCH,</m:t>
                </m:r>
                <m:r>
                  <m:rPr>
                    <m:nor/>
                  </m:rPr>
                  <w:rPr>
                    <w:rFonts w:ascii="Cambria Math"/>
                    <w:i/>
                  </w:rPr>
                  <m:t>n</m:t>
                </m:r>
                <m:ctrlPr>
                  <w:rPr>
                    <w:rFonts w:ascii="Cambria Math" w:hAnsi="Cambria Math"/>
                  </w:rPr>
                </m:ctrlPr>
              </m:sup>
            </m:sSubSup>
            <m:r>
              <w:rPr>
                <w:rFonts w:ascii="Cambria Math" w:hAnsi="Cambria Math"/>
              </w:rPr>
              <m:t>-1</m:t>
            </m:r>
          </m:e>
        </m:d>
      </m:oMath>
      <w:r w:rsidRPr="004A4F07">
        <w:t xml:space="preserve"> PRB subsets from the </w:t>
      </w:r>
      <m:oMath>
        <m:sSubSup>
          <m:sSubSupPr>
            <m:ctrlPr>
              <w:rPr>
                <w:rFonts w:ascii="Cambria Math" w:hAnsi="Cambria Math"/>
                <w:i/>
              </w:rPr>
            </m:ctrlPr>
          </m:sSubSupPr>
          <m:e>
            <m:r>
              <w:rPr>
                <w:rFonts w:ascii="Cambria Math"/>
              </w:rPr>
              <m:t>M</m:t>
            </m:r>
          </m:e>
          <m:sub>
            <m:r>
              <m:rPr>
                <m:nor/>
              </m:rPr>
              <w:rPr>
                <w:rFonts w:ascii="Cambria Math"/>
              </w:rPr>
              <m:t>subset,</m:t>
            </m:r>
            <m:r>
              <m:rPr>
                <m:nor/>
              </m:rPr>
              <w:rPr>
                <w:rFonts w:ascii="Cambria Math"/>
                <w:i/>
              </w:rPr>
              <m:t>k</m:t>
            </m:r>
            <m:ctrlPr>
              <w:rPr>
                <w:rFonts w:ascii="Cambria Math" w:hAnsi="Cambria Math"/>
              </w:rPr>
            </m:ctrlPr>
          </m:sub>
          <m:sup>
            <m:r>
              <m:rPr>
                <m:nor/>
              </m:rPr>
              <w:rPr>
                <w:rFonts w:ascii="Cambria Math"/>
              </w:rPr>
              <m:t>PSFCH,</m:t>
            </m:r>
            <m:r>
              <m:rPr>
                <m:nor/>
              </m:rPr>
              <w:rPr>
                <w:rFonts w:ascii="Cambria Math"/>
                <w:i/>
              </w:rPr>
              <m:t>n</m:t>
            </m:r>
            <m:ctrlPr>
              <w:rPr>
                <w:rFonts w:ascii="Cambria Math" w:hAnsi="Cambria Math"/>
              </w:rPr>
            </m:ctrlPr>
          </m:sup>
        </m:sSubSup>
      </m:oMath>
      <w:r w:rsidRPr="004A4F07">
        <w:t xml:space="preserve"> PRB subsets to slot </w:t>
      </w:r>
      <m:oMath>
        <m:r>
          <w:rPr>
            <w:rFonts w:ascii="Cambria Math" w:hAnsi="Cambria Math"/>
          </w:rPr>
          <m:t>i</m:t>
        </m:r>
      </m:oMath>
      <w:r w:rsidRPr="004A4F07">
        <w:t xml:space="preserve"> </w:t>
      </w:r>
      <w:r w:rsidRPr="002C6323">
        <w:t xml:space="preserve">among the slots for PSSCH transmissions that are associated with the slot and sub-channel </w:t>
      </w:r>
      <m:oMath>
        <m:r>
          <w:rPr>
            <w:rFonts w:ascii="Cambria Math" w:hAnsi="Cambria Math"/>
          </w:rPr>
          <m:t>j</m:t>
        </m:r>
      </m:oMath>
      <w:r w:rsidRPr="002C6323">
        <w:t xml:space="preserve"> for PSFCH transmissions, where </w:t>
      </w:r>
      <m:oMath>
        <m:sSubSup>
          <m:sSubSupPr>
            <m:ctrlPr>
              <w:rPr>
                <w:rFonts w:ascii="Cambria Math" w:hAnsi="Cambria Math"/>
                <w:i/>
              </w:rPr>
            </m:ctrlPr>
          </m:sSubSupPr>
          <m:e>
            <m:r>
              <w:rPr>
                <w:rFonts w:ascii="Cambria Math"/>
              </w:rPr>
              <m:t>M</m:t>
            </m:r>
          </m:e>
          <m:sub>
            <m:r>
              <m:rPr>
                <m:nor/>
              </m:rPr>
              <w:rPr>
                <w:rFonts w:ascii="Cambria Math"/>
              </w:rPr>
              <m:t xml:space="preserve">subch, </m:t>
            </m:r>
            <m:r>
              <m:rPr>
                <m:sty m:val="p"/>
              </m:rPr>
              <w:rPr>
                <w:rFonts w:ascii="Cambria Math"/>
              </w:rPr>
              <m:t>slot,</m:t>
            </m:r>
            <m:r>
              <w:rPr>
                <w:rFonts w:ascii="Cambria Math"/>
              </w:rPr>
              <m:t>k</m:t>
            </m:r>
            <m:ctrlPr>
              <w:rPr>
                <w:rFonts w:ascii="Cambria Math" w:hAnsi="Cambria Math"/>
              </w:rPr>
            </m:ctrlPr>
          </m:sub>
          <m:sup>
            <m:r>
              <m:rPr>
                <m:nor/>
              </m:rPr>
              <w:rPr>
                <w:rFonts w:ascii="Cambria Math"/>
              </w:rPr>
              <m:t>PSFCH,</m:t>
            </m:r>
            <m:r>
              <m:rPr>
                <m:nor/>
              </m:rPr>
              <w:rPr>
                <w:rFonts w:ascii="Cambria Math"/>
                <w:i/>
              </w:rPr>
              <m:t>n</m:t>
            </m:r>
            <m:ctrlPr>
              <w:rPr>
                <w:rFonts w:ascii="Cambria Math" w:hAnsi="Cambria Math"/>
              </w:rPr>
            </m:ctrlPr>
          </m:sup>
        </m:sSubSup>
        <m:r>
          <w:rPr>
            <w:rFonts w:ascii="Cambria Math" w:hAnsi="Cambria Math"/>
          </w:rPr>
          <m:t>=</m:t>
        </m:r>
        <m:f>
          <m:fPr>
            <m:type m:val="lin"/>
            <m:ctrlPr>
              <w:rPr>
                <w:rFonts w:ascii="Cambria Math" w:hAnsi="Cambria Math"/>
                <w:i/>
              </w:rPr>
            </m:ctrlPr>
          </m:fPr>
          <m:num>
            <m:sSubSup>
              <m:sSubSupPr>
                <m:ctrlPr>
                  <w:rPr>
                    <w:rFonts w:ascii="Cambria Math" w:hAnsi="Cambria Math"/>
                    <w:i/>
                  </w:rPr>
                </m:ctrlPr>
              </m:sSubSupPr>
              <m:e>
                <m:r>
                  <w:rPr>
                    <w:rFonts w:ascii="Cambria Math"/>
                  </w:rPr>
                  <m:t>M</m:t>
                </m:r>
              </m:e>
              <m:sub>
                <m:r>
                  <m:rPr>
                    <m:nor/>
                  </m:rPr>
                  <w:rPr>
                    <w:rFonts w:ascii="Cambria Math"/>
                  </w:rPr>
                  <m:t>subset,</m:t>
                </m:r>
                <m:r>
                  <m:rPr>
                    <m:nor/>
                  </m:rPr>
                  <w:rPr>
                    <w:rFonts w:ascii="Cambria Math"/>
                    <w:i/>
                  </w:rPr>
                  <m:t>k</m:t>
                </m:r>
                <m:ctrlPr>
                  <w:rPr>
                    <w:rFonts w:ascii="Cambria Math" w:hAnsi="Cambria Math"/>
                  </w:rPr>
                </m:ctrlPr>
              </m:sub>
              <m:sup>
                <m:r>
                  <m:rPr>
                    <m:nor/>
                  </m:rPr>
                  <w:rPr>
                    <w:rFonts w:ascii="Cambria Math"/>
                  </w:rPr>
                  <m:t>PSFCH,</m:t>
                </m:r>
                <m:r>
                  <m:rPr>
                    <m:nor/>
                  </m:rPr>
                  <w:rPr>
                    <w:rFonts w:ascii="Cambria Math"/>
                    <w:i/>
                  </w:rPr>
                  <m:t>n</m:t>
                </m:r>
                <m:ctrlPr>
                  <w:rPr>
                    <w:rFonts w:ascii="Cambria Math" w:hAnsi="Cambria Math"/>
                  </w:rPr>
                </m:ctrlPr>
              </m:sup>
            </m:sSubSup>
          </m:num>
          <m:den>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nor/>
                      </m:rPr>
                      <m:t>sub</m:t>
                    </m:r>
                    <m:r>
                      <m:rPr>
                        <m:nor/>
                      </m:rPr>
                      <w:rPr>
                        <w:rFonts w:ascii="Cambria Math"/>
                      </w:rPr>
                      <m:t>ch</m:t>
                    </m:r>
                    <m:ctrlPr>
                      <w:rPr>
                        <w:rFonts w:ascii="Cambria Math" w:hAnsi="Cambria Math"/>
                      </w:rPr>
                    </m:ctrlP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e>
            </m:d>
          </m:den>
        </m:f>
      </m:oMath>
      <w:r w:rsidRPr="002C6323">
        <w:t xml:space="preserve"> and </w:t>
      </w:r>
      <m:oMath>
        <m:r>
          <w:rPr>
            <w:rFonts w:ascii="Cambria Math" w:hAnsi="Cambria Math"/>
          </w:rPr>
          <m:t>0≤i&lt;</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oMath>
      <w:r w:rsidRPr="002C6323">
        <w:t xml:space="preserve">, </w:t>
      </w:r>
      <m:oMath>
        <m:r>
          <w:rPr>
            <w:rFonts w:ascii="Cambria Math" w:hAnsi="Cambria Math"/>
          </w:rPr>
          <m:t>0≤j&lt;</m:t>
        </m:r>
        <m:sSubSup>
          <m:sSubSupPr>
            <m:ctrlPr>
              <w:rPr>
                <w:rFonts w:ascii="Cambria Math" w:hAnsi="Cambria Math"/>
                <w:i/>
              </w:rPr>
            </m:ctrlPr>
          </m:sSubSupPr>
          <m:e>
            <m:r>
              <w:rPr>
                <w:rFonts w:ascii="Cambria Math" w:hAnsi="Cambria Math"/>
              </w:rPr>
              <m:t>N</m:t>
            </m:r>
          </m:e>
          <m:sub>
            <m:r>
              <m:rPr>
                <m:nor/>
              </m:rPr>
              <m:t>sub</m:t>
            </m:r>
            <m:r>
              <m:rPr>
                <m:nor/>
              </m:rPr>
              <w:rPr>
                <w:rFonts w:ascii="Cambria Math"/>
              </w:rPr>
              <m:t>ch</m:t>
            </m:r>
            <m:ctrlPr>
              <w:rPr>
                <w:rFonts w:ascii="Cambria Math" w:hAnsi="Cambria Math"/>
              </w:rPr>
            </m:ctrlPr>
          </m:sub>
          <m:sup>
            <m:r>
              <w:rPr>
                <w:rFonts w:ascii="Cambria Math" w:hAnsi="Cambria Math"/>
              </w:rPr>
              <m:t>k</m:t>
            </m:r>
          </m:sup>
        </m:sSubSup>
      </m:oMath>
      <w:r w:rsidRPr="002C6323">
        <w:t xml:space="preserve">. The allocation starts in an ascending order of </w:t>
      </w:r>
      <m:oMath>
        <m:r>
          <w:rPr>
            <w:rFonts w:ascii="Cambria Math" w:hAnsi="Cambria Math"/>
          </w:rPr>
          <m:t>i</m:t>
        </m:r>
      </m:oMath>
      <w:r w:rsidRPr="002C6323">
        <w:t xml:space="preserve"> and continues in an ascending order of </w:t>
      </w:r>
      <m:oMath>
        <m:r>
          <w:rPr>
            <w:rFonts w:ascii="Cambria Math" w:hAnsi="Cambria Math"/>
          </w:rPr>
          <m:t>j</m:t>
        </m:r>
      </m:oMath>
      <w:r w:rsidRPr="002C6323">
        <w:t xml:space="preserve">. The UE expects that </w:t>
      </w:r>
      <m:oMath>
        <m:sSubSup>
          <m:sSubSupPr>
            <m:ctrlPr>
              <w:rPr>
                <w:rFonts w:ascii="Cambria Math" w:hAnsi="Cambria Math"/>
                <w:i/>
              </w:rPr>
            </m:ctrlPr>
          </m:sSubSupPr>
          <m:e>
            <m:r>
              <w:rPr>
                <w:rFonts w:ascii="Cambria Math"/>
              </w:rPr>
              <m:t>M</m:t>
            </m:r>
          </m:e>
          <m:sub>
            <m:r>
              <m:rPr>
                <m:nor/>
              </m:rPr>
              <w:rPr>
                <w:rFonts w:ascii="Cambria Math"/>
              </w:rPr>
              <m:t>subset,</m:t>
            </m:r>
            <m:r>
              <m:rPr>
                <m:nor/>
              </m:rPr>
              <w:rPr>
                <w:rFonts w:ascii="Cambria Math"/>
                <w:i/>
              </w:rPr>
              <m:t>k</m:t>
            </m:r>
            <m:ctrlPr>
              <w:rPr>
                <w:rFonts w:ascii="Cambria Math" w:hAnsi="Cambria Math"/>
              </w:rPr>
            </m:ctrlPr>
          </m:sub>
          <m:sup>
            <m:r>
              <m:rPr>
                <m:nor/>
              </m:rPr>
              <w:rPr>
                <w:rFonts w:ascii="Cambria Math"/>
              </w:rPr>
              <m:t>PSFCH,</m:t>
            </m:r>
            <m:r>
              <m:rPr>
                <m:nor/>
              </m:rPr>
              <w:rPr>
                <w:rFonts w:ascii="Cambria Math"/>
                <w:i/>
              </w:rPr>
              <m:t>n</m:t>
            </m:r>
            <m:ctrlPr>
              <w:rPr>
                <w:rFonts w:ascii="Cambria Math" w:hAnsi="Cambria Math"/>
              </w:rPr>
            </m:ctrlPr>
          </m:sup>
        </m:sSubSup>
      </m:oMath>
      <w:r w:rsidRPr="002C6323">
        <w:rPr>
          <w:rFonts w:hint="eastAsia"/>
          <w:lang w:eastAsia="ko-KR"/>
        </w:rPr>
        <w:t xml:space="preserve"> </w:t>
      </w:r>
      <w:r w:rsidRPr="002C6323">
        <w:t>is</w:t>
      </w:r>
      <w:r w:rsidRPr="002C6323">
        <w:rPr>
          <w:i/>
        </w:rPr>
        <w:t xml:space="preserve"> </w:t>
      </w:r>
      <w:r w:rsidRPr="002C6323">
        <w:t>a multiple of</w:t>
      </w:r>
      <w:r w:rsidRPr="002C6323">
        <w:rPr>
          <w:i/>
        </w:rPr>
        <w:t xml:space="preserve"> </w:t>
      </w:r>
      <m:oMath>
        <m:sSubSup>
          <m:sSubSupPr>
            <m:ctrlPr>
              <w:rPr>
                <w:rFonts w:ascii="Cambria Math" w:hAnsi="Cambria Math"/>
                <w:i/>
              </w:rPr>
            </m:ctrlPr>
          </m:sSubSupPr>
          <m:e>
            <m:r>
              <w:rPr>
                <w:rFonts w:ascii="Cambria Math" w:hAnsi="Cambria Math"/>
              </w:rPr>
              <m:t>N</m:t>
            </m:r>
          </m:e>
          <m:sub>
            <m:r>
              <m:rPr>
                <m:nor/>
              </m:rPr>
              <m:t>sub</m:t>
            </m:r>
            <m:r>
              <m:rPr>
                <m:nor/>
              </m:rPr>
              <w:rPr>
                <w:rFonts w:ascii="Cambria Math"/>
              </w:rPr>
              <m:t>ch</m:t>
            </m:r>
            <m:ctrlPr>
              <w:rPr>
                <w:rFonts w:ascii="Cambria Math" w:hAnsi="Cambria Math"/>
              </w:rPr>
            </m:ctrlP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PSSCH</m:t>
            </m:r>
            <m:ctrlPr>
              <w:rPr>
                <w:rFonts w:ascii="Cambria Math" w:hAnsi="Cambria Math"/>
              </w:rPr>
            </m:ctrlPr>
          </m:sub>
          <m:sup>
            <m:r>
              <m:rPr>
                <m:nor/>
              </m:rPr>
              <w:rPr>
                <w:rFonts w:ascii="Cambria Math"/>
              </w:rPr>
              <m:t>PSFCH</m:t>
            </m:r>
            <m:ctrlPr>
              <w:rPr>
                <w:rFonts w:ascii="Cambria Math" w:hAnsi="Cambria Math"/>
              </w:rPr>
            </m:ctrlPr>
          </m:sup>
        </m:sSubSup>
      </m:oMath>
      <w:r w:rsidRPr="002C6323">
        <w:rPr>
          <w:i/>
        </w:rPr>
        <w:t>.</w:t>
      </w:r>
    </w:p>
    <w:p w14:paraId="02D52A37" w14:textId="30E8D786" w:rsidR="00D378BB" w:rsidRDefault="00D378BB" w:rsidP="00D378BB">
      <w:r w:rsidRPr="00045999">
        <w:t>The</w:t>
      </w:r>
      <w:r w:rsidRPr="00045999">
        <w:rPr>
          <w:lang w:eastAsia="ko-KR"/>
        </w:rPr>
        <w:t xml:space="preserve"> </w:t>
      </w:r>
      <w:r w:rsidRPr="00045999">
        <w:t xml:space="preserve">second OFDM symbol </w:t>
      </w:r>
      <m:oMath>
        <m:r>
          <w:rPr>
            <w:rFonts w:ascii="Cambria Math" w:hAnsi="Cambria Math"/>
            <w:lang w:eastAsia="ko-KR"/>
          </w:rPr>
          <m:t>l'</m:t>
        </m:r>
      </m:oMath>
      <w:r>
        <w:rPr>
          <w:rFonts w:eastAsia="Malgun Gothic" w:hint="eastAsia"/>
          <w:lang w:eastAsia="ko-KR"/>
        </w:rPr>
        <w:t xml:space="preserve"> </w:t>
      </w:r>
      <w:r w:rsidRPr="00045999">
        <w:t>of PSFCH transmission in a slot is defined as</w:t>
      </w:r>
      <w:r>
        <w:t xml:space="preserve"> </w:t>
      </w:r>
      <m:oMath>
        <m:sSup>
          <m:sSupPr>
            <m:ctrlPr>
              <w:rPr>
                <w:rFonts w:ascii="Cambria Math" w:hAnsi="Cambria Math"/>
                <w:i/>
                <w:lang w:eastAsia="ko-KR"/>
              </w:rPr>
            </m:ctrlPr>
          </m:sSupPr>
          <m:e>
            <m:r>
              <w:rPr>
                <w:rFonts w:ascii="Cambria Math" w:hAnsi="Cambria Math"/>
                <w:lang w:eastAsia="ko-KR"/>
              </w:rPr>
              <m:t>l</m:t>
            </m:r>
          </m:e>
          <m:sup>
            <m:r>
              <w:rPr>
                <w:rFonts w:ascii="Cambria Math" w:hAnsi="Cambria Math"/>
                <w:lang w:eastAsia="ko-KR"/>
              </w:rPr>
              <m:t>'</m:t>
            </m:r>
          </m:sup>
        </m:sSup>
        <m:r>
          <w:rPr>
            <w:rFonts w:ascii="Cambria Math" w:hAnsi="Cambria Math" w:hint="eastAsia"/>
            <w:lang w:eastAsia="ko-KR"/>
          </w:rPr>
          <m:t>=</m:t>
        </m:r>
        <m:r>
          <w:rPr>
            <w:rFonts w:ascii="Cambria Math" w:hAnsi="Cambria Math"/>
            <w:lang w:eastAsia="ko-KR"/>
          </w:rPr>
          <m:t>sl</m:t>
        </m:r>
        <m:r>
          <m:rPr>
            <m:nor/>
          </m:rPr>
          <w:rPr>
            <w:rFonts w:ascii="Cambria Math" w:hAnsi="Cambria Math"/>
            <w:lang w:eastAsia="ko-KR"/>
          </w:rPr>
          <w:noBreakHyphen/>
        </m:r>
        <m:r>
          <w:rPr>
            <w:rFonts w:ascii="Cambria Math" w:hAnsi="Cambria Math"/>
            <w:lang w:eastAsia="ko-KR"/>
          </w:rPr>
          <m:t>StartSymbol+sl</m:t>
        </m:r>
        <m:r>
          <m:rPr>
            <m:nor/>
          </m:rPr>
          <w:rPr>
            <w:rFonts w:ascii="Cambria Math" w:hAnsi="Cambria Math"/>
            <w:lang w:eastAsia="ko-KR"/>
          </w:rPr>
          <w:noBreakHyphen/>
        </m:r>
        <m:r>
          <w:rPr>
            <w:rFonts w:ascii="Cambria Math" w:hAnsi="Cambria Math"/>
            <w:lang w:eastAsia="ko-KR"/>
          </w:rPr>
          <m:t>LengthSymbols</m:t>
        </m:r>
        <m:r>
          <w:rPr>
            <w:rFonts w:ascii="Cambria Math" w:hAnsi="Cambria Math" w:cs="Cambria Math"/>
            <w:lang w:eastAsia="ko-KR"/>
          </w:rPr>
          <m:t>-2</m:t>
        </m:r>
      </m:oMath>
      <w:r w:rsidRPr="0042453F">
        <w:t>.</w:t>
      </w:r>
    </w:p>
    <w:p w14:paraId="26441721" w14:textId="00B00DBE" w:rsidR="00E21265" w:rsidRDefault="000C6EB7" w:rsidP="00E21265">
      <w:r w:rsidRPr="0059124C">
        <w:t xml:space="preserve">For operation without shared spectrum channel access, </w:t>
      </w:r>
      <w:r w:rsidR="00562338">
        <w:t>a</w:t>
      </w:r>
      <w:r w:rsidR="00E21265">
        <w:t xml:space="preserve"> UE determines a number of PSFCH resources available for multiplexing HARQ-ACK </w:t>
      </w:r>
      <w:r w:rsidR="00682BAB" w:rsidRPr="005B0583">
        <w:t xml:space="preserve">or conflict </w:t>
      </w:r>
      <w:r w:rsidR="00E21265">
        <w:t xml:space="preserve">information in a PSFCH transmission as </w:t>
      </w:r>
      <m:oMath>
        <m:sSubSup>
          <m:sSubSupPr>
            <m:ctrlPr>
              <w:rPr>
                <w:rFonts w:ascii="Cambria Math" w:hAnsi="Cambria Math"/>
                <w:i/>
              </w:rPr>
            </m:ctrlPr>
          </m:sSubSupPr>
          <m:e>
            <m:r>
              <w:rPr>
                <w:rFonts w:ascii="Cambria Math"/>
              </w:rPr>
              <m:t>R</m:t>
            </m:r>
          </m:e>
          <m:sub>
            <m:r>
              <m:rPr>
                <m:nor/>
              </m:rPr>
              <w:rPr>
                <w:rFonts w:ascii="Cambria Math"/>
              </w:rPr>
              <m:t xml:space="preserve">PRB, </m:t>
            </m:r>
            <m:r>
              <m:rPr>
                <m:sty m:val="p"/>
              </m:rPr>
              <w:rPr>
                <w:rFonts w:ascii="Cambria Math"/>
              </w:rPr>
              <m:t>CS</m:t>
            </m:r>
            <m:ctrlPr>
              <w:rPr>
                <w:rFonts w:ascii="Cambria Math" w:hAnsi="Cambria Math"/>
              </w:rPr>
            </m:ctrlPr>
          </m:sub>
          <m:sup>
            <m:r>
              <m:rPr>
                <m:nor/>
              </m:rPr>
              <w:rPr>
                <w:rFonts w:ascii="Cambria Math"/>
              </w:rPr>
              <m:t>PSFCH</m:t>
            </m:r>
            <m:ctrlPr>
              <w:rPr>
                <w:rFonts w:ascii="Cambria Math" w:hAnsi="Cambria Math"/>
              </w:rPr>
            </m:ctrlPr>
          </m:sup>
        </m:sSubSup>
        <m:r>
          <w:rPr>
            <w:rFonts w:ascii="Cambria Math" w:hAnsi="Cambria Math"/>
          </w:rPr>
          <m:t>=</m:t>
        </m:r>
        <m:sSubSup>
          <m:sSubSupPr>
            <m:ctrlPr>
              <w:rPr>
                <w:rFonts w:ascii="Cambria Math" w:hAnsi="Cambria Math"/>
                <w:i/>
              </w:rPr>
            </m:ctrlPr>
          </m:sSubSupPr>
          <m:e>
            <m:sSubSup>
              <m:sSubSupPr>
                <m:ctrlPr>
                  <w:rPr>
                    <w:rFonts w:ascii="Cambria Math" w:hAnsi="Cambria Math"/>
                    <w:i/>
                  </w:rPr>
                </m:ctrlPr>
              </m:sSubSupPr>
              <m:e>
                <m:r>
                  <w:rPr>
                    <w:rFonts w:ascii="Cambria Math"/>
                  </w:rPr>
                  <m:t>N</m:t>
                </m:r>
              </m:e>
              <m:sub>
                <m:r>
                  <m:rPr>
                    <m:nor/>
                  </m:rPr>
                  <w:rPr>
                    <w:rFonts w:ascii="Cambria Math"/>
                  </w:rPr>
                  <m:t xml:space="preserve">type </m:t>
                </m:r>
                <m:ctrlPr>
                  <w:rPr>
                    <w:rFonts w:ascii="Cambria Math" w:hAnsi="Cambria Math"/>
                  </w:rPr>
                </m:ctrlPr>
              </m:sub>
              <m:sup>
                <m:r>
                  <m:rPr>
                    <m:nor/>
                  </m:rPr>
                  <w:rPr>
                    <w:rFonts w:ascii="Cambria Math"/>
                  </w:rPr>
                  <m:t>PSFCH</m:t>
                </m:r>
                <m:ctrlPr>
                  <w:rPr>
                    <w:rFonts w:ascii="Cambria Math" w:hAnsi="Cambria Math"/>
                  </w:rPr>
                </m:ctrlPr>
              </m:sup>
            </m:sSubSup>
            <m:r>
              <w:rPr>
                <w:rFonts w:ascii="Cambria Math" w:hAnsi="Cambria Math"/>
              </w:rPr>
              <m:t>⋅</m:t>
            </m:r>
            <m:r>
              <w:rPr>
                <w:rFonts w:ascii="Cambria Math"/>
              </w:rPr>
              <m:t>M</m:t>
            </m:r>
          </m:e>
          <m:sub>
            <m:r>
              <m:rPr>
                <m:nor/>
              </m:rPr>
              <w:rPr>
                <w:rFonts w:ascii="Cambria Math"/>
              </w:rPr>
              <m:t xml:space="preserve">subch, </m:t>
            </m:r>
            <m:r>
              <m:rPr>
                <m:sty m:val="p"/>
              </m:rPr>
              <w:rPr>
                <w:rFonts w:ascii="Cambria Math"/>
              </w:rPr>
              <m:t>slot</m:t>
            </m:r>
            <m:ctrlPr>
              <w:rPr>
                <w:rFonts w:ascii="Cambria Math" w:hAnsi="Cambria Math"/>
              </w:rPr>
            </m:ctrlPr>
          </m:sub>
          <m:sup>
            <m:r>
              <m:rPr>
                <m:nor/>
              </m:rPr>
              <w:rPr>
                <w:rFonts w:ascii="Cambria Math"/>
              </w:rPr>
              <m:t>PSFCH</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CS</m:t>
            </m:r>
            <m:ctrlPr>
              <w:rPr>
                <w:rFonts w:ascii="Cambria Math" w:hAnsi="Cambria Math"/>
              </w:rPr>
            </m:ctrlPr>
          </m:sub>
          <m:sup>
            <m:r>
              <m:rPr>
                <m:nor/>
              </m:rPr>
              <w:rPr>
                <w:rFonts w:ascii="Cambria Math"/>
              </w:rPr>
              <m:t>PSFCH</m:t>
            </m:r>
            <m:ctrlPr>
              <w:rPr>
                <w:rFonts w:ascii="Cambria Math" w:hAnsi="Cambria Math"/>
              </w:rPr>
            </m:ctrlPr>
          </m:sup>
        </m:sSubSup>
      </m:oMath>
      <w:r w:rsidR="00E21265">
        <w:t xml:space="preserve"> where </w:t>
      </w:r>
      <m:oMath>
        <m:sSubSup>
          <m:sSubSupPr>
            <m:ctrlPr>
              <w:rPr>
                <w:rFonts w:ascii="Cambria Math" w:hAnsi="Cambria Math"/>
                <w:i/>
              </w:rPr>
            </m:ctrlPr>
          </m:sSubSupPr>
          <m:e>
            <m:r>
              <w:rPr>
                <w:rFonts w:ascii="Cambria Math"/>
              </w:rPr>
              <m:t>N</m:t>
            </m:r>
          </m:e>
          <m:sub>
            <m:r>
              <m:rPr>
                <m:nor/>
              </m:rPr>
              <w:rPr>
                <w:rFonts w:ascii="Cambria Math"/>
              </w:rPr>
              <m:t>CS</m:t>
            </m:r>
            <m:ctrlPr>
              <w:rPr>
                <w:rFonts w:ascii="Cambria Math" w:hAnsi="Cambria Math"/>
              </w:rPr>
            </m:ctrlPr>
          </m:sub>
          <m:sup>
            <m:r>
              <m:rPr>
                <m:nor/>
              </m:rPr>
              <w:rPr>
                <w:rFonts w:ascii="Cambria Math"/>
              </w:rPr>
              <m:t>PSFCH</m:t>
            </m:r>
            <m:ctrlPr>
              <w:rPr>
                <w:rFonts w:ascii="Cambria Math" w:hAnsi="Cambria Math"/>
              </w:rPr>
            </m:ctrlPr>
          </m:sup>
        </m:sSubSup>
      </m:oMath>
      <w:r w:rsidR="00E21265">
        <w:t xml:space="preserve"> is a number of cyclic shift pairs for the resource pool </w:t>
      </w:r>
      <w:r w:rsidR="00CD415F" w:rsidRPr="002E262C">
        <w:t xml:space="preserve">provided by </w:t>
      </w:r>
      <w:r w:rsidR="00CD415F" w:rsidRPr="00104BB9">
        <w:rPr>
          <w:i/>
        </w:rPr>
        <w:t>sl-NumMuxCS-Pair</w:t>
      </w:r>
      <w:r w:rsidR="00CD415F" w:rsidRPr="002E262C">
        <w:t xml:space="preserve"> </w:t>
      </w:r>
      <w:r w:rsidR="00E21265">
        <w:t xml:space="preserve">and, based on an indication by </w:t>
      </w:r>
      <w:r w:rsidR="00CD415F">
        <w:rPr>
          <w:i/>
        </w:rPr>
        <w:t>sl-PSFCH-CandidateResourceType</w:t>
      </w:r>
      <w:r w:rsidR="00E21265">
        <w:t>,</w:t>
      </w:r>
    </w:p>
    <w:p w14:paraId="1D38239C" w14:textId="71ED99BE" w:rsidR="00E21265" w:rsidRDefault="00E21265" w:rsidP="00E21265">
      <w:pPr>
        <w:pStyle w:val="B1"/>
      </w:pPr>
      <w:r>
        <w:t>-</w:t>
      </w:r>
      <w:r>
        <w:tab/>
      </w:r>
      <w:r w:rsidR="00CD415F">
        <w:rPr>
          <w:lang w:val="en-US"/>
        </w:rPr>
        <w:t>i</w:t>
      </w:r>
      <w:r w:rsidR="00CD415F">
        <w:t xml:space="preserve">f </w:t>
      </w:r>
      <w:r w:rsidR="00CD415F">
        <w:rPr>
          <w:i/>
        </w:rPr>
        <w:t xml:space="preserve">sl-PSFCH-CandidateResourceType </w:t>
      </w:r>
      <w:r w:rsidR="00CD415F">
        <w:t xml:space="preserve">is configured as </w:t>
      </w:r>
      <w:r w:rsidR="00CD415F" w:rsidRPr="00104BB9">
        <w:rPr>
          <w:i/>
        </w:rPr>
        <w:t>startSubCH</w:t>
      </w:r>
      <w:r w:rsidR="00CD415F">
        <w:t xml:space="preserve">, </w:t>
      </w:r>
      <m:oMath>
        <m:sSubSup>
          <m:sSubSupPr>
            <m:ctrlPr>
              <w:rPr>
                <w:rFonts w:ascii="Cambria Math" w:hAnsi="Cambria Math"/>
                <w:i/>
              </w:rPr>
            </m:ctrlPr>
          </m:sSubSupPr>
          <m:e>
            <m:r>
              <w:rPr>
                <w:rFonts w:ascii="Cambria Math"/>
              </w:rPr>
              <m:t>N</m:t>
            </m:r>
          </m:e>
          <m:sub>
            <m:r>
              <m:rPr>
                <m:nor/>
              </m:rPr>
              <w:rPr>
                <w:rFonts w:ascii="Cambria Math"/>
              </w:rPr>
              <m:t xml:space="preserve">type </m:t>
            </m:r>
            <m:ctrlPr>
              <w:rPr>
                <w:rFonts w:ascii="Cambria Math" w:hAnsi="Cambria Math"/>
              </w:rPr>
            </m:ctrlPr>
          </m:sub>
          <m:sup>
            <m:r>
              <m:rPr>
                <m:nor/>
              </m:rPr>
              <w:rPr>
                <w:rFonts w:ascii="Cambria Math"/>
              </w:rPr>
              <m:t>PSFCH</m:t>
            </m:r>
            <m:ctrlPr>
              <w:rPr>
                <w:rFonts w:ascii="Cambria Math" w:hAnsi="Cambria Math"/>
              </w:rPr>
            </m:ctrlPr>
          </m:sup>
        </m:sSubSup>
        <m:r>
          <w:rPr>
            <w:rFonts w:ascii="Cambria Math" w:hAnsi="Cambria Math"/>
          </w:rPr>
          <m:t>=1</m:t>
        </m:r>
      </m:oMath>
      <w:r>
        <w:t xml:space="preserve"> and the </w:t>
      </w:r>
      <m:oMath>
        <m:sSubSup>
          <m:sSubSupPr>
            <m:ctrlPr>
              <w:rPr>
                <w:rFonts w:ascii="Cambria Math" w:hAnsi="Cambria Math"/>
                <w:i/>
              </w:rPr>
            </m:ctrlPr>
          </m:sSubSupPr>
          <m:e>
            <m:r>
              <w:rPr>
                <w:rFonts w:ascii="Cambria Math"/>
              </w:rPr>
              <m:t>M</m:t>
            </m:r>
          </m:e>
          <m:sub>
            <m:r>
              <m:rPr>
                <m:nor/>
              </m:rPr>
              <w:rPr>
                <w:rFonts w:ascii="Cambria Math"/>
              </w:rPr>
              <m:t xml:space="preserve">subch, </m:t>
            </m:r>
            <m:r>
              <m:rPr>
                <m:sty m:val="p"/>
              </m:rPr>
              <w:rPr>
                <w:rFonts w:ascii="Cambria Math"/>
              </w:rPr>
              <m:t>slot</m:t>
            </m:r>
            <m:ctrlPr>
              <w:rPr>
                <w:rFonts w:ascii="Cambria Math" w:hAnsi="Cambria Math"/>
              </w:rPr>
            </m:ctrlPr>
          </m:sub>
          <m:sup>
            <m:r>
              <m:rPr>
                <m:nor/>
              </m:rPr>
              <w:rPr>
                <w:rFonts w:ascii="Cambria Math"/>
              </w:rPr>
              <m:t>PSFCH</m:t>
            </m:r>
            <m:ctrlPr>
              <w:rPr>
                <w:rFonts w:ascii="Cambria Math" w:hAnsi="Cambria Math"/>
              </w:rPr>
            </m:ctrlPr>
          </m:sup>
        </m:sSubSup>
      </m:oMath>
      <w:r>
        <w:t xml:space="preserve"> PRBs are </w:t>
      </w:r>
      <w:r w:rsidR="00C57A53" w:rsidRPr="006C00CD">
        <w:rPr>
          <w:rFonts w:eastAsia="Malgun Gothic"/>
        </w:rPr>
        <w:t>associated with the starting sub-channel of the corresponding PSSCH</w:t>
      </w:r>
      <w:r>
        <w:t xml:space="preserve"> </w:t>
      </w:r>
    </w:p>
    <w:p w14:paraId="0DBACA40" w14:textId="43300143" w:rsidR="00E21265" w:rsidRDefault="00E21265" w:rsidP="00E21265">
      <w:pPr>
        <w:pStyle w:val="B1"/>
        <w:rPr>
          <w:lang w:val="en-US"/>
        </w:rPr>
      </w:pPr>
      <w:r>
        <w:t>-</w:t>
      </w:r>
      <w:r>
        <w:tab/>
      </w:r>
      <w:r w:rsidR="00CD415F">
        <w:rPr>
          <w:lang w:val="en-US"/>
        </w:rPr>
        <w:t>i</w:t>
      </w:r>
      <w:r w:rsidR="00CD415F">
        <w:t xml:space="preserve">f </w:t>
      </w:r>
      <w:r w:rsidR="00CD415F">
        <w:rPr>
          <w:i/>
        </w:rPr>
        <w:t xml:space="preserve">sl-PSFCH-CandidateResourceType </w:t>
      </w:r>
      <w:r w:rsidR="00CD415F">
        <w:t xml:space="preserve">is configured as </w:t>
      </w:r>
      <w:r w:rsidR="00CD415F">
        <w:rPr>
          <w:i/>
        </w:rPr>
        <w:t>alloc</w:t>
      </w:r>
      <w:r w:rsidR="00CD415F" w:rsidRPr="0001275C">
        <w:rPr>
          <w:i/>
        </w:rPr>
        <w:t>SubCH</w:t>
      </w:r>
      <w:r w:rsidR="00CD415F">
        <w:t xml:space="preserve">, </w:t>
      </w:r>
      <m:oMath>
        <m:sSubSup>
          <m:sSubSupPr>
            <m:ctrlPr>
              <w:rPr>
                <w:rFonts w:ascii="Cambria Math" w:hAnsi="Cambria Math"/>
                <w:i/>
              </w:rPr>
            </m:ctrlPr>
          </m:sSubSupPr>
          <m:e>
            <m:r>
              <w:rPr>
                <w:rFonts w:ascii="Cambria Math"/>
              </w:rPr>
              <m:t>N</m:t>
            </m:r>
          </m:e>
          <m:sub>
            <m:r>
              <m:rPr>
                <m:nor/>
              </m:rPr>
              <w:rPr>
                <w:rFonts w:ascii="Cambria Math"/>
              </w:rPr>
              <m:t xml:space="preserve">type </m:t>
            </m:r>
            <m:ctrlPr>
              <w:rPr>
                <w:rFonts w:ascii="Cambria Math" w:hAnsi="Cambria Math"/>
              </w:rPr>
            </m:ctrlPr>
          </m:sub>
          <m:sup>
            <m:r>
              <m:rPr>
                <m:nor/>
              </m:rPr>
              <w:rPr>
                <w:rFonts w:ascii="Cambria Math"/>
              </w:rPr>
              <m:t>PSFCH</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 xml:space="preserve">subch </m:t>
            </m:r>
            <m:ctrlPr>
              <w:rPr>
                <w:rFonts w:ascii="Cambria Math" w:hAnsi="Cambria Math"/>
              </w:rPr>
            </m:ctrlPr>
          </m:sub>
          <m:sup>
            <m:r>
              <m:rPr>
                <m:nor/>
              </m:rPr>
              <w:rPr>
                <w:rFonts w:ascii="Cambria Math"/>
              </w:rPr>
              <m:t>PSSCH</m:t>
            </m:r>
            <m:ctrlPr>
              <w:rPr>
                <w:rFonts w:ascii="Cambria Math" w:hAnsi="Cambria Math"/>
              </w:rPr>
            </m:ctrlPr>
          </m:sup>
        </m:sSubSup>
      </m:oMath>
      <w:r>
        <w:rPr>
          <w:lang w:val="en-US"/>
        </w:rPr>
        <w:t xml:space="preserve"> </w:t>
      </w:r>
      <w:r>
        <w:t xml:space="preserve">and the </w:t>
      </w:r>
      <m:oMath>
        <m:sSubSup>
          <m:sSubSupPr>
            <m:ctrlPr>
              <w:rPr>
                <w:rFonts w:ascii="Cambria Math" w:hAnsi="Cambria Math"/>
                <w:i/>
              </w:rPr>
            </m:ctrlPr>
          </m:sSubSupPr>
          <m:e>
            <m:sSubSup>
              <m:sSubSupPr>
                <m:ctrlPr>
                  <w:rPr>
                    <w:rFonts w:ascii="Cambria Math" w:hAnsi="Cambria Math"/>
                    <w:i/>
                  </w:rPr>
                </m:ctrlPr>
              </m:sSubSupPr>
              <m:e>
                <m:r>
                  <w:rPr>
                    <w:rFonts w:ascii="Cambria Math"/>
                  </w:rPr>
                  <m:t>N</m:t>
                </m:r>
              </m:e>
              <m:sub>
                <m:r>
                  <m:rPr>
                    <m:nor/>
                  </m:rPr>
                  <w:rPr>
                    <w:rFonts w:ascii="Cambria Math"/>
                  </w:rPr>
                  <m:t xml:space="preserve">subch </m:t>
                </m:r>
                <m:ctrlPr>
                  <w:rPr>
                    <w:rFonts w:ascii="Cambria Math" w:hAnsi="Cambria Math"/>
                  </w:rPr>
                </m:ctrlPr>
              </m:sub>
              <m:sup>
                <m:r>
                  <m:rPr>
                    <m:nor/>
                  </m:rPr>
                  <w:rPr>
                    <w:rFonts w:ascii="Cambria Math"/>
                  </w:rPr>
                  <m:t>PSSCH</m:t>
                </m:r>
                <m:ctrlPr>
                  <w:rPr>
                    <w:rFonts w:ascii="Cambria Math" w:hAnsi="Cambria Math"/>
                  </w:rPr>
                </m:ctrlPr>
              </m:sup>
            </m:sSubSup>
            <m:r>
              <w:rPr>
                <w:rFonts w:ascii="Cambria Math" w:hAnsi="Cambria Math"/>
              </w:rPr>
              <m:t>⋅</m:t>
            </m:r>
            <m:r>
              <w:rPr>
                <w:rFonts w:ascii="Cambria Math"/>
              </w:rPr>
              <m:t>M</m:t>
            </m:r>
          </m:e>
          <m:sub>
            <m:r>
              <m:rPr>
                <m:nor/>
              </m:rPr>
              <w:rPr>
                <w:rFonts w:ascii="Cambria Math"/>
              </w:rPr>
              <m:t xml:space="preserve">subch, </m:t>
            </m:r>
            <m:r>
              <m:rPr>
                <m:sty m:val="p"/>
              </m:rPr>
              <w:rPr>
                <w:rFonts w:ascii="Cambria Math"/>
              </w:rPr>
              <m:t>slot</m:t>
            </m:r>
            <m:ctrlPr>
              <w:rPr>
                <w:rFonts w:ascii="Cambria Math" w:hAnsi="Cambria Math"/>
              </w:rPr>
            </m:ctrlPr>
          </m:sub>
          <m:sup>
            <m:r>
              <m:rPr>
                <m:nor/>
              </m:rPr>
              <w:rPr>
                <w:rFonts w:ascii="Cambria Math"/>
              </w:rPr>
              <m:t>PSFCH</m:t>
            </m:r>
            <m:ctrlPr>
              <w:rPr>
                <w:rFonts w:ascii="Cambria Math" w:hAnsi="Cambria Math"/>
              </w:rPr>
            </m:ctrlPr>
          </m:sup>
        </m:sSubSup>
      </m:oMath>
      <w:r>
        <w:rPr>
          <w:lang w:val="en-US"/>
        </w:rPr>
        <w:t xml:space="preserve"> </w:t>
      </w:r>
      <w:r w:rsidR="00C57A53">
        <w:rPr>
          <w:lang w:val="en-US"/>
        </w:rPr>
        <w:t xml:space="preserve">PRBs </w:t>
      </w:r>
      <w:r>
        <w:rPr>
          <w:lang w:val="en-US"/>
        </w:rPr>
        <w:t xml:space="preserve">are </w:t>
      </w:r>
      <w:r w:rsidR="00C57A53">
        <w:rPr>
          <w:lang w:val="en-US"/>
        </w:rPr>
        <w:t>associated with</w:t>
      </w:r>
      <w:r>
        <w:rPr>
          <w:lang w:val="en-US"/>
        </w:rPr>
        <w:t xml:space="preserve"> the </w:t>
      </w:r>
      <m:oMath>
        <m:sSubSup>
          <m:sSubSupPr>
            <m:ctrlPr>
              <w:rPr>
                <w:rFonts w:ascii="Cambria Math" w:hAnsi="Cambria Math"/>
                <w:i/>
              </w:rPr>
            </m:ctrlPr>
          </m:sSubSupPr>
          <m:e>
            <m:r>
              <w:rPr>
                <w:rFonts w:ascii="Cambria Math"/>
              </w:rPr>
              <m:t>N</m:t>
            </m:r>
          </m:e>
          <m:sub>
            <m:r>
              <m:rPr>
                <m:nor/>
              </m:rPr>
              <w:rPr>
                <w:rFonts w:ascii="Cambria Math"/>
              </w:rPr>
              <m:t xml:space="preserve">subch </m:t>
            </m:r>
            <m:ctrlPr>
              <w:rPr>
                <w:rFonts w:ascii="Cambria Math" w:hAnsi="Cambria Math"/>
              </w:rPr>
            </m:ctrlPr>
          </m:sub>
          <m:sup>
            <m:r>
              <m:rPr>
                <m:nor/>
              </m:rPr>
              <w:rPr>
                <w:rFonts w:ascii="Cambria Math"/>
              </w:rPr>
              <m:t>PSSCH</m:t>
            </m:r>
            <m:ctrlPr>
              <w:rPr>
                <w:rFonts w:ascii="Cambria Math" w:hAnsi="Cambria Math"/>
              </w:rPr>
            </m:ctrlPr>
          </m:sup>
        </m:sSubSup>
      </m:oMath>
      <w:r>
        <w:rPr>
          <w:lang w:val="en-US"/>
        </w:rPr>
        <w:t xml:space="preserve"> sub-channels</w:t>
      </w:r>
      <w:r w:rsidR="00C57A53">
        <w:rPr>
          <w:lang w:val="en-US"/>
        </w:rPr>
        <w:t xml:space="preserve"> of the corresponding PSSCH</w:t>
      </w:r>
    </w:p>
    <w:p w14:paraId="56277A5D" w14:textId="3822E437" w:rsidR="00CF3D85" w:rsidRDefault="00CF3D85" w:rsidP="00E21265">
      <w:pPr>
        <w:pStyle w:val="B1"/>
      </w:pPr>
      <w:r w:rsidRPr="007053C7">
        <w:t>-</w:t>
      </w:r>
      <w:r w:rsidRPr="007053C7">
        <w:tab/>
      </w:r>
      <w:r w:rsidRPr="007053C7">
        <w:rPr>
          <w:lang w:val="en-US"/>
        </w:rPr>
        <w:t xml:space="preserve">for conflict information, the corresponding PSSCH is determined based on </w:t>
      </w:r>
      <w:r w:rsidR="002B1778">
        <w:rPr>
          <w:i/>
          <w:iCs/>
        </w:rPr>
        <w:t>sl-PSFCH-Occasion</w:t>
      </w:r>
    </w:p>
    <w:p w14:paraId="51EDC407" w14:textId="7FF406BF" w:rsidR="00E21265" w:rsidRDefault="00E21265" w:rsidP="00E21265">
      <w:r>
        <w:t xml:space="preserve">The PSFCH resources are first indexed according to an ascending order of the PRB index, from the </w:t>
      </w:r>
      <m:oMath>
        <m:sSubSup>
          <m:sSubSupPr>
            <m:ctrlPr>
              <w:rPr>
                <w:rFonts w:ascii="Cambria Math" w:hAnsi="Cambria Math"/>
                <w:i/>
              </w:rPr>
            </m:ctrlPr>
          </m:sSubSupPr>
          <m:e>
            <m:sSubSup>
              <m:sSubSupPr>
                <m:ctrlPr>
                  <w:rPr>
                    <w:rFonts w:ascii="Cambria Math" w:hAnsi="Cambria Math"/>
                    <w:i/>
                  </w:rPr>
                </m:ctrlPr>
              </m:sSubSupPr>
              <m:e>
                <m:r>
                  <w:rPr>
                    <w:rFonts w:ascii="Cambria Math"/>
                  </w:rPr>
                  <m:t>N</m:t>
                </m:r>
              </m:e>
              <m:sub>
                <m:r>
                  <m:rPr>
                    <m:nor/>
                  </m:rPr>
                  <w:rPr>
                    <w:rFonts w:ascii="Cambria Math"/>
                  </w:rPr>
                  <m:t xml:space="preserve">type </m:t>
                </m:r>
                <m:ctrlPr>
                  <w:rPr>
                    <w:rFonts w:ascii="Cambria Math" w:hAnsi="Cambria Math"/>
                  </w:rPr>
                </m:ctrlPr>
              </m:sub>
              <m:sup>
                <m:r>
                  <m:rPr>
                    <m:nor/>
                  </m:rPr>
                  <w:rPr>
                    <w:rFonts w:ascii="Cambria Math"/>
                  </w:rPr>
                  <m:t>PSFCH</m:t>
                </m:r>
                <m:ctrlPr>
                  <w:rPr>
                    <w:rFonts w:ascii="Cambria Math" w:hAnsi="Cambria Math"/>
                  </w:rPr>
                </m:ctrlPr>
              </m:sup>
            </m:sSubSup>
            <m:r>
              <w:rPr>
                <w:rFonts w:ascii="Cambria Math" w:hAnsi="Cambria Math"/>
              </w:rPr>
              <m:t>⋅</m:t>
            </m:r>
            <m:r>
              <w:rPr>
                <w:rFonts w:ascii="Cambria Math"/>
              </w:rPr>
              <m:t>M</m:t>
            </m:r>
          </m:e>
          <m:sub>
            <m:r>
              <m:rPr>
                <m:nor/>
              </m:rPr>
              <w:rPr>
                <w:rFonts w:ascii="Cambria Math"/>
              </w:rPr>
              <m:t xml:space="preserve">subch, </m:t>
            </m:r>
            <m:r>
              <m:rPr>
                <m:sty m:val="p"/>
              </m:rPr>
              <w:rPr>
                <w:rFonts w:ascii="Cambria Math"/>
              </w:rPr>
              <m:t>slot</m:t>
            </m:r>
            <m:ctrlPr>
              <w:rPr>
                <w:rFonts w:ascii="Cambria Math" w:hAnsi="Cambria Math"/>
              </w:rPr>
            </m:ctrlPr>
          </m:sub>
          <m:sup>
            <m:r>
              <m:rPr>
                <m:nor/>
              </m:rPr>
              <w:rPr>
                <w:rFonts w:ascii="Cambria Math"/>
              </w:rPr>
              <m:t>PSFCH</m:t>
            </m:r>
            <m:ctrlPr>
              <w:rPr>
                <w:rFonts w:ascii="Cambria Math" w:hAnsi="Cambria Math"/>
              </w:rPr>
            </m:ctrlPr>
          </m:sup>
        </m:sSubSup>
      </m:oMath>
      <w:r>
        <w:t xml:space="preserve"> PRBs, and then according to an ascending order of the cyclic shift pair index from the </w:t>
      </w:r>
      <m:oMath>
        <m:sSubSup>
          <m:sSubSupPr>
            <m:ctrlPr>
              <w:rPr>
                <w:rFonts w:ascii="Cambria Math" w:hAnsi="Cambria Math"/>
                <w:i/>
              </w:rPr>
            </m:ctrlPr>
          </m:sSubSupPr>
          <m:e>
            <m:r>
              <w:rPr>
                <w:rFonts w:ascii="Cambria Math"/>
              </w:rPr>
              <m:t>N</m:t>
            </m:r>
          </m:e>
          <m:sub>
            <m:r>
              <m:rPr>
                <m:nor/>
              </m:rPr>
              <w:rPr>
                <w:rFonts w:ascii="Cambria Math"/>
              </w:rPr>
              <m:t>CS</m:t>
            </m:r>
            <m:ctrlPr>
              <w:rPr>
                <w:rFonts w:ascii="Cambria Math" w:hAnsi="Cambria Math"/>
              </w:rPr>
            </m:ctrlPr>
          </m:sub>
          <m:sup>
            <m:r>
              <m:rPr>
                <m:nor/>
              </m:rPr>
              <w:rPr>
                <w:rFonts w:ascii="Cambria Math"/>
              </w:rPr>
              <m:t>PSFCH</m:t>
            </m:r>
            <m:ctrlPr>
              <w:rPr>
                <w:rFonts w:ascii="Cambria Math" w:hAnsi="Cambria Math"/>
              </w:rPr>
            </m:ctrlPr>
          </m:sup>
        </m:sSubSup>
      </m:oMath>
      <w:r>
        <w:t xml:space="preserve"> cyclic shift pairs.</w:t>
      </w:r>
    </w:p>
    <w:p w14:paraId="3833DFD6" w14:textId="77777777" w:rsidR="00562338" w:rsidRPr="00562338" w:rsidRDefault="00562338" w:rsidP="00562338">
      <w:r w:rsidRPr="00562338">
        <w:t xml:space="preserve">For operation with shared spectrum channel access and for </w:t>
      </w:r>
      <w:r w:rsidRPr="00562338">
        <w:rPr>
          <w:iCs/>
        </w:rPr>
        <w:t xml:space="preserve">the </w:t>
      </w:r>
      <m:oMath>
        <m:r>
          <w:rPr>
            <w:rFonts w:ascii="Cambria Math" w:hAnsi="Cambria Math"/>
          </w:rPr>
          <m:t>n</m:t>
        </m:r>
      </m:oMath>
      <w:r w:rsidRPr="00562338">
        <w:rPr>
          <w:iCs/>
        </w:rPr>
        <w:t>-th candidate PSFCH transmission occasion,</w:t>
      </w:r>
      <w:r w:rsidRPr="00562338">
        <w:t xml:space="preserve"> a UE determines a number of PSFCH resources available for multiplexing HARQ-ACK or conflict information in a PSFCH transmission as </w:t>
      </w:r>
      <m:oMath>
        <m:sSubSup>
          <m:sSubSupPr>
            <m:ctrlPr>
              <w:rPr>
                <w:rFonts w:ascii="Cambria Math" w:hAnsi="Cambria Math"/>
                <w:i/>
              </w:rPr>
            </m:ctrlPr>
          </m:sSubSupPr>
          <m:e>
            <m:r>
              <w:rPr>
                <w:rFonts w:ascii="Cambria Math"/>
              </w:rPr>
              <m:t>R</m:t>
            </m:r>
          </m:e>
          <m:sub>
            <m:r>
              <m:rPr>
                <m:nor/>
              </m:rPr>
              <w:rPr>
                <w:rFonts w:ascii="Cambria Math"/>
              </w:rPr>
              <m:t xml:space="preserve">PRB, </m:t>
            </m:r>
            <m:r>
              <m:rPr>
                <m:sty m:val="p"/>
              </m:rPr>
              <w:rPr>
                <w:rFonts w:ascii="Cambria Math"/>
              </w:rPr>
              <m:t>CS</m:t>
            </m:r>
            <m:ctrlPr>
              <w:rPr>
                <w:rFonts w:ascii="Cambria Math" w:hAnsi="Cambria Math"/>
              </w:rPr>
            </m:ctrlPr>
          </m:sub>
          <m:sup>
            <m:r>
              <m:rPr>
                <m:nor/>
              </m:rPr>
              <w:rPr>
                <w:rFonts w:ascii="Cambria Math"/>
              </w:rPr>
              <m:t>PSFCH</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 xml:space="preserve">type </m:t>
            </m:r>
            <m:ctrlPr>
              <w:rPr>
                <w:rFonts w:ascii="Cambria Math" w:hAnsi="Cambria Math"/>
              </w:rPr>
            </m:ctrlPr>
          </m:sub>
          <m:sup>
            <m:r>
              <m:rPr>
                <m:nor/>
              </m:rPr>
              <w:rPr>
                <w:rFonts w:ascii="Cambria Math"/>
              </w:rPr>
              <m:t>PSFCH</m:t>
            </m:r>
            <m:ctrlPr>
              <w:rPr>
                <w:rFonts w:ascii="Cambria Math" w:hAnsi="Cambria Math"/>
              </w:rPr>
            </m:ctrlPr>
          </m:sup>
        </m:sSubSup>
        <m:r>
          <w:rPr>
            <w:rFonts w:ascii="Cambria Math" w:hAnsi="Cambria Math"/>
          </w:rPr>
          <m:t>⋅M⋅</m:t>
        </m:r>
        <m:sSubSup>
          <m:sSubSupPr>
            <m:ctrlPr>
              <w:rPr>
                <w:rFonts w:ascii="Cambria Math" w:hAnsi="Cambria Math"/>
                <w:i/>
              </w:rPr>
            </m:ctrlPr>
          </m:sSubSupPr>
          <m:e>
            <m:r>
              <w:rPr>
                <w:rFonts w:ascii="Cambria Math"/>
              </w:rPr>
              <m:t>N</m:t>
            </m:r>
          </m:e>
          <m:sub>
            <m:r>
              <m:rPr>
                <m:nor/>
              </m:rPr>
              <w:rPr>
                <w:rFonts w:ascii="Cambria Math"/>
              </w:rPr>
              <m:t>CS</m:t>
            </m:r>
            <m:ctrlPr>
              <w:rPr>
                <w:rFonts w:ascii="Cambria Math" w:hAnsi="Cambria Math"/>
              </w:rPr>
            </m:ctrlPr>
          </m:sub>
          <m:sup>
            <m:r>
              <m:rPr>
                <m:nor/>
              </m:rPr>
              <w:rPr>
                <w:rFonts w:ascii="Cambria Math"/>
              </w:rPr>
              <m:t>PSFCH</m:t>
            </m:r>
            <m:ctrlPr>
              <w:rPr>
                <w:rFonts w:ascii="Cambria Math" w:hAnsi="Cambria Math"/>
              </w:rPr>
            </m:ctrlPr>
          </m:sup>
        </m:sSubSup>
      </m:oMath>
      <w:r w:rsidRPr="00562338">
        <w:t xml:space="preserve"> where </w:t>
      </w:r>
      <m:oMath>
        <m:sSubSup>
          <m:sSubSupPr>
            <m:ctrlPr>
              <w:rPr>
                <w:rFonts w:ascii="Cambria Math" w:hAnsi="Cambria Math"/>
                <w:i/>
              </w:rPr>
            </m:ctrlPr>
          </m:sSubSupPr>
          <m:e>
            <m:r>
              <w:rPr>
                <w:rFonts w:ascii="Cambria Math"/>
              </w:rPr>
              <m:t>N</m:t>
            </m:r>
          </m:e>
          <m:sub>
            <m:r>
              <m:rPr>
                <m:nor/>
              </m:rPr>
              <w:rPr>
                <w:rFonts w:ascii="Cambria Math"/>
              </w:rPr>
              <m:t>CS</m:t>
            </m:r>
            <m:ctrlPr>
              <w:rPr>
                <w:rFonts w:ascii="Cambria Math" w:hAnsi="Cambria Math"/>
              </w:rPr>
            </m:ctrlPr>
          </m:sub>
          <m:sup>
            <m:r>
              <m:rPr>
                <m:nor/>
              </m:rPr>
              <w:rPr>
                <w:rFonts w:ascii="Cambria Math"/>
              </w:rPr>
              <m:t>PSFCH</m:t>
            </m:r>
            <m:ctrlPr>
              <w:rPr>
                <w:rFonts w:ascii="Cambria Math" w:hAnsi="Cambria Math"/>
              </w:rPr>
            </m:ctrlPr>
          </m:sup>
        </m:sSubSup>
      </m:oMath>
      <w:r w:rsidRPr="00562338">
        <w:t xml:space="preserve"> is a number of cyclic shift pairs for the resource pool provided by </w:t>
      </w:r>
      <w:r w:rsidRPr="00562338">
        <w:rPr>
          <w:i/>
        </w:rPr>
        <w:t>sl-NumMuxCS-Pair</w:t>
      </w:r>
      <w:r w:rsidRPr="00562338">
        <w:t xml:space="preserve"> and, based on an indication by </w:t>
      </w:r>
      <w:r w:rsidRPr="00562338">
        <w:rPr>
          <w:i/>
        </w:rPr>
        <w:t>sl-PSFCH-CandidateResourceType</w:t>
      </w:r>
    </w:p>
    <w:p w14:paraId="391EDB53" w14:textId="77777777" w:rsidR="00562338" w:rsidRPr="00562338" w:rsidRDefault="00562338" w:rsidP="00562338">
      <w:pPr>
        <w:pStyle w:val="B1"/>
      </w:pPr>
      <w:r w:rsidRPr="00562338">
        <w:t>-</w:t>
      </w:r>
      <w:r w:rsidRPr="00562338">
        <w:tab/>
      </w:r>
      <w:r w:rsidRPr="00562338">
        <w:rPr>
          <w:lang w:val="en-US"/>
        </w:rPr>
        <w:t>if</w:t>
      </w:r>
      <w:r w:rsidRPr="00562338">
        <w:t xml:space="preserve"> </w:t>
      </w:r>
      <w:r w:rsidRPr="00562338">
        <w:rPr>
          <w:i/>
        </w:rPr>
        <w:t xml:space="preserve">sl-PSFCH-CandidateResourceType </w:t>
      </w:r>
      <w:r w:rsidRPr="00562338">
        <w:t xml:space="preserve">is indicated as </w:t>
      </w:r>
      <w:r w:rsidRPr="00562338">
        <w:rPr>
          <w:i/>
        </w:rPr>
        <w:t>startSubCH</w:t>
      </w:r>
      <w:r w:rsidRPr="00562338">
        <w:t xml:space="preserve">, </w:t>
      </w:r>
      <m:oMath>
        <m:sSubSup>
          <m:sSubSupPr>
            <m:ctrlPr>
              <w:rPr>
                <w:rFonts w:ascii="Cambria Math" w:hAnsi="Cambria Math"/>
                <w:i/>
              </w:rPr>
            </m:ctrlPr>
          </m:sSubSupPr>
          <m:e>
            <m:r>
              <w:rPr>
                <w:rFonts w:ascii="Cambria Math"/>
              </w:rPr>
              <m:t>N</m:t>
            </m:r>
          </m:e>
          <m:sub>
            <m:r>
              <m:rPr>
                <m:nor/>
              </m:rPr>
              <w:rPr>
                <w:rFonts w:ascii="Cambria Math"/>
              </w:rPr>
              <m:t xml:space="preserve">type </m:t>
            </m:r>
            <m:ctrlPr>
              <w:rPr>
                <w:rFonts w:ascii="Cambria Math" w:hAnsi="Cambria Math"/>
              </w:rPr>
            </m:ctrlPr>
          </m:sub>
          <m:sup>
            <m:r>
              <m:rPr>
                <m:nor/>
              </m:rPr>
              <w:rPr>
                <w:rFonts w:ascii="Cambria Math"/>
              </w:rPr>
              <m:t>PSFCH</m:t>
            </m:r>
            <m:ctrlPr>
              <w:rPr>
                <w:rFonts w:ascii="Cambria Math" w:hAnsi="Cambria Math"/>
              </w:rPr>
            </m:ctrlPr>
          </m:sup>
        </m:sSubSup>
        <m:r>
          <w:rPr>
            <w:rFonts w:ascii="Cambria Math" w:hAnsi="Cambria Math"/>
          </w:rPr>
          <m:t>=1</m:t>
        </m:r>
      </m:oMath>
      <w:r w:rsidRPr="00562338">
        <w:t xml:space="preserve">, </w:t>
      </w:r>
      <m:oMath>
        <m:r>
          <w:rPr>
            <w:rFonts w:ascii="Cambria Math" w:hAnsi="Cambria Math"/>
          </w:rPr>
          <m:t>M=</m:t>
        </m:r>
        <m:sSubSup>
          <m:sSubSupPr>
            <m:ctrlPr>
              <w:rPr>
                <w:rFonts w:ascii="Cambria Math" w:hAnsi="Cambria Math"/>
                <w:i/>
              </w:rPr>
            </m:ctrlPr>
          </m:sSubSupPr>
          <m:e>
            <m:r>
              <w:rPr>
                <w:rFonts w:ascii="Cambria Math"/>
              </w:rPr>
              <m:t>M</m:t>
            </m:r>
          </m:e>
          <m:sub>
            <m:r>
              <m:rPr>
                <m:nor/>
              </m:rPr>
              <w:rPr>
                <w:rFonts w:ascii="Cambria Math"/>
              </w:rPr>
              <m:t xml:space="preserve">subch, </m:t>
            </m:r>
            <m:r>
              <m:rPr>
                <m:sty m:val="p"/>
              </m:rPr>
              <w:rPr>
                <w:rFonts w:ascii="Cambria Math"/>
              </w:rPr>
              <m:t>slot,</m:t>
            </m:r>
            <m:r>
              <w:rPr>
                <w:rFonts w:ascii="Cambria Math"/>
              </w:rPr>
              <m:t>k</m:t>
            </m:r>
            <m:ctrlPr>
              <w:rPr>
                <w:rFonts w:ascii="Cambria Math" w:hAnsi="Cambria Math"/>
              </w:rPr>
            </m:ctrlPr>
          </m:sub>
          <m:sup>
            <m:r>
              <m:rPr>
                <m:nor/>
              </m:rPr>
              <w:rPr>
                <w:rFonts w:ascii="Cambria Math"/>
              </w:rPr>
              <m:t>PSFCH,</m:t>
            </m:r>
            <m:r>
              <m:rPr>
                <m:nor/>
              </m:rPr>
              <w:rPr>
                <w:rFonts w:ascii="Cambria Math"/>
                <w:i/>
              </w:rPr>
              <m:t>n</m:t>
            </m:r>
            <m:ctrlPr>
              <w:rPr>
                <w:rFonts w:ascii="Cambria Math" w:hAnsi="Cambria Math"/>
              </w:rPr>
            </m:ctrlPr>
          </m:sup>
        </m:sSubSup>
      </m:oMath>
      <w:r w:rsidRPr="00562338">
        <w:rPr>
          <w:lang w:val="en-US"/>
        </w:rPr>
        <w:t>, and the</w:t>
      </w:r>
      <w:r w:rsidRPr="00562338">
        <w:t xml:space="preserve"> </w:t>
      </w:r>
      <m:oMath>
        <m:sSubSup>
          <m:sSubSupPr>
            <m:ctrlPr>
              <w:rPr>
                <w:rFonts w:ascii="Cambria Math" w:hAnsi="Cambria Math"/>
                <w:i/>
              </w:rPr>
            </m:ctrlPr>
          </m:sSubSupPr>
          <m:e>
            <m:r>
              <w:rPr>
                <w:rFonts w:ascii="Cambria Math"/>
              </w:rPr>
              <m:t>N</m:t>
            </m:r>
          </m:e>
          <m:sub>
            <m:r>
              <m:rPr>
                <m:nor/>
              </m:rPr>
              <w:rPr>
                <w:rFonts w:ascii="Cambria Math"/>
              </w:rPr>
              <m:t xml:space="preserve">type </m:t>
            </m:r>
            <m:ctrlPr>
              <w:rPr>
                <w:rFonts w:ascii="Cambria Math" w:hAnsi="Cambria Math"/>
              </w:rPr>
            </m:ctrlPr>
          </m:sub>
          <m:sup>
            <m:r>
              <m:rPr>
                <m:nor/>
              </m:rPr>
              <w:rPr>
                <w:rFonts w:ascii="Cambria Math"/>
              </w:rPr>
              <m:t>PSFCH</m:t>
            </m:r>
            <m:ctrlPr>
              <w:rPr>
                <w:rFonts w:ascii="Cambria Math" w:hAnsi="Cambria Math"/>
              </w:rPr>
            </m:ctrlPr>
          </m:sup>
        </m:sSubSup>
        <m:r>
          <w:rPr>
            <w:rFonts w:ascii="Cambria Math" w:hAnsi="Cambria Math"/>
          </w:rPr>
          <m:t>⋅M</m:t>
        </m:r>
      </m:oMath>
      <w:r w:rsidRPr="00562338">
        <w:rPr>
          <w:lang w:val="en-US"/>
        </w:rPr>
        <w:t xml:space="preserve"> interlaces</w:t>
      </w:r>
      <w:r w:rsidRPr="00562338">
        <w:t xml:space="preserve"> </w:t>
      </w:r>
      <w:r w:rsidRPr="00562338">
        <w:rPr>
          <w:lang w:val="en-US"/>
        </w:rPr>
        <w:t xml:space="preserve">or PRB subsets </w:t>
      </w:r>
      <w:r w:rsidRPr="00562338">
        <w:t xml:space="preserve">are </w:t>
      </w:r>
      <w:r w:rsidRPr="00562338">
        <w:rPr>
          <w:rFonts w:eastAsia="Malgun Gothic"/>
        </w:rPr>
        <w:t xml:space="preserve">associated with the lowest sub-channel index </w:t>
      </w:r>
      <w:r w:rsidRPr="00562338">
        <w:rPr>
          <w:rFonts w:eastAsia="Malgun Gothic"/>
          <w:lang w:val="en-US"/>
        </w:rPr>
        <w:t xml:space="preserve">within the RB-set with smallest index </w:t>
      </w:r>
      <w:r w:rsidRPr="00562338">
        <w:rPr>
          <w:rFonts w:eastAsia="Malgun Gothic"/>
        </w:rPr>
        <w:t>of the corresponding PSSCH</w:t>
      </w:r>
      <w:r w:rsidRPr="00562338">
        <w:t xml:space="preserve"> </w:t>
      </w:r>
    </w:p>
    <w:p w14:paraId="6FD0DD09" w14:textId="77777777" w:rsidR="00562338" w:rsidRPr="00562338" w:rsidRDefault="00562338" w:rsidP="00562338">
      <w:pPr>
        <w:pStyle w:val="B1"/>
        <w:rPr>
          <w:lang w:val="en-US"/>
        </w:rPr>
      </w:pPr>
      <w:r w:rsidRPr="00562338">
        <w:lastRenderedPageBreak/>
        <w:t>-</w:t>
      </w:r>
      <w:r w:rsidRPr="00562338">
        <w:tab/>
      </w:r>
      <w:r w:rsidRPr="00562338">
        <w:rPr>
          <w:lang w:val="en-US"/>
        </w:rPr>
        <w:t>if</w:t>
      </w:r>
      <w:r w:rsidRPr="00562338">
        <w:t xml:space="preserve"> </w:t>
      </w:r>
      <w:r w:rsidRPr="00562338">
        <w:rPr>
          <w:i/>
        </w:rPr>
        <w:t xml:space="preserve">sl-PSFCH-CandidateResourceType </w:t>
      </w:r>
      <w:r w:rsidRPr="00562338">
        <w:t xml:space="preserve">is indicated as </w:t>
      </w:r>
      <w:r w:rsidRPr="00562338">
        <w:rPr>
          <w:i/>
        </w:rPr>
        <w:t>allocSubCH</w:t>
      </w:r>
      <w:r w:rsidRPr="00562338">
        <w:t xml:space="preserve">, </w:t>
      </w:r>
      <m:oMath>
        <m:sSubSup>
          <m:sSubSupPr>
            <m:ctrlPr>
              <w:rPr>
                <w:rFonts w:ascii="Cambria Math" w:hAnsi="Cambria Math"/>
                <w:i/>
              </w:rPr>
            </m:ctrlPr>
          </m:sSubSupPr>
          <m:e>
            <m:r>
              <w:rPr>
                <w:rFonts w:ascii="Cambria Math"/>
              </w:rPr>
              <m:t>N</m:t>
            </m:r>
          </m:e>
          <m:sub>
            <m:r>
              <m:rPr>
                <m:nor/>
              </m:rPr>
              <w:rPr>
                <w:rFonts w:ascii="Cambria Math"/>
              </w:rPr>
              <m:t xml:space="preserve">type </m:t>
            </m:r>
            <m:ctrlPr>
              <w:rPr>
                <w:rFonts w:ascii="Cambria Math" w:hAnsi="Cambria Math"/>
              </w:rPr>
            </m:ctrlPr>
          </m:sub>
          <m:sup>
            <m:r>
              <m:rPr>
                <m:nor/>
              </m:rPr>
              <w:rPr>
                <w:rFonts w:ascii="Cambria Math"/>
              </w:rPr>
              <m:t>PSFCH</m:t>
            </m:r>
            <m:ctrlPr>
              <w:rPr>
                <w:rFonts w:ascii="Cambria Math" w:hAnsi="Cambria Math"/>
              </w:rPr>
            </m:ctrlPr>
          </m:sup>
        </m:sSubSup>
        <m:r>
          <w:rPr>
            <w:rFonts w:ascii="Cambria Math" w:hAnsi="Cambria Math"/>
          </w:rPr>
          <m:t>=</m:t>
        </m:r>
        <m:sSubSup>
          <m:sSubSupPr>
            <m:ctrlPr>
              <w:rPr>
                <w:rFonts w:ascii="Cambria Math" w:hAnsi="Cambria Math"/>
                <w:i/>
              </w:rPr>
            </m:ctrlPr>
          </m:sSubSupPr>
          <m:e>
            <m:r>
              <w:rPr>
                <w:rFonts w:ascii="Cambria Math"/>
              </w:rPr>
              <m:t>N</m:t>
            </m:r>
          </m:e>
          <m:sub>
            <m:r>
              <m:rPr>
                <m:nor/>
              </m:rPr>
              <w:rPr>
                <w:rFonts w:ascii="Cambria Math"/>
              </w:rPr>
              <m:t xml:space="preserve">subch </m:t>
            </m:r>
            <m:ctrlPr>
              <w:rPr>
                <w:rFonts w:ascii="Cambria Math" w:hAnsi="Cambria Math"/>
              </w:rPr>
            </m:ctrlPr>
          </m:sub>
          <m:sup>
            <m:r>
              <m:rPr>
                <m:nor/>
              </m:rPr>
              <w:rPr>
                <w:rFonts w:ascii="Cambria Math"/>
              </w:rPr>
              <m:t>PSSCH</m:t>
            </m:r>
            <m:ctrlPr>
              <w:rPr>
                <w:rFonts w:ascii="Cambria Math" w:hAnsi="Cambria Math"/>
              </w:rPr>
            </m:ctrlPr>
          </m:sup>
        </m:sSubSup>
      </m:oMath>
      <w:r w:rsidRPr="00562338">
        <w:rPr>
          <w:lang w:val="en-US"/>
        </w:rPr>
        <w:t xml:space="preserve"> </w:t>
      </w:r>
      <w:r w:rsidRPr="00562338">
        <w:t xml:space="preserve">and </w:t>
      </w:r>
      <m:oMath>
        <m:r>
          <w:rPr>
            <w:rFonts w:ascii="Cambria Math" w:hAnsi="Cambria Math"/>
          </w:rPr>
          <m:t>M=</m:t>
        </m:r>
        <m:nary>
          <m:naryPr>
            <m:chr m:val="∑"/>
            <m:limLoc m:val="undOvr"/>
            <m:supHide m:val="1"/>
            <m:ctrlPr>
              <w:rPr>
                <w:rFonts w:ascii="Cambria Math" w:hAnsi="Cambria Math"/>
                <w:i/>
              </w:rPr>
            </m:ctrlPr>
          </m:naryPr>
          <m:sub>
            <m:r>
              <w:rPr>
                <w:rFonts w:ascii="Cambria Math"/>
              </w:rPr>
              <m:t>k</m:t>
            </m:r>
          </m:sub>
          <m:sup/>
          <m:e>
            <m:sSubSup>
              <m:sSubSupPr>
                <m:ctrlPr>
                  <w:rPr>
                    <w:rFonts w:ascii="Cambria Math" w:hAnsi="Cambria Math"/>
                    <w:i/>
                  </w:rPr>
                </m:ctrlPr>
              </m:sSubSupPr>
              <m:e>
                <m:r>
                  <w:rPr>
                    <w:rFonts w:ascii="Cambria Math"/>
                  </w:rPr>
                  <m:t>M</m:t>
                </m:r>
              </m:e>
              <m:sub>
                <m:r>
                  <m:rPr>
                    <m:nor/>
                  </m:rPr>
                  <w:rPr>
                    <w:rFonts w:ascii="Cambria Math"/>
                  </w:rPr>
                  <m:t xml:space="preserve">subch, </m:t>
                </m:r>
                <m:r>
                  <m:rPr>
                    <m:sty m:val="p"/>
                  </m:rPr>
                  <w:rPr>
                    <w:rFonts w:ascii="Cambria Math"/>
                  </w:rPr>
                  <m:t>slot,</m:t>
                </m:r>
                <m:r>
                  <w:rPr>
                    <w:rFonts w:ascii="Cambria Math"/>
                  </w:rPr>
                  <m:t>k</m:t>
                </m:r>
                <m:ctrlPr>
                  <w:rPr>
                    <w:rFonts w:ascii="Cambria Math" w:hAnsi="Cambria Math"/>
                  </w:rPr>
                </m:ctrlPr>
              </m:sub>
              <m:sup>
                <m:r>
                  <m:rPr>
                    <m:nor/>
                  </m:rPr>
                  <w:rPr>
                    <w:rFonts w:ascii="Cambria Math"/>
                  </w:rPr>
                  <m:t>PSFCH,</m:t>
                </m:r>
                <m:r>
                  <m:rPr>
                    <m:nor/>
                  </m:rPr>
                  <w:rPr>
                    <w:rFonts w:ascii="Cambria Math"/>
                    <w:i/>
                  </w:rPr>
                  <m:t>n</m:t>
                </m:r>
                <m:ctrlPr>
                  <w:rPr>
                    <w:rFonts w:ascii="Cambria Math" w:hAnsi="Cambria Math"/>
                  </w:rPr>
                </m:ctrlPr>
              </m:sup>
            </m:sSubSup>
          </m:e>
        </m:nary>
      </m:oMath>
      <w:r w:rsidRPr="00562338">
        <w:rPr>
          <w:lang w:val="en-US"/>
        </w:rPr>
        <w:t xml:space="preserve"> where the sum is over all RB-sets including resources for the corresponding PSSCH, and </w:t>
      </w:r>
      <w:r w:rsidRPr="00562338">
        <w:t xml:space="preserve">the </w:t>
      </w:r>
      <m:oMath>
        <m:sSubSup>
          <m:sSubSupPr>
            <m:ctrlPr>
              <w:rPr>
                <w:rFonts w:ascii="Cambria Math" w:hAnsi="Cambria Math"/>
                <w:i/>
              </w:rPr>
            </m:ctrlPr>
          </m:sSubSupPr>
          <m:e>
            <m:r>
              <w:rPr>
                <w:rFonts w:ascii="Cambria Math"/>
              </w:rPr>
              <m:t>N</m:t>
            </m:r>
          </m:e>
          <m:sub>
            <m:r>
              <m:rPr>
                <m:nor/>
              </m:rPr>
              <w:rPr>
                <w:rFonts w:ascii="Cambria Math"/>
              </w:rPr>
              <m:t xml:space="preserve">type </m:t>
            </m:r>
            <m:ctrlPr>
              <w:rPr>
                <w:rFonts w:ascii="Cambria Math" w:hAnsi="Cambria Math"/>
              </w:rPr>
            </m:ctrlPr>
          </m:sub>
          <m:sup>
            <m:r>
              <m:rPr>
                <m:nor/>
              </m:rPr>
              <w:rPr>
                <w:rFonts w:ascii="Cambria Math"/>
              </w:rPr>
              <m:t>PSFCH</m:t>
            </m:r>
            <m:ctrlPr>
              <w:rPr>
                <w:rFonts w:ascii="Cambria Math" w:hAnsi="Cambria Math"/>
              </w:rPr>
            </m:ctrlPr>
          </m:sup>
        </m:sSubSup>
        <m:r>
          <w:rPr>
            <w:rFonts w:ascii="Cambria Math" w:hAnsi="Cambria Math"/>
          </w:rPr>
          <m:t>⋅M</m:t>
        </m:r>
      </m:oMath>
      <w:r w:rsidRPr="00562338">
        <w:rPr>
          <w:lang w:val="en-US"/>
        </w:rPr>
        <w:t xml:space="preserve"> combinations of interlaces and RB-sets or PRB subsets are associated with the </w:t>
      </w:r>
      <m:oMath>
        <m:sSubSup>
          <m:sSubSupPr>
            <m:ctrlPr>
              <w:rPr>
                <w:rFonts w:ascii="Cambria Math" w:hAnsi="Cambria Math"/>
                <w:i/>
              </w:rPr>
            </m:ctrlPr>
          </m:sSubSupPr>
          <m:e>
            <m:r>
              <w:rPr>
                <w:rFonts w:ascii="Cambria Math"/>
              </w:rPr>
              <m:t>N</m:t>
            </m:r>
          </m:e>
          <m:sub>
            <m:r>
              <m:rPr>
                <m:nor/>
              </m:rPr>
              <w:rPr>
                <w:rFonts w:ascii="Cambria Math"/>
              </w:rPr>
              <m:t xml:space="preserve">subch </m:t>
            </m:r>
            <m:ctrlPr>
              <w:rPr>
                <w:rFonts w:ascii="Cambria Math" w:hAnsi="Cambria Math"/>
              </w:rPr>
            </m:ctrlPr>
          </m:sub>
          <m:sup>
            <m:r>
              <m:rPr>
                <m:nor/>
              </m:rPr>
              <w:rPr>
                <w:rFonts w:ascii="Cambria Math"/>
              </w:rPr>
              <m:t>PSSCH</m:t>
            </m:r>
            <m:ctrlPr>
              <w:rPr>
                <w:rFonts w:ascii="Cambria Math" w:hAnsi="Cambria Math"/>
              </w:rPr>
            </m:ctrlPr>
          </m:sup>
        </m:sSubSup>
      </m:oMath>
      <w:r w:rsidRPr="00562338">
        <w:rPr>
          <w:lang w:val="en-US"/>
        </w:rPr>
        <w:t xml:space="preserve"> sub-channels of the corresponding PSSCH</w:t>
      </w:r>
    </w:p>
    <w:p w14:paraId="3ABC92F6" w14:textId="77777777" w:rsidR="00562338" w:rsidRPr="00562338" w:rsidRDefault="00562338" w:rsidP="00562338">
      <w:pPr>
        <w:pStyle w:val="B1"/>
      </w:pPr>
      <w:r w:rsidRPr="00562338">
        <w:t>-</w:t>
      </w:r>
      <w:r w:rsidRPr="00562338">
        <w:tab/>
      </w:r>
      <w:r w:rsidRPr="00562338">
        <w:rPr>
          <w:lang w:val="en-US"/>
        </w:rPr>
        <w:t xml:space="preserve">for conflict information, the corresponding PSSCH is determined based on </w:t>
      </w:r>
      <w:r w:rsidRPr="00562338">
        <w:rPr>
          <w:i/>
          <w:iCs/>
        </w:rPr>
        <w:t>sl-PSFCH-Occasion</w:t>
      </w:r>
    </w:p>
    <w:p w14:paraId="6F5EC866" w14:textId="0D689A0C" w:rsidR="00562338" w:rsidRPr="00562338" w:rsidRDefault="00562338" w:rsidP="00562338">
      <w:r w:rsidRPr="00562338">
        <w:t xml:space="preserve">The PSFCH resources are first indexed according to an ascending order of the interlace </w:t>
      </w:r>
      <w:r w:rsidRPr="00562338">
        <w:rPr>
          <w:lang w:val="en-US"/>
        </w:rPr>
        <w:t xml:space="preserve">or PRB subset </w:t>
      </w:r>
      <w:r w:rsidRPr="00562338">
        <w:t xml:space="preserve">index, second according to an ascending order of the RB-set index, and then according to an ascending order of the cyclic shift pair index from the </w:t>
      </w:r>
      <m:oMath>
        <m:sSubSup>
          <m:sSubSupPr>
            <m:ctrlPr>
              <w:rPr>
                <w:rFonts w:ascii="Cambria Math" w:hAnsi="Cambria Math"/>
                <w:i/>
              </w:rPr>
            </m:ctrlPr>
          </m:sSubSupPr>
          <m:e>
            <m:r>
              <w:rPr>
                <w:rFonts w:ascii="Cambria Math"/>
              </w:rPr>
              <m:t>N</m:t>
            </m:r>
          </m:e>
          <m:sub>
            <m:r>
              <m:rPr>
                <m:nor/>
              </m:rPr>
              <w:rPr>
                <w:rFonts w:ascii="Cambria Math"/>
              </w:rPr>
              <m:t>CS</m:t>
            </m:r>
            <m:ctrlPr>
              <w:rPr>
                <w:rFonts w:ascii="Cambria Math" w:hAnsi="Cambria Math"/>
              </w:rPr>
            </m:ctrlPr>
          </m:sub>
          <m:sup>
            <m:r>
              <m:rPr>
                <m:nor/>
              </m:rPr>
              <w:rPr>
                <w:rFonts w:ascii="Cambria Math"/>
              </w:rPr>
              <m:t>PSFCH</m:t>
            </m:r>
            <m:ctrlPr>
              <w:rPr>
                <w:rFonts w:ascii="Cambria Math" w:hAnsi="Cambria Math"/>
              </w:rPr>
            </m:ctrlPr>
          </m:sup>
        </m:sSubSup>
      </m:oMath>
      <w:r w:rsidRPr="00562338">
        <w:t xml:space="preserve"> cyclic shift pairs. </w:t>
      </w:r>
      <w:r w:rsidRPr="00562338">
        <w:rPr>
          <w:lang w:eastAsia="ja-JP"/>
        </w:rPr>
        <w:t xml:space="preserve">The UE applies CP extension to the first symbol of a PSFCH and within the first one or two symbols before the first symbol of the PSFCH according to an index [4, TS 38.211] provided by </w:t>
      </w:r>
      <w:r w:rsidR="00257A05" w:rsidRPr="00DC7F70">
        <w:rPr>
          <w:i/>
          <w:iCs/>
          <w:lang w:eastAsia="ja-JP"/>
        </w:rPr>
        <w:t>sl-CPE-StartingPositionPSFCH</w:t>
      </w:r>
      <w:r w:rsidRPr="00562338">
        <w:rPr>
          <w:lang w:eastAsia="ja-JP"/>
        </w:rPr>
        <w:t>.</w:t>
      </w:r>
    </w:p>
    <w:p w14:paraId="29862506" w14:textId="3BFC8FAD" w:rsidR="00E21265" w:rsidRDefault="00E21265" w:rsidP="00E21265">
      <w:r>
        <w:t>A UE determines an index of a PSFCH resource for a PSFCH transmission</w:t>
      </w:r>
      <w:r w:rsidR="00083A49" w:rsidRPr="00083A49">
        <w:t xml:space="preserve"> </w:t>
      </w:r>
      <w:r w:rsidR="00083A49">
        <w:t>with HARQ-ACK information</w:t>
      </w:r>
      <w:r>
        <w:t xml:space="preserve"> in response to a PSSCH reception</w:t>
      </w:r>
      <w:r w:rsidR="00083A49" w:rsidRPr="00083A49">
        <w:t xml:space="preserve"> </w:t>
      </w:r>
      <w:r w:rsidR="00083A49">
        <w:t>or with conflict information corresponding to a reserved resource</w:t>
      </w:r>
      <w:r w:rsidRPr="00484CF5">
        <w:t xml:space="preserve"> </w:t>
      </w:r>
      <w:r>
        <w:t xml:space="preserve">as </w:t>
      </w:r>
      <m:oMath>
        <m:d>
          <m:dPr>
            <m:ctrlPr>
              <w:rPr>
                <w:rFonts w:ascii="Cambria Math" w:hAnsi="Cambria Math"/>
                <w:i/>
              </w:rPr>
            </m:ctrlPr>
          </m:dPr>
          <m:e>
            <m:sSub>
              <m:sSubPr>
                <m:ctrlPr>
                  <w:rPr>
                    <w:rFonts w:ascii="Cambria Math" w:hAnsi="Cambria Math"/>
                    <w:i/>
                  </w:rPr>
                </m:ctrlPr>
              </m:sSubPr>
              <m:e>
                <m:r>
                  <w:rPr>
                    <w:rFonts w:ascii="Cambria Math" w:hAnsi="Cambria Math"/>
                  </w:rPr>
                  <m:t>P</m:t>
                </m:r>
              </m:e>
              <m:sub>
                <m:r>
                  <m:rPr>
                    <m:nor/>
                  </m:rPr>
                  <m:t>ID</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M</m:t>
                </m:r>
              </m:e>
              <m:sub>
                <m:r>
                  <m:rPr>
                    <m:sty m:val="p"/>
                  </m:rPr>
                  <w:rPr>
                    <w:rFonts w:ascii="Cambria Math" w:hAnsi="Cambria Math"/>
                  </w:rPr>
                  <m:t>ID</m:t>
                </m:r>
              </m:sub>
            </m:sSub>
          </m:e>
        </m:d>
        <m:r>
          <w:rPr>
            <w:rFonts w:ascii="Cambria Math" w:hAnsi="Cambria Math"/>
          </w:rPr>
          <m:t>mod</m:t>
        </m:r>
        <m:sSubSup>
          <m:sSubSupPr>
            <m:ctrlPr>
              <w:rPr>
                <w:rFonts w:ascii="Cambria Math" w:hAnsi="Cambria Math"/>
                <w:i/>
              </w:rPr>
            </m:ctrlPr>
          </m:sSubSupPr>
          <m:e>
            <m:r>
              <w:rPr>
                <w:rFonts w:ascii="Cambria Math"/>
              </w:rPr>
              <m:t>R</m:t>
            </m:r>
          </m:e>
          <m:sub>
            <m:r>
              <m:rPr>
                <m:nor/>
              </m:rPr>
              <w:rPr>
                <w:rFonts w:ascii="Cambria Math"/>
              </w:rPr>
              <m:t xml:space="preserve">PRB, </m:t>
            </m:r>
            <m:r>
              <m:rPr>
                <m:sty m:val="p"/>
              </m:rPr>
              <w:rPr>
                <w:rFonts w:ascii="Cambria Math"/>
              </w:rPr>
              <m:t>CS</m:t>
            </m:r>
            <m:ctrlPr>
              <w:rPr>
                <w:rFonts w:ascii="Cambria Math" w:hAnsi="Cambria Math"/>
              </w:rPr>
            </m:ctrlPr>
          </m:sub>
          <m:sup>
            <m:r>
              <m:rPr>
                <m:nor/>
              </m:rPr>
              <w:rPr>
                <w:rFonts w:ascii="Cambria Math"/>
              </w:rPr>
              <m:t>PSFCH</m:t>
            </m:r>
            <m:ctrlPr>
              <w:rPr>
                <w:rFonts w:ascii="Cambria Math" w:hAnsi="Cambria Math"/>
              </w:rPr>
            </m:ctrlPr>
          </m:sup>
        </m:sSubSup>
      </m:oMath>
      <w:r>
        <w:t xml:space="preserve"> where </w:t>
      </w:r>
      <m:oMath>
        <m:sSub>
          <m:sSubPr>
            <m:ctrlPr>
              <w:rPr>
                <w:rFonts w:ascii="Cambria Math" w:hAnsi="Cambria Math"/>
                <w:i/>
              </w:rPr>
            </m:ctrlPr>
          </m:sSubPr>
          <m:e>
            <m:r>
              <w:rPr>
                <w:rFonts w:ascii="Cambria Math" w:hAnsi="Cambria Math"/>
              </w:rPr>
              <m:t>P</m:t>
            </m:r>
          </m:e>
          <m:sub>
            <m:r>
              <m:rPr>
                <m:nor/>
              </m:rPr>
              <m:t>ID</m:t>
            </m:r>
            <m:ctrlPr>
              <w:rPr>
                <w:rFonts w:ascii="Cambria Math" w:hAnsi="Cambria Math"/>
              </w:rPr>
            </m:ctrlPr>
          </m:sub>
        </m:sSub>
      </m:oMath>
      <w:r>
        <w:t xml:space="preserve"> is a physical layer source ID provided by SCI format </w:t>
      </w:r>
      <w:r w:rsidR="003B5163">
        <w:t>2-A</w:t>
      </w:r>
      <w:r w:rsidR="00CF3D85">
        <w:t>/2-B/2-C</w:t>
      </w:r>
      <w:r>
        <w:t xml:space="preserve"> [5, TS 38.212] scheduling </w:t>
      </w:r>
      <w:r w:rsidRPr="00D8116E">
        <w:t>the PSSCH reception</w:t>
      </w:r>
      <w:r w:rsidR="00083A49">
        <w:t>, or by SCI format 2-A</w:t>
      </w:r>
      <w:r w:rsidR="00CF3D85">
        <w:t>/2-B/2-C</w:t>
      </w:r>
      <w:r w:rsidR="00083A49">
        <w:t xml:space="preserve"> with corresponding SCI format 1-A reserving the resource from another UE to be provided with the conflict information</w:t>
      </w:r>
      <w:r w:rsidR="00CF3D85">
        <w:t>. F</w:t>
      </w:r>
      <w:r w:rsidR="00CF3D85" w:rsidRPr="005B0583">
        <w:t xml:space="preserve">or </w:t>
      </w:r>
      <w:r w:rsidR="00083A49" w:rsidRPr="005B0583">
        <w:t>HARQ-ACK information,</w:t>
      </w:r>
      <w:r w:rsidRPr="00D8116E">
        <w:t xml:space="preserve"> </w:t>
      </w:r>
      <m:oMath>
        <m:sSub>
          <m:sSubPr>
            <m:ctrlPr>
              <w:rPr>
                <w:rFonts w:ascii="Cambria Math" w:hAnsi="Cambria Math"/>
                <w:i/>
              </w:rPr>
            </m:ctrlPr>
          </m:sSubPr>
          <m:e>
            <m:r>
              <w:rPr>
                <w:rFonts w:ascii="Cambria Math" w:hAnsi="Cambria Math"/>
              </w:rPr>
              <m:t>M</m:t>
            </m:r>
          </m:e>
          <m:sub>
            <m:r>
              <m:rPr>
                <m:nor/>
              </m:rPr>
              <m:t>ID</m:t>
            </m:r>
            <m:ctrlPr>
              <w:rPr>
                <w:rFonts w:ascii="Cambria Math" w:hAnsi="Cambria Math"/>
              </w:rPr>
            </m:ctrlPr>
          </m:sub>
        </m:sSub>
      </m:oMath>
      <w:r w:rsidRPr="00D8116E">
        <w:t xml:space="preserve"> is the identity of the UE receiving the PSSCH </w:t>
      </w:r>
      <w:r>
        <w:t>as indicated by higher layers</w:t>
      </w:r>
      <w:r w:rsidR="003B5163">
        <w:t xml:space="preserve"> </w:t>
      </w:r>
      <w:r w:rsidR="003B5163" w:rsidRPr="00190042">
        <w:rPr>
          <w:rFonts w:eastAsia="Malgun Gothic"/>
        </w:rPr>
        <w:t xml:space="preserve">if the UE </w:t>
      </w:r>
      <w:r w:rsidR="003B5163">
        <w:rPr>
          <w:rFonts w:eastAsia="Malgun Gothic"/>
        </w:rPr>
        <w:t>detect</w:t>
      </w:r>
      <w:r w:rsidR="003B5163" w:rsidRPr="00190042">
        <w:rPr>
          <w:rFonts w:eastAsia="Malgun Gothic"/>
        </w:rPr>
        <w:t xml:space="preserve">s a SCI format 2-A with Cast type indicator field </w:t>
      </w:r>
      <w:r w:rsidR="003B5163">
        <w:rPr>
          <w:rFonts w:eastAsia="Malgun Gothic"/>
        </w:rPr>
        <w:t>value of</w:t>
      </w:r>
      <w:r w:rsidR="003B5163" w:rsidRPr="00190042">
        <w:rPr>
          <w:rFonts w:eastAsia="Malgun Gothic"/>
        </w:rPr>
        <w:t xml:space="preserve"> </w:t>
      </w:r>
      <w:r w:rsidR="006C1D66">
        <w:rPr>
          <w:rFonts w:eastAsia="Malgun Gothic"/>
        </w:rPr>
        <w:t>"</w:t>
      </w:r>
      <w:r w:rsidR="003B5163" w:rsidRPr="00190042">
        <w:rPr>
          <w:rFonts w:eastAsia="Malgun Gothic"/>
        </w:rPr>
        <w:t>01</w:t>
      </w:r>
      <w:r w:rsidR="006C1D66">
        <w:rPr>
          <w:rFonts w:eastAsia="Malgun Gothic"/>
        </w:rPr>
        <w:t>"</w:t>
      </w:r>
      <w:r w:rsidR="003B5163">
        <w:rPr>
          <w:rFonts w:eastAsia="Malgun Gothic"/>
        </w:rPr>
        <w:t>; otherwise,</w:t>
      </w:r>
      <w:r w:rsidR="003B5163" w:rsidRPr="00190042">
        <w:rPr>
          <w:rFonts w:eastAsia="Malgun Gothic"/>
        </w:rPr>
        <w:t xml:space="preserve"> </w:t>
      </w:r>
      <m:oMath>
        <m:sSub>
          <m:sSubPr>
            <m:ctrlPr>
              <w:rPr>
                <w:rFonts w:ascii="Cambria Math" w:eastAsia="Malgun Gothic" w:hAnsi="Cambria Math"/>
                <w:i/>
              </w:rPr>
            </m:ctrlPr>
          </m:sSubPr>
          <m:e>
            <m:r>
              <w:rPr>
                <w:rFonts w:ascii="Cambria Math" w:eastAsia="Malgun Gothic" w:hAnsi="Cambria Math"/>
              </w:rPr>
              <m:t>M</m:t>
            </m:r>
          </m:e>
          <m:sub>
            <m:r>
              <m:rPr>
                <m:nor/>
              </m:rPr>
              <w:rPr>
                <w:rFonts w:eastAsia="Malgun Gothic"/>
              </w:rPr>
              <m:t>ID</m:t>
            </m:r>
            <m:ctrlPr>
              <w:rPr>
                <w:rFonts w:ascii="Cambria Math" w:eastAsia="Malgun Gothic" w:hAnsi="Cambria Math"/>
              </w:rPr>
            </m:ctrlPr>
          </m:sub>
        </m:sSub>
      </m:oMath>
      <w:r w:rsidR="003B5163" w:rsidRPr="00190042">
        <w:rPr>
          <w:rFonts w:eastAsia="Malgun Gothic"/>
        </w:rPr>
        <w:t xml:space="preserve"> is zero</w:t>
      </w:r>
      <w:r w:rsidRPr="00D8116E">
        <w:t>.</w:t>
      </w:r>
      <w:r w:rsidR="00083A49">
        <w:t xml:space="preserve"> </w:t>
      </w:r>
      <w:r w:rsidR="00083A49" w:rsidRPr="005B0583">
        <w:t xml:space="preserve">For conflict information, </w:t>
      </w:r>
      <m:oMath>
        <m:sSub>
          <m:sSubPr>
            <m:ctrlPr>
              <w:rPr>
                <w:rFonts w:ascii="Cambria Math" w:eastAsia="Malgun Gothic" w:hAnsi="Cambria Math"/>
                <w:i/>
              </w:rPr>
            </m:ctrlPr>
          </m:sSubPr>
          <m:e>
            <m:r>
              <w:rPr>
                <w:rFonts w:ascii="Cambria Math" w:eastAsia="Malgun Gothic" w:hAnsi="Cambria Math"/>
              </w:rPr>
              <m:t>M</m:t>
            </m:r>
          </m:e>
          <m:sub>
            <m:r>
              <m:rPr>
                <m:nor/>
              </m:rPr>
              <w:rPr>
                <w:rFonts w:eastAsia="Malgun Gothic"/>
              </w:rPr>
              <m:t>ID</m:t>
            </m:r>
            <m:ctrlPr>
              <w:rPr>
                <w:rFonts w:ascii="Cambria Math" w:eastAsia="Malgun Gothic" w:hAnsi="Cambria Math"/>
              </w:rPr>
            </m:ctrlPr>
          </m:sub>
        </m:sSub>
      </m:oMath>
      <w:r w:rsidR="00083A49" w:rsidRPr="005B0583">
        <w:rPr>
          <w:rFonts w:eastAsia="Malgun Gothic"/>
        </w:rPr>
        <w:t xml:space="preserve"> is zero.</w:t>
      </w:r>
    </w:p>
    <w:p w14:paraId="6C57E5CB" w14:textId="3CEFF27C" w:rsidR="00562338" w:rsidRPr="007C6266" w:rsidRDefault="00562338" w:rsidP="00562338">
      <w:r w:rsidRPr="007C6266">
        <w:t xml:space="preserve">For operation with shared spectrum channel access, when </w:t>
      </w:r>
      <w:r w:rsidR="00257A05">
        <w:rPr>
          <w:i/>
        </w:rPr>
        <w:t>sl-TransmissionStructureForPSFCH</w:t>
      </w:r>
      <w:r w:rsidRPr="007C6266">
        <w:rPr>
          <w:i/>
        </w:rPr>
        <w:t xml:space="preserve"> = </w:t>
      </w:r>
      <w:r w:rsidR="002D5F43">
        <w:rPr>
          <w:i/>
        </w:rPr>
        <w:t>'</w:t>
      </w:r>
      <w:r w:rsidR="00257A05" w:rsidRPr="003B790F">
        <w:rPr>
          <w:iCs/>
        </w:rPr>
        <w:t>commonInterlace</w:t>
      </w:r>
      <w:r w:rsidR="002D5F43">
        <w:rPr>
          <w:i/>
        </w:rPr>
        <w:t>'</w:t>
      </w:r>
      <w:r w:rsidRPr="007C6266">
        <w:rPr>
          <w:iCs/>
        </w:rPr>
        <w:t>, a</w:t>
      </w:r>
      <w:r w:rsidRPr="007C6266">
        <w:t xml:space="preserve"> PRB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7C6266">
        <w:t xml:space="preserve"> in the first interlace is excluded from the resources for a PSFCH transmission, if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|≤5</m:t>
        </m:r>
      </m:oMath>
      <w:r w:rsidRPr="007C6266">
        <w:t xml:space="preserve"> for </w:t>
      </w:r>
      <m:oMath>
        <m:r>
          <w:rPr>
            <w:rFonts w:ascii="Cambria Math" w:hAnsi="Cambria Math"/>
          </w:rPr>
          <m:t>μ=0</m:t>
        </m:r>
      </m:oMath>
      <w:r w:rsidRPr="007C6266">
        <w:t xml:space="preserve"> or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|≤2</m:t>
        </m:r>
      </m:oMath>
      <w:r w:rsidRPr="007C6266">
        <w:t xml:space="preserve"> for </w:t>
      </w:r>
      <m:oMath>
        <m:r>
          <w:rPr>
            <w:rFonts w:ascii="Cambria Math" w:hAnsi="Cambria Math"/>
          </w:rPr>
          <m:t>μ=1</m:t>
        </m:r>
      </m:oMath>
      <w:r w:rsidRPr="007C6266">
        <w:t xml:space="preserve"> for any PRB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Pr="007C6266">
        <w:t xml:space="preserve"> in the PRB subset</w:t>
      </w:r>
      <w:r w:rsidRPr="007C6266">
        <w:rPr>
          <w:rFonts w:hint="eastAsia"/>
          <w:lang w:eastAsia="zh-CN"/>
        </w:rPr>
        <w:t xml:space="preserve"> when</w:t>
      </w:r>
      <w:r w:rsidRPr="007C6266">
        <w:t xml:space="preserve"> the PRB subset is selected for PSFCH transmission, and </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m:rPr>
                    <m:sty m:val="p"/>
                  </m:rPr>
                  <w:rPr>
                    <w:rFonts w:ascii="Cambria Math" w:hAnsi="Cambria Math"/>
                  </w:rPr>
                  <m:t>high</m:t>
                </m:r>
              </m:sub>
            </m:sSub>
            <m:r>
              <w:rPr>
                <w:rFonts w:ascii="Cambria Math" w:hAnsi="Cambria Math"/>
              </w:rPr>
              <m:t>-</m:t>
            </m:r>
            <m:sSub>
              <m:sSubPr>
                <m:ctrlPr>
                  <w:rPr>
                    <w:rFonts w:ascii="Cambria Math" w:hAnsi="Cambria Math"/>
                    <w:i/>
                  </w:rPr>
                </m:ctrlPr>
              </m:sSubPr>
              <m:e>
                <m:r>
                  <w:rPr>
                    <w:rFonts w:ascii="Cambria Math" w:hAnsi="Cambria Math"/>
                  </w:rPr>
                  <m:t>s</m:t>
                </m:r>
              </m:e>
              <m:sub>
                <m:r>
                  <m:rPr>
                    <m:sty m:val="p"/>
                  </m:rPr>
                  <w:rPr>
                    <w:rFonts w:ascii="Cambria Math" w:hAnsi="Cambria Math"/>
                  </w:rPr>
                  <m:t>low</m:t>
                </m:r>
              </m:sub>
            </m:sSub>
          </m:e>
        </m:d>
        <m:r>
          <w:rPr>
            <w:rFonts w:ascii="Cambria Math" w:hAnsi="Cambria Math"/>
          </w:rPr>
          <m:t>≥88</m:t>
        </m:r>
      </m:oMath>
      <w:r w:rsidRPr="007C6266">
        <w:t xml:space="preserve"> for </w:t>
      </w:r>
      <m:oMath>
        <m:r>
          <w:rPr>
            <w:rFonts w:ascii="Cambria Math" w:hAnsi="Cambria Math"/>
          </w:rPr>
          <m:t>μ=0</m:t>
        </m:r>
      </m:oMath>
      <w:r w:rsidRPr="007C6266">
        <w:t xml:space="preserve"> or </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m:rPr>
                    <m:sty m:val="p"/>
                  </m:rPr>
                  <w:rPr>
                    <w:rFonts w:ascii="Cambria Math" w:hAnsi="Cambria Math"/>
                  </w:rPr>
                  <m:t>high</m:t>
                </m:r>
              </m:sub>
            </m:sSub>
            <m:r>
              <w:rPr>
                <w:rFonts w:ascii="Cambria Math" w:hAnsi="Cambria Math"/>
              </w:rPr>
              <m:t>-</m:t>
            </m:r>
            <m:sSub>
              <m:sSubPr>
                <m:ctrlPr>
                  <w:rPr>
                    <w:rFonts w:ascii="Cambria Math" w:hAnsi="Cambria Math"/>
                    <w:i/>
                  </w:rPr>
                </m:ctrlPr>
              </m:sSubPr>
              <m:e>
                <m:r>
                  <w:rPr>
                    <w:rFonts w:ascii="Cambria Math" w:hAnsi="Cambria Math"/>
                  </w:rPr>
                  <m:t>s</m:t>
                </m:r>
              </m:e>
              <m:sub>
                <m:r>
                  <m:rPr>
                    <m:sty m:val="p"/>
                  </m:rPr>
                  <w:rPr>
                    <w:rFonts w:ascii="Cambria Math" w:hAnsi="Cambria Math"/>
                  </w:rPr>
                  <m:t>low</m:t>
                </m:r>
              </m:sub>
            </m:sSub>
          </m:e>
        </m:d>
        <m:r>
          <w:rPr>
            <w:rFonts w:ascii="Cambria Math" w:hAnsi="Cambria Math"/>
          </w:rPr>
          <m:t>≥44</m:t>
        </m:r>
      </m:oMath>
      <w:r w:rsidRPr="007C6266">
        <w:t xml:space="preserve"> for </w:t>
      </w:r>
      <m:oMath>
        <m:r>
          <w:rPr>
            <w:rFonts w:ascii="Cambria Math" w:hAnsi="Cambria Math"/>
          </w:rPr>
          <m:t>μ=1</m:t>
        </m:r>
      </m:oMath>
      <w:r w:rsidRPr="007C6266">
        <w:t xml:space="preserve">, where PRB </w:t>
      </w:r>
      <m:oMath>
        <m:sSub>
          <m:sSubPr>
            <m:ctrlPr>
              <w:rPr>
                <w:rFonts w:ascii="Cambria Math" w:hAnsi="Cambria Math"/>
                <w:i/>
              </w:rPr>
            </m:ctrlPr>
          </m:sSubPr>
          <m:e>
            <m:r>
              <w:rPr>
                <w:rFonts w:ascii="Cambria Math" w:hAnsi="Cambria Math"/>
              </w:rPr>
              <m:t>s</m:t>
            </m:r>
          </m:e>
          <m:sub>
            <m:r>
              <m:rPr>
                <m:sty m:val="p"/>
              </m:rPr>
              <w:rPr>
                <w:rFonts w:ascii="Cambria Math" w:hAnsi="Cambria Math"/>
              </w:rPr>
              <m:t>high</m:t>
            </m:r>
          </m:sub>
        </m:sSub>
      </m:oMath>
      <w:r w:rsidRPr="007C6266">
        <w:t xml:space="preserve"> and PRB </w:t>
      </w:r>
      <m:oMath>
        <m:sSub>
          <m:sSubPr>
            <m:ctrlPr>
              <w:rPr>
                <w:rFonts w:ascii="Cambria Math" w:hAnsi="Cambria Math"/>
                <w:i/>
              </w:rPr>
            </m:ctrlPr>
          </m:sSubPr>
          <m:e>
            <m:r>
              <w:rPr>
                <w:rFonts w:ascii="Cambria Math" w:hAnsi="Cambria Math"/>
              </w:rPr>
              <m:t>s</m:t>
            </m:r>
          </m:e>
          <m:sub>
            <m:r>
              <m:rPr>
                <m:sty m:val="p"/>
              </m:rPr>
              <w:rPr>
                <w:rFonts w:ascii="Cambria Math" w:hAnsi="Cambria Math"/>
              </w:rPr>
              <m:t>low</m:t>
            </m:r>
          </m:sub>
        </m:sSub>
      </m:oMath>
      <w:r w:rsidRPr="007C6266">
        <w:t xml:space="preserve"> are the largest and smallest PRB indexes, respectively, in the resources for the PSFCH transmission assuming PRB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7C6266">
        <w:t xml:space="preserve"> is excluded.</w:t>
      </w:r>
    </w:p>
    <w:p w14:paraId="496F97C4" w14:textId="51F48950" w:rsidR="00C57A53" w:rsidRPr="006C00CD" w:rsidRDefault="00083A49" w:rsidP="00C57A53">
      <w:pPr>
        <w:rPr>
          <w:rFonts w:eastAsia="Malgun Gothic"/>
        </w:rPr>
      </w:pPr>
      <w:r w:rsidRPr="005B0583">
        <w:rPr>
          <w:rFonts w:eastAsia="Malgun Gothic"/>
        </w:rPr>
        <w:t>For a PS</w:t>
      </w:r>
      <w:r>
        <w:rPr>
          <w:rFonts w:eastAsia="Malgun Gothic"/>
        </w:rPr>
        <w:t>F</w:t>
      </w:r>
      <w:r w:rsidRPr="005B0583">
        <w:rPr>
          <w:rFonts w:eastAsia="Malgun Gothic"/>
        </w:rPr>
        <w:t>CH transmission with HARQ-ACK information</w:t>
      </w:r>
      <w:r w:rsidR="00CF3D85" w:rsidRPr="007053C7">
        <w:rPr>
          <w:rFonts w:eastAsia="Malgun Gothic"/>
        </w:rPr>
        <w:t xml:space="preserve"> or conflict information</w:t>
      </w:r>
      <w:r w:rsidRPr="005B0583">
        <w:rPr>
          <w:rFonts w:eastAsia="Malgun Gothic"/>
        </w:rPr>
        <w:t>, a</w:t>
      </w:r>
      <w:r w:rsidR="00C57A53" w:rsidRPr="006C00CD">
        <w:rPr>
          <w:rFonts w:eastAsia="Malgun Gothic"/>
        </w:rPr>
        <w:t xml:space="preserve"> UE determines a </w:t>
      </w:r>
      <m:oMath>
        <m:sSub>
          <m:sSubPr>
            <m:ctrlPr>
              <w:rPr>
                <w:rFonts w:ascii="Cambria Math" w:eastAsia="Gulim" w:hAnsi="Cambria Math"/>
                <w:bCs/>
                <w:i/>
                <w:iCs/>
              </w:rPr>
            </m:ctrlPr>
          </m:sSubPr>
          <m:e>
            <m:r>
              <w:rPr>
                <w:rFonts w:ascii="Cambria Math" w:hAnsi="Cambria Math"/>
              </w:rPr>
              <m:t>m</m:t>
            </m:r>
          </m:e>
          <m:sub>
            <m:r>
              <m:rPr>
                <m:nor/>
              </m:rPr>
              <w:rPr>
                <w:bCs/>
              </w:rPr>
              <m:t>0</m:t>
            </m:r>
          </m:sub>
        </m:sSub>
      </m:oMath>
      <w:r w:rsidR="00C57A53">
        <w:rPr>
          <w:rFonts w:eastAsia="Malgun Gothic"/>
        </w:rPr>
        <w:t xml:space="preserve"> value,</w:t>
      </w:r>
      <w:r w:rsidR="00C57A53" w:rsidRPr="006C00CD">
        <w:rPr>
          <w:rFonts w:eastAsia="Malgun Gothic"/>
        </w:rPr>
        <w:t xml:space="preserve"> for computing a value of cyclic shift </w:t>
      </w:r>
      <m:oMath>
        <m:r>
          <w:rPr>
            <w:rFonts w:ascii="Cambria Math" w:eastAsia="Gulim" w:hAnsi="Cambria Math"/>
          </w:rPr>
          <m:t>α</m:t>
        </m:r>
      </m:oMath>
      <w:r w:rsidR="00C57A53">
        <w:rPr>
          <w:rFonts w:eastAsia="Malgun Gothic"/>
        </w:rPr>
        <w:t xml:space="preserve"> [4, TS 38.211],</w:t>
      </w:r>
      <w:r w:rsidR="00C57A53" w:rsidRPr="006C00CD">
        <w:rPr>
          <w:rFonts w:eastAsia="Malgun Gothic"/>
        </w:rPr>
        <w:t xml:space="preserve"> from </w:t>
      </w:r>
      <w:r w:rsidR="00C57A53">
        <w:rPr>
          <w:rFonts w:eastAsia="Malgun Gothic"/>
          <w:lang w:eastAsia="ko-KR"/>
        </w:rPr>
        <w:t>a</w:t>
      </w:r>
      <w:r w:rsidR="00C57A53" w:rsidRPr="006C00CD">
        <w:rPr>
          <w:rFonts w:eastAsia="Malgun Gothic"/>
        </w:rPr>
        <w:t xml:space="preserve"> cyclic shift pair index</w:t>
      </w:r>
      <w:r w:rsidR="00C57A53">
        <w:t xml:space="preserve"> corresponding to a</w:t>
      </w:r>
      <w:r w:rsidR="00C57A53" w:rsidRPr="006C00CD">
        <w:t xml:space="preserve"> PSFCH resource index and</w:t>
      </w:r>
      <w:r w:rsidR="00C57A53">
        <w:rPr>
          <w:lang w:val="en-US"/>
        </w:rPr>
        <w:t xml:space="preserve"> from</w:t>
      </w:r>
      <w:r w:rsidR="00C57A53" w:rsidRPr="006C00CD">
        <w:t xml:space="preserve"> </w:t>
      </w:r>
      <m:oMath>
        <m:sSubSup>
          <m:sSubSupPr>
            <m:ctrlPr>
              <w:rPr>
                <w:rFonts w:ascii="Cambria Math" w:eastAsia="Gulim" w:hAnsi="Cambria Math"/>
                <w:bCs/>
                <w:i/>
                <w:iCs/>
              </w:rPr>
            </m:ctrlPr>
          </m:sSubSupPr>
          <m:e>
            <m:r>
              <w:rPr>
                <w:rFonts w:ascii="Cambria Math" w:hAnsi="Cambria Math"/>
              </w:rPr>
              <m:t>N</m:t>
            </m:r>
          </m:e>
          <m:sub>
            <m:r>
              <m:rPr>
                <m:nor/>
              </m:rPr>
              <w:rPr>
                <w:bCs/>
              </w:rPr>
              <m:t>CS</m:t>
            </m:r>
            <m:ctrlPr>
              <w:rPr>
                <w:rFonts w:ascii="Cambria Math" w:eastAsia="Gulim" w:hAnsi="Cambria Math"/>
                <w:bCs/>
              </w:rPr>
            </m:ctrlPr>
          </m:sub>
          <m:sup>
            <m:r>
              <m:rPr>
                <m:nor/>
              </m:rPr>
              <w:rPr>
                <w:bCs/>
              </w:rPr>
              <m:t>PSFCH</m:t>
            </m:r>
            <m:ctrlPr>
              <w:rPr>
                <w:rFonts w:ascii="Cambria Math" w:eastAsia="Gulim" w:hAnsi="Cambria Math"/>
                <w:bCs/>
              </w:rPr>
            </m:ctrlPr>
          </m:sup>
        </m:sSubSup>
      </m:oMath>
      <w:r w:rsidR="00C57A53" w:rsidRPr="006C00CD">
        <w:rPr>
          <w:b/>
          <w:bCs/>
          <w:lang w:eastAsia="ko-KR"/>
        </w:rPr>
        <w:t xml:space="preserve"> </w:t>
      </w:r>
      <w:r w:rsidR="00C57A53" w:rsidRPr="006C00CD">
        <w:t>using Table 16.3-1.</w:t>
      </w:r>
    </w:p>
    <w:p w14:paraId="591E25B9" w14:textId="77777777" w:rsidR="00C57A53" w:rsidRPr="006C00CD" w:rsidRDefault="00C57A53" w:rsidP="00393CCA">
      <w:pPr>
        <w:pStyle w:val="TH"/>
        <w:rPr>
          <w:rFonts w:eastAsia="Malgun Gothic"/>
        </w:rPr>
      </w:pPr>
      <w:r w:rsidRPr="006C00CD">
        <w:rPr>
          <w:rFonts w:eastAsia="Malgun Gothic"/>
        </w:rPr>
        <w:t>Table 16.3-1: Set of cyclic shift pairs</w:t>
      </w:r>
    </w:p>
    <w:tbl>
      <w:tblPr>
        <w:tblW w:w="0" w:type="auto"/>
        <w:tblCellMar>
          <w:left w:w="0" w:type="dxa"/>
          <w:right w:w="0" w:type="dxa"/>
        </w:tblCellMar>
        <w:tblLook w:val="04A0" w:firstRow="1" w:lastRow="0" w:firstColumn="1" w:lastColumn="0" w:noHBand="0" w:noVBand="1"/>
      </w:tblPr>
      <w:tblGrid>
        <w:gridCol w:w="1052"/>
        <w:gridCol w:w="1288"/>
        <w:gridCol w:w="1288"/>
        <w:gridCol w:w="1288"/>
        <w:gridCol w:w="1288"/>
        <w:gridCol w:w="1288"/>
        <w:gridCol w:w="1288"/>
      </w:tblGrid>
      <w:tr w:rsidR="00C57A53" w:rsidRPr="006C00CD" w14:paraId="26D727BF" w14:textId="77777777" w:rsidTr="00C57A53">
        <w:tc>
          <w:tcPr>
            <w:tcW w:w="1052"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14:paraId="749A1D25" w14:textId="77777777" w:rsidR="00C57A53" w:rsidRPr="006C00CD" w:rsidRDefault="00000000" w:rsidP="00C57A53">
            <w:pPr>
              <w:jc w:val="center"/>
              <w:rPr>
                <w:lang w:val="en-US" w:eastAsia="ko-KR"/>
              </w:rPr>
            </w:pPr>
            <m:oMathPara>
              <m:oMath>
                <m:sSubSup>
                  <m:sSubSupPr>
                    <m:ctrlPr>
                      <w:rPr>
                        <w:rFonts w:ascii="Cambria Math" w:eastAsia="Gulim" w:hAnsi="Cambria Math"/>
                        <w:b/>
                        <w:bCs/>
                        <w:i/>
                        <w:iCs/>
                      </w:rPr>
                    </m:ctrlPr>
                  </m:sSubSupPr>
                  <m:e>
                    <m:r>
                      <m:rPr>
                        <m:sty m:val="bi"/>
                      </m:rPr>
                      <w:rPr>
                        <w:rFonts w:ascii="Cambria Math" w:hAnsi="Cambria Math"/>
                      </w:rPr>
                      <m:t>N</m:t>
                    </m:r>
                  </m:e>
                  <m:sub>
                    <m:r>
                      <m:rPr>
                        <m:nor/>
                      </m:rPr>
                      <w:rPr>
                        <w:b/>
                        <w:bCs/>
                      </w:rPr>
                      <m:t>CS</m:t>
                    </m:r>
                    <m:ctrlPr>
                      <w:rPr>
                        <w:rFonts w:ascii="Cambria Math" w:eastAsia="Gulim" w:hAnsi="Cambria Math"/>
                        <w:b/>
                        <w:bCs/>
                      </w:rPr>
                    </m:ctrlPr>
                  </m:sub>
                  <m:sup>
                    <m:r>
                      <m:rPr>
                        <m:nor/>
                      </m:rPr>
                      <w:rPr>
                        <w:b/>
                        <w:bCs/>
                      </w:rPr>
                      <m:t>PSFCH</m:t>
                    </m:r>
                    <m:ctrlPr>
                      <w:rPr>
                        <w:rFonts w:ascii="Cambria Math" w:eastAsia="Gulim" w:hAnsi="Cambria Math"/>
                        <w:b/>
                        <w:bCs/>
                      </w:rPr>
                    </m:ctrlPr>
                  </m:sup>
                </m:sSubSup>
              </m:oMath>
            </m:oMathPara>
          </w:p>
        </w:tc>
        <w:tc>
          <w:tcPr>
            <w:tcW w:w="7728" w:type="dxa"/>
            <w:gridSpan w:val="6"/>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14:paraId="575D06B5" w14:textId="77777777" w:rsidR="00C57A53" w:rsidRPr="006C00CD" w:rsidRDefault="00000000" w:rsidP="00C57A53">
            <w:pPr>
              <w:jc w:val="center"/>
            </w:pPr>
            <m:oMathPara>
              <m:oMath>
                <m:sSub>
                  <m:sSubPr>
                    <m:ctrlPr>
                      <w:rPr>
                        <w:rFonts w:ascii="Cambria Math" w:eastAsia="Gulim" w:hAnsi="Cambria Math"/>
                        <w:b/>
                        <w:bCs/>
                        <w:i/>
                        <w:iCs/>
                      </w:rPr>
                    </m:ctrlPr>
                  </m:sSubPr>
                  <m:e>
                    <m:r>
                      <m:rPr>
                        <m:sty m:val="bi"/>
                      </m:rPr>
                      <w:rPr>
                        <w:rFonts w:ascii="Cambria Math" w:hAnsi="Cambria Math"/>
                      </w:rPr>
                      <m:t>m</m:t>
                    </m:r>
                  </m:e>
                  <m:sub>
                    <m:r>
                      <m:rPr>
                        <m:nor/>
                      </m:rPr>
                      <w:rPr>
                        <w:b/>
                        <w:bCs/>
                      </w:rPr>
                      <m:t>0</m:t>
                    </m:r>
                  </m:sub>
                </m:sSub>
              </m:oMath>
            </m:oMathPara>
          </w:p>
        </w:tc>
      </w:tr>
      <w:tr w:rsidR="00C57A53" w:rsidRPr="006C00CD" w14:paraId="32E770B5" w14:textId="77777777" w:rsidTr="00C57A53">
        <w:tc>
          <w:tcPr>
            <w:tcW w:w="0" w:type="auto"/>
            <w:vMerge/>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hideMark/>
          </w:tcPr>
          <w:p w14:paraId="271C83A2" w14:textId="77777777" w:rsidR="00C57A53" w:rsidRPr="006C00CD" w:rsidRDefault="00C57A53" w:rsidP="00C57A53">
            <w:pPr>
              <w:rPr>
                <w:rFonts w:eastAsia="Gulim"/>
              </w:rPr>
            </w:pPr>
          </w:p>
        </w:tc>
        <w:tc>
          <w:tcPr>
            <w:tcW w:w="1288" w:type="dxa"/>
            <w:tcBorders>
              <w:top w:val="nil"/>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14:paraId="0BF2AF01" w14:textId="77777777" w:rsidR="00C57A53" w:rsidRPr="006C00CD" w:rsidRDefault="00C57A53" w:rsidP="00C57A53">
            <w:pPr>
              <w:jc w:val="center"/>
              <w:rPr>
                <w:b/>
              </w:rPr>
            </w:pPr>
            <w:r w:rsidRPr="006C00CD">
              <w:rPr>
                <w:b/>
              </w:rPr>
              <w:t>Cyclic Shift Pair Index 0</w:t>
            </w:r>
          </w:p>
        </w:tc>
        <w:tc>
          <w:tcPr>
            <w:tcW w:w="1288" w:type="dxa"/>
            <w:tcBorders>
              <w:top w:val="nil"/>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14:paraId="783061F9" w14:textId="77777777" w:rsidR="00C57A53" w:rsidRPr="006C00CD" w:rsidRDefault="00C57A53" w:rsidP="00C57A53">
            <w:pPr>
              <w:jc w:val="center"/>
              <w:rPr>
                <w:b/>
              </w:rPr>
            </w:pPr>
            <w:r w:rsidRPr="006C00CD">
              <w:rPr>
                <w:b/>
              </w:rPr>
              <w:t>Cyclic Shift Pair Index 1</w:t>
            </w:r>
          </w:p>
        </w:tc>
        <w:tc>
          <w:tcPr>
            <w:tcW w:w="1288" w:type="dxa"/>
            <w:tcBorders>
              <w:top w:val="nil"/>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14:paraId="732B7887" w14:textId="77777777" w:rsidR="00C57A53" w:rsidRPr="006C00CD" w:rsidRDefault="00C57A53" w:rsidP="00C57A53">
            <w:pPr>
              <w:jc w:val="center"/>
              <w:rPr>
                <w:b/>
              </w:rPr>
            </w:pPr>
            <w:r w:rsidRPr="006C00CD">
              <w:rPr>
                <w:b/>
              </w:rPr>
              <w:t>Cyclic Shift Pair Index 2</w:t>
            </w:r>
          </w:p>
        </w:tc>
        <w:tc>
          <w:tcPr>
            <w:tcW w:w="1288" w:type="dxa"/>
            <w:tcBorders>
              <w:top w:val="nil"/>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14:paraId="65BBC29C" w14:textId="77777777" w:rsidR="00C57A53" w:rsidRPr="006C00CD" w:rsidRDefault="00C57A53" w:rsidP="00C57A53">
            <w:pPr>
              <w:jc w:val="center"/>
              <w:rPr>
                <w:b/>
              </w:rPr>
            </w:pPr>
            <w:r w:rsidRPr="006C00CD">
              <w:rPr>
                <w:b/>
              </w:rPr>
              <w:t>Cyclic Shift Pair Index 3</w:t>
            </w:r>
          </w:p>
        </w:tc>
        <w:tc>
          <w:tcPr>
            <w:tcW w:w="1288" w:type="dxa"/>
            <w:tcBorders>
              <w:top w:val="nil"/>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14:paraId="6F25C657" w14:textId="77777777" w:rsidR="00C57A53" w:rsidRPr="006C00CD" w:rsidRDefault="00C57A53" w:rsidP="00C57A53">
            <w:pPr>
              <w:jc w:val="center"/>
              <w:rPr>
                <w:b/>
              </w:rPr>
            </w:pPr>
            <w:r w:rsidRPr="006C00CD">
              <w:rPr>
                <w:b/>
              </w:rPr>
              <w:t>Cyclic Shift Pair Index 4</w:t>
            </w:r>
          </w:p>
        </w:tc>
        <w:tc>
          <w:tcPr>
            <w:tcW w:w="1288" w:type="dxa"/>
            <w:tcBorders>
              <w:top w:val="nil"/>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p w14:paraId="1736F87C" w14:textId="77777777" w:rsidR="00C57A53" w:rsidRPr="006C00CD" w:rsidRDefault="00C57A53" w:rsidP="00C57A53">
            <w:pPr>
              <w:jc w:val="center"/>
              <w:rPr>
                <w:b/>
              </w:rPr>
            </w:pPr>
            <w:r w:rsidRPr="006C00CD">
              <w:rPr>
                <w:b/>
              </w:rPr>
              <w:t>Cyclic Shift Pair Index 5</w:t>
            </w:r>
          </w:p>
        </w:tc>
      </w:tr>
      <w:tr w:rsidR="00C57A53" w:rsidRPr="006C00CD" w14:paraId="4A5DB003" w14:textId="77777777" w:rsidTr="00C57A53">
        <w:tc>
          <w:tcPr>
            <w:tcW w:w="105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3DBAA6A" w14:textId="77777777" w:rsidR="00C57A53" w:rsidRPr="006C00CD" w:rsidRDefault="00C57A53" w:rsidP="00C57A53">
            <w:pPr>
              <w:jc w:val="center"/>
            </w:pPr>
            <w:r w:rsidRPr="006C00CD">
              <w:t>1</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4D259C78" w14:textId="77777777" w:rsidR="00C57A53" w:rsidRPr="006C00CD" w:rsidRDefault="00C57A53" w:rsidP="00C57A53">
            <w:pPr>
              <w:jc w:val="center"/>
            </w:pPr>
            <w:r w:rsidRPr="006C00CD">
              <w:t>0</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36F07A17" w14:textId="77777777" w:rsidR="00C57A53" w:rsidRPr="006C00CD" w:rsidRDefault="00C57A53" w:rsidP="00C57A53">
            <w:pPr>
              <w:jc w:val="center"/>
            </w:pPr>
            <w:r w:rsidRPr="006C00CD">
              <w:t>-</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42889DAC" w14:textId="77777777" w:rsidR="00C57A53" w:rsidRPr="006C00CD" w:rsidRDefault="00C57A53" w:rsidP="00C57A53">
            <w:pPr>
              <w:jc w:val="center"/>
            </w:pPr>
            <w:r w:rsidRPr="006C00CD">
              <w:t>-</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0E1596BF" w14:textId="77777777" w:rsidR="00C57A53" w:rsidRPr="006C00CD" w:rsidRDefault="00C57A53" w:rsidP="00C57A53">
            <w:pPr>
              <w:jc w:val="center"/>
            </w:pPr>
            <w:r w:rsidRPr="006C00CD">
              <w:t>-</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6D44C6E5" w14:textId="77777777" w:rsidR="00C57A53" w:rsidRPr="006C00CD" w:rsidRDefault="00C57A53" w:rsidP="00C57A53">
            <w:pPr>
              <w:jc w:val="center"/>
            </w:pPr>
            <w:r w:rsidRPr="006C00CD">
              <w:t>-</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028F3129" w14:textId="77777777" w:rsidR="00C57A53" w:rsidRPr="006C00CD" w:rsidRDefault="00C57A53" w:rsidP="00C57A53">
            <w:pPr>
              <w:jc w:val="center"/>
            </w:pPr>
            <w:r w:rsidRPr="006C00CD">
              <w:t>-</w:t>
            </w:r>
          </w:p>
        </w:tc>
      </w:tr>
      <w:tr w:rsidR="00C57A53" w:rsidRPr="006C00CD" w14:paraId="52E8D3E1" w14:textId="77777777" w:rsidTr="00C57A53">
        <w:tc>
          <w:tcPr>
            <w:tcW w:w="105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7362CD3" w14:textId="77777777" w:rsidR="00C57A53" w:rsidRPr="006C00CD" w:rsidRDefault="00C57A53" w:rsidP="00C57A53">
            <w:pPr>
              <w:jc w:val="center"/>
            </w:pPr>
            <w:r w:rsidRPr="006C00CD">
              <w:t>2</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44625AF1" w14:textId="77777777" w:rsidR="00C57A53" w:rsidRPr="006C00CD" w:rsidRDefault="00C57A53" w:rsidP="00C57A53">
            <w:pPr>
              <w:jc w:val="center"/>
            </w:pPr>
            <w:r w:rsidRPr="006C00CD">
              <w:t>0</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0C47A38D" w14:textId="77777777" w:rsidR="00C57A53" w:rsidRPr="006C00CD" w:rsidRDefault="00C57A53" w:rsidP="00C57A53">
            <w:pPr>
              <w:jc w:val="center"/>
            </w:pPr>
            <w:r w:rsidRPr="006C00CD">
              <w:t>3</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3359FD17" w14:textId="77777777" w:rsidR="00C57A53" w:rsidRPr="006C00CD" w:rsidRDefault="00C57A53" w:rsidP="00C57A53">
            <w:pPr>
              <w:jc w:val="center"/>
            </w:pPr>
            <w:r w:rsidRPr="006C00CD">
              <w:t>-</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1E4F1CEC" w14:textId="77777777" w:rsidR="00C57A53" w:rsidRPr="006C00CD" w:rsidRDefault="00C57A53" w:rsidP="00C57A53">
            <w:pPr>
              <w:jc w:val="center"/>
            </w:pPr>
            <w:r w:rsidRPr="006C00CD">
              <w:t>-</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5C153ABC" w14:textId="77777777" w:rsidR="00C57A53" w:rsidRPr="006C00CD" w:rsidRDefault="00C57A53" w:rsidP="00C57A53">
            <w:pPr>
              <w:jc w:val="center"/>
            </w:pPr>
            <w:r w:rsidRPr="006C00CD">
              <w:t>-</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357B368F" w14:textId="77777777" w:rsidR="00C57A53" w:rsidRPr="006C00CD" w:rsidRDefault="00C57A53" w:rsidP="00C57A53">
            <w:pPr>
              <w:jc w:val="center"/>
            </w:pPr>
            <w:r w:rsidRPr="006C00CD">
              <w:t>-</w:t>
            </w:r>
          </w:p>
        </w:tc>
      </w:tr>
      <w:tr w:rsidR="00C57A53" w:rsidRPr="006C00CD" w14:paraId="2EE52EDC" w14:textId="77777777" w:rsidTr="00C57A53">
        <w:tc>
          <w:tcPr>
            <w:tcW w:w="105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1546F7" w14:textId="77777777" w:rsidR="00C57A53" w:rsidRPr="006C00CD" w:rsidRDefault="00C57A53" w:rsidP="00C57A53">
            <w:pPr>
              <w:jc w:val="center"/>
            </w:pPr>
            <w:r w:rsidRPr="006C00CD">
              <w:t>3</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50503E9B" w14:textId="77777777" w:rsidR="00C57A53" w:rsidRPr="006C00CD" w:rsidRDefault="00C57A53" w:rsidP="00C57A53">
            <w:pPr>
              <w:jc w:val="center"/>
            </w:pPr>
            <w:r w:rsidRPr="006C00CD">
              <w:t>0</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317EA816" w14:textId="77777777" w:rsidR="00C57A53" w:rsidRPr="006C00CD" w:rsidRDefault="00C57A53" w:rsidP="00C57A53">
            <w:pPr>
              <w:jc w:val="center"/>
            </w:pPr>
            <w:r w:rsidRPr="006C00CD">
              <w:t>2</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63031D6C" w14:textId="77777777" w:rsidR="00C57A53" w:rsidRPr="006C00CD" w:rsidRDefault="00C57A53" w:rsidP="00C57A53">
            <w:pPr>
              <w:jc w:val="center"/>
            </w:pPr>
            <w:r w:rsidRPr="006C00CD">
              <w:t>4</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098C9260" w14:textId="77777777" w:rsidR="00C57A53" w:rsidRPr="006C00CD" w:rsidRDefault="00C57A53" w:rsidP="00C57A53">
            <w:pPr>
              <w:jc w:val="center"/>
            </w:pPr>
            <w:r w:rsidRPr="006C00CD">
              <w:t>-</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70D8340E" w14:textId="77777777" w:rsidR="00C57A53" w:rsidRPr="006C00CD" w:rsidRDefault="00C57A53" w:rsidP="00C57A53">
            <w:pPr>
              <w:jc w:val="center"/>
            </w:pPr>
            <w:r w:rsidRPr="006C00CD">
              <w:t>-</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3151EC5B" w14:textId="77777777" w:rsidR="00C57A53" w:rsidRPr="006C00CD" w:rsidRDefault="00C57A53" w:rsidP="00C57A53">
            <w:pPr>
              <w:jc w:val="center"/>
            </w:pPr>
            <w:r w:rsidRPr="006C00CD">
              <w:t>-</w:t>
            </w:r>
          </w:p>
        </w:tc>
      </w:tr>
      <w:tr w:rsidR="00C57A53" w:rsidRPr="006C00CD" w14:paraId="358B542A" w14:textId="77777777" w:rsidTr="00C57A53">
        <w:tc>
          <w:tcPr>
            <w:tcW w:w="105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943728F" w14:textId="77777777" w:rsidR="00C57A53" w:rsidRPr="006C00CD" w:rsidRDefault="00C57A53" w:rsidP="00C57A53">
            <w:pPr>
              <w:jc w:val="center"/>
            </w:pPr>
            <w:r w:rsidRPr="006C00CD">
              <w:t>6</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1B8E9A1D" w14:textId="77777777" w:rsidR="00C57A53" w:rsidRPr="006C00CD" w:rsidRDefault="00C57A53" w:rsidP="00C57A53">
            <w:pPr>
              <w:jc w:val="center"/>
            </w:pPr>
            <w:r w:rsidRPr="006C00CD">
              <w:t>0</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48BB0CEC" w14:textId="77777777" w:rsidR="00C57A53" w:rsidRPr="006C00CD" w:rsidRDefault="00C57A53" w:rsidP="00C57A53">
            <w:pPr>
              <w:jc w:val="center"/>
            </w:pPr>
            <w:r w:rsidRPr="006C00CD">
              <w:t>1</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4AEB9107" w14:textId="77777777" w:rsidR="00C57A53" w:rsidRPr="006C00CD" w:rsidRDefault="00C57A53" w:rsidP="00C57A53">
            <w:pPr>
              <w:jc w:val="center"/>
            </w:pPr>
            <w:r w:rsidRPr="006C00CD">
              <w:t>2</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4A278479" w14:textId="77777777" w:rsidR="00C57A53" w:rsidRPr="006C00CD" w:rsidRDefault="00C57A53" w:rsidP="00C57A53">
            <w:pPr>
              <w:jc w:val="center"/>
            </w:pPr>
            <w:r w:rsidRPr="006C00CD">
              <w:t>3</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6911E202" w14:textId="77777777" w:rsidR="00C57A53" w:rsidRPr="006C00CD" w:rsidRDefault="00C57A53" w:rsidP="00C57A53">
            <w:pPr>
              <w:jc w:val="center"/>
            </w:pPr>
            <w:r w:rsidRPr="006C00CD">
              <w:t>4</w:t>
            </w:r>
          </w:p>
        </w:tc>
        <w:tc>
          <w:tcPr>
            <w:tcW w:w="1288" w:type="dxa"/>
            <w:tcBorders>
              <w:top w:val="nil"/>
              <w:left w:val="nil"/>
              <w:bottom w:val="single" w:sz="8" w:space="0" w:color="auto"/>
              <w:right w:val="single" w:sz="8" w:space="0" w:color="auto"/>
            </w:tcBorders>
            <w:tcMar>
              <w:top w:w="0" w:type="dxa"/>
              <w:left w:w="108" w:type="dxa"/>
              <w:bottom w:w="0" w:type="dxa"/>
              <w:right w:w="108" w:type="dxa"/>
            </w:tcMar>
            <w:hideMark/>
          </w:tcPr>
          <w:p w14:paraId="6E184E93" w14:textId="77777777" w:rsidR="00C57A53" w:rsidRPr="006C00CD" w:rsidRDefault="00C57A53" w:rsidP="00C57A53">
            <w:pPr>
              <w:jc w:val="center"/>
            </w:pPr>
            <w:r w:rsidRPr="006C00CD">
              <w:t>5</w:t>
            </w:r>
          </w:p>
        </w:tc>
      </w:tr>
    </w:tbl>
    <w:p w14:paraId="5FFFCC7A" w14:textId="77777777" w:rsidR="00C57A53" w:rsidRDefault="00C57A53" w:rsidP="00E21265"/>
    <w:p w14:paraId="1A4720E9" w14:textId="6207244D" w:rsidR="00E21265" w:rsidRPr="00B916EC" w:rsidRDefault="00083A49" w:rsidP="00E21265">
      <w:pPr>
        <w:rPr>
          <w:lang w:val="en-US"/>
        </w:rPr>
      </w:pPr>
      <w:r w:rsidRPr="005B0583">
        <w:rPr>
          <w:rFonts w:eastAsia="Malgun Gothic"/>
        </w:rPr>
        <w:t>For a PS</w:t>
      </w:r>
      <w:r>
        <w:rPr>
          <w:rFonts w:eastAsia="Malgun Gothic"/>
        </w:rPr>
        <w:t>F</w:t>
      </w:r>
      <w:r w:rsidRPr="005B0583">
        <w:rPr>
          <w:rFonts w:eastAsia="Malgun Gothic"/>
        </w:rPr>
        <w:t>CH transmission with HARQ-ACK information, a</w:t>
      </w:r>
      <w:r w:rsidR="00E21265" w:rsidRPr="00B916EC">
        <w:rPr>
          <w:lang w:val="en-US"/>
        </w:rPr>
        <w:t xml:space="preserve"> UE determines </w:t>
      </w:r>
      <w:r w:rsidR="00E21265">
        <w:rPr>
          <w:lang w:val="en-US"/>
        </w:rPr>
        <w:t>a</w:t>
      </w:r>
      <w:r w:rsidR="00E21265" w:rsidRPr="00B916EC">
        <w:rPr>
          <w:lang w:val="en-US"/>
        </w:rPr>
        <w:t xml:space="preserve"> </w:t>
      </w:r>
      <m:oMath>
        <m:sSub>
          <m:sSubPr>
            <m:ctrlPr>
              <w:rPr>
                <w:rFonts w:ascii="Cambria Math" w:hAnsi="Cambria Math"/>
                <w:i/>
              </w:rPr>
            </m:ctrlPr>
          </m:sSubPr>
          <m:e>
            <m:r>
              <w:rPr>
                <w:rFonts w:ascii="Cambria Math" w:hAnsi="Cambria Math"/>
              </w:rPr>
              <m:t>m</m:t>
            </m:r>
          </m:e>
          <m:sub>
            <m:r>
              <m:rPr>
                <m:nor/>
              </m:rPr>
              <w:rPr>
                <w:rFonts w:ascii="Cambria Math" w:hAnsi="Cambria Math"/>
              </w:rPr>
              <m:t>cs</m:t>
            </m:r>
          </m:sub>
        </m:sSub>
      </m:oMath>
      <w:r w:rsidR="00E21265" w:rsidRPr="00B916EC">
        <w:t xml:space="preserve"> </w:t>
      </w:r>
      <w:r w:rsidR="00E21265">
        <w:t xml:space="preserve">value, </w:t>
      </w:r>
      <w:r w:rsidR="00E21265" w:rsidRPr="00B916EC">
        <w:t>for computing a value of cyclic shift</w:t>
      </w:r>
      <w:r w:rsidR="00E21265">
        <w:t xml:space="preserve"> </w:t>
      </w:r>
      <m:oMath>
        <m:r>
          <w:rPr>
            <w:rFonts w:ascii="Cambria Math" w:hAnsi="Cambria Math"/>
          </w:rPr>
          <m:t>α</m:t>
        </m:r>
      </m:oMath>
      <w:r w:rsidR="00E21265" w:rsidRPr="00B916EC">
        <w:t xml:space="preserve"> [4, TS 38.211]</w:t>
      </w:r>
      <w:r w:rsidR="00E21265">
        <w:t>,</w:t>
      </w:r>
      <w:r w:rsidR="00E21265" w:rsidRPr="00B916EC">
        <w:t xml:space="preserve"> </w:t>
      </w:r>
      <w:r w:rsidR="00C57A53" w:rsidRPr="00777630">
        <w:rPr>
          <w:lang w:val="en-US"/>
        </w:rPr>
        <w:t xml:space="preserve">as in </w:t>
      </w:r>
      <w:r w:rsidR="00C57A53" w:rsidRPr="00777630">
        <w:t>Table 16.3-2</w:t>
      </w:r>
      <w:r w:rsidR="003B5163" w:rsidRPr="003B5163">
        <w:rPr>
          <w:rFonts w:eastAsia="Malgun Gothic"/>
        </w:rPr>
        <w:t xml:space="preserve"> </w:t>
      </w:r>
      <w:r w:rsidR="003B5163" w:rsidRPr="00210522">
        <w:rPr>
          <w:rFonts w:eastAsia="Malgun Gothic"/>
        </w:rPr>
        <w:t xml:space="preserve">if the UE </w:t>
      </w:r>
      <w:r w:rsidR="003B5163">
        <w:rPr>
          <w:rFonts w:eastAsia="Malgun Gothic"/>
        </w:rPr>
        <w:t>detect</w:t>
      </w:r>
      <w:r w:rsidR="003B5163" w:rsidRPr="00210522">
        <w:rPr>
          <w:rFonts w:eastAsia="Malgun Gothic"/>
        </w:rPr>
        <w:t>s a SCI format 2-A with Cast type indicator field</w:t>
      </w:r>
      <w:r w:rsidR="003B5163">
        <w:rPr>
          <w:rFonts w:eastAsia="Malgun Gothic"/>
        </w:rPr>
        <w:t xml:space="preserve"> value of</w:t>
      </w:r>
      <w:r w:rsidR="003B5163" w:rsidRPr="00210522">
        <w:rPr>
          <w:rFonts w:eastAsia="Malgun Gothic"/>
        </w:rPr>
        <w:t xml:space="preserve"> </w:t>
      </w:r>
      <w:r w:rsidR="003B5163">
        <w:rPr>
          <w:rFonts w:eastAsia="Malgun Gothic"/>
        </w:rPr>
        <w:t>"</w:t>
      </w:r>
      <w:r w:rsidR="003B5163" w:rsidRPr="00210522">
        <w:rPr>
          <w:rFonts w:eastAsia="Malgun Gothic"/>
        </w:rPr>
        <w:t>01</w:t>
      </w:r>
      <w:r w:rsidR="003B5163">
        <w:rPr>
          <w:rFonts w:eastAsia="Malgun Gothic"/>
        </w:rPr>
        <w:t>"</w:t>
      </w:r>
      <w:r w:rsidR="003B5163" w:rsidRPr="00210522">
        <w:rPr>
          <w:rFonts w:eastAsia="Malgun Gothic"/>
        </w:rPr>
        <w:t xml:space="preserve"> or </w:t>
      </w:r>
      <w:r w:rsidR="003B5163">
        <w:rPr>
          <w:rFonts w:eastAsia="Malgun Gothic"/>
        </w:rPr>
        <w:t>"</w:t>
      </w:r>
      <w:r w:rsidR="003B5163" w:rsidRPr="00210522">
        <w:rPr>
          <w:rFonts w:eastAsia="Malgun Gothic"/>
        </w:rPr>
        <w:t>10</w:t>
      </w:r>
      <w:r w:rsidR="003B5163">
        <w:rPr>
          <w:rFonts w:eastAsia="Malgun Gothic"/>
        </w:rPr>
        <w:t>"</w:t>
      </w:r>
      <w:r w:rsidR="001B45EC" w:rsidRPr="007053C7">
        <w:rPr>
          <w:rFonts w:eastAsia="Malgun Gothic"/>
        </w:rPr>
        <w:t xml:space="preserve"> or a SCI format 2-C</w:t>
      </w:r>
      <w:r w:rsidR="003B5163">
        <w:rPr>
          <w:rFonts w:eastAsia="Malgun Gothic"/>
        </w:rPr>
        <w:t>,</w:t>
      </w:r>
      <w:r w:rsidR="003B5163" w:rsidRPr="00777630">
        <w:rPr>
          <w:rFonts w:eastAsia="Malgun Gothic"/>
        </w:rPr>
        <w:t xml:space="preserve"> or </w:t>
      </w:r>
      <w:r w:rsidR="003B5163">
        <w:rPr>
          <w:rFonts w:eastAsia="Malgun Gothic"/>
        </w:rPr>
        <w:t xml:space="preserve">as in </w:t>
      </w:r>
      <w:r w:rsidR="003B5163" w:rsidRPr="00777630">
        <w:rPr>
          <w:rFonts w:eastAsia="Malgun Gothic"/>
        </w:rPr>
        <w:t>Table 16.3-3</w:t>
      </w:r>
      <w:r w:rsidR="003B5163">
        <w:rPr>
          <w:rFonts w:eastAsia="Malgun Gothic"/>
        </w:rPr>
        <w:t xml:space="preserve"> if the UE detects a SCI format 2-B</w:t>
      </w:r>
      <w:r w:rsidR="00B227FA">
        <w:rPr>
          <w:rFonts w:eastAsia="Malgun Gothic"/>
        </w:rPr>
        <w:t xml:space="preserve"> </w:t>
      </w:r>
      <w:r w:rsidR="00B227FA" w:rsidRPr="00227C3B">
        <w:rPr>
          <w:rFonts w:eastAsia="Malgun Gothic"/>
        </w:rPr>
        <w:t>or a SCI format 2-A with Cast type indicator field value of "11"</w:t>
      </w:r>
      <w:r w:rsidR="00C57A53" w:rsidRPr="00777630">
        <w:t xml:space="preserve">. </w:t>
      </w:r>
      <w:r w:rsidR="001B45EC" w:rsidRPr="007053C7">
        <w:rPr>
          <w:rFonts w:eastAsia="Malgun Gothic"/>
        </w:rPr>
        <w:t>For a PSFCH transmission with conflict information, a</w:t>
      </w:r>
      <w:r w:rsidR="001B45EC" w:rsidRPr="007053C7">
        <w:rPr>
          <w:lang w:val="en-US"/>
        </w:rPr>
        <w:t xml:space="preserve"> UE determines a </w:t>
      </w:r>
      <m:oMath>
        <m:sSub>
          <m:sSubPr>
            <m:ctrlPr>
              <w:rPr>
                <w:rFonts w:ascii="Cambria Math" w:hAnsi="Cambria Math"/>
                <w:i/>
              </w:rPr>
            </m:ctrlPr>
          </m:sSubPr>
          <m:e>
            <m:r>
              <w:rPr>
                <w:rFonts w:ascii="Cambria Math" w:hAnsi="Cambria Math"/>
              </w:rPr>
              <m:t>m</m:t>
            </m:r>
          </m:e>
          <m:sub>
            <m:r>
              <m:rPr>
                <m:nor/>
              </m:rPr>
              <w:rPr>
                <w:rFonts w:ascii="Cambria Math" w:hAnsi="Cambria Math"/>
              </w:rPr>
              <m:t>cs</m:t>
            </m:r>
          </m:sub>
        </m:sSub>
      </m:oMath>
      <w:r w:rsidR="001B45EC" w:rsidRPr="007053C7">
        <w:t xml:space="preserve"> value for computing a value of cyclic shift </w:t>
      </w:r>
      <m:oMath>
        <m:r>
          <w:rPr>
            <w:rFonts w:ascii="Cambria Math" w:hAnsi="Cambria Math"/>
          </w:rPr>
          <m:t>α</m:t>
        </m:r>
      </m:oMath>
      <w:r w:rsidR="001B45EC" w:rsidRPr="007053C7">
        <w:t xml:space="preserve"> [4, TS 38.211] </w:t>
      </w:r>
      <w:r w:rsidR="001B45EC" w:rsidRPr="007053C7">
        <w:rPr>
          <w:lang w:val="en-US"/>
        </w:rPr>
        <w:t xml:space="preserve">as in </w:t>
      </w:r>
      <w:r w:rsidR="001B45EC" w:rsidRPr="007053C7">
        <w:t xml:space="preserve">Table 16.3-4. </w:t>
      </w:r>
      <w:r w:rsidR="00C57A53" w:rsidRPr="00777630">
        <w:rPr>
          <w:rFonts w:eastAsia="Malgun Gothic"/>
        </w:rPr>
        <w:t>The UE applies one cyclic shift from a cyclic shift pair to a sequence used for the PSFCH transmission [4, TS 38.211]</w:t>
      </w:r>
      <w:r w:rsidR="00E21265" w:rsidRPr="00B916EC">
        <w:t>.</w:t>
      </w:r>
      <w:r w:rsidR="00E21265" w:rsidRPr="00B916EC">
        <w:rPr>
          <w:lang w:val="en-US"/>
        </w:rPr>
        <w:t xml:space="preserve"> </w:t>
      </w:r>
    </w:p>
    <w:p w14:paraId="35C65A4B" w14:textId="446D46D2" w:rsidR="00E21265" w:rsidRPr="00B916EC" w:rsidRDefault="00E21265" w:rsidP="00E21265">
      <w:pPr>
        <w:pStyle w:val="TH"/>
        <w:rPr>
          <w:rFonts w:cs="Arial"/>
        </w:rPr>
      </w:pPr>
      <w:r>
        <w:rPr>
          <w:rFonts w:cs="Arial"/>
        </w:rPr>
        <w:t>Table 16.</w:t>
      </w:r>
      <w:r w:rsidR="00C57A53">
        <w:rPr>
          <w:rFonts w:cs="Arial"/>
        </w:rPr>
        <w:t>3</w:t>
      </w:r>
      <w:r>
        <w:rPr>
          <w:rFonts w:cs="Arial"/>
        </w:rPr>
        <w:t>-</w:t>
      </w:r>
      <w:r w:rsidR="00C57A53">
        <w:rPr>
          <w:rFonts w:cs="Arial"/>
        </w:rPr>
        <w:t>2</w:t>
      </w:r>
      <w:r>
        <w:rPr>
          <w:rFonts w:cs="Arial"/>
        </w:rPr>
        <w:t>: Mapping of</w:t>
      </w:r>
      <w:r w:rsidRPr="00B916EC">
        <w:rPr>
          <w:rFonts w:cs="Arial"/>
        </w:rPr>
        <w:t xml:space="preserve"> HARQ-ACK</w:t>
      </w:r>
      <w:r>
        <w:t xml:space="preserve"> information</w:t>
      </w:r>
      <w:r w:rsidRPr="00B916EC">
        <w:rPr>
          <w:rFonts w:cs="Arial"/>
        </w:rPr>
        <w:t xml:space="preserve"> bit </w:t>
      </w:r>
      <w:r>
        <w:rPr>
          <w:rFonts w:cs="Arial"/>
        </w:rPr>
        <w:t xml:space="preserve">values </w:t>
      </w:r>
      <w:r w:rsidRPr="00B916EC">
        <w:rPr>
          <w:rFonts w:cs="Arial"/>
        </w:rPr>
        <w:t xml:space="preserve">to </w:t>
      </w:r>
      <w:r>
        <w:rPr>
          <w:rFonts w:cs="Arial"/>
        </w:rPr>
        <w:t>a cyclic shift, from a cyclic shift pair, of a sequence for a PSFCH transmission</w:t>
      </w:r>
      <w:r w:rsidR="00796986">
        <w:rPr>
          <w:rFonts w:cs="Arial"/>
        </w:rPr>
        <w:t xml:space="preserve"> when HARQ-ACK information includes ACK or NACK</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2107"/>
        <w:gridCol w:w="1483"/>
        <w:gridCol w:w="1710"/>
      </w:tblGrid>
      <w:tr w:rsidR="00E21265" w:rsidRPr="00B916EC" w14:paraId="41C7D1C0" w14:textId="77777777" w:rsidTr="003A5FED">
        <w:trPr>
          <w:cantSplit/>
          <w:jc w:val="center"/>
        </w:trPr>
        <w:tc>
          <w:tcPr>
            <w:tcW w:w="2107" w:type="dxa"/>
            <w:shd w:val="clear" w:color="auto" w:fill="E0E0E0"/>
            <w:vAlign w:val="center"/>
          </w:tcPr>
          <w:p w14:paraId="1582CC4F" w14:textId="77777777" w:rsidR="00E21265" w:rsidRPr="00B916EC" w:rsidRDefault="00E21265" w:rsidP="003A5FED">
            <w:pPr>
              <w:pStyle w:val="TAH"/>
              <w:rPr>
                <w:rFonts w:ascii="Times New Roman" w:hAnsi="Times New Roman"/>
                <w:szCs w:val="18"/>
              </w:rPr>
            </w:pPr>
            <w:r w:rsidRPr="00B916EC">
              <w:rPr>
                <w:rFonts w:cs="Arial"/>
                <w:szCs w:val="18"/>
              </w:rPr>
              <w:t>HARQ-ACK Value</w:t>
            </w:r>
          </w:p>
        </w:tc>
        <w:tc>
          <w:tcPr>
            <w:tcW w:w="1483" w:type="dxa"/>
            <w:shd w:val="clear" w:color="auto" w:fill="E0E0E0"/>
            <w:vAlign w:val="center"/>
          </w:tcPr>
          <w:p w14:paraId="55E4BD1A" w14:textId="77777777" w:rsidR="00E21265" w:rsidRPr="00B916EC" w:rsidRDefault="00E21265" w:rsidP="003A5FED">
            <w:pPr>
              <w:pStyle w:val="TAH"/>
              <w:rPr>
                <w:rFonts w:ascii="Times New Roman" w:hAnsi="Times New Roman"/>
                <w:sz w:val="20"/>
              </w:rPr>
            </w:pPr>
            <w:r w:rsidRPr="00B916EC">
              <w:rPr>
                <w:rFonts w:ascii="Times New Roman" w:hAnsi="Times New Roman"/>
                <w:sz w:val="20"/>
              </w:rPr>
              <w:t>0</w:t>
            </w:r>
            <w:r>
              <w:rPr>
                <w:rFonts w:ascii="Times New Roman" w:hAnsi="Times New Roman"/>
                <w:sz w:val="20"/>
              </w:rPr>
              <w:t xml:space="preserve"> (NACK)</w:t>
            </w:r>
          </w:p>
        </w:tc>
        <w:tc>
          <w:tcPr>
            <w:tcW w:w="1710" w:type="dxa"/>
            <w:shd w:val="clear" w:color="auto" w:fill="E0E0E0"/>
          </w:tcPr>
          <w:p w14:paraId="43377672" w14:textId="77777777" w:rsidR="00E21265" w:rsidRPr="00B916EC" w:rsidRDefault="00E21265" w:rsidP="003A5FED">
            <w:pPr>
              <w:pStyle w:val="TAH"/>
              <w:rPr>
                <w:rFonts w:ascii="Times New Roman" w:hAnsi="Times New Roman"/>
                <w:sz w:val="20"/>
              </w:rPr>
            </w:pPr>
            <w:r w:rsidRPr="00B916EC">
              <w:rPr>
                <w:rFonts w:ascii="Times New Roman" w:hAnsi="Times New Roman"/>
                <w:sz w:val="20"/>
              </w:rPr>
              <w:t>1</w:t>
            </w:r>
            <w:r>
              <w:rPr>
                <w:rFonts w:ascii="Times New Roman" w:hAnsi="Times New Roman"/>
                <w:sz w:val="20"/>
              </w:rPr>
              <w:t xml:space="preserve"> (ACK)</w:t>
            </w:r>
          </w:p>
        </w:tc>
      </w:tr>
      <w:tr w:rsidR="00E21265" w:rsidRPr="00B916EC" w14:paraId="265A81E8" w14:textId="77777777" w:rsidTr="003A5FED">
        <w:trPr>
          <w:cantSplit/>
          <w:jc w:val="center"/>
        </w:trPr>
        <w:tc>
          <w:tcPr>
            <w:tcW w:w="2107" w:type="dxa"/>
            <w:vAlign w:val="center"/>
          </w:tcPr>
          <w:p w14:paraId="29C68087" w14:textId="77777777" w:rsidR="00E21265" w:rsidRPr="00B916EC" w:rsidRDefault="00E21265" w:rsidP="003A5FED">
            <w:pPr>
              <w:pStyle w:val="TAC"/>
              <w:rPr>
                <w:b/>
              </w:rPr>
            </w:pPr>
            <w:r w:rsidRPr="00B916EC">
              <w:rPr>
                <w:b/>
              </w:rPr>
              <w:t>Sequence cyclic shift</w:t>
            </w:r>
          </w:p>
        </w:tc>
        <w:tc>
          <w:tcPr>
            <w:tcW w:w="1483" w:type="dxa"/>
            <w:vAlign w:val="center"/>
          </w:tcPr>
          <w:p w14:paraId="3F3D8359" w14:textId="16475BA7" w:rsidR="00E21265" w:rsidRPr="00B916EC" w:rsidRDefault="00796986" w:rsidP="003A5FED">
            <w:pPr>
              <w:pStyle w:val="TAL"/>
              <w:jc w:val="center"/>
            </w:pPr>
            <w:r>
              <w:t>0</w:t>
            </w:r>
          </w:p>
        </w:tc>
        <w:tc>
          <w:tcPr>
            <w:tcW w:w="1710" w:type="dxa"/>
          </w:tcPr>
          <w:p w14:paraId="35E4D209" w14:textId="4A93C04D" w:rsidR="00E21265" w:rsidRPr="00B916EC" w:rsidRDefault="00796986" w:rsidP="003A5FED">
            <w:pPr>
              <w:pStyle w:val="TAL"/>
              <w:jc w:val="center"/>
            </w:pPr>
            <w:r>
              <w:t>6</w:t>
            </w:r>
          </w:p>
        </w:tc>
      </w:tr>
    </w:tbl>
    <w:p w14:paraId="63E6CCE8" w14:textId="77777777" w:rsidR="00796986" w:rsidRDefault="00796986" w:rsidP="00393CCA">
      <w:pPr>
        <w:rPr>
          <w:rFonts w:eastAsia="Malgun Gothic"/>
        </w:rPr>
      </w:pPr>
    </w:p>
    <w:p w14:paraId="284FC164" w14:textId="77777777" w:rsidR="00796986" w:rsidRDefault="00796986" w:rsidP="00393CCA">
      <w:pPr>
        <w:pStyle w:val="TH"/>
      </w:pPr>
      <w:r w:rsidRPr="00777630">
        <w:lastRenderedPageBreak/>
        <w:t>Table 16.3-</w:t>
      </w:r>
      <w:r>
        <w:t>3</w:t>
      </w:r>
      <w:r w:rsidRPr="00777630">
        <w:t xml:space="preserve">: Mapping of HARQ-ACK information bit values to a cyclic shift, from a cyclic shift pair, of a sequence for a PSFCH transmission when HARQ-ACK information includes </w:t>
      </w:r>
      <w:r>
        <w:t>only N</w:t>
      </w:r>
      <w:r w:rsidRPr="00777630">
        <w:t>ACK</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2107"/>
        <w:gridCol w:w="1483"/>
        <w:gridCol w:w="1710"/>
      </w:tblGrid>
      <w:tr w:rsidR="00796986" w:rsidRPr="00B916EC" w14:paraId="5B9F55CC" w14:textId="77777777" w:rsidTr="00C16DDA">
        <w:trPr>
          <w:cantSplit/>
          <w:jc w:val="center"/>
        </w:trPr>
        <w:tc>
          <w:tcPr>
            <w:tcW w:w="2107" w:type="dxa"/>
            <w:shd w:val="clear" w:color="auto" w:fill="E0E0E0"/>
            <w:vAlign w:val="center"/>
          </w:tcPr>
          <w:p w14:paraId="16BADC64" w14:textId="77777777" w:rsidR="00796986" w:rsidRPr="00B916EC" w:rsidRDefault="00796986" w:rsidP="00C16DDA">
            <w:pPr>
              <w:pStyle w:val="TAH"/>
              <w:rPr>
                <w:rFonts w:ascii="Times New Roman" w:hAnsi="Times New Roman"/>
                <w:szCs w:val="18"/>
              </w:rPr>
            </w:pPr>
            <w:r w:rsidRPr="00B916EC">
              <w:rPr>
                <w:rFonts w:cs="Arial"/>
                <w:szCs w:val="18"/>
              </w:rPr>
              <w:t>HARQ-ACK Value</w:t>
            </w:r>
          </w:p>
        </w:tc>
        <w:tc>
          <w:tcPr>
            <w:tcW w:w="1483" w:type="dxa"/>
            <w:shd w:val="clear" w:color="auto" w:fill="E0E0E0"/>
            <w:vAlign w:val="center"/>
          </w:tcPr>
          <w:p w14:paraId="19A5B19C" w14:textId="77777777" w:rsidR="00796986" w:rsidRPr="00B916EC" w:rsidRDefault="00796986" w:rsidP="00C16DDA">
            <w:pPr>
              <w:pStyle w:val="TAH"/>
              <w:rPr>
                <w:rFonts w:ascii="Times New Roman" w:hAnsi="Times New Roman"/>
                <w:sz w:val="20"/>
              </w:rPr>
            </w:pPr>
            <w:r w:rsidRPr="00B916EC">
              <w:rPr>
                <w:rFonts w:ascii="Times New Roman" w:hAnsi="Times New Roman"/>
                <w:sz w:val="20"/>
              </w:rPr>
              <w:t>0</w:t>
            </w:r>
            <w:r>
              <w:rPr>
                <w:rFonts w:ascii="Times New Roman" w:hAnsi="Times New Roman"/>
                <w:sz w:val="20"/>
              </w:rPr>
              <w:t xml:space="preserve"> (NACK)</w:t>
            </w:r>
          </w:p>
        </w:tc>
        <w:tc>
          <w:tcPr>
            <w:tcW w:w="1710" w:type="dxa"/>
            <w:shd w:val="clear" w:color="auto" w:fill="E0E0E0"/>
          </w:tcPr>
          <w:p w14:paraId="049B79E1" w14:textId="77777777" w:rsidR="00796986" w:rsidRPr="00B916EC" w:rsidRDefault="00796986" w:rsidP="00C16DDA">
            <w:pPr>
              <w:pStyle w:val="TAH"/>
              <w:rPr>
                <w:rFonts w:ascii="Times New Roman" w:hAnsi="Times New Roman"/>
                <w:sz w:val="20"/>
              </w:rPr>
            </w:pPr>
            <w:r w:rsidRPr="00B916EC">
              <w:rPr>
                <w:rFonts w:ascii="Times New Roman" w:hAnsi="Times New Roman"/>
                <w:sz w:val="20"/>
              </w:rPr>
              <w:t>1</w:t>
            </w:r>
            <w:r>
              <w:rPr>
                <w:rFonts w:ascii="Times New Roman" w:hAnsi="Times New Roman"/>
                <w:sz w:val="20"/>
              </w:rPr>
              <w:t xml:space="preserve"> (ACK)</w:t>
            </w:r>
          </w:p>
        </w:tc>
      </w:tr>
      <w:tr w:rsidR="00796986" w:rsidRPr="00B916EC" w14:paraId="3E330C63" w14:textId="77777777" w:rsidTr="00C16DDA">
        <w:trPr>
          <w:cantSplit/>
          <w:jc w:val="center"/>
        </w:trPr>
        <w:tc>
          <w:tcPr>
            <w:tcW w:w="2107" w:type="dxa"/>
            <w:vAlign w:val="center"/>
          </w:tcPr>
          <w:p w14:paraId="0AAB61A2" w14:textId="77777777" w:rsidR="00796986" w:rsidRPr="00B916EC" w:rsidRDefault="00796986" w:rsidP="00C16DDA">
            <w:pPr>
              <w:pStyle w:val="TAC"/>
              <w:rPr>
                <w:b/>
              </w:rPr>
            </w:pPr>
            <w:r w:rsidRPr="00B916EC">
              <w:rPr>
                <w:b/>
              </w:rPr>
              <w:t>Sequence cyclic shift</w:t>
            </w:r>
          </w:p>
        </w:tc>
        <w:tc>
          <w:tcPr>
            <w:tcW w:w="1483" w:type="dxa"/>
            <w:vAlign w:val="center"/>
          </w:tcPr>
          <w:p w14:paraId="6BCD3441" w14:textId="77777777" w:rsidR="00796986" w:rsidRPr="00B916EC" w:rsidRDefault="00796986" w:rsidP="00C16DDA">
            <w:pPr>
              <w:pStyle w:val="TAL"/>
              <w:jc w:val="center"/>
            </w:pPr>
            <w:r>
              <w:t>0</w:t>
            </w:r>
          </w:p>
        </w:tc>
        <w:tc>
          <w:tcPr>
            <w:tcW w:w="1710" w:type="dxa"/>
          </w:tcPr>
          <w:p w14:paraId="3A5A887E" w14:textId="77777777" w:rsidR="00796986" w:rsidRPr="00B916EC" w:rsidRDefault="00796986" w:rsidP="00C16DDA">
            <w:pPr>
              <w:pStyle w:val="TAL"/>
              <w:jc w:val="center"/>
            </w:pPr>
            <w:r>
              <w:t>N/A</w:t>
            </w:r>
          </w:p>
        </w:tc>
      </w:tr>
    </w:tbl>
    <w:p w14:paraId="79366490" w14:textId="01590EE9" w:rsidR="00E21265" w:rsidRDefault="00E21265" w:rsidP="00D2686C">
      <w:pPr>
        <w:rPr>
          <w:lang w:val="en-US"/>
        </w:rPr>
      </w:pPr>
    </w:p>
    <w:p w14:paraId="5D296EC1" w14:textId="77777777" w:rsidR="001B45EC" w:rsidRPr="007053C7" w:rsidRDefault="001B45EC" w:rsidP="001B45EC">
      <w:pPr>
        <w:pStyle w:val="TH"/>
      </w:pPr>
      <w:r w:rsidRPr="007053C7">
        <w:t>Table 16.3-4: Mapping of conflict information bit values to a cyclic shift, from a cyclic shift pair, of a sequence for a PSFCH transmission</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2870"/>
        <w:gridCol w:w="6480"/>
      </w:tblGrid>
      <w:tr w:rsidR="001B45EC" w:rsidRPr="007053C7" w14:paraId="128AB6A8" w14:textId="77777777" w:rsidTr="00B52E7C">
        <w:trPr>
          <w:cantSplit/>
          <w:jc w:val="center"/>
        </w:trPr>
        <w:tc>
          <w:tcPr>
            <w:tcW w:w="2870" w:type="dxa"/>
            <w:shd w:val="clear" w:color="auto" w:fill="E0E0E0"/>
            <w:vAlign w:val="center"/>
          </w:tcPr>
          <w:p w14:paraId="198ABB21" w14:textId="77777777" w:rsidR="001B45EC" w:rsidRPr="007053C7" w:rsidRDefault="001B45EC" w:rsidP="00B52E7C">
            <w:pPr>
              <w:pStyle w:val="TAH"/>
              <w:rPr>
                <w:rFonts w:cs="Arial"/>
                <w:szCs w:val="18"/>
              </w:rPr>
            </w:pPr>
            <w:r w:rsidRPr="007053C7">
              <w:rPr>
                <w:rFonts w:cs="Arial"/>
                <w:szCs w:val="18"/>
              </w:rPr>
              <w:t>Conflict information</w:t>
            </w:r>
          </w:p>
        </w:tc>
        <w:tc>
          <w:tcPr>
            <w:tcW w:w="6480" w:type="dxa"/>
            <w:shd w:val="clear" w:color="auto" w:fill="E0E0E0"/>
            <w:vAlign w:val="center"/>
          </w:tcPr>
          <w:p w14:paraId="7A39B2BB" w14:textId="77777777" w:rsidR="001B45EC" w:rsidRPr="007053C7" w:rsidRDefault="001B45EC" w:rsidP="00B52E7C">
            <w:pPr>
              <w:pStyle w:val="TAH"/>
              <w:rPr>
                <w:rFonts w:cs="Arial"/>
                <w:szCs w:val="18"/>
              </w:rPr>
            </w:pPr>
            <w:r w:rsidRPr="007053C7">
              <w:rPr>
                <w:rFonts w:cs="Arial"/>
                <w:szCs w:val="18"/>
              </w:rPr>
              <w:t>Conflict information for a next in time reserved resource indicated in SCI</w:t>
            </w:r>
          </w:p>
        </w:tc>
      </w:tr>
      <w:tr w:rsidR="001B45EC" w:rsidRPr="007053C7" w14:paraId="58D319DB" w14:textId="77777777" w:rsidTr="00B52E7C">
        <w:trPr>
          <w:cantSplit/>
          <w:trHeight w:val="40"/>
          <w:jc w:val="center"/>
        </w:trPr>
        <w:tc>
          <w:tcPr>
            <w:tcW w:w="2870" w:type="dxa"/>
            <w:vAlign w:val="center"/>
          </w:tcPr>
          <w:p w14:paraId="6E8E1548" w14:textId="77777777" w:rsidR="001B45EC" w:rsidRPr="007053C7" w:rsidRDefault="001B45EC" w:rsidP="00B52E7C">
            <w:pPr>
              <w:pStyle w:val="TAC"/>
              <w:rPr>
                <w:rFonts w:cs="Arial"/>
                <w:b/>
                <w:szCs w:val="18"/>
              </w:rPr>
            </w:pPr>
            <w:r w:rsidRPr="007053C7">
              <w:rPr>
                <w:rFonts w:cs="Arial"/>
                <w:b/>
                <w:szCs w:val="18"/>
              </w:rPr>
              <w:t>Sequence cyclic shift</w:t>
            </w:r>
          </w:p>
        </w:tc>
        <w:tc>
          <w:tcPr>
            <w:tcW w:w="6480" w:type="dxa"/>
            <w:vAlign w:val="center"/>
          </w:tcPr>
          <w:p w14:paraId="5BD36B95" w14:textId="77777777" w:rsidR="001B45EC" w:rsidRPr="007053C7" w:rsidRDefault="001B45EC" w:rsidP="00B52E7C">
            <w:pPr>
              <w:pStyle w:val="TAL"/>
              <w:jc w:val="center"/>
              <w:rPr>
                <w:rFonts w:cs="Arial"/>
                <w:szCs w:val="18"/>
              </w:rPr>
            </w:pPr>
            <w:r w:rsidRPr="007053C7">
              <w:rPr>
                <w:rFonts w:cs="Arial"/>
                <w:szCs w:val="18"/>
              </w:rPr>
              <w:t>0</w:t>
            </w:r>
          </w:p>
        </w:tc>
      </w:tr>
    </w:tbl>
    <w:p w14:paraId="4B1377B2" w14:textId="77777777" w:rsidR="001B45EC" w:rsidRDefault="001B45EC" w:rsidP="00083A49"/>
    <w:p w14:paraId="19124FCD" w14:textId="1C42D5DE" w:rsidR="00083A49" w:rsidRPr="005B0583" w:rsidRDefault="00083A49" w:rsidP="00083A49">
      <w:r w:rsidRPr="005B0583">
        <w:t xml:space="preserve">A first UE </w:t>
      </w:r>
      <w:r>
        <w:t>determines a second UE for</w:t>
      </w:r>
      <w:r w:rsidRPr="005B0583">
        <w:t xml:space="preserve"> provid</w:t>
      </w:r>
      <w:r>
        <w:t>ing</w:t>
      </w:r>
      <w:r w:rsidRPr="005B0583">
        <w:t xml:space="preserve"> the conflict information </w:t>
      </w:r>
      <w:r>
        <w:t xml:space="preserve">to </w:t>
      </w:r>
      <w:r w:rsidRPr="005B0583">
        <w:t>in a PSFCH</w:t>
      </w:r>
      <w:r>
        <w:t xml:space="preserve"> as follows</w:t>
      </w:r>
    </w:p>
    <w:p w14:paraId="6E8C331A" w14:textId="77777777" w:rsidR="00083A49" w:rsidRPr="005B0583" w:rsidRDefault="00083A49" w:rsidP="00083A49">
      <w:pPr>
        <w:pStyle w:val="B1"/>
        <w:rPr>
          <w:lang w:val="en-US"/>
        </w:rPr>
      </w:pPr>
      <w:r w:rsidRPr="005B0583">
        <w:t>-</w:t>
      </w:r>
      <w:r w:rsidRPr="005B0583">
        <w:tab/>
      </w:r>
      <w:r>
        <w:rPr>
          <w:lang w:val="en-US"/>
        </w:rPr>
        <w:t xml:space="preserve">if the first UE </w:t>
      </w:r>
      <w:r w:rsidRPr="005B0583">
        <w:rPr>
          <w:lang w:val="en-US"/>
        </w:rPr>
        <w:t xml:space="preserve">is an intended receiver </w:t>
      </w:r>
      <w:r>
        <w:rPr>
          <w:lang w:val="en-US"/>
        </w:rPr>
        <w:t xml:space="preserve">of the second UE </w:t>
      </w:r>
      <w:r w:rsidRPr="005B0583">
        <w:rPr>
          <w:lang w:val="en-US"/>
        </w:rPr>
        <w:t xml:space="preserve">for a reserved resource of a PSSCH transmission </w:t>
      </w:r>
      <w:r w:rsidRPr="005B0583">
        <w:t>in a slot</w:t>
      </w:r>
      <w:r w:rsidRPr="005B0583">
        <w:rPr>
          <w:lang w:val="en-US"/>
        </w:rPr>
        <w:t>,</w:t>
      </w:r>
    </w:p>
    <w:p w14:paraId="13915F2A" w14:textId="4AAFB178" w:rsidR="00083A49" w:rsidRDefault="00083A49" w:rsidP="00083A49">
      <w:pPr>
        <w:pStyle w:val="B1"/>
        <w:rPr>
          <w:lang w:val="en-US"/>
        </w:rPr>
      </w:pPr>
      <w:r w:rsidRPr="005B0583">
        <w:t>-</w:t>
      </w:r>
      <w:r w:rsidRPr="005B0583">
        <w:tab/>
      </w:r>
      <w:r>
        <w:rPr>
          <w:lang w:val="en-US"/>
        </w:rPr>
        <w:t>does not expect to perform reception on the sidelink due to half-duplex operation</w:t>
      </w:r>
      <w:r w:rsidRPr="005B0583">
        <w:rPr>
          <w:lang w:val="en-US"/>
        </w:rPr>
        <w:t xml:space="preserve"> in the slot</w:t>
      </w:r>
      <w:r>
        <w:rPr>
          <w:lang w:val="en-US"/>
        </w:rPr>
        <w:t xml:space="preserve">, </w:t>
      </w:r>
    </w:p>
    <w:p w14:paraId="35B06153" w14:textId="0C5005BF" w:rsidR="00C17DE3" w:rsidRPr="00C17DE3" w:rsidRDefault="00C17DE3" w:rsidP="00C17DE3">
      <w:pPr>
        <w:pStyle w:val="B1"/>
      </w:pPr>
      <w:r w:rsidRPr="00C17DE3">
        <w:t>-</w:t>
      </w:r>
      <w:r w:rsidRPr="00C17DE3">
        <w:tab/>
        <w:t xml:space="preserve">the PSFCH occasion for resource conflict information of the second UE is </w:t>
      </w:r>
      <w:r w:rsidR="0008079E">
        <w:rPr>
          <w:lang w:val="en-US"/>
        </w:rPr>
        <w:t>not passed</w:t>
      </w:r>
      <w:r w:rsidRPr="00C17DE3">
        <w:t>,</w:t>
      </w:r>
    </w:p>
    <w:p w14:paraId="3341F3A3" w14:textId="53A93396" w:rsidR="00C17DE3" w:rsidRPr="00C17DE3" w:rsidRDefault="00C17DE3" w:rsidP="00C17DE3">
      <w:pPr>
        <w:pStyle w:val="B1"/>
      </w:pPr>
      <w:r w:rsidRPr="00C17DE3">
        <w:t>-</w:t>
      </w:r>
      <w:r w:rsidRPr="00C17DE3">
        <w:tab/>
        <w:t xml:space="preserve">the conflict information receiver flag in SCI format 1-A from the second UE is set to 1, if </w:t>
      </w:r>
      <w:r w:rsidRPr="00C17DE3">
        <w:rPr>
          <w:i/>
        </w:rPr>
        <w:t>sl-IndicationUE-B</w:t>
      </w:r>
      <w:r w:rsidRPr="00C17DE3">
        <w:t xml:space="preserve"> = 'enabled', and</w:t>
      </w:r>
    </w:p>
    <w:p w14:paraId="4AFC8554" w14:textId="77777777" w:rsidR="00083A49" w:rsidRPr="005B0583" w:rsidRDefault="00083A49" w:rsidP="00083A49">
      <w:pPr>
        <w:pStyle w:val="B1"/>
        <w:rPr>
          <w:lang w:val="en-US"/>
        </w:rPr>
      </w:pPr>
      <w:r w:rsidRPr="005B0583">
        <w:t>-</w:t>
      </w:r>
      <w:r w:rsidRPr="005B0583">
        <w:tab/>
      </w:r>
      <w:r>
        <w:rPr>
          <w:lang w:val="en-US"/>
        </w:rPr>
        <w:t xml:space="preserve">determines to transmit to the second UE </w:t>
      </w:r>
      <w:r w:rsidRPr="005B0583">
        <w:rPr>
          <w:lang w:val="en-US"/>
        </w:rPr>
        <w:t xml:space="preserve">the </w:t>
      </w:r>
      <w:r>
        <w:rPr>
          <w:lang w:val="en-US"/>
        </w:rPr>
        <w:t>PSFCH with the conflict information.</w:t>
      </w:r>
    </w:p>
    <w:p w14:paraId="5493D4C3" w14:textId="77777777" w:rsidR="00083A49" w:rsidRPr="00C92D91" w:rsidRDefault="00083A49" w:rsidP="00083A49">
      <w:pPr>
        <w:rPr>
          <w:lang w:val="en-US"/>
        </w:rPr>
      </w:pPr>
      <w:r w:rsidRPr="005B0583">
        <w:rPr>
          <w:lang w:val="en-US"/>
        </w:rPr>
        <w:t xml:space="preserve">A </w:t>
      </w:r>
      <w:r w:rsidRPr="005B0583">
        <w:t xml:space="preserve">first UE </w:t>
      </w:r>
      <w:r>
        <w:rPr>
          <w:lang w:val="en-US"/>
        </w:rPr>
        <w:t>determines a UE for providing</w:t>
      </w:r>
      <w:r w:rsidRPr="005B0583">
        <w:t xml:space="preserve"> the conflict information </w:t>
      </w:r>
      <w:r>
        <w:rPr>
          <w:lang w:val="en-US"/>
        </w:rPr>
        <w:t xml:space="preserve">to </w:t>
      </w:r>
      <w:r w:rsidRPr="005B0583">
        <w:t>in a PSFCH</w:t>
      </w:r>
      <w:r>
        <w:rPr>
          <w:lang w:val="en-US"/>
        </w:rPr>
        <w:t xml:space="preserve"> as follows</w:t>
      </w:r>
    </w:p>
    <w:p w14:paraId="4656103C" w14:textId="28F9D3C1" w:rsidR="00083A49" w:rsidRPr="005B0583" w:rsidRDefault="00083A49" w:rsidP="00083A49">
      <w:pPr>
        <w:pStyle w:val="B1"/>
        <w:rPr>
          <w:lang w:val="en-US"/>
        </w:rPr>
      </w:pPr>
      <w:r w:rsidRPr="005B0583">
        <w:t>-</w:t>
      </w:r>
      <w:r w:rsidRPr="005B0583">
        <w:tab/>
      </w:r>
      <w:r>
        <w:rPr>
          <w:lang w:val="en-US"/>
        </w:rPr>
        <w:t>if</w:t>
      </w:r>
      <w:r w:rsidR="00B26273">
        <w:rPr>
          <w:lang w:val="en-US"/>
        </w:rPr>
        <w:t>,</w:t>
      </w:r>
      <w:r>
        <w:rPr>
          <w:lang w:val="en-US"/>
        </w:rPr>
        <w:t xml:space="preserve"> for a resource pool</w:t>
      </w:r>
      <w:r w:rsidR="00B26273">
        <w:rPr>
          <w:lang w:val="en-US"/>
        </w:rPr>
        <w:t>,</w:t>
      </w:r>
      <w:r>
        <w:rPr>
          <w:lang w:val="en-US"/>
        </w:rPr>
        <w:t xml:space="preserve"> </w:t>
      </w:r>
      <w:r w:rsidR="00112A81">
        <w:rPr>
          <w:i/>
          <w:iCs/>
        </w:rPr>
        <w:t>sl-TypeUE-A</w:t>
      </w:r>
      <w:r>
        <w:rPr>
          <w:lang w:val="en-US"/>
        </w:rPr>
        <w:t xml:space="preserve"> is </w:t>
      </w:r>
      <w:r w:rsidR="00112A81">
        <w:rPr>
          <w:lang w:val="en-US"/>
        </w:rPr>
        <w:t>not provided</w:t>
      </w:r>
      <w:r>
        <w:rPr>
          <w:lang w:val="en-US"/>
        </w:rPr>
        <w:t xml:space="preserve">, the first UE </w:t>
      </w:r>
      <w:r w:rsidRPr="005B0583">
        <w:rPr>
          <w:lang w:val="en-US"/>
        </w:rPr>
        <w:t xml:space="preserve">has </w:t>
      </w:r>
      <w:r>
        <w:rPr>
          <w:lang w:val="en-US"/>
        </w:rPr>
        <w:t xml:space="preserve">been indicated </w:t>
      </w:r>
      <w:r w:rsidRPr="005B0583">
        <w:rPr>
          <w:lang w:val="en-US"/>
        </w:rPr>
        <w:t xml:space="preserve">a first reserved resource and a second reserved resource as resources for PSSCH reception or, if </w:t>
      </w:r>
      <w:r>
        <w:rPr>
          <w:lang w:val="en-US"/>
        </w:rPr>
        <w:t>for</w:t>
      </w:r>
      <w:r w:rsidRPr="005B0583">
        <w:rPr>
          <w:lang w:val="en-US"/>
        </w:rPr>
        <w:t xml:space="preserve"> a resource pool </w:t>
      </w:r>
      <w:r w:rsidR="00112A81">
        <w:rPr>
          <w:i/>
          <w:iCs/>
        </w:rPr>
        <w:t>sl-TypeUE-A</w:t>
      </w:r>
      <w:r>
        <w:rPr>
          <w:lang w:val="en-US"/>
        </w:rPr>
        <w:t xml:space="preserve"> is </w:t>
      </w:r>
      <w:r w:rsidR="00112A81">
        <w:rPr>
          <w:lang w:val="en-US"/>
        </w:rPr>
        <w:t>provided</w:t>
      </w:r>
      <w:r w:rsidRPr="005B0583">
        <w:rPr>
          <w:lang w:val="en-US"/>
        </w:rPr>
        <w:t xml:space="preserve">, has </w:t>
      </w:r>
      <w:r>
        <w:rPr>
          <w:lang w:val="en-US"/>
        </w:rPr>
        <w:t xml:space="preserve">been indicated </w:t>
      </w:r>
      <w:r w:rsidRPr="005B0583">
        <w:rPr>
          <w:lang w:val="en-US"/>
        </w:rPr>
        <w:t>at least the first reserved resource or the second reserved resource for PSSCH reception,</w:t>
      </w:r>
    </w:p>
    <w:p w14:paraId="6EB9AE01" w14:textId="77777777" w:rsidR="00083A49" w:rsidRPr="005B0583" w:rsidRDefault="00083A49" w:rsidP="00083A49">
      <w:pPr>
        <w:pStyle w:val="B1"/>
        <w:rPr>
          <w:lang w:val="en-US"/>
        </w:rPr>
      </w:pPr>
      <w:r w:rsidRPr="005B0583">
        <w:t>-</w:t>
      </w:r>
      <w:r w:rsidRPr="005B0583">
        <w:tab/>
      </w:r>
      <w:r w:rsidRPr="005B0583">
        <w:rPr>
          <w:lang w:val="en-US"/>
        </w:rPr>
        <w:t xml:space="preserve">detects a first SCI format 1-A that includes a first priority value,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Pr="005B0583">
        <w:rPr>
          <w:lang w:val="en-US"/>
        </w:rPr>
        <w:t xml:space="preserve">, and </w:t>
      </w:r>
      <w:r>
        <w:rPr>
          <w:lang w:val="en-US"/>
        </w:rPr>
        <w:t>the</w:t>
      </w:r>
      <w:r w:rsidRPr="005B0583">
        <w:t xml:space="preserve"> first </w:t>
      </w:r>
      <w:r w:rsidRPr="005B0583">
        <w:rPr>
          <w:lang w:val="en-US"/>
        </w:rPr>
        <w:t xml:space="preserve">reserved resource </w:t>
      </w:r>
      <w:r w:rsidRPr="005B0583">
        <w:t xml:space="preserve">for PSSCH transmission </w:t>
      </w:r>
      <w:r w:rsidRPr="005B0583">
        <w:rPr>
          <w:lang w:val="en-US"/>
        </w:rPr>
        <w:t>from</w:t>
      </w:r>
      <w:r w:rsidRPr="005B0583">
        <w:t xml:space="preserve"> a second UE</w:t>
      </w:r>
      <w:r w:rsidRPr="005B0583">
        <w:rPr>
          <w:lang w:val="en-US"/>
        </w:rPr>
        <w:t>,</w:t>
      </w:r>
    </w:p>
    <w:p w14:paraId="64553EE4" w14:textId="38D9A93C" w:rsidR="00083A49" w:rsidRPr="005B0583" w:rsidRDefault="00083A49" w:rsidP="00083A49">
      <w:pPr>
        <w:pStyle w:val="B1"/>
        <w:rPr>
          <w:lang w:val="en-US"/>
        </w:rPr>
      </w:pPr>
      <w:r w:rsidRPr="005B0583">
        <w:t>-</w:t>
      </w:r>
      <w:r w:rsidRPr="005B0583">
        <w:tab/>
      </w:r>
      <w:r w:rsidRPr="005B0583">
        <w:rPr>
          <w:lang w:val="en-US"/>
        </w:rPr>
        <w:t xml:space="preserve">detects a second SCI format 1-A that includes a second priority value,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Pr="005B0583">
        <w:rPr>
          <w:lang w:val="en-US"/>
        </w:rPr>
        <w:t xml:space="preserve">, and </w:t>
      </w:r>
      <w:r>
        <w:rPr>
          <w:lang w:val="en-US"/>
        </w:rPr>
        <w:t>the</w:t>
      </w:r>
      <w:r w:rsidRPr="005B0583">
        <w:t xml:space="preserve"> second </w:t>
      </w:r>
      <w:r w:rsidRPr="005B0583">
        <w:rPr>
          <w:lang w:val="en-US"/>
        </w:rPr>
        <w:t xml:space="preserve">reserved resource </w:t>
      </w:r>
      <w:r w:rsidRPr="005B0583">
        <w:t xml:space="preserve">for PSSCH transmission </w:t>
      </w:r>
      <w:r w:rsidRPr="005B0583">
        <w:rPr>
          <w:lang w:val="en-US"/>
        </w:rPr>
        <w:t>from</w:t>
      </w:r>
      <w:r w:rsidRPr="005B0583">
        <w:t xml:space="preserve"> a </w:t>
      </w:r>
      <w:r w:rsidRPr="005B0583">
        <w:rPr>
          <w:lang w:val="en-US"/>
        </w:rPr>
        <w:t>third</w:t>
      </w:r>
      <w:r w:rsidRPr="005B0583">
        <w:t xml:space="preserve"> </w:t>
      </w:r>
      <w:r w:rsidRPr="005B0583">
        <w:rPr>
          <w:lang w:val="en-US"/>
        </w:rPr>
        <w:t>UE, and</w:t>
      </w:r>
    </w:p>
    <w:p w14:paraId="355AABA3" w14:textId="5D0F53BB" w:rsidR="00083A49" w:rsidRDefault="00083A49" w:rsidP="00083A49">
      <w:pPr>
        <w:pStyle w:val="B1"/>
        <w:rPr>
          <w:lang w:val="en-US"/>
        </w:rPr>
      </w:pPr>
      <w:bookmarkStart w:id="914" w:name="_Hlk88594368"/>
      <w:r w:rsidRPr="005B0583">
        <w:t>-</w:t>
      </w:r>
      <w:r w:rsidRPr="005B0583">
        <w:tab/>
      </w:r>
      <w:r w:rsidRPr="005B0583">
        <w:rPr>
          <w:lang w:val="en-US"/>
        </w:rPr>
        <w:t>determines that the first and second resources overlap in time and frequency</w:t>
      </w:r>
    </w:p>
    <w:p w14:paraId="068C2106" w14:textId="2591A9F5" w:rsidR="00B26273" w:rsidRPr="00B26273" w:rsidRDefault="00B26273" w:rsidP="00B26273">
      <w:pPr>
        <w:pStyle w:val="B1"/>
        <w:rPr>
          <w:lang w:val="en-US"/>
        </w:rPr>
      </w:pPr>
      <w:r w:rsidRPr="00B26273">
        <w:rPr>
          <w:lang w:val="en-US"/>
        </w:rPr>
        <w:t>-</w:t>
      </w:r>
      <w:r w:rsidRPr="00B26273">
        <w:rPr>
          <w:lang w:val="en-US"/>
        </w:rPr>
        <w:tab/>
        <w:t xml:space="preserve">the PSFCH occasions for resource conflict information of the second UE and the third UE are </w:t>
      </w:r>
      <w:r w:rsidR="0008079E">
        <w:rPr>
          <w:lang w:val="en-US"/>
        </w:rPr>
        <w:t>not passed</w:t>
      </w:r>
    </w:p>
    <w:p w14:paraId="48DB9FA6" w14:textId="5EA82E73" w:rsidR="00B26273" w:rsidRPr="00B26273" w:rsidRDefault="00B26273" w:rsidP="00B26273">
      <w:pPr>
        <w:pStyle w:val="B1"/>
      </w:pPr>
      <w:r w:rsidRPr="00B26273">
        <w:rPr>
          <w:lang w:val="en-US"/>
        </w:rPr>
        <w:t>-</w:t>
      </w:r>
      <w:r w:rsidRPr="00B26273">
        <w:rPr>
          <w:lang w:val="en-US"/>
        </w:rPr>
        <w:tab/>
        <w:t xml:space="preserve">the </w:t>
      </w:r>
      <w:r w:rsidR="00112A81">
        <w:rPr>
          <w:rFonts w:eastAsia="Gulim"/>
          <w:kern w:val="2"/>
          <w:lang w:eastAsia="ja-JP"/>
        </w:rPr>
        <w:t>conflict information receiver</w:t>
      </w:r>
      <w:r w:rsidRPr="00B26273">
        <w:rPr>
          <w:rFonts w:eastAsia="Gulim"/>
          <w:lang w:val="en-US" w:eastAsia="ja-JP"/>
        </w:rPr>
        <w:t xml:space="preserve"> flag in SCI Format 1-A from the second UE and the third UE is set to 1, if </w:t>
      </w:r>
      <w:r w:rsidR="00112A81" w:rsidRPr="0095285C">
        <w:rPr>
          <w:rFonts w:eastAsia="Gulim"/>
          <w:i/>
          <w:lang w:val="en-US" w:eastAsia="ja-JP"/>
        </w:rPr>
        <w:t>sl-</w:t>
      </w:r>
      <w:r w:rsidR="00DA1AB5">
        <w:rPr>
          <w:rFonts w:eastAsia="Gulim"/>
          <w:i/>
          <w:lang w:val="en-US" w:eastAsia="ja-JP"/>
        </w:rPr>
        <w:t>I</w:t>
      </w:r>
      <w:r w:rsidR="00DA1AB5" w:rsidRPr="00B26273">
        <w:rPr>
          <w:rFonts w:eastAsia="Gulim"/>
          <w:i/>
          <w:lang w:val="en-US" w:eastAsia="ja-JP"/>
        </w:rPr>
        <w:t>ndicationUE</w:t>
      </w:r>
      <w:r w:rsidR="00112A81">
        <w:rPr>
          <w:rFonts w:eastAsia="Gulim"/>
          <w:i/>
          <w:lang w:val="en-US" w:eastAsia="ja-JP"/>
        </w:rPr>
        <w:t>-</w:t>
      </w:r>
      <w:r w:rsidRPr="00B26273">
        <w:rPr>
          <w:rFonts w:eastAsia="Gulim"/>
          <w:i/>
          <w:lang w:val="en-US" w:eastAsia="ja-JP"/>
        </w:rPr>
        <w:t>B</w:t>
      </w:r>
      <w:r w:rsidRPr="00B26273">
        <w:rPr>
          <w:rFonts w:eastAsia="Gulim"/>
          <w:lang w:val="en-US" w:eastAsia="ja-JP"/>
        </w:rPr>
        <w:t xml:space="preserve"> = </w:t>
      </w:r>
      <w:r w:rsidR="00F22988">
        <w:rPr>
          <w:rFonts w:eastAsia="Gulim"/>
          <w:lang w:val="en-US" w:eastAsia="ja-JP"/>
        </w:rPr>
        <w:t>'</w:t>
      </w:r>
      <w:r w:rsidRPr="00B26273">
        <w:rPr>
          <w:rFonts w:eastAsia="Gulim"/>
          <w:lang w:val="en-US" w:eastAsia="ja-JP"/>
        </w:rPr>
        <w:t>enabled</w:t>
      </w:r>
      <w:r w:rsidR="00F22988">
        <w:rPr>
          <w:rFonts w:eastAsia="Gulim"/>
          <w:lang w:val="en-US" w:eastAsia="ja-JP"/>
        </w:rPr>
        <w:t>'</w:t>
      </w:r>
      <w:r w:rsidRPr="00B26273">
        <w:t xml:space="preserve"> </w:t>
      </w:r>
    </w:p>
    <w:p w14:paraId="300C2485" w14:textId="3BB7EBDB" w:rsidR="00B26273" w:rsidRPr="00B26273" w:rsidRDefault="00B26273" w:rsidP="00083A49">
      <w:pPr>
        <w:pStyle w:val="B1"/>
        <w:rPr>
          <w:lang w:val="en-US"/>
        </w:rPr>
      </w:pPr>
      <w:r w:rsidRPr="00B26273">
        <w:t>-</w:t>
      </w:r>
      <w:r w:rsidRPr="00B26273">
        <w:tab/>
      </w:r>
      <w:r w:rsidRPr="00B26273">
        <w:rPr>
          <w:lang w:val="en-US"/>
        </w:rPr>
        <w:t xml:space="preserve">determines the first SCI format 1-A and the second SCI format 1-A are not received later than </w:t>
      </w:r>
      <w:r w:rsidRPr="00B26273">
        <w:rPr>
          <w:i/>
          <w:iCs/>
          <w:lang w:val="en-US"/>
        </w:rPr>
        <w:t>sl-MinTimeGapPSFCH</w:t>
      </w:r>
      <w:r w:rsidRPr="00B26273">
        <w:rPr>
          <w:lang w:val="en-US"/>
        </w:rPr>
        <w:t xml:space="preserve"> before the PSFCH occasion for conflict information</w:t>
      </w:r>
    </w:p>
    <w:bookmarkEnd w:id="914"/>
    <w:p w14:paraId="72775AE3" w14:textId="64575B94" w:rsidR="00083A49" w:rsidRPr="00B26273" w:rsidRDefault="00083A49" w:rsidP="00083A49">
      <w:pPr>
        <w:pStyle w:val="B1"/>
        <w:rPr>
          <w:lang w:val="en-US"/>
        </w:rPr>
      </w:pPr>
      <w:r w:rsidRPr="00B26273">
        <w:t>-</w:t>
      </w:r>
      <w:r w:rsidRPr="00B26273">
        <w:tab/>
      </w:r>
      <w:r w:rsidRPr="00B26273">
        <w:rPr>
          <w:lang w:val="en-US"/>
        </w:rPr>
        <w:t>determines to transmit to the second UE the PSFCH with the conflict information</w:t>
      </w:r>
    </w:p>
    <w:p w14:paraId="06611FF9" w14:textId="43DF02FB" w:rsidR="00B26273" w:rsidRPr="00B26273" w:rsidRDefault="00B26273" w:rsidP="00083A49">
      <w:pPr>
        <w:pStyle w:val="B1"/>
        <w:rPr>
          <w:lang w:val="en-US"/>
        </w:rPr>
      </w:pPr>
      <w:r w:rsidRPr="00B26273">
        <w:rPr>
          <w:lang w:val="en-US"/>
        </w:rPr>
        <w:t>-</w:t>
      </w:r>
      <w:r w:rsidRPr="00B26273">
        <w:rPr>
          <w:lang w:val="en-US"/>
        </w:rPr>
        <w:tab/>
        <w:t xml:space="preserve">determines to transmit to either the second UE or the third UE the PSFCH with the conflict information, if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p>
    <w:p w14:paraId="67E6AC06" w14:textId="06DF46BD" w:rsidR="00083A49" w:rsidRPr="005B0583" w:rsidRDefault="00083A49" w:rsidP="00083A49">
      <w:r w:rsidRPr="005B0583">
        <w:t xml:space="preserve">The first UE can be provided conditions by </w:t>
      </w:r>
      <w:r w:rsidR="00112A81">
        <w:rPr>
          <w:i/>
          <w:iCs/>
        </w:rPr>
        <w:t>sl-OptionForCondition2-A-1</w:t>
      </w:r>
      <w:r w:rsidRPr="005B0583">
        <w:t xml:space="preserve"> to determine </w:t>
      </w:r>
      <w:r w:rsidRPr="005B0583">
        <w:rPr>
          <w:lang w:val="en-US"/>
        </w:rPr>
        <w:t>conflict of reserved resources</w:t>
      </w:r>
      <w:r w:rsidRPr="005B0583">
        <w:t xml:space="preserve"> in a resource pool</w:t>
      </w:r>
    </w:p>
    <w:p w14:paraId="1762623C" w14:textId="2ADC2E62" w:rsidR="00083A49" w:rsidRPr="005B0583" w:rsidRDefault="00083A49" w:rsidP="00083A49">
      <w:pPr>
        <w:pStyle w:val="B1"/>
        <w:rPr>
          <w:lang w:val="en-US"/>
        </w:rPr>
      </w:pPr>
      <w:r w:rsidRPr="005B0583">
        <w:t>-</w:t>
      </w:r>
      <w:r w:rsidRPr="005B0583">
        <w:tab/>
      </w:r>
      <w:r w:rsidRPr="005B0583">
        <w:rPr>
          <w:lang w:val="en-US"/>
        </w:rPr>
        <w:t xml:space="preserve">if </w:t>
      </w:r>
      <w:r w:rsidR="00112A81">
        <w:rPr>
          <w:i/>
          <w:iCs/>
        </w:rPr>
        <w:t>sl-OptionForCondition2-A-1</w:t>
      </w:r>
      <w:r w:rsidRPr="005B0583">
        <w:rPr>
          <w:lang w:val="en-US"/>
        </w:rPr>
        <w:t xml:space="preserve"> = </w:t>
      </w:r>
      <w:r w:rsidR="005E3B15">
        <w:rPr>
          <w:lang w:val="en-US"/>
        </w:rPr>
        <w:t>'</w:t>
      </w:r>
      <w:r w:rsidR="00494AC9">
        <w:rPr>
          <w:lang w:val="en-US"/>
        </w:rPr>
        <w:t>0</w:t>
      </w:r>
      <w:r w:rsidR="005E3B15">
        <w:rPr>
          <w:lang w:val="en-US"/>
        </w:rPr>
        <w:t>'</w:t>
      </w:r>
      <w:r w:rsidRPr="005B0583">
        <w:rPr>
          <w:lang w:val="en-US"/>
        </w:rPr>
        <w:t xml:space="preserve">, the first UE can be provided by, </w:t>
      </w:r>
      <w:r w:rsidR="00494AC9" w:rsidRPr="00DA49BB">
        <w:rPr>
          <w:i/>
          <w:iCs/>
          <w:lang w:val="en-US"/>
        </w:rPr>
        <w:t>sl-</w:t>
      </w:r>
      <w:r w:rsidRPr="005B0583">
        <w:rPr>
          <w:i/>
          <w:lang w:val="en-US"/>
        </w:rPr>
        <w:t xml:space="preserve">Thres-RSRP-List </w:t>
      </w:r>
      <m:oMath>
        <m:r>
          <w:rPr>
            <w:rFonts w:ascii="Cambria Math" w:hAnsi="Cambria Math"/>
            <w:lang w:val="en-US"/>
          </w:rPr>
          <m:t>Th</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j</m:t>
                </m:r>
              </m:sub>
            </m:sSub>
          </m:e>
        </m:d>
      </m:oMath>
      <w:r w:rsidRPr="005B0583">
        <w:rPr>
          <w:lang w:val="en-US"/>
        </w:rPr>
        <w:t xml:space="preserve">, a list of RSRP thresholds for each priority combination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j</m:t>
                </m:r>
              </m:sub>
            </m:sSub>
          </m:e>
        </m:d>
      </m:oMath>
      <w:r w:rsidRPr="005B0583">
        <w:rPr>
          <w:lang w:val="en-US"/>
        </w:rPr>
        <w:t xml:space="preserve"> [6, TS 38.214]</w:t>
      </w:r>
    </w:p>
    <w:p w14:paraId="345F5B88" w14:textId="77777777" w:rsidR="00083A49" w:rsidRPr="005B0583" w:rsidRDefault="00083A49" w:rsidP="00083A49">
      <w:pPr>
        <w:pStyle w:val="B2"/>
      </w:pPr>
      <w:r w:rsidRPr="005B0583">
        <w:t>-</w:t>
      </w:r>
      <w:r w:rsidRPr="005B0583">
        <w:tab/>
        <w:t>if the first UE is an intended receiver for PSSCH in a reserved resource of the second UE, the first UE determines a resource conflict if the RSRP [6, TS 38.214] of the third UE is above a threshold</w:t>
      </w:r>
      <m:oMath>
        <m:r>
          <w:rPr>
            <w:rFonts w:ascii="Cambria Math" w:hAnsi="Cambria Math"/>
          </w:rPr>
          <m:t xml:space="preserve"> Th</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e>
        </m:d>
      </m:oMath>
    </w:p>
    <w:p w14:paraId="4947520A" w14:textId="77777777" w:rsidR="00083A49" w:rsidRPr="005B0583" w:rsidRDefault="00083A49" w:rsidP="00083A49">
      <w:pPr>
        <w:pStyle w:val="B2"/>
      </w:pPr>
      <w:r w:rsidRPr="005B0583">
        <w:t>-</w:t>
      </w:r>
      <w:r w:rsidRPr="005B0583">
        <w:tab/>
        <w:t xml:space="preserve">if the </w:t>
      </w:r>
      <w:r>
        <w:t>first</w:t>
      </w:r>
      <w:r w:rsidRPr="005B0583">
        <w:t xml:space="preserve"> UE is an intended receiver for PSSCH in a reserved resource of the </w:t>
      </w:r>
      <w:r>
        <w:t>third</w:t>
      </w:r>
      <w:r w:rsidRPr="005B0583">
        <w:t xml:space="preserve"> UE, the first UE determines a resource conflict if the RSRP of the second UE is above a threshold</w:t>
      </w:r>
      <m:oMath>
        <m:r>
          <w:rPr>
            <w:rFonts w:ascii="Cambria Math" w:hAnsi="Cambria Math"/>
          </w:rPr>
          <m:t xml:space="preserve"> Th</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oMath>
    </w:p>
    <w:p w14:paraId="5023171C" w14:textId="51A34C94" w:rsidR="00083A49" w:rsidRPr="005B0583" w:rsidRDefault="00083A49" w:rsidP="00083A49">
      <w:pPr>
        <w:pStyle w:val="B1"/>
        <w:rPr>
          <w:lang w:val="en-US"/>
        </w:rPr>
      </w:pPr>
      <w:r w:rsidRPr="005B0583">
        <w:lastRenderedPageBreak/>
        <w:t>-</w:t>
      </w:r>
      <w:r w:rsidRPr="005B0583">
        <w:tab/>
      </w:r>
      <w:r w:rsidRPr="005B0583">
        <w:rPr>
          <w:lang w:val="en-US"/>
        </w:rPr>
        <w:t xml:space="preserve">if </w:t>
      </w:r>
      <w:r w:rsidR="00112A81">
        <w:rPr>
          <w:i/>
          <w:iCs/>
        </w:rPr>
        <w:t>sl-OptionForCondition2-A-1</w:t>
      </w:r>
      <w:r w:rsidRPr="005B0583">
        <w:rPr>
          <w:lang w:val="en-US"/>
        </w:rPr>
        <w:t xml:space="preserve"> = </w:t>
      </w:r>
      <w:r w:rsidR="005E3B15">
        <w:rPr>
          <w:lang w:val="en-US"/>
        </w:rPr>
        <w:t>'</w:t>
      </w:r>
      <w:r w:rsidR="00494AC9">
        <w:rPr>
          <w:lang w:val="en-US"/>
        </w:rPr>
        <w:t>1</w:t>
      </w:r>
      <w:r w:rsidR="005E3B15">
        <w:rPr>
          <w:lang w:val="en-US"/>
        </w:rPr>
        <w:t>'</w:t>
      </w:r>
      <w:r w:rsidRPr="005B0583">
        <w:rPr>
          <w:lang w:val="en-US"/>
        </w:rPr>
        <w:t>, the first UE can be provided a value</w:t>
      </w:r>
      <w:r w:rsidR="00494AC9">
        <w:rPr>
          <w:lang w:val="en-US"/>
        </w:rPr>
        <w:t xml:space="preserve"> </w:t>
      </w:r>
      <m:oMath>
        <m:r>
          <w:rPr>
            <w:rFonts w:ascii="Cambria Math" w:hAnsi="Cambria Math"/>
          </w:rPr>
          <m:t>deltaRSRPThresh</m:t>
        </m:r>
      </m:oMath>
      <w:r w:rsidR="00494AC9" w:rsidRPr="005B0583">
        <w:rPr>
          <w:lang w:val="en-US"/>
        </w:rPr>
        <w:t xml:space="preserve"> by </w:t>
      </w:r>
      <w:r w:rsidR="00494AC9" w:rsidRPr="000F410D">
        <w:rPr>
          <w:i/>
          <w:iCs/>
          <w:lang w:val="en-US"/>
        </w:rPr>
        <w:t>sl-</w:t>
      </w:r>
      <w:r w:rsidR="00494AC9">
        <w:rPr>
          <w:i/>
          <w:iCs/>
          <w:lang w:val="en-US"/>
        </w:rPr>
        <w:t>D</w:t>
      </w:r>
      <w:r w:rsidR="00494AC9" w:rsidRPr="005B0583">
        <w:rPr>
          <w:i/>
          <w:iCs/>
          <w:lang w:val="en-US"/>
        </w:rPr>
        <w:t>eltaRSRP</w:t>
      </w:r>
      <w:r w:rsidR="00494AC9">
        <w:rPr>
          <w:i/>
          <w:iCs/>
          <w:lang w:val="en-US"/>
        </w:rPr>
        <w:t>-</w:t>
      </w:r>
      <w:r w:rsidR="00494AC9" w:rsidRPr="005B0583">
        <w:rPr>
          <w:i/>
          <w:iCs/>
          <w:lang w:val="en-US"/>
        </w:rPr>
        <w:t>Thresh</w:t>
      </w:r>
      <w:r w:rsidRPr="005B0583">
        <w:rPr>
          <w:lang w:val="en-US"/>
        </w:rPr>
        <w:t xml:space="preserve"> </w:t>
      </w:r>
    </w:p>
    <w:p w14:paraId="6D3A5FF7" w14:textId="3BE8968E" w:rsidR="00083A49" w:rsidRPr="005B0583" w:rsidRDefault="00083A49" w:rsidP="00083A49">
      <w:pPr>
        <w:pStyle w:val="B2"/>
      </w:pPr>
      <w:r w:rsidRPr="005B0583">
        <w:t>-</w:t>
      </w:r>
      <w:r w:rsidRPr="005B0583">
        <w:tab/>
        <w:t xml:space="preserve">if the first UE is an intended receiver for PSSCH in a reserved resource of the second UE, the first UE determines a resource conflict if </w:t>
      </w:r>
      <m:oMath>
        <m:r>
          <w:rPr>
            <w:rFonts w:ascii="Cambria Math" w:hAnsi="Cambria Math"/>
          </w:rPr>
          <m:t>RSR</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&gt;RSR</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+deltaRSRPThresh</m:t>
        </m:r>
      </m:oMath>
      <w:r w:rsidRPr="005B0583">
        <w:t xml:space="preserve">, where </w:t>
      </w:r>
      <m:oMath>
        <m:r>
          <w:rPr>
            <w:rFonts w:ascii="Cambria Math" w:hAnsi="Cambria Math"/>
          </w:rPr>
          <m:t>RSR</m:t>
        </m:r>
        <m:sSub>
          <m:sSubPr>
            <m:ctrlPr>
              <w:rPr>
                <w:rFonts w:ascii="Cambria Math" w:hAnsi="Cambria Math"/>
                <w:i/>
              </w:rPr>
            </m:ctrlPr>
          </m:sSubPr>
          <m:e>
            <m:r>
              <w:rPr>
                <w:rFonts w:ascii="Cambria Math" w:hAnsi="Cambria Math"/>
              </w:rPr>
              <m:t>P</m:t>
            </m:r>
          </m:e>
          <m:sub>
            <m:r>
              <w:rPr>
                <w:rFonts w:ascii="Cambria Math" w:hAnsi="Cambria Math"/>
              </w:rPr>
              <m:t>1</m:t>
            </m:r>
          </m:sub>
        </m:sSub>
      </m:oMath>
      <w:r w:rsidRPr="005B0583">
        <w:t xml:space="preserve"> and </w:t>
      </w:r>
      <m:oMath>
        <m:r>
          <w:rPr>
            <w:rFonts w:ascii="Cambria Math" w:hAnsi="Cambria Math"/>
          </w:rPr>
          <m:t>RSR</m:t>
        </m:r>
        <m:sSub>
          <m:sSubPr>
            <m:ctrlPr>
              <w:rPr>
                <w:rFonts w:ascii="Cambria Math" w:hAnsi="Cambria Math"/>
                <w:i/>
              </w:rPr>
            </m:ctrlPr>
          </m:sSubPr>
          <m:e>
            <m:r>
              <w:rPr>
                <w:rFonts w:ascii="Cambria Math" w:hAnsi="Cambria Math"/>
              </w:rPr>
              <m:t>P</m:t>
            </m:r>
          </m:e>
          <m:sub>
            <m:r>
              <w:rPr>
                <w:rFonts w:ascii="Cambria Math" w:hAnsi="Cambria Math"/>
              </w:rPr>
              <m:t>2</m:t>
            </m:r>
          </m:sub>
        </m:sSub>
      </m:oMath>
      <w:r w:rsidRPr="005B0583">
        <w:t xml:space="preserve"> are the RSRP measurements from the first UE for the second UE and the third UE, respectively</w:t>
      </w:r>
    </w:p>
    <w:p w14:paraId="73807BEA" w14:textId="2B6773C4" w:rsidR="00083A49" w:rsidRPr="005B0583" w:rsidRDefault="00083A49" w:rsidP="00083A49">
      <w:pPr>
        <w:pStyle w:val="B2"/>
      </w:pPr>
      <w:r w:rsidRPr="005B0583">
        <w:t>-</w:t>
      </w:r>
      <w:r w:rsidRPr="005B0583">
        <w:tab/>
        <w:t xml:space="preserve">if the </w:t>
      </w:r>
      <w:r>
        <w:t>first</w:t>
      </w:r>
      <w:r w:rsidRPr="005B0583">
        <w:t xml:space="preserve"> UE is an intended receiver for PSSCH in a reserved resource of the </w:t>
      </w:r>
      <w:r>
        <w:t>third</w:t>
      </w:r>
      <w:r w:rsidRPr="005B0583">
        <w:t xml:space="preserve"> UE, the first UE determines a resource conflict if </w:t>
      </w:r>
      <m:oMath>
        <m:r>
          <w:rPr>
            <w:rFonts w:ascii="Cambria Math" w:hAnsi="Cambria Math"/>
          </w:rPr>
          <m:t>RSR</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&gt;RSR</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+deltaRSRPThresh</m:t>
        </m:r>
      </m:oMath>
    </w:p>
    <w:p w14:paraId="231EC382" w14:textId="00BDB00C" w:rsidR="00083A49" w:rsidRPr="005B0583" w:rsidRDefault="00083A49" w:rsidP="00083A49">
      <w:r w:rsidRPr="005B0583">
        <w:t xml:space="preserve">If a UE transmits a PSFCH with conflict information corresponding to a reserved resource indicated in an SCI format 1-A, the UE transmits the PSFCH in the resource pool in a slot determined based on </w:t>
      </w:r>
      <w:r w:rsidR="00CC33A9">
        <w:rPr>
          <w:i/>
        </w:rPr>
        <w:t>sl-PSFCH-Occasion</w:t>
      </w:r>
    </w:p>
    <w:p w14:paraId="39B0FEE5" w14:textId="77777777" w:rsidR="00A463CE" w:rsidRDefault="00083A49" w:rsidP="00083A49">
      <w:pPr>
        <w:pStyle w:val="B1"/>
        <w:rPr>
          <w:lang w:val="en-US"/>
        </w:rPr>
      </w:pPr>
      <w:r>
        <w:rPr>
          <w:lang w:val="en-US"/>
        </w:rPr>
        <w:t>-</w:t>
      </w:r>
      <w:r>
        <w:rPr>
          <w:lang w:val="en-US"/>
        </w:rPr>
        <w:tab/>
      </w:r>
      <w:r w:rsidRPr="005B0583">
        <w:rPr>
          <w:lang w:val="en-US"/>
        </w:rPr>
        <w:t xml:space="preserve">If </w:t>
      </w:r>
      <w:r w:rsidR="00CC33A9">
        <w:rPr>
          <w:i/>
        </w:rPr>
        <w:t>sl-PSFCH-Occasion</w:t>
      </w:r>
      <w:r w:rsidRPr="005B0583">
        <w:rPr>
          <w:lang w:val="en-US"/>
        </w:rPr>
        <w:t xml:space="preserve"> = </w:t>
      </w:r>
      <w:r w:rsidR="00CC33A9">
        <w:rPr>
          <w:lang w:val="en-US"/>
        </w:rPr>
        <w:t>'</w:t>
      </w:r>
      <w:r w:rsidR="00CC33A9">
        <w:rPr>
          <w:iCs/>
          <w:lang w:val="en-US"/>
        </w:rPr>
        <w:t>0</w:t>
      </w:r>
      <w:r w:rsidR="00CC33A9">
        <w:rPr>
          <w:lang w:val="en-US"/>
        </w:rPr>
        <w:t>'</w:t>
      </w:r>
      <w:r w:rsidRPr="005B0583">
        <w:rPr>
          <w:lang w:val="en-US"/>
        </w:rPr>
        <w:t xml:space="preserve">, </w:t>
      </w:r>
    </w:p>
    <w:p w14:paraId="6E3F23AC" w14:textId="6B52E7EB" w:rsidR="00083A49" w:rsidRDefault="00A463CE" w:rsidP="00A463CE">
      <w:pPr>
        <w:pStyle w:val="B2"/>
        <w:rPr>
          <w:lang w:val="en-US"/>
        </w:rPr>
      </w:pPr>
      <w:r>
        <w:rPr>
          <w:lang w:val="en-US"/>
        </w:rPr>
        <w:t>-</w:t>
      </w:r>
      <w:r>
        <w:rPr>
          <w:lang w:val="en-US"/>
        </w:rPr>
        <w:tab/>
        <w:t xml:space="preserve">for operation without shared spectrum channel access, </w:t>
      </w:r>
      <w:r w:rsidR="00083A49" w:rsidRPr="005B0583">
        <w:t xml:space="preserve">the UE transmits the PSFCH in a first slot that includes PSFCH resources and is at least a number of slots, provided by </w:t>
      </w:r>
      <w:r w:rsidR="00083A49" w:rsidRPr="005B0583">
        <w:rPr>
          <w:i/>
          <w:iCs/>
        </w:rPr>
        <w:t>sl-</w:t>
      </w:r>
      <w:r w:rsidR="00083A49" w:rsidRPr="005B0583">
        <w:rPr>
          <w:i/>
        </w:rPr>
        <w:t>MinTimeGapPSFCH</w:t>
      </w:r>
      <w:r w:rsidR="00083A49">
        <w:rPr>
          <w:lang w:val="en-US"/>
        </w:rPr>
        <w:t>, of</w:t>
      </w:r>
      <w:r w:rsidR="00083A49" w:rsidRPr="005B0583">
        <w:t xml:space="preserve"> the resource pool </w:t>
      </w:r>
      <w:r w:rsidR="00083A49" w:rsidRPr="005B0583">
        <w:rPr>
          <w:lang w:val="en-US"/>
        </w:rPr>
        <w:t>after</w:t>
      </w:r>
      <w:r w:rsidR="00083A49" w:rsidRPr="005B0583">
        <w:t xml:space="preserve"> </w:t>
      </w:r>
      <w:r w:rsidR="00083A49" w:rsidRPr="005B0583">
        <w:rPr>
          <w:lang w:val="en-US"/>
        </w:rPr>
        <w:t>a slot of a PSCCH reception that provides the SCI format 1-A</w:t>
      </w:r>
      <w:r w:rsidR="00083A49" w:rsidRPr="005B0583">
        <w:t>.</w:t>
      </w:r>
      <w:r w:rsidR="00083A49" w:rsidRPr="005B0583">
        <w:rPr>
          <w:lang w:val="en-US"/>
        </w:rPr>
        <w:t xml:space="preserve"> The PSFCH resource is in a slot that is at least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3</m:t>
            </m:r>
          </m:sub>
        </m:sSub>
      </m:oMath>
      <w:r w:rsidR="00083A49" w:rsidRPr="005B0583">
        <w:rPr>
          <w:lang w:val="en-US"/>
        </w:rPr>
        <w:t xml:space="preserve"> slots [6, TS 38.214] before the resource associated with the conflict information</w:t>
      </w:r>
      <w:r w:rsidR="00B26273" w:rsidRPr="007053C7">
        <w:rPr>
          <w:lang w:val="en-US"/>
        </w:rPr>
        <w:t>; otherwise, the UE does not transmit the PSFCH with conflict information</w:t>
      </w:r>
      <w:r w:rsidR="00083A49" w:rsidRPr="005B0583">
        <w:rPr>
          <w:lang w:val="en-US"/>
        </w:rPr>
        <w:t>.</w:t>
      </w:r>
    </w:p>
    <w:p w14:paraId="10E6EA00" w14:textId="5C364DA5" w:rsidR="00A463CE" w:rsidRPr="00A463CE" w:rsidRDefault="00A463CE" w:rsidP="00A463CE">
      <w:pPr>
        <w:pStyle w:val="B2"/>
        <w:rPr>
          <w:lang w:val="en-US"/>
        </w:rPr>
      </w:pPr>
      <w:r w:rsidRPr="00A463CE">
        <w:rPr>
          <w:lang w:val="en-US"/>
        </w:rPr>
        <w:t>-</w:t>
      </w:r>
      <w:r w:rsidRPr="00A463CE">
        <w:rPr>
          <w:lang w:val="en-US"/>
        </w:rPr>
        <w:tab/>
        <w:t xml:space="preserve">for operation with shared spectrum channel access, </w:t>
      </w:r>
      <w:r w:rsidRPr="00A463CE">
        <w:t xml:space="preserve">the UE can attempt to transmit the PSFCH over a number of first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occasion</m:t>
            </m:r>
          </m:sub>
          <m:sup>
            <m:r>
              <m:rPr>
                <m:sty m:val="p"/>
              </m:rPr>
              <w:rPr>
                <w:rFonts w:ascii="Cambria Math" w:hAnsi="Cambria Math"/>
              </w:rPr>
              <m:t>PSFCH</m:t>
            </m:r>
          </m:sup>
        </m:sSubSup>
      </m:oMath>
      <w:r w:rsidRPr="00A463CE">
        <w:t xml:space="preserve"> slots, provided by </w:t>
      </w:r>
      <w:r w:rsidR="00257A05">
        <w:rPr>
          <w:i/>
        </w:rPr>
        <w:t>sl-NumPSFCH-Occasions</w:t>
      </w:r>
      <w:r w:rsidRPr="00A463CE">
        <w:rPr>
          <w:i/>
        </w:rPr>
        <w:t xml:space="preserve"> </w:t>
      </w:r>
      <w:r w:rsidRPr="00A463CE">
        <w:t>and indexed from 1 to</w:t>
      </w:r>
      <w:r w:rsidRPr="00A463CE">
        <w:rPr>
          <w:i/>
        </w:rPr>
        <w:t xml:space="preserv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occasion</m:t>
            </m:r>
          </m:sub>
          <m:sup>
            <m:r>
              <m:rPr>
                <m:sty m:val="p"/>
              </m:rPr>
              <w:rPr>
                <w:rFonts w:ascii="Cambria Math" w:hAnsi="Cambria Math"/>
              </w:rPr>
              <m:t>PSFCH</m:t>
            </m:r>
          </m:sup>
        </m:sSubSup>
      </m:oMath>
      <w:r w:rsidRPr="00A463CE">
        <w:rPr>
          <w:iCs/>
        </w:rPr>
        <w:t xml:space="preserve"> </w:t>
      </w:r>
      <w:r w:rsidRPr="00A463CE">
        <w:t xml:space="preserve">in ascending order in time, that include PSFCH resources and are at least a number of slots, provided by </w:t>
      </w:r>
      <w:r w:rsidRPr="00A463CE">
        <w:rPr>
          <w:i/>
          <w:iCs/>
        </w:rPr>
        <w:t>sl-</w:t>
      </w:r>
      <w:r w:rsidRPr="00A463CE">
        <w:rPr>
          <w:i/>
        </w:rPr>
        <w:t>MinTimeGapPSFCH</w:t>
      </w:r>
      <w:r w:rsidRPr="00A463CE">
        <w:t xml:space="preserve">, of the resource pool after a last slot of a PSCCH reception that provides the SCI format 1-A. If the PSFCH resource is in a slot within the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occasion</m:t>
            </m:r>
          </m:sub>
          <m:sup>
            <m:r>
              <m:rPr>
                <m:sty m:val="p"/>
              </m:rPr>
              <w:rPr>
                <w:rFonts w:ascii="Cambria Math" w:hAnsi="Cambria Math"/>
              </w:rPr>
              <m:t>PSFCH</m:t>
            </m:r>
          </m:sup>
        </m:sSubSup>
      </m:oMath>
      <w:r w:rsidRPr="00A463CE">
        <w:t xml:space="preserve"> slots that is at least </w:t>
      </w:r>
      <m:oMath>
        <m:sSub>
          <m:sSubPr>
            <m:ctrlPr>
              <w:rPr>
                <w:rFonts w:ascii="Cambria Math" w:hAnsi="Cambria Math"/>
              </w:rPr>
            </m:ctrlPr>
          </m:sSubPr>
          <m:e>
            <m:r>
              <w:rPr>
                <w:rFonts w:ascii="Cambria Math" w:hAnsi="Cambria Math"/>
              </w:rPr>
              <m:t>T</m:t>
            </m:r>
          </m:e>
          <m:sub>
            <m:r>
              <m:rPr>
                <m:sty m:val="p"/>
              </m:rPr>
              <w:rPr>
                <w:rFonts w:ascii="Cambria Math" w:hAnsi="Cambria Math"/>
              </w:rPr>
              <m:t>3</m:t>
            </m:r>
          </m:sub>
        </m:sSub>
      </m:oMath>
      <w:r w:rsidRPr="00A463CE">
        <w:t xml:space="preserve"> slots before the resource associated with conflict information, the UE can attempt to transmit the PSFCH with conflict information in the slot; otherwise, the UE does not transmit the PSFCH with conflict information in the slot.</w:t>
      </w:r>
    </w:p>
    <w:p w14:paraId="44F17C74" w14:textId="77777777" w:rsidR="00A463CE" w:rsidRDefault="00083A49" w:rsidP="00083A49">
      <w:pPr>
        <w:pStyle w:val="B1"/>
        <w:rPr>
          <w:lang w:val="en-US"/>
        </w:rPr>
      </w:pPr>
      <w:r>
        <w:rPr>
          <w:lang w:val="en-US"/>
        </w:rPr>
        <w:t>-</w:t>
      </w:r>
      <w:r>
        <w:rPr>
          <w:lang w:val="en-US"/>
        </w:rPr>
        <w:tab/>
      </w:r>
      <w:r w:rsidRPr="005B0583">
        <w:rPr>
          <w:lang w:val="en-US"/>
        </w:rPr>
        <w:t xml:space="preserve">If </w:t>
      </w:r>
      <w:r w:rsidR="00CC33A9">
        <w:rPr>
          <w:i/>
        </w:rPr>
        <w:t>sl-PSFCH-Occasion</w:t>
      </w:r>
      <w:r w:rsidRPr="005B0583">
        <w:rPr>
          <w:lang w:val="en-US"/>
        </w:rPr>
        <w:t xml:space="preserve"> = </w:t>
      </w:r>
      <w:r w:rsidR="00CC33A9">
        <w:rPr>
          <w:lang w:val="en-US"/>
        </w:rPr>
        <w:t>'</w:t>
      </w:r>
      <w:r w:rsidR="00CC33A9">
        <w:rPr>
          <w:iCs/>
          <w:lang w:val="en-US"/>
        </w:rPr>
        <w:t>1</w:t>
      </w:r>
      <w:r w:rsidR="00CC33A9">
        <w:rPr>
          <w:lang w:val="en-US"/>
        </w:rPr>
        <w:t>'</w:t>
      </w:r>
      <w:r w:rsidRPr="005B0583">
        <w:rPr>
          <w:lang w:val="en-US"/>
        </w:rPr>
        <w:t xml:space="preserve">, </w:t>
      </w:r>
    </w:p>
    <w:p w14:paraId="509DBE16" w14:textId="7FF9DC9C" w:rsidR="00083A49" w:rsidRDefault="00A463CE" w:rsidP="00A463CE">
      <w:pPr>
        <w:pStyle w:val="B2"/>
      </w:pPr>
      <w:r>
        <w:t>-</w:t>
      </w:r>
      <w:r>
        <w:tab/>
        <w:t xml:space="preserve">for operation without shared spectrum channel access, </w:t>
      </w:r>
      <w:r w:rsidR="00083A49" w:rsidRPr="005B0583">
        <w:t xml:space="preserve">the UE transmits the PSFCH in a latest slot that includes PSFCH resources and is at least </w:t>
      </w:r>
      <m:oMath>
        <m:sSub>
          <m:sSubPr>
            <m:ctrlPr>
              <w:rPr>
                <w:rFonts w:ascii="Cambria Math" w:hAnsi="Cambria Math"/>
                <w:i/>
                <w:iCs/>
              </w:rPr>
            </m:ctrlPr>
          </m:sSubPr>
          <m:e>
            <m:r>
              <w:rPr>
                <w:rFonts w:ascii="Cambria Math" w:hAnsi="Cambria Math"/>
              </w:rPr>
              <m:t>T</m:t>
            </m:r>
          </m:e>
          <m:sub>
            <m:r>
              <w:rPr>
                <w:rFonts w:ascii="Cambria Math" w:hAnsi="Cambria Math"/>
              </w:rPr>
              <m:t>3</m:t>
            </m:r>
          </m:sub>
        </m:sSub>
      </m:oMath>
      <w:r w:rsidR="00083A49" w:rsidRPr="005B0583">
        <w:t xml:space="preserve"> </w:t>
      </w:r>
      <w:r w:rsidR="00083A49">
        <w:t xml:space="preserve">slots </w:t>
      </w:r>
      <w:r w:rsidR="004226AF" w:rsidRPr="004F3EC4">
        <w:rPr>
          <w:rFonts w:hint="eastAsia"/>
          <w:lang w:eastAsia="zh-CN"/>
        </w:rPr>
        <w:t xml:space="preserve">of the resource pool </w:t>
      </w:r>
      <w:r w:rsidR="00083A49" w:rsidRPr="005B0583">
        <w:t>before a slot of the resource associated with conflict information. The PSFCH resource is in a slot that is at least</w:t>
      </w:r>
      <w:r w:rsidR="00B26273">
        <w:t xml:space="preserve"> </w:t>
      </w:r>
      <w:bookmarkStart w:id="915" w:name="_Hlk99744670"/>
      <w:r w:rsidR="00B26273" w:rsidRPr="007053C7">
        <w:rPr>
          <w:rFonts w:cs="Times"/>
          <w:i/>
        </w:rPr>
        <w:t>sl-MinTimeGapPSFCH</w:t>
      </w:r>
      <w:bookmarkEnd w:id="915"/>
      <w:r w:rsidR="00083A49" w:rsidRPr="005B0583">
        <w:t xml:space="preserve"> slots after a slot of a PSCCH reception that provides the SCI format 1-A</w:t>
      </w:r>
      <w:r w:rsidR="00B26273" w:rsidRPr="007053C7">
        <w:t>; otherwise, the UE does not transmit the PSFCH with conflict information</w:t>
      </w:r>
      <w:r w:rsidR="00B26273">
        <w:t>.</w:t>
      </w:r>
    </w:p>
    <w:p w14:paraId="26A10F0B" w14:textId="2A4DAD00" w:rsidR="00A463CE" w:rsidRDefault="00A463CE" w:rsidP="00A463CE">
      <w:pPr>
        <w:pStyle w:val="B2"/>
      </w:pPr>
      <w:r w:rsidRPr="00A463CE">
        <w:t>-</w:t>
      </w:r>
      <w:r w:rsidRPr="00A463CE">
        <w:tab/>
        <w:t xml:space="preserve">for operation with shared spectrum channel access, the UE can attempt to transmit the PSFCH over a latest number of </w:t>
      </w:r>
      <m:oMath>
        <m:sSubSup>
          <m:sSubSupPr>
            <m:ctrlPr>
              <w:rPr>
                <w:rFonts w:ascii="Cambria Math" w:hAnsi="Cambria Math"/>
              </w:rPr>
            </m:ctrlPr>
          </m:sSubSupPr>
          <m:e>
            <m:r>
              <w:rPr>
                <w:rFonts w:ascii="Cambria Math" w:hAnsi="Cambria Math"/>
              </w:rPr>
              <m:t>N</m:t>
            </m:r>
          </m:e>
          <m:sub>
            <m:r>
              <m:rPr>
                <m:sty m:val="p"/>
              </m:rPr>
              <w:rPr>
                <w:rFonts w:ascii="Cambria Math" w:hAnsi="Cambria Math"/>
              </w:rPr>
              <m:t>occasion</m:t>
            </m:r>
          </m:sub>
          <m:sup>
            <m:r>
              <m:rPr>
                <m:sty m:val="p"/>
              </m:rPr>
              <w:rPr>
                <w:rFonts w:ascii="Cambria Math" w:hAnsi="Cambria Math"/>
              </w:rPr>
              <m:t>PSFCH</m:t>
            </m:r>
          </m:sup>
        </m:sSubSup>
      </m:oMath>
      <w:r w:rsidRPr="00A463CE">
        <w:t xml:space="preserve"> slots, provided by </w:t>
      </w:r>
      <w:r w:rsidR="00257A05">
        <w:rPr>
          <w:i/>
        </w:rPr>
        <w:t>sl-NumPSFCH-Occasions</w:t>
      </w:r>
      <w:r w:rsidRPr="00A463CE">
        <w:t xml:space="preserve"> and indexed from 1 to </w:t>
      </w:r>
      <m:oMath>
        <m:sSubSup>
          <m:sSubSupPr>
            <m:ctrlPr>
              <w:rPr>
                <w:rFonts w:ascii="Cambria Math" w:hAnsi="Cambria Math"/>
              </w:rPr>
            </m:ctrlPr>
          </m:sSubSupPr>
          <m:e>
            <m:r>
              <w:rPr>
                <w:rFonts w:ascii="Cambria Math" w:hAnsi="Cambria Math"/>
              </w:rPr>
              <m:t>N</m:t>
            </m:r>
          </m:e>
          <m:sub>
            <m:r>
              <m:rPr>
                <m:sty m:val="p"/>
              </m:rPr>
              <w:rPr>
                <w:rFonts w:ascii="Cambria Math" w:hAnsi="Cambria Math"/>
              </w:rPr>
              <m:t>occasion</m:t>
            </m:r>
          </m:sub>
          <m:sup>
            <m:r>
              <m:rPr>
                <m:sty m:val="p"/>
              </m:rPr>
              <w:rPr>
                <w:rFonts w:ascii="Cambria Math" w:hAnsi="Cambria Math"/>
              </w:rPr>
              <m:t>PSFCH</m:t>
            </m:r>
          </m:sup>
        </m:sSubSup>
      </m:oMath>
      <w:r w:rsidRPr="00A463CE">
        <w:t xml:space="preserve"> in ascending order in time, that include PSFCH resources and are at least </w:t>
      </w:r>
      <m:oMath>
        <m:sSub>
          <m:sSubPr>
            <m:ctrlPr>
              <w:rPr>
                <w:rFonts w:ascii="Cambria Math" w:hAnsi="Cambria Math"/>
              </w:rPr>
            </m:ctrlPr>
          </m:sSubPr>
          <m:e>
            <m:r>
              <w:rPr>
                <w:rFonts w:ascii="Cambria Math" w:hAnsi="Cambria Math"/>
              </w:rPr>
              <m:t>T</m:t>
            </m:r>
          </m:e>
          <m:sub>
            <m:r>
              <m:rPr>
                <m:sty m:val="p"/>
              </m:rPr>
              <w:rPr>
                <w:rFonts w:ascii="Cambria Math" w:hAnsi="Cambria Math"/>
              </w:rPr>
              <m:t>3</m:t>
            </m:r>
          </m:sub>
        </m:sSub>
      </m:oMath>
      <w:r w:rsidRPr="00A463CE">
        <w:t xml:space="preserve"> slots </w:t>
      </w:r>
      <w:r w:rsidRPr="00A463CE">
        <w:rPr>
          <w:rFonts w:hint="eastAsia"/>
        </w:rPr>
        <w:t xml:space="preserve">of the resource pool </w:t>
      </w:r>
      <w:r w:rsidRPr="00A463CE">
        <w:t xml:space="preserve">before a slot of the resource associated with conflict information. If the PSFCH resource is in a slot that is at least </w:t>
      </w:r>
      <w:r w:rsidRPr="00A463CE">
        <w:rPr>
          <w:i/>
        </w:rPr>
        <w:t>sl-MinTimeGapPSFCH</w:t>
      </w:r>
      <w:r w:rsidRPr="00A463CE">
        <w:t xml:space="preserve"> slots after a slot of a PSCCH reception that provides the SCI format 1-A, the UE can attempt to transmit the PSFCH with conflict information in the slot; otherwise, the UE does not transmit the PSFCH with conflict information in the slot.</w:t>
      </w:r>
    </w:p>
    <w:p w14:paraId="2987D4D9" w14:textId="77777777" w:rsidR="00083A49" w:rsidRPr="005B0583" w:rsidRDefault="00083A49" w:rsidP="00083A49">
      <w:pPr>
        <w:pStyle w:val="Heading3"/>
        <w:rPr>
          <w:rFonts w:eastAsia="Malgun Gothic"/>
        </w:rPr>
      </w:pPr>
      <w:bookmarkStart w:id="916" w:name="_Toc161999180"/>
      <w:bookmarkStart w:id="917" w:name="_Toc45699243"/>
      <w:bookmarkStart w:id="918" w:name="_Toc83289715"/>
      <w:r w:rsidRPr="005B0583">
        <w:rPr>
          <w:rFonts w:eastAsia="Malgun Gothic"/>
        </w:rPr>
        <w:t>16.3.1</w:t>
      </w:r>
      <w:r w:rsidRPr="005B0583">
        <w:rPr>
          <w:rFonts w:eastAsia="Malgun Gothic" w:hint="eastAsia"/>
        </w:rPr>
        <w:tab/>
      </w:r>
      <w:r w:rsidRPr="005B0583">
        <w:rPr>
          <w:rFonts w:eastAsia="Malgun Gothic"/>
        </w:rPr>
        <w:t>UE procedure for receiving PSFCH with control information</w:t>
      </w:r>
      <w:bookmarkEnd w:id="916"/>
      <w:r w:rsidRPr="005B0583" w:rsidDel="00CB3973">
        <w:rPr>
          <w:rFonts w:eastAsia="Malgun Gothic"/>
        </w:rPr>
        <w:t xml:space="preserve"> </w:t>
      </w:r>
      <w:bookmarkEnd w:id="917"/>
      <w:bookmarkEnd w:id="918"/>
    </w:p>
    <w:p w14:paraId="23B9876F" w14:textId="354D4E01" w:rsidR="000A759C" w:rsidRPr="005F1AB1" w:rsidRDefault="000A759C" w:rsidP="000A759C">
      <w:pPr>
        <w:rPr>
          <w:rFonts w:eastAsia="Malgun Gothic"/>
        </w:rPr>
      </w:pPr>
      <w:r w:rsidRPr="005F1AB1">
        <w:rPr>
          <w:rFonts w:eastAsiaTheme="minorEastAsia"/>
        </w:rPr>
        <w:t>A UE that transmitted a PSSCH scheduled by a SCI format 2-A</w:t>
      </w:r>
      <w:r w:rsidR="00B26273">
        <w:rPr>
          <w:rFonts w:eastAsiaTheme="minorEastAsia"/>
        </w:rPr>
        <w:t>/2-B/2-C</w:t>
      </w:r>
      <w:r w:rsidRPr="005F1AB1">
        <w:rPr>
          <w:rFonts w:eastAsiaTheme="minorEastAsia"/>
        </w:rPr>
        <w:t xml:space="preserve"> that indicates HARQ feedback enabled, attempts to receive associated PSFCHs </w:t>
      </w:r>
      <w:r w:rsidR="00083A49" w:rsidRPr="005B0583">
        <w:rPr>
          <w:rFonts w:eastAsiaTheme="minorEastAsia"/>
        </w:rPr>
        <w:t xml:space="preserve">with HARQ-ACK information </w:t>
      </w:r>
      <w:r w:rsidRPr="005F1AB1">
        <w:rPr>
          <w:rFonts w:eastAsiaTheme="minorEastAsia"/>
        </w:rPr>
        <w:t xml:space="preserve">according to PSFCH resources determined as described </w:t>
      </w:r>
      <w:r w:rsidR="006F5F9E">
        <w:rPr>
          <w:rFonts w:eastAsiaTheme="minorEastAsia"/>
        </w:rPr>
        <w:t>in clause</w:t>
      </w:r>
      <w:r w:rsidRPr="005F1AB1">
        <w:rPr>
          <w:rFonts w:eastAsiaTheme="minorEastAsia"/>
        </w:rPr>
        <w:t xml:space="preserve"> 16.3</w:t>
      </w:r>
      <w:r w:rsidR="00083A49" w:rsidRPr="005B0583">
        <w:rPr>
          <w:rFonts w:eastAsiaTheme="minorEastAsia"/>
        </w:rPr>
        <w:t>.0</w:t>
      </w:r>
      <w:r w:rsidRPr="005F1AB1">
        <w:rPr>
          <w:rFonts w:eastAsiaTheme="minorEastAsia"/>
          <w:lang w:eastAsia="zh-CN"/>
        </w:rPr>
        <w:t>.</w:t>
      </w:r>
      <w:r>
        <w:rPr>
          <w:rFonts w:eastAsiaTheme="minorEastAsia"/>
          <w:lang w:eastAsia="zh-CN"/>
        </w:rPr>
        <w:t xml:space="preserve"> </w:t>
      </w:r>
      <w:r w:rsidRPr="005F1AB1">
        <w:rPr>
          <w:rFonts w:eastAsiaTheme="minorEastAsia"/>
          <w:lang w:eastAsia="zh-CN"/>
        </w:rPr>
        <w:t>The UE determines an ACK or a NACK value for HARQ-ACK information provided in each PSFCH resource as described in [</w:t>
      </w:r>
      <w:r w:rsidR="00D378BB">
        <w:rPr>
          <w:rFonts w:eastAsiaTheme="minorEastAsia"/>
          <w:lang w:eastAsia="zh-CN"/>
        </w:rPr>
        <w:t>8-4, TS 38.101-4</w:t>
      </w:r>
      <w:r w:rsidRPr="005F1AB1">
        <w:rPr>
          <w:rFonts w:eastAsiaTheme="minorEastAsia"/>
          <w:lang w:eastAsia="zh-CN"/>
        </w:rPr>
        <w:t xml:space="preserve">]. </w:t>
      </w:r>
      <w:r w:rsidRPr="005F1AB1">
        <w:rPr>
          <w:rFonts w:eastAsiaTheme="minorEastAsia"/>
        </w:rPr>
        <w:t xml:space="preserve">The UE does not determine both an ACK value and a NACK value at a same time for a PSFCH resource. </w:t>
      </w:r>
    </w:p>
    <w:p w14:paraId="1F8D6C44" w14:textId="16D2E5F5" w:rsidR="000A759C" w:rsidRPr="005F1AB1" w:rsidRDefault="000A759C" w:rsidP="000A759C">
      <w:pPr>
        <w:rPr>
          <w:rFonts w:eastAsiaTheme="minorEastAsia"/>
        </w:rPr>
      </w:pPr>
      <w:r w:rsidRPr="005F1AB1">
        <w:rPr>
          <w:rFonts w:eastAsiaTheme="minorEastAsia"/>
        </w:rPr>
        <w:t xml:space="preserve">For each PSFCH reception occasion, </w:t>
      </w:r>
      <w:r w:rsidRPr="005F1AB1">
        <w:t xml:space="preserve">from a number of PSFCH reception occasions, </w:t>
      </w:r>
      <w:r w:rsidRPr="005F1AB1">
        <w:rPr>
          <w:rFonts w:eastAsiaTheme="minorEastAsia"/>
        </w:rPr>
        <w:t>the UE generates HARQ-ACK information to report to</w:t>
      </w:r>
      <w:r w:rsidRPr="005F1AB1">
        <w:rPr>
          <w:rFonts w:eastAsia="Malgun Gothic"/>
        </w:rPr>
        <w:t xml:space="preserve"> higher layers</w:t>
      </w:r>
      <w:r w:rsidRPr="005F1AB1">
        <w:rPr>
          <w:rFonts w:eastAsiaTheme="minorEastAsia"/>
        </w:rPr>
        <w:t xml:space="preserve">. </w:t>
      </w:r>
      <w:r w:rsidR="00704CDD" w:rsidRPr="007C178D">
        <w:rPr>
          <w:rFonts w:eastAsiaTheme="minorEastAsia"/>
        </w:rPr>
        <w:t xml:space="preserve">For operation with shared spectrum channel access, the </w:t>
      </w:r>
      <w:r w:rsidR="00704CDD" w:rsidRPr="007C178D">
        <w:rPr>
          <w:bCs/>
        </w:rPr>
        <w:t xml:space="preserve">UE </w:t>
      </w:r>
      <w:r w:rsidR="00704CDD" w:rsidRPr="007C178D">
        <w:rPr>
          <w:rFonts w:eastAsiaTheme="minorEastAsia"/>
        </w:rPr>
        <w:t xml:space="preserve">attempts to receive PSFCH on </w:t>
      </w:r>
      <m:oMath>
        <m:sSubSup>
          <m:sSubSupPr>
            <m:ctrlPr>
              <w:rPr>
                <w:rFonts w:ascii="Cambria Math" w:eastAsia="MS PGothic" w:hAnsi="Cambria Math"/>
                <w:i/>
              </w:rPr>
            </m:ctrlPr>
          </m:sSubSupPr>
          <m:e>
            <m:r>
              <w:rPr>
                <w:rFonts w:ascii="Cambria Math" w:hAnsi="Cambria Math"/>
              </w:rPr>
              <m:t>N</m:t>
            </m:r>
          </m:e>
          <m:sub>
            <m:r>
              <m:rPr>
                <m:sty m:val="p"/>
              </m:rPr>
              <w:rPr>
                <w:rFonts w:ascii="Cambria Math" w:hAnsi="Cambria Math"/>
              </w:rPr>
              <m:t>occasion</m:t>
            </m:r>
          </m:sub>
          <m:sup>
            <m:r>
              <m:rPr>
                <m:sty m:val="p"/>
              </m:rPr>
              <w:rPr>
                <w:rFonts w:ascii="Cambria Math" w:hAnsi="Cambria Math"/>
              </w:rPr>
              <m:t>PSFCH</m:t>
            </m:r>
          </m:sup>
        </m:sSubSup>
      </m:oMath>
      <w:r w:rsidR="00704CDD" w:rsidRPr="007C178D">
        <w:rPr>
          <w:bCs/>
        </w:rPr>
        <w:t xml:space="preserve"> PSFCH occasion(s), as described in clause 16.3.0, until the UE detects one PSFCH </w:t>
      </w:r>
      <w:r w:rsidR="00704CDD">
        <w:rPr>
          <w:bCs/>
        </w:rPr>
        <w:t xml:space="preserve">from each UE expected to transmit a PSFCH, </w:t>
      </w:r>
      <w:r w:rsidR="00704CDD" w:rsidRPr="007C178D">
        <w:rPr>
          <w:bCs/>
        </w:rPr>
        <w:t xml:space="preserve">or the UE attempts to receive PSFCH on all the </w:t>
      </w:r>
      <m:oMath>
        <m:sSubSup>
          <m:sSubSupPr>
            <m:ctrlPr>
              <w:rPr>
                <w:rFonts w:ascii="Cambria Math" w:eastAsia="MS PGothic" w:hAnsi="Cambria Math"/>
                <w:i/>
              </w:rPr>
            </m:ctrlPr>
          </m:sSubSupPr>
          <m:e>
            <m:r>
              <w:rPr>
                <w:rFonts w:ascii="Cambria Math" w:hAnsi="Cambria Math"/>
              </w:rPr>
              <m:t>N</m:t>
            </m:r>
          </m:e>
          <m:sub>
            <m:r>
              <m:rPr>
                <m:sty m:val="p"/>
              </m:rPr>
              <w:rPr>
                <w:rFonts w:ascii="Cambria Math" w:hAnsi="Cambria Math"/>
              </w:rPr>
              <m:t>occasion</m:t>
            </m:r>
          </m:sub>
          <m:sup>
            <m:r>
              <m:rPr>
                <m:sty m:val="p"/>
              </m:rPr>
              <w:rPr>
                <w:rFonts w:ascii="Cambria Math" w:hAnsi="Cambria Math"/>
              </w:rPr>
              <m:t>PSFCH</m:t>
            </m:r>
          </m:sup>
        </m:sSubSup>
      </m:oMath>
      <w:r w:rsidR="00704CDD" w:rsidRPr="007C178D">
        <w:rPr>
          <w:bCs/>
        </w:rPr>
        <w:t xml:space="preserve"> PSFCH occasion(s).</w:t>
      </w:r>
      <w:r w:rsidR="00704CDD" w:rsidRPr="007C178D">
        <w:rPr>
          <w:rFonts w:eastAsiaTheme="minorEastAsia"/>
        </w:rPr>
        <w:t xml:space="preserve"> </w:t>
      </w:r>
      <w:r w:rsidRPr="005F1AB1">
        <w:rPr>
          <w:rFonts w:eastAsiaTheme="minorEastAsia"/>
        </w:rPr>
        <w:t xml:space="preserve">For generating the HARQ-ACK information, the UE can be indicated by a SCI format to perform one of the following </w:t>
      </w:r>
    </w:p>
    <w:p w14:paraId="0F7F365C" w14:textId="08499FEF" w:rsidR="000A759C" w:rsidRPr="00063793" w:rsidRDefault="000A759C" w:rsidP="00D27C15">
      <w:pPr>
        <w:pStyle w:val="B1"/>
        <w:rPr>
          <w:rFonts w:eastAsiaTheme="minorEastAsia"/>
          <w:lang w:val="en-GB"/>
        </w:rPr>
      </w:pPr>
      <w:r>
        <w:rPr>
          <w:rFonts w:eastAsiaTheme="minorEastAsia"/>
          <w:bCs/>
          <w:kern w:val="32"/>
          <w:lang w:eastAsia="zh-CN"/>
        </w:rPr>
        <w:t>-</w:t>
      </w:r>
      <w:r>
        <w:rPr>
          <w:rFonts w:eastAsiaTheme="minorEastAsia"/>
          <w:bCs/>
          <w:kern w:val="32"/>
          <w:lang w:eastAsia="zh-CN"/>
        </w:rPr>
        <w:tab/>
      </w:r>
      <w:r w:rsidRPr="005F1AB1">
        <w:rPr>
          <w:rFonts w:eastAsiaTheme="minorEastAsia"/>
          <w:bCs/>
          <w:kern w:val="32"/>
          <w:lang w:eastAsia="zh-CN"/>
        </w:rPr>
        <w:t>if</w:t>
      </w:r>
      <w:r w:rsidRPr="005F1AB1">
        <w:t xml:space="preserve"> the UE receives a PSFCH associated with a SCI format 2-A with Cast type indicator field value of "10"</w:t>
      </w:r>
      <w:r w:rsidR="00063793">
        <w:rPr>
          <w:lang w:val="en-GB"/>
        </w:rPr>
        <w:t xml:space="preserve"> </w:t>
      </w:r>
      <w:r w:rsidR="00063793" w:rsidRPr="007053C7">
        <w:rPr>
          <w:rFonts w:eastAsia="Malgun Gothic"/>
        </w:rPr>
        <w:t xml:space="preserve">or </w:t>
      </w:r>
      <w:r w:rsidR="00063793" w:rsidRPr="007053C7">
        <w:rPr>
          <w:rFonts w:eastAsia="Malgun Gothic"/>
          <w:lang w:val="en-US"/>
        </w:rPr>
        <w:t xml:space="preserve">a </w:t>
      </w:r>
      <w:r w:rsidR="00063793" w:rsidRPr="007053C7">
        <w:rPr>
          <w:rFonts w:eastAsia="Malgun Gothic"/>
        </w:rPr>
        <w:t>SCI format 2-C</w:t>
      </w:r>
    </w:p>
    <w:p w14:paraId="1E55301B" w14:textId="3F3D9EA2" w:rsidR="000A759C" w:rsidRPr="005F1AB1" w:rsidRDefault="000A759C" w:rsidP="00D27C15">
      <w:pPr>
        <w:pStyle w:val="B2"/>
        <w:rPr>
          <w:lang w:eastAsia="zh-CN"/>
        </w:rPr>
      </w:pPr>
      <w:r>
        <w:rPr>
          <w:lang w:eastAsia="zh-CN"/>
        </w:rPr>
        <w:t>-</w:t>
      </w:r>
      <w:r>
        <w:rPr>
          <w:lang w:eastAsia="zh-CN"/>
        </w:rPr>
        <w:tab/>
      </w:r>
      <w:r w:rsidRPr="005F1AB1">
        <w:rPr>
          <w:lang w:eastAsia="zh-CN"/>
        </w:rPr>
        <w:t>report to higher layer</w:t>
      </w:r>
      <w:r w:rsidRPr="005F1AB1">
        <w:rPr>
          <w:lang w:val="en-US" w:eastAsia="zh-CN"/>
        </w:rPr>
        <w:t>s</w:t>
      </w:r>
      <w:r w:rsidRPr="005F1AB1">
        <w:rPr>
          <w:lang w:eastAsia="zh-CN"/>
        </w:rPr>
        <w:t xml:space="preserve"> HARQ-ACK information with same value as a value of HARQ-ACK information </w:t>
      </w:r>
      <w:r w:rsidRPr="005F1AB1">
        <w:rPr>
          <w:lang w:val="en-US" w:eastAsia="zh-CN"/>
        </w:rPr>
        <w:t xml:space="preserve">that </w:t>
      </w:r>
      <w:r w:rsidRPr="005F1AB1">
        <w:rPr>
          <w:lang w:eastAsia="zh-CN"/>
        </w:rPr>
        <w:t xml:space="preserve">the UE determines from the PSFCH reception </w:t>
      </w:r>
      <w:r w:rsidR="00704CDD">
        <w:rPr>
          <w:lang w:val="en-US" w:eastAsia="zh-CN"/>
        </w:rPr>
        <w:t>for operation without shared spectrum channel access,</w:t>
      </w:r>
      <w:r w:rsidR="00704CDD" w:rsidRPr="005F1AB1">
        <w:rPr>
          <w:lang w:eastAsia="zh-CN"/>
        </w:rPr>
        <w:t xml:space="preserve"> </w:t>
      </w:r>
      <w:r w:rsidR="00704CDD">
        <w:rPr>
          <w:lang w:val="en-US" w:eastAsia="zh-CN"/>
        </w:rPr>
        <w:t xml:space="preserve">or from </w:t>
      </w:r>
      <w:r w:rsidR="00704CDD">
        <w:rPr>
          <w:lang w:val="en-US" w:eastAsia="zh-CN"/>
        </w:rPr>
        <w:lastRenderedPageBreak/>
        <w:t xml:space="preserve">the PSFCH reception(s) on </w:t>
      </w:r>
      <m:oMath>
        <m:sSubSup>
          <m:sSubSupPr>
            <m:ctrlPr>
              <w:rPr>
                <w:rFonts w:ascii="Cambria Math" w:eastAsia="MS PGothic" w:hAnsi="Cambria Math"/>
                <w:i/>
              </w:rPr>
            </m:ctrlPr>
          </m:sSubSupPr>
          <m:e>
            <m:r>
              <w:rPr>
                <w:rFonts w:ascii="Cambria Math" w:hAnsi="Cambria Math"/>
              </w:rPr>
              <m:t>N</m:t>
            </m:r>
          </m:e>
          <m:sub>
            <m:r>
              <m:rPr>
                <m:sty m:val="p"/>
              </m:rPr>
              <w:rPr>
                <w:rFonts w:ascii="Cambria Math" w:hAnsi="Cambria Math"/>
              </w:rPr>
              <m:t>occasion</m:t>
            </m:r>
          </m:sub>
          <m:sup>
            <m:r>
              <m:rPr>
                <m:sty m:val="p"/>
              </m:rPr>
              <w:rPr>
                <w:rFonts w:ascii="Cambria Math" w:hAnsi="Cambria Math"/>
              </w:rPr>
              <m:t>PSFCH</m:t>
            </m:r>
          </m:sup>
        </m:sSubSup>
      </m:oMath>
      <w:r w:rsidR="00704CDD">
        <w:rPr>
          <w:rFonts w:eastAsia="MS Mincho"/>
        </w:rPr>
        <w:t xml:space="preserve"> PSFCH reception occasion(s),</w:t>
      </w:r>
      <w:r w:rsidR="00704CDD">
        <w:rPr>
          <w:rFonts w:eastAsia="MS Mincho"/>
          <w:lang w:val="en-US"/>
        </w:rPr>
        <w:t xml:space="preserve"> as described in clause 16.3.0, for operation with shared spectrum channel access</w:t>
      </w:r>
    </w:p>
    <w:p w14:paraId="452336A1" w14:textId="074E1CC2" w:rsidR="000A759C" w:rsidRPr="005F1AB1" w:rsidRDefault="000A759C" w:rsidP="00D27C15">
      <w:pPr>
        <w:pStyle w:val="B1"/>
        <w:rPr>
          <w:rFonts w:eastAsiaTheme="minorEastAsia"/>
          <w:bCs/>
          <w:kern w:val="32"/>
          <w:lang w:eastAsia="zh-CN"/>
        </w:rPr>
      </w:pPr>
      <w:r>
        <w:rPr>
          <w:rFonts w:eastAsiaTheme="minorEastAsia"/>
          <w:bCs/>
          <w:kern w:val="32"/>
          <w:lang w:eastAsia="zh-CN"/>
        </w:rPr>
        <w:t>-</w:t>
      </w:r>
      <w:r>
        <w:rPr>
          <w:rFonts w:eastAsiaTheme="minorEastAsia"/>
          <w:bCs/>
          <w:kern w:val="32"/>
          <w:lang w:eastAsia="zh-CN"/>
        </w:rPr>
        <w:tab/>
      </w:r>
      <w:r w:rsidRPr="005F1AB1">
        <w:rPr>
          <w:rFonts w:eastAsiaTheme="minorEastAsia"/>
          <w:bCs/>
          <w:kern w:val="32"/>
          <w:lang w:eastAsia="zh-CN"/>
        </w:rPr>
        <w:t>if</w:t>
      </w:r>
      <w:r w:rsidRPr="005F1AB1">
        <w:t xml:space="preserve"> the UE receives a PSFCH associated with a SCI format 2-A with Cast type indicator field value of "01"</w:t>
      </w:r>
      <w:r w:rsidRPr="005F1AB1">
        <w:rPr>
          <w:rFonts w:eastAsiaTheme="minorEastAsia"/>
          <w:bCs/>
          <w:kern w:val="32"/>
          <w:lang w:eastAsia="zh-CN"/>
        </w:rPr>
        <w:t xml:space="preserve"> </w:t>
      </w:r>
    </w:p>
    <w:p w14:paraId="72F38884" w14:textId="4F58BD5F" w:rsidR="000A759C" w:rsidRPr="005F1AB1" w:rsidRDefault="000A759C" w:rsidP="00D27C15">
      <w:pPr>
        <w:pStyle w:val="B2"/>
        <w:rPr>
          <w:rFonts w:eastAsiaTheme="minorEastAsia"/>
          <w:bCs/>
          <w:kern w:val="32"/>
          <w:lang w:eastAsia="zh-CN"/>
        </w:rPr>
      </w:pPr>
      <w:r>
        <w:rPr>
          <w:rFonts w:eastAsiaTheme="minorEastAsia"/>
        </w:rPr>
        <w:t>-</w:t>
      </w:r>
      <w:r>
        <w:rPr>
          <w:rFonts w:eastAsiaTheme="minorEastAsia"/>
        </w:rPr>
        <w:tab/>
      </w:r>
      <w:r w:rsidRPr="005F1AB1">
        <w:rPr>
          <w:rFonts w:eastAsiaTheme="minorEastAsia"/>
        </w:rPr>
        <w:t xml:space="preserve">report </w:t>
      </w:r>
      <w:r w:rsidRPr="005F1AB1">
        <w:rPr>
          <w:rFonts w:eastAsiaTheme="minorEastAsia"/>
          <w:lang w:val="en-US"/>
        </w:rPr>
        <w:t xml:space="preserve">an ACK value </w:t>
      </w:r>
      <w:r w:rsidRPr="005F1AB1">
        <w:rPr>
          <w:rFonts w:eastAsiaTheme="minorEastAsia"/>
        </w:rPr>
        <w:t>to higher layer</w:t>
      </w:r>
      <w:r w:rsidRPr="005F1AB1">
        <w:rPr>
          <w:rFonts w:eastAsiaTheme="minorEastAsia"/>
          <w:lang w:val="en-US"/>
        </w:rPr>
        <w:t>s</w:t>
      </w:r>
      <w:r w:rsidRPr="005F1AB1">
        <w:rPr>
          <w:lang w:val="en-US"/>
        </w:rPr>
        <w:t xml:space="preserve"> </w:t>
      </w:r>
      <w:r w:rsidRPr="005F1AB1">
        <w:t xml:space="preserve">if the UE determines </w:t>
      </w:r>
      <w:r w:rsidRPr="005F1AB1">
        <w:rPr>
          <w:lang w:val="en-US"/>
        </w:rPr>
        <w:t xml:space="preserve">an </w:t>
      </w:r>
      <w:r w:rsidRPr="005F1AB1">
        <w:t xml:space="preserve">ACK </w:t>
      </w:r>
      <w:r w:rsidRPr="005F1AB1">
        <w:rPr>
          <w:lang w:val="en-US"/>
        </w:rPr>
        <w:t xml:space="preserve">value </w:t>
      </w:r>
      <w:r w:rsidRPr="005F1AB1">
        <w:t xml:space="preserve">from at least one PSFCH reception occasion from the number of PSFCH reception occasions in PSFCH resources corresponding to every identity </w:t>
      </w:r>
      <m:oMath>
        <m:sSub>
          <m:sSubPr>
            <m:ctrlPr>
              <w:rPr>
                <w:rFonts w:ascii="Cambria Math" w:eastAsiaTheme="minorEastAsia" w:hAnsi="Cambria Math"/>
                <w:i/>
                <w:iCs/>
              </w:rPr>
            </m:ctrlPr>
          </m:sSubPr>
          <m:e>
            <m:r>
              <w:rPr>
                <w:rFonts w:ascii="Cambria Math" w:hAnsi="Cambria Math"/>
              </w:rPr>
              <m:t>M</m:t>
            </m:r>
          </m:e>
          <m:sub>
            <m:r>
              <m:rPr>
                <m:nor/>
              </m:rPr>
              <m:t>ID</m:t>
            </m:r>
            <m:ctrlPr>
              <w:rPr>
                <w:rFonts w:ascii="Cambria Math" w:eastAsiaTheme="minorEastAsia" w:hAnsi="Cambria Math"/>
              </w:rPr>
            </m:ctrlPr>
          </m:sub>
        </m:sSub>
      </m:oMath>
      <w:r w:rsidRPr="005F1AB1">
        <w:t xml:space="preserve"> of UEs that the UE expects to receive </w:t>
      </w:r>
      <w:r w:rsidRPr="005F1AB1">
        <w:rPr>
          <w:lang w:val="en-US"/>
        </w:rPr>
        <w:t xml:space="preserve">corresponding </w:t>
      </w:r>
      <w:r w:rsidRPr="005F1AB1">
        <w:t>PSSCH</w:t>
      </w:r>
      <w:r w:rsidRPr="005F1AB1">
        <w:rPr>
          <w:lang w:val="en-US"/>
        </w:rPr>
        <w:t>s</w:t>
      </w:r>
      <w:r w:rsidRPr="005F1AB1">
        <w:t xml:space="preserve"> as described </w:t>
      </w:r>
      <w:r w:rsidR="006F5F9E">
        <w:t>in clause</w:t>
      </w:r>
      <w:r w:rsidRPr="005F1AB1">
        <w:t xml:space="preserve"> 16.3; otherwise, report </w:t>
      </w:r>
      <w:r w:rsidRPr="005F1AB1">
        <w:rPr>
          <w:lang w:val="en-US"/>
        </w:rPr>
        <w:t xml:space="preserve">a </w:t>
      </w:r>
      <w:r w:rsidRPr="005F1AB1">
        <w:t>NACK</w:t>
      </w:r>
      <w:r w:rsidRPr="005F1AB1">
        <w:rPr>
          <w:rFonts w:eastAsiaTheme="minorEastAsia"/>
          <w:bCs/>
          <w:kern w:val="32"/>
          <w:lang w:eastAsia="zh-CN"/>
        </w:rPr>
        <w:t xml:space="preserve"> value to higher layers</w:t>
      </w:r>
    </w:p>
    <w:p w14:paraId="03C91B7B" w14:textId="71B65321" w:rsidR="000A759C" w:rsidRPr="005F1AB1" w:rsidRDefault="000A759C" w:rsidP="00D27C15">
      <w:pPr>
        <w:pStyle w:val="B1"/>
        <w:rPr>
          <w:rFonts w:eastAsiaTheme="minorEastAsia"/>
          <w:bCs/>
          <w:kern w:val="32"/>
          <w:lang w:eastAsia="zh-CN"/>
        </w:rPr>
      </w:pPr>
      <w:r>
        <w:rPr>
          <w:rFonts w:eastAsiaTheme="minorEastAsia"/>
          <w:bCs/>
          <w:kern w:val="32"/>
          <w:lang w:eastAsia="zh-CN"/>
        </w:rPr>
        <w:t>-</w:t>
      </w:r>
      <w:r>
        <w:rPr>
          <w:rFonts w:eastAsiaTheme="minorEastAsia"/>
          <w:bCs/>
          <w:kern w:val="32"/>
          <w:lang w:eastAsia="zh-CN"/>
        </w:rPr>
        <w:tab/>
      </w:r>
      <w:r w:rsidRPr="005F1AB1">
        <w:rPr>
          <w:rFonts w:eastAsiaTheme="minorEastAsia"/>
          <w:bCs/>
          <w:kern w:val="32"/>
          <w:lang w:eastAsia="zh-CN"/>
        </w:rPr>
        <w:t>if</w:t>
      </w:r>
      <w:r w:rsidRPr="005F1AB1">
        <w:t xml:space="preserve"> the PSFCH </w:t>
      </w:r>
      <w:r w:rsidR="007051AC">
        <w:t xml:space="preserve">reception occasion is </w:t>
      </w:r>
      <w:r w:rsidRPr="005F1AB1">
        <w:t>associated with a SCI format 2-B or a SCI format 2-A with Cast type indicator field value of "11"</w:t>
      </w:r>
    </w:p>
    <w:p w14:paraId="417E1DA6" w14:textId="3E893AB0" w:rsidR="00D27C15" w:rsidRDefault="000A759C" w:rsidP="00D27C15">
      <w:pPr>
        <w:pStyle w:val="B2"/>
        <w:rPr>
          <w:lang w:val="en-US" w:eastAsia="zh-CN"/>
        </w:rPr>
      </w:pPr>
      <w:r>
        <w:rPr>
          <w:lang w:eastAsia="zh-CN"/>
        </w:rPr>
        <w:t>-</w:t>
      </w:r>
      <w:r>
        <w:rPr>
          <w:lang w:eastAsia="zh-CN"/>
        </w:rPr>
        <w:tab/>
      </w:r>
      <w:r w:rsidRPr="005F1AB1">
        <w:rPr>
          <w:lang w:eastAsia="zh-CN"/>
        </w:rPr>
        <w:t>report to higher layer</w:t>
      </w:r>
      <w:r w:rsidRPr="005F1AB1">
        <w:rPr>
          <w:lang w:val="en-US" w:eastAsia="zh-CN"/>
        </w:rPr>
        <w:t>s</w:t>
      </w:r>
      <w:r w:rsidRPr="005F1AB1">
        <w:rPr>
          <w:lang w:eastAsia="zh-CN"/>
        </w:rPr>
        <w:t xml:space="preserve"> </w:t>
      </w:r>
      <w:r w:rsidRPr="005F1AB1">
        <w:rPr>
          <w:lang w:val="en-US" w:eastAsia="zh-CN"/>
        </w:rPr>
        <w:t xml:space="preserve">an </w:t>
      </w:r>
      <w:r w:rsidRPr="005F1AB1">
        <w:rPr>
          <w:lang w:eastAsia="zh-CN"/>
        </w:rPr>
        <w:t xml:space="preserve">ACK </w:t>
      </w:r>
      <w:r w:rsidRPr="005F1AB1">
        <w:rPr>
          <w:lang w:val="en-US" w:eastAsia="zh-CN"/>
        </w:rPr>
        <w:t>value if</w:t>
      </w:r>
      <w:r w:rsidRPr="005F1AB1">
        <w:rPr>
          <w:lang w:eastAsia="zh-CN"/>
        </w:rPr>
        <w:t xml:space="preserve"> the UE determines absence of PSFCH reception for the PSFCH reception occasion; otherwise, report </w:t>
      </w:r>
      <w:r w:rsidRPr="005F1AB1">
        <w:rPr>
          <w:lang w:val="en-US" w:eastAsia="zh-CN"/>
        </w:rPr>
        <w:t xml:space="preserve">a </w:t>
      </w:r>
      <w:r w:rsidRPr="005F1AB1">
        <w:rPr>
          <w:lang w:eastAsia="zh-CN"/>
        </w:rPr>
        <w:t xml:space="preserve">NACK </w:t>
      </w:r>
      <w:r w:rsidRPr="005F1AB1">
        <w:rPr>
          <w:lang w:val="en-US" w:eastAsia="zh-CN"/>
        </w:rPr>
        <w:t xml:space="preserve">value </w:t>
      </w:r>
      <w:r w:rsidRPr="005F1AB1">
        <w:rPr>
          <w:lang w:eastAsia="zh-CN"/>
        </w:rPr>
        <w:t>to higher layer</w:t>
      </w:r>
      <w:r w:rsidRPr="005F1AB1">
        <w:rPr>
          <w:lang w:val="en-US" w:eastAsia="zh-CN"/>
        </w:rPr>
        <w:t>s</w:t>
      </w:r>
    </w:p>
    <w:p w14:paraId="64E7397B" w14:textId="1E1BE748" w:rsidR="00083A49" w:rsidRDefault="00083A49" w:rsidP="00063793">
      <w:pPr>
        <w:rPr>
          <w:rFonts w:eastAsiaTheme="minorEastAsia"/>
          <w:lang w:val="en-US"/>
        </w:rPr>
      </w:pPr>
      <w:bookmarkStart w:id="919" w:name="_Toc83289716"/>
      <w:r w:rsidRPr="005B0583">
        <w:rPr>
          <w:lang w:val="en-US" w:eastAsia="zh-CN"/>
        </w:rPr>
        <w:t>A UE that transmitted SCI format 1-A, indicating one or more reserved resources</w:t>
      </w:r>
      <w:r w:rsidR="00063793">
        <w:rPr>
          <w:lang w:val="en-US" w:eastAsia="zh-CN"/>
        </w:rPr>
        <w:t xml:space="preserve"> </w:t>
      </w:r>
      <w:r w:rsidR="00063793" w:rsidRPr="007053C7">
        <w:rPr>
          <w:lang w:val="en-US" w:eastAsia="zh-CN"/>
        </w:rPr>
        <w:t>in a resource pool</w:t>
      </w:r>
      <w:r>
        <w:rPr>
          <w:lang w:val="en-US" w:eastAsia="zh-CN"/>
        </w:rPr>
        <w:t xml:space="preserve"> enabled by </w:t>
      </w:r>
      <w:r w:rsidR="002A1341" w:rsidRPr="00B777DE">
        <w:rPr>
          <w:i/>
          <w:iCs/>
          <w:lang w:val="en-US" w:eastAsia="zh-CN"/>
        </w:rPr>
        <w:t>sl-</w:t>
      </w:r>
      <w:r w:rsidR="002A1341">
        <w:rPr>
          <w:i/>
          <w:iCs/>
          <w:lang w:val="en-US" w:eastAsia="zh-CN"/>
        </w:rPr>
        <w:t>I</w:t>
      </w:r>
      <w:r w:rsidRPr="005B0583">
        <w:rPr>
          <w:i/>
        </w:rPr>
        <w:t>nterUE</w:t>
      </w:r>
      <w:r w:rsidR="002A1341">
        <w:rPr>
          <w:i/>
        </w:rPr>
        <w:t>-</w:t>
      </w:r>
      <w:r w:rsidRPr="005B0583">
        <w:rPr>
          <w:i/>
        </w:rPr>
        <w:t>CoordinationScheme2</w:t>
      </w:r>
      <w:r>
        <w:rPr>
          <w:lang w:val="en-US" w:eastAsia="zh-CN"/>
        </w:rPr>
        <w:t xml:space="preserve">, </w:t>
      </w:r>
      <w:r w:rsidRPr="005B0583">
        <w:rPr>
          <w:lang w:val="en-US" w:eastAsia="zh-CN"/>
        </w:rPr>
        <w:t xml:space="preserve">attempts to receive associated PSFCH with conflict information </w:t>
      </w:r>
      <w:r>
        <w:rPr>
          <w:lang w:val="en-US" w:eastAsia="zh-CN"/>
        </w:rPr>
        <w:t xml:space="preserve">in </w:t>
      </w:r>
      <w:r w:rsidR="004226AF">
        <w:rPr>
          <w:lang w:val="en-US" w:eastAsia="zh-CN"/>
        </w:rPr>
        <w:t xml:space="preserve">the </w:t>
      </w:r>
      <w:r>
        <w:rPr>
          <w:lang w:val="en-US" w:eastAsia="zh-CN"/>
        </w:rPr>
        <w:t xml:space="preserve">resource pool </w:t>
      </w:r>
      <w:r w:rsidR="00063793" w:rsidRPr="007053C7">
        <w:rPr>
          <w:rFonts w:eastAsiaTheme="minorEastAsia"/>
          <w:lang w:val="en-US"/>
        </w:rPr>
        <w:t>with</w:t>
      </w:r>
      <w:r w:rsidRPr="005B0583">
        <w:rPr>
          <w:rFonts w:eastAsiaTheme="minorEastAsia"/>
        </w:rPr>
        <w:t xml:space="preserve"> PSFCH resources </w:t>
      </w:r>
      <w:r w:rsidRPr="005B0583">
        <w:rPr>
          <w:rFonts w:eastAsiaTheme="minorEastAsia"/>
          <w:lang w:val="en-US"/>
        </w:rPr>
        <w:t xml:space="preserve">that the UE </w:t>
      </w:r>
      <w:r w:rsidRPr="005B0583">
        <w:rPr>
          <w:rFonts w:eastAsiaTheme="minorEastAsia"/>
        </w:rPr>
        <w:t>determine</w:t>
      </w:r>
      <w:r w:rsidRPr="005B0583">
        <w:rPr>
          <w:rFonts w:eastAsiaTheme="minorEastAsia"/>
          <w:lang w:val="en-US"/>
        </w:rPr>
        <w:t>s</w:t>
      </w:r>
      <w:r w:rsidRPr="005B0583">
        <w:rPr>
          <w:rFonts w:eastAsiaTheme="minorEastAsia"/>
        </w:rPr>
        <w:t xml:space="preserve"> as described in clause 16.3.0</w:t>
      </w:r>
      <w:r w:rsidRPr="005B0583">
        <w:rPr>
          <w:rFonts w:eastAsiaTheme="minorEastAsia"/>
          <w:lang w:val="en-US"/>
        </w:rPr>
        <w:t xml:space="preserve">. If the UE determines presence of a resource conflict based on </w:t>
      </w:r>
      <w:r>
        <w:rPr>
          <w:rFonts w:eastAsiaTheme="minorEastAsia"/>
          <w:lang w:val="en-US"/>
        </w:rPr>
        <w:t xml:space="preserve">conflict information in </w:t>
      </w:r>
      <w:r w:rsidRPr="005B0583">
        <w:rPr>
          <w:rFonts w:eastAsiaTheme="minorEastAsia"/>
          <w:lang w:val="en-US"/>
        </w:rPr>
        <w:t xml:space="preserve">a PSFCH reception, the UE </w:t>
      </w:r>
      <w:r>
        <w:rPr>
          <w:rFonts w:eastAsiaTheme="minorEastAsia"/>
          <w:lang w:val="en-US"/>
        </w:rPr>
        <w:t>reports the resource conflict to higher layers</w:t>
      </w:r>
    </w:p>
    <w:p w14:paraId="04973220" w14:textId="18113C65" w:rsidR="00063793" w:rsidRPr="007053C7" w:rsidRDefault="00063793" w:rsidP="00063793">
      <w:pPr>
        <w:pStyle w:val="B1"/>
        <w:rPr>
          <w:rFonts w:eastAsiaTheme="minorEastAsia"/>
        </w:rPr>
      </w:pPr>
      <w:r w:rsidRPr="007053C7">
        <w:rPr>
          <w:rFonts w:eastAsiaTheme="minorEastAsia"/>
          <w:bCs/>
          <w:kern w:val="32"/>
          <w:lang w:eastAsia="zh-CN"/>
        </w:rPr>
        <w:t>-</w:t>
      </w:r>
      <w:r w:rsidRPr="007053C7">
        <w:rPr>
          <w:rFonts w:eastAsiaTheme="minorEastAsia"/>
          <w:bCs/>
          <w:kern w:val="32"/>
          <w:lang w:eastAsia="zh-CN"/>
        </w:rPr>
        <w:tab/>
        <w:t>if</w:t>
      </w:r>
      <w:r w:rsidRPr="007053C7">
        <w:t xml:space="preserve"> </w:t>
      </w:r>
      <w:r w:rsidR="002A1341" w:rsidRPr="00B777DE">
        <w:rPr>
          <w:i/>
          <w:iCs/>
          <w:lang w:val="en-US" w:eastAsia="zh-CN"/>
        </w:rPr>
        <w:t>sl-</w:t>
      </w:r>
      <w:r w:rsidR="002A1341">
        <w:rPr>
          <w:i/>
          <w:iCs/>
          <w:lang w:val="en-US" w:eastAsia="zh-CN"/>
        </w:rPr>
        <w:t>S</w:t>
      </w:r>
      <w:r w:rsidRPr="007053C7">
        <w:rPr>
          <w:rFonts w:eastAsiaTheme="minorEastAsia"/>
          <w:i/>
          <w:lang w:val="en-US"/>
        </w:rPr>
        <w:t>lotLevelResourceExclusion</w:t>
      </w:r>
      <w:r w:rsidRPr="007053C7">
        <w:rPr>
          <w:lang w:val="en-US" w:eastAsia="zh-CN"/>
        </w:rPr>
        <w:t xml:space="preserve"> is not provided, the UE reports resources overlapping with a next in time reserved resource indicated by the SCI format 1-A</w:t>
      </w:r>
    </w:p>
    <w:p w14:paraId="376AAE32" w14:textId="368008A2" w:rsidR="00063793" w:rsidRPr="007053C7" w:rsidRDefault="00063793" w:rsidP="00063793">
      <w:pPr>
        <w:pStyle w:val="B1"/>
        <w:rPr>
          <w:rFonts w:eastAsiaTheme="minorEastAsia"/>
        </w:rPr>
      </w:pPr>
      <w:r w:rsidRPr="007053C7">
        <w:rPr>
          <w:rFonts w:eastAsiaTheme="minorEastAsia"/>
          <w:bCs/>
          <w:kern w:val="32"/>
          <w:lang w:eastAsia="zh-CN"/>
        </w:rPr>
        <w:t>-</w:t>
      </w:r>
      <w:r w:rsidRPr="007053C7">
        <w:rPr>
          <w:rFonts w:eastAsiaTheme="minorEastAsia"/>
          <w:bCs/>
          <w:kern w:val="32"/>
          <w:lang w:eastAsia="zh-CN"/>
        </w:rPr>
        <w:tab/>
        <w:t>if</w:t>
      </w:r>
      <w:r w:rsidRPr="007053C7">
        <w:t xml:space="preserve"> </w:t>
      </w:r>
      <w:r w:rsidR="002A1341" w:rsidRPr="00B777DE">
        <w:rPr>
          <w:i/>
          <w:iCs/>
          <w:lang w:val="en-US" w:eastAsia="zh-CN"/>
        </w:rPr>
        <w:t>sl-</w:t>
      </w:r>
      <w:r w:rsidR="002A1341">
        <w:rPr>
          <w:i/>
          <w:iCs/>
          <w:lang w:val="en-US" w:eastAsia="zh-CN"/>
        </w:rPr>
        <w:t>S</w:t>
      </w:r>
      <w:r w:rsidRPr="007053C7">
        <w:rPr>
          <w:rFonts w:eastAsiaTheme="minorEastAsia"/>
          <w:i/>
          <w:lang w:val="en-US"/>
        </w:rPr>
        <w:t>lotLevelResourceExclusion</w:t>
      </w:r>
      <w:r w:rsidRPr="007053C7">
        <w:rPr>
          <w:lang w:val="en-US" w:eastAsia="zh-CN"/>
        </w:rPr>
        <w:t xml:space="preserve"> is provided, the UE reports resources in a slot of a next in time reserved resource indicated by the SCI format 1-A</w:t>
      </w:r>
    </w:p>
    <w:p w14:paraId="12A99353" w14:textId="25ED3378" w:rsidR="00063793" w:rsidRDefault="00063793" w:rsidP="00063793">
      <w:pPr>
        <w:rPr>
          <w:i/>
        </w:rPr>
      </w:pPr>
      <w:r w:rsidRPr="007053C7">
        <w:t xml:space="preserve">If a UE receives a PSFCH with conflict information corresponding to a reserved resource indicated in an SCI format 1-A, the UE receives the PSFCH in the resource pool in a slot determined based on </w:t>
      </w:r>
      <w:r w:rsidR="002A1341" w:rsidRPr="00B777DE">
        <w:rPr>
          <w:i/>
          <w:iCs/>
          <w:lang w:val="en-US" w:eastAsia="zh-CN"/>
        </w:rPr>
        <w:t>sl-</w:t>
      </w:r>
      <w:r w:rsidRPr="007053C7">
        <w:rPr>
          <w:i/>
        </w:rPr>
        <w:t>PSFCH</w:t>
      </w:r>
      <w:r w:rsidR="00DA1AB5">
        <w:rPr>
          <w:i/>
        </w:rPr>
        <w:t>-</w:t>
      </w:r>
      <w:r w:rsidRPr="007053C7">
        <w:rPr>
          <w:i/>
        </w:rPr>
        <w:t>Occasion</w:t>
      </w:r>
    </w:p>
    <w:p w14:paraId="0A46FE49" w14:textId="03902010" w:rsidR="00704CDD" w:rsidRPr="00704CDD" w:rsidRDefault="00704CDD" w:rsidP="00704CDD">
      <w:pPr>
        <w:pStyle w:val="B1"/>
      </w:pPr>
      <w:r w:rsidRPr="00704CDD">
        <w:t>-</w:t>
      </w:r>
      <w:r w:rsidRPr="00704CDD">
        <w:tab/>
        <w:t xml:space="preserve">if </w:t>
      </w:r>
      <w:r w:rsidRPr="00704CDD">
        <w:rPr>
          <w:lang w:eastAsia="zh-CN"/>
        </w:rPr>
        <w:t>sl-</w:t>
      </w:r>
      <w:r w:rsidRPr="00704CDD">
        <w:t xml:space="preserve">PSFCH-Occasion = </w:t>
      </w:r>
      <w:r>
        <w:rPr>
          <w:lang w:val="en-GB"/>
        </w:rPr>
        <w:t>'</w:t>
      </w:r>
      <w:r w:rsidRPr="00704CDD">
        <w:t>0</w:t>
      </w:r>
      <w:r>
        <w:rPr>
          <w:lang w:val="en-GB"/>
        </w:rPr>
        <w:t>'</w:t>
      </w:r>
      <w:r w:rsidRPr="00704CDD">
        <w:t xml:space="preserve">, </w:t>
      </w:r>
    </w:p>
    <w:p w14:paraId="6095EABE" w14:textId="6D5D7A0D" w:rsidR="00704CDD" w:rsidRPr="00704CDD" w:rsidRDefault="00704CDD" w:rsidP="00704CDD">
      <w:pPr>
        <w:pStyle w:val="B2"/>
      </w:pPr>
      <w:r w:rsidRPr="00704CDD">
        <w:rPr>
          <w:lang w:val="en-US"/>
        </w:rPr>
        <w:t>-</w:t>
      </w:r>
      <w:r w:rsidRPr="00704CDD">
        <w:rPr>
          <w:lang w:val="en-US"/>
        </w:rPr>
        <w:tab/>
        <w:t xml:space="preserve">for operation without shared spectrum channel access, </w:t>
      </w:r>
      <w:r w:rsidRPr="00704CDD">
        <w:t xml:space="preserve">the UE </w:t>
      </w:r>
      <w:r w:rsidRPr="00704CDD">
        <w:rPr>
          <w:lang w:val="en-US"/>
        </w:rPr>
        <w:t>receives</w:t>
      </w:r>
      <w:r w:rsidRPr="00704CDD">
        <w:t xml:space="preserve"> the PSFCH in a first slot that includes PSFCH resources and is at least a number of slots, provided by </w:t>
      </w:r>
      <w:r w:rsidRPr="00704CDD">
        <w:rPr>
          <w:i/>
          <w:iCs/>
        </w:rPr>
        <w:t>sl-</w:t>
      </w:r>
      <w:r w:rsidRPr="00704CDD">
        <w:rPr>
          <w:i/>
        </w:rPr>
        <w:t>MinTimeGapPSFCH</w:t>
      </w:r>
      <w:r w:rsidRPr="00704CDD">
        <w:rPr>
          <w:lang w:val="en-US"/>
        </w:rPr>
        <w:t>, of</w:t>
      </w:r>
      <w:r w:rsidRPr="00704CDD">
        <w:t xml:space="preserve"> the resource pool </w:t>
      </w:r>
      <w:r w:rsidRPr="00704CDD">
        <w:rPr>
          <w:lang w:val="en-US"/>
        </w:rPr>
        <w:t>after</w:t>
      </w:r>
      <w:r w:rsidRPr="00704CDD">
        <w:t xml:space="preserve"> </w:t>
      </w:r>
      <w:r w:rsidRPr="00704CDD">
        <w:rPr>
          <w:lang w:val="en-US"/>
        </w:rPr>
        <w:t>a slot of a PSCCH transmission that provides the SCI format 1-A</w:t>
      </w:r>
      <w:r w:rsidRPr="00704CDD">
        <w:t>.</w:t>
      </w:r>
      <w:r w:rsidRPr="00704CDD">
        <w:rPr>
          <w:lang w:val="en-US"/>
        </w:rPr>
        <w:t xml:space="preserve"> The PSFCH resource is in a slot that is at least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3</m:t>
            </m:r>
          </m:sub>
        </m:sSub>
      </m:oMath>
      <w:r w:rsidRPr="00704CDD">
        <w:rPr>
          <w:lang w:val="en-US"/>
        </w:rPr>
        <w:t xml:space="preserve"> slots [6, TS 38.214] before the resource associated with the conflict information; otherwise, the UE does not receive the PSFCH with conflict information</w:t>
      </w:r>
    </w:p>
    <w:p w14:paraId="725B6C03" w14:textId="79259AE3" w:rsidR="00704CDD" w:rsidRPr="00704CDD" w:rsidRDefault="00704CDD" w:rsidP="00704CDD">
      <w:pPr>
        <w:pStyle w:val="B2"/>
        <w:rPr>
          <w:lang w:val="en-US"/>
        </w:rPr>
      </w:pPr>
      <w:r w:rsidRPr="00704CDD">
        <w:rPr>
          <w:lang w:val="en-US"/>
        </w:rPr>
        <w:t>-</w:t>
      </w:r>
      <w:r w:rsidRPr="00704CDD">
        <w:rPr>
          <w:lang w:val="en-US"/>
        </w:rPr>
        <w:tab/>
        <w:t xml:space="preserve">for operation with shared spectrum channel access, the UE attempts to receive the PSFCH </w:t>
      </w:r>
      <w:r w:rsidRPr="00704CDD">
        <w:rPr>
          <w:rFonts w:eastAsia="Malgun Gothic"/>
        </w:rPr>
        <w:t xml:space="preserve">on </w:t>
      </w:r>
      <w:r w:rsidRPr="00704CDD">
        <w:t xml:space="preserve">a number of first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occasion</m:t>
            </m:r>
          </m:sub>
          <m:sup>
            <m:r>
              <m:rPr>
                <m:sty m:val="p"/>
              </m:rPr>
              <w:rPr>
                <w:rFonts w:ascii="Cambria Math" w:hAnsi="Cambria Math"/>
              </w:rPr>
              <m:t>PSFCH</m:t>
            </m:r>
          </m:sup>
        </m:sSubSup>
      </m:oMath>
      <w:r w:rsidRPr="00704CDD">
        <w:t xml:space="preserve"> slots, provided by </w:t>
      </w:r>
      <w:r w:rsidR="00257A05">
        <w:rPr>
          <w:i/>
        </w:rPr>
        <w:t>sl-NumPSFCH-Occasions</w:t>
      </w:r>
      <w:r w:rsidRPr="00704CDD">
        <w:rPr>
          <w:i/>
        </w:rPr>
        <w:t xml:space="preserve"> </w:t>
      </w:r>
      <w:r w:rsidRPr="00704CDD">
        <w:t>and indexed from 1 to</w:t>
      </w:r>
      <w:r w:rsidRPr="00704CDD">
        <w:rPr>
          <w:i/>
        </w:rPr>
        <w:t xml:space="preserv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occasion</m:t>
            </m:r>
          </m:sub>
          <m:sup>
            <m:r>
              <m:rPr>
                <m:sty m:val="p"/>
              </m:rPr>
              <w:rPr>
                <w:rFonts w:ascii="Cambria Math" w:hAnsi="Cambria Math"/>
              </w:rPr>
              <m:t>PSFCH</m:t>
            </m:r>
          </m:sup>
        </m:sSubSup>
      </m:oMath>
      <w:r w:rsidRPr="00704CDD">
        <w:rPr>
          <w:i/>
        </w:rPr>
        <w:t xml:space="preserve"> </w:t>
      </w:r>
      <w:r w:rsidRPr="00704CDD">
        <w:t xml:space="preserve">in ascending order in time, that include PSFCH resources and are at least a number of slots, provided by </w:t>
      </w:r>
      <w:r w:rsidRPr="00704CDD">
        <w:rPr>
          <w:i/>
          <w:iCs/>
        </w:rPr>
        <w:t>sl-</w:t>
      </w:r>
      <w:r w:rsidRPr="00704CDD">
        <w:rPr>
          <w:i/>
        </w:rPr>
        <w:t>MinTimeGapPSFCH</w:t>
      </w:r>
      <w:r w:rsidRPr="00704CDD">
        <w:t>, of the resource pool after a last slot of a PSCCH reception that provides the SCI format 1-A</w:t>
      </w:r>
      <w:r w:rsidRPr="00704CDD">
        <w:rPr>
          <w:bCs/>
        </w:rPr>
        <w:t xml:space="preserve">, until the UE detects one PSFCH </w:t>
      </w:r>
      <w:r w:rsidR="00257A05">
        <w:rPr>
          <w:bCs/>
        </w:rPr>
        <w:t>with conflict information</w:t>
      </w:r>
      <w:r w:rsidRPr="00704CDD">
        <w:rPr>
          <w:bCs/>
        </w:rPr>
        <w:t xml:space="preserve">, or the UE attempts to receive PSFCH on all </w:t>
      </w:r>
      <m:oMath>
        <m:sSubSup>
          <m:sSubSupPr>
            <m:ctrlPr>
              <w:rPr>
                <w:rFonts w:ascii="Cambria Math" w:eastAsia="MS PGothic" w:hAnsi="Cambria Math"/>
                <w:i/>
              </w:rPr>
            </m:ctrlPr>
          </m:sSubSupPr>
          <m:e>
            <m:r>
              <w:rPr>
                <w:rFonts w:ascii="Cambria Math" w:hAnsi="Cambria Math"/>
              </w:rPr>
              <m:t>N</m:t>
            </m:r>
          </m:e>
          <m:sub>
            <m:r>
              <m:rPr>
                <m:sty m:val="p"/>
              </m:rPr>
              <w:rPr>
                <w:rFonts w:ascii="Cambria Math" w:hAnsi="Cambria Math"/>
              </w:rPr>
              <m:t>occasion</m:t>
            </m:r>
          </m:sub>
          <m:sup>
            <m:r>
              <m:rPr>
                <m:sty m:val="p"/>
              </m:rPr>
              <w:rPr>
                <w:rFonts w:ascii="Cambria Math" w:hAnsi="Cambria Math"/>
              </w:rPr>
              <m:t>PSFCH</m:t>
            </m:r>
          </m:sup>
        </m:sSubSup>
      </m:oMath>
      <w:r w:rsidRPr="00704CDD">
        <w:rPr>
          <w:bCs/>
        </w:rPr>
        <w:t xml:space="preserve"> PSFCH occasions.</w:t>
      </w:r>
      <w:r w:rsidRPr="00704CDD">
        <w:rPr>
          <w:lang w:val="en-US"/>
        </w:rPr>
        <w:t xml:space="preserve"> If the PSFCH resource is in a slot that is at least </w:t>
      </w:r>
      <m:oMath>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3</m:t>
            </m:r>
          </m:sub>
        </m:sSub>
      </m:oMath>
      <w:r w:rsidRPr="00704CDD">
        <w:rPr>
          <w:lang w:val="en-US"/>
        </w:rPr>
        <w:t xml:space="preserve"> slots before the resource associated with the conflict information, the UE can attempt to receive the PSFCH with conflict information in the slot; otherwise, the UE does not receive the PSFCH with conflict information in the slot </w:t>
      </w:r>
    </w:p>
    <w:p w14:paraId="384BABFF" w14:textId="0F1BB731" w:rsidR="00704CDD" w:rsidRPr="00704CDD" w:rsidRDefault="00704CDD" w:rsidP="00704CDD">
      <w:pPr>
        <w:pStyle w:val="B1"/>
      </w:pPr>
      <w:r w:rsidRPr="00704CDD">
        <w:t>-</w:t>
      </w:r>
      <w:r w:rsidRPr="00704CDD">
        <w:tab/>
        <w:t xml:space="preserve">if </w:t>
      </w:r>
      <w:r w:rsidRPr="00704CDD">
        <w:rPr>
          <w:lang w:eastAsia="zh-CN"/>
        </w:rPr>
        <w:t>sl-</w:t>
      </w:r>
      <w:r w:rsidRPr="00704CDD">
        <w:t xml:space="preserve">PSFCH-Occasion = </w:t>
      </w:r>
      <w:r>
        <w:rPr>
          <w:lang w:val="en-GB"/>
        </w:rPr>
        <w:t>'</w:t>
      </w:r>
      <w:r w:rsidRPr="00704CDD">
        <w:t>1</w:t>
      </w:r>
      <w:r>
        <w:rPr>
          <w:lang w:val="en-GB"/>
        </w:rPr>
        <w:t>'</w:t>
      </w:r>
      <w:r w:rsidRPr="00704CDD">
        <w:t xml:space="preserve">, </w:t>
      </w:r>
    </w:p>
    <w:p w14:paraId="4A1227AF" w14:textId="0F29ABED" w:rsidR="00704CDD" w:rsidRPr="00704CDD" w:rsidRDefault="00704CDD" w:rsidP="00704CDD">
      <w:pPr>
        <w:pStyle w:val="B2"/>
      </w:pPr>
      <w:r w:rsidRPr="00704CDD">
        <w:t>-</w:t>
      </w:r>
      <w:r w:rsidRPr="00704CDD">
        <w:tab/>
        <w:t xml:space="preserve">for operation without shared spectrum channel access, the UE receives the PSFCH in a latest slot that includes PSFCH resources and is at least </w:t>
      </w:r>
      <m:oMath>
        <m:sSub>
          <m:sSubPr>
            <m:ctrlPr>
              <w:rPr>
                <w:rFonts w:ascii="Cambria Math" w:hAnsi="Cambria Math"/>
                <w:i/>
                <w:iCs/>
              </w:rPr>
            </m:ctrlPr>
          </m:sSubPr>
          <m:e>
            <m:r>
              <w:rPr>
                <w:rFonts w:ascii="Cambria Math" w:hAnsi="Cambria Math"/>
              </w:rPr>
              <m:t>T</m:t>
            </m:r>
          </m:e>
          <m:sub>
            <m:r>
              <w:rPr>
                <w:rFonts w:ascii="Cambria Math" w:hAnsi="Cambria Math"/>
              </w:rPr>
              <m:t>3</m:t>
            </m:r>
          </m:sub>
        </m:sSub>
      </m:oMath>
      <w:r w:rsidRPr="00704CDD">
        <w:t xml:space="preserve"> slots </w:t>
      </w:r>
      <w:r w:rsidRPr="00704CDD">
        <w:rPr>
          <w:rFonts w:hint="eastAsia"/>
          <w:lang w:eastAsia="zh-CN"/>
        </w:rPr>
        <w:t>of the resource pool</w:t>
      </w:r>
      <w:r w:rsidRPr="00704CDD">
        <w:t xml:space="preserve"> before a slot of the resource associated with conflict information. The PSFCH resource is in a slot that is at least </w:t>
      </w:r>
      <w:r w:rsidRPr="00704CDD">
        <w:rPr>
          <w:rFonts w:cs="Times"/>
          <w:i/>
        </w:rPr>
        <w:t>sl-MinTimeGapPSFCH</w:t>
      </w:r>
      <w:r w:rsidRPr="00704CDD">
        <w:t xml:space="preserve"> slots after a slot of a PSCCH transmission that provides the SCI format 1-A; otherwise, the UE does not receive the PSFCH with conflict information</w:t>
      </w:r>
    </w:p>
    <w:p w14:paraId="681F4E61" w14:textId="3C728230" w:rsidR="00704CDD" w:rsidRPr="00704CDD" w:rsidRDefault="00704CDD" w:rsidP="00704CDD">
      <w:pPr>
        <w:pStyle w:val="B2"/>
      </w:pPr>
      <w:r w:rsidRPr="00704CDD">
        <w:t>-</w:t>
      </w:r>
      <w:r w:rsidRPr="00704CDD">
        <w:tab/>
        <w:t xml:space="preserve">for operation with shared spectrum channel access, the UE attempts to receive the PSFCH </w:t>
      </w:r>
      <w:r w:rsidRPr="00704CDD">
        <w:rPr>
          <w:rFonts w:eastAsia="Malgun Gothic"/>
        </w:rPr>
        <w:t xml:space="preserve">on </w:t>
      </w:r>
      <w:r w:rsidRPr="00704CDD">
        <w:t xml:space="preserve">a number of latest </w:t>
      </w:r>
      <m:oMath>
        <m:sSubSup>
          <m:sSubSupPr>
            <m:ctrlPr>
              <w:rPr>
                <w:rFonts w:ascii="Cambria Math" w:hAnsi="Cambria Math"/>
              </w:rPr>
            </m:ctrlPr>
          </m:sSubSupPr>
          <m:e>
            <m:r>
              <w:rPr>
                <w:rFonts w:ascii="Cambria Math" w:hAnsi="Cambria Math"/>
              </w:rPr>
              <m:t>N</m:t>
            </m:r>
          </m:e>
          <m:sub>
            <m:r>
              <m:rPr>
                <m:sty m:val="p"/>
              </m:rPr>
              <w:rPr>
                <w:rFonts w:ascii="Cambria Math" w:hAnsi="Cambria Math"/>
              </w:rPr>
              <m:t>occasion</m:t>
            </m:r>
          </m:sub>
          <m:sup>
            <m:r>
              <m:rPr>
                <m:sty m:val="p"/>
              </m:rPr>
              <w:rPr>
                <w:rFonts w:ascii="Cambria Math" w:hAnsi="Cambria Math"/>
              </w:rPr>
              <m:t>PSFCH</m:t>
            </m:r>
          </m:sup>
        </m:sSubSup>
      </m:oMath>
      <w:r w:rsidRPr="00704CDD">
        <w:t xml:space="preserve"> slots, provided by </w:t>
      </w:r>
      <w:r w:rsidR="00257A05">
        <w:rPr>
          <w:i/>
        </w:rPr>
        <w:t>sl-NumPSFCH-Occasions</w:t>
      </w:r>
      <w:r w:rsidRPr="00704CDD">
        <w:t xml:space="preserve"> and indexed from 1 to </w:t>
      </w:r>
      <m:oMath>
        <m:sSubSup>
          <m:sSubSupPr>
            <m:ctrlPr>
              <w:rPr>
                <w:rFonts w:ascii="Cambria Math" w:hAnsi="Cambria Math"/>
              </w:rPr>
            </m:ctrlPr>
          </m:sSubSupPr>
          <m:e>
            <m:r>
              <w:rPr>
                <w:rFonts w:ascii="Cambria Math" w:hAnsi="Cambria Math"/>
              </w:rPr>
              <m:t>N</m:t>
            </m:r>
          </m:e>
          <m:sub>
            <m:r>
              <m:rPr>
                <m:sty m:val="p"/>
              </m:rPr>
              <w:rPr>
                <w:rFonts w:ascii="Cambria Math" w:hAnsi="Cambria Math"/>
              </w:rPr>
              <m:t>occasion</m:t>
            </m:r>
          </m:sub>
          <m:sup>
            <m:r>
              <m:rPr>
                <m:sty m:val="p"/>
              </m:rPr>
              <w:rPr>
                <w:rFonts w:ascii="Cambria Math" w:hAnsi="Cambria Math"/>
              </w:rPr>
              <m:t>PSFCH</m:t>
            </m:r>
          </m:sup>
        </m:sSubSup>
      </m:oMath>
      <w:r w:rsidRPr="00704CDD">
        <w:t xml:space="preserve"> in ascending order in time, that include PSFCH resources and are at least </w:t>
      </w:r>
      <m:oMath>
        <m:sSub>
          <m:sSubPr>
            <m:ctrlPr>
              <w:rPr>
                <w:rFonts w:ascii="Cambria Math" w:hAnsi="Cambria Math"/>
              </w:rPr>
            </m:ctrlPr>
          </m:sSubPr>
          <m:e>
            <m:r>
              <w:rPr>
                <w:rFonts w:ascii="Cambria Math" w:hAnsi="Cambria Math"/>
              </w:rPr>
              <m:t>T</m:t>
            </m:r>
          </m:e>
          <m:sub>
            <m:r>
              <m:rPr>
                <m:sty m:val="p"/>
              </m:rPr>
              <w:rPr>
                <w:rFonts w:ascii="Cambria Math" w:hAnsi="Cambria Math"/>
              </w:rPr>
              <m:t>3</m:t>
            </m:r>
          </m:sub>
        </m:sSub>
      </m:oMath>
      <w:r w:rsidRPr="00704CDD">
        <w:t xml:space="preserve"> slots </w:t>
      </w:r>
      <w:r w:rsidRPr="00704CDD">
        <w:rPr>
          <w:rFonts w:hint="eastAsia"/>
        </w:rPr>
        <w:t xml:space="preserve">of the resource pool </w:t>
      </w:r>
      <w:r w:rsidRPr="00704CDD">
        <w:t>before a slot of the resource associated with conflict information</w:t>
      </w:r>
      <w:r w:rsidRPr="00704CDD">
        <w:rPr>
          <w:bCs/>
        </w:rPr>
        <w:t xml:space="preserve">, until the UE detects one PSFCH </w:t>
      </w:r>
      <w:r w:rsidR="00257A05">
        <w:rPr>
          <w:bCs/>
        </w:rPr>
        <w:t>with conflict information</w:t>
      </w:r>
      <w:r w:rsidRPr="00704CDD">
        <w:rPr>
          <w:bCs/>
        </w:rPr>
        <w:t xml:space="preserve">, or the UE attempts to receive PSFCH on all </w:t>
      </w:r>
      <m:oMath>
        <m:sSubSup>
          <m:sSubSupPr>
            <m:ctrlPr>
              <w:rPr>
                <w:rFonts w:ascii="Cambria Math" w:eastAsia="MS PGothic" w:hAnsi="Cambria Math"/>
                <w:i/>
              </w:rPr>
            </m:ctrlPr>
          </m:sSubSupPr>
          <m:e>
            <m:r>
              <w:rPr>
                <w:rFonts w:ascii="Cambria Math" w:hAnsi="Cambria Math"/>
              </w:rPr>
              <m:t>N</m:t>
            </m:r>
          </m:e>
          <m:sub>
            <m:r>
              <m:rPr>
                <m:sty m:val="p"/>
              </m:rPr>
              <w:rPr>
                <w:rFonts w:ascii="Cambria Math" w:hAnsi="Cambria Math"/>
              </w:rPr>
              <m:t>occasion</m:t>
            </m:r>
          </m:sub>
          <m:sup>
            <m:r>
              <m:rPr>
                <m:sty m:val="p"/>
              </m:rPr>
              <w:rPr>
                <w:rFonts w:ascii="Cambria Math" w:hAnsi="Cambria Math"/>
              </w:rPr>
              <m:t>PSFCH</m:t>
            </m:r>
          </m:sup>
        </m:sSubSup>
      </m:oMath>
      <w:r w:rsidRPr="00704CDD">
        <w:rPr>
          <w:bCs/>
        </w:rPr>
        <w:t xml:space="preserve"> PSFCH occasions.</w:t>
      </w:r>
      <w:r w:rsidRPr="00704CDD">
        <w:t xml:space="preserve"> If the PSFCH resource is in a slot that is at least </w:t>
      </w:r>
      <w:r w:rsidRPr="00704CDD">
        <w:rPr>
          <w:i/>
          <w:iCs/>
        </w:rPr>
        <w:t>sl-MinTimeGapPSFCH</w:t>
      </w:r>
      <w:r w:rsidRPr="00704CDD">
        <w:t xml:space="preserve"> slots after a slot of a PSCCH transmission that provides the SCI format 1-A, the UE can attempt to receive the PSFCH with conflict information in the slot; otherwise, the UE does not receive the PSFCH with conflict information in the slot. </w:t>
      </w:r>
    </w:p>
    <w:p w14:paraId="36BCECDD" w14:textId="77777777" w:rsidR="00E21265" w:rsidRDefault="00E21265" w:rsidP="00F23268">
      <w:pPr>
        <w:pStyle w:val="Heading2"/>
      </w:pPr>
      <w:bookmarkStart w:id="920" w:name="_Toc29894886"/>
      <w:bookmarkStart w:id="921" w:name="_Toc29899185"/>
      <w:bookmarkStart w:id="922" w:name="_Toc29899603"/>
      <w:bookmarkStart w:id="923" w:name="_Toc29917339"/>
      <w:bookmarkStart w:id="924" w:name="_Toc36498214"/>
      <w:bookmarkStart w:id="925" w:name="_Toc45699244"/>
      <w:bookmarkStart w:id="926" w:name="_Toc161999181"/>
      <w:bookmarkEnd w:id="919"/>
      <w:r>
        <w:lastRenderedPageBreak/>
        <w:t>16</w:t>
      </w:r>
      <w:r w:rsidRPr="00B916EC">
        <w:t>.</w:t>
      </w:r>
      <w:r>
        <w:t>4</w:t>
      </w:r>
      <w:r w:rsidRPr="00B916EC">
        <w:rPr>
          <w:rFonts w:hint="eastAsia"/>
        </w:rPr>
        <w:tab/>
      </w:r>
      <w:r>
        <w:t>UE procedure for transmitting PSCCH</w:t>
      </w:r>
      <w:bookmarkEnd w:id="920"/>
      <w:bookmarkEnd w:id="921"/>
      <w:bookmarkEnd w:id="922"/>
      <w:bookmarkEnd w:id="923"/>
      <w:bookmarkEnd w:id="924"/>
      <w:bookmarkEnd w:id="925"/>
      <w:bookmarkEnd w:id="926"/>
      <w:r>
        <w:t xml:space="preserve"> </w:t>
      </w:r>
    </w:p>
    <w:p w14:paraId="67D678EE" w14:textId="77777777" w:rsidR="00257A05" w:rsidRPr="00257A05" w:rsidRDefault="00F23268" w:rsidP="00257A05">
      <w:pPr>
        <w:rPr>
          <w:lang w:val="en-US"/>
        </w:rPr>
      </w:pPr>
      <w:r w:rsidRPr="00C1264A">
        <w:rPr>
          <w:lang w:eastAsia="ja-JP"/>
        </w:rPr>
        <w:t xml:space="preserve">A UE can be provided a number of symbols in a resource pool, by </w:t>
      </w:r>
      <w:r w:rsidR="00C03BD1" w:rsidRPr="00882C4D">
        <w:rPr>
          <w:i/>
          <w:iCs/>
          <w:lang w:eastAsia="ja-JP"/>
        </w:rPr>
        <w:t>sl-</w:t>
      </w:r>
      <w:r w:rsidR="00C03BD1" w:rsidRPr="00882C4D">
        <w:rPr>
          <w:i/>
          <w:lang w:val="en-US"/>
        </w:rPr>
        <w:t>TimeResourcePSCCH</w:t>
      </w:r>
      <w:r w:rsidRPr="00C1264A">
        <w:rPr>
          <w:lang w:val="en-US"/>
        </w:rPr>
        <w:t xml:space="preserve">, </w:t>
      </w:r>
      <w:r>
        <w:rPr>
          <w:lang w:val="en-US"/>
        </w:rPr>
        <w:t>starting from</w:t>
      </w:r>
    </w:p>
    <w:p w14:paraId="29EA1E40" w14:textId="77777777" w:rsidR="00257A05" w:rsidRPr="00257A05" w:rsidRDefault="00257A05" w:rsidP="00257A05">
      <w:pPr>
        <w:pStyle w:val="B1"/>
      </w:pPr>
      <w:r w:rsidRPr="00257A05">
        <w:t>-</w:t>
      </w:r>
      <w:r w:rsidRPr="00257A05">
        <w:tab/>
      </w:r>
      <w:r w:rsidRPr="00257A05">
        <w:rPr>
          <w:i/>
        </w:rPr>
        <w:t>startingSymbolFirst</w:t>
      </w:r>
      <w:r w:rsidRPr="00257A05">
        <w:t>+1</w:t>
      </w:r>
      <w:r w:rsidRPr="00257A05">
        <w:rPr>
          <w:i/>
        </w:rPr>
        <w:t xml:space="preserve"> </w:t>
      </w:r>
      <w:r w:rsidRPr="00257A05">
        <w:t>or</w:t>
      </w:r>
      <w:r w:rsidRPr="00257A05">
        <w:rPr>
          <w:i/>
        </w:rPr>
        <w:t xml:space="preserve"> startingSymbolSecond</w:t>
      </w:r>
      <w:r w:rsidRPr="00257A05">
        <w:t>+1</w:t>
      </w:r>
      <w:r w:rsidRPr="00257A05">
        <w:rPr>
          <w:i/>
        </w:rPr>
        <w:t xml:space="preserve"> </w:t>
      </w:r>
      <w:r w:rsidRPr="00257A05">
        <w:t xml:space="preserve">in a slot without PSFCH symbols, or </w:t>
      </w:r>
      <w:r w:rsidRPr="00257A05">
        <w:rPr>
          <w:i/>
        </w:rPr>
        <w:t>startingSymbolFirst</w:t>
      </w:r>
      <w:r w:rsidRPr="00257A05">
        <w:t xml:space="preserve">+1 in a slot with PSFCH symbols, if </w:t>
      </w:r>
      <w:r w:rsidRPr="00257A05">
        <w:rPr>
          <w:i/>
        </w:rPr>
        <w:t>startingSymbolFirst</w:t>
      </w:r>
      <w:r w:rsidRPr="00257A05">
        <w:t xml:space="preserve"> and </w:t>
      </w:r>
      <w:r w:rsidRPr="00257A05">
        <w:rPr>
          <w:i/>
        </w:rPr>
        <w:t>startingSymbolSecond</w:t>
      </w:r>
      <w:r w:rsidRPr="00257A05">
        <w:t xml:space="preserve"> are provided</w:t>
      </w:r>
      <w:r w:rsidRPr="00257A05">
        <w:rPr>
          <w:rFonts w:eastAsia="Times New Roman"/>
          <w:lang w:eastAsia="ja-JP"/>
        </w:rPr>
        <w:t xml:space="preserve"> for the SL-BWP</w:t>
      </w:r>
    </w:p>
    <w:p w14:paraId="15974449" w14:textId="77777777" w:rsidR="00257A05" w:rsidRPr="00257A05" w:rsidRDefault="00257A05" w:rsidP="00257A05">
      <w:pPr>
        <w:pStyle w:val="B1"/>
      </w:pPr>
      <w:r w:rsidRPr="00257A05">
        <w:t>-</w:t>
      </w:r>
      <w:r w:rsidRPr="00257A05">
        <w:tab/>
      </w:r>
      <w:r w:rsidRPr="00257A05">
        <w:rPr>
          <w:i/>
        </w:rPr>
        <w:t>sl-StartSymbol</w:t>
      </w:r>
      <w:r w:rsidRPr="00257A05">
        <w:t>+1, otherwise</w:t>
      </w:r>
    </w:p>
    <w:p w14:paraId="1AFD9AC8" w14:textId="3BFEA0D7" w:rsidR="0045343F" w:rsidRPr="0045343F" w:rsidRDefault="00F23268" w:rsidP="0045343F">
      <w:r>
        <w:rPr>
          <w:lang w:val="en-US"/>
        </w:rPr>
        <w:t xml:space="preserve">and a number of PRBs in the resource pool, by </w:t>
      </w:r>
      <w:r w:rsidR="00326E08" w:rsidRPr="00882C4D">
        <w:rPr>
          <w:i/>
          <w:iCs/>
          <w:lang w:val="en-US"/>
        </w:rPr>
        <w:t>sl-</w:t>
      </w:r>
      <w:r w:rsidR="00326E08" w:rsidRPr="00882C4D">
        <w:rPr>
          <w:i/>
          <w:lang w:val="en-US"/>
        </w:rPr>
        <w:t>FreqResourcePSCCH</w:t>
      </w:r>
      <w:r w:rsidRPr="00C1264A">
        <w:rPr>
          <w:lang w:val="en-US"/>
        </w:rPr>
        <w:t xml:space="preserve">, </w:t>
      </w:r>
      <w:r w:rsidR="00257C58" w:rsidRPr="00CF25D8">
        <w:rPr>
          <w:lang w:val="en-US"/>
        </w:rPr>
        <w:t xml:space="preserve">starting from the lowest PRB </w:t>
      </w:r>
      <w:r w:rsidR="0045343F">
        <w:rPr>
          <w:lang w:val="en-US"/>
        </w:rPr>
        <w:t xml:space="preserve">index </w:t>
      </w:r>
      <w:r w:rsidR="00257C58" w:rsidRPr="00CF25D8">
        <w:rPr>
          <w:lang w:val="en-US"/>
        </w:rPr>
        <w:t xml:space="preserve">of the lowest sub-channel </w:t>
      </w:r>
      <w:r w:rsidR="0045343F">
        <w:rPr>
          <w:lang w:val="en-US"/>
        </w:rPr>
        <w:t xml:space="preserve">index, in an RB-set with a lowest index if applicable, </w:t>
      </w:r>
      <w:r w:rsidR="00257C58" w:rsidRPr="00CF25D8">
        <w:rPr>
          <w:lang w:val="en-US"/>
        </w:rPr>
        <w:t xml:space="preserve">of the associated PSSCH </w:t>
      </w:r>
      <w:r>
        <w:rPr>
          <w:lang w:val="en-US"/>
        </w:rPr>
        <w:t>for a PSCCH transmission with a SCI format 1-A.</w:t>
      </w:r>
      <w:r w:rsidR="0045343F">
        <w:rPr>
          <w:lang w:val="en-US"/>
        </w:rPr>
        <w:t xml:space="preserve"> </w:t>
      </w:r>
      <w:r w:rsidR="0045343F" w:rsidRPr="0045343F">
        <w:t xml:space="preserve">For operation with shared spectrum channel access, </w:t>
      </w:r>
    </w:p>
    <w:p w14:paraId="0E27B211" w14:textId="4C96B831" w:rsidR="0045343F" w:rsidRPr="0045343F" w:rsidRDefault="0045343F" w:rsidP="0045343F">
      <w:pPr>
        <w:pStyle w:val="B1"/>
        <w:rPr>
          <w:lang w:val="en-GB"/>
        </w:rPr>
      </w:pPr>
      <w:r w:rsidRPr="0045343F">
        <w:t>-</w:t>
      </w:r>
      <w:r w:rsidRPr="0045343F">
        <w:tab/>
        <w:t xml:space="preserve">if </w:t>
      </w:r>
      <w:r w:rsidRPr="0045343F">
        <w:rPr>
          <w:i/>
        </w:rPr>
        <w:t>sl-TransmissionStructureForPSCCHandPSSCH</w:t>
      </w:r>
      <w:r w:rsidRPr="0045343F">
        <w:t xml:space="preserve"> = </w:t>
      </w:r>
      <w:r w:rsidR="002D5F43">
        <w:rPr>
          <w:i/>
        </w:rPr>
        <w:t>'</w:t>
      </w:r>
      <w:r w:rsidRPr="0045343F">
        <w:rPr>
          <w:i/>
        </w:rPr>
        <w:t>interlaceRB</w:t>
      </w:r>
      <w:r w:rsidR="002D5F43">
        <w:rPr>
          <w:i/>
        </w:rPr>
        <w:t>'</w:t>
      </w:r>
      <w:r w:rsidRPr="0045343F">
        <w:t>, the PRBs for PSCCH are within the sub-channel with the lowest index and within the RB-set with the lowest index</w:t>
      </w:r>
      <w:r w:rsidR="007E35C6">
        <w:rPr>
          <w:lang w:val="en-GB"/>
        </w:rPr>
        <w:t xml:space="preserve"> </w:t>
      </w:r>
      <w:r w:rsidR="007E35C6">
        <w:t>among the RB-set(s) for the associated PSSCH transmission</w:t>
      </w:r>
      <w:r>
        <w:rPr>
          <w:lang w:val="en-GB"/>
        </w:rPr>
        <w:t>,</w:t>
      </w:r>
    </w:p>
    <w:p w14:paraId="2008C4E3" w14:textId="1F68BBD7" w:rsidR="00F23268" w:rsidRPr="0045343F" w:rsidRDefault="0045343F" w:rsidP="0045343F">
      <w:pPr>
        <w:pStyle w:val="B1"/>
        <w:rPr>
          <w:lang w:val="en-GB"/>
        </w:rPr>
      </w:pPr>
      <w:r w:rsidRPr="0045343F">
        <w:t>-</w:t>
      </w:r>
      <w:r w:rsidRPr="0045343F">
        <w:tab/>
        <w:t xml:space="preserve">if </w:t>
      </w:r>
      <w:r w:rsidRPr="0045343F">
        <w:rPr>
          <w:i/>
        </w:rPr>
        <w:t>sl-TransmissionStructureForPSCCHandPSSCH</w:t>
      </w:r>
      <w:r w:rsidRPr="0045343F">
        <w:t xml:space="preserve"> = </w:t>
      </w:r>
      <w:r w:rsidR="002D5F43">
        <w:rPr>
          <w:i/>
        </w:rPr>
        <w:t>'</w:t>
      </w:r>
      <w:r w:rsidRPr="0045343F">
        <w:rPr>
          <w:i/>
        </w:rPr>
        <w:t>contiguousRB</w:t>
      </w:r>
      <w:r w:rsidR="002D5F43">
        <w:rPr>
          <w:i/>
        </w:rPr>
        <w:t>'</w:t>
      </w:r>
      <w:r w:rsidRPr="0045343F">
        <w:t xml:space="preserve">, the PRBs for PSCCH are within the </w:t>
      </w:r>
      <w:r w:rsidR="007E35C6">
        <w:t>sub-channel with the lowest index in the</w:t>
      </w:r>
      <w:r w:rsidR="007E35C6" w:rsidRPr="0045343F">
        <w:t xml:space="preserve"> </w:t>
      </w:r>
      <w:r w:rsidRPr="0045343F">
        <w:t>RB-set with the lowest index</w:t>
      </w:r>
      <w:r w:rsidR="007E35C6">
        <w:rPr>
          <w:lang w:val="en-GB"/>
        </w:rPr>
        <w:t xml:space="preserve"> </w:t>
      </w:r>
      <w:r w:rsidR="007E35C6">
        <w:t>among the RB-set(s) for the associated PSSCH transmission</w:t>
      </w:r>
      <w:r w:rsidRPr="0045343F">
        <w:t>, and all PRBs in the sub-channel overlapping with intra-cell guard band [</w:t>
      </w:r>
      <w:r w:rsidRPr="0045343F">
        <w:rPr>
          <w:lang w:eastAsia="ko-KR"/>
        </w:rPr>
        <w:t>6, TS 38.214</w:t>
      </w:r>
      <w:r w:rsidRPr="0045343F">
        <w:t>] are not used for PSCCH</w:t>
      </w:r>
      <w:r>
        <w:rPr>
          <w:lang w:val="en-GB"/>
        </w:rPr>
        <w:t>.</w:t>
      </w:r>
    </w:p>
    <w:p w14:paraId="19F52975" w14:textId="77777777" w:rsidR="003B5163" w:rsidRDefault="003B5163" w:rsidP="003B5163">
      <w:pPr>
        <w:widowControl w:val="0"/>
        <w:rPr>
          <w:lang w:val="en-US" w:eastAsia="ko-KR"/>
        </w:rPr>
      </w:pPr>
      <w:r>
        <w:rPr>
          <w:lang w:val="en-US" w:eastAsia="ko-KR"/>
        </w:rPr>
        <w:t xml:space="preserve">A </w:t>
      </w:r>
      <w:r w:rsidRPr="00853474">
        <w:rPr>
          <w:lang w:val="en-US" w:eastAsia="ko-KR"/>
        </w:rPr>
        <w:t xml:space="preserve">UE </w:t>
      </w:r>
      <w:r>
        <w:rPr>
          <w:lang w:val="en-US" w:eastAsia="ko-KR"/>
        </w:rPr>
        <w:t xml:space="preserve">that </w:t>
      </w:r>
      <w:r w:rsidRPr="00853474">
        <w:rPr>
          <w:lang w:val="en-US" w:eastAsia="ko-KR"/>
        </w:rPr>
        <w:t xml:space="preserve">transmits a PSCCH with SCI format </w:t>
      </w:r>
      <w:r>
        <w:rPr>
          <w:lang w:val="en-US" w:eastAsia="ko-KR"/>
        </w:rPr>
        <w:t xml:space="preserve">1-A </w:t>
      </w:r>
      <w:r w:rsidRPr="00853474">
        <w:rPr>
          <w:lang w:val="en-US" w:eastAsia="ko-KR"/>
        </w:rPr>
        <w:t xml:space="preserve">using </w:t>
      </w:r>
      <w:r w:rsidRPr="00853474">
        <w:rPr>
          <w:rFonts w:eastAsia="MS Mincho"/>
          <w:lang w:eastAsia="ja-JP"/>
        </w:rPr>
        <w:t>sidelink resource allocation mode 2</w:t>
      </w:r>
      <w:r w:rsidRPr="00853474">
        <w:rPr>
          <w:lang w:val="en-US" w:eastAsia="ko-KR"/>
        </w:rPr>
        <w:t xml:space="preserve"> [6, TS</w:t>
      </w:r>
      <w:r>
        <w:rPr>
          <w:lang w:val="en-US" w:eastAsia="ko-KR"/>
        </w:rPr>
        <w:t xml:space="preserve"> </w:t>
      </w:r>
      <w:r w:rsidRPr="00853474">
        <w:rPr>
          <w:lang w:val="en-US" w:eastAsia="ko-KR"/>
        </w:rPr>
        <w:t>38.214]</w:t>
      </w:r>
      <w:r>
        <w:rPr>
          <w:lang w:val="en-US" w:eastAsia="ko-KR"/>
        </w:rPr>
        <w:t xml:space="preserve"> sets </w:t>
      </w:r>
    </w:p>
    <w:p w14:paraId="6D442A1E" w14:textId="025D8148" w:rsidR="003B5163" w:rsidRPr="003B370B" w:rsidRDefault="003B5163" w:rsidP="003B5163">
      <w:pPr>
        <w:pStyle w:val="B1"/>
        <w:rPr>
          <w:lang w:val="en-US"/>
        </w:rPr>
      </w:pPr>
      <w:r>
        <w:t>-</w:t>
      </w:r>
      <w:r>
        <w:tab/>
      </w:r>
      <w:r w:rsidR="006C1D66">
        <w:t>"</w:t>
      </w:r>
      <w:r w:rsidRPr="00853474">
        <w:t>Resource reservation period</w:t>
      </w:r>
      <w:r w:rsidR="006C1D66">
        <w:t>"</w:t>
      </w:r>
      <w:r w:rsidRPr="00853474">
        <w:t xml:space="preserve"> </w:t>
      </w:r>
      <w:r>
        <w:t>as an index in</w:t>
      </w:r>
      <w:r w:rsidRPr="00853474">
        <w:t xml:space="preserve"> </w:t>
      </w:r>
      <w:r w:rsidR="00326E08" w:rsidRPr="00882C4D">
        <w:rPr>
          <w:i/>
          <w:iCs/>
        </w:rPr>
        <w:t>sl-ResourceReservePeriod</w:t>
      </w:r>
      <w:r w:rsidR="00593338">
        <w:rPr>
          <w:i/>
          <w:iCs/>
          <w:lang w:val="en-US"/>
        </w:rPr>
        <w:t>List</w:t>
      </w:r>
      <w:r>
        <w:rPr>
          <w:i/>
          <w:iCs/>
        </w:rPr>
        <w:t xml:space="preserve"> </w:t>
      </w:r>
      <w:r>
        <w:t xml:space="preserve">corresponding to a reservation </w:t>
      </w:r>
      <w:r w:rsidRPr="00853474">
        <w:t xml:space="preserve">period </w:t>
      </w:r>
      <w:r>
        <w:rPr>
          <w:lang w:val="en-US"/>
        </w:rPr>
        <w:t xml:space="preserve">provided by higher layers [11, TS 38.321], if the UE is </w:t>
      </w:r>
      <w:r>
        <w:rPr>
          <w:lang w:val="en-US" w:eastAsia="ko-KR"/>
        </w:rPr>
        <w:t>provided</w:t>
      </w:r>
      <w:r w:rsidRPr="00853474">
        <w:t xml:space="preserve"> </w:t>
      </w:r>
      <w:r w:rsidR="00326E08" w:rsidRPr="00882C4D">
        <w:rPr>
          <w:i/>
          <w:lang w:eastAsia="ko-KR"/>
        </w:rPr>
        <w:t>sl-MultiReserveResource</w:t>
      </w:r>
    </w:p>
    <w:p w14:paraId="6B10BF13" w14:textId="77777777" w:rsidR="003B5163" w:rsidRPr="004E5D65" w:rsidRDefault="003B5163" w:rsidP="003B5163">
      <w:pPr>
        <w:pStyle w:val="B1"/>
        <w:rPr>
          <w:lang w:eastAsia="zh-CN"/>
        </w:rPr>
      </w:pPr>
      <w:r w:rsidRPr="00031979">
        <w:rPr>
          <w:lang w:eastAsia="ko-KR"/>
        </w:rPr>
        <w:t>-</w:t>
      </w:r>
      <w:r w:rsidRPr="00031979">
        <w:rPr>
          <w:lang w:eastAsia="ko-KR"/>
        </w:rPr>
        <w:tab/>
      </w:r>
      <w:r w:rsidRPr="00031979">
        <w:t xml:space="preserve">the values of the </w:t>
      </w:r>
      <w:r>
        <w:rPr>
          <w:lang w:val="en-US"/>
        </w:rPr>
        <w:t>frequency</w:t>
      </w:r>
      <w:r w:rsidRPr="00031979">
        <w:t xml:space="preserve"> resource assignment field and the </w:t>
      </w:r>
      <w:r>
        <w:rPr>
          <w:lang w:val="en-US"/>
        </w:rPr>
        <w:t>time</w:t>
      </w:r>
      <w:r w:rsidRPr="00031979">
        <w:t xml:space="preserve"> resource assignment field as described in [6, TS</w:t>
      </w:r>
      <w:r>
        <w:t xml:space="preserve"> </w:t>
      </w:r>
      <w:r w:rsidRPr="00031979">
        <w:t xml:space="preserve">38.214] to indicate </w:t>
      </w:r>
      <m:oMath>
        <m:r>
          <w:rPr>
            <w:rFonts w:ascii="Cambria Math" w:eastAsiaTheme="minorHAnsi" w:hAnsi="Cambria Math" w:cs="Calibri"/>
          </w:rPr>
          <m:t>N</m:t>
        </m:r>
      </m:oMath>
      <w:r w:rsidRPr="00031979">
        <w:t xml:space="preserve"> resources</w:t>
      </w:r>
      <w:r>
        <w:t xml:space="preserve"> from </w:t>
      </w:r>
      <w:r>
        <w:rPr>
          <w:lang w:val="en-US"/>
        </w:rPr>
        <w:t>a</w:t>
      </w:r>
      <w:r>
        <w:t xml:space="preserve"> set</w:t>
      </w:r>
      <w:r w:rsidRPr="00031979">
        <w:t xml:space="preserve"> </w:t>
      </w:r>
      <m:oMath>
        <m:d>
          <m:dPr>
            <m:begChr m:val="{"/>
            <m:endChr m:val="}"/>
            <m:ctrlPr>
              <w:rPr>
                <w:rFonts w:ascii="Cambria Math" w:eastAsiaTheme="minorHAnsi" w:hAnsi="Cambria Math" w:cs="Calibri"/>
                <w:i/>
                <w:iCs/>
                <w:sz w:val="22"/>
                <w:szCs w:val="22"/>
                <w:lang w:eastAsia="en-GB"/>
              </w:rPr>
            </m:ctrlPr>
          </m:dPr>
          <m:e>
            <m:sSub>
              <m:sSubPr>
                <m:ctrlPr>
                  <w:rPr>
                    <w:rFonts w:ascii="Cambria Math" w:eastAsiaTheme="minorHAnsi" w:hAnsi="Cambria Math" w:cs="Calibri"/>
                    <w:i/>
                    <w:iCs/>
                    <w:sz w:val="22"/>
                    <w:szCs w:val="22"/>
                    <w:lang w:eastAsia="en-GB"/>
                  </w:rPr>
                </m:ctrlPr>
              </m:sSubPr>
              <m:e>
                <m:r>
                  <w:rPr>
                    <w:rFonts w:ascii="Cambria Math" w:hAnsi="Cambria Math"/>
                    <w:lang w:eastAsia="en-GB"/>
                  </w:rPr>
                  <m:t>R</m:t>
                </m:r>
              </m:e>
              <m:sub>
                <m:r>
                  <m:rPr>
                    <m:nor/>
                  </m:rPr>
                  <w:rPr>
                    <w:rFonts w:ascii="Cambria Math" w:hAnsi="Cambria Math"/>
                    <w:lang w:eastAsia="en-GB"/>
                  </w:rPr>
                  <m:t>y</m:t>
                </m:r>
                <m:ctrlPr>
                  <w:rPr>
                    <w:rFonts w:ascii="Cambria Math" w:eastAsiaTheme="minorHAnsi" w:hAnsi="Cambria Math" w:cs="Calibri"/>
                    <w:sz w:val="22"/>
                    <w:szCs w:val="22"/>
                    <w:lang w:eastAsia="en-GB"/>
                  </w:rPr>
                </m:ctrlPr>
              </m:sub>
            </m:sSub>
          </m:e>
        </m:d>
      </m:oMath>
      <w:r w:rsidRPr="00031979">
        <w:t xml:space="preserve"> </w:t>
      </w:r>
      <w:r>
        <w:rPr>
          <w:lang w:val="en-US"/>
        </w:rPr>
        <w:t xml:space="preserve">of resources </w:t>
      </w:r>
      <w:r w:rsidRPr="00031979">
        <w:t>selected by higher layer</w:t>
      </w:r>
      <w:r>
        <w:rPr>
          <w:lang w:val="en-US"/>
        </w:rPr>
        <w:t>s</w:t>
      </w:r>
      <w:r w:rsidRPr="00031979">
        <w:t xml:space="preserve"> as described in [</w:t>
      </w:r>
      <w:r>
        <w:t xml:space="preserve">11, </w:t>
      </w:r>
      <w:r w:rsidRPr="00031979">
        <w:t xml:space="preserve">TS 38.321] with </w:t>
      </w:r>
      <m:oMath>
        <m:r>
          <w:rPr>
            <w:rFonts w:ascii="Cambria Math" w:eastAsiaTheme="minorHAnsi" w:hAnsi="Cambria Math" w:cs="Calibri"/>
          </w:rPr>
          <m:t>N</m:t>
        </m:r>
      </m:oMath>
      <w:r>
        <w:t xml:space="preserve"> </w:t>
      </w:r>
      <w:r w:rsidRPr="00031979">
        <w:t xml:space="preserve">smallest </w:t>
      </w:r>
      <w:r>
        <w:t>sl</w:t>
      </w:r>
      <w:r w:rsidRPr="008D5191">
        <w:t xml:space="preserve">ot indices  </w:t>
      </w:r>
      <m:oMath>
        <m:sSub>
          <m:sSubPr>
            <m:ctrlPr>
              <w:rPr>
                <w:rFonts w:ascii="Cambria Math" w:hAnsi="Cambria Math"/>
                <w:i/>
                <w:iCs/>
                <w:sz w:val="24"/>
                <w:szCs w:val="24"/>
              </w:rPr>
            </m:ctrlPr>
          </m:sSubPr>
          <m:e>
            <m:r>
              <w:rPr>
                <w:rFonts w:ascii="Cambria Math" w:hAnsi="Cambria Math"/>
              </w:rPr>
              <m:t>y</m:t>
            </m:r>
          </m:e>
          <m:sub>
            <m:r>
              <w:rPr>
                <w:rFonts w:ascii="Cambria Math" w:hAnsi="Cambria Math"/>
                <w:lang w:eastAsia="zh-CN"/>
              </w:rPr>
              <m:t>i</m:t>
            </m:r>
          </m:sub>
        </m:sSub>
      </m:oMath>
      <w:r w:rsidRPr="008D5191">
        <w:rPr>
          <w:lang w:eastAsia="zh-CN"/>
        </w:rPr>
        <w:t xml:space="preserve"> </w:t>
      </w:r>
      <w:r>
        <w:rPr>
          <w:lang w:eastAsia="zh-CN"/>
        </w:rPr>
        <w:t xml:space="preserve">for </w:t>
      </w:r>
      <m:oMath>
        <m:r>
          <w:rPr>
            <w:rFonts w:ascii="Cambria Math" w:hAnsi="Cambria Math"/>
            <w:lang w:eastAsia="zh-CN"/>
          </w:rPr>
          <m:t>0≤i≤N-1</m:t>
        </m:r>
      </m:oMath>
      <w:r>
        <w:rPr>
          <w:lang w:eastAsia="zh-CN"/>
        </w:rPr>
        <w:t xml:space="preserve"> </w:t>
      </w:r>
      <w:r w:rsidRPr="008D5191">
        <w:t xml:space="preserve">such that </w:t>
      </w:r>
      <m:oMath>
        <m:sSub>
          <m:sSubPr>
            <m:ctrlPr>
              <w:rPr>
                <w:rFonts w:ascii="Cambria Math" w:hAnsi="Cambria Math"/>
                <w:i/>
                <w:iCs/>
                <w:sz w:val="24"/>
                <w:szCs w:val="24"/>
              </w:rPr>
            </m:ctrlPr>
          </m:sSubPr>
          <m:e>
            <m:r>
              <w:rPr>
                <w:rFonts w:ascii="Cambria Math" w:hAnsi="Cambria Math"/>
              </w:rPr>
              <m:t>y</m:t>
            </m:r>
          </m:e>
          <m:sub>
            <m:r>
              <w:rPr>
                <w:rFonts w:ascii="Cambria Math" w:hAnsi="Cambria Math"/>
              </w:rPr>
              <m:t>0</m:t>
            </m:r>
          </m:sub>
        </m:sSub>
        <m:r>
          <w:rPr>
            <w:rFonts w:ascii="Cambria Math" w:hAnsi="Cambria Math"/>
            <w:lang w:eastAsia="en-GB"/>
          </w:rPr>
          <m:t>&lt;</m:t>
        </m:r>
        <m:sSub>
          <m:sSubPr>
            <m:ctrlPr>
              <w:rPr>
                <w:rFonts w:ascii="Cambria Math" w:hAnsi="Cambria Math"/>
                <w:i/>
                <w:iCs/>
                <w:sz w:val="24"/>
                <w:szCs w:val="24"/>
              </w:rPr>
            </m:ctrlPr>
          </m:sSubPr>
          <m:e>
            <m:r>
              <w:rPr>
                <w:rFonts w:ascii="Cambria Math" w:hAnsi="Cambria Math"/>
              </w:rPr>
              <m:t>y</m:t>
            </m:r>
          </m:e>
          <m:sub>
            <m:r>
              <w:rPr>
                <w:rFonts w:ascii="Cambria Math" w:hAnsi="Cambria Math"/>
              </w:rPr>
              <m:t>1</m:t>
            </m:r>
          </m:sub>
        </m:sSub>
        <m:r>
          <w:rPr>
            <w:rFonts w:ascii="Cambria Math" w:hAnsi="Cambria Math"/>
            <w:lang w:eastAsia="en-GB"/>
          </w:rPr>
          <m:t>&lt;…&lt;</m:t>
        </m:r>
        <m:sSub>
          <m:sSubPr>
            <m:ctrlPr>
              <w:rPr>
                <w:rFonts w:ascii="Cambria Math" w:hAnsi="Cambria Math"/>
                <w:i/>
                <w:iCs/>
                <w:sz w:val="24"/>
                <w:szCs w:val="24"/>
              </w:rPr>
            </m:ctrlPr>
          </m:sSubPr>
          <m:e>
            <m:r>
              <w:rPr>
                <w:rFonts w:ascii="Cambria Math" w:hAnsi="Cambria Math"/>
              </w:rPr>
              <m:t>y</m:t>
            </m:r>
          </m:e>
          <m:sub>
            <m:r>
              <w:rPr>
                <w:rFonts w:ascii="Cambria Math" w:hAnsi="Cambria Math"/>
              </w:rPr>
              <m:t>N-1</m:t>
            </m:r>
          </m:sub>
        </m:sSub>
        <m:r>
          <w:rPr>
            <w:rFonts w:ascii="Cambria Math" w:hAnsi="Cambria Math"/>
            <w:lang w:eastAsia="en-GB"/>
          </w:rPr>
          <m:t>≤</m:t>
        </m:r>
        <m:sSub>
          <m:sSubPr>
            <m:ctrlPr>
              <w:rPr>
                <w:rFonts w:ascii="Cambria Math" w:hAnsi="Cambria Math"/>
                <w:i/>
                <w:iCs/>
                <w:sz w:val="24"/>
                <w:szCs w:val="24"/>
              </w:rPr>
            </m:ctrlPr>
          </m:sSubPr>
          <m:e>
            <m:r>
              <w:rPr>
                <w:rFonts w:ascii="Cambria Math" w:hAnsi="Cambria Math"/>
              </w:rPr>
              <m:t>y</m:t>
            </m:r>
          </m:e>
          <m:sub>
            <m:r>
              <w:rPr>
                <w:rFonts w:ascii="Cambria Math" w:hAnsi="Cambria Math"/>
              </w:rPr>
              <m:t>0</m:t>
            </m:r>
          </m:sub>
        </m:sSub>
        <m:r>
          <w:rPr>
            <w:rFonts w:ascii="Cambria Math" w:hAnsi="Cambria Math"/>
          </w:rPr>
          <m:t>+31</m:t>
        </m:r>
      </m:oMath>
      <w:r w:rsidRPr="00031979">
        <w:t>, where:</w:t>
      </w:r>
    </w:p>
    <w:p w14:paraId="7C7F379B" w14:textId="77777777" w:rsidR="003B5163" w:rsidRPr="00393AF8" w:rsidRDefault="003B5163" w:rsidP="003B5163">
      <w:pPr>
        <w:pStyle w:val="B2"/>
      </w:pPr>
      <w:r w:rsidRPr="00031979">
        <w:t>-</w:t>
      </w:r>
      <w:r w:rsidRPr="00031979">
        <w:tab/>
      </w:r>
      <m:oMath>
        <m:r>
          <w:rPr>
            <w:rFonts w:ascii="Cambria Math" w:eastAsiaTheme="minorHAnsi" w:hAnsi="Cambria Math" w:cs="Calibri"/>
          </w:rPr>
          <m:t>N=</m:t>
        </m:r>
        <m:r>
          <m:rPr>
            <m:sty m:val="p"/>
          </m:rPr>
          <w:rPr>
            <w:rFonts w:ascii="Cambria Math" w:eastAsiaTheme="minorHAnsi" w:hAnsi="Cambria Math" w:cs="Calibri"/>
          </w:rPr>
          <m:t>min</m:t>
        </m:r>
        <m:d>
          <m:dPr>
            <m:ctrlPr>
              <w:rPr>
                <w:rFonts w:ascii="Cambria Math" w:eastAsiaTheme="minorHAnsi" w:hAnsi="Cambria Math" w:cs="Calibri"/>
                <w:i/>
                <w:iCs/>
              </w:rPr>
            </m:ctrlPr>
          </m:dPr>
          <m:e>
            <m:sSub>
              <m:sSubPr>
                <m:ctrlPr>
                  <w:rPr>
                    <w:rFonts w:ascii="Cambria Math" w:hAnsi="Cambria Math"/>
                    <w:i/>
                    <w:iCs/>
                  </w:rPr>
                </m:ctrlPr>
              </m:sSubPr>
              <m:e>
                <m:r>
                  <w:rPr>
                    <w:rFonts w:ascii="Cambria Math" w:hAnsi="Cambria Math"/>
                  </w:rPr>
                  <m:t>N</m:t>
                </m:r>
              </m:e>
              <m:sub>
                <m:r>
                  <m:rPr>
                    <m:sty m:val="p"/>
                  </m:rPr>
                  <w:rPr>
                    <w:rFonts w:ascii="Cambria Math" w:hAnsi="Cambria Math"/>
                  </w:rPr>
                  <m:t>selected</m:t>
                </m:r>
              </m:sub>
            </m:sSub>
            <m:r>
              <m:rPr>
                <m:sty m:val="p"/>
              </m:rPr>
              <w:rPr>
                <w:rFonts w:ascii="Cambria Math" w:hAnsi="Cambria Math"/>
                <w:lang w:val="en-US"/>
              </w:rPr>
              <m:t>,</m:t>
            </m:r>
            <m:r>
              <m:rPr>
                <m:sty m:val="p"/>
              </m:rPr>
              <w:rPr>
                <w:rFonts w:ascii="Cambria Math" w:hAnsi="Cambria Math"/>
              </w:rPr>
              <m:t xml:space="preserve"> </m:t>
            </m:r>
            <m:sSub>
              <m:sSubPr>
                <m:ctrlPr>
                  <w:rPr>
                    <w:rFonts w:ascii="Cambria Math" w:hAnsi="Cambria Math"/>
                    <w:i/>
                    <w:iCs/>
                  </w:rPr>
                </m:ctrlPr>
              </m:sSubPr>
              <m:e>
                <m:r>
                  <w:rPr>
                    <w:rFonts w:ascii="Cambria Math" w:hAnsi="Cambria Math"/>
                  </w:rPr>
                  <m:t>N</m:t>
                </m:r>
              </m:e>
              <m:sub>
                <m:r>
                  <m:rPr>
                    <m:sty m:val="p"/>
                  </m:rPr>
                  <w:rPr>
                    <w:rFonts w:ascii="Cambria Math" w:hAnsi="Cambria Math"/>
                  </w:rPr>
                  <m:t>max_reserve</m:t>
                </m:r>
              </m:sub>
            </m:sSub>
          </m:e>
        </m:d>
      </m:oMath>
      <w:r w:rsidRPr="00031979">
        <w:t xml:space="preserve">, where </w:t>
      </w:r>
      <m:oMath>
        <m:sSub>
          <m:sSubPr>
            <m:ctrlPr>
              <w:rPr>
                <w:rFonts w:ascii="Cambria Math" w:hAnsi="Cambria Math"/>
                <w:i/>
                <w:iCs/>
                <w:sz w:val="24"/>
                <w:szCs w:val="24"/>
              </w:rPr>
            </m:ctrlPr>
          </m:sSubPr>
          <m:e>
            <m:r>
              <w:rPr>
                <w:rFonts w:ascii="Cambria Math" w:hAnsi="Cambria Math"/>
              </w:rPr>
              <m:t>N</m:t>
            </m:r>
          </m:e>
          <m:sub>
            <m:r>
              <m:rPr>
                <m:sty m:val="p"/>
              </m:rPr>
              <w:rPr>
                <w:rFonts w:ascii="Cambria Math" w:hAnsi="Cambria Math"/>
              </w:rPr>
              <m:t>selected</m:t>
            </m:r>
          </m:sub>
        </m:sSub>
      </m:oMath>
      <w:r w:rsidRPr="00031979">
        <w:t xml:space="preserve"> is </w:t>
      </w:r>
      <w:r>
        <w:rPr>
          <w:lang w:val="en-US"/>
        </w:rPr>
        <w:t>a</w:t>
      </w:r>
      <w:r w:rsidRPr="00031979">
        <w:t xml:space="preserve"> number of resources</w:t>
      </w:r>
      <w:r>
        <w:t xml:space="preserve"> in the set</w:t>
      </w:r>
      <w:r w:rsidRPr="00031979">
        <w:t xml:space="preserve"> </w:t>
      </w:r>
      <m:oMath>
        <m:d>
          <m:dPr>
            <m:begChr m:val="{"/>
            <m:endChr m:val="}"/>
            <m:ctrlPr>
              <w:rPr>
                <w:rFonts w:ascii="Cambria Math" w:eastAsiaTheme="minorHAnsi" w:hAnsi="Cambria Math" w:cs="Calibri"/>
                <w:i/>
                <w:iCs/>
                <w:sz w:val="22"/>
                <w:szCs w:val="22"/>
                <w:lang w:eastAsia="en-GB"/>
              </w:rPr>
            </m:ctrlPr>
          </m:dPr>
          <m:e>
            <m:sSub>
              <m:sSubPr>
                <m:ctrlPr>
                  <w:rPr>
                    <w:rFonts w:ascii="Cambria Math" w:eastAsiaTheme="minorHAnsi" w:hAnsi="Cambria Math" w:cs="Calibri"/>
                    <w:i/>
                    <w:iCs/>
                    <w:sz w:val="22"/>
                    <w:szCs w:val="22"/>
                    <w:lang w:eastAsia="en-GB"/>
                  </w:rPr>
                </m:ctrlPr>
              </m:sSubPr>
              <m:e>
                <m:r>
                  <w:rPr>
                    <w:rFonts w:ascii="Cambria Math" w:hAnsi="Cambria Math"/>
                    <w:lang w:eastAsia="en-GB"/>
                  </w:rPr>
                  <m:t>R</m:t>
                </m:r>
              </m:e>
              <m:sub>
                <m:r>
                  <m:rPr>
                    <m:nor/>
                  </m:rPr>
                  <w:rPr>
                    <w:rFonts w:ascii="Cambria Math" w:hAnsi="Cambria Math"/>
                    <w:lang w:eastAsia="en-GB"/>
                  </w:rPr>
                  <m:t>y</m:t>
                </m:r>
                <m:ctrlPr>
                  <w:rPr>
                    <w:rFonts w:ascii="Cambria Math" w:eastAsiaTheme="minorHAnsi" w:hAnsi="Cambria Math" w:cs="Calibri"/>
                    <w:sz w:val="22"/>
                    <w:szCs w:val="22"/>
                    <w:lang w:eastAsia="en-GB"/>
                  </w:rPr>
                </m:ctrlPr>
              </m:sub>
            </m:sSub>
          </m:e>
        </m:d>
      </m:oMath>
      <w:r w:rsidRPr="00031979">
        <w:t xml:space="preserve"> with </w:t>
      </w:r>
      <w:r>
        <w:t xml:space="preserve">slot </w:t>
      </w:r>
      <w:r w:rsidRPr="00031979">
        <w:t>ind</w:t>
      </w:r>
      <w:r>
        <w:t>ices</w:t>
      </w:r>
      <w:r w:rsidRPr="00031979">
        <w:t xml:space="preserve">  </w:t>
      </w:r>
      <m:oMath>
        <m:sSub>
          <m:sSubPr>
            <m:ctrlPr>
              <w:rPr>
                <w:rFonts w:ascii="Cambria Math" w:eastAsiaTheme="minorHAnsi" w:hAnsi="Cambria Math" w:cs="Calibri"/>
                <w:i/>
                <w:iCs/>
                <w:sz w:val="22"/>
                <w:szCs w:val="22"/>
              </w:rPr>
            </m:ctrlPr>
          </m:sSubPr>
          <m:e>
            <m:r>
              <w:rPr>
                <w:rFonts w:ascii="Cambria Math" w:hAnsi="Cambria Math"/>
              </w:rPr>
              <m:t>y</m:t>
            </m:r>
          </m:e>
          <m:sub>
            <m:r>
              <w:rPr>
                <w:rFonts w:ascii="Cambria Math" w:eastAsiaTheme="minorHAnsi" w:hAnsi="Cambria Math" w:cs="Calibri"/>
                <w:sz w:val="22"/>
                <w:szCs w:val="22"/>
              </w:rPr>
              <m:t>j</m:t>
            </m:r>
          </m:sub>
        </m:sSub>
      </m:oMath>
      <w:r>
        <w:rPr>
          <w:lang w:val="en-US"/>
        </w:rPr>
        <w:t>,</w:t>
      </w:r>
      <w:r>
        <w:t xml:space="preserve"> </w:t>
      </w:r>
      <m:oMath>
        <m:r>
          <w:rPr>
            <w:rFonts w:ascii="Cambria Math" w:hAnsi="Cambria Math"/>
          </w:rPr>
          <m:t>0≤j≤</m:t>
        </m:r>
        <m:sSub>
          <m:sSubPr>
            <m:ctrlPr>
              <w:rPr>
                <w:rFonts w:ascii="Cambria Math" w:hAnsi="Cambria Math"/>
                <w:i/>
                <w:iCs/>
                <w:sz w:val="24"/>
                <w:szCs w:val="24"/>
              </w:rPr>
            </m:ctrlPr>
          </m:sSubPr>
          <m:e>
            <m:r>
              <w:rPr>
                <w:rFonts w:ascii="Cambria Math" w:hAnsi="Cambria Math"/>
              </w:rPr>
              <m:t>N</m:t>
            </m:r>
          </m:e>
          <m:sub>
            <m:r>
              <m:rPr>
                <m:sty m:val="p"/>
              </m:rPr>
              <w:rPr>
                <w:rFonts w:ascii="Cambria Math" w:hAnsi="Cambria Math"/>
              </w:rPr>
              <m:t>selected</m:t>
            </m:r>
          </m:sub>
        </m:sSub>
        <m:r>
          <w:rPr>
            <w:rFonts w:ascii="Cambria Math" w:hAnsi="Cambria Math"/>
          </w:rPr>
          <m:t>-1</m:t>
        </m:r>
      </m:oMath>
      <w:r>
        <w:rPr>
          <w:lang w:val="en-US"/>
        </w:rPr>
        <w:t>,</w:t>
      </w:r>
      <w:r>
        <w:t xml:space="preserve"> </w:t>
      </w:r>
      <w:r w:rsidRPr="00031979">
        <w:t xml:space="preserve">such that </w:t>
      </w:r>
      <m:oMath>
        <m:sSub>
          <m:sSubPr>
            <m:ctrlPr>
              <w:rPr>
                <w:rFonts w:ascii="Cambria Math" w:hAnsi="Cambria Math"/>
                <w:i/>
                <w:iCs/>
                <w:sz w:val="24"/>
                <w:szCs w:val="24"/>
              </w:rPr>
            </m:ctrlPr>
          </m:sSubPr>
          <m:e>
            <m:r>
              <w:rPr>
                <w:rFonts w:ascii="Cambria Math" w:hAnsi="Cambria Math"/>
              </w:rPr>
              <m:t>y</m:t>
            </m:r>
          </m:e>
          <m:sub>
            <m:r>
              <w:rPr>
                <w:rFonts w:ascii="Cambria Math" w:hAnsi="Cambria Math"/>
              </w:rPr>
              <m:t>0</m:t>
            </m:r>
          </m:sub>
        </m:sSub>
        <m:r>
          <w:rPr>
            <w:rFonts w:ascii="Cambria Math" w:hAnsi="Cambria Math"/>
            <w:lang w:eastAsia="en-GB"/>
          </w:rPr>
          <m:t>&lt;</m:t>
        </m:r>
        <m:sSub>
          <m:sSubPr>
            <m:ctrlPr>
              <w:rPr>
                <w:rFonts w:ascii="Cambria Math" w:hAnsi="Cambria Math"/>
                <w:i/>
                <w:iCs/>
                <w:sz w:val="24"/>
                <w:szCs w:val="24"/>
              </w:rPr>
            </m:ctrlPr>
          </m:sSubPr>
          <m:e>
            <m:r>
              <w:rPr>
                <w:rFonts w:ascii="Cambria Math" w:hAnsi="Cambria Math"/>
              </w:rPr>
              <m:t>y</m:t>
            </m:r>
          </m:e>
          <m:sub>
            <m:r>
              <w:rPr>
                <w:rFonts w:ascii="Cambria Math" w:hAnsi="Cambria Math"/>
              </w:rPr>
              <m:t>1</m:t>
            </m:r>
          </m:sub>
        </m:sSub>
        <m:r>
          <w:rPr>
            <w:rFonts w:ascii="Cambria Math" w:hAnsi="Cambria Math"/>
            <w:lang w:eastAsia="en-GB"/>
          </w:rPr>
          <m:t>&lt;…&lt;</m:t>
        </m:r>
        <m:sSub>
          <m:sSubPr>
            <m:ctrlPr>
              <w:rPr>
                <w:rFonts w:ascii="Cambria Math" w:hAnsi="Cambria Math"/>
                <w:i/>
                <w:iCs/>
                <w:sz w:val="24"/>
                <w:szCs w:val="24"/>
              </w:rPr>
            </m:ctrlPr>
          </m:sSubPr>
          <m:e>
            <m:r>
              <w:rPr>
                <w:rFonts w:ascii="Cambria Math" w:hAnsi="Cambria Math"/>
              </w:rPr>
              <m:t>y</m:t>
            </m:r>
          </m:e>
          <m:sub>
            <m:sSub>
              <m:sSubPr>
                <m:ctrlPr>
                  <w:rPr>
                    <w:rFonts w:ascii="Cambria Math" w:hAnsi="Cambria Math"/>
                    <w:i/>
                    <w:iCs/>
                    <w:sz w:val="24"/>
                    <w:szCs w:val="24"/>
                  </w:rPr>
                </m:ctrlPr>
              </m:sSubPr>
              <m:e>
                <m:r>
                  <w:rPr>
                    <w:rFonts w:ascii="Cambria Math" w:hAnsi="Cambria Math"/>
                  </w:rPr>
                  <m:t>N</m:t>
                </m:r>
              </m:e>
              <m:sub>
                <m:r>
                  <m:rPr>
                    <m:sty m:val="p"/>
                  </m:rPr>
                  <w:rPr>
                    <w:rFonts w:ascii="Cambria Math" w:hAnsi="Cambria Math"/>
                  </w:rPr>
                  <m:t>selected</m:t>
                </m:r>
              </m:sub>
            </m:sSub>
            <m:r>
              <w:rPr>
                <w:rFonts w:ascii="Cambria Math" w:hAnsi="Cambria Math"/>
              </w:rPr>
              <m:t>-1</m:t>
            </m:r>
          </m:sub>
        </m:sSub>
        <m:r>
          <w:rPr>
            <w:rFonts w:ascii="Cambria Math" w:hAnsi="Cambria Math"/>
            <w:lang w:eastAsia="en-GB"/>
          </w:rPr>
          <m:t>≤</m:t>
        </m:r>
        <m:sSub>
          <m:sSubPr>
            <m:ctrlPr>
              <w:rPr>
                <w:rFonts w:ascii="Cambria Math" w:hAnsi="Cambria Math"/>
                <w:i/>
                <w:iCs/>
                <w:sz w:val="24"/>
                <w:szCs w:val="24"/>
              </w:rPr>
            </m:ctrlPr>
          </m:sSubPr>
          <m:e>
            <m:r>
              <w:rPr>
                <w:rFonts w:ascii="Cambria Math" w:hAnsi="Cambria Math"/>
              </w:rPr>
              <m:t>y</m:t>
            </m:r>
          </m:e>
          <m:sub>
            <m:r>
              <w:rPr>
                <w:rFonts w:ascii="Cambria Math" w:hAnsi="Cambria Math"/>
              </w:rPr>
              <m:t>0</m:t>
            </m:r>
          </m:sub>
        </m:sSub>
        <m:r>
          <w:rPr>
            <w:rFonts w:ascii="Cambria Math" w:hAnsi="Cambria Math"/>
          </w:rPr>
          <m:t>+31</m:t>
        </m:r>
      </m:oMath>
      <w:r>
        <w:t>,</w:t>
      </w:r>
      <w:r w:rsidRPr="00031979">
        <w:t xml:space="preserve"> </w:t>
      </w:r>
      <w:r w:rsidRPr="00393AF8">
        <w:t xml:space="preserve">and </w:t>
      </w:r>
      <m:oMath>
        <m:sSub>
          <m:sSubPr>
            <m:ctrlPr>
              <w:rPr>
                <w:rFonts w:ascii="Cambria Math" w:hAnsi="Cambria Math"/>
                <w:i/>
                <w:iCs/>
              </w:rPr>
            </m:ctrlPr>
          </m:sSubPr>
          <m:e>
            <m:r>
              <w:rPr>
                <w:rFonts w:ascii="Cambria Math" w:hAnsi="Cambria Math"/>
              </w:rPr>
              <m:t>N</m:t>
            </m:r>
          </m:e>
          <m:sub>
            <m:r>
              <m:rPr>
                <m:sty m:val="p"/>
              </m:rPr>
              <w:rPr>
                <w:rFonts w:ascii="Cambria Math" w:hAnsi="Cambria Math"/>
              </w:rPr>
              <m:t>max_reserve</m:t>
            </m:r>
          </m:sub>
        </m:sSub>
      </m:oMath>
      <w:r w:rsidRPr="00393AF8">
        <w:rPr>
          <w:iCs/>
          <w:lang w:val="en-US"/>
        </w:rPr>
        <w:t xml:space="preserve"> is provided by </w:t>
      </w:r>
      <w:r w:rsidRPr="00393AF8">
        <w:rPr>
          <w:i/>
          <w:iCs/>
        </w:rPr>
        <w:t>sl-MaxNumPerReserve</w:t>
      </w:r>
    </w:p>
    <w:p w14:paraId="37853151" w14:textId="09FA1E24" w:rsidR="003B5163" w:rsidRPr="00031979" w:rsidRDefault="003B5163" w:rsidP="003B5163">
      <w:pPr>
        <w:pStyle w:val="B2"/>
      </w:pPr>
      <w:r w:rsidRPr="00031979">
        <w:rPr>
          <w:iCs/>
          <w:sz w:val="22"/>
          <w:szCs w:val="22"/>
          <w:lang w:eastAsia="en-GB"/>
        </w:rPr>
        <w:t>-</w:t>
      </w:r>
      <w:r w:rsidRPr="00031979">
        <w:rPr>
          <w:iCs/>
          <w:sz w:val="22"/>
          <w:szCs w:val="22"/>
          <w:lang w:eastAsia="en-GB"/>
        </w:rPr>
        <w:tab/>
      </w:r>
      <w:r w:rsidRPr="00A766AD">
        <w:t>each</w:t>
      </w:r>
      <w:r>
        <w:rPr>
          <w:lang w:eastAsia="ko-KR"/>
        </w:rPr>
        <w:t xml:space="preserve"> </w:t>
      </w:r>
      <w:r>
        <w:rPr>
          <w:lang w:val="en-US" w:eastAsia="ko-KR"/>
        </w:rPr>
        <w:t xml:space="preserve">resource, from </w:t>
      </w:r>
      <w:r w:rsidRPr="00393AF8">
        <w:rPr>
          <w:lang w:val="en-US" w:eastAsia="ko-KR"/>
        </w:rPr>
        <w:t xml:space="preserve">the set of </w:t>
      </w:r>
      <m:oMath>
        <m:d>
          <m:dPr>
            <m:begChr m:val="{"/>
            <m:endChr m:val="}"/>
            <m:ctrlPr>
              <w:rPr>
                <w:rFonts w:ascii="Cambria Math" w:eastAsiaTheme="minorHAnsi" w:hAnsi="Cambria Math"/>
                <w:i/>
                <w:iCs/>
                <w:lang w:eastAsia="en-GB"/>
              </w:rPr>
            </m:ctrlPr>
          </m:dPr>
          <m:e>
            <m:sSub>
              <m:sSubPr>
                <m:ctrlPr>
                  <w:rPr>
                    <w:rFonts w:ascii="Cambria Math" w:eastAsiaTheme="minorHAnsi" w:hAnsi="Cambria Math"/>
                    <w:i/>
                    <w:iCs/>
                    <w:lang w:eastAsia="en-GB"/>
                  </w:rPr>
                </m:ctrlPr>
              </m:sSubPr>
              <m:e>
                <m:r>
                  <w:rPr>
                    <w:rFonts w:ascii="Cambria Math" w:hAnsi="Cambria Math"/>
                    <w:lang w:eastAsia="en-GB"/>
                  </w:rPr>
                  <m:t>R</m:t>
                </m:r>
              </m:e>
              <m:sub>
                <m:r>
                  <m:rPr>
                    <m:nor/>
                  </m:rPr>
                  <w:rPr>
                    <w:lang w:eastAsia="en-GB"/>
                  </w:rPr>
                  <m:t>y</m:t>
                </m:r>
                <m:ctrlPr>
                  <w:rPr>
                    <w:rFonts w:ascii="Cambria Math" w:eastAsiaTheme="minorHAnsi" w:hAnsi="Cambria Math"/>
                    <w:lang w:eastAsia="en-GB"/>
                  </w:rPr>
                </m:ctrlPr>
              </m:sub>
            </m:sSub>
          </m:e>
        </m:d>
      </m:oMath>
      <w:r w:rsidRPr="00D27D43">
        <w:rPr>
          <w:iCs/>
          <w:lang w:val="en-US" w:eastAsia="en-GB"/>
        </w:rPr>
        <w:t xml:space="preserve"> resources</w:t>
      </w:r>
      <w:r>
        <w:rPr>
          <w:iCs/>
          <w:lang w:val="en-US" w:eastAsia="en-GB"/>
        </w:rPr>
        <w:t>,</w:t>
      </w:r>
      <w:r w:rsidRPr="00D27D43">
        <w:rPr>
          <w:iCs/>
          <w:lang w:val="en-US" w:eastAsia="en-GB"/>
        </w:rPr>
        <w:t xml:space="preserve"> </w:t>
      </w:r>
      <w:r w:rsidRPr="00393AF8">
        <w:rPr>
          <w:lang w:eastAsia="ko-KR"/>
        </w:rPr>
        <w:t>correspond</w:t>
      </w:r>
      <w:r w:rsidRPr="00393AF8">
        <w:rPr>
          <w:lang w:val="en-US" w:eastAsia="ko-KR"/>
        </w:rPr>
        <w:t>s</w:t>
      </w:r>
      <w:r w:rsidRPr="00393AF8">
        <w:rPr>
          <w:lang w:eastAsia="ko-KR"/>
        </w:rPr>
        <w:t xml:space="preserve"> to</w:t>
      </w:r>
      <w:r w:rsidRPr="00D27D43">
        <w:rPr>
          <w:lang w:eastAsia="ko-KR"/>
        </w:rPr>
        <w:t xml:space="preserve"> </w:t>
      </w:r>
      <m:oMath>
        <m:sSub>
          <m:sSubPr>
            <m:ctrlPr>
              <w:rPr>
                <w:rFonts w:ascii="Cambria Math" w:eastAsiaTheme="minorHAnsi" w:hAnsi="Cambria Math"/>
                <w:i/>
                <w:iCs/>
                <w:lang w:eastAsia="en-GB"/>
              </w:rPr>
            </m:ctrlPr>
          </m:sSubPr>
          <m:e>
            <m:r>
              <w:rPr>
                <w:rFonts w:ascii="Cambria Math" w:hAnsi="Cambria Math"/>
                <w:lang w:eastAsia="en-GB"/>
              </w:rPr>
              <m:t>L</m:t>
            </m:r>
          </m:e>
          <m:sub>
            <m:r>
              <m:rPr>
                <m:nor/>
              </m:rPr>
              <w:rPr>
                <w:lang w:eastAsia="en-GB"/>
              </w:rPr>
              <m:t>subCH</m:t>
            </m:r>
            <m:ctrlPr>
              <w:rPr>
                <w:rFonts w:ascii="Cambria Math" w:eastAsiaTheme="minorHAnsi" w:hAnsi="Cambria Math"/>
                <w:lang w:eastAsia="en-GB"/>
              </w:rPr>
            </m:ctrlPr>
          </m:sub>
        </m:sSub>
      </m:oMath>
      <w:r w:rsidRPr="00393AF8">
        <w:rPr>
          <w:lang w:eastAsia="ko-KR"/>
        </w:rPr>
        <w:t xml:space="preserve"> contiguous</w:t>
      </w:r>
      <w:r w:rsidRPr="00031979">
        <w:rPr>
          <w:lang w:eastAsia="ko-KR"/>
        </w:rPr>
        <w:t xml:space="preserve"> sub-channels </w:t>
      </w:r>
      <w:r>
        <w:rPr>
          <w:lang w:eastAsia="ko-KR"/>
        </w:rPr>
        <w:t xml:space="preserve">and a slot </w:t>
      </w:r>
      <w:r w:rsidRPr="00031979">
        <w:rPr>
          <w:lang w:eastAsia="ko-KR"/>
        </w:rPr>
        <w:t xml:space="preserve">in </w:t>
      </w:r>
      <w:r>
        <w:rPr>
          <w:lang w:eastAsia="ko-KR"/>
        </w:rPr>
        <w:t xml:space="preserve">a set of </w:t>
      </w:r>
      <w:r w:rsidRPr="00031979">
        <w:rPr>
          <w:lang w:eastAsia="ko-KR"/>
        </w:rPr>
        <w:t>slot</w:t>
      </w:r>
      <w:r>
        <w:rPr>
          <w:lang w:eastAsia="ko-KR"/>
        </w:rPr>
        <w:t>s</w:t>
      </w:r>
      <w:r w:rsidRPr="00031979">
        <w:rPr>
          <w:lang w:eastAsia="ko-KR"/>
        </w:rPr>
        <w:t xml:space="preserve"> </w:t>
      </w:r>
      <m:oMath>
        <m:r>
          <m:rPr>
            <m:sty m:val="p"/>
          </m:rPr>
          <w:rPr>
            <w:rFonts w:ascii="Cambria Math" w:hAnsi="Cambria Math"/>
            <w:lang w:eastAsia="ko-KR"/>
          </w:rPr>
          <m:t>{</m:t>
        </m:r>
        <m:sSubSup>
          <m:sSubSupPr>
            <m:ctrlPr>
              <w:rPr>
                <w:rFonts w:ascii="Cambria Math" w:eastAsiaTheme="minorHAnsi" w:hAnsi="Cambria Math" w:cs="Calibri"/>
                <w:i/>
                <w:iCs/>
                <w:sz w:val="22"/>
                <w:szCs w:val="22"/>
              </w:rPr>
            </m:ctrlPr>
          </m:sSubSupPr>
          <m:e>
            <m:r>
              <w:rPr>
                <w:rFonts w:ascii="Cambria Math" w:hAnsi="Cambria Math"/>
              </w:rPr>
              <m:t>t'</m:t>
            </m:r>
          </m:e>
          <m:sub>
            <m:r>
              <w:rPr>
                <w:rFonts w:ascii="Cambria Math" w:hAnsi="Cambria Math"/>
              </w:rPr>
              <m:t>y</m:t>
            </m:r>
          </m:sub>
          <m:sup>
            <m:r>
              <w:rPr>
                <w:rFonts w:ascii="Cambria Math" w:hAnsi="Cambria Math"/>
              </w:rPr>
              <m:t>SL</m:t>
            </m:r>
          </m:sup>
        </m:sSubSup>
        <m:r>
          <w:rPr>
            <w:rFonts w:ascii="Cambria Math" w:eastAsiaTheme="minorHAnsi" w:hAnsi="Cambria Math" w:cs="Calibri"/>
            <w:sz w:val="22"/>
            <w:szCs w:val="22"/>
            <w:lang w:eastAsia="en-GB"/>
          </w:rPr>
          <m:t>}</m:t>
        </m:r>
      </m:oMath>
      <w:r w:rsidRPr="00031979">
        <w:rPr>
          <w:lang w:eastAsia="en-GB"/>
        </w:rPr>
        <w:t xml:space="preserve">, where </w:t>
      </w:r>
      <m:oMath>
        <m:sSub>
          <m:sSubPr>
            <m:ctrlPr>
              <w:rPr>
                <w:rFonts w:ascii="Cambria Math" w:eastAsiaTheme="minorHAnsi" w:hAnsi="Cambria Math" w:cs="Calibri"/>
                <w:i/>
                <w:iCs/>
                <w:sz w:val="22"/>
                <w:szCs w:val="22"/>
              </w:rPr>
            </m:ctrlPr>
          </m:sSubPr>
          <m:e>
            <m:r>
              <w:rPr>
                <w:rFonts w:ascii="Cambria Math" w:hAnsi="Cambria Math"/>
              </w:rPr>
              <m:t>L</m:t>
            </m:r>
          </m:e>
          <m:sub>
            <m:r>
              <m:rPr>
                <m:nor/>
              </m:rPr>
              <m:t>subCH</m:t>
            </m:r>
            <m:ctrlPr>
              <w:rPr>
                <w:rFonts w:ascii="Cambria Math" w:eastAsiaTheme="minorHAnsi" w:hAnsi="Cambria Math" w:cs="Calibri"/>
                <w:sz w:val="22"/>
                <w:szCs w:val="22"/>
              </w:rPr>
            </m:ctrlPr>
          </m:sub>
        </m:sSub>
      </m:oMath>
      <w:r w:rsidRPr="00031979">
        <w:t xml:space="preserve"> is the number of sub-channels </w:t>
      </w:r>
      <w:r>
        <w:rPr>
          <w:lang w:val="en-US"/>
        </w:rPr>
        <w:t>available</w:t>
      </w:r>
      <w:r w:rsidRPr="00031979">
        <w:t xml:space="preserve"> for PSSCH/PSCCH transmission in a slot</w:t>
      </w:r>
    </w:p>
    <w:p w14:paraId="0BC1BB95" w14:textId="12D5CED0" w:rsidR="003B5163" w:rsidRPr="002D28CA" w:rsidRDefault="003B5163" w:rsidP="003B5163">
      <w:pPr>
        <w:pStyle w:val="B2"/>
        <w:rPr>
          <w:lang w:val="en-US"/>
        </w:rPr>
      </w:pPr>
      <w:r w:rsidRPr="00031979">
        <w:rPr>
          <w:iCs/>
          <w:sz w:val="22"/>
          <w:szCs w:val="22"/>
        </w:rPr>
        <w:t>-</w:t>
      </w:r>
      <w:r w:rsidRPr="00031979">
        <w:rPr>
          <w:iCs/>
          <w:sz w:val="22"/>
          <w:szCs w:val="22"/>
        </w:rPr>
        <w:tab/>
      </w:r>
      <m:oMath>
        <m:d>
          <m:dPr>
            <m:ctrlPr>
              <w:rPr>
                <w:rFonts w:ascii="Cambria Math" w:eastAsiaTheme="minorHAnsi" w:hAnsi="Cambria Math" w:cs="Calibri"/>
                <w:i/>
                <w:iCs/>
                <w:sz w:val="22"/>
                <w:szCs w:val="22"/>
              </w:rPr>
            </m:ctrlPr>
          </m:dPr>
          <m:e>
            <m:sSubSup>
              <m:sSubSupPr>
                <m:ctrlPr>
                  <w:rPr>
                    <w:rFonts w:ascii="Cambria Math" w:eastAsiaTheme="minorHAnsi" w:hAnsi="Cambria Math" w:cs="Calibri"/>
                    <w:i/>
                    <w:iCs/>
                    <w:sz w:val="22"/>
                    <w:szCs w:val="22"/>
                  </w:rPr>
                </m:ctrlPr>
              </m:sSubSupPr>
              <m:e>
                <m:r>
                  <w:rPr>
                    <w:rFonts w:ascii="Cambria Math" w:hAnsi="Cambria Math"/>
                  </w:rPr>
                  <m:t>t'</m:t>
                </m:r>
              </m:e>
              <m:sub>
                <m:r>
                  <w:rPr>
                    <w:rFonts w:ascii="Cambria Math" w:hAnsi="Cambria Math"/>
                  </w:rPr>
                  <m:t>0</m:t>
                </m:r>
              </m:sub>
              <m:sup>
                <m:r>
                  <w:rPr>
                    <w:rFonts w:ascii="Cambria Math" w:hAnsi="Cambria Math"/>
                  </w:rPr>
                  <m:t>SL</m:t>
                </m:r>
              </m:sup>
            </m:sSubSup>
            <m:r>
              <w:rPr>
                <w:rFonts w:ascii="Cambria Math" w:hAnsi="Cambria Math"/>
              </w:rPr>
              <m:t>,</m:t>
            </m:r>
            <m:sSubSup>
              <m:sSubSupPr>
                <m:ctrlPr>
                  <w:rPr>
                    <w:rFonts w:ascii="Cambria Math" w:eastAsiaTheme="minorHAnsi" w:hAnsi="Cambria Math" w:cs="Calibri"/>
                    <w:i/>
                    <w:iCs/>
                    <w:sz w:val="22"/>
                    <w:szCs w:val="22"/>
                  </w:rPr>
                </m:ctrlPr>
              </m:sSubSupPr>
              <m:e>
                <m:r>
                  <w:rPr>
                    <w:rFonts w:ascii="Cambria Math" w:hAnsi="Cambria Math"/>
                  </w:rPr>
                  <m:t>t'</m:t>
                </m:r>
              </m:e>
              <m:sub>
                <m:r>
                  <w:rPr>
                    <w:rFonts w:ascii="Cambria Math" w:hAnsi="Cambria Math"/>
                  </w:rPr>
                  <m:t>1</m:t>
                </m:r>
              </m:sub>
              <m:sup>
                <m:r>
                  <w:rPr>
                    <w:rFonts w:ascii="Cambria Math" w:hAnsi="Cambria Math"/>
                  </w:rPr>
                  <m:t>SL</m:t>
                </m:r>
              </m:sup>
            </m:sSubSup>
            <m:r>
              <w:rPr>
                <w:rFonts w:ascii="Cambria Math" w:hAnsi="Cambria Math"/>
              </w:rPr>
              <m:t>,</m:t>
            </m:r>
            <m:sSubSup>
              <m:sSubSupPr>
                <m:ctrlPr>
                  <w:rPr>
                    <w:rFonts w:ascii="Cambria Math" w:eastAsiaTheme="minorHAnsi" w:hAnsi="Cambria Math" w:cs="Calibri"/>
                    <w:i/>
                    <w:iCs/>
                    <w:sz w:val="22"/>
                    <w:szCs w:val="22"/>
                  </w:rPr>
                </m:ctrlPr>
              </m:sSubSupPr>
              <m:e>
                <m:r>
                  <w:rPr>
                    <w:rFonts w:ascii="Cambria Math" w:hAnsi="Cambria Math"/>
                  </w:rPr>
                  <m:t>t'</m:t>
                </m:r>
              </m:e>
              <m:sub>
                <m:r>
                  <w:rPr>
                    <w:rFonts w:ascii="Cambria Math" w:hAnsi="Cambria Math"/>
                  </w:rPr>
                  <m:t>2</m:t>
                </m:r>
              </m:sub>
              <m:sup>
                <m:r>
                  <w:rPr>
                    <w:rFonts w:ascii="Cambria Math" w:hAnsi="Cambria Math"/>
                  </w:rPr>
                  <m:t>SL</m:t>
                </m:r>
              </m:sup>
            </m:sSubSup>
            <m:r>
              <w:rPr>
                <w:rFonts w:ascii="Cambria Math" w:hAnsi="Cambria Math"/>
              </w:rPr>
              <m:t>,...</m:t>
            </m:r>
          </m:e>
        </m:d>
      </m:oMath>
      <w:r w:rsidRPr="00031979">
        <w:rPr>
          <w:lang w:eastAsia="ko-KR"/>
        </w:rPr>
        <w:t xml:space="preserve"> </w:t>
      </w:r>
      <w:r>
        <w:rPr>
          <w:lang w:val="en-US"/>
        </w:rPr>
        <w:t>is a</w:t>
      </w:r>
      <w:r w:rsidRPr="00031979">
        <w:rPr>
          <w:lang w:eastAsia="ko-KR"/>
        </w:rPr>
        <w:t xml:space="preserve"> </w:t>
      </w:r>
      <w:r w:rsidRPr="00A766AD">
        <w:t>set</w:t>
      </w:r>
      <w:r w:rsidRPr="00031979">
        <w:rPr>
          <w:lang w:eastAsia="ko-KR"/>
        </w:rPr>
        <w:t xml:space="preserve"> of slots </w:t>
      </w:r>
      <w:r>
        <w:rPr>
          <w:lang w:val="en-US" w:eastAsia="ko-KR"/>
        </w:rPr>
        <w:t>in</w:t>
      </w:r>
      <w:r w:rsidRPr="00031979">
        <w:rPr>
          <w:lang w:eastAsia="ko-KR"/>
        </w:rPr>
        <w:t xml:space="preserve"> a sidelink resource pool</w:t>
      </w:r>
      <w:r>
        <w:rPr>
          <w:lang w:val="en-US" w:eastAsia="ko-KR"/>
        </w:rPr>
        <w:t xml:space="preserve"> [6, TS 38.214]</w:t>
      </w:r>
    </w:p>
    <w:p w14:paraId="2245FDBA" w14:textId="77777777" w:rsidR="003B5163" w:rsidRDefault="003B5163" w:rsidP="00E42FD2">
      <w:pPr>
        <w:pStyle w:val="B2"/>
      </w:pPr>
      <w:r w:rsidRPr="00031979">
        <w:rPr>
          <w:iCs/>
          <w:sz w:val="22"/>
          <w:szCs w:val="22"/>
        </w:rPr>
        <w:t>-</w:t>
      </w:r>
      <w:r w:rsidRPr="00031979">
        <w:rPr>
          <w:iCs/>
          <w:sz w:val="22"/>
          <w:szCs w:val="22"/>
        </w:rPr>
        <w:tab/>
      </w:r>
      <m:oMath>
        <m:sSub>
          <m:sSubPr>
            <m:ctrlPr>
              <w:rPr>
                <w:rFonts w:ascii="Cambria Math" w:eastAsiaTheme="minorHAnsi" w:hAnsi="Cambria Math" w:cs="Calibri"/>
                <w:i/>
                <w:iCs/>
                <w:sz w:val="22"/>
                <w:szCs w:val="22"/>
              </w:rPr>
            </m:ctrlPr>
          </m:sSubPr>
          <m:e>
            <m:r>
              <w:rPr>
                <w:rFonts w:ascii="Cambria Math" w:hAnsi="Cambria Math"/>
              </w:rPr>
              <m:t>y</m:t>
            </m:r>
          </m:e>
          <m:sub>
            <m:r>
              <w:rPr>
                <w:rFonts w:ascii="Cambria Math" w:hAnsi="Cambria Math"/>
              </w:rPr>
              <m:t>0</m:t>
            </m:r>
          </m:sub>
        </m:sSub>
      </m:oMath>
      <w:r w:rsidRPr="00031979">
        <w:t xml:space="preserve"> </w:t>
      </w:r>
      <w:r>
        <w:t xml:space="preserve">is an </w:t>
      </w:r>
      <w:r w:rsidRPr="00A766AD">
        <w:rPr>
          <w:lang w:eastAsia="ko-KR"/>
        </w:rPr>
        <w:t>index</w:t>
      </w:r>
      <w:r>
        <w:t xml:space="preserve"> of a slot where the PSCCH with SCI format 1-A is transmitted</w:t>
      </w:r>
      <w:r w:rsidRPr="00031979">
        <w:t>.</w:t>
      </w:r>
    </w:p>
    <w:p w14:paraId="276C9C61" w14:textId="77777777" w:rsidR="006959EE" w:rsidRDefault="006959EE" w:rsidP="006959EE">
      <w:pPr>
        <w:rPr>
          <w:lang w:eastAsia="en-GB"/>
        </w:rPr>
      </w:pPr>
      <w:r>
        <w:rPr>
          <w:lang w:eastAsia="en-GB"/>
        </w:rPr>
        <w:t>A UE that transmits a PSCCH with SCI format 1-A using sidelink resource allocation mode 1 [6, TS 38.214] sets</w:t>
      </w:r>
    </w:p>
    <w:p w14:paraId="0CB7FD3F" w14:textId="1EE8EA5C" w:rsidR="006959EE" w:rsidRDefault="006959EE" w:rsidP="0004657D">
      <w:pPr>
        <w:pStyle w:val="B1"/>
        <w:rPr>
          <w:lang w:eastAsia="en-GB"/>
        </w:rPr>
      </w:pPr>
      <w:r>
        <w:rPr>
          <w:lang w:eastAsia="en-GB"/>
        </w:rPr>
        <w:t>-</w:t>
      </w:r>
      <w:r>
        <w:rPr>
          <w:lang w:eastAsia="en-GB"/>
        </w:rPr>
        <w:tab/>
        <w:t xml:space="preserve">the values of the frequency resource assignment field and the time resource assignment field for the </w:t>
      </w:r>
      <w:r w:rsidRPr="00A420DD">
        <w:rPr>
          <w:lang w:eastAsia="en-GB"/>
        </w:rPr>
        <w:t>SCI format 1-A transmitted in</w:t>
      </w:r>
      <w:r>
        <w:rPr>
          <w:lang w:eastAsia="en-GB"/>
        </w:rPr>
        <w:t xml:space="preserve"> the </w:t>
      </w:r>
      <m:oMath>
        <m:r>
          <w:rPr>
            <w:rFonts w:ascii="Cambria Math" w:hAnsi="Cambria Math"/>
            <w:lang w:eastAsia="en-GB"/>
          </w:rPr>
          <m:t>m</m:t>
        </m:r>
      </m:oMath>
      <w:r>
        <w:rPr>
          <w:lang w:eastAsia="en-GB"/>
        </w:rPr>
        <w:t xml:space="preserve">-th resource </w:t>
      </w:r>
      <w:r w:rsidRPr="00465A2F">
        <w:rPr>
          <w:lang w:eastAsia="en-GB"/>
        </w:rPr>
        <w:t xml:space="preserve">for </w:t>
      </w:r>
      <w:r>
        <w:rPr>
          <w:lang w:eastAsia="en-GB"/>
        </w:rPr>
        <w:t>PSCCH/PSSCH</w:t>
      </w:r>
      <w:r w:rsidRPr="00465A2F">
        <w:rPr>
          <w:lang w:eastAsia="en-GB"/>
        </w:rPr>
        <w:t xml:space="preserve"> transmission</w:t>
      </w:r>
      <w:r>
        <w:rPr>
          <w:lang w:eastAsia="en-GB"/>
        </w:rPr>
        <w:t xml:space="preserve"> provided </w:t>
      </w:r>
      <w:r w:rsidRPr="00465A2F">
        <w:rPr>
          <w:lang w:eastAsia="en-GB"/>
        </w:rPr>
        <w:t>by a dynamic grant or by a SL configured grant</w:t>
      </w:r>
      <w:r>
        <w:rPr>
          <w:lang w:eastAsia="en-GB"/>
        </w:rPr>
        <w:t xml:space="preserve">, where </w:t>
      </w:r>
      <m:oMath>
        <m:r>
          <w:rPr>
            <w:rFonts w:ascii="Cambria Math" w:hAnsi="Cambria Math"/>
            <w:lang w:eastAsia="en-GB"/>
          </w:rPr>
          <m:t xml:space="preserve">m= </m:t>
        </m:r>
        <m:d>
          <m:dPr>
            <m:begChr m:val="{"/>
            <m:endChr m:val="}"/>
            <m:ctrlPr>
              <w:rPr>
                <w:rFonts w:ascii="Cambria Math" w:hAnsi="Cambria Math"/>
                <w:i/>
                <w:lang w:eastAsia="en-GB"/>
              </w:rPr>
            </m:ctrlPr>
          </m:dPr>
          <m:e>
            <m:r>
              <w:rPr>
                <w:rFonts w:ascii="Cambria Math" w:hAnsi="Cambria Math"/>
                <w:lang w:eastAsia="en-GB"/>
              </w:rPr>
              <m:t>1,…,M</m:t>
            </m:r>
          </m:e>
        </m:d>
      </m:oMath>
      <w:r>
        <w:rPr>
          <w:rFonts w:eastAsiaTheme="minorEastAsia"/>
          <w:lang w:eastAsia="en-GB"/>
        </w:rPr>
        <w:t xml:space="preserve"> and </w:t>
      </w:r>
      <w:r>
        <w:rPr>
          <w:lang w:eastAsia="en-GB"/>
        </w:rPr>
        <w:t xml:space="preserve">M is the total number of resources </w:t>
      </w:r>
      <w:r w:rsidRPr="00465A2F">
        <w:rPr>
          <w:lang w:eastAsia="en-GB"/>
        </w:rPr>
        <w:t xml:space="preserve">for </w:t>
      </w:r>
      <w:r>
        <w:rPr>
          <w:lang w:eastAsia="en-GB"/>
        </w:rPr>
        <w:t>PSCCH/PSSCH</w:t>
      </w:r>
      <w:r w:rsidRPr="00465A2F">
        <w:rPr>
          <w:lang w:eastAsia="en-GB"/>
        </w:rPr>
        <w:t xml:space="preserve"> transmission provided by a dynamic grant or the number of resources for </w:t>
      </w:r>
      <w:r>
        <w:rPr>
          <w:lang w:eastAsia="en-GB"/>
        </w:rPr>
        <w:t>PSCCH/PSSCH</w:t>
      </w:r>
      <w:r w:rsidRPr="00465A2F">
        <w:rPr>
          <w:lang w:eastAsia="en-GB"/>
        </w:rPr>
        <w:t xml:space="preserve"> transmission in a period provided by a SL configured grant type 1 or SL configured grant type 2</w:t>
      </w:r>
      <w:r>
        <w:rPr>
          <w:lang w:eastAsia="en-GB"/>
        </w:rPr>
        <w:t>, as follows:</w:t>
      </w:r>
    </w:p>
    <w:p w14:paraId="5DB183EC" w14:textId="1FA9E2EC" w:rsidR="006959EE" w:rsidRDefault="006959EE" w:rsidP="0004657D">
      <w:pPr>
        <w:pStyle w:val="B2"/>
        <w:rPr>
          <w:lang w:eastAsia="en-GB"/>
        </w:rPr>
      </w:pPr>
      <w:r>
        <w:rPr>
          <w:lang w:eastAsia="en-GB"/>
        </w:rPr>
        <w:t>-</w:t>
      </w:r>
      <w:r>
        <w:rPr>
          <w:lang w:eastAsia="en-GB"/>
        </w:rPr>
        <w:tab/>
      </w:r>
      <w:r w:rsidRPr="00BD78AD">
        <w:t xml:space="preserve">the frequency resource assignment field and time resource assignment field indicate the </w:t>
      </w:r>
      <m:oMath>
        <m:r>
          <w:rPr>
            <w:rFonts w:ascii="Cambria Math" w:hAnsi="Cambria Math"/>
            <w:lang w:eastAsia="en-GB"/>
          </w:rPr>
          <m:t>m</m:t>
        </m:r>
      </m:oMath>
      <w:r w:rsidRPr="00BD78AD">
        <w:t xml:space="preserve">-th to </w:t>
      </w:r>
      <m:oMath>
        <m:r>
          <w:rPr>
            <w:rFonts w:ascii="Cambria Math" w:hAnsi="Cambria Math"/>
            <w:lang w:eastAsia="en-GB"/>
          </w:rPr>
          <m:t>M</m:t>
        </m:r>
      </m:oMath>
      <w:r w:rsidRPr="00BD78AD">
        <w:t>-th resources</w:t>
      </w:r>
      <w:r>
        <w:rPr>
          <w:lang w:eastAsia="en-GB"/>
        </w:rPr>
        <w:t xml:space="preserve"> </w:t>
      </w:r>
      <w:r w:rsidRPr="006A5FC4">
        <w:rPr>
          <w:lang w:eastAsia="en-GB"/>
        </w:rPr>
        <w:t>as described in [6, TS 38.214]</w:t>
      </w:r>
      <w:r>
        <w:rPr>
          <w:lang w:eastAsia="en-GB"/>
        </w:rPr>
        <w:t>.</w:t>
      </w:r>
    </w:p>
    <w:p w14:paraId="72237DB1" w14:textId="11ACE749" w:rsidR="003B5163" w:rsidRDefault="003B5163" w:rsidP="006959EE">
      <w:pPr>
        <w:widowControl w:val="0"/>
        <w:rPr>
          <w:iCs/>
        </w:rPr>
      </w:pPr>
      <w:r w:rsidRPr="00A1579B">
        <w:rPr>
          <w:iCs/>
        </w:rPr>
        <w:t xml:space="preserve">For </w:t>
      </w:r>
      <w:r>
        <w:rPr>
          <w:iCs/>
        </w:rPr>
        <w:t xml:space="preserve">decoding of a SCI format 1-A, a UE may assume that a number of bits provided by </w:t>
      </w:r>
      <w:r w:rsidRPr="009C44C1">
        <w:rPr>
          <w:i/>
        </w:rPr>
        <w:t>sl</w:t>
      </w:r>
      <w:r>
        <w:rPr>
          <w:iCs/>
        </w:rPr>
        <w:t>-</w:t>
      </w:r>
      <w:r w:rsidRPr="009C44C1">
        <w:rPr>
          <w:i/>
        </w:rPr>
        <w:t>NumReservedBits</w:t>
      </w:r>
      <w:r>
        <w:rPr>
          <w:iCs/>
        </w:rPr>
        <w:t xml:space="preserve"> can have any value</w:t>
      </w:r>
      <w:r w:rsidR="009D0663" w:rsidRPr="008E5B2C">
        <w:rPr>
          <w:iCs/>
        </w:rPr>
        <w:t xml:space="preserve"> </w:t>
      </w:r>
      <w:r w:rsidR="009D0663">
        <w:rPr>
          <w:iCs/>
        </w:rPr>
        <w:t>as described in [4, TS 38.212]</w:t>
      </w:r>
      <w:r>
        <w:rPr>
          <w:iCs/>
        </w:rPr>
        <w:t xml:space="preserve">. </w:t>
      </w:r>
    </w:p>
    <w:p w14:paraId="2B1186A7" w14:textId="32B68C74" w:rsidR="00ED7A47" w:rsidRDefault="00ED7A47" w:rsidP="00ED7A47">
      <w:pPr>
        <w:pStyle w:val="Heading2"/>
      </w:pPr>
      <w:bookmarkStart w:id="927" w:name="_Toc161999182"/>
      <w:r>
        <w:lastRenderedPageBreak/>
        <w:t>16.4A</w:t>
      </w:r>
      <w:r>
        <w:tab/>
        <w:t xml:space="preserve">UE procedure for transmitting PSCCH in dedicated </w:t>
      </w:r>
      <w:r w:rsidR="00E169CB">
        <w:t xml:space="preserve">SL PRS </w:t>
      </w:r>
      <w:r>
        <w:t>resource pool</w:t>
      </w:r>
      <w:bookmarkEnd w:id="927"/>
    </w:p>
    <w:p w14:paraId="277DF131" w14:textId="4F4A8FDF" w:rsidR="00E169CB" w:rsidRPr="00E169CB" w:rsidRDefault="00E169CB" w:rsidP="00E169CB">
      <w:pPr>
        <w:rPr>
          <w:lang w:val="en-US"/>
        </w:rPr>
      </w:pPr>
      <w:r w:rsidRPr="00E169CB">
        <w:rPr>
          <w:lang w:eastAsia="ja-JP"/>
        </w:rPr>
        <w:t xml:space="preserve">For a dedicated SL PRS resource pool, a UE can be provided a number of symbols in the resource pool, by </w:t>
      </w:r>
      <w:r w:rsidR="006E2918" w:rsidRPr="003C72D8">
        <w:rPr>
          <w:i/>
          <w:iCs/>
          <w:lang w:eastAsia="ja-JP"/>
        </w:rPr>
        <w:t>timeResourcePSCCH-DedicatedSL-PRS-RP</w:t>
      </w:r>
      <w:r w:rsidRPr="00E169CB">
        <w:t xml:space="preserve">, starting from a second symbol that is available for </w:t>
      </w:r>
      <w:r w:rsidRPr="00E169CB">
        <w:rPr>
          <w:lang w:eastAsia="ko-KR"/>
        </w:rPr>
        <w:t xml:space="preserve">SL transmissions </w:t>
      </w:r>
      <w:r w:rsidRPr="00E169CB">
        <w:t xml:space="preserve">in a slot, and a number of PRBs in the resource pool, by </w:t>
      </w:r>
      <w:r w:rsidR="006E2918" w:rsidRPr="003C72D8">
        <w:rPr>
          <w:i/>
          <w:iCs/>
        </w:rPr>
        <w:t>freqResourcePSCCH-DedicatedSL-PRS-RP</w:t>
      </w:r>
      <w:r w:rsidRPr="00E169CB">
        <w:t xml:space="preserve">, </w:t>
      </w:r>
      <w:r w:rsidRPr="00E169CB">
        <w:rPr>
          <w:lang w:eastAsia="ja-JP"/>
        </w:rPr>
        <w:t>starting from a PRB with lowest index for a sub-channel determined according to an index of an associated SL PRS resource,</w:t>
      </w:r>
      <w:r w:rsidRPr="00E169CB">
        <w:t xml:space="preserve"> for a PSCCH transmission with a SCI format 1-B</w:t>
      </w:r>
      <w:r w:rsidRPr="00E169CB">
        <w:rPr>
          <w:lang w:val="en-US"/>
        </w:rPr>
        <w:t xml:space="preserve">. </w:t>
      </w:r>
    </w:p>
    <w:p w14:paraId="259AA278" w14:textId="77777777" w:rsidR="00E169CB" w:rsidRPr="00E169CB" w:rsidRDefault="00E169CB" w:rsidP="00E169CB">
      <w:pPr>
        <w:rPr>
          <w:lang w:eastAsia="ko-KR"/>
        </w:rPr>
      </w:pPr>
      <w:r w:rsidRPr="00E169CB">
        <w:rPr>
          <w:lang w:eastAsia="ko-KR"/>
        </w:rPr>
        <w:t xml:space="preserve">A UE that transmits a PSCCH with SCI format 1-B using </w:t>
      </w:r>
      <w:r w:rsidRPr="00E169CB">
        <w:rPr>
          <w:rFonts w:eastAsia="MS Mincho"/>
          <w:lang w:eastAsia="ja-JP"/>
        </w:rPr>
        <w:t>SL PRS resource allocation mode 2</w:t>
      </w:r>
      <w:r w:rsidRPr="00E169CB">
        <w:rPr>
          <w:lang w:eastAsia="ko-KR"/>
        </w:rPr>
        <w:t xml:space="preserve"> [6, TS 38.214] sets </w:t>
      </w:r>
    </w:p>
    <w:p w14:paraId="38579BE1" w14:textId="040ED9EE" w:rsidR="00E169CB" w:rsidRPr="00E169CB" w:rsidRDefault="00E169CB" w:rsidP="00E169CB">
      <w:pPr>
        <w:pStyle w:val="B1"/>
      </w:pPr>
      <w:r w:rsidRPr="00E169CB">
        <w:rPr>
          <w:rFonts w:hint="eastAsia"/>
          <w:lang w:eastAsia="zh-CN"/>
        </w:rPr>
        <w:t>-</w:t>
      </w:r>
      <w:r w:rsidRPr="00E169CB">
        <w:tab/>
      </w:r>
      <w:r>
        <w:rPr>
          <w:lang w:val="en-GB"/>
        </w:rPr>
        <w:t>"</w:t>
      </w:r>
      <w:r w:rsidRPr="00E169CB">
        <w:t>Source ID</w:t>
      </w:r>
      <w:r>
        <w:rPr>
          <w:lang w:val="en-GB"/>
        </w:rPr>
        <w:t>"</w:t>
      </w:r>
      <w:r w:rsidRPr="00E169CB">
        <w:t xml:space="preserve"> as indicated by higher layers</w:t>
      </w:r>
    </w:p>
    <w:p w14:paraId="1403C8C1" w14:textId="63EAB827" w:rsidR="00E169CB" w:rsidRPr="00E169CB" w:rsidRDefault="00E169CB" w:rsidP="00E169CB">
      <w:pPr>
        <w:pStyle w:val="B1"/>
      </w:pPr>
      <w:r w:rsidRPr="00E169CB">
        <w:rPr>
          <w:rFonts w:hint="eastAsia"/>
          <w:lang w:eastAsia="zh-CN"/>
        </w:rPr>
        <w:t>-</w:t>
      </w:r>
      <w:r w:rsidRPr="00E169CB">
        <w:tab/>
      </w:r>
      <w:r>
        <w:rPr>
          <w:lang w:val="en-GB"/>
        </w:rPr>
        <w:t>"</w:t>
      </w:r>
      <w:r w:rsidRPr="00E169CB">
        <w:t>Destination ID</w:t>
      </w:r>
      <w:r>
        <w:rPr>
          <w:lang w:val="en-GB"/>
        </w:rPr>
        <w:t>"</w:t>
      </w:r>
      <w:r w:rsidRPr="00E169CB">
        <w:t xml:space="preserve"> as indicated by high layers</w:t>
      </w:r>
    </w:p>
    <w:p w14:paraId="7039488F" w14:textId="6DE47112" w:rsidR="00E169CB" w:rsidRPr="00E169CB" w:rsidRDefault="00E169CB" w:rsidP="00E169CB">
      <w:pPr>
        <w:pStyle w:val="B1"/>
        <w:rPr>
          <w:lang w:eastAsia="zh-CN"/>
        </w:rPr>
      </w:pPr>
      <w:r w:rsidRPr="00E169CB">
        <w:rPr>
          <w:rFonts w:hint="eastAsia"/>
          <w:lang w:eastAsia="zh-CN"/>
        </w:rPr>
        <w:t>-</w:t>
      </w:r>
      <w:r w:rsidRPr="00E169CB">
        <w:tab/>
      </w:r>
      <w:r>
        <w:rPr>
          <w:lang w:val="en-GB"/>
        </w:rPr>
        <w:t>"</w:t>
      </w:r>
      <w:r w:rsidRPr="00E169CB">
        <w:t>Cast type indicator</w:t>
      </w:r>
      <w:r>
        <w:rPr>
          <w:lang w:val="en-GB"/>
        </w:rPr>
        <w:t>"</w:t>
      </w:r>
      <w:r w:rsidRPr="00E169CB">
        <w:t xml:space="preserve"> as indicated by higher layers</w:t>
      </w:r>
    </w:p>
    <w:p w14:paraId="60A19BD8" w14:textId="40ED9F4D" w:rsidR="00E169CB" w:rsidRPr="00E169CB" w:rsidRDefault="00E169CB" w:rsidP="00E169CB">
      <w:pPr>
        <w:pStyle w:val="B1"/>
      </w:pPr>
      <w:r w:rsidRPr="00E169CB">
        <w:t>-</w:t>
      </w:r>
      <w:r w:rsidRPr="00E169CB">
        <w:tab/>
        <w:t xml:space="preserve">"Resource reservation period" as an index in </w:t>
      </w:r>
      <w:r w:rsidRPr="00E169CB">
        <w:rPr>
          <w:i/>
          <w:iCs/>
        </w:rPr>
        <w:t>sl-</w:t>
      </w:r>
      <w:r w:rsidR="006E2918" w:rsidRPr="003C72D8">
        <w:rPr>
          <w:i/>
          <w:iCs/>
        </w:rPr>
        <w:t>PRS-</w:t>
      </w:r>
      <w:r w:rsidRPr="00E169CB">
        <w:rPr>
          <w:i/>
          <w:iCs/>
        </w:rPr>
        <w:t xml:space="preserve">ResourceReservePeriodList </w:t>
      </w:r>
      <w:r w:rsidRPr="00E169CB">
        <w:t xml:space="preserve">corresponding to a reservation period provided by higher layers [11, TS 38.321], if the UE is </w:t>
      </w:r>
      <w:r w:rsidRPr="00E169CB">
        <w:rPr>
          <w:lang w:eastAsia="ko-KR"/>
        </w:rPr>
        <w:t>provided</w:t>
      </w:r>
      <w:r w:rsidRPr="00E169CB">
        <w:t xml:space="preserve"> </w:t>
      </w:r>
      <w:r w:rsidRPr="00E169CB">
        <w:rPr>
          <w:i/>
          <w:lang w:eastAsia="ko-KR"/>
        </w:rPr>
        <w:t>sl-MultiReserveResource</w:t>
      </w:r>
    </w:p>
    <w:p w14:paraId="32E49E16" w14:textId="77777777" w:rsidR="00E169CB" w:rsidRPr="00E169CB" w:rsidRDefault="00E169CB" w:rsidP="00E169CB">
      <w:pPr>
        <w:pStyle w:val="B1"/>
        <w:rPr>
          <w:lang w:val="zh-CN" w:eastAsia="zh-CN"/>
        </w:rPr>
      </w:pPr>
      <w:r w:rsidRPr="00E169CB">
        <w:rPr>
          <w:lang w:eastAsia="ko-KR"/>
        </w:rPr>
        <w:t>-</w:t>
      </w:r>
      <w:r w:rsidRPr="00E169CB">
        <w:rPr>
          <w:lang w:eastAsia="ko-KR"/>
        </w:rPr>
        <w:tab/>
      </w:r>
      <w:r w:rsidRPr="00E169CB">
        <w:t xml:space="preserve">the values of the time resource assignment field and of the </w:t>
      </w:r>
      <w:r w:rsidRPr="00E169CB">
        <w:rPr>
          <w:lang w:eastAsia="zh-CN"/>
        </w:rPr>
        <w:t>resource ID indication</w:t>
      </w:r>
      <w:r w:rsidRPr="00E169CB">
        <w:t xml:space="preserve"> field as described in [6, TS 38.214] to indicate </w:t>
      </w:r>
      <m:oMath>
        <m:r>
          <w:rPr>
            <w:rFonts w:ascii="Cambria Math" w:eastAsia="Calibri" w:hAnsi="Cambria Math" w:cs="Calibri"/>
          </w:rPr>
          <m:t>N</m:t>
        </m:r>
      </m:oMath>
      <w:r w:rsidRPr="00E169CB">
        <w:t xml:space="preserve"> resources from a set </w:t>
      </w:r>
      <m:oMath>
        <m:d>
          <m:dPr>
            <m:begChr m:val="{"/>
            <m:endChr m:val="}"/>
            <m:ctrlPr>
              <w:rPr>
                <w:rFonts w:ascii="Cambria Math" w:eastAsia="Calibri" w:hAnsi="Cambria Math" w:cs="Calibri"/>
                <w:i/>
                <w:iCs/>
                <w:lang w:val="zh-CN" w:eastAsia="en-GB"/>
              </w:rPr>
            </m:ctrlPr>
          </m:dPr>
          <m:e>
            <m:sSub>
              <m:sSubPr>
                <m:ctrlPr>
                  <w:rPr>
                    <w:rFonts w:ascii="Cambria Math" w:eastAsia="Calibri" w:hAnsi="Cambria Math" w:cs="Calibri"/>
                    <w:i/>
                    <w:iCs/>
                    <w:lang w:val="zh-CN" w:eastAsia="en-GB"/>
                  </w:rPr>
                </m:ctrlPr>
              </m:sSubPr>
              <m:e>
                <m:r>
                  <w:rPr>
                    <w:rFonts w:ascii="Cambria Math" w:hAnsi="Cambria Math"/>
                    <w:lang w:eastAsia="en-GB"/>
                  </w:rPr>
                  <m:t>R</m:t>
                </m:r>
              </m:e>
              <m:sub>
                <m:r>
                  <m:rPr>
                    <m:nor/>
                  </m:rPr>
                  <w:rPr>
                    <w:rFonts w:ascii="Cambria Math" w:hAnsi="Cambria Math"/>
                    <w:lang w:eastAsia="en-GB"/>
                  </w:rPr>
                  <m:t>y</m:t>
                </m:r>
                <m:ctrlPr>
                  <w:rPr>
                    <w:rFonts w:ascii="Cambria Math" w:eastAsia="Calibri" w:hAnsi="Cambria Math" w:cs="Calibri"/>
                    <w:lang w:val="zh-CN" w:eastAsia="en-GB"/>
                  </w:rPr>
                </m:ctrlPr>
              </m:sub>
            </m:sSub>
          </m:e>
        </m:d>
      </m:oMath>
      <w:r w:rsidRPr="00E169CB">
        <w:t xml:space="preserve"> of resources selected by higher layers as described in [11, TS 38.321] with </w:t>
      </w:r>
      <m:oMath>
        <m:r>
          <w:rPr>
            <w:rFonts w:ascii="Cambria Math" w:eastAsia="Calibri" w:hAnsi="Cambria Math" w:cs="Calibri"/>
          </w:rPr>
          <m:t>N</m:t>
        </m:r>
      </m:oMath>
      <w:r w:rsidRPr="00E169CB">
        <w:t xml:space="preserve"> smallest slot indices  </w:t>
      </w:r>
      <m:oMath>
        <m:sSub>
          <m:sSubPr>
            <m:ctrlPr>
              <w:rPr>
                <w:rFonts w:ascii="Cambria Math" w:hAnsi="Cambria Math"/>
                <w:i/>
                <w:iCs/>
                <w:sz w:val="24"/>
                <w:szCs w:val="24"/>
                <w:lang w:val="zh-CN"/>
              </w:rPr>
            </m:ctrlPr>
          </m:sSubPr>
          <m:e>
            <m:r>
              <w:rPr>
                <w:rFonts w:ascii="Cambria Math" w:hAnsi="Cambria Math"/>
              </w:rPr>
              <m:t>y</m:t>
            </m:r>
          </m:e>
          <m:sub>
            <m:r>
              <w:rPr>
                <w:rFonts w:ascii="Cambria Math" w:hAnsi="Cambria Math"/>
                <w:lang w:eastAsia="zh-CN"/>
              </w:rPr>
              <m:t>i</m:t>
            </m:r>
          </m:sub>
        </m:sSub>
      </m:oMath>
      <w:r w:rsidRPr="00E169CB">
        <w:rPr>
          <w:lang w:eastAsia="zh-CN"/>
        </w:rPr>
        <w:t xml:space="preserve"> for </w:t>
      </w:r>
      <m:oMath>
        <m:r>
          <w:rPr>
            <w:rFonts w:ascii="Cambria Math" w:hAnsi="Cambria Math"/>
            <w:lang w:eastAsia="zh-CN"/>
          </w:rPr>
          <m:t>0≤i≤N-1</m:t>
        </m:r>
      </m:oMath>
      <w:r w:rsidRPr="00E169CB">
        <w:rPr>
          <w:lang w:eastAsia="zh-CN"/>
        </w:rPr>
        <w:t xml:space="preserve"> </w:t>
      </w:r>
      <w:r w:rsidRPr="00E169CB">
        <w:t xml:space="preserve">such that </w:t>
      </w:r>
      <m:oMath>
        <m:sSub>
          <m:sSubPr>
            <m:ctrlPr>
              <w:rPr>
                <w:rFonts w:ascii="Cambria Math" w:hAnsi="Cambria Math"/>
                <w:i/>
                <w:iCs/>
                <w:sz w:val="24"/>
                <w:szCs w:val="24"/>
                <w:lang w:val="zh-CN"/>
              </w:rPr>
            </m:ctrlPr>
          </m:sSubPr>
          <m:e>
            <m:r>
              <w:rPr>
                <w:rFonts w:ascii="Cambria Math" w:hAnsi="Cambria Math"/>
              </w:rPr>
              <m:t>y</m:t>
            </m:r>
          </m:e>
          <m:sub>
            <m:r>
              <w:rPr>
                <w:rFonts w:ascii="Cambria Math" w:hAnsi="Cambria Math"/>
              </w:rPr>
              <m:t>0</m:t>
            </m:r>
          </m:sub>
        </m:sSub>
        <m:r>
          <w:rPr>
            <w:rFonts w:ascii="Cambria Math" w:hAnsi="Cambria Math"/>
            <w:lang w:eastAsia="en-GB"/>
          </w:rPr>
          <m:t>&lt;</m:t>
        </m:r>
        <m:sSub>
          <m:sSubPr>
            <m:ctrlPr>
              <w:rPr>
                <w:rFonts w:ascii="Cambria Math" w:hAnsi="Cambria Math"/>
                <w:i/>
                <w:iCs/>
                <w:sz w:val="24"/>
                <w:szCs w:val="24"/>
                <w:lang w:val="zh-CN"/>
              </w:rPr>
            </m:ctrlPr>
          </m:sSubPr>
          <m:e>
            <m:r>
              <w:rPr>
                <w:rFonts w:ascii="Cambria Math" w:hAnsi="Cambria Math"/>
              </w:rPr>
              <m:t>y</m:t>
            </m:r>
          </m:e>
          <m:sub>
            <m:r>
              <w:rPr>
                <w:rFonts w:ascii="Cambria Math" w:hAnsi="Cambria Math"/>
              </w:rPr>
              <m:t>1</m:t>
            </m:r>
          </m:sub>
        </m:sSub>
        <m:r>
          <w:rPr>
            <w:rFonts w:ascii="Cambria Math" w:hAnsi="Cambria Math"/>
            <w:lang w:eastAsia="en-GB"/>
          </w:rPr>
          <m:t>&lt;…&lt;</m:t>
        </m:r>
        <m:sSub>
          <m:sSubPr>
            <m:ctrlPr>
              <w:rPr>
                <w:rFonts w:ascii="Cambria Math" w:hAnsi="Cambria Math"/>
                <w:i/>
                <w:iCs/>
                <w:sz w:val="24"/>
                <w:szCs w:val="24"/>
                <w:lang w:val="zh-CN"/>
              </w:rPr>
            </m:ctrlPr>
          </m:sSubPr>
          <m:e>
            <m:r>
              <w:rPr>
                <w:rFonts w:ascii="Cambria Math" w:hAnsi="Cambria Math"/>
              </w:rPr>
              <m:t>y</m:t>
            </m:r>
          </m:e>
          <m:sub>
            <m:r>
              <w:rPr>
                <w:rFonts w:ascii="Cambria Math" w:hAnsi="Cambria Math"/>
              </w:rPr>
              <m:t>N-1</m:t>
            </m:r>
          </m:sub>
        </m:sSub>
        <m:r>
          <w:rPr>
            <w:rFonts w:ascii="Cambria Math" w:hAnsi="Cambria Math"/>
            <w:lang w:eastAsia="en-GB"/>
          </w:rPr>
          <m:t>≤</m:t>
        </m:r>
        <m:sSub>
          <m:sSubPr>
            <m:ctrlPr>
              <w:rPr>
                <w:rFonts w:ascii="Cambria Math" w:hAnsi="Cambria Math"/>
                <w:i/>
                <w:iCs/>
                <w:sz w:val="24"/>
                <w:szCs w:val="24"/>
                <w:lang w:val="zh-CN"/>
              </w:rPr>
            </m:ctrlPr>
          </m:sSubPr>
          <m:e>
            <m:r>
              <w:rPr>
                <w:rFonts w:ascii="Cambria Math" w:hAnsi="Cambria Math"/>
              </w:rPr>
              <m:t>y</m:t>
            </m:r>
          </m:e>
          <m:sub>
            <m:r>
              <w:rPr>
                <w:rFonts w:ascii="Cambria Math" w:hAnsi="Cambria Math"/>
              </w:rPr>
              <m:t>0</m:t>
            </m:r>
          </m:sub>
        </m:sSub>
        <m:r>
          <w:rPr>
            <w:rFonts w:ascii="Cambria Math" w:hAnsi="Cambria Math"/>
          </w:rPr>
          <m:t>+31</m:t>
        </m:r>
      </m:oMath>
      <w:r w:rsidRPr="00E169CB">
        <w:t>, where:</w:t>
      </w:r>
    </w:p>
    <w:p w14:paraId="07918C0F" w14:textId="4A9D4792" w:rsidR="00E169CB" w:rsidRPr="00E169CB" w:rsidRDefault="00E169CB" w:rsidP="00E169CB">
      <w:pPr>
        <w:pStyle w:val="B2"/>
      </w:pPr>
      <w:r w:rsidRPr="00E169CB">
        <w:t>-</w:t>
      </w:r>
      <w:r w:rsidRPr="00E169CB">
        <w:tab/>
      </w:r>
      <m:oMath>
        <m:r>
          <w:rPr>
            <w:rFonts w:ascii="Cambria Math" w:eastAsia="Calibri" w:hAnsi="Cambria Math" w:cs="Calibri"/>
          </w:rPr>
          <m:t>N=</m:t>
        </m:r>
        <m:r>
          <m:rPr>
            <m:sty m:val="p"/>
          </m:rPr>
          <w:rPr>
            <w:rFonts w:ascii="Cambria Math" w:eastAsia="Calibri" w:hAnsi="Cambria Math" w:cs="Calibri"/>
          </w:rPr>
          <m:t>min</m:t>
        </m:r>
        <m:d>
          <m:dPr>
            <m:ctrlPr>
              <w:rPr>
                <w:rFonts w:ascii="Cambria Math" w:eastAsia="Calibri" w:hAnsi="Cambria Math" w:cs="Calibri"/>
                <w:i/>
                <w:iCs/>
                <w:lang w:val="zh-CN"/>
              </w:rPr>
            </m:ctrlPr>
          </m:dPr>
          <m:e>
            <m:sSub>
              <m:sSubPr>
                <m:ctrlPr>
                  <w:rPr>
                    <w:rFonts w:ascii="Cambria Math" w:hAnsi="Cambria Math"/>
                    <w:i/>
                    <w:iCs/>
                    <w:lang w:val="zh-CN"/>
                  </w:rPr>
                </m:ctrlPr>
              </m:sSubPr>
              <m:e>
                <m:r>
                  <w:rPr>
                    <w:rFonts w:ascii="Cambria Math" w:hAnsi="Cambria Math"/>
                  </w:rPr>
                  <m:t>N</m:t>
                </m:r>
              </m:e>
              <m:sub>
                <m:r>
                  <m:rPr>
                    <m:sty m:val="p"/>
                  </m:rPr>
                  <w:rPr>
                    <w:rFonts w:ascii="Cambria Math" w:hAnsi="Cambria Math"/>
                  </w:rPr>
                  <m:t>selected</m:t>
                </m:r>
              </m:sub>
            </m:sSub>
            <m:r>
              <m:rPr>
                <m:sty m:val="p"/>
              </m:rPr>
              <w:rPr>
                <w:rFonts w:ascii="Cambria Math" w:hAnsi="Cambria Math"/>
              </w:rPr>
              <m:t xml:space="preserve">, </m:t>
            </m:r>
            <m:sSub>
              <m:sSubPr>
                <m:ctrlPr>
                  <w:rPr>
                    <w:rFonts w:ascii="Cambria Math" w:hAnsi="Cambria Math"/>
                    <w:i/>
                    <w:iCs/>
                    <w:lang w:val="zh-CN"/>
                  </w:rPr>
                </m:ctrlPr>
              </m:sSubPr>
              <m:e>
                <m:r>
                  <w:rPr>
                    <w:rFonts w:ascii="Cambria Math" w:hAnsi="Cambria Math"/>
                  </w:rPr>
                  <m:t>N</m:t>
                </m:r>
              </m:e>
              <m:sub>
                <m:r>
                  <m:rPr>
                    <m:sty m:val="p"/>
                  </m:rPr>
                  <w:rPr>
                    <w:rFonts w:ascii="Cambria Math" w:hAnsi="Cambria Math"/>
                  </w:rPr>
                  <m:t>max_reserve</m:t>
                </m:r>
              </m:sub>
            </m:sSub>
          </m:e>
        </m:d>
      </m:oMath>
      <w:r w:rsidRPr="00E169CB">
        <w:t xml:space="preserve">, where </w:t>
      </w:r>
      <m:oMath>
        <m:sSub>
          <m:sSubPr>
            <m:ctrlPr>
              <w:rPr>
                <w:rFonts w:ascii="Cambria Math" w:hAnsi="Cambria Math"/>
                <w:i/>
                <w:iCs/>
                <w:sz w:val="24"/>
                <w:szCs w:val="24"/>
                <w:lang w:val="zh-CN"/>
              </w:rPr>
            </m:ctrlPr>
          </m:sSubPr>
          <m:e>
            <m:r>
              <w:rPr>
                <w:rFonts w:ascii="Cambria Math" w:hAnsi="Cambria Math"/>
              </w:rPr>
              <m:t>N</m:t>
            </m:r>
          </m:e>
          <m:sub>
            <m:r>
              <m:rPr>
                <m:sty m:val="p"/>
              </m:rPr>
              <w:rPr>
                <w:rFonts w:ascii="Cambria Math" w:hAnsi="Cambria Math"/>
              </w:rPr>
              <m:t>selected</m:t>
            </m:r>
          </m:sub>
        </m:sSub>
      </m:oMath>
      <w:r w:rsidRPr="00E169CB">
        <w:t xml:space="preserve"> is a number of resources in the set </w:t>
      </w:r>
      <m:oMath>
        <m:d>
          <m:dPr>
            <m:begChr m:val="{"/>
            <m:endChr m:val="}"/>
            <m:ctrlPr>
              <w:rPr>
                <w:rFonts w:ascii="Cambria Math" w:eastAsia="Calibri" w:hAnsi="Cambria Math" w:cs="Calibri"/>
                <w:i/>
                <w:iCs/>
                <w:lang w:val="zh-CN" w:eastAsia="en-GB"/>
              </w:rPr>
            </m:ctrlPr>
          </m:dPr>
          <m:e>
            <m:sSub>
              <m:sSubPr>
                <m:ctrlPr>
                  <w:rPr>
                    <w:rFonts w:ascii="Cambria Math" w:eastAsia="Calibri" w:hAnsi="Cambria Math" w:cs="Calibri"/>
                    <w:i/>
                    <w:iCs/>
                    <w:lang w:val="zh-CN" w:eastAsia="en-GB"/>
                  </w:rPr>
                </m:ctrlPr>
              </m:sSubPr>
              <m:e>
                <m:r>
                  <w:rPr>
                    <w:rFonts w:ascii="Cambria Math" w:hAnsi="Cambria Math"/>
                    <w:lang w:eastAsia="en-GB"/>
                  </w:rPr>
                  <m:t>R</m:t>
                </m:r>
              </m:e>
              <m:sub>
                <m:r>
                  <m:rPr>
                    <m:nor/>
                  </m:rPr>
                  <w:rPr>
                    <w:lang w:eastAsia="en-GB"/>
                  </w:rPr>
                  <m:t>y</m:t>
                </m:r>
                <m:ctrlPr>
                  <w:rPr>
                    <w:rFonts w:ascii="Cambria Math" w:eastAsia="Calibri" w:hAnsi="Cambria Math" w:cs="Calibri"/>
                    <w:lang w:val="zh-CN" w:eastAsia="en-GB"/>
                  </w:rPr>
                </m:ctrlPr>
              </m:sub>
            </m:sSub>
          </m:e>
        </m:d>
      </m:oMath>
      <w:r w:rsidRPr="00E169CB">
        <w:t xml:space="preserve"> with slot indices  </w:t>
      </w:r>
      <m:oMath>
        <m:sSub>
          <m:sSubPr>
            <m:ctrlPr>
              <w:rPr>
                <w:rFonts w:ascii="Cambria Math" w:eastAsia="Calibri" w:hAnsi="Cambria Math" w:cs="Calibri"/>
                <w:i/>
                <w:iCs/>
                <w:lang w:val="zh-CN"/>
              </w:rPr>
            </m:ctrlPr>
          </m:sSubPr>
          <m:e>
            <m:r>
              <w:rPr>
                <w:rFonts w:ascii="Cambria Math" w:hAnsi="Cambria Math"/>
              </w:rPr>
              <m:t>y</m:t>
            </m:r>
          </m:e>
          <m:sub>
            <m:r>
              <w:rPr>
                <w:rFonts w:ascii="Cambria Math" w:eastAsia="Calibri" w:hAnsi="Cambria Math" w:cs="Calibri"/>
              </w:rPr>
              <m:t>j</m:t>
            </m:r>
          </m:sub>
        </m:sSub>
      </m:oMath>
      <w:r w:rsidRPr="00E169CB">
        <w:t xml:space="preserve">, </w:t>
      </w:r>
      <m:oMath>
        <m:r>
          <w:rPr>
            <w:rFonts w:ascii="Cambria Math" w:hAnsi="Cambria Math"/>
          </w:rPr>
          <m:t>0≤j≤</m:t>
        </m:r>
        <m:sSub>
          <m:sSubPr>
            <m:ctrlPr>
              <w:rPr>
                <w:rFonts w:ascii="Cambria Math" w:hAnsi="Cambria Math"/>
                <w:i/>
                <w:iCs/>
                <w:sz w:val="24"/>
                <w:szCs w:val="24"/>
                <w:lang w:val="zh-CN"/>
              </w:rPr>
            </m:ctrlPr>
          </m:sSubPr>
          <m:e>
            <m:r>
              <w:rPr>
                <w:rFonts w:ascii="Cambria Math" w:hAnsi="Cambria Math"/>
              </w:rPr>
              <m:t>N</m:t>
            </m:r>
          </m:e>
          <m:sub>
            <m:r>
              <m:rPr>
                <m:sty m:val="p"/>
              </m:rPr>
              <w:rPr>
                <w:rFonts w:ascii="Cambria Math" w:hAnsi="Cambria Math"/>
              </w:rPr>
              <m:t>selected</m:t>
            </m:r>
          </m:sub>
        </m:sSub>
        <m:r>
          <w:rPr>
            <w:rFonts w:ascii="Cambria Math" w:hAnsi="Cambria Math"/>
          </w:rPr>
          <m:t>-1</m:t>
        </m:r>
      </m:oMath>
      <w:r w:rsidRPr="00E169CB">
        <w:t xml:space="preserve">, such that </w:t>
      </w:r>
      <m:oMath>
        <m:sSub>
          <m:sSubPr>
            <m:ctrlPr>
              <w:rPr>
                <w:rFonts w:ascii="Cambria Math" w:hAnsi="Cambria Math"/>
                <w:i/>
                <w:iCs/>
                <w:sz w:val="24"/>
                <w:szCs w:val="24"/>
                <w:lang w:val="zh-CN"/>
              </w:rPr>
            </m:ctrlPr>
          </m:sSubPr>
          <m:e>
            <m:r>
              <w:rPr>
                <w:rFonts w:ascii="Cambria Math" w:hAnsi="Cambria Math"/>
              </w:rPr>
              <m:t>y</m:t>
            </m:r>
          </m:e>
          <m:sub>
            <m:r>
              <w:rPr>
                <w:rFonts w:ascii="Cambria Math" w:hAnsi="Cambria Math"/>
              </w:rPr>
              <m:t>0</m:t>
            </m:r>
          </m:sub>
        </m:sSub>
        <m:r>
          <w:rPr>
            <w:rFonts w:ascii="Cambria Math" w:hAnsi="Cambria Math"/>
            <w:lang w:eastAsia="en-GB"/>
          </w:rPr>
          <m:t>&lt;</m:t>
        </m:r>
        <m:sSub>
          <m:sSubPr>
            <m:ctrlPr>
              <w:rPr>
                <w:rFonts w:ascii="Cambria Math" w:hAnsi="Cambria Math"/>
                <w:i/>
                <w:iCs/>
                <w:sz w:val="24"/>
                <w:szCs w:val="24"/>
                <w:lang w:val="zh-CN"/>
              </w:rPr>
            </m:ctrlPr>
          </m:sSubPr>
          <m:e>
            <m:r>
              <w:rPr>
                <w:rFonts w:ascii="Cambria Math" w:hAnsi="Cambria Math"/>
              </w:rPr>
              <m:t>y</m:t>
            </m:r>
          </m:e>
          <m:sub>
            <m:r>
              <w:rPr>
                <w:rFonts w:ascii="Cambria Math" w:hAnsi="Cambria Math"/>
              </w:rPr>
              <m:t>1</m:t>
            </m:r>
          </m:sub>
        </m:sSub>
        <m:r>
          <w:rPr>
            <w:rFonts w:ascii="Cambria Math" w:hAnsi="Cambria Math"/>
            <w:lang w:eastAsia="en-GB"/>
          </w:rPr>
          <m:t>&lt;…&lt;</m:t>
        </m:r>
        <m:sSub>
          <m:sSubPr>
            <m:ctrlPr>
              <w:rPr>
                <w:rFonts w:ascii="Cambria Math" w:hAnsi="Cambria Math"/>
                <w:i/>
                <w:iCs/>
                <w:sz w:val="24"/>
                <w:szCs w:val="24"/>
                <w:lang w:val="zh-CN"/>
              </w:rPr>
            </m:ctrlPr>
          </m:sSubPr>
          <m:e>
            <m:r>
              <w:rPr>
                <w:rFonts w:ascii="Cambria Math" w:hAnsi="Cambria Math"/>
              </w:rPr>
              <m:t>y</m:t>
            </m:r>
          </m:e>
          <m:sub>
            <m:sSub>
              <m:sSubPr>
                <m:ctrlPr>
                  <w:rPr>
                    <w:rFonts w:ascii="Cambria Math" w:hAnsi="Cambria Math"/>
                    <w:i/>
                    <w:iCs/>
                    <w:sz w:val="24"/>
                    <w:szCs w:val="24"/>
                    <w:lang w:val="zh-CN"/>
                  </w:rPr>
                </m:ctrlPr>
              </m:sSubPr>
              <m:e>
                <m:r>
                  <w:rPr>
                    <w:rFonts w:ascii="Cambria Math" w:hAnsi="Cambria Math"/>
                  </w:rPr>
                  <m:t>N</m:t>
                </m:r>
              </m:e>
              <m:sub>
                <m:r>
                  <m:rPr>
                    <m:sty m:val="p"/>
                  </m:rPr>
                  <w:rPr>
                    <w:rFonts w:ascii="Cambria Math" w:hAnsi="Cambria Math"/>
                  </w:rPr>
                  <m:t>selected</m:t>
                </m:r>
              </m:sub>
            </m:sSub>
            <m:r>
              <w:rPr>
                <w:rFonts w:ascii="Cambria Math" w:hAnsi="Cambria Math"/>
              </w:rPr>
              <m:t>-1</m:t>
            </m:r>
          </m:sub>
        </m:sSub>
        <m:r>
          <w:rPr>
            <w:rFonts w:ascii="Cambria Math" w:hAnsi="Cambria Math"/>
            <w:lang w:eastAsia="en-GB"/>
          </w:rPr>
          <m:t>≤</m:t>
        </m:r>
        <m:sSub>
          <m:sSubPr>
            <m:ctrlPr>
              <w:rPr>
                <w:rFonts w:ascii="Cambria Math" w:hAnsi="Cambria Math"/>
                <w:i/>
                <w:iCs/>
                <w:sz w:val="24"/>
                <w:szCs w:val="24"/>
                <w:lang w:val="zh-CN"/>
              </w:rPr>
            </m:ctrlPr>
          </m:sSubPr>
          <m:e>
            <m:r>
              <w:rPr>
                <w:rFonts w:ascii="Cambria Math" w:hAnsi="Cambria Math"/>
              </w:rPr>
              <m:t>y</m:t>
            </m:r>
          </m:e>
          <m:sub>
            <m:r>
              <w:rPr>
                <w:rFonts w:ascii="Cambria Math" w:hAnsi="Cambria Math"/>
              </w:rPr>
              <m:t>0</m:t>
            </m:r>
          </m:sub>
        </m:sSub>
        <m:r>
          <w:rPr>
            <w:rFonts w:ascii="Cambria Math" w:hAnsi="Cambria Math"/>
          </w:rPr>
          <m:t>+31</m:t>
        </m:r>
      </m:oMath>
      <w:r w:rsidRPr="00E169CB">
        <w:t xml:space="preserve">, and </w:t>
      </w:r>
      <m:oMath>
        <m:sSub>
          <m:sSubPr>
            <m:ctrlPr>
              <w:rPr>
                <w:rFonts w:ascii="Cambria Math" w:hAnsi="Cambria Math"/>
                <w:i/>
                <w:iCs/>
                <w:lang w:val="zh-CN"/>
              </w:rPr>
            </m:ctrlPr>
          </m:sSubPr>
          <m:e>
            <m:r>
              <w:rPr>
                <w:rFonts w:ascii="Cambria Math" w:hAnsi="Cambria Math"/>
              </w:rPr>
              <m:t>N</m:t>
            </m:r>
          </m:e>
          <m:sub>
            <m:r>
              <m:rPr>
                <m:sty m:val="p"/>
              </m:rPr>
              <w:rPr>
                <w:rFonts w:ascii="Cambria Math" w:hAnsi="Cambria Math"/>
              </w:rPr>
              <m:t>max_reserve</m:t>
            </m:r>
          </m:sub>
        </m:sSub>
      </m:oMath>
      <w:r w:rsidRPr="00E169CB">
        <w:rPr>
          <w:iCs/>
        </w:rPr>
        <w:t xml:space="preserve"> is provided by </w:t>
      </w:r>
      <w:r w:rsidRPr="00E169CB">
        <w:rPr>
          <w:i/>
          <w:iCs/>
        </w:rPr>
        <w:t>sl-MaxNumPerReserve</w:t>
      </w:r>
      <w:r w:rsidR="006E2918" w:rsidRPr="003C72D8">
        <w:rPr>
          <w:rFonts w:eastAsia="Batang"/>
          <w:i/>
          <w:lang w:eastAsia="ja-JP"/>
        </w:rPr>
        <w:t>DedicatedSL-PRS-RP</w:t>
      </w:r>
    </w:p>
    <w:p w14:paraId="75B6DBA9" w14:textId="77777777" w:rsidR="00E169CB" w:rsidRPr="00E169CB" w:rsidRDefault="00E169CB" w:rsidP="00E169CB">
      <w:pPr>
        <w:pStyle w:val="B2"/>
      </w:pPr>
      <w:r w:rsidRPr="00E169CB">
        <w:rPr>
          <w:iCs/>
          <w:lang w:eastAsia="en-GB"/>
        </w:rPr>
        <w:t>-</w:t>
      </w:r>
      <w:r w:rsidRPr="00E169CB">
        <w:rPr>
          <w:iCs/>
          <w:lang w:eastAsia="en-GB"/>
        </w:rPr>
        <w:tab/>
      </w:r>
      <w:r w:rsidRPr="00E169CB">
        <w:t>each</w:t>
      </w:r>
      <w:r w:rsidRPr="00E169CB">
        <w:rPr>
          <w:lang w:eastAsia="ko-KR"/>
        </w:rPr>
        <w:t xml:space="preserve"> resource, from the set of </w:t>
      </w:r>
      <m:oMath>
        <m:d>
          <m:dPr>
            <m:begChr m:val="{"/>
            <m:endChr m:val="}"/>
            <m:ctrlPr>
              <w:rPr>
                <w:rFonts w:ascii="Cambria Math" w:eastAsia="Calibri" w:hAnsi="Cambria Math"/>
                <w:i/>
                <w:iCs/>
                <w:lang w:val="zh-CN" w:eastAsia="en-GB"/>
              </w:rPr>
            </m:ctrlPr>
          </m:dPr>
          <m:e>
            <m:sSub>
              <m:sSubPr>
                <m:ctrlPr>
                  <w:rPr>
                    <w:rFonts w:ascii="Cambria Math" w:eastAsia="Calibri" w:hAnsi="Cambria Math"/>
                    <w:i/>
                    <w:iCs/>
                    <w:lang w:val="zh-CN" w:eastAsia="en-GB"/>
                  </w:rPr>
                </m:ctrlPr>
              </m:sSubPr>
              <m:e>
                <m:r>
                  <w:rPr>
                    <w:rFonts w:ascii="Cambria Math" w:hAnsi="Cambria Math"/>
                    <w:lang w:eastAsia="en-GB"/>
                  </w:rPr>
                  <m:t>R</m:t>
                </m:r>
              </m:e>
              <m:sub>
                <m:r>
                  <m:rPr>
                    <m:nor/>
                  </m:rPr>
                  <w:rPr>
                    <w:lang w:eastAsia="en-GB"/>
                  </w:rPr>
                  <m:t>y</m:t>
                </m:r>
                <m:ctrlPr>
                  <w:rPr>
                    <w:rFonts w:ascii="Cambria Math" w:eastAsia="Calibri" w:hAnsi="Cambria Math"/>
                    <w:lang w:val="zh-CN" w:eastAsia="en-GB"/>
                  </w:rPr>
                </m:ctrlPr>
              </m:sub>
            </m:sSub>
          </m:e>
        </m:d>
      </m:oMath>
      <w:r w:rsidRPr="00E169CB">
        <w:rPr>
          <w:iCs/>
          <w:lang w:eastAsia="en-GB"/>
        </w:rPr>
        <w:t xml:space="preserve"> resources, </w:t>
      </w:r>
      <w:r w:rsidRPr="00E169CB">
        <w:rPr>
          <w:lang w:eastAsia="ko-KR"/>
        </w:rPr>
        <w:t>corresponds to a SL PRS resource</w:t>
      </w:r>
      <w:r w:rsidRPr="00E169CB">
        <w:rPr>
          <w:rFonts w:hint="eastAsia"/>
          <w:lang w:val="en-US" w:eastAsia="zh-CN"/>
        </w:rPr>
        <w:t xml:space="preserve"> and the corresponding PSCCH,</w:t>
      </w:r>
      <w:r w:rsidRPr="00E169CB">
        <w:rPr>
          <w:lang w:val="en-US" w:eastAsia="zh-CN"/>
        </w:rPr>
        <w:t xml:space="preserve"> </w:t>
      </w:r>
      <w:r w:rsidRPr="00E169CB">
        <w:rPr>
          <w:lang w:eastAsia="ko-KR"/>
        </w:rPr>
        <w:t xml:space="preserve">and a slot in a set of slots </w:t>
      </w:r>
      <m:oMath>
        <m:r>
          <m:rPr>
            <m:sty m:val="p"/>
          </m:rPr>
          <w:rPr>
            <w:rFonts w:ascii="Cambria Math" w:hAnsi="Cambria Math"/>
            <w:lang w:eastAsia="ko-KR"/>
          </w:rPr>
          <m:t>{</m:t>
        </m:r>
        <m:sSubSup>
          <m:sSubSupPr>
            <m:ctrlPr>
              <w:rPr>
                <w:rFonts w:ascii="Cambria Math" w:eastAsia="Calibri" w:hAnsi="Cambria Math" w:cs="Calibri"/>
                <w:i/>
                <w:iCs/>
                <w:lang w:val="zh-CN"/>
              </w:rPr>
            </m:ctrlPr>
          </m:sSubSupPr>
          <m:e>
            <m:r>
              <w:rPr>
                <w:rFonts w:ascii="Cambria Math" w:hAnsi="Cambria Math"/>
              </w:rPr>
              <m:t>t'</m:t>
            </m:r>
          </m:e>
          <m:sub>
            <m:r>
              <w:rPr>
                <w:rFonts w:ascii="Cambria Math" w:hAnsi="Cambria Math"/>
              </w:rPr>
              <m:t>y</m:t>
            </m:r>
          </m:sub>
          <m:sup>
            <m:r>
              <w:rPr>
                <w:rFonts w:ascii="Cambria Math" w:hAnsi="Cambria Math"/>
              </w:rPr>
              <m:t>SL</m:t>
            </m:r>
          </m:sup>
        </m:sSubSup>
        <m:r>
          <w:rPr>
            <w:rFonts w:ascii="Cambria Math" w:eastAsia="Calibri" w:hAnsi="Cambria Math" w:cs="Calibri"/>
            <w:lang w:eastAsia="en-GB"/>
          </w:rPr>
          <m:t>}</m:t>
        </m:r>
      </m:oMath>
    </w:p>
    <w:p w14:paraId="0315D5CA" w14:textId="77777777" w:rsidR="00E169CB" w:rsidRPr="00E169CB" w:rsidRDefault="00E169CB" w:rsidP="00E169CB">
      <w:pPr>
        <w:pStyle w:val="B2"/>
      </w:pPr>
      <w:r w:rsidRPr="00E169CB">
        <w:rPr>
          <w:iCs/>
        </w:rPr>
        <w:t>-</w:t>
      </w:r>
      <w:r w:rsidRPr="00E169CB">
        <w:rPr>
          <w:iCs/>
        </w:rPr>
        <w:tab/>
      </w:r>
      <m:oMath>
        <m:d>
          <m:dPr>
            <m:ctrlPr>
              <w:rPr>
                <w:rFonts w:ascii="Cambria Math" w:eastAsia="Calibri" w:hAnsi="Cambria Math" w:cs="Calibri"/>
                <w:i/>
                <w:iCs/>
                <w:lang w:val="zh-CN"/>
              </w:rPr>
            </m:ctrlPr>
          </m:dPr>
          <m:e>
            <m:sSubSup>
              <m:sSubSupPr>
                <m:ctrlPr>
                  <w:rPr>
                    <w:rFonts w:ascii="Cambria Math" w:eastAsia="Calibri" w:hAnsi="Cambria Math" w:cs="Calibri"/>
                    <w:i/>
                    <w:iCs/>
                    <w:lang w:val="zh-CN"/>
                  </w:rPr>
                </m:ctrlPr>
              </m:sSubSupPr>
              <m:e>
                <m:r>
                  <w:rPr>
                    <w:rFonts w:ascii="Cambria Math" w:hAnsi="Cambria Math"/>
                  </w:rPr>
                  <m:t>t'</m:t>
                </m:r>
              </m:e>
              <m:sub>
                <m:r>
                  <w:rPr>
                    <w:rFonts w:ascii="Cambria Math" w:hAnsi="Cambria Math"/>
                  </w:rPr>
                  <m:t>0</m:t>
                </m:r>
              </m:sub>
              <m:sup>
                <m:r>
                  <w:rPr>
                    <w:rFonts w:ascii="Cambria Math" w:hAnsi="Cambria Math"/>
                  </w:rPr>
                  <m:t>SL</m:t>
                </m:r>
              </m:sup>
            </m:sSubSup>
            <m:r>
              <w:rPr>
                <w:rFonts w:ascii="Cambria Math" w:hAnsi="Cambria Math"/>
              </w:rPr>
              <m:t>,</m:t>
            </m:r>
            <m:sSubSup>
              <m:sSubSupPr>
                <m:ctrlPr>
                  <w:rPr>
                    <w:rFonts w:ascii="Cambria Math" w:eastAsia="Calibri" w:hAnsi="Cambria Math" w:cs="Calibri"/>
                    <w:i/>
                    <w:iCs/>
                    <w:lang w:val="zh-CN"/>
                  </w:rPr>
                </m:ctrlPr>
              </m:sSubSupPr>
              <m:e>
                <m:r>
                  <w:rPr>
                    <w:rFonts w:ascii="Cambria Math" w:hAnsi="Cambria Math"/>
                  </w:rPr>
                  <m:t>t'</m:t>
                </m:r>
              </m:e>
              <m:sub>
                <m:r>
                  <w:rPr>
                    <w:rFonts w:ascii="Cambria Math" w:hAnsi="Cambria Math"/>
                  </w:rPr>
                  <m:t>1</m:t>
                </m:r>
              </m:sub>
              <m:sup>
                <m:r>
                  <w:rPr>
                    <w:rFonts w:ascii="Cambria Math" w:hAnsi="Cambria Math"/>
                  </w:rPr>
                  <m:t>SL</m:t>
                </m:r>
              </m:sup>
            </m:sSubSup>
            <m:r>
              <w:rPr>
                <w:rFonts w:ascii="Cambria Math" w:hAnsi="Cambria Math"/>
              </w:rPr>
              <m:t>,</m:t>
            </m:r>
            <m:sSubSup>
              <m:sSubSupPr>
                <m:ctrlPr>
                  <w:rPr>
                    <w:rFonts w:ascii="Cambria Math" w:eastAsia="Calibri" w:hAnsi="Cambria Math" w:cs="Calibri"/>
                    <w:i/>
                    <w:iCs/>
                    <w:lang w:val="zh-CN"/>
                  </w:rPr>
                </m:ctrlPr>
              </m:sSubSupPr>
              <m:e>
                <m:r>
                  <w:rPr>
                    <w:rFonts w:ascii="Cambria Math" w:hAnsi="Cambria Math"/>
                  </w:rPr>
                  <m:t>t'</m:t>
                </m:r>
              </m:e>
              <m:sub>
                <m:r>
                  <w:rPr>
                    <w:rFonts w:ascii="Cambria Math" w:hAnsi="Cambria Math"/>
                  </w:rPr>
                  <m:t>2</m:t>
                </m:r>
              </m:sub>
              <m:sup>
                <m:r>
                  <w:rPr>
                    <w:rFonts w:ascii="Cambria Math" w:hAnsi="Cambria Math"/>
                  </w:rPr>
                  <m:t>SL</m:t>
                </m:r>
              </m:sup>
            </m:sSubSup>
            <m:r>
              <w:rPr>
                <w:rFonts w:ascii="Cambria Math" w:hAnsi="Cambria Math"/>
              </w:rPr>
              <m:t>,...</m:t>
            </m:r>
          </m:e>
        </m:d>
      </m:oMath>
      <w:r w:rsidRPr="00E169CB">
        <w:rPr>
          <w:lang w:eastAsia="ko-KR"/>
        </w:rPr>
        <w:t xml:space="preserve"> </w:t>
      </w:r>
      <w:r w:rsidRPr="00E169CB">
        <w:t>is a</w:t>
      </w:r>
      <w:r w:rsidRPr="00E169CB">
        <w:rPr>
          <w:lang w:eastAsia="ko-KR"/>
        </w:rPr>
        <w:t xml:space="preserve"> </w:t>
      </w:r>
      <w:r w:rsidRPr="00E169CB">
        <w:t>set</w:t>
      </w:r>
      <w:r w:rsidRPr="00E169CB">
        <w:rPr>
          <w:lang w:eastAsia="ko-KR"/>
        </w:rPr>
        <w:t xml:space="preserve"> of slots in a sidelink resource pool [6, TS 38.214]</w:t>
      </w:r>
    </w:p>
    <w:p w14:paraId="77B74F5E" w14:textId="77777777" w:rsidR="00E169CB" w:rsidRPr="00E169CB" w:rsidRDefault="00E169CB" w:rsidP="00E169CB">
      <w:pPr>
        <w:pStyle w:val="B2"/>
        <w:rPr>
          <w:lang w:val="zh-CN"/>
        </w:rPr>
      </w:pPr>
      <w:r w:rsidRPr="00E169CB">
        <w:rPr>
          <w:iCs/>
        </w:rPr>
        <w:t>-</w:t>
      </w:r>
      <w:r w:rsidRPr="00E169CB">
        <w:rPr>
          <w:iCs/>
        </w:rPr>
        <w:tab/>
      </w:r>
      <m:oMath>
        <m:sSub>
          <m:sSubPr>
            <m:ctrlPr>
              <w:rPr>
                <w:rFonts w:ascii="Cambria Math" w:eastAsia="Calibri" w:hAnsi="Cambria Math" w:cs="Calibri"/>
                <w:i/>
                <w:iCs/>
                <w:lang w:val="zh-CN"/>
              </w:rPr>
            </m:ctrlPr>
          </m:sSubPr>
          <m:e>
            <m:r>
              <w:rPr>
                <w:rFonts w:ascii="Cambria Math" w:hAnsi="Cambria Math"/>
              </w:rPr>
              <m:t>y</m:t>
            </m:r>
          </m:e>
          <m:sub>
            <m:r>
              <w:rPr>
                <w:rFonts w:ascii="Cambria Math" w:hAnsi="Cambria Math"/>
              </w:rPr>
              <m:t>0</m:t>
            </m:r>
          </m:sub>
        </m:sSub>
      </m:oMath>
      <w:r w:rsidRPr="00E169CB">
        <w:t xml:space="preserve"> is an </w:t>
      </w:r>
      <w:r w:rsidRPr="00E169CB">
        <w:rPr>
          <w:lang w:eastAsia="ko-KR"/>
        </w:rPr>
        <w:t>index</w:t>
      </w:r>
      <w:r w:rsidRPr="00E169CB">
        <w:t xml:space="preserve"> of a slot where the PSCCH with SCI format 1-B is transmitted.</w:t>
      </w:r>
    </w:p>
    <w:p w14:paraId="4E6CB0B3" w14:textId="52B93131" w:rsidR="00E169CB" w:rsidRPr="00E169CB" w:rsidRDefault="00E169CB" w:rsidP="00E169CB">
      <w:pPr>
        <w:pStyle w:val="B1"/>
      </w:pPr>
      <w:r w:rsidRPr="00E169CB">
        <w:rPr>
          <w:rFonts w:hint="eastAsia"/>
          <w:lang w:eastAsia="zh-CN"/>
        </w:rPr>
        <w:t>-</w:t>
      </w:r>
      <w:r w:rsidRPr="00E169CB">
        <w:tab/>
      </w:r>
      <w:r w:rsidR="00C20D4F">
        <w:rPr>
          <w:lang w:val="en-GB"/>
        </w:rPr>
        <w:t>"</w:t>
      </w:r>
      <w:r w:rsidRPr="00E169CB">
        <w:t>SL PRS request</w:t>
      </w:r>
      <w:r w:rsidR="00C20D4F">
        <w:rPr>
          <w:lang w:val="en-GB"/>
        </w:rPr>
        <w:t>"</w:t>
      </w:r>
      <w:r w:rsidRPr="00E169CB">
        <w:t xml:space="preserve"> as indicated by higher layers</w:t>
      </w:r>
    </w:p>
    <w:p w14:paraId="3AC3B4FE" w14:textId="77777777" w:rsidR="00E169CB" w:rsidRPr="00E169CB" w:rsidRDefault="00E169CB" w:rsidP="00E169CB">
      <w:pPr>
        <w:rPr>
          <w:lang w:eastAsia="en-GB"/>
        </w:rPr>
      </w:pPr>
      <w:r w:rsidRPr="00E169CB">
        <w:rPr>
          <w:lang w:eastAsia="en-GB"/>
        </w:rPr>
        <w:t>A UE that transmits a PSCCH with SCI format 1-B using SL PRS resource allocation mode 1 [6, TS 38.214] sets</w:t>
      </w:r>
    </w:p>
    <w:p w14:paraId="010358AE" w14:textId="4FE2A5DF" w:rsidR="00E169CB" w:rsidRPr="00E169CB" w:rsidRDefault="00E169CB" w:rsidP="00E169CB">
      <w:pPr>
        <w:pStyle w:val="B1"/>
      </w:pPr>
      <w:r w:rsidRPr="00E169CB">
        <w:rPr>
          <w:rFonts w:hint="eastAsia"/>
          <w:lang w:eastAsia="zh-CN"/>
        </w:rPr>
        <w:t>-</w:t>
      </w:r>
      <w:r w:rsidRPr="00E169CB">
        <w:tab/>
      </w:r>
      <w:r w:rsidR="00C20D4F">
        <w:rPr>
          <w:lang w:val="en-GB"/>
        </w:rPr>
        <w:t>"</w:t>
      </w:r>
      <w:r w:rsidRPr="00E169CB">
        <w:t>Source ID</w:t>
      </w:r>
      <w:r w:rsidR="00C20D4F">
        <w:rPr>
          <w:lang w:val="en-GB"/>
        </w:rPr>
        <w:t>"</w:t>
      </w:r>
      <w:r w:rsidRPr="00E169CB">
        <w:t xml:space="preserve"> as indicated by higher layers</w:t>
      </w:r>
    </w:p>
    <w:p w14:paraId="786DCDF8" w14:textId="0E5F2192" w:rsidR="00E169CB" w:rsidRPr="00E169CB" w:rsidRDefault="00E169CB" w:rsidP="00E169CB">
      <w:pPr>
        <w:pStyle w:val="B1"/>
      </w:pPr>
      <w:r w:rsidRPr="00E169CB">
        <w:rPr>
          <w:rFonts w:hint="eastAsia"/>
          <w:lang w:eastAsia="zh-CN"/>
        </w:rPr>
        <w:t>-</w:t>
      </w:r>
      <w:r w:rsidRPr="00E169CB">
        <w:tab/>
      </w:r>
      <w:r w:rsidR="00C20D4F">
        <w:rPr>
          <w:lang w:val="en-GB"/>
        </w:rPr>
        <w:t>"</w:t>
      </w:r>
      <w:r w:rsidRPr="00E169CB">
        <w:t>Destination ID</w:t>
      </w:r>
      <w:r w:rsidR="00C20D4F">
        <w:rPr>
          <w:lang w:val="en-GB"/>
        </w:rPr>
        <w:t>"</w:t>
      </w:r>
      <w:r w:rsidRPr="00E169CB">
        <w:t xml:space="preserve"> as indicated by high layers</w:t>
      </w:r>
    </w:p>
    <w:p w14:paraId="27839D3B" w14:textId="45D8A563" w:rsidR="00E169CB" w:rsidRPr="00E169CB" w:rsidRDefault="00E169CB" w:rsidP="00E169CB">
      <w:pPr>
        <w:pStyle w:val="B1"/>
        <w:rPr>
          <w:lang w:eastAsia="zh-CN"/>
        </w:rPr>
      </w:pPr>
      <w:r w:rsidRPr="00E169CB">
        <w:rPr>
          <w:rFonts w:hint="eastAsia"/>
          <w:lang w:eastAsia="zh-CN"/>
        </w:rPr>
        <w:t>-</w:t>
      </w:r>
      <w:r w:rsidRPr="00E169CB">
        <w:tab/>
      </w:r>
      <w:r w:rsidR="00C20D4F">
        <w:rPr>
          <w:lang w:val="en-GB"/>
        </w:rPr>
        <w:t>"</w:t>
      </w:r>
      <w:r w:rsidRPr="00E169CB">
        <w:t>Cast type indicator</w:t>
      </w:r>
      <w:r w:rsidR="00C20D4F">
        <w:rPr>
          <w:lang w:val="en-GB"/>
        </w:rPr>
        <w:t>"</w:t>
      </w:r>
      <w:r w:rsidRPr="00E169CB">
        <w:t xml:space="preserve"> as indicated by higher layers</w:t>
      </w:r>
    </w:p>
    <w:p w14:paraId="7F33A24B" w14:textId="77777777" w:rsidR="00E169CB" w:rsidRPr="00E169CB" w:rsidRDefault="00E169CB" w:rsidP="00E169CB">
      <w:pPr>
        <w:pStyle w:val="B1"/>
        <w:rPr>
          <w:lang w:eastAsia="en-GB"/>
        </w:rPr>
      </w:pPr>
      <w:r w:rsidRPr="00E169CB">
        <w:rPr>
          <w:lang w:eastAsia="en-GB"/>
        </w:rPr>
        <w:t>-</w:t>
      </w:r>
      <w:r w:rsidRPr="00E169CB">
        <w:rPr>
          <w:lang w:eastAsia="en-GB"/>
        </w:rPr>
        <w:tab/>
        <w:t xml:space="preserve">the values of the resource ID indication field and the time resource assignment field for the SCI format 1-B transmitted in the </w:t>
      </w:r>
      <m:oMath>
        <m:r>
          <w:rPr>
            <w:rFonts w:ascii="Cambria Math" w:hAnsi="Cambria Math"/>
            <w:lang w:eastAsia="en-GB"/>
          </w:rPr>
          <m:t>m</m:t>
        </m:r>
      </m:oMath>
      <w:r w:rsidRPr="00E169CB">
        <w:rPr>
          <w:lang w:eastAsia="en-GB"/>
        </w:rPr>
        <w:t xml:space="preserve">-th resource for SL PRS </w:t>
      </w:r>
      <w:r w:rsidRPr="00E169CB">
        <w:rPr>
          <w:rFonts w:hint="eastAsia"/>
          <w:lang w:val="en-US" w:eastAsia="zh-CN"/>
        </w:rPr>
        <w:t xml:space="preserve">and the corresponding PSCCH </w:t>
      </w:r>
      <w:r w:rsidRPr="00E169CB">
        <w:rPr>
          <w:lang w:eastAsia="en-GB"/>
        </w:rPr>
        <w:t xml:space="preserve">transmission provided by a dynamic grant or by a SL configured grant, where </w:t>
      </w:r>
      <m:oMath>
        <m:r>
          <w:rPr>
            <w:rFonts w:ascii="Cambria Math" w:hAnsi="Cambria Math"/>
            <w:lang w:eastAsia="en-GB"/>
          </w:rPr>
          <m:t xml:space="preserve">m= </m:t>
        </m:r>
        <m:d>
          <m:dPr>
            <m:begChr m:val="{"/>
            <m:endChr m:val="}"/>
            <m:ctrlPr>
              <w:rPr>
                <w:rFonts w:ascii="Cambria Math" w:hAnsi="Cambria Math"/>
                <w:i/>
                <w:lang w:val="zh-CN" w:eastAsia="en-GB"/>
              </w:rPr>
            </m:ctrlPr>
          </m:dPr>
          <m:e>
            <m:r>
              <w:rPr>
                <w:rFonts w:ascii="Cambria Math" w:hAnsi="Cambria Math"/>
                <w:lang w:eastAsia="en-GB"/>
              </w:rPr>
              <m:t>1,…,M</m:t>
            </m:r>
          </m:e>
        </m:d>
      </m:oMath>
      <w:r w:rsidRPr="00E169CB">
        <w:rPr>
          <w:rFonts w:eastAsia="Malgun Gothic"/>
          <w:lang w:eastAsia="en-GB"/>
        </w:rPr>
        <w:t xml:space="preserve"> and </w:t>
      </w:r>
      <w:r w:rsidRPr="00E169CB">
        <w:rPr>
          <w:lang w:eastAsia="en-GB"/>
        </w:rPr>
        <w:t xml:space="preserve">M is the total number of resources for SL PRS </w:t>
      </w:r>
      <w:r w:rsidRPr="00E169CB">
        <w:rPr>
          <w:rFonts w:hint="eastAsia"/>
          <w:lang w:val="en-US" w:eastAsia="zh-CN"/>
        </w:rPr>
        <w:t xml:space="preserve">and the corresponding PSCCH </w:t>
      </w:r>
      <w:r w:rsidRPr="00E169CB">
        <w:rPr>
          <w:lang w:eastAsia="en-GB"/>
        </w:rPr>
        <w:t>transmission provided by a dynamic grant or the number of resources for SL PRS transmission in a period provided by a SL configured grant type 1 or SL configured grant type 2, as follows:</w:t>
      </w:r>
    </w:p>
    <w:p w14:paraId="7AE60A7C" w14:textId="77777777" w:rsidR="00E169CB" w:rsidRPr="00E169CB" w:rsidRDefault="00E169CB" w:rsidP="00E169CB">
      <w:pPr>
        <w:pStyle w:val="B2"/>
        <w:rPr>
          <w:lang w:eastAsia="en-GB"/>
        </w:rPr>
      </w:pPr>
      <w:r w:rsidRPr="00E169CB">
        <w:rPr>
          <w:lang w:eastAsia="en-GB"/>
        </w:rPr>
        <w:t>-</w:t>
      </w:r>
      <w:r w:rsidRPr="00E169CB">
        <w:rPr>
          <w:lang w:eastAsia="en-GB"/>
        </w:rPr>
        <w:tab/>
      </w:r>
      <w:r w:rsidRPr="00E169CB">
        <w:t xml:space="preserve">the </w:t>
      </w:r>
      <w:r w:rsidRPr="00E169CB">
        <w:rPr>
          <w:lang w:eastAsia="en-GB"/>
        </w:rPr>
        <w:t>resource ID indication</w:t>
      </w:r>
      <w:r w:rsidRPr="00E169CB">
        <w:t xml:space="preserve"> field and time resource assignment field indicate the </w:t>
      </w:r>
      <m:oMath>
        <m:r>
          <w:rPr>
            <w:rFonts w:ascii="Cambria Math" w:hAnsi="Cambria Math"/>
            <w:lang w:eastAsia="en-GB"/>
          </w:rPr>
          <m:t>m</m:t>
        </m:r>
      </m:oMath>
      <w:r w:rsidRPr="00E169CB">
        <w:t xml:space="preserve">-th to </w:t>
      </w:r>
      <m:oMath>
        <m:r>
          <w:rPr>
            <w:rFonts w:ascii="Cambria Math" w:hAnsi="Cambria Math"/>
            <w:lang w:eastAsia="en-GB"/>
          </w:rPr>
          <m:t>M</m:t>
        </m:r>
      </m:oMath>
      <w:r w:rsidRPr="00E169CB">
        <w:t>-th resources</w:t>
      </w:r>
      <w:r w:rsidRPr="00E169CB">
        <w:rPr>
          <w:lang w:eastAsia="en-GB"/>
        </w:rPr>
        <w:t xml:space="preserve"> as described in [6, TS 38.214].</w:t>
      </w:r>
    </w:p>
    <w:p w14:paraId="662D1EF8" w14:textId="50CCC3CE" w:rsidR="00E169CB" w:rsidRPr="00E169CB" w:rsidRDefault="00E169CB" w:rsidP="00E169CB">
      <w:pPr>
        <w:pStyle w:val="B1"/>
      </w:pPr>
      <w:r w:rsidRPr="00E169CB">
        <w:rPr>
          <w:rFonts w:hint="eastAsia"/>
          <w:lang w:eastAsia="zh-CN"/>
        </w:rPr>
        <w:t>-</w:t>
      </w:r>
      <w:r w:rsidRPr="00E169CB">
        <w:tab/>
      </w:r>
      <w:r w:rsidR="00C20D4F">
        <w:rPr>
          <w:lang w:val="en-GB"/>
        </w:rPr>
        <w:t>"</w:t>
      </w:r>
      <w:r w:rsidRPr="00E169CB">
        <w:t>SL PRS request</w:t>
      </w:r>
      <w:r w:rsidR="00C20D4F">
        <w:rPr>
          <w:lang w:val="en-GB"/>
        </w:rPr>
        <w:t>"</w:t>
      </w:r>
      <w:r w:rsidRPr="00E169CB">
        <w:t xml:space="preserve"> as indicated by higher layers</w:t>
      </w:r>
    </w:p>
    <w:p w14:paraId="55610581" w14:textId="1C029110" w:rsidR="00ED7A47" w:rsidRPr="00ED7A47" w:rsidRDefault="00ED7A47" w:rsidP="00ED7A47">
      <w:pPr>
        <w:rPr>
          <w:sz w:val="18"/>
          <w:szCs w:val="18"/>
          <w:lang w:val="zh-CN" w:eastAsia="zh-CN"/>
        </w:rPr>
      </w:pPr>
      <w:r>
        <w:rPr>
          <w:iCs/>
        </w:rPr>
        <w:t xml:space="preserve">For decoding of a SCI format 1-B, a UE may assume that a number of bits provided by </w:t>
      </w:r>
      <w:r w:rsidR="006E2918" w:rsidRPr="003C72D8">
        <w:rPr>
          <w:i/>
        </w:rPr>
        <w:t>sl-NumReservedBitsSCI1B-DedicatedSL-PRS-RP</w:t>
      </w:r>
      <w:r>
        <w:rPr>
          <w:iCs/>
        </w:rPr>
        <w:t xml:space="preserve"> can have any value as described in [4, TS 38.212]. </w:t>
      </w:r>
    </w:p>
    <w:p w14:paraId="7FE17BD3" w14:textId="77777777" w:rsidR="00E21265" w:rsidRPr="00E31422" w:rsidRDefault="00E21265" w:rsidP="00E21265">
      <w:pPr>
        <w:pStyle w:val="Heading2"/>
        <w:spacing w:before="0"/>
        <w:ind w:left="1136" w:hanging="1136"/>
      </w:pPr>
      <w:bookmarkStart w:id="928" w:name="_Toc29894887"/>
      <w:bookmarkStart w:id="929" w:name="_Toc29899186"/>
      <w:bookmarkStart w:id="930" w:name="_Toc29899604"/>
      <w:bookmarkStart w:id="931" w:name="_Toc29917340"/>
      <w:bookmarkStart w:id="932" w:name="_Toc36498215"/>
      <w:bookmarkStart w:id="933" w:name="_Toc45699245"/>
      <w:bookmarkStart w:id="934" w:name="_Toc161999183"/>
      <w:r>
        <w:lastRenderedPageBreak/>
        <w:t>16.5</w:t>
      </w:r>
      <w:r w:rsidRPr="00E31422">
        <w:rPr>
          <w:rFonts w:hint="eastAsia"/>
        </w:rPr>
        <w:tab/>
      </w:r>
      <w:r w:rsidRPr="00E31422">
        <w:t xml:space="preserve">UE procedure for </w:t>
      </w:r>
      <w:r>
        <w:t>reporting HARQ-ACK on uplink</w:t>
      </w:r>
      <w:bookmarkEnd w:id="928"/>
      <w:bookmarkEnd w:id="929"/>
      <w:bookmarkEnd w:id="930"/>
      <w:bookmarkEnd w:id="931"/>
      <w:bookmarkEnd w:id="932"/>
      <w:bookmarkEnd w:id="933"/>
      <w:bookmarkEnd w:id="934"/>
    </w:p>
    <w:p w14:paraId="08585A12" w14:textId="4E255D73" w:rsidR="00E21265" w:rsidRDefault="00E21265" w:rsidP="00D2686C">
      <w:r>
        <w:t>A UE can be provided PUCCH resources</w:t>
      </w:r>
      <w:r w:rsidR="00D45245">
        <w:t xml:space="preserve"> or PUSCH resources</w:t>
      </w:r>
      <w:r>
        <w:t xml:space="preserve"> [</w:t>
      </w:r>
      <w:r w:rsidRPr="008C0CFC">
        <w:rPr>
          <w:lang w:val="en-US"/>
        </w:rPr>
        <w:t>12, TS 38.331]</w:t>
      </w:r>
      <w:r>
        <w:rPr>
          <w:lang w:val="en-US"/>
        </w:rPr>
        <w:t xml:space="preserve"> </w:t>
      </w:r>
      <w:r>
        <w:t xml:space="preserve">to report HARQ-ACK information that the UE generates based on HARQ-ACK information that the UE obtains from PSFCH receptions, or from absence of PSFCH receptions. </w:t>
      </w:r>
      <w:r w:rsidR="00D30CC2">
        <w:t xml:space="preserve">The UE reports HARQ-ACK information on the primary cell of the PUCCH group, as described </w:t>
      </w:r>
      <w:r w:rsidR="006F5F9E">
        <w:t>in clause</w:t>
      </w:r>
      <w:r w:rsidR="00D30CC2">
        <w:t xml:space="preserve"> 9, of the cell where the UE monitors PDCCH for detection of DCI format 3_0.</w:t>
      </w:r>
    </w:p>
    <w:p w14:paraId="4084274D" w14:textId="0009B6C7" w:rsidR="00E21265" w:rsidRDefault="00E21265" w:rsidP="00D2686C">
      <w:pPr>
        <w:rPr>
          <w:iCs/>
        </w:rPr>
      </w:pPr>
      <w:r>
        <w:rPr>
          <w:iCs/>
        </w:rPr>
        <w:t xml:space="preserve">For SL configured grant Type 1 or Type 2 PSSCH </w:t>
      </w:r>
      <w:r w:rsidR="00D30CC2">
        <w:rPr>
          <w:iCs/>
        </w:rPr>
        <w:t>transmissions</w:t>
      </w:r>
      <w:r>
        <w:rPr>
          <w:iCs/>
        </w:rPr>
        <w:t xml:space="preserve"> by a UE within a time period provided by </w:t>
      </w:r>
      <w:r w:rsidR="00D30CC2">
        <w:rPr>
          <w:i/>
        </w:rPr>
        <w:t>sl-</w:t>
      </w:r>
      <w:r w:rsidR="00D30CC2">
        <w:rPr>
          <w:i/>
          <w:iCs/>
        </w:rPr>
        <w:t>P</w:t>
      </w:r>
      <w:r w:rsidR="00D30CC2" w:rsidRPr="00AA6CD4">
        <w:rPr>
          <w:i/>
          <w:iCs/>
        </w:rPr>
        <w:t>eriodCG</w:t>
      </w:r>
      <w:r>
        <w:rPr>
          <w:iCs/>
        </w:rPr>
        <w:t xml:space="preserve">, the UE generates one HARQ-ACK information bit in response to the PSFCH receptions to multiplex in a PUCCH transmission occasion that is after a last time resource, in a set of time resources. </w:t>
      </w:r>
    </w:p>
    <w:p w14:paraId="3490E7FC" w14:textId="77777777" w:rsidR="003B5163" w:rsidRPr="00EE7A6D" w:rsidRDefault="003B5163" w:rsidP="003B5163">
      <w:pPr>
        <w:rPr>
          <w:iCs/>
        </w:rPr>
      </w:pPr>
      <w:r>
        <w:rPr>
          <w:iCs/>
        </w:rPr>
        <w:t>For PSSCH transmissions scheduled by a DCI format 3_0, a UE generates HARQ-ACK information in response to PSFCH receptions to multiplex in a PUCCH transmission occasion that is after a last time resource in a set of time resources provided by the DCI format 3_0.</w:t>
      </w:r>
    </w:p>
    <w:p w14:paraId="7323E648" w14:textId="483387A9" w:rsidR="008A1F79" w:rsidRDefault="00E21265" w:rsidP="008A1F79">
      <w:r>
        <w:t>From a number of PSFCH reception occasions</w:t>
      </w:r>
      <w:r w:rsidR="008A1F79">
        <w:t>,</w:t>
      </w:r>
      <w:r>
        <w:t xml:space="preserve"> the UE generates HARQ-ACK information to report in a PUCCH or PUSCH transmission</w:t>
      </w:r>
      <w:r w:rsidR="008A1F79">
        <w:t>. The</w:t>
      </w:r>
      <w:r>
        <w:t xml:space="preserve"> UE can be indicated by </w:t>
      </w:r>
      <w:r w:rsidR="008A1F79">
        <w:t>a SCI format</w:t>
      </w:r>
      <w:r>
        <w:t xml:space="preserve"> to perform one of the following and the UE constructs a HARQ-ACK codeword with HARQ-ACK information, when applicable</w:t>
      </w:r>
      <w:r w:rsidR="008A1F79" w:rsidRPr="008A1F79">
        <w:t xml:space="preserve"> </w:t>
      </w:r>
    </w:p>
    <w:p w14:paraId="28E488BF" w14:textId="6F894D7D" w:rsidR="00E21265" w:rsidRDefault="008A1F79" w:rsidP="009F064E">
      <w:pPr>
        <w:pStyle w:val="B1"/>
      </w:pPr>
      <w:r w:rsidRPr="009E3721">
        <w:t>-</w:t>
      </w:r>
      <w:r w:rsidRPr="009E3721">
        <w:tab/>
      </w:r>
      <w:r w:rsidR="00163533">
        <w:rPr>
          <w:bCs/>
          <w:kern w:val="32"/>
          <w:lang w:val="en-US" w:eastAsia="zh-CN"/>
        </w:rPr>
        <w:t>for one or more</w:t>
      </w:r>
      <w:r>
        <w:rPr>
          <w:rFonts w:eastAsia="Malgun Gothic"/>
          <w:lang w:val="en-US"/>
        </w:rPr>
        <w:t xml:space="preserve"> </w:t>
      </w:r>
      <w:r w:rsidRPr="009E3721">
        <w:rPr>
          <w:rFonts w:eastAsia="Malgun Gothic"/>
        </w:rPr>
        <w:t xml:space="preserve">PSFCH </w:t>
      </w:r>
      <w:r w:rsidR="00163533" w:rsidRPr="00163533">
        <w:rPr>
          <w:rFonts w:eastAsia="Malgun Gothic"/>
        </w:rPr>
        <w:t xml:space="preserve">reception occasions </w:t>
      </w:r>
      <w:r w:rsidRPr="009E3721">
        <w:rPr>
          <w:rFonts w:eastAsia="Malgun Gothic"/>
        </w:rPr>
        <w:t xml:space="preserve">associated with SCI format 2-A with Cast type indicator </w:t>
      </w:r>
      <w:r>
        <w:rPr>
          <w:rFonts w:eastAsia="Malgun Gothic"/>
          <w:lang w:val="en-US"/>
        </w:rPr>
        <w:t>field value of</w:t>
      </w:r>
      <w:r w:rsidRPr="009E3721">
        <w:rPr>
          <w:rFonts w:eastAsia="Malgun Gothic"/>
        </w:rPr>
        <w:t xml:space="preserve"> </w:t>
      </w:r>
      <w:r>
        <w:rPr>
          <w:rFonts w:eastAsia="Malgun Gothic"/>
          <w:lang w:val="en-US"/>
        </w:rPr>
        <w:t>"</w:t>
      </w:r>
      <w:r w:rsidRPr="009E3721">
        <w:rPr>
          <w:rFonts w:eastAsia="Malgun Gothic"/>
        </w:rPr>
        <w:t>1</w:t>
      </w:r>
      <w:r>
        <w:rPr>
          <w:rFonts w:eastAsia="Malgun Gothic"/>
          <w:lang w:val="en-US"/>
        </w:rPr>
        <w:t>0"</w:t>
      </w:r>
    </w:p>
    <w:p w14:paraId="625EBDB5" w14:textId="09310B6D" w:rsidR="00E21265" w:rsidRDefault="00E21265" w:rsidP="009F064E">
      <w:pPr>
        <w:pStyle w:val="B2"/>
        <w:rPr>
          <w:lang w:eastAsia="zh-CN"/>
        </w:rPr>
      </w:pPr>
      <w:r>
        <w:t>-</w:t>
      </w:r>
      <w:r>
        <w:tab/>
      </w:r>
      <w:r>
        <w:rPr>
          <w:lang w:eastAsia="zh-CN"/>
        </w:rPr>
        <w:t xml:space="preserve">generate HARQ-ACK information with same value as a value of HARQ-ACK information the UE determines from </w:t>
      </w:r>
      <w:r w:rsidR="00163533">
        <w:rPr>
          <w:lang w:eastAsia="zh-CN"/>
        </w:rPr>
        <w:t>the last</w:t>
      </w:r>
      <w:r>
        <w:rPr>
          <w:lang w:eastAsia="zh-CN"/>
        </w:rPr>
        <w:t xml:space="preserve"> PSFCH reception </w:t>
      </w:r>
      <w:r w:rsidR="00163533">
        <w:rPr>
          <w:lang w:eastAsia="zh-CN"/>
        </w:rPr>
        <w:t>from the number of</w:t>
      </w:r>
      <w:r>
        <w:rPr>
          <w:lang w:eastAsia="zh-CN"/>
        </w:rPr>
        <w:t xml:space="preserve"> PSFCH reception occasion</w:t>
      </w:r>
      <w:r w:rsidR="00163533">
        <w:rPr>
          <w:lang w:val="en-GB" w:eastAsia="zh-CN"/>
        </w:rPr>
        <w:t xml:space="preserve">s </w:t>
      </w:r>
      <w:r w:rsidR="00163533">
        <w:rPr>
          <w:lang w:eastAsia="zh-CN"/>
        </w:rPr>
        <w:t>corresponding to PSSCH transmissions</w:t>
      </w:r>
      <w:r w:rsidR="00163533">
        <w:rPr>
          <w:lang w:val="en-GB" w:eastAsia="zh-CN"/>
        </w:rPr>
        <w:t xml:space="preserve"> or</w:t>
      </w:r>
      <w:r>
        <w:rPr>
          <w:lang w:eastAsia="zh-CN"/>
        </w:rPr>
        <w:t xml:space="preserve">, if the UE determines that a PSFCH is not received at the </w:t>
      </w:r>
      <w:r w:rsidR="00F94EA8">
        <w:rPr>
          <w:lang w:eastAsia="zh-CN"/>
        </w:rPr>
        <w:t xml:space="preserve">last </w:t>
      </w:r>
      <w:r>
        <w:rPr>
          <w:lang w:eastAsia="zh-CN"/>
        </w:rPr>
        <w:t>PSFCH reception occasion</w:t>
      </w:r>
      <w:r w:rsidR="00F94EA8">
        <w:rPr>
          <w:lang w:val="en-GB" w:eastAsia="zh-CN"/>
        </w:rPr>
        <w:t xml:space="preserve"> </w:t>
      </w:r>
      <w:r w:rsidR="00F94EA8" w:rsidRPr="00315447">
        <w:rPr>
          <w:lang w:eastAsia="zh-CN"/>
        </w:rPr>
        <w:t>and ACK is not received in any of previous PSFCH reception occasions</w:t>
      </w:r>
      <w:r>
        <w:rPr>
          <w:lang w:eastAsia="zh-CN"/>
        </w:rPr>
        <w:t>, generate NACK</w:t>
      </w:r>
    </w:p>
    <w:p w14:paraId="54F6CFE0" w14:textId="22D1A247" w:rsidR="008A1F79" w:rsidRPr="009E3721" w:rsidRDefault="008A1F79" w:rsidP="008A1F79">
      <w:pPr>
        <w:pStyle w:val="B1"/>
        <w:rPr>
          <w:bCs/>
          <w:kern w:val="32"/>
          <w:lang w:val="en-US" w:eastAsia="zh-CN"/>
        </w:rPr>
      </w:pPr>
      <w:r w:rsidRPr="009E3721">
        <w:t>-</w:t>
      </w:r>
      <w:r w:rsidRPr="009E3721">
        <w:tab/>
      </w:r>
      <w:r w:rsidR="00F94EA8">
        <w:rPr>
          <w:bCs/>
          <w:kern w:val="32"/>
          <w:lang w:val="en-US" w:eastAsia="zh-CN"/>
        </w:rPr>
        <w:t>for one or more</w:t>
      </w:r>
      <w:r>
        <w:rPr>
          <w:rFonts w:eastAsia="Malgun Gothic"/>
          <w:lang w:val="en-US"/>
        </w:rPr>
        <w:t xml:space="preserve"> </w:t>
      </w:r>
      <w:r w:rsidRPr="009E3721">
        <w:rPr>
          <w:rFonts w:eastAsia="Malgun Gothic"/>
        </w:rPr>
        <w:t xml:space="preserve">PSFCH </w:t>
      </w:r>
      <w:r w:rsidR="00F94EA8">
        <w:rPr>
          <w:rFonts w:eastAsia="Malgun Gothic"/>
        </w:rPr>
        <w:t>reception</w:t>
      </w:r>
      <w:r w:rsidR="00F94EA8" w:rsidRPr="009E3721">
        <w:rPr>
          <w:rFonts w:eastAsia="Malgun Gothic"/>
        </w:rPr>
        <w:t xml:space="preserve"> </w:t>
      </w:r>
      <w:r w:rsidR="00F94EA8">
        <w:rPr>
          <w:rFonts w:eastAsia="Malgun Gothic"/>
        </w:rPr>
        <w:t>occasions</w:t>
      </w:r>
      <w:r w:rsidR="00F94EA8" w:rsidRPr="009E3721">
        <w:rPr>
          <w:rFonts w:eastAsia="Malgun Gothic"/>
        </w:rPr>
        <w:t xml:space="preserve"> </w:t>
      </w:r>
      <w:r w:rsidRPr="009E3721">
        <w:rPr>
          <w:rFonts w:eastAsia="Malgun Gothic"/>
        </w:rPr>
        <w:t xml:space="preserve">associated with SCI format 2-A with Cast type indicator </w:t>
      </w:r>
      <w:r>
        <w:rPr>
          <w:rFonts w:eastAsia="Malgun Gothic"/>
          <w:lang w:val="en-US"/>
        </w:rPr>
        <w:t>field value of</w:t>
      </w:r>
      <w:r w:rsidRPr="009E3721">
        <w:rPr>
          <w:rFonts w:eastAsia="Malgun Gothic"/>
        </w:rPr>
        <w:t xml:space="preserve"> </w:t>
      </w:r>
      <w:r>
        <w:rPr>
          <w:rFonts w:eastAsia="Malgun Gothic"/>
          <w:lang w:val="en-US"/>
        </w:rPr>
        <w:t>"01"</w:t>
      </w:r>
      <w:r w:rsidRPr="009E3721">
        <w:rPr>
          <w:bCs/>
          <w:kern w:val="32"/>
          <w:lang w:val="en-US" w:eastAsia="zh-CN"/>
        </w:rPr>
        <w:t xml:space="preserve"> </w:t>
      </w:r>
    </w:p>
    <w:p w14:paraId="1B91A569" w14:textId="17AA249E" w:rsidR="008A1F79" w:rsidRPr="009E3721" w:rsidRDefault="008A1F79" w:rsidP="009F064E">
      <w:pPr>
        <w:pStyle w:val="B2"/>
        <w:rPr>
          <w:bCs/>
          <w:kern w:val="32"/>
          <w:lang w:val="en-US" w:eastAsia="zh-CN"/>
        </w:rPr>
      </w:pPr>
      <w:r w:rsidRPr="009E3721">
        <w:t>-</w:t>
      </w:r>
      <w:r w:rsidRPr="009E3721">
        <w:tab/>
      </w:r>
      <w:r w:rsidRPr="009E3721">
        <w:rPr>
          <w:rFonts w:eastAsia="Malgun Gothic"/>
        </w:rPr>
        <w:t xml:space="preserve">generate ACK </w:t>
      </w:r>
      <w:r>
        <w:rPr>
          <w:rFonts w:eastAsia="Malgun Gothic"/>
          <w:lang w:val="en-US"/>
        </w:rPr>
        <w:t>if</w:t>
      </w:r>
      <w:r w:rsidRPr="009E3721">
        <w:rPr>
          <w:rFonts w:eastAsia="Malgun Gothic"/>
        </w:rPr>
        <w:t xml:space="preserve"> the UE determines ACK from at least one PSFCH reception </w:t>
      </w:r>
      <w:r>
        <w:rPr>
          <w:rFonts w:eastAsia="Malgun Gothic"/>
          <w:lang w:val="en-US"/>
        </w:rPr>
        <w:t xml:space="preserve">occasion, </w:t>
      </w:r>
      <w:r w:rsidRPr="009E3721">
        <w:rPr>
          <w:rFonts w:eastAsia="Malgun Gothic"/>
        </w:rPr>
        <w:t>f</w:t>
      </w:r>
      <w:r>
        <w:rPr>
          <w:rFonts w:eastAsia="Malgun Gothic"/>
          <w:lang w:val="en-US"/>
        </w:rPr>
        <w:t>rom</w:t>
      </w:r>
      <w:r w:rsidRPr="009E3721">
        <w:rPr>
          <w:rFonts w:eastAsia="Malgun Gothic"/>
        </w:rPr>
        <w:t xml:space="preserve"> the number of PSFCH reception occasions</w:t>
      </w:r>
      <w:r w:rsidR="00F94EA8">
        <w:rPr>
          <w:rFonts w:eastAsia="Malgun Gothic"/>
          <w:lang w:val="en-GB"/>
        </w:rPr>
        <w:t xml:space="preserve"> </w:t>
      </w:r>
      <w:r w:rsidR="00F94EA8">
        <w:rPr>
          <w:rFonts w:eastAsia="Malgun Gothic"/>
        </w:rPr>
        <w:t>corresponding to PSSCH transmissions</w:t>
      </w:r>
      <w:r>
        <w:rPr>
          <w:rFonts w:eastAsia="Malgun Gothic"/>
          <w:lang w:val="en-US"/>
        </w:rPr>
        <w:t>,</w:t>
      </w:r>
      <w:r w:rsidRPr="009E3721">
        <w:rPr>
          <w:rFonts w:eastAsia="Malgun Gothic"/>
        </w:rPr>
        <w:t xml:space="preserve"> </w:t>
      </w:r>
      <w:r>
        <w:rPr>
          <w:rFonts w:eastAsia="Malgun Gothic"/>
          <w:lang w:val="en-US"/>
        </w:rPr>
        <w:t>in</w:t>
      </w:r>
      <w:r w:rsidRPr="009E3721">
        <w:rPr>
          <w:rFonts w:eastAsia="Malgun Gothic"/>
        </w:rPr>
        <w:t xml:space="preserve"> PSFCH resource</w:t>
      </w:r>
      <w:r>
        <w:rPr>
          <w:rFonts w:eastAsia="Malgun Gothic"/>
          <w:lang w:val="en-US"/>
        </w:rPr>
        <w:t>s</w:t>
      </w:r>
      <w:r w:rsidRPr="009E3721">
        <w:rPr>
          <w:rFonts w:eastAsia="Malgun Gothic"/>
        </w:rPr>
        <w:t xml:space="preserve"> </w:t>
      </w:r>
      <w:r>
        <w:rPr>
          <w:rFonts w:eastAsia="Malgun Gothic"/>
          <w:lang w:val="en-US"/>
        </w:rPr>
        <w:t>corresponding to</w:t>
      </w:r>
      <w:r w:rsidRPr="009E3721">
        <w:rPr>
          <w:rFonts w:eastAsia="Malgun Gothic"/>
        </w:rPr>
        <w:t xml:space="preserve"> </w:t>
      </w:r>
      <w:r>
        <w:rPr>
          <w:rFonts w:eastAsia="Malgun Gothic"/>
          <w:lang w:val="en-US"/>
        </w:rPr>
        <w:t>every identity</w:t>
      </w:r>
      <w:r w:rsidRPr="009E3721">
        <w:rPr>
          <w:rFonts w:eastAsia="Malgun Gothic"/>
        </w:rPr>
        <w:t xml:space="preserve"> </w:t>
      </w:r>
      <m:oMath>
        <m:sSub>
          <m:sSubPr>
            <m:ctrlPr>
              <w:rPr>
                <w:rFonts w:ascii="Cambria Math" w:hAnsi="Cambria Math"/>
                <w:i/>
                <w:iCs/>
              </w:rPr>
            </m:ctrlPr>
          </m:sSubPr>
          <m:e>
            <m:r>
              <w:rPr>
                <w:rFonts w:ascii="Cambria Math" w:eastAsia="Malgun Gothic" w:hAnsi="Cambria Math"/>
              </w:rPr>
              <m:t>M</m:t>
            </m:r>
          </m:e>
          <m:sub>
            <m:r>
              <m:rPr>
                <m:nor/>
              </m:rPr>
              <w:rPr>
                <w:rFonts w:eastAsia="Malgun Gothic"/>
              </w:rPr>
              <m:t>ID</m:t>
            </m:r>
            <m:ctrlPr>
              <w:rPr>
                <w:rFonts w:ascii="Cambria Math" w:hAnsi="Cambria Math"/>
              </w:rPr>
            </m:ctrlPr>
          </m:sub>
        </m:sSub>
      </m:oMath>
      <w:r w:rsidRPr="009E3721">
        <w:rPr>
          <w:rFonts w:eastAsia="Malgun Gothic"/>
        </w:rPr>
        <w:t xml:space="preserve"> </w:t>
      </w:r>
      <w:r>
        <w:rPr>
          <w:rFonts w:eastAsia="Malgun Gothic"/>
          <w:lang w:val="en-US"/>
        </w:rPr>
        <w:t>of</w:t>
      </w:r>
      <w:r w:rsidRPr="009E3721">
        <w:rPr>
          <w:rFonts w:eastAsia="Malgun Gothic"/>
        </w:rPr>
        <w:t xml:space="preserve"> the UEs </w:t>
      </w:r>
      <w:r>
        <w:rPr>
          <w:rFonts w:eastAsia="Malgun Gothic"/>
          <w:lang w:val="en-US"/>
        </w:rPr>
        <w:t xml:space="preserve">that the UE </w:t>
      </w:r>
      <w:r w:rsidRPr="009E3721">
        <w:rPr>
          <w:rFonts w:eastAsia="Malgun Gothic"/>
        </w:rPr>
        <w:t>expec</w:t>
      </w:r>
      <w:r>
        <w:rPr>
          <w:rFonts w:eastAsia="Malgun Gothic"/>
          <w:lang w:val="en-US"/>
        </w:rPr>
        <w:t>ts</w:t>
      </w:r>
      <w:r w:rsidRPr="009E3721">
        <w:rPr>
          <w:rFonts w:eastAsia="Malgun Gothic"/>
        </w:rPr>
        <w:t xml:space="preserve"> to receive the PSSCH, as </w:t>
      </w:r>
      <w:r>
        <w:rPr>
          <w:rFonts w:eastAsia="Malgun Gothic"/>
          <w:lang w:val="en-US"/>
        </w:rPr>
        <w:t xml:space="preserve">described </w:t>
      </w:r>
      <w:r w:rsidR="006F5F9E">
        <w:rPr>
          <w:rFonts w:eastAsia="Malgun Gothic"/>
        </w:rPr>
        <w:t>in clause</w:t>
      </w:r>
      <w:r w:rsidRPr="009E3721">
        <w:rPr>
          <w:rFonts w:eastAsia="Malgun Gothic"/>
        </w:rPr>
        <w:t xml:space="preserve"> 16.3; otherwise, generate NACK</w:t>
      </w:r>
      <w:r w:rsidRPr="009E3721">
        <w:rPr>
          <w:bCs/>
          <w:kern w:val="32"/>
          <w:lang w:val="en-US" w:eastAsia="zh-CN"/>
        </w:rPr>
        <w:t xml:space="preserve"> </w:t>
      </w:r>
    </w:p>
    <w:p w14:paraId="7F1AD475" w14:textId="2E150AF6" w:rsidR="008A1F79" w:rsidRPr="009E3721" w:rsidRDefault="008A1F79" w:rsidP="008A1F79">
      <w:pPr>
        <w:pStyle w:val="B1"/>
        <w:rPr>
          <w:bCs/>
          <w:kern w:val="32"/>
          <w:lang w:val="en-US" w:eastAsia="zh-CN"/>
        </w:rPr>
      </w:pPr>
      <w:r w:rsidRPr="009E3721">
        <w:t>-</w:t>
      </w:r>
      <w:r w:rsidRPr="009E3721">
        <w:tab/>
      </w:r>
      <w:r w:rsidR="00F94EA8">
        <w:rPr>
          <w:bCs/>
          <w:kern w:val="32"/>
          <w:lang w:val="en-US" w:eastAsia="zh-CN"/>
        </w:rPr>
        <w:t>for one or more</w:t>
      </w:r>
      <w:r>
        <w:rPr>
          <w:rFonts w:eastAsia="Malgun Gothic"/>
          <w:lang w:val="en-US"/>
        </w:rPr>
        <w:t xml:space="preserve"> </w:t>
      </w:r>
      <w:r w:rsidRPr="009E3721">
        <w:rPr>
          <w:rFonts w:eastAsia="Malgun Gothic"/>
        </w:rPr>
        <w:t xml:space="preserve">PSFCH </w:t>
      </w:r>
      <w:r w:rsidR="00F94EA8">
        <w:rPr>
          <w:rFonts w:eastAsia="Malgun Gothic"/>
        </w:rPr>
        <w:t xml:space="preserve">reception occasions </w:t>
      </w:r>
      <w:r w:rsidRPr="009E3721">
        <w:rPr>
          <w:rFonts w:eastAsia="Malgun Gothic"/>
        </w:rPr>
        <w:t>associated with SCI format 2-</w:t>
      </w:r>
      <w:r>
        <w:rPr>
          <w:rFonts w:eastAsia="Malgun Gothic"/>
          <w:lang w:val="en-US"/>
        </w:rPr>
        <w:t>B</w:t>
      </w:r>
      <w:r w:rsidRPr="009E3721">
        <w:rPr>
          <w:rFonts w:eastAsia="Malgun Gothic"/>
        </w:rPr>
        <w:t xml:space="preserve"> </w:t>
      </w:r>
      <w:r w:rsidR="005B2DE2" w:rsidRPr="00227C3B">
        <w:rPr>
          <w:rFonts w:eastAsia="Malgun Gothic"/>
        </w:rPr>
        <w:t>or SCI format 2-A with Cast type indicator field value of "11"</w:t>
      </w:r>
    </w:p>
    <w:p w14:paraId="1C81253E" w14:textId="78523A55" w:rsidR="00E21265" w:rsidRPr="006A6D7D" w:rsidRDefault="00E21265" w:rsidP="009F064E">
      <w:pPr>
        <w:pStyle w:val="B2"/>
        <w:rPr>
          <w:lang w:eastAsia="zh-CN"/>
        </w:rPr>
      </w:pPr>
      <w:r>
        <w:t>-</w:t>
      </w:r>
      <w:r>
        <w:tab/>
      </w:r>
      <w:r>
        <w:rPr>
          <w:lang w:eastAsia="zh-CN"/>
        </w:rPr>
        <w:t xml:space="preserve">generate ACK when the UE determines absence of PSFCH reception for </w:t>
      </w:r>
      <w:r w:rsidR="00F94EA8">
        <w:rPr>
          <w:lang w:eastAsia="zh-CN"/>
        </w:rPr>
        <w:t>the last</w:t>
      </w:r>
      <w:r>
        <w:rPr>
          <w:lang w:eastAsia="zh-CN"/>
        </w:rPr>
        <w:t xml:space="preserve"> PSFCH reception occasion from the number of PSFCH reception occasions</w:t>
      </w:r>
      <w:r w:rsidR="00F94EA8">
        <w:rPr>
          <w:lang w:eastAsia="zh-CN"/>
        </w:rPr>
        <w:t xml:space="preserve"> </w:t>
      </w:r>
      <w:r w:rsidR="00F94EA8">
        <w:rPr>
          <w:rFonts w:eastAsia="Malgun Gothic"/>
        </w:rPr>
        <w:t>corresponding to PSSCH transmissions</w:t>
      </w:r>
      <w:r>
        <w:rPr>
          <w:lang w:eastAsia="zh-CN"/>
        </w:rPr>
        <w:t xml:space="preserve">; otherwise, generate NACK </w:t>
      </w:r>
    </w:p>
    <w:p w14:paraId="5EAF093F" w14:textId="77777777" w:rsidR="008A1F79" w:rsidRPr="00C94D4B" w:rsidRDefault="008A1F79" w:rsidP="008A1F79">
      <w:pPr>
        <w:rPr>
          <w:rFonts w:eastAsia="Malgun Gothic"/>
        </w:rPr>
      </w:pPr>
      <w:r>
        <w:rPr>
          <w:rFonts w:eastAsia="Malgun Gothic"/>
        </w:rPr>
        <w:t>After</w:t>
      </w:r>
      <w:r w:rsidRPr="00C94D4B">
        <w:rPr>
          <w:rFonts w:eastAsia="Malgun Gothic"/>
        </w:rPr>
        <w:t xml:space="preserve"> a UE </w:t>
      </w:r>
      <w:r>
        <w:rPr>
          <w:rFonts w:eastAsia="Malgun Gothic"/>
        </w:rPr>
        <w:t xml:space="preserve">transmits </w:t>
      </w:r>
      <w:r w:rsidRPr="00C94D4B">
        <w:rPr>
          <w:rFonts w:eastAsia="Malgun Gothic"/>
        </w:rPr>
        <w:t>PSSCH</w:t>
      </w:r>
      <w:r>
        <w:rPr>
          <w:rFonts w:eastAsia="Malgun Gothic"/>
        </w:rPr>
        <w:t>s</w:t>
      </w:r>
      <w:r w:rsidRPr="00C94D4B">
        <w:rPr>
          <w:rFonts w:eastAsia="Malgun Gothic"/>
        </w:rPr>
        <w:t xml:space="preserve"> and </w:t>
      </w:r>
      <w:r>
        <w:rPr>
          <w:rFonts w:eastAsia="Malgun Gothic"/>
        </w:rPr>
        <w:t xml:space="preserve">receives </w:t>
      </w:r>
      <w:r w:rsidRPr="00C94D4B">
        <w:rPr>
          <w:rFonts w:eastAsia="Malgun Gothic"/>
        </w:rPr>
        <w:t>PSFCH</w:t>
      </w:r>
      <w:r>
        <w:rPr>
          <w:rFonts w:eastAsia="Malgun Gothic"/>
        </w:rPr>
        <w:t>s</w:t>
      </w:r>
      <w:r w:rsidRPr="00C94D4B">
        <w:rPr>
          <w:rFonts w:eastAsia="Malgun Gothic"/>
        </w:rPr>
        <w:t xml:space="preserve"> in</w:t>
      </w:r>
      <w:r>
        <w:rPr>
          <w:rFonts w:eastAsia="Malgun Gothic"/>
        </w:rPr>
        <w:t xml:space="preserve"> corresponding</w:t>
      </w:r>
      <w:r w:rsidRPr="00C94D4B">
        <w:rPr>
          <w:rFonts w:eastAsia="Malgun Gothic"/>
        </w:rPr>
        <w:t xml:space="preserve"> PSFCH resource occasion</w:t>
      </w:r>
      <w:r>
        <w:rPr>
          <w:rFonts w:eastAsia="Malgun Gothic"/>
        </w:rPr>
        <w:t>s</w:t>
      </w:r>
      <w:r w:rsidRPr="00C94D4B">
        <w:rPr>
          <w:rFonts w:eastAsia="Malgun Gothic"/>
        </w:rPr>
        <w:t>, the priority value of HARQ-ACK information</w:t>
      </w:r>
      <w:r>
        <w:rPr>
          <w:rFonts w:eastAsia="Malgun Gothic"/>
        </w:rPr>
        <w:t xml:space="preserve"> </w:t>
      </w:r>
      <w:r w:rsidRPr="00C94D4B">
        <w:rPr>
          <w:rFonts w:eastAsia="Malgun Gothic"/>
        </w:rPr>
        <w:t>is same as the priority value of the PSSCH transmission</w:t>
      </w:r>
      <w:r>
        <w:rPr>
          <w:rFonts w:eastAsia="Malgun Gothic"/>
        </w:rPr>
        <w:t>s</w:t>
      </w:r>
      <w:r w:rsidRPr="00C94D4B">
        <w:rPr>
          <w:rFonts w:eastAsia="Malgun Gothic"/>
        </w:rPr>
        <w:t xml:space="preserve"> </w:t>
      </w:r>
      <w:r>
        <w:rPr>
          <w:rFonts w:eastAsia="Malgun Gothic"/>
        </w:rPr>
        <w:t>that</w:t>
      </w:r>
      <w:r w:rsidRPr="00C94D4B">
        <w:rPr>
          <w:rFonts w:eastAsia="Malgun Gothic"/>
        </w:rPr>
        <w:t xml:space="preserve"> is associated with </w:t>
      </w:r>
      <w:r>
        <w:rPr>
          <w:rFonts w:eastAsia="Malgun Gothic"/>
        </w:rPr>
        <w:t>the</w:t>
      </w:r>
      <w:r w:rsidRPr="00C94D4B">
        <w:rPr>
          <w:rFonts w:eastAsia="Malgun Gothic"/>
        </w:rPr>
        <w:t xml:space="preserve"> PSFCH reception occasions </w:t>
      </w:r>
      <w:r>
        <w:rPr>
          <w:rFonts w:eastAsia="Malgun Gothic"/>
        </w:rPr>
        <w:t>providing the</w:t>
      </w:r>
      <w:r w:rsidRPr="00C94D4B">
        <w:rPr>
          <w:rFonts w:eastAsia="Malgun Gothic"/>
        </w:rPr>
        <w:t xml:space="preserve"> HARQ-ACK information.</w:t>
      </w:r>
    </w:p>
    <w:p w14:paraId="0C3FE270" w14:textId="19C98713" w:rsidR="00D45245" w:rsidRPr="00673B56" w:rsidRDefault="00D45245" w:rsidP="00393CCA">
      <w:pPr>
        <w:rPr>
          <w:lang w:val="en-US"/>
        </w:rPr>
      </w:pPr>
      <w:r w:rsidRPr="00673B56">
        <w:rPr>
          <w:lang w:val="en-US"/>
        </w:rPr>
        <w:t xml:space="preserve">The UE generates </w:t>
      </w:r>
      <w:r w:rsidR="008A1F79">
        <w:rPr>
          <w:lang w:val="en-US"/>
        </w:rPr>
        <w:t xml:space="preserve">a </w:t>
      </w:r>
      <w:r w:rsidRPr="00673B56">
        <w:rPr>
          <w:lang w:val="en-US"/>
        </w:rPr>
        <w:t>NACK when, due to prioritization</w:t>
      </w:r>
      <w:r>
        <w:rPr>
          <w:lang w:val="en-US"/>
        </w:rPr>
        <w:t>,</w:t>
      </w:r>
      <w:r w:rsidRPr="00673B56">
        <w:rPr>
          <w:lang w:val="en-US"/>
        </w:rPr>
        <w:t xml:space="preserve"> a</w:t>
      </w:r>
      <w:r>
        <w:rPr>
          <w:lang w:val="en-US"/>
        </w:rPr>
        <w:t xml:space="preserve">s described </w:t>
      </w:r>
      <w:r w:rsidR="006F5F9E">
        <w:rPr>
          <w:lang w:val="en-US"/>
        </w:rPr>
        <w:t>in clause</w:t>
      </w:r>
      <w:r>
        <w:rPr>
          <w:lang w:val="en-US"/>
        </w:rPr>
        <w:t xml:space="preserve"> 16.2.4, the UE</w:t>
      </w:r>
      <w:r w:rsidRPr="00673B56">
        <w:rPr>
          <w:lang w:val="en-US"/>
        </w:rPr>
        <w:t xml:space="preserve"> </w:t>
      </w:r>
      <w:r>
        <w:rPr>
          <w:lang w:val="en-US"/>
        </w:rPr>
        <w:t>does not receive PSFCH in any</w:t>
      </w:r>
      <w:r w:rsidRPr="00673B56">
        <w:rPr>
          <w:lang w:val="en-US"/>
        </w:rPr>
        <w:t xml:space="preserve"> PSFCH reception occasion associated with a PSSCH transmission in a resource provided by a DCI format 3_0 </w:t>
      </w:r>
      <w:r w:rsidR="00746E6C" w:rsidRPr="00CC2710">
        <w:rPr>
          <w:lang w:val="en-US"/>
        </w:rPr>
        <w:t>and the UE transmitted PSSCH in the resource</w:t>
      </w:r>
      <w:r w:rsidR="00746E6C" w:rsidRPr="00673B56">
        <w:rPr>
          <w:lang w:val="en-US"/>
        </w:rPr>
        <w:t xml:space="preserve"> </w:t>
      </w:r>
      <w:r w:rsidRPr="00673B56">
        <w:rPr>
          <w:lang w:val="en-US"/>
        </w:rPr>
        <w:t>or, for a configured grant, in a resou</w:t>
      </w:r>
      <w:r>
        <w:rPr>
          <w:lang w:val="en-US"/>
        </w:rPr>
        <w:t>rce provided in a single period and</w:t>
      </w:r>
      <w:r w:rsidRPr="00673B56">
        <w:rPr>
          <w:lang w:val="en-US"/>
        </w:rPr>
        <w:t xml:space="preserve"> for which the UE is provided a PUCCH resource to report HARQ-</w:t>
      </w:r>
      <w:r>
        <w:rPr>
          <w:lang w:val="en-US"/>
        </w:rPr>
        <w:t>ACK information</w:t>
      </w:r>
      <w:r w:rsidR="00746E6C">
        <w:rPr>
          <w:lang w:val="en-US"/>
        </w:rPr>
        <w:t xml:space="preserve"> </w:t>
      </w:r>
      <w:r w:rsidR="00746E6C" w:rsidRPr="00CC2710">
        <w:rPr>
          <w:lang w:val="en-US"/>
        </w:rPr>
        <w:t>and the UE transmitted PSSCH in the resource</w:t>
      </w:r>
      <w:r w:rsidRPr="00673B56">
        <w:rPr>
          <w:lang w:val="en-US"/>
        </w:rPr>
        <w:t>.</w:t>
      </w:r>
      <w:r w:rsidR="008A1F79" w:rsidRPr="008A1F79">
        <w:rPr>
          <w:rFonts w:eastAsia="Malgun Gothic"/>
        </w:rPr>
        <w:t xml:space="preserve"> </w:t>
      </w:r>
      <w:r w:rsidR="008A1F79" w:rsidRPr="00903171">
        <w:rPr>
          <w:rFonts w:eastAsia="Malgun Gothic"/>
        </w:rPr>
        <w:t>The priority value of the NACK is same as the priority value of the PSSCH transmission.</w:t>
      </w:r>
    </w:p>
    <w:p w14:paraId="7F919140" w14:textId="5A0782FD" w:rsidR="008A1F79" w:rsidRPr="009D2F2B" w:rsidRDefault="00D45245" w:rsidP="008A1F79">
      <w:pPr>
        <w:rPr>
          <w:lang w:val="en-US"/>
        </w:rPr>
      </w:pPr>
      <w:r w:rsidRPr="00673B56">
        <w:rPr>
          <w:lang w:val="en-US"/>
        </w:rPr>
        <w:t xml:space="preserve">The UE generates </w:t>
      </w:r>
      <w:r w:rsidR="008A1F79">
        <w:rPr>
          <w:lang w:val="en-US"/>
        </w:rPr>
        <w:t xml:space="preserve">a </w:t>
      </w:r>
      <w:r w:rsidRPr="00673B56">
        <w:rPr>
          <w:lang w:val="en-US"/>
        </w:rPr>
        <w:t xml:space="preserve">NACK when, due to prioritization as described </w:t>
      </w:r>
      <w:r w:rsidR="006F5F9E">
        <w:rPr>
          <w:lang w:val="en-US"/>
        </w:rPr>
        <w:t>in clause</w:t>
      </w:r>
      <w:r>
        <w:rPr>
          <w:lang w:val="en-US"/>
        </w:rPr>
        <w:t xml:space="preserve"> 16.2.4, </w:t>
      </w:r>
      <w:r w:rsidR="00257A05" w:rsidRPr="00AE1EA2">
        <w:rPr>
          <w:lang w:val="en-US"/>
        </w:rPr>
        <w:t xml:space="preserve">or due to a failed channel access procedure [15, TS 37.213] for operation with shared spectrum channel access, </w:t>
      </w:r>
      <w:r>
        <w:rPr>
          <w:lang w:val="en-US"/>
        </w:rPr>
        <w:t>the UE</w:t>
      </w:r>
      <w:r w:rsidRPr="00673B56">
        <w:rPr>
          <w:lang w:val="en-US"/>
        </w:rPr>
        <w:t xml:space="preserve"> </w:t>
      </w:r>
      <w:r>
        <w:rPr>
          <w:lang w:val="en-US"/>
        </w:rPr>
        <w:t>does not transmit a PSSCH in any</w:t>
      </w:r>
      <w:r w:rsidRPr="00673B56">
        <w:rPr>
          <w:lang w:val="en-US"/>
        </w:rPr>
        <w:t xml:space="preserve"> of the resources provided by a DCI format 3_0 or,</w:t>
      </w:r>
      <w:r>
        <w:rPr>
          <w:lang w:val="en-US"/>
        </w:rPr>
        <w:t xml:space="preserve"> for a configured grant, in any</w:t>
      </w:r>
      <w:r w:rsidRPr="00673B56">
        <w:rPr>
          <w:lang w:val="en-US"/>
        </w:rPr>
        <w:t xml:space="preserve"> of the resour</w:t>
      </w:r>
      <w:r>
        <w:rPr>
          <w:lang w:val="en-US"/>
        </w:rPr>
        <w:t>ces provided in a single period</w:t>
      </w:r>
      <w:r w:rsidRPr="00673B56">
        <w:rPr>
          <w:lang w:val="en-US"/>
        </w:rPr>
        <w:t xml:space="preserve"> </w:t>
      </w:r>
      <w:r>
        <w:rPr>
          <w:lang w:val="en-US"/>
        </w:rPr>
        <w:t xml:space="preserve">and </w:t>
      </w:r>
      <w:r w:rsidRPr="00673B56">
        <w:rPr>
          <w:lang w:val="en-US"/>
        </w:rPr>
        <w:t>for which the UE is provided a PUCCH resource to report HARQ-</w:t>
      </w:r>
      <w:r>
        <w:rPr>
          <w:lang w:val="en-US"/>
        </w:rPr>
        <w:t>ACK information</w:t>
      </w:r>
      <w:r w:rsidRPr="00673B56">
        <w:rPr>
          <w:lang w:val="en-US"/>
        </w:rPr>
        <w:t xml:space="preserve">. </w:t>
      </w:r>
      <w:r w:rsidR="008A1F79" w:rsidRPr="009D2F2B">
        <w:rPr>
          <w:rFonts w:eastAsia="Malgun Gothic"/>
        </w:rPr>
        <w:t xml:space="preserve">The priority value of the NACK is same as the priority value of the PSSCH </w:t>
      </w:r>
      <w:r w:rsidR="008A1F79">
        <w:rPr>
          <w:rFonts w:eastAsia="Malgun Gothic"/>
        </w:rPr>
        <w:t xml:space="preserve">that was </w:t>
      </w:r>
      <w:r w:rsidR="008A1F79" w:rsidRPr="009D2F2B">
        <w:rPr>
          <w:rFonts w:eastAsia="Malgun Gothic"/>
        </w:rPr>
        <w:t>not transmitted due to prioritization</w:t>
      </w:r>
      <w:r w:rsidR="00257A05" w:rsidRPr="00AE1EA2">
        <w:rPr>
          <w:rFonts w:eastAsia="Malgun Gothic"/>
        </w:rPr>
        <w:t xml:space="preserve"> or due to the failed channel access procedure</w:t>
      </w:r>
      <w:r w:rsidR="008A1F79" w:rsidRPr="009D2F2B">
        <w:rPr>
          <w:rFonts w:eastAsia="Malgun Gothic"/>
        </w:rPr>
        <w:t>.</w:t>
      </w:r>
    </w:p>
    <w:p w14:paraId="7925A5A3" w14:textId="77777777" w:rsidR="008E450D" w:rsidRDefault="00D45245" w:rsidP="008E450D">
      <w:pPr>
        <w:rPr>
          <w:rFonts w:eastAsia="Malgun Gothic"/>
        </w:rPr>
      </w:pPr>
      <w:r>
        <w:rPr>
          <w:lang w:val="en-US"/>
        </w:rPr>
        <w:t xml:space="preserve">The UE generates </w:t>
      </w:r>
      <w:r w:rsidR="008A1F79">
        <w:rPr>
          <w:lang w:val="en-US"/>
        </w:rPr>
        <w:t xml:space="preserve">an </w:t>
      </w:r>
      <w:r>
        <w:rPr>
          <w:lang w:val="en-US"/>
        </w:rPr>
        <w:t xml:space="preserve">ACK if the UE does not transmit a PSCCH with a </w:t>
      </w:r>
      <w:r w:rsidRPr="00673B56">
        <w:rPr>
          <w:lang w:val="en-US"/>
        </w:rPr>
        <w:t xml:space="preserve">SCI format </w:t>
      </w:r>
      <w:r w:rsidR="008A1F79">
        <w:rPr>
          <w:lang w:val="en-US"/>
        </w:rPr>
        <w:t>1-A</w:t>
      </w:r>
      <w:r w:rsidRPr="00673B56">
        <w:rPr>
          <w:lang w:val="en-US"/>
        </w:rPr>
        <w:t xml:space="preserve"> scheduling a PSSCH </w:t>
      </w:r>
      <w:r>
        <w:rPr>
          <w:lang w:val="en-US"/>
        </w:rPr>
        <w:t>in any</w:t>
      </w:r>
      <w:r w:rsidRPr="00673B56">
        <w:rPr>
          <w:lang w:val="en-US"/>
        </w:rPr>
        <w:t xml:space="preserve"> of the resources provided by a configured grant in a single period </w:t>
      </w:r>
      <w:r>
        <w:rPr>
          <w:lang w:val="en-US"/>
        </w:rPr>
        <w:t>and</w:t>
      </w:r>
      <w:r w:rsidRPr="00673B56">
        <w:rPr>
          <w:lang w:val="en-US"/>
        </w:rPr>
        <w:t xml:space="preserve"> for which the UE is provided a PUCCH resource to report HARQ-</w:t>
      </w:r>
      <w:r>
        <w:rPr>
          <w:lang w:val="en-US"/>
        </w:rPr>
        <w:t>ACK information</w:t>
      </w:r>
      <w:r w:rsidRPr="00673B56">
        <w:rPr>
          <w:lang w:val="en-US"/>
        </w:rPr>
        <w:t>.</w:t>
      </w:r>
      <w:r w:rsidR="008A1F79">
        <w:rPr>
          <w:lang w:val="en-US"/>
        </w:rPr>
        <w:t xml:space="preserve"> </w:t>
      </w:r>
      <w:r w:rsidR="008A1F79" w:rsidRPr="009D2F2B">
        <w:rPr>
          <w:rFonts w:eastAsia="Malgun Gothic"/>
        </w:rPr>
        <w:t>The priority value of the ACK i</w:t>
      </w:r>
      <w:r w:rsidR="008A1F79">
        <w:rPr>
          <w:rFonts w:eastAsia="Malgun Gothic"/>
        </w:rPr>
        <w:t>s</w:t>
      </w:r>
      <w:r w:rsidR="008A1F79" w:rsidRPr="009D2F2B">
        <w:rPr>
          <w:rFonts w:eastAsia="Malgun Gothic"/>
        </w:rPr>
        <w:t xml:space="preserve"> same as the largest priority value among the possible </w:t>
      </w:r>
      <w:r w:rsidR="008A1F79">
        <w:rPr>
          <w:rFonts w:eastAsia="Malgun Gothic"/>
        </w:rPr>
        <w:t xml:space="preserve">priority </w:t>
      </w:r>
      <w:r w:rsidR="008A1F79" w:rsidRPr="009D2F2B">
        <w:rPr>
          <w:rFonts w:eastAsia="Malgun Gothic"/>
        </w:rPr>
        <w:t>values for the configured grant.</w:t>
      </w:r>
    </w:p>
    <w:p w14:paraId="7E160B25" w14:textId="77777777" w:rsidR="00E774B1" w:rsidRPr="0066330F" w:rsidRDefault="00E774B1" w:rsidP="00E774B1">
      <w:pPr>
        <w:rPr>
          <w:rFonts w:eastAsia="Malgun Gothic"/>
        </w:rPr>
      </w:pPr>
      <w:r w:rsidRPr="0066330F">
        <w:lastRenderedPageBreak/>
        <w:t>The UE generates an ACK if the UE does not transmit a PSCCH with a SCI format 1-A scheduling a PSSCH in any of the resources provided by a DCI format 3_0 and for which the UE is provided a PUCCH resource to report HARQ-ACK information. The priority value of the ACK is same as the largest priority value among the possible priority values for the dynamic grant.</w:t>
      </w:r>
    </w:p>
    <w:p w14:paraId="45AD4DCD" w14:textId="7A562C3F" w:rsidR="008A1F79" w:rsidRPr="009D2F2B" w:rsidRDefault="008E450D" w:rsidP="008E450D">
      <w:pPr>
        <w:rPr>
          <w:lang w:val="en-US"/>
        </w:rPr>
      </w:pPr>
      <w:r w:rsidRPr="00E10D5B">
        <w:rPr>
          <w:lang w:val="en-US"/>
        </w:rPr>
        <w:t xml:space="preserve">For reporting HARQ-ACK information on uplink corresponding to one or multiple PSSCH transmissions with a corresponding SCI format with the field </w:t>
      </w:r>
      <w:r w:rsidR="006C34E7">
        <w:rPr>
          <w:lang w:val="en-US"/>
        </w:rPr>
        <w:t>'</w:t>
      </w:r>
      <w:r w:rsidRPr="00E10D5B">
        <w:rPr>
          <w:lang w:val="en-US"/>
        </w:rPr>
        <w:t>HARQ feedback enabled/disabled indicator</w:t>
      </w:r>
      <w:r w:rsidR="006C34E7">
        <w:rPr>
          <w:lang w:val="en-US"/>
        </w:rPr>
        <w:t>'</w:t>
      </w:r>
      <w:r w:rsidRPr="00E10D5B">
        <w:rPr>
          <w:lang w:val="en-US"/>
        </w:rPr>
        <w:t xml:space="preserve"> set to disabled, the UE generates HARQ-ACK information with the contents instructed by higher layer. The priority value of the </w:t>
      </w:r>
      <w:r>
        <w:rPr>
          <w:lang w:val="en-US"/>
        </w:rPr>
        <w:t>HARQ-ACK information</w:t>
      </w:r>
      <w:r w:rsidRPr="00E10D5B">
        <w:rPr>
          <w:lang w:val="en-US"/>
        </w:rPr>
        <w:t xml:space="preserve"> is same as the priority value of the PSSCH transmission.</w:t>
      </w:r>
    </w:p>
    <w:p w14:paraId="248E8ED6" w14:textId="276C5A77" w:rsidR="008A1F79" w:rsidRPr="00305DC9" w:rsidRDefault="008A1F79" w:rsidP="008A1F79">
      <w:r w:rsidRPr="00305DC9">
        <w:t>A UE does not expect to be provided PUCCH resources or PUSCH resources to report HARQ-ACK information that start earlier than</w:t>
      </w:r>
      <w:r w:rsidR="00511D2E">
        <w:t xml:space="preserve"> </w:t>
      </w:r>
      <m:oMath>
        <m:sSub>
          <m:sSubPr>
            <m:ctrlPr>
              <w:rPr>
                <w:rFonts w:ascii="Cambria Math" w:hAnsi="Cambria Math"/>
                <w:i/>
              </w:rPr>
            </m:ctrlPr>
          </m:sSubPr>
          <m:e>
            <m:r>
              <w:rPr>
                <w:rFonts w:ascii="Cambria Math" w:hAnsi="Cambria Math"/>
              </w:rPr>
              <m:t>T</m:t>
            </m:r>
          </m:e>
          <m:sub>
            <m:r>
              <w:rPr>
                <w:rFonts w:ascii="Cambria Math" w:hAnsi="Cambria Math"/>
              </w:rPr>
              <m:t>prep</m:t>
            </m:r>
          </m:sub>
        </m:sSub>
        <m:r>
          <w:rPr>
            <w:rFonts w:ascii="Cambria Math" w:hAnsi="Cambria Math"/>
            <w:lang w:val="en-US"/>
          </w:rPr>
          <m:t>=</m:t>
        </m:r>
      </m:oMath>
      <w:r w:rsidRPr="00305DC9">
        <w:t xml:space="preserve"> </w:t>
      </w:r>
      <m:oMath>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2048+144</m:t>
            </m:r>
          </m:e>
        </m:d>
        <m:r>
          <w:rPr>
            <w:rFonts w:ascii="Cambria Math" w:hAnsi="Cambria Math"/>
          </w:rPr>
          <m:t>∙κ∙</m:t>
        </m:r>
        <m:sSup>
          <m:sSupPr>
            <m:ctrlPr>
              <w:rPr>
                <w:rFonts w:ascii="Cambria Math" w:hAnsi="Cambria Math"/>
                <w:i/>
              </w:rPr>
            </m:ctrlPr>
          </m:sSupPr>
          <m:e>
            <m:r>
              <w:rPr>
                <w:rFonts w:ascii="Cambria Math" w:hAnsi="Cambria Math"/>
              </w:rPr>
              <m:t>2</m:t>
            </m:r>
          </m:e>
          <m:sup>
            <m:r>
              <w:rPr>
                <w:rFonts w:ascii="Cambria Math" w:hAnsi="Cambria Math"/>
              </w:rPr>
              <m:t>-μ</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oMath>
      <w:r w:rsidRPr="00305DC9">
        <w:t xml:space="preserve"> after the end of a last symbol of a last PSFCH reception occasion</w:t>
      </w:r>
      <w:r w:rsidR="007E35C6">
        <w:t xml:space="preserve"> </w:t>
      </w:r>
      <w:r w:rsidR="007E35C6" w:rsidRPr="009F3A72">
        <w:rPr>
          <w:rFonts w:cs="Times"/>
        </w:rPr>
        <w:t xml:space="preserve">if </w:t>
      </w:r>
      <w:r w:rsidR="007E35C6" w:rsidRPr="009F3A72">
        <w:rPr>
          <w:rFonts w:cs="Times"/>
          <w:i/>
        </w:rPr>
        <w:t>numPSFCHOccasions</w:t>
      </w:r>
      <w:r w:rsidR="007E35C6" w:rsidRPr="009F3A72">
        <w:rPr>
          <w:rFonts w:cs="Times"/>
        </w:rPr>
        <w:t xml:space="preserve"> is not (pre-)configured</w:t>
      </w:r>
      <w:r w:rsidR="007E35C6">
        <w:rPr>
          <w:rFonts w:cs="Times"/>
        </w:rPr>
        <w:t>,</w:t>
      </w:r>
      <w:r w:rsidR="007E35C6" w:rsidRPr="009F3A72">
        <w:rPr>
          <w:rFonts w:cs="Times"/>
        </w:rPr>
        <w:t xml:space="preserve"> or of a last candidate PSFCH reception occasion if </w:t>
      </w:r>
      <w:r w:rsidR="007E35C6" w:rsidRPr="009F3A72">
        <w:rPr>
          <w:rFonts w:cs="Times"/>
          <w:i/>
        </w:rPr>
        <w:t>numPSFCHOccasions</w:t>
      </w:r>
      <w:r w:rsidR="007E35C6" w:rsidRPr="009F3A72">
        <w:rPr>
          <w:rFonts w:cs="Times"/>
        </w:rPr>
        <w:t xml:space="preserve"> is (pre-)configured, from a number of PSFCH reception occasions if </w:t>
      </w:r>
      <w:r w:rsidR="007E35C6" w:rsidRPr="009F3A72">
        <w:rPr>
          <w:rFonts w:cs="Times"/>
          <w:i/>
        </w:rPr>
        <w:t>numPSFCHOccasions</w:t>
      </w:r>
      <w:r w:rsidR="007E35C6" w:rsidRPr="009F3A72">
        <w:rPr>
          <w:rFonts w:cs="Times"/>
        </w:rPr>
        <w:t xml:space="preserve"> is not (pre-)configured</w:t>
      </w:r>
      <w:r w:rsidR="007E35C6">
        <w:rPr>
          <w:rFonts w:cs="Times"/>
        </w:rPr>
        <w:t>,</w:t>
      </w:r>
      <w:r w:rsidR="007E35C6" w:rsidRPr="009F3A72">
        <w:rPr>
          <w:rFonts w:cs="Times"/>
        </w:rPr>
        <w:t xml:space="preserve"> or </w:t>
      </w:r>
      <w:r w:rsidR="007E35C6">
        <w:rPr>
          <w:rFonts w:cs="Times"/>
        </w:rPr>
        <w:t xml:space="preserve">from </w:t>
      </w:r>
      <w:r w:rsidR="007E35C6" w:rsidRPr="009F3A72">
        <w:rPr>
          <w:rFonts w:cs="Times"/>
        </w:rPr>
        <w:t xml:space="preserve">a number of candidate PSFCH reception occasions if </w:t>
      </w:r>
      <w:r w:rsidR="007E35C6" w:rsidRPr="009F3A72">
        <w:rPr>
          <w:rFonts w:cs="Times"/>
          <w:i/>
        </w:rPr>
        <w:t>numPSFCHOccasions</w:t>
      </w:r>
      <w:r w:rsidR="007E35C6" w:rsidRPr="009F3A72">
        <w:rPr>
          <w:rFonts w:cs="Times"/>
        </w:rPr>
        <w:t xml:space="preserve"> is (pre-)configured</w:t>
      </w:r>
      <w:r w:rsidRPr="00305DC9">
        <w:t>, that the UE generates HARQ-ACK information to report in a PUCCH or PUSCH transmission, where</w:t>
      </w:r>
    </w:p>
    <w:p w14:paraId="0C0A67A9" w14:textId="77777777" w:rsidR="008A1F79" w:rsidRPr="00305DC9" w:rsidRDefault="008A1F79" w:rsidP="008A1F79">
      <w:pPr>
        <w:pStyle w:val="B1"/>
      </w:pPr>
      <w:r w:rsidRPr="00305DC9">
        <w:t>-</w:t>
      </w:r>
      <w:r w:rsidRPr="00305DC9">
        <w:tab/>
      </w:r>
      <m:oMath>
        <m:r>
          <w:rPr>
            <w:rFonts w:ascii="Cambria Math" w:hAnsi="Cambria Math"/>
          </w:rPr>
          <m:t>κ</m:t>
        </m:r>
      </m:oMath>
      <w:r w:rsidRPr="00305DC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Pr="00305DC9">
        <w:rPr>
          <w:rFonts w:eastAsiaTheme="minorEastAsia"/>
        </w:rPr>
        <w:t xml:space="preserve"> are defined in [4, TS 38.211]</w:t>
      </w:r>
    </w:p>
    <w:p w14:paraId="06376F8D" w14:textId="77777777" w:rsidR="008A1F79" w:rsidRPr="00305DC9" w:rsidRDefault="008A1F79" w:rsidP="008A1F79">
      <w:pPr>
        <w:pStyle w:val="B1"/>
      </w:pPr>
      <w:r w:rsidRPr="00305DC9">
        <w:t>-</w:t>
      </w:r>
      <w:r w:rsidRPr="00305DC9">
        <w:tab/>
      </w:r>
      <m:oMath>
        <m:r>
          <w:rPr>
            <w:rFonts w:ascii="Cambria Math" w:hAnsi="Cambria Math"/>
          </w:rPr>
          <m:t>μ=</m:t>
        </m:r>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SL</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UL</m:t>
            </m:r>
          </m:sub>
        </m:sSub>
        <m:r>
          <w:rPr>
            <w:rFonts w:ascii="Cambria Math" w:hAnsi="Cambria Math"/>
          </w:rPr>
          <m:t>)</m:t>
        </m:r>
      </m:oMath>
      <w:r w:rsidRPr="00305DC9">
        <w:rPr>
          <w:rFonts w:eastAsiaTheme="minorEastAsia"/>
        </w:rPr>
        <w:t xml:space="preserve">, where </w:t>
      </w:r>
      <m:oMath>
        <m:sSub>
          <m:sSubPr>
            <m:ctrlPr>
              <w:rPr>
                <w:rFonts w:ascii="Cambria Math" w:hAnsi="Cambria Math"/>
                <w:i/>
              </w:rPr>
            </m:ctrlPr>
          </m:sSubPr>
          <m:e>
            <m:r>
              <w:rPr>
                <w:rFonts w:ascii="Cambria Math" w:hAnsi="Cambria Math"/>
              </w:rPr>
              <m:t>μ</m:t>
            </m:r>
          </m:e>
          <m:sub>
            <m:r>
              <w:rPr>
                <w:rFonts w:ascii="Cambria Math" w:hAnsi="Cambria Math"/>
              </w:rPr>
              <m:t>SL</m:t>
            </m:r>
          </m:sub>
        </m:sSub>
      </m:oMath>
      <w:r w:rsidRPr="00305DC9">
        <w:rPr>
          <w:rFonts w:eastAsiaTheme="minorEastAsia"/>
        </w:rPr>
        <w:t xml:space="preserve"> </w:t>
      </w:r>
      <w:r w:rsidRPr="00305DC9">
        <w:t xml:space="preserve">is the SCS configuration of the SL BWP and </w:t>
      </w:r>
      <m:oMath>
        <m:sSub>
          <m:sSubPr>
            <m:ctrlPr>
              <w:rPr>
                <w:rFonts w:ascii="Cambria Math" w:hAnsi="Cambria Math"/>
                <w:i/>
              </w:rPr>
            </m:ctrlPr>
          </m:sSubPr>
          <m:e>
            <m:r>
              <w:rPr>
                <w:rFonts w:ascii="Cambria Math" w:hAnsi="Cambria Math"/>
              </w:rPr>
              <m:t>μ</m:t>
            </m:r>
          </m:e>
          <m:sub>
            <m:r>
              <w:rPr>
                <w:rFonts w:ascii="Cambria Math" w:hAnsi="Cambria Math"/>
              </w:rPr>
              <m:t>UL</m:t>
            </m:r>
          </m:sub>
        </m:sSub>
      </m:oMath>
      <w:r w:rsidRPr="00305DC9">
        <w:t xml:space="preserve"> is the SCS configuration of the active UL BWP</w:t>
      </w:r>
      <w:r>
        <w:rPr>
          <w:lang w:val="en-US"/>
        </w:rPr>
        <w:t xml:space="preserve"> on the primary cell</w:t>
      </w:r>
      <w:r w:rsidRPr="00305DC9">
        <w:t xml:space="preserve"> </w:t>
      </w:r>
    </w:p>
    <w:p w14:paraId="17BF2DB2" w14:textId="77777777" w:rsidR="008A1F79" w:rsidRPr="00305DC9" w:rsidRDefault="008A1F79" w:rsidP="008A1F79">
      <w:pPr>
        <w:pStyle w:val="B1"/>
      </w:pPr>
      <w:r w:rsidRPr="00305DC9">
        <w:t>-</w:t>
      </w:r>
      <w:r w:rsidRPr="00305DC9">
        <w:tab/>
      </w:r>
      <m:oMath>
        <m:r>
          <w:rPr>
            <w:rFonts w:ascii="Cambria Math" w:eastAsiaTheme="minorEastAsia" w:hAnsi="Cambria Math"/>
          </w:rPr>
          <m:t>N</m:t>
        </m:r>
      </m:oMath>
      <w:r w:rsidRPr="00305DC9">
        <w:rPr>
          <w:rFonts w:eastAsiaTheme="minorEastAsia"/>
        </w:rPr>
        <w:t xml:space="preserve"> is determined from </w:t>
      </w:r>
      <m:oMath>
        <m:r>
          <w:rPr>
            <w:rFonts w:ascii="Cambria Math" w:hAnsi="Cambria Math"/>
          </w:rPr>
          <m:t>μ</m:t>
        </m:r>
      </m:oMath>
      <w:r w:rsidRPr="00305DC9">
        <w:rPr>
          <w:rFonts w:eastAsiaTheme="minorEastAsia"/>
        </w:rPr>
        <w:t xml:space="preserve"> </w:t>
      </w:r>
      <w:r w:rsidRPr="00305DC9">
        <w:rPr>
          <w:rFonts w:eastAsiaTheme="minorEastAsia"/>
          <w:lang w:val="en-US"/>
        </w:rPr>
        <w:t>according to</w:t>
      </w:r>
      <w:r w:rsidRPr="00305DC9">
        <w:rPr>
          <w:rFonts w:eastAsiaTheme="minorEastAsia"/>
        </w:rPr>
        <w:t xml:space="preserve"> Table 16.5-1</w:t>
      </w:r>
      <w:r w:rsidRPr="00305DC9">
        <w:t xml:space="preserve"> </w:t>
      </w:r>
    </w:p>
    <w:p w14:paraId="1C48C55B" w14:textId="77777777" w:rsidR="008A1F79" w:rsidRPr="00305DC9" w:rsidRDefault="008A1F79" w:rsidP="009F064E">
      <w:pPr>
        <w:pStyle w:val="TH"/>
      </w:pPr>
      <w:r w:rsidRPr="00305DC9">
        <w:t>Table 16.5-1</w:t>
      </w:r>
      <w:r w:rsidRPr="00305DC9">
        <w:rPr>
          <w:lang w:val="en-US"/>
        </w:rPr>
        <w:t>:</w:t>
      </w:r>
      <w:r w:rsidRPr="00305DC9">
        <w:t xml:space="preserve"> Values of </w:t>
      </w:r>
      <m:oMath>
        <m:r>
          <m:rPr>
            <m:sty m:val="bi"/>
          </m:rPr>
          <w:rPr>
            <w:rFonts w:ascii="Cambria Math" w:eastAsiaTheme="minorEastAsia" w:hAnsi="Cambria Math"/>
          </w:rPr>
          <m:t>N</m:t>
        </m:r>
      </m:oMath>
      <w:r w:rsidRPr="00305DC9">
        <w:t xml:space="preserve"> </w:t>
      </w:r>
    </w:p>
    <w:tbl>
      <w:tblPr>
        <w:tblStyle w:val="TableGrid"/>
        <w:tblW w:w="0" w:type="auto"/>
        <w:jc w:val="center"/>
        <w:tblLook w:val="04A0" w:firstRow="1" w:lastRow="0" w:firstColumn="1" w:lastColumn="0" w:noHBand="0" w:noVBand="1"/>
      </w:tblPr>
      <w:tblGrid>
        <w:gridCol w:w="1129"/>
        <w:gridCol w:w="1134"/>
      </w:tblGrid>
      <w:tr w:rsidR="008A1F79" w:rsidRPr="00305DC9" w14:paraId="16800A5B" w14:textId="77777777" w:rsidTr="002F78BF">
        <w:trPr>
          <w:jc w:val="center"/>
        </w:trPr>
        <w:tc>
          <w:tcPr>
            <w:tcW w:w="1129" w:type="dxa"/>
            <w:shd w:val="clear" w:color="auto" w:fill="E7E6E6" w:themeFill="background2"/>
          </w:tcPr>
          <w:p w14:paraId="2EC7F6AC" w14:textId="77777777" w:rsidR="008A1F79" w:rsidRPr="00305DC9" w:rsidRDefault="008A1F79" w:rsidP="009F064E">
            <w:pPr>
              <w:pStyle w:val="TAH"/>
            </w:pPr>
            <m:oMathPara>
              <m:oMath>
                <m:r>
                  <m:rPr>
                    <m:sty m:val="bi"/>
                  </m:rPr>
                  <w:rPr>
                    <w:rFonts w:ascii="Cambria Math" w:hAnsi="Cambria Math"/>
                  </w:rPr>
                  <m:t>μ</m:t>
                </m:r>
              </m:oMath>
            </m:oMathPara>
          </w:p>
        </w:tc>
        <w:tc>
          <w:tcPr>
            <w:tcW w:w="1134" w:type="dxa"/>
            <w:shd w:val="clear" w:color="auto" w:fill="E7E6E6" w:themeFill="background2"/>
          </w:tcPr>
          <w:p w14:paraId="484EEA51" w14:textId="77777777" w:rsidR="008A1F79" w:rsidRPr="00305DC9" w:rsidRDefault="008A1F79" w:rsidP="009F064E">
            <w:pPr>
              <w:pStyle w:val="TAH"/>
            </w:pPr>
            <w:bookmarkStart w:id="935" w:name="_Hlk39010546"/>
            <m:oMathPara>
              <m:oMath>
                <m:r>
                  <m:rPr>
                    <m:sty m:val="bi"/>
                  </m:rPr>
                  <w:rPr>
                    <w:rFonts w:ascii="Cambria Math" w:eastAsiaTheme="minorEastAsia" w:hAnsi="Cambria Math"/>
                  </w:rPr>
                  <m:t>N</m:t>
                </m:r>
              </m:oMath>
            </m:oMathPara>
            <w:bookmarkEnd w:id="935"/>
          </w:p>
        </w:tc>
      </w:tr>
      <w:tr w:rsidR="008A1F79" w:rsidRPr="00305DC9" w14:paraId="4344B5F0" w14:textId="77777777" w:rsidTr="002F78BF">
        <w:trPr>
          <w:jc w:val="center"/>
        </w:trPr>
        <w:tc>
          <w:tcPr>
            <w:tcW w:w="1129" w:type="dxa"/>
          </w:tcPr>
          <w:p w14:paraId="491A123C" w14:textId="77777777" w:rsidR="008A1F79" w:rsidRPr="00305DC9" w:rsidRDefault="008A1F79" w:rsidP="009F064E">
            <w:pPr>
              <w:pStyle w:val="TAC"/>
            </w:pPr>
            <w:r w:rsidRPr="00305DC9">
              <w:t>0</w:t>
            </w:r>
          </w:p>
        </w:tc>
        <w:tc>
          <w:tcPr>
            <w:tcW w:w="1134" w:type="dxa"/>
          </w:tcPr>
          <w:p w14:paraId="083A6516" w14:textId="77777777" w:rsidR="008A1F79" w:rsidRPr="00305DC9" w:rsidRDefault="008A1F79" w:rsidP="009F064E">
            <w:pPr>
              <w:pStyle w:val="TAC"/>
            </w:pPr>
            <w:r w:rsidRPr="00305DC9">
              <w:t>14</w:t>
            </w:r>
          </w:p>
        </w:tc>
      </w:tr>
      <w:tr w:rsidR="008A1F79" w:rsidRPr="00305DC9" w14:paraId="540D4CBF" w14:textId="77777777" w:rsidTr="002F78BF">
        <w:trPr>
          <w:jc w:val="center"/>
        </w:trPr>
        <w:tc>
          <w:tcPr>
            <w:tcW w:w="1129" w:type="dxa"/>
          </w:tcPr>
          <w:p w14:paraId="3E0493D3" w14:textId="77777777" w:rsidR="008A1F79" w:rsidRPr="00305DC9" w:rsidRDefault="008A1F79" w:rsidP="009F064E">
            <w:pPr>
              <w:pStyle w:val="TAC"/>
            </w:pPr>
            <w:r w:rsidRPr="00305DC9">
              <w:t>1</w:t>
            </w:r>
          </w:p>
        </w:tc>
        <w:tc>
          <w:tcPr>
            <w:tcW w:w="1134" w:type="dxa"/>
          </w:tcPr>
          <w:p w14:paraId="50A7E51C" w14:textId="77777777" w:rsidR="008A1F79" w:rsidRPr="00305DC9" w:rsidRDefault="008A1F79" w:rsidP="009F064E">
            <w:pPr>
              <w:pStyle w:val="TAC"/>
            </w:pPr>
            <w:r w:rsidRPr="00305DC9">
              <w:t>18</w:t>
            </w:r>
          </w:p>
        </w:tc>
      </w:tr>
      <w:tr w:rsidR="008A1F79" w:rsidRPr="00305DC9" w14:paraId="742C8F3D" w14:textId="77777777" w:rsidTr="002F78BF">
        <w:trPr>
          <w:jc w:val="center"/>
        </w:trPr>
        <w:tc>
          <w:tcPr>
            <w:tcW w:w="1129" w:type="dxa"/>
          </w:tcPr>
          <w:p w14:paraId="1D46129B" w14:textId="77777777" w:rsidR="008A1F79" w:rsidRPr="00305DC9" w:rsidRDefault="008A1F79" w:rsidP="009F064E">
            <w:pPr>
              <w:pStyle w:val="TAC"/>
            </w:pPr>
            <w:r w:rsidRPr="00305DC9">
              <w:t>2</w:t>
            </w:r>
          </w:p>
        </w:tc>
        <w:tc>
          <w:tcPr>
            <w:tcW w:w="1134" w:type="dxa"/>
          </w:tcPr>
          <w:p w14:paraId="24448845" w14:textId="77777777" w:rsidR="008A1F79" w:rsidRPr="00305DC9" w:rsidRDefault="008A1F79" w:rsidP="009F064E">
            <w:pPr>
              <w:pStyle w:val="TAC"/>
            </w:pPr>
            <w:r w:rsidRPr="00305DC9">
              <w:t>28</w:t>
            </w:r>
          </w:p>
        </w:tc>
      </w:tr>
      <w:tr w:rsidR="008A1F79" w:rsidRPr="00305DC9" w14:paraId="3047EDEC" w14:textId="77777777" w:rsidTr="002F78BF">
        <w:trPr>
          <w:jc w:val="center"/>
        </w:trPr>
        <w:tc>
          <w:tcPr>
            <w:tcW w:w="1129" w:type="dxa"/>
          </w:tcPr>
          <w:p w14:paraId="6C7FFEA2" w14:textId="77777777" w:rsidR="008A1F79" w:rsidRPr="00305DC9" w:rsidRDefault="008A1F79" w:rsidP="009F064E">
            <w:pPr>
              <w:pStyle w:val="TAC"/>
            </w:pPr>
            <w:r w:rsidRPr="00305DC9">
              <w:t>3</w:t>
            </w:r>
          </w:p>
        </w:tc>
        <w:tc>
          <w:tcPr>
            <w:tcW w:w="1134" w:type="dxa"/>
          </w:tcPr>
          <w:p w14:paraId="05588737" w14:textId="77777777" w:rsidR="008A1F79" w:rsidRPr="00305DC9" w:rsidRDefault="008A1F79" w:rsidP="009F064E">
            <w:pPr>
              <w:pStyle w:val="TAC"/>
            </w:pPr>
            <w:r w:rsidRPr="00305DC9">
              <w:t>32</w:t>
            </w:r>
          </w:p>
        </w:tc>
      </w:tr>
    </w:tbl>
    <w:p w14:paraId="09DE8A7A" w14:textId="0D26A900" w:rsidR="00D45245" w:rsidRPr="00673B56" w:rsidRDefault="00D45245" w:rsidP="00393CCA">
      <w:pPr>
        <w:rPr>
          <w:lang w:val="en-US"/>
        </w:rPr>
      </w:pPr>
    </w:p>
    <w:p w14:paraId="1417C8BC" w14:textId="4959127B" w:rsidR="00502D4A" w:rsidRDefault="00502D4A" w:rsidP="007E35C6">
      <w:r w:rsidRPr="0072566B">
        <w:t>For DCI format 3_0, if present, the PSFCH-to-HARQ</w:t>
      </w:r>
      <w:r w:rsidR="00391C70">
        <w:t xml:space="preserve"> </w:t>
      </w:r>
      <w:r w:rsidRPr="0072566B">
        <w:t xml:space="preserve">feedback timing indicator field values map to values for a set of number of slots provided by </w:t>
      </w:r>
      <w:r w:rsidRPr="00B177D4">
        <w:rPr>
          <w:i/>
          <w:iCs/>
        </w:rPr>
        <w:t>sl-PSFCH-ToPUCCH</w:t>
      </w:r>
      <w:r w:rsidRPr="0072566B">
        <w:t xml:space="preserve"> as defined in Table </w:t>
      </w:r>
      <w:r>
        <w:t>16.5-2</w:t>
      </w:r>
      <w:r w:rsidRPr="0072566B">
        <w:t>.</w:t>
      </w:r>
    </w:p>
    <w:p w14:paraId="6F7C8D77" w14:textId="101D60C5" w:rsidR="00502D4A" w:rsidRPr="00B916EC" w:rsidRDefault="00502D4A" w:rsidP="00502D4A">
      <w:pPr>
        <w:pStyle w:val="TH"/>
        <w:rPr>
          <w:rFonts w:cs="Arial"/>
        </w:rPr>
      </w:pPr>
      <w:r w:rsidRPr="00B916EC">
        <w:rPr>
          <w:rFonts w:cs="Arial"/>
        </w:rPr>
        <w:t xml:space="preserve">Table </w:t>
      </w:r>
      <w:r>
        <w:rPr>
          <w:rFonts w:cs="Arial"/>
        </w:rPr>
        <w:t>16</w:t>
      </w:r>
      <w:r w:rsidRPr="00B916EC">
        <w:rPr>
          <w:rFonts w:cs="Arial"/>
        </w:rPr>
        <w:t>.</w:t>
      </w:r>
      <w:r>
        <w:rPr>
          <w:rFonts w:cs="Arial"/>
        </w:rPr>
        <w:t>5</w:t>
      </w:r>
      <w:r w:rsidRPr="00B916EC">
        <w:rPr>
          <w:rFonts w:cs="Arial"/>
        </w:rPr>
        <w:t>-</w:t>
      </w:r>
      <w:r>
        <w:rPr>
          <w:rFonts w:cs="Arial"/>
        </w:rPr>
        <w:t>2</w:t>
      </w:r>
      <w:r w:rsidRPr="00B916EC">
        <w:rPr>
          <w:rFonts w:cs="Arial"/>
        </w:rPr>
        <w:t xml:space="preserve">: Mapping of </w:t>
      </w:r>
      <w:r w:rsidRPr="00B916EC">
        <w:rPr>
          <w:rFonts w:hint="eastAsia"/>
          <w:lang w:eastAsia="zh-CN"/>
        </w:rPr>
        <w:t>PS</w:t>
      </w:r>
      <w:r>
        <w:rPr>
          <w:lang w:eastAsia="zh-CN"/>
        </w:rPr>
        <w:t>F</w:t>
      </w:r>
      <w:r w:rsidRPr="00B916EC">
        <w:rPr>
          <w:rFonts w:hint="eastAsia"/>
          <w:lang w:eastAsia="zh-CN"/>
        </w:rPr>
        <w:t>CH-to-HARQ</w:t>
      </w:r>
      <w:r w:rsidR="00391C70">
        <w:rPr>
          <w:lang w:eastAsia="zh-CN"/>
        </w:rPr>
        <w:t xml:space="preserve"> </w:t>
      </w:r>
      <w:r w:rsidRPr="00B916EC">
        <w:rPr>
          <w:rFonts w:hint="eastAsia"/>
          <w:lang w:eastAsia="zh-CN"/>
        </w:rPr>
        <w:t>feedback timing indicator</w:t>
      </w:r>
      <w:r>
        <w:rPr>
          <w:szCs w:val="18"/>
        </w:rPr>
        <w:t xml:space="preserve"> </w:t>
      </w:r>
      <w:r w:rsidRPr="00B916EC">
        <w:rPr>
          <w:rFonts w:cs="Arial"/>
        </w:rPr>
        <w:t>field values to numbers of slots</w:t>
      </w:r>
    </w:p>
    <w:tbl>
      <w:tblPr>
        <w:tblW w:w="9621"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1430"/>
        <w:gridCol w:w="1440"/>
        <w:gridCol w:w="1530"/>
        <w:gridCol w:w="5210"/>
        <w:gridCol w:w="11"/>
      </w:tblGrid>
      <w:tr w:rsidR="00502D4A" w:rsidRPr="0028542D" w14:paraId="788E219E" w14:textId="77777777" w:rsidTr="00CC5DCD">
        <w:trPr>
          <w:gridAfter w:val="1"/>
          <w:wAfter w:w="11" w:type="dxa"/>
          <w:cantSplit/>
          <w:jc w:val="center"/>
        </w:trPr>
        <w:tc>
          <w:tcPr>
            <w:tcW w:w="4400" w:type="dxa"/>
            <w:gridSpan w:val="3"/>
            <w:tcBorders>
              <w:top w:val="single" w:sz="8" w:space="0" w:color="auto"/>
              <w:left w:val="single" w:sz="8" w:space="0" w:color="auto"/>
              <w:bottom w:val="single" w:sz="8" w:space="0" w:color="auto"/>
              <w:right w:val="single" w:sz="8" w:space="0" w:color="auto"/>
            </w:tcBorders>
            <w:shd w:val="clear" w:color="auto" w:fill="E0E0E0"/>
            <w:vAlign w:val="center"/>
          </w:tcPr>
          <w:p w14:paraId="184BFEC7" w14:textId="4F181ACB" w:rsidR="00502D4A" w:rsidRPr="0028542D" w:rsidRDefault="00502D4A" w:rsidP="00CC5DCD">
            <w:pPr>
              <w:pStyle w:val="TAH"/>
              <w:rPr>
                <w:lang w:eastAsia="zh-CN"/>
              </w:rPr>
            </w:pPr>
            <w:r w:rsidRPr="00B916EC">
              <w:rPr>
                <w:rFonts w:hint="eastAsia"/>
                <w:lang w:eastAsia="zh-CN"/>
              </w:rPr>
              <w:t>PS</w:t>
            </w:r>
            <w:r>
              <w:rPr>
                <w:lang w:eastAsia="zh-CN"/>
              </w:rPr>
              <w:t>F</w:t>
            </w:r>
            <w:r w:rsidRPr="00B916EC">
              <w:rPr>
                <w:rFonts w:hint="eastAsia"/>
                <w:lang w:eastAsia="zh-CN"/>
              </w:rPr>
              <w:t>CH-to-HARQ</w:t>
            </w:r>
            <w:r w:rsidR="00391C70">
              <w:rPr>
                <w:lang w:eastAsia="zh-CN"/>
              </w:rPr>
              <w:t xml:space="preserve"> </w:t>
            </w:r>
            <w:r w:rsidRPr="00B916EC">
              <w:rPr>
                <w:rFonts w:hint="eastAsia"/>
                <w:lang w:eastAsia="zh-CN"/>
              </w:rPr>
              <w:t>feedback timing indicator</w:t>
            </w:r>
            <w:r w:rsidRPr="0028542D" w:rsidDel="000740B6">
              <w:rPr>
                <w:lang w:eastAsia="zh-CN"/>
              </w:rPr>
              <w:t xml:space="preserve"> </w:t>
            </w:r>
          </w:p>
        </w:tc>
        <w:tc>
          <w:tcPr>
            <w:tcW w:w="5210" w:type="dxa"/>
            <w:tcBorders>
              <w:top w:val="single" w:sz="8" w:space="0" w:color="auto"/>
              <w:left w:val="single" w:sz="8" w:space="0" w:color="auto"/>
              <w:bottom w:val="single" w:sz="8" w:space="0" w:color="auto"/>
              <w:right w:val="single" w:sz="8" w:space="0" w:color="auto"/>
            </w:tcBorders>
            <w:shd w:val="clear" w:color="auto" w:fill="E0E0E0"/>
            <w:vAlign w:val="center"/>
          </w:tcPr>
          <w:p w14:paraId="3679C52D" w14:textId="77777777" w:rsidR="00502D4A" w:rsidRPr="0028542D" w:rsidRDefault="00502D4A" w:rsidP="00CC5DCD">
            <w:pPr>
              <w:pStyle w:val="TAH"/>
            </w:pPr>
            <w:r w:rsidRPr="00B916EC">
              <w:t>Number of slots</w:t>
            </w:r>
            <w:r w:rsidRPr="0028542D">
              <w:t xml:space="preserve"> </w:t>
            </w:r>
            <w:r>
              <w:rPr>
                <w:noProof/>
                <w:position w:val="-6"/>
                <w:lang w:val="en-US"/>
              </w:rPr>
              <w:drawing>
                <wp:inline distT="0" distB="0" distL="0" distR="0" wp14:anchorId="651BF8B2" wp14:editId="7D20AD43">
                  <wp:extent cx="95250" cy="180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95250" cy="180975"/>
                          </a:xfrm>
                          <a:prstGeom prst="rect">
                            <a:avLst/>
                          </a:prstGeom>
                          <a:noFill/>
                          <a:ln>
                            <a:noFill/>
                          </a:ln>
                        </pic:spPr>
                      </pic:pic>
                    </a:graphicData>
                  </a:graphic>
                </wp:inline>
              </w:drawing>
            </w:r>
          </w:p>
        </w:tc>
      </w:tr>
      <w:tr w:rsidR="00502D4A" w:rsidRPr="00B916EC" w14:paraId="6F11AAFC" w14:textId="77777777" w:rsidTr="00CC5DCD">
        <w:trPr>
          <w:cantSplit/>
          <w:jc w:val="center"/>
        </w:trPr>
        <w:tc>
          <w:tcPr>
            <w:tcW w:w="1430" w:type="dxa"/>
          </w:tcPr>
          <w:p w14:paraId="7FAC952B" w14:textId="77777777" w:rsidR="00502D4A" w:rsidRPr="00B916EC" w:rsidRDefault="00502D4A" w:rsidP="00CC5DCD">
            <w:pPr>
              <w:pStyle w:val="TAC"/>
            </w:pPr>
            <w:r>
              <w:t>1 bit</w:t>
            </w:r>
          </w:p>
        </w:tc>
        <w:tc>
          <w:tcPr>
            <w:tcW w:w="1440" w:type="dxa"/>
          </w:tcPr>
          <w:p w14:paraId="1AE38CAF" w14:textId="77777777" w:rsidR="00502D4A" w:rsidRPr="00B916EC" w:rsidRDefault="00502D4A" w:rsidP="00CC5DCD">
            <w:pPr>
              <w:pStyle w:val="TAC"/>
            </w:pPr>
            <w:r>
              <w:t>2 bits</w:t>
            </w:r>
          </w:p>
        </w:tc>
        <w:tc>
          <w:tcPr>
            <w:tcW w:w="1530" w:type="dxa"/>
            <w:vAlign w:val="center"/>
          </w:tcPr>
          <w:p w14:paraId="2698C501" w14:textId="77777777" w:rsidR="00502D4A" w:rsidRPr="00B916EC" w:rsidRDefault="00502D4A" w:rsidP="00CC5DCD">
            <w:pPr>
              <w:pStyle w:val="TAC"/>
            </w:pPr>
            <w:r>
              <w:t>3 bits</w:t>
            </w:r>
          </w:p>
        </w:tc>
        <w:tc>
          <w:tcPr>
            <w:tcW w:w="5221" w:type="dxa"/>
            <w:gridSpan w:val="2"/>
            <w:vAlign w:val="center"/>
          </w:tcPr>
          <w:p w14:paraId="4DCA9061" w14:textId="77777777" w:rsidR="00502D4A" w:rsidRPr="00B916EC" w:rsidRDefault="00502D4A" w:rsidP="00CC5DCD">
            <w:pPr>
              <w:pStyle w:val="TAL"/>
              <w:jc w:val="center"/>
            </w:pPr>
          </w:p>
        </w:tc>
      </w:tr>
      <w:tr w:rsidR="00502D4A" w:rsidRPr="00B916EC" w14:paraId="774DD51A" w14:textId="77777777" w:rsidTr="00CC5DCD">
        <w:trPr>
          <w:cantSplit/>
          <w:jc w:val="center"/>
        </w:trPr>
        <w:tc>
          <w:tcPr>
            <w:tcW w:w="1430" w:type="dxa"/>
          </w:tcPr>
          <w:p w14:paraId="13D965E8" w14:textId="77777777" w:rsidR="00502D4A" w:rsidRPr="00B916EC" w:rsidRDefault="00502D4A" w:rsidP="00CC5DCD">
            <w:pPr>
              <w:pStyle w:val="TAC"/>
            </w:pPr>
            <w:r>
              <w:t>'0'</w:t>
            </w:r>
          </w:p>
        </w:tc>
        <w:tc>
          <w:tcPr>
            <w:tcW w:w="1440" w:type="dxa"/>
          </w:tcPr>
          <w:p w14:paraId="16273F8A" w14:textId="77777777" w:rsidR="00502D4A" w:rsidRPr="00B916EC" w:rsidRDefault="00502D4A" w:rsidP="00CC5DCD">
            <w:pPr>
              <w:pStyle w:val="TAC"/>
            </w:pPr>
            <w:r>
              <w:t>'00'</w:t>
            </w:r>
          </w:p>
        </w:tc>
        <w:tc>
          <w:tcPr>
            <w:tcW w:w="1530" w:type="dxa"/>
            <w:vAlign w:val="center"/>
          </w:tcPr>
          <w:p w14:paraId="7ABD44D5" w14:textId="77777777" w:rsidR="00502D4A" w:rsidRPr="00B916EC" w:rsidRDefault="00502D4A" w:rsidP="00CC5DCD">
            <w:pPr>
              <w:pStyle w:val="TAC"/>
            </w:pPr>
            <w:r w:rsidRPr="00B916EC">
              <w:t>'000'</w:t>
            </w:r>
          </w:p>
        </w:tc>
        <w:tc>
          <w:tcPr>
            <w:tcW w:w="5221" w:type="dxa"/>
            <w:gridSpan w:val="2"/>
            <w:vAlign w:val="center"/>
          </w:tcPr>
          <w:p w14:paraId="4A0685F5" w14:textId="15C97DA2" w:rsidR="00502D4A" w:rsidRPr="00B916EC" w:rsidRDefault="00502D4A" w:rsidP="00CC5DCD">
            <w:pPr>
              <w:pStyle w:val="TAL"/>
              <w:jc w:val="center"/>
            </w:pPr>
            <w:r w:rsidRPr="00B916EC">
              <w:t>1</w:t>
            </w:r>
            <w:r w:rsidRPr="00B916EC">
              <w:rPr>
                <w:vertAlign w:val="superscript"/>
              </w:rPr>
              <w:t>st</w:t>
            </w:r>
            <w:r w:rsidRPr="00B916EC">
              <w:t xml:space="preserve"> value provided by </w:t>
            </w:r>
            <w:r w:rsidRPr="00B177D4">
              <w:rPr>
                <w:i/>
                <w:iCs/>
              </w:rPr>
              <w:t>sl-PSFCH-ToPUCCH</w:t>
            </w:r>
          </w:p>
        </w:tc>
      </w:tr>
      <w:tr w:rsidR="00502D4A" w:rsidRPr="00B916EC" w14:paraId="358185A4" w14:textId="77777777" w:rsidTr="00CC5DCD">
        <w:trPr>
          <w:cantSplit/>
          <w:jc w:val="center"/>
        </w:trPr>
        <w:tc>
          <w:tcPr>
            <w:tcW w:w="1430" w:type="dxa"/>
          </w:tcPr>
          <w:p w14:paraId="7FF5431F" w14:textId="77777777" w:rsidR="00502D4A" w:rsidRPr="00B916EC" w:rsidRDefault="00502D4A" w:rsidP="00CC5DCD">
            <w:pPr>
              <w:pStyle w:val="TAC"/>
            </w:pPr>
            <w:r>
              <w:t>'1'</w:t>
            </w:r>
          </w:p>
        </w:tc>
        <w:tc>
          <w:tcPr>
            <w:tcW w:w="1440" w:type="dxa"/>
          </w:tcPr>
          <w:p w14:paraId="7F1D060D" w14:textId="77777777" w:rsidR="00502D4A" w:rsidRPr="00B916EC" w:rsidRDefault="00502D4A" w:rsidP="00CC5DCD">
            <w:pPr>
              <w:pStyle w:val="TAC"/>
            </w:pPr>
            <w:r>
              <w:t>'01'</w:t>
            </w:r>
          </w:p>
        </w:tc>
        <w:tc>
          <w:tcPr>
            <w:tcW w:w="1530" w:type="dxa"/>
            <w:vAlign w:val="center"/>
          </w:tcPr>
          <w:p w14:paraId="177E226D" w14:textId="77777777" w:rsidR="00502D4A" w:rsidRPr="00B916EC" w:rsidRDefault="00502D4A" w:rsidP="00CC5DCD">
            <w:pPr>
              <w:pStyle w:val="TAC"/>
            </w:pPr>
            <w:r w:rsidRPr="00B916EC">
              <w:t>'001'</w:t>
            </w:r>
          </w:p>
        </w:tc>
        <w:tc>
          <w:tcPr>
            <w:tcW w:w="5221" w:type="dxa"/>
            <w:gridSpan w:val="2"/>
            <w:vAlign w:val="center"/>
          </w:tcPr>
          <w:p w14:paraId="5CFB7342" w14:textId="7664DC76" w:rsidR="00502D4A" w:rsidRPr="00B916EC" w:rsidRDefault="00502D4A" w:rsidP="00CC5DCD">
            <w:pPr>
              <w:pStyle w:val="TAL"/>
              <w:jc w:val="center"/>
            </w:pPr>
            <w:r w:rsidRPr="00B916EC">
              <w:t>2</w:t>
            </w:r>
            <w:r w:rsidRPr="00B916EC">
              <w:rPr>
                <w:vertAlign w:val="superscript"/>
              </w:rPr>
              <w:t>nd</w:t>
            </w:r>
            <w:r w:rsidRPr="00B916EC">
              <w:t xml:space="preserve"> value provided by </w:t>
            </w:r>
            <w:r w:rsidRPr="00B177D4">
              <w:rPr>
                <w:i/>
                <w:iCs/>
              </w:rPr>
              <w:t>sl-PSFCH-ToPUCCH</w:t>
            </w:r>
          </w:p>
        </w:tc>
      </w:tr>
      <w:tr w:rsidR="00502D4A" w:rsidRPr="00B916EC" w14:paraId="7740469C" w14:textId="77777777" w:rsidTr="00CC5DCD">
        <w:trPr>
          <w:cantSplit/>
          <w:jc w:val="center"/>
        </w:trPr>
        <w:tc>
          <w:tcPr>
            <w:tcW w:w="1430" w:type="dxa"/>
          </w:tcPr>
          <w:p w14:paraId="44F0B62D" w14:textId="77777777" w:rsidR="00502D4A" w:rsidRPr="00B916EC" w:rsidRDefault="00502D4A" w:rsidP="00CC5DCD">
            <w:pPr>
              <w:pStyle w:val="TAC"/>
            </w:pPr>
          </w:p>
        </w:tc>
        <w:tc>
          <w:tcPr>
            <w:tcW w:w="1440" w:type="dxa"/>
          </w:tcPr>
          <w:p w14:paraId="6189AEC4" w14:textId="77777777" w:rsidR="00502D4A" w:rsidRPr="00B916EC" w:rsidRDefault="00502D4A" w:rsidP="00CC5DCD">
            <w:pPr>
              <w:pStyle w:val="TAC"/>
            </w:pPr>
            <w:r>
              <w:t>'10'</w:t>
            </w:r>
          </w:p>
        </w:tc>
        <w:tc>
          <w:tcPr>
            <w:tcW w:w="1530" w:type="dxa"/>
            <w:vAlign w:val="center"/>
          </w:tcPr>
          <w:p w14:paraId="7A028DE9" w14:textId="77777777" w:rsidR="00502D4A" w:rsidRPr="00B916EC" w:rsidRDefault="00502D4A" w:rsidP="00CC5DCD">
            <w:pPr>
              <w:pStyle w:val="TAC"/>
            </w:pPr>
            <w:r w:rsidRPr="00B916EC">
              <w:t>'010'</w:t>
            </w:r>
          </w:p>
        </w:tc>
        <w:tc>
          <w:tcPr>
            <w:tcW w:w="5221" w:type="dxa"/>
            <w:gridSpan w:val="2"/>
            <w:vAlign w:val="center"/>
          </w:tcPr>
          <w:p w14:paraId="4F0B1563" w14:textId="5734B962" w:rsidR="00502D4A" w:rsidRPr="00B916EC" w:rsidRDefault="00502D4A" w:rsidP="00CC5DCD">
            <w:pPr>
              <w:pStyle w:val="TAL"/>
              <w:jc w:val="center"/>
            </w:pPr>
            <w:r w:rsidRPr="00B916EC">
              <w:t>3</w:t>
            </w:r>
            <w:r w:rsidRPr="00B916EC">
              <w:rPr>
                <w:vertAlign w:val="superscript"/>
              </w:rPr>
              <w:t>rd</w:t>
            </w:r>
            <w:r w:rsidRPr="00B916EC">
              <w:t xml:space="preserve"> value provided by </w:t>
            </w:r>
            <w:r w:rsidRPr="00B177D4">
              <w:rPr>
                <w:i/>
                <w:iCs/>
              </w:rPr>
              <w:t>sl-PSFCH-ToPUCCH</w:t>
            </w:r>
          </w:p>
        </w:tc>
      </w:tr>
      <w:tr w:rsidR="00502D4A" w:rsidRPr="00B916EC" w14:paraId="37CD8AE3" w14:textId="77777777" w:rsidTr="00CC5DCD">
        <w:trPr>
          <w:cantSplit/>
          <w:jc w:val="center"/>
        </w:trPr>
        <w:tc>
          <w:tcPr>
            <w:tcW w:w="1430" w:type="dxa"/>
          </w:tcPr>
          <w:p w14:paraId="77E1D218" w14:textId="77777777" w:rsidR="00502D4A" w:rsidRPr="00B916EC" w:rsidRDefault="00502D4A" w:rsidP="00CC5DCD">
            <w:pPr>
              <w:pStyle w:val="TAC"/>
            </w:pPr>
          </w:p>
        </w:tc>
        <w:tc>
          <w:tcPr>
            <w:tcW w:w="1440" w:type="dxa"/>
          </w:tcPr>
          <w:p w14:paraId="2D45D3A3" w14:textId="77777777" w:rsidR="00502D4A" w:rsidRPr="00B916EC" w:rsidRDefault="00502D4A" w:rsidP="00CC5DCD">
            <w:pPr>
              <w:pStyle w:val="TAC"/>
            </w:pPr>
            <w:r>
              <w:t>'11'</w:t>
            </w:r>
          </w:p>
        </w:tc>
        <w:tc>
          <w:tcPr>
            <w:tcW w:w="1530" w:type="dxa"/>
            <w:vAlign w:val="center"/>
          </w:tcPr>
          <w:p w14:paraId="6AD4E3DD" w14:textId="77777777" w:rsidR="00502D4A" w:rsidRPr="00B916EC" w:rsidRDefault="00502D4A" w:rsidP="00CC5DCD">
            <w:pPr>
              <w:pStyle w:val="TAC"/>
            </w:pPr>
            <w:r w:rsidRPr="00B916EC">
              <w:t>'011'</w:t>
            </w:r>
          </w:p>
        </w:tc>
        <w:tc>
          <w:tcPr>
            <w:tcW w:w="5221" w:type="dxa"/>
            <w:gridSpan w:val="2"/>
            <w:vAlign w:val="center"/>
          </w:tcPr>
          <w:p w14:paraId="0436725A" w14:textId="4774414B" w:rsidR="00502D4A" w:rsidRPr="00B916EC" w:rsidRDefault="00502D4A" w:rsidP="00CC5DCD">
            <w:pPr>
              <w:pStyle w:val="TAL"/>
              <w:jc w:val="center"/>
            </w:pPr>
            <w:r w:rsidRPr="00B916EC">
              <w:t>4</w:t>
            </w:r>
            <w:r w:rsidRPr="00B916EC">
              <w:rPr>
                <w:vertAlign w:val="superscript"/>
              </w:rPr>
              <w:t>th</w:t>
            </w:r>
            <w:r w:rsidRPr="00B916EC">
              <w:t xml:space="preserve"> value provided by </w:t>
            </w:r>
            <w:r w:rsidRPr="00B177D4">
              <w:rPr>
                <w:i/>
                <w:iCs/>
              </w:rPr>
              <w:t>sl-PSFCH-ToPUCCH</w:t>
            </w:r>
          </w:p>
        </w:tc>
      </w:tr>
      <w:tr w:rsidR="00502D4A" w:rsidRPr="00B916EC" w14:paraId="4856AED3" w14:textId="77777777" w:rsidTr="00CC5DCD">
        <w:trPr>
          <w:cantSplit/>
          <w:jc w:val="center"/>
        </w:trPr>
        <w:tc>
          <w:tcPr>
            <w:tcW w:w="1430" w:type="dxa"/>
          </w:tcPr>
          <w:p w14:paraId="6355F609" w14:textId="77777777" w:rsidR="00502D4A" w:rsidRPr="00B916EC" w:rsidRDefault="00502D4A" w:rsidP="00CC5DCD">
            <w:pPr>
              <w:pStyle w:val="TAC"/>
            </w:pPr>
          </w:p>
        </w:tc>
        <w:tc>
          <w:tcPr>
            <w:tcW w:w="1440" w:type="dxa"/>
          </w:tcPr>
          <w:p w14:paraId="73CCB3B9" w14:textId="77777777" w:rsidR="00502D4A" w:rsidRPr="00B916EC" w:rsidRDefault="00502D4A" w:rsidP="00CC5DCD">
            <w:pPr>
              <w:pStyle w:val="TAC"/>
            </w:pPr>
          </w:p>
        </w:tc>
        <w:tc>
          <w:tcPr>
            <w:tcW w:w="1530" w:type="dxa"/>
            <w:vAlign w:val="center"/>
          </w:tcPr>
          <w:p w14:paraId="0F17B519" w14:textId="77777777" w:rsidR="00502D4A" w:rsidRPr="00B916EC" w:rsidRDefault="00502D4A" w:rsidP="00CC5DCD">
            <w:pPr>
              <w:pStyle w:val="TAC"/>
            </w:pPr>
            <w:r w:rsidRPr="00B916EC">
              <w:t>'100'</w:t>
            </w:r>
          </w:p>
        </w:tc>
        <w:tc>
          <w:tcPr>
            <w:tcW w:w="5221" w:type="dxa"/>
            <w:gridSpan w:val="2"/>
            <w:vAlign w:val="center"/>
          </w:tcPr>
          <w:p w14:paraId="1B8B4159" w14:textId="0807D6BF" w:rsidR="00502D4A" w:rsidRPr="00B916EC" w:rsidRDefault="00502D4A" w:rsidP="00CC5DCD">
            <w:pPr>
              <w:pStyle w:val="TAL"/>
              <w:jc w:val="center"/>
            </w:pPr>
            <w:r w:rsidRPr="00B916EC">
              <w:t>5</w:t>
            </w:r>
            <w:r w:rsidRPr="00B916EC">
              <w:rPr>
                <w:vertAlign w:val="superscript"/>
              </w:rPr>
              <w:t>th</w:t>
            </w:r>
            <w:r w:rsidRPr="00B916EC">
              <w:t xml:space="preserve"> value provided by </w:t>
            </w:r>
            <w:r w:rsidRPr="00B177D4">
              <w:rPr>
                <w:i/>
                <w:iCs/>
              </w:rPr>
              <w:t>sl-PSFCH-ToPUCCH</w:t>
            </w:r>
          </w:p>
        </w:tc>
      </w:tr>
      <w:tr w:rsidR="00502D4A" w:rsidRPr="00B916EC" w14:paraId="2A845DA2" w14:textId="77777777" w:rsidTr="00CC5DCD">
        <w:trPr>
          <w:cantSplit/>
          <w:jc w:val="center"/>
        </w:trPr>
        <w:tc>
          <w:tcPr>
            <w:tcW w:w="1430" w:type="dxa"/>
          </w:tcPr>
          <w:p w14:paraId="407DB709" w14:textId="77777777" w:rsidR="00502D4A" w:rsidRPr="00B916EC" w:rsidRDefault="00502D4A" w:rsidP="00CC5DCD">
            <w:pPr>
              <w:pStyle w:val="TAC"/>
            </w:pPr>
          </w:p>
        </w:tc>
        <w:tc>
          <w:tcPr>
            <w:tcW w:w="1440" w:type="dxa"/>
          </w:tcPr>
          <w:p w14:paraId="31E39AB4" w14:textId="77777777" w:rsidR="00502D4A" w:rsidRPr="00B916EC" w:rsidRDefault="00502D4A" w:rsidP="00CC5DCD">
            <w:pPr>
              <w:pStyle w:val="TAC"/>
            </w:pPr>
          </w:p>
        </w:tc>
        <w:tc>
          <w:tcPr>
            <w:tcW w:w="1530" w:type="dxa"/>
            <w:vAlign w:val="center"/>
          </w:tcPr>
          <w:p w14:paraId="03B2BB58" w14:textId="77777777" w:rsidR="00502D4A" w:rsidRPr="00B916EC" w:rsidRDefault="00502D4A" w:rsidP="00CC5DCD">
            <w:pPr>
              <w:pStyle w:val="TAC"/>
            </w:pPr>
            <w:r w:rsidRPr="00B916EC">
              <w:t>'101'</w:t>
            </w:r>
          </w:p>
        </w:tc>
        <w:tc>
          <w:tcPr>
            <w:tcW w:w="5221" w:type="dxa"/>
            <w:gridSpan w:val="2"/>
            <w:vAlign w:val="center"/>
          </w:tcPr>
          <w:p w14:paraId="7AC9CB2C" w14:textId="3616B9C6" w:rsidR="00502D4A" w:rsidRPr="00B916EC" w:rsidRDefault="00502D4A" w:rsidP="00CC5DCD">
            <w:pPr>
              <w:pStyle w:val="TAL"/>
              <w:jc w:val="center"/>
            </w:pPr>
            <w:r w:rsidRPr="00B916EC">
              <w:t>6</w:t>
            </w:r>
            <w:r w:rsidRPr="00B916EC">
              <w:rPr>
                <w:vertAlign w:val="superscript"/>
              </w:rPr>
              <w:t>th</w:t>
            </w:r>
            <w:r w:rsidRPr="00B916EC">
              <w:t xml:space="preserve"> value provided by </w:t>
            </w:r>
            <w:r w:rsidRPr="00B177D4">
              <w:rPr>
                <w:i/>
                <w:iCs/>
              </w:rPr>
              <w:t>sl-PSFCH-ToPUCCH</w:t>
            </w:r>
          </w:p>
        </w:tc>
      </w:tr>
      <w:tr w:rsidR="00502D4A" w:rsidRPr="00B916EC" w14:paraId="35861DA3" w14:textId="77777777" w:rsidTr="00CC5DCD">
        <w:trPr>
          <w:cantSplit/>
          <w:jc w:val="center"/>
        </w:trPr>
        <w:tc>
          <w:tcPr>
            <w:tcW w:w="1430" w:type="dxa"/>
          </w:tcPr>
          <w:p w14:paraId="3308D310" w14:textId="77777777" w:rsidR="00502D4A" w:rsidRPr="00B916EC" w:rsidRDefault="00502D4A" w:rsidP="00CC5DCD">
            <w:pPr>
              <w:pStyle w:val="TAC"/>
            </w:pPr>
          </w:p>
        </w:tc>
        <w:tc>
          <w:tcPr>
            <w:tcW w:w="1440" w:type="dxa"/>
          </w:tcPr>
          <w:p w14:paraId="7495E407" w14:textId="77777777" w:rsidR="00502D4A" w:rsidRPr="00B916EC" w:rsidRDefault="00502D4A" w:rsidP="00CC5DCD">
            <w:pPr>
              <w:pStyle w:val="TAC"/>
            </w:pPr>
          </w:p>
        </w:tc>
        <w:tc>
          <w:tcPr>
            <w:tcW w:w="1530" w:type="dxa"/>
            <w:vAlign w:val="center"/>
          </w:tcPr>
          <w:p w14:paraId="3559CADE" w14:textId="77777777" w:rsidR="00502D4A" w:rsidRPr="00B916EC" w:rsidRDefault="00502D4A" w:rsidP="00CC5DCD">
            <w:pPr>
              <w:pStyle w:val="TAC"/>
            </w:pPr>
            <w:r w:rsidRPr="00B916EC">
              <w:t>'110'</w:t>
            </w:r>
          </w:p>
        </w:tc>
        <w:tc>
          <w:tcPr>
            <w:tcW w:w="5221" w:type="dxa"/>
            <w:gridSpan w:val="2"/>
            <w:vAlign w:val="center"/>
          </w:tcPr>
          <w:p w14:paraId="50C876E5" w14:textId="210D9B60" w:rsidR="00502D4A" w:rsidRPr="00B916EC" w:rsidRDefault="00502D4A" w:rsidP="00CC5DCD">
            <w:pPr>
              <w:pStyle w:val="TAL"/>
              <w:jc w:val="center"/>
            </w:pPr>
            <w:r w:rsidRPr="00B916EC">
              <w:t>7</w:t>
            </w:r>
            <w:r w:rsidRPr="00B916EC">
              <w:rPr>
                <w:vertAlign w:val="superscript"/>
              </w:rPr>
              <w:t>th</w:t>
            </w:r>
            <w:r w:rsidRPr="00B916EC">
              <w:t xml:space="preserve"> value provided by </w:t>
            </w:r>
            <w:r w:rsidRPr="00B177D4">
              <w:rPr>
                <w:i/>
                <w:iCs/>
              </w:rPr>
              <w:t>sl-PSFCH-ToPUCCH</w:t>
            </w:r>
          </w:p>
        </w:tc>
      </w:tr>
      <w:tr w:rsidR="00502D4A" w:rsidRPr="00B916EC" w14:paraId="4A5E10D5" w14:textId="77777777" w:rsidTr="00CC5DCD">
        <w:trPr>
          <w:cantSplit/>
          <w:jc w:val="center"/>
        </w:trPr>
        <w:tc>
          <w:tcPr>
            <w:tcW w:w="1430" w:type="dxa"/>
          </w:tcPr>
          <w:p w14:paraId="752BC603" w14:textId="77777777" w:rsidR="00502D4A" w:rsidRPr="00B916EC" w:rsidRDefault="00502D4A" w:rsidP="00CC5DCD">
            <w:pPr>
              <w:pStyle w:val="TAC"/>
            </w:pPr>
          </w:p>
        </w:tc>
        <w:tc>
          <w:tcPr>
            <w:tcW w:w="1440" w:type="dxa"/>
          </w:tcPr>
          <w:p w14:paraId="2B584C17" w14:textId="77777777" w:rsidR="00502D4A" w:rsidRPr="00B916EC" w:rsidRDefault="00502D4A" w:rsidP="00CC5DCD">
            <w:pPr>
              <w:pStyle w:val="TAC"/>
            </w:pPr>
          </w:p>
        </w:tc>
        <w:tc>
          <w:tcPr>
            <w:tcW w:w="1530" w:type="dxa"/>
            <w:vAlign w:val="center"/>
          </w:tcPr>
          <w:p w14:paraId="756BD084" w14:textId="77777777" w:rsidR="00502D4A" w:rsidRPr="00B916EC" w:rsidRDefault="00502D4A" w:rsidP="00CC5DCD">
            <w:pPr>
              <w:pStyle w:val="TAC"/>
            </w:pPr>
            <w:r w:rsidRPr="00B916EC">
              <w:t>'111'</w:t>
            </w:r>
          </w:p>
        </w:tc>
        <w:tc>
          <w:tcPr>
            <w:tcW w:w="5221" w:type="dxa"/>
            <w:gridSpan w:val="2"/>
            <w:vAlign w:val="center"/>
          </w:tcPr>
          <w:p w14:paraId="442B40B4" w14:textId="0077C224" w:rsidR="00502D4A" w:rsidRPr="00B916EC" w:rsidRDefault="00502D4A" w:rsidP="00CC5DCD">
            <w:pPr>
              <w:pStyle w:val="TAL"/>
              <w:jc w:val="center"/>
            </w:pPr>
            <w:r w:rsidRPr="00B916EC">
              <w:t>8</w:t>
            </w:r>
            <w:r w:rsidRPr="00B916EC">
              <w:rPr>
                <w:vertAlign w:val="superscript"/>
              </w:rPr>
              <w:t>th</w:t>
            </w:r>
            <w:r w:rsidRPr="00B916EC">
              <w:t xml:space="preserve"> value provided by </w:t>
            </w:r>
            <w:r w:rsidRPr="00B177D4">
              <w:rPr>
                <w:i/>
                <w:iCs/>
              </w:rPr>
              <w:t>sl-PSFCH-ToPUCCH</w:t>
            </w:r>
          </w:p>
        </w:tc>
      </w:tr>
    </w:tbl>
    <w:p w14:paraId="15B8943F" w14:textId="77777777" w:rsidR="00502D4A" w:rsidRDefault="00502D4A" w:rsidP="00502D4A"/>
    <w:p w14:paraId="217E71A0" w14:textId="0C067506" w:rsidR="00E21265" w:rsidRDefault="00E21265" w:rsidP="003E7DF7">
      <w:r w:rsidRPr="00B916EC">
        <w:t xml:space="preserve">With reference </w:t>
      </w:r>
      <w:r>
        <w:t xml:space="preserve">to slots for PUCCH transmissions and for a number of PSFCH reception occasions </w:t>
      </w:r>
      <w:r w:rsidR="007E35C6" w:rsidRPr="00ED5EB1">
        <w:rPr>
          <w:rFonts w:cs="Times"/>
        </w:rPr>
        <w:t xml:space="preserve">if </w:t>
      </w:r>
      <w:r w:rsidR="007E35C6" w:rsidRPr="00ED5EB1">
        <w:rPr>
          <w:rFonts w:cs="Times"/>
          <w:i/>
        </w:rPr>
        <w:t>numPSFCHOccasions</w:t>
      </w:r>
      <w:r w:rsidR="007E35C6" w:rsidRPr="00ED5EB1">
        <w:rPr>
          <w:rFonts w:cs="Times"/>
        </w:rPr>
        <w:t xml:space="preserve"> is not (pre-)configured, or candidate PSFCH reception occasions if </w:t>
      </w:r>
      <w:r w:rsidR="007E35C6" w:rsidRPr="00ED5EB1">
        <w:rPr>
          <w:rFonts w:cs="Times"/>
          <w:i/>
        </w:rPr>
        <w:t>numPSFCHOccasions</w:t>
      </w:r>
      <w:r w:rsidR="007E35C6" w:rsidRPr="00ED5EB1">
        <w:rPr>
          <w:rFonts w:cs="Times"/>
        </w:rPr>
        <w:t xml:space="preserve"> is (pre-)configured, </w:t>
      </w:r>
      <w:r>
        <w:t xml:space="preserve">ending in slot </w:t>
      </w:r>
      <m:oMath>
        <m:r>
          <w:rPr>
            <w:rFonts w:ascii="Cambria Math" w:hAnsi="Cambria Math"/>
          </w:rPr>
          <m:t>n</m:t>
        </m:r>
      </m:oMath>
      <w:r>
        <w:t xml:space="preserve">, the UE provides the generated HARQ-ACK information in a PUCCH transmission within slot </w:t>
      </w:r>
      <m:oMath>
        <m:r>
          <w:rPr>
            <w:rFonts w:ascii="Cambria Math" w:hAnsi="Cambria Math"/>
          </w:rPr>
          <m:t>n+k</m:t>
        </m:r>
      </m:oMath>
      <w:r>
        <w:t xml:space="preserve">, subject to the overlapping conditions </w:t>
      </w:r>
      <w:r w:rsidR="006F5F9E">
        <w:t>in clause</w:t>
      </w:r>
      <w:r>
        <w:t xml:space="preserve"> 9.2.5, where </w:t>
      </w:r>
      <m:oMath>
        <m:r>
          <w:rPr>
            <w:rFonts w:ascii="Cambria Math" w:hAnsi="Cambria Math"/>
          </w:rPr>
          <m:t>k</m:t>
        </m:r>
      </m:oMath>
      <w:r>
        <w:t xml:space="preserve"> is a number of slots indicated by a</w:t>
      </w:r>
      <w:r w:rsidRPr="00B916EC">
        <w:t xml:space="preserve"> PS</w:t>
      </w:r>
      <w:r>
        <w:t>F</w:t>
      </w:r>
      <w:r w:rsidRPr="00B916EC">
        <w:t>CH-to-HARQ</w:t>
      </w:r>
      <w:r w:rsidR="00335053">
        <w:t xml:space="preserve"> </w:t>
      </w:r>
      <w:r>
        <w:t xml:space="preserve">feedback </w:t>
      </w:r>
      <w:r w:rsidRPr="00B916EC">
        <w:t>timing</w:t>
      </w:r>
      <w:r>
        <w:t xml:space="preserve"> indicator field, if present, in a</w:t>
      </w:r>
      <w:r w:rsidRPr="00B916EC">
        <w:t xml:space="preserve"> DCI format</w:t>
      </w:r>
      <w:r>
        <w:t xml:space="preserve"> </w:t>
      </w:r>
      <w:r>
        <w:rPr>
          <w:lang w:eastAsia="zh-CN"/>
        </w:rPr>
        <w:t>indicating a</w:t>
      </w:r>
      <w:r w:rsidRPr="00E20EB7">
        <w:rPr>
          <w:lang w:eastAsia="zh-CN"/>
        </w:rPr>
        <w:t xml:space="preserve"> slot for PUCCH transmission to report </w:t>
      </w:r>
      <w:r>
        <w:rPr>
          <w:lang w:eastAsia="zh-CN"/>
        </w:rPr>
        <w:t xml:space="preserve">the </w:t>
      </w:r>
      <w:r w:rsidRPr="00E20EB7">
        <w:rPr>
          <w:lang w:eastAsia="zh-CN"/>
        </w:rPr>
        <w:t>HARQ</w:t>
      </w:r>
      <w:r>
        <w:rPr>
          <w:lang w:eastAsia="zh-CN"/>
        </w:rPr>
        <w:t>-ACK information</w:t>
      </w:r>
      <w:r>
        <w:t xml:space="preserve">, or </w:t>
      </w:r>
      <m:oMath>
        <m:r>
          <w:rPr>
            <w:rFonts w:ascii="Cambria Math" w:hAnsi="Cambria Math"/>
          </w:rPr>
          <m:t>k</m:t>
        </m:r>
      </m:oMath>
      <w:r>
        <w:t xml:space="preserve"> is provided by</w:t>
      </w:r>
      <w:r w:rsidR="00531BC1">
        <w:t xml:space="preserve"> </w:t>
      </w:r>
      <w:r w:rsidR="00531BC1" w:rsidRPr="008D4A0B">
        <w:rPr>
          <w:i/>
          <w:iCs/>
        </w:rPr>
        <w:t>sl-PSFCH-ToPUCCH</w:t>
      </w:r>
      <w:r w:rsidR="00531BC1" w:rsidRPr="009266EA">
        <w:t xml:space="preserve"> for </w:t>
      </w:r>
      <w:r w:rsidR="00531BC1">
        <w:t xml:space="preserve">a transmission scheduled by a DCI format or for a SL </w:t>
      </w:r>
      <w:r w:rsidR="00531BC1" w:rsidRPr="009266EA">
        <w:t xml:space="preserve">configured grant type 2, or </w:t>
      </w:r>
      <w:r w:rsidR="00531BC1">
        <w:t>by</w:t>
      </w:r>
      <w:r>
        <w:t xml:space="preserve"> </w:t>
      </w:r>
      <w:r w:rsidR="005B2DE2">
        <w:rPr>
          <w:i/>
        </w:rPr>
        <w:t>sl-PSFCH-ToPUCCH-CG-Type1</w:t>
      </w:r>
      <w:r w:rsidR="00531BC1">
        <w:rPr>
          <w:i/>
        </w:rPr>
        <w:t xml:space="preserve"> </w:t>
      </w:r>
      <w:r w:rsidR="00531BC1" w:rsidRPr="008D4A0B">
        <w:rPr>
          <w:iCs/>
        </w:rPr>
        <w:t>for</w:t>
      </w:r>
      <w:r w:rsidR="00531BC1">
        <w:rPr>
          <w:iCs/>
        </w:rPr>
        <w:t xml:space="preserve"> a SL</w:t>
      </w:r>
      <w:r w:rsidR="00531BC1" w:rsidRPr="008D4A0B">
        <w:rPr>
          <w:iCs/>
        </w:rPr>
        <w:t xml:space="preserve"> confi</w:t>
      </w:r>
      <w:r w:rsidR="00531BC1">
        <w:rPr>
          <w:iCs/>
        </w:rPr>
        <w:t>gured grant type 1</w:t>
      </w:r>
      <w:r>
        <w:t xml:space="preserve">. </w:t>
      </w:r>
      <m:oMath>
        <m:r>
          <w:rPr>
            <w:rFonts w:ascii="Cambria Math" w:hAnsi="Cambria Math"/>
          </w:rPr>
          <m:t>k=0</m:t>
        </m:r>
      </m:oMath>
      <w:r>
        <w:t xml:space="preserve"> corresponds to a last slot for a PUCCH transmission that would overlap with the last PSFCH reception occasion</w:t>
      </w:r>
      <w:r w:rsidR="008A1F79" w:rsidRPr="005E0535">
        <w:t xml:space="preserve"> </w:t>
      </w:r>
      <w:r w:rsidR="007E35C6" w:rsidRPr="00ED5EB1">
        <w:rPr>
          <w:rFonts w:cs="Times"/>
        </w:rPr>
        <w:t xml:space="preserve">if </w:t>
      </w:r>
      <w:r w:rsidR="007E35C6" w:rsidRPr="00ED5EB1">
        <w:rPr>
          <w:rFonts w:cs="Times"/>
          <w:i/>
        </w:rPr>
        <w:t>numPSFCHOccasions</w:t>
      </w:r>
      <w:r w:rsidR="007E35C6" w:rsidRPr="00ED5EB1">
        <w:rPr>
          <w:rFonts w:cs="Times"/>
        </w:rPr>
        <w:t xml:space="preserve"> is not (pre-)configured, or the last candidate PSFCH reception occasion if </w:t>
      </w:r>
      <w:r w:rsidR="007E35C6" w:rsidRPr="00ED5EB1">
        <w:rPr>
          <w:rFonts w:cs="Times"/>
          <w:i/>
        </w:rPr>
        <w:t>numPSFCHOccasions</w:t>
      </w:r>
      <w:r w:rsidR="007E35C6" w:rsidRPr="00ED5EB1">
        <w:rPr>
          <w:rFonts w:cs="Times"/>
        </w:rPr>
        <w:t xml:space="preserve"> is (pre-)configured, </w:t>
      </w:r>
      <w:r w:rsidR="008A1F79" w:rsidRPr="005E0535">
        <w:t xml:space="preserve">assuming that </w:t>
      </w:r>
      <w:r w:rsidR="008A1F79">
        <w:t>the</w:t>
      </w:r>
      <w:r w:rsidR="008A1F79" w:rsidRPr="005E0535">
        <w:t xml:space="preserve"> start of the sidelink frame is </w:t>
      </w:r>
      <w:r w:rsidR="008A1F79">
        <w:t>same as</w:t>
      </w:r>
      <w:r w:rsidR="008A1F79" w:rsidRPr="005E0535">
        <w:t xml:space="preserve"> the start of the downlink</w:t>
      </w:r>
      <w:r w:rsidR="008A1F79">
        <w:t xml:space="preserve"> frame</w:t>
      </w:r>
      <w:r w:rsidR="008A1F79" w:rsidRPr="005E0535">
        <w:t xml:space="preserve"> [4, </w:t>
      </w:r>
      <w:r w:rsidR="008A1F79">
        <w:t xml:space="preserve">TS </w:t>
      </w:r>
      <w:r w:rsidR="008A1F79" w:rsidRPr="005E0535">
        <w:t>38.211]</w:t>
      </w:r>
      <w:r>
        <w:t>.</w:t>
      </w:r>
    </w:p>
    <w:p w14:paraId="5F979FFC" w14:textId="3CE6AE75" w:rsidR="008A1F79" w:rsidRDefault="00E21265" w:rsidP="008A1F79">
      <w:pPr>
        <w:rPr>
          <w:iCs/>
        </w:rPr>
      </w:pPr>
      <w:r>
        <w:rPr>
          <w:color w:val="000000"/>
          <w:lang w:eastAsia="x-none"/>
        </w:rPr>
        <w:t xml:space="preserve">For a </w:t>
      </w:r>
      <w:r w:rsidRPr="00474EA9">
        <w:rPr>
          <w:lang w:eastAsia="x-none"/>
        </w:rPr>
        <w:t xml:space="preserve">PSSCH </w:t>
      </w:r>
      <w:r w:rsidR="005B2DE2">
        <w:rPr>
          <w:lang w:eastAsia="x-none"/>
        </w:rPr>
        <w:t>transmission</w:t>
      </w:r>
      <w:r w:rsidRPr="00474EA9">
        <w:rPr>
          <w:lang w:eastAsia="x-none"/>
        </w:rPr>
        <w:t xml:space="preserve"> by a UE that is scheduled by a DCI format, or</w:t>
      </w:r>
      <w:r w:rsidRPr="00474EA9">
        <w:t xml:space="preserve"> for a SL configured grant Type 2 </w:t>
      </w:r>
      <w:r w:rsidR="005B2DE2" w:rsidRPr="00474EA9">
        <w:t>PS</w:t>
      </w:r>
      <w:r w:rsidR="005B2DE2">
        <w:t>S</w:t>
      </w:r>
      <w:r w:rsidR="005B2DE2" w:rsidRPr="00474EA9">
        <w:t xml:space="preserve">CH </w:t>
      </w:r>
      <w:r w:rsidR="005B2DE2">
        <w:rPr>
          <w:lang w:eastAsia="x-none"/>
        </w:rPr>
        <w:t>transmission</w:t>
      </w:r>
      <w:r w:rsidRPr="00474EA9">
        <w:t xml:space="preserve"> activated by a DCI format,</w:t>
      </w:r>
      <w:r w:rsidRPr="00474EA9">
        <w:rPr>
          <w:iCs/>
        </w:rPr>
        <w:t xml:space="preserve"> the DCI format indicate</w:t>
      </w:r>
      <w:r w:rsidR="008A1F79">
        <w:rPr>
          <w:iCs/>
        </w:rPr>
        <w:t>s</w:t>
      </w:r>
      <w:r w:rsidRPr="00474EA9">
        <w:rPr>
          <w:iCs/>
        </w:rPr>
        <w:t xml:space="preserve"> to the UE that a PUCCH resource is not provided</w:t>
      </w:r>
      <w:r w:rsidR="008A1F79" w:rsidRPr="00741317">
        <w:rPr>
          <w:iCs/>
        </w:rPr>
        <w:t xml:space="preserve"> </w:t>
      </w:r>
      <w:r w:rsidR="008A1F79">
        <w:rPr>
          <w:iCs/>
        </w:rPr>
        <w:lastRenderedPageBreak/>
        <w:t xml:space="preserve">when a value of the </w:t>
      </w:r>
      <w:r w:rsidR="008A1F79" w:rsidRPr="00C718B3">
        <w:rPr>
          <w:iCs/>
        </w:rPr>
        <w:t>PUCCH resource indicator</w:t>
      </w:r>
      <w:r w:rsidR="008A1F79">
        <w:rPr>
          <w:iCs/>
        </w:rPr>
        <w:t xml:space="preserve"> field is zero and a value of</w:t>
      </w:r>
      <w:r w:rsidR="008A1F79" w:rsidRPr="00C718B3">
        <w:rPr>
          <w:iCs/>
        </w:rPr>
        <w:t xml:space="preserve"> PSFCH-to-HARQ feedback timing indicator</w:t>
      </w:r>
      <w:r w:rsidR="008A1F79">
        <w:rPr>
          <w:iCs/>
        </w:rPr>
        <w:t xml:space="preserve"> field, if present, is zero</w:t>
      </w:r>
      <w:r w:rsidRPr="00474EA9">
        <w:rPr>
          <w:iCs/>
        </w:rPr>
        <w:t xml:space="preserve">. </w:t>
      </w:r>
      <w:r w:rsidR="008E450D" w:rsidRPr="00623D46">
        <w:rPr>
          <w:iCs/>
        </w:rPr>
        <w:t>For a SL configured grant Type 2 PSSCH transmission without</w:t>
      </w:r>
      <w:r w:rsidR="008E450D">
        <w:rPr>
          <w:iCs/>
        </w:rPr>
        <w:t xml:space="preserve"> a</w:t>
      </w:r>
      <w:r w:rsidR="008E450D" w:rsidRPr="00623D46">
        <w:rPr>
          <w:iCs/>
        </w:rPr>
        <w:t xml:space="preserve"> </w:t>
      </w:r>
      <w:r w:rsidR="008E450D">
        <w:rPr>
          <w:iCs/>
        </w:rPr>
        <w:t>corresponding</w:t>
      </w:r>
      <w:r w:rsidR="008E450D" w:rsidRPr="00623D46">
        <w:rPr>
          <w:iCs/>
        </w:rPr>
        <w:t xml:space="preserve"> PDCCH</w:t>
      </w:r>
      <w:r w:rsidR="008E450D">
        <w:rPr>
          <w:iCs/>
        </w:rPr>
        <w:t>,</w:t>
      </w:r>
      <w:r w:rsidR="008E450D" w:rsidRPr="00623D46">
        <w:rPr>
          <w:iCs/>
        </w:rPr>
        <w:t xml:space="preserve"> the DCI format </w:t>
      </w:r>
      <w:r w:rsidR="008E450D">
        <w:rPr>
          <w:iCs/>
        </w:rPr>
        <w:t xml:space="preserve">activating the SL configured grant Type 2 </w:t>
      </w:r>
      <w:r w:rsidR="008E450D" w:rsidRPr="00623D46">
        <w:rPr>
          <w:iCs/>
        </w:rPr>
        <w:t>indicates to the UE that a PUCCH resource is not provided when a value of the PUCCH resource indicator field is zero and a value of PSFCH-to-HARQ feedback timing indicator field, if present, is zero.</w:t>
      </w:r>
      <w:r w:rsidR="008E450D">
        <w:rPr>
          <w:iCs/>
        </w:rPr>
        <w:t xml:space="preserve"> </w:t>
      </w:r>
      <w:r w:rsidRPr="00474EA9">
        <w:rPr>
          <w:iCs/>
        </w:rPr>
        <w:t xml:space="preserve">For a </w:t>
      </w:r>
      <w:r w:rsidRPr="00474EA9">
        <w:t xml:space="preserve">SL configured grant Type 1 </w:t>
      </w:r>
      <w:r w:rsidRPr="00474EA9">
        <w:rPr>
          <w:iCs/>
        </w:rPr>
        <w:t xml:space="preserve">PSSCH </w:t>
      </w:r>
      <w:r w:rsidR="005B2DE2">
        <w:rPr>
          <w:lang w:eastAsia="x-none"/>
        </w:rPr>
        <w:t>transmission</w:t>
      </w:r>
      <w:r w:rsidRPr="00474EA9">
        <w:rPr>
          <w:iCs/>
        </w:rPr>
        <w:t xml:space="preserve">, a PUCCH resource can be provided </w:t>
      </w:r>
      <w:r w:rsidR="005B2DE2">
        <w:t xml:space="preserve">by </w:t>
      </w:r>
      <w:r w:rsidR="005B2DE2">
        <w:rPr>
          <w:rFonts w:eastAsiaTheme="minorEastAsia" w:hint="eastAsia"/>
          <w:i/>
          <w:iCs/>
        </w:rPr>
        <w:t>sl-N1PUCCH-AN</w:t>
      </w:r>
      <w:r w:rsidR="005B2DE2">
        <w:rPr>
          <w:rFonts w:eastAsiaTheme="minorEastAsia" w:hint="eastAsia"/>
          <w:iCs/>
        </w:rPr>
        <w:t xml:space="preserve"> and </w:t>
      </w:r>
      <w:r w:rsidR="005B2DE2">
        <w:rPr>
          <w:rFonts w:eastAsiaTheme="minorEastAsia" w:hint="eastAsia"/>
          <w:i/>
          <w:iCs/>
        </w:rPr>
        <w:t>sl-PSFCH-ToPUCCH-CG-Type1</w:t>
      </w:r>
      <w:r w:rsidRPr="00474EA9">
        <w:rPr>
          <w:iCs/>
        </w:rPr>
        <w:t xml:space="preserve">. </w:t>
      </w:r>
      <w:r w:rsidR="008E450D">
        <w:rPr>
          <w:iCs/>
        </w:rPr>
        <w:t xml:space="preserve">For transmission of HARQ-ACK information corresponding only to a SL configured grant Type 2 PSSCH transmission, </w:t>
      </w:r>
      <w:r w:rsidR="00953A2F">
        <w:t>including the PSSCH transmission(s) associated with the corresponding activation DCI format 3</w:t>
      </w:r>
      <w:r w:rsidR="00953A2F">
        <w:rPr>
          <w:u w:val="single"/>
        </w:rPr>
        <w:t>_</w:t>
      </w:r>
      <w:r w:rsidR="00953A2F">
        <w:t xml:space="preserve">0, </w:t>
      </w:r>
      <w:r w:rsidR="008E450D" w:rsidRPr="00623D46">
        <w:rPr>
          <w:iCs/>
        </w:rPr>
        <w:t>a</w:t>
      </w:r>
      <w:r w:rsidR="008E450D">
        <w:rPr>
          <w:iCs/>
        </w:rPr>
        <w:t xml:space="preserve"> UE can be provided</w:t>
      </w:r>
      <w:r w:rsidR="008E450D" w:rsidRPr="00623D46">
        <w:rPr>
          <w:iCs/>
        </w:rPr>
        <w:t xml:space="preserve"> </w:t>
      </w:r>
      <w:r w:rsidR="008E450D">
        <w:rPr>
          <w:iCs/>
        </w:rPr>
        <w:t xml:space="preserve">a </w:t>
      </w:r>
      <w:r w:rsidR="008E450D" w:rsidRPr="00623D46">
        <w:rPr>
          <w:iCs/>
        </w:rPr>
        <w:t xml:space="preserve">PUCCH resource by </w:t>
      </w:r>
      <w:r w:rsidR="008E450D" w:rsidRPr="00623D46">
        <w:rPr>
          <w:i/>
        </w:rPr>
        <w:t>sl-N1PUCCH-AN-Type2</w:t>
      </w:r>
      <w:r w:rsidR="008E450D">
        <w:rPr>
          <w:iCs/>
        </w:rPr>
        <w:t xml:space="preserve">. </w:t>
      </w:r>
      <w:r w:rsidRPr="00474EA9">
        <w:rPr>
          <w:iCs/>
        </w:rPr>
        <w:t>If a PUCCH resource is not provided, the UE does not transmit a PUCCH with generated HARQ-ACK information from PSFCH reception occasions.</w:t>
      </w:r>
      <w:r w:rsidR="008A1F79" w:rsidRPr="008A1F79">
        <w:rPr>
          <w:iCs/>
        </w:rPr>
        <w:t xml:space="preserve"> </w:t>
      </w:r>
    </w:p>
    <w:p w14:paraId="2B969D22" w14:textId="64EDA79D" w:rsidR="005B2DE2" w:rsidRPr="00497233" w:rsidRDefault="005B2DE2" w:rsidP="005B2DE2">
      <w:pPr>
        <w:rPr>
          <w:rFonts w:eastAsia="Yu Mincho"/>
        </w:rPr>
      </w:pPr>
      <w:r w:rsidRPr="00497233">
        <w:rPr>
          <w:rFonts w:eastAsia="Yu Mincho"/>
        </w:rPr>
        <w:t>For a PUCCH transmission with HARQ-ACK information, a UE determines a PUCCH resource after determining a set of PUCCH resources</w:t>
      </w:r>
      <w:r w:rsidR="00531BC1">
        <w:rPr>
          <w:rFonts w:eastAsia="Yu Mincho"/>
        </w:rPr>
        <w:t xml:space="preserve"> </w:t>
      </w:r>
      <w:r w:rsidR="00531BC1" w:rsidRPr="00B177D4">
        <w:rPr>
          <w:rFonts w:eastAsia="Yu Mincho"/>
        </w:rPr>
        <w:t xml:space="preserve">from up to four PUCCH resource sets provided by </w:t>
      </w:r>
      <w:r w:rsidR="00531BC1" w:rsidRPr="00B177D4">
        <w:rPr>
          <w:rFonts w:eastAsia="Yu Mincho"/>
          <w:i/>
          <w:iCs/>
        </w:rPr>
        <w:t>sl-PUCCH-Config</w:t>
      </w:r>
      <w:r w:rsidR="00531BC1" w:rsidRPr="00B177D4">
        <w:rPr>
          <w:rFonts w:eastAsia="Yu Mincho"/>
        </w:rPr>
        <w:t>,</w:t>
      </w:r>
      <w:r w:rsidRPr="00497233">
        <w:rPr>
          <w:rFonts w:eastAsia="Yu Mincho"/>
        </w:rPr>
        <w:t xml:space="preserve"> for </w:t>
      </w:r>
      <m:oMath>
        <m:sSub>
          <m:sSubPr>
            <m:ctrlPr>
              <w:rPr>
                <w:rFonts w:ascii="Cambria Math" w:hAnsi="Cambria Math"/>
                <w:i/>
              </w:rPr>
            </m:ctrlPr>
          </m:sSubPr>
          <m:e>
            <m:r>
              <w:rPr>
                <w:rFonts w:ascii="Cambria Math" w:hAnsi="Cambria Math"/>
              </w:rPr>
              <m:t>O</m:t>
            </m:r>
          </m:e>
          <m:sub>
            <m:r>
              <w:rPr>
                <w:rFonts w:ascii="Cambria Math" w:hAnsi="Cambria Math"/>
              </w:rPr>
              <m:t>UCI</m:t>
            </m:r>
          </m:sub>
        </m:sSub>
      </m:oMath>
      <w:r w:rsidRPr="00497233">
        <w:rPr>
          <w:rFonts w:eastAsia="Yu Mincho"/>
        </w:rPr>
        <w:t xml:space="preserve"> HARQ-ACK information bits, as described </w:t>
      </w:r>
      <w:r w:rsidR="006F5F9E">
        <w:rPr>
          <w:rFonts w:eastAsia="Yu Mincho"/>
        </w:rPr>
        <w:t>in clause</w:t>
      </w:r>
      <w:r w:rsidRPr="00497233">
        <w:rPr>
          <w:rFonts w:eastAsia="Yu Mincho"/>
        </w:rPr>
        <w:t xml:space="preserve"> 9.2.1. The PUCCH resource determination is based on a PUCCH resource indicator field [5, TS 38.212] in a last DCI format 3_0, </w:t>
      </w:r>
      <w:r w:rsidR="00953A2F">
        <w:t xml:space="preserve">excluding DCI format 3_0 for the SL configured grant Type 2 activation, </w:t>
      </w:r>
      <w:r w:rsidRPr="00497233">
        <w:rPr>
          <w:rFonts w:eastAsia="Yu Mincho"/>
        </w:rPr>
        <w:t>among the DCI formats 3_0 that have a value of a PSFCH-to-HARQ</w:t>
      </w:r>
      <w:r w:rsidR="002B3D30">
        <w:rPr>
          <w:rFonts w:eastAsia="Yu Mincho"/>
        </w:rPr>
        <w:t xml:space="preserve"> </w:t>
      </w:r>
      <w:r w:rsidRPr="00497233">
        <w:rPr>
          <w:rFonts w:eastAsia="Yu Mincho"/>
        </w:rPr>
        <w:t>feedback timing indicator field indicating a same slot for the PUCCH transmission, that the UE detects and for which the UE transmits corresponding HARQ-ACK information in the PUCCH where, for PUCCH resource determination, detected DCI formats are indexed in an ascending order across PDCCH monitoring occasion indexes.</w:t>
      </w:r>
    </w:p>
    <w:p w14:paraId="72782F7D" w14:textId="71FF56E1" w:rsidR="00531BC1" w:rsidRDefault="00531BC1" w:rsidP="00531BC1">
      <w:pPr>
        <w:rPr>
          <w:lang w:eastAsia="x-none"/>
        </w:rPr>
      </w:pPr>
      <w:r w:rsidRPr="00B177D4">
        <w:rPr>
          <w:lang w:eastAsia="x-none"/>
        </w:rPr>
        <w:t xml:space="preserve">The PUCCH resource indicator field values map to values of a set of PUCCH resource indexes, as described </w:t>
      </w:r>
      <w:r w:rsidR="006F5F9E">
        <w:rPr>
          <w:lang w:eastAsia="x-none"/>
        </w:rPr>
        <w:t>in clause</w:t>
      </w:r>
      <w:r w:rsidRPr="00B177D4">
        <w:rPr>
          <w:lang w:eastAsia="x-none"/>
        </w:rPr>
        <w:t xml:space="preserve"> 9.2.3.</w:t>
      </w:r>
    </w:p>
    <w:p w14:paraId="07C2CACB" w14:textId="15AB4E90" w:rsidR="00531BC1" w:rsidRDefault="00531BC1" w:rsidP="00531BC1">
      <w:pPr>
        <w:rPr>
          <w:lang w:eastAsia="x-none"/>
        </w:rPr>
      </w:pPr>
      <w:r w:rsidRPr="00B177D4">
        <w:rPr>
          <w:lang w:eastAsia="x-none"/>
        </w:rPr>
        <w:t xml:space="preserve">A UE transmits a PUCCH with HARQ-ACK information using PUCCH format 0 or PUCCH format 1 or PUCCH format 2 or PUCCH format 3 or PUCCH format 4 as described </w:t>
      </w:r>
      <w:r w:rsidR="006F5F9E">
        <w:rPr>
          <w:lang w:eastAsia="x-none"/>
        </w:rPr>
        <w:t>in clause</w:t>
      </w:r>
      <w:r w:rsidRPr="00B177D4">
        <w:rPr>
          <w:lang w:eastAsia="x-none"/>
        </w:rPr>
        <w:t xml:space="preserve"> 9.2.3.</w:t>
      </w:r>
    </w:p>
    <w:p w14:paraId="56E17CEF" w14:textId="77777777" w:rsidR="008A1F79" w:rsidRPr="004B7A86" w:rsidRDefault="008A1F79" w:rsidP="008A1F79">
      <w:pPr>
        <w:rPr>
          <w:lang w:eastAsia="x-none"/>
        </w:rPr>
      </w:pPr>
      <w:r w:rsidRPr="004B7A86">
        <w:rPr>
          <w:lang w:eastAsia="x-none"/>
        </w:rPr>
        <w:t xml:space="preserve">A UE does not expect to multiplex HARQ-ACK information for more than one SL configured grants in a same PUCCH. </w:t>
      </w:r>
    </w:p>
    <w:p w14:paraId="2382B65E" w14:textId="77777777" w:rsidR="008A1F79" w:rsidRPr="00E24C4C" w:rsidRDefault="008A1F79" w:rsidP="008A1F79">
      <w:pPr>
        <w:rPr>
          <w:rFonts w:eastAsia="Malgun Gothic"/>
        </w:rPr>
      </w:pPr>
      <w:r>
        <w:rPr>
          <w:rFonts w:eastAsia="Malgun Gothic"/>
        </w:rPr>
        <w:t>A</w:t>
      </w:r>
      <w:r w:rsidRPr="00E24C4C">
        <w:rPr>
          <w:rFonts w:eastAsia="Malgun Gothic"/>
        </w:rPr>
        <w:t xml:space="preserve"> priority value of </w:t>
      </w:r>
      <w:r>
        <w:rPr>
          <w:rFonts w:eastAsia="Malgun Gothic"/>
        </w:rPr>
        <w:t>a</w:t>
      </w:r>
      <w:r w:rsidRPr="00E24C4C">
        <w:rPr>
          <w:rFonts w:eastAsia="Malgun Gothic"/>
        </w:rPr>
        <w:t xml:space="preserve"> PUCCH transmission with one or more sidelink HARQ-ACK information </w:t>
      </w:r>
      <w:r>
        <w:rPr>
          <w:rFonts w:eastAsia="Malgun Gothic"/>
        </w:rPr>
        <w:t>bits</w:t>
      </w:r>
      <w:r w:rsidRPr="00E24C4C">
        <w:rPr>
          <w:rFonts w:eastAsia="Malgun Gothic"/>
        </w:rPr>
        <w:t xml:space="preserve"> is the smallest priority value for the </w:t>
      </w:r>
      <w:r>
        <w:rPr>
          <w:rFonts w:eastAsia="Malgun Gothic"/>
        </w:rPr>
        <w:t xml:space="preserve">one or more </w:t>
      </w:r>
      <w:r w:rsidRPr="00E24C4C">
        <w:rPr>
          <w:rFonts w:eastAsia="Malgun Gothic"/>
        </w:rPr>
        <w:t xml:space="preserve">HARQ-ACK information </w:t>
      </w:r>
      <w:r>
        <w:rPr>
          <w:rFonts w:eastAsia="Malgun Gothic"/>
        </w:rPr>
        <w:t>bits</w:t>
      </w:r>
      <w:r w:rsidRPr="00E24C4C">
        <w:rPr>
          <w:rFonts w:eastAsia="Malgun Gothic"/>
        </w:rPr>
        <w:t>.</w:t>
      </w:r>
    </w:p>
    <w:p w14:paraId="689AE9F2" w14:textId="77777777" w:rsidR="008A1F79" w:rsidRPr="004B7A86" w:rsidRDefault="008A1F79" w:rsidP="008A1F79">
      <w:pPr>
        <w:rPr>
          <w:lang w:eastAsia="x-none"/>
        </w:rPr>
      </w:pPr>
      <w:r w:rsidRPr="004B7A86">
        <w:rPr>
          <w:lang w:eastAsia="x-none"/>
        </w:rPr>
        <w:t>In the following, the CRC for DCI format 3_0 is scrambled with a SL-RNTI or a SL-CS-RNTI.</w:t>
      </w:r>
    </w:p>
    <w:p w14:paraId="1A0DD2CA" w14:textId="77777777" w:rsidR="008A1F79" w:rsidRPr="004B7A86" w:rsidRDefault="008A1F79" w:rsidP="002F78BF">
      <w:pPr>
        <w:pStyle w:val="Heading3"/>
      </w:pPr>
      <w:bookmarkStart w:id="936" w:name="_Toc45699246"/>
      <w:bookmarkStart w:id="937" w:name="_Toc161999184"/>
      <w:r w:rsidRPr="004B7A86">
        <w:t>16.5.1</w:t>
      </w:r>
      <w:r w:rsidRPr="004B7A86">
        <w:tab/>
        <w:t>Type-1 HARQ-ACK codebook</w:t>
      </w:r>
      <w:r w:rsidRPr="004B7A86">
        <w:rPr>
          <w:rFonts w:hint="eastAsia"/>
        </w:rPr>
        <w:t xml:space="preserve"> </w:t>
      </w:r>
      <w:r w:rsidRPr="004B7A86">
        <w:t>determination</w:t>
      </w:r>
      <w:bookmarkEnd w:id="936"/>
      <w:bookmarkEnd w:id="937"/>
      <w:r w:rsidRPr="004B7A86">
        <w:t xml:space="preserve"> </w:t>
      </w:r>
    </w:p>
    <w:p w14:paraId="1F5C5C1D" w14:textId="3E837E2E" w:rsidR="008A1F79" w:rsidRPr="004B7A86" w:rsidRDefault="008A1F79" w:rsidP="008A1F79">
      <w:pPr>
        <w:rPr>
          <w:rFonts w:cs="Arial"/>
          <w:lang w:eastAsia="zh-CN"/>
        </w:rPr>
      </w:pPr>
      <w:r w:rsidRPr="004B7A86">
        <w:rPr>
          <w:lang w:val="en-US" w:eastAsia="zh-CN"/>
        </w:rPr>
        <w:t xml:space="preserve">This </w:t>
      </w:r>
      <w:r w:rsidR="00593338">
        <w:rPr>
          <w:lang w:val="en-US" w:eastAsia="zh-CN"/>
        </w:rPr>
        <w:t>c</w:t>
      </w:r>
      <w:r w:rsidR="00593338" w:rsidRPr="004B7A86">
        <w:rPr>
          <w:lang w:val="en-US" w:eastAsia="zh-CN"/>
        </w:rPr>
        <w:t xml:space="preserve">lause </w:t>
      </w:r>
      <w:r w:rsidRPr="004B7A86">
        <w:rPr>
          <w:lang w:val="en-US" w:eastAsia="zh-CN"/>
        </w:rPr>
        <w:t xml:space="preserve">applies if the UE is configured with </w:t>
      </w:r>
      <w:r w:rsidRPr="004B7A86">
        <w:rPr>
          <w:i/>
          <w:lang w:val="en-US" w:eastAsia="zh-CN"/>
        </w:rPr>
        <w:t>pdsch-</w:t>
      </w:r>
      <w:r w:rsidRPr="004B7A86">
        <w:rPr>
          <w:rFonts w:cs="Arial"/>
          <w:i/>
          <w:lang w:eastAsia="zh-CN"/>
        </w:rPr>
        <w:t>HARQ-ACK-Codebook = semi-static</w:t>
      </w:r>
      <w:r w:rsidRPr="004B7A86">
        <w:rPr>
          <w:rFonts w:cs="Arial"/>
          <w:lang w:eastAsia="zh-CN"/>
        </w:rPr>
        <w:t>.</w:t>
      </w:r>
    </w:p>
    <w:p w14:paraId="1CFCECD1" w14:textId="4876DCFD" w:rsidR="00A45187" w:rsidRDefault="00A45187" w:rsidP="00A45187">
      <w:pPr>
        <w:spacing w:before="120" w:after="120"/>
        <w:rPr>
          <w:b/>
        </w:rPr>
      </w:pPr>
      <w:bookmarkStart w:id="938" w:name="_Hlk40025985"/>
      <w:r>
        <w:rPr>
          <w:rFonts w:eastAsiaTheme="minorEastAsia"/>
        </w:rPr>
        <w:t xml:space="preserve">If a UE is configured a SL configured grant </w:t>
      </w:r>
      <w:r w:rsidR="00593338">
        <w:rPr>
          <w:rFonts w:eastAsiaTheme="minorEastAsia"/>
        </w:rPr>
        <w:t xml:space="preserve">Type </w:t>
      </w:r>
      <w:r>
        <w:rPr>
          <w:rFonts w:eastAsiaTheme="minorEastAsia"/>
        </w:rPr>
        <w:t xml:space="preserve">1, and the UE is configured a SL configured grant </w:t>
      </w:r>
      <w:r w:rsidR="00593338">
        <w:rPr>
          <w:rFonts w:eastAsiaTheme="minorEastAsia"/>
        </w:rPr>
        <w:t xml:space="preserve">Type </w:t>
      </w:r>
      <w:r>
        <w:rPr>
          <w:rFonts w:eastAsiaTheme="minorEastAsia"/>
        </w:rPr>
        <w:t xml:space="preserve">2 or to monitor PDCCH for detection of DCI format 3_0 with CRC scrambled by SL-RNTI or SL-CS-RNTI, and the UE is provided </w:t>
      </w:r>
      <w:r>
        <w:t xml:space="preserve">a set of slot timing values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t xml:space="preserve"> associated with a SL BWP by </w:t>
      </w:r>
      <w:r w:rsidRPr="006E1912">
        <w:rPr>
          <w:i/>
        </w:rPr>
        <w:t>sl-PSFCH-ToPUCCH</w:t>
      </w:r>
      <w:r>
        <w:rPr>
          <w:i/>
        </w:rPr>
        <w:t xml:space="preserve"> </w:t>
      </w:r>
      <w:r>
        <w:t xml:space="preserve">and </w:t>
      </w:r>
      <w:r w:rsidRPr="006E1912">
        <w:rPr>
          <w:i/>
          <w:iCs/>
        </w:rPr>
        <w:t>sl-PSFCH-ToPUCCH-CG-Type1</w:t>
      </w:r>
      <w:r>
        <w:rPr>
          <w:rFonts w:eastAsiaTheme="minorEastAsia"/>
        </w:rPr>
        <w:t xml:space="preserve">, the </w:t>
      </w:r>
      <w:r w:rsidRPr="006E1912">
        <w:rPr>
          <w:rFonts w:eastAsiaTheme="minorEastAsia"/>
          <w:i/>
          <w:iCs/>
        </w:rPr>
        <w:t>sl-PSFCH-ToPUCCH-CG-Type1</w:t>
      </w:r>
      <w:r>
        <w:rPr>
          <w:rFonts w:eastAsiaTheme="minorEastAsia"/>
        </w:rPr>
        <w:t xml:space="preserve"> is one of </w:t>
      </w:r>
      <w:r w:rsidRPr="006E1912">
        <w:rPr>
          <w:rFonts w:eastAsiaTheme="minorEastAsia"/>
          <w:i/>
        </w:rPr>
        <w:t>sl-PSFCH-ToPUCCH</w:t>
      </w:r>
      <w:r>
        <w:rPr>
          <w:rFonts w:eastAsiaTheme="minorEastAsia"/>
        </w:rPr>
        <w:t>.</w:t>
      </w:r>
    </w:p>
    <w:bookmarkEnd w:id="938"/>
    <w:p w14:paraId="35467803" w14:textId="38BE71B9" w:rsidR="008A1F79" w:rsidRPr="004B7A86" w:rsidRDefault="008A1F79" w:rsidP="008A1F79">
      <w:r w:rsidRPr="004B7A86">
        <w:t xml:space="preserve">A UE reports HARQ-ACK information for PSSCH </w:t>
      </w:r>
      <w:r>
        <w:t>transmissions</w:t>
      </w:r>
      <w:r w:rsidRPr="004B7A86">
        <w:t xml:space="preserve"> with corresponding PSFCH reception occasions in slot </w:t>
      </w:r>
      <m:oMath>
        <m:r>
          <w:rPr>
            <w:rFonts w:ascii="Cambria Math" w:hAnsi="Cambria Math"/>
            <w:lang w:val="en-US" w:eastAsia="zh-CN"/>
          </w:rPr>
          <m:t>n</m:t>
        </m:r>
      </m:oMath>
      <w:r w:rsidRPr="004B7A86">
        <w:t xml:space="preserve"> only in a HARQ-ACK codebook that the UE includes in a PUCCH or PUSCH transmission in slot </w:t>
      </w:r>
      <m:oMath>
        <m:r>
          <w:rPr>
            <w:rFonts w:ascii="Cambria Math" w:hAnsi="Cambria Math"/>
            <w:lang w:val="en-US" w:eastAsia="zh-CN"/>
          </w:rPr>
          <m:t>n+k</m:t>
        </m:r>
      </m:oMath>
      <w:r w:rsidRPr="004B7A86">
        <w:t xml:space="preserve">, where </w:t>
      </w:r>
      <m:oMath>
        <m:r>
          <w:rPr>
            <w:rFonts w:ascii="Cambria Math" w:hAnsi="Cambria Math"/>
            <w:lang w:val="en-US" w:eastAsia="zh-CN"/>
          </w:rPr>
          <m:t>k</m:t>
        </m:r>
      </m:oMath>
      <w:r w:rsidRPr="004B7A86">
        <w:t xml:space="preserve"> is a number of slots indicated by the PSFCH-to-HARQ</w:t>
      </w:r>
      <w:r w:rsidR="002B3D30">
        <w:t xml:space="preserve"> </w:t>
      </w:r>
      <w:r w:rsidRPr="004B7A86">
        <w:t xml:space="preserve">feedback timing indicator field in a DCI format 3_0 scheduling the PSSCH transmissions, or by a value of PSFCH-to-HARQ feedback timing indicator field in a DCI format 3_0 activating a SL configured grant Type-2 transmission, or by a value of </w:t>
      </w:r>
      <w:r w:rsidRPr="004B7A86">
        <w:rPr>
          <w:i/>
          <w:iCs/>
        </w:rPr>
        <w:t>sl-PSFCH-ToPUCCH</w:t>
      </w:r>
      <w:r w:rsidR="00D378BB">
        <w:rPr>
          <w:i/>
          <w:iCs/>
        </w:rPr>
        <w:t>-CG-Type1</w:t>
      </w:r>
      <w:r w:rsidRPr="004B7A86">
        <w:t xml:space="preserve"> for a SL configured grant Type-1. If the UE reports HARQ-ACK information for the PSSCH transmissions with corresponding PSFCH reception occasions in a slot other than slot </w:t>
      </w:r>
      <m:oMath>
        <m:r>
          <w:rPr>
            <w:rFonts w:ascii="Cambria Math" w:hAnsi="Cambria Math"/>
            <w:lang w:val="en-US" w:eastAsia="zh-CN"/>
          </w:rPr>
          <m:t>n+k</m:t>
        </m:r>
      </m:oMath>
      <w:r w:rsidRPr="004B7A86">
        <w:t xml:space="preserve">, the UE sets a value for each corresponding HARQ-ACK information bit to NACK. </w:t>
      </w:r>
    </w:p>
    <w:p w14:paraId="6B76DCC2" w14:textId="77777777" w:rsidR="008A1F79" w:rsidRPr="004B7A86" w:rsidRDefault="008A1F79" w:rsidP="008A1F79">
      <w:pPr>
        <w:rPr>
          <w:lang w:eastAsia="zh-CN"/>
        </w:rPr>
      </w:pPr>
      <w:r w:rsidRPr="004B7A86">
        <w:rPr>
          <w:lang w:val="en-US" w:eastAsia="zh-CN"/>
        </w:rPr>
        <w:t xml:space="preserve">If a UE reports HARQ-ACK information in a PUCCH </w:t>
      </w:r>
      <w:r w:rsidRPr="004B7A86">
        <w:rPr>
          <w:lang w:eastAsia="zh-CN"/>
        </w:rPr>
        <w:t xml:space="preserve">only for </w:t>
      </w:r>
    </w:p>
    <w:p w14:paraId="49FFFE3B" w14:textId="77777777" w:rsidR="008A1F79" w:rsidRPr="004B7A86" w:rsidRDefault="008A1F79" w:rsidP="008A1F79">
      <w:pPr>
        <w:pStyle w:val="B1"/>
        <w:rPr>
          <w:lang w:val="en-US" w:eastAsia="zh-CN"/>
        </w:rPr>
      </w:pPr>
      <w:r w:rsidRPr="004B7A86">
        <w:rPr>
          <w:lang w:val="en-US" w:eastAsia="zh-CN"/>
        </w:rPr>
        <w:t>-</w:t>
      </w:r>
      <w:r w:rsidRPr="004B7A86">
        <w:rPr>
          <w:lang w:val="en-US" w:eastAsia="zh-CN"/>
        </w:rPr>
        <w:tab/>
        <w:t xml:space="preserve">PSFCH reception occasions associated with PSSCH </w:t>
      </w:r>
      <w:r>
        <w:t>transmissions</w:t>
      </w:r>
      <w:r w:rsidRPr="004B7A86">
        <w:rPr>
          <w:lang w:eastAsia="zh-CN"/>
        </w:rPr>
        <w:t xml:space="preserve"> scheduled </w:t>
      </w:r>
      <w:r w:rsidRPr="004B7A86">
        <w:rPr>
          <w:rFonts w:hint="eastAsia"/>
          <w:lang w:eastAsia="zh-CN"/>
        </w:rPr>
        <w:t xml:space="preserve">by </w:t>
      </w:r>
      <w:r w:rsidRPr="004B7A86">
        <w:rPr>
          <w:lang w:val="en-US" w:eastAsia="zh-CN"/>
        </w:rPr>
        <w:t xml:space="preserve">a </w:t>
      </w:r>
      <w:r w:rsidRPr="004B7A86">
        <w:rPr>
          <w:rFonts w:hint="eastAsia"/>
          <w:lang w:eastAsia="zh-CN"/>
        </w:rPr>
        <w:t xml:space="preserve">DCI format </w:t>
      </w:r>
      <w:r w:rsidRPr="004B7A86">
        <w:rPr>
          <w:lang w:val="en-US" w:eastAsia="zh-CN"/>
        </w:rPr>
        <w:t>3</w:t>
      </w:r>
      <w:r w:rsidRPr="004B7A86">
        <w:rPr>
          <w:rFonts w:hint="eastAsia"/>
          <w:lang w:eastAsia="zh-CN"/>
        </w:rPr>
        <w:t xml:space="preserve">_0 with </w:t>
      </w:r>
      <w:r w:rsidRPr="004B7A86">
        <w:rPr>
          <w:rFonts w:hint="eastAsia"/>
          <w:lang w:val="en-US" w:eastAsia="zh-CN"/>
        </w:rPr>
        <w:t xml:space="preserve">counter </w:t>
      </w:r>
      <w:r w:rsidRPr="004B7A86">
        <w:rPr>
          <w:lang w:val="en-US" w:eastAsia="zh-CN"/>
        </w:rPr>
        <w:t>S</w:t>
      </w:r>
      <w:r w:rsidRPr="004B7A86">
        <w:rPr>
          <w:rFonts w:hint="eastAsia"/>
          <w:lang w:eastAsia="zh-CN"/>
        </w:rPr>
        <w:t>AI</w:t>
      </w:r>
      <w:r w:rsidRPr="004B7A86">
        <w:rPr>
          <w:lang w:val="en-US"/>
        </w:rPr>
        <w:t xml:space="preserve"> field </w:t>
      </w:r>
      <w:r w:rsidRPr="004B7A86">
        <w:rPr>
          <w:rFonts w:hint="eastAsia"/>
          <w:lang w:val="en-US" w:eastAsia="zh-CN"/>
        </w:rPr>
        <w:t>value of 1</w:t>
      </w:r>
      <w:r w:rsidRPr="004B7A86">
        <w:rPr>
          <w:lang w:val="en-US" w:eastAsia="zh-CN"/>
        </w:rPr>
        <w:t xml:space="preserve">, or </w:t>
      </w:r>
    </w:p>
    <w:p w14:paraId="7CC8EBBB" w14:textId="77777777" w:rsidR="008A1F79" w:rsidRPr="004B7A86" w:rsidRDefault="008A1F79" w:rsidP="008A1F79">
      <w:pPr>
        <w:pStyle w:val="B1"/>
        <w:rPr>
          <w:lang w:val="en-US" w:eastAsia="zh-CN"/>
        </w:rPr>
      </w:pPr>
      <w:r w:rsidRPr="004B7A86">
        <w:rPr>
          <w:lang w:val="en-US" w:eastAsia="zh-CN"/>
        </w:rPr>
        <w:t>-</w:t>
      </w:r>
      <w:r w:rsidRPr="004B7A86">
        <w:rPr>
          <w:lang w:val="en-US" w:eastAsia="zh-CN"/>
        </w:rPr>
        <w:tab/>
        <w:t xml:space="preserve">PSFCH reception occasions associated with PSSCH </w:t>
      </w:r>
      <w:r>
        <w:t>transmissions</w:t>
      </w:r>
      <w:r w:rsidRPr="004B7A86">
        <w:rPr>
          <w:lang w:val="en-US" w:eastAsia="zh-CN"/>
        </w:rPr>
        <w:t xml:space="preserve"> corresponding to a SL configured grant</w:t>
      </w:r>
    </w:p>
    <w:p w14:paraId="43085E05" w14:textId="4054AC3B" w:rsidR="008A1F79" w:rsidRPr="004B7A86" w:rsidRDefault="008A1F79" w:rsidP="008A1F79">
      <w:pPr>
        <w:rPr>
          <w:lang w:eastAsia="x-none"/>
        </w:rPr>
      </w:pPr>
      <w:r w:rsidRPr="004B7A86">
        <w:rPr>
          <w:lang w:val="en-US" w:eastAsia="zh-CN"/>
        </w:rPr>
        <w:t xml:space="preserve">within </w:t>
      </w:r>
      <w:r w:rsidR="00593338">
        <w:rPr>
          <w:lang w:val="en-US" w:eastAsia="zh-CN"/>
        </w:rPr>
        <w:t>a set</w:t>
      </w:r>
      <w:r w:rsidRPr="004B7A86">
        <w:rPr>
          <w:lang w:val="en-US" w:eastAsia="zh-CN"/>
        </w:rPr>
        <w:t xml:space="preserve"> </w:t>
      </w:r>
      <m:oMath>
        <m:sSub>
          <m:sSubPr>
            <m:ctrlPr>
              <w:rPr>
                <w:rFonts w:ascii="Cambria Math" w:hAnsi="Cambria Math" w:cs="Arial"/>
                <w:i/>
                <w:lang w:eastAsia="zh-CN"/>
              </w:rPr>
            </m:ctrlPr>
          </m:sSubPr>
          <m:e>
            <m:r>
              <w:rPr>
                <w:rFonts w:ascii="Cambria Math" w:cs="Arial"/>
                <w:lang w:eastAsia="zh-CN"/>
              </w:rPr>
              <m:t>M</m:t>
            </m:r>
          </m:e>
          <m:sub>
            <m:r>
              <w:rPr>
                <w:rFonts w:ascii="Cambria Math" w:cs="Arial"/>
                <w:lang w:eastAsia="zh-CN"/>
              </w:rPr>
              <m:t>A</m:t>
            </m:r>
          </m:sub>
        </m:sSub>
      </m:oMath>
      <w:r w:rsidRPr="004B7A86">
        <w:t xml:space="preserve"> </w:t>
      </w:r>
      <w:r w:rsidR="00593338">
        <w:t xml:space="preserve">of </w:t>
      </w:r>
      <w:r w:rsidRPr="004B7A86">
        <w:t xml:space="preserve">occasions for candidate PSSCH transmissions with corresponding PSFCH reception occasions as determined </w:t>
      </w:r>
      <w:r w:rsidR="006F5F9E">
        <w:t>in clause</w:t>
      </w:r>
      <w:r w:rsidRPr="004B7A86">
        <w:t xml:space="preserve"> 16.5.1.1</w:t>
      </w:r>
      <w:r w:rsidRPr="004B7A86">
        <w:rPr>
          <w:lang w:val="en-US" w:eastAsia="zh-CN"/>
        </w:rPr>
        <w:t>,</w:t>
      </w:r>
      <w:r w:rsidRPr="004B7A86">
        <w:t xml:space="preserve"> </w:t>
      </w:r>
      <w:r w:rsidRPr="004B7A86">
        <w:rPr>
          <w:lang w:eastAsia="x-none"/>
        </w:rPr>
        <w:t xml:space="preserve">the UE determines a HARQ-ACK codebook only for the PSFCH reception occasion </w:t>
      </w:r>
      <w:r w:rsidRPr="004B7A86">
        <w:rPr>
          <w:lang w:val="en-US" w:eastAsia="zh-CN"/>
        </w:rPr>
        <w:t>associated with PSSCH transmission</w:t>
      </w:r>
      <w:r w:rsidR="00593338">
        <w:rPr>
          <w:lang w:val="en-US" w:eastAsia="zh-CN"/>
        </w:rPr>
        <w:t>s</w:t>
      </w:r>
      <w:r w:rsidRPr="004B7A86">
        <w:rPr>
          <w:lang w:val="en-US" w:eastAsia="zh-CN"/>
        </w:rPr>
        <w:t xml:space="preserve"> </w:t>
      </w:r>
      <w:r w:rsidRPr="004B7A86">
        <w:rPr>
          <w:lang w:eastAsia="zh-CN"/>
        </w:rPr>
        <w:t xml:space="preserve">scheduled </w:t>
      </w:r>
      <w:r w:rsidRPr="004B7A86">
        <w:rPr>
          <w:rFonts w:hint="eastAsia"/>
          <w:lang w:eastAsia="zh-CN"/>
        </w:rPr>
        <w:t xml:space="preserve">by DCI format </w:t>
      </w:r>
      <w:r w:rsidRPr="004B7A86">
        <w:rPr>
          <w:lang w:val="en-US" w:eastAsia="zh-CN"/>
        </w:rPr>
        <w:t>3</w:t>
      </w:r>
      <w:r w:rsidRPr="004B7A86">
        <w:rPr>
          <w:rFonts w:hint="eastAsia"/>
          <w:lang w:eastAsia="zh-CN"/>
        </w:rPr>
        <w:t>_0</w:t>
      </w:r>
      <w:r w:rsidRPr="004B7A86">
        <w:rPr>
          <w:lang w:eastAsia="zh-CN"/>
        </w:rPr>
        <w:t xml:space="preserve"> </w:t>
      </w:r>
      <w:r w:rsidRPr="004B7A86">
        <w:rPr>
          <w:lang w:eastAsia="x-none"/>
        </w:rPr>
        <w:t xml:space="preserve">or only for the </w:t>
      </w:r>
      <w:r w:rsidRPr="004B7A86">
        <w:rPr>
          <w:lang w:val="en-US" w:eastAsia="zh-CN"/>
        </w:rPr>
        <w:t>PSFCH reception occasion associated with PSSCH transmission</w:t>
      </w:r>
      <w:r w:rsidR="00593338">
        <w:rPr>
          <w:lang w:val="en-US" w:eastAsia="zh-CN"/>
        </w:rPr>
        <w:t>s</w:t>
      </w:r>
      <w:r w:rsidRPr="004B7A86">
        <w:rPr>
          <w:lang w:val="en-US" w:eastAsia="zh-CN"/>
        </w:rPr>
        <w:t xml:space="preserve"> corresponding to a SL configured grant</w:t>
      </w:r>
      <w:r w:rsidRPr="004B7A86">
        <w:rPr>
          <w:lang w:val="en-US" w:eastAsia="x-none"/>
        </w:rPr>
        <w:t xml:space="preserve"> according to corresponding</w:t>
      </w:r>
      <w:r w:rsidR="00593338">
        <w:rPr>
          <w:lang w:val="en-US" w:eastAsia="x-none"/>
        </w:rPr>
        <w:t xml:space="preserve"> set</w:t>
      </w:r>
      <w:r w:rsidRPr="004B7A86">
        <w:rPr>
          <w:lang w:val="en-US" w:eastAsia="x-none"/>
        </w:rPr>
        <w:t xml:space="preserve"> </w:t>
      </w:r>
      <m:oMath>
        <m:sSub>
          <m:sSubPr>
            <m:ctrlPr>
              <w:rPr>
                <w:rFonts w:ascii="Cambria Math" w:hAnsi="Cambria Math" w:cs="Arial"/>
                <w:i/>
                <w:lang w:eastAsia="zh-CN"/>
              </w:rPr>
            </m:ctrlPr>
          </m:sSubPr>
          <m:e>
            <m:r>
              <w:rPr>
                <w:rFonts w:ascii="Cambria Math" w:cs="Arial"/>
                <w:lang w:eastAsia="zh-CN"/>
              </w:rPr>
              <m:t>M</m:t>
            </m:r>
          </m:e>
          <m:sub>
            <m:r>
              <w:rPr>
                <w:rFonts w:ascii="Cambria Math" w:cs="Arial"/>
                <w:lang w:eastAsia="zh-CN"/>
              </w:rPr>
              <m:t>A</m:t>
            </m:r>
          </m:sub>
        </m:sSub>
      </m:oMath>
      <w:r w:rsidRPr="004B7A86">
        <w:rPr>
          <w:rFonts w:cs="Arial"/>
          <w:lang w:eastAsia="zh-CN"/>
        </w:rPr>
        <w:t xml:space="preserve"> </w:t>
      </w:r>
      <w:r w:rsidR="00593338">
        <w:rPr>
          <w:rFonts w:cs="Arial"/>
          <w:lang w:eastAsia="zh-CN"/>
        </w:rPr>
        <w:t xml:space="preserve">of </w:t>
      </w:r>
      <w:r w:rsidRPr="004B7A86">
        <w:rPr>
          <w:rFonts w:cs="Arial"/>
          <w:lang w:eastAsia="zh-CN"/>
        </w:rPr>
        <w:lastRenderedPageBreak/>
        <w:t>occasions</w:t>
      </w:r>
      <w:r w:rsidRPr="004B7A86">
        <w:rPr>
          <w:lang w:eastAsia="zh-CN"/>
        </w:rPr>
        <w:t xml:space="preserve">, where a value of a counter </w:t>
      </w:r>
      <w:r>
        <w:rPr>
          <w:lang w:eastAsia="zh-CN"/>
        </w:rPr>
        <w:t>S</w:t>
      </w:r>
      <w:r w:rsidRPr="004B7A86">
        <w:rPr>
          <w:lang w:eastAsia="zh-CN"/>
        </w:rPr>
        <w:t xml:space="preserve">AI in DCI format 3_0 is according to Table </w:t>
      </w:r>
      <w:r>
        <w:rPr>
          <w:lang w:eastAsia="zh-CN"/>
        </w:rPr>
        <w:t>16.5.2.1-1</w:t>
      </w:r>
      <w:r w:rsidRPr="004B7A86">
        <w:rPr>
          <w:lang w:eastAsia="x-none"/>
        </w:rPr>
        <w:t xml:space="preserve">. Otherwise, the procedures </w:t>
      </w:r>
      <w:r w:rsidR="006F5F9E">
        <w:rPr>
          <w:lang w:eastAsia="x-none"/>
        </w:rPr>
        <w:t>in clause</w:t>
      </w:r>
      <w:r w:rsidRPr="004B7A86">
        <w:rPr>
          <w:lang w:eastAsia="x-none"/>
        </w:rPr>
        <w:t xml:space="preserve"> 16.5.1.1 </w:t>
      </w:r>
      <w:r w:rsidRPr="00BE5B61">
        <w:rPr>
          <w:lang w:eastAsia="x-none"/>
        </w:rPr>
        <w:t xml:space="preserve">and </w:t>
      </w:r>
      <w:r w:rsidR="006F5F9E">
        <w:rPr>
          <w:lang w:eastAsia="x-none"/>
        </w:rPr>
        <w:t>in clause</w:t>
      </w:r>
      <w:r w:rsidRPr="00BE5B61">
        <w:rPr>
          <w:lang w:eastAsia="x-none"/>
        </w:rPr>
        <w:t xml:space="preserve"> 16.5.1.2</w:t>
      </w:r>
      <w:r>
        <w:rPr>
          <w:lang w:eastAsia="x-none"/>
        </w:rPr>
        <w:t xml:space="preserve"> </w:t>
      </w:r>
      <w:r w:rsidRPr="004B7A86">
        <w:rPr>
          <w:lang w:eastAsia="x-none"/>
        </w:rPr>
        <w:t>for a HARQ-ACK codebook determination apply.</w:t>
      </w:r>
    </w:p>
    <w:p w14:paraId="330BADAC" w14:textId="77777777" w:rsidR="008A1F79" w:rsidRPr="00B916EC" w:rsidRDefault="008A1F79" w:rsidP="002F78BF">
      <w:pPr>
        <w:pStyle w:val="Heading4"/>
      </w:pPr>
      <w:bookmarkStart w:id="939" w:name="_Toc45699247"/>
      <w:bookmarkStart w:id="940" w:name="_Toc161999185"/>
      <w:r>
        <w:t>16.5.1</w:t>
      </w:r>
      <w:r w:rsidRPr="00B916EC">
        <w:t>.1</w:t>
      </w:r>
      <w:r w:rsidRPr="00B916EC">
        <w:rPr>
          <w:rFonts w:hint="eastAsia"/>
        </w:rPr>
        <w:tab/>
      </w:r>
      <w:r>
        <w:t>Type-1</w:t>
      </w:r>
      <w:r w:rsidRPr="00B916EC">
        <w:t xml:space="preserve"> HARQ-ACK codebook in physical uplink control channel</w:t>
      </w:r>
      <w:bookmarkEnd w:id="939"/>
      <w:bookmarkEnd w:id="940"/>
    </w:p>
    <w:p w14:paraId="621280BD" w14:textId="5A505A34" w:rsidR="008A1F79" w:rsidRPr="0066330F" w:rsidRDefault="008A1F79" w:rsidP="008A1F79">
      <w:pPr>
        <w:rPr>
          <w:rFonts w:cs="Arial"/>
          <w:lang w:eastAsia="zh-CN"/>
        </w:rPr>
      </w:pPr>
      <w:r w:rsidRPr="0066330F">
        <w:rPr>
          <w:lang w:val="en-US" w:eastAsia="zh-CN"/>
        </w:rPr>
        <w:t xml:space="preserve">For a SL BWP </w:t>
      </w:r>
      <w:r w:rsidR="00923EF2" w:rsidRPr="0066330F">
        <w:rPr>
          <w:lang w:val="en-US" w:eastAsia="zh-CN"/>
        </w:rPr>
        <w:t xml:space="preserve">on a carrier, </w:t>
      </w:r>
      <w:r w:rsidRPr="0066330F">
        <w:rPr>
          <w:lang w:val="en-US" w:eastAsia="zh-CN"/>
        </w:rPr>
        <w:t xml:space="preserve">and an active UL BWP on the primary cell, as described </w:t>
      </w:r>
      <w:r w:rsidR="006F5F9E" w:rsidRPr="0066330F">
        <w:rPr>
          <w:lang w:val="en-US" w:eastAsia="zh-CN"/>
        </w:rPr>
        <w:t>in clause</w:t>
      </w:r>
      <w:r w:rsidRPr="0066330F">
        <w:rPr>
          <w:lang w:val="en-US" w:eastAsia="zh-CN"/>
        </w:rPr>
        <w:t xml:space="preserve"> 12, a UE determines a set </w:t>
      </w:r>
      <m:oMath>
        <m:sSub>
          <m:sSubPr>
            <m:ctrlPr>
              <w:rPr>
                <w:rFonts w:ascii="Cambria Math" w:hAnsi="Cambria Math" w:cs="Arial"/>
                <w:i/>
                <w:lang w:eastAsia="zh-CN"/>
              </w:rPr>
            </m:ctrlPr>
          </m:sSubPr>
          <m:e>
            <m:r>
              <w:rPr>
                <w:rFonts w:ascii="Cambria Math" w:cs="Arial"/>
                <w:lang w:eastAsia="zh-CN"/>
              </w:rPr>
              <m:t>M</m:t>
            </m:r>
          </m:e>
          <m:sub>
            <m:r>
              <w:rPr>
                <w:rFonts w:ascii="Cambria Math" w:cs="Arial"/>
                <w:lang w:eastAsia="zh-CN"/>
              </w:rPr>
              <m:t>A</m:t>
            </m:r>
          </m:sub>
        </m:sSub>
      </m:oMath>
      <w:r w:rsidRPr="0066330F">
        <w:rPr>
          <w:rFonts w:cs="Arial"/>
          <w:lang w:eastAsia="zh-CN"/>
        </w:rPr>
        <w:t xml:space="preserve"> </w:t>
      </w:r>
      <w:r w:rsidR="00593338" w:rsidRPr="0066330F">
        <w:rPr>
          <w:rFonts w:cs="Arial"/>
          <w:lang w:eastAsia="zh-CN"/>
        </w:rPr>
        <w:t xml:space="preserve">of </w:t>
      </w:r>
      <w:r w:rsidRPr="0066330F">
        <w:rPr>
          <w:rFonts w:cs="Arial"/>
          <w:lang w:eastAsia="zh-CN"/>
        </w:rPr>
        <w:t xml:space="preserve">occasions for candidate PSSCH transmissions with corresponding PSFCH reception occasions for which the UE can multiplex corresponding HARQ-ACK information in a PUCCH transmission in slot </w:t>
      </w:r>
      <m:oMath>
        <m:sSub>
          <m:sSubPr>
            <m:ctrlPr>
              <w:rPr>
                <w:rFonts w:ascii="Cambria Math" w:hAnsi="Cambria Math" w:cs="Arial"/>
                <w:i/>
                <w:lang w:eastAsia="zh-CN"/>
              </w:rPr>
            </m:ctrlPr>
          </m:sSubPr>
          <m:e>
            <m:r>
              <w:rPr>
                <w:rFonts w:ascii="Cambria Math" w:hAnsi="Cambria Math" w:cs="Arial"/>
                <w:lang w:eastAsia="zh-CN"/>
              </w:rPr>
              <m:t>n</m:t>
            </m:r>
          </m:e>
          <m:sub>
            <m:r>
              <w:rPr>
                <w:rFonts w:ascii="Cambria Math" w:hAnsi="Cambria Math" w:cs="Arial"/>
                <w:lang w:eastAsia="zh-CN"/>
              </w:rPr>
              <m:t>U</m:t>
            </m:r>
          </m:sub>
        </m:sSub>
      </m:oMath>
      <w:r w:rsidRPr="0066330F">
        <w:rPr>
          <w:rFonts w:cs="Arial"/>
          <w:lang w:eastAsia="zh-CN"/>
        </w:rPr>
        <w:t>. The determination is based on:</w:t>
      </w:r>
    </w:p>
    <w:p w14:paraId="7AE1CA05" w14:textId="6D73548C" w:rsidR="008A1F79" w:rsidRPr="0031206F" w:rsidRDefault="008A1F79" w:rsidP="008A1F79">
      <w:pPr>
        <w:pStyle w:val="B1"/>
      </w:pPr>
      <w:r w:rsidRPr="0031206F">
        <w:rPr>
          <w:lang w:eastAsia="zh-CN"/>
        </w:rPr>
        <w:t>a)</w:t>
      </w:r>
      <w:r w:rsidRPr="0031206F">
        <w:rPr>
          <w:lang w:eastAsia="zh-CN"/>
        </w:rPr>
        <w:tab/>
        <w:t xml:space="preserve">a set of slot timing values </w:t>
      </w:r>
      <m:oMath>
        <m:sSub>
          <m:sSubPr>
            <m:ctrlPr>
              <w:rPr>
                <w:rFonts w:ascii="Cambria Math" w:hAnsi="Cambria Math"/>
                <w:i/>
                <w:lang w:val="en-GB" w:eastAsia="zh-CN"/>
              </w:rPr>
            </m:ctrlPr>
          </m:sSubPr>
          <m:e>
            <m:r>
              <w:rPr>
                <w:rFonts w:ascii="Cambria Math" w:hAnsi="Cambria Math"/>
                <w:lang w:eastAsia="zh-CN"/>
              </w:rPr>
              <m:t>K</m:t>
            </m:r>
          </m:e>
          <m:sub>
            <m:r>
              <w:rPr>
                <w:rFonts w:ascii="Cambria Math" w:hAnsi="Cambria Math"/>
                <w:lang w:eastAsia="zh-CN"/>
              </w:rPr>
              <m:t>1</m:t>
            </m:r>
          </m:sub>
        </m:sSub>
      </m:oMath>
      <w:r w:rsidRPr="0031206F">
        <w:rPr>
          <w:lang w:eastAsia="zh-CN"/>
        </w:rPr>
        <w:t xml:space="preserve"> associated with the </w:t>
      </w:r>
      <w:r w:rsidRPr="0031206F">
        <w:rPr>
          <w:lang w:val="en-US" w:eastAsia="zh-CN"/>
        </w:rPr>
        <w:t>S</w:t>
      </w:r>
      <w:r w:rsidRPr="0031206F">
        <w:rPr>
          <w:lang w:eastAsia="zh-CN"/>
        </w:rPr>
        <w:t>L BWP</w:t>
      </w:r>
      <w:r w:rsidRPr="0031206F">
        <w:rPr>
          <w:lang w:val="en-US" w:eastAsia="zh-CN"/>
        </w:rPr>
        <w:t xml:space="preserve"> where </w:t>
      </w:r>
      <m:oMath>
        <m:sSub>
          <m:sSubPr>
            <m:ctrlPr>
              <w:rPr>
                <w:rFonts w:ascii="Cambria Math" w:hAnsi="Cambria Math"/>
                <w:i/>
                <w:lang w:val="en-GB" w:eastAsia="zh-CN"/>
              </w:rPr>
            </m:ctrlPr>
          </m:sSubPr>
          <m:e>
            <m:r>
              <w:rPr>
                <w:rFonts w:ascii="Cambria Math" w:hAnsi="Cambria Math"/>
                <w:lang w:eastAsia="zh-CN"/>
              </w:rPr>
              <m:t>K</m:t>
            </m:r>
          </m:e>
          <m:sub>
            <m:r>
              <w:rPr>
                <w:rFonts w:ascii="Cambria Math" w:hAnsi="Cambria Math"/>
                <w:lang w:eastAsia="zh-CN"/>
              </w:rPr>
              <m:t>1</m:t>
            </m:r>
          </m:sub>
        </m:sSub>
      </m:oMath>
      <w:r w:rsidRPr="0031206F">
        <w:rPr>
          <w:lang w:eastAsia="zh-CN"/>
        </w:rPr>
        <w:t xml:space="preserve"> is provided by </w:t>
      </w:r>
      <w:r w:rsidR="00326E08" w:rsidRPr="00882C4D">
        <w:rPr>
          <w:i/>
          <w:iCs/>
        </w:rPr>
        <w:t>sl-PSFCH-ToPUCCH</w:t>
      </w:r>
      <w:r w:rsidRPr="0031206F">
        <w:rPr>
          <w:i/>
          <w:lang w:eastAsia="zh-CN"/>
        </w:rPr>
        <w:t xml:space="preserve"> </w:t>
      </w:r>
      <w:r w:rsidRPr="0031206F">
        <w:rPr>
          <w:lang w:eastAsia="zh-CN"/>
        </w:rPr>
        <w:t xml:space="preserve">for DCI format </w:t>
      </w:r>
      <w:r w:rsidRPr="0031206F">
        <w:rPr>
          <w:lang w:val="en-US" w:eastAsia="zh-CN"/>
        </w:rPr>
        <w:t>3_0</w:t>
      </w:r>
      <w:r>
        <w:rPr>
          <w:lang w:val="en-US" w:eastAsia="zh-CN"/>
        </w:rPr>
        <w:t xml:space="preserve"> </w:t>
      </w:r>
      <w:r w:rsidRPr="0031206F">
        <w:rPr>
          <w:rFonts w:eastAsiaTheme="minorHAnsi"/>
          <w:lang w:val="en-GB"/>
        </w:rPr>
        <w:t>or</w:t>
      </w:r>
      <w:r>
        <w:rPr>
          <w:rFonts w:eastAsiaTheme="minorHAnsi"/>
          <w:lang w:val="en-GB"/>
        </w:rPr>
        <w:t xml:space="preserve"> by</w:t>
      </w:r>
      <w:r w:rsidRPr="0031206F">
        <w:rPr>
          <w:rFonts w:eastAsiaTheme="minorHAnsi"/>
          <w:lang w:val="en-GB"/>
        </w:rPr>
        <w:t xml:space="preserve"> </w:t>
      </w:r>
      <w:r w:rsidR="00326E08" w:rsidRPr="00882C4D">
        <w:rPr>
          <w:i/>
          <w:iCs/>
        </w:rPr>
        <w:t>sl-PSFCH-ToPUCCH-CG-Type1</w:t>
      </w:r>
    </w:p>
    <w:p w14:paraId="43100938" w14:textId="75B98667" w:rsidR="008A1F79" w:rsidRPr="005D1451" w:rsidRDefault="008A1F79" w:rsidP="008A1F79">
      <w:pPr>
        <w:pStyle w:val="B1"/>
        <w:rPr>
          <w:lang w:val="en-US"/>
        </w:rPr>
      </w:pPr>
      <w:r w:rsidRPr="005D1451">
        <w:rPr>
          <w:lang w:val="en-US"/>
        </w:rPr>
        <w:t>b)</w:t>
      </w:r>
      <w:r w:rsidRPr="005D1451">
        <w:rPr>
          <w:lang w:val="en-US"/>
        </w:rPr>
        <w:tab/>
        <w:t xml:space="preserve">the ratio </w:t>
      </w:r>
      <m:oMath>
        <m:sSup>
          <m:sSupPr>
            <m:ctrlPr>
              <w:rPr>
                <w:rFonts w:ascii="Cambria Math" w:hAnsi="Cambria Math"/>
                <w:i/>
              </w:rPr>
            </m:ctrlPr>
          </m:sSupPr>
          <m:e>
            <m:r>
              <w:rPr>
                <w:rFonts w:ascii="Cambria Math"/>
              </w:rPr>
              <m:t>2</m:t>
            </m:r>
          </m:e>
          <m:sup>
            <m:sSub>
              <m:sSubPr>
                <m:ctrlPr>
                  <w:rPr>
                    <w:rFonts w:ascii="Cambria Math" w:hAnsi="Cambria Math"/>
                    <w:i/>
                  </w:rPr>
                </m:ctrlPr>
              </m:sSubPr>
              <m:e>
                <m:r>
                  <w:rPr>
                    <w:rFonts w:ascii="Cambria Math"/>
                  </w:rPr>
                  <m:t>μ</m:t>
                </m:r>
              </m:e>
              <m:sub>
                <m:r>
                  <m:rPr>
                    <m:nor/>
                  </m:rPr>
                  <w:rPr>
                    <w:rFonts w:ascii="Cambria Math"/>
                    <w:lang w:val="en-US"/>
                  </w:rPr>
                  <m:t>S</m:t>
                </m:r>
                <m:r>
                  <m:rPr>
                    <m:nor/>
                  </m:rPr>
                  <w:rPr>
                    <w:rFonts w:ascii="Cambria Math"/>
                  </w:rPr>
                  <m:t>L</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UL</m:t>
                </m:r>
                <m:ctrlPr>
                  <w:rPr>
                    <w:rFonts w:ascii="Cambria Math" w:hAnsi="Cambria Math"/>
                  </w:rPr>
                </m:ctrlPr>
              </m:sub>
            </m:sSub>
          </m:sup>
        </m:sSup>
      </m:oMath>
      <w:r w:rsidRPr="005D1451">
        <w:rPr>
          <w:lang w:val="en-US"/>
        </w:rPr>
        <w:t xml:space="preserve"> between the sidelink SCS configuration </w:t>
      </w:r>
      <m:oMath>
        <m:sSub>
          <m:sSubPr>
            <m:ctrlPr>
              <w:rPr>
                <w:rFonts w:ascii="Cambria Math" w:hAnsi="Cambria Math"/>
                <w:i/>
              </w:rPr>
            </m:ctrlPr>
          </m:sSubPr>
          <m:e>
            <m:r>
              <w:rPr>
                <w:rFonts w:ascii="Cambria Math"/>
              </w:rPr>
              <m:t>μ</m:t>
            </m:r>
          </m:e>
          <m:sub>
            <m:r>
              <m:rPr>
                <m:nor/>
              </m:rPr>
              <w:rPr>
                <w:rFonts w:ascii="Cambria Math"/>
                <w:lang w:val="en-US"/>
              </w:rPr>
              <m:t>S</m:t>
            </m:r>
            <m:r>
              <m:rPr>
                <m:nor/>
              </m:rPr>
              <w:rPr>
                <w:rFonts w:ascii="Cambria Math"/>
              </w:rPr>
              <m:t>L</m:t>
            </m:r>
            <m:ctrlPr>
              <w:rPr>
                <w:rFonts w:ascii="Cambria Math" w:hAnsi="Cambria Math"/>
              </w:rPr>
            </m:ctrlPr>
          </m:sub>
        </m:sSub>
      </m:oMath>
      <w:r w:rsidRPr="005D1451">
        <w:rPr>
          <w:lang w:val="en-US"/>
        </w:rPr>
        <w:t xml:space="preserve"> and the uplink SCS configuration </w:t>
      </w:r>
      <m:oMath>
        <m:sSub>
          <m:sSubPr>
            <m:ctrlPr>
              <w:rPr>
                <w:rFonts w:ascii="Cambria Math" w:hAnsi="Cambria Math"/>
                <w:i/>
                <w:lang w:val="en-US"/>
              </w:rPr>
            </m:ctrlPr>
          </m:sSubPr>
          <m:e>
            <m:r>
              <w:rPr>
                <w:rFonts w:ascii="Cambria Math" w:hAnsi="Cambria Math"/>
                <w:lang w:val="en-US"/>
              </w:rPr>
              <m:t>μ</m:t>
            </m:r>
          </m:e>
          <m:sub>
            <m:r>
              <m:rPr>
                <m:sty m:val="p"/>
              </m:rPr>
              <w:rPr>
                <w:rFonts w:ascii="Cambria Math" w:hAnsi="Cambria Math"/>
                <w:lang w:val="en-US"/>
              </w:rPr>
              <m:t>UL</m:t>
            </m:r>
          </m:sub>
        </m:sSub>
      </m:oMath>
      <w:r w:rsidRPr="005D1451">
        <w:rPr>
          <w:lang w:val="en-US"/>
        </w:rPr>
        <w:t xml:space="preserve"> provided by </w:t>
      </w:r>
      <w:r w:rsidRPr="005D1451">
        <w:rPr>
          <w:i/>
          <w:lang w:val="en-US"/>
        </w:rPr>
        <w:t>subcarrierSpacing</w:t>
      </w:r>
      <w:r w:rsidRPr="005D1451">
        <w:rPr>
          <w:lang w:val="en-US"/>
        </w:rPr>
        <w:t xml:space="preserve"> in </w:t>
      </w:r>
      <w:r w:rsidR="00FA4CFB" w:rsidRPr="00FA4CFB">
        <w:rPr>
          <w:i/>
          <w:iCs/>
          <w:lang w:val="en-US"/>
        </w:rPr>
        <w:t>SL</w:t>
      </w:r>
      <w:r w:rsidR="00B43E55" w:rsidRPr="00B43E55">
        <w:rPr>
          <w:i/>
          <w:iCs/>
          <w:lang w:val="en-US"/>
        </w:rPr>
        <w:t>-</w:t>
      </w:r>
      <w:r w:rsidRPr="005D1451">
        <w:rPr>
          <w:i/>
          <w:lang w:val="en-US"/>
        </w:rPr>
        <w:t>BWP-</w:t>
      </w:r>
      <w:r w:rsidR="00B43E55">
        <w:rPr>
          <w:i/>
          <w:lang w:val="en-US"/>
        </w:rPr>
        <w:t>Config</w:t>
      </w:r>
      <w:r w:rsidR="00B43E55" w:rsidRPr="00FA4CFB">
        <w:rPr>
          <w:iCs/>
          <w:lang w:val="en-US"/>
        </w:rPr>
        <w:t xml:space="preserve"> </w:t>
      </w:r>
      <w:r w:rsidR="00FA4CFB" w:rsidRPr="00FA4CFB">
        <w:rPr>
          <w:rFonts w:hint="eastAsia"/>
          <w:iCs/>
        </w:rPr>
        <w:t xml:space="preserve">or </w:t>
      </w:r>
      <w:r w:rsidR="00FA4CFB">
        <w:rPr>
          <w:i/>
          <w:iCs/>
        </w:rPr>
        <w:t>SL-BWP-ConfigCommon</w:t>
      </w:r>
      <w:r w:rsidR="00FA4CFB">
        <w:t xml:space="preserve"> </w:t>
      </w:r>
      <w:r w:rsidRPr="005D1451">
        <w:rPr>
          <w:lang w:val="en-US"/>
        </w:rPr>
        <w:t xml:space="preserve">and </w:t>
      </w:r>
      <w:r w:rsidRPr="005D1451">
        <w:rPr>
          <w:i/>
          <w:lang w:val="en-US"/>
        </w:rPr>
        <w:t xml:space="preserve">BWP-Uplink </w:t>
      </w:r>
      <w:r w:rsidRPr="005D1451">
        <w:rPr>
          <w:lang w:val="en-US"/>
        </w:rPr>
        <w:t>for the SL BWP and the active UL BWP, respectively</w:t>
      </w:r>
    </w:p>
    <w:p w14:paraId="593E764B" w14:textId="646FE388" w:rsidR="008A1F79" w:rsidRPr="005D1451" w:rsidRDefault="008A1F79" w:rsidP="008A1F79">
      <w:pPr>
        <w:pStyle w:val="B1"/>
        <w:rPr>
          <w:lang w:val="en-US"/>
        </w:rPr>
      </w:pPr>
      <w:r w:rsidRPr="005D1451">
        <w:rPr>
          <w:lang w:val="en-US"/>
        </w:rPr>
        <w:t>c)</w:t>
      </w:r>
      <w:r w:rsidRPr="005D1451">
        <w:rPr>
          <w:lang w:val="en-US"/>
        </w:rPr>
        <w:tab/>
        <w:t xml:space="preserve">a </w:t>
      </w:r>
      <w:r w:rsidR="00D378BB" w:rsidRPr="00562CE0">
        <w:rPr>
          <w:szCs w:val="21"/>
        </w:rPr>
        <w:t>configured</w:t>
      </w:r>
      <w:r w:rsidRPr="005D1451">
        <w:rPr>
          <w:lang w:val="en-US"/>
        </w:rPr>
        <w:t xml:space="preserve"> </w:t>
      </w:r>
      <w:r>
        <w:rPr>
          <w:lang w:val="en-US"/>
        </w:rPr>
        <w:t>sidelink resource</w:t>
      </w:r>
      <w:r w:rsidRPr="005D1451">
        <w:rPr>
          <w:lang w:val="en-US"/>
        </w:rPr>
        <w:t xml:space="preserve"> pool bitmap</w:t>
      </w:r>
    </w:p>
    <w:p w14:paraId="4C4D09FD" w14:textId="351B3707" w:rsidR="008A1F79" w:rsidRPr="00C61D65" w:rsidRDefault="008A1F79" w:rsidP="008A1F79">
      <w:pPr>
        <w:pStyle w:val="B1"/>
        <w:rPr>
          <w:rFonts w:cs="Arial"/>
          <w:lang w:val="en-US" w:eastAsia="zh-CN"/>
        </w:rPr>
      </w:pPr>
      <w:r w:rsidRPr="005D1451">
        <w:rPr>
          <w:lang w:val="en-US"/>
        </w:rPr>
        <w:t>d)</w:t>
      </w:r>
      <w:r w:rsidRPr="005D1451">
        <w:rPr>
          <w:lang w:val="en-US"/>
        </w:rPr>
        <w:tab/>
      </w:r>
      <w:r w:rsidRPr="005D1451">
        <w:rPr>
          <w:rFonts w:cs="Arial"/>
          <w:lang w:val="en-US" w:eastAsia="zh-CN"/>
        </w:rPr>
        <w:t xml:space="preserve">a value of a period of PSFCH transmission occasion resources for </w:t>
      </w:r>
      <w:r w:rsidR="00D378BB">
        <w:rPr>
          <w:rFonts w:cs="Arial"/>
          <w:lang w:val="en-US" w:eastAsia="zh-CN"/>
        </w:rPr>
        <w:t>a</w:t>
      </w:r>
      <w:r w:rsidR="00D378BB" w:rsidRPr="005D1451">
        <w:rPr>
          <w:rFonts w:cs="Arial"/>
          <w:lang w:val="en-US" w:eastAsia="zh-CN"/>
        </w:rPr>
        <w:t xml:space="preserve"> </w:t>
      </w:r>
      <w:r>
        <w:rPr>
          <w:rFonts w:cs="Arial"/>
          <w:lang w:val="en-US" w:eastAsia="zh-CN"/>
        </w:rPr>
        <w:t>sidelink resource</w:t>
      </w:r>
      <w:r w:rsidRPr="005D1451">
        <w:rPr>
          <w:rFonts w:cs="Arial"/>
          <w:lang w:val="en-US" w:eastAsia="zh-CN"/>
        </w:rPr>
        <w:t xml:space="preserve"> pool provided by a respective </w:t>
      </w:r>
      <w:r w:rsidR="00326E08" w:rsidRPr="00882C4D">
        <w:rPr>
          <w:i/>
          <w:iCs/>
        </w:rPr>
        <w:t>sl-PSFCH-Period</w:t>
      </w:r>
    </w:p>
    <w:p w14:paraId="42851A95" w14:textId="0D89CD75" w:rsidR="008A1F79" w:rsidRPr="005D1451" w:rsidRDefault="008A1F79" w:rsidP="008A1F79">
      <w:pPr>
        <w:rPr>
          <w:lang w:eastAsia="zh-CN"/>
        </w:rPr>
      </w:pPr>
      <w:r w:rsidRPr="005D1451">
        <w:rPr>
          <w:lang w:val="en-US" w:eastAsia="zh-CN"/>
        </w:rPr>
        <w:t>For</w:t>
      </w:r>
      <w:r w:rsidRPr="005D1451">
        <w:rPr>
          <w:rFonts w:hint="eastAsia"/>
          <w:lang w:val="en-US" w:eastAsia="zh-CN"/>
        </w:rPr>
        <w:t xml:space="preserve"> </w:t>
      </w:r>
      <w:r w:rsidRPr="005D1451">
        <w:rPr>
          <w:lang w:val="en-US" w:eastAsia="zh-CN"/>
        </w:rPr>
        <w:t>the set of slot timing values</w:t>
      </w:r>
      <w:r w:rsidRPr="005D1451">
        <w:rPr>
          <w:rFonts w:hint="eastAsia"/>
          <w:vertAlign w:val="subscript"/>
          <w:lang w:val="en-US" w:eastAsia="zh-CN"/>
        </w:rPr>
        <w:t xml:space="preserve"> </w:t>
      </w:r>
      <m:oMath>
        <m:sSub>
          <m:sSubPr>
            <m:ctrlPr>
              <w:rPr>
                <w:rFonts w:ascii="Cambria Math" w:hAnsi="Cambria Math" w:cs="Arial"/>
                <w:i/>
                <w:lang w:eastAsia="zh-CN"/>
              </w:rPr>
            </m:ctrlPr>
          </m:sSubPr>
          <m:e>
            <m:r>
              <w:rPr>
                <w:rFonts w:ascii="Cambria Math" w:hAnsi="Cambria Math" w:cs="Arial"/>
                <w:lang w:eastAsia="zh-CN"/>
              </w:rPr>
              <m:t>K</m:t>
            </m:r>
          </m:e>
          <m:sub>
            <m:r>
              <w:rPr>
                <w:rFonts w:ascii="Cambria Math" w:hAnsi="Cambria Math" w:cs="Arial"/>
                <w:lang w:eastAsia="zh-CN"/>
              </w:rPr>
              <m:t>1</m:t>
            </m:r>
          </m:sub>
        </m:sSub>
      </m:oMath>
      <w:r w:rsidRPr="005D1451">
        <w:rPr>
          <w:rFonts w:hint="eastAsia"/>
          <w:lang w:val="en-US" w:eastAsia="zh-CN"/>
        </w:rPr>
        <w:t>,</w:t>
      </w:r>
      <w:r w:rsidRPr="005D1451">
        <w:rPr>
          <w:lang w:val="en-US" w:eastAsia="zh-CN"/>
        </w:rPr>
        <w:t xml:space="preserve"> the UE determines a set</w:t>
      </w:r>
      <w:r w:rsidRPr="005D1451">
        <w:rPr>
          <w:rFonts w:hint="eastAsia"/>
          <w:lang w:val="en-US" w:eastAsia="zh-CN"/>
        </w:rPr>
        <w:t xml:space="preserve"> </w:t>
      </w:r>
      <m:oMath>
        <m:sSub>
          <m:sSubPr>
            <m:ctrlPr>
              <w:rPr>
                <w:rFonts w:ascii="Cambria Math" w:hAnsi="Cambria Math" w:cs="Arial"/>
                <w:i/>
                <w:lang w:eastAsia="zh-CN"/>
              </w:rPr>
            </m:ctrlPr>
          </m:sSubPr>
          <m:e>
            <m:r>
              <w:rPr>
                <w:rFonts w:ascii="Cambria Math" w:cs="Arial"/>
                <w:lang w:eastAsia="zh-CN"/>
              </w:rPr>
              <m:t>M</m:t>
            </m:r>
          </m:e>
          <m:sub>
            <m:r>
              <w:rPr>
                <w:rFonts w:ascii="Cambria Math" w:cs="Arial"/>
                <w:lang w:eastAsia="zh-CN"/>
              </w:rPr>
              <m:t>A</m:t>
            </m:r>
          </m:sub>
        </m:sSub>
      </m:oMath>
      <w:r w:rsidRPr="005D1451">
        <w:t xml:space="preserve"> </w:t>
      </w:r>
      <w:r w:rsidR="00593338">
        <w:t xml:space="preserve">of </w:t>
      </w:r>
      <w:r w:rsidRPr="005D1451">
        <w:t>occasions for candidate PSSCH transmissions with corresponding PSFCH reception occasions</w:t>
      </w:r>
      <w:r w:rsidRPr="005D1451">
        <w:rPr>
          <w:lang w:eastAsia="zh-CN"/>
        </w:rPr>
        <w:t xml:space="preserve"> </w:t>
      </w:r>
      <w:r w:rsidRPr="005D1451">
        <w:rPr>
          <w:rFonts w:hint="eastAsia"/>
          <w:lang w:eastAsia="zh-CN"/>
        </w:rPr>
        <w:t>according to the following pseudo</w:t>
      </w:r>
      <w:r w:rsidRPr="005D1451">
        <w:rPr>
          <w:lang w:eastAsia="zh-CN"/>
        </w:rPr>
        <w:t>-</w:t>
      </w:r>
      <w:r w:rsidRPr="005D1451">
        <w:rPr>
          <w:rFonts w:hint="eastAsia"/>
          <w:lang w:eastAsia="zh-CN"/>
        </w:rPr>
        <w:t xml:space="preserve">code. </w:t>
      </w:r>
    </w:p>
    <w:p w14:paraId="0759A0A5" w14:textId="77777777" w:rsidR="008A1F79" w:rsidRPr="005D1451" w:rsidRDefault="008A1F79" w:rsidP="008A1F79">
      <w:pPr>
        <w:rPr>
          <w:lang w:eastAsia="zh-CN"/>
        </w:rPr>
      </w:pPr>
      <w:r w:rsidRPr="005D1451">
        <w:rPr>
          <w:rFonts w:hint="eastAsia"/>
          <w:lang w:eastAsia="zh-CN"/>
        </w:rPr>
        <w:t xml:space="preserve">Set </w:t>
      </w:r>
      <m:oMath>
        <m:r>
          <w:rPr>
            <w:rFonts w:ascii="Cambria Math" w:hAnsi="Cambria Math" w:cs="Arial"/>
            <w:lang w:eastAsia="zh-CN"/>
          </w:rPr>
          <m:t>j=0</m:t>
        </m:r>
      </m:oMath>
      <w:r w:rsidRPr="005D1451">
        <w:rPr>
          <w:rFonts w:cs="Arial"/>
          <w:lang w:eastAsia="zh-CN"/>
        </w:rPr>
        <w:t xml:space="preserve"> </w:t>
      </w:r>
      <w:r w:rsidRPr="005D1451">
        <w:t xml:space="preserve">- </w:t>
      </w:r>
      <w:r w:rsidRPr="005D1451">
        <w:rPr>
          <w:rFonts w:hint="eastAsia"/>
          <w:lang w:eastAsia="zh-CN"/>
        </w:rPr>
        <w:t xml:space="preserve">index of </w:t>
      </w:r>
      <w:r w:rsidRPr="005D1451">
        <w:t>occasion for candidate PSSCH transmissions with corresponding PSFCH reception occasions</w:t>
      </w:r>
    </w:p>
    <w:p w14:paraId="14749D9B" w14:textId="77777777" w:rsidR="008A1F79" w:rsidRPr="005D1451" w:rsidRDefault="008A1F79" w:rsidP="008A1F79">
      <w:pPr>
        <w:rPr>
          <w:rFonts w:cs="Arial"/>
          <w:lang w:eastAsia="zh-CN"/>
        </w:rPr>
      </w:pPr>
      <w:r w:rsidRPr="005D1451">
        <w:rPr>
          <w:lang w:eastAsia="zh-CN"/>
        </w:rPr>
        <w:t xml:space="preserve">Set </w:t>
      </w:r>
      <m:oMath>
        <m:sSub>
          <m:sSubPr>
            <m:ctrlPr>
              <w:rPr>
                <w:rFonts w:ascii="Cambria Math" w:hAnsi="Cambria Math" w:cs="Arial"/>
                <w:i/>
                <w:lang w:eastAsia="zh-CN"/>
              </w:rPr>
            </m:ctrlPr>
          </m:sSubPr>
          <m:e>
            <m:r>
              <w:rPr>
                <w:rFonts w:ascii="Cambria Math" w:cs="Arial"/>
                <w:lang w:eastAsia="zh-CN"/>
              </w:rPr>
              <m:t>M</m:t>
            </m:r>
          </m:e>
          <m:sub>
            <m:r>
              <w:rPr>
                <w:rFonts w:ascii="Cambria Math" w:cs="Arial"/>
                <w:lang w:eastAsia="zh-CN"/>
              </w:rPr>
              <m:t>A</m:t>
            </m:r>
          </m:sub>
        </m:sSub>
        <m:r>
          <w:rPr>
            <w:rFonts w:ascii="Cambria Math" w:cs="Arial"/>
            <w:lang w:eastAsia="zh-CN"/>
          </w:rPr>
          <m:t>=</m:t>
        </m:r>
        <m:r>
          <w:rPr>
            <w:rFonts w:ascii="Cambria Math" w:hAnsi="Cambria Math" w:cs="Cambria Math"/>
            <w:lang w:eastAsia="zh-CN"/>
          </w:rPr>
          <m:t>∅</m:t>
        </m:r>
      </m:oMath>
    </w:p>
    <w:p w14:paraId="58CEF79B" w14:textId="77777777" w:rsidR="008A1F79" w:rsidRPr="005D1451" w:rsidRDefault="008A1F79" w:rsidP="008A1F79">
      <w:pPr>
        <w:rPr>
          <w:lang w:eastAsia="zh-CN"/>
        </w:rPr>
      </w:pPr>
      <w:r w:rsidRPr="005D1451">
        <w:rPr>
          <w:rFonts w:cs="Arial"/>
          <w:lang w:eastAsia="zh-CN"/>
        </w:rPr>
        <w:t xml:space="preserve">Set </w:t>
      </w:r>
      <w:r w:rsidRPr="005D1451">
        <w:rPr>
          <w:rFonts w:ascii="Freestyle Script" w:hAnsi="Freestyle Script" w:cs="Arial"/>
          <w:lang w:eastAsia="zh-CN"/>
        </w:rPr>
        <w:t>C</w:t>
      </w:r>
      <m:oMath>
        <m:d>
          <m:dPr>
            <m:ctrlPr>
              <w:rPr>
                <w:rFonts w:ascii="Cambria Math" w:hAnsi="Cambria Math" w:cstheme="minorHAnsi"/>
                <w:i/>
                <w:lang w:eastAsia="zh-CN"/>
              </w:rPr>
            </m:ctrlPr>
          </m:dPr>
          <m:e>
            <m:sSub>
              <m:sSubPr>
                <m:ctrlPr>
                  <w:rPr>
                    <w:rFonts w:ascii="Cambria Math" w:hAnsi="Cambria Math" w:cstheme="minorHAnsi"/>
                    <w:i/>
                    <w:lang w:eastAsia="zh-CN"/>
                  </w:rPr>
                </m:ctrlPr>
              </m:sSubPr>
              <m:e>
                <m:r>
                  <w:rPr>
                    <w:rFonts w:ascii="Cambria Math" w:hAnsi="Cambria Math" w:cstheme="minorHAnsi"/>
                    <w:lang w:eastAsia="zh-CN"/>
                  </w:rPr>
                  <m:t>K</m:t>
                </m:r>
              </m:e>
              <m:sub>
                <m:r>
                  <w:rPr>
                    <w:rFonts w:ascii="Cambria Math" w:hAnsi="Cambria Math" w:cstheme="minorHAnsi"/>
                    <w:lang w:eastAsia="zh-CN"/>
                  </w:rPr>
                  <m:t>1</m:t>
                </m:r>
              </m:sub>
            </m:sSub>
          </m:e>
        </m:d>
      </m:oMath>
      <w:r w:rsidRPr="005D1451">
        <w:t xml:space="preserve"> to the cardinality of set </w:t>
      </w:r>
      <m:oMath>
        <m:sSub>
          <m:sSubPr>
            <m:ctrlPr>
              <w:rPr>
                <w:rFonts w:ascii="Cambria Math" w:hAnsi="Cambria Math" w:cs="Arial"/>
                <w:i/>
                <w:lang w:eastAsia="zh-CN"/>
              </w:rPr>
            </m:ctrlPr>
          </m:sSubPr>
          <m:e>
            <m:r>
              <w:rPr>
                <w:rFonts w:ascii="Cambria Math" w:hAnsi="Cambria Math" w:cs="Arial"/>
                <w:lang w:eastAsia="zh-CN"/>
              </w:rPr>
              <m:t>K</m:t>
            </m:r>
          </m:e>
          <m:sub>
            <m:r>
              <w:rPr>
                <w:rFonts w:ascii="Cambria Math" w:hAnsi="Cambria Math" w:cs="Arial"/>
                <w:lang w:eastAsia="zh-CN"/>
              </w:rPr>
              <m:t>1</m:t>
            </m:r>
          </m:sub>
        </m:sSub>
      </m:oMath>
    </w:p>
    <w:p w14:paraId="16FDED46" w14:textId="77777777" w:rsidR="008A1F79" w:rsidRPr="005D1451" w:rsidRDefault="008A1F79" w:rsidP="008A1F79">
      <w:pPr>
        <w:rPr>
          <w:rFonts w:cs="Arial"/>
          <w:lang w:eastAsia="zh-CN"/>
        </w:rPr>
      </w:pPr>
      <w:r w:rsidRPr="005D1451">
        <w:rPr>
          <w:rFonts w:hint="eastAsia"/>
          <w:lang w:eastAsia="zh-CN"/>
        </w:rPr>
        <w:t xml:space="preserve">Set </w:t>
      </w:r>
      <m:oMath>
        <m:r>
          <w:rPr>
            <w:rFonts w:ascii="Cambria Math" w:hAnsi="Cambria Math" w:cs="Arial"/>
            <w:lang w:eastAsia="zh-CN"/>
          </w:rPr>
          <m:t>k=0</m:t>
        </m:r>
      </m:oMath>
      <w:r w:rsidRPr="005D1451">
        <w:rPr>
          <w:lang w:eastAsia="zh-CN"/>
        </w:rPr>
        <w:t xml:space="preserve"> –</w:t>
      </w:r>
      <w:r w:rsidRPr="005D1451">
        <w:rPr>
          <w:rFonts w:hint="eastAsia"/>
          <w:lang w:eastAsia="zh-CN"/>
        </w:rPr>
        <w:t xml:space="preserve"> index of slot timing</w:t>
      </w:r>
      <w:r w:rsidRPr="005D1451">
        <w:rPr>
          <w:lang w:eastAsia="zh-CN"/>
        </w:rPr>
        <w:t xml:space="preserve"> values</w:t>
      </w:r>
      <w:r w:rsidRPr="005D1451">
        <w:rPr>
          <w:rFonts w:hint="eastAsia"/>
          <w:lang w:eastAsia="zh-CN"/>
        </w:rPr>
        <w:t xml:space="preserve"> </w:t>
      </w:r>
      <m:oMath>
        <m:sSub>
          <m:sSubPr>
            <m:ctrlPr>
              <w:rPr>
                <w:rFonts w:ascii="Cambria Math" w:hAnsi="Cambria Math" w:cs="Arial"/>
                <w:i/>
                <w:lang w:eastAsia="zh-CN"/>
              </w:rPr>
            </m:ctrlPr>
          </m:sSubPr>
          <m:e>
            <m:r>
              <w:rPr>
                <w:rFonts w:ascii="Cambria Math" w:hAnsi="Cambria Math" w:cs="Arial"/>
                <w:lang w:eastAsia="zh-CN"/>
              </w:rPr>
              <m:t>K</m:t>
            </m:r>
          </m:e>
          <m:sub>
            <m:r>
              <w:rPr>
                <w:rFonts w:ascii="Cambria Math" w:hAnsi="Cambria Math" w:cs="Arial"/>
                <w:lang w:eastAsia="zh-CN"/>
              </w:rPr>
              <m:t>1,k</m:t>
            </m:r>
          </m:sub>
        </m:sSub>
      </m:oMath>
      <w:r w:rsidRPr="005D1451">
        <w:rPr>
          <w:rFonts w:cs="Arial"/>
          <w:lang w:eastAsia="zh-CN"/>
        </w:rPr>
        <w:t>, in descending order of the slot timing values,</w:t>
      </w:r>
      <w:r w:rsidRPr="005D1451">
        <w:t xml:space="preserve"> </w:t>
      </w:r>
      <w:r w:rsidRPr="005D1451">
        <w:rPr>
          <w:rFonts w:hint="eastAsia"/>
          <w:lang w:eastAsia="zh-CN"/>
        </w:rPr>
        <w:t xml:space="preserve">in set </w:t>
      </w:r>
      <m:oMath>
        <m:sSub>
          <m:sSubPr>
            <m:ctrlPr>
              <w:rPr>
                <w:rFonts w:ascii="Cambria Math" w:hAnsi="Cambria Math" w:cs="Arial"/>
                <w:i/>
                <w:lang w:eastAsia="zh-CN"/>
              </w:rPr>
            </m:ctrlPr>
          </m:sSubPr>
          <m:e>
            <m:r>
              <w:rPr>
                <w:rFonts w:ascii="Cambria Math" w:hAnsi="Cambria Math" w:cs="Arial"/>
                <w:lang w:eastAsia="zh-CN"/>
              </w:rPr>
              <m:t>K</m:t>
            </m:r>
          </m:e>
          <m:sub>
            <m:r>
              <w:rPr>
                <w:rFonts w:ascii="Cambria Math" w:hAnsi="Cambria Math" w:cs="Arial"/>
                <w:lang w:eastAsia="zh-CN"/>
              </w:rPr>
              <m:t>1</m:t>
            </m:r>
          </m:sub>
        </m:sSub>
      </m:oMath>
      <w:r w:rsidRPr="005D1451">
        <w:t xml:space="preserve"> </w:t>
      </w:r>
    </w:p>
    <w:p w14:paraId="2684427D" w14:textId="77777777" w:rsidR="008A1F79" w:rsidRPr="005D1451" w:rsidRDefault="008A1F79" w:rsidP="008A1F79">
      <w:pPr>
        <w:rPr>
          <w:lang w:eastAsia="zh-CN"/>
        </w:rPr>
      </w:pPr>
      <w:r w:rsidRPr="005D1451">
        <w:rPr>
          <w:rFonts w:cs="Arial"/>
        </w:rPr>
        <w:t xml:space="preserve">Set </w:t>
      </w:r>
      <m:oMath>
        <m:sSub>
          <m:sSubPr>
            <m:ctrlPr>
              <w:rPr>
                <w:rFonts w:ascii="Cambria Math" w:hAnsi="Cambria Math"/>
                <w:i/>
              </w:rPr>
            </m:ctrlPr>
          </m:sSubPr>
          <m:e>
            <m:r>
              <w:rPr>
                <w:rFonts w:ascii="Cambria Math"/>
              </w:rPr>
              <m:t>N</m:t>
            </m:r>
          </m:e>
          <m:sub>
            <m:r>
              <w:rPr>
                <w:rFonts w:ascii="Cambria Math"/>
              </w:rPr>
              <m:t>PSFCH</m:t>
            </m:r>
          </m:sub>
        </m:sSub>
      </m:oMath>
      <w:r w:rsidRPr="005D1451">
        <w:rPr>
          <w:rFonts w:cs="Arial"/>
        </w:rPr>
        <w:t xml:space="preserve"> to the value of the period of PSFCH transmission occasion resources for the </w:t>
      </w:r>
      <w:r>
        <w:rPr>
          <w:rFonts w:cs="Arial"/>
        </w:rPr>
        <w:t>sidelink resource</w:t>
      </w:r>
      <w:r w:rsidRPr="005D1451">
        <w:rPr>
          <w:rFonts w:cs="Arial"/>
        </w:rPr>
        <w:t xml:space="preserve"> pool</w:t>
      </w:r>
    </w:p>
    <w:p w14:paraId="3AF787C2" w14:textId="77777777" w:rsidR="008A1F79" w:rsidRPr="005D1451" w:rsidRDefault="008A1F79" w:rsidP="008A1F79">
      <w:r w:rsidRPr="005D1451">
        <w:rPr>
          <w:rFonts w:hint="eastAsia"/>
          <w:lang w:eastAsia="zh-CN"/>
        </w:rPr>
        <w:t xml:space="preserve">while </w:t>
      </w:r>
      <m:oMath>
        <m:r>
          <w:rPr>
            <w:rFonts w:ascii="Cambria Math" w:hAnsi="Cambria Math" w:cs="Arial"/>
            <w:lang w:eastAsia="zh-CN"/>
          </w:rPr>
          <m:t>k&lt;</m:t>
        </m:r>
      </m:oMath>
      <w:r w:rsidRPr="005D1451">
        <w:rPr>
          <w:rFonts w:ascii="Freestyle Script" w:hAnsi="Freestyle Script" w:cs="Arial"/>
          <w:lang w:eastAsia="zh-CN"/>
        </w:rPr>
        <w:t xml:space="preserve"> C</w:t>
      </w:r>
      <m:oMath>
        <m:d>
          <m:dPr>
            <m:ctrlPr>
              <w:rPr>
                <w:rFonts w:ascii="Cambria Math" w:hAnsi="Cambria Math" w:cstheme="minorHAnsi"/>
                <w:i/>
                <w:lang w:eastAsia="zh-CN"/>
              </w:rPr>
            </m:ctrlPr>
          </m:dPr>
          <m:e>
            <m:sSub>
              <m:sSubPr>
                <m:ctrlPr>
                  <w:rPr>
                    <w:rFonts w:ascii="Cambria Math" w:hAnsi="Cambria Math" w:cstheme="minorHAnsi"/>
                    <w:i/>
                    <w:lang w:eastAsia="zh-CN"/>
                  </w:rPr>
                </m:ctrlPr>
              </m:sSubPr>
              <m:e>
                <m:r>
                  <w:rPr>
                    <w:rFonts w:ascii="Cambria Math" w:hAnsi="Cambria Math" w:cstheme="minorHAnsi"/>
                    <w:lang w:eastAsia="zh-CN"/>
                  </w:rPr>
                  <m:t>K</m:t>
                </m:r>
              </m:e>
              <m:sub>
                <m:r>
                  <w:rPr>
                    <w:rFonts w:ascii="Cambria Math" w:hAnsi="Cambria Math" w:cstheme="minorHAnsi"/>
                    <w:lang w:eastAsia="zh-CN"/>
                  </w:rPr>
                  <m:t>1</m:t>
                </m:r>
              </m:sub>
            </m:sSub>
          </m:e>
        </m:d>
      </m:oMath>
      <w:r w:rsidRPr="005D1451">
        <w:rPr>
          <w:rFonts w:hint="eastAsia"/>
          <w:lang w:eastAsia="zh-CN"/>
        </w:rPr>
        <w:t xml:space="preserve"> </w:t>
      </w:r>
    </w:p>
    <w:p w14:paraId="451FE8DB" w14:textId="77777777" w:rsidR="008A1F79" w:rsidRPr="005D1451" w:rsidRDefault="008A1F79" w:rsidP="008A1F79">
      <w:pPr>
        <w:pStyle w:val="B1"/>
        <w:rPr>
          <w:lang w:eastAsia="zh-CN"/>
        </w:rPr>
      </w:pPr>
      <w:r w:rsidRPr="005D1451">
        <w:t xml:space="preserve">if </w:t>
      </w:r>
      <m:oMath>
        <m:func>
          <m:funcPr>
            <m:ctrlPr>
              <w:rPr>
                <w:rFonts w:ascii="Cambria Math" w:hAnsi="Cambria Math"/>
                <w:i/>
              </w:rPr>
            </m:ctrlPr>
          </m:funcPr>
          <m:fName>
            <m:r>
              <w:rPr>
                <w:rFonts w:ascii="Cambria Math"/>
              </w:rPr>
              <m:t>mod</m:t>
            </m:r>
          </m:fName>
          <m:e>
            <m:r>
              <w:rPr>
                <w:rFonts w:ascii="Cambria Math"/>
              </w:rPr>
              <m:t> </m:t>
            </m:r>
          </m:e>
        </m:func>
        <m:d>
          <m:dPr>
            <m:ctrlPr>
              <w:rPr>
                <w:rFonts w:ascii="Cambria Math" w:hAnsi="Cambria Math"/>
                <w:i/>
              </w:rPr>
            </m:ctrlPr>
          </m:dPr>
          <m:e>
            <m:sSub>
              <m:sSubPr>
                <m:ctrlPr>
                  <w:rPr>
                    <w:rFonts w:ascii="Cambria Math" w:hAnsi="Cambria Math"/>
                    <w:i/>
                  </w:rPr>
                </m:ctrlPr>
              </m:sSubPr>
              <m:e>
                <m:r>
                  <w:rPr>
                    <w:rFonts w:ascii="Cambria Math"/>
                  </w:rPr>
                  <m:t>n</m:t>
                </m:r>
              </m:e>
              <m:sub>
                <m:r>
                  <w:rPr>
                    <w:rFonts w:ascii="Cambria Math"/>
                  </w:rPr>
                  <m:t>U</m:t>
                </m:r>
              </m:sub>
            </m:sSub>
            <m:r>
              <w:rPr>
                <w:rFonts w:ascii="Cambria Math"/>
              </w:rPr>
              <m:t>-</m:t>
            </m:r>
            <m:sSub>
              <m:sSubPr>
                <m:ctrlPr>
                  <w:rPr>
                    <w:rFonts w:ascii="Cambria Math" w:hAnsi="Cambria Math"/>
                    <w:i/>
                  </w:rPr>
                </m:ctrlPr>
              </m:sSubPr>
              <m:e>
                <m:r>
                  <w:rPr>
                    <w:rFonts w:ascii="Cambria Math"/>
                  </w:rPr>
                  <m:t>K</m:t>
                </m:r>
              </m:e>
              <m:sub>
                <m:r>
                  <w:rPr>
                    <w:rFonts w:ascii="Cambria Math"/>
                  </w:rPr>
                  <m:t>1,k</m:t>
                </m:r>
              </m:sub>
            </m:sSub>
            <m:r>
              <w:rPr>
                <w:rFonts w:ascii="Cambria Math"/>
              </w:rPr>
              <m:t>+1,</m:t>
            </m:r>
            <m:func>
              <m:funcPr>
                <m:ctrlPr>
                  <w:rPr>
                    <w:rFonts w:ascii="Cambria Math" w:hAnsi="Cambria Math"/>
                    <w:i/>
                  </w:rPr>
                </m:ctrlPr>
              </m:funcPr>
              <m:fName>
                <m:r>
                  <w:rPr>
                    <w:rFonts w:ascii="Cambria Math"/>
                  </w:rPr>
                  <m:t>max</m:t>
                </m:r>
              </m:fName>
              <m:e>
                <m:d>
                  <m:dPr>
                    <m:ctrlPr>
                      <w:rPr>
                        <w:rFonts w:ascii="Cambria Math" w:hAnsi="Cambria Math"/>
                        <w:i/>
                      </w:rPr>
                    </m:ctrlPr>
                  </m:dPr>
                  <m:e>
                    <m:sSup>
                      <m:sSupPr>
                        <m:ctrlPr>
                          <w:rPr>
                            <w:rFonts w:ascii="Cambria Math" w:hAnsi="Cambria Math"/>
                            <w:i/>
                          </w:rPr>
                        </m:ctrlPr>
                      </m:sSupPr>
                      <m:e>
                        <m:r>
                          <w:rPr>
                            <w:rFonts w:ascii="Cambria Math"/>
                          </w:rPr>
                          <m:t>2</m:t>
                        </m:r>
                      </m:e>
                      <m:sup>
                        <m:sSub>
                          <m:sSubPr>
                            <m:ctrlPr>
                              <w:rPr>
                                <w:rFonts w:ascii="Cambria Math" w:hAnsi="Cambria Math"/>
                                <w:i/>
                              </w:rPr>
                            </m:ctrlPr>
                          </m:sSubPr>
                          <m:e>
                            <m:r>
                              <w:rPr>
                                <w:rFonts w:ascii="Cambria Math"/>
                              </w:rPr>
                              <m:t>μ</m:t>
                            </m:r>
                          </m:e>
                          <m:sub>
                            <m:r>
                              <m:rPr>
                                <m:nor/>
                              </m:rPr>
                              <w:rPr>
                                <w:rFonts w:ascii="Cambria Math"/>
                              </w:rPr>
                              <m:t>UL</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lang w:val="en-US"/>
                              </w:rPr>
                              <m:t>S</m:t>
                            </m:r>
                            <m:r>
                              <m:rPr>
                                <m:nor/>
                              </m:rPr>
                              <w:rPr>
                                <w:rFonts w:ascii="Cambria Math"/>
                              </w:rPr>
                              <m:t>L</m:t>
                            </m:r>
                            <m:ctrlPr>
                              <w:rPr>
                                <w:rFonts w:ascii="Cambria Math" w:hAnsi="Cambria Math"/>
                              </w:rPr>
                            </m:ctrlPr>
                          </m:sub>
                        </m:sSub>
                      </m:sup>
                    </m:sSup>
                    <m:r>
                      <w:rPr>
                        <w:rFonts w:ascii="Cambria Math"/>
                      </w:rPr>
                      <m:t>,1</m:t>
                    </m:r>
                  </m:e>
                </m:d>
              </m:e>
            </m:func>
          </m:e>
        </m:d>
        <m:r>
          <w:rPr>
            <w:rFonts w:ascii="Cambria Math"/>
          </w:rPr>
          <m:t>=0</m:t>
        </m:r>
      </m:oMath>
      <w:r w:rsidRPr="005D1451">
        <w:t xml:space="preserve"> </w:t>
      </w:r>
    </w:p>
    <w:p w14:paraId="7434E90E" w14:textId="77777777" w:rsidR="008A1F79" w:rsidRPr="005D1451" w:rsidRDefault="008A1F79" w:rsidP="008A1F79">
      <w:pPr>
        <w:pStyle w:val="B2"/>
        <w:rPr>
          <w:lang w:eastAsia="zh-CN"/>
        </w:rPr>
      </w:pPr>
      <w:r w:rsidRPr="005D1451">
        <w:rPr>
          <w:rFonts w:hint="eastAsia"/>
          <w:lang w:eastAsia="zh-CN"/>
        </w:rPr>
        <w:t xml:space="preserve">Set </w:t>
      </w:r>
      <m:oMath>
        <m:sSub>
          <m:sSubPr>
            <m:ctrlPr>
              <w:rPr>
                <w:rFonts w:ascii="Cambria Math" w:hAnsi="Cambria Math"/>
                <w:i/>
              </w:rPr>
            </m:ctrlPr>
          </m:sSubPr>
          <m:e>
            <m:r>
              <w:rPr>
                <w:rFonts w:ascii="Cambria Math"/>
              </w:rPr>
              <m:t>n</m:t>
            </m:r>
          </m:e>
          <m:sub>
            <m:r>
              <w:rPr>
                <w:rFonts w:ascii="Cambria Math"/>
              </w:rPr>
              <m:t>S</m:t>
            </m:r>
          </m:sub>
        </m:sSub>
        <m:r>
          <w:rPr>
            <w:rFonts w:ascii="Cambria Math"/>
          </w:rPr>
          <m:t>=0</m:t>
        </m:r>
      </m:oMath>
      <w:r w:rsidRPr="005D1451">
        <w:t xml:space="preserve"> </w:t>
      </w:r>
      <w:r w:rsidRPr="005D1451">
        <w:rPr>
          <w:lang w:eastAsia="zh-CN"/>
        </w:rPr>
        <w:t>–</w:t>
      </w:r>
      <w:r w:rsidRPr="005D1451">
        <w:rPr>
          <w:rFonts w:hint="eastAsia"/>
          <w:lang w:eastAsia="zh-CN"/>
        </w:rPr>
        <w:t xml:space="preserve"> index of </w:t>
      </w:r>
      <w:r w:rsidRPr="005D1451">
        <w:rPr>
          <w:lang w:eastAsia="zh-CN"/>
        </w:rPr>
        <w:t xml:space="preserve">a </w:t>
      </w:r>
      <w:r w:rsidRPr="005D1451">
        <w:rPr>
          <w:lang w:val="en-US" w:eastAsia="zh-CN"/>
        </w:rPr>
        <w:t>S</w:t>
      </w:r>
      <w:r w:rsidRPr="005D1451">
        <w:rPr>
          <w:lang w:eastAsia="zh-CN"/>
        </w:rPr>
        <w:t xml:space="preserve">L </w:t>
      </w:r>
      <w:r w:rsidRPr="005D1451">
        <w:rPr>
          <w:rFonts w:hint="eastAsia"/>
          <w:lang w:eastAsia="zh-CN"/>
        </w:rPr>
        <w:t xml:space="preserve">slot </w:t>
      </w:r>
      <w:r w:rsidRPr="005D1451">
        <w:rPr>
          <w:lang w:eastAsia="zh-CN"/>
        </w:rPr>
        <w:t>within an UL slot</w:t>
      </w:r>
    </w:p>
    <w:p w14:paraId="2CDDB393" w14:textId="77777777" w:rsidR="008A1F79" w:rsidRPr="005D1451" w:rsidRDefault="008A1F79" w:rsidP="008A1F79">
      <w:pPr>
        <w:pStyle w:val="B2"/>
        <w:rPr>
          <w:lang w:val="en-US" w:eastAsia="zh-CN"/>
        </w:rPr>
      </w:pPr>
      <w:r w:rsidRPr="005D1451">
        <w:rPr>
          <w:lang w:val="en-US" w:eastAsia="zh-CN"/>
        </w:rPr>
        <w:t xml:space="preserve">while </w:t>
      </w:r>
      <m:oMath>
        <m:sSub>
          <m:sSubPr>
            <m:ctrlPr>
              <w:rPr>
                <w:rFonts w:ascii="Cambria Math" w:hAnsi="Cambria Math"/>
                <w:i/>
              </w:rPr>
            </m:ctrlPr>
          </m:sSubPr>
          <m:e>
            <m:r>
              <w:rPr>
                <w:rFonts w:ascii="Cambria Math"/>
              </w:rPr>
              <m:t>n</m:t>
            </m:r>
          </m:e>
          <m:sub>
            <m:r>
              <w:rPr>
                <w:rFonts w:ascii="Cambria Math"/>
              </w:rPr>
              <m:t>S</m:t>
            </m:r>
          </m:sub>
        </m:sSub>
        <m:r>
          <w:rPr>
            <w:rFonts w:ascii="Cambria Math"/>
          </w:rPr>
          <m:t>&lt;</m:t>
        </m:r>
        <m:func>
          <m:funcPr>
            <m:ctrlPr>
              <w:rPr>
                <w:rFonts w:ascii="Cambria Math" w:hAnsi="Cambria Math"/>
                <w:i/>
              </w:rPr>
            </m:ctrlPr>
          </m:funcPr>
          <m:fName>
            <m:r>
              <w:rPr>
                <w:rFonts w:ascii="Cambria Math"/>
              </w:rPr>
              <m:t>max</m:t>
            </m:r>
          </m:fName>
          <m:e>
            <m:d>
              <m:dPr>
                <m:ctrlPr>
                  <w:rPr>
                    <w:rFonts w:ascii="Cambria Math" w:hAnsi="Cambria Math"/>
                    <w:i/>
                  </w:rPr>
                </m:ctrlPr>
              </m:dPr>
              <m:e>
                <m:sSup>
                  <m:sSupPr>
                    <m:ctrlPr>
                      <w:rPr>
                        <w:rFonts w:ascii="Cambria Math" w:hAnsi="Cambria Math"/>
                        <w:i/>
                      </w:rPr>
                    </m:ctrlPr>
                  </m:sSupPr>
                  <m:e>
                    <m:r>
                      <w:rPr>
                        <w:rFonts w:ascii="Cambria Math"/>
                      </w:rPr>
                      <m:t>2</m:t>
                    </m:r>
                  </m:e>
                  <m:sup>
                    <m:sSub>
                      <m:sSubPr>
                        <m:ctrlPr>
                          <w:rPr>
                            <w:rFonts w:ascii="Cambria Math" w:hAnsi="Cambria Math"/>
                            <w:i/>
                          </w:rPr>
                        </m:ctrlPr>
                      </m:sSubPr>
                      <m:e>
                        <m:r>
                          <w:rPr>
                            <w:rFonts w:ascii="Cambria Math"/>
                          </w:rPr>
                          <m:t>μ</m:t>
                        </m:r>
                      </m:e>
                      <m:sub>
                        <m:r>
                          <m:rPr>
                            <m:nor/>
                          </m:rPr>
                          <w:rPr>
                            <w:rFonts w:ascii="Cambria Math"/>
                            <w:lang w:val="en-US"/>
                          </w:rPr>
                          <m:t>S</m:t>
                        </m:r>
                        <m:r>
                          <m:rPr>
                            <m:nor/>
                          </m:rPr>
                          <w:rPr>
                            <w:rFonts w:ascii="Cambria Math"/>
                          </w:rPr>
                          <m:t>L</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UL</m:t>
                        </m:r>
                        <m:ctrlPr>
                          <w:rPr>
                            <w:rFonts w:ascii="Cambria Math" w:hAnsi="Cambria Math"/>
                          </w:rPr>
                        </m:ctrlPr>
                      </m:sub>
                    </m:sSub>
                  </m:sup>
                </m:sSup>
                <m:r>
                  <w:rPr>
                    <w:rFonts w:ascii="Cambria Math"/>
                  </w:rPr>
                  <m:t>,1</m:t>
                </m:r>
              </m:e>
            </m:d>
          </m:e>
        </m:func>
      </m:oMath>
      <w:r w:rsidRPr="005D1451">
        <w:rPr>
          <w:rFonts w:hint="eastAsia"/>
          <w:lang w:eastAsia="zh-CN"/>
        </w:rPr>
        <w:t xml:space="preserve"> </w:t>
      </w:r>
    </w:p>
    <w:p w14:paraId="503EE10C" w14:textId="41CBC0F1" w:rsidR="008A1F79" w:rsidRPr="005D1451" w:rsidRDefault="008A1F79" w:rsidP="008A1F79">
      <w:pPr>
        <w:pStyle w:val="B3"/>
        <w:ind w:left="851" w:firstLine="0"/>
        <w:rPr>
          <w:lang w:val="en-US"/>
        </w:rPr>
      </w:pPr>
      <w:r w:rsidRPr="005D1451">
        <w:rPr>
          <w:lang w:val="en-US"/>
        </w:rPr>
        <w:t xml:space="preserve">if slot </w:t>
      </w:r>
      <m:oMath>
        <m:sSub>
          <m:sSubPr>
            <m:ctrlPr>
              <w:rPr>
                <w:rFonts w:ascii="Cambria Math" w:hAnsi="Cambria Math" w:cs="Arial"/>
                <w:i/>
                <w:lang w:eastAsia="zh-CN"/>
              </w:rPr>
            </m:ctrlPr>
          </m:sSubPr>
          <m:e>
            <m:r>
              <w:rPr>
                <w:rFonts w:ascii="Cambria Math" w:hAnsi="Cambria Math" w:cs="Arial"/>
                <w:lang w:eastAsia="zh-CN"/>
              </w:rPr>
              <m:t>n</m:t>
            </m:r>
          </m:e>
          <m:sub>
            <m:r>
              <w:rPr>
                <w:rFonts w:ascii="Cambria Math" w:hAnsi="Cambria Math" w:cs="Arial"/>
                <w:lang w:eastAsia="zh-CN"/>
              </w:rPr>
              <m:t>U</m:t>
            </m:r>
          </m:sub>
        </m:sSub>
      </m:oMath>
      <w:r w:rsidRPr="005D1451">
        <w:rPr>
          <w:lang w:val="en-US"/>
        </w:rPr>
        <w:t xml:space="preserve"> starts at a same time as or after a slot for an active UL BWP change on the </w:t>
      </w:r>
      <w:r w:rsidR="00B566A7" w:rsidRPr="00622137">
        <w:t>serving cell of PUCCH transmission</w:t>
      </w:r>
      <w:r w:rsidRPr="005D1451">
        <w:rPr>
          <w:lang w:val="en-US"/>
        </w:rPr>
        <w:t xml:space="preserve"> and slot </w:t>
      </w:r>
      <m:oMath>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rPr>
                      <m:t>n</m:t>
                    </m:r>
                  </m:e>
                  <m:sub>
                    <m:r>
                      <w:rPr>
                        <w:rFonts w:ascii="Cambria Math"/>
                      </w:rPr>
                      <m:t>U</m:t>
                    </m:r>
                  </m:sub>
                </m:sSub>
                <m:r>
                  <w:rPr>
                    <w:rFonts w:ascii="Cambria Math"/>
                  </w:rPr>
                  <m:t>-</m:t>
                </m:r>
                <m:sSub>
                  <m:sSubPr>
                    <m:ctrlPr>
                      <w:rPr>
                        <w:rFonts w:ascii="Cambria Math" w:hAnsi="Cambria Math"/>
                        <w:i/>
                      </w:rPr>
                    </m:ctrlPr>
                  </m:sSubPr>
                  <m:e>
                    <m:r>
                      <w:rPr>
                        <w:rFonts w:ascii="Cambria Math"/>
                      </w:rPr>
                      <m:t>K</m:t>
                    </m:r>
                  </m:e>
                  <m:sub>
                    <m:r>
                      <w:rPr>
                        <w:rFonts w:ascii="Cambria Math"/>
                      </w:rPr>
                      <m:t>1,k</m:t>
                    </m:r>
                  </m:sub>
                </m:sSub>
              </m:e>
            </m:d>
            <m:r>
              <w:rPr>
                <w:rFonts w:ascii="Cambria Math" w:hAnsi="Cambria Math" w:cs="Cambria Math"/>
              </w:rPr>
              <m:t>⋅</m:t>
            </m:r>
            <m:sSup>
              <m:sSupPr>
                <m:ctrlPr>
                  <w:rPr>
                    <w:rFonts w:ascii="Cambria Math" w:hAnsi="Cambria Math"/>
                    <w:i/>
                  </w:rPr>
                </m:ctrlPr>
              </m:sSupPr>
              <m:e>
                <m:r>
                  <w:rPr>
                    <w:rFonts w:ascii="Cambria Math"/>
                  </w:rPr>
                  <m:t>2</m:t>
                </m:r>
              </m:e>
              <m:sup>
                <m:sSub>
                  <m:sSubPr>
                    <m:ctrlPr>
                      <w:rPr>
                        <w:rFonts w:ascii="Cambria Math" w:hAnsi="Cambria Math"/>
                        <w:i/>
                      </w:rPr>
                    </m:ctrlPr>
                  </m:sSubPr>
                  <m:e>
                    <m:r>
                      <w:rPr>
                        <w:rFonts w:ascii="Cambria Math"/>
                      </w:rPr>
                      <m:t>μ</m:t>
                    </m:r>
                  </m:e>
                  <m:sub>
                    <m:r>
                      <m:rPr>
                        <m:nor/>
                      </m:rPr>
                      <w:rPr>
                        <w:rFonts w:ascii="Cambria Math"/>
                      </w:rPr>
                      <m:t>SL</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UL</m:t>
                    </m:r>
                    <m:ctrlPr>
                      <w:rPr>
                        <w:rFonts w:ascii="Cambria Math" w:hAnsi="Cambria Math"/>
                      </w:rPr>
                    </m:ctrlPr>
                  </m:sub>
                </m:sSub>
              </m:sup>
            </m:sSup>
          </m:e>
        </m:d>
        <m:r>
          <w:rPr>
            <w:rFonts w:ascii="Cambria Math"/>
          </w:rPr>
          <m:t>+</m:t>
        </m:r>
        <m:sSub>
          <m:sSubPr>
            <m:ctrlPr>
              <w:rPr>
                <w:rFonts w:ascii="Cambria Math" w:hAnsi="Cambria Math"/>
                <w:i/>
              </w:rPr>
            </m:ctrlPr>
          </m:sSubPr>
          <m:e>
            <m:r>
              <w:rPr>
                <w:rFonts w:ascii="Cambria Math"/>
              </w:rPr>
              <m:t>n</m:t>
            </m:r>
          </m:e>
          <m:sub>
            <m:r>
              <w:rPr>
                <w:rFonts w:ascii="Cambria Math"/>
              </w:rPr>
              <m:t>S</m:t>
            </m:r>
          </m:sub>
        </m:sSub>
      </m:oMath>
      <w:r w:rsidRPr="005D1451">
        <w:rPr>
          <w:lang w:val="en-US"/>
        </w:rPr>
        <w:t xml:space="preserve"> is before the slot for the active UL BWP change on the </w:t>
      </w:r>
      <w:r w:rsidR="00B566A7" w:rsidRPr="00622137">
        <w:t>serving cell of PUCCH transmission</w:t>
      </w:r>
      <w:r w:rsidRPr="005D1451">
        <w:rPr>
          <w:lang w:val="en-US"/>
        </w:rPr>
        <w:t xml:space="preserve"> </w:t>
      </w:r>
    </w:p>
    <w:p w14:paraId="174C709D" w14:textId="77777777" w:rsidR="008A1F79" w:rsidRPr="005D1451" w:rsidRDefault="00000000" w:rsidP="008A1F79">
      <w:pPr>
        <w:pStyle w:val="B4"/>
      </w:pPr>
      <m:oMath>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oMath>
      <w:r w:rsidR="008A1F79" w:rsidRPr="005D1451">
        <w:t xml:space="preserve">; </w:t>
      </w:r>
    </w:p>
    <w:p w14:paraId="6A88F60C" w14:textId="77777777" w:rsidR="008A1F79" w:rsidRPr="005D1451" w:rsidRDefault="008A1F79" w:rsidP="008A1F79">
      <w:pPr>
        <w:pStyle w:val="B3"/>
        <w:rPr>
          <w:lang w:val="en-US"/>
        </w:rPr>
      </w:pPr>
      <w:r w:rsidRPr="005D1451">
        <w:rPr>
          <w:lang w:val="en-US"/>
        </w:rPr>
        <w:t xml:space="preserve">else </w:t>
      </w:r>
    </w:p>
    <w:p w14:paraId="23542159" w14:textId="4D5FF695" w:rsidR="008A1F79" w:rsidRPr="005D1451" w:rsidRDefault="008A1F79" w:rsidP="008A1F79">
      <w:pPr>
        <w:ind w:left="1134"/>
      </w:pPr>
      <w:r w:rsidRPr="005D1451">
        <w:rPr>
          <w:rFonts w:cs="Arial"/>
          <w:lang w:eastAsia="zh-CN"/>
        </w:rPr>
        <w:t xml:space="preserve">if </w:t>
      </w:r>
      <w:r w:rsidRPr="005D1451">
        <w:rPr>
          <w:lang w:eastAsia="zh-CN"/>
        </w:rPr>
        <w:t xml:space="preserve">slot </w:t>
      </w:r>
      <m:oMath>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rPr>
                      <m:t>n</m:t>
                    </m:r>
                  </m:e>
                  <m:sub>
                    <m:r>
                      <w:rPr>
                        <w:rFonts w:ascii="Cambria Math"/>
                      </w:rPr>
                      <m:t>U</m:t>
                    </m:r>
                  </m:sub>
                </m:sSub>
                <m:r>
                  <w:rPr>
                    <w:rFonts w:ascii="Cambria Math"/>
                  </w:rPr>
                  <m:t>-</m:t>
                </m:r>
                <m:sSub>
                  <m:sSubPr>
                    <m:ctrlPr>
                      <w:rPr>
                        <w:rFonts w:ascii="Cambria Math" w:hAnsi="Cambria Math"/>
                        <w:i/>
                      </w:rPr>
                    </m:ctrlPr>
                  </m:sSubPr>
                  <m:e>
                    <m:r>
                      <w:rPr>
                        <w:rFonts w:ascii="Cambria Math"/>
                      </w:rPr>
                      <m:t>K</m:t>
                    </m:r>
                  </m:e>
                  <m:sub>
                    <m:r>
                      <w:rPr>
                        <w:rFonts w:ascii="Cambria Math"/>
                      </w:rPr>
                      <m:t>1,k</m:t>
                    </m:r>
                  </m:sub>
                </m:sSub>
              </m:e>
            </m:d>
            <m:r>
              <w:rPr>
                <w:rFonts w:ascii="Cambria Math" w:hAnsi="Cambria Math" w:cs="Cambria Math"/>
              </w:rPr>
              <m:t>⋅</m:t>
            </m:r>
            <m:sSup>
              <m:sSupPr>
                <m:ctrlPr>
                  <w:rPr>
                    <w:rFonts w:ascii="Cambria Math" w:hAnsi="Cambria Math"/>
                    <w:i/>
                  </w:rPr>
                </m:ctrlPr>
              </m:sSupPr>
              <m:e>
                <m:r>
                  <w:rPr>
                    <w:rFonts w:ascii="Cambria Math"/>
                  </w:rPr>
                  <m:t>2</m:t>
                </m:r>
              </m:e>
              <m:sup>
                <m:sSub>
                  <m:sSubPr>
                    <m:ctrlPr>
                      <w:rPr>
                        <w:rFonts w:ascii="Cambria Math" w:hAnsi="Cambria Math"/>
                        <w:i/>
                      </w:rPr>
                    </m:ctrlPr>
                  </m:sSubPr>
                  <m:e>
                    <m:r>
                      <w:rPr>
                        <w:rFonts w:ascii="Cambria Math"/>
                      </w:rPr>
                      <m:t>μ</m:t>
                    </m:r>
                  </m:e>
                  <m:sub>
                    <m:r>
                      <m:rPr>
                        <m:nor/>
                      </m:rPr>
                      <w:rPr>
                        <w:rFonts w:ascii="Cambria Math"/>
                      </w:rPr>
                      <m:t>SL</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UL</m:t>
                    </m:r>
                    <m:ctrlPr>
                      <w:rPr>
                        <w:rFonts w:ascii="Cambria Math" w:hAnsi="Cambria Math"/>
                      </w:rPr>
                    </m:ctrlPr>
                  </m:sub>
                </m:sSub>
              </m:sup>
            </m:sSup>
          </m:e>
        </m:d>
        <m:r>
          <w:rPr>
            <w:rFonts w:ascii="Cambria Math"/>
          </w:rPr>
          <m:t>+</m:t>
        </m:r>
        <m:sSub>
          <m:sSubPr>
            <m:ctrlPr>
              <w:rPr>
                <w:rFonts w:ascii="Cambria Math" w:hAnsi="Cambria Math"/>
                <w:i/>
              </w:rPr>
            </m:ctrlPr>
          </m:sSubPr>
          <m:e>
            <m:r>
              <w:rPr>
                <w:rFonts w:ascii="Cambria Math"/>
              </w:rPr>
              <m:t>n</m:t>
            </m:r>
          </m:e>
          <m:sub>
            <m:r>
              <w:rPr>
                <w:rFonts w:ascii="Cambria Math"/>
              </w:rPr>
              <m:t>S</m:t>
            </m:r>
          </m:sub>
        </m:sSub>
      </m:oMath>
      <w:r w:rsidRPr="005D1451">
        <w:t xml:space="preserve"> belongs to the </w:t>
      </w:r>
      <w:r>
        <w:rPr>
          <w:rFonts w:cs="Arial"/>
        </w:rPr>
        <w:t>sidelink resource</w:t>
      </w:r>
      <w:r w:rsidRPr="005D1451">
        <w:t xml:space="preserve"> pool and includes PSFCH resources as indicated by a </w:t>
      </w:r>
      <w:r>
        <w:rPr>
          <w:rFonts w:cs="Arial"/>
        </w:rPr>
        <w:t>sidelink resource</w:t>
      </w:r>
      <w:r w:rsidRPr="005D1451">
        <w:t xml:space="preserve"> pool bitmap and </w:t>
      </w:r>
      <w:r w:rsidR="00326E08" w:rsidRPr="00882C4D">
        <w:rPr>
          <w:i/>
          <w:iCs/>
        </w:rPr>
        <w:t>sl-PSFCH-Period</w:t>
      </w:r>
      <w:r w:rsidRPr="005D1451">
        <w:t xml:space="preserve">, </w:t>
      </w:r>
      <w:r w:rsidRPr="005D1451">
        <w:rPr>
          <w:lang w:eastAsia="zh-CN"/>
        </w:rPr>
        <w:t xml:space="preserve">where </w:t>
      </w:r>
      <m:oMath>
        <m:sSub>
          <m:sSubPr>
            <m:ctrlPr>
              <w:rPr>
                <w:rFonts w:ascii="Cambria Math" w:hAnsi="Cambria Math" w:cs="Arial"/>
                <w:i/>
                <w:lang w:eastAsia="zh-CN"/>
              </w:rPr>
            </m:ctrlPr>
          </m:sSubPr>
          <m:e>
            <m:r>
              <w:rPr>
                <w:rFonts w:ascii="Cambria Math" w:hAnsi="Cambria Math" w:cs="Arial"/>
                <w:lang w:eastAsia="zh-CN"/>
              </w:rPr>
              <m:t>K</m:t>
            </m:r>
          </m:e>
          <m:sub>
            <m:r>
              <w:rPr>
                <w:rFonts w:ascii="Cambria Math" w:hAnsi="Cambria Math" w:cs="Arial"/>
                <w:lang w:eastAsia="zh-CN"/>
              </w:rPr>
              <m:t>1,k</m:t>
            </m:r>
          </m:sub>
        </m:sSub>
      </m:oMath>
      <w:r w:rsidRPr="005D1451">
        <w:rPr>
          <w:lang w:eastAsia="zh-CN"/>
        </w:rPr>
        <w:t xml:space="preserve"> is the</w:t>
      </w:r>
      <w:r w:rsidRPr="005D1451">
        <w:rPr>
          <w:i/>
          <w:lang w:eastAsia="zh-CN"/>
        </w:rPr>
        <w:t xml:space="preserve"> k</w:t>
      </w:r>
      <w:r w:rsidRPr="005D1451">
        <w:rPr>
          <w:lang w:eastAsia="zh-CN"/>
        </w:rPr>
        <w:t>-th slot timing value in set</w:t>
      </w:r>
      <w:r w:rsidRPr="005D1451">
        <w:t xml:space="preserve"> </w:t>
      </w:r>
      <m:oMath>
        <m:sSub>
          <m:sSubPr>
            <m:ctrlPr>
              <w:rPr>
                <w:rFonts w:ascii="Cambria Math" w:hAnsi="Cambria Math" w:cs="Arial"/>
                <w:i/>
                <w:lang w:eastAsia="zh-CN"/>
              </w:rPr>
            </m:ctrlPr>
          </m:sSubPr>
          <m:e>
            <m:r>
              <w:rPr>
                <w:rFonts w:ascii="Cambria Math" w:hAnsi="Cambria Math" w:cs="Arial"/>
                <w:lang w:eastAsia="zh-CN"/>
              </w:rPr>
              <m:t>K</m:t>
            </m:r>
          </m:e>
          <m:sub>
            <m:r>
              <w:rPr>
                <w:rFonts w:ascii="Cambria Math" w:hAnsi="Cambria Math" w:cs="Arial"/>
                <w:lang w:eastAsia="zh-CN"/>
              </w:rPr>
              <m:t>1</m:t>
            </m:r>
          </m:sub>
        </m:sSub>
      </m:oMath>
    </w:p>
    <w:p w14:paraId="6D9017E4" w14:textId="77777777" w:rsidR="008A1F79" w:rsidRPr="005D1451" w:rsidRDefault="008A1F79" w:rsidP="00495059">
      <w:pPr>
        <w:pStyle w:val="B5"/>
        <w:rPr>
          <w:lang w:val="en-US" w:eastAsia="zh-CN"/>
        </w:rPr>
      </w:pPr>
      <w:r w:rsidRPr="005D1451">
        <w:rPr>
          <w:rFonts w:hint="eastAsia"/>
          <w:lang w:eastAsia="zh-CN"/>
        </w:rPr>
        <w:t xml:space="preserve">Set </w:t>
      </w:r>
      <m:oMath>
        <m:sSub>
          <m:sSubPr>
            <m:ctrlPr>
              <w:rPr>
                <w:rFonts w:ascii="Cambria Math" w:hAnsi="Cambria Math"/>
                <w:i/>
              </w:rPr>
            </m:ctrlPr>
          </m:sSubPr>
          <m:e>
            <m:r>
              <w:rPr>
                <w:rFonts w:ascii="Cambria Math"/>
              </w:rPr>
              <m:t>n</m:t>
            </m:r>
          </m:e>
          <m:sub>
            <m:r>
              <w:rPr>
                <w:rFonts w:ascii="Cambria Math"/>
              </w:rPr>
              <m:t>F</m:t>
            </m:r>
          </m:sub>
        </m:sSub>
        <m:r>
          <w:rPr>
            <w:rFonts w:ascii="Cambria Math"/>
          </w:rPr>
          <m:t>=0</m:t>
        </m:r>
      </m:oMath>
      <w:r w:rsidRPr="005D1451">
        <w:t xml:space="preserve"> </w:t>
      </w:r>
      <w:r w:rsidRPr="005D1451">
        <w:rPr>
          <w:lang w:eastAsia="zh-CN"/>
        </w:rPr>
        <w:t>–</w:t>
      </w:r>
      <w:r w:rsidRPr="005D1451">
        <w:rPr>
          <w:rFonts w:hint="eastAsia"/>
          <w:lang w:eastAsia="zh-CN"/>
        </w:rPr>
        <w:t xml:space="preserve"> index of </w:t>
      </w:r>
      <w:r w:rsidRPr="005D1451">
        <w:rPr>
          <w:lang w:eastAsia="zh-CN"/>
        </w:rPr>
        <w:t xml:space="preserve">a </w:t>
      </w:r>
      <w:r w:rsidRPr="005D1451">
        <w:rPr>
          <w:lang w:val="en-US" w:eastAsia="zh-CN"/>
        </w:rPr>
        <w:t>S</w:t>
      </w:r>
      <w:r w:rsidRPr="005D1451">
        <w:rPr>
          <w:lang w:eastAsia="zh-CN"/>
        </w:rPr>
        <w:t xml:space="preserve">L </w:t>
      </w:r>
      <w:r w:rsidRPr="005D1451">
        <w:rPr>
          <w:rFonts w:hint="eastAsia"/>
          <w:lang w:eastAsia="zh-CN"/>
        </w:rPr>
        <w:t xml:space="preserve">slot </w:t>
      </w:r>
      <w:r w:rsidRPr="005D1451">
        <w:rPr>
          <w:lang w:eastAsia="zh-CN"/>
        </w:rPr>
        <w:t xml:space="preserve">within an </w:t>
      </w:r>
      <w:r w:rsidRPr="005D1451">
        <w:rPr>
          <w:lang w:val="en-US" w:eastAsia="zh-CN"/>
        </w:rPr>
        <w:t>PSFCH period</w:t>
      </w:r>
    </w:p>
    <w:p w14:paraId="4BF16762" w14:textId="77777777" w:rsidR="008A1F79" w:rsidRPr="005D1451" w:rsidRDefault="008A1F79" w:rsidP="00495059">
      <w:pPr>
        <w:pStyle w:val="B5"/>
        <w:rPr>
          <w:lang w:eastAsia="zh-CN"/>
        </w:rPr>
      </w:pPr>
      <w:r w:rsidRPr="005D1451">
        <w:rPr>
          <w:lang w:val="en-US" w:eastAsia="zh-CN"/>
        </w:rPr>
        <w:t xml:space="preserve">while </w:t>
      </w:r>
      <m:oMath>
        <m:sSub>
          <m:sSubPr>
            <m:ctrlPr>
              <w:rPr>
                <w:rFonts w:ascii="Cambria Math" w:hAnsi="Cambria Math"/>
                <w:lang w:val="en-US" w:eastAsia="zh-CN"/>
              </w:rPr>
            </m:ctrlPr>
          </m:sSubPr>
          <m:e>
            <m:r>
              <w:rPr>
                <w:rFonts w:ascii="Cambria Math" w:hAnsi="Cambria Math"/>
                <w:lang w:val="en-US" w:eastAsia="zh-CN"/>
              </w:rPr>
              <m:t>n</m:t>
            </m:r>
          </m:e>
          <m:sub>
            <m:r>
              <w:rPr>
                <w:rFonts w:ascii="Cambria Math" w:hAnsi="Cambria Math"/>
                <w:lang w:val="en-US" w:eastAsia="zh-CN"/>
              </w:rPr>
              <m:t>F</m:t>
            </m:r>
          </m:sub>
        </m:sSub>
        <m:r>
          <m:rPr>
            <m:sty m:val="p"/>
          </m:rPr>
          <w:rPr>
            <w:rFonts w:ascii="Cambria Math" w:hAnsi="Cambria Math"/>
            <w:lang w:val="en-US" w:eastAsia="zh-CN"/>
          </w:rPr>
          <m:t>&lt;</m:t>
        </m:r>
        <m:sSub>
          <m:sSubPr>
            <m:ctrlPr>
              <w:rPr>
                <w:rFonts w:ascii="Cambria Math" w:hAnsi="Cambria Math"/>
                <w:lang w:val="en-US" w:eastAsia="zh-CN"/>
              </w:rPr>
            </m:ctrlPr>
          </m:sSubPr>
          <m:e>
            <m:r>
              <w:rPr>
                <w:rFonts w:ascii="Cambria Math" w:hAnsi="Cambria Math"/>
                <w:lang w:val="en-US" w:eastAsia="zh-CN"/>
              </w:rPr>
              <m:t>N</m:t>
            </m:r>
          </m:e>
          <m:sub>
            <m:r>
              <w:rPr>
                <w:rFonts w:ascii="Cambria Math" w:hAnsi="Cambria Math"/>
                <w:lang w:val="en-US" w:eastAsia="zh-CN"/>
              </w:rPr>
              <m:t>PSFCH</m:t>
            </m:r>
          </m:sub>
        </m:sSub>
      </m:oMath>
    </w:p>
    <w:p w14:paraId="071807A0" w14:textId="77777777" w:rsidR="008A1F79" w:rsidRPr="005D1451" w:rsidRDefault="00000000" w:rsidP="008A1F79">
      <w:pPr>
        <w:pStyle w:val="B5"/>
        <w:ind w:left="1985"/>
        <w:rPr>
          <w:lang w:eastAsia="zh-CN"/>
        </w:rPr>
      </w:pPr>
      <m:oMath>
        <m:sSub>
          <m:sSubPr>
            <m:ctrlPr>
              <w:rPr>
                <w:rFonts w:ascii="Cambria Math" w:hAnsi="Cambria Math"/>
                <w:i/>
                <w:lang w:eastAsia="zh-CN"/>
              </w:rPr>
            </m:ctrlPr>
          </m:sSubPr>
          <m:e>
            <m:r>
              <w:rPr>
                <w:rFonts w:ascii="Cambria Math"/>
                <w:lang w:eastAsia="zh-CN"/>
              </w:rPr>
              <m:t>M</m:t>
            </m:r>
          </m:e>
          <m:sub>
            <m:r>
              <w:rPr>
                <w:rFonts w:ascii="Cambria Math"/>
                <w:lang w:eastAsia="zh-CN"/>
              </w:rPr>
              <m:t>A</m:t>
            </m:r>
          </m:sub>
        </m:sSub>
        <m:r>
          <w:rPr>
            <w:rFonts w:ascii="Cambria Math"/>
            <w:lang w:eastAsia="zh-CN"/>
          </w:rPr>
          <m:t>=</m:t>
        </m:r>
        <m:sSub>
          <m:sSubPr>
            <m:ctrlPr>
              <w:rPr>
                <w:rFonts w:ascii="Cambria Math" w:hAnsi="Cambria Math"/>
                <w:i/>
                <w:lang w:eastAsia="zh-CN"/>
              </w:rPr>
            </m:ctrlPr>
          </m:sSubPr>
          <m:e>
            <m:r>
              <w:rPr>
                <w:rFonts w:ascii="Cambria Math"/>
                <w:lang w:eastAsia="zh-CN"/>
              </w:rPr>
              <m:t>M</m:t>
            </m:r>
          </m:e>
          <m:sub>
            <m:r>
              <w:rPr>
                <w:rFonts w:ascii="Cambria Math"/>
                <w:lang w:eastAsia="zh-CN"/>
              </w:rPr>
              <m:t>A</m:t>
            </m:r>
          </m:sub>
        </m:sSub>
        <m:r>
          <w:rPr>
            <w:rFonts w:ascii="Cambria Math" w:hAnsi="Cambria Math" w:cs="Cambria Math"/>
            <w:lang w:eastAsia="zh-CN"/>
          </w:rPr>
          <m:t>∪</m:t>
        </m:r>
        <m:r>
          <w:rPr>
            <w:rFonts w:ascii="Cambria Math"/>
            <w:lang w:eastAsia="zh-CN"/>
          </w:rPr>
          <m:t>j</m:t>
        </m:r>
      </m:oMath>
      <w:r w:rsidR="008A1F79" w:rsidRPr="005D1451">
        <w:rPr>
          <w:lang w:val="en-US" w:eastAsia="zh-CN"/>
        </w:rPr>
        <w:t>;</w:t>
      </w:r>
      <w:r w:rsidR="008A1F79" w:rsidRPr="005D1451">
        <w:rPr>
          <w:lang w:eastAsia="zh-CN"/>
        </w:rPr>
        <w:t xml:space="preserve"> </w:t>
      </w:r>
    </w:p>
    <w:p w14:paraId="3FE9439E" w14:textId="77777777" w:rsidR="008A1F79" w:rsidRPr="005D1451" w:rsidRDefault="008A1F79" w:rsidP="008A1F79">
      <w:pPr>
        <w:pStyle w:val="B5"/>
        <w:ind w:left="1985"/>
        <w:rPr>
          <w:lang w:eastAsia="zh-CN"/>
        </w:rPr>
      </w:pPr>
      <m:oMath>
        <m:r>
          <w:rPr>
            <w:rFonts w:ascii="Cambria Math"/>
            <w:lang w:eastAsia="zh-CN"/>
          </w:rPr>
          <m:t>j=j+1</m:t>
        </m:r>
      </m:oMath>
      <w:r w:rsidRPr="005D1451">
        <w:rPr>
          <w:lang w:eastAsia="zh-CN"/>
        </w:rPr>
        <w:t>;</w:t>
      </w:r>
    </w:p>
    <w:p w14:paraId="72D3CA9A" w14:textId="77777777" w:rsidR="008A1F79" w:rsidRPr="005D1451" w:rsidRDefault="00000000" w:rsidP="008A1F79">
      <w:pPr>
        <w:pStyle w:val="B5"/>
        <w:ind w:left="1985"/>
        <w:rPr>
          <w:lang w:eastAsia="zh-CN"/>
        </w:rPr>
      </w:pPr>
      <m:oMath>
        <m:sSub>
          <m:sSubPr>
            <m:ctrlPr>
              <w:rPr>
                <w:rFonts w:ascii="Cambria Math" w:hAnsi="Cambria Math"/>
                <w:i/>
                <w:lang w:eastAsia="zh-CN"/>
              </w:rPr>
            </m:ctrlPr>
          </m:sSubPr>
          <m:e>
            <m:r>
              <w:rPr>
                <w:rFonts w:ascii="Cambria Math"/>
                <w:lang w:eastAsia="zh-CN"/>
              </w:rPr>
              <m:t>n</m:t>
            </m:r>
          </m:e>
          <m:sub>
            <m:r>
              <w:rPr>
                <w:rFonts w:ascii="Cambria Math"/>
                <w:lang w:eastAsia="zh-CN"/>
              </w:rPr>
              <m:t>F</m:t>
            </m:r>
          </m:sub>
        </m:sSub>
        <m:r>
          <w:rPr>
            <w:rFonts w:ascii="Cambria Math"/>
            <w:lang w:eastAsia="zh-CN"/>
          </w:rPr>
          <m:t>=</m:t>
        </m:r>
        <m:sSub>
          <m:sSubPr>
            <m:ctrlPr>
              <w:rPr>
                <w:rFonts w:ascii="Cambria Math" w:hAnsi="Cambria Math"/>
                <w:i/>
                <w:lang w:eastAsia="zh-CN"/>
              </w:rPr>
            </m:ctrlPr>
          </m:sSubPr>
          <m:e>
            <m:r>
              <w:rPr>
                <w:rFonts w:ascii="Cambria Math"/>
                <w:lang w:eastAsia="zh-CN"/>
              </w:rPr>
              <m:t>n</m:t>
            </m:r>
          </m:e>
          <m:sub>
            <m:r>
              <w:rPr>
                <w:rFonts w:ascii="Cambria Math"/>
                <w:lang w:eastAsia="zh-CN"/>
              </w:rPr>
              <m:t>F</m:t>
            </m:r>
          </m:sub>
        </m:sSub>
        <m:r>
          <w:rPr>
            <w:rFonts w:ascii="Cambria Math"/>
            <w:lang w:eastAsia="zh-CN"/>
          </w:rPr>
          <m:t>+1</m:t>
        </m:r>
      </m:oMath>
      <w:r w:rsidR="008A1F79" w:rsidRPr="005D1451">
        <w:rPr>
          <w:lang w:eastAsia="zh-CN"/>
        </w:rPr>
        <w:t>;</w:t>
      </w:r>
    </w:p>
    <w:p w14:paraId="42107DB7" w14:textId="77777777" w:rsidR="008A1F79" w:rsidRPr="005D1451" w:rsidRDefault="008A1F79" w:rsidP="00472C3D">
      <w:pPr>
        <w:pStyle w:val="B5"/>
        <w:rPr>
          <w:lang w:val="en-US" w:eastAsia="zh-CN"/>
        </w:rPr>
      </w:pPr>
      <w:r w:rsidRPr="005D1451">
        <w:rPr>
          <w:lang w:val="en-US"/>
        </w:rPr>
        <w:t>end while</w:t>
      </w:r>
    </w:p>
    <w:p w14:paraId="0DB3B46B" w14:textId="77777777" w:rsidR="008A1F79" w:rsidRPr="005D1451" w:rsidRDefault="008A1F79" w:rsidP="008A1F79">
      <w:pPr>
        <w:pStyle w:val="B4"/>
        <w:rPr>
          <w:lang w:eastAsia="zh-CN"/>
        </w:rPr>
      </w:pPr>
      <w:r w:rsidRPr="005D1451">
        <w:rPr>
          <w:lang w:eastAsia="zh-CN"/>
        </w:rPr>
        <w:lastRenderedPageBreak/>
        <w:t>end if</w:t>
      </w:r>
    </w:p>
    <w:p w14:paraId="421D25AB" w14:textId="77777777" w:rsidR="008A1F79" w:rsidRPr="005D1451" w:rsidRDefault="00000000" w:rsidP="008A1F79">
      <w:pPr>
        <w:pStyle w:val="B4"/>
        <w:rPr>
          <w:lang w:eastAsia="zh-CN"/>
        </w:rPr>
      </w:pPr>
      <m:oMath>
        <m:sSub>
          <m:sSubPr>
            <m:ctrlPr>
              <w:rPr>
                <w:rFonts w:ascii="Cambria Math" w:hAnsi="Cambria Math"/>
                <w:i/>
                <w:sz w:val="24"/>
                <w:szCs w:val="24"/>
              </w:rPr>
            </m:ctrlPr>
          </m:sSubPr>
          <m:e>
            <m:r>
              <w:rPr>
                <w:rFonts w:ascii="Cambria Math" w:hAnsi="Cambria Math"/>
              </w:rPr>
              <m:t>n</m:t>
            </m:r>
          </m:e>
          <m:sub>
            <m:r>
              <w:rPr>
                <w:rFonts w:ascii="Cambria Math" w:hAnsi="Cambria Math"/>
              </w:rPr>
              <m:t>S</m:t>
            </m:r>
          </m:sub>
        </m:sSub>
        <m:r>
          <w:rPr>
            <w:rFonts w:ascii="Cambria Math" w:hAnsi="Cambria Math"/>
          </w:rPr>
          <m:t>=</m:t>
        </m:r>
        <m:sSub>
          <m:sSubPr>
            <m:ctrlPr>
              <w:rPr>
                <w:rFonts w:ascii="Cambria Math" w:hAnsi="Cambria Math"/>
                <w:i/>
                <w:sz w:val="24"/>
                <w:szCs w:val="24"/>
              </w:rPr>
            </m:ctrlPr>
          </m:sSubPr>
          <m:e>
            <m:r>
              <w:rPr>
                <w:rFonts w:ascii="Cambria Math" w:hAnsi="Cambria Math"/>
              </w:rPr>
              <m:t>n</m:t>
            </m:r>
          </m:e>
          <m:sub>
            <m:r>
              <w:rPr>
                <w:rFonts w:ascii="Cambria Math" w:hAnsi="Cambria Math"/>
              </w:rPr>
              <m:t>S</m:t>
            </m:r>
          </m:sub>
        </m:sSub>
        <m:r>
          <w:rPr>
            <w:rFonts w:ascii="Cambria Math" w:hAnsi="Cambria Math"/>
          </w:rPr>
          <m:t>+1</m:t>
        </m:r>
      </m:oMath>
      <w:r w:rsidR="008A1F79" w:rsidRPr="005D1451">
        <w:t>;</w:t>
      </w:r>
    </w:p>
    <w:p w14:paraId="733ADED2" w14:textId="77777777" w:rsidR="008A1F79" w:rsidRPr="005D1451" w:rsidRDefault="008A1F79" w:rsidP="008A1F79">
      <w:pPr>
        <w:pStyle w:val="B3"/>
        <w:rPr>
          <w:i/>
          <w:lang w:eastAsia="zh-CN"/>
        </w:rPr>
      </w:pPr>
      <w:r w:rsidRPr="005D1451">
        <w:rPr>
          <w:lang w:eastAsia="zh-CN"/>
        </w:rPr>
        <w:t>end if</w:t>
      </w:r>
    </w:p>
    <w:p w14:paraId="348305FE" w14:textId="77777777" w:rsidR="008A1F79" w:rsidRPr="005D1451" w:rsidRDefault="008A1F79" w:rsidP="008A1F79">
      <w:pPr>
        <w:pStyle w:val="B2"/>
        <w:rPr>
          <w:lang w:eastAsia="zh-CN"/>
        </w:rPr>
      </w:pPr>
      <w:r w:rsidRPr="005D1451">
        <w:rPr>
          <w:lang w:eastAsia="zh-CN"/>
        </w:rPr>
        <w:t>end while</w:t>
      </w:r>
    </w:p>
    <w:p w14:paraId="2189A3BD" w14:textId="77777777" w:rsidR="008A1F79" w:rsidRPr="005D1451" w:rsidRDefault="008A1F79" w:rsidP="008A1F79">
      <w:pPr>
        <w:pStyle w:val="B1"/>
        <w:rPr>
          <w:lang w:eastAsia="zh-CN"/>
        </w:rPr>
      </w:pPr>
      <w:r w:rsidRPr="005D1451">
        <w:rPr>
          <w:lang w:eastAsia="zh-CN"/>
        </w:rPr>
        <w:t>end if</w:t>
      </w:r>
    </w:p>
    <w:p w14:paraId="385B418F" w14:textId="77777777" w:rsidR="008A1F79" w:rsidRPr="005D1451" w:rsidRDefault="008A1F79" w:rsidP="008A1F79">
      <w:pPr>
        <w:pStyle w:val="B1"/>
        <w:rPr>
          <w:lang w:val="en-US" w:eastAsia="zh-CN"/>
        </w:rPr>
      </w:pPr>
      <m:oMath>
        <m:r>
          <w:rPr>
            <w:rFonts w:ascii="Cambria Math" w:hAnsi="Cambria Math" w:cs="Arial"/>
            <w:lang w:val="en-GB" w:eastAsia="zh-CN"/>
          </w:rPr>
          <m:t>k=k+1</m:t>
        </m:r>
      </m:oMath>
      <w:r w:rsidRPr="005D1451">
        <w:rPr>
          <w:lang w:val="en-US"/>
        </w:rPr>
        <w:t>;</w:t>
      </w:r>
    </w:p>
    <w:p w14:paraId="1FEED1C2" w14:textId="77777777" w:rsidR="008A1F79" w:rsidRPr="005D1451" w:rsidRDefault="008A1F79" w:rsidP="008A1F79">
      <w:pPr>
        <w:rPr>
          <w:lang w:eastAsia="zh-CN"/>
        </w:rPr>
      </w:pPr>
      <w:r w:rsidRPr="005D1451">
        <w:rPr>
          <w:rFonts w:hint="eastAsia"/>
          <w:lang w:eastAsia="zh-CN"/>
        </w:rPr>
        <w:t>end while</w:t>
      </w:r>
    </w:p>
    <w:p w14:paraId="27F1CBE8" w14:textId="4724DA7A" w:rsidR="008A1F79" w:rsidRPr="005D1451" w:rsidRDefault="008A1F79" w:rsidP="00495059">
      <w:pPr>
        <w:rPr>
          <w:lang w:eastAsia="zh-CN"/>
        </w:rPr>
      </w:pPr>
      <w:r w:rsidRPr="005D1451">
        <w:rPr>
          <w:lang w:eastAsia="zh-CN"/>
        </w:rPr>
        <w:t xml:space="preserve">The cardinality of the set </w:t>
      </w:r>
      <m:oMath>
        <m:sSub>
          <m:sSubPr>
            <m:ctrlPr>
              <w:rPr>
                <w:rFonts w:ascii="Cambria Math" w:hAnsi="Cambria Math" w:cs="Arial"/>
                <w:i/>
                <w:lang w:eastAsia="zh-CN"/>
              </w:rPr>
            </m:ctrlPr>
          </m:sSubPr>
          <m:e>
            <m:r>
              <w:rPr>
                <w:rFonts w:ascii="Cambria Math" w:cs="Arial"/>
                <w:lang w:eastAsia="zh-CN"/>
              </w:rPr>
              <m:t>M</m:t>
            </m:r>
          </m:e>
          <m:sub>
            <m:r>
              <w:rPr>
                <w:rFonts w:ascii="Cambria Math" w:cs="Arial"/>
                <w:lang w:eastAsia="zh-CN"/>
              </w:rPr>
              <m:t>A</m:t>
            </m:r>
          </m:sub>
        </m:sSub>
      </m:oMath>
      <w:r w:rsidRPr="005D1451">
        <w:rPr>
          <w:lang w:eastAsia="zh-CN"/>
        </w:rPr>
        <w:t xml:space="preserve"> defines a total number </w:t>
      </w:r>
      <m:oMath>
        <m:r>
          <w:rPr>
            <w:rFonts w:ascii="Cambria Math"/>
          </w:rPr>
          <m:t>M</m:t>
        </m:r>
      </m:oMath>
      <w:r w:rsidRPr="005D1451">
        <w:rPr>
          <w:lang w:eastAsia="zh-CN"/>
        </w:rPr>
        <w:t xml:space="preserve"> of occasions</w:t>
      </w:r>
      <w:r w:rsidR="001D3B98">
        <w:rPr>
          <w:lang w:eastAsia="zh-CN"/>
        </w:rPr>
        <w:t xml:space="preserve"> </w:t>
      </w:r>
      <w:r w:rsidR="001D3B98">
        <w:t xml:space="preserve">for candidate PSSCH transmissions </w:t>
      </w:r>
      <w:r w:rsidR="001D3B98" w:rsidRPr="0002366D">
        <w:t>with corresponding PSFCH reception occasions</w:t>
      </w:r>
      <w:r w:rsidRPr="005D1451">
        <w:rPr>
          <w:lang w:eastAsia="zh-CN"/>
        </w:rPr>
        <w:t xml:space="preserve"> </w:t>
      </w:r>
      <w:r w:rsidRPr="005D1451">
        <w:t>corresponding to the HARQ-ACK information bits</w:t>
      </w:r>
      <w:r w:rsidRPr="005D1451">
        <w:rPr>
          <w:lang w:eastAsia="zh-CN"/>
        </w:rPr>
        <w:t xml:space="preserve">. </w:t>
      </w:r>
      <w:r w:rsidR="00191D5A" w:rsidRPr="00754F97">
        <w:rPr>
          <w:rFonts w:eastAsia="Times New Roman"/>
          <w:kern w:val="2"/>
          <w:lang w:eastAsia="zh-CN"/>
        </w:rPr>
        <w:t>For operation with shared spectrum channel access</w:t>
      </w:r>
      <w:r w:rsidR="00191D5A">
        <w:rPr>
          <w:rFonts w:eastAsia="Times New Roman"/>
          <w:kern w:val="2"/>
          <w:lang w:eastAsia="zh-CN"/>
        </w:rPr>
        <w:t>,</w:t>
      </w:r>
      <w:r w:rsidR="00191D5A" w:rsidRPr="00754F97">
        <w:rPr>
          <w:rFonts w:eastAsia="Times New Roman"/>
          <w:kern w:val="2"/>
          <w:lang w:eastAsia="zh-CN"/>
        </w:rPr>
        <w:t xml:space="preserve"> </w:t>
      </w:r>
      <w:r w:rsidR="00191D5A" w:rsidRPr="00754F97">
        <w:rPr>
          <w:kern w:val="2"/>
          <w:lang w:eastAsia="zh-CN"/>
        </w:rPr>
        <w:t xml:space="preserve">when </w:t>
      </w:r>
      <w:r w:rsidR="00191D5A" w:rsidRPr="00754F97">
        <w:rPr>
          <w:iCs/>
          <w:kern w:val="2"/>
          <w:lang w:eastAsia="zh-CN"/>
        </w:rPr>
        <w:t>there are more than one</w:t>
      </w:r>
      <w:r w:rsidR="00191D5A" w:rsidRPr="00754F97">
        <w:rPr>
          <w:rFonts w:eastAsia="Times New Roman"/>
          <w:iCs/>
          <w:kern w:val="2"/>
          <w:lang w:eastAsia="zh-CN"/>
        </w:rPr>
        <w:t xml:space="preserve"> candidate PSFCH occasion</w:t>
      </w:r>
      <w:r w:rsidR="00191D5A" w:rsidRPr="00754F97">
        <w:rPr>
          <w:iCs/>
          <w:kern w:val="2"/>
          <w:lang w:eastAsia="zh-CN"/>
        </w:rPr>
        <w:t xml:space="preserve">s associated with </w:t>
      </w:r>
      <w:r w:rsidR="00191D5A" w:rsidRPr="00754F97">
        <w:rPr>
          <w:rFonts w:eastAsia="Times New Roman"/>
          <w:kern w:val="2"/>
          <w:lang w:eastAsia="zh-CN"/>
        </w:rPr>
        <w:t xml:space="preserve">one PSCCH/PSSCH transmission, each of the </w:t>
      </w:r>
      <m:oMath>
        <m:r>
          <w:rPr>
            <w:rFonts w:ascii="Cambria Math"/>
          </w:rPr>
          <m:t>M</m:t>
        </m:r>
      </m:oMath>
      <w:r w:rsidR="00191D5A" w:rsidRPr="00754F97">
        <w:rPr>
          <w:rFonts w:eastAsia="Times New Roman"/>
          <w:kern w:val="2"/>
          <w:lang w:eastAsia="zh-CN"/>
        </w:rPr>
        <w:t xml:space="preserve"> candidate PSSCH transmissions</w:t>
      </w:r>
      <w:r w:rsidR="00191D5A" w:rsidRPr="00754F97">
        <w:rPr>
          <w:kern w:val="2"/>
          <w:lang w:eastAsia="zh-CN"/>
        </w:rPr>
        <w:t xml:space="preserve"> is derived by the last associated </w:t>
      </w:r>
      <w:r w:rsidR="00191D5A" w:rsidRPr="00754F97">
        <w:rPr>
          <w:rFonts w:eastAsia="Times New Roman"/>
          <w:kern w:val="2"/>
          <w:lang w:eastAsia="zh-CN"/>
        </w:rPr>
        <w:t xml:space="preserve">PSFCH occasion. </w:t>
      </w:r>
      <w:r w:rsidRPr="005D1451">
        <w:rPr>
          <w:lang w:val="en-US" w:eastAsia="zh-CN"/>
        </w:rPr>
        <w:t>A</w:t>
      </w:r>
      <w:r w:rsidRPr="005D1451">
        <w:rPr>
          <w:rFonts w:cs="Arial" w:hint="eastAsia"/>
          <w:lang w:eastAsia="zh-CN"/>
        </w:rPr>
        <w:t xml:space="preserve"> UE determine</w:t>
      </w:r>
      <w:r w:rsidRPr="005D1451">
        <w:rPr>
          <w:rFonts w:cs="Arial"/>
          <w:lang w:eastAsia="zh-CN"/>
        </w:rPr>
        <w:t>s</w:t>
      </w:r>
      <w:r w:rsidRPr="005D1451">
        <w:rPr>
          <w:rFonts w:cs="Arial" w:hint="eastAsia"/>
          <w:lang w:eastAsia="zh-CN"/>
        </w:rPr>
        <w:t xml:space="preserve"> </w:t>
      </w:r>
      <m:oMath>
        <m:sSubSup>
          <m:sSubSupPr>
            <m:ctrlPr>
              <w:rPr>
                <w:rFonts w:ascii="Cambria Math" w:hAnsi="Cambria Math"/>
                <w:i/>
                <w:lang w:val="x-none" w:eastAsia="zh-CN"/>
              </w:rPr>
            </m:ctrlPr>
          </m:sSubSupPr>
          <m:e>
            <m:acc>
              <m:accPr>
                <m:chr m:val="̃"/>
                <m:ctrlPr>
                  <w:rPr>
                    <w:rFonts w:ascii="Cambria Math" w:hAnsi="Cambria Math"/>
                    <w:i/>
                    <w:lang w:val="x-none" w:eastAsia="zh-CN"/>
                  </w:rPr>
                </m:ctrlPr>
              </m:accPr>
              <m:e>
                <m:r>
                  <w:rPr>
                    <w:rFonts w:ascii="Cambria Math" w:hAnsi="Cambria Math"/>
                    <w:lang w:eastAsia="zh-CN"/>
                  </w:rPr>
                  <m:t>o</m:t>
                </m:r>
              </m:e>
            </m:acc>
          </m:e>
          <m:sub>
            <m:r>
              <w:rPr>
                <w:rFonts w:ascii="Cambria Math" w:hAnsi="Cambria Math"/>
                <w:lang w:eastAsia="zh-CN"/>
              </w:rPr>
              <m:t>0</m:t>
            </m:r>
          </m:sub>
          <m:sup>
            <m:r>
              <w:rPr>
                <w:rFonts w:ascii="Cambria Math" w:hAnsi="Cambria Math"/>
                <w:lang w:eastAsia="zh-CN"/>
              </w:rPr>
              <m:t>ACK</m:t>
            </m:r>
          </m:sup>
        </m:sSubSup>
        <m:r>
          <m:rPr>
            <m:sty m:val="p"/>
          </m:rPr>
          <w:rPr>
            <w:rFonts w:ascii="Cambria Math" w:hAnsi="Cambria Math"/>
            <w:lang w:val="x-none" w:eastAsia="zh-CN"/>
          </w:rPr>
          <m:t>,</m:t>
        </m:r>
        <m:sSubSup>
          <m:sSubSupPr>
            <m:ctrlPr>
              <w:rPr>
                <w:rFonts w:ascii="Cambria Math" w:hAnsi="Cambria Math"/>
                <w:i/>
                <w:lang w:val="x-none" w:eastAsia="zh-CN"/>
              </w:rPr>
            </m:ctrlPr>
          </m:sSubSupPr>
          <m:e>
            <m:acc>
              <m:accPr>
                <m:chr m:val="̃"/>
                <m:ctrlPr>
                  <w:rPr>
                    <w:rFonts w:ascii="Cambria Math" w:hAnsi="Cambria Math"/>
                    <w:i/>
                    <w:lang w:val="x-none" w:eastAsia="zh-CN"/>
                  </w:rPr>
                </m:ctrlPr>
              </m:accPr>
              <m:e>
                <m:r>
                  <w:rPr>
                    <w:rFonts w:ascii="Cambria Math" w:hAnsi="Cambria Math"/>
                    <w:lang w:eastAsia="zh-CN"/>
                  </w:rPr>
                  <m:t>o</m:t>
                </m:r>
              </m:e>
            </m:acc>
          </m:e>
          <m:sub>
            <m:r>
              <w:rPr>
                <w:rFonts w:ascii="Cambria Math" w:hAnsi="Cambria Math"/>
                <w:lang w:eastAsia="zh-CN"/>
              </w:rPr>
              <m:t>1</m:t>
            </m:r>
          </m:sub>
          <m:sup>
            <m:r>
              <w:rPr>
                <w:rFonts w:ascii="Cambria Math" w:hAnsi="Cambria Math"/>
                <w:lang w:eastAsia="zh-CN"/>
              </w:rPr>
              <m:t>ACK</m:t>
            </m:r>
          </m:sup>
        </m:sSubSup>
        <m:r>
          <m:rPr>
            <m:sty m:val="p"/>
          </m:rPr>
          <w:rPr>
            <w:rFonts w:ascii="Cambria Math" w:hAnsi="Cambria Math"/>
            <w:lang w:val="x-none" w:eastAsia="zh-CN"/>
          </w:rPr>
          <m:t>,…,</m:t>
        </m:r>
        <m:sSubSup>
          <m:sSubSupPr>
            <m:ctrlPr>
              <w:rPr>
                <w:rFonts w:ascii="Cambria Math" w:hAnsi="Cambria Math"/>
                <w:i/>
                <w:kern w:val="2"/>
                <w:sz w:val="21"/>
              </w:rPr>
            </m:ctrlPr>
          </m:sSubSupPr>
          <m:e>
            <m:acc>
              <m:accPr>
                <m:chr m:val="̃"/>
                <m:ctrlPr>
                  <w:rPr>
                    <w:rFonts w:ascii="Cambria Math" w:hAnsi="Cambria Math"/>
                    <w:i/>
                    <w:kern w:val="2"/>
                    <w:sz w:val="21"/>
                  </w:rPr>
                </m:ctrlPr>
              </m:accPr>
              <m:e>
                <m:r>
                  <w:rPr>
                    <w:rFonts w:ascii="Cambria Math"/>
                  </w:rPr>
                  <m:t>o</m:t>
                </m:r>
              </m:e>
            </m:acc>
          </m:e>
          <m:sub>
            <m:sSub>
              <m:sSubPr>
                <m:ctrlPr>
                  <w:rPr>
                    <w:rFonts w:ascii="Cambria Math" w:hAnsi="Cambria Math"/>
                    <w:i/>
                    <w:kern w:val="2"/>
                    <w:sz w:val="21"/>
                  </w:rPr>
                </m:ctrlPr>
              </m:sSubPr>
              <m:e>
                <m:r>
                  <w:rPr>
                    <w:rFonts w:ascii="Cambria Math" w:hAnsi="Cambria Math"/>
                  </w:rPr>
                  <m:t>O</m:t>
                </m:r>
              </m:e>
              <m:sub>
                <m:r>
                  <m:rPr>
                    <m:sty m:val="p"/>
                  </m:rPr>
                  <w:rPr>
                    <w:rFonts w:ascii="Cambria Math" w:hAnsi="Cambria Math"/>
                  </w:rPr>
                  <m:t>ACK</m:t>
                </m:r>
              </m:sub>
            </m:sSub>
            <m:r>
              <w:rPr>
                <w:rFonts w:ascii="Cambria Math" w:hAnsi="Cambria Math"/>
              </w:rPr>
              <m:t>-1</m:t>
            </m:r>
          </m:sub>
          <m:sup>
            <m:r>
              <w:rPr>
                <w:rFonts w:ascii="Cambria Math"/>
              </w:rPr>
              <m:t>ACK</m:t>
            </m:r>
          </m:sup>
        </m:sSubSup>
      </m:oMath>
      <w:r w:rsidRPr="005D1451">
        <w:rPr>
          <w:rFonts w:hint="eastAsia"/>
          <w:lang w:eastAsia="zh-CN"/>
        </w:rPr>
        <w:t xml:space="preserve"> </w:t>
      </w:r>
      <w:r w:rsidRPr="005D1451">
        <w:rPr>
          <w:lang w:eastAsia="zh-CN"/>
        </w:rPr>
        <w:t xml:space="preserve">HARQ-ACK information bits, for a total number of  </w:t>
      </w:r>
      <m:oMath>
        <m:sSub>
          <m:sSubPr>
            <m:ctrlPr>
              <w:rPr>
                <w:rFonts w:ascii="Cambria Math" w:hAnsi="Cambria Math"/>
                <w:i/>
              </w:rPr>
            </m:ctrlPr>
          </m:sSubPr>
          <m:e>
            <m:r>
              <w:rPr>
                <w:rFonts w:ascii="Cambria Math"/>
              </w:rPr>
              <m:t>O</m:t>
            </m:r>
          </m:e>
          <m:sub>
            <m:r>
              <m:rPr>
                <m:nor/>
              </m:rPr>
              <w:rPr>
                <w:rFonts w:ascii="Cambria Math"/>
              </w:rPr>
              <m:t>ACK</m:t>
            </m:r>
            <m:ctrlPr>
              <w:rPr>
                <w:rFonts w:ascii="Cambria Math" w:hAnsi="Cambria Math"/>
              </w:rPr>
            </m:ctrlPr>
          </m:sub>
        </m:sSub>
      </m:oMath>
      <w:r w:rsidRPr="005D1451">
        <w:t xml:space="preserve"> HARQ-ACK information bits </w:t>
      </w:r>
      <w:r w:rsidRPr="005D1451">
        <w:rPr>
          <w:lang w:eastAsia="zh-CN"/>
        </w:rPr>
        <w:t xml:space="preserve">as </w:t>
      </w:r>
      <m:oMath>
        <m:sSubSup>
          <m:sSubSupPr>
            <m:ctrlPr>
              <w:rPr>
                <w:rFonts w:ascii="Cambria Math" w:hAnsi="Cambria Math"/>
                <w:i/>
                <w:lang w:eastAsia="zh-CN"/>
              </w:rPr>
            </m:ctrlPr>
          </m:sSubSupPr>
          <m:e>
            <m:acc>
              <m:accPr>
                <m:chr m:val="̃"/>
                <m:ctrlPr>
                  <w:rPr>
                    <w:rFonts w:ascii="Cambria Math" w:hAnsi="Cambria Math"/>
                    <w:i/>
                    <w:lang w:eastAsia="zh-CN"/>
                  </w:rPr>
                </m:ctrlPr>
              </m:accPr>
              <m:e>
                <m:r>
                  <w:rPr>
                    <w:rFonts w:ascii="Cambria Math" w:hAnsi="Cambria Math"/>
                    <w:lang w:eastAsia="zh-CN"/>
                  </w:rPr>
                  <m:t>o</m:t>
                </m:r>
              </m:e>
            </m:acc>
          </m:e>
          <m:sub>
            <m:r>
              <w:rPr>
                <w:rFonts w:ascii="Cambria Math" w:hAnsi="Cambria Math"/>
                <w:lang w:eastAsia="zh-CN"/>
              </w:rPr>
              <m:t>j</m:t>
            </m:r>
          </m:sub>
          <m:sup>
            <m:r>
              <w:rPr>
                <w:rFonts w:ascii="Cambria Math" w:hAnsi="Cambria Math"/>
                <w:lang w:eastAsia="zh-CN"/>
              </w:rPr>
              <m:t>ACK</m:t>
            </m:r>
          </m:sup>
        </m:sSubSup>
      </m:oMath>
      <w:r w:rsidRPr="005D1451">
        <w:t xml:space="preserve"> </w:t>
      </w:r>
      <w:r w:rsidRPr="005D1451">
        <w:rPr>
          <w:rFonts w:hint="eastAsia"/>
          <w:lang w:eastAsia="zh-CN"/>
        </w:rPr>
        <w:t>=</w:t>
      </w:r>
      <w:r w:rsidRPr="005D1451">
        <w:t xml:space="preserve"> HARQ-ACK information bit </w:t>
      </w:r>
      <w:r w:rsidRPr="005D1451">
        <w:rPr>
          <w:lang w:eastAsia="zh-CN"/>
        </w:rPr>
        <w:t xml:space="preserve">for candidate PSSCH transmission </w:t>
      </w:r>
      <w:r w:rsidR="001D3B98" w:rsidRPr="005D1451">
        <w:rPr>
          <w:lang w:eastAsia="zh-CN"/>
        </w:rPr>
        <w:t xml:space="preserve">with index </w:t>
      </w:r>
      <m:oMath>
        <m:r>
          <w:rPr>
            <w:rFonts w:ascii="Cambria Math"/>
          </w:rPr>
          <m:t>j</m:t>
        </m:r>
      </m:oMath>
      <w:r w:rsidR="001D3B98" w:rsidRPr="005D1451">
        <w:rPr>
          <w:lang w:eastAsia="zh-CN"/>
        </w:rPr>
        <w:t xml:space="preserve"> </w:t>
      </w:r>
      <w:r w:rsidRPr="005D1451">
        <w:rPr>
          <w:lang w:eastAsia="zh-CN"/>
        </w:rPr>
        <w:t>with corresponding PS</w:t>
      </w:r>
      <w:r w:rsidRPr="005D1451">
        <w:rPr>
          <w:lang w:val="en-US" w:eastAsia="zh-CN"/>
        </w:rPr>
        <w:t>F</w:t>
      </w:r>
      <w:r w:rsidRPr="005D1451">
        <w:rPr>
          <w:lang w:eastAsia="zh-CN"/>
        </w:rPr>
        <w:t>CH reception</w:t>
      </w:r>
      <w:r w:rsidRPr="005D1451">
        <w:t>,</w:t>
      </w:r>
      <w:r w:rsidRPr="005D1451" w:rsidDel="005E7E49">
        <w:rPr>
          <w:lang w:eastAsia="zh-CN"/>
        </w:rPr>
        <w:t xml:space="preserve"> </w:t>
      </w:r>
      <w:r w:rsidRPr="005D1451">
        <w:rPr>
          <w:lang w:eastAsia="zh-CN"/>
        </w:rPr>
        <w:t xml:space="preserve">for  </w:t>
      </w:r>
      <m:oMath>
        <m:r>
          <m:rPr>
            <m:sty m:val="p"/>
          </m:rPr>
          <w:rPr>
            <w:rFonts w:ascii="Cambria Math" w:hAnsi="Cambria Math"/>
            <w:lang w:eastAsia="zh-CN"/>
          </w:rPr>
          <m:t>0 ≤</m:t>
        </m:r>
        <m:r>
          <w:rPr>
            <w:rFonts w:ascii="Cambria Math"/>
          </w:rPr>
          <m:t>j&lt;M</m:t>
        </m:r>
      </m:oMath>
      <w:r w:rsidRPr="005D1451">
        <w:t xml:space="preserve">, as described </w:t>
      </w:r>
      <w:r w:rsidR="006F5F9E">
        <w:t>in clause</w:t>
      </w:r>
      <w:r w:rsidRPr="005D1451">
        <w:t xml:space="preserve"> 16.5. If the UE does not </w:t>
      </w:r>
      <w:r w:rsidR="001D3B98">
        <w:t>transmit</w:t>
      </w:r>
      <w:r w:rsidRPr="005D1451">
        <w:t xml:space="preserve"> a </w:t>
      </w:r>
      <w:r w:rsidR="00781A27" w:rsidRPr="005D1451">
        <w:t>PS</w:t>
      </w:r>
      <w:r w:rsidR="00781A27">
        <w:t>S</w:t>
      </w:r>
      <w:r w:rsidR="00781A27" w:rsidRPr="005D1451">
        <w:t xml:space="preserve">CH </w:t>
      </w:r>
      <w:r w:rsidRPr="005D1451">
        <w:t>in a</w:t>
      </w:r>
      <w:r w:rsidR="00781A27">
        <w:t>n</w:t>
      </w:r>
      <w:r w:rsidRPr="005D1451">
        <w:t xml:space="preserve"> occasion</w:t>
      </w:r>
      <w:r w:rsidR="00781A27">
        <w:t xml:space="preserve"> for </w:t>
      </w:r>
      <w:r w:rsidR="00781A27" w:rsidRPr="0002366D">
        <w:t>candidate</w:t>
      </w:r>
      <w:r w:rsidR="00781A27">
        <w:t xml:space="preserve"> PSSCH transmission</w:t>
      </w:r>
      <w:r w:rsidR="00781A27" w:rsidRPr="00C304CB">
        <w:t xml:space="preserve"> </w:t>
      </w:r>
      <w:r w:rsidR="00781A27" w:rsidRPr="0002366D">
        <w:t>with corresponding PSFCH reception occasion</w:t>
      </w:r>
      <w:r w:rsidRPr="005D1451">
        <w:t xml:space="preserve">, </w:t>
      </w:r>
      <w:r>
        <w:t xml:space="preserve">due to the UE not detecting a corresponding DCI format 3_0, </w:t>
      </w:r>
      <w:r w:rsidRPr="005D1451">
        <w:t xml:space="preserve">the UE generates a NACK value for the </w:t>
      </w:r>
      <w:r w:rsidR="00781A27">
        <w:t xml:space="preserve">occasion for candidate </w:t>
      </w:r>
      <w:r w:rsidR="00781A27" w:rsidRPr="005D1451">
        <w:t>PS</w:t>
      </w:r>
      <w:r w:rsidR="00781A27">
        <w:t>S</w:t>
      </w:r>
      <w:r w:rsidR="00781A27" w:rsidRPr="005D1451">
        <w:t xml:space="preserve">CH </w:t>
      </w:r>
      <w:r w:rsidR="00781A27">
        <w:t xml:space="preserve">transmission with corresponding PSFCH </w:t>
      </w:r>
      <w:r w:rsidRPr="005D1451">
        <w:t xml:space="preserve">reception occasion. </w:t>
      </w:r>
    </w:p>
    <w:p w14:paraId="02284140" w14:textId="60E5CBFF" w:rsidR="008A1F79" w:rsidRPr="005D1451" w:rsidRDefault="008A1F79" w:rsidP="008A1F79">
      <w:pPr>
        <w:rPr>
          <w:lang w:val="en-US" w:eastAsia="zh-CN"/>
        </w:rPr>
      </w:pPr>
      <w:r w:rsidRPr="005D1451">
        <w:rPr>
          <w:lang w:val="en-US" w:eastAsia="zh-CN"/>
        </w:rPr>
        <w:t xml:space="preserve">If </w:t>
      </w:r>
      <m:oMath>
        <m:sSub>
          <m:sSubPr>
            <m:ctrlPr>
              <w:rPr>
                <w:rFonts w:ascii="Cambria Math" w:hAnsi="Cambria Math"/>
                <w:i/>
              </w:rPr>
            </m:ctrlPr>
          </m:sSubPr>
          <m:e>
            <m:r>
              <w:rPr>
                <w:rFonts w:ascii="Cambria Math"/>
              </w:rPr>
              <m:t>O</m:t>
            </m:r>
          </m:e>
          <m:sub>
            <m:r>
              <m:rPr>
                <m:nor/>
              </m:rPr>
              <w:rPr>
                <w:rFonts w:ascii="Cambria Math"/>
              </w:rPr>
              <m:t>ACK</m:t>
            </m:r>
            <m:ctrlPr>
              <w:rPr>
                <w:rFonts w:ascii="Cambria Math" w:hAnsi="Cambria Math"/>
              </w:rPr>
            </m:ctrlPr>
          </m:sub>
        </m:sSub>
        <m:r>
          <w:rPr>
            <w:rFonts w:ascii="Cambria Math"/>
          </w:rPr>
          <m:t>≤</m:t>
        </m:r>
        <m:r>
          <w:rPr>
            <w:rFonts w:ascii="Cambria Math"/>
          </w:rPr>
          <m:t>11</m:t>
        </m:r>
      </m:oMath>
      <w:r w:rsidRPr="005D1451">
        <w:t xml:space="preserve">, </w:t>
      </w:r>
      <w:r w:rsidRPr="005D1451">
        <w:rPr>
          <w:lang w:val="en-US" w:eastAsia="zh-CN"/>
        </w:rPr>
        <w:t xml:space="preserve">the UE determines a number of HARQ-ACK information bits </w:t>
      </w:r>
      <m:oMath>
        <m:sSub>
          <m:sSubPr>
            <m:ctrlPr>
              <w:rPr>
                <w:rFonts w:ascii="Cambria Math" w:hAnsi="Cambria Math" w:cs="Arial"/>
                <w:i/>
                <w:lang w:eastAsia="zh-CN"/>
              </w:rPr>
            </m:ctrlPr>
          </m:sSubPr>
          <m:e>
            <m:r>
              <w:rPr>
                <w:rFonts w:ascii="Cambria Math" w:cs="Arial"/>
                <w:lang w:eastAsia="zh-CN"/>
              </w:rPr>
              <m:t>n</m:t>
            </m:r>
          </m:e>
          <m:sub>
            <m:r>
              <m:rPr>
                <m:sty m:val="p"/>
              </m:rPr>
              <w:rPr>
                <w:rFonts w:ascii="Cambria Math" w:cs="Arial"/>
                <w:lang w:eastAsia="zh-CN"/>
              </w:rPr>
              <m:t>HARQ</m:t>
            </m:r>
            <m:r>
              <m:rPr>
                <m:sty m:val="p"/>
              </m:rPr>
              <w:rPr>
                <w:rFonts w:ascii="Cambria Math" w:cs="Arial"/>
                <w:lang w:eastAsia="zh-CN"/>
              </w:rPr>
              <m:t>-</m:t>
            </m:r>
            <m:r>
              <m:rPr>
                <m:sty m:val="p"/>
              </m:rPr>
              <w:rPr>
                <w:rFonts w:ascii="Cambria Math" w:cs="Arial"/>
                <w:lang w:eastAsia="zh-CN"/>
              </w:rPr>
              <m:t>ACK</m:t>
            </m:r>
          </m:sub>
        </m:sSub>
      </m:oMath>
      <w:r w:rsidRPr="005D1451">
        <w:rPr>
          <w:lang w:eastAsia="zh-CN"/>
        </w:rPr>
        <w:t xml:space="preserve"> for obtaining a transmission power for a PUCCH, as described </w:t>
      </w:r>
      <w:r w:rsidR="006F5F9E">
        <w:rPr>
          <w:lang w:eastAsia="zh-CN"/>
        </w:rPr>
        <w:t>in clause</w:t>
      </w:r>
      <w:r w:rsidRPr="005D1451">
        <w:rPr>
          <w:lang w:eastAsia="zh-CN"/>
        </w:rPr>
        <w:t xml:space="preserve"> 7.2.1, </w:t>
      </w:r>
      <w:r w:rsidRPr="005D1451">
        <w:rPr>
          <w:lang w:val="en-US" w:eastAsia="zh-CN"/>
        </w:rPr>
        <w:t xml:space="preserve">as </w:t>
      </w:r>
      <m:oMath>
        <m:sSub>
          <m:sSubPr>
            <m:ctrlPr>
              <w:rPr>
                <w:rFonts w:ascii="Cambria Math" w:hAnsi="Cambria Math"/>
                <w:i/>
              </w:rPr>
            </m:ctrlPr>
          </m:sSubPr>
          <m:e>
            <m:r>
              <w:rPr>
                <w:rFonts w:ascii="Cambria Math"/>
              </w:rPr>
              <m:t>n</m:t>
            </m:r>
          </m:e>
          <m:sub>
            <m:r>
              <m:rPr>
                <m:nor/>
              </m:rPr>
              <w:rPr>
                <w:rFonts w:ascii="Cambria Math"/>
              </w:rPr>
              <m:t>HARQ-ACK</m:t>
            </m:r>
            <m:ctrlPr>
              <w:rPr>
                <w:rFonts w:ascii="Cambria Math" w:hAnsi="Cambria Math"/>
              </w:rPr>
            </m:ctrlPr>
          </m:sub>
        </m:sSub>
        <m:r>
          <w:rPr>
            <w:rFonts w:ascii="Cambria Math"/>
          </w:rPr>
          <m:t>=</m:t>
        </m:r>
        <m:nary>
          <m:naryPr>
            <m:chr m:val="∑"/>
            <m:ctrlPr>
              <w:rPr>
                <w:rFonts w:ascii="Cambria Math" w:hAnsi="Cambria Math"/>
                <w:iCs/>
                <w:lang w:eastAsia="zh-CN"/>
              </w:rPr>
            </m:ctrlPr>
          </m:naryPr>
          <m:sub>
            <m:r>
              <m:rPr>
                <m:sty m:val="p"/>
              </m:rPr>
              <w:rPr>
                <w:rFonts w:ascii="Cambria Math"/>
                <w:lang w:eastAsia="zh-CN"/>
              </w:rPr>
              <m:t>m=0</m:t>
            </m:r>
          </m:sub>
          <m:sup>
            <m:r>
              <m:rPr>
                <m:sty m:val="p"/>
              </m:rPr>
              <w:rPr>
                <w:rFonts w:ascii="Cambria Math"/>
                <w:lang w:eastAsia="zh-CN"/>
              </w:rPr>
              <m:t>M</m:t>
            </m:r>
            <m:r>
              <m:rPr>
                <m:sty m:val="p"/>
              </m:rPr>
              <w:rPr>
                <w:rFonts w:ascii="Cambria Math"/>
                <w:lang w:eastAsia="zh-CN"/>
              </w:rPr>
              <m:t>-</m:t>
            </m:r>
            <m:r>
              <m:rPr>
                <m:sty m:val="p"/>
              </m:rPr>
              <w:rPr>
                <w:rFonts w:ascii="Cambria Math"/>
                <w:lang w:eastAsia="zh-CN"/>
              </w:rPr>
              <m:t>1</m:t>
            </m:r>
          </m:sup>
          <m:e>
            <m:sSubSup>
              <m:sSubSupPr>
                <m:ctrlPr>
                  <w:rPr>
                    <w:rFonts w:ascii="Cambria Math" w:hAnsi="Cambria Math"/>
                    <w:iCs/>
                    <w:lang w:eastAsia="zh-CN"/>
                  </w:rPr>
                </m:ctrlPr>
              </m:sSubSupPr>
              <m:e>
                <m:r>
                  <w:rPr>
                    <w:rFonts w:ascii="Cambria Math"/>
                    <w:lang w:eastAsia="zh-CN"/>
                  </w:rPr>
                  <m:t>N</m:t>
                </m:r>
              </m:e>
              <m:sub>
                <m:r>
                  <m:rPr>
                    <m:sty m:val="p"/>
                  </m:rPr>
                  <w:rPr>
                    <w:rFonts w:ascii="Cambria Math"/>
                    <w:lang w:eastAsia="zh-CN"/>
                  </w:rPr>
                  <m:t>m</m:t>
                </m:r>
              </m:sub>
              <m:sup>
                <m:r>
                  <m:rPr>
                    <m:sty m:val="p"/>
                  </m:rPr>
                  <w:rPr>
                    <w:rFonts w:ascii="Cambria Math"/>
                    <w:lang w:eastAsia="zh-CN"/>
                  </w:rPr>
                  <m:t>received</m:t>
                </m:r>
              </m:sup>
            </m:sSubSup>
          </m:e>
        </m:nary>
      </m:oMath>
      <w:r w:rsidRPr="005D1451">
        <w:rPr>
          <w:lang w:val="en-US" w:eastAsia="zh-CN"/>
        </w:rPr>
        <w:t xml:space="preserve"> where </w:t>
      </w:r>
      <m:oMath>
        <m:sSubSup>
          <m:sSubSupPr>
            <m:ctrlPr>
              <w:rPr>
                <w:rFonts w:ascii="Cambria Math" w:hAnsi="Cambria Math" w:cs="Arial"/>
                <w:i/>
                <w:lang w:eastAsia="zh-CN"/>
              </w:rPr>
            </m:ctrlPr>
          </m:sSubSupPr>
          <m:e>
            <m:r>
              <w:rPr>
                <w:rFonts w:ascii="Cambria Math" w:cs="Arial"/>
                <w:lang w:eastAsia="zh-CN"/>
              </w:rPr>
              <m:t>N</m:t>
            </m:r>
          </m:e>
          <m:sub>
            <m:r>
              <w:rPr>
                <w:rFonts w:ascii="Cambria Math" w:cs="Arial"/>
                <w:lang w:eastAsia="zh-CN"/>
              </w:rPr>
              <m:t>m</m:t>
            </m:r>
          </m:sub>
          <m:sup>
            <m:r>
              <m:rPr>
                <m:nor/>
              </m:rPr>
              <w:rPr>
                <w:rFonts w:ascii="Cambria Math" w:cs="Arial"/>
                <w:lang w:eastAsia="zh-CN"/>
              </w:rPr>
              <m:t>received</m:t>
            </m:r>
            <m:ctrlPr>
              <w:rPr>
                <w:rFonts w:ascii="Cambria Math" w:hAnsi="Cambria Math" w:cs="Arial"/>
                <w:lang w:eastAsia="zh-CN"/>
              </w:rPr>
            </m:ctrlPr>
          </m:sup>
        </m:sSubSup>
      </m:oMath>
      <w:r w:rsidRPr="005D1451">
        <w:rPr>
          <w:rFonts w:cs="Arial"/>
          <w:lang w:val="en-US" w:eastAsia="zh-CN"/>
        </w:rPr>
        <w:t xml:space="preserve"> is </w:t>
      </w:r>
      <w:r w:rsidRPr="005D1451">
        <w:rPr>
          <w:lang w:eastAsia="zh-CN"/>
        </w:rPr>
        <w:t>a</w:t>
      </w:r>
      <w:r w:rsidRPr="005D1451">
        <w:rPr>
          <w:rFonts w:hint="eastAsia"/>
          <w:lang w:eastAsia="zh-CN"/>
        </w:rPr>
        <w:t xml:space="preserve"> number of </w:t>
      </w:r>
      <w:r w:rsidRPr="005D1451">
        <w:rPr>
          <w:lang w:val="en-US" w:eastAsia="zh-CN"/>
        </w:rPr>
        <w:t xml:space="preserve">HARQ-ACK information bits determined for corresponding PSSCH transmissions with corresponding PSFCH reception occasions </w:t>
      </w:r>
      <w:r w:rsidRPr="005D1451">
        <w:rPr>
          <w:lang w:val="en-US"/>
        </w:rPr>
        <w:t xml:space="preserve">in PSFCH </w:t>
      </w:r>
      <w:r w:rsidRPr="005D1451">
        <w:rPr>
          <w:rFonts w:hint="eastAsia"/>
          <w:lang w:val="en-US" w:eastAsia="zh-CN"/>
        </w:rPr>
        <w:t>reception</w:t>
      </w:r>
      <w:r w:rsidRPr="005D1451">
        <w:rPr>
          <w:lang w:eastAsia="zh-CN"/>
        </w:rPr>
        <w:t xml:space="preserve"> occasion</w:t>
      </w:r>
      <w:r w:rsidRPr="005D1451">
        <w:rPr>
          <w:rFonts w:hint="eastAsia"/>
          <w:lang w:val="en-US" w:eastAsia="zh-CN"/>
        </w:rPr>
        <w:t xml:space="preserve"> </w:t>
      </w:r>
      <m:oMath>
        <m:r>
          <w:rPr>
            <w:rFonts w:ascii="Cambria Math" w:hAnsi="Cambria Math" w:cs="Arial"/>
            <w:lang w:eastAsia="zh-CN"/>
          </w:rPr>
          <m:t>m</m:t>
        </m:r>
      </m:oMath>
      <w:r w:rsidRPr="005D1451">
        <w:rPr>
          <w:lang w:val="en-US"/>
        </w:rPr>
        <w:t>.</w:t>
      </w:r>
    </w:p>
    <w:p w14:paraId="5D5BF00B" w14:textId="77777777" w:rsidR="008A1F79" w:rsidRDefault="008A1F79" w:rsidP="00472C3D">
      <w:pPr>
        <w:pStyle w:val="Heading4"/>
        <w:rPr>
          <w:lang w:val="en-US" w:eastAsia="zh-CN"/>
        </w:rPr>
      </w:pPr>
      <w:bookmarkStart w:id="941" w:name="_Toc45699248"/>
      <w:bookmarkStart w:id="942" w:name="_Toc161999186"/>
      <w:r w:rsidRPr="007E4EA5">
        <w:rPr>
          <w:lang w:val="en-US" w:eastAsia="zh-CN"/>
        </w:rPr>
        <w:t>16.5.1.</w:t>
      </w:r>
      <w:r>
        <w:rPr>
          <w:lang w:val="en-US" w:eastAsia="zh-CN"/>
        </w:rPr>
        <w:t>2</w:t>
      </w:r>
      <w:r w:rsidRPr="007E4EA5">
        <w:rPr>
          <w:lang w:val="en-US" w:eastAsia="zh-CN"/>
        </w:rPr>
        <w:tab/>
        <w:t>Type-1 HARQ-ACK codebook in physical uplink shared channel</w:t>
      </w:r>
      <w:bookmarkEnd w:id="941"/>
      <w:bookmarkEnd w:id="942"/>
    </w:p>
    <w:p w14:paraId="2B14ADE4" w14:textId="098816B9" w:rsidR="008A1F79" w:rsidRPr="00A351FA" w:rsidRDefault="008A1F79" w:rsidP="008A1F79">
      <w:pPr>
        <w:rPr>
          <w:lang w:eastAsia="zh-CN"/>
        </w:rPr>
      </w:pPr>
      <w:r w:rsidRPr="00A351FA">
        <w:rPr>
          <w:lang w:eastAsia="zh-CN"/>
        </w:rPr>
        <w:t xml:space="preserve">If a UE would multiplex HARQ-ACK information in a PUSCH transmission that is not scheduled by a DCI format or is scheduled by </w:t>
      </w:r>
      <w:r w:rsidR="00531BC1">
        <w:rPr>
          <w:lang w:eastAsia="zh-CN"/>
        </w:rPr>
        <w:t xml:space="preserve">a </w:t>
      </w:r>
      <w:r w:rsidRPr="00A351FA">
        <w:rPr>
          <w:lang w:eastAsia="zh-CN"/>
        </w:rPr>
        <w:t xml:space="preserve">DCI format </w:t>
      </w:r>
      <w:r w:rsidR="00531BC1">
        <w:rPr>
          <w:lang w:eastAsia="zh-CN"/>
        </w:rPr>
        <w:t>without an SAI field</w:t>
      </w:r>
      <w:r w:rsidRPr="00A351FA">
        <w:rPr>
          <w:lang w:eastAsia="zh-CN"/>
        </w:rPr>
        <w:t xml:space="preserve">, then </w:t>
      </w:r>
    </w:p>
    <w:p w14:paraId="535FD0C7" w14:textId="77777777" w:rsidR="008A1F79" w:rsidRDefault="008A1F79" w:rsidP="00472C3D">
      <w:pPr>
        <w:pStyle w:val="B1"/>
      </w:pPr>
      <w:r w:rsidRPr="00A351FA">
        <w:t>-</w:t>
      </w:r>
      <w:r w:rsidRPr="00A351FA">
        <w:tab/>
        <w:t>i</w:t>
      </w:r>
      <w:r w:rsidRPr="00A351FA">
        <w:rPr>
          <w:lang w:val="en-GB"/>
        </w:rPr>
        <w:t xml:space="preserve">f the </w:t>
      </w:r>
      <w:r w:rsidRPr="00A351FA">
        <w:t xml:space="preserve">UE </w:t>
      </w:r>
    </w:p>
    <w:p w14:paraId="1DD9510A" w14:textId="1523695C" w:rsidR="008A1F79" w:rsidRDefault="008A1F79" w:rsidP="00495059">
      <w:pPr>
        <w:pStyle w:val="B2"/>
      </w:pPr>
      <w:r w:rsidRPr="00A351FA">
        <w:rPr>
          <w:iCs/>
        </w:rPr>
        <w:t>-</w:t>
      </w:r>
      <w:r w:rsidRPr="00A351FA">
        <w:rPr>
          <w:iCs/>
        </w:rPr>
        <w:tab/>
      </w:r>
      <w:r w:rsidRPr="00A351FA">
        <w:t>has not received any PDCCH with a DCI format 3_0 scheduling PSSCH transmissions with corresponding PSFCH reception occasions that the UE transmits corresponding HARQ-ACK information in the PUSCH, based on a value of a respective PSFCH-to-HARQ</w:t>
      </w:r>
      <w:r w:rsidR="002B3D30">
        <w:rPr>
          <w:lang w:val="en-GB"/>
        </w:rPr>
        <w:t xml:space="preserve"> </w:t>
      </w:r>
      <w:r w:rsidRPr="00A351FA">
        <w:t xml:space="preserve">feedback timing indicator field in a DCI format scheduling the PSSCH </w:t>
      </w:r>
      <w:r>
        <w:t>transmissions</w:t>
      </w:r>
      <w:r w:rsidRPr="00A351FA">
        <w:t xml:space="preserve"> or on the value of PSFCH-to-HARQ feedback timing indicator field in a DCI format 3_0 activating a SL configured grant Type</w:t>
      </w:r>
      <w:r w:rsidR="00F14C2C">
        <w:rPr>
          <w:lang w:val="en-US"/>
        </w:rPr>
        <w:t xml:space="preserve"> </w:t>
      </w:r>
      <w:r w:rsidRPr="00A351FA">
        <w:t>2 transmission</w:t>
      </w:r>
      <w:r>
        <w:t>,</w:t>
      </w:r>
      <w:r w:rsidRPr="00A351FA">
        <w:t xml:space="preserve"> or </w:t>
      </w:r>
    </w:p>
    <w:p w14:paraId="557BB432" w14:textId="77777777" w:rsidR="002B3D30" w:rsidRDefault="008A1F79" w:rsidP="00495059">
      <w:pPr>
        <w:pStyle w:val="B2"/>
      </w:pPr>
      <w:r w:rsidRPr="00A351FA">
        <w:rPr>
          <w:iCs/>
        </w:rPr>
        <w:t>-</w:t>
      </w:r>
      <w:r w:rsidRPr="00A351FA">
        <w:rPr>
          <w:iCs/>
        </w:rPr>
        <w:tab/>
      </w:r>
      <w:r>
        <w:t>has not been provided PSSCH resources with corresponding PSFCH reception occasions that the UE transmits corresponding HARQ-ACK information based</w:t>
      </w:r>
      <w:r w:rsidRPr="00A351FA">
        <w:t xml:space="preserve"> on the value of </w:t>
      </w:r>
      <w:r w:rsidR="00326E08" w:rsidRPr="00882C4D">
        <w:rPr>
          <w:i/>
          <w:iCs/>
        </w:rPr>
        <w:t>sl-PSFCH-ToPUCCH-CG-Type1</w:t>
      </w:r>
      <w:r w:rsidRPr="00A351FA">
        <w:t xml:space="preserve"> for a SL configured grant Type</w:t>
      </w:r>
      <w:r w:rsidR="00F14C2C">
        <w:rPr>
          <w:lang w:val="en-US"/>
        </w:rPr>
        <w:t xml:space="preserve"> </w:t>
      </w:r>
      <w:r w:rsidRPr="00A351FA">
        <w:t xml:space="preserve">1, </w:t>
      </w:r>
    </w:p>
    <w:p w14:paraId="5CE54510" w14:textId="29C008C9" w:rsidR="008A1F79" w:rsidRPr="00A351FA" w:rsidRDefault="002B3D30" w:rsidP="002B3D30">
      <w:pPr>
        <w:pStyle w:val="B2"/>
        <w:ind w:left="567" w:firstLine="0"/>
      </w:pPr>
      <w:r>
        <w:rPr>
          <w:lang w:val="en-GB"/>
        </w:rPr>
        <w:t xml:space="preserve">then </w:t>
      </w:r>
      <w:r w:rsidR="008A1F79" w:rsidRPr="00A351FA">
        <w:t>in any of the</w:t>
      </w:r>
      <w:r w:rsidR="00F14C2C">
        <w:rPr>
          <w:lang w:val="en-US"/>
        </w:rPr>
        <w:t xml:space="preserve"> set</w:t>
      </w:r>
      <w:r w:rsidR="008A1F79" w:rsidRPr="00A351FA">
        <w:t xml:space="preserve"> </w:t>
      </w:r>
      <m:oMath>
        <m:sSub>
          <m:sSubPr>
            <m:ctrlPr>
              <w:rPr>
                <w:rFonts w:ascii="Cambria Math" w:hAnsi="Cambria Math"/>
                <w:i/>
              </w:rPr>
            </m:ctrlPr>
          </m:sSubPr>
          <m:e>
            <m:r>
              <w:rPr>
                <w:rFonts w:ascii="Cambria Math" w:hAnsi="Cambria Math"/>
              </w:rPr>
              <m:t>M</m:t>
            </m:r>
          </m:e>
          <m:sub>
            <m:r>
              <w:rPr>
                <w:rFonts w:ascii="Cambria Math" w:hAnsi="Cambria Math"/>
              </w:rPr>
              <m:t>A</m:t>
            </m:r>
          </m:sub>
        </m:sSub>
      </m:oMath>
      <w:r w:rsidR="008A1F79" w:rsidRPr="00A351FA">
        <w:t xml:space="preserve"> </w:t>
      </w:r>
      <w:r w:rsidR="00F14C2C">
        <w:rPr>
          <w:lang w:val="en-US"/>
        </w:rPr>
        <w:t xml:space="preserve">of </w:t>
      </w:r>
      <w:r w:rsidR="008A1F79" w:rsidRPr="00A351FA">
        <w:t xml:space="preserve">occasions for candidate PSSCH transmissions with corresponding PSFCH reception occasions, as described </w:t>
      </w:r>
      <w:r w:rsidR="006F5F9E">
        <w:t>in clause</w:t>
      </w:r>
      <w:r w:rsidR="008A1F79" w:rsidRPr="00A351FA">
        <w:t xml:space="preserve"> 16.5.1.1</w:t>
      </w:r>
      <w:r w:rsidR="008A1F79" w:rsidRPr="00A351FA">
        <w:rPr>
          <w:iCs/>
          <w:lang w:val="en-GB"/>
        </w:rPr>
        <w:t xml:space="preserve">, </w:t>
      </w:r>
      <w:r w:rsidR="008A1F79" w:rsidRPr="00A351FA">
        <w:t>the UE does not multiplex HARQ-ACK</w:t>
      </w:r>
      <w:r w:rsidR="008A1F79" w:rsidRPr="00A351FA">
        <w:rPr>
          <w:lang w:val="en-US"/>
        </w:rPr>
        <w:t xml:space="preserve"> information</w:t>
      </w:r>
      <w:r w:rsidR="008A1F79" w:rsidRPr="00A351FA">
        <w:t xml:space="preserve"> in the PUSCH transmission;</w:t>
      </w:r>
    </w:p>
    <w:p w14:paraId="629760D6" w14:textId="4C5F3AEA" w:rsidR="008A1F79" w:rsidRDefault="008A1F79" w:rsidP="008A1F79">
      <w:pPr>
        <w:pStyle w:val="B1"/>
        <w:rPr>
          <w:lang w:val="en-US"/>
        </w:rPr>
      </w:pPr>
      <w:r w:rsidRPr="00A351FA">
        <w:rPr>
          <w:lang w:val="en-US"/>
        </w:rPr>
        <w:t>-</w:t>
      </w:r>
      <w:r w:rsidRPr="00A351FA">
        <w:rPr>
          <w:lang w:val="en-US"/>
        </w:rPr>
        <w:tab/>
        <w:t xml:space="preserve">else </w:t>
      </w:r>
      <w:r w:rsidRPr="00A351FA">
        <w:t xml:space="preserve">the UE generates the HARQ-ACK codebook as described </w:t>
      </w:r>
      <w:r w:rsidR="006F5F9E">
        <w:t>in clause</w:t>
      </w:r>
      <w:r w:rsidRPr="00A351FA">
        <w:rPr>
          <w:lang w:val="en-US"/>
        </w:rPr>
        <w:t xml:space="preserve"> 16.5.1.1,</w:t>
      </w:r>
      <w:r w:rsidRPr="00A351FA">
        <w:t xml:space="preserve"> </w:t>
      </w:r>
      <w:r w:rsidRPr="00A351FA">
        <w:rPr>
          <w:lang w:val="en-US"/>
        </w:rPr>
        <w:t xml:space="preserve">unless the UE generates HARQ-ACK information only for </w:t>
      </w:r>
    </w:p>
    <w:p w14:paraId="646ACC67" w14:textId="77777777" w:rsidR="008A1F79" w:rsidRDefault="008A1F79" w:rsidP="00495059">
      <w:pPr>
        <w:pStyle w:val="B2"/>
      </w:pPr>
      <w:r w:rsidRPr="00A351FA">
        <w:rPr>
          <w:iCs/>
        </w:rPr>
        <w:t>-</w:t>
      </w:r>
      <w:r w:rsidRPr="00A351FA">
        <w:rPr>
          <w:iCs/>
        </w:rPr>
        <w:tab/>
      </w:r>
      <w:r w:rsidRPr="00A351FA">
        <w:t xml:space="preserve">PSFCH reception </w:t>
      </w:r>
      <w:r>
        <w:t xml:space="preserve">occasions </w:t>
      </w:r>
      <w:r w:rsidRPr="00A351FA">
        <w:t>associated with PSSCH transmissions corresponding to a SL configured grant, or</w:t>
      </w:r>
    </w:p>
    <w:p w14:paraId="0C2E2A27" w14:textId="77777777" w:rsidR="002B3D30" w:rsidRDefault="008A1F79" w:rsidP="00495059">
      <w:pPr>
        <w:pStyle w:val="B2"/>
      </w:pPr>
      <w:r w:rsidRPr="00A351FA">
        <w:rPr>
          <w:iCs/>
        </w:rPr>
        <w:t>-</w:t>
      </w:r>
      <w:r w:rsidRPr="00A351FA">
        <w:rPr>
          <w:iCs/>
        </w:rPr>
        <w:tab/>
      </w:r>
      <w:r w:rsidRPr="00A351FA">
        <w:t>PSFCH reception</w:t>
      </w:r>
      <w:r>
        <w:t xml:space="preserve"> occasion</w:t>
      </w:r>
      <w:r w:rsidRPr="00A351FA">
        <w:t>s associated with PSS</w:t>
      </w:r>
      <w:r>
        <w:t>C</w:t>
      </w:r>
      <w:r w:rsidRPr="00A351FA">
        <w:t xml:space="preserve">H transmissions that are scheduled by DCI format 3_0 with a counter SAI field value of 1 </w:t>
      </w:r>
    </w:p>
    <w:p w14:paraId="102CF2AA" w14:textId="27466CFE" w:rsidR="008A1F79" w:rsidRPr="00A351FA" w:rsidRDefault="008A1F79" w:rsidP="002B3D30">
      <w:pPr>
        <w:pStyle w:val="B2"/>
        <w:ind w:left="567" w:firstLine="0"/>
      </w:pPr>
      <w:r w:rsidRPr="00A351FA">
        <w:t>in the</w:t>
      </w:r>
      <w:r w:rsidR="00F14C2C">
        <w:rPr>
          <w:lang w:val="en-US"/>
        </w:rPr>
        <w:t xml:space="preserve"> set</w:t>
      </w:r>
      <w:r w:rsidRPr="00A351FA">
        <w:t xml:space="preserve"> </w:t>
      </w:r>
      <m:oMath>
        <m:sSub>
          <m:sSubPr>
            <m:ctrlPr>
              <w:rPr>
                <w:rFonts w:ascii="Cambria Math" w:hAnsi="Cambria Math"/>
                <w:i/>
              </w:rPr>
            </m:ctrlPr>
          </m:sSubPr>
          <m:e>
            <m:r>
              <w:rPr>
                <w:rFonts w:ascii="Cambria Math" w:hAnsi="Cambria Math"/>
              </w:rPr>
              <m:t>M</m:t>
            </m:r>
          </m:e>
          <m:sub>
            <m:r>
              <w:rPr>
                <w:rFonts w:ascii="Cambria Math" w:hAnsi="Cambria Math"/>
              </w:rPr>
              <m:t>A</m:t>
            </m:r>
          </m:sub>
        </m:sSub>
      </m:oMath>
      <w:r w:rsidRPr="00A351FA">
        <w:t xml:space="preserve"> </w:t>
      </w:r>
      <w:r w:rsidR="00F14C2C">
        <w:rPr>
          <w:lang w:val="en-US"/>
        </w:rPr>
        <w:t xml:space="preserve">of </w:t>
      </w:r>
      <w:r w:rsidRPr="00A351FA">
        <w:t>occasions for candidate PSSCH transmissions with corresponding PSFCH reception</w:t>
      </w:r>
      <w:r>
        <w:t xml:space="preserve"> occasion</w:t>
      </w:r>
      <w:r w:rsidRPr="00A351FA">
        <w:t>s</w:t>
      </w:r>
      <w:r>
        <w:t>,</w:t>
      </w:r>
      <w:r w:rsidRPr="00A351FA">
        <w:t xml:space="preserve"> </w:t>
      </w:r>
      <w:r w:rsidRPr="00A351FA">
        <w:rPr>
          <w:lang w:val="en-US"/>
        </w:rPr>
        <w:t xml:space="preserve">in which case </w:t>
      </w:r>
      <w:r w:rsidRPr="00A351FA">
        <w:rPr>
          <w:lang w:eastAsia="x-none"/>
        </w:rPr>
        <w:t>the UE generates HARQ-ACK information only for the PSFCH reception</w:t>
      </w:r>
      <w:r>
        <w:rPr>
          <w:lang w:eastAsia="x-none"/>
        </w:rPr>
        <w:t xml:space="preserve"> occasion</w:t>
      </w:r>
      <w:r w:rsidRPr="00A351FA">
        <w:rPr>
          <w:lang w:eastAsia="x-none"/>
        </w:rPr>
        <w:t>s</w:t>
      </w:r>
      <w:r w:rsidRPr="00A351FA">
        <w:rPr>
          <w:lang w:val="en-US" w:eastAsia="x-none"/>
        </w:rPr>
        <w:t xml:space="preserve"> as described </w:t>
      </w:r>
      <w:r w:rsidR="006F5F9E">
        <w:rPr>
          <w:lang w:val="en-US" w:eastAsia="x-none"/>
        </w:rPr>
        <w:t>in clause</w:t>
      </w:r>
      <w:r w:rsidRPr="00A351FA">
        <w:rPr>
          <w:lang w:val="en-US" w:eastAsia="x-none"/>
        </w:rPr>
        <w:t xml:space="preserve"> 16.5.1</w:t>
      </w:r>
      <w:r w:rsidRPr="00A351FA">
        <w:t>.</w:t>
      </w:r>
    </w:p>
    <w:p w14:paraId="27660FBE" w14:textId="77777777" w:rsidR="008A1F79" w:rsidRPr="00A351FA" w:rsidRDefault="008A1F79" w:rsidP="008A1F79">
      <w:pPr>
        <w:rPr>
          <w:lang w:eastAsia="zh-CN"/>
        </w:rPr>
      </w:pPr>
      <w:r w:rsidRPr="00A351FA">
        <w:rPr>
          <w:lang w:eastAsia="zh-CN"/>
        </w:rPr>
        <w:t xml:space="preserve">A UE sets to NACK value in the HARQ-ACK codebook any HARQ-ACK information corresponding to PSFCH reception occasions associated with PSSCH transmissions scheduled by </w:t>
      </w:r>
      <w:r>
        <w:rPr>
          <w:lang w:eastAsia="zh-CN"/>
        </w:rPr>
        <w:t xml:space="preserve">a </w:t>
      </w:r>
      <w:r w:rsidRPr="00A351FA">
        <w:rPr>
          <w:lang w:eastAsia="zh-CN"/>
        </w:rPr>
        <w:t xml:space="preserve">DCI format 3_0 that the UE detects in a </w:t>
      </w:r>
      <w:r w:rsidRPr="00A351FA">
        <w:rPr>
          <w:lang w:eastAsia="zh-CN"/>
        </w:rPr>
        <w:lastRenderedPageBreak/>
        <w:t>PDCCH monitoring occasion that starts after a PDCCH monitoring occasion where the UE detects a DCI format scheduling the PUSCH transmission.</w:t>
      </w:r>
    </w:p>
    <w:p w14:paraId="1176B768" w14:textId="5B63A208" w:rsidR="008A1F79" w:rsidRDefault="008A1F79" w:rsidP="008A1F79">
      <w:pPr>
        <w:rPr>
          <w:lang w:val="en-US"/>
        </w:rPr>
      </w:pPr>
      <w:r w:rsidRPr="00A351FA">
        <w:rPr>
          <w:lang w:eastAsia="zh-CN"/>
        </w:rPr>
        <w:t xml:space="preserve">If a UE multiplexes HARQ-ACK information in a PUSCH transmission that is scheduled by </w:t>
      </w:r>
      <w:r>
        <w:rPr>
          <w:lang w:eastAsia="zh-CN"/>
        </w:rPr>
        <w:t xml:space="preserve">a </w:t>
      </w:r>
      <w:r w:rsidRPr="00A351FA">
        <w:rPr>
          <w:lang w:eastAsia="zh-CN"/>
        </w:rPr>
        <w:t xml:space="preserve">DCI format </w:t>
      </w:r>
      <w:r>
        <w:rPr>
          <w:lang w:eastAsia="zh-CN"/>
        </w:rPr>
        <w:t>that includes a SAI field</w:t>
      </w:r>
      <w:r w:rsidRPr="00A351FA">
        <w:rPr>
          <w:lang w:eastAsia="zh-CN"/>
        </w:rPr>
        <w:t xml:space="preserve">, the UE generates the HARQ-ACK codebook as described </w:t>
      </w:r>
      <w:r w:rsidR="006F5F9E">
        <w:rPr>
          <w:lang w:eastAsia="zh-CN"/>
        </w:rPr>
        <w:t>in clause</w:t>
      </w:r>
      <w:r w:rsidRPr="00A351FA">
        <w:rPr>
          <w:lang w:eastAsia="zh-CN"/>
        </w:rPr>
        <w:t xml:space="preserve"> 16.5.1.1 when a value of the </w:t>
      </w:r>
      <w:r>
        <w:rPr>
          <w:lang w:eastAsia="zh-CN"/>
        </w:rPr>
        <w:t>S</w:t>
      </w:r>
      <w:r w:rsidRPr="00A351FA">
        <w:rPr>
          <w:lang w:eastAsia="zh-CN"/>
        </w:rPr>
        <w:t xml:space="preserve">AI field </w:t>
      </w:r>
      <w:r w:rsidRPr="00A351FA">
        <w:rPr>
          <w:lang w:val="en-US" w:eastAsia="zh-CN"/>
        </w:rPr>
        <w:t xml:space="preserve">in </w:t>
      </w:r>
      <w:r>
        <w:rPr>
          <w:lang w:val="en-US" w:eastAsia="zh-CN"/>
        </w:rPr>
        <w:t xml:space="preserve">the </w:t>
      </w:r>
      <w:r w:rsidRPr="00A351FA">
        <w:rPr>
          <w:lang w:eastAsia="zh-CN"/>
        </w:rPr>
        <w:t>DCI format</w:t>
      </w:r>
      <w:r w:rsidRPr="00A351FA">
        <w:rPr>
          <w:lang w:val="en-US" w:eastAsia="zh-CN"/>
        </w:rPr>
        <w:t xml:space="preserve"> is </w:t>
      </w:r>
      <m:oMath>
        <m:sSubSup>
          <m:sSubSupPr>
            <m:ctrlPr>
              <w:rPr>
                <w:rFonts w:ascii="Cambria Math" w:hAnsi="Cambria Math"/>
                <w:i/>
                <w:lang w:eastAsia="zh-CN"/>
              </w:rPr>
            </m:ctrlPr>
          </m:sSubSupPr>
          <m:e>
            <m:r>
              <w:rPr>
                <w:rFonts w:ascii="Cambria Math" w:hAnsi="Cambria Math"/>
                <w:lang w:eastAsia="zh-CN"/>
              </w:rPr>
              <m:t>V</m:t>
            </m:r>
          </m:e>
          <m:sub>
            <m:r>
              <w:rPr>
                <w:rFonts w:ascii="Cambria Math" w:hAnsi="Cambria Math"/>
                <w:lang w:eastAsia="zh-CN"/>
              </w:rPr>
              <m:t>T-</m:t>
            </m:r>
            <m:r>
              <m:rPr>
                <m:nor/>
              </m:rPr>
              <w:rPr>
                <w:lang w:eastAsia="zh-CN"/>
              </w:rPr>
              <m:t>SAI</m:t>
            </m:r>
            <m:ctrlPr>
              <w:rPr>
                <w:rFonts w:ascii="Cambria Math" w:hAnsi="Cambria Math"/>
                <w:lang w:eastAsia="zh-CN"/>
              </w:rPr>
            </m:ctrlPr>
          </m:sub>
          <m:sup>
            <m:r>
              <m:rPr>
                <m:nor/>
              </m:rPr>
              <w:rPr>
                <w:lang w:eastAsia="zh-CN"/>
              </w:rPr>
              <m:t>UL</m:t>
            </m:r>
            <m:ctrlPr>
              <w:rPr>
                <w:rFonts w:ascii="Cambria Math" w:hAnsi="Cambria Math"/>
                <w:lang w:eastAsia="zh-CN"/>
              </w:rPr>
            </m:ctrlPr>
          </m:sup>
        </m:sSubSup>
        <m:r>
          <w:rPr>
            <w:rFonts w:ascii="Cambria Math" w:hAnsi="Cambria Math"/>
            <w:lang w:eastAsia="zh-CN"/>
          </w:rPr>
          <m:t>=1</m:t>
        </m:r>
      </m:oMath>
      <w:r w:rsidRPr="00A351FA">
        <w:rPr>
          <w:lang w:eastAsia="zh-CN"/>
        </w:rPr>
        <w:t xml:space="preserve">. The UE does not generate a HARQ-ACK codebook for multiplexing in the PUSCH transmission when </w:t>
      </w:r>
      <m:oMath>
        <m:sSubSup>
          <m:sSubSupPr>
            <m:ctrlPr>
              <w:rPr>
                <w:rFonts w:ascii="Cambria Math" w:hAnsi="Cambria Math"/>
                <w:i/>
                <w:lang w:eastAsia="zh-CN"/>
              </w:rPr>
            </m:ctrlPr>
          </m:sSubSupPr>
          <m:e>
            <m:r>
              <w:rPr>
                <w:rFonts w:ascii="Cambria Math" w:hAnsi="Cambria Math"/>
                <w:lang w:eastAsia="zh-CN"/>
              </w:rPr>
              <m:t>V</m:t>
            </m:r>
          </m:e>
          <m:sub>
            <m:r>
              <w:rPr>
                <w:rFonts w:ascii="Cambria Math" w:hAnsi="Cambria Math"/>
                <w:lang w:eastAsia="zh-CN"/>
              </w:rPr>
              <m:t>T-</m:t>
            </m:r>
            <m:r>
              <m:rPr>
                <m:nor/>
              </m:rPr>
              <w:rPr>
                <w:lang w:eastAsia="zh-CN"/>
              </w:rPr>
              <m:t>SAI</m:t>
            </m:r>
            <m:ctrlPr>
              <w:rPr>
                <w:rFonts w:ascii="Cambria Math" w:hAnsi="Cambria Math"/>
                <w:lang w:eastAsia="zh-CN"/>
              </w:rPr>
            </m:ctrlPr>
          </m:sub>
          <m:sup>
            <m:r>
              <m:rPr>
                <m:nor/>
              </m:rPr>
              <w:rPr>
                <w:lang w:eastAsia="zh-CN"/>
              </w:rPr>
              <m:t>UL</m:t>
            </m:r>
            <m:ctrlPr>
              <w:rPr>
                <w:rFonts w:ascii="Cambria Math" w:hAnsi="Cambria Math"/>
                <w:lang w:eastAsia="zh-CN"/>
              </w:rPr>
            </m:ctrlPr>
          </m:sup>
        </m:sSubSup>
        <m:r>
          <w:rPr>
            <w:rFonts w:ascii="Cambria Math" w:hAnsi="Cambria Math"/>
            <w:lang w:eastAsia="zh-CN"/>
          </w:rPr>
          <m:t>=0</m:t>
        </m:r>
      </m:oMath>
      <w:r w:rsidRPr="00A351FA">
        <w:rPr>
          <w:lang w:eastAsia="zh-CN"/>
        </w:rPr>
        <w:t xml:space="preserve"> </w:t>
      </w:r>
      <w:r w:rsidRPr="00A351FA">
        <w:rPr>
          <w:lang w:val="en-US"/>
        </w:rPr>
        <w:t xml:space="preserve">unless the UE generates HARQ-ACK information only for </w:t>
      </w:r>
    </w:p>
    <w:p w14:paraId="1266B9EC" w14:textId="77777777" w:rsidR="008A1F79" w:rsidRDefault="008A1F79" w:rsidP="008A1F79">
      <w:pPr>
        <w:pStyle w:val="B1"/>
        <w:rPr>
          <w:lang w:val="en-US" w:eastAsia="zh-CN"/>
        </w:rPr>
      </w:pPr>
      <w:r w:rsidRPr="00A351FA">
        <w:rPr>
          <w:lang w:val="en-US"/>
        </w:rPr>
        <w:t>-</w:t>
      </w:r>
      <w:r w:rsidRPr="00A351FA">
        <w:rPr>
          <w:lang w:val="en-US"/>
        </w:rPr>
        <w:tab/>
        <w:t>PSFCH reception occasions associated with PSSCH transmissions corresponding to a SL configured grant</w:t>
      </w:r>
      <w:r w:rsidRPr="00A351FA">
        <w:t>,</w:t>
      </w:r>
      <w:r w:rsidRPr="00A351FA">
        <w:rPr>
          <w:lang w:eastAsia="zh-CN"/>
        </w:rPr>
        <w:t xml:space="preserve"> or</w:t>
      </w:r>
      <w:r w:rsidRPr="00A351FA">
        <w:rPr>
          <w:lang w:val="en-US" w:eastAsia="zh-CN"/>
        </w:rPr>
        <w:t xml:space="preserve"> </w:t>
      </w:r>
    </w:p>
    <w:p w14:paraId="19797A30" w14:textId="77777777" w:rsidR="002305B4" w:rsidRDefault="008A1F79" w:rsidP="008A1F79">
      <w:pPr>
        <w:pStyle w:val="B1"/>
        <w:rPr>
          <w:lang w:val="en-US" w:eastAsia="zh-CN"/>
        </w:rPr>
      </w:pPr>
      <w:r w:rsidRPr="00A351FA">
        <w:rPr>
          <w:lang w:val="en-US"/>
        </w:rPr>
        <w:t>-</w:t>
      </w:r>
      <w:r w:rsidRPr="00A351FA">
        <w:rPr>
          <w:lang w:val="en-US"/>
        </w:rPr>
        <w:tab/>
      </w:r>
      <w:r w:rsidRPr="00A351FA">
        <w:rPr>
          <w:lang w:val="en-US" w:eastAsia="zh-CN"/>
        </w:rPr>
        <w:t xml:space="preserve">PSFCH reception occasions associated with PSSCH transmissions </w:t>
      </w:r>
      <w:r w:rsidRPr="00A351FA">
        <w:t xml:space="preserve">that are </w:t>
      </w:r>
      <w:r w:rsidRPr="00A351FA">
        <w:rPr>
          <w:lang w:eastAsia="zh-CN"/>
        </w:rPr>
        <w:t xml:space="preserve">scheduled by </w:t>
      </w:r>
      <w:r>
        <w:rPr>
          <w:lang w:eastAsia="zh-CN"/>
        </w:rPr>
        <w:t xml:space="preserve">a </w:t>
      </w:r>
      <w:r w:rsidRPr="00A351FA">
        <w:rPr>
          <w:lang w:eastAsia="zh-CN"/>
        </w:rPr>
        <w:t xml:space="preserve">DCI format 3_0 with a </w:t>
      </w:r>
      <w:r w:rsidRPr="00A351FA">
        <w:rPr>
          <w:lang w:val="en-US" w:eastAsia="zh-CN"/>
        </w:rPr>
        <w:t xml:space="preserve">counter </w:t>
      </w:r>
      <w:r>
        <w:rPr>
          <w:lang w:eastAsia="zh-CN"/>
        </w:rPr>
        <w:t>S</w:t>
      </w:r>
      <w:r w:rsidRPr="00A351FA">
        <w:rPr>
          <w:lang w:eastAsia="zh-CN"/>
        </w:rPr>
        <w:t>AI</w:t>
      </w:r>
      <w:r w:rsidRPr="00A351FA">
        <w:rPr>
          <w:lang w:val="en-US"/>
        </w:rPr>
        <w:t xml:space="preserve"> field </w:t>
      </w:r>
      <w:r w:rsidRPr="00A351FA">
        <w:rPr>
          <w:lang w:val="en-US" w:eastAsia="zh-CN"/>
        </w:rPr>
        <w:t>value of 1</w:t>
      </w:r>
      <w:r w:rsidR="002305B4">
        <w:rPr>
          <w:lang w:val="en-US" w:eastAsia="zh-CN"/>
        </w:rPr>
        <w:t>,</w:t>
      </w:r>
      <w:r w:rsidRPr="00A351FA">
        <w:rPr>
          <w:lang w:val="en-US" w:eastAsia="zh-CN"/>
        </w:rPr>
        <w:t xml:space="preserve"> </w:t>
      </w:r>
    </w:p>
    <w:p w14:paraId="09F73B80" w14:textId="33A9F06E" w:rsidR="008A1F79" w:rsidRDefault="008A1F79" w:rsidP="002305B4">
      <w:pPr>
        <w:pStyle w:val="B1"/>
        <w:ind w:left="284" w:firstLine="0"/>
        <w:rPr>
          <w:lang w:eastAsia="zh-CN"/>
        </w:rPr>
      </w:pPr>
      <w:r w:rsidRPr="00A351FA">
        <w:rPr>
          <w:lang w:val="en-US" w:eastAsia="zh-CN"/>
        </w:rPr>
        <w:t>in the</w:t>
      </w:r>
      <w:r w:rsidR="00F14C2C">
        <w:rPr>
          <w:lang w:val="en-US" w:eastAsia="zh-CN"/>
        </w:rPr>
        <w:t xml:space="preserve"> set</w:t>
      </w:r>
      <w:r w:rsidRPr="00A351FA">
        <w:rPr>
          <w:lang w:val="en-US" w:eastAsia="zh-CN"/>
        </w:rPr>
        <w:t xml:space="preserve"> </w:t>
      </w:r>
      <m:oMath>
        <m:sSub>
          <m:sSubPr>
            <m:ctrlPr>
              <w:rPr>
                <w:rFonts w:ascii="Cambria Math" w:hAnsi="Cambria Math"/>
                <w:i/>
              </w:rPr>
            </m:ctrlPr>
          </m:sSubPr>
          <m:e>
            <m:r>
              <w:rPr>
                <w:rFonts w:ascii="Cambria Math" w:hAnsi="Cambria Math"/>
              </w:rPr>
              <m:t>M</m:t>
            </m:r>
          </m:e>
          <m:sub>
            <m:r>
              <w:rPr>
                <w:rFonts w:ascii="Cambria Math" w:hAnsi="Cambria Math"/>
              </w:rPr>
              <m:t>A</m:t>
            </m:r>
          </m:sub>
        </m:sSub>
      </m:oMath>
      <w:r w:rsidRPr="00A351FA">
        <w:t xml:space="preserve"> </w:t>
      </w:r>
      <w:r w:rsidR="00F14C2C">
        <w:rPr>
          <w:lang w:val="en-US"/>
        </w:rPr>
        <w:t xml:space="preserve">of </w:t>
      </w:r>
      <w:r w:rsidRPr="00A351FA">
        <w:t xml:space="preserve">occasions for candidate PSSCH </w:t>
      </w:r>
      <w:r>
        <w:t>transmissions</w:t>
      </w:r>
      <w:r w:rsidRPr="00A351FA">
        <w:t xml:space="preserve"> with corresponding PSFCH reception occasions </w:t>
      </w:r>
      <w:r w:rsidRPr="00A351FA">
        <w:rPr>
          <w:lang w:val="en-US" w:eastAsia="x-none"/>
        </w:rPr>
        <w:t xml:space="preserve">as described </w:t>
      </w:r>
      <w:r w:rsidR="006F5F9E">
        <w:rPr>
          <w:lang w:val="en-US" w:eastAsia="x-none"/>
        </w:rPr>
        <w:t>in clause</w:t>
      </w:r>
      <w:r w:rsidRPr="00A351FA">
        <w:rPr>
          <w:lang w:val="en-US" w:eastAsia="x-none"/>
        </w:rPr>
        <w:t xml:space="preserve"> 16.5.1</w:t>
      </w:r>
      <w:r w:rsidRPr="00A351FA">
        <w:rPr>
          <w:lang w:eastAsia="zh-CN"/>
        </w:rPr>
        <w:t xml:space="preserve">. </w:t>
      </w:r>
    </w:p>
    <w:p w14:paraId="6CB249C8" w14:textId="77777777" w:rsidR="008A1F79" w:rsidRPr="00670282" w:rsidRDefault="00000000" w:rsidP="00495059">
      <w:pPr>
        <w:rPr>
          <w:lang w:val="en-US"/>
        </w:rPr>
      </w:pPr>
      <m:oMath>
        <m:sSubSup>
          <m:sSubSupPr>
            <m:ctrlPr>
              <w:rPr>
                <w:rFonts w:ascii="Cambria Math" w:hAnsi="Cambria Math"/>
                <w:i/>
                <w:lang w:eastAsia="zh-CN"/>
              </w:rPr>
            </m:ctrlPr>
          </m:sSubSupPr>
          <m:e>
            <m:r>
              <w:rPr>
                <w:rFonts w:ascii="Cambria Math" w:hAnsi="Cambria Math"/>
                <w:lang w:eastAsia="zh-CN"/>
              </w:rPr>
              <m:t>V</m:t>
            </m:r>
          </m:e>
          <m:sub>
            <m:r>
              <w:rPr>
                <w:rFonts w:ascii="Cambria Math" w:hAnsi="Cambria Math"/>
                <w:lang w:eastAsia="zh-CN"/>
              </w:rPr>
              <m:t>T-</m:t>
            </m:r>
            <m:r>
              <m:rPr>
                <m:nor/>
              </m:rPr>
              <w:rPr>
                <w:lang w:eastAsia="zh-CN"/>
              </w:rPr>
              <m:t>SAI</m:t>
            </m:r>
            <m:ctrlPr>
              <w:rPr>
                <w:rFonts w:ascii="Cambria Math" w:hAnsi="Cambria Math"/>
                <w:lang w:eastAsia="zh-CN"/>
              </w:rPr>
            </m:ctrlPr>
          </m:sub>
          <m:sup>
            <m:r>
              <m:rPr>
                <m:nor/>
              </m:rPr>
              <w:rPr>
                <w:lang w:eastAsia="zh-CN"/>
              </w:rPr>
              <m:t>UL</m:t>
            </m:r>
            <m:ctrlPr>
              <w:rPr>
                <w:rFonts w:ascii="Cambria Math" w:hAnsi="Cambria Math"/>
                <w:lang w:eastAsia="zh-CN"/>
              </w:rPr>
            </m:ctrlPr>
          </m:sup>
        </m:sSubSup>
        <m:r>
          <w:rPr>
            <w:rFonts w:ascii="Cambria Math" w:hAnsi="Cambria Math"/>
            <w:lang w:eastAsia="zh-CN"/>
          </w:rPr>
          <m:t>=0</m:t>
        </m:r>
      </m:oMath>
      <w:r w:rsidR="008A1F79" w:rsidRPr="00A351FA">
        <w:t xml:space="preserve"> if the </w:t>
      </w:r>
      <w:r w:rsidR="008A1F79" w:rsidRPr="00A351FA">
        <w:rPr>
          <w:lang w:eastAsia="zh-CN"/>
        </w:rPr>
        <w:t xml:space="preserve">SAI field </w:t>
      </w:r>
      <w:r w:rsidR="008A1F79" w:rsidRPr="00A351FA">
        <w:t xml:space="preserve">in </w:t>
      </w:r>
      <w:r w:rsidR="008A1F79">
        <w:t xml:space="preserve">the </w:t>
      </w:r>
      <w:r w:rsidR="008A1F79" w:rsidRPr="00A351FA">
        <w:t>DCI format</w:t>
      </w:r>
      <w:r w:rsidR="008A1F79" w:rsidRPr="00A351FA">
        <w:rPr>
          <w:lang w:eastAsia="zh-CN"/>
        </w:rPr>
        <w:t xml:space="preserve"> is set to '0'; otherwise, </w:t>
      </w:r>
      <m:oMath>
        <m:sSubSup>
          <m:sSubSupPr>
            <m:ctrlPr>
              <w:rPr>
                <w:rFonts w:ascii="Cambria Math" w:hAnsi="Cambria Math"/>
                <w:i/>
                <w:lang w:eastAsia="zh-CN"/>
              </w:rPr>
            </m:ctrlPr>
          </m:sSubSupPr>
          <m:e>
            <m:r>
              <w:rPr>
                <w:rFonts w:ascii="Cambria Math" w:hAnsi="Cambria Math"/>
                <w:lang w:eastAsia="zh-CN"/>
              </w:rPr>
              <m:t>V</m:t>
            </m:r>
          </m:e>
          <m:sub>
            <m:r>
              <w:rPr>
                <w:rFonts w:ascii="Cambria Math" w:hAnsi="Cambria Math"/>
                <w:lang w:eastAsia="zh-CN"/>
              </w:rPr>
              <m:t>T-</m:t>
            </m:r>
            <m:r>
              <m:rPr>
                <m:nor/>
              </m:rPr>
              <w:rPr>
                <w:lang w:eastAsia="zh-CN"/>
              </w:rPr>
              <m:t>SAI</m:t>
            </m:r>
            <m:ctrlPr>
              <w:rPr>
                <w:rFonts w:ascii="Cambria Math" w:hAnsi="Cambria Math"/>
                <w:lang w:eastAsia="zh-CN"/>
              </w:rPr>
            </m:ctrlPr>
          </m:sub>
          <m:sup>
            <m:r>
              <m:rPr>
                <m:nor/>
              </m:rPr>
              <w:rPr>
                <w:lang w:eastAsia="zh-CN"/>
              </w:rPr>
              <m:t>UL</m:t>
            </m:r>
            <m:ctrlPr>
              <w:rPr>
                <w:rFonts w:ascii="Cambria Math" w:hAnsi="Cambria Math"/>
                <w:lang w:eastAsia="zh-CN"/>
              </w:rPr>
            </m:ctrlPr>
          </m:sup>
        </m:sSubSup>
        <m:r>
          <w:rPr>
            <w:rFonts w:ascii="Cambria Math" w:hAnsi="Cambria Math"/>
            <w:lang w:eastAsia="zh-CN"/>
          </w:rPr>
          <m:t>=1</m:t>
        </m:r>
      </m:oMath>
      <w:r w:rsidR="008A1F79" w:rsidRPr="00A351FA">
        <w:t>.</w:t>
      </w:r>
    </w:p>
    <w:p w14:paraId="0EC564E9" w14:textId="77777777" w:rsidR="008A1F79" w:rsidRPr="00DB7616" w:rsidRDefault="008A1F79">
      <w:pPr>
        <w:pStyle w:val="Heading3"/>
      </w:pPr>
      <w:bookmarkStart w:id="943" w:name="_Toc45699249"/>
      <w:bookmarkStart w:id="944" w:name="_Toc161999187"/>
      <w:r w:rsidRPr="00DB7616">
        <w:t>16.5.2</w:t>
      </w:r>
      <w:r w:rsidRPr="00DB7616">
        <w:tab/>
        <w:t>Type-2 HARQ-ACK codebook</w:t>
      </w:r>
      <w:r w:rsidRPr="00DB7616">
        <w:rPr>
          <w:rFonts w:hint="eastAsia"/>
        </w:rPr>
        <w:t xml:space="preserve"> </w:t>
      </w:r>
      <w:r w:rsidRPr="00DB7616">
        <w:t>determination</w:t>
      </w:r>
      <w:bookmarkEnd w:id="943"/>
      <w:bookmarkEnd w:id="944"/>
      <w:r w:rsidRPr="00DB7616">
        <w:t xml:space="preserve"> </w:t>
      </w:r>
    </w:p>
    <w:p w14:paraId="45BCFDCF" w14:textId="425377DA" w:rsidR="008A1F79" w:rsidRPr="00DB7616" w:rsidRDefault="008A1F79" w:rsidP="008A1F79">
      <w:pPr>
        <w:rPr>
          <w:lang w:eastAsia="zh-CN"/>
        </w:rPr>
      </w:pPr>
      <w:r w:rsidRPr="00DB7616">
        <w:rPr>
          <w:lang w:val="en-US" w:eastAsia="zh-CN"/>
        </w:rPr>
        <w:t xml:space="preserve">This </w:t>
      </w:r>
      <w:r w:rsidR="00F14C2C">
        <w:rPr>
          <w:lang w:val="en-US" w:eastAsia="zh-CN"/>
        </w:rPr>
        <w:t>c</w:t>
      </w:r>
      <w:r w:rsidR="00F14C2C" w:rsidRPr="00DB7616">
        <w:rPr>
          <w:lang w:val="en-US" w:eastAsia="zh-CN"/>
        </w:rPr>
        <w:t xml:space="preserve">lause </w:t>
      </w:r>
      <w:r w:rsidRPr="00DB7616">
        <w:rPr>
          <w:lang w:val="en-US" w:eastAsia="zh-CN"/>
        </w:rPr>
        <w:t xml:space="preserve">applies if the UE is configured with </w:t>
      </w:r>
      <w:r w:rsidRPr="00DB7616">
        <w:rPr>
          <w:i/>
          <w:lang w:val="en-US" w:eastAsia="zh-CN"/>
        </w:rPr>
        <w:t>pdsch-</w:t>
      </w:r>
      <w:r w:rsidRPr="00DB7616">
        <w:rPr>
          <w:rFonts w:cs="Arial"/>
          <w:i/>
          <w:lang w:eastAsia="zh-CN"/>
        </w:rPr>
        <w:t>HARQ-ACK-Codebook = dynamic</w:t>
      </w:r>
      <w:r w:rsidRPr="00DB7616">
        <w:rPr>
          <w:rFonts w:cs="Arial"/>
          <w:lang w:eastAsia="zh-CN"/>
        </w:rPr>
        <w:t>.</w:t>
      </w:r>
    </w:p>
    <w:p w14:paraId="7E61CCC1" w14:textId="77777777" w:rsidR="008A1F79" w:rsidRPr="00DB7616" w:rsidRDefault="008A1F79" w:rsidP="00472C3D">
      <w:pPr>
        <w:pStyle w:val="Heading4"/>
      </w:pPr>
      <w:bookmarkStart w:id="945" w:name="_Toc45699250"/>
      <w:bookmarkStart w:id="946" w:name="_Toc161999188"/>
      <w:r w:rsidRPr="00DB7616">
        <w:t>16</w:t>
      </w:r>
      <w:r w:rsidRPr="00DB7616">
        <w:rPr>
          <w:rFonts w:hint="eastAsia"/>
        </w:rPr>
        <w:t>.</w:t>
      </w:r>
      <w:r w:rsidRPr="00DB7616">
        <w:t>5.2.1</w:t>
      </w:r>
      <w:r w:rsidRPr="00DB7616">
        <w:rPr>
          <w:rFonts w:hint="eastAsia"/>
        </w:rPr>
        <w:tab/>
      </w:r>
      <w:r w:rsidRPr="00DB7616">
        <w:t>Type-2 HARQ-ACK codebook in physical uplink control channel</w:t>
      </w:r>
      <w:bookmarkEnd w:id="945"/>
      <w:bookmarkEnd w:id="946"/>
    </w:p>
    <w:p w14:paraId="08F91129" w14:textId="1CF42AD4" w:rsidR="008A1F79" w:rsidRPr="00DB7616" w:rsidRDefault="008A1F79" w:rsidP="008A1F79">
      <w:pPr>
        <w:rPr>
          <w:lang w:eastAsia="zh-CN"/>
        </w:rPr>
      </w:pPr>
      <w:r w:rsidRPr="00DB7616">
        <w:rPr>
          <w:lang w:eastAsia="zh-CN"/>
        </w:rPr>
        <w:t xml:space="preserve">A UE determines monitoring occasions </w:t>
      </w:r>
      <w:r w:rsidRPr="00DB7616">
        <w:t xml:space="preserve">for PDCCH with DCI format </w:t>
      </w:r>
      <w:r w:rsidRPr="00DB7616">
        <w:rPr>
          <w:lang w:eastAsia="zh-CN"/>
        </w:rPr>
        <w:t>3_0 for scheduling PSSCH transmissions with associated PSFCH reception</w:t>
      </w:r>
      <w:r>
        <w:rPr>
          <w:lang w:eastAsia="zh-CN"/>
        </w:rPr>
        <w:t xml:space="preserve"> occasions</w:t>
      </w:r>
      <w:r w:rsidRPr="00DB7616">
        <w:rPr>
          <w:lang w:eastAsia="zh-CN"/>
        </w:rPr>
        <w:t xml:space="preserve"> on an active DL BWP of a serving cell </w:t>
      </w:r>
      <m:oMath>
        <m:r>
          <w:rPr>
            <w:rFonts w:ascii="Cambria Math" w:hAnsi="Cambria Math"/>
            <w:lang w:eastAsia="zh-CN"/>
          </w:rPr>
          <m:t>c</m:t>
        </m:r>
      </m:oMath>
      <w:r w:rsidRPr="00DB7616">
        <w:t xml:space="preserve">, as described </w:t>
      </w:r>
      <w:r w:rsidR="006F5F9E">
        <w:t>in clause</w:t>
      </w:r>
      <w:r w:rsidRPr="00DB7616">
        <w:t xml:space="preserve"> 10.1, </w:t>
      </w:r>
      <w:r w:rsidRPr="00DB7616">
        <w:rPr>
          <w:lang w:val="en-US" w:eastAsia="zh-CN"/>
        </w:rPr>
        <w:t xml:space="preserve">and for which the UE transmits HARQ-ACK information in a same PUCCH in slot </w:t>
      </w:r>
      <m:oMath>
        <m:r>
          <w:rPr>
            <w:rFonts w:ascii="Cambria Math" w:hAnsi="Cambria Math"/>
            <w:lang w:val="en-US" w:eastAsia="zh-CN"/>
          </w:rPr>
          <m:t>n</m:t>
        </m:r>
      </m:oMath>
      <w:r w:rsidRPr="00DB7616">
        <w:t xml:space="preserve"> </w:t>
      </w:r>
      <w:r w:rsidRPr="00DB7616">
        <w:rPr>
          <w:lang w:val="en-US" w:eastAsia="zh-CN"/>
        </w:rPr>
        <w:t>based on</w:t>
      </w:r>
    </w:p>
    <w:p w14:paraId="56140DE9" w14:textId="659F9A57" w:rsidR="008A1F79" w:rsidRPr="006C77E7" w:rsidRDefault="008A1F79" w:rsidP="008A1F79">
      <w:pPr>
        <w:pStyle w:val="B1"/>
        <w:rPr>
          <w:lang w:eastAsia="zh-CN"/>
        </w:rPr>
      </w:pPr>
      <w:r w:rsidRPr="006C77E7">
        <w:rPr>
          <w:lang w:eastAsia="zh-CN"/>
        </w:rPr>
        <w:t>-</w:t>
      </w:r>
      <w:r w:rsidRPr="006C77E7">
        <w:rPr>
          <w:lang w:eastAsia="zh-CN"/>
        </w:rPr>
        <w:tab/>
        <w:t>PS</w:t>
      </w:r>
      <w:r w:rsidRPr="006C77E7">
        <w:rPr>
          <w:lang w:val="en-US" w:eastAsia="zh-CN"/>
        </w:rPr>
        <w:t>F</w:t>
      </w:r>
      <w:r w:rsidRPr="006C77E7">
        <w:rPr>
          <w:lang w:eastAsia="zh-CN"/>
        </w:rPr>
        <w:t>CH-to-HARQ</w:t>
      </w:r>
      <w:r w:rsidR="002305B4">
        <w:rPr>
          <w:lang w:val="en-GB" w:eastAsia="zh-CN"/>
        </w:rPr>
        <w:t xml:space="preserve"> </w:t>
      </w:r>
      <w:r w:rsidRPr="006C77E7">
        <w:rPr>
          <w:lang w:eastAsia="zh-CN"/>
        </w:rPr>
        <w:t xml:space="preserve">feedback timing </w:t>
      </w:r>
      <w:r w:rsidRPr="006C77E7">
        <w:rPr>
          <w:lang w:val="en-US" w:eastAsia="zh-CN"/>
        </w:rPr>
        <w:t xml:space="preserve">indicator field </w:t>
      </w:r>
      <w:r w:rsidRPr="006C77E7">
        <w:rPr>
          <w:lang w:eastAsia="zh-CN"/>
        </w:rPr>
        <w:t>values</w:t>
      </w:r>
      <w:r w:rsidRPr="006C77E7">
        <w:rPr>
          <w:lang w:val="en-US" w:eastAsia="zh-CN"/>
        </w:rPr>
        <w:t>,</w:t>
      </w:r>
      <w:r w:rsidRPr="006C77E7">
        <w:rPr>
          <w:lang w:val="en-GB"/>
        </w:rPr>
        <w:t xml:space="preserve"> or a value provided by </w:t>
      </w:r>
      <w:r w:rsidR="00AF1AC8" w:rsidRPr="00882C4D">
        <w:rPr>
          <w:i/>
          <w:iCs/>
        </w:rPr>
        <w:t>sl-PSFCH-ToPUCCH-CG-Type1</w:t>
      </w:r>
      <w:r w:rsidRPr="006C77E7">
        <w:rPr>
          <w:iCs/>
        </w:rPr>
        <w:t>,</w:t>
      </w:r>
      <w:r w:rsidRPr="006C77E7">
        <w:rPr>
          <w:lang w:eastAsia="zh-CN"/>
        </w:rPr>
        <w:t xml:space="preserve"> </w:t>
      </w:r>
      <w:r w:rsidRPr="006C77E7">
        <w:rPr>
          <w:lang w:val="en-US" w:eastAsia="zh-CN"/>
        </w:rPr>
        <w:t xml:space="preserve">for PUCCH transmission with HARQ-ACK information in slot </w:t>
      </w:r>
      <m:oMath>
        <m:r>
          <w:rPr>
            <w:rFonts w:ascii="Cambria Math" w:hAnsi="Cambria Math"/>
            <w:lang w:val="en-US" w:eastAsia="zh-CN"/>
          </w:rPr>
          <m:t>n</m:t>
        </m:r>
      </m:oMath>
      <w:r w:rsidRPr="006C77E7">
        <w:rPr>
          <w:lang w:val="en-US"/>
        </w:rPr>
        <w:t xml:space="preserve"> </w:t>
      </w:r>
      <w:r w:rsidRPr="006C77E7">
        <w:rPr>
          <w:lang w:val="en-US" w:eastAsia="zh-CN"/>
        </w:rPr>
        <w:t>in response to PSFCH receptions</w:t>
      </w:r>
      <w:r w:rsidR="009E7C1F">
        <w:rPr>
          <w:lang w:val="en-US" w:eastAsia="zh-CN"/>
        </w:rPr>
        <w:t>;</w:t>
      </w:r>
    </w:p>
    <w:p w14:paraId="5A669070" w14:textId="3ED019F8" w:rsidR="008A1F79" w:rsidRPr="00DB7616" w:rsidRDefault="008A1F79" w:rsidP="008A1F79">
      <w:pPr>
        <w:pStyle w:val="B1"/>
        <w:rPr>
          <w:lang w:val="en-US"/>
        </w:rPr>
      </w:pPr>
      <w:r w:rsidRPr="00DB7616">
        <w:rPr>
          <w:rFonts w:cs="Arial"/>
          <w:lang w:eastAsia="zh-CN"/>
        </w:rPr>
        <w:t>-</w:t>
      </w:r>
      <w:r w:rsidRPr="00DB7616">
        <w:rPr>
          <w:rFonts w:cs="Arial"/>
          <w:lang w:eastAsia="zh-CN"/>
        </w:rPr>
        <w:tab/>
      </w:r>
      <w:r w:rsidR="009E7C1F">
        <w:rPr>
          <w:lang w:val="en-US" w:eastAsia="zh-CN"/>
        </w:rPr>
        <w:t>t</w:t>
      </w:r>
      <w:r w:rsidR="009E7C1F" w:rsidRPr="00DB7616">
        <w:rPr>
          <w:lang w:val="en-US" w:eastAsia="zh-CN"/>
        </w:rPr>
        <w:t xml:space="preserve">ime </w:t>
      </w:r>
      <w:r w:rsidRPr="00DB7616">
        <w:rPr>
          <w:lang w:val="en-US" w:eastAsia="zh-CN"/>
        </w:rPr>
        <w:t>gap field in DCI format 3_0 for scheduling PSSCH transmissions with associated PSFCH receptions</w:t>
      </w:r>
      <w:r w:rsidR="009E7C1F">
        <w:rPr>
          <w:lang w:val="en-US" w:eastAsia="zh-CN"/>
        </w:rPr>
        <w:t>;</w:t>
      </w:r>
    </w:p>
    <w:p w14:paraId="2BC00F00" w14:textId="50811350" w:rsidR="008A1F79" w:rsidRPr="00DB7616" w:rsidRDefault="008A1F79" w:rsidP="008A1F79">
      <w:pPr>
        <w:pStyle w:val="B1"/>
        <w:rPr>
          <w:lang w:val="en-US" w:eastAsia="zh-CN"/>
        </w:rPr>
      </w:pPr>
      <w:r w:rsidRPr="00DB7616">
        <w:rPr>
          <w:rFonts w:cs="Arial"/>
          <w:lang w:eastAsia="zh-CN"/>
        </w:rPr>
        <w:t>-</w:t>
      </w:r>
      <w:r w:rsidRPr="00DB7616">
        <w:rPr>
          <w:rFonts w:cs="Arial"/>
          <w:lang w:eastAsia="zh-CN"/>
        </w:rPr>
        <w:tab/>
      </w:r>
      <w:r w:rsidR="009E7C1F">
        <w:rPr>
          <w:lang w:val="en-US" w:eastAsia="zh-CN"/>
        </w:rPr>
        <w:t>t</w:t>
      </w:r>
      <w:r w:rsidR="009E7C1F" w:rsidRPr="00DB7616">
        <w:rPr>
          <w:lang w:val="en-US" w:eastAsia="zh-CN"/>
        </w:rPr>
        <w:t xml:space="preserve">ime </w:t>
      </w:r>
      <w:r w:rsidRPr="00DB7616">
        <w:rPr>
          <w:lang w:val="en-US" w:eastAsia="zh-CN"/>
        </w:rPr>
        <w:t>resource assignment in DCI format 3_0 for scheduling PSSCH transmissions with associated PSFCH receptions</w:t>
      </w:r>
      <w:r w:rsidR="009E7C1F">
        <w:rPr>
          <w:lang w:val="en-US" w:eastAsia="zh-CN"/>
        </w:rPr>
        <w:t>;</w:t>
      </w:r>
    </w:p>
    <w:p w14:paraId="020C4593" w14:textId="29F7422F" w:rsidR="008A1F79" w:rsidRPr="00DB7616" w:rsidRDefault="008A1F79" w:rsidP="008A1F79">
      <w:pPr>
        <w:pStyle w:val="B1"/>
        <w:rPr>
          <w:lang w:val="en-US" w:eastAsia="zh-CN"/>
        </w:rPr>
      </w:pPr>
      <w:r w:rsidRPr="00DB7616">
        <w:rPr>
          <w:rFonts w:cs="Arial"/>
          <w:lang w:eastAsia="zh-CN"/>
        </w:rPr>
        <w:t>-</w:t>
      </w:r>
      <w:r w:rsidRPr="00DB7616">
        <w:rPr>
          <w:rFonts w:cs="Arial"/>
          <w:lang w:eastAsia="zh-CN"/>
        </w:rPr>
        <w:tab/>
      </w:r>
      <w:r w:rsidR="009E7C1F">
        <w:rPr>
          <w:rFonts w:cs="Arial"/>
          <w:lang w:val="en-US" w:eastAsia="zh-CN"/>
        </w:rPr>
        <w:t>a</w:t>
      </w:r>
      <w:r w:rsidR="009E7C1F" w:rsidRPr="00DB7616">
        <w:rPr>
          <w:rFonts w:cs="Arial"/>
          <w:lang w:val="en-US" w:eastAsia="zh-CN"/>
        </w:rPr>
        <w:t xml:space="preserve"> </w:t>
      </w:r>
      <w:r w:rsidRPr="00DB7616">
        <w:rPr>
          <w:rFonts w:cs="Arial"/>
          <w:lang w:val="en-US" w:eastAsia="zh-CN"/>
        </w:rPr>
        <w:t xml:space="preserve">configured </w:t>
      </w:r>
      <w:r>
        <w:rPr>
          <w:rFonts w:cs="Arial"/>
          <w:lang w:val="en-US" w:eastAsia="zh-CN"/>
        </w:rPr>
        <w:t>sidelink resource</w:t>
      </w:r>
      <w:r w:rsidRPr="00DB7616">
        <w:rPr>
          <w:lang w:val="en-US"/>
        </w:rPr>
        <w:t xml:space="preserve"> pool bitmap</w:t>
      </w:r>
      <w:r w:rsidR="009E7C1F">
        <w:rPr>
          <w:lang w:val="en-US"/>
        </w:rPr>
        <w:t>;</w:t>
      </w:r>
    </w:p>
    <w:p w14:paraId="2BD5D253" w14:textId="221E6C95" w:rsidR="008A1F79" w:rsidRPr="00DB7616" w:rsidRDefault="008A1F79" w:rsidP="008A1F79">
      <w:pPr>
        <w:pStyle w:val="B1"/>
        <w:rPr>
          <w:iCs/>
          <w:lang w:val="en-US"/>
        </w:rPr>
      </w:pPr>
      <w:r w:rsidRPr="00DB7616">
        <w:rPr>
          <w:rFonts w:cs="Arial"/>
          <w:lang w:eastAsia="zh-CN"/>
        </w:rPr>
        <w:t>-</w:t>
      </w:r>
      <w:r w:rsidRPr="00DB7616">
        <w:rPr>
          <w:rFonts w:cs="Arial"/>
          <w:lang w:eastAsia="zh-CN"/>
        </w:rPr>
        <w:tab/>
      </w:r>
      <w:r w:rsidR="009E7C1F">
        <w:rPr>
          <w:rFonts w:cs="Arial"/>
          <w:lang w:val="en-US" w:eastAsia="zh-CN"/>
        </w:rPr>
        <w:t>a</w:t>
      </w:r>
      <w:r w:rsidR="009E7C1F" w:rsidRPr="00DB7616">
        <w:rPr>
          <w:rFonts w:cs="Arial"/>
          <w:lang w:val="en-US" w:eastAsia="zh-CN"/>
        </w:rPr>
        <w:t xml:space="preserve"> </w:t>
      </w:r>
      <w:r w:rsidRPr="00DB7616">
        <w:rPr>
          <w:rFonts w:cs="Arial"/>
          <w:lang w:val="en-US" w:eastAsia="zh-CN"/>
        </w:rPr>
        <w:t xml:space="preserve">value of a period of PSFCH resources provided in </w:t>
      </w:r>
      <w:r w:rsidR="009E7C1F" w:rsidRPr="00882C4D">
        <w:rPr>
          <w:i/>
          <w:iCs/>
        </w:rPr>
        <w:t>sl-PSFCH-Period</w:t>
      </w:r>
      <w:r w:rsidR="009E7C1F">
        <w:rPr>
          <w:iCs/>
          <w:lang w:val="en-US"/>
        </w:rPr>
        <w:t>;</w:t>
      </w:r>
    </w:p>
    <w:p w14:paraId="44F27D4A" w14:textId="00A57F08" w:rsidR="008A1F79" w:rsidRPr="00DB7616" w:rsidRDefault="008A1F79" w:rsidP="008A1F79">
      <w:pPr>
        <w:pStyle w:val="B1"/>
        <w:rPr>
          <w:iCs/>
          <w:lang w:val="en-US"/>
        </w:rPr>
      </w:pPr>
      <w:r w:rsidRPr="00DB7616">
        <w:rPr>
          <w:rFonts w:cs="Arial"/>
          <w:lang w:eastAsia="zh-CN"/>
        </w:rPr>
        <w:t>-</w:t>
      </w:r>
      <w:r w:rsidRPr="00DB7616">
        <w:rPr>
          <w:rFonts w:cs="Arial"/>
          <w:lang w:eastAsia="zh-CN"/>
        </w:rPr>
        <w:tab/>
      </w:r>
      <w:r w:rsidR="009E7C1F">
        <w:rPr>
          <w:rFonts w:cs="Arial"/>
          <w:lang w:val="en-US" w:eastAsia="zh-CN"/>
        </w:rPr>
        <w:t>a</w:t>
      </w:r>
      <w:r w:rsidR="009E7C1F" w:rsidRPr="00DB7616">
        <w:rPr>
          <w:rFonts w:cs="Arial"/>
          <w:lang w:val="en-US" w:eastAsia="zh-CN"/>
        </w:rPr>
        <w:t xml:space="preserve"> </w:t>
      </w:r>
      <w:r w:rsidRPr="00DB7616">
        <w:rPr>
          <w:rFonts w:cs="Arial"/>
          <w:lang w:val="en-US" w:eastAsia="zh-CN"/>
        </w:rPr>
        <w:t xml:space="preserve">value of a minimum time gap provided in </w:t>
      </w:r>
      <w:r w:rsidR="009E7C1F" w:rsidRPr="00F07DC2">
        <w:rPr>
          <w:rFonts w:cs="Arial"/>
          <w:i/>
          <w:iCs/>
          <w:lang w:val="en-US" w:eastAsia="zh-CN"/>
        </w:rPr>
        <w:t>sl-</w:t>
      </w:r>
      <w:r w:rsidRPr="00DB7616">
        <w:rPr>
          <w:i/>
        </w:rPr>
        <w:t>MinTimeGapPSFCH</w:t>
      </w:r>
      <w:r w:rsidRPr="00DB7616">
        <w:rPr>
          <w:iCs/>
          <w:lang w:val="en-US"/>
        </w:rPr>
        <w:t>.</w:t>
      </w:r>
    </w:p>
    <w:p w14:paraId="25BD6723" w14:textId="6081E257" w:rsidR="008A1F79" w:rsidRPr="00DB7616" w:rsidRDefault="008A1F79" w:rsidP="008A1F79">
      <w:pPr>
        <w:rPr>
          <w:lang w:val="en-US" w:eastAsia="zh-CN"/>
        </w:rPr>
      </w:pPr>
      <w:r w:rsidRPr="00DB7616">
        <w:rPr>
          <w:lang w:eastAsia="zh-CN"/>
        </w:rPr>
        <w:t xml:space="preserve">The set of PDCCH monitoring occasions </w:t>
      </w:r>
      <w:r w:rsidRPr="00DB7616">
        <w:rPr>
          <w:rFonts w:eastAsia="Yu Mincho" w:hint="eastAsia"/>
        </w:rPr>
        <w:t xml:space="preserve">for DCI format </w:t>
      </w:r>
      <w:r w:rsidRPr="00DB7616">
        <w:rPr>
          <w:rFonts w:eastAsia="Yu Mincho"/>
        </w:rPr>
        <w:t>3</w:t>
      </w:r>
      <w:r w:rsidRPr="00DB7616">
        <w:rPr>
          <w:rFonts w:eastAsia="Yu Mincho" w:hint="eastAsia"/>
        </w:rPr>
        <w:t xml:space="preserve">_0 for scheduling </w:t>
      </w:r>
      <w:r w:rsidRPr="00DB7616">
        <w:rPr>
          <w:rFonts w:eastAsia="Yu Mincho"/>
        </w:rPr>
        <w:t xml:space="preserve">PSSCH transmissions with associated </w:t>
      </w:r>
      <w:r w:rsidRPr="00DB7616">
        <w:rPr>
          <w:rFonts w:eastAsia="Yu Mincho" w:hint="eastAsia"/>
        </w:rPr>
        <w:t>PS</w:t>
      </w:r>
      <w:r w:rsidRPr="00DB7616">
        <w:rPr>
          <w:rFonts w:eastAsia="Yu Mincho"/>
        </w:rPr>
        <w:t>F</w:t>
      </w:r>
      <w:r w:rsidRPr="00DB7616">
        <w:rPr>
          <w:rFonts w:eastAsia="Yu Mincho" w:hint="eastAsia"/>
        </w:rPr>
        <w:t>CH reception</w:t>
      </w:r>
      <w:r>
        <w:rPr>
          <w:rFonts w:eastAsia="Yu Mincho"/>
        </w:rPr>
        <w:t xml:space="preserve"> occasions</w:t>
      </w:r>
      <w:r w:rsidRPr="00DB7616">
        <w:rPr>
          <w:rFonts w:eastAsia="Yu Mincho" w:hint="eastAsia"/>
        </w:rPr>
        <w:t xml:space="preserve"> </w:t>
      </w:r>
      <w:r w:rsidRPr="00DB7616">
        <w:rPr>
          <w:lang w:eastAsia="zh-CN"/>
        </w:rPr>
        <w:t xml:space="preserve">is defined as the PDCCH monitoring occasions </w:t>
      </w:r>
      <w:r w:rsidR="00F14C2C">
        <w:rPr>
          <w:lang w:eastAsia="zh-CN"/>
        </w:rPr>
        <w:t>in the</w:t>
      </w:r>
      <w:r w:rsidRPr="00DB7616">
        <w:rPr>
          <w:lang w:eastAsia="zh-CN"/>
        </w:rPr>
        <w:t xml:space="preserve"> active DL BWP of the configured serving cell, </w:t>
      </w:r>
      <w:r>
        <w:rPr>
          <w:lang w:eastAsia="zh-CN"/>
        </w:rPr>
        <w:t>indexed</w:t>
      </w:r>
      <w:r w:rsidRPr="00DB7616">
        <w:rPr>
          <w:lang w:eastAsia="zh-CN"/>
        </w:rPr>
        <w:t xml:space="preserve"> in ascending order of start time of the </w:t>
      </w:r>
      <w:r>
        <w:rPr>
          <w:lang w:eastAsia="zh-CN"/>
        </w:rPr>
        <w:t xml:space="preserve">associated </w:t>
      </w:r>
      <w:r w:rsidRPr="00DB7616">
        <w:t>search space set</w:t>
      </w:r>
      <w:r>
        <w:t>s</w:t>
      </w:r>
      <w:r w:rsidRPr="00DB7616">
        <w:rPr>
          <w:lang w:eastAsia="zh-CN"/>
        </w:rPr>
        <w:t xml:space="preserve">. The cardinality of the set of PDCCH monitoring occasions defines a total number </w:t>
      </w:r>
      <m:oMath>
        <m:r>
          <w:rPr>
            <w:rFonts w:ascii="Cambria Math" w:hAnsi="Cambria Math"/>
            <w:lang w:val="en-US" w:eastAsia="zh-CN"/>
          </w:rPr>
          <m:t>M</m:t>
        </m:r>
      </m:oMath>
      <w:r w:rsidRPr="00DB7616">
        <w:rPr>
          <w:lang w:eastAsia="zh-CN"/>
        </w:rPr>
        <w:t xml:space="preserve"> of PDCCH monitoring occasions.</w:t>
      </w:r>
      <w:r w:rsidR="00E338ED">
        <w:rPr>
          <w:lang w:eastAsia="zh-CN"/>
        </w:rPr>
        <w:t xml:space="preserve"> A</w:t>
      </w:r>
      <w:r w:rsidR="00E338ED" w:rsidRPr="0049521B">
        <w:rPr>
          <w:noProof/>
        </w:rPr>
        <w:t xml:space="preserve"> </w:t>
      </w:r>
      <w:r w:rsidR="00E338ED">
        <w:rPr>
          <w:noProof/>
        </w:rPr>
        <w:t xml:space="preserve">UE is not expected to receive </w:t>
      </w:r>
      <w:r w:rsidR="00E338ED">
        <w:rPr>
          <w:rFonts w:hint="eastAsia"/>
          <w:noProof/>
          <w:lang w:eastAsia="zh-CN"/>
        </w:rPr>
        <w:t>a</w:t>
      </w:r>
      <w:r w:rsidR="00E338ED" w:rsidRPr="00A77E85">
        <w:rPr>
          <w:noProof/>
          <w:lang w:eastAsia="zh-CN"/>
        </w:rPr>
        <w:t xml:space="preserve"> DCI format 3</w:t>
      </w:r>
      <w:r w:rsidR="00E338ED">
        <w:rPr>
          <w:noProof/>
          <w:lang w:eastAsia="zh-CN"/>
        </w:rPr>
        <w:t>_</w:t>
      </w:r>
      <w:r w:rsidR="00E338ED" w:rsidRPr="00A77E85">
        <w:rPr>
          <w:noProof/>
          <w:lang w:eastAsia="zh-CN"/>
        </w:rPr>
        <w:t xml:space="preserve">0 with CRC scrambled by SL-RNTI </w:t>
      </w:r>
      <w:r w:rsidR="00E338ED" w:rsidRPr="0049521B">
        <w:rPr>
          <w:noProof/>
          <w:lang w:eastAsia="zh-CN"/>
        </w:rPr>
        <w:t>and</w:t>
      </w:r>
      <w:r w:rsidR="00E338ED" w:rsidRPr="00A77E85">
        <w:rPr>
          <w:noProof/>
          <w:lang w:eastAsia="zh-CN"/>
        </w:rPr>
        <w:t xml:space="preserve"> </w:t>
      </w:r>
      <w:r w:rsidR="00E338ED">
        <w:rPr>
          <w:noProof/>
          <w:lang w:eastAsia="zh-CN"/>
        </w:rPr>
        <w:t>a</w:t>
      </w:r>
      <w:r w:rsidR="00E338ED" w:rsidRPr="00A77E85">
        <w:rPr>
          <w:noProof/>
          <w:lang w:eastAsia="zh-CN"/>
        </w:rPr>
        <w:t xml:space="preserve"> DCI format 3</w:t>
      </w:r>
      <w:r w:rsidR="00E338ED">
        <w:rPr>
          <w:noProof/>
          <w:lang w:eastAsia="zh-CN"/>
        </w:rPr>
        <w:t>_</w:t>
      </w:r>
      <w:r w:rsidR="00E338ED" w:rsidRPr="00A77E85">
        <w:rPr>
          <w:noProof/>
          <w:lang w:eastAsia="zh-CN"/>
        </w:rPr>
        <w:t>0</w:t>
      </w:r>
      <w:r w:rsidR="00E338ED">
        <w:rPr>
          <w:noProof/>
          <w:lang w:eastAsia="zh-CN"/>
        </w:rPr>
        <w:t xml:space="preserve"> </w:t>
      </w:r>
      <w:r w:rsidR="00E338ED" w:rsidRPr="00A77E85">
        <w:rPr>
          <w:noProof/>
          <w:lang w:eastAsia="zh-CN"/>
        </w:rPr>
        <w:t xml:space="preserve">with CRC scrambled by SL-CS-RNTI </w:t>
      </w:r>
      <w:r w:rsidR="00E338ED">
        <w:rPr>
          <w:noProof/>
          <w:lang w:eastAsia="zh-CN"/>
        </w:rPr>
        <w:t xml:space="preserve">for </w:t>
      </w:r>
      <w:r w:rsidR="00E338ED" w:rsidRPr="00A77E85">
        <w:rPr>
          <w:noProof/>
          <w:lang w:eastAsia="zh-CN"/>
        </w:rPr>
        <w:t xml:space="preserve">scheduling retransmission </w:t>
      </w:r>
      <w:r w:rsidR="00E338ED">
        <w:rPr>
          <w:noProof/>
          <w:lang w:eastAsia="zh-CN"/>
        </w:rPr>
        <w:t>corresponding to</w:t>
      </w:r>
      <w:r w:rsidR="00E338ED" w:rsidRPr="00A77E85">
        <w:rPr>
          <w:noProof/>
          <w:lang w:eastAsia="zh-CN"/>
        </w:rPr>
        <w:t xml:space="preserve"> a SL </w:t>
      </w:r>
      <w:r w:rsidR="00E338ED" w:rsidRPr="007616DE">
        <w:rPr>
          <w:noProof/>
          <w:lang w:eastAsia="zh-CN"/>
        </w:rPr>
        <w:t>configured grant Type</w:t>
      </w:r>
      <w:r w:rsidR="00E338ED">
        <w:rPr>
          <w:noProof/>
          <w:lang w:eastAsia="zh-CN"/>
        </w:rPr>
        <w:t xml:space="preserve"> 1 or a sidelink </w:t>
      </w:r>
      <w:r w:rsidR="00E338ED">
        <w:rPr>
          <w:lang w:val="en-US" w:eastAsia="zh-CN"/>
        </w:rPr>
        <w:t>configured grant Type 2</w:t>
      </w:r>
      <w:r w:rsidR="00E338ED" w:rsidRPr="00A77E85">
        <w:rPr>
          <w:noProof/>
          <w:lang w:eastAsia="zh-CN"/>
        </w:rPr>
        <w:t xml:space="preserve"> simu</w:t>
      </w:r>
      <w:r w:rsidR="00E338ED">
        <w:rPr>
          <w:noProof/>
          <w:lang w:eastAsia="zh-CN"/>
        </w:rPr>
        <w:t>ltane</w:t>
      </w:r>
      <w:r w:rsidR="00E338ED" w:rsidRPr="00A77E85">
        <w:rPr>
          <w:noProof/>
          <w:lang w:eastAsia="zh-CN"/>
        </w:rPr>
        <w:t>ously</w:t>
      </w:r>
      <w:r w:rsidR="00E338ED">
        <w:rPr>
          <w:noProof/>
          <w:lang w:eastAsia="zh-CN"/>
        </w:rPr>
        <w:t xml:space="preserve"> in a same monitoring occasion.</w:t>
      </w:r>
    </w:p>
    <w:p w14:paraId="6E2A68BA" w14:textId="37E40975" w:rsidR="008A1F79" w:rsidRPr="00DB7616" w:rsidRDefault="008A1F79" w:rsidP="008A1F79">
      <w:pPr>
        <w:rPr>
          <w:lang w:val="en-US" w:eastAsia="zh-CN"/>
        </w:rPr>
      </w:pPr>
      <w:r w:rsidRPr="00DB7616">
        <w:t>A</w:t>
      </w:r>
      <w:r w:rsidRPr="00DB7616">
        <w:rPr>
          <w:lang w:val="en-US"/>
        </w:rPr>
        <w:t xml:space="preserve"> value of </w:t>
      </w:r>
      <w:r>
        <w:rPr>
          <w:lang w:val="en-US"/>
        </w:rPr>
        <w:t>a</w:t>
      </w:r>
      <w:r w:rsidRPr="00DB7616">
        <w:rPr>
          <w:lang w:val="en-US"/>
        </w:rPr>
        <w:t xml:space="preserve"> </w:t>
      </w:r>
      <w:r w:rsidRPr="00DB7616">
        <w:rPr>
          <w:rFonts w:hint="eastAsia"/>
          <w:lang w:val="en-US" w:eastAsia="zh-CN"/>
        </w:rPr>
        <w:t xml:space="preserve">counter </w:t>
      </w:r>
      <w:r w:rsidRPr="00DB7616">
        <w:rPr>
          <w:lang w:eastAsia="zh-CN"/>
        </w:rPr>
        <w:t>side</w:t>
      </w:r>
      <w:r w:rsidRPr="00DB7616">
        <w:rPr>
          <w:rFonts w:hint="eastAsia"/>
          <w:lang w:eastAsia="zh-CN"/>
        </w:rPr>
        <w:t xml:space="preserve">link </w:t>
      </w:r>
      <w:r w:rsidRPr="00DB7616">
        <w:rPr>
          <w:lang w:eastAsia="zh-CN"/>
        </w:rPr>
        <w:t>a</w:t>
      </w:r>
      <w:r w:rsidRPr="00DB7616">
        <w:rPr>
          <w:rFonts w:hint="eastAsia"/>
          <w:lang w:eastAsia="zh-CN"/>
        </w:rPr>
        <w:t xml:space="preserve">ssignment </w:t>
      </w:r>
      <w:r w:rsidRPr="00DB7616">
        <w:rPr>
          <w:lang w:eastAsia="zh-CN"/>
        </w:rPr>
        <w:t>i</w:t>
      </w:r>
      <w:r w:rsidRPr="00DB7616">
        <w:rPr>
          <w:rFonts w:hint="eastAsia"/>
          <w:lang w:eastAsia="zh-CN"/>
        </w:rPr>
        <w:t>ndicator (</w:t>
      </w:r>
      <w:r w:rsidRPr="00DB7616">
        <w:rPr>
          <w:lang w:eastAsia="zh-CN"/>
        </w:rPr>
        <w:t>S</w:t>
      </w:r>
      <w:r w:rsidRPr="00DB7616">
        <w:rPr>
          <w:rFonts w:hint="eastAsia"/>
          <w:lang w:eastAsia="zh-CN"/>
        </w:rPr>
        <w:t>AI)</w:t>
      </w:r>
      <w:r w:rsidRPr="00DB7616">
        <w:rPr>
          <w:lang w:val="en-US"/>
        </w:rPr>
        <w:t xml:space="preserve"> field in DCI format </w:t>
      </w:r>
      <w:r w:rsidRPr="00DB7616">
        <w:rPr>
          <w:lang w:val="en-US" w:eastAsia="zh-CN"/>
        </w:rPr>
        <w:t>3_0</w:t>
      </w:r>
      <w:r w:rsidR="00953A2F">
        <w:t>,</w:t>
      </w:r>
      <w:r w:rsidR="00953A2F" w:rsidRPr="0033576F">
        <w:t xml:space="preserve"> </w:t>
      </w:r>
      <w:r w:rsidR="00953A2F">
        <w:t>excluding DCI format 3_0 for the SL configured grant Type 2 activation,</w:t>
      </w:r>
      <w:r w:rsidRPr="00DB7616">
        <w:rPr>
          <w:lang w:val="en-US"/>
        </w:rPr>
        <w:t xml:space="preserve"> denotes </w:t>
      </w:r>
      <w:r>
        <w:rPr>
          <w:lang w:val="en-US"/>
        </w:rPr>
        <w:t>an</w:t>
      </w:r>
      <w:r w:rsidRPr="00DB7616">
        <w:rPr>
          <w:lang w:val="en-US"/>
        </w:rPr>
        <w:t xml:space="preserve"> accumulative number of </w:t>
      </w:r>
      <w:r w:rsidRPr="00DB7616">
        <w:rPr>
          <w:lang w:val="en-US" w:eastAsia="zh-CN"/>
        </w:rPr>
        <w:t>PDCCH monitoring occasion</w:t>
      </w:r>
      <w:r>
        <w:rPr>
          <w:lang w:val="en-US" w:eastAsia="zh-CN"/>
        </w:rPr>
        <w:t>s</w:t>
      </w:r>
      <w:r w:rsidRPr="00DB7616">
        <w:rPr>
          <w:rFonts w:hint="eastAsia"/>
          <w:lang w:val="en-US" w:eastAsia="zh-CN"/>
        </w:rPr>
        <w:t xml:space="preserve"> </w:t>
      </w:r>
      <w:r>
        <w:rPr>
          <w:lang w:val="en-US" w:eastAsia="zh-CN"/>
        </w:rPr>
        <w:t>where</w:t>
      </w:r>
      <w:r w:rsidRPr="00DB7616">
        <w:rPr>
          <w:rFonts w:hint="eastAsia"/>
          <w:lang w:val="en-US" w:eastAsia="zh-CN"/>
        </w:rPr>
        <w:t xml:space="preserve"> </w:t>
      </w:r>
      <w:r w:rsidRPr="00DB7616">
        <w:rPr>
          <w:lang w:val="en-US" w:eastAsia="zh-CN"/>
        </w:rPr>
        <w:t xml:space="preserve">PSSCH transmissions with associated </w:t>
      </w:r>
      <w:r w:rsidRPr="00DB7616">
        <w:rPr>
          <w:lang w:val="en-US"/>
        </w:rPr>
        <w:t>PSFCH reception</w:t>
      </w:r>
      <w:r w:rsidRPr="00DB7616">
        <w:rPr>
          <w:rFonts w:hint="eastAsia"/>
          <w:lang w:val="en-US" w:eastAsia="zh-CN"/>
        </w:rPr>
        <w:t>s</w:t>
      </w:r>
      <w:r>
        <w:rPr>
          <w:lang w:val="en-US" w:eastAsia="zh-CN"/>
        </w:rPr>
        <w:t xml:space="preserve"> are scheduled</w:t>
      </w:r>
      <w:r w:rsidRPr="00DB7616">
        <w:rPr>
          <w:rFonts w:cs="Arial" w:hint="eastAsia"/>
          <w:lang w:eastAsia="zh-CN"/>
        </w:rPr>
        <w:t>,</w:t>
      </w:r>
      <w:r w:rsidRPr="00DB7616">
        <w:rPr>
          <w:lang w:val="en-US"/>
        </w:rPr>
        <w:t xml:space="preserve"> up to</w:t>
      </w:r>
      <w:r w:rsidRPr="00DB7616">
        <w:rPr>
          <w:rFonts w:hint="eastAsia"/>
          <w:lang w:eastAsia="zh-CN"/>
        </w:rPr>
        <w:t xml:space="preserve"> </w:t>
      </w:r>
      <w:r>
        <w:rPr>
          <w:lang w:eastAsia="zh-CN"/>
        </w:rPr>
        <w:t>a</w:t>
      </w:r>
      <w:r w:rsidRPr="00DB7616">
        <w:rPr>
          <w:rFonts w:hint="eastAsia"/>
          <w:lang w:eastAsia="zh-CN"/>
        </w:rPr>
        <w:t xml:space="preserve"> </w:t>
      </w:r>
      <w:r w:rsidRPr="00DB7616">
        <w:rPr>
          <w:lang w:eastAsia="zh-CN"/>
        </w:rPr>
        <w:t>current</w:t>
      </w:r>
      <w:r w:rsidRPr="00DB7616">
        <w:rPr>
          <w:rFonts w:hint="eastAsia"/>
          <w:lang w:eastAsia="zh-CN"/>
        </w:rPr>
        <w:t xml:space="preserve"> </w:t>
      </w:r>
      <w:r w:rsidRPr="00DB7616">
        <w:rPr>
          <w:lang w:eastAsia="zh-CN"/>
        </w:rPr>
        <w:t>PDCCH monitoring occasion</w:t>
      </w:r>
      <w:r w:rsidRPr="00DB7616">
        <w:rPr>
          <w:rFonts w:hint="eastAsia"/>
          <w:lang w:eastAsia="zh-CN"/>
        </w:rPr>
        <w:t xml:space="preserve">, in </w:t>
      </w:r>
      <w:r w:rsidRPr="00DB7616">
        <w:rPr>
          <w:lang w:eastAsia="zh-CN"/>
        </w:rPr>
        <w:t>ascending</w:t>
      </w:r>
      <w:r w:rsidRPr="00DB7616">
        <w:rPr>
          <w:rFonts w:hint="eastAsia"/>
          <w:lang w:eastAsia="zh-CN"/>
        </w:rPr>
        <w:t xml:space="preserve"> order of </w:t>
      </w:r>
      <w:r w:rsidRPr="00DB7616">
        <w:rPr>
          <w:lang w:eastAsia="zh-CN"/>
        </w:rPr>
        <w:t>PDCCH monitoring occasion index</w:t>
      </w:r>
      <w:r w:rsidRPr="00DB7616">
        <w:rPr>
          <w:rFonts w:hint="eastAsia"/>
          <w:lang w:eastAsia="zh-CN"/>
        </w:rPr>
        <w:t xml:space="preserve"> </w:t>
      </w:r>
      <m:oMath>
        <m:r>
          <w:rPr>
            <w:rFonts w:ascii="Cambria Math" w:hAnsi="Cambria Math"/>
            <w:lang w:eastAsia="zh-CN"/>
          </w:rPr>
          <m:t>m</m:t>
        </m:r>
      </m:oMath>
      <w:r w:rsidRPr="00DB7616">
        <w:t xml:space="preserve">, where </w:t>
      </w:r>
      <m:oMath>
        <m:r>
          <w:rPr>
            <w:rFonts w:ascii="Cambria Math" w:hAnsi="Cambria Math"/>
          </w:rPr>
          <m:t>0≤m&lt;</m:t>
        </m:r>
        <m:r>
          <w:rPr>
            <w:rFonts w:ascii="Cambria Math" w:hAnsi="Cambria Math"/>
            <w:lang w:val="en-US" w:eastAsia="zh-CN"/>
          </w:rPr>
          <m:t>M</m:t>
        </m:r>
      </m:oMath>
      <w:r w:rsidRPr="00DB7616">
        <w:rPr>
          <w:lang w:eastAsia="zh-CN"/>
        </w:rPr>
        <w:t xml:space="preserve">. </w:t>
      </w:r>
    </w:p>
    <w:p w14:paraId="6C009E8E" w14:textId="77777777" w:rsidR="008A1F79" w:rsidRPr="00DB7616" w:rsidRDefault="008A1F79" w:rsidP="008A1F79">
      <w:pPr>
        <w:rPr>
          <w:rFonts w:cs="Arial"/>
          <w:lang w:eastAsia="zh-CN"/>
        </w:rPr>
      </w:pPr>
      <w:r w:rsidRPr="00DB7616">
        <w:rPr>
          <w:rFonts w:cs="Arial" w:hint="eastAsia"/>
          <w:lang w:eastAsia="zh-CN"/>
        </w:rPr>
        <w:t>Denote</w:t>
      </w:r>
      <w:r w:rsidRPr="00DB7616">
        <w:rPr>
          <w:rFonts w:cs="Arial"/>
          <w:lang w:eastAsia="zh-CN"/>
        </w:rPr>
        <w:t xml:space="preserve"> by </w:t>
      </w:r>
      <m:oMath>
        <m:sSubSup>
          <m:sSubSupPr>
            <m:ctrlPr>
              <w:rPr>
                <w:rFonts w:ascii="Cambria Math" w:hAnsi="Cambria Math"/>
                <w:i/>
              </w:rPr>
            </m:ctrlPr>
          </m:sSubSupPr>
          <m:e>
            <m:r>
              <w:rPr>
                <w:rFonts w:ascii="Cambria Math"/>
              </w:rPr>
              <m:t>V</m:t>
            </m:r>
          </m:e>
          <m:sub>
            <m:r>
              <w:rPr>
                <w:rFonts w:ascii="Cambria Math"/>
              </w:rPr>
              <m:t>C</m:t>
            </m:r>
            <m:r>
              <w:rPr>
                <w:rFonts w:ascii="Cambria Math"/>
              </w:rPr>
              <m:t>-</m:t>
            </m:r>
            <m:r>
              <m:rPr>
                <m:nor/>
              </m:rPr>
              <w:rPr>
                <w:rFonts w:ascii="Cambria Math"/>
              </w:rPr>
              <m:t>SAI</m:t>
            </m:r>
            <m:r>
              <m:rPr>
                <m:sty m:val="p"/>
              </m:rPr>
              <w:rPr>
                <w:rFonts w:ascii="Cambria Math"/>
              </w:rPr>
              <m:t>,</m:t>
            </m:r>
            <m:r>
              <w:rPr>
                <w:rFonts w:ascii="Cambria Math"/>
              </w:rPr>
              <m:t>m</m:t>
            </m:r>
            <m:ctrlPr>
              <w:rPr>
                <w:rFonts w:ascii="Cambria Math" w:hAnsi="Cambria Math"/>
              </w:rPr>
            </m:ctrlPr>
          </m:sub>
          <m:sup>
            <m:r>
              <m:rPr>
                <m:nor/>
              </m:rPr>
              <w:rPr>
                <w:rFonts w:ascii="Cambria Math"/>
              </w:rPr>
              <m:t>SL</m:t>
            </m:r>
            <m:ctrlPr>
              <w:rPr>
                <w:rFonts w:ascii="Cambria Math" w:hAnsi="Cambria Math"/>
              </w:rPr>
            </m:ctrlPr>
          </m:sup>
        </m:sSubSup>
      </m:oMath>
      <w:r w:rsidRPr="00DB7616">
        <w:rPr>
          <w:rFonts w:cs="Arial" w:hint="eastAsia"/>
          <w:lang w:eastAsia="zh-CN"/>
        </w:rPr>
        <w:t xml:space="preserve"> the value of the counter </w:t>
      </w:r>
      <w:r w:rsidRPr="00DB7616">
        <w:rPr>
          <w:rFonts w:cs="Arial"/>
          <w:lang w:eastAsia="zh-CN"/>
        </w:rPr>
        <w:t>S</w:t>
      </w:r>
      <w:r w:rsidRPr="00DB7616">
        <w:rPr>
          <w:rFonts w:cs="Arial" w:hint="eastAsia"/>
          <w:lang w:eastAsia="zh-CN"/>
        </w:rPr>
        <w:t xml:space="preserve">AI in DCI format </w:t>
      </w:r>
      <w:r w:rsidRPr="00DB7616">
        <w:rPr>
          <w:lang w:val="en-US" w:eastAsia="zh-CN"/>
        </w:rPr>
        <w:t xml:space="preserve">3_0 </w:t>
      </w:r>
      <w:r w:rsidRPr="00DB7616">
        <w:rPr>
          <w:rFonts w:hint="eastAsia"/>
          <w:lang w:val="en-US" w:eastAsia="zh-CN"/>
        </w:rPr>
        <w:t xml:space="preserve">in </w:t>
      </w:r>
      <w:r w:rsidRPr="00DB7616">
        <w:rPr>
          <w:lang w:eastAsia="zh-CN"/>
        </w:rPr>
        <w:t>PDCCH monitoring occasion</w:t>
      </w:r>
      <w:r w:rsidRPr="00DB7616">
        <w:rPr>
          <w:rFonts w:hint="eastAsia"/>
          <w:lang w:val="en-US" w:eastAsia="zh-CN"/>
        </w:rPr>
        <w:t xml:space="preserve"> </w:t>
      </w:r>
      <m:oMath>
        <m:r>
          <w:rPr>
            <w:rFonts w:ascii="Cambria Math" w:hAnsi="Cambria Math"/>
            <w:lang w:eastAsia="zh-CN"/>
          </w:rPr>
          <m:t>m</m:t>
        </m:r>
      </m:oMath>
      <w:r w:rsidRPr="00DB7616">
        <w:rPr>
          <w:rFonts w:hint="eastAsia"/>
          <w:lang w:val="en-US" w:eastAsia="zh-CN"/>
        </w:rPr>
        <w:t xml:space="preserve"> according to </w:t>
      </w:r>
      <w:r w:rsidRPr="00DB7616">
        <w:rPr>
          <w:lang w:val="en-US" w:eastAsia="zh-CN"/>
        </w:rPr>
        <w:t>T</w:t>
      </w:r>
      <w:r w:rsidRPr="00DB7616">
        <w:rPr>
          <w:rFonts w:hint="eastAsia"/>
          <w:lang w:val="en-US" w:eastAsia="zh-CN"/>
        </w:rPr>
        <w:t xml:space="preserve">able </w:t>
      </w:r>
      <w:r>
        <w:rPr>
          <w:lang w:val="en-US" w:eastAsia="zh-CN"/>
        </w:rPr>
        <w:t>16</w:t>
      </w:r>
      <w:r w:rsidRPr="00DB7616">
        <w:rPr>
          <w:lang w:val="en-US" w:eastAsia="zh-CN"/>
        </w:rPr>
        <w:t>.</w:t>
      </w:r>
      <w:r>
        <w:rPr>
          <w:lang w:val="en-US" w:eastAsia="zh-CN"/>
        </w:rPr>
        <w:t>5.2.1</w:t>
      </w:r>
      <w:r w:rsidRPr="00DB7616">
        <w:rPr>
          <w:rFonts w:hint="eastAsia"/>
          <w:lang w:val="en-US" w:eastAsia="zh-CN"/>
        </w:rPr>
        <w:t xml:space="preserve">-1. </w:t>
      </w:r>
    </w:p>
    <w:p w14:paraId="6ECF9882" w14:textId="74300512" w:rsidR="008A1F79" w:rsidRPr="00CE4B6D" w:rsidRDefault="008A1F79" w:rsidP="008A1F79">
      <w:pPr>
        <w:rPr>
          <w:lang w:eastAsia="zh-CN"/>
        </w:rPr>
      </w:pPr>
      <w:r w:rsidRPr="00CE4B6D">
        <w:rPr>
          <w:rFonts w:cs="Arial"/>
          <w:lang w:eastAsia="zh-CN"/>
        </w:rPr>
        <w:t>I</w:t>
      </w:r>
      <w:r w:rsidRPr="00CE4B6D">
        <w:rPr>
          <w:rFonts w:hint="eastAsia"/>
          <w:lang w:eastAsia="zh-CN"/>
        </w:rPr>
        <w:t>f the UE transmits HARQ-ACK</w:t>
      </w:r>
      <w:r w:rsidRPr="00CE4B6D">
        <w:rPr>
          <w:lang w:eastAsia="zh-CN"/>
        </w:rPr>
        <w:t xml:space="preserve"> information</w:t>
      </w:r>
      <w:r w:rsidRPr="00CE4B6D">
        <w:rPr>
          <w:rFonts w:hint="eastAsia"/>
          <w:lang w:eastAsia="zh-CN"/>
        </w:rPr>
        <w:t xml:space="preserve"> </w:t>
      </w:r>
      <w:r w:rsidRPr="00CE4B6D">
        <w:rPr>
          <w:lang w:eastAsia="zh-CN"/>
        </w:rPr>
        <w:t>in a PUCCH</w:t>
      </w:r>
      <w:r w:rsidRPr="00CE4B6D">
        <w:rPr>
          <w:lang w:val="en-US" w:eastAsia="zh-CN"/>
        </w:rPr>
        <w:t xml:space="preserve"> in slot </w:t>
      </w:r>
      <m:oMath>
        <m:r>
          <w:rPr>
            <w:rFonts w:ascii="Cambria Math" w:hAnsi="Cambria Math"/>
            <w:lang w:val="en-US" w:eastAsia="zh-CN"/>
          </w:rPr>
          <m:t>n</m:t>
        </m:r>
      </m:oMath>
      <w:r w:rsidRPr="00CE4B6D">
        <w:rPr>
          <w:rFonts w:hint="eastAsia"/>
          <w:lang w:eastAsia="zh-CN"/>
        </w:rPr>
        <w:t xml:space="preserve">, </w:t>
      </w:r>
      <w:r w:rsidRPr="00CE4B6D">
        <w:rPr>
          <w:rFonts w:cs="Arial" w:hint="eastAsia"/>
          <w:lang w:eastAsia="zh-CN"/>
        </w:rPr>
        <w:t>the UE determine</w:t>
      </w:r>
      <w:r w:rsidRPr="00CE4B6D">
        <w:rPr>
          <w:rFonts w:cs="Arial"/>
          <w:lang w:eastAsia="zh-CN"/>
        </w:rPr>
        <w:t>s</w:t>
      </w:r>
      <w:r w:rsidRPr="00CE4B6D">
        <w:rPr>
          <w:rFonts w:cs="Arial" w:hint="eastAsia"/>
          <w:lang w:eastAsia="zh-CN"/>
        </w:rPr>
        <w:t xml:space="preserve"> the </w:t>
      </w:r>
      <m:oMath>
        <m:sSubSup>
          <m:sSubSupPr>
            <m:ctrlPr>
              <w:rPr>
                <w:rFonts w:ascii="Cambria Math" w:hAnsi="Cambria Math"/>
                <w:i/>
                <w:lang w:val="x-none" w:eastAsia="zh-CN"/>
              </w:rPr>
            </m:ctrlPr>
          </m:sSubSupPr>
          <m:e>
            <m:acc>
              <m:accPr>
                <m:chr m:val="̃"/>
                <m:ctrlPr>
                  <w:rPr>
                    <w:rFonts w:ascii="Cambria Math" w:hAnsi="Cambria Math"/>
                    <w:i/>
                    <w:lang w:val="x-none" w:eastAsia="zh-CN"/>
                  </w:rPr>
                </m:ctrlPr>
              </m:accPr>
              <m:e>
                <m:r>
                  <w:rPr>
                    <w:rFonts w:ascii="Cambria Math" w:hAnsi="Cambria Math"/>
                    <w:lang w:eastAsia="zh-CN"/>
                  </w:rPr>
                  <m:t>o</m:t>
                </m:r>
              </m:e>
            </m:acc>
          </m:e>
          <m:sub>
            <m:r>
              <w:rPr>
                <w:rFonts w:ascii="Cambria Math" w:hAnsi="Cambria Math"/>
                <w:lang w:eastAsia="zh-CN"/>
              </w:rPr>
              <m:t>0</m:t>
            </m:r>
          </m:sub>
          <m:sup>
            <m:r>
              <w:rPr>
                <w:rFonts w:ascii="Cambria Math" w:hAnsi="Cambria Math"/>
                <w:lang w:eastAsia="zh-CN"/>
              </w:rPr>
              <m:t>ACK</m:t>
            </m:r>
          </m:sup>
        </m:sSubSup>
        <m:r>
          <m:rPr>
            <m:sty m:val="p"/>
          </m:rPr>
          <w:rPr>
            <w:rFonts w:ascii="Cambria Math" w:hAnsi="Cambria Math"/>
            <w:lang w:val="x-none" w:eastAsia="zh-CN"/>
          </w:rPr>
          <m:t>,</m:t>
        </m:r>
        <m:sSubSup>
          <m:sSubSupPr>
            <m:ctrlPr>
              <w:rPr>
                <w:rFonts w:ascii="Cambria Math" w:hAnsi="Cambria Math"/>
                <w:i/>
                <w:lang w:val="x-none" w:eastAsia="zh-CN"/>
              </w:rPr>
            </m:ctrlPr>
          </m:sSubSupPr>
          <m:e>
            <m:acc>
              <m:accPr>
                <m:chr m:val="̃"/>
                <m:ctrlPr>
                  <w:rPr>
                    <w:rFonts w:ascii="Cambria Math" w:hAnsi="Cambria Math"/>
                    <w:i/>
                    <w:lang w:val="x-none" w:eastAsia="zh-CN"/>
                  </w:rPr>
                </m:ctrlPr>
              </m:accPr>
              <m:e>
                <m:r>
                  <w:rPr>
                    <w:rFonts w:ascii="Cambria Math" w:hAnsi="Cambria Math"/>
                    <w:lang w:eastAsia="zh-CN"/>
                  </w:rPr>
                  <m:t>o</m:t>
                </m:r>
              </m:e>
            </m:acc>
          </m:e>
          <m:sub>
            <m:r>
              <w:rPr>
                <w:rFonts w:ascii="Cambria Math" w:hAnsi="Cambria Math"/>
                <w:lang w:eastAsia="zh-CN"/>
              </w:rPr>
              <m:t>1</m:t>
            </m:r>
          </m:sub>
          <m:sup>
            <m:r>
              <w:rPr>
                <w:rFonts w:ascii="Cambria Math" w:hAnsi="Cambria Math"/>
                <w:lang w:eastAsia="zh-CN"/>
              </w:rPr>
              <m:t>ACK</m:t>
            </m:r>
          </m:sup>
        </m:sSubSup>
        <m:r>
          <m:rPr>
            <m:sty m:val="p"/>
          </m:rPr>
          <w:rPr>
            <w:rFonts w:ascii="Cambria Math" w:hAnsi="Cambria Math"/>
            <w:lang w:val="x-none" w:eastAsia="zh-CN"/>
          </w:rPr>
          <m:t>,…,</m:t>
        </m:r>
        <m:sSubSup>
          <m:sSubSupPr>
            <m:ctrlPr>
              <w:rPr>
                <w:rFonts w:ascii="Cambria Math" w:hAnsi="Cambria Math"/>
                <w:i/>
                <w:kern w:val="2"/>
                <w:sz w:val="21"/>
              </w:rPr>
            </m:ctrlPr>
          </m:sSubSupPr>
          <m:e>
            <m:acc>
              <m:accPr>
                <m:chr m:val="̃"/>
                <m:ctrlPr>
                  <w:rPr>
                    <w:rFonts w:ascii="Cambria Math" w:hAnsi="Cambria Math"/>
                    <w:i/>
                    <w:kern w:val="2"/>
                    <w:sz w:val="21"/>
                  </w:rPr>
                </m:ctrlPr>
              </m:accPr>
              <m:e>
                <m:r>
                  <w:rPr>
                    <w:rFonts w:ascii="Cambria Math"/>
                  </w:rPr>
                  <m:t>o</m:t>
                </m:r>
              </m:e>
            </m:acc>
          </m:e>
          <m:sub>
            <m:sSub>
              <m:sSubPr>
                <m:ctrlPr>
                  <w:rPr>
                    <w:rFonts w:ascii="Cambria Math" w:hAnsi="Cambria Math"/>
                    <w:i/>
                    <w:kern w:val="2"/>
                    <w:sz w:val="21"/>
                  </w:rPr>
                </m:ctrlPr>
              </m:sSubPr>
              <m:e>
                <m:r>
                  <w:rPr>
                    <w:rFonts w:ascii="Cambria Math" w:hAnsi="Cambria Math"/>
                  </w:rPr>
                  <m:t>O</m:t>
                </m:r>
              </m:e>
              <m:sub>
                <m:r>
                  <m:rPr>
                    <m:sty m:val="p"/>
                  </m:rPr>
                  <w:rPr>
                    <w:rFonts w:ascii="Cambria Math" w:hAnsi="Cambria Math"/>
                  </w:rPr>
                  <m:t>ACK</m:t>
                </m:r>
              </m:sub>
            </m:sSub>
            <m:r>
              <w:rPr>
                <w:rFonts w:ascii="Cambria Math" w:hAnsi="Cambria Math"/>
              </w:rPr>
              <m:t>-1</m:t>
            </m:r>
          </m:sub>
          <m:sup>
            <m:r>
              <w:rPr>
                <w:rFonts w:ascii="Cambria Math"/>
              </w:rPr>
              <m:t>ACK</m:t>
            </m:r>
          </m:sup>
        </m:sSubSup>
      </m:oMath>
      <w:r w:rsidRPr="00CE4B6D">
        <w:rPr>
          <w:lang w:eastAsia="zh-CN"/>
        </w:rPr>
        <w:t xml:space="preserve">, for a total number of </w:t>
      </w:r>
      <m:oMath>
        <m:sSub>
          <m:sSubPr>
            <m:ctrlPr>
              <w:rPr>
                <w:rFonts w:ascii="Cambria Math" w:hAnsi="Cambria Math"/>
                <w:i/>
                <w:lang w:eastAsia="zh-CN"/>
              </w:rPr>
            </m:ctrlPr>
          </m:sSubPr>
          <m:e>
            <m:r>
              <w:rPr>
                <w:rFonts w:ascii="Cambria Math"/>
                <w:lang w:eastAsia="zh-CN"/>
              </w:rPr>
              <m:t>O</m:t>
            </m:r>
          </m:e>
          <m:sub>
            <m:r>
              <m:rPr>
                <m:sty m:val="p"/>
              </m:rPr>
              <w:rPr>
                <w:rFonts w:ascii="Cambria Math"/>
                <w:lang w:eastAsia="zh-CN"/>
              </w:rPr>
              <m:t>ACK</m:t>
            </m:r>
          </m:sub>
        </m:sSub>
      </m:oMath>
      <w:r w:rsidRPr="00CE4B6D">
        <w:t xml:space="preserve"> </w:t>
      </w:r>
      <w:r w:rsidRPr="00CE4B6D">
        <w:rPr>
          <w:lang w:eastAsia="zh-CN"/>
        </w:rPr>
        <w:t>HARQ-ACK information bits, according</w:t>
      </w:r>
      <w:r w:rsidRPr="00CE4B6D">
        <w:rPr>
          <w:rFonts w:hint="eastAsia"/>
          <w:lang w:eastAsia="zh-CN"/>
        </w:rPr>
        <w:t xml:space="preserve"> to the following pseudo-code:</w:t>
      </w:r>
    </w:p>
    <w:p w14:paraId="2D1A94DC" w14:textId="77777777" w:rsidR="008A1F79" w:rsidRPr="00CE4B6D" w:rsidRDefault="008A1F79" w:rsidP="008A1F79">
      <w:pPr>
        <w:pStyle w:val="B1"/>
        <w:rPr>
          <w:lang w:eastAsia="zh-CN"/>
        </w:rPr>
      </w:pPr>
      <w:r w:rsidRPr="00CE4B6D">
        <w:rPr>
          <w:rFonts w:hint="eastAsia"/>
          <w:lang w:eastAsia="zh-CN"/>
        </w:rPr>
        <w:t xml:space="preserve">Set </w:t>
      </w:r>
      <m:oMath>
        <m:r>
          <w:rPr>
            <w:rFonts w:ascii="Cambria Math" w:hAnsi="Cambria Math"/>
            <w:lang w:val="en-US" w:eastAsia="zh-CN"/>
          </w:rPr>
          <m:t>m=0</m:t>
        </m:r>
      </m:oMath>
      <w:r w:rsidRPr="00CE4B6D">
        <w:rPr>
          <w:rFonts w:hint="eastAsia"/>
          <w:lang w:eastAsia="zh-CN"/>
        </w:rPr>
        <w:t xml:space="preserve"> </w:t>
      </w:r>
      <w:r w:rsidRPr="00CE4B6D">
        <w:rPr>
          <w:lang w:eastAsia="zh-CN"/>
        </w:rPr>
        <w:t>–</w:t>
      </w:r>
      <w:r w:rsidRPr="00CE4B6D">
        <w:rPr>
          <w:rFonts w:hint="eastAsia"/>
          <w:lang w:eastAsia="zh-CN"/>
        </w:rPr>
        <w:t xml:space="preserve"> </w:t>
      </w:r>
      <w:r w:rsidRPr="00CE4B6D">
        <w:rPr>
          <w:lang w:eastAsia="zh-CN"/>
        </w:rPr>
        <w:t xml:space="preserve">PDCCH with DCI format </w:t>
      </w:r>
      <w:r w:rsidRPr="00CE4B6D">
        <w:rPr>
          <w:lang w:val="en-US" w:eastAsia="zh-CN"/>
        </w:rPr>
        <w:t>3_0</w:t>
      </w:r>
      <w:r w:rsidRPr="00CE4B6D">
        <w:rPr>
          <w:lang w:eastAsia="zh-CN"/>
        </w:rPr>
        <w:t xml:space="preserve"> monitoring occasion</w:t>
      </w:r>
      <w:r w:rsidRPr="00CE4B6D">
        <w:rPr>
          <w:rFonts w:hint="eastAsia"/>
          <w:lang w:eastAsia="zh-CN"/>
        </w:rPr>
        <w:t xml:space="preserve"> index: lower index corresponds to earlier </w:t>
      </w:r>
      <w:r w:rsidRPr="00CE4B6D">
        <w:rPr>
          <w:lang w:eastAsia="zh-CN"/>
        </w:rPr>
        <w:t xml:space="preserve">PDCCH with DCI format </w:t>
      </w:r>
      <w:r w:rsidRPr="00CE4B6D">
        <w:rPr>
          <w:lang w:val="en-US" w:eastAsia="zh-CN"/>
        </w:rPr>
        <w:t>3_0</w:t>
      </w:r>
      <w:r w:rsidRPr="00CE4B6D">
        <w:rPr>
          <w:lang w:eastAsia="zh-CN"/>
        </w:rPr>
        <w:t xml:space="preserve"> monitoring occasion</w:t>
      </w:r>
    </w:p>
    <w:p w14:paraId="6FCD8978" w14:textId="77777777" w:rsidR="008A1F79" w:rsidRPr="00CE4B6D" w:rsidRDefault="008A1F79" w:rsidP="008A1F79">
      <w:pPr>
        <w:pStyle w:val="B1"/>
        <w:rPr>
          <w:lang w:eastAsia="zh-CN"/>
        </w:rPr>
      </w:pPr>
      <w:r w:rsidRPr="00CE4B6D">
        <w:rPr>
          <w:rFonts w:hint="eastAsia"/>
          <w:lang w:eastAsia="zh-CN"/>
        </w:rPr>
        <w:t xml:space="preserve">Set </w:t>
      </w:r>
      <m:oMath>
        <m:r>
          <w:rPr>
            <w:rFonts w:ascii="Cambria Math" w:hAnsi="Cambria Math"/>
            <w:lang w:val="en-US" w:eastAsia="zh-CN"/>
          </w:rPr>
          <m:t>j=0</m:t>
        </m:r>
      </m:oMath>
    </w:p>
    <w:p w14:paraId="3B1FC0B9" w14:textId="77777777" w:rsidR="008A1F79" w:rsidRPr="00CE4B6D" w:rsidRDefault="008A1F79" w:rsidP="008A1F79">
      <w:pPr>
        <w:pStyle w:val="B1"/>
        <w:rPr>
          <w:rFonts w:cs="Arial"/>
          <w:lang w:eastAsia="zh-CN"/>
        </w:rPr>
      </w:pPr>
      <w:r w:rsidRPr="00CE4B6D">
        <w:rPr>
          <w:rFonts w:hint="eastAsia"/>
          <w:lang w:eastAsia="zh-CN"/>
        </w:rPr>
        <w:lastRenderedPageBreak/>
        <w:t xml:space="preserve">Set </w:t>
      </w:r>
      <m:oMath>
        <m:sSub>
          <m:sSubPr>
            <m:ctrlPr>
              <w:rPr>
                <w:rFonts w:ascii="Cambria Math" w:hAnsi="Cambria Math"/>
                <w:i/>
                <w:lang w:eastAsia="zh-CN"/>
              </w:rPr>
            </m:ctrlPr>
          </m:sSubPr>
          <m:e>
            <m:r>
              <w:rPr>
                <w:rFonts w:ascii="Cambria Math"/>
                <w:lang w:eastAsia="zh-CN"/>
              </w:rPr>
              <m:t>V</m:t>
            </m:r>
          </m:e>
          <m:sub>
            <m:r>
              <w:rPr>
                <w:rFonts w:ascii="Cambria Math"/>
                <w:lang w:eastAsia="zh-CN"/>
              </w:rPr>
              <m:t>temp</m:t>
            </m:r>
          </m:sub>
        </m:sSub>
        <m:r>
          <w:rPr>
            <w:rFonts w:ascii="Cambria Math" w:hAnsi="Cambria Math"/>
            <w:lang w:eastAsia="zh-CN"/>
          </w:rPr>
          <m:t>=0</m:t>
        </m:r>
      </m:oMath>
    </w:p>
    <w:p w14:paraId="4C31440F" w14:textId="77777777" w:rsidR="008A1F79" w:rsidRPr="00CE4B6D" w:rsidRDefault="008A1F79" w:rsidP="008A1F79">
      <w:pPr>
        <w:pStyle w:val="B1"/>
        <w:rPr>
          <w:lang w:eastAsia="zh-CN"/>
        </w:rPr>
      </w:pPr>
      <w:r w:rsidRPr="00CE4B6D">
        <w:rPr>
          <w:rFonts w:cs="Arial"/>
          <w:lang w:eastAsia="zh-CN"/>
        </w:rPr>
        <w:t>S</w:t>
      </w:r>
      <w:r w:rsidRPr="00CE4B6D">
        <w:rPr>
          <w:rFonts w:cs="Arial" w:hint="eastAsia"/>
          <w:lang w:eastAsia="zh-CN"/>
        </w:rPr>
        <w:t xml:space="preserve">et </w:t>
      </w:r>
      <m:oMath>
        <m:sSub>
          <m:sSubPr>
            <m:ctrlPr>
              <w:rPr>
                <w:rFonts w:ascii="Cambria Math" w:hAnsi="Cambria Math"/>
                <w:i/>
                <w:lang w:eastAsia="zh-CN"/>
              </w:rPr>
            </m:ctrlPr>
          </m:sSubPr>
          <m:e>
            <m:r>
              <w:rPr>
                <w:rFonts w:ascii="Cambria Math"/>
                <w:lang w:eastAsia="zh-CN"/>
              </w:rPr>
              <m:t>V</m:t>
            </m:r>
          </m:e>
          <m:sub>
            <m:r>
              <w:rPr>
                <w:rFonts w:ascii="Cambria Math"/>
                <w:lang w:eastAsia="zh-CN"/>
              </w:rPr>
              <m:t>s</m:t>
            </m:r>
          </m:sub>
        </m:sSub>
        <m:r>
          <w:rPr>
            <w:rFonts w:ascii="Cambria Math" w:hAnsi="Cambria Math"/>
            <w:lang w:eastAsia="zh-CN"/>
          </w:rPr>
          <m:t>=∅</m:t>
        </m:r>
      </m:oMath>
    </w:p>
    <w:p w14:paraId="190CDEE6" w14:textId="77777777" w:rsidR="008A1F79" w:rsidRPr="00CE4B6D" w:rsidRDefault="008A1F79" w:rsidP="008A1F79">
      <w:pPr>
        <w:pStyle w:val="B1"/>
        <w:rPr>
          <w:lang w:eastAsia="zh-CN"/>
        </w:rPr>
      </w:pPr>
      <w:r w:rsidRPr="00CE4B6D">
        <w:rPr>
          <w:rFonts w:hint="eastAsia"/>
          <w:lang w:eastAsia="zh-CN"/>
        </w:rPr>
        <w:t xml:space="preserve">Set </w:t>
      </w:r>
      <m:oMath>
        <m:r>
          <w:rPr>
            <w:rFonts w:ascii="Cambria Math" w:hAnsi="Cambria Math"/>
            <w:lang w:val="en-US" w:eastAsia="zh-CN"/>
          </w:rPr>
          <m:t>M</m:t>
        </m:r>
      </m:oMath>
      <w:r w:rsidRPr="00CE4B6D">
        <w:rPr>
          <w:rFonts w:hint="eastAsia"/>
          <w:lang w:eastAsia="zh-CN"/>
        </w:rPr>
        <w:t xml:space="preserve"> to the number of</w:t>
      </w:r>
      <w:r w:rsidRPr="00CE4B6D">
        <w:rPr>
          <w:lang w:eastAsia="zh-CN"/>
        </w:rPr>
        <w:t xml:space="preserve"> PDCCH monitoring occasions</w:t>
      </w:r>
    </w:p>
    <w:p w14:paraId="1DCFE32A" w14:textId="77777777" w:rsidR="008A1F79" w:rsidRPr="00CE4B6D" w:rsidRDefault="008A1F79" w:rsidP="008A1F79">
      <w:pPr>
        <w:pStyle w:val="B1"/>
        <w:rPr>
          <w:rFonts w:cs="Arial"/>
          <w:lang w:eastAsia="zh-CN"/>
        </w:rPr>
      </w:pPr>
      <w:r w:rsidRPr="00CE4B6D">
        <w:rPr>
          <w:rFonts w:hint="eastAsia"/>
          <w:lang w:eastAsia="zh-CN"/>
        </w:rPr>
        <w:t xml:space="preserve">while </w:t>
      </w:r>
      <m:oMath>
        <m:r>
          <w:rPr>
            <w:rFonts w:ascii="Cambria Math" w:hAnsi="Cambria Math"/>
            <w:lang w:val="en-US" w:eastAsia="zh-CN"/>
          </w:rPr>
          <m:t>m&lt;M</m:t>
        </m:r>
      </m:oMath>
    </w:p>
    <w:p w14:paraId="4B4A9248" w14:textId="78AF44FE" w:rsidR="008A1F79" w:rsidRPr="00CE4B6D" w:rsidRDefault="008A1F79" w:rsidP="008A1F79">
      <w:pPr>
        <w:pStyle w:val="B3"/>
        <w:ind w:left="851" w:firstLine="0"/>
      </w:pPr>
      <w:r w:rsidRPr="00CE4B6D">
        <w:t xml:space="preserve">if PDCCH monitoring occasion </w:t>
      </w:r>
      <m:oMath>
        <m:r>
          <w:rPr>
            <w:rFonts w:ascii="Cambria Math" w:hAnsi="Cambria Math"/>
            <w:lang w:val="en-US" w:eastAsia="zh-CN"/>
          </w:rPr>
          <m:t>m</m:t>
        </m:r>
      </m:oMath>
      <w:r w:rsidRPr="00CE4B6D">
        <w:t xml:space="preserve"> is before an active UL BWP change on the </w:t>
      </w:r>
      <w:r w:rsidR="00B566A7" w:rsidRPr="00622137">
        <w:t>serving cell of PUCCH transmission</w:t>
      </w:r>
      <w:r w:rsidRPr="00CE4B6D">
        <w:t xml:space="preserve"> </w:t>
      </w:r>
    </w:p>
    <w:p w14:paraId="06DAADB3" w14:textId="77777777" w:rsidR="008A1F79" w:rsidRPr="00CE4B6D" w:rsidRDefault="008A1F79" w:rsidP="008A1F79">
      <w:pPr>
        <w:pStyle w:val="B4"/>
        <w:rPr>
          <w:lang w:val="en-US"/>
        </w:rPr>
      </w:pPr>
      <m:oMath>
        <m:r>
          <w:rPr>
            <w:rFonts w:ascii="Cambria Math"/>
          </w:rPr>
          <m:t>m=M</m:t>
        </m:r>
      </m:oMath>
      <w:r w:rsidRPr="00CE4B6D">
        <w:rPr>
          <w:lang w:val="en-US"/>
        </w:rPr>
        <w:t>;</w:t>
      </w:r>
    </w:p>
    <w:p w14:paraId="0E4661D4" w14:textId="77777777" w:rsidR="008A1F79" w:rsidRPr="00CE4B6D" w:rsidRDefault="008A1F79" w:rsidP="008A1F79">
      <w:pPr>
        <w:pStyle w:val="B3"/>
      </w:pPr>
      <w:r w:rsidRPr="00CE4B6D">
        <w:t>else</w:t>
      </w:r>
    </w:p>
    <w:p w14:paraId="3D23C587" w14:textId="77777777" w:rsidR="008A1F79" w:rsidRPr="00CE4B6D" w:rsidRDefault="008A1F79" w:rsidP="008A1F79">
      <w:pPr>
        <w:pStyle w:val="B4"/>
        <w:ind w:left="1134" w:firstLine="0"/>
        <w:rPr>
          <w:lang w:eastAsia="zh-CN"/>
        </w:rPr>
      </w:pPr>
      <w:r w:rsidRPr="00CE4B6D">
        <w:rPr>
          <w:rFonts w:hint="eastAsia"/>
          <w:lang w:eastAsia="zh-CN"/>
        </w:rPr>
        <w:t>if there is a PS</w:t>
      </w:r>
      <w:r w:rsidRPr="00CE4B6D">
        <w:rPr>
          <w:lang w:eastAsia="zh-CN"/>
        </w:rPr>
        <w:t>F</w:t>
      </w:r>
      <w:r w:rsidRPr="00CE4B6D">
        <w:rPr>
          <w:rFonts w:hint="eastAsia"/>
          <w:lang w:eastAsia="zh-CN"/>
        </w:rPr>
        <w:t xml:space="preserve">CH </w:t>
      </w:r>
      <w:r w:rsidRPr="00CE4B6D">
        <w:rPr>
          <w:lang w:eastAsia="zh-CN"/>
        </w:rPr>
        <w:t xml:space="preserve">reception occasion </w:t>
      </w:r>
      <w:r w:rsidRPr="00CE4B6D">
        <w:rPr>
          <w:rFonts w:hint="eastAsia"/>
          <w:lang w:eastAsia="zh-CN"/>
        </w:rPr>
        <w:t xml:space="preserve">associated with </w:t>
      </w:r>
      <w:r w:rsidRPr="00CE4B6D">
        <w:rPr>
          <w:lang w:eastAsia="zh-CN"/>
        </w:rPr>
        <w:t>a PSSCH transmission scheduled by a DCI format</w:t>
      </w:r>
      <w:r w:rsidRPr="00CE4B6D">
        <w:rPr>
          <w:rFonts w:hint="eastAsia"/>
          <w:lang w:eastAsia="zh-CN"/>
        </w:rPr>
        <w:t xml:space="preserve"> in </w:t>
      </w:r>
      <w:r w:rsidRPr="00CE4B6D">
        <w:rPr>
          <w:lang w:eastAsia="zh-CN"/>
        </w:rPr>
        <w:t>PDCCH monitoring occasion</w:t>
      </w:r>
      <w:r w:rsidRPr="00CE4B6D">
        <w:rPr>
          <w:rFonts w:hint="eastAsia"/>
          <w:lang w:eastAsia="zh-CN"/>
        </w:rPr>
        <w:t xml:space="preserve"> </w:t>
      </w:r>
      <m:oMath>
        <m:r>
          <w:rPr>
            <w:rFonts w:ascii="Cambria Math" w:hAnsi="Cambria Math"/>
            <w:lang w:val="en-US" w:eastAsia="zh-CN"/>
          </w:rPr>
          <m:t>m</m:t>
        </m:r>
      </m:oMath>
      <w:r w:rsidRPr="00CE4B6D">
        <w:rPr>
          <w:rFonts w:hint="eastAsia"/>
          <w:lang w:eastAsia="zh-CN"/>
        </w:rPr>
        <w:t xml:space="preserve"> </w:t>
      </w:r>
    </w:p>
    <w:p w14:paraId="205D98C6" w14:textId="77777777" w:rsidR="008A1F79" w:rsidRPr="00CE4B6D" w:rsidRDefault="008A1F79" w:rsidP="008A1F79">
      <w:pPr>
        <w:pStyle w:val="B5"/>
        <w:rPr>
          <w:lang w:eastAsia="zh-CN"/>
        </w:rPr>
      </w:pPr>
      <w:r w:rsidRPr="00CE4B6D">
        <w:rPr>
          <w:rFonts w:hint="eastAsia"/>
          <w:lang w:eastAsia="zh-CN"/>
        </w:rPr>
        <w:t xml:space="preserve">if </w:t>
      </w:r>
      <m:oMath>
        <m:sSubSup>
          <m:sSubSupPr>
            <m:ctrlPr>
              <w:rPr>
                <w:rFonts w:ascii="Cambria Math" w:hAnsi="Cambria Math"/>
                <w:i/>
                <w:lang w:eastAsia="zh-CN"/>
              </w:rPr>
            </m:ctrlPr>
          </m:sSubSupPr>
          <m:e>
            <m:r>
              <w:rPr>
                <w:rFonts w:ascii="Cambria Math"/>
                <w:lang w:eastAsia="zh-CN"/>
              </w:rPr>
              <m:t>V</m:t>
            </m:r>
          </m:e>
          <m:sub>
            <m:r>
              <w:rPr>
                <w:rFonts w:ascii="Cambria Math"/>
                <w:lang w:eastAsia="zh-CN"/>
              </w:rPr>
              <m:t>C</m:t>
            </m:r>
            <m:r>
              <w:rPr>
                <w:rFonts w:ascii="Cambria Math"/>
                <w:lang w:eastAsia="zh-CN"/>
              </w:rPr>
              <m:t>-</m:t>
            </m:r>
            <m:r>
              <m:rPr>
                <m:nor/>
              </m:rPr>
              <w:rPr>
                <w:rFonts w:ascii="Cambria Math"/>
                <w:lang w:eastAsia="zh-CN"/>
              </w:rPr>
              <m:t>SAI</m:t>
            </m:r>
            <m:r>
              <m:rPr>
                <m:sty m:val="p"/>
              </m:rPr>
              <w:rPr>
                <w:rFonts w:ascii="Cambria Math"/>
                <w:lang w:eastAsia="zh-CN"/>
              </w:rPr>
              <m:t>,</m:t>
            </m:r>
            <m:r>
              <w:rPr>
                <w:rFonts w:ascii="Cambria Math"/>
                <w:lang w:eastAsia="zh-CN"/>
              </w:rPr>
              <m:t>m</m:t>
            </m:r>
            <m:ctrlPr>
              <w:rPr>
                <w:rFonts w:ascii="Cambria Math" w:hAnsi="Cambria Math"/>
                <w:lang w:eastAsia="zh-CN"/>
              </w:rPr>
            </m:ctrlPr>
          </m:sub>
          <m:sup>
            <m:r>
              <m:rPr>
                <m:nor/>
              </m:rPr>
              <w:rPr>
                <w:rFonts w:ascii="Cambria Math"/>
                <w:lang w:eastAsia="zh-CN"/>
              </w:rPr>
              <m:t>SL</m:t>
            </m:r>
            <m:ctrlPr>
              <w:rPr>
                <w:rFonts w:ascii="Cambria Math" w:hAnsi="Cambria Math"/>
                <w:lang w:eastAsia="zh-CN"/>
              </w:rPr>
            </m:ctrlPr>
          </m:sup>
        </m:sSubSup>
        <m:r>
          <w:rPr>
            <w:rFonts w:ascii="Cambria Math"/>
            <w:lang w:eastAsia="zh-CN"/>
          </w:rPr>
          <m:t>≤</m:t>
        </m:r>
        <m:sSub>
          <m:sSubPr>
            <m:ctrlPr>
              <w:rPr>
                <w:rFonts w:ascii="Cambria Math" w:hAnsi="Cambria Math"/>
                <w:i/>
                <w:lang w:eastAsia="zh-CN"/>
              </w:rPr>
            </m:ctrlPr>
          </m:sSubPr>
          <m:e>
            <m:r>
              <w:rPr>
                <w:rFonts w:ascii="Cambria Math"/>
                <w:lang w:eastAsia="zh-CN"/>
              </w:rPr>
              <m:t>V</m:t>
            </m:r>
          </m:e>
          <m:sub>
            <m:r>
              <w:rPr>
                <w:rFonts w:ascii="Cambria Math"/>
                <w:lang w:eastAsia="zh-CN"/>
              </w:rPr>
              <m:t>temp</m:t>
            </m:r>
          </m:sub>
        </m:sSub>
      </m:oMath>
    </w:p>
    <w:p w14:paraId="41BA9768" w14:textId="77777777" w:rsidR="008A1F79" w:rsidRPr="00CE4B6D" w:rsidRDefault="008A1F79" w:rsidP="008A1F79">
      <w:pPr>
        <w:pStyle w:val="B5"/>
        <w:ind w:left="1985"/>
        <w:rPr>
          <w:i/>
          <w:lang w:eastAsia="zh-CN"/>
        </w:rPr>
      </w:pPr>
      <m:oMath>
        <m:r>
          <w:rPr>
            <w:rFonts w:ascii="Cambria Math" w:hAnsi="Cambria Math"/>
            <w:lang w:val="en-US" w:eastAsia="zh-CN"/>
          </w:rPr>
          <m:t>j=j+1</m:t>
        </m:r>
      </m:oMath>
      <w:r w:rsidRPr="00CE4B6D">
        <w:rPr>
          <w:lang w:val="en-US" w:eastAsia="zh-CN"/>
        </w:rPr>
        <w:t>;</w:t>
      </w:r>
    </w:p>
    <w:p w14:paraId="2E4F4274" w14:textId="77777777" w:rsidR="008A1F79" w:rsidRPr="00CE4B6D" w:rsidRDefault="008A1F79" w:rsidP="008A1F79">
      <w:pPr>
        <w:pStyle w:val="B5"/>
        <w:rPr>
          <w:rFonts w:cs="Arial"/>
          <w:lang w:eastAsia="zh-CN"/>
        </w:rPr>
      </w:pPr>
      <w:r w:rsidRPr="00CE4B6D">
        <w:rPr>
          <w:rFonts w:hint="eastAsia"/>
          <w:lang w:eastAsia="zh-CN"/>
        </w:rPr>
        <w:t>end if</w:t>
      </w:r>
    </w:p>
    <w:p w14:paraId="31B53588" w14:textId="0DBA7359" w:rsidR="008A1F79" w:rsidRPr="00CE4B6D" w:rsidRDefault="00000000" w:rsidP="008A1F79">
      <w:pPr>
        <w:pStyle w:val="B5"/>
        <w:ind w:left="1418" w:firstLine="0"/>
        <w:rPr>
          <w:lang w:eastAsia="zh-CN"/>
        </w:rPr>
      </w:pPr>
      <m:oMath>
        <m:sSub>
          <m:sSubPr>
            <m:ctrlPr>
              <w:rPr>
                <w:rFonts w:ascii="Cambria Math" w:hAnsi="Cambria Math"/>
                <w:i/>
                <w:lang w:eastAsia="zh-CN"/>
              </w:rPr>
            </m:ctrlPr>
          </m:sSubPr>
          <m:e>
            <m:r>
              <w:rPr>
                <w:rFonts w:ascii="Cambria Math"/>
                <w:lang w:eastAsia="zh-CN"/>
              </w:rPr>
              <m:t>V</m:t>
            </m:r>
          </m:e>
          <m:sub>
            <m:r>
              <w:rPr>
                <w:rFonts w:ascii="Cambria Math"/>
                <w:lang w:eastAsia="zh-CN"/>
              </w:rPr>
              <m:t>temp</m:t>
            </m:r>
          </m:sub>
        </m:sSub>
        <m:r>
          <w:rPr>
            <w:rFonts w:ascii="Cambria Math"/>
            <w:lang w:eastAsia="zh-CN"/>
          </w:rPr>
          <m:t>=</m:t>
        </m:r>
        <m:sSubSup>
          <m:sSubSupPr>
            <m:ctrlPr>
              <w:rPr>
                <w:rFonts w:ascii="Cambria Math" w:hAnsi="Cambria Math"/>
                <w:i/>
                <w:lang w:eastAsia="zh-CN"/>
              </w:rPr>
            </m:ctrlPr>
          </m:sSubSupPr>
          <m:e>
            <m:r>
              <w:rPr>
                <w:rFonts w:ascii="Cambria Math"/>
                <w:lang w:eastAsia="zh-CN"/>
              </w:rPr>
              <m:t>V</m:t>
            </m:r>
          </m:e>
          <m:sub>
            <m:r>
              <w:rPr>
                <w:rFonts w:ascii="Cambria Math"/>
                <w:lang w:eastAsia="zh-CN"/>
              </w:rPr>
              <m:t>C</m:t>
            </m:r>
            <m:r>
              <w:rPr>
                <w:rFonts w:ascii="Cambria Math"/>
                <w:lang w:eastAsia="zh-CN"/>
              </w:rPr>
              <m:t>-</m:t>
            </m:r>
            <m:r>
              <m:rPr>
                <m:nor/>
              </m:rPr>
              <w:rPr>
                <w:rFonts w:ascii="Cambria Math"/>
                <w:lang w:eastAsia="zh-CN"/>
              </w:rPr>
              <m:t>SAI</m:t>
            </m:r>
            <m:r>
              <m:rPr>
                <m:sty m:val="p"/>
              </m:rPr>
              <w:rPr>
                <w:rFonts w:ascii="Cambria Math"/>
                <w:lang w:eastAsia="zh-CN"/>
              </w:rPr>
              <m:t>,</m:t>
            </m:r>
            <m:r>
              <w:rPr>
                <w:rFonts w:ascii="Cambria Math"/>
                <w:lang w:eastAsia="zh-CN"/>
              </w:rPr>
              <m:t>m</m:t>
            </m:r>
            <m:ctrlPr>
              <w:rPr>
                <w:rFonts w:ascii="Cambria Math" w:hAnsi="Cambria Math"/>
                <w:lang w:eastAsia="zh-CN"/>
              </w:rPr>
            </m:ctrlPr>
          </m:sub>
          <m:sup>
            <m:r>
              <m:rPr>
                <m:nor/>
              </m:rPr>
              <w:rPr>
                <w:rFonts w:ascii="Cambria Math"/>
                <w:lang w:eastAsia="zh-CN"/>
              </w:rPr>
              <m:t>SL</m:t>
            </m:r>
            <m:ctrlPr>
              <w:rPr>
                <w:rFonts w:ascii="Cambria Math" w:hAnsi="Cambria Math"/>
                <w:lang w:eastAsia="zh-CN"/>
              </w:rPr>
            </m:ctrlPr>
          </m:sup>
        </m:sSubSup>
      </m:oMath>
      <w:r w:rsidR="00472C3D">
        <w:rPr>
          <w:lang w:eastAsia="zh-CN"/>
        </w:rPr>
        <w:t xml:space="preserve"> </w:t>
      </w:r>
    </w:p>
    <w:p w14:paraId="0FD370A2" w14:textId="77777777" w:rsidR="008A1F79" w:rsidRPr="00CE4B6D" w:rsidRDefault="00000000" w:rsidP="008A1F79">
      <w:pPr>
        <w:pStyle w:val="B5"/>
        <w:ind w:left="1985" w:hanging="567"/>
      </w:pPr>
      <m:oMath>
        <m:sSubSup>
          <m:sSubSupPr>
            <m:ctrlPr>
              <w:rPr>
                <w:rFonts w:ascii="Cambria Math" w:hAnsi="Cambria Math"/>
                <w:i/>
              </w:rPr>
            </m:ctrlPr>
          </m:sSubSupPr>
          <m:e>
            <m:acc>
              <m:accPr>
                <m:chr m:val="̃"/>
                <m:ctrlPr>
                  <w:rPr>
                    <w:rFonts w:ascii="Cambria Math" w:hAnsi="Cambria Math"/>
                    <w:i/>
                  </w:rPr>
                </m:ctrlPr>
              </m:accPr>
              <m:e>
                <m:r>
                  <w:rPr>
                    <w:rFonts w:ascii="Cambria Math"/>
                  </w:rPr>
                  <m:t>o</m:t>
                </m:r>
              </m:e>
            </m:acc>
          </m:e>
          <m:sub>
            <m:r>
              <w:rPr>
                <w:rFonts w:ascii="Cambria Math"/>
              </w:rPr>
              <m:t>4j+</m:t>
            </m:r>
            <m:sSubSup>
              <m:sSubSupPr>
                <m:ctrlPr>
                  <w:rPr>
                    <w:rFonts w:ascii="Cambria Math" w:hAnsi="Cambria Math"/>
                    <w:i/>
                  </w:rPr>
                </m:ctrlPr>
              </m:sSubSupPr>
              <m:e>
                <m:r>
                  <w:rPr>
                    <w:rFonts w:ascii="Cambria Math"/>
                  </w:rPr>
                  <m:t>V</m:t>
                </m:r>
              </m:e>
              <m:sub>
                <m:r>
                  <w:rPr>
                    <w:rFonts w:ascii="Cambria Math"/>
                  </w:rPr>
                  <m:t>C</m:t>
                </m:r>
                <m:r>
                  <w:rPr>
                    <w:rFonts w:ascii="Cambria Math"/>
                  </w:rPr>
                  <m:t>-</m:t>
                </m:r>
                <m:r>
                  <w:rPr>
                    <w:rFonts w:ascii="Cambria Math"/>
                  </w:rPr>
                  <m:t>SAI,m</m:t>
                </m:r>
              </m:sub>
              <m:sup>
                <m:r>
                  <w:rPr>
                    <w:rFonts w:ascii="Cambria Math"/>
                  </w:rPr>
                  <m:t>SL</m:t>
                </m:r>
              </m:sup>
            </m:sSubSup>
            <m:r>
              <w:rPr>
                <w:rFonts w:ascii="Cambria Math"/>
              </w:rPr>
              <m:t>-</m:t>
            </m:r>
            <m:r>
              <w:rPr>
                <w:rFonts w:ascii="Cambria Math"/>
              </w:rPr>
              <m:t>1</m:t>
            </m:r>
          </m:sub>
          <m:sup>
            <m:r>
              <w:rPr>
                <w:rFonts w:ascii="Cambria Math"/>
              </w:rPr>
              <m:t>ACK</m:t>
            </m:r>
          </m:sup>
        </m:sSubSup>
      </m:oMath>
      <w:r w:rsidR="008A1F79" w:rsidRPr="00CE4B6D">
        <w:t xml:space="preserve"> </w:t>
      </w:r>
      <w:r w:rsidR="008A1F79" w:rsidRPr="00CE4B6D">
        <w:rPr>
          <w:rFonts w:hint="eastAsia"/>
          <w:lang w:eastAsia="zh-CN"/>
        </w:rPr>
        <w:t>=</w:t>
      </w:r>
      <w:r w:rsidR="008A1F79" w:rsidRPr="00CE4B6D">
        <w:t xml:space="preserve"> HARQ-ACK information bit </w:t>
      </w:r>
    </w:p>
    <w:p w14:paraId="3D94C29B" w14:textId="58B003A8" w:rsidR="008A1F79" w:rsidRPr="00CE4B6D" w:rsidRDefault="00000000" w:rsidP="008A1F79">
      <w:pPr>
        <w:pStyle w:val="B5"/>
        <w:ind w:left="1418" w:firstLine="0"/>
        <w:rPr>
          <w:lang w:eastAsia="zh-CN"/>
        </w:rPr>
      </w:pPr>
      <m:oMath>
        <m:sSub>
          <m:sSubPr>
            <m:ctrlPr>
              <w:rPr>
                <w:rFonts w:ascii="Cambria Math" w:hAnsi="Cambria Math" w:cs="Arial"/>
                <w:i/>
                <w:lang w:eastAsia="zh-CN"/>
              </w:rPr>
            </m:ctrlPr>
          </m:sSubPr>
          <m:e>
            <m:r>
              <w:rPr>
                <w:rFonts w:ascii="Cambria Math" w:cs="Arial"/>
                <w:lang w:eastAsia="zh-CN"/>
              </w:rPr>
              <m:t>V</m:t>
            </m:r>
          </m:e>
          <m:sub>
            <m:r>
              <w:rPr>
                <w:rFonts w:ascii="Cambria Math" w:cs="Arial"/>
                <w:lang w:eastAsia="zh-CN"/>
              </w:rPr>
              <m:t>s</m:t>
            </m:r>
          </m:sub>
        </m:sSub>
        <m:r>
          <w:rPr>
            <w:rFonts w:ascii="Cambria Math" w:cs="Arial"/>
            <w:lang w:eastAsia="zh-CN"/>
          </w:rPr>
          <m:t>=</m:t>
        </m:r>
        <m:sSub>
          <m:sSubPr>
            <m:ctrlPr>
              <w:rPr>
                <w:rFonts w:ascii="Cambria Math" w:hAnsi="Cambria Math" w:cs="Arial"/>
                <w:i/>
                <w:lang w:eastAsia="zh-CN"/>
              </w:rPr>
            </m:ctrlPr>
          </m:sSubPr>
          <m:e>
            <m:r>
              <w:rPr>
                <w:rFonts w:ascii="Cambria Math" w:cs="Arial"/>
                <w:lang w:eastAsia="zh-CN"/>
              </w:rPr>
              <m:t>V</m:t>
            </m:r>
          </m:e>
          <m:sub>
            <m:r>
              <w:rPr>
                <w:rFonts w:ascii="Cambria Math" w:cs="Arial"/>
                <w:lang w:eastAsia="zh-CN"/>
              </w:rPr>
              <m:t>s</m:t>
            </m:r>
          </m:sub>
        </m:sSub>
        <m:r>
          <w:rPr>
            <w:rFonts w:ascii="Cambria Math" w:hAnsi="Cambria Math" w:cs="Cambria Math"/>
            <w:lang w:eastAsia="zh-CN"/>
          </w:rPr>
          <m:t>∪</m:t>
        </m:r>
        <m:d>
          <m:dPr>
            <m:begChr m:val="{"/>
            <m:endChr m:val="}"/>
            <m:ctrlPr>
              <w:rPr>
                <w:rFonts w:ascii="Cambria Math" w:hAnsi="Cambria Math" w:cs="Arial"/>
                <w:i/>
                <w:lang w:eastAsia="zh-CN"/>
              </w:rPr>
            </m:ctrlPr>
          </m:dPr>
          <m:e>
            <m:r>
              <w:rPr>
                <w:rFonts w:ascii="Cambria Math" w:cs="Arial"/>
                <w:lang w:eastAsia="zh-CN"/>
              </w:rPr>
              <m:t>4j+</m:t>
            </m:r>
            <m:sSubSup>
              <m:sSubSupPr>
                <m:ctrlPr>
                  <w:rPr>
                    <w:rFonts w:ascii="Cambria Math" w:hAnsi="Cambria Math" w:cs="Arial"/>
                    <w:i/>
                    <w:lang w:eastAsia="zh-CN"/>
                  </w:rPr>
                </m:ctrlPr>
              </m:sSubSupPr>
              <m:e>
                <m:r>
                  <w:rPr>
                    <w:rFonts w:ascii="Cambria Math" w:cs="Arial"/>
                    <w:lang w:eastAsia="zh-CN"/>
                  </w:rPr>
                  <m:t>V</m:t>
                </m:r>
              </m:e>
              <m:sub>
                <m:r>
                  <w:rPr>
                    <w:rFonts w:ascii="Cambria Math" w:cs="Arial"/>
                    <w:lang w:eastAsia="zh-CN"/>
                  </w:rPr>
                  <m:t>C</m:t>
                </m:r>
                <m:r>
                  <w:rPr>
                    <w:rFonts w:ascii="Cambria Math" w:cs="Arial"/>
                    <w:lang w:eastAsia="zh-CN"/>
                  </w:rPr>
                  <m:t>-</m:t>
                </m:r>
                <m:r>
                  <m:rPr>
                    <m:nor/>
                  </m:rPr>
                  <w:rPr>
                    <w:rFonts w:ascii="Cambria Math" w:cs="Arial"/>
                    <w:lang w:eastAsia="zh-CN"/>
                  </w:rPr>
                  <m:t>SAI</m:t>
                </m:r>
                <m:r>
                  <m:rPr>
                    <m:sty m:val="p"/>
                  </m:rPr>
                  <w:rPr>
                    <w:rFonts w:ascii="Cambria Math" w:cs="Arial"/>
                    <w:lang w:eastAsia="zh-CN"/>
                  </w:rPr>
                  <m:t>,</m:t>
                </m:r>
                <m:r>
                  <w:rPr>
                    <w:rFonts w:ascii="Cambria Math" w:cs="Arial"/>
                    <w:lang w:eastAsia="zh-CN"/>
                  </w:rPr>
                  <m:t>m</m:t>
                </m:r>
                <m:ctrlPr>
                  <w:rPr>
                    <w:rFonts w:ascii="Cambria Math" w:hAnsi="Cambria Math" w:cs="Arial"/>
                    <w:lang w:eastAsia="zh-CN"/>
                  </w:rPr>
                </m:ctrlPr>
              </m:sub>
              <m:sup>
                <m:r>
                  <m:rPr>
                    <m:nor/>
                  </m:rPr>
                  <w:rPr>
                    <w:rFonts w:ascii="Cambria Math" w:cs="Arial"/>
                    <w:lang w:eastAsia="zh-CN"/>
                  </w:rPr>
                  <m:t>SL</m:t>
                </m:r>
                <m:ctrlPr>
                  <w:rPr>
                    <w:rFonts w:ascii="Cambria Math" w:hAnsi="Cambria Math" w:cs="Arial"/>
                    <w:lang w:eastAsia="zh-CN"/>
                  </w:rPr>
                </m:ctrlPr>
              </m:sup>
            </m:sSubSup>
            <m:r>
              <w:rPr>
                <w:rFonts w:ascii="Cambria Math" w:cs="Arial"/>
                <w:lang w:eastAsia="zh-CN"/>
              </w:rPr>
              <m:t>-</m:t>
            </m:r>
            <m:r>
              <w:rPr>
                <w:rFonts w:ascii="Cambria Math" w:cs="Arial"/>
                <w:lang w:eastAsia="zh-CN"/>
              </w:rPr>
              <m:t>1</m:t>
            </m:r>
          </m:e>
        </m:d>
      </m:oMath>
      <w:r w:rsidR="00472C3D">
        <w:rPr>
          <w:lang w:eastAsia="zh-CN"/>
        </w:rPr>
        <w:t xml:space="preserve"> </w:t>
      </w:r>
    </w:p>
    <w:p w14:paraId="0EFA804A" w14:textId="77777777" w:rsidR="008A1F79" w:rsidRPr="00CE4B6D" w:rsidRDefault="008A1F79" w:rsidP="008A1F79">
      <w:pPr>
        <w:pStyle w:val="B4"/>
        <w:rPr>
          <w:lang w:eastAsia="zh-CN"/>
        </w:rPr>
      </w:pPr>
      <w:r w:rsidRPr="00CE4B6D">
        <w:rPr>
          <w:rFonts w:hint="eastAsia"/>
          <w:lang w:eastAsia="zh-CN"/>
        </w:rPr>
        <w:t>end if</w:t>
      </w:r>
    </w:p>
    <w:p w14:paraId="3B185167" w14:textId="77777777" w:rsidR="008A1F79" w:rsidRPr="00CE4B6D" w:rsidRDefault="008A1F79" w:rsidP="008A1F79">
      <w:pPr>
        <w:pStyle w:val="B3"/>
        <w:rPr>
          <w:lang w:val="en-US" w:eastAsia="zh-CN"/>
        </w:rPr>
      </w:pPr>
      <w:r w:rsidRPr="00CE4B6D">
        <w:rPr>
          <w:lang w:val="en-US" w:eastAsia="zh-CN"/>
        </w:rPr>
        <w:t>end if</w:t>
      </w:r>
    </w:p>
    <w:p w14:paraId="2EF7B0F0" w14:textId="77777777" w:rsidR="008A1F79" w:rsidRPr="00CE4B6D" w:rsidRDefault="008A1F79" w:rsidP="008A1F79">
      <w:pPr>
        <w:pStyle w:val="B2"/>
        <w:rPr>
          <w:i/>
          <w:lang w:eastAsia="zh-CN"/>
        </w:rPr>
      </w:pPr>
      <m:oMath>
        <m:r>
          <w:rPr>
            <w:rFonts w:ascii="Cambria Math" w:hAnsi="Cambria Math"/>
            <w:lang w:val="en-US" w:eastAsia="zh-CN"/>
          </w:rPr>
          <m:t>m=m+1</m:t>
        </m:r>
      </m:oMath>
      <w:r w:rsidRPr="00CE4B6D">
        <w:rPr>
          <w:lang w:val="en-US" w:eastAsia="zh-CN"/>
        </w:rPr>
        <w:t>;</w:t>
      </w:r>
    </w:p>
    <w:p w14:paraId="6F4BBCD4" w14:textId="77777777" w:rsidR="008A1F79" w:rsidRPr="00CE4B6D" w:rsidRDefault="008A1F79" w:rsidP="008A1F79">
      <w:pPr>
        <w:pStyle w:val="B1"/>
        <w:rPr>
          <w:lang w:eastAsia="zh-CN"/>
        </w:rPr>
      </w:pPr>
      <w:r w:rsidRPr="00CE4B6D">
        <w:rPr>
          <w:rFonts w:hint="eastAsia"/>
          <w:lang w:eastAsia="zh-CN"/>
        </w:rPr>
        <w:t>end while</w:t>
      </w:r>
    </w:p>
    <w:p w14:paraId="47980275" w14:textId="713F841D" w:rsidR="008A1F79" w:rsidRPr="00495059" w:rsidRDefault="00000000" w:rsidP="008A1F79">
      <w:pPr>
        <w:pStyle w:val="B2"/>
        <w:ind w:left="284" w:firstLine="0"/>
        <w:rPr>
          <w:lang w:val="en-US" w:eastAsia="zh-CN"/>
        </w:rPr>
      </w:pPr>
      <m:oMath>
        <m:sSub>
          <m:sSubPr>
            <m:ctrlPr>
              <w:rPr>
                <w:rFonts w:ascii="Cambria Math" w:hAnsi="Cambria Math"/>
                <w:i/>
                <w:kern w:val="2"/>
                <w:sz w:val="21"/>
              </w:rPr>
            </m:ctrlPr>
          </m:sSubPr>
          <m:e>
            <m:r>
              <w:rPr>
                <w:rFonts w:ascii="Cambria Math" w:hAnsi="Cambria Math"/>
              </w:rPr>
              <m:t>O</m:t>
            </m:r>
          </m:e>
          <m:sub>
            <m:r>
              <w:rPr>
                <w:rFonts w:ascii="Cambria Math"/>
              </w:rPr>
              <m:t>ACK</m:t>
            </m:r>
          </m:sub>
        </m:sSub>
        <m:r>
          <w:rPr>
            <w:rFonts w:ascii="Cambria Math"/>
            <w:lang w:eastAsia="zh-CN"/>
          </w:rPr>
          <m:t>=4</m:t>
        </m:r>
        <m:r>
          <w:rPr>
            <w:rFonts w:ascii="Cambria Math" w:hAnsi="Cambria Math" w:cs="Cambria Math"/>
            <w:lang w:eastAsia="zh-CN"/>
          </w:rPr>
          <m:t>⋅</m:t>
        </m:r>
        <m:r>
          <w:rPr>
            <w:rFonts w:ascii="Cambria Math"/>
            <w:lang w:eastAsia="zh-CN"/>
          </w:rPr>
          <m:t>j+</m:t>
        </m:r>
        <m:sSub>
          <m:sSubPr>
            <m:ctrlPr>
              <w:rPr>
                <w:rFonts w:ascii="Cambria Math" w:hAnsi="Cambria Math"/>
                <w:i/>
                <w:lang w:eastAsia="zh-CN"/>
              </w:rPr>
            </m:ctrlPr>
          </m:sSubPr>
          <m:e>
            <m:r>
              <w:rPr>
                <w:rFonts w:ascii="Cambria Math"/>
                <w:lang w:eastAsia="zh-CN"/>
              </w:rPr>
              <m:t>V</m:t>
            </m:r>
          </m:e>
          <m:sub>
            <m:r>
              <w:rPr>
                <w:rFonts w:ascii="Cambria Math"/>
                <w:lang w:eastAsia="zh-CN"/>
              </w:rPr>
              <m:t>temp</m:t>
            </m:r>
          </m:sub>
        </m:sSub>
      </m:oMath>
      <w:r w:rsidR="00472C3D">
        <w:rPr>
          <w:lang w:val="en-US" w:eastAsia="zh-CN"/>
        </w:rPr>
        <w:t xml:space="preserve"> </w:t>
      </w:r>
    </w:p>
    <w:p w14:paraId="2DA31CA5" w14:textId="2CBC410D" w:rsidR="008A1F79" w:rsidRPr="00CE4B6D" w:rsidRDefault="00000000" w:rsidP="008A1F79">
      <w:pPr>
        <w:pStyle w:val="B1"/>
        <w:rPr>
          <w:lang w:val="en-US"/>
        </w:rPr>
      </w:pPr>
      <m:oMath>
        <m:sSubSup>
          <m:sSubSupPr>
            <m:ctrlPr>
              <w:rPr>
                <w:rFonts w:ascii="Cambria Math" w:hAnsi="Cambria Math"/>
                <w:i/>
                <w:lang w:eastAsia="zh-CN"/>
              </w:rPr>
            </m:ctrlPr>
          </m:sSubSupPr>
          <m:e>
            <m:acc>
              <m:accPr>
                <m:chr m:val="̃"/>
                <m:ctrlPr>
                  <w:rPr>
                    <w:rFonts w:ascii="Cambria Math" w:hAnsi="Cambria Math"/>
                    <w:i/>
                    <w:lang w:eastAsia="zh-CN"/>
                  </w:rPr>
                </m:ctrlPr>
              </m:accPr>
              <m:e>
                <m:r>
                  <w:rPr>
                    <w:rFonts w:ascii="Cambria Math" w:hAnsi="Cambria Math"/>
                    <w:lang w:eastAsia="zh-CN"/>
                  </w:rPr>
                  <m:t>o</m:t>
                </m:r>
              </m:e>
            </m:acc>
          </m:e>
          <m:sub>
            <m:r>
              <w:rPr>
                <w:rFonts w:ascii="Cambria Math" w:hAnsi="Cambria Math"/>
                <w:lang w:eastAsia="zh-CN"/>
              </w:rPr>
              <m:t>i</m:t>
            </m:r>
          </m:sub>
          <m:sup>
            <m:r>
              <w:rPr>
                <w:rFonts w:ascii="Cambria Math" w:hAnsi="Cambria Math"/>
                <w:lang w:eastAsia="zh-CN"/>
              </w:rPr>
              <m:t>ACK</m:t>
            </m:r>
          </m:sup>
        </m:sSubSup>
        <m:r>
          <w:rPr>
            <w:rFonts w:ascii="Cambria Math" w:hAnsi="Cambria Math"/>
            <w:lang w:eastAsia="zh-CN"/>
          </w:rPr>
          <m:t>=NACK</m:t>
        </m:r>
      </m:oMath>
      <w:r w:rsidR="008A1F79" w:rsidRPr="00CE4B6D">
        <w:rPr>
          <w:rFonts w:hint="eastAsia"/>
          <w:lang w:eastAsia="zh-CN"/>
        </w:rPr>
        <w:t xml:space="preserve"> for any</w:t>
      </w:r>
      <w:r w:rsidR="008A1F79" w:rsidRPr="00CE4B6D">
        <w:rPr>
          <w:lang w:val="en-US" w:eastAsia="zh-CN"/>
        </w:rPr>
        <w:t xml:space="preserve"> </w:t>
      </w:r>
      <m:oMath>
        <m:r>
          <w:rPr>
            <w:rFonts w:ascii="Cambria Math" w:hAnsi="Cambria Math"/>
            <w:lang w:eastAsia="zh-CN"/>
          </w:rPr>
          <m:t>i ∈</m:t>
        </m:r>
        <m:d>
          <m:dPr>
            <m:begChr m:val="{"/>
            <m:endChr m:val="}"/>
            <m:ctrlPr>
              <w:rPr>
                <w:rFonts w:ascii="Cambria Math" w:hAnsi="Cambria Math"/>
                <w:i/>
                <w:lang w:eastAsia="zh-CN"/>
              </w:rPr>
            </m:ctrlPr>
          </m:dPr>
          <m:e>
            <m:r>
              <w:rPr>
                <w:rFonts w:ascii="Cambria Math" w:hAnsi="Cambria Math"/>
                <w:lang w:eastAsia="zh-CN"/>
              </w:rPr>
              <m:t>0,1,…,</m:t>
            </m:r>
            <m:sSub>
              <m:sSubPr>
                <m:ctrlPr>
                  <w:rPr>
                    <w:rFonts w:ascii="Cambria Math" w:hAnsi="Cambria Math"/>
                    <w:i/>
                    <w:kern w:val="2"/>
                    <w:sz w:val="21"/>
                  </w:rPr>
                </m:ctrlPr>
              </m:sSubPr>
              <m:e>
                <m:r>
                  <w:rPr>
                    <w:rFonts w:ascii="Cambria Math" w:hAnsi="Cambria Math"/>
                  </w:rPr>
                  <m:t>O</m:t>
                </m:r>
              </m:e>
              <m:sub>
                <m:r>
                  <w:rPr>
                    <w:rFonts w:ascii="Cambria Math"/>
                  </w:rPr>
                  <m:t>ACK</m:t>
                </m:r>
              </m:sub>
            </m:sSub>
            <m:r>
              <w:rPr>
                <w:rFonts w:ascii="Cambria Math" w:hAnsi="Cambria Math"/>
                <w:lang w:eastAsia="zh-CN"/>
              </w:rPr>
              <m:t>-1</m:t>
            </m:r>
          </m:e>
        </m:d>
        <m:r>
          <w:rPr>
            <w:rFonts w:ascii="Cambria Math" w:hAnsi="Cambria Math"/>
            <w:lang w:eastAsia="zh-CN"/>
          </w:rPr>
          <m:t>\</m:t>
        </m:r>
        <m:sSub>
          <m:sSubPr>
            <m:ctrlPr>
              <w:rPr>
                <w:rFonts w:ascii="Cambria Math" w:hAnsi="Cambria Math" w:cs="Arial"/>
                <w:i/>
                <w:lang w:eastAsia="zh-CN"/>
              </w:rPr>
            </m:ctrlPr>
          </m:sSubPr>
          <m:e>
            <m:r>
              <w:rPr>
                <w:rFonts w:ascii="Cambria Math" w:cs="Arial"/>
                <w:lang w:eastAsia="zh-CN"/>
              </w:rPr>
              <m:t>V</m:t>
            </m:r>
          </m:e>
          <m:sub>
            <m:r>
              <w:rPr>
                <w:rFonts w:ascii="Cambria Math" w:cs="Arial"/>
                <w:lang w:eastAsia="zh-CN"/>
              </w:rPr>
              <m:t>s</m:t>
            </m:r>
          </m:sub>
        </m:sSub>
        <m:r>
          <w:rPr>
            <w:rFonts w:ascii="Cambria Math" w:hAnsi="Cambria Math"/>
            <w:lang w:eastAsia="zh-CN"/>
          </w:rPr>
          <m:t xml:space="preserve"> </m:t>
        </m:r>
      </m:oMath>
    </w:p>
    <w:p w14:paraId="658EAD1F" w14:textId="5C02835D" w:rsidR="008A1F79" w:rsidRPr="00CE4B6D" w:rsidRDefault="008A1F79" w:rsidP="008A1F79">
      <w:pPr>
        <w:pStyle w:val="B2"/>
        <w:ind w:left="284" w:firstLine="0"/>
        <w:rPr>
          <w:lang w:eastAsia="zh-CN"/>
        </w:rPr>
      </w:pPr>
      <w:r w:rsidRPr="00CE4B6D">
        <w:rPr>
          <w:lang w:eastAsia="zh-CN"/>
        </w:rPr>
        <w:t xml:space="preserve">if </w:t>
      </w:r>
      <w:r>
        <w:rPr>
          <w:lang w:val="en-US" w:eastAsia="zh-CN"/>
        </w:rPr>
        <w:t xml:space="preserve">a SL configured grant </w:t>
      </w:r>
      <w:r w:rsidR="00F14C2C">
        <w:rPr>
          <w:lang w:val="en-US" w:eastAsia="zh-CN"/>
        </w:rPr>
        <w:t xml:space="preserve">Type </w:t>
      </w:r>
      <w:r>
        <w:rPr>
          <w:lang w:val="en-US" w:eastAsia="zh-CN"/>
        </w:rPr>
        <w:t xml:space="preserve">1 is configured for a UE, or a SL configured grant </w:t>
      </w:r>
      <w:r w:rsidR="00F14C2C">
        <w:rPr>
          <w:lang w:val="en-US" w:eastAsia="zh-CN"/>
        </w:rPr>
        <w:t xml:space="preserve">Type </w:t>
      </w:r>
      <w:r>
        <w:rPr>
          <w:lang w:val="en-US" w:eastAsia="zh-CN"/>
        </w:rPr>
        <w:t xml:space="preserve">2 </w:t>
      </w:r>
      <w:r w:rsidRPr="00CE4B6D">
        <w:rPr>
          <w:lang w:val="en-US" w:eastAsia="zh-CN"/>
        </w:rPr>
        <w:t>is configured and</w:t>
      </w:r>
      <w:r w:rsidRPr="00CE4B6D">
        <w:rPr>
          <w:lang w:eastAsia="zh-CN"/>
        </w:rPr>
        <w:t xml:space="preserve"> activated</w:t>
      </w:r>
      <w:r>
        <w:rPr>
          <w:lang w:val="en-US" w:eastAsia="zh-CN"/>
        </w:rPr>
        <w:t xml:space="preserve"> for a UE,</w:t>
      </w:r>
      <w:r w:rsidRPr="00CE4B6D">
        <w:rPr>
          <w:lang w:eastAsia="zh-CN"/>
        </w:rPr>
        <w:t xml:space="preserve"> </w:t>
      </w:r>
      <w:r w:rsidRPr="00CE4B6D">
        <w:rPr>
          <w:lang w:val="en-US" w:eastAsia="zh-CN"/>
        </w:rPr>
        <w:t xml:space="preserve">and </w:t>
      </w:r>
      <w:r>
        <w:rPr>
          <w:lang w:val="en-US" w:eastAsia="zh-CN"/>
        </w:rPr>
        <w:t xml:space="preserve">the SL configured grant </w:t>
      </w:r>
      <w:r w:rsidRPr="00CE4B6D">
        <w:rPr>
          <w:lang w:val="en-US" w:eastAsia="zh-CN"/>
        </w:rPr>
        <w:t>provides a grant for PSSCH transmissions</w:t>
      </w:r>
      <w:r w:rsidR="00953A2F">
        <w:rPr>
          <w:lang w:val="en-US" w:eastAsia="zh-CN"/>
        </w:rPr>
        <w:t>,</w:t>
      </w:r>
      <w:r w:rsidR="00953A2F" w:rsidRPr="0033576F">
        <w:rPr>
          <w:lang w:eastAsia="zh-CN"/>
        </w:rPr>
        <w:t xml:space="preserve"> </w:t>
      </w:r>
      <w:r w:rsidR="00953A2F">
        <w:rPr>
          <w:lang w:eastAsia="zh-CN"/>
        </w:rPr>
        <w:t xml:space="preserve">including the </w:t>
      </w:r>
      <w:r w:rsidR="00953A2F">
        <w:t>PSSCH transmission(s)</w:t>
      </w:r>
      <w:r w:rsidR="00953A2F">
        <w:rPr>
          <w:lang w:eastAsia="zh-CN"/>
        </w:rPr>
        <w:t xml:space="preserve"> associated with the corresponding activation DCI format 3_0,</w:t>
      </w:r>
      <w:r w:rsidRPr="00CE4B6D">
        <w:rPr>
          <w:lang w:val="en-US" w:eastAsia="zh-CN"/>
        </w:rPr>
        <w:t xml:space="preserve"> with PSFCH reception occasions </w:t>
      </w:r>
      <w:r w:rsidRPr="00CE4B6D">
        <w:rPr>
          <w:lang w:eastAsia="zh-CN"/>
        </w:rPr>
        <w:t xml:space="preserve">in a slot </w:t>
      </w:r>
      <m:oMath>
        <m:r>
          <w:rPr>
            <w:rFonts w:ascii="Cambria Math"/>
          </w:rPr>
          <m:t>n</m:t>
        </m:r>
        <m:r>
          <w:rPr>
            <w:rFonts w:ascii="Cambria Math"/>
          </w:rPr>
          <m:t>-</m:t>
        </m:r>
        <m:sSub>
          <m:sSubPr>
            <m:ctrlPr>
              <w:rPr>
                <w:rFonts w:ascii="Cambria Math" w:hAnsi="Cambria Math"/>
                <w:i/>
              </w:rPr>
            </m:ctrlPr>
          </m:sSubPr>
          <m:e>
            <m:r>
              <w:rPr>
                <w:rFonts w:ascii="Cambria Math"/>
              </w:rPr>
              <m:t>K</m:t>
            </m:r>
          </m:e>
          <m:sub>
            <m:r>
              <w:rPr>
                <w:rFonts w:ascii="Cambria Math"/>
              </w:rPr>
              <m:t>1</m:t>
            </m:r>
          </m:sub>
        </m:sSub>
      </m:oMath>
      <w:r w:rsidRPr="00CE4B6D">
        <w:t xml:space="preserve">, where </w:t>
      </w:r>
      <m:oMath>
        <m:sSub>
          <m:sSubPr>
            <m:ctrlPr>
              <w:rPr>
                <w:rFonts w:ascii="Cambria Math" w:hAnsi="Cambria Math"/>
                <w:i/>
              </w:rPr>
            </m:ctrlPr>
          </m:sSubPr>
          <m:e>
            <m:r>
              <w:rPr>
                <w:rFonts w:ascii="Cambria Math"/>
              </w:rPr>
              <m:t>K</m:t>
            </m:r>
          </m:e>
          <m:sub>
            <m:r>
              <w:rPr>
                <w:rFonts w:ascii="Cambria Math"/>
              </w:rPr>
              <m:t>1</m:t>
            </m:r>
          </m:sub>
        </m:sSub>
      </m:oMath>
      <w:r w:rsidRPr="00CE4B6D">
        <w:t xml:space="preserve"> is the </w:t>
      </w:r>
      <m:oMath>
        <m:r>
          <w:rPr>
            <w:rFonts w:ascii="Cambria Math" w:hAnsi="Cambria Math"/>
          </w:rPr>
          <m:t>k</m:t>
        </m:r>
      </m:oMath>
      <w:r w:rsidRPr="00CE4B6D">
        <w:t xml:space="preserve"> value for </w:t>
      </w:r>
      <w:r w:rsidRPr="00CE4B6D">
        <w:rPr>
          <w:lang w:val="en-US"/>
        </w:rPr>
        <w:t>the SL configured grant</w:t>
      </w:r>
      <w:r w:rsidR="002305B4">
        <w:rPr>
          <w:lang w:val="en-US"/>
        </w:rPr>
        <w:t xml:space="preserve"> as described in clause 16.5</w:t>
      </w:r>
    </w:p>
    <w:p w14:paraId="2D946D88" w14:textId="3971AF32" w:rsidR="008A1F79" w:rsidRPr="00CE4B6D" w:rsidRDefault="00000000" w:rsidP="008A1F79">
      <w:pPr>
        <w:pStyle w:val="B3"/>
        <w:ind w:hanging="568"/>
        <w:rPr>
          <w:lang w:eastAsia="zh-CN"/>
        </w:rPr>
      </w:pPr>
      <m:oMath>
        <m:sSub>
          <m:sSubPr>
            <m:ctrlPr>
              <w:rPr>
                <w:rFonts w:ascii="Cambria Math" w:hAnsi="Cambria Math"/>
                <w:i/>
                <w:kern w:val="2"/>
                <w:sz w:val="21"/>
              </w:rPr>
            </m:ctrlPr>
          </m:sSubPr>
          <m:e>
            <m:r>
              <w:rPr>
                <w:rFonts w:ascii="Cambria Math" w:hAnsi="Cambria Math"/>
              </w:rPr>
              <m:t>O</m:t>
            </m:r>
          </m:e>
          <m:sub>
            <m:r>
              <w:rPr>
                <w:rFonts w:ascii="Cambria Math"/>
              </w:rPr>
              <m:t>ACK</m:t>
            </m:r>
          </m:sub>
        </m:sSub>
        <m:r>
          <w:rPr>
            <w:rFonts w:ascii="Cambria Math" w:hAnsi="Cambria Math"/>
            <w:lang w:eastAsia="zh-CN"/>
          </w:rPr>
          <m:t>=</m:t>
        </m:r>
        <m:sSub>
          <m:sSubPr>
            <m:ctrlPr>
              <w:rPr>
                <w:rFonts w:ascii="Cambria Math" w:hAnsi="Cambria Math"/>
                <w:i/>
                <w:kern w:val="2"/>
                <w:sz w:val="21"/>
              </w:rPr>
            </m:ctrlPr>
          </m:sSubPr>
          <m:e>
            <m:r>
              <w:rPr>
                <w:rFonts w:ascii="Cambria Math" w:hAnsi="Cambria Math"/>
              </w:rPr>
              <m:t>O</m:t>
            </m:r>
          </m:e>
          <m:sub>
            <m:r>
              <w:rPr>
                <w:rFonts w:ascii="Cambria Math"/>
              </w:rPr>
              <m:t>ACK</m:t>
            </m:r>
          </m:sub>
        </m:sSub>
        <m:r>
          <w:rPr>
            <w:rFonts w:ascii="Cambria Math" w:hAnsi="Cambria Math"/>
            <w:lang w:eastAsia="zh-CN"/>
          </w:rPr>
          <m:t>+1</m:t>
        </m:r>
      </m:oMath>
      <w:r w:rsidR="008A1F79" w:rsidRPr="00CE4B6D">
        <w:rPr>
          <w:lang w:eastAsia="zh-CN"/>
        </w:rPr>
        <w:t>;</w:t>
      </w:r>
    </w:p>
    <w:p w14:paraId="323ACA22" w14:textId="595AED8D" w:rsidR="008A1F79" w:rsidRPr="00CE4B6D" w:rsidRDefault="00000000" w:rsidP="008A1F79">
      <w:pPr>
        <w:pStyle w:val="B3"/>
        <w:ind w:left="567" w:firstLine="0"/>
        <w:rPr>
          <w:lang w:eastAsia="zh-CN"/>
        </w:rPr>
      </w:pPr>
      <m:oMath>
        <m:sSubSup>
          <m:sSubSupPr>
            <m:ctrlPr>
              <w:rPr>
                <w:rFonts w:ascii="Cambria Math" w:hAnsi="Cambria Math" w:cs="Arial"/>
                <w:i/>
                <w:kern w:val="2"/>
                <w:sz w:val="21"/>
              </w:rPr>
            </m:ctrlPr>
          </m:sSubSupPr>
          <m:e>
            <m:acc>
              <m:accPr>
                <m:chr m:val="̃"/>
                <m:ctrlPr>
                  <w:rPr>
                    <w:rFonts w:ascii="Cambria Math" w:hAnsi="Cambria Math" w:cs="Arial"/>
                    <w:kern w:val="2"/>
                    <w:sz w:val="21"/>
                  </w:rPr>
                </m:ctrlPr>
              </m:accPr>
              <m:e>
                <m:r>
                  <w:rPr>
                    <w:rFonts w:ascii="Cambria Math" w:hAnsi="Cambria Math" w:cs="Arial"/>
                  </w:rPr>
                  <m:t>o</m:t>
                </m:r>
              </m:e>
            </m:acc>
          </m:e>
          <m:sub>
            <m:sSub>
              <m:sSubPr>
                <m:ctrlPr>
                  <w:rPr>
                    <w:rFonts w:ascii="Cambria Math" w:hAnsi="Cambria Math" w:cs="Arial"/>
                    <w:i/>
                    <w:kern w:val="2"/>
                    <w:sz w:val="21"/>
                  </w:rPr>
                </m:ctrlPr>
              </m:sSubPr>
              <m:e>
                <m:r>
                  <w:rPr>
                    <w:rFonts w:ascii="Cambria Math" w:hAnsi="Cambria Math" w:cs="Arial"/>
                  </w:rPr>
                  <m:t>O</m:t>
                </m:r>
              </m:e>
              <m:sub>
                <m:r>
                  <w:rPr>
                    <w:rFonts w:ascii="Cambria Math" w:hAnsi="Cambria Math" w:cs="Arial"/>
                  </w:rPr>
                  <m:t>ACK</m:t>
                </m:r>
              </m:sub>
            </m:sSub>
            <m:r>
              <w:rPr>
                <w:rFonts w:ascii="Cambria Math" w:hAnsi="Cambria Math" w:cs="Arial"/>
              </w:rPr>
              <m:t>-1</m:t>
            </m:r>
          </m:sub>
          <m:sup>
            <m:r>
              <w:rPr>
                <w:rFonts w:ascii="Cambria Math" w:hAnsi="Cambria Math" w:cs="Arial"/>
              </w:rPr>
              <m:t>ACK</m:t>
            </m:r>
          </m:sup>
        </m:sSubSup>
      </m:oMath>
      <w:r w:rsidR="008A1F79" w:rsidRPr="00CE4B6D">
        <w:rPr>
          <w:rFonts w:hint="eastAsia"/>
          <w:lang w:eastAsia="zh-CN"/>
        </w:rPr>
        <w:t>=</w:t>
      </w:r>
      <w:r w:rsidR="008A1F79" w:rsidRPr="00CE4B6D">
        <w:t xml:space="preserve"> HARQ-ACK information bit </w:t>
      </w:r>
      <w:r w:rsidR="008A1F79" w:rsidRPr="00CE4B6D">
        <w:rPr>
          <w:lang w:eastAsia="zh-CN"/>
        </w:rPr>
        <w:t xml:space="preserve">associated with </w:t>
      </w:r>
      <w:r w:rsidR="008A1F79" w:rsidRPr="00CE4B6D">
        <w:rPr>
          <w:rFonts w:hint="eastAsia"/>
          <w:lang w:eastAsia="zh-CN"/>
        </w:rPr>
        <w:t>the</w:t>
      </w:r>
      <w:r w:rsidR="008A1F79" w:rsidRPr="00CE4B6D">
        <w:rPr>
          <w:lang w:eastAsia="zh-CN"/>
        </w:rPr>
        <w:t xml:space="preserve"> PSFCH reception occasion</w:t>
      </w:r>
      <w:r w:rsidR="008A1F79" w:rsidRPr="00CE4B6D">
        <w:rPr>
          <w:lang w:val="en-US" w:eastAsia="zh-CN"/>
        </w:rPr>
        <w:t>s</w:t>
      </w:r>
      <w:r w:rsidR="008A1F79" w:rsidRPr="00CE4B6D">
        <w:rPr>
          <w:lang w:eastAsia="zh-CN"/>
        </w:rPr>
        <w:t xml:space="preserve"> associated with the PSSCH transmissions scheduled by the SL configured grant</w:t>
      </w:r>
    </w:p>
    <w:p w14:paraId="14693805" w14:textId="77777777" w:rsidR="008A1F79" w:rsidRPr="00CE4B6D" w:rsidRDefault="008A1F79" w:rsidP="008A1F79">
      <w:pPr>
        <w:pStyle w:val="B2"/>
        <w:ind w:hanging="567"/>
        <w:rPr>
          <w:lang w:eastAsia="zh-CN"/>
        </w:rPr>
      </w:pPr>
      <w:r w:rsidRPr="00CE4B6D">
        <w:rPr>
          <w:rFonts w:hint="eastAsia"/>
          <w:lang w:eastAsia="zh-CN"/>
        </w:rPr>
        <w:t>end if</w:t>
      </w:r>
    </w:p>
    <w:p w14:paraId="2396DE1A" w14:textId="68444BA7" w:rsidR="008A1F79" w:rsidRPr="00CE4B6D" w:rsidRDefault="008A1F79" w:rsidP="008A1F79">
      <w:pPr>
        <w:rPr>
          <w:lang w:val="en-US" w:eastAsia="zh-CN"/>
        </w:rPr>
      </w:pPr>
      <w:r w:rsidRPr="00CE4B6D">
        <w:rPr>
          <w:rStyle w:val="CommentReference"/>
          <w:sz w:val="20"/>
          <w:szCs w:val="20"/>
          <w:lang w:val="en-US"/>
        </w:rPr>
        <w:t>I</w:t>
      </w:r>
      <w:r w:rsidRPr="00CE4B6D">
        <w:rPr>
          <w:lang w:val="en-US" w:eastAsia="zh-CN"/>
        </w:rPr>
        <w:t xml:space="preserve">f </w:t>
      </w:r>
      <m:oMath>
        <m:sSub>
          <m:sSubPr>
            <m:ctrlPr>
              <w:rPr>
                <w:rFonts w:ascii="Cambria Math" w:hAnsi="Cambria Math"/>
                <w:i/>
              </w:rPr>
            </m:ctrlPr>
          </m:sSubPr>
          <m:e>
            <m:r>
              <w:rPr>
                <w:rFonts w:ascii="Cambria Math"/>
              </w:rPr>
              <m:t>O</m:t>
            </m:r>
          </m:e>
          <m:sub>
            <m:r>
              <m:rPr>
                <m:nor/>
              </m:rPr>
              <w:rPr>
                <w:rFonts w:ascii="Cambria Math"/>
              </w:rPr>
              <m:t>ACK</m:t>
            </m:r>
            <m:ctrlPr>
              <w:rPr>
                <w:rFonts w:ascii="Cambria Math" w:hAnsi="Cambria Math"/>
              </w:rPr>
            </m:ctrlPr>
          </m:sub>
        </m:sSub>
        <m:r>
          <w:rPr>
            <w:rFonts w:ascii="Cambria Math"/>
          </w:rPr>
          <m:t>≤</m:t>
        </m:r>
        <m:r>
          <w:rPr>
            <w:rFonts w:ascii="Cambria Math"/>
          </w:rPr>
          <m:t>11</m:t>
        </m:r>
      </m:oMath>
      <w:r w:rsidRPr="00CE4B6D">
        <w:t xml:space="preserve">, </w:t>
      </w:r>
      <w:r w:rsidRPr="00CE4B6D">
        <w:rPr>
          <w:lang w:val="en-US" w:eastAsia="zh-CN"/>
        </w:rPr>
        <w:t xml:space="preserve">the UE determines a number of HARQ-ACK information bits </w:t>
      </w:r>
      <m:oMath>
        <m:sSub>
          <m:sSubPr>
            <m:ctrlPr>
              <w:rPr>
                <w:rFonts w:ascii="Cambria Math" w:hAnsi="Cambria Math" w:cs="Arial"/>
                <w:i/>
                <w:lang w:eastAsia="zh-CN"/>
              </w:rPr>
            </m:ctrlPr>
          </m:sSubPr>
          <m:e>
            <m:r>
              <w:rPr>
                <w:rFonts w:ascii="Cambria Math" w:cs="Arial"/>
                <w:lang w:eastAsia="zh-CN"/>
              </w:rPr>
              <m:t>n</m:t>
            </m:r>
          </m:e>
          <m:sub>
            <m:r>
              <m:rPr>
                <m:sty m:val="p"/>
              </m:rPr>
              <w:rPr>
                <w:rFonts w:ascii="Cambria Math" w:cs="Arial"/>
                <w:lang w:eastAsia="zh-CN"/>
              </w:rPr>
              <m:t>HARQ</m:t>
            </m:r>
            <m:r>
              <m:rPr>
                <m:sty m:val="p"/>
              </m:rPr>
              <w:rPr>
                <w:rFonts w:ascii="Cambria Math" w:cs="Arial"/>
                <w:lang w:eastAsia="zh-CN"/>
              </w:rPr>
              <m:t>-</m:t>
            </m:r>
            <m:r>
              <m:rPr>
                <m:sty m:val="p"/>
              </m:rPr>
              <w:rPr>
                <w:rFonts w:ascii="Cambria Math" w:cs="Arial"/>
                <w:lang w:eastAsia="zh-CN"/>
              </w:rPr>
              <m:t>ACK</m:t>
            </m:r>
          </m:sub>
        </m:sSub>
      </m:oMath>
      <w:r w:rsidRPr="00CE4B6D">
        <w:rPr>
          <w:rFonts w:cs="Arial"/>
          <w:lang w:eastAsia="zh-CN"/>
        </w:rPr>
        <w:t xml:space="preserve"> for obtaining a transmission power for a PUCCH, as described </w:t>
      </w:r>
      <w:r w:rsidR="006F5F9E">
        <w:rPr>
          <w:rFonts w:cs="Arial"/>
          <w:lang w:eastAsia="zh-CN"/>
        </w:rPr>
        <w:t>in clause</w:t>
      </w:r>
      <w:r w:rsidRPr="00CE4B6D">
        <w:rPr>
          <w:rFonts w:cs="Arial"/>
          <w:lang w:eastAsia="zh-CN"/>
        </w:rPr>
        <w:t xml:space="preserve"> 7.2.1, </w:t>
      </w:r>
      <w:r w:rsidRPr="00CE4B6D">
        <w:rPr>
          <w:lang w:val="en-US" w:eastAsia="zh-CN"/>
        </w:rPr>
        <w:t xml:space="preserve">as </w:t>
      </w:r>
    </w:p>
    <w:p w14:paraId="6DD34D74" w14:textId="77777777" w:rsidR="008A1F79" w:rsidRPr="00CE4B6D" w:rsidRDefault="00000000" w:rsidP="00495059">
      <w:pPr>
        <w:pStyle w:val="EQ"/>
        <w:rPr>
          <w:lang w:eastAsia="zh-CN"/>
        </w:rPr>
      </w:pPr>
      <m:oMathPara>
        <m:oMath>
          <m:sSub>
            <m:sSubPr>
              <m:ctrlPr>
                <w:rPr>
                  <w:rFonts w:ascii="Cambria Math" w:hAnsi="Cambria Math"/>
                  <w:lang w:eastAsia="zh-CN"/>
                </w:rPr>
              </m:ctrlPr>
            </m:sSubPr>
            <m:e>
              <m:r>
                <m:rPr>
                  <m:sty m:val="p"/>
                </m:rPr>
                <w:rPr>
                  <w:rFonts w:ascii="Cambria Math" w:hAnsi="Cambria Math"/>
                  <w:lang w:eastAsia="zh-CN"/>
                </w:rPr>
                <m:t>n</m:t>
              </m:r>
            </m:e>
            <m:sub>
              <m:r>
                <m:rPr>
                  <m:nor/>
                </m:rPr>
                <w:rPr>
                  <w:lang w:eastAsia="zh-CN"/>
                </w:rPr>
                <m:t>HARQ-ACK</m:t>
              </m:r>
            </m:sub>
          </m:sSub>
          <m:r>
            <m:rPr>
              <m:sty m:val="p"/>
            </m:rPr>
            <w:rPr>
              <w:rFonts w:ascii="Cambria Math" w:hAnsi="Cambria Math"/>
              <w:lang w:eastAsia="zh-CN"/>
            </w:rPr>
            <m:t>=</m:t>
          </m:r>
          <m:d>
            <m:dPr>
              <m:ctrlPr>
                <w:rPr>
                  <w:rFonts w:ascii="Cambria Math" w:hAnsi="Cambria Math"/>
                  <w:lang w:eastAsia="zh-CN"/>
                </w:rPr>
              </m:ctrlPr>
            </m:dPr>
            <m:e>
              <m:sSubSup>
                <m:sSubSupPr>
                  <m:ctrlPr>
                    <w:rPr>
                      <w:rFonts w:ascii="Cambria Math" w:hAnsi="Cambria Math"/>
                      <w:lang w:eastAsia="zh-CN"/>
                    </w:rPr>
                  </m:ctrlPr>
                </m:sSubSupPr>
                <m:e>
                  <m:r>
                    <w:rPr>
                      <w:rFonts w:ascii="Cambria Math" w:hAnsi="Cambria Math"/>
                      <w:lang w:eastAsia="zh-CN"/>
                    </w:rPr>
                    <m:t>V</m:t>
                  </m:r>
                </m:e>
                <m:sub>
                  <m:r>
                    <m:rPr>
                      <m:nor/>
                    </m:rPr>
                    <w:rPr>
                      <w:lang w:eastAsia="zh-CN"/>
                    </w:rPr>
                    <m:t>SAI</m:t>
                  </m:r>
                  <m:r>
                    <m:rPr>
                      <m:sty m:val="p"/>
                    </m:rP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m</m:t>
                      </m:r>
                    </m:e>
                    <m:sub>
                      <m:r>
                        <m:rPr>
                          <m:nor/>
                        </m:rPr>
                        <w:rPr>
                          <w:lang w:eastAsia="zh-CN"/>
                        </w:rPr>
                        <m:t>last</m:t>
                      </m:r>
                    </m:sub>
                  </m:sSub>
                </m:sub>
                <m:sup>
                  <m:r>
                    <m:rPr>
                      <m:nor/>
                    </m:rPr>
                    <w:rPr>
                      <w:lang w:eastAsia="zh-CN"/>
                    </w:rPr>
                    <m:t>SL</m:t>
                  </m:r>
                </m:sup>
              </m:sSubSup>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U</m:t>
                  </m:r>
                </m:e>
                <m:sub>
                  <m:r>
                    <m:rPr>
                      <m:nor/>
                    </m:rPr>
                    <w:rPr>
                      <w:lang w:eastAsia="zh-CN"/>
                    </w:rPr>
                    <m:t>SAI</m:t>
                  </m:r>
                </m:sub>
              </m:sSub>
            </m:e>
          </m:d>
          <m:func>
            <m:funcPr>
              <m:ctrlPr>
                <w:rPr>
                  <w:rFonts w:ascii="Cambria Math" w:hAnsi="Cambria Math"/>
                  <w:lang w:eastAsia="zh-CN"/>
                </w:rPr>
              </m:ctrlPr>
            </m:funcPr>
            <m:fName>
              <m:r>
                <m:rPr>
                  <m:sty m:val="p"/>
                </m:rPr>
                <w:rPr>
                  <w:rFonts w:ascii="Cambria Math" w:hAnsi="Cambria Math"/>
                  <w:lang w:eastAsia="zh-CN"/>
                </w:rPr>
                <m:t>mod</m:t>
              </m:r>
            </m:fName>
            <m:e>
              <m:r>
                <m:rPr>
                  <m:sty m:val="p"/>
                </m:rPr>
                <w:rPr>
                  <w:rFonts w:ascii="Cambria Math" w:hAnsi="Cambria Math"/>
                  <w:lang w:eastAsia="zh-CN"/>
                </w:rPr>
                <m:t>4</m:t>
              </m:r>
            </m:e>
          </m:func>
          <m:r>
            <m:rPr>
              <m:sty m:val="p"/>
            </m:rPr>
            <w:rPr>
              <w:rFonts w:ascii="Cambria Math" w:hAnsi="Cambria Math"/>
              <w:lang w:eastAsia="zh-CN"/>
            </w:rPr>
            <m:t>+</m:t>
          </m:r>
          <m:nary>
            <m:naryPr>
              <m:chr m:val="∑"/>
              <m:ctrlPr>
                <w:rPr>
                  <w:rFonts w:ascii="Cambria Math" w:hAnsi="Cambria Math"/>
                  <w:lang w:eastAsia="zh-CN"/>
                </w:rPr>
              </m:ctrlPr>
            </m:naryPr>
            <m:sub>
              <m:r>
                <m:rPr>
                  <m:sty m:val="p"/>
                </m:rPr>
                <w:rPr>
                  <w:rFonts w:ascii="Cambria Math" w:hAnsi="Cambria Math"/>
                  <w:lang w:eastAsia="zh-CN"/>
                </w:rPr>
                <m:t>m=0</m:t>
              </m:r>
            </m:sub>
            <m:sup>
              <m:r>
                <m:rPr>
                  <m:sty m:val="p"/>
                </m:rPr>
                <w:rPr>
                  <w:rFonts w:ascii="Cambria Math" w:hAnsi="Cambria Math"/>
                  <w:lang w:eastAsia="zh-CN"/>
                </w:rPr>
                <m:t>M-1</m:t>
              </m:r>
            </m:sup>
            <m:e>
              <m:sSubSup>
                <m:sSubSupPr>
                  <m:ctrlPr>
                    <w:rPr>
                      <w:rFonts w:ascii="Cambria Math" w:hAnsi="Cambria Math"/>
                      <w:lang w:eastAsia="zh-CN"/>
                    </w:rPr>
                  </m:ctrlPr>
                </m:sSubSupPr>
                <m:e>
                  <m:r>
                    <w:rPr>
                      <w:rFonts w:ascii="Cambria Math" w:hAnsi="Cambria Math"/>
                      <w:lang w:eastAsia="zh-CN"/>
                    </w:rPr>
                    <m:t>N</m:t>
                  </m:r>
                </m:e>
                <m:sub>
                  <m:r>
                    <m:rPr>
                      <m:sty m:val="p"/>
                    </m:rPr>
                    <w:rPr>
                      <w:rFonts w:ascii="Cambria Math" w:hAnsi="Cambria Math"/>
                      <w:lang w:eastAsia="zh-CN"/>
                    </w:rPr>
                    <m:t>m</m:t>
                  </m:r>
                </m:sub>
                <m:sup>
                  <m:r>
                    <m:rPr>
                      <m:sty m:val="p"/>
                    </m:rPr>
                    <w:rPr>
                      <w:rFonts w:ascii="Cambria Math" w:hAnsi="Cambria Math"/>
                      <w:lang w:eastAsia="zh-CN"/>
                    </w:rPr>
                    <m:t>received</m:t>
                  </m:r>
                </m:sup>
              </m:sSubSup>
            </m:e>
          </m:nary>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N</m:t>
              </m:r>
            </m:e>
            <m:sub>
              <m:r>
                <m:rPr>
                  <m:sty m:val="p"/>
                </m:rPr>
                <w:rPr>
                  <w:rFonts w:ascii="Cambria Math" w:hAnsi="Cambria Math"/>
                  <w:lang w:eastAsia="zh-CN"/>
                </w:rPr>
                <m:t>CG</m:t>
              </m:r>
            </m:sub>
          </m:sSub>
        </m:oMath>
      </m:oMathPara>
    </w:p>
    <w:p w14:paraId="5E4F5C51" w14:textId="77777777" w:rsidR="008A1F79" w:rsidRPr="00CE4B6D" w:rsidRDefault="008A1F79" w:rsidP="008A1F79">
      <w:pPr>
        <w:rPr>
          <w:rFonts w:cs="Arial"/>
          <w:lang w:eastAsia="zh-CN"/>
        </w:rPr>
      </w:pPr>
      <w:r w:rsidRPr="00CE4B6D">
        <w:rPr>
          <w:rFonts w:cs="Arial"/>
          <w:lang w:eastAsia="zh-CN"/>
        </w:rPr>
        <w:t xml:space="preserve">where </w:t>
      </w:r>
    </w:p>
    <w:p w14:paraId="25956EF6" w14:textId="73A7D11A" w:rsidR="008A1F79" w:rsidRPr="00CE4B6D" w:rsidRDefault="008A1F79" w:rsidP="008A1F79">
      <w:pPr>
        <w:pStyle w:val="B1"/>
      </w:pPr>
      <w:r w:rsidRPr="00CE4B6D">
        <w:rPr>
          <w:rFonts w:cs="Arial"/>
          <w:lang w:eastAsia="zh-CN"/>
        </w:rPr>
        <w:lastRenderedPageBreak/>
        <w:t>-</w:t>
      </w:r>
      <w:r w:rsidRPr="00CE4B6D">
        <w:rPr>
          <w:rFonts w:cs="Arial"/>
          <w:lang w:eastAsia="zh-CN"/>
        </w:rPr>
        <w:tab/>
      </w:r>
      <m:oMath>
        <m:sSubSup>
          <m:sSubSupPr>
            <m:ctrlPr>
              <w:rPr>
                <w:rFonts w:ascii="Cambria Math" w:hAnsi="Cambria Math"/>
                <w:i/>
              </w:rPr>
            </m:ctrlPr>
          </m:sSubSupPr>
          <m:e>
            <m:r>
              <w:rPr>
                <w:rFonts w:ascii="Cambria Math"/>
              </w:rPr>
              <m:t>V</m:t>
            </m:r>
          </m:e>
          <m:sub>
            <m:r>
              <m:rPr>
                <m:nor/>
              </m:rPr>
              <w:rPr>
                <w:rFonts w:ascii="Cambria Math"/>
                <w:lang w:val="en-US"/>
              </w:rPr>
              <m:t>S</m:t>
            </m:r>
            <m:r>
              <m:rPr>
                <m:nor/>
              </m:rPr>
              <w:rPr>
                <w:rFonts w:ascii="Cambria Math"/>
              </w:rPr>
              <m:t>AI</m:t>
            </m:r>
            <m:r>
              <m:rPr>
                <m:sty m:val="p"/>
              </m:rPr>
              <w:rPr>
                <w:rFonts w:ascii="Cambria Math"/>
              </w:rPr>
              <m:t>,</m:t>
            </m:r>
            <m:sSub>
              <m:sSubPr>
                <m:ctrlPr>
                  <w:rPr>
                    <w:rFonts w:ascii="Cambria Math" w:hAnsi="Cambria Math"/>
                  </w:rPr>
                </m:ctrlPr>
              </m:sSubPr>
              <m:e>
                <m:r>
                  <w:rPr>
                    <w:rFonts w:ascii="Cambria Math"/>
                  </w:rPr>
                  <m:t>m</m:t>
                </m:r>
              </m:e>
              <m:sub>
                <m:r>
                  <m:rPr>
                    <m:nor/>
                  </m:rPr>
                  <w:rPr>
                    <w:rFonts w:ascii="Cambria Math"/>
                  </w:rPr>
                  <m:t>last</m:t>
                </m:r>
              </m:sub>
            </m:sSub>
            <m:ctrlPr>
              <w:rPr>
                <w:rFonts w:ascii="Cambria Math" w:hAnsi="Cambria Math"/>
              </w:rPr>
            </m:ctrlPr>
          </m:sub>
          <m:sup>
            <m:r>
              <m:rPr>
                <m:nor/>
              </m:rPr>
              <w:rPr>
                <w:rFonts w:ascii="Cambria Math"/>
                <w:lang w:val="en-US"/>
              </w:rPr>
              <m:t>S</m:t>
            </m:r>
            <m:r>
              <m:rPr>
                <m:nor/>
              </m:rPr>
              <w:rPr>
                <w:rFonts w:ascii="Cambria Math"/>
              </w:rPr>
              <m:t>L</m:t>
            </m:r>
            <m:ctrlPr>
              <w:rPr>
                <w:rFonts w:ascii="Cambria Math" w:hAnsi="Cambria Math"/>
              </w:rPr>
            </m:ctrlPr>
          </m:sup>
        </m:sSubSup>
      </m:oMath>
      <w:r w:rsidRPr="00CE4B6D">
        <w:rPr>
          <w:rFonts w:cs="Arial"/>
          <w:lang w:eastAsia="zh-CN"/>
        </w:rPr>
        <w:t xml:space="preserve"> is </w:t>
      </w:r>
      <w:r w:rsidRPr="00CE4B6D">
        <w:rPr>
          <w:rFonts w:cs="Arial"/>
          <w:lang w:val="en-US" w:eastAsia="zh-CN"/>
        </w:rPr>
        <w:t>a</w:t>
      </w:r>
      <w:r w:rsidRPr="00CE4B6D">
        <w:rPr>
          <w:rFonts w:cs="Arial"/>
          <w:lang w:eastAsia="zh-CN"/>
        </w:rPr>
        <w:t xml:space="preserve"> value </w:t>
      </w:r>
      <w:r w:rsidRPr="00CE4B6D">
        <w:rPr>
          <w:rFonts w:cs="Arial" w:hint="eastAsia"/>
          <w:lang w:eastAsia="zh-CN"/>
        </w:rPr>
        <w:t xml:space="preserve">of </w:t>
      </w:r>
      <w:r w:rsidRPr="00CE4B6D">
        <w:rPr>
          <w:rFonts w:cs="Arial"/>
          <w:lang w:val="en-US" w:eastAsia="zh-CN"/>
        </w:rPr>
        <w:t>a</w:t>
      </w:r>
      <w:r w:rsidRPr="00CE4B6D">
        <w:rPr>
          <w:rFonts w:cs="Arial" w:hint="eastAsia"/>
          <w:lang w:eastAsia="zh-CN"/>
        </w:rPr>
        <w:t xml:space="preserve"> counter </w:t>
      </w:r>
      <w:r w:rsidRPr="00CE4B6D">
        <w:rPr>
          <w:rFonts w:cs="Arial"/>
          <w:lang w:val="en-US" w:eastAsia="zh-CN"/>
        </w:rPr>
        <w:t>S</w:t>
      </w:r>
      <w:r w:rsidRPr="00CE4B6D">
        <w:rPr>
          <w:rFonts w:cs="Arial" w:hint="eastAsia"/>
          <w:lang w:eastAsia="zh-CN"/>
        </w:rPr>
        <w:t xml:space="preserve">AI </w:t>
      </w:r>
      <w:r w:rsidRPr="00CE4B6D">
        <w:rPr>
          <w:rFonts w:cs="Arial"/>
          <w:lang w:val="en-US" w:eastAsia="zh-CN"/>
        </w:rPr>
        <w:t xml:space="preserve">field </w:t>
      </w:r>
      <w:r w:rsidRPr="00CE4B6D">
        <w:rPr>
          <w:rFonts w:cs="Arial" w:hint="eastAsia"/>
          <w:lang w:eastAsia="zh-CN"/>
        </w:rPr>
        <w:t xml:space="preserve">in </w:t>
      </w:r>
      <w:r w:rsidRPr="00CE4B6D">
        <w:rPr>
          <w:rFonts w:cs="Arial"/>
          <w:lang w:val="en-US" w:eastAsia="zh-CN"/>
        </w:rPr>
        <w:t>a</w:t>
      </w:r>
      <w:r w:rsidRPr="00CE4B6D">
        <w:rPr>
          <w:rFonts w:cs="Arial"/>
          <w:lang w:eastAsia="zh-CN"/>
        </w:rPr>
        <w:t xml:space="preserve"> last </w:t>
      </w:r>
      <w:r w:rsidRPr="00CE4B6D">
        <w:rPr>
          <w:rFonts w:cs="Arial" w:hint="eastAsia"/>
          <w:lang w:eastAsia="zh-CN"/>
        </w:rPr>
        <w:t xml:space="preserve">DCI format </w:t>
      </w:r>
      <w:r w:rsidRPr="00CE4B6D">
        <w:rPr>
          <w:lang w:val="en-US" w:eastAsia="zh-CN"/>
        </w:rPr>
        <w:t>3</w:t>
      </w:r>
      <w:r w:rsidRPr="00CE4B6D">
        <w:rPr>
          <w:lang w:eastAsia="zh-CN"/>
        </w:rPr>
        <w:t>_0</w:t>
      </w:r>
      <w:r w:rsidR="002E1664">
        <w:rPr>
          <w:lang w:eastAsia="zh-CN"/>
        </w:rPr>
        <w:t>, excluding the DCI format 3_0 activating a SL configured grant,</w:t>
      </w:r>
      <w:r w:rsidRPr="00CE4B6D">
        <w:rPr>
          <w:lang w:eastAsia="zh-CN"/>
        </w:rPr>
        <w:t xml:space="preserve"> </w:t>
      </w:r>
      <w:r w:rsidRPr="00CE4B6D">
        <w:rPr>
          <w:rFonts w:hint="eastAsia"/>
          <w:lang w:eastAsia="zh-CN"/>
        </w:rPr>
        <w:t xml:space="preserve">scheduling </w:t>
      </w:r>
      <w:r w:rsidRPr="00CE4B6D">
        <w:rPr>
          <w:lang w:val="en-US" w:eastAsia="zh-CN"/>
        </w:rPr>
        <w:t xml:space="preserve">PSSCH transmissions associated with </w:t>
      </w:r>
      <w:r w:rsidRPr="00CE4B6D">
        <w:rPr>
          <w:rFonts w:hint="eastAsia"/>
          <w:lang w:eastAsia="zh-CN"/>
        </w:rPr>
        <w:t>PS</w:t>
      </w:r>
      <w:r w:rsidRPr="00CE4B6D">
        <w:rPr>
          <w:lang w:val="en-US" w:eastAsia="zh-CN"/>
        </w:rPr>
        <w:t>F</w:t>
      </w:r>
      <w:r w:rsidRPr="00CE4B6D">
        <w:rPr>
          <w:rFonts w:hint="eastAsia"/>
          <w:lang w:eastAsia="zh-CN"/>
        </w:rPr>
        <w:t xml:space="preserve">CH </w:t>
      </w:r>
      <w:r w:rsidRPr="00CE4B6D">
        <w:rPr>
          <w:lang w:eastAsia="zh-CN"/>
        </w:rPr>
        <w:t>recept</w:t>
      </w:r>
      <w:r w:rsidRPr="00CE4B6D">
        <w:rPr>
          <w:rFonts w:hint="eastAsia"/>
          <w:lang w:eastAsia="zh-CN"/>
        </w:rPr>
        <w:t>ion</w:t>
      </w:r>
      <w:r w:rsidRPr="00CE4B6D">
        <w:rPr>
          <w:lang w:val="en-US" w:eastAsia="zh-CN"/>
        </w:rPr>
        <w:t xml:space="preserve"> occasions</w:t>
      </w:r>
      <w:r w:rsidRPr="00CE4B6D">
        <w:rPr>
          <w:rFonts w:hint="eastAsia"/>
          <w:lang w:eastAsia="zh-CN"/>
        </w:rPr>
        <w:t xml:space="preserve"> </w:t>
      </w:r>
      <w:r w:rsidRPr="00CE4B6D">
        <w:rPr>
          <w:lang w:eastAsia="zh-CN"/>
        </w:rPr>
        <w:t>that the UE detects with</w:t>
      </w:r>
      <w:r w:rsidRPr="00CE4B6D">
        <w:rPr>
          <w:rFonts w:hint="eastAsia"/>
          <w:lang w:eastAsia="zh-CN"/>
        </w:rPr>
        <w:t xml:space="preserve">in </w:t>
      </w:r>
      <w:r w:rsidRPr="00CE4B6D">
        <w:rPr>
          <w:lang w:eastAsia="zh-CN"/>
        </w:rPr>
        <w:t xml:space="preserve">the </w:t>
      </w:r>
      <m:oMath>
        <m:r>
          <w:rPr>
            <w:rFonts w:ascii="Cambria Math" w:hAnsi="Cambria Math"/>
            <w:lang w:val="en-US" w:eastAsia="zh-CN"/>
          </w:rPr>
          <m:t>M</m:t>
        </m:r>
      </m:oMath>
      <w:r w:rsidRPr="00CE4B6D">
        <w:t xml:space="preserve"> </w:t>
      </w:r>
      <w:r w:rsidRPr="00CE4B6D">
        <w:rPr>
          <w:lang w:eastAsia="zh-CN"/>
        </w:rPr>
        <w:t>PDCCH monitoring occasions</w:t>
      </w:r>
    </w:p>
    <w:p w14:paraId="70CE9D8B" w14:textId="43C34FAE" w:rsidR="008A1F79" w:rsidRPr="00CE4B6D" w:rsidRDefault="008A1F79" w:rsidP="008A1F79">
      <w:pPr>
        <w:pStyle w:val="B1"/>
      </w:pPr>
      <w:r w:rsidRPr="00CE4B6D">
        <w:rPr>
          <w:rFonts w:cs="Arial"/>
          <w:lang w:eastAsia="zh-CN"/>
        </w:rPr>
        <w:t>-</w:t>
      </w:r>
      <w:r w:rsidRPr="00CE4B6D">
        <w:rPr>
          <w:rFonts w:cs="Arial"/>
          <w:lang w:eastAsia="zh-CN"/>
        </w:rPr>
        <w:tab/>
      </w:r>
      <m:oMath>
        <m:sSubSup>
          <m:sSubSupPr>
            <m:ctrlPr>
              <w:rPr>
                <w:rFonts w:ascii="Cambria Math" w:hAnsi="Cambria Math"/>
                <w:i/>
                <w:lang w:eastAsia="zh-CN"/>
              </w:rPr>
            </m:ctrlPr>
          </m:sSubSupPr>
          <m:e>
            <m:r>
              <w:rPr>
                <w:rFonts w:ascii="Cambria Math"/>
                <w:lang w:eastAsia="zh-CN"/>
              </w:rPr>
              <m:t>V</m:t>
            </m:r>
          </m:e>
          <m:sub>
            <m:r>
              <m:rPr>
                <m:nor/>
              </m:rPr>
              <w:rPr>
                <w:rFonts w:ascii="Cambria Math"/>
                <w:lang w:val="en-US" w:eastAsia="zh-CN"/>
              </w:rPr>
              <m:t>S</m:t>
            </m:r>
            <m:r>
              <m:rPr>
                <m:nor/>
              </m:rPr>
              <w:rPr>
                <w:rFonts w:ascii="Cambria Math"/>
                <w:lang w:eastAsia="zh-CN"/>
              </w:rPr>
              <m:t>AI</m:t>
            </m:r>
            <m:r>
              <m:rPr>
                <m:sty m:val="p"/>
              </m:rPr>
              <w:rPr>
                <w:rFonts w:ascii="Cambria Math"/>
                <w:lang w:eastAsia="zh-CN"/>
              </w:rPr>
              <m:t>,</m:t>
            </m:r>
            <m:sSub>
              <m:sSubPr>
                <m:ctrlPr>
                  <w:rPr>
                    <w:rFonts w:ascii="Cambria Math" w:hAnsi="Cambria Math"/>
                    <w:lang w:eastAsia="zh-CN"/>
                  </w:rPr>
                </m:ctrlPr>
              </m:sSubPr>
              <m:e>
                <m:r>
                  <w:rPr>
                    <w:rFonts w:ascii="Cambria Math"/>
                    <w:lang w:eastAsia="zh-CN"/>
                  </w:rPr>
                  <m:t>m</m:t>
                </m:r>
              </m:e>
              <m:sub>
                <m:r>
                  <m:rPr>
                    <m:nor/>
                  </m:rPr>
                  <w:rPr>
                    <w:rFonts w:ascii="Cambria Math"/>
                    <w:lang w:eastAsia="zh-CN"/>
                  </w:rPr>
                  <m:t>last</m:t>
                </m:r>
              </m:sub>
            </m:sSub>
            <m:ctrlPr>
              <w:rPr>
                <w:rFonts w:ascii="Cambria Math" w:hAnsi="Cambria Math"/>
                <w:lang w:eastAsia="zh-CN"/>
              </w:rPr>
            </m:ctrlPr>
          </m:sub>
          <m:sup>
            <m:r>
              <m:rPr>
                <m:nor/>
              </m:rPr>
              <w:rPr>
                <w:rFonts w:ascii="Cambria Math"/>
                <w:lang w:val="en-US" w:eastAsia="zh-CN"/>
              </w:rPr>
              <m:t>S</m:t>
            </m:r>
            <m:r>
              <m:rPr>
                <m:nor/>
              </m:rPr>
              <w:rPr>
                <w:rFonts w:ascii="Cambria Math"/>
                <w:lang w:eastAsia="zh-CN"/>
              </w:rPr>
              <m:t>L</m:t>
            </m:r>
            <m:ctrlPr>
              <w:rPr>
                <w:rFonts w:ascii="Cambria Math" w:hAnsi="Cambria Math"/>
                <w:lang w:eastAsia="zh-CN"/>
              </w:rPr>
            </m:ctrlPr>
          </m:sup>
        </m:sSubSup>
        <m:r>
          <w:rPr>
            <w:rFonts w:ascii="Cambria Math"/>
            <w:lang w:eastAsia="zh-CN"/>
          </w:rPr>
          <m:t>=0</m:t>
        </m:r>
      </m:oMath>
      <w:r w:rsidRPr="00CE4B6D">
        <w:rPr>
          <w:rFonts w:cs="Arial"/>
          <w:lang w:eastAsia="zh-CN"/>
        </w:rPr>
        <w:t xml:space="preserve"> if the UE does not detect any </w:t>
      </w:r>
      <w:r w:rsidRPr="00CE4B6D">
        <w:rPr>
          <w:rFonts w:cs="Arial" w:hint="eastAsia"/>
          <w:lang w:eastAsia="zh-CN"/>
        </w:rPr>
        <w:t xml:space="preserve">DCI format </w:t>
      </w:r>
      <w:r w:rsidRPr="00CE4B6D">
        <w:rPr>
          <w:lang w:val="en-US" w:eastAsia="zh-CN"/>
        </w:rPr>
        <w:t>3</w:t>
      </w:r>
      <w:r w:rsidRPr="00CE4B6D">
        <w:rPr>
          <w:lang w:eastAsia="zh-CN"/>
        </w:rPr>
        <w:t>_0</w:t>
      </w:r>
      <w:r w:rsidR="002E1664">
        <w:rPr>
          <w:lang w:eastAsia="zh-CN"/>
        </w:rPr>
        <w:t>, excluding the DCI format 3_0 activating a SL configured grant,</w:t>
      </w:r>
      <w:r w:rsidRPr="00CE4B6D">
        <w:rPr>
          <w:lang w:eastAsia="zh-CN"/>
        </w:rPr>
        <w:t xml:space="preserve"> </w:t>
      </w:r>
      <w:r w:rsidRPr="00CE4B6D">
        <w:rPr>
          <w:rFonts w:hint="eastAsia"/>
          <w:lang w:eastAsia="zh-CN"/>
        </w:rPr>
        <w:t xml:space="preserve">scheduling </w:t>
      </w:r>
      <w:r w:rsidRPr="00CE4B6D">
        <w:rPr>
          <w:lang w:val="en-US" w:eastAsia="zh-CN"/>
        </w:rPr>
        <w:t xml:space="preserve">PSSCH transmissions associated with </w:t>
      </w:r>
      <w:r w:rsidRPr="00CE4B6D">
        <w:rPr>
          <w:rFonts w:hint="eastAsia"/>
          <w:lang w:eastAsia="zh-CN"/>
        </w:rPr>
        <w:t>PS</w:t>
      </w:r>
      <w:r w:rsidRPr="00CE4B6D">
        <w:rPr>
          <w:lang w:val="en-US" w:eastAsia="zh-CN"/>
        </w:rPr>
        <w:t>F</w:t>
      </w:r>
      <w:r w:rsidRPr="00CE4B6D">
        <w:rPr>
          <w:rFonts w:hint="eastAsia"/>
          <w:lang w:eastAsia="zh-CN"/>
        </w:rPr>
        <w:t xml:space="preserve">CH </w:t>
      </w:r>
      <w:r w:rsidRPr="00CE4B6D">
        <w:rPr>
          <w:lang w:eastAsia="zh-CN"/>
        </w:rPr>
        <w:t>recept</w:t>
      </w:r>
      <w:r w:rsidRPr="00CE4B6D">
        <w:rPr>
          <w:rFonts w:hint="eastAsia"/>
          <w:lang w:eastAsia="zh-CN"/>
        </w:rPr>
        <w:t>ion</w:t>
      </w:r>
      <w:r w:rsidRPr="00CE4B6D">
        <w:rPr>
          <w:lang w:val="en-US" w:eastAsia="zh-CN"/>
        </w:rPr>
        <w:t xml:space="preserve"> occasions</w:t>
      </w:r>
      <w:r w:rsidRPr="00CE4B6D">
        <w:rPr>
          <w:rFonts w:hint="eastAsia"/>
          <w:lang w:eastAsia="zh-CN"/>
        </w:rPr>
        <w:t xml:space="preserve"> in </w:t>
      </w:r>
      <w:r w:rsidRPr="00CE4B6D">
        <w:rPr>
          <w:lang w:eastAsia="zh-CN"/>
        </w:rPr>
        <w:t xml:space="preserve">any of the </w:t>
      </w:r>
      <m:oMath>
        <m:r>
          <w:rPr>
            <w:rFonts w:ascii="Cambria Math" w:hAnsi="Cambria Math"/>
            <w:lang w:val="en-US" w:eastAsia="zh-CN"/>
          </w:rPr>
          <m:t>M</m:t>
        </m:r>
      </m:oMath>
      <w:r w:rsidRPr="00CE4B6D">
        <w:t xml:space="preserve"> </w:t>
      </w:r>
      <w:r w:rsidRPr="00CE4B6D">
        <w:rPr>
          <w:lang w:eastAsia="zh-CN"/>
        </w:rPr>
        <w:t>PDCCH monitoring occasion</w:t>
      </w:r>
      <w:r w:rsidRPr="00CE4B6D">
        <w:t>s</w:t>
      </w:r>
    </w:p>
    <w:p w14:paraId="417ED6F5" w14:textId="0C8D8B52" w:rsidR="008A1F79" w:rsidRPr="00CE4B6D" w:rsidRDefault="008A1F79" w:rsidP="008A1F79">
      <w:pPr>
        <w:pStyle w:val="B1"/>
      </w:pPr>
      <w:r w:rsidRPr="00CE4B6D">
        <w:t>-</w:t>
      </w:r>
      <w:r w:rsidRPr="00CE4B6D">
        <w:tab/>
      </w:r>
      <m:oMath>
        <m:sSub>
          <m:sSubPr>
            <m:ctrlPr>
              <w:rPr>
                <w:rFonts w:ascii="Cambria Math" w:hAnsi="Cambria Math"/>
                <w:i/>
              </w:rPr>
            </m:ctrlPr>
          </m:sSubPr>
          <m:e>
            <m:r>
              <w:rPr>
                <w:rFonts w:ascii="Cambria Math"/>
              </w:rPr>
              <m:t>U</m:t>
            </m:r>
          </m:e>
          <m:sub>
            <m:r>
              <m:rPr>
                <m:nor/>
              </m:rPr>
              <w:rPr>
                <w:rFonts w:ascii="Cambria Math"/>
                <w:lang w:val="en-US"/>
              </w:rPr>
              <m:t>S</m:t>
            </m:r>
            <m:r>
              <m:rPr>
                <m:nor/>
              </m:rPr>
              <w:rPr>
                <w:rFonts w:ascii="Cambria Math"/>
              </w:rPr>
              <m:t>AI</m:t>
            </m:r>
            <m:ctrlPr>
              <w:rPr>
                <w:rFonts w:ascii="Cambria Math" w:hAnsi="Cambria Math"/>
              </w:rPr>
            </m:ctrlPr>
          </m:sub>
        </m:sSub>
      </m:oMath>
      <w:r w:rsidRPr="00CE4B6D">
        <w:t xml:space="preserve"> is </w:t>
      </w:r>
      <w:r w:rsidRPr="00CE4B6D">
        <w:rPr>
          <w:lang w:val="en-US"/>
        </w:rPr>
        <w:t>a</w:t>
      </w:r>
      <w:r w:rsidRPr="00CE4B6D">
        <w:t xml:space="preserve"> total number of </w:t>
      </w:r>
      <w:r w:rsidRPr="00CE4B6D">
        <w:rPr>
          <w:rFonts w:cs="Arial" w:hint="eastAsia"/>
          <w:lang w:eastAsia="zh-CN"/>
        </w:rPr>
        <w:t xml:space="preserve">DCI format </w:t>
      </w:r>
      <w:r w:rsidRPr="00CE4B6D">
        <w:rPr>
          <w:lang w:val="en-US" w:eastAsia="zh-CN"/>
        </w:rPr>
        <w:t>3</w:t>
      </w:r>
      <w:r w:rsidRPr="00CE4B6D">
        <w:rPr>
          <w:lang w:eastAsia="zh-CN"/>
        </w:rPr>
        <w:t>_0</w:t>
      </w:r>
      <w:r w:rsidR="002E1664">
        <w:rPr>
          <w:lang w:eastAsia="zh-CN"/>
        </w:rPr>
        <w:t>, excluding the DCI format 3_0 activating a SL configured grant</w:t>
      </w:r>
      <w:r w:rsidRPr="00CE4B6D">
        <w:rPr>
          <w:lang w:val="en-US" w:eastAsia="zh-CN"/>
        </w:rPr>
        <w:t>,</w:t>
      </w:r>
      <w:r w:rsidRPr="00CE4B6D">
        <w:rPr>
          <w:lang w:eastAsia="zh-CN"/>
        </w:rPr>
        <w:t xml:space="preserve"> </w:t>
      </w:r>
      <w:r w:rsidRPr="00CE4B6D">
        <w:rPr>
          <w:rFonts w:hint="eastAsia"/>
          <w:lang w:eastAsia="zh-CN"/>
        </w:rPr>
        <w:t>scheduling P</w:t>
      </w:r>
      <w:r w:rsidRPr="00CE4B6D">
        <w:rPr>
          <w:lang w:val="en-US" w:eastAsia="zh-CN"/>
        </w:rPr>
        <w:t>S</w:t>
      </w:r>
      <w:r w:rsidRPr="00CE4B6D">
        <w:rPr>
          <w:rFonts w:hint="eastAsia"/>
          <w:lang w:eastAsia="zh-CN"/>
        </w:rPr>
        <w:t xml:space="preserve">SCH </w:t>
      </w:r>
      <w:r w:rsidRPr="00CE4B6D">
        <w:rPr>
          <w:lang w:val="en-US" w:eastAsia="zh-CN"/>
        </w:rPr>
        <w:t xml:space="preserve">transmissions associated with PSFCH </w:t>
      </w:r>
      <w:r w:rsidRPr="00CE4B6D">
        <w:rPr>
          <w:lang w:eastAsia="zh-CN"/>
        </w:rPr>
        <w:t>recept</w:t>
      </w:r>
      <w:r w:rsidRPr="00CE4B6D">
        <w:rPr>
          <w:rFonts w:hint="eastAsia"/>
          <w:lang w:eastAsia="zh-CN"/>
        </w:rPr>
        <w:t>ion</w:t>
      </w:r>
      <w:r w:rsidRPr="00CE4B6D">
        <w:rPr>
          <w:lang w:val="en-US" w:eastAsia="zh-CN"/>
        </w:rPr>
        <w:t xml:space="preserve"> occasions,</w:t>
      </w:r>
      <w:r w:rsidRPr="00CE4B6D">
        <w:rPr>
          <w:rFonts w:hint="eastAsia"/>
          <w:lang w:eastAsia="zh-CN"/>
        </w:rPr>
        <w:t xml:space="preserve"> </w:t>
      </w:r>
      <w:r w:rsidRPr="00CE4B6D">
        <w:t xml:space="preserve">that the UE detects within the </w:t>
      </w:r>
      <m:oMath>
        <m:r>
          <w:rPr>
            <w:rFonts w:ascii="Cambria Math" w:hAnsi="Cambria Math"/>
            <w:lang w:val="en-US" w:eastAsia="zh-CN"/>
          </w:rPr>
          <m:t>M</m:t>
        </m:r>
      </m:oMath>
      <w:r w:rsidRPr="00CE4B6D">
        <w:rPr>
          <w:rFonts w:hint="eastAsia"/>
          <w:lang w:eastAsia="zh-CN"/>
        </w:rPr>
        <w:t xml:space="preserve"> </w:t>
      </w:r>
      <w:r w:rsidRPr="00CE4B6D">
        <w:rPr>
          <w:lang w:eastAsia="zh-CN"/>
        </w:rPr>
        <w:t>PDCCH monitoring occasions</w:t>
      </w:r>
      <w:r w:rsidRPr="00CE4B6D">
        <w:t xml:space="preserve">. </w:t>
      </w:r>
      <m:oMath>
        <m:sSub>
          <m:sSubPr>
            <m:ctrlPr>
              <w:rPr>
                <w:rFonts w:ascii="Cambria Math" w:hAnsi="Cambria Math"/>
                <w:i/>
              </w:rPr>
            </m:ctrlPr>
          </m:sSubPr>
          <m:e>
            <m:r>
              <w:rPr>
                <w:rFonts w:ascii="Cambria Math"/>
              </w:rPr>
              <m:t>U</m:t>
            </m:r>
          </m:e>
          <m:sub>
            <m:r>
              <m:rPr>
                <m:nor/>
              </m:rPr>
              <w:rPr>
                <w:rFonts w:ascii="Cambria Math"/>
                <w:lang w:val="en-US"/>
              </w:rPr>
              <m:t>S</m:t>
            </m:r>
            <m:r>
              <m:rPr>
                <m:nor/>
              </m:rPr>
              <w:rPr>
                <w:rFonts w:ascii="Cambria Math"/>
              </w:rPr>
              <m:t>AI</m:t>
            </m:r>
            <m:ctrlPr>
              <w:rPr>
                <w:rFonts w:ascii="Cambria Math" w:hAnsi="Cambria Math"/>
              </w:rPr>
            </m:ctrlPr>
          </m:sub>
        </m:sSub>
        <m:r>
          <w:rPr>
            <w:rFonts w:ascii="Cambria Math"/>
          </w:rPr>
          <m:t>=0</m:t>
        </m:r>
      </m:oMath>
      <w:r w:rsidRPr="00CE4B6D">
        <w:t xml:space="preserve"> if the UE does not detect </w:t>
      </w:r>
      <w:r w:rsidRPr="00CE4B6D">
        <w:rPr>
          <w:rFonts w:cs="Arial"/>
          <w:lang w:eastAsia="zh-CN"/>
        </w:rPr>
        <w:t xml:space="preserve">any </w:t>
      </w:r>
      <w:r w:rsidRPr="00CE4B6D">
        <w:rPr>
          <w:rFonts w:cs="Arial" w:hint="eastAsia"/>
          <w:lang w:eastAsia="zh-CN"/>
        </w:rPr>
        <w:t xml:space="preserve">DCI format </w:t>
      </w:r>
      <w:r w:rsidRPr="00CE4B6D">
        <w:rPr>
          <w:lang w:val="en-US" w:eastAsia="zh-CN"/>
        </w:rPr>
        <w:t>3</w:t>
      </w:r>
      <w:r w:rsidRPr="00CE4B6D">
        <w:rPr>
          <w:lang w:eastAsia="zh-CN"/>
        </w:rPr>
        <w:t>_0</w:t>
      </w:r>
      <w:r w:rsidR="002E1664">
        <w:rPr>
          <w:lang w:eastAsia="zh-CN"/>
        </w:rPr>
        <w:t>, excluding the DCI format 3_0 activating a SL configured grant,</w:t>
      </w:r>
      <w:r w:rsidRPr="00CE4B6D">
        <w:rPr>
          <w:lang w:eastAsia="zh-CN"/>
        </w:rPr>
        <w:t xml:space="preserve"> </w:t>
      </w:r>
      <w:r w:rsidRPr="00CE4B6D">
        <w:rPr>
          <w:rFonts w:hint="eastAsia"/>
          <w:lang w:eastAsia="zh-CN"/>
        </w:rPr>
        <w:t xml:space="preserve">scheduling </w:t>
      </w:r>
      <w:r w:rsidRPr="00CE4B6D">
        <w:rPr>
          <w:lang w:val="en-US" w:eastAsia="zh-CN"/>
        </w:rPr>
        <w:t xml:space="preserve">PSSCH transmissions with associated </w:t>
      </w:r>
      <w:r w:rsidRPr="00CE4B6D">
        <w:rPr>
          <w:rFonts w:hint="eastAsia"/>
          <w:lang w:eastAsia="zh-CN"/>
        </w:rPr>
        <w:t>PS</w:t>
      </w:r>
      <w:r w:rsidRPr="00CE4B6D">
        <w:rPr>
          <w:lang w:val="en-US" w:eastAsia="zh-CN"/>
        </w:rPr>
        <w:t>F</w:t>
      </w:r>
      <w:r w:rsidRPr="00CE4B6D">
        <w:rPr>
          <w:rFonts w:hint="eastAsia"/>
          <w:lang w:eastAsia="zh-CN"/>
        </w:rPr>
        <w:t xml:space="preserve">CH </w:t>
      </w:r>
      <w:r w:rsidRPr="00CE4B6D">
        <w:rPr>
          <w:lang w:eastAsia="zh-CN"/>
        </w:rPr>
        <w:t>recept</w:t>
      </w:r>
      <w:r w:rsidRPr="00CE4B6D">
        <w:rPr>
          <w:rFonts w:hint="eastAsia"/>
          <w:lang w:eastAsia="zh-CN"/>
        </w:rPr>
        <w:t>ion</w:t>
      </w:r>
      <w:r w:rsidRPr="00CE4B6D">
        <w:rPr>
          <w:lang w:val="en-US" w:eastAsia="zh-CN"/>
        </w:rPr>
        <w:t xml:space="preserve"> occasions</w:t>
      </w:r>
      <w:r w:rsidRPr="00CE4B6D">
        <w:rPr>
          <w:rFonts w:hint="eastAsia"/>
          <w:lang w:eastAsia="zh-CN"/>
        </w:rPr>
        <w:t xml:space="preserve"> in </w:t>
      </w:r>
      <w:r w:rsidRPr="00CE4B6D">
        <w:rPr>
          <w:lang w:eastAsia="zh-CN"/>
        </w:rPr>
        <w:t xml:space="preserve">any of the </w:t>
      </w:r>
      <m:oMath>
        <m:r>
          <w:rPr>
            <w:rFonts w:ascii="Cambria Math" w:hAnsi="Cambria Math"/>
            <w:lang w:val="en-US" w:eastAsia="zh-CN"/>
          </w:rPr>
          <m:t>M</m:t>
        </m:r>
      </m:oMath>
      <w:r w:rsidRPr="00CE4B6D">
        <w:t xml:space="preserve"> </w:t>
      </w:r>
      <w:r w:rsidRPr="00CE4B6D">
        <w:rPr>
          <w:lang w:eastAsia="zh-CN"/>
        </w:rPr>
        <w:t>PDCCH monitoring occasion</w:t>
      </w:r>
      <w:r w:rsidRPr="00CE4B6D">
        <w:t>s</w:t>
      </w:r>
    </w:p>
    <w:p w14:paraId="3A09396A" w14:textId="0C8E1FEB" w:rsidR="008A1F79" w:rsidRPr="00CE4B6D" w:rsidRDefault="008A1F79" w:rsidP="008A1F79">
      <w:pPr>
        <w:pStyle w:val="B1"/>
      </w:pPr>
      <w:r w:rsidRPr="00CE4B6D">
        <w:rPr>
          <w:rFonts w:cs="Arial"/>
          <w:lang w:eastAsia="zh-CN"/>
        </w:rPr>
        <w:t>-</w:t>
      </w:r>
      <w:r w:rsidRPr="00CE4B6D">
        <w:rPr>
          <w:rFonts w:cs="Arial"/>
          <w:lang w:eastAsia="zh-CN"/>
        </w:rPr>
        <w:tab/>
      </w:r>
      <m:oMath>
        <m:sSubSup>
          <m:sSubSupPr>
            <m:ctrlPr>
              <w:rPr>
                <w:rFonts w:ascii="Cambria Math" w:hAnsi="Cambria Math" w:cs="Arial"/>
                <w:i/>
                <w:lang w:eastAsia="zh-CN"/>
              </w:rPr>
            </m:ctrlPr>
          </m:sSubSupPr>
          <m:e>
            <m:r>
              <w:rPr>
                <w:rFonts w:ascii="Cambria Math" w:cs="Arial"/>
                <w:lang w:eastAsia="zh-CN"/>
              </w:rPr>
              <m:t>N</m:t>
            </m:r>
          </m:e>
          <m:sub>
            <m:r>
              <w:rPr>
                <w:rFonts w:ascii="Cambria Math" w:cs="Arial"/>
                <w:lang w:eastAsia="zh-CN"/>
              </w:rPr>
              <m:t>m</m:t>
            </m:r>
          </m:sub>
          <m:sup>
            <m:r>
              <m:rPr>
                <m:nor/>
              </m:rPr>
              <w:rPr>
                <w:rFonts w:ascii="Cambria Math" w:cs="Arial"/>
                <w:lang w:eastAsia="zh-CN"/>
              </w:rPr>
              <m:t>received</m:t>
            </m:r>
            <m:ctrlPr>
              <w:rPr>
                <w:rFonts w:ascii="Cambria Math" w:hAnsi="Cambria Math" w:cs="Arial"/>
                <w:lang w:eastAsia="zh-CN"/>
              </w:rPr>
            </m:ctrlPr>
          </m:sup>
        </m:sSubSup>
      </m:oMath>
      <w:r w:rsidRPr="00CE4B6D">
        <w:rPr>
          <w:rFonts w:cs="Arial"/>
          <w:lang w:eastAsia="zh-CN"/>
        </w:rPr>
        <w:t xml:space="preserve"> is </w:t>
      </w:r>
      <w:r w:rsidRPr="00CE4B6D">
        <w:rPr>
          <w:lang w:val="en-US" w:eastAsia="zh-CN"/>
        </w:rPr>
        <w:t>a</w:t>
      </w:r>
      <w:r w:rsidRPr="00CE4B6D">
        <w:rPr>
          <w:rFonts w:hint="eastAsia"/>
          <w:lang w:eastAsia="zh-CN"/>
        </w:rPr>
        <w:t xml:space="preserve"> number of </w:t>
      </w:r>
      <w:r w:rsidRPr="00CE4B6D">
        <w:rPr>
          <w:lang w:val="en-US" w:eastAsia="zh-CN"/>
        </w:rPr>
        <w:t>DCI format 3_0</w:t>
      </w:r>
      <w:r w:rsidR="002E1664">
        <w:rPr>
          <w:lang w:eastAsia="zh-CN"/>
        </w:rPr>
        <w:t>, excluding the DCI format 3_0 activating a SL configured grant,</w:t>
      </w:r>
      <w:r w:rsidRPr="00CE4B6D">
        <w:rPr>
          <w:lang w:val="en-US" w:eastAsia="zh-CN"/>
        </w:rPr>
        <w:t xml:space="preserve"> scheduling PSSCH transmissions with associated </w:t>
      </w:r>
      <w:r w:rsidRPr="00CE4B6D">
        <w:rPr>
          <w:lang w:val="en-US"/>
        </w:rPr>
        <w:t>PSFCH reception occasion</w:t>
      </w:r>
      <w:r w:rsidRPr="00CE4B6D">
        <w:rPr>
          <w:lang w:val="en-US" w:eastAsia="zh-CN"/>
        </w:rPr>
        <w:t>s</w:t>
      </w:r>
      <w:r w:rsidRPr="00CE4B6D">
        <w:rPr>
          <w:lang w:val="en-US"/>
        </w:rPr>
        <w:t xml:space="preserve"> </w:t>
      </w:r>
      <w:r w:rsidRPr="00CE4B6D">
        <w:rPr>
          <w:rFonts w:cs="Arial"/>
          <w:lang w:eastAsia="zh-CN"/>
        </w:rPr>
        <w:t xml:space="preserve">that the UE detects </w:t>
      </w:r>
      <w:r w:rsidRPr="00CE4B6D">
        <w:rPr>
          <w:rFonts w:hint="eastAsia"/>
          <w:lang w:eastAsia="zh-CN"/>
        </w:rPr>
        <w:t xml:space="preserve">in </w:t>
      </w:r>
      <w:r w:rsidRPr="00CE4B6D">
        <w:rPr>
          <w:lang w:eastAsia="zh-CN"/>
        </w:rPr>
        <w:t>PDCCH monitoring occasion</w:t>
      </w:r>
      <w:r w:rsidRPr="00CE4B6D">
        <w:rPr>
          <w:rFonts w:hint="eastAsia"/>
          <w:lang w:eastAsia="zh-CN"/>
        </w:rPr>
        <w:t xml:space="preserve"> </w:t>
      </w:r>
      <m:oMath>
        <m:r>
          <w:rPr>
            <w:rFonts w:ascii="Cambria Math" w:hAnsi="Cambria Math"/>
            <w:lang w:val="en-US" w:eastAsia="zh-CN"/>
          </w:rPr>
          <m:t>m</m:t>
        </m:r>
      </m:oMath>
      <w:r w:rsidRPr="00CE4B6D">
        <w:t xml:space="preserve"> </w:t>
      </w:r>
    </w:p>
    <w:p w14:paraId="0EEC6B22" w14:textId="475C3E14" w:rsidR="008A1F79" w:rsidRPr="00CE4B6D" w:rsidRDefault="008A1F79" w:rsidP="008A1F79">
      <w:pPr>
        <w:pStyle w:val="B1"/>
        <w:rPr>
          <w:lang w:val="en-US"/>
        </w:rPr>
      </w:pPr>
      <w:r w:rsidRPr="00CE4B6D">
        <w:rPr>
          <w:rFonts w:cs="Arial"/>
          <w:lang w:eastAsia="zh-CN"/>
        </w:rPr>
        <w:t>-</w:t>
      </w:r>
      <w:r w:rsidRPr="00CE4B6D">
        <w:rPr>
          <w:rFonts w:cs="Arial"/>
          <w:lang w:eastAsia="zh-CN"/>
        </w:rPr>
        <w:tab/>
      </w:r>
      <m:oMath>
        <m:sSub>
          <m:sSubPr>
            <m:ctrlPr>
              <w:rPr>
                <w:rFonts w:ascii="Cambria Math" w:hAnsi="Cambria Math" w:cs="Arial"/>
                <w:i/>
                <w:lang w:eastAsia="zh-CN"/>
              </w:rPr>
            </m:ctrlPr>
          </m:sSubPr>
          <m:e>
            <m:r>
              <w:rPr>
                <w:rFonts w:ascii="Cambria Math" w:cs="Arial"/>
                <w:lang w:eastAsia="zh-CN"/>
              </w:rPr>
              <m:t>N</m:t>
            </m:r>
          </m:e>
          <m:sub>
            <m:r>
              <m:rPr>
                <m:nor/>
              </m:rPr>
              <w:rPr>
                <w:rFonts w:ascii="Cambria Math" w:cs="Arial"/>
                <w:lang w:val="en-US" w:eastAsia="zh-CN"/>
              </w:rPr>
              <m:t>CG</m:t>
            </m:r>
            <m:ctrlPr>
              <w:rPr>
                <w:rFonts w:ascii="Cambria Math" w:hAnsi="Cambria Math" w:cs="Arial"/>
                <w:lang w:eastAsia="zh-CN"/>
              </w:rPr>
            </m:ctrlPr>
          </m:sub>
        </m:sSub>
      </m:oMath>
      <w:r w:rsidRPr="00CE4B6D">
        <w:rPr>
          <w:rFonts w:cs="Arial"/>
          <w:lang w:eastAsia="zh-CN"/>
        </w:rPr>
        <w:t xml:space="preserve"> is </w:t>
      </w:r>
      <w:r w:rsidRPr="00CE4B6D">
        <w:rPr>
          <w:rFonts w:cs="Arial"/>
          <w:lang w:val="en-US" w:eastAsia="zh-CN"/>
        </w:rPr>
        <w:t>a</w:t>
      </w:r>
      <w:r w:rsidRPr="00CE4B6D">
        <w:rPr>
          <w:rFonts w:cs="Arial"/>
          <w:lang w:eastAsia="zh-CN"/>
        </w:rPr>
        <w:t xml:space="preserve"> number of </w:t>
      </w:r>
      <w:r w:rsidRPr="00CE4B6D">
        <w:rPr>
          <w:rFonts w:cs="Arial"/>
          <w:lang w:val="en-US" w:eastAsia="zh-CN"/>
        </w:rPr>
        <w:t xml:space="preserve">SL configured grants </w:t>
      </w:r>
      <w:r w:rsidRPr="00CE4B6D">
        <w:rPr>
          <w:lang w:eastAsia="zh-CN"/>
        </w:rPr>
        <w:t xml:space="preserve">for which the UE transmits corresponding HARQ-ACK information in </w:t>
      </w:r>
      <w:r w:rsidRPr="00CE4B6D">
        <w:rPr>
          <w:lang w:val="en-US" w:eastAsia="zh-CN"/>
        </w:rPr>
        <w:t>a</w:t>
      </w:r>
      <w:r w:rsidRPr="00CE4B6D">
        <w:rPr>
          <w:lang w:eastAsia="zh-CN"/>
        </w:rPr>
        <w:t xml:space="preserve"> same PUCCH as for HARQ-ACK information corresponding to PS</w:t>
      </w:r>
      <w:r w:rsidRPr="00CE4B6D">
        <w:rPr>
          <w:lang w:val="en-US" w:eastAsia="zh-CN"/>
        </w:rPr>
        <w:t>F</w:t>
      </w:r>
      <w:r w:rsidRPr="00CE4B6D">
        <w:rPr>
          <w:lang w:eastAsia="zh-CN"/>
        </w:rPr>
        <w:t>CH reception</w:t>
      </w:r>
      <w:r>
        <w:rPr>
          <w:lang w:val="en-US" w:eastAsia="zh-CN"/>
        </w:rPr>
        <w:t xml:space="preserve"> occasions</w:t>
      </w:r>
      <w:r w:rsidRPr="00CE4B6D">
        <w:rPr>
          <w:lang w:eastAsia="zh-CN"/>
        </w:rPr>
        <w:t xml:space="preserve"> </w:t>
      </w:r>
      <w:r w:rsidR="002E1664">
        <w:rPr>
          <w:lang w:eastAsia="zh-CN"/>
        </w:rPr>
        <w:t xml:space="preserve">associated with </w:t>
      </w:r>
      <w:r w:rsidR="002E1664">
        <w:rPr>
          <w:iCs/>
        </w:rPr>
        <w:t xml:space="preserve">PSSCH transmissions </w:t>
      </w:r>
      <w:r w:rsidR="002E1664">
        <w:rPr>
          <w:lang w:eastAsia="zh-CN"/>
        </w:rPr>
        <w:t xml:space="preserve">scheduled by a dynamic grant </w:t>
      </w:r>
      <w:r w:rsidRPr="00CE4B6D">
        <w:rPr>
          <w:lang w:eastAsia="zh-CN"/>
        </w:rPr>
        <w:t xml:space="preserve">within the </w:t>
      </w:r>
      <m:oMath>
        <m:r>
          <w:rPr>
            <w:rFonts w:ascii="Cambria Math" w:hAnsi="Cambria Math"/>
            <w:lang w:val="en-US" w:eastAsia="zh-CN"/>
          </w:rPr>
          <m:t>M</m:t>
        </m:r>
      </m:oMath>
      <w:r w:rsidRPr="00CE4B6D">
        <w:t xml:space="preserve"> </w:t>
      </w:r>
      <w:r w:rsidRPr="00CE4B6D">
        <w:rPr>
          <w:lang w:eastAsia="zh-CN"/>
        </w:rPr>
        <w:t>PDCCH monitoring occasions</w:t>
      </w:r>
      <w:r w:rsidRPr="00CE4B6D">
        <w:rPr>
          <w:lang w:val="en-US" w:eastAsia="zh-CN"/>
        </w:rPr>
        <w:t xml:space="preserve"> </w:t>
      </w:r>
    </w:p>
    <w:p w14:paraId="1ED69FBE" w14:textId="77777777" w:rsidR="008A1F79" w:rsidRPr="00CE4B6D" w:rsidRDefault="008A1F79" w:rsidP="00472C3D">
      <w:pPr>
        <w:pStyle w:val="TH"/>
        <w:rPr>
          <w:lang w:eastAsia="zh-CN"/>
        </w:rPr>
      </w:pPr>
      <w:r w:rsidRPr="00CE4B6D">
        <w:t>Table 16.5.2.1-</w:t>
      </w:r>
      <w:r w:rsidRPr="00CE4B6D">
        <w:rPr>
          <w:rFonts w:hint="eastAsia"/>
          <w:lang w:eastAsia="zh-CN"/>
        </w:rPr>
        <w:t>1</w:t>
      </w:r>
      <w:r w:rsidRPr="00CE4B6D">
        <w:t>: Value of</w:t>
      </w:r>
      <w:r w:rsidRPr="00CE4B6D">
        <w:rPr>
          <w:rFonts w:hint="eastAsia"/>
          <w:lang w:eastAsia="zh-CN"/>
        </w:rPr>
        <w:t xml:space="preserve"> counter</w:t>
      </w:r>
      <w:r w:rsidRPr="00CE4B6D">
        <w:t xml:space="preserve"> </w:t>
      </w:r>
      <w:r w:rsidRPr="00CE4B6D">
        <w:rPr>
          <w:lang w:eastAsia="zh-CN"/>
        </w:rPr>
        <w:t>S</w:t>
      </w:r>
      <w:r w:rsidRPr="00CE4B6D">
        <w:rPr>
          <w:rFonts w:hint="eastAsia"/>
          <w:lang w:eastAsia="zh-CN"/>
        </w:rPr>
        <w:t xml:space="preserve">AI </w:t>
      </w:r>
      <w:r w:rsidRPr="00CE4B6D">
        <w:rPr>
          <w:lang w:eastAsia="zh-CN"/>
        </w:rPr>
        <w:t>in DCI format 3_0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6"/>
        <w:gridCol w:w="1854"/>
        <w:gridCol w:w="6431"/>
      </w:tblGrid>
      <w:tr w:rsidR="008A1F79" w:rsidRPr="00CE4B6D" w14:paraId="7BD48F29" w14:textId="77777777" w:rsidTr="002F78BF">
        <w:trPr>
          <w:cantSplit/>
          <w:jc w:val="center"/>
        </w:trPr>
        <w:tc>
          <w:tcPr>
            <w:tcW w:w="1346" w:type="dxa"/>
            <w:shd w:val="clear" w:color="auto" w:fill="E0E0E0"/>
            <w:vAlign w:val="center"/>
          </w:tcPr>
          <w:p w14:paraId="2ABAEBD4" w14:textId="77777777" w:rsidR="008A1F79" w:rsidRPr="00CE4B6D" w:rsidRDefault="008A1F79" w:rsidP="002F78BF">
            <w:pPr>
              <w:pStyle w:val="TAH"/>
              <w:rPr>
                <w:lang w:val="en-US"/>
              </w:rPr>
            </w:pPr>
            <w:r w:rsidRPr="00CE4B6D">
              <w:rPr>
                <w:lang w:val="en-US"/>
              </w:rPr>
              <w:t>SAI</w:t>
            </w:r>
            <w:r w:rsidRPr="00CE4B6D">
              <w:rPr>
                <w:lang w:val="en-US"/>
              </w:rPr>
              <w:br/>
              <w:t>MSB, LSB</w:t>
            </w:r>
          </w:p>
        </w:tc>
        <w:tc>
          <w:tcPr>
            <w:tcW w:w="1854" w:type="dxa"/>
            <w:shd w:val="clear" w:color="auto" w:fill="E0E0E0"/>
            <w:vAlign w:val="center"/>
          </w:tcPr>
          <w:p w14:paraId="5FF5F982" w14:textId="77777777" w:rsidR="008A1F79" w:rsidRPr="00CE4B6D" w:rsidRDefault="00000000" w:rsidP="002F78BF">
            <w:pPr>
              <w:pStyle w:val="TAH"/>
              <w:rPr>
                <w:lang w:val="en-US"/>
              </w:rPr>
            </w:pPr>
            <m:oMath>
              <m:sSubSup>
                <m:sSubSupPr>
                  <m:ctrlPr>
                    <w:rPr>
                      <w:rFonts w:ascii="Cambria Math" w:hAnsi="Cambria Math" w:cs="Arial"/>
                      <w:i/>
                      <w:lang w:eastAsia="zh-CN"/>
                    </w:rPr>
                  </m:ctrlPr>
                </m:sSubSupPr>
                <m:e>
                  <m:r>
                    <m:rPr>
                      <m:sty m:val="bi"/>
                    </m:rPr>
                    <w:rPr>
                      <w:rFonts w:ascii="Cambria Math" w:cs="Arial"/>
                      <w:lang w:eastAsia="zh-CN"/>
                    </w:rPr>
                    <m:t>V</m:t>
                  </m:r>
                </m:e>
                <m:sub>
                  <m:r>
                    <m:rPr>
                      <m:sty m:val="bi"/>
                    </m:rPr>
                    <w:rPr>
                      <w:rFonts w:ascii="Cambria Math" w:cs="Arial"/>
                      <w:lang w:eastAsia="zh-CN"/>
                    </w:rPr>
                    <m:t>C</m:t>
                  </m:r>
                  <m:r>
                    <m:rPr>
                      <m:sty m:val="bi"/>
                    </m:rPr>
                    <w:rPr>
                      <w:rFonts w:ascii="Cambria Math" w:cs="Arial"/>
                      <w:lang w:eastAsia="zh-CN"/>
                    </w:rPr>
                    <m:t>-</m:t>
                  </m:r>
                  <m:r>
                    <m:rPr>
                      <m:sty m:val="bi"/>
                    </m:rPr>
                    <w:rPr>
                      <w:rFonts w:ascii="Cambria Math" w:cs="Arial"/>
                      <w:lang w:eastAsia="zh-CN"/>
                    </w:rPr>
                    <m:t>S</m:t>
                  </m:r>
                  <m:r>
                    <m:rPr>
                      <m:nor/>
                    </m:rPr>
                    <w:rPr>
                      <w:rFonts w:ascii="Cambria Math" w:cs="Arial"/>
                      <w:lang w:eastAsia="zh-CN"/>
                    </w:rPr>
                    <m:t>AI</m:t>
                  </m:r>
                  <m:ctrlPr>
                    <w:rPr>
                      <w:rFonts w:ascii="Cambria Math" w:hAnsi="Cambria Math" w:cs="Arial"/>
                      <w:lang w:eastAsia="zh-CN"/>
                    </w:rPr>
                  </m:ctrlPr>
                </m:sub>
                <m:sup>
                  <m:r>
                    <m:rPr>
                      <m:nor/>
                    </m:rPr>
                    <w:rPr>
                      <w:rFonts w:ascii="Cambria Math" w:cs="Arial"/>
                      <w:lang w:eastAsia="zh-CN"/>
                    </w:rPr>
                    <m:t>SL</m:t>
                  </m:r>
                  <m:ctrlPr>
                    <w:rPr>
                      <w:rFonts w:ascii="Cambria Math" w:hAnsi="Cambria Math" w:cs="Arial"/>
                      <w:lang w:eastAsia="zh-CN"/>
                    </w:rPr>
                  </m:ctrlPr>
                </m:sup>
              </m:sSubSup>
            </m:oMath>
            <w:r w:rsidR="008A1F79" w:rsidRPr="00CE4B6D">
              <w:rPr>
                <w:rFonts w:cs="Arial" w:hint="eastAsia"/>
                <w:lang w:eastAsia="zh-CN"/>
              </w:rPr>
              <w:t xml:space="preserve">  </w:t>
            </w:r>
          </w:p>
        </w:tc>
        <w:tc>
          <w:tcPr>
            <w:tcW w:w="6431" w:type="dxa"/>
            <w:shd w:val="clear" w:color="auto" w:fill="E0E0E0"/>
            <w:vAlign w:val="center"/>
          </w:tcPr>
          <w:p w14:paraId="7A71D3BA" w14:textId="77777777" w:rsidR="008A1F79" w:rsidRPr="00CE4B6D" w:rsidRDefault="008A1F79" w:rsidP="002F78BF">
            <w:pPr>
              <w:pStyle w:val="TAH"/>
              <w:rPr>
                <w:lang w:val="en-US" w:eastAsia="zh-CN"/>
              </w:rPr>
            </w:pPr>
            <w:r w:rsidRPr="00CE4B6D">
              <w:rPr>
                <w:rFonts w:hint="eastAsia"/>
                <w:lang w:val="en-US" w:eastAsia="zh-CN"/>
              </w:rPr>
              <w:t xml:space="preserve">Number of </w:t>
            </w:r>
            <w:r w:rsidRPr="00CE4B6D">
              <w:rPr>
                <w:lang w:eastAsia="zh-CN"/>
              </w:rPr>
              <w:t xml:space="preserve">PDCCH monitoring </w:t>
            </w:r>
            <w:r>
              <w:rPr>
                <w:lang w:eastAsia="zh-CN"/>
              </w:rPr>
              <w:t>occasions</w:t>
            </w:r>
            <w:r w:rsidRPr="00CE4B6D">
              <w:rPr>
                <w:rFonts w:hint="eastAsia"/>
                <w:lang w:val="en-US" w:eastAsia="zh-CN"/>
              </w:rPr>
              <w:t xml:space="preserve"> in which </w:t>
            </w:r>
            <w:r>
              <w:rPr>
                <w:lang w:val="en-US" w:eastAsia="zh-CN"/>
              </w:rPr>
              <w:t>DCI format 3_0 scheduling PSSCH transmissions with corresponding PSFCH reception occasions</w:t>
            </w:r>
            <w:r w:rsidRPr="00CE4B6D">
              <w:rPr>
                <w:rFonts w:cs="Arial" w:hint="eastAsia"/>
                <w:lang w:eastAsia="zh-CN"/>
              </w:rPr>
              <w:t xml:space="preserve"> is present, denoted as</w:t>
            </w:r>
            <w:r w:rsidRPr="00CE4B6D">
              <w:rPr>
                <w:rFonts w:cs="Arial"/>
                <w:lang w:eastAsia="zh-CN"/>
              </w:rPr>
              <w:t xml:space="preserve"> </w:t>
            </w:r>
            <m:oMath>
              <m:r>
                <m:rPr>
                  <m:sty m:val="bi"/>
                </m:rPr>
                <w:rPr>
                  <w:rFonts w:ascii="Cambria Math" w:hAnsi="Cambria Math"/>
                  <w:lang w:val="en-US" w:eastAsia="zh-CN"/>
                </w:rPr>
                <m:t>Y</m:t>
              </m:r>
            </m:oMath>
            <w:r w:rsidRPr="00CE4B6D">
              <w:rPr>
                <w:rFonts w:cs="Arial" w:hint="eastAsia"/>
                <w:lang w:eastAsia="zh-CN"/>
              </w:rPr>
              <w:t xml:space="preserve"> and </w:t>
            </w:r>
            <m:oMath>
              <m:r>
                <m:rPr>
                  <m:sty m:val="bi"/>
                </m:rPr>
                <w:rPr>
                  <w:rFonts w:ascii="Cambria Math" w:hAnsi="Cambria Math" w:cs="Arial"/>
                  <w:lang w:eastAsia="zh-CN"/>
                </w:rPr>
                <m:t>Y≥1</m:t>
              </m:r>
            </m:oMath>
          </w:p>
        </w:tc>
      </w:tr>
      <w:tr w:rsidR="008A1F79" w:rsidRPr="00CE4B6D" w14:paraId="5EC0F3C4" w14:textId="77777777" w:rsidTr="002F78BF">
        <w:trPr>
          <w:cantSplit/>
          <w:jc w:val="center"/>
        </w:trPr>
        <w:tc>
          <w:tcPr>
            <w:tcW w:w="1346" w:type="dxa"/>
            <w:vAlign w:val="center"/>
          </w:tcPr>
          <w:p w14:paraId="24851D32" w14:textId="77777777" w:rsidR="008A1F79" w:rsidRPr="00CE4B6D" w:rsidRDefault="008A1F79" w:rsidP="002F78BF">
            <w:pPr>
              <w:pStyle w:val="TAC"/>
              <w:rPr>
                <w:lang w:val="en-US"/>
              </w:rPr>
            </w:pPr>
            <w:r w:rsidRPr="00CE4B6D">
              <w:rPr>
                <w:lang w:val="en-US"/>
              </w:rPr>
              <w:t>0,0</w:t>
            </w:r>
          </w:p>
        </w:tc>
        <w:tc>
          <w:tcPr>
            <w:tcW w:w="1854" w:type="dxa"/>
            <w:vAlign w:val="center"/>
          </w:tcPr>
          <w:p w14:paraId="21BDC009" w14:textId="77777777" w:rsidR="008A1F79" w:rsidRPr="00CE4B6D" w:rsidRDefault="008A1F79" w:rsidP="002F78BF">
            <w:pPr>
              <w:pStyle w:val="TAC"/>
              <w:rPr>
                <w:lang w:val="en-US"/>
              </w:rPr>
            </w:pPr>
            <w:r w:rsidRPr="00CE4B6D">
              <w:rPr>
                <w:lang w:val="en-US"/>
              </w:rPr>
              <w:t>1</w:t>
            </w:r>
          </w:p>
        </w:tc>
        <w:tc>
          <w:tcPr>
            <w:tcW w:w="6431" w:type="dxa"/>
            <w:vAlign w:val="center"/>
          </w:tcPr>
          <w:p w14:paraId="077CEDF1" w14:textId="77777777" w:rsidR="008A1F79" w:rsidRPr="00CE4B6D" w:rsidRDefault="00000000" w:rsidP="002F78BF">
            <w:pPr>
              <w:pStyle w:val="TAC"/>
              <w:rPr>
                <w:lang w:val="en-US" w:eastAsia="zh-CN"/>
              </w:rPr>
            </w:pPr>
            <m:oMathPara>
              <m:oMath>
                <m:d>
                  <m:dPr>
                    <m:ctrlPr>
                      <w:rPr>
                        <w:rFonts w:ascii="Cambria Math" w:hAnsi="Cambria Math"/>
                        <w:i/>
                        <w:sz w:val="20"/>
                        <w:lang w:val="en-US" w:eastAsia="zh-CN"/>
                      </w:rPr>
                    </m:ctrlPr>
                  </m:dPr>
                  <m:e>
                    <m:r>
                      <w:rPr>
                        <w:rFonts w:ascii="Cambria Math" w:hAnsi="Cambria Math"/>
                        <w:lang w:val="en-US" w:eastAsia="zh-CN"/>
                      </w:rPr>
                      <m:t>Y-1</m:t>
                    </m:r>
                  </m:e>
                </m:d>
                <m:r>
                  <w:rPr>
                    <w:rFonts w:ascii="Cambria Math" w:hAnsi="Cambria Math"/>
                    <w:lang w:val="en-US" w:eastAsia="zh-CN"/>
                  </w:rPr>
                  <m:t>mod4+1=1</m:t>
                </m:r>
              </m:oMath>
            </m:oMathPara>
          </w:p>
        </w:tc>
      </w:tr>
      <w:tr w:rsidR="008A1F79" w:rsidRPr="00CE4B6D" w14:paraId="64098D61" w14:textId="77777777" w:rsidTr="002F78BF">
        <w:trPr>
          <w:cantSplit/>
          <w:jc w:val="center"/>
        </w:trPr>
        <w:tc>
          <w:tcPr>
            <w:tcW w:w="1346" w:type="dxa"/>
            <w:vAlign w:val="center"/>
          </w:tcPr>
          <w:p w14:paraId="2B548F67" w14:textId="77777777" w:rsidR="008A1F79" w:rsidRPr="00CE4B6D" w:rsidRDefault="008A1F79" w:rsidP="002F78BF">
            <w:pPr>
              <w:pStyle w:val="TAC"/>
              <w:rPr>
                <w:lang w:val="en-US"/>
              </w:rPr>
            </w:pPr>
            <w:r w:rsidRPr="00CE4B6D">
              <w:rPr>
                <w:lang w:val="en-US"/>
              </w:rPr>
              <w:t>0,1</w:t>
            </w:r>
          </w:p>
        </w:tc>
        <w:tc>
          <w:tcPr>
            <w:tcW w:w="1854" w:type="dxa"/>
            <w:vAlign w:val="center"/>
          </w:tcPr>
          <w:p w14:paraId="660E3D27" w14:textId="77777777" w:rsidR="008A1F79" w:rsidRPr="00CE4B6D" w:rsidRDefault="008A1F79" w:rsidP="002F78BF">
            <w:pPr>
              <w:pStyle w:val="TAC"/>
              <w:rPr>
                <w:lang w:val="en-US"/>
              </w:rPr>
            </w:pPr>
            <w:r w:rsidRPr="00CE4B6D">
              <w:rPr>
                <w:lang w:val="en-US"/>
              </w:rPr>
              <w:t>2</w:t>
            </w:r>
          </w:p>
        </w:tc>
        <w:tc>
          <w:tcPr>
            <w:tcW w:w="6431" w:type="dxa"/>
            <w:vAlign w:val="center"/>
          </w:tcPr>
          <w:p w14:paraId="4B4D0019" w14:textId="77777777" w:rsidR="008A1F79" w:rsidRPr="00CE4B6D" w:rsidRDefault="00000000" w:rsidP="002F78BF">
            <w:pPr>
              <w:pStyle w:val="TAC"/>
              <w:rPr>
                <w:lang w:val="en-US" w:eastAsia="zh-CN"/>
              </w:rPr>
            </w:pPr>
            <m:oMathPara>
              <m:oMath>
                <m:d>
                  <m:dPr>
                    <m:ctrlPr>
                      <w:rPr>
                        <w:rFonts w:ascii="Cambria Math" w:hAnsi="Cambria Math"/>
                        <w:i/>
                        <w:sz w:val="20"/>
                        <w:lang w:val="en-US" w:eastAsia="zh-CN"/>
                      </w:rPr>
                    </m:ctrlPr>
                  </m:dPr>
                  <m:e>
                    <m:r>
                      <w:rPr>
                        <w:rFonts w:ascii="Cambria Math" w:hAnsi="Cambria Math"/>
                        <w:lang w:val="en-US" w:eastAsia="zh-CN"/>
                      </w:rPr>
                      <m:t>Y-1</m:t>
                    </m:r>
                  </m:e>
                </m:d>
                <m:r>
                  <w:rPr>
                    <w:rFonts w:ascii="Cambria Math" w:hAnsi="Cambria Math"/>
                    <w:lang w:val="en-US" w:eastAsia="zh-CN"/>
                  </w:rPr>
                  <m:t>mod4+1=2</m:t>
                </m:r>
              </m:oMath>
            </m:oMathPara>
          </w:p>
        </w:tc>
      </w:tr>
      <w:tr w:rsidR="008A1F79" w:rsidRPr="00CE4B6D" w14:paraId="5F6F8C8B" w14:textId="77777777" w:rsidTr="002F78BF">
        <w:trPr>
          <w:cantSplit/>
          <w:jc w:val="center"/>
        </w:trPr>
        <w:tc>
          <w:tcPr>
            <w:tcW w:w="1346" w:type="dxa"/>
            <w:vAlign w:val="center"/>
          </w:tcPr>
          <w:p w14:paraId="5D81BB52" w14:textId="77777777" w:rsidR="008A1F79" w:rsidRPr="00CE4B6D" w:rsidRDefault="008A1F79" w:rsidP="002F78BF">
            <w:pPr>
              <w:pStyle w:val="TAC"/>
              <w:rPr>
                <w:lang w:val="en-US"/>
              </w:rPr>
            </w:pPr>
            <w:r w:rsidRPr="00CE4B6D">
              <w:rPr>
                <w:lang w:val="en-US"/>
              </w:rPr>
              <w:t>1,0</w:t>
            </w:r>
          </w:p>
        </w:tc>
        <w:tc>
          <w:tcPr>
            <w:tcW w:w="1854" w:type="dxa"/>
            <w:vAlign w:val="center"/>
          </w:tcPr>
          <w:p w14:paraId="54FC2702" w14:textId="77777777" w:rsidR="008A1F79" w:rsidRPr="00CE4B6D" w:rsidRDefault="008A1F79" w:rsidP="002F78BF">
            <w:pPr>
              <w:pStyle w:val="TAC"/>
              <w:rPr>
                <w:lang w:val="en-US"/>
              </w:rPr>
            </w:pPr>
            <w:r w:rsidRPr="00CE4B6D">
              <w:rPr>
                <w:lang w:val="en-US"/>
              </w:rPr>
              <w:t>3</w:t>
            </w:r>
          </w:p>
        </w:tc>
        <w:tc>
          <w:tcPr>
            <w:tcW w:w="6431" w:type="dxa"/>
            <w:vAlign w:val="center"/>
          </w:tcPr>
          <w:p w14:paraId="687158FB" w14:textId="77777777" w:rsidR="008A1F79" w:rsidRPr="00CE4B6D" w:rsidRDefault="00000000" w:rsidP="002F78BF">
            <w:pPr>
              <w:pStyle w:val="TAC"/>
              <w:rPr>
                <w:lang w:val="en-US" w:eastAsia="zh-CN"/>
              </w:rPr>
            </w:pPr>
            <m:oMathPara>
              <m:oMath>
                <m:d>
                  <m:dPr>
                    <m:ctrlPr>
                      <w:rPr>
                        <w:rFonts w:ascii="Cambria Math" w:hAnsi="Cambria Math"/>
                        <w:i/>
                        <w:sz w:val="20"/>
                        <w:lang w:val="en-US" w:eastAsia="zh-CN"/>
                      </w:rPr>
                    </m:ctrlPr>
                  </m:dPr>
                  <m:e>
                    <m:r>
                      <w:rPr>
                        <w:rFonts w:ascii="Cambria Math" w:hAnsi="Cambria Math"/>
                        <w:lang w:val="en-US" w:eastAsia="zh-CN"/>
                      </w:rPr>
                      <m:t>Y-1</m:t>
                    </m:r>
                  </m:e>
                </m:d>
                <m:r>
                  <w:rPr>
                    <w:rFonts w:ascii="Cambria Math" w:hAnsi="Cambria Math"/>
                    <w:lang w:val="en-US" w:eastAsia="zh-CN"/>
                  </w:rPr>
                  <m:t>mod4+1=3</m:t>
                </m:r>
              </m:oMath>
            </m:oMathPara>
          </w:p>
        </w:tc>
      </w:tr>
      <w:tr w:rsidR="008A1F79" w:rsidRPr="00CE4B6D" w14:paraId="0744D3FC" w14:textId="77777777" w:rsidTr="002F78BF">
        <w:trPr>
          <w:cantSplit/>
          <w:jc w:val="center"/>
        </w:trPr>
        <w:tc>
          <w:tcPr>
            <w:tcW w:w="1346" w:type="dxa"/>
            <w:vAlign w:val="center"/>
          </w:tcPr>
          <w:p w14:paraId="556F97E5" w14:textId="77777777" w:rsidR="008A1F79" w:rsidRPr="00CE4B6D" w:rsidRDefault="008A1F79" w:rsidP="002F78BF">
            <w:pPr>
              <w:pStyle w:val="TAC"/>
              <w:rPr>
                <w:lang w:val="en-US"/>
              </w:rPr>
            </w:pPr>
            <w:r w:rsidRPr="00CE4B6D">
              <w:rPr>
                <w:lang w:val="en-US"/>
              </w:rPr>
              <w:t>1,1</w:t>
            </w:r>
          </w:p>
        </w:tc>
        <w:tc>
          <w:tcPr>
            <w:tcW w:w="1854" w:type="dxa"/>
            <w:vAlign w:val="center"/>
          </w:tcPr>
          <w:p w14:paraId="35231F82" w14:textId="77777777" w:rsidR="008A1F79" w:rsidRPr="00CE4B6D" w:rsidRDefault="008A1F79" w:rsidP="002F78BF">
            <w:pPr>
              <w:pStyle w:val="TAC"/>
              <w:rPr>
                <w:lang w:val="en-US"/>
              </w:rPr>
            </w:pPr>
            <w:r w:rsidRPr="00CE4B6D">
              <w:rPr>
                <w:lang w:val="en-US"/>
              </w:rPr>
              <w:t>4</w:t>
            </w:r>
          </w:p>
        </w:tc>
        <w:tc>
          <w:tcPr>
            <w:tcW w:w="6431" w:type="dxa"/>
            <w:vAlign w:val="center"/>
          </w:tcPr>
          <w:p w14:paraId="1F7C869C" w14:textId="77777777" w:rsidR="008A1F79" w:rsidRPr="00CE4B6D" w:rsidRDefault="00000000" w:rsidP="002F78BF">
            <w:pPr>
              <w:pStyle w:val="TAC"/>
              <w:rPr>
                <w:lang w:val="en-US" w:eastAsia="zh-CN"/>
              </w:rPr>
            </w:pPr>
            <m:oMathPara>
              <m:oMath>
                <m:d>
                  <m:dPr>
                    <m:ctrlPr>
                      <w:rPr>
                        <w:rFonts w:ascii="Cambria Math" w:hAnsi="Cambria Math"/>
                        <w:i/>
                        <w:sz w:val="20"/>
                        <w:lang w:val="en-US" w:eastAsia="zh-CN"/>
                      </w:rPr>
                    </m:ctrlPr>
                  </m:dPr>
                  <m:e>
                    <m:r>
                      <w:rPr>
                        <w:rFonts w:ascii="Cambria Math" w:hAnsi="Cambria Math"/>
                        <w:lang w:val="en-US" w:eastAsia="zh-CN"/>
                      </w:rPr>
                      <m:t>Y-1</m:t>
                    </m:r>
                  </m:e>
                </m:d>
                <m:r>
                  <w:rPr>
                    <w:rFonts w:ascii="Cambria Math" w:hAnsi="Cambria Math"/>
                    <w:lang w:val="en-US" w:eastAsia="zh-CN"/>
                  </w:rPr>
                  <m:t>mod4+1=4</m:t>
                </m:r>
              </m:oMath>
            </m:oMathPara>
          </w:p>
        </w:tc>
      </w:tr>
    </w:tbl>
    <w:p w14:paraId="65EB5DE2" w14:textId="77777777" w:rsidR="00472C3D" w:rsidRDefault="00472C3D" w:rsidP="00495059"/>
    <w:p w14:paraId="76851EB2" w14:textId="1F3C4337" w:rsidR="008A1F79" w:rsidRDefault="008A1F79">
      <w:pPr>
        <w:pStyle w:val="Heading4"/>
      </w:pPr>
      <w:bookmarkStart w:id="947" w:name="_Toc45699251"/>
      <w:bookmarkStart w:id="948" w:name="_Toc161999189"/>
      <w:r w:rsidRPr="00306697">
        <w:t>16.5.2.</w:t>
      </w:r>
      <w:r>
        <w:t>2</w:t>
      </w:r>
      <w:r w:rsidRPr="00306697">
        <w:tab/>
        <w:t xml:space="preserve">Type-2 HARQ-ACK codebook in physical uplink </w:t>
      </w:r>
      <w:r>
        <w:t>shared</w:t>
      </w:r>
      <w:r w:rsidRPr="00306697">
        <w:t xml:space="preserve"> channel</w:t>
      </w:r>
      <w:bookmarkEnd w:id="947"/>
      <w:bookmarkEnd w:id="948"/>
    </w:p>
    <w:p w14:paraId="6BF77CAF" w14:textId="5D92849E" w:rsidR="008A1F79" w:rsidRPr="00DE0DE0" w:rsidRDefault="008A1F79" w:rsidP="008A1F79">
      <w:pPr>
        <w:rPr>
          <w:lang w:eastAsia="zh-CN"/>
        </w:rPr>
      </w:pPr>
      <w:r w:rsidRPr="00DE0DE0">
        <w:rPr>
          <w:lang w:eastAsia="zh-CN"/>
        </w:rPr>
        <w:t xml:space="preserve">If a UE would multiplex HARQ-ACK information in a PUSCH transmission that is not scheduled by a DCI format or is scheduled by </w:t>
      </w:r>
      <w:r w:rsidR="00531BC1">
        <w:rPr>
          <w:lang w:eastAsia="zh-CN"/>
        </w:rPr>
        <w:t xml:space="preserve">a </w:t>
      </w:r>
      <w:r w:rsidRPr="00DE0DE0">
        <w:rPr>
          <w:lang w:eastAsia="zh-CN"/>
        </w:rPr>
        <w:t xml:space="preserve">DCI format </w:t>
      </w:r>
      <w:r w:rsidR="00531BC1">
        <w:rPr>
          <w:lang w:eastAsia="zh-CN"/>
        </w:rPr>
        <w:t>without an SAI field</w:t>
      </w:r>
      <w:r w:rsidRPr="00DE0DE0">
        <w:rPr>
          <w:lang w:eastAsia="zh-CN"/>
        </w:rPr>
        <w:t>, then</w:t>
      </w:r>
    </w:p>
    <w:p w14:paraId="107746AE" w14:textId="77777777" w:rsidR="008A1F79" w:rsidRDefault="008A1F79" w:rsidP="008A1F79">
      <w:pPr>
        <w:pStyle w:val="B1"/>
      </w:pPr>
      <w:r w:rsidRPr="00DE0DE0">
        <w:rPr>
          <w:iCs/>
        </w:rPr>
        <w:t>-</w:t>
      </w:r>
      <w:r w:rsidRPr="00DE0DE0">
        <w:rPr>
          <w:iCs/>
        </w:rPr>
        <w:tab/>
        <w:t>i</w:t>
      </w:r>
      <w:r w:rsidRPr="00DE0DE0">
        <w:rPr>
          <w:iCs/>
          <w:lang w:val="en-GB"/>
        </w:rPr>
        <w:t xml:space="preserve">f the </w:t>
      </w:r>
      <w:r w:rsidRPr="00DE0DE0">
        <w:t xml:space="preserve">UE </w:t>
      </w:r>
    </w:p>
    <w:p w14:paraId="4ADF337D" w14:textId="77777777" w:rsidR="008A1F79" w:rsidRDefault="008A1F79" w:rsidP="00495059">
      <w:pPr>
        <w:pStyle w:val="B2"/>
        <w:rPr>
          <w:lang w:val="en-US"/>
        </w:rPr>
      </w:pPr>
      <w:r w:rsidRPr="00DE0DE0">
        <w:rPr>
          <w:iCs/>
        </w:rPr>
        <w:t>-</w:t>
      </w:r>
      <w:r w:rsidRPr="00DE0DE0">
        <w:rPr>
          <w:iCs/>
        </w:rPr>
        <w:tab/>
      </w:r>
      <w:r w:rsidRPr="00DE0DE0">
        <w:t xml:space="preserve">has not received any PDCCH within the monitoring occasions for DCI format </w:t>
      </w:r>
      <w:r>
        <w:t>3</w:t>
      </w:r>
      <w:r w:rsidRPr="00DE0DE0">
        <w:t>_0 for scheduling P</w:t>
      </w:r>
      <w:r>
        <w:t>S</w:t>
      </w:r>
      <w:r w:rsidRPr="00DE0DE0">
        <w:t xml:space="preserve">SCH </w:t>
      </w:r>
      <w:r>
        <w:t xml:space="preserve">with corresponding PSFCH </w:t>
      </w:r>
      <w:r w:rsidRPr="00DE0DE0">
        <w:t>reception</w:t>
      </w:r>
      <w:r>
        <w:t xml:space="preserve"> occasion</w:t>
      </w:r>
      <w:r w:rsidRPr="00DE0DE0">
        <w:t>s on any serving cell</w:t>
      </w:r>
      <w:r>
        <w:rPr>
          <w:lang w:val="en-US"/>
        </w:rPr>
        <w:t>,</w:t>
      </w:r>
      <w:r w:rsidRPr="00DE0DE0">
        <w:t xml:space="preserve"> </w:t>
      </w:r>
      <w:r w:rsidRPr="00DE0DE0">
        <w:rPr>
          <w:lang w:val="en-US"/>
        </w:rPr>
        <w:t xml:space="preserve">and </w:t>
      </w:r>
    </w:p>
    <w:p w14:paraId="6FC717AD" w14:textId="55F54654" w:rsidR="008A1F79" w:rsidRDefault="008A1F79" w:rsidP="00495059">
      <w:pPr>
        <w:pStyle w:val="B2"/>
        <w:rPr>
          <w:iCs/>
          <w:lang w:val="en-GB"/>
        </w:rPr>
      </w:pPr>
      <w:r w:rsidRPr="00DE0DE0">
        <w:rPr>
          <w:iCs/>
        </w:rPr>
        <w:t>-</w:t>
      </w:r>
      <w:r w:rsidRPr="00DE0DE0">
        <w:rPr>
          <w:iCs/>
        </w:rPr>
        <w:tab/>
      </w:r>
      <w:r w:rsidRPr="00DE0DE0">
        <w:rPr>
          <w:lang w:val="en-US"/>
        </w:rPr>
        <w:t xml:space="preserve">does not have HARQ-ACK information in response to a </w:t>
      </w:r>
      <w:r>
        <w:rPr>
          <w:lang w:val="en-US"/>
        </w:rPr>
        <w:t xml:space="preserve">PSSCH transmission with corresponding PSFCH reception occasions </w:t>
      </w:r>
      <w:r>
        <w:t>associated with a SL configured grant</w:t>
      </w:r>
      <w:r w:rsidRPr="00DE0DE0">
        <w:rPr>
          <w:lang w:val="en-US"/>
        </w:rPr>
        <w:t xml:space="preserve"> to multiplex in the PUSCH</w:t>
      </w:r>
      <w:r w:rsidRPr="00DE0DE0">
        <w:t xml:space="preserve">, as described </w:t>
      </w:r>
      <w:r w:rsidR="006F5F9E">
        <w:t>in clause</w:t>
      </w:r>
      <w:r w:rsidRPr="00DE0DE0">
        <w:t xml:space="preserve"> </w:t>
      </w:r>
      <w:r>
        <w:t>16.5.2.1</w:t>
      </w:r>
      <w:r w:rsidRPr="00DE0DE0">
        <w:rPr>
          <w:iCs/>
          <w:lang w:val="en-GB"/>
        </w:rPr>
        <w:t xml:space="preserve">, </w:t>
      </w:r>
    </w:p>
    <w:p w14:paraId="43E43CD0" w14:textId="77777777" w:rsidR="008A1F79" w:rsidRPr="00DE0DE0" w:rsidRDefault="008A1F79" w:rsidP="008A1F79">
      <w:pPr>
        <w:pStyle w:val="B1"/>
        <w:ind w:left="852"/>
      </w:pPr>
      <w:r w:rsidRPr="00DE0DE0">
        <w:t xml:space="preserve">the UE does not multiplex HARQ-ACK </w:t>
      </w:r>
      <w:r w:rsidRPr="00DE0DE0">
        <w:rPr>
          <w:lang w:val="en-US"/>
        </w:rPr>
        <w:t xml:space="preserve">information </w:t>
      </w:r>
      <w:r w:rsidRPr="00DE0DE0">
        <w:t>in the PUSCH transmission;</w:t>
      </w:r>
    </w:p>
    <w:p w14:paraId="25FDBFDF" w14:textId="06739826" w:rsidR="008A1F79" w:rsidRPr="00DE0DE0" w:rsidRDefault="008A1F79" w:rsidP="008A1F79">
      <w:pPr>
        <w:pStyle w:val="B1"/>
      </w:pPr>
      <w:bookmarkStart w:id="949" w:name="_Hlk42439283"/>
      <w:r w:rsidRPr="00DE0DE0">
        <w:t>-</w:t>
      </w:r>
      <w:r w:rsidRPr="00DE0DE0">
        <w:tab/>
      </w:r>
      <w:r w:rsidRPr="00DE0DE0">
        <w:rPr>
          <w:lang w:val="en-US"/>
        </w:rPr>
        <w:t xml:space="preserve">else, </w:t>
      </w:r>
      <w:r w:rsidRPr="00DE0DE0">
        <w:t xml:space="preserve">the UE generates </w:t>
      </w:r>
      <w:r>
        <w:rPr>
          <w:lang w:val="en-US"/>
        </w:rPr>
        <w:t xml:space="preserve">and multiplexes in the PUSCH transmission </w:t>
      </w:r>
      <w:r w:rsidRPr="00DE0DE0">
        <w:t xml:space="preserve">the HARQ-ACK codebook as described </w:t>
      </w:r>
      <w:r w:rsidR="006F5F9E">
        <w:t>in clause</w:t>
      </w:r>
      <w:r w:rsidRPr="00DE0DE0">
        <w:t xml:space="preserve"> </w:t>
      </w:r>
      <w:r>
        <w:t>16.5.2.1.</w:t>
      </w:r>
    </w:p>
    <w:bookmarkEnd w:id="949"/>
    <w:p w14:paraId="12B68C5B" w14:textId="3B3A9218" w:rsidR="008A1F79" w:rsidRPr="00DE0DE0" w:rsidRDefault="008A1F79" w:rsidP="008A1F79">
      <w:pPr>
        <w:rPr>
          <w:lang w:eastAsia="zh-CN"/>
        </w:rPr>
      </w:pPr>
      <w:r w:rsidRPr="00DE0DE0">
        <w:rPr>
          <w:lang w:eastAsia="zh-CN"/>
        </w:rPr>
        <w:t xml:space="preserve">If a UE multiplexes HARQ-ACK information in a PUSCH transmission that is scheduled by </w:t>
      </w:r>
      <w:r>
        <w:rPr>
          <w:lang w:eastAsia="zh-CN"/>
        </w:rPr>
        <w:t xml:space="preserve">a </w:t>
      </w:r>
      <w:r w:rsidRPr="00DE0DE0">
        <w:rPr>
          <w:lang w:eastAsia="zh-CN"/>
        </w:rPr>
        <w:t xml:space="preserve">DCI format </w:t>
      </w:r>
      <w:r>
        <w:rPr>
          <w:lang w:eastAsia="zh-CN"/>
        </w:rPr>
        <w:t>that includes a SAI field</w:t>
      </w:r>
      <w:r w:rsidRPr="00DE0DE0">
        <w:rPr>
          <w:lang w:eastAsia="zh-CN"/>
        </w:rPr>
        <w:t xml:space="preserve">, the UE generates the HARQ-ACK codebook as described </w:t>
      </w:r>
      <w:r w:rsidR="006F5F9E">
        <w:rPr>
          <w:lang w:eastAsia="zh-CN"/>
        </w:rPr>
        <w:t>in clause</w:t>
      </w:r>
      <w:r w:rsidRPr="00DE0DE0">
        <w:rPr>
          <w:lang w:eastAsia="zh-CN"/>
        </w:rPr>
        <w:t xml:space="preserve"> </w:t>
      </w:r>
      <w:r>
        <w:rPr>
          <w:lang w:eastAsia="zh-CN"/>
        </w:rPr>
        <w:t>16.5.2.1</w:t>
      </w:r>
      <w:r w:rsidRPr="00DE0DE0">
        <w:rPr>
          <w:lang w:eastAsia="zh-CN"/>
        </w:rPr>
        <w:t>, with the following modifications:</w:t>
      </w:r>
    </w:p>
    <w:p w14:paraId="00333755" w14:textId="18785144" w:rsidR="008A1F79" w:rsidRPr="00DE0DE0" w:rsidRDefault="008A1F79" w:rsidP="008A1F79">
      <w:pPr>
        <w:pStyle w:val="B1"/>
      </w:pPr>
      <w:r w:rsidRPr="00DE0DE0">
        <w:t>-</w:t>
      </w:r>
      <w:r w:rsidRPr="00DE0DE0">
        <w:tab/>
        <w:t xml:space="preserve">For </w:t>
      </w:r>
      <w:r w:rsidRPr="00DE0DE0">
        <w:rPr>
          <w:lang w:val="en-US"/>
        </w:rPr>
        <w:t xml:space="preserve">the pseudo-code for the </w:t>
      </w:r>
      <w:r w:rsidRPr="00DE0DE0">
        <w:t xml:space="preserve">HARQ-ACK codebook </w:t>
      </w:r>
      <w:r w:rsidRPr="00DE0DE0">
        <w:rPr>
          <w:lang w:val="en-US"/>
        </w:rPr>
        <w:t xml:space="preserve">generation </w:t>
      </w:r>
      <w:r w:rsidR="006F5F9E">
        <w:t>in clause</w:t>
      </w:r>
      <w:r w:rsidRPr="00DE0DE0">
        <w:t xml:space="preserve"> </w:t>
      </w:r>
      <w:r>
        <w:t>16.5.2.1</w:t>
      </w:r>
      <w:r w:rsidRPr="00DE0DE0">
        <w:rPr>
          <w:lang w:val="en-US"/>
        </w:rPr>
        <w:t xml:space="preserve">, </w:t>
      </w:r>
      <w:r w:rsidRPr="00DE0DE0">
        <w:t xml:space="preserve">after the completion of the </w:t>
      </w:r>
      <m:oMath>
        <m:r>
          <w:rPr>
            <w:rFonts w:ascii="Cambria Math"/>
          </w:rPr>
          <m:t>m</m:t>
        </m:r>
      </m:oMath>
      <w:r w:rsidRPr="00DE0DE0">
        <w:rPr>
          <w:lang w:val="en-US"/>
        </w:rPr>
        <w:t xml:space="preserve"> loop, </w:t>
      </w:r>
      <w:r>
        <w:rPr>
          <w:lang w:val="en-US"/>
        </w:rPr>
        <w:t>the</w:t>
      </w:r>
      <w:r w:rsidRPr="00DE0DE0">
        <w:rPr>
          <w:lang w:val="en-US"/>
        </w:rPr>
        <w:t xml:space="preserve"> UE sets </w:t>
      </w:r>
      <m:oMath>
        <m:sSub>
          <m:sSubPr>
            <m:ctrlPr>
              <w:rPr>
                <w:rFonts w:ascii="Cambria Math" w:hAnsi="Cambria Math"/>
                <w:i/>
              </w:rPr>
            </m:ctrlPr>
          </m:sSubPr>
          <m:e>
            <m:r>
              <w:rPr>
                <w:rFonts w:ascii="Cambria Math"/>
              </w:rPr>
              <m:t>V</m:t>
            </m:r>
          </m:e>
          <m:sub>
            <m:r>
              <w:rPr>
                <w:rFonts w:ascii="Cambria Math"/>
              </w:rPr>
              <m:t>temp</m:t>
            </m:r>
          </m:sub>
        </m:sSub>
        <m:r>
          <w:rPr>
            <w:rFonts w:ascii="Cambria Math"/>
          </w:rPr>
          <m:t>=</m:t>
        </m:r>
        <m:sSubSup>
          <m:sSubSupPr>
            <m:ctrlPr>
              <w:rPr>
                <w:rFonts w:ascii="Cambria Math" w:hAnsi="Cambria Math"/>
                <w:i/>
              </w:rPr>
            </m:ctrlPr>
          </m:sSubSupPr>
          <m:e>
            <m:r>
              <w:rPr>
                <w:rFonts w:ascii="Cambria Math"/>
              </w:rPr>
              <m:t>V</m:t>
            </m:r>
          </m:e>
          <m:sub>
            <m:r>
              <m:rPr>
                <m:nor/>
              </m:rPr>
              <w:rPr>
                <w:rFonts w:ascii="Cambria Math"/>
                <w:lang w:val="en-US"/>
              </w:rPr>
              <m:t>T-</m:t>
            </m:r>
            <m:r>
              <m:rPr>
                <m:nor/>
              </m:rPr>
              <w:rPr>
                <w:rFonts w:ascii="Cambria Math"/>
              </w:rPr>
              <m:t>SAI</m:t>
            </m:r>
            <m:ctrlPr>
              <w:rPr>
                <w:rFonts w:ascii="Cambria Math" w:hAnsi="Cambria Math"/>
              </w:rPr>
            </m:ctrlPr>
          </m:sub>
          <m:sup>
            <m:r>
              <m:rPr>
                <m:nor/>
              </m:rPr>
              <w:rPr>
                <w:rFonts w:ascii="Cambria Math"/>
              </w:rPr>
              <m:t>UL</m:t>
            </m:r>
            <m:ctrlPr>
              <w:rPr>
                <w:rFonts w:ascii="Cambria Math" w:hAnsi="Cambria Math"/>
              </w:rPr>
            </m:ctrlPr>
          </m:sup>
        </m:sSubSup>
      </m:oMath>
      <w:r w:rsidR="007A343F" w:rsidRPr="00DE0DE0">
        <w:rPr>
          <w:lang w:val="en-US"/>
        </w:rPr>
        <w:t xml:space="preserve"> where </w:t>
      </w:r>
      <m:oMath>
        <m:sSubSup>
          <m:sSubSupPr>
            <m:ctrlPr>
              <w:rPr>
                <w:rFonts w:ascii="Cambria Math" w:hAnsi="Cambria Math"/>
                <w:i/>
              </w:rPr>
            </m:ctrlPr>
          </m:sSubSupPr>
          <m:e>
            <m:r>
              <w:rPr>
                <w:rFonts w:ascii="Cambria Math"/>
              </w:rPr>
              <m:t>V</m:t>
            </m:r>
          </m:e>
          <m:sub>
            <m:r>
              <m:rPr>
                <m:nor/>
              </m:rPr>
              <w:rPr>
                <w:rFonts w:ascii="Cambria Math"/>
                <w:lang w:val="en-US"/>
              </w:rPr>
              <m:t>T-</m:t>
            </m:r>
            <m:r>
              <m:rPr>
                <m:nor/>
              </m:rPr>
              <w:rPr>
                <w:rFonts w:ascii="Cambria Math"/>
              </w:rPr>
              <m:t>SAI</m:t>
            </m:r>
            <m:ctrlPr>
              <w:rPr>
                <w:rFonts w:ascii="Cambria Math" w:hAnsi="Cambria Math"/>
              </w:rPr>
            </m:ctrlPr>
          </m:sub>
          <m:sup>
            <m:r>
              <m:rPr>
                <m:nor/>
              </m:rPr>
              <w:rPr>
                <w:rFonts w:ascii="Cambria Math"/>
              </w:rPr>
              <m:t>UL</m:t>
            </m:r>
            <m:ctrlPr>
              <w:rPr>
                <w:rFonts w:ascii="Cambria Math" w:hAnsi="Cambria Math"/>
              </w:rPr>
            </m:ctrlPr>
          </m:sup>
        </m:sSubSup>
      </m:oMath>
      <w:r w:rsidRPr="00DE0DE0">
        <w:t xml:space="preserve"> is the value of the </w:t>
      </w:r>
      <w:r>
        <w:t>S</w:t>
      </w:r>
      <w:r w:rsidRPr="00DE0DE0">
        <w:t xml:space="preserve">AI </w:t>
      </w:r>
      <w:r w:rsidRPr="00DE0DE0">
        <w:rPr>
          <w:lang w:val="en-US"/>
        </w:rPr>
        <w:t xml:space="preserve">field in </w:t>
      </w:r>
      <w:r>
        <w:rPr>
          <w:lang w:val="en-US"/>
        </w:rPr>
        <w:t xml:space="preserve">the </w:t>
      </w:r>
      <w:r w:rsidRPr="00DE0DE0">
        <w:t>DCI format</w:t>
      </w:r>
      <w:r w:rsidRPr="00DE0DE0">
        <w:rPr>
          <w:lang w:val="en-US"/>
        </w:rPr>
        <w:t xml:space="preserve"> </w:t>
      </w:r>
      <w:r w:rsidRPr="00DE0DE0">
        <w:t xml:space="preserve">according to Table </w:t>
      </w:r>
      <w:r>
        <w:t>16.5.2.2-1.</w:t>
      </w:r>
    </w:p>
    <w:p w14:paraId="47DE7B2A" w14:textId="77777777" w:rsidR="008A1F79" w:rsidRDefault="008A1F79" w:rsidP="008A1F79">
      <w:pPr>
        <w:rPr>
          <w:lang w:eastAsia="zh-CN"/>
        </w:rPr>
      </w:pPr>
      <w:r w:rsidRPr="00DE0DE0">
        <w:rPr>
          <w:lang w:eastAsia="zh-CN"/>
        </w:rPr>
        <w:t xml:space="preserve">If a UE </w:t>
      </w:r>
    </w:p>
    <w:p w14:paraId="3D27D872" w14:textId="77777777" w:rsidR="008A1F79" w:rsidRDefault="008A1F79" w:rsidP="008A1F79">
      <w:pPr>
        <w:pStyle w:val="B1"/>
        <w:rPr>
          <w:lang w:eastAsia="zh-CN"/>
        </w:rPr>
      </w:pPr>
      <w:r w:rsidRPr="00DE0DE0">
        <w:t>-</w:t>
      </w:r>
      <w:r w:rsidRPr="00DE0DE0">
        <w:tab/>
      </w:r>
      <w:r w:rsidRPr="00DE0DE0">
        <w:rPr>
          <w:lang w:eastAsia="zh-CN"/>
        </w:rPr>
        <w:t xml:space="preserve">is scheduled for a PUSCH transmission by </w:t>
      </w:r>
      <w:r>
        <w:rPr>
          <w:lang w:eastAsia="zh-CN"/>
        </w:rPr>
        <w:t xml:space="preserve">a </w:t>
      </w:r>
      <w:r w:rsidRPr="00DE0DE0">
        <w:rPr>
          <w:lang w:eastAsia="zh-CN"/>
        </w:rPr>
        <w:t xml:space="preserve">DCI format </w:t>
      </w:r>
      <w:r>
        <w:rPr>
          <w:lang w:eastAsia="zh-CN"/>
        </w:rPr>
        <w:t>that includes a</w:t>
      </w:r>
      <w:r w:rsidRPr="00DE0DE0">
        <w:rPr>
          <w:lang w:eastAsia="zh-CN"/>
        </w:rPr>
        <w:t xml:space="preserve"> </w:t>
      </w:r>
      <w:r>
        <w:rPr>
          <w:lang w:eastAsia="zh-CN"/>
        </w:rPr>
        <w:t>S</w:t>
      </w:r>
      <w:r w:rsidRPr="00DE0DE0">
        <w:rPr>
          <w:lang w:eastAsia="zh-CN"/>
        </w:rPr>
        <w:t xml:space="preserve">AI field </w:t>
      </w:r>
      <w:r>
        <w:rPr>
          <w:lang w:eastAsia="zh-CN"/>
        </w:rPr>
        <w:t xml:space="preserve">with </w:t>
      </w:r>
      <w:r w:rsidRPr="00DE0DE0">
        <w:rPr>
          <w:lang w:eastAsia="zh-CN"/>
        </w:rPr>
        <w:t xml:space="preserve">value </w:t>
      </w:r>
      <m:oMath>
        <m:sSubSup>
          <m:sSubSupPr>
            <m:ctrlPr>
              <w:rPr>
                <w:rFonts w:ascii="Cambria Math" w:hAnsi="Cambria Math"/>
                <w:i/>
                <w:lang w:eastAsia="zh-CN"/>
              </w:rPr>
            </m:ctrlPr>
          </m:sSubSupPr>
          <m:e>
            <m:r>
              <w:rPr>
                <w:rFonts w:ascii="Cambria Math"/>
                <w:lang w:eastAsia="zh-CN"/>
              </w:rPr>
              <m:t>V</m:t>
            </m:r>
          </m:e>
          <m:sub>
            <m:r>
              <m:rPr>
                <m:nor/>
              </m:rPr>
              <w:rPr>
                <w:rFonts w:ascii="Cambria Math"/>
                <w:lang w:eastAsia="zh-CN"/>
              </w:rPr>
              <m:t>T-SAI</m:t>
            </m:r>
            <m:ctrlPr>
              <w:rPr>
                <w:rFonts w:ascii="Cambria Math" w:hAnsi="Cambria Math"/>
                <w:lang w:eastAsia="zh-CN"/>
              </w:rPr>
            </m:ctrlPr>
          </m:sub>
          <m:sup>
            <m:r>
              <m:rPr>
                <m:nor/>
              </m:rPr>
              <w:rPr>
                <w:rFonts w:ascii="Cambria Math"/>
                <w:lang w:eastAsia="zh-CN"/>
              </w:rPr>
              <m:t>UL</m:t>
            </m:r>
            <m:ctrlPr>
              <w:rPr>
                <w:rFonts w:ascii="Cambria Math" w:hAnsi="Cambria Math"/>
                <w:lang w:eastAsia="zh-CN"/>
              </w:rPr>
            </m:ctrlPr>
          </m:sup>
        </m:sSubSup>
        <m:r>
          <w:rPr>
            <w:rFonts w:ascii="Cambria Math"/>
            <w:lang w:eastAsia="zh-CN"/>
          </w:rPr>
          <m:t>=4</m:t>
        </m:r>
      </m:oMath>
      <w:r>
        <w:rPr>
          <w:lang w:val="en-US" w:eastAsia="zh-CN"/>
        </w:rPr>
        <w:t>,</w:t>
      </w:r>
      <w:r w:rsidRPr="00DE0DE0">
        <w:rPr>
          <w:lang w:eastAsia="zh-CN"/>
        </w:rPr>
        <w:t xml:space="preserve"> and </w:t>
      </w:r>
    </w:p>
    <w:p w14:paraId="3CA75BA4" w14:textId="77777777" w:rsidR="008A1F79" w:rsidRDefault="008A1F79" w:rsidP="008A1F79">
      <w:pPr>
        <w:pStyle w:val="B1"/>
        <w:rPr>
          <w:lang w:val="en-US"/>
        </w:rPr>
      </w:pPr>
      <w:r w:rsidRPr="00DE0DE0">
        <w:lastRenderedPageBreak/>
        <w:t>-</w:t>
      </w:r>
      <w:r w:rsidRPr="00DE0DE0">
        <w:tab/>
      </w:r>
      <w:r w:rsidRPr="00DE0DE0">
        <w:rPr>
          <w:lang w:eastAsia="zh-CN"/>
        </w:rPr>
        <w:t xml:space="preserve">has not received any PDCCH within the monitoring occasions </w:t>
      </w:r>
      <w:r w:rsidRPr="00DE0DE0">
        <w:t xml:space="preserve">for PDCCH with DCI format </w:t>
      </w:r>
      <w:r>
        <w:rPr>
          <w:lang w:eastAsia="zh-CN"/>
        </w:rPr>
        <w:t>3</w:t>
      </w:r>
      <w:r w:rsidRPr="00DE0DE0">
        <w:rPr>
          <w:lang w:eastAsia="zh-CN"/>
        </w:rPr>
        <w:t>_0 for scheduling P</w:t>
      </w:r>
      <w:r>
        <w:rPr>
          <w:lang w:eastAsia="zh-CN"/>
        </w:rPr>
        <w:t>S</w:t>
      </w:r>
      <w:r w:rsidRPr="00DE0DE0">
        <w:rPr>
          <w:lang w:eastAsia="zh-CN"/>
        </w:rPr>
        <w:t xml:space="preserve">SCH </w:t>
      </w:r>
      <w:r>
        <w:rPr>
          <w:lang w:eastAsia="zh-CN"/>
        </w:rPr>
        <w:t xml:space="preserve">with corresponding PSFCH </w:t>
      </w:r>
      <w:r w:rsidRPr="00DE0DE0">
        <w:rPr>
          <w:lang w:eastAsia="zh-CN"/>
        </w:rPr>
        <w:t>reception</w:t>
      </w:r>
      <w:r>
        <w:rPr>
          <w:lang w:eastAsia="zh-CN"/>
        </w:rPr>
        <w:t xml:space="preserve"> occasion</w:t>
      </w:r>
      <w:r w:rsidRPr="00DE0DE0">
        <w:rPr>
          <w:lang w:eastAsia="zh-CN"/>
        </w:rPr>
        <w:t>s on a serving cell</w:t>
      </w:r>
      <w:r>
        <w:rPr>
          <w:lang w:eastAsia="zh-CN"/>
        </w:rPr>
        <w:t>,</w:t>
      </w:r>
      <w:r w:rsidRPr="00DE0DE0">
        <w:rPr>
          <w:lang w:eastAsia="zh-CN"/>
        </w:rPr>
        <w:t xml:space="preserve"> </w:t>
      </w:r>
      <w:r w:rsidRPr="00DE0DE0">
        <w:rPr>
          <w:lang w:val="en-US"/>
        </w:rPr>
        <w:t xml:space="preserve">and </w:t>
      </w:r>
    </w:p>
    <w:p w14:paraId="7B736E54" w14:textId="336F1631" w:rsidR="008A1F79" w:rsidRDefault="008A1F79" w:rsidP="008A1F79">
      <w:pPr>
        <w:pStyle w:val="B1"/>
        <w:rPr>
          <w:lang w:eastAsia="zh-CN"/>
        </w:rPr>
      </w:pPr>
      <w:r w:rsidRPr="00DE0DE0">
        <w:t>-</w:t>
      </w:r>
      <w:r w:rsidRPr="00DE0DE0">
        <w:tab/>
      </w:r>
      <w:r w:rsidRPr="00DE0DE0">
        <w:rPr>
          <w:lang w:val="en-US"/>
        </w:rPr>
        <w:t xml:space="preserve">does not have HARQ-ACK information in response to </w:t>
      </w:r>
      <w:r>
        <w:rPr>
          <w:lang w:val="en-US"/>
        </w:rPr>
        <w:t>PSFCH reception occasions</w:t>
      </w:r>
      <w:r w:rsidRPr="00DE0DE0">
        <w:rPr>
          <w:lang w:val="en-US" w:eastAsia="zh-CN"/>
        </w:rPr>
        <w:t xml:space="preserve"> </w:t>
      </w:r>
      <w:r w:rsidRPr="007D1A8E">
        <w:rPr>
          <w:lang w:val="en-US" w:eastAsia="zh-CN"/>
        </w:rPr>
        <w:t>associated with a SL configured grant</w:t>
      </w:r>
      <w:r>
        <w:rPr>
          <w:lang w:val="en-US" w:eastAsia="zh-CN"/>
        </w:rPr>
        <w:t xml:space="preserve"> </w:t>
      </w:r>
      <w:r w:rsidRPr="00DE0DE0">
        <w:rPr>
          <w:lang w:val="en-US" w:eastAsia="zh-CN"/>
        </w:rPr>
        <w:t>to multiplex in the PUSCH</w:t>
      </w:r>
      <w:r w:rsidRPr="00DE0DE0">
        <w:t xml:space="preserve">, as described </w:t>
      </w:r>
      <w:r w:rsidR="006F5F9E">
        <w:t>in clause</w:t>
      </w:r>
      <w:r w:rsidRPr="00DE0DE0">
        <w:rPr>
          <w:lang w:eastAsia="zh-CN"/>
        </w:rPr>
        <w:t xml:space="preserve"> </w:t>
      </w:r>
      <w:r>
        <w:rPr>
          <w:lang w:eastAsia="zh-CN"/>
        </w:rPr>
        <w:t>16.5.2.1</w:t>
      </w:r>
      <w:r w:rsidRPr="00DE0DE0">
        <w:rPr>
          <w:lang w:eastAsia="zh-CN"/>
        </w:rPr>
        <w:t xml:space="preserve">, </w:t>
      </w:r>
    </w:p>
    <w:p w14:paraId="165C7EDC" w14:textId="77777777" w:rsidR="008A1F79" w:rsidRPr="009A2A7F" w:rsidRDefault="008A1F79" w:rsidP="00495059">
      <w:r w:rsidRPr="00DE0DE0">
        <w:rPr>
          <w:lang w:eastAsia="zh-CN"/>
        </w:rPr>
        <w:t xml:space="preserve">the UE does not multiplex HARQ-ACK information in the PUSCH transmission. </w:t>
      </w:r>
    </w:p>
    <w:p w14:paraId="757B7896" w14:textId="77777777" w:rsidR="008A1F79" w:rsidRPr="00DE0DE0" w:rsidRDefault="008A1F79" w:rsidP="008A1F79">
      <w:pPr>
        <w:pStyle w:val="TH"/>
      </w:pPr>
      <w:r w:rsidRPr="00DE0DE0">
        <w:t xml:space="preserve">Table </w:t>
      </w:r>
      <w:r>
        <w:rPr>
          <w:lang w:val="en-US"/>
        </w:rPr>
        <w:t>16.5.2.2-1</w:t>
      </w:r>
      <w:r w:rsidRPr="00DE0DE0">
        <w:t xml:space="preserve">: Value of </w:t>
      </w:r>
      <w:r>
        <w:rPr>
          <w:lang w:val="en-US" w:eastAsia="zh-CN"/>
        </w:rPr>
        <w:t>S</w:t>
      </w:r>
      <w:r w:rsidRPr="00DE0DE0">
        <w:rPr>
          <w:rFonts w:hint="eastAsia"/>
          <w:lang w:eastAsia="zh-CN"/>
        </w:rPr>
        <w:t>AI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9"/>
        <w:gridCol w:w="1850"/>
        <w:gridCol w:w="6430"/>
      </w:tblGrid>
      <w:tr w:rsidR="008A1F79" w:rsidRPr="00B916EC" w14:paraId="7D59842C" w14:textId="77777777" w:rsidTr="002F78BF">
        <w:trPr>
          <w:cantSplit/>
          <w:jc w:val="center"/>
        </w:trPr>
        <w:tc>
          <w:tcPr>
            <w:tcW w:w="1349" w:type="dxa"/>
            <w:shd w:val="clear" w:color="auto" w:fill="E0E0E0"/>
            <w:vAlign w:val="center"/>
          </w:tcPr>
          <w:p w14:paraId="1CCE1B50" w14:textId="77777777" w:rsidR="008A1F79" w:rsidRPr="00B916EC" w:rsidRDefault="008A1F79" w:rsidP="002F78BF">
            <w:pPr>
              <w:pStyle w:val="TAH"/>
              <w:rPr>
                <w:lang w:val="en-US"/>
              </w:rPr>
            </w:pPr>
            <w:r>
              <w:rPr>
                <w:lang w:val="en-US"/>
              </w:rPr>
              <w:t>S</w:t>
            </w:r>
            <w:r w:rsidRPr="00B916EC">
              <w:rPr>
                <w:lang w:val="en-US"/>
              </w:rPr>
              <w:t>AI</w:t>
            </w:r>
            <w:r w:rsidRPr="00B916EC">
              <w:rPr>
                <w:lang w:val="en-US"/>
              </w:rPr>
              <w:br/>
              <w:t>MSB, LSB</w:t>
            </w:r>
          </w:p>
        </w:tc>
        <w:tc>
          <w:tcPr>
            <w:tcW w:w="1850" w:type="dxa"/>
            <w:shd w:val="clear" w:color="auto" w:fill="E0E0E0"/>
            <w:vAlign w:val="center"/>
          </w:tcPr>
          <w:p w14:paraId="29FA999D" w14:textId="77777777" w:rsidR="008A1F79" w:rsidRPr="00B916EC" w:rsidRDefault="00000000" w:rsidP="002F78BF">
            <w:pPr>
              <w:pStyle w:val="TAH"/>
              <w:rPr>
                <w:lang w:val="en-US"/>
              </w:rPr>
            </w:pPr>
            <m:oMath>
              <m:sSubSup>
                <m:sSubSupPr>
                  <m:ctrlPr>
                    <w:rPr>
                      <w:rFonts w:ascii="Cambria Math" w:hAnsi="Cambria Math" w:cs="Arial"/>
                      <w:i/>
                      <w:lang w:eastAsia="zh-CN"/>
                    </w:rPr>
                  </m:ctrlPr>
                </m:sSubSupPr>
                <m:e>
                  <m:r>
                    <m:rPr>
                      <m:sty m:val="bi"/>
                    </m:rPr>
                    <w:rPr>
                      <w:rFonts w:ascii="Cambria Math" w:cs="Arial"/>
                      <w:lang w:eastAsia="zh-CN"/>
                    </w:rPr>
                    <m:t>V</m:t>
                  </m:r>
                </m:e>
                <m:sub>
                  <m:r>
                    <m:rPr>
                      <m:nor/>
                    </m:rPr>
                    <w:rPr>
                      <w:rFonts w:ascii="Cambria Math" w:cs="Arial"/>
                      <w:lang w:val="en-US" w:eastAsia="zh-CN"/>
                    </w:rPr>
                    <m:t>T-S</m:t>
                  </m:r>
                  <m:r>
                    <m:rPr>
                      <m:nor/>
                    </m:rPr>
                    <w:rPr>
                      <w:rFonts w:ascii="Cambria Math" w:cs="Arial"/>
                      <w:lang w:eastAsia="zh-CN"/>
                    </w:rPr>
                    <m:t>AI</m:t>
                  </m:r>
                  <m:ctrlPr>
                    <w:rPr>
                      <w:rFonts w:ascii="Cambria Math" w:hAnsi="Cambria Math" w:cs="Arial"/>
                      <w:lang w:eastAsia="zh-CN"/>
                    </w:rPr>
                  </m:ctrlPr>
                </m:sub>
                <m:sup>
                  <m:r>
                    <m:rPr>
                      <m:nor/>
                    </m:rPr>
                    <w:rPr>
                      <w:rFonts w:ascii="Cambria Math" w:cs="Arial"/>
                      <w:lang w:eastAsia="zh-CN"/>
                    </w:rPr>
                    <m:t>UL</m:t>
                  </m:r>
                  <m:ctrlPr>
                    <w:rPr>
                      <w:rFonts w:ascii="Cambria Math" w:hAnsi="Cambria Math" w:cs="Arial"/>
                      <w:lang w:eastAsia="zh-CN"/>
                    </w:rPr>
                  </m:ctrlPr>
                </m:sup>
              </m:sSubSup>
            </m:oMath>
            <w:r w:rsidR="008A1F79">
              <w:rPr>
                <w:lang w:val="en-US"/>
              </w:rPr>
              <w:t xml:space="preserve"> </w:t>
            </w:r>
          </w:p>
        </w:tc>
        <w:tc>
          <w:tcPr>
            <w:tcW w:w="6430" w:type="dxa"/>
            <w:shd w:val="clear" w:color="auto" w:fill="E0E0E0"/>
            <w:vAlign w:val="center"/>
          </w:tcPr>
          <w:p w14:paraId="0DE3F5CD" w14:textId="77777777" w:rsidR="008A1F79" w:rsidRPr="00B916EC" w:rsidRDefault="008A1F79" w:rsidP="002F78BF">
            <w:pPr>
              <w:pStyle w:val="TAH"/>
              <w:rPr>
                <w:lang w:val="en-US"/>
              </w:rPr>
            </w:pPr>
            <w:r w:rsidRPr="00B916EC">
              <w:rPr>
                <w:rFonts w:hint="eastAsia"/>
                <w:lang w:val="en-US" w:eastAsia="zh-CN"/>
              </w:rPr>
              <w:t xml:space="preserve">Number of </w:t>
            </w:r>
            <w:r w:rsidRPr="00B916EC">
              <w:rPr>
                <w:lang w:eastAsia="zh-CN"/>
              </w:rPr>
              <w:t xml:space="preserve">PDCCH monitoring </w:t>
            </w:r>
            <w:r w:rsidRPr="00B916EC">
              <w:rPr>
                <w:lang w:val="en-US" w:eastAsia="zh-CN"/>
              </w:rPr>
              <w:t>occasion</w:t>
            </w:r>
            <w:r>
              <w:rPr>
                <w:lang w:val="en-US" w:eastAsia="zh-CN"/>
              </w:rPr>
              <w:t>s</w:t>
            </w:r>
            <w:r w:rsidRPr="00B916EC">
              <w:rPr>
                <w:rFonts w:hint="eastAsia"/>
                <w:lang w:val="en-US" w:eastAsia="zh-CN"/>
              </w:rPr>
              <w:t xml:space="preserve"> in which </w:t>
            </w:r>
            <w:r>
              <w:rPr>
                <w:lang w:val="en-US" w:eastAsia="zh-CN"/>
              </w:rPr>
              <w:t>DCI format 3_0 scheduling PSSCH transmissions with corresponding PSFCH reception occasions</w:t>
            </w:r>
            <w:r w:rsidRPr="00B916EC">
              <w:rPr>
                <w:rFonts w:cs="Arial" w:hint="eastAsia"/>
                <w:lang w:eastAsia="zh-CN"/>
              </w:rPr>
              <w:t xml:space="preserve"> is present, denoted as</w:t>
            </w:r>
            <w:r w:rsidRPr="00B916EC">
              <w:rPr>
                <w:rFonts w:cs="Arial"/>
                <w:lang w:eastAsia="zh-CN"/>
              </w:rPr>
              <w:t xml:space="preserve"> </w:t>
            </w:r>
            <m:oMath>
              <m:r>
                <m:rPr>
                  <m:sty m:val="bi"/>
                </m:rPr>
                <w:rPr>
                  <w:rFonts w:ascii="Cambria Math" w:hAnsi="Cambria Math" w:cs="Arial"/>
                  <w:lang w:eastAsia="zh-CN"/>
                </w:rPr>
                <m:t>X</m:t>
              </m:r>
            </m:oMath>
            <w:r w:rsidRPr="00B916EC">
              <w:rPr>
                <w:rFonts w:cs="Arial" w:hint="eastAsia"/>
                <w:lang w:eastAsia="zh-CN"/>
              </w:rPr>
              <w:t xml:space="preserve"> and </w:t>
            </w:r>
            <m:oMath>
              <m:r>
                <m:rPr>
                  <m:sty m:val="bi"/>
                </m:rPr>
                <w:rPr>
                  <w:rFonts w:ascii="Cambria Math" w:hAnsi="Cambria Math" w:cs="Arial"/>
                  <w:lang w:eastAsia="zh-CN"/>
                </w:rPr>
                <m:t>X≥1</m:t>
              </m:r>
            </m:oMath>
          </w:p>
        </w:tc>
      </w:tr>
      <w:tr w:rsidR="008A1F79" w:rsidRPr="00B916EC" w14:paraId="57D3B258" w14:textId="77777777" w:rsidTr="002F78BF">
        <w:trPr>
          <w:cantSplit/>
          <w:jc w:val="center"/>
        </w:trPr>
        <w:tc>
          <w:tcPr>
            <w:tcW w:w="1349" w:type="dxa"/>
            <w:vAlign w:val="center"/>
          </w:tcPr>
          <w:p w14:paraId="6E308FDB" w14:textId="77777777" w:rsidR="008A1F79" w:rsidRPr="00B916EC" w:rsidRDefault="008A1F79" w:rsidP="002F78BF">
            <w:pPr>
              <w:pStyle w:val="TAC"/>
              <w:rPr>
                <w:lang w:val="en-US"/>
              </w:rPr>
            </w:pPr>
            <w:r w:rsidRPr="00B916EC">
              <w:rPr>
                <w:lang w:val="en-US"/>
              </w:rPr>
              <w:t>0,0</w:t>
            </w:r>
          </w:p>
        </w:tc>
        <w:tc>
          <w:tcPr>
            <w:tcW w:w="1850" w:type="dxa"/>
            <w:vAlign w:val="center"/>
          </w:tcPr>
          <w:p w14:paraId="580BB8C5" w14:textId="77777777" w:rsidR="008A1F79" w:rsidRPr="00B916EC" w:rsidRDefault="008A1F79" w:rsidP="002F78BF">
            <w:pPr>
              <w:pStyle w:val="TAC"/>
              <w:rPr>
                <w:lang w:val="en-US"/>
              </w:rPr>
            </w:pPr>
            <w:r w:rsidRPr="00B916EC">
              <w:rPr>
                <w:lang w:val="en-US"/>
              </w:rPr>
              <w:t>1</w:t>
            </w:r>
          </w:p>
        </w:tc>
        <w:tc>
          <w:tcPr>
            <w:tcW w:w="6430" w:type="dxa"/>
            <w:vAlign w:val="center"/>
          </w:tcPr>
          <w:p w14:paraId="54BC5347" w14:textId="77777777" w:rsidR="008A1F79" w:rsidRPr="00B916EC" w:rsidRDefault="00000000" w:rsidP="002F78BF">
            <w:pPr>
              <w:pStyle w:val="TAC"/>
              <w:rPr>
                <w:lang w:val="en-US"/>
              </w:rPr>
            </w:pPr>
            <m:oMathPara>
              <m:oMath>
                <m:d>
                  <m:dPr>
                    <m:ctrlPr>
                      <w:rPr>
                        <w:rFonts w:ascii="Cambria Math" w:hAnsi="Cambria Math"/>
                        <w:i/>
                        <w:sz w:val="20"/>
                        <w:lang w:val="en-US" w:eastAsia="zh-CN"/>
                      </w:rPr>
                    </m:ctrlPr>
                  </m:dPr>
                  <m:e>
                    <m:r>
                      <w:rPr>
                        <w:rFonts w:ascii="Cambria Math" w:hAnsi="Cambria Math"/>
                        <w:lang w:val="en-US" w:eastAsia="zh-CN"/>
                      </w:rPr>
                      <m:t>X-1</m:t>
                    </m:r>
                  </m:e>
                </m:d>
                <m:r>
                  <w:rPr>
                    <w:rFonts w:ascii="Cambria Math" w:hAnsi="Cambria Math"/>
                    <w:lang w:val="en-US" w:eastAsia="zh-CN"/>
                  </w:rPr>
                  <m:t>mod4+1=1</m:t>
                </m:r>
              </m:oMath>
            </m:oMathPara>
          </w:p>
        </w:tc>
      </w:tr>
      <w:tr w:rsidR="008A1F79" w:rsidRPr="00B916EC" w14:paraId="4D94D97B" w14:textId="77777777" w:rsidTr="002F78BF">
        <w:trPr>
          <w:cantSplit/>
          <w:jc w:val="center"/>
        </w:trPr>
        <w:tc>
          <w:tcPr>
            <w:tcW w:w="1349" w:type="dxa"/>
            <w:vAlign w:val="center"/>
          </w:tcPr>
          <w:p w14:paraId="6F6DB4DB" w14:textId="77777777" w:rsidR="008A1F79" w:rsidRPr="00B916EC" w:rsidRDefault="008A1F79" w:rsidP="002F78BF">
            <w:pPr>
              <w:pStyle w:val="TAC"/>
              <w:rPr>
                <w:lang w:val="en-US"/>
              </w:rPr>
            </w:pPr>
            <w:r w:rsidRPr="00B916EC">
              <w:rPr>
                <w:lang w:val="en-US"/>
              </w:rPr>
              <w:t>0,1</w:t>
            </w:r>
          </w:p>
        </w:tc>
        <w:tc>
          <w:tcPr>
            <w:tcW w:w="1850" w:type="dxa"/>
            <w:vAlign w:val="center"/>
          </w:tcPr>
          <w:p w14:paraId="5EC01C0F" w14:textId="77777777" w:rsidR="008A1F79" w:rsidRPr="00B916EC" w:rsidRDefault="008A1F79" w:rsidP="002F78BF">
            <w:pPr>
              <w:pStyle w:val="TAC"/>
              <w:rPr>
                <w:lang w:val="en-US"/>
              </w:rPr>
            </w:pPr>
            <w:r w:rsidRPr="00B916EC">
              <w:rPr>
                <w:lang w:val="en-US"/>
              </w:rPr>
              <w:t>2</w:t>
            </w:r>
          </w:p>
        </w:tc>
        <w:tc>
          <w:tcPr>
            <w:tcW w:w="6430" w:type="dxa"/>
            <w:vAlign w:val="center"/>
          </w:tcPr>
          <w:p w14:paraId="0B0157E0" w14:textId="77777777" w:rsidR="008A1F79" w:rsidRPr="00B916EC" w:rsidRDefault="00000000" w:rsidP="002F78BF">
            <w:pPr>
              <w:pStyle w:val="TAC"/>
              <w:rPr>
                <w:lang w:val="en-US"/>
              </w:rPr>
            </w:pPr>
            <m:oMathPara>
              <m:oMath>
                <m:d>
                  <m:dPr>
                    <m:ctrlPr>
                      <w:rPr>
                        <w:rFonts w:ascii="Cambria Math" w:hAnsi="Cambria Math"/>
                        <w:i/>
                        <w:sz w:val="20"/>
                        <w:lang w:val="en-US" w:eastAsia="zh-CN"/>
                      </w:rPr>
                    </m:ctrlPr>
                  </m:dPr>
                  <m:e>
                    <m:r>
                      <w:rPr>
                        <w:rFonts w:ascii="Cambria Math" w:hAnsi="Cambria Math"/>
                        <w:lang w:val="en-US" w:eastAsia="zh-CN"/>
                      </w:rPr>
                      <m:t>X-1</m:t>
                    </m:r>
                  </m:e>
                </m:d>
                <m:r>
                  <w:rPr>
                    <w:rFonts w:ascii="Cambria Math" w:hAnsi="Cambria Math"/>
                    <w:lang w:val="en-US" w:eastAsia="zh-CN"/>
                  </w:rPr>
                  <m:t>mod4+1=2</m:t>
                </m:r>
              </m:oMath>
            </m:oMathPara>
          </w:p>
        </w:tc>
      </w:tr>
      <w:tr w:rsidR="008A1F79" w:rsidRPr="00B916EC" w14:paraId="01C84350" w14:textId="77777777" w:rsidTr="002F78BF">
        <w:trPr>
          <w:cantSplit/>
          <w:jc w:val="center"/>
        </w:trPr>
        <w:tc>
          <w:tcPr>
            <w:tcW w:w="1349" w:type="dxa"/>
            <w:vAlign w:val="center"/>
          </w:tcPr>
          <w:p w14:paraId="62682ADC" w14:textId="77777777" w:rsidR="008A1F79" w:rsidRPr="00B916EC" w:rsidRDefault="008A1F79" w:rsidP="002F78BF">
            <w:pPr>
              <w:pStyle w:val="TAC"/>
              <w:rPr>
                <w:lang w:val="en-US"/>
              </w:rPr>
            </w:pPr>
            <w:r w:rsidRPr="00B916EC">
              <w:rPr>
                <w:lang w:val="en-US"/>
              </w:rPr>
              <w:t>1,0</w:t>
            </w:r>
          </w:p>
        </w:tc>
        <w:tc>
          <w:tcPr>
            <w:tcW w:w="1850" w:type="dxa"/>
            <w:vAlign w:val="center"/>
          </w:tcPr>
          <w:p w14:paraId="51411855" w14:textId="77777777" w:rsidR="008A1F79" w:rsidRPr="00B916EC" w:rsidRDefault="008A1F79" w:rsidP="002F78BF">
            <w:pPr>
              <w:pStyle w:val="TAC"/>
              <w:rPr>
                <w:lang w:val="en-US"/>
              </w:rPr>
            </w:pPr>
            <w:r w:rsidRPr="00B916EC">
              <w:rPr>
                <w:lang w:val="en-US"/>
              </w:rPr>
              <w:t>3</w:t>
            </w:r>
          </w:p>
        </w:tc>
        <w:tc>
          <w:tcPr>
            <w:tcW w:w="6430" w:type="dxa"/>
            <w:vAlign w:val="center"/>
          </w:tcPr>
          <w:p w14:paraId="494F499F" w14:textId="77777777" w:rsidR="008A1F79" w:rsidRPr="00B916EC" w:rsidRDefault="00000000" w:rsidP="002F78BF">
            <w:pPr>
              <w:pStyle w:val="TAC"/>
              <w:rPr>
                <w:lang w:val="en-US"/>
              </w:rPr>
            </w:pPr>
            <m:oMathPara>
              <m:oMath>
                <m:d>
                  <m:dPr>
                    <m:ctrlPr>
                      <w:rPr>
                        <w:rFonts w:ascii="Cambria Math" w:hAnsi="Cambria Math"/>
                        <w:i/>
                        <w:sz w:val="20"/>
                        <w:lang w:val="en-US" w:eastAsia="zh-CN"/>
                      </w:rPr>
                    </m:ctrlPr>
                  </m:dPr>
                  <m:e>
                    <m:r>
                      <w:rPr>
                        <w:rFonts w:ascii="Cambria Math" w:hAnsi="Cambria Math"/>
                        <w:lang w:val="en-US" w:eastAsia="zh-CN"/>
                      </w:rPr>
                      <m:t>X-1</m:t>
                    </m:r>
                  </m:e>
                </m:d>
                <m:r>
                  <w:rPr>
                    <w:rFonts w:ascii="Cambria Math" w:hAnsi="Cambria Math"/>
                    <w:lang w:val="en-US" w:eastAsia="zh-CN"/>
                  </w:rPr>
                  <m:t>mod4+1=3</m:t>
                </m:r>
              </m:oMath>
            </m:oMathPara>
          </w:p>
        </w:tc>
      </w:tr>
      <w:tr w:rsidR="008A1F79" w:rsidRPr="00B916EC" w14:paraId="7AF287E0" w14:textId="77777777" w:rsidTr="002F78BF">
        <w:trPr>
          <w:cantSplit/>
          <w:jc w:val="center"/>
        </w:trPr>
        <w:tc>
          <w:tcPr>
            <w:tcW w:w="1349" w:type="dxa"/>
            <w:vAlign w:val="center"/>
          </w:tcPr>
          <w:p w14:paraId="7ACB12C6" w14:textId="77777777" w:rsidR="008A1F79" w:rsidRPr="00B916EC" w:rsidRDefault="008A1F79" w:rsidP="002F78BF">
            <w:pPr>
              <w:pStyle w:val="TAC"/>
              <w:rPr>
                <w:lang w:val="en-US"/>
              </w:rPr>
            </w:pPr>
            <w:r w:rsidRPr="00B916EC">
              <w:rPr>
                <w:lang w:val="en-US"/>
              </w:rPr>
              <w:t>1,1</w:t>
            </w:r>
          </w:p>
        </w:tc>
        <w:tc>
          <w:tcPr>
            <w:tcW w:w="1850" w:type="dxa"/>
            <w:vAlign w:val="center"/>
          </w:tcPr>
          <w:p w14:paraId="5B9C3768" w14:textId="77777777" w:rsidR="008A1F79" w:rsidRPr="00B916EC" w:rsidRDefault="008A1F79" w:rsidP="002F78BF">
            <w:pPr>
              <w:pStyle w:val="TAC"/>
              <w:rPr>
                <w:lang w:val="en-US"/>
              </w:rPr>
            </w:pPr>
            <w:r w:rsidRPr="00B916EC">
              <w:rPr>
                <w:lang w:val="en-US"/>
              </w:rPr>
              <w:t>4</w:t>
            </w:r>
          </w:p>
        </w:tc>
        <w:tc>
          <w:tcPr>
            <w:tcW w:w="6430" w:type="dxa"/>
            <w:vAlign w:val="center"/>
          </w:tcPr>
          <w:p w14:paraId="13067CE8" w14:textId="77777777" w:rsidR="008A1F79" w:rsidRPr="00B916EC" w:rsidRDefault="00000000" w:rsidP="002F78BF">
            <w:pPr>
              <w:pStyle w:val="TAC"/>
              <w:rPr>
                <w:lang w:val="en-US"/>
              </w:rPr>
            </w:pPr>
            <m:oMathPara>
              <m:oMath>
                <m:d>
                  <m:dPr>
                    <m:ctrlPr>
                      <w:rPr>
                        <w:rFonts w:ascii="Cambria Math" w:hAnsi="Cambria Math"/>
                        <w:i/>
                        <w:sz w:val="20"/>
                        <w:lang w:val="en-US" w:eastAsia="zh-CN"/>
                      </w:rPr>
                    </m:ctrlPr>
                  </m:dPr>
                  <m:e>
                    <m:r>
                      <w:rPr>
                        <w:rFonts w:ascii="Cambria Math" w:hAnsi="Cambria Math"/>
                        <w:lang w:val="en-US" w:eastAsia="zh-CN"/>
                      </w:rPr>
                      <m:t>X-1</m:t>
                    </m:r>
                  </m:e>
                </m:d>
                <m:r>
                  <w:rPr>
                    <w:rFonts w:ascii="Cambria Math" w:hAnsi="Cambria Math"/>
                    <w:lang w:val="en-US" w:eastAsia="zh-CN"/>
                  </w:rPr>
                  <m:t>mod4+1=4</m:t>
                </m:r>
              </m:oMath>
            </m:oMathPara>
          </w:p>
        </w:tc>
      </w:tr>
    </w:tbl>
    <w:p w14:paraId="5EAD2E0C" w14:textId="4A717CDE" w:rsidR="00E21265" w:rsidRPr="00D2686C" w:rsidRDefault="00E21265" w:rsidP="00E21265">
      <w:pPr>
        <w:rPr>
          <w:lang w:val="en-US"/>
        </w:rPr>
      </w:pPr>
    </w:p>
    <w:p w14:paraId="2F48CD5C" w14:textId="77777777" w:rsidR="00D45245" w:rsidRDefault="00D45245" w:rsidP="00393CCA">
      <w:pPr>
        <w:pStyle w:val="Heading2"/>
        <w:rPr>
          <w:rFonts w:eastAsia="DengXian"/>
        </w:rPr>
      </w:pPr>
      <w:bookmarkStart w:id="950" w:name="_Toc36498216"/>
      <w:bookmarkStart w:id="951" w:name="_Toc45699252"/>
      <w:bookmarkStart w:id="952" w:name="_Toc161999190"/>
      <w:r>
        <w:rPr>
          <w:rFonts w:eastAsia="DengXian"/>
        </w:rPr>
        <w:t>16.6</w:t>
      </w:r>
      <w:r>
        <w:rPr>
          <w:rFonts w:eastAsia="DengXian"/>
        </w:rPr>
        <w:tab/>
        <w:t>UE procedure for LTE sidelink transmission</w:t>
      </w:r>
      <w:bookmarkEnd w:id="950"/>
      <w:bookmarkEnd w:id="951"/>
      <w:bookmarkEnd w:id="952"/>
    </w:p>
    <w:p w14:paraId="16FB1346" w14:textId="36CFB9D0" w:rsidR="00D45245" w:rsidRPr="00F43B6F" w:rsidRDefault="00D45245" w:rsidP="00D45245">
      <w:pPr>
        <w:rPr>
          <w:rFonts w:eastAsia="Malgun Gothic"/>
          <w:lang w:eastAsia="ko-KR"/>
        </w:rPr>
      </w:pPr>
      <w:r w:rsidRPr="00F07DC2">
        <w:t xml:space="preserve">If the UE detects a </w:t>
      </w:r>
      <w:r w:rsidRPr="00F07DC2">
        <w:rPr>
          <w:lang w:eastAsia="ko-KR"/>
        </w:rPr>
        <w:t xml:space="preserve">DCI format 3_1 </w:t>
      </w:r>
      <w:r w:rsidRPr="00F07DC2">
        <w:t xml:space="preserve">with CRC scrambled by </w:t>
      </w:r>
      <w:r w:rsidR="009E7C1F" w:rsidRPr="00F07DC2">
        <w:t>SL Semi-Persistent Scheduling V-RNTI</w:t>
      </w:r>
      <w:r w:rsidRPr="00F07DC2">
        <w:rPr>
          <w:lang w:eastAsia="ja-JP"/>
        </w:rPr>
        <w:t xml:space="preserve"> </w:t>
      </w:r>
      <w:r w:rsidRPr="00F07DC2">
        <w:t xml:space="preserve">in slot </w:t>
      </w:r>
      <m:oMath>
        <m:r>
          <w:rPr>
            <w:rFonts w:ascii="Cambria Math" w:hAnsi="Cambria Math"/>
          </w:rPr>
          <m:t>n</m:t>
        </m:r>
      </m:oMath>
      <w:r w:rsidRPr="00F07DC2">
        <w:rPr>
          <w:lang w:eastAsia="ko-KR"/>
        </w:rPr>
        <w:t>, the DCI</w:t>
      </w:r>
      <w:r>
        <w:rPr>
          <w:lang w:eastAsia="ko-KR"/>
        </w:rPr>
        <w:t xml:space="preserve"> format 3_1 activates or releases</w:t>
      </w:r>
      <w:r>
        <w:t xml:space="preserve"> an LTE sidelink</w:t>
      </w:r>
      <w:r w:rsidRPr="00F43B6F">
        <w:rPr>
          <w:lang w:eastAsia="ko-KR"/>
        </w:rPr>
        <w:t xml:space="preserve"> SPS configuration </w:t>
      </w:r>
      <w:r>
        <w:rPr>
          <w:lang w:eastAsia="ko-KR"/>
        </w:rPr>
        <w:t>that is indicated by a</w:t>
      </w:r>
      <w:r w:rsidRPr="00F43B6F">
        <w:rPr>
          <w:lang w:eastAsia="ko-KR"/>
        </w:rPr>
        <w:t xml:space="preserve"> SL SPS configuration index field</w:t>
      </w:r>
      <w:r>
        <w:rPr>
          <w:lang w:eastAsia="ko-KR"/>
        </w:rPr>
        <w:t xml:space="preserve"> [5, TS</w:t>
      </w:r>
      <w:r w:rsidR="009E7C1F">
        <w:rPr>
          <w:lang w:eastAsia="ko-KR"/>
        </w:rPr>
        <w:t xml:space="preserve"> </w:t>
      </w:r>
      <w:r>
        <w:rPr>
          <w:lang w:eastAsia="ko-KR"/>
        </w:rPr>
        <w:t>38.212]</w:t>
      </w:r>
      <w:r w:rsidRPr="00F43B6F">
        <w:rPr>
          <w:lang w:eastAsia="ko-KR"/>
        </w:rPr>
        <w:t xml:space="preserve">. If the DCI </w:t>
      </w:r>
      <w:r>
        <w:rPr>
          <w:lang w:eastAsia="ko-KR"/>
        </w:rPr>
        <w:t xml:space="preserve">format 3_1 </w:t>
      </w:r>
      <w:r w:rsidRPr="00F43B6F">
        <w:rPr>
          <w:lang w:eastAsia="ko-KR"/>
        </w:rPr>
        <w:t>activates an SL SPS configuration, the U</w:t>
      </w:r>
      <w:r>
        <w:rPr>
          <w:lang w:eastAsia="ko-KR"/>
        </w:rPr>
        <w:t>E procedure for transmitting a</w:t>
      </w:r>
      <w:r w:rsidRPr="00F43B6F">
        <w:rPr>
          <w:lang w:eastAsia="ko-KR"/>
        </w:rPr>
        <w:t xml:space="preserve"> PSCCH and </w:t>
      </w:r>
      <w:r>
        <w:rPr>
          <w:lang w:eastAsia="ko-KR"/>
        </w:rPr>
        <w:t xml:space="preserve">a </w:t>
      </w:r>
      <w:r w:rsidRPr="00F43B6F">
        <w:rPr>
          <w:lang w:eastAsia="ko-KR"/>
        </w:rPr>
        <w:t>PSSCH is as described in [</w:t>
      </w:r>
      <w:r>
        <w:rPr>
          <w:lang w:eastAsia="ko-KR"/>
        </w:rPr>
        <w:t>13, TS</w:t>
      </w:r>
      <w:r w:rsidR="009E7C1F">
        <w:rPr>
          <w:lang w:eastAsia="ko-KR"/>
        </w:rPr>
        <w:t xml:space="preserve"> </w:t>
      </w:r>
      <w:r w:rsidRPr="00F43B6F">
        <w:t>36.213</w:t>
      </w:r>
      <w:r>
        <w:rPr>
          <w:lang w:eastAsia="ko-KR"/>
        </w:rPr>
        <w:t>] except that a</w:t>
      </w:r>
      <w:r w:rsidRPr="00F43B6F">
        <w:rPr>
          <w:lang w:eastAsia="ko-KR"/>
        </w:rPr>
        <w:t xml:space="preserve"> transmission starts no earlier than </w:t>
      </w:r>
      <m:oMath>
        <m:sSub>
          <m:sSubPr>
            <m:ctrlPr>
              <w:rPr>
                <w:rFonts w:ascii="Cambria Math" w:hAnsi="Cambria Math"/>
                <w:i/>
                <w:lang w:eastAsia="en-GB"/>
              </w:rPr>
            </m:ctrlPr>
          </m:sSubPr>
          <m:e>
            <m:r>
              <w:rPr>
                <w:rFonts w:ascii="Cambria Math" w:hAnsi="Cambria Math"/>
              </w:rPr>
              <m:t>T</m:t>
            </m:r>
          </m:e>
          <m:sub>
            <m:r>
              <w:rPr>
                <w:rFonts w:ascii="Cambria Math" w:hAnsi="Cambria Math"/>
              </w:rPr>
              <m:t>DCI</m:t>
            </m:r>
          </m:sub>
        </m:sSub>
        <m:r>
          <w:rPr>
            <w:rFonts w:ascii="Cambria Math" w:hAnsi="Cambria Math"/>
          </w:rPr>
          <m:t>-</m:t>
        </m:r>
        <m:f>
          <m:fPr>
            <m:ctrlPr>
              <w:rPr>
                <w:rFonts w:ascii="Cambria Math" w:hAnsi="Cambria Math"/>
                <w:i/>
                <w:lang w:eastAsia="en-GB"/>
              </w:rPr>
            </m:ctrlPr>
          </m:fPr>
          <m:num>
            <m:sSub>
              <m:sSubPr>
                <m:ctrlPr>
                  <w:rPr>
                    <w:rFonts w:ascii="Cambria Math" w:hAnsi="Cambria Math"/>
                    <w:i/>
                    <w:lang w:eastAsia="en-GB"/>
                  </w:rPr>
                </m:ctrlPr>
              </m:sSubPr>
              <m:e>
                <m:r>
                  <w:rPr>
                    <w:rFonts w:ascii="Cambria Math" w:hAnsi="Cambria Math"/>
                  </w:rPr>
                  <m:t>N</m:t>
                </m:r>
              </m:e>
              <m:sub>
                <m:r>
                  <m:rPr>
                    <m:sty m:val="p"/>
                  </m:rPr>
                  <w:rPr>
                    <w:rFonts w:ascii="Cambria Math" w:hAnsi="Cambria Math"/>
                  </w:rPr>
                  <m:t>TA</m:t>
                </m:r>
              </m:sub>
            </m:sSub>
          </m:num>
          <m:den>
            <m:r>
              <w:rPr>
                <w:rFonts w:ascii="Cambria Math" w:hAnsi="Cambria Math"/>
              </w:rPr>
              <m:t>2</m:t>
            </m:r>
          </m:den>
        </m:f>
        <m:r>
          <w:rPr>
            <w:rFonts w:ascii="Cambria Math" w:hAnsi="Cambria Math"/>
          </w:rPr>
          <m:t>×</m:t>
        </m:r>
        <m:sSub>
          <m:sSubPr>
            <m:ctrlPr>
              <w:rPr>
                <w:rFonts w:ascii="Cambria Math" w:hAnsi="Cambria Math"/>
                <w:i/>
                <w:lang w:eastAsia="en-GB"/>
              </w:rPr>
            </m:ctrlPr>
          </m:sSubPr>
          <m:e>
            <m:r>
              <w:rPr>
                <w:rFonts w:ascii="Cambria Math" w:hAnsi="Cambria Math"/>
              </w:rPr>
              <m:t>T</m:t>
            </m:r>
          </m:e>
          <m:sub>
            <m:r>
              <m:rPr>
                <m:sty m:val="p"/>
              </m:rP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+X+</m:t>
        </m:r>
        <m:d>
          <m:dPr>
            <m:ctrlPr>
              <w:rPr>
                <w:rFonts w:ascii="Cambria Math" w:hAnsi="Cambria Math"/>
                <w:i/>
                <w:lang w:eastAsia="en-GB"/>
              </w:rPr>
            </m:ctrlPr>
          </m:dPr>
          <m:e>
            <m:r>
              <w:rPr>
                <w:rFonts w:ascii="Cambria Math" w:hAnsi="Cambria Math"/>
              </w:rPr>
              <m:t>4+m</m:t>
            </m:r>
          </m:e>
        </m:d>
      </m:oMath>
      <w:r w:rsidRPr="00F43B6F">
        <w:rPr>
          <w:lang w:eastAsia="en-GB"/>
        </w:rPr>
        <w:t xml:space="preserve">  ms, </w:t>
      </w:r>
      <w:r w:rsidRPr="00F43B6F">
        <w:rPr>
          <w:rFonts w:eastAsia="Malgun Gothic"/>
          <w:lang w:eastAsia="ko-KR"/>
        </w:rPr>
        <w:t xml:space="preserve">where </w:t>
      </w:r>
      <m:oMath>
        <m:sSub>
          <m:sSubPr>
            <m:ctrlPr>
              <w:rPr>
                <w:rFonts w:ascii="Cambria Math" w:eastAsia="Malgun Gothic" w:hAnsi="Cambria Math"/>
                <w:i/>
                <w:lang w:eastAsia="ko-KR"/>
              </w:rPr>
            </m:ctrlPr>
          </m:sSubPr>
          <m:e>
            <m:r>
              <w:rPr>
                <w:rFonts w:ascii="Cambria Math" w:eastAsia="Malgun Gothic" w:hAnsi="Cambria Math"/>
                <w:lang w:eastAsia="ko-KR"/>
              </w:rPr>
              <m:t>T</m:t>
            </m:r>
          </m:e>
          <m:sub>
            <m:r>
              <w:rPr>
                <w:rFonts w:ascii="Cambria Math" w:eastAsia="Malgun Gothic" w:hAnsi="Cambria Math"/>
                <w:lang w:eastAsia="ko-KR"/>
              </w:rPr>
              <m:t>DCI</m:t>
            </m:r>
          </m:sub>
        </m:sSub>
      </m:oMath>
      <w:r>
        <w:rPr>
          <w:rFonts w:eastAsia="Malgun Gothic"/>
          <w:lang w:eastAsia="ko-KR"/>
        </w:rPr>
        <w:t xml:space="preserve"> is a start time of</w:t>
      </w:r>
      <w:r w:rsidRPr="00F43B6F">
        <w:rPr>
          <w:rFonts w:eastAsia="Malgun Gothic"/>
          <w:lang w:eastAsia="ko-KR"/>
        </w:rPr>
        <w:t xml:space="preserve"> slot </w:t>
      </w:r>
      <m:oMath>
        <m:r>
          <w:rPr>
            <w:rFonts w:ascii="Cambria Math" w:hAnsi="Cambria Math"/>
          </w:rPr>
          <m:t>n</m:t>
        </m:r>
      </m:oMath>
      <w:r w:rsidRPr="00F43B6F">
        <w:rPr>
          <w:rFonts w:eastAsia="Malgun Gothic"/>
          <w:lang w:eastAsia="ko-KR"/>
        </w:rPr>
        <w:t xml:space="preserve">, </w:t>
      </w:r>
      <m:oMath>
        <m:sSub>
          <m:sSubPr>
            <m:ctrlPr>
              <w:rPr>
                <w:rFonts w:ascii="Cambria Math" w:eastAsia="Malgun Gothic" w:hAnsi="Cambria Math"/>
                <w:i/>
                <w:lang w:eastAsia="ko-KR"/>
              </w:rPr>
            </m:ctrlPr>
          </m:sSubPr>
          <m:e>
            <m:r>
              <w:rPr>
                <w:rFonts w:ascii="Cambria Math" w:eastAsia="Malgun Gothic" w:hAnsi="Cambria Math"/>
                <w:lang w:eastAsia="ko-KR"/>
              </w:rPr>
              <m:t>N</m:t>
            </m:r>
          </m:e>
          <m:sub>
            <m:r>
              <w:rPr>
                <w:rFonts w:ascii="Cambria Math" w:eastAsia="Malgun Gothic" w:hAnsi="Cambria Math"/>
                <w:lang w:eastAsia="ko-KR"/>
              </w:rPr>
              <m:t>TA</m:t>
            </m:r>
          </m:sub>
        </m:sSub>
      </m:oMath>
      <w:r w:rsidRPr="00F43B6F">
        <w:rPr>
          <w:rFonts w:eastAsia="Malgun Gothic"/>
          <w:lang w:eastAsia="ko-KR"/>
        </w:rPr>
        <w:t xml:space="preserve"> and </w:t>
      </w:r>
      <m:oMath>
        <m:sSub>
          <m:sSubPr>
            <m:ctrlPr>
              <w:rPr>
                <w:rFonts w:ascii="Cambria Math" w:eastAsia="Malgun Gothic" w:hAnsi="Cambria Math"/>
                <w:i/>
                <w:lang w:eastAsia="ko-KR"/>
              </w:rPr>
            </m:ctrlPr>
          </m:sSubPr>
          <m:e>
            <m:r>
              <w:rPr>
                <w:rFonts w:ascii="Cambria Math" w:eastAsia="Malgun Gothic" w:hAnsi="Cambria Math"/>
                <w:lang w:eastAsia="ko-KR"/>
              </w:rPr>
              <m:t>T</m:t>
            </m:r>
          </m:e>
          <m:sub>
            <m:r>
              <w:rPr>
                <w:rFonts w:ascii="Cambria Math" w:eastAsia="Malgun Gothic" w:hAnsi="Cambria Math"/>
                <w:lang w:eastAsia="ko-KR"/>
              </w:rPr>
              <m:t>C</m:t>
            </m:r>
          </m:sub>
        </m:sSub>
      </m:oMath>
      <w:r w:rsidRPr="00F43B6F">
        <w:rPr>
          <w:rFonts w:eastAsia="Malgun Gothic"/>
          <w:lang w:eastAsia="ko-KR"/>
        </w:rPr>
        <w:t xml:space="preserve"> are defined in [</w:t>
      </w:r>
      <w:r>
        <w:rPr>
          <w:rFonts w:eastAsia="Malgun Gothic"/>
          <w:lang w:eastAsia="ko-KR"/>
        </w:rPr>
        <w:t xml:space="preserve">4, </w:t>
      </w:r>
      <w:r w:rsidRPr="00F43B6F">
        <w:rPr>
          <w:rFonts w:eastAsia="Malgun Gothic"/>
          <w:lang w:eastAsia="ko-KR"/>
        </w:rPr>
        <w:t xml:space="preserve">TS 38.211], </w:t>
      </w:r>
      <m:oMath>
        <m:r>
          <w:rPr>
            <w:rFonts w:ascii="Cambria Math" w:eastAsia="Malgun Gothic" w:hAnsi="Cambria Math"/>
            <w:lang w:eastAsia="ko-KR"/>
          </w:rPr>
          <m:t>X</m:t>
        </m:r>
      </m:oMath>
      <w:r w:rsidRPr="00F43B6F">
        <w:rPr>
          <w:rFonts w:eastAsia="Malgun Gothic"/>
          <w:i/>
          <w:iCs/>
          <w:lang w:eastAsia="ko-KR"/>
        </w:rPr>
        <w:t xml:space="preserve"> </w:t>
      </w:r>
      <w:r>
        <w:rPr>
          <w:rFonts w:eastAsia="Malgun Gothic"/>
          <w:lang w:eastAsia="ko-KR"/>
        </w:rPr>
        <w:t>is a</w:t>
      </w:r>
      <w:r w:rsidRPr="00F43B6F">
        <w:rPr>
          <w:rFonts w:eastAsia="Malgun Gothic"/>
          <w:lang w:eastAsia="ko-KR"/>
        </w:rPr>
        <w:t xml:space="preserve"> value indicated by </w:t>
      </w:r>
      <w:r>
        <w:rPr>
          <w:rFonts w:eastAsia="Malgun Gothic"/>
          <w:lang w:eastAsia="ko-KR"/>
        </w:rPr>
        <w:t xml:space="preserve">a </w:t>
      </w:r>
      <w:r w:rsidRPr="00F43B6F">
        <w:rPr>
          <w:rFonts w:eastAsia="Malgun Gothic"/>
          <w:lang w:eastAsia="ko-KR"/>
        </w:rPr>
        <w:t>Timing offset field in DCI format 3_1,</w:t>
      </w:r>
      <w:r>
        <w:rPr>
          <w:rFonts w:eastAsia="Malgun Gothic"/>
          <w:lang w:eastAsia="ko-KR"/>
        </w:rPr>
        <w:t xml:space="preserve"> and</w:t>
      </w:r>
      <w:r w:rsidRPr="00F43B6F">
        <w:rPr>
          <w:rFonts w:eastAsia="Malgun Gothic"/>
          <w:lang w:eastAsia="ko-KR"/>
        </w:rPr>
        <w:t xml:space="preserve"> </w:t>
      </w:r>
      <m:oMath>
        <m:r>
          <w:rPr>
            <w:rFonts w:ascii="Cambria Math" w:hAnsi="Cambria Math"/>
          </w:rPr>
          <m:t>m</m:t>
        </m:r>
      </m:oMath>
      <w:r>
        <w:rPr>
          <w:rFonts w:eastAsia="Malgun Gothic"/>
          <w:lang w:eastAsia="ko-KR"/>
        </w:rPr>
        <w:t xml:space="preserve"> is a value indicated</w:t>
      </w:r>
      <w:r w:rsidRPr="00F43B6F">
        <w:rPr>
          <w:rFonts w:eastAsia="Malgun Gothic"/>
          <w:lang w:eastAsia="ko-KR"/>
        </w:rPr>
        <w:t xml:space="preserve"> by SL index </w:t>
      </w:r>
      <w:r>
        <w:rPr>
          <w:rFonts w:eastAsia="Malgun Gothic"/>
          <w:lang w:eastAsia="ko-KR"/>
        </w:rPr>
        <w:t xml:space="preserve">field </w:t>
      </w:r>
      <w:r w:rsidRPr="00F43B6F">
        <w:rPr>
          <w:rFonts w:eastAsia="Malgun Gothic"/>
          <w:lang w:eastAsia="ko-KR"/>
        </w:rPr>
        <w:t xml:space="preserve">in DCI format 3_1 if </w:t>
      </w:r>
      <w:r>
        <w:rPr>
          <w:rFonts w:eastAsia="Malgun Gothic"/>
          <w:lang w:eastAsia="ko-KR"/>
        </w:rPr>
        <w:t xml:space="preserve">the </w:t>
      </w:r>
      <w:r w:rsidRPr="00F43B6F">
        <w:rPr>
          <w:rFonts w:eastAsia="Malgun Gothic"/>
          <w:lang w:eastAsia="ko-KR"/>
        </w:rPr>
        <w:t xml:space="preserve">SL index </w:t>
      </w:r>
      <w:r>
        <w:rPr>
          <w:rFonts w:eastAsia="Malgun Gothic"/>
          <w:lang w:eastAsia="ko-KR"/>
        </w:rPr>
        <w:t>field is present;</w:t>
      </w:r>
      <w:r w:rsidRPr="00F43B6F">
        <w:rPr>
          <w:rFonts w:eastAsia="Malgun Gothic"/>
          <w:lang w:eastAsia="ko-KR"/>
        </w:rPr>
        <w:t xml:space="preserve"> otherwise</w:t>
      </w:r>
      <w:r>
        <w:rPr>
          <w:rFonts w:eastAsia="Malgun Gothic"/>
          <w:lang w:eastAsia="ko-KR"/>
        </w:rPr>
        <w:t>,</w:t>
      </w:r>
      <w:r w:rsidRPr="00F43B6F">
        <w:rPr>
          <w:rFonts w:eastAsia="Malgun Gothic"/>
          <w:lang w:eastAsia="ko-KR"/>
        </w:rPr>
        <w:t xml:space="preserve"> </w:t>
      </w:r>
      <m:oMath>
        <m:r>
          <w:rPr>
            <w:rFonts w:ascii="Cambria Math" w:eastAsia="Malgun Gothic" w:hAnsi="Cambria Math"/>
            <w:lang w:eastAsia="ko-KR"/>
          </w:rPr>
          <m:t>m=0</m:t>
        </m:r>
      </m:oMath>
      <w:r w:rsidRPr="00F43B6F">
        <w:rPr>
          <w:rFonts w:eastAsia="Malgun Gothic"/>
          <w:lang w:eastAsia="ko-KR"/>
        </w:rPr>
        <w:t>.</w:t>
      </w:r>
    </w:p>
    <w:p w14:paraId="758BF3E6" w14:textId="0E6FE8CD" w:rsidR="0068506D" w:rsidRPr="005E3944" w:rsidRDefault="0068506D" w:rsidP="0068506D">
      <w:pPr>
        <w:pStyle w:val="Heading2"/>
        <w:rPr>
          <w:rFonts w:eastAsia="DengXian"/>
        </w:rPr>
      </w:pPr>
      <w:bookmarkStart w:id="953" w:name="_Toc45699253"/>
      <w:bookmarkStart w:id="954" w:name="_Toc161999191"/>
      <w:r w:rsidRPr="005E3944">
        <w:rPr>
          <w:rFonts w:eastAsia="DengXian"/>
        </w:rPr>
        <w:t>16.7</w:t>
      </w:r>
      <w:r w:rsidRPr="005E3944">
        <w:rPr>
          <w:rFonts w:eastAsia="DengXian"/>
        </w:rPr>
        <w:tab/>
      </w:r>
      <w:r w:rsidRPr="005E3944">
        <w:t>Operation for in-device coexistence</w:t>
      </w:r>
      <w:bookmarkEnd w:id="953"/>
      <w:r w:rsidR="007E35C6">
        <w:t xml:space="preserve"> </w:t>
      </w:r>
      <w:r w:rsidR="007E35C6">
        <w:rPr>
          <w:rFonts w:eastAsia="Gulim"/>
        </w:rPr>
        <w:t>and for co-channel coexistence</w:t>
      </w:r>
      <w:bookmarkEnd w:id="954"/>
    </w:p>
    <w:p w14:paraId="1518C14F" w14:textId="77777777" w:rsidR="0068506D" w:rsidRPr="005E3944" w:rsidRDefault="0068506D" w:rsidP="0068506D">
      <w:r w:rsidRPr="005E3944">
        <w:t xml:space="preserve">If a UE would transmit or receive a first channel/signal using E-UTRA radio access and a second channel/signal using NR radio access, when </w:t>
      </w:r>
    </w:p>
    <w:p w14:paraId="71BCA5D3" w14:textId="41B0627B" w:rsidR="0068506D" w:rsidRPr="005E3944" w:rsidRDefault="0068506D" w:rsidP="006C1D66">
      <w:pPr>
        <w:pStyle w:val="B1"/>
      </w:pPr>
      <w:r>
        <w:t>-</w:t>
      </w:r>
      <w:r>
        <w:tab/>
      </w:r>
      <w:r w:rsidRPr="005E3944">
        <w:t>the first channel/signal and the second channel/signal are time-division multiplexed, and</w:t>
      </w:r>
    </w:p>
    <w:p w14:paraId="6D327D58" w14:textId="027E11F2" w:rsidR="0068506D" w:rsidRPr="005E3944" w:rsidRDefault="0068506D" w:rsidP="006C1D66">
      <w:pPr>
        <w:pStyle w:val="B1"/>
      </w:pPr>
      <w:r>
        <w:t>-</w:t>
      </w:r>
      <w:r>
        <w:tab/>
      </w:r>
      <w:r w:rsidRPr="005E3944">
        <w:t xml:space="preserve">the </w:t>
      </w:r>
      <w:r w:rsidRPr="005E3944">
        <w:rPr>
          <w:lang w:val="en-US"/>
        </w:rPr>
        <w:t xml:space="preserve">UE knows the </w:t>
      </w:r>
      <w:r w:rsidRPr="005E3944">
        <w:t>frame indexes of the first channel/signal and the frame indexes of the second channel/signal,</w:t>
      </w:r>
    </w:p>
    <w:p w14:paraId="008A536D" w14:textId="0F619F02" w:rsidR="00E9420D" w:rsidRDefault="0068506D" w:rsidP="0068506D">
      <w:r w:rsidRPr="005E3944">
        <w:t>the UE transmits or receives each channel/signal so that the subframe boundary of the second channel/signal is aligned with the subframe boundary of the first channel/signal where the subframe boundary alignment is achieved by UE implementation means.</w:t>
      </w:r>
    </w:p>
    <w:p w14:paraId="4ACB9E99" w14:textId="77777777" w:rsidR="00005700" w:rsidRDefault="00005700" w:rsidP="00005700">
      <w:pPr>
        <w:pStyle w:val="Heading1"/>
      </w:pPr>
      <w:bookmarkStart w:id="955" w:name="_Toc83289689"/>
      <w:bookmarkStart w:id="956" w:name="_Toc161999192"/>
      <w:r w:rsidRPr="00D26445">
        <w:t>1</w:t>
      </w:r>
      <w:r>
        <w:t>7</w:t>
      </w:r>
      <w:r w:rsidRPr="00D26445">
        <w:tab/>
      </w:r>
      <w:bookmarkEnd w:id="955"/>
      <w:r>
        <w:t>UE with reduced capabilities</w:t>
      </w:r>
      <w:bookmarkEnd w:id="956"/>
    </w:p>
    <w:p w14:paraId="00902B2D" w14:textId="0BD339C3" w:rsidR="00005700" w:rsidRPr="0076755D" w:rsidRDefault="00005700" w:rsidP="00005700">
      <w:pPr>
        <w:rPr>
          <w:rFonts w:eastAsia="Microsoft YaHei UI"/>
          <w:color w:val="000000"/>
          <w:lang w:eastAsia="zh-CN"/>
        </w:rPr>
      </w:pPr>
      <w:r w:rsidRPr="0076755D">
        <w:rPr>
          <w:rFonts w:eastAsia="Microsoft YaHei UI"/>
          <w:color w:val="000000"/>
          <w:lang w:eastAsia="zh-CN"/>
        </w:rPr>
        <w:t>A UE with reduced capabilities</w:t>
      </w:r>
      <w:r>
        <w:rPr>
          <w:rFonts w:eastAsia="Microsoft YaHei UI"/>
          <w:color w:val="000000"/>
          <w:lang w:eastAsia="zh-CN"/>
        </w:rPr>
        <w:t xml:space="preserve"> (RedCap UE)</w:t>
      </w:r>
      <w:r w:rsidRPr="0076755D">
        <w:rPr>
          <w:rFonts w:eastAsia="Microsoft YaHei UI"/>
          <w:color w:val="000000"/>
          <w:lang w:eastAsia="zh-CN"/>
        </w:rPr>
        <w:t xml:space="preserve"> supports all </w:t>
      </w:r>
      <w:r w:rsidRPr="0076755D">
        <w:t>Layer-1 UE features that are mandatory without capability signalling</w:t>
      </w:r>
      <w:r w:rsidR="00DC6E29" w:rsidRPr="00F5449A">
        <w:t>, unless stated otherwise</w:t>
      </w:r>
      <w:r w:rsidRPr="0076755D">
        <w:t xml:space="preserve">. </w:t>
      </w:r>
      <w:r w:rsidR="006527F8" w:rsidRPr="00706149">
        <w:rPr>
          <w:lang w:eastAsia="zh-CN"/>
        </w:rPr>
        <w:t>Procedures for a RedCap UE are same as described for a UE in all other clauses of this document unless stated otherwise.</w:t>
      </w:r>
    </w:p>
    <w:p w14:paraId="35D51DC9" w14:textId="46538C87" w:rsidR="00005700" w:rsidRPr="00D26445" w:rsidRDefault="00005700" w:rsidP="00005700">
      <w:pPr>
        <w:pStyle w:val="Heading2"/>
      </w:pPr>
      <w:bookmarkStart w:id="957" w:name="_Toc161999193"/>
      <w:r w:rsidRPr="00D26445">
        <w:t>1</w:t>
      </w:r>
      <w:r>
        <w:t>7.1</w:t>
      </w:r>
      <w:r w:rsidRPr="00D26445">
        <w:tab/>
      </w:r>
      <w:r w:rsidR="006527F8" w:rsidRPr="00706149">
        <w:t xml:space="preserve">First </w:t>
      </w:r>
      <w:r w:rsidR="006527F8">
        <w:t xml:space="preserve">procedures for </w:t>
      </w:r>
      <w:r>
        <w:t>RedCap UE</w:t>
      </w:r>
      <w:bookmarkEnd w:id="957"/>
    </w:p>
    <w:p w14:paraId="4BE489F4" w14:textId="49E77CBC" w:rsidR="00005700" w:rsidRDefault="00005700" w:rsidP="00005700">
      <w:pPr>
        <w:rPr>
          <w:lang w:eastAsia="zh-CN"/>
        </w:rPr>
      </w:pPr>
      <w:r>
        <w:rPr>
          <w:lang w:eastAsia="zh-CN"/>
        </w:rPr>
        <w:t xml:space="preserve">In this clause, the term </w:t>
      </w:r>
      <w:r w:rsidR="005E3B15">
        <w:rPr>
          <w:lang w:eastAsia="zh-CN"/>
        </w:rPr>
        <w:t>'</w:t>
      </w:r>
      <w:r>
        <w:rPr>
          <w:lang w:eastAsia="zh-CN"/>
        </w:rPr>
        <w:t>UE</w:t>
      </w:r>
      <w:r w:rsidR="005E3B15">
        <w:rPr>
          <w:lang w:eastAsia="zh-CN"/>
        </w:rPr>
        <w:t>'</w:t>
      </w:r>
      <w:r>
        <w:rPr>
          <w:lang w:eastAsia="zh-CN"/>
        </w:rPr>
        <w:t xml:space="preserve"> refers to a RedCap UE</w:t>
      </w:r>
      <w:r w:rsidR="006527F8">
        <w:rPr>
          <w:lang w:eastAsia="zh-CN"/>
        </w:rPr>
        <w:t xml:space="preserve"> </w:t>
      </w:r>
      <w:r w:rsidR="006527F8" w:rsidRPr="00E87F6B">
        <w:rPr>
          <w:lang w:eastAsia="zh-CN"/>
        </w:rPr>
        <w:t xml:space="preserve">that indicates </w:t>
      </w:r>
      <w:r w:rsidR="006527F8" w:rsidRPr="00E87F6B">
        <w:rPr>
          <w:i/>
          <w:iCs/>
        </w:rPr>
        <w:t>supportOfRedCap</w:t>
      </w:r>
      <w:r w:rsidR="006527F8" w:rsidRPr="00E87F6B">
        <w:t xml:space="preserve"> or</w:t>
      </w:r>
      <w:r w:rsidR="006527F8" w:rsidRPr="00E87F6B">
        <w:rPr>
          <w:rFonts w:eastAsia="Yu Mincho"/>
          <w:kern w:val="2"/>
          <w:lang w:eastAsia="ja-JP"/>
        </w:rPr>
        <w:t xml:space="preserve"> </w:t>
      </w:r>
      <w:r w:rsidR="006527F8" w:rsidRPr="00E87F6B">
        <w:rPr>
          <w:rFonts w:eastAsia="Yu Mincho"/>
          <w:i/>
          <w:iCs/>
          <w:kern w:val="2"/>
          <w:lang w:eastAsia="ja-JP"/>
        </w:rPr>
        <w:t>supportOf</w:t>
      </w:r>
      <w:r w:rsidR="00695509">
        <w:rPr>
          <w:rFonts w:eastAsia="Yu Mincho"/>
          <w:i/>
          <w:iCs/>
          <w:kern w:val="2"/>
          <w:lang w:eastAsia="ja-JP"/>
        </w:rPr>
        <w:t>E</w:t>
      </w:r>
      <w:r w:rsidR="006527F8" w:rsidRPr="00E87F6B">
        <w:rPr>
          <w:rFonts w:eastAsia="Yu Mincho"/>
          <w:i/>
          <w:iCs/>
          <w:kern w:val="2"/>
          <w:lang w:eastAsia="ja-JP"/>
        </w:rPr>
        <w:t>RedCap</w:t>
      </w:r>
      <w:r>
        <w:rPr>
          <w:lang w:eastAsia="zh-CN"/>
        </w:rPr>
        <w:t>.</w:t>
      </w:r>
    </w:p>
    <w:p w14:paraId="36A6C2B6" w14:textId="076A7C85" w:rsidR="00DC6E29" w:rsidRDefault="00005700" w:rsidP="00DC6E29">
      <w:pPr>
        <w:rPr>
          <w:lang w:eastAsia="zh-CN"/>
        </w:rPr>
      </w:pPr>
      <w:r>
        <w:rPr>
          <w:lang w:eastAsia="zh-CN"/>
        </w:rPr>
        <w:t xml:space="preserve">A UE expects the initial DL BWP and the active DL BWP after the UE </w:t>
      </w:r>
      <w:r>
        <w:t>(re)</w:t>
      </w:r>
      <w:r w:rsidRPr="00CA3FA2">
        <w:rPr>
          <w:lang w:val="en-US"/>
        </w:rPr>
        <w:t>establishe</w:t>
      </w:r>
      <w:r>
        <w:rPr>
          <w:lang w:val="en-US"/>
        </w:rPr>
        <w:t>s</w:t>
      </w:r>
      <w:r w:rsidRPr="00CA3FA2">
        <w:rPr>
          <w:lang w:val="en-US"/>
        </w:rPr>
        <w:t xml:space="preserve"> </w:t>
      </w:r>
      <w:r>
        <w:rPr>
          <w:lang w:val="en-US"/>
        </w:rPr>
        <w:t xml:space="preserve">dedicated </w:t>
      </w:r>
      <w:r w:rsidRPr="00CA3FA2">
        <w:rPr>
          <w:lang w:val="en-US"/>
        </w:rPr>
        <w:t>RRC connection</w:t>
      </w:r>
      <w:r>
        <w:rPr>
          <w:lang w:eastAsia="zh-CN"/>
        </w:rPr>
        <w:t xml:space="preserve"> to be smaller than or equal to the maximum DL bandwidth that the UE supports. </w:t>
      </w:r>
      <w:r>
        <w:rPr>
          <w:rFonts w:eastAsia="MS Mincho"/>
        </w:rPr>
        <w:t>A</w:t>
      </w:r>
      <w:r w:rsidRPr="003A2268">
        <w:rPr>
          <w:rFonts w:eastAsia="MS Mincho"/>
        </w:rPr>
        <w:t xml:space="preserve"> UE </w:t>
      </w:r>
      <w:r>
        <w:rPr>
          <w:rFonts w:eastAsia="MS Mincho"/>
        </w:rPr>
        <w:t xml:space="preserve">can be provided a DL BWP by </w:t>
      </w:r>
      <w:r w:rsidRPr="00D45471">
        <w:rPr>
          <w:rFonts w:eastAsia="MS Mincho"/>
          <w:i/>
        </w:rPr>
        <w:t>initial</w:t>
      </w:r>
      <w:r>
        <w:rPr>
          <w:rFonts w:eastAsia="MS Mincho"/>
          <w:i/>
        </w:rPr>
        <w:t>Down</w:t>
      </w:r>
      <w:r w:rsidRPr="00D45471">
        <w:rPr>
          <w:rFonts w:eastAsia="MS Mincho"/>
          <w:i/>
        </w:rPr>
        <w:t>linkBWP</w:t>
      </w:r>
      <w:r w:rsidR="005622D2">
        <w:rPr>
          <w:rFonts w:eastAsia="MS Mincho"/>
          <w:i/>
        </w:rPr>
        <w:t>-RedCap</w:t>
      </w:r>
      <w:r w:rsidRPr="00D45471">
        <w:rPr>
          <w:rFonts w:eastAsia="MS Mincho"/>
        </w:rPr>
        <w:t xml:space="preserve"> in </w:t>
      </w:r>
      <w:r>
        <w:rPr>
          <w:rFonts w:eastAsia="MS Mincho"/>
          <w:i/>
          <w:iCs/>
        </w:rPr>
        <w:t>Down</w:t>
      </w:r>
      <w:r w:rsidRPr="00D45471">
        <w:rPr>
          <w:rFonts w:eastAsia="MS Mincho"/>
          <w:i/>
          <w:iCs/>
        </w:rPr>
        <w:t>linkConfigCommonSIB</w:t>
      </w:r>
      <w:r>
        <w:rPr>
          <w:rFonts w:eastAsia="MS Mincho"/>
        </w:rPr>
        <w:t xml:space="preserve">, and an UL BWP by </w:t>
      </w:r>
      <w:r w:rsidRPr="00D45471">
        <w:rPr>
          <w:rFonts w:eastAsia="MS Mincho"/>
          <w:i/>
        </w:rPr>
        <w:t>initial</w:t>
      </w:r>
      <w:r>
        <w:rPr>
          <w:rFonts w:eastAsia="MS Mincho"/>
          <w:i/>
        </w:rPr>
        <w:t>Up</w:t>
      </w:r>
      <w:r w:rsidRPr="00D45471">
        <w:rPr>
          <w:rFonts w:eastAsia="MS Mincho"/>
          <w:i/>
        </w:rPr>
        <w:t>linkBWP</w:t>
      </w:r>
      <w:r w:rsidR="005622D2">
        <w:rPr>
          <w:rFonts w:eastAsia="MS Mincho"/>
          <w:i/>
        </w:rPr>
        <w:t>-RedCap</w:t>
      </w:r>
      <w:r w:rsidRPr="00D45471">
        <w:rPr>
          <w:rFonts w:eastAsia="MS Mincho"/>
        </w:rPr>
        <w:t xml:space="preserve"> in </w:t>
      </w:r>
      <w:bookmarkStart w:id="958" w:name="_Hlk86909075"/>
      <w:r>
        <w:rPr>
          <w:rFonts w:eastAsia="MS Mincho"/>
          <w:i/>
          <w:iCs/>
        </w:rPr>
        <w:t>Up</w:t>
      </w:r>
      <w:r w:rsidRPr="00D45471">
        <w:rPr>
          <w:rFonts w:eastAsia="MS Mincho"/>
          <w:i/>
          <w:iCs/>
        </w:rPr>
        <w:t>link</w:t>
      </w:r>
      <w:bookmarkEnd w:id="958"/>
      <w:r w:rsidRPr="00D45471">
        <w:rPr>
          <w:rFonts w:eastAsia="MS Mincho"/>
          <w:i/>
          <w:iCs/>
        </w:rPr>
        <w:t>ConfigCommonSIB</w:t>
      </w:r>
      <w:r>
        <w:rPr>
          <w:lang w:eastAsia="zh-CN"/>
        </w:rPr>
        <w:t xml:space="preserve">. If </w:t>
      </w:r>
      <w:r w:rsidRPr="00D45471">
        <w:rPr>
          <w:rFonts w:eastAsia="MS Mincho"/>
          <w:i/>
        </w:rPr>
        <w:t>initial</w:t>
      </w:r>
      <w:r>
        <w:rPr>
          <w:rFonts w:eastAsia="MS Mincho"/>
          <w:i/>
        </w:rPr>
        <w:t>Up</w:t>
      </w:r>
      <w:r w:rsidRPr="00D45471">
        <w:rPr>
          <w:rFonts w:eastAsia="MS Mincho"/>
          <w:i/>
        </w:rPr>
        <w:t>linkBWP</w:t>
      </w:r>
      <w:r w:rsidRPr="00D45471">
        <w:rPr>
          <w:rFonts w:eastAsia="MS Mincho"/>
        </w:rPr>
        <w:t xml:space="preserve"> in </w:t>
      </w:r>
      <w:r>
        <w:rPr>
          <w:rFonts w:eastAsia="MS Mincho"/>
          <w:i/>
          <w:iCs/>
        </w:rPr>
        <w:t>Up</w:t>
      </w:r>
      <w:r w:rsidRPr="00D45471">
        <w:rPr>
          <w:rFonts w:eastAsia="MS Mincho"/>
          <w:i/>
          <w:iCs/>
        </w:rPr>
        <w:t>linkConfigCommonSIB</w:t>
      </w:r>
      <w:r>
        <w:rPr>
          <w:rFonts w:eastAsia="MS Mincho"/>
        </w:rPr>
        <w:t xml:space="preserve"> indicates an UL BWP that is larger than a maximum UL BWP that a UE supports, the UE expects to be provided an UL BWP by </w:t>
      </w:r>
      <w:r w:rsidRPr="00D45471">
        <w:rPr>
          <w:rFonts w:eastAsia="MS Mincho"/>
          <w:i/>
        </w:rPr>
        <w:t>initial</w:t>
      </w:r>
      <w:r>
        <w:rPr>
          <w:rFonts w:eastAsia="MS Mincho"/>
          <w:i/>
        </w:rPr>
        <w:t>Up</w:t>
      </w:r>
      <w:r w:rsidRPr="00D45471">
        <w:rPr>
          <w:rFonts w:eastAsia="MS Mincho"/>
          <w:i/>
        </w:rPr>
        <w:t>linkBWP</w:t>
      </w:r>
      <w:r w:rsidR="005622D2">
        <w:rPr>
          <w:rFonts w:eastAsia="MS Mincho"/>
          <w:i/>
        </w:rPr>
        <w:t>-RedCap</w:t>
      </w:r>
      <w:r w:rsidRPr="00D45471">
        <w:rPr>
          <w:rFonts w:eastAsia="MS Mincho"/>
        </w:rPr>
        <w:t xml:space="preserve"> in </w:t>
      </w:r>
      <w:r>
        <w:rPr>
          <w:rFonts w:eastAsia="MS Mincho"/>
          <w:i/>
          <w:iCs/>
        </w:rPr>
        <w:t>Up</w:t>
      </w:r>
      <w:r w:rsidRPr="00D45471">
        <w:rPr>
          <w:rFonts w:eastAsia="MS Mincho"/>
          <w:i/>
          <w:iCs/>
        </w:rPr>
        <w:t>linkConfigCommonSIB</w:t>
      </w:r>
      <w:r w:rsidR="007B27F0">
        <w:rPr>
          <w:rFonts w:eastAsia="MS Mincho"/>
          <w:i/>
          <w:iCs/>
        </w:rPr>
        <w:t xml:space="preserve"> </w:t>
      </w:r>
      <w:r w:rsidR="007B27F0" w:rsidRPr="006C2AD5">
        <w:rPr>
          <w:rFonts w:eastAsia="MS Mincho"/>
        </w:rPr>
        <w:t>that is smaller than or equal to the maximum UL bandwidth that the UE supports</w:t>
      </w:r>
      <w:r>
        <w:rPr>
          <w:lang w:eastAsia="zh-CN"/>
        </w:rPr>
        <w:t>.</w:t>
      </w:r>
    </w:p>
    <w:p w14:paraId="198D2418" w14:textId="2CC23FC5" w:rsidR="00005700" w:rsidRDefault="00DC6E29" w:rsidP="00DC6E29">
      <w:pPr>
        <w:rPr>
          <w:lang w:eastAsia="zh-CN"/>
        </w:rPr>
      </w:pPr>
      <w:r w:rsidRPr="00F5449A">
        <w:rPr>
          <w:rFonts w:ascii="Times" w:eastAsia="DengXian" w:hAnsi="Times"/>
          <w:szCs w:val="24"/>
          <w:lang w:val="en-US" w:eastAsia="zh-CN"/>
        </w:rPr>
        <w:lastRenderedPageBreak/>
        <w:t>For unpaired spectrum operation, a RedCap UE does not expect to receive a configuration where the center frequency for an initial DL BWP in which the UE is configured to monitor Type1-PDCCH CSS set</w:t>
      </w:r>
      <w:r w:rsidR="00941120" w:rsidRPr="00C83439">
        <w:rPr>
          <w:rFonts w:ascii="Times" w:eastAsia="DengXian" w:hAnsi="Times"/>
          <w:szCs w:val="24"/>
          <w:lang w:val="en-US" w:eastAsia="zh-CN"/>
        </w:rPr>
        <w:t xml:space="preserve">, or a CSS set provided by </w:t>
      </w:r>
      <w:r w:rsidR="00941120" w:rsidRPr="00C83439">
        <w:rPr>
          <w:i/>
          <w:iCs/>
          <w:lang w:val="en-US" w:eastAsia="x-none"/>
        </w:rPr>
        <w:t>sdt-SearchSpace</w:t>
      </w:r>
      <w:r w:rsidR="00941120" w:rsidRPr="00C83439">
        <w:rPr>
          <w:lang w:val="en-US" w:eastAsia="x-none"/>
        </w:rPr>
        <w:t xml:space="preserve"> for random-access based PUSCH transmission as described in clause 19.2,</w:t>
      </w:r>
      <w:r w:rsidRPr="00F5449A">
        <w:rPr>
          <w:rFonts w:ascii="Times" w:eastAsia="DengXian" w:hAnsi="Times"/>
          <w:szCs w:val="24"/>
          <w:lang w:val="en-US" w:eastAsia="zh-CN"/>
        </w:rPr>
        <w:t xml:space="preserve"> is different than the center frequency for an initial UL BWP in which the RedCap UE may transmit Msg1/Msg3 or MsgA.</w:t>
      </w:r>
    </w:p>
    <w:p w14:paraId="56AE6703" w14:textId="77777777" w:rsidR="00005700" w:rsidRDefault="00005700" w:rsidP="00005700">
      <w:pPr>
        <w:rPr>
          <w:rFonts w:eastAsia="MS Mincho"/>
        </w:rPr>
      </w:pPr>
      <w:r>
        <w:rPr>
          <w:lang w:eastAsia="zh-CN"/>
        </w:rPr>
        <w:t xml:space="preserve">A UE </w:t>
      </w:r>
      <w:r>
        <w:rPr>
          <w:rFonts w:eastAsia="MS Mincho"/>
        </w:rPr>
        <w:t xml:space="preserve">can be provided by </w:t>
      </w:r>
      <w:r w:rsidRPr="00443502">
        <w:rPr>
          <w:i/>
          <w:iCs/>
        </w:rPr>
        <w:t>BWP-Downlink</w:t>
      </w:r>
      <w:r>
        <w:rPr>
          <w:i/>
          <w:iCs/>
        </w:rPr>
        <w:t>Dedicated</w:t>
      </w:r>
      <w:r>
        <w:rPr>
          <w:rFonts w:eastAsia="MS Mincho"/>
        </w:rPr>
        <w:t xml:space="preserve"> a DL BWP, other than the initial DL BWP. </w:t>
      </w:r>
      <w:r>
        <w:rPr>
          <w:lang w:eastAsia="zh-CN"/>
        </w:rPr>
        <w:t xml:space="preserve">A UE </w:t>
      </w:r>
      <w:r>
        <w:rPr>
          <w:rFonts w:eastAsia="MS Mincho"/>
        </w:rPr>
        <w:t xml:space="preserve">can be provided by </w:t>
      </w:r>
      <w:r w:rsidRPr="00443502">
        <w:rPr>
          <w:i/>
          <w:iCs/>
        </w:rPr>
        <w:t>BWP-</w:t>
      </w:r>
      <w:r>
        <w:rPr>
          <w:i/>
          <w:iCs/>
        </w:rPr>
        <w:t>Up</w:t>
      </w:r>
      <w:r w:rsidRPr="00443502">
        <w:rPr>
          <w:i/>
          <w:iCs/>
        </w:rPr>
        <w:t>link</w:t>
      </w:r>
      <w:r>
        <w:rPr>
          <w:i/>
          <w:iCs/>
        </w:rPr>
        <w:t>Dedicated</w:t>
      </w:r>
      <w:r>
        <w:rPr>
          <w:rFonts w:eastAsia="MS Mincho"/>
        </w:rPr>
        <w:t xml:space="preserve"> an UL BWP, other than the initial UL BWP, that is </w:t>
      </w:r>
      <w:r>
        <w:rPr>
          <w:lang w:eastAsia="zh-CN"/>
        </w:rPr>
        <w:t>smaller than or equal to the maximum UL bandwidth that the UE supports</w:t>
      </w:r>
      <w:r>
        <w:rPr>
          <w:rFonts w:eastAsia="MS Mincho"/>
        </w:rPr>
        <w:t xml:space="preserve">. </w:t>
      </w:r>
    </w:p>
    <w:p w14:paraId="4472F22A" w14:textId="77777777" w:rsidR="005944B8" w:rsidRDefault="005622D2" w:rsidP="00DF3985">
      <w:r w:rsidRPr="009905CE">
        <w:rPr>
          <w:rFonts w:eastAsia="MS Mincho"/>
        </w:rPr>
        <w:t xml:space="preserve">If a UE is provided an UL BWP by </w:t>
      </w:r>
      <w:r w:rsidRPr="009905CE">
        <w:rPr>
          <w:rFonts w:eastAsia="MS Mincho"/>
          <w:i/>
        </w:rPr>
        <w:t>initialUplinkBWP-RedCap</w:t>
      </w:r>
      <w:r w:rsidRPr="009905CE">
        <w:rPr>
          <w:rFonts w:eastAsia="MS Mincho"/>
        </w:rPr>
        <w:t xml:space="preserve"> in </w:t>
      </w:r>
      <w:r w:rsidRPr="009905CE">
        <w:rPr>
          <w:rFonts w:eastAsia="MS Mincho"/>
          <w:i/>
          <w:iCs/>
        </w:rPr>
        <w:t>UplinkConfigCommonSIB</w:t>
      </w:r>
      <w:r w:rsidRPr="009905CE">
        <w:t xml:space="preserve"> and is provided </w:t>
      </w:r>
      <w:r w:rsidRPr="009905CE">
        <w:rPr>
          <w:i/>
          <w:iCs/>
        </w:rPr>
        <w:t>rach-ConfigCommon</w:t>
      </w:r>
      <w:r w:rsidRPr="009905CE">
        <w:t xml:space="preserve"> or </w:t>
      </w:r>
      <w:r w:rsidRPr="009905CE">
        <w:rPr>
          <w:i/>
          <w:iCs/>
        </w:rPr>
        <w:t>msgA-ConfigCommon</w:t>
      </w:r>
      <w:r w:rsidRPr="009905CE">
        <w:t xml:space="preserve"> in </w:t>
      </w:r>
      <w:r w:rsidRPr="009905CE">
        <w:rPr>
          <w:i/>
          <w:iCs/>
        </w:rPr>
        <w:t>BWP-UplinkCommon</w:t>
      </w:r>
      <w:r>
        <w:t xml:space="preserve"> for the</w:t>
      </w:r>
      <w:r w:rsidRPr="009905CE">
        <w:t xml:space="preserve"> UL BWP, the UE uses corresponding parameters to perform the procedures in clauses 8.1, 8.1A, and 8.3; otherwise, the UE uses corresponding parameters from </w:t>
      </w:r>
      <w:r w:rsidRPr="009905CE">
        <w:rPr>
          <w:i/>
          <w:iCs/>
        </w:rPr>
        <w:t>rach-ConfigCommon</w:t>
      </w:r>
      <w:r w:rsidRPr="009905CE">
        <w:t xml:space="preserve"> or </w:t>
      </w:r>
      <w:r w:rsidRPr="009905CE">
        <w:rPr>
          <w:i/>
          <w:iCs/>
        </w:rPr>
        <w:t>msgA-ConfigCommon</w:t>
      </w:r>
      <w:r w:rsidRPr="009905CE">
        <w:t xml:space="preserve"> in </w:t>
      </w:r>
      <w:r w:rsidRPr="009905CE">
        <w:rPr>
          <w:i/>
          <w:iCs/>
        </w:rPr>
        <w:t>BWP-UplinkCommon</w:t>
      </w:r>
      <w:r w:rsidRPr="009905CE">
        <w:t xml:space="preserve"> for the UL BWP provided by </w:t>
      </w:r>
      <w:r w:rsidRPr="009905CE">
        <w:rPr>
          <w:rFonts w:eastAsia="MS Mincho"/>
          <w:i/>
        </w:rPr>
        <w:t>initialUplinkBWP</w:t>
      </w:r>
      <w:r w:rsidRPr="009905CE">
        <w:t>.</w:t>
      </w:r>
    </w:p>
    <w:p w14:paraId="46451E0C" w14:textId="54EFC9AC" w:rsidR="00DF3985" w:rsidRPr="00543165" w:rsidRDefault="00005700" w:rsidP="00DF3985">
      <w:r>
        <w:rPr>
          <w:rFonts w:eastAsia="MS Mincho"/>
        </w:rPr>
        <w:t xml:space="preserve">If a UE is provided </w:t>
      </w:r>
      <w:r w:rsidRPr="00D45471">
        <w:rPr>
          <w:rFonts w:eastAsia="MS Mincho"/>
          <w:i/>
        </w:rPr>
        <w:t>initial</w:t>
      </w:r>
      <w:r>
        <w:rPr>
          <w:rFonts w:eastAsia="MS Mincho"/>
          <w:i/>
        </w:rPr>
        <w:t>Up</w:t>
      </w:r>
      <w:r w:rsidRPr="00D45471">
        <w:rPr>
          <w:rFonts w:eastAsia="MS Mincho"/>
          <w:i/>
        </w:rPr>
        <w:t>linkBWP</w:t>
      </w:r>
      <w:r w:rsidR="005622D2">
        <w:rPr>
          <w:rFonts w:eastAsia="MS Mincho"/>
          <w:i/>
        </w:rPr>
        <w:t>-RedCap</w:t>
      </w:r>
      <w:r w:rsidRPr="00D45471">
        <w:rPr>
          <w:rFonts w:eastAsia="MS Mincho"/>
        </w:rPr>
        <w:t xml:space="preserve"> in </w:t>
      </w:r>
      <w:r>
        <w:rPr>
          <w:rFonts w:eastAsia="MS Mincho"/>
          <w:i/>
          <w:iCs/>
        </w:rPr>
        <w:t>Up</w:t>
      </w:r>
      <w:r w:rsidRPr="00D45471">
        <w:rPr>
          <w:rFonts w:eastAsia="MS Mincho"/>
          <w:i/>
          <w:iCs/>
        </w:rPr>
        <w:t>linkConfigCommonSIB</w:t>
      </w:r>
      <w:r w:rsidRPr="0083762A">
        <w:t xml:space="preserve"> </w:t>
      </w:r>
      <w:r>
        <w:t>and</w:t>
      </w:r>
      <w:r w:rsidRPr="00B916EC">
        <w:t xml:space="preserve"> </w:t>
      </w:r>
      <w:r>
        <w:t xml:space="preserve">does not have dedicated PUCCH resource configuration, the UE transmits PUCCH with HARQ-ACK information as described in clause 9.2.1 using a PUCCH resource set provided by </w:t>
      </w:r>
      <w:r w:rsidRPr="00BA67CF">
        <w:rPr>
          <w:i/>
        </w:rPr>
        <w:t>pucch-</w:t>
      </w:r>
      <w:r w:rsidRPr="00C50004">
        <w:rPr>
          <w:i/>
          <w:lang w:val="en-US"/>
        </w:rPr>
        <w:t>Resource</w:t>
      </w:r>
      <w:r w:rsidRPr="00C55E96">
        <w:rPr>
          <w:i/>
          <w:lang w:val="en-US"/>
        </w:rPr>
        <w:t>Common</w:t>
      </w:r>
      <w:r>
        <w:rPr>
          <w:i/>
          <w:lang w:val="en-US"/>
        </w:rPr>
        <w:t>RedCap</w:t>
      </w:r>
      <w:r>
        <w:t>,</w:t>
      </w:r>
      <w:r w:rsidRPr="007138F8">
        <w:t xml:space="preserve"> </w:t>
      </w:r>
      <w:r>
        <w:t xml:space="preserve">except that frequency hopping for the PUCCH transmission is disabled if </w:t>
      </w:r>
      <w:r w:rsidR="005622D2" w:rsidRPr="00C97677">
        <w:rPr>
          <w:i/>
          <w:iCs/>
        </w:rPr>
        <w:t>intra-SlotFH</w:t>
      </w:r>
      <w:r w:rsidR="005622D2" w:rsidRPr="00C97677">
        <w:t xml:space="preserve"> is present</w:t>
      </w:r>
      <w:r>
        <w:t xml:space="preserve"> in </w:t>
      </w:r>
      <w:r w:rsidRPr="00CE1DD9">
        <w:rPr>
          <w:i/>
          <w:iCs/>
        </w:rPr>
        <w:t>PUCCH-ConfigCommon</w:t>
      </w:r>
      <w:r>
        <w:t>.</w:t>
      </w:r>
      <w:r w:rsidR="00DF3985">
        <w:t xml:space="preserve"> </w:t>
      </w:r>
      <w:r w:rsidR="00DF3985" w:rsidRPr="00543165">
        <w:t xml:space="preserve">If frequency hopping of the PUCCH transmission is disabled then, for the PUCCH transmission, the </w:t>
      </w:r>
      <w:r w:rsidR="00DF3985" w:rsidRPr="00543165">
        <w:rPr>
          <w:lang w:val="en-US"/>
        </w:rPr>
        <w:t xml:space="preserve">UE determines the initial cyclic shift index in the set of initial cyclic shift indexes as </w:t>
      </w:r>
      <m:oMath>
        <m:sSub>
          <m:sSubPr>
            <m:ctrlPr>
              <w:rPr>
                <w:rFonts w:ascii="Cambria Math" w:hAnsi="Cambria Math"/>
                <w:i/>
              </w:rPr>
            </m:ctrlPr>
          </m:sSubPr>
          <m:e>
            <m:r>
              <w:rPr>
                <w:rFonts w:ascii="Cambria Math" w:hAnsi="Cambria Math"/>
              </w:rPr>
              <m:t>r</m:t>
            </m:r>
          </m:e>
          <m:sub>
            <m:r>
              <m:rPr>
                <m:nor/>
              </m:rPr>
              <m:t>PUCCH</m:t>
            </m:r>
            <m:ctrlPr>
              <w:rPr>
                <w:rFonts w:ascii="Cambria Math" w:hAnsi="Cambria Math"/>
              </w:rPr>
            </m:ctrlPr>
          </m:sub>
        </m:sSub>
        <m:r>
          <m:rPr>
            <m:nor/>
          </m:rPr>
          <w:rPr>
            <w:rFonts w:ascii="Cambria Math" w:hAnsi="Cambria Math"/>
            <w:lang w:val="en-US"/>
          </w:rPr>
          <m:t>mod</m:t>
        </m:r>
        <m:sSub>
          <m:sSubPr>
            <m:ctrlPr>
              <w:rPr>
                <w:rFonts w:ascii="Cambria Math" w:hAnsi="Cambria Math"/>
                <w:i/>
                <w:lang w:val="en-US"/>
              </w:rPr>
            </m:ctrlPr>
          </m:sSubPr>
          <m:e>
            <m:r>
              <w:rPr>
                <w:rFonts w:ascii="Cambria Math" w:hAnsi="Cambria Math"/>
                <w:lang w:val="en-US"/>
              </w:rPr>
              <m:t>N</m:t>
            </m:r>
          </m:e>
          <m:sub>
            <m:r>
              <m:rPr>
                <m:sty m:val="p"/>
              </m:rPr>
              <w:rPr>
                <w:rFonts w:ascii="Cambria Math" w:hAnsi="Cambria Math"/>
                <w:lang w:val="en-US"/>
              </w:rPr>
              <m:t>CS</m:t>
            </m:r>
          </m:sub>
        </m:sSub>
      </m:oMath>
      <w:r w:rsidR="00DF3985" w:rsidRPr="00543165">
        <w:rPr>
          <w:lang w:val="en-US"/>
        </w:rPr>
        <w:t xml:space="preserve"> and determines the </w:t>
      </w:r>
      <w:r w:rsidR="00DF3985" w:rsidRPr="00543165">
        <w:t xml:space="preserve">PRB </w:t>
      </w:r>
      <w:r w:rsidR="00DF3985" w:rsidRPr="00543165">
        <w:rPr>
          <w:lang w:val="en-US"/>
        </w:rPr>
        <w:t>index as</w:t>
      </w:r>
    </w:p>
    <w:p w14:paraId="649E88AD" w14:textId="0997B484" w:rsidR="00DF3985" w:rsidRPr="00543165" w:rsidRDefault="00DF3985" w:rsidP="00DF3985">
      <w:pPr>
        <w:pStyle w:val="B1"/>
        <w:rPr>
          <w:lang w:val="en-US"/>
        </w:rPr>
      </w:pPr>
      <w:r w:rsidRPr="00543165">
        <w:rPr>
          <w:lang w:val="en-US" w:eastAsia="zh-CN"/>
        </w:rPr>
        <w:t>-</w:t>
      </w:r>
      <w:r w:rsidRPr="00543165">
        <w:rPr>
          <w:lang w:val="en-US" w:eastAsia="zh-CN"/>
        </w:rPr>
        <w:tab/>
      </w:r>
      <m:oMath>
        <m:sSubSup>
          <m:sSubSupPr>
            <m:ctrlPr>
              <w:rPr>
                <w:rFonts w:ascii="Cambria Math" w:hAnsi="Cambria Math"/>
              </w:rPr>
            </m:ctrlPr>
          </m:sSubSupPr>
          <m:e>
            <m:r>
              <w:rPr>
                <w:rFonts w:ascii="Cambria Math" w:hAnsi="Cambria Math"/>
              </w:rPr>
              <m:t>RB</m:t>
            </m:r>
          </m:e>
          <m:sub>
            <m:r>
              <m:rPr>
                <m:nor/>
              </m:rPr>
              <w:rPr>
                <w:rFonts w:ascii="Cambria Math"/>
              </w:rPr>
              <m:t>BWP</m:t>
            </m:r>
          </m:sub>
          <m:sup>
            <m:r>
              <m:rPr>
                <m:nor/>
              </m:rPr>
              <m:t>offset</m:t>
            </m:r>
          </m:sup>
        </m:sSubSup>
        <m:r>
          <w:rPr>
            <w:rFonts w:ascii="Cambria Math" w:hAnsi="Cambria Math"/>
          </w:rPr>
          <m:t>+</m:t>
        </m:r>
        <m:sSubSup>
          <m:sSubSupPr>
            <m:ctrlPr>
              <w:rPr>
                <w:rFonts w:ascii="Cambria Math" w:hAnsi="Cambria Math"/>
              </w:rPr>
            </m:ctrlPr>
          </m:sSubSupPr>
          <m:e>
            <m:r>
              <w:rPr>
                <w:rFonts w:ascii="Cambria Math" w:hAnsi="Cambria Math"/>
              </w:rPr>
              <m:t>RB</m:t>
            </m:r>
          </m:e>
          <m:sub>
            <m:r>
              <m:rPr>
                <m:nor/>
              </m:rPr>
              <w:rPr>
                <w:rFonts w:ascii="Cambria Math"/>
              </w:rPr>
              <m:t>BWP</m:t>
            </m:r>
          </m:sub>
          <m:sup>
            <m:r>
              <m:rPr>
                <m:nor/>
              </m:rPr>
              <m:t>offset</m:t>
            </m:r>
            <m:r>
              <m:rPr>
                <m:nor/>
              </m:rPr>
              <w:rPr>
                <w:rFonts w:ascii="Cambria Math"/>
              </w:rPr>
              <m:t>-add</m:t>
            </m:r>
          </m:sup>
        </m:sSubSup>
        <m:r>
          <w:rPr>
            <w:rFonts w:ascii="Cambria Math" w:hAnsi="Cambria Math"/>
          </w:rPr>
          <m:t>+</m:t>
        </m:r>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r</m:t>
                    </m:r>
                  </m:e>
                  <m:sub>
                    <m:r>
                      <m:rPr>
                        <m:nor/>
                      </m:rPr>
                      <m:t>PUCCH</m:t>
                    </m:r>
                    <m:ctrlPr>
                      <w:rPr>
                        <w:rFonts w:ascii="Cambria Math" w:hAnsi="Cambria Math"/>
                      </w:rPr>
                    </m:ctrlPr>
                  </m:sub>
                </m:sSub>
              </m:num>
              <m:den>
                <m:sSub>
                  <m:sSubPr>
                    <m:ctrlPr>
                      <w:rPr>
                        <w:rFonts w:ascii="Cambria Math" w:hAnsi="Cambria Math"/>
                        <w:i/>
                        <w:lang w:val="en-US"/>
                      </w:rPr>
                    </m:ctrlPr>
                  </m:sSubPr>
                  <m:e>
                    <m:r>
                      <w:rPr>
                        <w:rFonts w:ascii="Cambria Math" w:hAnsi="Cambria Math"/>
                        <w:lang w:val="en-US"/>
                      </w:rPr>
                      <m:t>N</m:t>
                    </m:r>
                  </m:e>
                  <m:sub>
                    <m:r>
                      <m:rPr>
                        <m:sty m:val="p"/>
                      </m:rPr>
                      <w:rPr>
                        <w:rFonts w:ascii="Cambria Math" w:hAnsi="Cambria Math"/>
                        <w:lang w:val="en-US"/>
                      </w:rPr>
                      <m:t>CS</m:t>
                    </m:r>
                  </m:sub>
                </m:sSub>
              </m:den>
            </m:f>
          </m:e>
        </m:d>
      </m:oMath>
      <w:r w:rsidRPr="00543165">
        <w:rPr>
          <w:lang w:val="en-US"/>
        </w:rPr>
        <w:t>, if</w:t>
      </w:r>
      <w:r w:rsidRPr="00543165">
        <w:t xml:space="preserve"> </w:t>
      </w:r>
      <w:r w:rsidR="005622D2" w:rsidRPr="00C97677">
        <w:rPr>
          <w:i/>
          <w:iCs/>
        </w:rPr>
        <w:t>intra-SlotFH</w:t>
      </w:r>
      <w:r w:rsidRPr="00543165">
        <w:t xml:space="preserve"> = </w:t>
      </w:r>
      <w:r w:rsidR="005622D2">
        <w:t>'</w:t>
      </w:r>
      <w:r w:rsidR="005622D2">
        <w:rPr>
          <w:i/>
          <w:iCs/>
          <w:lang w:val="en-US"/>
        </w:rPr>
        <w:t>f</w:t>
      </w:r>
      <w:r w:rsidR="005622D2" w:rsidRPr="00543165">
        <w:rPr>
          <w:i/>
          <w:iCs/>
          <w:lang w:val="en-US"/>
        </w:rPr>
        <w:t>romLowerEdge</w:t>
      </w:r>
      <w:r w:rsidR="005622D2">
        <w:t>'</w:t>
      </w:r>
    </w:p>
    <w:p w14:paraId="30EE3847" w14:textId="77777777" w:rsidR="00DF3985" w:rsidRPr="00543165" w:rsidRDefault="00DF3985" w:rsidP="00DF3985">
      <w:pPr>
        <w:pStyle w:val="B1"/>
        <w:rPr>
          <w:lang w:val="en-US"/>
        </w:rPr>
      </w:pPr>
      <w:r w:rsidRPr="00543165">
        <w:rPr>
          <w:lang w:val="en-US" w:eastAsia="zh-CN"/>
        </w:rPr>
        <w:t>-</w:t>
      </w:r>
      <w:r w:rsidRPr="00543165">
        <w:rPr>
          <w:lang w:val="en-US" w:eastAsia="zh-CN"/>
        </w:rPr>
        <w:tab/>
      </w:r>
      <m:oMath>
        <m:sSubSup>
          <m:sSubSupPr>
            <m:ctrlPr>
              <w:rPr>
                <w:rFonts w:ascii="Cambria Math" w:hAnsi="Cambria Math"/>
              </w:rPr>
            </m:ctrlPr>
          </m:sSubSupPr>
          <m:e>
            <m:sSubSup>
              <m:sSubSupPr>
                <m:ctrlPr>
                  <w:rPr>
                    <w:rFonts w:ascii="Cambria Math" w:hAnsi="Cambria Math"/>
                  </w:rPr>
                </m:ctrlPr>
              </m:sSubSupPr>
              <m:e>
                <m:r>
                  <w:rPr>
                    <w:rFonts w:ascii="Cambria Math" w:hAnsi="Cambria Math"/>
                  </w:rPr>
                  <m:t>N</m:t>
                </m:r>
              </m:e>
              <m:sub>
                <m:r>
                  <m:rPr>
                    <m:nor/>
                  </m:rPr>
                  <w:rPr>
                    <w:rFonts w:ascii="Cambria Math"/>
                  </w:rPr>
                  <m:t>BWP</m:t>
                </m:r>
              </m:sub>
              <m:sup>
                <m:r>
                  <m:rPr>
                    <m:nor/>
                  </m:rPr>
                  <m:t>size</m:t>
                </m:r>
              </m:sup>
            </m:sSubSup>
            <m:r>
              <w:rPr>
                <w:rFonts w:ascii="Cambria Math" w:hAnsi="Cambria Math"/>
              </w:rPr>
              <m:t>-RB</m:t>
            </m:r>
          </m:e>
          <m:sub>
            <m:r>
              <m:rPr>
                <m:nor/>
              </m:rPr>
              <w:rPr>
                <w:rFonts w:ascii="Cambria Math"/>
              </w:rPr>
              <m:t>BWP</m:t>
            </m:r>
          </m:sub>
          <m:sup>
            <m:r>
              <m:rPr>
                <m:nor/>
              </m:rPr>
              <m:t>offset</m:t>
            </m:r>
          </m:sup>
        </m:sSubSup>
        <m:r>
          <w:rPr>
            <w:rFonts w:ascii="Cambria Math" w:hAnsi="Cambria Math"/>
          </w:rPr>
          <m:t>-</m:t>
        </m:r>
        <m:sSubSup>
          <m:sSubSupPr>
            <m:ctrlPr>
              <w:rPr>
                <w:rFonts w:ascii="Cambria Math" w:hAnsi="Cambria Math"/>
              </w:rPr>
            </m:ctrlPr>
          </m:sSubSupPr>
          <m:e>
            <m:r>
              <w:rPr>
                <w:rFonts w:ascii="Cambria Math" w:hAnsi="Cambria Math"/>
              </w:rPr>
              <m:t>RB</m:t>
            </m:r>
          </m:e>
          <m:sub>
            <m:r>
              <m:rPr>
                <m:nor/>
              </m:rPr>
              <w:rPr>
                <w:rFonts w:ascii="Cambria Math"/>
              </w:rPr>
              <m:t>BWP</m:t>
            </m:r>
          </m:sub>
          <m:sup>
            <m:r>
              <m:rPr>
                <m:nor/>
              </m:rPr>
              <m:t>offset</m:t>
            </m:r>
            <m:r>
              <m:rPr>
                <m:nor/>
              </m:rPr>
              <w:rPr>
                <w:rFonts w:ascii="Cambria Math"/>
              </w:rPr>
              <m:t>-add</m:t>
            </m:r>
          </m:sup>
        </m:sSubSup>
        <m:r>
          <w:rPr>
            <w:rFonts w:ascii="Cambria Math" w:hAnsi="Cambria Math"/>
          </w:rPr>
          <m:t>-1-</m:t>
        </m:r>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r</m:t>
                    </m:r>
                  </m:e>
                  <m:sub>
                    <m:r>
                      <m:rPr>
                        <m:nor/>
                      </m:rPr>
                      <m:t>PUCCH</m:t>
                    </m:r>
                    <m:ctrlPr>
                      <w:rPr>
                        <w:rFonts w:ascii="Cambria Math" w:hAnsi="Cambria Math"/>
                      </w:rPr>
                    </m:ctrlPr>
                  </m:sub>
                </m:sSub>
              </m:num>
              <m:den>
                <m:sSub>
                  <m:sSubPr>
                    <m:ctrlPr>
                      <w:rPr>
                        <w:rFonts w:ascii="Cambria Math" w:hAnsi="Cambria Math"/>
                        <w:i/>
                        <w:lang w:val="en-US"/>
                      </w:rPr>
                    </m:ctrlPr>
                  </m:sSubPr>
                  <m:e>
                    <m:r>
                      <w:rPr>
                        <w:rFonts w:ascii="Cambria Math" w:hAnsi="Cambria Math"/>
                        <w:lang w:val="en-US"/>
                      </w:rPr>
                      <m:t>N</m:t>
                    </m:r>
                  </m:e>
                  <m:sub>
                    <m:r>
                      <m:rPr>
                        <m:sty m:val="p"/>
                      </m:rPr>
                      <w:rPr>
                        <w:rFonts w:ascii="Cambria Math" w:hAnsi="Cambria Math"/>
                        <w:lang w:val="en-US"/>
                      </w:rPr>
                      <m:t>CS</m:t>
                    </m:r>
                  </m:sub>
                </m:sSub>
              </m:den>
            </m:f>
          </m:e>
        </m:d>
      </m:oMath>
      <w:r w:rsidRPr="00543165">
        <w:rPr>
          <w:iCs/>
          <w:lang w:val="en-US"/>
        </w:rPr>
        <w:t>, otherwise</w:t>
      </w:r>
    </w:p>
    <w:p w14:paraId="1418A22F" w14:textId="1C5F59DA" w:rsidR="00005700" w:rsidRPr="00DF3985" w:rsidRDefault="00DF3985" w:rsidP="00DF3985">
      <w:pPr>
        <w:rPr>
          <w:lang w:val="en-US"/>
        </w:rPr>
      </w:pPr>
      <w:r w:rsidRPr="00543165">
        <w:rPr>
          <w:lang w:val="en-US"/>
        </w:rPr>
        <w:t xml:space="preserve">where </w:t>
      </w:r>
      <m:oMath>
        <m:sSubSup>
          <m:sSubSupPr>
            <m:ctrlPr>
              <w:rPr>
                <w:rFonts w:ascii="Cambria Math" w:hAnsi="Cambria Math"/>
              </w:rPr>
            </m:ctrlPr>
          </m:sSubSupPr>
          <m:e>
            <m:r>
              <w:rPr>
                <w:rFonts w:ascii="Cambria Math" w:hAnsi="Cambria Math"/>
              </w:rPr>
              <m:t>RB</m:t>
            </m:r>
          </m:e>
          <m:sub>
            <m:r>
              <m:rPr>
                <m:nor/>
              </m:rPr>
              <w:rPr>
                <w:rFonts w:ascii="Cambria Math"/>
              </w:rPr>
              <m:t>BWP</m:t>
            </m:r>
          </m:sub>
          <m:sup>
            <m:r>
              <m:rPr>
                <m:nor/>
              </m:rPr>
              <m:t>offset</m:t>
            </m:r>
            <m:r>
              <m:rPr>
                <m:nor/>
              </m:rPr>
              <w:rPr>
                <w:rFonts w:ascii="Cambria Math"/>
              </w:rPr>
              <m:t>-add</m:t>
            </m:r>
          </m:sup>
        </m:sSubSup>
      </m:oMath>
      <w:r w:rsidRPr="00543165">
        <w:rPr>
          <w:lang w:val="en-US"/>
        </w:rPr>
        <w:t xml:space="preserve"> is provided by </w:t>
      </w:r>
      <w:r w:rsidR="00DC6E29" w:rsidRPr="00833D10">
        <w:rPr>
          <w:rFonts w:ascii="Times" w:eastAsia="DengXian" w:hAnsi="Times"/>
          <w:i/>
          <w:iCs/>
          <w:lang w:val="en-US" w:eastAsia="zh-CN"/>
        </w:rPr>
        <w:t>additionalPRBOffset</w:t>
      </w:r>
      <w:r w:rsidRPr="00543165">
        <w:rPr>
          <w:lang w:val="en-US"/>
        </w:rPr>
        <w:t xml:space="preserve">, if provided; otherwise, </w:t>
      </w:r>
      <m:oMath>
        <m:sSubSup>
          <m:sSubSupPr>
            <m:ctrlPr>
              <w:rPr>
                <w:rFonts w:ascii="Cambria Math" w:hAnsi="Cambria Math"/>
              </w:rPr>
            </m:ctrlPr>
          </m:sSubSupPr>
          <m:e>
            <m:r>
              <w:rPr>
                <w:rFonts w:ascii="Cambria Math" w:hAnsi="Cambria Math"/>
              </w:rPr>
              <m:t>RB</m:t>
            </m:r>
          </m:e>
          <m:sub>
            <m:r>
              <m:rPr>
                <m:nor/>
              </m:rPr>
              <w:rPr>
                <w:rFonts w:ascii="Cambria Math"/>
              </w:rPr>
              <m:t>BWP</m:t>
            </m:r>
          </m:sub>
          <m:sup>
            <m:r>
              <m:rPr>
                <m:nor/>
              </m:rPr>
              <m:t>offset</m:t>
            </m:r>
            <m:r>
              <m:rPr>
                <m:nor/>
              </m:rPr>
              <w:rPr>
                <w:rFonts w:ascii="Cambria Math"/>
              </w:rPr>
              <m:t>-add</m:t>
            </m:r>
          </m:sup>
        </m:sSubSup>
        <m:r>
          <w:rPr>
            <w:rFonts w:ascii="Cambria Math" w:hAnsi="Cambria Math"/>
          </w:rPr>
          <m:t>=0.</m:t>
        </m:r>
      </m:oMath>
    </w:p>
    <w:p w14:paraId="36C9B430" w14:textId="0543D53C" w:rsidR="00DC6E29" w:rsidRPr="00EA645E" w:rsidRDefault="00DC6E29" w:rsidP="00DC6E29">
      <w:pPr>
        <w:rPr>
          <w:i/>
          <w:iCs/>
          <w:lang w:eastAsia="zh-CN"/>
        </w:rPr>
      </w:pPr>
      <w:r w:rsidRPr="00884DA0">
        <w:t xml:space="preserve">If a UE is not provided </w:t>
      </w:r>
      <w:r w:rsidRPr="00884DA0">
        <w:rPr>
          <w:i/>
          <w:iCs/>
        </w:rPr>
        <w:t xml:space="preserve">initialUplinkBWP-RedCap </w:t>
      </w:r>
      <w:r w:rsidRPr="00884DA0">
        <w:t xml:space="preserve">in </w:t>
      </w:r>
      <w:r w:rsidRPr="001C7728">
        <w:rPr>
          <w:i/>
          <w:iCs/>
        </w:rPr>
        <w:t>UplinkConfigCommonSIB</w:t>
      </w:r>
      <w:r w:rsidRPr="00884DA0">
        <w:t xml:space="preserve"> and does not have dedicated PUCCH resource configuration, the UE transmits PUCCH with HARQ-ACK information as described in clause 9.2.1 using a PUCCH resource set provided by </w:t>
      </w:r>
      <w:r w:rsidRPr="00FC7870">
        <w:rPr>
          <w:i/>
          <w:iCs/>
        </w:rPr>
        <w:t>pucch-ResourceCommonRedCap</w:t>
      </w:r>
      <w:r w:rsidRPr="00884DA0">
        <w:t xml:space="preserve"> if </w:t>
      </w:r>
      <w:r w:rsidRPr="00FC7870">
        <w:rPr>
          <w:i/>
          <w:iCs/>
        </w:rPr>
        <w:t>pucch-ResourceCommonRedCap</w:t>
      </w:r>
      <w:r w:rsidRPr="00884DA0">
        <w:t xml:space="preserve"> is present or by </w:t>
      </w:r>
      <w:r w:rsidRPr="00776C0C">
        <w:rPr>
          <w:i/>
          <w:iCs/>
        </w:rPr>
        <w:t>pucch-ResourceCommon</w:t>
      </w:r>
      <w:r w:rsidRPr="00884DA0">
        <w:t xml:space="preserve"> if </w:t>
      </w:r>
      <w:r w:rsidRPr="00A77AE2">
        <w:rPr>
          <w:i/>
          <w:iCs/>
        </w:rPr>
        <w:t>pucch-ResourceCommonRedCap</w:t>
      </w:r>
      <w:r w:rsidRPr="00884DA0">
        <w:t xml:space="preserve"> is absent.</w:t>
      </w:r>
      <w:r w:rsidR="00167B32">
        <w:t xml:space="preserve"> </w:t>
      </w:r>
      <w:r w:rsidRPr="00EA645E">
        <w:rPr>
          <w:lang w:eastAsia="zh-CN"/>
        </w:rPr>
        <w:t xml:space="preserve">For an initial DL BWP provided by </w:t>
      </w:r>
      <w:r w:rsidRPr="00EA645E">
        <w:rPr>
          <w:i/>
        </w:rPr>
        <w:t>initialDownlinkBWP-RedCap</w:t>
      </w:r>
      <w:r w:rsidRPr="00EA645E">
        <w:t xml:space="preserve"> in </w:t>
      </w:r>
      <w:r w:rsidRPr="00EA645E">
        <w:rPr>
          <w:i/>
        </w:rPr>
        <w:t>DownlinkConfigCommonSIB</w:t>
      </w:r>
      <w:r w:rsidRPr="00EA645E">
        <w:t>, if a UE in RRC_IDLE state or in RRC_INACTIVE state monitors PDCCH according to Type1-PDCCH CSS set and does not monitor PDCCH according to Type2-PDCCH CSS set, the UE does not expect the initial DL BWP to include SS/PBCH blocks and the CORESET with index 0.</w:t>
      </w:r>
    </w:p>
    <w:p w14:paraId="7312727F" w14:textId="672F80F3" w:rsidR="00DC6E29" w:rsidRPr="00C86157" w:rsidRDefault="00DC6E29" w:rsidP="00DC6E29">
      <w:r w:rsidRPr="00EA645E">
        <w:rPr>
          <w:lang w:eastAsia="zh-CN"/>
        </w:rPr>
        <w:t xml:space="preserve">For an active DL BWP not provided by </w:t>
      </w:r>
      <w:r w:rsidRPr="00EA645E">
        <w:rPr>
          <w:i/>
        </w:rPr>
        <w:t>BWP-DownlinkDedicated</w:t>
      </w:r>
      <w:r w:rsidRPr="00EA645E">
        <w:rPr>
          <w:iCs/>
        </w:rPr>
        <w:t xml:space="preserve">, if a UE does not indicate a capability to operate in the active DL BWP without receiving an SS/PBCH block, </w:t>
      </w:r>
      <w:r w:rsidRPr="00EA645E">
        <w:t xml:space="preserve">the UE in RRC_CONNECTED state assumes that the active DL BWP </w:t>
      </w:r>
      <w:r w:rsidRPr="00EA645E">
        <w:rPr>
          <w:lang w:val="en-US"/>
        </w:rPr>
        <w:t xml:space="preserve">includes the SS/PBCH blocks that </w:t>
      </w:r>
      <w:r w:rsidRPr="00EA645E">
        <w:t xml:space="preserve">the UE used to obtain SIB1 </w:t>
      </w:r>
      <w:r w:rsidRPr="00EA645E">
        <w:rPr>
          <w:lang w:val="en-US"/>
        </w:rPr>
        <w:t>and</w:t>
      </w:r>
      <w:r w:rsidRPr="00EA645E">
        <w:t>,</w:t>
      </w:r>
      <w:r w:rsidRPr="00EA645E">
        <w:rPr>
          <w:lang w:val="en-US"/>
        </w:rPr>
        <w:t xml:space="preserve"> for SS/PBCH block and CORESET multiplexing pattern 1</w:t>
      </w:r>
      <w:r w:rsidRPr="00EA645E">
        <w:t xml:space="preserve">, </w:t>
      </w:r>
      <w:r w:rsidRPr="00EA645E">
        <w:rPr>
          <w:lang w:val="en-US"/>
        </w:rPr>
        <w:t>the CORESET with index 0.</w:t>
      </w:r>
    </w:p>
    <w:p w14:paraId="378274D5" w14:textId="77777777" w:rsidR="00030139" w:rsidRDefault="00DC6E29" w:rsidP="00030139">
      <w:r w:rsidRPr="00EA645E">
        <w:rPr>
          <w:lang w:eastAsia="zh-CN"/>
        </w:rPr>
        <w:t xml:space="preserve">For an active DL BWP provided by </w:t>
      </w:r>
      <w:r w:rsidRPr="00EA645E">
        <w:rPr>
          <w:i/>
          <w:iCs/>
        </w:rPr>
        <w:t>BWP-DownlinkDedicated</w:t>
      </w:r>
      <w:r w:rsidRPr="00EA645E">
        <w:t xml:space="preserve">, unless a UE indicates a capability to operate in the active DL BWP without receiving an SS/PBCH block, the UE in RRC_CONNECTED state assumes that the active DL BWP includes the SS/PBCH blocks </w:t>
      </w:r>
      <w:r w:rsidRPr="00EA645E">
        <w:rPr>
          <w:lang w:val="en-US"/>
        </w:rPr>
        <w:t xml:space="preserve">that </w:t>
      </w:r>
      <w:r w:rsidRPr="00EA645E">
        <w:t xml:space="preserve">the UE used to obtain SIB1 or the SS/PBCH blocks provided by </w:t>
      </w:r>
      <w:r w:rsidRPr="00EA645E">
        <w:rPr>
          <w:i/>
          <w:iCs/>
        </w:rPr>
        <w:t>NonCellDefiningSSB</w:t>
      </w:r>
      <w:r w:rsidRPr="00EA645E">
        <w:t xml:space="preserve">. If the active DL BWP includes the SS/PBCH blocks </w:t>
      </w:r>
      <w:r w:rsidRPr="00EA645E">
        <w:rPr>
          <w:lang w:val="en-US"/>
        </w:rPr>
        <w:t xml:space="preserve">that </w:t>
      </w:r>
      <w:r w:rsidRPr="00EA645E">
        <w:t xml:space="preserve">the UE used to obtain SIB1, for SS/PBCH block and CORESET multiplexing pattern 1, the UE expects the active DL BWP to include the CORESET with index 0. </w:t>
      </w:r>
    </w:p>
    <w:p w14:paraId="22C8EF84" w14:textId="77777777" w:rsidR="00030139" w:rsidRDefault="00030139" w:rsidP="00030139">
      <w:r w:rsidRPr="006B6EAD">
        <w:t xml:space="preserve">For a RedCap UE indicating a capability to use an initial DL BWP that includes the SS/PBCH blocks provided by </w:t>
      </w:r>
      <w:r w:rsidRPr="006B6EAD">
        <w:rPr>
          <w:i/>
          <w:iCs/>
        </w:rPr>
        <w:t>NonCellDefiningSSB</w:t>
      </w:r>
      <w:r w:rsidRPr="006B6EAD">
        <w:t xml:space="preserve"> for PUSCH transmission in RRC_INACTIVE state, if the UE is provided </w:t>
      </w:r>
      <w:r w:rsidRPr="006B6EAD">
        <w:rPr>
          <w:i/>
          <w:iCs/>
        </w:rPr>
        <w:t>NonCellDefiningSSB</w:t>
      </w:r>
      <w:r w:rsidRPr="006B6EAD">
        <w:t xml:space="preserve"> in </w:t>
      </w:r>
      <w:r w:rsidRPr="006B6EAD">
        <w:rPr>
          <w:i/>
          <w:iCs/>
        </w:rPr>
        <w:t>ncd-SSB-RedCapInitialBWP-SDT</w:t>
      </w:r>
      <w:r w:rsidRPr="006B6EAD">
        <w:t xml:space="preserve">, then during procedure of PUSCH transmission in RRC_INACTIVE state (as described in clause 19) the UE uses the SS/PBCH blocks provided by </w:t>
      </w:r>
      <w:r w:rsidRPr="006B6EAD">
        <w:rPr>
          <w:i/>
          <w:iCs/>
        </w:rPr>
        <w:t>NonCellDefiningSSB</w:t>
      </w:r>
      <w:r w:rsidRPr="006B6EAD">
        <w:t xml:space="preserve"> for the purposes for which the UE would otherwise have used the SS/PBCH blocks that the UE used to obtain SIB1.</w:t>
      </w:r>
    </w:p>
    <w:p w14:paraId="25BF62E8" w14:textId="43368B26" w:rsidR="00DC6E29" w:rsidRPr="00EA645E" w:rsidRDefault="00DC6E29" w:rsidP="00DC6E29">
      <w:r w:rsidRPr="00EA645E">
        <w:t xml:space="preserve">If the active DL BWP </w:t>
      </w:r>
      <w:r w:rsidR="00030139" w:rsidRPr="006B6EAD">
        <w:t xml:space="preserve">provided by </w:t>
      </w:r>
      <w:r w:rsidR="00030139" w:rsidRPr="006B6EAD">
        <w:rPr>
          <w:i/>
          <w:iCs/>
        </w:rPr>
        <w:t>BWP-DownlinkDedicated</w:t>
      </w:r>
      <w:r w:rsidR="00030139" w:rsidRPr="006B6EAD">
        <w:t xml:space="preserve">, or the initial DL BWP during procedure of PUSCH transmission in RRC_INACTIVE state (as described in clause 19), </w:t>
      </w:r>
      <w:r w:rsidRPr="00EA645E">
        <w:t xml:space="preserve">includes the SS/PBCH blocks provided by </w:t>
      </w:r>
      <w:r w:rsidRPr="00EA645E">
        <w:rPr>
          <w:i/>
          <w:iCs/>
        </w:rPr>
        <w:t>NonCellDefiningSSB</w:t>
      </w:r>
      <w:r w:rsidR="007B27F0" w:rsidRPr="00C80B66">
        <w:t>, these SS/PBCH blocks and the SS/PBCH blocks that the UE used to obtain SIB1 have the same QCL properties, if they have the same index</w:t>
      </w:r>
      <w:r w:rsidRPr="00EA645E">
        <w:rPr>
          <w:i/>
          <w:iCs/>
        </w:rPr>
        <w:t>.</w:t>
      </w:r>
    </w:p>
    <w:p w14:paraId="3A421FFE" w14:textId="26CE6129" w:rsidR="00DC6E29" w:rsidRDefault="00DC6E29" w:rsidP="00DC6E29">
      <w:pPr>
        <w:rPr>
          <w:lang w:val="en-US" w:eastAsia="zh-CN"/>
        </w:rPr>
      </w:pPr>
      <w:r w:rsidRPr="00EA645E">
        <w:rPr>
          <w:lang w:val="en-US" w:eastAsia="zh-CN"/>
        </w:rPr>
        <w:t xml:space="preserve">For a RedCap UE </w:t>
      </w:r>
      <w:r w:rsidRPr="00EA645E">
        <w:rPr>
          <w:lang w:val="en-US"/>
        </w:rPr>
        <w:t>indicated presence of SS/PBCH blocks within an active DL BWP by</w:t>
      </w:r>
      <w:r w:rsidRPr="00EA645E">
        <w:rPr>
          <w:i/>
          <w:lang w:val="en-US"/>
        </w:rPr>
        <w:t xml:space="preserve"> NonCellDefiningSSB</w:t>
      </w:r>
      <w:r w:rsidRPr="00EA645E">
        <w:rPr>
          <w:lang w:val="en-US" w:eastAsia="zh-CN"/>
        </w:rPr>
        <w:t xml:space="preserve">, collision handling between </w:t>
      </w:r>
      <w:r w:rsidR="007B27F0">
        <w:rPr>
          <w:lang w:val="en-US" w:eastAsia="zh-CN"/>
        </w:rPr>
        <w:t xml:space="preserve">downlink receptions or </w:t>
      </w:r>
      <w:r w:rsidRPr="00EA645E">
        <w:rPr>
          <w:lang w:val="en-US" w:eastAsia="zh-CN"/>
        </w:rPr>
        <w:t xml:space="preserve">uplink transmissions and the SS/PBCH blocks are same as described for a UE </w:t>
      </w:r>
      <w:r w:rsidRPr="00EA645E">
        <w:rPr>
          <w:lang w:val="en-US"/>
        </w:rPr>
        <w:t>indicated presence of SS/PBCH blocks</w:t>
      </w:r>
      <w:r w:rsidRPr="00EA645E">
        <w:rPr>
          <w:lang w:val="en-US" w:eastAsia="zh-CN"/>
        </w:rPr>
        <w:t xml:space="preserve"> by </w:t>
      </w:r>
      <w:r w:rsidRPr="00EA645E">
        <w:rPr>
          <w:i/>
          <w:lang w:val="en-US"/>
        </w:rPr>
        <w:t>ssb-PositionsInBurst</w:t>
      </w:r>
      <w:r w:rsidRPr="00EA645E">
        <w:rPr>
          <w:lang w:val="en-US"/>
        </w:rPr>
        <w:t xml:space="preserve"> in </w:t>
      </w:r>
      <w:r w:rsidRPr="00EA645E">
        <w:rPr>
          <w:i/>
          <w:lang w:val="en-US"/>
        </w:rPr>
        <w:t>SIB1</w:t>
      </w:r>
      <w:r w:rsidRPr="00EA645E">
        <w:rPr>
          <w:lang w:val="en-US"/>
        </w:rPr>
        <w:t xml:space="preserve"> or in </w:t>
      </w:r>
      <w:r w:rsidRPr="00EA645E">
        <w:rPr>
          <w:i/>
          <w:lang w:val="en-US"/>
        </w:rPr>
        <w:t>ServingCellConfigCommon</w:t>
      </w:r>
      <w:r w:rsidRPr="00EA645E">
        <w:rPr>
          <w:lang w:val="en-US"/>
        </w:rPr>
        <w:t xml:space="preserve"> </w:t>
      </w:r>
      <w:r w:rsidRPr="00EA645E">
        <w:rPr>
          <w:lang w:val="en-US" w:eastAsia="zh-CN"/>
        </w:rPr>
        <w:t>described in all other clauses, unless otherwise stated.</w:t>
      </w:r>
    </w:p>
    <w:p w14:paraId="3CD14F6C" w14:textId="77777777" w:rsidR="00DC6E29" w:rsidRPr="00EA645E" w:rsidRDefault="00DC6E29" w:rsidP="00DC6E29">
      <w:pPr>
        <w:rPr>
          <w:lang w:eastAsia="en-GB"/>
        </w:rPr>
      </w:pPr>
      <w:r w:rsidRPr="00EA645E">
        <w:rPr>
          <w:lang w:eastAsia="en-GB"/>
        </w:rPr>
        <w:lastRenderedPageBreak/>
        <w:t xml:space="preserve">For monitoring of a PDCCH candidate by a UE configured with </w:t>
      </w:r>
      <w:r w:rsidRPr="00EA645E">
        <w:rPr>
          <w:i/>
          <w:iCs/>
          <w:lang w:eastAsia="en-GB"/>
        </w:rPr>
        <w:t>NonCellDefiningSSB</w:t>
      </w:r>
      <w:r w:rsidRPr="00EA645E">
        <w:rPr>
          <w:lang w:eastAsia="en-GB"/>
        </w:rPr>
        <w:t>, if the UE</w:t>
      </w:r>
    </w:p>
    <w:p w14:paraId="44E0AAEA" w14:textId="77777777" w:rsidR="00DC6E29" w:rsidRPr="00EA645E" w:rsidRDefault="00DC6E29" w:rsidP="00DC6E29">
      <w:pPr>
        <w:pStyle w:val="B1"/>
        <w:rPr>
          <w:lang w:eastAsia="zh-CN"/>
        </w:rPr>
      </w:pPr>
      <w:r w:rsidRPr="00EA645E">
        <w:t>-</w:t>
      </w:r>
      <w:r w:rsidRPr="00EA645E">
        <w:tab/>
      </w:r>
      <w:r w:rsidRPr="00EA645E">
        <w:rPr>
          <w:lang w:eastAsia="zh-CN"/>
        </w:rPr>
        <w:t xml:space="preserve">does not monitor PDCCH candidates in a Type0-PDCCH CSS set, and </w:t>
      </w:r>
    </w:p>
    <w:p w14:paraId="7A09B430" w14:textId="77777777" w:rsidR="00DC6E29" w:rsidRPr="00EA645E" w:rsidRDefault="00DC6E29" w:rsidP="00DC6E29">
      <w:pPr>
        <w:pStyle w:val="B1"/>
        <w:rPr>
          <w:lang w:eastAsia="zh-CN"/>
        </w:rPr>
      </w:pPr>
      <w:r w:rsidRPr="00EA645E">
        <w:t>-</w:t>
      </w:r>
      <w:r w:rsidRPr="00EA645E">
        <w:tab/>
      </w:r>
      <w:r w:rsidRPr="00EA645E">
        <w:rPr>
          <w:lang w:eastAsia="zh-CN"/>
        </w:rPr>
        <w:t xml:space="preserve">at least one RE for a PDCCH candidate overlaps with at least one RE of a candidate SS/PBCH block corresponding to a SS/PBCH block index provided by </w:t>
      </w:r>
      <w:r w:rsidRPr="00EA645E">
        <w:rPr>
          <w:i/>
          <w:iCs/>
          <w:lang w:eastAsia="en-GB"/>
        </w:rPr>
        <w:t>NonCellDefiningSSB</w:t>
      </w:r>
      <w:r w:rsidRPr="00EA645E">
        <w:rPr>
          <w:lang w:eastAsia="zh-CN"/>
        </w:rPr>
        <w:t xml:space="preserve">, </w:t>
      </w:r>
    </w:p>
    <w:p w14:paraId="5D36DC18" w14:textId="5F11DCFF" w:rsidR="00DC6E29" w:rsidRDefault="00DC6E29" w:rsidP="00005700">
      <w:pPr>
        <w:rPr>
          <w:lang w:eastAsia="zh-CN"/>
        </w:rPr>
      </w:pPr>
      <w:r w:rsidRPr="00EA645E">
        <w:rPr>
          <w:lang w:eastAsia="zh-CN"/>
        </w:rPr>
        <w:t>the UE is not required to monitor the PDCCH candidate.</w:t>
      </w:r>
    </w:p>
    <w:p w14:paraId="5B89C9B9" w14:textId="77777777" w:rsidR="00030139" w:rsidRPr="00C72DBB" w:rsidRDefault="00030139" w:rsidP="00030139">
      <w:pPr>
        <w:rPr>
          <w:lang w:eastAsia="zh-CN"/>
        </w:rPr>
      </w:pPr>
      <w:r w:rsidRPr="00C72DBB">
        <w:rPr>
          <w:lang w:eastAsia="zh-CN"/>
        </w:rPr>
        <w:t xml:space="preserve">The SS/PBCH blocks in </w:t>
      </w:r>
      <w:r>
        <w:rPr>
          <w:lang w:eastAsia="zh-CN"/>
        </w:rPr>
        <w:t>c</w:t>
      </w:r>
      <w:r w:rsidRPr="00C72DBB">
        <w:rPr>
          <w:lang w:eastAsia="zh-CN"/>
        </w:rPr>
        <w:t>lause 8.1 for determining valid PRACH occasions in unpaired spectrum correspond to the SS/PBCH blocks that the UE used to obtain SIB1.</w:t>
      </w:r>
    </w:p>
    <w:p w14:paraId="500CA65B" w14:textId="77777777" w:rsidR="00030139" w:rsidRPr="00C72DBB" w:rsidRDefault="00030139" w:rsidP="00030139">
      <w:pPr>
        <w:rPr>
          <w:lang w:eastAsia="zh-CN"/>
        </w:rPr>
      </w:pPr>
      <w:r w:rsidRPr="00C72DBB">
        <w:rPr>
          <w:lang w:eastAsia="zh-CN"/>
        </w:rPr>
        <w:t xml:space="preserve">The SS/PBCH blocks in </w:t>
      </w:r>
      <w:r>
        <w:rPr>
          <w:lang w:eastAsia="zh-CN"/>
        </w:rPr>
        <w:t>c</w:t>
      </w:r>
      <w:r w:rsidRPr="00C72DBB">
        <w:rPr>
          <w:lang w:eastAsia="zh-CN"/>
        </w:rPr>
        <w:t>lause 8.1A for determining valid PUSCH occasions in unpaired spectrum correspond to the SS/PBCH blocks that the UE used to obtain SIB1.</w:t>
      </w:r>
    </w:p>
    <w:p w14:paraId="1056DD55" w14:textId="77777777" w:rsidR="00030139" w:rsidRPr="006527F8" w:rsidRDefault="00030139" w:rsidP="00030139">
      <w:pPr>
        <w:rPr>
          <w:lang w:eastAsia="zh-CN"/>
        </w:rPr>
      </w:pPr>
      <w:r w:rsidRPr="006527F8">
        <w:rPr>
          <w:lang w:eastAsia="zh-CN"/>
        </w:rPr>
        <w:t xml:space="preserve">The SS/PBCH blocks in </w:t>
      </w:r>
      <w:r w:rsidRPr="006527F8">
        <w:rPr>
          <w:bCs/>
          <w:lang w:val="en-US" w:eastAsia="zh-CN"/>
        </w:rPr>
        <w:t xml:space="preserve">clause 6.1.2.1 in [6, TS 38.214] and </w:t>
      </w:r>
      <w:r w:rsidRPr="006527F8">
        <w:rPr>
          <w:lang w:eastAsia="zh-CN"/>
        </w:rPr>
        <w:t xml:space="preserve">clause 8.3 for determining the </w:t>
      </w:r>
      <m:oMath>
        <m:sSubSup>
          <m:sSubSupPr>
            <m:ctrlPr>
              <w:rPr>
                <w:rFonts w:ascii="Cambria Math" w:hAnsi="Cambria Math"/>
                <w:i/>
                <w:iCs/>
                <w:lang w:eastAsia="zh-CN"/>
              </w:rPr>
            </m:ctrlPr>
          </m:sSubSupPr>
          <m:e>
            <m:r>
              <w:rPr>
                <w:rFonts w:ascii="Cambria Math" w:hAnsi="Cambria Math"/>
                <w:lang w:eastAsia="zh-CN"/>
              </w:rPr>
              <m:t>N</m:t>
            </m:r>
          </m:e>
          <m:sub>
            <m:r>
              <m:rPr>
                <m:nor/>
              </m:rPr>
              <w:rPr>
                <w:lang w:eastAsia="zh-CN"/>
              </w:rPr>
              <m:t>PUSCH</m:t>
            </m:r>
          </m:sub>
          <m:sup>
            <m:r>
              <m:rPr>
                <m:nor/>
              </m:rPr>
              <w:rPr>
                <w:lang w:eastAsia="zh-CN"/>
              </w:rPr>
              <m:t>repeat</m:t>
            </m:r>
          </m:sup>
        </m:sSubSup>
      </m:oMath>
      <w:r w:rsidRPr="006527F8">
        <w:rPr>
          <w:lang w:eastAsia="zh-CN"/>
        </w:rPr>
        <w:t xml:space="preserve"> slots for a PUSCH transmission in unpaired spectrum correspond to the SS/PBCH blocks that the UE used to obtain SIB1.</w:t>
      </w:r>
    </w:p>
    <w:p w14:paraId="20124D59" w14:textId="1DFF5761" w:rsidR="00030139" w:rsidRDefault="00030139" w:rsidP="00030139">
      <w:pPr>
        <w:tabs>
          <w:tab w:val="left" w:pos="3555"/>
        </w:tabs>
        <w:rPr>
          <w:lang w:eastAsia="zh-CN"/>
        </w:rPr>
      </w:pPr>
      <w:r w:rsidRPr="00C72DBB">
        <w:rPr>
          <w:lang w:eastAsia="zh-CN"/>
        </w:rPr>
        <w:t xml:space="preserve">The SS/PBCH blocks in </w:t>
      </w:r>
      <w:r>
        <w:rPr>
          <w:lang w:eastAsia="zh-CN"/>
        </w:rPr>
        <w:t>c</w:t>
      </w:r>
      <w:r w:rsidRPr="00C72DBB">
        <w:rPr>
          <w:lang w:eastAsia="zh-CN"/>
        </w:rPr>
        <w:t>lause 19.1 for determining valid PUSCH occasions in unpaired spectrum correspond to the SS/PBCH blocks that the UE used to obtain SIB1.</w:t>
      </w:r>
    </w:p>
    <w:p w14:paraId="7F0C6B9D" w14:textId="77777777" w:rsidR="006527F8" w:rsidRPr="006527F8" w:rsidRDefault="006527F8" w:rsidP="006527F8">
      <w:pPr>
        <w:pStyle w:val="Heading2"/>
      </w:pPr>
      <w:bookmarkStart w:id="959" w:name="_Toc161999194"/>
      <w:r w:rsidRPr="006527F8">
        <w:t>17.1A</w:t>
      </w:r>
      <w:r w:rsidRPr="006527F8">
        <w:tab/>
        <w:t>Second procedures for RedCap UE</w:t>
      </w:r>
      <w:bookmarkEnd w:id="959"/>
    </w:p>
    <w:p w14:paraId="1A896138" w14:textId="50A9064C" w:rsidR="006527F8" w:rsidRPr="006527F8" w:rsidRDefault="006527F8" w:rsidP="006527F8">
      <w:pPr>
        <w:rPr>
          <w:lang w:eastAsia="zh-CN"/>
        </w:rPr>
      </w:pPr>
      <w:r w:rsidRPr="006527F8">
        <w:rPr>
          <w:lang w:eastAsia="zh-CN"/>
        </w:rPr>
        <w:t xml:space="preserve">In this clause, the term 'UE' refers to a RedCap UE that indicates </w:t>
      </w:r>
      <w:r w:rsidRPr="006527F8">
        <w:rPr>
          <w:i/>
          <w:iCs/>
        </w:rPr>
        <w:t>supportOf</w:t>
      </w:r>
      <w:r w:rsidR="00695509">
        <w:rPr>
          <w:rFonts w:eastAsia="Yu Mincho"/>
          <w:i/>
          <w:iCs/>
          <w:kern w:val="2"/>
          <w:lang w:eastAsia="ja-JP"/>
        </w:rPr>
        <w:t>E</w:t>
      </w:r>
      <w:r w:rsidRPr="006527F8">
        <w:rPr>
          <w:i/>
          <w:iCs/>
        </w:rPr>
        <w:t>RedCap</w:t>
      </w:r>
      <w:r w:rsidRPr="006527F8">
        <w:rPr>
          <w:lang w:eastAsia="zh-CN"/>
        </w:rPr>
        <w:t>.</w:t>
      </w:r>
    </w:p>
    <w:p w14:paraId="23636C80" w14:textId="7F636ED1" w:rsidR="006527F8" w:rsidRPr="006527F8" w:rsidRDefault="006527F8" w:rsidP="006527F8">
      <w:pPr>
        <w:rPr>
          <w:lang w:eastAsia="zh-CN"/>
        </w:rPr>
      </w:pPr>
      <w:r w:rsidRPr="006527F8">
        <w:rPr>
          <w:lang w:val="en-US"/>
        </w:rPr>
        <w:t xml:space="preserve">A UE that has not indicated </w:t>
      </w:r>
      <w:r w:rsidR="00695509" w:rsidRPr="004329DE">
        <w:rPr>
          <w:bCs/>
          <w:i/>
          <w:iCs/>
          <w:lang w:val="en-US"/>
        </w:rPr>
        <w:t>eRedCapNotReducedBB-BW</w:t>
      </w:r>
      <w:r w:rsidRPr="006527F8">
        <w:rPr>
          <w:lang w:val="en-US"/>
        </w:rPr>
        <w:t xml:space="preserve"> does not expect </w:t>
      </w:r>
      <w:r w:rsidRPr="006527F8">
        <w:rPr>
          <w:lang w:eastAsia="zh-CN"/>
        </w:rPr>
        <w:t>to transmit a PUSCH over a bandwidth that is larger than 25 PRBs for 15 kHz SCS, or larger than 12 PRBs for 30 kHz SCS, per hop in a slot.</w:t>
      </w:r>
    </w:p>
    <w:p w14:paraId="38462518" w14:textId="249F46A2" w:rsidR="006527F8" w:rsidRPr="006527F8" w:rsidRDefault="006527F8" w:rsidP="006527F8">
      <w:pPr>
        <w:rPr>
          <w:lang w:eastAsia="zh-CN"/>
        </w:rPr>
      </w:pPr>
      <w:r w:rsidRPr="006527F8">
        <w:rPr>
          <w:lang w:val="en-US"/>
        </w:rPr>
        <w:t xml:space="preserve">A UE that has not indicated </w:t>
      </w:r>
      <w:r w:rsidR="00695509" w:rsidRPr="004329DE">
        <w:rPr>
          <w:bCs/>
          <w:i/>
          <w:iCs/>
          <w:lang w:val="en-US"/>
        </w:rPr>
        <w:t>eRedCapNotReducedBB-BW</w:t>
      </w:r>
      <w:r w:rsidRPr="006527F8">
        <w:rPr>
          <w:lang w:val="en-US"/>
        </w:rPr>
        <w:t xml:space="preserve"> does not expect to process </w:t>
      </w:r>
      <w:r w:rsidRPr="006527F8">
        <w:rPr>
          <w:lang w:eastAsia="zh-CN"/>
        </w:rPr>
        <w:t>a PDSCH reception that is scheduled by a DCI format with CRC scrambled by a C-RNTI, CS-RNTI, MCS-C-RNTI</w:t>
      </w:r>
      <w:r w:rsidR="00CB5B28">
        <w:rPr>
          <w:lang w:eastAsia="zh-CN"/>
        </w:rPr>
        <w:t>, G-RNTI for multicast, or G-CS-RNTI</w:t>
      </w:r>
      <w:r w:rsidR="00695509" w:rsidRPr="00376D51">
        <w:rPr>
          <w:lang w:eastAsia="zh-CN"/>
        </w:rPr>
        <w:t>, or is associated with a SPS PDSCH configuration activated by a DCI format with CRC scrambled by CS-RNTI or G-CS-RNTI,</w:t>
      </w:r>
      <w:r w:rsidRPr="006527F8">
        <w:rPr>
          <w:lang w:eastAsia="zh-CN"/>
        </w:rPr>
        <w:t xml:space="preserve"> over a number of PRBs that is larger than 25 PRBs for 15 kHz SCS, or larger than 12 PRBs for 30 kHz SCS, in a slot.</w:t>
      </w:r>
    </w:p>
    <w:p w14:paraId="7609E534" w14:textId="0D656E53" w:rsidR="006527F8" w:rsidRPr="006527F8" w:rsidRDefault="006527F8" w:rsidP="006527F8">
      <w:pPr>
        <w:rPr>
          <w:lang w:eastAsia="zh-CN"/>
        </w:rPr>
      </w:pPr>
      <w:r w:rsidRPr="006527F8">
        <w:t xml:space="preserve">A UE </w:t>
      </w:r>
      <w:r w:rsidRPr="006527F8">
        <w:rPr>
          <w:lang w:val="en-US"/>
        </w:rPr>
        <w:t xml:space="preserve">that has not indicated </w:t>
      </w:r>
      <w:r w:rsidR="00695509" w:rsidRPr="004329DE">
        <w:rPr>
          <w:bCs/>
          <w:i/>
          <w:iCs/>
          <w:lang w:val="en-US"/>
        </w:rPr>
        <w:t>eRedCapNotReducedBB-BW</w:t>
      </w:r>
      <w:r w:rsidRPr="006527F8">
        <w:rPr>
          <w:lang w:val="en-US"/>
        </w:rPr>
        <w:t xml:space="preserve"> </w:t>
      </w:r>
      <w:r w:rsidRPr="006527F8">
        <w:t xml:space="preserve">is not required to process </w:t>
      </w:r>
      <w:r w:rsidRPr="006527F8">
        <w:rPr>
          <w:lang w:eastAsia="zh-CN"/>
        </w:rPr>
        <w:t xml:space="preserve">a PDSCH reception in slot </w:t>
      </w:r>
      <m:oMath>
        <m:r>
          <w:rPr>
            <w:rFonts w:ascii="Cambria Math" w:hAnsi="Cambria Math"/>
            <w:lang w:eastAsia="zh-CN"/>
          </w:rPr>
          <m:t>n</m:t>
        </m:r>
      </m:oMath>
      <w:r w:rsidRPr="006527F8">
        <w:t xml:space="preserve"> </w:t>
      </w:r>
      <w:r w:rsidRPr="006527F8">
        <w:rPr>
          <w:lang w:eastAsia="zh-CN"/>
        </w:rPr>
        <w:t xml:space="preserve">that is scheduled by a DCI format with CRC scrambled by a G-RNTI for broadcast </w:t>
      </w:r>
      <w:r w:rsidR="00CB5B28">
        <w:rPr>
          <w:lang w:eastAsia="zh-CN"/>
        </w:rPr>
        <w:t xml:space="preserve">or a MCCH-RNTI </w:t>
      </w:r>
      <w:r w:rsidRPr="006527F8">
        <w:rPr>
          <w:lang w:eastAsia="zh-CN"/>
        </w:rPr>
        <w:t xml:space="preserve">over a number of PRBs that is larger than 25 PRBs for 15 kHz SCS, or larger than 12 PRBs for 30 kHz SCS, when the PDSCH reception is with repetitions or when the UE receives another PDSCH in slot </w:t>
      </w:r>
      <m:oMath>
        <m:r>
          <w:rPr>
            <w:rFonts w:ascii="Cambria Math" w:hAnsi="Cambria Math"/>
            <w:lang w:eastAsia="zh-CN"/>
          </w:rPr>
          <m:t>n+1</m:t>
        </m:r>
      </m:oMath>
      <w:r w:rsidRPr="006527F8">
        <w:rPr>
          <w:lang w:eastAsia="zh-CN"/>
        </w:rPr>
        <w:t>.</w:t>
      </w:r>
    </w:p>
    <w:p w14:paraId="74AAF3C6" w14:textId="77777777" w:rsidR="006527F8" w:rsidRPr="006527F8" w:rsidRDefault="006527F8" w:rsidP="006527F8">
      <w:pPr>
        <w:rPr>
          <w:lang w:eastAsia="zh-CN"/>
        </w:rPr>
      </w:pPr>
      <w:r w:rsidRPr="006527F8">
        <w:t xml:space="preserve">A UE is not required to process </w:t>
      </w:r>
      <w:r w:rsidRPr="006527F8">
        <w:rPr>
          <w:lang w:eastAsia="zh-CN"/>
        </w:rPr>
        <w:t>a PDSCH reception that is scheduled by a DCI format with CRC scrambled by a TC-RNTI over a number of PRBs that is larger than 25 PRBs for 15 kHz SCS, or larger than 12 PRBs for 30 kHz SCS, in a slot.</w:t>
      </w:r>
    </w:p>
    <w:p w14:paraId="5D56E4BF" w14:textId="737C9E35" w:rsidR="006527F8" w:rsidRPr="006527F8" w:rsidRDefault="006527F8" w:rsidP="006527F8">
      <w:pPr>
        <w:rPr>
          <w:rFonts w:eastAsia="PMingLiU"/>
          <w:kern w:val="2"/>
          <w:lang w:eastAsia="zh-TW"/>
        </w:rPr>
      </w:pPr>
      <w:r w:rsidRPr="006527F8">
        <w:rPr>
          <w:rFonts w:eastAsia="PMingLiU"/>
          <w:kern w:val="2"/>
          <w:lang w:eastAsia="zh-TW"/>
        </w:rPr>
        <w:t>A UE does not expect to transmit a PUSCH over a bandwidth that is larger than 25 PRBs for 15 kHz SCS, or larger than 12 PRBs for 30 kHz SCS, per hop in a slot, where the PUSCH is scheduled by RAR UL grant or by a DCI scrambled by a TC-RNTI, or is configured for a Type-2 random access procedure.</w:t>
      </w:r>
    </w:p>
    <w:p w14:paraId="699249ED" w14:textId="77777777" w:rsidR="006527F8" w:rsidRPr="006527F8" w:rsidRDefault="006527F8" w:rsidP="006527F8">
      <w:pPr>
        <w:rPr>
          <w:lang w:val="en-US"/>
        </w:rPr>
      </w:pPr>
      <w:r w:rsidRPr="006527F8">
        <w:rPr>
          <w:lang w:val="en-US"/>
        </w:rPr>
        <w:t xml:space="preserve">When </w:t>
      </w:r>
    </w:p>
    <w:p w14:paraId="2C2B016F" w14:textId="77777777" w:rsidR="006527F8" w:rsidRPr="006527F8" w:rsidRDefault="006527F8" w:rsidP="006527F8">
      <w:pPr>
        <w:pStyle w:val="B1"/>
        <w:rPr>
          <w:lang w:eastAsia="zh-CN"/>
        </w:rPr>
      </w:pPr>
      <w:r w:rsidRPr="006527F8">
        <w:t>-</w:t>
      </w:r>
      <w:r w:rsidRPr="006527F8">
        <w:tab/>
        <w:t xml:space="preserve">a UE receives a PDSCH scheduled by a DCI format with CRC scrambled by a RA-RNTI or a MsgB-RNTI over a </w:t>
      </w:r>
      <w:r w:rsidRPr="006527F8">
        <w:rPr>
          <w:lang w:eastAsia="zh-CN"/>
        </w:rPr>
        <w:t>number of PRBs that is</w:t>
      </w:r>
      <w:r w:rsidRPr="006527F8">
        <w:t xml:space="preserve"> larger</w:t>
      </w:r>
      <w:r w:rsidRPr="006527F8">
        <w:rPr>
          <w:lang w:eastAsia="zh-CN"/>
        </w:rPr>
        <w:t xml:space="preserve"> than 25 PRBs for 15 kHz SCS or larger than 12 PRBs for 30 kHz SCS, and </w:t>
      </w:r>
    </w:p>
    <w:p w14:paraId="08E2CE3A" w14:textId="77777777" w:rsidR="006527F8" w:rsidRPr="006527F8" w:rsidRDefault="006527F8" w:rsidP="006527F8">
      <w:pPr>
        <w:pStyle w:val="B1"/>
        <w:rPr>
          <w:lang w:eastAsia="zh-CN"/>
        </w:rPr>
      </w:pPr>
      <w:r w:rsidRPr="006527F8">
        <w:t>-</w:t>
      </w:r>
      <w:r w:rsidRPr="006527F8">
        <w:tab/>
      </w:r>
      <w:r w:rsidRPr="006527F8">
        <w:rPr>
          <w:lang w:eastAsia="zh-CN"/>
        </w:rPr>
        <w:t xml:space="preserve">the PDSCH includes a RAR message with an RAR UL grant scheduling a Msg3 PUSCH transmission from the UE, as described in Clauses 8.2 and 8.2A </w:t>
      </w:r>
    </w:p>
    <w:p w14:paraId="000E44D1" w14:textId="77777777" w:rsidR="006527F8" w:rsidRPr="006527F8" w:rsidRDefault="006527F8" w:rsidP="006527F8">
      <w:pPr>
        <w:rPr>
          <w:lang w:val="en-US"/>
        </w:rPr>
      </w:pPr>
      <w:r w:rsidRPr="006527F8">
        <w:rPr>
          <w:lang w:eastAsia="zh-CN"/>
        </w:rPr>
        <w:t xml:space="preserve">the UE transmits the Msg3 PUSCH if </w:t>
      </w:r>
      <w:r w:rsidRPr="006527F8">
        <w:t xml:space="preserve">a time between the last symbol of a PDSCH reception conveying the RAR message and the first symbol of the Msg3 PUSCH transmission is not smaller than </w:t>
      </w:r>
      <m:oMath>
        <m:sSub>
          <m:sSubPr>
            <m:ctrlPr>
              <w:rPr>
                <w:rFonts w:ascii="Cambria Math" w:eastAsia="MS Mincho" w:hAnsi="Cambria Math"/>
                <w:i/>
                <w:kern w:val="2"/>
              </w:rPr>
            </m:ctrlPr>
          </m:sSubPr>
          <m:e>
            <m:r>
              <w:rPr>
                <w:rFonts w:ascii="Cambria Math" w:eastAsia="MS Mincho" w:hAnsi="Cambria Math"/>
                <w:kern w:val="2"/>
              </w:rPr>
              <m:t>N</m:t>
            </m:r>
          </m:e>
          <m:sub>
            <m:r>
              <w:rPr>
                <w:rFonts w:ascii="Cambria Math" w:eastAsia="MS Mincho" w:hAnsi="Cambria Math"/>
                <w:kern w:val="2"/>
              </w:rPr>
              <m:t>T,1</m:t>
            </m:r>
          </m:sub>
        </m:sSub>
        <m:r>
          <w:rPr>
            <w:rFonts w:ascii="Cambria Math" w:eastAsia="MS Mincho" w:hAnsi="Cambria Math"/>
            <w:kern w:val="2"/>
          </w:rPr>
          <m:t>+</m:t>
        </m:r>
        <m:sSub>
          <m:sSubPr>
            <m:ctrlPr>
              <w:rPr>
                <w:rFonts w:ascii="Cambria Math" w:eastAsia="MS Mincho" w:hAnsi="Cambria Math"/>
                <w:i/>
                <w:kern w:val="2"/>
              </w:rPr>
            </m:ctrlPr>
          </m:sSubPr>
          <m:e>
            <m:r>
              <w:rPr>
                <w:rFonts w:ascii="Cambria Math" w:eastAsia="MS Mincho" w:hAnsi="Cambria Math"/>
                <w:kern w:val="2"/>
              </w:rPr>
              <m:t>N</m:t>
            </m:r>
          </m:e>
          <m:sub>
            <m:r>
              <w:rPr>
                <w:rFonts w:ascii="Cambria Math" w:eastAsia="MS Mincho" w:hAnsi="Cambria Math"/>
                <w:kern w:val="2"/>
              </w:rPr>
              <m:t>T,2</m:t>
            </m:r>
          </m:sub>
        </m:sSub>
        <m:r>
          <w:rPr>
            <w:rFonts w:ascii="Cambria Math" w:eastAsia="MS Mincho" w:hAnsi="Cambria Math"/>
            <w:kern w:val="2"/>
          </w:rPr>
          <m:t>+1.5</m:t>
        </m:r>
      </m:oMath>
      <w:r w:rsidRPr="006527F8">
        <w:t xml:space="preserve"> </w:t>
      </w:r>
      <w:r w:rsidRPr="006527F8">
        <w:rPr>
          <w:lang w:val="en-US"/>
        </w:rPr>
        <w:t xml:space="preserve">msec for 15 kHz SCS or </w:t>
      </w:r>
      <m:oMath>
        <m:sSub>
          <m:sSubPr>
            <m:ctrlPr>
              <w:rPr>
                <w:rFonts w:ascii="Cambria Math" w:eastAsia="MS Mincho" w:hAnsi="Cambria Math"/>
                <w:i/>
                <w:kern w:val="2"/>
              </w:rPr>
            </m:ctrlPr>
          </m:sSubPr>
          <m:e>
            <m:r>
              <w:rPr>
                <w:rFonts w:ascii="Cambria Math" w:eastAsia="MS Mincho" w:hAnsi="Cambria Math"/>
                <w:kern w:val="2"/>
              </w:rPr>
              <m:t>N</m:t>
            </m:r>
          </m:e>
          <m:sub>
            <m:r>
              <w:rPr>
                <w:rFonts w:ascii="Cambria Math" w:eastAsia="MS Mincho" w:hAnsi="Cambria Math"/>
                <w:kern w:val="2"/>
              </w:rPr>
              <m:t>T,1</m:t>
            </m:r>
          </m:sub>
        </m:sSub>
        <m:r>
          <w:rPr>
            <w:rFonts w:ascii="Cambria Math" w:eastAsia="MS Mincho" w:hAnsi="Cambria Math"/>
            <w:kern w:val="2"/>
          </w:rPr>
          <m:t>+</m:t>
        </m:r>
        <m:sSub>
          <m:sSubPr>
            <m:ctrlPr>
              <w:rPr>
                <w:rFonts w:ascii="Cambria Math" w:eastAsia="MS Mincho" w:hAnsi="Cambria Math"/>
                <w:i/>
                <w:kern w:val="2"/>
              </w:rPr>
            </m:ctrlPr>
          </m:sSubPr>
          <m:e>
            <m:r>
              <w:rPr>
                <w:rFonts w:ascii="Cambria Math" w:eastAsia="MS Mincho" w:hAnsi="Cambria Math"/>
                <w:kern w:val="2"/>
              </w:rPr>
              <m:t>N</m:t>
            </m:r>
          </m:e>
          <m:sub>
            <m:r>
              <w:rPr>
                <w:rFonts w:ascii="Cambria Math" w:eastAsia="MS Mincho" w:hAnsi="Cambria Math"/>
                <w:kern w:val="2"/>
              </w:rPr>
              <m:t>T,2</m:t>
            </m:r>
          </m:sub>
        </m:sSub>
        <m:r>
          <w:rPr>
            <w:rFonts w:ascii="Cambria Math" w:eastAsia="MS Mincho" w:hAnsi="Cambria Math"/>
            <w:kern w:val="2"/>
          </w:rPr>
          <m:t>+1.0</m:t>
        </m:r>
      </m:oMath>
      <w:r w:rsidRPr="006527F8">
        <w:rPr>
          <w:kern w:val="2"/>
        </w:rPr>
        <w:t xml:space="preserve"> msec for 30 kHz SCS </w:t>
      </w:r>
      <w:r w:rsidRPr="006527F8">
        <w:rPr>
          <w:rFonts w:eastAsia="Calibri"/>
        </w:rPr>
        <w:t xml:space="preserve">where </w:t>
      </w:r>
      <m:oMath>
        <m:sSub>
          <m:sSubPr>
            <m:ctrlPr>
              <w:rPr>
                <w:rFonts w:ascii="Cambria Math" w:hAnsi="Cambria Math"/>
                <w:i/>
              </w:rPr>
            </m:ctrlPr>
          </m:sSubPr>
          <m:e>
            <m:r>
              <w:rPr>
                <w:rFonts w:ascii="Cambria Math"/>
              </w:rPr>
              <m:t>N</m:t>
            </m:r>
          </m:e>
          <m:sub>
            <m:r>
              <w:rPr>
                <w:rFonts w:ascii="Cambria Math" w:hAnsi="Cambria Math"/>
              </w:rPr>
              <m:t>T,1</m:t>
            </m:r>
          </m:sub>
        </m:sSub>
      </m:oMath>
      <w:r w:rsidRPr="006527F8">
        <w:rPr>
          <w:rFonts w:eastAsia="Calibri"/>
        </w:rPr>
        <w:t xml:space="preserve"> </w:t>
      </w:r>
      <w:r w:rsidRPr="006527F8">
        <w:rPr>
          <w:kern w:val="2"/>
        </w:rPr>
        <w:t xml:space="preserve">and </w:t>
      </w:r>
      <m:oMath>
        <m:sSub>
          <m:sSubPr>
            <m:ctrlPr>
              <w:rPr>
                <w:rFonts w:ascii="Cambria Math" w:eastAsia="MS Mincho" w:hAnsi="Cambria Math"/>
                <w:i/>
                <w:kern w:val="2"/>
              </w:rPr>
            </m:ctrlPr>
          </m:sSubPr>
          <m:e>
            <m:r>
              <w:rPr>
                <w:rFonts w:ascii="Cambria Math" w:eastAsia="MS Mincho" w:hAnsi="Cambria Math"/>
                <w:kern w:val="2"/>
              </w:rPr>
              <m:t>N</m:t>
            </m:r>
          </m:e>
          <m:sub>
            <m:r>
              <w:rPr>
                <w:rFonts w:ascii="Cambria Math" w:eastAsia="MS Mincho" w:hAnsi="Cambria Math"/>
                <w:kern w:val="2"/>
              </w:rPr>
              <m:t>T,2</m:t>
            </m:r>
          </m:sub>
        </m:sSub>
      </m:oMath>
      <w:r w:rsidRPr="006527F8">
        <w:t xml:space="preserve"> are defined in clause 8.3; otherwise, the UE behaviour </w:t>
      </w:r>
      <w:r w:rsidRPr="006527F8">
        <w:rPr>
          <w:bCs/>
          <w:kern w:val="32"/>
          <w:lang w:val="en-US" w:eastAsia="zh-CN"/>
        </w:rPr>
        <w:t>is based on UE implementation</w:t>
      </w:r>
      <w:r w:rsidRPr="006527F8">
        <w:rPr>
          <w:lang w:val="en-US"/>
        </w:rPr>
        <w:t>.</w:t>
      </w:r>
    </w:p>
    <w:p w14:paraId="3E72ACD0" w14:textId="77777777" w:rsidR="006527F8" w:rsidRPr="006527F8" w:rsidRDefault="006527F8" w:rsidP="006527F8">
      <w:pPr>
        <w:rPr>
          <w:lang w:val="en-US"/>
        </w:rPr>
      </w:pPr>
      <w:r w:rsidRPr="006527F8">
        <w:rPr>
          <w:lang w:val="en-US"/>
        </w:rPr>
        <w:t xml:space="preserve">When </w:t>
      </w:r>
    </w:p>
    <w:p w14:paraId="505C8BD1" w14:textId="77777777" w:rsidR="006527F8" w:rsidRPr="006527F8" w:rsidRDefault="006527F8" w:rsidP="006527F8">
      <w:pPr>
        <w:pStyle w:val="B1"/>
        <w:rPr>
          <w:lang w:eastAsia="zh-CN"/>
        </w:rPr>
      </w:pPr>
      <w:r w:rsidRPr="006527F8">
        <w:t>-</w:t>
      </w:r>
      <w:r w:rsidRPr="006527F8">
        <w:tab/>
      </w:r>
      <w:r w:rsidRPr="006527F8">
        <w:rPr>
          <w:lang w:val="en-US"/>
        </w:rPr>
        <w:t xml:space="preserve">a UE receives a PDSCH scheduled by a DCI format with CRC scrambled by a RA-RNTI or a MsgB-RNTI over </w:t>
      </w:r>
      <w:r w:rsidRPr="006527F8">
        <w:rPr>
          <w:lang w:eastAsia="zh-CN"/>
        </w:rPr>
        <w:t xml:space="preserve">a number of PRBs that is larger than 25 PRBs for 15 kHz SCS or larger than 12 PRBs for 30 kHz SCS, and </w:t>
      </w:r>
    </w:p>
    <w:p w14:paraId="096CB9C1" w14:textId="77777777" w:rsidR="006527F8" w:rsidRPr="006527F8" w:rsidRDefault="006527F8" w:rsidP="006527F8">
      <w:pPr>
        <w:pStyle w:val="B1"/>
        <w:rPr>
          <w:lang w:eastAsia="zh-CN"/>
        </w:rPr>
      </w:pPr>
      <w:r w:rsidRPr="006527F8">
        <w:lastRenderedPageBreak/>
        <w:t>-</w:t>
      </w:r>
      <w:r w:rsidRPr="006527F8">
        <w:tab/>
      </w:r>
      <w:r w:rsidRPr="006527F8">
        <w:rPr>
          <w:lang w:eastAsia="zh-CN"/>
        </w:rPr>
        <w:t>the UE does not correctly receive the transport block provided by the PDSCH, or</w:t>
      </w:r>
      <w:r w:rsidRPr="006527F8">
        <w:t xml:space="preserve"> if the higher layers at the UE do not identify a RAPID associated with a corresponding PRACH transmission from the UE</w:t>
      </w:r>
    </w:p>
    <w:p w14:paraId="2B1ED903" w14:textId="04943A40" w:rsidR="006527F8" w:rsidRPr="006527F8" w:rsidRDefault="00CB5B28" w:rsidP="006527F8">
      <w:pPr>
        <w:rPr>
          <w:lang w:val="en-US"/>
        </w:rPr>
      </w:pPr>
      <w:r>
        <w:rPr>
          <w:lang w:eastAsia="zh-CN"/>
        </w:rPr>
        <w:t xml:space="preserve">if requested by higher layers, </w:t>
      </w:r>
      <w:r w:rsidR="006527F8" w:rsidRPr="006527F8">
        <w:rPr>
          <w:lang w:eastAsia="zh-CN"/>
        </w:rPr>
        <w:t xml:space="preserve">the UE </w:t>
      </w:r>
      <w:r w:rsidR="006527F8" w:rsidRPr="006527F8">
        <w:rPr>
          <w:rFonts w:eastAsia="DengXian"/>
        </w:rPr>
        <w:t>shall be ready</w:t>
      </w:r>
      <w:r w:rsidR="006527F8" w:rsidRPr="006527F8">
        <w:t xml:space="preserve"> to transmit a PRACH no later than </w:t>
      </w:r>
      <m:oMath>
        <m:sSub>
          <m:sSubPr>
            <m:ctrlPr>
              <w:rPr>
                <w:rFonts w:ascii="Cambria Math" w:hAnsi="Cambria Math"/>
                <w:i/>
              </w:rPr>
            </m:ctrlPr>
          </m:sSubPr>
          <m:e>
            <m:r>
              <w:rPr>
                <w:rFonts w:ascii="Cambria Math"/>
              </w:rPr>
              <m:t>N</m:t>
            </m:r>
          </m:e>
          <m:sub>
            <m:r>
              <w:rPr>
                <w:rFonts w:ascii="Cambria Math" w:hAnsi="Cambria Math"/>
              </w:rPr>
              <m:t>T,1</m:t>
            </m:r>
          </m:sub>
        </m:sSub>
        <m:r>
          <w:rPr>
            <w:rFonts w:ascii="Cambria Math" w:hAnsi="Cambria Math"/>
          </w:rPr>
          <m:t>+1.75</m:t>
        </m:r>
      </m:oMath>
      <w:r w:rsidR="006527F8" w:rsidRPr="006527F8">
        <w:t xml:space="preserve"> </w:t>
      </w:r>
      <w:r w:rsidR="006527F8" w:rsidRPr="006527F8">
        <w:rPr>
          <w:lang w:val="en-US"/>
        </w:rPr>
        <w:t xml:space="preserve">msec for 15 kHz SCS, or no later than </w:t>
      </w:r>
      <m:oMath>
        <m:sSub>
          <m:sSubPr>
            <m:ctrlPr>
              <w:rPr>
                <w:rFonts w:ascii="Cambria Math" w:hAnsi="Cambria Math"/>
                <w:i/>
              </w:rPr>
            </m:ctrlPr>
          </m:sSubPr>
          <m:e>
            <m:r>
              <w:rPr>
                <w:rFonts w:ascii="Cambria Math"/>
              </w:rPr>
              <m:t>N</m:t>
            </m:r>
          </m:e>
          <m:sub>
            <m:r>
              <w:rPr>
                <w:rFonts w:ascii="Cambria Math" w:hAnsi="Cambria Math"/>
              </w:rPr>
              <m:t>T,1</m:t>
            </m:r>
          </m:sub>
        </m:sSub>
        <m:r>
          <w:rPr>
            <w:rFonts w:ascii="Cambria Math" w:hAnsi="Cambria Math"/>
          </w:rPr>
          <m:t>+1.25</m:t>
        </m:r>
      </m:oMath>
      <w:r w:rsidR="006527F8" w:rsidRPr="006527F8">
        <w:t xml:space="preserve"> </w:t>
      </w:r>
      <w:r w:rsidR="006527F8" w:rsidRPr="006527F8">
        <w:rPr>
          <w:lang w:val="en-US"/>
        </w:rPr>
        <w:t>msec for 30 kHz SCS,</w:t>
      </w:r>
      <w:r w:rsidR="006527F8" w:rsidRPr="006527F8">
        <w:t xml:space="preserve"> after the last symbol of the PDSCH reception, or after the last symbol of the window as described in Clauses 8.2 and 8.2A</w:t>
      </w:r>
      <w:r w:rsidR="006527F8" w:rsidRPr="006527F8">
        <w:rPr>
          <w:lang w:val="en-US"/>
        </w:rPr>
        <w:t>.</w:t>
      </w:r>
    </w:p>
    <w:p w14:paraId="59780EE5" w14:textId="77777777" w:rsidR="006527F8" w:rsidRPr="006527F8" w:rsidRDefault="006527F8" w:rsidP="006527F8">
      <w:pPr>
        <w:rPr>
          <w:lang w:val="en-US"/>
        </w:rPr>
      </w:pPr>
      <w:r w:rsidRPr="006527F8">
        <w:rPr>
          <w:lang w:val="en-US"/>
        </w:rPr>
        <w:t xml:space="preserve">When </w:t>
      </w:r>
    </w:p>
    <w:p w14:paraId="6DE059FB" w14:textId="77777777" w:rsidR="006527F8" w:rsidRPr="006527F8" w:rsidRDefault="006527F8" w:rsidP="006527F8">
      <w:pPr>
        <w:pStyle w:val="B1"/>
        <w:rPr>
          <w:lang w:eastAsia="zh-CN"/>
        </w:rPr>
      </w:pPr>
      <w:r w:rsidRPr="006527F8">
        <w:t>-</w:t>
      </w:r>
      <w:r w:rsidRPr="006527F8">
        <w:tab/>
      </w:r>
      <w:r w:rsidRPr="006527F8">
        <w:rPr>
          <w:lang w:val="en-US"/>
        </w:rPr>
        <w:t xml:space="preserve">a UE receives a PDSCH scheduled by a DCI format with CRC scrambled by MsgB-RNTI over </w:t>
      </w:r>
      <w:r w:rsidRPr="006527F8">
        <w:rPr>
          <w:lang w:eastAsia="zh-CN"/>
        </w:rPr>
        <w:t xml:space="preserve">a number of PRBs that is larger than 25 PRBs for 15 kHz SCS or larger than 12 PRBs for 30 kHz SCS, and </w:t>
      </w:r>
    </w:p>
    <w:p w14:paraId="52E8D683" w14:textId="77777777" w:rsidR="006527F8" w:rsidRPr="006527F8" w:rsidRDefault="006527F8" w:rsidP="006527F8">
      <w:pPr>
        <w:pStyle w:val="B1"/>
        <w:rPr>
          <w:lang w:eastAsia="zh-CN"/>
        </w:rPr>
      </w:pPr>
      <w:r w:rsidRPr="006527F8">
        <w:t>-</w:t>
      </w:r>
      <w:r w:rsidRPr="006527F8">
        <w:tab/>
      </w:r>
      <w:r w:rsidRPr="006527F8">
        <w:rPr>
          <w:lang w:eastAsia="zh-CN"/>
        </w:rPr>
        <w:t xml:space="preserve">the PDSCH includes a RAR message that </w:t>
      </w:r>
      <w:r w:rsidRPr="006527F8">
        <w:t xml:space="preserve">is for </w:t>
      </w:r>
      <w:r w:rsidRPr="006527F8">
        <w:rPr>
          <w:rFonts w:eastAsia="Calibri"/>
        </w:rPr>
        <w:t>successRAR</w:t>
      </w:r>
      <w:r w:rsidRPr="006527F8">
        <w:rPr>
          <w:lang w:eastAsia="zh-CN"/>
        </w:rPr>
        <w:t xml:space="preserve"> for the UE as described in Clause 8.2A </w:t>
      </w:r>
    </w:p>
    <w:p w14:paraId="3DCFA55C" w14:textId="3D2D8BA3" w:rsidR="006527F8" w:rsidRPr="006527F8" w:rsidRDefault="006527F8" w:rsidP="006527F8">
      <w:pPr>
        <w:rPr>
          <w:lang w:val="en-US"/>
        </w:rPr>
      </w:pPr>
      <w:r w:rsidRPr="006527F8">
        <w:rPr>
          <w:lang w:eastAsia="zh-CN"/>
        </w:rPr>
        <w:t xml:space="preserve">the UE transmits a PUCCH with HARQ-ACK information if </w:t>
      </w:r>
      <w:r w:rsidRPr="006527F8">
        <w:t xml:space="preserve">a time between the last symbol of the PDSCH reception conveying the RAR message and the first symbol of the PUCCH transmission is not smaller than </w:t>
      </w:r>
      <m:oMath>
        <m:sSub>
          <m:sSubPr>
            <m:ctrlPr>
              <w:rPr>
                <w:rFonts w:ascii="Cambria Math" w:eastAsia="MS Mincho" w:hAnsi="Cambria Math"/>
                <w:i/>
                <w:kern w:val="2"/>
              </w:rPr>
            </m:ctrlPr>
          </m:sSubPr>
          <m:e>
            <m:r>
              <w:rPr>
                <w:rFonts w:ascii="Cambria Math" w:eastAsia="MS Mincho" w:hAnsi="Cambria Math"/>
                <w:kern w:val="2"/>
              </w:rPr>
              <m:t>N</m:t>
            </m:r>
          </m:e>
          <m:sub>
            <m:r>
              <w:rPr>
                <w:rFonts w:ascii="Cambria Math" w:eastAsia="MS Mincho" w:hAnsi="Cambria Math"/>
                <w:kern w:val="2"/>
              </w:rPr>
              <m:t>T,1</m:t>
            </m:r>
          </m:sub>
        </m:sSub>
        <m:r>
          <w:rPr>
            <w:rFonts w:ascii="Cambria Math" w:eastAsia="MS Mincho" w:hAnsi="Cambria Math"/>
            <w:kern w:val="2"/>
          </w:rPr>
          <m:t>+1.5</m:t>
        </m:r>
      </m:oMath>
      <w:r w:rsidRPr="006527F8">
        <w:t xml:space="preserve"> </w:t>
      </w:r>
      <w:r w:rsidRPr="006527F8">
        <w:rPr>
          <w:lang w:val="en-US"/>
        </w:rPr>
        <w:t xml:space="preserve">msec for 15 kHz SCS or </w:t>
      </w:r>
      <m:oMath>
        <m:sSub>
          <m:sSubPr>
            <m:ctrlPr>
              <w:rPr>
                <w:rFonts w:ascii="Cambria Math" w:eastAsia="MS Mincho" w:hAnsi="Cambria Math"/>
                <w:i/>
                <w:kern w:val="2"/>
              </w:rPr>
            </m:ctrlPr>
          </m:sSubPr>
          <m:e>
            <m:r>
              <w:rPr>
                <w:rFonts w:ascii="Cambria Math" w:eastAsia="MS Mincho" w:hAnsi="Cambria Math"/>
                <w:kern w:val="2"/>
              </w:rPr>
              <m:t>N</m:t>
            </m:r>
          </m:e>
          <m:sub>
            <m:r>
              <w:rPr>
                <w:rFonts w:ascii="Cambria Math" w:eastAsia="MS Mincho" w:hAnsi="Cambria Math"/>
                <w:kern w:val="2"/>
              </w:rPr>
              <m:t>T,1</m:t>
            </m:r>
          </m:sub>
        </m:sSub>
        <m:r>
          <w:rPr>
            <w:rFonts w:ascii="Cambria Math" w:eastAsia="MS Mincho" w:hAnsi="Cambria Math"/>
            <w:kern w:val="2"/>
          </w:rPr>
          <m:t>+1.0</m:t>
        </m:r>
      </m:oMath>
      <w:r w:rsidRPr="006527F8">
        <w:rPr>
          <w:kern w:val="2"/>
        </w:rPr>
        <w:t xml:space="preserve"> msec for 30 kHz SCS</w:t>
      </w:r>
      <w:r w:rsidRPr="006527F8">
        <w:t xml:space="preserve">; otherwise, the UE behaviour </w:t>
      </w:r>
      <w:r w:rsidRPr="006527F8">
        <w:rPr>
          <w:bCs/>
          <w:kern w:val="32"/>
          <w:lang w:val="en-US" w:eastAsia="zh-CN"/>
        </w:rPr>
        <w:t>is based on UE implementation</w:t>
      </w:r>
      <w:r w:rsidRPr="006527F8">
        <w:rPr>
          <w:lang w:val="en-US"/>
        </w:rPr>
        <w:t>.</w:t>
      </w:r>
    </w:p>
    <w:p w14:paraId="0F7FF783" w14:textId="77777777" w:rsidR="00005700" w:rsidRPr="00D26445" w:rsidRDefault="00005700" w:rsidP="00005700">
      <w:pPr>
        <w:pStyle w:val="Heading2"/>
      </w:pPr>
      <w:bookmarkStart w:id="960" w:name="_Toc161999195"/>
      <w:r w:rsidRPr="00D26445">
        <w:t>1</w:t>
      </w:r>
      <w:r>
        <w:t>7.2</w:t>
      </w:r>
      <w:r w:rsidRPr="00D26445">
        <w:tab/>
      </w:r>
      <w:r>
        <w:t>Half-Duplex UE in paired spectrum</w:t>
      </w:r>
      <w:bookmarkEnd w:id="960"/>
    </w:p>
    <w:p w14:paraId="3B472379" w14:textId="5D2254C1" w:rsidR="00005700" w:rsidRDefault="00005700" w:rsidP="00005700">
      <w:r w:rsidRPr="00CF3704">
        <w:t xml:space="preserve">A </w:t>
      </w:r>
      <w:r>
        <w:t xml:space="preserve">half-duplex </w:t>
      </w:r>
      <w:r w:rsidRPr="00CF3704">
        <w:t xml:space="preserve">UE </w:t>
      </w:r>
      <w:r>
        <w:t xml:space="preserve">(HD-UE) in paired spectrum is </w:t>
      </w:r>
      <w:r w:rsidRPr="00CF3704">
        <w:t xml:space="preserve">not capable of </w:t>
      </w:r>
      <w:r>
        <w:t>simultaneous transmissions and receptions on a serving cell with paired spectrum. This clause is applicable for communication of a HD-UE on a serving cell with paired spectrum.</w:t>
      </w:r>
      <w:r w:rsidR="00944556">
        <w:t xml:space="preserve"> </w:t>
      </w:r>
      <w:r w:rsidR="00944556" w:rsidRPr="00800EFF">
        <w:t>Procedures for a HD-UE are same as described for a UE in all other clauses of this document unless stated otherwise.</w:t>
      </w:r>
    </w:p>
    <w:p w14:paraId="3328AC5A" w14:textId="77777777" w:rsidR="00005700" w:rsidRPr="00CE5013" w:rsidRDefault="00005700" w:rsidP="00005700">
      <w:pPr>
        <w:rPr>
          <w:lang w:val="en-US"/>
        </w:rPr>
      </w:pPr>
      <w:r>
        <w:t>A HD-</w:t>
      </w:r>
      <w:r w:rsidRPr="0080392F">
        <w:t xml:space="preserve">UE does not </w:t>
      </w:r>
      <w:r>
        <w:rPr>
          <w:lang w:val="en-US"/>
        </w:rPr>
        <w:t>expect to detect a DCI format scheduling a reception in a set of symbols and detect a DCI format scheduling a transmission in any symbol from the set of symbols.</w:t>
      </w:r>
    </w:p>
    <w:p w14:paraId="7E770385" w14:textId="77777777" w:rsidR="00E954BA" w:rsidRPr="00127CB5" w:rsidRDefault="00E954BA" w:rsidP="00E954BA">
      <w:r w:rsidRPr="00127CB5">
        <w:rPr>
          <w:rFonts w:eastAsia="Malgun Gothic"/>
        </w:rPr>
        <w:t>When a PDCCH reception by a UE includes two PDCCH candidates from corresponding search space sets, as described in clause 10.1, the end of the PDCCH reception is the end of the PDCCH candidate that ends later.</w:t>
      </w:r>
    </w:p>
    <w:p w14:paraId="3A68D8E7" w14:textId="77777777" w:rsidR="00005700" w:rsidRPr="009F44B1" w:rsidRDefault="00005700" w:rsidP="00005700">
      <w:r>
        <w:t>I</w:t>
      </w:r>
      <w:r w:rsidRPr="009F44B1">
        <w:t xml:space="preserve">f a </w:t>
      </w:r>
      <w:r>
        <w:t>HD-</w:t>
      </w:r>
      <w:r w:rsidRPr="009F44B1">
        <w:t xml:space="preserve">UE is configured by higher layers to receive a PDCCH, </w:t>
      </w:r>
      <w:r>
        <w:t xml:space="preserve">or </w:t>
      </w:r>
      <w:r w:rsidRPr="009F44B1">
        <w:t xml:space="preserve">PDSCH, </w:t>
      </w:r>
      <w:r>
        <w:t xml:space="preserve">or </w:t>
      </w:r>
      <w:r w:rsidRPr="009F44B1">
        <w:t xml:space="preserve">CSI-RS, or DL PRS in a set of symbols, the </w:t>
      </w:r>
      <w:r>
        <w:t>HD-</w:t>
      </w:r>
      <w:r w:rsidRPr="009F44B1">
        <w:t xml:space="preserve">UE receives the PDCCH, </w:t>
      </w:r>
      <w:r>
        <w:t xml:space="preserve">or </w:t>
      </w:r>
      <w:r w:rsidRPr="009F44B1">
        <w:t xml:space="preserve">PDSCH, </w:t>
      </w:r>
      <w:r>
        <w:t xml:space="preserve">or </w:t>
      </w:r>
      <w:r w:rsidRPr="009F44B1">
        <w:t xml:space="preserve">CSI-RS, or DL PRS if the </w:t>
      </w:r>
      <w:r>
        <w:t>HD-</w:t>
      </w:r>
      <w:r w:rsidRPr="009F44B1">
        <w:t xml:space="preserve">UE does not detect a DCI format </w:t>
      </w:r>
      <w:r w:rsidRPr="009F44B1">
        <w:rPr>
          <w:lang w:eastAsia="zh-CN"/>
        </w:rPr>
        <w:t xml:space="preserve">that indicates to the </w:t>
      </w:r>
      <w:r>
        <w:rPr>
          <w:lang w:eastAsia="zh-CN"/>
        </w:rPr>
        <w:t>HD-</w:t>
      </w:r>
      <w:r w:rsidRPr="009F44B1">
        <w:rPr>
          <w:lang w:eastAsia="zh-CN"/>
        </w:rPr>
        <w:t xml:space="preserve">UE to transmit a PUSCH, </w:t>
      </w:r>
      <w:r>
        <w:rPr>
          <w:lang w:eastAsia="zh-CN"/>
        </w:rPr>
        <w:t xml:space="preserve">or </w:t>
      </w:r>
      <w:r w:rsidRPr="009F44B1">
        <w:rPr>
          <w:lang w:eastAsia="zh-CN"/>
        </w:rPr>
        <w:t xml:space="preserve">PUCCH, </w:t>
      </w:r>
      <w:r>
        <w:rPr>
          <w:lang w:eastAsia="zh-CN"/>
        </w:rPr>
        <w:t xml:space="preserve">or </w:t>
      </w:r>
      <w:r w:rsidRPr="009F44B1">
        <w:rPr>
          <w:lang w:eastAsia="zh-CN"/>
        </w:rPr>
        <w:t xml:space="preserve">PRACH, or SRS in at least one symbol of the set of </w:t>
      </w:r>
      <w:r w:rsidRPr="009F44B1">
        <w:t xml:space="preserve">symbols; otherwise, the </w:t>
      </w:r>
      <w:r>
        <w:t>HD-</w:t>
      </w:r>
      <w:r w:rsidRPr="009F44B1">
        <w:t xml:space="preserve">UE does not receive the PDCCH, </w:t>
      </w:r>
      <w:r>
        <w:t xml:space="preserve">or </w:t>
      </w:r>
      <w:r w:rsidRPr="009F44B1">
        <w:t xml:space="preserve">PDSCH, </w:t>
      </w:r>
      <w:r>
        <w:t xml:space="preserve">or </w:t>
      </w:r>
      <w:r w:rsidRPr="009F44B1">
        <w:t xml:space="preserve">CSI-RS, or DL PRS in the set of symbols. </w:t>
      </w:r>
    </w:p>
    <w:p w14:paraId="6355F872" w14:textId="77777777" w:rsidR="00005700" w:rsidRDefault="00005700" w:rsidP="00005700">
      <w:r>
        <w:t xml:space="preserve">If a HD-UE is configured by higher layers to transmit SRS, or PUCCH, or PUSCH in a set of symbols and the UE detects a DCI format indicating to the HD-UE to receive CSI-RS or PDSCH in a subset of symbols from the set of symbols, then </w:t>
      </w:r>
    </w:p>
    <w:p w14:paraId="74292825" w14:textId="469A82D7" w:rsidR="00005700" w:rsidRPr="00991649" w:rsidRDefault="00005700" w:rsidP="00005700">
      <w:pPr>
        <w:pStyle w:val="B1"/>
        <w:rPr>
          <w:lang w:eastAsia="zh-CN"/>
        </w:rPr>
      </w:pPr>
      <w:r>
        <w:t>-</w:t>
      </w:r>
      <w:r>
        <w:tab/>
      </w:r>
      <w:r>
        <w:rPr>
          <w:rFonts w:hint="eastAsia"/>
        </w:rPr>
        <w:t xml:space="preserve">the </w:t>
      </w:r>
      <w:r>
        <w:rPr>
          <w:lang w:val="en-US"/>
        </w:rPr>
        <w:t>HD-</w:t>
      </w:r>
      <w:r>
        <w:rPr>
          <w:rFonts w:hint="eastAsia"/>
        </w:rPr>
        <w:t xml:space="preserve">UE does not expect to cancel the transmission </w:t>
      </w:r>
      <w:r>
        <w:rPr>
          <w:lang w:val="en-US"/>
        </w:rPr>
        <w:t xml:space="preserve">of the PUCCH or PUSCH </w:t>
      </w:r>
      <w:r>
        <w:rPr>
          <w:rFonts w:hint="eastAsia"/>
        </w:rPr>
        <w:t>in</w:t>
      </w:r>
      <w:r>
        <w:rPr>
          <w:lang w:val="en-US"/>
        </w:rPr>
        <w:t xml:space="preserve"> the set of symbols if the first symbol in the set</w:t>
      </w:r>
      <w:r>
        <w:rPr>
          <w:rFonts w:hint="eastAsia"/>
        </w:rPr>
        <w:t xml:space="preserve"> occur</w:t>
      </w:r>
      <w:r>
        <w:rPr>
          <w:lang w:val="en-US"/>
        </w:rPr>
        <w:t xml:space="preserve">s within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 xml:space="preserve">proc,2 </m:t>
            </m:r>
          </m:sub>
        </m:sSub>
      </m:oMath>
      <w:r>
        <w:rPr>
          <w:rFonts w:hint="eastAsia"/>
        </w:rPr>
        <w:t xml:space="preserve"> relative to a last symbol of a </w:t>
      </w:r>
      <w:r w:rsidR="00E954BA">
        <w:t>PDCCH reception</w:t>
      </w:r>
      <w:r>
        <w:rPr>
          <w:rFonts w:hint="eastAsia"/>
        </w:rPr>
        <w:t xml:space="preserve"> where the </w:t>
      </w:r>
      <w:r>
        <w:rPr>
          <w:lang w:val="en-US"/>
        </w:rPr>
        <w:t>HD-</w:t>
      </w:r>
      <w:r>
        <w:rPr>
          <w:rFonts w:hint="eastAsia"/>
        </w:rPr>
        <w:t>UE detects the DCI format</w:t>
      </w:r>
      <w:r>
        <w:rPr>
          <w:lang w:val="en-US"/>
        </w:rPr>
        <w:t xml:space="preserve">; otherwise, the HD-UE cancels the PUCCH, or the PUSCH, or an actual repetition of the PUSCH [6, </w:t>
      </w:r>
      <w:r w:rsidR="00295E42">
        <w:rPr>
          <w:lang w:val="en-US"/>
        </w:rPr>
        <w:t>TS 38.</w:t>
      </w:r>
      <w:r>
        <w:rPr>
          <w:lang w:val="en-US"/>
        </w:rPr>
        <w:t xml:space="preserve">214], determined from clauses 9 and 9.2.5 or clause 6.1 of [6, </w:t>
      </w:r>
      <w:r w:rsidR="00295E42">
        <w:rPr>
          <w:lang w:val="en-US"/>
        </w:rPr>
        <w:t>TS 38.</w:t>
      </w:r>
      <w:r>
        <w:rPr>
          <w:lang w:val="en-US"/>
        </w:rPr>
        <w:t>214].</w:t>
      </w:r>
    </w:p>
    <w:p w14:paraId="69F60182" w14:textId="0E639F7C" w:rsidR="00005700" w:rsidRPr="008418E3" w:rsidRDefault="00005700" w:rsidP="00005700">
      <w:pPr>
        <w:pStyle w:val="B1"/>
        <w:rPr>
          <w:lang w:val="en-US" w:eastAsia="zh-CN"/>
        </w:rPr>
      </w:pPr>
      <w:r>
        <w:rPr>
          <w:lang w:val="en-US" w:eastAsia="zh-CN"/>
        </w:rPr>
        <w:t>-</w:t>
      </w:r>
      <w:r>
        <w:rPr>
          <w:lang w:val="en-US" w:eastAsia="zh-CN"/>
        </w:rPr>
        <w:tab/>
        <w:t xml:space="preserve">the HD-UE does not expect to cancel the transmission of SRS in symbols from the subset of symbols that occur within </w:t>
      </w:r>
      <m:oMath>
        <m:sSub>
          <m:sSubPr>
            <m:ctrlPr>
              <w:rPr>
                <w:rFonts w:ascii="Cambria Math" w:hAnsi="Cambria Math"/>
                <w:i/>
                <w:lang w:val="en-US" w:eastAsia="zh-CN"/>
              </w:rPr>
            </m:ctrlPr>
          </m:sSubPr>
          <m:e>
            <m:r>
              <w:rPr>
                <w:rFonts w:ascii="Cambria Math" w:hAnsi="Cambria Math"/>
                <w:lang w:val="en-US" w:eastAsia="zh-CN"/>
              </w:rPr>
              <m:t>T</m:t>
            </m:r>
          </m:e>
          <m:sub>
            <m:r>
              <w:rPr>
                <w:rFonts w:ascii="Cambria Math" w:hAnsi="Cambria Math"/>
                <w:lang w:val="en-US" w:eastAsia="zh-CN"/>
              </w:rPr>
              <m:t>proc,2</m:t>
            </m:r>
          </m:sub>
        </m:sSub>
      </m:oMath>
      <w:r>
        <w:rPr>
          <w:lang w:val="en-US" w:eastAsia="zh-CN"/>
        </w:rPr>
        <w:t xml:space="preserve"> relative to a last symbol of a </w:t>
      </w:r>
      <w:r w:rsidR="00E954BA">
        <w:t>PDCCH reception</w:t>
      </w:r>
      <w:r>
        <w:rPr>
          <w:lang w:val="en-US" w:eastAsia="zh-CN"/>
        </w:rPr>
        <w:t xml:space="preserve"> where the HD-UE detects the DCI format. The HD-UE cancels the SRS transmission in remaining symbols from the subset of symbols. </w:t>
      </w:r>
    </w:p>
    <w:p w14:paraId="1DA4D1FD" w14:textId="5E4C830B" w:rsidR="00005700" w:rsidRDefault="00005700" w:rsidP="00005700">
      <w:pPr>
        <w:pStyle w:val="B1"/>
      </w:pPr>
      <w:r>
        <w:tab/>
      </w:r>
      <m:oMath>
        <m:sSub>
          <m:sSubPr>
            <m:ctrlPr>
              <w:rPr>
                <w:rFonts w:ascii="Cambria Math" w:hAnsi="Cambria Math"/>
                <w:i/>
              </w:rPr>
            </m:ctrlPr>
          </m:sSubPr>
          <m:e>
            <m:r>
              <w:rPr>
                <w:rFonts w:ascii="Cambria Math" w:hAnsi="Cambria Math"/>
              </w:rPr>
              <m:t>T</m:t>
            </m:r>
          </m:e>
          <m:sub>
            <m:r>
              <m:rPr>
                <m:sty m:val="p"/>
              </m:rPr>
              <w:rPr>
                <w:rFonts w:ascii="Cambria Math" w:hAnsi="Cambria Math"/>
              </w:rPr>
              <m:t>proc,2</m:t>
            </m:r>
          </m:sub>
        </m:sSub>
      </m:oMath>
      <w:r w:rsidRPr="001F460E">
        <w:rPr>
          <w:lang w:val="en-US"/>
        </w:rPr>
        <w:t xml:space="preserve"> is the PUSCH preparation time </w:t>
      </w:r>
      <w:r w:rsidRPr="001F460E">
        <w:rPr>
          <w:rFonts w:hint="eastAsia"/>
        </w:rPr>
        <w:t xml:space="preserve">for </w:t>
      </w:r>
      <w:r w:rsidRPr="001F460E">
        <w:rPr>
          <w:lang w:val="en-US"/>
        </w:rPr>
        <w:t>UE processing</w:t>
      </w:r>
      <w:r w:rsidRPr="001F460E">
        <w:rPr>
          <w:rFonts w:hint="eastAsia"/>
        </w:rPr>
        <w:t xml:space="preserve"> capability </w:t>
      </w:r>
      <w:r>
        <w:rPr>
          <w:lang w:val="en-US"/>
        </w:rPr>
        <w:t xml:space="preserve">1 </w:t>
      </w:r>
      <w:r w:rsidRPr="001F460E">
        <w:rPr>
          <w:rFonts w:hint="eastAsia"/>
        </w:rPr>
        <w:t>[6, TS 38.214]</w:t>
      </w:r>
      <w:r w:rsidRPr="001F460E">
        <w:t xml:space="preserve"> assuming </w:t>
      </w:r>
      <m:oMath>
        <m:sSub>
          <m:sSubPr>
            <m:ctrlPr>
              <w:rPr>
                <w:rFonts w:ascii="Cambria Math" w:hAnsi="Cambria Math"/>
                <w:i/>
              </w:rPr>
            </m:ctrlPr>
          </m:sSubPr>
          <m:e>
            <m:r>
              <w:rPr>
                <w:rFonts w:ascii="Cambria Math" w:hAnsi="Cambria Math"/>
              </w:rPr>
              <m:t>d</m:t>
            </m:r>
          </m:e>
          <m:sub>
            <m:r>
              <m:rPr>
                <m:sty m:val="p"/>
              </m:rPr>
              <w:rPr>
                <w:rFonts w:ascii="Cambria Math" w:hAnsi="Cambria Math"/>
              </w:rPr>
              <m:t>2,1</m:t>
            </m:r>
          </m:sub>
        </m:sSub>
        <m:r>
          <w:rPr>
            <w:rFonts w:ascii="Cambria Math" w:hAnsi="Cambria Math"/>
          </w:rPr>
          <m:t>=1</m:t>
        </m:r>
      </m:oMath>
      <w:r w:rsidRPr="001F460E">
        <w:rPr>
          <w:lang w:val="en-US"/>
        </w:rPr>
        <w:t xml:space="preserve"> </w:t>
      </w:r>
      <w:r w:rsidRPr="001F460E">
        <w:rPr>
          <w:rFonts w:eastAsia="DengXian" w:hint="eastAsia"/>
          <w:lang w:eastAsia="zh-CN"/>
        </w:rPr>
        <w:t xml:space="preserve">and </w:t>
      </w:r>
      <m:oMath>
        <m:r>
          <w:rPr>
            <w:rFonts w:ascii="Cambria Math" w:eastAsia="DengXian" w:hAnsi="Cambria Math"/>
            <w:lang w:eastAsia="zh-CN"/>
          </w:rPr>
          <m:t>μ</m:t>
        </m:r>
      </m:oMath>
      <w:r w:rsidRPr="001F460E">
        <w:rPr>
          <w:rFonts w:eastAsia="DengXian" w:hint="eastAsia"/>
          <w:lang w:eastAsia="zh-CN"/>
        </w:rPr>
        <w:t xml:space="preserve"> corresponds to the smallest SCS configuration </w:t>
      </w:r>
      <w:r w:rsidRPr="001F460E">
        <w:rPr>
          <w:rFonts w:hint="eastAsia"/>
          <w:lang w:eastAsia="zh-CN"/>
        </w:rPr>
        <w:t>between</w:t>
      </w:r>
      <w:r w:rsidRPr="001F460E">
        <w:rPr>
          <w:rFonts w:eastAsia="DengXian" w:hint="eastAsia"/>
          <w:lang w:eastAsia="zh-CN"/>
        </w:rPr>
        <w:t xml:space="preserve"> the SCS configuration of the PDCCH carrying the DCI format </w:t>
      </w:r>
      <w:r w:rsidRPr="001F460E">
        <w:rPr>
          <w:rFonts w:hint="eastAsia"/>
          <w:lang w:eastAsia="zh-CN"/>
        </w:rPr>
        <w:t>and</w:t>
      </w:r>
      <w:r w:rsidRPr="001F460E">
        <w:rPr>
          <w:rFonts w:eastAsia="DengXian" w:hint="eastAsia"/>
          <w:lang w:eastAsia="zh-CN"/>
        </w:rPr>
        <w:t xml:space="preserve"> the SCS configuration of the SRS, PUCCH, PUSCH</w:t>
      </w:r>
      <w:r w:rsidRPr="001F460E">
        <w:t>.</w:t>
      </w:r>
    </w:p>
    <w:p w14:paraId="571890C1" w14:textId="055CAB28" w:rsidR="00005700" w:rsidRDefault="00005700" w:rsidP="00005700">
      <w:pPr>
        <w:rPr>
          <w:lang w:val="en-US"/>
        </w:rPr>
      </w:pPr>
      <w:r>
        <w:t>A HD-</w:t>
      </w:r>
      <w:r w:rsidRPr="0080392F">
        <w:t xml:space="preserve">UE does not </w:t>
      </w:r>
      <w:r>
        <w:rPr>
          <w:lang w:val="en-US"/>
        </w:rPr>
        <w:t xml:space="preserve">expect to receive both dedicated higher layer parameters configuring transmission in a set of symbols and dedicated higher layer parameters configuring reception in the set of symbols. </w:t>
      </w:r>
      <w:r>
        <w:t>A HD-</w:t>
      </w:r>
      <w:r w:rsidRPr="0080392F">
        <w:t xml:space="preserve">UE does not </w:t>
      </w:r>
      <w:r>
        <w:rPr>
          <w:lang w:val="en-US"/>
        </w:rPr>
        <w:t>expect to receive both a Type-0/0A/</w:t>
      </w:r>
      <w:r w:rsidR="00922DBA">
        <w:rPr>
          <w:lang w:val="en-US" w:eastAsia="zh-CN"/>
        </w:rPr>
        <w:t>0B/</w:t>
      </w:r>
      <w:r>
        <w:rPr>
          <w:lang w:val="en-US"/>
        </w:rPr>
        <w:t>1/2-PDCCH CSS set configuration for PDCCH reception in a set of symbols and dedicated higher layer parameters configuring transmission in the set of symbols</w:t>
      </w:r>
      <w:r w:rsidR="00BF2BB3" w:rsidRPr="001B45CE">
        <w:rPr>
          <w:lang w:val="en-US"/>
        </w:rPr>
        <w:t xml:space="preserve">, except </w:t>
      </w:r>
      <w:r w:rsidR="001C51D9">
        <w:rPr>
          <w:lang w:val="en-US"/>
        </w:rPr>
        <w:t xml:space="preserve">a </w:t>
      </w:r>
      <w:r w:rsidR="00BF2BB3" w:rsidRPr="001B45CE">
        <w:rPr>
          <w:lang w:val="en-US"/>
        </w:rPr>
        <w:t xml:space="preserve">Type-2-PDCCH CSS set configuration for PDCCH reception in a set of symbols and </w:t>
      </w:r>
      <w:r w:rsidR="001C51D9">
        <w:t xml:space="preserve">dedicated higher layer parameters configuring </w:t>
      </w:r>
      <w:r w:rsidR="00BF2BB3" w:rsidRPr="001B45CE">
        <w:rPr>
          <w:lang w:val="en-US"/>
        </w:rPr>
        <w:t>configured-grant based PUSCH transmission as described in clause 19.1 in the set of symbols for which case the UE follows the procedure as in clause 5.1B.2.6 in [10, TS 38.133]</w:t>
      </w:r>
      <w:r w:rsidR="00BF2BB3">
        <w:rPr>
          <w:lang w:val="en-US"/>
        </w:rPr>
        <w:t xml:space="preserve">. </w:t>
      </w:r>
      <w:r w:rsidR="00BF2BB3" w:rsidRPr="001B45CE">
        <w:rPr>
          <w:lang w:val="en-US"/>
        </w:rPr>
        <w:t>The UE expects to be configured with a Type-2-PDCCH CSS set configuration for PDCCH reception such that there is at least one paging occasion that does not overlap with configured-grant based PUSCH transmission as described in clause 19.1 per SI modification period</w:t>
      </w:r>
      <w:r>
        <w:rPr>
          <w:lang w:val="en-US"/>
        </w:rPr>
        <w:t xml:space="preserve">. </w:t>
      </w:r>
    </w:p>
    <w:p w14:paraId="64761EA4" w14:textId="5768B92B" w:rsidR="00005700" w:rsidRDefault="00005700" w:rsidP="00005700">
      <w:r>
        <w:lastRenderedPageBreak/>
        <w:t>If a HD-UE would transmit a PUSCH, or PUCCH, or SRS based on a configuration by higher layers and the HD-UE is</w:t>
      </w:r>
      <w:r w:rsidRPr="0080392F">
        <w:t xml:space="preserve"> </w:t>
      </w:r>
      <w:r>
        <w:t>indicated presence of</w:t>
      </w:r>
      <w:r w:rsidRPr="0080392F">
        <w:t xml:space="preserve"> SS/PBCH block</w:t>
      </w:r>
      <w:r>
        <w:t>s</w:t>
      </w:r>
      <w:r w:rsidRPr="0080392F">
        <w:t xml:space="preserve"> </w:t>
      </w:r>
      <w:r w:rsidR="005622D2">
        <w:t xml:space="preserve">within the active DL BWP </w:t>
      </w:r>
      <w:r w:rsidRPr="0080392F">
        <w:t xml:space="preserve">by </w:t>
      </w:r>
      <w:r w:rsidRPr="00301521">
        <w:rPr>
          <w:i/>
        </w:rPr>
        <w:t>ssb-PositionsInBurst</w:t>
      </w:r>
      <w:r w:rsidRPr="00B916EC">
        <w:t xml:space="preserve"> </w:t>
      </w:r>
      <w:r>
        <w:rPr>
          <w:lang w:val="en-US"/>
        </w:rPr>
        <w:t xml:space="preserve">in </w:t>
      </w:r>
      <w:r>
        <w:rPr>
          <w:i/>
        </w:rPr>
        <w:t>SIB1</w:t>
      </w:r>
      <w:r w:rsidRPr="0080392F">
        <w:t xml:space="preserve"> or </w:t>
      </w:r>
      <w:r>
        <w:rPr>
          <w:lang w:val="en-US"/>
        </w:rPr>
        <w:t xml:space="preserve">in </w:t>
      </w:r>
      <w:r w:rsidRPr="00A94818">
        <w:rPr>
          <w:i/>
        </w:rPr>
        <w:t>ServingCellConfigCommon</w:t>
      </w:r>
      <w:r w:rsidR="005622D2" w:rsidRPr="00A75EFE">
        <w:t xml:space="preserve"> or by</w:t>
      </w:r>
      <w:r w:rsidR="005622D2" w:rsidRPr="00A75EFE">
        <w:rPr>
          <w:i/>
        </w:rPr>
        <w:t xml:space="preserve"> NonCellDefiningSSB</w:t>
      </w:r>
      <w:r w:rsidRPr="0080392F">
        <w:t xml:space="preserve">, the </w:t>
      </w:r>
      <w:r>
        <w:t>HD-</w:t>
      </w:r>
      <w:r w:rsidRPr="0080392F">
        <w:t xml:space="preserve">UE does not transmit </w:t>
      </w:r>
    </w:p>
    <w:p w14:paraId="22827450" w14:textId="77777777" w:rsidR="00005700" w:rsidRDefault="00005700" w:rsidP="00005700">
      <w:pPr>
        <w:pStyle w:val="B1"/>
      </w:pPr>
      <w:r>
        <w:t>-</w:t>
      </w:r>
      <w:r>
        <w:tab/>
      </w:r>
      <w:r w:rsidRPr="0080392F">
        <w:t>PUSCH</w:t>
      </w:r>
      <w:r>
        <w:t xml:space="preserve"> or</w:t>
      </w:r>
      <w:r w:rsidRPr="0080392F">
        <w:t xml:space="preserve"> PUCCH</w:t>
      </w:r>
      <w:r>
        <w:rPr>
          <w:lang w:val="en-US"/>
        </w:rPr>
        <w:t xml:space="preserve"> if a last symbol of the PUSCH or PUCCH transmission would not be at least </w:t>
      </w:r>
      <m:oMath>
        <m:sSub>
          <m:sSubPr>
            <m:ctrlPr>
              <w:rPr>
                <w:rFonts w:ascii="Cambria Math" w:hAnsi="Cambria Math"/>
              </w:rPr>
            </m:ctrlPr>
          </m:sSubPr>
          <m:e>
            <m:r>
              <w:rPr>
                <w:rFonts w:ascii="Cambria Math" w:hAnsi="Cambria Math"/>
              </w:rPr>
              <m:t>N</m:t>
            </m:r>
          </m:e>
          <m:sub>
            <m:r>
              <m:rPr>
                <m:nor/>
              </m:rPr>
              <m:t>Tx-Rx</m:t>
            </m:r>
          </m:sub>
        </m:sSub>
        <m:r>
          <w:rPr>
            <w:rFonts w:ascii="Cambria Math" w:hAnsi="Cambria Math" w:cs="Cambria Math"/>
          </w:rPr>
          <m:t>⋅</m:t>
        </m:r>
        <m:sSub>
          <m:sSubPr>
            <m:ctrlPr>
              <w:rPr>
                <w:rFonts w:ascii="Cambria Math" w:hAnsi="Cambria Math"/>
              </w:rPr>
            </m:ctrlPr>
          </m:sSubPr>
          <m:e>
            <m:r>
              <w:rPr>
                <w:rFonts w:ascii="Cambria Math" w:hAnsi="Cambria Math"/>
              </w:rPr>
              <m:t>T</m:t>
            </m:r>
          </m:e>
          <m:sub>
            <m:r>
              <m:rPr>
                <m:nor/>
              </m:rPr>
              <m:t>c</m:t>
            </m:r>
          </m:sub>
        </m:sSub>
      </m:oMath>
      <w:r>
        <w:rPr>
          <w:lang w:val="en-US"/>
        </w:rPr>
        <w:t xml:space="preserve"> [4, TS 38.211] prior to a first symbol of the next earliest SS/PBCH block</w:t>
      </w:r>
    </w:p>
    <w:p w14:paraId="01B4E8C6" w14:textId="77777777" w:rsidR="00005700" w:rsidRDefault="00005700" w:rsidP="00005700">
      <w:pPr>
        <w:pStyle w:val="B1"/>
      </w:pPr>
      <w:r>
        <w:t>-</w:t>
      </w:r>
      <w:r>
        <w:tab/>
      </w:r>
      <w:r w:rsidRPr="0080392F">
        <w:t>PUSCH</w:t>
      </w:r>
      <w:r>
        <w:t xml:space="preserve"> or</w:t>
      </w:r>
      <w:r w:rsidRPr="0080392F">
        <w:t xml:space="preserve"> PUCCH</w:t>
      </w:r>
      <w:r>
        <w:rPr>
          <w:lang w:val="en-US"/>
        </w:rPr>
        <w:t xml:space="preserve"> if a first symbol of the PUSCH or PUCCH transmission would not be at least </w:t>
      </w:r>
      <m:oMath>
        <m:sSub>
          <m:sSubPr>
            <m:ctrlPr>
              <w:rPr>
                <w:rFonts w:ascii="Cambria Math" w:hAnsi="Cambria Math"/>
              </w:rPr>
            </m:ctrlPr>
          </m:sSubPr>
          <m:e>
            <m:r>
              <w:rPr>
                <w:rFonts w:ascii="Cambria Math" w:hAnsi="Cambria Math"/>
              </w:rPr>
              <m:t>N</m:t>
            </m:r>
          </m:e>
          <m:sub>
            <m:r>
              <m:rPr>
                <m:nor/>
              </m:rPr>
              <w:rPr>
                <w:lang w:val="en-US"/>
              </w:rPr>
              <m:t>R</m:t>
            </m:r>
            <m:r>
              <m:rPr>
                <m:nor/>
              </m:rPr>
              <m:t>x-</m:t>
            </m:r>
            <m:r>
              <m:rPr>
                <m:nor/>
              </m:rPr>
              <w:rPr>
                <w:lang w:val="en-US"/>
              </w:rPr>
              <m:t>T</m:t>
            </m:r>
            <m:r>
              <m:rPr>
                <m:nor/>
              </m:rPr>
              <m:t>x</m:t>
            </m:r>
          </m:sub>
        </m:sSub>
        <m:r>
          <w:rPr>
            <w:rFonts w:ascii="Cambria Math" w:hAnsi="Cambria Math" w:cs="Cambria Math"/>
          </w:rPr>
          <m:t>⋅</m:t>
        </m:r>
        <m:sSub>
          <m:sSubPr>
            <m:ctrlPr>
              <w:rPr>
                <w:rFonts w:ascii="Cambria Math" w:hAnsi="Cambria Math"/>
              </w:rPr>
            </m:ctrlPr>
          </m:sSubPr>
          <m:e>
            <m:r>
              <w:rPr>
                <w:rFonts w:ascii="Cambria Math" w:hAnsi="Cambria Math"/>
              </w:rPr>
              <m:t>T</m:t>
            </m:r>
          </m:e>
          <m:sub>
            <m:r>
              <m:rPr>
                <m:nor/>
              </m:rPr>
              <m:t>c</m:t>
            </m:r>
          </m:sub>
        </m:sSub>
      </m:oMath>
      <w:r>
        <w:rPr>
          <w:lang w:val="en-US"/>
        </w:rPr>
        <w:t xml:space="preserve"> [4, TS 38.211] after a last symbol of the previous latest SS/PBCH block</w:t>
      </w:r>
      <w:r w:rsidDel="00C410F0">
        <w:rPr>
          <w:lang w:val="en-US"/>
        </w:rPr>
        <w:t xml:space="preserve"> </w:t>
      </w:r>
    </w:p>
    <w:p w14:paraId="5E56DEDC" w14:textId="77777777" w:rsidR="00310BD0" w:rsidRDefault="00005700" w:rsidP="00005700">
      <w:pPr>
        <w:pStyle w:val="B1"/>
        <w:rPr>
          <w:lang w:val="en-US"/>
        </w:rPr>
      </w:pPr>
      <w:r>
        <w:t>-</w:t>
      </w:r>
      <w:r>
        <w:tab/>
      </w:r>
      <w:r w:rsidRPr="0080392F">
        <w:t xml:space="preserve">SRS in symbols </w:t>
      </w:r>
      <w:r>
        <w:rPr>
          <w:lang w:val="en-US"/>
        </w:rPr>
        <w:t xml:space="preserve">that would not be at least </w:t>
      </w:r>
      <m:oMath>
        <m:sSub>
          <m:sSubPr>
            <m:ctrlPr>
              <w:rPr>
                <w:rFonts w:ascii="Cambria Math" w:hAnsi="Cambria Math"/>
              </w:rPr>
            </m:ctrlPr>
          </m:sSubPr>
          <m:e>
            <m:r>
              <w:rPr>
                <w:rFonts w:ascii="Cambria Math" w:hAnsi="Cambria Math"/>
              </w:rPr>
              <m:t>N</m:t>
            </m:r>
          </m:e>
          <m:sub>
            <m:r>
              <m:rPr>
                <m:nor/>
              </m:rPr>
              <m:t>Tx-Rx</m:t>
            </m:r>
          </m:sub>
        </m:sSub>
        <m:r>
          <w:rPr>
            <w:rFonts w:ascii="Cambria Math" w:hAnsi="Cambria Math" w:cs="Cambria Math"/>
          </w:rPr>
          <m:t>⋅</m:t>
        </m:r>
        <m:sSub>
          <m:sSubPr>
            <m:ctrlPr>
              <w:rPr>
                <w:rFonts w:ascii="Cambria Math" w:hAnsi="Cambria Math"/>
              </w:rPr>
            </m:ctrlPr>
          </m:sSubPr>
          <m:e>
            <m:r>
              <w:rPr>
                <w:rFonts w:ascii="Cambria Math" w:hAnsi="Cambria Math"/>
              </w:rPr>
              <m:t>T</m:t>
            </m:r>
          </m:e>
          <m:sub>
            <m:r>
              <m:rPr>
                <m:nor/>
              </m:rPr>
              <m:t>c</m:t>
            </m:r>
          </m:sub>
        </m:sSub>
      </m:oMath>
      <w:r>
        <w:rPr>
          <w:lang w:val="en-US"/>
        </w:rPr>
        <w:t xml:space="preserve"> prior to a first symbol of the next earliest SS/PBCH block</w:t>
      </w:r>
    </w:p>
    <w:p w14:paraId="40F2FDB5" w14:textId="06EA1C93" w:rsidR="00005700" w:rsidRDefault="00005700" w:rsidP="00005700">
      <w:pPr>
        <w:pStyle w:val="B1"/>
        <w:rPr>
          <w:lang w:val="en-US"/>
        </w:rPr>
      </w:pPr>
      <w:r>
        <w:t>-</w:t>
      </w:r>
      <w:r>
        <w:tab/>
      </w:r>
      <w:r w:rsidRPr="0080392F">
        <w:t xml:space="preserve">SRS in symbols </w:t>
      </w:r>
      <w:r>
        <w:rPr>
          <w:lang w:val="en-US"/>
        </w:rPr>
        <w:t xml:space="preserve">that would not be at least </w:t>
      </w:r>
      <m:oMath>
        <m:sSub>
          <m:sSubPr>
            <m:ctrlPr>
              <w:rPr>
                <w:rFonts w:ascii="Cambria Math" w:hAnsi="Cambria Math"/>
              </w:rPr>
            </m:ctrlPr>
          </m:sSubPr>
          <m:e>
            <m:r>
              <w:rPr>
                <w:rFonts w:ascii="Cambria Math" w:hAnsi="Cambria Math"/>
              </w:rPr>
              <m:t>N</m:t>
            </m:r>
          </m:e>
          <m:sub>
            <m:r>
              <m:rPr>
                <m:nor/>
              </m:rPr>
              <w:rPr>
                <w:lang w:val="en-US"/>
              </w:rPr>
              <m:t>R</m:t>
            </m:r>
            <m:r>
              <m:rPr>
                <m:nor/>
              </m:rPr>
              <m:t>x-</m:t>
            </m:r>
            <m:r>
              <m:rPr>
                <m:nor/>
              </m:rPr>
              <w:rPr>
                <w:lang w:val="en-US"/>
              </w:rPr>
              <m:t>T</m:t>
            </m:r>
            <m:r>
              <m:rPr>
                <m:nor/>
              </m:rPr>
              <m:t>x</m:t>
            </m:r>
          </m:sub>
        </m:sSub>
        <m:r>
          <w:rPr>
            <w:rFonts w:ascii="Cambria Math" w:hAnsi="Cambria Math" w:cs="Cambria Math"/>
          </w:rPr>
          <m:t>⋅</m:t>
        </m:r>
        <m:sSub>
          <m:sSubPr>
            <m:ctrlPr>
              <w:rPr>
                <w:rFonts w:ascii="Cambria Math" w:hAnsi="Cambria Math"/>
              </w:rPr>
            </m:ctrlPr>
          </m:sSubPr>
          <m:e>
            <m:r>
              <w:rPr>
                <w:rFonts w:ascii="Cambria Math" w:hAnsi="Cambria Math"/>
              </w:rPr>
              <m:t>T</m:t>
            </m:r>
          </m:e>
          <m:sub>
            <m:r>
              <m:rPr>
                <m:nor/>
              </m:rPr>
              <m:t>c</m:t>
            </m:r>
          </m:sub>
        </m:sSub>
      </m:oMath>
      <w:r>
        <w:rPr>
          <w:lang w:val="en-US"/>
        </w:rPr>
        <w:t xml:space="preserve"> after a last symbol of the previous latest SS/PBCH block</w:t>
      </w:r>
    </w:p>
    <w:p w14:paraId="44FBE00C" w14:textId="74193D4A" w:rsidR="00005700" w:rsidRDefault="00005700" w:rsidP="00005700">
      <w:pPr>
        <w:rPr>
          <w:lang w:val="en-US"/>
        </w:rPr>
      </w:pPr>
      <w:r>
        <w:t xml:space="preserve">If a HD-UE would transmit a </w:t>
      </w:r>
      <w:r w:rsidR="00DF3985" w:rsidRPr="00543165">
        <w:t xml:space="preserve">PRACH based on a detected DCI format, or </w:t>
      </w:r>
      <w:r>
        <w:t>PUSCH, or PUCCH, or SRS and the HD-UE is</w:t>
      </w:r>
      <w:r w:rsidRPr="0080392F">
        <w:t xml:space="preserve"> </w:t>
      </w:r>
      <w:r>
        <w:t>indicated presence of</w:t>
      </w:r>
      <w:r w:rsidRPr="0080392F">
        <w:t xml:space="preserve"> SS/PBCH blocks </w:t>
      </w:r>
      <w:r w:rsidR="005622D2">
        <w:t xml:space="preserve">within the active DL BWP </w:t>
      </w:r>
      <w:r w:rsidRPr="0080392F">
        <w:t xml:space="preserve">by </w:t>
      </w:r>
      <w:r w:rsidRPr="00301521">
        <w:rPr>
          <w:i/>
        </w:rPr>
        <w:t>ssb-PositionsInBurst</w:t>
      </w:r>
      <w:r w:rsidRPr="00B916EC">
        <w:t xml:space="preserve"> </w:t>
      </w:r>
      <w:r>
        <w:rPr>
          <w:lang w:val="en-US"/>
        </w:rPr>
        <w:t xml:space="preserve">in </w:t>
      </w:r>
      <w:r>
        <w:rPr>
          <w:i/>
        </w:rPr>
        <w:t>SIB1</w:t>
      </w:r>
      <w:r w:rsidRPr="0080392F">
        <w:t xml:space="preserve"> or </w:t>
      </w:r>
      <w:r>
        <w:rPr>
          <w:lang w:val="en-US"/>
        </w:rPr>
        <w:t xml:space="preserve">in </w:t>
      </w:r>
      <w:r w:rsidRPr="00A94818">
        <w:rPr>
          <w:i/>
        </w:rPr>
        <w:t>ServingCellConfigCommon</w:t>
      </w:r>
      <w:r>
        <w:rPr>
          <w:iCs/>
        </w:rPr>
        <w:t xml:space="preserve"> </w:t>
      </w:r>
      <w:r w:rsidR="005622D2" w:rsidRPr="00A75EFE">
        <w:t>or by</w:t>
      </w:r>
      <w:r w:rsidR="005622D2" w:rsidRPr="00A75EFE">
        <w:rPr>
          <w:i/>
        </w:rPr>
        <w:t xml:space="preserve"> NonCellDefiningSSB</w:t>
      </w:r>
      <w:r w:rsidR="005622D2">
        <w:rPr>
          <w:iCs/>
        </w:rPr>
        <w:t xml:space="preserve"> </w:t>
      </w:r>
      <w:r>
        <w:rPr>
          <w:iCs/>
        </w:rPr>
        <w:t>in a set of symbols</w:t>
      </w:r>
      <w:r w:rsidRPr="0080392F">
        <w:t xml:space="preserve">, the </w:t>
      </w:r>
      <w:r>
        <w:t>HD-</w:t>
      </w:r>
      <w:r w:rsidRPr="0080392F">
        <w:t>UE does not transmit PUSCH</w:t>
      </w:r>
      <w:r>
        <w:t xml:space="preserve"> or</w:t>
      </w:r>
      <w:r w:rsidRPr="0080392F">
        <w:t xml:space="preserve"> PUCCH</w:t>
      </w:r>
      <w:r>
        <w:rPr>
          <w:lang w:val="en-US"/>
        </w:rPr>
        <w:t xml:space="preserve"> or PRACH if a transmission would overlap with any symbol from </w:t>
      </w:r>
      <w:r>
        <w:t>the set of symbols</w:t>
      </w:r>
      <w:r w:rsidRPr="0080392F">
        <w:t xml:space="preserve"> </w:t>
      </w:r>
      <w:r>
        <w:rPr>
          <w:lang w:val="en-US"/>
        </w:rPr>
        <w:t>and the HD-UE does not transmit</w:t>
      </w:r>
      <w:r w:rsidRPr="0080392F">
        <w:t xml:space="preserve"> SRS in the set of symbols</w:t>
      </w:r>
      <w:r>
        <w:rPr>
          <w:lang w:val="en-US"/>
        </w:rPr>
        <w:t>.</w:t>
      </w:r>
    </w:p>
    <w:p w14:paraId="0DCEF74B" w14:textId="7880A1F3" w:rsidR="00005700" w:rsidRDefault="00005700" w:rsidP="00005700">
      <w:pPr>
        <w:rPr>
          <w:lang w:val="en-US"/>
        </w:rPr>
      </w:pPr>
      <w:r>
        <w:rPr>
          <w:lang w:val="en-US"/>
        </w:rPr>
        <w:t xml:space="preserve">If a HD-UE would transmit a PRACH or MsgA PUSCH </w:t>
      </w:r>
      <w:r w:rsidR="00DF3985" w:rsidRPr="00543165">
        <w:rPr>
          <w:lang w:val="en-US"/>
        </w:rPr>
        <w:t xml:space="preserve">triggered by higher layers </w:t>
      </w:r>
      <w:r>
        <w:rPr>
          <w:lang w:val="en-US"/>
        </w:rPr>
        <w:t>in</w:t>
      </w:r>
      <w:r w:rsidRPr="00444DA2">
        <w:rPr>
          <w:lang w:val="en-US"/>
        </w:rPr>
        <w:t xml:space="preserve"> a set of symbols </w:t>
      </w:r>
      <w:r>
        <w:rPr>
          <w:lang w:val="en-US"/>
        </w:rPr>
        <w:t>and</w:t>
      </w:r>
      <w:r w:rsidRPr="00444DA2">
        <w:rPr>
          <w:lang w:val="en-US"/>
        </w:rPr>
        <w:t xml:space="preserve"> would receive a </w:t>
      </w:r>
      <w:r>
        <w:rPr>
          <w:lang w:val="en-US"/>
        </w:rPr>
        <w:t xml:space="preserve">PDCCH, or a </w:t>
      </w:r>
      <w:r w:rsidRPr="00444DA2">
        <w:rPr>
          <w:lang w:val="en-US"/>
        </w:rPr>
        <w:t xml:space="preserve">PDSCH, or </w:t>
      </w:r>
      <w:r>
        <w:rPr>
          <w:lang w:val="en-US"/>
        </w:rPr>
        <w:t xml:space="preserve">a </w:t>
      </w:r>
      <w:r w:rsidRPr="00444DA2">
        <w:rPr>
          <w:lang w:val="en-US"/>
        </w:rPr>
        <w:t xml:space="preserve">CSI-RS, or </w:t>
      </w:r>
      <w:r>
        <w:rPr>
          <w:lang w:val="en-US"/>
        </w:rPr>
        <w:t xml:space="preserve">a </w:t>
      </w:r>
      <w:r w:rsidRPr="00444DA2">
        <w:rPr>
          <w:lang w:val="en-US"/>
        </w:rPr>
        <w:t>DL PRS</w:t>
      </w:r>
      <w:r>
        <w:rPr>
          <w:lang w:val="en-US"/>
        </w:rPr>
        <w:t>,</w:t>
      </w:r>
      <w:r w:rsidRPr="00444DA2">
        <w:rPr>
          <w:lang w:val="en-US"/>
        </w:rPr>
        <w:t xml:space="preserve"> </w:t>
      </w:r>
      <w:r>
        <w:rPr>
          <w:lang w:val="en-US"/>
        </w:rPr>
        <w:t xml:space="preserve">or is indicated </w:t>
      </w:r>
      <w:r>
        <w:t>presence of</w:t>
      </w:r>
      <w:r w:rsidRPr="0080392F">
        <w:t xml:space="preserve"> SS/PBCH blocks </w:t>
      </w:r>
      <w:r w:rsidR="005622D2">
        <w:t xml:space="preserve">within the active DL BWP </w:t>
      </w:r>
      <w:r w:rsidRPr="0080392F">
        <w:t xml:space="preserve">by </w:t>
      </w:r>
      <w:r w:rsidRPr="00301521">
        <w:rPr>
          <w:i/>
        </w:rPr>
        <w:t>ssb-PositionsInBurst</w:t>
      </w:r>
      <w:r w:rsidRPr="00B916EC">
        <w:t xml:space="preserve"> </w:t>
      </w:r>
      <w:r>
        <w:rPr>
          <w:lang w:val="en-US"/>
        </w:rPr>
        <w:t xml:space="preserve">in </w:t>
      </w:r>
      <w:r>
        <w:rPr>
          <w:i/>
        </w:rPr>
        <w:t>SIB1</w:t>
      </w:r>
      <w:r w:rsidRPr="0080392F">
        <w:t xml:space="preserve"> or </w:t>
      </w:r>
      <w:r>
        <w:rPr>
          <w:lang w:val="en-US"/>
        </w:rPr>
        <w:t xml:space="preserve">in </w:t>
      </w:r>
      <w:r w:rsidRPr="00A94818">
        <w:rPr>
          <w:i/>
        </w:rPr>
        <w:t>ServingCellConfigCommon</w:t>
      </w:r>
      <w:r w:rsidRPr="00444DA2">
        <w:rPr>
          <w:lang w:val="en-US"/>
        </w:rPr>
        <w:t xml:space="preserve"> </w:t>
      </w:r>
      <w:r w:rsidR="005622D2" w:rsidRPr="00A75EFE">
        <w:t>or by</w:t>
      </w:r>
      <w:r w:rsidR="005622D2" w:rsidRPr="00A75EFE">
        <w:rPr>
          <w:i/>
        </w:rPr>
        <w:t xml:space="preserve"> NonCellDefiningSSB</w:t>
      </w:r>
      <w:r w:rsidR="005622D2">
        <w:rPr>
          <w:iCs/>
        </w:rPr>
        <w:t xml:space="preserve"> </w:t>
      </w:r>
      <w:r w:rsidRPr="00444DA2">
        <w:rPr>
          <w:lang w:val="en-US"/>
        </w:rPr>
        <w:t xml:space="preserve">in symbols that include any symbol from </w:t>
      </w:r>
      <w:r w:rsidRPr="00444DA2">
        <w:t>the set of symbols</w:t>
      </w:r>
      <w:r w:rsidRPr="00444DA2">
        <w:rPr>
          <w:lang w:val="en-US"/>
        </w:rPr>
        <w:t xml:space="preserve">, the HD-UE can select based on its implementation whether to either transmit the PRACH </w:t>
      </w:r>
      <w:r>
        <w:rPr>
          <w:lang w:val="en-US"/>
        </w:rPr>
        <w:t xml:space="preserve">or the MsgA PUSCH </w:t>
      </w:r>
      <w:r w:rsidRPr="00444DA2">
        <w:rPr>
          <w:lang w:val="en-US"/>
        </w:rPr>
        <w:t xml:space="preserve">or receive the PDSCH, or </w:t>
      </w:r>
      <w:r>
        <w:rPr>
          <w:lang w:val="en-US"/>
        </w:rPr>
        <w:t xml:space="preserve">the </w:t>
      </w:r>
      <w:r w:rsidRPr="00444DA2">
        <w:rPr>
          <w:lang w:val="en-US"/>
        </w:rPr>
        <w:t xml:space="preserve">CSI-RS, or </w:t>
      </w:r>
      <w:r>
        <w:rPr>
          <w:lang w:val="en-US"/>
        </w:rPr>
        <w:t xml:space="preserve">the </w:t>
      </w:r>
      <w:r w:rsidRPr="00444DA2">
        <w:rPr>
          <w:lang w:val="en-US"/>
        </w:rPr>
        <w:t xml:space="preserve">PL RS, or </w:t>
      </w:r>
      <w:r>
        <w:rPr>
          <w:lang w:val="en-US"/>
        </w:rPr>
        <w:t xml:space="preserve">the </w:t>
      </w:r>
      <w:r w:rsidRPr="00444DA2">
        <w:rPr>
          <w:lang w:val="en-US"/>
        </w:rPr>
        <w:t>PDCCH</w:t>
      </w:r>
      <w:r>
        <w:rPr>
          <w:lang w:val="en-US"/>
        </w:rPr>
        <w:t>, or the SS/PBCH blocks</w:t>
      </w:r>
      <w:r w:rsidRPr="00444DA2">
        <w:rPr>
          <w:lang w:val="en-US"/>
        </w:rPr>
        <w:t>.</w:t>
      </w:r>
    </w:p>
    <w:p w14:paraId="57F19DEF" w14:textId="5809FA6E" w:rsidR="00005700" w:rsidRDefault="00005700" w:rsidP="00005700">
      <w:r>
        <w:t xml:space="preserve">If a HD-UE </w:t>
      </w:r>
      <w:r w:rsidRPr="00444DA2">
        <w:rPr>
          <w:lang w:val="en-US"/>
        </w:rPr>
        <w:t xml:space="preserve">would receive a </w:t>
      </w:r>
      <w:r>
        <w:rPr>
          <w:lang w:val="en-US"/>
        </w:rPr>
        <w:t xml:space="preserve">PDCCH, or a </w:t>
      </w:r>
      <w:r w:rsidRPr="00444DA2">
        <w:rPr>
          <w:lang w:val="en-US"/>
        </w:rPr>
        <w:t xml:space="preserve">PDSCH, or </w:t>
      </w:r>
      <w:r>
        <w:rPr>
          <w:lang w:val="en-US"/>
        </w:rPr>
        <w:t xml:space="preserve">a </w:t>
      </w:r>
      <w:r w:rsidRPr="00444DA2">
        <w:rPr>
          <w:lang w:val="en-US"/>
        </w:rPr>
        <w:t xml:space="preserve">CSI-RS, or </w:t>
      </w:r>
      <w:r>
        <w:rPr>
          <w:lang w:val="en-US"/>
        </w:rPr>
        <w:t xml:space="preserve">a </w:t>
      </w:r>
      <w:r w:rsidRPr="00444DA2">
        <w:rPr>
          <w:lang w:val="en-US"/>
        </w:rPr>
        <w:t>DL PRS</w:t>
      </w:r>
      <w:r>
        <w:t xml:space="preserve"> based on a configuration by higher layers or is</w:t>
      </w:r>
      <w:r w:rsidRPr="0080392F">
        <w:t xml:space="preserve"> </w:t>
      </w:r>
      <w:r>
        <w:t>indicated presence of</w:t>
      </w:r>
      <w:r w:rsidRPr="0080392F">
        <w:t xml:space="preserve"> SS/PBCH blocks </w:t>
      </w:r>
      <w:r w:rsidR="005622D2">
        <w:t xml:space="preserve">within the active DL BWP </w:t>
      </w:r>
      <w:r w:rsidRPr="0080392F">
        <w:t xml:space="preserve">by </w:t>
      </w:r>
      <w:r w:rsidRPr="00301521">
        <w:rPr>
          <w:i/>
        </w:rPr>
        <w:t>ssb-PositionsInBurst</w:t>
      </w:r>
      <w:r w:rsidRPr="00B916EC">
        <w:t xml:space="preserve"> </w:t>
      </w:r>
      <w:r>
        <w:rPr>
          <w:lang w:val="en-US"/>
        </w:rPr>
        <w:t xml:space="preserve">in </w:t>
      </w:r>
      <w:r>
        <w:rPr>
          <w:i/>
        </w:rPr>
        <w:t>SIB1</w:t>
      </w:r>
      <w:r w:rsidRPr="0080392F">
        <w:t xml:space="preserve"> or </w:t>
      </w:r>
      <w:r>
        <w:rPr>
          <w:lang w:val="en-US"/>
        </w:rPr>
        <w:t xml:space="preserve">in </w:t>
      </w:r>
      <w:r w:rsidRPr="00A94818">
        <w:rPr>
          <w:i/>
        </w:rPr>
        <w:t>ServingCellConfigCommon</w:t>
      </w:r>
      <w:r>
        <w:rPr>
          <w:iCs/>
        </w:rPr>
        <w:t xml:space="preserve"> </w:t>
      </w:r>
      <w:r w:rsidR="005622D2" w:rsidRPr="00A75EFE">
        <w:t>or by</w:t>
      </w:r>
      <w:r w:rsidR="005622D2" w:rsidRPr="00A75EFE">
        <w:rPr>
          <w:i/>
        </w:rPr>
        <w:t xml:space="preserve"> NonCellDefiningSSB</w:t>
      </w:r>
      <w:r w:rsidR="005622D2">
        <w:rPr>
          <w:iCs/>
        </w:rPr>
        <w:t xml:space="preserve"> </w:t>
      </w:r>
      <w:r>
        <w:rPr>
          <w:iCs/>
        </w:rPr>
        <w:t>in a set of symbols</w:t>
      </w:r>
      <w:r w:rsidRPr="0080392F">
        <w:t xml:space="preserve">, </w:t>
      </w:r>
      <w:r>
        <w:t xml:space="preserve">and the HD-UE would transmit PRACH or MsgA PUSCH </w:t>
      </w:r>
      <w:r w:rsidR="00DF3985" w:rsidRPr="00543165">
        <w:rPr>
          <w:lang w:val="en-US"/>
        </w:rPr>
        <w:t xml:space="preserve">triggered by higher layers </w:t>
      </w:r>
      <w:r>
        <w:t xml:space="preserve">starting or ending at a symbol that is earlier or later than </w:t>
      </w:r>
      <m:oMath>
        <m:sSub>
          <m:sSubPr>
            <m:ctrlPr>
              <w:rPr>
                <w:rFonts w:ascii="Cambria Math" w:hAnsi="Cambria Math"/>
              </w:rPr>
            </m:ctrlPr>
          </m:sSubPr>
          <m:e>
            <m:r>
              <w:rPr>
                <w:rFonts w:ascii="Cambria Math" w:hAnsi="Cambria Math"/>
              </w:rPr>
              <m:t>N</m:t>
            </m:r>
          </m:e>
          <m:sub>
            <m:r>
              <m:rPr>
                <m:nor/>
              </m:rPr>
              <w:rPr>
                <w:lang w:val="en-US"/>
              </w:rPr>
              <m:t>R</m:t>
            </m:r>
            <m:r>
              <m:rPr>
                <m:nor/>
              </m:rPr>
              <m:t>x-</m:t>
            </m:r>
            <m:r>
              <m:rPr>
                <m:nor/>
              </m:rPr>
              <w:rPr>
                <w:lang w:val="en-US"/>
              </w:rPr>
              <m:t>T</m:t>
            </m:r>
            <m:r>
              <m:rPr>
                <m:nor/>
              </m:rPr>
              <m:t>x</m:t>
            </m:r>
          </m:sub>
        </m:sSub>
        <m:r>
          <w:rPr>
            <w:rFonts w:ascii="Cambria Math" w:hAnsi="Cambria Math" w:cs="Cambria Math"/>
          </w:rPr>
          <m:t>⋅</m:t>
        </m:r>
        <m:sSub>
          <m:sSubPr>
            <m:ctrlPr>
              <w:rPr>
                <w:rFonts w:ascii="Cambria Math" w:hAnsi="Cambria Math"/>
              </w:rPr>
            </m:ctrlPr>
          </m:sSubPr>
          <m:e>
            <m:r>
              <w:rPr>
                <w:rFonts w:ascii="Cambria Math" w:hAnsi="Cambria Math"/>
              </w:rPr>
              <m:t>T</m:t>
            </m:r>
          </m:e>
          <m:sub>
            <m:r>
              <m:rPr>
                <m:nor/>
              </m:rPr>
              <m:t>c</m:t>
            </m:r>
          </m:sub>
        </m:sSub>
      </m:oMath>
      <w:r>
        <w:t xml:space="preserve"> or </w:t>
      </w:r>
      <m:oMath>
        <m:sSub>
          <m:sSubPr>
            <m:ctrlPr>
              <w:rPr>
                <w:rFonts w:ascii="Cambria Math" w:hAnsi="Cambria Math"/>
              </w:rPr>
            </m:ctrlPr>
          </m:sSubPr>
          <m:e>
            <m:r>
              <w:rPr>
                <w:rFonts w:ascii="Cambria Math" w:hAnsi="Cambria Math"/>
              </w:rPr>
              <m:t>N</m:t>
            </m:r>
          </m:e>
          <m:sub>
            <m:r>
              <m:rPr>
                <m:nor/>
              </m:rPr>
              <w:rPr>
                <w:lang w:val="en-US"/>
              </w:rPr>
              <m:t>T</m:t>
            </m:r>
            <m:r>
              <m:rPr>
                <m:nor/>
              </m:rPr>
              <m:t>x-</m:t>
            </m:r>
            <m:r>
              <m:rPr>
                <m:nor/>
              </m:rPr>
              <w:rPr>
                <w:lang w:val="en-US"/>
              </w:rPr>
              <m:t>R</m:t>
            </m:r>
            <m:r>
              <m:rPr>
                <m:nor/>
              </m:rPr>
              <m:t>x</m:t>
            </m:r>
          </m:sub>
        </m:sSub>
        <m:r>
          <w:rPr>
            <w:rFonts w:ascii="Cambria Math" w:hAnsi="Cambria Math" w:cs="Cambria Math"/>
          </w:rPr>
          <m:t>⋅</m:t>
        </m:r>
        <m:sSub>
          <m:sSubPr>
            <m:ctrlPr>
              <w:rPr>
                <w:rFonts w:ascii="Cambria Math" w:hAnsi="Cambria Math"/>
              </w:rPr>
            </m:ctrlPr>
          </m:sSubPr>
          <m:e>
            <m:r>
              <w:rPr>
                <w:rFonts w:ascii="Cambria Math" w:hAnsi="Cambria Math"/>
              </w:rPr>
              <m:t>T</m:t>
            </m:r>
          </m:e>
          <m:sub>
            <m:r>
              <m:rPr>
                <m:nor/>
              </m:rPr>
              <m:t>c</m:t>
            </m:r>
          </m:sub>
        </m:sSub>
      </m:oMath>
      <w:r>
        <w:rPr>
          <w:lang w:val="en-US"/>
        </w:rPr>
        <w:t xml:space="preserve">, respectively, </w:t>
      </w:r>
      <w:r>
        <w:t xml:space="preserve">from the last or first symbol in the set of symbols, </w:t>
      </w:r>
      <w:r w:rsidRPr="00444DA2">
        <w:rPr>
          <w:lang w:val="en-US"/>
        </w:rPr>
        <w:t xml:space="preserve">the HD-UE can select based on its implementation whether to either transmit the PRACH </w:t>
      </w:r>
      <w:r>
        <w:rPr>
          <w:lang w:val="en-US"/>
        </w:rPr>
        <w:t xml:space="preserve">or the MsgA PUSCH </w:t>
      </w:r>
      <w:r w:rsidRPr="00444DA2">
        <w:rPr>
          <w:lang w:val="en-US"/>
        </w:rPr>
        <w:t xml:space="preserve">or receive the PDSCH, or </w:t>
      </w:r>
      <w:r>
        <w:rPr>
          <w:lang w:val="en-US"/>
        </w:rPr>
        <w:t xml:space="preserve">the </w:t>
      </w:r>
      <w:r w:rsidRPr="00444DA2">
        <w:rPr>
          <w:lang w:val="en-US"/>
        </w:rPr>
        <w:t xml:space="preserve">CSI-RS, or </w:t>
      </w:r>
      <w:r>
        <w:rPr>
          <w:lang w:val="en-US"/>
        </w:rPr>
        <w:t>the DL</w:t>
      </w:r>
      <w:r w:rsidRPr="00444DA2">
        <w:rPr>
          <w:lang w:val="en-US"/>
        </w:rPr>
        <w:t xml:space="preserve"> </w:t>
      </w:r>
      <w:r>
        <w:rPr>
          <w:lang w:val="en-US"/>
        </w:rPr>
        <w:t>P</w:t>
      </w:r>
      <w:r w:rsidRPr="00444DA2">
        <w:rPr>
          <w:lang w:val="en-US"/>
        </w:rPr>
        <w:t xml:space="preserve">RS, or </w:t>
      </w:r>
      <w:r>
        <w:rPr>
          <w:lang w:val="en-US"/>
        </w:rPr>
        <w:t xml:space="preserve">the </w:t>
      </w:r>
      <w:r w:rsidRPr="00444DA2">
        <w:rPr>
          <w:lang w:val="en-US"/>
        </w:rPr>
        <w:t>PDCCH</w:t>
      </w:r>
      <w:r>
        <w:rPr>
          <w:lang w:val="en-US"/>
        </w:rPr>
        <w:t>, or the SS/PBCH blocks</w:t>
      </w:r>
      <w:r w:rsidRPr="00444DA2">
        <w:rPr>
          <w:lang w:val="en-US"/>
        </w:rPr>
        <w:t>.</w:t>
      </w:r>
    </w:p>
    <w:p w14:paraId="561C5587" w14:textId="6FE5B30E" w:rsidR="00B87579" w:rsidRPr="00B06CC2" w:rsidRDefault="00B87579" w:rsidP="00B87579">
      <w:pPr>
        <w:pStyle w:val="Heading1"/>
      </w:pPr>
      <w:bookmarkStart w:id="961" w:name="_Toc161999196"/>
      <w:r w:rsidRPr="00B06CC2">
        <w:t>18</w:t>
      </w:r>
      <w:r w:rsidRPr="00B06CC2">
        <w:rPr>
          <w:rFonts w:hint="eastAsia"/>
        </w:rPr>
        <w:tab/>
      </w:r>
      <w:r w:rsidRPr="00B06CC2">
        <w:t>Multicast Broadcast Services</w:t>
      </w:r>
      <w:bookmarkEnd w:id="961"/>
    </w:p>
    <w:p w14:paraId="180A0206" w14:textId="2CE0FB9B" w:rsidR="00B87579" w:rsidRPr="00B06CC2" w:rsidRDefault="00B87579" w:rsidP="00B87579">
      <w:pPr>
        <w:rPr>
          <w:lang w:val="en-US"/>
        </w:rPr>
      </w:pPr>
      <w:r w:rsidRPr="00B06CC2">
        <w:rPr>
          <w:lang w:val="en-US"/>
        </w:rPr>
        <w:t xml:space="preserve">This clause is applicable only for PDCCH receptions, PDSCH receptions, and PUCCH transmissions for MBS on a serving cell. DCI formats with CRC scrambled by </w:t>
      </w:r>
      <w:r w:rsidR="004F1F38" w:rsidRPr="009522EB">
        <w:t xml:space="preserve">multicast-MCCH-RNTI for multicast </w:t>
      </w:r>
      <w:r w:rsidR="004F1F38">
        <w:t xml:space="preserve">PDSCH receptions </w:t>
      </w:r>
      <w:r w:rsidR="004F1F38" w:rsidRPr="009522EB">
        <w:t>in RRC_INACTIVE state</w:t>
      </w:r>
      <w:r w:rsidR="004F1F38">
        <w:t>,</w:t>
      </w:r>
      <w:r w:rsidR="004F1F38" w:rsidRPr="00B06CC2">
        <w:rPr>
          <w:lang w:val="en-US"/>
        </w:rPr>
        <w:t xml:space="preserve"> </w:t>
      </w:r>
      <w:r w:rsidRPr="00B06CC2">
        <w:rPr>
          <w:lang w:val="en-US"/>
        </w:rPr>
        <w:t xml:space="preserve">G-RNTI </w:t>
      </w:r>
      <w:r w:rsidR="009B4EA5">
        <w:rPr>
          <w:lang w:val="en-US"/>
        </w:rPr>
        <w:t>for multicast</w:t>
      </w:r>
      <w:r w:rsidR="004F1F38">
        <w:rPr>
          <w:lang w:val="en-US"/>
        </w:rPr>
        <w:t>,</w:t>
      </w:r>
      <w:r w:rsidR="009B4EA5">
        <w:rPr>
          <w:lang w:val="en-US"/>
        </w:rPr>
        <w:t xml:space="preserve"> </w:t>
      </w:r>
      <w:r w:rsidRPr="00B06CC2">
        <w:rPr>
          <w:lang w:val="en-US"/>
        </w:rPr>
        <w:t xml:space="preserve">or G-CS-RNTI scheduling PDSCH receptions are referred to as multicast DCI formats and the PDSCH receptions are referred to as multicast PDSCH receptions. DCI formats with CRC scrambled by MCCH-RNTI or G-RNTI for </w:t>
      </w:r>
      <w:r w:rsidR="009B4EA5">
        <w:rPr>
          <w:lang w:val="en-US"/>
        </w:rPr>
        <w:t>broadcast</w:t>
      </w:r>
      <w:r w:rsidRPr="00B06CC2">
        <w:rPr>
          <w:lang w:val="en-US"/>
        </w:rPr>
        <w:t xml:space="preserve"> scheduling PDSCH receptions are referred to as broadcast DCI formats and the PDSCH receptions are referred to as broadcast PDSCH receptions. HARQ-ACK information associated with multicast DCI formats or multicast PDSCH receptions </w:t>
      </w:r>
      <w:r w:rsidR="004F1F38" w:rsidRPr="00154DBF">
        <w:t xml:space="preserve">in RRC_CONNECTED state </w:t>
      </w:r>
      <w:r w:rsidRPr="00B06CC2">
        <w:rPr>
          <w:lang w:val="en-US"/>
        </w:rPr>
        <w:t>is referred to as multicast HARQ-ACK information.</w:t>
      </w:r>
    </w:p>
    <w:p w14:paraId="52FC5BD2" w14:textId="4AD89502" w:rsidR="00B87579" w:rsidRPr="00B06CC2" w:rsidRDefault="00B87579" w:rsidP="00B87579">
      <w:pPr>
        <w:rPr>
          <w:lang w:val="en-US"/>
        </w:rPr>
      </w:pPr>
      <w:r w:rsidRPr="00B06CC2">
        <w:rPr>
          <w:rFonts w:eastAsia="DengXian"/>
          <w:lang w:val="en-US" w:eastAsia="zh-CN"/>
        </w:rPr>
        <w:t xml:space="preserve">A UE can be provided one or more G-RNTIs </w:t>
      </w:r>
      <w:r w:rsidR="009B4EA5">
        <w:rPr>
          <w:lang w:val="en-US"/>
        </w:rPr>
        <w:t xml:space="preserve">for multicast </w:t>
      </w:r>
      <w:r w:rsidRPr="00B06CC2">
        <w:rPr>
          <w:rFonts w:eastAsia="DengXian"/>
          <w:lang w:val="en-US" w:eastAsia="zh-CN"/>
        </w:rPr>
        <w:t>per serving cell for scrambling the CRC of multicast DCI formats for scheduling PDSCH receptions. The UE can be provided one or more G-CS-RNTI per serving cell for scrambling the CRC of multicast DCI formats providing activation/release</w:t>
      </w:r>
      <w:r w:rsidR="00010BD0">
        <w:rPr>
          <w:rFonts w:eastAsia="DengXian"/>
          <w:lang w:val="en-US" w:eastAsia="zh-CN"/>
        </w:rPr>
        <w:t>/scheduling retransmission</w:t>
      </w:r>
      <w:r w:rsidRPr="00B06CC2">
        <w:rPr>
          <w:rFonts w:eastAsia="DengXian"/>
          <w:lang w:val="en-US" w:eastAsia="zh-CN"/>
        </w:rPr>
        <w:t xml:space="preserve"> for SPS PDSCH receptions</w:t>
      </w:r>
      <w:r w:rsidR="004F1F38">
        <w:rPr>
          <w:rFonts w:eastAsia="DengXian"/>
          <w:lang w:val="en-US" w:eastAsia="zh-CN"/>
        </w:rPr>
        <w:t xml:space="preserve"> </w:t>
      </w:r>
      <w:r w:rsidR="004F1F38" w:rsidRPr="00154DBF">
        <w:t>in RRC_CONNECTED state</w:t>
      </w:r>
      <w:r w:rsidRPr="00B06CC2">
        <w:rPr>
          <w:rFonts w:eastAsia="DengXian"/>
          <w:lang w:val="en-US" w:eastAsia="zh-CN"/>
        </w:rPr>
        <w:t>.</w:t>
      </w:r>
    </w:p>
    <w:p w14:paraId="365B779C" w14:textId="5179B105" w:rsidR="00B87579" w:rsidRPr="00B06CC2" w:rsidRDefault="00B87579" w:rsidP="00B87579">
      <w:pPr>
        <w:rPr>
          <w:rFonts w:eastAsia="DengXian"/>
          <w:lang w:val="en-US" w:eastAsia="zh-CN"/>
        </w:rPr>
      </w:pPr>
      <w:r w:rsidRPr="00B06CC2">
        <w:rPr>
          <w:lang w:eastAsia="zh-CN"/>
        </w:rPr>
        <w:t xml:space="preserve">A UE can be configured by </w:t>
      </w:r>
      <w:r w:rsidRPr="00B06CC2">
        <w:rPr>
          <w:i/>
          <w:iCs/>
          <w:lang w:eastAsia="zh-CN"/>
        </w:rPr>
        <w:t>cfr-ConfigMCCH-MTCH</w:t>
      </w:r>
      <w:r w:rsidRPr="00B06CC2">
        <w:rPr>
          <w:lang w:eastAsia="zh-CN"/>
        </w:rPr>
        <w:t xml:space="preserve"> </w:t>
      </w:r>
      <w:r w:rsidR="00B731F1" w:rsidRPr="00940EED">
        <w:rPr>
          <w:rFonts w:hint="eastAsia"/>
          <w:lang w:eastAsia="zh-CN"/>
        </w:rPr>
        <w:t xml:space="preserve">or </w:t>
      </w:r>
      <w:r w:rsidR="00B731F1" w:rsidRPr="00940EED">
        <w:rPr>
          <w:rFonts w:hint="eastAsia"/>
          <w:i/>
          <w:iCs/>
          <w:lang w:eastAsia="zh-CN"/>
        </w:rPr>
        <w:t>cfr-ConfigMCCH-MTCH-RedCap</w:t>
      </w:r>
      <w:r w:rsidR="00B731F1" w:rsidRPr="00940EED">
        <w:t xml:space="preserve"> </w:t>
      </w:r>
      <w:r w:rsidRPr="00B06CC2">
        <w:t xml:space="preserve">an MBS frequency resource for PDCCH and PDSCH receptions providing </w:t>
      </w:r>
      <w:r w:rsidR="0068318C">
        <w:t>broadcast</w:t>
      </w:r>
      <w:r w:rsidR="0068318C" w:rsidRPr="00154DBF">
        <w:t xml:space="preserve"> </w:t>
      </w:r>
      <w:r w:rsidRPr="00B06CC2">
        <w:rPr>
          <w:lang w:eastAsia="x-none"/>
        </w:rPr>
        <w:t xml:space="preserve">MCCH and </w:t>
      </w:r>
      <w:r w:rsidR="009B4EA5">
        <w:rPr>
          <w:lang w:val="en-US"/>
        </w:rPr>
        <w:t xml:space="preserve">broadcast </w:t>
      </w:r>
      <w:r w:rsidRPr="00B06CC2">
        <w:rPr>
          <w:lang w:eastAsia="x-none"/>
        </w:rPr>
        <w:t>MTCH [12, TS 38.331]</w:t>
      </w:r>
      <w:r w:rsidRPr="00B06CC2">
        <w:t xml:space="preserve">; otherwise, </w:t>
      </w:r>
      <w:r w:rsidRPr="00B06CC2">
        <w:rPr>
          <w:lang w:eastAsia="ja-JP"/>
        </w:rPr>
        <w:t>the MBS frequency resource is same as for the</w:t>
      </w:r>
      <w:r w:rsidRPr="00B06CC2">
        <w:rPr>
          <w:rFonts w:eastAsia="Yu Mincho"/>
        </w:rPr>
        <w:t xml:space="preserve"> CORESET with index 0 that is associated with the Type0-PDCCH CSS set </w:t>
      </w:r>
      <w:r w:rsidRPr="00B06CC2">
        <w:t xml:space="preserve">for PDCCH and PDSCH receptions providing </w:t>
      </w:r>
      <w:r w:rsidR="0068318C">
        <w:t>broadcast</w:t>
      </w:r>
      <w:r w:rsidR="0068318C" w:rsidRPr="00154DBF">
        <w:t xml:space="preserve"> </w:t>
      </w:r>
      <w:r w:rsidRPr="00B06CC2">
        <w:rPr>
          <w:lang w:eastAsia="x-none"/>
        </w:rPr>
        <w:t xml:space="preserve">MCCH and </w:t>
      </w:r>
      <w:r w:rsidR="009B4EA5">
        <w:rPr>
          <w:lang w:val="en-US"/>
        </w:rPr>
        <w:t xml:space="preserve">broadcast </w:t>
      </w:r>
      <w:r w:rsidRPr="00B06CC2">
        <w:rPr>
          <w:lang w:eastAsia="x-none"/>
        </w:rPr>
        <w:t>MTCH</w:t>
      </w:r>
      <w:r w:rsidRPr="00B06CC2">
        <w:rPr>
          <w:rFonts w:eastAsia="Yu Mincho"/>
        </w:rPr>
        <w:t xml:space="preserve">. </w:t>
      </w:r>
      <w:r w:rsidR="00F676CA">
        <w:rPr>
          <w:rFonts w:hint="eastAsia"/>
          <w:lang w:val="en-US" w:eastAsia="zh-CN"/>
        </w:rPr>
        <w:t xml:space="preserve">The SCS and CP of </w:t>
      </w:r>
      <w:r w:rsidR="00F676CA" w:rsidRPr="00E73C35">
        <w:rPr>
          <w:lang w:val="en-US" w:eastAsia="zh-CN"/>
        </w:rPr>
        <w:t xml:space="preserve">MBS frequency resource </w:t>
      </w:r>
      <w:r w:rsidR="00F676CA">
        <w:rPr>
          <w:rFonts w:hint="eastAsia"/>
          <w:lang w:val="en-US" w:eastAsia="zh-CN"/>
        </w:rPr>
        <w:t>for broadcast</w:t>
      </w:r>
      <w:r w:rsidR="00F676CA" w:rsidRPr="00E73C35">
        <w:rPr>
          <w:lang w:val="en-US" w:eastAsia="zh-CN"/>
        </w:rPr>
        <w:t xml:space="preserve"> </w:t>
      </w:r>
      <w:r w:rsidR="00F676CA">
        <w:rPr>
          <w:rFonts w:hint="eastAsia"/>
          <w:lang w:val="en-US" w:eastAsia="zh-CN"/>
        </w:rPr>
        <w:t xml:space="preserve">are same as the initial DL BWP. </w:t>
      </w:r>
      <w:r w:rsidR="00B45247" w:rsidRPr="0088027F">
        <w:rPr>
          <w:rFonts w:eastAsia="Yu Mincho"/>
          <w:lang w:eastAsia="zh-CN"/>
        </w:rPr>
        <w:t xml:space="preserve">A UE monitors PDCCH for scheduling PDSCH receptions for </w:t>
      </w:r>
      <w:r w:rsidR="0068318C">
        <w:t>broadcast</w:t>
      </w:r>
      <w:r w:rsidR="0068318C" w:rsidRPr="00154DBF">
        <w:t xml:space="preserve"> </w:t>
      </w:r>
      <w:r w:rsidR="00B45247" w:rsidRPr="0088027F">
        <w:rPr>
          <w:rFonts w:eastAsia="Yu Mincho"/>
          <w:lang w:eastAsia="zh-CN"/>
        </w:rPr>
        <w:t xml:space="preserve">MCCH or </w:t>
      </w:r>
      <w:r w:rsidR="009B4EA5">
        <w:rPr>
          <w:lang w:val="en-US"/>
        </w:rPr>
        <w:t xml:space="preserve">broadcast </w:t>
      </w:r>
      <w:r w:rsidR="00B45247" w:rsidRPr="0088027F">
        <w:rPr>
          <w:rFonts w:eastAsia="Yu Mincho"/>
          <w:lang w:eastAsia="zh-CN"/>
        </w:rPr>
        <w:t>MTCH as described in clause 10.1.</w:t>
      </w:r>
    </w:p>
    <w:p w14:paraId="6E0859DC" w14:textId="78696E53" w:rsidR="00B87579" w:rsidRPr="00B06CC2" w:rsidRDefault="00B87579" w:rsidP="00B87579">
      <w:r w:rsidRPr="00B06CC2">
        <w:t xml:space="preserve">In clauses referring to a higher layer parameter value provided by </w:t>
      </w:r>
      <w:r w:rsidRPr="00B06CC2">
        <w:rPr>
          <w:i/>
          <w:iCs/>
          <w:lang w:val="en-US" w:eastAsia="x-none"/>
        </w:rPr>
        <w:t>PDCCH-ConfigCommon</w:t>
      </w:r>
      <w:r w:rsidRPr="00B06CC2">
        <w:t xml:space="preserve"> or </w:t>
      </w:r>
      <w:r w:rsidR="00F676CA">
        <w:rPr>
          <w:i/>
          <w:iCs/>
          <w:lang w:val="en-US" w:eastAsia="x-none"/>
        </w:rPr>
        <w:t>PDSCH-</w:t>
      </w:r>
      <w:r w:rsidR="00F676CA" w:rsidRPr="00B06CC2">
        <w:rPr>
          <w:i/>
          <w:iCs/>
          <w:lang w:val="en-US" w:eastAsia="x-none"/>
        </w:rPr>
        <w:t>Config</w:t>
      </w:r>
      <w:r w:rsidR="00F676CA">
        <w:rPr>
          <w:i/>
          <w:iCs/>
          <w:lang w:val="en-US" w:eastAsia="x-none"/>
        </w:rPr>
        <w:t>MCCH</w:t>
      </w:r>
      <w:r w:rsidR="00F676CA">
        <w:rPr>
          <w:lang w:val="en-US" w:eastAsia="x-none"/>
        </w:rPr>
        <w:t>/</w:t>
      </w:r>
      <w:r w:rsidR="00F676CA">
        <w:rPr>
          <w:i/>
          <w:iCs/>
          <w:lang w:val="en-US" w:eastAsia="x-none"/>
        </w:rPr>
        <w:t>PDSCH-ConfigMTCH</w:t>
      </w:r>
      <w:r w:rsidR="0068318C" w:rsidRPr="00C07997">
        <w:rPr>
          <w:rFonts w:eastAsia="Malgun Gothic"/>
          <w:lang w:eastAsia="x-none"/>
        </w:rPr>
        <w:t xml:space="preserve"> for broadcast</w:t>
      </w:r>
      <w:r w:rsidRPr="00B06CC2">
        <w:t xml:space="preserve">, when applicable a corresponding higher layer parameter value for </w:t>
      </w:r>
      <w:r w:rsidR="0068318C">
        <w:t>broadcast</w:t>
      </w:r>
      <w:r w:rsidR="0068318C" w:rsidRPr="00B06CC2">
        <w:t xml:space="preserve"> </w:t>
      </w:r>
      <w:r w:rsidRPr="00B06CC2">
        <w:t>MCCH/</w:t>
      </w:r>
      <w:r w:rsidR="009B4EA5">
        <w:rPr>
          <w:lang w:val="en-US"/>
        </w:rPr>
        <w:t xml:space="preserve">broadcast </w:t>
      </w:r>
      <w:r w:rsidRPr="00B06CC2">
        <w:t>MTCH PDCCH receptions or PDSCH receptions, respectively, is provided as described in [12, TS 38.331].</w:t>
      </w:r>
    </w:p>
    <w:p w14:paraId="44F4B8B8" w14:textId="77777777" w:rsidR="0068318C" w:rsidRPr="00154DBF" w:rsidRDefault="0068318C" w:rsidP="0068318C">
      <w:pPr>
        <w:rPr>
          <w:rFonts w:eastAsia="DengXian"/>
        </w:rPr>
      </w:pPr>
      <w:r w:rsidRPr="00154DBF">
        <w:lastRenderedPageBreak/>
        <w:t xml:space="preserve">A UE can be configured by </w:t>
      </w:r>
      <w:r w:rsidRPr="00662F1B">
        <w:rPr>
          <w:i/>
          <w:iCs/>
        </w:rPr>
        <w:t>cfr-ConfigMCCH-MTCH</w:t>
      </w:r>
      <w:r>
        <w:rPr>
          <w:i/>
          <w:iCs/>
        </w:rPr>
        <w:t>-r18</w:t>
      </w:r>
      <w:r w:rsidRPr="00154DBF">
        <w:t xml:space="preserve"> an MBS frequency resource for PDCCH and PDSCH receptions providing multicast </w:t>
      </w:r>
      <w:r w:rsidRPr="00154DBF">
        <w:rPr>
          <w:lang w:eastAsia="x-none"/>
        </w:rPr>
        <w:t xml:space="preserve">MCCH and </w:t>
      </w:r>
      <w:r w:rsidRPr="00154DBF">
        <w:t xml:space="preserve">multicast </w:t>
      </w:r>
      <w:r w:rsidRPr="00154DBF">
        <w:rPr>
          <w:lang w:eastAsia="x-none"/>
        </w:rPr>
        <w:t>MTCH in RRC_INACTIVE state [12, TS 38.331]</w:t>
      </w:r>
      <w:r w:rsidRPr="00154DBF">
        <w:t xml:space="preserve">; otherwise, </w:t>
      </w:r>
      <w:r w:rsidRPr="00154DBF">
        <w:rPr>
          <w:lang w:eastAsia="ja-JP"/>
        </w:rPr>
        <w:t>the MBS frequency resource is same as for the</w:t>
      </w:r>
      <w:r w:rsidRPr="00154DBF">
        <w:rPr>
          <w:rFonts w:eastAsia="Yu Mincho"/>
        </w:rPr>
        <w:t xml:space="preserve"> CORESET with index 0 that is associated with the Type0-PDCCH CSS set </w:t>
      </w:r>
      <w:r w:rsidRPr="00154DBF">
        <w:t xml:space="preserve">for PDCCH and PDSCH receptions providing multicast </w:t>
      </w:r>
      <w:r w:rsidRPr="00154DBF">
        <w:rPr>
          <w:lang w:eastAsia="x-none"/>
        </w:rPr>
        <w:t xml:space="preserve">MCCH and </w:t>
      </w:r>
      <w:r w:rsidRPr="00154DBF">
        <w:t xml:space="preserve">multicast </w:t>
      </w:r>
      <w:r w:rsidRPr="00154DBF">
        <w:rPr>
          <w:lang w:eastAsia="x-none"/>
        </w:rPr>
        <w:t>MTCH in RRC_INACTIVE state</w:t>
      </w:r>
      <w:r w:rsidRPr="00154DBF">
        <w:rPr>
          <w:rFonts w:eastAsia="Yu Mincho"/>
        </w:rPr>
        <w:t xml:space="preserve">. A UE monitors PDCCH for scheduling PDSCH receptions for </w:t>
      </w:r>
      <w:r w:rsidRPr="00154DBF">
        <w:t xml:space="preserve">multicast </w:t>
      </w:r>
      <w:r w:rsidRPr="00154DBF">
        <w:rPr>
          <w:rFonts w:eastAsia="Yu Mincho"/>
        </w:rPr>
        <w:t xml:space="preserve">MCCH or </w:t>
      </w:r>
      <w:r w:rsidRPr="00154DBF">
        <w:t xml:space="preserve">multicast </w:t>
      </w:r>
      <w:r w:rsidRPr="00154DBF">
        <w:rPr>
          <w:rFonts w:eastAsia="Yu Mincho"/>
        </w:rPr>
        <w:t xml:space="preserve">MTCH </w:t>
      </w:r>
      <w:r w:rsidRPr="00154DBF">
        <w:rPr>
          <w:lang w:eastAsia="x-none"/>
        </w:rPr>
        <w:t xml:space="preserve">in RRC_INACTIVE state </w:t>
      </w:r>
      <w:r w:rsidRPr="00154DBF">
        <w:rPr>
          <w:rFonts w:eastAsia="Yu Mincho"/>
        </w:rPr>
        <w:t>as described in clause 10.1.</w:t>
      </w:r>
    </w:p>
    <w:p w14:paraId="7B5F4308" w14:textId="77777777" w:rsidR="0068318C" w:rsidRPr="00154DBF" w:rsidRDefault="0068318C" w:rsidP="0068318C">
      <w:r w:rsidRPr="00154DBF">
        <w:t xml:space="preserve">In clauses referring to a higher layer parameter value provided by </w:t>
      </w:r>
      <w:r w:rsidRPr="00154DBF">
        <w:rPr>
          <w:i/>
          <w:iCs/>
          <w:lang w:eastAsia="x-none"/>
        </w:rPr>
        <w:t>PDCCH-ConfigCommon</w:t>
      </w:r>
      <w:r w:rsidRPr="00154DBF">
        <w:t xml:space="preserve"> or</w:t>
      </w:r>
      <w:r>
        <w:t xml:space="preserve"> </w:t>
      </w:r>
      <w:r w:rsidRPr="00C07997">
        <w:rPr>
          <w:rFonts w:eastAsia="Malgun Gothic"/>
          <w:i/>
          <w:iCs/>
          <w:lang w:eastAsia="x-none"/>
        </w:rPr>
        <w:t>PDSCH-ConfigMCCH/PDSCH-ConfigMTCH</w:t>
      </w:r>
      <w:r w:rsidRPr="00C07997">
        <w:rPr>
          <w:rFonts w:eastAsia="Malgun Gothic"/>
          <w:lang w:eastAsia="x-none"/>
        </w:rPr>
        <w:t xml:space="preserve"> for multicast in RRC_INACTIVE state</w:t>
      </w:r>
      <w:r w:rsidRPr="00154DBF">
        <w:t>, when applicable a corresponding higher layer parameter value for multicast MCCH/multicast MTCH PDCCH receptions or PDSCH receptions in RRC_INACTIVE state, respectively, is provided as described in [12, TS 38.331].</w:t>
      </w:r>
    </w:p>
    <w:p w14:paraId="56222435" w14:textId="35695509" w:rsidR="00B87579" w:rsidRPr="00B06CC2" w:rsidRDefault="00B87579" w:rsidP="00B87579">
      <w:r w:rsidRPr="00B06CC2">
        <w:t xml:space="preserve">A UE can be configured, per DL BWP by </w:t>
      </w:r>
      <w:r w:rsidRPr="00B06CC2">
        <w:rPr>
          <w:i/>
          <w:iCs/>
        </w:rPr>
        <w:t>cfr-Config</w:t>
      </w:r>
      <w:r>
        <w:rPr>
          <w:i/>
          <w:iCs/>
          <w:lang w:val="en-US"/>
        </w:rPr>
        <w:t>Multicast</w:t>
      </w:r>
      <w:r w:rsidRPr="00B06CC2">
        <w:t>, a</w:t>
      </w:r>
      <w:r w:rsidRPr="00B06CC2">
        <w:rPr>
          <w:lang w:val="en-US"/>
        </w:rPr>
        <w:t>n</w:t>
      </w:r>
      <w:r w:rsidRPr="00B06CC2">
        <w:t xml:space="preserve"> </w:t>
      </w:r>
      <w:r w:rsidRPr="00B06CC2">
        <w:rPr>
          <w:lang w:val="en-US"/>
        </w:rPr>
        <w:t xml:space="preserve">MBS </w:t>
      </w:r>
      <w:r w:rsidRPr="00B06CC2">
        <w:t xml:space="preserve">frequency </w:t>
      </w:r>
      <w:r w:rsidRPr="00B06CC2">
        <w:rPr>
          <w:lang w:val="en-US"/>
        </w:rPr>
        <w:t>resource</w:t>
      </w:r>
      <w:r w:rsidRPr="00B06CC2">
        <w:t xml:space="preserve"> within the DL BWP for PDCCH and PDSCH receptions </w:t>
      </w:r>
      <w:r w:rsidRPr="00B06CC2">
        <w:rPr>
          <w:lang w:val="en-US"/>
        </w:rPr>
        <w:t>[4, TS 38.211]</w:t>
      </w:r>
      <w:r w:rsidRPr="00B06CC2">
        <w:rPr>
          <w:rFonts w:eastAsia="DengXian"/>
          <w:lang w:eastAsia="zh-CN"/>
        </w:rPr>
        <w:t xml:space="preserve">. </w:t>
      </w:r>
      <w:r>
        <w:rPr>
          <w:rFonts w:eastAsia="DengXian"/>
          <w:lang w:val="en-US" w:eastAsia="zh-CN"/>
        </w:rPr>
        <w:t xml:space="preserve">If </w:t>
      </w:r>
      <w:r w:rsidRPr="00B06CC2">
        <w:rPr>
          <w:i/>
          <w:iCs/>
        </w:rPr>
        <w:t>cfr-Config</w:t>
      </w:r>
      <w:r>
        <w:rPr>
          <w:i/>
          <w:iCs/>
          <w:lang w:val="en-US"/>
        </w:rPr>
        <w:t>Multicast</w:t>
      </w:r>
      <w:r>
        <w:rPr>
          <w:lang w:val="en-US"/>
        </w:rPr>
        <w:t xml:space="preserve"> does not include </w:t>
      </w:r>
      <w:r w:rsidRPr="00E155E2">
        <w:rPr>
          <w:i/>
          <w:iCs/>
          <w:lang w:val="en-US"/>
        </w:rPr>
        <w:t>locationAndBandwidth</w:t>
      </w:r>
      <w:r>
        <w:rPr>
          <w:i/>
          <w:iCs/>
          <w:lang w:val="en-US"/>
        </w:rPr>
        <w:t>Multicast</w:t>
      </w:r>
      <w:r>
        <w:rPr>
          <w:lang w:val="en-US"/>
        </w:rPr>
        <w:t xml:space="preserve">, the MBS frequency resource is the DL BWP. </w:t>
      </w:r>
      <w:r w:rsidR="00F676CA">
        <w:rPr>
          <w:rFonts w:hint="eastAsia"/>
          <w:lang w:val="en-US" w:eastAsia="zh-CN"/>
        </w:rPr>
        <w:t xml:space="preserve">The SCS and CP of </w:t>
      </w:r>
      <w:r w:rsidR="00F676CA" w:rsidRPr="00E73C35">
        <w:rPr>
          <w:lang w:val="en-US" w:eastAsia="zh-CN"/>
        </w:rPr>
        <w:t xml:space="preserve">MBS frequency resource provided by </w:t>
      </w:r>
      <w:r w:rsidR="00F676CA" w:rsidRPr="00E73C35">
        <w:rPr>
          <w:i/>
          <w:lang w:val="en-US" w:eastAsia="zh-CN"/>
        </w:rPr>
        <w:t>CFR-ConfigMulticast</w:t>
      </w:r>
      <w:r w:rsidR="00F676CA" w:rsidRPr="00E73C35">
        <w:rPr>
          <w:lang w:val="en-US" w:eastAsia="zh-CN"/>
        </w:rPr>
        <w:t xml:space="preserve"> </w:t>
      </w:r>
      <w:r w:rsidR="00F676CA">
        <w:rPr>
          <w:rFonts w:hint="eastAsia"/>
          <w:lang w:val="en-US" w:eastAsia="zh-CN"/>
        </w:rPr>
        <w:t xml:space="preserve">are same as the associated DL BWP. </w:t>
      </w:r>
      <w:r w:rsidRPr="00B06CC2">
        <w:t xml:space="preserve">In clauses referring to a higher layer parameter value provided by </w:t>
      </w:r>
      <w:r w:rsidRPr="00B06CC2">
        <w:rPr>
          <w:i/>
          <w:iCs/>
        </w:rPr>
        <w:t>PDCCH-Config</w:t>
      </w:r>
      <w:r w:rsidRPr="00B06CC2">
        <w:t xml:space="preserve"> or </w:t>
      </w:r>
      <w:r w:rsidRPr="00B06CC2">
        <w:rPr>
          <w:i/>
          <w:iCs/>
        </w:rPr>
        <w:t>PDSCH-Config</w:t>
      </w:r>
      <w:r w:rsidRPr="00B06CC2">
        <w:t xml:space="preserve"> or </w:t>
      </w:r>
      <w:r w:rsidRPr="00B06CC2">
        <w:rPr>
          <w:i/>
          <w:iCs/>
        </w:rPr>
        <w:t>SPS-Config</w:t>
      </w:r>
      <w:r w:rsidRPr="00B06CC2">
        <w:t xml:space="preserve"> for a DL BWP, when applicable a corresponding higher layer parameter value for multicast PDCCH, PDSCH, or SPS PDSCH receptions is provided as described in [12, TS 38.331]. </w:t>
      </w:r>
    </w:p>
    <w:p w14:paraId="76D3EE60" w14:textId="0A4AB71B" w:rsidR="00B87579" w:rsidRPr="00B06CC2" w:rsidRDefault="00B87579" w:rsidP="00B87579">
      <w:r w:rsidRPr="00B06CC2">
        <w:t xml:space="preserve">In clauses referring to a higher layer parameter value provided by a first or second </w:t>
      </w:r>
      <w:r w:rsidRPr="00B06CC2">
        <w:rPr>
          <w:i/>
          <w:iCs/>
        </w:rPr>
        <w:t>PUCCH-Config</w:t>
      </w:r>
      <w:r w:rsidRPr="00B06CC2">
        <w:t xml:space="preserve">, when applicable a corresponding higher layer parameter value for PUCCH transmissions associated with multicast PDCCH or PDSCH receptions is provided as described in [12, TS 38.331]. In clauses referring to a higher layer parameter value provided by </w:t>
      </w:r>
      <w:r w:rsidR="00816A6D">
        <w:rPr>
          <w:i/>
        </w:rPr>
        <w:t>n1</w:t>
      </w:r>
      <w:r w:rsidRPr="00B06CC2">
        <w:rPr>
          <w:i/>
        </w:rPr>
        <w:t>-PUCCH-AN</w:t>
      </w:r>
      <w:r w:rsidRPr="00B06CC2">
        <w:t xml:space="preserve"> or </w:t>
      </w:r>
      <w:r w:rsidRPr="00B06CC2">
        <w:rPr>
          <w:i/>
        </w:rPr>
        <w:t>SPS-PUCCH-AN-List</w:t>
      </w:r>
      <w:r w:rsidRPr="00B06CC2">
        <w:t xml:space="preserve">, when applicable a corresponding higher layer parameter value for PUCCH transmissions associated with multicast SPS PDSCH receptions is provided as described in [12, TS 38.331]. In clauses referring to a higher layer parameter value provided by </w:t>
      </w:r>
      <w:r w:rsidRPr="00B06CC2">
        <w:rPr>
          <w:i/>
        </w:rPr>
        <w:t>pdsch-HARQ-ACK-Codebook</w:t>
      </w:r>
      <w:r w:rsidRPr="00B06CC2">
        <w:t xml:space="preserve"> or </w:t>
      </w:r>
      <w:r w:rsidRPr="00B06CC2">
        <w:rPr>
          <w:i/>
        </w:rPr>
        <w:t>pdsch-HARQ-ACK-CodebookList</w:t>
      </w:r>
      <w:r w:rsidRPr="00B06CC2">
        <w:t>, when applicable a corresponding higher layer parameter value for HARQ-ACK codebooks associated with multicast HARQ-ACK information is provided as described in [12, TS 38.331].</w:t>
      </w:r>
    </w:p>
    <w:p w14:paraId="71681D08" w14:textId="77777777" w:rsidR="00384A88" w:rsidRDefault="00B87579" w:rsidP="00B87579">
      <w:r w:rsidRPr="00B06CC2">
        <w:t>A UE monitors PDCCH for scheduling PDSCH receptions or for activation/release of SPS PDSCH receptions for a corresponding SPS PDSCH configuration as described in clause 10.1.</w:t>
      </w:r>
    </w:p>
    <w:p w14:paraId="5EF8233A" w14:textId="2F4AC742" w:rsidR="00384A88" w:rsidRDefault="00B87579" w:rsidP="00B87579">
      <w:r w:rsidRPr="00B06CC2">
        <w:t xml:space="preserve">A UE can be configured by </w:t>
      </w:r>
      <w:r w:rsidRPr="00B06CC2">
        <w:rPr>
          <w:i/>
          <w:iCs/>
        </w:rPr>
        <w:t>harq-FeedbackOptionMulticast</w:t>
      </w:r>
      <w:r w:rsidR="00CF01B5">
        <w:rPr>
          <w:i/>
          <w:iCs/>
        </w:rPr>
        <w:t>,</w:t>
      </w:r>
      <w:r w:rsidRPr="00B06CC2">
        <w:t xml:space="preserve"> for a G-RNTI </w:t>
      </w:r>
      <w:r w:rsidR="00F84336">
        <w:t xml:space="preserve">for multicast </w:t>
      </w:r>
      <w:r w:rsidRPr="00B06CC2">
        <w:t>or for a G-CS-RNTI</w:t>
      </w:r>
      <w:r w:rsidR="00384A88">
        <w:t>,</w:t>
      </w:r>
      <w:r w:rsidRPr="00B06CC2">
        <w:t xml:space="preserve"> to provide HARQ-ACK information for a transport block reception associated with the G-RNTI </w:t>
      </w:r>
      <w:r w:rsidR="00F84336">
        <w:t xml:space="preserve">for multicast </w:t>
      </w:r>
      <w:r w:rsidRPr="00B06CC2">
        <w:t xml:space="preserve">or with the G-CS-RNTI, according to the first HARQ-ACK reporting mode </w:t>
      </w:r>
      <w:r w:rsidR="00F676CA" w:rsidRPr="009E5F71">
        <w:rPr>
          <w:rFonts w:eastAsia="DengXian"/>
        </w:rPr>
        <w:t xml:space="preserve">if </w:t>
      </w:r>
      <w:r w:rsidR="00F676CA" w:rsidRPr="009E5F71">
        <w:rPr>
          <w:i/>
          <w:iCs/>
        </w:rPr>
        <w:t>harq-FeedbackOptionMulticast</w:t>
      </w:r>
      <w:r w:rsidR="00F676CA" w:rsidRPr="009E5F71">
        <w:rPr>
          <w:rFonts w:eastAsia="DengXian"/>
          <w:i/>
        </w:rPr>
        <w:t xml:space="preserve"> </w:t>
      </w:r>
      <w:r w:rsidR="00F676CA" w:rsidRPr="009E5F71">
        <w:rPr>
          <w:rFonts w:eastAsia="DengXian"/>
        </w:rPr>
        <w:t>is set to</w:t>
      </w:r>
      <w:r w:rsidR="00F676CA" w:rsidRPr="009E5F71">
        <w:rPr>
          <w:rFonts w:eastAsia="DengXian"/>
          <w:i/>
        </w:rPr>
        <w:t xml:space="preserve"> </w:t>
      </w:r>
      <w:r w:rsidR="00F676CA" w:rsidRPr="009E5F71">
        <w:rPr>
          <w:rFonts w:eastAsia="DengXian"/>
        </w:rPr>
        <w:t>'</w:t>
      </w:r>
      <w:r w:rsidR="00F676CA" w:rsidRPr="009E5F71">
        <w:rPr>
          <w:i/>
          <w:iCs/>
        </w:rPr>
        <w:t>ack-nack</w:t>
      </w:r>
      <w:r w:rsidR="00F676CA" w:rsidRPr="009E5F71">
        <w:rPr>
          <w:iCs/>
        </w:rPr>
        <w:t>'</w:t>
      </w:r>
      <w:r w:rsidR="00F676CA" w:rsidRPr="009E5F71">
        <w:rPr>
          <w:rFonts w:eastAsia="DengXian"/>
        </w:rPr>
        <w:t xml:space="preserve"> </w:t>
      </w:r>
      <w:r w:rsidRPr="00B06CC2">
        <w:t>or according to the second HARQ-ACK reporting mode</w:t>
      </w:r>
      <w:r w:rsidR="00F676CA">
        <w:t xml:space="preserve"> </w:t>
      </w:r>
      <w:r w:rsidR="00F676CA" w:rsidRPr="009E5F71">
        <w:rPr>
          <w:rFonts w:eastAsia="DengXian"/>
        </w:rPr>
        <w:t xml:space="preserve">if </w:t>
      </w:r>
      <w:r w:rsidR="00F676CA" w:rsidRPr="009E5F71">
        <w:rPr>
          <w:i/>
          <w:iCs/>
        </w:rPr>
        <w:t>harq-FeedbackOptionMulticast</w:t>
      </w:r>
      <w:r w:rsidR="00F676CA" w:rsidRPr="009E5F71">
        <w:rPr>
          <w:rFonts w:eastAsia="DengXian"/>
          <w:i/>
        </w:rPr>
        <w:t xml:space="preserve"> </w:t>
      </w:r>
      <w:r w:rsidR="00F676CA" w:rsidRPr="009E5F71">
        <w:rPr>
          <w:rFonts w:eastAsia="DengXian"/>
        </w:rPr>
        <w:t>is set to</w:t>
      </w:r>
      <w:r w:rsidR="00F676CA" w:rsidRPr="009E5F71">
        <w:rPr>
          <w:rFonts w:eastAsia="DengXian"/>
          <w:i/>
        </w:rPr>
        <w:t xml:space="preserve"> </w:t>
      </w:r>
      <w:r w:rsidR="00F676CA" w:rsidRPr="009E5F71">
        <w:rPr>
          <w:rFonts w:eastAsia="DengXian"/>
        </w:rPr>
        <w:t>'</w:t>
      </w:r>
      <w:r w:rsidR="00F676CA" w:rsidRPr="009E5F71">
        <w:rPr>
          <w:i/>
          <w:iCs/>
        </w:rPr>
        <w:t>nack-only</w:t>
      </w:r>
      <w:r w:rsidR="00F676CA" w:rsidRPr="009E5F71">
        <w:rPr>
          <w:iCs/>
        </w:rPr>
        <w:t>'</w:t>
      </w:r>
      <w:r w:rsidRPr="00B06CC2">
        <w:t xml:space="preserve">. </w:t>
      </w:r>
      <w:r w:rsidR="00384A88" w:rsidRPr="0088027F">
        <w:t>The UE determines a priority for a PUCCH transmission with multicast HARQ-ACK information according to any HARQ-ACK reporting mode as described in clause 9 for a PUCCH transmission with unicast HARQ-ACK information.</w:t>
      </w:r>
    </w:p>
    <w:p w14:paraId="09F72B1F" w14:textId="4CB89798" w:rsidR="00384A88" w:rsidRDefault="00B87579" w:rsidP="00B87579">
      <w:r w:rsidRPr="00B06CC2">
        <w:t xml:space="preserve">For the first HARQ-ACK reporting mode, the UE generates HARQ-ACK information with ACK value when a UE correctly decodes a transport block; otherwise, the UE generates HARQ-ACK information with NACK value, as described in clauses 9 and 9.1 through 9.3. </w:t>
      </w:r>
      <w:r w:rsidR="00CF01B5">
        <w:t>The UE determines a PUCCH or a PUSCH to provide the HARQ-ACK information as described in clause 9.2.</w:t>
      </w:r>
    </w:p>
    <w:p w14:paraId="3A577106" w14:textId="69929C6C" w:rsidR="00384A88" w:rsidRPr="0088027F" w:rsidRDefault="00B87579" w:rsidP="00384A88">
      <w:r w:rsidRPr="00B06CC2">
        <w:t xml:space="preserve">For the second HARQ-ACK reporting mode, the UE does not transmit a PUCCH that would include only HARQ-ACK information with ACK values. </w:t>
      </w:r>
      <w:r w:rsidR="00384A88" w:rsidRPr="0088027F">
        <w:t xml:space="preserve">The second HARQ-ACK reporting mode is not applicable </w:t>
      </w:r>
      <w:r w:rsidR="00384A88" w:rsidRPr="0088027F">
        <w:rPr>
          <w:lang w:eastAsia="zh-CN"/>
        </w:rPr>
        <w:t>for the first SPS PDSCH reception after activation of SPS PDSCH receptions for a SPS configuration</w:t>
      </w:r>
      <w:r w:rsidR="00384A88" w:rsidRPr="0088027F">
        <w:t>.</w:t>
      </w:r>
    </w:p>
    <w:p w14:paraId="4797C5D3" w14:textId="3A2FCE7D" w:rsidR="00384A88" w:rsidRPr="0088027F" w:rsidRDefault="00384A88" w:rsidP="00384A88">
      <w:r w:rsidRPr="0088027F">
        <w:t xml:space="preserve">For the second HARQ-ACK reporting mode, when a number of HARQ-ACK information bits is one, a UE transmits a PUCCH only when the HARQ-ACK information bit has NACK value. </w:t>
      </w:r>
      <w:r w:rsidR="007F253F">
        <w:t xml:space="preserve">The </w:t>
      </w:r>
      <w:r w:rsidR="007F253F" w:rsidRPr="00AB3656">
        <w:t>UE determines a PUCCH to provide the HARQ-ACK information as described in clause 9.2</w:t>
      </w:r>
      <w:r w:rsidR="007F253F">
        <w:t xml:space="preserve">.1 </w:t>
      </w:r>
      <w:r w:rsidR="009D5DFC">
        <w:t xml:space="preserve">or 9.2.3 </w:t>
      </w:r>
      <w:r w:rsidR="007F253F">
        <w:t xml:space="preserve">when UE is not provided </w:t>
      </w:r>
      <w:r w:rsidR="007F253F" w:rsidRPr="00AB3656">
        <w:rPr>
          <w:i/>
          <w:iCs/>
        </w:rPr>
        <w:t>moreThanOneNackOnlyMode</w:t>
      </w:r>
      <w:r w:rsidR="007F253F">
        <w:rPr>
          <w:iCs/>
        </w:rPr>
        <w:t>,</w:t>
      </w:r>
      <w:r w:rsidR="007F253F">
        <w:rPr>
          <w:i/>
          <w:iCs/>
        </w:rPr>
        <w:t xml:space="preserve"> </w:t>
      </w:r>
      <w:r w:rsidR="007F253F">
        <w:rPr>
          <w:iCs/>
        </w:rPr>
        <w:t>or as the first</w:t>
      </w:r>
      <w:r w:rsidR="007F253F" w:rsidRPr="000B456D">
        <w:rPr>
          <w:iCs/>
        </w:rPr>
        <w:t xml:space="preserve"> PUCCH </w:t>
      </w:r>
      <w:r w:rsidR="007F253F">
        <w:rPr>
          <w:iCs/>
        </w:rPr>
        <w:t xml:space="preserve">in Table 18-1 </w:t>
      </w:r>
      <w:r w:rsidR="007F253F" w:rsidRPr="00AB3656">
        <w:t xml:space="preserve">when UE is provided </w:t>
      </w:r>
      <w:r w:rsidR="007F253F" w:rsidRPr="00AB3656">
        <w:rPr>
          <w:i/>
          <w:iCs/>
        </w:rPr>
        <w:t>moreThanOneNackOnlyMode</w:t>
      </w:r>
      <w:r w:rsidR="007F253F">
        <w:rPr>
          <w:i/>
          <w:iCs/>
        </w:rPr>
        <w:t>.</w:t>
      </w:r>
      <w:r w:rsidR="007F253F" w:rsidRPr="00AB3656">
        <w:t xml:space="preserve"> </w:t>
      </w:r>
      <w:r w:rsidRPr="0088027F">
        <w:t xml:space="preserve">For a PUCCH resource associated with PUCCH format 0, the UE transmits the PUCCH as described in [4, TS 38.211] by obtaining </w:t>
      </w:r>
      <m:oMath>
        <m:sSub>
          <m:sSubPr>
            <m:ctrlPr>
              <w:rPr>
                <w:rFonts w:ascii="Cambria Math" w:hAnsi="Cambria Math"/>
                <w:i/>
                <w:lang w:eastAsia="zh-CN"/>
              </w:rPr>
            </m:ctrlPr>
          </m:sSubPr>
          <m:e>
            <m:r>
              <w:rPr>
                <w:rFonts w:ascii="Cambria Math" w:hAnsi="Cambria Math"/>
                <w:lang w:eastAsia="zh-CN"/>
              </w:rPr>
              <m:t>m</m:t>
            </m:r>
          </m:e>
          <m:sub>
            <m:r>
              <w:rPr>
                <w:rFonts w:ascii="Cambria Math" w:hAnsi="Cambria Math"/>
                <w:lang w:eastAsia="zh-CN"/>
              </w:rPr>
              <m:t>0</m:t>
            </m:r>
          </m:sub>
        </m:sSub>
      </m:oMath>
      <w:r w:rsidRPr="0088027F">
        <w:t xml:space="preserve"> as described for HARQ-ACK information in clause 9.2.3 and by setting </w:t>
      </w:r>
      <m:oMath>
        <m:sSub>
          <m:sSubPr>
            <m:ctrlPr>
              <w:rPr>
                <w:rFonts w:ascii="Cambria Math" w:hAnsi="Cambria Math"/>
                <w:i/>
                <w:lang w:eastAsia="zh-CN"/>
              </w:rPr>
            </m:ctrlPr>
          </m:sSubPr>
          <m:e>
            <m:r>
              <w:rPr>
                <w:rFonts w:ascii="Cambria Math" w:hAnsi="Cambria Math"/>
                <w:lang w:eastAsia="zh-CN"/>
              </w:rPr>
              <m:t>m</m:t>
            </m:r>
          </m:e>
          <m:sub>
            <m:r>
              <m:rPr>
                <m:sty m:val="p"/>
              </m:rPr>
              <w:rPr>
                <w:rFonts w:ascii="Cambria Math" w:hAnsi="Cambria Math"/>
                <w:lang w:eastAsia="zh-CN"/>
              </w:rPr>
              <m:t>cs</m:t>
            </m:r>
          </m:sub>
        </m:sSub>
        <m:r>
          <w:rPr>
            <w:rFonts w:ascii="Cambria Math" w:hAnsi="Cambria Math"/>
            <w:lang w:eastAsia="zh-CN"/>
          </w:rPr>
          <m:t>=0</m:t>
        </m:r>
      </m:oMath>
      <w:r w:rsidRPr="0088027F">
        <w:rPr>
          <w:lang w:eastAsia="zh-CN"/>
        </w:rPr>
        <w:t xml:space="preserve">. </w:t>
      </w:r>
      <w:r w:rsidRPr="0088027F">
        <w:t xml:space="preserve">For a PUCCH resource associated with PUCCH format 1, the UE transmits the PUCCH as described in [4, TS 38.211] by setting </w:t>
      </w:r>
      <m:oMath>
        <m:r>
          <w:rPr>
            <w:rFonts w:ascii="Cambria Math" w:hAnsi="Cambria Math"/>
            <w:lang w:eastAsia="zh-CN"/>
          </w:rPr>
          <m:t>b</m:t>
        </m:r>
        <m:d>
          <m:dPr>
            <m:ctrlPr>
              <w:rPr>
                <w:rFonts w:ascii="Cambria Math" w:hAnsi="Cambria Math"/>
                <w:i/>
                <w:lang w:eastAsia="zh-CN"/>
              </w:rPr>
            </m:ctrlPr>
          </m:dPr>
          <m:e>
            <m:r>
              <w:rPr>
                <w:rFonts w:ascii="Cambria Math" w:hAnsi="Cambria Math"/>
                <w:lang w:eastAsia="zh-CN"/>
              </w:rPr>
              <m:t>0</m:t>
            </m:r>
          </m:e>
        </m:d>
        <m:r>
          <w:rPr>
            <w:rFonts w:ascii="Cambria Math" w:hAnsi="Cambria Math"/>
            <w:lang w:eastAsia="zh-CN"/>
          </w:rPr>
          <m:t>=0</m:t>
        </m:r>
      </m:oMath>
      <w:r w:rsidRPr="0088027F">
        <w:t>.</w:t>
      </w:r>
    </w:p>
    <w:p w14:paraId="52D0926D" w14:textId="36BA4E42" w:rsidR="0053070E" w:rsidRPr="00331C5B" w:rsidRDefault="0053070E" w:rsidP="0053070E">
      <w:r>
        <w:t xml:space="preserve">A UE that is indicated </w:t>
      </w:r>
      <w:r w:rsidR="00C002F9" w:rsidRPr="009E5F71">
        <w:rPr>
          <w:rFonts w:eastAsia="DengXian"/>
        </w:rPr>
        <w:t>'</w:t>
      </w:r>
      <w:r w:rsidR="00C002F9" w:rsidRPr="009E5F71">
        <w:rPr>
          <w:i/>
          <w:iCs/>
        </w:rPr>
        <w:t>nack-only</w:t>
      </w:r>
      <w:r w:rsidR="00C002F9" w:rsidRPr="009E5F71">
        <w:rPr>
          <w:iCs/>
        </w:rPr>
        <w:t>'</w:t>
      </w:r>
      <w:r w:rsidR="00C002F9">
        <w:rPr>
          <w:iCs/>
        </w:rPr>
        <w:t xml:space="preserve"> </w:t>
      </w:r>
      <w:r w:rsidR="00C002F9" w:rsidRPr="009E5F71">
        <w:t xml:space="preserve">by </w:t>
      </w:r>
      <w:r w:rsidR="00C002F9" w:rsidRPr="009E5F71">
        <w:rPr>
          <w:i/>
          <w:iCs/>
        </w:rPr>
        <w:t>harq-FeedbackOptionMulticast</w:t>
      </w:r>
      <w:r w:rsidR="007F253F">
        <w:t xml:space="preserve">, and for the case </w:t>
      </w:r>
      <w:r w:rsidR="007F253F" w:rsidRPr="00AA77CA">
        <w:t xml:space="preserve">when </w:t>
      </w:r>
      <w:r w:rsidR="007F253F">
        <w:t>the UE reports more than one</w:t>
      </w:r>
      <w:r w:rsidR="007F253F" w:rsidRPr="001B6579">
        <w:rPr>
          <w:lang w:val="en-US"/>
        </w:rPr>
        <w:t xml:space="preserve"> HARQ-ACK information bits</w:t>
      </w:r>
      <w:r w:rsidR="007F253F">
        <w:rPr>
          <w:lang w:val="en-US"/>
        </w:rPr>
        <w:t>,</w:t>
      </w:r>
      <w:r>
        <w:t xml:space="preserve"> </w:t>
      </w:r>
      <w:r w:rsidR="007F253F">
        <w:t xml:space="preserve">the UE </w:t>
      </w:r>
      <w:r w:rsidRPr="0088027F">
        <w:t xml:space="preserve">can be indicated to provide </w:t>
      </w:r>
      <w:r w:rsidR="007F253F">
        <w:t>the</w:t>
      </w:r>
      <w:r w:rsidR="007F253F" w:rsidRPr="0088027F">
        <w:t xml:space="preserve"> </w:t>
      </w:r>
      <w:r w:rsidRPr="0088027F">
        <w:t xml:space="preserve">HARQ-ACK information bits in a PUCCH either according to the first HARQ-ACK reporting mode </w:t>
      </w:r>
      <w:r w:rsidR="007F253F">
        <w:t xml:space="preserve">when the </w:t>
      </w:r>
      <w:r w:rsidR="007F253F" w:rsidRPr="00AA77CA">
        <w:t xml:space="preserve">UE is not provided </w:t>
      </w:r>
      <w:r w:rsidR="007F253F" w:rsidRPr="00F52BE6">
        <w:rPr>
          <w:i/>
        </w:rPr>
        <w:t>moreThanOne</w:t>
      </w:r>
      <w:r w:rsidR="007F253F" w:rsidRPr="00F52BE6">
        <w:rPr>
          <w:i/>
          <w:iCs/>
        </w:rPr>
        <w:t>NackOnlyMode</w:t>
      </w:r>
      <w:r w:rsidR="007F253F" w:rsidRPr="0088027F">
        <w:t xml:space="preserve"> </w:t>
      </w:r>
      <w:r w:rsidRPr="0088027F">
        <w:t>or</w:t>
      </w:r>
      <w:r w:rsidR="007F253F">
        <w:t xml:space="preserve">, for only one G-RNTI or only one G-CS-RNTI, </w:t>
      </w:r>
      <w:r w:rsidR="007F253F" w:rsidRPr="002B25E4">
        <w:t>according to the second HARQ-ACK reporting mode</w:t>
      </w:r>
      <w:r w:rsidR="007F253F" w:rsidRPr="003C2ABE">
        <w:t xml:space="preserve"> </w:t>
      </w:r>
      <w:r w:rsidRPr="003C2ABE">
        <w:t>by selecting a PUCCH resource from a set of PUCCH resources for the PUCCH transmission based on the values of the HARQ-ACK information bits as described in Table 18-1</w:t>
      </w:r>
      <w:r w:rsidR="007F253F" w:rsidRPr="00524253">
        <w:t xml:space="preserve"> </w:t>
      </w:r>
      <w:r w:rsidR="007F253F" w:rsidRPr="006C214E">
        <w:t xml:space="preserve">when </w:t>
      </w:r>
      <w:r w:rsidR="007F253F">
        <w:t xml:space="preserve">the </w:t>
      </w:r>
      <w:r w:rsidR="007F253F" w:rsidRPr="006C214E">
        <w:t>UE is provided</w:t>
      </w:r>
      <w:r w:rsidR="007F253F" w:rsidRPr="006C214E">
        <w:rPr>
          <w:i/>
          <w:iCs/>
        </w:rPr>
        <w:t xml:space="preserve"> </w:t>
      </w:r>
      <w:r w:rsidR="007F253F" w:rsidRPr="00F52BE6">
        <w:rPr>
          <w:i/>
        </w:rPr>
        <w:t>moreThanOne</w:t>
      </w:r>
      <w:r w:rsidR="007F253F" w:rsidRPr="006C214E">
        <w:rPr>
          <w:i/>
          <w:iCs/>
        </w:rPr>
        <w:t>NackOnlyMode</w:t>
      </w:r>
      <w:r w:rsidRPr="003C2ABE">
        <w:rPr>
          <w:rStyle w:val="CommentReference"/>
        </w:rPr>
        <w:t xml:space="preserve">. </w:t>
      </w:r>
      <w:r w:rsidRPr="003C2ABE">
        <w:rPr>
          <w:rStyle w:val="CommentReference"/>
          <w:sz w:val="20"/>
          <w:szCs w:val="20"/>
        </w:rPr>
        <w:t xml:space="preserve">The UE generates HARQ-ACK </w:t>
      </w:r>
      <w:r w:rsidRPr="00331C5B">
        <w:rPr>
          <w:rStyle w:val="CommentReference"/>
          <w:sz w:val="20"/>
          <w:szCs w:val="20"/>
        </w:rPr>
        <w:t>information bits for the second HARQ-ACK reporting mode according to a Type-2 HARQ-ACK codebook as described in clause 9.1.3.1.</w:t>
      </w:r>
      <w:r w:rsidRPr="00331C5B">
        <w:t xml:space="preserve"> For a PUCCH resource associated with PUCCH format 0, the UE transmits the </w:t>
      </w:r>
      <w:r w:rsidRPr="00331C5B">
        <w:lastRenderedPageBreak/>
        <w:t xml:space="preserve">PUCCH as described in [4, TS 38.211] by obtaining </w:t>
      </w:r>
      <m:oMath>
        <m:sSub>
          <m:sSubPr>
            <m:ctrlPr>
              <w:rPr>
                <w:rFonts w:ascii="Cambria Math" w:hAnsi="Cambria Math"/>
                <w:i/>
              </w:rPr>
            </m:ctrlPr>
          </m:sSubPr>
          <m:e>
            <m:r>
              <w:rPr>
                <w:rFonts w:ascii="Cambria Math" w:hAnsi="Cambria Math"/>
              </w:rPr>
              <m:t>m</m:t>
            </m:r>
          </m:e>
          <m:sub>
            <m:r>
              <w:rPr>
                <w:rFonts w:ascii="Cambria Math" w:hAnsi="Cambria Math"/>
              </w:rPr>
              <m:t>0</m:t>
            </m:r>
          </m:sub>
        </m:sSub>
      </m:oMath>
      <w:r w:rsidRPr="00331C5B">
        <w:t xml:space="preserve"> as described for HARQ-ACK information in clause 9.2.3 and by setting </w:t>
      </w:r>
      <m:oMath>
        <m:sSub>
          <m:sSubPr>
            <m:ctrlPr>
              <w:rPr>
                <w:rFonts w:ascii="Cambria Math" w:hAnsi="Cambria Math"/>
                <w:i/>
              </w:rPr>
            </m:ctrlPr>
          </m:sSubPr>
          <m:e>
            <m:r>
              <w:rPr>
                <w:rFonts w:ascii="Cambria Math" w:hAnsi="Cambria Math"/>
              </w:rPr>
              <m:t>m</m:t>
            </m:r>
          </m:e>
          <m:sub>
            <m:r>
              <m:rPr>
                <m:sty m:val="p"/>
              </m:rPr>
              <w:rPr>
                <w:rFonts w:ascii="Cambria Math" w:hAnsi="Cambria Math"/>
              </w:rPr>
              <m:t>cs</m:t>
            </m:r>
          </m:sub>
        </m:sSub>
        <m:r>
          <w:rPr>
            <w:rFonts w:ascii="Cambria Math" w:hAnsi="Cambria Math"/>
          </w:rPr>
          <m:t>=0</m:t>
        </m:r>
      </m:oMath>
      <w:r w:rsidRPr="00331C5B">
        <w:t xml:space="preserve">. For a PUCCH resource associated with PUCCH format 1, the UE transmits the PUCCH as described in [4, TS 38.211] by setting </w:t>
      </w:r>
      <m:oMath>
        <m:r>
          <w:rPr>
            <w:rFonts w:ascii="Cambria Math" w:hAnsi="Cambria Math"/>
          </w:rPr>
          <m:t>b</m:t>
        </m:r>
        <m:d>
          <m:dPr>
            <m:ctrlPr>
              <w:rPr>
                <w:rFonts w:ascii="Cambria Math" w:hAnsi="Cambria Math"/>
                <w:i/>
              </w:rPr>
            </m:ctrlPr>
          </m:dPr>
          <m:e>
            <m:r>
              <w:rPr>
                <w:rFonts w:ascii="Cambria Math" w:hAnsi="Cambria Math"/>
              </w:rPr>
              <m:t>0</m:t>
            </m:r>
          </m:e>
        </m:d>
        <m:r>
          <w:rPr>
            <w:rFonts w:ascii="Cambria Math" w:hAnsi="Cambria Math"/>
          </w:rPr>
          <m:t>=0</m:t>
        </m:r>
      </m:oMath>
      <w:r w:rsidRPr="00331C5B">
        <w:t>.</w:t>
      </w:r>
    </w:p>
    <w:p w14:paraId="377EFA87" w14:textId="77777777" w:rsidR="00BB0347" w:rsidRDefault="00BB0347" w:rsidP="0053070E">
      <w:r>
        <w:t xml:space="preserve">For a UE that is indicated the </w:t>
      </w:r>
      <w:r w:rsidRPr="00191E1B">
        <w:t>second HARQ-ACK reporting mode</w:t>
      </w:r>
      <w:r>
        <w:t xml:space="preserve">, the </w:t>
      </w:r>
      <w:r w:rsidRPr="00191E1B">
        <w:t xml:space="preserve">UE does not expect to be </w:t>
      </w:r>
      <w:r w:rsidRPr="005811C6">
        <w:t xml:space="preserve">provided </w:t>
      </w:r>
      <w:r w:rsidRPr="00191E1B">
        <w:rPr>
          <w:i/>
        </w:rPr>
        <w:t xml:space="preserve">pdsch-HARQ-ACK-Codebook = semi-static </w:t>
      </w:r>
      <w:r w:rsidRPr="00191E1B">
        <w:t>for multicast HARQ-ACK information.</w:t>
      </w:r>
    </w:p>
    <w:p w14:paraId="268E44C1" w14:textId="4629E882" w:rsidR="0053070E" w:rsidRPr="00787CF9" w:rsidRDefault="0053070E" w:rsidP="0053070E">
      <w:pPr>
        <w:rPr>
          <w:rStyle w:val="CommentReference"/>
          <w:sz w:val="20"/>
          <w:szCs w:val="20"/>
        </w:rPr>
      </w:pPr>
      <w:r w:rsidRPr="00787CF9">
        <w:t xml:space="preserve">For a UE that is indicated the second HARQ-ACK reporting mode and </w:t>
      </w:r>
      <w:r w:rsidRPr="00787CF9">
        <w:rPr>
          <w:i/>
          <w:iCs/>
        </w:rPr>
        <w:t>moreThanOneNackOnlyMode</w:t>
      </w:r>
      <w:r w:rsidRPr="00787CF9">
        <w:t>, all PUCCH resources associated with the second HARQ-ACK reporting mode have same starting symbol and same number of symbols</w:t>
      </w:r>
      <w:r w:rsidR="007F2F25">
        <w:t xml:space="preserve"> and, when PUCCH resources in Table 18-1 are located in more than one PRBs, the more than one PRBs are adjacent and are associated with a same MPR value </w:t>
      </w:r>
      <w:r w:rsidR="007F2F25" w:rsidRPr="00B916EC">
        <w:t>[</w:t>
      </w:r>
      <w:r w:rsidR="007F2F25" w:rsidRPr="00B916EC">
        <w:rPr>
          <w:lang w:val="en-US"/>
        </w:rPr>
        <w:t>8</w:t>
      </w:r>
      <w:r w:rsidR="007F2F25">
        <w:rPr>
          <w:lang w:val="en-US"/>
        </w:rPr>
        <w:t>-1</w:t>
      </w:r>
      <w:r w:rsidR="007F2F25" w:rsidRPr="00B916EC">
        <w:t>, TS 38.101</w:t>
      </w:r>
      <w:r w:rsidR="007F2F25">
        <w:rPr>
          <w:lang w:val="en-US"/>
        </w:rPr>
        <w:t>-1</w:t>
      </w:r>
      <w:r w:rsidR="007F2F25" w:rsidRPr="00B916EC">
        <w:t>]</w:t>
      </w:r>
      <w:r w:rsidRPr="00787CF9">
        <w:t>.</w:t>
      </w:r>
    </w:p>
    <w:p w14:paraId="4D53D42B" w14:textId="77777777" w:rsidR="00C74000" w:rsidRPr="00B916EC" w:rsidRDefault="00C74000" w:rsidP="00C74000">
      <w:pPr>
        <w:pStyle w:val="TH"/>
        <w:rPr>
          <w:rFonts w:cs="Arial"/>
        </w:rPr>
      </w:pPr>
      <w:r w:rsidRPr="00B916EC">
        <w:rPr>
          <w:rFonts w:cs="Arial"/>
        </w:rPr>
        <w:t xml:space="preserve">Table </w:t>
      </w:r>
      <w:r>
        <w:rPr>
          <w:rFonts w:cs="Arial"/>
        </w:rPr>
        <w:t>18</w:t>
      </w:r>
      <w:r w:rsidRPr="00B916EC">
        <w:rPr>
          <w:rFonts w:cs="Arial"/>
        </w:rPr>
        <w:t xml:space="preserve">-1: Mapping of </w:t>
      </w:r>
      <w:r>
        <w:rPr>
          <w:rFonts w:cs="Arial"/>
        </w:rPr>
        <w:t xml:space="preserve">values of </w:t>
      </w:r>
      <w:r>
        <w:rPr>
          <w:lang w:eastAsia="zh-CN"/>
        </w:rPr>
        <w:t xml:space="preserve">HARQ-ACK information bits to PUCCH resources for the second HARQ-ACK reporting mode </w:t>
      </w:r>
    </w:p>
    <w:tbl>
      <w:tblPr>
        <w:tblW w:w="764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000" w:firstRow="0" w:lastRow="0" w:firstColumn="0" w:lastColumn="0" w:noHBand="0" w:noVBand="0"/>
      </w:tblPr>
      <w:tblGrid>
        <w:gridCol w:w="917"/>
        <w:gridCol w:w="958"/>
        <w:gridCol w:w="1044"/>
        <w:gridCol w:w="1031"/>
        <w:gridCol w:w="3690"/>
      </w:tblGrid>
      <w:tr w:rsidR="00C74000" w:rsidRPr="0028542D" w14:paraId="4B7E5456" w14:textId="77777777" w:rsidTr="00B52E7C">
        <w:trPr>
          <w:cantSplit/>
          <w:jc w:val="center"/>
        </w:trPr>
        <w:tc>
          <w:tcPr>
            <w:tcW w:w="3950" w:type="dxa"/>
            <w:gridSpan w:val="4"/>
            <w:tcBorders>
              <w:top w:val="single" w:sz="8" w:space="0" w:color="auto"/>
              <w:left w:val="single" w:sz="8" w:space="0" w:color="auto"/>
              <w:bottom w:val="single" w:sz="8" w:space="0" w:color="auto"/>
              <w:right w:val="single" w:sz="8" w:space="0" w:color="auto"/>
            </w:tcBorders>
            <w:shd w:val="clear" w:color="auto" w:fill="E0E0E0"/>
            <w:vAlign w:val="center"/>
          </w:tcPr>
          <w:p w14:paraId="23FF50F6" w14:textId="77777777" w:rsidR="00C74000" w:rsidRDefault="00C74000" w:rsidP="00B52E7C">
            <w:pPr>
              <w:pStyle w:val="TAH"/>
              <w:spacing w:after="180"/>
            </w:pPr>
            <w:r>
              <w:rPr>
                <w:lang w:eastAsia="zh-CN"/>
              </w:rPr>
              <w:t>Value of HARQ-ACK information bits</w:t>
            </w:r>
            <w:r w:rsidRPr="0028542D" w:rsidDel="000740B6">
              <w:rPr>
                <w:lang w:eastAsia="zh-CN"/>
              </w:rPr>
              <w:t xml:space="preserve"> </w:t>
            </w:r>
          </w:p>
        </w:tc>
        <w:tc>
          <w:tcPr>
            <w:tcW w:w="3690" w:type="dxa"/>
            <w:tcBorders>
              <w:top w:val="single" w:sz="8" w:space="0" w:color="auto"/>
              <w:left w:val="single" w:sz="8" w:space="0" w:color="auto"/>
              <w:bottom w:val="single" w:sz="8" w:space="0" w:color="auto"/>
              <w:right w:val="single" w:sz="8" w:space="0" w:color="auto"/>
            </w:tcBorders>
            <w:shd w:val="clear" w:color="auto" w:fill="E0E0E0"/>
            <w:vAlign w:val="center"/>
          </w:tcPr>
          <w:p w14:paraId="14D1B0F5" w14:textId="77777777" w:rsidR="00C74000" w:rsidRPr="0028542D" w:rsidRDefault="00C74000" w:rsidP="00B52E7C">
            <w:pPr>
              <w:pStyle w:val="TAH"/>
              <w:spacing w:after="180"/>
            </w:pPr>
            <w:r>
              <w:t>PUCCH resource</w:t>
            </w:r>
          </w:p>
        </w:tc>
      </w:tr>
      <w:tr w:rsidR="00C74000" w:rsidRPr="00B916EC" w14:paraId="2A7C1560" w14:textId="77777777" w:rsidTr="00B52E7C">
        <w:trPr>
          <w:cantSplit/>
          <w:jc w:val="center"/>
        </w:trPr>
        <w:tc>
          <w:tcPr>
            <w:tcW w:w="917" w:type="dxa"/>
            <w:vAlign w:val="center"/>
          </w:tcPr>
          <w:p w14:paraId="48763CF6" w14:textId="77777777" w:rsidR="00C74000" w:rsidRPr="00627295" w:rsidRDefault="00C74000" w:rsidP="00B52E7C">
            <w:pPr>
              <w:pStyle w:val="TAC"/>
              <w:spacing w:after="180"/>
              <w:rPr>
                <w:rFonts w:cs="Arial"/>
                <w:szCs w:val="18"/>
              </w:rPr>
            </w:pPr>
            <w:r w:rsidRPr="00627295">
              <w:rPr>
                <w:rFonts w:eastAsia="DengXian" w:cs="Arial"/>
                <w:kern w:val="2"/>
                <w:szCs w:val="18"/>
                <w:lang w:eastAsia="zh-CN"/>
              </w:rPr>
              <w:t>{0}</w:t>
            </w:r>
          </w:p>
        </w:tc>
        <w:tc>
          <w:tcPr>
            <w:tcW w:w="958" w:type="dxa"/>
            <w:vAlign w:val="center"/>
          </w:tcPr>
          <w:p w14:paraId="7B0D7B69" w14:textId="77777777" w:rsidR="00C74000" w:rsidRPr="00627295" w:rsidRDefault="00C74000" w:rsidP="00B52E7C">
            <w:pPr>
              <w:pStyle w:val="TAC"/>
              <w:spacing w:after="180"/>
              <w:rPr>
                <w:rFonts w:cs="Arial"/>
                <w:szCs w:val="18"/>
              </w:rPr>
            </w:pPr>
            <w:r w:rsidRPr="00627295">
              <w:rPr>
                <w:rFonts w:eastAsia="DengXian" w:cs="Arial"/>
                <w:kern w:val="2"/>
                <w:szCs w:val="18"/>
                <w:lang w:eastAsia="zh-CN"/>
              </w:rPr>
              <w:t>{0,0}</w:t>
            </w:r>
          </w:p>
        </w:tc>
        <w:tc>
          <w:tcPr>
            <w:tcW w:w="1044" w:type="dxa"/>
            <w:vAlign w:val="center"/>
          </w:tcPr>
          <w:p w14:paraId="4F446760" w14:textId="77777777" w:rsidR="00C74000" w:rsidRPr="00627295" w:rsidRDefault="00C74000" w:rsidP="00B52E7C">
            <w:pPr>
              <w:pStyle w:val="TAC"/>
              <w:spacing w:after="180"/>
              <w:rPr>
                <w:rFonts w:cs="Arial"/>
                <w:szCs w:val="18"/>
              </w:rPr>
            </w:pPr>
            <w:r w:rsidRPr="00627295">
              <w:rPr>
                <w:rFonts w:eastAsia="DengXian" w:cs="Arial"/>
                <w:kern w:val="2"/>
                <w:szCs w:val="18"/>
                <w:lang w:eastAsia="zh-CN"/>
              </w:rPr>
              <w:t>{0,0,0}</w:t>
            </w:r>
          </w:p>
        </w:tc>
        <w:tc>
          <w:tcPr>
            <w:tcW w:w="1031" w:type="dxa"/>
            <w:vAlign w:val="center"/>
          </w:tcPr>
          <w:p w14:paraId="0E3EAE03" w14:textId="77777777" w:rsidR="00C74000" w:rsidRPr="00627295" w:rsidRDefault="00C74000" w:rsidP="00B52E7C">
            <w:pPr>
              <w:pStyle w:val="TAL"/>
              <w:spacing w:after="180"/>
              <w:jc w:val="center"/>
              <w:rPr>
                <w:rFonts w:cs="Arial"/>
                <w:szCs w:val="18"/>
              </w:rPr>
            </w:pPr>
            <w:r w:rsidRPr="00627295">
              <w:rPr>
                <w:rFonts w:eastAsia="DengXian" w:cs="Arial"/>
                <w:kern w:val="2"/>
                <w:szCs w:val="18"/>
                <w:lang w:eastAsia="zh-CN"/>
              </w:rPr>
              <w:t>{0,0,0,0}</w:t>
            </w:r>
          </w:p>
        </w:tc>
        <w:tc>
          <w:tcPr>
            <w:tcW w:w="3690" w:type="dxa"/>
            <w:vAlign w:val="center"/>
          </w:tcPr>
          <w:p w14:paraId="15A65E4B" w14:textId="33F82823" w:rsidR="00C74000" w:rsidRPr="003A5563" w:rsidRDefault="00C74000" w:rsidP="00B52E7C">
            <w:pPr>
              <w:pStyle w:val="TAL"/>
              <w:spacing w:after="180"/>
              <w:jc w:val="center"/>
              <w:rPr>
                <w:rFonts w:cs="Arial"/>
                <w:szCs w:val="18"/>
              </w:rPr>
            </w:pPr>
            <w:r w:rsidRPr="003A5563">
              <w:rPr>
                <w:rFonts w:cs="Arial"/>
                <w:szCs w:val="18"/>
              </w:rPr>
              <w:t>1</w:t>
            </w:r>
            <w:r w:rsidRPr="003A5563">
              <w:rPr>
                <w:rFonts w:cs="Arial"/>
                <w:szCs w:val="18"/>
                <w:vertAlign w:val="superscript"/>
              </w:rPr>
              <w:t>st</w:t>
            </w:r>
            <w:r w:rsidRPr="003A5563">
              <w:rPr>
                <w:rFonts w:cs="Arial"/>
                <w:szCs w:val="18"/>
              </w:rPr>
              <w:t xml:space="preserve"> PUCCH resource from </w:t>
            </w:r>
            <w:r w:rsidRPr="003A5563">
              <w:rPr>
                <w:rFonts w:cs="Arial"/>
                <w:i/>
                <w:iCs/>
                <w:szCs w:val="18"/>
              </w:rPr>
              <w:t>resourceList</w:t>
            </w:r>
            <w:r w:rsidR="007F253F" w:rsidRPr="003A5563">
              <w:rPr>
                <w:rFonts w:cs="Arial"/>
                <w:i/>
                <w:iCs/>
                <w:szCs w:val="18"/>
              </w:rPr>
              <w:t>/</w:t>
            </w:r>
            <w:r w:rsidR="00DA3A32" w:rsidRPr="003A5563">
              <w:rPr>
                <w:rFonts w:cs="Arial"/>
                <w:i/>
                <w:iCs/>
                <w:szCs w:val="18"/>
              </w:rPr>
              <w:t>n1PUCCH-AN/</w:t>
            </w:r>
            <w:r w:rsidR="007F253F" w:rsidRPr="003A5563">
              <w:rPr>
                <w:i/>
              </w:rPr>
              <w:t>sps-PUCCH-AN-ListMulticast</w:t>
            </w:r>
          </w:p>
        </w:tc>
      </w:tr>
      <w:tr w:rsidR="00C74000" w:rsidRPr="00B916EC" w14:paraId="3A5B5DBC" w14:textId="77777777" w:rsidTr="00B52E7C">
        <w:trPr>
          <w:cantSplit/>
          <w:jc w:val="center"/>
        </w:trPr>
        <w:tc>
          <w:tcPr>
            <w:tcW w:w="917" w:type="dxa"/>
            <w:vAlign w:val="center"/>
          </w:tcPr>
          <w:p w14:paraId="754CCB34" w14:textId="77777777" w:rsidR="00C74000" w:rsidRPr="00627295" w:rsidRDefault="00C74000" w:rsidP="00B52E7C">
            <w:pPr>
              <w:pStyle w:val="TAC"/>
              <w:spacing w:after="180"/>
              <w:rPr>
                <w:rFonts w:cs="Arial"/>
                <w:szCs w:val="18"/>
              </w:rPr>
            </w:pPr>
          </w:p>
        </w:tc>
        <w:tc>
          <w:tcPr>
            <w:tcW w:w="958" w:type="dxa"/>
            <w:vAlign w:val="center"/>
          </w:tcPr>
          <w:p w14:paraId="1E1C8719" w14:textId="77777777" w:rsidR="00C74000" w:rsidRPr="00627295" w:rsidRDefault="00C74000" w:rsidP="00B52E7C">
            <w:pPr>
              <w:pStyle w:val="TAC"/>
              <w:spacing w:after="180"/>
              <w:rPr>
                <w:rFonts w:cs="Arial"/>
                <w:szCs w:val="18"/>
              </w:rPr>
            </w:pPr>
            <w:r w:rsidRPr="00627295">
              <w:rPr>
                <w:rFonts w:eastAsia="DengXian" w:cs="Arial"/>
                <w:kern w:val="2"/>
                <w:szCs w:val="18"/>
                <w:lang w:eastAsia="zh-CN"/>
              </w:rPr>
              <w:t>{1,0}</w:t>
            </w:r>
          </w:p>
        </w:tc>
        <w:tc>
          <w:tcPr>
            <w:tcW w:w="1044" w:type="dxa"/>
            <w:vAlign w:val="center"/>
          </w:tcPr>
          <w:p w14:paraId="477791A3" w14:textId="77777777" w:rsidR="00C74000" w:rsidRPr="00627295" w:rsidRDefault="00C74000" w:rsidP="00B52E7C">
            <w:pPr>
              <w:pStyle w:val="TAC"/>
              <w:spacing w:after="180"/>
              <w:rPr>
                <w:rFonts w:cs="Arial"/>
                <w:szCs w:val="18"/>
              </w:rPr>
            </w:pPr>
            <w:r w:rsidRPr="00627295">
              <w:rPr>
                <w:rFonts w:eastAsia="DengXian" w:cs="Arial"/>
                <w:kern w:val="2"/>
                <w:szCs w:val="18"/>
                <w:lang w:eastAsia="zh-CN"/>
              </w:rPr>
              <w:t>{1,0,0}</w:t>
            </w:r>
          </w:p>
        </w:tc>
        <w:tc>
          <w:tcPr>
            <w:tcW w:w="1031" w:type="dxa"/>
            <w:vAlign w:val="center"/>
          </w:tcPr>
          <w:p w14:paraId="511B05F6" w14:textId="77777777" w:rsidR="00C74000" w:rsidRPr="00627295" w:rsidRDefault="00C74000" w:rsidP="00B52E7C">
            <w:pPr>
              <w:pStyle w:val="TAL"/>
              <w:spacing w:after="180"/>
              <w:jc w:val="center"/>
              <w:rPr>
                <w:rFonts w:cs="Arial"/>
                <w:szCs w:val="18"/>
              </w:rPr>
            </w:pPr>
            <w:r w:rsidRPr="00627295">
              <w:rPr>
                <w:rFonts w:eastAsia="DengXian" w:cs="Arial"/>
                <w:kern w:val="2"/>
                <w:szCs w:val="18"/>
                <w:lang w:eastAsia="zh-CN"/>
              </w:rPr>
              <w:t>{1,0,0,0}</w:t>
            </w:r>
          </w:p>
        </w:tc>
        <w:tc>
          <w:tcPr>
            <w:tcW w:w="3690" w:type="dxa"/>
            <w:vAlign w:val="center"/>
          </w:tcPr>
          <w:p w14:paraId="14C08FDA" w14:textId="7B49C4F5" w:rsidR="00C74000" w:rsidRPr="00627295" w:rsidRDefault="00C74000" w:rsidP="00B52E7C">
            <w:pPr>
              <w:pStyle w:val="TAL"/>
              <w:spacing w:after="180"/>
              <w:jc w:val="center"/>
              <w:rPr>
                <w:rFonts w:cs="Arial"/>
                <w:szCs w:val="18"/>
              </w:rPr>
            </w:pPr>
            <w:r w:rsidRPr="00627295">
              <w:rPr>
                <w:rFonts w:cs="Arial"/>
                <w:szCs w:val="18"/>
              </w:rPr>
              <w:t>2</w:t>
            </w:r>
            <w:r w:rsidRPr="00627295">
              <w:rPr>
                <w:rFonts w:cs="Arial"/>
                <w:szCs w:val="18"/>
                <w:vertAlign w:val="superscript"/>
              </w:rPr>
              <w:t>nd</w:t>
            </w:r>
            <w:r w:rsidRPr="00627295">
              <w:rPr>
                <w:rFonts w:cs="Arial"/>
                <w:szCs w:val="18"/>
              </w:rPr>
              <w:t xml:space="preserve"> PUCCH resource from </w:t>
            </w:r>
            <w:r w:rsidRPr="00627295">
              <w:rPr>
                <w:rFonts w:cs="Arial"/>
                <w:i/>
                <w:iCs/>
                <w:szCs w:val="18"/>
              </w:rPr>
              <w:t>resourceList</w:t>
            </w:r>
            <w:r w:rsidR="000B7009">
              <w:rPr>
                <w:rFonts w:cs="Arial"/>
                <w:i/>
                <w:iCs/>
                <w:szCs w:val="18"/>
              </w:rPr>
              <w:t>/</w:t>
            </w:r>
            <w:r w:rsidR="000B7009" w:rsidRPr="000D054A">
              <w:rPr>
                <w:i/>
              </w:rPr>
              <w:t>sps-PUCCH-AN-ListMulticast</w:t>
            </w:r>
          </w:p>
        </w:tc>
      </w:tr>
      <w:tr w:rsidR="00C74000" w:rsidRPr="00B916EC" w14:paraId="77829AE8" w14:textId="77777777" w:rsidTr="00B52E7C">
        <w:trPr>
          <w:cantSplit/>
          <w:jc w:val="center"/>
        </w:trPr>
        <w:tc>
          <w:tcPr>
            <w:tcW w:w="917" w:type="dxa"/>
            <w:vAlign w:val="center"/>
          </w:tcPr>
          <w:p w14:paraId="5E27D055" w14:textId="77777777" w:rsidR="00C74000" w:rsidRPr="00627295" w:rsidRDefault="00C74000" w:rsidP="00B52E7C">
            <w:pPr>
              <w:pStyle w:val="TAC"/>
              <w:spacing w:after="180"/>
              <w:rPr>
                <w:rFonts w:cs="Arial"/>
                <w:szCs w:val="18"/>
              </w:rPr>
            </w:pPr>
          </w:p>
        </w:tc>
        <w:tc>
          <w:tcPr>
            <w:tcW w:w="958" w:type="dxa"/>
            <w:vAlign w:val="center"/>
          </w:tcPr>
          <w:p w14:paraId="38704151" w14:textId="77777777" w:rsidR="00C74000" w:rsidRPr="00627295" w:rsidRDefault="00C74000" w:rsidP="00B52E7C">
            <w:pPr>
              <w:pStyle w:val="TAC"/>
              <w:spacing w:after="180"/>
              <w:rPr>
                <w:rFonts w:cs="Arial"/>
                <w:szCs w:val="18"/>
              </w:rPr>
            </w:pPr>
            <w:r w:rsidRPr="00627295">
              <w:rPr>
                <w:rFonts w:eastAsia="DengXian" w:cs="Arial"/>
                <w:kern w:val="2"/>
                <w:szCs w:val="18"/>
                <w:lang w:eastAsia="zh-CN"/>
              </w:rPr>
              <w:t>{0,1}</w:t>
            </w:r>
          </w:p>
        </w:tc>
        <w:tc>
          <w:tcPr>
            <w:tcW w:w="1044" w:type="dxa"/>
            <w:vAlign w:val="center"/>
          </w:tcPr>
          <w:p w14:paraId="4586A49B" w14:textId="77777777" w:rsidR="00C74000" w:rsidRPr="00627295" w:rsidRDefault="00C74000" w:rsidP="00B52E7C">
            <w:pPr>
              <w:pStyle w:val="TAC"/>
              <w:spacing w:after="180"/>
              <w:rPr>
                <w:rFonts w:cs="Arial"/>
                <w:szCs w:val="18"/>
              </w:rPr>
            </w:pPr>
            <w:r w:rsidRPr="00627295">
              <w:rPr>
                <w:rFonts w:eastAsia="DengXian" w:cs="Arial"/>
                <w:kern w:val="2"/>
                <w:szCs w:val="18"/>
                <w:lang w:eastAsia="zh-CN"/>
              </w:rPr>
              <w:t>{0,1,0}</w:t>
            </w:r>
          </w:p>
        </w:tc>
        <w:tc>
          <w:tcPr>
            <w:tcW w:w="1031" w:type="dxa"/>
            <w:vAlign w:val="center"/>
          </w:tcPr>
          <w:p w14:paraId="5965A287" w14:textId="77777777" w:rsidR="00C74000" w:rsidRPr="00627295" w:rsidRDefault="00C74000" w:rsidP="00B52E7C">
            <w:pPr>
              <w:pStyle w:val="TAL"/>
              <w:spacing w:after="180"/>
              <w:jc w:val="center"/>
              <w:rPr>
                <w:rFonts w:cs="Arial"/>
                <w:szCs w:val="18"/>
              </w:rPr>
            </w:pPr>
            <w:r w:rsidRPr="00627295">
              <w:rPr>
                <w:rFonts w:eastAsia="DengXian" w:cs="Arial"/>
                <w:kern w:val="2"/>
                <w:szCs w:val="18"/>
                <w:lang w:eastAsia="zh-CN"/>
              </w:rPr>
              <w:t>{0,1,0,0</w:t>
            </w:r>
            <w:r w:rsidRPr="00627295">
              <w:rPr>
                <w:rFonts w:cs="Arial"/>
                <w:szCs w:val="18"/>
                <w:lang w:eastAsia="zh-CN"/>
              </w:rPr>
              <w:t>}</w:t>
            </w:r>
          </w:p>
        </w:tc>
        <w:tc>
          <w:tcPr>
            <w:tcW w:w="3690" w:type="dxa"/>
            <w:vAlign w:val="center"/>
          </w:tcPr>
          <w:p w14:paraId="2B18F52D" w14:textId="60CCA5E6" w:rsidR="00C74000" w:rsidRPr="00627295" w:rsidRDefault="00C74000" w:rsidP="00B52E7C">
            <w:pPr>
              <w:pStyle w:val="TAL"/>
              <w:spacing w:after="180"/>
              <w:jc w:val="center"/>
              <w:rPr>
                <w:rFonts w:cs="Arial"/>
                <w:szCs w:val="18"/>
              </w:rPr>
            </w:pPr>
            <w:r w:rsidRPr="00627295">
              <w:rPr>
                <w:rFonts w:cs="Arial"/>
                <w:szCs w:val="18"/>
              </w:rPr>
              <w:t>3</w:t>
            </w:r>
            <w:r w:rsidRPr="00627295">
              <w:rPr>
                <w:rFonts w:cs="Arial"/>
                <w:szCs w:val="18"/>
                <w:vertAlign w:val="superscript"/>
              </w:rPr>
              <w:t>rd</w:t>
            </w:r>
            <w:r w:rsidRPr="00627295">
              <w:rPr>
                <w:rFonts w:cs="Arial"/>
                <w:szCs w:val="18"/>
              </w:rPr>
              <w:t xml:space="preserve"> PUCCH resource from </w:t>
            </w:r>
            <w:r w:rsidRPr="00627295">
              <w:rPr>
                <w:rFonts w:cs="Arial"/>
                <w:i/>
                <w:iCs/>
                <w:szCs w:val="18"/>
              </w:rPr>
              <w:t>resourceList</w:t>
            </w:r>
            <w:r w:rsidR="000B7009">
              <w:rPr>
                <w:rFonts w:cs="Arial"/>
                <w:i/>
                <w:iCs/>
                <w:szCs w:val="18"/>
              </w:rPr>
              <w:t>/</w:t>
            </w:r>
            <w:r w:rsidR="000B7009" w:rsidRPr="000D054A">
              <w:rPr>
                <w:i/>
              </w:rPr>
              <w:t>sps-PUCCH-AN-ListMulticast</w:t>
            </w:r>
          </w:p>
        </w:tc>
      </w:tr>
      <w:tr w:rsidR="00C74000" w:rsidRPr="00B916EC" w14:paraId="5F792FDA" w14:textId="77777777" w:rsidTr="00B52E7C">
        <w:trPr>
          <w:cantSplit/>
          <w:jc w:val="center"/>
        </w:trPr>
        <w:tc>
          <w:tcPr>
            <w:tcW w:w="917" w:type="dxa"/>
            <w:vAlign w:val="center"/>
          </w:tcPr>
          <w:p w14:paraId="687DB522" w14:textId="77777777" w:rsidR="00C74000" w:rsidRPr="00627295" w:rsidRDefault="00C74000" w:rsidP="00B52E7C">
            <w:pPr>
              <w:pStyle w:val="TAC"/>
              <w:spacing w:after="180"/>
              <w:rPr>
                <w:rFonts w:cs="Arial"/>
                <w:szCs w:val="18"/>
              </w:rPr>
            </w:pPr>
          </w:p>
        </w:tc>
        <w:tc>
          <w:tcPr>
            <w:tcW w:w="958" w:type="dxa"/>
            <w:vAlign w:val="center"/>
          </w:tcPr>
          <w:p w14:paraId="399AC71F" w14:textId="77777777" w:rsidR="00C74000" w:rsidRPr="00627295" w:rsidRDefault="00C74000" w:rsidP="00B52E7C">
            <w:pPr>
              <w:pStyle w:val="TAC"/>
              <w:spacing w:after="180"/>
              <w:rPr>
                <w:rFonts w:cs="Arial"/>
                <w:szCs w:val="18"/>
              </w:rPr>
            </w:pPr>
          </w:p>
        </w:tc>
        <w:tc>
          <w:tcPr>
            <w:tcW w:w="1044" w:type="dxa"/>
            <w:vAlign w:val="center"/>
          </w:tcPr>
          <w:p w14:paraId="01D5CE13" w14:textId="77777777" w:rsidR="00C74000" w:rsidRPr="00627295" w:rsidRDefault="00C74000" w:rsidP="00B52E7C">
            <w:pPr>
              <w:pStyle w:val="TAC"/>
              <w:spacing w:after="180"/>
              <w:rPr>
                <w:rFonts w:cs="Arial"/>
                <w:szCs w:val="18"/>
              </w:rPr>
            </w:pPr>
            <w:r w:rsidRPr="00627295">
              <w:rPr>
                <w:rFonts w:eastAsia="DengXian" w:cs="Arial"/>
                <w:kern w:val="2"/>
                <w:szCs w:val="18"/>
                <w:lang w:eastAsia="zh-CN"/>
              </w:rPr>
              <w:t>{1,1,0</w:t>
            </w:r>
            <w:r w:rsidRPr="00627295">
              <w:rPr>
                <w:rFonts w:cs="Arial"/>
                <w:szCs w:val="18"/>
                <w:lang w:eastAsia="zh-CN"/>
              </w:rPr>
              <w:t>}</w:t>
            </w:r>
          </w:p>
        </w:tc>
        <w:tc>
          <w:tcPr>
            <w:tcW w:w="1031" w:type="dxa"/>
            <w:vAlign w:val="center"/>
          </w:tcPr>
          <w:p w14:paraId="024F7244" w14:textId="77777777" w:rsidR="00C74000" w:rsidRPr="00627295" w:rsidRDefault="00C74000" w:rsidP="00B52E7C">
            <w:pPr>
              <w:pStyle w:val="TAL"/>
              <w:spacing w:after="180"/>
              <w:jc w:val="center"/>
              <w:rPr>
                <w:rFonts w:cs="Arial"/>
                <w:szCs w:val="18"/>
              </w:rPr>
            </w:pPr>
            <w:r w:rsidRPr="00627295">
              <w:rPr>
                <w:rFonts w:eastAsia="DengXian" w:cs="Arial"/>
                <w:kern w:val="2"/>
                <w:szCs w:val="18"/>
                <w:lang w:eastAsia="zh-CN"/>
              </w:rPr>
              <w:t>{1,1,0,0</w:t>
            </w:r>
            <w:r w:rsidRPr="00627295">
              <w:rPr>
                <w:rFonts w:cs="Arial"/>
                <w:szCs w:val="18"/>
                <w:lang w:eastAsia="zh-CN"/>
              </w:rPr>
              <w:t>}</w:t>
            </w:r>
          </w:p>
        </w:tc>
        <w:tc>
          <w:tcPr>
            <w:tcW w:w="3690" w:type="dxa"/>
            <w:vAlign w:val="center"/>
          </w:tcPr>
          <w:p w14:paraId="3CDF597F" w14:textId="77777777" w:rsidR="00C74000" w:rsidRPr="00627295" w:rsidRDefault="00C74000" w:rsidP="00B52E7C">
            <w:pPr>
              <w:pStyle w:val="TAL"/>
              <w:spacing w:after="180"/>
              <w:jc w:val="center"/>
              <w:rPr>
                <w:rFonts w:cs="Arial"/>
                <w:szCs w:val="18"/>
              </w:rPr>
            </w:pPr>
            <w:r w:rsidRPr="00627295">
              <w:rPr>
                <w:rFonts w:cs="Arial"/>
                <w:szCs w:val="18"/>
              </w:rPr>
              <w:t>4</w:t>
            </w:r>
            <w:r w:rsidRPr="00627295">
              <w:rPr>
                <w:rFonts w:cs="Arial"/>
                <w:szCs w:val="18"/>
                <w:vertAlign w:val="superscript"/>
              </w:rPr>
              <w:t>th</w:t>
            </w:r>
            <w:r w:rsidRPr="00627295">
              <w:rPr>
                <w:rFonts w:cs="Arial"/>
                <w:szCs w:val="18"/>
              </w:rPr>
              <w:t xml:space="preserve"> PUCCH resource from </w:t>
            </w:r>
            <w:r w:rsidRPr="00627295">
              <w:rPr>
                <w:rFonts w:cs="Arial"/>
                <w:i/>
                <w:iCs/>
                <w:szCs w:val="18"/>
              </w:rPr>
              <w:t>resourceList</w:t>
            </w:r>
          </w:p>
        </w:tc>
      </w:tr>
      <w:tr w:rsidR="00C74000" w:rsidRPr="00B916EC" w14:paraId="713EBF6E" w14:textId="77777777" w:rsidTr="00B52E7C">
        <w:trPr>
          <w:cantSplit/>
          <w:jc w:val="center"/>
        </w:trPr>
        <w:tc>
          <w:tcPr>
            <w:tcW w:w="917" w:type="dxa"/>
            <w:vAlign w:val="center"/>
          </w:tcPr>
          <w:p w14:paraId="472DA4C6" w14:textId="77777777" w:rsidR="00C74000" w:rsidRPr="00627295" w:rsidRDefault="00C74000" w:rsidP="00B52E7C">
            <w:pPr>
              <w:pStyle w:val="TAC"/>
              <w:spacing w:after="180"/>
              <w:rPr>
                <w:rFonts w:cs="Arial"/>
                <w:szCs w:val="18"/>
              </w:rPr>
            </w:pPr>
          </w:p>
        </w:tc>
        <w:tc>
          <w:tcPr>
            <w:tcW w:w="958" w:type="dxa"/>
            <w:vAlign w:val="center"/>
          </w:tcPr>
          <w:p w14:paraId="3D170CF5" w14:textId="77777777" w:rsidR="00C74000" w:rsidRPr="00627295" w:rsidRDefault="00C74000" w:rsidP="00B52E7C">
            <w:pPr>
              <w:pStyle w:val="TAC"/>
              <w:spacing w:after="180"/>
              <w:rPr>
                <w:rFonts w:cs="Arial"/>
                <w:szCs w:val="18"/>
              </w:rPr>
            </w:pPr>
          </w:p>
        </w:tc>
        <w:tc>
          <w:tcPr>
            <w:tcW w:w="1044" w:type="dxa"/>
            <w:vAlign w:val="center"/>
          </w:tcPr>
          <w:p w14:paraId="3858E25B" w14:textId="77777777" w:rsidR="00C74000" w:rsidRPr="00627295" w:rsidRDefault="00C74000" w:rsidP="00B52E7C">
            <w:pPr>
              <w:pStyle w:val="TAC"/>
              <w:spacing w:after="180"/>
              <w:rPr>
                <w:rFonts w:cs="Arial"/>
                <w:szCs w:val="18"/>
              </w:rPr>
            </w:pPr>
            <w:r w:rsidRPr="00627295">
              <w:rPr>
                <w:rFonts w:eastAsia="DengXian" w:cs="Arial"/>
                <w:kern w:val="2"/>
                <w:szCs w:val="18"/>
                <w:lang w:eastAsia="zh-CN"/>
              </w:rPr>
              <w:t>{0,0,1</w:t>
            </w:r>
            <w:r w:rsidRPr="00627295">
              <w:rPr>
                <w:rFonts w:cs="Arial"/>
                <w:szCs w:val="18"/>
                <w:lang w:eastAsia="zh-CN"/>
              </w:rPr>
              <w:t>}</w:t>
            </w:r>
          </w:p>
        </w:tc>
        <w:tc>
          <w:tcPr>
            <w:tcW w:w="1031" w:type="dxa"/>
            <w:vAlign w:val="center"/>
          </w:tcPr>
          <w:p w14:paraId="44F07E3F" w14:textId="77777777" w:rsidR="00C74000" w:rsidRPr="00627295" w:rsidRDefault="00C74000" w:rsidP="00B52E7C">
            <w:pPr>
              <w:pStyle w:val="TAL"/>
              <w:spacing w:after="180"/>
              <w:jc w:val="center"/>
              <w:rPr>
                <w:rFonts w:cs="Arial"/>
                <w:szCs w:val="18"/>
              </w:rPr>
            </w:pPr>
            <w:r w:rsidRPr="00627295">
              <w:rPr>
                <w:rFonts w:eastAsia="DengXian" w:cs="Arial"/>
                <w:kern w:val="2"/>
                <w:szCs w:val="18"/>
                <w:lang w:eastAsia="zh-CN"/>
              </w:rPr>
              <w:t>{0,0,1,0</w:t>
            </w:r>
            <w:r w:rsidRPr="00627295">
              <w:rPr>
                <w:rFonts w:cs="Arial"/>
                <w:szCs w:val="18"/>
                <w:lang w:eastAsia="zh-CN"/>
              </w:rPr>
              <w:t>}</w:t>
            </w:r>
          </w:p>
        </w:tc>
        <w:tc>
          <w:tcPr>
            <w:tcW w:w="3690" w:type="dxa"/>
            <w:vAlign w:val="center"/>
          </w:tcPr>
          <w:p w14:paraId="592811C6" w14:textId="77777777" w:rsidR="00C74000" w:rsidRPr="00627295" w:rsidRDefault="00C74000" w:rsidP="00B52E7C">
            <w:pPr>
              <w:pStyle w:val="TAL"/>
              <w:spacing w:after="180"/>
              <w:jc w:val="center"/>
              <w:rPr>
                <w:rFonts w:cs="Arial"/>
                <w:szCs w:val="18"/>
              </w:rPr>
            </w:pPr>
            <w:r w:rsidRPr="00627295">
              <w:rPr>
                <w:rFonts w:cs="Arial"/>
                <w:szCs w:val="18"/>
              </w:rPr>
              <w:t>5</w:t>
            </w:r>
            <w:r w:rsidRPr="00627295">
              <w:rPr>
                <w:rFonts w:cs="Arial"/>
                <w:szCs w:val="18"/>
                <w:vertAlign w:val="superscript"/>
              </w:rPr>
              <w:t>th</w:t>
            </w:r>
            <w:r w:rsidRPr="00627295">
              <w:rPr>
                <w:rFonts w:cs="Arial"/>
                <w:szCs w:val="18"/>
              </w:rPr>
              <w:t xml:space="preserve"> PUCCH resource from </w:t>
            </w:r>
            <w:r w:rsidRPr="00627295">
              <w:rPr>
                <w:rFonts w:cs="Arial"/>
                <w:i/>
                <w:iCs/>
                <w:szCs w:val="18"/>
              </w:rPr>
              <w:t>resourceList</w:t>
            </w:r>
          </w:p>
        </w:tc>
      </w:tr>
      <w:tr w:rsidR="00C74000" w:rsidRPr="00B916EC" w14:paraId="4FDF3EF5" w14:textId="77777777" w:rsidTr="00B52E7C">
        <w:trPr>
          <w:cantSplit/>
          <w:jc w:val="center"/>
        </w:trPr>
        <w:tc>
          <w:tcPr>
            <w:tcW w:w="917" w:type="dxa"/>
            <w:vAlign w:val="center"/>
          </w:tcPr>
          <w:p w14:paraId="0F42CB63" w14:textId="77777777" w:rsidR="00C74000" w:rsidRPr="00627295" w:rsidRDefault="00C74000" w:rsidP="00B52E7C">
            <w:pPr>
              <w:pStyle w:val="TAC"/>
              <w:spacing w:after="180"/>
              <w:rPr>
                <w:rFonts w:cs="Arial"/>
                <w:szCs w:val="18"/>
              </w:rPr>
            </w:pPr>
          </w:p>
        </w:tc>
        <w:tc>
          <w:tcPr>
            <w:tcW w:w="958" w:type="dxa"/>
            <w:vAlign w:val="center"/>
          </w:tcPr>
          <w:p w14:paraId="10814226" w14:textId="77777777" w:rsidR="00C74000" w:rsidRPr="00627295" w:rsidRDefault="00C74000" w:rsidP="00B52E7C">
            <w:pPr>
              <w:pStyle w:val="TAC"/>
              <w:spacing w:after="180"/>
              <w:rPr>
                <w:rFonts w:cs="Arial"/>
                <w:szCs w:val="18"/>
              </w:rPr>
            </w:pPr>
          </w:p>
        </w:tc>
        <w:tc>
          <w:tcPr>
            <w:tcW w:w="1044" w:type="dxa"/>
            <w:vAlign w:val="center"/>
          </w:tcPr>
          <w:p w14:paraId="49D37396" w14:textId="77777777" w:rsidR="00C74000" w:rsidRPr="00627295" w:rsidRDefault="00C74000" w:rsidP="00B52E7C">
            <w:pPr>
              <w:pStyle w:val="TAC"/>
              <w:spacing w:after="180"/>
              <w:rPr>
                <w:rFonts w:eastAsia="DengXian" w:cs="Arial"/>
                <w:kern w:val="2"/>
                <w:szCs w:val="18"/>
                <w:lang w:eastAsia="zh-CN"/>
              </w:rPr>
            </w:pPr>
            <w:r w:rsidRPr="00627295">
              <w:rPr>
                <w:rFonts w:eastAsia="DengXian" w:cs="Arial"/>
                <w:kern w:val="2"/>
                <w:szCs w:val="18"/>
                <w:lang w:eastAsia="zh-CN"/>
              </w:rPr>
              <w:t>{1,0,1</w:t>
            </w:r>
            <w:r w:rsidRPr="00627295">
              <w:rPr>
                <w:rFonts w:cs="Arial"/>
                <w:szCs w:val="18"/>
                <w:lang w:eastAsia="zh-CN"/>
              </w:rPr>
              <w:t>}</w:t>
            </w:r>
          </w:p>
        </w:tc>
        <w:tc>
          <w:tcPr>
            <w:tcW w:w="1031" w:type="dxa"/>
            <w:vAlign w:val="center"/>
          </w:tcPr>
          <w:p w14:paraId="50061BC8" w14:textId="77777777" w:rsidR="00C74000" w:rsidRPr="00627295" w:rsidRDefault="00C74000" w:rsidP="00B52E7C">
            <w:pPr>
              <w:pStyle w:val="TAL"/>
              <w:spacing w:after="180"/>
              <w:jc w:val="center"/>
              <w:rPr>
                <w:rFonts w:eastAsia="DengXian" w:cs="Arial"/>
                <w:kern w:val="2"/>
                <w:szCs w:val="18"/>
                <w:lang w:eastAsia="zh-CN"/>
              </w:rPr>
            </w:pPr>
            <w:r w:rsidRPr="00627295">
              <w:rPr>
                <w:rFonts w:eastAsia="DengXian" w:cs="Arial"/>
                <w:kern w:val="2"/>
                <w:szCs w:val="18"/>
                <w:lang w:eastAsia="zh-CN"/>
              </w:rPr>
              <w:t>{1,0,1,0</w:t>
            </w:r>
            <w:r w:rsidRPr="00627295">
              <w:rPr>
                <w:rFonts w:cs="Arial"/>
                <w:szCs w:val="18"/>
                <w:lang w:eastAsia="zh-CN"/>
              </w:rPr>
              <w:t>}</w:t>
            </w:r>
          </w:p>
        </w:tc>
        <w:tc>
          <w:tcPr>
            <w:tcW w:w="3690" w:type="dxa"/>
            <w:vAlign w:val="center"/>
          </w:tcPr>
          <w:p w14:paraId="15649CC7" w14:textId="77777777" w:rsidR="00C74000" w:rsidRPr="00627295" w:rsidRDefault="00C74000" w:rsidP="00B52E7C">
            <w:pPr>
              <w:pStyle w:val="TAL"/>
              <w:spacing w:after="180"/>
              <w:jc w:val="center"/>
              <w:rPr>
                <w:rFonts w:cs="Arial"/>
                <w:szCs w:val="18"/>
              </w:rPr>
            </w:pPr>
            <w:r w:rsidRPr="00627295">
              <w:rPr>
                <w:rFonts w:cs="Arial"/>
                <w:szCs w:val="18"/>
              </w:rPr>
              <w:t>6</w:t>
            </w:r>
            <w:r w:rsidRPr="00627295">
              <w:rPr>
                <w:rFonts w:cs="Arial"/>
                <w:szCs w:val="18"/>
                <w:vertAlign w:val="superscript"/>
              </w:rPr>
              <w:t>th</w:t>
            </w:r>
            <w:r w:rsidRPr="00627295">
              <w:rPr>
                <w:rFonts w:cs="Arial"/>
                <w:szCs w:val="18"/>
              </w:rPr>
              <w:t xml:space="preserve"> PUCCH resource from </w:t>
            </w:r>
            <w:r w:rsidRPr="00627295">
              <w:rPr>
                <w:rFonts w:cs="Arial"/>
                <w:i/>
                <w:iCs/>
                <w:szCs w:val="18"/>
              </w:rPr>
              <w:t>resourceList</w:t>
            </w:r>
          </w:p>
        </w:tc>
      </w:tr>
      <w:tr w:rsidR="00C74000" w:rsidRPr="00B916EC" w14:paraId="46AC0FAB" w14:textId="77777777" w:rsidTr="00B52E7C">
        <w:trPr>
          <w:cantSplit/>
          <w:jc w:val="center"/>
        </w:trPr>
        <w:tc>
          <w:tcPr>
            <w:tcW w:w="917" w:type="dxa"/>
            <w:vAlign w:val="center"/>
          </w:tcPr>
          <w:p w14:paraId="427F0D7A" w14:textId="77777777" w:rsidR="00C74000" w:rsidRPr="00627295" w:rsidRDefault="00C74000" w:rsidP="00B52E7C">
            <w:pPr>
              <w:pStyle w:val="TAC"/>
              <w:spacing w:after="180"/>
              <w:rPr>
                <w:rFonts w:cs="Arial"/>
                <w:szCs w:val="18"/>
              </w:rPr>
            </w:pPr>
          </w:p>
        </w:tc>
        <w:tc>
          <w:tcPr>
            <w:tcW w:w="958" w:type="dxa"/>
            <w:vAlign w:val="center"/>
          </w:tcPr>
          <w:p w14:paraId="1F34DE4F" w14:textId="77777777" w:rsidR="00C74000" w:rsidRPr="00627295" w:rsidRDefault="00C74000" w:rsidP="00B52E7C">
            <w:pPr>
              <w:pStyle w:val="TAC"/>
              <w:spacing w:after="180"/>
              <w:rPr>
                <w:rFonts w:cs="Arial"/>
                <w:szCs w:val="18"/>
              </w:rPr>
            </w:pPr>
          </w:p>
        </w:tc>
        <w:tc>
          <w:tcPr>
            <w:tcW w:w="1044" w:type="dxa"/>
            <w:vAlign w:val="center"/>
          </w:tcPr>
          <w:p w14:paraId="4A414022" w14:textId="77777777" w:rsidR="00C74000" w:rsidRPr="00627295" w:rsidRDefault="00C74000" w:rsidP="00B52E7C">
            <w:pPr>
              <w:pStyle w:val="TAC"/>
              <w:spacing w:after="180"/>
              <w:rPr>
                <w:rFonts w:eastAsia="DengXian" w:cs="Arial"/>
                <w:kern w:val="2"/>
                <w:szCs w:val="18"/>
                <w:lang w:eastAsia="zh-CN"/>
              </w:rPr>
            </w:pPr>
            <w:r w:rsidRPr="00627295">
              <w:rPr>
                <w:rFonts w:eastAsia="DengXian" w:cs="Arial"/>
                <w:kern w:val="2"/>
                <w:szCs w:val="18"/>
                <w:lang w:eastAsia="zh-CN"/>
              </w:rPr>
              <w:t>{0,1,1</w:t>
            </w:r>
            <w:r w:rsidRPr="00627295">
              <w:rPr>
                <w:rFonts w:cs="Arial"/>
                <w:szCs w:val="18"/>
                <w:lang w:eastAsia="zh-CN"/>
              </w:rPr>
              <w:t>}</w:t>
            </w:r>
          </w:p>
        </w:tc>
        <w:tc>
          <w:tcPr>
            <w:tcW w:w="1031" w:type="dxa"/>
            <w:vAlign w:val="center"/>
          </w:tcPr>
          <w:p w14:paraId="44464479" w14:textId="77777777" w:rsidR="00C74000" w:rsidRPr="00627295" w:rsidRDefault="00C74000" w:rsidP="00B52E7C">
            <w:pPr>
              <w:pStyle w:val="TAL"/>
              <w:spacing w:after="180"/>
              <w:jc w:val="center"/>
              <w:rPr>
                <w:rFonts w:eastAsia="DengXian" w:cs="Arial"/>
                <w:kern w:val="2"/>
                <w:szCs w:val="18"/>
                <w:lang w:eastAsia="zh-CN"/>
              </w:rPr>
            </w:pPr>
            <w:r w:rsidRPr="00627295">
              <w:rPr>
                <w:rFonts w:eastAsia="DengXian" w:cs="Arial"/>
                <w:kern w:val="2"/>
                <w:szCs w:val="18"/>
                <w:lang w:eastAsia="zh-CN"/>
              </w:rPr>
              <w:t>{0,1,1,0</w:t>
            </w:r>
            <w:r w:rsidRPr="00627295">
              <w:rPr>
                <w:rFonts w:cs="Arial"/>
                <w:szCs w:val="18"/>
                <w:lang w:eastAsia="zh-CN"/>
              </w:rPr>
              <w:t>}</w:t>
            </w:r>
          </w:p>
        </w:tc>
        <w:tc>
          <w:tcPr>
            <w:tcW w:w="3690" w:type="dxa"/>
            <w:vAlign w:val="center"/>
          </w:tcPr>
          <w:p w14:paraId="56BDB3EB" w14:textId="77777777" w:rsidR="00C74000" w:rsidRPr="00627295" w:rsidRDefault="00C74000" w:rsidP="00B52E7C">
            <w:pPr>
              <w:pStyle w:val="TAL"/>
              <w:spacing w:after="180"/>
              <w:jc w:val="center"/>
              <w:rPr>
                <w:rFonts w:cs="Arial"/>
                <w:szCs w:val="18"/>
              </w:rPr>
            </w:pPr>
            <w:r w:rsidRPr="00627295">
              <w:rPr>
                <w:rFonts w:cs="Arial"/>
                <w:szCs w:val="18"/>
              </w:rPr>
              <w:t>7</w:t>
            </w:r>
            <w:r w:rsidRPr="00627295">
              <w:rPr>
                <w:rFonts w:cs="Arial"/>
                <w:szCs w:val="18"/>
                <w:vertAlign w:val="superscript"/>
              </w:rPr>
              <w:t>th</w:t>
            </w:r>
            <w:r w:rsidRPr="00627295">
              <w:rPr>
                <w:rFonts w:cs="Arial"/>
                <w:szCs w:val="18"/>
              </w:rPr>
              <w:t xml:space="preserve"> PUCCH resource from </w:t>
            </w:r>
            <w:r w:rsidRPr="00627295">
              <w:rPr>
                <w:rFonts w:cs="Arial"/>
                <w:i/>
                <w:iCs/>
                <w:szCs w:val="18"/>
              </w:rPr>
              <w:t>resourceList</w:t>
            </w:r>
          </w:p>
        </w:tc>
      </w:tr>
      <w:tr w:rsidR="00C74000" w:rsidRPr="00B916EC" w14:paraId="331DB3E9" w14:textId="77777777" w:rsidTr="00B52E7C">
        <w:trPr>
          <w:cantSplit/>
          <w:jc w:val="center"/>
        </w:trPr>
        <w:tc>
          <w:tcPr>
            <w:tcW w:w="917" w:type="dxa"/>
            <w:vAlign w:val="center"/>
          </w:tcPr>
          <w:p w14:paraId="51E1F008" w14:textId="77777777" w:rsidR="00C74000" w:rsidRPr="00627295" w:rsidRDefault="00C74000" w:rsidP="00B52E7C">
            <w:pPr>
              <w:pStyle w:val="TAC"/>
              <w:spacing w:after="180"/>
              <w:rPr>
                <w:rFonts w:cs="Arial"/>
                <w:szCs w:val="18"/>
              </w:rPr>
            </w:pPr>
          </w:p>
        </w:tc>
        <w:tc>
          <w:tcPr>
            <w:tcW w:w="958" w:type="dxa"/>
            <w:vAlign w:val="center"/>
          </w:tcPr>
          <w:p w14:paraId="63C245BC" w14:textId="77777777" w:rsidR="00C74000" w:rsidRPr="00627295" w:rsidRDefault="00C74000" w:rsidP="00B52E7C">
            <w:pPr>
              <w:pStyle w:val="TAC"/>
              <w:spacing w:after="180"/>
              <w:rPr>
                <w:rFonts w:cs="Arial"/>
                <w:szCs w:val="18"/>
              </w:rPr>
            </w:pPr>
          </w:p>
        </w:tc>
        <w:tc>
          <w:tcPr>
            <w:tcW w:w="1044" w:type="dxa"/>
            <w:vAlign w:val="center"/>
          </w:tcPr>
          <w:p w14:paraId="2EFA2D8A" w14:textId="77777777" w:rsidR="00C74000" w:rsidRPr="00627295" w:rsidRDefault="00C74000" w:rsidP="00B52E7C">
            <w:pPr>
              <w:pStyle w:val="TAC"/>
              <w:spacing w:after="180"/>
              <w:rPr>
                <w:rFonts w:eastAsia="DengXian" w:cs="Arial"/>
                <w:kern w:val="2"/>
                <w:szCs w:val="18"/>
                <w:lang w:eastAsia="zh-CN"/>
              </w:rPr>
            </w:pPr>
          </w:p>
        </w:tc>
        <w:tc>
          <w:tcPr>
            <w:tcW w:w="1031" w:type="dxa"/>
            <w:vAlign w:val="center"/>
          </w:tcPr>
          <w:p w14:paraId="4EB1E4B8" w14:textId="77777777" w:rsidR="00C74000" w:rsidRPr="00627295" w:rsidRDefault="00C74000" w:rsidP="00B52E7C">
            <w:pPr>
              <w:pStyle w:val="TAL"/>
              <w:spacing w:after="180"/>
              <w:jc w:val="center"/>
              <w:rPr>
                <w:rFonts w:eastAsia="DengXian" w:cs="Arial"/>
                <w:kern w:val="2"/>
                <w:szCs w:val="18"/>
                <w:lang w:eastAsia="zh-CN"/>
              </w:rPr>
            </w:pPr>
            <w:r w:rsidRPr="00627295">
              <w:rPr>
                <w:rFonts w:eastAsia="DengXian" w:cs="Arial"/>
                <w:kern w:val="2"/>
                <w:szCs w:val="18"/>
                <w:lang w:eastAsia="zh-CN"/>
              </w:rPr>
              <w:t>{1,1,1,0</w:t>
            </w:r>
            <w:r w:rsidRPr="00627295">
              <w:rPr>
                <w:rFonts w:cs="Arial"/>
                <w:szCs w:val="18"/>
                <w:lang w:eastAsia="zh-CN"/>
              </w:rPr>
              <w:t>}</w:t>
            </w:r>
          </w:p>
        </w:tc>
        <w:tc>
          <w:tcPr>
            <w:tcW w:w="3690" w:type="dxa"/>
            <w:vAlign w:val="center"/>
          </w:tcPr>
          <w:p w14:paraId="19A03BAA" w14:textId="77777777" w:rsidR="00C74000" w:rsidRPr="00627295" w:rsidRDefault="00C74000" w:rsidP="00B52E7C">
            <w:pPr>
              <w:pStyle w:val="TAL"/>
              <w:spacing w:after="180"/>
              <w:jc w:val="center"/>
              <w:rPr>
                <w:rFonts w:cs="Arial"/>
                <w:szCs w:val="18"/>
              </w:rPr>
            </w:pPr>
            <w:r w:rsidRPr="00627295">
              <w:rPr>
                <w:rFonts w:cs="Arial"/>
                <w:szCs w:val="18"/>
              </w:rPr>
              <w:t>8</w:t>
            </w:r>
            <w:r w:rsidRPr="00627295">
              <w:rPr>
                <w:rFonts w:cs="Arial"/>
                <w:szCs w:val="18"/>
                <w:vertAlign w:val="superscript"/>
              </w:rPr>
              <w:t>th</w:t>
            </w:r>
            <w:r w:rsidRPr="00627295">
              <w:rPr>
                <w:rFonts w:cs="Arial"/>
                <w:szCs w:val="18"/>
              </w:rPr>
              <w:t xml:space="preserve"> PUCCH resource from </w:t>
            </w:r>
            <w:r w:rsidRPr="00627295">
              <w:rPr>
                <w:rFonts w:cs="Arial"/>
                <w:i/>
                <w:iCs/>
                <w:szCs w:val="18"/>
              </w:rPr>
              <w:t>resourceList</w:t>
            </w:r>
          </w:p>
        </w:tc>
      </w:tr>
      <w:tr w:rsidR="00C74000" w:rsidRPr="00B916EC" w14:paraId="21713AEA" w14:textId="77777777" w:rsidTr="00B52E7C">
        <w:trPr>
          <w:cantSplit/>
          <w:jc w:val="center"/>
        </w:trPr>
        <w:tc>
          <w:tcPr>
            <w:tcW w:w="917" w:type="dxa"/>
            <w:vAlign w:val="center"/>
          </w:tcPr>
          <w:p w14:paraId="158BD29B" w14:textId="77777777" w:rsidR="00C74000" w:rsidRPr="00627295" w:rsidRDefault="00C74000" w:rsidP="00B52E7C">
            <w:pPr>
              <w:pStyle w:val="TAC"/>
              <w:spacing w:after="180"/>
              <w:rPr>
                <w:rFonts w:cs="Arial"/>
                <w:szCs w:val="18"/>
              </w:rPr>
            </w:pPr>
          </w:p>
        </w:tc>
        <w:tc>
          <w:tcPr>
            <w:tcW w:w="958" w:type="dxa"/>
            <w:vAlign w:val="center"/>
          </w:tcPr>
          <w:p w14:paraId="301B396F" w14:textId="77777777" w:rsidR="00C74000" w:rsidRPr="00627295" w:rsidRDefault="00C74000" w:rsidP="00B52E7C">
            <w:pPr>
              <w:pStyle w:val="TAC"/>
              <w:spacing w:after="180"/>
              <w:rPr>
                <w:rFonts w:cs="Arial"/>
                <w:szCs w:val="18"/>
              </w:rPr>
            </w:pPr>
          </w:p>
        </w:tc>
        <w:tc>
          <w:tcPr>
            <w:tcW w:w="1044" w:type="dxa"/>
            <w:vAlign w:val="center"/>
          </w:tcPr>
          <w:p w14:paraId="1F7728D9" w14:textId="77777777" w:rsidR="00C74000" w:rsidRPr="00627295" w:rsidRDefault="00C74000" w:rsidP="00B52E7C">
            <w:pPr>
              <w:pStyle w:val="TAC"/>
              <w:spacing w:after="180"/>
              <w:rPr>
                <w:rFonts w:eastAsia="DengXian" w:cs="Arial"/>
                <w:kern w:val="2"/>
                <w:szCs w:val="18"/>
                <w:lang w:eastAsia="zh-CN"/>
              </w:rPr>
            </w:pPr>
          </w:p>
        </w:tc>
        <w:tc>
          <w:tcPr>
            <w:tcW w:w="1031" w:type="dxa"/>
            <w:vAlign w:val="center"/>
          </w:tcPr>
          <w:p w14:paraId="3966D849" w14:textId="77777777" w:rsidR="00C74000" w:rsidRPr="00627295" w:rsidRDefault="00C74000" w:rsidP="00B52E7C">
            <w:pPr>
              <w:pStyle w:val="TAL"/>
              <w:spacing w:after="180"/>
              <w:jc w:val="center"/>
              <w:rPr>
                <w:rFonts w:eastAsia="DengXian" w:cs="Arial"/>
                <w:kern w:val="2"/>
                <w:szCs w:val="18"/>
                <w:lang w:eastAsia="zh-CN"/>
              </w:rPr>
            </w:pPr>
            <w:r w:rsidRPr="00627295">
              <w:rPr>
                <w:rFonts w:eastAsia="DengXian" w:cs="Arial"/>
                <w:kern w:val="2"/>
                <w:szCs w:val="18"/>
                <w:lang w:eastAsia="zh-CN"/>
              </w:rPr>
              <w:t>{</w:t>
            </w:r>
            <w:r w:rsidRPr="00627295">
              <w:rPr>
                <w:rFonts w:cs="Arial"/>
                <w:szCs w:val="18"/>
                <w:lang w:eastAsia="zh-CN"/>
              </w:rPr>
              <w:t>0,0,0,1}</w:t>
            </w:r>
          </w:p>
        </w:tc>
        <w:tc>
          <w:tcPr>
            <w:tcW w:w="3690" w:type="dxa"/>
            <w:vAlign w:val="center"/>
          </w:tcPr>
          <w:p w14:paraId="39843EFD" w14:textId="77777777" w:rsidR="00C74000" w:rsidRPr="00627295" w:rsidRDefault="00C74000" w:rsidP="00B52E7C">
            <w:pPr>
              <w:pStyle w:val="TAL"/>
              <w:spacing w:after="180"/>
              <w:jc w:val="center"/>
              <w:rPr>
                <w:rFonts w:cs="Arial"/>
                <w:szCs w:val="18"/>
              </w:rPr>
            </w:pPr>
            <w:r w:rsidRPr="00627295">
              <w:rPr>
                <w:rFonts w:cs="Arial"/>
                <w:szCs w:val="18"/>
              </w:rPr>
              <w:t>9</w:t>
            </w:r>
            <w:r w:rsidRPr="00627295">
              <w:rPr>
                <w:rFonts w:cs="Arial"/>
                <w:szCs w:val="18"/>
                <w:vertAlign w:val="superscript"/>
              </w:rPr>
              <w:t>th</w:t>
            </w:r>
            <w:r w:rsidRPr="00627295">
              <w:rPr>
                <w:rFonts w:cs="Arial"/>
                <w:szCs w:val="18"/>
              </w:rPr>
              <w:t xml:space="preserve"> PUCCH resource from </w:t>
            </w:r>
            <w:r w:rsidRPr="00627295">
              <w:rPr>
                <w:rFonts w:cs="Arial"/>
                <w:i/>
                <w:iCs/>
                <w:szCs w:val="18"/>
              </w:rPr>
              <w:t>resourceList</w:t>
            </w:r>
          </w:p>
        </w:tc>
      </w:tr>
      <w:tr w:rsidR="00C74000" w:rsidRPr="00B916EC" w14:paraId="1A829D6A" w14:textId="77777777" w:rsidTr="00B52E7C">
        <w:trPr>
          <w:cantSplit/>
          <w:jc w:val="center"/>
        </w:trPr>
        <w:tc>
          <w:tcPr>
            <w:tcW w:w="917" w:type="dxa"/>
            <w:vAlign w:val="center"/>
          </w:tcPr>
          <w:p w14:paraId="0FEDF608" w14:textId="77777777" w:rsidR="00C74000" w:rsidRPr="00627295" w:rsidRDefault="00C74000" w:rsidP="00B52E7C">
            <w:pPr>
              <w:pStyle w:val="TAC"/>
              <w:spacing w:after="180"/>
              <w:rPr>
                <w:rFonts w:cs="Arial"/>
                <w:szCs w:val="18"/>
              </w:rPr>
            </w:pPr>
          </w:p>
        </w:tc>
        <w:tc>
          <w:tcPr>
            <w:tcW w:w="958" w:type="dxa"/>
            <w:vAlign w:val="center"/>
          </w:tcPr>
          <w:p w14:paraId="37044E46" w14:textId="77777777" w:rsidR="00C74000" w:rsidRPr="00627295" w:rsidRDefault="00C74000" w:rsidP="00B52E7C">
            <w:pPr>
              <w:pStyle w:val="TAC"/>
              <w:spacing w:after="180"/>
              <w:rPr>
                <w:rFonts w:cs="Arial"/>
                <w:szCs w:val="18"/>
              </w:rPr>
            </w:pPr>
          </w:p>
        </w:tc>
        <w:tc>
          <w:tcPr>
            <w:tcW w:w="1044" w:type="dxa"/>
            <w:vAlign w:val="center"/>
          </w:tcPr>
          <w:p w14:paraId="3B3BA434" w14:textId="77777777" w:rsidR="00C74000" w:rsidRPr="00627295" w:rsidRDefault="00C74000" w:rsidP="00B52E7C">
            <w:pPr>
              <w:pStyle w:val="TAC"/>
              <w:spacing w:after="180"/>
              <w:rPr>
                <w:rFonts w:eastAsia="DengXian" w:cs="Arial"/>
                <w:kern w:val="2"/>
                <w:szCs w:val="18"/>
                <w:lang w:eastAsia="zh-CN"/>
              </w:rPr>
            </w:pPr>
          </w:p>
        </w:tc>
        <w:tc>
          <w:tcPr>
            <w:tcW w:w="1031" w:type="dxa"/>
            <w:vAlign w:val="center"/>
          </w:tcPr>
          <w:p w14:paraId="7A173162" w14:textId="77777777" w:rsidR="00C74000" w:rsidRPr="00627295" w:rsidRDefault="00C74000" w:rsidP="00B52E7C">
            <w:pPr>
              <w:pStyle w:val="TAL"/>
              <w:spacing w:after="180"/>
              <w:jc w:val="center"/>
              <w:rPr>
                <w:rFonts w:eastAsia="DengXian" w:cs="Arial"/>
                <w:kern w:val="2"/>
                <w:szCs w:val="18"/>
                <w:lang w:eastAsia="zh-CN"/>
              </w:rPr>
            </w:pPr>
            <w:r w:rsidRPr="00627295">
              <w:rPr>
                <w:rFonts w:eastAsia="DengXian" w:cs="Arial"/>
                <w:kern w:val="2"/>
                <w:szCs w:val="18"/>
                <w:lang w:eastAsia="zh-CN"/>
              </w:rPr>
              <w:t>{</w:t>
            </w:r>
            <w:r w:rsidRPr="00627295">
              <w:rPr>
                <w:rFonts w:cs="Arial"/>
                <w:szCs w:val="18"/>
                <w:lang w:eastAsia="zh-CN"/>
              </w:rPr>
              <w:t>1,0,0,1}</w:t>
            </w:r>
          </w:p>
        </w:tc>
        <w:tc>
          <w:tcPr>
            <w:tcW w:w="3690" w:type="dxa"/>
            <w:vAlign w:val="center"/>
          </w:tcPr>
          <w:p w14:paraId="66CE7C47" w14:textId="77777777" w:rsidR="00C74000" w:rsidRPr="00627295" w:rsidRDefault="00C74000" w:rsidP="00B52E7C">
            <w:pPr>
              <w:pStyle w:val="TAL"/>
              <w:spacing w:after="180"/>
              <w:jc w:val="center"/>
              <w:rPr>
                <w:rFonts w:cs="Arial"/>
                <w:szCs w:val="18"/>
              </w:rPr>
            </w:pPr>
            <w:r w:rsidRPr="00627295">
              <w:rPr>
                <w:rFonts w:cs="Arial"/>
                <w:szCs w:val="18"/>
              </w:rPr>
              <w:t>10</w:t>
            </w:r>
            <w:r w:rsidRPr="00627295">
              <w:rPr>
                <w:rFonts w:cs="Arial"/>
                <w:szCs w:val="18"/>
                <w:vertAlign w:val="superscript"/>
              </w:rPr>
              <w:t>th</w:t>
            </w:r>
            <w:r w:rsidRPr="00627295">
              <w:rPr>
                <w:rFonts w:cs="Arial"/>
                <w:szCs w:val="18"/>
              </w:rPr>
              <w:t xml:space="preserve"> PUCCH resource from </w:t>
            </w:r>
            <w:r w:rsidRPr="00627295">
              <w:rPr>
                <w:rFonts w:cs="Arial"/>
                <w:i/>
                <w:iCs/>
                <w:szCs w:val="18"/>
              </w:rPr>
              <w:t>resourceList</w:t>
            </w:r>
          </w:p>
        </w:tc>
      </w:tr>
      <w:tr w:rsidR="00C74000" w:rsidRPr="00B916EC" w14:paraId="58F641D7" w14:textId="77777777" w:rsidTr="00B52E7C">
        <w:trPr>
          <w:cantSplit/>
          <w:jc w:val="center"/>
        </w:trPr>
        <w:tc>
          <w:tcPr>
            <w:tcW w:w="917" w:type="dxa"/>
            <w:vAlign w:val="center"/>
          </w:tcPr>
          <w:p w14:paraId="1FDDBB62" w14:textId="77777777" w:rsidR="00C74000" w:rsidRPr="00627295" w:rsidRDefault="00C74000" w:rsidP="00B52E7C">
            <w:pPr>
              <w:pStyle w:val="TAC"/>
              <w:spacing w:after="180"/>
              <w:rPr>
                <w:rFonts w:cs="Arial"/>
                <w:szCs w:val="18"/>
              </w:rPr>
            </w:pPr>
          </w:p>
        </w:tc>
        <w:tc>
          <w:tcPr>
            <w:tcW w:w="958" w:type="dxa"/>
            <w:vAlign w:val="center"/>
          </w:tcPr>
          <w:p w14:paraId="186A6A35" w14:textId="77777777" w:rsidR="00C74000" w:rsidRPr="00627295" w:rsidRDefault="00C74000" w:rsidP="00B52E7C">
            <w:pPr>
              <w:pStyle w:val="TAC"/>
              <w:spacing w:after="180"/>
              <w:rPr>
                <w:rFonts w:cs="Arial"/>
                <w:szCs w:val="18"/>
              </w:rPr>
            </w:pPr>
          </w:p>
        </w:tc>
        <w:tc>
          <w:tcPr>
            <w:tcW w:w="1044" w:type="dxa"/>
            <w:vAlign w:val="center"/>
          </w:tcPr>
          <w:p w14:paraId="4579314B" w14:textId="77777777" w:rsidR="00C74000" w:rsidRPr="00627295" w:rsidRDefault="00C74000" w:rsidP="00B52E7C">
            <w:pPr>
              <w:pStyle w:val="TAC"/>
              <w:spacing w:after="180"/>
              <w:rPr>
                <w:rFonts w:eastAsia="DengXian" w:cs="Arial"/>
                <w:kern w:val="2"/>
                <w:szCs w:val="18"/>
                <w:lang w:eastAsia="zh-CN"/>
              </w:rPr>
            </w:pPr>
          </w:p>
        </w:tc>
        <w:tc>
          <w:tcPr>
            <w:tcW w:w="1031" w:type="dxa"/>
            <w:vAlign w:val="center"/>
          </w:tcPr>
          <w:p w14:paraId="5564F35F" w14:textId="77777777" w:rsidR="00C74000" w:rsidRPr="00627295" w:rsidRDefault="00C74000" w:rsidP="00B52E7C">
            <w:pPr>
              <w:pStyle w:val="TAL"/>
              <w:spacing w:after="180"/>
              <w:jc w:val="center"/>
              <w:rPr>
                <w:rFonts w:eastAsia="DengXian" w:cs="Arial"/>
                <w:kern w:val="2"/>
                <w:szCs w:val="18"/>
                <w:lang w:eastAsia="zh-CN"/>
              </w:rPr>
            </w:pPr>
            <w:r w:rsidRPr="00627295">
              <w:rPr>
                <w:rFonts w:eastAsia="DengXian" w:cs="Arial"/>
                <w:kern w:val="2"/>
                <w:szCs w:val="18"/>
                <w:lang w:eastAsia="zh-CN"/>
              </w:rPr>
              <w:t>{</w:t>
            </w:r>
            <w:r w:rsidRPr="00627295">
              <w:rPr>
                <w:rFonts w:cs="Arial"/>
                <w:szCs w:val="18"/>
                <w:lang w:eastAsia="zh-CN"/>
              </w:rPr>
              <w:t>0,1,0,1}</w:t>
            </w:r>
          </w:p>
        </w:tc>
        <w:tc>
          <w:tcPr>
            <w:tcW w:w="3690" w:type="dxa"/>
            <w:vAlign w:val="center"/>
          </w:tcPr>
          <w:p w14:paraId="1CD95749" w14:textId="77777777" w:rsidR="00C74000" w:rsidRPr="00627295" w:rsidRDefault="00C74000" w:rsidP="00B52E7C">
            <w:pPr>
              <w:pStyle w:val="TAL"/>
              <w:spacing w:after="180"/>
              <w:jc w:val="center"/>
              <w:rPr>
                <w:rFonts w:cs="Arial"/>
                <w:szCs w:val="18"/>
              </w:rPr>
            </w:pPr>
            <w:r w:rsidRPr="00627295">
              <w:rPr>
                <w:rFonts w:cs="Arial"/>
                <w:szCs w:val="18"/>
              </w:rPr>
              <w:t>11</w:t>
            </w:r>
            <w:r w:rsidRPr="00627295">
              <w:rPr>
                <w:rFonts w:cs="Arial"/>
                <w:szCs w:val="18"/>
                <w:vertAlign w:val="superscript"/>
              </w:rPr>
              <w:t>th</w:t>
            </w:r>
            <w:r w:rsidRPr="00627295">
              <w:rPr>
                <w:rFonts w:cs="Arial"/>
                <w:szCs w:val="18"/>
              </w:rPr>
              <w:t xml:space="preserve"> PUCCH resource from </w:t>
            </w:r>
            <w:r w:rsidRPr="00627295">
              <w:rPr>
                <w:rFonts w:cs="Arial"/>
                <w:i/>
                <w:iCs/>
                <w:szCs w:val="18"/>
              </w:rPr>
              <w:t>resourceList</w:t>
            </w:r>
          </w:p>
        </w:tc>
      </w:tr>
      <w:tr w:rsidR="00C74000" w:rsidRPr="00B916EC" w14:paraId="25EA3539" w14:textId="77777777" w:rsidTr="00B52E7C">
        <w:trPr>
          <w:cantSplit/>
          <w:jc w:val="center"/>
        </w:trPr>
        <w:tc>
          <w:tcPr>
            <w:tcW w:w="917" w:type="dxa"/>
            <w:vAlign w:val="center"/>
          </w:tcPr>
          <w:p w14:paraId="7A48C964" w14:textId="77777777" w:rsidR="00C74000" w:rsidRPr="00627295" w:rsidRDefault="00C74000" w:rsidP="00B52E7C">
            <w:pPr>
              <w:pStyle w:val="TAC"/>
              <w:spacing w:after="180"/>
              <w:rPr>
                <w:rFonts w:cs="Arial"/>
                <w:szCs w:val="18"/>
              </w:rPr>
            </w:pPr>
          </w:p>
        </w:tc>
        <w:tc>
          <w:tcPr>
            <w:tcW w:w="958" w:type="dxa"/>
            <w:vAlign w:val="center"/>
          </w:tcPr>
          <w:p w14:paraId="5562FDEF" w14:textId="77777777" w:rsidR="00C74000" w:rsidRPr="00627295" w:rsidRDefault="00C74000" w:rsidP="00B52E7C">
            <w:pPr>
              <w:pStyle w:val="TAC"/>
              <w:spacing w:after="180"/>
              <w:rPr>
                <w:rFonts w:cs="Arial"/>
                <w:szCs w:val="18"/>
              </w:rPr>
            </w:pPr>
          </w:p>
        </w:tc>
        <w:tc>
          <w:tcPr>
            <w:tcW w:w="1044" w:type="dxa"/>
            <w:vAlign w:val="center"/>
          </w:tcPr>
          <w:p w14:paraId="51B4965C" w14:textId="77777777" w:rsidR="00C74000" w:rsidRPr="00627295" w:rsidRDefault="00C74000" w:rsidP="00B52E7C">
            <w:pPr>
              <w:pStyle w:val="TAC"/>
              <w:spacing w:after="180"/>
              <w:rPr>
                <w:rFonts w:eastAsia="DengXian" w:cs="Arial"/>
                <w:kern w:val="2"/>
                <w:szCs w:val="18"/>
                <w:lang w:eastAsia="zh-CN"/>
              </w:rPr>
            </w:pPr>
          </w:p>
        </w:tc>
        <w:tc>
          <w:tcPr>
            <w:tcW w:w="1031" w:type="dxa"/>
            <w:vAlign w:val="center"/>
          </w:tcPr>
          <w:p w14:paraId="17F92DC7" w14:textId="77777777" w:rsidR="00C74000" w:rsidRPr="00627295" w:rsidRDefault="00C74000" w:rsidP="00B52E7C">
            <w:pPr>
              <w:pStyle w:val="TAL"/>
              <w:spacing w:after="180"/>
              <w:jc w:val="center"/>
              <w:rPr>
                <w:rFonts w:eastAsia="DengXian" w:cs="Arial"/>
                <w:kern w:val="2"/>
                <w:szCs w:val="18"/>
                <w:lang w:eastAsia="zh-CN"/>
              </w:rPr>
            </w:pPr>
            <w:r w:rsidRPr="00627295">
              <w:rPr>
                <w:rFonts w:eastAsia="DengXian" w:cs="Arial"/>
                <w:kern w:val="2"/>
                <w:szCs w:val="18"/>
                <w:lang w:eastAsia="zh-CN"/>
              </w:rPr>
              <w:t>{</w:t>
            </w:r>
            <w:r w:rsidRPr="00627295">
              <w:rPr>
                <w:rFonts w:cs="Arial"/>
                <w:szCs w:val="18"/>
                <w:lang w:eastAsia="zh-CN"/>
              </w:rPr>
              <w:t>1,1,0,1}</w:t>
            </w:r>
          </w:p>
        </w:tc>
        <w:tc>
          <w:tcPr>
            <w:tcW w:w="3690" w:type="dxa"/>
            <w:vAlign w:val="center"/>
          </w:tcPr>
          <w:p w14:paraId="4D5DE36A" w14:textId="77777777" w:rsidR="00C74000" w:rsidRPr="00627295" w:rsidRDefault="00C74000" w:rsidP="00B52E7C">
            <w:pPr>
              <w:pStyle w:val="TAL"/>
              <w:spacing w:after="180"/>
              <w:jc w:val="center"/>
              <w:rPr>
                <w:rFonts w:cs="Arial"/>
                <w:szCs w:val="18"/>
              </w:rPr>
            </w:pPr>
            <w:r w:rsidRPr="00627295">
              <w:rPr>
                <w:rFonts w:cs="Arial"/>
                <w:szCs w:val="18"/>
              </w:rPr>
              <w:t>12</w:t>
            </w:r>
            <w:r w:rsidRPr="00627295">
              <w:rPr>
                <w:rFonts w:cs="Arial"/>
                <w:szCs w:val="18"/>
                <w:vertAlign w:val="superscript"/>
              </w:rPr>
              <w:t>th</w:t>
            </w:r>
            <w:r w:rsidRPr="00627295">
              <w:rPr>
                <w:rFonts w:cs="Arial"/>
                <w:szCs w:val="18"/>
              </w:rPr>
              <w:t xml:space="preserve"> PUCCH resource from </w:t>
            </w:r>
            <w:r w:rsidRPr="00627295">
              <w:rPr>
                <w:rFonts w:cs="Arial"/>
                <w:i/>
                <w:iCs/>
                <w:szCs w:val="18"/>
              </w:rPr>
              <w:t>resourceList</w:t>
            </w:r>
          </w:p>
        </w:tc>
      </w:tr>
      <w:tr w:rsidR="00C74000" w:rsidRPr="00B916EC" w14:paraId="47AE1FCC" w14:textId="77777777" w:rsidTr="00B52E7C">
        <w:trPr>
          <w:cantSplit/>
          <w:jc w:val="center"/>
        </w:trPr>
        <w:tc>
          <w:tcPr>
            <w:tcW w:w="917" w:type="dxa"/>
            <w:vAlign w:val="center"/>
          </w:tcPr>
          <w:p w14:paraId="25088BC6" w14:textId="77777777" w:rsidR="00C74000" w:rsidRPr="00627295" w:rsidRDefault="00C74000" w:rsidP="00B52E7C">
            <w:pPr>
              <w:pStyle w:val="TAC"/>
              <w:spacing w:after="180"/>
              <w:rPr>
                <w:rFonts w:cs="Arial"/>
                <w:szCs w:val="18"/>
              </w:rPr>
            </w:pPr>
          </w:p>
        </w:tc>
        <w:tc>
          <w:tcPr>
            <w:tcW w:w="958" w:type="dxa"/>
            <w:vAlign w:val="center"/>
          </w:tcPr>
          <w:p w14:paraId="53E6EA05" w14:textId="77777777" w:rsidR="00C74000" w:rsidRPr="00627295" w:rsidRDefault="00C74000" w:rsidP="00B52E7C">
            <w:pPr>
              <w:pStyle w:val="TAC"/>
              <w:spacing w:after="180"/>
              <w:rPr>
                <w:rFonts w:cs="Arial"/>
                <w:szCs w:val="18"/>
              </w:rPr>
            </w:pPr>
          </w:p>
        </w:tc>
        <w:tc>
          <w:tcPr>
            <w:tcW w:w="1044" w:type="dxa"/>
            <w:vAlign w:val="center"/>
          </w:tcPr>
          <w:p w14:paraId="5CAC9968" w14:textId="77777777" w:rsidR="00C74000" w:rsidRPr="00627295" w:rsidRDefault="00C74000" w:rsidP="00B52E7C">
            <w:pPr>
              <w:pStyle w:val="TAC"/>
              <w:spacing w:after="180"/>
              <w:rPr>
                <w:rFonts w:eastAsia="DengXian" w:cs="Arial"/>
                <w:kern w:val="2"/>
                <w:szCs w:val="18"/>
                <w:lang w:eastAsia="zh-CN"/>
              </w:rPr>
            </w:pPr>
          </w:p>
        </w:tc>
        <w:tc>
          <w:tcPr>
            <w:tcW w:w="1031" w:type="dxa"/>
            <w:vAlign w:val="center"/>
          </w:tcPr>
          <w:p w14:paraId="64861195" w14:textId="77777777" w:rsidR="00C74000" w:rsidRPr="00627295" w:rsidRDefault="00C74000" w:rsidP="00B52E7C">
            <w:pPr>
              <w:pStyle w:val="TAL"/>
              <w:spacing w:after="180"/>
              <w:jc w:val="center"/>
              <w:rPr>
                <w:rFonts w:eastAsia="DengXian" w:cs="Arial"/>
                <w:kern w:val="2"/>
                <w:szCs w:val="18"/>
                <w:lang w:eastAsia="zh-CN"/>
              </w:rPr>
            </w:pPr>
            <w:r w:rsidRPr="00627295">
              <w:rPr>
                <w:rFonts w:eastAsia="DengXian" w:cs="Arial"/>
                <w:kern w:val="2"/>
                <w:szCs w:val="18"/>
                <w:lang w:eastAsia="zh-CN"/>
              </w:rPr>
              <w:t>{</w:t>
            </w:r>
            <w:r w:rsidRPr="00627295">
              <w:rPr>
                <w:rFonts w:cs="Arial"/>
                <w:szCs w:val="18"/>
                <w:lang w:eastAsia="zh-CN"/>
              </w:rPr>
              <w:t>0,0,1,1}</w:t>
            </w:r>
          </w:p>
        </w:tc>
        <w:tc>
          <w:tcPr>
            <w:tcW w:w="3690" w:type="dxa"/>
            <w:vAlign w:val="center"/>
          </w:tcPr>
          <w:p w14:paraId="065D6310" w14:textId="77777777" w:rsidR="00C74000" w:rsidRPr="00627295" w:rsidRDefault="00C74000" w:rsidP="00B52E7C">
            <w:pPr>
              <w:pStyle w:val="TAL"/>
              <w:spacing w:after="180"/>
              <w:jc w:val="center"/>
              <w:rPr>
                <w:rFonts w:cs="Arial"/>
                <w:szCs w:val="18"/>
              </w:rPr>
            </w:pPr>
            <w:r w:rsidRPr="00627295">
              <w:rPr>
                <w:rFonts w:cs="Arial"/>
                <w:szCs w:val="18"/>
              </w:rPr>
              <w:t>13</w:t>
            </w:r>
            <w:r w:rsidRPr="00627295">
              <w:rPr>
                <w:rFonts w:cs="Arial"/>
                <w:szCs w:val="18"/>
                <w:vertAlign w:val="superscript"/>
              </w:rPr>
              <w:t>th</w:t>
            </w:r>
            <w:r w:rsidRPr="00627295">
              <w:rPr>
                <w:rFonts w:cs="Arial"/>
                <w:szCs w:val="18"/>
              </w:rPr>
              <w:t xml:space="preserve"> PUCCH resource from </w:t>
            </w:r>
            <w:r w:rsidRPr="00627295">
              <w:rPr>
                <w:rFonts w:cs="Arial"/>
                <w:i/>
                <w:iCs/>
                <w:szCs w:val="18"/>
              </w:rPr>
              <w:t>resourceList</w:t>
            </w:r>
          </w:p>
        </w:tc>
      </w:tr>
      <w:tr w:rsidR="00C74000" w:rsidRPr="00B916EC" w14:paraId="0D481F73" w14:textId="77777777" w:rsidTr="00B52E7C">
        <w:trPr>
          <w:cantSplit/>
          <w:jc w:val="center"/>
        </w:trPr>
        <w:tc>
          <w:tcPr>
            <w:tcW w:w="917" w:type="dxa"/>
            <w:vAlign w:val="center"/>
          </w:tcPr>
          <w:p w14:paraId="7E06BDC8" w14:textId="77777777" w:rsidR="00C74000" w:rsidRPr="00627295" w:rsidRDefault="00C74000" w:rsidP="00B52E7C">
            <w:pPr>
              <w:pStyle w:val="TAC"/>
              <w:spacing w:after="180"/>
              <w:rPr>
                <w:rFonts w:cs="Arial"/>
                <w:szCs w:val="18"/>
              </w:rPr>
            </w:pPr>
          </w:p>
        </w:tc>
        <w:tc>
          <w:tcPr>
            <w:tcW w:w="958" w:type="dxa"/>
            <w:vAlign w:val="center"/>
          </w:tcPr>
          <w:p w14:paraId="63AB9857" w14:textId="77777777" w:rsidR="00C74000" w:rsidRPr="00627295" w:rsidRDefault="00C74000" w:rsidP="00B52E7C">
            <w:pPr>
              <w:pStyle w:val="TAC"/>
              <w:spacing w:after="180"/>
              <w:rPr>
                <w:rFonts w:cs="Arial"/>
                <w:szCs w:val="18"/>
              </w:rPr>
            </w:pPr>
          </w:p>
        </w:tc>
        <w:tc>
          <w:tcPr>
            <w:tcW w:w="1044" w:type="dxa"/>
            <w:vAlign w:val="center"/>
          </w:tcPr>
          <w:p w14:paraId="49003705" w14:textId="77777777" w:rsidR="00C74000" w:rsidRPr="00627295" w:rsidRDefault="00C74000" w:rsidP="00B52E7C">
            <w:pPr>
              <w:pStyle w:val="TAC"/>
              <w:spacing w:after="180"/>
              <w:rPr>
                <w:rFonts w:eastAsia="DengXian" w:cs="Arial"/>
                <w:kern w:val="2"/>
                <w:szCs w:val="18"/>
                <w:lang w:eastAsia="zh-CN"/>
              </w:rPr>
            </w:pPr>
          </w:p>
        </w:tc>
        <w:tc>
          <w:tcPr>
            <w:tcW w:w="1031" w:type="dxa"/>
            <w:vAlign w:val="center"/>
          </w:tcPr>
          <w:p w14:paraId="284B867F" w14:textId="77777777" w:rsidR="00C74000" w:rsidRPr="00627295" w:rsidRDefault="00C74000" w:rsidP="00B52E7C">
            <w:pPr>
              <w:pStyle w:val="TAL"/>
              <w:spacing w:after="180"/>
              <w:jc w:val="center"/>
              <w:rPr>
                <w:rFonts w:eastAsia="DengXian" w:cs="Arial"/>
                <w:kern w:val="2"/>
                <w:szCs w:val="18"/>
                <w:lang w:eastAsia="zh-CN"/>
              </w:rPr>
            </w:pPr>
            <w:r w:rsidRPr="00627295">
              <w:rPr>
                <w:rFonts w:eastAsia="DengXian" w:cs="Arial"/>
                <w:kern w:val="2"/>
                <w:szCs w:val="18"/>
                <w:lang w:eastAsia="zh-CN"/>
              </w:rPr>
              <w:t>{</w:t>
            </w:r>
            <w:r w:rsidRPr="00627295">
              <w:rPr>
                <w:rFonts w:cs="Arial"/>
                <w:szCs w:val="18"/>
                <w:lang w:eastAsia="zh-CN"/>
              </w:rPr>
              <w:t>1,0,1,1}</w:t>
            </w:r>
          </w:p>
        </w:tc>
        <w:tc>
          <w:tcPr>
            <w:tcW w:w="3690" w:type="dxa"/>
            <w:vAlign w:val="center"/>
          </w:tcPr>
          <w:p w14:paraId="74737B25" w14:textId="77777777" w:rsidR="00C74000" w:rsidRPr="00627295" w:rsidRDefault="00C74000" w:rsidP="00B52E7C">
            <w:pPr>
              <w:pStyle w:val="TAL"/>
              <w:spacing w:after="180"/>
              <w:jc w:val="center"/>
              <w:rPr>
                <w:rFonts w:cs="Arial"/>
                <w:szCs w:val="18"/>
              </w:rPr>
            </w:pPr>
            <w:r w:rsidRPr="00627295">
              <w:rPr>
                <w:rFonts w:cs="Arial"/>
                <w:szCs w:val="18"/>
              </w:rPr>
              <w:t>14</w:t>
            </w:r>
            <w:r w:rsidRPr="00627295">
              <w:rPr>
                <w:rFonts w:cs="Arial"/>
                <w:szCs w:val="18"/>
                <w:vertAlign w:val="superscript"/>
              </w:rPr>
              <w:t>th</w:t>
            </w:r>
            <w:r w:rsidRPr="00627295">
              <w:rPr>
                <w:rFonts w:cs="Arial"/>
                <w:szCs w:val="18"/>
              </w:rPr>
              <w:t xml:space="preserve"> PUCCH resource from </w:t>
            </w:r>
            <w:r w:rsidRPr="00627295">
              <w:rPr>
                <w:rFonts w:cs="Arial"/>
                <w:i/>
                <w:iCs/>
                <w:szCs w:val="18"/>
              </w:rPr>
              <w:t>resourceList</w:t>
            </w:r>
          </w:p>
        </w:tc>
      </w:tr>
      <w:tr w:rsidR="00C74000" w:rsidRPr="00B916EC" w14:paraId="14D35A4B" w14:textId="77777777" w:rsidTr="00B52E7C">
        <w:trPr>
          <w:cantSplit/>
          <w:jc w:val="center"/>
        </w:trPr>
        <w:tc>
          <w:tcPr>
            <w:tcW w:w="917" w:type="dxa"/>
            <w:vAlign w:val="center"/>
          </w:tcPr>
          <w:p w14:paraId="22EB2C90" w14:textId="77777777" w:rsidR="00C74000" w:rsidRPr="00627295" w:rsidRDefault="00C74000" w:rsidP="00B52E7C">
            <w:pPr>
              <w:pStyle w:val="TAC"/>
              <w:spacing w:after="180"/>
              <w:rPr>
                <w:rFonts w:cs="Arial"/>
                <w:szCs w:val="18"/>
              </w:rPr>
            </w:pPr>
          </w:p>
        </w:tc>
        <w:tc>
          <w:tcPr>
            <w:tcW w:w="958" w:type="dxa"/>
            <w:vAlign w:val="center"/>
          </w:tcPr>
          <w:p w14:paraId="3319431D" w14:textId="77777777" w:rsidR="00C74000" w:rsidRPr="00627295" w:rsidRDefault="00C74000" w:rsidP="00B52E7C">
            <w:pPr>
              <w:pStyle w:val="TAC"/>
              <w:spacing w:after="180"/>
              <w:rPr>
                <w:rFonts w:cs="Arial"/>
                <w:szCs w:val="18"/>
              </w:rPr>
            </w:pPr>
          </w:p>
        </w:tc>
        <w:tc>
          <w:tcPr>
            <w:tcW w:w="1044" w:type="dxa"/>
            <w:vAlign w:val="center"/>
          </w:tcPr>
          <w:p w14:paraId="6B308F37" w14:textId="77777777" w:rsidR="00C74000" w:rsidRPr="00627295" w:rsidRDefault="00C74000" w:rsidP="00B52E7C">
            <w:pPr>
              <w:pStyle w:val="TAC"/>
              <w:spacing w:after="180"/>
              <w:rPr>
                <w:rFonts w:eastAsia="DengXian" w:cs="Arial"/>
                <w:kern w:val="2"/>
                <w:szCs w:val="18"/>
                <w:lang w:eastAsia="zh-CN"/>
              </w:rPr>
            </w:pPr>
          </w:p>
        </w:tc>
        <w:tc>
          <w:tcPr>
            <w:tcW w:w="1031" w:type="dxa"/>
            <w:vAlign w:val="center"/>
          </w:tcPr>
          <w:p w14:paraId="40F32F76" w14:textId="77777777" w:rsidR="00C74000" w:rsidRPr="00627295" w:rsidRDefault="00C74000" w:rsidP="00B52E7C">
            <w:pPr>
              <w:pStyle w:val="TAL"/>
              <w:spacing w:after="180"/>
              <w:jc w:val="center"/>
              <w:rPr>
                <w:rFonts w:eastAsia="DengXian" w:cs="Arial"/>
                <w:kern w:val="2"/>
                <w:szCs w:val="18"/>
                <w:lang w:eastAsia="zh-CN"/>
              </w:rPr>
            </w:pPr>
            <w:r w:rsidRPr="00627295">
              <w:rPr>
                <w:rFonts w:eastAsia="DengXian" w:cs="Arial"/>
                <w:kern w:val="2"/>
                <w:szCs w:val="18"/>
                <w:lang w:eastAsia="zh-CN"/>
              </w:rPr>
              <w:t>{</w:t>
            </w:r>
            <w:r w:rsidRPr="00627295">
              <w:rPr>
                <w:rFonts w:cs="Arial"/>
                <w:szCs w:val="18"/>
                <w:lang w:eastAsia="zh-CN"/>
              </w:rPr>
              <w:t>0,1,1,1}</w:t>
            </w:r>
          </w:p>
        </w:tc>
        <w:tc>
          <w:tcPr>
            <w:tcW w:w="3690" w:type="dxa"/>
            <w:vAlign w:val="center"/>
          </w:tcPr>
          <w:p w14:paraId="4C708CB8" w14:textId="77777777" w:rsidR="00C74000" w:rsidRPr="00627295" w:rsidRDefault="00C74000" w:rsidP="00B52E7C">
            <w:pPr>
              <w:pStyle w:val="TAL"/>
              <w:spacing w:after="180"/>
              <w:jc w:val="center"/>
              <w:rPr>
                <w:rFonts w:cs="Arial"/>
                <w:szCs w:val="18"/>
              </w:rPr>
            </w:pPr>
            <w:r w:rsidRPr="00627295">
              <w:rPr>
                <w:rFonts w:cs="Arial"/>
                <w:szCs w:val="18"/>
              </w:rPr>
              <w:t>15</w:t>
            </w:r>
            <w:r w:rsidRPr="00627295">
              <w:rPr>
                <w:rFonts w:cs="Arial"/>
                <w:szCs w:val="18"/>
                <w:vertAlign w:val="superscript"/>
              </w:rPr>
              <w:t>th</w:t>
            </w:r>
            <w:r w:rsidRPr="00627295">
              <w:rPr>
                <w:rFonts w:cs="Arial"/>
                <w:szCs w:val="18"/>
              </w:rPr>
              <w:t xml:space="preserve"> PUCCH resource from </w:t>
            </w:r>
            <w:r w:rsidRPr="00627295">
              <w:rPr>
                <w:rFonts w:cs="Arial"/>
                <w:i/>
                <w:iCs/>
                <w:szCs w:val="18"/>
              </w:rPr>
              <w:t>resourceList</w:t>
            </w:r>
          </w:p>
        </w:tc>
      </w:tr>
    </w:tbl>
    <w:p w14:paraId="3BFFF0EE" w14:textId="77777777" w:rsidR="00C74000" w:rsidRPr="00384A88" w:rsidRDefault="00C74000" w:rsidP="00B87579"/>
    <w:p w14:paraId="3BF98251" w14:textId="10B6A406" w:rsidR="0088445E" w:rsidRPr="00B06CC2" w:rsidRDefault="0088445E" w:rsidP="0088445E">
      <w:pPr>
        <w:spacing w:before="180"/>
      </w:pPr>
      <w:r w:rsidRPr="00B06CC2">
        <w:t xml:space="preserve">If a UE is provided </w:t>
      </w:r>
      <w:r w:rsidRPr="00B06CC2">
        <w:rPr>
          <w:rFonts w:eastAsia="Times New Roman"/>
          <w:i/>
          <w:iCs/>
          <w:lang w:val="en-US"/>
        </w:rPr>
        <w:t>pucch-Config</w:t>
      </w:r>
      <w:r>
        <w:rPr>
          <w:rFonts w:eastAsia="Times New Roman"/>
          <w:i/>
          <w:iCs/>
          <w:lang w:val="en-US"/>
        </w:rPr>
        <w:t>urationList</w:t>
      </w:r>
      <w:r w:rsidRPr="00B06CC2">
        <w:rPr>
          <w:rFonts w:eastAsia="Times New Roman"/>
          <w:i/>
          <w:iCs/>
          <w:lang w:val="en-US"/>
        </w:rPr>
        <w:t>Multicast1</w:t>
      </w:r>
      <w:r w:rsidRPr="00B06CC2">
        <w:rPr>
          <w:rFonts w:eastAsia="Times New Roman"/>
          <w:lang w:val="en-US"/>
        </w:rPr>
        <w:t xml:space="preserve"> </w:t>
      </w:r>
      <w:r w:rsidRPr="0088027F">
        <w:rPr>
          <w:rFonts w:eastAsia="Times New Roman"/>
          <w:lang w:val="en-US"/>
        </w:rPr>
        <w:t xml:space="preserve">or </w:t>
      </w:r>
      <w:r w:rsidRPr="0088027F">
        <w:rPr>
          <w:rFonts w:eastAsia="Times New Roman"/>
          <w:i/>
          <w:iCs/>
          <w:lang w:val="en-US"/>
        </w:rPr>
        <w:t>pucch-Config</w:t>
      </w:r>
      <w:r>
        <w:rPr>
          <w:rFonts w:eastAsia="Times New Roman"/>
          <w:i/>
          <w:iCs/>
          <w:lang w:val="en-US"/>
        </w:rPr>
        <w:t>urationList</w:t>
      </w:r>
      <w:r w:rsidRPr="0088027F">
        <w:rPr>
          <w:rFonts w:eastAsia="Times New Roman"/>
          <w:i/>
          <w:iCs/>
          <w:lang w:val="en-US"/>
        </w:rPr>
        <w:t>Multicast2</w:t>
      </w:r>
      <w:r w:rsidRPr="0088027F">
        <w:rPr>
          <w:rFonts w:eastAsia="Times New Roman"/>
          <w:lang w:val="en-US"/>
        </w:rPr>
        <w:t xml:space="preserve"> </w:t>
      </w:r>
      <w:r w:rsidRPr="00B06CC2">
        <w:rPr>
          <w:rFonts w:eastAsia="Times New Roman"/>
          <w:lang w:val="en-US"/>
        </w:rPr>
        <w:t xml:space="preserve">for PUCCH transmissions with a priority value, the UE transmits a PUCCH with the priority value according to </w:t>
      </w:r>
      <w:r w:rsidRPr="00B06CC2">
        <w:rPr>
          <w:rFonts w:eastAsia="Times New Roman"/>
          <w:i/>
          <w:iCs/>
          <w:lang w:val="en-US"/>
        </w:rPr>
        <w:t>pucch-Config</w:t>
      </w:r>
      <w:r>
        <w:rPr>
          <w:rFonts w:eastAsia="Times New Roman"/>
          <w:i/>
          <w:iCs/>
          <w:lang w:val="en-US"/>
        </w:rPr>
        <w:t>urationList</w:t>
      </w:r>
      <w:r w:rsidRPr="00B06CC2">
        <w:rPr>
          <w:rFonts w:eastAsia="Times New Roman"/>
          <w:i/>
          <w:iCs/>
          <w:lang w:val="en-US"/>
        </w:rPr>
        <w:t>Multicast1</w:t>
      </w:r>
      <w:r w:rsidRPr="00B06CC2">
        <w:rPr>
          <w:rFonts w:eastAsia="Times New Roman"/>
          <w:lang w:val="en-US"/>
        </w:rPr>
        <w:t xml:space="preserve"> </w:t>
      </w:r>
      <w:r w:rsidRPr="0088027F">
        <w:rPr>
          <w:rFonts w:eastAsia="Times New Roman"/>
          <w:lang w:val="en-US"/>
        </w:rPr>
        <w:t xml:space="preserve">or </w:t>
      </w:r>
      <w:r w:rsidRPr="0088027F">
        <w:rPr>
          <w:rFonts w:eastAsia="Times New Roman"/>
          <w:i/>
          <w:iCs/>
          <w:lang w:val="en-US"/>
        </w:rPr>
        <w:t>pucch-Config</w:t>
      </w:r>
      <w:r>
        <w:rPr>
          <w:rFonts w:eastAsia="Times New Roman"/>
          <w:i/>
          <w:iCs/>
          <w:lang w:val="en-US"/>
        </w:rPr>
        <w:t>urationList</w:t>
      </w:r>
      <w:r w:rsidRPr="0088027F">
        <w:rPr>
          <w:rFonts w:eastAsia="Times New Roman"/>
          <w:i/>
          <w:iCs/>
          <w:lang w:val="en-US"/>
        </w:rPr>
        <w:t>Multicast2</w:t>
      </w:r>
      <w:r w:rsidRPr="0088027F">
        <w:rPr>
          <w:rFonts w:eastAsia="Times New Roman"/>
          <w:lang w:val="en-US"/>
        </w:rPr>
        <w:t xml:space="preserve"> </w:t>
      </w:r>
      <w:r w:rsidRPr="00B06CC2">
        <w:rPr>
          <w:rFonts w:eastAsia="Times New Roman"/>
          <w:lang w:val="en-US"/>
        </w:rPr>
        <w:t xml:space="preserve">for each G-RNTI </w:t>
      </w:r>
      <w:r w:rsidR="00F84336">
        <w:t xml:space="preserve">for multicast </w:t>
      </w:r>
      <w:r w:rsidRPr="00B06CC2">
        <w:rPr>
          <w:rFonts w:eastAsia="Times New Roman"/>
          <w:lang w:val="en-US"/>
        </w:rPr>
        <w:t xml:space="preserve">or G-CS-RNTI that the UE provides associated HARQ-ACK information </w:t>
      </w:r>
      <w:r w:rsidRPr="00B06CC2">
        <w:t>according to the first HARQ-ACK reporting mode</w:t>
      </w:r>
      <w:r w:rsidRPr="0088027F">
        <w:t xml:space="preserve"> or the second HARQ-ACK reporting mode</w:t>
      </w:r>
      <w:r>
        <w:t>, respectively</w:t>
      </w:r>
      <w:r w:rsidRPr="00B06CC2">
        <w:t>.</w:t>
      </w:r>
      <w:r>
        <w:t xml:space="preserve"> For HARQ-ACK information associated only with the second HARQ-ACK reporting mode</w:t>
      </w:r>
      <w:r w:rsidR="009D5DFC">
        <w:t xml:space="preserve"> </w:t>
      </w:r>
      <w:r w:rsidR="009D5DFC" w:rsidRPr="00541D07">
        <w:t>and for more than one HARQ-ACK information bit</w:t>
      </w:r>
      <w:r>
        <w:t xml:space="preserve">, </w:t>
      </w:r>
      <w:r>
        <w:rPr>
          <w:rStyle w:val="CommentReference"/>
          <w:sz w:val="20"/>
          <w:szCs w:val="20"/>
        </w:rPr>
        <w:t xml:space="preserve">when the </w:t>
      </w:r>
      <w:r w:rsidRPr="0088027F">
        <w:t xml:space="preserve">UE </w:t>
      </w:r>
      <w:r>
        <w:t>is</w:t>
      </w:r>
      <w:r w:rsidRPr="0088027F">
        <w:t xml:space="preserve"> </w:t>
      </w:r>
      <w:r w:rsidR="007F2F25">
        <w:t xml:space="preserve">not </w:t>
      </w:r>
      <w:r>
        <w:t>provided</w:t>
      </w:r>
      <w:r w:rsidRPr="0088027F">
        <w:t xml:space="preserve"> </w:t>
      </w:r>
      <w:r w:rsidRPr="0088027F">
        <w:rPr>
          <w:i/>
          <w:iCs/>
        </w:rPr>
        <w:t>moreThanOneNackOnlyMode</w:t>
      </w:r>
      <w:r w:rsidRPr="0088027F">
        <w:t xml:space="preserve"> </w:t>
      </w:r>
      <w:r>
        <w:t xml:space="preserve">and the </w:t>
      </w:r>
      <w:r>
        <w:rPr>
          <w:rStyle w:val="CommentReference"/>
          <w:sz w:val="20"/>
          <w:szCs w:val="20"/>
        </w:rPr>
        <w:t xml:space="preserve">UE </w:t>
      </w:r>
      <w:r w:rsidRPr="0088027F">
        <w:t>provide</w:t>
      </w:r>
      <w:r>
        <w:t>s</w:t>
      </w:r>
      <w:r w:rsidRPr="0088027F">
        <w:t xml:space="preserve"> the HARQ-ACK information according to the first HARQ-ACK reporting mode</w:t>
      </w:r>
      <w:r>
        <w:t xml:space="preserve">, the UE determines a PUCCH resource from </w:t>
      </w:r>
      <w:r w:rsidR="00F84336" w:rsidRPr="008D3624">
        <w:rPr>
          <w:i/>
          <w:iCs/>
        </w:rPr>
        <w:t>pucch-ConfigMulticast1</w:t>
      </w:r>
      <w:r w:rsidR="00F84336">
        <w:rPr>
          <w:i/>
          <w:iCs/>
        </w:rPr>
        <w:t>/</w:t>
      </w:r>
      <w:r w:rsidRPr="00B06CC2">
        <w:rPr>
          <w:rFonts w:eastAsia="Times New Roman"/>
          <w:i/>
          <w:iCs/>
          <w:lang w:val="en-US"/>
        </w:rPr>
        <w:t>pucch-Config</w:t>
      </w:r>
      <w:r>
        <w:rPr>
          <w:rFonts w:eastAsia="Times New Roman"/>
          <w:i/>
          <w:iCs/>
          <w:lang w:val="en-US"/>
        </w:rPr>
        <w:t>urationList</w:t>
      </w:r>
      <w:r w:rsidRPr="00B06CC2">
        <w:rPr>
          <w:rFonts w:eastAsia="Times New Roman"/>
          <w:i/>
          <w:iCs/>
          <w:lang w:val="en-US"/>
        </w:rPr>
        <w:t>Multicast1</w:t>
      </w:r>
      <w:r>
        <w:rPr>
          <w:rFonts w:eastAsia="Times New Roman"/>
          <w:lang w:val="en-US"/>
        </w:rPr>
        <w:t xml:space="preserve">, if provided; otherwise, </w:t>
      </w:r>
      <w:r>
        <w:t xml:space="preserve">the UE determines a PUCCH resource from </w:t>
      </w:r>
      <w:r>
        <w:rPr>
          <w:i/>
          <w:lang w:eastAsia="zh-CN"/>
        </w:rPr>
        <w:t>pucch</w:t>
      </w:r>
      <w:r w:rsidRPr="00D33D6C">
        <w:rPr>
          <w:i/>
          <w:lang w:eastAsia="zh-CN"/>
        </w:rPr>
        <w:t>-Config/</w:t>
      </w:r>
      <w:r w:rsidRPr="00B06CC2">
        <w:rPr>
          <w:rFonts w:eastAsia="Times New Roman"/>
          <w:i/>
          <w:iCs/>
          <w:lang w:val="en-US"/>
        </w:rPr>
        <w:t>pucch-Config</w:t>
      </w:r>
      <w:r>
        <w:rPr>
          <w:rFonts w:eastAsia="Times New Roman"/>
          <w:i/>
          <w:iCs/>
          <w:lang w:val="en-US"/>
        </w:rPr>
        <w:t>urationList</w:t>
      </w:r>
      <w:r w:rsidR="007E593B" w:rsidRPr="007E593B">
        <w:rPr>
          <w:rFonts w:eastAsia="Times New Roman"/>
          <w:iCs/>
        </w:rPr>
        <w:t xml:space="preserve"> </w:t>
      </w:r>
      <w:r w:rsidR="007E593B" w:rsidRPr="003B0E53">
        <w:rPr>
          <w:rFonts w:eastAsia="Times New Roman"/>
          <w:iCs/>
        </w:rPr>
        <w:t>as described in clause 9.2.3</w:t>
      </w:r>
      <w:r>
        <w:rPr>
          <w:rFonts w:eastAsia="Times New Roman"/>
          <w:lang w:val="en-US"/>
        </w:rPr>
        <w:t>.</w:t>
      </w:r>
    </w:p>
    <w:p w14:paraId="35C88C59" w14:textId="5ED5ADF2" w:rsidR="00B87579" w:rsidRPr="00B06CC2" w:rsidRDefault="00B87579" w:rsidP="00B87579">
      <w:r w:rsidRPr="00B06CC2">
        <w:t xml:space="preserve">A PDSCH reception providing an initial transmission of a transport block is scheduled only by a multicast DCI format. For the first HARQ-ACK reporting mode, a PDSCH reception providing a retransmission of the transport block can be </w:t>
      </w:r>
      <w:r w:rsidRPr="00B06CC2">
        <w:lastRenderedPageBreak/>
        <w:t xml:space="preserve">scheduled either by a multicast DCI format using a same G-RNTI </w:t>
      </w:r>
      <w:r w:rsidR="00F84336">
        <w:t xml:space="preserve">for multicast </w:t>
      </w:r>
      <w:r w:rsidRPr="00B06CC2">
        <w:t xml:space="preserve">as the G-RNTI </w:t>
      </w:r>
      <w:r w:rsidR="00F84336">
        <w:t xml:space="preserve">for multicast </w:t>
      </w:r>
      <w:r w:rsidRPr="00B06CC2">
        <w:t>of the initial transmission of the transport block, or by a unicast DCI format using a C-RNTI [6, TS 38.214].</w:t>
      </w:r>
    </w:p>
    <w:p w14:paraId="42680B2B" w14:textId="77777777" w:rsidR="00893FE0" w:rsidRPr="00893FE0" w:rsidRDefault="00B87579" w:rsidP="00893FE0">
      <w:r w:rsidRPr="00B06CC2">
        <w:t>An activation for SPS PDSCH receptions using a G-CS-RNTI for a corresponding SPS PDSCH configuration is provided only by a multicast DCI format as described in clause 10.2 by replacing CS-RNTI with the G-CS-RNTI. A release for SPS PDSCH receptions using a G-CS-RNTI for a corresponding SPS PDSCH configuration is provided by a multicast DCI format as described in clause 10.2 by replacing CS-RNTI with the G-CS-RNTI, or by a DCI format with CRC scrambled by CS-RNTI. For the first HARQ-ACK reporting mode and for a transport block that a UE received in a SPS PDSCH, a PDSCH reception providing a retransmission of the transport block can be scheduled either by a unicast DCI format using a CS-RNTI or by a multicast DCI format using a same G-CS-RNTI as the G-CS-RNTI of the initial transmission of the transport block [6, TS 38.214].</w:t>
      </w:r>
    </w:p>
    <w:p w14:paraId="69BD0F8A" w14:textId="2C8159F9" w:rsidR="00B87579" w:rsidRPr="00B06CC2" w:rsidRDefault="00893FE0" w:rsidP="00893FE0">
      <w:r w:rsidRPr="00893FE0">
        <w:t>For a DCI format indicating SPS PDSCH release, the UE provides the associated HARQ-ACK information as described in clause 9.1.</w:t>
      </w:r>
    </w:p>
    <w:p w14:paraId="150A1FD7" w14:textId="03BA7FA0" w:rsidR="00B87579" w:rsidRPr="00B06CC2" w:rsidRDefault="00B87579" w:rsidP="00B87579">
      <w:r w:rsidRPr="00B06CC2">
        <w:t xml:space="preserve">A UE can be configured per G-RNTI </w:t>
      </w:r>
      <w:r w:rsidR="00F84336">
        <w:t xml:space="preserve">for multicast </w:t>
      </w:r>
      <w:r w:rsidRPr="00B06CC2">
        <w:t xml:space="preserve">or per G-CS-RNTI, by </w:t>
      </w:r>
      <w:r w:rsidRPr="00B06CC2">
        <w:rPr>
          <w:i/>
          <w:iCs/>
        </w:rPr>
        <w:t>harq-FeedbackEnablerMulticast</w:t>
      </w:r>
      <w:r w:rsidRPr="00B06CC2">
        <w:t xml:space="preserve"> with value set to </w:t>
      </w:r>
      <w:r w:rsidR="005E3B15">
        <w:t>'</w:t>
      </w:r>
      <w:r w:rsidRPr="00B06CC2">
        <w:t>enabled</w:t>
      </w:r>
      <w:r w:rsidR="005E3B15">
        <w:t>'</w:t>
      </w:r>
      <w:r w:rsidRPr="00B06CC2">
        <w:t xml:space="preserve">, to provide HARQ-ACK information for PDSCH receptions. When the UE is not provided </w:t>
      </w:r>
      <w:r w:rsidRPr="00B06CC2">
        <w:rPr>
          <w:i/>
          <w:iCs/>
        </w:rPr>
        <w:t>harq-FeedbackEnablerMulticast</w:t>
      </w:r>
      <w:r w:rsidRPr="00B06CC2">
        <w:t xml:space="preserve"> for a G-RNTI </w:t>
      </w:r>
      <w:r w:rsidR="00F84336">
        <w:t xml:space="preserve">for multicast </w:t>
      </w:r>
      <w:r w:rsidRPr="00B06CC2">
        <w:t>or G-CS-RNTI</w:t>
      </w:r>
      <w:r w:rsidR="000A070E" w:rsidRPr="000A070E">
        <w:t xml:space="preserve"> </w:t>
      </w:r>
      <w:r w:rsidR="000A070E" w:rsidRPr="00F36A4C">
        <w:t xml:space="preserve">and </w:t>
      </w:r>
      <w:r w:rsidR="000A070E" w:rsidRPr="00F36A4C">
        <w:rPr>
          <w:i/>
        </w:rPr>
        <w:t>pdsch-HARQ-ACK-Codebook</w:t>
      </w:r>
      <w:r w:rsidR="000A070E" w:rsidRPr="00F36A4C" w:rsidDel="00011FE0">
        <w:rPr>
          <w:i/>
        </w:rPr>
        <w:t xml:space="preserve"> </w:t>
      </w:r>
      <w:r w:rsidR="000A070E" w:rsidRPr="00F36A4C">
        <w:rPr>
          <w:i/>
        </w:rPr>
        <w:t>= dynamic</w:t>
      </w:r>
      <w:r w:rsidR="000A070E" w:rsidRPr="00F36A4C">
        <w:t xml:space="preserve"> for multicast HARQ-ACK information</w:t>
      </w:r>
      <w:r w:rsidRPr="00B06CC2">
        <w:t xml:space="preserve">, the UE does not provide HARQ-ACK information for respective PDSCH receptions. </w:t>
      </w:r>
      <w:r>
        <w:t>If a UE</w:t>
      </w:r>
      <w:r w:rsidRPr="00B06CC2">
        <w:t xml:space="preserve"> is provided </w:t>
      </w:r>
      <w:r w:rsidRPr="00B06CC2">
        <w:rPr>
          <w:i/>
          <w:iCs/>
        </w:rPr>
        <w:t>harq-FeedbackEnablerMulticast</w:t>
      </w:r>
      <w:r w:rsidRPr="00B06CC2">
        <w:t xml:space="preserve"> with value set to </w:t>
      </w:r>
      <w:r w:rsidR="005E3B15">
        <w:t>'</w:t>
      </w:r>
      <w:r w:rsidRPr="00B06CC2">
        <w:t>dci-enabler</w:t>
      </w:r>
      <w:r w:rsidR="005E3B15">
        <w:t>'</w:t>
      </w:r>
      <w:r w:rsidRPr="00B06CC2">
        <w:t xml:space="preserve"> for a G-RNTI </w:t>
      </w:r>
      <w:r w:rsidR="00F84336">
        <w:t xml:space="preserve">for multicast </w:t>
      </w:r>
      <w:r w:rsidRPr="00B06CC2">
        <w:t xml:space="preserve">or a G-CS-RNTI, the UE </w:t>
      </w:r>
      <w:r w:rsidR="006B4B81" w:rsidRPr="00B563F8">
        <w:t xml:space="preserve">provides HARQ-ACK information for PDSCH receptions scheduled by multicast DCI format 4_1 associated with the G-RNTI or the G-CS-RNTI, and </w:t>
      </w:r>
      <w:r w:rsidRPr="00B06CC2">
        <w:t xml:space="preserve">determines whether or not to provide the HARQ-ACK information for PDSCH receptions </w:t>
      </w:r>
      <w:r w:rsidR="006B4B81" w:rsidRPr="00B563F8">
        <w:rPr>
          <w:rFonts w:hint="eastAsia"/>
        </w:rPr>
        <w:t>scheduled</w:t>
      </w:r>
      <w:r w:rsidR="006B4B81" w:rsidRPr="00B563F8">
        <w:t xml:space="preserve"> </w:t>
      </w:r>
      <w:r w:rsidR="00E954BA">
        <w:rPr>
          <w:rFonts w:hint="eastAsia"/>
          <w:lang w:eastAsia="zh-CN"/>
        </w:rPr>
        <w:t xml:space="preserve">or activated </w:t>
      </w:r>
      <w:r w:rsidR="006B4B81" w:rsidRPr="00B563F8">
        <w:rPr>
          <w:rFonts w:hint="eastAsia"/>
        </w:rPr>
        <w:t>by</w:t>
      </w:r>
      <w:r w:rsidR="006B4B81" w:rsidRPr="00B563F8">
        <w:t xml:space="preserve"> multicast DCI </w:t>
      </w:r>
      <w:r w:rsidR="006B4B81" w:rsidRPr="00B563F8">
        <w:rPr>
          <w:rFonts w:hint="eastAsia"/>
        </w:rPr>
        <w:t>format</w:t>
      </w:r>
      <w:r w:rsidR="006B4B81" w:rsidRPr="00B563F8">
        <w:t xml:space="preserve"> 4_2 </w:t>
      </w:r>
      <w:r w:rsidRPr="00B06CC2">
        <w:t xml:space="preserve">based on an indication by the multicast DCI format </w:t>
      </w:r>
      <w:r w:rsidR="006B4B81" w:rsidRPr="00B563F8">
        <w:t>4_2</w:t>
      </w:r>
      <w:r w:rsidR="006B4B81">
        <w:t xml:space="preserve"> </w:t>
      </w:r>
      <w:r w:rsidRPr="00B06CC2">
        <w:t xml:space="preserve">associated with the G-RNTI </w:t>
      </w:r>
      <w:r w:rsidR="00F84336">
        <w:t xml:space="preserve">for multicast </w:t>
      </w:r>
      <w:r w:rsidRPr="00B06CC2">
        <w:t>or the G-CS-RNTI [4, TS 38.212].</w:t>
      </w:r>
      <w:r w:rsidR="00F05AB1">
        <w:t xml:space="preserve"> </w:t>
      </w:r>
      <w:r w:rsidR="00F05AB1" w:rsidRPr="00F36A4C">
        <w:t xml:space="preserve">If a UE is </w:t>
      </w:r>
      <w:r w:rsidR="00F05AB1" w:rsidRPr="000C5C47">
        <w:t>provided</w:t>
      </w:r>
      <w:r w:rsidR="00F05AB1" w:rsidRPr="000C5C47">
        <w:rPr>
          <w:i/>
        </w:rPr>
        <w:t xml:space="preserve"> </w:t>
      </w:r>
      <w:r w:rsidR="00F05AB1" w:rsidRPr="00F36A4C">
        <w:rPr>
          <w:i/>
        </w:rPr>
        <w:t>pdsch-HARQ-ACK-Codebook</w:t>
      </w:r>
      <w:r w:rsidR="00F05AB1" w:rsidRPr="00F36A4C" w:rsidDel="00011FE0">
        <w:rPr>
          <w:i/>
        </w:rPr>
        <w:t xml:space="preserve"> </w:t>
      </w:r>
      <w:r w:rsidR="00F05AB1" w:rsidRPr="00F36A4C">
        <w:rPr>
          <w:i/>
        </w:rPr>
        <w:t>= semi-static</w:t>
      </w:r>
      <w:r w:rsidR="00F05AB1" w:rsidRPr="00F36A4C">
        <w:t xml:space="preserve"> for multicast HARQ-ACK information, the UE </w:t>
      </w:r>
      <w:r w:rsidR="00F05AB1" w:rsidRPr="000C5C47">
        <w:t xml:space="preserve">does </w:t>
      </w:r>
      <w:r w:rsidR="00F05AB1" w:rsidRPr="00F36A4C">
        <w:t xml:space="preserve">not expect to be provided </w:t>
      </w:r>
      <w:r w:rsidR="00F05AB1" w:rsidRPr="00F36A4C">
        <w:rPr>
          <w:i/>
          <w:iCs/>
        </w:rPr>
        <w:t>harq-FeedbackEnablerMulticast</w:t>
      </w:r>
      <w:r w:rsidR="00F05AB1" w:rsidRPr="00F36A4C">
        <w:t xml:space="preserve"> with value set to 'dci-enabler' for a G-RNTI </w:t>
      </w:r>
      <w:r w:rsidR="00C002F9">
        <w:t xml:space="preserve">for multicast </w:t>
      </w:r>
      <w:r w:rsidR="00F05AB1" w:rsidRPr="00F36A4C">
        <w:t>or a G-CS-RNTI.</w:t>
      </w:r>
    </w:p>
    <w:p w14:paraId="3632664E" w14:textId="6D127795" w:rsidR="00C002F9" w:rsidRDefault="002812AA" w:rsidP="002812AA">
      <w:r w:rsidRPr="0088027F">
        <w:t xml:space="preserve">If a UE would multiplex </w:t>
      </w:r>
      <w:r w:rsidR="00FF764A">
        <w:t xml:space="preserve">second </w:t>
      </w:r>
      <w:r w:rsidR="0088445E">
        <w:t xml:space="preserve">multicast </w:t>
      </w:r>
      <w:r w:rsidRPr="0088027F">
        <w:t xml:space="preserve">HARQ-ACK information according to the second HARQ-ACK reporting mode with </w:t>
      </w:r>
      <w:r w:rsidR="00FF764A">
        <w:t xml:space="preserve">first </w:t>
      </w:r>
      <w:r w:rsidR="0088445E">
        <w:t xml:space="preserve">multicast </w:t>
      </w:r>
      <w:r w:rsidR="0088445E" w:rsidRPr="00D33D6C">
        <w:t xml:space="preserve">HARQ-ACK information </w:t>
      </w:r>
      <w:r w:rsidR="0088445E">
        <w:t>according to</w:t>
      </w:r>
      <w:r w:rsidR="0088445E" w:rsidRPr="00D33D6C">
        <w:t xml:space="preserve"> the first HARQ-ACK reporting mode, </w:t>
      </w:r>
      <w:r w:rsidR="0088445E">
        <w:t xml:space="preserve">or unicast </w:t>
      </w:r>
      <w:r w:rsidR="0088445E" w:rsidRPr="00D33D6C">
        <w:t>HARQ-ACK information</w:t>
      </w:r>
      <w:r w:rsidR="0088445E">
        <w:t>,</w:t>
      </w:r>
      <w:r w:rsidR="0088445E" w:rsidRPr="00D33D6C">
        <w:t xml:space="preserve"> or CSI reports</w:t>
      </w:r>
      <w:r w:rsidRPr="0088027F">
        <w:t xml:space="preserve"> in a first PUCCH or in a PUSCH, as described in clauses 9 and 9.2.5, the UE provides the </w:t>
      </w:r>
      <w:r w:rsidR="00FF764A">
        <w:t xml:space="preserve">second </w:t>
      </w:r>
      <w:r w:rsidRPr="0088027F">
        <w:t xml:space="preserve">HARQ-ACK information according to the first HARQ-ACK reporting mode. </w:t>
      </w:r>
      <w:r w:rsidR="00C002F9">
        <w:t>If the</w:t>
      </w:r>
      <w:r w:rsidR="00C002F9" w:rsidRPr="0088027F">
        <w:t xml:space="preserve"> UE would multiplex </w:t>
      </w:r>
      <w:r w:rsidR="00C002F9">
        <w:t xml:space="preserve">the second multicast </w:t>
      </w:r>
      <w:r w:rsidR="00C002F9" w:rsidRPr="0088027F">
        <w:t>HARQ-ACK information</w:t>
      </w:r>
      <w:r w:rsidR="00C002F9">
        <w:t>,</w:t>
      </w:r>
      <w:r w:rsidR="00C002F9" w:rsidRPr="0088027F">
        <w:t xml:space="preserve"> </w:t>
      </w:r>
      <w:r w:rsidR="00C002F9">
        <w:t>f</w:t>
      </w:r>
      <w:r w:rsidRPr="0088027F">
        <w:t xml:space="preserve">or resolving an overlapping among a second PUCCH with </w:t>
      </w:r>
      <w:r w:rsidR="00C002F9">
        <w:t xml:space="preserve">the second </w:t>
      </w:r>
      <w:r w:rsidRPr="0088027F">
        <w:t>HARQ-ACK information and other PUCCHs or PUSCHs prior to multiplexing the</w:t>
      </w:r>
      <w:r w:rsidR="00C002F9">
        <w:t xml:space="preserve"> second</w:t>
      </w:r>
      <w:r w:rsidRPr="0088027F">
        <w:t xml:space="preserve"> HARQ-ACK information in a PUCCH or PUSCH, the UE considers that the UE would transmit the second PUCCH</w:t>
      </w:r>
      <w:r w:rsidR="0053070E" w:rsidRPr="0088027F">
        <w:t xml:space="preserve"> </w:t>
      </w:r>
      <w:r w:rsidRPr="0088027F">
        <w:t xml:space="preserve">when all values of the HARQ-ACK information are </w:t>
      </w:r>
      <w:r w:rsidR="00F22988">
        <w:t>'</w:t>
      </w:r>
      <w:r w:rsidRPr="0088027F">
        <w:t>ACK</w:t>
      </w:r>
      <w:r w:rsidR="00F22988">
        <w:t>'</w:t>
      </w:r>
      <w:r w:rsidRPr="0088027F">
        <w:t>.</w:t>
      </w:r>
      <w:r w:rsidR="00BB0347">
        <w:t xml:space="preserve"> </w:t>
      </w:r>
      <w:r w:rsidR="00C002F9">
        <w:t>If the</w:t>
      </w:r>
      <w:r w:rsidR="00C002F9" w:rsidRPr="0088027F">
        <w:t xml:space="preserve"> UE would multiplex </w:t>
      </w:r>
      <w:r w:rsidR="00C002F9">
        <w:t xml:space="preserve">the second multicast </w:t>
      </w:r>
      <w:r w:rsidR="00C002F9" w:rsidRPr="0088027F">
        <w:t>HARQ-ACK information</w:t>
      </w:r>
      <w:r w:rsidR="00C002F9">
        <w:t>, f</w:t>
      </w:r>
      <w:r w:rsidR="00BB0347">
        <w:t xml:space="preserve">or resolving an overlapping among a second PUCCH with </w:t>
      </w:r>
      <w:r w:rsidR="00C002F9">
        <w:t xml:space="preserve">the second </w:t>
      </w:r>
      <w:r w:rsidR="00BB0347">
        <w:t xml:space="preserve">HARQ-ACK information and other PUCCHs or PUSCHs prior to multiplexing the </w:t>
      </w:r>
      <w:r w:rsidR="00C002F9">
        <w:t xml:space="preserve">second </w:t>
      </w:r>
      <w:r w:rsidR="00BB0347">
        <w:t>HARQ-ACK information in a PUCCH or PUSCH when the UE is provided</w:t>
      </w:r>
      <w:r w:rsidR="00BB0347">
        <w:rPr>
          <w:i/>
          <w:iCs/>
        </w:rPr>
        <w:t xml:space="preserve"> moreThanOneNackOnlyMode</w:t>
      </w:r>
      <w:r w:rsidR="00BB0347">
        <w:t xml:space="preserve">, the UE considers that the UE would transmit the second PUCCH using any PUCCH resource from the PUCCH resources associated with the second HARQ-ACK reporting mode when all values of the </w:t>
      </w:r>
      <w:r w:rsidR="00C002F9">
        <w:t xml:space="preserve">second </w:t>
      </w:r>
      <w:r w:rsidR="00BB0347">
        <w:t>HARQ-ACK information are 'ACK'.</w:t>
      </w:r>
      <w:r w:rsidR="00B9307B">
        <w:t xml:space="preserve"> </w:t>
      </w:r>
    </w:p>
    <w:p w14:paraId="32F3C2C3" w14:textId="3D9C749C" w:rsidR="002812AA" w:rsidRPr="0088027F" w:rsidRDefault="00B9307B" w:rsidP="002812AA">
      <w:r w:rsidRPr="00B64143">
        <w:t xml:space="preserve">If a UE would </w:t>
      </w:r>
      <w:r>
        <w:t xml:space="preserve">only </w:t>
      </w:r>
      <w:r w:rsidRPr="00B64143">
        <w:t xml:space="preserve">transmit a first PUCCH with </w:t>
      </w:r>
      <w:r>
        <w:t xml:space="preserve">only </w:t>
      </w:r>
      <w:r w:rsidRPr="00B64143">
        <w:t>positive SR and a second PUCCH with HARQ-ACK</w:t>
      </w:r>
      <w:r>
        <w:t xml:space="preserve"> information</w:t>
      </w:r>
      <w:r w:rsidRPr="00B64143">
        <w:t xml:space="preserve"> according to the second HARQ-ACK reporting mode</w:t>
      </w:r>
      <w:r>
        <w:t>, where the first and second PUCCHs would</w:t>
      </w:r>
      <w:r w:rsidRPr="00EB03EE">
        <w:rPr>
          <w:lang w:val="en-US"/>
        </w:rPr>
        <w:t xml:space="preserve"> overlap in time in a slot</w:t>
      </w:r>
      <w:r>
        <w:rPr>
          <w:lang w:val="en-US"/>
        </w:rPr>
        <w:t xml:space="preserve"> and have same priority index</w:t>
      </w:r>
      <w:r w:rsidRPr="00B64143">
        <w:t>, it is up to UE implementation for the UE to transmit either the first PUCCH or the second PUCCH.</w:t>
      </w:r>
    </w:p>
    <w:p w14:paraId="450EF196" w14:textId="3B399804" w:rsidR="00B87579" w:rsidRPr="00B06CC2" w:rsidRDefault="00B87579" w:rsidP="00B87579">
      <w:r w:rsidRPr="00B06CC2">
        <w:t xml:space="preserve">If a UE is provided multiple G-RNTIs </w:t>
      </w:r>
      <w:r w:rsidR="00F84336">
        <w:t xml:space="preserve">for multicast </w:t>
      </w:r>
      <w:r w:rsidRPr="00B06CC2">
        <w:t xml:space="preserve">or G-CS-RNTIs, a configuration for a HARQ-ACK codebook type applies to all G-RNTIs </w:t>
      </w:r>
      <w:r w:rsidR="00F84336">
        <w:t xml:space="preserve">for multicast </w:t>
      </w:r>
      <w:r w:rsidRPr="00B06CC2">
        <w:t>or G-CS-RNTIs.</w:t>
      </w:r>
    </w:p>
    <w:p w14:paraId="6956CE39" w14:textId="0DBA3FD5" w:rsidR="00B87579" w:rsidRPr="00B06CC2" w:rsidRDefault="00B87579" w:rsidP="00B87579">
      <w:pPr>
        <w:rPr>
          <w:rFonts w:cs="Arial"/>
          <w:lang w:eastAsia="zh-CN"/>
        </w:rPr>
      </w:pPr>
      <w:r w:rsidRPr="00B06CC2">
        <w:rPr>
          <w:lang w:eastAsia="zh-CN"/>
        </w:rPr>
        <w:t>If a</w:t>
      </w:r>
      <w:r w:rsidRPr="00B06CC2">
        <w:rPr>
          <w:rFonts w:hint="eastAsia"/>
          <w:lang w:eastAsia="zh-CN"/>
        </w:rPr>
        <w:t xml:space="preserve"> UE </w:t>
      </w:r>
      <w:r w:rsidRPr="00B06CC2">
        <w:rPr>
          <w:lang w:eastAsia="zh-CN"/>
        </w:rPr>
        <w:t>is provided</w:t>
      </w:r>
      <w:r w:rsidRPr="00B06CC2">
        <w:rPr>
          <w:rFonts w:hint="eastAsia"/>
          <w:lang w:eastAsia="zh-CN"/>
        </w:rPr>
        <w:t xml:space="preserve"> </w:t>
      </w:r>
      <w:r w:rsidRPr="00B06CC2">
        <w:rPr>
          <w:i/>
          <w:lang w:eastAsia="zh-CN"/>
        </w:rPr>
        <w:t>pdsch-</w:t>
      </w:r>
      <w:r w:rsidRPr="00B06CC2">
        <w:rPr>
          <w:rFonts w:cs="Arial"/>
          <w:i/>
          <w:lang w:eastAsia="zh-CN"/>
        </w:rPr>
        <w:t>HARQ-ACK-Codebook</w:t>
      </w:r>
      <w:r w:rsidRPr="00B06CC2" w:rsidDel="00011FE0">
        <w:rPr>
          <w:rFonts w:cs="Arial"/>
          <w:i/>
          <w:lang w:eastAsia="zh-CN"/>
        </w:rPr>
        <w:t xml:space="preserve"> </w:t>
      </w:r>
      <w:r w:rsidRPr="00B06CC2">
        <w:rPr>
          <w:rFonts w:cs="Arial"/>
          <w:i/>
          <w:lang w:eastAsia="zh-CN"/>
        </w:rPr>
        <w:t>= semi-static</w:t>
      </w:r>
      <w:r w:rsidR="0053070E" w:rsidRPr="008C1890">
        <w:rPr>
          <w:rFonts w:cs="Arial"/>
          <w:lang w:eastAsia="zh-CN"/>
        </w:rPr>
        <w:t xml:space="preserve"> for multicast HARQ-ACK information</w:t>
      </w:r>
      <w:r w:rsidRPr="00B06CC2">
        <w:rPr>
          <w:rFonts w:cs="Arial"/>
          <w:lang w:eastAsia="zh-CN"/>
        </w:rPr>
        <w:t>, the UE generates a Type-1 HARQ-ACK codebook as described in clauses 9.1.2</w:t>
      </w:r>
      <w:r w:rsidR="00AE699B">
        <w:rPr>
          <w:rFonts w:cs="Arial"/>
          <w:lang w:eastAsia="zh-CN"/>
        </w:rPr>
        <w:t>,</w:t>
      </w:r>
      <w:r w:rsidRPr="00B06CC2">
        <w:rPr>
          <w:rFonts w:cs="Arial"/>
          <w:lang w:eastAsia="zh-CN"/>
        </w:rPr>
        <w:t xml:space="preserve"> 9.1.2.1</w:t>
      </w:r>
      <w:r w:rsidR="00AE699B" w:rsidRPr="0088027F">
        <w:rPr>
          <w:rFonts w:cs="Arial"/>
          <w:lang w:eastAsia="zh-CN"/>
        </w:rPr>
        <w:t>, and 9.1.2.2</w:t>
      </w:r>
      <w:r w:rsidRPr="00B06CC2">
        <w:rPr>
          <w:rFonts w:cs="Arial"/>
          <w:lang w:eastAsia="zh-CN"/>
        </w:rPr>
        <w:t>.</w:t>
      </w:r>
    </w:p>
    <w:p w14:paraId="42324C87" w14:textId="3D1D495E" w:rsidR="00B87579" w:rsidRPr="00B06CC2" w:rsidRDefault="00B87579" w:rsidP="00B87579">
      <w:pPr>
        <w:rPr>
          <w:rFonts w:cs="Arial"/>
          <w:lang w:eastAsia="zh-CN"/>
        </w:rPr>
      </w:pPr>
      <w:r w:rsidRPr="00B06CC2">
        <w:rPr>
          <w:lang w:eastAsia="zh-CN"/>
        </w:rPr>
        <w:t>If a</w:t>
      </w:r>
      <w:r w:rsidRPr="00B06CC2">
        <w:rPr>
          <w:rFonts w:hint="eastAsia"/>
          <w:lang w:eastAsia="zh-CN"/>
        </w:rPr>
        <w:t xml:space="preserve"> UE </w:t>
      </w:r>
      <w:r w:rsidRPr="00B06CC2">
        <w:rPr>
          <w:lang w:eastAsia="zh-CN"/>
        </w:rPr>
        <w:t>is provided</w:t>
      </w:r>
      <w:r w:rsidRPr="00B06CC2">
        <w:rPr>
          <w:rFonts w:hint="eastAsia"/>
          <w:lang w:eastAsia="zh-CN"/>
        </w:rPr>
        <w:t xml:space="preserve"> </w:t>
      </w:r>
      <w:r w:rsidRPr="00B06CC2">
        <w:rPr>
          <w:i/>
          <w:lang w:eastAsia="zh-CN"/>
        </w:rPr>
        <w:t>pdsch-</w:t>
      </w:r>
      <w:r w:rsidRPr="00B06CC2">
        <w:rPr>
          <w:rFonts w:cs="Arial"/>
          <w:i/>
          <w:lang w:eastAsia="zh-CN"/>
        </w:rPr>
        <w:t>HARQ-ACK-Codebook</w:t>
      </w:r>
      <w:r w:rsidRPr="00B06CC2" w:rsidDel="00011FE0">
        <w:rPr>
          <w:rFonts w:cs="Arial"/>
          <w:i/>
          <w:lang w:eastAsia="zh-CN"/>
        </w:rPr>
        <w:t xml:space="preserve"> </w:t>
      </w:r>
      <w:r w:rsidRPr="00B06CC2">
        <w:rPr>
          <w:rFonts w:cs="Arial"/>
          <w:i/>
          <w:lang w:eastAsia="zh-CN"/>
        </w:rPr>
        <w:t>= dynamic</w:t>
      </w:r>
      <w:r w:rsidR="0053070E" w:rsidRPr="008C1890">
        <w:rPr>
          <w:rFonts w:cs="Arial"/>
          <w:lang w:eastAsia="zh-CN"/>
        </w:rPr>
        <w:t xml:space="preserve"> for multicast HARQ-ACK information</w:t>
      </w:r>
      <w:r w:rsidRPr="00B06CC2">
        <w:rPr>
          <w:rFonts w:cs="Arial"/>
          <w:lang w:eastAsia="zh-CN"/>
        </w:rPr>
        <w:t>, the UE generates a Type-2 HARQ-ACK codebook as described in clause</w:t>
      </w:r>
      <w:r w:rsidR="00E954BA">
        <w:rPr>
          <w:rFonts w:cs="Arial"/>
          <w:lang w:eastAsia="zh-CN"/>
        </w:rPr>
        <w:t>s</w:t>
      </w:r>
      <w:r w:rsidRPr="00B06CC2">
        <w:rPr>
          <w:rFonts w:cs="Arial"/>
          <w:lang w:eastAsia="zh-CN"/>
        </w:rPr>
        <w:t xml:space="preserve"> 9.1.3.1</w:t>
      </w:r>
      <w:r w:rsidR="00E954BA">
        <w:rPr>
          <w:rFonts w:cs="Arial"/>
          <w:lang w:eastAsia="zh-CN"/>
        </w:rPr>
        <w:t xml:space="preserve"> and 9.1.3.2</w:t>
      </w:r>
      <w:r w:rsidRPr="00B06CC2">
        <w:rPr>
          <w:rFonts w:cs="Arial"/>
          <w:lang w:eastAsia="zh-CN"/>
        </w:rPr>
        <w:t xml:space="preserve">. </w:t>
      </w:r>
    </w:p>
    <w:p w14:paraId="00C75931" w14:textId="31632807" w:rsidR="0053070E" w:rsidRPr="00F84336" w:rsidRDefault="0053070E" w:rsidP="0053070E">
      <w:pPr>
        <w:spacing w:after="120"/>
      </w:pPr>
      <w:r w:rsidRPr="00F84336">
        <w:rPr>
          <w:rFonts w:eastAsia="Yu Mincho"/>
        </w:rPr>
        <w:t>If a UE would report unicast HARQ-ACK information and multicast HARQ-ACK information with same priority index in a slot, the UE multiplexes the unicast HARQ-ACK information and the multicast HARQ-ACK information following the procedures in this clause and in clauses 9.1.2</w:t>
      </w:r>
      <w:r w:rsidR="000A0047">
        <w:rPr>
          <w:rFonts w:eastAsia="Yu Mincho"/>
        </w:rPr>
        <w:t>,</w:t>
      </w:r>
      <w:r w:rsidRPr="00F84336">
        <w:rPr>
          <w:rFonts w:eastAsia="Yu Mincho"/>
        </w:rPr>
        <w:t xml:space="preserve"> 9.1.3</w:t>
      </w:r>
      <w:r w:rsidR="000A0047">
        <w:rPr>
          <w:rFonts w:eastAsia="Yu Mincho"/>
        </w:rPr>
        <w:t>, and 9.1.4</w:t>
      </w:r>
      <w:r w:rsidRPr="00F84336">
        <w:rPr>
          <w:rFonts w:eastAsia="Yu Mincho"/>
        </w:rPr>
        <w:t>.</w:t>
      </w:r>
    </w:p>
    <w:p w14:paraId="1EAEBF7F" w14:textId="77777777" w:rsidR="00B87579" w:rsidRPr="00B06CC2" w:rsidRDefault="00B87579" w:rsidP="00B87579">
      <w:pPr>
        <w:rPr>
          <w:lang w:eastAsia="zh-CN"/>
        </w:rPr>
      </w:pPr>
      <w:r w:rsidRPr="00B06CC2">
        <w:rPr>
          <w:lang w:eastAsia="zh-CN"/>
        </w:rPr>
        <w:t>If, for unicast and multicast HARQ-ACK information of same priority value, a</w:t>
      </w:r>
      <w:r w:rsidRPr="00B06CC2">
        <w:rPr>
          <w:rFonts w:hint="eastAsia"/>
          <w:lang w:eastAsia="zh-CN"/>
        </w:rPr>
        <w:t xml:space="preserve"> UE</w:t>
      </w:r>
    </w:p>
    <w:p w14:paraId="79022BB9" w14:textId="77777777" w:rsidR="00AE699B" w:rsidRDefault="00B87579" w:rsidP="00B87579">
      <w:pPr>
        <w:pStyle w:val="B1"/>
        <w:rPr>
          <w:lang w:val="en-US" w:eastAsia="zh-CN"/>
        </w:rPr>
      </w:pPr>
      <w:r w:rsidRPr="00B06CC2">
        <w:t>-</w:t>
      </w:r>
      <w:r w:rsidRPr="00B06CC2">
        <w:tab/>
      </w:r>
      <w:r w:rsidRPr="00B06CC2">
        <w:rPr>
          <w:lang w:eastAsia="zh-CN"/>
        </w:rPr>
        <w:t>is</w:t>
      </w:r>
      <w:r w:rsidRPr="00B06CC2">
        <w:rPr>
          <w:lang w:val="en-US" w:eastAsia="zh-CN"/>
        </w:rPr>
        <w:t xml:space="preserve"> </w:t>
      </w:r>
      <w:r w:rsidRPr="00B06CC2">
        <w:rPr>
          <w:lang w:eastAsia="zh-CN"/>
        </w:rPr>
        <w:t>provided</w:t>
      </w:r>
      <w:r w:rsidRPr="00B06CC2">
        <w:rPr>
          <w:lang w:val="en-US" w:eastAsia="zh-CN"/>
        </w:rPr>
        <w:t xml:space="preserve"> </w:t>
      </w:r>
    </w:p>
    <w:p w14:paraId="4DB521D2" w14:textId="621CC5A9" w:rsidR="00AE699B" w:rsidRDefault="00AE699B" w:rsidP="00AE699B">
      <w:pPr>
        <w:pStyle w:val="B2"/>
        <w:rPr>
          <w:iCs/>
          <w:lang w:val="en-US" w:eastAsia="zh-CN"/>
        </w:rPr>
      </w:pPr>
      <w:r>
        <w:rPr>
          <w:lang w:val="en-US" w:eastAsia="zh-CN"/>
        </w:rPr>
        <w:lastRenderedPageBreak/>
        <w:t>-</w:t>
      </w:r>
      <w:r>
        <w:rPr>
          <w:lang w:val="en-US" w:eastAsia="zh-CN"/>
        </w:rPr>
        <w:tab/>
      </w:r>
      <w:r w:rsidR="00B87579" w:rsidRPr="00B06CC2">
        <w:rPr>
          <w:lang w:val="en-US" w:eastAsia="zh-CN"/>
        </w:rPr>
        <w:t>either</w:t>
      </w:r>
      <w:r w:rsidR="00B87579" w:rsidRPr="00B06CC2">
        <w:rPr>
          <w:lang w:val="en-US"/>
        </w:rPr>
        <w:t xml:space="preserve"> </w:t>
      </w:r>
      <w:r w:rsidR="00B87579" w:rsidRPr="0088445E">
        <w:rPr>
          <w:i/>
          <w:iCs/>
          <w:lang w:eastAsia="zh-CN"/>
        </w:rPr>
        <w:t>pdsch-HARQ-ACK-Codebook</w:t>
      </w:r>
      <w:r w:rsidR="00B87579" w:rsidRPr="00B06CC2" w:rsidDel="00011FE0">
        <w:rPr>
          <w:lang w:eastAsia="zh-CN"/>
        </w:rPr>
        <w:t xml:space="preserve"> </w:t>
      </w:r>
      <w:r w:rsidR="00B87579" w:rsidRPr="00B06CC2">
        <w:rPr>
          <w:lang w:eastAsia="zh-CN"/>
        </w:rPr>
        <w:t xml:space="preserve">= </w:t>
      </w:r>
      <w:r w:rsidR="00B87579" w:rsidRPr="0088445E">
        <w:rPr>
          <w:i/>
          <w:iCs/>
          <w:lang w:val="en-US" w:eastAsia="zh-CN"/>
        </w:rPr>
        <w:t>dynam</w:t>
      </w:r>
      <w:r w:rsidR="00B87579" w:rsidRPr="0088445E">
        <w:rPr>
          <w:i/>
          <w:iCs/>
          <w:lang w:eastAsia="zh-CN"/>
        </w:rPr>
        <w:t>ic</w:t>
      </w:r>
      <w:r w:rsidR="00B87579" w:rsidRPr="00B06CC2">
        <w:rPr>
          <w:lang w:val="en-US" w:eastAsia="zh-CN"/>
        </w:rPr>
        <w:t xml:space="preserve"> </w:t>
      </w:r>
      <w:r w:rsidRPr="0088027F">
        <w:rPr>
          <w:lang w:val="en-US" w:eastAsia="zh-CN"/>
        </w:rPr>
        <w:t xml:space="preserve">or </w:t>
      </w:r>
      <w:r w:rsidRPr="0088445E">
        <w:rPr>
          <w:i/>
          <w:iCs/>
          <w:lang w:val="en-US" w:eastAsia="zh-CN"/>
        </w:rPr>
        <w:t>pdsch-</w:t>
      </w:r>
      <w:r w:rsidRPr="0088445E">
        <w:rPr>
          <w:i/>
          <w:iCs/>
          <w:lang w:eastAsia="zh-CN"/>
        </w:rPr>
        <w:t>HARQ-ACK-Codebook-r16</w:t>
      </w:r>
      <w:r w:rsidRPr="0088027F">
        <w:rPr>
          <w:iCs/>
          <w:lang w:val="en-US" w:eastAsia="zh-CN"/>
        </w:rPr>
        <w:t xml:space="preserve"> </w:t>
      </w:r>
      <w:r w:rsidR="0053070E">
        <w:rPr>
          <w:iCs/>
          <w:lang w:eastAsia="zh-CN"/>
        </w:rPr>
        <w:t xml:space="preserve">for unicast HARQ-ACK information </w:t>
      </w:r>
      <w:r w:rsidR="00B87579" w:rsidRPr="00B06CC2">
        <w:rPr>
          <w:lang w:val="en-US" w:eastAsia="zh-CN"/>
        </w:rPr>
        <w:t xml:space="preserve">and </w:t>
      </w:r>
      <w:r w:rsidR="00B87579" w:rsidRPr="0088445E">
        <w:rPr>
          <w:i/>
          <w:iCs/>
          <w:lang w:eastAsia="zh-CN"/>
        </w:rPr>
        <w:t>pdsch-HARQ-ACK-Codebook</w:t>
      </w:r>
      <w:r w:rsidR="00B87579" w:rsidRPr="00B06CC2" w:rsidDel="00011FE0">
        <w:rPr>
          <w:lang w:eastAsia="zh-CN"/>
        </w:rPr>
        <w:t xml:space="preserve"> </w:t>
      </w:r>
      <w:r w:rsidR="00B87579" w:rsidRPr="00B06CC2">
        <w:rPr>
          <w:lang w:eastAsia="zh-CN"/>
        </w:rPr>
        <w:t xml:space="preserve">= </w:t>
      </w:r>
      <w:r w:rsidR="00B87579" w:rsidRPr="0088445E">
        <w:rPr>
          <w:i/>
          <w:iCs/>
          <w:lang w:eastAsia="zh-CN"/>
        </w:rPr>
        <w:t>semi-static</w:t>
      </w:r>
      <w:r w:rsidR="0053070E" w:rsidRPr="0084685A">
        <w:rPr>
          <w:rFonts w:cs="Arial"/>
          <w:lang w:val="en-GB" w:eastAsia="zh-CN"/>
        </w:rPr>
        <w:t xml:space="preserve"> </w:t>
      </w:r>
      <w:r w:rsidR="0053070E" w:rsidRPr="008C1890">
        <w:rPr>
          <w:rFonts w:cs="Arial"/>
          <w:lang w:val="en-GB" w:eastAsia="zh-CN"/>
        </w:rPr>
        <w:t>for multicast HARQ-ACK information</w:t>
      </w:r>
      <w:r w:rsidR="00B87579" w:rsidRPr="00B06CC2">
        <w:rPr>
          <w:iCs/>
          <w:lang w:val="en-US" w:eastAsia="zh-CN"/>
        </w:rPr>
        <w:t xml:space="preserve">, </w:t>
      </w:r>
    </w:p>
    <w:p w14:paraId="30F5268E" w14:textId="1A994044" w:rsidR="00B87579" w:rsidRPr="00B06CC2" w:rsidRDefault="00AE699B" w:rsidP="00AE699B">
      <w:pPr>
        <w:pStyle w:val="B2"/>
        <w:rPr>
          <w:lang w:val="en-US" w:eastAsia="zh-CN"/>
        </w:rPr>
      </w:pPr>
      <w:r>
        <w:rPr>
          <w:lang w:val="en-US" w:eastAsia="zh-CN"/>
        </w:rPr>
        <w:t>-</w:t>
      </w:r>
      <w:r>
        <w:rPr>
          <w:lang w:val="en-US" w:eastAsia="zh-CN"/>
        </w:rPr>
        <w:tab/>
      </w:r>
      <w:r w:rsidR="00B87579" w:rsidRPr="00B06CC2">
        <w:rPr>
          <w:iCs/>
          <w:lang w:val="en-US" w:eastAsia="zh-CN"/>
        </w:rPr>
        <w:t>or</w:t>
      </w:r>
      <w:r w:rsidR="00B87579" w:rsidRPr="00B06CC2">
        <w:rPr>
          <w:lang w:val="en-US"/>
        </w:rPr>
        <w:t xml:space="preserve"> </w:t>
      </w:r>
      <w:r w:rsidR="00B87579" w:rsidRPr="0088445E">
        <w:rPr>
          <w:i/>
          <w:iCs/>
          <w:lang w:eastAsia="zh-CN"/>
        </w:rPr>
        <w:t>pdsch-HARQ-ACK-Codebook</w:t>
      </w:r>
      <w:r w:rsidR="00B87579" w:rsidRPr="00B06CC2" w:rsidDel="00011FE0">
        <w:rPr>
          <w:lang w:eastAsia="zh-CN"/>
        </w:rPr>
        <w:t xml:space="preserve"> </w:t>
      </w:r>
      <w:r w:rsidR="00B87579" w:rsidRPr="00B06CC2">
        <w:rPr>
          <w:lang w:eastAsia="zh-CN"/>
        </w:rPr>
        <w:t xml:space="preserve">= </w:t>
      </w:r>
      <w:r w:rsidR="00B87579" w:rsidRPr="0088445E">
        <w:rPr>
          <w:i/>
          <w:iCs/>
          <w:lang w:eastAsia="zh-CN"/>
        </w:rPr>
        <w:t>semi-static</w:t>
      </w:r>
      <w:r w:rsidR="00B87579" w:rsidRPr="00B06CC2">
        <w:rPr>
          <w:lang w:val="en-US" w:eastAsia="zh-CN"/>
        </w:rPr>
        <w:t xml:space="preserve"> </w:t>
      </w:r>
      <w:r w:rsidR="00C002F9">
        <w:rPr>
          <w:iCs/>
          <w:lang w:val="en-US" w:eastAsia="zh-CN"/>
        </w:rPr>
        <w:t xml:space="preserve">or </w:t>
      </w:r>
      <w:r w:rsidR="00C002F9" w:rsidRPr="00D40DF2">
        <w:rPr>
          <w:i/>
          <w:iCs/>
          <w:lang w:val="en-US" w:eastAsia="zh-CN"/>
        </w:rPr>
        <w:t>pdsch-</w:t>
      </w:r>
      <w:r w:rsidR="00C002F9" w:rsidRPr="00D40DF2">
        <w:rPr>
          <w:i/>
          <w:iCs/>
          <w:lang w:eastAsia="zh-CN"/>
        </w:rPr>
        <w:t>HARQ-ACK-Codebook-r16</w:t>
      </w:r>
      <w:r w:rsidR="00C002F9" w:rsidRPr="00D40DF2">
        <w:rPr>
          <w:iCs/>
          <w:lang w:val="en-US" w:eastAsia="zh-CN"/>
        </w:rPr>
        <w:t xml:space="preserve"> </w:t>
      </w:r>
      <w:r w:rsidR="0053070E">
        <w:rPr>
          <w:iCs/>
          <w:lang w:eastAsia="zh-CN"/>
        </w:rPr>
        <w:t xml:space="preserve">for unicast HARQ-ACK information </w:t>
      </w:r>
      <w:r w:rsidR="00B87579" w:rsidRPr="00B06CC2">
        <w:rPr>
          <w:lang w:val="en-US" w:eastAsia="zh-CN"/>
        </w:rPr>
        <w:t xml:space="preserve">and </w:t>
      </w:r>
      <w:r w:rsidR="00B87579" w:rsidRPr="0088445E">
        <w:rPr>
          <w:i/>
          <w:iCs/>
          <w:lang w:eastAsia="zh-CN"/>
        </w:rPr>
        <w:t>pdsch-HARQ-ACK-Codebook</w:t>
      </w:r>
      <w:r w:rsidR="00B87579" w:rsidRPr="00B06CC2" w:rsidDel="00011FE0">
        <w:rPr>
          <w:lang w:eastAsia="zh-CN"/>
        </w:rPr>
        <w:t xml:space="preserve"> </w:t>
      </w:r>
      <w:r w:rsidR="00B87579" w:rsidRPr="00B06CC2">
        <w:rPr>
          <w:lang w:eastAsia="zh-CN"/>
        </w:rPr>
        <w:t xml:space="preserve">= </w:t>
      </w:r>
      <w:r w:rsidR="00B87579" w:rsidRPr="0088445E">
        <w:rPr>
          <w:i/>
          <w:iCs/>
          <w:lang w:val="en-US" w:eastAsia="zh-CN"/>
        </w:rPr>
        <w:t>dynam</w:t>
      </w:r>
      <w:r w:rsidR="00B87579" w:rsidRPr="0088445E">
        <w:rPr>
          <w:i/>
          <w:iCs/>
          <w:lang w:eastAsia="zh-CN"/>
        </w:rPr>
        <w:t>ic</w:t>
      </w:r>
      <w:r w:rsidR="0053070E" w:rsidRPr="0084685A">
        <w:rPr>
          <w:rFonts w:cs="Arial"/>
          <w:lang w:val="en-GB" w:eastAsia="zh-CN"/>
        </w:rPr>
        <w:t xml:space="preserve"> </w:t>
      </w:r>
      <w:r w:rsidR="0053070E" w:rsidRPr="008C1890">
        <w:rPr>
          <w:rFonts w:cs="Arial"/>
          <w:lang w:val="en-GB" w:eastAsia="zh-CN"/>
        </w:rPr>
        <w:t>for multicast HARQ-ACK information</w:t>
      </w:r>
      <w:r w:rsidR="00B87579" w:rsidRPr="00B06CC2">
        <w:rPr>
          <w:iCs/>
          <w:lang w:val="en-US" w:eastAsia="zh-CN"/>
        </w:rPr>
        <w:t>, and</w:t>
      </w:r>
    </w:p>
    <w:p w14:paraId="47D4F100" w14:textId="77777777" w:rsidR="00B87579" w:rsidRPr="00B06CC2" w:rsidRDefault="00B87579" w:rsidP="00B87579">
      <w:pPr>
        <w:pStyle w:val="B1"/>
        <w:rPr>
          <w:rFonts w:cs="Arial"/>
          <w:lang w:eastAsia="zh-CN"/>
        </w:rPr>
      </w:pPr>
      <w:r w:rsidRPr="00B06CC2">
        <w:t>-</w:t>
      </w:r>
      <w:r w:rsidRPr="00B06CC2">
        <w:tab/>
      </w:r>
      <w:r w:rsidRPr="00B06CC2">
        <w:rPr>
          <w:lang w:val="en-US" w:eastAsia="zh-CN"/>
        </w:rPr>
        <w:t>would multiplex</w:t>
      </w:r>
      <w:r w:rsidRPr="00B06CC2">
        <w:rPr>
          <w:lang w:val="en-US"/>
        </w:rPr>
        <w:t xml:space="preserve"> the unicast and multicast HARQ-ACK information in a same PUCCH or PUSCH</w:t>
      </w:r>
      <w:r w:rsidRPr="00B06CC2">
        <w:rPr>
          <w:rFonts w:cs="Arial"/>
          <w:lang w:eastAsia="zh-CN"/>
        </w:rPr>
        <w:t xml:space="preserve"> </w:t>
      </w:r>
    </w:p>
    <w:p w14:paraId="4F2E578E" w14:textId="77777777" w:rsidR="00B87579" w:rsidRPr="00B06CC2" w:rsidRDefault="00B87579" w:rsidP="00B87579">
      <w:pPr>
        <w:rPr>
          <w:lang w:val="en-US" w:eastAsia="zh-CN"/>
        </w:rPr>
      </w:pPr>
      <w:r w:rsidRPr="00B06CC2">
        <w:rPr>
          <w:lang w:val="en-US" w:eastAsia="zh-CN"/>
        </w:rPr>
        <w:t xml:space="preserve">the UE </w:t>
      </w:r>
    </w:p>
    <w:p w14:paraId="3FE1B229" w14:textId="77777777" w:rsidR="00B87579" w:rsidRPr="00B06CC2" w:rsidRDefault="00B87579" w:rsidP="00B87579">
      <w:pPr>
        <w:pStyle w:val="B1"/>
        <w:rPr>
          <w:rFonts w:cs="Arial"/>
          <w:lang w:val="en-US" w:eastAsia="zh-CN"/>
        </w:rPr>
      </w:pPr>
      <w:r w:rsidRPr="00B06CC2">
        <w:t>-</w:t>
      </w:r>
      <w:r w:rsidRPr="00B06CC2">
        <w:tab/>
      </w:r>
      <w:r w:rsidRPr="00B06CC2">
        <w:rPr>
          <w:rFonts w:cs="Arial"/>
          <w:lang w:val="en-US" w:eastAsia="zh-CN"/>
        </w:rPr>
        <w:t>appends the HARQ-ACK codebooks for the multicast HARQ-ACK information to the HARQ-ACK codebooks for the unicast HARQ-ACK information</w:t>
      </w:r>
    </w:p>
    <w:p w14:paraId="507CA4FD" w14:textId="070688C4" w:rsidR="00B87579" w:rsidRPr="00B06CC2" w:rsidRDefault="00B87579" w:rsidP="00B87579">
      <w:pPr>
        <w:pStyle w:val="B1"/>
        <w:rPr>
          <w:rFonts w:cs="Arial"/>
          <w:lang w:val="en-US" w:eastAsia="zh-CN"/>
        </w:rPr>
      </w:pPr>
      <w:r w:rsidRPr="00B06CC2">
        <w:t>-</w:t>
      </w:r>
      <w:r w:rsidRPr="00B06CC2">
        <w:tab/>
      </w:r>
      <w:r w:rsidRPr="00B06CC2">
        <w:rPr>
          <w:lang w:val="en-US" w:eastAsia="zh-CN"/>
        </w:rPr>
        <w:t xml:space="preserve">if </w:t>
      </w:r>
      <m:oMath>
        <m:sSub>
          <m:sSubPr>
            <m:ctrlPr>
              <w:rPr>
                <w:rFonts w:ascii="Cambria Math" w:hAnsi="Cambria Math"/>
                <w:i/>
                <w:lang w:val="en-US" w:eastAsia="zh-CN"/>
              </w:rPr>
            </m:ctrlPr>
          </m:sSubPr>
          <m:e>
            <m:r>
              <w:rPr>
                <w:rFonts w:ascii="Cambria Math" w:hAnsi="Cambria Math"/>
                <w:lang w:val="en-US" w:eastAsia="zh-CN"/>
              </w:rPr>
              <m:t>O</m:t>
            </m:r>
          </m:e>
          <m:sub>
            <m:r>
              <m:rPr>
                <m:sty m:val="p"/>
              </m:rPr>
              <w:rPr>
                <w:rFonts w:ascii="Cambria Math" w:hAnsi="Cambria Math"/>
                <w:lang w:val="en-US" w:eastAsia="zh-CN"/>
              </w:rPr>
              <m:t>ACK</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O</m:t>
            </m:r>
          </m:e>
          <m:sub>
            <m:r>
              <m:rPr>
                <m:sty m:val="p"/>
              </m:rPr>
              <w:rPr>
                <w:rFonts w:ascii="Cambria Math" w:hAnsi="Cambria Math"/>
                <w:lang w:val="en-US" w:eastAsia="zh-CN"/>
              </w:rPr>
              <m:t>SR</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O</m:t>
            </m:r>
          </m:e>
          <m:sub>
            <m:r>
              <m:rPr>
                <m:sty m:val="p"/>
              </m:rPr>
              <w:rPr>
                <w:rFonts w:ascii="Cambria Math" w:hAnsi="Cambria Math"/>
                <w:lang w:val="en-US" w:eastAsia="zh-CN"/>
              </w:rPr>
              <m:t>CSI</m:t>
            </m:r>
          </m:sub>
        </m:sSub>
        <m:r>
          <w:rPr>
            <w:rFonts w:ascii="Cambria Math" w:hAnsi="Cambria Math"/>
            <w:lang w:val="en-US" w:eastAsia="zh-CN"/>
          </w:rPr>
          <m:t>≤11</m:t>
        </m:r>
      </m:oMath>
      <w:r w:rsidRPr="00B06CC2">
        <w:t xml:space="preserve">, </w:t>
      </w:r>
      <w:r w:rsidRPr="00B06CC2">
        <w:rPr>
          <w:lang w:val="en-US" w:eastAsia="zh-CN"/>
        </w:rPr>
        <w:t xml:space="preserve">the UE determines </w:t>
      </w:r>
      <m:oMath>
        <m:sSub>
          <m:sSubPr>
            <m:ctrlPr>
              <w:rPr>
                <w:rFonts w:ascii="Cambria Math" w:hAnsi="Cambria Math"/>
                <w:i/>
                <w:lang w:val="en-US" w:eastAsia="zh-CN"/>
              </w:rPr>
            </m:ctrlPr>
          </m:sSubPr>
          <m:e>
            <m:r>
              <w:rPr>
                <w:rFonts w:ascii="Cambria Math" w:hAnsi="Cambria Math"/>
                <w:lang w:val="en-US" w:eastAsia="zh-CN"/>
              </w:rPr>
              <m:t>n</m:t>
            </m:r>
          </m:e>
          <m:sub>
            <m:r>
              <m:rPr>
                <m:sty m:val="p"/>
              </m:rPr>
              <w:rPr>
                <w:rFonts w:ascii="Cambria Math" w:hAnsi="Cambria Math"/>
                <w:lang w:val="en-US" w:eastAsia="zh-CN"/>
              </w:rPr>
              <m:t>HARQ-ACK</m:t>
            </m:r>
          </m:sub>
        </m:sSub>
      </m:oMath>
      <w:r w:rsidRPr="00B06CC2">
        <w:rPr>
          <w:lang w:val="en-US" w:eastAsia="zh-CN"/>
        </w:rPr>
        <w:t xml:space="preserve"> </w:t>
      </w:r>
      <w:r w:rsidRPr="00B06CC2">
        <w:rPr>
          <w:lang w:eastAsia="zh-CN"/>
        </w:rPr>
        <w:t xml:space="preserve">for obtaining a power </w:t>
      </w:r>
      <w:r w:rsidRPr="00B06CC2">
        <w:rPr>
          <w:lang w:val="en-US" w:eastAsia="zh-CN"/>
        </w:rPr>
        <w:t>of</w:t>
      </w:r>
      <w:r w:rsidRPr="00B06CC2">
        <w:rPr>
          <w:lang w:eastAsia="zh-CN"/>
        </w:rPr>
        <w:t xml:space="preserve"> a PUCCH</w:t>
      </w:r>
      <w:r w:rsidRPr="00B06CC2">
        <w:rPr>
          <w:lang w:val="en-US" w:eastAsia="zh-CN"/>
        </w:rPr>
        <w:t xml:space="preserve"> transmission with the HARQ-ACK information</w:t>
      </w:r>
      <w:r w:rsidRPr="00B06CC2">
        <w:rPr>
          <w:lang w:eastAsia="zh-CN"/>
        </w:rPr>
        <w:t>, as described in clause 7.2.1</w:t>
      </w:r>
      <w:r w:rsidRPr="00B06CC2">
        <w:rPr>
          <w:lang w:val="en-US" w:eastAsia="zh-CN"/>
        </w:rPr>
        <w:t xml:space="preserve">, as </w:t>
      </w:r>
      <w:r w:rsidR="00C002F9" w:rsidRPr="00791DF6">
        <w:rPr>
          <w:lang w:val="en-US" w:eastAsia="zh-CN"/>
        </w:rPr>
        <w:t xml:space="preserve">a sum of the </w:t>
      </w:r>
      <m:oMath>
        <m:sSub>
          <m:sSubPr>
            <m:ctrlPr>
              <w:rPr>
                <w:rFonts w:ascii="Cambria Math" w:hAnsi="Cambria Math"/>
                <w:i/>
                <w:lang w:val="en-US" w:eastAsia="zh-CN"/>
              </w:rPr>
            </m:ctrlPr>
          </m:sSubPr>
          <m:e>
            <m:r>
              <w:rPr>
                <w:rFonts w:ascii="Cambria Math" w:hAnsi="Cambria Math"/>
                <w:lang w:val="en-US" w:eastAsia="zh-CN"/>
              </w:rPr>
              <m:t>n</m:t>
            </m:r>
          </m:e>
          <m:sub>
            <m:r>
              <m:rPr>
                <m:sty m:val="p"/>
              </m:rPr>
              <w:rPr>
                <w:rFonts w:ascii="Cambria Math" w:hAnsi="Cambria Math"/>
                <w:lang w:val="en-US" w:eastAsia="zh-CN"/>
              </w:rPr>
              <m:t>HARQ-ACK</m:t>
            </m:r>
          </m:sub>
        </m:sSub>
      </m:oMath>
      <w:r w:rsidR="00C002F9" w:rsidRPr="00791DF6">
        <w:rPr>
          <w:lang w:val="en-US" w:eastAsia="zh-CN"/>
        </w:rPr>
        <w:t xml:space="preserve"> value from clause 9.1.</w:t>
      </w:r>
      <w:r w:rsidR="00C002F9">
        <w:rPr>
          <w:lang w:val="en-US" w:eastAsia="zh-CN"/>
        </w:rPr>
        <w:t>3</w:t>
      </w:r>
      <w:r w:rsidR="00C002F9" w:rsidRPr="00791DF6">
        <w:rPr>
          <w:lang w:val="en-US" w:eastAsia="zh-CN"/>
        </w:rPr>
        <w:t xml:space="preserve">.1 or clause 9.1.3.3 and the </w:t>
      </w:r>
      <m:oMath>
        <m:sSub>
          <m:sSubPr>
            <m:ctrlPr>
              <w:rPr>
                <w:rFonts w:ascii="Cambria Math" w:hAnsi="Cambria Math"/>
                <w:i/>
                <w:lang w:val="en-US" w:eastAsia="zh-CN"/>
              </w:rPr>
            </m:ctrlPr>
          </m:sSubPr>
          <m:e>
            <m:r>
              <w:rPr>
                <w:rFonts w:ascii="Cambria Math" w:hAnsi="Cambria Math"/>
                <w:lang w:val="en-US" w:eastAsia="zh-CN"/>
              </w:rPr>
              <m:t>n</m:t>
            </m:r>
          </m:e>
          <m:sub>
            <m:r>
              <m:rPr>
                <m:sty m:val="p"/>
              </m:rPr>
              <w:rPr>
                <w:rFonts w:ascii="Cambria Math" w:hAnsi="Cambria Math"/>
                <w:lang w:val="en-US" w:eastAsia="zh-CN"/>
              </w:rPr>
              <m:t>HARQ-ACK</m:t>
            </m:r>
          </m:sub>
        </m:sSub>
      </m:oMath>
      <w:r w:rsidR="00C002F9" w:rsidRPr="00791DF6">
        <w:rPr>
          <w:lang w:val="en-US" w:eastAsia="zh-CN"/>
        </w:rPr>
        <w:t xml:space="preserve"> value from clause 9.1.</w:t>
      </w:r>
      <w:r w:rsidR="00C002F9">
        <w:rPr>
          <w:lang w:val="en-US" w:eastAsia="zh-CN"/>
        </w:rPr>
        <w:t>2</w:t>
      </w:r>
      <w:r w:rsidR="00C002F9" w:rsidRPr="00791DF6">
        <w:rPr>
          <w:lang w:val="en-US" w:eastAsia="zh-CN"/>
        </w:rPr>
        <w:t>.1</w:t>
      </w:r>
      <w:r w:rsidR="00C002F9">
        <w:rPr>
          <w:lang w:val="en-US" w:eastAsia="zh-CN"/>
        </w:rPr>
        <w:t xml:space="preserve"> or</w:t>
      </w:r>
      <w:r w:rsidR="00C002F9" w:rsidRPr="00791DF6">
        <w:rPr>
          <w:lang w:val="en-US" w:eastAsia="zh-CN"/>
        </w:rPr>
        <w:t xml:space="preserve"> </w:t>
      </w:r>
      <w:r w:rsidR="00C002F9">
        <w:rPr>
          <w:lang w:val="en-US" w:eastAsia="zh-CN"/>
        </w:rPr>
        <w:t xml:space="preserve">as </w:t>
      </w:r>
      <w:r w:rsidRPr="00B06CC2">
        <w:rPr>
          <w:lang w:val="en-US" w:eastAsia="zh-CN"/>
        </w:rPr>
        <w:t xml:space="preserve">a sum of the </w:t>
      </w:r>
      <m:oMath>
        <m:sSub>
          <m:sSubPr>
            <m:ctrlPr>
              <w:rPr>
                <w:rFonts w:ascii="Cambria Math" w:hAnsi="Cambria Math"/>
                <w:i/>
                <w:lang w:val="en-US" w:eastAsia="zh-CN"/>
              </w:rPr>
            </m:ctrlPr>
          </m:sSubPr>
          <m:e>
            <m:r>
              <w:rPr>
                <w:rFonts w:ascii="Cambria Math" w:hAnsi="Cambria Math"/>
                <w:lang w:val="en-US" w:eastAsia="zh-CN"/>
              </w:rPr>
              <m:t>n</m:t>
            </m:r>
          </m:e>
          <m:sub>
            <m:r>
              <m:rPr>
                <m:sty m:val="p"/>
              </m:rPr>
              <w:rPr>
                <w:rFonts w:ascii="Cambria Math" w:hAnsi="Cambria Math"/>
                <w:lang w:val="en-US" w:eastAsia="zh-CN"/>
              </w:rPr>
              <m:t>HARQ-ACK</m:t>
            </m:r>
          </m:sub>
        </m:sSub>
      </m:oMath>
      <w:r w:rsidRPr="00B06CC2">
        <w:rPr>
          <w:lang w:val="en-US" w:eastAsia="zh-CN"/>
        </w:rPr>
        <w:t xml:space="preserve"> value from clause 9.1.2.1 </w:t>
      </w:r>
      <w:r w:rsidR="00AE699B" w:rsidRPr="0088027F">
        <w:rPr>
          <w:lang w:val="en-US" w:eastAsia="zh-CN"/>
        </w:rPr>
        <w:t xml:space="preserve">or clause 9.1.3.3 </w:t>
      </w:r>
      <w:r w:rsidRPr="00B06CC2">
        <w:rPr>
          <w:lang w:val="en-US" w:eastAsia="zh-CN"/>
        </w:rPr>
        <w:t xml:space="preserve">and the </w:t>
      </w:r>
      <m:oMath>
        <m:sSub>
          <m:sSubPr>
            <m:ctrlPr>
              <w:rPr>
                <w:rFonts w:ascii="Cambria Math" w:hAnsi="Cambria Math"/>
                <w:i/>
                <w:lang w:val="en-US" w:eastAsia="zh-CN"/>
              </w:rPr>
            </m:ctrlPr>
          </m:sSubPr>
          <m:e>
            <m:r>
              <w:rPr>
                <w:rFonts w:ascii="Cambria Math" w:hAnsi="Cambria Math"/>
                <w:lang w:val="en-US" w:eastAsia="zh-CN"/>
              </w:rPr>
              <m:t>n</m:t>
            </m:r>
          </m:e>
          <m:sub>
            <m:r>
              <m:rPr>
                <m:sty m:val="p"/>
              </m:rPr>
              <w:rPr>
                <w:rFonts w:ascii="Cambria Math" w:hAnsi="Cambria Math"/>
                <w:lang w:val="en-US" w:eastAsia="zh-CN"/>
              </w:rPr>
              <m:t>HARQ-ACK</m:t>
            </m:r>
          </m:sub>
        </m:sSub>
      </m:oMath>
      <w:r w:rsidRPr="00B06CC2">
        <w:rPr>
          <w:lang w:val="en-US" w:eastAsia="zh-CN"/>
        </w:rPr>
        <w:t xml:space="preserve"> value from clause 9.1.3.1</w:t>
      </w:r>
      <w:r w:rsidRPr="00B06CC2">
        <w:rPr>
          <w:lang w:eastAsia="zh-CN"/>
        </w:rPr>
        <w:t>.</w:t>
      </w:r>
    </w:p>
    <w:p w14:paraId="0FA2BE17" w14:textId="77777777" w:rsidR="00AE699B" w:rsidRDefault="00B87579" w:rsidP="0068506D">
      <w:r w:rsidRPr="00B06CC2">
        <w:t xml:space="preserve">A UE determines a PUCCH resource for a PUCCH transmission with HARQ-ACK information as described in clauses 9.2 and 9.2.1 through 9.2.5. </w:t>
      </w:r>
    </w:p>
    <w:p w14:paraId="2F1DBDE2" w14:textId="7D0484AE" w:rsidR="00005700" w:rsidRDefault="00B87579" w:rsidP="0068506D">
      <w:r w:rsidRPr="00B06CC2">
        <w:t xml:space="preserve">If </w:t>
      </w:r>
      <w:r w:rsidR="00515A2E">
        <w:t>a</w:t>
      </w:r>
      <w:r w:rsidR="00515A2E" w:rsidRPr="00B06CC2">
        <w:t xml:space="preserve"> </w:t>
      </w:r>
      <w:r w:rsidRPr="00B06CC2">
        <w:t xml:space="preserve">UE multiplexes </w:t>
      </w:r>
      <w:r w:rsidR="00EE655A">
        <w:t xml:space="preserve">in a PUCCH </w:t>
      </w:r>
      <w:r w:rsidRPr="00B06CC2">
        <w:t xml:space="preserve">HARQ-ACK information </w:t>
      </w:r>
      <w:r w:rsidR="00AE699B">
        <w:t xml:space="preserve">of same priority </w:t>
      </w:r>
      <w:r w:rsidRPr="00B06CC2">
        <w:t>associated with unicast DCI formats and with multicast DCI formats in a same PUCCH, the last DCI format that the UE uses to determine the PUCCH resource</w:t>
      </w:r>
      <w:r w:rsidR="00816A6D" w:rsidRPr="0094362F">
        <w:rPr>
          <w:lang w:val="en-US"/>
        </w:rPr>
        <w:t xml:space="preserve"> </w:t>
      </w:r>
      <w:r w:rsidR="00816A6D" w:rsidRPr="00164634">
        <w:rPr>
          <w:lang w:val="en-US"/>
        </w:rPr>
        <w:t xml:space="preserve">from </w:t>
      </w:r>
      <w:r w:rsidR="00816A6D" w:rsidRPr="00164634">
        <w:rPr>
          <w:i/>
          <w:lang w:val="en-US"/>
        </w:rPr>
        <w:t>pucch-Config/</w:t>
      </w:r>
      <w:r w:rsidR="00816A6D" w:rsidRPr="00164634">
        <w:rPr>
          <w:i/>
          <w:iCs/>
          <w:lang w:val="en-US"/>
        </w:rPr>
        <w:t>pucch-ConfigurationList</w:t>
      </w:r>
      <w:r w:rsidRPr="00B06CC2">
        <w:t>, as described in clause 9.2.3, is a last unicast DCI format.</w:t>
      </w:r>
    </w:p>
    <w:p w14:paraId="0CD3CC5A" w14:textId="09C6261A" w:rsidR="00EE655A" w:rsidRDefault="00EE655A" w:rsidP="00EE655A">
      <w:r w:rsidRPr="00B06CC2">
        <w:t xml:space="preserve">If the UE multiplexes </w:t>
      </w:r>
      <w:r>
        <w:t xml:space="preserve">in a PUCCH only multicast </w:t>
      </w:r>
      <w:r w:rsidRPr="00B06CC2">
        <w:t xml:space="preserve">HARQ-ACK information </w:t>
      </w:r>
      <w:r>
        <w:t>of same priority that is according to</w:t>
      </w:r>
      <w:r w:rsidRPr="00D33D6C">
        <w:t xml:space="preserve"> </w:t>
      </w:r>
      <w:r>
        <w:t xml:space="preserve">both </w:t>
      </w:r>
      <w:r w:rsidRPr="00D33D6C">
        <w:t xml:space="preserve">the first </w:t>
      </w:r>
      <w:r>
        <w:t xml:space="preserve">and second </w:t>
      </w:r>
      <w:r w:rsidRPr="00D33D6C">
        <w:t>HARQ-ACK reporting mode</w:t>
      </w:r>
      <w:r>
        <w:t>s</w:t>
      </w:r>
      <w:r w:rsidRPr="00B06CC2">
        <w:t>, the last DCI format that the UE uses to determine the PUCCH resource</w:t>
      </w:r>
      <w:r w:rsidR="00816A6D" w:rsidRPr="0094362F">
        <w:t xml:space="preserve"> </w:t>
      </w:r>
      <w:r w:rsidR="00816A6D" w:rsidRPr="00EC2ED5">
        <w:t xml:space="preserve">from </w:t>
      </w:r>
      <w:r w:rsidR="00816A6D" w:rsidRPr="00EC2ED5">
        <w:rPr>
          <w:i/>
        </w:rPr>
        <w:t>pucch-ConfigMulticast1/pucch-ConfigurationListMulticast1</w:t>
      </w:r>
      <w:r w:rsidR="00816A6D" w:rsidRPr="00EC2ED5">
        <w:t>, if provided</w:t>
      </w:r>
      <w:r w:rsidR="00816A6D">
        <w:t>;</w:t>
      </w:r>
      <w:r w:rsidR="00816A6D" w:rsidRPr="00EC2ED5">
        <w:t xml:space="preserve"> otherwise, from </w:t>
      </w:r>
      <w:r w:rsidR="00816A6D" w:rsidRPr="00EC2ED5">
        <w:rPr>
          <w:i/>
        </w:rPr>
        <w:t>pucch-Config/pucch-ConfigurationList</w:t>
      </w:r>
      <w:r w:rsidRPr="00B06CC2">
        <w:t>, as described in clause 9.2.3, is a last DCI format</w:t>
      </w:r>
      <w:r>
        <w:t xml:space="preserve"> associated with multicast </w:t>
      </w:r>
      <w:r w:rsidRPr="00B06CC2">
        <w:t xml:space="preserve">HARQ-ACK information </w:t>
      </w:r>
      <w:r>
        <w:t>that is according to</w:t>
      </w:r>
      <w:r w:rsidRPr="00D33D6C">
        <w:t xml:space="preserve"> the first HARQ-ACK reporting mode</w:t>
      </w:r>
      <w:r w:rsidRPr="00B06CC2">
        <w:t>.</w:t>
      </w:r>
    </w:p>
    <w:p w14:paraId="52A684C9" w14:textId="4575869A" w:rsidR="00CD3867" w:rsidRPr="00CD3867" w:rsidRDefault="00AE699B" w:rsidP="00CD3867">
      <w:r w:rsidRPr="0088027F">
        <w:t>If a UE multiplexes in a PUCCH</w:t>
      </w:r>
      <w:r w:rsidR="00CD3867">
        <w:t xml:space="preserve"> only</w:t>
      </w:r>
      <w:r w:rsidRPr="0088027F">
        <w:t xml:space="preserve"> first HARQ-ACK information associated with multicast SPS PDSCH receptions and second HARQ-ACK information associated with multicast DCI formats and having same priority value as the first HARQ-ACK information, and both the first and second HARQ-ACK information are according to the first HARQ-ACK reporting mode, the UE determines the PUCCH resource based on the last multicast DCI format</w:t>
      </w:r>
      <w:r w:rsidR="007E593B">
        <w:t xml:space="preserve"> </w:t>
      </w:r>
      <w:r w:rsidR="007E593B" w:rsidRPr="00905522">
        <w:t xml:space="preserve">from </w:t>
      </w:r>
      <w:r w:rsidR="007E593B" w:rsidRPr="00905522">
        <w:rPr>
          <w:i/>
        </w:rPr>
        <w:t>pucch-ConfigMulticast1/pucch-ConfigurationListMulticast1,</w:t>
      </w:r>
      <w:r w:rsidR="007E593B" w:rsidRPr="00905522">
        <w:t xml:space="preserve"> if provided; otherwise,</w:t>
      </w:r>
      <w:r w:rsidR="007E593B" w:rsidRPr="00905522">
        <w:rPr>
          <w:i/>
        </w:rPr>
        <w:t xml:space="preserve"> </w:t>
      </w:r>
      <w:r w:rsidR="007E593B" w:rsidRPr="00905522">
        <w:t>from</w:t>
      </w:r>
      <w:r w:rsidR="007E593B" w:rsidRPr="00905522">
        <w:rPr>
          <w:i/>
        </w:rPr>
        <w:t xml:space="preserve"> pucch-Config/pucch-ConfigurationList</w:t>
      </w:r>
      <w:r w:rsidRPr="0088027F">
        <w:t xml:space="preserve">, as described in clause 9.2.3. </w:t>
      </w:r>
    </w:p>
    <w:p w14:paraId="5940EC08" w14:textId="77777777" w:rsidR="00CD3867" w:rsidRPr="00CD3867" w:rsidRDefault="00CD3867" w:rsidP="00CD3867">
      <w:r w:rsidRPr="00CD3867">
        <w:t xml:space="preserve">If a UE multiplexes in a PUCCH only first HARQ-ACK information associated with multicast SPS PDSCH receptions and second HARQ-ACK information associated with multicast DCI formats and having same priority value as the first HARQ-ACK information, and the first and second HARQ-ACK information are indicated by </w:t>
      </w:r>
      <w:r w:rsidRPr="00CD3867">
        <w:rPr>
          <w:i/>
          <w:iCs/>
        </w:rPr>
        <w:t>harq-FeedbackOptionMulticast</w:t>
      </w:r>
      <w:r w:rsidRPr="00CD3867">
        <w:t xml:space="preserve"> different HARQ-ACK reporting modes, the UE determines the PUCCH resource based on:</w:t>
      </w:r>
    </w:p>
    <w:p w14:paraId="2AABE705" w14:textId="52BE6D00" w:rsidR="00CD3867" w:rsidRPr="00CD3867" w:rsidRDefault="00CD3867" w:rsidP="00CD3867">
      <w:pPr>
        <w:pStyle w:val="B1"/>
      </w:pPr>
      <w:r>
        <w:rPr>
          <w:i/>
        </w:rPr>
        <w:t>-</w:t>
      </w:r>
      <w:r>
        <w:rPr>
          <w:i/>
        </w:rPr>
        <w:tab/>
      </w:r>
      <w:r w:rsidRPr="00CD3867">
        <w:rPr>
          <w:i/>
        </w:rPr>
        <w:t>sps-PUCCH-AN-ListMulticast</w:t>
      </w:r>
      <w:r w:rsidRPr="00CD3867">
        <w:rPr>
          <w:iCs/>
        </w:rPr>
        <w:t xml:space="preserve">, or </w:t>
      </w:r>
      <w:r w:rsidRPr="00CD3867">
        <w:rPr>
          <w:i/>
        </w:rPr>
        <w:t>sps-PUCCH-AN-List</w:t>
      </w:r>
      <w:r w:rsidRPr="00CD3867">
        <w:rPr>
          <w:iCs/>
        </w:rPr>
        <w:t xml:space="preserve"> if </w:t>
      </w:r>
      <w:r w:rsidRPr="00CD3867">
        <w:rPr>
          <w:i/>
        </w:rPr>
        <w:t>sps-PUCCH-AN-ListMulticast</w:t>
      </w:r>
      <w:r w:rsidRPr="00CD3867">
        <w:rPr>
          <w:iCs/>
        </w:rPr>
        <w:t xml:space="preserve"> is not provided, if the first HARQ-ACK information is according to the </w:t>
      </w:r>
      <w:r w:rsidRPr="00CD3867">
        <w:t xml:space="preserve">first HARQ-ACK reporting mode or </w:t>
      </w:r>
    </w:p>
    <w:p w14:paraId="340636EE" w14:textId="69D980B8" w:rsidR="00AE699B" w:rsidRPr="0088027F" w:rsidRDefault="00CD3867" w:rsidP="00CD3867">
      <w:pPr>
        <w:pStyle w:val="B1"/>
      </w:pPr>
      <w:r>
        <w:t>-</w:t>
      </w:r>
      <w:r>
        <w:tab/>
      </w:r>
      <w:r w:rsidRPr="00CD3867">
        <w:t>the last multicast DCI format, as described in clause 9.2.3, if the second</w:t>
      </w:r>
      <w:r w:rsidRPr="00CD3867">
        <w:rPr>
          <w:iCs/>
        </w:rPr>
        <w:t xml:space="preserve"> HARQ-ACK information is according to the </w:t>
      </w:r>
      <w:r w:rsidRPr="00CD3867">
        <w:t xml:space="preserve">first HARQ-ACK reporting mode. </w:t>
      </w:r>
    </w:p>
    <w:p w14:paraId="1D271FFE" w14:textId="77777777" w:rsidR="00392DED" w:rsidRDefault="00AE699B" w:rsidP="00AE699B">
      <w:r w:rsidRPr="0088027F">
        <w:t xml:space="preserve">If a UE multiplexes in a PUCCH first HARQ-ACK information associated with unicast SPS PDSCH receptions and second HARQ-ACK information associated with multicast DCI formats and having same priority value as the first HARQ-ACK information in a same PUCCH, the UE determines the PUCCH resource from </w:t>
      </w:r>
    </w:p>
    <w:p w14:paraId="2A415E1F" w14:textId="016398A4" w:rsidR="00392DED" w:rsidRDefault="00392DED" w:rsidP="00392DED">
      <w:pPr>
        <w:pStyle w:val="B1"/>
      </w:pPr>
      <w:r>
        <w:rPr>
          <w:rFonts w:eastAsia="Gulim"/>
        </w:rPr>
        <w:t>-</w:t>
      </w:r>
      <w:r>
        <w:rPr>
          <w:rFonts w:eastAsia="Gulim"/>
        </w:rPr>
        <w:tab/>
      </w:r>
      <w:r w:rsidRPr="00392DED">
        <w:rPr>
          <w:rFonts w:eastAsia="Gulim"/>
        </w:rPr>
        <w:t xml:space="preserve">if provided, </w:t>
      </w:r>
      <w:r w:rsidR="00AE699B" w:rsidRPr="0088027F">
        <w:rPr>
          <w:rFonts w:eastAsia="Gulim"/>
          <w:i/>
          <w:iCs/>
        </w:rPr>
        <w:t>SPS-PUCCH-AN-List</w:t>
      </w:r>
      <w:r w:rsidR="00AE699B" w:rsidRPr="0088027F">
        <w:t xml:space="preserve"> for unicast SPS PDSCH receptions as described in clause 9.2.1</w:t>
      </w:r>
      <w:r>
        <w:t>;</w:t>
      </w:r>
    </w:p>
    <w:p w14:paraId="1387A183" w14:textId="040D18FA" w:rsidR="00392DED" w:rsidRPr="00392DED" w:rsidRDefault="00392DED" w:rsidP="00392DED">
      <w:pPr>
        <w:pStyle w:val="B1"/>
        <w:rPr>
          <w:lang w:eastAsia="fr-FR"/>
        </w:rPr>
      </w:pPr>
      <w:r>
        <w:rPr>
          <w:lang w:eastAsia="fr-FR"/>
        </w:rPr>
        <w:t>-</w:t>
      </w:r>
      <w:r>
        <w:rPr>
          <w:lang w:eastAsia="fr-FR"/>
        </w:rPr>
        <w:tab/>
      </w:r>
      <w:r w:rsidRPr="00392DED">
        <w:rPr>
          <w:lang w:eastAsia="fr-FR"/>
        </w:rPr>
        <w:t xml:space="preserve">else, if provided, </w:t>
      </w:r>
      <w:r w:rsidRPr="00392DED">
        <w:rPr>
          <w:i/>
          <w:iCs/>
          <w:lang w:val="en-US" w:eastAsia="fr-FR"/>
        </w:rPr>
        <w:t>PUCCH-Config/PUCCH-ConfigurationList</w:t>
      </w:r>
      <w:r w:rsidRPr="00392DED">
        <w:rPr>
          <w:lang w:val="en-US" w:eastAsia="fr-FR"/>
        </w:rPr>
        <w:t xml:space="preserve"> for multicast PDSCH receptions;</w:t>
      </w:r>
    </w:p>
    <w:p w14:paraId="6D762705" w14:textId="2CCD0EF8" w:rsidR="00AE699B" w:rsidRPr="0088027F" w:rsidRDefault="00392DED" w:rsidP="00392DED">
      <w:pPr>
        <w:pStyle w:val="B1"/>
        <w:rPr>
          <w:lang w:eastAsia="fr-FR"/>
        </w:rPr>
      </w:pPr>
      <w:r>
        <w:rPr>
          <w:lang w:eastAsia="fr-FR"/>
        </w:rPr>
        <w:t>-</w:t>
      </w:r>
      <w:r>
        <w:rPr>
          <w:lang w:eastAsia="fr-FR"/>
        </w:rPr>
        <w:tab/>
      </w:r>
      <w:r w:rsidRPr="00392DED">
        <w:rPr>
          <w:lang w:eastAsia="fr-FR"/>
        </w:rPr>
        <w:t xml:space="preserve">else, </w:t>
      </w:r>
      <w:r w:rsidRPr="00392DED">
        <w:rPr>
          <w:i/>
          <w:iCs/>
          <w:lang w:val="en-US" w:eastAsia="fr-FR"/>
        </w:rPr>
        <w:t>PUCCH-Config/PUCCH-ConfigurationList</w:t>
      </w:r>
      <w:r w:rsidRPr="00392DED">
        <w:rPr>
          <w:lang w:val="en-US" w:eastAsia="fr-FR"/>
        </w:rPr>
        <w:t xml:space="preserve"> for</w:t>
      </w:r>
      <w:r w:rsidRPr="00392DED">
        <w:rPr>
          <w:lang w:val="en-US"/>
        </w:rPr>
        <w:t xml:space="preserve"> </w:t>
      </w:r>
      <w:r w:rsidRPr="00392DED">
        <w:rPr>
          <w:lang w:val="en-US" w:eastAsia="fr-FR"/>
        </w:rPr>
        <w:t>unicast PDSCH receptions</w:t>
      </w:r>
      <w:r w:rsidR="00AE699B" w:rsidRPr="0088027F">
        <w:t xml:space="preserve">. </w:t>
      </w:r>
    </w:p>
    <w:p w14:paraId="262AA9A3" w14:textId="77777777" w:rsidR="00BC0321" w:rsidRPr="00BC0321" w:rsidRDefault="00AE699B" w:rsidP="00392DED">
      <w:r w:rsidRPr="0088027F">
        <w:t xml:space="preserve">If a UE multiplexes in a PUCCH first HARQ-ACK information associated with unicast SPS PDSCH receptions and second HARQ-ACK information associated with multicast SPS PDSCH receptions and having same priority value as the first HARQ-ACK information in a same PUCCH, the UE determines the PUCCH resource from </w:t>
      </w:r>
      <w:r w:rsidRPr="0088027F">
        <w:rPr>
          <w:rFonts w:eastAsia="Gulim"/>
          <w:i/>
          <w:iCs/>
        </w:rPr>
        <w:t>SPS-PUCCH-AN-List</w:t>
      </w:r>
      <w:r w:rsidRPr="0088027F">
        <w:t xml:space="preserve"> for unicast SPS PDSCH receptions as described in clause 9.2.1. </w:t>
      </w:r>
    </w:p>
    <w:p w14:paraId="68C3CD7F" w14:textId="4DBA9C05" w:rsidR="00AE699B" w:rsidRPr="0088027F" w:rsidRDefault="00BC0321" w:rsidP="00BC0321">
      <w:r w:rsidRPr="00BC0321">
        <w:lastRenderedPageBreak/>
        <w:t xml:space="preserve">If a UE multiplexes in a PUCCH only HARQ-ACK information associated with multicast SPS PDSCHs receptions of same priority that is according to the first HARQ-ACK reporting mode and is not provided </w:t>
      </w:r>
      <w:r w:rsidRPr="00BC0321">
        <w:rPr>
          <w:i/>
        </w:rPr>
        <w:t>sps-PUCCH-AN-ListMulticast</w:t>
      </w:r>
      <w:r w:rsidRPr="00BC0321">
        <w:t xml:space="preserve">, the UE determines the PUCCH resource from the </w:t>
      </w:r>
      <w:r w:rsidRPr="00BC0321">
        <w:rPr>
          <w:i/>
          <w:iCs/>
        </w:rPr>
        <w:t>sps-PUCCH-AN-List</w:t>
      </w:r>
      <w:r w:rsidRPr="00BC0321">
        <w:t xml:space="preserve"> provided for unicast SPS PDSCH reception as described in clause 9.2.1</w:t>
      </w:r>
      <w:r w:rsidRPr="00BC0321">
        <w:rPr>
          <w:i/>
        </w:rPr>
        <w:t>.</w:t>
      </w:r>
    </w:p>
    <w:p w14:paraId="12A36C84" w14:textId="7ABB80BA" w:rsidR="00EE655A" w:rsidRDefault="00EE655A" w:rsidP="00EE655A">
      <w:r w:rsidRPr="00B06CC2">
        <w:t xml:space="preserve">If </w:t>
      </w:r>
      <w:r>
        <w:t>a</w:t>
      </w:r>
      <w:r w:rsidRPr="00B06CC2">
        <w:t xml:space="preserve"> UE multiplexes </w:t>
      </w:r>
      <w:r>
        <w:t xml:space="preserve">in a PUCCH multicast </w:t>
      </w:r>
      <w:r w:rsidRPr="00B06CC2">
        <w:t xml:space="preserve">HARQ-ACK information </w:t>
      </w:r>
      <w:r w:rsidR="00B9307B">
        <w:t xml:space="preserve">only </w:t>
      </w:r>
      <w:r>
        <w:t>according to</w:t>
      </w:r>
      <w:r w:rsidRPr="00D33D6C">
        <w:t xml:space="preserve"> </w:t>
      </w:r>
      <w:r>
        <w:t xml:space="preserve">second </w:t>
      </w:r>
      <w:r w:rsidRPr="00D33D6C">
        <w:t>HARQ-ACK reporting mode</w:t>
      </w:r>
      <w:r>
        <w:t>s and CSI reports</w:t>
      </w:r>
      <w:r w:rsidR="00466CED" w:rsidRPr="009846AB">
        <w:rPr>
          <w:rFonts w:hint="eastAsia"/>
          <w:lang w:eastAsia="zh-CN"/>
        </w:rPr>
        <w:t xml:space="preserve"> </w:t>
      </w:r>
      <w:r w:rsidR="00466CED">
        <w:rPr>
          <w:rFonts w:hint="eastAsia"/>
          <w:lang w:eastAsia="zh-CN"/>
        </w:rPr>
        <w:t>and</w:t>
      </w:r>
      <w:r w:rsidR="00466CED">
        <w:rPr>
          <w:lang w:eastAsia="zh-CN"/>
        </w:rPr>
        <w:t>, if any,</w:t>
      </w:r>
      <w:r w:rsidR="00466CED">
        <w:t xml:space="preserve"> SR</w:t>
      </w:r>
      <w:r w:rsidRPr="00D33D6C">
        <w:t xml:space="preserve">, the UE </w:t>
      </w:r>
      <w:r>
        <w:t xml:space="preserve">determines a PUCCH resource </w:t>
      </w:r>
      <w:r w:rsidRPr="00D33D6C">
        <w:t xml:space="preserve">as described in clause 9.2.5.2 for </w:t>
      </w:r>
      <w:r>
        <w:t xml:space="preserve">multiplexing CSI reports with </w:t>
      </w:r>
      <w:r w:rsidRPr="00D33D6C">
        <w:t>HARQ-ACK information that is in response to PDSCH reception</w:t>
      </w:r>
      <w:r>
        <w:t>s</w:t>
      </w:r>
      <w:r w:rsidRPr="00D33D6C">
        <w:t xml:space="preserve"> without corresponding PDCCH</w:t>
      </w:r>
      <w:r>
        <w:t>s</w:t>
      </w:r>
      <w:r w:rsidRPr="00D33D6C">
        <w:t>.</w:t>
      </w:r>
    </w:p>
    <w:p w14:paraId="78746113" w14:textId="26B709AD" w:rsidR="00AE699B" w:rsidRDefault="00AE699B" w:rsidP="0068506D">
      <w:r w:rsidRPr="0088027F">
        <w:t xml:space="preserve">A UE is not required to multiplex in a PUCCH multicast HARQ-ACK information of a priority and unicast UCI of the priority if the UE is provided </w:t>
      </w:r>
      <w:r w:rsidRPr="0088027F">
        <w:rPr>
          <w:i/>
          <w:iCs/>
        </w:rPr>
        <w:t>subslotLengthForPUCCH</w:t>
      </w:r>
      <w:r w:rsidRPr="0088027F">
        <w:t xml:space="preserve"> for PUCCH transmissions with unicast UCI of the priority.</w:t>
      </w:r>
    </w:p>
    <w:p w14:paraId="225C059C" w14:textId="5D9D207E" w:rsidR="001A7FE0" w:rsidRPr="00412D67" w:rsidRDefault="001A7FE0" w:rsidP="001A7FE0">
      <w:pPr>
        <w:pStyle w:val="Heading1"/>
      </w:pPr>
      <w:bookmarkStart w:id="962" w:name="_Toc161999197"/>
      <w:r w:rsidRPr="00412D67">
        <w:t>19</w:t>
      </w:r>
      <w:r w:rsidRPr="00412D67">
        <w:rPr>
          <w:rFonts w:hint="eastAsia"/>
        </w:rPr>
        <w:tab/>
      </w:r>
      <w:r w:rsidRPr="00412D67">
        <w:t>PUSCH transmission in RRC</w:t>
      </w:r>
      <w:r>
        <w:t>_</w:t>
      </w:r>
      <w:r w:rsidR="00DF3985">
        <w:t xml:space="preserve">INACTIVE </w:t>
      </w:r>
      <w:r>
        <w:t>state</w:t>
      </w:r>
      <w:bookmarkEnd w:id="962"/>
      <w:r w:rsidRPr="00412D67">
        <w:t xml:space="preserve"> </w:t>
      </w:r>
    </w:p>
    <w:p w14:paraId="3F4FE3CD" w14:textId="77777777" w:rsidR="001A7FE0" w:rsidRPr="00B916EC" w:rsidRDefault="001A7FE0" w:rsidP="001A7FE0">
      <w:pPr>
        <w:pStyle w:val="Heading2"/>
      </w:pPr>
      <w:bookmarkStart w:id="963" w:name="_Toc83289645"/>
      <w:bookmarkStart w:id="964" w:name="_Toc161999198"/>
      <w:r>
        <w:t>19.1</w:t>
      </w:r>
      <w:r>
        <w:tab/>
        <w:t>Configured-grant based PUSCH transmission</w:t>
      </w:r>
      <w:bookmarkEnd w:id="963"/>
      <w:bookmarkEnd w:id="964"/>
    </w:p>
    <w:p w14:paraId="76E2F6CD" w14:textId="77777777" w:rsidR="001A7FE0" w:rsidRDefault="001A7FE0" w:rsidP="001A7FE0">
      <w:pPr>
        <w:rPr>
          <w:rFonts w:cs="Arial"/>
          <w:color w:val="000000"/>
          <w:szCs w:val="32"/>
          <w:lang w:eastAsia="zh-CN"/>
        </w:rPr>
      </w:pPr>
      <w:r>
        <w:rPr>
          <w:iCs/>
        </w:rPr>
        <w:t>A</w:t>
      </w:r>
      <w:r w:rsidRPr="00E31762">
        <w:rPr>
          <w:iCs/>
        </w:rPr>
        <w:t xml:space="preserve"> UE indicated to release a dedicated RRC connection</w:t>
      </w:r>
      <w:r>
        <w:rPr>
          <w:iCs/>
        </w:rPr>
        <w:t xml:space="preserve"> </w:t>
      </w:r>
      <w:r w:rsidRPr="00E31762">
        <w:t>can be provided one or more configurations</w:t>
      </w:r>
      <w:r>
        <w:t xml:space="preserve"> by respective one or more </w:t>
      </w:r>
      <w:r w:rsidRPr="00692B06">
        <w:rPr>
          <w:i/>
        </w:rPr>
        <w:t>ConfiguredGrantConfig</w:t>
      </w:r>
      <w:r>
        <w:t xml:space="preserve">, </w:t>
      </w:r>
      <w:r w:rsidRPr="00E31762">
        <w:t xml:space="preserve">for </w:t>
      </w:r>
      <w:r w:rsidRPr="00E31762">
        <w:rPr>
          <w:rFonts w:cs="Arial"/>
          <w:color w:val="000000"/>
          <w:szCs w:val="32"/>
          <w:lang w:eastAsia="zh-CN"/>
        </w:rPr>
        <w:t xml:space="preserve">configured grant Type 1 PUSCH transmissions </w:t>
      </w:r>
      <w:r>
        <w:rPr>
          <w:rFonts w:cs="Arial"/>
          <w:color w:val="000000"/>
          <w:szCs w:val="32"/>
          <w:lang w:eastAsia="zh-CN"/>
        </w:rPr>
        <w:t xml:space="preserve">on the initial UL BWP </w:t>
      </w:r>
      <w:r w:rsidRPr="00E31762">
        <w:rPr>
          <w:rFonts w:cs="Arial"/>
          <w:color w:val="000000"/>
          <w:szCs w:val="32"/>
          <w:lang w:eastAsia="zh-CN"/>
        </w:rPr>
        <w:t xml:space="preserve">[12, TS 38.331]. For the remaining </w:t>
      </w:r>
      <w:r>
        <w:rPr>
          <w:rFonts w:cs="Arial"/>
          <w:color w:val="000000"/>
          <w:szCs w:val="32"/>
          <w:lang w:eastAsia="zh-CN"/>
        </w:rPr>
        <w:t xml:space="preserve">of </w:t>
      </w:r>
      <w:r w:rsidRPr="00E31762">
        <w:rPr>
          <w:rFonts w:cs="Arial"/>
          <w:color w:val="000000"/>
          <w:szCs w:val="32"/>
          <w:lang w:eastAsia="zh-CN"/>
        </w:rPr>
        <w:t>this clause, PUSCH transmissions refer to configured grant Type-1 PUSCH transmissions</w:t>
      </w:r>
      <w:r>
        <w:rPr>
          <w:rFonts w:cs="Arial"/>
          <w:color w:val="000000"/>
          <w:szCs w:val="32"/>
          <w:lang w:eastAsia="zh-CN"/>
        </w:rPr>
        <w:t xml:space="preserve"> for a configuration provided by </w:t>
      </w:r>
      <w:r w:rsidRPr="00692B06">
        <w:rPr>
          <w:i/>
        </w:rPr>
        <w:t>ConfiguredGrantConfig</w:t>
      </w:r>
      <w:r w:rsidRPr="00E31762">
        <w:rPr>
          <w:rFonts w:cs="Arial"/>
          <w:color w:val="000000"/>
          <w:szCs w:val="32"/>
          <w:lang w:eastAsia="zh-CN"/>
        </w:rPr>
        <w:t xml:space="preserve">. </w:t>
      </w:r>
    </w:p>
    <w:p w14:paraId="7C2313AD" w14:textId="2AA7C1E6" w:rsidR="001A7FE0" w:rsidRPr="00794F70" w:rsidRDefault="001A7FE0" w:rsidP="001A7FE0">
      <w:pPr>
        <w:rPr>
          <w:lang w:val="en-US"/>
        </w:rPr>
      </w:pPr>
      <w:r>
        <w:rPr>
          <w:rFonts w:cs="Arial"/>
          <w:color w:val="000000"/>
          <w:szCs w:val="32"/>
          <w:lang w:eastAsia="zh-CN"/>
        </w:rPr>
        <w:t>A</w:t>
      </w:r>
      <w:r w:rsidRPr="00E31762">
        <w:rPr>
          <w:rFonts w:cs="Arial"/>
          <w:color w:val="000000"/>
          <w:szCs w:val="32"/>
          <w:lang w:eastAsia="zh-CN"/>
        </w:rPr>
        <w:t xml:space="preserve"> UE can be provided </w:t>
      </w:r>
      <w:r w:rsidRPr="00C82AFA">
        <w:t xml:space="preserve">by </w:t>
      </w:r>
      <w:r w:rsidRPr="00C82AFA">
        <w:rPr>
          <w:i/>
          <w:iCs/>
        </w:rPr>
        <w:t>sdt-SSB-Subset</w:t>
      </w:r>
      <w:r w:rsidRPr="00C82AFA">
        <w:rPr>
          <w:rFonts w:cs="Arial"/>
          <w:szCs w:val="32"/>
          <w:lang w:eastAsia="zh-CN"/>
        </w:rPr>
        <w:t xml:space="preserve"> a </w:t>
      </w:r>
      <w:r w:rsidRPr="00C82AFA">
        <w:t xml:space="preserve">number </w:t>
      </w:r>
      <w:r w:rsidRPr="00E31762">
        <w:t>of SS/PBCH block</w:t>
      </w:r>
      <w:r>
        <w:t xml:space="preserve"> indexes</w:t>
      </w:r>
      <w:r w:rsidRPr="00E31762">
        <w:t xml:space="preserv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PUSCH</m:t>
            </m:r>
          </m:sub>
          <m:sup>
            <m:r>
              <m:rPr>
                <m:sty m:val="p"/>
              </m:rPr>
              <w:rPr>
                <w:rFonts w:ascii="Cambria Math" w:hAnsi="Cambria Math"/>
              </w:rPr>
              <m:t>SS/PBCH</m:t>
            </m:r>
          </m:sup>
        </m:sSubSup>
      </m:oMath>
      <w:r>
        <w:t xml:space="preserve"> to</w:t>
      </w:r>
      <w:r w:rsidRPr="00E31762">
        <w:t xml:space="preserve"> map to a number of </w:t>
      </w:r>
      <w:r>
        <w:t xml:space="preserve">valid </w:t>
      </w:r>
      <w:r w:rsidRPr="00E31762">
        <w:t xml:space="preserve">PUSCH occasions for PUSCH transmissions </w:t>
      </w:r>
      <w:r w:rsidRPr="00E31762">
        <w:rPr>
          <w:rFonts w:cs="Arial"/>
          <w:color w:val="000000"/>
          <w:szCs w:val="32"/>
          <w:lang w:eastAsia="zh-CN"/>
        </w:rPr>
        <w:t xml:space="preserve">over an association period. </w:t>
      </w:r>
      <w:r w:rsidRPr="0099154B">
        <w:rPr>
          <w:rFonts w:cs="Arial"/>
          <w:color w:val="000000"/>
          <w:szCs w:val="32"/>
          <w:lang w:eastAsia="zh-CN"/>
        </w:rPr>
        <w:t xml:space="preserve">If the UE is not provided </w:t>
      </w:r>
      <w:r w:rsidRPr="00C82AFA">
        <w:rPr>
          <w:i/>
          <w:iCs/>
        </w:rPr>
        <w:t>sdt-SSB-Subset</w:t>
      </w:r>
      <w:r w:rsidRPr="0099154B">
        <w:rPr>
          <w:rFonts w:cs="Arial"/>
        </w:rPr>
        <w:t xml:space="preserve">, the UE determines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PUSCH</m:t>
            </m:r>
          </m:sub>
          <m:sup>
            <m:r>
              <m:rPr>
                <m:sty m:val="p"/>
              </m:rPr>
              <w:rPr>
                <w:rFonts w:ascii="Cambria Math" w:hAnsi="Cambria Math"/>
              </w:rPr>
              <m:t>SS/PBCH</m:t>
            </m:r>
          </m:sup>
        </m:sSubSup>
      </m:oMath>
      <w:r w:rsidRPr="0099154B">
        <w:rPr>
          <w:rFonts w:cs="Arial"/>
        </w:rPr>
        <w:t xml:space="preserve"> from </w:t>
      </w:r>
      <w:r w:rsidRPr="0099154B">
        <w:t xml:space="preserve">the value of </w:t>
      </w:r>
      <w:r w:rsidRPr="0099154B">
        <w:rPr>
          <w:i/>
        </w:rPr>
        <w:t>ssb-PositionsInBurst</w:t>
      </w:r>
      <w:r w:rsidRPr="0099154B">
        <w:t xml:space="preserve"> </w:t>
      </w:r>
      <w:r w:rsidRPr="0099154B">
        <w:rPr>
          <w:lang w:val="en-US"/>
        </w:rPr>
        <w:t xml:space="preserve">in </w:t>
      </w:r>
      <w:r w:rsidRPr="0099154B">
        <w:rPr>
          <w:i/>
        </w:rPr>
        <w:t>S</w:t>
      </w:r>
      <w:r w:rsidRPr="0099154B">
        <w:rPr>
          <w:rFonts w:hint="eastAsia"/>
          <w:i/>
          <w:lang w:eastAsia="zh-CN"/>
        </w:rPr>
        <w:t>IB</w:t>
      </w:r>
      <w:r w:rsidRPr="0099154B">
        <w:rPr>
          <w:i/>
        </w:rPr>
        <w:t>1</w:t>
      </w:r>
      <w:r w:rsidRPr="0099154B">
        <w:rPr>
          <w:iCs/>
        </w:rPr>
        <w:t>.</w:t>
      </w:r>
      <w:r>
        <w:rPr>
          <w:iCs/>
        </w:rPr>
        <w:t xml:space="preserve"> </w:t>
      </w:r>
      <w:r w:rsidRPr="00E31762">
        <w:rPr>
          <w:lang w:val="en-US"/>
        </w:rPr>
        <w:t xml:space="preserve">A PUSCH occasion for a PUSCH transmission is defined by a time resource </w:t>
      </w:r>
      <w:r>
        <w:rPr>
          <w:lang w:val="en-US"/>
        </w:rPr>
        <w:t>and a frequency resource and is</w:t>
      </w:r>
      <w:r w:rsidRPr="00E31762">
        <w:rPr>
          <w:lang w:val="en-US"/>
        </w:rPr>
        <w:t xml:space="preserve"> associated with a DM</w:t>
      </w:r>
      <w:r>
        <w:rPr>
          <w:lang w:val="en-US"/>
        </w:rPr>
        <w:t>-</w:t>
      </w:r>
      <w:r w:rsidRPr="00E31762">
        <w:rPr>
          <w:lang w:val="en-US"/>
        </w:rPr>
        <w:t xml:space="preserve">RS </w:t>
      </w:r>
      <w:r>
        <w:rPr>
          <w:lang w:val="en-US"/>
        </w:rPr>
        <w:t xml:space="preserve">provided by </w:t>
      </w:r>
      <w:r w:rsidRPr="009F26AA">
        <w:rPr>
          <w:i/>
          <w:iCs/>
          <w:lang w:val="en-US"/>
        </w:rPr>
        <w:t>cg-DMRS-Configuration</w:t>
      </w:r>
      <w:r>
        <w:rPr>
          <w:lang w:val="en-US"/>
        </w:rPr>
        <w:t xml:space="preserve"> for the configuration of </w:t>
      </w:r>
      <w:r w:rsidRPr="00E31762">
        <w:t>PUSCH transmissions</w:t>
      </w:r>
      <w:r w:rsidRPr="00E31762">
        <w:rPr>
          <w:lang w:val="en-US"/>
        </w:rPr>
        <w:t>.</w:t>
      </w:r>
      <w:r w:rsidR="0006598A">
        <w:rPr>
          <w:lang w:val="en-US"/>
        </w:rPr>
        <w:t xml:space="preserve"> </w:t>
      </w:r>
      <w:r w:rsidR="0006598A">
        <w:rPr>
          <w:iCs/>
        </w:rPr>
        <w:t>A UE can be provided a number of repetitions for a PUSCH transmission by</w:t>
      </w:r>
      <w:r w:rsidR="0006598A">
        <w:rPr>
          <w:i/>
        </w:rPr>
        <w:t xml:space="preserve"> repK </w:t>
      </w:r>
      <w:r w:rsidR="0006598A">
        <w:rPr>
          <w:iCs/>
        </w:rPr>
        <w:t>or</w:t>
      </w:r>
      <w:r w:rsidR="0006598A">
        <w:rPr>
          <w:i/>
        </w:rPr>
        <w:t xml:space="preserve"> numberOfRepetitions</w:t>
      </w:r>
      <w:r w:rsidR="0006598A">
        <w:rPr>
          <w:iCs/>
        </w:rPr>
        <w:t>. If the number of repetition</w:t>
      </w:r>
      <w:r w:rsidR="0006598A">
        <w:rPr>
          <w:rFonts w:hint="eastAsia"/>
          <w:iCs/>
          <w:lang w:eastAsia="zh-CN"/>
        </w:rPr>
        <w:t>s</w:t>
      </w:r>
      <w:r w:rsidR="0006598A">
        <w:rPr>
          <w:iCs/>
        </w:rPr>
        <w:t xml:space="preserve"> is </w:t>
      </w:r>
      <w:r w:rsidR="0006598A">
        <w:rPr>
          <w:rFonts w:hint="eastAsia"/>
          <w:iCs/>
          <w:lang w:eastAsia="zh-CN"/>
        </w:rPr>
        <w:t>provided</w:t>
      </w:r>
      <w:r w:rsidR="0006598A">
        <w:rPr>
          <w:iCs/>
        </w:rPr>
        <w:t xml:space="preserve"> and larger than 1, </w:t>
      </w:r>
      <w:r w:rsidR="0006598A">
        <w:rPr>
          <w:rFonts w:hint="eastAsia"/>
          <w:iCs/>
          <w:lang w:eastAsia="zh-CN"/>
        </w:rPr>
        <w:t>all t</w:t>
      </w:r>
      <w:r w:rsidR="0006598A">
        <w:rPr>
          <w:iCs/>
        </w:rPr>
        <w:t>he PUSCH occasion</w:t>
      </w:r>
      <w:r w:rsidR="0006598A">
        <w:rPr>
          <w:rFonts w:hint="eastAsia"/>
          <w:iCs/>
          <w:lang w:eastAsia="zh-CN"/>
        </w:rPr>
        <w:t xml:space="preserve">s of </w:t>
      </w:r>
      <w:r w:rsidR="0006598A">
        <w:rPr>
          <w:iCs/>
        </w:rPr>
        <w:t xml:space="preserve">the repetitions for the PUSCH transmission are </w:t>
      </w:r>
      <w:r w:rsidR="0006598A">
        <w:rPr>
          <w:rFonts w:hint="eastAsia"/>
          <w:iCs/>
          <w:lang w:eastAsia="zh-CN"/>
        </w:rPr>
        <w:t xml:space="preserve">mapped to the same </w:t>
      </w:r>
      <w:r w:rsidR="0006598A">
        <w:t>SS/PBCH block index</w:t>
      </w:r>
      <w:r w:rsidR="0006598A">
        <w:rPr>
          <w:rFonts w:hint="eastAsia"/>
          <w:lang w:eastAsia="zh-CN"/>
        </w:rPr>
        <w:t>(</w:t>
      </w:r>
      <w:r w:rsidR="0006598A">
        <w:t>es</w:t>
      </w:r>
      <w:r w:rsidR="0006598A">
        <w:rPr>
          <w:rFonts w:hint="eastAsia"/>
          <w:lang w:eastAsia="zh-CN"/>
        </w:rPr>
        <w:t>)</w:t>
      </w:r>
      <w:r w:rsidR="0006598A">
        <w:rPr>
          <w:iCs/>
        </w:rPr>
        <w:t xml:space="preserve">. </w:t>
      </w:r>
      <w:r w:rsidR="0006598A">
        <w:rPr>
          <w:rFonts w:hint="eastAsia"/>
          <w:iCs/>
          <w:lang w:eastAsia="zh-CN"/>
        </w:rPr>
        <w:t>All t</w:t>
      </w:r>
      <w:r w:rsidR="0006598A">
        <w:rPr>
          <w:iCs/>
        </w:rPr>
        <w:t>he PUSCH occasion</w:t>
      </w:r>
      <w:r w:rsidR="0006598A">
        <w:rPr>
          <w:rFonts w:hint="eastAsia"/>
          <w:iCs/>
          <w:lang w:eastAsia="zh-CN"/>
        </w:rPr>
        <w:t xml:space="preserve">s of </w:t>
      </w:r>
      <w:r w:rsidR="0006598A">
        <w:rPr>
          <w:iCs/>
        </w:rPr>
        <w:t>the repetitions</w:t>
      </w:r>
      <w:r w:rsidR="0006598A">
        <w:rPr>
          <w:rFonts w:hint="eastAsia"/>
          <w:iCs/>
          <w:lang w:eastAsia="zh-CN"/>
        </w:rPr>
        <w:t xml:space="preserve"> are</w:t>
      </w:r>
      <w:r w:rsidR="0006598A">
        <w:rPr>
          <w:iCs/>
        </w:rPr>
        <w:t xml:space="preserve"> </w:t>
      </w:r>
      <w:r w:rsidR="0006598A">
        <w:rPr>
          <w:rFonts w:hint="eastAsia"/>
          <w:iCs/>
          <w:lang w:eastAsia="zh-CN"/>
        </w:rPr>
        <w:t xml:space="preserve">not </w:t>
      </w:r>
      <w:r w:rsidR="0006598A">
        <w:rPr>
          <w:iCs/>
        </w:rPr>
        <w:t>valid if any</w:t>
      </w:r>
      <w:r w:rsidR="0006598A">
        <w:rPr>
          <w:rFonts w:hint="eastAsia"/>
          <w:iCs/>
          <w:lang w:eastAsia="zh-CN"/>
        </w:rPr>
        <w:t xml:space="preserve"> PUSCH occasion of the</w:t>
      </w:r>
      <w:r w:rsidR="0006598A">
        <w:rPr>
          <w:iCs/>
        </w:rPr>
        <w:t xml:space="preserve"> repetition</w:t>
      </w:r>
      <w:r w:rsidR="0006598A">
        <w:rPr>
          <w:rFonts w:hint="eastAsia"/>
          <w:iCs/>
          <w:lang w:eastAsia="zh-CN"/>
        </w:rPr>
        <w:t>s</w:t>
      </w:r>
      <w:r w:rsidR="0006598A">
        <w:rPr>
          <w:iCs/>
        </w:rPr>
        <w:t xml:space="preserve"> is </w:t>
      </w:r>
      <w:r w:rsidR="0006598A">
        <w:rPr>
          <w:rFonts w:hint="eastAsia"/>
          <w:iCs/>
          <w:lang w:eastAsia="zh-CN"/>
        </w:rPr>
        <w:t xml:space="preserve">not </w:t>
      </w:r>
      <w:r w:rsidR="0006598A">
        <w:rPr>
          <w:iCs/>
        </w:rPr>
        <w:t>valid.</w:t>
      </w:r>
      <w:r w:rsidR="0006598A">
        <w:rPr>
          <w:rFonts w:hint="eastAsia"/>
          <w:iCs/>
          <w:lang w:eastAsia="zh-CN"/>
        </w:rPr>
        <w:t xml:space="preserve"> </w:t>
      </w:r>
    </w:p>
    <w:p w14:paraId="68B6C1C4" w14:textId="075A5453" w:rsidR="001A7FE0" w:rsidRPr="00385759" w:rsidRDefault="001A7FE0" w:rsidP="001A7FE0">
      <w:r w:rsidRPr="00385759">
        <w:t xml:space="preserve">An association period, starting from frame </w:t>
      </w:r>
      <w:r w:rsidR="00794837" w:rsidRPr="00385759">
        <w:t>with SFN 0</w:t>
      </w:r>
      <w:r w:rsidR="00BF2BB3">
        <w:t xml:space="preserve"> </w:t>
      </w:r>
      <w:r w:rsidR="00BF2BB3" w:rsidRPr="00B81FDF">
        <w:rPr>
          <w:lang w:val="en-US" w:eastAsia="zh-CN"/>
        </w:rPr>
        <w:t>and hyper frame with hyper SFN 0</w:t>
      </w:r>
      <w:r w:rsidRPr="00385759">
        <w:t xml:space="preserve">, for mapping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PUSCH</m:t>
            </m:r>
          </m:sub>
          <m:sup>
            <m:r>
              <m:rPr>
                <m:sty m:val="p"/>
              </m:rPr>
              <w:rPr>
                <w:rFonts w:ascii="Cambria Math" w:hAnsi="Cambria Math"/>
              </w:rPr>
              <m:t>SS/PBCH</m:t>
            </m:r>
          </m:sup>
        </m:sSubSup>
      </m:oMath>
      <w:r w:rsidRPr="00385759">
        <w:t xml:space="preserve"> SS/PBCH block indexes, from the number of SS/PBCH block indexes, to valid PUSCH occasions and associated DM-RS resources is the smallest value in the set </w:t>
      </w:r>
      <w:r w:rsidRPr="00385759">
        <w:rPr>
          <w:lang w:eastAsia="zh-CN"/>
        </w:rPr>
        <w:t xml:space="preserve">determined by the PUSCH configuration period </w:t>
      </w:r>
      <w:r w:rsidR="00794837" w:rsidRPr="00385759">
        <w:rPr>
          <w:lang w:eastAsia="zh-CN"/>
        </w:rPr>
        <w:t xml:space="preserve">provided by </w:t>
      </w:r>
      <w:r w:rsidR="00794837" w:rsidRPr="00385759">
        <w:rPr>
          <w:i/>
          <w:iCs/>
          <w:lang w:eastAsia="zh-CN"/>
        </w:rPr>
        <w:t>periodicity</w:t>
      </w:r>
      <w:r w:rsidR="00794837" w:rsidRPr="00385759">
        <w:rPr>
          <w:lang w:eastAsia="zh-CN"/>
        </w:rPr>
        <w:t xml:space="preserve"> in </w:t>
      </w:r>
      <w:r w:rsidR="00794837" w:rsidRPr="00385759">
        <w:rPr>
          <w:i/>
          <w:iCs/>
          <w:lang w:eastAsia="zh-CN"/>
        </w:rPr>
        <w:t xml:space="preserve">ConfiguredGrantConfig </w:t>
      </w:r>
      <w:r w:rsidR="00794837" w:rsidRPr="00385759">
        <w:rPr>
          <w:lang w:eastAsia="zh-CN"/>
        </w:rPr>
        <w:t>according to Table</w:t>
      </w:r>
      <w:r w:rsidR="00794837" w:rsidRPr="00385759" w:rsidDel="00864605">
        <w:t xml:space="preserve"> </w:t>
      </w:r>
      <w:r w:rsidR="00794837" w:rsidRPr="00385759">
        <w:t xml:space="preserve">19.1-1 </w:t>
      </w:r>
      <w:r w:rsidRPr="00385759">
        <w:t xml:space="preserve">such that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PUSCH</m:t>
            </m:r>
          </m:sub>
          <m:sup>
            <m:r>
              <m:rPr>
                <m:sty m:val="p"/>
              </m:rPr>
              <w:rPr>
                <w:rFonts w:ascii="Cambria Math" w:hAnsi="Cambria Math"/>
              </w:rPr>
              <m:t>SS/PBCH</m:t>
            </m:r>
          </m:sup>
        </m:sSubSup>
      </m:oMath>
      <w:r w:rsidRPr="00385759">
        <w:t xml:space="preserve"> SS/PBCH block indexes are mapped at least once to valid PUSCH occasions and associated DM-RS resources within the association period. A UE is provided a number of SS/PBCH block indexes associated with a PUSCH occasion and a DM-RS resource by </w:t>
      </w:r>
      <w:r w:rsidRPr="00385759">
        <w:rPr>
          <w:i/>
          <w:iCs/>
        </w:rPr>
        <w:t>sdt-SSB-</w:t>
      </w:r>
      <w:r w:rsidR="00F84336">
        <w:rPr>
          <w:i/>
          <w:iCs/>
        </w:rPr>
        <w:t>P</w:t>
      </w:r>
      <w:r w:rsidR="00F84336" w:rsidRPr="00385759">
        <w:rPr>
          <w:i/>
          <w:iCs/>
        </w:rPr>
        <w:t>erCG</w:t>
      </w:r>
      <w:r w:rsidRPr="00385759">
        <w:rPr>
          <w:i/>
          <w:iCs/>
        </w:rPr>
        <w:t>-PUSCH</w:t>
      </w:r>
      <w:r w:rsidRPr="00385759">
        <w:t xml:space="preserve">. If after an integer number of SS/PBCH block indexes to </w:t>
      </w:r>
      <w:r w:rsidRPr="00385759">
        <w:rPr>
          <w:lang w:eastAsia="zh-CN"/>
        </w:rPr>
        <w:t>PUSCH</w:t>
      </w:r>
      <w:r w:rsidRPr="00385759">
        <w:t xml:space="preserve"> occasions </w:t>
      </w:r>
      <w:r w:rsidR="00794837" w:rsidRPr="00385759">
        <w:t xml:space="preserve">and associated DMRS resources </w:t>
      </w:r>
      <w:r w:rsidRPr="00385759">
        <w:t>mapping cycles within the association period there is a set of</w:t>
      </w:r>
      <w:r w:rsidRPr="00385759">
        <w:rPr>
          <w:lang w:eastAsia="zh-CN"/>
        </w:rPr>
        <w:t xml:space="preserve"> PUSCH</w:t>
      </w:r>
      <w:r w:rsidRPr="00385759">
        <w:t xml:space="preserve"> occasions </w:t>
      </w:r>
      <w:r w:rsidR="00364866" w:rsidRPr="00385759">
        <w:t xml:space="preserve">and associated DMRS resources </w:t>
      </w:r>
      <w:r w:rsidRPr="00385759">
        <w:t xml:space="preserve">that are not mapped to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PUSCH</m:t>
            </m:r>
          </m:sub>
          <m:sup>
            <m:r>
              <m:rPr>
                <m:sty m:val="p"/>
              </m:rPr>
              <w:rPr>
                <w:rFonts w:ascii="Cambria Math" w:hAnsi="Cambria Math"/>
              </w:rPr>
              <m:t>SS/PBCH</m:t>
            </m:r>
          </m:sup>
        </m:sSubSup>
      </m:oMath>
      <w:r w:rsidRPr="00385759">
        <w:t xml:space="preserve"> SS/PBCH block indexes, no SS/PBCH block indexes are mapped to the set of</w:t>
      </w:r>
      <w:r w:rsidRPr="00385759">
        <w:rPr>
          <w:lang w:eastAsia="zh-CN"/>
        </w:rPr>
        <w:t xml:space="preserve"> PUSCH</w:t>
      </w:r>
      <w:r w:rsidRPr="00385759">
        <w:t xml:space="preserve"> occasions</w:t>
      </w:r>
      <w:r w:rsidR="00364866" w:rsidRPr="00385759">
        <w:t xml:space="preserve"> and associated DMRS resources</w:t>
      </w:r>
      <w:r w:rsidRPr="00385759">
        <w:t>. An association pattern period</w:t>
      </w:r>
      <w:r w:rsidR="00BF2BB3" w:rsidRPr="00F027CB">
        <w:t xml:space="preserve">, </w:t>
      </w:r>
      <w:r w:rsidR="00BF2BB3" w:rsidRPr="00F027CB">
        <w:rPr>
          <w:lang w:val="en-US" w:eastAsia="zh-CN"/>
        </w:rPr>
        <w:t xml:space="preserve">when </w:t>
      </w:r>
      <w:r w:rsidR="00BF2BB3" w:rsidRPr="00F027CB">
        <w:rPr>
          <w:lang w:eastAsia="zh-CN"/>
        </w:rPr>
        <w:t>PUSCH configuration</w:t>
      </w:r>
      <w:r w:rsidR="00BF2BB3" w:rsidRPr="00F027CB">
        <w:t xml:space="preserve"> period</w:t>
      </w:r>
      <w:r w:rsidR="00BF2BB3" w:rsidRPr="00F027CB">
        <w:rPr>
          <w:lang w:val="en-US" w:eastAsia="zh-CN"/>
        </w:rPr>
        <w:t xml:space="preserve"> is no longer than 640 msec,</w:t>
      </w:r>
      <w:r w:rsidRPr="00385759">
        <w:t xml:space="preserve"> includes one or more association periods and is determined so that a pattern between </w:t>
      </w:r>
      <w:r w:rsidRPr="00385759">
        <w:rPr>
          <w:lang w:eastAsia="zh-CN"/>
        </w:rPr>
        <w:t>PUSCH</w:t>
      </w:r>
      <w:r w:rsidRPr="00385759">
        <w:t xml:space="preserve"> occasions </w:t>
      </w:r>
      <w:r w:rsidR="00364866" w:rsidRPr="00385759">
        <w:t xml:space="preserve">with associated DMRS resources </w:t>
      </w:r>
      <w:r w:rsidRPr="00385759">
        <w:t xml:space="preserve">and SS/PBCH block indexes repeats at most every 640 msec. </w:t>
      </w:r>
      <w:r w:rsidRPr="00385759">
        <w:rPr>
          <w:lang w:eastAsia="zh-CN"/>
        </w:rPr>
        <w:t>PUSCH</w:t>
      </w:r>
      <w:r w:rsidRPr="00385759">
        <w:t xml:space="preserve"> occasions </w:t>
      </w:r>
      <w:r w:rsidR="00364866" w:rsidRPr="00385759">
        <w:t xml:space="preserve">and associated DMRS resources </w:t>
      </w:r>
      <w:r w:rsidRPr="00385759">
        <w:t xml:space="preserve">not associated with SS/PBCH block indexes after an integer number of association periods, if any, are not used for </w:t>
      </w:r>
      <w:r w:rsidRPr="00385759">
        <w:rPr>
          <w:lang w:eastAsia="zh-CN"/>
        </w:rPr>
        <w:t>PUSCH</w:t>
      </w:r>
      <w:r w:rsidRPr="00385759">
        <w:t xml:space="preserve"> transmissions.</w:t>
      </w:r>
    </w:p>
    <w:p w14:paraId="1555A4D2" w14:textId="77777777" w:rsidR="00364866" w:rsidRPr="00B310B2" w:rsidRDefault="00364866" w:rsidP="00364866">
      <w:pPr>
        <w:pStyle w:val="TH"/>
        <w:rPr>
          <w:bCs/>
        </w:rPr>
      </w:pPr>
      <w:r w:rsidRPr="00B310B2">
        <w:lastRenderedPageBreak/>
        <w:t xml:space="preserve">Table </w:t>
      </w:r>
      <w:r w:rsidRPr="00B310B2">
        <w:rPr>
          <w:lang w:eastAsia="zh-CN"/>
        </w:rPr>
        <w:t>19.1-1</w:t>
      </w:r>
      <w:r w:rsidRPr="00B310B2">
        <w:t xml:space="preserve">: Mapping between </w:t>
      </w:r>
      <w:r w:rsidRPr="00B310B2">
        <w:rPr>
          <w:lang w:eastAsia="zh-CN"/>
        </w:rPr>
        <w:t>PUSCH configuration</w:t>
      </w:r>
      <w:r w:rsidRPr="00B310B2">
        <w:t xml:space="preserve"> period and SS/PBCH block to </w:t>
      </w:r>
      <w:r w:rsidRPr="00B310B2">
        <w:rPr>
          <w:lang w:eastAsia="zh-CN"/>
        </w:rPr>
        <w:t>configured</w:t>
      </w:r>
      <w:r w:rsidRPr="00B310B2">
        <w:t xml:space="preserve"> PUSCH resource association period</w:t>
      </w:r>
    </w:p>
    <w:tbl>
      <w:tblPr>
        <w:tblW w:w="0" w:type="auto"/>
        <w:jc w:val="center"/>
        <w:tblCellMar>
          <w:left w:w="0" w:type="dxa"/>
          <w:right w:w="0" w:type="dxa"/>
        </w:tblCellMar>
        <w:tblLook w:val="04A0" w:firstRow="1" w:lastRow="0" w:firstColumn="1" w:lastColumn="0" w:noHBand="0" w:noVBand="1"/>
      </w:tblPr>
      <w:tblGrid>
        <w:gridCol w:w="3325"/>
        <w:gridCol w:w="4495"/>
      </w:tblGrid>
      <w:tr w:rsidR="00364866" w:rsidRPr="00B310B2" w14:paraId="0C6FD53A" w14:textId="77777777" w:rsidTr="00B52E7C">
        <w:trPr>
          <w:jc w:val="center"/>
        </w:trPr>
        <w:tc>
          <w:tcPr>
            <w:tcW w:w="3325" w:type="dxa"/>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hideMark/>
          </w:tcPr>
          <w:p w14:paraId="11A0C9BC" w14:textId="77777777" w:rsidR="00364866" w:rsidRPr="00B310B2" w:rsidRDefault="00364866" w:rsidP="00B52E7C">
            <w:pPr>
              <w:pStyle w:val="TAH"/>
              <w:rPr>
                <w:rFonts w:ascii="Times New Roman" w:hAnsi="Times New Roman"/>
                <w:sz w:val="20"/>
              </w:rPr>
            </w:pPr>
            <w:r w:rsidRPr="00B310B2">
              <w:rPr>
                <w:rFonts w:ascii="Times New Roman" w:hAnsi="Times New Roman"/>
                <w:sz w:val="20"/>
                <w:lang w:eastAsia="zh-CN"/>
              </w:rPr>
              <w:t>PUSCH configuration</w:t>
            </w:r>
            <w:r w:rsidRPr="00B310B2">
              <w:rPr>
                <w:rFonts w:ascii="Times New Roman" w:hAnsi="Times New Roman"/>
                <w:sz w:val="20"/>
              </w:rPr>
              <w:t xml:space="preserve"> period </w:t>
            </w:r>
            <m:oMath>
              <m:sSub>
                <m:sSubPr>
                  <m:ctrlPr>
                    <w:rPr>
                      <w:rFonts w:ascii="Cambria Math" w:eastAsia="Malgun Gothic" w:hAnsi="Cambria Math"/>
                      <w:bCs/>
                      <w:i/>
                      <w:iCs/>
                      <w:sz w:val="20"/>
                    </w:rPr>
                  </m:ctrlPr>
                </m:sSubPr>
                <m:e>
                  <m:r>
                    <m:rPr>
                      <m:sty m:val="bi"/>
                    </m:rPr>
                    <w:rPr>
                      <w:rFonts w:ascii="Cambria Math" w:hAnsi="Cambria Math"/>
                      <w:sz w:val="20"/>
                    </w:rPr>
                    <m:t>T</m:t>
                  </m:r>
                </m:e>
                <m:sub>
                  <m:r>
                    <m:rPr>
                      <m:sty m:val="bi"/>
                    </m:rPr>
                    <w:rPr>
                      <w:rFonts w:ascii="Cambria Math" w:hAnsi="Cambria Math"/>
                      <w:sz w:val="20"/>
                    </w:rPr>
                    <m:t>cg</m:t>
                  </m:r>
                </m:sub>
              </m:sSub>
            </m:oMath>
            <w:r w:rsidRPr="00B310B2">
              <w:rPr>
                <w:rFonts w:ascii="Times New Roman" w:hAnsi="Times New Roman"/>
                <w:sz w:val="20"/>
              </w:rPr>
              <w:t xml:space="preserve"> (msec)</w:t>
            </w:r>
          </w:p>
        </w:tc>
        <w:tc>
          <w:tcPr>
            <w:tcW w:w="4495" w:type="dxa"/>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hideMark/>
          </w:tcPr>
          <w:p w14:paraId="6067E2AC" w14:textId="38EF0FFD" w:rsidR="00364866" w:rsidRPr="00B310B2" w:rsidRDefault="00364866" w:rsidP="00B52E7C">
            <w:pPr>
              <w:pStyle w:val="TAH"/>
              <w:rPr>
                <w:rFonts w:ascii="Times New Roman" w:hAnsi="Times New Roman"/>
                <w:sz w:val="20"/>
              </w:rPr>
            </w:pPr>
            <w:r w:rsidRPr="00B310B2">
              <w:rPr>
                <w:rFonts w:ascii="Times New Roman" w:hAnsi="Times New Roman"/>
                <w:sz w:val="20"/>
              </w:rPr>
              <w:t xml:space="preserve">Association period (number of </w:t>
            </w:r>
            <w:r w:rsidRPr="00B310B2">
              <w:rPr>
                <w:rFonts w:ascii="Times New Roman" w:hAnsi="Times New Roman"/>
                <w:sz w:val="20"/>
                <w:lang w:eastAsia="zh-CN"/>
              </w:rPr>
              <w:t xml:space="preserve">PUSCH configuration </w:t>
            </w:r>
            <w:r w:rsidRPr="00B310B2">
              <w:rPr>
                <w:rFonts w:ascii="Times New Roman" w:hAnsi="Times New Roman"/>
                <w:sz w:val="20"/>
              </w:rPr>
              <w:t>periods)</w:t>
            </w:r>
          </w:p>
        </w:tc>
      </w:tr>
      <w:tr w:rsidR="00364866" w:rsidRPr="00B310B2" w14:paraId="745A3003" w14:textId="77777777" w:rsidTr="00B52E7C">
        <w:trPr>
          <w:jc w:val="center"/>
        </w:trPr>
        <w:tc>
          <w:tcPr>
            <w:tcW w:w="332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953C566" w14:textId="77777777" w:rsidR="00364866" w:rsidRPr="00B310B2" w:rsidRDefault="00364866" w:rsidP="00B52E7C">
            <w:pPr>
              <w:pStyle w:val="TAC"/>
              <w:rPr>
                <w:rFonts w:ascii="Times New Roman" w:hAnsi="Times New Roman"/>
                <w:sz w:val="20"/>
              </w:rPr>
            </w:pPr>
            <w:r w:rsidRPr="00B310B2">
              <w:rPr>
                <w:rFonts w:ascii="Times New Roman" w:hAnsi="Times New Roman"/>
                <w:sz w:val="20"/>
              </w:rPr>
              <w:t>5</w:t>
            </w:r>
          </w:p>
        </w:tc>
        <w:tc>
          <w:tcPr>
            <w:tcW w:w="449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DC89DCA" w14:textId="77777777" w:rsidR="00364866" w:rsidRPr="00B310B2" w:rsidRDefault="00364866" w:rsidP="00B52E7C">
            <w:pPr>
              <w:pStyle w:val="TAC"/>
              <w:rPr>
                <w:rFonts w:ascii="Times New Roman" w:hAnsi="Times New Roman"/>
                <w:sz w:val="20"/>
              </w:rPr>
            </w:pPr>
            <w:r w:rsidRPr="00B310B2">
              <w:rPr>
                <w:rFonts w:ascii="Times New Roman" w:hAnsi="Times New Roman"/>
                <w:sz w:val="20"/>
              </w:rPr>
              <w:t>{1, 2, 4, 8,16, 32, 64, 128}</w:t>
            </w:r>
          </w:p>
        </w:tc>
      </w:tr>
      <w:tr w:rsidR="00364866" w:rsidRPr="00B310B2" w14:paraId="355DE18B" w14:textId="77777777" w:rsidTr="00B52E7C">
        <w:trPr>
          <w:jc w:val="center"/>
        </w:trPr>
        <w:tc>
          <w:tcPr>
            <w:tcW w:w="332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2F0D6EE" w14:textId="77777777" w:rsidR="00364866" w:rsidRPr="00B310B2" w:rsidRDefault="00364866" w:rsidP="00B52E7C">
            <w:pPr>
              <w:pStyle w:val="TAC"/>
              <w:rPr>
                <w:rFonts w:ascii="Times New Roman" w:hAnsi="Times New Roman"/>
                <w:sz w:val="20"/>
              </w:rPr>
            </w:pPr>
            <w:r w:rsidRPr="00B310B2">
              <w:rPr>
                <w:rFonts w:ascii="Times New Roman" w:hAnsi="Times New Roman"/>
                <w:sz w:val="20"/>
              </w:rPr>
              <w:t>8</w:t>
            </w:r>
          </w:p>
        </w:tc>
        <w:tc>
          <w:tcPr>
            <w:tcW w:w="449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C723B68" w14:textId="77777777" w:rsidR="00364866" w:rsidRPr="00B310B2" w:rsidRDefault="00364866" w:rsidP="00B52E7C">
            <w:pPr>
              <w:pStyle w:val="TAC"/>
              <w:rPr>
                <w:rFonts w:ascii="Times New Roman" w:hAnsi="Times New Roman"/>
                <w:sz w:val="20"/>
              </w:rPr>
            </w:pPr>
            <w:r w:rsidRPr="00B310B2">
              <w:rPr>
                <w:rFonts w:ascii="Times New Roman" w:hAnsi="Times New Roman"/>
                <w:sz w:val="20"/>
              </w:rPr>
              <w:t>{1, 2, 4, 5, 8, 10, 16, 20, 40, 80}</w:t>
            </w:r>
          </w:p>
        </w:tc>
      </w:tr>
      <w:tr w:rsidR="00364866" w:rsidRPr="00B310B2" w14:paraId="289C049E" w14:textId="77777777" w:rsidTr="00B52E7C">
        <w:trPr>
          <w:jc w:val="center"/>
        </w:trPr>
        <w:tc>
          <w:tcPr>
            <w:tcW w:w="332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DA26663" w14:textId="77777777" w:rsidR="00364866" w:rsidRPr="00B310B2" w:rsidRDefault="00364866" w:rsidP="00B52E7C">
            <w:pPr>
              <w:pStyle w:val="TAC"/>
              <w:rPr>
                <w:rFonts w:ascii="Times New Roman" w:hAnsi="Times New Roman"/>
                <w:sz w:val="20"/>
              </w:rPr>
            </w:pPr>
            <w:r w:rsidRPr="00B310B2">
              <w:rPr>
                <w:rFonts w:ascii="Times New Roman" w:hAnsi="Times New Roman"/>
                <w:sz w:val="20"/>
              </w:rPr>
              <w:t>10</w:t>
            </w:r>
          </w:p>
        </w:tc>
        <w:tc>
          <w:tcPr>
            <w:tcW w:w="449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A3EDC74" w14:textId="77777777" w:rsidR="00364866" w:rsidRPr="00B310B2" w:rsidRDefault="00364866" w:rsidP="00B52E7C">
            <w:pPr>
              <w:pStyle w:val="TAC"/>
              <w:rPr>
                <w:rFonts w:ascii="Times New Roman" w:hAnsi="Times New Roman"/>
                <w:sz w:val="20"/>
              </w:rPr>
            </w:pPr>
            <w:r w:rsidRPr="00B310B2">
              <w:rPr>
                <w:rFonts w:ascii="Times New Roman" w:hAnsi="Times New Roman"/>
                <w:sz w:val="20"/>
              </w:rPr>
              <w:t>{1, 2, 4, 8,16, 32, 64}</w:t>
            </w:r>
          </w:p>
        </w:tc>
      </w:tr>
      <w:tr w:rsidR="00364866" w:rsidRPr="00B310B2" w14:paraId="43A33BCC" w14:textId="77777777" w:rsidTr="00B52E7C">
        <w:trPr>
          <w:jc w:val="center"/>
        </w:trPr>
        <w:tc>
          <w:tcPr>
            <w:tcW w:w="332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469D6E7" w14:textId="77777777" w:rsidR="00364866" w:rsidRPr="00B310B2" w:rsidRDefault="00364866" w:rsidP="00B52E7C">
            <w:pPr>
              <w:pStyle w:val="TAC"/>
              <w:rPr>
                <w:rFonts w:ascii="Times New Roman" w:hAnsi="Times New Roman"/>
                <w:sz w:val="20"/>
              </w:rPr>
            </w:pPr>
            <w:r w:rsidRPr="00B310B2">
              <w:rPr>
                <w:rFonts w:ascii="Times New Roman" w:hAnsi="Times New Roman"/>
                <w:sz w:val="20"/>
              </w:rPr>
              <w:t>16</w:t>
            </w:r>
          </w:p>
        </w:tc>
        <w:tc>
          <w:tcPr>
            <w:tcW w:w="449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B66038D" w14:textId="77777777" w:rsidR="00364866" w:rsidRPr="00B310B2" w:rsidRDefault="00364866" w:rsidP="00B52E7C">
            <w:pPr>
              <w:pStyle w:val="TAC"/>
              <w:rPr>
                <w:rFonts w:ascii="Times New Roman" w:hAnsi="Times New Roman"/>
                <w:sz w:val="20"/>
              </w:rPr>
            </w:pPr>
            <w:r w:rsidRPr="00B310B2">
              <w:rPr>
                <w:rFonts w:ascii="Times New Roman" w:hAnsi="Times New Roman"/>
                <w:sz w:val="20"/>
              </w:rPr>
              <w:t>{1, 2, 4, 5, 8,10,20,40}</w:t>
            </w:r>
          </w:p>
        </w:tc>
      </w:tr>
      <w:tr w:rsidR="00364866" w:rsidRPr="00B310B2" w14:paraId="5EB396DA" w14:textId="77777777" w:rsidTr="00B52E7C">
        <w:trPr>
          <w:jc w:val="center"/>
        </w:trPr>
        <w:tc>
          <w:tcPr>
            <w:tcW w:w="332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839D973" w14:textId="77777777" w:rsidR="00364866" w:rsidRPr="00B310B2" w:rsidRDefault="00364866" w:rsidP="00B52E7C">
            <w:pPr>
              <w:pStyle w:val="TAC"/>
              <w:rPr>
                <w:rFonts w:ascii="Times New Roman" w:hAnsi="Times New Roman"/>
                <w:sz w:val="20"/>
              </w:rPr>
            </w:pPr>
            <w:r w:rsidRPr="00B310B2">
              <w:rPr>
                <w:rFonts w:ascii="Times New Roman" w:hAnsi="Times New Roman"/>
                <w:sz w:val="20"/>
              </w:rPr>
              <w:t>20</w:t>
            </w:r>
          </w:p>
        </w:tc>
        <w:tc>
          <w:tcPr>
            <w:tcW w:w="449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E57F08A" w14:textId="77777777" w:rsidR="00364866" w:rsidRPr="00B310B2" w:rsidRDefault="00364866" w:rsidP="00B52E7C">
            <w:pPr>
              <w:pStyle w:val="TAC"/>
              <w:rPr>
                <w:rFonts w:ascii="Times New Roman" w:hAnsi="Times New Roman"/>
                <w:sz w:val="20"/>
              </w:rPr>
            </w:pPr>
            <w:r w:rsidRPr="00B310B2">
              <w:rPr>
                <w:rFonts w:ascii="Times New Roman" w:hAnsi="Times New Roman"/>
                <w:sz w:val="20"/>
              </w:rPr>
              <w:t>{1, 2, 4, 8,16, 32}</w:t>
            </w:r>
          </w:p>
        </w:tc>
      </w:tr>
      <w:tr w:rsidR="00364866" w:rsidRPr="00B310B2" w14:paraId="33E2E1D7" w14:textId="77777777" w:rsidTr="00B52E7C">
        <w:trPr>
          <w:jc w:val="center"/>
        </w:trPr>
        <w:tc>
          <w:tcPr>
            <w:tcW w:w="332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AAF164B" w14:textId="77777777" w:rsidR="00364866" w:rsidRPr="00B310B2" w:rsidRDefault="00364866" w:rsidP="00B52E7C">
            <w:pPr>
              <w:pStyle w:val="TAC"/>
              <w:rPr>
                <w:rFonts w:ascii="Times New Roman" w:hAnsi="Times New Roman"/>
                <w:sz w:val="20"/>
              </w:rPr>
            </w:pPr>
            <w:r w:rsidRPr="00B310B2">
              <w:rPr>
                <w:rFonts w:ascii="Times New Roman" w:hAnsi="Times New Roman"/>
                <w:sz w:val="20"/>
              </w:rPr>
              <w:t>32</w:t>
            </w:r>
          </w:p>
        </w:tc>
        <w:tc>
          <w:tcPr>
            <w:tcW w:w="449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9F700B5" w14:textId="77777777" w:rsidR="00364866" w:rsidRPr="00B310B2" w:rsidRDefault="00364866" w:rsidP="00B52E7C">
            <w:pPr>
              <w:pStyle w:val="TAC"/>
              <w:rPr>
                <w:rFonts w:ascii="Times New Roman" w:hAnsi="Times New Roman"/>
                <w:sz w:val="20"/>
              </w:rPr>
            </w:pPr>
            <w:r w:rsidRPr="00B310B2">
              <w:rPr>
                <w:rFonts w:ascii="Times New Roman" w:hAnsi="Times New Roman"/>
                <w:sz w:val="20"/>
              </w:rPr>
              <w:t>{1, 2, 4, 5, 10, 20}</w:t>
            </w:r>
          </w:p>
        </w:tc>
      </w:tr>
      <w:tr w:rsidR="00364866" w:rsidRPr="00B310B2" w14:paraId="6F638B4A" w14:textId="77777777" w:rsidTr="00B52E7C">
        <w:trPr>
          <w:jc w:val="center"/>
        </w:trPr>
        <w:tc>
          <w:tcPr>
            <w:tcW w:w="332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1FED6E4" w14:textId="77777777" w:rsidR="00364866" w:rsidRPr="00B310B2" w:rsidRDefault="00364866" w:rsidP="00B52E7C">
            <w:pPr>
              <w:pStyle w:val="TAC"/>
              <w:rPr>
                <w:rFonts w:ascii="Times New Roman" w:hAnsi="Times New Roman"/>
                <w:sz w:val="20"/>
              </w:rPr>
            </w:pPr>
            <w:r w:rsidRPr="00B310B2">
              <w:rPr>
                <w:rFonts w:ascii="Times New Roman" w:hAnsi="Times New Roman"/>
                <w:sz w:val="20"/>
              </w:rPr>
              <w:t>40</w:t>
            </w:r>
          </w:p>
        </w:tc>
        <w:tc>
          <w:tcPr>
            <w:tcW w:w="449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8869DE1" w14:textId="77777777" w:rsidR="00364866" w:rsidRPr="00B310B2" w:rsidRDefault="00364866" w:rsidP="00B52E7C">
            <w:pPr>
              <w:pStyle w:val="TAC"/>
              <w:rPr>
                <w:rFonts w:ascii="Times New Roman" w:hAnsi="Times New Roman"/>
                <w:sz w:val="20"/>
              </w:rPr>
            </w:pPr>
            <w:r w:rsidRPr="00B310B2">
              <w:rPr>
                <w:rFonts w:ascii="Times New Roman" w:hAnsi="Times New Roman"/>
                <w:sz w:val="20"/>
              </w:rPr>
              <w:t>{1, 2, 4, 8, 16}</w:t>
            </w:r>
          </w:p>
        </w:tc>
      </w:tr>
      <w:tr w:rsidR="00364866" w:rsidRPr="00B310B2" w14:paraId="0B14B6DF" w14:textId="77777777" w:rsidTr="00B52E7C">
        <w:trPr>
          <w:jc w:val="center"/>
        </w:trPr>
        <w:tc>
          <w:tcPr>
            <w:tcW w:w="332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8E38BD2" w14:textId="77777777" w:rsidR="00364866" w:rsidRPr="00B310B2" w:rsidRDefault="00364866" w:rsidP="00B52E7C">
            <w:pPr>
              <w:pStyle w:val="TAC"/>
              <w:rPr>
                <w:rFonts w:ascii="Times New Roman" w:hAnsi="Times New Roman"/>
                <w:sz w:val="20"/>
              </w:rPr>
            </w:pPr>
            <w:r w:rsidRPr="00B310B2">
              <w:rPr>
                <w:rFonts w:ascii="Times New Roman" w:hAnsi="Times New Roman"/>
                <w:sz w:val="20"/>
              </w:rPr>
              <w:t>64</w:t>
            </w:r>
          </w:p>
        </w:tc>
        <w:tc>
          <w:tcPr>
            <w:tcW w:w="449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C77CD88" w14:textId="77777777" w:rsidR="00364866" w:rsidRPr="00B310B2" w:rsidRDefault="00364866" w:rsidP="00B52E7C">
            <w:pPr>
              <w:pStyle w:val="TAC"/>
              <w:rPr>
                <w:rFonts w:ascii="Times New Roman" w:hAnsi="Times New Roman"/>
                <w:sz w:val="20"/>
              </w:rPr>
            </w:pPr>
            <w:r w:rsidRPr="00B310B2">
              <w:rPr>
                <w:rFonts w:ascii="Times New Roman" w:hAnsi="Times New Roman"/>
                <w:sz w:val="20"/>
              </w:rPr>
              <w:t>{1, 2, 5, 10}</w:t>
            </w:r>
          </w:p>
        </w:tc>
      </w:tr>
      <w:tr w:rsidR="00364866" w:rsidRPr="00B310B2" w14:paraId="31C1EFEE" w14:textId="77777777" w:rsidTr="00B52E7C">
        <w:trPr>
          <w:jc w:val="center"/>
        </w:trPr>
        <w:tc>
          <w:tcPr>
            <w:tcW w:w="332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4B84208" w14:textId="77777777" w:rsidR="00364866" w:rsidRPr="00B310B2" w:rsidRDefault="00364866" w:rsidP="00B52E7C">
            <w:pPr>
              <w:pStyle w:val="TAC"/>
              <w:rPr>
                <w:rFonts w:ascii="Times New Roman" w:hAnsi="Times New Roman"/>
                <w:sz w:val="20"/>
              </w:rPr>
            </w:pPr>
            <w:r w:rsidRPr="00B310B2">
              <w:rPr>
                <w:rFonts w:ascii="Times New Roman" w:hAnsi="Times New Roman"/>
                <w:sz w:val="20"/>
              </w:rPr>
              <w:t>80</w:t>
            </w:r>
          </w:p>
        </w:tc>
        <w:tc>
          <w:tcPr>
            <w:tcW w:w="449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BCA0F84" w14:textId="77777777" w:rsidR="00364866" w:rsidRPr="00B310B2" w:rsidRDefault="00364866" w:rsidP="00B52E7C">
            <w:pPr>
              <w:pStyle w:val="TAC"/>
              <w:rPr>
                <w:rFonts w:ascii="Times New Roman" w:hAnsi="Times New Roman"/>
                <w:sz w:val="20"/>
              </w:rPr>
            </w:pPr>
            <w:r w:rsidRPr="00B310B2">
              <w:rPr>
                <w:rFonts w:ascii="Times New Roman" w:hAnsi="Times New Roman"/>
                <w:sz w:val="20"/>
              </w:rPr>
              <w:t>{1, 2, 4, 8}</w:t>
            </w:r>
          </w:p>
        </w:tc>
      </w:tr>
      <w:tr w:rsidR="00364866" w:rsidRPr="00B310B2" w14:paraId="3FDD17E1" w14:textId="77777777" w:rsidTr="00B52E7C">
        <w:trPr>
          <w:jc w:val="center"/>
        </w:trPr>
        <w:tc>
          <w:tcPr>
            <w:tcW w:w="332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81E410B" w14:textId="77777777" w:rsidR="00364866" w:rsidRPr="00B310B2" w:rsidRDefault="00364866" w:rsidP="00B52E7C">
            <w:pPr>
              <w:pStyle w:val="TAC"/>
              <w:rPr>
                <w:rFonts w:ascii="Times New Roman" w:hAnsi="Times New Roman"/>
                <w:sz w:val="20"/>
              </w:rPr>
            </w:pPr>
            <w:r w:rsidRPr="00B310B2">
              <w:rPr>
                <w:rFonts w:ascii="Times New Roman" w:hAnsi="Times New Roman"/>
                <w:sz w:val="20"/>
              </w:rPr>
              <w:t>128</w:t>
            </w:r>
          </w:p>
        </w:tc>
        <w:tc>
          <w:tcPr>
            <w:tcW w:w="449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BB23D0E" w14:textId="77777777" w:rsidR="00364866" w:rsidRPr="00B310B2" w:rsidRDefault="00364866" w:rsidP="00B52E7C">
            <w:pPr>
              <w:pStyle w:val="TAC"/>
              <w:rPr>
                <w:rFonts w:ascii="Times New Roman" w:hAnsi="Times New Roman"/>
                <w:sz w:val="20"/>
              </w:rPr>
            </w:pPr>
            <w:r w:rsidRPr="00B310B2">
              <w:rPr>
                <w:rFonts w:ascii="Times New Roman" w:hAnsi="Times New Roman"/>
                <w:sz w:val="20"/>
              </w:rPr>
              <w:t>{1, 5}</w:t>
            </w:r>
          </w:p>
        </w:tc>
      </w:tr>
      <w:tr w:rsidR="00364866" w:rsidRPr="00B310B2" w14:paraId="418E0448" w14:textId="77777777" w:rsidTr="00B52E7C">
        <w:trPr>
          <w:jc w:val="center"/>
        </w:trPr>
        <w:tc>
          <w:tcPr>
            <w:tcW w:w="332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FE9EBC1" w14:textId="77777777" w:rsidR="00364866" w:rsidRPr="00B310B2" w:rsidRDefault="00364866" w:rsidP="00B52E7C">
            <w:pPr>
              <w:pStyle w:val="TAC"/>
              <w:rPr>
                <w:rFonts w:ascii="Times New Roman" w:hAnsi="Times New Roman"/>
                <w:sz w:val="20"/>
              </w:rPr>
            </w:pPr>
            <w:r w:rsidRPr="00B310B2">
              <w:rPr>
                <w:rFonts w:ascii="Times New Roman" w:hAnsi="Times New Roman"/>
                <w:sz w:val="20"/>
              </w:rPr>
              <w:t>160</w:t>
            </w:r>
          </w:p>
        </w:tc>
        <w:tc>
          <w:tcPr>
            <w:tcW w:w="449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C061CDC" w14:textId="77777777" w:rsidR="00364866" w:rsidRPr="00B310B2" w:rsidRDefault="00364866" w:rsidP="00B52E7C">
            <w:pPr>
              <w:pStyle w:val="TAC"/>
              <w:rPr>
                <w:rFonts w:ascii="Times New Roman" w:hAnsi="Times New Roman"/>
                <w:sz w:val="20"/>
              </w:rPr>
            </w:pPr>
            <w:r w:rsidRPr="00B310B2">
              <w:rPr>
                <w:rFonts w:ascii="Times New Roman" w:hAnsi="Times New Roman"/>
                <w:sz w:val="20"/>
              </w:rPr>
              <w:t>{1, 2, 4}</w:t>
            </w:r>
          </w:p>
        </w:tc>
      </w:tr>
      <w:tr w:rsidR="00364866" w:rsidRPr="00B310B2" w14:paraId="53689DD5" w14:textId="77777777" w:rsidTr="00BF2BB3">
        <w:trPr>
          <w:jc w:val="center"/>
        </w:trPr>
        <w:tc>
          <w:tcPr>
            <w:tcW w:w="332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0047086A" w14:textId="77777777" w:rsidR="00364866" w:rsidRPr="00B310B2" w:rsidRDefault="00364866" w:rsidP="00B52E7C">
            <w:pPr>
              <w:pStyle w:val="TAC"/>
              <w:rPr>
                <w:rFonts w:ascii="Times New Roman" w:hAnsi="Times New Roman"/>
                <w:sz w:val="20"/>
              </w:rPr>
            </w:pPr>
            <w:r w:rsidRPr="00B310B2">
              <w:rPr>
                <w:rFonts w:ascii="Times New Roman" w:hAnsi="Times New Roman"/>
                <w:sz w:val="20"/>
              </w:rPr>
              <w:t>320</w:t>
            </w:r>
          </w:p>
        </w:tc>
        <w:tc>
          <w:tcPr>
            <w:tcW w:w="4495" w:type="dxa"/>
            <w:tcBorders>
              <w:top w:val="nil"/>
              <w:left w:val="nil"/>
              <w:bottom w:val="single" w:sz="4" w:space="0" w:color="auto"/>
              <w:right w:val="single" w:sz="8" w:space="0" w:color="auto"/>
            </w:tcBorders>
            <w:tcMar>
              <w:top w:w="0" w:type="dxa"/>
              <w:left w:w="108" w:type="dxa"/>
              <w:bottom w:w="0" w:type="dxa"/>
              <w:right w:w="108" w:type="dxa"/>
            </w:tcMar>
            <w:vAlign w:val="center"/>
            <w:hideMark/>
          </w:tcPr>
          <w:p w14:paraId="401A7E35" w14:textId="77777777" w:rsidR="00364866" w:rsidRPr="00B310B2" w:rsidRDefault="00364866" w:rsidP="00B52E7C">
            <w:pPr>
              <w:pStyle w:val="TAC"/>
              <w:rPr>
                <w:rFonts w:ascii="Times New Roman" w:hAnsi="Times New Roman"/>
                <w:sz w:val="20"/>
              </w:rPr>
            </w:pPr>
            <w:r w:rsidRPr="00B310B2">
              <w:rPr>
                <w:rFonts w:ascii="Times New Roman" w:hAnsi="Times New Roman"/>
                <w:sz w:val="20"/>
              </w:rPr>
              <w:t>{1, 2}</w:t>
            </w:r>
          </w:p>
        </w:tc>
      </w:tr>
      <w:tr w:rsidR="00364866" w:rsidRPr="00B310B2" w14:paraId="44D77E9F" w14:textId="77777777" w:rsidTr="00BF2BB3">
        <w:trPr>
          <w:jc w:val="center"/>
        </w:trPr>
        <w:tc>
          <w:tcPr>
            <w:tcW w:w="332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F7BCFCA" w14:textId="77777777" w:rsidR="00364866" w:rsidRPr="00B310B2" w:rsidRDefault="00364866" w:rsidP="00B52E7C">
            <w:pPr>
              <w:pStyle w:val="TAC"/>
              <w:rPr>
                <w:rFonts w:ascii="Times New Roman" w:hAnsi="Times New Roman"/>
                <w:sz w:val="20"/>
              </w:rPr>
            </w:pPr>
            <w:r w:rsidRPr="00B310B2">
              <w:rPr>
                <w:rFonts w:ascii="Times New Roman" w:hAnsi="Times New Roman"/>
                <w:sz w:val="20"/>
              </w:rPr>
              <w:t>640</w:t>
            </w:r>
          </w:p>
        </w:tc>
        <w:tc>
          <w:tcPr>
            <w:tcW w:w="449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7BDF694C" w14:textId="419F4EA0" w:rsidR="00364866" w:rsidRPr="00B310B2" w:rsidRDefault="00364866" w:rsidP="00B52E7C">
            <w:pPr>
              <w:pStyle w:val="TAC"/>
              <w:rPr>
                <w:rFonts w:ascii="Times New Roman" w:hAnsi="Times New Roman"/>
                <w:sz w:val="20"/>
              </w:rPr>
            </w:pPr>
            <w:r w:rsidRPr="00B310B2">
              <w:rPr>
                <w:rFonts w:ascii="Times New Roman" w:hAnsi="Times New Roman"/>
                <w:sz w:val="20"/>
              </w:rPr>
              <w:t>{1}</w:t>
            </w:r>
          </w:p>
        </w:tc>
      </w:tr>
      <w:tr w:rsidR="00BF2BB3" w:rsidRPr="00B310B2" w14:paraId="73186674" w14:textId="77777777" w:rsidTr="00BF2BB3">
        <w:trPr>
          <w:jc w:val="center"/>
        </w:trPr>
        <w:tc>
          <w:tcPr>
            <w:tcW w:w="332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4652AC9" w14:textId="276D47B7" w:rsidR="00BF2BB3" w:rsidRPr="00B310B2" w:rsidRDefault="00BF2BB3" w:rsidP="00BF2BB3">
            <w:pPr>
              <w:pStyle w:val="TAC"/>
              <w:rPr>
                <w:rFonts w:ascii="Times New Roman" w:hAnsi="Times New Roman"/>
                <w:sz w:val="20"/>
              </w:rPr>
            </w:pPr>
            <w:r w:rsidRPr="00C54FA8">
              <w:rPr>
                <w:rFonts w:ascii="Times New Roman" w:hAnsi="Times New Roman"/>
                <w:sz w:val="20"/>
              </w:rPr>
              <w:t>1280</w:t>
            </w:r>
          </w:p>
        </w:tc>
        <w:tc>
          <w:tcPr>
            <w:tcW w:w="449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58273490" w14:textId="26650123" w:rsidR="00BF2BB3" w:rsidRPr="00B310B2" w:rsidRDefault="00BF2BB3" w:rsidP="00BF2BB3">
            <w:pPr>
              <w:pStyle w:val="TAC"/>
              <w:rPr>
                <w:rFonts w:ascii="Times New Roman" w:hAnsi="Times New Roman"/>
                <w:sz w:val="20"/>
              </w:rPr>
            </w:pPr>
            <w:r w:rsidRPr="00C54FA8">
              <w:rPr>
                <w:rFonts w:ascii="Times New Roman" w:hAnsi="Times New Roman"/>
                <w:sz w:val="20"/>
              </w:rPr>
              <w:t>{1}</w:t>
            </w:r>
          </w:p>
        </w:tc>
      </w:tr>
      <w:tr w:rsidR="00BF2BB3" w:rsidRPr="00B310B2" w14:paraId="33087AE5" w14:textId="77777777" w:rsidTr="00BF2BB3">
        <w:trPr>
          <w:jc w:val="center"/>
        </w:trPr>
        <w:tc>
          <w:tcPr>
            <w:tcW w:w="332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6967A5E" w14:textId="0BE96466" w:rsidR="00BF2BB3" w:rsidRPr="00B310B2" w:rsidRDefault="00BF2BB3" w:rsidP="00BF2BB3">
            <w:pPr>
              <w:pStyle w:val="TAC"/>
              <w:rPr>
                <w:rFonts w:ascii="Times New Roman" w:hAnsi="Times New Roman"/>
                <w:sz w:val="20"/>
              </w:rPr>
            </w:pPr>
            <w:r w:rsidRPr="00C54FA8">
              <w:rPr>
                <w:rFonts w:ascii="Times New Roman" w:hAnsi="Times New Roman"/>
                <w:sz w:val="20"/>
              </w:rPr>
              <w:t>2560</w:t>
            </w:r>
          </w:p>
        </w:tc>
        <w:tc>
          <w:tcPr>
            <w:tcW w:w="449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5E165BB" w14:textId="13BD57E0" w:rsidR="00BF2BB3" w:rsidRPr="00B310B2" w:rsidRDefault="00BF2BB3" w:rsidP="00BF2BB3">
            <w:pPr>
              <w:pStyle w:val="TAC"/>
              <w:rPr>
                <w:rFonts w:ascii="Times New Roman" w:hAnsi="Times New Roman"/>
                <w:sz w:val="20"/>
              </w:rPr>
            </w:pPr>
            <w:r w:rsidRPr="00C54FA8">
              <w:rPr>
                <w:rFonts w:ascii="Times New Roman" w:hAnsi="Times New Roman"/>
                <w:sz w:val="20"/>
              </w:rPr>
              <w:t>{1}</w:t>
            </w:r>
          </w:p>
        </w:tc>
      </w:tr>
      <w:tr w:rsidR="00BF2BB3" w:rsidRPr="00B310B2" w14:paraId="7A78AA5F" w14:textId="77777777" w:rsidTr="00BF2BB3">
        <w:trPr>
          <w:jc w:val="center"/>
        </w:trPr>
        <w:tc>
          <w:tcPr>
            <w:tcW w:w="332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0FD28B2" w14:textId="61E0F667" w:rsidR="00BF2BB3" w:rsidRPr="00B310B2" w:rsidRDefault="00BF2BB3" w:rsidP="00BF2BB3">
            <w:pPr>
              <w:pStyle w:val="TAC"/>
              <w:rPr>
                <w:rFonts w:ascii="Times New Roman" w:hAnsi="Times New Roman"/>
                <w:sz w:val="20"/>
              </w:rPr>
            </w:pPr>
            <w:r w:rsidRPr="00C54FA8">
              <w:rPr>
                <w:rFonts w:ascii="Times New Roman" w:hAnsi="Times New Roman"/>
                <w:sz w:val="20"/>
              </w:rPr>
              <w:t>5120</w:t>
            </w:r>
          </w:p>
        </w:tc>
        <w:tc>
          <w:tcPr>
            <w:tcW w:w="449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B0F067D" w14:textId="0E59B8F2" w:rsidR="00BF2BB3" w:rsidRPr="00B310B2" w:rsidRDefault="00BF2BB3" w:rsidP="00BF2BB3">
            <w:pPr>
              <w:pStyle w:val="TAC"/>
              <w:rPr>
                <w:rFonts w:ascii="Times New Roman" w:hAnsi="Times New Roman"/>
                <w:sz w:val="20"/>
              </w:rPr>
            </w:pPr>
            <w:r w:rsidRPr="00C54FA8">
              <w:rPr>
                <w:rFonts w:ascii="Times New Roman" w:hAnsi="Times New Roman"/>
                <w:sz w:val="20"/>
              </w:rPr>
              <w:t>{1}</w:t>
            </w:r>
          </w:p>
        </w:tc>
      </w:tr>
      <w:tr w:rsidR="00BF2BB3" w:rsidRPr="00B310B2" w14:paraId="321F0BD8" w14:textId="77777777" w:rsidTr="00BF2BB3">
        <w:trPr>
          <w:jc w:val="center"/>
        </w:trPr>
        <w:tc>
          <w:tcPr>
            <w:tcW w:w="332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F16FD51" w14:textId="2318C221" w:rsidR="00BF2BB3" w:rsidRPr="00B310B2" w:rsidRDefault="00BF2BB3" w:rsidP="00BF2BB3">
            <w:pPr>
              <w:pStyle w:val="TAC"/>
              <w:rPr>
                <w:rFonts w:ascii="Times New Roman" w:hAnsi="Times New Roman"/>
                <w:sz w:val="20"/>
              </w:rPr>
            </w:pPr>
            <w:r w:rsidRPr="00C54FA8">
              <w:rPr>
                <w:rFonts w:ascii="Times New Roman" w:hAnsi="Times New Roman"/>
                <w:sz w:val="20"/>
              </w:rPr>
              <w:t>10240</w:t>
            </w:r>
          </w:p>
        </w:tc>
        <w:tc>
          <w:tcPr>
            <w:tcW w:w="449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00104B9" w14:textId="07DC37E5" w:rsidR="00BF2BB3" w:rsidRPr="00B310B2" w:rsidRDefault="00BF2BB3" w:rsidP="00BF2BB3">
            <w:pPr>
              <w:pStyle w:val="TAC"/>
              <w:rPr>
                <w:rFonts w:ascii="Times New Roman" w:hAnsi="Times New Roman"/>
                <w:sz w:val="20"/>
              </w:rPr>
            </w:pPr>
            <w:r w:rsidRPr="00C54FA8">
              <w:rPr>
                <w:rFonts w:ascii="Times New Roman" w:hAnsi="Times New Roman"/>
                <w:sz w:val="20"/>
              </w:rPr>
              <w:t>{1}</w:t>
            </w:r>
          </w:p>
        </w:tc>
      </w:tr>
      <w:tr w:rsidR="00BF2BB3" w:rsidRPr="00B310B2" w14:paraId="63123155" w14:textId="77777777" w:rsidTr="00BF2BB3">
        <w:trPr>
          <w:jc w:val="center"/>
        </w:trPr>
        <w:tc>
          <w:tcPr>
            <w:tcW w:w="332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666E4EE" w14:textId="2658FFBE" w:rsidR="00BF2BB3" w:rsidRPr="00B310B2" w:rsidRDefault="00BF2BB3" w:rsidP="00BF2BB3">
            <w:pPr>
              <w:pStyle w:val="TAC"/>
              <w:rPr>
                <w:rFonts w:ascii="Times New Roman" w:hAnsi="Times New Roman"/>
                <w:sz w:val="20"/>
              </w:rPr>
            </w:pPr>
            <w:r w:rsidRPr="00C54FA8">
              <w:rPr>
                <w:rFonts w:ascii="Times New Roman" w:hAnsi="Times New Roman"/>
                <w:sz w:val="20"/>
              </w:rPr>
              <w:t>61440</w:t>
            </w:r>
          </w:p>
        </w:tc>
        <w:tc>
          <w:tcPr>
            <w:tcW w:w="449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5469348F" w14:textId="3F57F4AA" w:rsidR="00BF2BB3" w:rsidRPr="00B310B2" w:rsidRDefault="00BF2BB3" w:rsidP="00BF2BB3">
            <w:pPr>
              <w:pStyle w:val="TAC"/>
              <w:rPr>
                <w:rFonts w:ascii="Times New Roman" w:hAnsi="Times New Roman"/>
                <w:sz w:val="20"/>
              </w:rPr>
            </w:pPr>
            <w:r w:rsidRPr="00C54FA8">
              <w:rPr>
                <w:rFonts w:ascii="Times New Roman" w:hAnsi="Times New Roman"/>
                <w:sz w:val="20"/>
              </w:rPr>
              <w:t>{1}</w:t>
            </w:r>
          </w:p>
        </w:tc>
      </w:tr>
      <w:tr w:rsidR="00BF2BB3" w:rsidRPr="00B310B2" w14:paraId="14F5F1D3" w14:textId="77777777" w:rsidTr="00BF2BB3">
        <w:trPr>
          <w:jc w:val="center"/>
        </w:trPr>
        <w:tc>
          <w:tcPr>
            <w:tcW w:w="332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5C01B1D" w14:textId="2C51F307" w:rsidR="00BF2BB3" w:rsidRPr="00B310B2" w:rsidRDefault="00BF2BB3" w:rsidP="00BF2BB3">
            <w:pPr>
              <w:pStyle w:val="TAC"/>
              <w:rPr>
                <w:rFonts w:ascii="Times New Roman" w:hAnsi="Times New Roman"/>
                <w:sz w:val="20"/>
              </w:rPr>
            </w:pPr>
            <w:r w:rsidRPr="00C54FA8">
              <w:rPr>
                <w:rFonts w:ascii="Times New Roman" w:hAnsi="Times New Roman"/>
                <w:sz w:val="20"/>
              </w:rPr>
              <w:t>122880</w:t>
            </w:r>
          </w:p>
        </w:tc>
        <w:tc>
          <w:tcPr>
            <w:tcW w:w="449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55DCDC22" w14:textId="5EE52224" w:rsidR="00BF2BB3" w:rsidRPr="00B310B2" w:rsidRDefault="00BF2BB3" w:rsidP="00BF2BB3">
            <w:pPr>
              <w:pStyle w:val="TAC"/>
              <w:rPr>
                <w:rFonts w:ascii="Times New Roman" w:hAnsi="Times New Roman"/>
                <w:sz w:val="20"/>
              </w:rPr>
            </w:pPr>
            <w:r w:rsidRPr="00C54FA8">
              <w:rPr>
                <w:rFonts w:ascii="Times New Roman" w:hAnsi="Times New Roman"/>
                <w:sz w:val="20"/>
              </w:rPr>
              <w:t>{1}</w:t>
            </w:r>
          </w:p>
        </w:tc>
      </w:tr>
      <w:tr w:rsidR="00BF2BB3" w:rsidRPr="00B310B2" w14:paraId="3C6B5E96" w14:textId="77777777" w:rsidTr="00BF2BB3">
        <w:trPr>
          <w:jc w:val="center"/>
        </w:trPr>
        <w:tc>
          <w:tcPr>
            <w:tcW w:w="332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E0BDCF6" w14:textId="175BADAD" w:rsidR="00BF2BB3" w:rsidRPr="00B310B2" w:rsidRDefault="00BF2BB3" w:rsidP="00BF2BB3">
            <w:pPr>
              <w:pStyle w:val="TAC"/>
              <w:rPr>
                <w:rFonts w:ascii="Times New Roman" w:hAnsi="Times New Roman"/>
                <w:sz w:val="20"/>
              </w:rPr>
            </w:pPr>
            <w:r w:rsidRPr="00C54FA8">
              <w:rPr>
                <w:rFonts w:ascii="Times New Roman" w:hAnsi="Times New Roman"/>
                <w:sz w:val="20"/>
              </w:rPr>
              <w:t>307200</w:t>
            </w:r>
          </w:p>
        </w:tc>
        <w:tc>
          <w:tcPr>
            <w:tcW w:w="449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828B318" w14:textId="33227D39" w:rsidR="00BF2BB3" w:rsidRPr="00B310B2" w:rsidRDefault="00BF2BB3" w:rsidP="00BF2BB3">
            <w:pPr>
              <w:pStyle w:val="TAC"/>
              <w:rPr>
                <w:rFonts w:ascii="Times New Roman" w:hAnsi="Times New Roman"/>
                <w:sz w:val="20"/>
              </w:rPr>
            </w:pPr>
            <w:r w:rsidRPr="00C54FA8">
              <w:rPr>
                <w:rFonts w:ascii="Times New Roman" w:hAnsi="Times New Roman"/>
                <w:sz w:val="20"/>
              </w:rPr>
              <w:t>{1}</w:t>
            </w:r>
          </w:p>
        </w:tc>
      </w:tr>
      <w:tr w:rsidR="00BF2BB3" w:rsidRPr="00B310B2" w14:paraId="5F058E70" w14:textId="77777777" w:rsidTr="00BF2BB3">
        <w:trPr>
          <w:jc w:val="center"/>
        </w:trPr>
        <w:tc>
          <w:tcPr>
            <w:tcW w:w="332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0F2EDCF" w14:textId="4D2AB019" w:rsidR="00BF2BB3" w:rsidRPr="00B310B2" w:rsidRDefault="00BF2BB3" w:rsidP="00BF2BB3">
            <w:pPr>
              <w:pStyle w:val="TAC"/>
              <w:rPr>
                <w:rFonts w:ascii="Times New Roman" w:hAnsi="Times New Roman"/>
                <w:sz w:val="20"/>
              </w:rPr>
            </w:pPr>
            <w:r w:rsidRPr="00C54FA8">
              <w:rPr>
                <w:rFonts w:ascii="Times New Roman" w:hAnsi="Times New Roman"/>
                <w:sz w:val="20"/>
              </w:rPr>
              <w:t>604160</w:t>
            </w:r>
          </w:p>
        </w:tc>
        <w:tc>
          <w:tcPr>
            <w:tcW w:w="449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299BD73" w14:textId="79B2985A" w:rsidR="00BF2BB3" w:rsidRPr="00B310B2" w:rsidRDefault="00BF2BB3" w:rsidP="00BF2BB3">
            <w:pPr>
              <w:pStyle w:val="TAC"/>
              <w:rPr>
                <w:rFonts w:ascii="Times New Roman" w:hAnsi="Times New Roman"/>
                <w:sz w:val="20"/>
              </w:rPr>
            </w:pPr>
            <w:r w:rsidRPr="00C54FA8">
              <w:rPr>
                <w:rFonts w:ascii="Times New Roman" w:hAnsi="Times New Roman"/>
                <w:sz w:val="20"/>
              </w:rPr>
              <w:t>{1}</w:t>
            </w:r>
          </w:p>
        </w:tc>
      </w:tr>
      <w:tr w:rsidR="00BF2BB3" w:rsidRPr="00B310B2" w14:paraId="6427AD6D" w14:textId="77777777" w:rsidTr="00BF2BB3">
        <w:trPr>
          <w:jc w:val="center"/>
        </w:trPr>
        <w:tc>
          <w:tcPr>
            <w:tcW w:w="332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4E48F94" w14:textId="538BBCC4" w:rsidR="00BF2BB3" w:rsidRPr="00B310B2" w:rsidRDefault="00BF2BB3" w:rsidP="00BF2BB3">
            <w:pPr>
              <w:pStyle w:val="TAC"/>
              <w:rPr>
                <w:rFonts w:ascii="Times New Roman" w:hAnsi="Times New Roman"/>
                <w:sz w:val="20"/>
              </w:rPr>
            </w:pPr>
            <w:r w:rsidRPr="00C54FA8">
              <w:rPr>
                <w:rFonts w:ascii="Times New Roman" w:hAnsi="Times New Roman"/>
                <w:sz w:val="20"/>
              </w:rPr>
              <w:t>1208320</w:t>
            </w:r>
          </w:p>
        </w:tc>
        <w:tc>
          <w:tcPr>
            <w:tcW w:w="449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F6516C6" w14:textId="32D57FA6" w:rsidR="00BF2BB3" w:rsidRPr="00B310B2" w:rsidRDefault="00BF2BB3" w:rsidP="00BF2BB3">
            <w:pPr>
              <w:pStyle w:val="TAC"/>
              <w:rPr>
                <w:rFonts w:ascii="Times New Roman" w:hAnsi="Times New Roman"/>
                <w:sz w:val="20"/>
              </w:rPr>
            </w:pPr>
            <w:r w:rsidRPr="00C54FA8">
              <w:rPr>
                <w:rFonts w:ascii="Times New Roman" w:hAnsi="Times New Roman"/>
                <w:sz w:val="20"/>
              </w:rPr>
              <w:t>{1}</w:t>
            </w:r>
          </w:p>
        </w:tc>
      </w:tr>
      <w:tr w:rsidR="00BF2BB3" w:rsidRPr="00B310B2" w14:paraId="1B96F3D0" w14:textId="77777777" w:rsidTr="00BF2BB3">
        <w:trPr>
          <w:jc w:val="center"/>
        </w:trPr>
        <w:tc>
          <w:tcPr>
            <w:tcW w:w="332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262D1F7" w14:textId="438ED1FB" w:rsidR="00BF2BB3" w:rsidRPr="00B310B2" w:rsidRDefault="00BF2BB3" w:rsidP="00BF2BB3">
            <w:pPr>
              <w:pStyle w:val="TAC"/>
              <w:rPr>
                <w:rFonts w:ascii="Times New Roman" w:hAnsi="Times New Roman"/>
                <w:sz w:val="20"/>
              </w:rPr>
            </w:pPr>
            <w:r w:rsidRPr="00C54FA8">
              <w:rPr>
                <w:rFonts w:ascii="Times New Roman" w:hAnsi="Times New Roman"/>
                <w:sz w:val="20"/>
              </w:rPr>
              <w:t>1802240</w:t>
            </w:r>
          </w:p>
        </w:tc>
        <w:tc>
          <w:tcPr>
            <w:tcW w:w="449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541DF042" w14:textId="591A5962" w:rsidR="00BF2BB3" w:rsidRPr="00B310B2" w:rsidRDefault="00BF2BB3" w:rsidP="00BF2BB3">
            <w:pPr>
              <w:pStyle w:val="TAC"/>
              <w:rPr>
                <w:rFonts w:ascii="Times New Roman" w:hAnsi="Times New Roman"/>
                <w:sz w:val="20"/>
              </w:rPr>
            </w:pPr>
            <w:r w:rsidRPr="00C54FA8">
              <w:rPr>
                <w:rFonts w:ascii="Times New Roman" w:hAnsi="Times New Roman"/>
                <w:sz w:val="20"/>
              </w:rPr>
              <w:t>{1}</w:t>
            </w:r>
          </w:p>
        </w:tc>
      </w:tr>
      <w:tr w:rsidR="00BF2BB3" w:rsidRPr="00B310B2" w14:paraId="1CABD108" w14:textId="77777777" w:rsidTr="00BF2BB3">
        <w:trPr>
          <w:jc w:val="center"/>
        </w:trPr>
        <w:tc>
          <w:tcPr>
            <w:tcW w:w="332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CF9D52B" w14:textId="62E3DE37" w:rsidR="00BF2BB3" w:rsidRPr="00B310B2" w:rsidRDefault="00BF2BB3" w:rsidP="00BF2BB3">
            <w:pPr>
              <w:pStyle w:val="TAC"/>
              <w:rPr>
                <w:rFonts w:ascii="Times New Roman" w:hAnsi="Times New Roman"/>
                <w:sz w:val="20"/>
              </w:rPr>
            </w:pPr>
            <w:r w:rsidRPr="00C54FA8">
              <w:rPr>
                <w:rFonts w:ascii="Times New Roman" w:hAnsi="Times New Roman"/>
                <w:sz w:val="20"/>
              </w:rPr>
              <w:t>3604480</w:t>
            </w:r>
          </w:p>
        </w:tc>
        <w:tc>
          <w:tcPr>
            <w:tcW w:w="449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773B321" w14:textId="5AD0C71C" w:rsidR="00BF2BB3" w:rsidRPr="00B310B2" w:rsidRDefault="00BF2BB3" w:rsidP="00BF2BB3">
            <w:pPr>
              <w:pStyle w:val="TAC"/>
              <w:rPr>
                <w:rFonts w:ascii="Times New Roman" w:hAnsi="Times New Roman"/>
                <w:sz w:val="20"/>
              </w:rPr>
            </w:pPr>
            <w:r w:rsidRPr="00C54FA8">
              <w:rPr>
                <w:rFonts w:ascii="Times New Roman" w:hAnsi="Times New Roman"/>
                <w:sz w:val="20"/>
              </w:rPr>
              <w:t>{1}</w:t>
            </w:r>
          </w:p>
        </w:tc>
      </w:tr>
    </w:tbl>
    <w:p w14:paraId="46346806" w14:textId="01598801" w:rsidR="001A7FE0" w:rsidRPr="007549C6" w:rsidRDefault="00000000" w:rsidP="001A7FE0">
      <w:pPr>
        <w:spacing w:before="180"/>
      </w:pPr>
      <m:oMath>
        <m:sSubSup>
          <m:sSubSupPr>
            <m:ctrlPr>
              <w:rPr>
                <w:rFonts w:ascii="Cambria Math" w:hAnsi="Cambria Math"/>
                <w:i/>
              </w:rPr>
            </m:ctrlPr>
          </m:sSubSupPr>
          <m:e>
            <m:r>
              <w:rPr>
                <w:rFonts w:ascii="Cambria Math" w:hAnsi="Cambria Math"/>
              </w:rPr>
              <m:t>N</m:t>
            </m:r>
          </m:e>
          <m:sub>
            <m:r>
              <m:rPr>
                <m:sty m:val="p"/>
              </m:rPr>
              <w:rPr>
                <w:rFonts w:ascii="Cambria Math" w:hAnsi="Cambria Math"/>
              </w:rPr>
              <m:t>PUSCH</m:t>
            </m:r>
          </m:sub>
          <m:sup>
            <m:r>
              <m:rPr>
                <m:sty m:val="p"/>
              </m:rPr>
              <w:rPr>
                <w:rFonts w:ascii="Cambria Math" w:hAnsi="Cambria Math"/>
              </w:rPr>
              <m:t>SS/PBCH</m:t>
            </m:r>
          </m:sup>
        </m:sSubSup>
      </m:oMath>
      <w:r w:rsidR="001A7FE0" w:rsidRPr="007549C6">
        <w:t xml:space="preserve"> </w:t>
      </w:r>
      <w:r w:rsidR="001A7FE0">
        <w:t>SS/PBCH block</w:t>
      </w:r>
      <w:r w:rsidR="001A7FE0" w:rsidRPr="007549C6">
        <w:t xml:space="preserve"> indexes are mapped to valid PUSCH occasion</w:t>
      </w:r>
      <w:r w:rsidR="001A7FE0">
        <w:t>s</w:t>
      </w:r>
      <w:r w:rsidR="001A7FE0" w:rsidRPr="00216B48">
        <w:t xml:space="preserve"> </w:t>
      </w:r>
      <w:r w:rsidR="001A7FE0" w:rsidRPr="005F407D">
        <w:t>and associated DMRS resource</w:t>
      </w:r>
      <w:r w:rsidR="001A7FE0">
        <w:t>s</w:t>
      </w:r>
      <w:r w:rsidR="00364866" w:rsidRPr="00B310B2">
        <w:t xml:space="preserve"> in the following order</w:t>
      </w:r>
    </w:p>
    <w:p w14:paraId="638796A1" w14:textId="77777777" w:rsidR="001A7FE0" w:rsidRPr="007549C6" w:rsidRDefault="001A7FE0" w:rsidP="001A7FE0">
      <w:pPr>
        <w:pStyle w:val="B1"/>
        <w:ind w:left="562" w:hanging="274"/>
        <w:rPr>
          <w:lang w:val="en-US"/>
        </w:rPr>
      </w:pPr>
      <w:r w:rsidRPr="007549C6">
        <w:rPr>
          <w:lang w:val="en-US"/>
        </w:rPr>
        <w:t>-</w:t>
      </w:r>
      <w:r w:rsidRPr="007549C6">
        <w:tab/>
      </w:r>
      <w:r>
        <w:rPr>
          <w:lang w:val="en-US"/>
        </w:rPr>
        <w:t>first</w:t>
      </w:r>
      <w:r w:rsidRPr="007549C6">
        <w:rPr>
          <w:lang w:val="en-US"/>
        </w:rPr>
        <w:t>,</w:t>
      </w:r>
      <w:r w:rsidRPr="007549C6">
        <w:t xml:space="preserve"> in increasing </w:t>
      </w:r>
      <w:r w:rsidRPr="007549C6">
        <w:rPr>
          <w:lang w:val="en-US"/>
        </w:rPr>
        <w:t xml:space="preserve">order of DMRS </w:t>
      </w:r>
      <w:r>
        <w:rPr>
          <w:lang w:val="en-US"/>
        </w:rPr>
        <w:t xml:space="preserve">resource </w:t>
      </w:r>
      <w:r w:rsidRPr="007549C6">
        <w:rPr>
          <w:lang w:val="en-US"/>
        </w:rPr>
        <w:t xml:space="preserve">indexes </w:t>
      </w:r>
      <w:r w:rsidRPr="007549C6">
        <w:t xml:space="preserve">within a </w:t>
      </w:r>
      <w:r w:rsidRPr="007549C6">
        <w:rPr>
          <w:lang w:val="en-US"/>
        </w:rPr>
        <w:t>P</w:t>
      </w:r>
      <w:r w:rsidRPr="007549C6">
        <w:t xml:space="preserve">USCH occasion, where a DMRS </w:t>
      </w:r>
      <w:r>
        <w:rPr>
          <w:lang w:val="en-US"/>
        </w:rPr>
        <w:t xml:space="preserve">resource </w:t>
      </w:r>
      <w:r w:rsidRPr="007549C6">
        <w:t xml:space="preserve">index </w:t>
      </w:r>
      <m:oMath>
        <m:r>
          <w:rPr>
            <w:rFonts w:ascii="Cambria Math" w:hAnsi="Cambria Math"/>
          </w:rPr>
          <m:t>DMR</m:t>
        </m:r>
        <m:sSub>
          <m:sSubPr>
            <m:ctrlPr>
              <w:rPr>
                <w:rFonts w:ascii="Cambria Math" w:hAnsi="Cambria Math"/>
                <w:bCs/>
                <w:i/>
                <w:iCs/>
              </w:rPr>
            </m:ctrlPr>
          </m:sSubPr>
          <m:e>
            <m:r>
              <w:rPr>
                <w:rFonts w:ascii="Cambria Math" w:hAnsi="Cambria Math"/>
              </w:rPr>
              <m:t>S</m:t>
            </m:r>
          </m:e>
          <m:sub>
            <m:r>
              <w:rPr>
                <w:rFonts w:ascii="Cambria Math" w:hAnsi="Cambria Math"/>
              </w:rPr>
              <m:t>id</m:t>
            </m:r>
          </m:sub>
        </m:sSub>
      </m:oMath>
      <w:r w:rsidRPr="007549C6">
        <w:rPr>
          <w:bCs/>
          <w:iCs/>
        </w:rPr>
        <w:t xml:space="preserve"> is </w:t>
      </w:r>
      <w:r w:rsidRPr="007549C6">
        <w:t>determined first in an ascending order of a DMRS port index and second in an ascending order of a DMRS sequence index [4, TS 38.211]</w:t>
      </w:r>
    </w:p>
    <w:p w14:paraId="63AA8045" w14:textId="77777777" w:rsidR="001A7FE0" w:rsidRPr="007549C6" w:rsidRDefault="001A7FE0" w:rsidP="001A7FE0">
      <w:pPr>
        <w:pStyle w:val="B1"/>
        <w:ind w:left="576" w:hanging="288"/>
        <w:rPr>
          <w:lang w:val="en-US"/>
        </w:rPr>
      </w:pPr>
      <w:r w:rsidRPr="00DA5BB7">
        <w:rPr>
          <w:lang w:val="en-US"/>
        </w:rPr>
        <w:t>-</w:t>
      </w:r>
      <w:r w:rsidRPr="00DA5BB7">
        <w:tab/>
      </w:r>
      <w:r w:rsidRPr="00DA5BB7">
        <w:rPr>
          <w:lang w:val="en-US"/>
        </w:rPr>
        <w:t>second,</w:t>
      </w:r>
      <w:r w:rsidRPr="00DA5BB7">
        <w:t xml:space="preserve"> in increasing </w:t>
      </w:r>
      <w:r w:rsidRPr="00DA5BB7">
        <w:rPr>
          <w:lang w:val="en-US"/>
        </w:rPr>
        <w:t>order of PUSCH configuration period indexes</w:t>
      </w:r>
    </w:p>
    <w:p w14:paraId="1F07B27B" w14:textId="1DDAB755" w:rsidR="001A7FE0" w:rsidRDefault="001A7FE0" w:rsidP="001A7FE0">
      <w:pPr>
        <w:rPr>
          <w:lang w:eastAsia="zh-CN"/>
        </w:rPr>
      </w:pPr>
      <w:r>
        <w:rPr>
          <w:lang w:eastAsia="zh-CN"/>
        </w:rPr>
        <w:t xml:space="preserve">A PUSCH occasion is valid if it does not overlap with a </w:t>
      </w:r>
      <w:r w:rsidR="00364866" w:rsidRPr="00B310B2">
        <w:rPr>
          <w:lang w:eastAsia="zh-CN"/>
        </w:rPr>
        <w:t xml:space="preserve">valid </w:t>
      </w:r>
      <w:r>
        <w:rPr>
          <w:lang w:eastAsia="zh-CN"/>
        </w:rPr>
        <w:t xml:space="preserve">PRACH occasion as described in clause 8.1. </w:t>
      </w:r>
    </w:p>
    <w:p w14:paraId="0556E33E" w14:textId="143FF4DE" w:rsidR="001A7FE0" w:rsidRDefault="001A7FE0" w:rsidP="001A7FE0">
      <w:pPr>
        <w:rPr>
          <w:lang w:eastAsia="zh-CN"/>
        </w:rPr>
      </w:pPr>
      <w:r>
        <w:rPr>
          <w:lang w:eastAsia="zh-CN"/>
        </w:rPr>
        <w:t xml:space="preserve">For unpaired spectrum and for SS/PBCH blocks with indexes </w:t>
      </w:r>
      <w:r w:rsidRPr="00F76F56">
        <w:rPr>
          <w:rFonts w:hint="eastAsia"/>
          <w:lang w:eastAsia="zh-CN"/>
        </w:rPr>
        <w:t>provided by</w:t>
      </w:r>
      <w:r w:rsidRPr="00F76F56">
        <w:t xml:space="preserve"> </w:t>
      </w:r>
      <w:r w:rsidRPr="00F76F56">
        <w:rPr>
          <w:i/>
        </w:rPr>
        <w:t>ssb-PositionsInBurst</w:t>
      </w:r>
      <w:r w:rsidRPr="001107BF">
        <w:t xml:space="preserve"> </w:t>
      </w:r>
      <w:r w:rsidRPr="001107BF">
        <w:rPr>
          <w:lang w:val="en-US"/>
        </w:rPr>
        <w:t xml:space="preserve">in </w:t>
      </w:r>
      <w:r w:rsidRPr="001107BF">
        <w:rPr>
          <w:i/>
        </w:rPr>
        <w:t>S</w:t>
      </w:r>
      <w:r w:rsidRPr="001107BF">
        <w:rPr>
          <w:rFonts w:hint="eastAsia"/>
          <w:i/>
          <w:lang w:eastAsia="zh-CN"/>
        </w:rPr>
        <w:t>IB</w:t>
      </w:r>
      <w:r w:rsidRPr="001107BF">
        <w:rPr>
          <w:i/>
        </w:rPr>
        <w:t>1</w:t>
      </w:r>
    </w:p>
    <w:p w14:paraId="71586ABB" w14:textId="77777777" w:rsidR="001A7FE0" w:rsidRDefault="001A7FE0" w:rsidP="001A7FE0">
      <w:pPr>
        <w:pStyle w:val="B1"/>
      </w:pPr>
      <w:r w:rsidRPr="007549C6">
        <w:t>-</w:t>
      </w:r>
      <w:r w:rsidRPr="007549C6">
        <w:tab/>
      </w:r>
      <w:r w:rsidRPr="007549C6">
        <w:rPr>
          <w:lang w:eastAsia="zh-CN"/>
        </w:rPr>
        <w:t xml:space="preserve">if a UE is </w:t>
      </w:r>
      <w:r>
        <w:rPr>
          <w:lang w:eastAsia="zh-CN"/>
        </w:rPr>
        <w:t xml:space="preserve">not </w:t>
      </w:r>
      <w:r w:rsidRPr="007549C6">
        <w:rPr>
          <w:lang w:eastAsia="zh-CN"/>
        </w:rPr>
        <w:t xml:space="preserve">provided </w:t>
      </w:r>
      <w:r w:rsidRPr="007549C6">
        <w:rPr>
          <w:i/>
          <w:lang w:val="en-US"/>
        </w:rPr>
        <w:t>tdd-</w:t>
      </w:r>
      <w:r w:rsidRPr="007549C6">
        <w:rPr>
          <w:i/>
        </w:rPr>
        <w:t>UL-DL-</w:t>
      </w:r>
      <w:r w:rsidRPr="007549C6">
        <w:rPr>
          <w:i/>
          <w:lang w:val="en-US"/>
        </w:rPr>
        <w:t>ConfigurationCommon</w:t>
      </w:r>
      <w:r w:rsidRPr="007549C6">
        <w:t xml:space="preserve">, a PUSCH occasion is valid if </w:t>
      </w:r>
      <w:r>
        <w:t>the PUSCH occasion</w:t>
      </w:r>
    </w:p>
    <w:p w14:paraId="68038463" w14:textId="77777777" w:rsidR="001A7FE0" w:rsidRPr="00A24A1A" w:rsidRDefault="001A7FE0" w:rsidP="001A7FE0">
      <w:pPr>
        <w:pStyle w:val="B2"/>
      </w:pPr>
      <w:r w:rsidRPr="00A24A1A">
        <w:t>-</w:t>
      </w:r>
      <w:r w:rsidRPr="00A24A1A">
        <w:tab/>
        <w:t xml:space="preserve">does not precede a SS/PBCH block in the PUSCH slot, and </w:t>
      </w:r>
    </w:p>
    <w:p w14:paraId="69FABEED" w14:textId="77777777" w:rsidR="001A7FE0" w:rsidRPr="00D057B9" w:rsidRDefault="001A7FE0" w:rsidP="001A7FE0">
      <w:pPr>
        <w:pStyle w:val="B2"/>
        <w:rPr>
          <w:lang w:val="en-US"/>
        </w:rPr>
      </w:pPr>
      <w:r w:rsidRPr="00D057B9">
        <w:t>-</w:t>
      </w:r>
      <w:r w:rsidRPr="00D057B9">
        <w:tab/>
        <w:t xml:space="preserve">starts at least </w:t>
      </w:r>
      <m:oMath>
        <m:sSub>
          <m:sSubPr>
            <m:ctrlPr>
              <w:rPr>
                <w:rFonts w:ascii="Cambria Math" w:hAnsi="Cambria Math"/>
                <w:i/>
              </w:rPr>
            </m:ctrlPr>
          </m:sSubPr>
          <m:e>
            <m:r>
              <w:rPr>
                <w:rFonts w:ascii="Cambria Math" w:hAnsi="Cambria Math"/>
              </w:rPr>
              <m:t>N</m:t>
            </m:r>
          </m:e>
          <m:sub>
            <m:r>
              <m:rPr>
                <m:nor/>
              </m:rPr>
              <m:t>gap</m:t>
            </m:r>
            <m:ctrlPr>
              <w:rPr>
                <w:rFonts w:ascii="Cambria Math" w:hAnsi="Cambria Math"/>
              </w:rPr>
            </m:ctrlPr>
          </m:sub>
        </m:sSub>
      </m:oMath>
      <w:r w:rsidRPr="00D057B9">
        <w:t xml:space="preserve"> symbols after a last SS/PBCH block symbol, where </w:t>
      </w:r>
      <m:oMath>
        <m:sSub>
          <m:sSubPr>
            <m:ctrlPr>
              <w:rPr>
                <w:rFonts w:ascii="Cambria Math" w:hAnsi="Cambria Math"/>
                <w:i/>
              </w:rPr>
            </m:ctrlPr>
          </m:sSubPr>
          <m:e>
            <m:r>
              <w:rPr>
                <w:rFonts w:ascii="Cambria Math" w:hAnsi="Cambria Math"/>
              </w:rPr>
              <m:t>N</m:t>
            </m:r>
          </m:e>
          <m:sub>
            <m:r>
              <m:rPr>
                <m:nor/>
              </m:rPr>
              <m:t>gap</m:t>
            </m:r>
            <m:ctrlPr>
              <w:rPr>
                <w:rFonts w:ascii="Cambria Math" w:hAnsi="Cambria Math"/>
              </w:rPr>
            </m:ctrlPr>
          </m:sub>
        </m:sSub>
      </m:oMath>
      <w:r w:rsidRPr="00D057B9">
        <w:t xml:space="preserve"> is provided in Table 8.1-2</w:t>
      </w:r>
    </w:p>
    <w:p w14:paraId="537B78B1" w14:textId="77777777" w:rsidR="001A7FE0" w:rsidRPr="007549C6" w:rsidRDefault="001A7FE0" w:rsidP="001A7FE0">
      <w:pPr>
        <w:pStyle w:val="B1"/>
      </w:pPr>
      <w:r w:rsidRPr="007549C6">
        <w:t>-</w:t>
      </w:r>
      <w:r w:rsidRPr="007549C6">
        <w:tab/>
      </w:r>
      <w:r w:rsidRPr="007549C6">
        <w:rPr>
          <w:lang w:eastAsia="zh-CN"/>
        </w:rPr>
        <w:t xml:space="preserve">if a UE is provided </w:t>
      </w:r>
      <w:r w:rsidRPr="007549C6">
        <w:rPr>
          <w:i/>
          <w:lang w:val="en-US"/>
        </w:rPr>
        <w:t>tdd-</w:t>
      </w:r>
      <w:r w:rsidRPr="007549C6">
        <w:rPr>
          <w:i/>
        </w:rPr>
        <w:t>UL-DL-</w:t>
      </w:r>
      <w:r w:rsidRPr="007549C6">
        <w:rPr>
          <w:i/>
          <w:lang w:val="en-US"/>
        </w:rPr>
        <w:t>ConfigurationCommon</w:t>
      </w:r>
      <w:r w:rsidRPr="007549C6">
        <w:t xml:space="preserve">, a PUSCH occasion is valid if </w:t>
      </w:r>
      <w:r>
        <w:t>the PUSCH occasion</w:t>
      </w:r>
    </w:p>
    <w:p w14:paraId="42D1FC09" w14:textId="77777777" w:rsidR="001A7FE0" w:rsidRPr="007549C6" w:rsidRDefault="001A7FE0" w:rsidP="001A7FE0">
      <w:pPr>
        <w:pStyle w:val="B2"/>
      </w:pPr>
      <w:r w:rsidRPr="007549C6">
        <w:t>-</w:t>
      </w:r>
      <w:r w:rsidRPr="007549C6">
        <w:tab/>
        <w:t>is within UL symbols</w:t>
      </w:r>
    </w:p>
    <w:p w14:paraId="0CBEC807" w14:textId="77777777" w:rsidR="001A7FE0" w:rsidRPr="00A312BF" w:rsidRDefault="001A7FE0" w:rsidP="001A7FE0">
      <w:pPr>
        <w:pStyle w:val="B2"/>
      </w:pPr>
      <w:r>
        <w:rPr>
          <w:lang w:val="en-US"/>
        </w:rPr>
        <w:t>-</w:t>
      </w:r>
      <w:r>
        <w:rPr>
          <w:lang w:val="en-US"/>
        </w:rPr>
        <w:tab/>
      </w:r>
      <w:r w:rsidRPr="007549C6">
        <w:t>starts at least</w:t>
      </w:r>
      <w:r w:rsidRPr="007549C6">
        <w:rPr>
          <w:lang w:val="en-US"/>
        </w:rPr>
        <w:t xml:space="preserve"> </w:t>
      </w:r>
      <m:oMath>
        <m:sSub>
          <m:sSubPr>
            <m:ctrlPr>
              <w:rPr>
                <w:rFonts w:ascii="Cambria Math" w:hAnsi="Cambria Math"/>
                <w:i/>
              </w:rPr>
            </m:ctrlPr>
          </m:sSubPr>
          <m:e>
            <m:r>
              <w:rPr>
                <w:rFonts w:ascii="Cambria Math" w:hAnsi="Cambria Math"/>
              </w:rPr>
              <m:t>N</m:t>
            </m:r>
          </m:e>
          <m:sub>
            <m:r>
              <m:rPr>
                <m:nor/>
              </m:rPr>
              <m:t>gap</m:t>
            </m:r>
            <m:ctrlPr>
              <w:rPr>
                <w:rFonts w:ascii="Cambria Math" w:hAnsi="Cambria Math"/>
              </w:rPr>
            </m:ctrlPr>
          </m:sub>
        </m:sSub>
      </m:oMath>
      <w:r w:rsidRPr="007549C6">
        <w:t xml:space="preserve"> symbols after a last downlink symbol</w:t>
      </w:r>
      <w:r>
        <w:rPr>
          <w:lang w:val="en-US"/>
        </w:rPr>
        <w:t>,</w:t>
      </w:r>
      <w:r w:rsidRPr="007549C6">
        <w:t xml:space="preserve"> and at least</w:t>
      </w:r>
      <w:r w:rsidRPr="007549C6">
        <w:rPr>
          <w:lang w:val="en-US"/>
        </w:rPr>
        <w:t xml:space="preserve"> </w:t>
      </w:r>
      <m:oMath>
        <m:sSub>
          <m:sSubPr>
            <m:ctrlPr>
              <w:rPr>
                <w:rFonts w:ascii="Cambria Math" w:hAnsi="Cambria Math"/>
                <w:i/>
              </w:rPr>
            </m:ctrlPr>
          </m:sSubPr>
          <m:e>
            <m:r>
              <w:rPr>
                <w:rFonts w:ascii="Cambria Math" w:hAnsi="Cambria Math"/>
              </w:rPr>
              <m:t>N</m:t>
            </m:r>
          </m:e>
          <m:sub>
            <m:r>
              <m:rPr>
                <m:nor/>
              </m:rPr>
              <m:t>gap</m:t>
            </m:r>
            <m:ctrlPr>
              <w:rPr>
                <w:rFonts w:ascii="Cambria Math" w:hAnsi="Cambria Math"/>
              </w:rPr>
            </m:ctrlPr>
          </m:sub>
        </m:sSub>
      </m:oMath>
      <w:r w:rsidRPr="007549C6">
        <w:t xml:space="preserve"> symbols after a last SS/PBCH block symbol</w:t>
      </w:r>
      <w:r w:rsidRPr="007549C6">
        <w:rPr>
          <w:lang w:val="en-US"/>
        </w:rPr>
        <w:t>,</w:t>
      </w:r>
      <w:r w:rsidRPr="007549C6">
        <w:t xml:space="preserve"> where </w:t>
      </w:r>
      <m:oMath>
        <m:sSub>
          <m:sSubPr>
            <m:ctrlPr>
              <w:rPr>
                <w:rFonts w:ascii="Cambria Math" w:hAnsi="Cambria Math"/>
                <w:i/>
              </w:rPr>
            </m:ctrlPr>
          </m:sSubPr>
          <m:e>
            <m:r>
              <w:rPr>
                <w:rFonts w:ascii="Cambria Math" w:hAnsi="Cambria Math"/>
              </w:rPr>
              <m:t>N</m:t>
            </m:r>
          </m:e>
          <m:sub>
            <m:r>
              <m:rPr>
                <m:nor/>
              </m:rPr>
              <m:t>gap</m:t>
            </m:r>
            <m:ctrlPr>
              <w:rPr>
                <w:rFonts w:ascii="Cambria Math" w:hAnsi="Cambria Math"/>
              </w:rPr>
            </m:ctrlPr>
          </m:sub>
        </m:sSub>
      </m:oMath>
      <w:r w:rsidRPr="007549C6">
        <w:t xml:space="preserve"> is provided in Table 8.</w:t>
      </w:r>
      <w:r w:rsidRPr="007549C6">
        <w:rPr>
          <w:lang w:val="en-US"/>
        </w:rPr>
        <w:t>1</w:t>
      </w:r>
      <w:r w:rsidRPr="007549C6">
        <w:t>-2</w:t>
      </w:r>
    </w:p>
    <w:p w14:paraId="0E0C7775" w14:textId="77777777" w:rsidR="001A7FE0" w:rsidRDefault="001A7FE0" w:rsidP="001A7FE0">
      <w:pPr>
        <w:rPr>
          <w:rFonts w:eastAsia="MS Mincho"/>
        </w:rPr>
      </w:pPr>
      <w:r>
        <w:t xml:space="preserve">A UE determines a power of a PUSCH transmission as described in clause 7.1.1, where the UE obtains </w:t>
      </w:r>
      <m:oMath>
        <m:sSub>
          <m:sSubPr>
            <m:ctrlPr>
              <w:rPr>
                <w:rFonts w:ascii="Cambria Math" w:hAnsi="Cambria Math"/>
                <w:i/>
              </w:rPr>
            </m:ctrlPr>
          </m:sSubPr>
          <m:e>
            <m:r>
              <w:rPr>
                <w:rFonts w:ascii="Cambria Math" w:hAnsi="Cambria Math"/>
              </w:rPr>
              <m:t>PL</m:t>
            </m:r>
          </m:e>
          <m:sub>
            <m:r>
              <w:rPr>
                <w:rFonts w:ascii="Cambria Math" w:hAnsi="Cambria Math"/>
              </w:rPr>
              <m:t>b,f,c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oMath>
      <w:r>
        <w:t xml:space="preserve"> </w:t>
      </w:r>
      <w:r>
        <w:rPr>
          <w:iCs/>
        </w:rPr>
        <w:t>using a RS resource</w:t>
      </w:r>
      <w:r>
        <w:rPr>
          <w:iCs/>
          <w:lang w:val="en-US"/>
        </w:rPr>
        <w:t xml:space="preserve"> </w:t>
      </w:r>
      <w:r>
        <w:rPr>
          <w:iCs/>
        </w:rPr>
        <w:t xml:space="preserve">from </w:t>
      </w:r>
      <w:r>
        <w:rPr>
          <w:iCs/>
          <w:lang w:val="en-US"/>
        </w:rPr>
        <w:t>an</w:t>
      </w:r>
      <w:r>
        <w:rPr>
          <w:iCs/>
        </w:rPr>
        <w:t xml:space="preserve"> SS/PBCH block </w:t>
      </w:r>
      <w:r w:rsidRPr="007E77FC">
        <w:rPr>
          <w:rFonts w:eastAsia="MS Mincho"/>
        </w:rPr>
        <w:t xml:space="preserve">with index </w:t>
      </w:r>
      <w:r>
        <w:rPr>
          <w:rFonts w:eastAsia="MS Mincho"/>
        </w:rPr>
        <w:t xml:space="preserve">associated with the PUSCH transmission. </w:t>
      </w:r>
    </w:p>
    <w:p w14:paraId="0F4F7EDA" w14:textId="5F4E3172" w:rsidR="001A7FE0" w:rsidRDefault="001A7FE0" w:rsidP="001A7FE0">
      <w:r>
        <w:rPr>
          <w:iCs/>
        </w:rPr>
        <w:t xml:space="preserve">A UE can be provided </w:t>
      </w:r>
      <w:r w:rsidRPr="00412D67">
        <w:rPr>
          <w:iCs/>
        </w:rPr>
        <w:t>a</w:t>
      </w:r>
      <w:r w:rsidRPr="0019659F">
        <w:rPr>
          <w:iCs/>
        </w:rPr>
        <w:t xml:space="preserve"> USS set</w:t>
      </w:r>
      <w:r>
        <w:rPr>
          <w:iCs/>
        </w:rPr>
        <w:t xml:space="preserve"> </w:t>
      </w:r>
      <w:r w:rsidRPr="0019659F">
        <w:rPr>
          <w:iCs/>
        </w:rPr>
        <w:t>by</w:t>
      </w:r>
      <w:r w:rsidRPr="00C82AFA">
        <w:rPr>
          <w:lang w:val="en-US" w:eastAsia="x-none"/>
        </w:rPr>
        <w:t xml:space="preserve"> </w:t>
      </w:r>
      <w:r w:rsidRPr="00412D67">
        <w:rPr>
          <w:i/>
          <w:iCs/>
          <w:lang w:val="en-US" w:eastAsia="x-none"/>
        </w:rPr>
        <w:t>SearchSpace</w:t>
      </w:r>
      <w:r>
        <w:rPr>
          <w:lang w:val="en-US" w:eastAsia="x-none"/>
        </w:rPr>
        <w:t xml:space="preserve">, or a CSS set by </w:t>
      </w:r>
      <w:r w:rsidRPr="00EA36F6">
        <w:rPr>
          <w:i/>
          <w:iCs/>
          <w:lang w:val="en-US" w:eastAsia="x-none"/>
        </w:rPr>
        <w:t>sdt-SearchSpace</w:t>
      </w:r>
      <w:r>
        <w:rPr>
          <w:lang w:val="en-US" w:eastAsia="x-none"/>
        </w:rPr>
        <w:t xml:space="preserve">, </w:t>
      </w:r>
      <w:r>
        <w:rPr>
          <w:iCs/>
        </w:rPr>
        <w:t xml:space="preserve">to monitor PDCCH for detection of DCI format 0_0 with CRC scrambled by C-RNTI or CS-RNTI for scheduling PUSCH transmission or of DCI format 1_0 with CRC scrambled by C-RNTI for scheduling PDSCH receptions [12, TS 38.331]. </w:t>
      </w:r>
      <w:r w:rsidRPr="00B916EC">
        <w:t xml:space="preserve">The UE may assume that the </w:t>
      </w:r>
      <w:r w:rsidRPr="00B916EC">
        <w:lastRenderedPageBreak/>
        <w:t>DM</w:t>
      </w:r>
      <w:r>
        <w:t>-</w:t>
      </w:r>
      <w:r w:rsidRPr="00B916EC">
        <w:t xml:space="preserve">RS antenna port associated with </w:t>
      </w:r>
      <w:r>
        <w:t xml:space="preserve">the </w:t>
      </w:r>
      <w:r w:rsidRPr="00B916EC">
        <w:t>PDCCH reception</w:t>
      </w:r>
      <w:r>
        <w:t xml:space="preserve">s, </w:t>
      </w:r>
      <w:r w:rsidRPr="00B916EC">
        <w:t>the DM</w:t>
      </w:r>
      <w:r>
        <w:t>-</w:t>
      </w:r>
      <w:r w:rsidRPr="00B916EC">
        <w:t xml:space="preserve">RS antenna port associated with </w:t>
      </w:r>
      <w:r>
        <w:t xml:space="preserve">the </w:t>
      </w:r>
      <w:r w:rsidRPr="00B916EC">
        <w:t>PD</w:t>
      </w:r>
      <w:r>
        <w:t>S</w:t>
      </w:r>
      <w:r w:rsidRPr="00B916EC">
        <w:t>CH reception</w:t>
      </w:r>
      <w:r>
        <w:t xml:space="preserve">s, </w:t>
      </w:r>
      <w:r w:rsidRPr="00B916EC">
        <w:t xml:space="preserve">and the </w:t>
      </w:r>
      <w:r>
        <w:t>SS/</w:t>
      </w:r>
      <w:r w:rsidRPr="00B916EC">
        <w:t xml:space="preserve">PBCH </w:t>
      </w:r>
      <w:r>
        <w:t>block</w:t>
      </w:r>
      <w:r w:rsidRPr="00B916EC">
        <w:t xml:space="preserve"> </w:t>
      </w:r>
      <w:r>
        <w:t xml:space="preserve">associated with the PUSCH transmission </w:t>
      </w:r>
      <w:r w:rsidRPr="00B916EC">
        <w:t>are quasi</w:t>
      </w:r>
      <w:r>
        <w:t xml:space="preserve"> </w:t>
      </w:r>
      <w:r w:rsidRPr="00B916EC">
        <w:t>co</w:t>
      </w:r>
      <w:r>
        <w:t>-</w:t>
      </w:r>
      <w:r w:rsidRPr="00B916EC">
        <w:t xml:space="preserve">located with respect to </w:t>
      </w:r>
      <w:r>
        <w:t>average gain and quasi co-location 'typeA' or 'typeD' properties</w:t>
      </w:r>
      <w:r>
        <w:rPr>
          <w:kern w:val="2"/>
          <w:lang w:eastAsia="zh-CN"/>
        </w:rPr>
        <w:t xml:space="preserve">. </w:t>
      </w:r>
      <w:r>
        <w:t>The UE transmits a PUCCH with HARQ-ACK information associated with the PDSCH receptions as described in clause 9.2.1</w:t>
      </w:r>
      <w:r w:rsidR="00364866" w:rsidRPr="00B310B2">
        <w:t xml:space="preserve"> using a same spatial domain transmission filter as for the last PUSCH transmission</w:t>
      </w:r>
      <w:r>
        <w:t>.</w:t>
      </w:r>
    </w:p>
    <w:p w14:paraId="3A98AA12" w14:textId="4B269A17" w:rsidR="002D5B67" w:rsidRPr="002D5B67" w:rsidRDefault="002D5B67" w:rsidP="002D5B67">
      <w:pPr>
        <w:widowControl w:val="0"/>
        <w:spacing w:line="259" w:lineRule="auto"/>
      </w:pPr>
      <w:r w:rsidRPr="002D5B67">
        <w:t xml:space="preserve">For </w:t>
      </w:r>
      <w:r w:rsidRPr="002D5B67">
        <w:rPr>
          <w:rFonts w:hint="eastAsia"/>
          <w:lang w:eastAsia="zh-CN"/>
        </w:rPr>
        <w:t>initial</w:t>
      </w:r>
      <w:r w:rsidRPr="002D5B67">
        <w:t xml:space="preserve"> transmission or autonomous retransmission of an initial transport block provided for the PUSCH transmission</w:t>
      </w:r>
      <w:r w:rsidRPr="002D5B67">
        <w:rPr>
          <w:rFonts w:hint="eastAsia"/>
          <w:lang w:val="en-US" w:eastAsia="zh-CN"/>
        </w:rPr>
        <w:t xml:space="preserve"> as described in clause 18.0 in [19, TS 38.300]</w:t>
      </w:r>
      <w:r w:rsidRPr="002D5B67">
        <w:t>, the UE encodes the transport block using redundancy version number 0</w:t>
      </w:r>
      <w:r w:rsidR="003B0C82">
        <w:rPr>
          <w:rFonts w:hint="eastAsia"/>
          <w:lang w:val="en-US" w:eastAsia="zh-CN"/>
        </w:rPr>
        <w:t xml:space="preserve"> if the UE is not provided </w:t>
      </w:r>
      <w:r w:rsidR="003B0C82">
        <w:rPr>
          <w:i/>
          <w:iCs/>
          <w:lang w:val="en-US" w:eastAsia="zh-CN"/>
        </w:rPr>
        <w:t>repK-RV</w:t>
      </w:r>
      <w:r w:rsidRPr="002D5B67">
        <w:t>.</w:t>
      </w:r>
    </w:p>
    <w:p w14:paraId="77C21F46" w14:textId="77777777" w:rsidR="001A7FE0" w:rsidRPr="00B916EC" w:rsidRDefault="001A7FE0" w:rsidP="001A7FE0">
      <w:pPr>
        <w:pStyle w:val="Heading2"/>
      </w:pPr>
      <w:bookmarkStart w:id="965" w:name="_Toc161999199"/>
      <w:r>
        <w:t>19.2</w:t>
      </w:r>
      <w:r>
        <w:tab/>
        <w:t>Random-access based PUSCH transmission</w:t>
      </w:r>
      <w:bookmarkEnd w:id="965"/>
    </w:p>
    <w:p w14:paraId="66DC8BF1" w14:textId="6D522A6F" w:rsidR="001A7FE0" w:rsidRPr="00485CB4" w:rsidRDefault="001A7FE0" w:rsidP="001A7FE0">
      <w:pPr>
        <w:rPr>
          <w:iCs/>
        </w:rPr>
      </w:pPr>
      <w:r>
        <w:rPr>
          <w:iCs/>
        </w:rPr>
        <w:t>A</w:t>
      </w:r>
      <w:r w:rsidRPr="00E31762">
        <w:rPr>
          <w:iCs/>
        </w:rPr>
        <w:t xml:space="preserve"> UE indicated to release a dedicated RRC connection</w:t>
      </w:r>
      <w:r>
        <w:rPr>
          <w:iCs/>
        </w:rPr>
        <w:t xml:space="preserve"> </w:t>
      </w:r>
      <w:r w:rsidRPr="00E31762">
        <w:t xml:space="preserve">can be provided </w:t>
      </w:r>
      <w:r>
        <w:t>a</w:t>
      </w:r>
      <w:r w:rsidRPr="00E31762">
        <w:t xml:space="preserve"> configuration</w:t>
      </w:r>
      <w:r>
        <w:t xml:space="preserve"> for a Type-1 and/or a Type-2 random access procedure </w:t>
      </w:r>
      <w:r>
        <w:rPr>
          <w:rFonts w:cs="Arial"/>
          <w:color w:val="000000"/>
          <w:szCs w:val="32"/>
          <w:lang w:eastAsia="zh-CN"/>
        </w:rPr>
        <w:t xml:space="preserve">on the initial UL BWP </w:t>
      </w:r>
      <w:r w:rsidRPr="00E31762">
        <w:rPr>
          <w:rFonts w:cs="Arial"/>
          <w:color w:val="000000"/>
          <w:szCs w:val="32"/>
          <w:lang w:eastAsia="zh-CN"/>
        </w:rPr>
        <w:t>[12, TS 38.331].</w:t>
      </w:r>
      <w:r>
        <w:rPr>
          <w:rFonts w:cs="Arial"/>
          <w:color w:val="000000"/>
          <w:szCs w:val="32"/>
          <w:lang w:eastAsia="zh-CN"/>
        </w:rPr>
        <w:t xml:space="preserve"> </w:t>
      </w:r>
      <w:r>
        <w:rPr>
          <w:lang w:val="en-US"/>
        </w:rPr>
        <w:t xml:space="preserve">PRACH occasions can have either a common configuration as, or a separate configuration from, PRACH occasions for Type-1 or Type-2 random access procedure as described in clause 8.1. </w:t>
      </w:r>
      <w:r>
        <w:rPr>
          <w:iCs/>
        </w:rPr>
        <w:t>The</w:t>
      </w:r>
      <w:r>
        <w:t xml:space="preserve"> UE procedure is as described in clause 8, including clauses 8.1 through 8.4. </w:t>
      </w:r>
      <w:r>
        <w:rPr>
          <w:iCs/>
        </w:rPr>
        <w:t>The UE transmits a PRACH preamble with a power determined as described in clause 7.4.</w:t>
      </w:r>
    </w:p>
    <w:p w14:paraId="35F1842D" w14:textId="0929EB00" w:rsidR="001A7FE0" w:rsidRPr="007B641C" w:rsidRDefault="001A7FE0" w:rsidP="001A7FE0">
      <w:r w:rsidRPr="007B641C">
        <w:rPr>
          <w:iCs/>
        </w:rPr>
        <w:t xml:space="preserve">For a common configuration of PRACH occasions and a Type-1 or a Type-2 random access procedure, a UE can be provided </w:t>
      </w:r>
      <w:r w:rsidRPr="007B641C">
        <w:t xml:space="preserve">a number of </w:t>
      </w:r>
      <w:r w:rsidR="00385759" w:rsidRPr="007B641C">
        <w:t xml:space="preserve">contention based preambles per </w:t>
      </w:r>
      <w:r w:rsidRPr="007B641C">
        <w:t xml:space="preserve">SS/PBCH block index </w:t>
      </w:r>
      <w:r w:rsidR="00385759" w:rsidRPr="007B641C">
        <w:t>per valid</w:t>
      </w:r>
      <w:r w:rsidRPr="007B641C">
        <w:t xml:space="preserve"> PRACH occasion by</w:t>
      </w:r>
      <w:r w:rsidR="007B641C" w:rsidRPr="007B641C">
        <w:t xml:space="preserve"> </w:t>
      </w:r>
      <w:r w:rsidR="007B641C" w:rsidRPr="007B641C">
        <w:rPr>
          <w:i/>
        </w:rPr>
        <w:t xml:space="preserve">startPreambleForThisPartition </w:t>
      </w:r>
      <w:r w:rsidR="007B641C" w:rsidRPr="007B641C">
        <w:t>and</w:t>
      </w:r>
      <w:r w:rsidR="007B641C" w:rsidRPr="007B641C">
        <w:rPr>
          <w:i/>
        </w:rPr>
        <w:t xml:space="preserve"> numberOfPreamblesPerSSB-ForThisPartition </w:t>
      </w:r>
      <w:r w:rsidR="007B641C" w:rsidRPr="007B641C">
        <w:t>when</w:t>
      </w:r>
      <w:r w:rsidR="007B641C" w:rsidRPr="007B641C">
        <w:rPr>
          <w:i/>
        </w:rPr>
        <w:t xml:space="preserve"> smallData</w:t>
      </w:r>
      <w:r w:rsidR="007B641C" w:rsidRPr="007B641C">
        <w:t xml:space="preserve"> is present in corresponding </w:t>
      </w:r>
      <w:r w:rsidR="007B641C" w:rsidRPr="007B641C">
        <w:rPr>
          <w:i/>
        </w:rPr>
        <w:t>FeatureCombination</w:t>
      </w:r>
      <w:r w:rsidRPr="007B641C">
        <w:rPr>
          <w:lang w:val="en-US"/>
        </w:rPr>
        <w:t xml:space="preserve">. </w:t>
      </w:r>
      <w:r w:rsidRPr="007B641C">
        <w:rPr>
          <w:shd w:val="clear" w:color="auto" w:fill="FFFFFF"/>
        </w:rPr>
        <w:t xml:space="preserve">A PRACH transmission can be on a subset of PRACH occasions associated with a same SS/PBCH block index </w:t>
      </w:r>
      <w:r w:rsidRPr="007B641C">
        <w:rPr>
          <w:rFonts w:hint="eastAsia"/>
          <w:shd w:val="clear" w:color="auto" w:fill="FFFFFF"/>
          <w:lang w:eastAsia="zh-CN"/>
        </w:rPr>
        <w:t>within a</w:t>
      </w:r>
      <w:r w:rsidRPr="007B641C">
        <w:rPr>
          <w:shd w:val="clear" w:color="auto" w:fill="FFFFFF"/>
          <w:lang w:eastAsia="zh-CN"/>
        </w:rPr>
        <w:t>n</w:t>
      </w:r>
      <w:r w:rsidRPr="007B641C">
        <w:rPr>
          <w:rFonts w:hint="eastAsia"/>
          <w:shd w:val="clear" w:color="auto" w:fill="FFFFFF"/>
          <w:lang w:eastAsia="zh-CN"/>
        </w:rPr>
        <w:t xml:space="preserve"> SSB-RO mapping cycle</w:t>
      </w:r>
      <w:r w:rsidRPr="007B641C">
        <w:rPr>
          <w:shd w:val="clear" w:color="auto" w:fill="FFFFFF"/>
        </w:rPr>
        <w:t xml:space="preserve"> as determined by a PRACH mask index provided by </w:t>
      </w:r>
      <w:r w:rsidR="007B641C" w:rsidRPr="007B641C">
        <w:rPr>
          <w:i/>
          <w:iCs/>
          <w:shd w:val="clear" w:color="auto" w:fill="FFFFFF"/>
        </w:rPr>
        <w:t>ssb</w:t>
      </w:r>
      <w:r w:rsidRPr="007B641C">
        <w:rPr>
          <w:i/>
          <w:iCs/>
          <w:shd w:val="clear" w:color="auto" w:fill="FFFFFF"/>
        </w:rPr>
        <w:t>-SharedRO-MaskIndex</w:t>
      </w:r>
      <w:r w:rsidRPr="007B641C">
        <w:rPr>
          <w:rStyle w:val="apple-converted-space"/>
          <w:shd w:val="clear" w:color="auto" w:fill="FFFFFF"/>
        </w:rPr>
        <w:t xml:space="preserve"> </w:t>
      </w:r>
      <w:r w:rsidRPr="007B641C">
        <w:rPr>
          <w:shd w:val="clear" w:color="auto" w:fill="FFFFFF"/>
        </w:rPr>
        <w:t>according to [11, TS 38.321]</w:t>
      </w:r>
      <w:r w:rsidRPr="007B641C">
        <w:t xml:space="preserve">. </w:t>
      </w:r>
    </w:p>
    <w:p w14:paraId="4A3AF679" w14:textId="5F60AA3F" w:rsidR="001A7FE0" w:rsidRDefault="001A7FE0" w:rsidP="0068506D">
      <w:pPr>
        <w:rPr>
          <w:kern w:val="2"/>
          <w:lang w:eastAsia="zh-CN"/>
        </w:rPr>
      </w:pPr>
      <w:r>
        <w:rPr>
          <w:iCs/>
        </w:rPr>
        <w:t xml:space="preserve">A UE can be provided </w:t>
      </w:r>
      <w:r w:rsidRPr="0019659F">
        <w:rPr>
          <w:iCs/>
        </w:rPr>
        <w:t>by</w:t>
      </w:r>
      <w:r w:rsidRPr="00C82AFA">
        <w:rPr>
          <w:lang w:val="en-US" w:eastAsia="x-none"/>
        </w:rPr>
        <w:t xml:space="preserve"> </w:t>
      </w:r>
      <w:r w:rsidRPr="00EA36F6">
        <w:rPr>
          <w:i/>
          <w:iCs/>
          <w:lang w:val="en-US" w:eastAsia="x-none"/>
        </w:rPr>
        <w:t>sdt-SearchSpace</w:t>
      </w:r>
      <w:r>
        <w:rPr>
          <w:lang w:val="en-US" w:eastAsia="x-none"/>
        </w:rPr>
        <w:t xml:space="preserve"> </w:t>
      </w:r>
      <w:r w:rsidRPr="00412D67">
        <w:rPr>
          <w:iCs/>
        </w:rPr>
        <w:t>a</w:t>
      </w:r>
      <w:r w:rsidRPr="0019659F">
        <w:rPr>
          <w:iCs/>
        </w:rPr>
        <w:t xml:space="preserve"> </w:t>
      </w:r>
      <w:r>
        <w:rPr>
          <w:iCs/>
        </w:rPr>
        <w:t>C</w:t>
      </w:r>
      <w:r w:rsidRPr="0019659F">
        <w:rPr>
          <w:iCs/>
        </w:rPr>
        <w:t>SS set</w:t>
      </w:r>
      <w:r>
        <w:rPr>
          <w:iCs/>
        </w:rPr>
        <w:t xml:space="preserve"> to monitor, after contention resolution as described in clause 8.4, PDCCH for detection of a DCI format 0_0 or DCI format 1_0 with CRC scrambled by C-RNTI for scheduling respective PUSCH transmissions or PDSCH receptions; otherwise, if the UE is not provided </w:t>
      </w:r>
      <w:r w:rsidRPr="00EA36F6">
        <w:rPr>
          <w:i/>
          <w:iCs/>
          <w:lang w:val="en-US" w:eastAsia="x-none"/>
        </w:rPr>
        <w:t>sdt-SearchSpace</w:t>
      </w:r>
      <w:r>
        <w:rPr>
          <w:iCs/>
        </w:rPr>
        <w:t xml:space="preserve">, the UE monitors PDCCH according to a Type1-PDCCH CSS set as described in clause 10.1. </w:t>
      </w:r>
      <w:r w:rsidRPr="00B916EC">
        <w:t>The UE may assume that the DM</w:t>
      </w:r>
      <w:r>
        <w:t>-</w:t>
      </w:r>
      <w:r w:rsidRPr="00B916EC">
        <w:t xml:space="preserve">RS antenna port associated with </w:t>
      </w:r>
      <w:r>
        <w:t xml:space="preserve">the </w:t>
      </w:r>
      <w:r w:rsidRPr="00B916EC">
        <w:t>PDCCH reception</w:t>
      </w:r>
      <w:r>
        <w:t xml:space="preserve">s, </w:t>
      </w:r>
      <w:r w:rsidRPr="00B916EC">
        <w:t>the DM</w:t>
      </w:r>
      <w:r>
        <w:t>-</w:t>
      </w:r>
      <w:r w:rsidRPr="00B916EC">
        <w:t xml:space="preserve">RS antenna port associated with </w:t>
      </w:r>
      <w:r>
        <w:t xml:space="preserve">the </w:t>
      </w:r>
      <w:r w:rsidRPr="00B916EC">
        <w:t>PD</w:t>
      </w:r>
      <w:r>
        <w:t>S</w:t>
      </w:r>
      <w:r w:rsidRPr="00B916EC">
        <w:t>CH reception</w:t>
      </w:r>
      <w:r>
        <w:t xml:space="preserve">s, </w:t>
      </w:r>
      <w:r w:rsidRPr="00B916EC">
        <w:t xml:space="preserve">and the </w:t>
      </w:r>
      <w:r>
        <w:t>SS/</w:t>
      </w:r>
      <w:r w:rsidRPr="00B916EC">
        <w:t xml:space="preserve">PBCH </w:t>
      </w:r>
      <w:r>
        <w:t>block</w:t>
      </w:r>
      <w:r w:rsidRPr="00B916EC">
        <w:t xml:space="preserve"> </w:t>
      </w:r>
      <w:r>
        <w:t xml:space="preserve">associated with the PRACH transmission </w:t>
      </w:r>
      <w:r w:rsidRPr="00B916EC">
        <w:t>are quasi</w:t>
      </w:r>
      <w:r>
        <w:t xml:space="preserve"> </w:t>
      </w:r>
      <w:r w:rsidRPr="00B916EC">
        <w:t>co</w:t>
      </w:r>
      <w:r>
        <w:t>-</w:t>
      </w:r>
      <w:r w:rsidRPr="00B916EC">
        <w:t xml:space="preserve">located with respect to </w:t>
      </w:r>
      <w:r>
        <w:t>average gain and quasi co-location 'typeA' or 'typeD' properties</w:t>
      </w:r>
      <w:r>
        <w:rPr>
          <w:kern w:val="2"/>
          <w:lang w:eastAsia="zh-CN"/>
        </w:rPr>
        <w:t>.</w:t>
      </w:r>
    </w:p>
    <w:p w14:paraId="2B2ED971" w14:textId="77777777" w:rsidR="00DB7D93" w:rsidRPr="00DB7D93" w:rsidRDefault="00DB7D93" w:rsidP="00DB7D93">
      <w:pPr>
        <w:pStyle w:val="Heading1"/>
      </w:pPr>
      <w:bookmarkStart w:id="966" w:name="_Toc161999200"/>
      <w:r w:rsidRPr="00DB7D93">
        <w:t>20</w:t>
      </w:r>
      <w:r w:rsidRPr="00DB7D93">
        <w:rPr>
          <w:rFonts w:hint="eastAsia"/>
        </w:rPr>
        <w:tab/>
      </w:r>
      <w:r w:rsidRPr="00DB7D93">
        <w:t>Network controlled repeater</w:t>
      </w:r>
      <w:bookmarkEnd w:id="966"/>
    </w:p>
    <w:p w14:paraId="3F5895A6" w14:textId="77777777" w:rsidR="00DB7D93" w:rsidRPr="00DB7D93" w:rsidRDefault="00DB7D93" w:rsidP="00DB7D93">
      <w:r w:rsidRPr="00DB7D93">
        <w:t xml:space="preserve">An NCR includes an NCR-MT entity and an NCR-Fwd entity [19, TS 38.300]. </w:t>
      </w:r>
    </w:p>
    <w:p w14:paraId="4471D3BA" w14:textId="77777777" w:rsidR="00DB7D93" w:rsidRPr="00DB7D93" w:rsidRDefault="00DB7D93" w:rsidP="00DB7D93">
      <w:pPr>
        <w:rPr>
          <w:lang w:val="en-US"/>
        </w:rPr>
      </w:pPr>
      <w:r w:rsidRPr="00DB7D93">
        <w:rPr>
          <w:lang w:val="en-US"/>
        </w:rPr>
        <w:t xml:space="preserve">Throughout this specification, unless otherwise noted, statements using the term "UE" in Clauses 4 through 13 are equally applicable to the NCR-MT. </w:t>
      </w:r>
    </w:p>
    <w:p w14:paraId="5DD458EA" w14:textId="77777777" w:rsidR="00DB7D93" w:rsidRPr="00DB7D93" w:rsidRDefault="00DB7D93" w:rsidP="00DB7D93">
      <w:r w:rsidRPr="00DB7D93">
        <w:rPr>
          <w:lang w:val="en-US"/>
        </w:rPr>
        <w:t>A procedure for the NCR-MT to perform cell search, system information acquisition, random access procedure, UCI reporting, or PDCCH monitoring is same as a corresponding one for a UE. A procedure for the NCR-MT to perform PDSCH reception, CSI-RS measurements and CSI determination, PUSCH transmission, or SRS transmission is same as a corresponding one for a UE as described in [6, TS 38.214].</w:t>
      </w:r>
    </w:p>
    <w:p w14:paraId="3663FAC0" w14:textId="77777777" w:rsidR="00DB7D93" w:rsidRPr="00DB7D93" w:rsidRDefault="00DB7D93" w:rsidP="00DB7D93">
      <w:r w:rsidRPr="00DB7D93">
        <w:t xml:space="preserve">The NCR-Fwd transmits or receives only after the NCR-MT receives on the control link an indication for one or more beams </w:t>
      </w:r>
      <w:r w:rsidRPr="00DB7D93">
        <w:rPr>
          <w:lang w:val="en-US"/>
        </w:rPr>
        <w:t xml:space="preserve">[20, TS 38.106] </w:t>
      </w:r>
      <w:r w:rsidRPr="00DB7D93">
        <w:t xml:space="preserve">for the NCR-Fwd to use for transmissions or receptions over corresponding one or more time resources on the access link. </w:t>
      </w:r>
    </w:p>
    <w:p w14:paraId="7B21BE84" w14:textId="58A2CE4E" w:rsidR="00F82005" w:rsidRPr="00DB7D93" w:rsidRDefault="00F82005" w:rsidP="00F82005">
      <w:r>
        <w:t>The</w:t>
      </w:r>
      <w:r w:rsidRPr="00523CF6">
        <w:t xml:space="preserve"> timing for transmission</w:t>
      </w:r>
      <w:r>
        <w:t xml:space="preserve"> and </w:t>
      </w:r>
      <w:r w:rsidRPr="00523CF6">
        <w:t xml:space="preserve">reception </w:t>
      </w:r>
      <w:r>
        <w:t>by the NCR-Fwd on the backhaul link follows</w:t>
      </w:r>
      <w:r w:rsidRPr="00523CF6">
        <w:t xml:space="preserve"> the frame timing for transmission</w:t>
      </w:r>
      <w:r>
        <w:t xml:space="preserve"> and </w:t>
      </w:r>
      <w:r w:rsidRPr="00523CF6">
        <w:t>reception</w:t>
      </w:r>
      <w:r>
        <w:t>, respectively,</w:t>
      </w:r>
      <w:r w:rsidRPr="00523CF6">
        <w:t xml:space="preserve"> by the NCR-MT.</w:t>
      </w:r>
    </w:p>
    <w:p w14:paraId="34976740" w14:textId="6761BD88" w:rsidR="00DB7D93" w:rsidRPr="00DB7D93" w:rsidRDefault="00DB7D93" w:rsidP="00DB7D93">
      <w:r w:rsidRPr="00DB7D93">
        <w:t>When the NCR-MT performs a link recovery procedure as described in Clause 6, the NCR-Fwd does not transmit or receive until the link recovery procedure is complete [11</w:t>
      </w:r>
      <w:r w:rsidR="00F82005">
        <w:t>,</w:t>
      </w:r>
      <w:r w:rsidRPr="00DB7D93">
        <w:t xml:space="preserve"> TS 38.321].</w:t>
      </w:r>
    </w:p>
    <w:p w14:paraId="2F60D160" w14:textId="7ED9F08D" w:rsidR="00DB7D93" w:rsidRPr="00DB7D93" w:rsidRDefault="00DB7D93" w:rsidP="00DB7D93">
      <w:pPr>
        <w:rPr>
          <w:iCs/>
        </w:rPr>
      </w:pPr>
      <w:r w:rsidRPr="00DB7D93">
        <w:t xml:space="preserve">The NCR can be provided, through the NCR-MT, </w:t>
      </w:r>
      <w:r w:rsidRPr="00DB7D93">
        <w:rPr>
          <w:i/>
        </w:rPr>
        <w:t>tdd-UL-DL-ConfigurationCommon</w:t>
      </w:r>
      <w:r w:rsidRPr="00DB7D93">
        <w:t xml:space="preserve"> and</w:t>
      </w:r>
      <w:r w:rsidR="00F82005">
        <w:t xml:space="preserve"> can be</w:t>
      </w:r>
      <w:r w:rsidRPr="00DB7D93">
        <w:t xml:space="preserve"> additionally</w:t>
      </w:r>
      <w:r w:rsidR="00F82005">
        <w:t xml:space="preserve"> provided</w:t>
      </w:r>
      <w:r w:rsidRPr="00DB7D93">
        <w:t xml:space="preserve"> </w:t>
      </w:r>
      <w:r w:rsidRPr="00DB7D93">
        <w:rPr>
          <w:i/>
          <w:lang w:val="en-US"/>
        </w:rPr>
        <w:t>tdd</w:t>
      </w:r>
      <w:r w:rsidRPr="00DB7D93">
        <w:rPr>
          <w:i/>
        </w:rPr>
        <w:t>-UL-DL-ConfigurationDedicated</w:t>
      </w:r>
      <w:r w:rsidRPr="00DB7D93">
        <w:rPr>
          <w:iCs/>
        </w:rPr>
        <w:t xml:space="preserve">. The </w:t>
      </w:r>
      <w:r w:rsidRPr="00DB7D93">
        <w:t>NCR-Fwd</w:t>
      </w:r>
      <w:r w:rsidRPr="00DB7D93">
        <w:rPr>
          <w:iCs/>
        </w:rPr>
        <w:t xml:space="preserve"> receives on the backhaul link or transmits on the access link only in symbols indicated as downlink by </w:t>
      </w:r>
      <w:r w:rsidRPr="00DB7D93">
        <w:rPr>
          <w:i/>
        </w:rPr>
        <w:t>tdd-UL-DL-ConfigurationCommon</w:t>
      </w:r>
      <w:r w:rsidRPr="00DB7D93">
        <w:t xml:space="preserve"> </w:t>
      </w:r>
      <w:r w:rsidR="00F82005">
        <w:t>and, if provided,</w:t>
      </w:r>
      <w:r w:rsidRPr="00DB7D93">
        <w:t xml:space="preserve"> </w:t>
      </w:r>
      <w:r w:rsidRPr="00DB7D93">
        <w:rPr>
          <w:i/>
          <w:lang w:val="en-US"/>
        </w:rPr>
        <w:t>tdd</w:t>
      </w:r>
      <w:r w:rsidRPr="00DB7D93">
        <w:rPr>
          <w:i/>
        </w:rPr>
        <w:t>-UL-DL-ConfigurationDedicated</w:t>
      </w:r>
      <w:r w:rsidRPr="00DB7D93">
        <w:rPr>
          <w:iCs/>
        </w:rPr>
        <w:t xml:space="preserve">. The </w:t>
      </w:r>
      <w:r w:rsidRPr="00DB7D93">
        <w:t>NCR-Fwd</w:t>
      </w:r>
      <w:r w:rsidRPr="00DB7D93">
        <w:rPr>
          <w:iCs/>
        </w:rPr>
        <w:t xml:space="preserve"> receives on the access link or transmits on the backhaul link only in symbols indicated as uplink by </w:t>
      </w:r>
      <w:r w:rsidRPr="00DB7D93">
        <w:rPr>
          <w:i/>
        </w:rPr>
        <w:t>tdd-UL-DL-ConfigurationCommon</w:t>
      </w:r>
      <w:r w:rsidRPr="00DB7D93">
        <w:t xml:space="preserve"> </w:t>
      </w:r>
      <w:r w:rsidR="00F82005">
        <w:t>and, if provided,</w:t>
      </w:r>
      <w:r w:rsidRPr="00DB7D93">
        <w:t xml:space="preserve"> </w:t>
      </w:r>
      <w:r w:rsidRPr="00DB7D93">
        <w:rPr>
          <w:i/>
          <w:lang w:val="en-US"/>
        </w:rPr>
        <w:t>tdd</w:t>
      </w:r>
      <w:r w:rsidRPr="00DB7D93">
        <w:rPr>
          <w:i/>
        </w:rPr>
        <w:t>-UL-DL-ConfigurationDedicated</w:t>
      </w:r>
      <w:r w:rsidRPr="00DB7D93">
        <w:rPr>
          <w:iCs/>
        </w:rPr>
        <w:t>.</w:t>
      </w:r>
    </w:p>
    <w:p w14:paraId="41E874F8" w14:textId="77777777" w:rsidR="00F82005" w:rsidRPr="00124CE1" w:rsidRDefault="00F82005" w:rsidP="00F82005">
      <w:r w:rsidRPr="00124CE1">
        <w:lastRenderedPageBreak/>
        <w:t>If</w:t>
      </w:r>
      <w:r w:rsidRPr="00124CE1">
        <w:rPr>
          <w:b/>
        </w:rPr>
        <w:t xml:space="preserve"> </w:t>
      </w:r>
      <w:r>
        <w:t>the</w:t>
      </w:r>
      <w:r w:rsidRPr="00124CE1">
        <w:t xml:space="preserve"> NCR does not support simultaneous transmission</w:t>
      </w:r>
      <w:r>
        <w:t xml:space="preserve">s on control </w:t>
      </w:r>
      <w:r w:rsidRPr="00124CE1">
        <w:t xml:space="preserve">link and </w:t>
      </w:r>
      <w:r>
        <w:t xml:space="preserve">the </w:t>
      </w:r>
      <w:r w:rsidRPr="00124CE1">
        <w:t xml:space="preserve">backhaul link, </w:t>
      </w:r>
      <w:r>
        <w:t xml:space="preserve">the </w:t>
      </w:r>
      <w:r w:rsidRPr="00124CE1">
        <w:t>NC</w:t>
      </w:r>
      <w:r>
        <w:t>R-Fwd does not transmit over a</w:t>
      </w:r>
      <w:r w:rsidRPr="00124CE1">
        <w:t xml:space="preserve"> time resource if </w:t>
      </w:r>
      <w:r>
        <w:t>the NCR-MT transmits over the</w:t>
      </w:r>
      <w:r w:rsidRPr="00124CE1">
        <w:t xml:space="preserve"> time resource.</w:t>
      </w:r>
    </w:p>
    <w:p w14:paraId="304D2286" w14:textId="77777777" w:rsidR="00DB7D93" w:rsidRPr="00DB7D93" w:rsidRDefault="00DB7D93" w:rsidP="00DB7D93">
      <w:pPr>
        <w:rPr>
          <w:iCs/>
        </w:rPr>
      </w:pPr>
      <w:r w:rsidRPr="00DB7D93">
        <w:rPr>
          <w:iCs/>
        </w:rPr>
        <w:t>When the NCR simultaneously receives via both the control link and the backhaul link in a set of symbols, a TCI state for receptions on the backhaul link is same as a TCI state for receptions on the control link in the set of symbols. When the NCR simultaneously transmits via both the control link and the backhaul link in a set of symbols, a spatial filter for transmissions on the backhaul link is same as a spatial filter for transmissions on the control link in the set of symbols.</w:t>
      </w:r>
    </w:p>
    <w:p w14:paraId="1A322F92" w14:textId="77777777" w:rsidR="00DB7D93" w:rsidRPr="00DB7D93" w:rsidRDefault="00DB7D93" w:rsidP="00DB7D93">
      <w:pPr>
        <w:rPr>
          <w:iCs/>
        </w:rPr>
      </w:pPr>
      <w:r w:rsidRPr="00DB7D93">
        <w:rPr>
          <w:iCs/>
        </w:rPr>
        <w:t>When the NCR does not simultaneously receive on the control link and the backhaul link</w:t>
      </w:r>
    </w:p>
    <w:p w14:paraId="1257B30F" w14:textId="77777777" w:rsidR="00DB7D93" w:rsidRPr="00DB7D93" w:rsidRDefault="00DB7D93" w:rsidP="00DB7D93">
      <w:pPr>
        <w:pStyle w:val="B1"/>
        <w:rPr>
          <w:lang w:eastAsia="ko-KR"/>
        </w:rPr>
      </w:pPr>
      <w:r w:rsidRPr="00DB7D93">
        <w:rPr>
          <w:lang w:val="en-US"/>
        </w:rPr>
        <w:t>-</w:t>
      </w:r>
      <w:r w:rsidRPr="00DB7D93">
        <w:rPr>
          <w:lang w:val="en-US"/>
        </w:rPr>
        <w:tab/>
        <w:t xml:space="preserve">if </w:t>
      </w:r>
      <w:r w:rsidRPr="00DB7D93">
        <w:rPr>
          <w:lang w:eastAsia="ko-KR"/>
        </w:rPr>
        <w:t>the NCR does not support determination of a TCI state for receptions on the backhaul link based on an indication of a TCI state by the serving cell, or if the NCR does not receive an indication of a TCI state, for receptions on the backhaul link [11, TS 38.321]</w:t>
      </w:r>
    </w:p>
    <w:p w14:paraId="497CF0B5" w14:textId="377B8122" w:rsidR="00DB7D93" w:rsidRPr="00DB7D93" w:rsidRDefault="00DB7D93" w:rsidP="00DB7D93">
      <w:pPr>
        <w:pStyle w:val="B2"/>
        <w:rPr>
          <w:color w:val="000000"/>
          <w:lang w:eastAsia="zh-CN"/>
        </w:rPr>
      </w:pPr>
      <w:r w:rsidRPr="00DB7D93">
        <w:t>-</w:t>
      </w:r>
      <w:r w:rsidRPr="00DB7D93">
        <w:tab/>
        <w:t xml:space="preserve">if the NCR </w:t>
      </w:r>
      <w:r w:rsidRPr="00DB7D93">
        <w:rPr>
          <w:lang w:eastAsia="ko-KR"/>
        </w:rPr>
        <w:t>does not receive an indication of a unified TCI state for receptions by the NCR-MT, receptions on the backhaul link use same</w:t>
      </w:r>
      <w:r w:rsidRPr="00DB7D93">
        <w:rPr>
          <w:color w:val="000000"/>
        </w:rPr>
        <w:t xml:space="preserve"> QCL parameters as the ones for PDCCH receptions in a CORESET with the lowest </w:t>
      </w:r>
      <w:r w:rsidRPr="00DB7D93">
        <w:rPr>
          <w:i/>
          <w:color w:val="000000"/>
        </w:rPr>
        <w:t>controlResourceSetId</w:t>
      </w:r>
      <w:r w:rsidRPr="00DB7D93">
        <w:rPr>
          <w:color w:val="000000"/>
        </w:rPr>
        <w:t xml:space="preserve"> </w:t>
      </w:r>
      <w:r w:rsidR="00F82005">
        <w:rPr>
          <w:color w:val="000000"/>
        </w:rPr>
        <w:t>in the active DL BWP</w:t>
      </w:r>
    </w:p>
    <w:p w14:paraId="592B3AAD" w14:textId="77777777" w:rsidR="00DB7D93" w:rsidRPr="00DB7D93" w:rsidRDefault="00DB7D93" w:rsidP="00DB7D93">
      <w:pPr>
        <w:pStyle w:val="B2"/>
        <w:rPr>
          <w:color w:val="000000"/>
        </w:rPr>
      </w:pPr>
      <w:r w:rsidRPr="00DB7D93">
        <w:t>-</w:t>
      </w:r>
      <w:r w:rsidRPr="00DB7D93">
        <w:tab/>
        <w:t>else</w:t>
      </w:r>
      <w:r w:rsidRPr="00DB7D93">
        <w:rPr>
          <w:color w:val="000000"/>
        </w:rPr>
        <w:t xml:space="preserve">, </w:t>
      </w:r>
      <w:r w:rsidRPr="00DB7D93">
        <w:rPr>
          <w:lang w:eastAsia="ko-KR"/>
        </w:rPr>
        <w:t>receptions on the backhaul link use</w:t>
      </w:r>
      <w:r w:rsidRPr="00DB7D93">
        <w:rPr>
          <w:color w:val="000000"/>
        </w:rPr>
        <w:t xml:space="preserve"> the QCL parameters provided by an indicated</w:t>
      </w:r>
      <w:r w:rsidRPr="00DB7D93">
        <w:rPr>
          <w:lang w:eastAsia="ko-KR"/>
        </w:rPr>
        <w:t xml:space="preserve"> unified </w:t>
      </w:r>
      <w:r w:rsidRPr="00DB7D93">
        <w:rPr>
          <w:color w:val="000000"/>
        </w:rPr>
        <w:t>TCI state</w:t>
      </w:r>
      <w:r w:rsidRPr="00DB7D93">
        <w:rPr>
          <w:lang w:eastAsia="ko-KR"/>
        </w:rPr>
        <w:t xml:space="preserve"> for receptions by the NCR-MT</w:t>
      </w:r>
      <w:r w:rsidRPr="00DB7D93">
        <w:rPr>
          <w:color w:val="000000"/>
        </w:rPr>
        <w:t xml:space="preserve"> </w:t>
      </w:r>
    </w:p>
    <w:p w14:paraId="6A76E067" w14:textId="09EE59BF" w:rsidR="00DB7D93" w:rsidRPr="00DB7D93" w:rsidRDefault="00DB7D93" w:rsidP="00DB7D93">
      <w:pPr>
        <w:pStyle w:val="B1"/>
        <w:rPr>
          <w:lang w:eastAsia="ko-KR"/>
        </w:rPr>
      </w:pPr>
      <w:r w:rsidRPr="00DB7D93">
        <w:rPr>
          <w:lang w:val="en-US"/>
        </w:rPr>
        <w:t>-</w:t>
      </w:r>
      <w:r w:rsidRPr="00DB7D93">
        <w:rPr>
          <w:lang w:val="en-US"/>
        </w:rPr>
        <w:tab/>
        <w:t>else</w:t>
      </w:r>
      <w:r w:rsidRPr="00DB7D93">
        <w:rPr>
          <w:lang w:eastAsia="ko-KR"/>
        </w:rPr>
        <w:t xml:space="preserve"> receptions on the backhaul link use QCL parameters provided by a TCI state in </w:t>
      </w:r>
      <w:r w:rsidR="00F82005" w:rsidRPr="00886E57">
        <w:rPr>
          <w:lang w:eastAsia="ko-KR"/>
        </w:rPr>
        <w:t xml:space="preserve">NCR Downlink </w:t>
      </w:r>
      <w:r w:rsidR="00F82005" w:rsidRPr="00886E57">
        <w:t>Backhaul Link Beam Indication</w:t>
      </w:r>
      <w:r w:rsidRPr="00DB7D93">
        <w:rPr>
          <w:lang w:eastAsia="ko-KR"/>
        </w:rPr>
        <w:t xml:space="preserve"> MAC CE [11, TS 38.321].</w:t>
      </w:r>
    </w:p>
    <w:p w14:paraId="6D8BBC49" w14:textId="77777777" w:rsidR="00DB7D93" w:rsidRPr="00DB7D93" w:rsidRDefault="00DB7D93" w:rsidP="00DB7D93">
      <w:r w:rsidRPr="00DB7D93">
        <w:t>When the NCR does not simultaneously transmit on the control link and the backhaul link</w:t>
      </w:r>
    </w:p>
    <w:p w14:paraId="24C339CD" w14:textId="416A0366" w:rsidR="00DB7D93" w:rsidRPr="00DB7D93" w:rsidRDefault="00DB7D93" w:rsidP="00DB7D93">
      <w:pPr>
        <w:pStyle w:val="B1"/>
        <w:rPr>
          <w:lang w:eastAsia="ko-KR"/>
        </w:rPr>
      </w:pPr>
      <w:r w:rsidRPr="00DB7D93">
        <w:rPr>
          <w:lang w:val="en-US"/>
        </w:rPr>
        <w:t>-</w:t>
      </w:r>
      <w:r w:rsidRPr="00DB7D93">
        <w:rPr>
          <w:lang w:val="en-US"/>
        </w:rPr>
        <w:tab/>
        <w:t xml:space="preserve">if </w:t>
      </w:r>
      <w:r w:rsidRPr="00DB7D93">
        <w:rPr>
          <w:lang w:eastAsia="ko-KR"/>
        </w:rPr>
        <w:t xml:space="preserve">the NCR does not support determination of a spatial filter for transmissions on the backhaul link based on an indication of a unified TCI state or </w:t>
      </w:r>
      <w:r w:rsidR="00F82005">
        <w:rPr>
          <w:lang w:eastAsia="ko-KR"/>
        </w:rPr>
        <w:t xml:space="preserve">of an </w:t>
      </w:r>
      <w:r w:rsidRPr="00DB7D93">
        <w:rPr>
          <w:lang w:eastAsia="ko-KR"/>
        </w:rPr>
        <w:t xml:space="preserve">SRI by the serving cell, or if the NCR-MT does not receive an indication of a unified TCI state or </w:t>
      </w:r>
      <w:r w:rsidR="00F82005">
        <w:rPr>
          <w:lang w:eastAsia="ko-KR"/>
        </w:rPr>
        <w:t xml:space="preserve">of an </w:t>
      </w:r>
      <w:r w:rsidRPr="00DB7D93">
        <w:rPr>
          <w:lang w:eastAsia="ko-KR"/>
        </w:rPr>
        <w:t>SRI for determining a spatial filter, for transmissions on the backhaul link</w:t>
      </w:r>
    </w:p>
    <w:p w14:paraId="708D3BEC" w14:textId="71E92B71" w:rsidR="00DB7D93" w:rsidRPr="00DB7D93" w:rsidRDefault="00DB7D93" w:rsidP="00DB7D93">
      <w:pPr>
        <w:pStyle w:val="B2"/>
        <w:rPr>
          <w:color w:val="000000"/>
        </w:rPr>
      </w:pPr>
      <w:r w:rsidRPr="00DB7D93">
        <w:t>-</w:t>
      </w:r>
      <w:r w:rsidRPr="00DB7D93">
        <w:tab/>
        <w:t xml:space="preserve">if the NCR </w:t>
      </w:r>
      <w:r w:rsidRPr="00DB7D93">
        <w:rPr>
          <w:lang w:eastAsia="ko-KR"/>
        </w:rPr>
        <w:t>does not receive an indication of a unified TCI state for transmissions by the NCR-MT</w:t>
      </w:r>
      <w:r w:rsidRPr="00DB7D93">
        <w:rPr>
          <w:color w:val="000000"/>
        </w:rPr>
        <w:t xml:space="preserve">, </w:t>
      </w:r>
      <w:r w:rsidRPr="00DB7D93">
        <w:rPr>
          <w:lang w:eastAsia="ko-KR"/>
        </w:rPr>
        <w:t>transmissions on the backhaul link use a same</w:t>
      </w:r>
      <w:r w:rsidRPr="00DB7D93">
        <w:rPr>
          <w:color w:val="000000"/>
        </w:rPr>
        <w:t xml:space="preserve"> spatial filter as the one associated with the PUCCH resource with the smallest </w:t>
      </w:r>
      <w:r w:rsidRPr="00DB7D93">
        <w:rPr>
          <w:i/>
        </w:rPr>
        <w:t>pucch-ResourceId</w:t>
      </w:r>
      <w:r w:rsidRPr="00DB7D93">
        <w:t xml:space="preserve"> in </w:t>
      </w:r>
      <w:r w:rsidRPr="00DB7D93">
        <w:rPr>
          <w:i/>
        </w:rPr>
        <w:t>PUCCH-ResourceSet</w:t>
      </w:r>
      <w:r w:rsidRPr="00DB7D93">
        <w:t xml:space="preserve"> </w:t>
      </w:r>
      <w:r w:rsidR="00F82005">
        <w:rPr>
          <w:color w:val="000000"/>
        </w:rPr>
        <w:t>in the active UL BWP</w:t>
      </w:r>
    </w:p>
    <w:p w14:paraId="7540AD64" w14:textId="17F5A611" w:rsidR="00DB7D93" w:rsidRPr="00DB7D93" w:rsidRDefault="00DB7D93" w:rsidP="00DB7D93">
      <w:pPr>
        <w:pStyle w:val="B2"/>
        <w:rPr>
          <w:color w:val="000000"/>
        </w:rPr>
      </w:pPr>
      <w:r w:rsidRPr="00DB7D93">
        <w:t>-</w:t>
      </w:r>
      <w:r w:rsidRPr="00DB7D93">
        <w:tab/>
        <w:t>else</w:t>
      </w:r>
      <w:r w:rsidRPr="00DB7D93">
        <w:rPr>
          <w:color w:val="000000"/>
        </w:rPr>
        <w:t xml:space="preserve">, </w:t>
      </w:r>
      <w:r w:rsidRPr="00DB7D93">
        <w:rPr>
          <w:lang w:eastAsia="ko-KR"/>
        </w:rPr>
        <w:t>transmissions on the backhaul link use</w:t>
      </w:r>
      <w:r w:rsidRPr="00DB7D93">
        <w:rPr>
          <w:color w:val="000000"/>
        </w:rPr>
        <w:t xml:space="preserve"> a spatial filter corresponding to </w:t>
      </w:r>
      <w:r w:rsidR="00F82005">
        <w:rPr>
          <w:color w:val="000000"/>
          <w:lang w:val="en-GB"/>
        </w:rPr>
        <w:t>the</w:t>
      </w:r>
      <w:r w:rsidR="00F82005" w:rsidRPr="00DB7D93">
        <w:rPr>
          <w:color w:val="000000"/>
        </w:rPr>
        <w:t xml:space="preserve"> </w:t>
      </w:r>
      <w:r w:rsidRPr="00DB7D93">
        <w:rPr>
          <w:color w:val="000000"/>
        </w:rPr>
        <w:t>indicated</w:t>
      </w:r>
      <w:r w:rsidRPr="00DB7D93">
        <w:rPr>
          <w:lang w:eastAsia="ko-KR"/>
        </w:rPr>
        <w:t xml:space="preserve"> unified </w:t>
      </w:r>
      <w:r w:rsidRPr="00DB7D93">
        <w:rPr>
          <w:color w:val="000000"/>
        </w:rPr>
        <w:t xml:space="preserve">TCI state for transmissions by the NCR-MT. </w:t>
      </w:r>
    </w:p>
    <w:p w14:paraId="4D48BB74" w14:textId="52E99808" w:rsidR="00DB7D93" w:rsidRPr="00DB7D93" w:rsidRDefault="00DB7D93" w:rsidP="00DB7D93">
      <w:pPr>
        <w:pStyle w:val="B1"/>
        <w:rPr>
          <w:lang w:eastAsia="ko-KR"/>
        </w:rPr>
      </w:pPr>
      <w:r w:rsidRPr="00DB7D93">
        <w:rPr>
          <w:lang w:val="en-US"/>
        </w:rPr>
        <w:t>-</w:t>
      </w:r>
      <w:r w:rsidRPr="00DB7D93">
        <w:rPr>
          <w:lang w:val="en-US"/>
        </w:rPr>
        <w:tab/>
        <w:t>else</w:t>
      </w:r>
      <w:r w:rsidRPr="00DB7D93">
        <w:rPr>
          <w:lang w:eastAsia="ko-KR"/>
        </w:rPr>
        <w:t xml:space="preserve"> transmissions on the backhaul link use a spatial filter corresponding to a unified TCI state or </w:t>
      </w:r>
      <w:r w:rsidR="00F82005">
        <w:rPr>
          <w:lang w:val="en-GB" w:eastAsia="ko-KR"/>
        </w:rPr>
        <w:t xml:space="preserve">an </w:t>
      </w:r>
      <w:r w:rsidRPr="00DB7D93">
        <w:rPr>
          <w:lang w:eastAsia="ko-KR"/>
        </w:rPr>
        <w:t xml:space="preserve">SRI provided </w:t>
      </w:r>
      <w:r w:rsidR="00F82005">
        <w:rPr>
          <w:lang w:eastAsia="ko-KR"/>
        </w:rPr>
        <w:t xml:space="preserve">in </w:t>
      </w:r>
      <w:r w:rsidR="00F82005" w:rsidRPr="00886E57">
        <w:rPr>
          <w:lang w:eastAsia="ko-KR"/>
        </w:rPr>
        <w:t xml:space="preserve">NCR </w:t>
      </w:r>
      <w:r w:rsidR="00F82005">
        <w:rPr>
          <w:lang w:eastAsia="ko-KR"/>
        </w:rPr>
        <w:t>Uplink</w:t>
      </w:r>
      <w:r w:rsidR="00F82005" w:rsidRPr="00886E57">
        <w:rPr>
          <w:lang w:eastAsia="ko-KR"/>
        </w:rPr>
        <w:t xml:space="preserve"> </w:t>
      </w:r>
      <w:r w:rsidR="00F82005" w:rsidRPr="00886E57">
        <w:t>Backhaul Link Beam Indicatio</w:t>
      </w:r>
      <w:r w:rsidR="00F82005">
        <w:rPr>
          <w:lang w:val="en-US"/>
        </w:rPr>
        <w:t>n</w:t>
      </w:r>
      <w:r w:rsidRPr="00DB7D93">
        <w:rPr>
          <w:lang w:eastAsia="ko-KR"/>
        </w:rPr>
        <w:t xml:space="preserve"> MAC CE [11, TS 38.321].</w:t>
      </w:r>
    </w:p>
    <w:p w14:paraId="1C444C2A" w14:textId="77777777" w:rsidR="00F82005" w:rsidRPr="009A765B" w:rsidRDefault="00F82005" w:rsidP="00F82005">
      <w:pPr>
        <w:rPr>
          <w:color w:val="00B0F0"/>
          <w:kern w:val="2"/>
          <w:lang w:eastAsia="zh-CN"/>
        </w:rPr>
      </w:pPr>
      <w:r w:rsidRPr="00861642">
        <w:t>If the NCR receives an indication of a TCI state for receptions on the backhaul link in a MAC CE command</w:t>
      </w:r>
      <w:r>
        <w:t>,</w:t>
      </w:r>
      <w:r w:rsidRPr="00861642">
        <w:t xml:space="preserve"> or an indication of a unified TCI state or </w:t>
      </w:r>
      <w:r>
        <w:t xml:space="preserve">of an </w:t>
      </w:r>
      <w:r w:rsidRPr="00861642">
        <w:t xml:space="preserve">SRI for determining a spatial filter for transmissions on the backhaul link in a MAC CE command, the NCR applies the MAC CE command from the first slot that is after slot </w:t>
      </w:r>
      <m:oMath>
        <m:r>
          <w:rPr>
            <w:rFonts w:ascii="Cambria Math" w:hAnsi="Cambria Math"/>
          </w:rPr>
          <m:t>k+3</m:t>
        </m:r>
        <m:r>
          <m:rPr>
            <m:sty m:val="p"/>
          </m:rPr>
          <w:rPr>
            <w:rFonts w:ascii="Cambria Math" w:hAnsi="Cambria Math" w:cs="Calibri"/>
            <w:sz w:val="18"/>
          </w:rPr>
          <m:t>∙</m:t>
        </m:r>
        <m:sSubSup>
          <m:sSubSupPr>
            <m:ctrlPr>
              <w:rPr>
                <w:rFonts w:ascii="Cambria Math" w:hAnsi="Cambria Math"/>
                <w:i/>
              </w:rPr>
            </m:ctrlPr>
          </m:sSubSupPr>
          <m:e>
            <m:r>
              <w:rPr>
                <w:rFonts w:ascii="Cambria Math" w:hAnsi="Cambria Math"/>
              </w:rPr>
              <m:t>N</m:t>
            </m:r>
          </m:e>
          <m:sub>
            <m:r>
              <m:rPr>
                <m:sty m:val="p"/>
              </m:rPr>
              <w:rPr>
                <w:rFonts w:ascii="Cambria Math" w:hAnsi="Cambria Math"/>
              </w:rPr>
              <m:t>slot</m:t>
            </m:r>
          </m:sub>
          <m:sup>
            <m:r>
              <m:rPr>
                <m:sty m:val="p"/>
              </m:rPr>
              <w:rPr>
                <w:rFonts w:ascii="Cambria Math" w:hAnsi="Cambria Math"/>
              </w:rPr>
              <m:t>subframe</m:t>
            </m:r>
            <m:r>
              <w:rPr>
                <w:rFonts w:ascii="Cambria Math" w:hAnsi="Cambria Math"/>
              </w:rPr>
              <m:t>,μ</m:t>
            </m:r>
          </m:sup>
        </m:sSubSup>
      </m:oMath>
      <w:r w:rsidRPr="00861642">
        <w:t xml:space="preserve"> where </w:t>
      </w:r>
      <m:oMath>
        <m:r>
          <w:rPr>
            <w:rFonts w:ascii="Cambria Math" w:hAnsi="Cambria Math"/>
          </w:rPr>
          <m:t>k</m:t>
        </m:r>
      </m:oMath>
      <w:r w:rsidRPr="00861642">
        <w:t xml:space="preserve"> is </w:t>
      </w:r>
      <w:r>
        <w:t>the slot where the NCR-MT would</w:t>
      </w:r>
      <w:r w:rsidRPr="00861642">
        <w:t xml:space="preserve"> transmit a PUCCH with HARQ-ACK information associated with the PDSCH providing the MAC CE command</w:t>
      </w:r>
      <w:r>
        <w:t xml:space="preserve">,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slot</m:t>
            </m:r>
          </m:sub>
          <m:sup>
            <m:r>
              <m:rPr>
                <m:sty m:val="p"/>
              </m:rPr>
              <w:rPr>
                <w:rFonts w:ascii="Cambria Math" w:hAnsi="Cambria Math"/>
              </w:rPr>
              <m:t>subframe</m:t>
            </m:r>
            <m:r>
              <w:rPr>
                <w:rFonts w:ascii="Cambria Math" w:hAnsi="Cambria Math"/>
              </w:rPr>
              <m:t>,μ</m:t>
            </m:r>
          </m:sup>
        </m:sSubSup>
      </m:oMath>
      <w:r>
        <w:t xml:space="preserve"> </w:t>
      </w:r>
      <w:r w:rsidRPr="00C26E59">
        <w:t xml:space="preserve">is a number of slots per subframe for </w:t>
      </w:r>
      <w:r w:rsidRPr="00861642">
        <w:t xml:space="preserve">the SCS configuration </w:t>
      </w:r>
      <m:oMath>
        <m:r>
          <w:rPr>
            <w:rFonts w:ascii="Cambria Math" w:hAnsi="Cambria Math"/>
          </w:rPr>
          <m:t>μ</m:t>
        </m:r>
      </m:oMath>
      <w:r w:rsidRPr="00861642">
        <w:t xml:space="preserve"> </w:t>
      </w:r>
      <w:r>
        <w:t xml:space="preserve">of </w:t>
      </w:r>
      <w:r w:rsidRPr="00861642">
        <w:t>the PUCCH transmission.</w:t>
      </w:r>
    </w:p>
    <w:p w14:paraId="7A4C4128" w14:textId="79C004BA" w:rsidR="00DB7D93" w:rsidRPr="00DB7D93" w:rsidRDefault="00DB7D93" w:rsidP="00DB7D93">
      <w:pPr>
        <w:rPr>
          <w:lang w:val="en-US"/>
        </w:rPr>
      </w:pPr>
      <w:r w:rsidRPr="00DB7D93">
        <w:rPr>
          <w:lang w:val="en-US"/>
        </w:rPr>
        <w:t xml:space="preserve">The </w:t>
      </w:r>
      <w:r w:rsidRPr="00DB7D93">
        <w:rPr>
          <w:rFonts w:eastAsia="Malgun Gothic" w:cs="Times"/>
        </w:rPr>
        <w:t>NCR-Fwd</w:t>
      </w:r>
      <w:r w:rsidRPr="00DB7D93">
        <w:rPr>
          <w:lang w:val="en-US"/>
        </w:rPr>
        <w:t xml:space="preserve"> uses a same beam for transmissions </w:t>
      </w:r>
      <w:r w:rsidRPr="00DB7D93">
        <w:rPr>
          <w:rFonts w:hint="eastAsia"/>
          <w:lang w:val="en-US" w:eastAsia="zh-CN"/>
        </w:rPr>
        <w:t>and</w:t>
      </w:r>
      <w:r w:rsidRPr="00DB7D93">
        <w:rPr>
          <w:lang w:val="en-US"/>
        </w:rPr>
        <w:t xml:space="preserve"> receptions on the access link during respective time resources associated with </w:t>
      </w:r>
      <w:r w:rsidR="00F82005">
        <w:rPr>
          <w:lang w:val="en-US"/>
        </w:rPr>
        <w:t>a same</w:t>
      </w:r>
      <w:r w:rsidR="00F82005" w:rsidRPr="00DB7D93">
        <w:rPr>
          <w:lang w:val="en-US"/>
        </w:rPr>
        <w:t xml:space="preserve"> </w:t>
      </w:r>
      <w:r w:rsidRPr="00DB7D93">
        <w:rPr>
          <w:lang w:val="en-US"/>
        </w:rPr>
        <w:t>beam</w:t>
      </w:r>
      <w:r w:rsidR="00F82005">
        <w:rPr>
          <w:lang w:val="en-US"/>
        </w:rPr>
        <w:t xml:space="preserve"> index</w:t>
      </w:r>
      <w:r w:rsidRPr="00DB7D93">
        <w:rPr>
          <w:lang w:val="en-US"/>
        </w:rPr>
        <w:t>.</w:t>
      </w:r>
    </w:p>
    <w:p w14:paraId="60228F13" w14:textId="77777777" w:rsidR="00F82005" w:rsidRPr="001666E3" w:rsidRDefault="00F82005" w:rsidP="00F82005">
      <w:pPr>
        <w:rPr>
          <w:lang w:val="en-US"/>
        </w:rPr>
      </w:pPr>
      <w:r w:rsidRPr="00DB7D93">
        <w:rPr>
          <w:lang w:val="en-US"/>
        </w:rPr>
        <w:t xml:space="preserve">The NCR can be provided by </w:t>
      </w:r>
      <w:r>
        <w:rPr>
          <w:i/>
          <w:iCs/>
          <w:lang w:val="en-US"/>
        </w:rPr>
        <w:t>p</w:t>
      </w:r>
      <w:r w:rsidRPr="00DB7D93">
        <w:rPr>
          <w:i/>
          <w:iCs/>
          <w:lang w:val="en-US"/>
        </w:rPr>
        <w:t>eriodicFwdRsrcSetToAddModList</w:t>
      </w:r>
      <w:r w:rsidRPr="00DB7D93">
        <w:rPr>
          <w:lang w:val="en-US"/>
        </w:rPr>
        <w:t xml:space="preserve"> a list of sets of resources for transmissions or receptions on the access link. A set of resources, from the list of sets of resources, is provided by </w:t>
      </w:r>
      <w:r w:rsidRPr="00DB7D93">
        <w:rPr>
          <w:i/>
          <w:iCs/>
          <w:lang w:val="en-US"/>
        </w:rPr>
        <w:t>NCR-PeriodicFwdResourceSet</w:t>
      </w:r>
      <w:r w:rsidRPr="00DB7D93">
        <w:rPr>
          <w:lang w:val="en-US"/>
        </w:rPr>
        <w:t xml:space="preserve"> and occurs with a periodicity provided by </w:t>
      </w:r>
      <w:r w:rsidRPr="00DB7D93">
        <w:rPr>
          <w:i/>
          <w:iCs/>
          <w:lang w:val="en-US"/>
        </w:rPr>
        <w:t>periodicity</w:t>
      </w:r>
      <w:r>
        <w:rPr>
          <w:i/>
          <w:iCs/>
          <w:lang w:val="en-US"/>
        </w:rPr>
        <w:t>AndOffset-r18</w:t>
      </w:r>
      <w:r w:rsidRPr="00DB7D93">
        <w:rPr>
          <w:lang w:val="en-US"/>
        </w:rPr>
        <w:t xml:space="preserve">. A resource from the set of resources is provided by </w:t>
      </w:r>
      <w:r w:rsidRPr="00DB7D93">
        <w:rPr>
          <w:i/>
          <w:iCs/>
          <w:lang w:val="en-US"/>
        </w:rPr>
        <w:t>NCR-PeriodicFwdResource</w:t>
      </w:r>
      <w:r w:rsidRPr="00DB7D93">
        <w:rPr>
          <w:lang w:val="en-US"/>
        </w:rPr>
        <w:t xml:space="preserve"> and includes a pair of a time resource provided by </w:t>
      </w:r>
      <w:r>
        <w:rPr>
          <w:i/>
          <w:iCs/>
          <w:lang w:val="en-US"/>
        </w:rPr>
        <w:t>p</w:t>
      </w:r>
      <w:r w:rsidRPr="00DB7D93">
        <w:rPr>
          <w:i/>
          <w:iCs/>
          <w:lang w:val="en-US"/>
        </w:rPr>
        <w:t>eriodicTimeRsrc</w:t>
      </w:r>
      <w:r w:rsidRPr="00DB7D93">
        <w:rPr>
          <w:lang w:val="en-US"/>
        </w:rPr>
        <w:t xml:space="preserve"> and a beam [20, TS 38.106] with </w:t>
      </w:r>
      <w:r w:rsidRPr="001666E3">
        <w:rPr>
          <w:lang w:val="en-US"/>
        </w:rPr>
        <w:t xml:space="preserve">an index provided by </w:t>
      </w:r>
      <w:r w:rsidRPr="001666E3">
        <w:rPr>
          <w:i/>
          <w:iCs/>
          <w:lang w:val="en-US"/>
        </w:rPr>
        <w:t>beamIndex</w:t>
      </w:r>
      <w:r w:rsidRPr="001666E3">
        <w:rPr>
          <w:lang w:val="en-US"/>
        </w:rPr>
        <w:t xml:space="preserve">. The time resource starts at a slot that is offset by </w:t>
      </w:r>
      <w:r w:rsidRPr="001666E3">
        <w:rPr>
          <w:iCs/>
          <w:lang w:val="en-US"/>
        </w:rPr>
        <w:t>a nu</w:t>
      </w:r>
      <w:r w:rsidRPr="001666E3">
        <w:rPr>
          <w:lang w:val="en-US"/>
        </w:rPr>
        <w:t xml:space="preserve">mber of slots provided by </w:t>
      </w:r>
      <w:r w:rsidRPr="001666E3">
        <w:rPr>
          <w:i/>
          <w:iCs/>
          <w:lang w:val="en-US"/>
        </w:rPr>
        <w:t>periodicityAndOffset-r18</w:t>
      </w:r>
      <w:r w:rsidRPr="001666E3">
        <w:rPr>
          <w:lang w:val="en-US"/>
        </w:rPr>
        <w:t xml:space="preserve"> from the start of the period for the set of resources and at a symbol that is offset by </w:t>
      </w:r>
      <w:r w:rsidRPr="001666E3">
        <w:rPr>
          <w:i/>
          <w:iCs/>
          <w:lang w:val="en-US"/>
        </w:rPr>
        <w:t>symbolOffset</w:t>
      </w:r>
      <w:r w:rsidRPr="001666E3">
        <w:rPr>
          <w:lang w:val="en-US"/>
        </w:rPr>
        <w:t xml:space="preserve"> from the start of the slot, and has a duration provided by </w:t>
      </w:r>
      <w:r w:rsidRPr="001666E3">
        <w:rPr>
          <w:i/>
          <w:iCs/>
          <w:lang w:val="en-US"/>
        </w:rPr>
        <w:t>durationInSymbols</w:t>
      </w:r>
      <w:r w:rsidRPr="001666E3">
        <w:rPr>
          <w:lang w:val="en-US"/>
        </w:rPr>
        <w:t xml:space="preserve"> for a SCS provided by </w:t>
      </w:r>
      <w:r w:rsidRPr="001666E3">
        <w:rPr>
          <w:i/>
          <w:iCs/>
          <w:lang w:val="en-US"/>
        </w:rPr>
        <w:t>referenceSCS</w:t>
      </w:r>
      <w:r w:rsidRPr="001666E3">
        <w:t xml:space="preserve"> and the </w:t>
      </w:r>
      <w:r w:rsidRPr="001666E3">
        <w:rPr>
          <w:i/>
        </w:rPr>
        <w:t>cyclicPrefix</w:t>
      </w:r>
      <w:r w:rsidRPr="001666E3">
        <w:rPr>
          <w:i/>
          <w:lang w:val="en-US" w:eastAsia="zh-CN"/>
        </w:rPr>
        <w:t xml:space="preserve"> </w:t>
      </w:r>
      <w:r w:rsidRPr="001666E3">
        <w:t xml:space="preserve">of the </w:t>
      </w:r>
      <w:r w:rsidRPr="001666E3">
        <w:rPr>
          <w:rFonts w:hint="eastAsia"/>
          <w:lang w:val="en-US" w:eastAsia="zh-CN"/>
        </w:rPr>
        <w:t xml:space="preserve">active </w:t>
      </w:r>
      <w:r>
        <w:rPr>
          <w:lang w:val="en-US" w:eastAsia="zh-CN"/>
        </w:rPr>
        <w:t xml:space="preserve">DL </w:t>
      </w:r>
      <w:r w:rsidRPr="001666E3">
        <w:t>BWP</w:t>
      </w:r>
      <w:r w:rsidRPr="001666E3">
        <w:rPr>
          <w:lang w:val="en-US"/>
        </w:rPr>
        <w:t xml:space="preserve">. </w:t>
      </w:r>
    </w:p>
    <w:p w14:paraId="69678DDA" w14:textId="264C1D9A" w:rsidR="00F82005" w:rsidRPr="001666E3" w:rsidRDefault="00F82005" w:rsidP="00F82005">
      <w:pPr>
        <w:rPr>
          <w:lang w:val="en-US"/>
        </w:rPr>
      </w:pPr>
      <w:r w:rsidRPr="001666E3">
        <w:rPr>
          <w:lang w:val="en-US"/>
        </w:rPr>
        <w:t xml:space="preserve">The NCR can be provided by </w:t>
      </w:r>
      <w:r w:rsidRPr="001666E3">
        <w:rPr>
          <w:i/>
          <w:iCs/>
          <w:lang w:eastAsia="zh-CN"/>
        </w:rPr>
        <w:t>semiPersistentFwdRsrcSetToAddModList</w:t>
      </w:r>
      <w:r w:rsidRPr="001666E3">
        <w:rPr>
          <w:lang w:val="en-US" w:eastAsia="zh-CN"/>
        </w:rPr>
        <w:t xml:space="preserve"> </w:t>
      </w:r>
      <w:r w:rsidRPr="001666E3">
        <w:rPr>
          <w:lang w:val="en-US"/>
        </w:rPr>
        <w:t>a list of sets of resources for transmissions or receptions on the access link and the</w:t>
      </w:r>
      <w:r w:rsidRPr="001666E3">
        <w:rPr>
          <w:lang w:eastAsia="ko-KR"/>
        </w:rPr>
        <w:t xml:space="preserve"> NCR Access</w:t>
      </w:r>
      <w:r w:rsidRPr="001666E3">
        <w:t xml:space="preserve"> Link Beam Indicatio</w:t>
      </w:r>
      <w:r w:rsidRPr="001666E3">
        <w:rPr>
          <w:lang w:val="en-US"/>
        </w:rPr>
        <w:t xml:space="preserve">n MAC CE command can indicate a set of resources for the NCR to use or to stop using based on a corresponding identity provided by </w:t>
      </w:r>
      <w:r w:rsidRPr="001666E3">
        <w:rPr>
          <w:i/>
          <w:iCs/>
          <w:lang w:val="en-US"/>
        </w:rPr>
        <w:t>semiPersistentFwdRsrcSetId</w:t>
      </w:r>
      <w:r w:rsidRPr="001666E3">
        <w:rPr>
          <w:lang w:val="en-US"/>
        </w:rPr>
        <w:t xml:space="preserve"> </w:t>
      </w:r>
      <w:r w:rsidRPr="001666E3">
        <w:rPr>
          <w:lang w:eastAsia="ko-KR"/>
        </w:rPr>
        <w:t>[11, TS 38.321]</w:t>
      </w:r>
      <w:r w:rsidRPr="001666E3">
        <w:rPr>
          <w:lang w:val="en-US"/>
        </w:rPr>
        <w:t>. The NCR uses or stops using the set of resources starting from</w:t>
      </w:r>
      <w:r w:rsidRPr="001666E3">
        <w:t xml:space="preserve"> the first </w:t>
      </w:r>
      <w:r w:rsidRPr="001666E3">
        <w:lastRenderedPageBreak/>
        <w:t xml:space="preserve">slot that is after slot </w:t>
      </w:r>
      <m:oMath>
        <m:r>
          <w:rPr>
            <w:rFonts w:ascii="Cambria Math" w:hAnsi="Cambria Math"/>
          </w:rPr>
          <m:t>k+3</m:t>
        </m:r>
        <m:sSubSup>
          <m:sSubSupPr>
            <m:ctrlPr>
              <w:rPr>
                <w:rFonts w:ascii="Cambria Math" w:hAnsi="Cambria Math"/>
                <w:i/>
              </w:rPr>
            </m:ctrlPr>
          </m:sSubSupPr>
          <m:e>
            <m:r>
              <w:rPr>
                <w:rFonts w:ascii="Cambria Math" w:hAnsi="Cambria Math"/>
              </w:rPr>
              <m:t>N</m:t>
            </m:r>
          </m:e>
          <m:sub>
            <m:r>
              <m:rPr>
                <m:sty m:val="p"/>
              </m:rPr>
              <w:rPr>
                <w:rFonts w:ascii="Cambria Math" w:hAnsi="Cambria Math"/>
              </w:rPr>
              <m:t>slot</m:t>
            </m:r>
          </m:sub>
          <m:sup>
            <m:r>
              <m:rPr>
                <m:sty m:val="p"/>
              </m:rPr>
              <w:rPr>
                <w:rFonts w:ascii="Cambria Math" w:hAnsi="Cambria Math"/>
              </w:rPr>
              <m:t>subframe</m:t>
            </m:r>
            <m:r>
              <w:rPr>
                <w:rFonts w:ascii="Cambria Math" w:hAnsi="Cambria Math"/>
              </w:rPr>
              <m:t>,μ</m:t>
            </m:r>
          </m:sup>
        </m:sSubSup>
      </m:oMath>
      <w:r w:rsidRPr="001666E3">
        <w:t xml:space="preserve"> where </w:t>
      </w:r>
      <m:oMath>
        <m:r>
          <w:rPr>
            <w:rFonts w:ascii="Cambria Math" w:hAnsi="Cambria Math"/>
          </w:rPr>
          <m:t>k</m:t>
        </m:r>
      </m:oMath>
      <w:r w:rsidRPr="001666E3">
        <w:rPr>
          <w:lang w:val="en-US"/>
        </w:rPr>
        <w:t xml:space="preserve"> is the slot where the NCR-MT would transmit a PUCCH with HARQ-ACK information associated with the PDSCH providing the MAC CE command and </w:t>
      </w:r>
      <m:oMath>
        <m:r>
          <w:rPr>
            <w:rFonts w:ascii="Cambria Math" w:hAnsi="Cambria Math"/>
          </w:rPr>
          <m:t>μ</m:t>
        </m:r>
      </m:oMath>
      <w:r w:rsidRPr="001666E3">
        <w:t xml:space="preserve"> is the SCS configuration for </w:t>
      </w:r>
      <w:r w:rsidRPr="001666E3">
        <w:rPr>
          <w:lang w:val="en-US"/>
        </w:rPr>
        <w:t xml:space="preserve">the </w:t>
      </w:r>
      <w:r w:rsidRPr="001666E3">
        <w:t>PUCCH transmission.</w:t>
      </w:r>
      <w:r w:rsidRPr="001666E3">
        <w:rPr>
          <w:lang w:val="en-US"/>
        </w:rPr>
        <w:t xml:space="preserve"> The set of resources is provided by </w:t>
      </w:r>
      <w:r w:rsidRPr="001666E3">
        <w:rPr>
          <w:i/>
          <w:iCs/>
          <w:lang w:val="en-US"/>
        </w:rPr>
        <w:t>NCR-SemiPersistentFwdResourceSet</w:t>
      </w:r>
      <w:r w:rsidRPr="001666E3">
        <w:rPr>
          <w:lang w:val="en-US"/>
        </w:rPr>
        <w:t xml:space="preserve"> and occurs with a periodicity provided by </w:t>
      </w:r>
      <w:r w:rsidRPr="001666E3">
        <w:rPr>
          <w:i/>
          <w:iCs/>
          <w:lang w:val="en-US"/>
        </w:rPr>
        <w:t>periodicityAndOffset-r18</w:t>
      </w:r>
      <w:r w:rsidRPr="001666E3">
        <w:rPr>
          <w:lang w:val="en-US"/>
        </w:rPr>
        <w:t xml:space="preserve">. A resource from the set of resources is provided by </w:t>
      </w:r>
      <w:r w:rsidRPr="001666E3">
        <w:rPr>
          <w:i/>
          <w:iCs/>
          <w:lang w:val="en-US"/>
        </w:rPr>
        <w:t xml:space="preserve">NCR-SemiPersistentFwdResource </w:t>
      </w:r>
      <w:r w:rsidRPr="001666E3">
        <w:rPr>
          <w:lang w:val="en-US"/>
        </w:rPr>
        <w:t xml:space="preserve">and includes a pair of a time resource provided by </w:t>
      </w:r>
      <w:r w:rsidRPr="001666E3">
        <w:rPr>
          <w:i/>
          <w:iCs/>
          <w:lang w:val="en-US"/>
        </w:rPr>
        <w:t>semiPersistentTimeRsrc</w:t>
      </w:r>
      <w:r w:rsidRPr="001666E3">
        <w:rPr>
          <w:lang w:val="en-US"/>
        </w:rPr>
        <w:t xml:space="preserve"> and a beam with an index provided by </w:t>
      </w:r>
      <w:r w:rsidRPr="001666E3">
        <w:rPr>
          <w:i/>
          <w:iCs/>
          <w:lang w:val="en-US"/>
        </w:rPr>
        <w:t>beamIndex</w:t>
      </w:r>
      <w:r w:rsidRPr="001666E3">
        <w:rPr>
          <w:lang w:val="en-US"/>
        </w:rPr>
        <w:t xml:space="preserve">, where </w:t>
      </w:r>
      <w:r w:rsidRPr="001666E3">
        <w:rPr>
          <w:i/>
          <w:iCs/>
          <w:lang w:val="en-US"/>
        </w:rPr>
        <w:t>beamIndex</w:t>
      </w:r>
      <w:r w:rsidRPr="001666E3">
        <w:rPr>
          <w:lang w:val="en-US"/>
        </w:rPr>
        <w:t xml:space="preserve"> can be updated by the </w:t>
      </w:r>
      <w:r w:rsidRPr="001666E3">
        <w:rPr>
          <w:lang w:eastAsia="ko-KR"/>
        </w:rPr>
        <w:t>NCR Access Link</w:t>
      </w:r>
      <w:r w:rsidRPr="001666E3">
        <w:t xml:space="preserve"> Beam Indication </w:t>
      </w:r>
      <w:r w:rsidRPr="001666E3">
        <w:rPr>
          <w:lang w:val="en-US"/>
        </w:rPr>
        <w:t xml:space="preserve">MAC CE command. The time resource starts at a slot that is offset by a number of slots provided by </w:t>
      </w:r>
      <w:r w:rsidRPr="001666E3">
        <w:rPr>
          <w:i/>
          <w:iCs/>
          <w:lang w:val="en-US"/>
        </w:rPr>
        <w:t>periodicityAndOffset-r18</w:t>
      </w:r>
      <w:r w:rsidRPr="001666E3">
        <w:rPr>
          <w:lang w:val="en-US"/>
        </w:rPr>
        <w:t xml:space="preserve"> from the start of the period for the set of resources and at a symbol that is offset by </w:t>
      </w:r>
      <w:r w:rsidRPr="001666E3">
        <w:rPr>
          <w:i/>
          <w:iCs/>
          <w:lang w:val="en-US"/>
        </w:rPr>
        <w:t>symbolOffset</w:t>
      </w:r>
      <w:r w:rsidRPr="001666E3">
        <w:rPr>
          <w:lang w:val="en-US"/>
        </w:rPr>
        <w:t xml:space="preserve"> from the start of the slot, and has a duration provided by </w:t>
      </w:r>
      <w:r w:rsidRPr="001666E3">
        <w:rPr>
          <w:i/>
          <w:iCs/>
          <w:lang w:val="en-US"/>
        </w:rPr>
        <w:t>durationInSymbols</w:t>
      </w:r>
      <w:r w:rsidRPr="001666E3">
        <w:rPr>
          <w:lang w:val="en-US"/>
        </w:rPr>
        <w:t xml:space="preserve"> for a SCS provided by </w:t>
      </w:r>
      <w:r w:rsidRPr="001666E3">
        <w:rPr>
          <w:i/>
          <w:iCs/>
          <w:lang w:val="en-US"/>
        </w:rPr>
        <w:t>referenceSCS</w:t>
      </w:r>
      <w:r w:rsidRPr="001666E3">
        <w:t xml:space="preserve"> and the </w:t>
      </w:r>
      <w:r w:rsidRPr="001666E3">
        <w:rPr>
          <w:i/>
        </w:rPr>
        <w:t>cyclicPrefix</w:t>
      </w:r>
      <w:r w:rsidRPr="001666E3">
        <w:rPr>
          <w:i/>
          <w:lang w:val="en-US" w:eastAsia="zh-CN"/>
        </w:rPr>
        <w:t xml:space="preserve"> </w:t>
      </w:r>
      <w:r w:rsidRPr="001666E3">
        <w:t xml:space="preserve">of the </w:t>
      </w:r>
      <w:r w:rsidRPr="001666E3">
        <w:rPr>
          <w:rFonts w:hint="eastAsia"/>
          <w:lang w:val="en-US" w:eastAsia="zh-CN"/>
        </w:rPr>
        <w:t xml:space="preserve">active </w:t>
      </w:r>
      <w:r>
        <w:rPr>
          <w:lang w:val="en-US" w:eastAsia="zh-CN"/>
        </w:rPr>
        <w:t xml:space="preserve">DL </w:t>
      </w:r>
      <w:r w:rsidRPr="001666E3">
        <w:t>BWP</w:t>
      </w:r>
      <w:r w:rsidRPr="001666E3">
        <w:rPr>
          <w:lang w:val="en-US"/>
        </w:rPr>
        <w:t xml:space="preserve">. </w:t>
      </w:r>
    </w:p>
    <w:p w14:paraId="3C61A643" w14:textId="074625D8" w:rsidR="00DB7D93" w:rsidRPr="00DB7D93" w:rsidRDefault="00DB7D93" w:rsidP="00DB7D93">
      <w:r w:rsidRPr="00DB7D93">
        <w:rPr>
          <w:rFonts w:cs="Times"/>
          <w:iCs/>
        </w:rPr>
        <w:t xml:space="preserve">The NCR-MT can be configured to monitor PDCCH according to USS sets for detection of a DCI format </w:t>
      </w:r>
      <w:r w:rsidRPr="00DB7D93">
        <w:t xml:space="preserve">2_8 </w:t>
      </w:r>
      <w:r w:rsidRPr="00DB7D93">
        <w:rPr>
          <w:rFonts w:cs="Times"/>
          <w:iCs/>
        </w:rPr>
        <w:t>with CRC scrambled by an NCR-RNTI</w:t>
      </w:r>
      <w:r w:rsidRPr="00DB7D93">
        <w:t>. A time resource and a corresponding</w:t>
      </w:r>
      <w:r w:rsidRPr="00DB7D93">
        <w:rPr>
          <w:rFonts w:hint="eastAsia"/>
        </w:rPr>
        <w:t xml:space="preserve"> beam index </w:t>
      </w:r>
      <w:r w:rsidRPr="00DB7D93">
        <w:t xml:space="preserve">for transmissions or receptions on the access link are indicated </w:t>
      </w:r>
      <w:r w:rsidRPr="00DB7D93">
        <w:rPr>
          <w:rFonts w:hint="eastAsia"/>
        </w:rPr>
        <w:t>by corresponding field</w:t>
      </w:r>
      <w:r w:rsidRPr="00DB7D93">
        <w:rPr>
          <w:rFonts w:hint="eastAsia"/>
          <w:lang w:eastAsia="zh-CN"/>
        </w:rPr>
        <w:t>s</w:t>
      </w:r>
      <w:r w:rsidRPr="00DB7D93">
        <w:rPr>
          <w:rFonts w:hint="eastAsia"/>
        </w:rPr>
        <w:t xml:space="preserve"> in DCI format </w:t>
      </w:r>
      <w:r w:rsidRPr="00DB7D93">
        <w:t>2_8</w:t>
      </w:r>
      <w:r w:rsidRPr="00DB7D93">
        <w:rPr>
          <w:rFonts w:hint="eastAsia"/>
          <w:lang w:eastAsia="zh-CN"/>
        </w:rPr>
        <w:t xml:space="preserve"> [4, TS 38.212]</w:t>
      </w:r>
      <w:r w:rsidRPr="00DB7D93">
        <w:rPr>
          <w:rFonts w:hint="eastAsia"/>
        </w:rPr>
        <w:t>.</w:t>
      </w:r>
      <w:r w:rsidRPr="00DB7D93">
        <w:t xml:space="preserve"> </w:t>
      </w:r>
      <w:r w:rsidRPr="00DB7D93">
        <w:rPr>
          <w:lang w:val="en-US"/>
        </w:rPr>
        <w:t xml:space="preserve">When the NCR detects more than one DCI formats </w:t>
      </w:r>
      <w:r w:rsidRPr="00DB7D93">
        <w:t>2_8</w:t>
      </w:r>
      <w:r w:rsidRPr="00DB7D93">
        <w:rPr>
          <w:lang w:val="en-US"/>
        </w:rPr>
        <w:t xml:space="preserve"> that indicate beam indexes for time resources overlapping in a set of symbols, the NCR uses for the set of symbols a beam index that is indicated by a DCI format </w:t>
      </w:r>
      <w:r w:rsidRPr="00DB7D93">
        <w:t>2_8</w:t>
      </w:r>
      <w:r w:rsidRPr="00DB7D93">
        <w:rPr>
          <w:lang w:val="en-US"/>
        </w:rPr>
        <w:t xml:space="preserve"> that the NCR-MT detects in a most recent PDCCH monitoring occasion. </w:t>
      </w:r>
      <w:r w:rsidR="001D3366">
        <w:rPr>
          <w:lang w:val="en-US"/>
        </w:rPr>
        <w:t xml:space="preserve">If the NCR detects a DCI format 2_8 indicating more than one time resources that overlap in a set of symbols, the NCR expects that beam indexes associated with the more than one time resources have a same value. </w:t>
      </w:r>
      <w:r w:rsidRPr="00DB7D93">
        <w:rPr>
          <w:lang w:val="en-US"/>
        </w:rPr>
        <w:t xml:space="preserve">The time resource starts at a slot that is offset by </w:t>
      </w:r>
      <w:r w:rsidRPr="00DB7D93">
        <w:rPr>
          <w:i/>
          <w:iCs/>
          <w:lang w:val="en-US"/>
        </w:rPr>
        <w:t>slotOffsetAperiodic</w:t>
      </w:r>
      <w:r w:rsidRPr="00DB7D93">
        <w:rPr>
          <w:lang w:val="en-US"/>
        </w:rPr>
        <w:t xml:space="preserve"> slots from a reference slot and at a symbol that is offset by </w:t>
      </w:r>
      <w:r w:rsidRPr="00DB7D93">
        <w:rPr>
          <w:i/>
          <w:iCs/>
          <w:lang w:val="en-US"/>
        </w:rPr>
        <w:t>symbolOffset</w:t>
      </w:r>
      <w:r w:rsidRPr="00DB7D93">
        <w:rPr>
          <w:lang w:val="en-US"/>
        </w:rPr>
        <w:t xml:space="preserve"> from the start of the slot, and has a duration provided by </w:t>
      </w:r>
      <w:r w:rsidRPr="00DB7D93">
        <w:rPr>
          <w:i/>
          <w:iCs/>
          <w:lang w:val="en-US"/>
        </w:rPr>
        <w:t>durationInSymbols</w:t>
      </w:r>
      <w:r w:rsidRPr="00DB7D93">
        <w:rPr>
          <w:lang w:val="en-US"/>
        </w:rPr>
        <w:t xml:space="preserve"> for a SCS provided by </w:t>
      </w:r>
      <w:r w:rsidR="00F82005" w:rsidRPr="00A20E44">
        <w:rPr>
          <w:i/>
          <w:iCs/>
          <w:lang w:val="en-US"/>
        </w:rPr>
        <w:t>referenceSCS</w:t>
      </w:r>
      <w:r w:rsidR="00F82005" w:rsidRPr="000258F0">
        <w:t xml:space="preserve"> </w:t>
      </w:r>
      <w:r w:rsidR="00F82005" w:rsidRPr="001666E3">
        <w:t xml:space="preserve">and the </w:t>
      </w:r>
      <w:r w:rsidR="00F82005" w:rsidRPr="001666E3">
        <w:rPr>
          <w:i/>
        </w:rPr>
        <w:t>cyclicPrefix</w:t>
      </w:r>
      <w:r w:rsidR="00F82005" w:rsidRPr="001666E3">
        <w:rPr>
          <w:i/>
          <w:lang w:val="en-US" w:eastAsia="zh-CN"/>
        </w:rPr>
        <w:t xml:space="preserve"> </w:t>
      </w:r>
      <w:r w:rsidR="00F82005" w:rsidRPr="001666E3">
        <w:t xml:space="preserve">of the </w:t>
      </w:r>
      <w:r w:rsidR="00F82005" w:rsidRPr="001666E3">
        <w:rPr>
          <w:rFonts w:hint="eastAsia"/>
          <w:lang w:val="en-US" w:eastAsia="zh-CN"/>
        </w:rPr>
        <w:t xml:space="preserve">active </w:t>
      </w:r>
      <w:r w:rsidR="00F82005">
        <w:rPr>
          <w:lang w:val="en-US" w:eastAsia="zh-CN"/>
        </w:rPr>
        <w:t xml:space="preserve">DL </w:t>
      </w:r>
      <w:r w:rsidR="00F82005" w:rsidRPr="001666E3">
        <w:t>BWP</w:t>
      </w:r>
      <w:r w:rsidR="00F82005" w:rsidRPr="00A20E44">
        <w:rPr>
          <w:lang w:val="en-US"/>
        </w:rPr>
        <w:t xml:space="preserve">. The reference slot is </w:t>
      </w:r>
      <w:r w:rsidR="00F82005" w:rsidRPr="00A20E44">
        <w:rPr>
          <w:rFonts w:eastAsia="DengXian"/>
        </w:rPr>
        <w:t>the first slot with the SCS provided by </w:t>
      </w:r>
      <w:r w:rsidR="00F82005" w:rsidRPr="00A20E44">
        <w:rPr>
          <w:rFonts w:eastAsia="DengXian"/>
          <w:i/>
          <w:iCs/>
        </w:rPr>
        <w:t>referenceSCS</w:t>
      </w:r>
      <w:r w:rsidR="00F82005" w:rsidRPr="00A20E44">
        <w:rPr>
          <w:rFonts w:eastAsia="DengXian"/>
        </w:rPr>
        <w:t xml:space="preserve"> that starts no earlier than the start of </w:t>
      </w:r>
      <w:r w:rsidR="00F82005" w:rsidRPr="00A20E44">
        <w:rPr>
          <w:lang w:val="en-US"/>
        </w:rPr>
        <w:t xml:space="preserve">a slot that is after a slot of a PDCCH reception that provides the DCI format </w:t>
      </w:r>
      <w:r w:rsidR="00F82005" w:rsidRPr="00A20E44">
        <w:t xml:space="preserve">2_8 </w:t>
      </w:r>
      <w:r w:rsidR="00F82005" w:rsidRPr="00A20E44">
        <w:rPr>
          <w:lang w:val="en-US"/>
        </w:rPr>
        <w:t xml:space="preserve">by a number of slots indicated by </w:t>
      </w:r>
      <w:r w:rsidR="001D3366">
        <w:rPr>
          <w:i/>
          <w:iCs/>
        </w:rPr>
        <w:t>ncr-AperiodicBeamInd-AccessLink</w:t>
      </w:r>
      <w:r w:rsidR="00F82005" w:rsidRPr="007D5810">
        <w:t xml:space="preserve"> [18, TS 38.306]</w:t>
      </w:r>
      <w:r w:rsidR="00F82005" w:rsidRPr="00A20E44" w:rsidDel="00FB79E4">
        <w:rPr>
          <w:lang w:val="en-US"/>
        </w:rPr>
        <w:t xml:space="preserve"> </w:t>
      </w:r>
      <w:r w:rsidR="00F82005" w:rsidRPr="00A20E44">
        <w:rPr>
          <w:rFonts w:eastAsia="DengXian"/>
        </w:rPr>
        <w:t>with the SCS of PDCCH reception</w:t>
      </w:r>
      <w:r w:rsidRPr="00DB7D93">
        <w:rPr>
          <w:lang w:val="en-US"/>
        </w:rPr>
        <w:t xml:space="preserve">. </w:t>
      </w:r>
    </w:p>
    <w:p w14:paraId="09343BA0" w14:textId="77777777" w:rsidR="00DB7D93" w:rsidRPr="00DB7D93" w:rsidRDefault="00DB7D93" w:rsidP="00DB7D93">
      <w:pPr>
        <w:rPr>
          <w:lang w:val="en-US"/>
        </w:rPr>
      </w:pPr>
      <w:r w:rsidRPr="00DB7D93">
        <w:rPr>
          <w:lang w:val="en-US"/>
        </w:rPr>
        <w:t xml:space="preserve">If </w:t>
      </w:r>
    </w:p>
    <w:p w14:paraId="33E01017" w14:textId="2CD84017" w:rsidR="00DB7D93" w:rsidRPr="00DB7D93" w:rsidRDefault="00DB7D93" w:rsidP="00DB7D93">
      <w:pPr>
        <w:pStyle w:val="B1"/>
      </w:pPr>
      <w:r w:rsidRPr="00DB7D93">
        <w:t>-</w:t>
      </w:r>
      <w:r w:rsidRPr="00DB7D93">
        <w:tab/>
        <w:t xml:space="preserve">a first time resource provided by </w:t>
      </w:r>
      <w:r w:rsidRPr="00DB7D93">
        <w:rPr>
          <w:i/>
          <w:iCs/>
        </w:rPr>
        <w:t>NCR-SemiPersistentFwdResourceSet</w:t>
      </w:r>
      <w:r w:rsidRPr="00DB7D93">
        <w:t xml:space="preserve"> is indicated by </w:t>
      </w:r>
      <w:r w:rsidR="00F82005" w:rsidRPr="00E33C39">
        <w:t xml:space="preserve">the </w:t>
      </w:r>
      <w:r w:rsidR="00F82005" w:rsidRPr="00E33C39">
        <w:rPr>
          <w:lang w:eastAsia="ko-KR"/>
        </w:rPr>
        <w:t>NCR Access Link</w:t>
      </w:r>
      <w:r w:rsidR="00F82005" w:rsidRPr="00E33C39">
        <w:t xml:space="preserve"> Beam Indication</w:t>
      </w:r>
      <w:r w:rsidRPr="00DB7D93">
        <w:t xml:space="preserve"> MAC CE command and is associated with a first beam index, and </w:t>
      </w:r>
    </w:p>
    <w:p w14:paraId="35D60737" w14:textId="77777777" w:rsidR="00DB7D93" w:rsidRPr="00DB7D93" w:rsidRDefault="00DB7D93" w:rsidP="00DB7D93">
      <w:pPr>
        <w:pStyle w:val="B1"/>
      </w:pPr>
      <w:r w:rsidRPr="00DB7D93">
        <w:t>-</w:t>
      </w:r>
      <w:r w:rsidRPr="00DB7D93">
        <w:tab/>
        <w:t xml:space="preserve">a second time resource is provided by </w:t>
      </w:r>
      <w:r w:rsidRPr="00DB7D93">
        <w:rPr>
          <w:i/>
          <w:iCs/>
        </w:rPr>
        <w:t>NCR-PeriodicFwdResourceSet</w:t>
      </w:r>
      <w:r w:rsidRPr="00DB7D93">
        <w:t xml:space="preserve"> and is associated with a second beam index, and </w:t>
      </w:r>
    </w:p>
    <w:p w14:paraId="6EDFA00B" w14:textId="1FCF0932" w:rsidR="00DB7D93" w:rsidRPr="00DB7D93" w:rsidRDefault="00DB7D93" w:rsidP="00DB7D93">
      <w:pPr>
        <w:pStyle w:val="B1"/>
      </w:pPr>
      <w:r w:rsidRPr="00DB7D93">
        <w:t>-</w:t>
      </w:r>
      <w:r>
        <w:tab/>
      </w:r>
      <w:r w:rsidRPr="00DB7D93">
        <w:t>the first time resource overlaps with the second time resource in a set of symbols,</w:t>
      </w:r>
    </w:p>
    <w:p w14:paraId="56597899" w14:textId="77777777" w:rsidR="00F82005" w:rsidRPr="00742712" w:rsidRDefault="00F82005" w:rsidP="00F82005">
      <w:pPr>
        <w:rPr>
          <w:lang w:val="en-US"/>
        </w:rPr>
      </w:pPr>
      <w:r w:rsidRPr="00DB7D93">
        <w:rPr>
          <w:lang w:val="en-US"/>
        </w:rPr>
        <w:t>the NCR applies</w:t>
      </w:r>
      <w:r>
        <w:rPr>
          <w:lang w:val="en-US"/>
        </w:rPr>
        <w:t>,</w:t>
      </w:r>
      <w:r w:rsidRPr="00DB7D93">
        <w:rPr>
          <w:lang w:val="en-US"/>
        </w:rPr>
        <w:t xml:space="preserve"> for </w:t>
      </w:r>
      <w:r w:rsidRPr="00742712">
        <w:rPr>
          <w:lang w:val="en-US"/>
        </w:rPr>
        <w:t>transmissions or receptions on the access link in the set of symbols</w:t>
      </w:r>
      <w:r>
        <w:rPr>
          <w:lang w:val="en-US"/>
        </w:rPr>
        <w:t>,</w:t>
      </w:r>
      <w:r w:rsidRPr="00742712">
        <w:t xml:space="preserve"> </w:t>
      </w:r>
      <w:r>
        <w:t>the second beam index if only</w:t>
      </w:r>
      <w:r w:rsidRPr="00742712">
        <w:t xml:space="preserve"> </w:t>
      </w:r>
      <w:r w:rsidRPr="00742712">
        <w:rPr>
          <w:i/>
        </w:rPr>
        <w:t>NCR-PeriodicFwdResourceSet</w:t>
      </w:r>
      <w:r>
        <w:t xml:space="preserve"> includes</w:t>
      </w:r>
      <w:r w:rsidRPr="00742712">
        <w:t xml:space="preserve"> </w:t>
      </w:r>
      <w:r w:rsidRPr="00742712">
        <w:rPr>
          <w:i/>
        </w:rPr>
        <w:t>priorityFlag</w:t>
      </w:r>
      <w:r>
        <w:t>, and the first beam index otherwise</w:t>
      </w:r>
      <w:r w:rsidRPr="00742712">
        <w:rPr>
          <w:lang w:val="en-US"/>
        </w:rPr>
        <w:t xml:space="preserve">. </w:t>
      </w:r>
    </w:p>
    <w:p w14:paraId="23211FE1" w14:textId="77777777" w:rsidR="00DB7D93" w:rsidRPr="00DB7D93" w:rsidRDefault="00DB7D93" w:rsidP="00DB7D93">
      <w:pPr>
        <w:rPr>
          <w:lang w:val="en-US"/>
        </w:rPr>
      </w:pPr>
      <w:r w:rsidRPr="00DB7D93">
        <w:rPr>
          <w:lang w:val="en-US"/>
        </w:rPr>
        <w:t xml:space="preserve">If </w:t>
      </w:r>
    </w:p>
    <w:p w14:paraId="48D0C212" w14:textId="478F0717" w:rsidR="00DB7D93" w:rsidRPr="00DB7D93" w:rsidRDefault="00DB7D93" w:rsidP="00DB7D93">
      <w:pPr>
        <w:pStyle w:val="B1"/>
      </w:pPr>
      <w:r w:rsidRPr="00DB7D93">
        <w:t>-</w:t>
      </w:r>
      <w:r w:rsidRPr="00DB7D93">
        <w:tab/>
        <w:t xml:space="preserve">a first time resource is provided by </w:t>
      </w:r>
      <w:r w:rsidRPr="00DB7D93">
        <w:rPr>
          <w:i/>
          <w:iCs/>
        </w:rPr>
        <w:t>NCR-PeriodicFwdResourceSet</w:t>
      </w:r>
      <w:r w:rsidR="00504B9B" w:rsidRPr="00504B9B">
        <w:rPr>
          <w:lang w:val="en-GB"/>
        </w:rPr>
        <w:t>,</w:t>
      </w:r>
      <w:r w:rsidRPr="00504B9B">
        <w:t xml:space="preserve"> </w:t>
      </w:r>
      <w:r w:rsidRPr="00DB7D93">
        <w:t>or</w:t>
      </w:r>
      <w:r w:rsidR="00504B9B">
        <w:rPr>
          <w:lang w:val="en-GB"/>
        </w:rPr>
        <w:t xml:space="preserve"> </w:t>
      </w:r>
      <w:r w:rsidR="00504B9B">
        <w:t>provided by</w:t>
      </w:r>
      <w:r w:rsidRPr="00DB7D93">
        <w:t xml:space="preserve"> </w:t>
      </w:r>
      <w:r w:rsidRPr="00DB7D93">
        <w:rPr>
          <w:i/>
          <w:iCs/>
        </w:rPr>
        <w:t>NCR-SemiPersistentFwdResourceSet</w:t>
      </w:r>
      <w:r w:rsidRPr="00DB7D93">
        <w:t xml:space="preserve"> </w:t>
      </w:r>
      <w:r w:rsidR="00504B9B">
        <w:t xml:space="preserve">and indicated by </w:t>
      </w:r>
      <w:r w:rsidR="00504B9B" w:rsidRPr="00E33C39">
        <w:t xml:space="preserve">the </w:t>
      </w:r>
      <w:r w:rsidR="00504B9B" w:rsidRPr="00E33C39">
        <w:rPr>
          <w:lang w:eastAsia="ko-KR"/>
        </w:rPr>
        <w:t>NCR Access Link</w:t>
      </w:r>
      <w:r w:rsidR="00504B9B" w:rsidRPr="00E33C39">
        <w:t xml:space="preserve"> Beam Indication</w:t>
      </w:r>
      <w:r w:rsidR="00504B9B">
        <w:t xml:space="preserve"> MAC CE command</w:t>
      </w:r>
      <w:r w:rsidR="00504B9B">
        <w:rPr>
          <w:lang w:val="en-GB"/>
        </w:rPr>
        <w:t>,</w:t>
      </w:r>
      <w:r w:rsidR="00504B9B" w:rsidRPr="00DB7D93">
        <w:t xml:space="preserve"> </w:t>
      </w:r>
      <w:r w:rsidRPr="00DB7D93">
        <w:t xml:space="preserve">and is associated with a first beam index, and </w:t>
      </w:r>
    </w:p>
    <w:p w14:paraId="0BB20362" w14:textId="77777777" w:rsidR="00DB7D93" w:rsidRPr="00DB7D93" w:rsidRDefault="00DB7D93" w:rsidP="00DB7D93">
      <w:pPr>
        <w:pStyle w:val="B1"/>
      </w:pPr>
      <w:r w:rsidRPr="00DB7D93">
        <w:t>-</w:t>
      </w:r>
      <w:r w:rsidRPr="00DB7D93">
        <w:tab/>
        <w:t>a second time resource is indicated by DCI format 2_8 and is associated with a second beam index provided by the DCI format 2_8, and</w:t>
      </w:r>
    </w:p>
    <w:p w14:paraId="47388E15" w14:textId="763AF8EB" w:rsidR="00DB7D93" w:rsidRPr="00DB7D93" w:rsidRDefault="00DB7D93" w:rsidP="00DB7D93">
      <w:pPr>
        <w:pStyle w:val="B1"/>
      </w:pPr>
      <w:r w:rsidRPr="00DB7D93">
        <w:t>-</w:t>
      </w:r>
      <w:r>
        <w:tab/>
      </w:r>
      <w:r w:rsidRPr="00DB7D93">
        <w:t>the first time resource overlaps with the second time resource in a set of symbols,</w:t>
      </w:r>
    </w:p>
    <w:p w14:paraId="5FAFA068" w14:textId="77777777" w:rsidR="00DB7D93" w:rsidRPr="00DB7D93" w:rsidRDefault="00DB7D93" w:rsidP="00DB7D93">
      <w:pPr>
        <w:rPr>
          <w:lang w:val="en-US"/>
        </w:rPr>
      </w:pPr>
      <w:r w:rsidRPr="00DB7D93">
        <w:rPr>
          <w:lang w:val="en-US"/>
        </w:rPr>
        <w:t xml:space="preserve">the NCR applies, for transmissions or receptions on the access link in the set of symbols, </w:t>
      </w:r>
    </w:p>
    <w:p w14:paraId="6FA99B62" w14:textId="77777777" w:rsidR="00DB7D93" w:rsidRPr="00DB7D93" w:rsidRDefault="00DB7D93" w:rsidP="00DB7D93">
      <w:pPr>
        <w:pStyle w:val="B1"/>
      </w:pPr>
      <w:r w:rsidRPr="00DB7D93">
        <w:t>-</w:t>
      </w:r>
      <w:r w:rsidRPr="00DB7D93">
        <w:tab/>
        <w:t xml:space="preserve">the first beam index if </w:t>
      </w:r>
      <w:r w:rsidRPr="00504B9B">
        <w:rPr>
          <w:i/>
          <w:iCs/>
        </w:rPr>
        <w:t>NCR-PeriodicFwdResourceSet</w:t>
      </w:r>
      <w:r w:rsidRPr="00DB7D93">
        <w:t xml:space="preserve"> or </w:t>
      </w:r>
      <w:r w:rsidRPr="00504B9B">
        <w:rPr>
          <w:i/>
          <w:iCs/>
        </w:rPr>
        <w:t>NCR-SemiPersistentFwdResourceSet</w:t>
      </w:r>
      <w:r w:rsidRPr="00DB7D93">
        <w:t xml:space="preserve"> includes </w:t>
      </w:r>
      <w:r w:rsidRPr="00504B9B">
        <w:rPr>
          <w:i/>
          <w:iCs/>
        </w:rPr>
        <w:t>priorityFlag</w:t>
      </w:r>
      <w:r w:rsidRPr="00DB7D93">
        <w:t>, and</w:t>
      </w:r>
    </w:p>
    <w:p w14:paraId="58BAE421" w14:textId="77777777" w:rsidR="00DB7D93" w:rsidRPr="00DB7D93" w:rsidRDefault="00DB7D93" w:rsidP="00DB7D93">
      <w:pPr>
        <w:pStyle w:val="B1"/>
      </w:pPr>
      <w:r w:rsidRPr="00DB7D93">
        <w:t>-</w:t>
      </w:r>
      <w:r w:rsidRPr="00DB7D93">
        <w:tab/>
        <w:t xml:space="preserve">the second beam index if </w:t>
      </w:r>
      <w:r w:rsidRPr="00504B9B">
        <w:rPr>
          <w:i/>
          <w:iCs/>
        </w:rPr>
        <w:t>NCR-PeriodicFwdResourceSet</w:t>
      </w:r>
      <w:r w:rsidRPr="00DB7D93">
        <w:t xml:space="preserve"> or </w:t>
      </w:r>
      <w:r w:rsidRPr="00504B9B">
        <w:rPr>
          <w:i/>
          <w:iCs/>
        </w:rPr>
        <w:t>NCR-SemiPersistentFwdResourceSet</w:t>
      </w:r>
      <w:r w:rsidRPr="00DB7D93">
        <w:t xml:space="preserve"> does not include </w:t>
      </w:r>
      <w:r w:rsidRPr="00504B9B">
        <w:rPr>
          <w:i/>
          <w:iCs/>
        </w:rPr>
        <w:t>priorityFlag</w:t>
      </w:r>
      <w:r w:rsidRPr="00DB7D93">
        <w:t>.</w:t>
      </w:r>
    </w:p>
    <w:p w14:paraId="133D35A3" w14:textId="165329C4" w:rsidR="00DB7D93" w:rsidRPr="00DB7D93" w:rsidRDefault="00DB7D93" w:rsidP="00DB7D93">
      <w:pPr>
        <w:snapToGrid w:val="0"/>
        <w:jc w:val="both"/>
        <w:rPr>
          <w:lang w:val="en-US"/>
        </w:rPr>
      </w:pPr>
      <w:r w:rsidRPr="00DB7D93">
        <w:rPr>
          <w:lang w:val="en-US"/>
        </w:rPr>
        <w:t xml:space="preserve">The NCR does not expect overlapping time resources provided by either </w:t>
      </w:r>
      <w:r w:rsidRPr="00DB7D93">
        <w:rPr>
          <w:i/>
          <w:iCs/>
          <w:lang w:val="en-US"/>
        </w:rPr>
        <w:t>NCR-PeriodicFwdResourceSet</w:t>
      </w:r>
      <w:r w:rsidRPr="00DB7D93">
        <w:rPr>
          <w:lang w:val="en-US"/>
        </w:rPr>
        <w:t xml:space="preserve"> or </w:t>
      </w:r>
      <w:r w:rsidRPr="00DB7D93">
        <w:rPr>
          <w:i/>
          <w:iCs/>
          <w:lang w:val="en-US"/>
        </w:rPr>
        <w:t>NCR-SemiPersistentFwdResourceSet</w:t>
      </w:r>
      <w:r w:rsidRPr="00DB7D93">
        <w:rPr>
          <w:lang w:val="en-US"/>
        </w:rPr>
        <w:t xml:space="preserve"> to be associated with different beam indexes.</w:t>
      </w:r>
    </w:p>
    <w:p w14:paraId="58767344" w14:textId="77777777" w:rsidR="005F4AE0" w:rsidRPr="005F4AE0" w:rsidRDefault="005F4AE0" w:rsidP="00D24900">
      <w:pPr>
        <w:pStyle w:val="Heading1"/>
      </w:pPr>
      <w:bookmarkStart w:id="967" w:name="_Toc161999201"/>
      <w:r w:rsidRPr="005F4AE0">
        <w:lastRenderedPageBreak/>
        <w:t>21</w:t>
      </w:r>
      <w:r w:rsidRPr="005F4AE0">
        <w:rPr>
          <w:rFonts w:hint="eastAsia"/>
        </w:rPr>
        <w:tab/>
      </w:r>
      <w:r w:rsidRPr="005F4AE0">
        <w:t>L1/L2-triggered mobility procedures</w:t>
      </w:r>
      <w:bookmarkEnd w:id="967"/>
    </w:p>
    <w:p w14:paraId="5330CBC6" w14:textId="799E84CD" w:rsidR="005F4AE0" w:rsidRPr="005F4AE0" w:rsidRDefault="005F4AE0" w:rsidP="00950A9B">
      <w:r w:rsidRPr="005F4AE0">
        <w:rPr>
          <w:rFonts w:eastAsia="Malgun Gothic" w:cs="Times"/>
        </w:rPr>
        <w:t xml:space="preserve">A UE can be indicated, by </w:t>
      </w:r>
      <w:r w:rsidRPr="005F4AE0">
        <w:rPr>
          <w:i/>
          <w:iCs/>
        </w:rPr>
        <w:t>LTM-Config</w:t>
      </w:r>
      <w:r w:rsidRPr="005F4AE0">
        <w:rPr>
          <w:rFonts w:eastAsia="Malgun Gothic" w:cs="Times"/>
        </w:rPr>
        <w:t xml:space="preserve">, candidate cells and </w:t>
      </w:r>
      <w:r w:rsidRPr="005F4AE0">
        <w:t xml:space="preserve">SS/PBCH blocks per candidate cell for the UE to </w:t>
      </w:r>
      <w:r w:rsidRPr="005F4AE0">
        <w:rPr>
          <w:rFonts w:eastAsia="Malgun Gothic" w:cs="Times"/>
        </w:rPr>
        <w:t xml:space="preserve">obtain synchronization and measure corresponding L1-RSRPs </w:t>
      </w:r>
      <w:r w:rsidRPr="005F4AE0">
        <w:rPr>
          <w:lang w:eastAsia="ja-JP"/>
        </w:rPr>
        <w:t>[10, TS 38.133]</w:t>
      </w:r>
      <w:r w:rsidRPr="005F4AE0">
        <w:t xml:space="preserve">. </w:t>
      </w:r>
      <w:r w:rsidR="00950A9B" w:rsidRPr="005C48B7">
        <w:t xml:space="preserve">A </w:t>
      </w:r>
      <w:r w:rsidR="00950A9B" w:rsidRPr="00CF6BD6">
        <w:t>Candidate Cell TCI States Activation/Deactivation MAC CE can activate</w:t>
      </w:r>
      <w:r w:rsidR="00950A9B" w:rsidRPr="005C48B7">
        <w:t xml:space="preserve"> TCI states, provided by </w:t>
      </w:r>
      <w:r w:rsidR="00950A9B" w:rsidRPr="005C48B7">
        <w:rPr>
          <w:i/>
          <w:iCs/>
        </w:rPr>
        <w:t>CandidateTCI-State</w:t>
      </w:r>
      <w:r w:rsidR="00950A9B" w:rsidRPr="005C48B7">
        <w:t xml:space="preserve"> or/and </w:t>
      </w:r>
      <w:r w:rsidR="00950A9B" w:rsidRPr="005C48B7">
        <w:rPr>
          <w:i/>
          <w:iCs/>
        </w:rPr>
        <w:t>CandidateTCI-UL-State</w:t>
      </w:r>
      <w:r w:rsidR="00950A9B" w:rsidRPr="005C48B7">
        <w:t xml:space="preserve">, associated with SS/PBCH blocks or TRS of corresponding candidate </w:t>
      </w:r>
      <w:r w:rsidR="00950A9B" w:rsidRPr="003702A0">
        <w:t xml:space="preserve">cells </w:t>
      </w:r>
      <w:r w:rsidR="00950A9B" w:rsidRPr="003702A0">
        <w:rPr>
          <w:lang w:val="en-US"/>
        </w:rPr>
        <w:t>[11, TS 38.321]</w:t>
      </w:r>
      <w:r w:rsidR="00950A9B" w:rsidRPr="003702A0">
        <w:t xml:space="preserve">. If the Candidate Cell TCI States Activation/Deactivation MAC CE activates TCI states, </w:t>
      </w:r>
      <w:r w:rsidR="00950A9B" w:rsidRPr="003702A0">
        <w:rPr>
          <w:lang w:eastAsia="zh-CN"/>
        </w:rPr>
        <w:t xml:space="preserve">an </w:t>
      </w:r>
      <w:r w:rsidR="00950A9B" w:rsidRPr="003702A0">
        <w:t>LTM Cell Switch Command MAC CE</w:t>
      </w:r>
      <w:r w:rsidR="00950A9B" w:rsidRPr="003702A0">
        <w:rPr>
          <w:lang w:eastAsia="zh-CN"/>
        </w:rPr>
        <w:t xml:space="preserve"> </w:t>
      </w:r>
      <w:r w:rsidR="00950A9B" w:rsidRPr="003702A0">
        <w:rPr>
          <w:rFonts w:hint="eastAsia"/>
          <w:lang w:eastAsia="zh-CN"/>
        </w:rPr>
        <w:t>can indicate a TCI state</w:t>
      </w:r>
      <w:r w:rsidR="00950A9B" w:rsidRPr="003702A0">
        <w:rPr>
          <w:lang w:eastAsia="zh-CN"/>
        </w:rPr>
        <w:t xml:space="preserve"> from the activated TCI states; otherwise, the </w:t>
      </w:r>
      <w:r w:rsidR="00950A9B" w:rsidRPr="003702A0">
        <w:t xml:space="preserve">LTM Cell Switch Command MAC CE can </w:t>
      </w:r>
      <w:r w:rsidR="00950A9B" w:rsidRPr="003702A0">
        <w:rPr>
          <w:rFonts w:hint="eastAsia"/>
          <w:lang w:eastAsia="zh-CN"/>
        </w:rPr>
        <w:t xml:space="preserve">activate and indicate a TCI state, provided by </w:t>
      </w:r>
      <w:r w:rsidR="00950A9B" w:rsidRPr="003702A0">
        <w:rPr>
          <w:i/>
          <w:iCs/>
        </w:rPr>
        <w:t>CandidateTCI-State</w:t>
      </w:r>
      <w:r w:rsidR="00950A9B" w:rsidRPr="003702A0">
        <w:t xml:space="preserve"> or/and</w:t>
      </w:r>
      <w:r w:rsidR="00950A9B" w:rsidRPr="003702A0">
        <w:rPr>
          <w:rFonts w:hint="eastAsia"/>
          <w:lang w:eastAsia="zh-CN"/>
        </w:rPr>
        <w:t xml:space="preserve"> </w:t>
      </w:r>
      <w:r w:rsidR="00950A9B" w:rsidRPr="003702A0">
        <w:rPr>
          <w:i/>
          <w:iCs/>
        </w:rPr>
        <w:t>CandidateTCI-UL-State</w:t>
      </w:r>
      <w:r w:rsidR="00950A9B" w:rsidRPr="003702A0">
        <w:t>.</w:t>
      </w:r>
      <w:r w:rsidR="00950A9B">
        <w:t xml:space="preserve"> </w:t>
      </w:r>
      <w:r w:rsidR="00950A9B" w:rsidRPr="003702A0">
        <w:rPr>
          <w:lang w:val="en-US"/>
        </w:rPr>
        <w:t>After reception</w:t>
      </w:r>
      <w:r w:rsidR="00950A9B" w:rsidRPr="005C48B7">
        <w:rPr>
          <w:lang w:val="en-US"/>
        </w:rPr>
        <w:t xml:space="preserve"> of the LTM Cell Switch Command MAC CE, activated TCI states that are not indicated by the MAC CE are deactivated. </w:t>
      </w:r>
      <w:r w:rsidRPr="005F4AE0">
        <w:t xml:space="preserve">The UE is provided configurations by </w:t>
      </w:r>
      <w:r w:rsidRPr="005F4AE0">
        <w:rPr>
          <w:i/>
          <w:iCs/>
        </w:rPr>
        <w:t>LTM-CSI-ReportConfigToAddModList</w:t>
      </w:r>
      <w:r w:rsidRPr="005F4AE0">
        <w:t xml:space="preserve"> for reporting L1-RSRP measurements [</w:t>
      </w:r>
      <w:r w:rsidRPr="005F4AE0">
        <w:rPr>
          <w:lang w:val="en-US"/>
        </w:rPr>
        <w:t>6</w:t>
      </w:r>
      <w:r w:rsidRPr="005F4AE0">
        <w:t xml:space="preserve">, TS 38.214] that include a number of candidate cells and a number of SS/PBCH blocks per candidate cell from the number of candidate cells. </w:t>
      </w:r>
    </w:p>
    <w:p w14:paraId="1F8AAF4A" w14:textId="49DB286B" w:rsidR="00EA404C" w:rsidRDefault="005F4AE0" w:rsidP="00950A9B">
      <w:r w:rsidRPr="005F4AE0">
        <w:rPr>
          <w:kern w:val="2"/>
          <w:lang w:eastAsia="zh-CN"/>
        </w:rPr>
        <w:t xml:space="preserve">If </w:t>
      </w:r>
      <w:r w:rsidR="00EA404C" w:rsidRPr="009A0CEE">
        <w:rPr>
          <w:rFonts w:cs="Times"/>
          <w:i/>
          <w:iCs/>
        </w:rPr>
        <w:t>ltm-UE-MeasuredTA-ID</w:t>
      </w:r>
      <w:r w:rsidR="00EA404C" w:rsidRPr="00F57F76">
        <w:rPr>
          <w:rFonts w:cs="Times"/>
        </w:rPr>
        <w:t xml:space="preserve"> </w:t>
      </w:r>
      <w:r w:rsidR="00EA404C" w:rsidRPr="009A0CEE">
        <w:rPr>
          <w:rFonts w:cs="Times"/>
        </w:rPr>
        <w:t xml:space="preserve">of a candidate cell </w:t>
      </w:r>
      <w:r w:rsidR="00EA404C">
        <w:rPr>
          <w:rFonts w:cs="Times"/>
        </w:rPr>
        <w:t xml:space="preserve">and </w:t>
      </w:r>
      <w:r w:rsidR="00EA404C" w:rsidRPr="009A0CEE">
        <w:rPr>
          <w:rFonts w:cs="Times"/>
          <w:i/>
          <w:iCs/>
        </w:rPr>
        <w:t xml:space="preserve">ltm-UE-MeasuredTA-ID </w:t>
      </w:r>
      <w:r w:rsidR="00EA404C">
        <w:rPr>
          <w:rFonts w:cs="Times"/>
        </w:rPr>
        <w:t>of the serving cell are</w:t>
      </w:r>
      <w:r w:rsidR="00EA404C" w:rsidRPr="009A0CEE">
        <w:rPr>
          <w:rFonts w:cs="Times"/>
        </w:rPr>
        <w:t xml:space="preserve"> </w:t>
      </w:r>
      <w:r w:rsidR="00EA404C">
        <w:rPr>
          <w:rFonts w:cs="Times"/>
        </w:rPr>
        <w:t>provided to</w:t>
      </w:r>
      <w:r w:rsidR="00EA404C" w:rsidRPr="009A0CEE">
        <w:rPr>
          <w:rFonts w:cs="Times"/>
        </w:rPr>
        <w:t xml:space="preserve"> </w:t>
      </w:r>
      <w:r w:rsidRPr="005F4AE0">
        <w:rPr>
          <w:kern w:val="2"/>
          <w:lang w:eastAsia="zh-CN"/>
        </w:rPr>
        <w:t xml:space="preserve">a UE </w:t>
      </w:r>
      <w:r w:rsidR="00EA404C">
        <w:rPr>
          <w:kern w:val="2"/>
          <w:lang w:eastAsia="zh-CN"/>
        </w:rPr>
        <w:t>and have same value</w:t>
      </w:r>
      <w:r w:rsidRPr="005F4AE0">
        <w:t xml:space="preserve">, the UE estimates based on the UE implementation a timing advance </w:t>
      </w:r>
      <w:r w:rsidRPr="005F4AE0">
        <w:rPr>
          <w:rFonts w:eastAsia="MS Mincho"/>
        </w:rPr>
        <w:t xml:space="preserve">to apply from a first transmission on </w:t>
      </w:r>
      <w:r w:rsidR="00EA404C">
        <w:rPr>
          <w:rFonts w:eastAsia="MS Mincho"/>
        </w:rPr>
        <w:t>the</w:t>
      </w:r>
      <w:r w:rsidR="00EA404C" w:rsidRPr="005F4AE0">
        <w:rPr>
          <w:rFonts w:eastAsia="MS Mincho"/>
        </w:rPr>
        <w:t xml:space="preserve"> </w:t>
      </w:r>
      <w:r w:rsidRPr="005F4AE0">
        <w:rPr>
          <w:rFonts w:eastAsia="MS Mincho"/>
        </w:rPr>
        <w:t>candidate cell that is after the reception of a cell switch command for the candidate cell [11, TS 38.321]</w:t>
      </w:r>
      <w:r w:rsidRPr="005F4AE0">
        <w:t>.</w:t>
      </w:r>
    </w:p>
    <w:p w14:paraId="12063D21" w14:textId="24D2263E" w:rsidR="005F4AE0" w:rsidRPr="005F4AE0" w:rsidRDefault="005F4AE0" w:rsidP="00950A9B">
      <w:r w:rsidRPr="005F4AE0">
        <w:t xml:space="preserve">A UE can be provided configurations, by </w:t>
      </w:r>
      <w:r w:rsidRPr="005F4AE0">
        <w:rPr>
          <w:i/>
          <w:iCs/>
        </w:rPr>
        <w:t>EarlyUlSyncConfig</w:t>
      </w:r>
      <w:r w:rsidRPr="005F4AE0">
        <w:t xml:space="preserve">, for PRACH transmission parameters for each of the candidate cells. The UE can be triggered a PRACH transmission on a candidate cell by a PDCCH order that the UE receives on a serving cell and includes an indication of the candidate cell for the PRACH transmission [4, TS 38.212]. If the serving cell and the candidate cell operate in a same frequency range and the UE would have transmissions that overlap in time, or when a gap between a first or last symbol of a PRACH transmission to the candidate cell is less than </w:t>
      </w:r>
      <w:r w:rsidRPr="005F4AE0">
        <w:rPr>
          <w:rFonts w:ascii="Cambria Math" w:hAnsi="Cambria Math" w:cs="Cambria Math"/>
        </w:rPr>
        <w:t xml:space="preserve">𝑁 </w:t>
      </w:r>
      <w:r w:rsidRPr="005F4AE0">
        <w:t xml:space="preserve">symbols from a last or first symbol, respectively, of an UL transmission to the serving cell, where </w:t>
      </w:r>
      <m:oMath>
        <m:r>
          <w:rPr>
            <w:rFonts w:ascii="Cambria Math" w:eastAsia="DengXian" w:hAnsi="Cambria Math"/>
          </w:rPr>
          <m:t>N</m:t>
        </m:r>
      </m:oMath>
      <w:r w:rsidRPr="005F4AE0">
        <w:t xml:space="preserve"> is defined in Clause </w:t>
      </w:r>
      <w:r w:rsidR="00EA404C">
        <w:t>8.1</w:t>
      </w:r>
      <w:r w:rsidRPr="005F4AE0">
        <w:t xml:space="preserve">, the UE </w:t>
      </w:r>
    </w:p>
    <w:p w14:paraId="1463D86F" w14:textId="77777777" w:rsidR="005F4AE0" w:rsidRPr="005F4AE0" w:rsidRDefault="005F4AE0" w:rsidP="005F4AE0">
      <w:pPr>
        <w:pStyle w:val="B1"/>
      </w:pPr>
      <w:r w:rsidRPr="005F4AE0">
        <w:t>-</w:t>
      </w:r>
      <w:r w:rsidRPr="005F4AE0">
        <w:tab/>
        <w:t>drops the transmissions on the serving cell when the UE does not support transmissions that overlap in time or are separated by less than the gap on the serving cell and the candidate cell</w:t>
      </w:r>
    </w:p>
    <w:p w14:paraId="5572CBB3" w14:textId="77777777" w:rsidR="005F4AE0" w:rsidRPr="005F4AE0" w:rsidRDefault="005F4AE0" w:rsidP="005F4AE0">
      <w:pPr>
        <w:pStyle w:val="B1"/>
      </w:pPr>
      <w:r w:rsidRPr="005F4AE0">
        <w:t>-</w:t>
      </w:r>
      <w:r w:rsidRPr="005F4AE0">
        <w:tab/>
        <w:t>prioritizes power allocation to the PRACH transmission on the candidate cell in clause 7.5 when the UE supports transmissions that overlap in time or are separated by less than the gap, and a</w:t>
      </w:r>
      <w:r w:rsidRPr="005F4AE0">
        <w:rPr>
          <w:iCs/>
        </w:rPr>
        <w:t xml:space="preserve"> total UE transmit power in the frequency range would exceed </w:t>
      </w:r>
      <m:oMath>
        <m:sSub>
          <m:sSubPr>
            <m:ctrlPr>
              <w:rPr>
                <w:rFonts w:ascii="Cambria Math" w:hAnsi="Cambria Math"/>
                <w:i/>
              </w:rPr>
            </m:ctrlPr>
          </m:sSubPr>
          <m:e>
            <m:acc>
              <m:accPr>
                <m:ctrlPr>
                  <w:rPr>
                    <w:rFonts w:ascii="Cambria Math" w:hAnsi="Cambria Math"/>
                    <w:i/>
                  </w:rPr>
                </m:ctrlPr>
              </m:accPr>
              <m:e>
                <m:r>
                  <w:rPr>
                    <w:rFonts w:ascii="Cambria Math"/>
                  </w:rPr>
                  <m:t>P</m:t>
                </m:r>
              </m:e>
            </m:acc>
          </m:e>
          <m:sub>
            <m:r>
              <m:rPr>
                <m:sty m:val="p"/>
              </m:rPr>
              <w:rPr>
                <w:rFonts w:ascii="Cambria Math" w:hAnsi="Cambria Math"/>
              </w:rPr>
              <m:t>CMAX</m:t>
            </m:r>
          </m:sub>
        </m:sSub>
      </m:oMath>
    </w:p>
    <w:p w14:paraId="2FFD86C4" w14:textId="77777777" w:rsidR="005F4AE0" w:rsidRPr="005F4AE0" w:rsidRDefault="005F4AE0" w:rsidP="00950A9B">
      <w:r w:rsidRPr="005F4AE0">
        <w:t xml:space="preserve">The UE transmits the PRACH on the candidate cell as described in Clause 8.1 with a power determined as described in Clause 7.4. </w:t>
      </w:r>
    </w:p>
    <w:p w14:paraId="173501C4" w14:textId="77777777" w:rsidR="00950A9B" w:rsidRPr="00E628BC" w:rsidRDefault="00950A9B" w:rsidP="00950A9B">
      <w:pPr>
        <w:rPr>
          <w:iCs/>
        </w:rPr>
      </w:pPr>
      <w:r w:rsidRPr="005C48B7">
        <w:t xml:space="preserve">A UE can </w:t>
      </w:r>
      <w:r w:rsidRPr="00D64C4A">
        <w:t xml:space="preserve">be </w:t>
      </w:r>
      <w:r w:rsidRPr="00E628BC">
        <w:t xml:space="preserve">provided by a </w:t>
      </w:r>
      <w:r w:rsidRPr="00E628BC">
        <w:rPr>
          <w:lang w:val="en-US"/>
        </w:rPr>
        <w:t xml:space="preserve">LTM Cell Switch Command </w:t>
      </w:r>
      <w:r w:rsidRPr="00E628BC">
        <w:t xml:space="preserve">MAC CE in a PDSCH reception on the serving cell [11, TS 38.321] a </w:t>
      </w:r>
      <w:r w:rsidRPr="00DF3E52">
        <w:rPr>
          <w:i/>
          <w:iCs/>
        </w:rPr>
        <w:t>Candidate</w:t>
      </w:r>
      <w:r w:rsidRPr="00E628BC">
        <w:rPr>
          <w:rFonts w:cs="Times"/>
          <w:i/>
          <w:iCs/>
          <w:szCs w:val="18"/>
          <w:lang w:eastAsia="zh-CN"/>
        </w:rPr>
        <w:t>TCI-State</w:t>
      </w:r>
      <w:r w:rsidRPr="00E628BC">
        <w:rPr>
          <w:rFonts w:cs="Times"/>
          <w:iCs/>
          <w:szCs w:val="18"/>
          <w:lang w:eastAsia="zh-CN"/>
        </w:rPr>
        <w:t xml:space="preserve"> </w:t>
      </w:r>
      <w:r w:rsidRPr="00E628BC">
        <w:t xml:space="preserve">and/or </w:t>
      </w:r>
      <w:r w:rsidRPr="00DF3E52">
        <w:rPr>
          <w:i/>
          <w:iCs/>
        </w:rPr>
        <w:t>Candidate</w:t>
      </w:r>
      <w:r w:rsidRPr="00E628BC">
        <w:rPr>
          <w:i/>
        </w:rPr>
        <w:t>TCI-UL-State</w:t>
      </w:r>
      <w:r w:rsidRPr="00E628BC">
        <w:rPr>
          <w:rFonts w:cs="Times"/>
          <w:iCs/>
          <w:szCs w:val="18"/>
          <w:lang w:eastAsia="zh-CN"/>
        </w:rPr>
        <w:t xml:space="preserve"> in</w:t>
      </w:r>
      <w:r w:rsidRPr="00E628BC">
        <w:t xml:space="preserve"> </w:t>
      </w:r>
      <w:r>
        <w:rPr>
          <w:rFonts w:cs="Times"/>
          <w:i/>
          <w:iCs/>
          <w:szCs w:val="18"/>
          <w:lang w:eastAsia="zh-CN"/>
        </w:rPr>
        <w:t>ltm-DL</w:t>
      </w:r>
      <w:r w:rsidRPr="00E628BC">
        <w:rPr>
          <w:rFonts w:cs="Times"/>
          <w:i/>
          <w:iCs/>
          <w:szCs w:val="18"/>
          <w:lang w:eastAsia="zh-CN"/>
        </w:rPr>
        <w:t>-OrJointTCI</w:t>
      </w:r>
      <w:r w:rsidRPr="00E628BC">
        <w:rPr>
          <w:rFonts w:cs="Times"/>
          <w:i/>
          <w:iCs/>
          <w:szCs w:val="18"/>
          <w:lang w:val="en-US" w:eastAsia="zh-CN"/>
        </w:rPr>
        <w:t>-</w:t>
      </w:r>
      <w:r w:rsidRPr="00E628BC">
        <w:rPr>
          <w:rFonts w:cs="Times"/>
          <w:i/>
          <w:iCs/>
          <w:szCs w:val="18"/>
          <w:lang w:eastAsia="zh-CN"/>
        </w:rPr>
        <w:t>State</w:t>
      </w:r>
      <w:r w:rsidRPr="00E628BC">
        <w:rPr>
          <w:i/>
          <w:iCs/>
        </w:rPr>
        <w:t>ToAddMod</w:t>
      </w:r>
      <w:r w:rsidRPr="00E628BC">
        <w:rPr>
          <w:rFonts w:cs="Times"/>
          <w:i/>
          <w:iCs/>
          <w:szCs w:val="18"/>
          <w:lang w:eastAsia="zh-CN"/>
        </w:rPr>
        <w:t>List</w:t>
      </w:r>
      <w:r w:rsidRPr="00E628BC">
        <w:rPr>
          <w:rFonts w:cs="Times"/>
          <w:iCs/>
          <w:szCs w:val="18"/>
          <w:lang w:eastAsia="zh-CN"/>
        </w:rPr>
        <w:t xml:space="preserve"> and/</w:t>
      </w:r>
      <w:r w:rsidRPr="00E628BC">
        <w:rPr>
          <w:rFonts w:cs="Times"/>
          <w:iCs/>
          <w:szCs w:val="18"/>
          <w:lang w:val="en-US" w:eastAsia="zh-CN"/>
        </w:rPr>
        <w:t>or</w:t>
      </w:r>
      <w:r w:rsidRPr="00E628BC">
        <w:rPr>
          <w:lang w:val="en-US"/>
        </w:rPr>
        <w:t xml:space="preserve"> </w:t>
      </w:r>
      <w:r>
        <w:rPr>
          <w:i/>
          <w:iCs/>
        </w:rPr>
        <w:t>ltm-UL</w:t>
      </w:r>
      <w:r w:rsidRPr="00E628BC">
        <w:rPr>
          <w:i/>
          <w:iCs/>
        </w:rPr>
        <w:t>-TCI-ToAddModList</w:t>
      </w:r>
      <w:r w:rsidRPr="00E628BC">
        <w:rPr>
          <w:iCs/>
        </w:rPr>
        <w:t xml:space="preserve"> indicating a unified TCI state</w:t>
      </w:r>
      <w:r w:rsidRPr="00E628BC">
        <w:rPr>
          <w:lang w:eastAsia="zh-CN"/>
        </w:rPr>
        <w:t xml:space="preserve"> </w:t>
      </w:r>
      <w:r w:rsidRPr="00E628BC">
        <w:t>[</w:t>
      </w:r>
      <w:r w:rsidRPr="00E628BC">
        <w:rPr>
          <w:lang w:val="en-US"/>
        </w:rPr>
        <w:t>6</w:t>
      </w:r>
      <w:r w:rsidRPr="00E628BC">
        <w:t xml:space="preserve">, TS 38.214] </w:t>
      </w:r>
      <w:r w:rsidRPr="00E628BC">
        <w:rPr>
          <w:lang w:eastAsia="zh-CN"/>
        </w:rPr>
        <w:t xml:space="preserve">for applicable receptions or transmissions on a candidate cell from the number of candidate cells. The UE may assume that DM-RS antenna ports for PDCCH receptions and for PDSCH receptions are quasi co-located with the </w:t>
      </w:r>
      <w:r>
        <w:rPr>
          <w:lang w:eastAsia="zh-CN"/>
        </w:rPr>
        <w:t>SS/PBCH block or the TRS</w:t>
      </w:r>
      <w:r w:rsidRPr="00E628BC">
        <w:rPr>
          <w:lang w:eastAsia="zh-CN"/>
        </w:rPr>
        <w:t xml:space="preserve"> in the TCI state with respect to </w:t>
      </w:r>
      <w:r w:rsidRPr="00E628BC">
        <w:t>quasi co-location 'typeA' and 'typeD' properties,</w:t>
      </w:r>
      <w:r w:rsidRPr="00E628BC">
        <w:rPr>
          <w:lang w:eastAsia="zh-CN"/>
        </w:rPr>
        <w:t xml:space="preserve"> when applicable. The UE does not expect to be indicated </w:t>
      </w:r>
      <w:r w:rsidRPr="00E628BC">
        <w:t>quasi co-location 'typeA' properties</w:t>
      </w:r>
      <w:r w:rsidRPr="00E628BC">
        <w:rPr>
          <w:lang w:eastAsia="zh-CN"/>
        </w:rPr>
        <w:t xml:space="preserve"> when a SS/PBCH block is configured as a source RS of the TCI state. </w:t>
      </w:r>
      <w:r w:rsidRPr="00E628BC">
        <w:t xml:space="preserve">The UE applies the </w:t>
      </w:r>
      <w:r w:rsidRPr="00DF3E52">
        <w:rPr>
          <w:i/>
          <w:iCs/>
        </w:rPr>
        <w:t>Candidate</w:t>
      </w:r>
      <w:r w:rsidRPr="00E628BC">
        <w:rPr>
          <w:i/>
        </w:rPr>
        <w:t>TCI-</w:t>
      </w:r>
      <w:r w:rsidRPr="00E628BC">
        <w:rPr>
          <w:rFonts w:hint="eastAsia"/>
          <w:i/>
          <w:lang w:eastAsia="zh-CN"/>
        </w:rPr>
        <w:t>S</w:t>
      </w:r>
      <w:r w:rsidRPr="00E628BC">
        <w:rPr>
          <w:i/>
        </w:rPr>
        <w:t>tate</w:t>
      </w:r>
      <w:r w:rsidRPr="00E628BC">
        <w:t xml:space="preserve"> and/or </w:t>
      </w:r>
      <w:r w:rsidRPr="00DF3E52">
        <w:rPr>
          <w:i/>
          <w:iCs/>
        </w:rPr>
        <w:t>Candidate</w:t>
      </w:r>
      <w:r w:rsidRPr="00E628BC">
        <w:rPr>
          <w:i/>
        </w:rPr>
        <w:t xml:space="preserve">TCI-UL-State, </w:t>
      </w:r>
      <w:r w:rsidRPr="00E628BC">
        <w:t xml:space="preserve">if indicated by the MAC CE, </w:t>
      </w:r>
      <w:r w:rsidRPr="00E628BC">
        <w:rPr>
          <w:lang w:val="en-US"/>
        </w:rPr>
        <w:t xml:space="preserve">no later than </w:t>
      </w:r>
      <m:oMath>
        <m:sSub>
          <m:sSubPr>
            <m:ctrlPr>
              <w:rPr>
                <w:rFonts w:ascii="Cambria Math" w:hAnsi="Cambria Math"/>
                <w:iCs/>
                <w:sz w:val="18"/>
                <w:szCs w:val="18"/>
              </w:rPr>
            </m:ctrlPr>
          </m:sSubPr>
          <m:e>
            <m:r>
              <w:rPr>
                <w:rFonts w:ascii="Cambria Math" w:hAnsi="Cambria Math"/>
                <w:sz w:val="18"/>
                <w:szCs w:val="18"/>
              </w:rPr>
              <m:t>T</m:t>
            </m:r>
          </m:e>
          <m:sub>
            <m:r>
              <m:rPr>
                <m:sty m:val="p"/>
              </m:rPr>
              <w:rPr>
                <w:rFonts w:ascii="Cambria Math" w:hAnsi="Cambria Math"/>
                <w:sz w:val="18"/>
                <w:szCs w:val="18"/>
              </w:rPr>
              <m:t>LTM-RRC-processing</m:t>
            </m:r>
          </m:sub>
        </m:sSub>
        <m:r>
          <w:rPr>
            <w:rFonts w:ascii="Cambria Math" w:hAnsi="Cambria Math"/>
            <w:sz w:val="18"/>
            <w:szCs w:val="18"/>
          </w:rPr>
          <m:t>+</m:t>
        </m:r>
        <m:sSub>
          <m:sSubPr>
            <m:ctrlPr>
              <w:rPr>
                <w:rFonts w:ascii="Cambria Math" w:hAnsi="Cambria Math"/>
                <w:iCs/>
                <w:sz w:val="18"/>
                <w:szCs w:val="18"/>
              </w:rPr>
            </m:ctrlPr>
          </m:sSubPr>
          <m:e>
            <m:r>
              <w:rPr>
                <w:rFonts w:ascii="Cambria Math" w:hAnsi="Cambria Math"/>
                <w:sz w:val="18"/>
                <w:szCs w:val="18"/>
              </w:rPr>
              <m:t>T</m:t>
            </m:r>
          </m:e>
          <m:sub>
            <m:r>
              <m:rPr>
                <m:sty m:val="p"/>
              </m:rPr>
              <w:rPr>
                <w:rFonts w:ascii="Cambria Math" w:hAnsi="Cambria Math"/>
                <w:sz w:val="18"/>
                <w:szCs w:val="18"/>
              </w:rPr>
              <m:t>LTM-processing</m:t>
            </m:r>
          </m:sub>
        </m:sSub>
        <m:r>
          <w:rPr>
            <w:rFonts w:ascii="Cambria Math" w:hAnsi="Cambria Math"/>
            <w:sz w:val="18"/>
            <w:szCs w:val="18"/>
          </w:rPr>
          <m:t>+</m:t>
        </m:r>
        <m:sSub>
          <m:sSubPr>
            <m:ctrlPr>
              <w:rPr>
                <w:rFonts w:ascii="Cambria Math" w:hAnsi="Cambria Math"/>
                <w:iCs/>
                <w:sz w:val="18"/>
                <w:szCs w:val="18"/>
              </w:rPr>
            </m:ctrlPr>
          </m:sSubPr>
          <m:e>
            <m:r>
              <w:rPr>
                <w:rFonts w:ascii="Cambria Math" w:hAnsi="Cambria Math"/>
                <w:sz w:val="18"/>
                <w:szCs w:val="18"/>
              </w:rPr>
              <m:t>T</m:t>
            </m:r>
          </m:e>
          <m:sub>
            <m:r>
              <m:rPr>
                <m:sty m:val="p"/>
              </m:rPr>
              <w:rPr>
                <w:rFonts w:ascii="Cambria Math" w:hAnsi="Cambria Math"/>
                <w:sz w:val="18"/>
                <w:szCs w:val="18"/>
              </w:rPr>
              <m:t>first-RS</m:t>
            </m:r>
          </m:sub>
        </m:sSub>
        <m:r>
          <w:rPr>
            <w:rFonts w:ascii="Cambria Math" w:hAnsi="Cambria Math"/>
            <w:sz w:val="18"/>
            <w:szCs w:val="18"/>
          </w:rPr>
          <m:t>+</m:t>
        </m:r>
        <m:sSub>
          <m:sSubPr>
            <m:ctrlPr>
              <w:rPr>
                <w:rFonts w:ascii="Cambria Math" w:hAnsi="Cambria Math"/>
                <w:iCs/>
                <w:sz w:val="18"/>
                <w:szCs w:val="18"/>
              </w:rPr>
            </m:ctrlPr>
          </m:sSubPr>
          <m:e>
            <m:r>
              <w:rPr>
                <w:rFonts w:ascii="Cambria Math" w:hAnsi="Cambria Math"/>
                <w:sz w:val="18"/>
                <w:szCs w:val="18"/>
              </w:rPr>
              <m:t>T</m:t>
            </m:r>
          </m:e>
          <m:sub>
            <m:r>
              <m:rPr>
                <m:sty m:val="p"/>
              </m:rPr>
              <w:rPr>
                <w:rFonts w:ascii="Cambria Math" w:hAnsi="Cambria Math"/>
                <w:sz w:val="18"/>
                <w:szCs w:val="18"/>
              </w:rPr>
              <m:t>RS-proc</m:t>
            </m:r>
          </m:sub>
        </m:sSub>
        <m:r>
          <w:rPr>
            <w:rFonts w:ascii="Cambria Math" w:hAnsi="Cambria Math"/>
            <w:sz w:val="18"/>
            <w:szCs w:val="18"/>
          </w:rPr>
          <m:t xml:space="preserve">+3 </m:t>
        </m:r>
        <m:r>
          <m:rPr>
            <m:sty m:val="p"/>
          </m:rPr>
          <w:rPr>
            <w:rFonts w:ascii="Cambria Math" w:hAnsi="Cambria Math"/>
            <w:sz w:val="18"/>
            <w:szCs w:val="18"/>
          </w:rPr>
          <m:t>msec</m:t>
        </m:r>
      </m:oMath>
      <w:r w:rsidRPr="00E628BC">
        <w:rPr>
          <w:lang w:val="en-US"/>
        </w:rPr>
        <w:t xml:space="preserve"> </w:t>
      </w:r>
      <w:r w:rsidRPr="00E628BC">
        <w:t xml:space="preserve">after the last symbol of </w:t>
      </w:r>
      <w:r w:rsidRPr="00E628BC">
        <w:rPr>
          <w:lang w:val="en-US"/>
        </w:rPr>
        <w:t xml:space="preserve">a PUCCH or PUSCH with HARQ-ACK information for the PDSCH providing the MAC CE, where </w:t>
      </w:r>
      <m:oMath>
        <m:sSub>
          <m:sSubPr>
            <m:ctrlPr>
              <w:rPr>
                <w:rFonts w:ascii="Cambria Math" w:hAnsi="Cambria Math"/>
                <w:iCs/>
                <w:sz w:val="18"/>
                <w:szCs w:val="18"/>
              </w:rPr>
            </m:ctrlPr>
          </m:sSubPr>
          <m:e>
            <m:r>
              <w:rPr>
                <w:rFonts w:ascii="Cambria Math" w:hAnsi="Cambria Math"/>
                <w:sz w:val="18"/>
                <w:szCs w:val="18"/>
              </w:rPr>
              <m:t>T</m:t>
            </m:r>
          </m:e>
          <m:sub>
            <m:r>
              <m:rPr>
                <m:sty m:val="p"/>
              </m:rPr>
              <w:rPr>
                <w:rFonts w:ascii="Cambria Math" w:hAnsi="Cambria Math"/>
                <w:sz w:val="18"/>
                <w:szCs w:val="18"/>
              </w:rPr>
              <m:t>LTM-RRC-processing</m:t>
            </m:r>
          </m:sub>
        </m:sSub>
      </m:oMath>
      <w:r w:rsidRPr="00E628BC">
        <w:rPr>
          <w:lang w:val="en-US"/>
        </w:rPr>
        <w:t xml:space="preserve">, </w:t>
      </w:r>
      <m:oMath>
        <m:sSub>
          <m:sSubPr>
            <m:ctrlPr>
              <w:rPr>
                <w:rFonts w:ascii="Cambria Math" w:hAnsi="Cambria Math"/>
                <w:iCs/>
                <w:sz w:val="18"/>
                <w:szCs w:val="18"/>
              </w:rPr>
            </m:ctrlPr>
          </m:sSubPr>
          <m:e>
            <m:r>
              <w:rPr>
                <w:rFonts w:ascii="Cambria Math" w:hAnsi="Cambria Math"/>
                <w:sz w:val="18"/>
                <w:szCs w:val="18"/>
              </w:rPr>
              <m:t>T</m:t>
            </m:r>
          </m:e>
          <m:sub>
            <m:r>
              <m:rPr>
                <m:sty m:val="p"/>
              </m:rPr>
              <w:rPr>
                <w:rFonts w:ascii="Cambria Math" w:hAnsi="Cambria Math"/>
                <w:sz w:val="18"/>
                <w:szCs w:val="18"/>
              </w:rPr>
              <m:t>LTM-processing</m:t>
            </m:r>
          </m:sub>
        </m:sSub>
      </m:oMath>
      <w:r w:rsidRPr="00E628BC">
        <w:rPr>
          <w:rFonts w:eastAsia="DengXian"/>
          <w:lang w:val="en-US" w:eastAsia="zh-CN"/>
        </w:rPr>
        <w:t xml:space="preserve">, </w:t>
      </w:r>
      <m:oMath>
        <m:sSub>
          <m:sSubPr>
            <m:ctrlPr>
              <w:rPr>
                <w:rFonts w:ascii="Cambria Math" w:hAnsi="Cambria Math"/>
                <w:iCs/>
                <w:sz w:val="18"/>
                <w:szCs w:val="18"/>
              </w:rPr>
            </m:ctrlPr>
          </m:sSubPr>
          <m:e>
            <m:r>
              <w:rPr>
                <w:rFonts w:ascii="Cambria Math" w:hAnsi="Cambria Math"/>
                <w:sz w:val="18"/>
                <w:szCs w:val="18"/>
              </w:rPr>
              <m:t>T</m:t>
            </m:r>
          </m:e>
          <m:sub>
            <m:r>
              <m:rPr>
                <m:sty m:val="p"/>
              </m:rPr>
              <w:rPr>
                <w:rFonts w:ascii="Cambria Math" w:hAnsi="Cambria Math"/>
                <w:sz w:val="18"/>
                <w:szCs w:val="18"/>
              </w:rPr>
              <m:t>first-RS</m:t>
            </m:r>
          </m:sub>
        </m:sSub>
      </m:oMath>
      <w:r w:rsidRPr="00E628BC">
        <w:rPr>
          <w:rFonts w:eastAsia="DengXian"/>
          <w:bCs/>
          <w:vertAlign w:val="subscript"/>
          <w:lang w:val="en-US"/>
        </w:rPr>
        <w:t xml:space="preserve"> </w:t>
      </w:r>
      <w:r w:rsidRPr="00E628BC">
        <w:rPr>
          <w:rFonts w:eastAsia="DengXian"/>
          <w:lang w:val="en-US"/>
        </w:rPr>
        <w:t xml:space="preserve">and </w:t>
      </w:r>
      <m:oMath>
        <m:sSub>
          <m:sSubPr>
            <m:ctrlPr>
              <w:rPr>
                <w:rFonts w:ascii="Cambria Math" w:hAnsi="Cambria Math"/>
                <w:iCs/>
                <w:sz w:val="18"/>
                <w:szCs w:val="18"/>
              </w:rPr>
            </m:ctrlPr>
          </m:sSubPr>
          <m:e>
            <m:r>
              <w:rPr>
                <w:rFonts w:ascii="Cambria Math" w:hAnsi="Cambria Math"/>
                <w:sz w:val="18"/>
                <w:szCs w:val="18"/>
              </w:rPr>
              <m:t>T</m:t>
            </m:r>
          </m:e>
          <m:sub>
            <m:r>
              <m:rPr>
                <m:sty m:val="p"/>
              </m:rPr>
              <w:rPr>
                <w:rFonts w:ascii="Cambria Math" w:hAnsi="Cambria Math"/>
                <w:sz w:val="18"/>
                <w:szCs w:val="18"/>
              </w:rPr>
              <m:t>RS-proc</m:t>
            </m:r>
          </m:sub>
        </m:sSub>
      </m:oMath>
      <w:r w:rsidRPr="00E628BC">
        <w:rPr>
          <w:lang w:val="en-US"/>
        </w:rPr>
        <w:t xml:space="preserve"> are defined in </w:t>
      </w:r>
      <w:r w:rsidRPr="00E628BC">
        <w:rPr>
          <w:lang w:val="en-US" w:eastAsia="zh-CN"/>
        </w:rPr>
        <w:t>[10, TS 38.133]</w:t>
      </w:r>
      <w:r w:rsidRPr="00E628BC">
        <w:rPr>
          <w:i/>
        </w:rPr>
        <w:t xml:space="preserve">. </w:t>
      </w:r>
      <w:r w:rsidRPr="00E628BC">
        <w:rPr>
          <w:rFonts w:ascii="Times" w:eastAsia="Batang" w:hAnsi="Times"/>
          <w:iCs/>
          <w:szCs w:val="24"/>
        </w:rPr>
        <w:t>For RACH-based LTM cell switch</w:t>
      </w:r>
      <w:r w:rsidRPr="00E628BC">
        <w:rPr>
          <w:iCs/>
        </w:rPr>
        <w:t xml:space="preserve"> </w:t>
      </w:r>
      <w:r w:rsidRPr="00E628BC">
        <w:t>[19, TS 38.300]</w:t>
      </w:r>
      <w:r w:rsidRPr="00E628BC">
        <w:rPr>
          <w:iCs/>
        </w:rPr>
        <w:t xml:space="preserve">, the UE applies the </w:t>
      </w:r>
      <w:r w:rsidRPr="00DF3E52">
        <w:rPr>
          <w:i/>
          <w:iCs/>
        </w:rPr>
        <w:t>Candidate</w:t>
      </w:r>
      <w:r w:rsidRPr="00E628BC">
        <w:rPr>
          <w:i/>
        </w:rPr>
        <w:t>TCI-</w:t>
      </w:r>
      <w:r w:rsidRPr="00E628BC">
        <w:rPr>
          <w:rFonts w:hint="eastAsia"/>
          <w:i/>
          <w:lang w:eastAsia="zh-CN"/>
        </w:rPr>
        <w:t>S</w:t>
      </w:r>
      <w:r w:rsidRPr="00E628BC">
        <w:rPr>
          <w:i/>
        </w:rPr>
        <w:t>tate</w:t>
      </w:r>
      <w:r w:rsidRPr="00E628BC">
        <w:rPr>
          <w:iCs/>
        </w:rPr>
        <w:t xml:space="preserve"> for receptions on the candidate cell, and applies a spatial domain filter corresponding to the </w:t>
      </w:r>
      <w:r w:rsidRPr="00DF3E52">
        <w:rPr>
          <w:i/>
          <w:iCs/>
        </w:rPr>
        <w:t>Candidate</w:t>
      </w:r>
      <w:r w:rsidRPr="00E628BC">
        <w:rPr>
          <w:i/>
        </w:rPr>
        <w:t>TCI-</w:t>
      </w:r>
      <w:r w:rsidRPr="00E628BC">
        <w:rPr>
          <w:rFonts w:hint="eastAsia"/>
          <w:i/>
          <w:lang w:eastAsia="zh-CN"/>
        </w:rPr>
        <w:t>S</w:t>
      </w:r>
      <w:r w:rsidRPr="00E628BC">
        <w:rPr>
          <w:i/>
        </w:rPr>
        <w:t>tate</w:t>
      </w:r>
      <w:r w:rsidRPr="00E628BC">
        <w:t xml:space="preserve"> or the </w:t>
      </w:r>
      <w:r w:rsidRPr="00DF3E52">
        <w:rPr>
          <w:i/>
          <w:iCs/>
        </w:rPr>
        <w:t>Candidate</w:t>
      </w:r>
      <w:r w:rsidRPr="00E628BC">
        <w:rPr>
          <w:i/>
        </w:rPr>
        <w:t>TCI-UL-State</w:t>
      </w:r>
      <w:r w:rsidRPr="00E628BC">
        <w:rPr>
          <w:iCs/>
        </w:rPr>
        <w:t xml:space="preserve"> for transmissions on the candidate cell, that are after the completion of the random access procedure associated with the PRACH transmission on the candidate cell and before a new TCI state is indicated for the candidate cell. </w:t>
      </w:r>
      <w:r w:rsidRPr="00E628BC">
        <w:rPr>
          <w:rFonts w:ascii="Times" w:eastAsia="Batang" w:hAnsi="Times"/>
          <w:iCs/>
          <w:szCs w:val="24"/>
        </w:rPr>
        <w:t>For RACH-less LTM cell switch</w:t>
      </w:r>
      <w:r w:rsidRPr="00E628BC">
        <w:rPr>
          <w:iCs/>
        </w:rPr>
        <w:t xml:space="preserve"> </w:t>
      </w:r>
      <w:r w:rsidRPr="00E628BC">
        <w:t>[19, TS 38.300]</w:t>
      </w:r>
      <w:r w:rsidRPr="00E628BC">
        <w:rPr>
          <w:iCs/>
        </w:rPr>
        <w:t xml:space="preserve">, the UE applies the </w:t>
      </w:r>
      <w:r w:rsidRPr="00DF3E52">
        <w:rPr>
          <w:i/>
          <w:iCs/>
        </w:rPr>
        <w:t>Candidate</w:t>
      </w:r>
      <w:r w:rsidRPr="00E628BC">
        <w:rPr>
          <w:i/>
        </w:rPr>
        <w:t>TCI-</w:t>
      </w:r>
      <w:r w:rsidRPr="00E628BC">
        <w:rPr>
          <w:i/>
          <w:lang w:eastAsia="zh-CN"/>
        </w:rPr>
        <w:t>S</w:t>
      </w:r>
      <w:r w:rsidRPr="00E628BC">
        <w:rPr>
          <w:i/>
        </w:rPr>
        <w:t>tate</w:t>
      </w:r>
      <w:r w:rsidRPr="00E628BC">
        <w:rPr>
          <w:iCs/>
        </w:rPr>
        <w:t xml:space="preserve"> for receptions on the candidate cell and applies a spatial domain filter corresponding to the </w:t>
      </w:r>
      <w:r w:rsidRPr="00DF3E52">
        <w:rPr>
          <w:i/>
          <w:iCs/>
        </w:rPr>
        <w:t>Candidate</w:t>
      </w:r>
      <w:r w:rsidRPr="00E628BC">
        <w:rPr>
          <w:i/>
        </w:rPr>
        <w:t>TCI-</w:t>
      </w:r>
      <w:r w:rsidRPr="00E628BC">
        <w:rPr>
          <w:i/>
          <w:lang w:eastAsia="zh-CN"/>
        </w:rPr>
        <w:t>S</w:t>
      </w:r>
      <w:r w:rsidRPr="00E628BC">
        <w:rPr>
          <w:i/>
        </w:rPr>
        <w:t>tate</w:t>
      </w:r>
      <w:r w:rsidRPr="00E628BC">
        <w:t xml:space="preserve"> or the </w:t>
      </w:r>
      <w:r w:rsidRPr="00DF3E52">
        <w:rPr>
          <w:i/>
          <w:iCs/>
        </w:rPr>
        <w:t>Candidate</w:t>
      </w:r>
      <w:r w:rsidRPr="00E628BC">
        <w:rPr>
          <w:i/>
        </w:rPr>
        <w:t>TCI-UL-State</w:t>
      </w:r>
      <w:r w:rsidRPr="00E628BC">
        <w:rPr>
          <w:iCs/>
        </w:rPr>
        <w:t xml:space="preserve"> for transmissions on the candidate cell before a new TCI state is indicated for the candidate cell.</w:t>
      </w:r>
    </w:p>
    <w:p w14:paraId="4C38B93E" w14:textId="77777777" w:rsidR="00D24900" w:rsidRPr="00D24900" w:rsidRDefault="00D24900" w:rsidP="00D24900">
      <w:pPr>
        <w:pStyle w:val="Heading1"/>
      </w:pPr>
      <w:bookmarkStart w:id="968" w:name="_Toc161999202"/>
      <w:r w:rsidRPr="00D24900">
        <w:lastRenderedPageBreak/>
        <w:t>22</w:t>
      </w:r>
      <w:r w:rsidRPr="00D24900">
        <w:rPr>
          <w:rFonts w:hint="eastAsia"/>
        </w:rPr>
        <w:tab/>
      </w:r>
      <w:r w:rsidRPr="00D24900">
        <w:t>PUSCH transmission in NTN RACH-less handover</w:t>
      </w:r>
      <w:bookmarkEnd w:id="968"/>
    </w:p>
    <w:p w14:paraId="37275CA9" w14:textId="77777777" w:rsidR="00D24900" w:rsidRPr="00D24900" w:rsidRDefault="00D24900" w:rsidP="00D24900">
      <w:pPr>
        <w:pStyle w:val="Heading2"/>
        <w:rPr>
          <w:sz w:val="28"/>
          <w:szCs w:val="18"/>
        </w:rPr>
      </w:pPr>
      <w:bookmarkStart w:id="969" w:name="_Toc161999203"/>
      <w:r w:rsidRPr="00D24900">
        <w:t>22.1</w:t>
      </w:r>
      <w:r w:rsidRPr="00D24900">
        <w:rPr>
          <w:rFonts w:hint="eastAsia"/>
        </w:rPr>
        <w:tab/>
      </w:r>
      <w:r w:rsidRPr="00D24900">
        <w:t>Configured-grant PUSCH transmission</w:t>
      </w:r>
      <w:bookmarkEnd w:id="969"/>
    </w:p>
    <w:p w14:paraId="7C1A90C3" w14:textId="1B0A066E" w:rsidR="00D24900" w:rsidRPr="00D24900" w:rsidRDefault="00D24900" w:rsidP="00D24900">
      <w:r w:rsidRPr="00D24900">
        <w:t xml:space="preserve">A UE </w:t>
      </w:r>
      <w:r w:rsidRPr="00D24900">
        <w:rPr>
          <w:rFonts w:eastAsia="Times New Roman"/>
          <w:iCs/>
        </w:rPr>
        <w:t>indicated to perform PUSCH transmission in</w:t>
      </w:r>
      <w:r w:rsidRPr="00D24900">
        <w:rPr>
          <w:iCs/>
          <w:lang w:eastAsia="zh-CN"/>
        </w:rPr>
        <w:t xml:space="preserve"> RACH-less</w:t>
      </w:r>
      <w:r w:rsidRPr="00D24900">
        <w:rPr>
          <w:rFonts w:eastAsia="Times New Roman"/>
          <w:iCs/>
        </w:rPr>
        <w:t xml:space="preserve"> </w:t>
      </w:r>
      <w:r w:rsidRPr="00D24900">
        <w:rPr>
          <w:iCs/>
          <w:lang w:eastAsia="zh-CN"/>
        </w:rPr>
        <w:t xml:space="preserve">handover </w:t>
      </w:r>
      <w:r w:rsidRPr="00D24900">
        <w:t xml:space="preserve">can be provided one or more configurations by respective one or more </w:t>
      </w:r>
      <w:r w:rsidRPr="00D24900">
        <w:rPr>
          <w:i/>
        </w:rPr>
        <w:t>ConfiguredGrantConfig</w:t>
      </w:r>
      <w:r w:rsidRPr="00D24900">
        <w:t xml:space="preserve">, for configured grant Type 1 PUSCH transmissions on the initial UL BWP [12, TS 38.331]. </w:t>
      </w:r>
      <w:r w:rsidRPr="00D24900">
        <w:rPr>
          <w:rFonts w:cs="Arial"/>
          <w:color w:val="000000"/>
          <w:szCs w:val="32"/>
          <w:lang w:eastAsia="zh-CN"/>
        </w:rPr>
        <w:t xml:space="preserve">For the remaining of this clause, PUSCH transmissions refer to configured grant Type-1 PUSCH transmissions for a configuration provided by </w:t>
      </w:r>
      <w:r w:rsidRPr="00D24900">
        <w:rPr>
          <w:i/>
        </w:rPr>
        <w:t>ConfiguredGrantConfig</w:t>
      </w:r>
      <w:r w:rsidRPr="00D24900">
        <w:rPr>
          <w:rFonts w:cs="Arial"/>
          <w:color w:val="000000"/>
          <w:szCs w:val="32"/>
          <w:lang w:eastAsia="zh-CN"/>
        </w:rPr>
        <w:t xml:space="preserve">. </w:t>
      </w:r>
    </w:p>
    <w:p w14:paraId="22309316" w14:textId="77777777" w:rsidR="00D24900" w:rsidRPr="00D24900" w:rsidRDefault="00D24900" w:rsidP="00D24900">
      <w:r w:rsidRPr="00D24900">
        <w:t xml:space="preserve">A UE can be provided by </w:t>
      </w:r>
      <w:r w:rsidRPr="00D24900">
        <w:rPr>
          <w:i/>
          <w:iCs/>
          <w:lang w:eastAsia="zh-CN"/>
        </w:rPr>
        <w:t>ntn</w:t>
      </w:r>
      <w:r w:rsidRPr="00D24900">
        <w:rPr>
          <w:i/>
        </w:rPr>
        <w:t>-SSB-Subset</w:t>
      </w:r>
      <w:r w:rsidRPr="00D24900">
        <w:t xml:space="preserve"> a number of SS/PBCH block indexes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PUSCH</m:t>
            </m:r>
          </m:sub>
          <m:sup>
            <m:r>
              <m:rPr>
                <m:sty m:val="p"/>
              </m:rPr>
              <w:rPr>
                <w:rFonts w:ascii="Cambria Math" w:hAnsi="Cambria Math"/>
              </w:rPr>
              <m:t>SS/PBCH</m:t>
            </m:r>
          </m:sup>
        </m:sSubSup>
      </m:oMath>
      <w:r w:rsidRPr="00D24900">
        <w:t xml:space="preserve"> to map to a number of valid PUSCH occasions for PUSCH transmissions over an association period. If the UE is not provided </w:t>
      </w:r>
      <w:r w:rsidRPr="00D24900">
        <w:rPr>
          <w:rFonts w:cs="Arial"/>
          <w:i/>
          <w:iCs/>
          <w:szCs w:val="32"/>
          <w:lang w:eastAsia="zh-CN"/>
        </w:rPr>
        <w:t>ntn</w:t>
      </w:r>
      <w:r w:rsidRPr="00D24900">
        <w:rPr>
          <w:i/>
        </w:rPr>
        <w:t>-SSB-Subset</w:t>
      </w:r>
      <w:r w:rsidRPr="00D24900">
        <w:t xml:space="preserve">, the UE determines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PUSCH</m:t>
            </m:r>
          </m:sub>
          <m:sup>
            <m:r>
              <m:rPr>
                <m:sty m:val="p"/>
              </m:rPr>
              <w:rPr>
                <w:rFonts w:ascii="Cambria Math" w:hAnsi="Cambria Math"/>
              </w:rPr>
              <m:t>SS/PBCH</m:t>
            </m:r>
          </m:sup>
        </m:sSubSup>
      </m:oMath>
      <w:r w:rsidRPr="00D24900">
        <w:t xml:space="preserve"> from the value of </w:t>
      </w:r>
      <w:r w:rsidRPr="00D24900">
        <w:rPr>
          <w:i/>
        </w:rPr>
        <w:t>ssb-PositionsInBurst</w:t>
      </w:r>
      <w:r w:rsidRPr="00D24900">
        <w:t xml:space="preserve"> in </w:t>
      </w:r>
      <w:r w:rsidRPr="00D24900">
        <w:rPr>
          <w:i/>
        </w:rPr>
        <w:t>ServingCellConfigCommon</w:t>
      </w:r>
      <w:r w:rsidRPr="00D24900">
        <w:t xml:space="preserve">. A PUSCH occasion for a PUSCH transmission is defined by a time resource and a frequency resource and is associated with a DM-RS provided by </w:t>
      </w:r>
      <w:r w:rsidRPr="00D24900">
        <w:rPr>
          <w:i/>
          <w:iCs/>
        </w:rPr>
        <w:t>cg-DMRS-Configuration</w:t>
      </w:r>
      <w:r w:rsidRPr="00D24900">
        <w:t xml:space="preserve"> for the configuration of PUSCH transmissions. </w:t>
      </w:r>
      <w:r w:rsidRPr="00D24900">
        <w:rPr>
          <w:iCs/>
        </w:rPr>
        <w:t>A UE can be provided a number of repetitions for a PUSCH transmission by</w:t>
      </w:r>
      <w:r w:rsidRPr="00D24900">
        <w:rPr>
          <w:i/>
        </w:rPr>
        <w:t xml:space="preserve"> repK </w:t>
      </w:r>
      <w:r w:rsidRPr="00D24900">
        <w:rPr>
          <w:iCs/>
        </w:rPr>
        <w:t>or</w:t>
      </w:r>
      <w:r w:rsidRPr="00D24900">
        <w:rPr>
          <w:i/>
        </w:rPr>
        <w:t xml:space="preserve"> numberOfRepetitions</w:t>
      </w:r>
      <w:r w:rsidRPr="00D24900">
        <w:rPr>
          <w:iCs/>
        </w:rPr>
        <w:t>. If the number of repetition</w:t>
      </w:r>
      <w:r w:rsidRPr="00D24900">
        <w:rPr>
          <w:rFonts w:hint="eastAsia"/>
          <w:iCs/>
          <w:lang w:eastAsia="zh-CN"/>
        </w:rPr>
        <w:t>s</w:t>
      </w:r>
      <w:r w:rsidRPr="00D24900">
        <w:rPr>
          <w:iCs/>
        </w:rPr>
        <w:t xml:space="preserve"> is </w:t>
      </w:r>
      <w:r w:rsidRPr="00D24900">
        <w:rPr>
          <w:rFonts w:hint="eastAsia"/>
          <w:iCs/>
          <w:lang w:eastAsia="zh-CN"/>
        </w:rPr>
        <w:t>provided</w:t>
      </w:r>
      <w:r w:rsidRPr="00D24900">
        <w:rPr>
          <w:iCs/>
        </w:rPr>
        <w:t xml:space="preserve"> and larger than 1, </w:t>
      </w:r>
      <w:r w:rsidRPr="00D24900">
        <w:rPr>
          <w:rFonts w:hint="eastAsia"/>
          <w:iCs/>
          <w:lang w:eastAsia="zh-CN"/>
        </w:rPr>
        <w:t>all t</w:t>
      </w:r>
      <w:r w:rsidRPr="00D24900">
        <w:rPr>
          <w:iCs/>
        </w:rPr>
        <w:t>he PUSCH occasion</w:t>
      </w:r>
      <w:r w:rsidRPr="00D24900">
        <w:rPr>
          <w:rFonts w:hint="eastAsia"/>
          <w:iCs/>
          <w:lang w:eastAsia="zh-CN"/>
        </w:rPr>
        <w:t xml:space="preserve">s of </w:t>
      </w:r>
      <w:r w:rsidRPr="00D24900">
        <w:rPr>
          <w:iCs/>
        </w:rPr>
        <w:t xml:space="preserve">the repetitions for the PUSCH transmission are </w:t>
      </w:r>
      <w:r w:rsidRPr="00D24900">
        <w:rPr>
          <w:rFonts w:hint="eastAsia"/>
          <w:iCs/>
          <w:lang w:eastAsia="zh-CN"/>
        </w:rPr>
        <w:t xml:space="preserve">mapped to the same </w:t>
      </w:r>
      <w:r w:rsidRPr="00D24900">
        <w:t>SS/PBCH block index</w:t>
      </w:r>
      <w:r w:rsidRPr="00D24900">
        <w:rPr>
          <w:rFonts w:hint="eastAsia"/>
          <w:lang w:eastAsia="zh-CN"/>
        </w:rPr>
        <w:t>(</w:t>
      </w:r>
      <w:r w:rsidRPr="00D24900">
        <w:t>es</w:t>
      </w:r>
      <w:r w:rsidRPr="00D24900">
        <w:rPr>
          <w:rFonts w:hint="eastAsia"/>
          <w:lang w:eastAsia="zh-CN"/>
        </w:rPr>
        <w:t>)</w:t>
      </w:r>
      <w:r w:rsidRPr="00D24900">
        <w:rPr>
          <w:iCs/>
        </w:rPr>
        <w:t xml:space="preserve"> and</w:t>
      </w:r>
      <w:r w:rsidRPr="00D24900">
        <w:t xml:space="preserve"> the UE encodes the transport block using redundancy version number 0</w:t>
      </w:r>
      <w:r w:rsidRPr="00D24900">
        <w:rPr>
          <w:lang w:eastAsia="zh-CN"/>
        </w:rPr>
        <w:t xml:space="preserve"> if the UE is not provided </w:t>
      </w:r>
      <w:r w:rsidRPr="00D24900">
        <w:rPr>
          <w:i/>
          <w:iCs/>
          <w:lang w:eastAsia="zh-CN"/>
        </w:rPr>
        <w:t>repK-RV</w:t>
      </w:r>
      <w:r w:rsidRPr="00D24900">
        <w:rPr>
          <w:iCs/>
        </w:rPr>
        <w:t xml:space="preserve">.  </w:t>
      </w:r>
    </w:p>
    <w:p w14:paraId="3C876B6A" w14:textId="4C0C02CE" w:rsidR="00D24900" w:rsidRPr="00D24900" w:rsidRDefault="00D24900" w:rsidP="00D24900">
      <w:r w:rsidRPr="00D24900">
        <w:t xml:space="preserve">An association period, starting from frame with SFN 0, for mapping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PUSCH</m:t>
            </m:r>
          </m:sub>
          <m:sup>
            <m:r>
              <m:rPr>
                <m:sty m:val="p"/>
              </m:rPr>
              <w:rPr>
                <w:rFonts w:ascii="Cambria Math" w:hAnsi="Cambria Math"/>
              </w:rPr>
              <m:t>SS/PBCH</m:t>
            </m:r>
          </m:sup>
        </m:sSubSup>
      </m:oMath>
      <w:r w:rsidRPr="00D24900">
        <w:t xml:space="preserve"> SS/PBCH block indexes, from the number of SS/PBCH block indexes, to valid PUSCH occasions and associated DM-RS resources is the smallest value in the set determined by the PUSCH configuration period provided by </w:t>
      </w:r>
      <w:r w:rsidRPr="00D24900">
        <w:rPr>
          <w:i/>
        </w:rPr>
        <w:t>periodicity</w:t>
      </w:r>
      <w:r w:rsidRPr="00D24900">
        <w:t xml:space="preserve"> in </w:t>
      </w:r>
      <w:r w:rsidRPr="00D24900">
        <w:rPr>
          <w:i/>
        </w:rPr>
        <w:t xml:space="preserve">ConfiguredGrantConfig </w:t>
      </w:r>
      <w:r w:rsidRPr="00D24900">
        <w:t xml:space="preserve">according to Table </w:t>
      </w:r>
      <w:r w:rsidRPr="00D24900">
        <w:rPr>
          <w:rFonts w:eastAsia="Times New Roman"/>
        </w:rPr>
        <w:t>19</w:t>
      </w:r>
      <w:r w:rsidRPr="00D24900">
        <w:t xml:space="preserve">.1-1 such that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PUSCH</m:t>
            </m:r>
          </m:sub>
          <m:sup>
            <m:r>
              <m:rPr>
                <m:sty m:val="p"/>
              </m:rPr>
              <w:rPr>
                <w:rFonts w:ascii="Cambria Math" w:hAnsi="Cambria Math"/>
              </w:rPr>
              <m:t>SS/PBCH</m:t>
            </m:r>
          </m:sup>
        </m:sSubSup>
      </m:oMath>
      <w:r w:rsidRPr="00D24900">
        <w:t xml:space="preserve"> SS/PBCH block indexes are mapped at least once to valid PUSCH occasions and associated DM-RS resources within the association period. A UE is provided a number of SS/PBCH block indexes associated with a PUSCH occasion and a DM-RS resource by </w:t>
      </w:r>
      <w:r w:rsidRPr="00D24900">
        <w:rPr>
          <w:i/>
          <w:iCs/>
          <w:lang w:eastAsia="zh-CN"/>
        </w:rPr>
        <w:t>ntn</w:t>
      </w:r>
      <w:r w:rsidRPr="00D24900">
        <w:rPr>
          <w:i/>
        </w:rPr>
        <w:t>-SSB-PerCG-PUSCH</w:t>
      </w:r>
      <w:r w:rsidRPr="00D24900">
        <w:t xml:space="preserve">. If after an integer number of SS/PBCH block indexes to PUSCH occasions and associated DMRS resources mapping cycles within the association period there is a set of PUSCH occasions and associated DMRS resources that are not mapped to </w:t>
      </w:r>
      <m:oMath>
        <m:sSubSup>
          <m:sSubSupPr>
            <m:ctrlPr>
              <w:rPr>
                <w:rFonts w:ascii="Cambria Math" w:hAnsi="Cambria Math"/>
                <w:i/>
              </w:rPr>
            </m:ctrlPr>
          </m:sSubSupPr>
          <m:e>
            <m:r>
              <w:rPr>
                <w:rFonts w:ascii="Cambria Math" w:hAnsi="Cambria Math"/>
              </w:rPr>
              <m:t>N</m:t>
            </m:r>
          </m:e>
          <m:sub>
            <m:r>
              <m:rPr>
                <m:sty m:val="p"/>
              </m:rPr>
              <w:rPr>
                <w:rFonts w:ascii="Cambria Math" w:hAnsi="Cambria Math"/>
              </w:rPr>
              <m:t>PUSCH</m:t>
            </m:r>
          </m:sub>
          <m:sup>
            <m:r>
              <m:rPr>
                <m:sty m:val="p"/>
              </m:rPr>
              <w:rPr>
                <w:rFonts w:ascii="Cambria Math" w:hAnsi="Cambria Math"/>
              </w:rPr>
              <m:t>SS/PBCH</m:t>
            </m:r>
          </m:sup>
        </m:sSubSup>
      </m:oMath>
      <w:r w:rsidRPr="00D24900">
        <w:t xml:space="preserve"> SS/PBCH block indexes, no SS/PBCH block indexes are mapped to the set of PUSCH occasions and associated DMRS resources. An association pattern period includes one or more association periods and is determined so that a pattern between PUSCH occasions with associated DMRS resources and SS/PBCH block indexes repeats at most every 640 msec. PUSCH occasions and associated DMRS resources not associated with SS/PBCH block indexes after an integer number of association periods, if any, are not used for PUSCH transmissions.</w:t>
      </w:r>
    </w:p>
    <w:p w14:paraId="323092BB" w14:textId="77777777" w:rsidR="00D24900" w:rsidRPr="00D24900" w:rsidRDefault="00000000" w:rsidP="00D24900">
      <m:oMath>
        <m:sSubSup>
          <m:sSubSupPr>
            <m:ctrlPr>
              <w:rPr>
                <w:rFonts w:ascii="Cambria Math" w:hAnsi="Cambria Math"/>
                <w:i/>
              </w:rPr>
            </m:ctrlPr>
          </m:sSubSupPr>
          <m:e>
            <m:r>
              <w:rPr>
                <w:rFonts w:ascii="Cambria Math" w:hAnsi="Cambria Math"/>
              </w:rPr>
              <m:t>N</m:t>
            </m:r>
          </m:e>
          <m:sub>
            <m:r>
              <m:rPr>
                <m:sty m:val="p"/>
              </m:rPr>
              <w:rPr>
                <w:rFonts w:ascii="Cambria Math" w:hAnsi="Cambria Math"/>
              </w:rPr>
              <m:t>PUSCH</m:t>
            </m:r>
          </m:sub>
          <m:sup>
            <m:r>
              <m:rPr>
                <m:sty m:val="p"/>
              </m:rPr>
              <w:rPr>
                <w:rFonts w:ascii="Cambria Math" w:hAnsi="Cambria Math"/>
              </w:rPr>
              <m:t>SS/PBCH</m:t>
            </m:r>
          </m:sup>
        </m:sSubSup>
      </m:oMath>
      <w:r w:rsidR="00D24900" w:rsidRPr="00D24900">
        <w:t xml:space="preserve"> SS/PBCH block indexes are mapped to valid PUSCH occasions and associated DMRS resources in the following order</w:t>
      </w:r>
    </w:p>
    <w:p w14:paraId="0C79E5E1" w14:textId="77777777" w:rsidR="00D24900" w:rsidRPr="00D24900" w:rsidRDefault="00D24900" w:rsidP="00D24900">
      <w:pPr>
        <w:pStyle w:val="B1"/>
        <w:rPr>
          <w:szCs w:val="24"/>
        </w:rPr>
      </w:pPr>
      <w:r w:rsidRPr="00D24900">
        <w:t>-</w:t>
      </w:r>
      <w:r w:rsidRPr="00D24900">
        <w:tab/>
        <w:t xml:space="preserve">first, in increasing order of DMRS resource indexes within a PUSCH occasion, where a DMRS resource index </w:t>
      </w:r>
      <m:oMath>
        <m:r>
          <w:rPr>
            <w:rFonts w:ascii="Cambria Math" w:hAnsi="Cambria Math"/>
            <w:lang w:val="zh-CN"/>
          </w:rPr>
          <m:t>DMR</m:t>
        </m:r>
        <m:sSub>
          <m:sSubPr>
            <m:ctrlPr>
              <w:rPr>
                <w:rFonts w:ascii="Cambria Math" w:hAnsi="Cambria Math"/>
                <w:i/>
                <w:lang w:val="zh-CN"/>
              </w:rPr>
            </m:ctrlPr>
          </m:sSubPr>
          <m:e>
            <m:r>
              <w:rPr>
                <w:rFonts w:ascii="Cambria Math" w:hAnsi="Cambria Math"/>
                <w:lang w:val="zh-CN"/>
              </w:rPr>
              <m:t>S</m:t>
            </m:r>
          </m:e>
          <m:sub>
            <m:r>
              <w:rPr>
                <w:rFonts w:ascii="Cambria Math" w:hAnsi="Cambria Math"/>
                <w:lang w:val="zh-CN"/>
              </w:rPr>
              <m:t>id</m:t>
            </m:r>
          </m:sub>
        </m:sSub>
      </m:oMath>
      <w:r w:rsidRPr="00D24900">
        <w:t xml:space="preserve"> is determined first in an ascending order of a DMRS port index and second in an ascending order of a DMRS sequence index [4, TS 38.211]</w:t>
      </w:r>
    </w:p>
    <w:p w14:paraId="3B74A954" w14:textId="77777777" w:rsidR="00D24900" w:rsidRPr="00D24900" w:rsidRDefault="00D24900" w:rsidP="00D24900">
      <w:pPr>
        <w:pStyle w:val="B1"/>
        <w:rPr>
          <w:szCs w:val="24"/>
        </w:rPr>
      </w:pPr>
      <w:r w:rsidRPr="00D24900">
        <w:t>-</w:t>
      </w:r>
      <w:r w:rsidRPr="00D24900">
        <w:tab/>
        <w:t>second, in increasing order of PUSCH configuration period indexes</w:t>
      </w:r>
    </w:p>
    <w:p w14:paraId="0590C506" w14:textId="77777777" w:rsidR="00D24900" w:rsidRPr="00D24900" w:rsidRDefault="00D24900" w:rsidP="00D24900">
      <w:pPr>
        <w:rPr>
          <w:lang w:eastAsia="zh-CN"/>
        </w:rPr>
      </w:pPr>
      <w:r w:rsidRPr="00D24900">
        <w:rPr>
          <w:lang w:eastAsia="zh-CN"/>
        </w:rPr>
        <w:t xml:space="preserve">A PUSCH occasion is valid if it does not overlap with a valid PRACH occasion as described in clause 8.1. </w:t>
      </w:r>
    </w:p>
    <w:p w14:paraId="1DE331ED" w14:textId="77777777" w:rsidR="00D24900" w:rsidRPr="00D24900" w:rsidRDefault="00D24900" w:rsidP="00D24900">
      <w:r w:rsidRPr="00D24900">
        <w:t xml:space="preserve">A UE determines a power of a PUSCH transmission as described in clause 7.1.1, where the UE obtains </w:t>
      </w:r>
      <m:oMath>
        <m:sSub>
          <m:sSubPr>
            <m:ctrlPr>
              <w:rPr>
                <w:rFonts w:ascii="Cambria Math" w:hAnsi="Cambria Math"/>
                <w:i/>
              </w:rPr>
            </m:ctrlPr>
          </m:sSubPr>
          <m:e>
            <m:r>
              <w:rPr>
                <w:rFonts w:ascii="Cambria Math" w:hAnsi="Cambria Math"/>
              </w:rPr>
              <m:t>PL</m:t>
            </m:r>
          </m:e>
          <m:sub>
            <m:r>
              <w:rPr>
                <w:rFonts w:ascii="Cambria Math" w:hAnsi="Cambria Math"/>
              </w:rPr>
              <m:t>b,f,c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oMath>
      <w:r w:rsidRPr="00D24900">
        <w:rPr>
          <w:rFonts w:ascii="Cambria Math" w:hAnsi="Cambria Math" w:cs="Cambria Math"/>
        </w:rPr>
        <w:t xml:space="preserve"> </w:t>
      </w:r>
      <w:r w:rsidRPr="00D24900">
        <w:t>using a RS resource from an SS/PBCH block with index associated with the PUSCH transmission.</w:t>
      </w:r>
    </w:p>
    <w:p w14:paraId="2FFF1429" w14:textId="77777777" w:rsidR="00D24900" w:rsidRPr="00D24900" w:rsidRDefault="00D24900" w:rsidP="00D24900">
      <w:pPr>
        <w:pStyle w:val="Heading2"/>
        <w:rPr>
          <w:sz w:val="28"/>
          <w:szCs w:val="18"/>
        </w:rPr>
      </w:pPr>
      <w:bookmarkStart w:id="970" w:name="_Toc161999204"/>
      <w:r w:rsidRPr="00D24900">
        <w:t>22.2</w:t>
      </w:r>
      <w:r w:rsidRPr="00D24900">
        <w:rPr>
          <w:rFonts w:hint="eastAsia"/>
        </w:rPr>
        <w:tab/>
      </w:r>
      <w:r w:rsidRPr="00D24900">
        <w:t>Dynamic-grant PUSCH transmission</w:t>
      </w:r>
      <w:bookmarkEnd w:id="970"/>
    </w:p>
    <w:p w14:paraId="67B5322C" w14:textId="532D4296" w:rsidR="00D24900" w:rsidRPr="00D24900" w:rsidRDefault="00D24900" w:rsidP="00D24900">
      <w:pPr>
        <w:rPr>
          <w:kern w:val="2"/>
          <w:lang w:eastAsia="zh-CN"/>
        </w:rPr>
      </w:pPr>
      <w:r w:rsidRPr="00D24900">
        <w:rPr>
          <w:lang w:eastAsia="zh-CN"/>
        </w:rPr>
        <w:t xml:space="preserve">If </w:t>
      </w:r>
      <w:r w:rsidRPr="00D24900">
        <w:rPr>
          <w:i/>
          <w:lang w:eastAsia="zh-CN"/>
        </w:rPr>
        <w:t>dg-beam</w:t>
      </w:r>
      <w:r w:rsidRPr="00D24900">
        <w:rPr>
          <w:lang w:eastAsia="zh-CN"/>
        </w:rPr>
        <w:t xml:space="preserve"> is provided in </w:t>
      </w:r>
      <w:r w:rsidRPr="00D24900">
        <w:rPr>
          <w:i/>
          <w:lang w:eastAsia="zh-CN"/>
        </w:rPr>
        <w:t>RACH-LessHO,</w:t>
      </w:r>
      <w:r w:rsidRPr="00D24900">
        <w:rPr>
          <w:bCs/>
          <w:iCs/>
        </w:rPr>
        <w:t xml:space="preserve"> the UE may assume that </w:t>
      </w:r>
      <w:r w:rsidRPr="00D24900">
        <w:t xml:space="preserve">the DM-RS antenna port associated with the PDCCH receptions for scheduling initial PUSCH transmission and the SS/PBCH block indicated by </w:t>
      </w:r>
      <w:r w:rsidRPr="00D24900">
        <w:rPr>
          <w:i/>
          <w:lang w:eastAsia="zh-CN"/>
        </w:rPr>
        <w:t xml:space="preserve">dg-beam </w:t>
      </w:r>
      <w:r w:rsidRPr="00D24900">
        <w:t>are quasi co-located with respect to average gain and quasi co-location 'typeA' or 'typeD' properties</w:t>
      </w:r>
      <w:r w:rsidRPr="00D24900">
        <w:rPr>
          <w:kern w:val="2"/>
          <w:lang w:eastAsia="zh-CN"/>
        </w:rPr>
        <w:t>.</w:t>
      </w:r>
    </w:p>
    <w:p w14:paraId="0FC04CBF" w14:textId="77777777" w:rsidR="00D24900" w:rsidRPr="001A7FE0" w:rsidRDefault="00D24900" w:rsidP="0068506D">
      <w:pPr>
        <w:rPr>
          <w:iCs/>
        </w:rPr>
      </w:pPr>
    </w:p>
    <w:p w14:paraId="57B96C91" w14:textId="77777777" w:rsidR="00A41602" w:rsidRPr="00CC17AB" w:rsidRDefault="00A41602" w:rsidP="00F011B3">
      <w:pPr>
        <w:pStyle w:val="Heading8"/>
      </w:pPr>
      <w:bookmarkStart w:id="971" w:name="historyclause"/>
      <w:r w:rsidRPr="00CC17AB">
        <w:br w:type="page"/>
      </w:r>
      <w:bookmarkStart w:id="972" w:name="_Toc12021496"/>
      <w:bookmarkStart w:id="973" w:name="_Toc20311608"/>
      <w:bookmarkStart w:id="974" w:name="_Toc26719433"/>
      <w:bookmarkStart w:id="975" w:name="_Toc29894888"/>
      <w:bookmarkStart w:id="976" w:name="_Toc29899187"/>
      <w:bookmarkStart w:id="977" w:name="_Toc29899605"/>
      <w:bookmarkStart w:id="978" w:name="_Toc29917341"/>
      <w:bookmarkStart w:id="979" w:name="_Toc36498217"/>
      <w:bookmarkStart w:id="980" w:name="_Toc45699254"/>
      <w:bookmarkStart w:id="981" w:name="_Toc99993886"/>
      <w:bookmarkStart w:id="982" w:name="_Toc161999205"/>
      <w:r w:rsidRPr="00CC17AB">
        <w:lastRenderedPageBreak/>
        <w:t>Annex A:</w:t>
      </w:r>
      <w:r w:rsidRPr="00CC17AB">
        <w:br/>
        <w:t>Change history</w:t>
      </w:r>
      <w:bookmarkEnd w:id="972"/>
      <w:bookmarkEnd w:id="973"/>
      <w:bookmarkEnd w:id="974"/>
      <w:bookmarkEnd w:id="975"/>
      <w:bookmarkEnd w:id="976"/>
      <w:bookmarkEnd w:id="977"/>
      <w:bookmarkEnd w:id="978"/>
      <w:bookmarkEnd w:id="979"/>
      <w:bookmarkEnd w:id="980"/>
      <w:bookmarkEnd w:id="981"/>
      <w:bookmarkEnd w:id="982"/>
    </w:p>
    <w:bookmarkEnd w:id="971"/>
    <w:p w14:paraId="7F86DFA6" w14:textId="77777777" w:rsidR="00A41602" w:rsidRDefault="00A41602" w:rsidP="00A41602">
      <w:pPr>
        <w:pStyle w:val="TH"/>
      </w:pPr>
    </w:p>
    <w:tbl>
      <w:tblPr>
        <w:tblW w:w="9372" w:type="dxa"/>
        <w:tblInd w:w="23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94"/>
        <w:gridCol w:w="899"/>
        <w:gridCol w:w="990"/>
        <w:gridCol w:w="500"/>
        <w:gridCol w:w="440"/>
        <w:gridCol w:w="404"/>
        <w:gridCol w:w="4536"/>
        <w:gridCol w:w="709"/>
      </w:tblGrid>
      <w:tr w:rsidR="003A061C" w:rsidRPr="00B916EC" w14:paraId="01F09D52" w14:textId="77777777" w:rsidTr="00326D6E">
        <w:tc>
          <w:tcPr>
            <w:tcW w:w="894" w:type="dxa"/>
            <w:shd w:val="pct10" w:color="auto" w:fill="FFFFFF"/>
          </w:tcPr>
          <w:p w14:paraId="743ECF80" w14:textId="77777777" w:rsidR="003A061C" w:rsidRPr="00B916EC" w:rsidRDefault="003A061C" w:rsidP="00BC0321">
            <w:pPr>
              <w:pStyle w:val="TAL"/>
              <w:rPr>
                <w:b/>
                <w:sz w:val="16"/>
              </w:rPr>
            </w:pPr>
            <w:r w:rsidRPr="00B916EC">
              <w:rPr>
                <w:b/>
                <w:sz w:val="16"/>
              </w:rPr>
              <w:t>Date</w:t>
            </w:r>
          </w:p>
        </w:tc>
        <w:tc>
          <w:tcPr>
            <w:tcW w:w="899" w:type="dxa"/>
            <w:shd w:val="pct10" w:color="auto" w:fill="FFFFFF"/>
          </w:tcPr>
          <w:p w14:paraId="28AB466E" w14:textId="77777777" w:rsidR="003A061C" w:rsidRPr="00B916EC" w:rsidRDefault="003A061C" w:rsidP="00BC0321">
            <w:pPr>
              <w:pStyle w:val="TAL"/>
              <w:rPr>
                <w:b/>
                <w:sz w:val="16"/>
              </w:rPr>
            </w:pPr>
            <w:r w:rsidRPr="00B916EC">
              <w:rPr>
                <w:b/>
                <w:sz w:val="16"/>
              </w:rPr>
              <w:t>TSG #</w:t>
            </w:r>
          </w:p>
        </w:tc>
        <w:tc>
          <w:tcPr>
            <w:tcW w:w="990" w:type="dxa"/>
            <w:shd w:val="pct10" w:color="auto" w:fill="FFFFFF"/>
          </w:tcPr>
          <w:p w14:paraId="4DB9B736" w14:textId="77777777" w:rsidR="003A061C" w:rsidRPr="00B916EC" w:rsidRDefault="003A061C" w:rsidP="00BC0321">
            <w:pPr>
              <w:pStyle w:val="TAL"/>
              <w:rPr>
                <w:b/>
                <w:sz w:val="16"/>
              </w:rPr>
            </w:pPr>
            <w:r w:rsidRPr="00B916EC">
              <w:rPr>
                <w:b/>
                <w:sz w:val="16"/>
              </w:rPr>
              <w:t>TSG Doc.</w:t>
            </w:r>
          </w:p>
        </w:tc>
        <w:tc>
          <w:tcPr>
            <w:tcW w:w="500" w:type="dxa"/>
            <w:shd w:val="pct10" w:color="auto" w:fill="FFFFFF"/>
          </w:tcPr>
          <w:p w14:paraId="68B676DE" w14:textId="77777777" w:rsidR="003A061C" w:rsidRPr="00B916EC" w:rsidRDefault="003A061C" w:rsidP="00BC0321">
            <w:pPr>
              <w:pStyle w:val="TAL"/>
              <w:rPr>
                <w:b/>
                <w:sz w:val="16"/>
              </w:rPr>
            </w:pPr>
            <w:r w:rsidRPr="00B916EC">
              <w:rPr>
                <w:b/>
                <w:sz w:val="16"/>
              </w:rPr>
              <w:t>CR</w:t>
            </w:r>
          </w:p>
        </w:tc>
        <w:tc>
          <w:tcPr>
            <w:tcW w:w="440" w:type="dxa"/>
            <w:shd w:val="pct10" w:color="auto" w:fill="FFFFFF"/>
          </w:tcPr>
          <w:p w14:paraId="3AFB2433" w14:textId="77777777" w:rsidR="003A061C" w:rsidRPr="00B916EC" w:rsidRDefault="003A061C" w:rsidP="00BC0321">
            <w:pPr>
              <w:pStyle w:val="TAL"/>
              <w:jc w:val="center"/>
              <w:rPr>
                <w:b/>
                <w:sz w:val="16"/>
              </w:rPr>
            </w:pPr>
            <w:r w:rsidRPr="00B916EC">
              <w:rPr>
                <w:b/>
                <w:sz w:val="16"/>
              </w:rPr>
              <w:t>Rev</w:t>
            </w:r>
          </w:p>
        </w:tc>
        <w:tc>
          <w:tcPr>
            <w:tcW w:w="404" w:type="dxa"/>
            <w:shd w:val="pct10" w:color="auto" w:fill="FFFFFF"/>
          </w:tcPr>
          <w:p w14:paraId="4FA8948A" w14:textId="77777777" w:rsidR="003A061C" w:rsidRPr="00B916EC" w:rsidRDefault="003A061C" w:rsidP="00BC0321">
            <w:pPr>
              <w:pStyle w:val="TAL"/>
              <w:rPr>
                <w:b/>
                <w:sz w:val="16"/>
              </w:rPr>
            </w:pPr>
            <w:r>
              <w:rPr>
                <w:b/>
                <w:sz w:val="16"/>
              </w:rPr>
              <w:t>Cat</w:t>
            </w:r>
          </w:p>
        </w:tc>
        <w:tc>
          <w:tcPr>
            <w:tcW w:w="4536" w:type="dxa"/>
            <w:shd w:val="pct10" w:color="auto" w:fill="FFFFFF"/>
          </w:tcPr>
          <w:p w14:paraId="11574E13" w14:textId="77777777" w:rsidR="003A061C" w:rsidRPr="00B916EC" w:rsidRDefault="003A061C" w:rsidP="00BC0321">
            <w:pPr>
              <w:pStyle w:val="TAL"/>
              <w:rPr>
                <w:b/>
                <w:sz w:val="16"/>
              </w:rPr>
            </w:pPr>
            <w:r w:rsidRPr="00B916EC">
              <w:rPr>
                <w:b/>
                <w:sz w:val="16"/>
              </w:rPr>
              <w:t>Subject/Comment</w:t>
            </w:r>
          </w:p>
        </w:tc>
        <w:tc>
          <w:tcPr>
            <w:tcW w:w="709" w:type="dxa"/>
            <w:shd w:val="pct10" w:color="auto" w:fill="FFFFFF"/>
          </w:tcPr>
          <w:p w14:paraId="5D5ADD82" w14:textId="77777777" w:rsidR="003A061C" w:rsidRPr="00B916EC" w:rsidRDefault="003A061C" w:rsidP="00BC0321">
            <w:pPr>
              <w:pStyle w:val="TAL"/>
              <w:rPr>
                <w:b/>
                <w:sz w:val="16"/>
              </w:rPr>
            </w:pPr>
            <w:r w:rsidRPr="00B916EC">
              <w:rPr>
                <w:b/>
                <w:sz w:val="16"/>
              </w:rPr>
              <w:t>New version</w:t>
            </w:r>
          </w:p>
        </w:tc>
      </w:tr>
      <w:tr w:rsidR="003A061C" w:rsidRPr="00B916EC" w14:paraId="3E60C954" w14:textId="77777777" w:rsidTr="00326D6E">
        <w:tc>
          <w:tcPr>
            <w:tcW w:w="894" w:type="dxa"/>
            <w:shd w:val="solid" w:color="FFFFFF" w:fill="auto"/>
          </w:tcPr>
          <w:p w14:paraId="06D00525" w14:textId="77777777" w:rsidR="003A061C" w:rsidRPr="00B916EC" w:rsidRDefault="003A061C" w:rsidP="00BC0321">
            <w:pPr>
              <w:spacing w:after="0"/>
              <w:jc w:val="center"/>
              <w:rPr>
                <w:sz w:val="16"/>
                <w:szCs w:val="16"/>
                <w:lang w:eastAsia="zh-CN"/>
              </w:rPr>
            </w:pPr>
            <w:r w:rsidRPr="00B916EC">
              <w:rPr>
                <w:rFonts w:ascii="Arial" w:hAnsi="Arial"/>
                <w:snapToGrid w:val="0"/>
                <w:sz w:val="16"/>
                <w:szCs w:val="16"/>
              </w:rPr>
              <w:t>20</w:t>
            </w:r>
            <w:r w:rsidRPr="00B916EC">
              <w:rPr>
                <w:rFonts w:ascii="Arial" w:hAnsi="Arial" w:hint="eastAsia"/>
                <w:snapToGrid w:val="0"/>
                <w:sz w:val="16"/>
                <w:szCs w:val="16"/>
              </w:rPr>
              <w:t>1</w:t>
            </w:r>
            <w:r w:rsidRPr="00B916EC">
              <w:rPr>
                <w:rFonts w:ascii="Arial" w:hAnsi="Arial"/>
                <w:snapToGrid w:val="0"/>
                <w:sz w:val="16"/>
                <w:szCs w:val="16"/>
              </w:rPr>
              <w:t>7-</w:t>
            </w:r>
            <w:r w:rsidRPr="00B916EC">
              <w:rPr>
                <w:rFonts w:ascii="Arial" w:hAnsi="Arial" w:hint="eastAsia"/>
                <w:snapToGrid w:val="0"/>
                <w:sz w:val="16"/>
                <w:szCs w:val="16"/>
              </w:rPr>
              <w:t>04</w:t>
            </w:r>
          </w:p>
        </w:tc>
        <w:tc>
          <w:tcPr>
            <w:tcW w:w="899" w:type="dxa"/>
            <w:shd w:val="solid" w:color="FFFFFF" w:fill="auto"/>
          </w:tcPr>
          <w:p w14:paraId="75621250" w14:textId="77777777" w:rsidR="003A061C" w:rsidRPr="00B916EC" w:rsidRDefault="003A061C" w:rsidP="00BC0321">
            <w:pPr>
              <w:pStyle w:val="TAL"/>
              <w:rPr>
                <w:sz w:val="16"/>
                <w:szCs w:val="16"/>
                <w:lang w:eastAsia="zh-CN"/>
              </w:rPr>
            </w:pPr>
            <w:r w:rsidRPr="00B916EC">
              <w:rPr>
                <w:sz w:val="16"/>
                <w:szCs w:val="16"/>
                <w:lang w:eastAsia="zh-CN"/>
              </w:rPr>
              <w:t>RAN1#89</w:t>
            </w:r>
          </w:p>
        </w:tc>
        <w:tc>
          <w:tcPr>
            <w:tcW w:w="990" w:type="dxa"/>
            <w:shd w:val="solid" w:color="FFFFFF" w:fill="auto"/>
          </w:tcPr>
          <w:p w14:paraId="4E658EE6" w14:textId="77777777" w:rsidR="003A061C" w:rsidRPr="00B916EC" w:rsidRDefault="003A061C" w:rsidP="00BC0321">
            <w:pPr>
              <w:pStyle w:val="TAL"/>
              <w:rPr>
                <w:sz w:val="16"/>
                <w:szCs w:val="16"/>
                <w:lang w:eastAsia="zh-CN"/>
              </w:rPr>
            </w:pPr>
            <w:r w:rsidRPr="00B916EC">
              <w:rPr>
                <w:sz w:val="16"/>
                <w:szCs w:val="16"/>
                <w:lang w:eastAsia="zh-CN"/>
              </w:rPr>
              <w:t>R1-1707925</w:t>
            </w:r>
          </w:p>
        </w:tc>
        <w:tc>
          <w:tcPr>
            <w:tcW w:w="500" w:type="dxa"/>
            <w:shd w:val="solid" w:color="FFFFFF" w:fill="auto"/>
          </w:tcPr>
          <w:p w14:paraId="2927E440" w14:textId="77777777" w:rsidR="003A061C" w:rsidRPr="00B916EC" w:rsidRDefault="003A061C" w:rsidP="00BC0321">
            <w:pPr>
              <w:pStyle w:val="TAL"/>
              <w:rPr>
                <w:sz w:val="16"/>
                <w:szCs w:val="16"/>
              </w:rPr>
            </w:pPr>
          </w:p>
        </w:tc>
        <w:tc>
          <w:tcPr>
            <w:tcW w:w="440" w:type="dxa"/>
            <w:shd w:val="solid" w:color="FFFFFF" w:fill="auto"/>
          </w:tcPr>
          <w:p w14:paraId="7A6C24CB" w14:textId="77777777" w:rsidR="003A061C" w:rsidRPr="00B916EC" w:rsidRDefault="003A061C" w:rsidP="00BC0321">
            <w:pPr>
              <w:pStyle w:val="TAL"/>
              <w:jc w:val="center"/>
              <w:rPr>
                <w:sz w:val="16"/>
                <w:szCs w:val="16"/>
              </w:rPr>
            </w:pPr>
          </w:p>
        </w:tc>
        <w:tc>
          <w:tcPr>
            <w:tcW w:w="404" w:type="dxa"/>
            <w:shd w:val="solid" w:color="FFFFFF" w:fill="auto"/>
          </w:tcPr>
          <w:p w14:paraId="21CC6CC5" w14:textId="77777777" w:rsidR="003A061C" w:rsidRPr="00B916EC" w:rsidRDefault="003A061C" w:rsidP="00BC0321">
            <w:pPr>
              <w:pStyle w:val="TAL"/>
              <w:rPr>
                <w:sz w:val="16"/>
                <w:szCs w:val="16"/>
                <w:lang w:eastAsia="zh-CN"/>
              </w:rPr>
            </w:pPr>
          </w:p>
        </w:tc>
        <w:tc>
          <w:tcPr>
            <w:tcW w:w="4536" w:type="dxa"/>
            <w:shd w:val="solid" w:color="FFFFFF" w:fill="auto"/>
          </w:tcPr>
          <w:p w14:paraId="3A758022" w14:textId="77777777" w:rsidR="003A061C" w:rsidRPr="00B916EC" w:rsidRDefault="003A061C" w:rsidP="00BC0321">
            <w:pPr>
              <w:pStyle w:val="TAL"/>
              <w:rPr>
                <w:sz w:val="16"/>
                <w:szCs w:val="16"/>
                <w:lang w:eastAsia="zh-CN"/>
              </w:rPr>
            </w:pPr>
            <w:r w:rsidRPr="00B916EC">
              <w:rPr>
                <w:sz w:val="16"/>
                <w:szCs w:val="16"/>
                <w:lang w:eastAsia="zh-CN"/>
              </w:rPr>
              <w:t>D</w:t>
            </w:r>
            <w:r w:rsidRPr="00B916EC">
              <w:rPr>
                <w:rFonts w:hint="eastAsia"/>
                <w:sz w:val="16"/>
                <w:szCs w:val="16"/>
                <w:lang w:eastAsia="zh-CN"/>
              </w:rPr>
              <w:t>raft skeleton</w:t>
            </w:r>
          </w:p>
        </w:tc>
        <w:tc>
          <w:tcPr>
            <w:tcW w:w="709" w:type="dxa"/>
            <w:shd w:val="solid" w:color="FFFFFF" w:fill="auto"/>
          </w:tcPr>
          <w:p w14:paraId="48C16587" w14:textId="77777777" w:rsidR="003A061C" w:rsidRPr="00B916EC" w:rsidRDefault="003A061C" w:rsidP="00BC0321">
            <w:pPr>
              <w:pStyle w:val="TAL"/>
              <w:rPr>
                <w:sz w:val="16"/>
                <w:szCs w:val="16"/>
                <w:lang w:eastAsia="zh-CN"/>
              </w:rPr>
            </w:pPr>
            <w:r w:rsidRPr="00B916EC">
              <w:rPr>
                <w:rFonts w:hint="eastAsia"/>
                <w:sz w:val="16"/>
                <w:szCs w:val="16"/>
                <w:lang w:eastAsia="zh-CN"/>
              </w:rPr>
              <w:t>0</w:t>
            </w:r>
            <w:r w:rsidRPr="00B916EC">
              <w:rPr>
                <w:sz w:val="16"/>
                <w:szCs w:val="16"/>
              </w:rPr>
              <w:t>.</w:t>
            </w:r>
            <w:r w:rsidRPr="00B916EC">
              <w:rPr>
                <w:rFonts w:hint="eastAsia"/>
                <w:sz w:val="16"/>
                <w:szCs w:val="16"/>
                <w:lang w:eastAsia="zh-CN"/>
              </w:rPr>
              <w:t>0</w:t>
            </w:r>
            <w:r w:rsidRPr="00B916EC">
              <w:rPr>
                <w:sz w:val="16"/>
                <w:szCs w:val="16"/>
              </w:rPr>
              <w:t>.</w:t>
            </w:r>
            <w:r w:rsidRPr="00B916EC">
              <w:rPr>
                <w:rFonts w:hint="eastAsia"/>
                <w:sz w:val="16"/>
                <w:szCs w:val="16"/>
                <w:lang w:eastAsia="zh-CN"/>
              </w:rPr>
              <w:t>0</w:t>
            </w:r>
          </w:p>
        </w:tc>
      </w:tr>
      <w:tr w:rsidR="003A061C" w:rsidRPr="00B916EC" w14:paraId="4D32B944" w14:textId="77777777" w:rsidTr="00326D6E">
        <w:tc>
          <w:tcPr>
            <w:tcW w:w="894" w:type="dxa"/>
            <w:shd w:val="solid" w:color="FFFFFF" w:fill="auto"/>
          </w:tcPr>
          <w:p w14:paraId="22187AD4" w14:textId="77777777" w:rsidR="003A061C" w:rsidRPr="00B916EC" w:rsidRDefault="003A061C" w:rsidP="00BC0321">
            <w:pPr>
              <w:spacing w:after="0"/>
              <w:jc w:val="center"/>
              <w:rPr>
                <w:rFonts w:ascii="Arial" w:hAnsi="Arial"/>
                <w:snapToGrid w:val="0"/>
                <w:sz w:val="16"/>
                <w:szCs w:val="16"/>
              </w:rPr>
            </w:pPr>
            <w:r w:rsidRPr="00B916EC">
              <w:rPr>
                <w:rFonts w:ascii="Arial" w:hAnsi="Arial"/>
                <w:snapToGrid w:val="0"/>
                <w:sz w:val="16"/>
                <w:szCs w:val="16"/>
              </w:rPr>
              <w:t>2017-07</w:t>
            </w:r>
          </w:p>
        </w:tc>
        <w:tc>
          <w:tcPr>
            <w:tcW w:w="899" w:type="dxa"/>
            <w:shd w:val="solid" w:color="FFFFFF" w:fill="auto"/>
          </w:tcPr>
          <w:p w14:paraId="202CCC4B" w14:textId="77777777" w:rsidR="003A061C" w:rsidRPr="00B916EC" w:rsidRDefault="003A061C" w:rsidP="00BC0321">
            <w:pPr>
              <w:pStyle w:val="TAL"/>
              <w:rPr>
                <w:sz w:val="16"/>
                <w:szCs w:val="16"/>
                <w:lang w:eastAsia="zh-CN"/>
              </w:rPr>
            </w:pPr>
            <w:r w:rsidRPr="00B916EC">
              <w:rPr>
                <w:sz w:val="16"/>
                <w:szCs w:val="16"/>
                <w:lang w:eastAsia="zh-CN"/>
              </w:rPr>
              <w:t>AH_NR2</w:t>
            </w:r>
          </w:p>
        </w:tc>
        <w:tc>
          <w:tcPr>
            <w:tcW w:w="990" w:type="dxa"/>
            <w:shd w:val="solid" w:color="FFFFFF" w:fill="auto"/>
          </w:tcPr>
          <w:p w14:paraId="71A61257" w14:textId="77777777" w:rsidR="003A061C" w:rsidRPr="00B916EC" w:rsidRDefault="003A061C" w:rsidP="00BC0321">
            <w:pPr>
              <w:pStyle w:val="TAL"/>
              <w:rPr>
                <w:sz w:val="16"/>
                <w:szCs w:val="16"/>
                <w:lang w:eastAsia="zh-CN"/>
              </w:rPr>
            </w:pPr>
            <w:r w:rsidRPr="00B916EC">
              <w:rPr>
                <w:sz w:val="16"/>
                <w:szCs w:val="16"/>
                <w:lang w:eastAsia="zh-CN"/>
              </w:rPr>
              <w:t>R1-1712015</w:t>
            </w:r>
          </w:p>
        </w:tc>
        <w:tc>
          <w:tcPr>
            <w:tcW w:w="500" w:type="dxa"/>
            <w:shd w:val="solid" w:color="FFFFFF" w:fill="auto"/>
          </w:tcPr>
          <w:p w14:paraId="0B1A7D2F" w14:textId="77777777" w:rsidR="003A061C" w:rsidRPr="00B916EC" w:rsidRDefault="003A061C" w:rsidP="00BC0321">
            <w:pPr>
              <w:pStyle w:val="TAL"/>
              <w:rPr>
                <w:sz w:val="16"/>
                <w:szCs w:val="16"/>
              </w:rPr>
            </w:pPr>
          </w:p>
        </w:tc>
        <w:tc>
          <w:tcPr>
            <w:tcW w:w="440" w:type="dxa"/>
            <w:shd w:val="solid" w:color="FFFFFF" w:fill="auto"/>
          </w:tcPr>
          <w:p w14:paraId="12412501" w14:textId="77777777" w:rsidR="003A061C" w:rsidRPr="00B916EC" w:rsidRDefault="003A061C" w:rsidP="00BC0321">
            <w:pPr>
              <w:pStyle w:val="TAL"/>
              <w:jc w:val="center"/>
              <w:rPr>
                <w:sz w:val="16"/>
                <w:szCs w:val="16"/>
              </w:rPr>
            </w:pPr>
          </w:p>
        </w:tc>
        <w:tc>
          <w:tcPr>
            <w:tcW w:w="404" w:type="dxa"/>
            <w:shd w:val="solid" w:color="FFFFFF" w:fill="auto"/>
          </w:tcPr>
          <w:p w14:paraId="6835624A" w14:textId="77777777" w:rsidR="003A061C" w:rsidRPr="00B916EC" w:rsidRDefault="003A061C" w:rsidP="00BC0321">
            <w:pPr>
              <w:pStyle w:val="TAL"/>
              <w:rPr>
                <w:sz w:val="16"/>
                <w:szCs w:val="16"/>
                <w:lang w:eastAsia="zh-CN"/>
              </w:rPr>
            </w:pPr>
          </w:p>
        </w:tc>
        <w:tc>
          <w:tcPr>
            <w:tcW w:w="4536" w:type="dxa"/>
            <w:shd w:val="solid" w:color="FFFFFF" w:fill="auto"/>
          </w:tcPr>
          <w:p w14:paraId="6308A34C" w14:textId="77777777" w:rsidR="003A061C" w:rsidRPr="00B916EC" w:rsidRDefault="003A061C" w:rsidP="00BC0321">
            <w:pPr>
              <w:pStyle w:val="TAL"/>
              <w:rPr>
                <w:sz w:val="16"/>
                <w:szCs w:val="16"/>
                <w:lang w:eastAsia="zh-CN"/>
              </w:rPr>
            </w:pPr>
            <w:r w:rsidRPr="00B916EC">
              <w:rPr>
                <w:sz w:val="16"/>
                <w:szCs w:val="16"/>
                <w:lang w:eastAsia="zh-CN"/>
              </w:rPr>
              <w:t>Inclusion of agreements until RAN1-adhoc#2</w:t>
            </w:r>
          </w:p>
        </w:tc>
        <w:tc>
          <w:tcPr>
            <w:tcW w:w="709" w:type="dxa"/>
            <w:shd w:val="solid" w:color="FFFFFF" w:fill="auto"/>
          </w:tcPr>
          <w:p w14:paraId="5D6D8275" w14:textId="77777777" w:rsidR="003A061C" w:rsidRPr="00B916EC" w:rsidRDefault="003A061C" w:rsidP="00BC0321">
            <w:pPr>
              <w:pStyle w:val="TAL"/>
              <w:rPr>
                <w:sz w:val="16"/>
                <w:szCs w:val="16"/>
                <w:lang w:eastAsia="zh-CN"/>
              </w:rPr>
            </w:pPr>
            <w:r w:rsidRPr="00B916EC">
              <w:rPr>
                <w:sz w:val="16"/>
                <w:szCs w:val="16"/>
                <w:lang w:eastAsia="zh-CN"/>
              </w:rPr>
              <w:t>0.0.1</w:t>
            </w:r>
          </w:p>
        </w:tc>
      </w:tr>
      <w:tr w:rsidR="003A061C" w:rsidRPr="00B916EC" w14:paraId="27406160" w14:textId="77777777" w:rsidTr="00326D6E">
        <w:tc>
          <w:tcPr>
            <w:tcW w:w="894" w:type="dxa"/>
            <w:shd w:val="solid" w:color="FFFFFF" w:fill="auto"/>
          </w:tcPr>
          <w:p w14:paraId="2DFA3BB9" w14:textId="77777777" w:rsidR="003A061C" w:rsidRPr="00B916EC" w:rsidRDefault="003A061C" w:rsidP="00BC0321">
            <w:pPr>
              <w:spacing w:after="0"/>
              <w:jc w:val="center"/>
              <w:rPr>
                <w:rFonts w:ascii="Arial" w:hAnsi="Arial"/>
                <w:snapToGrid w:val="0"/>
                <w:sz w:val="16"/>
                <w:szCs w:val="16"/>
              </w:rPr>
            </w:pPr>
            <w:r w:rsidRPr="00B916EC">
              <w:rPr>
                <w:rFonts w:ascii="Arial" w:hAnsi="Arial"/>
                <w:snapToGrid w:val="0"/>
                <w:sz w:val="16"/>
                <w:szCs w:val="16"/>
              </w:rPr>
              <w:t>2017-08</w:t>
            </w:r>
          </w:p>
        </w:tc>
        <w:tc>
          <w:tcPr>
            <w:tcW w:w="899" w:type="dxa"/>
            <w:shd w:val="solid" w:color="FFFFFF" w:fill="auto"/>
          </w:tcPr>
          <w:p w14:paraId="73D1EFC3" w14:textId="77777777" w:rsidR="003A061C" w:rsidRPr="00B916EC" w:rsidRDefault="003A061C" w:rsidP="00BC0321">
            <w:pPr>
              <w:pStyle w:val="TAL"/>
              <w:rPr>
                <w:sz w:val="16"/>
                <w:szCs w:val="16"/>
                <w:lang w:eastAsia="zh-CN"/>
              </w:rPr>
            </w:pPr>
            <w:r w:rsidRPr="00B916EC">
              <w:rPr>
                <w:sz w:val="16"/>
                <w:szCs w:val="16"/>
                <w:lang w:eastAsia="zh-CN"/>
              </w:rPr>
              <w:t>RAN1#90</w:t>
            </w:r>
          </w:p>
        </w:tc>
        <w:tc>
          <w:tcPr>
            <w:tcW w:w="990" w:type="dxa"/>
            <w:shd w:val="solid" w:color="FFFFFF" w:fill="auto"/>
          </w:tcPr>
          <w:p w14:paraId="57E7F796" w14:textId="77777777" w:rsidR="003A061C" w:rsidRPr="00B916EC" w:rsidRDefault="003A061C" w:rsidP="00BC0321">
            <w:pPr>
              <w:pStyle w:val="TAL"/>
              <w:rPr>
                <w:sz w:val="16"/>
                <w:szCs w:val="16"/>
                <w:lang w:eastAsia="zh-CN"/>
              </w:rPr>
            </w:pPr>
            <w:r w:rsidRPr="00B916EC">
              <w:rPr>
                <w:sz w:val="16"/>
                <w:szCs w:val="16"/>
                <w:lang w:eastAsia="zh-CN"/>
              </w:rPr>
              <w:t>R1-1714553</w:t>
            </w:r>
          </w:p>
        </w:tc>
        <w:tc>
          <w:tcPr>
            <w:tcW w:w="500" w:type="dxa"/>
            <w:shd w:val="solid" w:color="FFFFFF" w:fill="auto"/>
          </w:tcPr>
          <w:p w14:paraId="7912171F" w14:textId="77777777" w:rsidR="003A061C" w:rsidRPr="00B916EC" w:rsidRDefault="003A061C" w:rsidP="00BC0321">
            <w:pPr>
              <w:pStyle w:val="TAL"/>
              <w:rPr>
                <w:sz w:val="16"/>
                <w:szCs w:val="16"/>
              </w:rPr>
            </w:pPr>
          </w:p>
        </w:tc>
        <w:tc>
          <w:tcPr>
            <w:tcW w:w="440" w:type="dxa"/>
            <w:shd w:val="solid" w:color="FFFFFF" w:fill="auto"/>
          </w:tcPr>
          <w:p w14:paraId="460DF41A" w14:textId="77777777" w:rsidR="003A061C" w:rsidRPr="00B916EC" w:rsidRDefault="003A061C" w:rsidP="00BC0321">
            <w:pPr>
              <w:pStyle w:val="TAL"/>
              <w:jc w:val="center"/>
              <w:rPr>
                <w:sz w:val="16"/>
                <w:szCs w:val="16"/>
              </w:rPr>
            </w:pPr>
          </w:p>
        </w:tc>
        <w:tc>
          <w:tcPr>
            <w:tcW w:w="404" w:type="dxa"/>
            <w:shd w:val="solid" w:color="FFFFFF" w:fill="auto"/>
          </w:tcPr>
          <w:p w14:paraId="205A5C65" w14:textId="77777777" w:rsidR="003A061C" w:rsidRPr="00B916EC" w:rsidRDefault="003A061C" w:rsidP="00BC0321">
            <w:pPr>
              <w:pStyle w:val="TAL"/>
              <w:rPr>
                <w:sz w:val="16"/>
                <w:szCs w:val="16"/>
                <w:lang w:eastAsia="zh-CN"/>
              </w:rPr>
            </w:pPr>
          </w:p>
        </w:tc>
        <w:tc>
          <w:tcPr>
            <w:tcW w:w="4536" w:type="dxa"/>
            <w:shd w:val="solid" w:color="FFFFFF" w:fill="auto"/>
          </w:tcPr>
          <w:p w14:paraId="45974517" w14:textId="77777777" w:rsidR="003A061C" w:rsidRPr="00B916EC" w:rsidRDefault="003A061C" w:rsidP="00BC0321">
            <w:pPr>
              <w:pStyle w:val="TAL"/>
              <w:rPr>
                <w:sz w:val="16"/>
                <w:szCs w:val="16"/>
                <w:lang w:eastAsia="zh-CN"/>
              </w:rPr>
            </w:pPr>
            <w:r w:rsidRPr="00B916EC">
              <w:rPr>
                <w:sz w:val="16"/>
                <w:szCs w:val="16"/>
                <w:lang w:eastAsia="zh-CN"/>
              </w:rPr>
              <w:t>Inclusion of agreements on CA and first revisions</w:t>
            </w:r>
          </w:p>
        </w:tc>
        <w:tc>
          <w:tcPr>
            <w:tcW w:w="709" w:type="dxa"/>
            <w:shd w:val="solid" w:color="FFFFFF" w:fill="auto"/>
          </w:tcPr>
          <w:p w14:paraId="57425840" w14:textId="77777777" w:rsidR="003A061C" w:rsidRPr="00B916EC" w:rsidRDefault="003A061C" w:rsidP="00BC0321">
            <w:pPr>
              <w:pStyle w:val="TAL"/>
              <w:rPr>
                <w:sz w:val="16"/>
                <w:szCs w:val="16"/>
                <w:lang w:eastAsia="zh-CN"/>
              </w:rPr>
            </w:pPr>
            <w:r w:rsidRPr="00B916EC">
              <w:rPr>
                <w:sz w:val="16"/>
                <w:szCs w:val="16"/>
                <w:lang w:eastAsia="zh-CN"/>
              </w:rPr>
              <w:t>0.0.2</w:t>
            </w:r>
          </w:p>
        </w:tc>
      </w:tr>
      <w:tr w:rsidR="003A061C" w:rsidRPr="00B916EC" w14:paraId="15A65477" w14:textId="77777777" w:rsidTr="00326D6E">
        <w:tc>
          <w:tcPr>
            <w:tcW w:w="894" w:type="dxa"/>
            <w:shd w:val="solid" w:color="FFFFFF" w:fill="auto"/>
          </w:tcPr>
          <w:p w14:paraId="6BE45658" w14:textId="77777777" w:rsidR="003A061C" w:rsidRPr="00B916EC" w:rsidRDefault="003A061C" w:rsidP="00BC0321">
            <w:pPr>
              <w:spacing w:after="0"/>
              <w:jc w:val="center"/>
              <w:rPr>
                <w:rFonts w:ascii="Arial" w:hAnsi="Arial"/>
                <w:snapToGrid w:val="0"/>
                <w:sz w:val="16"/>
                <w:szCs w:val="16"/>
              </w:rPr>
            </w:pPr>
            <w:r w:rsidRPr="00B916EC">
              <w:rPr>
                <w:rFonts w:ascii="Arial" w:hAnsi="Arial"/>
                <w:snapToGrid w:val="0"/>
                <w:sz w:val="16"/>
                <w:szCs w:val="16"/>
              </w:rPr>
              <w:t>2017-08</w:t>
            </w:r>
          </w:p>
        </w:tc>
        <w:tc>
          <w:tcPr>
            <w:tcW w:w="899" w:type="dxa"/>
            <w:shd w:val="solid" w:color="FFFFFF" w:fill="auto"/>
          </w:tcPr>
          <w:p w14:paraId="31D17032" w14:textId="77777777" w:rsidR="003A061C" w:rsidRPr="00B916EC" w:rsidRDefault="003A061C" w:rsidP="00BC0321">
            <w:pPr>
              <w:pStyle w:val="TAL"/>
              <w:rPr>
                <w:sz w:val="16"/>
                <w:szCs w:val="16"/>
                <w:lang w:eastAsia="zh-CN"/>
              </w:rPr>
            </w:pPr>
            <w:r w:rsidRPr="00B916EC">
              <w:rPr>
                <w:sz w:val="16"/>
                <w:szCs w:val="16"/>
                <w:lang w:eastAsia="zh-CN"/>
              </w:rPr>
              <w:t>RAN1#90</w:t>
            </w:r>
          </w:p>
        </w:tc>
        <w:tc>
          <w:tcPr>
            <w:tcW w:w="990" w:type="dxa"/>
            <w:shd w:val="solid" w:color="FFFFFF" w:fill="auto"/>
          </w:tcPr>
          <w:p w14:paraId="4AC9FC50" w14:textId="77777777" w:rsidR="003A061C" w:rsidRPr="00B916EC" w:rsidRDefault="003A061C" w:rsidP="00BC0321">
            <w:pPr>
              <w:pStyle w:val="TAL"/>
              <w:rPr>
                <w:sz w:val="16"/>
                <w:szCs w:val="16"/>
                <w:lang w:eastAsia="zh-CN"/>
              </w:rPr>
            </w:pPr>
            <w:r w:rsidRPr="00B916EC">
              <w:rPr>
                <w:sz w:val="16"/>
                <w:szCs w:val="16"/>
                <w:lang w:eastAsia="zh-CN"/>
              </w:rPr>
              <w:t>R1-1714565</w:t>
            </w:r>
          </w:p>
        </w:tc>
        <w:tc>
          <w:tcPr>
            <w:tcW w:w="500" w:type="dxa"/>
            <w:shd w:val="solid" w:color="FFFFFF" w:fill="auto"/>
          </w:tcPr>
          <w:p w14:paraId="41E17436" w14:textId="77777777" w:rsidR="003A061C" w:rsidRPr="00B916EC" w:rsidRDefault="003A061C" w:rsidP="00BC0321">
            <w:pPr>
              <w:pStyle w:val="TAL"/>
              <w:rPr>
                <w:sz w:val="16"/>
                <w:szCs w:val="16"/>
              </w:rPr>
            </w:pPr>
          </w:p>
        </w:tc>
        <w:tc>
          <w:tcPr>
            <w:tcW w:w="440" w:type="dxa"/>
            <w:shd w:val="solid" w:color="FFFFFF" w:fill="auto"/>
          </w:tcPr>
          <w:p w14:paraId="01340BB8" w14:textId="77777777" w:rsidR="003A061C" w:rsidRPr="00B916EC" w:rsidRDefault="003A061C" w:rsidP="00BC0321">
            <w:pPr>
              <w:pStyle w:val="TAL"/>
              <w:jc w:val="center"/>
              <w:rPr>
                <w:sz w:val="16"/>
                <w:szCs w:val="16"/>
              </w:rPr>
            </w:pPr>
          </w:p>
        </w:tc>
        <w:tc>
          <w:tcPr>
            <w:tcW w:w="404" w:type="dxa"/>
            <w:shd w:val="solid" w:color="FFFFFF" w:fill="auto"/>
          </w:tcPr>
          <w:p w14:paraId="44B24BFD" w14:textId="77777777" w:rsidR="003A061C" w:rsidRPr="00B916EC" w:rsidRDefault="003A061C" w:rsidP="00BC0321">
            <w:pPr>
              <w:pStyle w:val="TAL"/>
              <w:rPr>
                <w:sz w:val="16"/>
                <w:szCs w:val="16"/>
                <w:lang w:eastAsia="zh-CN"/>
              </w:rPr>
            </w:pPr>
          </w:p>
        </w:tc>
        <w:tc>
          <w:tcPr>
            <w:tcW w:w="4536" w:type="dxa"/>
            <w:shd w:val="solid" w:color="FFFFFF" w:fill="auto"/>
          </w:tcPr>
          <w:p w14:paraId="071A00F5" w14:textId="77777777" w:rsidR="003A061C" w:rsidRPr="00B916EC" w:rsidRDefault="003A061C" w:rsidP="00BC0321">
            <w:pPr>
              <w:pStyle w:val="TAL"/>
              <w:rPr>
                <w:sz w:val="16"/>
                <w:szCs w:val="16"/>
                <w:lang w:eastAsia="zh-CN"/>
              </w:rPr>
            </w:pPr>
            <w:r w:rsidRPr="00B916EC">
              <w:rPr>
                <w:sz w:val="16"/>
                <w:szCs w:val="16"/>
                <w:lang w:eastAsia="zh-CN"/>
              </w:rPr>
              <w:t>Second revisions</w:t>
            </w:r>
          </w:p>
        </w:tc>
        <w:tc>
          <w:tcPr>
            <w:tcW w:w="709" w:type="dxa"/>
            <w:shd w:val="solid" w:color="FFFFFF" w:fill="auto"/>
          </w:tcPr>
          <w:p w14:paraId="0BA35FFE" w14:textId="77777777" w:rsidR="003A061C" w:rsidRPr="00B916EC" w:rsidRDefault="003A061C" w:rsidP="00BC0321">
            <w:pPr>
              <w:pStyle w:val="TAL"/>
              <w:rPr>
                <w:sz w:val="16"/>
                <w:szCs w:val="16"/>
                <w:lang w:eastAsia="zh-CN"/>
              </w:rPr>
            </w:pPr>
            <w:r w:rsidRPr="00B916EC">
              <w:rPr>
                <w:sz w:val="16"/>
                <w:szCs w:val="16"/>
                <w:lang w:eastAsia="zh-CN"/>
              </w:rPr>
              <w:t>0.0.3</w:t>
            </w:r>
          </w:p>
        </w:tc>
      </w:tr>
      <w:tr w:rsidR="003A061C" w:rsidRPr="00B916EC" w14:paraId="3F164E55" w14:textId="77777777" w:rsidTr="00326D6E">
        <w:tc>
          <w:tcPr>
            <w:tcW w:w="894" w:type="dxa"/>
            <w:shd w:val="solid" w:color="FFFFFF" w:fill="auto"/>
          </w:tcPr>
          <w:p w14:paraId="29030DC2" w14:textId="77777777" w:rsidR="003A061C" w:rsidRPr="00B916EC" w:rsidRDefault="003A061C" w:rsidP="00BC0321">
            <w:pPr>
              <w:spacing w:after="0"/>
              <w:jc w:val="center"/>
              <w:rPr>
                <w:rFonts w:ascii="Arial" w:hAnsi="Arial"/>
                <w:snapToGrid w:val="0"/>
                <w:sz w:val="16"/>
                <w:szCs w:val="16"/>
              </w:rPr>
            </w:pPr>
            <w:r w:rsidRPr="00B916EC">
              <w:rPr>
                <w:rFonts w:ascii="Arial" w:hAnsi="Arial"/>
                <w:snapToGrid w:val="0"/>
                <w:sz w:val="16"/>
                <w:szCs w:val="16"/>
              </w:rPr>
              <w:t>2017-08</w:t>
            </w:r>
          </w:p>
        </w:tc>
        <w:tc>
          <w:tcPr>
            <w:tcW w:w="899" w:type="dxa"/>
            <w:shd w:val="solid" w:color="FFFFFF" w:fill="auto"/>
          </w:tcPr>
          <w:p w14:paraId="75338B9D" w14:textId="77777777" w:rsidR="003A061C" w:rsidRPr="00B916EC" w:rsidRDefault="003A061C" w:rsidP="00BC0321">
            <w:pPr>
              <w:pStyle w:val="TAL"/>
              <w:rPr>
                <w:sz w:val="16"/>
                <w:szCs w:val="16"/>
                <w:lang w:eastAsia="zh-CN"/>
              </w:rPr>
            </w:pPr>
            <w:r w:rsidRPr="00B916EC">
              <w:rPr>
                <w:sz w:val="16"/>
                <w:szCs w:val="16"/>
                <w:lang w:eastAsia="zh-CN"/>
              </w:rPr>
              <w:t>RAN1#90</w:t>
            </w:r>
          </w:p>
        </w:tc>
        <w:tc>
          <w:tcPr>
            <w:tcW w:w="990" w:type="dxa"/>
            <w:shd w:val="solid" w:color="FFFFFF" w:fill="auto"/>
          </w:tcPr>
          <w:p w14:paraId="557FF275" w14:textId="77777777" w:rsidR="003A061C" w:rsidRPr="00B916EC" w:rsidRDefault="003A061C" w:rsidP="00BC0321">
            <w:pPr>
              <w:pStyle w:val="TAL"/>
              <w:rPr>
                <w:sz w:val="16"/>
                <w:szCs w:val="16"/>
                <w:lang w:eastAsia="zh-CN"/>
              </w:rPr>
            </w:pPr>
            <w:r w:rsidRPr="00B916EC">
              <w:rPr>
                <w:sz w:val="16"/>
                <w:szCs w:val="16"/>
                <w:lang w:eastAsia="zh-CN"/>
              </w:rPr>
              <w:t>R1-1714658</w:t>
            </w:r>
          </w:p>
        </w:tc>
        <w:tc>
          <w:tcPr>
            <w:tcW w:w="500" w:type="dxa"/>
            <w:shd w:val="solid" w:color="FFFFFF" w:fill="auto"/>
          </w:tcPr>
          <w:p w14:paraId="2885460D" w14:textId="77777777" w:rsidR="003A061C" w:rsidRPr="00B916EC" w:rsidRDefault="003A061C" w:rsidP="00BC0321">
            <w:pPr>
              <w:pStyle w:val="TAL"/>
              <w:rPr>
                <w:sz w:val="16"/>
                <w:szCs w:val="16"/>
              </w:rPr>
            </w:pPr>
          </w:p>
        </w:tc>
        <w:tc>
          <w:tcPr>
            <w:tcW w:w="440" w:type="dxa"/>
            <w:shd w:val="solid" w:color="FFFFFF" w:fill="auto"/>
          </w:tcPr>
          <w:p w14:paraId="1BDD2882" w14:textId="77777777" w:rsidR="003A061C" w:rsidRPr="00B916EC" w:rsidRDefault="003A061C" w:rsidP="00BC0321">
            <w:pPr>
              <w:pStyle w:val="TAL"/>
              <w:jc w:val="center"/>
              <w:rPr>
                <w:sz w:val="16"/>
                <w:szCs w:val="16"/>
              </w:rPr>
            </w:pPr>
          </w:p>
        </w:tc>
        <w:tc>
          <w:tcPr>
            <w:tcW w:w="404" w:type="dxa"/>
            <w:shd w:val="solid" w:color="FFFFFF" w:fill="auto"/>
          </w:tcPr>
          <w:p w14:paraId="0E67B728" w14:textId="77777777" w:rsidR="003A061C" w:rsidRPr="00B916EC" w:rsidRDefault="003A061C" w:rsidP="00BC0321">
            <w:pPr>
              <w:pStyle w:val="TAL"/>
              <w:rPr>
                <w:sz w:val="16"/>
              </w:rPr>
            </w:pPr>
          </w:p>
        </w:tc>
        <w:tc>
          <w:tcPr>
            <w:tcW w:w="4536" w:type="dxa"/>
            <w:shd w:val="solid" w:color="FFFFFF" w:fill="auto"/>
          </w:tcPr>
          <w:p w14:paraId="3BEA2849" w14:textId="77777777" w:rsidR="003A061C" w:rsidRPr="00B916EC" w:rsidRDefault="003A061C" w:rsidP="00BC0321">
            <w:pPr>
              <w:pStyle w:val="TAL"/>
              <w:rPr>
                <w:sz w:val="16"/>
                <w:szCs w:val="16"/>
                <w:lang w:eastAsia="zh-CN"/>
              </w:rPr>
            </w:pPr>
            <w:r w:rsidRPr="00B916EC">
              <w:rPr>
                <w:sz w:val="16"/>
              </w:rPr>
              <w:t>Endorsed by RAN1#90</w:t>
            </w:r>
          </w:p>
        </w:tc>
        <w:tc>
          <w:tcPr>
            <w:tcW w:w="709" w:type="dxa"/>
            <w:shd w:val="solid" w:color="FFFFFF" w:fill="auto"/>
          </w:tcPr>
          <w:p w14:paraId="21185F8C" w14:textId="77777777" w:rsidR="003A061C" w:rsidRPr="00B916EC" w:rsidRDefault="003A061C" w:rsidP="00BC0321">
            <w:pPr>
              <w:pStyle w:val="TAL"/>
              <w:rPr>
                <w:sz w:val="16"/>
                <w:szCs w:val="16"/>
                <w:lang w:eastAsia="zh-CN"/>
              </w:rPr>
            </w:pPr>
            <w:r w:rsidRPr="00B916EC">
              <w:rPr>
                <w:sz w:val="16"/>
                <w:szCs w:val="16"/>
                <w:lang w:eastAsia="zh-CN"/>
              </w:rPr>
              <w:t>0.1.0</w:t>
            </w:r>
          </w:p>
        </w:tc>
      </w:tr>
      <w:tr w:rsidR="003A061C" w:rsidRPr="00B916EC" w14:paraId="72B67AF6" w14:textId="77777777" w:rsidTr="00326D6E">
        <w:tc>
          <w:tcPr>
            <w:tcW w:w="894" w:type="dxa"/>
            <w:shd w:val="solid" w:color="FFFFFF" w:fill="auto"/>
          </w:tcPr>
          <w:p w14:paraId="55C7EFDD" w14:textId="77777777" w:rsidR="003A061C" w:rsidRPr="00B916EC" w:rsidRDefault="003A061C" w:rsidP="00BC0321">
            <w:pPr>
              <w:spacing w:after="0"/>
              <w:jc w:val="center"/>
              <w:rPr>
                <w:rFonts w:ascii="Arial" w:hAnsi="Arial"/>
                <w:snapToGrid w:val="0"/>
                <w:sz w:val="16"/>
                <w:szCs w:val="16"/>
              </w:rPr>
            </w:pPr>
            <w:r w:rsidRPr="00B916EC">
              <w:rPr>
                <w:rFonts w:ascii="Arial" w:hAnsi="Arial"/>
                <w:snapToGrid w:val="0"/>
                <w:sz w:val="16"/>
                <w:szCs w:val="16"/>
              </w:rPr>
              <w:t>2017-08</w:t>
            </w:r>
          </w:p>
        </w:tc>
        <w:tc>
          <w:tcPr>
            <w:tcW w:w="899" w:type="dxa"/>
            <w:shd w:val="solid" w:color="FFFFFF" w:fill="auto"/>
          </w:tcPr>
          <w:p w14:paraId="7249DB15" w14:textId="77777777" w:rsidR="003A061C" w:rsidRPr="00B916EC" w:rsidRDefault="003A061C" w:rsidP="00BC0321">
            <w:pPr>
              <w:pStyle w:val="TAL"/>
              <w:rPr>
                <w:sz w:val="16"/>
                <w:szCs w:val="16"/>
                <w:lang w:eastAsia="zh-CN"/>
              </w:rPr>
            </w:pPr>
            <w:r w:rsidRPr="00B916EC">
              <w:rPr>
                <w:sz w:val="16"/>
                <w:szCs w:val="16"/>
                <w:lang w:eastAsia="zh-CN"/>
              </w:rPr>
              <w:t>RAN1#90</w:t>
            </w:r>
          </w:p>
        </w:tc>
        <w:tc>
          <w:tcPr>
            <w:tcW w:w="990" w:type="dxa"/>
            <w:shd w:val="solid" w:color="FFFFFF" w:fill="auto"/>
          </w:tcPr>
          <w:p w14:paraId="1666A0C1" w14:textId="77777777" w:rsidR="003A061C" w:rsidRPr="00B916EC" w:rsidRDefault="003A061C" w:rsidP="00BC0321">
            <w:pPr>
              <w:pStyle w:val="TAL"/>
              <w:rPr>
                <w:sz w:val="16"/>
                <w:szCs w:val="16"/>
                <w:lang w:eastAsia="zh-CN"/>
              </w:rPr>
            </w:pPr>
            <w:r w:rsidRPr="00B916EC">
              <w:rPr>
                <w:sz w:val="16"/>
                <w:szCs w:val="16"/>
                <w:lang w:eastAsia="zh-CN"/>
              </w:rPr>
              <w:t>R1-1715323</w:t>
            </w:r>
          </w:p>
        </w:tc>
        <w:tc>
          <w:tcPr>
            <w:tcW w:w="500" w:type="dxa"/>
            <w:shd w:val="solid" w:color="FFFFFF" w:fill="auto"/>
          </w:tcPr>
          <w:p w14:paraId="7A31C3C8" w14:textId="77777777" w:rsidR="003A061C" w:rsidRPr="00B916EC" w:rsidRDefault="003A061C" w:rsidP="00BC0321">
            <w:pPr>
              <w:pStyle w:val="TAL"/>
              <w:rPr>
                <w:sz w:val="16"/>
                <w:szCs w:val="16"/>
              </w:rPr>
            </w:pPr>
          </w:p>
        </w:tc>
        <w:tc>
          <w:tcPr>
            <w:tcW w:w="440" w:type="dxa"/>
            <w:shd w:val="solid" w:color="FFFFFF" w:fill="auto"/>
          </w:tcPr>
          <w:p w14:paraId="6230CE49" w14:textId="77777777" w:rsidR="003A061C" w:rsidRPr="00B916EC" w:rsidRDefault="003A061C" w:rsidP="00BC0321">
            <w:pPr>
              <w:pStyle w:val="TAL"/>
              <w:jc w:val="center"/>
              <w:rPr>
                <w:sz w:val="16"/>
                <w:szCs w:val="16"/>
              </w:rPr>
            </w:pPr>
          </w:p>
        </w:tc>
        <w:tc>
          <w:tcPr>
            <w:tcW w:w="404" w:type="dxa"/>
            <w:shd w:val="solid" w:color="FFFFFF" w:fill="auto"/>
          </w:tcPr>
          <w:p w14:paraId="05669F77" w14:textId="77777777" w:rsidR="003A061C" w:rsidRPr="00B916EC" w:rsidRDefault="003A061C" w:rsidP="00BC0321">
            <w:pPr>
              <w:pStyle w:val="TAL"/>
              <w:rPr>
                <w:sz w:val="16"/>
              </w:rPr>
            </w:pPr>
          </w:p>
        </w:tc>
        <w:tc>
          <w:tcPr>
            <w:tcW w:w="4536" w:type="dxa"/>
            <w:shd w:val="solid" w:color="FFFFFF" w:fill="auto"/>
            <w:vAlign w:val="center"/>
          </w:tcPr>
          <w:p w14:paraId="4D003CA5" w14:textId="77777777" w:rsidR="003A061C" w:rsidRPr="00B916EC" w:rsidRDefault="003A061C" w:rsidP="00BC0321">
            <w:pPr>
              <w:pStyle w:val="TAL"/>
              <w:rPr>
                <w:sz w:val="16"/>
              </w:rPr>
            </w:pPr>
            <w:r w:rsidRPr="00B916EC">
              <w:rPr>
                <w:sz w:val="16"/>
              </w:rPr>
              <w:t>Inclusion of agreements from RAN1#90</w:t>
            </w:r>
          </w:p>
        </w:tc>
        <w:tc>
          <w:tcPr>
            <w:tcW w:w="709" w:type="dxa"/>
            <w:shd w:val="solid" w:color="FFFFFF" w:fill="auto"/>
          </w:tcPr>
          <w:p w14:paraId="1D236A6C" w14:textId="77777777" w:rsidR="003A061C" w:rsidRPr="00B916EC" w:rsidRDefault="003A061C" w:rsidP="00BC0321">
            <w:pPr>
              <w:pStyle w:val="TAL"/>
              <w:rPr>
                <w:sz w:val="16"/>
                <w:szCs w:val="16"/>
                <w:lang w:eastAsia="zh-CN"/>
              </w:rPr>
            </w:pPr>
            <w:r w:rsidRPr="00B916EC">
              <w:rPr>
                <w:sz w:val="16"/>
                <w:szCs w:val="16"/>
                <w:lang w:eastAsia="zh-CN"/>
              </w:rPr>
              <w:t>0.1.1</w:t>
            </w:r>
          </w:p>
        </w:tc>
      </w:tr>
      <w:tr w:rsidR="003A061C" w:rsidRPr="00B916EC" w14:paraId="4AFC4F08" w14:textId="77777777" w:rsidTr="00326D6E">
        <w:tc>
          <w:tcPr>
            <w:tcW w:w="894" w:type="dxa"/>
            <w:shd w:val="solid" w:color="FFFFFF" w:fill="auto"/>
          </w:tcPr>
          <w:p w14:paraId="5D982561" w14:textId="77777777" w:rsidR="003A061C" w:rsidRPr="00B916EC" w:rsidRDefault="003A061C" w:rsidP="00BC0321">
            <w:pPr>
              <w:spacing w:after="0"/>
              <w:jc w:val="center"/>
              <w:rPr>
                <w:rFonts w:ascii="Arial" w:hAnsi="Arial"/>
                <w:snapToGrid w:val="0"/>
                <w:sz w:val="16"/>
                <w:szCs w:val="16"/>
              </w:rPr>
            </w:pPr>
            <w:r w:rsidRPr="00B916EC">
              <w:rPr>
                <w:rFonts w:ascii="Arial" w:hAnsi="Arial"/>
                <w:snapToGrid w:val="0"/>
                <w:sz w:val="16"/>
                <w:szCs w:val="16"/>
              </w:rPr>
              <w:t>2017-08</w:t>
            </w:r>
          </w:p>
        </w:tc>
        <w:tc>
          <w:tcPr>
            <w:tcW w:w="899" w:type="dxa"/>
            <w:shd w:val="solid" w:color="FFFFFF" w:fill="auto"/>
          </w:tcPr>
          <w:p w14:paraId="30DED760" w14:textId="77777777" w:rsidR="003A061C" w:rsidRPr="00B916EC" w:rsidRDefault="003A061C" w:rsidP="00BC0321">
            <w:pPr>
              <w:pStyle w:val="TAL"/>
              <w:rPr>
                <w:sz w:val="16"/>
                <w:szCs w:val="16"/>
                <w:lang w:eastAsia="zh-CN"/>
              </w:rPr>
            </w:pPr>
            <w:r w:rsidRPr="00B916EC">
              <w:rPr>
                <w:sz w:val="16"/>
                <w:szCs w:val="16"/>
                <w:lang w:eastAsia="zh-CN"/>
              </w:rPr>
              <w:t>RAN1#90</w:t>
            </w:r>
          </w:p>
        </w:tc>
        <w:tc>
          <w:tcPr>
            <w:tcW w:w="990" w:type="dxa"/>
            <w:shd w:val="solid" w:color="FFFFFF" w:fill="auto"/>
          </w:tcPr>
          <w:p w14:paraId="6FF94F3F" w14:textId="77777777" w:rsidR="003A061C" w:rsidRPr="00B916EC" w:rsidRDefault="003A061C" w:rsidP="00BC0321">
            <w:pPr>
              <w:pStyle w:val="TAL"/>
              <w:rPr>
                <w:sz w:val="16"/>
                <w:szCs w:val="16"/>
                <w:lang w:eastAsia="zh-CN"/>
              </w:rPr>
            </w:pPr>
            <w:r w:rsidRPr="00B916EC">
              <w:rPr>
                <w:sz w:val="16"/>
                <w:szCs w:val="16"/>
                <w:lang w:eastAsia="zh-CN"/>
              </w:rPr>
              <w:t>R1-1715330</w:t>
            </w:r>
          </w:p>
        </w:tc>
        <w:tc>
          <w:tcPr>
            <w:tcW w:w="500" w:type="dxa"/>
            <w:shd w:val="solid" w:color="FFFFFF" w:fill="auto"/>
          </w:tcPr>
          <w:p w14:paraId="4A6207C4" w14:textId="77777777" w:rsidR="003A061C" w:rsidRPr="00B916EC" w:rsidRDefault="003A061C" w:rsidP="00BC0321">
            <w:pPr>
              <w:pStyle w:val="TAL"/>
              <w:rPr>
                <w:sz w:val="16"/>
                <w:szCs w:val="16"/>
              </w:rPr>
            </w:pPr>
          </w:p>
        </w:tc>
        <w:tc>
          <w:tcPr>
            <w:tcW w:w="440" w:type="dxa"/>
            <w:shd w:val="solid" w:color="FFFFFF" w:fill="auto"/>
          </w:tcPr>
          <w:p w14:paraId="2DD0C8FD" w14:textId="77777777" w:rsidR="003A061C" w:rsidRPr="00B916EC" w:rsidRDefault="003A061C" w:rsidP="00BC0321">
            <w:pPr>
              <w:pStyle w:val="TAL"/>
              <w:jc w:val="center"/>
              <w:rPr>
                <w:sz w:val="16"/>
                <w:szCs w:val="16"/>
              </w:rPr>
            </w:pPr>
          </w:p>
        </w:tc>
        <w:tc>
          <w:tcPr>
            <w:tcW w:w="404" w:type="dxa"/>
            <w:shd w:val="solid" w:color="FFFFFF" w:fill="auto"/>
          </w:tcPr>
          <w:p w14:paraId="3DBB6322" w14:textId="77777777" w:rsidR="003A061C" w:rsidRPr="00B916EC" w:rsidRDefault="003A061C" w:rsidP="00BC0321">
            <w:pPr>
              <w:pStyle w:val="TAL"/>
              <w:rPr>
                <w:sz w:val="16"/>
              </w:rPr>
            </w:pPr>
          </w:p>
        </w:tc>
        <w:tc>
          <w:tcPr>
            <w:tcW w:w="4536" w:type="dxa"/>
            <w:shd w:val="solid" w:color="FFFFFF" w:fill="auto"/>
            <w:vAlign w:val="center"/>
          </w:tcPr>
          <w:p w14:paraId="58D6E54B" w14:textId="77777777" w:rsidR="003A061C" w:rsidRPr="00B916EC" w:rsidRDefault="003A061C" w:rsidP="00BC0321">
            <w:pPr>
              <w:pStyle w:val="TAL"/>
              <w:rPr>
                <w:sz w:val="16"/>
              </w:rPr>
            </w:pPr>
            <w:r w:rsidRPr="00B916EC">
              <w:rPr>
                <w:sz w:val="16"/>
              </w:rPr>
              <w:t>Updated editor</w:t>
            </w:r>
            <w:r>
              <w:rPr>
                <w:sz w:val="16"/>
              </w:rPr>
              <w:t>'</w:t>
            </w:r>
            <w:r w:rsidRPr="00B916EC">
              <w:rPr>
                <w:sz w:val="16"/>
              </w:rPr>
              <w:t>s version</w:t>
            </w:r>
          </w:p>
        </w:tc>
        <w:tc>
          <w:tcPr>
            <w:tcW w:w="709" w:type="dxa"/>
            <w:shd w:val="solid" w:color="FFFFFF" w:fill="auto"/>
          </w:tcPr>
          <w:p w14:paraId="47275533" w14:textId="77777777" w:rsidR="003A061C" w:rsidRPr="00B916EC" w:rsidRDefault="003A061C" w:rsidP="00BC0321">
            <w:pPr>
              <w:pStyle w:val="TAL"/>
              <w:rPr>
                <w:sz w:val="16"/>
                <w:szCs w:val="16"/>
                <w:lang w:eastAsia="zh-CN"/>
              </w:rPr>
            </w:pPr>
            <w:r w:rsidRPr="00B916EC">
              <w:rPr>
                <w:sz w:val="16"/>
                <w:szCs w:val="16"/>
                <w:lang w:eastAsia="zh-CN"/>
              </w:rPr>
              <w:t>0.1.2</w:t>
            </w:r>
          </w:p>
        </w:tc>
      </w:tr>
      <w:tr w:rsidR="003A061C" w:rsidRPr="00B916EC" w14:paraId="285695F0" w14:textId="77777777" w:rsidTr="00326D6E">
        <w:tc>
          <w:tcPr>
            <w:tcW w:w="894" w:type="dxa"/>
            <w:shd w:val="solid" w:color="FFFFFF" w:fill="auto"/>
          </w:tcPr>
          <w:p w14:paraId="4C70C703" w14:textId="77777777" w:rsidR="003A061C" w:rsidRPr="00B916EC" w:rsidRDefault="003A061C" w:rsidP="00BC0321">
            <w:pPr>
              <w:spacing w:after="0"/>
              <w:jc w:val="center"/>
              <w:rPr>
                <w:rFonts w:ascii="Arial" w:hAnsi="Arial"/>
                <w:snapToGrid w:val="0"/>
                <w:sz w:val="16"/>
                <w:szCs w:val="16"/>
              </w:rPr>
            </w:pPr>
            <w:r w:rsidRPr="00B916EC">
              <w:rPr>
                <w:rFonts w:ascii="Arial" w:hAnsi="Arial"/>
                <w:snapToGrid w:val="0"/>
                <w:sz w:val="16"/>
                <w:szCs w:val="16"/>
              </w:rPr>
              <w:t>2017-09</w:t>
            </w:r>
          </w:p>
        </w:tc>
        <w:tc>
          <w:tcPr>
            <w:tcW w:w="899" w:type="dxa"/>
            <w:shd w:val="solid" w:color="FFFFFF" w:fill="auto"/>
          </w:tcPr>
          <w:p w14:paraId="1D8FA784" w14:textId="77777777" w:rsidR="003A061C" w:rsidRPr="00B916EC" w:rsidRDefault="003A061C" w:rsidP="00BC0321">
            <w:pPr>
              <w:pStyle w:val="TAL"/>
              <w:rPr>
                <w:sz w:val="16"/>
                <w:szCs w:val="16"/>
                <w:lang w:eastAsia="zh-CN"/>
              </w:rPr>
            </w:pPr>
            <w:r w:rsidRPr="00B916EC">
              <w:rPr>
                <w:sz w:val="16"/>
                <w:szCs w:val="16"/>
                <w:lang w:eastAsia="zh-CN"/>
              </w:rPr>
              <w:t>RAN#77</w:t>
            </w:r>
          </w:p>
        </w:tc>
        <w:tc>
          <w:tcPr>
            <w:tcW w:w="990" w:type="dxa"/>
            <w:shd w:val="solid" w:color="FFFFFF" w:fill="auto"/>
          </w:tcPr>
          <w:p w14:paraId="2B1A3C3C" w14:textId="77777777" w:rsidR="003A061C" w:rsidRPr="00B916EC" w:rsidRDefault="003A061C" w:rsidP="00BC0321">
            <w:pPr>
              <w:pStyle w:val="TAL"/>
              <w:rPr>
                <w:sz w:val="16"/>
                <w:szCs w:val="16"/>
                <w:lang w:eastAsia="zh-CN"/>
              </w:rPr>
            </w:pPr>
            <w:r w:rsidRPr="00B916EC">
              <w:rPr>
                <w:sz w:val="16"/>
                <w:szCs w:val="16"/>
                <w:lang w:eastAsia="zh-CN"/>
              </w:rPr>
              <w:t>RP-171995</w:t>
            </w:r>
          </w:p>
        </w:tc>
        <w:tc>
          <w:tcPr>
            <w:tcW w:w="500" w:type="dxa"/>
            <w:shd w:val="solid" w:color="FFFFFF" w:fill="auto"/>
          </w:tcPr>
          <w:p w14:paraId="28859600" w14:textId="77777777" w:rsidR="003A061C" w:rsidRPr="00B916EC" w:rsidRDefault="003A061C" w:rsidP="00BC0321">
            <w:pPr>
              <w:pStyle w:val="TAL"/>
              <w:rPr>
                <w:sz w:val="16"/>
                <w:szCs w:val="16"/>
              </w:rPr>
            </w:pPr>
          </w:p>
        </w:tc>
        <w:tc>
          <w:tcPr>
            <w:tcW w:w="440" w:type="dxa"/>
            <w:shd w:val="solid" w:color="FFFFFF" w:fill="auto"/>
          </w:tcPr>
          <w:p w14:paraId="27D84D6D" w14:textId="77777777" w:rsidR="003A061C" w:rsidRPr="00B916EC" w:rsidRDefault="003A061C" w:rsidP="00BC0321">
            <w:pPr>
              <w:pStyle w:val="TAL"/>
              <w:jc w:val="center"/>
              <w:rPr>
                <w:sz w:val="16"/>
                <w:szCs w:val="16"/>
              </w:rPr>
            </w:pPr>
          </w:p>
        </w:tc>
        <w:tc>
          <w:tcPr>
            <w:tcW w:w="404" w:type="dxa"/>
            <w:shd w:val="solid" w:color="FFFFFF" w:fill="auto"/>
          </w:tcPr>
          <w:p w14:paraId="301F16C1" w14:textId="77777777" w:rsidR="003A061C" w:rsidRPr="00B916EC" w:rsidRDefault="003A061C" w:rsidP="00BC0321">
            <w:pPr>
              <w:pStyle w:val="TAL"/>
              <w:rPr>
                <w:sz w:val="16"/>
                <w:szCs w:val="16"/>
                <w:lang w:eastAsia="zh-CN"/>
              </w:rPr>
            </w:pPr>
          </w:p>
        </w:tc>
        <w:tc>
          <w:tcPr>
            <w:tcW w:w="4536" w:type="dxa"/>
            <w:shd w:val="solid" w:color="FFFFFF" w:fill="auto"/>
          </w:tcPr>
          <w:p w14:paraId="33B8C0E2" w14:textId="77777777" w:rsidR="003A061C" w:rsidRPr="00B916EC" w:rsidRDefault="003A061C" w:rsidP="00BC0321">
            <w:pPr>
              <w:pStyle w:val="TAL"/>
              <w:rPr>
                <w:sz w:val="16"/>
                <w:szCs w:val="16"/>
                <w:lang w:eastAsia="zh-CN"/>
              </w:rPr>
            </w:pPr>
            <w:r w:rsidRPr="00B916EC">
              <w:rPr>
                <w:sz w:val="16"/>
                <w:szCs w:val="16"/>
                <w:lang w:eastAsia="zh-CN"/>
              </w:rPr>
              <w:t>For information to plenary</w:t>
            </w:r>
          </w:p>
        </w:tc>
        <w:tc>
          <w:tcPr>
            <w:tcW w:w="709" w:type="dxa"/>
            <w:shd w:val="solid" w:color="FFFFFF" w:fill="auto"/>
          </w:tcPr>
          <w:p w14:paraId="51CC5E9D" w14:textId="77777777" w:rsidR="003A061C" w:rsidRPr="00B916EC" w:rsidRDefault="003A061C" w:rsidP="00BC0321">
            <w:pPr>
              <w:pStyle w:val="TAL"/>
              <w:rPr>
                <w:sz w:val="16"/>
                <w:szCs w:val="16"/>
                <w:lang w:eastAsia="zh-CN"/>
              </w:rPr>
            </w:pPr>
            <w:r w:rsidRPr="00B916EC">
              <w:rPr>
                <w:sz w:val="16"/>
                <w:szCs w:val="16"/>
                <w:lang w:eastAsia="zh-CN"/>
              </w:rPr>
              <w:t>1.0.0</w:t>
            </w:r>
          </w:p>
        </w:tc>
      </w:tr>
      <w:tr w:rsidR="003A061C" w:rsidRPr="00B916EC" w14:paraId="0AADD5E3" w14:textId="77777777" w:rsidTr="00326D6E">
        <w:tc>
          <w:tcPr>
            <w:tcW w:w="894" w:type="dxa"/>
            <w:shd w:val="solid" w:color="FFFFFF" w:fill="auto"/>
          </w:tcPr>
          <w:p w14:paraId="1CC2D70E" w14:textId="77777777" w:rsidR="003A061C" w:rsidRPr="00B916EC" w:rsidRDefault="003A061C" w:rsidP="00BC0321">
            <w:pPr>
              <w:spacing w:after="0"/>
              <w:jc w:val="center"/>
              <w:rPr>
                <w:rFonts w:ascii="Arial" w:hAnsi="Arial"/>
                <w:snapToGrid w:val="0"/>
                <w:sz w:val="16"/>
                <w:szCs w:val="16"/>
              </w:rPr>
            </w:pPr>
            <w:r w:rsidRPr="00B916EC">
              <w:rPr>
                <w:rFonts w:ascii="Arial" w:hAnsi="Arial"/>
                <w:snapToGrid w:val="0"/>
                <w:sz w:val="16"/>
                <w:szCs w:val="16"/>
              </w:rPr>
              <w:t>2017-09</w:t>
            </w:r>
          </w:p>
        </w:tc>
        <w:tc>
          <w:tcPr>
            <w:tcW w:w="899" w:type="dxa"/>
            <w:shd w:val="solid" w:color="FFFFFF" w:fill="auto"/>
          </w:tcPr>
          <w:p w14:paraId="79C0F6C5" w14:textId="77777777" w:rsidR="003A061C" w:rsidRPr="00B916EC" w:rsidRDefault="003A061C" w:rsidP="00BC0321">
            <w:pPr>
              <w:pStyle w:val="TAL"/>
              <w:rPr>
                <w:sz w:val="16"/>
                <w:szCs w:val="16"/>
                <w:lang w:eastAsia="zh-CN"/>
              </w:rPr>
            </w:pPr>
            <w:r w:rsidRPr="00B916EC">
              <w:rPr>
                <w:sz w:val="16"/>
                <w:szCs w:val="16"/>
                <w:lang w:eastAsia="zh-CN"/>
              </w:rPr>
              <w:t>RAN1#90bis</w:t>
            </w:r>
          </w:p>
        </w:tc>
        <w:tc>
          <w:tcPr>
            <w:tcW w:w="990" w:type="dxa"/>
            <w:shd w:val="solid" w:color="FFFFFF" w:fill="auto"/>
          </w:tcPr>
          <w:p w14:paraId="7AC7D6BA" w14:textId="77777777" w:rsidR="003A061C" w:rsidRPr="00B916EC" w:rsidRDefault="003A061C" w:rsidP="00BC0321">
            <w:pPr>
              <w:pStyle w:val="TAL"/>
              <w:rPr>
                <w:sz w:val="16"/>
                <w:szCs w:val="16"/>
                <w:lang w:eastAsia="zh-CN"/>
              </w:rPr>
            </w:pPr>
            <w:r w:rsidRPr="00B916EC">
              <w:rPr>
                <w:sz w:val="16"/>
                <w:szCs w:val="16"/>
                <w:lang w:eastAsia="zh-CN"/>
              </w:rPr>
              <w:t>R1-1716929</w:t>
            </w:r>
          </w:p>
        </w:tc>
        <w:tc>
          <w:tcPr>
            <w:tcW w:w="500" w:type="dxa"/>
            <w:shd w:val="solid" w:color="FFFFFF" w:fill="auto"/>
          </w:tcPr>
          <w:p w14:paraId="5F85A4D0" w14:textId="77777777" w:rsidR="003A061C" w:rsidRPr="00B916EC" w:rsidRDefault="003A061C" w:rsidP="00BC0321">
            <w:pPr>
              <w:pStyle w:val="TAL"/>
              <w:rPr>
                <w:sz w:val="16"/>
                <w:szCs w:val="16"/>
              </w:rPr>
            </w:pPr>
          </w:p>
        </w:tc>
        <w:tc>
          <w:tcPr>
            <w:tcW w:w="440" w:type="dxa"/>
            <w:shd w:val="solid" w:color="FFFFFF" w:fill="auto"/>
          </w:tcPr>
          <w:p w14:paraId="2510BA86" w14:textId="77777777" w:rsidR="003A061C" w:rsidRPr="00B916EC" w:rsidRDefault="003A061C" w:rsidP="00BC0321">
            <w:pPr>
              <w:pStyle w:val="TAL"/>
              <w:jc w:val="center"/>
              <w:rPr>
                <w:sz w:val="16"/>
                <w:szCs w:val="16"/>
              </w:rPr>
            </w:pPr>
          </w:p>
        </w:tc>
        <w:tc>
          <w:tcPr>
            <w:tcW w:w="404" w:type="dxa"/>
            <w:shd w:val="solid" w:color="FFFFFF" w:fill="auto"/>
          </w:tcPr>
          <w:p w14:paraId="0DD05CEE" w14:textId="77777777" w:rsidR="003A061C" w:rsidRPr="00B916EC" w:rsidRDefault="003A061C" w:rsidP="00BC0321">
            <w:pPr>
              <w:pStyle w:val="TAL"/>
              <w:rPr>
                <w:sz w:val="16"/>
                <w:szCs w:val="16"/>
                <w:lang w:eastAsia="zh-CN"/>
              </w:rPr>
            </w:pPr>
          </w:p>
        </w:tc>
        <w:tc>
          <w:tcPr>
            <w:tcW w:w="4536" w:type="dxa"/>
            <w:shd w:val="solid" w:color="FFFFFF" w:fill="auto"/>
            <w:vAlign w:val="center"/>
          </w:tcPr>
          <w:p w14:paraId="0D89DD6C" w14:textId="77777777" w:rsidR="003A061C" w:rsidRPr="00B916EC" w:rsidRDefault="003A061C" w:rsidP="00BC0321">
            <w:pPr>
              <w:pStyle w:val="TAL"/>
              <w:rPr>
                <w:sz w:val="16"/>
                <w:szCs w:val="16"/>
                <w:lang w:eastAsia="zh-CN"/>
              </w:rPr>
            </w:pPr>
            <w:r w:rsidRPr="00B916EC">
              <w:rPr>
                <w:sz w:val="16"/>
                <w:szCs w:val="16"/>
                <w:lang w:eastAsia="zh-CN"/>
              </w:rPr>
              <w:t>Inclusion of agreements until RAN1-adhoc#3</w:t>
            </w:r>
          </w:p>
        </w:tc>
        <w:tc>
          <w:tcPr>
            <w:tcW w:w="709" w:type="dxa"/>
            <w:shd w:val="solid" w:color="FFFFFF" w:fill="auto"/>
          </w:tcPr>
          <w:p w14:paraId="7D002C3B" w14:textId="77777777" w:rsidR="003A061C" w:rsidRPr="00B916EC" w:rsidRDefault="003A061C" w:rsidP="00BC0321">
            <w:pPr>
              <w:pStyle w:val="TAL"/>
              <w:rPr>
                <w:sz w:val="16"/>
                <w:szCs w:val="16"/>
                <w:lang w:eastAsia="zh-CN"/>
              </w:rPr>
            </w:pPr>
            <w:r w:rsidRPr="00B916EC">
              <w:rPr>
                <w:sz w:val="16"/>
                <w:szCs w:val="16"/>
                <w:lang w:eastAsia="zh-CN"/>
              </w:rPr>
              <w:t>1.0.1</w:t>
            </w:r>
          </w:p>
        </w:tc>
      </w:tr>
      <w:tr w:rsidR="003A061C" w:rsidRPr="00B916EC" w14:paraId="040A2F33" w14:textId="77777777" w:rsidTr="00326D6E">
        <w:tc>
          <w:tcPr>
            <w:tcW w:w="894" w:type="dxa"/>
            <w:shd w:val="solid" w:color="FFFFFF" w:fill="auto"/>
          </w:tcPr>
          <w:p w14:paraId="49F32215" w14:textId="77777777" w:rsidR="003A061C" w:rsidRPr="00B916EC" w:rsidRDefault="003A061C" w:rsidP="00BC0321">
            <w:pPr>
              <w:spacing w:after="0"/>
              <w:jc w:val="center"/>
              <w:rPr>
                <w:rFonts w:ascii="Arial" w:hAnsi="Arial"/>
                <w:snapToGrid w:val="0"/>
                <w:sz w:val="16"/>
                <w:szCs w:val="16"/>
              </w:rPr>
            </w:pPr>
            <w:r w:rsidRPr="00B916EC">
              <w:rPr>
                <w:rFonts w:ascii="Arial" w:hAnsi="Arial"/>
                <w:snapToGrid w:val="0"/>
                <w:sz w:val="16"/>
                <w:szCs w:val="16"/>
              </w:rPr>
              <w:t>2017-10</w:t>
            </w:r>
          </w:p>
        </w:tc>
        <w:tc>
          <w:tcPr>
            <w:tcW w:w="899" w:type="dxa"/>
            <w:shd w:val="solid" w:color="FFFFFF" w:fill="auto"/>
          </w:tcPr>
          <w:p w14:paraId="0F6F5773" w14:textId="77777777" w:rsidR="003A061C" w:rsidRPr="00B916EC" w:rsidRDefault="003A061C" w:rsidP="00BC0321">
            <w:pPr>
              <w:pStyle w:val="TAL"/>
              <w:rPr>
                <w:sz w:val="16"/>
                <w:szCs w:val="16"/>
                <w:lang w:eastAsia="zh-CN"/>
              </w:rPr>
            </w:pPr>
            <w:r w:rsidRPr="00B916EC">
              <w:rPr>
                <w:sz w:val="16"/>
                <w:szCs w:val="16"/>
                <w:lang w:eastAsia="zh-CN"/>
              </w:rPr>
              <w:t>RAN1#90bis</w:t>
            </w:r>
          </w:p>
        </w:tc>
        <w:tc>
          <w:tcPr>
            <w:tcW w:w="990" w:type="dxa"/>
            <w:shd w:val="solid" w:color="FFFFFF" w:fill="auto"/>
          </w:tcPr>
          <w:p w14:paraId="3D7A85C2" w14:textId="77777777" w:rsidR="003A061C" w:rsidRPr="00B916EC" w:rsidRDefault="003A061C" w:rsidP="00BC0321">
            <w:pPr>
              <w:pStyle w:val="TAL"/>
              <w:rPr>
                <w:sz w:val="16"/>
                <w:szCs w:val="16"/>
                <w:lang w:eastAsia="zh-CN"/>
              </w:rPr>
            </w:pPr>
            <w:r w:rsidRPr="00B916EC">
              <w:rPr>
                <w:sz w:val="16"/>
                <w:szCs w:val="16"/>
                <w:lang w:eastAsia="zh-CN"/>
              </w:rPr>
              <w:t>R1-1719107</w:t>
            </w:r>
          </w:p>
        </w:tc>
        <w:tc>
          <w:tcPr>
            <w:tcW w:w="500" w:type="dxa"/>
            <w:shd w:val="solid" w:color="FFFFFF" w:fill="auto"/>
          </w:tcPr>
          <w:p w14:paraId="206A390C" w14:textId="77777777" w:rsidR="003A061C" w:rsidRPr="00B916EC" w:rsidRDefault="003A061C" w:rsidP="00BC0321">
            <w:pPr>
              <w:pStyle w:val="TAL"/>
              <w:rPr>
                <w:sz w:val="16"/>
                <w:szCs w:val="16"/>
              </w:rPr>
            </w:pPr>
          </w:p>
        </w:tc>
        <w:tc>
          <w:tcPr>
            <w:tcW w:w="440" w:type="dxa"/>
            <w:shd w:val="solid" w:color="FFFFFF" w:fill="auto"/>
          </w:tcPr>
          <w:p w14:paraId="261B4579" w14:textId="77777777" w:rsidR="003A061C" w:rsidRPr="00B916EC" w:rsidRDefault="003A061C" w:rsidP="00BC0321">
            <w:pPr>
              <w:pStyle w:val="TAL"/>
              <w:jc w:val="center"/>
              <w:rPr>
                <w:sz w:val="16"/>
                <w:szCs w:val="16"/>
              </w:rPr>
            </w:pPr>
          </w:p>
        </w:tc>
        <w:tc>
          <w:tcPr>
            <w:tcW w:w="404" w:type="dxa"/>
            <w:shd w:val="solid" w:color="FFFFFF" w:fill="auto"/>
          </w:tcPr>
          <w:p w14:paraId="7F44EAB3" w14:textId="77777777" w:rsidR="003A061C" w:rsidRPr="00B916EC" w:rsidRDefault="003A061C" w:rsidP="00BC0321">
            <w:pPr>
              <w:pStyle w:val="TAL"/>
              <w:rPr>
                <w:sz w:val="16"/>
              </w:rPr>
            </w:pPr>
          </w:p>
        </w:tc>
        <w:tc>
          <w:tcPr>
            <w:tcW w:w="4536" w:type="dxa"/>
            <w:shd w:val="solid" w:color="FFFFFF" w:fill="auto"/>
          </w:tcPr>
          <w:p w14:paraId="11ECDAA1" w14:textId="77777777" w:rsidR="003A061C" w:rsidRPr="00B916EC" w:rsidRDefault="003A061C" w:rsidP="00BC0321">
            <w:pPr>
              <w:pStyle w:val="TAL"/>
              <w:rPr>
                <w:sz w:val="16"/>
                <w:szCs w:val="16"/>
                <w:lang w:eastAsia="zh-CN"/>
              </w:rPr>
            </w:pPr>
            <w:r w:rsidRPr="00B916EC">
              <w:rPr>
                <w:sz w:val="16"/>
              </w:rPr>
              <w:t>Endorsed by RAN1#90bis</w:t>
            </w:r>
          </w:p>
        </w:tc>
        <w:tc>
          <w:tcPr>
            <w:tcW w:w="709" w:type="dxa"/>
            <w:shd w:val="solid" w:color="FFFFFF" w:fill="auto"/>
          </w:tcPr>
          <w:p w14:paraId="468C00DE" w14:textId="77777777" w:rsidR="003A061C" w:rsidRPr="00B916EC" w:rsidRDefault="003A061C" w:rsidP="00BC0321">
            <w:pPr>
              <w:pStyle w:val="TAL"/>
              <w:rPr>
                <w:sz w:val="16"/>
                <w:szCs w:val="16"/>
                <w:lang w:eastAsia="zh-CN"/>
              </w:rPr>
            </w:pPr>
            <w:r w:rsidRPr="00B916EC">
              <w:rPr>
                <w:sz w:val="16"/>
                <w:szCs w:val="16"/>
                <w:lang w:eastAsia="zh-CN"/>
              </w:rPr>
              <w:t>1.1.0</w:t>
            </w:r>
          </w:p>
        </w:tc>
      </w:tr>
      <w:tr w:rsidR="003A061C" w:rsidRPr="00B916EC" w14:paraId="67C26DAC" w14:textId="77777777" w:rsidTr="00326D6E">
        <w:tc>
          <w:tcPr>
            <w:tcW w:w="894" w:type="dxa"/>
            <w:shd w:val="solid" w:color="FFFFFF" w:fill="auto"/>
          </w:tcPr>
          <w:p w14:paraId="15C1763F" w14:textId="77777777" w:rsidR="003A061C" w:rsidRPr="00B916EC" w:rsidRDefault="003A061C" w:rsidP="00BC0321">
            <w:pPr>
              <w:spacing w:after="0"/>
              <w:jc w:val="center"/>
              <w:rPr>
                <w:rFonts w:ascii="Arial" w:hAnsi="Arial"/>
                <w:snapToGrid w:val="0"/>
                <w:sz w:val="16"/>
                <w:szCs w:val="16"/>
              </w:rPr>
            </w:pPr>
            <w:r w:rsidRPr="00B916EC">
              <w:rPr>
                <w:rFonts w:ascii="Arial" w:hAnsi="Arial"/>
                <w:snapToGrid w:val="0"/>
                <w:sz w:val="16"/>
                <w:szCs w:val="16"/>
              </w:rPr>
              <w:t>2017-11</w:t>
            </w:r>
          </w:p>
        </w:tc>
        <w:tc>
          <w:tcPr>
            <w:tcW w:w="899" w:type="dxa"/>
            <w:shd w:val="solid" w:color="FFFFFF" w:fill="auto"/>
          </w:tcPr>
          <w:p w14:paraId="39E203A3" w14:textId="77777777" w:rsidR="003A061C" w:rsidRPr="00B916EC" w:rsidRDefault="003A061C" w:rsidP="00BC0321">
            <w:pPr>
              <w:pStyle w:val="TAL"/>
              <w:rPr>
                <w:sz w:val="16"/>
                <w:szCs w:val="16"/>
                <w:lang w:eastAsia="zh-CN"/>
              </w:rPr>
            </w:pPr>
            <w:r w:rsidRPr="00B916EC">
              <w:rPr>
                <w:sz w:val="16"/>
                <w:szCs w:val="16"/>
                <w:lang w:eastAsia="zh-CN"/>
              </w:rPr>
              <w:t>RAN1#90bis</w:t>
            </w:r>
          </w:p>
        </w:tc>
        <w:tc>
          <w:tcPr>
            <w:tcW w:w="990" w:type="dxa"/>
            <w:shd w:val="solid" w:color="FFFFFF" w:fill="auto"/>
          </w:tcPr>
          <w:p w14:paraId="2EB25943" w14:textId="77777777" w:rsidR="003A061C" w:rsidRPr="00B916EC" w:rsidRDefault="003A061C" w:rsidP="00BC0321">
            <w:pPr>
              <w:pStyle w:val="TAL"/>
              <w:rPr>
                <w:sz w:val="16"/>
                <w:szCs w:val="16"/>
                <w:lang w:eastAsia="zh-CN"/>
              </w:rPr>
            </w:pPr>
            <w:r w:rsidRPr="00B916EC">
              <w:rPr>
                <w:sz w:val="16"/>
                <w:szCs w:val="16"/>
                <w:lang w:eastAsia="zh-CN"/>
              </w:rPr>
              <w:t>R1-1719226</w:t>
            </w:r>
          </w:p>
        </w:tc>
        <w:tc>
          <w:tcPr>
            <w:tcW w:w="500" w:type="dxa"/>
            <w:shd w:val="solid" w:color="FFFFFF" w:fill="auto"/>
          </w:tcPr>
          <w:p w14:paraId="0B17190A" w14:textId="77777777" w:rsidR="003A061C" w:rsidRPr="00B916EC" w:rsidRDefault="003A061C" w:rsidP="00BC0321">
            <w:pPr>
              <w:pStyle w:val="TAL"/>
              <w:rPr>
                <w:sz w:val="16"/>
                <w:szCs w:val="16"/>
              </w:rPr>
            </w:pPr>
          </w:p>
        </w:tc>
        <w:tc>
          <w:tcPr>
            <w:tcW w:w="440" w:type="dxa"/>
            <w:shd w:val="solid" w:color="FFFFFF" w:fill="auto"/>
          </w:tcPr>
          <w:p w14:paraId="102842DE" w14:textId="77777777" w:rsidR="003A061C" w:rsidRPr="00B916EC" w:rsidRDefault="003A061C" w:rsidP="00BC0321">
            <w:pPr>
              <w:pStyle w:val="TAL"/>
              <w:jc w:val="center"/>
              <w:rPr>
                <w:sz w:val="16"/>
                <w:szCs w:val="16"/>
              </w:rPr>
            </w:pPr>
          </w:p>
        </w:tc>
        <w:tc>
          <w:tcPr>
            <w:tcW w:w="404" w:type="dxa"/>
            <w:shd w:val="solid" w:color="FFFFFF" w:fill="auto"/>
          </w:tcPr>
          <w:p w14:paraId="7399F4E5" w14:textId="77777777" w:rsidR="003A061C" w:rsidRPr="00B916EC" w:rsidRDefault="003A061C" w:rsidP="00BC0321">
            <w:pPr>
              <w:pStyle w:val="TAL"/>
              <w:rPr>
                <w:sz w:val="16"/>
              </w:rPr>
            </w:pPr>
          </w:p>
        </w:tc>
        <w:tc>
          <w:tcPr>
            <w:tcW w:w="4536" w:type="dxa"/>
            <w:shd w:val="solid" w:color="FFFFFF" w:fill="auto"/>
            <w:vAlign w:val="center"/>
          </w:tcPr>
          <w:p w14:paraId="7454E282" w14:textId="77777777" w:rsidR="003A061C" w:rsidRPr="00B916EC" w:rsidRDefault="003A061C" w:rsidP="00BC0321">
            <w:pPr>
              <w:pStyle w:val="TAL"/>
              <w:rPr>
                <w:sz w:val="16"/>
              </w:rPr>
            </w:pPr>
            <w:r w:rsidRPr="00B916EC">
              <w:rPr>
                <w:sz w:val="16"/>
              </w:rPr>
              <w:t>Inclusion of agreements from RAN1#90bis</w:t>
            </w:r>
          </w:p>
        </w:tc>
        <w:tc>
          <w:tcPr>
            <w:tcW w:w="709" w:type="dxa"/>
            <w:shd w:val="solid" w:color="FFFFFF" w:fill="auto"/>
          </w:tcPr>
          <w:p w14:paraId="77829606" w14:textId="77777777" w:rsidR="003A061C" w:rsidRPr="00B916EC" w:rsidRDefault="003A061C" w:rsidP="00BC0321">
            <w:pPr>
              <w:pStyle w:val="TAL"/>
              <w:rPr>
                <w:sz w:val="16"/>
                <w:szCs w:val="16"/>
                <w:lang w:eastAsia="zh-CN"/>
              </w:rPr>
            </w:pPr>
            <w:r w:rsidRPr="00B916EC">
              <w:rPr>
                <w:sz w:val="16"/>
                <w:szCs w:val="16"/>
                <w:lang w:eastAsia="zh-CN"/>
              </w:rPr>
              <w:t>1.1.1</w:t>
            </w:r>
          </w:p>
        </w:tc>
      </w:tr>
      <w:tr w:rsidR="003A061C" w:rsidRPr="00B916EC" w14:paraId="262D7947" w14:textId="77777777" w:rsidTr="00326D6E">
        <w:tc>
          <w:tcPr>
            <w:tcW w:w="894" w:type="dxa"/>
            <w:shd w:val="solid" w:color="FFFFFF" w:fill="auto"/>
          </w:tcPr>
          <w:p w14:paraId="28F64550" w14:textId="77777777" w:rsidR="003A061C" w:rsidRPr="00B916EC" w:rsidRDefault="003A061C" w:rsidP="00BC0321">
            <w:pPr>
              <w:spacing w:after="0"/>
              <w:jc w:val="center"/>
              <w:rPr>
                <w:rFonts w:ascii="Arial" w:hAnsi="Arial"/>
                <w:snapToGrid w:val="0"/>
                <w:sz w:val="16"/>
                <w:szCs w:val="16"/>
              </w:rPr>
            </w:pPr>
            <w:r w:rsidRPr="00B916EC">
              <w:rPr>
                <w:rFonts w:ascii="Arial" w:hAnsi="Arial"/>
                <w:snapToGrid w:val="0"/>
                <w:sz w:val="16"/>
                <w:szCs w:val="16"/>
              </w:rPr>
              <w:t>2017-11</w:t>
            </w:r>
          </w:p>
        </w:tc>
        <w:tc>
          <w:tcPr>
            <w:tcW w:w="899" w:type="dxa"/>
            <w:shd w:val="solid" w:color="FFFFFF" w:fill="auto"/>
          </w:tcPr>
          <w:p w14:paraId="0ACDE223" w14:textId="77777777" w:rsidR="003A061C" w:rsidRPr="00B916EC" w:rsidRDefault="003A061C" w:rsidP="00BC0321">
            <w:pPr>
              <w:pStyle w:val="TAL"/>
              <w:rPr>
                <w:sz w:val="16"/>
                <w:szCs w:val="16"/>
                <w:lang w:eastAsia="zh-CN"/>
              </w:rPr>
            </w:pPr>
            <w:r w:rsidRPr="00B916EC">
              <w:rPr>
                <w:sz w:val="16"/>
                <w:szCs w:val="16"/>
                <w:lang w:eastAsia="zh-CN"/>
              </w:rPr>
              <w:t>RAN1#90bis</w:t>
            </w:r>
          </w:p>
        </w:tc>
        <w:tc>
          <w:tcPr>
            <w:tcW w:w="990" w:type="dxa"/>
            <w:shd w:val="solid" w:color="FFFFFF" w:fill="auto"/>
          </w:tcPr>
          <w:p w14:paraId="1769048D" w14:textId="77777777" w:rsidR="003A061C" w:rsidRPr="00B916EC" w:rsidRDefault="003A061C" w:rsidP="00BC0321">
            <w:pPr>
              <w:pStyle w:val="TAL"/>
              <w:rPr>
                <w:sz w:val="16"/>
                <w:szCs w:val="16"/>
                <w:lang w:eastAsia="zh-CN"/>
              </w:rPr>
            </w:pPr>
            <w:r w:rsidRPr="00B916EC">
              <w:rPr>
                <w:sz w:val="16"/>
                <w:szCs w:val="16"/>
                <w:lang w:eastAsia="zh-CN"/>
              </w:rPr>
              <w:t>R1-1719243</w:t>
            </w:r>
          </w:p>
        </w:tc>
        <w:tc>
          <w:tcPr>
            <w:tcW w:w="500" w:type="dxa"/>
            <w:shd w:val="solid" w:color="FFFFFF" w:fill="auto"/>
          </w:tcPr>
          <w:p w14:paraId="32E052AA" w14:textId="77777777" w:rsidR="003A061C" w:rsidRPr="00B916EC" w:rsidRDefault="003A061C" w:rsidP="00BC0321">
            <w:pPr>
              <w:pStyle w:val="TAL"/>
              <w:rPr>
                <w:sz w:val="16"/>
                <w:szCs w:val="16"/>
              </w:rPr>
            </w:pPr>
          </w:p>
        </w:tc>
        <w:tc>
          <w:tcPr>
            <w:tcW w:w="440" w:type="dxa"/>
            <w:shd w:val="solid" w:color="FFFFFF" w:fill="auto"/>
          </w:tcPr>
          <w:p w14:paraId="62D01B7F" w14:textId="77777777" w:rsidR="003A061C" w:rsidRPr="00B916EC" w:rsidRDefault="003A061C" w:rsidP="00BC0321">
            <w:pPr>
              <w:pStyle w:val="TAL"/>
              <w:jc w:val="center"/>
              <w:rPr>
                <w:sz w:val="16"/>
                <w:szCs w:val="16"/>
              </w:rPr>
            </w:pPr>
          </w:p>
        </w:tc>
        <w:tc>
          <w:tcPr>
            <w:tcW w:w="404" w:type="dxa"/>
            <w:shd w:val="solid" w:color="FFFFFF" w:fill="auto"/>
          </w:tcPr>
          <w:p w14:paraId="64BBCBE0" w14:textId="77777777" w:rsidR="003A061C" w:rsidRPr="00B916EC" w:rsidRDefault="003A061C" w:rsidP="00BC0321">
            <w:pPr>
              <w:pStyle w:val="TAL"/>
              <w:rPr>
                <w:sz w:val="16"/>
              </w:rPr>
            </w:pPr>
          </w:p>
        </w:tc>
        <w:tc>
          <w:tcPr>
            <w:tcW w:w="4536" w:type="dxa"/>
            <w:shd w:val="solid" w:color="FFFFFF" w:fill="auto"/>
            <w:vAlign w:val="center"/>
          </w:tcPr>
          <w:p w14:paraId="13892A11" w14:textId="77777777" w:rsidR="003A061C" w:rsidRPr="00B916EC" w:rsidRDefault="003A061C" w:rsidP="00BC0321">
            <w:pPr>
              <w:pStyle w:val="TAL"/>
              <w:rPr>
                <w:sz w:val="16"/>
              </w:rPr>
            </w:pPr>
            <w:r w:rsidRPr="00B916EC">
              <w:rPr>
                <w:sz w:val="16"/>
              </w:rPr>
              <w:t>Updated editor</w:t>
            </w:r>
            <w:r>
              <w:rPr>
                <w:sz w:val="16"/>
              </w:rPr>
              <w:t>'</w:t>
            </w:r>
            <w:r w:rsidRPr="00B916EC">
              <w:rPr>
                <w:sz w:val="16"/>
              </w:rPr>
              <w:t>s version</w:t>
            </w:r>
          </w:p>
        </w:tc>
        <w:tc>
          <w:tcPr>
            <w:tcW w:w="709" w:type="dxa"/>
            <w:shd w:val="solid" w:color="FFFFFF" w:fill="auto"/>
          </w:tcPr>
          <w:p w14:paraId="101F91EA" w14:textId="77777777" w:rsidR="003A061C" w:rsidRPr="00B916EC" w:rsidRDefault="003A061C" w:rsidP="00BC0321">
            <w:pPr>
              <w:pStyle w:val="TAL"/>
              <w:rPr>
                <w:sz w:val="16"/>
                <w:szCs w:val="16"/>
                <w:lang w:eastAsia="zh-CN"/>
              </w:rPr>
            </w:pPr>
            <w:r w:rsidRPr="00B916EC">
              <w:rPr>
                <w:sz w:val="16"/>
                <w:szCs w:val="16"/>
                <w:lang w:eastAsia="zh-CN"/>
              </w:rPr>
              <w:t>1.1.2</w:t>
            </w:r>
          </w:p>
        </w:tc>
      </w:tr>
      <w:tr w:rsidR="003A061C" w:rsidRPr="00B916EC" w14:paraId="784F6FAA" w14:textId="77777777" w:rsidTr="00326D6E">
        <w:tc>
          <w:tcPr>
            <w:tcW w:w="894" w:type="dxa"/>
            <w:shd w:val="solid" w:color="FFFFFF" w:fill="auto"/>
          </w:tcPr>
          <w:p w14:paraId="39926645" w14:textId="77777777" w:rsidR="003A061C" w:rsidRPr="00B916EC" w:rsidRDefault="003A061C" w:rsidP="00BC0321">
            <w:pPr>
              <w:spacing w:after="0"/>
              <w:jc w:val="center"/>
              <w:rPr>
                <w:rFonts w:ascii="Arial" w:hAnsi="Arial"/>
                <w:snapToGrid w:val="0"/>
                <w:sz w:val="16"/>
                <w:szCs w:val="16"/>
              </w:rPr>
            </w:pPr>
            <w:r w:rsidRPr="00B916EC">
              <w:rPr>
                <w:rFonts w:ascii="Arial" w:hAnsi="Arial"/>
                <w:snapToGrid w:val="0"/>
                <w:sz w:val="16"/>
                <w:szCs w:val="16"/>
              </w:rPr>
              <w:t>2017-11</w:t>
            </w:r>
          </w:p>
        </w:tc>
        <w:tc>
          <w:tcPr>
            <w:tcW w:w="899" w:type="dxa"/>
            <w:shd w:val="solid" w:color="FFFFFF" w:fill="auto"/>
          </w:tcPr>
          <w:p w14:paraId="406A37DD" w14:textId="77777777" w:rsidR="003A061C" w:rsidRPr="00B916EC" w:rsidRDefault="003A061C" w:rsidP="00BC0321">
            <w:pPr>
              <w:pStyle w:val="TAL"/>
              <w:rPr>
                <w:sz w:val="16"/>
                <w:szCs w:val="16"/>
                <w:lang w:eastAsia="zh-CN"/>
              </w:rPr>
            </w:pPr>
            <w:r w:rsidRPr="00B916EC">
              <w:rPr>
                <w:sz w:val="16"/>
                <w:szCs w:val="16"/>
                <w:lang w:eastAsia="zh-CN"/>
              </w:rPr>
              <w:t>RAN1#90bis</w:t>
            </w:r>
          </w:p>
        </w:tc>
        <w:tc>
          <w:tcPr>
            <w:tcW w:w="990" w:type="dxa"/>
            <w:shd w:val="solid" w:color="FFFFFF" w:fill="auto"/>
          </w:tcPr>
          <w:p w14:paraId="45EDE81C" w14:textId="77777777" w:rsidR="003A061C" w:rsidRPr="00B916EC" w:rsidRDefault="003A061C" w:rsidP="00BC0321">
            <w:pPr>
              <w:pStyle w:val="TAL"/>
              <w:rPr>
                <w:sz w:val="16"/>
                <w:szCs w:val="16"/>
                <w:lang w:eastAsia="zh-CN"/>
              </w:rPr>
            </w:pPr>
            <w:r w:rsidRPr="00B916EC">
              <w:rPr>
                <w:sz w:val="16"/>
                <w:szCs w:val="16"/>
                <w:lang w:eastAsia="zh-CN"/>
              </w:rPr>
              <w:t>R1-1721050</w:t>
            </w:r>
          </w:p>
        </w:tc>
        <w:tc>
          <w:tcPr>
            <w:tcW w:w="500" w:type="dxa"/>
            <w:shd w:val="solid" w:color="FFFFFF" w:fill="auto"/>
          </w:tcPr>
          <w:p w14:paraId="52EE574F" w14:textId="77777777" w:rsidR="003A061C" w:rsidRPr="00B916EC" w:rsidRDefault="003A061C" w:rsidP="00BC0321">
            <w:pPr>
              <w:pStyle w:val="TAL"/>
              <w:rPr>
                <w:sz w:val="16"/>
                <w:szCs w:val="16"/>
              </w:rPr>
            </w:pPr>
          </w:p>
        </w:tc>
        <w:tc>
          <w:tcPr>
            <w:tcW w:w="440" w:type="dxa"/>
            <w:shd w:val="solid" w:color="FFFFFF" w:fill="auto"/>
          </w:tcPr>
          <w:p w14:paraId="1C984313" w14:textId="77777777" w:rsidR="003A061C" w:rsidRPr="00B916EC" w:rsidRDefault="003A061C" w:rsidP="00BC0321">
            <w:pPr>
              <w:pStyle w:val="TAL"/>
              <w:jc w:val="center"/>
              <w:rPr>
                <w:sz w:val="16"/>
                <w:szCs w:val="16"/>
              </w:rPr>
            </w:pPr>
          </w:p>
        </w:tc>
        <w:tc>
          <w:tcPr>
            <w:tcW w:w="404" w:type="dxa"/>
            <w:shd w:val="solid" w:color="FFFFFF" w:fill="auto"/>
          </w:tcPr>
          <w:p w14:paraId="1851ED6C" w14:textId="77777777" w:rsidR="003A061C" w:rsidRPr="00B916EC" w:rsidRDefault="003A061C" w:rsidP="00BC0321">
            <w:pPr>
              <w:pStyle w:val="TAL"/>
              <w:rPr>
                <w:sz w:val="16"/>
              </w:rPr>
            </w:pPr>
          </w:p>
        </w:tc>
        <w:tc>
          <w:tcPr>
            <w:tcW w:w="4536" w:type="dxa"/>
            <w:shd w:val="solid" w:color="FFFFFF" w:fill="auto"/>
          </w:tcPr>
          <w:p w14:paraId="1A0E0095" w14:textId="77777777" w:rsidR="003A061C" w:rsidRPr="00B916EC" w:rsidRDefault="003A061C" w:rsidP="00BC0321">
            <w:pPr>
              <w:pStyle w:val="TAL"/>
              <w:rPr>
                <w:sz w:val="16"/>
                <w:szCs w:val="16"/>
                <w:lang w:eastAsia="zh-CN"/>
              </w:rPr>
            </w:pPr>
            <w:r w:rsidRPr="00B916EC">
              <w:rPr>
                <w:sz w:val="16"/>
              </w:rPr>
              <w:t>Endorsed by RAN1#90bis</w:t>
            </w:r>
          </w:p>
        </w:tc>
        <w:tc>
          <w:tcPr>
            <w:tcW w:w="709" w:type="dxa"/>
            <w:shd w:val="solid" w:color="FFFFFF" w:fill="auto"/>
          </w:tcPr>
          <w:p w14:paraId="26391E62" w14:textId="77777777" w:rsidR="003A061C" w:rsidRPr="00B916EC" w:rsidRDefault="003A061C" w:rsidP="00BC0321">
            <w:pPr>
              <w:pStyle w:val="TAL"/>
              <w:rPr>
                <w:sz w:val="16"/>
                <w:szCs w:val="16"/>
                <w:lang w:eastAsia="zh-CN"/>
              </w:rPr>
            </w:pPr>
            <w:r w:rsidRPr="00B916EC">
              <w:rPr>
                <w:sz w:val="16"/>
                <w:szCs w:val="16"/>
                <w:lang w:eastAsia="zh-CN"/>
              </w:rPr>
              <w:t>1.2.0</w:t>
            </w:r>
          </w:p>
        </w:tc>
      </w:tr>
      <w:tr w:rsidR="003A061C" w:rsidRPr="00B916EC" w14:paraId="5BF1C092" w14:textId="77777777" w:rsidTr="00326D6E">
        <w:tc>
          <w:tcPr>
            <w:tcW w:w="894" w:type="dxa"/>
            <w:shd w:val="solid" w:color="FFFFFF" w:fill="auto"/>
          </w:tcPr>
          <w:p w14:paraId="1A7BB356" w14:textId="77777777" w:rsidR="003A061C" w:rsidRPr="00B916EC" w:rsidRDefault="003A061C" w:rsidP="00BC0321">
            <w:pPr>
              <w:spacing w:after="0"/>
              <w:jc w:val="center"/>
              <w:rPr>
                <w:rFonts w:ascii="Arial" w:hAnsi="Arial"/>
                <w:snapToGrid w:val="0"/>
                <w:sz w:val="16"/>
                <w:szCs w:val="16"/>
              </w:rPr>
            </w:pPr>
            <w:r w:rsidRPr="00B916EC">
              <w:rPr>
                <w:rFonts w:ascii="Arial" w:hAnsi="Arial"/>
                <w:snapToGrid w:val="0"/>
                <w:sz w:val="16"/>
                <w:szCs w:val="16"/>
              </w:rPr>
              <w:t>2017-12</w:t>
            </w:r>
          </w:p>
        </w:tc>
        <w:tc>
          <w:tcPr>
            <w:tcW w:w="899" w:type="dxa"/>
            <w:shd w:val="solid" w:color="FFFFFF" w:fill="auto"/>
          </w:tcPr>
          <w:p w14:paraId="169BB759" w14:textId="77777777" w:rsidR="003A061C" w:rsidRPr="00B916EC" w:rsidRDefault="003A061C" w:rsidP="00BC0321">
            <w:pPr>
              <w:pStyle w:val="TAL"/>
              <w:rPr>
                <w:sz w:val="16"/>
                <w:szCs w:val="16"/>
                <w:lang w:eastAsia="zh-CN"/>
              </w:rPr>
            </w:pPr>
            <w:r w:rsidRPr="00B916EC">
              <w:rPr>
                <w:sz w:val="16"/>
                <w:szCs w:val="16"/>
                <w:lang w:eastAsia="zh-CN"/>
              </w:rPr>
              <w:t>RAN1#91</w:t>
            </w:r>
          </w:p>
        </w:tc>
        <w:tc>
          <w:tcPr>
            <w:tcW w:w="990" w:type="dxa"/>
            <w:shd w:val="solid" w:color="FFFFFF" w:fill="auto"/>
          </w:tcPr>
          <w:p w14:paraId="6ED58149" w14:textId="77777777" w:rsidR="003A061C" w:rsidRPr="00B916EC" w:rsidRDefault="003A061C" w:rsidP="00BC0321">
            <w:pPr>
              <w:pStyle w:val="TAL"/>
              <w:rPr>
                <w:sz w:val="16"/>
                <w:szCs w:val="16"/>
                <w:lang w:eastAsia="zh-CN"/>
              </w:rPr>
            </w:pPr>
            <w:r>
              <w:rPr>
                <w:sz w:val="16"/>
                <w:szCs w:val="16"/>
                <w:lang w:eastAsia="zh-CN"/>
              </w:rPr>
              <w:t>R1-1721343</w:t>
            </w:r>
          </w:p>
        </w:tc>
        <w:tc>
          <w:tcPr>
            <w:tcW w:w="500" w:type="dxa"/>
            <w:shd w:val="solid" w:color="FFFFFF" w:fill="auto"/>
          </w:tcPr>
          <w:p w14:paraId="0FCDB0F4" w14:textId="77777777" w:rsidR="003A061C" w:rsidRPr="00B916EC" w:rsidRDefault="003A061C" w:rsidP="00BC0321">
            <w:pPr>
              <w:pStyle w:val="TAL"/>
              <w:rPr>
                <w:sz w:val="16"/>
                <w:szCs w:val="16"/>
              </w:rPr>
            </w:pPr>
          </w:p>
        </w:tc>
        <w:tc>
          <w:tcPr>
            <w:tcW w:w="440" w:type="dxa"/>
            <w:shd w:val="solid" w:color="FFFFFF" w:fill="auto"/>
          </w:tcPr>
          <w:p w14:paraId="610A359D" w14:textId="77777777" w:rsidR="003A061C" w:rsidRPr="00B916EC" w:rsidRDefault="003A061C" w:rsidP="00BC0321">
            <w:pPr>
              <w:pStyle w:val="TAL"/>
              <w:jc w:val="center"/>
              <w:rPr>
                <w:sz w:val="16"/>
                <w:szCs w:val="16"/>
              </w:rPr>
            </w:pPr>
          </w:p>
        </w:tc>
        <w:tc>
          <w:tcPr>
            <w:tcW w:w="404" w:type="dxa"/>
            <w:shd w:val="solid" w:color="FFFFFF" w:fill="auto"/>
          </w:tcPr>
          <w:p w14:paraId="5FB7B1FB" w14:textId="77777777" w:rsidR="003A061C" w:rsidRPr="00B916EC" w:rsidRDefault="003A061C" w:rsidP="00BC0321">
            <w:pPr>
              <w:pStyle w:val="TAL"/>
              <w:rPr>
                <w:sz w:val="16"/>
              </w:rPr>
            </w:pPr>
          </w:p>
        </w:tc>
        <w:tc>
          <w:tcPr>
            <w:tcW w:w="4536" w:type="dxa"/>
            <w:shd w:val="solid" w:color="FFFFFF" w:fill="auto"/>
            <w:vAlign w:val="center"/>
          </w:tcPr>
          <w:p w14:paraId="2533E43E" w14:textId="77777777" w:rsidR="003A061C" w:rsidRPr="00B916EC" w:rsidRDefault="003A061C" w:rsidP="00BC0321">
            <w:pPr>
              <w:pStyle w:val="TAL"/>
              <w:rPr>
                <w:sz w:val="16"/>
              </w:rPr>
            </w:pPr>
            <w:r w:rsidRPr="00B916EC">
              <w:rPr>
                <w:sz w:val="16"/>
              </w:rPr>
              <w:t>Inclusion of agreements from RAN1#91</w:t>
            </w:r>
          </w:p>
        </w:tc>
        <w:tc>
          <w:tcPr>
            <w:tcW w:w="709" w:type="dxa"/>
            <w:shd w:val="solid" w:color="FFFFFF" w:fill="auto"/>
          </w:tcPr>
          <w:p w14:paraId="52C7F43E" w14:textId="77777777" w:rsidR="003A061C" w:rsidRPr="00B916EC" w:rsidRDefault="003A061C" w:rsidP="00BC0321">
            <w:pPr>
              <w:pStyle w:val="TAL"/>
              <w:rPr>
                <w:sz w:val="16"/>
                <w:szCs w:val="16"/>
                <w:lang w:eastAsia="zh-CN"/>
              </w:rPr>
            </w:pPr>
            <w:r w:rsidRPr="00B916EC">
              <w:rPr>
                <w:sz w:val="16"/>
                <w:szCs w:val="16"/>
                <w:lang w:eastAsia="zh-CN"/>
              </w:rPr>
              <w:t>1.</w:t>
            </w:r>
            <w:r>
              <w:rPr>
                <w:sz w:val="16"/>
                <w:szCs w:val="16"/>
                <w:lang w:eastAsia="zh-CN"/>
              </w:rPr>
              <w:t>3</w:t>
            </w:r>
            <w:r w:rsidRPr="00B916EC">
              <w:rPr>
                <w:sz w:val="16"/>
                <w:szCs w:val="16"/>
                <w:lang w:eastAsia="zh-CN"/>
              </w:rPr>
              <w:t>.</w:t>
            </w:r>
            <w:r>
              <w:rPr>
                <w:sz w:val="16"/>
                <w:szCs w:val="16"/>
                <w:lang w:eastAsia="zh-CN"/>
              </w:rPr>
              <w:t>0</w:t>
            </w:r>
          </w:p>
        </w:tc>
      </w:tr>
      <w:tr w:rsidR="003A061C" w:rsidRPr="00B916EC" w14:paraId="15DEBA89" w14:textId="77777777" w:rsidTr="00326D6E">
        <w:tc>
          <w:tcPr>
            <w:tcW w:w="894" w:type="dxa"/>
            <w:tcBorders>
              <w:top w:val="single" w:sz="6" w:space="0" w:color="auto"/>
              <w:left w:val="single" w:sz="6" w:space="0" w:color="auto"/>
              <w:bottom w:val="single" w:sz="6" w:space="0" w:color="auto"/>
              <w:right w:val="single" w:sz="6" w:space="0" w:color="auto"/>
            </w:tcBorders>
            <w:shd w:val="solid" w:color="FFFFFF" w:fill="auto"/>
          </w:tcPr>
          <w:p w14:paraId="647576E8" w14:textId="77777777" w:rsidR="003A061C" w:rsidRPr="00B916EC" w:rsidRDefault="003A061C" w:rsidP="00BC0321">
            <w:pPr>
              <w:spacing w:after="0"/>
              <w:jc w:val="center"/>
              <w:rPr>
                <w:rFonts w:ascii="Arial" w:hAnsi="Arial"/>
                <w:snapToGrid w:val="0"/>
                <w:sz w:val="16"/>
                <w:szCs w:val="16"/>
              </w:rPr>
            </w:pPr>
            <w:r w:rsidRPr="00B916EC">
              <w:rPr>
                <w:rFonts w:ascii="Arial" w:hAnsi="Arial"/>
                <w:snapToGrid w:val="0"/>
                <w:sz w:val="16"/>
                <w:szCs w:val="16"/>
              </w:rPr>
              <w:t>2017-12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95F8245" w14:textId="77777777" w:rsidR="003A061C" w:rsidRPr="00B916EC" w:rsidRDefault="003A061C" w:rsidP="00BC0321">
            <w:pPr>
              <w:pStyle w:val="TAL"/>
              <w:rPr>
                <w:sz w:val="16"/>
                <w:szCs w:val="16"/>
                <w:lang w:eastAsia="zh-CN"/>
              </w:rPr>
            </w:pPr>
            <w:r w:rsidRPr="00B916EC">
              <w:rPr>
                <w:sz w:val="16"/>
                <w:szCs w:val="16"/>
                <w:lang w:eastAsia="zh-CN"/>
              </w:rPr>
              <w:t>RAN#</w:t>
            </w:r>
            <w:r>
              <w:rPr>
                <w:sz w:val="16"/>
                <w:szCs w:val="16"/>
                <w:lang w:eastAsia="zh-CN"/>
              </w:rPr>
              <w:t>78</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0153855" w14:textId="77777777" w:rsidR="003A061C" w:rsidRPr="00B916EC" w:rsidRDefault="003A061C" w:rsidP="00BC0321">
            <w:pPr>
              <w:pStyle w:val="TAL"/>
              <w:rPr>
                <w:sz w:val="16"/>
                <w:szCs w:val="16"/>
                <w:lang w:eastAsia="zh-CN"/>
              </w:rPr>
            </w:pPr>
            <w:r>
              <w:rPr>
                <w:sz w:val="16"/>
                <w:szCs w:val="16"/>
                <w:lang w:eastAsia="zh-CN"/>
              </w:rPr>
              <w:t>RP-172703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91ECF40" w14:textId="77777777" w:rsidR="003A061C" w:rsidRPr="00B916EC" w:rsidRDefault="003A061C" w:rsidP="00BC0321">
            <w:pPr>
              <w:pStyle w:val="TAL"/>
              <w:rPr>
                <w:sz w:val="16"/>
                <w:szCs w:val="16"/>
              </w:rPr>
            </w:pP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E0190D4" w14:textId="77777777" w:rsidR="003A061C" w:rsidRPr="00B916EC" w:rsidRDefault="003A061C" w:rsidP="00BC0321">
            <w:pPr>
              <w:pStyle w:val="TAL"/>
              <w:jc w:val="center"/>
              <w:rPr>
                <w:sz w:val="16"/>
                <w:szCs w:val="16"/>
              </w:rPr>
            </w:pP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D1E1943" w14:textId="77777777" w:rsidR="003A061C" w:rsidRDefault="003A061C" w:rsidP="00BC0321">
            <w:pPr>
              <w:pStyle w:val="TAL"/>
              <w:rPr>
                <w:sz w:val="16"/>
              </w:rPr>
            </w:pP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6BC101C" w14:textId="77777777" w:rsidR="003A061C" w:rsidRPr="00B916EC" w:rsidRDefault="003A061C" w:rsidP="00BC0321">
            <w:pPr>
              <w:pStyle w:val="TAL"/>
              <w:rPr>
                <w:sz w:val="16"/>
              </w:rPr>
            </w:pPr>
            <w:r>
              <w:rPr>
                <w:sz w:val="16"/>
              </w:rPr>
              <w:t>Endorsed version for approval by plenary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7C2C3CF" w14:textId="77777777" w:rsidR="003A061C" w:rsidRPr="00B916EC" w:rsidRDefault="003A061C" w:rsidP="00BC0321">
            <w:pPr>
              <w:pStyle w:val="TAL"/>
              <w:rPr>
                <w:sz w:val="16"/>
                <w:szCs w:val="16"/>
                <w:lang w:eastAsia="zh-CN"/>
              </w:rPr>
            </w:pPr>
            <w:r>
              <w:rPr>
                <w:sz w:val="16"/>
                <w:szCs w:val="16"/>
                <w:lang w:eastAsia="zh-CN"/>
              </w:rPr>
              <w:t>2.0.0</w:t>
            </w:r>
          </w:p>
        </w:tc>
      </w:tr>
      <w:tr w:rsidR="003A061C" w:rsidRPr="00B916EC" w14:paraId="13651416" w14:textId="77777777" w:rsidTr="00326D6E">
        <w:tc>
          <w:tcPr>
            <w:tcW w:w="894" w:type="dxa"/>
            <w:tcBorders>
              <w:top w:val="single" w:sz="6" w:space="0" w:color="auto"/>
              <w:left w:val="single" w:sz="6" w:space="0" w:color="auto"/>
              <w:bottom w:val="single" w:sz="6" w:space="0" w:color="auto"/>
              <w:right w:val="single" w:sz="6" w:space="0" w:color="auto"/>
            </w:tcBorders>
            <w:shd w:val="solid" w:color="FFFFFF" w:fill="auto"/>
          </w:tcPr>
          <w:p w14:paraId="1CA6E78C" w14:textId="77777777" w:rsidR="003A061C" w:rsidRPr="00B916EC" w:rsidRDefault="003A061C" w:rsidP="00BC0321">
            <w:pPr>
              <w:spacing w:after="0"/>
              <w:jc w:val="center"/>
              <w:rPr>
                <w:rFonts w:ascii="Arial" w:hAnsi="Arial"/>
                <w:snapToGrid w:val="0"/>
                <w:sz w:val="16"/>
                <w:szCs w:val="16"/>
              </w:rPr>
            </w:pPr>
            <w:r w:rsidRPr="00B916EC">
              <w:rPr>
                <w:rFonts w:ascii="Arial" w:hAnsi="Arial"/>
                <w:snapToGrid w:val="0"/>
                <w:sz w:val="16"/>
                <w:szCs w:val="16"/>
              </w:rPr>
              <w:t>2017-12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A0DAE2A" w14:textId="77777777" w:rsidR="003A061C" w:rsidRPr="00B916EC" w:rsidRDefault="003A061C" w:rsidP="00BC0321">
            <w:pPr>
              <w:pStyle w:val="TAL"/>
              <w:rPr>
                <w:sz w:val="16"/>
                <w:szCs w:val="16"/>
                <w:lang w:eastAsia="zh-CN"/>
              </w:rPr>
            </w:pPr>
            <w:r w:rsidRPr="00B916EC">
              <w:rPr>
                <w:sz w:val="16"/>
                <w:szCs w:val="16"/>
                <w:lang w:eastAsia="zh-CN"/>
              </w:rPr>
              <w:t>RAN#</w:t>
            </w:r>
            <w:r>
              <w:rPr>
                <w:sz w:val="16"/>
                <w:szCs w:val="16"/>
                <w:lang w:eastAsia="zh-CN"/>
              </w:rPr>
              <w:t>78</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9DF65F7" w14:textId="77777777" w:rsidR="003A061C" w:rsidRPr="00B916EC" w:rsidRDefault="003A061C" w:rsidP="00BC0321">
            <w:pPr>
              <w:pStyle w:val="TAL"/>
              <w:rPr>
                <w:sz w:val="16"/>
                <w:szCs w:val="16"/>
                <w:lang w:eastAsia="zh-CN"/>
              </w:rPr>
            </w:pP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A576D00" w14:textId="77777777" w:rsidR="003A061C" w:rsidRPr="00B916EC" w:rsidRDefault="003A061C" w:rsidP="00BC0321">
            <w:pPr>
              <w:pStyle w:val="TAL"/>
              <w:rPr>
                <w:sz w:val="16"/>
                <w:szCs w:val="16"/>
              </w:rPr>
            </w:pP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6FD82A6" w14:textId="77777777" w:rsidR="003A061C" w:rsidRPr="00B916EC" w:rsidRDefault="003A061C" w:rsidP="00BC0321">
            <w:pPr>
              <w:pStyle w:val="TAL"/>
              <w:jc w:val="center"/>
              <w:rPr>
                <w:sz w:val="16"/>
                <w:szCs w:val="16"/>
              </w:rPr>
            </w:pP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689F87E" w14:textId="77777777" w:rsidR="003A061C" w:rsidRDefault="003A061C" w:rsidP="00BC0321">
            <w:pPr>
              <w:pStyle w:val="TAL"/>
              <w:rPr>
                <w:sz w:val="16"/>
              </w:rPr>
            </w:pP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60EB99D" w14:textId="77777777" w:rsidR="003A061C" w:rsidRPr="00B916EC" w:rsidRDefault="003A061C" w:rsidP="00BC0321">
            <w:pPr>
              <w:pStyle w:val="TAL"/>
              <w:rPr>
                <w:sz w:val="16"/>
              </w:rPr>
            </w:pPr>
            <w:r>
              <w:rPr>
                <w:sz w:val="16"/>
              </w:rPr>
              <w:t>Approved by plenary – Rel-15 spec under change control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DF38C95" w14:textId="77777777" w:rsidR="003A061C" w:rsidRPr="00B916EC" w:rsidRDefault="003A061C" w:rsidP="00BC0321">
            <w:pPr>
              <w:pStyle w:val="TAL"/>
              <w:rPr>
                <w:sz w:val="16"/>
                <w:szCs w:val="16"/>
                <w:lang w:eastAsia="zh-CN"/>
              </w:rPr>
            </w:pPr>
            <w:r>
              <w:rPr>
                <w:sz w:val="16"/>
                <w:szCs w:val="16"/>
                <w:lang w:eastAsia="zh-CN"/>
              </w:rPr>
              <w:t>15.0.0</w:t>
            </w:r>
          </w:p>
        </w:tc>
      </w:tr>
      <w:tr w:rsidR="003A061C" w:rsidRPr="00B916EC" w14:paraId="2CF046F4" w14:textId="77777777" w:rsidTr="00326D6E">
        <w:tc>
          <w:tcPr>
            <w:tcW w:w="894" w:type="dxa"/>
            <w:tcBorders>
              <w:top w:val="single" w:sz="6" w:space="0" w:color="auto"/>
              <w:left w:val="single" w:sz="6" w:space="0" w:color="auto"/>
              <w:bottom w:val="single" w:sz="6" w:space="0" w:color="auto"/>
              <w:right w:val="single" w:sz="6" w:space="0" w:color="auto"/>
            </w:tcBorders>
            <w:shd w:val="solid" w:color="FFFFFF" w:fill="auto"/>
          </w:tcPr>
          <w:p w14:paraId="27C04F4F" w14:textId="77777777" w:rsidR="003A061C" w:rsidRPr="00B916EC" w:rsidRDefault="003A061C"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8</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7AF4FD6" w14:textId="77777777" w:rsidR="003A061C" w:rsidRPr="00B916EC" w:rsidRDefault="003A061C" w:rsidP="00BC0321">
            <w:pPr>
              <w:pStyle w:val="TAL"/>
              <w:rPr>
                <w:sz w:val="16"/>
                <w:szCs w:val="16"/>
                <w:lang w:eastAsia="zh-CN"/>
              </w:rPr>
            </w:pPr>
            <w:r w:rsidRPr="00B916EC">
              <w:rPr>
                <w:sz w:val="16"/>
                <w:szCs w:val="16"/>
                <w:lang w:eastAsia="zh-CN"/>
              </w:rPr>
              <w:t>RAN#</w:t>
            </w:r>
            <w:r>
              <w:rPr>
                <w:sz w:val="16"/>
                <w:szCs w:val="16"/>
                <w:lang w:eastAsia="zh-CN"/>
              </w:rPr>
              <w:t>79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B9678D1" w14:textId="77777777" w:rsidR="003A061C" w:rsidRPr="00B916EC" w:rsidRDefault="003A061C" w:rsidP="00BC0321">
            <w:pPr>
              <w:pStyle w:val="TAL"/>
              <w:rPr>
                <w:sz w:val="16"/>
                <w:szCs w:val="16"/>
                <w:lang w:eastAsia="zh-CN"/>
              </w:rPr>
            </w:pPr>
            <w:r>
              <w:rPr>
                <w:sz w:val="16"/>
                <w:szCs w:val="16"/>
                <w:lang w:eastAsia="zh-CN"/>
              </w:rPr>
              <w:t>RP-180200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6A5CCFC" w14:textId="77777777" w:rsidR="003A061C" w:rsidRPr="00B916EC" w:rsidRDefault="003A061C" w:rsidP="00BC0321">
            <w:pPr>
              <w:pStyle w:val="TAL"/>
              <w:rPr>
                <w:sz w:val="16"/>
                <w:szCs w:val="16"/>
              </w:rPr>
            </w:pPr>
            <w:r>
              <w:rPr>
                <w:sz w:val="16"/>
                <w:szCs w:val="16"/>
              </w:rPr>
              <w:t>0001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1B597F7" w14:textId="77777777" w:rsidR="003A061C" w:rsidRPr="00B916EC" w:rsidRDefault="003A061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E93D651" w14:textId="77777777" w:rsidR="003A061C" w:rsidRPr="00282C81" w:rsidRDefault="003A061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891B75E" w14:textId="77777777" w:rsidR="003A061C" w:rsidRPr="00B916EC" w:rsidRDefault="003A061C" w:rsidP="00BC0321">
            <w:pPr>
              <w:pStyle w:val="TAL"/>
              <w:rPr>
                <w:sz w:val="16"/>
              </w:rPr>
            </w:pPr>
            <w:r w:rsidRPr="00282C81">
              <w:rPr>
                <w:sz w:val="16"/>
              </w:rPr>
              <w:t>CR capturing the NR ad-hoc 1801 and RAN1#92 meeting agreements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934781A" w14:textId="77777777" w:rsidR="003A061C" w:rsidRPr="00B916EC" w:rsidRDefault="003A061C" w:rsidP="00BC0321">
            <w:pPr>
              <w:pStyle w:val="TAL"/>
              <w:rPr>
                <w:sz w:val="16"/>
                <w:szCs w:val="16"/>
                <w:lang w:eastAsia="zh-CN"/>
              </w:rPr>
            </w:pPr>
            <w:r>
              <w:rPr>
                <w:sz w:val="16"/>
                <w:szCs w:val="16"/>
                <w:lang w:eastAsia="zh-CN"/>
              </w:rPr>
              <w:t>15.1.0</w:t>
            </w:r>
          </w:p>
        </w:tc>
      </w:tr>
      <w:tr w:rsidR="003A061C" w:rsidRPr="00B916EC" w14:paraId="42032BAE" w14:textId="77777777" w:rsidTr="00326D6E">
        <w:tc>
          <w:tcPr>
            <w:tcW w:w="894" w:type="dxa"/>
            <w:tcBorders>
              <w:top w:val="single" w:sz="6" w:space="0" w:color="auto"/>
              <w:left w:val="single" w:sz="6" w:space="0" w:color="auto"/>
              <w:bottom w:val="single" w:sz="6" w:space="0" w:color="auto"/>
              <w:right w:val="single" w:sz="6" w:space="0" w:color="auto"/>
            </w:tcBorders>
            <w:shd w:val="solid" w:color="FFFFFF" w:fill="auto"/>
          </w:tcPr>
          <w:p w14:paraId="18DEB963" w14:textId="77777777" w:rsidR="003A061C" w:rsidRPr="00B916EC" w:rsidRDefault="003A061C"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8</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37ACE07" w14:textId="77777777" w:rsidR="003A061C" w:rsidRPr="00B916EC" w:rsidRDefault="003A061C" w:rsidP="00BC0321">
            <w:pPr>
              <w:pStyle w:val="TAL"/>
              <w:rPr>
                <w:sz w:val="16"/>
                <w:szCs w:val="16"/>
                <w:lang w:eastAsia="zh-CN"/>
              </w:rPr>
            </w:pPr>
            <w:r w:rsidRPr="00B916EC">
              <w:rPr>
                <w:sz w:val="16"/>
                <w:szCs w:val="16"/>
                <w:lang w:eastAsia="zh-CN"/>
              </w:rPr>
              <w:t>RAN#</w:t>
            </w:r>
            <w:r>
              <w:rPr>
                <w:sz w:val="16"/>
                <w:szCs w:val="16"/>
                <w:lang w:eastAsia="zh-CN"/>
              </w:rPr>
              <w:t>80</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93EABD4" w14:textId="77777777" w:rsidR="003A061C" w:rsidRPr="00B916EC" w:rsidRDefault="003A061C" w:rsidP="00BC0321">
            <w:pPr>
              <w:pStyle w:val="TAL"/>
              <w:rPr>
                <w:sz w:val="16"/>
                <w:szCs w:val="16"/>
                <w:lang w:eastAsia="zh-CN"/>
              </w:rPr>
            </w:pPr>
            <w:r>
              <w:rPr>
                <w:sz w:val="16"/>
                <w:szCs w:val="16"/>
                <w:lang w:eastAsia="zh-CN"/>
              </w:rPr>
              <w:t>RP-181172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45289DB" w14:textId="77777777" w:rsidR="003A061C" w:rsidRPr="00B916EC" w:rsidRDefault="003A061C" w:rsidP="00BC0321">
            <w:pPr>
              <w:pStyle w:val="TAL"/>
              <w:rPr>
                <w:sz w:val="16"/>
                <w:szCs w:val="16"/>
              </w:rPr>
            </w:pPr>
            <w:r>
              <w:rPr>
                <w:sz w:val="16"/>
                <w:szCs w:val="16"/>
              </w:rPr>
              <w:t>0002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D7F65FC" w14:textId="77777777" w:rsidR="003A061C" w:rsidRPr="00B916EC" w:rsidRDefault="003A061C"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B783CB5" w14:textId="77777777" w:rsidR="003A061C" w:rsidRPr="00EF35F1" w:rsidRDefault="003A061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EBD9C29" w14:textId="77777777" w:rsidR="003A061C" w:rsidRPr="00B916EC" w:rsidRDefault="003A061C" w:rsidP="00BC0321">
            <w:pPr>
              <w:pStyle w:val="TAL"/>
              <w:rPr>
                <w:sz w:val="16"/>
              </w:rPr>
            </w:pPr>
            <w:r w:rsidRPr="00EF35F1">
              <w:rPr>
                <w:sz w:val="16"/>
              </w:rPr>
              <w:t>CR to TS 38.213 capturing the RAN1#92bis and RAN1#93 meeting agreements and aligning higher layer parameters with TS 38.331</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B1C9168" w14:textId="77777777" w:rsidR="003A061C" w:rsidRPr="00B916EC" w:rsidRDefault="003A061C" w:rsidP="00BC0321">
            <w:pPr>
              <w:pStyle w:val="TAL"/>
              <w:rPr>
                <w:sz w:val="16"/>
                <w:szCs w:val="16"/>
                <w:lang w:eastAsia="zh-CN"/>
              </w:rPr>
            </w:pPr>
            <w:r>
              <w:rPr>
                <w:sz w:val="16"/>
                <w:szCs w:val="16"/>
                <w:lang w:eastAsia="zh-CN"/>
              </w:rPr>
              <w:t>15.2.0</w:t>
            </w:r>
          </w:p>
        </w:tc>
      </w:tr>
      <w:tr w:rsidR="003A061C" w:rsidRPr="00B916EC" w14:paraId="1AEE60E5" w14:textId="77777777" w:rsidTr="00326D6E">
        <w:tc>
          <w:tcPr>
            <w:tcW w:w="894" w:type="dxa"/>
            <w:tcBorders>
              <w:top w:val="single" w:sz="6" w:space="0" w:color="auto"/>
              <w:left w:val="single" w:sz="6" w:space="0" w:color="auto"/>
              <w:bottom w:val="single" w:sz="6" w:space="0" w:color="auto"/>
              <w:right w:val="single" w:sz="6" w:space="0" w:color="auto"/>
            </w:tcBorders>
            <w:shd w:val="solid" w:color="FFFFFF" w:fill="auto"/>
          </w:tcPr>
          <w:p w14:paraId="0EAF9771" w14:textId="77777777" w:rsidR="003A061C" w:rsidRPr="00B916EC" w:rsidRDefault="003A061C"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8</w:t>
            </w:r>
            <w:r w:rsidRPr="00B916EC">
              <w:rPr>
                <w:rFonts w:ascii="Arial" w:hAnsi="Arial"/>
                <w:snapToGrid w:val="0"/>
                <w:sz w:val="16"/>
                <w:szCs w:val="16"/>
              </w:rPr>
              <w:t>-</w:t>
            </w:r>
            <w:r>
              <w:rPr>
                <w:rFonts w:ascii="Arial" w:hAnsi="Arial"/>
                <w:snapToGrid w:val="0"/>
                <w:sz w:val="16"/>
                <w:szCs w:val="16"/>
              </w:rPr>
              <w:t>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1518CBE" w14:textId="77777777" w:rsidR="003A061C" w:rsidRPr="00B916EC" w:rsidRDefault="003A061C" w:rsidP="00BC0321">
            <w:pPr>
              <w:pStyle w:val="TAL"/>
              <w:rPr>
                <w:sz w:val="16"/>
                <w:szCs w:val="16"/>
                <w:lang w:eastAsia="zh-CN"/>
              </w:rPr>
            </w:pPr>
            <w:r w:rsidRPr="00B916EC">
              <w:rPr>
                <w:sz w:val="16"/>
                <w:szCs w:val="16"/>
                <w:lang w:eastAsia="zh-CN"/>
              </w:rPr>
              <w:t>RAN#</w:t>
            </w:r>
            <w:r>
              <w:rPr>
                <w:sz w:val="16"/>
                <w:szCs w:val="16"/>
                <w:lang w:eastAsia="zh-CN"/>
              </w:rPr>
              <w:t>81</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090FB77" w14:textId="77777777" w:rsidR="003A061C" w:rsidRPr="00B916EC" w:rsidRDefault="003A061C" w:rsidP="00BC0321">
            <w:pPr>
              <w:pStyle w:val="TAL"/>
              <w:rPr>
                <w:sz w:val="16"/>
                <w:szCs w:val="16"/>
                <w:lang w:eastAsia="zh-CN"/>
              </w:rPr>
            </w:pPr>
            <w:r>
              <w:rPr>
                <w:sz w:val="16"/>
                <w:szCs w:val="16"/>
                <w:lang w:eastAsia="zh-CN"/>
              </w:rPr>
              <w:t>RP-181789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50BBEAD" w14:textId="77777777" w:rsidR="003A061C" w:rsidRPr="00B916EC" w:rsidRDefault="003A061C" w:rsidP="00BC0321">
            <w:pPr>
              <w:pStyle w:val="TAL"/>
              <w:rPr>
                <w:sz w:val="16"/>
                <w:szCs w:val="16"/>
              </w:rPr>
            </w:pPr>
            <w:r>
              <w:rPr>
                <w:sz w:val="16"/>
                <w:szCs w:val="16"/>
              </w:rPr>
              <w:t>0005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E9ECBE6" w14:textId="77777777" w:rsidR="003A061C" w:rsidRPr="00B916EC" w:rsidRDefault="003A061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D011F01" w14:textId="77777777" w:rsidR="003A061C" w:rsidRPr="00B21661" w:rsidRDefault="003A061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F0F4B4C" w14:textId="77777777" w:rsidR="003A061C" w:rsidRPr="00B916EC" w:rsidRDefault="003A061C" w:rsidP="00BC0321">
            <w:pPr>
              <w:pStyle w:val="TAL"/>
              <w:rPr>
                <w:sz w:val="16"/>
              </w:rPr>
            </w:pPr>
            <w:r w:rsidRPr="00B21661">
              <w:rPr>
                <w:sz w:val="16"/>
              </w:rPr>
              <w:t>CR to 38.213 capturing the RAN1#94 meeting agreements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C86598" w14:textId="77777777" w:rsidR="003A061C" w:rsidRPr="00B916EC" w:rsidRDefault="003A061C" w:rsidP="00BC0321">
            <w:pPr>
              <w:pStyle w:val="TAL"/>
              <w:rPr>
                <w:sz w:val="16"/>
                <w:szCs w:val="16"/>
                <w:lang w:eastAsia="zh-CN"/>
              </w:rPr>
            </w:pPr>
            <w:r>
              <w:rPr>
                <w:sz w:val="16"/>
                <w:szCs w:val="16"/>
                <w:lang w:eastAsia="zh-CN"/>
              </w:rPr>
              <w:t>15.3.0</w:t>
            </w:r>
          </w:p>
        </w:tc>
      </w:tr>
      <w:tr w:rsidR="003A061C" w:rsidRPr="00B916EC" w14:paraId="00BB4B81" w14:textId="77777777" w:rsidTr="00326D6E">
        <w:tc>
          <w:tcPr>
            <w:tcW w:w="894" w:type="dxa"/>
            <w:tcBorders>
              <w:top w:val="single" w:sz="6" w:space="0" w:color="auto"/>
              <w:left w:val="single" w:sz="6" w:space="0" w:color="auto"/>
              <w:bottom w:val="single" w:sz="6" w:space="0" w:color="auto"/>
              <w:right w:val="single" w:sz="6" w:space="0" w:color="auto"/>
            </w:tcBorders>
            <w:shd w:val="solid" w:color="FFFFFF" w:fill="auto"/>
          </w:tcPr>
          <w:p w14:paraId="46080184" w14:textId="77777777" w:rsidR="003A061C" w:rsidRPr="00B916EC" w:rsidRDefault="003A061C"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8</w:t>
            </w:r>
            <w:r w:rsidRPr="00B916EC">
              <w:rPr>
                <w:rFonts w:ascii="Arial" w:hAnsi="Arial"/>
                <w:snapToGrid w:val="0"/>
                <w:sz w:val="16"/>
                <w:szCs w:val="16"/>
              </w:rPr>
              <w:t>-</w:t>
            </w:r>
            <w:r>
              <w:rPr>
                <w:rFonts w:ascii="Arial" w:hAnsi="Arial"/>
                <w:snapToGrid w:val="0"/>
                <w:sz w:val="16"/>
                <w:szCs w:val="16"/>
              </w:rPr>
              <w:t>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C2EF401" w14:textId="77777777" w:rsidR="003A061C" w:rsidRPr="00B916EC" w:rsidRDefault="003A061C" w:rsidP="00BC0321">
            <w:pPr>
              <w:pStyle w:val="TAL"/>
              <w:rPr>
                <w:sz w:val="16"/>
                <w:szCs w:val="16"/>
                <w:lang w:eastAsia="zh-CN"/>
              </w:rPr>
            </w:pPr>
            <w:r w:rsidRPr="00B916EC">
              <w:rPr>
                <w:sz w:val="16"/>
                <w:szCs w:val="16"/>
                <w:lang w:eastAsia="zh-CN"/>
              </w:rPr>
              <w:t>RAN#</w:t>
            </w:r>
            <w:r>
              <w:rPr>
                <w:sz w:val="16"/>
                <w:szCs w:val="16"/>
                <w:lang w:eastAsia="zh-CN"/>
              </w:rPr>
              <w:t>81</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053960A" w14:textId="77777777" w:rsidR="003A061C" w:rsidRPr="00B916EC" w:rsidRDefault="003A061C" w:rsidP="00BC0321">
            <w:pPr>
              <w:pStyle w:val="TAL"/>
              <w:rPr>
                <w:sz w:val="16"/>
                <w:szCs w:val="16"/>
                <w:lang w:eastAsia="zh-CN"/>
              </w:rPr>
            </w:pPr>
            <w:r>
              <w:rPr>
                <w:sz w:val="16"/>
                <w:szCs w:val="16"/>
                <w:lang w:eastAsia="zh-CN"/>
              </w:rPr>
              <w:t>RP-182071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1AFE901" w14:textId="77777777" w:rsidR="003A061C" w:rsidRPr="00B916EC" w:rsidRDefault="003A061C" w:rsidP="00BC0321">
            <w:pPr>
              <w:pStyle w:val="TAL"/>
              <w:rPr>
                <w:sz w:val="16"/>
                <w:szCs w:val="16"/>
              </w:rPr>
            </w:pPr>
            <w:r>
              <w:rPr>
                <w:sz w:val="16"/>
                <w:szCs w:val="16"/>
              </w:rPr>
              <w:t>0006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48AB071" w14:textId="77777777" w:rsidR="003A061C" w:rsidRPr="00B916EC" w:rsidRDefault="003A061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79FBA2A" w14:textId="77777777" w:rsidR="003A061C" w:rsidRPr="006C70FD" w:rsidRDefault="003A061C" w:rsidP="00BC0321">
            <w:pPr>
              <w:pStyle w:val="TAL"/>
              <w:rPr>
                <w:sz w:val="16"/>
              </w:rPr>
            </w:pPr>
            <w:r>
              <w:rPr>
                <w:sz w:val="16"/>
              </w:rPr>
              <w:t>C</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5B5B24E" w14:textId="77777777" w:rsidR="003A061C" w:rsidRPr="00B916EC" w:rsidRDefault="003A061C" w:rsidP="00BC0321">
            <w:pPr>
              <w:pStyle w:val="TAL"/>
              <w:rPr>
                <w:sz w:val="16"/>
              </w:rPr>
            </w:pPr>
            <w:r w:rsidRPr="006C70FD">
              <w:rPr>
                <w:sz w:val="16"/>
              </w:rPr>
              <w:t>Support maximum 8 SS/PBCH blocks for unpaired spectrum beyond 2.4GHz</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6861408" w14:textId="77777777" w:rsidR="003A061C" w:rsidRPr="00B916EC" w:rsidRDefault="003A061C" w:rsidP="00BC0321">
            <w:pPr>
              <w:pStyle w:val="TAL"/>
              <w:rPr>
                <w:sz w:val="16"/>
                <w:szCs w:val="16"/>
                <w:lang w:eastAsia="zh-CN"/>
              </w:rPr>
            </w:pPr>
            <w:r>
              <w:rPr>
                <w:sz w:val="16"/>
                <w:szCs w:val="16"/>
                <w:lang w:eastAsia="zh-CN"/>
              </w:rPr>
              <w:t>15.3.0</w:t>
            </w:r>
          </w:p>
        </w:tc>
      </w:tr>
      <w:tr w:rsidR="001915E2" w:rsidRPr="00B916EC" w14:paraId="5222E40D" w14:textId="77777777" w:rsidTr="00326D6E">
        <w:tc>
          <w:tcPr>
            <w:tcW w:w="894" w:type="dxa"/>
            <w:tcBorders>
              <w:top w:val="single" w:sz="6" w:space="0" w:color="auto"/>
              <w:left w:val="single" w:sz="6" w:space="0" w:color="auto"/>
              <w:bottom w:val="single" w:sz="6" w:space="0" w:color="auto"/>
              <w:right w:val="single" w:sz="6" w:space="0" w:color="auto"/>
            </w:tcBorders>
            <w:shd w:val="solid" w:color="FFFFFF" w:fill="auto"/>
          </w:tcPr>
          <w:p w14:paraId="2C4C4A1D" w14:textId="77777777" w:rsidR="001915E2" w:rsidRPr="00B916EC" w:rsidRDefault="001915E2"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8</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5C4017F" w14:textId="77777777" w:rsidR="001915E2" w:rsidRPr="00B916EC" w:rsidRDefault="001915E2" w:rsidP="00BC0321">
            <w:pPr>
              <w:pStyle w:val="TAL"/>
              <w:rPr>
                <w:sz w:val="16"/>
                <w:szCs w:val="16"/>
                <w:lang w:eastAsia="zh-CN"/>
              </w:rPr>
            </w:pPr>
            <w:r w:rsidRPr="00B916EC">
              <w:rPr>
                <w:sz w:val="16"/>
                <w:szCs w:val="16"/>
                <w:lang w:eastAsia="zh-CN"/>
              </w:rPr>
              <w:t>RAN#</w:t>
            </w:r>
            <w:r>
              <w:rPr>
                <w:sz w:val="16"/>
                <w:szCs w:val="16"/>
                <w:lang w:eastAsia="zh-CN"/>
              </w:rPr>
              <w:t>82</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B7A24A3" w14:textId="77777777" w:rsidR="001915E2" w:rsidRPr="00B916EC" w:rsidRDefault="001915E2" w:rsidP="00BC0321">
            <w:pPr>
              <w:pStyle w:val="TAL"/>
              <w:rPr>
                <w:sz w:val="16"/>
                <w:szCs w:val="16"/>
                <w:lang w:eastAsia="zh-CN"/>
              </w:rPr>
            </w:pPr>
            <w:r>
              <w:rPr>
                <w:sz w:val="16"/>
                <w:szCs w:val="16"/>
                <w:lang w:eastAsia="zh-CN"/>
              </w:rPr>
              <w:t>RP-182523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7DC6BF4" w14:textId="77777777" w:rsidR="001915E2" w:rsidRPr="00B916EC" w:rsidRDefault="001915E2" w:rsidP="00BC0321">
            <w:pPr>
              <w:pStyle w:val="TAL"/>
              <w:rPr>
                <w:sz w:val="16"/>
                <w:szCs w:val="16"/>
              </w:rPr>
            </w:pPr>
            <w:r>
              <w:rPr>
                <w:sz w:val="16"/>
                <w:szCs w:val="16"/>
              </w:rPr>
              <w:t>0007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E262CA2" w14:textId="77777777" w:rsidR="001915E2" w:rsidRPr="00B916EC" w:rsidRDefault="001915E2" w:rsidP="00BC0321">
            <w:pPr>
              <w:pStyle w:val="TAL"/>
              <w:jc w:val="center"/>
              <w:rPr>
                <w:sz w:val="16"/>
                <w:szCs w:val="16"/>
              </w:rPr>
            </w:pPr>
            <w:r>
              <w:rPr>
                <w:sz w:val="16"/>
                <w:szCs w:val="16"/>
              </w:rPr>
              <w:t>2</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98B1726" w14:textId="77777777" w:rsidR="001915E2" w:rsidRPr="006C70FD" w:rsidRDefault="001915E2"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803CD8B" w14:textId="77777777" w:rsidR="001915E2" w:rsidRPr="00B916EC" w:rsidRDefault="00CF2CAB" w:rsidP="00BC0321">
            <w:pPr>
              <w:pStyle w:val="TAL"/>
              <w:rPr>
                <w:sz w:val="16"/>
              </w:rPr>
            </w:pPr>
            <w:r w:rsidRPr="00CF2CAB">
              <w:rPr>
                <w:sz w:val="16"/>
              </w:rPr>
              <w:t>Combined CR of all essential corrections to 38.213 from RAN1#94bis and RAN1#95.</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4F124F0" w14:textId="77777777" w:rsidR="001915E2" w:rsidRPr="00B916EC" w:rsidRDefault="001915E2" w:rsidP="00BC0321">
            <w:pPr>
              <w:pStyle w:val="TAL"/>
              <w:rPr>
                <w:sz w:val="16"/>
                <w:szCs w:val="16"/>
                <w:lang w:eastAsia="zh-CN"/>
              </w:rPr>
            </w:pPr>
            <w:r>
              <w:rPr>
                <w:sz w:val="16"/>
                <w:szCs w:val="16"/>
                <w:lang w:eastAsia="zh-CN"/>
              </w:rPr>
              <w:t>15.4.0</w:t>
            </w:r>
          </w:p>
        </w:tc>
      </w:tr>
      <w:tr w:rsidR="00A32EA4" w:rsidRPr="00B916EC" w14:paraId="22EE31D2" w14:textId="77777777" w:rsidTr="00326D6E">
        <w:tc>
          <w:tcPr>
            <w:tcW w:w="894" w:type="dxa"/>
            <w:tcBorders>
              <w:top w:val="single" w:sz="6" w:space="0" w:color="auto"/>
              <w:left w:val="single" w:sz="6" w:space="0" w:color="auto"/>
              <w:bottom w:val="single" w:sz="6" w:space="0" w:color="auto"/>
              <w:right w:val="single" w:sz="6" w:space="0" w:color="auto"/>
            </w:tcBorders>
            <w:shd w:val="solid" w:color="FFFFFF" w:fill="auto"/>
          </w:tcPr>
          <w:p w14:paraId="1F93B0E6" w14:textId="77777777" w:rsidR="00A32EA4" w:rsidRPr="00B916EC" w:rsidRDefault="00A32EA4"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FF629CA" w14:textId="77777777" w:rsidR="00A32EA4" w:rsidRPr="00B916EC" w:rsidRDefault="00A32EA4" w:rsidP="00BC0321">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1AE1A1A" w14:textId="77777777" w:rsidR="00A32EA4" w:rsidRPr="00B916EC" w:rsidRDefault="00A32EA4" w:rsidP="00BC0321">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F2C2AB1" w14:textId="77777777" w:rsidR="00A32EA4" w:rsidRPr="00B916EC" w:rsidRDefault="00A32EA4" w:rsidP="00BC0321">
            <w:pPr>
              <w:pStyle w:val="TAL"/>
              <w:rPr>
                <w:sz w:val="16"/>
                <w:szCs w:val="16"/>
              </w:rPr>
            </w:pPr>
            <w:r>
              <w:rPr>
                <w:sz w:val="16"/>
                <w:szCs w:val="16"/>
              </w:rPr>
              <w:t>0009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C6E9A92" w14:textId="77777777" w:rsidR="00A32EA4" w:rsidRPr="00B916EC" w:rsidRDefault="00A32EA4"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A2CBDD0" w14:textId="77777777" w:rsidR="00A32EA4" w:rsidRPr="006C70FD" w:rsidRDefault="00A32EA4"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17AA82F" w14:textId="77777777" w:rsidR="00A32EA4" w:rsidRPr="00B916EC" w:rsidRDefault="0018434C" w:rsidP="00BC0321">
            <w:pPr>
              <w:pStyle w:val="TAL"/>
              <w:rPr>
                <w:sz w:val="16"/>
              </w:rPr>
            </w:pPr>
            <w:r w:rsidRPr="0018434C">
              <w:rPr>
                <w:sz w:val="16"/>
              </w:rPr>
              <w:t>Correction on search space sharing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992E1D3" w14:textId="77777777" w:rsidR="00A32EA4" w:rsidRPr="00B916EC" w:rsidRDefault="00A32EA4" w:rsidP="00BC0321">
            <w:pPr>
              <w:pStyle w:val="TAL"/>
              <w:rPr>
                <w:sz w:val="16"/>
                <w:szCs w:val="16"/>
                <w:lang w:eastAsia="zh-CN"/>
              </w:rPr>
            </w:pPr>
            <w:r>
              <w:rPr>
                <w:sz w:val="16"/>
                <w:szCs w:val="16"/>
                <w:lang w:eastAsia="zh-CN"/>
              </w:rPr>
              <w:t>15.5.0</w:t>
            </w:r>
          </w:p>
        </w:tc>
      </w:tr>
      <w:tr w:rsidR="0056089B" w:rsidRPr="00B916EC" w14:paraId="58971ED8" w14:textId="77777777" w:rsidTr="00326D6E">
        <w:tc>
          <w:tcPr>
            <w:tcW w:w="894" w:type="dxa"/>
            <w:tcBorders>
              <w:top w:val="single" w:sz="6" w:space="0" w:color="auto"/>
              <w:left w:val="single" w:sz="6" w:space="0" w:color="auto"/>
              <w:bottom w:val="single" w:sz="6" w:space="0" w:color="auto"/>
              <w:right w:val="single" w:sz="6" w:space="0" w:color="auto"/>
            </w:tcBorders>
            <w:shd w:val="solid" w:color="FFFFFF" w:fill="auto"/>
          </w:tcPr>
          <w:p w14:paraId="26FA1AC9" w14:textId="77777777" w:rsidR="0056089B" w:rsidRPr="00B916EC" w:rsidRDefault="0056089B"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3E24E29" w14:textId="77777777" w:rsidR="0056089B" w:rsidRPr="00B916EC" w:rsidRDefault="0056089B" w:rsidP="00BC0321">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BDD5D1F" w14:textId="77777777" w:rsidR="0056089B" w:rsidRPr="00B916EC" w:rsidRDefault="0056089B" w:rsidP="00BC0321">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64A737B" w14:textId="77777777" w:rsidR="0056089B" w:rsidRPr="00B916EC" w:rsidRDefault="0056089B" w:rsidP="00BC0321">
            <w:pPr>
              <w:pStyle w:val="TAL"/>
              <w:rPr>
                <w:sz w:val="16"/>
                <w:szCs w:val="16"/>
              </w:rPr>
            </w:pPr>
            <w:r>
              <w:rPr>
                <w:sz w:val="16"/>
                <w:szCs w:val="16"/>
              </w:rPr>
              <w:t>0010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13D3464" w14:textId="77777777" w:rsidR="0056089B" w:rsidRPr="00B916EC" w:rsidRDefault="0056089B"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40F99CC" w14:textId="77777777" w:rsidR="0056089B" w:rsidRPr="006C70FD" w:rsidRDefault="0056089B"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58C0D2A" w14:textId="77777777" w:rsidR="0056089B" w:rsidRPr="00B916EC" w:rsidRDefault="0056089B" w:rsidP="00BC0321">
            <w:pPr>
              <w:pStyle w:val="TAL"/>
              <w:rPr>
                <w:sz w:val="16"/>
              </w:rPr>
            </w:pPr>
            <w:r w:rsidRPr="0056089B">
              <w:rPr>
                <w:sz w:val="16"/>
              </w:rPr>
              <w:t>CR on timing adjustment indicator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8E1C6DF" w14:textId="77777777" w:rsidR="0056089B" w:rsidRPr="00B916EC" w:rsidRDefault="0056089B" w:rsidP="00BC0321">
            <w:pPr>
              <w:pStyle w:val="TAL"/>
              <w:rPr>
                <w:sz w:val="16"/>
                <w:szCs w:val="16"/>
                <w:lang w:eastAsia="zh-CN"/>
              </w:rPr>
            </w:pPr>
            <w:r>
              <w:rPr>
                <w:sz w:val="16"/>
                <w:szCs w:val="16"/>
                <w:lang w:eastAsia="zh-CN"/>
              </w:rPr>
              <w:t>15.5.0</w:t>
            </w:r>
          </w:p>
        </w:tc>
      </w:tr>
      <w:tr w:rsidR="009D3935" w:rsidRPr="00B916EC" w14:paraId="2CC6360F" w14:textId="77777777" w:rsidTr="009D3935">
        <w:tc>
          <w:tcPr>
            <w:tcW w:w="894" w:type="dxa"/>
            <w:tcBorders>
              <w:top w:val="single" w:sz="6" w:space="0" w:color="auto"/>
              <w:left w:val="single" w:sz="6" w:space="0" w:color="auto"/>
              <w:bottom w:val="single" w:sz="6" w:space="0" w:color="auto"/>
              <w:right w:val="single" w:sz="6" w:space="0" w:color="auto"/>
            </w:tcBorders>
            <w:shd w:val="solid" w:color="FFFFFF" w:fill="auto"/>
          </w:tcPr>
          <w:p w14:paraId="38872966" w14:textId="77777777" w:rsidR="009D3935" w:rsidRPr="00B916EC" w:rsidRDefault="009D3935"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44BFB3B" w14:textId="77777777" w:rsidR="009D3935" w:rsidRPr="00B916EC" w:rsidRDefault="009D3935" w:rsidP="00BC0321">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1F1E3B8" w14:textId="77777777" w:rsidR="009D3935" w:rsidRPr="00B916EC" w:rsidRDefault="009D3935" w:rsidP="00BC0321">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7B9E928" w14:textId="77777777" w:rsidR="009D3935" w:rsidRPr="00B916EC" w:rsidRDefault="009D3935" w:rsidP="00BC0321">
            <w:pPr>
              <w:pStyle w:val="TAL"/>
              <w:rPr>
                <w:sz w:val="16"/>
                <w:szCs w:val="16"/>
              </w:rPr>
            </w:pPr>
            <w:r>
              <w:rPr>
                <w:sz w:val="16"/>
                <w:szCs w:val="16"/>
              </w:rPr>
              <w:t>0011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23258CE" w14:textId="77777777" w:rsidR="009D3935" w:rsidRPr="00B916EC" w:rsidRDefault="009D3935"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085B64B" w14:textId="77777777" w:rsidR="009D3935" w:rsidRPr="006C70FD" w:rsidRDefault="009D3935"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4AF44D2" w14:textId="77777777" w:rsidR="009D3935" w:rsidRPr="00B916EC" w:rsidRDefault="00CE207C" w:rsidP="00BC0321">
            <w:pPr>
              <w:pStyle w:val="TAL"/>
              <w:rPr>
                <w:sz w:val="16"/>
              </w:rPr>
            </w:pPr>
            <w:r w:rsidRPr="00CE207C">
              <w:rPr>
                <w:sz w:val="16"/>
              </w:rPr>
              <w:t>CR on SSB-RO association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2F00394" w14:textId="77777777" w:rsidR="009D3935" w:rsidRPr="00B916EC" w:rsidRDefault="009D3935" w:rsidP="00BC0321">
            <w:pPr>
              <w:pStyle w:val="TAL"/>
              <w:rPr>
                <w:sz w:val="16"/>
                <w:szCs w:val="16"/>
                <w:lang w:eastAsia="zh-CN"/>
              </w:rPr>
            </w:pPr>
            <w:r>
              <w:rPr>
                <w:sz w:val="16"/>
                <w:szCs w:val="16"/>
                <w:lang w:eastAsia="zh-CN"/>
              </w:rPr>
              <w:t>15.5.0</w:t>
            </w:r>
          </w:p>
        </w:tc>
      </w:tr>
      <w:tr w:rsidR="00E36ED8" w:rsidRPr="00B916EC" w14:paraId="0359FBF7" w14:textId="77777777" w:rsidTr="00E36ED8">
        <w:tc>
          <w:tcPr>
            <w:tcW w:w="894" w:type="dxa"/>
            <w:tcBorders>
              <w:top w:val="single" w:sz="6" w:space="0" w:color="auto"/>
              <w:left w:val="single" w:sz="6" w:space="0" w:color="auto"/>
              <w:bottom w:val="single" w:sz="6" w:space="0" w:color="auto"/>
              <w:right w:val="single" w:sz="6" w:space="0" w:color="auto"/>
            </w:tcBorders>
            <w:shd w:val="solid" w:color="FFFFFF" w:fill="auto"/>
          </w:tcPr>
          <w:p w14:paraId="4B14A980" w14:textId="77777777" w:rsidR="00E36ED8" w:rsidRPr="00B916EC" w:rsidRDefault="00E36ED8"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2B77B59" w14:textId="77777777" w:rsidR="00E36ED8" w:rsidRPr="00B916EC" w:rsidRDefault="00E36ED8" w:rsidP="00BC0321">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403FC19" w14:textId="77777777" w:rsidR="00E36ED8" w:rsidRPr="00B916EC" w:rsidRDefault="00E36ED8" w:rsidP="00BC0321">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7EAFAD0" w14:textId="77777777" w:rsidR="00E36ED8" w:rsidRPr="00B916EC" w:rsidRDefault="00E36ED8" w:rsidP="00BC0321">
            <w:pPr>
              <w:pStyle w:val="TAL"/>
              <w:rPr>
                <w:sz w:val="16"/>
                <w:szCs w:val="16"/>
              </w:rPr>
            </w:pPr>
            <w:r>
              <w:rPr>
                <w:sz w:val="16"/>
                <w:szCs w:val="16"/>
              </w:rPr>
              <w:t>0012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CA4CC15" w14:textId="77777777" w:rsidR="00E36ED8" w:rsidRPr="00B916EC" w:rsidRDefault="00E36ED8"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9364F9E" w14:textId="77777777" w:rsidR="00E36ED8" w:rsidRPr="006C70FD" w:rsidRDefault="00E36ED8"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3994255" w14:textId="77777777" w:rsidR="00E36ED8" w:rsidRPr="00B916EC" w:rsidRDefault="00E36ED8" w:rsidP="00BC0321">
            <w:pPr>
              <w:pStyle w:val="TAL"/>
              <w:rPr>
                <w:sz w:val="16"/>
              </w:rPr>
            </w:pPr>
            <w:r w:rsidRPr="00E36ED8">
              <w:rPr>
                <w:sz w:val="16"/>
              </w:rPr>
              <w:t>Removal of CSI request in RAR grant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99279DD" w14:textId="77777777" w:rsidR="00E36ED8" w:rsidRPr="00B916EC" w:rsidRDefault="00E36ED8" w:rsidP="00BC0321">
            <w:pPr>
              <w:pStyle w:val="TAL"/>
              <w:rPr>
                <w:sz w:val="16"/>
                <w:szCs w:val="16"/>
                <w:lang w:eastAsia="zh-CN"/>
              </w:rPr>
            </w:pPr>
            <w:r>
              <w:rPr>
                <w:sz w:val="16"/>
                <w:szCs w:val="16"/>
                <w:lang w:eastAsia="zh-CN"/>
              </w:rPr>
              <w:t>15.5.0</w:t>
            </w:r>
          </w:p>
        </w:tc>
      </w:tr>
      <w:tr w:rsidR="007F0DAC" w:rsidRPr="00B916EC" w14:paraId="328F293B" w14:textId="77777777" w:rsidTr="007F0DAC">
        <w:tc>
          <w:tcPr>
            <w:tcW w:w="894" w:type="dxa"/>
            <w:tcBorders>
              <w:top w:val="single" w:sz="6" w:space="0" w:color="auto"/>
              <w:left w:val="single" w:sz="6" w:space="0" w:color="auto"/>
              <w:bottom w:val="single" w:sz="6" w:space="0" w:color="auto"/>
              <w:right w:val="single" w:sz="6" w:space="0" w:color="auto"/>
            </w:tcBorders>
            <w:shd w:val="solid" w:color="FFFFFF" w:fill="auto"/>
          </w:tcPr>
          <w:p w14:paraId="2E23DCC4" w14:textId="77777777" w:rsidR="007F0DAC" w:rsidRPr="00B916EC" w:rsidRDefault="007F0DAC"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0D92139" w14:textId="77777777" w:rsidR="007F0DAC" w:rsidRPr="00B916EC" w:rsidRDefault="007F0DAC" w:rsidP="00BC0321">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4DC4F44" w14:textId="77777777" w:rsidR="007F0DAC" w:rsidRPr="00B916EC" w:rsidRDefault="007F0DAC" w:rsidP="00BC0321">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2D9A916" w14:textId="77777777" w:rsidR="007F0DAC" w:rsidRPr="00B916EC" w:rsidRDefault="007F0DAC" w:rsidP="00BC0321">
            <w:pPr>
              <w:pStyle w:val="TAL"/>
              <w:rPr>
                <w:sz w:val="16"/>
                <w:szCs w:val="16"/>
              </w:rPr>
            </w:pPr>
            <w:r>
              <w:rPr>
                <w:sz w:val="16"/>
                <w:szCs w:val="16"/>
              </w:rPr>
              <w:t>0014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3389279" w14:textId="77777777" w:rsidR="007F0DAC" w:rsidRPr="00B916EC" w:rsidRDefault="007F0DA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C5811DC" w14:textId="77777777" w:rsidR="007F0DAC" w:rsidRPr="006C70FD" w:rsidRDefault="007F0DA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9B1FFF6" w14:textId="77777777" w:rsidR="007F0DAC" w:rsidRPr="00B916EC" w:rsidRDefault="007F0DAC" w:rsidP="00BC0321">
            <w:pPr>
              <w:pStyle w:val="TAL"/>
              <w:rPr>
                <w:sz w:val="16"/>
              </w:rPr>
            </w:pPr>
            <w:r w:rsidRPr="007F0DAC">
              <w:rPr>
                <w:sz w:val="16"/>
              </w:rPr>
              <w:t>Correction to dynamic HARQ codebook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CB54E71" w14:textId="77777777" w:rsidR="007F0DAC" w:rsidRPr="00B916EC" w:rsidRDefault="007F0DAC" w:rsidP="00BC0321">
            <w:pPr>
              <w:pStyle w:val="TAL"/>
              <w:rPr>
                <w:sz w:val="16"/>
                <w:szCs w:val="16"/>
                <w:lang w:eastAsia="zh-CN"/>
              </w:rPr>
            </w:pPr>
            <w:r>
              <w:rPr>
                <w:sz w:val="16"/>
                <w:szCs w:val="16"/>
                <w:lang w:eastAsia="zh-CN"/>
              </w:rPr>
              <w:t>15.5.0</w:t>
            </w:r>
          </w:p>
        </w:tc>
      </w:tr>
      <w:tr w:rsidR="008B4F12" w:rsidRPr="00B916EC" w14:paraId="6FA5C359" w14:textId="77777777" w:rsidTr="008B4F12">
        <w:tc>
          <w:tcPr>
            <w:tcW w:w="894" w:type="dxa"/>
            <w:tcBorders>
              <w:top w:val="single" w:sz="6" w:space="0" w:color="auto"/>
              <w:left w:val="single" w:sz="6" w:space="0" w:color="auto"/>
              <w:bottom w:val="single" w:sz="6" w:space="0" w:color="auto"/>
              <w:right w:val="single" w:sz="6" w:space="0" w:color="auto"/>
            </w:tcBorders>
            <w:shd w:val="solid" w:color="FFFFFF" w:fill="auto"/>
          </w:tcPr>
          <w:p w14:paraId="392D90A7" w14:textId="77777777" w:rsidR="008B4F12" w:rsidRPr="00B916EC" w:rsidRDefault="008B4F12"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41336CE" w14:textId="77777777" w:rsidR="008B4F12" w:rsidRPr="00B916EC" w:rsidRDefault="008B4F12" w:rsidP="00BC0321">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02A320A" w14:textId="77777777" w:rsidR="008B4F12" w:rsidRPr="00B916EC" w:rsidRDefault="008B4F12" w:rsidP="00BC0321">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DCE5BC3" w14:textId="77777777" w:rsidR="008B4F12" w:rsidRPr="00B916EC" w:rsidRDefault="008B4F12" w:rsidP="00BC0321">
            <w:pPr>
              <w:pStyle w:val="TAL"/>
              <w:rPr>
                <w:sz w:val="16"/>
                <w:szCs w:val="16"/>
              </w:rPr>
            </w:pPr>
            <w:r>
              <w:rPr>
                <w:sz w:val="16"/>
                <w:szCs w:val="16"/>
              </w:rPr>
              <w:t>0015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0A30F2C" w14:textId="77777777" w:rsidR="008B4F12" w:rsidRPr="00B916EC" w:rsidRDefault="008B4F12"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A89E1D3" w14:textId="77777777" w:rsidR="008B4F12" w:rsidRPr="006C70FD" w:rsidRDefault="008B4F12"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6A94980" w14:textId="7465A5CF" w:rsidR="008B4F12" w:rsidRPr="00B916EC" w:rsidRDefault="007051AC" w:rsidP="00BC0321">
            <w:pPr>
              <w:pStyle w:val="TAL"/>
              <w:rPr>
                <w:sz w:val="16"/>
              </w:rPr>
            </w:pPr>
            <w:r w:rsidRPr="008B4F12">
              <w:rPr>
                <w:sz w:val="16"/>
              </w:rPr>
              <w:t>Corrections</w:t>
            </w:r>
            <w:r w:rsidR="008B4F12" w:rsidRPr="008B4F12">
              <w:rPr>
                <w:sz w:val="16"/>
              </w:rPr>
              <w:t xml:space="preserve"> to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757210" w14:textId="77777777" w:rsidR="008B4F12" w:rsidRPr="00B916EC" w:rsidRDefault="008B4F12" w:rsidP="00BC0321">
            <w:pPr>
              <w:pStyle w:val="TAL"/>
              <w:rPr>
                <w:sz w:val="16"/>
                <w:szCs w:val="16"/>
                <w:lang w:eastAsia="zh-CN"/>
              </w:rPr>
            </w:pPr>
            <w:r>
              <w:rPr>
                <w:sz w:val="16"/>
                <w:szCs w:val="16"/>
                <w:lang w:eastAsia="zh-CN"/>
              </w:rPr>
              <w:t>15.5.0</w:t>
            </w:r>
          </w:p>
        </w:tc>
      </w:tr>
      <w:tr w:rsidR="00E24005" w:rsidRPr="00B916EC" w14:paraId="4C72C2CE" w14:textId="77777777" w:rsidTr="00E24005">
        <w:tc>
          <w:tcPr>
            <w:tcW w:w="894" w:type="dxa"/>
            <w:tcBorders>
              <w:top w:val="single" w:sz="6" w:space="0" w:color="auto"/>
              <w:left w:val="single" w:sz="6" w:space="0" w:color="auto"/>
              <w:bottom w:val="single" w:sz="6" w:space="0" w:color="auto"/>
              <w:right w:val="single" w:sz="6" w:space="0" w:color="auto"/>
            </w:tcBorders>
            <w:shd w:val="solid" w:color="FFFFFF" w:fill="auto"/>
          </w:tcPr>
          <w:p w14:paraId="45443122" w14:textId="77777777" w:rsidR="00E24005" w:rsidRPr="00B916EC" w:rsidRDefault="00E24005"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41DAC4F" w14:textId="77777777" w:rsidR="00E24005" w:rsidRPr="00B916EC" w:rsidRDefault="00E24005" w:rsidP="00BC0321">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1682D10" w14:textId="77777777" w:rsidR="00E24005" w:rsidRPr="00B916EC" w:rsidRDefault="00E24005" w:rsidP="00BC0321">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4959AE6" w14:textId="77777777" w:rsidR="00E24005" w:rsidRPr="00B916EC" w:rsidRDefault="00E24005" w:rsidP="00BC0321">
            <w:pPr>
              <w:pStyle w:val="TAL"/>
              <w:rPr>
                <w:sz w:val="16"/>
                <w:szCs w:val="16"/>
              </w:rPr>
            </w:pPr>
            <w:r>
              <w:rPr>
                <w:sz w:val="16"/>
                <w:szCs w:val="16"/>
              </w:rPr>
              <w:t>001</w:t>
            </w:r>
            <w:r w:rsidR="00AD2DA3">
              <w:rPr>
                <w:sz w:val="16"/>
                <w:szCs w:val="16"/>
              </w:rPr>
              <w:t>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A644C76" w14:textId="77777777" w:rsidR="00E24005" w:rsidRPr="00B916EC" w:rsidRDefault="00AD2DA3"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4D61BB7" w14:textId="77777777" w:rsidR="00E24005" w:rsidRPr="006C70FD" w:rsidRDefault="00E24005"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4F214F3" w14:textId="77777777" w:rsidR="00E24005" w:rsidRPr="00B916EC" w:rsidRDefault="00AD2DA3" w:rsidP="00BC0321">
            <w:pPr>
              <w:pStyle w:val="TAL"/>
              <w:rPr>
                <w:sz w:val="16"/>
              </w:rPr>
            </w:pPr>
            <w:r w:rsidRPr="00AD2DA3">
              <w:rPr>
                <w:sz w:val="16"/>
              </w:rPr>
              <w:t>CR on simultaneous active BWP switching across carriers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61A5D1B" w14:textId="77777777" w:rsidR="00E24005" w:rsidRPr="00B916EC" w:rsidRDefault="00E24005" w:rsidP="00BC0321">
            <w:pPr>
              <w:pStyle w:val="TAL"/>
              <w:rPr>
                <w:sz w:val="16"/>
                <w:szCs w:val="16"/>
                <w:lang w:eastAsia="zh-CN"/>
              </w:rPr>
            </w:pPr>
            <w:r>
              <w:rPr>
                <w:sz w:val="16"/>
                <w:szCs w:val="16"/>
                <w:lang w:eastAsia="zh-CN"/>
              </w:rPr>
              <w:t>15.5.0</w:t>
            </w:r>
          </w:p>
        </w:tc>
      </w:tr>
      <w:tr w:rsidR="00E40274" w:rsidRPr="00B916EC" w14:paraId="03CE4A87" w14:textId="77777777" w:rsidTr="00E40274">
        <w:tc>
          <w:tcPr>
            <w:tcW w:w="894" w:type="dxa"/>
            <w:tcBorders>
              <w:top w:val="single" w:sz="6" w:space="0" w:color="auto"/>
              <w:left w:val="single" w:sz="6" w:space="0" w:color="auto"/>
              <w:bottom w:val="single" w:sz="6" w:space="0" w:color="auto"/>
              <w:right w:val="single" w:sz="6" w:space="0" w:color="auto"/>
            </w:tcBorders>
            <w:shd w:val="solid" w:color="FFFFFF" w:fill="auto"/>
          </w:tcPr>
          <w:p w14:paraId="69A82530" w14:textId="77777777" w:rsidR="00E40274" w:rsidRPr="00B916EC" w:rsidRDefault="00E40274"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2A77FCC" w14:textId="77777777" w:rsidR="00E40274" w:rsidRPr="00B916EC" w:rsidRDefault="00E40274" w:rsidP="00BC0321">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EDE9B64" w14:textId="77777777" w:rsidR="00E40274" w:rsidRPr="00B916EC" w:rsidRDefault="00E40274" w:rsidP="00BC0321">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CFBFC8E" w14:textId="77777777" w:rsidR="00E40274" w:rsidRPr="00B916EC" w:rsidRDefault="00E40274" w:rsidP="00BC0321">
            <w:pPr>
              <w:pStyle w:val="TAL"/>
              <w:rPr>
                <w:sz w:val="16"/>
                <w:szCs w:val="16"/>
              </w:rPr>
            </w:pPr>
            <w:r>
              <w:rPr>
                <w:sz w:val="16"/>
                <w:szCs w:val="16"/>
              </w:rPr>
              <w:t>0017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A14BA63" w14:textId="77777777" w:rsidR="00E40274" w:rsidRPr="00B916EC" w:rsidRDefault="00E40274"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83F49E6" w14:textId="77777777" w:rsidR="00E40274" w:rsidRPr="006C70FD" w:rsidRDefault="00E40274"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F02BF8A" w14:textId="77777777" w:rsidR="00E40274" w:rsidRPr="00B916EC" w:rsidRDefault="00E40274" w:rsidP="00BC0321">
            <w:pPr>
              <w:pStyle w:val="TAL"/>
              <w:rPr>
                <w:sz w:val="16"/>
              </w:rPr>
            </w:pPr>
            <w:r w:rsidRPr="00E40274">
              <w:rPr>
                <w:sz w:val="16"/>
              </w:rPr>
              <w:t>CR on using CORESET#0 in dedicated DL BWP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77AF9CF" w14:textId="77777777" w:rsidR="00E40274" w:rsidRPr="00B916EC" w:rsidRDefault="00E40274" w:rsidP="00BC0321">
            <w:pPr>
              <w:pStyle w:val="TAL"/>
              <w:rPr>
                <w:sz w:val="16"/>
                <w:szCs w:val="16"/>
                <w:lang w:eastAsia="zh-CN"/>
              </w:rPr>
            </w:pPr>
            <w:r>
              <w:rPr>
                <w:sz w:val="16"/>
                <w:szCs w:val="16"/>
                <w:lang w:eastAsia="zh-CN"/>
              </w:rPr>
              <w:t>15.5.0</w:t>
            </w:r>
          </w:p>
        </w:tc>
      </w:tr>
      <w:tr w:rsidR="003C5338" w:rsidRPr="00B916EC" w14:paraId="22F32D63" w14:textId="77777777" w:rsidTr="003C5338">
        <w:tc>
          <w:tcPr>
            <w:tcW w:w="894" w:type="dxa"/>
            <w:tcBorders>
              <w:top w:val="single" w:sz="6" w:space="0" w:color="auto"/>
              <w:left w:val="single" w:sz="6" w:space="0" w:color="auto"/>
              <w:bottom w:val="single" w:sz="6" w:space="0" w:color="auto"/>
              <w:right w:val="single" w:sz="6" w:space="0" w:color="auto"/>
            </w:tcBorders>
            <w:shd w:val="solid" w:color="FFFFFF" w:fill="auto"/>
          </w:tcPr>
          <w:p w14:paraId="1C0DC5BB" w14:textId="77777777" w:rsidR="003C5338" w:rsidRPr="00B916EC" w:rsidRDefault="003C5338"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767629C" w14:textId="77777777" w:rsidR="003C5338" w:rsidRPr="00B916EC" w:rsidRDefault="003C5338" w:rsidP="00BC0321">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43EE60C" w14:textId="77777777" w:rsidR="003C5338" w:rsidRPr="00B916EC" w:rsidRDefault="003C5338" w:rsidP="00BC0321">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C0C18FF" w14:textId="77777777" w:rsidR="003C5338" w:rsidRPr="00B916EC" w:rsidRDefault="003C5338" w:rsidP="00BC0321">
            <w:pPr>
              <w:pStyle w:val="TAL"/>
              <w:rPr>
                <w:sz w:val="16"/>
                <w:szCs w:val="16"/>
              </w:rPr>
            </w:pPr>
            <w:r>
              <w:rPr>
                <w:sz w:val="16"/>
                <w:szCs w:val="16"/>
              </w:rPr>
              <w:t>0018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727E925" w14:textId="77777777" w:rsidR="003C5338" w:rsidRPr="00B916EC" w:rsidRDefault="003C5338"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12809AE" w14:textId="77777777" w:rsidR="003C5338" w:rsidRPr="006C70FD" w:rsidRDefault="003C5338"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8083EDD" w14:textId="77777777" w:rsidR="003C5338" w:rsidRPr="00B916EC" w:rsidRDefault="003C5338" w:rsidP="00BC0321">
            <w:pPr>
              <w:pStyle w:val="TAL"/>
              <w:rPr>
                <w:sz w:val="16"/>
              </w:rPr>
            </w:pPr>
            <w:r w:rsidRPr="003C5338">
              <w:rPr>
                <w:sz w:val="16"/>
              </w:rPr>
              <w:t>PDCCH monitoring for overlapped CORESETs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F607848" w14:textId="77777777" w:rsidR="003C5338" w:rsidRPr="00B916EC" w:rsidRDefault="003C5338" w:rsidP="00BC0321">
            <w:pPr>
              <w:pStyle w:val="TAL"/>
              <w:rPr>
                <w:sz w:val="16"/>
                <w:szCs w:val="16"/>
                <w:lang w:eastAsia="zh-CN"/>
              </w:rPr>
            </w:pPr>
            <w:r>
              <w:rPr>
                <w:sz w:val="16"/>
                <w:szCs w:val="16"/>
                <w:lang w:eastAsia="zh-CN"/>
              </w:rPr>
              <w:t>15.5.0</w:t>
            </w:r>
          </w:p>
        </w:tc>
      </w:tr>
      <w:tr w:rsidR="003C5338" w:rsidRPr="00B916EC" w14:paraId="344A477C" w14:textId="77777777" w:rsidTr="003C5338">
        <w:tc>
          <w:tcPr>
            <w:tcW w:w="894" w:type="dxa"/>
            <w:tcBorders>
              <w:top w:val="single" w:sz="6" w:space="0" w:color="auto"/>
              <w:left w:val="single" w:sz="6" w:space="0" w:color="auto"/>
              <w:bottom w:val="single" w:sz="6" w:space="0" w:color="auto"/>
              <w:right w:val="single" w:sz="6" w:space="0" w:color="auto"/>
            </w:tcBorders>
            <w:shd w:val="solid" w:color="FFFFFF" w:fill="auto"/>
          </w:tcPr>
          <w:p w14:paraId="6620F086" w14:textId="77777777" w:rsidR="003C5338" w:rsidRPr="00B916EC" w:rsidRDefault="003C5338"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8B84269" w14:textId="77777777" w:rsidR="003C5338" w:rsidRPr="00B916EC" w:rsidRDefault="003C5338" w:rsidP="00BC0321">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FD8880A" w14:textId="77777777" w:rsidR="003C5338" w:rsidRPr="00B916EC" w:rsidRDefault="003C5338" w:rsidP="00BC0321">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0E7D5ED" w14:textId="77777777" w:rsidR="003C5338" w:rsidRPr="00B916EC" w:rsidRDefault="003C5338" w:rsidP="00BC0321">
            <w:pPr>
              <w:pStyle w:val="TAL"/>
              <w:rPr>
                <w:sz w:val="16"/>
                <w:szCs w:val="16"/>
              </w:rPr>
            </w:pPr>
            <w:r>
              <w:rPr>
                <w:sz w:val="16"/>
                <w:szCs w:val="16"/>
              </w:rPr>
              <w:t>0019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906CD53" w14:textId="77777777" w:rsidR="003C5338" w:rsidRPr="00B916EC" w:rsidRDefault="003C5338"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4FFB607" w14:textId="77777777" w:rsidR="003C5338" w:rsidRPr="006C70FD" w:rsidRDefault="003C5338"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0F71251" w14:textId="77777777" w:rsidR="003C5338" w:rsidRPr="00B916EC" w:rsidRDefault="001D0CF9" w:rsidP="00BC0321">
            <w:pPr>
              <w:pStyle w:val="TAL"/>
              <w:rPr>
                <w:sz w:val="16"/>
              </w:rPr>
            </w:pPr>
            <w:r w:rsidRPr="001D0CF9">
              <w:rPr>
                <w:sz w:val="16"/>
              </w:rPr>
              <w:t>Correction to last PUCCH resource set configuration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1869D38" w14:textId="77777777" w:rsidR="003C5338" w:rsidRPr="00B916EC" w:rsidRDefault="003C5338" w:rsidP="00BC0321">
            <w:pPr>
              <w:pStyle w:val="TAL"/>
              <w:rPr>
                <w:sz w:val="16"/>
                <w:szCs w:val="16"/>
                <w:lang w:eastAsia="zh-CN"/>
              </w:rPr>
            </w:pPr>
            <w:r>
              <w:rPr>
                <w:sz w:val="16"/>
                <w:szCs w:val="16"/>
                <w:lang w:eastAsia="zh-CN"/>
              </w:rPr>
              <w:t>15.5.0</w:t>
            </w:r>
          </w:p>
        </w:tc>
      </w:tr>
      <w:tr w:rsidR="001D0CF9" w:rsidRPr="00B916EC" w14:paraId="495B3087" w14:textId="77777777" w:rsidTr="001D0CF9">
        <w:tc>
          <w:tcPr>
            <w:tcW w:w="894" w:type="dxa"/>
            <w:tcBorders>
              <w:top w:val="single" w:sz="6" w:space="0" w:color="auto"/>
              <w:left w:val="single" w:sz="6" w:space="0" w:color="auto"/>
              <w:bottom w:val="single" w:sz="6" w:space="0" w:color="auto"/>
              <w:right w:val="single" w:sz="6" w:space="0" w:color="auto"/>
            </w:tcBorders>
            <w:shd w:val="solid" w:color="FFFFFF" w:fill="auto"/>
          </w:tcPr>
          <w:p w14:paraId="20A5273B" w14:textId="77777777" w:rsidR="001D0CF9" w:rsidRPr="00B916EC" w:rsidRDefault="001D0CF9"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ADECB56" w14:textId="77777777" w:rsidR="001D0CF9" w:rsidRPr="00B916EC" w:rsidRDefault="001D0CF9" w:rsidP="00BC0321">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02B9854" w14:textId="77777777" w:rsidR="001D0CF9" w:rsidRPr="00B916EC" w:rsidRDefault="001D0CF9" w:rsidP="00BC0321">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37FB28C" w14:textId="77777777" w:rsidR="001D0CF9" w:rsidRPr="00B916EC" w:rsidRDefault="001D0CF9" w:rsidP="00BC0321">
            <w:pPr>
              <w:pStyle w:val="TAL"/>
              <w:rPr>
                <w:sz w:val="16"/>
                <w:szCs w:val="16"/>
              </w:rPr>
            </w:pPr>
            <w:r>
              <w:rPr>
                <w:sz w:val="16"/>
                <w:szCs w:val="16"/>
              </w:rPr>
              <w:t>0020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4F16B24" w14:textId="77777777" w:rsidR="001D0CF9" w:rsidRPr="00B916EC" w:rsidRDefault="001D0CF9"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CA82C73" w14:textId="77777777" w:rsidR="001D0CF9" w:rsidRPr="006C70FD" w:rsidRDefault="001D0CF9"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ABE38F4" w14:textId="77777777" w:rsidR="001D0CF9" w:rsidRPr="00B916EC" w:rsidRDefault="001D0CF9" w:rsidP="00BC0321">
            <w:pPr>
              <w:pStyle w:val="TAL"/>
              <w:rPr>
                <w:sz w:val="16"/>
              </w:rPr>
            </w:pPr>
            <w:r w:rsidRPr="001D0CF9">
              <w:rPr>
                <w:sz w:val="16"/>
              </w:rPr>
              <w:t>Correction on physical downlink control channel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E9BC82C" w14:textId="77777777" w:rsidR="001D0CF9" w:rsidRPr="00B916EC" w:rsidRDefault="001D0CF9" w:rsidP="00BC0321">
            <w:pPr>
              <w:pStyle w:val="TAL"/>
              <w:rPr>
                <w:sz w:val="16"/>
                <w:szCs w:val="16"/>
                <w:lang w:eastAsia="zh-CN"/>
              </w:rPr>
            </w:pPr>
            <w:r>
              <w:rPr>
                <w:sz w:val="16"/>
                <w:szCs w:val="16"/>
                <w:lang w:eastAsia="zh-CN"/>
              </w:rPr>
              <w:t>15.5.0</w:t>
            </w:r>
          </w:p>
        </w:tc>
      </w:tr>
      <w:tr w:rsidR="00C30574" w:rsidRPr="00B916EC" w14:paraId="6EF9F6D8" w14:textId="77777777" w:rsidTr="00C30574">
        <w:tc>
          <w:tcPr>
            <w:tcW w:w="894" w:type="dxa"/>
            <w:tcBorders>
              <w:top w:val="single" w:sz="6" w:space="0" w:color="auto"/>
              <w:left w:val="single" w:sz="6" w:space="0" w:color="auto"/>
              <w:bottom w:val="single" w:sz="6" w:space="0" w:color="auto"/>
              <w:right w:val="single" w:sz="6" w:space="0" w:color="auto"/>
            </w:tcBorders>
            <w:shd w:val="solid" w:color="FFFFFF" w:fill="auto"/>
          </w:tcPr>
          <w:p w14:paraId="4A617E23" w14:textId="77777777" w:rsidR="00C30574" w:rsidRPr="00B916EC" w:rsidRDefault="00C30574"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930EF6A" w14:textId="77777777" w:rsidR="00C30574" w:rsidRPr="00B916EC" w:rsidRDefault="00C30574" w:rsidP="00BC0321">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55D822A" w14:textId="77777777" w:rsidR="00C30574" w:rsidRPr="00B916EC" w:rsidRDefault="00C30574" w:rsidP="00BC0321">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F5731C3" w14:textId="77777777" w:rsidR="00C30574" w:rsidRPr="00B916EC" w:rsidRDefault="00C30574" w:rsidP="00BC0321">
            <w:pPr>
              <w:pStyle w:val="TAL"/>
              <w:rPr>
                <w:sz w:val="16"/>
                <w:szCs w:val="16"/>
              </w:rPr>
            </w:pPr>
            <w:r>
              <w:rPr>
                <w:sz w:val="16"/>
                <w:szCs w:val="16"/>
              </w:rPr>
              <w:t>0021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F1D01FE" w14:textId="77777777" w:rsidR="00C30574" w:rsidRPr="00B916EC" w:rsidRDefault="00C30574"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6E26CBB" w14:textId="77777777" w:rsidR="00C30574" w:rsidRPr="006C70FD" w:rsidRDefault="00C30574"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771F45D" w14:textId="77777777" w:rsidR="00C30574" w:rsidRPr="00B916EC" w:rsidRDefault="00C30574" w:rsidP="00BC0321">
            <w:pPr>
              <w:pStyle w:val="TAL"/>
              <w:rPr>
                <w:sz w:val="16"/>
              </w:rPr>
            </w:pPr>
            <w:r w:rsidRPr="00C30574">
              <w:rPr>
                <w:sz w:val="16"/>
              </w:rPr>
              <w:t>Correction to align RAN1 and RAN4 specifications for EN-DC power control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9B850A1" w14:textId="77777777" w:rsidR="00C30574" w:rsidRPr="00B916EC" w:rsidRDefault="00C30574" w:rsidP="00BC0321">
            <w:pPr>
              <w:pStyle w:val="TAL"/>
              <w:rPr>
                <w:sz w:val="16"/>
                <w:szCs w:val="16"/>
                <w:lang w:eastAsia="zh-CN"/>
              </w:rPr>
            </w:pPr>
            <w:r>
              <w:rPr>
                <w:sz w:val="16"/>
                <w:szCs w:val="16"/>
                <w:lang w:eastAsia="zh-CN"/>
              </w:rPr>
              <w:t>15.5.0</w:t>
            </w:r>
          </w:p>
        </w:tc>
      </w:tr>
      <w:tr w:rsidR="00A2228C" w:rsidRPr="00B916EC" w14:paraId="7B444B1C" w14:textId="77777777" w:rsidTr="00A2228C">
        <w:tc>
          <w:tcPr>
            <w:tcW w:w="894" w:type="dxa"/>
            <w:tcBorders>
              <w:top w:val="single" w:sz="6" w:space="0" w:color="auto"/>
              <w:left w:val="single" w:sz="6" w:space="0" w:color="auto"/>
              <w:bottom w:val="single" w:sz="6" w:space="0" w:color="auto"/>
              <w:right w:val="single" w:sz="6" w:space="0" w:color="auto"/>
            </w:tcBorders>
            <w:shd w:val="solid" w:color="FFFFFF" w:fill="auto"/>
          </w:tcPr>
          <w:p w14:paraId="067FABD1" w14:textId="77777777" w:rsidR="00A2228C" w:rsidRPr="00B916EC" w:rsidRDefault="00A2228C"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AEF2167" w14:textId="77777777" w:rsidR="00A2228C" w:rsidRPr="00B916EC" w:rsidRDefault="00A2228C" w:rsidP="00BC0321">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2E15A43" w14:textId="77777777" w:rsidR="00A2228C" w:rsidRPr="00B916EC" w:rsidRDefault="00A2228C" w:rsidP="00BC0321">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A50A145" w14:textId="77777777" w:rsidR="00A2228C" w:rsidRPr="00B916EC" w:rsidRDefault="00A2228C" w:rsidP="00BC0321">
            <w:pPr>
              <w:pStyle w:val="TAL"/>
              <w:rPr>
                <w:sz w:val="16"/>
                <w:szCs w:val="16"/>
              </w:rPr>
            </w:pPr>
            <w:r>
              <w:rPr>
                <w:sz w:val="16"/>
                <w:szCs w:val="16"/>
              </w:rPr>
              <w:t>0022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247A152" w14:textId="77777777" w:rsidR="00A2228C" w:rsidRPr="00B916EC" w:rsidRDefault="00A2228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10484AE" w14:textId="77777777" w:rsidR="00A2228C" w:rsidRPr="006C70FD" w:rsidRDefault="00A2228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562E267" w14:textId="77777777" w:rsidR="00A2228C" w:rsidRPr="00B916EC" w:rsidRDefault="006A673C" w:rsidP="00BC0321">
            <w:pPr>
              <w:pStyle w:val="TAL"/>
              <w:rPr>
                <w:sz w:val="16"/>
              </w:rPr>
            </w:pPr>
            <w:r w:rsidRPr="006A673C">
              <w:rPr>
                <w:sz w:val="16"/>
              </w:rPr>
              <w:t>(Late Drop) CR on PRACH Power Ramping Counter Suspension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D943F11" w14:textId="77777777" w:rsidR="00A2228C" w:rsidRPr="00B916EC" w:rsidRDefault="00A2228C" w:rsidP="00BC0321">
            <w:pPr>
              <w:pStyle w:val="TAL"/>
              <w:rPr>
                <w:sz w:val="16"/>
                <w:szCs w:val="16"/>
                <w:lang w:eastAsia="zh-CN"/>
              </w:rPr>
            </w:pPr>
            <w:r>
              <w:rPr>
                <w:sz w:val="16"/>
                <w:szCs w:val="16"/>
                <w:lang w:eastAsia="zh-CN"/>
              </w:rPr>
              <w:t>15.5.0</w:t>
            </w:r>
          </w:p>
        </w:tc>
      </w:tr>
      <w:tr w:rsidR="006A673C" w:rsidRPr="00B916EC" w14:paraId="362612DD" w14:textId="77777777" w:rsidTr="006A673C">
        <w:tc>
          <w:tcPr>
            <w:tcW w:w="894" w:type="dxa"/>
            <w:tcBorders>
              <w:top w:val="single" w:sz="6" w:space="0" w:color="auto"/>
              <w:left w:val="single" w:sz="6" w:space="0" w:color="auto"/>
              <w:bottom w:val="single" w:sz="6" w:space="0" w:color="auto"/>
              <w:right w:val="single" w:sz="6" w:space="0" w:color="auto"/>
            </w:tcBorders>
            <w:shd w:val="solid" w:color="FFFFFF" w:fill="auto"/>
          </w:tcPr>
          <w:p w14:paraId="06026C82" w14:textId="77777777" w:rsidR="006A673C" w:rsidRPr="00B916EC" w:rsidRDefault="006A673C"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6096A1B" w14:textId="77777777" w:rsidR="006A673C" w:rsidRPr="00B916EC" w:rsidRDefault="006A673C" w:rsidP="00BC0321">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2384E19" w14:textId="77777777" w:rsidR="006A673C" w:rsidRPr="00B916EC" w:rsidRDefault="006A673C" w:rsidP="00BC0321">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518E913" w14:textId="77777777" w:rsidR="006A673C" w:rsidRPr="00B916EC" w:rsidRDefault="006A673C" w:rsidP="00BC0321">
            <w:pPr>
              <w:pStyle w:val="TAL"/>
              <w:rPr>
                <w:sz w:val="16"/>
                <w:szCs w:val="16"/>
              </w:rPr>
            </w:pPr>
            <w:r>
              <w:rPr>
                <w:sz w:val="16"/>
                <w:szCs w:val="16"/>
              </w:rPr>
              <w:t>0023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7B26F7F" w14:textId="77777777" w:rsidR="006A673C" w:rsidRPr="00B916EC" w:rsidRDefault="006A673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36C1CB3" w14:textId="77777777" w:rsidR="006A673C" w:rsidRPr="006C70FD" w:rsidRDefault="006A673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595D664" w14:textId="77777777" w:rsidR="006A673C" w:rsidRPr="00B916EC" w:rsidRDefault="006A673C" w:rsidP="00BC0321">
            <w:pPr>
              <w:pStyle w:val="TAL"/>
              <w:rPr>
                <w:sz w:val="16"/>
              </w:rPr>
            </w:pPr>
            <w:r w:rsidRPr="006A673C">
              <w:rPr>
                <w:sz w:val="16"/>
              </w:rPr>
              <w:t>QCL properties of Msg4 in CONNECTED Mode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04EB297" w14:textId="77777777" w:rsidR="006A673C" w:rsidRPr="00B916EC" w:rsidRDefault="006A673C" w:rsidP="00BC0321">
            <w:pPr>
              <w:pStyle w:val="TAL"/>
              <w:rPr>
                <w:sz w:val="16"/>
                <w:szCs w:val="16"/>
                <w:lang w:eastAsia="zh-CN"/>
              </w:rPr>
            </w:pPr>
            <w:r>
              <w:rPr>
                <w:sz w:val="16"/>
                <w:szCs w:val="16"/>
                <w:lang w:eastAsia="zh-CN"/>
              </w:rPr>
              <w:t>15.5.0</w:t>
            </w:r>
          </w:p>
        </w:tc>
      </w:tr>
      <w:tr w:rsidR="006A673C" w:rsidRPr="00B916EC" w14:paraId="246D7678" w14:textId="77777777" w:rsidTr="006A673C">
        <w:tc>
          <w:tcPr>
            <w:tcW w:w="894" w:type="dxa"/>
            <w:tcBorders>
              <w:top w:val="single" w:sz="6" w:space="0" w:color="auto"/>
              <w:left w:val="single" w:sz="6" w:space="0" w:color="auto"/>
              <w:bottom w:val="single" w:sz="6" w:space="0" w:color="auto"/>
              <w:right w:val="single" w:sz="6" w:space="0" w:color="auto"/>
            </w:tcBorders>
            <w:shd w:val="solid" w:color="FFFFFF" w:fill="auto"/>
          </w:tcPr>
          <w:p w14:paraId="6DAE711D" w14:textId="77777777" w:rsidR="006A673C" w:rsidRPr="00B916EC" w:rsidRDefault="006A673C"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83654A7" w14:textId="77777777" w:rsidR="006A673C" w:rsidRPr="00B916EC" w:rsidRDefault="006A673C" w:rsidP="00BC0321">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75A72E5" w14:textId="77777777" w:rsidR="006A673C" w:rsidRPr="00B916EC" w:rsidRDefault="006A673C" w:rsidP="00BC0321">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3F68812" w14:textId="77777777" w:rsidR="006A673C" w:rsidRPr="00B916EC" w:rsidRDefault="006A673C" w:rsidP="00BC0321">
            <w:pPr>
              <w:pStyle w:val="TAL"/>
              <w:rPr>
                <w:sz w:val="16"/>
                <w:szCs w:val="16"/>
              </w:rPr>
            </w:pPr>
            <w:r>
              <w:rPr>
                <w:sz w:val="16"/>
                <w:szCs w:val="16"/>
              </w:rPr>
              <w:t>0024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3CEDBF4" w14:textId="77777777" w:rsidR="006A673C" w:rsidRPr="00B916EC" w:rsidRDefault="006A673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1D8E911" w14:textId="77777777" w:rsidR="006A673C" w:rsidRPr="006C70FD" w:rsidRDefault="006A673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97231AE" w14:textId="77777777" w:rsidR="006A673C" w:rsidRPr="00B916EC" w:rsidRDefault="006A673C" w:rsidP="00BC0321">
            <w:pPr>
              <w:pStyle w:val="TAL"/>
              <w:rPr>
                <w:sz w:val="16"/>
              </w:rPr>
            </w:pPr>
            <w:r w:rsidRPr="006A673C">
              <w:rPr>
                <w:sz w:val="16"/>
              </w:rPr>
              <w:t>CR on latency after gNB response for recovery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CE8A778" w14:textId="77777777" w:rsidR="006A673C" w:rsidRPr="00B916EC" w:rsidRDefault="006A673C" w:rsidP="00BC0321">
            <w:pPr>
              <w:pStyle w:val="TAL"/>
              <w:rPr>
                <w:sz w:val="16"/>
                <w:szCs w:val="16"/>
                <w:lang w:eastAsia="zh-CN"/>
              </w:rPr>
            </w:pPr>
            <w:r>
              <w:rPr>
                <w:sz w:val="16"/>
                <w:szCs w:val="16"/>
                <w:lang w:eastAsia="zh-CN"/>
              </w:rPr>
              <w:t>15.5.0</w:t>
            </w:r>
          </w:p>
        </w:tc>
      </w:tr>
      <w:tr w:rsidR="003C0B8D" w:rsidRPr="00B916EC" w14:paraId="38B2D1EC" w14:textId="77777777" w:rsidTr="003C0B8D">
        <w:tc>
          <w:tcPr>
            <w:tcW w:w="894" w:type="dxa"/>
            <w:tcBorders>
              <w:top w:val="single" w:sz="6" w:space="0" w:color="auto"/>
              <w:left w:val="single" w:sz="6" w:space="0" w:color="auto"/>
              <w:bottom w:val="single" w:sz="6" w:space="0" w:color="auto"/>
              <w:right w:val="single" w:sz="6" w:space="0" w:color="auto"/>
            </w:tcBorders>
            <w:shd w:val="solid" w:color="FFFFFF" w:fill="auto"/>
          </w:tcPr>
          <w:p w14:paraId="1666A533" w14:textId="77777777" w:rsidR="003C0B8D" w:rsidRPr="00B916EC" w:rsidRDefault="003C0B8D"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ADC5391" w14:textId="77777777" w:rsidR="003C0B8D" w:rsidRPr="00B916EC" w:rsidRDefault="003C0B8D" w:rsidP="00BC0321">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17ECACC" w14:textId="77777777" w:rsidR="003C0B8D" w:rsidRPr="00B916EC" w:rsidRDefault="003C0B8D" w:rsidP="00BC0321">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836EE52" w14:textId="77777777" w:rsidR="003C0B8D" w:rsidRPr="00B916EC" w:rsidRDefault="003C0B8D" w:rsidP="00BC0321">
            <w:pPr>
              <w:pStyle w:val="TAL"/>
              <w:rPr>
                <w:sz w:val="16"/>
                <w:szCs w:val="16"/>
              </w:rPr>
            </w:pPr>
            <w:r>
              <w:rPr>
                <w:sz w:val="16"/>
                <w:szCs w:val="16"/>
              </w:rPr>
              <w:t>0025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E617D27" w14:textId="77777777" w:rsidR="003C0B8D" w:rsidRPr="00B916EC" w:rsidRDefault="003C0B8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D0B384D" w14:textId="77777777" w:rsidR="003C0B8D" w:rsidRPr="006C70FD" w:rsidRDefault="003C0B8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27BDAD6" w14:textId="48D600A1" w:rsidR="003C0B8D" w:rsidRPr="00B916EC" w:rsidRDefault="003C0B8D" w:rsidP="00BC0321">
            <w:pPr>
              <w:pStyle w:val="TAL"/>
              <w:rPr>
                <w:sz w:val="16"/>
              </w:rPr>
            </w:pPr>
            <w:r w:rsidRPr="003C0B8D">
              <w:rPr>
                <w:sz w:val="16"/>
              </w:rPr>
              <w:t xml:space="preserve">Clarifying DL reception and  UL </w:t>
            </w:r>
            <w:r w:rsidR="007051AC" w:rsidRPr="003C0B8D">
              <w:rPr>
                <w:sz w:val="16"/>
              </w:rPr>
              <w:t>transmission</w:t>
            </w:r>
            <w:r w:rsidRPr="003C0B8D">
              <w:rPr>
                <w:sz w:val="16"/>
              </w:rPr>
              <w:t xml:space="preserve"> related restrictions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486F6B2" w14:textId="77777777" w:rsidR="003C0B8D" w:rsidRPr="00B916EC" w:rsidRDefault="003C0B8D" w:rsidP="00BC0321">
            <w:pPr>
              <w:pStyle w:val="TAL"/>
              <w:rPr>
                <w:sz w:val="16"/>
                <w:szCs w:val="16"/>
                <w:lang w:eastAsia="zh-CN"/>
              </w:rPr>
            </w:pPr>
            <w:r>
              <w:rPr>
                <w:sz w:val="16"/>
                <w:szCs w:val="16"/>
                <w:lang w:eastAsia="zh-CN"/>
              </w:rPr>
              <w:t>15.5.0</w:t>
            </w:r>
          </w:p>
        </w:tc>
      </w:tr>
      <w:tr w:rsidR="003C0B8D" w:rsidRPr="00B916EC" w14:paraId="438169C3" w14:textId="77777777" w:rsidTr="003C0B8D">
        <w:tc>
          <w:tcPr>
            <w:tcW w:w="894" w:type="dxa"/>
            <w:tcBorders>
              <w:top w:val="single" w:sz="6" w:space="0" w:color="auto"/>
              <w:left w:val="single" w:sz="6" w:space="0" w:color="auto"/>
              <w:bottom w:val="single" w:sz="6" w:space="0" w:color="auto"/>
              <w:right w:val="single" w:sz="6" w:space="0" w:color="auto"/>
            </w:tcBorders>
            <w:shd w:val="solid" w:color="FFFFFF" w:fill="auto"/>
          </w:tcPr>
          <w:p w14:paraId="3F2C1A9C" w14:textId="77777777" w:rsidR="003C0B8D" w:rsidRPr="00B916EC" w:rsidRDefault="003C0B8D"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A059E47" w14:textId="77777777" w:rsidR="003C0B8D" w:rsidRPr="00B916EC" w:rsidRDefault="003C0B8D" w:rsidP="00BC0321">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495C7D5" w14:textId="77777777" w:rsidR="003C0B8D" w:rsidRPr="00B916EC" w:rsidRDefault="003C0B8D" w:rsidP="00BC0321">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1201F80" w14:textId="77777777" w:rsidR="003C0B8D" w:rsidRPr="00B916EC" w:rsidRDefault="003C0B8D" w:rsidP="00BC0321">
            <w:pPr>
              <w:pStyle w:val="TAL"/>
              <w:rPr>
                <w:sz w:val="16"/>
                <w:szCs w:val="16"/>
              </w:rPr>
            </w:pPr>
            <w:r>
              <w:rPr>
                <w:sz w:val="16"/>
                <w:szCs w:val="16"/>
              </w:rPr>
              <w:t>0026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8656BA3" w14:textId="77777777" w:rsidR="003C0B8D" w:rsidRPr="00B916EC" w:rsidRDefault="003C0B8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5DF0289" w14:textId="77777777" w:rsidR="003C0B8D" w:rsidRPr="006C70FD" w:rsidRDefault="003C0B8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771360E" w14:textId="77777777" w:rsidR="003C0B8D" w:rsidRPr="00B916EC" w:rsidRDefault="003C0B8D" w:rsidP="00BC0321">
            <w:pPr>
              <w:pStyle w:val="TAL"/>
              <w:rPr>
                <w:sz w:val="16"/>
              </w:rPr>
            </w:pPr>
            <w:r w:rsidRPr="003C0B8D">
              <w:rPr>
                <w:sz w:val="16"/>
              </w:rPr>
              <w:t>CR on QCL assumption for receiving PDCCH for RAR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33B3B0" w14:textId="77777777" w:rsidR="003C0B8D" w:rsidRPr="00B916EC" w:rsidRDefault="003C0B8D" w:rsidP="00BC0321">
            <w:pPr>
              <w:pStyle w:val="TAL"/>
              <w:rPr>
                <w:sz w:val="16"/>
                <w:szCs w:val="16"/>
                <w:lang w:eastAsia="zh-CN"/>
              </w:rPr>
            </w:pPr>
            <w:r>
              <w:rPr>
                <w:sz w:val="16"/>
                <w:szCs w:val="16"/>
                <w:lang w:eastAsia="zh-CN"/>
              </w:rPr>
              <w:t>15.5.0</w:t>
            </w:r>
          </w:p>
        </w:tc>
      </w:tr>
      <w:tr w:rsidR="003C0B8D" w:rsidRPr="00B916EC" w14:paraId="5EDDD17D" w14:textId="77777777" w:rsidTr="003C0B8D">
        <w:tc>
          <w:tcPr>
            <w:tcW w:w="894" w:type="dxa"/>
            <w:tcBorders>
              <w:top w:val="single" w:sz="6" w:space="0" w:color="auto"/>
              <w:left w:val="single" w:sz="6" w:space="0" w:color="auto"/>
              <w:bottom w:val="single" w:sz="6" w:space="0" w:color="auto"/>
              <w:right w:val="single" w:sz="6" w:space="0" w:color="auto"/>
            </w:tcBorders>
            <w:shd w:val="solid" w:color="FFFFFF" w:fill="auto"/>
          </w:tcPr>
          <w:p w14:paraId="56C33D5F" w14:textId="77777777" w:rsidR="003C0B8D" w:rsidRPr="00B916EC" w:rsidRDefault="003C0B8D"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B16560E" w14:textId="77777777" w:rsidR="003C0B8D" w:rsidRPr="00B916EC" w:rsidRDefault="003C0B8D" w:rsidP="00BC0321">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2F02A2E" w14:textId="77777777" w:rsidR="003C0B8D" w:rsidRPr="00B916EC" w:rsidRDefault="003C0B8D" w:rsidP="00BC0321">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28F1169" w14:textId="77777777" w:rsidR="003C0B8D" w:rsidRPr="00B916EC" w:rsidRDefault="003C0B8D" w:rsidP="00BC0321">
            <w:pPr>
              <w:pStyle w:val="TAL"/>
              <w:rPr>
                <w:sz w:val="16"/>
                <w:szCs w:val="16"/>
              </w:rPr>
            </w:pPr>
            <w:r>
              <w:rPr>
                <w:sz w:val="16"/>
                <w:szCs w:val="16"/>
              </w:rPr>
              <w:t>0027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59BB5CD" w14:textId="77777777" w:rsidR="003C0B8D" w:rsidRPr="00B916EC" w:rsidRDefault="003C0B8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19A25FC" w14:textId="77777777" w:rsidR="003C0B8D" w:rsidRPr="006C70FD" w:rsidRDefault="003C0B8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1AFE3FA" w14:textId="77777777" w:rsidR="003C0B8D" w:rsidRPr="00B916EC" w:rsidRDefault="003C0B8D" w:rsidP="00BC0321">
            <w:pPr>
              <w:pStyle w:val="TAL"/>
              <w:rPr>
                <w:sz w:val="16"/>
              </w:rPr>
            </w:pPr>
            <w:r w:rsidRPr="003C0B8D">
              <w:rPr>
                <w:sz w:val="16"/>
              </w:rPr>
              <w:t>CR on identifying transmission occasion after resetting a PC closed loop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3C9C6D6" w14:textId="77777777" w:rsidR="003C0B8D" w:rsidRPr="00B916EC" w:rsidRDefault="003C0B8D" w:rsidP="00BC0321">
            <w:pPr>
              <w:pStyle w:val="TAL"/>
              <w:rPr>
                <w:sz w:val="16"/>
                <w:szCs w:val="16"/>
                <w:lang w:eastAsia="zh-CN"/>
              </w:rPr>
            </w:pPr>
            <w:r>
              <w:rPr>
                <w:sz w:val="16"/>
                <w:szCs w:val="16"/>
                <w:lang w:eastAsia="zh-CN"/>
              </w:rPr>
              <w:t>15.5.0</w:t>
            </w:r>
          </w:p>
        </w:tc>
      </w:tr>
      <w:tr w:rsidR="001060A5" w:rsidRPr="00B916EC" w14:paraId="4D6FD771" w14:textId="77777777" w:rsidTr="001060A5">
        <w:tc>
          <w:tcPr>
            <w:tcW w:w="894" w:type="dxa"/>
            <w:tcBorders>
              <w:top w:val="single" w:sz="6" w:space="0" w:color="auto"/>
              <w:left w:val="single" w:sz="6" w:space="0" w:color="auto"/>
              <w:bottom w:val="single" w:sz="6" w:space="0" w:color="auto"/>
              <w:right w:val="single" w:sz="6" w:space="0" w:color="auto"/>
            </w:tcBorders>
            <w:shd w:val="solid" w:color="FFFFFF" w:fill="auto"/>
          </w:tcPr>
          <w:p w14:paraId="7EBA88C4" w14:textId="77777777" w:rsidR="001060A5" w:rsidRPr="00B916EC" w:rsidRDefault="001060A5"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51DB7AB" w14:textId="77777777" w:rsidR="001060A5" w:rsidRPr="00B916EC" w:rsidRDefault="001060A5" w:rsidP="00BC0321">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01C0DAF" w14:textId="77777777" w:rsidR="001060A5" w:rsidRPr="00B916EC" w:rsidRDefault="001060A5" w:rsidP="00BC0321">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F45E85C" w14:textId="77777777" w:rsidR="001060A5" w:rsidRPr="00B916EC" w:rsidRDefault="001060A5" w:rsidP="00BC0321">
            <w:pPr>
              <w:pStyle w:val="TAL"/>
              <w:rPr>
                <w:sz w:val="16"/>
                <w:szCs w:val="16"/>
              </w:rPr>
            </w:pPr>
            <w:r>
              <w:rPr>
                <w:sz w:val="16"/>
                <w:szCs w:val="16"/>
              </w:rPr>
              <w:t>0028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7EFFFF1" w14:textId="77777777" w:rsidR="001060A5" w:rsidRPr="00B916EC" w:rsidRDefault="001060A5"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D3A9765" w14:textId="77777777" w:rsidR="001060A5" w:rsidRPr="006C70FD" w:rsidRDefault="001060A5"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BCEC52D" w14:textId="77777777" w:rsidR="001060A5" w:rsidRPr="00B916EC" w:rsidRDefault="001060A5" w:rsidP="00BC0321">
            <w:pPr>
              <w:pStyle w:val="TAL"/>
              <w:rPr>
                <w:sz w:val="16"/>
              </w:rPr>
            </w:pPr>
            <w:r w:rsidRPr="001060A5">
              <w:rPr>
                <w:sz w:val="16"/>
              </w:rPr>
              <w:t>CR on overlapping of CSI and PUSCH with slot aggregation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66F0DC3" w14:textId="77777777" w:rsidR="001060A5" w:rsidRPr="00B916EC" w:rsidRDefault="001060A5" w:rsidP="00BC0321">
            <w:pPr>
              <w:pStyle w:val="TAL"/>
              <w:rPr>
                <w:sz w:val="16"/>
                <w:szCs w:val="16"/>
                <w:lang w:eastAsia="zh-CN"/>
              </w:rPr>
            </w:pPr>
            <w:r>
              <w:rPr>
                <w:sz w:val="16"/>
                <w:szCs w:val="16"/>
                <w:lang w:eastAsia="zh-CN"/>
              </w:rPr>
              <w:t>15.5.0</w:t>
            </w:r>
          </w:p>
        </w:tc>
      </w:tr>
      <w:tr w:rsidR="00617287" w:rsidRPr="00B916EC" w14:paraId="3CA2FD88" w14:textId="77777777" w:rsidTr="00617287">
        <w:tc>
          <w:tcPr>
            <w:tcW w:w="894" w:type="dxa"/>
            <w:tcBorders>
              <w:top w:val="single" w:sz="6" w:space="0" w:color="auto"/>
              <w:left w:val="single" w:sz="6" w:space="0" w:color="auto"/>
              <w:bottom w:val="single" w:sz="6" w:space="0" w:color="auto"/>
              <w:right w:val="single" w:sz="6" w:space="0" w:color="auto"/>
            </w:tcBorders>
            <w:shd w:val="solid" w:color="FFFFFF" w:fill="auto"/>
          </w:tcPr>
          <w:p w14:paraId="56A8EF94" w14:textId="77777777" w:rsidR="00617287" w:rsidRPr="00B916EC" w:rsidRDefault="00617287"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9FBDF54" w14:textId="77777777" w:rsidR="00617287" w:rsidRPr="00B916EC" w:rsidRDefault="00617287" w:rsidP="00BC0321">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EB355D5" w14:textId="77777777" w:rsidR="00617287" w:rsidRPr="00B916EC" w:rsidRDefault="00617287" w:rsidP="00BC0321">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0F0AEB0" w14:textId="77777777" w:rsidR="00617287" w:rsidRPr="00B916EC" w:rsidRDefault="00617287" w:rsidP="00BC0321">
            <w:pPr>
              <w:pStyle w:val="TAL"/>
              <w:rPr>
                <w:sz w:val="16"/>
                <w:szCs w:val="16"/>
              </w:rPr>
            </w:pPr>
            <w:r>
              <w:rPr>
                <w:sz w:val="16"/>
                <w:szCs w:val="16"/>
              </w:rPr>
              <w:t>0029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C6A5567" w14:textId="77777777" w:rsidR="00617287" w:rsidRPr="00B916EC" w:rsidRDefault="00617287"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65B247E" w14:textId="77777777" w:rsidR="00617287" w:rsidRPr="006C70FD" w:rsidRDefault="00617287"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193AD1B" w14:textId="77777777" w:rsidR="00617287" w:rsidRPr="00B916EC" w:rsidRDefault="00617287" w:rsidP="00BC0321">
            <w:pPr>
              <w:pStyle w:val="TAL"/>
              <w:rPr>
                <w:sz w:val="16"/>
              </w:rPr>
            </w:pPr>
            <w:r w:rsidRPr="00617287">
              <w:rPr>
                <w:sz w:val="16"/>
              </w:rPr>
              <w:t>Correction on PHR timing for configured grant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964D743" w14:textId="77777777" w:rsidR="00617287" w:rsidRPr="00B916EC" w:rsidRDefault="00617287" w:rsidP="00BC0321">
            <w:pPr>
              <w:pStyle w:val="TAL"/>
              <w:rPr>
                <w:sz w:val="16"/>
                <w:szCs w:val="16"/>
                <w:lang w:eastAsia="zh-CN"/>
              </w:rPr>
            </w:pPr>
            <w:r>
              <w:rPr>
                <w:sz w:val="16"/>
                <w:szCs w:val="16"/>
                <w:lang w:eastAsia="zh-CN"/>
              </w:rPr>
              <w:t>15.5.0</w:t>
            </w:r>
          </w:p>
        </w:tc>
      </w:tr>
      <w:tr w:rsidR="007146CD" w:rsidRPr="00B916EC" w14:paraId="13CEABAE" w14:textId="77777777" w:rsidTr="007146CD">
        <w:tc>
          <w:tcPr>
            <w:tcW w:w="894" w:type="dxa"/>
            <w:tcBorders>
              <w:top w:val="single" w:sz="6" w:space="0" w:color="auto"/>
              <w:left w:val="single" w:sz="6" w:space="0" w:color="auto"/>
              <w:bottom w:val="single" w:sz="6" w:space="0" w:color="auto"/>
              <w:right w:val="single" w:sz="6" w:space="0" w:color="auto"/>
            </w:tcBorders>
            <w:shd w:val="solid" w:color="FFFFFF" w:fill="auto"/>
          </w:tcPr>
          <w:p w14:paraId="53E51C3A" w14:textId="77777777" w:rsidR="007146CD" w:rsidRPr="00B916EC" w:rsidRDefault="007146CD"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778C466" w14:textId="77777777" w:rsidR="007146CD" w:rsidRPr="00B916EC" w:rsidRDefault="007146CD" w:rsidP="00BC0321">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F13430B" w14:textId="77777777" w:rsidR="007146CD" w:rsidRPr="00B916EC" w:rsidRDefault="007146CD" w:rsidP="00BC0321">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0FFA322" w14:textId="77777777" w:rsidR="007146CD" w:rsidRPr="00B916EC" w:rsidRDefault="007146CD" w:rsidP="00BC0321">
            <w:pPr>
              <w:pStyle w:val="TAL"/>
              <w:rPr>
                <w:sz w:val="16"/>
                <w:szCs w:val="16"/>
              </w:rPr>
            </w:pPr>
            <w:r>
              <w:rPr>
                <w:sz w:val="16"/>
                <w:szCs w:val="16"/>
              </w:rPr>
              <w:t>0030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A223AA7" w14:textId="77777777" w:rsidR="007146CD" w:rsidRPr="00B916EC" w:rsidRDefault="007146C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E30D057" w14:textId="77777777" w:rsidR="007146CD" w:rsidRPr="006C70FD" w:rsidRDefault="007146C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1B571E0" w14:textId="77777777" w:rsidR="007146CD" w:rsidRPr="00B916EC" w:rsidRDefault="007146CD" w:rsidP="00BC0321">
            <w:pPr>
              <w:pStyle w:val="TAL"/>
              <w:rPr>
                <w:sz w:val="16"/>
              </w:rPr>
            </w:pPr>
            <w:r w:rsidRPr="007146CD">
              <w:rPr>
                <w:sz w:val="16"/>
              </w:rPr>
              <w:t>CR on QCL assumption for a CORESET other than 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8DE50CD" w14:textId="77777777" w:rsidR="007146CD" w:rsidRPr="00B916EC" w:rsidRDefault="007146CD" w:rsidP="00BC0321">
            <w:pPr>
              <w:pStyle w:val="TAL"/>
              <w:rPr>
                <w:sz w:val="16"/>
                <w:szCs w:val="16"/>
                <w:lang w:eastAsia="zh-CN"/>
              </w:rPr>
            </w:pPr>
            <w:r>
              <w:rPr>
                <w:sz w:val="16"/>
                <w:szCs w:val="16"/>
                <w:lang w:eastAsia="zh-CN"/>
              </w:rPr>
              <w:t>15.5.0</w:t>
            </w:r>
          </w:p>
        </w:tc>
      </w:tr>
      <w:tr w:rsidR="00B9419B" w:rsidRPr="00B916EC" w14:paraId="50B5B074" w14:textId="77777777" w:rsidTr="00B9419B">
        <w:tc>
          <w:tcPr>
            <w:tcW w:w="894" w:type="dxa"/>
            <w:tcBorders>
              <w:top w:val="single" w:sz="6" w:space="0" w:color="auto"/>
              <w:left w:val="single" w:sz="6" w:space="0" w:color="auto"/>
              <w:bottom w:val="single" w:sz="6" w:space="0" w:color="auto"/>
              <w:right w:val="single" w:sz="6" w:space="0" w:color="auto"/>
            </w:tcBorders>
            <w:shd w:val="solid" w:color="FFFFFF" w:fill="auto"/>
          </w:tcPr>
          <w:p w14:paraId="7A9CF891" w14:textId="77777777" w:rsidR="00B9419B" w:rsidRPr="00B916EC" w:rsidRDefault="00B9419B"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2F8C204" w14:textId="77777777" w:rsidR="00B9419B" w:rsidRPr="00B916EC" w:rsidRDefault="00B9419B" w:rsidP="00BC0321">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C3810A8" w14:textId="77777777" w:rsidR="00B9419B" w:rsidRPr="00B916EC" w:rsidRDefault="00B9419B" w:rsidP="00BC0321">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DE3EAF4" w14:textId="77777777" w:rsidR="00B9419B" w:rsidRPr="00B916EC" w:rsidRDefault="00B9419B" w:rsidP="00BC0321">
            <w:pPr>
              <w:pStyle w:val="TAL"/>
              <w:rPr>
                <w:sz w:val="16"/>
                <w:szCs w:val="16"/>
              </w:rPr>
            </w:pPr>
            <w:r>
              <w:rPr>
                <w:sz w:val="16"/>
                <w:szCs w:val="16"/>
              </w:rPr>
              <w:t>0031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BB95806" w14:textId="77777777" w:rsidR="00B9419B" w:rsidRPr="00B916EC" w:rsidRDefault="00B9419B"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072BFAA" w14:textId="77777777" w:rsidR="00B9419B" w:rsidRPr="006C70FD" w:rsidRDefault="00B9419B"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D2F9C4B" w14:textId="77777777" w:rsidR="00B9419B" w:rsidRPr="00B916EC" w:rsidRDefault="00B9419B" w:rsidP="00BC0321">
            <w:pPr>
              <w:pStyle w:val="TAL"/>
              <w:rPr>
                <w:sz w:val="16"/>
              </w:rPr>
            </w:pPr>
            <w:r w:rsidRPr="00B9419B">
              <w:rPr>
                <w:sz w:val="16"/>
              </w:rPr>
              <w:t>Correction on DCI format 2_3 for SUL cell in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68BEAA5" w14:textId="77777777" w:rsidR="00B9419B" w:rsidRPr="00B916EC" w:rsidRDefault="00B9419B" w:rsidP="00BC0321">
            <w:pPr>
              <w:pStyle w:val="TAL"/>
              <w:rPr>
                <w:sz w:val="16"/>
                <w:szCs w:val="16"/>
                <w:lang w:eastAsia="zh-CN"/>
              </w:rPr>
            </w:pPr>
            <w:r>
              <w:rPr>
                <w:sz w:val="16"/>
                <w:szCs w:val="16"/>
                <w:lang w:eastAsia="zh-CN"/>
              </w:rPr>
              <w:t>15.5.0</w:t>
            </w:r>
          </w:p>
        </w:tc>
      </w:tr>
      <w:tr w:rsidR="004917D8" w:rsidRPr="00B916EC" w14:paraId="12F79095" w14:textId="77777777" w:rsidTr="004917D8">
        <w:tc>
          <w:tcPr>
            <w:tcW w:w="894" w:type="dxa"/>
            <w:tcBorders>
              <w:top w:val="single" w:sz="6" w:space="0" w:color="auto"/>
              <w:left w:val="single" w:sz="6" w:space="0" w:color="auto"/>
              <w:bottom w:val="single" w:sz="6" w:space="0" w:color="auto"/>
              <w:right w:val="single" w:sz="6" w:space="0" w:color="auto"/>
            </w:tcBorders>
            <w:shd w:val="solid" w:color="FFFFFF" w:fill="auto"/>
          </w:tcPr>
          <w:p w14:paraId="653F3D49" w14:textId="77777777" w:rsidR="004917D8" w:rsidRPr="00B916EC" w:rsidRDefault="004917D8"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61F0FFB" w14:textId="77777777" w:rsidR="004917D8" w:rsidRPr="00B916EC" w:rsidRDefault="004917D8" w:rsidP="00BC0321">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0B4F0B1" w14:textId="77777777" w:rsidR="004917D8" w:rsidRPr="00B916EC" w:rsidRDefault="004917D8" w:rsidP="00BC0321">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8828E58" w14:textId="77777777" w:rsidR="004917D8" w:rsidRPr="00B916EC" w:rsidRDefault="004917D8" w:rsidP="00BC0321">
            <w:pPr>
              <w:pStyle w:val="TAL"/>
              <w:rPr>
                <w:sz w:val="16"/>
                <w:szCs w:val="16"/>
              </w:rPr>
            </w:pPr>
            <w:r>
              <w:rPr>
                <w:sz w:val="16"/>
                <w:szCs w:val="16"/>
              </w:rPr>
              <w:t>0032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39B89DB" w14:textId="77777777" w:rsidR="004917D8" w:rsidRPr="00B916EC" w:rsidRDefault="004917D8"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1045FC3" w14:textId="77777777" w:rsidR="004917D8" w:rsidRPr="006C70FD" w:rsidRDefault="004917D8"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FDAA770" w14:textId="77777777" w:rsidR="004917D8" w:rsidRPr="00B916EC" w:rsidRDefault="004917D8" w:rsidP="00BC0321">
            <w:pPr>
              <w:pStyle w:val="TAL"/>
              <w:rPr>
                <w:sz w:val="16"/>
              </w:rPr>
            </w:pPr>
            <w:r w:rsidRPr="004917D8">
              <w:rPr>
                <w:sz w:val="16"/>
              </w:rPr>
              <w:t>Correction to support FR1 extension to 7.125 GHz</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256473C" w14:textId="77777777" w:rsidR="004917D8" w:rsidRPr="00B916EC" w:rsidRDefault="004917D8" w:rsidP="00BC0321">
            <w:pPr>
              <w:pStyle w:val="TAL"/>
              <w:rPr>
                <w:sz w:val="16"/>
                <w:szCs w:val="16"/>
                <w:lang w:eastAsia="zh-CN"/>
              </w:rPr>
            </w:pPr>
            <w:r>
              <w:rPr>
                <w:sz w:val="16"/>
                <w:szCs w:val="16"/>
                <w:lang w:eastAsia="zh-CN"/>
              </w:rPr>
              <w:t>15.5.0</w:t>
            </w:r>
          </w:p>
        </w:tc>
      </w:tr>
      <w:tr w:rsidR="004917D8" w:rsidRPr="00B916EC" w14:paraId="7D3B57E4" w14:textId="77777777" w:rsidTr="004917D8">
        <w:tc>
          <w:tcPr>
            <w:tcW w:w="894" w:type="dxa"/>
            <w:tcBorders>
              <w:top w:val="single" w:sz="6" w:space="0" w:color="auto"/>
              <w:left w:val="single" w:sz="6" w:space="0" w:color="auto"/>
              <w:bottom w:val="single" w:sz="6" w:space="0" w:color="auto"/>
              <w:right w:val="single" w:sz="6" w:space="0" w:color="auto"/>
            </w:tcBorders>
            <w:shd w:val="solid" w:color="FFFFFF" w:fill="auto"/>
          </w:tcPr>
          <w:p w14:paraId="3E72580E" w14:textId="77777777" w:rsidR="004917D8" w:rsidRPr="00B916EC" w:rsidRDefault="004917D8"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3A8E634" w14:textId="77777777" w:rsidR="004917D8" w:rsidRPr="00B916EC" w:rsidRDefault="004917D8" w:rsidP="00BC0321">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1943FEB" w14:textId="77777777" w:rsidR="004917D8" w:rsidRPr="00B916EC" w:rsidRDefault="004917D8" w:rsidP="00BC0321">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F64EAD7" w14:textId="77777777" w:rsidR="004917D8" w:rsidRPr="00B916EC" w:rsidRDefault="004917D8" w:rsidP="00BC0321">
            <w:pPr>
              <w:pStyle w:val="TAL"/>
              <w:rPr>
                <w:sz w:val="16"/>
                <w:szCs w:val="16"/>
              </w:rPr>
            </w:pPr>
            <w:r>
              <w:rPr>
                <w:sz w:val="16"/>
                <w:szCs w:val="16"/>
              </w:rPr>
              <w:t>0033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D923D75" w14:textId="77777777" w:rsidR="004917D8" w:rsidRPr="00B916EC" w:rsidRDefault="004917D8"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E4C7504" w14:textId="77777777" w:rsidR="004917D8" w:rsidRPr="006C70FD" w:rsidRDefault="004917D8"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631E72F" w14:textId="77777777" w:rsidR="004917D8" w:rsidRPr="00B916EC" w:rsidRDefault="004917D8" w:rsidP="00BC0321">
            <w:pPr>
              <w:pStyle w:val="TAL"/>
              <w:rPr>
                <w:sz w:val="16"/>
              </w:rPr>
            </w:pPr>
            <w:r w:rsidRPr="004917D8">
              <w:rPr>
                <w:sz w:val="16"/>
              </w:rPr>
              <w:t>CR on UE procedure for reporting multiple UCI types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37EA98E" w14:textId="77777777" w:rsidR="004917D8" w:rsidRPr="00B916EC" w:rsidRDefault="004917D8" w:rsidP="00BC0321">
            <w:pPr>
              <w:pStyle w:val="TAL"/>
              <w:rPr>
                <w:sz w:val="16"/>
                <w:szCs w:val="16"/>
                <w:lang w:eastAsia="zh-CN"/>
              </w:rPr>
            </w:pPr>
            <w:r>
              <w:rPr>
                <w:sz w:val="16"/>
                <w:szCs w:val="16"/>
                <w:lang w:eastAsia="zh-CN"/>
              </w:rPr>
              <w:t>15.5.0</w:t>
            </w:r>
          </w:p>
        </w:tc>
      </w:tr>
      <w:tr w:rsidR="000E0630" w:rsidRPr="00B916EC" w14:paraId="4698A35A" w14:textId="77777777" w:rsidTr="000E0630">
        <w:tc>
          <w:tcPr>
            <w:tcW w:w="894" w:type="dxa"/>
            <w:tcBorders>
              <w:top w:val="single" w:sz="6" w:space="0" w:color="auto"/>
              <w:left w:val="single" w:sz="6" w:space="0" w:color="auto"/>
              <w:bottom w:val="single" w:sz="6" w:space="0" w:color="auto"/>
              <w:right w:val="single" w:sz="6" w:space="0" w:color="auto"/>
            </w:tcBorders>
            <w:shd w:val="solid" w:color="FFFFFF" w:fill="auto"/>
          </w:tcPr>
          <w:p w14:paraId="68A7C594" w14:textId="77777777" w:rsidR="000E0630" w:rsidRPr="00B916EC" w:rsidRDefault="000E0630"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753B36F" w14:textId="77777777" w:rsidR="000E0630" w:rsidRPr="00B916EC" w:rsidRDefault="000E0630" w:rsidP="00BC0321">
            <w:pPr>
              <w:pStyle w:val="TAL"/>
              <w:rPr>
                <w:sz w:val="16"/>
                <w:szCs w:val="16"/>
                <w:lang w:eastAsia="zh-CN"/>
              </w:rPr>
            </w:pPr>
            <w:r w:rsidRPr="00B916EC">
              <w:rPr>
                <w:sz w:val="16"/>
                <w:szCs w:val="16"/>
                <w:lang w:eastAsia="zh-CN"/>
              </w:rPr>
              <w:t>RAN#</w:t>
            </w:r>
            <w:r>
              <w:rPr>
                <w:sz w:val="16"/>
                <w:szCs w:val="16"/>
                <w:lang w:eastAsia="zh-CN"/>
              </w:rPr>
              <w:t>83</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11755AF" w14:textId="77777777" w:rsidR="000E0630" w:rsidRPr="00B916EC" w:rsidRDefault="000E0630" w:rsidP="00BC0321">
            <w:pPr>
              <w:pStyle w:val="TAL"/>
              <w:rPr>
                <w:sz w:val="16"/>
                <w:szCs w:val="16"/>
                <w:lang w:eastAsia="zh-CN"/>
              </w:rPr>
            </w:pPr>
            <w:r>
              <w:rPr>
                <w:sz w:val="16"/>
                <w:szCs w:val="16"/>
                <w:lang w:eastAsia="zh-CN"/>
              </w:rPr>
              <w:t>RP-190449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73EE26E" w14:textId="77777777" w:rsidR="000E0630" w:rsidRPr="00B916EC" w:rsidRDefault="000E0630" w:rsidP="00BC0321">
            <w:pPr>
              <w:pStyle w:val="TAL"/>
              <w:rPr>
                <w:sz w:val="16"/>
                <w:szCs w:val="16"/>
              </w:rPr>
            </w:pPr>
            <w:r>
              <w:rPr>
                <w:sz w:val="16"/>
                <w:szCs w:val="16"/>
              </w:rPr>
              <w:t>0034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2817737" w14:textId="77777777" w:rsidR="000E0630" w:rsidRPr="00B916EC" w:rsidRDefault="000E0630"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BC77057" w14:textId="77777777" w:rsidR="000E0630" w:rsidRPr="006C70FD" w:rsidRDefault="000E0630"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D2DA114" w14:textId="77777777" w:rsidR="000E0630" w:rsidRPr="00B916EC" w:rsidRDefault="000E0630" w:rsidP="00BC0321">
            <w:pPr>
              <w:pStyle w:val="TAL"/>
              <w:rPr>
                <w:sz w:val="16"/>
              </w:rPr>
            </w:pPr>
            <w:r w:rsidRPr="000E0630">
              <w:rPr>
                <w:sz w:val="16"/>
              </w:rPr>
              <w:t>Correction to transmission timing adjustments in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A8976A0" w14:textId="77777777" w:rsidR="000E0630" w:rsidRPr="00B916EC" w:rsidRDefault="000E0630" w:rsidP="00BC0321">
            <w:pPr>
              <w:pStyle w:val="TAL"/>
              <w:rPr>
                <w:sz w:val="16"/>
                <w:szCs w:val="16"/>
                <w:lang w:eastAsia="zh-CN"/>
              </w:rPr>
            </w:pPr>
            <w:r>
              <w:rPr>
                <w:sz w:val="16"/>
                <w:szCs w:val="16"/>
                <w:lang w:eastAsia="zh-CN"/>
              </w:rPr>
              <w:t>15.5.0</w:t>
            </w:r>
          </w:p>
        </w:tc>
      </w:tr>
      <w:tr w:rsidR="00922323" w:rsidRPr="00B916EC" w14:paraId="1DC82194" w14:textId="77777777" w:rsidTr="00922323">
        <w:tc>
          <w:tcPr>
            <w:tcW w:w="894" w:type="dxa"/>
            <w:tcBorders>
              <w:top w:val="single" w:sz="6" w:space="0" w:color="auto"/>
              <w:left w:val="single" w:sz="6" w:space="0" w:color="auto"/>
              <w:bottom w:val="single" w:sz="6" w:space="0" w:color="auto"/>
              <w:right w:val="single" w:sz="6" w:space="0" w:color="auto"/>
            </w:tcBorders>
            <w:shd w:val="solid" w:color="FFFFFF" w:fill="auto"/>
          </w:tcPr>
          <w:p w14:paraId="68BF9B9E" w14:textId="77777777" w:rsidR="00922323" w:rsidRPr="00B916EC" w:rsidRDefault="00922323"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9C1FA21" w14:textId="77777777" w:rsidR="00922323" w:rsidRPr="00B916EC" w:rsidRDefault="00922323" w:rsidP="00BC0321">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1A595E3" w14:textId="77777777" w:rsidR="00922323" w:rsidRPr="00B916EC" w:rsidRDefault="00922323" w:rsidP="00BC0321">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873ED66" w14:textId="77777777" w:rsidR="00922323" w:rsidRPr="00B916EC" w:rsidRDefault="00922323" w:rsidP="00BC0321">
            <w:pPr>
              <w:pStyle w:val="TAL"/>
              <w:rPr>
                <w:sz w:val="16"/>
                <w:szCs w:val="16"/>
              </w:rPr>
            </w:pPr>
            <w:r>
              <w:rPr>
                <w:sz w:val="16"/>
                <w:szCs w:val="16"/>
              </w:rPr>
              <w:t>0035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26723EA" w14:textId="77777777" w:rsidR="00922323" w:rsidRPr="00B916EC" w:rsidRDefault="00922323"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9D9BB40" w14:textId="77777777" w:rsidR="00922323" w:rsidRPr="006C70FD" w:rsidRDefault="00922323"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0F147AA" w14:textId="77777777" w:rsidR="00922323" w:rsidRPr="00B916EC" w:rsidRDefault="00922323" w:rsidP="00BC0321">
            <w:pPr>
              <w:pStyle w:val="TAL"/>
              <w:rPr>
                <w:sz w:val="16"/>
              </w:rPr>
            </w:pPr>
            <w:r w:rsidRPr="00922323">
              <w:rPr>
                <w:sz w:val="16"/>
              </w:rPr>
              <w:t>CR on missing case for DCI format 1_1 with CS-RNTI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3570E30" w14:textId="77777777" w:rsidR="00922323" w:rsidRPr="00B916EC" w:rsidRDefault="00922323" w:rsidP="00BC0321">
            <w:pPr>
              <w:pStyle w:val="TAL"/>
              <w:rPr>
                <w:sz w:val="16"/>
                <w:szCs w:val="16"/>
                <w:lang w:eastAsia="zh-CN"/>
              </w:rPr>
            </w:pPr>
            <w:r>
              <w:rPr>
                <w:sz w:val="16"/>
                <w:szCs w:val="16"/>
                <w:lang w:eastAsia="zh-CN"/>
              </w:rPr>
              <w:t>15.6.0</w:t>
            </w:r>
          </w:p>
        </w:tc>
      </w:tr>
      <w:tr w:rsidR="00B4176C" w:rsidRPr="00B916EC" w14:paraId="4E54EE3F" w14:textId="77777777" w:rsidTr="00B4176C">
        <w:tc>
          <w:tcPr>
            <w:tcW w:w="894" w:type="dxa"/>
            <w:tcBorders>
              <w:top w:val="single" w:sz="6" w:space="0" w:color="auto"/>
              <w:left w:val="single" w:sz="6" w:space="0" w:color="auto"/>
              <w:bottom w:val="single" w:sz="6" w:space="0" w:color="auto"/>
              <w:right w:val="single" w:sz="6" w:space="0" w:color="auto"/>
            </w:tcBorders>
            <w:shd w:val="solid" w:color="FFFFFF" w:fill="auto"/>
          </w:tcPr>
          <w:p w14:paraId="21BCF1F3" w14:textId="77777777" w:rsidR="00B4176C" w:rsidRPr="00B916EC" w:rsidRDefault="00B4176C"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89AC02E" w14:textId="77777777" w:rsidR="00B4176C" w:rsidRPr="00B916EC" w:rsidRDefault="00B4176C" w:rsidP="00BC0321">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3CB9ACD" w14:textId="77777777" w:rsidR="00B4176C" w:rsidRPr="00B916EC" w:rsidRDefault="00B4176C" w:rsidP="00BC0321">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4FE6824" w14:textId="77777777" w:rsidR="00B4176C" w:rsidRPr="00B916EC" w:rsidRDefault="00B4176C" w:rsidP="00BC0321">
            <w:pPr>
              <w:pStyle w:val="TAL"/>
              <w:rPr>
                <w:sz w:val="16"/>
                <w:szCs w:val="16"/>
              </w:rPr>
            </w:pPr>
            <w:r>
              <w:rPr>
                <w:sz w:val="16"/>
                <w:szCs w:val="16"/>
              </w:rPr>
              <w:t>0036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EEDF35D" w14:textId="77777777" w:rsidR="00B4176C" w:rsidRPr="00B916EC" w:rsidRDefault="00B4176C"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99DF8CB" w14:textId="77777777" w:rsidR="00B4176C" w:rsidRPr="006C70FD" w:rsidRDefault="00B4176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C5E84EC" w14:textId="77777777" w:rsidR="00B4176C" w:rsidRPr="00B916EC" w:rsidRDefault="00B4176C" w:rsidP="00BC0321">
            <w:pPr>
              <w:pStyle w:val="TAL"/>
              <w:rPr>
                <w:sz w:val="16"/>
              </w:rPr>
            </w:pPr>
            <w:r w:rsidRPr="00B4176C">
              <w:rPr>
                <w:sz w:val="16"/>
              </w:rPr>
              <w:t>CR on the determination of the minimum number of PRBs for PUCCH transmission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11E3145" w14:textId="77777777" w:rsidR="00B4176C" w:rsidRPr="00B916EC" w:rsidRDefault="00B4176C" w:rsidP="00BC0321">
            <w:pPr>
              <w:pStyle w:val="TAL"/>
              <w:rPr>
                <w:sz w:val="16"/>
                <w:szCs w:val="16"/>
                <w:lang w:eastAsia="zh-CN"/>
              </w:rPr>
            </w:pPr>
            <w:r>
              <w:rPr>
                <w:sz w:val="16"/>
                <w:szCs w:val="16"/>
                <w:lang w:eastAsia="zh-CN"/>
              </w:rPr>
              <w:t>15.6.0</w:t>
            </w:r>
          </w:p>
        </w:tc>
      </w:tr>
      <w:tr w:rsidR="00892E40" w:rsidRPr="00B916EC" w14:paraId="1CE61F99" w14:textId="77777777" w:rsidTr="00892E40">
        <w:tc>
          <w:tcPr>
            <w:tcW w:w="894" w:type="dxa"/>
            <w:tcBorders>
              <w:top w:val="single" w:sz="6" w:space="0" w:color="auto"/>
              <w:left w:val="single" w:sz="6" w:space="0" w:color="auto"/>
              <w:bottom w:val="single" w:sz="6" w:space="0" w:color="auto"/>
              <w:right w:val="single" w:sz="6" w:space="0" w:color="auto"/>
            </w:tcBorders>
            <w:shd w:val="solid" w:color="FFFFFF" w:fill="auto"/>
          </w:tcPr>
          <w:p w14:paraId="2B44B9FC" w14:textId="77777777" w:rsidR="00892E40" w:rsidRPr="00B916EC" w:rsidRDefault="00892E40" w:rsidP="00BC0321">
            <w:pPr>
              <w:spacing w:after="0"/>
              <w:jc w:val="center"/>
              <w:rPr>
                <w:rFonts w:ascii="Arial" w:hAnsi="Arial"/>
                <w:snapToGrid w:val="0"/>
                <w:sz w:val="16"/>
                <w:szCs w:val="16"/>
              </w:rPr>
            </w:pPr>
            <w:r w:rsidRPr="00B916EC">
              <w:rPr>
                <w:rFonts w:ascii="Arial" w:hAnsi="Arial"/>
                <w:snapToGrid w:val="0"/>
                <w:sz w:val="16"/>
                <w:szCs w:val="16"/>
              </w:rPr>
              <w:lastRenderedPageBreak/>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69FBCE3" w14:textId="77777777" w:rsidR="00892E40" w:rsidRPr="00B916EC" w:rsidRDefault="00892E40" w:rsidP="00BC0321">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91DF6C1" w14:textId="77777777" w:rsidR="00892E40" w:rsidRPr="00B916EC" w:rsidRDefault="00892E40" w:rsidP="00BC0321">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D901CFC" w14:textId="77777777" w:rsidR="00892E40" w:rsidRPr="00B916EC" w:rsidRDefault="00892E40" w:rsidP="00BC0321">
            <w:pPr>
              <w:pStyle w:val="TAL"/>
              <w:rPr>
                <w:sz w:val="16"/>
                <w:szCs w:val="16"/>
              </w:rPr>
            </w:pPr>
            <w:r>
              <w:rPr>
                <w:sz w:val="16"/>
                <w:szCs w:val="16"/>
              </w:rPr>
              <w:t>0037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CB4C557" w14:textId="77777777" w:rsidR="00892E40" w:rsidRPr="00B916EC" w:rsidRDefault="00892E40"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E03739F" w14:textId="77777777" w:rsidR="00892E40" w:rsidRPr="006C70FD" w:rsidRDefault="00892E40"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5776C82" w14:textId="77777777" w:rsidR="00892E40" w:rsidRPr="00B916EC" w:rsidRDefault="00892E40" w:rsidP="00BC0321">
            <w:pPr>
              <w:pStyle w:val="TAL"/>
              <w:rPr>
                <w:sz w:val="16"/>
              </w:rPr>
            </w:pPr>
            <w:r w:rsidRPr="00892E40">
              <w:rPr>
                <w:sz w:val="16"/>
              </w:rPr>
              <w:t>CR on PHR determination and transmission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18A9795" w14:textId="77777777" w:rsidR="00892E40" w:rsidRPr="00B916EC" w:rsidRDefault="00892E40" w:rsidP="00BC0321">
            <w:pPr>
              <w:pStyle w:val="TAL"/>
              <w:rPr>
                <w:sz w:val="16"/>
                <w:szCs w:val="16"/>
                <w:lang w:eastAsia="zh-CN"/>
              </w:rPr>
            </w:pPr>
            <w:r>
              <w:rPr>
                <w:sz w:val="16"/>
                <w:szCs w:val="16"/>
                <w:lang w:eastAsia="zh-CN"/>
              </w:rPr>
              <w:t>15.6.0</w:t>
            </w:r>
          </w:p>
        </w:tc>
      </w:tr>
      <w:tr w:rsidR="00D94F36" w:rsidRPr="00B916EC" w14:paraId="191C53A4" w14:textId="77777777" w:rsidTr="00D94F36">
        <w:tc>
          <w:tcPr>
            <w:tcW w:w="894" w:type="dxa"/>
            <w:tcBorders>
              <w:top w:val="single" w:sz="6" w:space="0" w:color="auto"/>
              <w:left w:val="single" w:sz="6" w:space="0" w:color="auto"/>
              <w:bottom w:val="single" w:sz="6" w:space="0" w:color="auto"/>
              <w:right w:val="single" w:sz="6" w:space="0" w:color="auto"/>
            </w:tcBorders>
            <w:shd w:val="solid" w:color="FFFFFF" w:fill="auto"/>
          </w:tcPr>
          <w:p w14:paraId="4356FCB6" w14:textId="77777777" w:rsidR="00D94F36" w:rsidRPr="00B916EC" w:rsidRDefault="00D94F36"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B299A92" w14:textId="77777777" w:rsidR="00D94F36" w:rsidRPr="00B916EC" w:rsidRDefault="00D94F36" w:rsidP="00BC0321">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61BC5AF" w14:textId="77777777" w:rsidR="00D94F36" w:rsidRPr="00B916EC" w:rsidRDefault="00D94F36" w:rsidP="00BC0321">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27B7AC0" w14:textId="77777777" w:rsidR="00D94F36" w:rsidRPr="00B916EC" w:rsidRDefault="00D94F36" w:rsidP="00BC0321">
            <w:pPr>
              <w:pStyle w:val="TAL"/>
              <w:rPr>
                <w:sz w:val="16"/>
                <w:szCs w:val="16"/>
              </w:rPr>
            </w:pPr>
            <w:r>
              <w:rPr>
                <w:sz w:val="16"/>
                <w:szCs w:val="16"/>
              </w:rPr>
              <w:t>0038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6211017" w14:textId="77777777" w:rsidR="00D94F36" w:rsidRPr="00B916EC" w:rsidRDefault="00D94F36" w:rsidP="00BC0321">
            <w:pPr>
              <w:pStyle w:val="TAL"/>
              <w:jc w:val="center"/>
              <w:rPr>
                <w:sz w:val="16"/>
                <w:szCs w:val="16"/>
              </w:rPr>
            </w:pPr>
            <w:r>
              <w:rPr>
                <w:sz w:val="16"/>
                <w:szCs w:val="16"/>
              </w:rPr>
              <w:t>4</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D72EB0B" w14:textId="77777777" w:rsidR="00D94F36" w:rsidRPr="006C70FD" w:rsidRDefault="00D94F36"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CAFD0AC" w14:textId="77777777" w:rsidR="00D94F36" w:rsidRPr="00B916EC" w:rsidRDefault="00D94F36" w:rsidP="00BC0321">
            <w:pPr>
              <w:pStyle w:val="TAL"/>
              <w:rPr>
                <w:sz w:val="16"/>
              </w:rPr>
            </w:pPr>
            <w:r w:rsidRPr="00D94F36">
              <w:rPr>
                <w:sz w:val="16"/>
              </w:rPr>
              <w:t>Corrections to 38.213 including alignment of terminology across specifications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FE541DA" w14:textId="77777777" w:rsidR="00D94F36" w:rsidRPr="00B916EC" w:rsidRDefault="00D94F36" w:rsidP="00BC0321">
            <w:pPr>
              <w:pStyle w:val="TAL"/>
              <w:rPr>
                <w:sz w:val="16"/>
                <w:szCs w:val="16"/>
                <w:lang w:eastAsia="zh-CN"/>
              </w:rPr>
            </w:pPr>
            <w:r>
              <w:rPr>
                <w:sz w:val="16"/>
                <w:szCs w:val="16"/>
                <w:lang w:eastAsia="zh-CN"/>
              </w:rPr>
              <w:t>15.6.0</w:t>
            </w:r>
          </w:p>
        </w:tc>
      </w:tr>
      <w:tr w:rsidR="00B20096" w:rsidRPr="00B916EC" w14:paraId="75F2F396" w14:textId="77777777" w:rsidTr="00B20096">
        <w:tc>
          <w:tcPr>
            <w:tcW w:w="894" w:type="dxa"/>
            <w:tcBorders>
              <w:top w:val="single" w:sz="6" w:space="0" w:color="auto"/>
              <w:left w:val="single" w:sz="6" w:space="0" w:color="auto"/>
              <w:bottom w:val="single" w:sz="6" w:space="0" w:color="auto"/>
              <w:right w:val="single" w:sz="6" w:space="0" w:color="auto"/>
            </w:tcBorders>
            <w:shd w:val="solid" w:color="FFFFFF" w:fill="auto"/>
          </w:tcPr>
          <w:p w14:paraId="6EC16F66" w14:textId="77777777" w:rsidR="00B20096" w:rsidRPr="00B916EC" w:rsidRDefault="00B20096"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DDB9E6F" w14:textId="77777777" w:rsidR="00B20096" w:rsidRPr="00B916EC" w:rsidRDefault="00B20096" w:rsidP="00BC0321">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D59BDE6" w14:textId="77777777" w:rsidR="00B20096" w:rsidRPr="00B916EC" w:rsidRDefault="00B20096" w:rsidP="00BC0321">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6D6F586" w14:textId="77777777" w:rsidR="00B20096" w:rsidRPr="00B916EC" w:rsidRDefault="00B20096" w:rsidP="00BC0321">
            <w:pPr>
              <w:pStyle w:val="TAL"/>
              <w:rPr>
                <w:sz w:val="16"/>
                <w:szCs w:val="16"/>
              </w:rPr>
            </w:pPr>
            <w:r>
              <w:rPr>
                <w:sz w:val="16"/>
                <w:szCs w:val="16"/>
              </w:rPr>
              <w:t>0039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F95EEC4" w14:textId="77777777" w:rsidR="00B20096" w:rsidRPr="00B916EC" w:rsidRDefault="00B20096"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5F5D448" w14:textId="77777777" w:rsidR="00B20096" w:rsidRPr="006C70FD" w:rsidRDefault="00B20096"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2DDAA65" w14:textId="77777777" w:rsidR="00B20096" w:rsidRPr="00B916EC" w:rsidRDefault="00B20096" w:rsidP="00BC0321">
            <w:pPr>
              <w:pStyle w:val="TAL"/>
              <w:rPr>
                <w:sz w:val="16"/>
              </w:rPr>
            </w:pPr>
            <w:r w:rsidRPr="00B20096">
              <w:rPr>
                <w:sz w:val="16"/>
              </w:rPr>
              <w:t>Correction on PUSCH power scaling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CDEAF2C" w14:textId="77777777" w:rsidR="00B20096" w:rsidRPr="00B916EC" w:rsidRDefault="00B20096" w:rsidP="00BC0321">
            <w:pPr>
              <w:pStyle w:val="TAL"/>
              <w:rPr>
                <w:sz w:val="16"/>
                <w:szCs w:val="16"/>
                <w:lang w:eastAsia="zh-CN"/>
              </w:rPr>
            </w:pPr>
            <w:r>
              <w:rPr>
                <w:sz w:val="16"/>
                <w:szCs w:val="16"/>
                <w:lang w:eastAsia="zh-CN"/>
              </w:rPr>
              <w:t>15.6.0</w:t>
            </w:r>
          </w:p>
        </w:tc>
      </w:tr>
      <w:tr w:rsidR="00791E00" w:rsidRPr="00B916EC" w14:paraId="1D9CF9D1" w14:textId="77777777" w:rsidTr="00791E00">
        <w:tc>
          <w:tcPr>
            <w:tcW w:w="894" w:type="dxa"/>
            <w:tcBorders>
              <w:top w:val="single" w:sz="6" w:space="0" w:color="auto"/>
              <w:left w:val="single" w:sz="6" w:space="0" w:color="auto"/>
              <w:bottom w:val="single" w:sz="6" w:space="0" w:color="auto"/>
              <w:right w:val="single" w:sz="6" w:space="0" w:color="auto"/>
            </w:tcBorders>
            <w:shd w:val="solid" w:color="FFFFFF" w:fill="auto"/>
          </w:tcPr>
          <w:p w14:paraId="0477C213" w14:textId="77777777" w:rsidR="00791E00" w:rsidRPr="00B916EC" w:rsidRDefault="00791E00"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15CFAB2" w14:textId="77777777" w:rsidR="00791E00" w:rsidRPr="00B916EC" w:rsidRDefault="00791E00" w:rsidP="00BC0321">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70A1D15" w14:textId="77777777" w:rsidR="00791E00" w:rsidRPr="00B916EC" w:rsidRDefault="00791E00" w:rsidP="00BC0321">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A0AA518" w14:textId="77777777" w:rsidR="00791E00" w:rsidRPr="00B916EC" w:rsidRDefault="00791E00" w:rsidP="00BC0321">
            <w:pPr>
              <w:pStyle w:val="TAL"/>
              <w:rPr>
                <w:sz w:val="16"/>
                <w:szCs w:val="16"/>
              </w:rPr>
            </w:pPr>
            <w:r>
              <w:rPr>
                <w:sz w:val="16"/>
                <w:szCs w:val="16"/>
              </w:rPr>
              <w:t>0040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56C4F53" w14:textId="77777777" w:rsidR="00791E00" w:rsidRPr="00B916EC" w:rsidRDefault="00791E00"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72C198A" w14:textId="77777777" w:rsidR="00791E00" w:rsidRPr="006C70FD" w:rsidRDefault="00791E00"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1DC9CAC" w14:textId="77777777" w:rsidR="00791E00" w:rsidRPr="00B916EC" w:rsidRDefault="00791E00" w:rsidP="00BC0321">
            <w:pPr>
              <w:pStyle w:val="TAL"/>
              <w:rPr>
                <w:sz w:val="16"/>
              </w:rPr>
            </w:pPr>
            <w:r w:rsidRPr="00791E00">
              <w:rPr>
                <w:sz w:val="16"/>
              </w:rPr>
              <w:t>Correction on PDCCH monitoring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734EA5" w14:textId="77777777" w:rsidR="00791E00" w:rsidRPr="00B916EC" w:rsidRDefault="00791E00" w:rsidP="00BC0321">
            <w:pPr>
              <w:pStyle w:val="TAL"/>
              <w:rPr>
                <w:sz w:val="16"/>
                <w:szCs w:val="16"/>
                <w:lang w:eastAsia="zh-CN"/>
              </w:rPr>
            </w:pPr>
            <w:r>
              <w:rPr>
                <w:sz w:val="16"/>
                <w:szCs w:val="16"/>
                <w:lang w:eastAsia="zh-CN"/>
              </w:rPr>
              <w:t>15.6.0</w:t>
            </w:r>
          </w:p>
        </w:tc>
      </w:tr>
      <w:tr w:rsidR="00791E00" w:rsidRPr="00B916EC" w14:paraId="12A351C7" w14:textId="77777777" w:rsidTr="00791E00">
        <w:tc>
          <w:tcPr>
            <w:tcW w:w="894" w:type="dxa"/>
            <w:tcBorders>
              <w:top w:val="single" w:sz="6" w:space="0" w:color="auto"/>
              <w:left w:val="single" w:sz="6" w:space="0" w:color="auto"/>
              <w:bottom w:val="single" w:sz="6" w:space="0" w:color="auto"/>
              <w:right w:val="single" w:sz="6" w:space="0" w:color="auto"/>
            </w:tcBorders>
            <w:shd w:val="solid" w:color="FFFFFF" w:fill="auto"/>
          </w:tcPr>
          <w:p w14:paraId="2A2893BB" w14:textId="77777777" w:rsidR="00791E00" w:rsidRPr="00B916EC" w:rsidRDefault="00791E00"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1B82760" w14:textId="77777777" w:rsidR="00791E00" w:rsidRPr="00B916EC" w:rsidRDefault="00791E00" w:rsidP="00BC0321">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0CB81CA" w14:textId="77777777" w:rsidR="00791E00" w:rsidRPr="00B916EC" w:rsidRDefault="00791E00" w:rsidP="00BC0321">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A3EFC38" w14:textId="77777777" w:rsidR="00791E00" w:rsidRPr="00B916EC" w:rsidRDefault="00791E00" w:rsidP="00BC0321">
            <w:pPr>
              <w:pStyle w:val="TAL"/>
              <w:rPr>
                <w:sz w:val="16"/>
                <w:szCs w:val="16"/>
              </w:rPr>
            </w:pPr>
            <w:r>
              <w:rPr>
                <w:sz w:val="16"/>
                <w:szCs w:val="16"/>
              </w:rPr>
              <w:t>0041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D5EE861" w14:textId="77777777" w:rsidR="00791E00" w:rsidRPr="00B916EC" w:rsidRDefault="00791E00"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D05AAA0" w14:textId="77777777" w:rsidR="00791E00" w:rsidRPr="006C70FD" w:rsidRDefault="00791E00"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D6FB0B6" w14:textId="77777777" w:rsidR="00791E00" w:rsidRPr="00B916EC" w:rsidRDefault="00791E00" w:rsidP="00BC0321">
            <w:pPr>
              <w:pStyle w:val="TAL"/>
              <w:rPr>
                <w:sz w:val="16"/>
              </w:rPr>
            </w:pPr>
            <w:r w:rsidRPr="00791E00">
              <w:rPr>
                <w:sz w:val="16"/>
              </w:rPr>
              <w:t>Correction on CRC assumption for multi-CSI resource selection and CSI report(s) selection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0DB283C" w14:textId="77777777" w:rsidR="00791E00" w:rsidRPr="00B916EC" w:rsidRDefault="00791E00" w:rsidP="00BC0321">
            <w:pPr>
              <w:pStyle w:val="TAL"/>
              <w:rPr>
                <w:sz w:val="16"/>
                <w:szCs w:val="16"/>
                <w:lang w:eastAsia="zh-CN"/>
              </w:rPr>
            </w:pPr>
            <w:r>
              <w:rPr>
                <w:sz w:val="16"/>
                <w:szCs w:val="16"/>
                <w:lang w:eastAsia="zh-CN"/>
              </w:rPr>
              <w:t>15.6.0</w:t>
            </w:r>
          </w:p>
        </w:tc>
      </w:tr>
      <w:tr w:rsidR="00782309" w:rsidRPr="00B916EC" w14:paraId="4F1E2597" w14:textId="77777777" w:rsidTr="00782309">
        <w:tc>
          <w:tcPr>
            <w:tcW w:w="894" w:type="dxa"/>
            <w:tcBorders>
              <w:top w:val="single" w:sz="6" w:space="0" w:color="auto"/>
              <w:left w:val="single" w:sz="6" w:space="0" w:color="auto"/>
              <w:bottom w:val="single" w:sz="6" w:space="0" w:color="auto"/>
              <w:right w:val="single" w:sz="6" w:space="0" w:color="auto"/>
            </w:tcBorders>
            <w:shd w:val="solid" w:color="FFFFFF" w:fill="auto"/>
          </w:tcPr>
          <w:p w14:paraId="1E84F9D0" w14:textId="77777777" w:rsidR="00782309" w:rsidRPr="00B916EC" w:rsidRDefault="00782309"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E707514" w14:textId="77777777" w:rsidR="00782309" w:rsidRPr="00B916EC" w:rsidRDefault="00782309" w:rsidP="00BC0321">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B487C45" w14:textId="77777777" w:rsidR="00782309" w:rsidRPr="00B916EC" w:rsidRDefault="00782309" w:rsidP="00BC0321">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6D45495" w14:textId="77777777" w:rsidR="00782309" w:rsidRPr="00B916EC" w:rsidRDefault="00782309" w:rsidP="00BC0321">
            <w:pPr>
              <w:pStyle w:val="TAL"/>
              <w:rPr>
                <w:sz w:val="16"/>
                <w:szCs w:val="16"/>
              </w:rPr>
            </w:pPr>
            <w:r>
              <w:rPr>
                <w:sz w:val="16"/>
                <w:szCs w:val="16"/>
              </w:rPr>
              <w:t>0042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ABDB92A" w14:textId="77777777" w:rsidR="00782309" w:rsidRPr="00B916EC" w:rsidRDefault="00782309"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B753C5A" w14:textId="77777777" w:rsidR="00782309" w:rsidRPr="006C70FD" w:rsidRDefault="00782309"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B991618" w14:textId="77777777" w:rsidR="00782309" w:rsidRPr="00B916EC" w:rsidRDefault="00782309" w:rsidP="00BC0321">
            <w:pPr>
              <w:pStyle w:val="TAL"/>
              <w:rPr>
                <w:sz w:val="16"/>
              </w:rPr>
            </w:pPr>
            <w:r w:rsidRPr="00782309">
              <w:rPr>
                <w:sz w:val="16"/>
              </w:rPr>
              <w:t>Clarification of reference to PDSCH processing capability 1 in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AF188E8" w14:textId="77777777" w:rsidR="00782309" w:rsidRPr="00B916EC" w:rsidRDefault="00782309" w:rsidP="00BC0321">
            <w:pPr>
              <w:pStyle w:val="TAL"/>
              <w:rPr>
                <w:sz w:val="16"/>
                <w:szCs w:val="16"/>
                <w:lang w:eastAsia="zh-CN"/>
              </w:rPr>
            </w:pPr>
            <w:r>
              <w:rPr>
                <w:sz w:val="16"/>
                <w:szCs w:val="16"/>
                <w:lang w:eastAsia="zh-CN"/>
              </w:rPr>
              <w:t>15.6.0</w:t>
            </w:r>
          </w:p>
        </w:tc>
      </w:tr>
      <w:tr w:rsidR="0059291B" w:rsidRPr="00B916EC" w14:paraId="4389D160" w14:textId="77777777" w:rsidTr="0059291B">
        <w:tc>
          <w:tcPr>
            <w:tcW w:w="894" w:type="dxa"/>
            <w:tcBorders>
              <w:top w:val="single" w:sz="6" w:space="0" w:color="auto"/>
              <w:left w:val="single" w:sz="6" w:space="0" w:color="auto"/>
              <w:bottom w:val="single" w:sz="6" w:space="0" w:color="auto"/>
              <w:right w:val="single" w:sz="6" w:space="0" w:color="auto"/>
            </w:tcBorders>
            <w:shd w:val="solid" w:color="FFFFFF" w:fill="auto"/>
          </w:tcPr>
          <w:p w14:paraId="5294EEB1" w14:textId="77777777" w:rsidR="0059291B" w:rsidRPr="00B916EC" w:rsidRDefault="0059291B"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695D82A" w14:textId="77777777" w:rsidR="0059291B" w:rsidRPr="00B916EC" w:rsidRDefault="0059291B" w:rsidP="00BC0321">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D929142" w14:textId="77777777" w:rsidR="0059291B" w:rsidRPr="00B916EC" w:rsidRDefault="0059291B" w:rsidP="00BC0321">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ADB6E2F" w14:textId="77777777" w:rsidR="0059291B" w:rsidRPr="00B916EC" w:rsidRDefault="0059291B" w:rsidP="00BC0321">
            <w:pPr>
              <w:pStyle w:val="TAL"/>
              <w:rPr>
                <w:sz w:val="16"/>
                <w:szCs w:val="16"/>
              </w:rPr>
            </w:pPr>
            <w:r>
              <w:rPr>
                <w:sz w:val="16"/>
                <w:szCs w:val="16"/>
              </w:rPr>
              <w:t>0043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F1EFFC6" w14:textId="77777777" w:rsidR="0059291B" w:rsidRPr="00B916EC" w:rsidRDefault="0059291B"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3475520" w14:textId="77777777" w:rsidR="0059291B" w:rsidRPr="006C70FD" w:rsidRDefault="0059291B"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29992C1" w14:textId="77777777" w:rsidR="0059291B" w:rsidRPr="00B916EC" w:rsidRDefault="0059291B" w:rsidP="00BC0321">
            <w:pPr>
              <w:pStyle w:val="TAL"/>
              <w:rPr>
                <w:sz w:val="16"/>
              </w:rPr>
            </w:pPr>
            <w:r w:rsidRPr="0059291B">
              <w:rPr>
                <w:sz w:val="16"/>
              </w:rPr>
              <w:t>Correction on the timeline condition of multiplexing two HARQ-ACK information in one slot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89FBFB2" w14:textId="77777777" w:rsidR="0059291B" w:rsidRPr="00B916EC" w:rsidRDefault="0059291B" w:rsidP="00BC0321">
            <w:pPr>
              <w:pStyle w:val="TAL"/>
              <w:rPr>
                <w:sz w:val="16"/>
                <w:szCs w:val="16"/>
                <w:lang w:eastAsia="zh-CN"/>
              </w:rPr>
            </w:pPr>
            <w:r>
              <w:rPr>
                <w:sz w:val="16"/>
                <w:szCs w:val="16"/>
                <w:lang w:eastAsia="zh-CN"/>
              </w:rPr>
              <w:t>15.6.0</w:t>
            </w:r>
          </w:p>
        </w:tc>
      </w:tr>
      <w:tr w:rsidR="00720604" w:rsidRPr="00B916EC" w14:paraId="52EDBFA8" w14:textId="77777777" w:rsidTr="00720604">
        <w:tc>
          <w:tcPr>
            <w:tcW w:w="894" w:type="dxa"/>
            <w:tcBorders>
              <w:top w:val="single" w:sz="6" w:space="0" w:color="auto"/>
              <w:left w:val="single" w:sz="6" w:space="0" w:color="auto"/>
              <w:bottom w:val="single" w:sz="6" w:space="0" w:color="auto"/>
              <w:right w:val="single" w:sz="6" w:space="0" w:color="auto"/>
            </w:tcBorders>
            <w:shd w:val="solid" w:color="FFFFFF" w:fill="auto"/>
          </w:tcPr>
          <w:p w14:paraId="1932352E" w14:textId="77777777" w:rsidR="00720604" w:rsidRPr="00B916EC" w:rsidRDefault="00720604"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62EEF5E" w14:textId="77777777" w:rsidR="00720604" w:rsidRPr="00B916EC" w:rsidRDefault="00720604" w:rsidP="00BC0321">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1A1B1D4" w14:textId="77777777" w:rsidR="00720604" w:rsidRPr="00B916EC" w:rsidRDefault="00720604" w:rsidP="00BC0321">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32FF332" w14:textId="77777777" w:rsidR="00720604" w:rsidRPr="00B916EC" w:rsidRDefault="00720604" w:rsidP="00BC0321">
            <w:pPr>
              <w:pStyle w:val="TAL"/>
              <w:rPr>
                <w:sz w:val="16"/>
                <w:szCs w:val="16"/>
              </w:rPr>
            </w:pPr>
            <w:r>
              <w:rPr>
                <w:sz w:val="16"/>
                <w:szCs w:val="16"/>
              </w:rPr>
              <w:t>0044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191B58F" w14:textId="77777777" w:rsidR="00720604" w:rsidRPr="00B916EC" w:rsidRDefault="00720604"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DEEF41C" w14:textId="77777777" w:rsidR="00720604" w:rsidRPr="006C70FD" w:rsidRDefault="00720604"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317A2BF" w14:textId="77777777" w:rsidR="00720604" w:rsidRPr="00B916EC" w:rsidRDefault="00720604" w:rsidP="00BC0321">
            <w:pPr>
              <w:pStyle w:val="TAL"/>
              <w:rPr>
                <w:sz w:val="16"/>
              </w:rPr>
            </w:pPr>
            <w:r w:rsidRPr="00720604">
              <w:rPr>
                <w:sz w:val="16"/>
              </w:rPr>
              <w:t>CR on Type-1 HARQ-ACK codebook determination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CCB6BA6" w14:textId="77777777" w:rsidR="00720604" w:rsidRPr="00B916EC" w:rsidRDefault="00720604" w:rsidP="00BC0321">
            <w:pPr>
              <w:pStyle w:val="TAL"/>
              <w:rPr>
                <w:sz w:val="16"/>
                <w:szCs w:val="16"/>
                <w:lang w:eastAsia="zh-CN"/>
              </w:rPr>
            </w:pPr>
            <w:r>
              <w:rPr>
                <w:sz w:val="16"/>
                <w:szCs w:val="16"/>
                <w:lang w:eastAsia="zh-CN"/>
              </w:rPr>
              <w:t>15.6.0</w:t>
            </w:r>
          </w:p>
        </w:tc>
      </w:tr>
      <w:tr w:rsidR="002F77A9" w:rsidRPr="00B916EC" w14:paraId="75A73FFE" w14:textId="77777777" w:rsidTr="002F77A9">
        <w:tc>
          <w:tcPr>
            <w:tcW w:w="894" w:type="dxa"/>
            <w:tcBorders>
              <w:top w:val="single" w:sz="6" w:space="0" w:color="auto"/>
              <w:left w:val="single" w:sz="6" w:space="0" w:color="auto"/>
              <w:bottom w:val="single" w:sz="6" w:space="0" w:color="auto"/>
              <w:right w:val="single" w:sz="6" w:space="0" w:color="auto"/>
            </w:tcBorders>
            <w:shd w:val="solid" w:color="FFFFFF" w:fill="auto"/>
          </w:tcPr>
          <w:p w14:paraId="05DE6FB8" w14:textId="77777777" w:rsidR="002F77A9" w:rsidRPr="00B916EC" w:rsidRDefault="002F77A9"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1709799" w14:textId="77777777" w:rsidR="002F77A9" w:rsidRPr="00B916EC" w:rsidRDefault="002F77A9" w:rsidP="00BC0321">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7749370" w14:textId="77777777" w:rsidR="002F77A9" w:rsidRPr="00B916EC" w:rsidRDefault="002F77A9" w:rsidP="00BC0321">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E48F4C5" w14:textId="77777777" w:rsidR="002F77A9" w:rsidRPr="00B916EC" w:rsidRDefault="002F77A9" w:rsidP="00BC0321">
            <w:pPr>
              <w:pStyle w:val="TAL"/>
              <w:rPr>
                <w:sz w:val="16"/>
                <w:szCs w:val="16"/>
              </w:rPr>
            </w:pPr>
            <w:r>
              <w:rPr>
                <w:sz w:val="16"/>
                <w:szCs w:val="16"/>
              </w:rPr>
              <w:t>0045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FE31589" w14:textId="77777777" w:rsidR="002F77A9" w:rsidRPr="00B916EC" w:rsidRDefault="002F77A9"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5BE1F3B" w14:textId="77777777" w:rsidR="002F77A9" w:rsidRPr="006C70FD" w:rsidRDefault="002F77A9"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9C0FB05" w14:textId="77777777" w:rsidR="002F77A9" w:rsidRPr="00B916EC" w:rsidRDefault="002F77A9" w:rsidP="00BC0321">
            <w:pPr>
              <w:pStyle w:val="TAL"/>
              <w:rPr>
                <w:sz w:val="16"/>
              </w:rPr>
            </w:pPr>
            <w:r w:rsidRPr="002F77A9">
              <w:rPr>
                <w:sz w:val="16"/>
              </w:rPr>
              <w:t>Correction on PHR in EN-DC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B6AA776" w14:textId="77777777" w:rsidR="002F77A9" w:rsidRPr="00B916EC" w:rsidRDefault="002F77A9" w:rsidP="00BC0321">
            <w:pPr>
              <w:pStyle w:val="TAL"/>
              <w:rPr>
                <w:sz w:val="16"/>
                <w:szCs w:val="16"/>
                <w:lang w:eastAsia="zh-CN"/>
              </w:rPr>
            </w:pPr>
            <w:r>
              <w:rPr>
                <w:sz w:val="16"/>
                <w:szCs w:val="16"/>
                <w:lang w:eastAsia="zh-CN"/>
              </w:rPr>
              <w:t>15.6.0</w:t>
            </w:r>
          </w:p>
        </w:tc>
      </w:tr>
      <w:tr w:rsidR="00EB2C1A" w:rsidRPr="00B916EC" w14:paraId="11389CBF" w14:textId="77777777" w:rsidTr="00EB2C1A">
        <w:tc>
          <w:tcPr>
            <w:tcW w:w="894" w:type="dxa"/>
            <w:tcBorders>
              <w:top w:val="single" w:sz="6" w:space="0" w:color="auto"/>
              <w:left w:val="single" w:sz="6" w:space="0" w:color="auto"/>
              <w:bottom w:val="single" w:sz="6" w:space="0" w:color="auto"/>
              <w:right w:val="single" w:sz="6" w:space="0" w:color="auto"/>
            </w:tcBorders>
            <w:shd w:val="solid" w:color="FFFFFF" w:fill="auto"/>
          </w:tcPr>
          <w:p w14:paraId="2C4EE34B" w14:textId="77777777" w:rsidR="00EB2C1A" w:rsidRPr="00B916EC" w:rsidRDefault="00EB2C1A"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9727D00" w14:textId="77777777" w:rsidR="00EB2C1A" w:rsidRPr="00B916EC" w:rsidRDefault="00EB2C1A" w:rsidP="00BC0321">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8325126" w14:textId="77777777" w:rsidR="00EB2C1A" w:rsidRPr="00B916EC" w:rsidRDefault="00EB2C1A" w:rsidP="00BC0321">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D600B13" w14:textId="77777777" w:rsidR="00EB2C1A" w:rsidRPr="00B916EC" w:rsidRDefault="00EB2C1A" w:rsidP="00BC0321">
            <w:pPr>
              <w:pStyle w:val="TAL"/>
              <w:rPr>
                <w:sz w:val="16"/>
                <w:szCs w:val="16"/>
              </w:rPr>
            </w:pPr>
            <w:r>
              <w:rPr>
                <w:sz w:val="16"/>
                <w:szCs w:val="16"/>
              </w:rPr>
              <w:t>0046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895C3CD" w14:textId="77777777" w:rsidR="00EB2C1A" w:rsidRPr="00B916EC" w:rsidRDefault="00EB2C1A"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4855887" w14:textId="77777777" w:rsidR="00EB2C1A" w:rsidRPr="006C70FD" w:rsidRDefault="00EB2C1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AA210B4" w14:textId="77777777" w:rsidR="00EB2C1A" w:rsidRPr="00B916EC" w:rsidRDefault="00A16101" w:rsidP="00BC0321">
            <w:pPr>
              <w:pStyle w:val="TAL"/>
              <w:rPr>
                <w:sz w:val="16"/>
              </w:rPr>
            </w:pPr>
            <w:r w:rsidRPr="00A16101">
              <w:rPr>
                <w:sz w:val="16"/>
              </w:rPr>
              <w:t>CR to 38.213 on deactivation timing for ScellDeactivationTimer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667A52D" w14:textId="77777777" w:rsidR="00EB2C1A" w:rsidRPr="00B916EC" w:rsidRDefault="00EB2C1A" w:rsidP="00BC0321">
            <w:pPr>
              <w:pStyle w:val="TAL"/>
              <w:rPr>
                <w:sz w:val="16"/>
                <w:szCs w:val="16"/>
                <w:lang w:eastAsia="zh-CN"/>
              </w:rPr>
            </w:pPr>
            <w:r>
              <w:rPr>
                <w:sz w:val="16"/>
                <w:szCs w:val="16"/>
                <w:lang w:eastAsia="zh-CN"/>
              </w:rPr>
              <w:t>15.6.0</w:t>
            </w:r>
          </w:p>
        </w:tc>
      </w:tr>
      <w:tr w:rsidR="00631286" w:rsidRPr="00B916EC" w14:paraId="33A19966" w14:textId="77777777" w:rsidTr="00631286">
        <w:tc>
          <w:tcPr>
            <w:tcW w:w="894" w:type="dxa"/>
            <w:tcBorders>
              <w:top w:val="single" w:sz="6" w:space="0" w:color="auto"/>
              <w:left w:val="single" w:sz="6" w:space="0" w:color="auto"/>
              <w:bottom w:val="single" w:sz="6" w:space="0" w:color="auto"/>
              <w:right w:val="single" w:sz="6" w:space="0" w:color="auto"/>
            </w:tcBorders>
            <w:shd w:val="solid" w:color="FFFFFF" w:fill="auto"/>
          </w:tcPr>
          <w:p w14:paraId="43E2065B" w14:textId="77777777" w:rsidR="00631286" w:rsidRPr="00B916EC" w:rsidRDefault="00631286"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11AA906" w14:textId="77777777" w:rsidR="00631286" w:rsidRPr="00B916EC" w:rsidRDefault="00631286" w:rsidP="00BC0321">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6D32E77" w14:textId="77777777" w:rsidR="00631286" w:rsidRPr="00B916EC" w:rsidRDefault="00631286" w:rsidP="00BC0321">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EAA3231" w14:textId="77777777" w:rsidR="00631286" w:rsidRPr="00B916EC" w:rsidRDefault="00631286" w:rsidP="00BC0321">
            <w:pPr>
              <w:pStyle w:val="TAL"/>
              <w:rPr>
                <w:sz w:val="16"/>
                <w:szCs w:val="16"/>
              </w:rPr>
            </w:pPr>
            <w:r>
              <w:rPr>
                <w:sz w:val="16"/>
                <w:szCs w:val="16"/>
              </w:rPr>
              <w:t>0047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2546D07" w14:textId="77777777" w:rsidR="00631286" w:rsidRPr="00B916EC" w:rsidRDefault="00631286"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BE75652" w14:textId="77777777" w:rsidR="00631286" w:rsidRPr="006C70FD" w:rsidRDefault="00631286"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4E76B26" w14:textId="77777777" w:rsidR="00631286" w:rsidRPr="00B916EC" w:rsidRDefault="00631286" w:rsidP="00BC0321">
            <w:pPr>
              <w:pStyle w:val="TAL"/>
              <w:rPr>
                <w:sz w:val="16"/>
              </w:rPr>
            </w:pPr>
            <w:r w:rsidRPr="00631286">
              <w:rPr>
                <w:sz w:val="16"/>
              </w:rPr>
              <w:t>CR on single transmission timing for synchronous intra-band EN-DC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D063EBC" w14:textId="77777777" w:rsidR="00631286" w:rsidRPr="00B916EC" w:rsidRDefault="00631286" w:rsidP="00BC0321">
            <w:pPr>
              <w:pStyle w:val="TAL"/>
              <w:rPr>
                <w:sz w:val="16"/>
                <w:szCs w:val="16"/>
                <w:lang w:eastAsia="zh-CN"/>
              </w:rPr>
            </w:pPr>
            <w:r>
              <w:rPr>
                <w:sz w:val="16"/>
                <w:szCs w:val="16"/>
                <w:lang w:eastAsia="zh-CN"/>
              </w:rPr>
              <w:t>15.6.0</w:t>
            </w:r>
          </w:p>
        </w:tc>
      </w:tr>
      <w:tr w:rsidR="000902DA" w:rsidRPr="00B916EC" w14:paraId="617ABDB2" w14:textId="77777777" w:rsidTr="000902DA">
        <w:tc>
          <w:tcPr>
            <w:tcW w:w="894" w:type="dxa"/>
            <w:tcBorders>
              <w:top w:val="single" w:sz="6" w:space="0" w:color="auto"/>
              <w:left w:val="single" w:sz="6" w:space="0" w:color="auto"/>
              <w:bottom w:val="single" w:sz="6" w:space="0" w:color="auto"/>
              <w:right w:val="single" w:sz="6" w:space="0" w:color="auto"/>
            </w:tcBorders>
            <w:shd w:val="solid" w:color="FFFFFF" w:fill="auto"/>
          </w:tcPr>
          <w:p w14:paraId="5986B57F" w14:textId="77777777" w:rsidR="000902DA" w:rsidRPr="00B916EC" w:rsidRDefault="000902DA"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FEDA201" w14:textId="77777777" w:rsidR="000902DA" w:rsidRPr="00B916EC" w:rsidRDefault="000902DA" w:rsidP="00BC0321">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A6CC42C" w14:textId="77777777" w:rsidR="000902DA" w:rsidRPr="00B916EC" w:rsidRDefault="000902DA" w:rsidP="00BC0321">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9AEB496" w14:textId="77777777" w:rsidR="000902DA" w:rsidRPr="00B916EC" w:rsidRDefault="000902DA" w:rsidP="00BC0321">
            <w:pPr>
              <w:pStyle w:val="TAL"/>
              <w:rPr>
                <w:sz w:val="16"/>
                <w:szCs w:val="16"/>
              </w:rPr>
            </w:pPr>
            <w:r>
              <w:rPr>
                <w:sz w:val="16"/>
                <w:szCs w:val="16"/>
              </w:rPr>
              <w:t>0048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E52A7D8" w14:textId="77777777" w:rsidR="000902DA" w:rsidRPr="00B916EC" w:rsidRDefault="000902DA"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3FE0301" w14:textId="77777777" w:rsidR="000902DA" w:rsidRPr="006C70FD" w:rsidRDefault="000902D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2C608D2" w14:textId="77777777" w:rsidR="000902DA" w:rsidRPr="00B916EC" w:rsidRDefault="000902DA" w:rsidP="00BC0321">
            <w:pPr>
              <w:pStyle w:val="TAL"/>
              <w:rPr>
                <w:sz w:val="16"/>
              </w:rPr>
            </w:pPr>
            <w:r w:rsidRPr="000902DA">
              <w:rPr>
                <w:sz w:val="16"/>
              </w:rPr>
              <w:t>CR on PDCCH Monitoring for NR-DC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4D1066" w14:textId="77777777" w:rsidR="000902DA" w:rsidRPr="00B916EC" w:rsidRDefault="000902DA" w:rsidP="00BC0321">
            <w:pPr>
              <w:pStyle w:val="TAL"/>
              <w:rPr>
                <w:sz w:val="16"/>
                <w:szCs w:val="16"/>
                <w:lang w:eastAsia="zh-CN"/>
              </w:rPr>
            </w:pPr>
            <w:r>
              <w:rPr>
                <w:sz w:val="16"/>
                <w:szCs w:val="16"/>
                <w:lang w:eastAsia="zh-CN"/>
              </w:rPr>
              <w:t>15.6.0</w:t>
            </w:r>
          </w:p>
        </w:tc>
      </w:tr>
      <w:tr w:rsidR="0095429F" w:rsidRPr="00B916EC" w14:paraId="0F0DE875" w14:textId="77777777" w:rsidTr="0095429F">
        <w:tc>
          <w:tcPr>
            <w:tcW w:w="894" w:type="dxa"/>
            <w:tcBorders>
              <w:top w:val="single" w:sz="6" w:space="0" w:color="auto"/>
              <w:left w:val="single" w:sz="6" w:space="0" w:color="auto"/>
              <w:bottom w:val="single" w:sz="6" w:space="0" w:color="auto"/>
              <w:right w:val="single" w:sz="6" w:space="0" w:color="auto"/>
            </w:tcBorders>
            <w:shd w:val="solid" w:color="FFFFFF" w:fill="auto"/>
          </w:tcPr>
          <w:p w14:paraId="3CCC3FAF" w14:textId="77777777" w:rsidR="0095429F" w:rsidRPr="00B916EC" w:rsidRDefault="0095429F"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2B3EF99" w14:textId="77777777" w:rsidR="0095429F" w:rsidRPr="00B916EC" w:rsidRDefault="0095429F" w:rsidP="00BC0321">
            <w:pPr>
              <w:pStyle w:val="TAL"/>
              <w:rPr>
                <w:sz w:val="16"/>
                <w:szCs w:val="16"/>
                <w:lang w:eastAsia="zh-CN"/>
              </w:rPr>
            </w:pPr>
            <w:r w:rsidRPr="00B916EC">
              <w:rPr>
                <w:sz w:val="16"/>
                <w:szCs w:val="16"/>
                <w:lang w:eastAsia="zh-CN"/>
              </w:rPr>
              <w:t>RAN#</w:t>
            </w:r>
            <w:r>
              <w:rPr>
                <w:sz w:val="16"/>
                <w:szCs w:val="16"/>
                <w:lang w:eastAsia="zh-CN"/>
              </w:rPr>
              <w:t>84</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BFB7DF3" w14:textId="77777777" w:rsidR="0095429F" w:rsidRPr="00B916EC" w:rsidRDefault="0095429F" w:rsidP="00BC0321">
            <w:pPr>
              <w:pStyle w:val="TAL"/>
              <w:rPr>
                <w:sz w:val="16"/>
                <w:szCs w:val="16"/>
                <w:lang w:eastAsia="zh-CN"/>
              </w:rPr>
            </w:pPr>
            <w:r>
              <w:rPr>
                <w:sz w:val="16"/>
                <w:szCs w:val="16"/>
                <w:lang w:eastAsia="zh-CN"/>
              </w:rPr>
              <w:t>RP-191283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A1BA40E" w14:textId="77777777" w:rsidR="0095429F" w:rsidRPr="00B916EC" w:rsidRDefault="0095429F" w:rsidP="00BC0321">
            <w:pPr>
              <w:pStyle w:val="TAL"/>
              <w:rPr>
                <w:sz w:val="16"/>
                <w:szCs w:val="16"/>
              </w:rPr>
            </w:pPr>
            <w:r>
              <w:rPr>
                <w:sz w:val="16"/>
                <w:szCs w:val="16"/>
              </w:rPr>
              <w:t>0049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1717038" w14:textId="77777777" w:rsidR="0095429F" w:rsidRPr="00B916EC" w:rsidRDefault="0095429F"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7EB0AF4" w14:textId="77777777" w:rsidR="0095429F" w:rsidRPr="006C70FD" w:rsidRDefault="0095429F"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F102115" w14:textId="77777777" w:rsidR="0095429F" w:rsidRPr="00B916EC" w:rsidRDefault="0065135B" w:rsidP="00BC0321">
            <w:pPr>
              <w:pStyle w:val="TAL"/>
              <w:rPr>
                <w:sz w:val="16"/>
              </w:rPr>
            </w:pPr>
            <w:r w:rsidRPr="0065135B">
              <w:rPr>
                <w:sz w:val="16"/>
              </w:rPr>
              <w:t>CR on Timing for MAC CE Applicability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D218CA" w14:textId="77777777" w:rsidR="0095429F" w:rsidRPr="00B916EC" w:rsidRDefault="0095429F" w:rsidP="00BC0321">
            <w:pPr>
              <w:pStyle w:val="TAL"/>
              <w:rPr>
                <w:sz w:val="16"/>
                <w:szCs w:val="16"/>
                <w:lang w:eastAsia="zh-CN"/>
              </w:rPr>
            </w:pPr>
            <w:r>
              <w:rPr>
                <w:sz w:val="16"/>
                <w:szCs w:val="16"/>
                <w:lang w:eastAsia="zh-CN"/>
              </w:rPr>
              <w:t>15.6.0</w:t>
            </w:r>
          </w:p>
        </w:tc>
      </w:tr>
      <w:tr w:rsidR="009C5153" w:rsidRPr="00B916EC" w14:paraId="58F7D05F" w14:textId="77777777" w:rsidTr="009C5153">
        <w:tc>
          <w:tcPr>
            <w:tcW w:w="894" w:type="dxa"/>
            <w:tcBorders>
              <w:top w:val="single" w:sz="6" w:space="0" w:color="auto"/>
              <w:left w:val="single" w:sz="6" w:space="0" w:color="auto"/>
              <w:bottom w:val="single" w:sz="6" w:space="0" w:color="auto"/>
              <w:right w:val="single" w:sz="6" w:space="0" w:color="auto"/>
            </w:tcBorders>
            <w:shd w:val="solid" w:color="FFFFFF" w:fill="auto"/>
          </w:tcPr>
          <w:p w14:paraId="239B99A3" w14:textId="77777777" w:rsidR="009C5153" w:rsidRPr="00B916EC" w:rsidRDefault="009C5153"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361C07B" w14:textId="77777777" w:rsidR="009C5153" w:rsidRPr="00B916EC" w:rsidRDefault="009C5153" w:rsidP="00BC0321">
            <w:pPr>
              <w:pStyle w:val="TAL"/>
              <w:rPr>
                <w:sz w:val="16"/>
                <w:szCs w:val="16"/>
                <w:lang w:eastAsia="zh-CN"/>
              </w:rPr>
            </w:pPr>
            <w:r w:rsidRPr="00B916EC">
              <w:rPr>
                <w:sz w:val="16"/>
                <w:szCs w:val="16"/>
                <w:lang w:eastAsia="zh-CN"/>
              </w:rPr>
              <w:t>RAN#</w:t>
            </w:r>
            <w:r>
              <w:rPr>
                <w:sz w:val="16"/>
                <w:szCs w:val="16"/>
                <w:lang w:eastAsia="zh-CN"/>
              </w:rPr>
              <w:t>85</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8220659" w14:textId="77777777" w:rsidR="009C5153" w:rsidRPr="00B916EC" w:rsidRDefault="009C5153" w:rsidP="00BC0321">
            <w:pPr>
              <w:pStyle w:val="TAL"/>
              <w:rPr>
                <w:sz w:val="16"/>
                <w:szCs w:val="16"/>
                <w:lang w:eastAsia="zh-CN"/>
              </w:rPr>
            </w:pPr>
            <w:r>
              <w:rPr>
                <w:sz w:val="16"/>
                <w:szCs w:val="16"/>
                <w:lang w:eastAsia="zh-CN"/>
              </w:rPr>
              <w:t>RP-191942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C5A721A" w14:textId="77777777" w:rsidR="009C5153" w:rsidRPr="00B916EC" w:rsidRDefault="009C5153" w:rsidP="00BC0321">
            <w:pPr>
              <w:pStyle w:val="TAL"/>
              <w:rPr>
                <w:sz w:val="16"/>
                <w:szCs w:val="16"/>
              </w:rPr>
            </w:pPr>
            <w:r>
              <w:rPr>
                <w:sz w:val="16"/>
                <w:szCs w:val="16"/>
              </w:rPr>
              <w:t>0051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4D82D55" w14:textId="77777777" w:rsidR="009C5153" w:rsidRPr="00B916EC" w:rsidRDefault="009C5153"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44FE035" w14:textId="77777777" w:rsidR="009C5153" w:rsidRPr="006C70FD" w:rsidRDefault="009C5153"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7593248" w14:textId="77777777" w:rsidR="009C5153" w:rsidRPr="00B916EC" w:rsidRDefault="009C5153" w:rsidP="00BC0321">
            <w:pPr>
              <w:pStyle w:val="TAL"/>
              <w:rPr>
                <w:sz w:val="16"/>
              </w:rPr>
            </w:pPr>
            <w:r w:rsidRPr="009C5153">
              <w:rPr>
                <w:sz w:val="16"/>
              </w:rPr>
              <w:t>Correction on RA procedure triggered by higher layers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3EAFCFA" w14:textId="77777777" w:rsidR="009C5153" w:rsidRPr="00B916EC" w:rsidRDefault="009C5153" w:rsidP="00BC0321">
            <w:pPr>
              <w:pStyle w:val="TAL"/>
              <w:rPr>
                <w:sz w:val="16"/>
                <w:szCs w:val="16"/>
                <w:lang w:eastAsia="zh-CN"/>
              </w:rPr>
            </w:pPr>
            <w:r>
              <w:rPr>
                <w:sz w:val="16"/>
                <w:szCs w:val="16"/>
                <w:lang w:eastAsia="zh-CN"/>
              </w:rPr>
              <w:t>15.7.0</w:t>
            </w:r>
          </w:p>
        </w:tc>
      </w:tr>
      <w:tr w:rsidR="000D0584" w:rsidRPr="00B916EC" w14:paraId="72F60DB5" w14:textId="77777777" w:rsidTr="000D0584">
        <w:tc>
          <w:tcPr>
            <w:tcW w:w="894" w:type="dxa"/>
            <w:tcBorders>
              <w:top w:val="single" w:sz="6" w:space="0" w:color="auto"/>
              <w:left w:val="single" w:sz="6" w:space="0" w:color="auto"/>
              <w:bottom w:val="single" w:sz="6" w:space="0" w:color="auto"/>
              <w:right w:val="single" w:sz="6" w:space="0" w:color="auto"/>
            </w:tcBorders>
            <w:shd w:val="solid" w:color="FFFFFF" w:fill="auto"/>
          </w:tcPr>
          <w:p w14:paraId="3601A647" w14:textId="77777777" w:rsidR="000D0584" w:rsidRPr="00B916EC" w:rsidRDefault="000D0584"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854BC7E" w14:textId="77777777" w:rsidR="000D0584" w:rsidRPr="00B916EC" w:rsidRDefault="000D0584" w:rsidP="00BC0321">
            <w:pPr>
              <w:pStyle w:val="TAL"/>
              <w:rPr>
                <w:sz w:val="16"/>
                <w:szCs w:val="16"/>
                <w:lang w:eastAsia="zh-CN"/>
              </w:rPr>
            </w:pPr>
            <w:r w:rsidRPr="00B916EC">
              <w:rPr>
                <w:sz w:val="16"/>
                <w:szCs w:val="16"/>
                <w:lang w:eastAsia="zh-CN"/>
              </w:rPr>
              <w:t>RAN#</w:t>
            </w:r>
            <w:r>
              <w:rPr>
                <w:sz w:val="16"/>
                <w:szCs w:val="16"/>
                <w:lang w:eastAsia="zh-CN"/>
              </w:rPr>
              <w:t>85</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5D031A5" w14:textId="77777777" w:rsidR="000D0584" w:rsidRPr="00B916EC" w:rsidRDefault="000D0584" w:rsidP="00BC0321">
            <w:pPr>
              <w:pStyle w:val="TAL"/>
              <w:rPr>
                <w:sz w:val="16"/>
                <w:szCs w:val="16"/>
                <w:lang w:eastAsia="zh-CN"/>
              </w:rPr>
            </w:pPr>
            <w:r>
              <w:rPr>
                <w:sz w:val="16"/>
                <w:szCs w:val="16"/>
                <w:lang w:eastAsia="zh-CN"/>
              </w:rPr>
              <w:t>RP-191942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F0D7B27" w14:textId="77777777" w:rsidR="000D0584" w:rsidRPr="00B916EC" w:rsidRDefault="000D0584" w:rsidP="00BC0321">
            <w:pPr>
              <w:pStyle w:val="TAL"/>
              <w:rPr>
                <w:sz w:val="16"/>
                <w:szCs w:val="16"/>
              </w:rPr>
            </w:pPr>
            <w:r>
              <w:rPr>
                <w:sz w:val="16"/>
                <w:szCs w:val="16"/>
              </w:rPr>
              <w:t>005</w:t>
            </w:r>
            <w:r w:rsidR="00D621E7">
              <w:rPr>
                <w:sz w:val="16"/>
                <w:szCs w:val="16"/>
              </w:rPr>
              <w:t>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33A7CCE" w14:textId="77777777" w:rsidR="000D0584" w:rsidRPr="00B916EC" w:rsidRDefault="00D621E7"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5D2CB92" w14:textId="77777777" w:rsidR="000D0584" w:rsidRPr="006C70FD" w:rsidRDefault="000D0584"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2D8669E" w14:textId="77777777" w:rsidR="000D0584" w:rsidRPr="00B916EC" w:rsidRDefault="00D621E7" w:rsidP="00BC0321">
            <w:pPr>
              <w:pStyle w:val="TAL"/>
              <w:rPr>
                <w:sz w:val="16"/>
              </w:rPr>
            </w:pPr>
            <w:r w:rsidRPr="00D621E7">
              <w:rPr>
                <w:sz w:val="16"/>
              </w:rPr>
              <w:t>CR on UE procedure for reporting multiple UCI types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2E5BFA5" w14:textId="77777777" w:rsidR="000D0584" w:rsidRPr="00B916EC" w:rsidRDefault="000D0584" w:rsidP="00BC0321">
            <w:pPr>
              <w:pStyle w:val="TAL"/>
              <w:rPr>
                <w:sz w:val="16"/>
                <w:szCs w:val="16"/>
                <w:lang w:eastAsia="zh-CN"/>
              </w:rPr>
            </w:pPr>
            <w:r>
              <w:rPr>
                <w:sz w:val="16"/>
                <w:szCs w:val="16"/>
                <w:lang w:eastAsia="zh-CN"/>
              </w:rPr>
              <w:t>15.7.0</w:t>
            </w:r>
          </w:p>
        </w:tc>
      </w:tr>
      <w:tr w:rsidR="00AB105E" w:rsidRPr="00B916EC" w14:paraId="537D9087" w14:textId="77777777" w:rsidTr="00AB105E">
        <w:tc>
          <w:tcPr>
            <w:tcW w:w="894" w:type="dxa"/>
            <w:tcBorders>
              <w:top w:val="single" w:sz="6" w:space="0" w:color="auto"/>
              <w:left w:val="single" w:sz="6" w:space="0" w:color="auto"/>
              <w:bottom w:val="single" w:sz="6" w:space="0" w:color="auto"/>
              <w:right w:val="single" w:sz="6" w:space="0" w:color="auto"/>
            </w:tcBorders>
            <w:shd w:val="solid" w:color="FFFFFF" w:fill="auto"/>
          </w:tcPr>
          <w:p w14:paraId="6478C0D4" w14:textId="77777777" w:rsidR="00AB105E" w:rsidRPr="00B916EC" w:rsidRDefault="00AB105E"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78A6A66" w14:textId="77777777" w:rsidR="00AB105E" w:rsidRPr="00B916EC" w:rsidRDefault="00AB105E" w:rsidP="00BC0321">
            <w:pPr>
              <w:pStyle w:val="TAL"/>
              <w:rPr>
                <w:sz w:val="16"/>
                <w:szCs w:val="16"/>
                <w:lang w:eastAsia="zh-CN"/>
              </w:rPr>
            </w:pPr>
            <w:r w:rsidRPr="00B916EC">
              <w:rPr>
                <w:sz w:val="16"/>
                <w:szCs w:val="16"/>
                <w:lang w:eastAsia="zh-CN"/>
              </w:rPr>
              <w:t>RAN#</w:t>
            </w:r>
            <w:r>
              <w:rPr>
                <w:sz w:val="16"/>
                <w:szCs w:val="16"/>
                <w:lang w:eastAsia="zh-CN"/>
              </w:rPr>
              <w:t>85</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4207550" w14:textId="77777777" w:rsidR="00AB105E" w:rsidRPr="00B916EC" w:rsidRDefault="00AB105E" w:rsidP="00BC0321">
            <w:pPr>
              <w:pStyle w:val="TAL"/>
              <w:rPr>
                <w:sz w:val="16"/>
                <w:szCs w:val="16"/>
                <w:lang w:eastAsia="zh-CN"/>
              </w:rPr>
            </w:pPr>
            <w:r>
              <w:rPr>
                <w:sz w:val="16"/>
                <w:szCs w:val="16"/>
                <w:lang w:eastAsia="zh-CN"/>
              </w:rPr>
              <w:t>RP-191942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C4168FC" w14:textId="77777777" w:rsidR="00AB105E" w:rsidRPr="00B916EC" w:rsidRDefault="00AB105E" w:rsidP="00BC0321">
            <w:pPr>
              <w:pStyle w:val="TAL"/>
              <w:rPr>
                <w:sz w:val="16"/>
                <w:szCs w:val="16"/>
              </w:rPr>
            </w:pPr>
            <w:r>
              <w:rPr>
                <w:sz w:val="16"/>
                <w:szCs w:val="16"/>
              </w:rPr>
              <w:t>0053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4656D1C" w14:textId="77777777" w:rsidR="00AB105E" w:rsidRPr="00B916EC" w:rsidRDefault="00AB105E"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2176B51" w14:textId="77777777" w:rsidR="00AB105E" w:rsidRPr="006C70FD" w:rsidRDefault="00AB105E"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77CD958" w14:textId="77777777" w:rsidR="00AB105E" w:rsidRPr="00B916EC" w:rsidRDefault="00AB105E" w:rsidP="00BC0321">
            <w:pPr>
              <w:pStyle w:val="TAL"/>
              <w:rPr>
                <w:sz w:val="16"/>
              </w:rPr>
            </w:pPr>
            <w:r w:rsidRPr="00AB105E">
              <w:rPr>
                <w:sz w:val="16"/>
              </w:rPr>
              <w:t>CR to 38.213 fix to HARQ-ACK Type-1 codebook pseudo-code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BAAD36C" w14:textId="77777777" w:rsidR="00AB105E" w:rsidRPr="00B916EC" w:rsidRDefault="00AB105E" w:rsidP="00BC0321">
            <w:pPr>
              <w:pStyle w:val="TAL"/>
              <w:rPr>
                <w:sz w:val="16"/>
                <w:szCs w:val="16"/>
                <w:lang w:eastAsia="zh-CN"/>
              </w:rPr>
            </w:pPr>
            <w:r>
              <w:rPr>
                <w:sz w:val="16"/>
                <w:szCs w:val="16"/>
                <w:lang w:eastAsia="zh-CN"/>
              </w:rPr>
              <w:t>15.7.0</w:t>
            </w:r>
          </w:p>
        </w:tc>
      </w:tr>
      <w:tr w:rsidR="00DB6700" w:rsidRPr="00B916EC" w14:paraId="74A251CD" w14:textId="77777777" w:rsidTr="00DB6700">
        <w:tc>
          <w:tcPr>
            <w:tcW w:w="894" w:type="dxa"/>
            <w:tcBorders>
              <w:top w:val="single" w:sz="6" w:space="0" w:color="auto"/>
              <w:left w:val="single" w:sz="6" w:space="0" w:color="auto"/>
              <w:bottom w:val="single" w:sz="6" w:space="0" w:color="auto"/>
              <w:right w:val="single" w:sz="6" w:space="0" w:color="auto"/>
            </w:tcBorders>
            <w:shd w:val="solid" w:color="FFFFFF" w:fill="auto"/>
          </w:tcPr>
          <w:p w14:paraId="131E7106" w14:textId="77777777" w:rsidR="00DB6700" w:rsidRPr="00B916EC" w:rsidRDefault="00DB6700"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1E2AED3" w14:textId="77777777" w:rsidR="00DB6700" w:rsidRPr="00B916EC" w:rsidRDefault="00DB6700" w:rsidP="00BC0321">
            <w:pPr>
              <w:pStyle w:val="TAL"/>
              <w:rPr>
                <w:sz w:val="16"/>
                <w:szCs w:val="16"/>
                <w:lang w:eastAsia="zh-CN"/>
              </w:rPr>
            </w:pPr>
            <w:r w:rsidRPr="00B916EC">
              <w:rPr>
                <w:sz w:val="16"/>
                <w:szCs w:val="16"/>
                <w:lang w:eastAsia="zh-CN"/>
              </w:rPr>
              <w:t>RAN#</w:t>
            </w:r>
            <w:r>
              <w:rPr>
                <w:sz w:val="16"/>
                <w:szCs w:val="16"/>
                <w:lang w:eastAsia="zh-CN"/>
              </w:rPr>
              <w:t>85</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0599E9B" w14:textId="77777777" w:rsidR="00DB6700" w:rsidRPr="00B916EC" w:rsidRDefault="00DB6700" w:rsidP="00BC0321">
            <w:pPr>
              <w:pStyle w:val="TAL"/>
              <w:rPr>
                <w:sz w:val="16"/>
                <w:szCs w:val="16"/>
                <w:lang w:eastAsia="zh-CN"/>
              </w:rPr>
            </w:pPr>
            <w:r>
              <w:rPr>
                <w:sz w:val="16"/>
                <w:szCs w:val="16"/>
                <w:lang w:eastAsia="zh-CN"/>
              </w:rPr>
              <w:t>RP-191942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92684DD" w14:textId="77777777" w:rsidR="00DB6700" w:rsidRPr="00B916EC" w:rsidRDefault="00DB6700" w:rsidP="00BC0321">
            <w:pPr>
              <w:pStyle w:val="TAL"/>
              <w:rPr>
                <w:sz w:val="16"/>
                <w:szCs w:val="16"/>
              </w:rPr>
            </w:pPr>
            <w:r>
              <w:rPr>
                <w:sz w:val="16"/>
                <w:szCs w:val="16"/>
              </w:rPr>
              <w:t>0054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5C3E2FB" w14:textId="77777777" w:rsidR="00DB6700" w:rsidRPr="00B916EC" w:rsidRDefault="00DB6700"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6E7A914" w14:textId="77777777" w:rsidR="00DB6700" w:rsidRPr="006C70FD" w:rsidRDefault="00DB6700"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04E1B57" w14:textId="77777777" w:rsidR="00DB6700" w:rsidRPr="00B916EC" w:rsidRDefault="00DB6700" w:rsidP="00BC0321">
            <w:pPr>
              <w:pStyle w:val="TAL"/>
              <w:rPr>
                <w:sz w:val="16"/>
              </w:rPr>
            </w:pPr>
            <w:r w:rsidRPr="00DB6700">
              <w:rPr>
                <w:sz w:val="16"/>
              </w:rPr>
              <w:t>CR to 38.213 on clarification of the RNTI used for scrambling a PUSCH transmission scheduled by RAR UL grant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F7B9F7C" w14:textId="77777777" w:rsidR="00DB6700" w:rsidRPr="00B916EC" w:rsidRDefault="00DB6700" w:rsidP="00BC0321">
            <w:pPr>
              <w:pStyle w:val="TAL"/>
              <w:rPr>
                <w:sz w:val="16"/>
                <w:szCs w:val="16"/>
                <w:lang w:eastAsia="zh-CN"/>
              </w:rPr>
            </w:pPr>
            <w:r>
              <w:rPr>
                <w:sz w:val="16"/>
                <w:szCs w:val="16"/>
                <w:lang w:eastAsia="zh-CN"/>
              </w:rPr>
              <w:t>15.7.0</w:t>
            </w:r>
          </w:p>
        </w:tc>
      </w:tr>
      <w:tr w:rsidR="00292114" w:rsidRPr="00B916EC" w14:paraId="3C3A4E0B" w14:textId="77777777" w:rsidTr="00292114">
        <w:tc>
          <w:tcPr>
            <w:tcW w:w="894" w:type="dxa"/>
            <w:tcBorders>
              <w:top w:val="single" w:sz="6" w:space="0" w:color="auto"/>
              <w:left w:val="single" w:sz="6" w:space="0" w:color="auto"/>
              <w:bottom w:val="single" w:sz="6" w:space="0" w:color="auto"/>
              <w:right w:val="single" w:sz="6" w:space="0" w:color="auto"/>
            </w:tcBorders>
            <w:shd w:val="solid" w:color="FFFFFF" w:fill="auto"/>
          </w:tcPr>
          <w:p w14:paraId="12292C1F" w14:textId="77777777" w:rsidR="00292114" w:rsidRPr="00B916EC" w:rsidRDefault="00292114"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08E6479" w14:textId="77777777" w:rsidR="00292114" w:rsidRPr="00B916EC" w:rsidRDefault="00292114" w:rsidP="00BC0321">
            <w:pPr>
              <w:pStyle w:val="TAL"/>
              <w:rPr>
                <w:sz w:val="16"/>
                <w:szCs w:val="16"/>
                <w:lang w:eastAsia="zh-CN"/>
              </w:rPr>
            </w:pPr>
            <w:r w:rsidRPr="00B916EC">
              <w:rPr>
                <w:sz w:val="16"/>
                <w:szCs w:val="16"/>
                <w:lang w:eastAsia="zh-CN"/>
              </w:rPr>
              <w:t>RAN#</w:t>
            </w:r>
            <w:r>
              <w:rPr>
                <w:sz w:val="16"/>
                <w:szCs w:val="16"/>
                <w:lang w:eastAsia="zh-CN"/>
              </w:rPr>
              <w:t>85</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1B14D2D" w14:textId="77777777" w:rsidR="00292114" w:rsidRPr="00B916EC" w:rsidRDefault="00292114" w:rsidP="00BC0321">
            <w:pPr>
              <w:pStyle w:val="TAL"/>
              <w:rPr>
                <w:sz w:val="16"/>
                <w:szCs w:val="16"/>
                <w:lang w:eastAsia="zh-CN"/>
              </w:rPr>
            </w:pPr>
            <w:r>
              <w:rPr>
                <w:sz w:val="16"/>
                <w:szCs w:val="16"/>
                <w:lang w:eastAsia="zh-CN"/>
              </w:rPr>
              <w:t>RP-191942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9EA7B50" w14:textId="77777777" w:rsidR="00292114" w:rsidRPr="00B916EC" w:rsidRDefault="00292114" w:rsidP="00BC0321">
            <w:pPr>
              <w:pStyle w:val="TAL"/>
              <w:rPr>
                <w:sz w:val="16"/>
                <w:szCs w:val="16"/>
              </w:rPr>
            </w:pPr>
            <w:r>
              <w:rPr>
                <w:sz w:val="16"/>
                <w:szCs w:val="16"/>
              </w:rPr>
              <w:t>0055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38955E1" w14:textId="77777777" w:rsidR="00292114" w:rsidRPr="00B916EC" w:rsidRDefault="00292114" w:rsidP="00BC0321">
            <w:pPr>
              <w:pStyle w:val="TAL"/>
              <w:jc w:val="center"/>
              <w:rPr>
                <w:sz w:val="16"/>
                <w:szCs w:val="16"/>
              </w:rPr>
            </w:pPr>
            <w:r>
              <w:rPr>
                <w:sz w:val="16"/>
                <w:szCs w:val="16"/>
              </w:rPr>
              <w:t>2</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6B04A7B" w14:textId="77777777" w:rsidR="00292114" w:rsidRPr="006C70FD" w:rsidRDefault="00292114"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42632A4" w14:textId="77777777" w:rsidR="00292114" w:rsidRPr="00B916EC" w:rsidRDefault="008A444A" w:rsidP="00BC0321">
            <w:pPr>
              <w:pStyle w:val="TAL"/>
              <w:rPr>
                <w:sz w:val="16"/>
              </w:rPr>
            </w:pPr>
            <w:r w:rsidRPr="008A444A">
              <w:rPr>
                <w:sz w:val="16"/>
              </w:rPr>
              <w:t>Corrections to 38.213 including alignment of terminology across specifications in RAN1#98</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871AE58" w14:textId="77777777" w:rsidR="00292114" w:rsidRPr="00B916EC" w:rsidRDefault="00292114" w:rsidP="00BC0321">
            <w:pPr>
              <w:pStyle w:val="TAL"/>
              <w:rPr>
                <w:sz w:val="16"/>
                <w:szCs w:val="16"/>
                <w:lang w:eastAsia="zh-CN"/>
              </w:rPr>
            </w:pPr>
            <w:r>
              <w:rPr>
                <w:sz w:val="16"/>
                <w:szCs w:val="16"/>
                <w:lang w:eastAsia="zh-CN"/>
              </w:rPr>
              <w:t>15.7.0</w:t>
            </w:r>
          </w:p>
        </w:tc>
      </w:tr>
      <w:tr w:rsidR="00DE66FC" w:rsidRPr="00B916EC" w14:paraId="15625D15" w14:textId="77777777" w:rsidTr="00DE66FC">
        <w:tc>
          <w:tcPr>
            <w:tcW w:w="894" w:type="dxa"/>
            <w:tcBorders>
              <w:top w:val="single" w:sz="6" w:space="0" w:color="auto"/>
              <w:left w:val="single" w:sz="6" w:space="0" w:color="auto"/>
              <w:bottom w:val="single" w:sz="6" w:space="0" w:color="auto"/>
              <w:right w:val="single" w:sz="6" w:space="0" w:color="auto"/>
            </w:tcBorders>
            <w:shd w:val="solid" w:color="FFFFFF" w:fill="auto"/>
          </w:tcPr>
          <w:p w14:paraId="23D0E160" w14:textId="77777777" w:rsidR="00DE66FC" w:rsidRPr="00B916EC" w:rsidRDefault="00DE66FC"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F62F080" w14:textId="77777777" w:rsidR="00DE66FC" w:rsidRPr="00B916EC" w:rsidRDefault="00DE66FC" w:rsidP="00BC0321">
            <w:pPr>
              <w:pStyle w:val="TAL"/>
              <w:rPr>
                <w:sz w:val="16"/>
                <w:szCs w:val="16"/>
                <w:lang w:eastAsia="zh-CN"/>
              </w:rPr>
            </w:pPr>
            <w:r w:rsidRPr="00B916EC">
              <w:rPr>
                <w:sz w:val="16"/>
                <w:szCs w:val="16"/>
                <w:lang w:eastAsia="zh-CN"/>
              </w:rPr>
              <w:t>RAN#</w:t>
            </w:r>
            <w:r>
              <w:rPr>
                <w:sz w:val="16"/>
                <w:szCs w:val="16"/>
                <w:lang w:eastAsia="zh-CN"/>
              </w:rPr>
              <w:t>85</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1B12310" w14:textId="77777777" w:rsidR="00DE66FC" w:rsidRPr="00B916EC" w:rsidRDefault="00DE66FC" w:rsidP="00BC0321">
            <w:pPr>
              <w:pStyle w:val="TAL"/>
              <w:rPr>
                <w:sz w:val="16"/>
                <w:szCs w:val="16"/>
                <w:lang w:eastAsia="zh-CN"/>
              </w:rPr>
            </w:pPr>
            <w:r>
              <w:rPr>
                <w:sz w:val="16"/>
                <w:szCs w:val="16"/>
                <w:lang w:eastAsia="zh-CN"/>
              </w:rPr>
              <w:t>RP-191942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39AD801" w14:textId="77777777" w:rsidR="00DE66FC" w:rsidRPr="00B916EC" w:rsidRDefault="00DE66FC" w:rsidP="00BC0321">
            <w:pPr>
              <w:pStyle w:val="TAL"/>
              <w:rPr>
                <w:sz w:val="16"/>
                <w:szCs w:val="16"/>
              </w:rPr>
            </w:pPr>
            <w:r>
              <w:rPr>
                <w:sz w:val="16"/>
                <w:szCs w:val="16"/>
              </w:rPr>
              <w:t>0056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65D8B3D" w14:textId="77777777" w:rsidR="00DE66FC" w:rsidRPr="00B916EC" w:rsidRDefault="00DE66F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DB353CB" w14:textId="77777777" w:rsidR="00DE66FC" w:rsidRPr="006C70FD" w:rsidRDefault="00DE66F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3A241CE" w14:textId="77777777" w:rsidR="00DE66FC" w:rsidRPr="00B916EC" w:rsidRDefault="00DE66FC" w:rsidP="00BC0321">
            <w:pPr>
              <w:pStyle w:val="TAL"/>
              <w:rPr>
                <w:sz w:val="16"/>
              </w:rPr>
            </w:pPr>
            <w:r w:rsidRPr="00DE66FC">
              <w:rPr>
                <w:sz w:val="16"/>
              </w:rPr>
              <w:t>Correction on intra-band EN-DC with single TAG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C33203" w14:textId="77777777" w:rsidR="00DE66FC" w:rsidRPr="00B916EC" w:rsidRDefault="00DE66FC" w:rsidP="00BC0321">
            <w:pPr>
              <w:pStyle w:val="TAL"/>
              <w:rPr>
                <w:sz w:val="16"/>
                <w:szCs w:val="16"/>
                <w:lang w:eastAsia="zh-CN"/>
              </w:rPr>
            </w:pPr>
            <w:r>
              <w:rPr>
                <w:sz w:val="16"/>
                <w:szCs w:val="16"/>
                <w:lang w:eastAsia="zh-CN"/>
              </w:rPr>
              <w:t>15.7.0</w:t>
            </w:r>
          </w:p>
        </w:tc>
      </w:tr>
      <w:tr w:rsidR="00DE66FC" w:rsidRPr="00B916EC" w14:paraId="1B75F528" w14:textId="77777777" w:rsidTr="00DE66FC">
        <w:tc>
          <w:tcPr>
            <w:tcW w:w="894" w:type="dxa"/>
            <w:tcBorders>
              <w:top w:val="single" w:sz="6" w:space="0" w:color="auto"/>
              <w:left w:val="single" w:sz="6" w:space="0" w:color="auto"/>
              <w:bottom w:val="single" w:sz="6" w:space="0" w:color="auto"/>
              <w:right w:val="single" w:sz="6" w:space="0" w:color="auto"/>
            </w:tcBorders>
            <w:shd w:val="solid" w:color="FFFFFF" w:fill="auto"/>
          </w:tcPr>
          <w:p w14:paraId="7999A6C0" w14:textId="77777777" w:rsidR="00DE66FC" w:rsidRPr="00B916EC" w:rsidRDefault="00DE66FC"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69F0678" w14:textId="77777777" w:rsidR="00DE66FC" w:rsidRPr="00B916EC" w:rsidRDefault="00DE66FC" w:rsidP="00BC0321">
            <w:pPr>
              <w:pStyle w:val="TAL"/>
              <w:rPr>
                <w:sz w:val="16"/>
                <w:szCs w:val="16"/>
                <w:lang w:eastAsia="zh-CN"/>
              </w:rPr>
            </w:pPr>
            <w:r w:rsidRPr="00B916EC">
              <w:rPr>
                <w:sz w:val="16"/>
                <w:szCs w:val="16"/>
                <w:lang w:eastAsia="zh-CN"/>
              </w:rPr>
              <w:t>RAN#</w:t>
            </w:r>
            <w:r>
              <w:rPr>
                <w:sz w:val="16"/>
                <w:szCs w:val="16"/>
                <w:lang w:eastAsia="zh-CN"/>
              </w:rPr>
              <w:t>85</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DC7E0AA" w14:textId="77777777" w:rsidR="00DE66FC" w:rsidRPr="00B916EC" w:rsidRDefault="00DE66FC" w:rsidP="00BC0321">
            <w:pPr>
              <w:pStyle w:val="TAL"/>
              <w:rPr>
                <w:sz w:val="16"/>
                <w:szCs w:val="16"/>
                <w:lang w:eastAsia="zh-CN"/>
              </w:rPr>
            </w:pPr>
            <w:r>
              <w:rPr>
                <w:sz w:val="16"/>
                <w:szCs w:val="16"/>
                <w:lang w:eastAsia="zh-CN"/>
              </w:rPr>
              <w:t>RP-191942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802C701" w14:textId="77777777" w:rsidR="00DE66FC" w:rsidRPr="00B916EC" w:rsidRDefault="00DE66FC" w:rsidP="00BC0321">
            <w:pPr>
              <w:pStyle w:val="TAL"/>
              <w:rPr>
                <w:sz w:val="16"/>
                <w:szCs w:val="16"/>
              </w:rPr>
            </w:pPr>
            <w:r>
              <w:rPr>
                <w:sz w:val="16"/>
                <w:szCs w:val="16"/>
              </w:rPr>
              <w:t>0057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D9944E9" w14:textId="77777777" w:rsidR="00DE66FC" w:rsidRPr="00B916EC" w:rsidRDefault="00DE66F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BF5666D" w14:textId="77777777" w:rsidR="00DE66FC" w:rsidRPr="006C70FD" w:rsidRDefault="00DE66F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0673DE3" w14:textId="77777777" w:rsidR="00DE66FC" w:rsidRPr="00265098" w:rsidRDefault="00DE66FC" w:rsidP="00BC0321">
            <w:pPr>
              <w:pStyle w:val="TAL"/>
              <w:rPr>
                <w:sz w:val="16"/>
                <w:lang w:val="fr-FR"/>
              </w:rPr>
            </w:pPr>
            <w:r w:rsidRPr="00265098">
              <w:rPr>
                <w:sz w:val="16"/>
                <w:lang w:val="fr-FR"/>
              </w:rPr>
              <w:t>Correction on PHR in EN-DC/NE-DC/NR-CA</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3BE0296" w14:textId="77777777" w:rsidR="00DE66FC" w:rsidRPr="00B916EC" w:rsidRDefault="00DE66FC" w:rsidP="00BC0321">
            <w:pPr>
              <w:pStyle w:val="TAL"/>
              <w:rPr>
                <w:sz w:val="16"/>
                <w:szCs w:val="16"/>
                <w:lang w:eastAsia="zh-CN"/>
              </w:rPr>
            </w:pPr>
            <w:r>
              <w:rPr>
                <w:sz w:val="16"/>
                <w:szCs w:val="16"/>
                <w:lang w:eastAsia="zh-CN"/>
              </w:rPr>
              <w:t>15.7.0</w:t>
            </w:r>
          </w:p>
        </w:tc>
      </w:tr>
      <w:tr w:rsidR="00DE66FC" w:rsidRPr="00B916EC" w14:paraId="69306C71" w14:textId="77777777" w:rsidTr="00DE66FC">
        <w:tc>
          <w:tcPr>
            <w:tcW w:w="894" w:type="dxa"/>
            <w:tcBorders>
              <w:top w:val="single" w:sz="6" w:space="0" w:color="auto"/>
              <w:left w:val="single" w:sz="6" w:space="0" w:color="auto"/>
              <w:bottom w:val="single" w:sz="6" w:space="0" w:color="auto"/>
              <w:right w:val="single" w:sz="6" w:space="0" w:color="auto"/>
            </w:tcBorders>
            <w:shd w:val="solid" w:color="FFFFFF" w:fill="auto"/>
          </w:tcPr>
          <w:p w14:paraId="174AD002" w14:textId="77777777" w:rsidR="00DE66FC" w:rsidRPr="00B916EC" w:rsidRDefault="00DE66FC"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C1A935A" w14:textId="77777777" w:rsidR="00DE66FC" w:rsidRPr="00B916EC" w:rsidRDefault="00DE66FC" w:rsidP="00BC0321">
            <w:pPr>
              <w:pStyle w:val="TAL"/>
              <w:rPr>
                <w:sz w:val="16"/>
                <w:szCs w:val="16"/>
                <w:lang w:eastAsia="zh-CN"/>
              </w:rPr>
            </w:pPr>
            <w:r w:rsidRPr="00B916EC">
              <w:rPr>
                <w:sz w:val="16"/>
                <w:szCs w:val="16"/>
                <w:lang w:eastAsia="zh-CN"/>
              </w:rPr>
              <w:t>RAN#</w:t>
            </w:r>
            <w:r>
              <w:rPr>
                <w:sz w:val="16"/>
                <w:szCs w:val="16"/>
                <w:lang w:eastAsia="zh-CN"/>
              </w:rPr>
              <w:t>85</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293A722" w14:textId="77777777" w:rsidR="00DE66FC" w:rsidRPr="00B916EC" w:rsidRDefault="00DE66FC" w:rsidP="00BC0321">
            <w:pPr>
              <w:pStyle w:val="TAL"/>
              <w:rPr>
                <w:sz w:val="16"/>
                <w:szCs w:val="16"/>
                <w:lang w:eastAsia="zh-CN"/>
              </w:rPr>
            </w:pPr>
            <w:r>
              <w:rPr>
                <w:sz w:val="16"/>
                <w:szCs w:val="16"/>
                <w:lang w:eastAsia="zh-CN"/>
              </w:rPr>
              <w:t>RP-191942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57F891C" w14:textId="77777777" w:rsidR="00DE66FC" w:rsidRPr="00B916EC" w:rsidRDefault="00DE66FC" w:rsidP="00BC0321">
            <w:pPr>
              <w:pStyle w:val="TAL"/>
              <w:rPr>
                <w:sz w:val="16"/>
                <w:szCs w:val="16"/>
              </w:rPr>
            </w:pPr>
            <w:r>
              <w:rPr>
                <w:sz w:val="16"/>
                <w:szCs w:val="16"/>
              </w:rPr>
              <w:t>0058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8BBD522" w14:textId="77777777" w:rsidR="00DE66FC" w:rsidRPr="00B916EC" w:rsidRDefault="00DE66F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8EC4AA6" w14:textId="77777777" w:rsidR="00DE66FC" w:rsidRPr="006C70FD" w:rsidRDefault="00DE66F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BF89F37" w14:textId="77777777" w:rsidR="00DE66FC" w:rsidRPr="00265098" w:rsidRDefault="00081C5E" w:rsidP="00BC0321">
            <w:pPr>
              <w:pStyle w:val="TAL"/>
              <w:rPr>
                <w:sz w:val="16"/>
              </w:rPr>
            </w:pPr>
            <w:r w:rsidRPr="00265098">
              <w:rPr>
                <w:sz w:val="16"/>
              </w:rPr>
              <w:t>Correction on the time gap definition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C00E3D0" w14:textId="77777777" w:rsidR="00DE66FC" w:rsidRPr="00B916EC" w:rsidRDefault="00DE66FC" w:rsidP="00BC0321">
            <w:pPr>
              <w:pStyle w:val="TAL"/>
              <w:rPr>
                <w:sz w:val="16"/>
                <w:szCs w:val="16"/>
                <w:lang w:eastAsia="zh-CN"/>
              </w:rPr>
            </w:pPr>
            <w:r>
              <w:rPr>
                <w:sz w:val="16"/>
                <w:szCs w:val="16"/>
                <w:lang w:eastAsia="zh-CN"/>
              </w:rPr>
              <w:t>15.7.0</w:t>
            </w:r>
          </w:p>
        </w:tc>
      </w:tr>
      <w:tr w:rsidR="00991649" w:rsidRPr="00B916EC" w14:paraId="661655FB" w14:textId="77777777" w:rsidTr="00991649">
        <w:tc>
          <w:tcPr>
            <w:tcW w:w="894" w:type="dxa"/>
            <w:tcBorders>
              <w:top w:val="single" w:sz="6" w:space="0" w:color="auto"/>
              <w:left w:val="single" w:sz="6" w:space="0" w:color="auto"/>
              <w:bottom w:val="single" w:sz="6" w:space="0" w:color="auto"/>
              <w:right w:val="single" w:sz="6" w:space="0" w:color="auto"/>
            </w:tcBorders>
            <w:shd w:val="solid" w:color="FFFFFF" w:fill="auto"/>
          </w:tcPr>
          <w:p w14:paraId="01BD08A4" w14:textId="77777777" w:rsidR="00991649" w:rsidRPr="00B916EC" w:rsidRDefault="00991649"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C012A09" w14:textId="77777777" w:rsidR="00991649" w:rsidRPr="00B916EC" w:rsidRDefault="00991649" w:rsidP="00BC0321">
            <w:pPr>
              <w:pStyle w:val="TAL"/>
              <w:rPr>
                <w:sz w:val="16"/>
                <w:szCs w:val="16"/>
                <w:lang w:eastAsia="zh-CN"/>
              </w:rPr>
            </w:pPr>
            <w:r w:rsidRPr="00B916EC">
              <w:rPr>
                <w:sz w:val="16"/>
                <w:szCs w:val="16"/>
                <w:lang w:eastAsia="zh-CN"/>
              </w:rPr>
              <w:t>RAN#</w:t>
            </w:r>
            <w:r>
              <w:rPr>
                <w:sz w:val="16"/>
                <w:szCs w:val="16"/>
                <w:lang w:eastAsia="zh-CN"/>
              </w:rPr>
              <w:t>85</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3B6666C" w14:textId="77777777" w:rsidR="00991649" w:rsidRPr="00B916EC" w:rsidRDefault="00991649" w:rsidP="00BC0321">
            <w:pPr>
              <w:pStyle w:val="TAL"/>
              <w:rPr>
                <w:sz w:val="16"/>
                <w:szCs w:val="16"/>
                <w:lang w:eastAsia="zh-CN"/>
              </w:rPr>
            </w:pPr>
            <w:r>
              <w:rPr>
                <w:sz w:val="16"/>
                <w:szCs w:val="16"/>
                <w:lang w:eastAsia="zh-CN"/>
              </w:rPr>
              <w:t>RP-191942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7843531" w14:textId="77777777" w:rsidR="00991649" w:rsidRPr="00B916EC" w:rsidRDefault="00991649" w:rsidP="00BC0321">
            <w:pPr>
              <w:pStyle w:val="TAL"/>
              <w:rPr>
                <w:sz w:val="16"/>
                <w:szCs w:val="16"/>
              </w:rPr>
            </w:pPr>
            <w:r>
              <w:rPr>
                <w:sz w:val="16"/>
                <w:szCs w:val="16"/>
              </w:rPr>
              <w:t>0059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5F99196" w14:textId="77777777" w:rsidR="00991649" w:rsidRPr="00B916EC" w:rsidRDefault="00991649"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252F9D6" w14:textId="77777777" w:rsidR="00991649" w:rsidRPr="006C70FD" w:rsidRDefault="00991649"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447787C" w14:textId="77777777" w:rsidR="00991649" w:rsidRPr="00937157" w:rsidRDefault="00991649" w:rsidP="00BC0321">
            <w:pPr>
              <w:pStyle w:val="TAL"/>
              <w:rPr>
                <w:sz w:val="16"/>
              </w:rPr>
            </w:pPr>
            <w:r w:rsidRPr="00991649">
              <w:rPr>
                <w:sz w:val="16"/>
              </w:rPr>
              <w:t>Correction on slot configuration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4E5FC8B" w14:textId="77777777" w:rsidR="00991649" w:rsidRPr="00B916EC" w:rsidRDefault="00991649" w:rsidP="00BC0321">
            <w:pPr>
              <w:pStyle w:val="TAL"/>
              <w:rPr>
                <w:sz w:val="16"/>
                <w:szCs w:val="16"/>
                <w:lang w:eastAsia="zh-CN"/>
              </w:rPr>
            </w:pPr>
            <w:r>
              <w:rPr>
                <w:sz w:val="16"/>
                <w:szCs w:val="16"/>
                <w:lang w:eastAsia="zh-CN"/>
              </w:rPr>
              <w:t>15.7.0</w:t>
            </w:r>
          </w:p>
        </w:tc>
      </w:tr>
      <w:tr w:rsidR="00723FED" w:rsidRPr="00B916EC" w14:paraId="2ADA78C7" w14:textId="77777777" w:rsidTr="00723FED">
        <w:tc>
          <w:tcPr>
            <w:tcW w:w="894" w:type="dxa"/>
            <w:tcBorders>
              <w:top w:val="single" w:sz="6" w:space="0" w:color="auto"/>
              <w:left w:val="single" w:sz="6" w:space="0" w:color="auto"/>
              <w:bottom w:val="single" w:sz="6" w:space="0" w:color="auto"/>
              <w:right w:val="single" w:sz="6" w:space="0" w:color="auto"/>
            </w:tcBorders>
            <w:shd w:val="solid" w:color="FFFFFF" w:fill="auto"/>
          </w:tcPr>
          <w:p w14:paraId="01ED7732" w14:textId="77777777" w:rsidR="00723FED" w:rsidRPr="00B916EC" w:rsidRDefault="00723FED"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E027A0E" w14:textId="77777777" w:rsidR="00723FED" w:rsidRPr="00B916EC" w:rsidRDefault="00723FED" w:rsidP="00BC0321">
            <w:pPr>
              <w:pStyle w:val="TAL"/>
              <w:rPr>
                <w:sz w:val="16"/>
                <w:szCs w:val="16"/>
                <w:lang w:eastAsia="zh-CN"/>
              </w:rPr>
            </w:pPr>
            <w:r w:rsidRPr="00B916EC">
              <w:rPr>
                <w:sz w:val="16"/>
                <w:szCs w:val="16"/>
                <w:lang w:eastAsia="zh-CN"/>
              </w:rPr>
              <w:t>RAN#</w:t>
            </w:r>
            <w:r>
              <w:rPr>
                <w:sz w:val="16"/>
                <w:szCs w:val="16"/>
                <w:lang w:eastAsia="zh-CN"/>
              </w:rPr>
              <w:t>85</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0112A1B" w14:textId="77777777" w:rsidR="00723FED" w:rsidRPr="00B916EC" w:rsidRDefault="00723FED" w:rsidP="00BC0321">
            <w:pPr>
              <w:pStyle w:val="TAL"/>
              <w:rPr>
                <w:sz w:val="16"/>
                <w:szCs w:val="16"/>
                <w:lang w:eastAsia="zh-CN"/>
              </w:rPr>
            </w:pPr>
            <w:r>
              <w:rPr>
                <w:sz w:val="16"/>
                <w:szCs w:val="16"/>
                <w:lang w:eastAsia="zh-CN"/>
              </w:rPr>
              <w:t>RP-191942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D890F11" w14:textId="77777777" w:rsidR="00723FED" w:rsidRPr="00B916EC" w:rsidRDefault="00723FED" w:rsidP="00BC0321">
            <w:pPr>
              <w:pStyle w:val="TAL"/>
              <w:rPr>
                <w:sz w:val="16"/>
                <w:szCs w:val="16"/>
              </w:rPr>
            </w:pPr>
            <w:r>
              <w:rPr>
                <w:sz w:val="16"/>
                <w:szCs w:val="16"/>
              </w:rPr>
              <w:t>0060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E140766" w14:textId="77777777" w:rsidR="00723FED" w:rsidRPr="00B916EC" w:rsidRDefault="00723FE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16C9039" w14:textId="77777777" w:rsidR="00723FED" w:rsidRPr="006C70FD" w:rsidRDefault="00723FE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CE5AF14" w14:textId="77777777" w:rsidR="00723FED" w:rsidRPr="00937157" w:rsidRDefault="00723FED" w:rsidP="00BC0321">
            <w:pPr>
              <w:pStyle w:val="TAL"/>
              <w:rPr>
                <w:sz w:val="16"/>
              </w:rPr>
            </w:pPr>
            <w:r w:rsidRPr="00723FED">
              <w:rPr>
                <w:sz w:val="16"/>
              </w:rPr>
              <w:t>CR to 38.213 on PUCCH configuration for NR-DC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7A59FA" w14:textId="77777777" w:rsidR="00723FED" w:rsidRPr="00B916EC" w:rsidRDefault="00723FED" w:rsidP="00BC0321">
            <w:pPr>
              <w:pStyle w:val="TAL"/>
              <w:rPr>
                <w:sz w:val="16"/>
                <w:szCs w:val="16"/>
                <w:lang w:eastAsia="zh-CN"/>
              </w:rPr>
            </w:pPr>
            <w:r>
              <w:rPr>
                <w:sz w:val="16"/>
                <w:szCs w:val="16"/>
                <w:lang w:eastAsia="zh-CN"/>
              </w:rPr>
              <w:t>15.7.0</w:t>
            </w:r>
          </w:p>
        </w:tc>
      </w:tr>
      <w:tr w:rsidR="00E50DB7" w:rsidRPr="00B916EC" w14:paraId="07C17EE5" w14:textId="77777777" w:rsidTr="00E50DB7">
        <w:tc>
          <w:tcPr>
            <w:tcW w:w="894" w:type="dxa"/>
            <w:tcBorders>
              <w:top w:val="single" w:sz="6" w:space="0" w:color="auto"/>
              <w:left w:val="single" w:sz="6" w:space="0" w:color="auto"/>
              <w:bottom w:val="single" w:sz="6" w:space="0" w:color="auto"/>
              <w:right w:val="single" w:sz="6" w:space="0" w:color="auto"/>
            </w:tcBorders>
            <w:shd w:val="solid" w:color="FFFFFF" w:fill="auto"/>
          </w:tcPr>
          <w:p w14:paraId="1A58438A" w14:textId="77777777" w:rsidR="00E50DB7" w:rsidRPr="00B916EC" w:rsidRDefault="00E50DB7"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723B610" w14:textId="77777777" w:rsidR="00E50DB7" w:rsidRPr="00B916EC" w:rsidRDefault="00E50DB7" w:rsidP="00BC0321">
            <w:pPr>
              <w:pStyle w:val="TAL"/>
              <w:rPr>
                <w:sz w:val="16"/>
                <w:szCs w:val="16"/>
                <w:lang w:eastAsia="zh-CN"/>
              </w:rPr>
            </w:pPr>
            <w:r w:rsidRPr="00B916EC">
              <w:rPr>
                <w:sz w:val="16"/>
                <w:szCs w:val="16"/>
                <w:lang w:eastAsia="zh-CN"/>
              </w:rPr>
              <w:t>RAN#</w:t>
            </w:r>
            <w:r>
              <w:rPr>
                <w:sz w:val="16"/>
                <w:szCs w:val="16"/>
                <w:lang w:eastAsia="zh-CN"/>
              </w:rPr>
              <w:t>85</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00C4EBE" w14:textId="77777777" w:rsidR="00E50DB7" w:rsidRPr="00B916EC" w:rsidRDefault="00E50DB7" w:rsidP="00BC0321">
            <w:pPr>
              <w:pStyle w:val="TAL"/>
              <w:rPr>
                <w:sz w:val="16"/>
                <w:szCs w:val="16"/>
                <w:lang w:eastAsia="zh-CN"/>
              </w:rPr>
            </w:pPr>
            <w:r>
              <w:rPr>
                <w:sz w:val="16"/>
                <w:szCs w:val="16"/>
                <w:lang w:eastAsia="zh-CN"/>
              </w:rPr>
              <w:t>RP-191942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3359B14" w14:textId="77777777" w:rsidR="00E50DB7" w:rsidRPr="00B916EC" w:rsidRDefault="00E50DB7" w:rsidP="00BC0321">
            <w:pPr>
              <w:pStyle w:val="TAL"/>
              <w:rPr>
                <w:sz w:val="16"/>
                <w:szCs w:val="16"/>
              </w:rPr>
            </w:pPr>
            <w:r>
              <w:rPr>
                <w:sz w:val="16"/>
                <w:szCs w:val="16"/>
              </w:rPr>
              <w:t>0061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A8B0FC1" w14:textId="77777777" w:rsidR="00E50DB7" w:rsidRPr="00B916EC" w:rsidRDefault="00E50DB7"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3E82F83" w14:textId="77777777" w:rsidR="00E50DB7" w:rsidRPr="006C70FD" w:rsidRDefault="00E50DB7"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D738A9B" w14:textId="77777777" w:rsidR="00E50DB7" w:rsidRPr="00E50DB7" w:rsidRDefault="00E50DB7" w:rsidP="00BC0321">
            <w:pPr>
              <w:spacing w:after="0"/>
              <w:rPr>
                <w:sz w:val="16"/>
              </w:rPr>
            </w:pPr>
            <w:r w:rsidRPr="00E50DB7">
              <w:rPr>
                <w:rFonts w:ascii="Arial" w:hAnsi="Arial"/>
                <w:sz w:val="16"/>
              </w:rPr>
              <w:t>Correction on PUCCH power control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4994A3B" w14:textId="77777777" w:rsidR="00E50DB7" w:rsidRPr="00B916EC" w:rsidRDefault="00E50DB7" w:rsidP="00BC0321">
            <w:pPr>
              <w:pStyle w:val="TAL"/>
              <w:rPr>
                <w:sz w:val="16"/>
                <w:szCs w:val="16"/>
                <w:lang w:eastAsia="zh-CN"/>
              </w:rPr>
            </w:pPr>
            <w:r>
              <w:rPr>
                <w:sz w:val="16"/>
                <w:szCs w:val="16"/>
                <w:lang w:eastAsia="zh-CN"/>
              </w:rPr>
              <w:t>15.7.0</w:t>
            </w:r>
          </w:p>
        </w:tc>
      </w:tr>
      <w:tr w:rsidR="00E459EF" w:rsidRPr="00B916EC" w14:paraId="2C0D8C8C" w14:textId="77777777" w:rsidTr="00E459EF">
        <w:tc>
          <w:tcPr>
            <w:tcW w:w="894" w:type="dxa"/>
            <w:tcBorders>
              <w:top w:val="single" w:sz="6" w:space="0" w:color="auto"/>
              <w:left w:val="single" w:sz="6" w:space="0" w:color="auto"/>
              <w:bottom w:val="single" w:sz="6" w:space="0" w:color="auto"/>
              <w:right w:val="single" w:sz="6" w:space="0" w:color="auto"/>
            </w:tcBorders>
            <w:shd w:val="solid" w:color="FFFFFF" w:fill="auto"/>
          </w:tcPr>
          <w:p w14:paraId="252DD948" w14:textId="77777777" w:rsidR="00E459EF" w:rsidRPr="00B916EC" w:rsidRDefault="00E459EF"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AF55A92" w14:textId="77777777" w:rsidR="00E459EF" w:rsidRPr="00B916EC" w:rsidRDefault="00E459EF" w:rsidP="00BC0321">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1A094D0" w14:textId="77777777" w:rsidR="00E459EF" w:rsidRPr="00B916EC" w:rsidRDefault="00E459EF" w:rsidP="00BC0321">
            <w:pPr>
              <w:pStyle w:val="TAL"/>
              <w:rPr>
                <w:sz w:val="16"/>
                <w:szCs w:val="16"/>
                <w:lang w:eastAsia="zh-CN"/>
              </w:rPr>
            </w:pPr>
            <w:r>
              <w:rPr>
                <w:sz w:val="16"/>
                <w:szCs w:val="16"/>
                <w:lang w:eastAsia="zh-CN"/>
              </w:rPr>
              <w:t>RP-192626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879E07A" w14:textId="77777777" w:rsidR="00E459EF" w:rsidRPr="00B916EC" w:rsidRDefault="00E459EF" w:rsidP="00BC0321">
            <w:pPr>
              <w:pStyle w:val="TAL"/>
              <w:rPr>
                <w:sz w:val="16"/>
                <w:szCs w:val="16"/>
              </w:rPr>
            </w:pPr>
            <w:r>
              <w:rPr>
                <w:sz w:val="16"/>
                <w:szCs w:val="16"/>
              </w:rPr>
              <w:t>0062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6A59E42" w14:textId="77777777" w:rsidR="00E459EF" w:rsidRPr="00B916EC" w:rsidRDefault="00E459EF"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AB52012" w14:textId="77777777" w:rsidR="00E459EF" w:rsidRPr="006C70FD" w:rsidRDefault="00E459EF"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19C2110" w14:textId="77777777" w:rsidR="00E459EF" w:rsidRPr="00E459EF" w:rsidRDefault="00E459EF" w:rsidP="00BC0321">
            <w:pPr>
              <w:spacing w:after="0"/>
              <w:rPr>
                <w:rFonts w:ascii="Arial" w:hAnsi="Arial"/>
                <w:sz w:val="16"/>
              </w:rPr>
            </w:pPr>
            <w:r w:rsidRPr="00E459EF">
              <w:rPr>
                <w:rFonts w:ascii="Arial" w:hAnsi="Arial"/>
                <w:sz w:val="16"/>
              </w:rPr>
              <w:t>CR on beta_offset values for UCI reporting in PUSCH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DAD4A70" w14:textId="77777777" w:rsidR="00E459EF" w:rsidRPr="00B916EC" w:rsidRDefault="00E459EF" w:rsidP="00BC0321">
            <w:pPr>
              <w:pStyle w:val="TAL"/>
              <w:rPr>
                <w:sz w:val="16"/>
                <w:szCs w:val="16"/>
                <w:lang w:eastAsia="zh-CN"/>
              </w:rPr>
            </w:pPr>
            <w:r>
              <w:rPr>
                <w:sz w:val="16"/>
                <w:szCs w:val="16"/>
                <w:lang w:eastAsia="zh-CN"/>
              </w:rPr>
              <w:t>15.8.0</w:t>
            </w:r>
          </w:p>
        </w:tc>
      </w:tr>
      <w:tr w:rsidR="000A6B95" w:rsidRPr="00B916EC" w14:paraId="7DEFBB56" w14:textId="77777777" w:rsidTr="000A6B95">
        <w:tc>
          <w:tcPr>
            <w:tcW w:w="894" w:type="dxa"/>
            <w:tcBorders>
              <w:top w:val="single" w:sz="6" w:space="0" w:color="auto"/>
              <w:left w:val="single" w:sz="6" w:space="0" w:color="auto"/>
              <w:bottom w:val="single" w:sz="6" w:space="0" w:color="auto"/>
              <w:right w:val="single" w:sz="6" w:space="0" w:color="auto"/>
            </w:tcBorders>
            <w:shd w:val="solid" w:color="FFFFFF" w:fill="auto"/>
          </w:tcPr>
          <w:p w14:paraId="1ED59307" w14:textId="77777777" w:rsidR="000A6B95" w:rsidRPr="00B916EC" w:rsidRDefault="000A6B95"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27647EB" w14:textId="77777777" w:rsidR="000A6B95" w:rsidRPr="00B916EC" w:rsidRDefault="000A6B95" w:rsidP="00BC0321">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EB1A3B8" w14:textId="77777777" w:rsidR="000A6B95" w:rsidRPr="00B916EC" w:rsidRDefault="000A6B95" w:rsidP="00BC0321">
            <w:pPr>
              <w:pStyle w:val="TAL"/>
              <w:rPr>
                <w:sz w:val="16"/>
                <w:szCs w:val="16"/>
                <w:lang w:eastAsia="zh-CN"/>
              </w:rPr>
            </w:pPr>
            <w:r>
              <w:rPr>
                <w:sz w:val="16"/>
                <w:szCs w:val="16"/>
                <w:lang w:eastAsia="zh-CN"/>
              </w:rPr>
              <w:t>RP-192626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FE276CD" w14:textId="77777777" w:rsidR="000A6B95" w:rsidRPr="00B916EC" w:rsidRDefault="000A6B95" w:rsidP="00BC0321">
            <w:pPr>
              <w:pStyle w:val="TAL"/>
              <w:rPr>
                <w:sz w:val="16"/>
                <w:szCs w:val="16"/>
              </w:rPr>
            </w:pPr>
            <w:r>
              <w:rPr>
                <w:sz w:val="16"/>
                <w:szCs w:val="16"/>
              </w:rPr>
              <w:t>0063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DF486B7" w14:textId="77777777" w:rsidR="000A6B95" w:rsidRPr="00B916EC" w:rsidRDefault="000A6B95"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8E0F810" w14:textId="77777777" w:rsidR="000A6B95" w:rsidRPr="006C70FD" w:rsidRDefault="000A6B95"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99978FF" w14:textId="77777777" w:rsidR="000A6B95" w:rsidRPr="00E459EF" w:rsidRDefault="000A6B95" w:rsidP="00BC0321">
            <w:pPr>
              <w:spacing w:after="0"/>
              <w:rPr>
                <w:rFonts w:ascii="Arial" w:hAnsi="Arial"/>
                <w:sz w:val="16"/>
              </w:rPr>
            </w:pPr>
            <w:r w:rsidRPr="000A6B95">
              <w:rPr>
                <w:rFonts w:ascii="Arial" w:hAnsi="Arial"/>
                <w:sz w:val="16"/>
              </w:rPr>
              <w:t>Correction on RACH occasion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FC399CB" w14:textId="77777777" w:rsidR="000A6B95" w:rsidRPr="00B916EC" w:rsidRDefault="000A6B95" w:rsidP="00BC0321">
            <w:pPr>
              <w:pStyle w:val="TAL"/>
              <w:rPr>
                <w:sz w:val="16"/>
                <w:szCs w:val="16"/>
                <w:lang w:eastAsia="zh-CN"/>
              </w:rPr>
            </w:pPr>
            <w:r>
              <w:rPr>
                <w:sz w:val="16"/>
                <w:szCs w:val="16"/>
                <w:lang w:eastAsia="zh-CN"/>
              </w:rPr>
              <w:t>15.8.0</w:t>
            </w:r>
          </w:p>
        </w:tc>
      </w:tr>
      <w:tr w:rsidR="0088038C" w:rsidRPr="00B916EC" w14:paraId="26B52984" w14:textId="77777777" w:rsidTr="0088038C">
        <w:tc>
          <w:tcPr>
            <w:tcW w:w="894" w:type="dxa"/>
            <w:tcBorders>
              <w:top w:val="single" w:sz="6" w:space="0" w:color="auto"/>
              <w:left w:val="single" w:sz="6" w:space="0" w:color="auto"/>
              <w:bottom w:val="single" w:sz="6" w:space="0" w:color="auto"/>
              <w:right w:val="single" w:sz="6" w:space="0" w:color="auto"/>
            </w:tcBorders>
            <w:shd w:val="solid" w:color="FFFFFF" w:fill="auto"/>
          </w:tcPr>
          <w:p w14:paraId="70F2D417" w14:textId="77777777" w:rsidR="0088038C" w:rsidRPr="00B916EC" w:rsidRDefault="0088038C"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EBF6E51" w14:textId="77777777" w:rsidR="0088038C" w:rsidRPr="00B916EC" w:rsidRDefault="0088038C" w:rsidP="00BC0321">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0F7EBED" w14:textId="77777777" w:rsidR="0088038C" w:rsidRPr="00B916EC" w:rsidRDefault="0088038C" w:rsidP="00BC0321">
            <w:pPr>
              <w:pStyle w:val="TAL"/>
              <w:rPr>
                <w:sz w:val="16"/>
                <w:szCs w:val="16"/>
                <w:lang w:eastAsia="zh-CN"/>
              </w:rPr>
            </w:pPr>
            <w:r>
              <w:rPr>
                <w:sz w:val="16"/>
                <w:szCs w:val="16"/>
                <w:lang w:eastAsia="zh-CN"/>
              </w:rPr>
              <w:t>RP-192626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222960D" w14:textId="77777777" w:rsidR="0088038C" w:rsidRPr="00B916EC" w:rsidRDefault="0088038C" w:rsidP="00BC0321">
            <w:pPr>
              <w:pStyle w:val="TAL"/>
              <w:rPr>
                <w:sz w:val="16"/>
                <w:szCs w:val="16"/>
              </w:rPr>
            </w:pPr>
            <w:r>
              <w:rPr>
                <w:sz w:val="16"/>
                <w:szCs w:val="16"/>
              </w:rPr>
              <w:t>0064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3E337FB" w14:textId="77777777" w:rsidR="0088038C" w:rsidRPr="00B916EC" w:rsidRDefault="0088038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EE77385" w14:textId="77777777" w:rsidR="0088038C" w:rsidRPr="006C70FD" w:rsidRDefault="0088038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0479F45" w14:textId="77777777" w:rsidR="0088038C" w:rsidRPr="00E459EF" w:rsidRDefault="00214A7C" w:rsidP="00BC0321">
            <w:pPr>
              <w:spacing w:after="0"/>
              <w:rPr>
                <w:rFonts w:ascii="Arial" w:hAnsi="Arial"/>
                <w:sz w:val="16"/>
              </w:rPr>
            </w:pPr>
            <w:r w:rsidRPr="00214A7C">
              <w:rPr>
                <w:rFonts w:ascii="Arial" w:hAnsi="Arial"/>
                <w:sz w:val="16"/>
              </w:rPr>
              <w:t>Correction on HARQ-ACK transmission with BWP change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6B5C78D" w14:textId="77777777" w:rsidR="0088038C" w:rsidRPr="00B916EC" w:rsidRDefault="0088038C" w:rsidP="00BC0321">
            <w:pPr>
              <w:pStyle w:val="TAL"/>
              <w:rPr>
                <w:sz w:val="16"/>
                <w:szCs w:val="16"/>
                <w:lang w:eastAsia="zh-CN"/>
              </w:rPr>
            </w:pPr>
            <w:r>
              <w:rPr>
                <w:sz w:val="16"/>
                <w:szCs w:val="16"/>
                <w:lang w:eastAsia="zh-CN"/>
              </w:rPr>
              <w:t>15.8.0</w:t>
            </w:r>
          </w:p>
        </w:tc>
      </w:tr>
      <w:tr w:rsidR="00D007F5" w:rsidRPr="00B916EC" w14:paraId="76CBB95B" w14:textId="77777777" w:rsidTr="00D007F5">
        <w:tc>
          <w:tcPr>
            <w:tcW w:w="894" w:type="dxa"/>
            <w:tcBorders>
              <w:top w:val="single" w:sz="6" w:space="0" w:color="auto"/>
              <w:left w:val="single" w:sz="6" w:space="0" w:color="auto"/>
              <w:bottom w:val="single" w:sz="6" w:space="0" w:color="auto"/>
              <w:right w:val="single" w:sz="6" w:space="0" w:color="auto"/>
            </w:tcBorders>
            <w:shd w:val="solid" w:color="FFFFFF" w:fill="auto"/>
          </w:tcPr>
          <w:p w14:paraId="0F0676C3" w14:textId="77777777" w:rsidR="00D007F5" w:rsidRPr="00B916EC" w:rsidRDefault="00D007F5"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606C719" w14:textId="77777777" w:rsidR="00D007F5" w:rsidRPr="00B916EC" w:rsidRDefault="00D007F5" w:rsidP="00BC0321">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D10BCA8" w14:textId="77777777" w:rsidR="00D007F5" w:rsidRPr="00B916EC" w:rsidRDefault="00D007F5" w:rsidP="00BC0321">
            <w:pPr>
              <w:pStyle w:val="TAL"/>
              <w:rPr>
                <w:sz w:val="16"/>
                <w:szCs w:val="16"/>
                <w:lang w:eastAsia="zh-CN"/>
              </w:rPr>
            </w:pPr>
            <w:r>
              <w:rPr>
                <w:sz w:val="16"/>
                <w:szCs w:val="16"/>
                <w:lang w:eastAsia="zh-CN"/>
              </w:rPr>
              <w:t>RP-192626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6226A2D" w14:textId="77777777" w:rsidR="00D007F5" w:rsidRPr="00B916EC" w:rsidRDefault="00D007F5" w:rsidP="00BC0321">
            <w:pPr>
              <w:pStyle w:val="TAL"/>
              <w:rPr>
                <w:sz w:val="16"/>
                <w:szCs w:val="16"/>
              </w:rPr>
            </w:pPr>
            <w:r>
              <w:rPr>
                <w:sz w:val="16"/>
                <w:szCs w:val="16"/>
              </w:rPr>
              <w:t>0065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14FFE77" w14:textId="77777777" w:rsidR="00D007F5" w:rsidRPr="00B916EC" w:rsidRDefault="00D007F5"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4E1E4F6" w14:textId="77777777" w:rsidR="00D007F5" w:rsidRPr="006C70FD" w:rsidRDefault="00D007F5"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9198104" w14:textId="77777777" w:rsidR="00D007F5" w:rsidRPr="00E459EF" w:rsidRDefault="00D007F5" w:rsidP="00BC0321">
            <w:pPr>
              <w:spacing w:after="0"/>
              <w:rPr>
                <w:rFonts w:ascii="Arial" w:hAnsi="Arial"/>
                <w:sz w:val="16"/>
              </w:rPr>
            </w:pPr>
            <w:r w:rsidRPr="00D007F5">
              <w:rPr>
                <w:rFonts w:ascii="Arial" w:hAnsi="Arial"/>
                <w:sz w:val="16"/>
              </w:rPr>
              <w:t xml:space="preserve">CR on slot configuration regarding PUSCH scheduled by RAR </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2775384" w14:textId="77777777" w:rsidR="00D007F5" w:rsidRPr="00B916EC" w:rsidRDefault="00D007F5" w:rsidP="00BC0321">
            <w:pPr>
              <w:pStyle w:val="TAL"/>
              <w:rPr>
                <w:sz w:val="16"/>
                <w:szCs w:val="16"/>
                <w:lang w:eastAsia="zh-CN"/>
              </w:rPr>
            </w:pPr>
            <w:r>
              <w:rPr>
                <w:sz w:val="16"/>
                <w:szCs w:val="16"/>
                <w:lang w:eastAsia="zh-CN"/>
              </w:rPr>
              <w:t>15.8.0</w:t>
            </w:r>
          </w:p>
        </w:tc>
      </w:tr>
      <w:tr w:rsidR="00337E47" w:rsidRPr="00B916EC" w14:paraId="2C93FEB1" w14:textId="77777777" w:rsidTr="00337E47">
        <w:tc>
          <w:tcPr>
            <w:tcW w:w="894" w:type="dxa"/>
            <w:tcBorders>
              <w:top w:val="single" w:sz="6" w:space="0" w:color="auto"/>
              <w:left w:val="single" w:sz="6" w:space="0" w:color="auto"/>
              <w:bottom w:val="single" w:sz="6" w:space="0" w:color="auto"/>
              <w:right w:val="single" w:sz="6" w:space="0" w:color="auto"/>
            </w:tcBorders>
            <w:shd w:val="solid" w:color="FFFFFF" w:fill="auto"/>
          </w:tcPr>
          <w:p w14:paraId="0092C010" w14:textId="77777777" w:rsidR="00337E47" w:rsidRPr="00B916EC" w:rsidRDefault="00337E47"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8DEDDC9" w14:textId="77777777" w:rsidR="00337E47" w:rsidRPr="00B916EC" w:rsidRDefault="00337E47" w:rsidP="00BC0321">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8EF35CC" w14:textId="77777777" w:rsidR="00337E47" w:rsidRPr="00B916EC" w:rsidRDefault="00337E47" w:rsidP="00BC0321">
            <w:pPr>
              <w:pStyle w:val="TAL"/>
              <w:rPr>
                <w:sz w:val="16"/>
                <w:szCs w:val="16"/>
                <w:lang w:eastAsia="zh-CN"/>
              </w:rPr>
            </w:pPr>
            <w:r>
              <w:rPr>
                <w:sz w:val="16"/>
                <w:szCs w:val="16"/>
                <w:lang w:eastAsia="zh-CN"/>
              </w:rPr>
              <w:t>RP-192626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BEFA6EB" w14:textId="77777777" w:rsidR="00337E47" w:rsidRPr="00B916EC" w:rsidRDefault="00337E47" w:rsidP="00BC0321">
            <w:pPr>
              <w:pStyle w:val="TAL"/>
              <w:rPr>
                <w:sz w:val="16"/>
                <w:szCs w:val="16"/>
              </w:rPr>
            </w:pPr>
            <w:r>
              <w:rPr>
                <w:sz w:val="16"/>
                <w:szCs w:val="16"/>
              </w:rPr>
              <w:t>0066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3E35266" w14:textId="77777777" w:rsidR="00337E47" w:rsidRPr="00B916EC" w:rsidRDefault="00337E47"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2DCE268" w14:textId="77777777" w:rsidR="00337E47" w:rsidRPr="006C70FD" w:rsidRDefault="00337E47"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EE670F7" w14:textId="77777777" w:rsidR="00337E47" w:rsidRPr="00E459EF" w:rsidRDefault="00337E47" w:rsidP="00BC0321">
            <w:pPr>
              <w:spacing w:after="0"/>
              <w:rPr>
                <w:rFonts w:ascii="Arial" w:hAnsi="Arial"/>
                <w:sz w:val="16"/>
              </w:rPr>
            </w:pPr>
            <w:r w:rsidRPr="00337E47">
              <w:rPr>
                <w:rFonts w:ascii="Arial" w:hAnsi="Arial"/>
                <w:sz w:val="16"/>
              </w:rPr>
              <w:t>Correction on power control for NE-DC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988B4FD" w14:textId="77777777" w:rsidR="00337E47" w:rsidRPr="00B916EC" w:rsidRDefault="00337E47" w:rsidP="00BC0321">
            <w:pPr>
              <w:pStyle w:val="TAL"/>
              <w:rPr>
                <w:sz w:val="16"/>
                <w:szCs w:val="16"/>
                <w:lang w:eastAsia="zh-CN"/>
              </w:rPr>
            </w:pPr>
            <w:r>
              <w:rPr>
                <w:sz w:val="16"/>
                <w:szCs w:val="16"/>
                <w:lang w:eastAsia="zh-CN"/>
              </w:rPr>
              <w:t>15.8.0</w:t>
            </w:r>
          </w:p>
        </w:tc>
      </w:tr>
      <w:tr w:rsidR="00516E3C" w:rsidRPr="00B916EC" w14:paraId="6CCE08E6" w14:textId="77777777" w:rsidTr="00516E3C">
        <w:tc>
          <w:tcPr>
            <w:tcW w:w="894" w:type="dxa"/>
            <w:tcBorders>
              <w:top w:val="single" w:sz="6" w:space="0" w:color="auto"/>
              <w:left w:val="single" w:sz="6" w:space="0" w:color="auto"/>
              <w:bottom w:val="single" w:sz="6" w:space="0" w:color="auto"/>
              <w:right w:val="single" w:sz="6" w:space="0" w:color="auto"/>
            </w:tcBorders>
            <w:shd w:val="solid" w:color="FFFFFF" w:fill="auto"/>
          </w:tcPr>
          <w:p w14:paraId="449E894B" w14:textId="77777777" w:rsidR="00516E3C" w:rsidRPr="00B916EC" w:rsidRDefault="00516E3C"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105D68B" w14:textId="77777777" w:rsidR="00516E3C" w:rsidRPr="00B916EC" w:rsidRDefault="00516E3C" w:rsidP="00BC0321">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804533C" w14:textId="77777777" w:rsidR="00516E3C" w:rsidRPr="00B916EC" w:rsidRDefault="00516E3C" w:rsidP="00BC0321">
            <w:pPr>
              <w:pStyle w:val="TAL"/>
              <w:rPr>
                <w:sz w:val="16"/>
                <w:szCs w:val="16"/>
                <w:lang w:eastAsia="zh-CN"/>
              </w:rPr>
            </w:pPr>
            <w:r>
              <w:rPr>
                <w:sz w:val="16"/>
                <w:szCs w:val="16"/>
                <w:lang w:eastAsia="zh-CN"/>
              </w:rPr>
              <w:t>RP-192626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8F9FC3D" w14:textId="77777777" w:rsidR="00516E3C" w:rsidRPr="00B916EC" w:rsidRDefault="00516E3C" w:rsidP="00BC0321">
            <w:pPr>
              <w:pStyle w:val="TAL"/>
              <w:rPr>
                <w:sz w:val="16"/>
                <w:szCs w:val="16"/>
              </w:rPr>
            </w:pPr>
            <w:r>
              <w:rPr>
                <w:sz w:val="16"/>
                <w:szCs w:val="16"/>
              </w:rPr>
              <w:t>0067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94E8907" w14:textId="77777777" w:rsidR="00516E3C" w:rsidRPr="00B916EC" w:rsidRDefault="00516E3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4EB955B" w14:textId="77777777" w:rsidR="00516E3C" w:rsidRPr="006C70FD" w:rsidRDefault="00516E3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CCD864C" w14:textId="77777777" w:rsidR="00516E3C" w:rsidRPr="00E459EF" w:rsidRDefault="00516E3C" w:rsidP="00BC0321">
            <w:pPr>
              <w:spacing w:after="0"/>
              <w:rPr>
                <w:rFonts w:ascii="Arial" w:hAnsi="Arial"/>
                <w:sz w:val="16"/>
              </w:rPr>
            </w:pPr>
            <w:r w:rsidRPr="00516E3C">
              <w:rPr>
                <w:rFonts w:ascii="Arial" w:hAnsi="Arial"/>
                <w:sz w:val="16"/>
              </w:rPr>
              <w:t>Correction on time gap definition for HARQ-ACK transmission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3A5DAF6" w14:textId="77777777" w:rsidR="00516E3C" w:rsidRPr="00B916EC" w:rsidRDefault="00516E3C" w:rsidP="00BC0321">
            <w:pPr>
              <w:pStyle w:val="TAL"/>
              <w:rPr>
                <w:sz w:val="16"/>
                <w:szCs w:val="16"/>
                <w:lang w:eastAsia="zh-CN"/>
              </w:rPr>
            </w:pPr>
            <w:r>
              <w:rPr>
                <w:sz w:val="16"/>
                <w:szCs w:val="16"/>
                <w:lang w:eastAsia="zh-CN"/>
              </w:rPr>
              <w:t>15.8.0</w:t>
            </w:r>
          </w:p>
        </w:tc>
      </w:tr>
      <w:tr w:rsidR="000F3409" w:rsidRPr="00B916EC" w14:paraId="5D070CF2" w14:textId="77777777" w:rsidTr="000F3409">
        <w:tc>
          <w:tcPr>
            <w:tcW w:w="894" w:type="dxa"/>
            <w:tcBorders>
              <w:top w:val="single" w:sz="6" w:space="0" w:color="auto"/>
              <w:left w:val="single" w:sz="6" w:space="0" w:color="auto"/>
              <w:bottom w:val="single" w:sz="6" w:space="0" w:color="auto"/>
              <w:right w:val="single" w:sz="6" w:space="0" w:color="auto"/>
            </w:tcBorders>
            <w:shd w:val="solid" w:color="FFFFFF" w:fill="auto"/>
          </w:tcPr>
          <w:p w14:paraId="37385139" w14:textId="77777777" w:rsidR="000F3409" w:rsidRPr="00B916EC" w:rsidRDefault="000F3409"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690C051" w14:textId="77777777" w:rsidR="000F3409" w:rsidRPr="00B916EC" w:rsidRDefault="000F3409" w:rsidP="00BC0321">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A2E9746" w14:textId="77777777" w:rsidR="000F3409" w:rsidRPr="00B916EC" w:rsidRDefault="000F3409" w:rsidP="00BC0321">
            <w:pPr>
              <w:pStyle w:val="TAL"/>
              <w:rPr>
                <w:sz w:val="16"/>
                <w:szCs w:val="16"/>
                <w:lang w:eastAsia="zh-CN"/>
              </w:rPr>
            </w:pPr>
            <w:r>
              <w:rPr>
                <w:sz w:val="16"/>
                <w:szCs w:val="16"/>
                <w:lang w:eastAsia="zh-CN"/>
              </w:rPr>
              <w:t>RP-192626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86E4CF1" w14:textId="77777777" w:rsidR="000F3409" w:rsidRPr="00B916EC" w:rsidRDefault="000F3409" w:rsidP="00BC0321">
            <w:pPr>
              <w:pStyle w:val="TAL"/>
              <w:rPr>
                <w:sz w:val="16"/>
                <w:szCs w:val="16"/>
              </w:rPr>
            </w:pPr>
            <w:r>
              <w:rPr>
                <w:sz w:val="16"/>
                <w:szCs w:val="16"/>
              </w:rPr>
              <w:t>0068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A8AA4C5" w14:textId="77777777" w:rsidR="000F3409" w:rsidRPr="00B916EC" w:rsidRDefault="000F3409"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3E016FF" w14:textId="77777777" w:rsidR="000F3409" w:rsidRPr="006C70FD" w:rsidRDefault="000F3409"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6DF1106" w14:textId="77777777" w:rsidR="000F3409" w:rsidRPr="00E459EF" w:rsidRDefault="000F3409" w:rsidP="00BC0321">
            <w:pPr>
              <w:spacing w:after="0"/>
              <w:rPr>
                <w:rFonts w:ascii="Arial" w:hAnsi="Arial"/>
                <w:sz w:val="16"/>
              </w:rPr>
            </w:pPr>
            <w:r w:rsidRPr="000F3409">
              <w:rPr>
                <w:rFonts w:ascii="Arial" w:hAnsi="Arial"/>
                <w:sz w:val="16"/>
              </w:rPr>
              <w:t>Correction on time gap definition for random access procedure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69CEB98" w14:textId="77777777" w:rsidR="000F3409" w:rsidRPr="00B916EC" w:rsidRDefault="000F3409" w:rsidP="00BC0321">
            <w:pPr>
              <w:pStyle w:val="TAL"/>
              <w:rPr>
                <w:sz w:val="16"/>
                <w:szCs w:val="16"/>
                <w:lang w:eastAsia="zh-CN"/>
              </w:rPr>
            </w:pPr>
            <w:r>
              <w:rPr>
                <w:sz w:val="16"/>
                <w:szCs w:val="16"/>
                <w:lang w:eastAsia="zh-CN"/>
              </w:rPr>
              <w:t>15.8.0</w:t>
            </w:r>
          </w:p>
        </w:tc>
      </w:tr>
      <w:tr w:rsidR="00AC4905" w:rsidRPr="00B916EC" w14:paraId="009FA8D6" w14:textId="77777777" w:rsidTr="00AC4905">
        <w:tc>
          <w:tcPr>
            <w:tcW w:w="894" w:type="dxa"/>
            <w:tcBorders>
              <w:top w:val="single" w:sz="6" w:space="0" w:color="auto"/>
              <w:left w:val="single" w:sz="6" w:space="0" w:color="auto"/>
              <w:bottom w:val="single" w:sz="6" w:space="0" w:color="auto"/>
              <w:right w:val="single" w:sz="6" w:space="0" w:color="auto"/>
            </w:tcBorders>
            <w:shd w:val="solid" w:color="FFFFFF" w:fill="auto"/>
          </w:tcPr>
          <w:p w14:paraId="72887AE0" w14:textId="77777777" w:rsidR="00AC4905" w:rsidRPr="00B916EC" w:rsidRDefault="00AC4905"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8DED0D8" w14:textId="77777777" w:rsidR="00AC4905" w:rsidRPr="00B916EC" w:rsidRDefault="00AC4905" w:rsidP="00BC0321">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6FED6D9" w14:textId="77777777" w:rsidR="00AC4905" w:rsidRPr="00B916EC" w:rsidRDefault="00AC4905" w:rsidP="00BC0321">
            <w:pPr>
              <w:pStyle w:val="TAL"/>
              <w:rPr>
                <w:sz w:val="16"/>
                <w:szCs w:val="16"/>
                <w:lang w:eastAsia="zh-CN"/>
              </w:rPr>
            </w:pPr>
            <w:r>
              <w:rPr>
                <w:sz w:val="16"/>
                <w:szCs w:val="16"/>
                <w:lang w:eastAsia="zh-CN"/>
              </w:rPr>
              <w:t>RP-192626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984F75B" w14:textId="77777777" w:rsidR="00AC4905" w:rsidRPr="00B916EC" w:rsidRDefault="00AC4905" w:rsidP="00BC0321">
            <w:pPr>
              <w:pStyle w:val="TAL"/>
              <w:rPr>
                <w:sz w:val="16"/>
                <w:szCs w:val="16"/>
              </w:rPr>
            </w:pPr>
            <w:r>
              <w:rPr>
                <w:sz w:val="16"/>
                <w:szCs w:val="16"/>
              </w:rPr>
              <w:t>0069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D124490" w14:textId="77777777" w:rsidR="00AC4905" w:rsidRPr="00B916EC" w:rsidRDefault="00AC4905" w:rsidP="00BC0321">
            <w:pPr>
              <w:pStyle w:val="TAL"/>
              <w:jc w:val="center"/>
              <w:rPr>
                <w:sz w:val="16"/>
                <w:szCs w:val="16"/>
              </w:rPr>
            </w:pPr>
            <w:r>
              <w:rPr>
                <w:sz w:val="16"/>
                <w:szCs w:val="16"/>
              </w:rPr>
              <w:t>3</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0DD0E60" w14:textId="77777777" w:rsidR="00AC4905" w:rsidRPr="006C70FD" w:rsidRDefault="00AC4905"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B7D25FC" w14:textId="77777777" w:rsidR="00AC4905" w:rsidRPr="00E459EF" w:rsidRDefault="00AC4905" w:rsidP="00BC0321">
            <w:pPr>
              <w:spacing w:after="0"/>
              <w:rPr>
                <w:rFonts w:ascii="Arial" w:hAnsi="Arial"/>
                <w:sz w:val="16"/>
              </w:rPr>
            </w:pPr>
            <w:r w:rsidRPr="00AC4905">
              <w:rPr>
                <w:rFonts w:ascii="Arial" w:hAnsi="Arial"/>
                <w:sz w:val="16"/>
              </w:rPr>
              <w:t>Corrections to 38.213 including alignment of terminology across specifications in RAN1#98bis and RAN1#99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26F55C" w14:textId="77777777" w:rsidR="00AC4905" w:rsidRPr="00B916EC" w:rsidRDefault="00AC4905" w:rsidP="00BC0321">
            <w:pPr>
              <w:pStyle w:val="TAL"/>
              <w:rPr>
                <w:sz w:val="16"/>
                <w:szCs w:val="16"/>
                <w:lang w:eastAsia="zh-CN"/>
              </w:rPr>
            </w:pPr>
            <w:r>
              <w:rPr>
                <w:sz w:val="16"/>
                <w:szCs w:val="16"/>
                <w:lang w:eastAsia="zh-CN"/>
              </w:rPr>
              <w:t>15.8.0</w:t>
            </w:r>
          </w:p>
        </w:tc>
      </w:tr>
      <w:tr w:rsidR="00A8135D" w:rsidRPr="00B916EC" w14:paraId="6E41436C" w14:textId="77777777" w:rsidTr="00A8135D">
        <w:tc>
          <w:tcPr>
            <w:tcW w:w="894" w:type="dxa"/>
            <w:tcBorders>
              <w:top w:val="single" w:sz="6" w:space="0" w:color="auto"/>
              <w:left w:val="single" w:sz="6" w:space="0" w:color="auto"/>
              <w:bottom w:val="single" w:sz="6" w:space="0" w:color="auto"/>
              <w:right w:val="single" w:sz="6" w:space="0" w:color="auto"/>
            </w:tcBorders>
            <w:shd w:val="solid" w:color="FFFFFF" w:fill="auto"/>
          </w:tcPr>
          <w:p w14:paraId="081CC820" w14:textId="77777777" w:rsidR="00A8135D" w:rsidRPr="00B916EC" w:rsidRDefault="00A8135D"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33637CF" w14:textId="77777777" w:rsidR="00A8135D" w:rsidRPr="00B916EC" w:rsidRDefault="00A8135D" w:rsidP="00BC0321">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207F0C7" w14:textId="77777777" w:rsidR="00A8135D" w:rsidRPr="00B916EC" w:rsidRDefault="00A8135D" w:rsidP="00BC0321">
            <w:pPr>
              <w:pStyle w:val="TAL"/>
              <w:rPr>
                <w:sz w:val="16"/>
                <w:szCs w:val="16"/>
                <w:lang w:eastAsia="zh-CN"/>
              </w:rPr>
            </w:pPr>
            <w:r>
              <w:rPr>
                <w:sz w:val="16"/>
                <w:szCs w:val="16"/>
                <w:lang w:eastAsia="zh-CN"/>
              </w:rPr>
              <w:t>RP-193121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5ACEC17" w14:textId="77777777" w:rsidR="00A8135D" w:rsidRPr="00B916EC" w:rsidRDefault="00A8135D" w:rsidP="00BC0321">
            <w:pPr>
              <w:pStyle w:val="TAL"/>
              <w:rPr>
                <w:sz w:val="16"/>
                <w:szCs w:val="16"/>
              </w:rPr>
            </w:pPr>
            <w:r>
              <w:rPr>
                <w:sz w:val="16"/>
                <w:szCs w:val="16"/>
              </w:rPr>
              <w:t>0070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5EA1A7A" w14:textId="77777777" w:rsidR="00A8135D" w:rsidRPr="00B916EC" w:rsidRDefault="00A8135D"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1069847" w14:textId="77777777" w:rsidR="00A8135D" w:rsidRPr="006C70FD" w:rsidRDefault="00A8135D" w:rsidP="00BC032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50CD375" w14:textId="77777777" w:rsidR="00A8135D" w:rsidRPr="00E459EF" w:rsidRDefault="00A8135D" w:rsidP="00BC0321">
            <w:pPr>
              <w:spacing w:after="0"/>
              <w:rPr>
                <w:rFonts w:ascii="Arial" w:hAnsi="Arial"/>
                <w:sz w:val="16"/>
              </w:rPr>
            </w:pPr>
            <w:r w:rsidRPr="00A8135D">
              <w:rPr>
                <w:rFonts w:ascii="Arial" w:hAnsi="Arial"/>
                <w:sz w:val="16"/>
              </w:rPr>
              <w:t>Introduction of two-step RACH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818E620" w14:textId="77777777" w:rsidR="00A8135D" w:rsidRPr="00B916EC" w:rsidRDefault="00A8135D" w:rsidP="00BC0321">
            <w:pPr>
              <w:pStyle w:val="TAL"/>
              <w:rPr>
                <w:sz w:val="16"/>
                <w:szCs w:val="16"/>
                <w:lang w:eastAsia="zh-CN"/>
              </w:rPr>
            </w:pPr>
            <w:r>
              <w:rPr>
                <w:sz w:val="16"/>
                <w:szCs w:val="16"/>
                <w:lang w:eastAsia="zh-CN"/>
              </w:rPr>
              <w:t>16.0.0</w:t>
            </w:r>
          </w:p>
        </w:tc>
      </w:tr>
      <w:tr w:rsidR="00141540" w:rsidRPr="00B916EC" w14:paraId="29D0EBF8" w14:textId="77777777" w:rsidTr="00141540">
        <w:tc>
          <w:tcPr>
            <w:tcW w:w="894" w:type="dxa"/>
            <w:tcBorders>
              <w:top w:val="single" w:sz="6" w:space="0" w:color="auto"/>
              <w:left w:val="single" w:sz="6" w:space="0" w:color="auto"/>
              <w:bottom w:val="single" w:sz="6" w:space="0" w:color="auto"/>
              <w:right w:val="single" w:sz="6" w:space="0" w:color="auto"/>
            </w:tcBorders>
            <w:shd w:val="solid" w:color="FFFFFF" w:fill="auto"/>
          </w:tcPr>
          <w:p w14:paraId="58C4725B" w14:textId="77777777" w:rsidR="00141540" w:rsidRPr="00B916EC" w:rsidRDefault="00141540"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363EB19" w14:textId="77777777" w:rsidR="00141540" w:rsidRPr="00B916EC" w:rsidRDefault="00141540" w:rsidP="00BC0321">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B3ECFFC" w14:textId="77777777" w:rsidR="00141540" w:rsidRPr="00B916EC" w:rsidRDefault="00141540" w:rsidP="00BC0321">
            <w:pPr>
              <w:pStyle w:val="TAL"/>
              <w:rPr>
                <w:sz w:val="16"/>
                <w:szCs w:val="16"/>
                <w:lang w:eastAsia="zh-CN"/>
              </w:rPr>
            </w:pPr>
            <w:r>
              <w:rPr>
                <w:sz w:val="16"/>
                <w:szCs w:val="16"/>
                <w:lang w:eastAsia="zh-CN"/>
              </w:rPr>
              <w:t>RP-193221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3BDCF57" w14:textId="77777777" w:rsidR="00141540" w:rsidRPr="00B916EC" w:rsidRDefault="00141540" w:rsidP="00BC0321">
            <w:pPr>
              <w:pStyle w:val="TAL"/>
              <w:rPr>
                <w:sz w:val="16"/>
                <w:szCs w:val="16"/>
              </w:rPr>
            </w:pPr>
            <w:r>
              <w:rPr>
                <w:sz w:val="16"/>
                <w:szCs w:val="16"/>
              </w:rPr>
              <w:t>0071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3C7F973" w14:textId="77777777" w:rsidR="00141540" w:rsidRPr="00B916EC" w:rsidRDefault="00141540" w:rsidP="00BC0321">
            <w:pPr>
              <w:pStyle w:val="TAL"/>
              <w:jc w:val="center"/>
              <w:rPr>
                <w:sz w:val="16"/>
                <w:szCs w:val="16"/>
              </w:rPr>
            </w:pPr>
            <w:r>
              <w:rPr>
                <w:sz w:val="16"/>
                <w:szCs w:val="16"/>
              </w:rPr>
              <w:t>2</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9B97722" w14:textId="77777777" w:rsidR="00141540" w:rsidRPr="006C70FD" w:rsidRDefault="00141540" w:rsidP="00BC032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B1C42B3" w14:textId="77777777" w:rsidR="00141540" w:rsidRPr="00E459EF" w:rsidRDefault="00141540" w:rsidP="00BC0321">
            <w:pPr>
              <w:spacing w:after="0"/>
              <w:rPr>
                <w:rFonts w:ascii="Arial" w:hAnsi="Arial"/>
                <w:sz w:val="16"/>
              </w:rPr>
            </w:pPr>
            <w:r w:rsidRPr="00141540">
              <w:rPr>
                <w:rFonts w:ascii="Arial" w:hAnsi="Arial"/>
                <w:sz w:val="16"/>
              </w:rPr>
              <w:t>Introduction of shared spectrum channel access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6377D5B" w14:textId="77777777" w:rsidR="00141540" w:rsidRPr="00B916EC" w:rsidRDefault="00141540" w:rsidP="00BC0321">
            <w:pPr>
              <w:pStyle w:val="TAL"/>
              <w:rPr>
                <w:sz w:val="16"/>
                <w:szCs w:val="16"/>
                <w:lang w:eastAsia="zh-CN"/>
              </w:rPr>
            </w:pPr>
            <w:r>
              <w:rPr>
                <w:sz w:val="16"/>
                <w:szCs w:val="16"/>
                <w:lang w:eastAsia="zh-CN"/>
              </w:rPr>
              <w:t>16.0.0</w:t>
            </w:r>
          </w:p>
        </w:tc>
      </w:tr>
      <w:tr w:rsidR="000A78FA" w:rsidRPr="00B916EC" w14:paraId="75CDDF07" w14:textId="77777777" w:rsidTr="000A78FA">
        <w:tc>
          <w:tcPr>
            <w:tcW w:w="894" w:type="dxa"/>
            <w:tcBorders>
              <w:top w:val="single" w:sz="6" w:space="0" w:color="auto"/>
              <w:left w:val="single" w:sz="6" w:space="0" w:color="auto"/>
              <w:bottom w:val="single" w:sz="6" w:space="0" w:color="auto"/>
              <w:right w:val="single" w:sz="6" w:space="0" w:color="auto"/>
            </w:tcBorders>
            <w:shd w:val="solid" w:color="FFFFFF" w:fill="auto"/>
          </w:tcPr>
          <w:p w14:paraId="128E1D9C" w14:textId="77777777" w:rsidR="000A78FA" w:rsidRPr="00B916EC" w:rsidRDefault="000A78FA"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1129CEC" w14:textId="77777777" w:rsidR="000A78FA" w:rsidRPr="00B916EC" w:rsidRDefault="000A78FA" w:rsidP="00BC0321">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21AECDD" w14:textId="799EADD0" w:rsidR="000A78FA" w:rsidRPr="00B916EC" w:rsidRDefault="000A78FA" w:rsidP="00BC0321">
            <w:pPr>
              <w:pStyle w:val="TAL"/>
              <w:rPr>
                <w:sz w:val="16"/>
                <w:szCs w:val="16"/>
                <w:lang w:eastAsia="zh-CN"/>
              </w:rPr>
            </w:pPr>
            <w:r>
              <w:rPr>
                <w:sz w:val="16"/>
                <w:szCs w:val="16"/>
                <w:lang w:eastAsia="zh-CN"/>
              </w:rPr>
              <w:t>RP-193123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DFDC01E" w14:textId="3EBE66C3" w:rsidR="000A78FA" w:rsidRPr="00B916EC" w:rsidRDefault="000A78FA" w:rsidP="00BC0321">
            <w:pPr>
              <w:pStyle w:val="TAL"/>
              <w:rPr>
                <w:sz w:val="16"/>
                <w:szCs w:val="16"/>
              </w:rPr>
            </w:pPr>
            <w:r>
              <w:rPr>
                <w:sz w:val="16"/>
                <w:szCs w:val="16"/>
              </w:rPr>
              <w:t>0072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ABFECAE" w14:textId="25077A7B" w:rsidR="000A78FA" w:rsidRPr="00B916EC" w:rsidRDefault="000A78FA"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FE7A861" w14:textId="77777777" w:rsidR="000A78FA" w:rsidRPr="006C70FD" w:rsidRDefault="000A78FA" w:rsidP="00BC032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5334A8F" w14:textId="118769AA" w:rsidR="000A78FA" w:rsidRPr="00E459EF" w:rsidRDefault="00DD339B" w:rsidP="00BC0321">
            <w:pPr>
              <w:spacing w:after="0"/>
              <w:rPr>
                <w:rFonts w:ascii="Arial" w:hAnsi="Arial"/>
                <w:sz w:val="16"/>
              </w:rPr>
            </w:pPr>
            <w:r w:rsidRPr="00DD339B">
              <w:rPr>
                <w:rFonts w:ascii="Arial" w:hAnsi="Arial"/>
                <w:sz w:val="16"/>
              </w:rPr>
              <w:t>Introduction of integrated access and backhaul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C02810" w14:textId="77777777" w:rsidR="000A78FA" w:rsidRPr="00B916EC" w:rsidRDefault="000A78FA" w:rsidP="00BC0321">
            <w:pPr>
              <w:pStyle w:val="TAL"/>
              <w:rPr>
                <w:sz w:val="16"/>
                <w:szCs w:val="16"/>
                <w:lang w:eastAsia="zh-CN"/>
              </w:rPr>
            </w:pPr>
            <w:r>
              <w:rPr>
                <w:sz w:val="16"/>
                <w:szCs w:val="16"/>
                <w:lang w:eastAsia="zh-CN"/>
              </w:rPr>
              <w:t>16.0.0</w:t>
            </w:r>
          </w:p>
        </w:tc>
      </w:tr>
      <w:tr w:rsidR="00131932" w:rsidRPr="00B916EC" w14:paraId="7659832C" w14:textId="77777777" w:rsidTr="00131932">
        <w:tc>
          <w:tcPr>
            <w:tcW w:w="894" w:type="dxa"/>
            <w:tcBorders>
              <w:top w:val="single" w:sz="6" w:space="0" w:color="auto"/>
              <w:left w:val="single" w:sz="6" w:space="0" w:color="auto"/>
              <w:bottom w:val="single" w:sz="6" w:space="0" w:color="auto"/>
              <w:right w:val="single" w:sz="6" w:space="0" w:color="auto"/>
            </w:tcBorders>
            <w:shd w:val="solid" w:color="FFFFFF" w:fill="auto"/>
          </w:tcPr>
          <w:p w14:paraId="6BC5C84E" w14:textId="77777777" w:rsidR="00131932" w:rsidRPr="00B916EC" w:rsidRDefault="00131932"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DA2371F" w14:textId="77777777" w:rsidR="00131932" w:rsidRPr="00B916EC" w:rsidRDefault="00131932" w:rsidP="00BC0321">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329718E" w14:textId="2C79D076" w:rsidR="00131932" w:rsidRPr="00B916EC" w:rsidRDefault="00131932" w:rsidP="00BC0321">
            <w:pPr>
              <w:pStyle w:val="TAL"/>
              <w:rPr>
                <w:sz w:val="16"/>
                <w:szCs w:val="16"/>
                <w:lang w:eastAsia="zh-CN"/>
              </w:rPr>
            </w:pPr>
            <w:r>
              <w:rPr>
                <w:sz w:val="16"/>
                <w:szCs w:val="16"/>
                <w:lang w:eastAsia="zh-CN"/>
              </w:rPr>
              <w:t>RP-193</w:t>
            </w:r>
            <w:r w:rsidR="00FE0B9C">
              <w:rPr>
                <w:sz w:val="16"/>
                <w:szCs w:val="16"/>
                <w:lang w:eastAsia="zh-CN"/>
              </w:rPr>
              <w:t>22</w:t>
            </w:r>
            <w:r>
              <w:rPr>
                <w:sz w:val="16"/>
                <w:szCs w:val="16"/>
                <w:lang w:eastAsia="zh-CN"/>
              </w:rPr>
              <w:t>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7F657DD" w14:textId="38DD8A00" w:rsidR="00131932" w:rsidRPr="00B916EC" w:rsidRDefault="00131932" w:rsidP="00BC0321">
            <w:pPr>
              <w:pStyle w:val="TAL"/>
              <w:rPr>
                <w:sz w:val="16"/>
                <w:szCs w:val="16"/>
              </w:rPr>
            </w:pPr>
            <w:r>
              <w:rPr>
                <w:sz w:val="16"/>
                <w:szCs w:val="16"/>
              </w:rPr>
              <w:t>007</w:t>
            </w:r>
            <w:r w:rsidR="00FE0B9C">
              <w:rPr>
                <w:sz w:val="16"/>
                <w:szCs w:val="16"/>
              </w:rPr>
              <w:t>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09575C0" w14:textId="09F1FB31" w:rsidR="00131932" w:rsidRPr="00B916EC" w:rsidRDefault="00FE0B9C" w:rsidP="00BC0321">
            <w:pPr>
              <w:pStyle w:val="TAL"/>
              <w:jc w:val="center"/>
              <w:rPr>
                <w:sz w:val="16"/>
                <w:szCs w:val="16"/>
              </w:rPr>
            </w:pPr>
            <w:r>
              <w:rPr>
                <w:sz w:val="16"/>
                <w:szCs w:val="16"/>
              </w:rPr>
              <w:t>2</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0D336FE" w14:textId="77777777" w:rsidR="00131932" w:rsidRPr="006C70FD" w:rsidRDefault="00131932" w:rsidP="00BC032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1F18BDC" w14:textId="1B177AC7" w:rsidR="00131932" w:rsidRPr="00E459EF" w:rsidRDefault="00FE0B9C" w:rsidP="00BC0321">
            <w:pPr>
              <w:spacing w:after="0"/>
              <w:rPr>
                <w:rFonts w:ascii="Arial" w:hAnsi="Arial"/>
                <w:sz w:val="16"/>
              </w:rPr>
            </w:pPr>
            <w:r w:rsidRPr="00FE0B9C">
              <w:rPr>
                <w:rFonts w:ascii="Arial" w:hAnsi="Arial"/>
                <w:sz w:val="16"/>
              </w:rPr>
              <w:t>Introduction of Industrial IoT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A8F4BBE" w14:textId="77777777" w:rsidR="00131932" w:rsidRPr="00B916EC" w:rsidRDefault="00131932" w:rsidP="00BC0321">
            <w:pPr>
              <w:pStyle w:val="TAL"/>
              <w:rPr>
                <w:sz w:val="16"/>
                <w:szCs w:val="16"/>
                <w:lang w:eastAsia="zh-CN"/>
              </w:rPr>
            </w:pPr>
            <w:r>
              <w:rPr>
                <w:sz w:val="16"/>
                <w:szCs w:val="16"/>
                <w:lang w:eastAsia="zh-CN"/>
              </w:rPr>
              <w:t>16.0.0</w:t>
            </w:r>
          </w:p>
        </w:tc>
      </w:tr>
      <w:tr w:rsidR="00802588" w:rsidRPr="00B916EC" w14:paraId="44E3ADAD" w14:textId="77777777" w:rsidTr="00802588">
        <w:tc>
          <w:tcPr>
            <w:tcW w:w="894" w:type="dxa"/>
            <w:tcBorders>
              <w:top w:val="single" w:sz="6" w:space="0" w:color="auto"/>
              <w:left w:val="single" w:sz="6" w:space="0" w:color="auto"/>
              <w:bottom w:val="single" w:sz="6" w:space="0" w:color="auto"/>
              <w:right w:val="single" w:sz="6" w:space="0" w:color="auto"/>
            </w:tcBorders>
            <w:shd w:val="solid" w:color="FFFFFF" w:fill="auto"/>
          </w:tcPr>
          <w:p w14:paraId="19DA1C70" w14:textId="77777777" w:rsidR="00802588" w:rsidRPr="00B916EC" w:rsidRDefault="00802588"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F81C47C" w14:textId="77777777" w:rsidR="00802588" w:rsidRPr="00B916EC" w:rsidRDefault="00802588" w:rsidP="00BC0321">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05BB40C" w14:textId="5246DA95" w:rsidR="00802588" w:rsidRPr="00B916EC" w:rsidRDefault="00802588" w:rsidP="00BC0321">
            <w:pPr>
              <w:pStyle w:val="TAL"/>
              <w:rPr>
                <w:sz w:val="16"/>
                <w:szCs w:val="16"/>
                <w:lang w:eastAsia="zh-CN"/>
              </w:rPr>
            </w:pPr>
            <w:r>
              <w:rPr>
                <w:sz w:val="16"/>
                <w:szCs w:val="16"/>
                <w:lang w:eastAsia="zh-CN"/>
              </w:rPr>
              <w:t>RP-193125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916F286" w14:textId="25AD2DE2" w:rsidR="00802588" w:rsidRPr="00B916EC" w:rsidRDefault="00802588" w:rsidP="00BC0321">
            <w:pPr>
              <w:pStyle w:val="TAL"/>
              <w:rPr>
                <w:sz w:val="16"/>
                <w:szCs w:val="16"/>
              </w:rPr>
            </w:pPr>
            <w:r>
              <w:rPr>
                <w:sz w:val="16"/>
                <w:szCs w:val="16"/>
              </w:rPr>
              <w:t>0074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062C110" w14:textId="6903D3B5" w:rsidR="00802588" w:rsidRPr="00B916EC" w:rsidRDefault="00802588"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7958078" w14:textId="77777777" w:rsidR="00802588" w:rsidRPr="006C70FD" w:rsidRDefault="00802588" w:rsidP="00BC032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D6E4698" w14:textId="1E9BB3AF" w:rsidR="00802588" w:rsidRPr="00E459EF" w:rsidRDefault="00802588" w:rsidP="00BC0321">
            <w:pPr>
              <w:spacing w:after="0"/>
              <w:rPr>
                <w:rFonts w:ascii="Arial" w:hAnsi="Arial"/>
                <w:sz w:val="16"/>
              </w:rPr>
            </w:pPr>
            <w:r w:rsidRPr="00802588">
              <w:rPr>
                <w:rFonts w:ascii="Arial" w:hAnsi="Arial"/>
                <w:sz w:val="16"/>
              </w:rPr>
              <w:t>Introduction of Ultra Reliable Low Latency Communications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A972E9A" w14:textId="77777777" w:rsidR="00802588" w:rsidRPr="00B916EC" w:rsidRDefault="00802588" w:rsidP="00BC0321">
            <w:pPr>
              <w:pStyle w:val="TAL"/>
              <w:rPr>
                <w:sz w:val="16"/>
                <w:szCs w:val="16"/>
                <w:lang w:eastAsia="zh-CN"/>
              </w:rPr>
            </w:pPr>
            <w:r>
              <w:rPr>
                <w:sz w:val="16"/>
                <w:szCs w:val="16"/>
                <w:lang w:eastAsia="zh-CN"/>
              </w:rPr>
              <w:t>16.0.0</w:t>
            </w:r>
          </w:p>
        </w:tc>
      </w:tr>
      <w:tr w:rsidR="00067393" w:rsidRPr="00B916EC" w14:paraId="68D931AD" w14:textId="77777777" w:rsidTr="00067393">
        <w:tc>
          <w:tcPr>
            <w:tcW w:w="894" w:type="dxa"/>
            <w:tcBorders>
              <w:top w:val="single" w:sz="6" w:space="0" w:color="auto"/>
              <w:left w:val="single" w:sz="6" w:space="0" w:color="auto"/>
              <w:bottom w:val="single" w:sz="6" w:space="0" w:color="auto"/>
              <w:right w:val="single" w:sz="6" w:space="0" w:color="auto"/>
            </w:tcBorders>
            <w:shd w:val="solid" w:color="FFFFFF" w:fill="auto"/>
          </w:tcPr>
          <w:p w14:paraId="4ADDCF1F" w14:textId="77777777" w:rsidR="00067393" w:rsidRPr="00B916EC" w:rsidRDefault="00067393"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A5FA8A9" w14:textId="77777777" w:rsidR="00067393" w:rsidRPr="00B916EC" w:rsidRDefault="00067393" w:rsidP="00BC0321">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2D6316B" w14:textId="2861200D" w:rsidR="00067393" w:rsidRPr="00B916EC" w:rsidRDefault="00067393" w:rsidP="00BC0321">
            <w:pPr>
              <w:pStyle w:val="TAL"/>
              <w:rPr>
                <w:sz w:val="16"/>
                <w:szCs w:val="16"/>
                <w:lang w:eastAsia="zh-CN"/>
              </w:rPr>
            </w:pPr>
            <w:r>
              <w:rPr>
                <w:sz w:val="16"/>
                <w:szCs w:val="16"/>
                <w:lang w:eastAsia="zh-CN"/>
              </w:rPr>
              <w:t>RP-193127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E327710" w14:textId="7A155664" w:rsidR="00067393" w:rsidRPr="00B916EC" w:rsidRDefault="00067393" w:rsidP="00BC0321">
            <w:pPr>
              <w:pStyle w:val="TAL"/>
              <w:rPr>
                <w:sz w:val="16"/>
                <w:szCs w:val="16"/>
              </w:rPr>
            </w:pPr>
            <w:r>
              <w:rPr>
                <w:sz w:val="16"/>
                <w:szCs w:val="16"/>
              </w:rPr>
              <w:t>0075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10E8C90" w14:textId="77777777" w:rsidR="00067393" w:rsidRPr="00B916EC" w:rsidRDefault="00067393"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6334282" w14:textId="77777777" w:rsidR="00067393" w:rsidRPr="006C70FD" w:rsidRDefault="00067393" w:rsidP="00BC032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78B5908" w14:textId="4C2A047D" w:rsidR="00067393" w:rsidRPr="00E459EF" w:rsidRDefault="00067393" w:rsidP="00BC0321">
            <w:pPr>
              <w:spacing w:after="0"/>
              <w:rPr>
                <w:rFonts w:ascii="Arial" w:hAnsi="Arial"/>
                <w:sz w:val="16"/>
              </w:rPr>
            </w:pPr>
            <w:r w:rsidRPr="00067393">
              <w:rPr>
                <w:rFonts w:ascii="Arial" w:hAnsi="Arial"/>
                <w:sz w:val="16"/>
              </w:rPr>
              <w:t>Introduction of MIMO enhancements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E35FA5" w14:textId="77777777" w:rsidR="00067393" w:rsidRPr="00B916EC" w:rsidRDefault="00067393" w:rsidP="00BC0321">
            <w:pPr>
              <w:pStyle w:val="TAL"/>
              <w:rPr>
                <w:sz w:val="16"/>
                <w:szCs w:val="16"/>
                <w:lang w:eastAsia="zh-CN"/>
              </w:rPr>
            </w:pPr>
            <w:r>
              <w:rPr>
                <w:sz w:val="16"/>
                <w:szCs w:val="16"/>
                <w:lang w:eastAsia="zh-CN"/>
              </w:rPr>
              <w:t>16.0.0</w:t>
            </w:r>
          </w:p>
        </w:tc>
      </w:tr>
      <w:tr w:rsidR="00EA028E" w:rsidRPr="00B916EC" w14:paraId="56CE7F80" w14:textId="77777777" w:rsidTr="00EA028E">
        <w:tc>
          <w:tcPr>
            <w:tcW w:w="894" w:type="dxa"/>
            <w:tcBorders>
              <w:top w:val="single" w:sz="6" w:space="0" w:color="auto"/>
              <w:left w:val="single" w:sz="6" w:space="0" w:color="auto"/>
              <w:bottom w:val="single" w:sz="6" w:space="0" w:color="auto"/>
              <w:right w:val="single" w:sz="6" w:space="0" w:color="auto"/>
            </w:tcBorders>
            <w:shd w:val="solid" w:color="FFFFFF" w:fill="auto"/>
          </w:tcPr>
          <w:p w14:paraId="2C4103BC" w14:textId="77777777" w:rsidR="00EA028E" w:rsidRPr="00B916EC" w:rsidRDefault="00EA028E"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5390A67" w14:textId="77777777" w:rsidR="00EA028E" w:rsidRPr="00B916EC" w:rsidRDefault="00EA028E" w:rsidP="00BC0321">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850F9B9" w14:textId="1569A7EA" w:rsidR="00EA028E" w:rsidRPr="00B916EC" w:rsidRDefault="00EA028E" w:rsidP="00BC0321">
            <w:pPr>
              <w:pStyle w:val="TAL"/>
              <w:rPr>
                <w:sz w:val="16"/>
                <w:szCs w:val="16"/>
                <w:lang w:eastAsia="zh-CN"/>
              </w:rPr>
            </w:pPr>
            <w:r>
              <w:rPr>
                <w:sz w:val="16"/>
                <w:szCs w:val="16"/>
                <w:lang w:eastAsia="zh-CN"/>
              </w:rPr>
              <w:t>RP-193128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588DBB1" w14:textId="00098919" w:rsidR="00EA028E" w:rsidRPr="00B916EC" w:rsidRDefault="00EA028E" w:rsidP="00BC0321">
            <w:pPr>
              <w:pStyle w:val="TAL"/>
              <w:rPr>
                <w:sz w:val="16"/>
                <w:szCs w:val="16"/>
              </w:rPr>
            </w:pPr>
            <w:r>
              <w:rPr>
                <w:sz w:val="16"/>
                <w:szCs w:val="16"/>
              </w:rPr>
              <w:t>0076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E60D298" w14:textId="77777777" w:rsidR="00EA028E" w:rsidRPr="00B916EC" w:rsidRDefault="00EA028E"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37BDB06" w14:textId="77777777" w:rsidR="00EA028E" w:rsidRPr="006C70FD" w:rsidRDefault="00EA028E" w:rsidP="00BC032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18E4BCC" w14:textId="09CDE8AE" w:rsidR="00EA028E" w:rsidRPr="00E459EF" w:rsidRDefault="00EA028E" w:rsidP="00BC0321">
            <w:pPr>
              <w:spacing w:after="0"/>
              <w:rPr>
                <w:rFonts w:ascii="Arial" w:hAnsi="Arial"/>
                <w:sz w:val="16"/>
              </w:rPr>
            </w:pPr>
            <w:r w:rsidRPr="00EA028E">
              <w:rPr>
                <w:rFonts w:ascii="Arial" w:hAnsi="Arial"/>
                <w:sz w:val="16"/>
              </w:rPr>
              <w:t>Introduction of UE power savings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AFEAA0D" w14:textId="77777777" w:rsidR="00EA028E" w:rsidRPr="00B916EC" w:rsidRDefault="00EA028E" w:rsidP="00BC0321">
            <w:pPr>
              <w:pStyle w:val="TAL"/>
              <w:rPr>
                <w:sz w:val="16"/>
                <w:szCs w:val="16"/>
                <w:lang w:eastAsia="zh-CN"/>
              </w:rPr>
            </w:pPr>
            <w:r>
              <w:rPr>
                <w:sz w:val="16"/>
                <w:szCs w:val="16"/>
                <w:lang w:eastAsia="zh-CN"/>
              </w:rPr>
              <w:t>16.0.0</w:t>
            </w:r>
          </w:p>
        </w:tc>
      </w:tr>
      <w:tr w:rsidR="007547AA" w:rsidRPr="00B916EC" w14:paraId="25C3651B" w14:textId="77777777" w:rsidTr="00EA028E">
        <w:tc>
          <w:tcPr>
            <w:tcW w:w="894" w:type="dxa"/>
            <w:tcBorders>
              <w:top w:val="single" w:sz="6" w:space="0" w:color="auto"/>
              <w:left w:val="single" w:sz="6" w:space="0" w:color="auto"/>
              <w:bottom w:val="single" w:sz="6" w:space="0" w:color="auto"/>
              <w:right w:val="single" w:sz="6" w:space="0" w:color="auto"/>
            </w:tcBorders>
            <w:shd w:val="solid" w:color="FFFFFF" w:fill="auto"/>
          </w:tcPr>
          <w:p w14:paraId="5C875611" w14:textId="19D4302A" w:rsidR="007547AA" w:rsidRPr="00B916EC" w:rsidRDefault="007547AA"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EFDA9DC" w14:textId="7C488BCD" w:rsidR="007547AA" w:rsidRPr="00B916EC" w:rsidRDefault="007547AA" w:rsidP="00BC0321">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46A3509" w14:textId="5DE13CB7" w:rsidR="007547AA" w:rsidRDefault="007547AA" w:rsidP="00BC0321">
            <w:pPr>
              <w:pStyle w:val="TAL"/>
              <w:rPr>
                <w:sz w:val="16"/>
                <w:szCs w:val="16"/>
                <w:lang w:eastAsia="zh-CN"/>
              </w:rPr>
            </w:pPr>
            <w:r>
              <w:rPr>
                <w:sz w:val="16"/>
                <w:szCs w:val="16"/>
                <w:lang w:eastAsia="zh-CN"/>
              </w:rPr>
              <w:t>RP-19313</w:t>
            </w:r>
            <w:r w:rsidR="00AB35C3">
              <w:rPr>
                <w:sz w:val="16"/>
                <w:szCs w:val="16"/>
                <w:lang w:eastAsia="zh-CN"/>
              </w:rPr>
              <w:t>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9818B7D" w14:textId="0243958F" w:rsidR="007547AA" w:rsidRDefault="007547AA" w:rsidP="00BC0321">
            <w:pPr>
              <w:pStyle w:val="TAL"/>
              <w:rPr>
                <w:sz w:val="16"/>
                <w:szCs w:val="16"/>
              </w:rPr>
            </w:pPr>
            <w:r>
              <w:rPr>
                <w:sz w:val="16"/>
                <w:szCs w:val="16"/>
              </w:rPr>
              <w:t>007</w:t>
            </w:r>
            <w:r w:rsidR="00AB35C3">
              <w:rPr>
                <w:sz w:val="16"/>
                <w:szCs w:val="16"/>
              </w:rPr>
              <w:t>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9D0FF91" w14:textId="6EBD93AF" w:rsidR="007547AA" w:rsidRDefault="007547AA"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1E9509E" w14:textId="79D79921" w:rsidR="007547AA" w:rsidRDefault="007547AA" w:rsidP="00BC032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EC6894D" w14:textId="073645CC" w:rsidR="007547AA" w:rsidRPr="00EA028E" w:rsidRDefault="00AB35C3" w:rsidP="00BC0321">
            <w:pPr>
              <w:spacing w:after="0"/>
              <w:rPr>
                <w:rFonts w:ascii="Arial" w:hAnsi="Arial"/>
                <w:sz w:val="16"/>
              </w:rPr>
            </w:pPr>
            <w:r w:rsidRPr="00AB35C3">
              <w:rPr>
                <w:rFonts w:ascii="Arial" w:hAnsi="Arial"/>
                <w:sz w:val="16"/>
              </w:rPr>
              <w:t>Introduction of NR-DC in same Frequency Range and of Cross-carrier Scheduling with Different Numerologies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18E28E3" w14:textId="19426338" w:rsidR="007547AA" w:rsidRDefault="007547AA" w:rsidP="00BC0321">
            <w:pPr>
              <w:pStyle w:val="TAL"/>
              <w:rPr>
                <w:sz w:val="16"/>
                <w:szCs w:val="16"/>
                <w:lang w:eastAsia="zh-CN"/>
              </w:rPr>
            </w:pPr>
            <w:r>
              <w:rPr>
                <w:sz w:val="16"/>
                <w:szCs w:val="16"/>
                <w:lang w:eastAsia="zh-CN"/>
              </w:rPr>
              <w:t>16.0.0</w:t>
            </w:r>
          </w:p>
        </w:tc>
      </w:tr>
      <w:tr w:rsidR="007547AA" w:rsidRPr="00B916EC" w14:paraId="6748BE06" w14:textId="77777777" w:rsidTr="00EA028E">
        <w:tc>
          <w:tcPr>
            <w:tcW w:w="894" w:type="dxa"/>
            <w:tcBorders>
              <w:top w:val="single" w:sz="6" w:space="0" w:color="auto"/>
              <w:left w:val="single" w:sz="6" w:space="0" w:color="auto"/>
              <w:bottom w:val="single" w:sz="6" w:space="0" w:color="auto"/>
              <w:right w:val="single" w:sz="6" w:space="0" w:color="auto"/>
            </w:tcBorders>
            <w:shd w:val="solid" w:color="FFFFFF" w:fill="auto"/>
          </w:tcPr>
          <w:p w14:paraId="579F7181" w14:textId="237AA69F" w:rsidR="007547AA" w:rsidRPr="00B916EC" w:rsidRDefault="007547AA"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AD2563B" w14:textId="3356D58A" w:rsidR="007547AA" w:rsidRPr="00B916EC" w:rsidRDefault="007547AA" w:rsidP="00BC0321">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242CC49" w14:textId="5E270592" w:rsidR="007547AA" w:rsidRDefault="007547AA" w:rsidP="00BC0321">
            <w:pPr>
              <w:pStyle w:val="TAL"/>
              <w:rPr>
                <w:sz w:val="16"/>
                <w:szCs w:val="16"/>
                <w:lang w:eastAsia="zh-CN"/>
              </w:rPr>
            </w:pPr>
            <w:r>
              <w:rPr>
                <w:sz w:val="16"/>
                <w:szCs w:val="16"/>
                <w:lang w:eastAsia="zh-CN"/>
              </w:rPr>
              <w:t>RP-193132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7A3BE80" w14:textId="35E19CA2" w:rsidR="007547AA" w:rsidRDefault="007547AA" w:rsidP="00BC0321">
            <w:pPr>
              <w:pStyle w:val="TAL"/>
              <w:rPr>
                <w:sz w:val="16"/>
                <w:szCs w:val="16"/>
              </w:rPr>
            </w:pPr>
            <w:r>
              <w:rPr>
                <w:sz w:val="16"/>
                <w:szCs w:val="16"/>
              </w:rPr>
              <w:t>0078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FCFEDE5" w14:textId="57EF4E9A" w:rsidR="007547AA" w:rsidRDefault="007547AA"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6E64946" w14:textId="12A74DFA" w:rsidR="007547AA" w:rsidRDefault="007547AA" w:rsidP="00BC032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B95EF86" w14:textId="221624FE" w:rsidR="007547AA" w:rsidRPr="00EA028E" w:rsidRDefault="007547AA" w:rsidP="00BC0321">
            <w:pPr>
              <w:spacing w:after="0"/>
              <w:rPr>
                <w:rFonts w:ascii="Arial" w:hAnsi="Arial"/>
                <w:sz w:val="16"/>
              </w:rPr>
            </w:pPr>
            <w:r w:rsidRPr="007547AA">
              <w:rPr>
                <w:rFonts w:ascii="Arial" w:hAnsi="Arial"/>
                <w:sz w:val="16"/>
              </w:rPr>
              <w:t>Introduction of multiple LTE CRS rate matching patterns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212D380" w14:textId="0D936BD3" w:rsidR="007547AA" w:rsidRDefault="007547AA" w:rsidP="00BC0321">
            <w:pPr>
              <w:pStyle w:val="TAL"/>
              <w:rPr>
                <w:sz w:val="16"/>
                <w:szCs w:val="16"/>
                <w:lang w:eastAsia="zh-CN"/>
              </w:rPr>
            </w:pPr>
            <w:r>
              <w:rPr>
                <w:sz w:val="16"/>
                <w:szCs w:val="16"/>
                <w:lang w:eastAsia="zh-CN"/>
              </w:rPr>
              <w:t>16.0.0</w:t>
            </w:r>
          </w:p>
        </w:tc>
      </w:tr>
      <w:tr w:rsidR="002104E7" w:rsidRPr="00B916EC" w14:paraId="3A51D2F1" w14:textId="77777777" w:rsidTr="00EA028E">
        <w:tc>
          <w:tcPr>
            <w:tcW w:w="894" w:type="dxa"/>
            <w:tcBorders>
              <w:top w:val="single" w:sz="6" w:space="0" w:color="auto"/>
              <w:left w:val="single" w:sz="6" w:space="0" w:color="auto"/>
              <w:bottom w:val="single" w:sz="6" w:space="0" w:color="auto"/>
              <w:right w:val="single" w:sz="6" w:space="0" w:color="auto"/>
            </w:tcBorders>
            <w:shd w:val="solid" w:color="FFFFFF" w:fill="auto"/>
          </w:tcPr>
          <w:p w14:paraId="6B57728C" w14:textId="250CF916" w:rsidR="002104E7" w:rsidRPr="00B916EC" w:rsidRDefault="002104E7"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4D248BE" w14:textId="7DBC7CDB" w:rsidR="002104E7" w:rsidRPr="00B916EC" w:rsidRDefault="002104E7" w:rsidP="00BC0321">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23D5971" w14:textId="39C8BE74" w:rsidR="002104E7" w:rsidRDefault="002104E7" w:rsidP="00BC0321">
            <w:pPr>
              <w:pStyle w:val="TAL"/>
              <w:rPr>
                <w:sz w:val="16"/>
                <w:szCs w:val="16"/>
                <w:lang w:eastAsia="zh-CN"/>
              </w:rPr>
            </w:pPr>
            <w:r>
              <w:rPr>
                <w:sz w:val="16"/>
                <w:szCs w:val="16"/>
                <w:lang w:eastAsia="zh-CN"/>
              </w:rPr>
              <w:t>RP-193124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69D3BA2" w14:textId="3837BD9F" w:rsidR="002104E7" w:rsidRDefault="002104E7" w:rsidP="00BC0321">
            <w:pPr>
              <w:pStyle w:val="TAL"/>
              <w:rPr>
                <w:sz w:val="16"/>
                <w:szCs w:val="16"/>
              </w:rPr>
            </w:pPr>
            <w:r>
              <w:rPr>
                <w:sz w:val="16"/>
                <w:szCs w:val="16"/>
              </w:rPr>
              <w:t>0079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905B229" w14:textId="162A1866" w:rsidR="002104E7" w:rsidRDefault="002104E7"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A908F7C" w14:textId="67F6B9C6" w:rsidR="002104E7" w:rsidRDefault="002104E7" w:rsidP="00BC032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6DD518E" w14:textId="23499E73" w:rsidR="002104E7" w:rsidRPr="00EA028E" w:rsidRDefault="002104E7" w:rsidP="00BC0321">
            <w:pPr>
              <w:spacing w:after="0"/>
              <w:rPr>
                <w:rFonts w:ascii="Arial" w:hAnsi="Arial"/>
                <w:sz w:val="16"/>
              </w:rPr>
            </w:pPr>
            <w:r w:rsidRPr="002104E7">
              <w:rPr>
                <w:rFonts w:ascii="Arial" w:hAnsi="Arial"/>
                <w:sz w:val="16"/>
              </w:rPr>
              <w:t>Introduction of V2X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38E6F54" w14:textId="1A89A801" w:rsidR="002104E7" w:rsidRDefault="002104E7" w:rsidP="00BC0321">
            <w:pPr>
              <w:pStyle w:val="TAL"/>
              <w:rPr>
                <w:sz w:val="16"/>
                <w:szCs w:val="16"/>
                <w:lang w:eastAsia="zh-CN"/>
              </w:rPr>
            </w:pPr>
            <w:r>
              <w:rPr>
                <w:sz w:val="16"/>
                <w:szCs w:val="16"/>
                <w:lang w:eastAsia="zh-CN"/>
              </w:rPr>
              <w:t>16.0.0</w:t>
            </w:r>
          </w:p>
        </w:tc>
      </w:tr>
      <w:tr w:rsidR="006120E0" w:rsidRPr="00B916EC" w14:paraId="47B078DC" w14:textId="77777777" w:rsidTr="00EA028E">
        <w:tc>
          <w:tcPr>
            <w:tcW w:w="894" w:type="dxa"/>
            <w:tcBorders>
              <w:top w:val="single" w:sz="6" w:space="0" w:color="auto"/>
              <w:left w:val="single" w:sz="6" w:space="0" w:color="auto"/>
              <w:bottom w:val="single" w:sz="6" w:space="0" w:color="auto"/>
              <w:right w:val="single" w:sz="6" w:space="0" w:color="auto"/>
            </w:tcBorders>
            <w:shd w:val="solid" w:color="FFFFFF" w:fill="auto"/>
          </w:tcPr>
          <w:p w14:paraId="563D93EF" w14:textId="6E092FBE" w:rsidR="006120E0" w:rsidRPr="00B916EC" w:rsidRDefault="006120E0"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3611CC1" w14:textId="717974D8" w:rsidR="006120E0" w:rsidRPr="00B916EC" w:rsidRDefault="006120E0" w:rsidP="00BC0321">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F98E54B" w14:textId="09D9FB7B" w:rsidR="006120E0" w:rsidRDefault="006120E0" w:rsidP="00BC0321">
            <w:pPr>
              <w:pStyle w:val="TAL"/>
              <w:rPr>
                <w:sz w:val="16"/>
                <w:szCs w:val="16"/>
                <w:lang w:eastAsia="zh-CN"/>
              </w:rPr>
            </w:pPr>
            <w:r>
              <w:rPr>
                <w:sz w:val="16"/>
                <w:szCs w:val="16"/>
                <w:lang w:eastAsia="zh-CN"/>
              </w:rPr>
              <w:t>RP-193</w:t>
            </w:r>
            <w:r w:rsidR="00E56897">
              <w:rPr>
                <w:sz w:val="16"/>
                <w:szCs w:val="16"/>
                <w:lang w:eastAsia="zh-CN"/>
              </w:rPr>
              <w:t>129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7A1252A" w14:textId="668774ED" w:rsidR="006120E0" w:rsidRDefault="006120E0" w:rsidP="00BC0321">
            <w:pPr>
              <w:pStyle w:val="TAL"/>
              <w:rPr>
                <w:sz w:val="16"/>
                <w:szCs w:val="16"/>
              </w:rPr>
            </w:pPr>
            <w:r>
              <w:rPr>
                <w:sz w:val="16"/>
                <w:szCs w:val="16"/>
              </w:rPr>
              <w:t>008</w:t>
            </w:r>
            <w:r w:rsidR="00E56897">
              <w:rPr>
                <w:sz w:val="16"/>
                <w:szCs w:val="16"/>
              </w:rPr>
              <w:t>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C1BC1ED" w14:textId="507BD615" w:rsidR="006120E0" w:rsidRDefault="00E56897"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FEBA319" w14:textId="1DC75F05" w:rsidR="006120E0" w:rsidRDefault="006120E0" w:rsidP="00BC032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DDCD59E" w14:textId="38E582C7" w:rsidR="006120E0" w:rsidRPr="00EA028E" w:rsidRDefault="00E56897" w:rsidP="00BC0321">
            <w:pPr>
              <w:spacing w:after="0"/>
              <w:rPr>
                <w:rFonts w:ascii="Arial" w:hAnsi="Arial"/>
                <w:sz w:val="16"/>
              </w:rPr>
            </w:pPr>
            <w:r w:rsidRPr="00E56897">
              <w:rPr>
                <w:rFonts w:ascii="Arial" w:hAnsi="Arial"/>
                <w:sz w:val="16"/>
              </w:rPr>
              <w:t>Introduction of positioning support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BFBD894" w14:textId="627FC3FE" w:rsidR="006120E0" w:rsidRDefault="006120E0" w:rsidP="00BC0321">
            <w:pPr>
              <w:pStyle w:val="TAL"/>
              <w:rPr>
                <w:sz w:val="16"/>
                <w:szCs w:val="16"/>
                <w:lang w:eastAsia="zh-CN"/>
              </w:rPr>
            </w:pPr>
            <w:r>
              <w:rPr>
                <w:sz w:val="16"/>
                <w:szCs w:val="16"/>
                <w:lang w:eastAsia="zh-CN"/>
              </w:rPr>
              <w:t>16.0.0</w:t>
            </w:r>
          </w:p>
        </w:tc>
      </w:tr>
      <w:tr w:rsidR="00327486" w:rsidRPr="00B916EC" w14:paraId="77084948" w14:textId="77777777" w:rsidTr="00EA028E">
        <w:tc>
          <w:tcPr>
            <w:tcW w:w="894" w:type="dxa"/>
            <w:tcBorders>
              <w:top w:val="single" w:sz="6" w:space="0" w:color="auto"/>
              <w:left w:val="single" w:sz="6" w:space="0" w:color="auto"/>
              <w:bottom w:val="single" w:sz="6" w:space="0" w:color="auto"/>
              <w:right w:val="single" w:sz="6" w:space="0" w:color="auto"/>
            </w:tcBorders>
            <w:shd w:val="solid" w:color="FFFFFF" w:fill="auto"/>
          </w:tcPr>
          <w:p w14:paraId="348A0871" w14:textId="11933D22" w:rsidR="00327486" w:rsidRPr="00B916EC" w:rsidRDefault="00327486" w:rsidP="00BC0321">
            <w:pPr>
              <w:spacing w:after="0"/>
              <w:jc w:val="center"/>
              <w:rPr>
                <w:rFonts w:ascii="Arial" w:hAnsi="Arial"/>
                <w:snapToGrid w:val="0"/>
                <w:sz w:val="16"/>
                <w:szCs w:val="16"/>
              </w:rPr>
            </w:pPr>
            <w:r w:rsidRPr="00B916EC">
              <w:rPr>
                <w:rFonts w:ascii="Arial" w:hAnsi="Arial"/>
                <w:snapToGrid w:val="0"/>
                <w:sz w:val="16"/>
                <w:szCs w:val="16"/>
              </w:rPr>
              <w:t>201</w:t>
            </w:r>
            <w:r>
              <w:rPr>
                <w:rFonts w:ascii="Arial" w:hAnsi="Arial"/>
                <w:snapToGrid w:val="0"/>
                <w:sz w:val="16"/>
                <w:szCs w:val="16"/>
              </w:rPr>
              <w:t>9</w:t>
            </w:r>
            <w:r w:rsidRPr="00B916EC">
              <w:rPr>
                <w:rFonts w:ascii="Arial" w:hAnsi="Arial"/>
                <w:snapToGrid w:val="0"/>
                <w:sz w:val="16"/>
                <w:szCs w:val="16"/>
              </w:rPr>
              <w:t>-</w:t>
            </w:r>
            <w:r>
              <w:rPr>
                <w:rFonts w:ascii="Arial" w:hAnsi="Arial"/>
                <w:snapToGrid w:val="0"/>
                <w:sz w:val="16"/>
                <w:szCs w:val="16"/>
              </w:rPr>
              <w:t>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E72ADD2" w14:textId="589CF86C" w:rsidR="00327486" w:rsidRPr="00B916EC" w:rsidRDefault="00327486" w:rsidP="00BC0321">
            <w:pPr>
              <w:pStyle w:val="TAL"/>
              <w:rPr>
                <w:sz w:val="16"/>
                <w:szCs w:val="16"/>
                <w:lang w:eastAsia="zh-CN"/>
              </w:rPr>
            </w:pPr>
            <w:r w:rsidRPr="00B916EC">
              <w:rPr>
                <w:sz w:val="16"/>
                <w:szCs w:val="16"/>
                <w:lang w:eastAsia="zh-CN"/>
              </w:rPr>
              <w:t>RAN#</w:t>
            </w:r>
            <w:r>
              <w:rPr>
                <w:sz w:val="16"/>
                <w:szCs w:val="16"/>
                <w:lang w:eastAsia="zh-CN"/>
              </w:rPr>
              <w:t>86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08311CE" w14:textId="6DFD9788" w:rsidR="00327486" w:rsidRDefault="00327486" w:rsidP="00BC0321">
            <w:pPr>
              <w:pStyle w:val="TAL"/>
              <w:rPr>
                <w:sz w:val="16"/>
                <w:szCs w:val="16"/>
                <w:lang w:eastAsia="zh-CN"/>
              </w:rPr>
            </w:pPr>
            <w:r>
              <w:rPr>
                <w:sz w:val="16"/>
                <w:szCs w:val="16"/>
                <w:lang w:eastAsia="zh-CN"/>
              </w:rPr>
              <w:t>RP-193</w:t>
            </w:r>
            <w:r w:rsidR="004D2769">
              <w:rPr>
                <w:sz w:val="16"/>
                <w:szCs w:val="16"/>
                <w:lang w:eastAsia="zh-CN"/>
              </w:rPr>
              <w:t>223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F4ECE5F" w14:textId="583E8FCC" w:rsidR="00327486" w:rsidRDefault="00327486" w:rsidP="00BC0321">
            <w:pPr>
              <w:pStyle w:val="TAL"/>
              <w:rPr>
                <w:sz w:val="16"/>
                <w:szCs w:val="16"/>
              </w:rPr>
            </w:pPr>
            <w:r>
              <w:rPr>
                <w:sz w:val="16"/>
                <w:szCs w:val="16"/>
              </w:rPr>
              <w:t>00</w:t>
            </w:r>
            <w:r w:rsidR="004D2769">
              <w:rPr>
                <w:sz w:val="16"/>
                <w:szCs w:val="16"/>
              </w:rPr>
              <w:t>81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D4FF7BE" w14:textId="1B441551" w:rsidR="00327486" w:rsidRDefault="004D2769" w:rsidP="00BC0321">
            <w:pPr>
              <w:pStyle w:val="TAL"/>
              <w:jc w:val="center"/>
              <w:rPr>
                <w:sz w:val="16"/>
                <w:szCs w:val="16"/>
              </w:rPr>
            </w:pPr>
            <w:r>
              <w:rPr>
                <w:sz w:val="16"/>
                <w:szCs w:val="16"/>
              </w:rPr>
              <w:t>2</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FE0022D" w14:textId="41A1DD7D" w:rsidR="00327486" w:rsidRDefault="00327486" w:rsidP="00BC032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FC03D22" w14:textId="673FC1C3" w:rsidR="00327486" w:rsidRPr="00EA028E" w:rsidRDefault="004D2769" w:rsidP="00BC0321">
            <w:pPr>
              <w:spacing w:after="0"/>
              <w:rPr>
                <w:rFonts w:ascii="Arial" w:hAnsi="Arial"/>
                <w:sz w:val="16"/>
              </w:rPr>
            </w:pPr>
            <w:r w:rsidRPr="004D2769">
              <w:rPr>
                <w:rFonts w:ascii="Arial" w:hAnsi="Arial"/>
                <w:sz w:val="16"/>
              </w:rPr>
              <w:t>Introduction of mobility enhancements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CF61174" w14:textId="101B385E" w:rsidR="00327486" w:rsidRDefault="00327486" w:rsidP="00BC0321">
            <w:pPr>
              <w:pStyle w:val="TAL"/>
              <w:rPr>
                <w:sz w:val="16"/>
                <w:szCs w:val="16"/>
                <w:lang w:eastAsia="zh-CN"/>
              </w:rPr>
            </w:pPr>
            <w:r>
              <w:rPr>
                <w:sz w:val="16"/>
                <w:szCs w:val="16"/>
                <w:lang w:eastAsia="zh-CN"/>
              </w:rPr>
              <w:t>16.0.0</w:t>
            </w:r>
          </w:p>
        </w:tc>
      </w:tr>
      <w:tr w:rsidR="00C35428" w:rsidRPr="00B916EC" w14:paraId="4B83F3F2" w14:textId="77777777" w:rsidTr="00C35428">
        <w:tc>
          <w:tcPr>
            <w:tcW w:w="894" w:type="dxa"/>
            <w:tcBorders>
              <w:top w:val="single" w:sz="6" w:space="0" w:color="auto"/>
              <w:left w:val="single" w:sz="6" w:space="0" w:color="auto"/>
              <w:bottom w:val="single" w:sz="6" w:space="0" w:color="auto"/>
              <w:right w:val="single" w:sz="6" w:space="0" w:color="auto"/>
            </w:tcBorders>
            <w:shd w:val="solid" w:color="FFFFFF" w:fill="auto"/>
          </w:tcPr>
          <w:p w14:paraId="6DB14CA9" w14:textId="5101DA3A" w:rsidR="00C35428" w:rsidRPr="00B916EC" w:rsidRDefault="00C35428"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5D6D54C" w14:textId="027AAECB" w:rsidR="00C35428" w:rsidRPr="00B916EC" w:rsidRDefault="00C35428" w:rsidP="00BC0321">
            <w:pPr>
              <w:pStyle w:val="TAL"/>
              <w:rPr>
                <w:sz w:val="16"/>
                <w:szCs w:val="16"/>
                <w:lang w:eastAsia="zh-CN"/>
              </w:rPr>
            </w:pPr>
            <w:r w:rsidRPr="00B916EC">
              <w:rPr>
                <w:sz w:val="16"/>
                <w:szCs w:val="16"/>
                <w:lang w:eastAsia="zh-CN"/>
              </w:rPr>
              <w:t>RAN#</w:t>
            </w:r>
            <w:r>
              <w:rPr>
                <w:sz w:val="16"/>
                <w:szCs w:val="16"/>
                <w:lang w:eastAsia="zh-CN"/>
              </w:rPr>
              <w:t>87-e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DC19FA5" w14:textId="69E7B6F9" w:rsidR="00C35428" w:rsidRDefault="00C35428" w:rsidP="00BC0321">
            <w:pPr>
              <w:pStyle w:val="TAL"/>
              <w:rPr>
                <w:sz w:val="16"/>
                <w:szCs w:val="16"/>
                <w:lang w:eastAsia="zh-CN"/>
              </w:rPr>
            </w:pPr>
            <w:r>
              <w:rPr>
                <w:sz w:val="16"/>
                <w:szCs w:val="16"/>
                <w:lang w:eastAsia="zh-CN"/>
              </w:rPr>
              <w:t>RP-200184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8167161" w14:textId="0A3BB7A0" w:rsidR="00C35428" w:rsidRDefault="00C35428" w:rsidP="00BC0321">
            <w:pPr>
              <w:pStyle w:val="TAL"/>
              <w:rPr>
                <w:sz w:val="16"/>
                <w:szCs w:val="16"/>
              </w:rPr>
            </w:pPr>
            <w:r>
              <w:rPr>
                <w:sz w:val="16"/>
                <w:szCs w:val="16"/>
              </w:rPr>
              <w:t>0085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0087A6B" w14:textId="4A0BA0A8" w:rsidR="00C35428" w:rsidRDefault="00C35428"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04D2F18" w14:textId="338DBCEB" w:rsidR="00C35428" w:rsidRDefault="00C35428"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C14657D" w14:textId="4B867CA6" w:rsidR="00C35428" w:rsidRPr="00EA028E" w:rsidRDefault="00C35428" w:rsidP="00BC0321">
            <w:pPr>
              <w:spacing w:after="0"/>
              <w:rPr>
                <w:rFonts w:ascii="Arial" w:hAnsi="Arial"/>
                <w:sz w:val="16"/>
              </w:rPr>
            </w:pPr>
            <w:r w:rsidRPr="00C35428">
              <w:rPr>
                <w:rFonts w:ascii="Arial" w:hAnsi="Arial"/>
                <w:sz w:val="16"/>
              </w:rPr>
              <w:t>Corrections on two-step RACH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58647F9" w14:textId="00EC095F" w:rsidR="00C35428" w:rsidRDefault="00C35428" w:rsidP="00BC0321">
            <w:pPr>
              <w:pStyle w:val="TAL"/>
              <w:rPr>
                <w:sz w:val="16"/>
                <w:szCs w:val="16"/>
                <w:lang w:eastAsia="zh-CN"/>
              </w:rPr>
            </w:pPr>
            <w:r>
              <w:rPr>
                <w:sz w:val="16"/>
                <w:szCs w:val="16"/>
                <w:lang w:eastAsia="zh-CN"/>
              </w:rPr>
              <w:t>16.1.0</w:t>
            </w:r>
          </w:p>
        </w:tc>
      </w:tr>
      <w:tr w:rsidR="000B70FC" w:rsidRPr="00B916EC" w14:paraId="6B9C93DA" w14:textId="77777777" w:rsidTr="000B70FC">
        <w:tc>
          <w:tcPr>
            <w:tcW w:w="894" w:type="dxa"/>
            <w:tcBorders>
              <w:top w:val="single" w:sz="6" w:space="0" w:color="auto"/>
              <w:left w:val="single" w:sz="6" w:space="0" w:color="auto"/>
              <w:bottom w:val="single" w:sz="6" w:space="0" w:color="auto"/>
              <w:right w:val="single" w:sz="6" w:space="0" w:color="auto"/>
            </w:tcBorders>
            <w:shd w:val="solid" w:color="FFFFFF" w:fill="auto"/>
          </w:tcPr>
          <w:p w14:paraId="2D6FCF4D" w14:textId="77777777" w:rsidR="000B70FC" w:rsidRPr="00B916EC" w:rsidRDefault="000B70FC"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5709577" w14:textId="77777777" w:rsidR="000B70FC" w:rsidRPr="00B916EC" w:rsidRDefault="000B70FC" w:rsidP="00BC0321">
            <w:pPr>
              <w:pStyle w:val="TAL"/>
              <w:rPr>
                <w:sz w:val="16"/>
                <w:szCs w:val="16"/>
                <w:lang w:eastAsia="zh-CN"/>
              </w:rPr>
            </w:pPr>
            <w:r w:rsidRPr="00B916EC">
              <w:rPr>
                <w:sz w:val="16"/>
                <w:szCs w:val="16"/>
                <w:lang w:eastAsia="zh-CN"/>
              </w:rPr>
              <w:t>RAN#</w:t>
            </w:r>
            <w:r>
              <w:rPr>
                <w:sz w:val="16"/>
                <w:szCs w:val="16"/>
                <w:lang w:eastAsia="zh-CN"/>
              </w:rPr>
              <w:t>87-e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B22BD90" w14:textId="124E5C99" w:rsidR="000B70FC" w:rsidRDefault="000B70FC" w:rsidP="00BC0321">
            <w:pPr>
              <w:pStyle w:val="TAL"/>
              <w:rPr>
                <w:sz w:val="16"/>
                <w:szCs w:val="16"/>
                <w:lang w:eastAsia="zh-CN"/>
              </w:rPr>
            </w:pPr>
            <w:r>
              <w:rPr>
                <w:sz w:val="16"/>
                <w:szCs w:val="16"/>
                <w:lang w:eastAsia="zh-CN"/>
              </w:rPr>
              <w:t>RP-200194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ECF1428" w14:textId="7565D2F1" w:rsidR="000B70FC" w:rsidRDefault="000B70FC" w:rsidP="00BC0321">
            <w:pPr>
              <w:pStyle w:val="TAL"/>
              <w:rPr>
                <w:sz w:val="16"/>
                <w:szCs w:val="16"/>
              </w:rPr>
            </w:pPr>
            <w:r>
              <w:rPr>
                <w:sz w:val="16"/>
                <w:szCs w:val="16"/>
              </w:rPr>
              <w:t>0086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9450A04" w14:textId="77777777" w:rsidR="000B70FC" w:rsidRDefault="000B70F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89DF9DE" w14:textId="77777777" w:rsidR="000B70FC" w:rsidRDefault="000B70F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F879F40" w14:textId="3EE12AA8" w:rsidR="000B70FC" w:rsidRPr="00EA028E" w:rsidRDefault="000B70FC" w:rsidP="00BC0321">
            <w:pPr>
              <w:spacing w:after="0"/>
              <w:rPr>
                <w:rFonts w:ascii="Arial" w:hAnsi="Arial"/>
                <w:sz w:val="16"/>
              </w:rPr>
            </w:pPr>
            <w:r w:rsidRPr="000B70FC">
              <w:rPr>
                <w:rFonts w:ascii="Arial" w:hAnsi="Arial"/>
                <w:sz w:val="16"/>
              </w:rPr>
              <w:t>Corrections on NR-DC and on Cross-carrier Scheduling with Different Numerologies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0F53FC7" w14:textId="77777777" w:rsidR="000B70FC" w:rsidRDefault="000B70FC" w:rsidP="00BC0321">
            <w:pPr>
              <w:pStyle w:val="TAL"/>
              <w:rPr>
                <w:sz w:val="16"/>
                <w:szCs w:val="16"/>
                <w:lang w:eastAsia="zh-CN"/>
              </w:rPr>
            </w:pPr>
            <w:r>
              <w:rPr>
                <w:sz w:val="16"/>
                <w:szCs w:val="16"/>
                <w:lang w:eastAsia="zh-CN"/>
              </w:rPr>
              <w:t>16.1.0</w:t>
            </w:r>
          </w:p>
        </w:tc>
      </w:tr>
      <w:tr w:rsidR="009242FB" w:rsidRPr="00B916EC" w14:paraId="68361487" w14:textId="77777777" w:rsidTr="009242FB">
        <w:tc>
          <w:tcPr>
            <w:tcW w:w="894" w:type="dxa"/>
            <w:tcBorders>
              <w:top w:val="single" w:sz="6" w:space="0" w:color="auto"/>
              <w:left w:val="single" w:sz="6" w:space="0" w:color="auto"/>
              <w:bottom w:val="single" w:sz="6" w:space="0" w:color="auto"/>
              <w:right w:val="single" w:sz="6" w:space="0" w:color="auto"/>
            </w:tcBorders>
            <w:shd w:val="solid" w:color="FFFFFF" w:fill="auto"/>
          </w:tcPr>
          <w:p w14:paraId="2CE56B48" w14:textId="77777777" w:rsidR="009242FB" w:rsidRPr="00B916EC" w:rsidRDefault="009242FB"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8516865" w14:textId="77777777" w:rsidR="009242FB" w:rsidRPr="00B916EC" w:rsidRDefault="009242FB" w:rsidP="00BC0321">
            <w:pPr>
              <w:pStyle w:val="TAL"/>
              <w:rPr>
                <w:sz w:val="16"/>
                <w:szCs w:val="16"/>
                <w:lang w:eastAsia="zh-CN"/>
              </w:rPr>
            </w:pPr>
            <w:r w:rsidRPr="00B916EC">
              <w:rPr>
                <w:sz w:val="16"/>
                <w:szCs w:val="16"/>
                <w:lang w:eastAsia="zh-CN"/>
              </w:rPr>
              <w:t>RAN#</w:t>
            </w:r>
            <w:r>
              <w:rPr>
                <w:sz w:val="16"/>
                <w:szCs w:val="16"/>
                <w:lang w:eastAsia="zh-CN"/>
              </w:rPr>
              <w:t>87-e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61ED038" w14:textId="393CD561" w:rsidR="009242FB" w:rsidRDefault="009242FB" w:rsidP="00BC0321">
            <w:pPr>
              <w:pStyle w:val="TAL"/>
              <w:rPr>
                <w:sz w:val="16"/>
                <w:szCs w:val="16"/>
                <w:lang w:eastAsia="zh-CN"/>
              </w:rPr>
            </w:pPr>
            <w:r>
              <w:rPr>
                <w:sz w:val="16"/>
                <w:szCs w:val="16"/>
                <w:lang w:eastAsia="zh-CN"/>
              </w:rPr>
              <w:t>RP-200186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726D2FA" w14:textId="4E15E19D" w:rsidR="009242FB" w:rsidRDefault="009242FB" w:rsidP="00BC0321">
            <w:pPr>
              <w:pStyle w:val="TAL"/>
              <w:rPr>
                <w:sz w:val="16"/>
                <w:szCs w:val="16"/>
              </w:rPr>
            </w:pPr>
            <w:r>
              <w:rPr>
                <w:sz w:val="16"/>
                <w:szCs w:val="16"/>
              </w:rPr>
              <w:t>0087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778AA78" w14:textId="77777777" w:rsidR="009242FB" w:rsidRDefault="009242FB"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B309BC8" w14:textId="77777777" w:rsidR="009242FB" w:rsidRDefault="009242FB"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2D50780" w14:textId="79C78667" w:rsidR="009242FB" w:rsidRPr="00EA028E" w:rsidRDefault="009242FB" w:rsidP="00BC0321">
            <w:pPr>
              <w:spacing w:after="0"/>
              <w:rPr>
                <w:rFonts w:ascii="Arial" w:hAnsi="Arial"/>
                <w:sz w:val="16"/>
              </w:rPr>
            </w:pPr>
            <w:r w:rsidRPr="009242FB">
              <w:rPr>
                <w:rFonts w:ascii="Arial" w:hAnsi="Arial"/>
                <w:sz w:val="16"/>
              </w:rPr>
              <w:t>Corrections on integrated access and backhaul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18D63AF" w14:textId="77777777" w:rsidR="009242FB" w:rsidRDefault="009242FB" w:rsidP="00BC0321">
            <w:pPr>
              <w:pStyle w:val="TAL"/>
              <w:rPr>
                <w:sz w:val="16"/>
                <w:szCs w:val="16"/>
                <w:lang w:eastAsia="zh-CN"/>
              </w:rPr>
            </w:pPr>
            <w:r>
              <w:rPr>
                <w:sz w:val="16"/>
                <w:szCs w:val="16"/>
                <w:lang w:eastAsia="zh-CN"/>
              </w:rPr>
              <w:t>16.1.0</w:t>
            </w:r>
          </w:p>
        </w:tc>
      </w:tr>
      <w:tr w:rsidR="008823B9" w:rsidRPr="00B916EC" w14:paraId="6CBE4247" w14:textId="77777777" w:rsidTr="008823B9">
        <w:tc>
          <w:tcPr>
            <w:tcW w:w="894" w:type="dxa"/>
            <w:tcBorders>
              <w:top w:val="single" w:sz="6" w:space="0" w:color="auto"/>
              <w:left w:val="single" w:sz="6" w:space="0" w:color="auto"/>
              <w:bottom w:val="single" w:sz="6" w:space="0" w:color="auto"/>
              <w:right w:val="single" w:sz="6" w:space="0" w:color="auto"/>
            </w:tcBorders>
            <w:shd w:val="solid" w:color="FFFFFF" w:fill="auto"/>
          </w:tcPr>
          <w:p w14:paraId="4CF71E7D" w14:textId="77777777" w:rsidR="008823B9" w:rsidRPr="00B916EC" w:rsidRDefault="008823B9"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F598E22" w14:textId="77777777" w:rsidR="008823B9" w:rsidRPr="00B916EC" w:rsidRDefault="008823B9" w:rsidP="00BC0321">
            <w:pPr>
              <w:pStyle w:val="TAL"/>
              <w:rPr>
                <w:sz w:val="16"/>
                <w:szCs w:val="16"/>
                <w:lang w:eastAsia="zh-CN"/>
              </w:rPr>
            </w:pPr>
            <w:r w:rsidRPr="00B916EC">
              <w:rPr>
                <w:sz w:val="16"/>
                <w:szCs w:val="16"/>
                <w:lang w:eastAsia="zh-CN"/>
              </w:rPr>
              <w:t>RAN#</w:t>
            </w:r>
            <w:r>
              <w:rPr>
                <w:sz w:val="16"/>
                <w:szCs w:val="16"/>
                <w:lang w:eastAsia="zh-CN"/>
              </w:rPr>
              <w:t>87-e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9AE7754" w14:textId="3D572BE7" w:rsidR="008823B9" w:rsidRDefault="008823B9" w:rsidP="00BC0321">
            <w:pPr>
              <w:pStyle w:val="TAL"/>
              <w:rPr>
                <w:sz w:val="16"/>
                <w:szCs w:val="16"/>
                <w:lang w:eastAsia="zh-CN"/>
              </w:rPr>
            </w:pPr>
            <w:r>
              <w:rPr>
                <w:sz w:val="16"/>
                <w:szCs w:val="16"/>
                <w:lang w:eastAsia="zh-CN"/>
              </w:rPr>
              <w:t>RP-200189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524CE92" w14:textId="6519BE58" w:rsidR="008823B9" w:rsidRDefault="008823B9" w:rsidP="00BC0321">
            <w:pPr>
              <w:pStyle w:val="TAL"/>
              <w:rPr>
                <w:sz w:val="16"/>
                <w:szCs w:val="16"/>
              </w:rPr>
            </w:pPr>
            <w:r>
              <w:rPr>
                <w:sz w:val="16"/>
                <w:szCs w:val="16"/>
              </w:rPr>
              <w:t>0088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01596F2" w14:textId="77777777" w:rsidR="008823B9" w:rsidRDefault="008823B9"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74CAEEF" w14:textId="77777777" w:rsidR="008823B9" w:rsidRDefault="008823B9"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3DFEBAF" w14:textId="73CA6689" w:rsidR="008823B9" w:rsidRPr="00EA028E" w:rsidRDefault="008823B9" w:rsidP="00BC0321">
            <w:pPr>
              <w:spacing w:after="0"/>
              <w:rPr>
                <w:rFonts w:ascii="Arial" w:hAnsi="Arial"/>
                <w:sz w:val="16"/>
              </w:rPr>
            </w:pPr>
            <w:r w:rsidRPr="008823B9">
              <w:rPr>
                <w:rFonts w:ascii="Arial" w:hAnsi="Arial"/>
                <w:sz w:val="16"/>
              </w:rPr>
              <w:t>Corrections on Industrial IoT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061386B" w14:textId="77777777" w:rsidR="008823B9" w:rsidRDefault="008823B9" w:rsidP="00BC0321">
            <w:pPr>
              <w:pStyle w:val="TAL"/>
              <w:rPr>
                <w:sz w:val="16"/>
                <w:szCs w:val="16"/>
                <w:lang w:eastAsia="zh-CN"/>
              </w:rPr>
            </w:pPr>
            <w:r>
              <w:rPr>
                <w:sz w:val="16"/>
                <w:szCs w:val="16"/>
                <w:lang w:eastAsia="zh-CN"/>
              </w:rPr>
              <w:t>16.1.0</w:t>
            </w:r>
          </w:p>
        </w:tc>
      </w:tr>
      <w:tr w:rsidR="0085234B" w:rsidRPr="00B916EC" w14:paraId="7DC2634A" w14:textId="77777777" w:rsidTr="0085234B">
        <w:tc>
          <w:tcPr>
            <w:tcW w:w="894" w:type="dxa"/>
            <w:tcBorders>
              <w:top w:val="single" w:sz="6" w:space="0" w:color="auto"/>
              <w:left w:val="single" w:sz="6" w:space="0" w:color="auto"/>
              <w:bottom w:val="single" w:sz="6" w:space="0" w:color="auto"/>
              <w:right w:val="single" w:sz="6" w:space="0" w:color="auto"/>
            </w:tcBorders>
            <w:shd w:val="solid" w:color="FFFFFF" w:fill="auto"/>
          </w:tcPr>
          <w:p w14:paraId="2977FC65" w14:textId="77777777" w:rsidR="0085234B" w:rsidRPr="00B916EC" w:rsidRDefault="0085234B"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B1A7BF0" w14:textId="77777777" w:rsidR="0085234B" w:rsidRPr="00B916EC" w:rsidRDefault="0085234B" w:rsidP="00BC0321">
            <w:pPr>
              <w:pStyle w:val="TAL"/>
              <w:rPr>
                <w:sz w:val="16"/>
                <w:szCs w:val="16"/>
                <w:lang w:eastAsia="zh-CN"/>
              </w:rPr>
            </w:pPr>
            <w:r w:rsidRPr="00B916EC">
              <w:rPr>
                <w:sz w:val="16"/>
                <w:szCs w:val="16"/>
                <w:lang w:eastAsia="zh-CN"/>
              </w:rPr>
              <w:t>RAN#</w:t>
            </w:r>
            <w:r>
              <w:rPr>
                <w:sz w:val="16"/>
                <w:szCs w:val="16"/>
                <w:lang w:eastAsia="zh-CN"/>
              </w:rPr>
              <w:t>87-e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211B0CE" w14:textId="0BDA4377" w:rsidR="0085234B" w:rsidRDefault="0085234B" w:rsidP="00BC0321">
            <w:pPr>
              <w:pStyle w:val="TAL"/>
              <w:rPr>
                <w:sz w:val="16"/>
                <w:szCs w:val="16"/>
                <w:lang w:eastAsia="zh-CN"/>
              </w:rPr>
            </w:pPr>
            <w:r>
              <w:rPr>
                <w:sz w:val="16"/>
                <w:szCs w:val="16"/>
                <w:lang w:eastAsia="zh-CN"/>
              </w:rPr>
              <w:t>RP-200190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BB8AA2D" w14:textId="0CD68288" w:rsidR="0085234B" w:rsidRDefault="0085234B" w:rsidP="00BC0321">
            <w:pPr>
              <w:pStyle w:val="TAL"/>
              <w:rPr>
                <w:sz w:val="16"/>
                <w:szCs w:val="16"/>
              </w:rPr>
            </w:pPr>
            <w:r>
              <w:rPr>
                <w:sz w:val="16"/>
                <w:szCs w:val="16"/>
              </w:rPr>
              <w:t>0089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66543EF" w14:textId="77777777" w:rsidR="0085234B" w:rsidRDefault="0085234B"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5EBFB84" w14:textId="77777777" w:rsidR="0085234B" w:rsidRDefault="0085234B"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91CF309" w14:textId="784CDA55" w:rsidR="0085234B" w:rsidRPr="00EA028E" w:rsidRDefault="0085234B" w:rsidP="00BC0321">
            <w:pPr>
              <w:spacing w:after="0"/>
              <w:rPr>
                <w:rFonts w:ascii="Arial" w:hAnsi="Arial"/>
                <w:sz w:val="16"/>
              </w:rPr>
            </w:pPr>
            <w:r w:rsidRPr="0085234B">
              <w:rPr>
                <w:rFonts w:ascii="Arial" w:hAnsi="Arial"/>
                <w:sz w:val="16"/>
              </w:rPr>
              <w:t>Corrections on MIMO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6A47251" w14:textId="77777777" w:rsidR="0085234B" w:rsidRDefault="0085234B" w:rsidP="00BC0321">
            <w:pPr>
              <w:pStyle w:val="TAL"/>
              <w:rPr>
                <w:sz w:val="16"/>
                <w:szCs w:val="16"/>
                <w:lang w:eastAsia="zh-CN"/>
              </w:rPr>
            </w:pPr>
            <w:r>
              <w:rPr>
                <w:sz w:val="16"/>
                <w:szCs w:val="16"/>
                <w:lang w:eastAsia="zh-CN"/>
              </w:rPr>
              <w:t>16.1.0</w:t>
            </w:r>
          </w:p>
        </w:tc>
      </w:tr>
      <w:tr w:rsidR="00564ABD" w:rsidRPr="00B916EC" w14:paraId="5B2CCFB8" w14:textId="77777777" w:rsidTr="00564ABD">
        <w:tc>
          <w:tcPr>
            <w:tcW w:w="894" w:type="dxa"/>
            <w:tcBorders>
              <w:top w:val="single" w:sz="6" w:space="0" w:color="auto"/>
              <w:left w:val="single" w:sz="6" w:space="0" w:color="auto"/>
              <w:bottom w:val="single" w:sz="6" w:space="0" w:color="auto"/>
              <w:right w:val="single" w:sz="6" w:space="0" w:color="auto"/>
            </w:tcBorders>
            <w:shd w:val="solid" w:color="FFFFFF" w:fill="auto"/>
          </w:tcPr>
          <w:p w14:paraId="519078A2" w14:textId="77777777" w:rsidR="00564ABD" w:rsidRPr="00B916EC" w:rsidRDefault="00564AB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E70C607" w14:textId="77777777" w:rsidR="00564ABD" w:rsidRPr="00B916EC" w:rsidRDefault="00564ABD" w:rsidP="00BC0321">
            <w:pPr>
              <w:pStyle w:val="TAL"/>
              <w:rPr>
                <w:sz w:val="16"/>
                <w:szCs w:val="16"/>
                <w:lang w:eastAsia="zh-CN"/>
              </w:rPr>
            </w:pPr>
            <w:r w:rsidRPr="00B916EC">
              <w:rPr>
                <w:sz w:val="16"/>
                <w:szCs w:val="16"/>
                <w:lang w:eastAsia="zh-CN"/>
              </w:rPr>
              <w:t>RAN#</w:t>
            </w:r>
            <w:r>
              <w:rPr>
                <w:sz w:val="16"/>
                <w:szCs w:val="16"/>
                <w:lang w:eastAsia="zh-CN"/>
              </w:rPr>
              <w:t>87-e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769D8F4" w14:textId="1413B76E" w:rsidR="00564ABD" w:rsidRDefault="00564ABD" w:rsidP="00BC0321">
            <w:pPr>
              <w:pStyle w:val="TAL"/>
              <w:rPr>
                <w:sz w:val="16"/>
                <w:szCs w:val="16"/>
                <w:lang w:eastAsia="zh-CN"/>
              </w:rPr>
            </w:pPr>
            <w:r>
              <w:rPr>
                <w:sz w:val="16"/>
                <w:szCs w:val="16"/>
                <w:lang w:eastAsia="zh-CN"/>
              </w:rPr>
              <w:t>RP-200193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2B4DD62" w14:textId="11535A60" w:rsidR="00564ABD" w:rsidRDefault="00564ABD" w:rsidP="00BC0321">
            <w:pPr>
              <w:pStyle w:val="TAL"/>
              <w:rPr>
                <w:sz w:val="16"/>
                <w:szCs w:val="16"/>
              </w:rPr>
            </w:pPr>
            <w:r>
              <w:rPr>
                <w:sz w:val="16"/>
                <w:szCs w:val="16"/>
              </w:rPr>
              <w:t>0090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F9DE327" w14:textId="77777777" w:rsidR="00564ABD" w:rsidRDefault="00564AB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7200E09" w14:textId="77777777" w:rsidR="00564ABD" w:rsidRDefault="00564AB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3C731F4" w14:textId="72F99153" w:rsidR="00564ABD" w:rsidRPr="00EA028E" w:rsidRDefault="00564ABD" w:rsidP="00BC0321">
            <w:pPr>
              <w:spacing w:after="0"/>
              <w:rPr>
                <w:rFonts w:ascii="Arial" w:hAnsi="Arial"/>
                <w:sz w:val="16"/>
              </w:rPr>
            </w:pPr>
            <w:r w:rsidRPr="00564ABD">
              <w:rPr>
                <w:rFonts w:ascii="Arial" w:hAnsi="Arial"/>
                <w:sz w:val="16"/>
              </w:rPr>
              <w:t>Corrections on Mobility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BD450CE" w14:textId="77777777" w:rsidR="00564ABD" w:rsidRDefault="00564ABD" w:rsidP="00BC0321">
            <w:pPr>
              <w:pStyle w:val="TAL"/>
              <w:rPr>
                <w:sz w:val="16"/>
                <w:szCs w:val="16"/>
                <w:lang w:eastAsia="zh-CN"/>
              </w:rPr>
            </w:pPr>
            <w:r>
              <w:rPr>
                <w:sz w:val="16"/>
                <w:szCs w:val="16"/>
                <w:lang w:eastAsia="zh-CN"/>
              </w:rPr>
              <w:t>16.1.0</w:t>
            </w:r>
          </w:p>
        </w:tc>
      </w:tr>
      <w:tr w:rsidR="006B633C" w:rsidRPr="00B916EC" w14:paraId="1BBA3F68" w14:textId="77777777" w:rsidTr="006B633C">
        <w:tc>
          <w:tcPr>
            <w:tcW w:w="894" w:type="dxa"/>
            <w:tcBorders>
              <w:top w:val="single" w:sz="6" w:space="0" w:color="auto"/>
              <w:left w:val="single" w:sz="6" w:space="0" w:color="auto"/>
              <w:bottom w:val="single" w:sz="6" w:space="0" w:color="auto"/>
              <w:right w:val="single" w:sz="6" w:space="0" w:color="auto"/>
            </w:tcBorders>
            <w:shd w:val="solid" w:color="FFFFFF" w:fill="auto"/>
          </w:tcPr>
          <w:p w14:paraId="4BD670E7" w14:textId="77777777" w:rsidR="006B633C" w:rsidRPr="00B916EC" w:rsidRDefault="006B633C"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CB62402" w14:textId="77777777" w:rsidR="006B633C" w:rsidRPr="00B916EC" w:rsidRDefault="006B633C" w:rsidP="00BC0321">
            <w:pPr>
              <w:pStyle w:val="TAL"/>
              <w:rPr>
                <w:sz w:val="16"/>
                <w:szCs w:val="16"/>
                <w:lang w:eastAsia="zh-CN"/>
              </w:rPr>
            </w:pPr>
            <w:r w:rsidRPr="00B916EC">
              <w:rPr>
                <w:sz w:val="16"/>
                <w:szCs w:val="16"/>
                <w:lang w:eastAsia="zh-CN"/>
              </w:rPr>
              <w:t>RAN#</w:t>
            </w:r>
            <w:r>
              <w:rPr>
                <w:sz w:val="16"/>
                <w:szCs w:val="16"/>
                <w:lang w:eastAsia="zh-CN"/>
              </w:rPr>
              <w:t>87-e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290559D" w14:textId="56A69F4E" w:rsidR="006B633C" w:rsidRDefault="006B633C" w:rsidP="00BC0321">
            <w:pPr>
              <w:pStyle w:val="TAL"/>
              <w:rPr>
                <w:sz w:val="16"/>
                <w:szCs w:val="16"/>
                <w:lang w:eastAsia="zh-CN"/>
              </w:rPr>
            </w:pPr>
            <w:r>
              <w:rPr>
                <w:sz w:val="16"/>
                <w:szCs w:val="16"/>
                <w:lang w:eastAsia="zh-CN"/>
              </w:rPr>
              <w:t>RP-200185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6314FAA" w14:textId="45E8DAEC" w:rsidR="006B633C" w:rsidRDefault="006B633C" w:rsidP="00BC0321">
            <w:pPr>
              <w:pStyle w:val="TAL"/>
              <w:rPr>
                <w:sz w:val="16"/>
                <w:szCs w:val="16"/>
              </w:rPr>
            </w:pPr>
            <w:r>
              <w:rPr>
                <w:sz w:val="16"/>
                <w:szCs w:val="16"/>
              </w:rPr>
              <w:t>0091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CC9E853" w14:textId="77777777" w:rsidR="006B633C" w:rsidRDefault="006B633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8E2A180" w14:textId="77777777" w:rsidR="006B633C" w:rsidRDefault="006B633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95A942D" w14:textId="1A5CCEC0" w:rsidR="006B633C" w:rsidRPr="00EA028E" w:rsidRDefault="006B633C" w:rsidP="00BC0321">
            <w:pPr>
              <w:spacing w:after="0"/>
              <w:rPr>
                <w:rFonts w:ascii="Arial" w:hAnsi="Arial"/>
                <w:sz w:val="16"/>
              </w:rPr>
            </w:pPr>
            <w:r w:rsidRPr="006B633C">
              <w:rPr>
                <w:rFonts w:ascii="Arial" w:hAnsi="Arial"/>
                <w:sz w:val="16"/>
              </w:rPr>
              <w:t>Corrections on shared spectrum channel access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2F352C0" w14:textId="77777777" w:rsidR="006B633C" w:rsidRDefault="006B633C" w:rsidP="00BC0321">
            <w:pPr>
              <w:pStyle w:val="TAL"/>
              <w:rPr>
                <w:sz w:val="16"/>
                <w:szCs w:val="16"/>
                <w:lang w:eastAsia="zh-CN"/>
              </w:rPr>
            </w:pPr>
            <w:r>
              <w:rPr>
                <w:sz w:val="16"/>
                <w:szCs w:val="16"/>
                <w:lang w:eastAsia="zh-CN"/>
              </w:rPr>
              <w:t>16.1.0</w:t>
            </w:r>
          </w:p>
        </w:tc>
      </w:tr>
      <w:tr w:rsidR="000D42DF" w:rsidRPr="00B916EC" w14:paraId="29A90093" w14:textId="77777777" w:rsidTr="000D42DF">
        <w:tc>
          <w:tcPr>
            <w:tcW w:w="894" w:type="dxa"/>
            <w:tcBorders>
              <w:top w:val="single" w:sz="6" w:space="0" w:color="auto"/>
              <w:left w:val="single" w:sz="6" w:space="0" w:color="auto"/>
              <w:bottom w:val="single" w:sz="6" w:space="0" w:color="auto"/>
              <w:right w:val="single" w:sz="6" w:space="0" w:color="auto"/>
            </w:tcBorders>
            <w:shd w:val="solid" w:color="FFFFFF" w:fill="auto"/>
          </w:tcPr>
          <w:p w14:paraId="14721BEA" w14:textId="77777777" w:rsidR="000D42DF" w:rsidRPr="00B916EC" w:rsidRDefault="000D42DF"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8A5AEAE" w14:textId="77777777" w:rsidR="000D42DF" w:rsidRPr="00B916EC" w:rsidRDefault="000D42DF" w:rsidP="00BC0321">
            <w:pPr>
              <w:pStyle w:val="TAL"/>
              <w:rPr>
                <w:sz w:val="16"/>
                <w:szCs w:val="16"/>
                <w:lang w:eastAsia="zh-CN"/>
              </w:rPr>
            </w:pPr>
            <w:r w:rsidRPr="00B916EC">
              <w:rPr>
                <w:sz w:val="16"/>
                <w:szCs w:val="16"/>
                <w:lang w:eastAsia="zh-CN"/>
              </w:rPr>
              <w:t>RAN#</w:t>
            </w:r>
            <w:r>
              <w:rPr>
                <w:sz w:val="16"/>
                <w:szCs w:val="16"/>
                <w:lang w:eastAsia="zh-CN"/>
              </w:rPr>
              <w:t>87-e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72B3EC7" w14:textId="143D31EA" w:rsidR="000D42DF" w:rsidRDefault="000D42DF" w:rsidP="00BC0321">
            <w:pPr>
              <w:pStyle w:val="TAL"/>
              <w:rPr>
                <w:sz w:val="16"/>
                <w:szCs w:val="16"/>
                <w:lang w:eastAsia="zh-CN"/>
              </w:rPr>
            </w:pPr>
            <w:r>
              <w:rPr>
                <w:sz w:val="16"/>
                <w:szCs w:val="16"/>
                <w:lang w:eastAsia="zh-CN"/>
              </w:rPr>
              <w:t>RP-200192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1140B9F" w14:textId="18E52986" w:rsidR="000D42DF" w:rsidRDefault="000D42DF" w:rsidP="00BC0321">
            <w:pPr>
              <w:pStyle w:val="TAL"/>
              <w:rPr>
                <w:sz w:val="16"/>
                <w:szCs w:val="16"/>
              </w:rPr>
            </w:pPr>
            <w:r>
              <w:rPr>
                <w:sz w:val="16"/>
                <w:szCs w:val="16"/>
              </w:rPr>
              <w:t>0092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90E9680" w14:textId="77777777" w:rsidR="000D42DF" w:rsidRDefault="000D42DF"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FB067C4" w14:textId="77777777" w:rsidR="000D42DF" w:rsidRDefault="000D42DF"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D89BE0C" w14:textId="6C089797" w:rsidR="000D42DF" w:rsidRPr="00EA028E" w:rsidRDefault="000D42DF" w:rsidP="00BC0321">
            <w:pPr>
              <w:spacing w:after="0"/>
              <w:rPr>
                <w:rFonts w:ascii="Arial" w:hAnsi="Arial"/>
                <w:sz w:val="16"/>
              </w:rPr>
            </w:pPr>
            <w:r w:rsidRPr="000D42DF">
              <w:rPr>
                <w:rFonts w:ascii="Arial" w:hAnsi="Arial"/>
                <w:sz w:val="16"/>
              </w:rPr>
              <w:t>Corrections on Positioning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84C7ECA" w14:textId="77777777" w:rsidR="000D42DF" w:rsidRDefault="000D42DF" w:rsidP="00BC0321">
            <w:pPr>
              <w:pStyle w:val="TAL"/>
              <w:rPr>
                <w:sz w:val="16"/>
                <w:szCs w:val="16"/>
                <w:lang w:eastAsia="zh-CN"/>
              </w:rPr>
            </w:pPr>
            <w:r>
              <w:rPr>
                <w:sz w:val="16"/>
                <w:szCs w:val="16"/>
                <w:lang w:eastAsia="zh-CN"/>
              </w:rPr>
              <w:t>16.1.0</w:t>
            </w:r>
          </w:p>
        </w:tc>
      </w:tr>
      <w:tr w:rsidR="00802AB6" w:rsidRPr="00B916EC" w14:paraId="7157FC80" w14:textId="77777777" w:rsidTr="00802AB6">
        <w:tc>
          <w:tcPr>
            <w:tcW w:w="894" w:type="dxa"/>
            <w:tcBorders>
              <w:top w:val="single" w:sz="6" w:space="0" w:color="auto"/>
              <w:left w:val="single" w:sz="6" w:space="0" w:color="auto"/>
              <w:bottom w:val="single" w:sz="6" w:space="0" w:color="auto"/>
              <w:right w:val="single" w:sz="6" w:space="0" w:color="auto"/>
            </w:tcBorders>
            <w:shd w:val="solid" w:color="FFFFFF" w:fill="auto"/>
          </w:tcPr>
          <w:p w14:paraId="633825B5" w14:textId="77777777" w:rsidR="00802AB6" w:rsidRPr="00B916EC" w:rsidRDefault="00802AB6"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C0B8B1C" w14:textId="77777777" w:rsidR="00802AB6" w:rsidRPr="00B916EC" w:rsidRDefault="00802AB6" w:rsidP="00BC0321">
            <w:pPr>
              <w:pStyle w:val="TAL"/>
              <w:rPr>
                <w:sz w:val="16"/>
                <w:szCs w:val="16"/>
                <w:lang w:eastAsia="zh-CN"/>
              </w:rPr>
            </w:pPr>
            <w:r w:rsidRPr="00B916EC">
              <w:rPr>
                <w:sz w:val="16"/>
                <w:szCs w:val="16"/>
                <w:lang w:eastAsia="zh-CN"/>
              </w:rPr>
              <w:t>RAN#</w:t>
            </w:r>
            <w:r>
              <w:rPr>
                <w:sz w:val="16"/>
                <w:szCs w:val="16"/>
                <w:lang w:eastAsia="zh-CN"/>
              </w:rPr>
              <w:t>87-e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1E4A2C3" w14:textId="52ECE27F" w:rsidR="00802AB6" w:rsidRDefault="00802AB6" w:rsidP="00BC0321">
            <w:pPr>
              <w:pStyle w:val="TAL"/>
              <w:rPr>
                <w:sz w:val="16"/>
                <w:szCs w:val="16"/>
                <w:lang w:eastAsia="zh-CN"/>
              </w:rPr>
            </w:pPr>
            <w:r>
              <w:rPr>
                <w:sz w:val="16"/>
                <w:szCs w:val="16"/>
                <w:lang w:eastAsia="zh-CN"/>
              </w:rPr>
              <w:t>RP-200187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B44FAC5" w14:textId="22684978" w:rsidR="00802AB6" w:rsidRDefault="00802AB6" w:rsidP="00BC0321">
            <w:pPr>
              <w:pStyle w:val="TAL"/>
              <w:rPr>
                <w:sz w:val="16"/>
                <w:szCs w:val="16"/>
              </w:rPr>
            </w:pPr>
            <w:r>
              <w:rPr>
                <w:sz w:val="16"/>
                <w:szCs w:val="16"/>
              </w:rPr>
              <w:t>0093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0550892" w14:textId="77777777" w:rsidR="00802AB6" w:rsidRDefault="00802AB6"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9369AF0" w14:textId="77777777" w:rsidR="00802AB6" w:rsidRDefault="00802AB6"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EE2B11E" w14:textId="7862A875" w:rsidR="00802AB6" w:rsidRPr="00EA028E" w:rsidRDefault="00802AB6" w:rsidP="00BC0321">
            <w:pPr>
              <w:spacing w:after="0"/>
              <w:rPr>
                <w:rFonts w:ascii="Arial" w:hAnsi="Arial"/>
                <w:sz w:val="16"/>
              </w:rPr>
            </w:pPr>
            <w:r w:rsidRPr="00802AB6">
              <w:rPr>
                <w:rFonts w:ascii="Arial" w:hAnsi="Arial"/>
                <w:sz w:val="16"/>
              </w:rPr>
              <w:t>Corrections on Sidelink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9B1B420" w14:textId="77777777" w:rsidR="00802AB6" w:rsidRDefault="00802AB6" w:rsidP="00BC0321">
            <w:pPr>
              <w:pStyle w:val="TAL"/>
              <w:rPr>
                <w:sz w:val="16"/>
                <w:szCs w:val="16"/>
                <w:lang w:eastAsia="zh-CN"/>
              </w:rPr>
            </w:pPr>
            <w:r>
              <w:rPr>
                <w:sz w:val="16"/>
                <w:szCs w:val="16"/>
                <w:lang w:eastAsia="zh-CN"/>
              </w:rPr>
              <w:t>16.1.0</w:t>
            </w:r>
          </w:p>
        </w:tc>
      </w:tr>
      <w:tr w:rsidR="00D45245" w:rsidRPr="00B916EC" w14:paraId="353FFA71" w14:textId="77777777" w:rsidTr="00D45245">
        <w:tc>
          <w:tcPr>
            <w:tcW w:w="894" w:type="dxa"/>
            <w:tcBorders>
              <w:top w:val="single" w:sz="6" w:space="0" w:color="auto"/>
              <w:left w:val="single" w:sz="6" w:space="0" w:color="auto"/>
              <w:bottom w:val="single" w:sz="6" w:space="0" w:color="auto"/>
              <w:right w:val="single" w:sz="6" w:space="0" w:color="auto"/>
            </w:tcBorders>
            <w:shd w:val="solid" w:color="FFFFFF" w:fill="auto"/>
          </w:tcPr>
          <w:p w14:paraId="08E424F1" w14:textId="77777777" w:rsidR="00D45245" w:rsidRPr="00B916EC" w:rsidRDefault="00D45245"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369EC25" w14:textId="77777777" w:rsidR="00D45245" w:rsidRPr="00B916EC" w:rsidRDefault="00D45245" w:rsidP="00BC0321">
            <w:pPr>
              <w:pStyle w:val="TAL"/>
              <w:rPr>
                <w:sz w:val="16"/>
                <w:szCs w:val="16"/>
                <w:lang w:eastAsia="zh-CN"/>
              </w:rPr>
            </w:pPr>
            <w:r w:rsidRPr="00B916EC">
              <w:rPr>
                <w:sz w:val="16"/>
                <w:szCs w:val="16"/>
                <w:lang w:eastAsia="zh-CN"/>
              </w:rPr>
              <w:t>RAN#</w:t>
            </w:r>
            <w:r>
              <w:rPr>
                <w:sz w:val="16"/>
                <w:szCs w:val="16"/>
                <w:lang w:eastAsia="zh-CN"/>
              </w:rPr>
              <w:t>87-e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19522EF" w14:textId="1DC01DFD" w:rsidR="00D45245" w:rsidRDefault="00D45245" w:rsidP="00BC0321">
            <w:pPr>
              <w:pStyle w:val="TAL"/>
              <w:rPr>
                <w:sz w:val="16"/>
                <w:szCs w:val="16"/>
                <w:lang w:eastAsia="zh-CN"/>
              </w:rPr>
            </w:pPr>
            <w:r>
              <w:rPr>
                <w:sz w:val="16"/>
                <w:szCs w:val="16"/>
                <w:lang w:eastAsia="zh-CN"/>
              </w:rPr>
              <w:t>RP-200191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169D5FB" w14:textId="1CEEF8F0" w:rsidR="00D45245" w:rsidRDefault="00D45245" w:rsidP="00BC0321">
            <w:pPr>
              <w:pStyle w:val="TAL"/>
              <w:rPr>
                <w:sz w:val="16"/>
                <w:szCs w:val="16"/>
              </w:rPr>
            </w:pPr>
            <w:r>
              <w:rPr>
                <w:sz w:val="16"/>
                <w:szCs w:val="16"/>
              </w:rPr>
              <w:t>0094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442F000" w14:textId="77777777" w:rsidR="00D45245" w:rsidRDefault="00D45245"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6FE11EE" w14:textId="77777777" w:rsidR="00D45245" w:rsidRDefault="00D45245"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C02C0D0" w14:textId="0ED4F3C7" w:rsidR="00D45245" w:rsidRPr="00EA028E" w:rsidRDefault="00D45245" w:rsidP="00BC0321">
            <w:pPr>
              <w:spacing w:after="0"/>
              <w:rPr>
                <w:rFonts w:ascii="Arial" w:hAnsi="Arial"/>
                <w:sz w:val="16"/>
              </w:rPr>
            </w:pPr>
            <w:r w:rsidRPr="00D45245">
              <w:rPr>
                <w:rFonts w:ascii="Arial" w:hAnsi="Arial"/>
                <w:sz w:val="16"/>
              </w:rPr>
              <w:t>Corrections on UE power savings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0ABAE06" w14:textId="77777777" w:rsidR="00D45245" w:rsidRDefault="00D45245" w:rsidP="00BC0321">
            <w:pPr>
              <w:pStyle w:val="TAL"/>
              <w:rPr>
                <w:sz w:val="16"/>
                <w:szCs w:val="16"/>
                <w:lang w:eastAsia="zh-CN"/>
              </w:rPr>
            </w:pPr>
            <w:r>
              <w:rPr>
                <w:sz w:val="16"/>
                <w:szCs w:val="16"/>
                <w:lang w:eastAsia="zh-CN"/>
              </w:rPr>
              <w:t>16.1.0</w:t>
            </w:r>
          </w:p>
        </w:tc>
      </w:tr>
      <w:tr w:rsidR="00E33BC0" w:rsidRPr="00B916EC" w14:paraId="664F0FDD" w14:textId="77777777" w:rsidTr="00E33BC0">
        <w:tc>
          <w:tcPr>
            <w:tcW w:w="894" w:type="dxa"/>
            <w:tcBorders>
              <w:top w:val="single" w:sz="6" w:space="0" w:color="auto"/>
              <w:left w:val="single" w:sz="6" w:space="0" w:color="auto"/>
              <w:bottom w:val="single" w:sz="6" w:space="0" w:color="auto"/>
              <w:right w:val="single" w:sz="6" w:space="0" w:color="auto"/>
            </w:tcBorders>
            <w:shd w:val="solid" w:color="FFFFFF" w:fill="auto"/>
          </w:tcPr>
          <w:p w14:paraId="4B4EA766" w14:textId="77777777" w:rsidR="00E33BC0" w:rsidRPr="00B916EC" w:rsidRDefault="00E33BC0"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378C3DB" w14:textId="77777777" w:rsidR="00E33BC0" w:rsidRPr="00B916EC" w:rsidRDefault="00E33BC0" w:rsidP="00BC0321">
            <w:pPr>
              <w:pStyle w:val="TAL"/>
              <w:rPr>
                <w:sz w:val="16"/>
                <w:szCs w:val="16"/>
                <w:lang w:eastAsia="zh-CN"/>
              </w:rPr>
            </w:pPr>
            <w:r w:rsidRPr="00B916EC">
              <w:rPr>
                <w:sz w:val="16"/>
                <w:szCs w:val="16"/>
                <w:lang w:eastAsia="zh-CN"/>
              </w:rPr>
              <w:t>RAN#</w:t>
            </w:r>
            <w:r>
              <w:rPr>
                <w:sz w:val="16"/>
                <w:szCs w:val="16"/>
                <w:lang w:eastAsia="zh-CN"/>
              </w:rPr>
              <w:t>87-e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AFE6D31" w14:textId="72924CB8" w:rsidR="00E33BC0" w:rsidRDefault="00E33BC0" w:rsidP="00BC0321">
            <w:pPr>
              <w:pStyle w:val="TAL"/>
              <w:rPr>
                <w:sz w:val="16"/>
                <w:szCs w:val="16"/>
                <w:lang w:eastAsia="zh-CN"/>
              </w:rPr>
            </w:pPr>
            <w:r>
              <w:rPr>
                <w:sz w:val="16"/>
                <w:szCs w:val="16"/>
                <w:lang w:eastAsia="zh-CN"/>
              </w:rPr>
              <w:t>RP-200188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DAFD954" w14:textId="54F4C56B" w:rsidR="00E33BC0" w:rsidRDefault="00E33BC0" w:rsidP="00BC0321">
            <w:pPr>
              <w:pStyle w:val="TAL"/>
              <w:rPr>
                <w:sz w:val="16"/>
                <w:szCs w:val="16"/>
              </w:rPr>
            </w:pPr>
            <w:r>
              <w:rPr>
                <w:sz w:val="16"/>
                <w:szCs w:val="16"/>
              </w:rPr>
              <w:t>0095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E312DFB" w14:textId="77777777" w:rsidR="00E33BC0" w:rsidRDefault="00E33BC0"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FBDAE14" w14:textId="77777777" w:rsidR="00E33BC0" w:rsidRDefault="00E33BC0"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ACC2271" w14:textId="67909712" w:rsidR="00E33BC0" w:rsidRPr="00EA028E" w:rsidRDefault="00E33BC0" w:rsidP="00BC0321">
            <w:pPr>
              <w:spacing w:after="0"/>
              <w:rPr>
                <w:rFonts w:ascii="Arial" w:hAnsi="Arial"/>
                <w:sz w:val="16"/>
              </w:rPr>
            </w:pPr>
            <w:r w:rsidRPr="00E33BC0">
              <w:rPr>
                <w:rFonts w:ascii="Arial" w:hAnsi="Arial"/>
                <w:sz w:val="16"/>
              </w:rPr>
              <w:t>Corrections on Ultra Reliable Low Latency Communications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451EF1D" w14:textId="77777777" w:rsidR="00E33BC0" w:rsidRDefault="00E33BC0" w:rsidP="00BC0321">
            <w:pPr>
              <w:pStyle w:val="TAL"/>
              <w:rPr>
                <w:sz w:val="16"/>
                <w:szCs w:val="16"/>
                <w:lang w:eastAsia="zh-CN"/>
              </w:rPr>
            </w:pPr>
            <w:r>
              <w:rPr>
                <w:sz w:val="16"/>
                <w:szCs w:val="16"/>
                <w:lang w:eastAsia="zh-CN"/>
              </w:rPr>
              <w:t>16.1.0</w:t>
            </w:r>
          </w:p>
        </w:tc>
      </w:tr>
      <w:tr w:rsidR="00814E48" w:rsidRPr="00B916EC" w14:paraId="19A1D07B" w14:textId="77777777" w:rsidTr="00814E48">
        <w:tc>
          <w:tcPr>
            <w:tcW w:w="894" w:type="dxa"/>
            <w:tcBorders>
              <w:top w:val="single" w:sz="6" w:space="0" w:color="auto"/>
              <w:left w:val="single" w:sz="6" w:space="0" w:color="auto"/>
              <w:bottom w:val="single" w:sz="6" w:space="0" w:color="auto"/>
              <w:right w:val="single" w:sz="6" w:space="0" w:color="auto"/>
            </w:tcBorders>
            <w:shd w:val="solid" w:color="FFFFFF" w:fill="auto"/>
          </w:tcPr>
          <w:p w14:paraId="6A1D135A" w14:textId="77777777" w:rsidR="00814E48" w:rsidRPr="00B916EC" w:rsidRDefault="00814E48"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87C494C" w14:textId="77777777" w:rsidR="00814E48" w:rsidRPr="00B916EC" w:rsidRDefault="00814E48" w:rsidP="00BC0321">
            <w:pPr>
              <w:pStyle w:val="TAL"/>
              <w:rPr>
                <w:sz w:val="16"/>
                <w:szCs w:val="16"/>
                <w:lang w:eastAsia="zh-CN"/>
              </w:rPr>
            </w:pPr>
            <w:r w:rsidRPr="00B916EC">
              <w:rPr>
                <w:sz w:val="16"/>
                <w:szCs w:val="16"/>
                <w:lang w:eastAsia="zh-CN"/>
              </w:rPr>
              <w:t>RAN#</w:t>
            </w:r>
            <w:r>
              <w:rPr>
                <w:sz w:val="16"/>
                <w:szCs w:val="16"/>
                <w:lang w:eastAsia="zh-CN"/>
              </w:rPr>
              <w:t>87-e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314CE23" w14:textId="546E356B" w:rsidR="00814E48" w:rsidRDefault="00814E48" w:rsidP="00BC0321">
            <w:pPr>
              <w:pStyle w:val="TAL"/>
              <w:rPr>
                <w:sz w:val="16"/>
                <w:szCs w:val="16"/>
                <w:lang w:eastAsia="zh-CN"/>
              </w:rPr>
            </w:pPr>
            <w:r>
              <w:rPr>
                <w:sz w:val="16"/>
                <w:szCs w:val="16"/>
                <w:lang w:eastAsia="zh-CN"/>
              </w:rPr>
              <w:t>RP-200195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034F359" w14:textId="165E53A0" w:rsidR="00814E48" w:rsidRDefault="00814E48" w:rsidP="00BC0321">
            <w:pPr>
              <w:pStyle w:val="TAL"/>
              <w:rPr>
                <w:sz w:val="16"/>
                <w:szCs w:val="16"/>
              </w:rPr>
            </w:pPr>
            <w:r>
              <w:rPr>
                <w:sz w:val="16"/>
                <w:szCs w:val="16"/>
              </w:rPr>
              <w:t>0097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A6886FB" w14:textId="77777777" w:rsidR="00814E48" w:rsidRDefault="00814E48"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70F295E" w14:textId="77777777" w:rsidR="00814E48" w:rsidRDefault="00814E48"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BB2E15A" w14:textId="7E872CAE" w:rsidR="00814E48" w:rsidRPr="00EA028E" w:rsidRDefault="00814E48" w:rsidP="00BC0321">
            <w:pPr>
              <w:spacing w:after="0"/>
              <w:rPr>
                <w:rFonts w:ascii="Arial" w:hAnsi="Arial"/>
                <w:sz w:val="16"/>
              </w:rPr>
            </w:pPr>
            <w:r w:rsidRPr="00814E48">
              <w:rPr>
                <w:rFonts w:ascii="Arial" w:hAnsi="Arial"/>
                <w:sz w:val="16"/>
              </w:rPr>
              <w:t>Introduction of half-duplex operation in CA with unpaired spectrum</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87C0A3F" w14:textId="77777777" w:rsidR="00814E48" w:rsidRDefault="00814E48" w:rsidP="00BC0321">
            <w:pPr>
              <w:pStyle w:val="TAL"/>
              <w:rPr>
                <w:sz w:val="16"/>
                <w:szCs w:val="16"/>
                <w:lang w:eastAsia="zh-CN"/>
              </w:rPr>
            </w:pPr>
            <w:r>
              <w:rPr>
                <w:sz w:val="16"/>
                <w:szCs w:val="16"/>
                <w:lang w:eastAsia="zh-CN"/>
              </w:rPr>
              <w:t>16.1.0</w:t>
            </w:r>
          </w:p>
        </w:tc>
      </w:tr>
      <w:tr w:rsidR="005A6996" w:rsidRPr="00B916EC" w14:paraId="49650646" w14:textId="77777777" w:rsidTr="005A6996">
        <w:tc>
          <w:tcPr>
            <w:tcW w:w="894" w:type="dxa"/>
            <w:tcBorders>
              <w:top w:val="single" w:sz="6" w:space="0" w:color="auto"/>
              <w:left w:val="single" w:sz="6" w:space="0" w:color="auto"/>
              <w:bottom w:val="single" w:sz="6" w:space="0" w:color="auto"/>
              <w:right w:val="single" w:sz="6" w:space="0" w:color="auto"/>
            </w:tcBorders>
            <w:shd w:val="solid" w:color="FFFFFF" w:fill="auto"/>
          </w:tcPr>
          <w:p w14:paraId="29D331F5" w14:textId="77777777" w:rsidR="005A6996" w:rsidRPr="00B916EC" w:rsidRDefault="005A6996"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6305108" w14:textId="77777777" w:rsidR="005A6996" w:rsidRPr="00B916EC" w:rsidRDefault="005A6996" w:rsidP="00BC0321">
            <w:pPr>
              <w:pStyle w:val="TAL"/>
              <w:rPr>
                <w:sz w:val="16"/>
                <w:szCs w:val="16"/>
                <w:lang w:eastAsia="zh-CN"/>
              </w:rPr>
            </w:pPr>
            <w:r w:rsidRPr="00B916EC">
              <w:rPr>
                <w:sz w:val="16"/>
                <w:szCs w:val="16"/>
                <w:lang w:eastAsia="zh-CN"/>
              </w:rPr>
              <w:t>RAN#</w:t>
            </w:r>
            <w:r>
              <w:rPr>
                <w:sz w:val="16"/>
                <w:szCs w:val="16"/>
                <w:lang w:eastAsia="zh-CN"/>
              </w:rPr>
              <w:t>87-e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6A16F42" w14:textId="53B46566" w:rsidR="005A6996" w:rsidRDefault="005A6996" w:rsidP="00BC0321">
            <w:pPr>
              <w:pStyle w:val="TAL"/>
              <w:rPr>
                <w:sz w:val="16"/>
                <w:szCs w:val="16"/>
                <w:lang w:eastAsia="zh-CN"/>
              </w:rPr>
            </w:pPr>
            <w:r>
              <w:rPr>
                <w:sz w:val="16"/>
                <w:szCs w:val="16"/>
                <w:lang w:eastAsia="zh-CN"/>
              </w:rPr>
              <w:t>RP-200447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A35F82B" w14:textId="00D7C1B6" w:rsidR="005A6996" w:rsidRDefault="005A6996" w:rsidP="00BC0321">
            <w:pPr>
              <w:pStyle w:val="TAL"/>
              <w:rPr>
                <w:sz w:val="16"/>
                <w:szCs w:val="16"/>
              </w:rPr>
            </w:pPr>
            <w:r>
              <w:rPr>
                <w:sz w:val="16"/>
                <w:szCs w:val="16"/>
              </w:rPr>
              <w:t>0098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37E3E26" w14:textId="77777777" w:rsidR="005A6996" w:rsidRDefault="005A6996"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D22F7F2" w14:textId="35BC7A7D" w:rsidR="005A6996" w:rsidRDefault="005A6996"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18EC4FA" w14:textId="5512D21B" w:rsidR="005A6996" w:rsidRPr="00EA028E" w:rsidRDefault="005A6996" w:rsidP="00BC0321">
            <w:pPr>
              <w:spacing w:after="0"/>
              <w:rPr>
                <w:rFonts w:ascii="Arial" w:hAnsi="Arial"/>
                <w:sz w:val="16"/>
              </w:rPr>
            </w:pPr>
            <w:r w:rsidRPr="005A6996">
              <w:rPr>
                <w:rFonts w:ascii="Arial" w:hAnsi="Arial"/>
                <w:sz w:val="16"/>
              </w:rPr>
              <w:t>Corrections to 38.213 including alignment of terminology across specifications in RAN1#100-e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D2757ED" w14:textId="77777777" w:rsidR="005A6996" w:rsidRDefault="005A6996" w:rsidP="00BC0321">
            <w:pPr>
              <w:pStyle w:val="TAL"/>
              <w:rPr>
                <w:sz w:val="16"/>
                <w:szCs w:val="16"/>
                <w:lang w:eastAsia="zh-CN"/>
              </w:rPr>
            </w:pPr>
            <w:r>
              <w:rPr>
                <w:sz w:val="16"/>
                <w:szCs w:val="16"/>
                <w:lang w:eastAsia="zh-CN"/>
              </w:rPr>
              <w:t>16.1.0</w:t>
            </w:r>
          </w:p>
        </w:tc>
      </w:tr>
      <w:tr w:rsidR="000130C0" w:rsidRPr="00B916EC" w14:paraId="7B080225" w14:textId="77777777" w:rsidTr="000130C0">
        <w:tc>
          <w:tcPr>
            <w:tcW w:w="894" w:type="dxa"/>
            <w:tcBorders>
              <w:top w:val="single" w:sz="6" w:space="0" w:color="auto"/>
              <w:left w:val="single" w:sz="6" w:space="0" w:color="auto"/>
              <w:bottom w:val="single" w:sz="6" w:space="0" w:color="auto"/>
              <w:right w:val="single" w:sz="6" w:space="0" w:color="auto"/>
            </w:tcBorders>
            <w:shd w:val="solid" w:color="FFFFFF" w:fill="auto"/>
          </w:tcPr>
          <w:p w14:paraId="42CFF3F7" w14:textId="082F8918" w:rsidR="000130C0" w:rsidRPr="00B916EC" w:rsidRDefault="000130C0" w:rsidP="00BC0321">
            <w:pPr>
              <w:spacing w:after="0"/>
              <w:jc w:val="center"/>
              <w:rPr>
                <w:rFonts w:ascii="Arial" w:hAnsi="Arial"/>
                <w:snapToGrid w:val="0"/>
                <w:sz w:val="16"/>
                <w:szCs w:val="16"/>
              </w:rPr>
            </w:pPr>
            <w:r w:rsidRPr="00B916EC">
              <w:rPr>
                <w:rFonts w:ascii="Arial" w:hAnsi="Arial"/>
                <w:snapToGrid w:val="0"/>
                <w:sz w:val="16"/>
                <w:szCs w:val="16"/>
              </w:rPr>
              <w:lastRenderedPageBreak/>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ECF1D01" w14:textId="0DFE4369" w:rsidR="000130C0" w:rsidRPr="00B916EC" w:rsidRDefault="000130C0" w:rsidP="00BC0321">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A9873C6" w14:textId="46309A41" w:rsidR="000130C0" w:rsidRDefault="000130C0" w:rsidP="00BC0321">
            <w:pPr>
              <w:pStyle w:val="TAL"/>
              <w:rPr>
                <w:sz w:val="16"/>
                <w:szCs w:val="16"/>
                <w:lang w:eastAsia="zh-CN"/>
              </w:rPr>
            </w:pPr>
            <w:r>
              <w:rPr>
                <w:sz w:val="16"/>
                <w:szCs w:val="16"/>
                <w:lang w:eastAsia="zh-CN"/>
              </w:rPr>
              <w:t>RP-200683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59E468D" w14:textId="739C5B72" w:rsidR="000130C0" w:rsidRDefault="000130C0" w:rsidP="00BC0321">
            <w:pPr>
              <w:pStyle w:val="TAL"/>
              <w:rPr>
                <w:sz w:val="16"/>
                <w:szCs w:val="16"/>
              </w:rPr>
            </w:pPr>
            <w:r>
              <w:rPr>
                <w:sz w:val="16"/>
                <w:szCs w:val="16"/>
              </w:rPr>
              <w:t>0102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4055DFA" w14:textId="77777777" w:rsidR="000130C0" w:rsidRDefault="000130C0"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CF2EFA0" w14:textId="77777777" w:rsidR="000130C0" w:rsidRDefault="000130C0"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EDFA29D" w14:textId="5E774822" w:rsidR="000130C0" w:rsidRPr="00EA028E" w:rsidRDefault="000130C0" w:rsidP="00BC0321">
            <w:pPr>
              <w:spacing w:after="0"/>
              <w:rPr>
                <w:rFonts w:ascii="Arial" w:hAnsi="Arial"/>
                <w:sz w:val="16"/>
              </w:rPr>
            </w:pPr>
            <w:r w:rsidRPr="000130C0">
              <w:rPr>
                <w:rFonts w:ascii="Arial" w:hAnsi="Arial"/>
                <w:sz w:val="16"/>
              </w:rPr>
              <w:t>Correction on PDCCH Blind Detection for NR-DC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46E6AE7" w14:textId="0DD0616D" w:rsidR="000130C0" w:rsidRDefault="000130C0" w:rsidP="00BC0321">
            <w:pPr>
              <w:pStyle w:val="TAL"/>
              <w:rPr>
                <w:sz w:val="16"/>
                <w:szCs w:val="16"/>
                <w:lang w:eastAsia="zh-CN"/>
              </w:rPr>
            </w:pPr>
            <w:r>
              <w:rPr>
                <w:sz w:val="16"/>
                <w:szCs w:val="16"/>
                <w:lang w:eastAsia="zh-CN"/>
              </w:rPr>
              <w:t>16.2.0</w:t>
            </w:r>
          </w:p>
        </w:tc>
      </w:tr>
      <w:tr w:rsidR="000130C0" w:rsidRPr="00B916EC" w14:paraId="3674AC14" w14:textId="77777777" w:rsidTr="000130C0">
        <w:tc>
          <w:tcPr>
            <w:tcW w:w="894" w:type="dxa"/>
            <w:tcBorders>
              <w:top w:val="single" w:sz="6" w:space="0" w:color="auto"/>
              <w:left w:val="single" w:sz="6" w:space="0" w:color="auto"/>
              <w:bottom w:val="single" w:sz="6" w:space="0" w:color="auto"/>
              <w:right w:val="single" w:sz="6" w:space="0" w:color="auto"/>
            </w:tcBorders>
            <w:shd w:val="solid" w:color="FFFFFF" w:fill="auto"/>
          </w:tcPr>
          <w:p w14:paraId="1E993000" w14:textId="77777777" w:rsidR="000130C0" w:rsidRPr="00B916EC" w:rsidRDefault="000130C0"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5D33528" w14:textId="77777777" w:rsidR="000130C0" w:rsidRPr="00B916EC" w:rsidRDefault="000130C0" w:rsidP="00BC0321">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2AB3279" w14:textId="77DE7A5A" w:rsidR="000130C0" w:rsidRDefault="000130C0" w:rsidP="00BC0321">
            <w:pPr>
              <w:pStyle w:val="TAL"/>
              <w:rPr>
                <w:sz w:val="16"/>
                <w:szCs w:val="16"/>
                <w:lang w:eastAsia="zh-CN"/>
              </w:rPr>
            </w:pPr>
            <w:r>
              <w:rPr>
                <w:sz w:val="16"/>
                <w:szCs w:val="16"/>
                <w:lang w:eastAsia="zh-CN"/>
              </w:rPr>
              <w:t>RP-200688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CBC1803" w14:textId="44275433" w:rsidR="000130C0" w:rsidRDefault="000130C0" w:rsidP="00BC0321">
            <w:pPr>
              <w:pStyle w:val="TAL"/>
              <w:rPr>
                <w:sz w:val="16"/>
                <w:szCs w:val="16"/>
              </w:rPr>
            </w:pPr>
            <w:r>
              <w:rPr>
                <w:sz w:val="16"/>
                <w:szCs w:val="16"/>
              </w:rPr>
              <w:t>0103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6F1EC94" w14:textId="321D593B" w:rsidR="000130C0" w:rsidRDefault="000130C0"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A0DBA2A" w14:textId="6C0DF514" w:rsidR="000130C0" w:rsidRDefault="000130C0"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BABB346" w14:textId="4363C85B" w:rsidR="000130C0" w:rsidRPr="00EA028E" w:rsidRDefault="000130C0" w:rsidP="00BC0321">
            <w:pPr>
              <w:spacing w:after="0"/>
              <w:rPr>
                <w:rFonts w:ascii="Arial" w:hAnsi="Arial"/>
                <w:sz w:val="16"/>
              </w:rPr>
            </w:pPr>
            <w:r w:rsidRPr="000130C0">
              <w:rPr>
                <w:rFonts w:ascii="Arial" w:hAnsi="Arial"/>
                <w:sz w:val="16"/>
              </w:rPr>
              <w:t>Corrections on integrated access and backhaul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5097259" w14:textId="77777777" w:rsidR="000130C0" w:rsidRDefault="000130C0" w:rsidP="00BC0321">
            <w:pPr>
              <w:pStyle w:val="TAL"/>
              <w:rPr>
                <w:sz w:val="16"/>
                <w:szCs w:val="16"/>
                <w:lang w:eastAsia="zh-CN"/>
              </w:rPr>
            </w:pPr>
            <w:r>
              <w:rPr>
                <w:sz w:val="16"/>
                <w:szCs w:val="16"/>
                <w:lang w:eastAsia="zh-CN"/>
              </w:rPr>
              <w:t>16.2.0</w:t>
            </w:r>
          </w:p>
        </w:tc>
      </w:tr>
      <w:tr w:rsidR="001B4D2B" w:rsidRPr="00B916EC" w14:paraId="3737724B" w14:textId="77777777" w:rsidTr="001B4D2B">
        <w:tc>
          <w:tcPr>
            <w:tcW w:w="894" w:type="dxa"/>
            <w:tcBorders>
              <w:top w:val="single" w:sz="6" w:space="0" w:color="auto"/>
              <w:left w:val="single" w:sz="6" w:space="0" w:color="auto"/>
              <w:bottom w:val="single" w:sz="6" w:space="0" w:color="auto"/>
              <w:right w:val="single" w:sz="6" w:space="0" w:color="auto"/>
            </w:tcBorders>
            <w:shd w:val="solid" w:color="FFFFFF" w:fill="auto"/>
          </w:tcPr>
          <w:p w14:paraId="7437FA44" w14:textId="77777777" w:rsidR="001B4D2B" w:rsidRPr="00B916EC" w:rsidRDefault="001B4D2B"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288E60F" w14:textId="77777777" w:rsidR="001B4D2B" w:rsidRPr="00B916EC" w:rsidRDefault="001B4D2B" w:rsidP="00BC0321">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8EEA1E4" w14:textId="062AE7FD" w:rsidR="001B4D2B" w:rsidRDefault="001B4D2B" w:rsidP="00BC0321">
            <w:pPr>
              <w:pStyle w:val="TAL"/>
              <w:rPr>
                <w:sz w:val="16"/>
                <w:szCs w:val="16"/>
                <w:lang w:eastAsia="zh-CN"/>
              </w:rPr>
            </w:pPr>
            <w:r>
              <w:rPr>
                <w:sz w:val="16"/>
                <w:szCs w:val="16"/>
                <w:lang w:eastAsia="zh-CN"/>
              </w:rPr>
              <w:t>RP-200690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5C59CDD" w14:textId="270EB150" w:rsidR="001B4D2B" w:rsidRDefault="001B4D2B" w:rsidP="00BC0321">
            <w:pPr>
              <w:pStyle w:val="TAL"/>
              <w:rPr>
                <w:sz w:val="16"/>
                <w:szCs w:val="16"/>
              </w:rPr>
            </w:pPr>
            <w:r>
              <w:rPr>
                <w:sz w:val="16"/>
                <w:szCs w:val="16"/>
              </w:rPr>
              <w:t>0104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91FC000" w14:textId="77777777" w:rsidR="001B4D2B" w:rsidRDefault="001B4D2B"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2158144" w14:textId="77777777" w:rsidR="001B4D2B" w:rsidRDefault="001B4D2B"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E0CC932" w14:textId="4F9C031C" w:rsidR="001B4D2B" w:rsidRPr="00EA028E" w:rsidRDefault="001B4D2B" w:rsidP="00BC0321">
            <w:pPr>
              <w:spacing w:after="0"/>
              <w:rPr>
                <w:rFonts w:ascii="Arial" w:hAnsi="Arial"/>
                <w:sz w:val="16"/>
              </w:rPr>
            </w:pPr>
            <w:r w:rsidRPr="001B4D2B">
              <w:rPr>
                <w:rFonts w:ascii="Arial" w:hAnsi="Arial"/>
                <w:sz w:val="16"/>
              </w:rPr>
              <w:t>Corrections on Ultra Reliable Low Latency Communications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B8F658C" w14:textId="77777777" w:rsidR="001B4D2B" w:rsidRDefault="001B4D2B" w:rsidP="00BC0321">
            <w:pPr>
              <w:pStyle w:val="TAL"/>
              <w:rPr>
                <w:sz w:val="16"/>
                <w:szCs w:val="16"/>
                <w:lang w:eastAsia="zh-CN"/>
              </w:rPr>
            </w:pPr>
            <w:r>
              <w:rPr>
                <w:sz w:val="16"/>
                <w:szCs w:val="16"/>
                <w:lang w:eastAsia="zh-CN"/>
              </w:rPr>
              <w:t>16.2.0</w:t>
            </w:r>
          </w:p>
        </w:tc>
      </w:tr>
      <w:tr w:rsidR="00026DA2" w:rsidRPr="00B916EC" w14:paraId="4D392493" w14:textId="77777777" w:rsidTr="00026DA2">
        <w:tc>
          <w:tcPr>
            <w:tcW w:w="894" w:type="dxa"/>
            <w:tcBorders>
              <w:top w:val="single" w:sz="6" w:space="0" w:color="auto"/>
              <w:left w:val="single" w:sz="6" w:space="0" w:color="auto"/>
              <w:bottom w:val="single" w:sz="6" w:space="0" w:color="auto"/>
              <w:right w:val="single" w:sz="6" w:space="0" w:color="auto"/>
            </w:tcBorders>
            <w:shd w:val="solid" w:color="FFFFFF" w:fill="auto"/>
          </w:tcPr>
          <w:p w14:paraId="638DE53D" w14:textId="77777777" w:rsidR="00026DA2" w:rsidRPr="00B916EC" w:rsidRDefault="00026DA2"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5A03DAF" w14:textId="77777777" w:rsidR="00026DA2" w:rsidRPr="00B916EC" w:rsidRDefault="00026DA2" w:rsidP="00BC0321">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F6B4B52" w14:textId="118F31BD" w:rsidR="00026DA2" w:rsidRDefault="00026DA2" w:rsidP="00BC0321">
            <w:pPr>
              <w:pStyle w:val="TAL"/>
              <w:rPr>
                <w:sz w:val="16"/>
                <w:szCs w:val="16"/>
                <w:lang w:eastAsia="zh-CN"/>
              </w:rPr>
            </w:pPr>
            <w:r>
              <w:rPr>
                <w:sz w:val="16"/>
                <w:szCs w:val="16"/>
                <w:lang w:eastAsia="zh-CN"/>
              </w:rPr>
              <w:t>RP-200693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2358671" w14:textId="650CD2B3" w:rsidR="00026DA2" w:rsidRDefault="00026DA2" w:rsidP="00BC0321">
            <w:pPr>
              <w:pStyle w:val="TAL"/>
              <w:rPr>
                <w:sz w:val="16"/>
                <w:szCs w:val="16"/>
              </w:rPr>
            </w:pPr>
            <w:r>
              <w:rPr>
                <w:sz w:val="16"/>
                <w:szCs w:val="16"/>
              </w:rPr>
              <w:t>0105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A738E6A" w14:textId="77777777" w:rsidR="00026DA2" w:rsidRDefault="00026DA2"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E2B71E4" w14:textId="77777777" w:rsidR="00026DA2" w:rsidRDefault="00026DA2"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3BD1B90" w14:textId="6ACED245" w:rsidR="00026DA2" w:rsidRPr="00EA028E" w:rsidRDefault="00026DA2" w:rsidP="00BC0321">
            <w:pPr>
              <w:spacing w:after="0"/>
              <w:rPr>
                <w:rFonts w:ascii="Arial" w:hAnsi="Arial"/>
                <w:sz w:val="16"/>
              </w:rPr>
            </w:pPr>
            <w:r w:rsidRPr="00026DA2">
              <w:rPr>
                <w:rFonts w:ascii="Arial" w:hAnsi="Arial"/>
                <w:sz w:val="16"/>
              </w:rPr>
              <w:t>Corrections on UE power savings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D70DCC" w14:textId="77777777" w:rsidR="00026DA2" w:rsidRDefault="00026DA2" w:rsidP="00BC0321">
            <w:pPr>
              <w:pStyle w:val="TAL"/>
              <w:rPr>
                <w:sz w:val="16"/>
                <w:szCs w:val="16"/>
                <w:lang w:eastAsia="zh-CN"/>
              </w:rPr>
            </w:pPr>
            <w:r>
              <w:rPr>
                <w:sz w:val="16"/>
                <w:szCs w:val="16"/>
                <w:lang w:eastAsia="zh-CN"/>
              </w:rPr>
              <w:t>16.2.0</w:t>
            </w:r>
          </w:p>
        </w:tc>
      </w:tr>
      <w:tr w:rsidR="00C84BFC" w:rsidRPr="00B916EC" w14:paraId="00CA6971" w14:textId="77777777" w:rsidTr="00C84BFC">
        <w:tc>
          <w:tcPr>
            <w:tcW w:w="894" w:type="dxa"/>
            <w:tcBorders>
              <w:top w:val="single" w:sz="6" w:space="0" w:color="auto"/>
              <w:left w:val="single" w:sz="6" w:space="0" w:color="auto"/>
              <w:bottom w:val="single" w:sz="6" w:space="0" w:color="auto"/>
              <w:right w:val="single" w:sz="6" w:space="0" w:color="auto"/>
            </w:tcBorders>
            <w:shd w:val="solid" w:color="FFFFFF" w:fill="auto"/>
          </w:tcPr>
          <w:p w14:paraId="367E922B" w14:textId="77777777" w:rsidR="00C84BFC" w:rsidRPr="00B916EC" w:rsidRDefault="00C84BFC"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0BA4E0B" w14:textId="77777777" w:rsidR="00C84BFC" w:rsidRPr="00B916EC" w:rsidRDefault="00C84BFC" w:rsidP="00BC0321">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650CE57" w14:textId="2D500D93" w:rsidR="00C84BFC" w:rsidRDefault="00C84BFC" w:rsidP="00BC0321">
            <w:pPr>
              <w:pStyle w:val="TAL"/>
              <w:rPr>
                <w:sz w:val="16"/>
                <w:szCs w:val="16"/>
                <w:lang w:eastAsia="zh-CN"/>
              </w:rPr>
            </w:pPr>
            <w:r>
              <w:rPr>
                <w:sz w:val="16"/>
                <w:szCs w:val="16"/>
                <w:lang w:eastAsia="zh-CN"/>
              </w:rPr>
              <w:t>RP-2006</w:t>
            </w:r>
            <w:r w:rsidR="00070DCE">
              <w:rPr>
                <w:sz w:val="16"/>
                <w:szCs w:val="16"/>
                <w:lang w:eastAsia="zh-CN"/>
              </w:rPr>
              <w:t>89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508D159" w14:textId="7D5B8BD4" w:rsidR="00C84BFC" w:rsidRDefault="00C84BFC" w:rsidP="00BC0321">
            <w:pPr>
              <w:pStyle w:val="TAL"/>
              <w:rPr>
                <w:sz w:val="16"/>
                <w:szCs w:val="16"/>
              </w:rPr>
            </w:pPr>
            <w:r>
              <w:rPr>
                <w:sz w:val="16"/>
                <w:szCs w:val="16"/>
              </w:rPr>
              <w:t>010</w:t>
            </w:r>
            <w:r w:rsidR="00070DCE">
              <w:rPr>
                <w:sz w:val="16"/>
                <w:szCs w:val="16"/>
              </w:rPr>
              <w:t>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E5412FC" w14:textId="77777777" w:rsidR="00C84BFC" w:rsidRDefault="00C84BFC"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A69043F" w14:textId="77777777" w:rsidR="00C84BFC" w:rsidRDefault="00C84BF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9D4AF4B" w14:textId="375DD47F" w:rsidR="00C84BFC" w:rsidRPr="00EA028E" w:rsidRDefault="00070DCE" w:rsidP="00BC0321">
            <w:pPr>
              <w:spacing w:after="0"/>
              <w:rPr>
                <w:rFonts w:ascii="Arial" w:hAnsi="Arial"/>
                <w:sz w:val="16"/>
              </w:rPr>
            </w:pPr>
            <w:r w:rsidRPr="00070DCE">
              <w:rPr>
                <w:rFonts w:ascii="Arial" w:hAnsi="Arial"/>
                <w:sz w:val="16"/>
              </w:rPr>
              <w:t>Corrections on Sidelink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F5591E2" w14:textId="77777777" w:rsidR="00C84BFC" w:rsidRDefault="00C84BFC" w:rsidP="00BC0321">
            <w:pPr>
              <w:pStyle w:val="TAL"/>
              <w:rPr>
                <w:sz w:val="16"/>
                <w:szCs w:val="16"/>
                <w:lang w:eastAsia="zh-CN"/>
              </w:rPr>
            </w:pPr>
            <w:r>
              <w:rPr>
                <w:sz w:val="16"/>
                <w:szCs w:val="16"/>
                <w:lang w:eastAsia="zh-CN"/>
              </w:rPr>
              <w:t>16.2.0</w:t>
            </w:r>
          </w:p>
        </w:tc>
      </w:tr>
      <w:tr w:rsidR="0068506D" w:rsidRPr="00B916EC" w14:paraId="1787C4E3" w14:textId="77777777" w:rsidTr="0068506D">
        <w:tc>
          <w:tcPr>
            <w:tcW w:w="894" w:type="dxa"/>
            <w:tcBorders>
              <w:top w:val="single" w:sz="6" w:space="0" w:color="auto"/>
              <w:left w:val="single" w:sz="6" w:space="0" w:color="auto"/>
              <w:bottom w:val="single" w:sz="6" w:space="0" w:color="auto"/>
              <w:right w:val="single" w:sz="6" w:space="0" w:color="auto"/>
            </w:tcBorders>
            <w:shd w:val="solid" w:color="FFFFFF" w:fill="auto"/>
          </w:tcPr>
          <w:p w14:paraId="767FAD01" w14:textId="77777777" w:rsidR="0068506D" w:rsidRPr="00B916EC" w:rsidRDefault="0068506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B1CF2AE" w14:textId="77777777" w:rsidR="0068506D" w:rsidRPr="00B916EC" w:rsidRDefault="0068506D" w:rsidP="00BC0321">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096C5AB" w14:textId="5DD22565" w:rsidR="0068506D" w:rsidRDefault="0068506D" w:rsidP="00BC0321">
            <w:pPr>
              <w:pStyle w:val="TAL"/>
              <w:rPr>
                <w:sz w:val="16"/>
                <w:szCs w:val="16"/>
                <w:lang w:eastAsia="zh-CN"/>
              </w:rPr>
            </w:pPr>
            <w:r>
              <w:rPr>
                <w:sz w:val="16"/>
                <w:szCs w:val="16"/>
                <w:lang w:eastAsia="zh-CN"/>
              </w:rPr>
              <w:t>RP-200694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329FD65" w14:textId="6708D88D" w:rsidR="0068506D" w:rsidRDefault="0068506D" w:rsidP="00BC0321">
            <w:pPr>
              <w:pStyle w:val="TAL"/>
              <w:rPr>
                <w:sz w:val="16"/>
                <w:szCs w:val="16"/>
              </w:rPr>
            </w:pPr>
            <w:r>
              <w:rPr>
                <w:sz w:val="16"/>
                <w:szCs w:val="16"/>
              </w:rPr>
              <w:t>010</w:t>
            </w:r>
            <w:r w:rsidR="00022F9A">
              <w:rPr>
                <w:sz w:val="16"/>
                <w:szCs w:val="16"/>
              </w:rPr>
              <w:t>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CEB0873" w14:textId="77777777" w:rsidR="0068506D" w:rsidRDefault="0068506D"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FAFE7E3" w14:textId="77777777" w:rsidR="0068506D" w:rsidRDefault="0068506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A5FCD94" w14:textId="084E780C" w:rsidR="0068506D" w:rsidRPr="00EA028E" w:rsidRDefault="00022F9A" w:rsidP="00BC0321">
            <w:pPr>
              <w:spacing w:after="0"/>
              <w:rPr>
                <w:rFonts w:ascii="Arial" w:hAnsi="Arial"/>
                <w:sz w:val="16"/>
              </w:rPr>
            </w:pPr>
            <w:r w:rsidRPr="00022F9A">
              <w:rPr>
                <w:rFonts w:ascii="Arial" w:hAnsi="Arial"/>
                <w:sz w:val="16"/>
              </w:rPr>
              <w:t>Corrections on Positioning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85E5FA3" w14:textId="77777777" w:rsidR="0068506D" w:rsidRDefault="0068506D" w:rsidP="00BC0321">
            <w:pPr>
              <w:pStyle w:val="TAL"/>
              <w:rPr>
                <w:sz w:val="16"/>
                <w:szCs w:val="16"/>
                <w:lang w:eastAsia="zh-CN"/>
              </w:rPr>
            </w:pPr>
            <w:r>
              <w:rPr>
                <w:sz w:val="16"/>
                <w:szCs w:val="16"/>
                <w:lang w:eastAsia="zh-CN"/>
              </w:rPr>
              <w:t>16.2.0</w:t>
            </w:r>
          </w:p>
        </w:tc>
      </w:tr>
      <w:tr w:rsidR="00110FD7" w:rsidRPr="00B916EC" w14:paraId="203FFB80" w14:textId="77777777" w:rsidTr="00110FD7">
        <w:tc>
          <w:tcPr>
            <w:tcW w:w="894" w:type="dxa"/>
            <w:tcBorders>
              <w:top w:val="single" w:sz="6" w:space="0" w:color="auto"/>
              <w:left w:val="single" w:sz="6" w:space="0" w:color="auto"/>
              <w:bottom w:val="single" w:sz="6" w:space="0" w:color="auto"/>
              <w:right w:val="single" w:sz="6" w:space="0" w:color="auto"/>
            </w:tcBorders>
            <w:shd w:val="solid" w:color="FFFFFF" w:fill="auto"/>
          </w:tcPr>
          <w:p w14:paraId="373EDFA3" w14:textId="77777777" w:rsidR="00110FD7" w:rsidRPr="00B916EC" w:rsidRDefault="00110FD7"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21645B6" w14:textId="77777777" w:rsidR="00110FD7" w:rsidRPr="00B916EC" w:rsidRDefault="00110FD7" w:rsidP="00BC0321">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B7D1443" w14:textId="49CE9CA8" w:rsidR="00110FD7" w:rsidRDefault="00110FD7" w:rsidP="00BC0321">
            <w:pPr>
              <w:pStyle w:val="TAL"/>
              <w:rPr>
                <w:sz w:val="16"/>
                <w:szCs w:val="16"/>
                <w:lang w:eastAsia="zh-CN"/>
              </w:rPr>
            </w:pPr>
            <w:r>
              <w:rPr>
                <w:sz w:val="16"/>
                <w:szCs w:val="16"/>
                <w:lang w:eastAsia="zh-CN"/>
              </w:rPr>
              <w:t>RP-200687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87F0A35" w14:textId="0D5D7FB9" w:rsidR="00110FD7" w:rsidRDefault="00110FD7" w:rsidP="00BC0321">
            <w:pPr>
              <w:pStyle w:val="TAL"/>
              <w:rPr>
                <w:sz w:val="16"/>
                <w:szCs w:val="16"/>
              </w:rPr>
            </w:pPr>
            <w:r>
              <w:rPr>
                <w:sz w:val="16"/>
                <w:szCs w:val="16"/>
              </w:rPr>
              <w:t>0108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CB7891E" w14:textId="77777777" w:rsidR="00110FD7" w:rsidRDefault="00110FD7"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8141318" w14:textId="77777777" w:rsidR="00110FD7" w:rsidRDefault="00110FD7"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52D7FB2" w14:textId="30E120A6" w:rsidR="00110FD7" w:rsidRPr="00EA028E" w:rsidRDefault="00110FD7" w:rsidP="00BC0321">
            <w:pPr>
              <w:spacing w:after="0"/>
              <w:rPr>
                <w:rFonts w:ascii="Arial" w:hAnsi="Arial"/>
                <w:sz w:val="16"/>
              </w:rPr>
            </w:pPr>
            <w:r w:rsidRPr="00110FD7">
              <w:rPr>
                <w:rFonts w:ascii="Arial" w:hAnsi="Arial"/>
                <w:sz w:val="16"/>
              </w:rPr>
              <w:t>Corrections on shared spectrum channel access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D88B2CC" w14:textId="77777777" w:rsidR="00110FD7" w:rsidRDefault="00110FD7" w:rsidP="00BC0321">
            <w:pPr>
              <w:pStyle w:val="TAL"/>
              <w:rPr>
                <w:sz w:val="16"/>
                <w:szCs w:val="16"/>
                <w:lang w:eastAsia="zh-CN"/>
              </w:rPr>
            </w:pPr>
            <w:r>
              <w:rPr>
                <w:sz w:val="16"/>
                <w:szCs w:val="16"/>
                <w:lang w:eastAsia="zh-CN"/>
              </w:rPr>
              <w:t>16.2.0</w:t>
            </w:r>
          </w:p>
        </w:tc>
      </w:tr>
      <w:tr w:rsidR="004365CA" w:rsidRPr="00B916EC" w14:paraId="214B6603" w14:textId="77777777" w:rsidTr="004365CA">
        <w:tc>
          <w:tcPr>
            <w:tcW w:w="894" w:type="dxa"/>
            <w:tcBorders>
              <w:top w:val="single" w:sz="6" w:space="0" w:color="auto"/>
              <w:left w:val="single" w:sz="6" w:space="0" w:color="auto"/>
              <w:bottom w:val="single" w:sz="6" w:space="0" w:color="auto"/>
              <w:right w:val="single" w:sz="6" w:space="0" w:color="auto"/>
            </w:tcBorders>
            <w:shd w:val="solid" w:color="FFFFFF" w:fill="auto"/>
          </w:tcPr>
          <w:p w14:paraId="1467312C" w14:textId="77777777" w:rsidR="004365CA" w:rsidRPr="00B916EC" w:rsidRDefault="004365CA"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5D61C6E" w14:textId="77777777" w:rsidR="004365CA" w:rsidRPr="00B916EC" w:rsidRDefault="004365CA" w:rsidP="00BC0321">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20D91B0" w14:textId="026964BA" w:rsidR="004365CA" w:rsidRDefault="004365CA" w:rsidP="00BC0321">
            <w:pPr>
              <w:pStyle w:val="TAL"/>
              <w:rPr>
                <w:sz w:val="16"/>
                <w:szCs w:val="16"/>
                <w:lang w:eastAsia="zh-CN"/>
              </w:rPr>
            </w:pPr>
            <w:r>
              <w:rPr>
                <w:sz w:val="16"/>
                <w:szCs w:val="16"/>
                <w:lang w:eastAsia="zh-CN"/>
              </w:rPr>
              <w:t>RP-200692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D9ACBBB" w14:textId="7A18C392" w:rsidR="004365CA" w:rsidRDefault="004365CA" w:rsidP="00BC0321">
            <w:pPr>
              <w:pStyle w:val="TAL"/>
              <w:rPr>
                <w:sz w:val="16"/>
                <w:szCs w:val="16"/>
              </w:rPr>
            </w:pPr>
            <w:r>
              <w:rPr>
                <w:sz w:val="16"/>
                <w:szCs w:val="16"/>
              </w:rPr>
              <w:t>0109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68680A7" w14:textId="77777777" w:rsidR="004365CA" w:rsidRDefault="004365CA"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1025798" w14:textId="77777777" w:rsidR="004365CA" w:rsidRDefault="004365C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1E71C4A" w14:textId="35D22DBE" w:rsidR="004365CA" w:rsidRPr="00EA028E" w:rsidRDefault="004365CA" w:rsidP="00BC0321">
            <w:pPr>
              <w:spacing w:after="0"/>
              <w:rPr>
                <w:rFonts w:ascii="Arial" w:hAnsi="Arial"/>
                <w:sz w:val="16"/>
              </w:rPr>
            </w:pPr>
            <w:r w:rsidRPr="004365CA">
              <w:rPr>
                <w:rFonts w:ascii="Arial" w:hAnsi="Arial"/>
                <w:sz w:val="16"/>
              </w:rPr>
              <w:t>Corrections on MIMO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A3513F5" w14:textId="77777777" w:rsidR="004365CA" w:rsidRDefault="004365CA" w:rsidP="00BC0321">
            <w:pPr>
              <w:pStyle w:val="TAL"/>
              <w:rPr>
                <w:sz w:val="16"/>
                <w:szCs w:val="16"/>
                <w:lang w:eastAsia="zh-CN"/>
              </w:rPr>
            </w:pPr>
            <w:r>
              <w:rPr>
                <w:sz w:val="16"/>
                <w:szCs w:val="16"/>
                <w:lang w:eastAsia="zh-CN"/>
              </w:rPr>
              <w:t>16.2.0</w:t>
            </w:r>
          </w:p>
        </w:tc>
      </w:tr>
      <w:tr w:rsidR="006E66F3" w:rsidRPr="00B916EC" w14:paraId="7D594CE1" w14:textId="77777777" w:rsidTr="006E66F3">
        <w:tc>
          <w:tcPr>
            <w:tcW w:w="894" w:type="dxa"/>
            <w:tcBorders>
              <w:top w:val="single" w:sz="6" w:space="0" w:color="auto"/>
              <w:left w:val="single" w:sz="6" w:space="0" w:color="auto"/>
              <w:bottom w:val="single" w:sz="6" w:space="0" w:color="auto"/>
              <w:right w:val="single" w:sz="6" w:space="0" w:color="auto"/>
            </w:tcBorders>
            <w:shd w:val="solid" w:color="FFFFFF" w:fill="auto"/>
          </w:tcPr>
          <w:p w14:paraId="6B5FC87E" w14:textId="77777777" w:rsidR="006E66F3" w:rsidRPr="00B916EC" w:rsidRDefault="006E66F3"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49B89C0" w14:textId="77777777" w:rsidR="006E66F3" w:rsidRPr="00B916EC" w:rsidRDefault="006E66F3" w:rsidP="00BC0321">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E006DE1" w14:textId="0D30C65E" w:rsidR="006E66F3" w:rsidRDefault="006E66F3" w:rsidP="00BC0321">
            <w:pPr>
              <w:pStyle w:val="TAL"/>
              <w:rPr>
                <w:sz w:val="16"/>
                <w:szCs w:val="16"/>
                <w:lang w:eastAsia="zh-CN"/>
              </w:rPr>
            </w:pPr>
            <w:r>
              <w:rPr>
                <w:sz w:val="16"/>
                <w:szCs w:val="16"/>
                <w:lang w:eastAsia="zh-CN"/>
              </w:rPr>
              <w:t>RP-200691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184367E" w14:textId="4D04A464" w:rsidR="006E66F3" w:rsidRDefault="006E66F3" w:rsidP="00BC0321">
            <w:pPr>
              <w:pStyle w:val="TAL"/>
              <w:rPr>
                <w:sz w:val="16"/>
                <w:szCs w:val="16"/>
              </w:rPr>
            </w:pPr>
            <w:r>
              <w:rPr>
                <w:sz w:val="16"/>
                <w:szCs w:val="16"/>
              </w:rPr>
              <w:t>0110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82B4D06" w14:textId="77777777" w:rsidR="006E66F3" w:rsidRDefault="006E66F3"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036C36F" w14:textId="77777777" w:rsidR="006E66F3" w:rsidRDefault="006E66F3"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FF45483" w14:textId="54500257" w:rsidR="006E66F3" w:rsidRPr="00EA028E" w:rsidRDefault="006E66F3" w:rsidP="00BC0321">
            <w:pPr>
              <w:spacing w:after="0"/>
              <w:rPr>
                <w:rFonts w:ascii="Arial" w:hAnsi="Arial"/>
                <w:sz w:val="16"/>
              </w:rPr>
            </w:pPr>
            <w:r w:rsidRPr="006E66F3">
              <w:rPr>
                <w:rFonts w:ascii="Arial" w:hAnsi="Arial"/>
                <w:sz w:val="16"/>
              </w:rPr>
              <w:t>Corrections on Industrial IoT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5B019A" w14:textId="77777777" w:rsidR="006E66F3" w:rsidRDefault="006E66F3" w:rsidP="00BC0321">
            <w:pPr>
              <w:pStyle w:val="TAL"/>
              <w:rPr>
                <w:sz w:val="16"/>
                <w:szCs w:val="16"/>
                <w:lang w:eastAsia="zh-CN"/>
              </w:rPr>
            </w:pPr>
            <w:r>
              <w:rPr>
                <w:sz w:val="16"/>
                <w:szCs w:val="16"/>
                <w:lang w:eastAsia="zh-CN"/>
              </w:rPr>
              <w:t>16.2.0</w:t>
            </w:r>
          </w:p>
        </w:tc>
      </w:tr>
      <w:tr w:rsidR="00786FBE" w:rsidRPr="00B916EC" w14:paraId="1E658BDB" w14:textId="77777777" w:rsidTr="00786FBE">
        <w:tc>
          <w:tcPr>
            <w:tcW w:w="894" w:type="dxa"/>
            <w:tcBorders>
              <w:top w:val="single" w:sz="6" w:space="0" w:color="auto"/>
              <w:left w:val="single" w:sz="6" w:space="0" w:color="auto"/>
              <w:bottom w:val="single" w:sz="6" w:space="0" w:color="auto"/>
              <w:right w:val="single" w:sz="6" w:space="0" w:color="auto"/>
            </w:tcBorders>
            <w:shd w:val="solid" w:color="FFFFFF" w:fill="auto"/>
          </w:tcPr>
          <w:p w14:paraId="144171FA" w14:textId="77777777" w:rsidR="00786FBE" w:rsidRPr="00B916EC" w:rsidRDefault="00786FB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DBE2DB5" w14:textId="77777777" w:rsidR="00786FBE" w:rsidRPr="00B916EC" w:rsidRDefault="00786FBE" w:rsidP="00BC0321">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3EC40D5" w14:textId="08671E04" w:rsidR="00786FBE" w:rsidRDefault="00786FBE" w:rsidP="00BC0321">
            <w:pPr>
              <w:pStyle w:val="TAL"/>
              <w:rPr>
                <w:sz w:val="16"/>
                <w:szCs w:val="16"/>
                <w:lang w:eastAsia="zh-CN"/>
              </w:rPr>
            </w:pPr>
            <w:r>
              <w:rPr>
                <w:sz w:val="16"/>
                <w:szCs w:val="16"/>
                <w:lang w:eastAsia="zh-CN"/>
              </w:rPr>
              <w:t>RP-200696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980218A" w14:textId="6B12EAAA" w:rsidR="00786FBE" w:rsidRDefault="00786FBE" w:rsidP="00BC0321">
            <w:pPr>
              <w:pStyle w:val="TAL"/>
              <w:rPr>
                <w:sz w:val="16"/>
                <w:szCs w:val="16"/>
              </w:rPr>
            </w:pPr>
            <w:r>
              <w:rPr>
                <w:sz w:val="16"/>
                <w:szCs w:val="16"/>
              </w:rPr>
              <w:t>0111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3939634" w14:textId="77777777" w:rsidR="00786FBE" w:rsidRDefault="00786FBE"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FF63862" w14:textId="77777777" w:rsidR="00786FBE" w:rsidRDefault="00786FBE"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3DDEC3C" w14:textId="4FF45B82" w:rsidR="00786FBE" w:rsidRPr="00EA028E" w:rsidRDefault="00786FBE" w:rsidP="00BC0321">
            <w:pPr>
              <w:spacing w:after="0"/>
              <w:rPr>
                <w:rFonts w:ascii="Arial" w:hAnsi="Arial"/>
                <w:sz w:val="16"/>
              </w:rPr>
            </w:pPr>
            <w:r w:rsidRPr="00786FBE">
              <w:rPr>
                <w:rFonts w:ascii="Arial" w:hAnsi="Arial"/>
                <w:sz w:val="16"/>
              </w:rPr>
              <w:t>Corrections on NR-DC and on Cross-carrier Scheduling with Different Numerologies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3BC6B19" w14:textId="77777777" w:rsidR="00786FBE" w:rsidRDefault="00786FBE" w:rsidP="00BC0321">
            <w:pPr>
              <w:pStyle w:val="TAL"/>
              <w:rPr>
                <w:sz w:val="16"/>
                <w:szCs w:val="16"/>
                <w:lang w:eastAsia="zh-CN"/>
              </w:rPr>
            </w:pPr>
            <w:r>
              <w:rPr>
                <w:sz w:val="16"/>
                <w:szCs w:val="16"/>
                <w:lang w:eastAsia="zh-CN"/>
              </w:rPr>
              <w:t>16.2.0</w:t>
            </w:r>
          </w:p>
        </w:tc>
      </w:tr>
      <w:tr w:rsidR="00481360" w:rsidRPr="00B916EC" w14:paraId="72E0F1F7" w14:textId="77777777" w:rsidTr="00481360">
        <w:tc>
          <w:tcPr>
            <w:tcW w:w="894" w:type="dxa"/>
            <w:tcBorders>
              <w:top w:val="single" w:sz="6" w:space="0" w:color="auto"/>
              <w:left w:val="single" w:sz="6" w:space="0" w:color="auto"/>
              <w:bottom w:val="single" w:sz="6" w:space="0" w:color="auto"/>
              <w:right w:val="single" w:sz="6" w:space="0" w:color="auto"/>
            </w:tcBorders>
            <w:shd w:val="solid" w:color="FFFFFF" w:fill="auto"/>
          </w:tcPr>
          <w:p w14:paraId="3B22B361" w14:textId="77777777" w:rsidR="00481360" w:rsidRPr="00B916EC" w:rsidRDefault="00481360"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D48692E" w14:textId="77777777" w:rsidR="00481360" w:rsidRPr="00B916EC" w:rsidRDefault="00481360" w:rsidP="00BC0321">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DF7D47E" w14:textId="19785C0B" w:rsidR="00481360" w:rsidRDefault="00481360" w:rsidP="00BC0321">
            <w:pPr>
              <w:pStyle w:val="TAL"/>
              <w:rPr>
                <w:sz w:val="16"/>
                <w:szCs w:val="16"/>
                <w:lang w:eastAsia="zh-CN"/>
              </w:rPr>
            </w:pPr>
            <w:r>
              <w:rPr>
                <w:sz w:val="16"/>
                <w:szCs w:val="16"/>
                <w:lang w:eastAsia="zh-CN"/>
              </w:rPr>
              <w:t>RP-200686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79FA3E4" w14:textId="570CA9F8" w:rsidR="00481360" w:rsidRDefault="00481360" w:rsidP="00BC0321">
            <w:pPr>
              <w:pStyle w:val="TAL"/>
              <w:rPr>
                <w:sz w:val="16"/>
                <w:szCs w:val="16"/>
              </w:rPr>
            </w:pPr>
            <w:r>
              <w:rPr>
                <w:sz w:val="16"/>
                <w:szCs w:val="16"/>
              </w:rPr>
              <w:t>0112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25F2B8F" w14:textId="77777777" w:rsidR="00481360" w:rsidRDefault="00481360"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816DC9A" w14:textId="77777777" w:rsidR="00481360" w:rsidRDefault="00481360"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019B6A5" w14:textId="0C56445D" w:rsidR="00481360" w:rsidRPr="00EA028E" w:rsidRDefault="00481360" w:rsidP="00BC0321">
            <w:pPr>
              <w:spacing w:after="0"/>
              <w:rPr>
                <w:rFonts w:ascii="Arial" w:hAnsi="Arial"/>
                <w:sz w:val="16"/>
              </w:rPr>
            </w:pPr>
            <w:r w:rsidRPr="00481360">
              <w:rPr>
                <w:rFonts w:ascii="Arial" w:hAnsi="Arial"/>
                <w:sz w:val="16"/>
              </w:rPr>
              <w:t>Corrections on two-step RACH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580A258" w14:textId="77777777" w:rsidR="00481360" w:rsidRDefault="00481360" w:rsidP="00BC0321">
            <w:pPr>
              <w:pStyle w:val="TAL"/>
              <w:rPr>
                <w:sz w:val="16"/>
                <w:szCs w:val="16"/>
                <w:lang w:eastAsia="zh-CN"/>
              </w:rPr>
            </w:pPr>
            <w:r>
              <w:rPr>
                <w:sz w:val="16"/>
                <w:szCs w:val="16"/>
                <w:lang w:eastAsia="zh-CN"/>
              </w:rPr>
              <w:t>16.2.0</w:t>
            </w:r>
          </w:p>
        </w:tc>
      </w:tr>
      <w:tr w:rsidR="004F1892" w:rsidRPr="00B916EC" w14:paraId="02B1C418" w14:textId="77777777" w:rsidTr="004F1892">
        <w:tc>
          <w:tcPr>
            <w:tcW w:w="894" w:type="dxa"/>
            <w:tcBorders>
              <w:top w:val="single" w:sz="6" w:space="0" w:color="auto"/>
              <w:left w:val="single" w:sz="6" w:space="0" w:color="auto"/>
              <w:bottom w:val="single" w:sz="6" w:space="0" w:color="auto"/>
              <w:right w:val="single" w:sz="6" w:space="0" w:color="auto"/>
            </w:tcBorders>
            <w:shd w:val="solid" w:color="FFFFFF" w:fill="auto"/>
          </w:tcPr>
          <w:p w14:paraId="639F1EA8" w14:textId="77777777" w:rsidR="004F1892" w:rsidRPr="00B916EC" w:rsidRDefault="004F1892"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A67FB1B" w14:textId="77777777" w:rsidR="004F1892" w:rsidRPr="00B916EC" w:rsidRDefault="004F1892" w:rsidP="00BC0321">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219201D" w14:textId="59A2D16A" w:rsidR="004F1892" w:rsidRDefault="004F1892" w:rsidP="00BC0321">
            <w:pPr>
              <w:pStyle w:val="TAL"/>
              <w:rPr>
                <w:sz w:val="16"/>
                <w:szCs w:val="16"/>
                <w:lang w:eastAsia="zh-CN"/>
              </w:rPr>
            </w:pPr>
            <w:r>
              <w:rPr>
                <w:sz w:val="16"/>
                <w:szCs w:val="16"/>
                <w:lang w:eastAsia="zh-CN"/>
              </w:rPr>
              <w:t>RP-200697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8F1C231" w14:textId="1909A448" w:rsidR="004F1892" w:rsidRDefault="004F1892" w:rsidP="00BC0321">
            <w:pPr>
              <w:pStyle w:val="TAL"/>
              <w:rPr>
                <w:sz w:val="16"/>
                <w:szCs w:val="16"/>
              </w:rPr>
            </w:pPr>
            <w:r>
              <w:rPr>
                <w:sz w:val="16"/>
                <w:szCs w:val="16"/>
              </w:rPr>
              <w:t>0113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DB39A7B" w14:textId="77777777" w:rsidR="004F1892" w:rsidRDefault="004F1892"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E3A41DE" w14:textId="77777777" w:rsidR="004F1892" w:rsidRDefault="004F1892"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BFDABAE" w14:textId="02BE1356" w:rsidR="004F1892" w:rsidRPr="00EA028E" w:rsidRDefault="004F1892" w:rsidP="00BC0321">
            <w:pPr>
              <w:spacing w:after="0"/>
              <w:rPr>
                <w:rFonts w:ascii="Arial" w:hAnsi="Arial"/>
                <w:sz w:val="16"/>
              </w:rPr>
            </w:pPr>
            <w:r w:rsidRPr="004F1892">
              <w:rPr>
                <w:rFonts w:ascii="Arial" w:hAnsi="Arial"/>
                <w:sz w:val="16"/>
              </w:rPr>
              <w:t>Corrections on half-duplex operation in CA with unpaired spectrum</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DAFF75F" w14:textId="77777777" w:rsidR="004F1892" w:rsidRDefault="004F1892" w:rsidP="00BC0321">
            <w:pPr>
              <w:pStyle w:val="TAL"/>
              <w:rPr>
                <w:sz w:val="16"/>
                <w:szCs w:val="16"/>
                <w:lang w:eastAsia="zh-CN"/>
              </w:rPr>
            </w:pPr>
            <w:r>
              <w:rPr>
                <w:sz w:val="16"/>
                <w:szCs w:val="16"/>
                <w:lang w:eastAsia="zh-CN"/>
              </w:rPr>
              <w:t>16.2.0</w:t>
            </w:r>
          </w:p>
        </w:tc>
      </w:tr>
      <w:tr w:rsidR="004F1892" w:rsidRPr="00B916EC" w14:paraId="350FB53E" w14:textId="77777777" w:rsidTr="004F1892">
        <w:tc>
          <w:tcPr>
            <w:tcW w:w="894" w:type="dxa"/>
            <w:tcBorders>
              <w:top w:val="single" w:sz="6" w:space="0" w:color="auto"/>
              <w:left w:val="single" w:sz="6" w:space="0" w:color="auto"/>
              <w:bottom w:val="single" w:sz="6" w:space="0" w:color="auto"/>
              <w:right w:val="single" w:sz="6" w:space="0" w:color="auto"/>
            </w:tcBorders>
            <w:shd w:val="solid" w:color="FFFFFF" w:fill="auto"/>
          </w:tcPr>
          <w:p w14:paraId="4D2AAFB3" w14:textId="77777777" w:rsidR="004F1892" w:rsidRPr="00B916EC" w:rsidRDefault="004F1892"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9A354B1" w14:textId="77777777" w:rsidR="004F1892" w:rsidRPr="00B916EC" w:rsidRDefault="004F1892" w:rsidP="00BC0321">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9F5155F" w14:textId="0A9D1EC7" w:rsidR="004F1892" w:rsidRDefault="004F1892" w:rsidP="00BC0321">
            <w:pPr>
              <w:pStyle w:val="TAL"/>
              <w:rPr>
                <w:sz w:val="16"/>
                <w:szCs w:val="16"/>
                <w:lang w:eastAsia="zh-CN"/>
              </w:rPr>
            </w:pPr>
            <w:r>
              <w:rPr>
                <w:sz w:val="16"/>
                <w:szCs w:val="16"/>
                <w:lang w:eastAsia="zh-CN"/>
              </w:rPr>
              <w:t>RP-200</w:t>
            </w:r>
            <w:r w:rsidR="00AC1D73">
              <w:rPr>
                <w:sz w:val="16"/>
                <w:szCs w:val="16"/>
                <w:lang w:eastAsia="zh-CN"/>
              </w:rPr>
              <w:t>705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A4195C9" w14:textId="2D13E2ED" w:rsidR="004F1892" w:rsidRDefault="004F1892" w:rsidP="00BC0321">
            <w:pPr>
              <w:pStyle w:val="TAL"/>
              <w:rPr>
                <w:sz w:val="16"/>
                <w:szCs w:val="16"/>
              </w:rPr>
            </w:pPr>
            <w:r>
              <w:rPr>
                <w:sz w:val="16"/>
                <w:szCs w:val="16"/>
              </w:rPr>
              <w:t>0114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11C034E" w14:textId="74AA0DBF" w:rsidR="004F1892" w:rsidRDefault="004F1892"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AB7A586" w14:textId="5E1B52EF" w:rsidR="004F1892" w:rsidRDefault="004F1892" w:rsidP="00BC032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255C585" w14:textId="64A7B453" w:rsidR="004F1892" w:rsidRPr="00EA028E" w:rsidRDefault="004F1892" w:rsidP="00BC0321">
            <w:pPr>
              <w:spacing w:after="0"/>
              <w:rPr>
                <w:rFonts w:ascii="Arial" w:hAnsi="Arial"/>
                <w:sz w:val="16"/>
              </w:rPr>
            </w:pPr>
            <w:r w:rsidRPr="004F1892">
              <w:rPr>
                <w:rFonts w:ascii="Arial" w:hAnsi="Arial"/>
                <w:sz w:val="16"/>
              </w:rPr>
              <w:t>Introduction of UL transmission switching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F874FDD" w14:textId="77777777" w:rsidR="004F1892" w:rsidRDefault="004F1892" w:rsidP="00BC0321">
            <w:pPr>
              <w:pStyle w:val="TAL"/>
              <w:rPr>
                <w:sz w:val="16"/>
                <w:szCs w:val="16"/>
                <w:lang w:eastAsia="zh-CN"/>
              </w:rPr>
            </w:pPr>
            <w:r>
              <w:rPr>
                <w:sz w:val="16"/>
                <w:szCs w:val="16"/>
                <w:lang w:eastAsia="zh-CN"/>
              </w:rPr>
              <w:t>16.2.0</w:t>
            </w:r>
          </w:p>
        </w:tc>
      </w:tr>
      <w:tr w:rsidR="0031116D" w:rsidRPr="00B916EC" w14:paraId="33EA8848" w14:textId="77777777" w:rsidTr="0031116D">
        <w:tc>
          <w:tcPr>
            <w:tcW w:w="894" w:type="dxa"/>
            <w:tcBorders>
              <w:top w:val="single" w:sz="6" w:space="0" w:color="auto"/>
              <w:left w:val="single" w:sz="6" w:space="0" w:color="auto"/>
              <w:bottom w:val="single" w:sz="6" w:space="0" w:color="auto"/>
              <w:right w:val="single" w:sz="6" w:space="0" w:color="auto"/>
            </w:tcBorders>
            <w:shd w:val="solid" w:color="FFFFFF" w:fill="auto"/>
          </w:tcPr>
          <w:p w14:paraId="532ECE18" w14:textId="77777777" w:rsidR="0031116D" w:rsidRPr="00B916EC" w:rsidRDefault="0031116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5A55D3D" w14:textId="77777777" w:rsidR="0031116D" w:rsidRPr="00B916EC" w:rsidRDefault="0031116D" w:rsidP="00BC0321">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3F6C3ED" w14:textId="213465EE" w:rsidR="0031116D" w:rsidRDefault="0031116D" w:rsidP="00BC0321">
            <w:pPr>
              <w:pStyle w:val="TAL"/>
              <w:rPr>
                <w:sz w:val="16"/>
                <w:szCs w:val="16"/>
                <w:lang w:eastAsia="zh-CN"/>
              </w:rPr>
            </w:pPr>
            <w:r>
              <w:rPr>
                <w:sz w:val="16"/>
                <w:szCs w:val="16"/>
                <w:lang w:eastAsia="zh-CN"/>
              </w:rPr>
              <w:t>RP-200695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CC741F9" w14:textId="403E8E55" w:rsidR="0031116D" w:rsidRDefault="0031116D" w:rsidP="00BC0321">
            <w:pPr>
              <w:pStyle w:val="TAL"/>
              <w:rPr>
                <w:sz w:val="16"/>
                <w:szCs w:val="16"/>
              </w:rPr>
            </w:pPr>
            <w:r>
              <w:rPr>
                <w:sz w:val="16"/>
                <w:szCs w:val="16"/>
              </w:rPr>
              <w:t>0115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33AD66E" w14:textId="77777777" w:rsidR="0031116D" w:rsidRDefault="0031116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3412628" w14:textId="2AD864A1" w:rsidR="0031116D" w:rsidRDefault="0031116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561B175" w14:textId="273AAFEF" w:rsidR="0031116D" w:rsidRPr="00EA028E" w:rsidRDefault="0031116D" w:rsidP="00BC0321">
            <w:pPr>
              <w:spacing w:after="0"/>
              <w:rPr>
                <w:rFonts w:ascii="Arial" w:hAnsi="Arial"/>
                <w:sz w:val="16"/>
              </w:rPr>
            </w:pPr>
            <w:r w:rsidRPr="0031116D">
              <w:rPr>
                <w:rFonts w:ascii="Arial" w:hAnsi="Arial"/>
                <w:sz w:val="16"/>
              </w:rPr>
              <w:t>Corrections on Mobility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FE1C90C" w14:textId="77777777" w:rsidR="0031116D" w:rsidRDefault="0031116D" w:rsidP="00BC0321">
            <w:pPr>
              <w:pStyle w:val="TAL"/>
              <w:rPr>
                <w:sz w:val="16"/>
                <w:szCs w:val="16"/>
                <w:lang w:eastAsia="zh-CN"/>
              </w:rPr>
            </w:pPr>
            <w:r>
              <w:rPr>
                <w:sz w:val="16"/>
                <w:szCs w:val="16"/>
                <w:lang w:eastAsia="zh-CN"/>
              </w:rPr>
              <w:t>16.2.0</w:t>
            </w:r>
          </w:p>
        </w:tc>
      </w:tr>
      <w:tr w:rsidR="0031116D" w:rsidRPr="00B916EC" w14:paraId="4204C78C" w14:textId="77777777" w:rsidTr="0031116D">
        <w:tc>
          <w:tcPr>
            <w:tcW w:w="894" w:type="dxa"/>
            <w:tcBorders>
              <w:top w:val="single" w:sz="6" w:space="0" w:color="auto"/>
              <w:left w:val="single" w:sz="6" w:space="0" w:color="auto"/>
              <w:bottom w:val="single" w:sz="6" w:space="0" w:color="auto"/>
              <w:right w:val="single" w:sz="6" w:space="0" w:color="auto"/>
            </w:tcBorders>
            <w:shd w:val="solid" w:color="FFFFFF" w:fill="auto"/>
          </w:tcPr>
          <w:p w14:paraId="22E634AC" w14:textId="77777777" w:rsidR="0031116D" w:rsidRPr="00B916EC" w:rsidRDefault="0031116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47F7A0E" w14:textId="77777777" w:rsidR="0031116D" w:rsidRPr="00B916EC" w:rsidRDefault="0031116D" w:rsidP="00BC0321">
            <w:pPr>
              <w:pStyle w:val="TAL"/>
              <w:rPr>
                <w:sz w:val="16"/>
                <w:szCs w:val="16"/>
                <w:lang w:eastAsia="zh-CN"/>
              </w:rPr>
            </w:pPr>
            <w:r w:rsidRPr="00B916EC">
              <w:rPr>
                <w:sz w:val="16"/>
                <w:szCs w:val="16"/>
                <w:lang w:eastAsia="zh-CN"/>
              </w:rPr>
              <w:t>RAN#</w:t>
            </w:r>
            <w:r>
              <w:rPr>
                <w:sz w:val="16"/>
                <w:szCs w:val="16"/>
                <w:lang w:eastAsia="zh-CN"/>
              </w:rPr>
              <w:t>88-e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97A678A" w14:textId="514B6887" w:rsidR="0031116D" w:rsidRDefault="0031116D" w:rsidP="00BC0321">
            <w:pPr>
              <w:pStyle w:val="TAL"/>
              <w:rPr>
                <w:sz w:val="16"/>
                <w:szCs w:val="16"/>
                <w:lang w:eastAsia="zh-CN"/>
              </w:rPr>
            </w:pPr>
            <w:r>
              <w:rPr>
                <w:sz w:val="16"/>
                <w:szCs w:val="16"/>
                <w:lang w:eastAsia="zh-CN"/>
              </w:rPr>
              <w:t>RP-201349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7E30E19" w14:textId="53D8404B" w:rsidR="0031116D" w:rsidRDefault="0031116D" w:rsidP="00BC0321">
            <w:pPr>
              <w:pStyle w:val="TAL"/>
              <w:rPr>
                <w:sz w:val="16"/>
                <w:szCs w:val="16"/>
              </w:rPr>
            </w:pPr>
            <w:r>
              <w:rPr>
                <w:sz w:val="16"/>
                <w:szCs w:val="16"/>
              </w:rPr>
              <w:t>0117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CA09D4F" w14:textId="6FA5D03C" w:rsidR="0031116D" w:rsidRDefault="0031116D"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8BFE3CC" w14:textId="43366260" w:rsidR="0031116D" w:rsidRDefault="0031116D"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492EBF1" w14:textId="67DFB4EC" w:rsidR="0031116D" w:rsidRPr="00EA028E" w:rsidRDefault="0031116D" w:rsidP="00BC0321">
            <w:pPr>
              <w:spacing w:after="0"/>
              <w:rPr>
                <w:rFonts w:ascii="Arial" w:hAnsi="Arial"/>
                <w:sz w:val="16"/>
              </w:rPr>
            </w:pPr>
            <w:r w:rsidRPr="0031116D">
              <w:rPr>
                <w:rFonts w:ascii="Arial" w:hAnsi="Arial"/>
                <w:sz w:val="16"/>
              </w:rPr>
              <w:t>Extending 8 SSB support to the newly introduced 30 kHz Case C SSB pattern on band n40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372466E" w14:textId="77777777" w:rsidR="0031116D" w:rsidRDefault="0031116D" w:rsidP="00BC0321">
            <w:pPr>
              <w:pStyle w:val="TAL"/>
              <w:rPr>
                <w:sz w:val="16"/>
                <w:szCs w:val="16"/>
                <w:lang w:eastAsia="zh-CN"/>
              </w:rPr>
            </w:pPr>
            <w:r>
              <w:rPr>
                <w:sz w:val="16"/>
                <w:szCs w:val="16"/>
                <w:lang w:eastAsia="zh-CN"/>
              </w:rPr>
              <w:t>16.2.0</w:t>
            </w:r>
          </w:p>
        </w:tc>
      </w:tr>
      <w:tr w:rsidR="00C9450C" w:rsidRPr="00B916EC" w14:paraId="1A9E41F2" w14:textId="77777777" w:rsidTr="00C9450C">
        <w:tc>
          <w:tcPr>
            <w:tcW w:w="894" w:type="dxa"/>
            <w:tcBorders>
              <w:top w:val="single" w:sz="6" w:space="0" w:color="auto"/>
              <w:left w:val="single" w:sz="6" w:space="0" w:color="auto"/>
              <w:bottom w:val="single" w:sz="6" w:space="0" w:color="auto"/>
              <w:right w:val="single" w:sz="6" w:space="0" w:color="auto"/>
            </w:tcBorders>
            <w:shd w:val="solid" w:color="FFFFFF" w:fill="auto"/>
          </w:tcPr>
          <w:p w14:paraId="67D49502" w14:textId="7B3DD877" w:rsidR="00C9450C" w:rsidRPr="00B916EC" w:rsidRDefault="00C9450C"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16549BD" w14:textId="1946977E" w:rsidR="00C9450C" w:rsidRPr="00B916EC" w:rsidRDefault="00C9450C" w:rsidP="00BC0321">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5CAB39A" w14:textId="3B1AB47B" w:rsidR="00C9450C" w:rsidRDefault="00C9450C" w:rsidP="00BC0321">
            <w:pPr>
              <w:pStyle w:val="TAL"/>
              <w:rPr>
                <w:sz w:val="16"/>
                <w:szCs w:val="16"/>
                <w:lang w:eastAsia="zh-CN"/>
              </w:rPr>
            </w:pPr>
            <w:r>
              <w:rPr>
                <w:sz w:val="16"/>
                <w:szCs w:val="16"/>
                <w:lang w:eastAsia="zh-CN"/>
              </w:rPr>
              <w:t>RP-201803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C58C98D" w14:textId="1FCEFFBC" w:rsidR="00C9450C" w:rsidRDefault="00C9450C" w:rsidP="00BC0321">
            <w:pPr>
              <w:pStyle w:val="TAL"/>
              <w:rPr>
                <w:sz w:val="16"/>
                <w:szCs w:val="16"/>
              </w:rPr>
            </w:pPr>
            <w:r>
              <w:rPr>
                <w:sz w:val="16"/>
                <w:szCs w:val="16"/>
              </w:rPr>
              <w:t>0119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538FF51" w14:textId="10158964" w:rsidR="00C9450C" w:rsidRDefault="00C9450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6A778C6" w14:textId="77777777" w:rsidR="00C9450C" w:rsidRDefault="00C9450C"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1D14688" w14:textId="49ACF967" w:rsidR="00C9450C" w:rsidRPr="00EA028E" w:rsidRDefault="00C9450C" w:rsidP="00BC0321">
            <w:pPr>
              <w:spacing w:after="0"/>
              <w:rPr>
                <w:rFonts w:ascii="Arial" w:hAnsi="Arial"/>
                <w:sz w:val="16"/>
              </w:rPr>
            </w:pPr>
            <w:r w:rsidRPr="00C9450C">
              <w:rPr>
                <w:rFonts w:ascii="Arial" w:hAnsi="Arial"/>
                <w:sz w:val="16"/>
              </w:rPr>
              <w:t>Correction on the definition for timeline condition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48B99F6" w14:textId="6491C0D8" w:rsidR="00C9450C" w:rsidRDefault="00C9450C" w:rsidP="00BC0321">
            <w:pPr>
              <w:pStyle w:val="TAL"/>
              <w:rPr>
                <w:sz w:val="16"/>
                <w:szCs w:val="16"/>
                <w:lang w:eastAsia="zh-CN"/>
              </w:rPr>
            </w:pPr>
            <w:r>
              <w:rPr>
                <w:sz w:val="16"/>
                <w:szCs w:val="16"/>
                <w:lang w:eastAsia="zh-CN"/>
              </w:rPr>
              <w:t>16.3.0</w:t>
            </w:r>
          </w:p>
        </w:tc>
      </w:tr>
      <w:tr w:rsidR="00C9450C" w:rsidRPr="00B916EC" w14:paraId="66232413" w14:textId="77777777" w:rsidTr="00C9450C">
        <w:tc>
          <w:tcPr>
            <w:tcW w:w="894" w:type="dxa"/>
            <w:tcBorders>
              <w:top w:val="single" w:sz="6" w:space="0" w:color="auto"/>
              <w:left w:val="single" w:sz="6" w:space="0" w:color="auto"/>
              <w:bottom w:val="single" w:sz="6" w:space="0" w:color="auto"/>
              <w:right w:val="single" w:sz="6" w:space="0" w:color="auto"/>
            </w:tcBorders>
            <w:shd w:val="solid" w:color="FFFFFF" w:fill="auto"/>
          </w:tcPr>
          <w:p w14:paraId="62DF1100" w14:textId="77777777" w:rsidR="00C9450C" w:rsidRPr="00B916EC" w:rsidRDefault="00C9450C"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29C1F0B" w14:textId="77777777" w:rsidR="00C9450C" w:rsidRPr="00B916EC" w:rsidRDefault="00C9450C" w:rsidP="00BC0321">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A5FAE01" w14:textId="77777777" w:rsidR="00C9450C" w:rsidRDefault="00C9450C" w:rsidP="00BC0321">
            <w:pPr>
              <w:pStyle w:val="TAL"/>
              <w:rPr>
                <w:sz w:val="16"/>
                <w:szCs w:val="16"/>
                <w:lang w:eastAsia="zh-CN"/>
              </w:rPr>
            </w:pPr>
            <w:r>
              <w:rPr>
                <w:sz w:val="16"/>
                <w:szCs w:val="16"/>
                <w:lang w:eastAsia="zh-CN"/>
              </w:rPr>
              <w:t>RP-201803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3A3415E" w14:textId="5CCB7797" w:rsidR="00C9450C" w:rsidRDefault="00C9450C" w:rsidP="00BC0321">
            <w:pPr>
              <w:pStyle w:val="TAL"/>
              <w:rPr>
                <w:sz w:val="16"/>
                <w:szCs w:val="16"/>
              </w:rPr>
            </w:pPr>
            <w:r>
              <w:rPr>
                <w:sz w:val="16"/>
                <w:szCs w:val="16"/>
              </w:rPr>
              <w:t>0120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90F874B" w14:textId="77777777" w:rsidR="00C9450C" w:rsidRDefault="00C9450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3C62168" w14:textId="7FD76281" w:rsidR="00C9450C" w:rsidRDefault="00C9450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2FC98D5" w14:textId="37B952BD" w:rsidR="00C9450C" w:rsidRPr="00EA028E" w:rsidRDefault="00C9450C" w:rsidP="00BC0321">
            <w:pPr>
              <w:spacing w:after="0"/>
              <w:rPr>
                <w:rFonts w:ascii="Arial" w:hAnsi="Arial"/>
                <w:sz w:val="16"/>
              </w:rPr>
            </w:pPr>
            <w:r w:rsidRPr="00C9450C">
              <w:rPr>
                <w:rFonts w:ascii="Arial" w:hAnsi="Arial"/>
                <w:sz w:val="16"/>
              </w:rPr>
              <w:t>Correction for PUCCH repetition transmission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F7FD534" w14:textId="77777777" w:rsidR="00C9450C" w:rsidRDefault="00C9450C" w:rsidP="00BC0321">
            <w:pPr>
              <w:pStyle w:val="TAL"/>
              <w:rPr>
                <w:sz w:val="16"/>
                <w:szCs w:val="16"/>
                <w:lang w:eastAsia="zh-CN"/>
              </w:rPr>
            </w:pPr>
            <w:r>
              <w:rPr>
                <w:sz w:val="16"/>
                <w:szCs w:val="16"/>
                <w:lang w:eastAsia="zh-CN"/>
              </w:rPr>
              <w:t>16.3.0</w:t>
            </w:r>
          </w:p>
        </w:tc>
      </w:tr>
      <w:tr w:rsidR="005C63A7" w:rsidRPr="00B916EC" w14:paraId="33C03384" w14:textId="77777777" w:rsidTr="005C63A7">
        <w:tc>
          <w:tcPr>
            <w:tcW w:w="894" w:type="dxa"/>
            <w:tcBorders>
              <w:top w:val="single" w:sz="6" w:space="0" w:color="auto"/>
              <w:left w:val="single" w:sz="6" w:space="0" w:color="auto"/>
              <w:bottom w:val="single" w:sz="6" w:space="0" w:color="auto"/>
              <w:right w:val="single" w:sz="6" w:space="0" w:color="auto"/>
            </w:tcBorders>
            <w:shd w:val="solid" w:color="FFFFFF" w:fill="auto"/>
          </w:tcPr>
          <w:p w14:paraId="1266E762" w14:textId="77777777" w:rsidR="005C63A7" w:rsidRPr="00B916EC" w:rsidRDefault="005C63A7"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0C75D37" w14:textId="77777777" w:rsidR="005C63A7" w:rsidRPr="00B916EC" w:rsidRDefault="005C63A7" w:rsidP="00BC0321">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B4FCCD0" w14:textId="4AF00254" w:rsidR="005C63A7" w:rsidRDefault="005C63A7" w:rsidP="00BC0321">
            <w:pPr>
              <w:pStyle w:val="TAL"/>
              <w:rPr>
                <w:sz w:val="16"/>
                <w:szCs w:val="16"/>
                <w:lang w:eastAsia="zh-CN"/>
              </w:rPr>
            </w:pPr>
            <w:r>
              <w:rPr>
                <w:sz w:val="16"/>
                <w:szCs w:val="16"/>
                <w:lang w:eastAsia="zh-CN"/>
              </w:rPr>
              <w:t>RP-201814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F712C7E" w14:textId="4BDF5285" w:rsidR="005C63A7" w:rsidRDefault="005C63A7" w:rsidP="00BC0321">
            <w:pPr>
              <w:pStyle w:val="TAL"/>
              <w:rPr>
                <w:sz w:val="16"/>
                <w:szCs w:val="16"/>
              </w:rPr>
            </w:pPr>
            <w:r>
              <w:rPr>
                <w:sz w:val="16"/>
                <w:szCs w:val="16"/>
              </w:rPr>
              <w:t>0121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3C4AAF3" w14:textId="77777777" w:rsidR="005C63A7" w:rsidRDefault="005C63A7"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ADF0990" w14:textId="77777777" w:rsidR="005C63A7" w:rsidRDefault="005C63A7"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97EB8A0" w14:textId="4A3BC829" w:rsidR="005C63A7" w:rsidRPr="00EA028E" w:rsidRDefault="005C63A7" w:rsidP="00BC0321">
            <w:pPr>
              <w:spacing w:after="0"/>
              <w:rPr>
                <w:rFonts w:ascii="Arial" w:hAnsi="Arial"/>
                <w:sz w:val="16"/>
              </w:rPr>
            </w:pPr>
            <w:r w:rsidRPr="005C63A7">
              <w:rPr>
                <w:rFonts w:ascii="Arial" w:hAnsi="Arial"/>
                <w:sz w:val="16"/>
              </w:rPr>
              <w:t>CR on determination of the number of RS for RLM</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D7D8766" w14:textId="77777777" w:rsidR="005C63A7" w:rsidRDefault="005C63A7" w:rsidP="00BC0321">
            <w:pPr>
              <w:pStyle w:val="TAL"/>
              <w:rPr>
                <w:sz w:val="16"/>
                <w:szCs w:val="16"/>
                <w:lang w:eastAsia="zh-CN"/>
              </w:rPr>
            </w:pPr>
            <w:r>
              <w:rPr>
                <w:sz w:val="16"/>
                <w:szCs w:val="16"/>
                <w:lang w:eastAsia="zh-CN"/>
              </w:rPr>
              <w:t>16.3.0</w:t>
            </w:r>
          </w:p>
        </w:tc>
      </w:tr>
      <w:tr w:rsidR="005C63A7" w:rsidRPr="00B916EC" w14:paraId="3211B462" w14:textId="77777777" w:rsidTr="005C63A7">
        <w:tc>
          <w:tcPr>
            <w:tcW w:w="894" w:type="dxa"/>
            <w:tcBorders>
              <w:top w:val="single" w:sz="6" w:space="0" w:color="auto"/>
              <w:left w:val="single" w:sz="6" w:space="0" w:color="auto"/>
              <w:bottom w:val="single" w:sz="6" w:space="0" w:color="auto"/>
              <w:right w:val="single" w:sz="6" w:space="0" w:color="auto"/>
            </w:tcBorders>
            <w:shd w:val="solid" w:color="FFFFFF" w:fill="auto"/>
          </w:tcPr>
          <w:p w14:paraId="3D72CE08" w14:textId="77777777" w:rsidR="005C63A7" w:rsidRPr="00B916EC" w:rsidRDefault="005C63A7"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856E849" w14:textId="77777777" w:rsidR="005C63A7" w:rsidRPr="00B916EC" w:rsidRDefault="005C63A7" w:rsidP="00BC0321">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91A417D" w14:textId="30C152A2" w:rsidR="005C63A7" w:rsidRDefault="005C63A7" w:rsidP="00BC0321">
            <w:pPr>
              <w:pStyle w:val="TAL"/>
              <w:rPr>
                <w:sz w:val="16"/>
                <w:szCs w:val="16"/>
                <w:lang w:eastAsia="zh-CN"/>
              </w:rPr>
            </w:pPr>
            <w:r>
              <w:rPr>
                <w:sz w:val="16"/>
                <w:szCs w:val="16"/>
                <w:lang w:eastAsia="zh-CN"/>
              </w:rPr>
              <w:t>RP-201803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F4F33C0" w14:textId="26D49B36" w:rsidR="005C63A7" w:rsidRDefault="005C63A7" w:rsidP="00BC0321">
            <w:pPr>
              <w:pStyle w:val="TAL"/>
              <w:rPr>
                <w:sz w:val="16"/>
                <w:szCs w:val="16"/>
              </w:rPr>
            </w:pPr>
            <w:r>
              <w:rPr>
                <w:sz w:val="16"/>
                <w:szCs w:val="16"/>
              </w:rPr>
              <w:t>0123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C811055" w14:textId="77777777" w:rsidR="005C63A7" w:rsidRDefault="005C63A7"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E5C86F0" w14:textId="238994F3" w:rsidR="005C63A7" w:rsidRDefault="005C63A7"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EB17AE8" w14:textId="696C7208" w:rsidR="005C63A7" w:rsidRPr="00EA028E" w:rsidRDefault="005C63A7" w:rsidP="00BC0321">
            <w:pPr>
              <w:spacing w:after="0"/>
              <w:rPr>
                <w:rFonts w:ascii="Arial" w:hAnsi="Arial"/>
                <w:sz w:val="16"/>
              </w:rPr>
            </w:pPr>
            <w:r w:rsidRPr="005C63A7">
              <w:rPr>
                <w:rFonts w:ascii="Arial" w:hAnsi="Arial"/>
                <w:sz w:val="16"/>
              </w:rPr>
              <w:t>CR on determining P0 for a PUSCH retransmission corresponding to a RAR UL grant in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9C4E855" w14:textId="77777777" w:rsidR="005C63A7" w:rsidRDefault="005C63A7" w:rsidP="00BC0321">
            <w:pPr>
              <w:pStyle w:val="TAL"/>
              <w:rPr>
                <w:sz w:val="16"/>
                <w:szCs w:val="16"/>
                <w:lang w:eastAsia="zh-CN"/>
              </w:rPr>
            </w:pPr>
            <w:r>
              <w:rPr>
                <w:sz w:val="16"/>
                <w:szCs w:val="16"/>
                <w:lang w:eastAsia="zh-CN"/>
              </w:rPr>
              <w:t>16.3.0</w:t>
            </w:r>
          </w:p>
        </w:tc>
      </w:tr>
      <w:tr w:rsidR="009132F6" w:rsidRPr="00B916EC" w14:paraId="0C8F51EF" w14:textId="77777777" w:rsidTr="009132F6">
        <w:tc>
          <w:tcPr>
            <w:tcW w:w="894" w:type="dxa"/>
            <w:tcBorders>
              <w:top w:val="single" w:sz="6" w:space="0" w:color="auto"/>
              <w:left w:val="single" w:sz="6" w:space="0" w:color="auto"/>
              <w:bottom w:val="single" w:sz="6" w:space="0" w:color="auto"/>
              <w:right w:val="single" w:sz="6" w:space="0" w:color="auto"/>
            </w:tcBorders>
            <w:shd w:val="solid" w:color="FFFFFF" w:fill="auto"/>
          </w:tcPr>
          <w:p w14:paraId="0DB476ED" w14:textId="77777777" w:rsidR="009132F6" w:rsidRPr="00B916EC" w:rsidRDefault="009132F6"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F4326A8" w14:textId="77777777" w:rsidR="009132F6" w:rsidRPr="00B916EC" w:rsidRDefault="009132F6" w:rsidP="00BC0321">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E2EDC97" w14:textId="77777777" w:rsidR="009132F6" w:rsidRDefault="009132F6" w:rsidP="00BC0321">
            <w:pPr>
              <w:pStyle w:val="TAL"/>
              <w:rPr>
                <w:sz w:val="16"/>
                <w:szCs w:val="16"/>
                <w:lang w:eastAsia="zh-CN"/>
              </w:rPr>
            </w:pPr>
            <w:r>
              <w:rPr>
                <w:sz w:val="16"/>
                <w:szCs w:val="16"/>
                <w:lang w:eastAsia="zh-CN"/>
              </w:rPr>
              <w:t>RP-201803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6D1535D" w14:textId="2C2B194E" w:rsidR="009132F6" w:rsidRDefault="009132F6" w:rsidP="00BC0321">
            <w:pPr>
              <w:pStyle w:val="TAL"/>
              <w:rPr>
                <w:sz w:val="16"/>
                <w:szCs w:val="16"/>
              </w:rPr>
            </w:pPr>
            <w:r>
              <w:rPr>
                <w:sz w:val="16"/>
                <w:szCs w:val="16"/>
              </w:rPr>
              <w:t>0125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777EDB4" w14:textId="77777777" w:rsidR="009132F6" w:rsidRDefault="009132F6"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EE6E0D8" w14:textId="60D72C20" w:rsidR="009132F6" w:rsidRDefault="009132F6"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A4C78C3" w14:textId="54554712" w:rsidR="009132F6" w:rsidRPr="00EA028E" w:rsidRDefault="009132F6" w:rsidP="00BC0321">
            <w:pPr>
              <w:spacing w:after="0"/>
              <w:rPr>
                <w:rFonts w:ascii="Arial" w:hAnsi="Arial"/>
                <w:sz w:val="16"/>
              </w:rPr>
            </w:pPr>
            <w:r w:rsidRPr="009132F6">
              <w:rPr>
                <w:rFonts w:ascii="Arial" w:hAnsi="Arial"/>
                <w:sz w:val="16"/>
              </w:rPr>
              <w:t>PRACH power ramping suspension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2C1B6D1" w14:textId="77777777" w:rsidR="009132F6" w:rsidRDefault="009132F6" w:rsidP="00BC0321">
            <w:pPr>
              <w:pStyle w:val="TAL"/>
              <w:rPr>
                <w:sz w:val="16"/>
                <w:szCs w:val="16"/>
                <w:lang w:eastAsia="zh-CN"/>
              </w:rPr>
            </w:pPr>
            <w:r>
              <w:rPr>
                <w:sz w:val="16"/>
                <w:szCs w:val="16"/>
                <w:lang w:eastAsia="zh-CN"/>
              </w:rPr>
              <w:t>16.3.0</w:t>
            </w:r>
          </w:p>
        </w:tc>
      </w:tr>
      <w:tr w:rsidR="00CD41CB" w:rsidRPr="00B916EC" w14:paraId="33D59E67" w14:textId="77777777" w:rsidTr="00CD41CB">
        <w:tc>
          <w:tcPr>
            <w:tcW w:w="894" w:type="dxa"/>
            <w:tcBorders>
              <w:top w:val="single" w:sz="6" w:space="0" w:color="auto"/>
              <w:left w:val="single" w:sz="6" w:space="0" w:color="auto"/>
              <w:bottom w:val="single" w:sz="6" w:space="0" w:color="auto"/>
              <w:right w:val="single" w:sz="6" w:space="0" w:color="auto"/>
            </w:tcBorders>
            <w:shd w:val="solid" w:color="FFFFFF" w:fill="auto"/>
          </w:tcPr>
          <w:p w14:paraId="2DB3522C" w14:textId="77777777" w:rsidR="00CD41CB" w:rsidRPr="00B916EC" w:rsidRDefault="00CD41CB"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3642B90" w14:textId="77777777" w:rsidR="00CD41CB" w:rsidRPr="00B916EC" w:rsidRDefault="00CD41CB" w:rsidP="00BC0321">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4E81B63" w14:textId="6F957F89" w:rsidR="00CD41CB" w:rsidRDefault="00CD41CB" w:rsidP="00BC0321">
            <w:pPr>
              <w:pStyle w:val="TAL"/>
              <w:rPr>
                <w:sz w:val="16"/>
                <w:szCs w:val="16"/>
                <w:lang w:eastAsia="zh-CN"/>
              </w:rPr>
            </w:pPr>
            <w:r>
              <w:rPr>
                <w:sz w:val="16"/>
                <w:szCs w:val="16"/>
                <w:lang w:eastAsia="zh-CN"/>
              </w:rPr>
              <w:t>RP-201806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76F8A45" w14:textId="5FAF5C6E" w:rsidR="00CD41CB" w:rsidRDefault="00CD41CB" w:rsidP="00BC0321">
            <w:pPr>
              <w:pStyle w:val="TAL"/>
              <w:rPr>
                <w:sz w:val="16"/>
                <w:szCs w:val="16"/>
              </w:rPr>
            </w:pPr>
            <w:r>
              <w:rPr>
                <w:sz w:val="16"/>
                <w:szCs w:val="16"/>
              </w:rPr>
              <w:t>0126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D1842B9" w14:textId="77777777" w:rsidR="00CD41CB" w:rsidRDefault="00CD41CB"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6C47BE4" w14:textId="77777777" w:rsidR="00CD41CB" w:rsidRDefault="00CD41CB"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AD194A7" w14:textId="035EBA5A" w:rsidR="00CD41CB" w:rsidRPr="00EA028E" w:rsidRDefault="00CD41CB" w:rsidP="00BC0321">
            <w:pPr>
              <w:spacing w:after="0"/>
              <w:rPr>
                <w:rFonts w:ascii="Arial" w:hAnsi="Arial"/>
                <w:sz w:val="16"/>
              </w:rPr>
            </w:pPr>
            <w:r w:rsidRPr="00CD41CB">
              <w:rPr>
                <w:rFonts w:ascii="Arial" w:hAnsi="Arial"/>
                <w:sz w:val="16"/>
              </w:rPr>
              <w:t>Clarify starting slot within DCI 2_5 indication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406E56" w14:textId="77777777" w:rsidR="00CD41CB" w:rsidRDefault="00CD41CB" w:rsidP="00BC0321">
            <w:pPr>
              <w:pStyle w:val="TAL"/>
              <w:rPr>
                <w:sz w:val="16"/>
                <w:szCs w:val="16"/>
                <w:lang w:eastAsia="zh-CN"/>
              </w:rPr>
            </w:pPr>
            <w:r>
              <w:rPr>
                <w:sz w:val="16"/>
                <w:szCs w:val="16"/>
                <w:lang w:eastAsia="zh-CN"/>
              </w:rPr>
              <w:t>16.3.0</w:t>
            </w:r>
          </w:p>
        </w:tc>
      </w:tr>
      <w:tr w:rsidR="003C6462" w:rsidRPr="00B916EC" w14:paraId="5AC484D9" w14:textId="77777777" w:rsidTr="003C6462">
        <w:tc>
          <w:tcPr>
            <w:tcW w:w="894" w:type="dxa"/>
            <w:tcBorders>
              <w:top w:val="single" w:sz="6" w:space="0" w:color="auto"/>
              <w:left w:val="single" w:sz="6" w:space="0" w:color="auto"/>
              <w:bottom w:val="single" w:sz="6" w:space="0" w:color="auto"/>
              <w:right w:val="single" w:sz="6" w:space="0" w:color="auto"/>
            </w:tcBorders>
            <w:shd w:val="solid" w:color="FFFFFF" w:fill="auto"/>
          </w:tcPr>
          <w:p w14:paraId="5C2559AB" w14:textId="77777777" w:rsidR="003C6462" w:rsidRPr="00B916EC" w:rsidRDefault="003C6462"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FEDD58E" w14:textId="77777777" w:rsidR="003C6462" w:rsidRPr="00B916EC" w:rsidRDefault="003C6462" w:rsidP="00BC0321">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22679AA" w14:textId="61F03564" w:rsidR="003C6462" w:rsidRDefault="003C6462" w:rsidP="00BC0321">
            <w:pPr>
              <w:pStyle w:val="TAL"/>
              <w:rPr>
                <w:sz w:val="16"/>
                <w:szCs w:val="16"/>
                <w:lang w:eastAsia="zh-CN"/>
              </w:rPr>
            </w:pPr>
            <w:r>
              <w:rPr>
                <w:sz w:val="16"/>
                <w:szCs w:val="16"/>
                <w:lang w:eastAsia="zh-CN"/>
              </w:rPr>
              <w:t>RP-201804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9161067" w14:textId="5E04DA69" w:rsidR="003C6462" w:rsidRDefault="003C6462" w:rsidP="00BC0321">
            <w:pPr>
              <w:pStyle w:val="TAL"/>
              <w:rPr>
                <w:sz w:val="16"/>
                <w:szCs w:val="16"/>
              </w:rPr>
            </w:pPr>
            <w:r>
              <w:rPr>
                <w:sz w:val="16"/>
                <w:szCs w:val="16"/>
              </w:rPr>
              <w:t>0127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E80083F" w14:textId="77777777" w:rsidR="003C6462" w:rsidRDefault="003C6462"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0C95F03" w14:textId="77777777" w:rsidR="003C6462" w:rsidRDefault="003C6462"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84EAEF7" w14:textId="1FA3106E" w:rsidR="003C6462" w:rsidRPr="00EA028E" w:rsidRDefault="003C6462" w:rsidP="00BC0321">
            <w:pPr>
              <w:spacing w:after="0"/>
              <w:rPr>
                <w:rFonts w:ascii="Arial" w:hAnsi="Arial"/>
                <w:sz w:val="16"/>
              </w:rPr>
            </w:pPr>
            <w:r w:rsidRPr="003C6462">
              <w:rPr>
                <w:rFonts w:ascii="Arial" w:hAnsi="Arial"/>
                <w:sz w:val="16"/>
              </w:rPr>
              <w:t>CR on 2-step RACH for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D9AE80A" w14:textId="77777777" w:rsidR="003C6462" w:rsidRDefault="003C6462" w:rsidP="00BC0321">
            <w:pPr>
              <w:pStyle w:val="TAL"/>
              <w:rPr>
                <w:sz w:val="16"/>
                <w:szCs w:val="16"/>
                <w:lang w:eastAsia="zh-CN"/>
              </w:rPr>
            </w:pPr>
            <w:r>
              <w:rPr>
                <w:sz w:val="16"/>
                <w:szCs w:val="16"/>
                <w:lang w:eastAsia="zh-CN"/>
              </w:rPr>
              <w:t>16.3.0</w:t>
            </w:r>
          </w:p>
        </w:tc>
      </w:tr>
      <w:tr w:rsidR="009452BF" w:rsidRPr="00B916EC" w14:paraId="49323842" w14:textId="77777777" w:rsidTr="009452BF">
        <w:tc>
          <w:tcPr>
            <w:tcW w:w="894" w:type="dxa"/>
            <w:tcBorders>
              <w:top w:val="single" w:sz="6" w:space="0" w:color="auto"/>
              <w:left w:val="single" w:sz="6" w:space="0" w:color="auto"/>
              <w:bottom w:val="single" w:sz="6" w:space="0" w:color="auto"/>
              <w:right w:val="single" w:sz="6" w:space="0" w:color="auto"/>
            </w:tcBorders>
            <w:shd w:val="solid" w:color="FFFFFF" w:fill="auto"/>
          </w:tcPr>
          <w:p w14:paraId="56761E15" w14:textId="77777777" w:rsidR="009452BF" w:rsidRPr="00B916EC" w:rsidRDefault="009452BF"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C6CFAE7" w14:textId="77777777" w:rsidR="009452BF" w:rsidRPr="00B916EC" w:rsidRDefault="009452BF" w:rsidP="00BC0321">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BE21947" w14:textId="097C6928" w:rsidR="009452BF" w:rsidRDefault="009452BF" w:rsidP="00BC0321">
            <w:pPr>
              <w:pStyle w:val="TAL"/>
              <w:rPr>
                <w:sz w:val="16"/>
                <w:szCs w:val="16"/>
                <w:lang w:eastAsia="zh-CN"/>
              </w:rPr>
            </w:pPr>
            <w:r>
              <w:rPr>
                <w:sz w:val="16"/>
                <w:szCs w:val="16"/>
                <w:lang w:eastAsia="zh-CN"/>
              </w:rPr>
              <w:t>RP-201813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BF09CD3" w14:textId="2D86EEC1" w:rsidR="009452BF" w:rsidRDefault="009452BF" w:rsidP="00BC0321">
            <w:pPr>
              <w:pStyle w:val="TAL"/>
              <w:rPr>
                <w:sz w:val="16"/>
                <w:szCs w:val="16"/>
              </w:rPr>
            </w:pPr>
            <w:r>
              <w:rPr>
                <w:sz w:val="16"/>
                <w:szCs w:val="16"/>
              </w:rPr>
              <w:t>0128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8BD10F0" w14:textId="77777777" w:rsidR="009452BF" w:rsidRDefault="009452BF"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83F8933" w14:textId="77777777" w:rsidR="009452BF" w:rsidRDefault="009452BF"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87F4458" w14:textId="38C4E9A8" w:rsidR="009452BF" w:rsidRPr="00EA028E" w:rsidRDefault="009452BF" w:rsidP="00BC0321">
            <w:pPr>
              <w:spacing w:after="0"/>
              <w:rPr>
                <w:rFonts w:ascii="Arial" w:hAnsi="Arial"/>
                <w:sz w:val="16"/>
              </w:rPr>
            </w:pPr>
            <w:r w:rsidRPr="009452BF">
              <w:rPr>
                <w:rFonts w:ascii="Arial" w:hAnsi="Arial"/>
                <w:sz w:val="16"/>
              </w:rPr>
              <w:t>CR on Power Control for NR-DC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56D9D24" w14:textId="77777777" w:rsidR="009452BF" w:rsidRDefault="009452BF" w:rsidP="00BC0321">
            <w:pPr>
              <w:pStyle w:val="TAL"/>
              <w:rPr>
                <w:sz w:val="16"/>
                <w:szCs w:val="16"/>
                <w:lang w:eastAsia="zh-CN"/>
              </w:rPr>
            </w:pPr>
            <w:r>
              <w:rPr>
                <w:sz w:val="16"/>
                <w:szCs w:val="16"/>
                <w:lang w:eastAsia="zh-CN"/>
              </w:rPr>
              <w:t>16.3.0</w:t>
            </w:r>
          </w:p>
        </w:tc>
      </w:tr>
      <w:tr w:rsidR="00F90445" w:rsidRPr="00B916EC" w14:paraId="59CA0E9B" w14:textId="77777777" w:rsidTr="00F90445">
        <w:tc>
          <w:tcPr>
            <w:tcW w:w="894" w:type="dxa"/>
            <w:tcBorders>
              <w:top w:val="single" w:sz="6" w:space="0" w:color="auto"/>
              <w:left w:val="single" w:sz="6" w:space="0" w:color="auto"/>
              <w:bottom w:val="single" w:sz="6" w:space="0" w:color="auto"/>
              <w:right w:val="single" w:sz="6" w:space="0" w:color="auto"/>
            </w:tcBorders>
            <w:shd w:val="solid" w:color="FFFFFF" w:fill="auto"/>
          </w:tcPr>
          <w:p w14:paraId="29DFE16B" w14:textId="77777777" w:rsidR="00F90445" w:rsidRPr="00B916EC" w:rsidRDefault="00F90445"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CD78ABC" w14:textId="77777777" w:rsidR="00F90445" w:rsidRPr="00B916EC" w:rsidRDefault="00F90445" w:rsidP="00BC0321">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3F1FF00" w14:textId="01D48D84" w:rsidR="00F90445" w:rsidRDefault="00F90445" w:rsidP="00BC0321">
            <w:pPr>
              <w:pStyle w:val="TAL"/>
              <w:rPr>
                <w:sz w:val="16"/>
                <w:szCs w:val="16"/>
                <w:lang w:eastAsia="zh-CN"/>
              </w:rPr>
            </w:pPr>
            <w:r>
              <w:rPr>
                <w:sz w:val="16"/>
                <w:szCs w:val="16"/>
                <w:lang w:eastAsia="zh-CN"/>
              </w:rPr>
              <w:t>RP-201810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5D07F63" w14:textId="3498CBDE" w:rsidR="00F90445" w:rsidRDefault="00F90445" w:rsidP="00BC0321">
            <w:pPr>
              <w:pStyle w:val="TAL"/>
              <w:rPr>
                <w:sz w:val="16"/>
                <w:szCs w:val="16"/>
              </w:rPr>
            </w:pPr>
            <w:r>
              <w:rPr>
                <w:sz w:val="16"/>
                <w:szCs w:val="16"/>
              </w:rPr>
              <w:t>0129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AB3D162" w14:textId="77777777" w:rsidR="00F90445" w:rsidRDefault="00F90445"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F745CF6" w14:textId="77777777" w:rsidR="00F90445" w:rsidRDefault="00F90445"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E1F4AB2" w14:textId="6ABE5940" w:rsidR="00F90445" w:rsidRPr="00EA028E" w:rsidRDefault="00F90445" w:rsidP="00BC0321">
            <w:pPr>
              <w:spacing w:after="0"/>
              <w:rPr>
                <w:rFonts w:ascii="Arial" w:hAnsi="Arial"/>
                <w:sz w:val="16"/>
              </w:rPr>
            </w:pPr>
            <w:r w:rsidRPr="00F90445">
              <w:rPr>
                <w:rFonts w:ascii="Arial" w:hAnsi="Arial"/>
                <w:sz w:val="16"/>
              </w:rPr>
              <w:t>Type-3 CSS monitoring with PS-RNTI on primary cell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18155ED" w14:textId="77777777" w:rsidR="00F90445" w:rsidRDefault="00F90445" w:rsidP="00BC0321">
            <w:pPr>
              <w:pStyle w:val="TAL"/>
              <w:rPr>
                <w:sz w:val="16"/>
                <w:szCs w:val="16"/>
                <w:lang w:eastAsia="zh-CN"/>
              </w:rPr>
            </w:pPr>
            <w:r>
              <w:rPr>
                <w:sz w:val="16"/>
                <w:szCs w:val="16"/>
                <w:lang w:eastAsia="zh-CN"/>
              </w:rPr>
              <w:t>16.3.0</w:t>
            </w:r>
          </w:p>
        </w:tc>
      </w:tr>
      <w:tr w:rsidR="00BF5894" w:rsidRPr="00B916EC" w14:paraId="3FC6A666" w14:textId="77777777" w:rsidTr="00BF5894">
        <w:tc>
          <w:tcPr>
            <w:tcW w:w="894" w:type="dxa"/>
            <w:tcBorders>
              <w:top w:val="single" w:sz="6" w:space="0" w:color="auto"/>
              <w:left w:val="single" w:sz="6" w:space="0" w:color="auto"/>
              <w:bottom w:val="single" w:sz="6" w:space="0" w:color="auto"/>
              <w:right w:val="single" w:sz="6" w:space="0" w:color="auto"/>
            </w:tcBorders>
            <w:shd w:val="solid" w:color="FFFFFF" w:fill="auto"/>
          </w:tcPr>
          <w:p w14:paraId="4F824A52" w14:textId="77777777" w:rsidR="00BF5894" w:rsidRPr="00B916EC" w:rsidRDefault="00BF5894"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46A0135" w14:textId="77777777" w:rsidR="00BF5894" w:rsidRPr="00B916EC" w:rsidRDefault="00BF5894" w:rsidP="00BC0321">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1BD2ACB" w14:textId="49875BD2" w:rsidR="00BF5894" w:rsidRDefault="00BF5894" w:rsidP="00BC0321">
            <w:pPr>
              <w:pStyle w:val="TAL"/>
              <w:rPr>
                <w:sz w:val="16"/>
                <w:szCs w:val="16"/>
                <w:lang w:eastAsia="zh-CN"/>
              </w:rPr>
            </w:pPr>
            <w:r>
              <w:rPr>
                <w:sz w:val="16"/>
                <w:szCs w:val="16"/>
                <w:lang w:eastAsia="zh-CN"/>
              </w:rPr>
              <w:t>RP-201812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11F6DBC" w14:textId="1DF3B10C" w:rsidR="00BF5894" w:rsidRDefault="00BF5894" w:rsidP="00BC0321">
            <w:pPr>
              <w:pStyle w:val="TAL"/>
              <w:rPr>
                <w:sz w:val="16"/>
                <w:szCs w:val="16"/>
              </w:rPr>
            </w:pPr>
            <w:r>
              <w:rPr>
                <w:sz w:val="16"/>
                <w:szCs w:val="16"/>
              </w:rPr>
              <w:t>0131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DC1A3C9" w14:textId="77777777" w:rsidR="00BF5894" w:rsidRDefault="00BF5894"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8B5225F" w14:textId="77777777" w:rsidR="00BF5894" w:rsidRDefault="00BF5894"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7F473DF" w14:textId="26FF5B68" w:rsidR="00BF5894" w:rsidRPr="00EA028E" w:rsidRDefault="00BF5894" w:rsidP="00BC0321">
            <w:pPr>
              <w:spacing w:after="0"/>
              <w:rPr>
                <w:rFonts w:ascii="Arial" w:hAnsi="Arial"/>
                <w:sz w:val="16"/>
              </w:rPr>
            </w:pPr>
            <w:r w:rsidRPr="00BF5894">
              <w:rPr>
                <w:rFonts w:ascii="Arial" w:hAnsi="Arial"/>
                <w:sz w:val="16"/>
              </w:rPr>
              <w:t>CR on correction on uplink power sharing for DAPS HO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80E184A" w14:textId="77777777" w:rsidR="00BF5894" w:rsidRDefault="00BF5894" w:rsidP="00BC0321">
            <w:pPr>
              <w:pStyle w:val="TAL"/>
              <w:rPr>
                <w:sz w:val="16"/>
                <w:szCs w:val="16"/>
                <w:lang w:eastAsia="zh-CN"/>
              </w:rPr>
            </w:pPr>
            <w:r>
              <w:rPr>
                <w:sz w:val="16"/>
                <w:szCs w:val="16"/>
                <w:lang w:eastAsia="zh-CN"/>
              </w:rPr>
              <w:t>16.3.0</w:t>
            </w:r>
          </w:p>
        </w:tc>
      </w:tr>
      <w:tr w:rsidR="00AC3453" w:rsidRPr="00B916EC" w14:paraId="70750AC6" w14:textId="77777777" w:rsidTr="00AC3453">
        <w:tc>
          <w:tcPr>
            <w:tcW w:w="894" w:type="dxa"/>
            <w:tcBorders>
              <w:top w:val="single" w:sz="6" w:space="0" w:color="auto"/>
              <w:left w:val="single" w:sz="6" w:space="0" w:color="auto"/>
              <w:bottom w:val="single" w:sz="6" w:space="0" w:color="auto"/>
              <w:right w:val="single" w:sz="6" w:space="0" w:color="auto"/>
            </w:tcBorders>
            <w:shd w:val="solid" w:color="FFFFFF" w:fill="auto"/>
          </w:tcPr>
          <w:p w14:paraId="59482786" w14:textId="77777777" w:rsidR="00AC3453" w:rsidRPr="00B916EC" w:rsidRDefault="00AC3453"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0211A0B" w14:textId="77777777" w:rsidR="00AC3453" w:rsidRPr="00B916EC" w:rsidRDefault="00AC3453" w:rsidP="00BC0321">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0F0F415" w14:textId="77777777" w:rsidR="00AC3453" w:rsidRDefault="00AC3453" w:rsidP="00BC0321">
            <w:pPr>
              <w:pStyle w:val="TAL"/>
              <w:rPr>
                <w:sz w:val="16"/>
                <w:szCs w:val="16"/>
                <w:lang w:eastAsia="zh-CN"/>
              </w:rPr>
            </w:pPr>
            <w:r>
              <w:rPr>
                <w:sz w:val="16"/>
                <w:szCs w:val="16"/>
                <w:lang w:eastAsia="zh-CN"/>
              </w:rPr>
              <w:t>RP-201812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6D0AC89" w14:textId="7CCB3479" w:rsidR="00AC3453" w:rsidRDefault="00AC3453" w:rsidP="00BC0321">
            <w:pPr>
              <w:pStyle w:val="TAL"/>
              <w:rPr>
                <w:sz w:val="16"/>
                <w:szCs w:val="16"/>
              </w:rPr>
            </w:pPr>
            <w:r>
              <w:rPr>
                <w:sz w:val="16"/>
                <w:szCs w:val="16"/>
              </w:rPr>
              <w:t>0132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E77D49E" w14:textId="77777777" w:rsidR="00AC3453" w:rsidRDefault="00AC3453"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6248ADC" w14:textId="77777777" w:rsidR="00AC3453" w:rsidRDefault="00AC3453"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2F0157B" w14:textId="30D992BB" w:rsidR="00AC3453" w:rsidRPr="00EA028E" w:rsidRDefault="00AC3453" w:rsidP="00BC0321">
            <w:pPr>
              <w:spacing w:after="0"/>
              <w:rPr>
                <w:rFonts w:ascii="Arial" w:hAnsi="Arial"/>
                <w:sz w:val="16"/>
              </w:rPr>
            </w:pPr>
            <w:r w:rsidRPr="00AC3453">
              <w:rPr>
                <w:rFonts w:ascii="Arial" w:hAnsi="Arial"/>
                <w:sz w:val="16"/>
              </w:rPr>
              <w:t>CR on correction on PDCCH monitoring for DAPS HO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F74D750" w14:textId="77777777" w:rsidR="00AC3453" w:rsidRDefault="00AC3453" w:rsidP="00BC0321">
            <w:pPr>
              <w:pStyle w:val="TAL"/>
              <w:rPr>
                <w:sz w:val="16"/>
                <w:szCs w:val="16"/>
                <w:lang w:eastAsia="zh-CN"/>
              </w:rPr>
            </w:pPr>
            <w:r>
              <w:rPr>
                <w:sz w:val="16"/>
                <w:szCs w:val="16"/>
                <w:lang w:eastAsia="zh-CN"/>
              </w:rPr>
              <w:t>16.3.0</w:t>
            </w:r>
          </w:p>
        </w:tc>
      </w:tr>
      <w:tr w:rsidR="00D52D67" w:rsidRPr="00B916EC" w14:paraId="639567CD" w14:textId="77777777" w:rsidTr="00D52D67">
        <w:tc>
          <w:tcPr>
            <w:tcW w:w="894" w:type="dxa"/>
            <w:tcBorders>
              <w:top w:val="single" w:sz="6" w:space="0" w:color="auto"/>
              <w:left w:val="single" w:sz="6" w:space="0" w:color="auto"/>
              <w:bottom w:val="single" w:sz="6" w:space="0" w:color="auto"/>
              <w:right w:val="single" w:sz="6" w:space="0" w:color="auto"/>
            </w:tcBorders>
            <w:shd w:val="solid" w:color="FFFFFF" w:fill="auto"/>
          </w:tcPr>
          <w:p w14:paraId="060082F0" w14:textId="77777777" w:rsidR="00D52D67" w:rsidRPr="00B916EC" w:rsidRDefault="00D52D67"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CABE7F5" w14:textId="77777777" w:rsidR="00D52D67" w:rsidRPr="00B916EC" w:rsidRDefault="00D52D67" w:rsidP="00BC0321">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9EE99BD" w14:textId="50964C30" w:rsidR="00D52D67" w:rsidRDefault="00D52D67" w:rsidP="00BC0321">
            <w:pPr>
              <w:pStyle w:val="TAL"/>
              <w:rPr>
                <w:sz w:val="16"/>
                <w:szCs w:val="16"/>
                <w:lang w:eastAsia="zh-CN"/>
              </w:rPr>
            </w:pPr>
            <w:r>
              <w:rPr>
                <w:sz w:val="16"/>
                <w:szCs w:val="16"/>
                <w:lang w:eastAsia="zh-CN"/>
              </w:rPr>
              <w:t>RP-201813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18CCB8A" w14:textId="5CC5AD74" w:rsidR="00D52D67" w:rsidRDefault="00D52D67" w:rsidP="00BC0321">
            <w:pPr>
              <w:pStyle w:val="TAL"/>
              <w:rPr>
                <w:sz w:val="16"/>
                <w:szCs w:val="16"/>
              </w:rPr>
            </w:pPr>
            <w:r>
              <w:rPr>
                <w:sz w:val="16"/>
                <w:szCs w:val="16"/>
              </w:rPr>
              <w:t>0133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1694BD7" w14:textId="77777777" w:rsidR="00D52D67" w:rsidRDefault="00D52D67"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F8F67B8" w14:textId="77777777" w:rsidR="00D52D67" w:rsidRDefault="00D52D67"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B8AFE58" w14:textId="17BA5A82" w:rsidR="00D52D67" w:rsidRPr="00EA028E" w:rsidRDefault="00D52D67" w:rsidP="00BC0321">
            <w:pPr>
              <w:spacing w:after="0"/>
              <w:rPr>
                <w:rFonts w:ascii="Arial" w:hAnsi="Arial"/>
                <w:sz w:val="16"/>
              </w:rPr>
            </w:pPr>
            <w:r w:rsidRPr="00D52D67">
              <w:rPr>
                <w:rFonts w:ascii="Arial" w:hAnsi="Arial"/>
                <w:sz w:val="16"/>
              </w:rPr>
              <w:t>CR to 38.213 on RRC parameter alignment for SCell dormancy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E4C6397" w14:textId="77777777" w:rsidR="00D52D67" w:rsidRDefault="00D52D67" w:rsidP="00BC0321">
            <w:pPr>
              <w:pStyle w:val="TAL"/>
              <w:rPr>
                <w:sz w:val="16"/>
                <w:szCs w:val="16"/>
                <w:lang w:eastAsia="zh-CN"/>
              </w:rPr>
            </w:pPr>
            <w:r>
              <w:rPr>
                <w:sz w:val="16"/>
                <w:szCs w:val="16"/>
                <w:lang w:eastAsia="zh-CN"/>
              </w:rPr>
              <w:t>16.3.0</w:t>
            </w:r>
          </w:p>
        </w:tc>
      </w:tr>
      <w:tr w:rsidR="00A6724C" w:rsidRPr="00B916EC" w14:paraId="7E09C535" w14:textId="77777777" w:rsidTr="00A6724C">
        <w:tc>
          <w:tcPr>
            <w:tcW w:w="894" w:type="dxa"/>
            <w:tcBorders>
              <w:top w:val="single" w:sz="6" w:space="0" w:color="auto"/>
              <w:left w:val="single" w:sz="6" w:space="0" w:color="auto"/>
              <w:bottom w:val="single" w:sz="6" w:space="0" w:color="auto"/>
              <w:right w:val="single" w:sz="6" w:space="0" w:color="auto"/>
            </w:tcBorders>
            <w:shd w:val="solid" w:color="FFFFFF" w:fill="auto"/>
          </w:tcPr>
          <w:p w14:paraId="29A1328B" w14:textId="77777777" w:rsidR="00A6724C" w:rsidRPr="00B916EC" w:rsidRDefault="00A6724C"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81CCB4D" w14:textId="77777777" w:rsidR="00A6724C" w:rsidRPr="00B916EC" w:rsidRDefault="00A6724C" w:rsidP="00BC0321">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3B0036A" w14:textId="77777777" w:rsidR="00A6724C" w:rsidRDefault="00A6724C" w:rsidP="00BC0321">
            <w:pPr>
              <w:pStyle w:val="TAL"/>
              <w:rPr>
                <w:sz w:val="16"/>
                <w:szCs w:val="16"/>
                <w:lang w:eastAsia="zh-CN"/>
              </w:rPr>
            </w:pPr>
            <w:r>
              <w:rPr>
                <w:sz w:val="16"/>
                <w:szCs w:val="16"/>
                <w:lang w:eastAsia="zh-CN"/>
              </w:rPr>
              <w:t>RP-201813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27FED6C" w14:textId="30AF3EA4" w:rsidR="00A6724C" w:rsidRDefault="00A6724C" w:rsidP="00BC0321">
            <w:pPr>
              <w:pStyle w:val="TAL"/>
              <w:rPr>
                <w:sz w:val="16"/>
                <w:szCs w:val="16"/>
              </w:rPr>
            </w:pPr>
            <w:r>
              <w:rPr>
                <w:sz w:val="16"/>
                <w:szCs w:val="16"/>
              </w:rPr>
              <w:t>0134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0C42213" w14:textId="77777777" w:rsidR="00A6724C" w:rsidRDefault="00A6724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F5C0493" w14:textId="77777777" w:rsidR="00A6724C" w:rsidRDefault="00A6724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82854CB" w14:textId="57DD8AC6" w:rsidR="00A6724C" w:rsidRPr="00EA028E" w:rsidRDefault="00A6724C" w:rsidP="00BC0321">
            <w:pPr>
              <w:spacing w:after="0"/>
              <w:rPr>
                <w:rFonts w:ascii="Arial" w:hAnsi="Arial"/>
                <w:sz w:val="16"/>
              </w:rPr>
            </w:pPr>
            <w:r w:rsidRPr="00A6724C">
              <w:rPr>
                <w:rFonts w:ascii="Arial" w:hAnsi="Arial"/>
                <w:sz w:val="16"/>
              </w:rPr>
              <w:t>CR to 38.213 on BWP triggering via SCell dormancy indication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E49BDF8" w14:textId="77777777" w:rsidR="00A6724C" w:rsidRDefault="00A6724C" w:rsidP="00BC0321">
            <w:pPr>
              <w:pStyle w:val="TAL"/>
              <w:rPr>
                <w:sz w:val="16"/>
                <w:szCs w:val="16"/>
                <w:lang w:eastAsia="zh-CN"/>
              </w:rPr>
            </w:pPr>
            <w:r>
              <w:rPr>
                <w:sz w:val="16"/>
                <w:szCs w:val="16"/>
                <w:lang w:eastAsia="zh-CN"/>
              </w:rPr>
              <w:t>16.3.0</w:t>
            </w:r>
          </w:p>
        </w:tc>
      </w:tr>
      <w:tr w:rsidR="0057224D" w:rsidRPr="00B916EC" w14:paraId="480D36D5" w14:textId="77777777" w:rsidTr="0057224D">
        <w:tc>
          <w:tcPr>
            <w:tcW w:w="894" w:type="dxa"/>
            <w:tcBorders>
              <w:top w:val="single" w:sz="6" w:space="0" w:color="auto"/>
              <w:left w:val="single" w:sz="6" w:space="0" w:color="auto"/>
              <w:bottom w:val="single" w:sz="6" w:space="0" w:color="auto"/>
              <w:right w:val="single" w:sz="6" w:space="0" w:color="auto"/>
            </w:tcBorders>
            <w:shd w:val="solid" w:color="FFFFFF" w:fill="auto"/>
          </w:tcPr>
          <w:p w14:paraId="6A58F7F1" w14:textId="77777777" w:rsidR="0057224D" w:rsidRPr="00B916EC" w:rsidRDefault="0057224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22CC113" w14:textId="77777777" w:rsidR="0057224D" w:rsidRPr="00B916EC" w:rsidRDefault="0057224D" w:rsidP="00BC0321">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9F7DEA7" w14:textId="77777777" w:rsidR="0057224D" w:rsidRDefault="0057224D" w:rsidP="00BC0321">
            <w:pPr>
              <w:pStyle w:val="TAL"/>
              <w:rPr>
                <w:sz w:val="16"/>
                <w:szCs w:val="16"/>
                <w:lang w:eastAsia="zh-CN"/>
              </w:rPr>
            </w:pPr>
            <w:r>
              <w:rPr>
                <w:sz w:val="16"/>
                <w:szCs w:val="16"/>
                <w:lang w:eastAsia="zh-CN"/>
              </w:rPr>
              <w:t>RP-201813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525841B" w14:textId="435A98A0" w:rsidR="0057224D" w:rsidRDefault="0057224D" w:rsidP="00BC0321">
            <w:pPr>
              <w:pStyle w:val="TAL"/>
              <w:rPr>
                <w:sz w:val="16"/>
                <w:szCs w:val="16"/>
              </w:rPr>
            </w:pPr>
            <w:r>
              <w:rPr>
                <w:sz w:val="16"/>
                <w:szCs w:val="16"/>
              </w:rPr>
              <w:t>0135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B49FF0A" w14:textId="77777777" w:rsidR="0057224D" w:rsidRDefault="0057224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0C9E698" w14:textId="77777777" w:rsidR="0057224D" w:rsidRDefault="0057224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CA02563" w14:textId="41107744" w:rsidR="0057224D" w:rsidRPr="00EA028E" w:rsidRDefault="0057224D" w:rsidP="00BC0321">
            <w:pPr>
              <w:spacing w:after="0"/>
              <w:rPr>
                <w:rFonts w:ascii="Arial" w:hAnsi="Arial"/>
                <w:sz w:val="16"/>
              </w:rPr>
            </w:pPr>
            <w:r w:rsidRPr="0057224D">
              <w:rPr>
                <w:rFonts w:ascii="Arial" w:hAnsi="Arial"/>
                <w:sz w:val="16"/>
              </w:rPr>
              <w:t>CR to 38.213 on HARQ-ACK processing timeline for DCI format 1_1 with Scell dormancy indication without scheduling PDSCH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6C754CE" w14:textId="77777777" w:rsidR="0057224D" w:rsidRDefault="0057224D" w:rsidP="00BC0321">
            <w:pPr>
              <w:pStyle w:val="TAL"/>
              <w:rPr>
                <w:sz w:val="16"/>
                <w:szCs w:val="16"/>
                <w:lang w:eastAsia="zh-CN"/>
              </w:rPr>
            </w:pPr>
            <w:r>
              <w:rPr>
                <w:sz w:val="16"/>
                <w:szCs w:val="16"/>
                <w:lang w:eastAsia="zh-CN"/>
              </w:rPr>
              <w:t>16.3.0</w:t>
            </w:r>
          </w:p>
        </w:tc>
      </w:tr>
      <w:tr w:rsidR="00032BAD" w:rsidRPr="00B916EC" w14:paraId="6CDE8093" w14:textId="77777777" w:rsidTr="00032BAD">
        <w:tc>
          <w:tcPr>
            <w:tcW w:w="894" w:type="dxa"/>
            <w:tcBorders>
              <w:top w:val="single" w:sz="6" w:space="0" w:color="auto"/>
              <w:left w:val="single" w:sz="6" w:space="0" w:color="auto"/>
              <w:bottom w:val="single" w:sz="6" w:space="0" w:color="auto"/>
              <w:right w:val="single" w:sz="6" w:space="0" w:color="auto"/>
            </w:tcBorders>
            <w:shd w:val="solid" w:color="FFFFFF" w:fill="auto"/>
          </w:tcPr>
          <w:p w14:paraId="32369D05" w14:textId="77777777" w:rsidR="00032BAD" w:rsidRPr="00B916EC" w:rsidRDefault="00032BA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432935E" w14:textId="77777777" w:rsidR="00032BAD" w:rsidRPr="00B916EC" w:rsidRDefault="00032BAD" w:rsidP="00BC0321">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34C7316" w14:textId="3634DBA1" w:rsidR="00032BAD" w:rsidRDefault="00032BAD" w:rsidP="00BC0321">
            <w:pPr>
              <w:pStyle w:val="TAL"/>
              <w:rPr>
                <w:sz w:val="16"/>
                <w:szCs w:val="16"/>
                <w:lang w:eastAsia="zh-CN"/>
              </w:rPr>
            </w:pPr>
            <w:r>
              <w:rPr>
                <w:sz w:val="16"/>
                <w:szCs w:val="16"/>
                <w:lang w:eastAsia="zh-CN"/>
              </w:rPr>
              <w:t>RP-201807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6E7E93C" w14:textId="3CC89E0C" w:rsidR="00032BAD" w:rsidRDefault="00032BAD" w:rsidP="00BC0321">
            <w:pPr>
              <w:pStyle w:val="TAL"/>
              <w:rPr>
                <w:sz w:val="16"/>
                <w:szCs w:val="16"/>
              </w:rPr>
            </w:pPr>
            <w:r>
              <w:rPr>
                <w:sz w:val="16"/>
                <w:szCs w:val="16"/>
              </w:rPr>
              <w:t>0136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9EB7F41" w14:textId="77777777" w:rsidR="00032BAD" w:rsidRDefault="00032BA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A7DE65C" w14:textId="77777777" w:rsidR="00032BAD" w:rsidRDefault="00032BA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AFB3A1B" w14:textId="1F9DF086" w:rsidR="00032BAD" w:rsidRPr="00EA028E" w:rsidRDefault="00032BAD" w:rsidP="00BC0321">
            <w:pPr>
              <w:spacing w:after="0"/>
              <w:rPr>
                <w:rFonts w:ascii="Arial" w:hAnsi="Arial"/>
                <w:sz w:val="16"/>
              </w:rPr>
            </w:pPr>
            <w:r w:rsidRPr="00032BAD">
              <w:rPr>
                <w:rFonts w:ascii="Arial" w:hAnsi="Arial"/>
                <w:sz w:val="16"/>
              </w:rPr>
              <w:t>Corrections on Sidelink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F0D9C1" w14:textId="77777777" w:rsidR="00032BAD" w:rsidRDefault="00032BAD" w:rsidP="00BC0321">
            <w:pPr>
              <w:pStyle w:val="TAL"/>
              <w:rPr>
                <w:sz w:val="16"/>
                <w:szCs w:val="16"/>
                <w:lang w:eastAsia="zh-CN"/>
              </w:rPr>
            </w:pPr>
            <w:r>
              <w:rPr>
                <w:sz w:val="16"/>
                <w:szCs w:val="16"/>
                <w:lang w:eastAsia="zh-CN"/>
              </w:rPr>
              <w:t>16.3.0</w:t>
            </w:r>
          </w:p>
        </w:tc>
      </w:tr>
      <w:tr w:rsidR="00FE3722" w:rsidRPr="00B916EC" w14:paraId="33112FAE" w14:textId="77777777" w:rsidTr="00FE3722">
        <w:tc>
          <w:tcPr>
            <w:tcW w:w="894" w:type="dxa"/>
            <w:tcBorders>
              <w:top w:val="single" w:sz="6" w:space="0" w:color="auto"/>
              <w:left w:val="single" w:sz="6" w:space="0" w:color="auto"/>
              <w:bottom w:val="single" w:sz="6" w:space="0" w:color="auto"/>
              <w:right w:val="single" w:sz="6" w:space="0" w:color="auto"/>
            </w:tcBorders>
            <w:shd w:val="solid" w:color="FFFFFF" w:fill="auto"/>
          </w:tcPr>
          <w:p w14:paraId="2FBC81A8" w14:textId="77777777" w:rsidR="00FE3722" w:rsidRPr="00B916EC" w:rsidRDefault="00FE3722"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DC6D5A2" w14:textId="77777777" w:rsidR="00FE3722" w:rsidRPr="00B916EC" w:rsidRDefault="00FE3722" w:rsidP="00BC0321">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FFE8C40" w14:textId="40895299" w:rsidR="00FE3722" w:rsidRDefault="00FE3722" w:rsidP="00BC0321">
            <w:pPr>
              <w:pStyle w:val="TAL"/>
              <w:rPr>
                <w:sz w:val="16"/>
                <w:szCs w:val="16"/>
                <w:lang w:eastAsia="zh-CN"/>
              </w:rPr>
            </w:pPr>
            <w:r>
              <w:rPr>
                <w:sz w:val="16"/>
                <w:szCs w:val="16"/>
                <w:lang w:eastAsia="zh-CN"/>
              </w:rPr>
              <w:t>RP-201809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35782BC" w14:textId="0DB901DB" w:rsidR="00FE3722" w:rsidRDefault="00FE3722" w:rsidP="00BC0321">
            <w:pPr>
              <w:pStyle w:val="TAL"/>
              <w:rPr>
                <w:sz w:val="16"/>
                <w:szCs w:val="16"/>
              </w:rPr>
            </w:pPr>
            <w:r>
              <w:rPr>
                <w:sz w:val="16"/>
                <w:szCs w:val="16"/>
              </w:rPr>
              <w:t>0137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F3F6082" w14:textId="77777777" w:rsidR="00FE3722" w:rsidRDefault="00FE3722"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D661885" w14:textId="77777777" w:rsidR="00FE3722" w:rsidRDefault="00FE3722"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0C7701F" w14:textId="6F6BE075" w:rsidR="00FE3722" w:rsidRPr="00EA028E" w:rsidRDefault="00FE3722" w:rsidP="00BC0321">
            <w:pPr>
              <w:spacing w:after="0"/>
              <w:rPr>
                <w:rFonts w:ascii="Arial" w:hAnsi="Arial"/>
                <w:sz w:val="16"/>
              </w:rPr>
            </w:pPr>
            <w:r w:rsidRPr="00FE3722">
              <w:rPr>
                <w:rFonts w:ascii="Arial" w:hAnsi="Arial"/>
                <w:sz w:val="16"/>
              </w:rPr>
              <w:t>Corrections on MIMO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E252BE1" w14:textId="77777777" w:rsidR="00FE3722" w:rsidRDefault="00FE3722" w:rsidP="00BC0321">
            <w:pPr>
              <w:pStyle w:val="TAL"/>
              <w:rPr>
                <w:sz w:val="16"/>
                <w:szCs w:val="16"/>
                <w:lang w:eastAsia="zh-CN"/>
              </w:rPr>
            </w:pPr>
            <w:r>
              <w:rPr>
                <w:sz w:val="16"/>
                <w:szCs w:val="16"/>
                <w:lang w:eastAsia="zh-CN"/>
              </w:rPr>
              <w:t>16.3.0</w:t>
            </w:r>
          </w:p>
        </w:tc>
      </w:tr>
      <w:tr w:rsidR="000F3F4A" w:rsidRPr="00B916EC" w14:paraId="78224E36" w14:textId="77777777" w:rsidTr="000F3F4A">
        <w:tc>
          <w:tcPr>
            <w:tcW w:w="894" w:type="dxa"/>
            <w:tcBorders>
              <w:top w:val="single" w:sz="6" w:space="0" w:color="auto"/>
              <w:left w:val="single" w:sz="6" w:space="0" w:color="auto"/>
              <w:bottom w:val="single" w:sz="6" w:space="0" w:color="auto"/>
              <w:right w:val="single" w:sz="6" w:space="0" w:color="auto"/>
            </w:tcBorders>
            <w:shd w:val="solid" w:color="FFFFFF" w:fill="auto"/>
          </w:tcPr>
          <w:p w14:paraId="75409094" w14:textId="77777777" w:rsidR="000F3F4A" w:rsidRPr="00B916EC" w:rsidRDefault="000F3F4A"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8F78190" w14:textId="77777777" w:rsidR="000F3F4A" w:rsidRPr="00B916EC" w:rsidRDefault="000F3F4A" w:rsidP="00BC0321">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A325EA2" w14:textId="2F6C8F37" w:rsidR="000F3F4A" w:rsidRDefault="000F3F4A" w:rsidP="00BC0321">
            <w:pPr>
              <w:pStyle w:val="TAL"/>
              <w:rPr>
                <w:sz w:val="16"/>
                <w:szCs w:val="16"/>
                <w:lang w:eastAsia="zh-CN"/>
              </w:rPr>
            </w:pPr>
            <w:r>
              <w:rPr>
                <w:sz w:val="16"/>
                <w:szCs w:val="16"/>
                <w:lang w:eastAsia="zh-CN"/>
              </w:rPr>
              <w:t>RP-201805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9654737" w14:textId="27A831C2" w:rsidR="000F3F4A" w:rsidRDefault="000F3F4A" w:rsidP="00BC0321">
            <w:pPr>
              <w:pStyle w:val="TAL"/>
              <w:rPr>
                <w:sz w:val="16"/>
                <w:szCs w:val="16"/>
              </w:rPr>
            </w:pPr>
            <w:r>
              <w:rPr>
                <w:sz w:val="16"/>
                <w:szCs w:val="16"/>
              </w:rPr>
              <w:t>0138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D69E512" w14:textId="77777777" w:rsidR="000F3F4A" w:rsidRDefault="000F3F4A"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285A016" w14:textId="77777777" w:rsidR="000F3F4A" w:rsidRDefault="000F3F4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B5B167A" w14:textId="735834BA" w:rsidR="000F3F4A" w:rsidRPr="00EA028E" w:rsidRDefault="000F3F4A" w:rsidP="00BC0321">
            <w:pPr>
              <w:spacing w:after="0"/>
              <w:rPr>
                <w:rFonts w:ascii="Arial" w:hAnsi="Arial"/>
                <w:sz w:val="16"/>
              </w:rPr>
            </w:pPr>
            <w:r w:rsidRPr="000F3F4A">
              <w:rPr>
                <w:rFonts w:ascii="Arial" w:hAnsi="Arial"/>
                <w:sz w:val="16"/>
              </w:rPr>
              <w:t>Corrections on shared spectrum channel access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07A1FC9" w14:textId="77777777" w:rsidR="000F3F4A" w:rsidRDefault="000F3F4A" w:rsidP="00BC0321">
            <w:pPr>
              <w:pStyle w:val="TAL"/>
              <w:rPr>
                <w:sz w:val="16"/>
                <w:szCs w:val="16"/>
                <w:lang w:eastAsia="zh-CN"/>
              </w:rPr>
            </w:pPr>
            <w:r>
              <w:rPr>
                <w:sz w:val="16"/>
                <w:szCs w:val="16"/>
                <w:lang w:eastAsia="zh-CN"/>
              </w:rPr>
              <w:t>16.3.0</w:t>
            </w:r>
          </w:p>
        </w:tc>
      </w:tr>
      <w:tr w:rsidR="00E2303D" w:rsidRPr="00B916EC" w14:paraId="5CEC9282" w14:textId="77777777" w:rsidTr="00E2303D">
        <w:tc>
          <w:tcPr>
            <w:tcW w:w="894" w:type="dxa"/>
            <w:tcBorders>
              <w:top w:val="single" w:sz="6" w:space="0" w:color="auto"/>
              <w:left w:val="single" w:sz="6" w:space="0" w:color="auto"/>
              <w:bottom w:val="single" w:sz="6" w:space="0" w:color="auto"/>
              <w:right w:val="single" w:sz="6" w:space="0" w:color="auto"/>
            </w:tcBorders>
            <w:shd w:val="solid" w:color="FFFFFF" w:fill="auto"/>
          </w:tcPr>
          <w:p w14:paraId="5ED146E9" w14:textId="77777777" w:rsidR="00E2303D" w:rsidRPr="00B916EC" w:rsidRDefault="00E2303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D9A4BE3" w14:textId="77777777" w:rsidR="00E2303D" w:rsidRPr="00B916EC" w:rsidRDefault="00E2303D" w:rsidP="00BC0321">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35E04E1" w14:textId="1A399A64" w:rsidR="00E2303D" w:rsidRDefault="00E2303D" w:rsidP="00BC0321">
            <w:pPr>
              <w:pStyle w:val="TAL"/>
              <w:rPr>
                <w:sz w:val="16"/>
                <w:szCs w:val="16"/>
                <w:lang w:eastAsia="zh-CN"/>
              </w:rPr>
            </w:pPr>
            <w:r>
              <w:rPr>
                <w:sz w:val="16"/>
                <w:szCs w:val="16"/>
                <w:lang w:eastAsia="zh-CN"/>
              </w:rPr>
              <w:t>RP-201808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8EDF52C" w14:textId="50C66063" w:rsidR="00E2303D" w:rsidRDefault="00E2303D" w:rsidP="00BC0321">
            <w:pPr>
              <w:pStyle w:val="TAL"/>
              <w:rPr>
                <w:sz w:val="16"/>
                <w:szCs w:val="16"/>
              </w:rPr>
            </w:pPr>
            <w:r>
              <w:rPr>
                <w:sz w:val="16"/>
                <w:szCs w:val="16"/>
              </w:rPr>
              <w:t>0139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BE34CC3" w14:textId="77777777" w:rsidR="00E2303D" w:rsidRDefault="00E2303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A049C05" w14:textId="77777777" w:rsidR="00E2303D" w:rsidRDefault="00E2303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DE25B16" w14:textId="4E37B6FA" w:rsidR="00E2303D" w:rsidRPr="00EA028E" w:rsidRDefault="00E2303D" w:rsidP="00BC0321">
            <w:pPr>
              <w:spacing w:after="0"/>
              <w:rPr>
                <w:rFonts w:ascii="Arial" w:hAnsi="Arial"/>
                <w:sz w:val="16"/>
              </w:rPr>
            </w:pPr>
            <w:r w:rsidRPr="00E2303D">
              <w:rPr>
                <w:rFonts w:ascii="Arial" w:hAnsi="Arial"/>
                <w:sz w:val="16"/>
              </w:rPr>
              <w:t>Corrections on Ultra Reliable Low Latency Communications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FCD2AB7" w14:textId="77777777" w:rsidR="00E2303D" w:rsidRDefault="00E2303D" w:rsidP="00BC0321">
            <w:pPr>
              <w:pStyle w:val="TAL"/>
              <w:rPr>
                <w:sz w:val="16"/>
                <w:szCs w:val="16"/>
                <w:lang w:eastAsia="zh-CN"/>
              </w:rPr>
            </w:pPr>
            <w:r>
              <w:rPr>
                <w:sz w:val="16"/>
                <w:szCs w:val="16"/>
                <w:lang w:eastAsia="zh-CN"/>
              </w:rPr>
              <w:t>16.3.0</w:t>
            </w:r>
          </w:p>
        </w:tc>
      </w:tr>
      <w:tr w:rsidR="00A72A0B" w:rsidRPr="00B916EC" w14:paraId="6BEEB19A" w14:textId="77777777" w:rsidTr="00A72A0B">
        <w:tc>
          <w:tcPr>
            <w:tcW w:w="894" w:type="dxa"/>
            <w:tcBorders>
              <w:top w:val="single" w:sz="6" w:space="0" w:color="auto"/>
              <w:left w:val="single" w:sz="6" w:space="0" w:color="auto"/>
              <w:bottom w:val="single" w:sz="6" w:space="0" w:color="auto"/>
              <w:right w:val="single" w:sz="6" w:space="0" w:color="auto"/>
            </w:tcBorders>
            <w:shd w:val="solid" w:color="FFFFFF" w:fill="auto"/>
          </w:tcPr>
          <w:p w14:paraId="2890C0FB" w14:textId="77777777" w:rsidR="00A72A0B" w:rsidRPr="00B916EC" w:rsidRDefault="00A72A0B"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4481FDE" w14:textId="77777777" w:rsidR="00A72A0B" w:rsidRPr="00B916EC" w:rsidRDefault="00A72A0B" w:rsidP="00BC0321">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DFB7AD0" w14:textId="730F0820" w:rsidR="00A72A0B" w:rsidRDefault="00A72A0B" w:rsidP="00BC0321">
            <w:pPr>
              <w:pStyle w:val="TAL"/>
              <w:rPr>
                <w:sz w:val="16"/>
                <w:szCs w:val="16"/>
                <w:lang w:eastAsia="zh-CN"/>
              </w:rPr>
            </w:pPr>
            <w:r>
              <w:rPr>
                <w:sz w:val="16"/>
                <w:szCs w:val="16"/>
                <w:lang w:eastAsia="zh-CN"/>
              </w:rPr>
              <w:t>RP-202015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3A35E5E" w14:textId="466F00FE" w:rsidR="00A72A0B" w:rsidRDefault="00A72A0B" w:rsidP="00BC0321">
            <w:pPr>
              <w:pStyle w:val="TAL"/>
              <w:rPr>
                <w:sz w:val="16"/>
                <w:szCs w:val="16"/>
              </w:rPr>
            </w:pPr>
            <w:r>
              <w:rPr>
                <w:sz w:val="16"/>
                <w:szCs w:val="16"/>
              </w:rPr>
              <w:t>0141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D683011" w14:textId="4E530B19" w:rsidR="00A72A0B" w:rsidRDefault="00A72A0B"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108AF93" w14:textId="6CE8AA13" w:rsidR="00A72A0B" w:rsidRDefault="00A72A0B"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5448B77" w14:textId="31AB2F5C" w:rsidR="00A72A0B" w:rsidRPr="00EA028E" w:rsidRDefault="00A72A0B" w:rsidP="00BC0321">
            <w:pPr>
              <w:spacing w:after="0"/>
              <w:rPr>
                <w:rFonts w:ascii="Arial" w:hAnsi="Arial"/>
                <w:sz w:val="16"/>
              </w:rPr>
            </w:pPr>
            <w:r w:rsidRPr="00A72A0B">
              <w:rPr>
                <w:rFonts w:ascii="Arial" w:hAnsi="Arial"/>
                <w:sz w:val="16"/>
              </w:rPr>
              <w:t>Extending 8 SSB support to the TDD bands with newly introduced 30 kHz Case C SSB pattern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1A7582D" w14:textId="77777777" w:rsidR="00A72A0B" w:rsidRDefault="00A72A0B" w:rsidP="00BC0321">
            <w:pPr>
              <w:pStyle w:val="TAL"/>
              <w:rPr>
                <w:sz w:val="16"/>
                <w:szCs w:val="16"/>
                <w:lang w:eastAsia="zh-CN"/>
              </w:rPr>
            </w:pPr>
            <w:r>
              <w:rPr>
                <w:sz w:val="16"/>
                <w:szCs w:val="16"/>
                <w:lang w:eastAsia="zh-CN"/>
              </w:rPr>
              <w:t>16.3.0</w:t>
            </w:r>
          </w:p>
        </w:tc>
      </w:tr>
      <w:tr w:rsidR="00E05519" w:rsidRPr="00B916EC" w14:paraId="3F6E7B17" w14:textId="77777777" w:rsidTr="00E05519">
        <w:tc>
          <w:tcPr>
            <w:tcW w:w="894" w:type="dxa"/>
            <w:tcBorders>
              <w:top w:val="single" w:sz="6" w:space="0" w:color="auto"/>
              <w:left w:val="single" w:sz="6" w:space="0" w:color="auto"/>
              <w:bottom w:val="single" w:sz="6" w:space="0" w:color="auto"/>
              <w:right w:val="single" w:sz="6" w:space="0" w:color="auto"/>
            </w:tcBorders>
            <w:shd w:val="solid" w:color="FFFFFF" w:fill="auto"/>
          </w:tcPr>
          <w:p w14:paraId="03BBEA67" w14:textId="77777777" w:rsidR="00E05519" w:rsidRPr="00B916EC" w:rsidRDefault="00E05519"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B1C2FE8" w14:textId="77777777" w:rsidR="00E05519" w:rsidRPr="00B916EC" w:rsidRDefault="00E05519" w:rsidP="00BC0321">
            <w:pPr>
              <w:pStyle w:val="TAL"/>
              <w:rPr>
                <w:sz w:val="16"/>
                <w:szCs w:val="16"/>
                <w:lang w:eastAsia="zh-CN"/>
              </w:rPr>
            </w:pPr>
            <w:r w:rsidRPr="00B916EC">
              <w:rPr>
                <w:sz w:val="16"/>
                <w:szCs w:val="16"/>
                <w:lang w:eastAsia="zh-CN"/>
              </w:rPr>
              <w:t>RAN#</w:t>
            </w:r>
            <w:r>
              <w:rPr>
                <w:sz w:val="16"/>
                <w:szCs w:val="16"/>
                <w:lang w:eastAsia="zh-CN"/>
              </w:rPr>
              <w:t>89-e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366C3DA" w14:textId="5BB378D1" w:rsidR="00E05519" w:rsidRDefault="00E05519" w:rsidP="00BC0321">
            <w:pPr>
              <w:pStyle w:val="TAL"/>
              <w:rPr>
                <w:sz w:val="16"/>
                <w:szCs w:val="16"/>
                <w:lang w:eastAsia="zh-CN"/>
              </w:rPr>
            </w:pPr>
            <w:r>
              <w:rPr>
                <w:sz w:val="16"/>
                <w:szCs w:val="16"/>
                <w:lang w:eastAsia="zh-CN"/>
              </w:rPr>
              <w:t>RP-201847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8746399" w14:textId="10979931" w:rsidR="00E05519" w:rsidRDefault="00E05519" w:rsidP="00BC0321">
            <w:pPr>
              <w:pStyle w:val="TAL"/>
              <w:rPr>
                <w:sz w:val="16"/>
                <w:szCs w:val="16"/>
              </w:rPr>
            </w:pPr>
            <w:r>
              <w:rPr>
                <w:sz w:val="16"/>
                <w:szCs w:val="16"/>
              </w:rPr>
              <w:t>0142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41DE9E2" w14:textId="0522F3CA" w:rsidR="00E05519" w:rsidRDefault="00E05519"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AA23BF9" w14:textId="77777777" w:rsidR="00E05519" w:rsidRDefault="00E05519"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CE39421" w14:textId="5938EE95" w:rsidR="00E05519" w:rsidRPr="00EA028E" w:rsidRDefault="00E05519" w:rsidP="00BC0321">
            <w:pPr>
              <w:spacing w:after="0"/>
              <w:rPr>
                <w:rFonts w:ascii="Arial" w:hAnsi="Arial"/>
                <w:sz w:val="16"/>
              </w:rPr>
            </w:pPr>
            <w:r w:rsidRPr="00E05519">
              <w:rPr>
                <w:rFonts w:ascii="Arial" w:hAnsi="Arial"/>
                <w:sz w:val="16"/>
              </w:rPr>
              <w:t>Correction on supplementary uplink in Rel-16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1B67335" w14:textId="77777777" w:rsidR="00E05519" w:rsidRDefault="00E05519" w:rsidP="00BC0321">
            <w:pPr>
              <w:pStyle w:val="TAL"/>
              <w:rPr>
                <w:sz w:val="16"/>
                <w:szCs w:val="16"/>
                <w:lang w:eastAsia="zh-CN"/>
              </w:rPr>
            </w:pPr>
            <w:r>
              <w:rPr>
                <w:sz w:val="16"/>
                <w:szCs w:val="16"/>
                <w:lang w:eastAsia="zh-CN"/>
              </w:rPr>
              <w:t>16.3.0</w:t>
            </w:r>
          </w:p>
        </w:tc>
      </w:tr>
      <w:tr w:rsidR="009D1E49" w:rsidRPr="00B916EC" w14:paraId="70421E93" w14:textId="77777777" w:rsidTr="009D1E49">
        <w:tc>
          <w:tcPr>
            <w:tcW w:w="894" w:type="dxa"/>
            <w:tcBorders>
              <w:top w:val="single" w:sz="6" w:space="0" w:color="auto"/>
              <w:left w:val="single" w:sz="6" w:space="0" w:color="auto"/>
              <w:bottom w:val="single" w:sz="6" w:space="0" w:color="auto"/>
              <w:right w:val="single" w:sz="6" w:space="0" w:color="auto"/>
            </w:tcBorders>
            <w:shd w:val="solid" w:color="FFFFFF" w:fill="auto"/>
          </w:tcPr>
          <w:p w14:paraId="79B04B40" w14:textId="63BE475F" w:rsidR="009D1E49" w:rsidRPr="00B916EC" w:rsidRDefault="009D1E49"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B43CAAF" w14:textId="6A6E0996" w:rsidR="009D1E49" w:rsidRPr="00B916EC" w:rsidRDefault="009D1E49"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2C3A644" w14:textId="6CD7CED2" w:rsidR="009D1E49" w:rsidRDefault="009D1E49" w:rsidP="00BC0321">
            <w:pPr>
              <w:pStyle w:val="TAL"/>
              <w:rPr>
                <w:sz w:val="16"/>
                <w:szCs w:val="16"/>
                <w:lang w:eastAsia="zh-CN"/>
              </w:rPr>
            </w:pPr>
            <w:r>
              <w:rPr>
                <w:sz w:val="16"/>
                <w:szCs w:val="16"/>
                <w:lang w:eastAsia="zh-CN"/>
              </w:rPr>
              <w:t>RP-202379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6CE60EF" w14:textId="30D48C0B" w:rsidR="009D1E49" w:rsidRDefault="009D1E49" w:rsidP="00BC0321">
            <w:pPr>
              <w:pStyle w:val="TAL"/>
              <w:rPr>
                <w:sz w:val="16"/>
                <w:szCs w:val="16"/>
              </w:rPr>
            </w:pPr>
            <w:r>
              <w:rPr>
                <w:sz w:val="16"/>
                <w:szCs w:val="16"/>
              </w:rPr>
              <w:t>0144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6698FC2" w14:textId="77777777" w:rsidR="009D1E49" w:rsidRDefault="009D1E49"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ABCE4A2" w14:textId="77777777" w:rsidR="009D1E49" w:rsidRDefault="009D1E49"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B9C0EEB" w14:textId="42176753" w:rsidR="009D1E49" w:rsidRPr="00EA028E" w:rsidRDefault="009D1E49" w:rsidP="00BC0321">
            <w:pPr>
              <w:spacing w:after="0"/>
              <w:rPr>
                <w:rFonts w:ascii="Arial" w:hAnsi="Arial"/>
                <w:sz w:val="16"/>
              </w:rPr>
            </w:pPr>
            <w:r w:rsidRPr="009D1E49">
              <w:rPr>
                <w:rFonts w:ascii="Arial" w:hAnsi="Arial"/>
                <w:sz w:val="16"/>
              </w:rPr>
              <w:t>CR on HARQ-ACK Determination for SPS Release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CF50EB5" w14:textId="6969FBCB" w:rsidR="009D1E49" w:rsidRDefault="009D1E49" w:rsidP="00BC0321">
            <w:pPr>
              <w:pStyle w:val="TAL"/>
              <w:rPr>
                <w:sz w:val="16"/>
                <w:szCs w:val="16"/>
                <w:lang w:eastAsia="zh-CN"/>
              </w:rPr>
            </w:pPr>
            <w:r>
              <w:rPr>
                <w:sz w:val="16"/>
                <w:szCs w:val="16"/>
                <w:lang w:eastAsia="zh-CN"/>
              </w:rPr>
              <w:t>16.4.0</w:t>
            </w:r>
          </w:p>
        </w:tc>
      </w:tr>
      <w:tr w:rsidR="0043289C" w:rsidRPr="00B916EC" w14:paraId="21AB9043" w14:textId="77777777" w:rsidTr="0043289C">
        <w:tc>
          <w:tcPr>
            <w:tcW w:w="894" w:type="dxa"/>
            <w:tcBorders>
              <w:top w:val="single" w:sz="6" w:space="0" w:color="auto"/>
              <w:left w:val="single" w:sz="6" w:space="0" w:color="auto"/>
              <w:bottom w:val="single" w:sz="6" w:space="0" w:color="auto"/>
              <w:right w:val="single" w:sz="6" w:space="0" w:color="auto"/>
            </w:tcBorders>
            <w:shd w:val="solid" w:color="FFFFFF" w:fill="auto"/>
          </w:tcPr>
          <w:p w14:paraId="2F0479D2" w14:textId="77777777" w:rsidR="0043289C" w:rsidRPr="00B916EC" w:rsidRDefault="0043289C"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9C2366B" w14:textId="77777777" w:rsidR="0043289C" w:rsidRPr="00B916EC" w:rsidRDefault="0043289C"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AAE8B81" w14:textId="47C36E76" w:rsidR="0043289C" w:rsidRDefault="0043289C" w:rsidP="00BC0321">
            <w:pPr>
              <w:pStyle w:val="TAL"/>
              <w:rPr>
                <w:sz w:val="16"/>
                <w:szCs w:val="16"/>
                <w:lang w:eastAsia="zh-CN"/>
              </w:rPr>
            </w:pPr>
            <w:r>
              <w:rPr>
                <w:sz w:val="16"/>
                <w:szCs w:val="16"/>
                <w:lang w:eastAsia="zh-CN"/>
              </w:rPr>
              <w:t>RP-202383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52A852A" w14:textId="3EF668EF" w:rsidR="0043289C" w:rsidRDefault="0043289C" w:rsidP="00BC0321">
            <w:pPr>
              <w:pStyle w:val="TAL"/>
              <w:rPr>
                <w:sz w:val="16"/>
                <w:szCs w:val="16"/>
              </w:rPr>
            </w:pPr>
            <w:r>
              <w:rPr>
                <w:sz w:val="16"/>
                <w:szCs w:val="16"/>
              </w:rPr>
              <w:t>0145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B438A08" w14:textId="77777777" w:rsidR="0043289C" w:rsidRDefault="0043289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9130C5A" w14:textId="43518E00" w:rsidR="0043289C" w:rsidRDefault="0043289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ACDC26B" w14:textId="7D6F27C0" w:rsidR="0043289C" w:rsidRPr="00EA028E" w:rsidRDefault="00CD415F" w:rsidP="00BC0321">
            <w:pPr>
              <w:spacing w:after="0"/>
              <w:rPr>
                <w:rFonts w:ascii="Arial" w:hAnsi="Arial"/>
                <w:sz w:val="16"/>
              </w:rPr>
            </w:pPr>
            <w:r w:rsidRPr="00CD415F">
              <w:rPr>
                <w:rFonts w:ascii="Arial" w:hAnsi="Arial"/>
                <w:sz w:val="16"/>
              </w:rPr>
              <w:t>Corrections related to sidelink physical layer procedures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2A86806" w14:textId="77777777" w:rsidR="0043289C" w:rsidRDefault="0043289C" w:rsidP="00BC0321">
            <w:pPr>
              <w:pStyle w:val="TAL"/>
              <w:rPr>
                <w:sz w:val="16"/>
                <w:szCs w:val="16"/>
                <w:lang w:eastAsia="zh-CN"/>
              </w:rPr>
            </w:pPr>
            <w:r>
              <w:rPr>
                <w:sz w:val="16"/>
                <w:szCs w:val="16"/>
                <w:lang w:eastAsia="zh-CN"/>
              </w:rPr>
              <w:t>16.4.0</w:t>
            </w:r>
          </w:p>
        </w:tc>
      </w:tr>
      <w:tr w:rsidR="00CD415F" w:rsidRPr="00B916EC" w14:paraId="50A157CF" w14:textId="77777777" w:rsidTr="00CD415F">
        <w:tc>
          <w:tcPr>
            <w:tcW w:w="894" w:type="dxa"/>
            <w:tcBorders>
              <w:top w:val="single" w:sz="6" w:space="0" w:color="auto"/>
              <w:left w:val="single" w:sz="6" w:space="0" w:color="auto"/>
              <w:bottom w:val="single" w:sz="6" w:space="0" w:color="auto"/>
              <w:right w:val="single" w:sz="6" w:space="0" w:color="auto"/>
            </w:tcBorders>
            <w:shd w:val="solid" w:color="FFFFFF" w:fill="auto"/>
          </w:tcPr>
          <w:p w14:paraId="44CBCB59" w14:textId="77777777" w:rsidR="00CD415F" w:rsidRPr="00B916EC" w:rsidRDefault="00CD415F"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944FD68" w14:textId="77777777" w:rsidR="00CD415F" w:rsidRPr="00B916EC" w:rsidRDefault="00CD415F"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6BA6416" w14:textId="33337D20" w:rsidR="00CD415F" w:rsidRDefault="00CD415F" w:rsidP="00BC0321">
            <w:pPr>
              <w:pStyle w:val="TAL"/>
              <w:rPr>
                <w:sz w:val="16"/>
                <w:szCs w:val="16"/>
                <w:lang w:eastAsia="zh-CN"/>
              </w:rPr>
            </w:pPr>
            <w:r>
              <w:rPr>
                <w:sz w:val="16"/>
                <w:szCs w:val="16"/>
                <w:lang w:eastAsia="zh-CN"/>
              </w:rPr>
              <w:t>RP-202382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79E69A5" w14:textId="5F10DD94" w:rsidR="00CD415F" w:rsidRDefault="00CD415F" w:rsidP="00BC0321">
            <w:pPr>
              <w:pStyle w:val="TAL"/>
              <w:rPr>
                <w:sz w:val="16"/>
                <w:szCs w:val="16"/>
              </w:rPr>
            </w:pPr>
            <w:r>
              <w:rPr>
                <w:sz w:val="16"/>
                <w:szCs w:val="16"/>
              </w:rPr>
              <w:t>0146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347CDFD" w14:textId="77777777" w:rsidR="00CD415F" w:rsidRDefault="00CD415F"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4B61DE1" w14:textId="77777777" w:rsidR="00CD415F" w:rsidRDefault="00CD415F"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9A518B5" w14:textId="511B5A29" w:rsidR="00CD415F" w:rsidRPr="00EA028E" w:rsidRDefault="00CD415F" w:rsidP="00BC0321">
            <w:pPr>
              <w:spacing w:after="0"/>
              <w:rPr>
                <w:rFonts w:ascii="Arial" w:hAnsi="Arial"/>
                <w:sz w:val="16"/>
              </w:rPr>
            </w:pPr>
            <w:r w:rsidRPr="00CD415F">
              <w:rPr>
                <w:rFonts w:ascii="Arial" w:hAnsi="Arial"/>
                <w:sz w:val="16"/>
              </w:rPr>
              <w:t>Clarify DCI Format 2_5 search space sets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DB194AB" w14:textId="77777777" w:rsidR="00CD415F" w:rsidRDefault="00CD415F" w:rsidP="00BC0321">
            <w:pPr>
              <w:pStyle w:val="TAL"/>
              <w:rPr>
                <w:sz w:val="16"/>
                <w:szCs w:val="16"/>
                <w:lang w:eastAsia="zh-CN"/>
              </w:rPr>
            </w:pPr>
            <w:r>
              <w:rPr>
                <w:sz w:val="16"/>
                <w:szCs w:val="16"/>
                <w:lang w:eastAsia="zh-CN"/>
              </w:rPr>
              <w:t>16.4.0</w:t>
            </w:r>
          </w:p>
        </w:tc>
      </w:tr>
      <w:tr w:rsidR="005D2DE1" w:rsidRPr="00B916EC" w14:paraId="36A1BCBD" w14:textId="77777777" w:rsidTr="005D2DE1">
        <w:tc>
          <w:tcPr>
            <w:tcW w:w="894" w:type="dxa"/>
            <w:tcBorders>
              <w:top w:val="single" w:sz="6" w:space="0" w:color="auto"/>
              <w:left w:val="single" w:sz="6" w:space="0" w:color="auto"/>
              <w:bottom w:val="single" w:sz="6" w:space="0" w:color="auto"/>
              <w:right w:val="single" w:sz="6" w:space="0" w:color="auto"/>
            </w:tcBorders>
            <w:shd w:val="solid" w:color="FFFFFF" w:fill="auto"/>
          </w:tcPr>
          <w:p w14:paraId="0C11BDF7" w14:textId="77777777" w:rsidR="005D2DE1" w:rsidRPr="00B916EC" w:rsidRDefault="005D2DE1"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FB15BB6" w14:textId="77777777" w:rsidR="005D2DE1" w:rsidRPr="00B916EC" w:rsidRDefault="005D2DE1"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2182AAF" w14:textId="302E73E1" w:rsidR="005D2DE1" w:rsidRDefault="005D2DE1" w:rsidP="00BC0321">
            <w:pPr>
              <w:pStyle w:val="TAL"/>
              <w:rPr>
                <w:sz w:val="16"/>
                <w:szCs w:val="16"/>
                <w:lang w:eastAsia="zh-CN"/>
              </w:rPr>
            </w:pPr>
            <w:r>
              <w:rPr>
                <w:sz w:val="16"/>
                <w:szCs w:val="16"/>
                <w:lang w:eastAsia="zh-CN"/>
              </w:rPr>
              <w:t>RP-202380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42A660D" w14:textId="42E4DED2" w:rsidR="005D2DE1" w:rsidRDefault="005D2DE1" w:rsidP="00BC0321">
            <w:pPr>
              <w:pStyle w:val="TAL"/>
              <w:rPr>
                <w:sz w:val="16"/>
                <w:szCs w:val="16"/>
              </w:rPr>
            </w:pPr>
            <w:r>
              <w:rPr>
                <w:sz w:val="16"/>
                <w:szCs w:val="16"/>
              </w:rPr>
              <w:t>0147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999B88C" w14:textId="77777777" w:rsidR="005D2DE1" w:rsidRDefault="005D2DE1"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94992B2" w14:textId="77777777" w:rsidR="005D2DE1" w:rsidRDefault="005D2DE1"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68DAD93" w14:textId="2392A619" w:rsidR="005D2DE1" w:rsidRPr="00EA028E" w:rsidRDefault="005D2DE1" w:rsidP="00BC0321">
            <w:pPr>
              <w:spacing w:after="0"/>
              <w:rPr>
                <w:rFonts w:ascii="Arial" w:hAnsi="Arial"/>
                <w:sz w:val="16"/>
              </w:rPr>
            </w:pPr>
            <w:r w:rsidRPr="005D2DE1">
              <w:rPr>
                <w:rFonts w:ascii="Arial" w:hAnsi="Arial"/>
                <w:sz w:val="16"/>
              </w:rPr>
              <w:t>CR on 2-step RACH for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448C45B" w14:textId="77777777" w:rsidR="005D2DE1" w:rsidRDefault="005D2DE1" w:rsidP="00BC0321">
            <w:pPr>
              <w:pStyle w:val="TAL"/>
              <w:rPr>
                <w:sz w:val="16"/>
                <w:szCs w:val="16"/>
                <w:lang w:eastAsia="zh-CN"/>
              </w:rPr>
            </w:pPr>
            <w:r>
              <w:rPr>
                <w:sz w:val="16"/>
                <w:szCs w:val="16"/>
                <w:lang w:eastAsia="zh-CN"/>
              </w:rPr>
              <w:t>16.4.0</w:t>
            </w:r>
          </w:p>
        </w:tc>
      </w:tr>
      <w:tr w:rsidR="00BA745E" w:rsidRPr="00B916EC" w14:paraId="5F7261F4" w14:textId="77777777" w:rsidTr="00BA745E">
        <w:tc>
          <w:tcPr>
            <w:tcW w:w="894" w:type="dxa"/>
            <w:tcBorders>
              <w:top w:val="single" w:sz="6" w:space="0" w:color="auto"/>
              <w:left w:val="single" w:sz="6" w:space="0" w:color="auto"/>
              <w:bottom w:val="single" w:sz="6" w:space="0" w:color="auto"/>
              <w:right w:val="single" w:sz="6" w:space="0" w:color="auto"/>
            </w:tcBorders>
            <w:shd w:val="solid" w:color="FFFFFF" w:fill="auto"/>
          </w:tcPr>
          <w:p w14:paraId="67324FFF" w14:textId="77777777" w:rsidR="00BA745E" w:rsidRPr="00B916EC" w:rsidRDefault="00BA745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033CABF" w14:textId="77777777" w:rsidR="00BA745E" w:rsidRPr="00B916EC" w:rsidRDefault="00BA745E"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DF5C473" w14:textId="349BD349" w:rsidR="00BA745E" w:rsidRDefault="00BA745E" w:rsidP="00BC0321">
            <w:pPr>
              <w:pStyle w:val="TAL"/>
              <w:rPr>
                <w:sz w:val="16"/>
                <w:szCs w:val="16"/>
                <w:lang w:eastAsia="zh-CN"/>
              </w:rPr>
            </w:pPr>
            <w:r>
              <w:rPr>
                <w:sz w:val="16"/>
                <w:szCs w:val="16"/>
                <w:lang w:eastAsia="zh-CN"/>
              </w:rPr>
              <w:t>RP-202385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87E390F" w14:textId="62578F9D" w:rsidR="00BA745E" w:rsidRDefault="00BA745E" w:rsidP="00BC0321">
            <w:pPr>
              <w:pStyle w:val="TAL"/>
              <w:rPr>
                <w:sz w:val="16"/>
                <w:szCs w:val="16"/>
              </w:rPr>
            </w:pPr>
            <w:r>
              <w:rPr>
                <w:sz w:val="16"/>
                <w:szCs w:val="16"/>
              </w:rPr>
              <w:t>0148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D5FC0A7" w14:textId="77777777" w:rsidR="00BA745E" w:rsidRDefault="00BA745E"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D6E9617" w14:textId="77777777" w:rsidR="00BA745E" w:rsidRDefault="00BA745E"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680DEE0" w14:textId="61E28F69" w:rsidR="00BA745E" w:rsidRPr="00EA028E" w:rsidRDefault="00BA745E" w:rsidP="00BC0321">
            <w:pPr>
              <w:spacing w:after="0"/>
              <w:rPr>
                <w:rFonts w:ascii="Arial" w:hAnsi="Arial"/>
                <w:sz w:val="16"/>
              </w:rPr>
            </w:pPr>
            <w:r w:rsidRPr="00BA745E">
              <w:rPr>
                <w:rFonts w:ascii="Arial" w:hAnsi="Arial"/>
                <w:sz w:val="16"/>
              </w:rPr>
              <w:t>Correction on UL power control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8F30E25" w14:textId="77777777" w:rsidR="00BA745E" w:rsidRDefault="00BA745E" w:rsidP="00BC0321">
            <w:pPr>
              <w:pStyle w:val="TAL"/>
              <w:rPr>
                <w:sz w:val="16"/>
                <w:szCs w:val="16"/>
                <w:lang w:eastAsia="zh-CN"/>
              </w:rPr>
            </w:pPr>
            <w:r>
              <w:rPr>
                <w:sz w:val="16"/>
                <w:szCs w:val="16"/>
                <w:lang w:eastAsia="zh-CN"/>
              </w:rPr>
              <w:t>16.4.0</w:t>
            </w:r>
          </w:p>
        </w:tc>
      </w:tr>
      <w:tr w:rsidR="00BA745E" w:rsidRPr="00B916EC" w14:paraId="21AB85CC" w14:textId="77777777" w:rsidTr="00BA745E">
        <w:tc>
          <w:tcPr>
            <w:tcW w:w="894" w:type="dxa"/>
            <w:tcBorders>
              <w:top w:val="single" w:sz="6" w:space="0" w:color="auto"/>
              <w:left w:val="single" w:sz="6" w:space="0" w:color="auto"/>
              <w:bottom w:val="single" w:sz="6" w:space="0" w:color="auto"/>
              <w:right w:val="single" w:sz="6" w:space="0" w:color="auto"/>
            </w:tcBorders>
            <w:shd w:val="solid" w:color="FFFFFF" w:fill="auto"/>
          </w:tcPr>
          <w:p w14:paraId="00873628" w14:textId="77777777" w:rsidR="00BA745E" w:rsidRPr="00B916EC" w:rsidRDefault="00BA745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E35545A" w14:textId="77777777" w:rsidR="00BA745E" w:rsidRPr="00B916EC" w:rsidRDefault="00BA745E"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EF1E6E6" w14:textId="36BCE669" w:rsidR="00BA745E" w:rsidRDefault="00BA745E" w:rsidP="00BC0321">
            <w:pPr>
              <w:pStyle w:val="TAL"/>
              <w:rPr>
                <w:sz w:val="16"/>
                <w:szCs w:val="16"/>
                <w:lang w:eastAsia="zh-CN"/>
              </w:rPr>
            </w:pPr>
            <w:r>
              <w:rPr>
                <w:sz w:val="16"/>
                <w:szCs w:val="16"/>
                <w:lang w:eastAsia="zh-CN"/>
              </w:rPr>
              <w:t>RP-202388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133E191" w14:textId="3149478B" w:rsidR="00BA745E" w:rsidRDefault="00BA745E" w:rsidP="00BC0321">
            <w:pPr>
              <w:pStyle w:val="TAL"/>
              <w:rPr>
                <w:sz w:val="16"/>
                <w:szCs w:val="16"/>
              </w:rPr>
            </w:pPr>
            <w:r>
              <w:rPr>
                <w:sz w:val="16"/>
                <w:szCs w:val="16"/>
              </w:rPr>
              <w:t>0149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E61539D" w14:textId="55F12B4E" w:rsidR="00BA745E" w:rsidRDefault="00BA745E"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6D18302" w14:textId="77777777" w:rsidR="00BA745E" w:rsidRDefault="00BA745E"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E9B9673" w14:textId="17F51163" w:rsidR="00BA745E" w:rsidRPr="00EA028E" w:rsidRDefault="00BA745E" w:rsidP="00BC0321">
            <w:pPr>
              <w:spacing w:after="0"/>
              <w:rPr>
                <w:rFonts w:ascii="Arial" w:hAnsi="Arial"/>
                <w:sz w:val="16"/>
              </w:rPr>
            </w:pPr>
            <w:r w:rsidRPr="00BA745E">
              <w:rPr>
                <w:rFonts w:ascii="Arial" w:hAnsi="Arial"/>
                <w:sz w:val="16"/>
              </w:rPr>
              <w:t>Correction on uplink transmission cancellation for DAPS handover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1E7B8DB" w14:textId="77777777" w:rsidR="00BA745E" w:rsidRDefault="00BA745E" w:rsidP="00BC0321">
            <w:pPr>
              <w:pStyle w:val="TAL"/>
              <w:rPr>
                <w:sz w:val="16"/>
                <w:szCs w:val="16"/>
                <w:lang w:eastAsia="zh-CN"/>
              </w:rPr>
            </w:pPr>
            <w:r>
              <w:rPr>
                <w:sz w:val="16"/>
                <w:szCs w:val="16"/>
                <w:lang w:eastAsia="zh-CN"/>
              </w:rPr>
              <w:t>16.4.0</w:t>
            </w:r>
          </w:p>
        </w:tc>
      </w:tr>
      <w:tr w:rsidR="007C2D2A" w:rsidRPr="00B916EC" w14:paraId="7E02DD2C" w14:textId="77777777" w:rsidTr="007C2D2A">
        <w:tc>
          <w:tcPr>
            <w:tcW w:w="894" w:type="dxa"/>
            <w:tcBorders>
              <w:top w:val="single" w:sz="6" w:space="0" w:color="auto"/>
              <w:left w:val="single" w:sz="6" w:space="0" w:color="auto"/>
              <w:bottom w:val="single" w:sz="6" w:space="0" w:color="auto"/>
              <w:right w:val="single" w:sz="6" w:space="0" w:color="auto"/>
            </w:tcBorders>
            <w:shd w:val="solid" w:color="FFFFFF" w:fill="auto"/>
          </w:tcPr>
          <w:p w14:paraId="3FF549A7" w14:textId="77777777" w:rsidR="007C2D2A" w:rsidRPr="00B916EC" w:rsidRDefault="007C2D2A"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01773F8" w14:textId="77777777" w:rsidR="007C2D2A" w:rsidRPr="00B916EC" w:rsidRDefault="007C2D2A"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EC8C4F0" w14:textId="77777777" w:rsidR="007C2D2A" w:rsidRDefault="007C2D2A" w:rsidP="00BC0321">
            <w:pPr>
              <w:pStyle w:val="TAL"/>
              <w:rPr>
                <w:sz w:val="16"/>
                <w:szCs w:val="16"/>
                <w:lang w:eastAsia="zh-CN"/>
              </w:rPr>
            </w:pPr>
            <w:r>
              <w:rPr>
                <w:sz w:val="16"/>
                <w:szCs w:val="16"/>
                <w:lang w:eastAsia="zh-CN"/>
              </w:rPr>
              <w:t>RP-202388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7380ED7" w14:textId="53687D28" w:rsidR="007C2D2A" w:rsidRDefault="007C2D2A" w:rsidP="00BC0321">
            <w:pPr>
              <w:pStyle w:val="TAL"/>
              <w:rPr>
                <w:sz w:val="16"/>
                <w:szCs w:val="16"/>
              </w:rPr>
            </w:pPr>
            <w:r>
              <w:rPr>
                <w:sz w:val="16"/>
                <w:szCs w:val="16"/>
              </w:rPr>
              <w:t>0150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C9E3E47" w14:textId="77777777" w:rsidR="007C2D2A" w:rsidRDefault="007C2D2A"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DC7DA0B" w14:textId="77777777" w:rsidR="007C2D2A" w:rsidRDefault="007C2D2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704D74C" w14:textId="166F1497" w:rsidR="007C2D2A" w:rsidRPr="00EA028E" w:rsidRDefault="007C2D2A" w:rsidP="00BC0321">
            <w:pPr>
              <w:spacing w:after="0"/>
              <w:rPr>
                <w:rFonts w:ascii="Arial" w:hAnsi="Arial"/>
                <w:sz w:val="16"/>
              </w:rPr>
            </w:pPr>
            <w:r w:rsidRPr="007C2D2A">
              <w:rPr>
                <w:rFonts w:ascii="Arial" w:hAnsi="Arial"/>
                <w:sz w:val="16"/>
              </w:rPr>
              <w:t>Correction on PUSCH processing capability for DAPS handover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FC46FD4" w14:textId="77777777" w:rsidR="007C2D2A" w:rsidRDefault="007C2D2A" w:rsidP="00BC0321">
            <w:pPr>
              <w:pStyle w:val="TAL"/>
              <w:rPr>
                <w:sz w:val="16"/>
                <w:szCs w:val="16"/>
                <w:lang w:eastAsia="zh-CN"/>
              </w:rPr>
            </w:pPr>
            <w:r>
              <w:rPr>
                <w:sz w:val="16"/>
                <w:szCs w:val="16"/>
                <w:lang w:eastAsia="zh-CN"/>
              </w:rPr>
              <w:t>16.4.0</w:t>
            </w:r>
          </w:p>
        </w:tc>
      </w:tr>
      <w:tr w:rsidR="007C2D2A" w:rsidRPr="00B916EC" w14:paraId="0CB33FD9" w14:textId="77777777" w:rsidTr="007C2D2A">
        <w:tc>
          <w:tcPr>
            <w:tcW w:w="894" w:type="dxa"/>
            <w:tcBorders>
              <w:top w:val="single" w:sz="6" w:space="0" w:color="auto"/>
              <w:left w:val="single" w:sz="6" w:space="0" w:color="auto"/>
              <w:bottom w:val="single" w:sz="6" w:space="0" w:color="auto"/>
              <w:right w:val="single" w:sz="6" w:space="0" w:color="auto"/>
            </w:tcBorders>
            <w:shd w:val="solid" w:color="FFFFFF" w:fill="auto"/>
          </w:tcPr>
          <w:p w14:paraId="274EF91D" w14:textId="77777777" w:rsidR="007C2D2A" w:rsidRPr="00B916EC" w:rsidRDefault="007C2D2A"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BB78A28" w14:textId="77777777" w:rsidR="007C2D2A" w:rsidRPr="00B916EC" w:rsidRDefault="007C2D2A"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B3BD1FB" w14:textId="77777777" w:rsidR="007C2D2A" w:rsidRDefault="007C2D2A" w:rsidP="00BC0321">
            <w:pPr>
              <w:pStyle w:val="TAL"/>
              <w:rPr>
                <w:sz w:val="16"/>
                <w:szCs w:val="16"/>
                <w:lang w:eastAsia="zh-CN"/>
              </w:rPr>
            </w:pPr>
            <w:r>
              <w:rPr>
                <w:sz w:val="16"/>
                <w:szCs w:val="16"/>
                <w:lang w:eastAsia="zh-CN"/>
              </w:rPr>
              <w:t>RP-202388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0F385E3" w14:textId="3E9B63A5" w:rsidR="007C2D2A" w:rsidRDefault="007C2D2A" w:rsidP="00BC0321">
            <w:pPr>
              <w:pStyle w:val="TAL"/>
              <w:rPr>
                <w:sz w:val="16"/>
                <w:szCs w:val="16"/>
              </w:rPr>
            </w:pPr>
            <w:r>
              <w:rPr>
                <w:sz w:val="16"/>
                <w:szCs w:val="16"/>
              </w:rPr>
              <w:t>0151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9645179" w14:textId="77777777" w:rsidR="007C2D2A" w:rsidRDefault="007C2D2A"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8965A1D" w14:textId="77777777" w:rsidR="007C2D2A" w:rsidRDefault="007C2D2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B0BC521" w14:textId="209F65E2" w:rsidR="007C2D2A" w:rsidRPr="00EA028E" w:rsidRDefault="007C2D2A" w:rsidP="00BC0321">
            <w:pPr>
              <w:spacing w:after="0"/>
              <w:rPr>
                <w:rFonts w:ascii="Arial" w:hAnsi="Arial"/>
                <w:sz w:val="16"/>
              </w:rPr>
            </w:pPr>
            <w:r w:rsidRPr="007C2D2A">
              <w:rPr>
                <w:rFonts w:ascii="Arial" w:hAnsi="Arial"/>
                <w:sz w:val="16"/>
              </w:rPr>
              <w:t>Correction on intra-frequency DAPS handover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965E79" w14:textId="77777777" w:rsidR="007C2D2A" w:rsidRDefault="007C2D2A" w:rsidP="00BC0321">
            <w:pPr>
              <w:pStyle w:val="TAL"/>
              <w:rPr>
                <w:sz w:val="16"/>
                <w:szCs w:val="16"/>
                <w:lang w:eastAsia="zh-CN"/>
              </w:rPr>
            </w:pPr>
            <w:r>
              <w:rPr>
                <w:sz w:val="16"/>
                <w:szCs w:val="16"/>
                <w:lang w:eastAsia="zh-CN"/>
              </w:rPr>
              <w:t>16.4.0</w:t>
            </w:r>
          </w:p>
        </w:tc>
      </w:tr>
      <w:tr w:rsidR="006959EE" w:rsidRPr="00B916EC" w14:paraId="6FFDB08C" w14:textId="77777777" w:rsidTr="006959EE">
        <w:tc>
          <w:tcPr>
            <w:tcW w:w="894" w:type="dxa"/>
            <w:tcBorders>
              <w:top w:val="single" w:sz="6" w:space="0" w:color="auto"/>
              <w:left w:val="single" w:sz="6" w:space="0" w:color="auto"/>
              <w:bottom w:val="single" w:sz="6" w:space="0" w:color="auto"/>
              <w:right w:val="single" w:sz="6" w:space="0" w:color="auto"/>
            </w:tcBorders>
            <w:shd w:val="solid" w:color="FFFFFF" w:fill="auto"/>
          </w:tcPr>
          <w:p w14:paraId="66933A74" w14:textId="77777777" w:rsidR="006959EE" w:rsidRPr="00B916EC" w:rsidRDefault="006959E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9366DE6" w14:textId="77777777" w:rsidR="006959EE" w:rsidRPr="00B916EC" w:rsidRDefault="006959EE"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822F0C2" w14:textId="3B17EB8A" w:rsidR="006959EE" w:rsidRDefault="006959EE" w:rsidP="00BC0321">
            <w:pPr>
              <w:pStyle w:val="TAL"/>
              <w:rPr>
                <w:sz w:val="16"/>
                <w:szCs w:val="16"/>
                <w:lang w:eastAsia="zh-CN"/>
              </w:rPr>
            </w:pPr>
            <w:r>
              <w:rPr>
                <w:sz w:val="16"/>
                <w:szCs w:val="16"/>
                <w:lang w:eastAsia="zh-CN"/>
              </w:rPr>
              <w:t>RP-202383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F7B4B5E" w14:textId="4AFEDAE9" w:rsidR="006959EE" w:rsidRDefault="006959EE" w:rsidP="00BC0321">
            <w:pPr>
              <w:pStyle w:val="TAL"/>
              <w:rPr>
                <w:sz w:val="16"/>
                <w:szCs w:val="16"/>
              </w:rPr>
            </w:pPr>
            <w:r>
              <w:rPr>
                <w:sz w:val="16"/>
                <w:szCs w:val="16"/>
              </w:rPr>
              <w:t>0152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8074FF4" w14:textId="5559FE34" w:rsidR="006959EE" w:rsidRDefault="006959EE"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B9338C0" w14:textId="77777777" w:rsidR="006959EE" w:rsidRDefault="006959EE"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9F51A48" w14:textId="6DE044BD" w:rsidR="006959EE" w:rsidRPr="00EA028E" w:rsidRDefault="006959EE" w:rsidP="00BC0321">
            <w:pPr>
              <w:spacing w:after="0"/>
              <w:rPr>
                <w:rFonts w:ascii="Arial" w:hAnsi="Arial"/>
                <w:sz w:val="16"/>
              </w:rPr>
            </w:pPr>
            <w:r w:rsidRPr="006959EE">
              <w:rPr>
                <w:rFonts w:ascii="Arial" w:hAnsi="Arial"/>
                <w:sz w:val="16"/>
              </w:rPr>
              <w:t>Corrections on the use of TDRA and FDRA fields SCI for Mode 1</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AFE11CD" w14:textId="77777777" w:rsidR="006959EE" w:rsidRDefault="006959EE" w:rsidP="00BC0321">
            <w:pPr>
              <w:pStyle w:val="TAL"/>
              <w:rPr>
                <w:sz w:val="16"/>
                <w:szCs w:val="16"/>
                <w:lang w:eastAsia="zh-CN"/>
              </w:rPr>
            </w:pPr>
            <w:r>
              <w:rPr>
                <w:sz w:val="16"/>
                <w:szCs w:val="16"/>
                <w:lang w:eastAsia="zh-CN"/>
              </w:rPr>
              <w:t>16.4.0</w:t>
            </w:r>
          </w:p>
        </w:tc>
      </w:tr>
      <w:tr w:rsidR="006959EE" w:rsidRPr="00B916EC" w14:paraId="63063221" w14:textId="77777777" w:rsidTr="006959EE">
        <w:tc>
          <w:tcPr>
            <w:tcW w:w="894" w:type="dxa"/>
            <w:tcBorders>
              <w:top w:val="single" w:sz="6" w:space="0" w:color="auto"/>
              <w:left w:val="single" w:sz="6" w:space="0" w:color="auto"/>
              <w:bottom w:val="single" w:sz="6" w:space="0" w:color="auto"/>
              <w:right w:val="single" w:sz="6" w:space="0" w:color="auto"/>
            </w:tcBorders>
            <w:shd w:val="solid" w:color="FFFFFF" w:fill="auto"/>
          </w:tcPr>
          <w:p w14:paraId="18852EED" w14:textId="77777777" w:rsidR="006959EE" w:rsidRPr="00B916EC" w:rsidRDefault="006959E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865F1FE" w14:textId="77777777" w:rsidR="006959EE" w:rsidRPr="00B916EC" w:rsidRDefault="006959EE"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A018A73" w14:textId="77777777" w:rsidR="006959EE" w:rsidRDefault="006959EE" w:rsidP="00BC0321">
            <w:pPr>
              <w:pStyle w:val="TAL"/>
              <w:rPr>
                <w:sz w:val="16"/>
                <w:szCs w:val="16"/>
                <w:lang w:eastAsia="zh-CN"/>
              </w:rPr>
            </w:pPr>
            <w:r>
              <w:rPr>
                <w:sz w:val="16"/>
                <w:szCs w:val="16"/>
                <w:lang w:eastAsia="zh-CN"/>
              </w:rPr>
              <w:t>RP-202383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82903D6" w14:textId="6A9E4D05" w:rsidR="006959EE" w:rsidRDefault="006959EE" w:rsidP="00BC0321">
            <w:pPr>
              <w:pStyle w:val="TAL"/>
              <w:rPr>
                <w:sz w:val="16"/>
                <w:szCs w:val="16"/>
              </w:rPr>
            </w:pPr>
            <w:r>
              <w:rPr>
                <w:sz w:val="16"/>
                <w:szCs w:val="16"/>
              </w:rPr>
              <w:t>0153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885336F" w14:textId="77777777" w:rsidR="006959EE" w:rsidRDefault="006959EE"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9130B8F" w14:textId="77777777" w:rsidR="006959EE" w:rsidRDefault="006959EE"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AAF2572" w14:textId="40BCF0A4" w:rsidR="006959EE" w:rsidRPr="00EA028E" w:rsidRDefault="006959EE" w:rsidP="00BC0321">
            <w:pPr>
              <w:spacing w:after="0"/>
              <w:rPr>
                <w:rFonts w:ascii="Arial" w:hAnsi="Arial"/>
                <w:sz w:val="16"/>
              </w:rPr>
            </w:pPr>
            <w:r w:rsidRPr="006959EE">
              <w:rPr>
                <w:rFonts w:ascii="Arial" w:hAnsi="Arial"/>
                <w:sz w:val="16"/>
              </w:rPr>
              <w:t>Corrections for the prioritization between uplink transmission and sidelink transmission/reception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C3C5E9A" w14:textId="77777777" w:rsidR="006959EE" w:rsidRDefault="006959EE" w:rsidP="00BC0321">
            <w:pPr>
              <w:pStyle w:val="TAL"/>
              <w:rPr>
                <w:sz w:val="16"/>
                <w:szCs w:val="16"/>
                <w:lang w:eastAsia="zh-CN"/>
              </w:rPr>
            </w:pPr>
            <w:r>
              <w:rPr>
                <w:sz w:val="16"/>
                <w:szCs w:val="16"/>
                <w:lang w:eastAsia="zh-CN"/>
              </w:rPr>
              <w:t>16.4.0</w:t>
            </w:r>
          </w:p>
        </w:tc>
      </w:tr>
      <w:tr w:rsidR="00043627" w:rsidRPr="00B916EC" w14:paraId="71C8EEFA" w14:textId="77777777" w:rsidTr="00043627">
        <w:tc>
          <w:tcPr>
            <w:tcW w:w="894" w:type="dxa"/>
            <w:tcBorders>
              <w:top w:val="single" w:sz="6" w:space="0" w:color="auto"/>
              <w:left w:val="single" w:sz="6" w:space="0" w:color="auto"/>
              <w:bottom w:val="single" w:sz="6" w:space="0" w:color="auto"/>
              <w:right w:val="single" w:sz="6" w:space="0" w:color="auto"/>
            </w:tcBorders>
            <w:shd w:val="solid" w:color="FFFFFF" w:fill="auto"/>
          </w:tcPr>
          <w:p w14:paraId="6B614E56" w14:textId="77777777" w:rsidR="00043627" w:rsidRPr="00B916EC" w:rsidRDefault="00043627"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F072032" w14:textId="77777777" w:rsidR="00043627" w:rsidRPr="00B916EC" w:rsidRDefault="00043627"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F6AE7D2" w14:textId="77777777" w:rsidR="00043627" w:rsidRDefault="00043627" w:rsidP="00BC0321">
            <w:pPr>
              <w:pStyle w:val="TAL"/>
              <w:rPr>
                <w:sz w:val="16"/>
                <w:szCs w:val="16"/>
                <w:lang w:eastAsia="zh-CN"/>
              </w:rPr>
            </w:pPr>
            <w:r>
              <w:rPr>
                <w:sz w:val="16"/>
                <w:szCs w:val="16"/>
                <w:lang w:eastAsia="zh-CN"/>
              </w:rPr>
              <w:t>RP-202383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34C2BF8" w14:textId="4C8C4B81" w:rsidR="00043627" w:rsidRDefault="00043627" w:rsidP="00BC0321">
            <w:pPr>
              <w:pStyle w:val="TAL"/>
              <w:rPr>
                <w:sz w:val="16"/>
                <w:szCs w:val="16"/>
              </w:rPr>
            </w:pPr>
            <w:r>
              <w:rPr>
                <w:sz w:val="16"/>
                <w:szCs w:val="16"/>
              </w:rPr>
              <w:t>0154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C3FAA46" w14:textId="77777777" w:rsidR="00043627" w:rsidRDefault="00043627"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1742FD3" w14:textId="77777777" w:rsidR="00043627" w:rsidRDefault="00043627"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15B76CF" w14:textId="1AA4094F" w:rsidR="00043627" w:rsidRPr="00EA028E" w:rsidRDefault="00043627" w:rsidP="00BC0321">
            <w:pPr>
              <w:spacing w:after="0"/>
              <w:rPr>
                <w:rFonts w:ascii="Arial" w:hAnsi="Arial"/>
                <w:sz w:val="16"/>
              </w:rPr>
            </w:pPr>
            <w:r w:rsidRPr="00043627">
              <w:rPr>
                <w:rFonts w:ascii="Arial" w:hAnsi="Arial"/>
                <w:sz w:val="16"/>
              </w:rPr>
              <w:t>Corrections related to the sidelink slot index</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CE9D624" w14:textId="77777777" w:rsidR="00043627" w:rsidRDefault="00043627" w:rsidP="00BC0321">
            <w:pPr>
              <w:pStyle w:val="TAL"/>
              <w:rPr>
                <w:sz w:val="16"/>
                <w:szCs w:val="16"/>
                <w:lang w:eastAsia="zh-CN"/>
              </w:rPr>
            </w:pPr>
            <w:r>
              <w:rPr>
                <w:sz w:val="16"/>
                <w:szCs w:val="16"/>
                <w:lang w:eastAsia="zh-CN"/>
              </w:rPr>
              <w:t>16.4.0</w:t>
            </w:r>
          </w:p>
        </w:tc>
      </w:tr>
      <w:tr w:rsidR="00043627" w:rsidRPr="00B916EC" w14:paraId="4E501A86" w14:textId="77777777" w:rsidTr="00043627">
        <w:tc>
          <w:tcPr>
            <w:tcW w:w="894" w:type="dxa"/>
            <w:tcBorders>
              <w:top w:val="single" w:sz="6" w:space="0" w:color="auto"/>
              <w:left w:val="single" w:sz="6" w:space="0" w:color="auto"/>
              <w:bottom w:val="single" w:sz="6" w:space="0" w:color="auto"/>
              <w:right w:val="single" w:sz="6" w:space="0" w:color="auto"/>
            </w:tcBorders>
            <w:shd w:val="solid" w:color="FFFFFF" w:fill="auto"/>
          </w:tcPr>
          <w:p w14:paraId="7BE9E94F" w14:textId="77777777" w:rsidR="00043627" w:rsidRPr="00B916EC" w:rsidRDefault="00043627"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7A8711C" w14:textId="77777777" w:rsidR="00043627" w:rsidRPr="00B916EC" w:rsidRDefault="00043627"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4083149" w14:textId="77777777" w:rsidR="00043627" w:rsidRDefault="00043627" w:rsidP="00BC0321">
            <w:pPr>
              <w:pStyle w:val="TAL"/>
              <w:rPr>
                <w:sz w:val="16"/>
                <w:szCs w:val="16"/>
                <w:lang w:eastAsia="zh-CN"/>
              </w:rPr>
            </w:pPr>
            <w:r>
              <w:rPr>
                <w:sz w:val="16"/>
                <w:szCs w:val="16"/>
                <w:lang w:eastAsia="zh-CN"/>
              </w:rPr>
              <w:t>RP-202383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957AFDB" w14:textId="5C2760AD" w:rsidR="00043627" w:rsidRDefault="00043627" w:rsidP="00BC0321">
            <w:pPr>
              <w:pStyle w:val="TAL"/>
              <w:rPr>
                <w:sz w:val="16"/>
                <w:szCs w:val="16"/>
              </w:rPr>
            </w:pPr>
            <w:r>
              <w:rPr>
                <w:sz w:val="16"/>
                <w:szCs w:val="16"/>
              </w:rPr>
              <w:t>0155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4026BF4" w14:textId="77777777" w:rsidR="00043627" w:rsidRDefault="00043627"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BF4522C" w14:textId="77777777" w:rsidR="00043627" w:rsidRDefault="00043627"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701365B" w14:textId="375C8941" w:rsidR="00043627" w:rsidRPr="00EA028E" w:rsidRDefault="00043627" w:rsidP="00BC0321">
            <w:pPr>
              <w:spacing w:after="0"/>
              <w:rPr>
                <w:rFonts w:ascii="Arial" w:hAnsi="Arial"/>
                <w:sz w:val="16"/>
              </w:rPr>
            </w:pPr>
            <w:r w:rsidRPr="00043627">
              <w:rPr>
                <w:rFonts w:ascii="Arial" w:hAnsi="Arial"/>
                <w:sz w:val="16"/>
              </w:rPr>
              <w:t>Correction on sidelink pathloss calculation for S-SSB power control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48F08C5" w14:textId="77777777" w:rsidR="00043627" w:rsidRDefault="00043627" w:rsidP="00BC0321">
            <w:pPr>
              <w:pStyle w:val="TAL"/>
              <w:rPr>
                <w:sz w:val="16"/>
                <w:szCs w:val="16"/>
                <w:lang w:eastAsia="zh-CN"/>
              </w:rPr>
            </w:pPr>
            <w:r>
              <w:rPr>
                <w:sz w:val="16"/>
                <w:szCs w:val="16"/>
                <w:lang w:eastAsia="zh-CN"/>
              </w:rPr>
              <w:t>16.4.0</w:t>
            </w:r>
          </w:p>
        </w:tc>
      </w:tr>
      <w:tr w:rsidR="009F6EA2" w:rsidRPr="00B916EC" w14:paraId="5219D79E" w14:textId="77777777" w:rsidTr="009F6EA2">
        <w:tc>
          <w:tcPr>
            <w:tcW w:w="894" w:type="dxa"/>
            <w:tcBorders>
              <w:top w:val="single" w:sz="6" w:space="0" w:color="auto"/>
              <w:left w:val="single" w:sz="6" w:space="0" w:color="auto"/>
              <w:bottom w:val="single" w:sz="6" w:space="0" w:color="auto"/>
              <w:right w:val="single" w:sz="6" w:space="0" w:color="auto"/>
            </w:tcBorders>
            <w:shd w:val="solid" w:color="FFFFFF" w:fill="auto"/>
          </w:tcPr>
          <w:p w14:paraId="7E1095C3" w14:textId="77777777" w:rsidR="009F6EA2" w:rsidRPr="00B916EC" w:rsidRDefault="009F6EA2"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D4E62F5" w14:textId="77777777" w:rsidR="009F6EA2" w:rsidRPr="00B916EC" w:rsidRDefault="009F6EA2"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3373A6E" w14:textId="77777777" w:rsidR="009F6EA2" w:rsidRDefault="009F6EA2" w:rsidP="00BC0321">
            <w:pPr>
              <w:pStyle w:val="TAL"/>
              <w:rPr>
                <w:sz w:val="16"/>
                <w:szCs w:val="16"/>
                <w:lang w:eastAsia="zh-CN"/>
              </w:rPr>
            </w:pPr>
            <w:r>
              <w:rPr>
                <w:sz w:val="16"/>
                <w:szCs w:val="16"/>
                <w:lang w:eastAsia="zh-CN"/>
              </w:rPr>
              <w:t>RP-202383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8C9573E" w14:textId="0829237D" w:rsidR="009F6EA2" w:rsidRDefault="009F6EA2" w:rsidP="00BC0321">
            <w:pPr>
              <w:pStyle w:val="TAL"/>
              <w:rPr>
                <w:sz w:val="16"/>
                <w:szCs w:val="16"/>
              </w:rPr>
            </w:pPr>
            <w:r>
              <w:rPr>
                <w:sz w:val="16"/>
                <w:szCs w:val="16"/>
              </w:rPr>
              <w:t>0156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F24B1B9" w14:textId="575D5B57" w:rsidR="009F6EA2" w:rsidRDefault="009F6EA2"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DC2FBFF" w14:textId="77777777" w:rsidR="009F6EA2" w:rsidRDefault="009F6EA2"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C4A2DCA" w14:textId="6887DCB3" w:rsidR="009F6EA2" w:rsidRPr="00EA028E" w:rsidRDefault="009F6EA2" w:rsidP="00BC0321">
            <w:pPr>
              <w:spacing w:after="0"/>
              <w:rPr>
                <w:rFonts w:ascii="Arial" w:hAnsi="Arial"/>
                <w:sz w:val="16"/>
              </w:rPr>
            </w:pPr>
            <w:r w:rsidRPr="009F6EA2">
              <w:rPr>
                <w:rFonts w:ascii="Arial" w:hAnsi="Arial"/>
                <w:sz w:val="16"/>
              </w:rPr>
              <w:t>Correction on sidelink TDD configuration for OoC UEs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4CB9B83" w14:textId="77777777" w:rsidR="009F6EA2" w:rsidRDefault="009F6EA2" w:rsidP="00BC0321">
            <w:pPr>
              <w:pStyle w:val="TAL"/>
              <w:rPr>
                <w:sz w:val="16"/>
                <w:szCs w:val="16"/>
                <w:lang w:eastAsia="zh-CN"/>
              </w:rPr>
            </w:pPr>
            <w:r>
              <w:rPr>
                <w:sz w:val="16"/>
                <w:szCs w:val="16"/>
                <w:lang w:eastAsia="zh-CN"/>
              </w:rPr>
              <w:t>16.4.0</w:t>
            </w:r>
          </w:p>
        </w:tc>
      </w:tr>
      <w:tr w:rsidR="009F6EA2" w:rsidRPr="00B916EC" w14:paraId="1830CB0A" w14:textId="77777777" w:rsidTr="009F6EA2">
        <w:tc>
          <w:tcPr>
            <w:tcW w:w="894" w:type="dxa"/>
            <w:tcBorders>
              <w:top w:val="single" w:sz="6" w:space="0" w:color="auto"/>
              <w:left w:val="single" w:sz="6" w:space="0" w:color="auto"/>
              <w:bottom w:val="single" w:sz="6" w:space="0" w:color="auto"/>
              <w:right w:val="single" w:sz="6" w:space="0" w:color="auto"/>
            </w:tcBorders>
            <w:shd w:val="solid" w:color="FFFFFF" w:fill="auto"/>
          </w:tcPr>
          <w:p w14:paraId="625589CC" w14:textId="77777777" w:rsidR="009F6EA2" w:rsidRPr="00B916EC" w:rsidRDefault="009F6EA2"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6943406" w14:textId="77777777" w:rsidR="009F6EA2" w:rsidRPr="00B916EC" w:rsidRDefault="009F6EA2"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E9C86A5" w14:textId="6DF418FF" w:rsidR="009F6EA2" w:rsidRDefault="009F6EA2" w:rsidP="00BC0321">
            <w:pPr>
              <w:pStyle w:val="TAL"/>
              <w:rPr>
                <w:sz w:val="16"/>
                <w:szCs w:val="16"/>
                <w:lang w:eastAsia="zh-CN"/>
              </w:rPr>
            </w:pPr>
            <w:r>
              <w:rPr>
                <w:sz w:val="16"/>
                <w:szCs w:val="16"/>
                <w:lang w:eastAsia="zh-CN"/>
              </w:rPr>
              <w:t>RP-202379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5E6582F" w14:textId="54F5853E" w:rsidR="009F6EA2" w:rsidRDefault="009F6EA2" w:rsidP="00BC0321">
            <w:pPr>
              <w:pStyle w:val="TAL"/>
              <w:rPr>
                <w:sz w:val="16"/>
                <w:szCs w:val="16"/>
              </w:rPr>
            </w:pPr>
            <w:r>
              <w:rPr>
                <w:sz w:val="16"/>
                <w:szCs w:val="16"/>
              </w:rPr>
              <w:t>0158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0D1E0D0" w14:textId="0E27349F" w:rsidR="009F6EA2" w:rsidRDefault="009F6EA2"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EAA47F5" w14:textId="06924394" w:rsidR="009F6EA2" w:rsidRDefault="009F6EA2"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59744EB" w14:textId="5C535479" w:rsidR="009F6EA2" w:rsidRPr="00EA028E" w:rsidRDefault="009F6EA2" w:rsidP="00BC0321">
            <w:pPr>
              <w:spacing w:after="0"/>
              <w:rPr>
                <w:rFonts w:ascii="Arial" w:hAnsi="Arial"/>
                <w:sz w:val="16"/>
              </w:rPr>
            </w:pPr>
            <w:r w:rsidRPr="009F6EA2">
              <w:rPr>
                <w:rFonts w:ascii="Arial" w:hAnsi="Arial"/>
                <w:sz w:val="16"/>
              </w:rPr>
              <w:t>Correction on HARQ-ACK generation for DL transmission with single TB when multi-TB is configured</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73BB238" w14:textId="77777777" w:rsidR="009F6EA2" w:rsidRDefault="009F6EA2" w:rsidP="00BC0321">
            <w:pPr>
              <w:pStyle w:val="TAL"/>
              <w:rPr>
                <w:sz w:val="16"/>
                <w:szCs w:val="16"/>
                <w:lang w:eastAsia="zh-CN"/>
              </w:rPr>
            </w:pPr>
            <w:r>
              <w:rPr>
                <w:sz w:val="16"/>
                <w:szCs w:val="16"/>
                <w:lang w:eastAsia="zh-CN"/>
              </w:rPr>
              <w:t>16.4.0</w:t>
            </w:r>
          </w:p>
        </w:tc>
      </w:tr>
      <w:tr w:rsidR="00511D2E" w:rsidRPr="00B916EC" w14:paraId="04146B59" w14:textId="77777777" w:rsidTr="00511D2E">
        <w:tc>
          <w:tcPr>
            <w:tcW w:w="894" w:type="dxa"/>
            <w:tcBorders>
              <w:top w:val="single" w:sz="6" w:space="0" w:color="auto"/>
              <w:left w:val="single" w:sz="6" w:space="0" w:color="auto"/>
              <w:bottom w:val="single" w:sz="6" w:space="0" w:color="auto"/>
              <w:right w:val="single" w:sz="6" w:space="0" w:color="auto"/>
            </w:tcBorders>
            <w:shd w:val="solid" w:color="FFFFFF" w:fill="auto"/>
          </w:tcPr>
          <w:p w14:paraId="0B9B3B30" w14:textId="77777777" w:rsidR="00511D2E" w:rsidRPr="00B916EC" w:rsidRDefault="00511D2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D3A5556" w14:textId="77777777" w:rsidR="00511D2E" w:rsidRPr="00B916EC" w:rsidRDefault="00511D2E"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1E8A73A" w14:textId="43ACD88D" w:rsidR="00511D2E" w:rsidRDefault="00511D2E" w:rsidP="00BC0321">
            <w:pPr>
              <w:pStyle w:val="TAL"/>
              <w:rPr>
                <w:sz w:val="16"/>
                <w:szCs w:val="16"/>
                <w:lang w:eastAsia="zh-CN"/>
              </w:rPr>
            </w:pPr>
            <w:r>
              <w:rPr>
                <w:sz w:val="16"/>
                <w:szCs w:val="16"/>
                <w:lang w:eastAsia="zh-CN"/>
              </w:rPr>
              <w:t>RP-202381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5640D85" w14:textId="3DCED30D" w:rsidR="00511D2E" w:rsidRDefault="00511D2E" w:rsidP="00BC0321">
            <w:pPr>
              <w:pStyle w:val="TAL"/>
              <w:rPr>
                <w:sz w:val="16"/>
                <w:szCs w:val="16"/>
              </w:rPr>
            </w:pPr>
            <w:r>
              <w:rPr>
                <w:sz w:val="16"/>
                <w:szCs w:val="16"/>
              </w:rPr>
              <w:t>0159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A67A307" w14:textId="77777777" w:rsidR="00511D2E" w:rsidRDefault="00511D2E"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4E5F2D3" w14:textId="05D8362A" w:rsidR="00511D2E" w:rsidRDefault="00511D2E"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4A153BB" w14:textId="7BBAC782" w:rsidR="00511D2E" w:rsidRPr="00EA028E" w:rsidRDefault="00511D2E" w:rsidP="00BC0321">
            <w:pPr>
              <w:spacing w:after="0"/>
              <w:rPr>
                <w:rFonts w:ascii="Arial" w:hAnsi="Arial"/>
                <w:sz w:val="16"/>
              </w:rPr>
            </w:pPr>
            <w:r w:rsidRPr="00511D2E">
              <w:rPr>
                <w:rFonts w:ascii="Arial" w:hAnsi="Arial"/>
                <w:sz w:val="16"/>
              </w:rPr>
              <w:t>Miscellaneous corrections on NR unlicensed configured grant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C1606EC" w14:textId="77777777" w:rsidR="00511D2E" w:rsidRDefault="00511D2E" w:rsidP="00BC0321">
            <w:pPr>
              <w:pStyle w:val="TAL"/>
              <w:rPr>
                <w:sz w:val="16"/>
                <w:szCs w:val="16"/>
                <w:lang w:eastAsia="zh-CN"/>
              </w:rPr>
            </w:pPr>
            <w:r>
              <w:rPr>
                <w:sz w:val="16"/>
                <w:szCs w:val="16"/>
                <w:lang w:eastAsia="zh-CN"/>
              </w:rPr>
              <w:t>16.4.0</w:t>
            </w:r>
          </w:p>
        </w:tc>
      </w:tr>
      <w:tr w:rsidR="00511D2E" w:rsidRPr="00B916EC" w14:paraId="3EC7662B" w14:textId="77777777" w:rsidTr="00511D2E">
        <w:tc>
          <w:tcPr>
            <w:tcW w:w="894" w:type="dxa"/>
            <w:tcBorders>
              <w:top w:val="single" w:sz="6" w:space="0" w:color="auto"/>
              <w:left w:val="single" w:sz="6" w:space="0" w:color="auto"/>
              <w:bottom w:val="single" w:sz="6" w:space="0" w:color="auto"/>
              <w:right w:val="single" w:sz="6" w:space="0" w:color="auto"/>
            </w:tcBorders>
            <w:shd w:val="solid" w:color="FFFFFF" w:fill="auto"/>
          </w:tcPr>
          <w:p w14:paraId="7FC7657E" w14:textId="77777777" w:rsidR="00511D2E" w:rsidRPr="00B916EC" w:rsidRDefault="00511D2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F8D9E5E" w14:textId="77777777" w:rsidR="00511D2E" w:rsidRPr="00B916EC" w:rsidRDefault="00511D2E"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7014A74" w14:textId="65E07BB5" w:rsidR="00511D2E" w:rsidRDefault="00511D2E" w:rsidP="00BC0321">
            <w:pPr>
              <w:pStyle w:val="TAL"/>
              <w:rPr>
                <w:sz w:val="16"/>
                <w:szCs w:val="16"/>
                <w:lang w:eastAsia="zh-CN"/>
              </w:rPr>
            </w:pPr>
            <w:r>
              <w:rPr>
                <w:sz w:val="16"/>
                <w:szCs w:val="16"/>
                <w:lang w:eastAsia="zh-CN"/>
              </w:rPr>
              <w:t>RP-202383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791F080" w14:textId="37338846" w:rsidR="00511D2E" w:rsidRDefault="00511D2E" w:rsidP="00BC0321">
            <w:pPr>
              <w:pStyle w:val="TAL"/>
              <w:rPr>
                <w:sz w:val="16"/>
                <w:szCs w:val="16"/>
              </w:rPr>
            </w:pPr>
            <w:r>
              <w:rPr>
                <w:sz w:val="16"/>
                <w:szCs w:val="16"/>
              </w:rPr>
              <w:t>0160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4C4265C" w14:textId="77777777" w:rsidR="00511D2E" w:rsidRDefault="00511D2E"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4005252" w14:textId="77777777" w:rsidR="00511D2E" w:rsidRDefault="00511D2E"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B62BE6C" w14:textId="11674F93" w:rsidR="00511D2E" w:rsidRPr="00EA028E" w:rsidRDefault="00511D2E" w:rsidP="00BC0321">
            <w:pPr>
              <w:spacing w:after="0"/>
              <w:rPr>
                <w:rFonts w:ascii="Arial" w:hAnsi="Arial"/>
                <w:sz w:val="16"/>
              </w:rPr>
            </w:pPr>
            <w:r w:rsidRPr="00511D2E">
              <w:rPr>
                <w:rFonts w:ascii="Arial" w:hAnsi="Arial"/>
                <w:sz w:val="16"/>
              </w:rPr>
              <w:t>Introduction of the preparation time for SL retransmissions in Mode 1</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6301CA3" w14:textId="77777777" w:rsidR="00511D2E" w:rsidRDefault="00511D2E" w:rsidP="00BC0321">
            <w:pPr>
              <w:pStyle w:val="TAL"/>
              <w:rPr>
                <w:sz w:val="16"/>
                <w:szCs w:val="16"/>
                <w:lang w:eastAsia="zh-CN"/>
              </w:rPr>
            </w:pPr>
            <w:r>
              <w:rPr>
                <w:sz w:val="16"/>
                <w:szCs w:val="16"/>
                <w:lang w:eastAsia="zh-CN"/>
              </w:rPr>
              <w:t>16.4.0</w:t>
            </w:r>
          </w:p>
        </w:tc>
      </w:tr>
      <w:tr w:rsidR="00951954" w:rsidRPr="00B916EC" w14:paraId="7F0A32FA" w14:textId="77777777" w:rsidTr="00951954">
        <w:tc>
          <w:tcPr>
            <w:tcW w:w="894" w:type="dxa"/>
            <w:tcBorders>
              <w:top w:val="single" w:sz="6" w:space="0" w:color="auto"/>
              <w:left w:val="single" w:sz="6" w:space="0" w:color="auto"/>
              <w:bottom w:val="single" w:sz="6" w:space="0" w:color="auto"/>
              <w:right w:val="single" w:sz="6" w:space="0" w:color="auto"/>
            </w:tcBorders>
            <w:shd w:val="solid" w:color="FFFFFF" w:fill="auto"/>
          </w:tcPr>
          <w:p w14:paraId="45775DFB" w14:textId="77777777" w:rsidR="00951954" w:rsidRPr="00B916EC" w:rsidRDefault="00951954"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F5D4AAA" w14:textId="77777777" w:rsidR="00951954" w:rsidRPr="00B916EC" w:rsidRDefault="00951954"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906257E" w14:textId="60E29FBC" w:rsidR="00951954" w:rsidRDefault="00951954" w:rsidP="00BC0321">
            <w:pPr>
              <w:pStyle w:val="TAL"/>
              <w:rPr>
                <w:sz w:val="16"/>
                <w:szCs w:val="16"/>
                <w:lang w:eastAsia="zh-CN"/>
              </w:rPr>
            </w:pPr>
            <w:r>
              <w:rPr>
                <w:sz w:val="16"/>
                <w:szCs w:val="16"/>
                <w:lang w:eastAsia="zh-CN"/>
              </w:rPr>
              <w:t>RP-202395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BD8FC0F" w14:textId="3A02A8F8" w:rsidR="00951954" w:rsidRDefault="00951954" w:rsidP="00BC0321">
            <w:pPr>
              <w:pStyle w:val="TAL"/>
              <w:rPr>
                <w:sz w:val="16"/>
                <w:szCs w:val="16"/>
              </w:rPr>
            </w:pPr>
            <w:r>
              <w:rPr>
                <w:sz w:val="16"/>
                <w:szCs w:val="16"/>
              </w:rPr>
              <w:t>0161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E4AA882" w14:textId="77777777" w:rsidR="00951954" w:rsidRDefault="00951954"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12F73FE" w14:textId="77777777" w:rsidR="00951954" w:rsidRDefault="00951954"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481BF46" w14:textId="1D79F880" w:rsidR="00951954" w:rsidRPr="00EA028E" w:rsidRDefault="00951954" w:rsidP="00BC0321">
            <w:pPr>
              <w:spacing w:after="0"/>
              <w:rPr>
                <w:rFonts w:ascii="Arial" w:hAnsi="Arial"/>
                <w:sz w:val="16"/>
              </w:rPr>
            </w:pPr>
            <w:r w:rsidRPr="00951954">
              <w:rPr>
                <w:rFonts w:ascii="Arial" w:hAnsi="Arial"/>
                <w:sz w:val="16"/>
              </w:rPr>
              <w:t>Correction on uplink Tx switching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093BEC4" w14:textId="77777777" w:rsidR="00951954" w:rsidRDefault="00951954" w:rsidP="00BC0321">
            <w:pPr>
              <w:pStyle w:val="TAL"/>
              <w:rPr>
                <w:sz w:val="16"/>
                <w:szCs w:val="16"/>
                <w:lang w:eastAsia="zh-CN"/>
              </w:rPr>
            </w:pPr>
            <w:r>
              <w:rPr>
                <w:sz w:val="16"/>
                <w:szCs w:val="16"/>
                <w:lang w:eastAsia="zh-CN"/>
              </w:rPr>
              <w:t>16.4.0</w:t>
            </w:r>
          </w:p>
        </w:tc>
      </w:tr>
      <w:tr w:rsidR="00646BD5" w:rsidRPr="00B916EC" w14:paraId="717A0020" w14:textId="77777777" w:rsidTr="00646BD5">
        <w:tc>
          <w:tcPr>
            <w:tcW w:w="894" w:type="dxa"/>
            <w:tcBorders>
              <w:top w:val="single" w:sz="6" w:space="0" w:color="auto"/>
              <w:left w:val="single" w:sz="6" w:space="0" w:color="auto"/>
              <w:bottom w:val="single" w:sz="6" w:space="0" w:color="auto"/>
              <w:right w:val="single" w:sz="6" w:space="0" w:color="auto"/>
            </w:tcBorders>
            <w:shd w:val="solid" w:color="FFFFFF" w:fill="auto"/>
          </w:tcPr>
          <w:p w14:paraId="26915EC2" w14:textId="77777777" w:rsidR="00646BD5" w:rsidRPr="00B916EC" w:rsidRDefault="00646BD5"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1ED123E" w14:textId="77777777" w:rsidR="00646BD5" w:rsidRPr="00B916EC" w:rsidRDefault="00646BD5"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EE19F39" w14:textId="68E592B4" w:rsidR="00646BD5" w:rsidRDefault="00646BD5" w:rsidP="00BC0321">
            <w:pPr>
              <w:pStyle w:val="TAL"/>
              <w:rPr>
                <w:sz w:val="16"/>
                <w:szCs w:val="16"/>
                <w:lang w:eastAsia="zh-CN"/>
              </w:rPr>
            </w:pPr>
            <w:r>
              <w:rPr>
                <w:sz w:val="16"/>
                <w:szCs w:val="16"/>
                <w:lang w:eastAsia="zh-CN"/>
              </w:rPr>
              <w:t>RP-202381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0A65194" w14:textId="5F9177A3" w:rsidR="00646BD5" w:rsidRDefault="00646BD5" w:rsidP="00BC0321">
            <w:pPr>
              <w:pStyle w:val="TAL"/>
              <w:rPr>
                <w:sz w:val="16"/>
                <w:szCs w:val="16"/>
              </w:rPr>
            </w:pPr>
            <w:r>
              <w:rPr>
                <w:sz w:val="16"/>
                <w:szCs w:val="16"/>
              </w:rPr>
              <w:t>0163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7948EFA" w14:textId="77777777" w:rsidR="00646BD5" w:rsidRDefault="00646BD5"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93E0275" w14:textId="77777777" w:rsidR="00646BD5" w:rsidRDefault="00646BD5"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AF12316" w14:textId="50BDEECA" w:rsidR="00646BD5" w:rsidRPr="00EA028E" w:rsidRDefault="00646BD5" w:rsidP="00BC0321">
            <w:pPr>
              <w:spacing w:after="0"/>
              <w:rPr>
                <w:rFonts w:ascii="Arial" w:hAnsi="Arial"/>
                <w:sz w:val="16"/>
              </w:rPr>
            </w:pPr>
            <w:r w:rsidRPr="00646BD5">
              <w:rPr>
                <w:rFonts w:ascii="Arial" w:hAnsi="Arial"/>
                <w:sz w:val="16"/>
              </w:rPr>
              <w:t>Correction of NRU HARQ procedure in the presence of SPS PDSCH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FDBE200" w14:textId="77777777" w:rsidR="00646BD5" w:rsidRDefault="00646BD5" w:rsidP="00BC0321">
            <w:pPr>
              <w:pStyle w:val="TAL"/>
              <w:rPr>
                <w:sz w:val="16"/>
                <w:szCs w:val="16"/>
                <w:lang w:eastAsia="zh-CN"/>
              </w:rPr>
            </w:pPr>
            <w:r>
              <w:rPr>
                <w:sz w:val="16"/>
                <w:szCs w:val="16"/>
                <w:lang w:eastAsia="zh-CN"/>
              </w:rPr>
              <w:t>16.4.0</w:t>
            </w:r>
          </w:p>
        </w:tc>
      </w:tr>
      <w:tr w:rsidR="00646BD5" w:rsidRPr="00B916EC" w14:paraId="201DA16A" w14:textId="77777777" w:rsidTr="00646BD5">
        <w:tc>
          <w:tcPr>
            <w:tcW w:w="894" w:type="dxa"/>
            <w:tcBorders>
              <w:top w:val="single" w:sz="6" w:space="0" w:color="auto"/>
              <w:left w:val="single" w:sz="6" w:space="0" w:color="auto"/>
              <w:bottom w:val="single" w:sz="6" w:space="0" w:color="auto"/>
              <w:right w:val="single" w:sz="6" w:space="0" w:color="auto"/>
            </w:tcBorders>
            <w:shd w:val="solid" w:color="FFFFFF" w:fill="auto"/>
          </w:tcPr>
          <w:p w14:paraId="16AB1E99" w14:textId="77777777" w:rsidR="00646BD5" w:rsidRPr="00B916EC" w:rsidRDefault="00646BD5"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DC195E5" w14:textId="77777777" w:rsidR="00646BD5" w:rsidRPr="00B916EC" w:rsidRDefault="00646BD5"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6A04284" w14:textId="77777777" w:rsidR="00646BD5" w:rsidRDefault="00646BD5" w:rsidP="00BC0321">
            <w:pPr>
              <w:pStyle w:val="TAL"/>
              <w:rPr>
                <w:sz w:val="16"/>
                <w:szCs w:val="16"/>
                <w:lang w:eastAsia="zh-CN"/>
              </w:rPr>
            </w:pPr>
            <w:r>
              <w:rPr>
                <w:sz w:val="16"/>
                <w:szCs w:val="16"/>
                <w:lang w:eastAsia="zh-CN"/>
              </w:rPr>
              <w:t>RP-202381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D249102" w14:textId="3BDE8172" w:rsidR="00646BD5" w:rsidRDefault="00646BD5" w:rsidP="00BC0321">
            <w:pPr>
              <w:pStyle w:val="TAL"/>
              <w:rPr>
                <w:sz w:val="16"/>
                <w:szCs w:val="16"/>
              </w:rPr>
            </w:pPr>
            <w:r>
              <w:rPr>
                <w:sz w:val="16"/>
                <w:szCs w:val="16"/>
              </w:rPr>
              <w:t>0165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EDB9F0A" w14:textId="77777777" w:rsidR="00646BD5" w:rsidRDefault="00646BD5"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A712E01" w14:textId="77777777" w:rsidR="00646BD5" w:rsidRDefault="00646BD5"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2FEC15E" w14:textId="731F1F10" w:rsidR="00646BD5" w:rsidRPr="00EA028E" w:rsidRDefault="00646BD5" w:rsidP="00BC0321">
            <w:pPr>
              <w:spacing w:after="0"/>
              <w:rPr>
                <w:rFonts w:ascii="Arial" w:hAnsi="Arial"/>
                <w:sz w:val="16"/>
              </w:rPr>
            </w:pPr>
            <w:r w:rsidRPr="00646BD5">
              <w:rPr>
                <w:rFonts w:ascii="Arial" w:hAnsi="Arial"/>
                <w:sz w:val="16"/>
              </w:rPr>
              <w:t>CR to 38.213 on NR-U 2-step RACH PO configuration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24D074B" w14:textId="77777777" w:rsidR="00646BD5" w:rsidRDefault="00646BD5" w:rsidP="00BC0321">
            <w:pPr>
              <w:pStyle w:val="TAL"/>
              <w:rPr>
                <w:sz w:val="16"/>
                <w:szCs w:val="16"/>
                <w:lang w:eastAsia="zh-CN"/>
              </w:rPr>
            </w:pPr>
            <w:r>
              <w:rPr>
                <w:sz w:val="16"/>
                <w:szCs w:val="16"/>
                <w:lang w:eastAsia="zh-CN"/>
              </w:rPr>
              <w:t>16.4.0</w:t>
            </w:r>
          </w:p>
        </w:tc>
      </w:tr>
      <w:tr w:rsidR="00646BD5" w:rsidRPr="00B916EC" w14:paraId="75422A37" w14:textId="77777777" w:rsidTr="00646BD5">
        <w:tc>
          <w:tcPr>
            <w:tcW w:w="894" w:type="dxa"/>
            <w:tcBorders>
              <w:top w:val="single" w:sz="6" w:space="0" w:color="auto"/>
              <w:left w:val="single" w:sz="6" w:space="0" w:color="auto"/>
              <w:bottom w:val="single" w:sz="6" w:space="0" w:color="auto"/>
              <w:right w:val="single" w:sz="6" w:space="0" w:color="auto"/>
            </w:tcBorders>
            <w:shd w:val="solid" w:color="FFFFFF" w:fill="auto"/>
          </w:tcPr>
          <w:p w14:paraId="4540850D" w14:textId="77777777" w:rsidR="00646BD5" w:rsidRPr="00B916EC" w:rsidRDefault="00646BD5"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73D2175" w14:textId="77777777" w:rsidR="00646BD5" w:rsidRPr="00B916EC" w:rsidRDefault="00646BD5"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F396842" w14:textId="5A58CCC9" w:rsidR="00646BD5" w:rsidRDefault="00646BD5" w:rsidP="00BC0321">
            <w:pPr>
              <w:pStyle w:val="TAL"/>
              <w:rPr>
                <w:sz w:val="16"/>
                <w:szCs w:val="16"/>
                <w:lang w:eastAsia="zh-CN"/>
              </w:rPr>
            </w:pPr>
            <w:r>
              <w:rPr>
                <w:sz w:val="16"/>
                <w:szCs w:val="16"/>
                <w:lang w:eastAsia="zh-CN"/>
              </w:rPr>
              <w:t>RP-202389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8619540" w14:textId="0C10B78E" w:rsidR="00646BD5" w:rsidRDefault="00646BD5" w:rsidP="00BC0321">
            <w:pPr>
              <w:pStyle w:val="TAL"/>
              <w:rPr>
                <w:sz w:val="16"/>
                <w:szCs w:val="16"/>
              </w:rPr>
            </w:pPr>
            <w:r>
              <w:rPr>
                <w:sz w:val="16"/>
                <w:szCs w:val="16"/>
              </w:rPr>
              <w:t>0166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2A799F6" w14:textId="77777777" w:rsidR="00646BD5" w:rsidRDefault="00646BD5"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2CA2073" w14:textId="77777777" w:rsidR="00646BD5" w:rsidRDefault="00646BD5"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F4BAA73" w14:textId="5A9C5F56" w:rsidR="00646BD5" w:rsidRPr="00EA028E" w:rsidRDefault="00646BD5" w:rsidP="00BC0321">
            <w:pPr>
              <w:spacing w:after="0"/>
              <w:rPr>
                <w:rFonts w:ascii="Arial" w:hAnsi="Arial"/>
                <w:sz w:val="16"/>
              </w:rPr>
            </w:pPr>
            <w:r w:rsidRPr="00646BD5">
              <w:rPr>
                <w:rFonts w:ascii="Arial" w:hAnsi="Arial"/>
                <w:sz w:val="16"/>
              </w:rPr>
              <w:t>38.213 CR for NR-DC power control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4D6F356" w14:textId="77777777" w:rsidR="00646BD5" w:rsidRDefault="00646BD5" w:rsidP="00BC0321">
            <w:pPr>
              <w:pStyle w:val="TAL"/>
              <w:rPr>
                <w:sz w:val="16"/>
                <w:szCs w:val="16"/>
                <w:lang w:eastAsia="zh-CN"/>
              </w:rPr>
            </w:pPr>
            <w:r>
              <w:rPr>
                <w:sz w:val="16"/>
                <w:szCs w:val="16"/>
                <w:lang w:eastAsia="zh-CN"/>
              </w:rPr>
              <w:t>16.4.0</w:t>
            </w:r>
          </w:p>
        </w:tc>
      </w:tr>
      <w:tr w:rsidR="00F75A4A" w:rsidRPr="00B916EC" w14:paraId="5F0019D0" w14:textId="77777777" w:rsidTr="00F75A4A">
        <w:tc>
          <w:tcPr>
            <w:tcW w:w="894" w:type="dxa"/>
            <w:tcBorders>
              <w:top w:val="single" w:sz="6" w:space="0" w:color="auto"/>
              <w:left w:val="single" w:sz="6" w:space="0" w:color="auto"/>
              <w:bottom w:val="single" w:sz="6" w:space="0" w:color="auto"/>
              <w:right w:val="single" w:sz="6" w:space="0" w:color="auto"/>
            </w:tcBorders>
            <w:shd w:val="solid" w:color="FFFFFF" w:fill="auto"/>
          </w:tcPr>
          <w:p w14:paraId="42CAE49B" w14:textId="77777777" w:rsidR="00F75A4A" w:rsidRPr="00B916EC" w:rsidRDefault="00F75A4A" w:rsidP="00BC0321">
            <w:pPr>
              <w:spacing w:after="0"/>
              <w:jc w:val="center"/>
              <w:rPr>
                <w:rFonts w:ascii="Arial" w:hAnsi="Arial"/>
                <w:snapToGrid w:val="0"/>
                <w:sz w:val="16"/>
                <w:szCs w:val="16"/>
              </w:rPr>
            </w:pPr>
            <w:r w:rsidRPr="00B916EC">
              <w:rPr>
                <w:rFonts w:ascii="Arial" w:hAnsi="Arial"/>
                <w:snapToGrid w:val="0"/>
                <w:sz w:val="16"/>
                <w:szCs w:val="16"/>
              </w:rPr>
              <w:lastRenderedPageBreak/>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CB0F28F" w14:textId="77777777" w:rsidR="00F75A4A" w:rsidRPr="00B916EC" w:rsidRDefault="00F75A4A"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B565980" w14:textId="77777777" w:rsidR="00F75A4A" w:rsidRDefault="00F75A4A" w:rsidP="00BC0321">
            <w:pPr>
              <w:pStyle w:val="TAL"/>
              <w:rPr>
                <w:sz w:val="16"/>
                <w:szCs w:val="16"/>
                <w:lang w:eastAsia="zh-CN"/>
              </w:rPr>
            </w:pPr>
            <w:r>
              <w:rPr>
                <w:sz w:val="16"/>
                <w:szCs w:val="16"/>
                <w:lang w:eastAsia="zh-CN"/>
              </w:rPr>
              <w:t>RP-202389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AB45F97" w14:textId="267DC975" w:rsidR="00F75A4A" w:rsidRDefault="00F75A4A" w:rsidP="00BC0321">
            <w:pPr>
              <w:pStyle w:val="TAL"/>
              <w:rPr>
                <w:sz w:val="16"/>
                <w:szCs w:val="16"/>
              </w:rPr>
            </w:pPr>
            <w:r>
              <w:rPr>
                <w:sz w:val="16"/>
                <w:szCs w:val="16"/>
              </w:rPr>
              <w:t>0167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4C3E065" w14:textId="77777777" w:rsidR="00F75A4A" w:rsidRDefault="00F75A4A"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98479E7" w14:textId="77777777" w:rsidR="00F75A4A" w:rsidRDefault="00F75A4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A456C61" w14:textId="03D32ACB" w:rsidR="00F75A4A" w:rsidRPr="00EA028E" w:rsidRDefault="00F75A4A" w:rsidP="00BC0321">
            <w:pPr>
              <w:spacing w:after="0"/>
              <w:rPr>
                <w:rFonts w:ascii="Arial" w:hAnsi="Arial"/>
                <w:sz w:val="16"/>
              </w:rPr>
            </w:pPr>
            <w:r w:rsidRPr="00F75A4A">
              <w:rPr>
                <w:rFonts w:ascii="Arial" w:hAnsi="Arial"/>
                <w:sz w:val="16"/>
              </w:rPr>
              <w:t>38.213 CR Correction on HARQ-ACK codebook for secondary PUCCH group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45BC0CB" w14:textId="77777777" w:rsidR="00F75A4A" w:rsidRDefault="00F75A4A" w:rsidP="00BC0321">
            <w:pPr>
              <w:pStyle w:val="TAL"/>
              <w:rPr>
                <w:sz w:val="16"/>
                <w:szCs w:val="16"/>
                <w:lang w:eastAsia="zh-CN"/>
              </w:rPr>
            </w:pPr>
            <w:r>
              <w:rPr>
                <w:sz w:val="16"/>
                <w:szCs w:val="16"/>
                <w:lang w:eastAsia="zh-CN"/>
              </w:rPr>
              <w:t>16.4.0</w:t>
            </w:r>
          </w:p>
        </w:tc>
      </w:tr>
      <w:tr w:rsidR="00F75A4A" w:rsidRPr="00B916EC" w14:paraId="116CED38" w14:textId="77777777" w:rsidTr="00F75A4A">
        <w:tc>
          <w:tcPr>
            <w:tcW w:w="894" w:type="dxa"/>
            <w:tcBorders>
              <w:top w:val="single" w:sz="6" w:space="0" w:color="auto"/>
              <w:left w:val="single" w:sz="6" w:space="0" w:color="auto"/>
              <w:bottom w:val="single" w:sz="6" w:space="0" w:color="auto"/>
              <w:right w:val="single" w:sz="6" w:space="0" w:color="auto"/>
            </w:tcBorders>
            <w:shd w:val="solid" w:color="FFFFFF" w:fill="auto"/>
          </w:tcPr>
          <w:p w14:paraId="7B3B6023" w14:textId="77777777" w:rsidR="00F75A4A" w:rsidRPr="00B916EC" w:rsidRDefault="00F75A4A"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FE415ED" w14:textId="77777777" w:rsidR="00F75A4A" w:rsidRPr="00B916EC" w:rsidRDefault="00F75A4A"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C29FEA3" w14:textId="0017D5F5" w:rsidR="00F75A4A" w:rsidRDefault="00F75A4A" w:rsidP="00BC0321">
            <w:pPr>
              <w:pStyle w:val="TAL"/>
              <w:rPr>
                <w:sz w:val="16"/>
                <w:szCs w:val="16"/>
                <w:lang w:eastAsia="zh-CN"/>
              </w:rPr>
            </w:pPr>
            <w:r>
              <w:rPr>
                <w:sz w:val="16"/>
                <w:szCs w:val="16"/>
                <w:lang w:eastAsia="zh-CN"/>
              </w:rPr>
              <w:t>RP-202384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21A8F60" w14:textId="65CEF5FD" w:rsidR="00F75A4A" w:rsidRDefault="00F75A4A" w:rsidP="00BC0321">
            <w:pPr>
              <w:pStyle w:val="TAL"/>
              <w:rPr>
                <w:sz w:val="16"/>
                <w:szCs w:val="16"/>
              </w:rPr>
            </w:pPr>
            <w:r>
              <w:rPr>
                <w:sz w:val="16"/>
                <w:szCs w:val="16"/>
              </w:rPr>
              <w:t>0168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FFB3FBF" w14:textId="77777777" w:rsidR="00F75A4A" w:rsidRDefault="00F75A4A"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4C9757A" w14:textId="77777777" w:rsidR="00F75A4A" w:rsidRDefault="00F75A4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FACA328" w14:textId="0E31D336" w:rsidR="00F75A4A" w:rsidRPr="00EA028E" w:rsidRDefault="00F75A4A" w:rsidP="00BC0321">
            <w:pPr>
              <w:spacing w:after="0"/>
              <w:rPr>
                <w:rFonts w:ascii="Arial" w:hAnsi="Arial"/>
                <w:sz w:val="16"/>
              </w:rPr>
            </w:pPr>
            <w:r w:rsidRPr="00F75A4A">
              <w:rPr>
                <w:rFonts w:ascii="Arial" w:hAnsi="Arial"/>
                <w:sz w:val="16"/>
              </w:rPr>
              <w:t>Correction on Type2 HARQ-ACK codebook construction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CFC2D92" w14:textId="77777777" w:rsidR="00F75A4A" w:rsidRDefault="00F75A4A" w:rsidP="00BC0321">
            <w:pPr>
              <w:pStyle w:val="TAL"/>
              <w:rPr>
                <w:sz w:val="16"/>
                <w:szCs w:val="16"/>
                <w:lang w:eastAsia="zh-CN"/>
              </w:rPr>
            </w:pPr>
            <w:r>
              <w:rPr>
                <w:sz w:val="16"/>
                <w:szCs w:val="16"/>
                <w:lang w:eastAsia="zh-CN"/>
              </w:rPr>
              <w:t>16.4.0</w:t>
            </w:r>
          </w:p>
        </w:tc>
      </w:tr>
      <w:tr w:rsidR="009B4E2F" w:rsidRPr="00B916EC" w14:paraId="7EDBF523" w14:textId="77777777" w:rsidTr="009B4E2F">
        <w:tc>
          <w:tcPr>
            <w:tcW w:w="894" w:type="dxa"/>
            <w:tcBorders>
              <w:top w:val="single" w:sz="6" w:space="0" w:color="auto"/>
              <w:left w:val="single" w:sz="6" w:space="0" w:color="auto"/>
              <w:bottom w:val="single" w:sz="6" w:space="0" w:color="auto"/>
              <w:right w:val="single" w:sz="6" w:space="0" w:color="auto"/>
            </w:tcBorders>
            <w:shd w:val="solid" w:color="FFFFFF" w:fill="auto"/>
          </w:tcPr>
          <w:p w14:paraId="262388EB" w14:textId="77777777" w:rsidR="009B4E2F" w:rsidRPr="00B916EC" w:rsidRDefault="009B4E2F"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C487504" w14:textId="77777777" w:rsidR="009B4E2F" w:rsidRPr="00B916EC" w:rsidRDefault="009B4E2F"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2BDE588" w14:textId="77777777" w:rsidR="009B4E2F" w:rsidRDefault="009B4E2F" w:rsidP="00BC0321">
            <w:pPr>
              <w:pStyle w:val="TAL"/>
              <w:rPr>
                <w:sz w:val="16"/>
                <w:szCs w:val="16"/>
                <w:lang w:eastAsia="zh-CN"/>
              </w:rPr>
            </w:pPr>
            <w:r>
              <w:rPr>
                <w:sz w:val="16"/>
                <w:szCs w:val="16"/>
                <w:lang w:eastAsia="zh-CN"/>
              </w:rPr>
              <w:t>RP-202384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A1B6C66" w14:textId="7136D97E" w:rsidR="009B4E2F" w:rsidRDefault="009B4E2F" w:rsidP="00BC0321">
            <w:pPr>
              <w:pStyle w:val="TAL"/>
              <w:rPr>
                <w:sz w:val="16"/>
                <w:szCs w:val="16"/>
              </w:rPr>
            </w:pPr>
            <w:r>
              <w:rPr>
                <w:sz w:val="16"/>
                <w:szCs w:val="16"/>
              </w:rPr>
              <w:t>0169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91A3E4C" w14:textId="77777777" w:rsidR="009B4E2F" w:rsidRDefault="009B4E2F"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ED4E11E" w14:textId="77777777" w:rsidR="009B4E2F" w:rsidRDefault="009B4E2F"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7CD313D" w14:textId="54D3F1D3" w:rsidR="009B4E2F" w:rsidRPr="00EA028E" w:rsidRDefault="009B4E2F" w:rsidP="00BC0321">
            <w:pPr>
              <w:spacing w:after="0"/>
              <w:rPr>
                <w:rFonts w:ascii="Arial" w:hAnsi="Arial"/>
                <w:sz w:val="16"/>
              </w:rPr>
            </w:pPr>
            <w:r w:rsidRPr="009B4E2F">
              <w:rPr>
                <w:rFonts w:ascii="Arial" w:hAnsi="Arial"/>
                <w:sz w:val="16"/>
              </w:rPr>
              <w:t>Correction on UL grant Type 2 PUSCH release for search space sharing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5E6B5E0" w14:textId="77777777" w:rsidR="009B4E2F" w:rsidRDefault="009B4E2F" w:rsidP="00BC0321">
            <w:pPr>
              <w:pStyle w:val="TAL"/>
              <w:rPr>
                <w:sz w:val="16"/>
                <w:szCs w:val="16"/>
                <w:lang w:eastAsia="zh-CN"/>
              </w:rPr>
            </w:pPr>
            <w:r>
              <w:rPr>
                <w:sz w:val="16"/>
                <w:szCs w:val="16"/>
                <w:lang w:eastAsia="zh-CN"/>
              </w:rPr>
              <w:t>16.4.0</w:t>
            </w:r>
          </w:p>
        </w:tc>
      </w:tr>
      <w:tr w:rsidR="00B86258" w:rsidRPr="00B916EC" w14:paraId="1368DA10" w14:textId="77777777" w:rsidTr="00B86258">
        <w:tc>
          <w:tcPr>
            <w:tcW w:w="894" w:type="dxa"/>
            <w:tcBorders>
              <w:top w:val="single" w:sz="6" w:space="0" w:color="auto"/>
              <w:left w:val="single" w:sz="6" w:space="0" w:color="auto"/>
              <w:bottom w:val="single" w:sz="6" w:space="0" w:color="auto"/>
              <w:right w:val="single" w:sz="6" w:space="0" w:color="auto"/>
            </w:tcBorders>
            <w:shd w:val="solid" w:color="FFFFFF" w:fill="auto"/>
          </w:tcPr>
          <w:p w14:paraId="329142DF" w14:textId="77777777" w:rsidR="00B86258" w:rsidRPr="00B916EC" w:rsidRDefault="00B86258"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9BF3E1B" w14:textId="77777777" w:rsidR="00B86258" w:rsidRPr="00B916EC" w:rsidRDefault="00B86258"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8BE442A" w14:textId="77777777" w:rsidR="00B86258" w:rsidRDefault="00B86258" w:rsidP="00BC0321">
            <w:pPr>
              <w:pStyle w:val="TAL"/>
              <w:rPr>
                <w:sz w:val="16"/>
                <w:szCs w:val="16"/>
                <w:lang w:eastAsia="zh-CN"/>
              </w:rPr>
            </w:pPr>
            <w:r>
              <w:rPr>
                <w:sz w:val="16"/>
                <w:szCs w:val="16"/>
                <w:lang w:eastAsia="zh-CN"/>
              </w:rPr>
              <w:t>RP-202384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649B523" w14:textId="2D058793" w:rsidR="00B86258" w:rsidRDefault="00B86258" w:rsidP="00BC0321">
            <w:pPr>
              <w:pStyle w:val="TAL"/>
              <w:rPr>
                <w:sz w:val="16"/>
                <w:szCs w:val="16"/>
              </w:rPr>
            </w:pPr>
            <w:r>
              <w:rPr>
                <w:sz w:val="16"/>
                <w:szCs w:val="16"/>
              </w:rPr>
              <w:t>0170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4B6A3D4" w14:textId="77777777" w:rsidR="00B86258" w:rsidRDefault="00B86258"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DB7EAFB" w14:textId="77777777" w:rsidR="00B86258" w:rsidRDefault="00B86258"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3BE9FC3" w14:textId="2CABB5EE" w:rsidR="00B86258" w:rsidRPr="00EA028E" w:rsidRDefault="00B86258" w:rsidP="00BC0321">
            <w:pPr>
              <w:spacing w:after="0"/>
              <w:rPr>
                <w:rFonts w:ascii="Arial" w:hAnsi="Arial"/>
                <w:sz w:val="16"/>
              </w:rPr>
            </w:pPr>
            <w:r w:rsidRPr="00B86258">
              <w:rPr>
                <w:rFonts w:ascii="Arial" w:hAnsi="Arial"/>
                <w:sz w:val="16"/>
              </w:rPr>
              <w:t xml:space="preserve">Correction on PDCCH monitoring on cell(s) configured with Rel-15 PDCCH monitoring capability  </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303C9FE" w14:textId="77777777" w:rsidR="00B86258" w:rsidRDefault="00B86258" w:rsidP="00BC0321">
            <w:pPr>
              <w:pStyle w:val="TAL"/>
              <w:rPr>
                <w:sz w:val="16"/>
                <w:szCs w:val="16"/>
                <w:lang w:eastAsia="zh-CN"/>
              </w:rPr>
            </w:pPr>
            <w:r>
              <w:rPr>
                <w:sz w:val="16"/>
                <w:szCs w:val="16"/>
                <w:lang w:eastAsia="zh-CN"/>
              </w:rPr>
              <w:t>16.4.0</w:t>
            </w:r>
          </w:p>
        </w:tc>
      </w:tr>
      <w:tr w:rsidR="0028578C" w:rsidRPr="00B916EC" w14:paraId="07B78DF0" w14:textId="77777777" w:rsidTr="0028578C">
        <w:tc>
          <w:tcPr>
            <w:tcW w:w="894" w:type="dxa"/>
            <w:tcBorders>
              <w:top w:val="single" w:sz="6" w:space="0" w:color="auto"/>
              <w:left w:val="single" w:sz="6" w:space="0" w:color="auto"/>
              <w:bottom w:val="single" w:sz="6" w:space="0" w:color="auto"/>
              <w:right w:val="single" w:sz="6" w:space="0" w:color="auto"/>
            </w:tcBorders>
            <w:shd w:val="solid" w:color="FFFFFF" w:fill="auto"/>
          </w:tcPr>
          <w:p w14:paraId="3A938F31" w14:textId="77777777" w:rsidR="0028578C" w:rsidRPr="00B916EC" w:rsidRDefault="0028578C"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9E9229E" w14:textId="77777777" w:rsidR="0028578C" w:rsidRPr="00B916EC" w:rsidRDefault="0028578C"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FE1DCBF" w14:textId="7C9407EA" w:rsidR="0028578C" w:rsidRDefault="0028578C" w:rsidP="00BC0321">
            <w:pPr>
              <w:pStyle w:val="TAL"/>
              <w:rPr>
                <w:sz w:val="16"/>
                <w:szCs w:val="16"/>
                <w:lang w:eastAsia="zh-CN"/>
              </w:rPr>
            </w:pPr>
            <w:r>
              <w:rPr>
                <w:sz w:val="16"/>
                <w:szCs w:val="16"/>
                <w:lang w:eastAsia="zh-CN"/>
              </w:rPr>
              <w:t>RP-202383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6DE3A97" w14:textId="7044B7A3" w:rsidR="0028578C" w:rsidRDefault="0028578C" w:rsidP="00BC0321">
            <w:pPr>
              <w:pStyle w:val="TAL"/>
              <w:rPr>
                <w:sz w:val="16"/>
                <w:szCs w:val="16"/>
              </w:rPr>
            </w:pPr>
            <w:r>
              <w:rPr>
                <w:sz w:val="16"/>
                <w:szCs w:val="16"/>
              </w:rPr>
              <w:t>0171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67A9D53" w14:textId="77777777" w:rsidR="0028578C" w:rsidRDefault="0028578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8F27DA0" w14:textId="77777777" w:rsidR="0028578C" w:rsidRDefault="0028578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9CA425B" w14:textId="14537F0F" w:rsidR="0028578C" w:rsidRPr="00EA028E" w:rsidRDefault="0028578C" w:rsidP="00BC0321">
            <w:pPr>
              <w:spacing w:after="0"/>
              <w:rPr>
                <w:rFonts w:ascii="Arial" w:hAnsi="Arial"/>
                <w:sz w:val="16"/>
              </w:rPr>
            </w:pPr>
            <w:r w:rsidRPr="0028578C">
              <w:rPr>
                <w:rFonts w:ascii="Arial" w:hAnsi="Arial"/>
                <w:sz w:val="16"/>
              </w:rPr>
              <w:t>Correction on periodicity of resource pool bitmap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F609818" w14:textId="77777777" w:rsidR="0028578C" w:rsidRDefault="0028578C" w:rsidP="00BC0321">
            <w:pPr>
              <w:pStyle w:val="TAL"/>
              <w:rPr>
                <w:sz w:val="16"/>
                <w:szCs w:val="16"/>
                <w:lang w:eastAsia="zh-CN"/>
              </w:rPr>
            </w:pPr>
            <w:r>
              <w:rPr>
                <w:sz w:val="16"/>
                <w:szCs w:val="16"/>
                <w:lang w:eastAsia="zh-CN"/>
              </w:rPr>
              <w:t>16.4.0</w:t>
            </w:r>
          </w:p>
        </w:tc>
      </w:tr>
      <w:tr w:rsidR="00257C58" w:rsidRPr="00B916EC" w14:paraId="3123EF2E" w14:textId="77777777" w:rsidTr="00257C58">
        <w:tc>
          <w:tcPr>
            <w:tcW w:w="894" w:type="dxa"/>
            <w:tcBorders>
              <w:top w:val="single" w:sz="6" w:space="0" w:color="auto"/>
              <w:left w:val="single" w:sz="6" w:space="0" w:color="auto"/>
              <w:bottom w:val="single" w:sz="6" w:space="0" w:color="auto"/>
              <w:right w:val="single" w:sz="6" w:space="0" w:color="auto"/>
            </w:tcBorders>
            <w:shd w:val="solid" w:color="FFFFFF" w:fill="auto"/>
          </w:tcPr>
          <w:p w14:paraId="61C0B4C7" w14:textId="77777777" w:rsidR="00257C58" w:rsidRPr="00B916EC" w:rsidRDefault="00257C58"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8E42E1B" w14:textId="77777777" w:rsidR="00257C58" w:rsidRPr="00B916EC" w:rsidRDefault="00257C58"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4C9864C" w14:textId="77777777" w:rsidR="00257C58" w:rsidRDefault="00257C58" w:rsidP="00BC0321">
            <w:pPr>
              <w:pStyle w:val="TAL"/>
              <w:rPr>
                <w:sz w:val="16"/>
                <w:szCs w:val="16"/>
                <w:lang w:eastAsia="zh-CN"/>
              </w:rPr>
            </w:pPr>
            <w:r>
              <w:rPr>
                <w:sz w:val="16"/>
                <w:szCs w:val="16"/>
                <w:lang w:eastAsia="zh-CN"/>
              </w:rPr>
              <w:t>RP-202383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231C5D5" w14:textId="51FCDD35" w:rsidR="00257C58" w:rsidRDefault="00257C58" w:rsidP="00BC0321">
            <w:pPr>
              <w:pStyle w:val="TAL"/>
              <w:rPr>
                <w:sz w:val="16"/>
                <w:szCs w:val="16"/>
              </w:rPr>
            </w:pPr>
            <w:r>
              <w:rPr>
                <w:sz w:val="16"/>
                <w:szCs w:val="16"/>
              </w:rPr>
              <w:t>0172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A7F6D5F" w14:textId="77777777" w:rsidR="00257C58" w:rsidRDefault="00257C58"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593AC0D" w14:textId="77777777" w:rsidR="00257C58" w:rsidRDefault="00257C58"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D3C670F" w14:textId="68D1BCA3" w:rsidR="00257C58" w:rsidRPr="00EA028E" w:rsidRDefault="00257C58" w:rsidP="00BC0321">
            <w:pPr>
              <w:spacing w:after="0"/>
              <w:rPr>
                <w:rFonts w:ascii="Arial" w:hAnsi="Arial"/>
                <w:sz w:val="16"/>
              </w:rPr>
            </w:pPr>
            <w:r w:rsidRPr="00257C58">
              <w:rPr>
                <w:rFonts w:ascii="Arial" w:hAnsi="Arial"/>
                <w:sz w:val="16"/>
              </w:rPr>
              <w:t>Correction on PSFCH and PSCCH mapping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14A797F" w14:textId="77777777" w:rsidR="00257C58" w:rsidRDefault="00257C58" w:rsidP="00BC0321">
            <w:pPr>
              <w:pStyle w:val="TAL"/>
              <w:rPr>
                <w:sz w:val="16"/>
                <w:szCs w:val="16"/>
                <w:lang w:eastAsia="zh-CN"/>
              </w:rPr>
            </w:pPr>
            <w:r>
              <w:rPr>
                <w:sz w:val="16"/>
                <w:szCs w:val="16"/>
                <w:lang w:eastAsia="zh-CN"/>
              </w:rPr>
              <w:t>16.4.0</w:t>
            </w:r>
          </w:p>
        </w:tc>
      </w:tr>
      <w:tr w:rsidR="00257C58" w:rsidRPr="00B916EC" w14:paraId="5C9A6F54" w14:textId="77777777" w:rsidTr="00257C58">
        <w:tc>
          <w:tcPr>
            <w:tcW w:w="894" w:type="dxa"/>
            <w:tcBorders>
              <w:top w:val="single" w:sz="6" w:space="0" w:color="auto"/>
              <w:left w:val="single" w:sz="6" w:space="0" w:color="auto"/>
              <w:bottom w:val="single" w:sz="6" w:space="0" w:color="auto"/>
              <w:right w:val="single" w:sz="6" w:space="0" w:color="auto"/>
            </w:tcBorders>
            <w:shd w:val="solid" w:color="FFFFFF" w:fill="auto"/>
          </w:tcPr>
          <w:p w14:paraId="493A9132" w14:textId="77777777" w:rsidR="00257C58" w:rsidRPr="00B916EC" w:rsidRDefault="00257C58"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6E0FB69" w14:textId="77777777" w:rsidR="00257C58" w:rsidRPr="00B916EC" w:rsidRDefault="00257C58"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019D996" w14:textId="36CAE01D" w:rsidR="00257C58" w:rsidRDefault="00257C58" w:rsidP="00BC0321">
            <w:pPr>
              <w:pStyle w:val="TAL"/>
              <w:rPr>
                <w:sz w:val="16"/>
                <w:szCs w:val="16"/>
                <w:lang w:eastAsia="zh-CN"/>
              </w:rPr>
            </w:pPr>
            <w:r>
              <w:rPr>
                <w:sz w:val="16"/>
                <w:szCs w:val="16"/>
                <w:lang w:eastAsia="zh-CN"/>
              </w:rPr>
              <w:t>RP-202385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ABD45A7" w14:textId="1883CB0B" w:rsidR="00257C58" w:rsidRDefault="00257C58" w:rsidP="00BC0321">
            <w:pPr>
              <w:pStyle w:val="TAL"/>
              <w:rPr>
                <w:sz w:val="16"/>
                <w:szCs w:val="16"/>
              </w:rPr>
            </w:pPr>
            <w:r>
              <w:rPr>
                <w:sz w:val="16"/>
                <w:szCs w:val="16"/>
              </w:rPr>
              <w:t>0173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A2602AB" w14:textId="77777777" w:rsidR="00257C58" w:rsidRDefault="00257C58"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F411C49" w14:textId="77777777" w:rsidR="00257C58" w:rsidRDefault="00257C58"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FE6DEE8" w14:textId="382E209F" w:rsidR="00257C58" w:rsidRPr="00EA028E" w:rsidRDefault="00257C58" w:rsidP="00BC0321">
            <w:pPr>
              <w:spacing w:after="0"/>
              <w:rPr>
                <w:rFonts w:ascii="Arial" w:hAnsi="Arial"/>
                <w:sz w:val="16"/>
              </w:rPr>
            </w:pPr>
            <w:r w:rsidRPr="00257C58">
              <w:rPr>
                <w:rFonts w:ascii="Arial" w:hAnsi="Arial"/>
                <w:sz w:val="16"/>
              </w:rPr>
              <w:t>CR on CBRA based BFR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7024192" w14:textId="77777777" w:rsidR="00257C58" w:rsidRDefault="00257C58" w:rsidP="00BC0321">
            <w:pPr>
              <w:pStyle w:val="TAL"/>
              <w:rPr>
                <w:sz w:val="16"/>
                <w:szCs w:val="16"/>
                <w:lang w:eastAsia="zh-CN"/>
              </w:rPr>
            </w:pPr>
            <w:r>
              <w:rPr>
                <w:sz w:val="16"/>
                <w:szCs w:val="16"/>
                <w:lang w:eastAsia="zh-CN"/>
              </w:rPr>
              <w:t>16.4.0</w:t>
            </w:r>
          </w:p>
        </w:tc>
      </w:tr>
      <w:tr w:rsidR="00AB331D" w:rsidRPr="00B916EC" w14:paraId="1EEA60B0" w14:textId="77777777" w:rsidTr="00AB331D">
        <w:tc>
          <w:tcPr>
            <w:tcW w:w="894" w:type="dxa"/>
            <w:tcBorders>
              <w:top w:val="single" w:sz="6" w:space="0" w:color="auto"/>
              <w:left w:val="single" w:sz="6" w:space="0" w:color="auto"/>
              <w:bottom w:val="single" w:sz="6" w:space="0" w:color="auto"/>
              <w:right w:val="single" w:sz="6" w:space="0" w:color="auto"/>
            </w:tcBorders>
            <w:shd w:val="solid" w:color="FFFFFF" w:fill="auto"/>
          </w:tcPr>
          <w:p w14:paraId="2759C1F2" w14:textId="77777777" w:rsidR="00AB331D" w:rsidRPr="00B916EC" w:rsidRDefault="00AB331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972173D" w14:textId="77777777" w:rsidR="00AB331D" w:rsidRPr="00B916EC" w:rsidRDefault="00AB331D"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8F24D15" w14:textId="32E9C609" w:rsidR="00AB331D" w:rsidRDefault="00AB331D" w:rsidP="00BC0321">
            <w:pPr>
              <w:pStyle w:val="TAL"/>
              <w:rPr>
                <w:sz w:val="16"/>
                <w:szCs w:val="16"/>
                <w:lang w:eastAsia="zh-CN"/>
              </w:rPr>
            </w:pPr>
            <w:r>
              <w:rPr>
                <w:sz w:val="16"/>
                <w:szCs w:val="16"/>
                <w:lang w:eastAsia="zh-CN"/>
              </w:rPr>
              <w:t>RP-202381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2841B3C" w14:textId="08FE27CD" w:rsidR="00AB331D" w:rsidRDefault="00AB331D" w:rsidP="00BC0321">
            <w:pPr>
              <w:pStyle w:val="TAL"/>
              <w:rPr>
                <w:sz w:val="16"/>
                <w:szCs w:val="16"/>
              </w:rPr>
            </w:pPr>
            <w:r>
              <w:rPr>
                <w:sz w:val="16"/>
                <w:szCs w:val="16"/>
              </w:rPr>
              <w:t>0174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115A943" w14:textId="77777777" w:rsidR="00AB331D" w:rsidRDefault="00AB331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70B285D" w14:textId="77777777" w:rsidR="00AB331D" w:rsidRDefault="00AB331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2183407" w14:textId="090F4D65" w:rsidR="00AB331D" w:rsidRPr="00EA028E" w:rsidRDefault="00AB331D" w:rsidP="00BC0321">
            <w:pPr>
              <w:spacing w:after="0"/>
              <w:rPr>
                <w:rFonts w:ascii="Arial" w:hAnsi="Arial"/>
                <w:sz w:val="16"/>
              </w:rPr>
            </w:pPr>
            <w:r w:rsidRPr="00AB331D">
              <w:rPr>
                <w:rFonts w:ascii="Arial" w:hAnsi="Arial"/>
                <w:sz w:val="16"/>
              </w:rPr>
              <w:t>CR to  38.213 to correct references to 38.212 for RACH procedure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590CBE2" w14:textId="77777777" w:rsidR="00AB331D" w:rsidRDefault="00AB331D" w:rsidP="00BC0321">
            <w:pPr>
              <w:pStyle w:val="TAL"/>
              <w:rPr>
                <w:sz w:val="16"/>
                <w:szCs w:val="16"/>
                <w:lang w:eastAsia="zh-CN"/>
              </w:rPr>
            </w:pPr>
            <w:r>
              <w:rPr>
                <w:sz w:val="16"/>
                <w:szCs w:val="16"/>
                <w:lang w:eastAsia="zh-CN"/>
              </w:rPr>
              <w:t>16.4.0</w:t>
            </w:r>
          </w:p>
        </w:tc>
      </w:tr>
      <w:tr w:rsidR="00AB331D" w:rsidRPr="00B916EC" w14:paraId="5953CF1D" w14:textId="77777777" w:rsidTr="00AB331D">
        <w:tc>
          <w:tcPr>
            <w:tcW w:w="894" w:type="dxa"/>
            <w:tcBorders>
              <w:top w:val="single" w:sz="6" w:space="0" w:color="auto"/>
              <w:left w:val="single" w:sz="6" w:space="0" w:color="auto"/>
              <w:bottom w:val="single" w:sz="6" w:space="0" w:color="auto"/>
              <w:right w:val="single" w:sz="6" w:space="0" w:color="auto"/>
            </w:tcBorders>
            <w:shd w:val="solid" w:color="FFFFFF" w:fill="auto"/>
          </w:tcPr>
          <w:p w14:paraId="67D02010" w14:textId="77777777" w:rsidR="00AB331D" w:rsidRPr="00B916EC" w:rsidRDefault="00AB331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66AF708" w14:textId="77777777" w:rsidR="00AB331D" w:rsidRPr="00B916EC" w:rsidRDefault="00AB331D"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093B2FE" w14:textId="77777777" w:rsidR="00AB331D" w:rsidRDefault="00AB331D" w:rsidP="00BC0321">
            <w:pPr>
              <w:pStyle w:val="TAL"/>
              <w:rPr>
                <w:sz w:val="16"/>
                <w:szCs w:val="16"/>
                <w:lang w:eastAsia="zh-CN"/>
              </w:rPr>
            </w:pPr>
            <w:r>
              <w:rPr>
                <w:sz w:val="16"/>
                <w:szCs w:val="16"/>
                <w:lang w:eastAsia="zh-CN"/>
              </w:rPr>
              <w:t>RP-202381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D467FE1" w14:textId="4E3C0A17" w:rsidR="00AB331D" w:rsidRDefault="00AB331D" w:rsidP="00BC0321">
            <w:pPr>
              <w:pStyle w:val="TAL"/>
              <w:rPr>
                <w:sz w:val="16"/>
                <w:szCs w:val="16"/>
              </w:rPr>
            </w:pPr>
            <w:r>
              <w:rPr>
                <w:sz w:val="16"/>
                <w:szCs w:val="16"/>
              </w:rPr>
              <w:t>0175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4A4D121" w14:textId="77777777" w:rsidR="00AB331D" w:rsidRDefault="00AB331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1F7922B" w14:textId="77777777" w:rsidR="00AB331D" w:rsidRDefault="00AB331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1AF316B" w14:textId="75C93471" w:rsidR="00AB331D" w:rsidRPr="00EA028E" w:rsidRDefault="00AB331D" w:rsidP="00BC0321">
            <w:pPr>
              <w:spacing w:after="0"/>
              <w:rPr>
                <w:rFonts w:ascii="Arial" w:hAnsi="Arial"/>
                <w:sz w:val="16"/>
              </w:rPr>
            </w:pPr>
            <w:r w:rsidRPr="00AB331D">
              <w:rPr>
                <w:rFonts w:ascii="Arial" w:hAnsi="Arial"/>
                <w:sz w:val="16"/>
              </w:rPr>
              <w:t>Correction on remaining channel occupancy assumption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907BFBF" w14:textId="77777777" w:rsidR="00AB331D" w:rsidRDefault="00AB331D" w:rsidP="00BC0321">
            <w:pPr>
              <w:pStyle w:val="TAL"/>
              <w:rPr>
                <w:sz w:val="16"/>
                <w:szCs w:val="16"/>
                <w:lang w:eastAsia="zh-CN"/>
              </w:rPr>
            </w:pPr>
            <w:r>
              <w:rPr>
                <w:sz w:val="16"/>
                <w:szCs w:val="16"/>
                <w:lang w:eastAsia="zh-CN"/>
              </w:rPr>
              <w:t>16.4.0</w:t>
            </w:r>
          </w:p>
        </w:tc>
      </w:tr>
      <w:tr w:rsidR="00F02D62" w:rsidRPr="00B916EC" w14:paraId="30F0F79A" w14:textId="77777777" w:rsidTr="00F02D62">
        <w:tc>
          <w:tcPr>
            <w:tcW w:w="894" w:type="dxa"/>
            <w:tcBorders>
              <w:top w:val="single" w:sz="6" w:space="0" w:color="auto"/>
              <w:left w:val="single" w:sz="6" w:space="0" w:color="auto"/>
              <w:bottom w:val="single" w:sz="6" w:space="0" w:color="auto"/>
              <w:right w:val="single" w:sz="6" w:space="0" w:color="auto"/>
            </w:tcBorders>
            <w:shd w:val="solid" w:color="FFFFFF" w:fill="auto"/>
          </w:tcPr>
          <w:p w14:paraId="2E6389FC" w14:textId="77777777" w:rsidR="00F02D62" w:rsidRPr="00B916EC" w:rsidRDefault="00F02D62"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BB155A6" w14:textId="77777777" w:rsidR="00F02D62" w:rsidRPr="00B916EC" w:rsidRDefault="00F02D62"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D2F97A0" w14:textId="37F0EE09" w:rsidR="00F02D62" w:rsidRDefault="00F02D62" w:rsidP="00BC0321">
            <w:pPr>
              <w:pStyle w:val="TAL"/>
              <w:rPr>
                <w:sz w:val="16"/>
                <w:szCs w:val="16"/>
                <w:lang w:eastAsia="zh-CN"/>
              </w:rPr>
            </w:pPr>
            <w:r>
              <w:rPr>
                <w:sz w:val="16"/>
                <w:szCs w:val="16"/>
                <w:lang w:eastAsia="zh-CN"/>
              </w:rPr>
              <w:t>RP-202398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5D89231" w14:textId="6DFD3C71" w:rsidR="00F02D62" w:rsidRDefault="00F02D62" w:rsidP="00BC0321">
            <w:pPr>
              <w:pStyle w:val="TAL"/>
              <w:rPr>
                <w:sz w:val="16"/>
                <w:szCs w:val="16"/>
              </w:rPr>
            </w:pPr>
            <w:r>
              <w:rPr>
                <w:sz w:val="16"/>
                <w:szCs w:val="16"/>
              </w:rPr>
              <w:t>0176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06D3D11" w14:textId="77777777" w:rsidR="00F02D62" w:rsidRDefault="00F02D62"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9CC71CC" w14:textId="77777777" w:rsidR="00F02D62" w:rsidRDefault="00F02D62"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3365090" w14:textId="72AABF21" w:rsidR="00F02D62" w:rsidRPr="00EA028E" w:rsidRDefault="00F02D62" w:rsidP="00BC0321">
            <w:pPr>
              <w:spacing w:after="0"/>
              <w:rPr>
                <w:rFonts w:ascii="Arial" w:hAnsi="Arial"/>
                <w:sz w:val="16"/>
              </w:rPr>
            </w:pPr>
            <w:r w:rsidRPr="00F02D62">
              <w:rPr>
                <w:rFonts w:ascii="Arial" w:hAnsi="Arial"/>
                <w:sz w:val="16"/>
              </w:rPr>
              <w:t>Alignment CR for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5BD79A7" w14:textId="77777777" w:rsidR="00F02D62" w:rsidRDefault="00F02D62" w:rsidP="00BC0321">
            <w:pPr>
              <w:pStyle w:val="TAL"/>
              <w:rPr>
                <w:sz w:val="16"/>
                <w:szCs w:val="16"/>
                <w:lang w:eastAsia="zh-CN"/>
              </w:rPr>
            </w:pPr>
            <w:r>
              <w:rPr>
                <w:sz w:val="16"/>
                <w:szCs w:val="16"/>
                <w:lang w:eastAsia="zh-CN"/>
              </w:rPr>
              <w:t>16.4.0</w:t>
            </w:r>
          </w:p>
        </w:tc>
      </w:tr>
      <w:tr w:rsidR="00C45A44" w:rsidRPr="00B916EC" w14:paraId="02843517" w14:textId="77777777" w:rsidTr="00C45A44">
        <w:tc>
          <w:tcPr>
            <w:tcW w:w="894" w:type="dxa"/>
            <w:tcBorders>
              <w:top w:val="single" w:sz="6" w:space="0" w:color="auto"/>
              <w:left w:val="single" w:sz="6" w:space="0" w:color="auto"/>
              <w:bottom w:val="single" w:sz="6" w:space="0" w:color="auto"/>
              <w:right w:val="single" w:sz="6" w:space="0" w:color="auto"/>
            </w:tcBorders>
            <w:shd w:val="solid" w:color="FFFFFF" w:fill="auto"/>
          </w:tcPr>
          <w:p w14:paraId="57AC72FA" w14:textId="77777777" w:rsidR="00C45A44" w:rsidRPr="00B916EC" w:rsidRDefault="00C45A44"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DC3B724" w14:textId="77777777" w:rsidR="00C45A44" w:rsidRPr="00B916EC" w:rsidRDefault="00C45A44"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8559D25" w14:textId="1961FD4D" w:rsidR="00C45A44" w:rsidRDefault="00C45A44" w:rsidP="00BC0321">
            <w:pPr>
              <w:pStyle w:val="TAL"/>
              <w:rPr>
                <w:sz w:val="16"/>
                <w:szCs w:val="16"/>
                <w:lang w:eastAsia="zh-CN"/>
              </w:rPr>
            </w:pPr>
            <w:r>
              <w:rPr>
                <w:sz w:val="16"/>
                <w:szCs w:val="16"/>
                <w:lang w:eastAsia="zh-CN"/>
              </w:rPr>
              <w:t>RP-202389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77A6FB3" w14:textId="4772DF49" w:rsidR="00C45A44" w:rsidRDefault="00C45A44" w:rsidP="00BC0321">
            <w:pPr>
              <w:pStyle w:val="TAL"/>
              <w:rPr>
                <w:sz w:val="16"/>
                <w:szCs w:val="16"/>
              </w:rPr>
            </w:pPr>
            <w:r>
              <w:rPr>
                <w:sz w:val="16"/>
                <w:szCs w:val="16"/>
              </w:rPr>
              <w:t>0177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F1C2F5F" w14:textId="77777777" w:rsidR="00C45A44" w:rsidRDefault="00C45A44"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7522767" w14:textId="77777777" w:rsidR="00C45A44" w:rsidRDefault="00C45A44"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5BE76BB" w14:textId="683DB7D5" w:rsidR="00C45A44" w:rsidRPr="00EA028E" w:rsidRDefault="00C45A44" w:rsidP="00BC0321">
            <w:pPr>
              <w:spacing w:after="0"/>
              <w:rPr>
                <w:rFonts w:ascii="Arial" w:hAnsi="Arial"/>
                <w:sz w:val="16"/>
              </w:rPr>
            </w:pPr>
            <w:r w:rsidRPr="00C45A44">
              <w:rPr>
                <w:rFonts w:ascii="Arial" w:hAnsi="Arial"/>
                <w:sz w:val="16"/>
              </w:rPr>
              <w:t>Corrections for SCell dormancy indication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6DDB562" w14:textId="77777777" w:rsidR="00C45A44" w:rsidRDefault="00C45A44" w:rsidP="00BC0321">
            <w:pPr>
              <w:pStyle w:val="TAL"/>
              <w:rPr>
                <w:sz w:val="16"/>
                <w:szCs w:val="16"/>
                <w:lang w:eastAsia="zh-CN"/>
              </w:rPr>
            </w:pPr>
            <w:r>
              <w:rPr>
                <w:sz w:val="16"/>
                <w:szCs w:val="16"/>
                <w:lang w:eastAsia="zh-CN"/>
              </w:rPr>
              <w:t>16.4.0</w:t>
            </w:r>
          </w:p>
        </w:tc>
      </w:tr>
      <w:tr w:rsidR="00E63E1F" w:rsidRPr="00B916EC" w14:paraId="303CBFBE" w14:textId="77777777" w:rsidTr="00E63E1F">
        <w:tc>
          <w:tcPr>
            <w:tcW w:w="894" w:type="dxa"/>
            <w:tcBorders>
              <w:top w:val="single" w:sz="6" w:space="0" w:color="auto"/>
              <w:left w:val="single" w:sz="6" w:space="0" w:color="auto"/>
              <w:bottom w:val="single" w:sz="6" w:space="0" w:color="auto"/>
              <w:right w:val="single" w:sz="6" w:space="0" w:color="auto"/>
            </w:tcBorders>
            <w:shd w:val="solid" w:color="FFFFFF" w:fill="auto"/>
          </w:tcPr>
          <w:p w14:paraId="54034D0D" w14:textId="77777777" w:rsidR="00E63E1F" w:rsidRPr="00B916EC" w:rsidRDefault="00E63E1F"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20-12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DAFC377" w14:textId="77777777" w:rsidR="00E63E1F" w:rsidRPr="00B916EC" w:rsidRDefault="00E63E1F" w:rsidP="00BC0321">
            <w:pPr>
              <w:pStyle w:val="TAL"/>
              <w:rPr>
                <w:sz w:val="16"/>
                <w:szCs w:val="16"/>
                <w:lang w:eastAsia="zh-CN"/>
              </w:rPr>
            </w:pPr>
            <w:r w:rsidRPr="00B916EC">
              <w:rPr>
                <w:sz w:val="16"/>
                <w:szCs w:val="16"/>
                <w:lang w:eastAsia="zh-CN"/>
              </w:rPr>
              <w:t>RAN#</w:t>
            </w:r>
            <w:r>
              <w:rPr>
                <w:sz w:val="16"/>
                <w:szCs w:val="16"/>
                <w:lang w:eastAsia="zh-CN"/>
              </w:rPr>
              <w:t>90-e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AEA7A9A" w14:textId="0EC29216" w:rsidR="00E63E1F" w:rsidRDefault="00E63E1F" w:rsidP="00BC0321">
            <w:pPr>
              <w:pStyle w:val="TAL"/>
              <w:rPr>
                <w:sz w:val="16"/>
                <w:szCs w:val="16"/>
                <w:lang w:eastAsia="zh-CN"/>
              </w:rPr>
            </w:pPr>
            <w:r>
              <w:rPr>
                <w:sz w:val="16"/>
                <w:szCs w:val="16"/>
                <w:lang w:eastAsia="zh-CN"/>
              </w:rPr>
              <w:t>RP-202384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06E6600" w14:textId="4473C01B" w:rsidR="00E63E1F" w:rsidRDefault="00E63E1F" w:rsidP="00BC0321">
            <w:pPr>
              <w:pStyle w:val="TAL"/>
              <w:rPr>
                <w:sz w:val="16"/>
                <w:szCs w:val="16"/>
              </w:rPr>
            </w:pPr>
            <w:r>
              <w:rPr>
                <w:sz w:val="16"/>
                <w:szCs w:val="16"/>
              </w:rPr>
              <w:t>0178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64BD1CF" w14:textId="77777777" w:rsidR="00E63E1F" w:rsidRDefault="00E63E1F"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5BCDACC" w14:textId="77777777" w:rsidR="00E63E1F" w:rsidRDefault="00E63E1F"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922B3D4" w14:textId="24EC210D" w:rsidR="00E63E1F" w:rsidRPr="00EA028E" w:rsidRDefault="00E63E1F" w:rsidP="00BC0321">
            <w:pPr>
              <w:spacing w:after="0"/>
              <w:rPr>
                <w:rFonts w:ascii="Arial" w:hAnsi="Arial"/>
                <w:sz w:val="16"/>
              </w:rPr>
            </w:pPr>
            <w:r w:rsidRPr="00E63E1F">
              <w:rPr>
                <w:rFonts w:ascii="Arial" w:hAnsi="Arial"/>
                <w:sz w:val="16"/>
              </w:rPr>
              <w:t>CR on handling overlapping PUCCH/PUSCH transmissions with repetitions and with different priorities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3599F2F" w14:textId="77777777" w:rsidR="00E63E1F" w:rsidRDefault="00E63E1F" w:rsidP="00BC0321">
            <w:pPr>
              <w:pStyle w:val="TAL"/>
              <w:rPr>
                <w:sz w:val="16"/>
                <w:szCs w:val="16"/>
                <w:lang w:eastAsia="zh-CN"/>
              </w:rPr>
            </w:pPr>
            <w:r>
              <w:rPr>
                <w:sz w:val="16"/>
                <w:szCs w:val="16"/>
                <w:lang w:eastAsia="zh-CN"/>
              </w:rPr>
              <w:t>16.4.0</w:t>
            </w:r>
          </w:p>
        </w:tc>
      </w:tr>
      <w:tr w:rsidR="009F20A7" w:rsidRPr="00B916EC" w14:paraId="220F0B50" w14:textId="77777777" w:rsidTr="009F20A7">
        <w:tc>
          <w:tcPr>
            <w:tcW w:w="894" w:type="dxa"/>
            <w:tcBorders>
              <w:top w:val="single" w:sz="6" w:space="0" w:color="auto"/>
              <w:left w:val="single" w:sz="6" w:space="0" w:color="auto"/>
              <w:bottom w:val="single" w:sz="6" w:space="0" w:color="auto"/>
              <w:right w:val="single" w:sz="6" w:space="0" w:color="auto"/>
            </w:tcBorders>
            <w:shd w:val="solid" w:color="FFFFFF" w:fill="auto"/>
          </w:tcPr>
          <w:p w14:paraId="4EDCF58B" w14:textId="607DAD67" w:rsidR="009F20A7" w:rsidRPr="00B916EC" w:rsidRDefault="009F20A7"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DC4BA34" w14:textId="6A42EFBD" w:rsidR="009F20A7" w:rsidRPr="00B916EC" w:rsidRDefault="009F20A7"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F281529" w14:textId="7054A5EB" w:rsidR="009F20A7" w:rsidRDefault="009F20A7" w:rsidP="00BC0321">
            <w:pPr>
              <w:pStyle w:val="TAL"/>
              <w:rPr>
                <w:sz w:val="16"/>
                <w:szCs w:val="16"/>
                <w:lang w:eastAsia="zh-CN"/>
              </w:rPr>
            </w:pPr>
            <w:r>
              <w:rPr>
                <w:sz w:val="16"/>
                <w:szCs w:val="16"/>
                <w:lang w:eastAsia="zh-CN"/>
              </w:rPr>
              <w:t>RP-210055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FC0AF8B" w14:textId="19F345B8" w:rsidR="009F20A7" w:rsidRDefault="009F20A7" w:rsidP="00BC0321">
            <w:pPr>
              <w:pStyle w:val="TAL"/>
              <w:rPr>
                <w:sz w:val="16"/>
                <w:szCs w:val="16"/>
              </w:rPr>
            </w:pPr>
            <w:r>
              <w:rPr>
                <w:sz w:val="16"/>
                <w:szCs w:val="16"/>
              </w:rPr>
              <w:t>0180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E1B45AF" w14:textId="77777777" w:rsidR="009F20A7" w:rsidRDefault="009F20A7"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74D0A69" w14:textId="77777777" w:rsidR="009F20A7" w:rsidRDefault="009F20A7"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195550F" w14:textId="1B4F1CE0" w:rsidR="009F20A7" w:rsidRPr="00EA028E" w:rsidRDefault="009F20A7" w:rsidP="00BC0321">
            <w:pPr>
              <w:spacing w:after="0"/>
              <w:rPr>
                <w:rFonts w:ascii="Arial" w:hAnsi="Arial"/>
                <w:sz w:val="16"/>
              </w:rPr>
            </w:pPr>
            <w:r w:rsidRPr="009F20A7">
              <w:rPr>
                <w:rFonts w:ascii="Arial" w:hAnsi="Arial"/>
                <w:sz w:val="16"/>
              </w:rPr>
              <w:t>Type-1 HARQ-ACK for PDSCH repetition with different SCSs in DL and UL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8ECDE0B" w14:textId="1A59759D" w:rsidR="009F20A7" w:rsidRDefault="009F20A7" w:rsidP="00BC0321">
            <w:pPr>
              <w:pStyle w:val="TAL"/>
              <w:rPr>
                <w:sz w:val="16"/>
                <w:szCs w:val="16"/>
                <w:lang w:eastAsia="zh-CN"/>
              </w:rPr>
            </w:pPr>
            <w:r>
              <w:rPr>
                <w:sz w:val="16"/>
                <w:szCs w:val="16"/>
                <w:lang w:eastAsia="zh-CN"/>
              </w:rPr>
              <w:t>16.5.0</w:t>
            </w:r>
          </w:p>
        </w:tc>
      </w:tr>
      <w:tr w:rsidR="004725AB" w:rsidRPr="00B916EC" w14:paraId="743EDE8A" w14:textId="77777777" w:rsidTr="004725AB">
        <w:tc>
          <w:tcPr>
            <w:tcW w:w="894" w:type="dxa"/>
            <w:tcBorders>
              <w:top w:val="single" w:sz="6" w:space="0" w:color="auto"/>
              <w:left w:val="single" w:sz="6" w:space="0" w:color="auto"/>
              <w:bottom w:val="single" w:sz="6" w:space="0" w:color="auto"/>
              <w:right w:val="single" w:sz="6" w:space="0" w:color="auto"/>
            </w:tcBorders>
            <w:shd w:val="solid" w:color="FFFFFF" w:fill="auto"/>
          </w:tcPr>
          <w:p w14:paraId="6F3EA9CF" w14:textId="77777777" w:rsidR="004725AB" w:rsidRPr="00B916EC" w:rsidRDefault="004725AB"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205575E" w14:textId="77777777" w:rsidR="004725AB" w:rsidRPr="00B916EC" w:rsidRDefault="004725AB"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1F5A404" w14:textId="5986148B" w:rsidR="004725AB" w:rsidRDefault="004725AB" w:rsidP="00BC0321">
            <w:pPr>
              <w:pStyle w:val="TAL"/>
              <w:rPr>
                <w:sz w:val="16"/>
                <w:szCs w:val="16"/>
                <w:lang w:eastAsia="zh-CN"/>
              </w:rPr>
            </w:pPr>
            <w:r>
              <w:rPr>
                <w:sz w:val="16"/>
                <w:szCs w:val="16"/>
                <w:lang w:eastAsia="zh-CN"/>
              </w:rPr>
              <w:t>RP-210047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7A1F263" w14:textId="199EB0E6" w:rsidR="004725AB" w:rsidRDefault="004725AB" w:rsidP="00BC0321">
            <w:pPr>
              <w:pStyle w:val="TAL"/>
              <w:rPr>
                <w:sz w:val="16"/>
                <w:szCs w:val="16"/>
              </w:rPr>
            </w:pPr>
            <w:r>
              <w:rPr>
                <w:sz w:val="16"/>
                <w:szCs w:val="16"/>
              </w:rPr>
              <w:t>0182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ADC9E00" w14:textId="77777777" w:rsidR="004725AB" w:rsidRDefault="004725AB"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CA63E44" w14:textId="7ADF0C1D" w:rsidR="004725AB" w:rsidRDefault="004725AB"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0AF8F7E" w14:textId="65B0376A" w:rsidR="004725AB" w:rsidRPr="00EA028E" w:rsidRDefault="004725AB" w:rsidP="00BC0321">
            <w:pPr>
              <w:spacing w:after="0"/>
              <w:rPr>
                <w:rFonts w:ascii="Arial" w:hAnsi="Arial"/>
                <w:sz w:val="16"/>
              </w:rPr>
            </w:pPr>
            <w:r w:rsidRPr="004725AB">
              <w:rPr>
                <w:rFonts w:ascii="Arial" w:hAnsi="Arial"/>
                <w:sz w:val="16"/>
              </w:rPr>
              <w:t>Correction on the search space configuration of PUCCH-SCell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A20B7FB" w14:textId="77777777" w:rsidR="004725AB" w:rsidRDefault="004725AB" w:rsidP="00BC0321">
            <w:pPr>
              <w:pStyle w:val="TAL"/>
              <w:rPr>
                <w:sz w:val="16"/>
                <w:szCs w:val="16"/>
                <w:lang w:eastAsia="zh-CN"/>
              </w:rPr>
            </w:pPr>
            <w:r>
              <w:rPr>
                <w:sz w:val="16"/>
                <w:szCs w:val="16"/>
                <w:lang w:eastAsia="zh-CN"/>
              </w:rPr>
              <w:t>16.5.0</w:t>
            </w:r>
          </w:p>
        </w:tc>
      </w:tr>
      <w:tr w:rsidR="00DD355D" w:rsidRPr="00B916EC" w14:paraId="357A7EEF" w14:textId="77777777" w:rsidTr="00DD355D">
        <w:tc>
          <w:tcPr>
            <w:tcW w:w="894" w:type="dxa"/>
            <w:tcBorders>
              <w:top w:val="single" w:sz="6" w:space="0" w:color="auto"/>
              <w:left w:val="single" w:sz="6" w:space="0" w:color="auto"/>
              <w:bottom w:val="single" w:sz="6" w:space="0" w:color="auto"/>
              <w:right w:val="single" w:sz="6" w:space="0" w:color="auto"/>
            </w:tcBorders>
            <w:shd w:val="solid" w:color="FFFFFF" w:fill="auto"/>
          </w:tcPr>
          <w:p w14:paraId="58523FD6" w14:textId="77777777" w:rsidR="00DD355D" w:rsidRPr="00B916EC" w:rsidRDefault="00DD355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667C969" w14:textId="77777777" w:rsidR="00DD355D" w:rsidRPr="00B916EC" w:rsidRDefault="00DD355D"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6A6A4BA" w14:textId="35124891" w:rsidR="00DD355D" w:rsidRDefault="00DD355D" w:rsidP="00BC0321">
            <w:pPr>
              <w:pStyle w:val="TAL"/>
              <w:rPr>
                <w:sz w:val="16"/>
                <w:szCs w:val="16"/>
                <w:lang w:eastAsia="zh-CN"/>
              </w:rPr>
            </w:pPr>
            <w:r>
              <w:rPr>
                <w:sz w:val="16"/>
                <w:szCs w:val="16"/>
                <w:lang w:eastAsia="zh-CN"/>
              </w:rPr>
              <w:t>RP-210055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20A3668" w14:textId="7D35765A" w:rsidR="00DD355D" w:rsidRDefault="00DD355D" w:rsidP="00BC0321">
            <w:pPr>
              <w:pStyle w:val="TAL"/>
              <w:rPr>
                <w:sz w:val="16"/>
                <w:szCs w:val="16"/>
              </w:rPr>
            </w:pPr>
            <w:r>
              <w:rPr>
                <w:sz w:val="16"/>
                <w:szCs w:val="16"/>
              </w:rPr>
              <w:t>0183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CD60E85" w14:textId="77777777" w:rsidR="00DD355D" w:rsidRDefault="00DD355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AF7DCE2" w14:textId="49B5F17B" w:rsidR="00DD355D" w:rsidRDefault="00DD355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1E19867" w14:textId="0DAF2270" w:rsidR="00DD355D" w:rsidRPr="00EA028E" w:rsidRDefault="00DD355D" w:rsidP="00BC0321">
            <w:pPr>
              <w:spacing w:after="0"/>
              <w:rPr>
                <w:rFonts w:ascii="Arial" w:hAnsi="Arial"/>
                <w:sz w:val="16"/>
              </w:rPr>
            </w:pPr>
            <w:r w:rsidRPr="00DD355D">
              <w:rPr>
                <w:rFonts w:ascii="Arial" w:hAnsi="Arial"/>
                <w:sz w:val="16"/>
              </w:rPr>
              <w:t>Correction on UCI multiplexing with PUCCH overriding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6A07A23" w14:textId="77777777" w:rsidR="00DD355D" w:rsidRDefault="00DD355D" w:rsidP="00BC0321">
            <w:pPr>
              <w:pStyle w:val="TAL"/>
              <w:rPr>
                <w:sz w:val="16"/>
                <w:szCs w:val="16"/>
                <w:lang w:eastAsia="zh-CN"/>
              </w:rPr>
            </w:pPr>
            <w:r>
              <w:rPr>
                <w:sz w:val="16"/>
                <w:szCs w:val="16"/>
                <w:lang w:eastAsia="zh-CN"/>
              </w:rPr>
              <w:t>16.5.0</w:t>
            </w:r>
          </w:p>
        </w:tc>
      </w:tr>
      <w:tr w:rsidR="00FA1F7B" w:rsidRPr="00B916EC" w14:paraId="40B86057" w14:textId="77777777" w:rsidTr="00FA1F7B">
        <w:tc>
          <w:tcPr>
            <w:tcW w:w="894" w:type="dxa"/>
            <w:tcBorders>
              <w:top w:val="single" w:sz="6" w:space="0" w:color="auto"/>
              <w:left w:val="single" w:sz="6" w:space="0" w:color="auto"/>
              <w:bottom w:val="single" w:sz="6" w:space="0" w:color="auto"/>
              <w:right w:val="single" w:sz="6" w:space="0" w:color="auto"/>
            </w:tcBorders>
            <w:shd w:val="solid" w:color="FFFFFF" w:fill="auto"/>
          </w:tcPr>
          <w:p w14:paraId="45182F88" w14:textId="77777777" w:rsidR="00FA1F7B" w:rsidRPr="00B916EC" w:rsidRDefault="00FA1F7B"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BE448A0" w14:textId="77777777" w:rsidR="00FA1F7B" w:rsidRPr="00B916EC" w:rsidRDefault="00FA1F7B"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FC30243" w14:textId="39358E8B" w:rsidR="00FA1F7B" w:rsidRDefault="00FA1F7B" w:rsidP="00BC0321">
            <w:pPr>
              <w:pStyle w:val="TAL"/>
              <w:rPr>
                <w:sz w:val="16"/>
                <w:szCs w:val="16"/>
                <w:lang w:eastAsia="zh-CN"/>
              </w:rPr>
            </w:pPr>
            <w:r>
              <w:rPr>
                <w:sz w:val="16"/>
                <w:szCs w:val="16"/>
                <w:lang w:eastAsia="zh-CN"/>
              </w:rPr>
              <w:t>RP-210048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73A798A" w14:textId="357A389C" w:rsidR="00FA1F7B" w:rsidRDefault="00FA1F7B" w:rsidP="00BC0321">
            <w:pPr>
              <w:pStyle w:val="TAL"/>
              <w:rPr>
                <w:sz w:val="16"/>
                <w:szCs w:val="16"/>
              </w:rPr>
            </w:pPr>
            <w:r>
              <w:rPr>
                <w:sz w:val="16"/>
                <w:szCs w:val="16"/>
              </w:rPr>
              <w:t>0184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9557BA0" w14:textId="77777777" w:rsidR="00FA1F7B" w:rsidRDefault="00FA1F7B"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F747075" w14:textId="77777777" w:rsidR="00FA1F7B" w:rsidRDefault="00FA1F7B"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10B0F59" w14:textId="0155E456" w:rsidR="00FA1F7B" w:rsidRPr="00EA028E" w:rsidRDefault="00FA1F7B" w:rsidP="00BC0321">
            <w:pPr>
              <w:spacing w:after="0"/>
              <w:rPr>
                <w:rFonts w:ascii="Arial" w:hAnsi="Arial"/>
                <w:sz w:val="16"/>
              </w:rPr>
            </w:pPr>
            <w:r w:rsidRPr="00FA1F7B">
              <w:rPr>
                <w:rFonts w:ascii="Arial" w:hAnsi="Arial"/>
                <w:sz w:val="16"/>
              </w:rPr>
              <w:t>CR on transmission timing adjustment procedure in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05890D0" w14:textId="77777777" w:rsidR="00FA1F7B" w:rsidRDefault="00FA1F7B" w:rsidP="00BC0321">
            <w:pPr>
              <w:pStyle w:val="TAL"/>
              <w:rPr>
                <w:sz w:val="16"/>
                <w:szCs w:val="16"/>
                <w:lang w:eastAsia="zh-CN"/>
              </w:rPr>
            </w:pPr>
            <w:r>
              <w:rPr>
                <w:sz w:val="16"/>
                <w:szCs w:val="16"/>
                <w:lang w:eastAsia="zh-CN"/>
              </w:rPr>
              <w:t>16.5.0</w:t>
            </w:r>
          </w:p>
        </w:tc>
      </w:tr>
      <w:tr w:rsidR="00426DA2" w:rsidRPr="00B916EC" w14:paraId="2DC132D0" w14:textId="77777777" w:rsidTr="00426DA2">
        <w:tc>
          <w:tcPr>
            <w:tcW w:w="894" w:type="dxa"/>
            <w:tcBorders>
              <w:top w:val="single" w:sz="6" w:space="0" w:color="auto"/>
              <w:left w:val="single" w:sz="6" w:space="0" w:color="auto"/>
              <w:bottom w:val="single" w:sz="6" w:space="0" w:color="auto"/>
              <w:right w:val="single" w:sz="6" w:space="0" w:color="auto"/>
            </w:tcBorders>
            <w:shd w:val="solid" w:color="FFFFFF" w:fill="auto"/>
          </w:tcPr>
          <w:p w14:paraId="04C3E0AA" w14:textId="77777777" w:rsidR="00426DA2" w:rsidRPr="00B916EC" w:rsidRDefault="00426DA2"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98E9942" w14:textId="77777777" w:rsidR="00426DA2" w:rsidRPr="00B916EC" w:rsidRDefault="00426DA2"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E9A63B7" w14:textId="62D7F09F" w:rsidR="00426DA2" w:rsidRDefault="00426DA2" w:rsidP="00BC0321">
            <w:pPr>
              <w:pStyle w:val="TAL"/>
              <w:rPr>
                <w:sz w:val="16"/>
                <w:szCs w:val="16"/>
                <w:lang w:eastAsia="zh-CN"/>
              </w:rPr>
            </w:pPr>
            <w:r>
              <w:rPr>
                <w:sz w:val="16"/>
                <w:szCs w:val="16"/>
                <w:lang w:eastAsia="zh-CN"/>
              </w:rPr>
              <w:t>RP-210055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3F02079" w14:textId="0175BEE6" w:rsidR="00426DA2" w:rsidRDefault="00426DA2" w:rsidP="00BC0321">
            <w:pPr>
              <w:pStyle w:val="TAL"/>
              <w:rPr>
                <w:sz w:val="16"/>
                <w:szCs w:val="16"/>
              </w:rPr>
            </w:pPr>
            <w:r>
              <w:rPr>
                <w:sz w:val="16"/>
                <w:szCs w:val="16"/>
              </w:rPr>
              <w:t>0186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E1A9640" w14:textId="77777777" w:rsidR="00426DA2" w:rsidRDefault="00426DA2"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D02FC59" w14:textId="77777777" w:rsidR="00426DA2" w:rsidRDefault="00426DA2"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697E023" w14:textId="3A2AC7C0" w:rsidR="00426DA2" w:rsidRPr="00EA028E" w:rsidRDefault="00426DA2" w:rsidP="00BC0321">
            <w:pPr>
              <w:spacing w:after="0"/>
              <w:rPr>
                <w:rFonts w:ascii="Arial" w:hAnsi="Arial"/>
                <w:sz w:val="16"/>
              </w:rPr>
            </w:pPr>
            <w:r w:rsidRPr="00426DA2">
              <w:rPr>
                <w:rFonts w:ascii="Arial" w:hAnsi="Arial"/>
                <w:sz w:val="16"/>
              </w:rPr>
              <w:t>Correction for cancellation due to PDSCH/CSI-RS/SFI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B7E77A8" w14:textId="77777777" w:rsidR="00426DA2" w:rsidRDefault="00426DA2" w:rsidP="00BC0321">
            <w:pPr>
              <w:pStyle w:val="TAL"/>
              <w:rPr>
                <w:sz w:val="16"/>
                <w:szCs w:val="16"/>
                <w:lang w:eastAsia="zh-CN"/>
              </w:rPr>
            </w:pPr>
            <w:r>
              <w:rPr>
                <w:sz w:val="16"/>
                <w:szCs w:val="16"/>
                <w:lang w:eastAsia="zh-CN"/>
              </w:rPr>
              <w:t>16.5.0</w:t>
            </w:r>
          </w:p>
        </w:tc>
      </w:tr>
      <w:tr w:rsidR="00A43829" w:rsidRPr="00B916EC" w14:paraId="332605B2" w14:textId="77777777" w:rsidTr="00A43829">
        <w:tc>
          <w:tcPr>
            <w:tcW w:w="894" w:type="dxa"/>
            <w:tcBorders>
              <w:top w:val="single" w:sz="6" w:space="0" w:color="auto"/>
              <w:left w:val="single" w:sz="6" w:space="0" w:color="auto"/>
              <w:bottom w:val="single" w:sz="6" w:space="0" w:color="auto"/>
              <w:right w:val="single" w:sz="6" w:space="0" w:color="auto"/>
            </w:tcBorders>
            <w:shd w:val="solid" w:color="FFFFFF" w:fill="auto"/>
          </w:tcPr>
          <w:p w14:paraId="0AA87309" w14:textId="77777777" w:rsidR="00A43829" w:rsidRPr="00B916EC" w:rsidRDefault="00A43829"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B51E0C8" w14:textId="77777777" w:rsidR="00A43829" w:rsidRPr="00B916EC" w:rsidRDefault="00A43829"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F29418F" w14:textId="67B5318E" w:rsidR="00A43829" w:rsidRDefault="00A43829" w:rsidP="00BC0321">
            <w:pPr>
              <w:pStyle w:val="TAL"/>
              <w:rPr>
                <w:sz w:val="16"/>
                <w:szCs w:val="16"/>
                <w:lang w:eastAsia="zh-CN"/>
              </w:rPr>
            </w:pPr>
            <w:r>
              <w:rPr>
                <w:sz w:val="16"/>
                <w:szCs w:val="16"/>
                <w:lang w:eastAsia="zh-CN"/>
              </w:rPr>
              <w:t>RP-210049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CC4C9D1" w14:textId="104F85FA" w:rsidR="00A43829" w:rsidRDefault="00A43829" w:rsidP="00BC0321">
            <w:pPr>
              <w:pStyle w:val="TAL"/>
              <w:rPr>
                <w:sz w:val="16"/>
                <w:szCs w:val="16"/>
              </w:rPr>
            </w:pPr>
            <w:r>
              <w:rPr>
                <w:sz w:val="16"/>
                <w:szCs w:val="16"/>
              </w:rPr>
              <w:t>0187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47F199C" w14:textId="77777777" w:rsidR="00A43829" w:rsidRDefault="00A43829"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B0668D5" w14:textId="77777777" w:rsidR="00A43829" w:rsidRDefault="00A43829"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FF0BA8D" w14:textId="66288261" w:rsidR="00A43829" w:rsidRPr="00EA028E" w:rsidRDefault="00A43829" w:rsidP="00BC0321">
            <w:pPr>
              <w:spacing w:after="0"/>
              <w:rPr>
                <w:rFonts w:ascii="Arial" w:hAnsi="Arial"/>
                <w:sz w:val="16"/>
              </w:rPr>
            </w:pPr>
            <w:r w:rsidRPr="00A43829">
              <w:rPr>
                <w:rFonts w:ascii="Arial" w:hAnsi="Arial"/>
                <w:sz w:val="16"/>
              </w:rPr>
              <w:t>Correction of Type-3 HARQ-ACK codebook generation for a PDSCH with one transport block for a configuration with a maximum number of two TBs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13180C7" w14:textId="77777777" w:rsidR="00A43829" w:rsidRDefault="00A43829" w:rsidP="00BC0321">
            <w:pPr>
              <w:pStyle w:val="TAL"/>
              <w:rPr>
                <w:sz w:val="16"/>
                <w:szCs w:val="16"/>
                <w:lang w:eastAsia="zh-CN"/>
              </w:rPr>
            </w:pPr>
            <w:r>
              <w:rPr>
                <w:sz w:val="16"/>
                <w:szCs w:val="16"/>
                <w:lang w:eastAsia="zh-CN"/>
              </w:rPr>
              <w:t>16.5.0</w:t>
            </w:r>
          </w:p>
        </w:tc>
      </w:tr>
      <w:tr w:rsidR="005E2566" w:rsidRPr="00B916EC" w14:paraId="4A00001D" w14:textId="77777777" w:rsidTr="005E2566">
        <w:tc>
          <w:tcPr>
            <w:tcW w:w="894" w:type="dxa"/>
            <w:tcBorders>
              <w:top w:val="single" w:sz="6" w:space="0" w:color="auto"/>
              <w:left w:val="single" w:sz="6" w:space="0" w:color="auto"/>
              <w:bottom w:val="single" w:sz="6" w:space="0" w:color="auto"/>
              <w:right w:val="single" w:sz="6" w:space="0" w:color="auto"/>
            </w:tcBorders>
            <w:shd w:val="solid" w:color="FFFFFF" w:fill="auto"/>
          </w:tcPr>
          <w:p w14:paraId="308B905A" w14:textId="77777777" w:rsidR="005E2566" w:rsidRPr="00B916EC" w:rsidRDefault="005E2566"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52D8E2E" w14:textId="77777777" w:rsidR="005E2566" w:rsidRPr="00B916EC" w:rsidRDefault="005E2566"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FB47178" w14:textId="77777777" w:rsidR="005E2566" w:rsidRDefault="005E2566" w:rsidP="00BC0321">
            <w:pPr>
              <w:pStyle w:val="TAL"/>
              <w:rPr>
                <w:sz w:val="16"/>
                <w:szCs w:val="16"/>
                <w:lang w:eastAsia="zh-CN"/>
              </w:rPr>
            </w:pPr>
            <w:r>
              <w:rPr>
                <w:sz w:val="16"/>
                <w:szCs w:val="16"/>
                <w:lang w:eastAsia="zh-CN"/>
              </w:rPr>
              <w:t>RP-210049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872050C" w14:textId="4CD61263" w:rsidR="005E2566" w:rsidRDefault="005E2566" w:rsidP="00BC0321">
            <w:pPr>
              <w:pStyle w:val="TAL"/>
              <w:rPr>
                <w:sz w:val="16"/>
                <w:szCs w:val="16"/>
              </w:rPr>
            </w:pPr>
            <w:r>
              <w:rPr>
                <w:sz w:val="16"/>
                <w:szCs w:val="16"/>
              </w:rPr>
              <w:t>018</w:t>
            </w:r>
            <w:r w:rsidR="001648EA">
              <w:rPr>
                <w:sz w:val="16"/>
                <w:szCs w:val="16"/>
              </w:rPr>
              <w:t>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9389252" w14:textId="77777777" w:rsidR="005E2566" w:rsidRDefault="005E2566"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A524276" w14:textId="77777777" w:rsidR="005E2566" w:rsidRDefault="005E2566"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0CC6735" w14:textId="13879D3E" w:rsidR="005E2566" w:rsidRPr="00EA028E" w:rsidRDefault="005E2566" w:rsidP="00BC0321">
            <w:pPr>
              <w:spacing w:after="0"/>
              <w:rPr>
                <w:rFonts w:ascii="Arial" w:hAnsi="Arial"/>
                <w:sz w:val="16"/>
              </w:rPr>
            </w:pPr>
            <w:r w:rsidRPr="005E2566">
              <w:rPr>
                <w:rFonts w:ascii="Arial" w:hAnsi="Arial"/>
                <w:sz w:val="16"/>
              </w:rPr>
              <w:t>Correction of UE reception of DL control when a DCI indicates a request for a Type-3 HARQ-ACK codebook report without scheduling PDSCH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CA03AE4" w14:textId="77777777" w:rsidR="005E2566" w:rsidRDefault="005E2566" w:rsidP="00BC0321">
            <w:pPr>
              <w:pStyle w:val="TAL"/>
              <w:rPr>
                <w:sz w:val="16"/>
                <w:szCs w:val="16"/>
                <w:lang w:eastAsia="zh-CN"/>
              </w:rPr>
            </w:pPr>
            <w:r>
              <w:rPr>
                <w:sz w:val="16"/>
                <w:szCs w:val="16"/>
                <w:lang w:eastAsia="zh-CN"/>
              </w:rPr>
              <w:t>16.5.0</w:t>
            </w:r>
          </w:p>
        </w:tc>
      </w:tr>
      <w:tr w:rsidR="001648EA" w:rsidRPr="00B916EC" w14:paraId="66A1DAFD" w14:textId="77777777" w:rsidTr="001648EA">
        <w:tc>
          <w:tcPr>
            <w:tcW w:w="894" w:type="dxa"/>
            <w:tcBorders>
              <w:top w:val="single" w:sz="6" w:space="0" w:color="auto"/>
              <w:left w:val="single" w:sz="6" w:space="0" w:color="auto"/>
              <w:bottom w:val="single" w:sz="6" w:space="0" w:color="auto"/>
              <w:right w:val="single" w:sz="6" w:space="0" w:color="auto"/>
            </w:tcBorders>
            <w:shd w:val="solid" w:color="FFFFFF" w:fill="auto"/>
          </w:tcPr>
          <w:p w14:paraId="05B44BC7" w14:textId="77777777" w:rsidR="001648EA" w:rsidRPr="00B916EC" w:rsidRDefault="001648EA"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0CBB87A" w14:textId="77777777" w:rsidR="001648EA" w:rsidRPr="00B916EC" w:rsidRDefault="001648EA"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2712072" w14:textId="77777777" w:rsidR="001648EA" w:rsidRDefault="001648EA" w:rsidP="00BC0321">
            <w:pPr>
              <w:pStyle w:val="TAL"/>
              <w:rPr>
                <w:sz w:val="16"/>
                <w:szCs w:val="16"/>
                <w:lang w:eastAsia="zh-CN"/>
              </w:rPr>
            </w:pPr>
            <w:r>
              <w:rPr>
                <w:sz w:val="16"/>
                <w:szCs w:val="16"/>
                <w:lang w:eastAsia="zh-CN"/>
              </w:rPr>
              <w:t>RP-210049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8F6A6A1" w14:textId="5AC148E8" w:rsidR="001648EA" w:rsidRDefault="001648EA" w:rsidP="00BC0321">
            <w:pPr>
              <w:pStyle w:val="TAL"/>
              <w:rPr>
                <w:sz w:val="16"/>
                <w:szCs w:val="16"/>
              </w:rPr>
            </w:pPr>
            <w:r>
              <w:rPr>
                <w:sz w:val="16"/>
                <w:szCs w:val="16"/>
              </w:rPr>
              <w:t>0189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96359F0" w14:textId="77777777" w:rsidR="001648EA" w:rsidRDefault="001648EA"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37E11CC" w14:textId="0D476FE7" w:rsidR="001648EA" w:rsidRDefault="003C12E5" w:rsidP="00BC0321">
            <w:pPr>
              <w:pStyle w:val="TAL"/>
              <w:rPr>
                <w:sz w:val="16"/>
              </w:rPr>
            </w:pPr>
            <w:r>
              <w:rPr>
                <w:sz w:val="16"/>
              </w:rPr>
              <w:t>D</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67D8F22" w14:textId="27D91E54" w:rsidR="001648EA" w:rsidRPr="00EA028E" w:rsidRDefault="001648EA" w:rsidP="00BC0321">
            <w:pPr>
              <w:spacing w:after="0"/>
              <w:rPr>
                <w:rFonts w:ascii="Arial" w:hAnsi="Arial"/>
                <w:sz w:val="16"/>
              </w:rPr>
            </w:pPr>
            <w:r w:rsidRPr="001648EA">
              <w:rPr>
                <w:rFonts w:ascii="Arial" w:hAnsi="Arial"/>
                <w:sz w:val="16"/>
              </w:rPr>
              <w:t>Correction on PUCCH power control for enhanced Type-2 HARQ-ACK codebook and for Type-3 HARQ-ACK codebook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9E8E4E4" w14:textId="77777777" w:rsidR="001648EA" w:rsidRDefault="001648EA" w:rsidP="00BC0321">
            <w:pPr>
              <w:pStyle w:val="TAL"/>
              <w:rPr>
                <w:sz w:val="16"/>
                <w:szCs w:val="16"/>
                <w:lang w:eastAsia="zh-CN"/>
              </w:rPr>
            </w:pPr>
            <w:r>
              <w:rPr>
                <w:sz w:val="16"/>
                <w:szCs w:val="16"/>
                <w:lang w:eastAsia="zh-CN"/>
              </w:rPr>
              <w:t>16.5.0</w:t>
            </w:r>
          </w:p>
        </w:tc>
      </w:tr>
      <w:tr w:rsidR="003C12E5" w:rsidRPr="00B916EC" w14:paraId="09A3B7B2" w14:textId="77777777" w:rsidTr="003C12E5">
        <w:tc>
          <w:tcPr>
            <w:tcW w:w="894" w:type="dxa"/>
            <w:tcBorders>
              <w:top w:val="single" w:sz="6" w:space="0" w:color="auto"/>
              <w:left w:val="single" w:sz="6" w:space="0" w:color="auto"/>
              <w:bottom w:val="single" w:sz="6" w:space="0" w:color="auto"/>
              <w:right w:val="single" w:sz="6" w:space="0" w:color="auto"/>
            </w:tcBorders>
            <w:shd w:val="solid" w:color="FFFFFF" w:fill="auto"/>
          </w:tcPr>
          <w:p w14:paraId="00902FC9" w14:textId="77777777" w:rsidR="003C12E5" w:rsidRPr="00B916EC" w:rsidRDefault="003C12E5"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685D923" w14:textId="77777777" w:rsidR="003C12E5" w:rsidRPr="00B916EC" w:rsidRDefault="003C12E5"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7E7D725" w14:textId="50B7F357" w:rsidR="003C12E5" w:rsidRDefault="003C12E5" w:rsidP="00BC0321">
            <w:pPr>
              <w:pStyle w:val="TAL"/>
              <w:rPr>
                <w:sz w:val="16"/>
                <w:szCs w:val="16"/>
                <w:lang w:eastAsia="zh-CN"/>
              </w:rPr>
            </w:pPr>
            <w:r>
              <w:rPr>
                <w:sz w:val="16"/>
                <w:szCs w:val="16"/>
                <w:lang w:eastAsia="zh-CN"/>
              </w:rPr>
              <w:t>RP-210052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4357F75" w14:textId="0BDB55DF" w:rsidR="003C12E5" w:rsidRDefault="003C12E5" w:rsidP="00BC0321">
            <w:pPr>
              <w:pStyle w:val="TAL"/>
              <w:rPr>
                <w:sz w:val="16"/>
                <w:szCs w:val="16"/>
              </w:rPr>
            </w:pPr>
            <w:r>
              <w:rPr>
                <w:sz w:val="16"/>
                <w:szCs w:val="16"/>
              </w:rPr>
              <w:t>0190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3677D40" w14:textId="77777777" w:rsidR="003C12E5" w:rsidRDefault="003C12E5"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43CE09C" w14:textId="77777777" w:rsidR="003C12E5" w:rsidRDefault="003C12E5"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E818AC7" w14:textId="1534409E" w:rsidR="003C12E5" w:rsidRPr="00EA028E" w:rsidRDefault="003C12E5" w:rsidP="00BC0321">
            <w:pPr>
              <w:spacing w:after="0"/>
              <w:rPr>
                <w:rFonts w:ascii="Arial" w:hAnsi="Arial"/>
                <w:sz w:val="16"/>
              </w:rPr>
            </w:pPr>
            <w:r w:rsidRPr="003C12E5">
              <w:rPr>
                <w:rFonts w:ascii="Arial" w:hAnsi="Arial"/>
                <w:sz w:val="16"/>
              </w:rPr>
              <w:t>CR on HARQ-ACK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AB5C06B" w14:textId="77777777" w:rsidR="003C12E5" w:rsidRDefault="003C12E5" w:rsidP="00BC0321">
            <w:pPr>
              <w:pStyle w:val="TAL"/>
              <w:rPr>
                <w:sz w:val="16"/>
                <w:szCs w:val="16"/>
                <w:lang w:eastAsia="zh-CN"/>
              </w:rPr>
            </w:pPr>
            <w:r>
              <w:rPr>
                <w:sz w:val="16"/>
                <w:szCs w:val="16"/>
                <w:lang w:eastAsia="zh-CN"/>
              </w:rPr>
              <w:t>16.5.0</w:t>
            </w:r>
          </w:p>
        </w:tc>
      </w:tr>
      <w:tr w:rsidR="00EC079E" w:rsidRPr="00B916EC" w14:paraId="0107A470" w14:textId="77777777" w:rsidTr="00EC079E">
        <w:tc>
          <w:tcPr>
            <w:tcW w:w="894" w:type="dxa"/>
            <w:tcBorders>
              <w:top w:val="single" w:sz="6" w:space="0" w:color="auto"/>
              <w:left w:val="single" w:sz="6" w:space="0" w:color="auto"/>
              <w:bottom w:val="single" w:sz="6" w:space="0" w:color="auto"/>
              <w:right w:val="single" w:sz="6" w:space="0" w:color="auto"/>
            </w:tcBorders>
            <w:shd w:val="solid" w:color="FFFFFF" w:fill="auto"/>
          </w:tcPr>
          <w:p w14:paraId="1AFD719C" w14:textId="77777777" w:rsidR="00EC079E" w:rsidRPr="00B916EC" w:rsidRDefault="00EC079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7FC257F" w14:textId="77777777" w:rsidR="00EC079E" w:rsidRPr="00B916EC" w:rsidRDefault="00EC079E"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F3738F9" w14:textId="58364378" w:rsidR="00EC079E" w:rsidRDefault="00EC079E" w:rsidP="00BC0321">
            <w:pPr>
              <w:pStyle w:val="TAL"/>
              <w:rPr>
                <w:sz w:val="16"/>
                <w:szCs w:val="16"/>
                <w:lang w:eastAsia="zh-CN"/>
              </w:rPr>
            </w:pPr>
            <w:r>
              <w:rPr>
                <w:sz w:val="16"/>
                <w:szCs w:val="16"/>
                <w:lang w:eastAsia="zh-CN"/>
              </w:rPr>
              <w:t>RP-210049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4919F5F" w14:textId="4E1A4187" w:rsidR="00EC079E" w:rsidRDefault="00EC079E" w:rsidP="00BC0321">
            <w:pPr>
              <w:pStyle w:val="TAL"/>
              <w:rPr>
                <w:sz w:val="16"/>
                <w:szCs w:val="16"/>
              </w:rPr>
            </w:pPr>
            <w:r>
              <w:rPr>
                <w:sz w:val="16"/>
                <w:szCs w:val="16"/>
              </w:rPr>
              <w:t>0191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19BBD2D" w14:textId="77777777" w:rsidR="00EC079E" w:rsidRDefault="00EC079E"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EB553FE" w14:textId="77777777" w:rsidR="00EC079E" w:rsidRDefault="00EC079E"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D641FA5" w14:textId="291020F1" w:rsidR="00EC079E" w:rsidRPr="00EA028E" w:rsidRDefault="00EC079E" w:rsidP="00BC0321">
            <w:pPr>
              <w:spacing w:after="0"/>
              <w:rPr>
                <w:rFonts w:ascii="Arial" w:hAnsi="Arial"/>
                <w:sz w:val="16"/>
              </w:rPr>
            </w:pPr>
            <w:r w:rsidRPr="00EC079E">
              <w:rPr>
                <w:rFonts w:ascii="Arial" w:hAnsi="Arial"/>
                <w:sz w:val="16"/>
              </w:rPr>
              <w:t>Correction on search space set group switching without channel occupancy duration field</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51EFE1E" w14:textId="77777777" w:rsidR="00EC079E" w:rsidRDefault="00EC079E" w:rsidP="00BC0321">
            <w:pPr>
              <w:pStyle w:val="TAL"/>
              <w:rPr>
                <w:sz w:val="16"/>
                <w:szCs w:val="16"/>
                <w:lang w:eastAsia="zh-CN"/>
              </w:rPr>
            </w:pPr>
            <w:r>
              <w:rPr>
                <w:sz w:val="16"/>
                <w:szCs w:val="16"/>
                <w:lang w:eastAsia="zh-CN"/>
              </w:rPr>
              <w:t>16.5.0</w:t>
            </w:r>
          </w:p>
        </w:tc>
      </w:tr>
      <w:tr w:rsidR="00EC079E" w:rsidRPr="00B916EC" w14:paraId="57B0C7C3" w14:textId="77777777" w:rsidTr="00EC079E">
        <w:tc>
          <w:tcPr>
            <w:tcW w:w="894" w:type="dxa"/>
            <w:tcBorders>
              <w:top w:val="single" w:sz="6" w:space="0" w:color="auto"/>
              <w:left w:val="single" w:sz="6" w:space="0" w:color="auto"/>
              <w:bottom w:val="single" w:sz="6" w:space="0" w:color="auto"/>
              <w:right w:val="single" w:sz="6" w:space="0" w:color="auto"/>
            </w:tcBorders>
            <w:shd w:val="solid" w:color="FFFFFF" w:fill="auto"/>
          </w:tcPr>
          <w:p w14:paraId="40305263" w14:textId="77777777" w:rsidR="00EC079E" w:rsidRPr="00B916EC" w:rsidRDefault="00EC079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8D5747D" w14:textId="77777777" w:rsidR="00EC079E" w:rsidRPr="00B916EC" w:rsidRDefault="00EC079E"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FE28EB0" w14:textId="77777777" w:rsidR="00EC079E" w:rsidRDefault="00EC079E" w:rsidP="00BC0321">
            <w:pPr>
              <w:pStyle w:val="TAL"/>
              <w:rPr>
                <w:sz w:val="16"/>
                <w:szCs w:val="16"/>
                <w:lang w:eastAsia="zh-CN"/>
              </w:rPr>
            </w:pPr>
            <w:r>
              <w:rPr>
                <w:sz w:val="16"/>
                <w:szCs w:val="16"/>
                <w:lang w:eastAsia="zh-CN"/>
              </w:rPr>
              <w:t>RP-210052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188E761" w14:textId="3127BEE4" w:rsidR="00EC079E" w:rsidRDefault="00EC079E" w:rsidP="00BC0321">
            <w:pPr>
              <w:pStyle w:val="TAL"/>
              <w:rPr>
                <w:sz w:val="16"/>
                <w:szCs w:val="16"/>
              </w:rPr>
            </w:pPr>
            <w:r>
              <w:rPr>
                <w:sz w:val="16"/>
                <w:szCs w:val="16"/>
              </w:rPr>
              <w:t>0192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C214E3A" w14:textId="77777777" w:rsidR="00EC079E" w:rsidRDefault="00EC079E"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4C2E6AD" w14:textId="77777777" w:rsidR="00EC079E" w:rsidRDefault="00EC079E"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418725C" w14:textId="0A450610" w:rsidR="00EC079E" w:rsidRPr="00EA028E" w:rsidRDefault="00EC079E" w:rsidP="00BC0321">
            <w:pPr>
              <w:spacing w:after="0"/>
              <w:rPr>
                <w:rFonts w:ascii="Arial" w:hAnsi="Arial"/>
                <w:sz w:val="16"/>
              </w:rPr>
            </w:pPr>
            <w:r w:rsidRPr="00EC079E">
              <w:rPr>
                <w:rFonts w:ascii="Arial" w:hAnsi="Arial"/>
                <w:sz w:val="16"/>
              </w:rPr>
              <w:t>Corrections on Scell BFR in Rel-16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E80265" w14:textId="77777777" w:rsidR="00EC079E" w:rsidRDefault="00EC079E" w:rsidP="00BC0321">
            <w:pPr>
              <w:pStyle w:val="TAL"/>
              <w:rPr>
                <w:sz w:val="16"/>
                <w:szCs w:val="16"/>
                <w:lang w:eastAsia="zh-CN"/>
              </w:rPr>
            </w:pPr>
            <w:r>
              <w:rPr>
                <w:sz w:val="16"/>
                <w:szCs w:val="16"/>
                <w:lang w:eastAsia="zh-CN"/>
              </w:rPr>
              <w:t>16.5.0</w:t>
            </w:r>
          </w:p>
        </w:tc>
      </w:tr>
      <w:tr w:rsidR="00FF655D" w:rsidRPr="00B916EC" w14:paraId="4774EA1E" w14:textId="77777777" w:rsidTr="00FF655D">
        <w:tc>
          <w:tcPr>
            <w:tcW w:w="894" w:type="dxa"/>
            <w:tcBorders>
              <w:top w:val="single" w:sz="6" w:space="0" w:color="auto"/>
              <w:left w:val="single" w:sz="6" w:space="0" w:color="auto"/>
              <w:bottom w:val="single" w:sz="6" w:space="0" w:color="auto"/>
              <w:right w:val="single" w:sz="6" w:space="0" w:color="auto"/>
            </w:tcBorders>
            <w:shd w:val="solid" w:color="FFFFFF" w:fill="auto"/>
          </w:tcPr>
          <w:p w14:paraId="48707985" w14:textId="77777777" w:rsidR="00FF655D" w:rsidRPr="00B916EC" w:rsidRDefault="00FF655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DF2B836" w14:textId="77777777" w:rsidR="00FF655D" w:rsidRPr="00B916EC" w:rsidRDefault="00FF655D"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391C1BE" w14:textId="0970DA55" w:rsidR="00FF655D" w:rsidRDefault="00FF655D" w:rsidP="00BC0321">
            <w:pPr>
              <w:pStyle w:val="TAL"/>
              <w:rPr>
                <w:sz w:val="16"/>
                <w:szCs w:val="16"/>
                <w:lang w:eastAsia="zh-CN"/>
              </w:rPr>
            </w:pPr>
            <w:r>
              <w:rPr>
                <w:sz w:val="16"/>
                <w:szCs w:val="16"/>
                <w:lang w:eastAsia="zh-CN"/>
              </w:rPr>
              <w:t>RP-210058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9C24C80" w14:textId="5169D7D3" w:rsidR="00FF655D" w:rsidRDefault="00FF655D" w:rsidP="00BC0321">
            <w:pPr>
              <w:pStyle w:val="TAL"/>
              <w:rPr>
                <w:sz w:val="16"/>
                <w:szCs w:val="16"/>
              </w:rPr>
            </w:pPr>
            <w:r>
              <w:rPr>
                <w:sz w:val="16"/>
                <w:szCs w:val="16"/>
              </w:rPr>
              <w:t>0193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DFD7FFF" w14:textId="77777777" w:rsidR="00FF655D" w:rsidRDefault="00FF655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1244E01" w14:textId="77777777" w:rsidR="00FF655D" w:rsidRDefault="00FF655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8D13349" w14:textId="6A4D7A07" w:rsidR="00FF655D" w:rsidRPr="00EA028E" w:rsidRDefault="00FF655D" w:rsidP="00BC0321">
            <w:pPr>
              <w:spacing w:after="0"/>
              <w:rPr>
                <w:rFonts w:ascii="Arial" w:hAnsi="Arial"/>
                <w:sz w:val="16"/>
              </w:rPr>
            </w:pPr>
            <w:r w:rsidRPr="00FF655D">
              <w:rPr>
                <w:rFonts w:ascii="Arial" w:hAnsi="Arial"/>
                <w:sz w:val="16"/>
              </w:rPr>
              <w:t>Correction on uplink Tx switching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CA956D4" w14:textId="77777777" w:rsidR="00FF655D" w:rsidRDefault="00FF655D" w:rsidP="00BC0321">
            <w:pPr>
              <w:pStyle w:val="TAL"/>
              <w:rPr>
                <w:sz w:val="16"/>
                <w:szCs w:val="16"/>
                <w:lang w:eastAsia="zh-CN"/>
              </w:rPr>
            </w:pPr>
            <w:r>
              <w:rPr>
                <w:sz w:val="16"/>
                <w:szCs w:val="16"/>
                <w:lang w:eastAsia="zh-CN"/>
              </w:rPr>
              <w:t>16.5.0</w:t>
            </w:r>
          </w:p>
        </w:tc>
      </w:tr>
      <w:tr w:rsidR="00FF655D" w:rsidRPr="00B916EC" w14:paraId="7A1D8FAE" w14:textId="77777777" w:rsidTr="00FF655D">
        <w:tc>
          <w:tcPr>
            <w:tcW w:w="894" w:type="dxa"/>
            <w:tcBorders>
              <w:top w:val="single" w:sz="6" w:space="0" w:color="auto"/>
              <w:left w:val="single" w:sz="6" w:space="0" w:color="auto"/>
              <w:bottom w:val="single" w:sz="6" w:space="0" w:color="auto"/>
              <w:right w:val="single" w:sz="6" w:space="0" w:color="auto"/>
            </w:tcBorders>
            <w:shd w:val="solid" w:color="FFFFFF" w:fill="auto"/>
          </w:tcPr>
          <w:p w14:paraId="48C0D609" w14:textId="77777777" w:rsidR="00FF655D" w:rsidRPr="00B916EC" w:rsidRDefault="00FF655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8E004D1" w14:textId="77777777" w:rsidR="00FF655D" w:rsidRPr="00B916EC" w:rsidRDefault="00FF655D"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5258ED5" w14:textId="3BDDDF73" w:rsidR="00FF655D" w:rsidRDefault="00FF655D" w:rsidP="00BC0321">
            <w:pPr>
              <w:pStyle w:val="TAL"/>
              <w:rPr>
                <w:sz w:val="16"/>
                <w:szCs w:val="16"/>
                <w:lang w:eastAsia="zh-CN"/>
              </w:rPr>
            </w:pPr>
            <w:r>
              <w:rPr>
                <w:sz w:val="16"/>
                <w:szCs w:val="16"/>
                <w:lang w:eastAsia="zh-CN"/>
              </w:rPr>
              <w:t>RP-21005</w:t>
            </w:r>
            <w:r w:rsidR="00C25C56">
              <w:rPr>
                <w:sz w:val="16"/>
                <w:szCs w:val="16"/>
                <w:lang w:eastAsia="zh-CN"/>
              </w:rPr>
              <w:t>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CE55119" w14:textId="3F8FC2A5" w:rsidR="00FF655D" w:rsidRDefault="00FF655D" w:rsidP="00BC0321">
            <w:pPr>
              <w:pStyle w:val="TAL"/>
              <w:rPr>
                <w:sz w:val="16"/>
                <w:szCs w:val="16"/>
              </w:rPr>
            </w:pPr>
            <w:r>
              <w:rPr>
                <w:sz w:val="16"/>
                <w:szCs w:val="16"/>
              </w:rPr>
              <w:t>019</w:t>
            </w:r>
            <w:r w:rsidR="00C25C56">
              <w:rPr>
                <w:sz w:val="16"/>
                <w:szCs w:val="16"/>
              </w:rPr>
              <w:t>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465367B" w14:textId="77777777" w:rsidR="00FF655D" w:rsidRDefault="00FF655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9E7ACAE" w14:textId="77777777" w:rsidR="00FF655D" w:rsidRDefault="00FF655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7D85832" w14:textId="24268B52" w:rsidR="00FF655D" w:rsidRPr="00EA028E" w:rsidRDefault="00C25C56" w:rsidP="00BC0321">
            <w:pPr>
              <w:spacing w:after="0"/>
              <w:rPr>
                <w:rFonts w:ascii="Arial" w:hAnsi="Arial"/>
                <w:sz w:val="16"/>
              </w:rPr>
            </w:pPr>
            <w:r w:rsidRPr="00C25C56">
              <w:rPr>
                <w:rFonts w:ascii="Arial" w:hAnsi="Arial"/>
                <w:sz w:val="16"/>
              </w:rPr>
              <w:t>Corrections related to prioritization between uplink and sidelink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1BC267F" w14:textId="77777777" w:rsidR="00FF655D" w:rsidRDefault="00FF655D" w:rsidP="00BC0321">
            <w:pPr>
              <w:pStyle w:val="TAL"/>
              <w:rPr>
                <w:sz w:val="16"/>
                <w:szCs w:val="16"/>
                <w:lang w:eastAsia="zh-CN"/>
              </w:rPr>
            </w:pPr>
            <w:r>
              <w:rPr>
                <w:sz w:val="16"/>
                <w:szCs w:val="16"/>
                <w:lang w:eastAsia="zh-CN"/>
              </w:rPr>
              <w:t>16.5.0</w:t>
            </w:r>
          </w:p>
        </w:tc>
      </w:tr>
      <w:tr w:rsidR="00BD6CD4" w:rsidRPr="00B916EC" w14:paraId="59EFA21B" w14:textId="77777777" w:rsidTr="00BD6CD4">
        <w:tc>
          <w:tcPr>
            <w:tcW w:w="894" w:type="dxa"/>
            <w:tcBorders>
              <w:top w:val="single" w:sz="6" w:space="0" w:color="auto"/>
              <w:left w:val="single" w:sz="6" w:space="0" w:color="auto"/>
              <w:bottom w:val="single" w:sz="6" w:space="0" w:color="auto"/>
              <w:right w:val="single" w:sz="6" w:space="0" w:color="auto"/>
            </w:tcBorders>
            <w:shd w:val="solid" w:color="FFFFFF" w:fill="auto"/>
          </w:tcPr>
          <w:p w14:paraId="0AF9B247" w14:textId="77777777" w:rsidR="00BD6CD4" w:rsidRPr="00B916EC" w:rsidRDefault="00BD6CD4"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838F822" w14:textId="77777777" w:rsidR="00BD6CD4" w:rsidRPr="00B916EC" w:rsidRDefault="00BD6CD4"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C93EC83" w14:textId="77777777" w:rsidR="00BD6CD4" w:rsidRDefault="00BD6CD4" w:rsidP="00BC0321">
            <w:pPr>
              <w:pStyle w:val="TAL"/>
              <w:rPr>
                <w:sz w:val="16"/>
                <w:szCs w:val="16"/>
                <w:lang w:eastAsia="zh-CN"/>
              </w:rPr>
            </w:pPr>
            <w:r>
              <w:rPr>
                <w:sz w:val="16"/>
                <w:szCs w:val="16"/>
                <w:lang w:eastAsia="zh-CN"/>
              </w:rPr>
              <w:t>RP-210050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1E522B6" w14:textId="0D335923" w:rsidR="00BD6CD4" w:rsidRDefault="00BD6CD4" w:rsidP="00BC0321">
            <w:pPr>
              <w:pStyle w:val="TAL"/>
              <w:rPr>
                <w:sz w:val="16"/>
                <w:szCs w:val="16"/>
              </w:rPr>
            </w:pPr>
            <w:r>
              <w:rPr>
                <w:sz w:val="16"/>
                <w:szCs w:val="16"/>
              </w:rPr>
              <w:t>0195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E717C65" w14:textId="77777777" w:rsidR="00BD6CD4" w:rsidRDefault="00BD6CD4"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2BDE970" w14:textId="77777777" w:rsidR="00BD6CD4" w:rsidRDefault="00BD6CD4"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AB130C0" w14:textId="123C8F06" w:rsidR="00BD6CD4" w:rsidRPr="00EA028E" w:rsidRDefault="00BD6CD4" w:rsidP="00BC0321">
            <w:pPr>
              <w:spacing w:after="0"/>
              <w:rPr>
                <w:rFonts w:ascii="Arial" w:hAnsi="Arial"/>
                <w:sz w:val="16"/>
              </w:rPr>
            </w:pPr>
            <w:r w:rsidRPr="00BD6CD4">
              <w:rPr>
                <w:rFonts w:ascii="Arial" w:hAnsi="Arial"/>
                <w:sz w:val="16"/>
              </w:rPr>
              <w:t>Determination of indexes for slots for S-SS/PSBCH block transmission(s)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AA7FF08" w14:textId="77777777" w:rsidR="00BD6CD4" w:rsidRDefault="00BD6CD4" w:rsidP="00BC0321">
            <w:pPr>
              <w:pStyle w:val="TAL"/>
              <w:rPr>
                <w:sz w:val="16"/>
                <w:szCs w:val="16"/>
                <w:lang w:eastAsia="zh-CN"/>
              </w:rPr>
            </w:pPr>
            <w:r>
              <w:rPr>
                <w:sz w:val="16"/>
                <w:szCs w:val="16"/>
                <w:lang w:eastAsia="zh-CN"/>
              </w:rPr>
              <w:t>16.5.0</w:t>
            </w:r>
          </w:p>
        </w:tc>
      </w:tr>
      <w:tr w:rsidR="006556E8" w:rsidRPr="00B916EC" w14:paraId="0525CFE1" w14:textId="77777777" w:rsidTr="006556E8">
        <w:tc>
          <w:tcPr>
            <w:tcW w:w="894" w:type="dxa"/>
            <w:tcBorders>
              <w:top w:val="single" w:sz="6" w:space="0" w:color="auto"/>
              <w:left w:val="single" w:sz="6" w:space="0" w:color="auto"/>
              <w:bottom w:val="single" w:sz="6" w:space="0" w:color="auto"/>
              <w:right w:val="single" w:sz="6" w:space="0" w:color="auto"/>
            </w:tcBorders>
            <w:shd w:val="solid" w:color="FFFFFF" w:fill="auto"/>
          </w:tcPr>
          <w:p w14:paraId="52FDBE25" w14:textId="77777777" w:rsidR="006556E8" w:rsidRPr="00B916EC" w:rsidRDefault="006556E8"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B74867A" w14:textId="77777777" w:rsidR="006556E8" w:rsidRPr="00B916EC" w:rsidRDefault="006556E8"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057EBE1" w14:textId="77777777" w:rsidR="006556E8" w:rsidRDefault="006556E8" w:rsidP="00BC0321">
            <w:pPr>
              <w:pStyle w:val="TAL"/>
              <w:rPr>
                <w:sz w:val="16"/>
                <w:szCs w:val="16"/>
                <w:lang w:eastAsia="zh-CN"/>
              </w:rPr>
            </w:pPr>
            <w:r>
              <w:rPr>
                <w:sz w:val="16"/>
                <w:szCs w:val="16"/>
                <w:lang w:eastAsia="zh-CN"/>
              </w:rPr>
              <w:t>RP-210050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80116CA" w14:textId="6A0CA07E" w:rsidR="006556E8" w:rsidRDefault="006556E8" w:rsidP="00BC0321">
            <w:pPr>
              <w:pStyle w:val="TAL"/>
              <w:rPr>
                <w:sz w:val="16"/>
                <w:szCs w:val="16"/>
              </w:rPr>
            </w:pPr>
            <w:r>
              <w:rPr>
                <w:sz w:val="16"/>
                <w:szCs w:val="16"/>
              </w:rPr>
              <w:t>0196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CD42D8E" w14:textId="77777777" w:rsidR="006556E8" w:rsidRDefault="006556E8"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2E48943" w14:textId="77777777" w:rsidR="006556E8" w:rsidRDefault="006556E8"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4729FAA" w14:textId="1249C41D" w:rsidR="006556E8" w:rsidRPr="00EA028E" w:rsidRDefault="006556E8" w:rsidP="00BC0321">
            <w:pPr>
              <w:spacing w:after="0"/>
              <w:rPr>
                <w:rFonts w:ascii="Arial" w:hAnsi="Arial"/>
                <w:sz w:val="16"/>
              </w:rPr>
            </w:pPr>
            <w:r w:rsidRPr="006556E8">
              <w:rPr>
                <w:rFonts w:ascii="Arial" w:hAnsi="Arial"/>
                <w:sz w:val="16"/>
              </w:rPr>
              <w:t>Restrictions of the slots for S-SSB transmission/reception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C640BCE" w14:textId="77777777" w:rsidR="006556E8" w:rsidRDefault="006556E8" w:rsidP="00BC0321">
            <w:pPr>
              <w:pStyle w:val="TAL"/>
              <w:rPr>
                <w:sz w:val="16"/>
                <w:szCs w:val="16"/>
                <w:lang w:eastAsia="zh-CN"/>
              </w:rPr>
            </w:pPr>
            <w:r>
              <w:rPr>
                <w:sz w:val="16"/>
                <w:szCs w:val="16"/>
                <w:lang w:eastAsia="zh-CN"/>
              </w:rPr>
              <w:t>16.5.0</w:t>
            </w:r>
          </w:p>
        </w:tc>
      </w:tr>
      <w:tr w:rsidR="00674122" w:rsidRPr="00B916EC" w14:paraId="078DACE0" w14:textId="77777777" w:rsidTr="00674122">
        <w:tc>
          <w:tcPr>
            <w:tcW w:w="894" w:type="dxa"/>
            <w:tcBorders>
              <w:top w:val="single" w:sz="6" w:space="0" w:color="auto"/>
              <w:left w:val="single" w:sz="6" w:space="0" w:color="auto"/>
              <w:bottom w:val="single" w:sz="6" w:space="0" w:color="auto"/>
              <w:right w:val="single" w:sz="6" w:space="0" w:color="auto"/>
            </w:tcBorders>
            <w:shd w:val="solid" w:color="FFFFFF" w:fill="auto"/>
          </w:tcPr>
          <w:p w14:paraId="32FF35D1" w14:textId="77777777" w:rsidR="00674122" w:rsidRPr="00B916EC" w:rsidRDefault="00674122"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3C07336" w14:textId="77777777" w:rsidR="00674122" w:rsidRPr="00B916EC" w:rsidRDefault="00674122"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910A1C2" w14:textId="60ADCDAA" w:rsidR="00674122" w:rsidRDefault="00674122" w:rsidP="00BC0321">
            <w:pPr>
              <w:pStyle w:val="TAL"/>
              <w:rPr>
                <w:sz w:val="16"/>
                <w:szCs w:val="16"/>
                <w:lang w:eastAsia="zh-CN"/>
              </w:rPr>
            </w:pPr>
            <w:r>
              <w:rPr>
                <w:sz w:val="16"/>
                <w:szCs w:val="16"/>
                <w:lang w:eastAsia="zh-CN"/>
              </w:rPr>
              <w:t>RP-210051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E1A395C" w14:textId="2FF5281A" w:rsidR="00674122" w:rsidRDefault="00674122" w:rsidP="00BC0321">
            <w:pPr>
              <w:pStyle w:val="TAL"/>
              <w:rPr>
                <w:sz w:val="16"/>
                <w:szCs w:val="16"/>
              </w:rPr>
            </w:pPr>
            <w:r>
              <w:rPr>
                <w:sz w:val="16"/>
                <w:szCs w:val="16"/>
              </w:rPr>
              <w:t>0197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F176CDE" w14:textId="77777777" w:rsidR="00674122" w:rsidRDefault="00674122"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0B85073" w14:textId="77777777" w:rsidR="00674122" w:rsidRDefault="00674122"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9F3106A" w14:textId="120D8572" w:rsidR="00674122" w:rsidRPr="00EA028E" w:rsidRDefault="00674122" w:rsidP="00BC0321">
            <w:pPr>
              <w:spacing w:after="0"/>
              <w:rPr>
                <w:rFonts w:ascii="Arial" w:hAnsi="Arial"/>
                <w:sz w:val="16"/>
              </w:rPr>
            </w:pPr>
            <w:r w:rsidRPr="00674122">
              <w:rPr>
                <w:rFonts w:ascii="Arial" w:hAnsi="Arial"/>
                <w:sz w:val="16"/>
              </w:rPr>
              <w:t>CR on Timing for secondary cell activation / deactivation with sub-slot PUCCH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CC974AB" w14:textId="77777777" w:rsidR="00674122" w:rsidRDefault="00674122" w:rsidP="00BC0321">
            <w:pPr>
              <w:pStyle w:val="TAL"/>
              <w:rPr>
                <w:sz w:val="16"/>
                <w:szCs w:val="16"/>
                <w:lang w:eastAsia="zh-CN"/>
              </w:rPr>
            </w:pPr>
            <w:r>
              <w:rPr>
                <w:sz w:val="16"/>
                <w:szCs w:val="16"/>
                <w:lang w:eastAsia="zh-CN"/>
              </w:rPr>
              <w:t>16.5.0</w:t>
            </w:r>
          </w:p>
        </w:tc>
      </w:tr>
      <w:tr w:rsidR="005409FE" w:rsidRPr="00B916EC" w14:paraId="769A45A5" w14:textId="77777777" w:rsidTr="005409FE">
        <w:tc>
          <w:tcPr>
            <w:tcW w:w="894" w:type="dxa"/>
            <w:tcBorders>
              <w:top w:val="single" w:sz="6" w:space="0" w:color="auto"/>
              <w:left w:val="single" w:sz="6" w:space="0" w:color="auto"/>
              <w:bottom w:val="single" w:sz="6" w:space="0" w:color="auto"/>
              <w:right w:val="single" w:sz="6" w:space="0" w:color="auto"/>
            </w:tcBorders>
            <w:shd w:val="solid" w:color="FFFFFF" w:fill="auto"/>
          </w:tcPr>
          <w:p w14:paraId="4C9C75D2" w14:textId="77777777" w:rsidR="005409FE" w:rsidRPr="00B916EC" w:rsidRDefault="005409F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960DD78" w14:textId="77777777" w:rsidR="005409FE" w:rsidRPr="00B916EC" w:rsidRDefault="005409FE"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41D18D1" w14:textId="77777777" w:rsidR="005409FE" w:rsidRDefault="005409FE" w:rsidP="00BC0321">
            <w:pPr>
              <w:pStyle w:val="TAL"/>
              <w:rPr>
                <w:sz w:val="16"/>
                <w:szCs w:val="16"/>
                <w:lang w:eastAsia="zh-CN"/>
              </w:rPr>
            </w:pPr>
            <w:r>
              <w:rPr>
                <w:sz w:val="16"/>
                <w:szCs w:val="16"/>
                <w:lang w:eastAsia="zh-CN"/>
              </w:rPr>
              <w:t>RP-210051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B4DC3B1" w14:textId="4A024282" w:rsidR="005409FE" w:rsidRDefault="005409FE" w:rsidP="00BC0321">
            <w:pPr>
              <w:pStyle w:val="TAL"/>
              <w:rPr>
                <w:sz w:val="16"/>
                <w:szCs w:val="16"/>
              </w:rPr>
            </w:pPr>
            <w:r>
              <w:rPr>
                <w:sz w:val="16"/>
                <w:szCs w:val="16"/>
              </w:rPr>
              <w:t>0198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1595F3B" w14:textId="77777777" w:rsidR="005409FE" w:rsidRDefault="005409FE"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CA70CB5" w14:textId="77777777" w:rsidR="005409FE" w:rsidRDefault="005409FE"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F9F7763" w14:textId="51335E44" w:rsidR="005409FE" w:rsidRPr="00EA028E" w:rsidRDefault="005409FE" w:rsidP="00BC0321">
            <w:pPr>
              <w:spacing w:after="0"/>
              <w:rPr>
                <w:rFonts w:ascii="Arial" w:hAnsi="Arial"/>
                <w:sz w:val="16"/>
              </w:rPr>
            </w:pPr>
            <w:r w:rsidRPr="005409FE">
              <w:rPr>
                <w:rFonts w:ascii="Arial" w:hAnsi="Arial"/>
                <w:sz w:val="16"/>
              </w:rPr>
              <w:t>CR on number of PUCCHs with HARQ-ACK in a slot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3B3DFB8" w14:textId="77777777" w:rsidR="005409FE" w:rsidRDefault="005409FE" w:rsidP="00BC0321">
            <w:pPr>
              <w:pStyle w:val="TAL"/>
              <w:rPr>
                <w:sz w:val="16"/>
                <w:szCs w:val="16"/>
                <w:lang w:eastAsia="zh-CN"/>
              </w:rPr>
            </w:pPr>
            <w:r>
              <w:rPr>
                <w:sz w:val="16"/>
                <w:szCs w:val="16"/>
                <w:lang w:eastAsia="zh-CN"/>
              </w:rPr>
              <w:t>16.5.0</w:t>
            </w:r>
          </w:p>
        </w:tc>
      </w:tr>
      <w:tr w:rsidR="00502D4A" w:rsidRPr="00B916EC" w14:paraId="61A5326E" w14:textId="77777777" w:rsidTr="00502D4A">
        <w:tc>
          <w:tcPr>
            <w:tcW w:w="894" w:type="dxa"/>
            <w:tcBorders>
              <w:top w:val="single" w:sz="6" w:space="0" w:color="auto"/>
              <w:left w:val="single" w:sz="6" w:space="0" w:color="auto"/>
              <w:bottom w:val="single" w:sz="6" w:space="0" w:color="auto"/>
              <w:right w:val="single" w:sz="6" w:space="0" w:color="auto"/>
            </w:tcBorders>
            <w:shd w:val="solid" w:color="FFFFFF" w:fill="auto"/>
          </w:tcPr>
          <w:p w14:paraId="57C1D272" w14:textId="77777777" w:rsidR="00502D4A" w:rsidRPr="00B916EC" w:rsidRDefault="00502D4A"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1B33B80" w14:textId="77777777" w:rsidR="00502D4A" w:rsidRPr="00B916EC" w:rsidRDefault="00502D4A"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3FE8069" w14:textId="4E3E60C3" w:rsidR="00502D4A" w:rsidRDefault="00502D4A" w:rsidP="00BC0321">
            <w:pPr>
              <w:pStyle w:val="TAL"/>
              <w:rPr>
                <w:sz w:val="16"/>
                <w:szCs w:val="16"/>
                <w:lang w:eastAsia="zh-CN"/>
              </w:rPr>
            </w:pPr>
            <w:r>
              <w:rPr>
                <w:sz w:val="16"/>
                <w:szCs w:val="16"/>
                <w:lang w:eastAsia="zh-CN"/>
              </w:rPr>
              <w:t>RP-210050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590E6A1" w14:textId="1420BD43" w:rsidR="00502D4A" w:rsidRDefault="00502D4A" w:rsidP="00BC0321">
            <w:pPr>
              <w:pStyle w:val="TAL"/>
              <w:rPr>
                <w:sz w:val="16"/>
                <w:szCs w:val="16"/>
              </w:rPr>
            </w:pPr>
            <w:r>
              <w:rPr>
                <w:sz w:val="16"/>
                <w:szCs w:val="16"/>
              </w:rPr>
              <w:t>0199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2EC87F4" w14:textId="7D4EB72E" w:rsidR="00502D4A" w:rsidRDefault="00502D4A"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72870D6" w14:textId="77777777" w:rsidR="00502D4A" w:rsidRDefault="00502D4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57D8960" w14:textId="78BEC696" w:rsidR="00502D4A" w:rsidRPr="00EA028E" w:rsidRDefault="00502D4A" w:rsidP="00BC0321">
            <w:pPr>
              <w:spacing w:after="0"/>
              <w:rPr>
                <w:rFonts w:ascii="Arial" w:hAnsi="Arial"/>
                <w:sz w:val="16"/>
              </w:rPr>
            </w:pPr>
            <w:r w:rsidRPr="00502D4A">
              <w:rPr>
                <w:rFonts w:ascii="Arial" w:hAnsi="Arial"/>
                <w:sz w:val="16"/>
              </w:rPr>
              <w:t>Correction of SL HARQ-ACK information reporting to the gNB in Mode 1</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C0BF43A" w14:textId="77777777" w:rsidR="00502D4A" w:rsidRDefault="00502D4A" w:rsidP="00BC0321">
            <w:pPr>
              <w:pStyle w:val="TAL"/>
              <w:rPr>
                <w:sz w:val="16"/>
                <w:szCs w:val="16"/>
                <w:lang w:eastAsia="zh-CN"/>
              </w:rPr>
            </w:pPr>
            <w:r>
              <w:rPr>
                <w:sz w:val="16"/>
                <w:szCs w:val="16"/>
                <w:lang w:eastAsia="zh-CN"/>
              </w:rPr>
              <w:t>16.5.0</w:t>
            </w:r>
          </w:p>
        </w:tc>
      </w:tr>
      <w:tr w:rsidR="00531BC1" w:rsidRPr="00B916EC" w14:paraId="77FEB518" w14:textId="77777777" w:rsidTr="00531BC1">
        <w:tc>
          <w:tcPr>
            <w:tcW w:w="894" w:type="dxa"/>
            <w:tcBorders>
              <w:top w:val="single" w:sz="6" w:space="0" w:color="auto"/>
              <w:left w:val="single" w:sz="6" w:space="0" w:color="auto"/>
              <w:bottom w:val="single" w:sz="6" w:space="0" w:color="auto"/>
              <w:right w:val="single" w:sz="6" w:space="0" w:color="auto"/>
            </w:tcBorders>
            <w:shd w:val="solid" w:color="FFFFFF" w:fill="auto"/>
          </w:tcPr>
          <w:p w14:paraId="7C754374" w14:textId="77777777" w:rsidR="00531BC1" w:rsidRPr="00B916EC" w:rsidRDefault="00531BC1"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9A9A88F" w14:textId="77777777" w:rsidR="00531BC1" w:rsidRPr="00B916EC" w:rsidRDefault="00531BC1"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CB453AF" w14:textId="692B9686" w:rsidR="00531BC1" w:rsidRDefault="00531BC1" w:rsidP="00BC0321">
            <w:pPr>
              <w:pStyle w:val="TAL"/>
              <w:rPr>
                <w:sz w:val="16"/>
                <w:szCs w:val="16"/>
                <w:lang w:eastAsia="zh-CN"/>
              </w:rPr>
            </w:pPr>
            <w:r>
              <w:rPr>
                <w:sz w:val="16"/>
                <w:szCs w:val="16"/>
                <w:lang w:eastAsia="zh-CN"/>
              </w:rPr>
              <w:t>RP-210049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CFB4354" w14:textId="7EACC77D" w:rsidR="00531BC1" w:rsidRDefault="00531BC1" w:rsidP="00BC0321">
            <w:pPr>
              <w:pStyle w:val="TAL"/>
              <w:rPr>
                <w:sz w:val="16"/>
                <w:szCs w:val="16"/>
              </w:rPr>
            </w:pPr>
            <w:r>
              <w:rPr>
                <w:sz w:val="16"/>
                <w:szCs w:val="16"/>
              </w:rPr>
              <w:t>0200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E52D6C9" w14:textId="268CB8E9" w:rsidR="00531BC1" w:rsidRDefault="00531BC1"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B06E52A" w14:textId="77777777" w:rsidR="00531BC1" w:rsidRDefault="00531BC1"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29257BE" w14:textId="3079C17F" w:rsidR="00531BC1" w:rsidRPr="00EA028E" w:rsidRDefault="00531BC1" w:rsidP="00BC0321">
            <w:pPr>
              <w:spacing w:after="0"/>
              <w:rPr>
                <w:rFonts w:ascii="Arial" w:hAnsi="Arial"/>
                <w:sz w:val="16"/>
              </w:rPr>
            </w:pPr>
            <w:r w:rsidRPr="00531BC1">
              <w:rPr>
                <w:rFonts w:ascii="Arial" w:hAnsi="Arial"/>
                <w:sz w:val="16"/>
              </w:rPr>
              <w:t>Correction on LBT Type and CP Extension Indication for Semi-Static Channel Occupancy in RAR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33D0BE9" w14:textId="77777777" w:rsidR="00531BC1" w:rsidRDefault="00531BC1" w:rsidP="00BC0321">
            <w:pPr>
              <w:pStyle w:val="TAL"/>
              <w:rPr>
                <w:sz w:val="16"/>
                <w:szCs w:val="16"/>
                <w:lang w:eastAsia="zh-CN"/>
              </w:rPr>
            </w:pPr>
            <w:r>
              <w:rPr>
                <w:sz w:val="16"/>
                <w:szCs w:val="16"/>
                <w:lang w:eastAsia="zh-CN"/>
              </w:rPr>
              <w:t>16.5.0</w:t>
            </w:r>
          </w:p>
        </w:tc>
      </w:tr>
      <w:tr w:rsidR="008A4761" w:rsidRPr="00B916EC" w14:paraId="1244D2E7" w14:textId="77777777" w:rsidTr="008A4761">
        <w:tc>
          <w:tcPr>
            <w:tcW w:w="894" w:type="dxa"/>
            <w:tcBorders>
              <w:top w:val="single" w:sz="6" w:space="0" w:color="auto"/>
              <w:left w:val="single" w:sz="6" w:space="0" w:color="auto"/>
              <w:bottom w:val="single" w:sz="6" w:space="0" w:color="auto"/>
              <w:right w:val="single" w:sz="6" w:space="0" w:color="auto"/>
            </w:tcBorders>
            <w:shd w:val="solid" w:color="FFFFFF" w:fill="auto"/>
          </w:tcPr>
          <w:p w14:paraId="669ABE29" w14:textId="77777777" w:rsidR="008A4761" w:rsidRPr="00B916EC" w:rsidRDefault="008A4761"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97E2900" w14:textId="77777777" w:rsidR="008A4761" w:rsidRPr="00B916EC" w:rsidRDefault="008A4761"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7F7CA60" w14:textId="307018B8" w:rsidR="008A4761" w:rsidRDefault="008A4761" w:rsidP="00BC0321">
            <w:pPr>
              <w:pStyle w:val="TAL"/>
              <w:rPr>
                <w:sz w:val="16"/>
                <w:szCs w:val="16"/>
                <w:lang w:eastAsia="zh-CN"/>
              </w:rPr>
            </w:pPr>
            <w:r>
              <w:rPr>
                <w:sz w:val="16"/>
                <w:szCs w:val="16"/>
                <w:lang w:eastAsia="zh-CN"/>
              </w:rPr>
              <w:t>RP-210054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81BBBDC" w14:textId="7608D4DD" w:rsidR="008A4761" w:rsidRDefault="008A4761" w:rsidP="00BC0321">
            <w:pPr>
              <w:pStyle w:val="TAL"/>
              <w:rPr>
                <w:sz w:val="16"/>
                <w:szCs w:val="16"/>
              </w:rPr>
            </w:pPr>
            <w:r>
              <w:rPr>
                <w:sz w:val="16"/>
                <w:szCs w:val="16"/>
              </w:rPr>
              <w:t>0201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B02D1D8" w14:textId="77777777" w:rsidR="008A4761" w:rsidRDefault="008A4761"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6392D06" w14:textId="77777777" w:rsidR="008A4761" w:rsidRDefault="008A4761"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A812C0E" w14:textId="2D5FB44A" w:rsidR="008A4761" w:rsidRPr="00EA028E" w:rsidRDefault="008A4761" w:rsidP="00BC0321">
            <w:pPr>
              <w:spacing w:after="0"/>
              <w:rPr>
                <w:rFonts w:ascii="Arial" w:hAnsi="Arial"/>
                <w:sz w:val="16"/>
              </w:rPr>
            </w:pPr>
            <w:r w:rsidRPr="008A4761">
              <w:rPr>
                <w:rFonts w:ascii="Arial" w:hAnsi="Arial"/>
                <w:sz w:val="16"/>
              </w:rPr>
              <w:t>CR to 38.213 on PRACH handling for NR-DC power control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883C5B8" w14:textId="77777777" w:rsidR="008A4761" w:rsidRDefault="008A4761" w:rsidP="00BC0321">
            <w:pPr>
              <w:pStyle w:val="TAL"/>
              <w:rPr>
                <w:sz w:val="16"/>
                <w:szCs w:val="16"/>
                <w:lang w:eastAsia="zh-CN"/>
              </w:rPr>
            </w:pPr>
            <w:r>
              <w:rPr>
                <w:sz w:val="16"/>
                <w:szCs w:val="16"/>
                <w:lang w:eastAsia="zh-CN"/>
              </w:rPr>
              <w:t>16.5.0</w:t>
            </w:r>
          </w:p>
        </w:tc>
      </w:tr>
      <w:tr w:rsidR="003C435B" w:rsidRPr="00B916EC" w14:paraId="20A4795F" w14:textId="77777777" w:rsidTr="003C435B">
        <w:tc>
          <w:tcPr>
            <w:tcW w:w="894" w:type="dxa"/>
            <w:tcBorders>
              <w:top w:val="single" w:sz="6" w:space="0" w:color="auto"/>
              <w:left w:val="single" w:sz="6" w:space="0" w:color="auto"/>
              <w:bottom w:val="single" w:sz="6" w:space="0" w:color="auto"/>
              <w:right w:val="single" w:sz="6" w:space="0" w:color="auto"/>
            </w:tcBorders>
            <w:shd w:val="solid" w:color="FFFFFF" w:fill="auto"/>
          </w:tcPr>
          <w:p w14:paraId="38930858" w14:textId="77777777" w:rsidR="003C435B" w:rsidRPr="00B916EC" w:rsidRDefault="003C435B"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BB3E751" w14:textId="77777777" w:rsidR="003C435B" w:rsidRPr="00B916EC" w:rsidRDefault="003C435B"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FBDF5FA" w14:textId="77777777" w:rsidR="003C435B" w:rsidRDefault="003C435B" w:rsidP="00BC0321">
            <w:pPr>
              <w:pStyle w:val="TAL"/>
              <w:rPr>
                <w:sz w:val="16"/>
                <w:szCs w:val="16"/>
                <w:lang w:eastAsia="zh-CN"/>
              </w:rPr>
            </w:pPr>
            <w:r>
              <w:rPr>
                <w:sz w:val="16"/>
                <w:szCs w:val="16"/>
                <w:lang w:eastAsia="zh-CN"/>
              </w:rPr>
              <w:t>RP-210054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59252DB" w14:textId="73855D47" w:rsidR="003C435B" w:rsidRDefault="003C435B" w:rsidP="00BC0321">
            <w:pPr>
              <w:pStyle w:val="TAL"/>
              <w:rPr>
                <w:sz w:val="16"/>
                <w:szCs w:val="16"/>
              </w:rPr>
            </w:pPr>
            <w:r>
              <w:rPr>
                <w:sz w:val="16"/>
                <w:szCs w:val="16"/>
              </w:rPr>
              <w:t>0202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9819000" w14:textId="77777777" w:rsidR="003C435B" w:rsidRDefault="003C435B"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A7E0DF7" w14:textId="77777777" w:rsidR="003C435B" w:rsidRDefault="003C435B"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0EA9EE3" w14:textId="4D1B0AE9" w:rsidR="003C435B" w:rsidRPr="00EA028E" w:rsidRDefault="003C435B" w:rsidP="00BC0321">
            <w:pPr>
              <w:spacing w:after="0"/>
              <w:rPr>
                <w:rFonts w:ascii="Arial" w:hAnsi="Arial"/>
                <w:sz w:val="16"/>
              </w:rPr>
            </w:pPr>
            <w:r w:rsidRPr="003C435B">
              <w:rPr>
                <w:rFonts w:ascii="Arial" w:hAnsi="Arial"/>
                <w:sz w:val="16"/>
              </w:rPr>
              <w:t>CR to 38.213 on HARQ-ACK priority determination for SCell dormancy indication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3DE425C" w14:textId="77777777" w:rsidR="003C435B" w:rsidRDefault="003C435B" w:rsidP="00BC0321">
            <w:pPr>
              <w:pStyle w:val="TAL"/>
              <w:rPr>
                <w:sz w:val="16"/>
                <w:szCs w:val="16"/>
                <w:lang w:eastAsia="zh-CN"/>
              </w:rPr>
            </w:pPr>
            <w:r>
              <w:rPr>
                <w:sz w:val="16"/>
                <w:szCs w:val="16"/>
                <w:lang w:eastAsia="zh-CN"/>
              </w:rPr>
              <w:t>16.5.0</w:t>
            </w:r>
          </w:p>
        </w:tc>
      </w:tr>
      <w:tr w:rsidR="006C5786" w:rsidRPr="00B916EC" w14:paraId="625AC9E8" w14:textId="77777777" w:rsidTr="006C5786">
        <w:tc>
          <w:tcPr>
            <w:tcW w:w="894" w:type="dxa"/>
            <w:tcBorders>
              <w:top w:val="single" w:sz="6" w:space="0" w:color="auto"/>
              <w:left w:val="single" w:sz="6" w:space="0" w:color="auto"/>
              <w:bottom w:val="single" w:sz="6" w:space="0" w:color="auto"/>
              <w:right w:val="single" w:sz="6" w:space="0" w:color="auto"/>
            </w:tcBorders>
            <w:shd w:val="solid" w:color="FFFFFF" w:fill="auto"/>
          </w:tcPr>
          <w:p w14:paraId="5300C6AD" w14:textId="77777777" w:rsidR="006C5786" w:rsidRPr="00B916EC" w:rsidRDefault="006C5786"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FD2AD0B" w14:textId="77777777" w:rsidR="006C5786" w:rsidRPr="00B916EC" w:rsidRDefault="006C5786"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04562CD" w14:textId="254A569E" w:rsidR="006C5786" w:rsidRDefault="006C5786" w:rsidP="00BC0321">
            <w:pPr>
              <w:pStyle w:val="TAL"/>
              <w:rPr>
                <w:sz w:val="16"/>
                <w:szCs w:val="16"/>
                <w:lang w:eastAsia="zh-CN"/>
              </w:rPr>
            </w:pPr>
            <w:r>
              <w:rPr>
                <w:sz w:val="16"/>
                <w:szCs w:val="16"/>
                <w:lang w:eastAsia="zh-CN"/>
              </w:rPr>
              <w:t>RP-210055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0EC2A36" w14:textId="7F1CE98F" w:rsidR="006C5786" w:rsidRDefault="006C5786" w:rsidP="00BC0321">
            <w:pPr>
              <w:pStyle w:val="TAL"/>
              <w:rPr>
                <w:sz w:val="16"/>
                <w:szCs w:val="16"/>
              </w:rPr>
            </w:pPr>
            <w:r>
              <w:rPr>
                <w:sz w:val="16"/>
                <w:szCs w:val="16"/>
              </w:rPr>
              <w:t>0203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F1C4E5B" w14:textId="77777777" w:rsidR="006C5786" w:rsidRDefault="006C5786"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BF6D2E5" w14:textId="77777777" w:rsidR="006C5786" w:rsidRDefault="006C5786"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7059339" w14:textId="2B6C2E74" w:rsidR="006C5786" w:rsidRPr="00EA028E" w:rsidRDefault="006C5786" w:rsidP="00BC0321">
            <w:pPr>
              <w:spacing w:after="0"/>
              <w:rPr>
                <w:rFonts w:ascii="Arial" w:hAnsi="Arial"/>
                <w:sz w:val="16"/>
              </w:rPr>
            </w:pPr>
            <w:r w:rsidRPr="006C5786">
              <w:rPr>
                <w:rFonts w:ascii="Arial" w:hAnsi="Arial"/>
                <w:sz w:val="16"/>
              </w:rPr>
              <w:t>38.213 CR on DCI ordering in a search space set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BEDF19C" w14:textId="77777777" w:rsidR="006C5786" w:rsidRDefault="006C5786" w:rsidP="00BC0321">
            <w:pPr>
              <w:pStyle w:val="TAL"/>
              <w:rPr>
                <w:sz w:val="16"/>
                <w:szCs w:val="16"/>
                <w:lang w:eastAsia="zh-CN"/>
              </w:rPr>
            </w:pPr>
            <w:r>
              <w:rPr>
                <w:sz w:val="16"/>
                <w:szCs w:val="16"/>
                <w:lang w:eastAsia="zh-CN"/>
              </w:rPr>
              <w:t>16.5.0</w:t>
            </w:r>
          </w:p>
        </w:tc>
      </w:tr>
      <w:tr w:rsidR="006C5786" w:rsidRPr="00B916EC" w14:paraId="34B5E0A0" w14:textId="77777777" w:rsidTr="006C5786">
        <w:tc>
          <w:tcPr>
            <w:tcW w:w="894" w:type="dxa"/>
            <w:tcBorders>
              <w:top w:val="single" w:sz="6" w:space="0" w:color="auto"/>
              <w:left w:val="single" w:sz="6" w:space="0" w:color="auto"/>
              <w:bottom w:val="single" w:sz="6" w:space="0" w:color="auto"/>
              <w:right w:val="single" w:sz="6" w:space="0" w:color="auto"/>
            </w:tcBorders>
            <w:shd w:val="solid" w:color="FFFFFF" w:fill="auto"/>
          </w:tcPr>
          <w:p w14:paraId="260FBDC7" w14:textId="77777777" w:rsidR="006C5786" w:rsidRPr="00B916EC" w:rsidRDefault="006C5786"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4F04360" w14:textId="77777777" w:rsidR="006C5786" w:rsidRPr="00B916EC" w:rsidRDefault="006C5786"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05589AC" w14:textId="269CC818" w:rsidR="006C5786" w:rsidRDefault="006C5786" w:rsidP="00BC0321">
            <w:pPr>
              <w:pStyle w:val="TAL"/>
              <w:rPr>
                <w:sz w:val="16"/>
                <w:szCs w:val="16"/>
                <w:lang w:eastAsia="zh-CN"/>
              </w:rPr>
            </w:pPr>
            <w:r>
              <w:rPr>
                <w:sz w:val="16"/>
                <w:szCs w:val="16"/>
                <w:lang w:eastAsia="zh-CN"/>
              </w:rPr>
              <w:t>RP-210051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C8F767B" w14:textId="57197F29" w:rsidR="006C5786" w:rsidRDefault="006C5786" w:rsidP="00BC0321">
            <w:pPr>
              <w:pStyle w:val="TAL"/>
              <w:rPr>
                <w:sz w:val="16"/>
                <w:szCs w:val="16"/>
              </w:rPr>
            </w:pPr>
            <w:r>
              <w:rPr>
                <w:sz w:val="16"/>
                <w:szCs w:val="16"/>
              </w:rPr>
              <w:t>0204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6C13536" w14:textId="77777777" w:rsidR="006C5786" w:rsidRDefault="006C5786"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D231B14" w14:textId="77777777" w:rsidR="006C5786" w:rsidRDefault="006C5786"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6D2AC87" w14:textId="595CDB10" w:rsidR="006C5786" w:rsidRPr="00EA028E" w:rsidRDefault="006C5786" w:rsidP="00BC0321">
            <w:pPr>
              <w:spacing w:after="0"/>
              <w:rPr>
                <w:rFonts w:ascii="Arial" w:hAnsi="Arial"/>
                <w:sz w:val="16"/>
              </w:rPr>
            </w:pPr>
            <w:r w:rsidRPr="006C5786">
              <w:rPr>
                <w:rFonts w:ascii="Arial" w:hAnsi="Arial"/>
                <w:sz w:val="16"/>
              </w:rPr>
              <w:t xml:space="preserve">Correction on </w:t>
            </w:r>
            <w:r w:rsidRPr="004455AE">
              <w:rPr>
                <w:rFonts w:ascii="Arial" w:hAnsi="Arial"/>
                <w:i/>
                <w:iCs/>
                <w:sz w:val="16"/>
              </w:rPr>
              <w:t>dci-FormatsExt</w:t>
            </w:r>
            <w:r w:rsidRPr="006C5786">
              <w:rPr>
                <w:rFonts w:ascii="Arial" w:hAnsi="Arial"/>
                <w:sz w:val="16"/>
              </w:rPr>
              <w:t xml:space="preserve"> in </w:t>
            </w:r>
            <w:r w:rsidR="005E3B15">
              <w:rPr>
                <w:rFonts w:ascii="Arial" w:hAnsi="Arial"/>
                <w:sz w:val="16"/>
              </w:rPr>
              <w:t>clause</w:t>
            </w:r>
            <w:r w:rsidRPr="006C5786">
              <w:rPr>
                <w:rFonts w:ascii="Arial" w:hAnsi="Arial"/>
                <w:sz w:val="16"/>
              </w:rPr>
              <w:t xml:space="preserve"> 10.1 in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B317DD9" w14:textId="77777777" w:rsidR="006C5786" w:rsidRDefault="006C5786" w:rsidP="00BC0321">
            <w:pPr>
              <w:pStyle w:val="TAL"/>
              <w:rPr>
                <w:sz w:val="16"/>
                <w:szCs w:val="16"/>
                <w:lang w:eastAsia="zh-CN"/>
              </w:rPr>
            </w:pPr>
            <w:r>
              <w:rPr>
                <w:sz w:val="16"/>
                <w:szCs w:val="16"/>
                <w:lang w:eastAsia="zh-CN"/>
              </w:rPr>
              <w:t>16.5.0</w:t>
            </w:r>
          </w:p>
        </w:tc>
      </w:tr>
      <w:tr w:rsidR="00D05410" w:rsidRPr="00B916EC" w14:paraId="2E2EA5F5" w14:textId="77777777" w:rsidTr="00D05410">
        <w:tc>
          <w:tcPr>
            <w:tcW w:w="894" w:type="dxa"/>
            <w:tcBorders>
              <w:top w:val="single" w:sz="6" w:space="0" w:color="auto"/>
              <w:left w:val="single" w:sz="6" w:space="0" w:color="auto"/>
              <w:bottom w:val="single" w:sz="6" w:space="0" w:color="auto"/>
              <w:right w:val="single" w:sz="6" w:space="0" w:color="auto"/>
            </w:tcBorders>
            <w:shd w:val="solid" w:color="FFFFFF" w:fill="auto"/>
          </w:tcPr>
          <w:p w14:paraId="21CFE955" w14:textId="77777777" w:rsidR="00D05410" w:rsidRPr="00B916EC" w:rsidRDefault="00D05410"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0372E9B" w14:textId="77777777" w:rsidR="00D05410" w:rsidRPr="00B916EC" w:rsidRDefault="00D05410"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003CA26" w14:textId="77777777" w:rsidR="00D05410" w:rsidRDefault="00D05410" w:rsidP="00BC0321">
            <w:pPr>
              <w:pStyle w:val="TAL"/>
              <w:rPr>
                <w:sz w:val="16"/>
                <w:szCs w:val="16"/>
                <w:lang w:eastAsia="zh-CN"/>
              </w:rPr>
            </w:pPr>
            <w:r>
              <w:rPr>
                <w:sz w:val="16"/>
                <w:szCs w:val="16"/>
                <w:lang w:eastAsia="zh-CN"/>
              </w:rPr>
              <w:t>RP-210051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C6EE57A" w14:textId="494C5429" w:rsidR="00D05410" w:rsidRDefault="00D05410" w:rsidP="00BC0321">
            <w:pPr>
              <w:pStyle w:val="TAL"/>
              <w:rPr>
                <w:sz w:val="16"/>
                <w:szCs w:val="16"/>
              </w:rPr>
            </w:pPr>
            <w:r>
              <w:rPr>
                <w:sz w:val="16"/>
                <w:szCs w:val="16"/>
              </w:rPr>
              <w:t>0205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56652B5" w14:textId="77777777" w:rsidR="00D05410" w:rsidRDefault="00D05410"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17FDE57" w14:textId="77777777" w:rsidR="00D05410" w:rsidRDefault="00D05410"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181A1B9" w14:textId="5CC114A5" w:rsidR="00D05410" w:rsidRPr="00EA028E" w:rsidRDefault="00D05410" w:rsidP="00BC0321">
            <w:pPr>
              <w:spacing w:after="0"/>
              <w:rPr>
                <w:rFonts w:ascii="Arial" w:hAnsi="Arial"/>
                <w:sz w:val="16"/>
              </w:rPr>
            </w:pPr>
            <w:r w:rsidRPr="00D05410">
              <w:rPr>
                <w:rFonts w:ascii="Arial" w:hAnsi="Arial"/>
                <w:sz w:val="16"/>
              </w:rPr>
              <w:t>Resolving collision with semi-static DL and SSB symbols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526022F" w14:textId="77777777" w:rsidR="00D05410" w:rsidRDefault="00D05410" w:rsidP="00BC0321">
            <w:pPr>
              <w:pStyle w:val="TAL"/>
              <w:rPr>
                <w:sz w:val="16"/>
                <w:szCs w:val="16"/>
                <w:lang w:eastAsia="zh-CN"/>
              </w:rPr>
            </w:pPr>
            <w:r>
              <w:rPr>
                <w:sz w:val="16"/>
                <w:szCs w:val="16"/>
                <w:lang w:eastAsia="zh-CN"/>
              </w:rPr>
              <w:t>16.5.0</w:t>
            </w:r>
          </w:p>
        </w:tc>
      </w:tr>
      <w:tr w:rsidR="00391714" w:rsidRPr="00B916EC" w14:paraId="5D11DA50" w14:textId="77777777" w:rsidTr="00391714">
        <w:tc>
          <w:tcPr>
            <w:tcW w:w="894" w:type="dxa"/>
            <w:tcBorders>
              <w:top w:val="single" w:sz="6" w:space="0" w:color="auto"/>
              <w:left w:val="single" w:sz="6" w:space="0" w:color="auto"/>
              <w:bottom w:val="single" w:sz="6" w:space="0" w:color="auto"/>
              <w:right w:val="single" w:sz="6" w:space="0" w:color="auto"/>
            </w:tcBorders>
            <w:shd w:val="solid" w:color="FFFFFF" w:fill="auto"/>
          </w:tcPr>
          <w:p w14:paraId="774877E0" w14:textId="77777777" w:rsidR="00391714" w:rsidRPr="00B916EC" w:rsidRDefault="00391714"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22BC815" w14:textId="77777777" w:rsidR="00391714" w:rsidRPr="00B916EC" w:rsidRDefault="00391714"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4A7A345" w14:textId="77777777" w:rsidR="00391714" w:rsidRDefault="00391714" w:rsidP="00BC0321">
            <w:pPr>
              <w:pStyle w:val="TAL"/>
              <w:rPr>
                <w:sz w:val="16"/>
                <w:szCs w:val="16"/>
                <w:lang w:eastAsia="zh-CN"/>
              </w:rPr>
            </w:pPr>
            <w:r>
              <w:rPr>
                <w:sz w:val="16"/>
                <w:szCs w:val="16"/>
                <w:lang w:eastAsia="zh-CN"/>
              </w:rPr>
              <w:t>RP-210051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E2F7F82" w14:textId="7109CC1E" w:rsidR="00391714" w:rsidRDefault="00391714" w:rsidP="00BC0321">
            <w:pPr>
              <w:pStyle w:val="TAL"/>
              <w:rPr>
                <w:sz w:val="16"/>
                <w:szCs w:val="16"/>
              </w:rPr>
            </w:pPr>
            <w:r>
              <w:rPr>
                <w:sz w:val="16"/>
                <w:szCs w:val="16"/>
              </w:rPr>
              <w:t>0206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F3B7837" w14:textId="77777777" w:rsidR="00391714" w:rsidRDefault="00391714"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77FB596" w14:textId="77777777" w:rsidR="00391714" w:rsidRDefault="00391714"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9663301" w14:textId="6739246B" w:rsidR="00391714" w:rsidRPr="00EA028E" w:rsidRDefault="00391714" w:rsidP="00BC0321">
            <w:pPr>
              <w:spacing w:after="0"/>
              <w:rPr>
                <w:rFonts w:ascii="Arial" w:hAnsi="Arial"/>
                <w:sz w:val="16"/>
              </w:rPr>
            </w:pPr>
            <w:r w:rsidRPr="00391714">
              <w:rPr>
                <w:rFonts w:ascii="Arial" w:hAnsi="Arial"/>
                <w:sz w:val="16"/>
              </w:rPr>
              <w:t xml:space="preserve">Correction on PUCCH resource determination in </w:t>
            </w:r>
            <w:r w:rsidR="005E3B15">
              <w:rPr>
                <w:rFonts w:ascii="Arial" w:hAnsi="Arial"/>
                <w:sz w:val="16"/>
              </w:rPr>
              <w:t>clause</w:t>
            </w:r>
            <w:r w:rsidRPr="00391714">
              <w:rPr>
                <w:rFonts w:ascii="Arial" w:hAnsi="Arial"/>
                <w:sz w:val="16"/>
              </w:rPr>
              <w:t xml:space="preserve"> 9.2.1 in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0BF7C56" w14:textId="77777777" w:rsidR="00391714" w:rsidRDefault="00391714" w:rsidP="00BC0321">
            <w:pPr>
              <w:pStyle w:val="TAL"/>
              <w:rPr>
                <w:sz w:val="16"/>
                <w:szCs w:val="16"/>
                <w:lang w:eastAsia="zh-CN"/>
              </w:rPr>
            </w:pPr>
            <w:r>
              <w:rPr>
                <w:sz w:val="16"/>
                <w:szCs w:val="16"/>
                <w:lang w:eastAsia="zh-CN"/>
              </w:rPr>
              <w:t>16.5.0</w:t>
            </w:r>
          </w:p>
        </w:tc>
      </w:tr>
      <w:tr w:rsidR="00391714" w:rsidRPr="00B916EC" w14:paraId="24FCA76D" w14:textId="77777777" w:rsidTr="00391714">
        <w:tc>
          <w:tcPr>
            <w:tcW w:w="894" w:type="dxa"/>
            <w:tcBorders>
              <w:top w:val="single" w:sz="6" w:space="0" w:color="auto"/>
              <w:left w:val="single" w:sz="6" w:space="0" w:color="auto"/>
              <w:bottom w:val="single" w:sz="6" w:space="0" w:color="auto"/>
              <w:right w:val="single" w:sz="6" w:space="0" w:color="auto"/>
            </w:tcBorders>
            <w:shd w:val="solid" w:color="FFFFFF" w:fill="auto"/>
          </w:tcPr>
          <w:p w14:paraId="310DEC6F" w14:textId="77777777" w:rsidR="00391714" w:rsidRPr="00B916EC" w:rsidRDefault="00391714"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E343DC8" w14:textId="77777777" w:rsidR="00391714" w:rsidRPr="00B916EC" w:rsidRDefault="00391714"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5330B3B" w14:textId="6A14564F" w:rsidR="00391714" w:rsidRDefault="00391714" w:rsidP="00BC0321">
            <w:pPr>
              <w:pStyle w:val="TAL"/>
              <w:rPr>
                <w:sz w:val="16"/>
                <w:szCs w:val="16"/>
                <w:lang w:eastAsia="zh-CN"/>
              </w:rPr>
            </w:pPr>
            <w:r>
              <w:rPr>
                <w:sz w:val="16"/>
                <w:szCs w:val="16"/>
                <w:lang w:eastAsia="zh-CN"/>
              </w:rPr>
              <w:t>RP-210059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242ADBB" w14:textId="562B5FA6" w:rsidR="00391714" w:rsidRDefault="00391714" w:rsidP="00BC0321">
            <w:pPr>
              <w:pStyle w:val="TAL"/>
              <w:rPr>
                <w:sz w:val="16"/>
                <w:szCs w:val="16"/>
              </w:rPr>
            </w:pPr>
            <w:r>
              <w:rPr>
                <w:sz w:val="16"/>
                <w:szCs w:val="16"/>
              </w:rPr>
              <w:t>0207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30F837F" w14:textId="77777777" w:rsidR="00391714" w:rsidRDefault="00391714"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534918F" w14:textId="77777777" w:rsidR="00391714" w:rsidRDefault="00391714"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CC0CD14" w14:textId="4A9C0466" w:rsidR="00391714" w:rsidRPr="00EA028E" w:rsidRDefault="00391714" w:rsidP="00BC0321">
            <w:pPr>
              <w:spacing w:after="0"/>
              <w:rPr>
                <w:rFonts w:ascii="Arial" w:hAnsi="Arial"/>
                <w:sz w:val="16"/>
              </w:rPr>
            </w:pPr>
            <w:r w:rsidRPr="00391714">
              <w:rPr>
                <w:rFonts w:ascii="Arial" w:hAnsi="Arial"/>
                <w:sz w:val="16"/>
              </w:rPr>
              <w:t>Editorial corrections for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B883F99" w14:textId="77777777" w:rsidR="00391714" w:rsidRDefault="00391714" w:rsidP="00BC0321">
            <w:pPr>
              <w:pStyle w:val="TAL"/>
              <w:rPr>
                <w:sz w:val="16"/>
                <w:szCs w:val="16"/>
                <w:lang w:eastAsia="zh-CN"/>
              </w:rPr>
            </w:pPr>
            <w:r>
              <w:rPr>
                <w:sz w:val="16"/>
                <w:szCs w:val="16"/>
                <w:lang w:eastAsia="zh-CN"/>
              </w:rPr>
              <w:t>16.5.0</w:t>
            </w:r>
          </w:p>
        </w:tc>
      </w:tr>
      <w:tr w:rsidR="00391714" w:rsidRPr="00B916EC" w14:paraId="6132A282" w14:textId="77777777" w:rsidTr="00391714">
        <w:tc>
          <w:tcPr>
            <w:tcW w:w="894" w:type="dxa"/>
            <w:tcBorders>
              <w:top w:val="single" w:sz="6" w:space="0" w:color="auto"/>
              <w:left w:val="single" w:sz="6" w:space="0" w:color="auto"/>
              <w:bottom w:val="single" w:sz="6" w:space="0" w:color="auto"/>
              <w:right w:val="single" w:sz="6" w:space="0" w:color="auto"/>
            </w:tcBorders>
            <w:shd w:val="solid" w:color="FFFFFF" w:fill="auto"/>
          </w:tcPr>
          <w:p w14:paraId="173E18DF" w14:textId="77777777" w:rsidR="00391714" w:rsidRPr="00B916EC" w:rsidRDefault="00391714"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44CE446" w14:textId="77777777" w:rsidR="00391714" w:rsidRPr="00B916EC" w:rsidRDefault="00391714" w:rsidP="00BC0321">
            <w:pPr>
              <w:pStyle w:val="TAL"/>
              <w:rPr>
                <w:sz w:val="16"/>
                <w:szCs w:val="16"/>
                <w:lang w:eastAsia="zh-CN"/>
              </w:rPr>
            </w:pPr>
            <w:r w:rsidRPr="00B916EC">
              <w:rPr>
                <w:sz w:val="16"/>
                <w:szCs w:val="16"/>
                <w:lang w:eastAsia="zh-CN"/>
              </w:rPr>
              <w:t>RAN#</w:t>
            </w:r>
            <w:r>
              <w:rPr>
                <w:sz w:val="16"/>
                <w:szCs w:val="16"/>
                <w:lang w:eastAsia="zh-CN"/>
              </w:rPr>
              <w:t>91-e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4DE3349" w14:textId="1397D98E" w:rsidR="00391714" w:rsidRDefault="00391714" w:rsidP="00BC0321">
            <w:pPr>
              <w:pStyle w:val="TAL"/>
              <w:rPr>
                <w:sz w:val="16"/>
                <w:szCs w:val="16"/>
                <w:lang w:eastAsia="zh-CN"/>
              </w:rPr>
            </w:pPr>
            <w:r>
              <w:rPr>
                <w:sz w:val="16"/>
                <w:szCs w:val="16"/>
                <w:lang w:eastAsia="zh-CN"/>
              </w:rPr>
              <w:t>RP-210126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B6259E6" w14:textId="07D14295" w:rsidR="00391714" w:rsidRDefault="00391714" w:rsidP="00BC0321">
            <w:pPr>
              <w:pStyle w:val="TAL"/>
              <w:rPr>
                <w:sz w:val="16"/>
                <w:szCs w:val="16"/>
              </w:rPr>
            </w:pPr>
            <w:r>
              <w:rPr>
                <w:sz w:val="16"/>
                <w:szCs w:val="16"/>
              </w:rPr>
              <w:t>0208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71FB95A" w14:textId="77777777" w:rsidR="00391714" w:rsidRDefault="00391714"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71681A5" w14:textId="5A299B86" w:rsidR="00391714" w:rsidRDefault="00391714"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5786984" w14:textId="10483BA0" w:rsidR="00391714" w:rsidRPr="00EA028E" w:rsidRDefault="00391714" w:rsidP="00BC0321">
            <w:pPr>
              <w:spacing w:after="0"/>
              <w:rPr>
                <w:rFonts w:ascii="Arial" w:hAnsi="Arial"/>
                <w:sz w:val="16"/>
              </w:rPr>
            </w:pPr>
            <w:r w:rsidRPr="00391714">
              <w:rPr>
                <w:rFonts w:ascii="Arial" w:hAnsi="Arial"/>
                <w:sz w:val="16"/>
              </w:rPr>
              <w:t>Resubmission of CR179r1 on Correction on supplementary uplink in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774A6DF" w14:textId="77777777" w:rsidR="00391714" w:rsidRDefault="00391714" w:rsidP="00BC0321">
            <w:pPr>
              <w:pStyle w:val="TAL"/>
              <w:rPr>
                <w:sz w:val="16"/>
                <w:szCs w:val="16"/>
                <w:lang w:eastAsia="zh-CN"/>
              </w:rPr>
            </w:pPr>
            <w:r>
              <w:rPr>
                <w:sz w:val="16"/>
                <w:szCs w:val="16"/>
                <w:lang w:eastAsia="zh-CN"/>
              </w:rPr>
              <w:t>16.5.0</w:t>
            </w:r>
          </w:p>
        </w:tc>
      </w:tr>
      <w:tr w:rsidR="005402D2" w:rsidRPr="00B916EC" w14:paraId="3A444253" w14:textId="77777777" w:rsidTr="005402D2">
        <w:tc>
          <w:tcPr>
            <w:tcW w:w="894" w:type="dxa"/>
            <w:tcBorders>
              <w:top w:val="single" w:sz="6" w:space="0" w:color="auto"/>
              <w:left w:val="single" w:sz="6" w:space="0" w:color="auto"/>
              <w:bottom w:val="single" w:sz="6" w:space="0" w:color="auto"/>
              <w:right w:val="single" w:sz="6" w:space="0" w:color="auto"/>
            </w:tcBorders>
            <w:shd w:val="solid" w:color="FFFFFF" w:fill="auto"/>
          </w:tcPr>
          <w:p w14:paraId="3657BC5F" w14:textId="0DE9EE1A" w:rsidR="005402D2" w:rsidRPr="00B916EC" w:rsidRDefault="005402D2"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EE2590F" w14:textId="097A7EEB" w:rsidR="005402D2" w:rsidRPr="00B916EC" w:rsidRDefault="005402D2"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C7F7868" w14:textId="3B21E47F" w:rsidR="005402D2" w:rsidRDefault="005402D2" w:rsidP="00BC0321">
            <w:pPr>
              <w:pStyle w:val="TAL"/>
              <w:rPr>
                <w:sz w:val="16"/>
                <w:szCs w:val="16"/>
                <w:lang w:eastAsia="zh-CN"/>
              </w:rPr>
            </w:pPr>
            <w:r>
              <w:rPr>
                <w:sz w:val="16"/>
                <w:szCs w:val="16"/>
                <w:lang w:eastAsia="zh-CN"/>
              </w:rPr>
              <w:t>RP-211234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13AED19" w14:textId="687F6563" w:rsidR="005402D2" w:rsidRDefault="005402D2" w:rsidP="00BC0321">
            <w:pPr>
              <w:pStyle w:val="TAL"/>
              <w:rPr>
                <w:sz w:val="16"/>
                <w:szCs w:val="16"/>
              </w:rPr>
            </w:pPr>
            <w:r>
              <w:rPr>
                <w:sz w:val="16"/>
                <w:szCs w:val="16"/>
              </w:rPr>
              <w:t>0209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CA69E37" w14:textId="77777777" w:rsidR="005402D2" w:rsidRDefault="005402D2"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F107E6B" w14:textId="0A68CFD9" w:rsidR="005402D2" w:rsidRDefault="005402D2"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6CEB1EE" w14:textId="4393EAA8" w:rsidR="005402D2" w:rsidRPr="00EA028E" w:rsidRDefault="005402D2" w:rsidP="00BC0321">
            <w:pPr>
              <w:spacing w:after="0"/>
              <w:rPr>
                <w:rFonts w:ascii="Arial" w:hAnsi="Arial"/>
                <w:sz w:val="16"/>
              </w:rPr>
            </w:pPr>
            <w:r w:rsidRPr="005402D2">
              <w:rPr>
                <w:rFonts w:ascii="Arial" w:hAnsi="Arial"/>
                <w:sz w:val="16"/>
              </w:rPr>
              <w:t>Correction on multiplexing timeline definition for Type-3 HARQ-ACK codebook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28CAFE3" w14:textId="56E66DB8" w:rsidR="005402D2" w:rsidRDefault="005402D2" w:rsidP="00BC0321">
            <w:pPr>
              <w:pStyle w:val="TAL"/>
              <w:rPr>
                <w:sz w:val="16"/>
                <w:szCs w:val="16"/>
                <w:lang w:eastAsia="zh-CN"/>
              </w:rPr>
            </w:pPr>
            <w:r>
              <w:rPr>
                <w:sz w:val="16"/>
                <w:szCs w:val="16"/>
                <w:lang w:eastAsia="zh-CN"/>
              </w:rPr>
              <w:t>16.6.0</w:t>
            </w:r>
          </w:p>
        </w:tc>
      </w:tr>
      <w:tr w:rsidR="0047459B" w:rsidRPr="00B916EC" w14:paraId="6AF49053" w14:textId="77777777" w:rsidTr="0047459B">
        <w:tc>
          <w:tcPr>
            <w:tcW w:w="894" w:type="dxa"/>
            <w:tcBorders>
              <w:top w:val="single" w:sz="6" w:space="0" w:color="auto"/>
              <w:left w:val="single" w:sz="6" w:space="0" w:color="auto"/>
              <w:bottom w:val="single" w:sz="6" w:space="0" w:color="auto"/>
              <w:right w:val="single" w:sz="6" w:space="0" w:color="auto"/>
            </w:tcBorders>
            <w:shd w:val="solid" w:color="FFFFFF" w:fill="auto"/>
          </w:tcPr>
          <w:p w14:paraId="3585A675" w14:textId="77777777" w:rsidR="0047459B" w:rsidRPr="00B916EC" w:rsidRDefault="0047459B"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34F9AFD" w14:textId="77777777" w:rsidR="0047459B" w:rsidRPr="00B916EC" w:rsidRDefault="0047459B"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FF9CD7F" w14:textId="77777777" w:rsidR="0047459B" w:rsidRDefault="0047459B" w:rsidP="00BC0321">
            <w:pPr>
              <w:pStyle w:val="TAL"/>
              <w:rPr>
                <w:sz w:val="16"/>
                <w:szCs w:val="16"/>
                <w:lang w:eastAsia="zh-CN"/>
              </w:rPr>
            </w:pPr>
            <w:r>
              <w:rPr>
                <w:sz w:val="16"/>
                <w:szCs w:val="16"/>
                <w:lang w:eastAsia="zh-CN"/>
              </w:rPr>
              <w:t>RP-211234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D4D8F6D" w14:textId="0B13071E" w:rsidR="0047459B" w:rsidRDefault="0047459B" w:rsidP="00BC0321">
            <w:pPr>
              <w:pStyle w:val="TAL"/>
              <w:rPr>
                <w:sz w:val="16"/>
                <w:szCs w:val="16"/>
              </w:rPr>
            </w:pPr>
            <w:r>
              <w:rPr>
                <w:sz w:val="16"/>
                <w:szCs w:val="16"/>
              </w:rPr>
              <w:t>0210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384200B" w14:textId="77777777" w:rsidR="0047459B" w:rsidRDefault="0047459B"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ECDF87F" w14:textId="77777777" w:rsidR="0047459B" w:rsidRDefault="0047459B"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EC30A4F" w14:textId="1FF7C35A" w:rsidR="0047459B" w:rsidRPr="00EA028E" w:rsidRDefault="0047459B" w:rsidP="00BC0321">
            <w:pPr>
              <w:spacing w:after="0"/>
              <w:rPr>
                <w:rFonts w:ascii="Arial" w:hAnsi="Arial"/>
                <w:sz w:val="16"/>
              </w:rPr>
            </w:pPr>
            <w:r w:rsidRPr="0047459B">
              <w:rPr>
                <w:rFonts w:ascii="Arial" w:hAnsi="Arial"/>
                <w:sz w:val="16"/>
              </w:rPr>
              <w:t>Correction on Type-3 HARQ-ACK codebook size ambiguity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B6F614D" w14:textId="77777777" w:rsidR="0047459B" w:rsidRDefault="0047459B" w:rsidP="00BC0321">
            <w:pPr>
              <w:pStyle w:val="TAL"/>
              <w:rPr>
                <w:sz w:val="16"/>
                <w:szCs w:val="16"/>
                <w:lang w:eastAsia="zh-CN"/>
              </w:rPr>
            </w:pPr>
            <w:r>
              <w:rPr>
                <w:sz w:val="16"/>
                <w:szCs w:val="16"/>
                <w:lang w:eastAsia="zh-CN"/>
              </w:rPr>
              <w:t>16.6.0</w:t>
            </w:r>
          </w:p>
        </w:tc>
      </w:tr>
      <w:tr w:rsidR="008C2148" w:rsidRPr="00B916EC" w14:paraId="4AB11DA8" w14:textId="77777777" w:rsidTr="008C2148">
        <w:tc>
          <w:tcPr>
            <w:tcW w:w="894" w:type="dxa"/>
            <w:tcBorders>
              <w:top w:val="single" w:sz="6" w:space="0" w:color="auto"/>
              <w:left w:val="single" w:sz="6" w:space="0" w:color="auto"/>
              <w:bottom w:val="single" w:sz="6" w:space="0" w:color="auto"/>
              <w:right w:val="single" w:sz="6" w:space="0" w:color="auto"/>
            </w:tcBorders>
            <w:shd w:val="solid" w:color="FFFFFF" w:fill="auto"/>
          </w:tcPr>
          <w:p w14:paraId="4BA12AEE" w14:textId="77777777" w:rsidR="008C2148" w:rsidRPr="00B916EC" w:rsidRDefault="008C2148"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0F8C675" w14:textId="77777777" w:rsidR="008C2148" w:rsidRPr="00B916EC" w:rsidRDefault="008C2148"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2E214D9" w14:textId="1A0906D0" w:rsidR="008C2148" w:rsidRDefault="008C2148" w:rsidP="00BC0321">
            <w:pPr>
              <w:pStyle w:val="TAL"/>
              <w:rPr>
                <w:sz w:val="16"/>
                <w:szCs w:val="16"/>
                <w:lang w:eastAsia="zh-CN"/>
              </w:rPr>
            </w:pPr>
            <w:r>
              <w:rPr>
                <w:sz w:val="16"/>
                <w:szCs w:val="16"/>
                <w:lang w:eastAsia="zh-CN"/>
              </w:rPr>
              <w:t>RP-211250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646B854" w14:textId="13FD6EE4" w:rsidR="008C2148" w:rsidRDefault="008C2148" w:rsidP="00BC0321">
            <w:pPr>
              <w:pStyle w:val="TAL"/>
              <w:rPr>
                <w:sz w:val="16"/>
                <w:szCs w:val="16"/>
              </w:rPr>
            </w:pPr>
            <w:r>
              <w:rPr>
                <w:sz w:val="16"/>
                <w:szCs w:val="16"/>
              </w:rPr>
              <w:t>0211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21A383F" w14:textId="77777777" w:rsidR="008C2148" w:rsidRDefault="008C2148"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2EC9889" w14:textId="77777777" w:rsidR="008C2148" w:rsidRDefault="008C2148"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9A49CD5" w14:textId="14BE9B04" w:rsidR="008C2148" w:rsidRPr="00EA028E" w:rsidRDefault="008C2148" w:rsidP="00BC0321">
            <w:pPr>
              <w:spacing w:after="0"/>
              <w:rPr>
                <w:rFonts w:ascii="Arial" w:hAnsi="Arial"/>
                <w:sz w:val="16"/>
              </w:rPr>
            </w:pPr>
            <w:r w:rsidRPr="008C2148">
              <w:rPr>
                <w:rFonts w:ascii="Arial" w:hAnsi="Arial"/>
                <w:sz w:val="16"/>
              </w:rPr>
              <w:t>CR to TS 38.213 on clarifying DAPS HO impact on PUCCH repetition counting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B2161C8" w14:textId="77777777" w:rsidR="008C2148" w:rsidRDefault="008C2148" w:rsidP="00BC0321">
            <w:pPr>
              <w:pStyle w:val="TAL"/>
              <w:rPr>
                <w:sz w:val="16"/>
                <w:szCs w:val="16"/>
                <w:lang w:eastAsia="zh-CN"/>
              </w:rPr>
            </w:pPr>
            <w:r>
              <w:rPr>
                <w:sz w:val="16"/>
                <w:szCs w:val="16"/>
                <w:lang w:eastAsia="zh-CN"/>
              </w:rPr>
              <w:t>16.6.0</w:t>
            </w:r>
          </w:p>
        </w:tc>
      </w:tr>
      <w:tr w:rsidR="00B51B2F" w:rsidRPr="00B916EC" w14:paraId="53C90B75" w14:textId="77777777" w:rsidTr="00B51B2F">
        <w:tc>
          <w:tcPr>
            <w:tcW w:w="894" w:type="dxa"/>
            <w:tcBorders>
              <w:top w:val="single" w:sz="6" w:space="0" w:color="auto"/>
              <w:left w:val="single" w:sz="6" w:space="0" w:color="auto"/>
              <w:bottom w:val="single" w:sz="6" w:space="0" w:color="auto"/>
              <w:right w:val="single" w:sz="6" w:space="0" w:color="auto"/>
            </w:tcBorders>
            <w:shd w:val="solid" w:color="FFFFFF" w:fill="auto"/>
          </w:tcPr>
          <w:p w14:paraId="38391932" w14:textId="77777777" w:rsidR="00B51B2F" w:rsidRPr="00B916EC" w:rsidRDefault="00B51B2F"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1887121" w14:textId="77777777" w:rsidR="00B51B2F" w:rsidRPr="00B916EC" w:rsidRDefault="00B51B2F"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A68A9EC" w14:textId="20A6B794" w:rsidR="00B51B2F" w:rsidRDefault="00B51B2F" w:rsidP="00BC0321">
            <w:pPr>
              <w:pStyle w:val="TAL"/>
              <w:rPr>
                <w:sz w:val="16"/>
                <w:szCs w:val="16"/>
                <w:lang w:eastAsia="zh-CN"/>
              </w:rPr>
            </w:pPr>
            <w:r>
              <w:rPr>
                <w:sz w:val="16"/>
                <w:szCs w:val="16"/>
                <w:lang w:eastAsia="zh-CN"/>
              </w:rPr>
              <w:t>RP-211235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C4B9FA5" w14:textId="68EB7CDE" w:rsidR="00B51B2F" w:rsidRDefault="00B51B2F" w:rsidP="00BC0321">
            <w:pPr>
              <w:pStyle w:val="TAL"/>
              <w:rPr>
                <w:sz w:val="16"/>
                <w:szCs w:val="16"/>
              </w:rPr>
            </w:pPr>
            <w:r>
              <w:rPr>
                <w:sz w:val="16"/>
                <w:szCs w:val="16"/>
              </w:rPr>
              <w:t>0212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C386B3D" w14:textId="77777777" w:rsidR="00B51B2F" w:rsidRDefault="00B51B2F"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B76C505" w14:textId="77777777" w:rsidR="00B51B2F" w:rsidRDefault="00B51B2F"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671440E" w14:textId="519466FD" w:rsidR="00B51B2F" w:rsidRPr="00EA028E" w:rsidRDefault="00B51B2F" w:rsidP="00BC0321">
            <w:pPr>
              <w:spacing w:after="0"/>
              <w:rPr>
                <w:rFonts w:ascii="Arial" w:hAnsi="Arial"/>
                <w:sz w:val="16"/>
              </w:rPr>
            </w:pPr>
            <w:r w:rsidRPr="00B51B2F">
              <w:rPr>
                <w:rFonts w:ascii="Arial" w:hAnsi="Arial"/>
                <w:sz w:val="16"/>
              </w:rPr>
              <w:t>Corrections for the reference signal used for sidelink power control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4CB504" w14:textId="77777777" w:rsidR="00B51B2F" w:rsidRDefault="00B51B2F" w:rsidP="00BC0321">
            <w:pPr>
              <w:pStyle w:val="TAL"/>
              <w:rPr>
                <w:sz w:val="16"/>
                <w:szCs w:val="16"/>
                <w:lang w:eastAsia="zh-CN"/>
              </w:rPr>
            </w:pPr>
            <w:r>
              <w:rPr>
                <w:sz w:val="16"/>
                <w:szCs w:val="16"/>
                <w:lang w:eastAsia="zh-CN"/>
              </w:rPr>
              <w:t>16.6.0</w:t>
            </w:r>
          </w:p>
        </w:tc>
      </w:tr>
      <w:tr w:rsidR="00B51B2F" w:rsidRPr="00B916EC" w14:paraId="62288D1C" w14:textId="77777777" w:rsidTr="00B51B2F">
        <w:tc>
          <w:tcPr>
            <w:tcW w:w="894" w:type="dxa"/>
            <w:tcBorders>
              <w:top w:val="single" w:sz="6" w:space="0" w:color="auto"/>
              <w:left w:val="single" w:sz="6" w:space="0" w:color="auto"/>
              <w:bottom w:val="single" w:sz="6" w:space="0" w:color="auto"/>
              <w:right w:val="single" w:sz="6" w:space="0" w:color="auto"/>
            </w:tcBorders>
            <w:shd w:val="solid" w:color="FFFFFF" w:fill="auto"/>
          </w:tcPr>
          <w:p w14:paraId="0EC53FF3" w14:textId="77777777" w:rsidR="00B51B2F" w:rsidRPr="00B916EC" w:rsidRDefault="00B51B2F"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03307B9" w14:textId="77777777" w:rsidR="00B51B2F" w:rsidRPr="00B916EC" w:rsidRDefault="00B51B2F"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0BC11C3" w14:textId="6EF5AB06" w:rsidR="00B51B2F" w:rsidRDefault="00B51B2F" w:rsidP="00BC0321">
            <w:pPr>
              <w:pStyle w:val="TAL"/>
              <w:rPr>
                <w:sz w:val="16"/>
                <w:szCs w:val="16"/>
                <w:lang w:eastAsia="zh-CN"/>
              </w:rPr>
            </w:pPr>
            <w:r>
              <w:rPr>
                <w:sz w:val="16"/>
                <w:szCs w:val="16"/>
                <w:lang w:eastAsia="zh-CN"/>
              </w:rPr>
              <w:t>RP-211237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A02193E" w14:textId="10ED23AE" w:rsidR="00B51B2F" w:rsidRDefault="00B51B2F" w:rsidP="00BC0321">
            <w:pPr>
              <w:pStyle w:val="TAL"/>
              <w:rPr>
                <w:sz w:val="16"/>
                <w:szCs w:val="16"/>
              </w:rPr>
            </w:pPr>
            <w:r>
              <w:rPr>
                <w:sz w:val="16"/>
                <w:szCs w:val="16"/>
              </w:rPr>
              <w:t>0214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D8F2A3A" w14:textId="77777777" w:rsidR="00B51B2F" w:rsidRDefault="00B51B2F"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853DC0C" w14:textId="77777777" w:rsidR="00B51B2F" w:rsidRDefault="00B51B2F"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42D7E32" w14:textId="6F12C3EF" w:rsidR="00B51B2F" w:rsidRPr="00EA028E" w:rsidRDefault="00B51B2F" w:rsidP="00BC0321">
            <w:pPr>
              <w:spacing w:after="0"/>
              <w:rPr>
                <w:rFonts w:ascii="Arial" w:hAnsi="Arial"/>
                <w:sz w:val="16"/>
              </w:rPr>
            </w:pPr>
            <w:r w:rsidRPr="00B51B2F">
              <w:rPr>
                <w:rFonts w:ascii="Arial" w:hAnsi="Arial"/>
                <w:sz w:val="16"/>
              </w:rPr>
              <w:t>Corrections for separate HARQ-ACK feedback of multi-TRP transmission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04F02BB" w14:textId="77777777" w:rsidR="00B51B2F" w:rsidRDefault="00B51B2F" w:rsidP="00BC0321">
            <w:pPr>
              <w:pStyle w:val="TAL"/>
              <w:rPr>
                <w:sz w:val="16"/>
                <w:szCs w:val="16"/>
                <w:lang w:eastAsia="zh-CN"/>
              </w:rPr>
            </w:pPr>
            <w:r>
              <w:rPr>
                <w:sz w:val="16"/>
                <w:szCs w:val="16"/>
                <w:lang w:eastAsia="zh-CN"/>
              </w:rPr>
              <w:t>16.6.0</w:t>
            </w:r>
          </w:p>
        </w:tc>
      </w:tr>
      <w:tr w:rsidR="00745353" w:rsidRPr="00B916EC" w14:paraId="3336FEC2" w14:textId="77777777" w:rsidTr="00745353">
        <w:tc>
          <w:tcPr>
            <w:tcW w:w="894" w:type="dxa"/>
            <w:tcBorders>
              <w:top w:val="single" w:sz="6" w:space="0" w:color="auto"/>
              <w:left w:val="single" w:sz="6" w:space="0" w:color="auto"/>
              <w:bottom w:val="single" w:sz="6" w:space="0" w:color="auto"/>
              <w:right w:val="single" w:sz="6" w:space="0" w:color="auto"/>
            </w:tcBorders>
            <w:shd w:val="solid" w:color="FFFFFF" w:fill="auto"/>
          </w:tcPr>
          <w:p w14:paraId="36645556" w14:textId="77777777" w:rsidR="00745353" w:rsidRPr="00B916EC" w:rsidRDefault="00745353"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22AA679" w14:textId="77777777" w:rsidR="00745353" w:rsidRPr="00B916EC" w:rsidRDefault="00745353"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9414ED0" w14:textId="5C319214" w:rsidR="00745353" w:rsidRDefault="00745353" w:rsidP="00BC0321">
            <w:pPr>
              <w:pStyle w:val="TAL"/>
              <w:rPr>
                <w:sz w:val="16"/>
                <w:szCs w:val="16"/>
                <w:lang w:eastAsia="zh-CN"/>
              </w:rPr>
            </w:pPr>
            <w:r>
              <w:rPr>
                <w:sz w:val="16"/>
                <w:szCs w:val="16"/>
                <w:lang w:eastAsia="zh-CN"/>
              </w:rPr>
              <w:t>RP-211240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979801D" w14:textId="35C97CF2" w:rsidR="00745353" w:rsidRDefault="00745353" w:rsidP="00BC0321">
            <w:pPr>
              <w:pStyle w:val="TAL"/>
              <w:rPr>
                <w:sz w:val="16"/>
                <w:szCs w:val="16"/>
              </w:rPr>
            </w:pPr>
            <w:r>
              <w:rPr>
                <w:sz w:val="16"/>
                <w:szCs w:val="16"/>
              </w:rPr>
              <w:t>0215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534D0CC" w14:textId="77777777" w:rsidR="00745353" w:rsidRDefault="00745353"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63AEA0A" w14:textId="77777777" w:rsidR="00745353" w:rsidRDefault="00745353"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D3169DC" w14:textId="77DBD4D5" w:rsidR="00745353" w:rsidRPr="00EA028E" w:rsidRDefault="00745353" w:rsidP="00BC0321">
            <w:pPr>
              <w:spacing w:after="0"/>
              <w:rPr>
                <w:rFonts w:ascii="Arial" w:hAnsi="Arial"/>
                <w:sz w:val="16"/>
              </w:rPr>
            </w:pPr>
            <w:r w:rsidRPr="00745353">
              <w:rPr>
                <w:rFonts w:ascii="Arial" w:hAnsi="Arial"/>
                <w:sz w:val="16"/>
              </w:rPr>
              <w:t>Correction on half-duplex operation in CA with unpaired spectrum</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BB6E9DF" w14:textId="77777777" w:rsidR="00745353" w:rsidRDefault="00745353" w:rsidP="00BC0321">
            <w:pPr>
              <w:pStyle w:val="TAL"/>
              <w:rPr>
                <w:sz w:val="16"/>
                <w:szCs w:val="16"/>
                <w:lang w:eastAsia="zh-CN"/>
              </w:rPr>
            </w:pPr>
            <w:r>
              <w:rPr>
                <w:sz w:val="16"/>
                <w:szCs w:val="16"/>
                <w:lang w:eastAsia="zh-CN"/>
              </w:rPr>
              <w:t>16.6.0</w:t>
            </w:r>
          </w:p>
        </w:tc>
      </w:tr>
      <w:tr w:rsidR="001A721C" w:rsidRPr="00B916EC" w14:paraId="078E5552" w14:textId="77777777" w:rsidTr="001A721C">
        <w:tc>
          <w:tcPr>
            <w:tcW w:w="894" w:type="dxa"/>
            <w:tcBorders>
              <w:top w:val="single" w:sz="6" w:space="0" w:color="auto"/>
              <w:left w:val="single" w:sz="6" w:space="0" w:color="auto"/>
              <w:bottom w:val="single" w:sz="6" w:space="0" w:color="auto"/>
              <w:right w:val="single" w:sz="6" w:space="0" w:color="auto"/>
            </w:tcBorders>
            <w:shd w:val="solid" w:color="FFFFFF" w:fill="auto"/>
          </w:tcPr>
          <w:p w14:paraId="1C145DAB" w14:textId="77777777" w:rsidR="001A721C" w:rsidRPr="00B916EC" w:rsidRDefault="001A721C"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45A23CA" w14:textId="77777777" w:rsidR="001A721C" w:rsidRPr="00B916EC" w:rsidRDefault="001A721C"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11BDED7" w14:textId="7B1BC4BB" w:rsidR="001A721C" w:rsidRDefault="001A721C" w:rsidP="00BC0321">
            <w:pPr>
              <w:pStyle w:val="TAL"/>
              <w:rPr>
                <w:sz w:val="16"/>
                <w:szCs w:val="16"/>
                <w:lang w:eastAsia="zh-CN"/>
              </w:rPr>
            </w:pPr>
            <w:r>
              <w:rPr>
                <w:sz w:val="16"/>
                <w:szCs w:val="16"/>
                <w:lang w:eastAsia="zh-CN"/>
              </w:rPr>
              <w:t>RP-211239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540AB82" w14:textId="74B45E94" w:rsidR="001A721C" w:rsidRDefault="001A721C" w:rsidP="00BC0321">
            <w:pPr>
              <w:pStyle w:val="TAL"/>
              <w:rPr>
                <w:sz w:val="16"/>
                <w:szCs w:val="16"/>
              </w:rPr>
            </w:pPr>
            <w:r>
              <w:rPr>
                <w:sz w:val="16"/>
                <w:szCs w:val="16"/>
              </w:rPr>
              <w:t>0216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D00660D" w14:textId="77777777" w:rsidR="001A721C" w:rsidRDefault="001A721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357FA07" w14:textId="77777777" w:rsidR="001A721C" w:rsidRDefault="001A721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11FE1AC" w14:textId="29103D70" w:rsidR="001A721C" w:rsidRPr="00EA028E" w:rsidRDefault="001A721C" w:rsidP="00BC0321">
            <w:pPr>
              <w:spacing w:after="0"/>
              <w:rPr>
                <w:rFonts w:ascii="Arial" w:hAnsi="Arial"/>
                <w:sz w:val="16"/>
              </w:rPr>
            </w:pPr>
            <w:r w:rsidRPr="001A721C">
              <w:rPr>
                <w:rFonts w:ascii="Arial" w:hAnsi="Arial"/>
                <w:sz w:val="16"/>
              </w:rPr>
              <w:t>Correction on MR-DC Uplink Power Control in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F21322B" w14:textId="77777777" w:rsidR="001A721C" w:rsidRDefault="001A721C" w:rsidP="00BC0321">
            <w:pPr>
              <w:pStyle w:val="TAL"/>
              <w:rPr>
                <w:sz w:val="16"/>
                <w:szCs w:val="16"/>
                <w:lang w:eastAsia="zh-CN"/>
              </w:rPr>
            </w:pPr>
            <w:r>
              <w:rPr>
                <w:sz w:val="16"/>
                <w:szCs w:val="16"/>
                <w:lang w:eastAsia="zh-CN"/>
              </w:rPr>
              <w:t>16.6.0</w:t>
            </w:r>
          </w:p>
        </w:tc>
      </w:tr>
      <w:tr w:rsidR="006F59DA" w:rsidRPr="00B916EC" w14:paraId="7E826745" w14:textId="77777777" w:rsidTr="006F59DA">
        <w:tc>
          <w:tcPr>
            <w:tcW w:w="894" w:type="dxa"/>
            <w:tcBorders>
              <w:top w:val="single" w:sz="6" w:space="0" w:color="auto"/>
              <w:left w:val="single" w:sz="6" w:space="0" w:color="auto"/>
              <w:bottom w:val="single" w:sz="6" w:space="0" w:color="auto"/>
              <w:right w:val="single" w:sz="6" w:space="0" w:color="auto"/>
            </w:tcBorders>
            <w:shd w:val="solid" w:color="FFFFFF" w:fill="auto"/>
          </w:tcPr>
          <w:p w14:paraId="762C2AB8" w14:textId="77777777" w:rsidR="006F59DA" w:rsidRPr="00B916EC" w:rsidRDefault="006F59DA"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76FC6F6" w14:textId="77777777" w:rsidR="006F59DA" w:rsidRPr="00B916EC" w:rsidRDefault="006F59DA"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630976C" w14:textId="5BD5AF3A" w:rsidR="006F59DA" w:rsidRDefault="006F59DA" w:rsidP="00BC0321">
            <w:pPr>
              <w:pStyle w:val="TAL"/>
              <w:rPr>
                <w:sz w:val="16"/>
                <w:szCs w:val="16"/>
                <w:lang w:eastAsia="zh-CN"/>
              </w:rPr>
            </w:pPr>
            <w:r>
              <w:rPr>
                <w:sz w:val="16"/>
                <w:szCs w:val="16"/>
                <w:lang w:eastAsia="zh-CN"/>
              </w:rPr>
              <w:t>RP-211234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12DCBBA" w14:textId="1541253F" w:rsidR="006F59DA" w:rsidRDefault="006F59DA" w:rsidP="00BC0321">
            <w:pPr>
              <w:pStyle w:val="TAL"/>
              <w:rPr>
                <w:sz w:val="16"/>
                <w:szCs w:val="16"/>
              </w:rPr>
            </w:pPr>
            <w:r>
              <w:rPr>
                <w:sz w:val="16"/>
                <w:szCs w:val="16"/>
              </w:rPr>
              <w:t>0217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4ED489B" w14:textId="77777777" w:rsidR="006F59DA" w:rsidRDefault="006F59DA"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E073854" w14:textId="77777777" w:rsidR="006F59DA" w:rsidRDefault="006F59D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608C189" w14:textId="5B8D8DE2" w:rsidR="006F59DA" w:rsidRPr="00EA028E" w:rsidRDefault="006F59DA" w:rsidP="00BC0321">
            <w:pPr>
              <w:spacing w:after="0"/>
              <w:rPr>
                <w:rFonts w:ascii="Arial" w:hAnsi="Arial"/>
                <w:sz w:val="16"/>
              </w:rPr>
            </w:pPr>
            <w:r w:rsidRPr="006F59DA">
              <w:rPr>
                <w:rFonts w:ascii="Arial" w:hAnsi="Arial"/>
                <w:sz w:val="16"/>
              </w:rPr>
              <w:t>Correction on MsgA PUSCH validation for semistatic channel access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8F5887F" w14:textId="77777777" w:rsidR="006F59DA" w:rsidRDefault="006F59DA" w:rsidP="00BC0321">
            <w:pPr>
              <w:pStyle w:val="TAL"/>
              <w:rPr>
                <w:sz w:val="16"/>
                <w:szCs w:val="16"/>
                <w:lang w:eastAsia="zh-CN"/>
              </w:rPr>
            </w:pPr>
            <w:r>
              <w:rPr>
                <w:sz w:val="16"/>
                <w:szCs w:val="16"/>
                <w:lang w:eastAsia="zh-CN"/>
              </w:rPr>
              <w:t>16.6.0</w:t>
            </w:r>
          </w:p>
        </w:tc>
      </w:tr>
      <w:tr w:rsidR="0031780B" w:rsidRPr="00B916EC" w14:paraId="4471B332" w14:textId="77777777" w:rsidTr="0031780B">
        <w:tc>
          <w:tcPr>
            <w:tcW w:w="894" w:type="dxa"/>
            <w:tcBorders>
              <w:top w:val="single" w:sz="6" w:space="0" w:color="auto"/>
              <w:left w:val="single" w:sz="6" w:space="0" w:color="auto"/>
              <w:bottom w:val="single" w:sz="6" w:space="0" w:color="auto"/>
              <w:right w:val="single" w:sz="6" w:space="0" w:color="auto"/>
            </w:tcBorders>
            <w:shd w:val="solid" w:color="FFFFFF" w:fill="auto"/>
          </w:tcPr>
          <w:p w14:paraId="5A76EE32" w14:textId="77777777" w:rsidR="0031780B" w:rsidRPr="00B916EC" w:rsidRDefault="0031780B" w:rsidP="00BC0321">
            <w:pPr>
              <w:spacing w:after="0"/>
              <w:jc w:val="center"/>
              <w:rPr>
                <w:rFonts w:ascii="Arial" w:hAnsi="Arial"/>
                <w:snapToGrid w:val="0"/>
                <w:sz w:val="16"/>
                <w:szCs w:val="16"/>
              </w:rPr>
            </w:pPr>
            <w:r w:rsidRPr="00B916EC">
              <w:rPr>
                <w:rFonts w:ascii="Arial" w:hAnsi="Arial"/>
                <w:snapToGrid w:val="0"/>
                <w:sz w:val="16"/>
                <w:szCs w:val="16"/>
              </w:rPr>
              <w:lastRenderedPageBreak/>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F9CD7D2" w14:textId="77777777" w:rsidR="0031780B" w:rsidRPr="00B916EC" w:rsidRDefault="0031780B"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F105D18" w14:textId="3288B40D" w:rsidR="0031780B" w:rsidRDefault="0031780B" w:rsidP="00BC0321">
            <w:pPr>
              <w:pStyle w:val="TAL"/>
              <w:rPr>
                <w:sz w:val="16"/>
                <w:szCs w:val="16"/>
                <w:lang w:eastAsia="zh-CN"/>
              </w:rPr>
            </w:pPr>
            <w:r>
              <w:rPr>
                <w:sz w:val="16"/>
                <w:szCs w:val="16"/>
                <w:lang w:eastAsia="zh-CN"/>
              </w:rPr>
              <w:t>RP-211238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1D03857" w14:textId="2D45A78F" w:rsidR="0031780B" w:rsidRDefault="0031780B" w:rsidP="00BC0321">
            <w:pPr>
              <w:pStyle w:val="TAL"/>
              <w:rPr>
                <w:sz w:val="16"/>
                <w:szCs w:val="16"/>
              </w:rPr>
            </w:pPr>
            <w:r>
              <w:rPr>
                <w:sz w:val="16"/>
                <w:szCs w:val="16"/>
              </w:rPr>
              <w:t>0218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C0E142E" w14:textId="77777777" w:rsidR="0031780B" w:rsidRDefault="0031780B"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32919DA" w14:textId="77777777" w:rsidR="0031780B" w:rsidRDefault="0031780B"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AD1A4D4" w14:textId="037955DB" w:rsidR="0031780B" w:rsidRPr="00EA028E" w:rsidRDefault="0031780B" w:rsidP="00BC0321">
            <w:pPr>
              <w:spacing w:after="0"/>
              <w:rPr>
                <w:rFonts w:ascii="Arial" w:hAnsi="Arial"/>
                <w:sz w:val="16"/>
              </w:rPr>
            </w:pPr>
            <w:r w:rsidRPr="0031780B">
              <w:rPr>
                <w:rFonts w:ascii="Arial" w:hAnsi="Arial"/>
                <w:sz w:val="16"/>
              </w:rPr>
              <w:t>CR on the number of pathloss estimates maintained by the UE for SRS for positioning.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AD0A51" w14:textId="77777777" w:rsidR="0031780B" w:rsidRDefault="0031780B" w:rsidP="00BC0321">
            <w:pPr>
              <w:pStyle w:val="TAL"/>
              <w:rPr>
                <w:sz w:val="16"/>
                <w:szCs w:val="16"/>
                <w:lang w:eastAsia="zh-CN"/>
              </w:rPr>
            </w:pPr>
            <w:r>
              <w:rPr>
                <w:sz w:val="16"/>
                <w:szCs w:val="16"/>
                <w:lang w:eastAsia="zh-CN"/>
              </w:rPr>
              <w:t>16.6.0</w:t>
            </w:r>
          </w:p>
        </w:tc>
      </w:tr>
      <w:tr w:rsidR="0031780B" w:rsidRPr="00B916EC" w14:paraId="0914D24F" w14:textId="77777777" w:rsidTr="0031780B">
        <w:tc>
          <w:tcPr>
            <w:tcW w:w="894" w:type="dxa"/>
            <w:tcBorders>
              <w:top w:val="single" w:sz="6" w:space="0" w:color="auto"/>
              <w:left w:val="single" w:sz="6" w:space="0" w:color="auto"/>
              <w:bottom w:val="single" w:sz="6" w:space="0" w:color="auto"/>
              <w:right w:val="single" w:sz="6" w:space="0" w:color="auto"/>
            </w:tcBorders>
            <w:shd w:val="solid" w:color="FFFFFF" w:fill="auto"/>
          </w:tcPr>
          <w:p w14:paraId="499FCC5E" w14:textId="77777777" w:rsidR="0031780B" w:rsidRPr="00B916EC" w:rsidRDefault="0031780B"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2701AD4" w14:textId="77777777" w:rsidR="0031780B" w:rsidRPr="00B916EC" w:rsidRDefault="0031780B"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1C1E0F9" w14:textId="3CD36E64" w:rsidR="0031780B" w:rsidRDefault="0031780B" w:rsidP="00BC0321">
            <w:pPr>
              <w:pStyle w:val="TAL"/>
              <w:rPr>
                <w:sz w:val="16"/>
                <w:szCs w:val="16"/>
                <w:lang w:eastAsia="zh-CN"/>
              </w:rPr>
            </w:pPr>
            <w:r>
              <w:rPr>
                <w:sz w:val="16"/>
                <w:szCs w:val="16"/>
                <w:lang w:eastAsia="zh-CN"/>
              </w:rPr>
              <w:t>RP-211249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5E0A5DF" w14:textId="1F75F2D9" w:rsidR="0031780B" w:rsidRDefault="0031780B" w:rsidP="00BC0321">
            <w:pPr>
              <w:pStyle w:val="TAL"/>
              <w:rPr>
                <w:sz w:val="16"/>
                <w:szCs w:val="16"/>
              </w:rPr>
            </w:pPr>
            <w:r>
              <w:rPr>
                <w:sz w:val="16"/>
                <w:szCs w:val="16"/>
              </w:rPr>
              <w:t>0219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64827C5" w14:textId="77777777" w:rsidR="0031780B" w:rsidRDefault="0031780B"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92A562F" w14:textId="77777777" w:rsidR="0031780B" w:rsidRDefault="0031780B"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8390399" w14:textId="41A2AE41" w:rsidR="0031780B" w:rsidRPr="00EA028E" w:rsidRDefault="0031780B" w:rsidP="00BC0321">
            <w:pPr>
              <w:spacing w:after="0"/>
              <w:rPr>
                <w:rFonts w:ascii="Arial" w:hAnsi="Arial"/>
                <w:sz w:val="16"/>
              </w:rPr>
            </w:pPr>
            <w:r w:rsidRPr="0031780B">
              <w:rPr>
                <w:rFonts w:ascii="Arial" w:hAnsi="Arial"/>
                <w:sz w:val="16"/>
              </w:rPr>
              <w:t>Conditions for IAB-DU soft resource availability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E4BB2BE" w14:textId="77777777" w:rsidR="0031780B" w:rsidRDefault="0031780B" w:rsidP="00BC0321">
            <w:pPr>
              <w:pStyle w:val="TAL"/>
              <w:rPr>
                <w:sz w:val="16"/>
                <w:szCs w:val="16"/>
                <w:lang w:eastAsia="zh-CN"/>
              </w:rPr>
            </w:pPr>
            <w:r>
              <w:rPr>
                <w:sz w:val="16"/>
                <w:szCs w:val="16"/>
                <w:lang w:eastAsia="zh-CN"/>
              </w:rPr>
              <w:t>16.6.0</w:t>
            </w:r>
          </w:p>
        </w:tc>
      </w:tr>
      <w:tr w:rsidR="00C66B23" w:rsidRPr="00B916EC" w14:paraId="4EB33746" w14:textId="77777777" w:rsidTr="00C66B23">
        <w:tc>
          <w:tcPr>
            <w:tcW w:w="894" w:type="dxa"/>
            <w:tcBorders>
              <w:top w:val="single" w:sz="6" w:space="0" w:color="auto"/>
              <w:left w:val="single" w:sz="6" w:space="0" w:color="auto"/>
              <w:bottom w:val="single" w:sz="6" w:space="0" w:color="auto"/>
              <w:right w:val="single" w:sz="6" w:space="0" w:color="auto"/>
            </w:tcBorders>
            <w:shd w:val="solid" w:color="FFFFFF" w:fill="auto"/>
          </w:tcPr>
          <w:p w14:paraId="4003AC5E" w14:textId="77777777" w:rsidR="00C66B23" w:rsidRPr="00B916EC" w:rsidRDefault="00C66B23"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7F85B34" w14:textId="77777777" w:rsidR="00C66B23" w:rsidRPr="00B916EC" w:rsidRDefault="00C66B23"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DCFB78D" w14:textId="21C6BF11" w:rsidR="00C66B23" w:rsidRDefault="00C66B23" w:rsidP="00BC0321">
            <w:pPr>
              <w:pStyle w:val="TAL"/>
              <w:rPr>
                <w:sz w:val="16"/>
                <w:szCs w:val="16"/>
                <w:lang w:eastAsia="zh-CN"/>
              </w:rPr>
            </w:pPr>
            <w:r>
              <w:rPr>
                <w:sz w:val="16"/>
                <w:szCs w:val="16"/>
                <w:lang w:eastAsia="zh-CN"/>
              </w:rPr>
              <w:t>RP-211235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4C17802" w14:textId="5C2E7EE3" w:rsidR="00C66B23" w:rsidRDefault="00C66B23" w:rsidP="00BC0321">
            <w:pPr>
              <w:pStyle w:val="TAL"/>
              <w:rPr>
                <w:sz w:val="16"/>
                <w:szCs w:val="16"/>
              </w:rPr>
            </w:pPr>
            <w:r>
              <w:rPr>
                <w:sz w:val="16"/>
                <w:szCs w:val="16"/>
              </w:rPr>
              <w:t>0220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D25D21F" w14:textId="77777777" w:rsidR="00C66B23" w:rsidRDefault="00C66B23"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EFAD098" w14:textId="77777777" w:rsidR="00C66B23" w:rsidRDefault="00C66B23"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7212F42" w14:textId="71DD197D" w:rsidR="00C66B23" w:rsidRPr="00EA028E" w:rsidRDefault="00C66B23" w:rsidP="00BC0321">
            <w:pPr>
              <w:spacing w:after="0"/>
              <w:rPr>
                <w:rFonts w:ascii="Arial" w:hAnsi="Arial"/>
                <w:sz w:val="16"/>
              </w:rPr>
            </w:pPr>
            <w:r w:rsidRPr="00C66B23">
              <w:rPr>
                <w:rFonts w:ascii="Arial" w:hAnsi="Arial"/>
                <w:sz w:val="16"/>
              </w:rPr>
              <w:t>Correction of search space configuration for DCI formats 3_0 and 3_1</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F1EE13A" w14:textId="77777777" w:rsidR="00C66B23" w:rsidRDefault="00C66B23" w:rsidP="00BC0321">
            <w:pPr>
              <w:pStyle w:val="TAL"/>
              <w:rPr>
                <w:sz w:val="16"/>
                <w:szCs w:val="16"/>
                <w:lang w:eastAsia="zh-CN"/>
              </w:rPr>
            </w:pPr>
            <w:r>
              <w:rPr>
                <w:sz w:val="16"/>
                <w:szCs w:val="16"/>
                <w:lang w:eastAsia="zh-CN"/>
              </w:rPr>
              <w:t>16.6.0</w:t>
            </w:r>
          </w:p>
        </w:tc>
      </w:tr>
      <w:tr w:rsidR="00C66B23" w:rsidRPr="00B916EC" w14:paraId="70791AD0" w14:textId="77777777" w:rsidTr="00C66B23">
        <w:tc>
          <w:tcPr>
            <w:tcW w:w="894" w:type="dxa"/>
            <w:tcBorders>
              <w:top w:val="single" w:sz="6" w:space="0" w:color="auto"/>
              <w:left w:val="single" w:sz="6" w:space="0" w:color="auto"/>
              <w:bottom w:val="single" w:sz="6" w:space="0" w:color="auto"/>
              <w:right w:val="single" w:sz="6" w:space="0" w:color="auto"/>
            </w:tcBorders>
            <w:shd w:val="solid" w:color="FFFFFF" w:fill="auto"/>
          </w:tcPr>
          <w:p w14:paraId="24E32C71" w14:textId="77777777" w:rsidR="00C66B23" w:rsidRPr="00B916EC" w:rsidRDefault="00C66B23"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A2CBF6C" w14:textId="77777777" w:rsidR="00C66B23" w:rsidRPr="00B916EC" w:rsidRDefault="00C66B23"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1B859F0" w14:textId="0C04EE7C" w:rsidR="00C66B23" w:rsidRDefault="00C66B23" w:rsidP="00BC0321">
            <w:pPr>
              <w:pStyle w:val="TAL"/>
              <w:rPr>
                <w:sz w:val="16"/>
                <w:szCs w:val="16"/>
                <w:lang w:eastAsia="zh-CN"/>
              </w:rPr>
            </w:pPr>
            <w:r>
              <w:rPr>
                <w:sz w:val="16"/>
                <w:szCs w:val="16"/>
                <w:lang w:eastAsia="zh-CN"/>
              </w:rPr>
              <w:t>RP-211234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85F45DE" w14:textId="06B2542E" w:rsidR="00C66B23" w:rsidRDefault="00C66B23" w:rsidP="00BC0321">
            <w:pPr>
              <w:pStyle w:val="TAL"/>
              <w:rPr>
                <w:sz w:val="16"/>
                <w:szCs w:val="16"/>
              </w:rPr>
            </w:pPr>
            <w:r>
              <w:rPr>
                <w:sz w:val="16"/>
                <w:szCs w:val="16"/>
              </w:rPr>
              <w:t>0221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A085540" w14:textId="77777777" w:rsidR="00C66B23" w:rsidRDefault="00C66B23"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CBB5EFA" w14:textId="77777777" w:rsidR="00C66B23" w:rsidRDefault="00C66B23"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B3777DC" w14:textId="478E2F70" w:rsidR="00C66B23" w:rsidRPr="00EA028E" w:rsidRDefault="00C66B23" w:rsidP="00BC0321">
            <w:pPr>
              <w:spacing w:after="0"/>
              <w:rPr>
                <w:rFonts w:ascii="Arial" w:hAnsi="Arial"/>
                <w:sz w:val="16"/>
              </w:rPr>
            </w:pPr>
            <w:r w:rsidRPr="00C66B23">
              <w:rPr>
                <w:rFonts w:ascii="Arial" w:hAnsi="Arial"/>
                <w:sz w:val="16"/>
              </w:rPr>
              <w:t>Correction on SR reporting due to consistent LBT failure recovery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9FE0100" w14:textId="77777777" w:rsidR="00C66B23" w:rsidRDefault="00C66B23" w:rsidP="00BC0321">
            <w:pPr>
              <w:pStyle w:val="TAL"/>
              <w:rPr>
                <w:sz w:val="16"/>
                <w:szCs w:val="16"/>
                <w:lang w:eastAsia="zh-CN"/>
              </w:rPr>
            </w:pPr>
            <w:r>
              <w:rPr>
                <w:sz w:val="16"/>
                <w:szCs w:val="16"/>
                <w:lang w:eastAsia="zh-CN"/>
              </w:rPr>
              <w:t>16.6.0</w:t>
            </w:r>
          </w:p>
        </w:tc>
      </w:tr>
      <w:tr w:rsidR="00B833DB" w:rsidRPr="00B916EC" w14:paraId="6EDC7C2F" w14:textId="77777777" w:rsidTr="00B833DB">
        <w:tc>
          <w:tcPr>
            <w:tcW w:w="894" w:type="dxa"/>
            <w:tcBorders>
              <w:top w:val="single" w:sz="6" w:space="0" w:color="auto"/>
              <w:left w:val="single" w:sz="6" w:space="0" w:color="auto"/>
              <w:bottom w:val="single" w:sz="6" w:space="0" w:color="auto"/>
              <w:right w:val="single" w:sz="6" w:space="0" w:color="auto"/>
            </w:tcBorders>
            <w:shd w:val="solid" w:color="FFFFFF" w:fill="auto"/>
          </w:tcPr>
          <w:p w14:paraId="2737E6AD" w14:textId="77777777" w:rsidR="00B833DB" w:rsidRPr="00B916EC" w:rsidRDefault="00B833DB"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6993AEA" w14:textId="77777777" w:rsidR="00B833DB" w:rsidRPr="00B916EC" w:rsidRDefault="00B833DB"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F75E219" w14:textId="426F1127" w:rsidR="00B833DB" w:rsidRDefault="00B833DB" w:rsidP="00BC0321">
            <w:pPr>
              <w:pStyle w:val="TAL"/>
              <w:rPr>
                <w:sz w:val="16"/>
                <w:szCs w:val="16"/>
                <w:lang w:eastAsia="zh-CN"/>
              </w:rPr>
            </w:pPr>
            <w:r>
              <w:rPr>
                <w:sz w:val="16"/>
                <w:szCs w:val="16"/>
                <w:lang w:eastAsia="zh-CN"/>
              </w:rPr>
              <w:t>RP-211236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86FB0AC" w14:textId="5C995FCC" w:rsidR="00B833DB" w:rsidRDefault="00B833DB" w:rsidP="00BC0321">
            <w:pPr>
              <w:pStyle w:val="TAL"/>
              <w:rPr>
                <w:sz w:val="16"/>
                <w:szCs w:val="16"/>
              </w:rPr>
            </w:pPr>
            <w:r>
              <w:rPr>
                <w:sz w:val="16"/>
                <w:szCs w:val="16"/>
              </w:rPr>
              <w:t>0222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FD99D48" w14:textId="77777777" w:rsidR="00B833DB" w:rsidRDefault="00B833DB"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A73DB73" w14:textId="77777777" w:rsidR="00B833DB" w:rsidRDefault="00B833DB"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9B6B434" w14:textId="175E5EA2" w:rsidR="00B833DB" w:rsidRPr="00EA028E" w:rsidRDefault="00B833DB" w:rsidP="00BC0321">
            <w:pPr>
              <w:spacing w:after="0"/>
              <w:rPr>
                <w:rFonts w:ascii="Arial" w:hAnsi="Arial"/>
                <w:sz w:val="16"/>
              </w:rPr>
            </w:pPr>
            <w:r w:rsidRPr="00B833DB">
              <w:rPr>
                <w:rFonts w:ascii="Arial" w:hAnsi="Arial"/>
                <w:sz w:val="16"/>
              </w:rPr>
              <w:t>Correction on Prioritization Timeline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12BF82B" w14:textId="77777777" w:rsidR="00B833DB" w:rsidRDefault="00B833DB" w:rsidP="00BC0321">
            <w:pPr>
              <w:pStyle w:val="TAL"/>
              <w:rPr>
                <w:sz w:val="16"/>
                <w:szCs w:val="16"/>
                <w:lang w:eastAsia="zh-CN"/>
              </w:rPr>
            </w:pPr>
            <w:r>
              <w:rPr>
                <w:sz w:val="16"/>
                <w:szCs w:val="16"/>
                <w:lang w:eastAsia="zh-CN"/>
              </w:rPr>
              <w:t>16.6.0</w:t>
            </w:r>
          </w:p>
        </w:tc>
      </w:tr>
      <w:tr w:rsidR="00020E6A" w:rsidRPr="00B916EC" w14:paraId="7F5634CE" w14:textId="77777777" w:rsidTr="00020E6A">
        <w:tc>
          <w:tcPr>
            <w:tcW w:w="894" w:type="dxa"/>
            <w:tcBorders>
              <w:top w:val="single" w:sz="6" w:space="0" w:color="auto"/>
              <w:left w:val="single" w:sz="6" w:space="0" w:color="auto"/>
              <w:bottom w:val="single" w:sz="6" w:space="0" w:color="auto"/>
              <w:right w:val="single" w:sz="6" w:space="0" w:color="auto"/>
            </w:tcBorders>
            <w:shd w:val="solid" w:color="FFFFFF" w:fill="auto"/>
          </w:tcPr>
          <w:p w14:paraId="75A9DA6B" w14:textId="77777777" w:rsidR="00020E6A" w:rsidRPr="00B916EC" w:rsidRDefault="00020E6A"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02D3276" w14:textId="77777777" w:rsidR="00020E6A" w:rsidRPr="00B916EC" w:rsidRDefault="00020E6A"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0F58873" w14:textId="77777777" w:rsidR="00020E6A" w:rsidRDefault="00020E6A" w:rsidP="00BC0321">
            <w:pPr>
              <w:pStyle w:val="TAL"/>
              <w:rPr>
                <w:sz w:val="16"/>
                <w:szCs w:val="16"/>
                <w:lang w:eastAsia="zh-CN"/>
              </w:rPr>
            </w:pPr>
            <w:r>
              <w:rPr>
                <w:sz w:val="16"/>
                <w:szCs w:val="16"/>
                <w:lang w:eastAsia="zh-CN"/>
              </w:rPr>
              <w:t>RP-211236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680645D" w14:textId="1E1D188A" w:rsidR="00020E6A" w:rsidRDefault="00020E6A" w:rsidP="00BC0321">
            <w:pPr>
              <w:pStyle w:val="TAL"/>
              <w:rPr>
                <w:sz w:val="16"/>
                <w:szCs w:val="16"/>
              </w:rPr>
            </w:pPr>
            <w:r>
              <w:rPr>
                <w:sz w:val="16"/>
                <w:szCs w:val="16"/>
              </w:rPr>
              <w:t>0223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69733A8" w14:textId="77777777" w:rsidR="00020E6A" w:rsidRDefault="00020E6A"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1A56EC6" w14:textId="77777777" w:rsidR="00020E6A" w:rsidRDefault="00020E6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2978B5C" w14:textId="5517813F" w:rsidR="00020E6A" w:rsidRPr="00EA028E" w:rsidRDefault="00020E6A" w:rsidP="00BC0321">
            <w:pPr>
              <w:spacing w:after="0"/>
              <w:rPr>
                <w:rFonts w:ascii="Arial" w:hAnsi="Arial"/>
                <w:sz w:val="16"/>
              </w:rPr>
            </w:pPr>
            <w:r w:rsidRPr="00020E6A">
              <w:rPr>
                <w:rFonts w:ascii="Arial" w:hAnsi="Arial"/>
                <w:sz w:val="16"/>
              </w:rPr>
              <w:t>CR on the configuration for one PUCCH-Config with subslotLengthForPUCCH-r16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AC9EB58" w14:textId="77777777" w:rsidR="00020E6A" w:rsidRDefault="00020E6A" w:rsidP="00BC0321">
            <w:pPr>
              <w:pStyle w:val="TAL"/>
              <w:rPr>
                <w:sz w:val="16"/>
                <w:szCs w:val="16"/>
                <w:lang w:eastAsia="zh-CN"/>
              </w:rPr>
            </w:pPr>
            <w:r>
              <w:rPr>
                <w:sz w:val="16"/>
                <w:szCs w:val="16"/>
                <w:lang w:eastAsia="zh-CN"/>
              </w:rPr>
              <w:t>16.6.0</w:t>
            </w:r>
          </w:p>
        </w:tc>
      </w:tr>
      <w:tr w:rsidR="00020E6A" w:rsidRPr="00B916EC" w14:paraId="428EB0B4" w14:textId="77777777" w:rsidTr="00020E6A">
        <w:tc>
          <w:tcPr>
            <w:tcW w:w="894" w:type="dxa"/>
            <w:tcBorders>
              <w:top w:val="single" w:sz="6" w:space="0" w:color="auto"/>
              <w:left w:val="single" w:sz="6" w:space="0" w:color="auto"/>
              <w:bottom w:val="single" w:sz="6" w:space="0" w:color="auto"/>
              <w:right w:val="single" w:sz="6" w:space="0" w:color="auto"/>
            </w:tcBorders>
            <w:shd w:val="solid" w:color="FFFFFF" w:fill="auto"/>
          </w:tcPr>
          <w:p w14:paraId="742B9E36" w14:textId="77777777" w:rsidR="00020E6A" w:rsidRPr="00B916EC" w:rsidRDefault="00020E6A"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861701C" w14:textId="77777777" w:rsidR="00020E6A" w:rsidRPr="00B916EC" w:rsidRDefault="00020E6A"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D16AAA0" w14:textId="77777777" w:rsidR="00020E6A" w:rsidRDefault="00020E6A" w:rsidP="00BC0321">
            <w:pPr>
              <w:pStyle w:val="TAL"/>
              <w:rPr>
                <w:sz w:val="16"/>
                <w:szCs w:val="16"/>
                <w:lang w:eastAsia="zh-CN"/>
              </w:rPr>
            </w:pPr>
            <w:r>
              <w:rPr>
                <w:sz w:val="16"/>
                <w:szCs w:val="16"/>
                <w:lang w:eastAsia="zh-CN"/>
              </w:rPr>
              <w:t>RP-211236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99CAEC4" w14:textId="0DC6D285" w:rsidR="00020E6A" w:rsidRDefault="00020E6A" w:rsidP="00BC0321">
            <w:pPr>
              <w:pStyle w:val="TAL"/>
              <w:rPr>
                <w:sz w:val="16"/>
                <w:szCs w:val="16"/>
              </w:rPr>
            </w:pPr>
            <w:r>
              <w:rPr>
                <w:sz w:val="16"/>
                <w:szCs w:val="16"/>
              </w:rPr>
              <w:t>0224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AE96B99" w14:textId="77777777" w:rsidR="00020E6A" w:rsidRDefault="00020E6A"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7D1909F" w14:textId="77777777" w:rsidR="00020E6A" w:rsidRDefault="00020E6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DA5D48B" w14:textId="5383A0A6" w:rsidR="00020E6A" w:rsidRPr="00EA028E" w:rsidRDefault="00020E6A" w:rsidP="00BC0321">
            <w:pPr>
              <w:spacing w:after="0"/>
              <w:rPr>
                <w:rFonts w:ascii="Arial" w:hAnsi="Arial"/>
                <w:sz w:val="16"/>
              </w:rPr>
            </w:pPr>
            <w:r w:rsidRPr="00020E6A">
              <w:rPr>
                <w:rFonts w:ascii="Arial" w:hAnsi="Arial"/>
                <w:sz w:val="16"/>
              </w:rPr>
              <w:t>CR on not supporting Type 1 HARQ-ACK codebook for sub-slot HARQ-ACK in R16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DD7957D" w14:textId="77777777" w:rsidR="00020E6A" w:rsidRDefault="00020E6A" w:rsidP="00BC0321">
            <w:pPr>
              <w:pStyle w:val="TAL"/>
              <w:rPr>
                <w:sz w:val="16"/>
                <w:szCs w:val="16"/>
                <w:lang w:eastAsia="zh-CN"/>
              </w:rPr>
            </w:pPr>
            <w:r>
              <w:rPr>
                <w:sz w:val="16"/>
                <w:szCs w:val="16"/>
                <w:lang w:eastAsia="zh-CN"/>
              </w:rPr>
              <w:t>16.6.0</w:t>
            </w:r>
          </w:p>
        </w:tc>
      </w:tr>
      <w:tr w:rsidR="00020E6A" w:rsidRPr="00B916EC" w14:paraId="1624F1D4" w14:textId="77777777" w:rsidTr="00020E6A">
        <w:tc>
          <w:tcPr>
            <w:tcW w:w="894" w:type="dxa"/>
            <w:tcBorders>
              <w:top w:val="single" w:sz="6" w:space="0" w:color="auto"/>
              <w:left w:val="single" w:sz="6" w:space="0" w:color="auto"/>
              <w:bottom w:val="single" w:sz="6" w:space="0" w:color="auto"/>
              <w:right w:val="single" w:sz="6" w:space="0" w:color="auto"/>
            </w:tcBorders>
            <w:shd w:val="solid" w:color="FFFFFF" w:fill="auto"/>
          </w:tcPr>
          <w:p w14:paraId="61D668C6" w14:textId="77777777" w:rsidR="00020E6A" w:rsidRPr="00B916EC" w:rsidRDefault="00020E6A"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97E5290" w14:textId="77777777" w:rsidR="00020E6A" w:rsidRPr="00B916EC" w:rsidRDefault="00020E6A"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E3247F5" w14:textId="77777777" w:rsidR="00020E6A" w:rsidRDefault="00020E6A" w:rsidP="00BC0321">
            <w:pPr>
              <w:pStyle w:val="TAL"/>
              <w:rPr>
                <w:sz w:val="16"/>
                <w:szCs w:val="16"/>
                <w:lang w:eastAsia="zh-CN"/>
              </w:rPr>
            </w:pPr>
            <w:r>
              <w:rPr>
                <w:sz w:val="16"/>
                <w:szCs w:val="16"/>
                <w:lang w:eastAsia="zh-CN"/>
              </w:rPr>
              <w:t>RP-211236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9FF86B3" w14:textId="07669D2F" w:rsidR="00020E6A" w:rsidRDefault="00020E6A" w:rsidP="00BC0321">
            <w:pPr>
              <w:pStyle w:val="TAL"/>
              <w:rPr>
                <w:sz w:val="16"/>
                <w:szCs w:val="16"/>
              </w:rPr>
            </w:pPr>
            <w:r>
              <w:rPr>
                <w:sz w:val="16"/>
                <w:szCs w:val="16"/>
              </w:rPr>
              <w:t>0225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ADF753F" w14:textId="77777777" w:rsidR="00020E6A" w:rsidRDefault="00020E6A"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9A19ACC" w14:textId="77777777" w:rsidR="00020E6A" w:rsidRDefault="00020E6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7BC64B2" w14:textId="401396BA" w:rsidR="00020E6A" w:rsidRPr="00EA028E" w:rsidRDefault="00020E6A" w:rsidP="00BC0321">
            <w:pPr>
              <w:spacing w:after="0"/>
              <w:rPr>
                <w:rFonts w:ascii="Arial" w:hAnsi="Arial"/>
                <w:sz w:val="16"/>
              </w:rPr>
            </w:pPr>
            <w:r w:rsidRPr="00020E6A">
              <w:rPr>
                <w:rFonts w:ascii="Arial" w:hAnsi="Arial"/>
                <w:sz w:val="16"/>
              </w:rPr>
              <w:t>CR on Number of PUCCH resource sets per PUCCH-config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16FB94F" w14:textId="77777777" w:rsidR="00020E6A" w:rsidRDefault="00020E6A" w:rsidP="00BC0321">
            <w:pPr>
              <w:pStyle w:val="TAL"/>
              <w:rPr>
                <w:sz w:val="16"/>
                <w:szCs w:val="16"/>
                <w:lang w:eastAsia="zh-CN"/>
              </w:rPr>
            </w:pPr>
            <w:r>
              <w:rPr>
                <w:sz w:val="16"/>
                <w:szCs w:val="16"/>
                <w:lang w:eastAsia="zh-CN"/>
              </w:rPr>
              <w:t>16.6.0</w:t>
            </w:r>
          </w:p>
        </w:tc>
      </w:tr>
      <w:tr w:rsidR="00020E6A" w:rsidRPr="00B916EC" w14:paraId="38F6E948" w14:textId="77777777" w:rsidTr="00020E6A">
        <w:tc>
          <w:tcPr>
            <w:tcW w:w="894" w:type="dxa"/>
            <w:tcBorders>
              <w:top w:val="single" w:sz="6" w:space="0" w:color="auto"/>
              <w:left w:val="single" w:sz="6" w:space="0" w:color="auto"/>
              <w:bottom w:val="single" w:sz="6" w:space="0" w:color="auto"/>
              <w:right w:val="single" w:sz="6" w:space="0" w:color="auto"/>
            </w:tcBorders>
            <w:shd w:val="solid" w:color="FFFFFF" w:fill="auto"/>
          </w:tcPr>
          <w:p w14:paraId="2C7F5442" w14:textId="77777777" w:rsidR="00020E6A" w:rsidRPr="00B916EC" w:rsidRDefault="00020E6A"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BD02F4F" w14:textId="77777777" w:rsidR="00020E6A" w:rsidRPr="00B916EC" w:rsidRDefault="00020E6A"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CB3C08A" w14:textId="77777777" w:rsidR="00020E6A" w:rsidRDefault="00020E6A" w:rsidP="00BC0321">
            <w:pPr>
              <w:pStyle w:val="TAL"/>
              <w:rPr>
                <w:sz w:val="16"/>
                <w:szCs w:val="16"/>
                <w:lang w:eastAsia="zh-CN"/>
              </w:rPr>
            </w:pPr>
            <w:r>
              <w:rPr>
                <w:sz w:val="16"/>
                <w:szCs w:val="16"/>
                <w:lang w:eastAsia="zh-CN"/>
              </w:rPr>
              <w:t>RP-211236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6EE5BFA" w14:textId="23D257D2" w:rsidR="00020E6A" w:rsidRDefault="00020E6A" w:rsidP="00BC0321">
            <w:pPr>
              <w:pStyle w:val="TAL"/>
              <w:rPr>
                <w:sz w:val="16"/>
                <w:szCs w:val="16"/>
              </w:rPr>
            </w:pPr>
            <w:r>
              <w:rPr>
                <w:sz w:val="16"/>
                <w:szCs w:val="16"/>
              </w:rPr>
              <w:t>0226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14B6AC0" w14:textId="77777777" w:rsidR="00020E6A" w:rsidRDefault="00020E6A"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54B14EE" w14:textId="77777777" w:rsidR="00020E6A" w:rsidRDefault="00020E6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C6EA563" w14:textId="35878EE5" w:rsidR="00020E6A" w:rsidRPr="00EA028E" w:rsidRDefault="00020E6A" w:rsidP="00BC0321">
            <w:pPr>
              <w:spacing w:after="0"/>
              <w:rPr>
                <w:rFonts w:ascii="Arial" w:hAnsi="Arial"/>
                <w:sz w:val="16"/>
              </w:rPr>
            </w:pPr>
            <w:r w:rsidRPr="00020E6A">
              <w:rPr>
                <w:rFonts w:ascii="Arial" w:hAnsi="Arial"/>
                <w:sz w:val="16"/>
              </w:rPr>
              <w:t>Correction on UL cancellation due to dynamic SFI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BCB7FE9" w14:textId="77777777" w:rsidR="00020E6A" w:rsidRDefault="00020E6A" w:rsidP="00BC0321">
            <w:pPr>
              <w:pStyle w:val="TAL"/>
              <w:rPr>
                <w:sz w:val="16"/>
                <w:szCs w:val="16"/>
                <w:lang w:eastAsia="zh-CN"/>
              </w:rPr>
            </w:pPr>
            <w:r>
              <w:rPr>
                <w:sz w:val="16"/>
                <w:szCs w:val="16"/>
                <w:lang w:eastAsia="zh-CN"/>
              </w:rPr>
              <w:t>16.6.0</w:t>
            </w:r>
          </w:p>
        </w:tc>
      </w:tr>
      <w:tr w:rsidR="00F336E1" w:rsidRPr="00B916EC" w14:paraId="39F4F564" w14:textId="77777777" w:rsidTr="00F336E1">
        <w:tc>
          <w:tcPr>
            <w:tcW w:w="894" w:type="dxa"/>
            <w:tcBorders>
              <w:top w:val="single" w:sz="6" w:space="0" w:color="auto"/>
              <w:left w:val="single" w:sz="6" w:space="0" w:color="auto"/>
              <w:bottom w:val="single" w:sz="6" w:space="0" w:color="auto"/>
              <w:right w:val="single" w:sz="6" w:space="0" w:color="auto"/>
            </w:tcBorders>
            <w:shd w:val="solid" w:color="FFFFFF" w:fill="auto"/>
          </w:tcPr>
          <w:p w14:paraId="7655205D" w14:textId="77777777" w:rsidR="00F336E1" w:rsidRPr="00B916EC" w:rsidRDefault="00F336E1"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AC796E2" w14:textId="77777777" w:rsidR="00F336E1" w:rsidRPr="00B916EC" w:rsidRDefault="00F336E1"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5F422C3" w14:textId="787CBA09" w:rsidR="00F336E1" w:rsidRDefault="00F336E1" w:rsidP="00BC0321">
            <w:pPr>
              <w:pStyle w:val="TAL"/>
              <w:rPr>
                <w:sz w:val="16"/>
                <w:szCs w:val="16"/>
                <w:lang w:eastAsia="zh-CN"/>
              </w:rPr>
            </w:pPr>
            <w:r>
              <w:rPr>
                <w:sz w:val="16"/>
                <w:szCs w:val="16"/>
                <w:lang w:eastAsia="zh-CN"/>
              </w:rPr>
              <w:t>RP-211233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1E65154" w14:textId="706ABED4" w:rsidR="00F336E1" w:rsidRDefault="00F336E1" w:rsidP="00BC0321">
            <w:pPr>
              <w:pStyle w:val="TAL"/>
              <w:rPr>
                <w:sz w:val="16"/>
                <w:szCs w:val="16"/>
              </w:rPr>
            </w:pPr>
            <w:r>
              <w:rPr>
                <w:sz w:val="16"/>
                <w:szCs w:val="16"/>
              </w:rPr>
              <w:t>0228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BCAF017" w14:textId="1BD8C893" w:rsidR="00F336E1" w:rsidRDefault="00F336E1"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3695D67" w14:textId="57A925D5" w:rsidR="00F336E1" w:rsidRDefault="00F336E1"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C30F0FC" w14:textId="573439BC" w:rsidR="00F336E1" w:rsidRPr="00EA028E" w:rsidRDefault="00F336E1" w:rsidP="00BC0321">
            <w:pPr>
              <w:spacing w:after="0"/>
              <w:rPr>
                <w:rFonts w:ascii="Arial" w:hAnsi="Arial"/>
                <w:sz w:val="16"/>
              </w:rPr>
            </w:pPr>
            <w:r w:rsidRPr="00F336E1">
              <w:rPr>
                <w:rFonts w:ascii="Arial" w:hAnsi="Arial"/>
                <w:sz w:val="16"/>
              </w:rPr>
              <w:t>Rel-15 editorial corrections for TS 38.213 (mirrored to Rel-16)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C99F911" w14:textId="77777777" w:rsidR="00F336E1" w:rsidRDefault="00F336E1" w:rsidP="00BC0321">
            <w:pPr>
              <w:pStyle w:val="TAL"/>
              <w:rPr>
                <w:sz w:val="16"/>
                <w:szCs w:val="16"/>
                <w:lang w:eastAsia="zh-CN"/>
              </w:rPr>
            </w:pPr>
            <w:r>
              <w:rPr>
                <w:sz w:val="16"/>
                <w:szCs w:val="16"/>
                <w:lang w:eastAsia="zh-CN"/>
              </w:rPr>
              <w:t>16.6.0</w:t>
            </w:r>
          </w:p>
        </w:tc>
      </w:tr>
      <w:tr w:rsidR="008F41EE" w:rsidRPr="00B916EC" w14:paraId="32015231" w14:textId="77777777" w:rsidTr="008F41EE">
        <w:tc>
          <w:tcPr>
            <w:tcW w:w="894" w:type="dxa"/>
            <w:tcBorders>
              <w:top w:val="single" w:sz="6" w:space="0" w:color="auto"/>
              <w:left w:val="single" w:sz="6" w:space="0" w:color="auto"/>
              <w:bottom w:val="single" w:sz="6" w:space="0" w:color="auto"/>
              <w:right w:val="single" w:sz="6" w:space="0" w:color="auto"/>
            </w:tcBorders>
            <w:shd w:val="solid" w:color="FFFFFF" w:fill="auto"/>
          </w:tcPr>
          <w:p w14:paraId="21FB3206" w14:textId="77777777" w:rsidR="008F41EE" w:rsidRPr="00B916EC" w:rsidRDefault="008F41E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CBACB73" w14:textId="77777777" w:rsidR="008F41EE" w:rsidRPr="00B916EC" w:rsidRDefault="008F41EE"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51BC840" w14:textId="52D84CB5" w:rsidR="008F41EE" w:rsidRDefault="008F41EE" w:rsidP="00BC0321">
            <w:pPr>
              <w:pStyle w:val="TAL"/>
              <w:rPr>
                <w:sz w:val="16"/>
                <w:szCs w:val="16"/>
                <w:lang w:eastAsia="zh-CN"/>
              </w:rPr>
            </w:pPr>
            <w:r>
              <w:rPr>
                <w:sz w:val="16"/>
                <w:szCs w:val="16"/>
                <w:lang w:eastAsia="zh-CN"/>
              </w:rPr>
              <w:t>RP-211243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5DE3868" w14:textId="6DDE0D7C" w:rsidR="008F41EE" w:rsidRDefault="008F41EE" w:rsidP="00BC0321">
            <w:pPr>
              <w:pStyle w:val="TAL"/>
              <w:rPr>
                <w:sz w:val="16"/>
                <w:szCs w:val="16"/>
              </w:rPr>
            </w:pPr>
            <w:r>
              <w:rPr>
                <w:sz w:val="16"/>
                <w:szCs w:val="16"/>
              </w:rPr>
              <w:t>0229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926E2F8" w14:textId="77777777" w:rsidR="008F41EE" w:rsidRDefault="008F41EE"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3DE213C" w14:textId="24518838" w:rsidR="008F41EE" w:rsidRDefault="008F41EE"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BADA5CE" w14:textId="1A212569" w:rsidR="008F41EE" w:rsidRPr="00EA028E" w:rsidRDefault="008F41EE" w:rsidP="00BC0321">
            <w:pPr>
              <w:spacing w:after="0"/>
              <w:rPr>
                <w:rFonts w:ascii="Arial" w:hAnsi="Arial"/>
                <w:sz w:val="16"/>
              </w:rPr>
            </w:pPr>
            <w:r w:rsidRPr="008F41EE">
              <w:rPr>
                <w:rFonts w:ascii="Arial" w:hAnsi="Arial"/>
                <w:sz w:val="16"/>
              </w:rPr>
              <w:t>Rel-16 editorial corrections for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FBEB3B7" w14:textId="77777777" w:rsidR="008F41EE" w:rsidRDefault="008F41EE" w:rsidP="00BC0321">
            <w:pPr>
              <w:pStyle w:val="TAL"/>
              <w:rPr>
                <w:sz w:val="16"/>
                <w:szCs w:val="16"/>
                <w:lang w:eastAsia="zh-CN"/>
              </w:rPr>
            </w:pPr>
            <w:r>
              <w:rPr>
                <w:sz w:val="16"/>
                <w:szCs w:val="16"/>
                <w:lang w:eastAsia="zh-CN"/>
              </w:rPr>
              <w:t>16.6.0</w:t>
            </w:r>
          </w:p>
        </w:tc>
      </w:tr>
      <w:tr w:rsidR="00F14C2C" w:rsidRPr="00B916EC" w14:paraId="4E215C90" w14:textId="77777777" w:rsidTr="00F14C2C">
        <w:tc>
          <w:tcPr>
            <w:tcW w:w="894" w:type="dxa"/>
            <w:tcBorders>
              <w:top w:val="single" w:sz="6" w:space="0" w:color="auto"/>
              <w:left w:val="single" w:sz="6" w:space="0" w:color="auto"/>
              <w:bottom w:val="single" w:sz="6" w:space="0" w:color="auto"/>
              <w:right w:val="single" w:sz="6" w:space="0" w:color="auto"/>
            </w:tcBorders>
            <w:shd w:val="solid" w:color="FFFFFF" w:fill="auto"/>
          </w:tcPr>
          <w:p w14:paraId="6C4677F3" w14:textId="77777777" w:rsidR="00F14C2C" w:rsidRPr="00B916EC" w:rsidRDefault="00F14C2C"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6748A6E" w14:textId="77777777" w:rsidR="00F14C2C" w:rsidRPr="00B916EC" w:rsidRDefault="00F14C2C"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FEF8032" w14:textId="0ED52D2D" w:rsidR="00F14C2C" w:rsidRDefault="00F14C2C" w:rsidP="00BC0321">
            <w:pPr>
              <w:pStyle w:val="TAL"/>
              <w:rPr>
                <w:sz w:val="16"/>
                <w:szCs w:val="16"/>
                <w:lang w:eastAsia="zh-CN"/>
              </w:rPr>
            </w:pPr>
            <w:r>
              <w:rPr>
                <w:sz w:val="16"/>
                <w:szCs w:val="16"/>
                <w:lang w:eastAsia="zh-CN"/>
              </w:rPr>
              <w:t>RP-211236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215B6A9" w14:textId="522B7872" w:rsidR="00F14C2C" w:rsidRDefault="00F14C2C" w:rsidP="00BC0321">
            <w:pPr>
              <w:pStyle w:val="TAL"/>
              <w:rPr>
                <w:sz w:val="16"/>
                <w:szCs w:val="16"/>
              </w:rPr>
            </w:pPr>
            <w:r>
              <w:rPr>
                <w:sz w:val="16"/>
                <w:szCs w:val="16"/>
              </w:rPr>
              <w:t>0230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60D4996" w14:textId="5F16990C" w:rsidR="00F14C2C" w:rsidRDefault="00F14C2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6CCD150" w14:textId="77777777" w:rsidR="00F14C2C" w:rsidRDefault="00F14C2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A86D164" w14:textId="08EB545D" w:rsidR="00F14C2C" w:rsidRPr="00EA028E" w:rsidRDefault="00F14C2C" w:rsidP="00BC0321">
            <w:pPr>
              <w:spacing w:after="0"/>
              <w:rPr>
                <w:rFonts w:ascii="Arial" w:hAnsi="Arial"/>
                <w:sz w:val="16"/>
              </w:rPr>
            </w:pPr>
            <w:r w:rsidRPr="00F14C2C">
              <w:rPr>
                <w:rFonts w:ascii="Arial" w:hAnsi="Arial"/>
                <w:sz w:val="16"/>
              </w:rPr>
              <w:t>Correction on UE procedure for determining physical downlink control channel assignment for Rel-16 PDCCH monitoring capability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11BAF4F" w14:textId="77777777" w:rsidR="00F14C2C" w:rsidRDefault="00F14C2C" w:rsidP="00BC0321">
            <w:pPr>
              <w:pStyle w:val="TAL"/>
              <w:rPr>
                <w:sz w:val="16"/>
                <w:szCs w:val="16"/>
                <w:lang w:eastAsia="zh-CN"/>
              </w:rPr>
            </w:pPr>
            <w:r>
              <w:rPr>
                <w:sz w:val="16"/>
                <w:szCs w:val="16"/>
                <w:lang w:eastAsia="zh-CN"/>
              </w:rPr>
              <w:t>16.6.0</w:t>
            </w:r>
          </w:p>
        </w:tc>
      </w:tr>
      <w:tr w:rsidR="000136D8" w:rsidRPr="00B916EC" w14:paraId="3F4BEA7F" w14:textId="77777777" w:rsidTr="000136D8">
        <w:tc>
          <w:tcPr>
            <w:tcW w:w="894" w:type="dxa"/>
            <w:tcBorders>
              <w:top w:val="single" w:sz="6" w:space="0" w:color="auto"/>
              <w:left w:val="single" w:sz="6" w:space="0" w:color="auto"/>
              <w:bottom w:val="single" w:sz="6" w:space="0" w:color="auto"/>
              <w:right w:val="single" w:sz="6" w:space="0" w:color="auto"/>
            </w:tcBorders>
            <w:shd w:val="solid" w:color="FFFFFF" w:fill="auto"/>
          </w:tcPr>
          <w:p w14:paraId="3138DF91" w14:textId="77777777" w:rsidR="000136D8" w:rsidRPr="00B916EC" w:rsidRDefault="000136D8"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DE58E25" w14:textId="77777777" w:rsidR="000136D8" w:rsidRPr="00B916EC" w:rsidRDefault="000136D8"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A8B24CB" w14:textId="76F78366" w:rsidR="000136D8" w:rsidRDefault="000136D8" w:rsidP="00BC0321">
            <w:pPr>
              <w:pStyle w:val="TAL"/>
              <w:rPr>
                <w:sz w:val="16"/>
                <w:szCs w:val="16"/>
                <w:lang w:eastAsia="zh-CN"/>
              </w:rPr>
            </w:pPr>
            <w:r>
              <w:rPr>
                <w:sz w:val="16"/>
                <w:szCs w:val="16"/>
                <w:lang w:eastAsia="zh-CN"/>
              </w:rPr>
              <w:t>RP-211235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70F4341" w14:textId="3E3F44BB" w:rsidR="000136D8" w:rsidRDefault="000136D8" w:rsidP="00BC0321">
            <w:pPr>
              <w:pStyle w:val="TAL"/>
              <w:rPr>
                <w:sz w:val="16"/>
                <w:szCs w:val="16"/>
              </w:rPr>
            </w:pPr>
            <w:r>
              <w:rPr>
                <w:sz w:val="16"/>
                <w:szCs w:val="16"/>
              </w:rPr>
              <w:t>0232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F9407B4" w14:textId="77777777" w:rsidR="000136D8" w:rsidRDefault="000136D8"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CF85E3A" w14:textId="77777777" w:rsidR="000136D8" w:rsidRDefault="000136D8"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F43CF1B" w14:textId="1136E5B7" w:rsidR="000136D8" w:rsidRPr="00EA028E" w:rsidRDefault="000136D8" w:rsidP="00BC0321">
            <w:pPr>
              <w:spacing w:after="0"/>
              <w:rPr>
                <w:rFonts w:ascii="Arial" w:hAnsi="Arial"/>
                <w:sz w:val="16"/>
              </w:rPr>
            </w:pPr>
            <w:r w:rsidRPr="000136D8">
              <w:rPr>
                <w:rFonts w:ascii="Arial" w:hAnsi="Arial"/>
                <w:sz w:val="16"/>
              </w:rPr>
              <w:t>Corrections for the multiplexing SL HARQ-ACK information on a PUSCH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76D1859" w14:textId="77777777" w:rsidR="000136D8" w:rsidRDefault="000136D8" w:rsidP="00BC0321">
            <w:pPr>
              <w:pStyle w:val="TAL"/>
              <w:rPr>
                <w:sz w:val="16"/>
                <w:szCs w:val="16"/>
                <w:lang w:eastAsia="zh-CN"/>
              </w:rPr>
            </w:pPr>
            <w:r>
              <w:rPr>
                <w:sz w:val="16"/>
                <w:szCs w:val="16"/>
                <w:lang w:eastAsia="zh-CN"/>
              </w:rPr>
              <w:t>16.6.0</w:t>
            </w:r>
          </w:p>
        </w:tc>
      </w:tr>
      <w:tr w:rsidR="00DE110F" w:rsidRPr="00B916EC" w14:paraId="134273CF" w14:textId="77777777" w:rsidTr="00DE110F">
        <w:tc>
          <w:tcPr>
            <w:tcW w:w="894" w:type="dxa"/>
            <w:tcBorders>
              <w:top w:val="single" w:sz="6" w:space="0" w:color="auto"/>
              <w:left w:val="single" w:sz="6" w:space="0" w:color="auto"/>
              <w:bottom w:val="single" w:sz="6" w:space="0" w:color="auto"/>
              <w:right w:val="single" w:sz="6" w:space="0" w:color="auto"/>
            </w:tcBorders>
            <w:shd w:val="solid" w:color="FFFFFF" w:fill="auto"/>
          </w:tcPr>
          <w:p w14:paraId="2A0FD30F" w14:textId="77777777" w:rsidR="00DE110F" w:rsidRPr="00B916EC" w:rsidRDefault="00DE110F"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C20B32D" w14:textId="77777777" w:rsidR="00DE110F" w:rsidRPr="00B916EC" w:rsidRDefault="00DE110F"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D869F30" w14:textId="12669244" w:rsidR="00DE110F" w:rsidRDefault="00DE110F" w:rsidP="00BC0321">
            <w:pPr>
              <w:pStyle w:val="TAL"/>
              <w:rPr>
                <w:sz w:val="16"/>
                <w:szCs w:val="16"/>
                <w:lang w:eastAsia="zh-CN"/>
              </w:rPr>
            </w:pPr>
            <w:r>
              <w:rPr>
                <w:sz w:val="16"/>
                <w:szCs w:val="16"/>
                <w:lang w:eastAsia="zh-CN"/>
              </w:rPr>
              <w:t>RP-211237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095C61C" w14:textId="02EDBD2C" w:rsidR="00DE110F" w:rsidRDefault="00DE110F" w:rsidP="00BC0321">
            <w:pPr>
              <w:pStyle w:val="TAL"/>
              <w:rPr>
                <w:sz w:val="16"/>
                <w:szCs w:val="16"/>
              </w:rPr>
            </w:pPr>
            <w:r>
              <w:rPr>
                <w:sz w:val="16"/>
                <w:szCs w:val="16"/>
              </w:rPr>
              <w:t>0233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CDDF990" w14:textId="77777777" w:rsidR="00DE110F" w:rsidRDefault="00DE110F"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ABBD789" w14:textId="77777777" w:rsidR="00DE110F" w:rsidRDefault="00DE110F"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34894E3" w14:textId="32A05C56" w:rsidR="00DE110F" w:rsidRPr="00EA028E" w:rsidRDefault="00DE110F" w:rsidP="00BC0321">
            <w:pPr>
              <w:spacing w:after="0"/>
              <w:rPr>
                <w:rFonts w:ascii="Arial" w:hAnsi="Arial"/>
                <w:sz w:val="16"/>
              </w:rPr>
            </w:pPr>
            <w:r w:rsidRPr="00DE110F">
              <w:rPr>
                <w:rFonts w:ascii="Arial" w:hAnsi="Arial"/>
                <w:sz w:val="16"/>
              </w:rPr>
              <w:t>Correction on simultaneous multi-CC TCI indication for CORESET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2849484" w14:textId="77777777" w:rsidR="00DE110F" w:rsidRDefault="00DE110F" w:rsidP="00BC0321">
            <w:pPr>
              <w:pStyle w:val="TAL"/>
              <w:rPr>
                <w:sz w:val="16"/>
                <w:szCs w:val="16"/>
                <w:lang w:eastAsia="zh-CN"/>
              </w:rPr>
            </w:pPr>
            <w:r>
              <w:rPr>
                <w:sz w:val="16"/>
                <w:szCs w:val="16"/>
                <w:lang w:eastAsia="zh-CN"/>
              </w:rPr>
              <w:t>16.6.0</w:t>
            </w:r>
          </w:p>
        </w:tc>
      </w:tr>
      <w:tr w:rsidR="008E450D" w:rsidRPr="00B916EC" w14:paraId="2F7128B5" w14:textId="77777777" w:rsidTr="008E450D">
        <w:tc>
          <w:tcPr>
            <w:tcW w:w="894" w:type="dxa"/>
            <w:tcBorders>
              <w:top w:val="single" w:sz="6" w:space="0" w:color="auto"/>
              <w:left w:val="single" w:sz="6" w:space="0" w:color="auto"/>
              <w:bottom w:val="single" w:sz="6" w:space="0" w:color="auto"/>
              <w:right w:val="single" w:sz="6" w:space="0" w:color="auto"/>
            </w:tcBorders>
            <w:shd w:val="solid" w:color="FFFFFF" w:fill="auto"/>
          </w:tcPr>
          <w:p w14:paraId="52DFB504" w14:textId="77777777" w:rsidR="008E450D" w:rsidRPr="00B916EC" w:rsidRDefault="008E450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B304D64" w14:textId="77777777" w:rsidR="008E450D" w:rsidRPr="00B916EC" w:rsidRDefault="008E450D"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715E798" w14:textId="6C080125" w:rsidR="008E450D" w:rsidRDefault="008E450D" w:rsidP="00BC0321">
            <w:pPr>
              <w:pStyle w:val="TAL"/>
              <w:rPr>
                <w:sz w:val="16"/>
                <w:szCs w:val="16"/>
                <w:lang w:eastAsia="zh-CN"/>
              </w:rPr>
            </w:pPr>
            <w:r>
              <w:rPr>
                <w:sz w:val="16"/>
                <w:szCs w:val="16"/>
                <w:lang w:eastAsia="zh-CN"/>
              </w:rPr>
              <w:t>RP-211234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E628C35" w14:textId="6D56D67E" w:rsidR="008E450D" w:rsidRDefault="008E450D" w:rsidP="00BC0321">
            <w:pPr>
              <w:pStyle w:val="TAL"/>
              <w:rPr>
                <w:sz w:val="16"/>
                <w:szCs w:val="16"/>
              </w:rPr>
            </w:pPr>
            <w:r>
              <w:rPr>
                <w:sz w:val="16"/>
                <w:szCs w:val="16"/>
              </w:rPr>
              <w:t>0234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5A9ACDE" w14:textId="77777777" w:rsidR="008E450D" w:rsidRDefault="008E450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9596B6E" w14:textId="77777777" w:rsidR="008E450D" w:rsidRDefault="008E450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67B504C" w14:textId="79187625" w:rsidR="008E450D" w:rsidRPr="00EA028E" w:rsidRDefault="008E450D" w:rsidP="00BC0321">
            <w:pPr>
              <w:spacing w:after="0"/>
              <w:rPr>
                <w:rFonts w:ascii="Arial" w:hAnsi="Arial"/>
                <w:sz w:val="16"/>
              </w:rPr>
            </w:pPr>
            <w:r w:rsidRPr="008E450D">
              <w:rPr>
                <w:rFonts w:ascii="Arial" w:hAnsi="Arial"/>
                <w:sz w:val="16"/>
              </w:rPr>
              <w:t>Correction on HARQ-ACK codebook RRC parameter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3C45EAE" w14:textId="77777777" w:rsidR="008E450D" w:rsidRDefault="008E450D" w:rsidP="00BC0321">
            <w:pPr>
              <w:pStyle w:val="TAL"/>
              <w:rPr>
                <w:sz w:val="16"/>
                <w:szCs w:val="16"/>
                <w:lang w:eastAsia="zh-CN"/>
              </w:rPr>
            </w:pPr>
            <w:r>
              <w:rPr>
                <w:sz w:val="16"/>
                <w:szCs w:val="16"/>
                <w:lang w:eastAsia="zh-CN"/>
              </w:rPr>
              <w:t>16.6.0</w:t>
            </w:r>
          </w:p>
        </w:tc>
      </w:tr>
      <w:tr w:rsidR="008E450D" w:rsidRPr="00B916EC" w14:paraId="1B018CB3" w14:textId="77777777" w:rsidTr="008E450D">
        <w:tc>
          <w:tcPr>
            <w:tcW w:w="894" w:type="dxa"/>
            <w:tcBorders>
              <w:top w:val="single" w:sz="6" w:space="0" w:color="auto"/>
              <w:left w:val="single" w:sz="6" w:space="0" w:color="auto"/>
              <w:bottom w:val="single" w:sz="6" w:space="0" w:color="auto"/>
              <w:right w:val="single" w:sz="6" w:space="0" w:color="auto"/>
            </w:tcBorders>
            <w:shd w:val="solid" w:color="FFFFFF" w:fill="auto"/>
          </w:tcPr>
          <w:p w14:paraId="2147D7B9" w14:textId="77777777" w:rsidR="008E450D" w:rsidRPr="00B916EC" w:rsidRDefault="008E450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C2BA8E0" w14:textId="77777777" w:rsidR="008E450D" w:rsidRPr="00B916EC" w:rsidRDefault="008E450D"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1FA7CF5" w14:textId="77777777" w:rsidR="008E450D" w:rsidRDefault="008E450D" w:rsidP="00BC0321">
            <w:pPr>
              <w:pStyle w:val="TAL"/>
              <w:rPr>
                <w:sz w:val="16"/>
                <w:szCs w:val="16"/>
                <w:lang w:eastAsia="zh-CN"/>
              </w:rPr>
            </w:pPr>
            <w:r>
              <w:rPr>
                <w:sz w:val="16"/>
                <w:szCs w:val="16"/>
                <w:lang w:eastAsia="zh-CN"/>
              </w:rPr>
              <w:t>RP-211234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19885D7" w14:textId="695337A6" w:rsidR="008E450D" w:rsidRDefault="008E450D" w:rsidP="00BC0321">
            <w:pPr>
              <w:pStyle w:val="TAL"/>
              <w:rPr>
                <w:sz w:val="16"/>
                <w:szCs w:val="16"/>
              </w:rPr>
            </w:pPr>
            <w:r>
              <w:rPr>
                <w:sz w:val="16"/>
                <w:szCs w:val="16"/>
              </w:rPr>
              <w:t>0235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35363D8" w14:textId="77777777" w:rsidR="008E450D" w:rsidRDefault="008E450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12A2E0A" w14:textId="77777777" w:rsidR="008E450D" w:rsidRDefault="008E450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A34DD92" w14:textId="09D84C97" w:rsidR="008E450D" w:rsidRPr="00EA028E" w:rsidRDefault="008E450D" w:rsidP="00BC0321">
            <w:pPr>
              <w:spacing w:after="0"/>
              <w:rPr>
                <w:rFonts w:ascii="Arial" w:hAnsi="Arial"/>
                <w:sz w:val="16"/>
              </w:rPr>
            </w:pPr>
            <w:r w:rsidRPr="008E450D">
              <w:rPr>
                <w:rFonts w:ascii="Arial" w:hAnsi="Arial"/>
                <w:sz w:val="16"/>
              </w:rPr>
              <w:t>Initial UL BWP size restriction for NR-U</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924FCC2" w14:textId="77777777" w:rsidR="008E450D" w:rsidRDefault="008E450D" w:rsidP="00BC0321">
            <w:pPr>
              <w:pStyle w:val="TAL"/>
              <w:rPr>
                <w:sz w:val="16"/>
                <w:szCs w:val="16"/>
                <w:lang w:eastAsia="zh-CN"/>
              </w:rPr>
            </w:pPr>
            <w:r>
              <w:rPr>
                <w:sz w:val="16"/>
                <w:szCs w:val="16"/>
                <w:lang w:eastAsia="zh-CN"/>
              </w:rPr>
              <w:t>16.6.0</w:t>
            </w:r>
          </w:p>
        </w:tc>
      </w:tr>
      <w:tr w:rsidR="008E450D" w:rsidRPr="00B916EC" w14:paraId="3741C7E6" w14:textId="77777777" w:rsidTr="008E450D">
        <w:tc>
          <w:tcPr>
            <w:tcW w:w="894" w:type="dxa"/>
            <w:tcBorders>
              <w:top w:val="single" w:sz="6" w:space="0" w:color="auto"/>
              <w:left w:val="single" w:sz="6" w:space="0" w:color="auto"/>
              <w:bottom w:val="single" w:sz="6" w:space="0" w:color="auto"/>
              <w:right w:val="single" w:sz="6" w:space="0" w:color="auto"/>
            </w:tcBorders>
            <w:shd w:val="solid" w:color="FFFFFF" w:fill="auto"/>
          </w:tcPr>
          <w:p w14:paraId="4B8847F6" w14:textId="77777777" w:rsidR="008E450D" w:rsidRPr="00B916EC" w:rsidRDefault="008E450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63D7EE9" w14:textId="77777777" w:rsidR="008E450D" w:rsidRPr="00B916EC" w:rsidRDefault="008E450D"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03A829E" w14:textId="3B91529C" w:rsidR="008E450D" w:rsidRDefault="008E450D" w:rsidP="00BC0321">
            <w:pPr>
              <w:pStyle w:val="TAL"/>
              <w:rPr>
                <w:sz w:val="16"/>
                <w:szCs w:val="16"/>
                <w:lang w:eastAsia="zh-CN"/>
              </w:rPr>
            </w:pPr>
            <w:r>
              <w:rPr>
                <w:sz w:val="16"/>
                <w:szCs w:val="16"/>
                <w:lang w:eastAsia="zh-CN"/>
              </w:rPr>
              <w:t>RP-211235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FB1B64D" w14:textId="44394021" w:rsidR="008E450D" w:rsidRDefault="008E450D" w:rsidP="00BC0321">
            <w:pPr>
              <w:pStyle w:val="TAL"/>
              <w:rPr>
                <w:sz w:val="16"/>
                <w:szCs w:val="16"/>
              </w:rPr>
            </w:pPr>
            <w:r>
              <w:rPr>
                <w:sz w:val="16"/>
                <w:szCs w:val="16"/>
              </w:rPr>
              <w:t>0236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FAB65B6" w14:textId="77777777" w:rsidR="008E450D" w:rsidRDefault="008E450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D69EABB" w14:textId="77777777" w:rsidR="008E450D" w:rsidRDefault="008E450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35EEC44" w14:textId="15633DCA" w:rsidR="008E450D" w:rsidRPr="00EA028E" w:rsidRDefault="008E450D" w:rsidP="00BC0321">
            <w:pPr>
              <w:spacing w:after="0"/>
              <w:rPr>
                <w:rFonts w:ascii="Arial" w:hAnsi="Arial"/>
                <w:sz w:val="16"/>
              </w:rPr>
            </w:pPr>
            <w:r w:rsidRPr="008E450D">
              <w:rPr>
                <w:rFonts w:ascii="Arial" w:hAnsi="Arial"/>
                <w:sz w:val="16"/>
              </w:rPr>
              <w:t>Correction of SL HARQ-ACK reporting when SL feedback is not used</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B9AA892" w14:textId="77777777" w:rsidR="008E450D" w:rsidRDefault="008E450D" w:rsidP="00BC0321">
            <w:pPr>
              <w:pStyle w:val="TAL"/>
              <w:rPr>
                <w:sz w:val="16"/>
                <w:szCs w:val="16"/>
                <w:lang w:eastAsia="zh-CN"/>
              </w:rPr>
            </w:pPr>
            <w:r>
              <w:rPr>
                <w:sz w:val="16"/>
                <w:szCs w:val="16"/>
                <w:lang w:eastAsia="zh-CN"/>
              </w:rPr>
              <w:t>16.6.0</w:t>
            </w:r>
          </w:p>
        </w:tc>
      </w:tr>
      <w:tr w:rsidR="008E450D" w:rsidRPr="00B916EC" w14:paraId="7DA50CE6" w14:textId="77777777" w:rsidTr="008E450D">
        <w:tc>
          <w:tcPr>
            <w:tcW w:w="894" w:type="dxa"/>
            <w:tcBorders>
              <w:top w:val="single" w:sz="6" w:space="0" w:color="auto"/>
              <w:left w:val="single" w:sz="6" w:space="0" w:color="auto"/>
              <w:bottom w:val="single" w:sz="6" w:space="0" w:color="auto"/>
              <w:right w:val="single" w:sz="6" w:space="0" w:color="auto"/>
            </w:tcBorders>
            <w:shd w:val="solid" w:color="FFFFFF" w:fill="auto"/>
          </w:tcPr>
          <w:p w14:paraId="001190EA" w14:textId="77777777" w:rsidR="008E450D" w:rsidRPr="00B916EC" w:rsidRDefault="008E450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CF11409" w14:textId="77777777" w:rsidR="008E450D" w:rsidRPr="00B916EC" w:rsidRDefault="008E450D"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79A6B80" w14:textId="77777777" w:rsidR="008E450D" w:rsidRDefault="008E450D" w:rsidP="00BC0321">
            <w:pPr>
              <w:pStyle w:val="TAL"/>
              <w:rPr>
                <w:sz w:val="16"/>
                <w:szCs w:val="16"/>
                <w:lang w:eastAsia="zh-CN"/>
              </w:rPr>
            </w:pPr>
            <w:r>
              <w:rPr>
                <w:sz w:val="16"/>
                <w:szCs w:val="16"/>
                <w:lang w:eastAsia="zh-CN"/>
              </w:rPr>
              <w:t>RP-211235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A1AC087" w14:textId="66A0E069" w:rsidR="008E450D" w:rsidRDefault="008E450D" w:rsidP="00BC0321">
            <w:pPr>
              <w:pStyle w:val="TAL"/>
              <w:rPr>
                <w:sz w:val="16"/>
                <w:szCs w:val="16"/>
              </w:rPr>
            </w:pPr>
            <w:r>
              <w:rPr>
                <w:sz w:val="16"/>
                <w:szCs w:val="16"/>
              </w:rPr>
              <w:t>0237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F58C944" w14:textId="77777777" w:rsidR="008E450D" w:rsidRDefault="008E450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C2E27D3" w14:textId="77777777" w:rsidR="008E450D" w:rsidRDefault="008E450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1BA6F57" w14:textId="521A9004" w:rsidR="008E450D" w:rsidRPr="00EA028E" w:rsidRDefault="008E450D" w:rsidP="00BC0321">
            <w:pPr>
              <w:spacing w:after="0"/>
              <w:rPr>
                <w:rFonts w:ascii="Arial" w:hAnsi="Arial"/>
                <w:sz w:val="16"/>
              </w:rPr>
            </w:pPr>
            <w:r w:rsidRPr="008E450D">
              <w:rPr>
                <w:rFonts w:ascii="Arial" w:hAnsi="Arial"/>
                <w:sz w:val="16"/>
              </w:rPr>
              <w:t>Correction of SL HARQ-ACK reporting on UL for SL CG type 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84E4475" w14:textId="77777777" w:rsidR="008E450D" w:rsidRDefault="008E450D" w:rsidP="00BC0321">
            <w:pPr>
              <w:pStyle w:val="TAL"/>
              <w:rPr>
                <w:sz w:val="16"/>
                <w:szCs w:val="16"/>
                <w:lang w:eastAsia="zh-CN"/>
              </w:rPr>
            </w:pPr>
            <w:r>
              <w:rPr>
                <w:sz w:val="16"/>
                <w:szCs w:val="16"/>
                <w:lang w:eastAsia="zh-CN"/>
              </w:rPr>
              <w:t>16.6.0</w:t>
            </w:r>
          </w:p>
        </w:tc>
      </w:tr>
      <w:tr w:rsidR="00883880" w:rsidRPr="00B916EC" w14:paraId="3D98E88B" w14:textId="77777777" w:rsidTr="00883880">
        <w:tc>
          <w:tcPr>
            <w:tcW w:w="894" w:type="dxa"/>
            <w:tcBorders>
              <w:top w:val="single" w:sz="6" w:space="0" w:color="auto"/>
              <w:left w:val="single" w:sz="6" w:space="0" w:color="auto"/>
              <w:bottom w:val="single" w:sz="6" w:space="0" w:color="auto"/>
              <w:right w:val="single" w:sz="6" w:space="0" w:color="auto"/>
            </w:tcBorders>
            <w:shd w:val="solid" w:color="FFFFFF" w:fill="auto"/>
          </w:tcPr>
          <w:p w14:paraId="2ABBB66C" w14:textId="77777777" w:rsidR="00883880" w:rsidRPr="00B916EC" w:rsidRDefault="00883880"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E5223B3" w14:textId="77777777" w:rsidR="00883880" w:rsidRPr="00B916EC" w:rsidRDefault="00883880"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0307B65" w14:textId="159A25D7" w:rsidR="00883880" w:rsidRDefault="00883880" w:rsidP="00BC0321">
            <w:pPr>
              <w:pStyle w:val="TAL"/>
              <w:rPr>
                <w:sz w:val="16"/>
                <w:szCs w:val="16"/>
                <w:lang w:eastAsia="zh-CN"/>
              </w:rPr>
            </w:pPr>
            <w:r>
              <w:rPr>
                <w:sz w:val="16"/>
                <w:szCs w:val="16"/>
                <w:lang w:eastAsia="zh-CN"/>
              </w:rPr>
              <w:t>RP-211240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EFAA4C9" w14:textId="6E373577" w:rsidR="00883880" w:rsidRDefault="00883880" w:rsidP="00BC0321">
            <w:pPr>
              <w:pStyle w:val="TAL"/>
              <w:rPr>
                <w:sz w:val="16"/>
                <w:szCs w:val="16"/>
              </w:rPr>
            </w:pPr>
            <w:r>
              <w:rPr>
                <w:sz w:val="16"/>
                <w:szCs w:val="16"/>
              </w:rPr>
              <w:t>0239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0909DB9" w14:textId="77777777" w:rsidR="00883880" w:rsidRDefault="00883880"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6FF687F" w14:textId="77777777" w:rsidR="00883880" w:rsidRDefault="00883880"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F58A302" w14:textId="61B6FABE" w:rsidR="00883880" w:rsidRPr="00EA028E" w:rsidRDefault="00883880" w:rsidP="00BC0321">
            <w:pPr>
              <w:spacing w:after="0"/>
              <w:rPr>
                <w:rFonts w:ascii="Arial" w:hAnsi="Arial"/>
                <w:sz w:val="16"/>
              </w:rPr>
            </w:pPr>
            <w:r w:rsidRPr="00883880">
              <w:rPr>
                <w:rFonts w:ascii="Arial" w:hAnsi="Arial"/>
                <w:sz w:val="16"/>
              </w:rPr>
              <w:t>Correction on UL cancellation due to DCI format 2_0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67264FD" w14:textId="77777777" w:rsidR="00883880" w:rsidRDefault="00883880" w:rsidP="00BC0321">
            <w:pPr>
              <w:pStyle w:val="TAL"/>
              <w:rPr>
                <w:sz w:val="16"/>
                <w:szCs w:val="16"/>
                <w:lang w:eastAsia="zh-CN"/>
              </w:rPr>
            </w:pPr>
            <w:r>
              <w:rPr>
                <w:sz w:val="16"/>
                <w:szCs w:val="16"/>
                <w:lang w:eastAsia="zh-CN"/>
              </w:rPr>
              <w:t>16.6.0</w:t>
            </w:r>
          </w:p>
        </w:tc>
      </w:tr>
      <w:tr w:rsidR="00883880" w:rsidRPr="00B916EC" w14:paraId="5F8763D0" w14:textId="77777777" w:rsidTr="00883880">
        <w:tc>
          <w:tcPr>
            <w:tcW w:w="894" w:type="dxa"/>
            <w:tcBorders>
              <w:top w:val="single" w:sz="6" w:space="0" w:color="auto"/>
              <w:left w:val="single" w:sz="6" w:space="0" w:color="auto"/>
              <w:bottom w:val="single" w:sz="6" w:space="0" w:color="auto"/>
              <w:right w:val="single" w:sz="6" w:space="0" w:color="auto"/>
            </w:tcBorders>
            <w:shd w:val="solid" w:color="FFFFFF" w:fill="auto"/>
          </w:tcPr>
          <w:p w14:paraId="2B2DD0DD" w14:textId="77777777" w:rsidR="00883880" w:rsidRPr="00B916EC" w:rsidRDefault="00883880"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7B28B0D" w14:textId="77777777" w:rsidR="00883880" w:rsidRPr="00B916EC" w:rsidRDefault="00883880"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78D2041" w14:textId="77777777" w:rsidR="00883880" w:rsidRDefault="00883880" w:rsidP="00BC0321">
            <w:pPr>
              <w:pStyle w:val="TAL"/>
              <w:rPr>
                <w:sz w:val="16"/>
                <w:szCs w:val="16"/>
                <w:lang w:eastAsia="zh-CN"/>
              </w:rPr>
            </w:pPr>
            <w:r>
              <w:rPr>
                <w:sz w:val="16"/>
                <w:szCs w:val="16"/>
                <w:lang w:eastAsia="zh-CN"/>
              </w:rPr>
              <w:t>RP-211240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C1B2FBC" w14:textId="4981C9F8" w:rsidR="00883880" w:rsidRDefault="00883880" w:rsidP="00BC0321">
            <w:pPr>
              <w:pStyle w:val="TAL"/>
              <w:rPr>
                <w:sz w:val="16"/>
                <w:szCs w:val="16"/>
              </w:rPr>
            </w:pPr>
            <w:r>
              <w:rPr>
                <w:sz w:val="16"/>
                <w:szCs w:val="16"/>
              </w:rPr>
              <w:t>0240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A031C21" w14:textId="77777777" w:rsidR="00883880" w:rsidRDefault="00883880"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45B2036" w14:textId="77777777" w:rsidR="00883880" w:rsidRDefault="00883880"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6EFAC22" w14:textId="179A5245" w:rsidR="00883880" w:rsidRPr="00EA028E" w:rsidRDefault="00883880" w:rsidP="00BC0321">
            <w:pPr>
              <w:spacing w:after="0"/>
              <w:rPr>
                <w:rFonts w:ascii="Arial" w:hAnsi="Arial"/>
                <w:sz w:val="16"/>
              </w:rPr>
            </w:pPr>
            <w:r w:rsidRPr="00883880">
              <w:rPr>
                <w:rFonts w:ascii="Arial" w:hAnsi="Arial"/>
                <w:sz w:val="16"/>
              </w:rPr>
              <w:t>Correction on half-duplex operation in CA with unpaired spectrum</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3AB5924" w14:textId="77777777" w:rsidR="00883880" w:rsidRDefault="00883880" w:rsidP="00BC0321">
            <w:pPr>
              <w:pStyle w:val="TAL"/>
              <w:rPr>
                <w:sz w:val="16"/>
                <w:szCs w:val="16"/>
                <w:lang w:eastAsia="zh-CN"/>
              </w:rPr>
            </w:pPr>
            <w:r>
              <w:rPr>
                <w:sz w:val="16"/>
                <w:szCs w:val="16"/>
                <w:lang w:eastAsia="zh-CN"/>
              </w:rPr>
              <w:t>16.6.0</w:t>
            </w:r>
          </w:p>
        </w:tc>
      </w:tr>
      <w:tr w:rsidR="00106A05" w:rsidRPr="00B916EC" w14:paraId="5767AFAB" w14:textId="77777777" w:rsidTr="00106A05">
        <w:tc>
          <w:tcPr>
            <w:tcW w:w="894" w:type="dxa"/>
            <w:tcBorders>
              <w:top w:val="single" w:sz="6" w:space="0" w:color="auto"/>
              <w:left w:val="single" w:sz="6" w:space="0" w:color="auto"/>
              <w:bottom w:val="single" w:sz="6" w:space="0" w:color="auto"/>
              <w:right w:val="single" w:sz="6" w:space="0" w:color="auto"/>
            </w:tcBorders>
            <w:shd w:val="solid" w:color="FFFFFF" w:fill="auto"/>
          </w:tcPr>
          <w:p w14:paraId="5A4726ED" w14:textId="77777777" w:rsidR="00106A05" w:rsidRPr="00B916EC" w:rsidRDefault="00106A05"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6AD31C7" w14:textId="77777777" w:rsidR="00106A05" w:rsidRPr="00B916EC" w:rsidRDefault="00106A05"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D5B9DC5" w14:textId="65ED734E" w:rsidR="00106A05" w:rsidRDefault="00106A05" w:rsidP="00BC0321">
            <w:pPr>
              <w:pStyle w:val="TAL"/>
              <w:rPr>
                <w:sz w:val="16"/>
                <w:szCs w:val="16"/>
                <w:lang w:eastAsia="zh-CN"/>
              </w:rPr>
            </w:pPr>
            <w:r>
              <w:rPr>
                <w:sz w:val="16"/>
                <w:szCs w:val="16"/>
                <w:lang w:eastAsia="zh-CN"/>
              </w:rPr>
              <w:t>RP-2112</w:t>
            </w:r>
            <w:r w:rsidR="006C526C">
              <w:rPr>
                <w:sz w:val="16"/>
                <w:szCs w:val="16"/>
                <w:lang w:eastAsia="zh-CN"/>
              </w:rPr>
              <w:t>36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EC07FC8" w14:textId="046E1601" w:rsidR="00106A05" w:rsidRDefault="00106A05" w:rsidP="00BC0321">
            <w:pPr>
              <w:pStyle w:val="TAL"/>
              <w:rPr>
                <w:sz w:val="16"/>
                <w:szCs w:val="16"/>
              </w:rPr>
            </w:pPr>
            <w:r>
              <w:rPr>
                <w:sz w:val="16"/>
                <w:szCs w:val="16"/>
              </w:rPr>
              <w:t>024</w:t>
            </w:r>
            <w:r w:rsidR="006C526C">
              <w:rPr>
                <w:sz w:val="16"/>
                <w:szCs w:val="16"/>
              </w:rPr>
              <w:t>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9F3072D" w14:textId="77777777" w:rsidR="00106A05" w:rsidRDefault="00106A05"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B673C5D" w14:textId="77777777" w:rsidR="00106A05" w:rsidRDefault="00106A05"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2838EA8" w14:textId="05C3AA5C" w:rsidR="00106A05" w:rsidRPr="00EA028E" w:rsidRDefault="006C526C" w:rsidP="00BC0321">
            <w:pPr>
              <w:spacing w:after="0"/>
              <w:rPr>
                <w:rFonts w:ascii="Arial" w:hAnsi="Arial"/>
                <w:sz w:val="16"/>
              </w:rPr>
            </w:pPr>
            <w:r w:rsidRPr="006C526C">
              <w:rPr>
                <w:rFonts w:ascii="Arial" w:hAnsi="Arial"/>
                <w:sz w:val="16"/>
              </w:rPr>
              <w:t>Handling collision between PUCCH/PUSCH and semi-static DL symbols and SSBs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C0498D2" w14:textId="77777777" w:rsidR="00106A05" w:rsidRDefault="00106A05" w:rsidP="00BC0321">
            <w:pPr>
              <w:pStyle w:val="TAL"/>
              <w:rPr>
                <w:sz w:val="16"/>
                <w:szCs w:val="16"/>
                <w:lang w:eastAsia="zh-CN"/>
              </w:rPr>
            </w:pPr>
            <w:r>
              <w:rPr>
                <w:sz w:val="16"/>
                <w:szCs w:val="16"/>
                <w:lang w:eastAsia="zh-CN"/>
              </w:rPr>
              <w:t>16.6.0</w:t>
            </w:r>
          </w:p>
        </w:tc>
      </w:tr>
      <w:tr w:rsidR="006C526C" w:rsidRPr="00B916EC" w14:paraId="4DCEC68B" w14:textId="77777777" w:rsidTr="006C526C">
        <w:tc>
          <w:tcPr>
            <w:tcW w:w="894" w:type="dxa"/>
            <w:tcBorders>
              <w:top w:val="single" w:sz="6" w:space="0" w:color="auto"/>
              <w:left w:val="single" w:sz="6" w:space="0" w:color="auto"/>
              <w:bottom w:val="single" w:sz="6" w:space="0" w:color="auto"/>
              <w:right w:val="single" w:sz="6" w:space="0" w:color="auto"/>
            </w:tcBorders>
            <w:shd w:val="solid" w:color="FFFFFF" w:fill="auto"/>
          </w:tcPr>
          <w:p w14:paraId="446AA814" w14:textId="77777777" w:rsidR="006C526C" w:rsidRPr="00B916EC" w:rsidRDefault="006C526C"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ABEE513" w14:textId="77777777" w:rsidR="006C526C" w:rsidRPr="00B916EC" w:rsidRDefault="006C526C"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866F3A1" w14:textId="77777777" w:rsidR="006C526C" w:rsidRDefault="006C526C" w:rsidP="00BC0321">
            <w:pPr>
              <w:pStyle w:val="TAL"/>
              <w:rPr>
                <w:sz w:val="16"/>
                <w:szCs w:val="16"/>
                <w:lang w:eastAsia="zh-CN"/>
              </w:rPr>
            </w:pPr>
            <w:r>
              <w:rPr>
                <w:sz w:val="16"/>
                <w:szCs w:val="16"/>
                <w:lang w:eastAsia="zh-CN"/>
              </w:rPr>
              <w:t>RP-211236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09D2647" w14:textId="59188E2A" w:rsidR="006C526C" w:rsidRDefault="006C526C" w:rsidP="00BC0321">
            <w:pPr>
              <w:pStyle w:val="TAL"/>
              <w:rPr>
                <w:sz w:val="16"/>
                <w:szCs w:val="16"/>
              </w:rPr>
            </w:pPr>
            <w:r>
              <w:rPr>
                <w:sz w:val="16"/>
                <w:szCs w:val="16"/>
              </w:rPr>
              <w:t>0242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7D253DF" w14:textId="77777777" w:rsidR="006C526C" w:rsidRDefault="006C526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AE8894D" w14:textId="77777777" w:rsidR="006C526C" w:rsidRDefault="006C526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5E8090C" w14:textId="39BCF47C" w:rsidR="006C526C" w:rsidRPr="00EA028E" w:rsidRDefault="006C526C" w:rsidP="00BC0321">
            <w:pPr>
              <w:spacing w:after="0"/>
              <w:rPr>
                <w:rFonts w:ascii="Arial" w:hAnsi="Arial"/>
                <w:sz w:val="16"/>
              </w:rPr>
            </w:pPr>
            <w:r w:rsidRPr="006C526C">
              <w:rPr>
                <w:rFonts w:ascii="Arial" w:hAnsi="Arial"/>
                <w:sz w:val="16"/>
              </w:rPr>
              <w:t>Correction on Type-1 HARQ-ACK codebook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1AFBC13" w14:textId="77777777" w:rsidR="006C526C" w:rsidRDefault="006C526C" w:rsidP="00BC0321">
            <w:pPr>
              <w:pStyle w:val="TAL"/>
              <w:rPr>
                <w:sz w:val="16"/>
                <w:szCs w:val="16"/>
                <w:lang w:eastAsia="zh-CN"/>
              </w:rPr>
            </w:pPr>
            <w:r>
              <w:rPr>
                <w:sz w:val="16"/>
                <w:szCs w:val="16"/>
                <w:lang w:eastAsia="zh-CN"/>
              </w:rPr>
              <w:t>16.6.0</w:t>
            </w:r>
          </w:p>
        </w:tc>
      </w:tr>
      <w:tr w:rsidR="00273DEF" w:rsidRPr="00B916EC" w14:paraId="0F694E85" w14:textId="77777777" w:rsidTr="00273DEF">
        <w:tc>
          <w:tcPr>
            <w:tcW w:w="894" w:type="dxa"/>
            <w:tcBorders>
              <w:top w:val="single" w:sz="6" w:space="0" w:color="auto"/>
              <w:left w:val="single" w:sz="6" w:space="0" w:color="auto"/>
              <w:bottom w:val="single" w:sz="6" w:space="0" w:color="auto"/>
              <w:right w:val="single" w:sz="6" w:space="0" w:color="auto"/>
            </w:tcBorders>
            <w:shd w:val="solid" w:color="FFFFFF" w:fill="auto"/>
          </w:tcPr>
          <w:p w14:paraId="6167D55F" w14:textId="77777777" w:rsidR="00273DEF" w:rsidRPr="00B916EC" w:rsidRDefault="00273DEF"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7718E34" w14:textId="77777777" w:rsidR="00273DEF" w:rsidRPr="00B916EC" w:rsidRDefault="00273DEF"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A6941ED" w14:textId="5F8B0307" w:rsidR="00273DEF" w:rsidRDefault="00273DEF" w:rsidP="00BC0321">
            <w:pPr>
              <w:pStyle w:val="TAL"/>
              <w:rPr>
                <w:sz w:val="16"/>
                <w:szCs w:val="16"/>
                <w:lang w:eastAsia="zh-CN"/>
              </w:rPr>
            </w:pPr>
            <w:r>
              <w:rPr>
                <w:sz w:val="16"/>
                <w:szCs w:val="16"/>
                <w:lang w:eastAsia="zh-CN"/>
              </w:rPr>
              <w:t>RP-211252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312DD32" w14:textId="5F7FA927" w:rsidR="00273DEF" w:rsidRDefault="00273DEF" w:rsidP="00BC0321">
            <w:pPr>
              <w:pStyle w:val="TAL"/>
              <w:rPr>
                <w:sz w:val="16"/>
                <w:szCs w:val="16"/>
              </w:rPr>
            </w:pPr>
            <w:r>
              <w:rPr>
                <w:sz w:val="16"/>
                <w:szCs w:val="16"/>
              </w:rPr>
              <w:t>0243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5BC6E35" w14:textId="77777777" w:rsidR="00273DEF" w:rsidRDefault="00273DEF"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8DC8CB9" w14:textId="77777777" w:rsidR="00273DEF" w:rsidRDefault="00273DEF"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00F58C9" w14:textId="47B132F3" w:rsidR="00273DEF" w:rsidRPr="00EA028E" w:rsidRDefault="00273DEF" w:rsidP="00BC0321">
            <w:pPr>
              <w:spacing w:after="0"/>
              <w:rPr>
                <w:rFonts w:ascii="Arial" w:hAnsi="Arial"/>
                <w:sz w:val="16"/>
              </w:rPr>
            </w:pPr>
            <w:r w:rsidRPr="00273DEF">
              <w:rPr>
                <w:rFonts w:ascii="Arial" w:hAnsi="Arial"/>
                <w:sz w:val="16"/>
              </w:rPr>
              <w:t>Correction on value of 1-bit counter DAI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7CDDB77" w14:textId="77777777" w:rsidR="00273DEF" w:rsidRDefault="00273DEF" w:rsidP="00BC0321">
            <w:pPr>
              <w:pStyle w:val="TAL"/>
              <w:rPr>
                <w:sz w:val="16"/>
                <w:szCs w:val="16"/>
                <w:lang w:eastAsia="zh-CN"/>
              </w:rPr>
            </w:pPr>
            <w:r>
              <w:rPr>
                <w:sz w:val="16"/>
                <w:szCs w:val="16"/>
                <w:lang w:eastAsia="zh-CN"/>
              </w:rPr>
              <w:t>16.6.0</w:t>
            </w:r>
          </w:p>
        </w:tc>
      </w:tr>
      <w:tr w:rsidR="004F29D0" w:rsidRPr="00B916EC" w14:paraId="31C6065E" w14:textId="77777777" w:rsidTr="004F29D0">
        <w:tc>
          <w:tcPr>
            <w:tcW w:w="894" w:type="dxa"/>
            <w:tcBorders>
              <w:top w:val="single" w:sz="6" w:space="0" w:color="auto"/>
              <w:left w:val="single" w:sz="6" w:space="0" w:color="auto"/>
              <w:bottom w:val="single" w:sz="6" w:space="0" w:color="auto"/>
              <w:right w:val="single" w:sz="6" w:space="0" w:color="auto"/>
            </w:tcBorders>
            <w:shd w:val="solid" w:color="FFFFFF" w:fill="auto"/>
          </w:tcPr>
          <w:p w14:paraId="02B8D551" w14:textId="77777777" w:rsidR="004F29D0" w:rsidRPr="00B916EC" w:rsidRDefault="004F29D0"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7DC39B4" w14:textId="77777777" w:rsidR="004F29D0" w:rsidRPr="00B916EC" w:rsidRDefault="004F29D0"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69E677D" w14:textId="4C6CC395" w:rsidR="004F29D0" w:rsidRDefault="004F29D0" w:rsidP="00BC0321">
            <w:pPr>
              <w:pStyle w:val="TAL"/>
              <w:rPr>
                <w:sz w:val="16"/>
                <w:szCs w:val="16"/>
                <w:lang w:eastAsia="zh-CN"/>
              </w:rPr>
            </w:pPr>
            <w:r>
              <w:rPr>
                <w:sz w:val="16"/>
                <w:szCs w:val="16"/>
                <w:lang w:eastAsia="zh-CN"/>
              </w:rPr>
              <w:t>RP-211236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5F5009E" w14:textId="29C58E9D" w:rsidR="004F29D0" w:rsidRDefault="004F29D0" w:rsidP="00BC0321">
            <w:pPr>
              <w:pStyle w:val="TAL"/>
              <w:rPr>
                <w:sz w:val="16"/>
                <w:szCs w:val="16"/>
              </w:rPr>
            </w:pPr>
            <w:r>
              <w:rPr>
                <w:sz w:val="16"/>
                <w:szCs w:val="16"/>
              </w:rPr>
              <w:t>0244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3256C4D" w14:textId="77777777" w:rsidR="004F29D0" w:rsidRDefault="004F29D0"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DB89F54" w14:textId="77777777" w:rsidR="004F29D0" w:rsidRDefault="004F29D0"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EC5111C" w14:textId="3F635019" w:rsidR="004F29D0" w:rsidRPr="00EA028E" w:rsidRDefault="004F29D0" w:rsidP="00BC0321">
            <w:pPr>
              <w:spacing w:after="0"/>
              <w:rPr>
                <w:rFonts w:ascii="Arial" w:hAnsi="Arial"/>
                <w:sz w:val="16"/>
              </w:rPr>
            </w:pPr>
            <w:r w:rsidRPr="004F29D0">
              <w:rPr>
                <w:rFonts w:ascii="Arial" w:hAnsi="Arial"/>
                <w:sz w:val="16"/>
              </w:rPr>
              <w:t>CR on correction for sub-slot based PUCCH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92E56D5" w14:textId="77777777" w:rsidR="004F29D0" w:rsidRDefault="004F29D0" w:rsidP="00BC0321">
            <w:pPr>
              <w:pStyle w:val="TAL"/>
              <w:rPr>
                <w:sz w:val="16"/>
                <w:szCs w:val="16"/>
                <w:lang w:eastAsia="zh-CN"/>
              </w:rPr>
            </w:pPr>
            <w:r>
              <w:rPr>
                <w:sz w:val="16"/>
                <w:szCs w:val="16"/>
                <w:lang w:eastAsia="zh-CN"/>
              </w:rPr>
              <w:t>16.6.0</w:t>
            </w:r>
          </w:p>
        </w:tc>
      </w:tr>
      <w:tr w:rsidR="005F26B4" w:rsidRPr="00B916EC" w14:paraId="0958DC21" w14:textId="77777777" w:rsidTr="005F26B4">
        <w:tc>
          <w:tcPr>
            <w:tcW w:w="894" w:type="dxa"/>
            <w:tcBorders>
              <w:top w:val="single" w:sz="6" w:space="0" w:color="auto"/>
              <w:left w:val="single" w:sz="6" w:space="0" w:color="auto"/>
              <w:bottom w:val="single" w:sz="6" w:space="0" w:color="auto"/>
              <w:right w:val="single" w:sz="6" w:space="0" w:color="auto"/>
            </w:tcBorders>
            <w:shd w:val="solid" w:color="FFFFFF" w:fill="auto"/>
          </w:tcPr>
          <w:p w14:paraId="0FD46846" w14:textId="77777777" w:rsidR="005F26B4" w:rsidRPr="00B916EC" w:rsidRDefault="005F26B4"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2B0F070" w14:textId="77777777" w:rsidR="005F26B4" w:rsidRPr="00B916EC" w:rsidRDefault="005F26B4" w:rsidP="00BC0321">
            <w:pPr>
              <w:pStyle w:val="TAL"/>
              <w:rPr>
                <w:sz w:val="16"/>
                <w:szCs w:val="16"/>
                <w:lang w:eastAsia="zh-CN"/>
              </w:rPr>
            </w:pPr>
            <w:r w:rsidRPr="00B916EC">
              <w:rPr>
                <w:sz w:val="16"/>
                <w:szCs w:val="16"/>
                <w:lang w:eastAsia="zh-CN"/>
              </w:rPr>
              <w:t>RAN#</w:t>
            </w:r>
            <w:r>
              <w:rPr>
                <w:sz w:val="16"/>
                <w:szCs w:val="16"/>
                <w:lang w:eastAsia="zh-CN"/>
              </w:rPr>
              <w:t>92-e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904DC91" w14:textId="77777777" w:rsidR="005F26B4" w:rsidRDefault="005F26B4" w:rsidP="00BC0321">
            <w:pPr>
              <w:pStyle w:val="TAL"/>
              <w:rPr>
                <w:sz w:val="16"/>
                <w:szCs w:val="16"/>
                <w:lang w:eastAsia="zh-CN"/>
              </w:rPr>
            </w:pPr>
            <w:r>
              <w:rPr>
                <w:sz w:val="16"/>
                <w:szCs w:val="16"/>
                <w:lang w:eastAsia="zh-CN"/>
              </w:rPr>
              <w:t>RP-211236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A8E8564" w14:textId="7243368C" w:rsidR="005F26B4" w:rsidRDefault="005F26B4" w:rsidP="00BC0321">
            <w:pPr>
              <w:pStyle w:val="TAL"/>
              <w:rPr>
                <w:sz w:val="16"/>
                <w:szCs w:val="16"/>
              </w:rPr>
            </w:pPr>
            <w:r>
              <w:rPr>
                <w:sz w:val="16"/>
                <w:szCs w:val="16"/>
              </w:rPr>
              <w:t>0245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89FF139" w14:textId="77777777" w:rsidR="005F26B4" w:rsidRDefault="005F26B4"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AF5CB68" w14:textId="77777777" w:rsidR="005F26B4" w:rsidRDefault="005F26B4"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2893B5B" w14:textId="2C9384D8" w:rsidR="005F26B4" w:rsidRPr="00EA028E" w:rsidRDefault="005F26B4" w:rsidP="00BC0321">
            <w:pPr>
              <w:spacing w:after="0"/>
              <w:rPr>
                <w:rFonts w:ascii="Arial" w:hAnsi="Arial"/>
                <w:sz w:val="16"/>
              </w:rPr>
            </w:pPr>
            <w:r w:rsidRPr="005F26B4">
              <w:rPr>
                <w:rFonts w:ascii="Arial" w:hAnsi="Arial"/>
                <w:sz w:val="16"/>
              </w:rPr>
              <w:t>CR on clarification for reference point of sub-slot based PUCCH resource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5B70572" w14:textId="77777777" w:rsidR="005F26B4" w:rsidRDefault="005F26B4" w:rsidP="00BC0321">
            <w:pPr>
              <w:pStyle w:val="TAL"/>
              <w:rPr>
                <w:sz w:val="16"/>
                <w:szCs w:val="16"/>
                <w:lang w:eastAsia="zh-CN"/>
              </w:rPr>
            </w:pPr>
            <w:r>
              <w:rPr>
                <w:sz w:val="16"/>
                <w:szCs w:val="16"/>
                <w:lang w:eastAsia="zh-CN"/>
              </w:rPr>
              <w:t>16.6.0</w:t>
            </w:r>
          </w:p>
        </w:tc>
      </w:tr>
      <w:tr w:rsidR="00923EF2" w:rsidRPr="00B916EC" w14:paraId="323FEA07" w14:textId="77777777" w:rsidTr="00923EF2">
        <w:tc>
          <w:tcPr>
            <w:tcW w:w="894" w:type="dxa"/>
            <w:tcBorders>
              <w:top w:val="single" w:sz="6" w:space="0" w:color="auto"/>
              <w:left w:val="single" w:sz="6" w:space="0" w:color="auto"/>
              <w:bottom w:val="single" w:sz="6" w:space="0" w:color="auto"/>
              <w:right w:val="single" w:sz="6" w:space="0" w:color="auto"/>
            </w:tcBorders>
            <w:shd w:val="solid" w:color="FFFFFF" w:fill="auto"/>
          </w:tcPr>
          <w:p w14:paraId="28449DFD" w14:textId="7EC2D32C" w:rsidR="00923EF2" w:rsidRPr="00B916EC" w:rsidRDefault="00923EF2"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B6DC15C" w14:textId="6DF92114" w:rsidR="00923EF2" w:rsidRPr="00B916EC" w:rsidRDefault="00923EF2" w:rsidP="00BC0321">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C9FC714" w14:textId="3EDB7A28" w:rsidR="00923EF2" w:rsidRDefault="00923EF2" w:rsidP="00BC0321">
            <w:pPr>
              <w:pStyle w:val="TAL"/>
              <w:rPr>
                <w:sz w:val="16"/>
                <w:szCs w:val="16"/>
                <w:lang w:eastAsia="zh-CN"/>
              </w:rPr>
            </w:pPr>
            <w:r>
              <w:rPr>
                <w:sz w:val="16"/>
                <w:szCs w:val="16"/>
                <w:lang w:eastAsia="zh-CN"/>
              </w:rPr>
              <w:t>RP-211842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8A53065" w14:textId="31D5DFAE" w:rsidR="00923EF2" w:rsidRDefault="00923EF2" w:rsidP="00BC0321">
            <w:pPr>
              <w:pStyle w:val="TAL"/>
              <w:rPr>
                <w:sz w:val="16"/>
                <w:szCs w:val="16"/>
              </w:rPr>
            </w:pPr>
            <w:r>
              <w:rPr>
                <w:sz w:val="16"/>
                <w:szCs w:val="16"/>
              </w:rPr>
              <w:t>0246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43E5C5A" w14:textId="77777777" w:rsidR="00923EF2" w:rsidRDefault="00923EF2"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7698B03" w14:textId="77777777" w:rsidR="00923EF2" w:rsidRDefault="00923EF2"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706D345" w14:textId="00737453" w:rsidR="00923EF2" w:rsidRPr="00EA028E" w:rsidRDefault="00923EF2" w:rsidP="00BC0321">
            <w:pPr>
              <w:spacing w:after="0"/>
              <w:rPr>
                <w:rFonts w:ascii="Arial" w:hAnsi="Arial"/>
                <w:sz w:val="16"/>
              </w:rPr>
            </w:pPr>
            <w:r w:rsidRPr="00923EF2">
              <w:rPr>
                <w:rFonts w:ascii="Arial" w:hAnsi="Arial"/>
                <w:sz w:val="16"/>
              </w:rPr>
              <w:t>Clarification on SL power control and SL type-1 HARQ-ACK codebook in out of coverage case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BE3EE76" w14:textId="3188BA14" w:rsidR="00923EF2" w:rsidRDefault="00923EF2" w:rsidP="00BC0321">
            <w:pPr>
              <w:pStyle w:val="TAL"/>
              <w:rPr>
                <w:sz w:val="16"/>
                <w:szCs w:val="16"/>
                <w:lang w:eastAsia="zh-CN"/>
              </w:rPr>
            </w:pPr>
            <w:r>
              <w:rPr>
                <w:sz w:val="16"/>
                <w:szCs w:val="16"/>
                <w:lang w:eastAsia="zh-CN"/>
              </w:rPr>
              <w:t>16.7.0</w:t>
            </w:r>
          </w:p>
        </w:tc>
      </w:tr>
      <w:tr w:rsidR="00747CB6" w:rsidRPr="00B916EC" w14:paraId="1E66901D" w14:textId="77777777" w:rsidTr="00747CB6">
        <w:tc>
          <w:tcPr>
            <w:tcW w:w="894" w:type="dxa"/>
            <w:tcBorders>
              <w:top w:val="single" w:sz="6" w:space="0" w:color="auto"/>
              <w:left w:val="single" w:sz="6" w:space="0" w:color="auto"/>
              <w:bottom w:val="single" w:sz="6" w:space="0" w:color="auto"/>
              <w:right w:val="single" w:sz="6" w:space="0" w:color="auto"/>
            </w:tcBorders>
            <w:shd w:val="solid" w:color="FFFFFF" w:fill="auto"/>
          </w:tcPr>
          <w:p w14:paraId="06517E53" w14:textId="77777777" w:rsidR="00747CB6" w:rsidRPr="00B916EC" w:rsidRDefault="00747CB6"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F67F96F" w14:textId="77777777" w:rsidR="00747CB6" w:rsidRPr="00B916EC" w:rsidRDefault="00747CB6" w:rsidP="00BC0321">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2D91BDF" w14:textId="77777777" w:rsidR="00747CB6" w:rsidRDefault="00747CB6" w:rsidP="00BC0321">
            <w:pPr>
              <w:pStyle w:val="TAL"/>
              <w:rPr>
                <w:sz w:val="16"/>
                <w:szCs w:val="16"/>
                <w:lang w:eastAsia="zh-CN"/>
              </w:rPr>
            </w:pPr>
            <w:r>
              <w:rPr>
                <w:sz w:val="16"/>
                <w:szCs w:val="16"/>
                <w:lang w:eastAsia="zh-CN"/>
              </w:rPr>
              <w:t>RP-211842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E0F2049" w14:textId="1D4BCFEA" w:rsidR="00747CB6" w:rsidRDefault="00747CB6" w:rsidP="00BC0321">
            <w:pPr>
              <w:pStyle w:val="TAL"/>
              <w:rPr>
                <w:sz w:val="16"/>
                <w:szCs w:val="16"/>
              </w:rPr>
            </w:pPr>
            <w:r>
              <w:rPr>
                <w:sz w:val="16"/>
                <w:szCs w:val="16"/>
              </w:rPr>
              <w:t>0247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5568E66" w14:textId="77777777" w:rsidR="00747CB6" w:rsidRDefault="00747CB6"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4A1BEE3" w14:textId="77777777" w:rsidR="00747CB6" w:rsidRDefault="00747CB6"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C24F084" w14:textId="651D8D0E" w:rsidR="00747CB6" w:rsidRPr="00EA028E" w:rsidRDefault="00747CB6" w:rsidP="00BC0321">
            <w:pPr>
              <w:spacing w:after="0"/>
              <w:rPr>
                <w:rFonts w:ascii="Arial" w:hAnsi="Arial"/>
                <w:sz w:val="16"/>
              </w:rPr>
            </w:pPr>
            <w:r w:rsidRPr="00747CB6">
              <w:rPr>
                <w:rFonts w:ascii="Arial" w:hAnsi="Arial"/>
                <w:sz w:val="16"/>
              </w:rPr>
              <w:t>Parameter name correction for PSSCH power control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02BE114" w14:textId="77777777" w:rsidR="00747CB6" w:rsidRDefault="00747CB6" w:rsidP="00BC0321">
            <w:pPr>
              <w:pStyle w:val="TAL"/>
              <w:rPr>
                <w:sz w:val="16"/>
                <w:szCs w:val="16"/>
                <w:lang w:eastAsia="zh-CN"/>
              </w:rPr>
            </w:pPr>
            <w:r>
              <w:rPr>
                <w:sz w:val="16"/>
                <w:szCs w:val="16"/>
                <w:lang w:eastAsia="zh-CN"/>
              </w:rPr>
              <w:t>16.7.0</w:t>
            </w:r>
          </w:p>
        </w:tc>
      </w:tr>
      <w:tr w:rsidR="00DD2975" w:rsidRPr="00B916EC" w14:paraId="0A9EA201" w14:textId="77777777" w:rsidTr="00DD2975">
        <w:tc>
          <w:tcPr>
            <w:tcW w:w="894" w:type="dxa"/>
            <w:tcBorders>
              <w:top w:val="single" w:sz="6" w:space="0" w:color="auto"/>
              <w:left w:val="single" w:sz="6" w:space="0" w:color="auto"/>
              <w:bottom w:val="single" w:sz="6" w:space="0" w:color="auto"/>
              <w:right w:val="single" w:sz="6" w:space="0" w:color="auto"/>
            </w:tcBorders>
            <w:shd w:val="solid" w:color="FFFFFF" w:fill="auto"/>
          </w:tcPr>
          <w:p w14:paraId="690CD70A" w14:textId="77777777" w:rsidR="00DD2975" w:rsidRPr="00B916EC" w:rsidRDefault="00DD2975"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CA28794" w14:textId="77777777" w:rsidR="00DD2975" w:rsidRPr="00B916EC" w:rsidRDefault="00DD2975" w:rsidP="00BC0321">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23816A6" w14:textId="792D77EF" w:rsidR="00DD2975" w:rsidRDefault="00DD2975" w:rsidP="00BC0321">
            <w:pPr>
              <w:pStyle w:val="TAL"/>
              <w:rPr>
                <w:sz w:val="16"/>
                <w:szCs w:val="16"/>
                <w:lang w:eastAsia="zh-CN"/>
              </w:rPr>
            </w:pPr>
            <w:r>
              <w:rPr>
                <w:sz w:val="16"/>
                <w:szCs w:val="16"/>
                <w:lang w:eastAsia="zh-CN"/>
              </w:rPr>
              <w:t>RP-211844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CC9CEFF" w14:textId="27689ABC" w:rsidR="00DD2975" w:rsidRDefault="00DD2975" w:rsidP="00BC0321">
            <w:pPr>
              <w:pStyle w:val="TAL"/>
              <w:rPr>
                <w:sz w:val="16"/>
                <w:szCs w:val="16"/>
              </w:rPr>
            </w:pPr>
            <w:r>
              <w:rPr>
                <w:sz w:val="16"/>
                <w:szCs w:val="16"/>
              </w:rPr>
              <w:t>0248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516EDAC" w14:textId="77777777" w:rsidR="00DD2975" w:rsidRDefault="00DD2975"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BA89BA7" w14:textId="77777777" w:rsidR="00DD2975" w:rsidRDefault="00DD2975"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E682A09" w14:textId="540AD73A" w:rsidR="00DD2975" w:rsidRPr="00EA028E" w:rsidRDefault="00DD2975" w:rsidP="00BC0321">
            <w:pPr>
              <w:spacing w:after="0"/>
              <w:rPr>
                <w:rFonts w:ascii="Arial" w:hAnsi="Arial"/>
                <w:sz w:val="16"/>
              </w:rPr>
            </w:pPr>
            <w:r w:rsidRPr="00DD2975">
              <w:rPr>
                <w:rFonts w:ascii="Arial" w:hAnsi="Arial"/>
                <w:sz w:val="16"/>
              </w:rPr>
              <w:t>CR on number of received PDSCHs for multi-TRP transmission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218956" w14:textId="77777777" w:rsidR="00DD2975" w:rsidRDefault="00DD2975" w:rsidP="00BC0321">
            <w:pPr>
              <w:pStyle w:val="TAL"/>
              <w:rPr>
                <w:sz w:val="16"/>
                <w:szCs w:val="16"/>
                <w:lang w:eastAsia="zh-CN"/>
              </w:rPr>
            </w:pPr>
            <w:r>
              <w:rPr>
                <w:sz w:val="16"/>
                <w:szCs w:val="16"/>
                <w:lang w:eastAsia="zh-CN"/>
              </w:rPr>
              <w:t>16.7.0</w:t>
            </w:r>
          </w:p>
        </w:tc>
      </w:tr>
      <w:tr w:rsidR="00DD2975" w:rsidRPr="00B916EC" w14:paraId="0158E0DE" w14:textId="77777777" w:rsidTr="00DD2975">
        <w:tc>
          <w:tcPr>
            <w:tcW w:w="894" w:type="dxa"/>
            <w:tcBorders>
              <w:top w:val="single" w:sz="6" w:space="0" w:color="auto"/>
              <w:left w:val="single" w:sz="6" w:space="0" w:color="auto"/>
              <w:bottom w:val="single" w:sz="6" w:space="0" w:color="auto"/>
              <w:right w:val="single" w:sz="6" w:space="0" w:color="auto"/>
            </w:tcBorders>
            <w:shd w:val="solid" w:color="FFFFFF" w:fill="auto"/>
          </w:tcPr>
          <w:p w14:paraId="3237F24C" w14:textId="77777777" w:rsidR="00DD2975" w:rsidRPr="00B916EC" w:rsidRDefault="00DD2975"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75719AA" w14:textId="77777777" w:rsidR="00DD2975" w:rsidRPr="00B916EC" w:rsidRDefault="00DD2975" w:rsidP="00BC0321">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3805BBF" w14:textId="710EE47A" w:rsidR="00DD2975" w:rsidRDefault="00DD2975" w:rsidP="00BC0321">
            <w:pPr>
              <w:pStyle w:val="TAL"/>
              <w:rPr>
                <w:sz w:val="16"/>
                <w:szCs w:val="16"/>
                <w:lang w:eastAsia="zh-CN"/>
              </w:rPr>
            </w:pPr>
            <w:r>
              <w:rPr>
                <w:sz w:val="16"/>
                <w:szCs w:val="16"/>
                <w:lang w:eastAsia="zh-CN"/>
              </w:rPr>
              <w:t>RP-21184</w:t>
            </w:r>
            <w:r w:rsidR="00775454">
              <w:rPr>
                <w:sz w:val="16"/>
                <w:szCs w:val="16"/>
                <w:lang w:eastAsia="zh-CN"/>
              </w:rPr>
              <w:t>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E4C8D6E" w14:textId="760E36A2" w:rsidR="00DD2975" w:rsidRDefault="00DD2975" w:rsidP="00BC0321">
            <w:pPr>
              <w:pStyle w:val="TAL"/>
              <w:rPr>
                <w:sz w:val="16"/>
                <w:szCs w:val="16"/>
              </w:rPr>
            </w:pPr>
            <w:r>
              <w:rPr>
                <w:sz w:val="16"/>
                <w:szCs w:val="16"/>
              </w:rPr>
              <w:t>024</w:t>
            </w:r>
            <w:r w:rsidR="00775454">
              <w:rPr>
                <w:sz w:val="16"/>
                <w:szCs w:val="16"/>
              </w:rPr>
              <w:t>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9DAB1CA" w14:textId="77777777" w:rsidR="00DD2975" w:rsidRDefault="00DD2975"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5E383E6" w14:textId="77777777" w:rsidR="00DD2975" w:rsidRDefault="00DD2975"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447EF82" w14:textId="39B611A0" w:rsidR="00DD2975" w:rsidRPr="00EA028E" w:rsidRDefault="00775454" w:rsidP="00BC0321">
            <w:pPr>
              <w:spacing w:after="0"/>
              <w:rPr>
                <w:rFonts w:ascii="Arial" w:hAnsi="Arial"/>
                <w:sz w:val="16"/>
              </w:rPr>
            </w:pPr>
            <w:r w:rsidRPr="00775454">
              <w:rPr>
                <w:rFonts w:ascii="Arial" w:hAnsi="Arial"/>
                <w:sz w:val="16"/>
              </w:rPr>
              <w:t>Correction on synchronization procedure for sidelink transmission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6BC5015" w14:textId="77777777" w:rsidR="00DD2975" w:rsidRDefault="00DD2975" w:rsidP="00BC0321">
            <w:pPr>
              <w:pStyle w:val="TAL"/>
              <w:rPr>
                <w:sz w:val="16"/>
                <w:szCs w:val="16"/>
                <w:lang w:eastAsia="zh-CN"/>
              </w:rPr>
            </w:pPr>
            <w:r>
              <w:rPr>
                <w:sz w:val="16"/>
                <w:szCs w:val="16"/>
                <w:lang w:eastAsia="zh-CN"/>
              </w:rPr>
              <w:t>16.7.0</w:t>
            </w:r>
          </w:p>
        </w:tc>
      </w:tr>
      <w:tr w:rsidR="000656C3" w:rsidRPr="00B916EC" w14:paraId="145B37D5" w14:textId="77777777" w:rsidTr="000656C3">
        <w:tc>
          <w:tcPr>
            <w:tcW w:w="894" w:type="dxa"/>
            <w:tcBorders>
              <w:top w:val="single" w:sz="6" w:space="0" w:color="auto"/>
              <w:left w:val="single" w:sz="6" w:space="0" w:color="auto"/>
              <w:bottom w:val="single" w:sz="6" w:space="0" w:color="auto"/>
              <w:right w:val="single" w:sz="6" w:space="0" w:color="auto"/>
            </w:tcBorders>
            <w:shd w:val="solid" w:color="FFFFFF" w:fill="auto"/>
          </w:tcPr>
          <w:p w14:paraId="0D702D4B" w14:textId="77777777" w:rsidR="000656C3" w:rsidRPr="00B916EC" w:rsidRDefault="000656C3"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3865F27" w14:textId="77777777" w:rsidR="000656C3" w:rsidRPr="00B916EC" w:rsidRDefault="000656C3" w:rsidP="00BC0321">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4FD2AE4" w14:textId="3027C200" w:rsidR="000656C3" w:rsidRDefault="000656C3" w:rsidP="00BC0321">
            <w:pPr>
              <w:pStyle w:val="TAL"/>
              <w:rPr>
                <w:sz w:val="16"/>
                <w:szCs w:val="16"/>
                <w:lang w:eastAsia="zh-CN"/>
              </w:rPr>
            </w:pPr>
            <w:r>
              <w:rPr>
                <w:sz w:val="16"/>
                <w:szCs w:val="16"/>
                <w:lang w:eastAsia="zh-CN"/>
              </w:rPr>
              <w:t>RP-211846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F6350DC" w14:textId="747967C2" w:rsidR="000656C3" w:rsidRDefault="000656C3" w:rsidP="00BC0321">
            <w:pPr>
              <w:pStyle w:val="TAL"/>
              <w:rPr>
                <w:sz w:val="16"/>
                <w:szCs w:val="16"/>
              </w:rPr>
            </w:pPr>
            <w:r>
              <w:rPr>
                <w:sz w:val="16"/>
                <w:szCs w:val="16"/>
              </w:rPr>
              <w:t>0250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021CE48" w14:textId="1E881663" w:rsidR="000656C3" w:rsidRDefault="000656C3"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BF36922" w14:textId="77777777" w:rsidR="000656C3" w:rsidRDefault="000656C3"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4153A68" w14:textId="2E572D0D" w:rsidR="000656C3" w:rsidRPr="00EA028E" w:rsidRDefault="000656C3" w:rsidP="00BC0321">
            <w:pPr>
              <w:spacing w:after="0"/>
              <w:rPr>
                <w:rFonts w:ascii="Arial" w:hAnsi="Arial"/>
                <w:sz w:val="16"/>
              </w:rPr>
            </w:pPr>
            <w:r w:rsidRPr="000656C3">
              <w:rPr>
                <w:rFonts w:ascii="Arial" w:hAnsi="Arial"/>
                <w:sz w:val="16"/>
              </w:rPr>
              <w:t>Corrections on SCell dormancy indication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6E87C3" w14:textId="77777777" w:rsidR="000656C3" w:rsidRDefault="000656C3" w:rsidP="00BC0321">
            <w:pPr>
              <w:pStyle w:val="TAL"/>
              <w:rPr>
                <w:sz w:val="16"/>
                <w:szCs w:val="16"/>
                <w:lang w:eastAsia="zh-CN"/>
              </w:rPr>
            </w:pPr>
            <w:r>
              <w:rPr>
                <w:sz w:val="16"/>
                <w:szCs w:val="16"/>
                <w:lang w:eastAsia="zh-CN"/>
              </w:rPr>
              <w:t>16.7.0</w:t>
            </w:r>
          </w:p>
        </w:tc>
      </w:tr>
      <w:tr w:rsidR="00994FD2" w:rsidRPr="00B916EC" w14:paraId="4288F90B" w14:textId="77777777" w:rsidTr="00994FD2">
        <w:tc>
          <w:tcPr>
            <w:tcW w:w="894" w:type="dxa"/>
            <w:tcBorders>
              <w:top w:val="single" w:sz="6" w:space="0" w:color="auto"/>
              <w:left w:val="single" w:sz="6" w:space="0" w:color="auto"/>
              <w:bottom w:val="single" w:sz="6" w:space="0" w:color="auto"/>
              <w:right w:val="single" w:sz="6" w:space="0" w:color="auto"/>
            </w:tcBorders>
            <w:shd w:val="solid" w:color="FFFFFF" w:fill="auto"/>
          </w:tcPr>
          <w:p w14:paraId="14BA98DE" w14:textId="77777777" w:rsidR="00994FD2" w:rsidRPr="00B916EC" w:rsidRDefault="00994FD2"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5874BD9" w14:textId="77777777" w:rsidR="00994FD2" w:rsidRPr="00B916EC" w:rsidRDefault="00994FD2" w:rsidP="00BC0321">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2759D72" w14:textId="4C6B5565" w:rsidR="00994FD2" w:rsidRDefault="00994FD2" w:rsidP="00BC0321">
            <w:pPr>
              <w:pStyle w:val="TAL"/>
              <w:rPr>
                <w:sz w:val="16"/>
                <w:szCs w:val="16"/>
                <w:lang w:eastAsia="zh-CN"/>
              </w:rPr>
            </w:pPr>
            <w:r>
              <w:rPr>
                <w:sz w:val="16"/>
                <w:szCs w:val="16"/>
                <w:lang w:eastAsia="zh-CN"/>
              </w:rPr>
              <w:t>RP-211843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526018C" w14:textId="5E8E479D" w:rsidR="00994FD2" w:rsidRDefault="00994FD2" w:rsidP="00BC0321">
            <w:pPr>
              <w:pStyle w:val="TAL"/>
              <w:rPr>
                <w:sz w:val="16"/>
                <w:szCs w:val="16"/>
              </w:rPr>
            </w:pPr>
            <w:r>
              <w:rPr>
                <w:sz w:val="16"/>
                <w:szCs w:val="16"/>
              </w:rPr>
              <w:t>0251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E161741" w14:textId="77777777" w:rsidR="00994FD2" w:rsidRDefault="00994FD2"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086BF5B" w14:textId="77777777" w:rsidR="00994FD2" w:rsidRDefault="00994FD2"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C67B603" w14:textId="01855FCB" w:rsidR="00994FD2" w:rsidRPr="00EA028E" w:rsidRDefault="00994FD2" w:rsidP="00BC0321">
            <w:pPr>
              <w:spacing w:after="0"/>
              <w:rPr>
                <w:rFonts w:ascii="Arial" w:hAnsi="Arial"/>
                <w:sz w:val="16"/>
              </w:rPr>
            </w:pPr>
            <w:r w:rsidRPr="00994FD2">
              <w:rPr>
                <w:rFonts w:ascii="Arial" w:hAnsi="Arial"/>
                <w:sz w:val="16"/>
              </w:rPr>
              <w:t>Correction on overlapping between SPS HARQ-ACK with HP and SP HARQ-ACK with LP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1BE7485" w14:textId="77777777" w:rsidR="00994FD2" w:rsidRDefault="00994FD2" w:rsidP="00BC0321">
            <w:pPr>
              <w:pStyle w:val="TAL"/>
              <w:rPr>
                <w:sz w:val="16"/>
                <w:szCs w:val="16"/>
                <w:lang w:eastAsia="zh-CN"/>
              </w:rPr>
            </w:pPr>
            <w:r>
              <w:rPr>
                <w:sz w:val="16"/>
                <w:szCs w:val="16"/>
                <w:lang w:eastAsia="zh-CN"/>
              </w:rPr>
              <w:t>16.7.0</w:t>
            </w:r>
          </w:p>
        </w:tc>
      </w:tr>
      <w:tr w:rsidR="001906EA" w:rsidRPr="00B916EC" w14:paraId="5E856AEE" w14:textId="77777777" w:rsidTr="001906EA">
        <w:tc>
          <w:tcPr>
            <w:tcW w:w="894" w:type="dxa"/>
            <w:tcBorders>
              <w:top w:val="single" w:sz="6" w:space="0" w:color="auto"/>
              <w:left w:val="single" w:sz="6" w:space="0" w:color="auto"/>
              <w:bottom w:val="single" w:sz="6" w:space="0" w:color="auto"/>
              <w:right w:val="single" w:sz="6" w:space="0" w:color="auto"/>
            </w:tcBorders>
            <w:shd w:val="solid" w:color="FFFFFF" w:fill="auto"/>
          </w:tcPr>
          <w:p w14:paraId="527070A2" w14:textId="77777777" w:rsidR="001906EA" w:rsidRPr="00B916EC" w:rsidRDefault="001906EA"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E9DE047" w14:textId="77777777" w:rsidR="001906EA" w:rsidRPr="00B916EC" w:rsidRDefault="001906EA" w:rsidP="00BC0321">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9B1CD13" w14:textId="5C509A13" w:rsidR="001906EA" w:rsidRDefault="001906EA" w:rsidP="00BC0321">
            <w:pPr>
              <w:pStyle w:val="TAL"/>
              <w:rPr>
                <w:sz w:val="16"/>
                <w:szCs w:val="16"/>
                <w:lang w:eastAsia="zh-CN"/>
              </w:rPr>
            </w:pPr>
            <w:r>
              <w:rPr>
                <w:sz w:val="16"/>
                <w:szCs w:val="16"/>
                <w:lang w:eastAsia="zh-CN"/>
              </w:rPr>
              <w:t>RP-21184</w:t>
            </w:r>
            <w:r w:rsidR="00692694">
              <w:rPr>
                <w:sz w:val="16"/>
                <w:szCs w:val="16"/>
                <w:lang w:eastAsia="zh-CN"/>
              </w:rPr>
              <w:t>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5151E1B" w14:textId="1DA12C30" w:rsidR="001906EA" w:rsidRDefault="001906EA" w:rsidP="00BC0321">
            <w:pPr>
              <w:pStyle w:val="TAL"/>
              <w:rPr>
                <w:sz w:val="16"/>
                <w:szCs w:val="16"/>
              </w:rPr>
            </w:pPr>
            <w:r>
              <w:rPr>
                <w:sz w:val="16"/>
                <w:szCs w:val="16"/>
              </w:rPr>
              <w:t>025</w:t>
            </w:r>
            <w:r w:rsidR="00692694">
              <w:rPr>
                <w:sz w:val="16"/>
                <w:szCs w:val="16"/>
              </w:rPr>
              <w:t>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630C13B" w14:textId="3178E585" w:rsidR="001906EA" w:rsidRDefault="00692694"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771E2F4" w14:textId="77777777" w:rsidR="001906EA" w:rsidRDefault="001906E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71C8168" w14:textId="4476F531" w:rsidR="001906EA" w:rsidRPr="00EA028E" w:rsidRDefault="00692694" w:rsidP="00BC0321">
            <w:pPr>
              <w:spacing w:after="0"/>
              <w:rPr>
                <w:rFonts w:ascii="Arial" w:hAnsi="Arial"/>
                <w:sz w:val="16"/>
              </w:rPr>
            </w:pPr>
            <w:r w:rsidRPr="00692694">
              <w:rPr>
                <w:rFonts w:ascii="Arial" w:hAnsi="Arial"/>
                <w:sz w:val="16"/>
              </w:rPr>
              <w:t>CR on Simultan</w:t>
            </w:r>
            <w:r>
              <w:rPr>
                <w:rFonts w:ascii="Arial" w:hAnsi="Arial"/>
                <w:sz w:val="16"/>
              </w:rPr>
              <w:t>e</w:t>
            </w:r>
            <w:r w:rsidRPr="00692694">
              <w:rPr>
                <w:rFonts w:ascii="Arial" w:hAnsi="Arial"/>
                <w:sz w:val="16"/>
              </w:rPr>
              <w:t>ous NR SL and LTE SL Operation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B9D59A8" w14:textId="77777777" w:rsidR="001906EA" w:rsidRDefault="001906EA" w:rsidP="00BC0321">
            <w:pPr>
              <w:pStyle w:val="TAL"/>
              <w:rPr>
                <w:sz w:val="16"/>
                <w:szCs w:val="16"/>
                <w:lang w:eastAsia="zh-CN"/>
              </w:rPr>
            </w:pPr>
            <w:r>
              <w:rPr>
                <w:sz w:val="16"/>
                <w:szCs w:val="16"/>
                <w:lang w:eastAsia="zh-CN"/>
              </w:rPr>
              <w:t>16.7.0</w:t>
            </w:r>
          </w:p>
        </w:tc>
      </w:tr>
      <w:tr w:rsidR="00692694" w:rsidRPr="00B916EC" w14:paraId="7416170D" w14:textId="77777777" w:rsidTr="00692694">
        <w:tc>
          <w:tcPr>
            <w:tcW w:w="894" w:type="dxa"/>
            <w:tcBorders>
              <w:top w:val="single" w:sz="6" w:space="0" w:color="auto"/>
              <w:left w:val="single" w:sz="6" w:space="0" w:color="auto"/>
              <w:bottom w:val="single" w:sz="6" w:space="0" w:color="auto"/>
              <w:right w:val="single" w:sz="6" w:space="0" w:color="auto"/>
            </w:tcBorders>
            <w:shd w:val="solid" w:color="FFFFFF" w:fill="auto"/>
          </w:tcPr>
          <w:p w14:paraId="599CA7E1" w14:textId="77777777" w:rsidR="00692694" w:rsidRPr="00B916EC" w:rsidRDefault="00692694"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9E146EA" w14:textId="77777777" w:rsidR="00692694" w:rsidRPr="00B916EC" w:rsidRDefault="00692694" w:rsidP="00BC0321">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26A7998" w14:textId="77777777" w:rsidR="00692694" w:rsidRDefault="00692694" w:rsidP="00BC0321">
            <w:pPr>
              <w:pStyle w:val="TAL"/>
              <w:rPr>
                <w:sz w:val="16"/>
                <w:szCs w:val="16"/>
                <w:lang w:eastAsia="zh-CN"/>
              </w:rPr>
            </w:pPr>
            <w:r>
              <w:rPr>
                <w:sz w:val="16"/>
                <w:szCs w:val="16"/>
                <w:lang w:eastAsia="zh-CN"/>
              </w:rPr>
              <w:t>RP-211842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9C775FD" w14:textId="47A1C4A5" w:rsidR="00692694" w:rsidRDefault="00692694" w:rsidP="00BC0321">
            <w:pPr>
              <w:pStyle w:val="TAL"/>
              <w:rPr>
                <w:sz w:val="16"/>
                <w:szCs w:val="16"/>
              </w:rPr>
            </w:pPr>
            <w:r>
              <w:rPr>
                <w:sz w:val="16"/>
                <w:szCs w:val="16"/>
              </w:rPr>
              <w:t>0253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406467B" w14:textId="77777777" w:rsidR="00692694" w:rsidRDefault="00692694"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FCA7F72" w14:textId="77777777" w:rsidR="00692694" w:rsidRDefault="00692694"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6884369" w14:textId="23213990" w:rsidR="00692694" w:rsidRPr="00EA028E" w:rsidRDefault="00692694" w:rsidP="00BC0321">
            <w:pPr>
              <w:spacing w:after="0"/>
              <w:rPr>
                <w:rFonts w:ascii="Arial" w:hAnsi="Arial"/>
                <w:sz w:val="16"/>
              </w:rPr>
            </w:pPr>
            <w:r w:rsidRPr="00692694">
              <w:rPr>
                <w:rFonts w:ascii="Arial" w:hAnsi="Arial"/>
                <w:sz w:val="16"/>
              </w:rPr>
              <w:t>Clarification on PUCCH Power control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48EC487" w14:textId="77777777" w:rsidR="00692694" w:rsidRDefault="00692694" w:rsidP="00BC0321">
            <w:pPr>
              <w:pStyle w:val="TAL"/>
              <w:rPr>
                <w:sz w:val="16"/>
                <w:szCs w:val="16"/>
                <w:lang w:eastAsia="zh-CN"/>
              </w:rPr>
            </w:pPr>
            <w:r>
              <w:rPr>
                <w:sz w:val="16"/>
                <w:szCs w:val="16"/>
                <w:lang w:eastAsia="zh-CN"/>
              </w:rPr>
              <w:t>16.7.0</w:t>
            </w:r>
          </w:p>
        </w:tc>
      </w:tr>
      <w:tr w:rsidR="00D91988" w:rsidRPr="00B916EC" w14:paraId="72B76D08" w14:textId="77777777" w:rsidTr="00D91988">
        <w:tc>
          <w:tcPr>
            <w:tcW w:w="894" w:type="dxa"/>
            <w:tcBorders>
              <w:top w:val="single" w:sz="6" w:space="0" w:color="auto"/>
              <w:left w:val="single" w:sz="6" w:space="0" w:color="auto"/>
              <w:bottom w:val="single" w:sz="6" w:space="0" w:color="auto"/>
              <w:right w:val="single" w:sz="6" w:space="0" w:color="auto"/>
            </w:tcBorders>
            <w:shd w:val="solid" w:color="FFFFFF" w:fill="auto"/>
          </w:tcPr>
          <w:p w14:paraId="0B25E493" w14:textId="77777777" w:rsidR="00D91988" w:rsidRPr="00B916EC" w:rsidRDefault="00D91988"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7BE928D" w14:textId="77777777" w:rsidR="00D91988" w:rsidRPr="00B916EC" w:rsidRDefault="00D91988" w:rsidP="00BC0321">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508F912" w14:textId="41DC5A25" w:rsidR="00D91988" w:rsidRDefault="00D91988" w:rsidP="00BC0321">
            <w:pPr>
              <w:pStyle w:val="TAL"/>
              <w:rPr>
                <w:sz w:val="16"/>
                <w:szCs w:val="16"/>
                <w:lang w:eastAsia="zh-CN"/>
              </w:rPr>
            </w:pPr>
            <w:r>
              <w:rPr>
                <w:sz w:val="16"/>
                <w:szCs w:val="16"/>
                <w:lang w:eastAsia="zh-CN"/>
              </w:rPr>
              <w:t>RP-211843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4481D2C" w14:textId="3018294D" w:rsidR="00D91988" w:rsidRDefault="00D91988" w:rsidP="00BC0321">
            <w:pPr>
              <w:pStyle w:val="TAL"/>
              <w:rPr>
                <w:sz w:val="16"/>
                <w:szCs w:val="16"/>
              </w:rPr>
            </w:pPr>
            <w:r>
              <w:rPr>
                <w:sz w:val="16"/>
                <w:szCs w:val="16"/>
              </w:rPr>
              <w:t>0254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D942815" w14:textId="77777777" w:rsidR="00D91988" w:rsidRDefault="00D91988"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7D2744A" w14:textId="77777777" w:rsidR="00D91988" w:rsidRDefault="00D91988"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FC3F960" w14:textId="38545A75" w:rsidR="00D91988" w:rsidRPr="00EA028E" w:rsidRDefault="00D91988" w:rsidP="00BC0321">
            <w:pPr>
              <w:spacing w:after="0"/>
              <w:rPr>
                <w:rFonts w:ascii="Arial" w:hAnsi="Arial"/>
                <w:sz w:val="16"/>
              </w:rPr>
            </w:pPr>
            <w:r w:rsidRPr="00D91988">
              <w:rPr>
                <w:rFonts w:ascii="Arial" w:hAnsi="Arial"/>
                <w:sz w:val="16"/>
              </w:rPr>
              <w:t>Corrections on Sub-slot Based HARQ-ACK Feedback for MAC CE Activation/deactivation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C429E16" w14:textId="77777777" w:rsidR="00D91988" w:rsidRDefault="00D91988" w:rsidP="00BC0321">
            <w:pPr>
              <w:pStyle w:val="TAL"/>
              <w:rPr>
                <w:sz w:val="16"/>
                <w:szCs w:val="16"/>
                <w:lang w:eastAsia="zh-CN"/>
              </w:rPr>
            </w:pPr>
            <w:r>
              <w:rPr>
                <w:sz w:val="16"/>
                <w:szCs w:val="16"/>
                <w:lang w:eastAsia="zh-CN"/>
              </w:rPr>
              <w:t>16.7.0</w:t>
            </w:r>
          </w:p>
        </w:tc>
      </w:tr>
      <w:tr w:rsidR="004B2F73" w:rsidRPr="00B916EC" w14:paraId="29A5B5A9" w14:textId="77777777" w:rsidTr="004B2F73">
        <w:tc>
          <w:tcPr>
            <w:tcW w:w="894" w:type="dxa"/>
            <w:tcBorders>
              <w:top w:val="single" w:sz="6" w:space="0" w:color="auto"/>
              <w:left w:val="single" w:sz="6" w:space="0" w:color="auto"/>
              <w:bottom w:val="single" w:sz="6" w:space="0" w:color="auto"/>
              <w:right w:val="single" w:sz="6" w:space="0" w:color="auto"/>
            </w:tcBorders>
            <w:shd w:val="solid" w:color="FFFFFF" w:fill="auto"/>
          </w:tcPr>
          <w:p w14:paraId="0AEC5140" w14:textId="77777777" w:rsidR="004B2F73" w:rsidRPr="00B916EC" w:rsidRDefault="004B2F73"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6F5AA17" w14:textId="77777777" w:rsidR="004B2F73" w:rsidRPr="00B916EC" w:rsidRDefault="004B2F73" w:rsidP="00BC0321">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98B03C8" w14:textId="099C6D4A" w:rsidR="004B2F73" w:rsidRDefault="004B2F73" w:rsidP="00BC0321">
            <w:pPr>
              <w:pStyle w:val="TAL"/>
              <w:rPr>
                <w:sz w:val="16"/>
                <w:szCs w:val="16"/>
                <w:lang w:eastAsia="zh-CN"/>
              </w:rPr>
            </w:pPr>
            <w:r>
              <w:rPr>
                <w:sz w:val="16"/>
                <w:szCs w:val="16"/>
                <w:lang w:eastAsia="zh-CN"/>
              </w:rPr>
              <w:t>RP-211842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51CD7D0" w14:textId="6A14A855" w:rsidR="004B2F73" w:rsidRDefault="004B2F73" w:rsidP="00BC0321">
            <w:pPr>
              <w:pStyle w:val="TAL"/>
              <w:rPr>
                <w:sz w:val="16"/>
                <w:szCs w:val="16"/>
              </w:rPr>
            </w:pPr>
            <w:r>
              <w:rPr>
                <w:sz w:val="16"/>
                <w:szCs w:val="16"/>
              </w:rPr>
              <w:t>0255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E901D54" w14:textId="77777777" w:rsidR="004B2F73" w:rsidRDefault="004B2F73"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9C20664" w14:textId="77777777" w:rsidR="004B2F73" w:rsidRDefault="004B2F73"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37C133B" w14:textId="73105211" w:rsidR="004B2F73" w:rsidRPr="00EA028E" w:rsidRDefault="004B2F73" w:rsidP="00BC0321">
            <w:pPr>
              <w:spacing w:after="0"/>
              <w:rPr>
                <w:rFonts w:ascii="Arial" w:hAnsi="Arial"/>
                <w:sz w:val="16"/>
              </w:rPr>
            </w:pPr>
            <w:r w:rsidRPr="004B2F73">
              <w:rPr>
                <w:rFonts w:ascii="Arial" w:hAnsi="Arial"/>
                <w:sz w:val="16"/>
              </w:rPr>
              <w:t>Correction of SL HARQ-ACK reporting on UL for skipped DG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9FA7D4C" w14:textId="77777777" w:rsidR="004B2F73" w:rsidRDefault="004B2F73" w:rsidP="00BC0321">
            <w:pPr>
              <w:pStyle w:val="TAL"/>
              <w:rPr>
                <w:sz w:val="16"/>
                <w:szCs w:val="16"/>
                <w:lang w:eastAsia="zh-CN"/>
              </w:rPr>
            </w:pPr>
            <w:r>
              <w:rPr>
                <w:sz w:val="16"/>
                <w:szCs w:val="16"/>
                <w:lang w:eastAsia="zh-CN"/>
              </w:rPr>
              <w:t>16.7.0</w:t>
            </w:r>
          </w:p>
        </w:tc>
      </w:tr>
      <w:tr w:rsidR="00E774B1" w:rsidRPr="00B916EC" w14:paraId="685347C8" w14:textId="77777777" w:rsidTr="00E774B1">
        <w:tc>
          <w:tcPr>
            <w:tcW w:w="894" w:type="dxa"/>
            <w:tcBorders>
              <w:top w:val="single" w:sz="6" w:space="0" w:color="auto"/>
              <w:left w:val="single" w:sz="6" w:space="0" w:color="auto"/>
              <w:bottom w:val="single" w:sz="6" w:space="0" w:color="auto"/>
              <w:right w:val="single" w:sz="6" w:space="0" w:color="auto"/>
            </w:tcBorders>
            <w:shd w:val="solid" w:color="FFFFFF" w:fill="auto"/>
          </w:tcPr>
          <w:p w14:paraId="0C39367C" w14:textId="77777777" w:rsidR="00E774B1" w:rsidRPr="00B916EC" w:rsidRDefault="00E774B1"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9EBE52D" w14:textId="77777777" w:rsidR="00E774B1" w:rsidRPr="00B916EC" w:rsidRDefault="00E774B1" w:rsidP="00BC0321">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9C3B6AE" w14:textId="77777777" w:rsidR="00E774B1" w:rsidRDefault="00E774B1" w:rsidP="00BC0321">
            <w:pPr>
              <w:pStyle w:val="TAL"/>
              <w:rPr>
                <w:sz w:val="16"/>
                <w:szCs w:val="16"/>
                <w:lang w:eastAsia="zh-CN"/>
              </w:rPr>
            </w:pPr>
            <w:r>
              <w:rPr>
                <w:sz w:val="16"/>
                <w:szCs w:val="16"/>
                <w:lang w:eastAsia="zh-CN"/>
              </w:rPr>
              <w:t>RP-211842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444080E" w14:textId="2F79F172" w:rsidR="00E774B1" w:rsidRDefault="00E774B1" w:rsidP="00BC0321">
            <w:pPr>
              <w:pStyle w:val="TAL"/>
              <w:rPr>
                <w:sz w:val="16"/>
                <w:szCs w:val="16"/>
              </w:rPr>
            </w:pPr>
            <w:r>
              <w:rPr>
                <w:sz w:val="16"/>
                <w:szCs w:val="16"/>
              </w:rPr>
              <w:t>0256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0F5C891" w14:textId="77777777" w:rsidR="00E774B1" w:rsidRDefault="00E774B1"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01C4774" w14:textId="77777777" w:rsidR="00E774B1" w:rsidRDefault="00E774B1"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7EE12BE" w14:textId="703BC9FD" w:rsidR="00E774B1" w:rsidRPr="00EA028E" w:rsidRDefault="00E774B1" w:rsidP="00BC0321">
            <w:pPr>
              <w:spacing w:after="0"/>
              <w:rPr>
                <w:rFonts w:ascii="Arial" w:hAnsi="Arial"/>
                <w:sz w:val="16"/>
              </w:rPr>
            </w:pPr>
            <w:r w:rsidRPr="00E774B1">
              <w:rPr>
                <w:rFonts w:ascii="Arial" w:hAnsi="Arial"/>
                <w:sz w:val="16"/>
              </w:rPr>
              <w:t xml:space="preserve">Correction on HARQ reporting for multiple pools with PSFCH </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351E88D" w14:textId="77777777" w:rsidR="00E774B1" w:rsidRDefault="00E774B1" w:rsidP="00BC0321">
            <w:pPr>
              <w:pStyle w:val="TAL"/>
              <w:rPr>
                <w:sz w:val="16"/>
                <w:szCs w:val="16"/>
                <w:lang w:eastAsia="zh-CN"/>
              </w:rPr>
            </w:pPr>
            <w:r>
              <w:rPr>
                <w:sz w:val="16"/>
                <w:szCs w:val="16"/>
                <w:lang w:eastAsia="zh-CN"/>
              </w:rPr>
              <w:t>16.7.0</w:t>
            </w:r>
          </w:p>
        </w:tc>
      </w:tr>
      <w:tr w:rsidR="007B22CC" w:rsidRPr="00B916EC" w14:paraId="49AA54FE" w14:textId="77777777" w:rsidTr="007B22CC">
        <w:tc>
          <w:tcPr>
            <w:tcW w:w="894" w:type="dxa"/>
            <w:tcBorders>
              <w:top w:val="single" w:sz="6" w:space="0" w:color="auto"/>
              <w:left w:val="single" w:sz="6" w:space="0" w:color="auto"/>
              <w:bottom w:val="single" w:sz="6" w:space="0" w:color="auto"/>
              <w:right w:val="single" w:sz="6" w:space="0" w:color="auto"/>
            </w:tcBorders>
            <w:shd w:val="solid" w:color="FFFFFF" w:fill="auto"/>
          </w:tcPr>
          <w:p w14:paraId="7ED997C4" w14:textId="77777777" w:rsidR="007B22CC" w:rsidRPr="00B916EC" w:rsidRDefault="007B22CC"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CA0280B" w14:textId="77777777" w:rsidR="007B22CC" w:rsidRPr="00B916EC" w:rsidRDefault="007B22CC" w:rsidP="00BC0321">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72D394A" w14:textId="570E2C31" w:rsidR="007B22CC" w:rsidRDefault="007B22CC" w:rsidP="00BC0321">
            <w:pPr>
              <w:pStyle w:val="TAL"/>
              <w:rPr>
                <w:sz w:val="16"/>
                <w:szCs w:val="16"/>
                <w:lang w:eastAsia="zh-CN"/>
              </w:rPr>
            </w:pPr>
            <w:r>
              <w:rPr>
                <w:sz w:val="16"/>
                <w:szCs w:val="16"/>
                <w:lang w:eastAsia="zh-CN"/>
              </w:rPr>
              <w:t>RP-211843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CFB9923" w14:textId="2918E584" w:rsidR="007B22CC" w:rsidRDefault="007B22CC" w:rsidP="00BC0321">
            <w:pPr>
              <w:pStyle w:val="TAL"/>
              <w:rPr>
                <w:sz w:val="16"/>
                <w:szCs w:val="16"/>
              </w:rPr>
            </w:pPr>
            <w:r>
              <w:rPr>
                <w:sz w:val="16"/>
                <w:szCs w:val="16"/>
              </w:rPr>
              <w:t>0257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B2E919B" w14:textId="77777777" w:rsidR="007B22CC" w:rsidRDefault="007B22C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494C27F" w14:textId="77777777" w:rsidR="007B22CC" w:rsidRDefault="007B22C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9F65E26" w14:textId="33DFF341" w:rsidR="007B22CC" w:rsidRPr="00EA028E" w:rsidRDefault="007B22CC" w:rsidP="00BC0321">
            <w:pPr>
              <w:spacing w:after="0"/>
              <w:rPr>
                <w:rFonts w:ascii="Arial" w:hAnsi="Arial"/>
                <w:sz w:val="16"/>
              </w:rPr>
            </w:pPr>
            <w:r w:rsidRPr="007B22CC">
              <w:rPr>
                <w:rFonts w:ascii="Arial" w:hAnsi="Arial"/>
                <w:sz w:val="16"/>
              </w:rPr>
              <w:t>CR for SPS Release and SPS PDSCH Receptions with Slot Aggregation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B86B3BF" w14:textId="77777777" w:rsidR="007B22CC" w:rsidRDefault="007B22CC" w:rsidP="00BC0321">
            <w:pPr>
              <w:pStyle w:val="TAL"/>
              <w:rPr>
                <w:sz w:val="16"/>
                <w:szCs w:val="16"/>
                <w:lang w:eastAsia="zh-CN"/>
              </w:rPr>
            </w:pPr>
            <w:r>
              <w:rPr>
                <w:sz w:val="16"/>
                <w:szCs w:val="16"/>
                <w:lang w:eastAsia="zh-CN"/>
              </w:rPr>
              <w:t>16.7.0</w:t>
            </w:r>
          </w:p>
        </w:tc>
      </w:tr>
      <w:tr w:rsidR="007B5C33" w:rsidRPr="00B916EC" w14:paraId="777F3FE5" w14:textId="77777777" w:rsidTr="007B5C33">
        <w:tc>
          <w:tcPr>
            <w:tcW w:w="894" w:type="dxa"/>
            <w:tcBorders>
              <w:top w:val="single" w:sz="6" w:space="0" w:color="auto"/>
              <w:left w:val="single" w:sz="6" w:space="0" w:color="auto"/>
              <w:bottom w:val="single" w:sz="6" w:space="0" w:color="auto"/>
              <w:right w:val="single" w:sz="6" w:space="0" w:color="auto"/>
            </w:tcBorders>
            <w:shd w:val="solid" w:color="FFFFFF" w:fill="auto"/>
          </w:tcPr>
          <w:p w14:paraId="1E196783" w14:textId="77777777" w:rsidR="007B5C33" w:rsidRPr="00B916EC" w:rsidRDefault="007B5C33"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FA4D5CB" w14:textId="77777777" w:rsidR="007B5C33" w:rsidRPr="00B916EC" w:rsidRDefault="007B5C33" w:rsidP="00BC0321">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1AAB859" w14:textId="00626F0C" w:rsidR="007B5C33" w:rsidRDefault="007B5C33" w:rsidP="00BC0321">
            <w:pPr>
              <w:pStyle w:val="TAL"/>
              <w:rPr>
                <w:sz w:val="16"/>
                <w:szCs w:val="16"/>
                <w:lang w:eastAsia="zh-CN"/>
              </w:rPr>
            </w:pPr>
            <w:r>
              <w:rPr>
                <w:sz w:val="16"/>
                <w:szCs w:val="16"/>
                <w:lang w:eastAsia="zh-CN"/>
              </w:rPr>
              <w:t>RP-211850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D6EDB84" w14:textId="6C68280B" w:rsidR="007B5C33" w:rsidRDefault="007B5C33" w:rsidP="00BC0321">
            <w:pPr>
              <w:pStyle w:val="TAL"/>
              <w:rPr>
                <w:sz w:val="16"/>
                <w:szCs w:val="16"/>
              </w:rPr>
            </w:pPr>
            <w:r>
              <w:rPr>
                <w:sz w:val="16"/>
                <w:szCs w:val="16"/>
              </w:rPr>
              <w:t>0258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0E81EBC" w14:textId="77777777" w:rsidR="007B5C33" w:rsidRDefault="007B5C33"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3F00397" w14:textId="77777777" w:rsidR="007B5C33" w:rsidRDefault="007B5C33"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9C683E8" w14:textId="1F009EC1" w:rsidR="007B5C33" w:rsidRPr="00EA028E" w:rsidRDefault="007B5C33" w:rsidP="00BC0321">
            <w:pPr>
              <w:spacing w:after="0"/>
              <w:rPr>
                <w:rFonts w:ascii="Arial" w:hAnsi="Arial"/>
                <w:sz w:val="16"/>
              </w:rPr>
            </w:pPr>
            <w:r w:rsidRPr="007B5C33">
              <w:rPr>
                <w:rFonts w:ascii="Arial" w:hAnsi="Arial"/>
                <w:sz w:val="16"/>
              </w:rPr>
              <w:t>Editorial corrections for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FBF4322" w14:textId="77777777" w:rsidR="007B5C33" w:rsidRDefault="007B5C33" w:rsidP="00BC0321">
            <w:pPr>
              <w:pStyle w:val="TAL"/>
              <w:rPr>
                <w:sz w:val="16"/>
                <w:szCs w:val="16"/>
                <w:lang w:eastAsia="zh-CN"/>
              </w:rPr>
            </w:pPr>
            <w:r>
              <w:rPr>
                <w:sz w:val="16"/>
                <w:szCs w:val="16"/>
                <w:lang w:eastAsia="zh-CN"/>
              </w:rPr>
              <w:t>16.7.0</w:t>
            </w:r>
          </w:p>
        </w:tc>
      </w:tr>
      <w:tr w:rsidR="008A24DD" w:rsidRPr="00B916EC" w14:paraId="544270D9" w14:textId="77777777" w:rsidTr="008A24DD">
        <w:tc>
          <w:tcPr>
            <w:tcW w:w="894" w:type="dxa"/>
            <w:tcBorders>
              <w:top w:val="single" w:sz="6" w:space="0" w:color="auto"/>
              <w:left w:val="single" w:sz="6" w:space="0" w:color="auto"/>
              <w:bottom w:val="single" w:sz="6" w:space="0" w:color="auto"/>
              <w:right w:val="single" w:sz="6" w:space="0" w:color="auto"/>
            </w:tcBorders>
            <w:shd w:val="solid" w:color="FFFFFF" w:fill="auto"/>
          </w:tcPr>
          <w:p w14:paraId="5F58099D" w14:textId="77777777" w:rsidR="008A24DD" w:rsidRPr="00B916EC" w:rsidRDefault="008A24D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F75BCBA" w14:textId="77777777" w:rsidR="008A24DD" w:rsidRPr="00B916EC" w:rsidRDefault="008A24DD" w:rsidP="00BC0321">
            <w:pPr>
              <w:pStyle w:val="TAL"/>
              <w:rPr>
                <w:sz w:val="16"/>
                <w:szCs w:val="16"/>
                <w:lang w:eastAsia="zh-CN"/>
              </w:rPr>
            </w:pPr>
            <w:r w:rsidRPr="00B916EC">
              <w:rPr>
                <w:sz w:val="16"/>
                <w:szCs w:val="16"/>
                <w:lang w:eastAsia="zh-CN"/>
              </w:rPr>
              <w:t>RAN#</w:t>
            </w:r>
            <w:r>
              <w:rPr>
                <w:sz w:val="16"/>
                <w:szCs w:val="16"/>
                <w:lang w:eastAsia="zh-CN"/>
              </w:rPr>
              <w:t>93-e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2D60C9A" w14:textId="6277F1C3" w:rsidR="008A24DD" w:rsidRDefault="008A24DD" w:rsidP="00BC0321">
            <w:pPr>
              <w:pStyle w:val="TAL"/>
              <w:rPr>
                <w:sz w:val="16"/>
                <w:szCs w:val="16"/>
                <w:lang w:eastAsia="zh-CN"/>
              </w:rPr>
            </w:pPr>
            <w:r>
              <w:rPr>
                <w:sz w:val="16"/>
                <w:szCs w:val="16"/>
                <w:lang w:eastAsia="zh-CN"/>
              </w:rPr>
              <w:t>RP-211843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8AE5267" w14:textId="666CDDE4" w:rsidR="008A24DD" w:rsidRDefault="008A24DD" w:rsidP="00BC0321">
            <w:pPr>
              <w:pStyle w:val="TAL"/>
              <w:rPr>
                <w:sz w:val="16"/>
                <w:szCs w:val="16"/>
              </w:rPr>
            </w:pPr>
            <w:r>
              <w:rPr>
                <w:sz w:val="16"/>
                <w:szCs w:val="16"/>
              </w:rPr>
              <w:t>0259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29C06F7" w14:textId="77777777" w:rsidR="008A24DD" w:rsidRDefault="008A24D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6C431DB" w14:textId="77777777" w:rsidR="008A24DD" w:rsidRDefault="008A24D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FB98FC7" w14:textId="0819A73D" w:rsidR="008A24DD" w:rsidRPr="00EA028E" w:rsidRDefault="008A24DD" w:rsidP="00BC0321">
            <w:pPr>
              <w:spacing w:after="0"/>
              <w:rPr>
                <w:rFonts w:ascii="Arial" w:hAnsi="Arial"/>
                <w:sz w:val="16"/>
              </w:rPr>
            </w:pPr>
            <w:r w:rsidRPr="008A24DD">
              <w:rPr>
                <w:rFonts w:ascii="Arial" w:hAnsi="Arial"/>
                <w:sz w:val="16"/>
              </w:rPr>
              <w:t>Correction on HARQ-ACK timing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CCD8A60" w14:textId="77777777" w:rsidR="008A24DD" w:rsidRDefault="008A24DD" w:rsidP="00BC0321">
            <w:pPr>
              <w:pStyle w:val="TAL"/>
              <w:rPr>
                <w:sz w:val="16"/>
                <w:szCs w:val="16"/>
                <w:lang w:eastAsia="zh-CN"/>
              </w:rPr>
            </w:pPr>
            <w:r>
              <w:rPr>
                <w:sz w:val="16"/>
                <w:szCs w:val="16"/>
                <w:lang w:eastAsia="zh-CN"/>
              </w:rPr>
              <w:t>16.7.0</w:t>
            </w:r>
          </w:p>
        </w:tc>
      </w:tr>
      <w:tr w:rsidR="00C61A3D" w:rsidRPr="00B916EC" w14:paraId="10CE3935" w14:textId="77777777" w:rsidTr="00C61A3D">
        <w:tc>
          <w:tcPr>
            <w:tcW w:w="894" w:type="dxa"/>
            <w:tcBorders>
              <w:top w:val="single" w:sz="6" w:space="0" w:color="auto"/>
              <w:left w:val="single" w:sz="6" w:space="0" w:color="auto"/>
              <w:bottom w:val="single" w:sz="6" w:space="0" w:color="auto"/>
              <w:right w:val="single" w:sz="6" w:space="0" w:color="auto"/>
            </w:tcBorders>
            <w:shd w:val="solid" w:color="FFFFFF" w:fill="auto"/>
          </w:tcPr>
          <w:p w14:paraId="13E6DB57" w14:textId="03BD9EDF" w:rsidR="00C61A3D" w:rsidRPr="00B916EC" w:rsidRDefault="00C61A3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A794C02" w14:textId="15F66874" w:rsidR="00C61A3D" w:rsidRPr="00B916EC" w:rsidRDefault="00C61A3D" w:rsidP="00BC0321">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A65B36E" w14:textId="40F4999D" w:rsidR="00C61A3D" w:rsidRDefault="00C61A3D" w:rsidP="00BC0321">
            <w:pPr>
              <w:pStyle w:val="TAL"/>
              <w:rPr>
                <w:sz w:val="16"/>
                <w:szCs w:val="16"/>
                <w:lang w:eastAsia="zh-CN"/>
              </w:rPr>
            </w:pPr>
            <w:r>
              <w:rPr>
                <w:sz w:val="16"/>
                <w:szCs w:val="16"/>
                <w:lang w:eastAsia="zh-CN"/>
              </w:rPr>
              <w:t>RP-212962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AA16078" w14:textId="641C3720" w:rsidR="00C61A3D" w:rsidRDefault="00C61A3D" w:rsidP="00BC0321">
            <w:pPr>
              <w:pStyle w:val="TAL"/>
              <w:rPr>
                <w:sz w:val="16"/>
                <w:szCs w:val="16"/>
              </w:rPr>
            </w:pPr>
            <w:r>
              <w:rPr>
                <w:sz w:val="16"/>
                <w:szCs w:val="16"/>
              </w:rPr>
              <w:t>0260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BFECFCF" w14:textId="77777777" w:rsidR="00C61A3D" w:rsidRDefault="00C61A3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977077A" w14:textId="77777777" w:rsidR="00C61A3D" w:rsidRDefault="00C61A3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6668D8A" w14:textId="785237FB" w:rsidR="00C61A3D" w:rsidRPr="00EA028E" w:rsidRDefault="00C61A3D" w:rsidP="00BC0321">
            <w:pPr>
              <w:spacing w:after="0"/>
              <w:rPr>
                <w:rFonts w:ascii="Arial" w:hAnsi="Arial"/>
                <w:sz w:val="16"/>
              </w:rPr>
            </w:pPr>
            <w:r w:rsidRPr="00C61A3D">
              <w:rPr>
                <w:rFonts w:ascii="Arial" w:hAnsi="Arial"/>
                <w:sz w:val="16"/>
              </w:rPr>
              <w:t>Correction on Case 1 dormancy operation with data scheduling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750C625" w14:textId="0BED005F" w:rsidR="00C61A3D" w:rsidRDefault="00C61A3D" w:rsidP="00BC0321">
            <w:pPr>
              <w:pStyle w:val="TAL"/>
              <w:rPr>
                <w:sz w:val="16"/>
                <w:szCs w:val="16"/>
                <w:lang w:eastAsia="zh-CN"/>
              </w:rPr>
            </w:pPr>
            <w:r>
              <w:rPr>
                <w:sz w:val="16"/>
                <w:szCs w:val="16"/>
                <w:lang w:eastAsia="zh-CN"/>
              </w:rPr>
              <w:t>16.8.0</w:t>
            </w:r>
          </w:p>
        </w:tc>
      </w:tr>
      <w:tr w:rsidR="00AE546C" w:rsidRPr="00B916EC" w14:paraId="278A030A" w14:textId="77777777" w:rsidTr="00AE546C">
        <w:tc>
          <w:tcPr>
            <w:tcW w:w="894" w:type="dxa"/>
            <w:tcBorders>
              <w:top w:val="single" w:sz="6" w:space="0" w:color="auto"/>
              <w:left w:val="single" w:sz="6" w:space="0" w:color="auto"/>
              <w:bottom w:val="single" w:sz="6" w:space="0" w:color="auto"/>
              <w:right w:val="single" w:sz="6" w:space="0" w:color="auto"/>
            </w:tcBorders>
            <w:shd w:val="solid" w:color="FFFFFF" w:fill="auto"/>
          </w:tcPr>
          <w:p w14:paraId="0EBCF8F3" w14:textId="77777777" w:rsidR="00AE546C" w:rsidRPr="00B916EC" w:rsidRDefault="00AE546C"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2A7463E" w14:textId="77777777" w:rsidR="00AE546C" w:rsidRPr="00B916EC" w:rsidRDefault="00AE546C" w:rsidP="00BC0321">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63E6255" w14:textId="70C179E4" w:rsidR="00AE546C" w:rsidRDefault="00AE546C" w:rsidP="00BC0321">
            <w:pPr>
              <w:pStyle w:val="TAL"/>
              <w:rPr>
                <w:sz w:val="16"/>
                <w:szCs w:val="16"/>
                <w:lang w:eastAsia="zh-CN"/>
              </w:rPr>
            </w:pPr>
            <w:r>
              <w:rPr>
                <w:sz w:val="16"/>
                <w:szCs w:val="16"/>
                <w:lang w:eastAsia="zh-CN"/>
              </w:rPr>
              <w:t>RP-212959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24F3E5C" w14:textId="5665940B" w:rsidR="00AE546C" w:rsidRDefault="00AE546C" w:rsidP="00BC0321">
            <w:pPr>
              <w:pStyle w:val="TAL"/>
              <w:rPr>
                <w:sz w:val="16"/>
                <w:szCs w:val="16"/>
              </w:rPr>
            </w:pPr>
            <w:r>
              <w:rPr>
                <w:sz w:val="16"/>
                <w:szCs w:val="16"/>
              </w:rPr>
              <w:t>0261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51813FB" w14:textId="77777777" w:rsidR="00AE546C" w:rsidRDefault="00AE546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7C365BD" w14:textId="77777777" w:rsidR="00AE546C" w:rsidRDefault="00AE546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E230789" w14:textId="2BA626FE" w:rsidR="00AE546C" w:rsidRPr="00EA028E" w:rsidRDefault="00AE546C" w:rsidP="00BC0321">
            <w:pPr>
              <w:spacing w:after="0"/>
              <w:rPr>
                <w:rFonts w:ascii="Arial" w:hAnsi="Arial"/>
                <w:sz w:val="16"/>
              </w:rPr>
            </w:pPr>
            <w:r w:rsidRPr="00AE546C">
              <w:rPr>
                <w:rFonts w:ascii="Arial" w:hAnsi="Arial"/>
                <w:sz w:val="16"/>
              </w:rPr>
              <w:t>CR on SL HARQ-ACK feedback reporting to gNB</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0E4E09F" w14:textId="77777777" w:rsidR="00AE546C" w:rsidRDefault="00AE546C" w:rsidP="00BC0321">
            <w:pPr>
              <w:pStyle w:val="TAL"/>
              <w:rPr>
                <w:sz w:val="16"/>
                <w:szCs w:val="16"/>
                <w:lang w:eastAsia="zh-CN"/>
              </w:rPr>
            </w:pPr>
            <w:r>
              <w:rPr>
                <w:sz w:val="16"/>
                <w:szCs w:val="16"/>
                <w:lang w:eastAsia="zh-CN"/>
              </w:rPr>
              <w:t>16.8.0</w:t>
            </w:r>
          </w:p>
        </w:tc>
      </w:tr>
      <w:tr w:rsidR="00F94EA8" w:rsidRPr="00B916EC" w14:paraId="07AA8E04" w14:textId="77777777" w:rsidTr="00F94EA8">
        <w:tc>
          <w:tcPr>
            <w:tcW w:w="894" w:type="dxa"/>
            <w:tcBorders>
              <w:top w:val="single" w:sz="6" w:space="0" w:color="auto"/>
              <w:left w:val="single" w:sz="6" w:space="0" w:color="auto"/>
              <w:bottom w:val="single" w:sz="6" w:space="0" w:color="auto"/>
              <w:right w:val="single" w:sz="6" w:space="0" w:color="auto"/>
            </w:tcBorders>
            <w:shd w:val="solid" w:color="FFFFFF" w:fill="auto"/>
          </w:tcPr>
          <w:p w14:paraId="603A2B7B" w14:textId="77777777" w:rsidR="00F94EA8" w:rsidRPr="00B916EC" w:rsidRDefault="00F94EA8"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2A2E4FA" w14:textId="77777777" w:rsidR="00F94EA8" w:rsidRPr="00B916EC" w:rsidRDefault="00F94EA8" w:rsidP="00BC0321">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E3715C0" w14:textId="77777777" w:rsidR="00F94EA8" w:rsidRDefault="00F94EA8" w:rsidP="00BC0321">
            <w:pPr>
              <w:pStyle w:val="TAL"/>
              <w:rPr>
                <w:sz w:val="16"/>
                <w:szCs w:val="16"/>
                <w:lang w:eastAsia="zh-CN"/>
              </w:rPr>
            </w:pPr>
            <w:r>
              <w:rPr>
                <w:sz w:val="16"/>
                <w:szCs w:val="16"/>
                <w:lang w:eastAsia="zh-CN"/>
              </w:rPr>
              <w:t>RP-212959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24A32CE" w14:textId="3FE2C020" w:rsidR="00F94EA8" w:rsidRDefault="00F94EA8" w:rsidP="00BC0321">
            <w:pPr>
              <w:pStyle w:val="TAL"/>
              <w:rPr>
                <w:sz w:val="16"/>
                <w:szCs w:val="16"/>
              </w:rPr>
            </w:pPr>
            <w:r>
              <w:rPr>
                <w:sz w:val="16"/>
                <w:szCs w:val="16"/>
              </w:rPr>
              <w:t>0262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38BCA53" w14:textId="77777777" w:rsidR="00F94EA8" w:rsidRDefault="00F94EA8"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4DDA28C" w14:textId="77777777" w:rsidR="00F94EA8" w:rsidRDefault="00F94EA8"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5B1D13E" w14:textId="7E980026" w:rsidR="00F94EA8" w:rsidRPr="00EA028E" w:rsidRDefault="00F94EA8" w:rsidP="00BC0321">
            <w:pPr>
              <w:spacing w:after="0"/>
              <w:rPr>
                <w:rFonts w:ascii="Arial" w:hAnsi="Arial"/>
                <w:sz w:val="16"/>
              </w:rPr>
            </w:pPr>
            <w:r w:rsidRPr="00F94EA8">
              <w:rPr>
                <w:rFonts w:ascii="Arial" w:hAnsi="Arial"/>
                <w:sz w:val="16"/>
              </w:rPr>
              <w:t>Clarification on UCI and SL HARQ-ACK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1B4FF15" w14:textId="77777777" w:rsidR="00F94EA8" w:rsidRDefault="00F94EA8" w:rsidP="00BC0321">
            <w:pPr>
              <w:pStyle w:val="TAL"/>
              <w:rPr>
                <w:sz w:val="16"/>
                <w:szCs w:val="16"/>
                <w:lang w:eastAsia="zh-CN"/>
              </w:rPr>
            </w:pPr>
            <w:r>
              <w:rPr>
                <w:sz w:val="16"/>
                <w:szCs w:val="16"/>
                <w:lang w:eastAsia="zh-CN"/>
              </w:rPr>
              <w:t>16.8.0</w:t>
            </w:r>
          </w:p>
        </w:tc>
      </w:tr>
      <w:tr w:rsidR="001E61E1" w:rsidRPr="00B916EC" w14:paraId="3FDB2AE3" w14:textId="77777777" w:rsidTr="001E61E1">
        <w:tc>
          <w:tcPr>
            <w:tcW w:w="894" w:type="dxa"/>
            <w:tcBorders>
              <w:top w:val="single" w:sz="6" w:space="0" w:color="auto"/>
              <w:left w:val="single" w:sz="6" w:space="0" w:color="auto"/>
              <w:bottom w:val="single" w:sz="6" w:space="0" w:color="auto"/>
              <w:right w:val="single" w:sz="6" w:space="0" w:color="auto"/>
            </w:tcBorders>
            <w:shd w:val="solid" w:color="FFFFFF" w:fill="auto"/>
          </w:tcPr>
          <w:p w14:paraId="0FB2D2F0" w14:textId="77777777" w:rsidR="001E61E1" w:rsidRPr="00B916EC" w:rsidRDefault="001E61E1"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A52EA66" w14:textId="77777777" w:rsidR="001E61E1" w:rsidRPr="00B916EC" w:rsidRDefault="001E61E1" w:rsidP="00BC0321">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9F72126" w14:textId="77777777" w:rsidR="001E61E1" w:rsidRDefault="001E61E1" w:rsidP="00BC0321">
            <w:pPr>
              <w:pStyle w:val="TAL"/>
              <w:rPr>
                <w:sz w:val="16"/>
                <w:szCs w:val="16"/>
                <w:lang w:eastAsia="zh-CN"/>
              </w:rPr>
            </w:pPr>
            <w:r>
              <w:rPr>
                <w:sz w:val="16"/>
                <w:szCs w:val="16"/>
                <w:lang w:eastAsia="zh-CN"/>
              </w:rPr>
              <w:t>RP-212959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8BF7D54" w14:textId="67DD3952" w:rsidR="001E61E1" w:rsidRDefault="001E61E1" w:rsidP="00BC0321">
            <w:pPr>
              <w:pStyle w:val="TAL"/>
              <w:rPr>
                <w:sz w:val="16"/>
                <w:szCs w:val="16"/>
              </w:rPr>
            </w:pPr>
            <w:r>
              <w:rPr>
                <w:sz w:val="16"/>
                <w:szCs w:val="16"/>
              </w:rPr>
              <w:t>0263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537E724" w14:textId="77777777" w:rsidR="001E61E1" w:rsidRDefault="001E61E1"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CAB31F0" w14:textId="77777777" w:rsidR="001E61E1" w:rsidRDefault="001E61E1"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EA78035" w14:textId="3D673C03" w:rsidR="001E61E1" w:rsidRPr="00EA028E" w:rsidRDefault="001E61E1" w:rsidP="00BC0321">
            <w:pPr>
              <w:spacing w:after="0"/>
              <w:rPr>
                <w:rFonts w:ascii="Arial" w:hAnsi="Arial"/>
                <w:sz w:val="16"/>
              </w:rPr>
            </w:pPr>
            <w:r w:rsidRPr="001E61E1">
              <w:rPr>
                <w:rFonts w:ascii="Arial" w:hAnsi="Arial"/>
                <w:sz w:val="16"/>
              </w:rPr>
              <w:t>Correction on priority order in power control for PSFCH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AEE37B0" w14:textId="77777777" w:rsidR="001E61E1" w:rsidRDefault="001E61E1" w:rsidP="00BC0321">
            <w:pPr>
              <w:pStyle w:val="TAL"/>
              <w:rPr>
                <w:sz w:val="16"/>
                <w:szCs w:val="16"/>
                <w:lang w:eastAsia="zh-CN"/>
              </w:rPr>
            </w:pPr>
            <w:r>
              <w:rPr>
                <w:sz w:val="16"/>
                <w:szCs w:val="16"/>
                <w:lang w:eastAsia="zh-CN"/>
              </w:rPr>
              <w:t>16.8.0</w:t>
            </w:r>
          </w:p>
        </w:tc>
      </w:tr>
      <w:tr w:rsidR="001E61E1" w:rsidRPr="00B916EC" w14:paraId="060B65A5" w14:textId="77777777" w:rsidTr="001E61E1">
        <w:tc>
          <w:tcPr>
            <w:tcW w:w="894" w:type="dxa"/>
            <w:tcBorders>
              <w:top w:val="single" w:sz="6" w:space="0" w:color="auto"/>
              <w:left w:val="single" w:sz="6" w:space="0" w:color="auto"/>
              <w:bottom w:val="single" w:sz="6" w:space="0" w:color="auto"/>
              <w:right w:val="single" w:sz="6" w:space="0" w:color="auto"/>
            </w:tcBorders>
            <w:shd w:val="solid" w:color="FFFFFF" w:fill="auto"/>
          </w:tcPr>
          <w:p w14:paraId="126F971C" w14:textId="77777777" w:rsidR="001E61E1" w:rsidRPr="00B916EC" w:rsidRDefault="001E61E1"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E04CAC3" w14:textId="77777777" w:rsidR="001E61E1" w:rsidRPr="00B916EC" w:rsidRDefault="001E61E1" w:rsidP="00BC0321">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8E38084" w14:textId="21850755" w:rsidR="001E61E1" w:rsidRDefault="001E61E1" w:rsidP="00BC0321">
            <w:pPr>
              <w:pStyle w:val="TAL"/>
              <w:rPr>
                <w:sz w:val="16"/>
                <w:szCs w:val="16"/>
                <w:lang w:eastAsia="zh-CN"/>
              </w:rPr>
            </w:pPr>
            <w:r>
              <w:rPr>
                <w:sz w:val="16"/>
                <w:szCs w:val="16"/>
                <w:lang w:eastAsia="zh-CN"/>
              </w:rPr>
              <w:t>RP-212960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AC63473" w14:textId="367AF8B3" w:rsidR="001E61E1" w:rsidRDefault="001E61E1" w:rsidP="00BC0321">
            <w:pPr>
              <w:pStyle w:val="TAL"/>
              <w:rPr>
                <w:sz w:val="16"/>
                <w:szCs w:val="16"/>
              </w:rPr>
            </w:pPr>
            <w:r>
              <w:rPr>
                <w:sz w:val="16"/>
                <w:szCs w:val="16"/>
              </w:rPr>
              <w:t>0264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0D6FA38" w14:textId="77777777" w:rsidR="001E61E1" w:rsidRDefault="001E61E1"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249F309" w14:textId="77777777" w:rsidR="001E61E1" w:rsidRDefault="001E61E1"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9FD7F0E" w14:textId="74C51137" w:rsidR="001E61E1" w:rsidRPr="00EA028E" w:rsidRDefault="001E61E1" w:rsidP="00BC0321">
            <w:pPr>
              <w:spacing w:after="0"/>
              <w:rPr>
                <w:rFonts w:ascii="Arial" w:hAnsi="Arial"/>
                <w:sz w:val="16"/>
              </w:rPr>
            </w:pPr>
            <w:r w:rsidRPr="001E61E1">
              <w:rPr>
                <w:rFonts w:ascii="Arial" w:hAnsi="Arial"/>
                <w:sz w:val="16"/>
              </w:rPr>
              <w:t>Clarification on intra-UE prioritization/multiplexing on semi-static symbols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000D4E" w14:textId="77777777" w:rsidR="001E61E1" w:rsidRDefault="001E61E1" w:rsidP="00BC0321">
            <w:pPr>
              <w:pStyle w:val="TAL"/>
              <w:rPr>
                <w:sz w:val="16"/>
                <w:szCs w:val="16"/>
                <w:lang w:eastAsia="zh-CN"/>
              </w:rPr>
            </w:pPr>
            <w:r>
              <w:rPr>
                <w:sz w:val="16"/>
                <w:szCs w:val="16"/>
                <w:lang w:eastAsia="zh-CN"/>
              </w:rPr>
              <w:t>16.8.0</w:t>
            </w:r>
          </w:p>
        </w:tc>
      </w:tr>
      <w:tr w:rsidR="00423600" w:rsidRPr="00B916EC" w14:paraId="6C6DA8EA" w14:textId="77777777" w:rsidTr="00423600">
        <w:tc>
          <w:tcPr>
            <w:tcW w:w="894" w:type="dxa"/>
            <w:tcBorders>
              <w:top w:val="single" w:sz="6" w:space="0" w:color="auto"/>
              <w:left w:val="single" w:sz="6" w:space="0" w:color="auto"/>
              <w:bottom w:val="single" w:sz="6" w:space="0" w:color="auto"/>
              <w:right w:val="single" w:sz="6" w:space="0" w:color="auto"/>
            </w:tcBorders>
            <w:shd w:val="solid" w:color="FFFFFF" w:fill="auto"/>
          </w:tcPr>
          <w:p w14:paraId="02A7FD4E" w14:textId="77777777" w:rsidR="00423600" w:rsidRPr="00B916EC" w:rsidRDefault="00423600"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1AD4121" w14:textId="77777777" w:rsidR="00423600" w:rsidRPr="00B916EC" w:rsidRDefault="00423600" w:rsidP="00BC0321">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EA82D69" w14:textId="15C70AED" w:rsidR="00423600" w:rsidRDefault="00423600" w:rsidP="00BC0321">
            <w:pPr>
              <w:pStyle w:val="TAL"/>
              <w:rPr>
                <w:sz w:val="16"/>
                <w:szCs w:val="16"/>
                <w:lang w:eastAsia="zh-CN"/>
              </w:rPr>
            </w:pPr>
            <w:r>
              <w:rPr>
                <w:sz w:val="16"/>
                <w:szCs w:val="16"/>
                <w:lang w:eastAsia="zh-CN"/>
              </w:rPr>
              <w:t>RP-212961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4E2FC3E" w14:textId="7C9DDC96" w:rsidR="00423600" w:rsidRDefault="00423600" w:rsidP="00BC0321">
            <w:pPr>
              <w:pStyle w:val="TAL"/>
              <w:rPr>
                <w:sz w:val="16"/>
                <w:szCs w:val="16"/>
              </w:rPr>
            </w:pPr>
            <w:r>
              <w:rPr>
                <w:sz w:val="16"/>
                <w:szCs w:val="16"/>
              </w:rPr>
              <w:t>0265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2F3A679" w14:textId="77777777" w:rsidR="00423600" w:rsidRDefault="00423600"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8464287" w14:textId="77777777" w:rsidR="00423600" w:rsidRDefault="00423600"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A731553" w14:textId="52855D57" w:rsidR="00423600" w:rsidRPr="00EA028E" w:rsidRDefault="00423600" w:rsidP="00BC0321">
            <w:pPr>
              <w:spacing w:after="0"/>
              <w:rPr>
                <w:rFonts w:ascii="Arial" w:hAnsi="Arial"/>
                <w:sz w:val="16"/>
              </w:rPr>
            </w:pPr>
            <w:r w:rsidRPr="00423600">
              <w:rPr>
                <w:rFonts w:ascii="Arial" w:hAnsi="Arial"/>
                <w:sz w:val="16"/>
              </w:rPr>
              <w:t>Correction on frequency hopping for PUCCH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C05FAA6" w14:textId="77777777" w:rsidR="00423600" w:rsidRDefault="00423600" w:rsidP="00BC0321">
            <w:pPr>
              <w:pStyle w:val="TAL"/>
              <w:rPr>
                <w:sz w:val="16"/>
                <w:szCs w:val="16"/>
                <w:lang w:eastAsia="zh-CN"/>
              </w:rPr>
            </w:pPr>
            <w:r>
              <w:rPr>
                <w:sz w:val="16"/>
                <w:szCs w:val="16"/>
                <w:lang w:eastAsia="zh-CN"/>
              </w:rPr>
              <w:t>16.8.0</w:t>
            </w:r>
          </w:p>
        </w:tc>
      </w:tr>
      <w:tr w:rsidR="005A452B" w:rsidRPr="00B916EC" w14:paraId="5AE8D217" w14:textId="77777777" w:rsidTr="005A452B">
        <w:tc>
          <w:tcPr>
            <w:tcW w:w="894" w:type="dxa"/>
            <w:tcBorders>
              <w:top w:val="single" w:sz="6" w:space="0" w:color="auto"/>
              <w:left w:val="single" w:sz="6" w:space="0" w:color="auto"/>
              <w:bottom w:val="single" w:sz="6" w:space="0" w:color="auto"/>
              <w:right w:val="single" w:sz="6" w:space="0" w:color="auto"/>
            </w:tcBorders>
            <w:shd w:val="solid" w:color="FFFFFF" w:fill="auto"/>
          </w:tcPr>
          <w:p w14:paraId="696FAE7C" w14:textId="77777777" w:rsidR="005A452B" w:rsidRPr="00B916EC" w:rsidRDefault="005A452B"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C85B165" w14:textId="77777777" w:rsidR="005A452B" w:rsidRPr="00B916EC" w:rsidRDefault="005A452B" w:rsidP="00BC0321">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FF3748A" w14:textId="4170D14A" w:rsidR="005A452B" w:rsidRDefault="005A452B" w:rsidP="00BC0321">
            <w:pPr>
              <w:pStyle w:val="TAL"/>
              <w:rPr>
                <w:sz w:val="16"/>
                <w:szCs w:val="16"/>
                <w:lang w:eastAsia="zh-CN"/>
              </w:rPr>
            </w:pPr>
            <w:r>
              <w:rPr>
                <w:sz w:val="16"/>
                <w:szCs w:val="16"/>
                <w:lang w:eastAsia="zh-CN"/>
              </w:rPr>
              <w:t>RP-212960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9CAADEC" w14:textId="63F41AAE" w:rsidR="005A452B" w:rsidRDefault="005A452B" w:rsidP="00BC0321">
            <w:pPr>
              <w:pStyle w:val="TAL"/>
              <w:rPr>
                <w:sz w:val="16"/>
                <w:szCs w:val="16"/>
              </w:rPr>
            </w:pPr>
            <w:r>
              <w:rPr>
                <w:sz w:val="16"/>
                <w:szCs w:val="16"/>
              </w:rPr>
              <w:t>0266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F7EFDC4" w14:textId="77777777" w:rsidR="005A452B" w:rsidRDefault="005A452B"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5DA2989" w14:textId="77777777" w:rsidR="005A452B" w:rsidRDefault="005A452B"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D7844BC" w14:textId="5A27F99F" w:rsidR="005A452B" w:rsidRPr="00EA028E" w:rsidRDefault="005A452B" w:rsidP="00BC0321">
            <w:pPr>
              <w:spacing w:after="0"/>
              <w:rPr>
                <w:rFonts w:ascii="Arial" w:hAnsi="Arial"/>
                <w:sz w:val="16"/>
              </w:rPr>
            </w:pPr>
            <w:r w:rsidRPr="005A452B">
              <w:rPr>
                <w:rFonts w:ascii="Arial" w:hAnsi="Arial"/>
                <w:sz w:val="16"/>
              </w:rPr>
              <w:t>PUCCH multiplexing with SPS HARQ-ACK or SR within a sub-slot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9F1C394" w14:textId="77777777" w:rsidR="005A452B" w:rsidRDefault="005A452B" w:rsidP="00BC0321">
            <w:pPr>
              <w:pStyle w:val="TAL"/>
              <w:rPr>
                <w:sz w:val="16"/>
                <w:szCs w:val="16"/>
                <w:lang w:eastAsia="zh-CN"/>
              </w:rPr>
            </w:pPr>
            <w:r>
              <w:rPr>
                <w:sz w:val="16"/>
                <w:szCs w:val="16"/>
                <w:lang w:eastAsia="zh-CN"/>
              </w:rPr>
              <w:t>16.8.0</w:t>
            </w:r>
          </w:p>
        </w:tc>
      </w:tr>
      <w:tr w:rsidR="005F77BA" w:rsidRPr="00B916EC" w14:paraId="6B052D2B" w14:textId="77777777" w:rsidTr="005F77BA">
        <w:tc>
          <w:tcPr>
            <w:tcW w:w="894" w:type="dxa"/>
            <w:tcBorders>
              <w:top w:val="single" w:sz="6" w:space="0" w:color="auto"/>
              <w:left w:val="single" w:sz="6" w:space="0" w:color="auto"/>
              <w:bottom w:val="single" w:sz="6" w:space="0" w:color="auto"/>
              <w:right w:val="single" w:sz="6" w:space="0" w:color="auto"/>
            </w:tcBorders>
            <w:shd w:val="solid" w:color="FFFFFF" w:fill="auto"/>
          </w:tcPr>
          <w:p w14:paraId="7B8AEDD4" w14:textId="77777777" w:rsidR="005F77BA" w:rsidRPr="00B916EC" w:rsidRDefault="005F77BA"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BD2D7A0" w14:textId="77777777" w:rsidR="005F77BA" w:rsidRPr="00B916EC" w:rsidRDefault="005F77BA" w:rsidP="00BC0321">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2A6E77A" w14:textId="559DEDED" w:rsidR="005F77BA" w:rsidRDefault="005F77BA" w:rsidP="00BC0321">
            <w:pPr>
              <w:pStyle w:val="TAL"/>
              <w:rPr>
                <w:sz w:val="16"/>
                <w:szCs w:val="16"/>
                <w:lang w:eastAsia="zh-CN"/>
              </w:rPr>
            </w:pPr>
            <w:r>
              <w:rPr>
                <w:sz w:val="16"/>
                <w:szCs w:val="16"/>
                <w:lang w:eastAsia="zh-CN"/>
              </w:rPr>
              <w:t>RP-212964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80AD855" w14:textId="5F475989" w:rsidR="005F77BA" w:rsidRDefault="005F77BA" w:rsidP="00BC0321">
            <w:pPr>
              <w:pStyle w:val="TAL"/>
              <w:rPr>
                <w:sz w:val="16"/>
                <w:szCs w:val="16"/>
              </w:rPr>
            </w:pPr>
            <w:r>
              <w:rPr>
                <w:sz w:val="16"/>
                <w:szCs w:val="16"/>
              </w:rPr>
              <w:t>0267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31A2ABF" w14:textId="41611512" w:rsidR="005F77BA" w:rsidRDefault="005F77BA"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DE6A127" w14:textId="77777777" w:rsidR="005F77BA" w:rsidRDefault="005F77B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3C11EBF" w14:textId="6B1552E1" w:rsidR="005F77BA" w:rsidRPr="00EA028E" w:rsidRDefault="005F77BA" w:rsidP="00BC0321">
            <w:pPr>
              <w:spacing w:after="0"/>
              <w:rPr>
                <w:rFonts w:ascii="Arial" w:hAnsi="Arial"/>
                <w:sz w:val="16"/>
              </w:rPr>
            </w:pPr>
            <w:r w:rsidRPr="005F77BA">
              <w:rPr>
                <w:rFonts w:ascii="Arial" w:hAnsi="Arial"/>
                <w:sz w:val="16"/>
              </w:rPr>
              <w:t>Editorial corrections for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C56D77" w14:textId="77777777" w:rsidR="005F77BA" w:rsidRDefault="005F77BA" w:rsidP="00BC0321">
            <w:pPr>
              <w:pStyle w:val="TAL"/>
              <w:rPr>
                <w:sz w:val="16"/>
                <w:szCs w:val="16"/>
                <w:lang w:eastAsia="zh-CN"/>
              </w:rPr>
            </w:pPr>
            <w:r>
              <w:rPr>
                <w:sz w:val="16"/>
                <w:szCs w:val="16"/>
                <w:lang w:eastAsia="zh-CN"/>
              </w:rPr>
              <w:t>16.8.0</w:t>
            </w:r>
          </w:p>
        </w:tc>
      </w:tr>
      <w:tr w:rsidR="002C3E0C" w:rsidRPr="00B916EC" w14:paraId="3A6507EF" w14:textId="77777777" w:rsidTr="002C3E0C">
        <w:tc>
          <w:tcPr>
            <w:tcW w:w="894" w:type="dxa"/>
            <w:tcBorders>
              <w:top w:val="single" w:sz="6" w:space="0" w:color="auto"/>
              <w:left w:val="single" w:sz="6" w:space="0" w:color="auto"/>
              <w:bottom w:val="single" w:sz="6" w:space="0" w:color="auto"/>
              <w:right w:val="single" w:sz="6" w:space="0" w:color="auto"/>
            </w:tcBorders>
            <w:shd w:val="solid" w:color="FFFFFF" w:fill="auto"/>
          </w:tcPr>
          <w:p w14:paraId="7A818F5D" w14:textId="77777777" w:rsidR="002C3E0C" w:rsidRPr="00B916EC" w:rsidRDefault="002C3E0C"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765EC21" w14:textId="77777777" w:rsidR="002C3E0C" w:rsidRPr="00B916EC" w:rsidRDefault="002C3E0C" w:rsidP="00BC0321">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C2085E0" w14:textId="23E85D8C" w:rsidR="002C3E0C" w:rsidRDefault="002C3E0C" w:rsidP="00BC0321">
            <w:pPr>
              <w:pStyle w:val="TAL"/>
              <w:rPr>
                <w:sz w:val="16"/>
                <w:szCs w:val="16"/>
                <w:lang w:eastAsia="zh-CN"/>
              </w:rPr>
            </w:pPr>
            <w:r>
              <w:rPr>
                <w:sz w:val="16"/>
                <w:szCs w:val="16"/>
                <w:lang w:eastAsia="zh-CN"/>
              </w:rPr>
              <w:t>RP-212973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6BCE50E" w14:textId="7D75DF3C" w:rsidR="002C3E0C" w:rsidRDefault="002C3E0C" w:rsidP="00BC0321">
            <w:pPr>
              <w:pStyle w:val="TAL"/>
              <w:rPr>
                <w:sz w:val="16"/>
                <w:szCs w:val="16"/>
              </w:rPr>
            </w:pPr>
            <w:r>
              <w:rPr>
                <w:sz w:val="16"/>
                <w:szCs w:val="16"/>
              </w:rPr>
              <w:t>0268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7ABF52C" w14:textId="36658911" w:rsidR="002C3E0C" w:rsidRDefault="002C3E0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AE95D78" w14:textId="6301F0C1" w:rsidR="002C3E0C" w:rsidRDefault="002C3E0C" w:rsidP="00BC032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5B39F2F" w14:textId="0EE43BE9" w:rsidR="002C3E0C" w:rsidRPr="00EA028E" w:rsidRDefault="002C3E0C" w:rsidP="00BC0321">
            <w:pPr>
              <w:spacing w:after="0"/>
              <w:rPr>
                <w:rFonts w:ascii="Arial" w:hAnsi="Arial"/>
                <w:sz w:val="16"/>
              </w:rPr>
            </w:pPr>
            <w:r w:rsidRPr="002C3E0C">
              <w:rPr>
                <w:rFonts w:ascii="Arial" w:hAnsi="Arial"/>
                <w:sz w:val="16"/>
              </w:rPr>
              <w:t>Introduction of coverage enhancements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6EE98B3" w14:textId="2573D416" w:rsidR="002C3E0C" w:rsidRDefault="002C3E0C" w:rsidP="00BC0321">
            <w:pPr>
              <w:pStyle w:val="TAL"/>
              <w:rPr>
                <w:sz w:val="16"/>
                <w:szCs w:val="16"/>
                <w:lang w:eastAsia="zh-CN"/>
              </w:rPr>
            </w:pPr>
            <w:r>
              <w:rPr>
                <w:sz w:val="16"/>
                <w:szCs w:val="16"/>
                <w:lang w:eastAsia="zh-CN"/>
              </w:rPr>
              <w:t>17.0.0</w:t>
            </w:r>
          </w:p>
        </w:tc>
      </w:tr>
      <w:tr w:rsidR="008B2BDE" w:rsidRPr="00B916EC" w14:paraId="43C72754" w14:textId="77777777" w:rsidTr="008B2BDE">
        <w:tc>
          <w:tcPr>
            <w:tcW w:w="894" w:type="dxa"/>
            <w:tcBorders>
              <w:top w:val="single" w:sz="6" w:space="0" w:color="auto"/>
              <w:left w:val="single" w:sz="6" w:space="0" w:color="auto"/>
              <w:bottom w:val="single" w:sz="6" w:space="0" w:color="auto"/>
              <w:right w:val="single" w:sz="6" w:space="0" w:color="auto"/>
            </w:tcBorders>
            <w:shd w:val="solid" w:color="FFFFFF" w:fill="auto"/>
          </w:tcPr>
          <w:p w14:paraId="5D023862" w14:textId="77777777" w:rsidR="008B2BDE" w:rsidRPr="00B916EC" w:rsidRDefault="008B2BD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93A0123" w14:textId="77777777" w:rsidR="008B2BDE" w:rsidRPr="00B916EC" w:rsidRDefault="008B2BDE" w:rsidP="00BC0321">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14A6706" w14:textId="0E398F1E" w:rsidR="008B2BDE" w:rsidRDefault="008B2BDE" w:rsidP="00BC0321">
            <w:pPr>
              <w:pStyle w:val="TAL"/>
              <w:rPr>
                <w:sz w:val="16"/>
                <w:szCs w:val="16"/>
                <w:lang w:eastAsia="zh-CN"/>
              </w:rPr>
            </w:pPr>
            <w:r>
              <w:rPr>
                <w:sz w:val="16"/>
                <w:szCs w:val="16"/>
                <w:lang w:eastAsia="zh-CN"/>
              </w:rPr>
              <w:t>RP-212980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E5EF359" w14:textId="5EC7CE82" w:rsidR="008B2BDE" w:rsidRDefault="008B2BDE" w:rsidP="00BC0321">
            <w:pPr>
              <w:pStyle w:val="TAL"/>
              <w:rPr>
                <w:sz w:val="16"/>
                <w:szCs w:val="16"/>
              </w:rPr>
            </w:pPr>
            <w:r>
              <w:rPr>
                <w:sz w:val="16"/>
                <w:szCs w:val="16"/>
              </w:rPr>
              <w:t>0269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BAA7094" w14:textId="77777777" w:rsidR="008B2BDE" w:rsidRDefault="008B2BDE"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4ADBB8B" w14:textId="77777777" w:rsidR="008B2BDE" w:rsidRDefault="008B2BDE" w:rsidP="00BC032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8007027" w14:textId="6BFB13B6" w:rsidR="008B2BDE" w:rsidRPr="00EA028E" w:rsidRDefault="008B2BDE" w:rsidP="00BC0321">
            <w:pPr>
              <w:spacing w:after="0"/>
              <w:rPr>
                <w:rFonts w:ascii="Arial" w:hAnsi="Arial"/>
                <w:sz w:val="16"/>
              </w:rPr>
            </w:pPr>
            <w:r w:rsidRPr="008B2BDE">
              <w:rPr>
                <w:rFonts w:ascii="Arial" w:hAnsi="Arial"/>
                <w:sz w:val="16"/>
              </w:rPr>
              <w:t>Introduction of dynamic spectrum sharing enhancements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3DB6BE5" w14:textId="77777777" w:rsidR="008B2BDE" w:rsidRDefault="008B2BDE" w:rsidP="00BC0321">
            <w:pPr>
              <w:pStyle w:val="TAL"/>
              <w:rPr>
                <w:sz w:val="16"/>
                <w:szCs w:val="16"/>
                <w:lang w:eastAsia="zh-CN"/>
              </w:rPr>
            </w:pPr>
            <w:r>
              <w:rPr>
                <w:sz w:val="16"/>
                <w:szCs w:val="16"/>
                <w:lang w:eastAsia="zh-CN"/>
              </w:rPr>
              <w:t>17.0.0</w:t>
            </w:r>
          </w:p>
        </w:tc>
      </w:tr>
      <w:tr w:rsidR="008B2BDE" w:rsidRPr="00B916EC" w14:paraId="7B0D3DF5" w14:textId="77777777" w:rsidTr="008B2BDE">
        <w:tc>
          <w:tcPr>
            <w:tcW w:w="894" w:type="dxa"/>
            <w:tcBorders>
              <w:top w:val="single" w:sz="6" w:space="0" w:color="auto"/>
              <w:left w:val="single" w:sz="6" w:space="0" w:color="auto"/>
              <w:bottom w:val="single" w:sz="6" w:space="0" w:color="auto"/>
              <w:right w:val="single" w:sz="6" w:space="0" w:color="auto"/>
            </w:tcBorders>
            <w:shd w:val="solid" w:color="FFFFFF" w:fill="auto"/>
          </w:tcPr>
          <w:p w14:paraId="560A8561" w14:textId="77777777" w:rsidR="008B2BDE" w:rsidRPr="00B916EC" w:rsidRDefault="008B2BD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CABBF2A" w14:textId="77777777" w:rsidR="008B2BDE" w:rsidRPr="00B916EC" w:rsidRDefault="008B2BDE" w:rsidP="00BC0321">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3D1A1CD" w14:textId="72293C11" w:rsidR="008B2BDE" w:rsidRDefault="008B2BDE" w:rsidP="00BC0321">
            <w:pPr>
              <w:pStyle w:val="TAL"/>
              <w:rPr>
                <w:sz w:val="16"/>
                <w:szCs w:val="16"/>
                <w:lang w:eastAsia="zh-CN"/>
              </w:rPr>
            </w:pPr>
            <w:r>
              <w:rPr>
                <w:sz w:val="16"/>
                <w:szCs w:val="16"/>
                <w:lang w:eastAsia="zh-CN"/>
              </w:rPr>
              <w:t>RP-212977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C38EC8B" w14:textId="1E1DCDB4" w:rsidR="008B2BDE" w:rsidRDefault="008B2BDE" w:rsidP="00BC0321">
            <w:pPr>
              <w:pStyle w:val="TAL"/>
              <w:rPr>
                <w:sz w:val="16"/>
                <w:szCs w:val="16"/>
              </w:rPr>
            </w:pPr>
            <w:r>
              <w:rPr>
                <w:sz w:val="16"/>
                <w:szCs w:val="16"/>
              </w:rPr>
              <w:t>0270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ED77DBD" w14:textId="77777777" w:rsidR="008B2BDE" w:rsidRDefault="008B2BDE"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BFFB592" w14:textId="77777777" w:rsidR="008B2BDE" w:rsidRDefault="008B2BDE" w:rsidP="00BC032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BE569D1" w14:textId="146732D0" w:rsidR="008B2BDE" w:rsidRPr="00EA028E" w:rsidRDefault="008B2BDE" w:rsidP="00BC0321">
            <w:pPr>
              <w:spacing w:after="0"/>
              <w:rPr>
                <w:rFonts w:ascii="Arial" w:hAnsi="Arial"/>
                <w:sz w:val="16"/>
              </w:rPr>
            </w:pPr>
            <w:r w:rsidRPr="008B2BDE">
              <w:rPr>
                <w:rFonts w:ascii="Arial" w:hAnsi="Arial"/>
                <w:sz w:val="16"/>
              </w:rPr>
              <w:t>Introduction of enhanced IAB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197794" w14:textId="77777777" w:rsidR="008B2BDE" w:rsidRDefault="008B2BDE" w:rsidP="00BC0321">
            <w:pPr>
              <w:pStyle w:val="TAL"/>
              <w:rPr>
                <w:sz w:val="16"/>
                <w:szCs w:val="16"/>
                <w:lang w:eastAsia="zh-CN"/>
              </w:rPr>
            </w:pPr>
            <w:r>
              <w:rPr>
                <w:sz w:val="16"/>
                <w:szCs w:val="16"/>
                <w:lang w:eastAsia="zh-CN"/>
              </w:rPr>
              <w:t>17.0.0</w:t>
            </w:r>
          </w:p>
        </w:tc>
      </w:tr>
      <w:tr w:rsidR="005D126D" w:rsidRPr="00B916EC" w14:paraId="37EB8A47" w14:textId="77777777" w:rsidTr="005D126D">
        <w:tc>
          <w:tcPr>
            <w:tcW w:w="894" w:type="dxa"/>
            <w:tcBorders>
              <w:top w:val="single" w:sz="6" w:space="0" w:color="auto"/>
              <w:left w:val="single" w:sz="6" w:space="0" w:color="auto"/>
              <w:bottom w:val="single" w:sz="6" w:space="0" w:color="auto"/>
              <w:right w:val="single" w:sz="6" w:space="0" w:color="auto"/>
            </w:tcBorders>
            <w:shd w:val="solid" w:color="FFFFFF" w:fill="auto"/>
          </w:tcPr>
          <w:p w14:paraId="3E897036" w14:textId="77777777" w:rsidR="005D126D" w:rsidRPr="00B916EC" w:rsidRDefault="005D126D" w:rsidP="00BC0321">
            <w:pPr>
              <w:spacing w:after="0"/>
              <w:jc w:val="center"/>
              <w:rPr>
                <w:rFonts w:ascii="Arial" w:hAnsi="Arial"/>
                <w:snapToGrid w:val="0"/>
                <w:sz w:val="16"/>
                <w:szCs w:val="16"/>
              </w:rPr>
            </w:pPr>
            <w:r w:rsidRPr="00B916EC">
              <w:rPr>
                <w:rFonts w:ascii="Arial" w:hAnsi="Arial"/>
                <w:snapToGrid w:val="0"/>
                <w:sz w:val="16"/>
                <w:szCs w:val="16"/>
              </w:rPr>
              <w:lastRenderedPageBreak/>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9A28DE7" w14:textId="77777777" w:rsidR="005D126D" w:rsidRPr="00B916EC" w:rsidRDefault="005D126D" w:rsidP="00BC0321">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C2A98EE" w14:textId="0ED9FF96" w:rsidR="005D126D" w:rsidRDefault="005D126D" w:rsidP="00BC0321">
            <w:pPr>
              <w:pStyle w:val="TAL"/>
              <w:rPr>
                <w:sz w:val="16"/>
                <w:szCs w:val="16"/>
                <w:lang w:eastAsia="zh-CN"/>
              </w:rPr>
            </w:pPr>
            <w:r>
              <w:rPr>
                <w:sz w:val="16"/>
                <w:szCs w:val="16"/>
                <w:lang w:eastAsia="zh-CN"/>
              </w:rPr>
              <w:t>RP-212967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939BD45" w14:textId="1976C4DD" w:rsidR="005D126D" w:rsidRDefault="005D126D" w:rsidP="00BC0321">
            <w:pPr>
              <w:pStyle w:val="TAL"/>
              <w:rPr>
                <w:sz w:val="16"/>
                <w:szCs w:val="16"/>
              </w:rPr>
            </w:pPr>
            <w:r>
              <w:rPr>
                <w:sz w:val="16"/>
                <w:szCs w:val="16"/>
              </w:rPr>
              <w:t>0271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71F05F7" w14:textId="77777777" w:rsidR="005D126D" w:rsidRDefault="005D126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C349EFC" w14:textId="77777777" w:rsidR="005D126D" w:rsidRDefault="005D126D" w:rsidP="00BC032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9C4039C" w14:textId="1A13F8DE" w:rsidR="005D126D" w:rsidRPr="00EA028E" w:rsidRDefault="005D126D" w:rsidP="00BC0321">
            <w:pPr>
              <w:spacing w:after="0"/>
              <w:rPr>
                <w:rFonts w:ascii="Arial" w:hAnsi="Arial"/>
                <w:sz w:val="16"/>
              </w:rPr>
            </w:pPr>
            <w:r w:rsidRPr="005D126D">
              <w:rPr>
                <w:rFonts w:ascii="Arial" w:hAnsi="Arial"/>
                <w:sz w:val="16"/>
              </w:rPr>
              <w:t>Introduction for extending NR operation to 71 GHz</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FCB5E3F" w14:textId="77777777" w:rsidR="005D126D" w:rsidRDefault="005D126D" w:rsidP="00BC0321">
            <w:pPr>
              <w:pStyle w:val="TAL"/>
              <w:rPr>
                <w:sz w:val="16"/>
                <w:szCs w:val="16"/>
                <w:lang w:eastAsia="zh-CN"/>
              </w:rPr>
            </w:pPr>
            <w:r>
              <w:rPr>
                <w:sz w:val="16"/>
                <w:szCs w:val="16"/>
                <w:lang w:eastAsia="zh-CN"/>
              </w:rPr>
              <w:t>17.0.0</w:t>
            </w:r>
          </w:p>
        </w:tc>
      </w:tr>
      <w:tr w:rsidR="00622DCE" w:rsidRPr="00B916EC" w14:paraId="43B5980A" w14:textId="77777777" w:rsidTr="005D126D">
        <w:tc>
          <w:tcPr>
            <w:tcW w:w="894" w:type="dxa"/>
            <w:tcBorders>
              <w:top w:val="single" w:sz="6" w:space="0" w:color="auto"/>
              <w:left w:val="single" w:sz="6" w:space="0" w:color="auto"/>
              <w:bottom w:val="single" w:sz="6" w:space="0" w:color="auto"/>
              <w:right w:val="single" w:sz="6" w:space="0" w:color="auto"/>
            </w:tcBorders>
            <w:shd w:val="solid" w:color="FFFFFF" w:fill="auto"/>
          </w:tcPr>
          <w:p w14:paraId="57AB3337" w14:textId="45A5FB8D" w:rsidR="00622DCE" w:rsidRPr="00B916EC" w:rsidRDefault="00622DC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DD89C58" w14:textId="0BB01BFB" w:rsidR="00622DCE" w:rsidRPr="00B916EC" w:rsidRDefault="00622DCE" w:rsidP="00BC0321">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9F2D43A" w14:textId="3F889D48" w:rsidR="00622DCE" w:rsidRDefault="00622DCE" w:rsidP="00BC0321">
            <w:pPr>
              <w:pStyle w:val="TAL"/>
              <w:rPr>
                <w:sz w:val="16"/>
                <w:szCs w:val="16"/>
                <w:lang w:eastAsia="zh-CN"/>
              </w:rPr>
            </w:pPr>
            <w:r>
              <w:rPr>
                <w:sz w:val="16"/>
                <w:szCs w:val="16"/>
                <w:lang w:eastAsia="zh-CN"/>
              </w:rPr>
              <w:t>RP-212968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3C4A35D" w14:textId="07C2AF23" w:rsidR="00622DCE" w:rsidRDefault="00622DCE" w:rsidP="00BC0321">
            <w:pPr>
              <w:pStyle w:val="TAL"/>
              <w:rPr>
                <w:sz w:val="16"/>
                <w:szCs w:val="16"/>
              </w:rPr>
            </w:pPr>
            <w:r>
              <w:rPr>
                <w:sz w:val="16"/>
                <w:szCs w:val="16"/>
              </w:rPr>
              <w:t>0272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9BC0F03" w14:textId="309FA7DE" w:rsidR="00622DCE" w:rsidRDefault="00622DCE"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E98B2F6" w14:textId="77F7CC42" w:rsidR="00622DCE" w:rsidRDefault="00622DCE" w:rsidP="00BC032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3169582" w14:textId="45724A96" w:rsidR="00622DCE" w:rsidRPr="005D126D" w:rsidRDefault="009B5A01" w:rsidP="00BC0321">
            <w:pPr>
              <w:spacing w:after="0"/>
              <w:rPr>
                <w:rFonts w:ascii="Arial" w:hAnsi="Arial"/>
                <w:sz w:val="16"/>
              </w:rPr>
            </w:pPr>
            <w:r w:rsidRPr="009B5A01">
              <w:rPr>
                <w:rFonts w:ascii="Arial" w:hAnsi="Arial"/>
                <w:sz w:val="16"/>
              </w:rPr>
              <w:t>Introduction of IIoT/URLLC enhancements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47265BB" w14:textId="5DFBB7C1" w:rsidR="00622DCE" w:rsidRDefault="00622DCE" w:rsidP="00BC0321">
            <w:pPr>
              <w:pStyle w:val="TAL"/>
              <w:rPr>
                <w:sz w:val="16"/>
                <w:szCs w:val="16"/>
                <w:lang w:eastAsia="zh-CN"/>
              </w:rPr>
            </w:pPr>
            <w:r>
              <w:rPr>
                <w:sz w:val="16"/>
                <w:szCs w:val="16"/>
                <w:lang w:eastAsia="zh-CN"/>
              </w:rPr>
              <w:t>17.0.0</w:t>
            </w:r>
          </w:p>
        </w:tc>
      </w:tr>
      <w:tr w:rsidR="00622DCE" w:rsidRPr="00B916EC" w14:paraId="5D86FA51" w14:textId="77777777" w:rsidTr="005D126D">
        <w:tc>
          <w:tcPr>
            <w:tcW w:w="894" w:type="dxa"/>
            <w:tcBorders>
              <w:top w:val="single" w:sz="6" w:space="0" w:color="auto"/>
              <w:left w:val="single" w:sz="6" w:space="0" w:color="auto"/>
              <w:bottom w:val="single" w:sz="6" w:space="0" w:color="auto"/>
              <w:right w:val="single" w:sz="6" w:space="0" w:color="auto"/>
            </w:tcBorders>
            <w:shd w:val="solid" w:color="FFFFFF" w:fill="auto"/>
          </w:tcPr>
          <w:p w14:paraId="2554374A" w14:textId="7863ED4B" w:rsidR="00622DCE" w:rsidRPr="00B916EC" w:rsidRDefault="00622DC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AD9E009" w14:textId="2C93570D" w:rsidR="00622DCE" w:rsidRPr="00B916EC" w:rsidRDefault="00622DCE" w:rsidP="00BC0321">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3747E0F" w14:textId="090D6FD8" w:rsidR="00622DCE" w:rsidRDefault="00622DCE" w:rsidP="00BC0321">
            <w:pPr>
              <w:pStyle w:val="TAL"/>
              <w:rPr>
                <w:sz w:val="16"/>
                <w:szCs w:val="16"/>
                <w:lang w:eastAsia="zh-CN"/>
              </w:rPr>
            </w:pPr>
            <w:r>
              <w:rPr>
                <w:sz w:val="16"/>
                <w:szCs w:val="16"/>
                <w:lang w:eastAsia="zh-CN"/>
              </w:rPr>
              <w:t>RP-212979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714AF30" w14:textId="4D9502BB" w:rsidR="00622DCE" w:rsidRDefault="00622DCE" w:rsidP="00BC0321">
            <w:pPr>
              <w:pStyle w:val="TAL"/>
              <w:rPr>
                <w:sz w:val="16"/>
                <w:szCs w:val="16"/>
              </w:rPr>
            </w:pPr>
            <w:r>
              <w:rPr>
                <w:sz w:val="16"/>
                <w:szCs w:val="16"/>
              </w:rPr>
              <w:t>0273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F917E95" w14:textId="7E09AF5B" w:rsidR="00622DCE" w:rsidRDefault="00622DCE"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BB1F22B" w14:textId="549932BD" w:rsidR="00622DCE" w:rsidRDefault="00622DCE" w:rsidP="00BC032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4A445DF" w14:textId="6BB066E5" w:rsidR="00622DCE" w:rsidRPr="005D126D" w:rsidRDefault="004644C9" w:rsidP="00BC0321">
            <w:pPr>
              <w:spacing w:after="0"/>
              <w:rPr>
                <w:rFonts w:ascii="Arial" w:hAnsi="Arial"/>
                <w:sz w:val="16"/>
              </w:rPr>
            </w:pPr>
            <w:r w:rsidRPr="004644C9">
              <w:rPr>
                <w:rFonts w:ascii="Arial" w:hAnsi="Arial"/>
                <w:sz w:val="16"/>
              </w:rPr>
              <w:t>Introduction of multicast-broadcast services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D19455E" w14:textId="1CC54B12" w:rsidR="00622DCE" w:rsidRDefault="00622DCE" w:rsidP="00BC0321">
            <w:pPr>
              <w:pStyle w:val="TAL"/>
              <w:rPr>
                <w:sz w:val="16"/>
                <w:szCs w:val="16"/>
                <w:lang w:eastAsia="zh-CN"/>
              </w:rPr>
            </w:pPr>
            <w:r>
              <w:rPr>
                <w:sz w:val="16"/>
                <w:szCs w:val="16"/>
                <w:lang w:eastAsia="zh-CN"/>
              </w:rPr>
              <w:t>17.0.0</w:t>
            </w:r>
          </w:p>
        </w:tc>
      </w:tr>
      <w:tr w:rsidR="00622DCE" w:rsidRPr="00B916EC" w14:paraId="7DCCF76C" w14:textId="77777777" w:rsidTr="005D126D">
        <w:tc>
          <w:tcPr>
            <w:tcW w:w="894" w:type="dxa"/>
            <w:tcBorders>
              <w:top w:val="single" w:sz="6" w:space="0" w:color="auto"/>
              <w:left w:val="single" w:sz="6" w:space="0" w:color="auto"/>
              <w:bottom w:val="single" w:sz="6" w:space="0" w:color="auto"/>
              <w:right w:val="single" w:sz="6" w:space="0" w:color="auto"/>
            </w:tcBorders>
            <w:shd w:val="solid" w:color="FFFFFF" w:fill="auto"/>
          </w:tcPr>
          <w:p w14:paraId="5CE4D52B" w14:textId="143C6018" w:rsidR="00622DCE" w:rsidRPr="00B916EC" w:rsidRDefault="00622DC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1D2C077" w14:textId="6B3F2D9E" w:rsidR="00622DCE" w:rsidRPr="00B916EC" w:rsidRDefault="00622DCE" w:rsidP="00BC0321">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D2E7A03" w14:textId="7371B2D6" w:rsidR="00622DCE" w:rsidRDefault="00622DCE" w:rsidP="00BC0321">
            <w:pPr>
              <w:pStyle w:val="TAL"/>
              <w:rPr>
                <w:sz w:val="16"/>
                <w:szCs w:val="16"/>
                <w:lang w:eastAsia="zh-CN"/>
              </w:rPr>
            </w:pPr>
            <w:r>
              <w:rPr>
                <w:sz w:val="16"/>
                <w:szCs w:val="16"/>
                <w:lang w:eastAsia="zh-CN"/>
              </w:rPr>
              <w:t>RP-212969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B0B8455" w14:textId="6E8B5EEA" w:rsidR="00622DCE" w:rsidRDefault="00622DCE" w:rsidP="00BC0321">
            <w:pPr>
              <w:pStyle w:val="TAL"/>
              <w:rPr>
                <w:sz w:val="16"/>
                <w:szCs w:val="16"/>
              </w:rPr>
            </w:pPr>
            <w:r>
              <w:rPr>
                <w:sz w:val="16"/>
                <w:szCs w:val="16"/>
              </w:rPr>
              <w:t>0274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3E0700C" w14:textId="4CD2FC60" w:rsidR="00622DCE" w:rsidRDefault="00622DCE"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437348E" w14:textId="5528C74A" w:rsidR="00622DCE" w:rsidRDefault="00622DCE" w:rsidP="00BC032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4E80E45" w14:textId="0FAB65AE" w:rsidR="00622DCE" w:rsidRPr="005D126D" w:rsidRDefault="00C71669" w:rsidP="00BC0321">
            <w:pPr>
              <w:spacing w:after="0"/>
              <w:rPr>
                <w:rFonts w:ascii="Arial" w:hAnsi="Arial"/>
                <w:sz w:val="16"/>
              </w:rPr>
            </w:pPr>
            <w:r w:rsidRPr="00C71669">
              <w:rPr>
                <w:rFonts w:ascii="Arial" w:hAnsi="Arial"/>
                <w:sz w:val="16"/>
              </w:rPr>
              <w:t>Introduction of non-terrestrial network operation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5782915" w14:textId="57DDB0DA" w:rsidR="00622DCE" w:rsidRDefault="00622DCE" w:rsidP="00BC0321">
            <w:pPr>
              <w:pStyle w:val="TAL"/>
              <w:rPr>
                <w:sz w:val="16"/>
                <w:szCs w:val="16"/>
                <w:lang w:eastAsia="zh-CN"/>
              </w:rPr>
            </w:pPr>
            <w:r>
              <w:rPr>
                <w:sz w:val="16"/>
                <w:szCs w:val="16"/>
                <w:lang w:eastAsia="zh-CN"/>
              </w:rPr>
              <w:t>17.0.0</w:t>
            </w:r>
          </w:p>
        </w:tc>
      </w:tr>
      <w:tr w:rsidR="00622DCE" w:rsidRPr="00B916EC" w14:paraId="793A607A" w14:textId="77777777" w:rsidTr="005D126D">
        <w:tc>
          <w:tcPr>
            <w:tcW w:w="894" w:type="dxa"/>
            <w:tcBorders>
              <w:top w:val="single" w:sz="6" w:space="0" w:color="auto"/>
              <w:left w:val="single" w:sz="6" w:space="0" w:color="auto"/>
              <w:bottom w:val="single" w:sz="6" w:space="0" w:color="auto"/>
              <w:right w:val="single" w:sz="6" w:space="0" w:color="auto"/>
            </w:tcBorders>
            <w:shd w:val="solid" w:color="FFFFFF" w:fill="auto"/>
          </w:tcPr>
          <w:p w14:paraId="13E0E2D0" w14:textId="1872489D" w:rsidR="00622DCE" w:rsidRPr="00B916EC" w:rsidRDefault="00622DC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569EEED" w14:textId="735863A2" w:rsidR="00622DCE" w:rsidRPr="00B916EC" w:rsidRDefault="00622DCE" w:rsidP="00BC0321">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BFFB7C4" w14:textId="405F1B6D" w:rsidR="00622DCE" w:rsidRDefault="00622DCE" w:rsidP="00BC0321">
            <w:pPr>
              <w:pStyle w:val="TAL"/>
              <w:rPr>
                <w:sz w:val="16"/>
                <w:szCs w:val="16"/>
                <w:lang w:eastAsia="zh-CN"/>
              </w:rPr>
            </w:pPr>
            <w:r>
              <w:rPr>
                <w:sz w:val="16"/>
                <w:szCs w:val="16"/>
                <w:lang w:eastAsia="zh-CN"/>
              </w:rPr>
              <w:t>RP-212971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C39A07C" w14:textId="1B59D4AB" w:rsidR="00622DCE" w:rsidRDefault="00622DCE" w:rsidP="00BC0321">
            <w:pPr>
              <w:pStyle w:val="TAL"/>
              <w:rPr>
                <w:sz w:val="16"/>
                <w:szCs w:val="16"/>
              </w:rPr>
            </w:pPr>
            <w:r>
              <w:rPr>
                <w:sz w:val="16"/>
                <w:szCs w:val="16"/>
              </w:rPr>
              <w:t>0275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9CE9D6C" w14:textId="2B521313" w:rsidR="00622DCE" w:rsidRDefault="00622DCE"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67A130B" w14:textId="06B27914" w:rsidR="00622DCE" w:rsidRDefault="00622DCE" w:rsidP="00BC032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43992E5" w14:textId="4A55EE2E" w:rsidR="00622DCE" w:rsidRPr="005D126D" w:rsidRDefault="001A183B" w:rsidP="00BC0321">
            <w:pPr>
              <w:spacing w:after="0"/>
              <w:rPr>
                <w:rFonts w:ascii="Arial" w:hAnsi="Arial"/>
                <w:sz w:val="16"/>
              </w:rPr>
            </w:pPr>
            <w:r w:rsidRPr="001A183B">
              <w:rPr>
                <w:rFonts w:ascii="Arial" w:hAnsi="Arial"/>
                <w:sz w:val="16"/>
              </w:rPr>
              <w:t>Introduction of UEs with reduced capabilities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FC52571" w14:textId="6ED687B0" w:rsidR="00622DCE" w:rsidRDefault="00622DCE" w:rsidP="00BC0321">
            <w:pPr>
              <w:pStyle w:val="TAL"/>
              <w:rPr>
                <w:sz w:val="16"/>
                <w:szCs w:val="16"/>
                <w:lang w:eastAsia="zh-CN"/>
              </w:rPr>
            </w:pPr>
            <w:r>
              <w:rPr>
                <w:sz w:val="16"/>
                <w:szCs w:val="16"/>
                <w:lang w:eastAsia="zh-CN"/>
              </w:rPr>
              <w:t>17.0.0</w:t>
            </w:r>
          </w:p>
        </w:tc>
      </w:tr>
      <w:tr w:rsidR="00622DCE" w:rsidRPr="00B916EC" w14:paraId="59B1D334" w14:textId="77777777" w:rsidTr="005D126D">
        <w:tc>
          <w:tcPr>
            <w:tcW w:w="894" w:type="dxa"/>
            <w:tcBorders>
              <w:top w:val="single" w:sz="6" w:space="0" w:color="auto"/>
              <w:left w:val="single" w:sz="6" w:space="0" w:color="auto"/>
              <w:bottom w:val="single" w:sz="6" w:space="0" w:color="auto"/>
              <w:right w:val="single" w:sz="6" w:space="0" w:color="auto"/>
            </w:tcBorders>
            <w:shd w:val="solid" w:color="FFFFFF" w:fill="auto"/>
          </w:tcPr>
          <w:p w14:paraId="65784DC1" w14:textId="07DB9816" w:rsidR="00622DCE" w:rsidRPr="00B916EC" w:rsidRDefault="00622DC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34BE0BE" w14:textId="0E6630BA" w:rsidR="00622DCE" w:rsidRPr="00B916EC" w:rsidRDefault="00622DCE" w:rsidP="00BC0321">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0F9CDFD" w14:textId="725DC642" w:rsidR="00622DCE" w:rsidRDefault="00622DCE" w:rsidP="00BC0321">
            <w:pPr>
              <w:pStyle w:val="TAL"/>
              <w:rPr>
                <w:sz w:val="16"/>
                <w:szCs w:val="16"/>
                <w:lang w:eastAsia="zh-CN"/>
              </w:rPr>
            </w:pPr>
            <w:r>
              <w:rPr>
                <w:sz w:val="16"/>
                <w:szCs w:val="16"/>
                <w:lang w:eastAsia="zh-CN"/>
              </w:rPr>
              <w:t>RP-212972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A602B25" w14:textId="57EBE509" w:rsidR="00622DCE" w:rsidRDefault="00622DCE" w:rsidP="00BC0321">
            <w:pPr>
              <w:pStyle w:val="TAL"/>
              <w:rPr>
                <w:sz w:val="16"/>
                <w:szCs w:val="16"/>
              </w:rPr>
            </w:pPr>
            <w:r>
              <w:rPr>
                <w:sz w:val="16"/>
                <w:szCs w:val="16"/>
              </w:rPr>
              <w:t>0276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663E1D0" w14:textId="2895DEB3" w:rsidR="00622DCE" w:rsidRDefault="00622DCE"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0DACB52" w14:textId="188D33F6" w:rsidR="00622DCE" w:rsidRDefault="00622DCE" w:rsidP="00BC032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4B6CBB3" w14:textId="6A84711E" w:rsidR="00622DCE" w:rsidRPr="005D126D" w:rsidRDefault="002B564B" w:rsidP="00BC0321">
            <w:pPr>
              <w:spacing w:after="0"/>
              <w:rPr>
                <w:rFonts w:ascii="Arial" w:hAnsi="Arial"/>
                <w:sz w:val="16"/>
              </w:rPr>
            </w:pPr>
            <w:r w:rsidRPr="002B564B">
              <w:rPr>
                <w:rFonts w:ascii="Arial" w:hAnsi="Arial"/>
                <w:sz w:val="16"/>
              </w:rPr>
              <w:t>Introduction of UE power savings enhancements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3B173BC" w14:textId="37206BBD" w:rsidR="00622DCE" w:rsidRDefault="00622DCE" w:rsidP="00BC0321">
            <w:pPr>
              <w:pStyle w:val="TAL"/>
              <w:rPr>
                <w:sz w:val="16"/>
                <w:szCs w:val="16"/>
                <w:lang w:eastAsia="zh-CN"/>
              </w:rPr>
            </w:pPr>
            <w:r>
              <w:rPr>
                <w:sz w:val="16"/>
                <w:szCs w:val="16"/>
                <w:lang w:eastAsia="zh-CN"/>
              </w:rPr>
              <w:t>17.0.0</w:t>
            </w:r>
          </w:p>
        </w:tc>
      </w:tr>
      <w:tr w:rsidR="00622DCE" w:rsidRPr="00B916EC" w14:paraId="60941384" w14:textId="77777777" w:rsidTr="005D126D">
        <w:tc>
          <w:tcPr>
            <w:tcW w:w="894" w:type="dxa"/>
            <w:tcBorders>
              <w:top w:val="single" w:sz="6" w:space="0" w:color="auto"/>
              <w:left w:val="single" w:sz="6" w:space="0" w:color="auto"/>
              <w:bottom w:val="single" w:sz="6" w:space="0" w:color="auto"/>
              <w:right w:val="single" w:sz="6" w:space="0" w:color="auto"/>
            </w:tcBorders>
            <w:shd w:val="solid" w:color="FFFFFF" w:fill="auto"/>
          </w:tcPr>
          <w:p w14:paraId="18848E42" w14:textId="7C0F25AA" w:rsidR="00622DCE" w:rsidRPr="00B916EC" w:rsidRDefault="00622DC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0524A4D" w14:textId="6C24E347" w:rsidR="00622DCE" w:rsidRPr="00B916EC" w:rsidRDefault="00622DCE" w:rsidP="00BC0321">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FF93B05" w14:textId="4535DCD7" w:rsidR="00622DCE" w:rsidRDefault="00622DCE" w:rsidP="00BC0321">
            <w:pPr>
              <w:pStyle w:val="TAL"/>
              <w:rPr>
                <w:sz w:val="16"/>
                <w:szCs w:val="16"/>
                <w:lang w:eastAsia="zh-CN"/>
              </w:rPr>
            </w:pPr>
            <w:r>
              <w:rPr>
                <w:sz w:val="16"/>
                <w:szCs w:val="16"/>
                <w:lang w:eastAsia="zh-CN"/>
              </w:rPr>
              <w:t>RP-212966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75A20DB" w14:textId="7CB1C924" w:rsidR="00622DCE" w:rsidRDefault="00622DCE" w:rsidP="00BC0321">
            <w:pPr>
              <w:pStyle w:val="TAL"/>
              <w:rPr>
                <w:sz w:val="16"/>
                <w:szCs w:val="16"/>
              </w:rPr>
            </w:pPr>
            <w:r>
              <w:rPr>
                <w:sz w:val="16"/>
                <w:szCs w:val="16"/>
              </w:rPr>
              <w:t>0277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7AB5CEE" w14:textId="0E966455" w:rsidR="00622DCE" w:rsidRDefault="00622DCE"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418FB8A" w14:textId="3A93C28F" w:rsidR="00622DCE" w:rsidRDefault="00622DCE" w:rsidP="00BC032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D76B83F" w14:textId="3EA042FD" w:rsidR="00622DCE" w:rsidRPr="005D126D" w:rsidRDefault="003B540B" w:rsidP="00BC0321">
            <w:pPr>
              <w:spacing w:after="0"/>
              <w:rPr>
                <w:rFonts w:ascii="Arial" w:hAnsi="Arial"/>
                <w:sz w:val="16"/>
              </w:rPr>
            </w:pPr>
            <w:r w:rsidRPr="003B540B">
              <w:rPr>
                <w:rFonts w:ascii="Arial" w:hAnsi="Arial"/>
                <w:sz w:val="16"/>
              </w:rPr>
              <w:t>Introduction of further enhancements on MIMO for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E871DEE" w14:textId="71D214CA" w:rsidR="00622DCE" w:rsidRDefault="00622DCE" w:rsidP="00BC0321">
            <w:pPr>
              <w:pStyle w:val="TAL"/>
              <w:rPr>
                <w:sz w:val="16"/>
                <w:szCs w:val="16"/>
                <w:lang w:eastAsia="zh-CN"/>
              </w:rPr>
            </w:pPr>
            <w:r>
              <w:rPr>
                <w:sz w:val="16"/>
                <w:szCs w:val="16"/>
                <w:lang w:eastAsia="zh-CN"/>
              </w:rPr>
              <w:t>17.0.0</w:t>
            </w:r>
          </w:p>
        </w:tc>
      </w:tr>
      <w:tr w:rsidR="00622DCE" w:rsidRPr="00B916EC" w14:paraId="0E9FE426" w14:textId="77777777" w:rsidTr="005D126D">
        <w:tc>
          <w:tcPr>
            <w:tcW w:w="894" w:type="dxa"/>
            <w:tcBorders>
              <w:top w:val="single" w:sz="6" w:space="0" w:color="auto"/>
              <w:left w:val="single" w:sz="6" w:space="0" w:color="auto"/>
              <w:bottom w:val="single" w:sz="6" w:space="0" w:color="auto"/>
              <w:right w:val="single" w:sz="6" w:space="0" w:color="auto"/>
            </w:tcBorders>
            <w:shd w:val="solid" w:color="FFFFFF" w:fill="auto"/>
          </w:tcPr>
          <w:p w14:paraId="4D332540" w14:textId="519BABD5" w:rsidR="00622DCE" w:rsidRPr="00B916EC" w:rsidRDefault="00622DC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E28F0DA" w14:textId="5C1BF9F2" w:rsidR="00622DCE" w:rsidRPr="00B916EC" w:rsidRDefault="00622DCE" w:rsidP="00BC0321">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3ACA48D" w14:textId="625BE547" w:rsidR="00622DCE" w:rsidRDefault="00622DCE" w:rsidP="00BC0321">
            <w:pPr>
              <w:pStyle w:val="TAL"/>
              <w:rPr>
                <w:sz w:val="16"/>
                <w:szCs w:val="16"/>
                <w:lang w:eastAsia="zh-CN"/>
              </w:rPr>
            </w:pPr>
            <w:r>
              <w:rPr>
                <w:sz w:val="16"/>
                <w:szCs w:val="16"/>
                <w:lang w:eastAsia="zh-CN"/>
              </w:rPr>
              <w:t>RP-213524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1318864" w14:textId="5C9428D1" w:rsidR="00622DCE" w:rsidRDefault="00622DCE" w:rsidP="00BC0321">
            <w:pPr>
              <w:pStyle w:val="TAL"/>
              <w:rPr>
                <w:sz w:val="16"/>
                <w:szCs w:val="16"/>
              </w:rPr>
            </w:pPr>
            <w:r>
              <w:rPr>
                <w:sz w:val="16"/>
                <w:szCs w:val="16"/>
              </w:rPr>
              <w:t>0278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44A55FE" w14:textId="639F4B7F" w:rsidR="00622DCE" w:rsidRDefault="00622DCE"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2D1E02A" w14:textId="7120216C" w:rsidR="00622DCE" w:rsidRDefault="00622DCE" w:rsidP="00BC032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891A4DE" w14:textId="1FF2F0A1" w:rsidR="00622DCE" w:rsidRPr="005D126D" w:rsidRDefault="00A66624" w:rsidP="00BC0321">
            <w:pPr>
              <w:spacing w:after="0"/>
              <w:rPr>
                <w:rFonts w:ascii="Arial" w:hAnsi="Arial"/>
                <w:sz w:val="16"/>
              </w:rPr>
            </w:pPr>
            <w:r w:rsidRPr="00A66624">
              <w:rPr>
                <w:rFonts w:ascii="Arial" w:hAnsi="Arial"/>
                <w:sz w:val="16"/>
              </w:rPr>
              <w:t>Introduction of small data transmission in RRC_INACTIVE state for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66EAAEB" w14:textId="23746F23" w:rsidR="00622DCE" w:rsidRDefault="00622DCE" w:rsidP="00BC0321">
            <w:pPr>
              <w:pStyle w:val="TAL"/>
              <w:rPr>
                <w:sz w:val="16"/>
                <w:szCs w:val="16"/>
                <w:lang w:eastAsia="zh-CN"/>
              </w:rPr>
            </w:pPr>
            <w:r>
              <w:rPr>
                <w:sz w:val="16"/>
                <w:szCs w:val="16"/>
                <w:lang w:eastAsia="zh-CN"/>
              </w:rPr>
              <w:t>17.0.0</w:t>
            </w:r>
          </w:p>
        </w:tc>
      </w:tr>
      <w:tr w:rsidR="00622DCE" w:rsidRPr="00B916EC" w14:paraId="33CD4B46" w14:textId="77777777" w:rsidTr="005D126D">
        <w:tc>
          <w:tcPr>
            <w:tcW w:w="894" w:type="dxa"/>
            <w:tcBorders>
              <w:top w:val="single" w:sz="6" w:space="0" w:color="auto"/>
              <w:left w:val="single" w:sz="6" w:space="0" w:color="auto"/>
              <w:bottom w:val="single" w:sz="6" w:space="0" w:color="auto"/>
              <w:right w:val="single" w:sz="6" w:space="0" w:color="auto"/>
            </w:tcBorders>
            <w:shd w:val="solid" w:color="FFFFFF" w:fill="auto"/>
          </w:tcPr>
          <w:p w14:paraId="3E04C22A" w14:textId="78AF27B7" w:rsidR="00622DCE" w:rsidRPr="00B916EC" w:rsidRDefault="00622DC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21-12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7999D7C" w14:textId="72937E81" w:rsidR="00622DCE" w:rsidRPr="00B916EC" w:rsidRDefault="00622DCE" w:rsidP="00BC0321">
            <w:pPr>
              <w:pStyle w:val="TAL"/>
              <w:rPr>
                <w:sz w:val="16"/>
                <w:szCs w:val="16"/>
                <w:lang w:eastAsia="zh-CN"/>
              </w:rPr>
            </w:pPr>
            <w:r w:rsidRPr="00B916EC">
              <w:rPr>
                <w:sz w:val="16"/>
                <w:szCs w:val="16"/>
                <w:lang w:eastAsia="zh-CN"/>
              </w:rPr>
              <w:t>RAN#</w:t>
            </w:r>
            <w:r>
              <w:rPr>
                <w:sz w:val="16"/>
                <w:szCs w:val="16"/>
                <w:lang w:eastAsia="zh-CN"/>
              </w:rPr>
              <w:t>94-e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B3B867F" w14:textId="32F40471" w:rsidR="00622DCE" w:rsidRDefault="00622DCE" w:rsidP="00BC0321">
            <w:pPr>
              <w:pStyle w:val="TAL"/>
              <w:rPr>
                <w:sz w:val="16"/>
                <w:szCs w:val="16"/>
                <w:lang w:eastAsia="zh-CN"/>
              </w:rPr>
            </w:pPr>
            <w:r>
              <w:rPr>
                <w:sz w:val="16"/>
                <w:szCs w:val="16"/>
                <w:lang w:eastAsia="zh-CN"/>
              </w:rPr>
              <w:t>RP-212978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5A397EA" w14:textId="00CFE4CA" w:rsidR="00622DCE" w:rsidRDefault="00622DCE" w:rsidP="00BC0321">
            <w:pPr>
              <w:pStyle w:val="TAL"/>
              <w:rPr>
                <w:sz w:val="16"/>
                <w:szCs w:val="16"/>
              </w:rPr>
            </w:pPr>
            <w:r>
              <w:rPr>
                <w:sz w:val="16"/>
                <w:szCs w:val="16"/>
              </w:rPr>
              <w:t>0279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007EDC9" w14:textId="34ECEFA7" w:rsidR="00622DCE" w:rsidRDefault="00622DCE"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B3A0292" w14:textId="00B29BAF" w:rsidR="00622DCE" w:rsidRDefault="00622DCE" w:rsidP="00BC0321">
            <w:pPr>
              <w:pStyle w:val="TAL"/>
              <w:rPr>
                <w:sz w:val="16"/>
              </w:rPr>
            </w:pPr>
            <w:r>
              <w:rPr>
                <w:sz w:val="16"/>
              </w:rPr>
              <w:t>B</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B8190FA" w14:textId="653EFF2F" w:rsidR="00622DCE" w:rsidRPr="005D126D" w:rsidRDefault="0009596F" w:rsidP="00BC0321">
            <w:pPr>
              <w:spacing w:after="0"/>
              <w:rPr>
                <w:rFonts w:ascii="Arial" w:hAnsi="Arial"/>
                <w:sz w:val="16"/>
              </w:rPr>
            </w:pPr>
            <w:r w:rsidRPr="0009596F">
              <w:rPr>
                <w:rFonts w:ascii="Arial" w:hAnsi="Arial"/>
                <w:sz w:val="16"/>
              </w:rPr>
              <w:t>Introduction of sidelink enhancements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4A39D11" w14:textId="44D85EF7" w:rsidR="00622DCE" w:rsidRDefault="00622DCE" w:rsidP="00BC0321">
            <w:pPr>
              <w:pStyle w:val="TAL"/>
              <w:rPr>
                <w:sz w:val="16"/>
                <w:szCs w:val="16"/>
                <w:lang w:eastAsia="zh-CN"/>
              </w:rPr>
            </w:pPr>
            <w:r>
              <w:rPr>
                <w:sz w:val="16"/>
                <w:szCs w:val="16"/>
                <w:lang w:eastAsia="zh-CN"/>
              </w:rPr>
              <w:t>17.0.0</w:t>
            </w:r>
          </w:p>
        </w:tc>
      </w:tr>
      <w:tr w:rsidR="007051AC" w:rsidRPr="00B916EC" w14:paraId="00CE4F20" w14:textId="77777777" w:rsidTr="007051AC">
        <w:tc>
          <w:tcPr>
            <w:tcW w:w="894" w:type="dxa"/>
            <w:tcBorders>
              <w:top w:val="single" w:sz="6" w:space="0" w:color="auto"/>
              <w:left w:val="single" w:sz="6" w:space="0" w:color="auto"/>
              <w:bottom w:val="single" w:sz="6" w:space="0" w:color="auto"/>
              <w:right w:val="single" w:sz="6" w:space="0" w:color="auto"/>
            </w:tcBorders>
            <w:shd w:val="solid" w:color="FFFFFF" w:fill="auto"/>
          </w:tcPr>
          <w:p w14:paraId="47E20317" w14:textId="3A551735" w:rsidR="007051AC" w:rsidRPr="00B916EC" w:rsidRDefault="007051AC"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49D59D4" w14:textId="4DD26C2D" w:rsidR="007051AC" w:rsidRPr="00B916EC" w:rsidRDefault="007051AC" w:rsidP="00BC0321">
            <w:pPr>
              <w:pStyle w:val="TAL"/>
              <w:rPr>
                <w:sz w:val="16"/>
                <w:szCs w:val="16"/>
                <w:lang w:eastAsia="zh-CN"/>
              </w:rPr>
            </w:pPr>
            <w:r w:rsidRPr="00B916EC">
              <w:rPr>
                <w:sz w:val="16"/>
                <w:szCs w:val="16"/>
                <w:lang w:eastAsia="zh-CN"/>
              </w:rPr>
              <w:t>RAN#</w:t>
            </w:r>
            <w:r>
              <w:rPr>
                <w:sz w:val="16"/>
                <w:szCs w:val="16"/>
                <w:lang w:eastAsia="zh-CN"/>
              </w:rPr>
              <w:t>95-e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38BF700" w14:textId="0DDFDA1A" w:rsidR="007051AC" w:rsidRDefault="007051AC" w:rsidP="00BC0321">
            <w:pPr>
              <w:pStyle w:val="TAL"/>
              <w:rPr>
                <w:sz w:val="16"/>
                <w:szCs w:val="16"/>
                <w:lang w:eastAsia="zh-CN"/>
              </w:rPr>
            </w:pPr>
            <w:r>
              <w:rPr>
                <w:sz w:val="16"/>
                <w:szCs w:val="16"/>
                <w:lang w:eastAsia="zh-CN"/>
              </w:rPr>
              <w:t>RP-220245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B8FA4CD" w14:textId="1A8C329E" w:rsidR="007051AC" w:rsidRDefault="007051AC" w:rsidP="00BC0321">
            <w:pPr>
              <w:pStyle w:val="TAL"/>
              <w:rPr>
                <w:sz w:val="16"/>
                <w:szCs w:val="16"/>
              </w:rPr>
            </w:pPr>
            <w:r>
              <w:rPr>
                <w:sz w:val="16"/>
                <w:szCs w:val="16"/>
              </w:rPr>
              <w:t>0281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0B2123C" w14:textId="77777777" w:rsidR="007051AC" w:rsidRDefault="007051A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A723F64" w14:textId="0518A4C8" w:rsidR="007051AC" w:rsidRDefault="007051AC"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BF6D6FD" w14:textId="54ECF8A9" w:rsidR="007051AC" w:rsidRPr="005D126D" w:rsidRDefault="007051AC" w:rsidP="00BC0321">
            <w:pPr>
              <w:spacing w:after="0"/>
              <w:rPr>
                <w:rFonts w:ascii="Arial" w:hAnsi="Arial"/>
                <w:sz w:val="16"/>
              </w:rPr>
            </w:pPr>
            <w:r w:rsidRPr="007051AC">
              <w:rPr>
                <w:rFonts w:ascii="Arial" w:hAnsi="Arial"/>
                <w:sz w:val="16"/>
              </w:rPr>
              <w:t>CR on UE procedure for receiving HARQ-ACK on sidelink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7A284D3" w14:textId="1FF4F40B" w:rsidR="007051AC" w:rsidRDefault="007051AC" w:rsidP="00BC0321">
            <w:pPr>
              <w:pStyle w:val="TAL"/>
              <w:rPr>
                <w:sz w:val="16"/>
                <w:szCs w:val="16"/>
                <w:lang w:eastAsia="zh-CN"/>
              </w:rPr>
            </w:pPr>
            <w:r>
              <w:rPr>
                <w:sz w:val="16"/>
                <w:szCs w:val="16"/>
                <w:lang w:eastAsia="zh-CN"/>
              </w:rPr>
              <w:t>17.1.0</w:t>
            </w:r>
          </w:p>
        </w:tc>
      </w:tr>
      <w:tr w:rsidR="007051AC" w:rsidRPr="00B916EC" w14:paraId="73E7A3F2" w14:textId="77777777" w:rsidTr="007051AC">
        <w:tc>
          <w:tcPr>
            <w:tcW w:w="894" w:type="dxa"/>
            <w:tcBorders>
              <w:top w:val="single" w:sz="6" w:space="0" w:color="auto"/>
              <w:left w:val="single" w:sz="6" w:space="0" w:color="auto"/>
              <w:bottom w:val="single" w:sz="6" w:space="0" w:color="auto"/>
              <w:right w:val="single" w:sz="6" w:space="0" w:color="auto"/>
            </w:tcBorders>
            <w:shd w:val="solid" w:color="FFFFFF" w:fill="auto"/>
          </w:tcPr>
          <w:p w14:paraId="60903398" w14:textId="77777777" w:rsidR="007051AC" w:rsidRPr="00B916EC" w:rsidRDefault="007051AC"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7182F8E" w14:textId="77777777" w:rsidR="007051AC" w:rsidRPr="00B916EC" w:rsidRDefault="007051AC" w:rsidP="00BC0321">
            <w:pPr>
              <w:pStyle w:val="TAL"/>
              <w:rPr>
                <w:sz w:val="16"/>
                <w:szCs w:val="16"/>
                <w:lang w:eastAsia="zh-CN"/>
              </w:rPr>
            </w:pPr>
            <w:r w:rsidRPr="00B916EC">
              <w:rPr>
                <w:sz w:val="16"/>
                <w:szCs w:val="16"/>
                <w:lang w:eastAsia="zh-CN"/>
              </w:rPr>
              <w:t>RAN#</w:t>
            </w:r>
            <w:r>
              <w:rPr>
                <w:sz w:val="16"/>
                <w:szCs w:val="16"/>
                <w:lang w:eastAsia="zh-CN"/>
              </w:rPr>
              <w:t>95-e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5E50C31" w14:textId="6973AB9D" w:rsidR="007051AC" w:rsidRDefault="007051AC" w:rsidP="00BC0321">
            <w:pPr>
              <w:pStyle w:val="TAL"/>
              <w:rPr>
                <w:sz w:val="16"/>
                <w:szCs w:val="16"/>
                <w:lang w:eastAsia="zh-CN"/>
              </w:rPr>
            </w:pPr>
            <w:r>
              <w:rPr>
                <w:sz w:val="16"/>
                <w:szCs w:val="16"/>
                <w:lang w:eastAsia="zh-CN"/>
              </w:rPr>
              <w:t>RP-220247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F1170B9" w14:textId="27B1F823" w:rsidR="007051AC" w:rsidRDefault="007051AC" w:rsidP="00BC0321">
            <w:pPr>
              <w:pStyle w:val="TAL"/>
              <w:rPr>
                <w:sz w:val="16"/>
                <w:szCs w:val="16"/>
              </w:rPr>
            </w:pPr>
            <w:r>
              <w:rPr>
                <w:sz w:val="16"/>
                <w:szCs w:val="16"/>
              </w:rPr>
              <w:t>0283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B1E102C" w14:textId="77777777" w:rsidR="007051AC" w:rsidRDefault="007051A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B5F2CD8" w14:textId="77777777" w:rsidR="007051AC" w:rsidRDefault="007051AC"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D483189" w14:textId="5E0F25C2" w:rsidR="007051AC" w:rsidRPr="005D126D" w:rsidRDefault="007051AC" w:rsidP="00BC0321">
            <w:pPr>
              <w:spacing w:after="0"/>
              <w:rPr>
                <w:rFonts w:ascii="Arial" w:hAnsi="Arial"/>
                <w:sz w:val="16"/>
              </w:rPr>
            </w:pPr>
            <w:r w:rsidRPr="007051AC">
              <w:rPr>
                <w:rFonts w:ascii="Arial" w:hAnsi="Arial"/>
                <w:sz w:val="16"/>
              </w:rPr>
              <w:t>Corrections on HARQ-ACK timing parameters for Rel-17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5A13127" w14:textId="77777777" w:rsidR="007051AC" w:rsidRDefault="007051AC" w:rsidP="00BC0321">
            <w:pPr>
              <w:pStyle w:val="TAL"/>
              <w:rPr>
                <w:sz w:val="16"/>
                <w:szCs w:val="16"/>
                <w:lang w:eastAsia="zh-CN"/>
              </w:rPr>
            </w:pPr>
            <w:r>
              <w:rPr>
                <w:sz w:val="16"/>
                <w:szCs w:val="16"/>
                <w:lang w:eastAsia="zh-CN"/>
              </w:rPr>
              <w:t>17.1.0</w:t>
            </w:r>
          </w:p>
        </w:tc>
      </w:tr>
      <w:tr w:rsidR="00BC0CCB" w:rsidRPr="00B916EC" w14:paraId="0C318559" w14:textId="77777777" w:rsidTr="00BC0CCB">
        <w:tc>
          <w:tcPr>
            <w:tcW w:w="894" w:type="dxa"/>
            <w:tcBorders>
              <w:top w:val="single" w:sz="6" w:space="0" w:color="auto"/>
              <w:left w:val="single" w:sz="6" w:space="0" w:color="auto"/>
              <w:bottom w:val="single" w:sz="6" w:space="0" w:color="auto"/>
              <w:right w:val="single" w:sz="6" w:space="0" w:color="auto"/>
            </w:tcBorders>
            <w:shd w:val="solid" w:color="FFFFFF" w:fill="auto"/>
          </w:tcPr>
          <w:p w14:paraId="550500CC" w14:textId="77777777" w:rsidR="00BC0CCB" w:rsidRPr="00B916EC" w:rsidRDefault="00BC0CCB"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BFC7B89" w14:textId="77777777" w:rsidR="00BC0CCB" w:rsidRPr="00B916EC" w:rsidRDefault="00BC0CCB" w:rsidP="00BC0321">
            <w:pPr>
              <w:pStyle w:val="TAL"/>
              <w:rPr>
                <w:sz w:val="16"/>
                <w:szCs w:val="16"/>
                <w:lang w:eastAsia="zh-CN"/>
              </w:rPr>
            </w:pPr>
            <w:r w:rsidRPr="00B916EC">
              <w:rPr>
                <w:sz w:val="16"/>
                <w:szCs w:val="16"/>
                <w:lang w:eastAsia="zh-CN"/>
              </w:rPr>
              <w:t>RAN#</w:t>
            </w:r>
            <w:r>
              <w:rPr>
                <w:sz w:val="16"/>
                <w:szCs w:val="16"/>
                <w:lang w:eastAsia="zh-CN"/>
              </w:rPr>
              <w:t>95-e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01C000C" w14:textId="1D50660E" w:rsidR="00BC0CCB" w:rsidRDefault="00BC0CCB" w:rsidP="00BC0321">
            <w:pPr>
              <w:pStyle w:val="TAL"/>
              <w:rPr>
                <w:sz w:val="16"/>
                <w:szCs w:val="16"/>
                <w:lang w:eastAsia="zh-CN"/>
              </w:rPr>
            </w:pPr>
            <w:r>
              <w:rPr>
                <w:sz w:val="16"/>
                <w:szCs w:val="16"/>
                <w:lang w:eastAsia="zh-CN"/>
              </w:rPr>
              <w:t>RP-220272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D3ABEED" w14:textId="2F457FA3" w:rsidR="00BC0CCB" w:rsidRDefault="00BC0CCB" w:rsidP="00BC0321">
            <w:pPr>
              <w:pStyle w:val="TAL"/>
              <w:rPr>
                <w:sz w:val="16"/>
                <w:szCs w:val="16"/>
              </w:rPr>
            </w:pPr>
            <w:r>
              <w:rPr>
                <w:sz w:val="16"/>
                <w:szCs w:val="16"/>
              </w:rPr>
              <w:t>0285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1BB5986" w14:textId="77777777" w:rsidR="00BC0CCB" w:rsidRDefault="00BC0CCB"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B6631D6" w14:textId="77777777" w:rsidR="00BC0CCB" w:rsidRDefault="00BC0CCB"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A92B583" w14:textId="60815027" w:rsidR="00BC0CCB" w:rsidRPr="005D126D" w:rsidRDefault="00BC0CCB" w:rsidP="00BC0321">
            <w:pPr>
              <w:spacing w:after="0"/>
              <w:rPr>
                <w:rFonts w:ascii="Arial" w:hAnsi="Arial"/>
                <w:sz w:val="16"/>
              </w:rPr>
            </w:pPr>
            <w:r w:rsidRPr="00BC0CCB">
              <w:rPr>
                <w:rFonts w:ascii="Arial" w:hAnsi="Arial"/>
                <w:sz w:val="16"/>
              </w:rPr>
              <w:t>CR on properties of tdd-UL-DL-ConfigurationDedicated and tdd-UL-DL-configurationDedicated-IAB-MT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94A231A" w14:textId="77777777" w:rsidR="00BC0CCB" w:rsidRDefault="00BC0CCB" w:rsidP="00BC0321">
            <w:pPr>
              <w:pStyle w:val="TAL"/>
              <w:rPr>
                <w:sz w:val="16"/>
                <w:szCs w:val="16"/>
                <w:lang w:eastAsia="zh-CN"/>
              </w:rPr>
            </w:pPr>
            <w:r>
              <w:rPr>
                <w:sz w:val="16"/>
                <w:szCs w:val="16"/>
                <w:lang w:eastAsia="zh-CN"/>
              </w:rPr>
              <w:t>17.1.0</w:t>
            </w:r>
          </w:p>
        </w:tc>
      </w:tr>
      <w:tr w:rsidR="00BC0CCB" w:rsidRPr="00B916EC" w14:paraId="58DD77EF" w14:textId="77777777" w:rsidTr="00BC0CCB">
        <w:tc>
          <w:tcPr>
            <w:tcW w:w="894" w:type="dxa"/>
            <w:tcBorders>
              <w:top w:val="single" w:sz="6" w:space="0" w:color="auto"/>
              <w:left w:val="single" w:sz="6" w:space="0" w:color="auto"/>
              <w:bottom w:val="single" w:sz="6" w:space="0" w:color="auto"/>
              <w:right w:val="single" w:sz="6" w:space="0" w:color="auto"/>
            </w:tcBorders>
            <w:shd w:val="solid" w:color="FFFFFF" w:fill="auto"/>
          </w:tcPr>
          <w:p w14:paraId="49EEA380" w14:textId="77777777" w:rsidR="00BC0CCB" w:rsidRPr="00B916EC" w:rsidRDefault="00BC0CCB"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3035272" w14:textId="77777777" w:rsidR="00BC0CCB" w:rsidRPr="00B916EC" w:rsidRDefault="00BC0CCB" w:rsidP="00BC0321">
            <w:pPr>
              <w:pStyle w:val="TAL"/>
              <w:rPr>
                <w:sz w:val="16"/>
                <w:szCs w:val="16"/>
                <w:lang w:eastAsia="zh-CN"/>
              </w:rPr>
            </w:pPr>
            <w:r w:rsidRPr="00B916EC">
              <w:rPr>
                <w:sz w:val="16"/>
                <w:szCs w:val="16"/>
                <w:lang w:eastAsia="zh-CN"/>
              </w:rPr>
              <w:t>RAN#</w:t>
            </w:r>
            <w:r>
              <w:rPr>
                <w:sz w:val="16"/>
                <w:szCs w:val="16"/>
                <w:lang w:eastAsia="zh-CN"/>
              </w:rPr>
              <w:t>95-e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17EBD4D" w14:textId="478738C8" w:rsidR="00BC0CCB" w:rsidRDefault="00BC0CCB" w:rsidP="00BC0321">
            <w:pPr>
              <w:pStyle w:val="TAL"/>
              <w:rPr>
                <w:sz w:val="16"/>
                <w:szCs w:val="16"/>
                <w:lang w:eastAsia="zh-CN"/>
              </w:rPr>
            </w:pPr>
            <w:r>
              <w:rPr>
                <w:sz w:val="16"/>
                <w:szCs w:val="16"/>
                <w:lang w:eastAsia="zh-CN"/>
              </w:rPr>
              <w:t>RP-220</w:t>
            </w:r>
            <w:r w:rsidR="00B417AC">
              <w:rPr>
                <w:sz w:val="16"/>
                <w:szCs w:val="16"/>
              </w:rPr>
              <w:t>246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630FD4D" w14:textId="7870A970" w:rsidR="00BC0CCB" w:rsidRDefault="00BC0CCB" w:rsidP="00BC0321">
            <w:pPr>
              <w:pStyle w:val="TAL"/>
              <w:rPr>
                <w:sz w:val="16"/>
                <w:szCs w:val="16"/>
              </w:rPr>
            </w:pPr>
            <w:r>
              <w:rPr>
                <w:sz w:val="16"/>
                <w:szCs w:val="16"/>
              </w:rPr>
              <w:t>02</w:t>
            </w:r>
            <w:r w:rsidR="00B417AC">
              <w:rPr>
                <w:sz w:val="16"/>
                <w:szCs w:val="16"/>
              </w:rPr>
              <w:t>87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0725401" w14:textId="77777777" w:rsidR="00BC0CCB" w:rsidRDefault="00BC0CCB"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D0D8CD2" w14:textId="77777777" w:rsidR="00BC0CCB" w:rsidRDefault="00BC0CCB"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BE021B1" w14:textId="37CC5D9D" w:rsidR="00BC0CCB" w:rsidRPr="005D126D" w:rsidRDefault="00BC0CCB" w:rsidP="00BC0321">
            <w:pPr>
              <w:spacing w:after="0"/>
              <w:rPr>
                <w:rFonts w:ascii="Arial" w:hAnsi="Arial"/>
                <w:sz w:val="16"/>
              </w:rPr>
            </w:pPr>
            <w:r w:rsidRPr="00BC0CCB">
              <w:rPr>
                <w:rFonts w:ascii="Arial" w:hAnsi="Arial"/>
                <w:sz w:val="16"/>
              </w:rPr>
              <w:t>Clarification of the SPS PDSCH activation and HARQ-ACK transmission for the 1st SPS PDSCH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0794F21" w14:textId="77777777" w:rsidR="00BC0CCB" w:rsidRDefault="00BC0CCB" w:rsidP="00BC0321">
            <w:pPr>
              <w:pStyle w:val="TAL"/>
              <w:rPr>
                <w:sz w:val="16"/>
                <w:szCs w:val="16"/>
                <w:lang w:eastAsia="zh-CN"/>
              </w:rPr>
            </w:pPr>
            <w:r>
              <w:rPr>
                <w:sz w:val="16"/>
                <w:szCs w:val="16"/>
                <w:lang w:eastAsia="zh-CN"/>
              </w:rPr>
              <w:t>17.1.0</w:t>
            </w:r>
          </w:p>
        </w:tc>
      </w:tr>
      <w:tr w:rsidR="00B417AC" w:rsidRPr="00B916EC" w14:paraId="20C4FC4D" w14:textId="77777777" w:rsidTr="00B417AC">
        <w:tc>
          <w:tcPr>
            <w:tcW w:w="894" w:type="dxa"/>
            <w:tcBorders>
              <w:top w:val="single" w:sz="6" w:space="0" w:color="auto"/>
              <w:left w:val="single" w:sz="6" w:space="0" w:color="auto"/>
              <w:bottom w:val="single" w:sz="6" w:space="0" w:color="auto"/>
              <w:right w:val="single" w:sz="6" w:space="0" w:color="auto"/>
            </w:tcBorders>
            <w:shd w:val="solid" w:color="FFFFFF" w:fill="auto"/>
          </w:tcPr>
          <w:p w14:paraId="41C46AC0" w14:textId="77777777" w:rsidR="00B417AC" w:rsidRPr="00B916EC" w:rsidRDefault="00B417AC"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74014A1" w14:textId="77777777" w:rsidR="00B417AC" w:rsidRPr="00B916EC" w:rsidRDefault="00B417AC" w:rsidP="00BC0321">
            <w:pPr>
              <w:pStyle w:val="TAL"/>
              <w:rPr>
                <w:sz w:val="16"/>
                <w:szCs w:val="16"/>
                <w:lang w:eastAsia="zh-CN"/>
              </w:rPr>
            </w:pPr>
            <w:r w:rsidRPr="00B916EC">
              <w:rPr>
                <w:sz w:val="16"/>
                <w:szCs w:val="16"/>
                <w:lang w:eastAsia="zh-CN"/>
              </w:rPr>
              <w:t>RAN#</w:t>
            </w:r>
            <w:r>
              <w:rPr>
                <w:sz w:val="16"/>
                <w:szCs w:val="16"/>
                <w:lang w:eastAsia="zh-CN"/>
              </w:rPr>
              <w:t>95-e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06425E6" w14:textId="4D6C5AD1" w:rsidR="00B417AC" w:rsidRDefault="00B417AC" w:rsidP="00BC0321">
            <w:pPr>
              <w:pStyle w:val="TAL"/>
              <w:rPr>
                <w:sz w:val="16"/>
                <w:szCs w:val="16"/>
                <w:lang w:eastAsia="zh-CN"/>
              </w:rPr>
            </w:pPr>
            <w:r>
              <w:rPr>
                <w:sz w:val="16"/>
                <w:szCs w:val="16"/>
                <w:lang w:eastAsia="zh-CN"/>
              </w:rPr>
              <w:t>RP-220249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D0ED858" w14:textId="22C035EF" w:rsidR="00B417AC" w:rsidRDefault="00B417AC" w:rsidP="00BC0321">
            <w:pPr>
              <w:pStyle w:val="TAL"/>
              <w:rPr>
                <w:sz w:val="16"/>
                <w:szCs w:val="16"/>
              </w:rPr>
            </w:pPr>
            <w:r>
              <w:rPr>
                <w:sz w:val="16"/>
                <w:szCs w:val="16"/>
              </w:rPr>
              <w:t>0289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D8EA879" w14:textId="77777777" w:rsidR="00B417AC" w:rsidRDefault="00B417A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4E1F137" w14:textId="77777777" w:rsidR="00B417AC" w:rsidRDefault="00B417AC"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AEF9ADC" w14:textId="330ECD8F" w:rsidR="00B417AC" w:rsidRPr="005D126D" w:rsidRDefault="00B417AC" w:rsidP="00BC0321">
            <w:pPr>
              <w:spacing w:after="0"/>
              <w:rPr>
                <w:rFonts w:ascii="Arial" w:hAnsi="Arial"/>
                <w:sz w:val="16"/>
              </w:rPr>
            </w:pPr>
            <w:r w:rsidRPr="00B417AC">
              <w:rPr>
                <w:rFonts w:ascii="Arial" w:hAnsi="Arial"/>
                <w:sz w:val="16"/>
              </w:rPr>
              <w:t>Rel-16 editorial corrections for TS 38.213 (mirrored to Rel-17)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148F2A" w14:textId="77777777" w:rsidR="00B417AC" w:rsidRDefault="00B417AC" w:rsidP="00BC0321">
            <w:pPr>
              <w:pStyle w:val="TAL"/>
              <w:rPr>
                <w:sz w:val="16"/>
                <w:szCs w:val="16"/>
                <w:lang w:eastAsia="zh-CN"/>
              </w:rPr>
            </w:pPr>
            <w:r>
              <w:rPr>
                <w:sz w:val="16"/>
                <w:szCs w:val="16"/>
                <w:lang w:eastAsia="zh-CN"/>
              </w:rPr>
              <w:t>17.1.0</w:t>
            </w:r>
          </w:p>
        </w:tc>
      </w:tr>
      <w:tr w:rsidR="006F3D00" w:rsidRPr="00B916EC" w14:paraId="33737AB3" w14:textId="77777777" w:rsidTr="006F3D00">
        <w:tc>
          <w:tcPr>
            <w:tcW w:w="894" w:type="dxa"/>
            <w:tcBorders>
              <w:top w:val="single" w:sz="6" w:space="0" w:color="auto"/>
              <w:left w:val="single" w:sz="6" w:space="0" w:color="auto"/>
              <w:bottom w:val="single" w:sz="6" w:space="0" w:color="auto"/>
              <w:right w:val="single" w:sz="6" w:space="0" w:color="auto"/>
            </w:tcBorders>
            <w:shd w:val="solid" w:color="FFFFFF" w:fill="auto"/>
          </w:tcPr>
          <w:p w14:paraId="20A8B660" w14:textId="77777777" w:rsidR="006F3D00" w:rsidRPr="00B916EC" w:rsidRDefault="006F3D00"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3694B82" w14:textId="77777777" w:rsidR="006F3D00" w:rsidRPr="00B916EC" w:rsidRDefault="006F3D00" w:rsidP="00BC0321">
            <w:pPr>
              <w:pStyle w:val="TAL"/>
              <w:rPr>
                <w:sz w:val="16"/>
                <w:szCs w:val="16"/>
                <w:lang w:eastAsia="zh-CN"/>
              </w:rPr>
            </w:pPr>
            <w:r w:rsidRPr="00B916EC">
              <w:rPr>
                <w:sz w:val="16"/>
                <w:szCs w:val="16"/>
                <w:lang w:eastAsia="zh-CN"/>
              </w:rPr>
              <w:t>RAN#</w:t>
            </w:r>
            <w:r>
              <w:rPr>
                <w:sz w:val="16"/>
                <w:szCs w:val="16"/>
                <w:lang w:eastAsia="zh-CN"/>
              </w:rPr>
              <w:t>95-e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9826A67" w14:textId="354AECED" w:rsidR="006F3D00" w:rsidRDefault="006F3D00" w:rsidP="00BC0321">
            <w:pPr>
              <w:pStyle w:val="TAL"/>
              <w:rPr>
                <w:sz w:val="16"/>
                <w:szCs w:val="16"/>
                <w:lang w:eastAsia="zh-CN"/>
              </w:rPr>
            </w:pPr>
            <w:r>
              <w:rPr>
                <w:sz w:val="16"/>
                <w:szCs w:val="16"/>
                <w:lang w:eastAsia="zh-CN"/>
              </w:rPr>
              <w:t>RP-220257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B38E9C1" w14:textId="76E0DE56" w:rsidR="006F3D00" w:rsidRDefault="006F3D00" w:rsidP="00BC0321">
            <w:pPr>
              <w:pStyle w:val="TAL"/>
              <w:rPr>
                <w:sz w:val="16"/>
                <w:szCs w:val="16"/>
              </w:rPr>
            </w:pPr>
            <w:r>
              <w:rPr>
                <w:sz w:val="16"/>
                <w:szCs w:val="16"/>
              </w:rPr>
              <w:t>0290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16C6029" w14:textId="77777777" w:rsidR="006F3D00" w:rsidRDefault="006F3D00"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5B1F6EF" w14:textId="38F14A2A" w:rsidR="006F3D00" w:rsidRDefault="006F3D00"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75B1A58" w14:textId="0D748C68" w:rsidR="006F3D00" w:rsidRPr="005D126D" w:rsidRDefault="006F3D00" w:rsidP="00BC0321">
            <w:pPr>
              <w:spacing w:after="0"/>
              <w:rPr>
                <w:rFonts w:ascii="Arial" w:hAnsi="Arial"/>
                <w:sz w:val="16"/>
              </w:rPr>
            </w:pPr>
            <w:r w:rsidRPr="006F3D00">
              <w:rPr>
                <w:rFonts w:ascii="Arial" w:hAnsi="Arial"/>
                <w:sz w:val="16"/>
              </w:rPr>
              <w:t>Corrections on coverage enhancements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0E94E8" w14:textId="77777777" w:rsidR="006F3D00" w:rsidRDefault="006F3D00" w:rsidP="00BC0321">
            <w:pPr>
              <w:pStyle w:val="TAL"/>
              <w:rPr>
                <w:sz w:val="16"/>
                <w:szCs w:val="16"/>
                <w:lang w:eastAsia="zh-CN"/>
              </w:rPr>
            </w:pPr>
            <w:r>
              <w:rPr>
                <w:sz w:val="16"/>
                <w:szCs w:val="16"/>
                <w:lang w:eastAsia="zh-CN"/>
              </w:rPr>
              <w:t>17.1.0</w:t>
            </w:r>
          </w:p>
        </w:tc>
      </w:tr>
      <w:tr w:rsidR="009E6BA2" w:rsidRPr="00B916EC" w14:paraId="533A0DF1" w14:textId="77777777" w:rsidTr="009E6BA2">
        <w:tc>
          <w:tcPr>
            <w:tcW w:w="894" w:type="dxa"/>
            <w:tcBorders>
              <w:top w:val="single" w:sz="6" w:space="0" w:color="auto"/>
              <w:left w:val="single" w:sz="6" w:space="0" w:color="auto"/>
              <w:bottom w:val="single" w:sz="6" w:space="0" w:color="auto"/>
              <w:right w:val="single" w:sz="6" w:space="0" w:color="auto"/>
            </w:tcBorders>
            <w:shd w:val="solid" w:color="FFFFFF" w:fill="auto"/>
          </w:tcPr>
          <w:p w14:paraId="110D8C84" w14:textId="77777777" w:rsidR="009E6BA2" w:rsidRPr="00B916EC" w:rsidRDefault="009E6BA2"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FD46E35" w14:textId="77777777" w:rsidR="009E6BA2" w:rsidRPr="00B916EC" w:rsidRDefault="009E6BA2" w:rsidP="00BC0321">
            <w:pPr>
              <w:pStyle w:val="TAL"/>
              <w:rPr>
                <w:sz w:val="16"/>
                <w:szCs w:val="16"/>
                <w:lang w:eastAsia="zh-CN"/>
              </w:rPr>
            </w:pPr>
            <w:r w:rsidRPr="00B916EC">
              <w:rPr>
                <w:sz w:val="16"/>
                <w:szCs w:val="16"/>
                <w:lang w:eastAsia="zh-CN"/>
              </w:rPr>
              <w:t>RAN#</w:t>
            </w:r>
            <w:r>
              <w:rPr>
                <w:sz w:val="16"/>
                <w:szCs w:val="16"/>
                <w:lang w:eastAsia="zh-CN"/>
              </w:rPr>
              <w:t>95-e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394C152" w14:textId="7DDC1C94" w:rsidR="009E6BA2" w:rsidRDefault="009E6BA2" w:rsidP="00BC0321">
            <w:pPr>
              <w:pStyle w:val="TAL"/>
              <w:rPr>
                <w:sz w:val="16"/>
                <w:szCs w:val="16"/>
                <w:lang w:eastAsia="zh-CN"/>
              </w:rPr>
            </w:pPr>
            <w:r>
              <w:rPr>
                <w:sz w:val="16"/>
                <w:szCs w:val="16"/>
                <w:lang w:eastAsia="zh-CN"/>
              </w:rPr>
              <w:t>RP-220251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CC92701" w14:textId="30CE33E5" w:rsidR="009E6BA2" w:rsidRDefault="009E6BA2" w:rsidP="00BC0321">
            <w:pPr>
              <w:pStyle w:val="TAL"/>
              <w:rPr>
                <w:sz w:val="16"/>
                <w:szCs w:val="16"/>
              </w:rPr>
            </w:pPr>
            <w:r>
              <w:rPr>
                <w:sz w:val="16"/>
                <w:szCs w:val="16"/>
              </w:rPr>
              <w:t>0291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BEA1E63" w14:textId="77777777" w:rsidR="009E6BA2" w:rsidRDefault="009E6BA2"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F9CB1AE" w14:textId="77777777" w:rsidR="009E6BA2" w:rsidRDefault="009E6BA2"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959217A" w14:textId="087095B2" w:rsidR="009E6BA2" w:rsidRPr="005D126D" w:rsidRDefault="009E6BA2" w:rsidP="00BC0321">
            <w:pPr>
              <w:spacing w:after="0"/>
              <w:rPr>
                <w:rFonts w:ascii="Arial" w:hAnsi="Arial"/>
                <w:sz w:val="16"/>
              </w:rPr>
            </w:pPr>
            <w:r w:rsidRPr="009E6BA2">
              <w:rPr>
                <w:rFonts w:ascii="Arial" w:hAnsi="Arial"/>
                <w:sz w:val="16"/>
              </w:rPr>
              <w:t>Corrections on extending NR operation to 71 GHz</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B6600D0" w14:textId="77777777" w:rsidR="009E6BA2" w:rsidRDefault="009E6BA2" w:rsidP="00BC0321">
            <w:pPr>
              <w:pStyle w:val="TAL"/>
              <w:rPr>
                <w:sz w:val="16"/>
                <w:szCs w:val="16"/>
                <w:lang w:eastAsia="zh-CN"/>
              </w:rPr>
            </w:pPr>
            <w:r>
              <w:rPr>
                <w:sz w:val="16"/>
                <w:szCs w:val="16"/>
                <w:lang w:eastAsia="zh-CN"/>
              </w:rPr>
              <w:t>17.1.0</w:t>
            </w:r>
          </w:p>
        </w:tc>
      </w:tr>
      <w:tr w:rsidR="00F25051" w:rsidRPr="00B916EC" w14:paraId="6B215C5D" w14:textId="77777777" w:rsidTr="00F25051">
        <w:tc>
          <w:tcPr>
            <w:tcW w:w="894" w:type="dxa"/>
            <w:tcBorders>
              <w:top w:val="single" w:sz="6" w:space="0" w:color="auto"/>
              <w:left w:val="single" w:sz="6" w:space="0" w:color="auto"/>
              <w:bottom w:val="single" w:sz="6" w:space="0" w:color="auto"/>
              <w:right w:val="single" w:sz="6" w:space="0" w:color="auto"/>
            </w:tcBorders>
            <w:shd w:val="solid" w:color="FFFFFF" w:fill="auto"/>
          </w:tcPr>
          <w:p w14:paraId="2994DD7F" w14:textId="77777777" w:rsidR="00F25051" w:rsidRPr="00B916EC" w:rsidRDefault="00F25051"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F020D4E" w14:textId="77777777" w:rsidR="00F25051" w:rsidRPr="00B916EC" w:rsidRDefault="00F25051" w:rsidP="00BC0321">
            <w:pPr>
              <w:pStyle w:val="TAL"/>
              <w:rPr>
                <w:sz w:val="16"/>
                <w:szCs w:val="16"/>
                <w:lang w:eastAsia="zh-CN"/>
              </w:rPr>
            </w:pPr>
            <w:r w:rsidRPr="00B916EC">
              <w:rPr>
                <w:sz w:val="16"/>
                <w:szCs w:val="16"/>
                <w:lang w:eastAsia="zh-CN"/>
              </w:rPr>
              <w:t>RAN#</w:t>
            </w:r>
            <w:r>
              <w:rPr>
                <w:sz w:val="16"/>
                <w:szCs w:val="16"/>
                <w:lang w:eastAsia="zh-CN"/>
              </w:rPr>
              <w:t>95-e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CC53DB5" w14:textId="4E056659" w:rsidR="00F25051" w:rsidRDefault="00F25051" w:rsidP="00BC0321">
            <w:pPr>
              <w:pStyle w:val="TAL"/>
              <w:rPr>
                <w:sz w:val="16"/>
                <w:szCs w:val="16"/>
                <w:lang w:eastAsia="zh-CN"/>
              </w:rPr>
            </w:pPr>
            <w:r>
              <w:rPr>
                <w:sz w:val="16"/>
                <w:szCs w:val="16"/>
                <w:lang w:eastAsia="zh-CN"/>
              </w:rPr>
              <w:t>RP-220252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5DD1076" w14:textId="60F6EDF3" w:rsidR="00F25051" w:rsidRDefault="00F25051" w:rsidP="00BC0321">
            <w:pPr>
              <w:pStyle w:val="TAL"/>
              <w:rPr>
                <w:sz w:val="16"/>
                <w:szCs w:val="16"/>
              </w:rPr>
            </w:pPr>
            <w:r>
              <w:rPr>
                <w:sz w:val="16"/>
                <w:szCs w:val="16"/>
              </w:rPr>
              <w:t>0292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CCD5231" w14:textId="77777777" w:rsidR="00F25051" w:rsidRDefault="00F25051"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BD6D4AE" w14:textId="77777777" w:rsidR="00F25051" w:rsidRDefault="00F25051"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BA9D780" w14:textId="280A2A1E" w:rsidR="00F25051" w:rsidRPr="005D126D" w:rsidRDefault="00F25051" w:rsidP="00BC0321">
            <w:pPr>
              <w:spacing w:after="0"/>
              <w:rPr>
                <w:rFonts w:ascii="Arial" w:hAnsi="Arial"/>
                <w:sz w:val="16"/>
              </w:rPr>
            </w:pPr>
            <w:r w:rsidRPr="00F25051">
              <w:rPr>
                <w:rFonts w:ascii="Arial" w:hAnsi="Arial"/>
                <w:sz w:val="16"/>
              </w:rPr>
              <w:t>Corrections on IIoT/URLLC enhancements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DBD1D7E" w14:textId="77777777" w:rsidR="00F25051" w:rsidRDefault="00F25051" w:rsidP="00BC0321">
            <w:pPr>
              <w:pStyle w:val="TAL"/>
              <w:rPr>
                <w:sz w:val="16"/>
                <w:szCs w:val="16"/>
                <w:lang w:eastAsia="zh-CN"/>
              </w:rPr>
            </w:pPr>
            <w:r>
              <w:rPr>
                <w:sz w:val="16"/>
                <w:szCs w:val="16"/>
                <w:lang w:eastAsia="zh-CN"/>
              </w:rPr>
              <w:t>17.1.0</w:t>
            </w:r>
          </w:p>
        </w:tc>
      </w:tr>
      <w:tr w:rsidR="00BB3E26" w:rsidRPr="00B916EC" w14:paraId="4A5A7677" w14:textId="77777777" w:rsidTr="00BB3E26">
        <w:tc>
          <w:tcPr>
            <w:tcW w:w="894" w:type="dxa"/>
            <w:tcBorders>
              <w:top w:val="single" w:sz="6" w:space="0" w:color="auto"/>
              <w:left w:val="single" w:sz="6" w:space="0" w:color="auto"/>
              <w:bottom w:val="single" w:sz="6" w:space="0" w:color="auto"/>
              <w:right w:val="single" w:sz="6" w:space="0" w:color="auto"/>
            </w:tcBorders>
            <w:shd w:val="solid" w:color="FFFFFF" w:fill="auto"/>
          </w:tcPr>
          <w:p w14:paraId="2877AC53" w14:textId="77777777" w:rsidR="00BB3E26" w:rsidRPr="00B916EC" w:rsidRDefault="00BB3E26"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21AAC72" w14:textId="77777777" w:rsidR="00BB3E26" w:rsidRPr="00B916EC" w:rsidRDefault="00BB3E26" w:rsidP="00BC0321">
            <w:pPr>
              <w:pStyle w:val="TAL"/>
              <w:rPr>
                <w:sz w:val="16"/>
                <w:szCs w:val="16"/>
                <w:lang w:eastAsia="zh-CN"/>
              </w:rPr>
            </w:pPr>
            <w:r w:rsidRPr="00B916EC">
              <w:rPr>
                <w:sz w:val="16"/>
                <w:szCs w:val="16"/>
                <w:lang w:eastAsia="zh-CN"/>
              </w:rPr>
              <w:t>RAN#</w:t>
            </w:r>
            <w:r>
              <w:rPr>
                <w:sz w:val="16"/>
                <w:szCs w:val="16"/>
                <w:lang w:eastAsia="zh-CN"/>
              </w:rPr>
              <w:t>95-e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4563F0C" w14:textId="6A9C2BAA" w:rsidR="00BB3E26" w:rsidRDefault="00BB3E26" w:rsidP="00BC0321">
            <w:pPr>
              <w:pStyle w:val="TAL"/>
              <w:rPr>
                <w:sz w:val="16"/>
                <w:szCs w:val="16"/>
                <w:lang w:eastAsia="zh-CN"/>
              </w:rPr>
            </w:pPr>
            <w:r>
              <w:rPr>
                <w:sz w:val="16"/>
                <w:szCs w:val="16"/>
                <w:lang w:eastAsia="zh-CN"/>
              </w:rPr>
              <w:t>RP-220263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BBD7A97" w14:textId="6B9E1AB5" w:rsidR="00BB3E26" w:rsidRDefault="00BB3E26" w:rsidP="00BC0321">
            <w:pPr>
              <w:pStyle w:val="TAL"/>
              <w:rPr>
                <w:sz w:val="16"/>
                <w:szCs w:val="16"/>
              </w:rPr>
            </w:pPr>
            <w:r>
              <w:rPr>
                <w:sz w:val="16"/>
                <w:szCs w:val="16"/>
              </w:rPr>
              <w:t>0293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F14B46B" w14:textId="77777777" w:rsidR="00BB3E26" w:rsidRDefault="00BB3E26"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85A443C" w14:textId="77777777" w:rsidR="00BB3E26" w:rsidRDefault="00BB3E26"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9F8AA0E" w14:textId="625A1F15" w:rsidR="00BB3E26" w:rsidRPr="005D126D" w:rsidRDefault="00BB3E26" w:rsidP="00BC0321">
            <w:pPr>
              <w:spacing w:after="0"/>
              <w:rPr>
                <w:rFonts w:ascii="Arial" w:hAnsi="Arial"/>
                <w:sz w:val="16"/>
              </w:rPr>
            </w:pPr>
            <w:r w:rsidRPr="00BB3E26">
              <w:rPr>
                <w:rFonts w:ascii="Arial" w:hAnsi="Arial"/>
                <w:sz w:val="16"/>
              </w:rPr>
              <w:t>Corrections on the introduction of multicast-broadcast services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3A0C962" w14:textId="77777777" w:rsidR="00BB3E26" w:rsidRDefault="00BB3E26" w:rsidP="00BC0321">
            <w:pPr>
              <w:pStyle w:val="TAL"/>
              <w:rPr>
                <w:sz w:val="16"/>
                <w:szCs w:val="16"/>
                <w:lang w:eastAsia="zh-CN"/>
              </w:rPr>
            </w:pPr>
            <w:r>
              <w:rPr>
                <w:sz w:val="16"/>
                <w:szCs w:val="16"/>
                <w:lang w:eastAsia="zh-CN"/>
              </w:rPr>
              <w:t>17.1.0</w:t>
            </w:r>
          </w:p>
        </w:tc>
      </w:tr>
      <w:tr w:rsidR="00926E4A" w:rsidRPr="00B916EC" w14:paraId="79F71F1E" w14:textId="77777777" w:rsidTr="00926E4A">
        <w:tc>
          <w:tcPr>
            <w:tcW w:w="894" w:type="dxa"/>
            <w:tcBorders>
              <w:top w:val="single" w:sz="6" w:space="0" w:color="auto"/>
              <w:left w:val="single" w:sz="6" w:space="0" w:color="auto"/>
              <w:bottom w:val="single" w:sz="6" w:space="0" w:color="auto"/>
              <w:right w:val="single" w:sz="6" w:space="0" w:color="auto"/>
            </w:tcBorders>
            <w:shd w:val="solid" w:color="FFFFFF" w:fill="auto"/>
          </w:tcPr>
          <w:p w14:paraId="7135E118" w14:textId="77777777" w:rsidR="00926E4A" w:rsidRPr="00B916EC" w:rsidRDefault="00926E4A"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B095B51" w14:textId="77777777" w:rsidR="00926E4A" w:rsidRPr="00B916EC" w:rsidRDefault="00926E4A" w:rsidP="00BC0321">
            <w:pPr>
              <w:pStyle w:val="TAL"/>
              <w:rPr>
                <w:sz w:val="16"/>
                <w:szCs w:val="16"/>
                <w:lang w:eastAsia="zh-CN"/>
              </w:rPr>
            </w:pPr>
            <w:r w:rsidRPr="00B916EC">
              <w:rPr>
                <w:sz w:val="16"/>
                <w:szCs w:val="16"/>
                <w:lang w:eastAsia="zh-CN"/>
              </w:rPr>
              <w:t>RAN#</w:t>
            </w:r>
            <w:r>
              <w:rPr>
                <w:sz w:val="16"/>
                <w:szCs w:val="16"/>
                <w:lang w:eastAsia="zh-CN"/>
              </w:rPr>
              <w:t>95-e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101072B" w14:textId="3F9B9F46" w:rsidR="00926E4A" w:rsidRDefault="00926E4A" w:rsidP="00BC0321">
            <w:pPr>
              <w:pStyle w:val="TAL"/>
              <w:rPr>
                <w:sz w:val="16"/>
                <w:szCs w:val="16"/>
                <w:lang w:eastAsia="zh-CN"/>
              </w:rPr>
            </w:pPr>
            <w:r>
              <w:rPr>
                <w:sz w:val="16"/>
                <w:szCs w:val="16"/>
                <w:lang w:eastAsia="zh-CN"/>
              </w:rPr>
              <w:t>RP-220262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F7CE72B" w14:textId="0B1EC00D" w:rsidR="00926E4A" w:rsidRDefault="00926E4A" w:rsidP="00BC0321">
            <w:pPr>
              <w:pStyle w:val="TAL"/>
              <w:rPr>
                <w:sz w:val="16"/>
                <w:szCs w:val="16"/>
              </w:rPr>
            </w:pPr>
            <w:r>
              <w:rPr>
                <w:sz w:val="16"/>
                <w:szCs w:val="16"/>
              </w:rPr>
              <w:t>0294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5BD41DA" w14:textId="77777777" w:rsidR="00926E4A" w:rsidRDefault="00926E4A"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8940AE2" w14:textId="77777777" w:rsidR="00926E4A" w:rsidRDefault="00926E4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2724CE6" w14:textId="317926CD" w:rsidR="00926E4A" w:rsidRPr="005D126D" w:rsidRDefault="00926E4A" w:rsidP="00BC0321">
            <w:pPr>
              <w:spacing w:after="0"/>
              <w:rPr>
                <w:rFonts w:ascii="Arial" w:hAnsi="Arial"/>
                <w:sz w:val="16"/>
              </w:rPr>
            </w:pPr>
            <w:r w:rsidRPr="00926E4A">
              <w:rPr>
                <w:rFonts w:ascii="Arial" w:hAnsi="Arial"/>
                <w:sz w:val="16"/>
              </w:rPr>
              <w:t>Corrections on sidelink enhancements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FD1ABA" w14:textId="77777777" w:rsidR="00926E4A" w:rsidRDefault="00926E4A" w:rsidP="00BC0321">
            <w:pPr>
              <w:pStyle w:val="TAL"/>
              <w:rPr>
                <w:sz w:val="16"/>
                <w:szCs w:val="16"/>
                <w:lang w:eastAsia="zh-CN"/>
              </w:rPr>
            </w:pPr>
            <w:r>
              <w:rPr>
                <w:sz w:val="16"/>
                <w:szCs w:val="16"/>
                <w:lang w:eastAsia="zh-CN"/>
              </w:rPr>
              <w:t>17.1.0</w:t>
            </w:r>
          </w:p>
        </w:tc>
      </w:tr>
      <w:tr w:rsidR="00F14AC9" w:rsidRPr="00B916EC" w14:paraId="62493EEA" w14:textId="77777777" w:rsidTr="00F14AC9">
        <w:tc>
          <w:tcPr>
            <w:tcW w:w="894" w:type="dxa"/>
            <w:tcBorders>
              <w:top w:val="single" w:sz="6" w:space="0" w:color="auto"/>
              <w:left w:val="single" w:sz="6" w:space="0" w:color="auto"/>
              <w:bottom w:val="single" w:sz="6" w:space="0" w:color="auto"/>
              <w:right w:val="single" w:sz="6" w:space="0" w:color="auto"/>
            </w:tcBorders>
            <w:shd w:val="solid" w:color="FFFFFF" w:fill="auto"/>
          </w:tcPr>
          <w:p w14:paraId="650F7AAC" w14:textId="77777777" w:rsidR="00F14AC9" w:rsidRPr="00B916EC" w:rsidRDefault="00F14AC9"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DE20DE6" w14:textId="77777777" w:rsidR="00F14AC9" w:rsidRPr="00B916EC" w:rsidRDefault="00F14AC9" w:rsidP="00BC0321">
            <w:pPr>
              <w:pStyle w:val="TAL"/>
              <w:rPr>
                <w:sz w:val="16"/>
                <w:szCs w:val="16"/>
                <w:lang w:eastAsia="zh-CN"/>
              </w:rPr>
            </w:pPr>
            <w:r w:rsidRPr="00B916EC">
              <w:rPr>
                <w:sz w:val="16"/>
                <w:szCs w:val="16"/>
                <w:lang w:eastAsia="zh-CN"/>
              </w:rPr>
              <w:t>RAN#</w:t>
            </w:r>
            <w:r>
              <w:rPr>
                <w:sz w:val="16"/>
                <w:szCs w:val="16"/>
                <w:lang w:eastAsia="zh-CN"/>
              </w:rPr>
              <w:t>95-e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43BFC3C" w14:textId="5E78A53A" w:rsidR="00F14AC9" w:rsidRDefault="00F14AC9" w:rsidP="00BC0321">
            <w:pPr>
              <w:pStyle w:val="TAL"/>
              <w:rPr>
                <w:sz w:val="16"/>
                <w:szCs w:val="16"/>
                <w:lang w:eastAsia="zh-CN"/>
              </w:rPr>
            </w:pPr>
            <w:r>
              <w:rPr>
                <w:sz w:val="16"/>
                <w:szCs w:val="16"/>
                <w:lang w:eastAsia="zh-CN"/>
              </w:rPr>
              <w:t>RP-220256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C484ECF" w14:textId="5A730A1E" w:rsidR="00F14AC9" w:rsidRDefault="00F14AC9" w:rsidP="00BC0321">
            <w:pPr>
              <w:pStyle w:val="TAL"/>
              <w:rPr>
                <w:sz w:val="16"/>
                <w:szCs w:val="16"/>
              </w:rPr>
            </w:pPr>
            <w:r>
              <w:rPr>
                <w:sz w:val="16"/>
                <w:szCs w:val="16"/>
              </w:rPr>
              <w:t>0295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D0419D7" w14:textId="77777777" w:rsidR="00F14AC9" w:rsidRDefault="00F14AC9"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1602140" w14:textId="77777777" w:rsidR="00F14AC9" w:rsidRDefault="00F14AC9"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FE86D6A" w14:textId="2BACF8BA" w:rsidR="00F14AC9" w:rsidRPr="005D126D" w:rsidRDefault="00F14AC9" w:rsidP="00BC0321">
            <w:pPr>
              <w:spacing w:after="0"/>
              <w:rPr>
                <w:rFonts w:ascii="Arial" w:hAnsi="Arial"/>
                <w:sz w:val="16"/>
              </w:rPr>
            </w:pPr>
            <w:r w:rsidRPr="00F14AC9">
              <w:rPr>
                <w:rFonts w:ascii="Arial" w:hAnsi="Arial"/>
                <w:sz w:val="16"/>
              </w:rPr>
              <w:t>Corrections on UE power savings enhancements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2BA5B31" w14:textId="77777777" w:rsidR="00F14AC9" w:rsidRDefault="00F14AC9" w:rsidP="00BC0321">
            <w:pPr>
              <w:pStyle w:val="TAL"/>
              <w:rPr>
                <w:sz w:val="16"/>
                <w:szCs w:val="16"/>
                <w:lang w:eastAsia="zh-CN"/>
              </w:rPr>
            </w:pPr>
            <w:r>
              <w:rPr>
                <w:sz w:val="16"/>
                <w:szCs w:val="16"/>
                <w:lang w:eastAsia="zh-CN"/>
              </w:rPr>
              <w:t>17.1.0</w:t>
            </w:r>
          </w:p>
        </w:tc>
      </w:tr>
      <w:tr w:rsidR="00542CFB" w:rsidRPr="00B916EC" w14:paraId="7AD3C4DF" w14:textId="77777777" w:rsidTr="00542CFB">
        <w:tc>
          <w:tcPr>
            <w:tcW w:w="894" w:type="dxa"/>
            <w:tcBorders>
              <w:top w:val="single" w:sz="6" w:space="0" w:color="auto"/>
              <w:left w:val="single" w:sz="6" w:space="0" w:color="auto"/>
              <w:bottom w:val="single" w:sz="6" w:space="0" w:color="auto"/>
              <w:right w:val="single" w:sz="6" w:space="0" w:color="auto"/>
            </w:tcBorders>
            <w:shd w:val="solid" w:color="FFFFFF" w:fill="auto"/>
          </w:tcPr>
          <w:p w14:paraId="0724D050" w14:textId="77777777" w:rsidR="00542CFB" w:rsidRPr="00B916EC" w:rsidRDefault="00542CFB"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A5832C1" w14:textId="77777777" w:rsidR="00542CFB" w:rsidRPr="00B916EC" w:rsidRDefault="00542CFB" w:rsidP="00BC0321">
            <w:pPr>
              <w:pStyle w:val="TAL"/>
              <w:rPr>
                <w:sz w:val="16"/>
                <w:szCs w:val="16"/>
                <w:lang w:eastAsia="zh-CN"/>
              </w:rPr>
            </w:pPr>
            <w:r w:rsidRPr="00B916EC">
              <w:rPr>
                <w:sz w:val="16"/>
                <w:szCs w:val="16"/>
                <w:lang w:eastAsia="zh-CN"/>
              </w:rPr>
              <w:t>RAN#</w:t>
            </w:r>
            <w:r>
              <w:rPr>
                <w:sz w:val="16"/>
                <w:szCs w:val="16"/>
                <w:lang w:eastAsia="zh-CN"/>
              </w:rPr>
              <w:t>95-e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49FD79B" w14:textId="6366C4CB" w:rsidR="00542CFB" w:rsidRDefault="00542CFB" w:rsidP="00BC0321">
            <w:pPr>
              <w:pStyle w:val="TAL"/>
              <w:rPr>
                <w:sz w:val="16"/>
                <w:szCs w:val="16"/>
                <w:lang w:eastAsia="zh-CN"/>
              </w:rPr>
            </w:pPr>
            <w:r>
              <w:rPr>
                <w:sz w:val="16"/>
                <w:szCs w:val="16"/>
                <w:lang w:eastAsia="zh-CN"/>
              </w:rPr>
              <w:t>RP-220261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31EFF58" w14:textId="62FAD0A8" w:rsidR="00542CFB" w:rsidRDefault="00542CFB" w:rsidP="00BC0321">
            <w:pPr>
              <w:pStyle w:val="TAL"/>
              <w:rPr>
                <w:sz w:val="16"/>
                <w:szCs w:val="16"/>
              </w:rPr>
            </w:pPr>
            <w:r>
              <w:rPr>
                <w:sz w:val="16"/>
                <w:szCs w:val="16"/>
              </w:rPr>
              <w:t>0296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736A8FC" w14:textId="77777777" w:rsidR="00542CFB" w:rsidRDefault="00542CFB"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6FDB978" w14:textId="77777777" w:rsidR="00542CFB" w:rsidRDefault="00542CFB"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EC0F5FA" w14:textId="1AA444FD" w:rsidR="00542CFB" w:rsidRPr="005D126D" w:rsidRDefault="00542CFB" w:rsidP="00BC0321">
            <w:pPr>
              <w:spacing w:after="0"/>
              <w:rPr>
                <w:rFonts w:ascii="Arial" w:hAnsi="Arial"/>
                <w:sz w:val="16"/>
              </w:rPr>
            </w:pPr>
            <w:r w:rsidRPr="00542CFB">
              <w:rPr>
                <w:rFonts w:ascii="Arial" w:hAnsi="Arial"/>
                <w:sz w:val="16"/>
              </w:rPr>
              <w:t>Corrections on eIAB</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BA9594E" w14:textId="77777777" w:rsidR="00542CFB" w:rsidRDefault="00542CFB" w:rsidP="00BC0321">
            <w:pPr>
              <w:pStyle w:val="TAL"/>
              <w:rPr>
                <w:sz w:val="16"/>
                <w:szCs w:val="16"/>
                <w:lang w:eastAsia="zh-CN"/>
              </w:rPr>
            </w:pPr>
            <w:r>
              <w:rPr>
                <w:sz w:val="16"/>
                <w:szCs w:val="16"/>
                <w:lang w:eastAsia="zh-CN"/>
              </w:rPr>
              <w:t>17.1.0</w:t>
            </w:r>
          </w:p>
        </w:tc>
      </w:tr>
      <w:tr w:rsidR="00D5274C" w:rsidRPr="00B916EC" w14:paraId="20F2F2A9" w14:textId="77777777" w:rsidTr="00D5274C">
        <w:tc>
          <w:tcPr>
            <w:tcW w:w="894" w:type="dxa"/>
            <w:tcBorders>
              <w:top w:val="single" w:sz="6" w:space="0" w:color="auto"/>
              <w:left w:val="single" w:sz="6" w:space="0" w:color="auto"/>
              <w:bottom w:val="single" w:sz="6" w:space="0" w:color="auto"/>
              <w:right w:val="single" w:sz="6" w:space="0" w:color="auto"/>
            </w:tcBorders>
            <w:shd w:val="solid" w:color="FFFFFF" w:fill="auto"/>
          </w:tcPr>
          <w:p w14:paraId="13E20B86" w14:textId="77777777" w:rsidR="00D5274C" w:rsidRPr="00B916EC" w:rsidRDefault="00D5274C"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1E0BF96" w14:textId="77777777" w:rsidR="00D5274C" w:rsidRPr="00B916EC" w:rsidRDefault="00D5274C" w:rsidP="00BC0321">
            <w:pPr>
              <w:pStyle w:val="TAL"/>
              <w:rPr>
                <w:sz w:val="16"/>
                <w:szCs w:val="16"/>
                <w:lang w:eastAsia="zh-CN"/>
              </w:rPr>
            </w:pPr>
            <w:r w:rsidRPr="00B916EC">
              <w:rPr>
                <w:sz w:val="16"/>
                <w:szCs w:val="16"/>
                <w:lang w:eastAsia="zh-CN"/>
              </w:rPr>
              <w:t>RAN#</w:t>
            </w:r>
            <w:r>
              <w:rPr>
                <w:sz w:val="16"/>
                <w:szCs w:val="16"/>
                <w:lang w:eastAsia="zh-CN"/>
              </w:rPr>
              <w:t>95-e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622C845" w14:textId="14C9F5A7" w:rsidR="00D5274C" w:rsidRDefault="00D5274C" w:rsidP="00BC0321">
            <w:pPr>
              <w:pStyle w:val="TAL"/>
              <w:rPr>
                <w:sz w:val="16"/>
                <w:szCs w:val="16"/>
                <w:lang w:eastAsia="zh-CN"/>
              </w:rPr>
            </w:pPr>
            <w:r>
              <w:rPr>
                <w:sz w:val="16"/>
                <w:szCs w:val="16"/>
                <w:lang w:eastAsia="zh-CN"/>
              </w:rPr>
              <w:t>RP-220250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F69AC52" w14:textId="7E036440" w:rsidR="00D5274C" w:rsidRDefault="00D5274C" w:rsidP="00BC0321">
            <w:pPr>
              <w:pStyle w:val="TAL"/>
              <w:rPr>
                <w:sz w:val="16"/>
                <w:szCs w:val="16"/>
              </w:rPr>
            </w:pPr>
            <w:r>
              <w:rPr>
                <w:sz w:val="16"/>
                <w:szCs w:val="16"/>
              </w:rPr>
              <w:t>0297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404BAE8" w14:textId="77777777" w:rsidR="00D5274C" w:rsidRDefault="00D5274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483062A" w14:textId="77777777" w:rsidR="00D5274C" w:rsidRDefault="00D5274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1902F5C" w14:textId="02640BE6" w:rsidR="00D5274C" w:rsidRPr="005D126D" w:rsidRDefault="00D5274C" w:rsidP="00BC0321">
            <w:pPr>
              <w:spacing w:after="0"/>
              <w:rPr>
                <w:rFonts w:ascii="Arial" w:hAnsi="Arial"/>
                <w:sz w:val="16"/>
              </w:rPr>
            </w:pPr>
            <w:r w:rsidRPr="00D5274C">
              <w:rPr>
                <w:rFonts w:ascii="Arial" w:hAnsi="Arial"/>
                <w:sz w:val="16"/>
              </w:rPr>
              <w:t>Corrections on further enhancements on MIMO for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3759572" w14:textId="77777777" w:rsidR="00D5274C" w:rsidRDefault="00D5274C" w:rsidP="00BC0321">
            <w:pPr>
              <w:pStyle w:val="TAL"/>
              <w:rPr>
                <w:sz w:val="16"/>
                <w:szCs w:val="16"/>
                <w:lang w:eastAsia="zh-CN"/>
              </w:rPr>
            </w:pPr>
            <w:r>
              <w:rPr>
                <w:sz w:val="16"/>
                <w:szCs w:val="16"/>
                <w:lang w:eastAsia="zh-CN"/>
              </w:rPr>
              <w:t>17.1.0</w:t>
            </w:r>
          </w:p>
        </w:tc>
      </w:tr>
      <w:tr w:rsidR="00D54F38" w:rsidRPr="00B916EC" w14:paraId="4BA75696" w14:textId="77777777" w:rsidTr="00D54F38">
        <w:tc>
          <w:tcPr>
            <w:tcW w:w="894" w:type="dxa"/>
            <w:tcBorders>
              <w:top w:val="single" w:sz="6" w:space="0" w:color="auto"/>
              <w:left w:val="single" w:sz="6" w:space="0" w:color="auto"/>
              <w:bottom w:val="single" w:sz="6" w:space="0" w:color="auto"/>
              <w:right w:val="single" w:sz="6" w:space="0" w:color="auto"/>
            </w:tcBorders>
            <w:shd w:val="solid" w:color="FFFFFF" w:fill="auto"/>
          </w:tcPr>
          <w:p w14:paraId="67B916D8" w14:textId="77777777" w:rsidR="00D54F38" w:rsidRPr="00B916EC" w:rsidRDefault="00D54F38"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2AE4A17" w14:textId="77777777" w:rsidR="00D54F38" w:rsidRPr="00B916EC" w:rsidRDefault="00D54F38" w:rsidP="00BC0321">
            <w:pPr>
              <w:pStyle w:val="TAL"/>
              <w:rPr>
                <w:sz w:val="16"/>
                <w:szCs w:val="16"/>
                <w:lang w:eastAsia="zh-CN"/>
              </w:rPr>
            </w:pPr>
            <w:r w:rsidRPr="00B916EC">
              <w:rPr>
                <w:sz w:val="16"/>
                <w:szCs w:val="16"/>
                <w:lang w:eastAsia="zh-CN"/>
              </w:rPr>
              <w:t>RAN#</w:t>
            </w:r>
            <w:r>
              <w:rPr>
                <w:sz w:val="16"/>
                <w:szCs w:val="16"/>
                <w:lang w:eastAsia="zh-CN"/>
              </w:rPr>
              <w:t>95-e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EB123CC" w14:textId="77777777" w:rsidR="00D54F38" w:rsidRDefault="00D54F38" w:rsidP="00BC0321">
            <w:pPr>
              <w:pStyle w:val="TAL"/>
              <w:rPr>
                <w:sz w:val="16"/>
                <w:szCs w:val="16"/>
                <w:lang w:eastAsia="zh-CN"/>
              </w:rPr>
            </w:pPr>
            <w:r>
              <w:rPr>
                <w:sz w:val="16"/>
                <w:szCs w:val="16"/>
                <w:lang w:eastAsia="zh-CN"/>
              </w:rPr>
              <w:t>RP-220271</w:t>
            </w:r>
          </w:p>
          <w:p w14:paraId="335D243B" w14:textId="5020357F" w:rsidR="00D54F38" w:rsidRDefault="00D54F38" w:rsidP="00BC0321">
            <w:pPr>
              <w:pStyle w:val="TAL"/>
              <w:rPr>
                <w:sz w:val="16"/>
                <w:szCs w:val="16"/>
                <w:lang w:eastAsia="zh-CN"/>
              </w:rPr>
            </w:pP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743B70A" w14:textId="267C7862" w:rsidR="00D54F38" w:rsidRDefault="00D54F38" w:rsidP="00BC0321">
            <w:pPr>
              <w:pStyle w:val="TAL"/>
              <w:rPr>
                <w:sz w:val="16"/>
                <w:szCs w:val="16"/>
              </w:rPr>
            </w:pPr>
            <w:r>
              <w:rPr>
                <w:sz w:val="16"/>
                <w:szCs w:val="16"/>
              </w:rPr>
              <w:t>0298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BD1B8AD" w14:textId="77777777" w:rsidR="00D54F38" w:rsidRDefault="00D54F38"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7A6879C" w14:textId="7D24E810" w:rsidR="00D54F38" w:rsidRDefault="00D54F38" w:rsidP="00BC0321">
            <w:pPr>
              <w:pStyle w:val="TAL"/>
              <w:rPr>
                <w:sz w:val="16"/>
              </w:rPr>
            </w:pPr>
            <w:r>
              <w:rPr>
                <w:sz w:val="16"/>
              </w:rPr>
              <w:t>C</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AAD3F71" w14:textId="7D3B964E" w:rsidR="00D54F38" w:rsidRPr="005D126D" w:rsidRDefault="00D54F38" w:rsidP="00BC0321">
            <w:pPr>
              <w:spacing w:after="0"/>
              <w:rPr>
                <w:rFonts w:ascii="Arial" w:hAnsi="Arial"/>
                <w:sz w:val="16"/>
              </w:rPr>
            </w:pPr>
            <w:r w:rsidRPr="00D54F38">
              <w:rPr>
                <w:rFonts w:ascii="Arial" w:hAnsi="Arial"/>
                <w:sz w:val="16"/>
              </w:rPr>
              <w:t>Introduction of carrier BW smaller than 40 MHz for n79</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367AEBC" w14:textId="77777777" w:rsidR="00D54F38" w:rsidRDefault="00D54F38" w:rsidP="00BC0321">
            <w:pPr>
              <w:pStyle w:val="TAL"/>
              <w:rPr>
                <w:sz w:val="16"/>
                <w:szCs w:val="16"/>
                <w:lang w:eastAsia="zh-CN"/>
              </w:rPr>
            </w:pPr>
            <w:r>
              <w:rPr>
                <w:sz w:val="16"/>
                <w:szCs w:val="16"/>
                <w:lang w:eastAsia="zh-CN"/>
              </w:rPr>
              <w:t>17.1.0</w:t>
            </w:r>
          </w:p>
        </w:tc>
      </w:tr>
      <w:tr w:rsidR="00D54F38" w:rsidRPr="00B916EC" w14:paraId="079A85DA" w14:textId="77777777" w:rsidTr="00D54F38">
        <w:tc>
          <w:tcPr>
            <w:tcW w:w="894" w:type="dxa"/>
            <w:tcBorders>
              <w:top w:val="single" w:sz="6" w:space="0" w:color="auto"/>
              <w:left w:val="single" w:sz="6" w:space="0" w:color="auto"/>
              <w:bottom w:val="single" w:sz="6" w:space="0" w:color="auto"/>
              <w:right w:val="single" w:sz="6" w:space="0" w:color="auto"/>
            </w:tcBorders>
            <w:shd w:val="solid" w:color="FFFFFF" w:fill="auto"/>
          </w:tcPr>
          <w:p w14:paraId="67FBF2AD" w14:textId="77777777" w:rsidR="00D54F38" w:rsidRPr="00B916EC" w:rsidRDefault="00D54F38"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799BC60" w14:textId="77777777" w:rsidR="00D54F38" w:rsidRPr="00B916EC" w:rsidRDefault="00D54F38" w:rsidP="00BC0321">
            <w:pPr>
              <w:pStyle w:val="TAL"/>
              <w:rPr>
                <w:sz w:val="16"/>
                <w:szCs w:val="16"/>
                <w:lang w:eastAsia="zh-CN"/>
              </w:rPr>
            </w:pPr>
            <w:r w:rsidRPr="00B916EC">
              <w:rPr>
                <w:sz w:val="16"/>
                <w:szCs w:val="16"/>
                <w:lang w:eastAsia="zh-CN"/>
              </w:rPr>
              <w:t>RAN#</w:t>
            </w:r>
            <w:r>
              <w:rPr>
                <w:sz w:val="16"/>
                <w:szCs w:val="16"/>
                <w:lang w:eastAsia="zh-CN"/>
              </w:rPr>
              <w:t>95-e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FDC8D6F" w14:textId="61F8C9EA" w:rsidR="00D54F38" w:rsidRDefault="00D54F38" w:rsidP="00BC0321">
            <w:pPr>
              <w:pStyle w:val="TAL"/>
              <w:rPr>
                <w:sz w:val="16"/>
                <w:szCs w:val="16"/>
                <w:lang w:eastAsia="zh-CN"/>
              </w:rPr>
            </w:pPr>
            <w:r>
              <w:rPr>
                <w:sz w:val="16"/>
                <w:szCs w:val="16"/>
                <w:lang w:eastAsia="zh-CN"/>
              </w:rPr>
              <w:t>RP-220264</w:t>
            </w:r>
          </w:p>
          <w:p w14:paraId="7B2ABE00" w14:textId="77777777" w:rsidR="00D54F38" w:rsidRDefault="00D54F38" w:rsidP="00BC0321">
            <w:pPr>
              <w:pStyle w:val="TAL"/>
              <w:rPr>
                <w:sz w:val="16"/>
                <w:szCs w:val="16"/>
                <w:lang w:eastAsia="zh-CN"/>
              </w:rPr>
            </w:pP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1C80EBF" w14:textId="3C939549" w:rsidR="00D54F38" w:rsidRDefault="00D54F38" w:rsidP="00BC0321">
            <w:pPr>
              <w:pStyle w:val="TAL"/>
              <w:rPr>
                <w:sz w:val="16"/>
                <w:szCs w:val="16"/>
              </w:rPr>
            </w:pPr>
            <w:r>
              <w:rPr>
                <w:sz w:val="16"/>
                <w:szCs w:val="16"/>
              </w:rPr>
              <w:t>0299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2EA7BE4" w14:textId="77777777" w:rsidR="00D54F38" w:rsidRDefault="00D54F38"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89FD71B" w14:textId="77777777" w:rsidR="00D54F38" w:rsidRDefault="00D54F38"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70C1BA0" w14:textId="059091C7" w:rsidR="00D54F38" w:rsidRPr="005D126D" w:rsidRDefault="00D54F38" w:rsidP="00BC0321">
            <w:pPr>
              <w:spacing w:after="0"/>
              <w:rPr>
                <w:rFonts w:ascii="Arial" w:hAnsi="Arial"/>
                <w:sz w:val="16"/>
              </w:rPr>
            </w:pPr>
            <w:r w:rsidRPr="00D54F38">
              <w:rPr>
                <w:rFonts w:ascii="Arial" w:hAnsi="Arial"/>
                <w:sz w:val="16"/>
              </w:rPr>
              <w:t>Corrections on dynamic spectrum sharing enhancements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68C836B" w14:textId="77777777" w:rsidR="00D54F38" w:rsidRDefault="00D54F38" w:rsidP="00BC0321">
            <w:pPr>
              <w:pStyle w:val="TAL"/>
              <w:rPr>
                <w:sz w:val="16"/>
                <w:szCs w:val="16"/>
                <w:lang w:eastAsia="zh-CN"/>
              </w:rPr>
            </w:pPr>
            <w:r>
              <w:rPr>
                <w:sz w:val="16"/>
                <w:szCs w:val="16"/>
                <w:lang w:eastAsia="zh-CN"/>
              </w:rPr>
              <w:t>17.1.0</w:t>
            </w:r>
          </w:p>
        </w:tc>
      </w:tr>
      <w:tr w:rsidR="004946FC" w:rsidRPr="00B916EC" w14:paraId="20FC4501" w14:textId="77777777" w:rsidTr="004946FC">
        <w:tc>
          <w:tcPr>
            <w:tcW w:w="894" w:type="dxa"/>
            <w:tcBorders>
              <w:top w:val="single" w:sz="6" w:space="0" w:color="auto"/>
              <w:left w:val="single" w:sz="6" w:space="0" w:color="auto"/>
              <w:bottom w:val="single" w:sz="6" w:space="0" w:color="auto"/>
              <w:right w:val="single" w:sz="6" w:space="0" w:color="auto"/>
            </w:tcBorders>
            <w:shd w:val="solid" w:color="FFFFFF" w:fill="auto"/>
          </w:tcPr>
          <w:p w14:paraId="33444777" w14:textId="77777777" w:rsidR="004946FC" w:rsidRPr="00B916EC" w:rsidRDefault="004946FC"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D765F9E" w14:textId="77777777" w:rsidR="004946FC" w:rsidRPr="00B916EC" w:rsidRDefault="004946FC" w:rsidP="00BC0321">
            <w:pPr>
              <w:pStyle w:val="TAL"/>
              <w:rPr>
                <w:sz w:val="16"/>
                <w:szCs w:val="16"/>
                <w:lang w:eastAsia="zh-CN"/>
              </w:rPr>
            </w:pPr>
            <w:r w:rsidRPr="00B916EC">
              <w:rPr>
                <w:sz w:val="16"/>
                <w:szCs w:val="16"/>
                <w:lang w:eastAsia="zh-CN"/>
              </w:rPr>
              <w:t>RAN#</w:t>
            </w:r>
            <w:r>
              <w:rPr>
                <w:sz w:val="16"/>
                <w:szCs w:val="16"/>
                <w:lang w:eastAsia="zh-CN"/>
              </w:rPr>
              <w:t>95-e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13F23DD" w14:textId="0ADB2481" w:rsidR="004946FC" w:rsidRDefault="004946FC" w:rsidP="00BC0321">
            <w:pPr>
              <w:pStyle w:val="TAL"/>
              <w:rPr>
                <w:sz w:val="16"/>
                <w:szCs w:val="16"/>
                <w:lang w:eastAsia="zh-CN"/>
              </w:rPr>
            </w:pPr>
            <w:r>
              <w:rPr>
                <w:sz w:val="16"/>
                <w:szCs w:val="16"/>
                <w:lang w:eastAsia="zh-CN"/>
              </w:rPr>
              <w:t>RP-220253</w:t>
            </w:r>
          </w:p>
          <w:p w14:paraId="0E4FAB9B" w14:textId="77777777" w:rsidR="004946FC" w:rsidRDefault="004946FC" w:rsidP="00BC0321">
            <w:pPr>
              <w:pStyle w:val="TAL"/>
              <w:rPr>
                <w:sz w:val="16"/>
                <w:szCs w:val="16"/>
                <w:lang w:eastAsia="zh-CN"/>
              </w:rPr>
            </w:pP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1771661" w14:textId="30A5BC2C" w:rsidR="004946FC" w:rsidRDefault="004946FC" w:rsidP="00BC0321">
            <w:pPr>
              <w:pStyle w:val="TAL"/>
              <w:rPr>
                <w:sz w:val="16"/>
                <w:szCs w:val="16"/>
              </w:rPr>
            </w:pPr>
            <w:r>
              <w:rPr>
                <w:sz w:val="16"/>
                <w:szCs w:val="16"/>
              </w:rPr>
              <w:t>0300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0A23C23" w14:textId="77777777" w:rsidR="004946FC" w:rsidRDefault="004946F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AE9EDB3" w14:textId="77777777" w:rsidR="004946FC" w:rsidRDefault="004946F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B509D8F" w14:textId="606044E1" w:rsidR="004946FC" w:rsidRPr="005D126D" w:rsidRDefault="004946FC" w:rsidP="00BC0321">
            <w:pPr>
              <w:spacing w:after="0"/>
              <w:rPr>
                <w:rFonts w:ascii="Arial" w:hAnsi="Arial"/>
                <w:sz w:val="16"/>
              </w:rPr>
            </w:pPr>
            <w:r w:rsidRPr="004946FC">
              <w:rPr>
                <w:rFonts w:ascii="Arial" w:hAnsi="Arial"/>
                <w:sz w:val="16"/>
              </w:rPr>
              <w:t>Corrections on non-terrestrial network operation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EB92CE5" w14:textId="77777777" w:rsidR="004946FC" w:rsidRDefault="004946FC" w:rsidP="00BC0321">
            <w:pPr>
              <w:pStyle w:val="TAL"/>
              <w:rPr>
                <w:sz w:val="16"/>
                <w:szCs w:val="16"/>
                <w:lang w:eastAsia="zh-CN"/>
              </w:rPr>
            </w:pPr>
            <w:r>
              <w:rPr>
                <w:sz w:val="16"/>
                <w:szCs w:val="16"/>
                <w:lang w:eastAsia="zh-CN"/>
              </w:rPr>
              <w:t>17.1.0</w:t>
            </w:r>
          </w:p>
        </w:tc>
      </w:tr>
      <w:tr w:rsidR="007E56E4" w:rsidRPr="00B916EC" w14:paraId="50CEA673" w14:textId="77777777" w:rsidTr="007E56E4">
        <w:tc>
          <w:tcPr>
            <w:tcW w:w="894" w:type="dxa"/>
            <w:tcBorders>
              <w:top w:val="single" w:sz="6" w:space="0" w:color="auto"/>
              <w:left w:val="single" w:sz="6" w:space="0" w:color="auto"/>
              <w:bottom w:val="single" w:sz="6" w:space="0" w:color="auto"/>
              <w:right w:val="single" w:sz="6" w:space="0" w:color="auto"/>
            </w:tcBorders>
            <w:shd w:val="solid" w:color="FFFFFF" w:fill="auto"/>
          </w:tcPr>
          <w:p w14:paraId="539D6E01" w14:textId="77777777" w:rsidR="007E56E4" w:rsidRPr="00B916EC" w:rsidRDefault="007E56E4"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9920B2E" w14:textId="77777777" w:rsidR="007E56E4" w:rsidRPr="00B916EC" w:rsidRDefault="007E56E4" w:rsidP="00BC0321">
            <w:pPr>
              <w:pStyle w:val="TAL"/>
              <w:rPr>
                <w:sz w:val="16"/>
                <w:szCs w:val="16"/>
                <w:lang w:eastAsia="zh-CN"/>
              </w:rPr>
            </w:pPr>
            <w:r w:rsidRPr="00B916EC">
              <w:rPr>
                <w:sz w:val="16"/>
                <w:szCs w:val="16"/>
                <w:lang w:eastAsia="zh-CN"/>
              </w:rPr>
              <w:t>RAN#</w:t>
            </w:r>
            <w:r>
              <w:rPr>
                <w:sz w:val="16"/>
                <w:szCs w:val="16"/>
                <w:lang w:eastAsia="zh-CN"/>
              </w:rPr>
              <w:t>95-e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2C3D65A" w14:textId="7674357A" w:rsidR="007E56E4" w:rsidRDefault="007E56E4" w:rsidP="00BC0321">
            <w:pPr>
              <w:pStyle w:val="TAL"/>
              <w:rPr>
                <w:sz w:val="16"/>
                <w:szCs w:val="16"/>
                <w:lang w:eastAsia="zh-CN"/>
              </w:rPr>
            </w:pPr>
            <w:r>
              <w:rPr>
                <w:sz w:val="16"/>
                <w:szCs w:val="16"/>
                <w:lang w:eastAsia="zh-CN"/>
              </w:rPr>
              <w:t>RP-220254</w:t>
            </w:r>
          </w:p>
          <w:p w14:paraId="3E031117" w14:textId="77777777" w:rsidR="007E56E4" w:rsidRDefault="007E56E4" w:rsidP="00BC0321">
            <w:pPr>
              <w:pStyle w:val="TAL"/>
              <w:rPr>
                <w:sz w:val="16"/>
                <w:szCs w:val="16"/>
                <w:lang w:eastAsia="zh-CN"/>
              </w:rPr>
            </w:pP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6B36365" w14:textId="45D0DA01" w:rsidR="007E56E4" w:rsidRDefault="007E56E4" w:rsidP="00BC0321">
            <w:pPr>
              <w:pStyle w:val="TAL"/>
              <w:rPr>
                <w:sz w:val="16"/>
                <w:szCs w:val="16"/>
              </w:rPr>
            </w:pPr>
            <w:r>
              <w:rPr>
                <w:sz w:val="16"/>
                <w:szCs w:val="16"/>
              </w:rPr>
              <w:t>0301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AF8CA77" w14:textId="77777777" w:rsidR="007E56E4" w:rsidRDefault="007E56E4"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57C40F3" w14:textId="77777777" w:rsidR="007E56E4" w:rsidRDefault="007E56E4"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AD47EB8" w14:textId="66969EE6" w:rsidR="007E56E4" w:rsidRPr="005D126D" w:rsidRDefault="007E56E4" w:rsidP="00BC0321">
            <w:pPr>
              <w:spacing w:after="0"/>
              <w:rPr>
                <w:rFonts w:ascii="Arial" w:hAnsi="Arial"/>
                <w:sz w:val="16"/>
              </w:rPr>
            </w:pPr>
            <w:r w:rsidRPr="007E56E4">
              <w:rPr>
                <w:rFonts w:ascii="Arial" w:hAnsi="Arial"/>
                <w:sz w:val="16"/>
              </w:rPr>
              <w:t>Corrections on positioning enhancements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50E4DE2" w14:textId="77777777" w:rsidR="007E56E4" w:rsidRDefault="007E56E4" w:rsidP="00BC0321">
            <w:pPr>
              <w:pStyle w:val="TAL"/>
              <w:rPr>
                <w:sz w:val="16"/>
                <w:szCs w:val="16"/>
                <w:lang w:eastAsia="zh-CN"/>
              </w:rPr>
            </w:pPr>
            <w:r>
              <w:rPr>
                <w:sz w:val="16"/>
                <w:szCs w:val="16"/>
                <w:lang w:eastAsia="zh-CN"/>
              </w:rPr>
              <w:t>17.1.0</w:t>
            </w:r>
          </w:p>
        </w:tc>
      </w:tr>
      <w:tr w:rsidR="007E56E4" w:rsidRPr="00B916EC" w14:paraId="5B205E27" w14:textId="77777777" w:rsidTr="007E56E4">
        <w:tc>
          <w:tcPr>
            <w:tcW w:w="894" w:type="dxa"/>
            <w:tcBorders>
              <w:top w:val="single" w:sz="6" w:space="0" w:color="auto"/>
              <w:left w:val="single" w:sz="6" w:space="0" w:color="auto"/>
              <w:bottom w:val="single" w:sz="6" w:space="0" w:color="auto"/>
              <w:right w:val="single" w:sz="6" w:space="0" w:color="auto"/>
            </w:tcBorders>
            <w:shd w:val="solid" w:color="FFFFFF" w:fill="auto"/>
          </w:tcPr>
          <w:p w14:paraId="51A27CD0" w14:textId="77777777" w:rsidR="007E56E4" w:rsidRPr="00B916EC" w:rsidRDefault="007E56E4"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19B1C90" w14:textId="77777777" w:rsidR="007E56E4" w:rsidRPr="00B916EC" w:rsidRDefault="007E56E4" w:rsidP="00BC0321">
            <w:pPr>
              <w:pStyle w:val="TAL"/>
              <w:rPr>
                <w:sz w:val="16"/>
                <w:szCs w:val="16"/>
                <w:lang w:eastAsia="zh-CN"/>
              </w:rPr>
            </w:pPr>
            <w:r w:rsidRPr="00B916EC">
              <w:rPr>
                <w:sz w:val="16"/>
                <w:szCs w:val="16"/>
                <w:lang w:eastAsia="zh-CN"/>
              </w:rPr>
              <w:t>RAN#</w:t>
            </w:r>
            <w:r>
              <w:rPr>
                <w:sz w:val="16"/>
                <w:szCs w:val="16"/>
                <w:lang w:eastAsia="zh-CN"/>
              </w:rPr>
              <w:t>95-e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6A3BAD3" w14:textId="2D37133B" w:rsidR="007E56E4" w:rsidRDefault="007E56E4" w:rsidP="00BC0321">
            <w:pPr>
              <w:pStyle w:val="TAL"/>
              <w:rPr>
                <w:sz w:val="16"/>
                <w:szCs w:val="16"/>
                <w:lang w:eastAsia="zh-CN"/>
              </w:rPr>
            </w:pPr>
            <w:r>
              <w:rPr>
                <w:sz w:val="16"/>
                <w:szCs w:val="16"/>
                <w:lang w:eastAsia="zh-CN"/>
              </w:rPr>
              <w:t>RP-220255</w:t>
            </w:r>
          </w:p>
          <w:p w14:paraId="2242E375" w14:textId="77777777" w:rsidR="007E56E4" w:rsidRDefault="007E56E4" w:rsidP="00BC0321">
            <w:pPr>
              <w:pStyle w:val="TAL"/>
              <w:rPr>
                <w:sz w:val="16"/>
                <w:szCs w:val="16"/>
                <w:lang w:eastAsia="zh-CN"/>
              </w:rPr>
            </w:pP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B1CB8D2" w14:textId="0726F845" w:rsidR="007E56E4" w:rsidRDefault="007E56E4" w:rsidP="00BC0321">
            <w:pPr>
              <w:pStyle w:val="TAL"/>
              <w:rPr>
                <w:sz w:val="16"/>
                <w:szCs w:val="16"/>
              </w:rPr>
            </w:pPr>
            <w:r>
              <w:rPr>
                <w:sz w:val="16"/>
                <w:szCs w:val="16"/>
              </w:rPr>
              <w:t>0302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7EB4EC5" w14:textId="77777777" w:rsidR="007E56E4" w:rsidRDefault="007E56E4"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939A66C" w14:textId="77777777" w:rsidR="007E56E4" w:rsidRDefault="007E56E4"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3B24251" w14:textId="57F35D58" w:rsidR="007E56E4" w:rsidRPr="005D126D" w:rsidRDefault="007E56E4" w:rsidP="00BC0321">
            <w:pPr>
              <w:spacing w:after="0"/>
              <w:rPr>
                <w:rFonts w:ascii="Arial" w:hAnsi="Arial"/>
                <w:sz w:val="16"/>
              </w:rPr>
            </w:pPr>
            <w:r w:rsidRPr="007E56E4">
              <w:rPr>
                <w:rFonts w:ascii="Arial" w:hAnsi="Arial"/>
                <w:sz w:val="16"/>
              </w:rPr>
              <w:t>Corrections on the introduction of UEs with reduced capabilities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8A70966" w14:textId="77777777" w:rsidR="007E56E4" w:rsidRDefault="007E56E4" w:rsidP="00BC0321">
            <w:pPr>
              <w:pStyle w:val="TAL"/>
              <w:rPr>
                <w:sz w:val="16"/>
                <w:szCs w:val="16"/>
                <w:lang w:eastAsia="zh-CN"/>
              </w:rPr>
            </w:pPr>
            <w:r>
              <w:rPr>
                <w:sz w:val="16"/>
                <w:szCs w:val="16"/>
                <w:lang w:eastAsia="zh-CN"/>
              </w:rPr>
              <w:t>17.1.0</w:t>
            </w:r>
          </w:p>
        </w:tc>
      </w:tr>
      <w:tr w:rsidR="00DF3985" w:rsidRPr="00B916EC" w14:paraId="6F8E9C6B" w14:textId="77777777" w:rsidTr="00DF3985">
        <w:tc>
          <w:tcPr>
            <w:tcW w:w="894" w:type="dxa"/>
            <w:tcBorders>
              <w:top w:val="single" w:sz="6" w:space="0" w:color="auto"/>
              <w:left w:val="single" w:sz="6" w:space="0" w:color="auto"/>
              <w:bottom w:val="single" w:sz="6" w:space="0" w:color="auto"/>
              <w:right w:val="single" w:sz="6" w:space="0" w:color="auto"/>
            </w:tcBorders>
            <w:shd w:val="solid" w:color="FFFFFF" w:fill="auto"/>
          </w:tcPr>
          <w:p w14:paraId="404AF42C" w14:textId="77777777" w:rsidR="00DF3985" w:rsidRPr="00B916EC" w:rsidRDefault="00DF3985"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686196C" w14:textId="77777777" w:rsidR="00DF3985" w:rsidRPr="00B916EC" w:rsidRDefault="00DF3985" w:rsidP="00BC0321">
            <w:pPr>
              <w:pStyle w:val="TAL"/>
              <w:rPr>
                <w:sz w:val="16"/>
                <w:szCs w:val="16"/>
                <w:lang w:eastAsia="zh-CN"/>
              </w:rPr>
            </w:pPr>
            <w:r w:rsidRPr="00B916EC">
              <w:rPr>
                <w:sz w:val="16"/>
                <w:szCs w:val="16"/>
                <w:lang w:eastAsia="zh-CN"/>
              </w:rPr>
              <w:t>RAN#</w:t>
            </w:r>
            <w:r>
              <w:rPr>
                <w:sz w:val="16"/>
                <w:szCs w:val="16"/>
                <w:lang w:eastAsia="zh-CN"/>
              </w:rPr>
              <w:t>95-e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18A0B1E" w14:textId="323EB4E3" w:rsidR="00DF3985" w:rsidRDefault="00DF3985" w:rsidP="00BC0321">
            <w:pPr>
              <w:pStyle w:val="TAL"/>
              <w:rPr>
                <w:sz w:val="16"/>
                <w:szCs w:val="16"/>
                <w:lang w:eastAsia="zh-CN"/>
              </w:rPr>
            </w:pPr>
            <w:r>
              <w:rPr>
                <w:sz w:val="16"/>
                <w:szCs w:val="16"/>
                <w:lang w:eastAsia="zh-CN"/>
              </w:rPr>
              <w:t>RP-220270</w:t>
            </w:r>
          </w:p>
          <w:p w14:paraId="17D9514C" w14:textId="77777777" w:rsidR="00DF3985" w:rsidRDefault="00DF3985" w:rsidP="00BC0321">
            <w:pPr>
              <w:pStyle w:val="TAL"/>
              <w:rPr>
                <w:sz w:val="16"/>
                <w:szCs w:val="16"/>
                <w:lang w:eastAsia="zh-CN"/>
              </w:rPr>
            </w:pP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7108A75" w14:textId="50EF619C" w:rsidR="00DF3985" w:rsidRDefault="00DF3985" w:rsidP="00BC0321">
            <w:pPr>
              <w:pStyle w:val="TAL"/>
              <w:rPr>
                <w:sz w:val="16"/>
                <w:szCs w:val="16"/>
              </w:rPr>
            </w:pPr>
            <w:r>
              <w:rPr>
                <w:sz w:val="16"/>
                <w:szCs w:val="16"/>
              </w:rPr>
              <w:t>0303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09C66AC" w14:textId="77777777" w:rsidR="00DF3985" w:rsidRDefault="00DF3985"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B1BA8DB" w14:textId="77777777" w:rsidR="00DF3985" w:rsidRDefault="00DF3985"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F29A143" w14:textId="5B218D75" w:rsidR="00DF3985" w:rsidRPr="005D126D" w:rsidRDefault="00DF3985" w:rsidP="00BC0321">
            <w:pPr>
              <w:spacing w:after="0"/>
              <w:rPr>
                <w:rFonts w:ascii="Arial" w:hAnsi="Arial"/>
                <w:sz w:val="16"/>
              </w:rPr>
            </w:pPr>
            <w:r w:rsidRPr="00DF3985">
              <w:rPr>
                <w:rFonts w:ascii="Arial" w:hAnsi="Arial"/>
                <w:sz w:val="16"/>
              </w:rPr>
              <w:t>Corrections on small data transmission in RRC_INACTIVE state for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1C8106" w14:textId="77777777" w:rsidR="00DF3985" w:rsidRDefault="00DF3985" w:rsidP="00BC0321">
            <w:pPr>
              <w:pStyle w:val="TAL"/>
              <w:rPr>
                <w:sz w:val="16"/>
                <w:szCs w:val="16"/>
                <w:lang w:eastAsia="zh-CN"/>
              </w:rPr>
            </w:pPr>
            <w:r>
              <w:rPr>
                <w:sz w:val="16"/>
                <w:szCs w:val="16"/>
                <w:lang w:eastAsia="zh-CN"/>
              </w:rPr>
              <w:t>17.1.0</w:t>
            </w:r>
          </w:p>
        </w:tc>
      </w:tr>
      <w:tr w:rsidR="005B636B" w:rsidRPr="00B916EC" w14:paraId="5433D738"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40405958" w14:textId="5E0FBFB7" w:rsidR="005B636B" w:rsidRPr="00B916EC" w:rsidRDefault="005B636B"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FB05EF4" w14:textId="1EF60B9E" w:rsidR="005B636B" w:rsidRPr="00B916EC" w:rsidRDefault="005B636B" w:rsidP="00BC0321">
            <w:pPr>
              <w:pStyle w:val="TAL"/>
              <w:rPr>
                <w:sz w:val="16"/>
                <w:szCs w:val="16"/>
                <w:lang w:eastAsia="zh-CN"/>
              </w:rPr>
            </w:pPr>
            <w:r w:rsidRPr="00B916EC">
              <w:rPr>
                <w:sz w:val="16"/>
                <w:szCs w:val="16"/>
                <w:lang w:eastAsia="zh-CN"/>
              </w:rPr>
              <w:t>RAN#</w:t>
            </w:r>
            <w:r>
              <w:rPr>
                <w:sz w:val="16"/>
                <w:szCs w:val="16"/>
                <w:lang w:eastAsia="zh-CN"/>
              </w:rPr>
              <w:t>96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14BA42E" w14:textId="273167A4" w:rsidR="005B636B" w:rsidRDefault="005B636B" w:rsidP="00BC0321">
            <w:pPr>
              <w:pStyle w:val="TAL"/>
              <w:rPr>
                <w:sz w:val="16"/>
                <w:szCs w:val="16"/>
                <w:lang w:eastAsia="zh-CN"/>
              </w:rPr>
            </w:pPr>
            <w:r>
              <w:rPr>
                <w:sz w:val="16"/>
                <w:szCs w:val="16"/>
                <w:lang w:eastAsia="zh-CN"/>
              </w:rPr>
              <w:t>RP-221619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DE66E0C" w14:textId="4BBE77C7" w:rsidR="005B636B" w:rsidRDefault="005B636B" w:rsidP="00BC0321">
            <w:pPr>
              <w:pStyle w:val="TAL"/>
              <w:rPr>
                <w:sz w:val="16"/>
                <w:szCs w:val="16"/>
              </w:rPr>
            </w:pPr>
            <w:r>
              <w:rPr>
                <w:sz w:val="16"/>
                <w:szCs w:val="16"/>
              </w:rPr>
              <w:t>0305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C18AD96" w14:textId="77777777" w:rsidR="005B636B" w:rsidRDefault="005B636B"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9C80446" w14:textId="631B96E3" w:rsidR="005B636B" w:rsidRDefault="005B636B"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958AE6B" w14:textId="012A818E" w:rsidR="005B636B" w:rsidRPr="005D126D" w:rsidRDefault="005B636B" w:rsidP="00BC0321">
            <w:pPr>
              <w:spacing w:after="0"/>
              <w:rPr>
                <w:rFonts w:ascii="Arial" w:hAnsi="Arial"/>
                <w:sz w:val="16"/>
              </w:rPr>
            </w:pPr>
            <w:r w:rsidRPr="005B636B">
              <w:rPr>
                <w:rFonts w:ascii="Arial" w:hAnsi="Arial"/>
                <w:sz w:val="16"/>
              </w:rPr>
              <w:t>Correction on Rel-16 SRS power control with 2-step RACH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A283987" w14:textId="36902FB5" w:rsidR="005B636B" w:rsidRDefault="005B636B" w:rsidP="00BC0321">
            <w:pPr>
              <w:pStyle w:val="TAL"/>
              <w:rPr>
                <w:sz w:val="16"/>
                <w:szCs w:val="16"/>
                <w:lang w:eastAsia="zh-CN"/>
              </w:rPr>
            </w:pPr>
            <w:r>
              <w:rPr>
                <w:sz w:val="16"/>
                <w:szCs w:val="16"/>
                <w:lang w:eastAsia="zh-CN"/>
              </w:rPr>
              <w:t>17.2.0</w:t>
            </w:r>
          </w:p>
        </w:tc>
      </w:tr>
      <w:tr w:rsidR="00B647AB" w:rsidRPr="00B916EC" w14:paraId="3A0C2640"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68A59A19" w14:textId="77777777" w:rsidR="00B647AB" w:rsidRPr="00B916EC" w:rsidRDefault="00B647AB"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415A96B" w14:textId="77777777" w:rsidR="00B647AB" w:rsidRPr="00B916EC" w:rsidRDefault="00B647AB" w:rsidP="00BC0321">
            <w:pPr>
              <w:pStyle w:val="TAL"/>
              <w:rPr>
                <w:sz w:val="16"/>
                <w:szCs w:val="16"/>
                <w:lang w:eastAsia="zh-CN"/>
              </w:rPr>
            </w:pPr>
            <w:r w:rsidRPr="00B916EC">
              <w:rPr>
                <w:sz w:val="16"/>
                <w:szCs w:val="16"/>
                <w:lang w:eastAsia="zh-CN"/>
              </w:rPr>
              <w:t>RAN#</w:t>
            </w:r>
            <w:r>
              <w:rPr>
                <w:sz w:val="16"/>
                <w:szCs w:val="16"/>
                <w:lang w:eastAsia="zh-CN"/>
              </w:rPr>
              <w:t>96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E113CC5" w14:textId="57FC864F" w:rsidR="00B647AB" w:rsidRDefault="00B647AB" w:rsidP="00BC0321">
            <w:pPr>
              <w:pStyle w:val="TAL"/>
              <w:rPr>
                <w:sz w:val="16"/>
                <w:szCs w:val="16"/>
                <w:lang w:eastAsia="zh-CN"/>
              </w:rPr>
            </w:pPr>
            <w:r>
              <w:rPr>
                <w:sz w:val="16"/>
                <w:szCs w:val="16"/>
                <w:lang w:eastAsia="zh-CN"/>
              </w:rPr>
              <w:t>RP-221</w:t>
            </w:r>
            <w:r w:rsidR="005544FE">
              <w:rPr>
                <w:sz w:val="16"/>
                <w:szCs w:val="16"/>
                <w:lang w:eastAsia="zh-CN"/>
              </w:rPr>
              <w:t>597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65535AC" w14:textId="1F01A804" w:rsidR="00B647AB" w:rsidRDefault="00B647AB" w:rsidP="00BC0321">
            <w:pPr>
              <w:pStyle w:val="TAL"/>
              <w:rPr>
                <w:sz w:val="16"/>
                <w:szCs w:val="16"/>
              </w:rPr>
            </w:pPr>
            <w:r>
              <w:rPr>
                <w:sz w:val="16"/>
                <w:szCs w:val="16"/>
              </w:rPr>
              <w:t>030</w:t>
            </w:r>
            <w:r w:rsidR="005544FE">
              <w:rPr>
                <w:sz w:val="16"/>
                <w:szCs w:val="16"/>
              </w:rPr>
              <w:t>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DF8D4BB" w14:textId="77777777" w:rsidR="00B647AB" w:rsidRDefault="00B647AB"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E06148D" w14:textId="77777777" w:rsidR="00B647AB" w:rsidRDefault="00B647AB"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A4F408F" w14:textId="11D8A1B6" w:rsidR="00B647AB" w:rsidRPr="005D126D" w:rsidRDefault="005544FE" w:rsidP="00BC0321">
            <w:pPr>
              <w:spacing w:after="0"/>
              <w:rPr>
                <w:rFonts w:ascii="Arial" w:hAnsi="Arial"/>
                <w:sz w:val="16"/>
              </w:rPr>
            </w:pPr>
            <w:r w:rsidRPr="005544FE">
              <w:rPr>
                <w:rFonts w:ascii="Arial" w:hAnsi="Arial"/>
                <w:sz w:val="16"/>
              </w:rPr>
              <w:t>CR on reporting sidelink HARQ-ACK on uplink for SL CG Type 2 PSSCH transmission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D6C97E6" w14:textId="77777777" w:rsidR="00B647AB" w:rsidRDefault="00B647AB" w:rsidP="00BC0321">
            <w:pPr>
              <w:pStyle w:val="TAL"/>
              <w:rPr>
                <w:sz w:val="16"/>
                <w:szCs w:val="16"/>
                <w:lang w:eastAsia="zh-CN"/>
              </w:rPr>
            </w:pPr>
            <w:r>
              <w:rPr>
                <w:sz w:val="16"/>
                <w:szCs w:val="16"/>
                <w:lang w:eastAsia="zh-CN"/>
              </w:rPr>
              <w:t>17.2.0</w:t>
            </w:r>
          </w:p>
        </w:tc>
      </w:tr>
      <w:tr w:rsidR="005D78E0" w:rsidRPr="00B916EC" w14:paraId="0F137723"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65B49EF2" w14:textId="77777777" w:rsidR="005D78E0" w:rsidRPr="00B916EC" w:rsidRDefault="005D78E0"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D4288EC" w14:textId="77777777" w:rsidR="005D78E0" w:rsidRPr="00B916EC" w:rsidRDefault="005D78E0" w:rsidP="00BC0321">
            <w:pPr>
              <w:pStyle w:val="TAL"/>
              <w:rPr>
                <w:sz w:val="16"/>
                <w:szCs w:val="16"/>
                <w:lang w:eastAsia="zh-CN"/>
              </w:rPr>
            </w:pPr>
            <w:r w:rsidRPr="00B916EC">
              <w:rPr>
                <w:sz w:val="16"/>
                <w:szCs w:val="16"/>
                <w:lang w:eastAsia="zh-CN"/>
              </w:rPr>
              <w:t>RAN#</w:t>
            </w:r>
            <w:r>
              <w:rPr>
                <w:sz w:val="16"/>
                <w:szCs w:val="16"/>
                <w:lang w:eastAsia="zh-CN"/>
              </w:rPr>
              <w:t>96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C8BABDC" w14:textId="54EE3EB5" w:rsidR="005D78E0" w:rsidRDefault="005D78E0" w:rsidP="00BC0321">
            <w:pPr>
              <w:pStyle w:val="TAL"/>
              <w:rPr>
                <w:sz w:val="16"/>
                <w:szCs w:val="16"/>
                <w:lang w:eastAsia="zh-CN"/>
              </w:rPr>
            </w:pPr>
            <w:r>
              <w:rPr>
                <w:sz w:val="16"/>
                <w:szCs w:val="16"/>
                <w:lang w:eastAsia="zh-CN"/>
              </w:rPr>
              <w:t>RP-221598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54D06DD" w14:textId="728E9B43" w:rsidR="005D78E0" w:rsidRDefault="005D78E0" w:rsidP="00BC0321">
            <w:pPr>
              <w:pStyle w:val="TAL"/>
              <w:rPr>
                <w:sz w:val="16"/>
                <w:szCs w:val="16"/>
              </w:rPr>
            </w:pPr>
            <w:r>
              <w:rPr>
                <w:sz w:val="16"/>
                <w:szCs w:val="16"/>
              </w:rPr>
              <w:t>0309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70D345D" w14:textId="77777777" w:rsidR="005D78E0" w:rsidRDefault="005D78E0"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09E92CD" w14:textId="77777777" w:rsidR="005D78E0" w:rsidRDefault="005D78E0"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E729319" w14:textId="307DB194" w:rsidR="005D78E0" w:rsidRPr="005D126D" w:rsidRDefault="005D78E0" w:rsidP="00BC0321">
            <w:pPr>
              <w:spacing w:after="0"/>
              <w:rPr>
                <w:rFonts w:ascii="Arial" w:hAnsi="Arial"/>
                <w:sz w:val="16"/>
              </w:rPr>
            </w:pPr>
            <w:r w:rsidRPr="005D78E0">
              <w:rPr>
                <w:rFonts w:ascii="Arial" w:hAnsi="Arial"/>
                <w:sz w:val="16"/>
              </w:rPr>
              <w:t>Correction on PDCCH reception with last symbol aligning with the first symbol of UL CI for Rel-17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C81EAA5" w14:textId="77777777" w:rsidR="005D78E0" w:rsidRDefault="005D78E0" w:rsidP="00BC0321">
            <w:pPr>
              <w:pStyle w:val="TAL"/>
              <w:rPr>
                <w:sz w:val="16"/>
                <w:szCs w:val="16"/>
                <w:lang w:eastAsia="zh-CN"/>
              </w:rPr>
            </w:pPr>
            <w:r>
              <w:rPr>
                <w:sz w:val="16"/>
                <w:szCs w:val="16"/>
                <w:lang w:eastAsia="zh-CN"/>
              </w:rPr>
              <w:t>17.2.0</w:t>
            </w:r>
          </w:p>
        </w:tc>
      </w:tr>
      <w:tr w:rsidR="005D78E0" w:rsidRPr="00B916EC" w14:paraId="25ABB631"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0F0F6A47" w14:textId="77777777" w:rsidR="005D78E0" w:rsidRPr="00B916EC" w:rsidRDefault="005D78E0"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D6CE1CF" w14:textId="77777777" w:rsidR="005D78E0" w:rsidRPr="00B916EC" w:rsidRDefault="005D78E0" w:rsidP="00BC0321">
            <w:pPr>
              <w:pStyle w:val="TAL"/>
              <w:rPr>
                <w:sz w:val="16"/>
                <w:szCs w:val="16"/>
                <w:lang w:eastAsia="zh-CN"/>
              </w:rPr>
            </w:pPr>
            <w:r w:rsidRPr="00B916EC">
              <w:rPr>
                <w:sz w:val="16"/>
                <w:szCs w:val="16"/>
                <w:lang w:eastAsia="zh-CN"/>
              </w:rPr>
              <w:t>RAN#</w:t>
            </w:r>
            <w:r>
              <w:rPr>
                <w:sz w:val="16"/>
                <w:szCs w:val="16"/>
                <w:lang w:eastAsia="zh-CN"/>
              </w:rPr>
              <w:t>96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51FAEFF" w14:textId="283F7520" w:rsidR="005D78E0" w:rsidRDefault="005D78E0" w:rsidP="00BC0321">
            <w:pPr>
              <w:pStyle w:val="TAL"/>
              <w:rPr>
                <w:sz w:val="16"/>
                <w:szCs w:val="16"/>
                <w:lang w:eastAsia="zh-CN"/>
              </w:rPr>
            </w:pPr>
            <w:r>
              <w:rPr>
                <w:sz w:val="16"/>
                <w:szCs w:val="16"/>
                <w:lang w:eastAsia="zh-CN"/>
              </w:rPr>
              <w:t>RP-221620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B893C96" w14:textId="2BA0A6D7" w:rsidR="005D78E0" w:rsidRDefault="005D78E0" w:rsidP="00BC0321">
            <w:pPr>
              <w:pStyle w:val="TAL"/>
              <w:rPr>
                <w:sz w:val="16"/>
                <w:szCs w:val="16"/>
              </w:rPr>
            </w:pPr>
            <w:r>
              <w:rPr>
                <w:sz w:val="16"/>
                <w:szCs w:val="16"/>
              </w:rPr>
              <w:t>0312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AE6190F" w14:textId="77777777" w:rsidR="005D78E0" w:rsidRDefault="005D78E0"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85C5B18" w14:textId="77777777" w:rsidR="005D78E0" w:rsidRDefault="005D78E0"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A1F914B" w14:textId="03A3D37B" w:rsidR="005D78E0" w:rsidRPr="005D126D" w:rsidRDefault="005D78E0" w:rsidP="00BC0321">
            <w:pPr>
              <w:spacing w:after="0"/>
              <w:rPr>
                <w:rFonts w:ascii="Arial" w:hAnsi="Arial"/>
                <w:sz w:val="16"/>
              </w:rPr>
            </w:pPr>
            <w:r w:rsidRPr="005D78E0">
              <w:rPr>
                <w:rFonts w:ascii="Arial" w:hAnsi="Arial"/>
                <w:sz w:val="16"/>
              </w:rPr>
              <w:t>Timeline requirement for retransmitting MSG1/MSGA</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815C176" w14:textId="77777777" w:rsidR="005D78E0" w:rsidRDefault="005D78E0" w:rsidP="00BC0321">
            <w:pPr>
              <w:pStyle w:val="TAL"/>
              <w:rPr>
                <w:sz w:val="16"/>
                <w:szCs w:val="16"/>
                <w:lang w:eastAsia="zh-CN"/>
              </w:rPr>
            </w:pPr>
            <w:r>
              <w:rPr>
                <w:sz w:val="16"/>
                <w:szCs w:val="16"/>
                <w:lang w:eastAsia="zh-CN"/>
              </w:rPr>
              <w:t>17.2.0</w:t>
            </w:r>
          </w:p>
        </w:tc>
      </w:tr>
      <w:tr w:rsidR="002E1664" w:rsidRPr="00B916EC" w14:paraId="7B959C90"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60377B86" w14:textId="77777777" w:rsidR="002E1664" w:rsidRPr="00B916EC" w:rsidRDefault="002E1664"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B8ABF50" w14:textId="77777777" w:rsidR="002E1664" w:rsidRPr="00B916EC" w:rsidRDefault="002E1664" w:rsidP="00BC0321">
            <w:pPr>
              <w:pStyle w:val="TAL"/>
              <w:rPr>
                <w:sz w:val="16"/>
                <w:szCs w:val="16"/>
                <w:lang w:eastAsia="zh-CN"/>
              </w:rPr>
            </w:pPr>
            <w:r w:rsidRPr="00B916EC">
              <w:rPr>
                <w:sz w:val="16"/>
                <w:szCs w:val="16"/>
                <w:lang w:eastAsia="zh-CN"/>
              </w:rPr>
              <w:t>RAN#</w:t>
            </w:r>
            <w:r>
              <w:rPr>
                <w:sz w:val="16"/>
                <w:szCs w:val="16"/>
                <w:lang w:eastAsia="zh-CN"/>
              </w:rPr>
              <w:t>96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4DA2EAA" w14:textId="6C8C5132" w:rsidR="002E1664" w:rsidRDefault="002E1664" w:rsidP="00BC0321">
            <w:pPr>
              <w:pStyle w:val="TAL"/>
              <w:rPr>
                <w:sz w:val="16"/>
                <w:szCs w:val="16"/>
                <w:lang w:eastAsia="zh-CN"/>
              </w:rPr>
            </w:pPr>
            <w:r>
              <w:rPr>
                <w:sz w:val="16"/>
                <w:szCs w:val="16"/>
                <w:lang w:eastAsia="zh-CN"/>
              </w:rPr>
              <w:t>RP-221597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13CF7FD" w14:textId="0E336E4C" w:rsidR="002E1664" w:rsidRDefault="002E1664" w:rsidP="00BC0321">
            <w:pPr>
              <w:pStyle w:val="TAL"/>
              <w:rPr>
                <w:sz w:val="16"/>
                <w:szCs w:val="16"/>
              </w:rPr>
            </w:pPr>
            <w:r>
              <w:rPr>
                <w:sz w:val="16"/>
                <w:szCs w:val="16"/>
              </w:rPr>
              <w:t>0314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B0282A4" w14:textId="77777777" w:rsidR="002E1664" w:rsidRDefault="002E1664"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A5AD6B3" w14:textId="77777777" w:rsidR="002E1664" w:rsidRDefault="002E1664"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9EB5416" w14:textId="61560893" w:rsidR="002E1664" w:rsidRPr="005D126D" w:rsidRDefault="002E1664" w:rsidP="00BC0321">
            <w:pPr>
              <w:spacing w:after="0"/>
              <w:rPr>
                <w:rFonts w:ascii="Arial" w:hAnsi="Arial"/>
                <w:sz w:val="16"/>
              </w:rPr>
            </w:pPr>
            <w:r w:rsidRPr="002E1664">
              <w:rPr>
                <w:rFonts w:ascii="Arial" w:hAnsi="Arial"/>
                <w:sz w:val="16"/>
              </w:rPr>
              <w:t>Correction on SL HARQ-ACK reporting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405BFA2" w14:textId="77777777" w:rsidR="002E1664" w:rsidRDefault="002E1664" w:rsidP="00BC0321">
            <w:pPr>
              <w:pStyle w:val="TAL"/>
              <w:rPr>
                <w:sz w:val="16"/>
                <w:szCs w:val="16"/>
                <w:lang w:eastAsia="zh-CN"/>
              </w:rPr>
            </w:pPr>
            <w:r>
              <w:rPr>
                <w:sz w:val="16"/>
                <w:szCs w:val="16"/>
                <w:lang w:eastAsia="zh-CN"/>
              </w:rPr>
              <w:t>17.2.0</w:t>
            </w:r>
          </w:p>
        </w:tc>
      </w:tr>
      <w:tr w:rsidR="002E1664" w:rsidRPr="00B916EC" w14:paraId="0C2B219D"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5D9D1DF1" w14:textId="77777777" w:rsidR="002E1664" w:rsidRPr="00B916EC" w:rsidRDefault="002E1664"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F928256" w14:textId="77777777" w:rsidR="002E1664" w:rsidRPr="00B916EC" w:rsidRDefault="002E1664" w:rsidP="00BC0321">
            <w:pPr>
              <w:pStyle w:val="TAL"/>
              <w:rPr>
                <w:sz w:val="16"/>
                <w:szCs w:val="16"/>
                <w:lang w:eastAsia="zh-CN"/>
              </w:rPr>
            </w:pPr>
            <w:r w:rsidRPr="00B916EC">
              <w:rPr>
                <w:sz w:val="16"/>
                <w:szCs w:val="16"/>
                <w:lang w:eastAsia="zh-CN"/>
              </w:rPr>
              <w:t>RAN#</w:t>
            </w:r>
            <w:r>
              <w:rPr>
                <w:sz w:val="16"/>
                <w:szCs w:val="16"/>
                <w:lang w:eastAsia="zh-CN"/>
              </w:rPr>
              <w:t>96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29F0AA3" w14:textId="22925AAB" w:rsidR="002E1664" w:rsidRDefault="002E1664" w:rsidP="00BC0321">
            <w:pPr>
              <w:pStyle w:val="TAL"/>
              <w:rPr>
                <w:sz w:val="16"/>
                <w:szCs w:val="16"/>
                <w:lang w:eastAsia="zh-CN"/>
              </w:rPr>
            </w:pPr>
            <w:r>
              <w:rPr>
                <w:sz w:val="16"/>
                <w:szCs w:val="16"/>
                <w:lang w:eastAsia="zh-CN"/>
              </w:rPr>
              <w:t>RP-221620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A67F08D" w14:textId="46F1DB20" w:rsidR="002E1664" w:rsidRDefault="002E1664" w:rsidP="00BC0321">
            <w:pPr>
              <w:pStyle w:val="TAL"/>
              <w:rPr>
                <w:sz w:val="16"/>
                <w:szCs w:val="16"/>
              </w:rPr>
            </w:pPr>
            <w:r>
              <w:rPr>
                <w:sz w:val="16"/>
                <w:szCs w:val="16"/>
              </w:rPr>
              <w:t>0317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08402D3" w14:textId="77777777" w:rsidR="002E1664" w:rsidRDefault="002E1664"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36D3BEE" w14:textId="77777777" w:rsidR="002E1664" w:rsidRDefault="002E1664"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0A10D27" w14:textId="48CE68BB" w:rsidR="002E1664" w:rsidRPr="005D126D" w:rsidRDefault="002E1664" w:rsidP="00BC0321">
            <w:pPr>
              <w:spacing w:after="0"/>
              <w:rPr>
                <w:rFonts w:ascii="Arial" w:hAnsi="Arial"/>
                <w:sz w:val="16"/>
              </w:rPr>
            </w:pPr>
            <w:r w:rsidRPr="002E1664">
              <w:rPr>
                <w:rFonts w:ascii="Arial" w:hAnsi="Arial"/>
                <w:sz w:val="16"/>
              </w:rPr>
              <w:t>Correction for HARQ-ACK multiplexing on PUSCH in the absence of PUCCH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825606" w14:textId="77777777" w:rsidR="002E1664" w:rsidRDefault="002E1664" w:rsidP="00BC0321">
            <w:pPr>
              <w:pStyle w:val="TAL"/>
              <w:rPr>
                <w:sz w:val="16"/>
                <w:szCs w:val="16"/>
                <w:lang w:eastAsia="zh-CN"/>
              </w:rPr>
            </w:pPr>
            <w:r>
              <w:rPr>
                <w:sz w:val="16"/>
                <w:szCs w:val="16"/>
                <w:lang w:eastAsia="zh-CN"/>
              </w:rPr>
              <w:t>17.2.0</w:t>
            </w:r>
          </w:p>
        </w:tc>
      </w:tr>
      <w:tr w:rsidR="006E5396" w:rsidRPr="00B916EC" w14:paraId="2A97DAC6"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54B35711" w14:textId="77777777" w:rsidR="006E5396" w:rsidRPr="00B916EC" w:rsidRDefault="006E5396"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F1FF71F" w14:textId="77777777" w:rsidR="006E5396" w:rsidRPr="00B916EC" w:rsidRDefault="006E5396" w:rsidP="00BC0321">
            <w:pPr>
              <w:pStyle w:val="TAL"/>
              <w:rPr>
                <w:sz w:val="16"/>
                <w:szCs w:val="16"/>
                <w:lang w:eastAsia="zh-CN"/>
              </w:rPr>
            </w:pPr>
            <w:r w:rsidRPr="00B916EC">
              <w:rPr>
                <w:sz w:val="16"/>
                <w:szCs w:val="16"/>
                <w:lang w:eastAsia="zh-CN"/>
              </w:rPr>
              <w:t>RAN#</w:t>
            </w:r>
            <w:r>
              <w:rPr>
                <w:sz w:val="16"/>
                <w:szCs w:val="16"/>
                <w:lang w:eastAsia="zh-CN"/>
              </w:rPr>
              <w:t>96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8585933" w14:textId="78E1C6F4" w:rsidR="006E5396" w:rsidRDefault="006E5396" w:rsidP="00BC0321">
            <w:pPr>
              <w:pStyle w:val="TAL"/>
              <w:rPr>
                <w:sz w:val="16"/>
                <w:szCs w:val="16"/>
                <w:lang w:eastAsia="zh-CN"/>
              </w:rPr>
            </w:pPr>
            <w:r>
              <w:rPr>
                <w:sz w:val="16"/>
                <w:szCs w:val="16"/>
                <w:lang w:eastAsia="zh-CN"/>
              </w:rPr>
              <w:t>RP-221599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062B399" w14:textId="17DA9692" w:rsidR="006E5396" w:rsidRDefault="006E5396" w:rsidP="00BC0321">
            <w:pPr>
              <w:pStyle w:val="TAL"/>
              <w:rPr>
                <w:sz w:val="16"/>
                <w:szCs w:val="16"/>
              </w:rPr>
            </w:pPr>
            <w:r>
              <w:rPr>
                <w:sz w:val="16"/>
                <w:szCs w:val="16"/>
              </w:rPr>
              <w:t>0319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590C5A8" w14:textId="77777777" w:rsidR="006E5396" w:rsidRDefault="006E5396"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DFB860A" w14:textId="77777777" w:rsidR="006E5396" w:rsidRDefault="006E5396"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551F676" w14:textId="5EF0C327" w:rsidR="006E5396" w:rsidRPr="005D126D" w:rsidRDefault="006E5396" w:rsidP="00BC0321">
            <w:pPr>
              <w:spacing w:after="0"/>
              <w:rPr>
                <w:rFonts w:ascii="Arial" w:hAnsi="Arial"/>
                <w:sz w:val="16"/>
              </w:rPr>
            </w:pPr>
            <w:r w:rsidRPr="006E5396">
              <w:rPr>
                <w:rFonts w:ascii="Arial" w:hAnsi="Arial"/>
                <w:sz w:val="16"/>
              </w:rPr>
              <w:t>Rel-16 editorial corrections for TS 38.213 (mirrored to Rel-17)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468FBFC" w14:textId="77777777" w:rsidR="006E5396" w:rsidRDefault="006E5396" w:rsidP="00BC0321">
            <w:pPr>
              <w:pStyle w:val="TAL"/>
              <w:rPr>
                <w:sz w:val="16"/>
                <w:szCs w:val="16"/>
                <w:lang w:eastAsia="zh-CN"/>
              </w:rPr>
            </w:pPr>
            <w:r>
              <w:rPr>
                <w:sz w:val="16"/>
                <w:szCs w:val="16"/>
                <w:lang w:eastAsia="zh-CN"/>
              </w:rPr>
              <w:t>17.2.0</w:t>
            </w:r>
          </w:p>
        </w:tc>
      </w:tr>
      <w:tr w:rsidR="00FE697E" w:rsidRPr="00B916EC" w14:paraId="44FBA9C5"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5E852841" w14:textId="77777777" w:rsidR="00FE697E" w:rsidRPr="00B916EC" w:rsidRDefault="00FE697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5663435" w14:textId="77777777" w:rsidR="00FE697E" w:rsidRPr="00B916EC" w:rsidRDefault="00FE697E" w:rsidP="00BC0321">
            <w:pPr>
              <w:pStyle w:val="TAL"/>
              <w:rPr>
                <w:sz w:val="16"/>
                <w:szCs w:val="16"/>
                <w:lang w:eastAsia="zh-CN"/>
              </w:rPr>
            </w:pPr>
            <w:r w:rsidRPr="00B916EC">
              <w:rPr>
                <w:sz w:val="16"/>
                <w:szCs w:val="16"/>
                <w:lang w:eastAsia="zh-CN"/>
              </w:rPr>
              <w:t>RAN#</w:t>
            </w:r>
            <w:r>
              <w:rPr>
                <w:sz w:val="16"/>
                <w:szCs w:val="16"/>
                <w:lang w:eastAsia="zh-CN"/>
              </w:rPr>
              <w:t>96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CEDB2FE" w14:textId="7F420AA5" w:rsidR="00FE697E" w:rsidRDefault="00FE697E" w:rsidP="00BC0321">
            <w:pPr>
              <w:pStyle w:val="TAL"/>
              <w:rPr>
                <w:sz w:val="16"/>
                <w:szCs w:val="16"/>
                <w:lang w:eastAsia="zh-CN"/>
              </w:rPr>
            </w:pPr>
            <w:r>
              <w:rPr>
                <w:sz w:val="16"/>
                <w:szCs w:val="16"/>
                <w:lang w:eastAsia="zh-CN"/>
              </w:rPr>
              <w:t>RP-221601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5F876AB" w14:textId="472500C4" w:rsidR="00FE697E" w:rsidRDefault="00FE697E" w:rsidP="00BC0321">
            <w:pPr>
              <w:pStyle w:val="TAL"/>
              <w:rPr>
                <w:sz w:val="16"/>
                <w:szCs w:val="16"/>
              </w:rPr>
            </w:pPr>
            <w:r>
              <w:rPr>
                <w:sz w:val="16"/>
                <w:szCs w:val="16"/>
              </w:rPr>
              <w:t>0320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7ED4109" w14:textId="77777777" w:rsidR="00FE697E" w:rsidRDefault="00FE697E"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3E4B19E" w14:textId="13E6A3A1" w:rsidR="00FE697E" w:rsidRDefault="00FE697E"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77EA87A" w14:textId="74823EB1" w:rsidR="00FE697E" w:rsidRPr="005D126D" w:rsidRDefault="00FE697E" w:rsidP="00BC0321">
            <w:pPr>
              <w:spacing w:after="0"/>
              <w:rPr>
                <w:rFonts w:ascii="Arial" w:hAnsi="Arial"/>
                <w:sz w:val="16"/>
              </w:rPr>
            </w:pPr>
            <w:r w:rsidRPr="00FE697E">
              <w:rPr>
                <w:rFonts w:ascii="Arial" w:hAnsi="Arial"/>
                <w:sz w:val="16"/>
              </w:rPr>
              <w:t>Corrections on extending NR operation to 71 GHz</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112455C" w14:textId="77777777" w:rsidR="00FE697E" w:rsidRDefault="00FE697E" w:rsidP="00BC0321">
            <w:pPr>
              <w:pStyle w:val="TAL"/>
              <w:rPr>
                <w:sz w:val="16"/>
                <w:szCs w:val="16"/>
                <w:lang w:eastAsia="zh-CN"/>
              </w:rPr>
            </w:pPr>
            <w:r>
              <w:rPr>
                <w:sz w:val="16"/>
                <w:szCs w:val="16"/>
                <w:lang w:eastAsia="zh-CN"/>
              </w:rPr>
              <w:t>17.2.0</w:t>
            </w:r>
          </w:p>
        </w:tc>
      </w:tr>
      <w:tr w:rsidR="00E63D37" w:rsidRPr="00B916EC" w14:paraId="397EDD9A"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04601B6A" w14:textId="77777777" w:rsidR="00E63D37" w:rsidRPr="00B916EC" w:rsidRDefault="00E63D37"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608655B" w14:textId="77777777" w:rsidR="00E63D37" w:rsidRPr="00B916EC" w:rsidRDefault="00E63D37" w:rsidP="00BC0321">
            <w:pPr>
              <w:pStyle w:val="TAL"/>
              <w:rPr>
                <w:sz w:val="16"/>
                <w:szCs w:val="16"/>
                <w:lang w:eastAsia="zh-CN"/>
              </w:rPr>
            </w:pPr>
            <w:r w:rsidRPr="00B916EC">
              <w:rPr>
                <w:sz w:val="16"/>
                <w:szCs w:val="16"/>
                <w:lang w:eastAsia="zh-CN"/>
              </w:rPr>
              <w:t>RAN#</w:t>
            </w:r>
            <w:r>
              <w:rPr>
                <w:sz w:val="16"/>
                <w:szCs w:val="16"/>
                <w:lang w:eastAsia="zh-CN"/>
              </w:rPr>
              <w:t>96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B254893" w14:textId="073A01D7" w:rsidR="00E63D37" w:rsidRDefault="00E63D37" w:rsidP="00BC0321">
            <w:pPr>
              <w:pStyle w:val="TAL"/>
              <w:rPr>
                <w:sz w:val="16"/>
                <w:szCs w:val="16"/>
                <w:lang w:eastAsia="zh-CN"/>
              </w:rPr>
            </w:pPr>
            <w:r>
              <w:rPr>
                <w:sz w:val="16"/>
                <w:szCs w:val="16"/>
                <w:lang w:eastAsia="zh-CN"/>
              </w:rPr>
              <w:t>RP-221602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05DF444" w14:textId="10ED6BBE" w:rsidR="00E63D37" w:rsidRDefault="00E63D37" w:rsidP="00BC0321">
            <w:pPr>
              <w:pStyle w:val="TAL"/>
              <w:rPr>
                <w:sz w:val="16"/>
                <w:szCs w:val="16"/>
              </w:rPr>
            </w:pPr>
            <w:r>
              <w:rPr>
                <w:sz w:val="16"/>
                <w:szCs w:val="16"/>
              </w:rPr>
              <w:t>0321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F708568" w14:textId="77777777" w:rsidR="00E63D37" w:rsidRDefault="00E63D37"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ABAC32B" w14:textId="77777777" w:rsidR="00E63D37" w:rsidRDefault="00E63D37"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9DE2109" w14:textId="38D00E04" w:rsidR="00E63D37" w:rsidRPr="005D126D" w:rsidRDefault="00E63D37" w:rsidP="00BC0321">
            <w:pPr>
              <w:spacing w:after="0"/>
              <w:rPr>
                <w:rFonts w:ascii="Arial" w:hAnsi="Arial"/>
                <w:sz w:val="16"/>
              </w:rPr>
            </w:pPr>
            <w:r w:rsidRPr="00E63D37">
              <w:rPr>
                <w:rFonts w:ascii="Arial" w:hAnsi="Arial"/>
                <w:sz w:val="16"/>
              </w:rPr>
              <w:t>Corrections on IIoT/URLLC enhancements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9A63CFF" w14:textId="77777777" w:rsidR="00E63D37" w:rsidRDefault="00E63D37" w:rsidP="00BC0321">
            <w:pPr>
              <w:pStyle w:val="TAL"/>
              <w:rPr>
                <w:sz w:val="16"/>
                <w:szCs w:val="16"/>
                <w:lang w:eastAsia="zh-CN"/>
              </w:rPr>
            </w:pPr>
            <w:r>
              <w:rPr>
                <w:sz w:val="16"/>
                <w:szCs w:val="16"/>
                <w:lang w:eastAsia="zh-CN"/>
              </w:rPr>
              <w:t>17.2.0</w:t>
            </w:r>
          </w:p>
        </w:tc>
      </w:tr>
      <w:tr w:rsidR="00B451BD" w:rsidRPr="00B916EC" w14:paraId="775277B1"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089B9F87" w14:textId="77777777" w:rsidR="00B451BD" w:rsidRPr="00B916EC" w:rsidRDefault="00B451B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543A382" w14:textId="77777777" w:rsidR="00B451BD" w:rsidRPr="00B916EC" w:rsidRDefault="00B451BD" w:rsidP="00BC0321">
            <w:pPr>
              <w:pStyle w:val="TAL"/>
              <w:rPr>
                <w:sz w:val="16"/>
                <w:szCs w:val="16"/>
                <w:lang w:eastAsia="zh-CN"/>
              </w:rPr>
            </w:pPr>
            <w:r w:rsidRPr="00B916EC">
              <w:rPr>
                <w:sz w:val="16"/>
                <w:szCs w:val="16"/>
                <w:lang w:eastAsia="zh-CN"/>
              </w:rPr>
              <w:t>RAN#</w:t>
            </w:r>
            <w:r>
              <w:rPr>
                <w:sz w:val="16"/>
                <w:szCs w:val="16"/>
                <w:lang w:eastAsia="zh-CN"/>
              </w:rPr>
              <w:t>96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EE4852D" w14:textId="491064C6" w:rsidR="00B451BD" w:rsidRDefault="00B451BD" w:rsidP="00BC0321">
            <w:pPr>
              <w:pStyle w:val="TAL"/>
              <w:rPr>
                <w:sz w:val="16"/>
                <w:szCs w:val="16"/>
                <w:lang w:eastAsia="zh-CN"/>
              </w:rPr>
            </w:pPr>
            <w:r>
              <w:rPr>
                <w:sz w:val="16"/>
                <w:szCs w:val="16"/>
                <w:lang w:eastAsia="zh-CN"/>
              </w:rPr>
              <w:t>RP-221612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FD5C5BF" w14:textId="6269315B" w:rsidR="00B451BD" w:rsidRDefault="00B451BD" w:rsidP="00BC0321">
            <w:pPr>
              <w:pStyle w:val="TAL"/>
              <w:rPr>
                <w:sz w:val="16"/>
                <w:szCs w:val="16"/>
              </w:rPr>
            </w:pPr>
            <w:r>
              <w:rPr>
                <w:sz w:val="16"/>
                <w:szCs w:val="16"/>
              </w:rPr>
              <w:t>0322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7100549" w14:textId="77777777" w:rsidR="00B451BD" w:rsidRDefault="00B451B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CA76D48" w14:textId="77777777" w:rsidR="00B451BD" w:rsidRDefault="00B451B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E1819A2" w14:textId="2950B9F5" w:rsidR="00B451BD" w:rsidRPr="005D126D" w:rsidRDefault="00B451BD" w:rsidP="00BC0321">
            <w:pPr>
              <w:spacing w:after="0"/>
              <w:rPr>
                <w:rFonts w:ascii="Arial" w:hAnsi="Arial"/>
                <w:sz w:val="16"/>
              </w:rPr>
            </w:pPr>
            <w:r w:rsidRPr="00B451BD">
              <w:rPr>
                <w:rFonts w:ascii="Arial" w:hAnsi="Arial"/>
                <w:sz w:val="16"/>
              </w:rPr>
              <w:t>Corrections on the introduction of multicast-broadcast services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D9C115A" w14:textId="77777777" w:rsidR="00B451BD" w:rsidRDefault="00B451BD" w:rsidP="00BC0321">
            <w:pPr>
              <w:pStyle w:val="TAL"/>
              <w:rPr>
                <w:sz w:val="16"/>
                <w:szCs w:val="16"/>
                <w:lang w:eastAsia="zh-CN"/>
              </w:rPr>
            </w:pPr>
            <w:r>
              <w:rPr>
                <w:sz w:val="16"/>
                <w:szCs w:val="16"/>
                <w:lang w:eastAsia="zh-CN"/>
              </w:rPr>
              <w:t>17.2.0</w:t>
            </w:r>
          </w:p>
        </w:tc>
      </w:tr>
      <w:tr w:rsidR="00B31AB7" w:rsidRPr="00B916EC" w14:paraId="16A86D43"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2A7E55E9" w14:textId="77777777" w:rsidR="00B31AB7" w:rsidRPr="00B916EC" w:rsidRDefault="00B31AB7"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BB28F74" w14:textId="77777777" w:rsidR="00B31AB7" w:rsidRPr="00B916EC" w:rsidRDefault="00B31AB7" w:rsidP="00BC0321">
            <w:pPr>
              <w:pStyle w:val="TAL"/>
              <w:rPr>
                <w:sz w:val="16"/>
                <w:szCs w:val="16"/>
                <w:lang w:eastAsia="zh-CN"/>
              </w:rPr>
            </w:pPr>
            <w:r w:rsidRPr="00B916EC">
              <w:rPr>
                <w:sz w:val="16"/>
                <w:szCs w:val="16"/>
                <w:lang w:eastAsia="zh-CN"/>
              </w:rPr>
              <w:t>RAN#</w:t>
            </w:r>
            <w:r>
              <w:rPr>
                <w:sz w:val="16"/>
                <w:szCs w:val="16"/>
                <w:lang w:eastAsia="zh-CN"/>
              </w:rPr>
              <w:t>96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C363DBE" w14:textId="3971C2A8" w:rsidR="00B31AB7" w:rsidRDefault="00B31AB7" w:rsidP="00BC0321">
            <w:pPr>
              <w:pStyle w:val="TAL"/>
              <w:rPr>
                <w:sz w:val="16"/>
                <w:szCs w:val="16"/>
                <w:lang w:eastAsia="zh-CN"/>
              </w:rPr>
            </w:pPr>
            <w:r>
              <w:rPr>
                <w:sz w:val="16"/>
                <w:szCs w:val="16"/>
                <w:lang w:eastAsia="zh-CN"/>
              </w:rPr>
              <w:t>RP-221611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7EB6B60" w14:textId="682DEAC7" w:rsidR="00B31AB7" w:rsidRDefault="00B31AB7" w:rsidP="00BC0321">
            <w:pPr>
              <w:pStyle w:val="TAL"/>
              <w:rPr>
                <w:sz w:val="16"/>
                <w:szCs w:val="16"/>
              </w:rPr>
            </w:pPr>
            <w:r>
              <w:rPr>
                <w:sz w:val="16"/>
                <w:szCs w:val="16"/>
              </w:rPr>
              <w:t>0323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D833B68" w14:textId="77777777" w:rsidR="00B31AB7" w:rsidRDefault="00B31AB7"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E8AF673" w14:textId="77777777" w:rsidR="00B31AB7" w:rsidRDefault="00B31AB7"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41D624E" w14:textId="04513C03" w:rsidR="00B31AB7" w:rsidRPr="005D126D" w:rsidRDefault="00B31AB7" w:rsidP="00BC0321">
            <w:pPr>
              <w:spacing w:after="0"/>
              <w:rPr>
                <w:rFonts w:ascii="Arial" w:hAnsi="Arial"/>
                <w:sz w:val="16"/>
              </w:rPr>
            </w:pPr>
            <w:r w:rsidRPr="00B31AB7">
              <w:rPr>
                <w:rFonts w:ascii="Arial" w:hAnsi="Arial"/>
                <w:sz w:val="16"/>
              </w:rPr>
              <w:t>Corrections on sidelink enhancements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65143F2" w14:textId="77777777" w:rsidR="00B31AB7" w:rsidRDefault="00B31AB7" w:rsidP="00BC0321">
            <w:pPr>
              <w:pStyle w:val="TAL"/>
              <w:rPr>
                <w:sz w:val="16"/>
                <w:szCs w:val="16"/>
                <w:lang w:eastAsia="zh-CN"/>
              </w:rPr>
            </w:pPr>
            <w:r>
              <w:rPr>
                <w:sz w:val="16"/>
                <w:szCs w:val="16"/>
                <w:lang w:eastAsia="zh-CN"/>
              </w:rPr>
              <w:t>17.2.0</w:t>
            </w:r>
          </w:p>
        </w:tc>
      </w:tr>
      <w:tr w:rsidR="009D0663" w:rsidRPr="00B916EC" w14:paraId="39D7F110"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2AB55CD6" w14:textId="77777777" w:rsidR="009D0663" w:rsidRPr="00B916EC" w:rsidRDefault="009D0663"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AB75184" w14:textId="77777777" w:rsidR="009D0663" w:rsidRPr="00B916EC" w:rsidRDefault="009D0663" w:rsidP="00BC0321">
            <w:pPr>
              <w:pStyle w:val="TAL"/>
              <w:rPr>
                <w:sz w:val="16"/>
                <w:szCs w:val="16"/>
                <w:lang w:eastAsia="zh-CN"/>
              </w:rPr>
            </w:pPr>
            <w:r w:rsidRPr="00B916EC">
              <w:rPr>
                <w:sz w:val="16"/>
                <w:szCs w:val="16"/>
                <w:lang w:eastAsia="zh-CN"/>
              </w:rPr>
              <w:t>RAN#</w:t>
            </w:r>
            <w:r>
              <w:rPr>
                <w:sz w:val="16"/>
                <w:szCs w:val="16"/>
                <w:lang w:eastAsia="zh-CN"/>
              </w:rPr>
              <w:t>96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5BEEB47" w14:textId="1AB20A7C" w:rsidR="009D0663" w:rsidRDefault="009D0663" w:rsidP="00BC0321">
            <w:pPr>
              <w:pStyle w:val="TAL"/>
              <w:rPr>
                <w:sz w:val="16"/>
                <w:szCs w:val="16"/>
                <w:lang w:eastAsia="zh-CN"/>
              </w:rPr>
            </w:pPr>
            <w:r>
              <w:rPr>
                <w:sz w:val="16"/>
                <w:szCs w:val="16"/>
                <w:lang w:eastAsia="zh-CN"/>
              </w:rPr>
              <w:t>RP-221606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854D0B7" w14:textId="5B4F2675" w:rsidR="009D0663" w:rsidRDefault="009D0663" w:rsidP="00BC0321">
            <w:pPr>
              <w:pStyle w:val="TAL"/>
              <w:rPr>
                <w:sz w:val="16"/>
                <w:szCs w:val="16"/>
              </w:rPr>
            </w:pPr>
            <w:r>
              <w:rPr>
                <w:sz w:val="16"/>
                <w:szCs w:val="16"/>
              </w:rPr>
              <w:t>0324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8D7F916" w14:textId="77777777" w:rsidR="009D0663" w:rsidRDefault="009D0663"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07B9D87" w14:textId="77777777" w:rsidR="009D0663" w:rsidRDefault="009D0663"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1572A65" w14:textId="697B7F56" w:rsidR="009D0663" w:rsidRPr="005D126D" w:rsidRDefault="009D0663" w:rsidP="00BC0321">
            <w:pPr>
              <w:spacing w:after="0"/>
              <w:rPr>
                <w:rFonts w:ascii="Arial" w:hAnsi="Arial"/>
                <w:sz w:val="16"/>
              </w:rPr>
            </w:pPr>
            <w:r w:rsidRPr="009D0663">
              <w:rPr>
                <w:rFonts w:ascii="Arial" w:hAnsi="Arial"/>
                <w:sz w:val="16"/>
              </w:rPr>
              <w:t>Corrections on UE power savings enhancements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802432D" w14:textId="77777777" w:rsidR="009D0663" w:rsidRDefault="009D0663" w:rsidP="00BC0321">
            <w:pPr>
              <w:pStyle w:val="TAL"/>
              <w:rPr>
                <w:sz w:val="16"/>
                <w:szCs w:val="16"/>
                <w:lang w:eastAsia="zh-CN"/>
              </w:rPr>
            </w:pPr>
            <w:r>
              <w:rPr>
                <w:sz w:val="16"/>
                <w:szCs w:val="16"/>
                <w:lang w:eastAsia="zh-CN"/>
              </w:rPr>
              <w:t>17.2.0</w:t>
            </w:r>
          </w:p>
        </w:tc>
      </w:tr>
      <w:tr w:rsidR="00CB7E8E" w:rsidRPr="00B916EC" w14:paraId="132F42E6"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07375ACF" w14:textId="77777777" w:rsidR="00CB7E8E" w:rsidRPr="00B916EC" w:rsidRDefault="00CB7E8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1A37BD5" w14:textId="77777777" w:rsidR="00CB7E8E" w:rsidRPr="00B916EC" w:rsidRDefault="00CB7E8E" w:rsidP="00BC0321">
            <w:pPr>
              <w:pStyle w:val="TAL"/>
              <w:rPr>
                <w:sz w:val="16"/>
                <w:szCs w:val="16"/>
                <w:lang w:eastAsia="zh-CN"/>
              </w:rPr>
            </w:pPr>
            <w:r w:rsidRPr="00B916EC">
              <w:rPr>
                <w:sz w:val="16"/>
                <w:szCs w:val="16"/>
                <w:lang w:eastAsia="zh-CN"/>
              </w:rPr>
              <w:t>RAN#</w:t>
            </w:r>
            <w:r>
              <w:rPr>
                <w:sz w:val="16"/>
                <w:szCs w:val="16"/>
                <w:lang w:eastAsia="zh-CN"/>
              </w:rPr>
              <w:t>96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7D282E8" w14:textId="6E803049" w:rsidR="00CB7E8E" w:rsidRDefault="00CB7E8E" w:rsidP="00BC0321">
            <w:pPr>
              <w:pStyle w:val="TAL"/>
              <w:rPr>
                <w:sz w:val="16"/>
                <w:szCs w:val="16"/>
                <w:lang w:eastAsia="zh-CN"/>
              </w:rPr>
            </w:pPr>
            <w:r>
              <w:rPr>
                <w:sz w:val="16"/>
                <w:szCs w:val="16"/>
                <w:lang w:eastAsia="zh-CN"/>
              </w:rPr>
              <w:t>RP-221610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1F4C0BE" w14:textId="08310736" w:rsidR="00CB7E8E" w:rsidRDefault="00CB7E8E" w:rsidP="00BC0321">
            <w:pPr>
              <w:pStyle w:val="TAL"/>
              <w:rPr>
                <w:sz w:val="16"/>
                <w:szCs w:val="16"/>
              </w:rPr>
            </w:pPr>
            <w:r>
              <w:rPr>
                <w:sz w:val="16"/>
                <w:szCs w:val="16"/>
              </w:rPr>
              <w:t>0325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5931749" w14:textId="77777777" w:rsidR="00CB7E8E" w:rsidRDefault="00CB7E8E"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6F11253" w14:textId="77777777" w:rsidR="00CB7E8E" w:rsidRDefault="00CB7E8E"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958ECF1" w14:textId="56272095" w:rsidR="00CB7E8E" w:rsidRPr="005D126D" w:rsidRDefault="00CB7E8E" w:rsidP="00BC0321">
            <w:pPr>
              <w:spacing w:after="0"/>
              <w:rPr>
                <w:rFonts w:ascii="Arial" w:hAnsi="Arial"/>
                <w:sz w:val="16"/>
              </w:rPr>
            </w:pPr>
            <w:r w:rsidRPr="00CB7E8E">
              <w:rPr>
                <w:rFonts w:ascii="Arial" w:hAnsi="Arial"/>
                <w:sz w:val="16"/>
              </w:rPr>
              <w:t>Corrections on eIAB</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386BDE0" w14:textId="77777777" w:rsidR="00CB7E8E" w:rsidRDefault="00CB7E8E" w:rsidP="00BC0321">
            <w:pPr>
              <w:pStyle w:val="TAL"/>
              <w:rPr>
                <w:sz w:val="16"/>
                <w:szCs w:val="16"/>
                <w:lang w:eastAsia="zh-CN"/>
              </w:rPr>
            </w:pPr>
            <w:r>
              <w:rPr>
                <w:sz w:val="16"/>
                <w:szCs w:val="16"/>
                <w:lang w:eastAsia="zh-CN"/>
              </w:rPr>
              <w:t>17.2.0</w:t>
            </w:r>
          </w:p>
        </w:tc>
      </w:tr>
      <w:tr w:rsidR="00236184" w:rsidRPr="00B916EC" w14:paraId="7EF5EF02"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3D56F226" w14:textId="77777777" w:rsidR="00236184" w:rsidRPr="00B916EC" w:rsidRDefault="00236184"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B946BE7" w14:textId="77777777" w:rsidR="00236184" w:rsidRPr="00B916EC" w:rsidRDefault="00236184" w:rsidP="00BC0321">
            <w:pPr>
              <w:pStyle w:val="TAL"/>
              <w:rPr>
                <w:sz w:val="16"/>
                <w:szCs w:val="16"/>
                <w:lang w:eastAsia="zh-CN"/>
              </w:rPr>
            </w:pPr>
            <w:r w:rsidRPr="00B916EC">
              <w:rPr>
                <w:sz w:val="16"/>
                <w:szCs w:val="16"/>
                <w:lang w:eastAsia="zh-CN"/>
              </w:rPr>
              <w:t>RAN#</w:t>
            </w:r>
            <w:r>
              <w:rPr>
                <w:sz w:val="16"/>
                <w:szCs w:val="16"/>
                <w:lang w:eastAsia="zh-CN"/>
              </w:rPr>
              <w:t>96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7FC5D6E" w14:textId="5BC437C2" w:rsidR="00236184" w:rsidRDefault="00236184" w:rsidP="00BC0321">
            <w:pPr>
              <w:pStyle w:val="TAL"/>
              <w:rPr>
                <w:sz w:val="16"/>
                <w:szCs w:val="16"/>
                <w:lang w:eastAsia="zh-CN"/>
              </w:rPr>
            </w:pPr>
            <w:r>
              <w:rPr>
                <w:sz w:val="16"/>
                <w:szCs w:val="16"/>
                <w:lang w:eastAsia="zh-CN"/>
              </w:rPr>
              <w:t>RP-221600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798F6A3" w14:textId="2625532B" w:rsidR="00236184" w:rsidRDefault="00236184" w:rsidP="00BC0321">
            <w:pPr>
              <w:pStyle w:val="TAL"/>
              <w:rPr>
                <w:sz w:val="16"/>
                <w:szCs w:val="16"/>
              </w:rPr>
            </w:pPr>
            <w:r>
              <w:rPr>
                <w:sz w:val="16"/>
                <w:szCs w:val="16"/>
              </w:rPr>
              <w:t>0326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23AB576" w14:textId="77777777" w:rsidR="00236184" w:rsidRDefault="00236184"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1505F70" w14:textId="77777777" w:rsidR="00236184" w:rsidRDefault="00236184"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36A10EB" w14:textId="241202EA" w:rsidR="00236184" w:rsidRPr="005D126D" w:rsidRDefault="00236184" w:rsidP="00BC0321">
            <w:pPr>
              <w:spacing w:after="0"/>
              <w:rPr>
                <w:rFonts w:ascii="Arial" w:hAnsi="Arial"/>
                <w:sz w:val="16"/>
              </w:rPr>
            </w:pPr>
            <w:r w:rsidRPr="00236184">
              <w:rPr>
                <w:rFonts w:ascii="Arial" w:hAnsi="Arial"/>
                <w:sz w:val="16"/>
              </w:rPr>
              <w:t>Corrections on further enhancements on MIMO for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7180148" w14:textId="77777777" w:rsidR="00236184" w:rsidRDefault="00236184" w:rsidP="00BC0321">
            <w:pPr>
              <w:pStyle w:val="TAL"/>
              <w:rPr>
                <w:sz w:val="16"/>
                <w:szCs w:val="16"/>
                <w:lang w:eastAsia="zh-CN"/>
              </w:rPr>
            </w:pPr>
            <w:r>
              <w:rPr>
                <w:sz w:val="16"/>
                <w:szCs w:val="16"/>
                <w:lang w:eastAsia="zh-CN"/>
              </w:rPr>
              <w:t>17.2.0</w:t>
            </w:r>
          </w:p>
        </w:tc>
      </w:tr>
      <w:tr w:rsidR="00B90D47" w:rsidRPr="00B916EC" w14:paraId="1C77D6A5"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482D99EC" w14:textId="77777777" w:rsidR="00B90D47" w:rsidRPr="00B916EC" w:rsidRDefault="00B90D47"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876CF33" w14:textId="77777777" w:rsidR="00B90D47" w:rsidRPr="00B916EC" w:rsidRDefault="00B90D47" w:rsidP="00BC0321">
            <w:pPr>
              <w:pStyle w:val="TAL"/>
              <w:rPr>
                <w:sz w:val="16"/>
                <w:szCs w:val="16"/>
                <w:lang w:eastAsia="zh-CN"/>
              </w:rPr>
            </w:pPr>
            <w:r w:rsidRPr="00B916EC">
              <w:rPr>
                <w:sz w:val="16"/>
                <w:szCs w:val="16"/>
                <w:lang w:eastAsia="zh-CN"/>
              </w:rPr>
              <w:t>RAN#</w:t>
            </w:r>
            <w:r>
              <w:rPr>
                <w:sz w:val="16"/>
                <w:szCs w:val="16"/>
                <w:lang w:eastAsia="zh-CN"/>
              </w:rPr>
              <w:t>96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0F7908D" w14:textId="13B09C57" w:rsidR="00B90D47" w:rsidRDefault="00B90D47" w:rsidP="00BC0321">
            <w:pPr>
              <w:pStyle w:val="TAL"/>
              <w:rPr>
                <w:sz w:val="16"/>
                <w:szCs w:val="16"/>
                <w:lang w:eastAsia="zh-CN"/>
              </w:rPr>
            </w:pPr>
            <w:r>
              <w:rPr>
                <w:sz w:val="16"/>
                <w:szCs w:val="16"/>
                <w:lang w:eastAsia="zh-CN"/>
              </w:rPr>
              <w:t>RP-221613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4712D77" w14:textId="427928D0" w:rsidR="00B90D47" w:rsidRDefault="00B90D47" w:rsidP="00BC0321">
            <w:pPr>
              <w:pStyle w:val="TAL"/>
              <w:rPr>
                <w:sz w:val="16"/>
                <w:szCs w:val="16"/>
              </w:rPr>
            </w:pPr>
            <w:r>
              <w:rPr>
                <w:sz w:val="16"/>
                <w:szCs w:val="16"/>
              </w:rPr>
              <w:t>0327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4EA0992" w14:textId="77777777" w:rsidR="00B90D47" w:rsidRDefault="00B90D47"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17DE99F" w14:textId="77777777" w:rsidR="00B90D47" w:rsidRDefault="00B90D47"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67872D3" w14:textId="3BA03FCC" w:rsidR="00B90D47" w:rsidRPr="005D126D" w:rsidRDefault="00B90D47" w:rsidP="00BC0321">
            <w:pPr>
              <w:spacing w:after="0"/>
              <w:rPr>
                <w:rFonts w:ascii="Arial" w:hAnsi="Arial"/>
                <w:sz w:val="16"/>
              </w:rPr>
            </w:pPr>
            <w:r w:rsidRPr="00B90D47">
              <w:rPr>
                <w:rFonts w:ascii="Arial" w:hAnsi="Arial"/>
                <w:sz w:val="16"/>
              </w:rPr>
              <w:t>Corrections on dynamic spectrum sharing enhancements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5D9B815" w14:textId="77777777" w:rsidR="00B90D47" w:rsidRDefault="00B90D47" w:rsidP="00BC0321">
            <w:pPr>
              <w:pStyle w:val="TAL"/>
              <w:rPr>
                <w:sz w:val="16"/>
                <w:szCs w:val="16"/>
                <w:lang w:eastAsia="zh-CN"/>
              </w:rPr>
            </w:pPr>
            <w:r>
              <w:rPr>
                <w:sz w:val="16"/>
                <w:szCs w:val="16"/>
                <w:lang w:eastAsia="zh-CN"/>
              </w:rPr>
              <w:t>17.2.0</w:t>
            </w:r>
          </w:p>
        </w:tc>
      </w:tr>
      <w:tr w:rsidR="0018257B" w:rsidRPr="00B916EC" w14:paraId="118CB1A5"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27B94733" w14:textId="77777777" w:rsidR="0018257B" w:rsidRPr="00B916EC" w:rsidRDefault="0018257B"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9ED4938" w14:textId="77777777" w:rsidR="0018257B" w:rsidRPr="00B916EC" w:rsidRDefault="0018257B" w:rsidP="00BC0321">
            <w:pPr>
              <w:pStyle w:val="TAL"/>
              <w:rPr>
                <w:sz w:val="16"/>
                <w:szCs w:val="16"/>
                <w:lang w:eastAsia="zh-CN"/>
              </w:rPr>
            </w:pPr>
            <w:r w:rsidRPr="00B916EC">
              <w:rPr>
                <w:sz w:val="16"/>
                <w:szCs w:val="16"/>
                <w:lang w:eastAsia="zh-CN"/>
              </w:rPr>
              <w:t>RAN#</w:t>
            </w:r>
            <w:r>
              <w:rPr>
                <w:sz w:val="16"/>
                <w:szCs w:val="16"/>
                <w:lang w:eastAsia="zh-CN"/>
              </w:rPr>
              <w:t>96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F1EAD14" w14:textId="6C4D67B5" w:rsidR="0018257B" w:rsidRDefault="0018257B" w:rsidP="00BC0321">
            <w:pPr>
              <w:pStyle w:val="TAL"/>
              <w:rPr>
                <w:sz w:val="16"/>
                <w:szCs w:val="16"/>
                <w:lang w:eastAsia="zh-CN"/>
              </w:rPr>
            </w:pPr>
            <w:r>
              <w:rPr>
                <w:sz w:val="16"/>
                <w:szCs w:val="16"/>
                <w:lang w:eastAsia="zh-CN"/>
              </w:rPr>
              <w:t>RP-221603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6E2B9E7" w14:textId="1D4141B1" w:rsidR="0018257B" w:rsidRDefault="0018257B" w:rsidP="00BC0321">
            <w:pPr>
              <w:pStyle w:val="TAL"/>
              <w:rPr>
                <w:sz w:val="16"/>
                <w:szCs w:val="16"/>
              </w:rPr>
            </w:pPr>
            <w:r>
              <w:rPr>
                <w:sz w:val="16"/>
                <w:szCs w:val="16"/>
              </w:rPr>
              <w:t>0328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3027A1B" w14:textId="77777777" w:rsidR="0018257B" w:rsidRDefault="0018257B"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1133792" w14:textId="77777777" w:rsidR="0018257B" w:rsidRDefault="0018257B"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947CD1B" w14:textId="1A4DA9E1" w:rsidR="0018257B" w:rsidRPr="005D126D" w:rsidRDefault="0018257B" w:rsidP="00BC0321">
            <w:pPr>
              <w:spacing w:after="0"/>
              <w:rPr>
                <w:rFonts w:ascii="Arial" w:hAnsi="Arial"/>
                <w:sz w:val="16"/>
              </w:rPr>
            </w:pPr>
            <w:r w:rsidRPr="0018257B">
              <w:rPr>
                <w:rFonts w:ascii="Arial" w:hAnsi="Arial"/>
                <w:sz w:val="16"/>
              </w:rPr>
              <w:t>Corrections on non-terrestrial network operation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946253" w14:textId="77777777" w:rsidR="0018257B" w:rsidRDefault="0018257B" w:rsidP="00BC0321">
            <w:pPr>
              <w:pStyle w:val="TAL"/>
              <w:rPr>
                <w:sz w:val="16"/>
                <w:szCs w:val="16"/>
                <w:lang w:eastAsia="zh-CN"/>
              </w:rPr>
            </w:pPr>
            <w:r>
              <w:rPr>
                <w:sz w:val="16"/>
                <w:szCs w:val="16"/>
                <w:lang w:eastAsia="zh-CN"/>
              </w:rPr>
              <w:t>17.2.0</w:t>
            </w:r>
          </w:p>
        </w:tc>
      </w:tr>
      <w:tr w:rsidR="00DC4724" w:rsidRPr="00B916EC" w14:paraId="3A1952A1"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2C4CC08C" w14:textId="77777777" w:rsidR="00DC4724" w:rsidRPr="00B916EC" w:rsidRDefault="00DC4724"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783923B" w14:textId="77777777" w:rsidR="00DC4724" w:rsidRPr="00B916EC" w:rsidRDefault="00DC4724" w:rsidP="00BC0321">
            <w:pPr>
              <w:pStyle w:val="TAL"/>
              <w:rPr>
                <w:sz w:val="16"/>
                <w:szCs w:val="16"/>
                <w:lang w:eastAsia="zh-CN"/>
              </w:rPr>
            </w:pPr>
            <w:r w:rsidRPr="00B916EC">
              <w:rPr>
                <w:sz w:val="16"/>
                <w:szCs w:val="16"/>
                <w:lang w:eastAsia="zh-CN"/>
              </w:rPr>
              <w:t>RAN#</w:t>
            </w:r>
            <w:r>
              <w:rPr>
                <w:sz w:val="16"/>
                <w:szCs w:val="16"/>
                <w:lang w:eastAsia="zh-CN"/>
              </w:rPr>
              <w:t>96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D8D8CF8" w14:textId="5894D17C" w:rsidR="00DC4724" w:rsidRDefault="00DC4724" w:rsidP="00BC0321">
            <w:pPr>
              <w:pStyle w:val="TAL"/>
              <w:rPr>
                <w:sz w:val="16"/>
                <w:szCs w:val="16"/>
                <w:lang w:eastAsia="zh-CN"/>
              </w:rPr>
            </w:pPr>
            <w:r>
              <w:rPr>
                <w:sz w:val="16"/>
                <w:szCs w:val="16"/>
                <w:lang w:eastAsia="zh-CN"/>
              </w:rPr>
              <w:t>RP-221605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A65CE07" w14:textId="59E453BB" w:rsidR="00DC4724" w:rsidRDefault="00DC4724" w:rsidP="00BC0321">
            <w:pPr>
              <w:pStyle w:val="TAL"/>
              <w:rPr>
                <w:sz w:val="16"/>
                <w:szCs w:val="16"/>
              </w:rPr>
            </w:pPr>
            <w:r>
              <w:rPr>
                <w:sz w:val="16"/>
                <w:szCs w:val="16"/>
              </w:rPr>
              <w:t>0329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E9DA468" w14:textId="77777777" w:rsidR="00DC4724" w:rsidRDefault="00DC4724"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0B8F6A9" w14:textId="77777777" w:rsidR="00DC4724" w:rsidRDefault="00DC4724"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2DB72CE" w14:textId="3F06653F" w:rsidR="00DC4724" w:rsidRPr="005D126D" w:rsidRDefault="00DC4724" w:rsidP="00BC0321">
            <w:pPr>
              <w:spacing w:after="0"/>
              <w:rPr>
                <w:rFonts w:ascii="Arial" w:hAnsi="Arial"/>
                <w:sz w:val="16"/>
              </w:rPr>
            </w:pPr>
            <w:r w:rsidRPr="00DC4724">
              <w:rPr>
                <w:rFonts w:ascii="Arial" w:hAnsi="Arial"/>
                <w:sz w:val="16"/>
              </w:rPr>
              <w:t>Corrections on the introduction of UEs with reduced capabilities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7D038A0" w14:textId="77777777" w:rsidR="00DC4724" w:rsidRDefault="00DC4724" w:rsidP="00BC0321">
            <w:pPr>
              <w:pStyle w:val="TAL"/>
              <w:rPr>
                <w:sz w:val="16"/>
                <w:szCs w:val="16"/>
                <w:lang w:eastAsia="zh-CN"/>
              </w:rPr>
            </w:pPr>
            <w:r>
              <w:rPr>
                <w:sz w:val="16"/>
                <w:szCs w:val="16"/>
                <w:lang w:eastAsia="zh-CN"/>
              </w:rPr>
              <w:t>17.2.0</w:t>
            </w:r>
          </w:p>
        </w:tc>
      </w:tr>
      <w:tr w:rsidR="003F1500" w:rsidRPr="00B916EC" w14:paraId="6BB04DE6"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424F2EF6" w14:textId="77777777" w:rsidR="003F1500" w:rsidRPr="00B916EC" w:rsidRDefault="003F1500"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2C96B41" w14:textId="77777777" w:rsidR="003F1500" w:rsidRPr="00B916EC" w:rsidRDefault="003F1500" w:rsidP="00BC0321">
            <w:pPr>
              <w:pStyle w:val="TAL"/>
              <w:rPr>
                <w:sz w:val="16"/>
                <w:szCs w:val="16"/>
                <w:lang w:eastAsia="zh-CN"/>
              </w:rPr>
            </w:pPr>
            <w:r w:rsidRPr="00B916EC">
              <w:rPr>
                <w:sz w:val="16"/>
                <w:szCs w:val="16"/>
                <w:lang w:eastAsia="zh-CN"/>
              </w:rPr>
              <w:t>RAN#</w:t>
            </w:r>
            <w:r>
              <w:rPr>
                <w:sz w:val="16"/>
                <w:szCs w:val="16"/>
                <w:lang w:eastAsia="zh-CN"/>
              </w:rPr>
              <w:t>96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4249F4A" w14:textId="7C0A4CC4" w:rsidR="003F1500" w:rsidRDefault="003F1500" w:rsidP="00BC0321">
            <w:pPr>
              <w:pStyle w:val="TAL"/>
              <w:rPr>
                <w:sz w:val="16"/>
                <w:szCs w:val="16"/>
                <w:lang w:eastAsia="zh-CN"/>
              </w:rPr>
            </w:pPr>
            <w:r>
              <w:rPr>
                <w:sz w:val="16"/>
                <w:szCs w:val="16"/>
                <w:lang w:eastAsia="zh-CN"/>
              </w:rPr>
              <w:t>RP-221618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BFFAB54" w14:textId="468730DC" w:rsidR="003F1500" w:rsidRDefault="003F1500" w:rsidP="00BC0321">
            <w:pPr>
              <w:pStyle w:val="TAL"/>
              <w:rPr>
                <w:sz w:val="16"/>
                <w:szCs w:val="16"/>
              </w:rPr>
            </w:pPr>
            <w:r>
              <w:rPr>
                <w:sz w:val="16"/>
                <w:szCs w:val="16"/>
              </w:rPr>
              <w:t>0330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A5CA05E" w14:textId="77777777" w:rsidR="003F1500" w:rsidRDefault="003F1500"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E80EA85" w14:textId="77777777" w:rsidR="003F1500" w:rsidRDefault="003F1500"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2B1EF3E" w14:textId="7F901521" w:rsidR="003F1500" w:rsidRPr="005D126D" w:rsidRDefault="003F1500" w:rsidP="00BC0321">
            <w:pPr>
              <w:spacing w:after="0"/>
              <w:rPr>
                <w:rFonts w:ascii="Arial" w:hAnsi="Arial"/>
                <w:sz w:val="16"/>
              </w:rPr>
            </w:pPr>
            <w:r w:rsidRPr="003F1500">
              <w:rPr>
                <w:rFonts w:ascii="Arial" w:hAnsi="Arial"/>
                <w:sz w:val="16"/>
              </w:rPr>
              <w:t>Corrections on small data transmission in RRC_INACTIVE state for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F341256" w14:textId="77777777" w:rsidR="003F1500" w:rsidRDefault="003F1500" w:rsidP="00BC0321">
            <w:pPr>
              <w:pStyle w:val="TAL"/>
              <w:rPr>
                <w:sz w:val="16"/>
                <w:szCs w:val="16"/>
                <w:lang w:eastAsia="zh-CN"/>
              </w:rPr>
            </w:pPr>
            <w:r>
              <w:rPr>
                <w:sz w:val="16"/>
                <w:szCs w:val="16"/>
                <w:lang w:eastAsia="zh-CN"/>
              </w:rPr>
              <w:t>17.2.0</w:t>
            </w:r>
          </w:p>
        </w:tc>
      </w:tr>
      <w:tr w:rsidR="00385759" w:rsidRPr="00B916EC" w14:paraId="55C2069C"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6D61D02F" w14:textId="77777777" w:rsidR="00385759" w:rsidRPr="00B916EC" w:rsidRDefault="00385759"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C7C87B8" w14:textId="77777777" w:rsidR="00385759" w:rsidRPr="00B916EC" w:rsidRDefault="00385759" w:rsidP="00BC0321">
            <w:pPr>
              <w:pStyle w:val="TAL"/>
              <w:rPr>
                <w:sz w:val="16"/>
                <w:szCs w:val="16"/>
                <w:lang w:eastAsia="zh-CN"/>
              </w:rPr>
            </w:pPr>
            <w:r w:rsidRPr="00B916EC">
              <w:rPr>
                <w:sz w:val="16"/>
                <w:szCs w:val="16"/>
                <w:lang w:eastAsia="zh-CN"/>
              </w:rPr>
              <w:t>RAN#</w:t>
            </w:r>
            <w:r>
              <w:rPr>
                <w:sz w:val="16"/>
                <w:szCs w:val="16"/>
                <w:lang w:eastAsia="zh-CN"/>
              </w:rPr>
              <w:t>96</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06F865F" w14:textId="6A664C19" w:rsidR="00385759" w:rsidRDefault="00385759" w:rsidP="00BC0321">
            <w:pPr>
              <w:pStyle w:val="TAL"/>
              <w:rPr>
                <w:sz w:val="16"/>
                <w:szCs w:val="16"/>
                <w:lang w:eastAsia="zh-CN"/>
              </w:rPr>
            </w:pPr>
            <w:r>
              <w:rPr>
                <w:sz w:val="16"/>
                <w:szCs w:val="16"/>
                <w:lang w:eastAsia="zh-CN"/>
              </w:rPr>
              <w:t>RP-221614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182ACE6" w14:textId="335BCB92" w:rsidR="00385759" w:rsidRDefault="00385759" w:rsidP="00BC0321">
            <w:pPr>
              <w:pStyle w:val="TAL"/>
              <w:rPr>
                <w:sz w:val="16"/>
                <w:szCs w:val="16"/>
              </w:rPr>
            </w:pPr>
            <w:r>
              <w:rPr>
                <w:sz w:val="16"/>
                <w:szCs w:val="16"/>
              </w:rPr>
              <w:t>0331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D2FCAD8" w14:textId="77777777" w:rsidR="00385759" w:rsidRDefault="00385759"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D85B1C3" w14:textId="77777777" w:rsidR="00385759" w:rsidRDefault="00385759"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D0151E4" w14:textId="6E8F7A7B" w:rsidR="00385759" w:rsidRPr="005D126D" w:rsidRDefault="00385759" w:rsidP="00BC0321">
            <w:pPr>
              <w:spacing w:after="0"/>
              <w:rPr>
                <w:rFonts w:ascii="Arial" w:hAnsi="Arial"/>
                <w:sz w:val="16"/>
              </w:rPr>
            </w:pPr>
            <w:r w:rsidRPr="00385759">
              <w:rPr>
                <w:rFonts w:ascii="Arial" w:hAnsi="Arial"/>
                <w:sz w:val="16"/>
              </w:rPr>
              <w:t>Corrections on further Multi-RAT Dual-Connectivity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6AF7FAE" w14:textId="77777777" w:rsidR="00385759" w:rsidRDefault="00385759" w:rsidP="00BC0321">
            <w:pPr>
              <w:pStyle w:val="TAL"/>
              <w:rPr>
                <w:sz w:val="16"/>
                <w:szCs w:val="16"/>
                <w:lang w:eastAsia="zh-CN"/>
              </w:rPr>
            </w:pPr>
            <w:r>
              <w:rPr>
                <w:sz w:val="16"/>
                <w:szCs w:val="16"/>
                <w:lang w:eastAsia="zh-CN"/>
              </w:rPr>
              <w:t>17.2.0</w:t>
            </w:r>
          </w:p>
        </w:tc>
      </w:tr>
      <w:tr w:rsidR="00E970EC" w:rsidRPr="00B916EC" w14:paraId="0EEE93AA"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037C7907" w14:textId="5E34C118" w:rsidR="00E970EC" w:rsidRPr="00B916EC" w:rsidRDefault="00E970EC"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93BB23F" w14:textId="76C41EC7" w:rsidR="00E970EC" w:rsidRPr="00B916EC" w:rsidRDefault="00E970EC"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231F746" w14:textId="747524A4" w:rsidR="00E970EC" w:rsidRDefault="00E970EC" w:rsidP="00BC0321">
            <w:pPr>
              <w:pStyle w:val="TAL"/>
              <w:rPr>
                <w:sz w:val="16"/>
                <w:szCs w:val="16"/>
                <w:lang w:eastAsia="zh-CN"/>
              </w:rPr>
            </w:pPr>
            <w:r>
              <w:rPr>
                <w:sz w:val="16"/>
                <w:szCs w:val="16"/>
                <w:lang w:eastAsia="zh-CN"/>
              </w:rPr>
              <w:t>RP-222400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1E810D9" w14:textId="7DE49F44" w:rsidR="00E970EC" w:rsidRDefault="00E970EC" w:rsidP="00BC0321">
            <w:pPr>
              <w:pStyle w:val="TAL"/>
              <w:rPr>
                <w:sz w:val="16"/>
                <w:szCs w:val="16"/>
              </w:rPr>
            </w:pPr>
            <w:r>
              <w:rPr>
                <w:sz w:val="16"/>
                <w:szCs w:val="16"/>
              </w:rPr>
              <w:t>0332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EDB1532" w14:textId="77777777" w:rsidR="00E970EC" w:rsidRDefault="00E970E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5C8FA21" w14:textId="77777777" w:rsidR="00E970EC" w:rsidRDefault="00E970E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A308B19" w14:textId="218F0F9B" w:rsidR="00E970EC" w:rsidRPr="005D126D" w:rsidRDefault="00E970EC" w:rsidP="00BC0321">
            <w:pPr>
              <w:spacing w:after="0"/>
              <w:rPr>
                <w:rFonts w:ascii="Arial" w:hAnsi="Arial"/>
                <w:sz w:val="16"/>
              </w:rPr>
            </w:pPr>
            <w:r w:rsidRPr="00E970EC">
              <w:rPr>
                <w:rFonts w:ascii="Arial" w:hAnsi="Arial"/>
                <w:sz w:val="16"/>
              </w:rPr>
              <w:t>CR on PDCCH repetition with SSSG switching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3550005" w14:textId="15486FBA" w:rsidR="00E970EC" w:rsidRDefault="00E970EC" w:rsidP="00BC0321">
            <w:pPr>
              <w:pStyle w:val="TAL"/>
              <w:rPr>
                <w:sz w:val="16"/>
                <w:szCs w:val="16"/>
                <w:lang w:eastAsia="zh-CN"/>
              </w:rPr>
            </w:pPr>
            <w:r>
              <w:rPr>
                <w:sz w:val="16"/>
                <w:szCs w:val="16"/>
                <w:lang w:eastAsia="zh-CN"/>
              </w:rPr>
              <w:t>17.3.0</w:t>
            </w:r>
          </w:p>
        </w:tc>
      </w:tr>
      <w:tr w:rsidR="00E338ED" w:rsidRPr="00B916EC" w14:paraId="54B1C455"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7AEB65CE" w14:textId="77777777" w:rsidR="00E338ED" w:rsidRPr="00B916EC" w:rsidRDefault="00E338E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3AD7E35" w14:textId="77777777" w:rsidR="00E338ED" w:rsidRPr="00B916EC" w:rsidRDefault="00E338ED"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1CF8029" w14:textId="3E4A3D19" w:rsidR="00E338ED" w:rsidRDefault="00E338ED" w:rsidP="00BC0321">
            <w:pPr>
              <w:pStyle w:val="TAL"/>
              <w:rPr>
                <w:sz w:val="16"/>
                <w:szCs w:val="16"/>
                <w:lang w:eastAsia="zh-CN"/>
              </w:rPr>
            </w:pPr>
            <w:r>
              <w:rPr>
                <w:sz w:val="16"/>
                <w:szCs w:val="16"/>
                <w:lang w:eastAsia="zh-CN"/>
              </w:rPr>
              <w:t>RP-222397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074749F" w14:textId="3C02721F" w:rsidR="00E338ED" w:rsidRDefault="00E338ED" w:rsidP="00BC0321">
            <w:pPr>
              <w:pStyle w:val="TAL"/>
              <w:rPr>
                <w:sz w:val="16"/>
                <w:szCs w:val="16"/>
              </w:rPr>
            </w:pPr>
            <w:r>
              <w:rPr>
                <w:sz w:val="16"/>
                <w:szCs w:val="16"/>
              </w:rPr>
              <w:t>0334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EAAB56D" w14:textId="00889AFD" w:rsidR="00E338ED" w:rsidRDefault="00E338ED"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5FF033E" w14:textId="39450A90" w:rsidR="00E338ED" w:rsidRDefault="00E338ED"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32C4A0C" w14:textId="7EF220ED" w:rsidR="00E338ED" w:rsidRPr="005D126D" w:rsidRDefault="00E338ED" w:rsidP="00BC0321">
            <w:pPr>
              <w:spacing w:after="0"/>
              <w:rPr>
                <w:rFonts w:ascii="Arial" w:hAnsi="Arial"/>
                <w:sz w:val="16"/>
              </w:rPr>
            </w:pPr>
            <w:r w:rsidRPr="00E338ED">
              <w:rPr>
                <w:rFonts w:ascii="Arial" w:hAnsi="Arial"/>
                <w:sz w:val="16"/>
              </w:rPr>
              <w:t>Correction on DCI format 3_0 reception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521972F" w14:textId="77777777" w:rsidR="00E338ED" w:rsidRDefault="00E338ED" w:rsidP="00BC0321">
            <w:pPr>
              <w:pStyle w:val="TAL"/>
              <w:rPr>
                <w:sz w:val="16"/>
                <w:szCs w:val="16"/>
                <w:lang w:eastAsia="zh-CN"/>
              </w:rPr>
            </w:pPr>
            <w:r>
              <w:rPr>
                <w:sz w:val="16"/>
                <w:szCs w:val="16"/>
                <w:lang w:eastAsia="zh-CN"/>
              </w:rPr>
              <w:t>17.3.0</w:t>
            </w:r>
          </w:p>
        </w:tc>
      </w:tr>
      <w:tr w:rsidR="00E338ED" w:rsidRPr="00B916EC" w14:paraId="3C858DF9"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1276D567" w14:textId="77777777" w:rsidR="00E338ED" w:rsidRPr="00B916EC" w:rsidRDefault="00E338E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3E58AA2" w14:textId="77777777" w:rsidR="00E338ED" w:rsidRPr="00B916EC" w:rsidRDefault="00E338ED"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8046E39" w14:textId="4681CF3E" w:rsidR="00E338ED" w:rsidRDefault="00E338ED" w:rsidP="00BC0321">
            <w:pPr>
              <w:pStyle w:val="TAL"/>
              <w:rPr>
                <w:sz w:val="16"/>
                <w:szCs w:val="16"/>
                <w:lang w:eastAsia="zh-CN"/>
              </w:rPr>
            </w:pPr>
            <w:r>
              <w:rPr>
                <w:sz w:val="16"/>
                <w:szCs w:val="16"/>
                <w:lang w:eastAsia="zh-CN"/>
              </w:rPr>
              <w:t>RP-222401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D0566D5" w14:textId="5D9CA174" w:rsidR="00E338ED" w:rsidRDefault="00E338ED" w:rsidP="00BC0321">
            <w:pPr>
              <w:pStyle w:val="TAL"/>
              <w:rPr>
                <w:sz w:val="16"/>
                <w:szCs w:val="16"/>
              </w:rPr>
            </w:pPr>
            <w:r>
              <w:rPr>
                <w:sz w:val="16"/>
                <w:szCs w:val="16"/>
              </w:rPr>
              <w:t>0335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346E953" w14:textId="6696D9F7" w:rsidR="00E338ED" w:rsidRDefault="00E338E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271D703" w14:textId="6365BA58" w:rsidR="00E338ED" w:rsidRDefault="00E338E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4528154" w14:textId="681B9E0B" w:rsidR="00E338ED" w:rsidRPr="005D126D" w:rsidRDefault="00E338ED" w:rsidP="00BC0321">
            <w:pPr>
              <w:spacing w:after="0"/>
              <w:rPr>
                <w:rFonts w:ascii="Arial" w:hAnsi="Arial"/>
                <w:sz w:val="16"/>
              </w:rPr>
            </w:pPr>
            <w:r w:rsidRPr="00E338ED">
              <w:rPr>
                <w:rFonts w:ascii="Arial" w:hAnsi="Arial"/>
                <w:sz w:val="16"/>
              </w:rPr>
              <w:t>Corrections on the value of slot configuration period in TS 38.213 for the features extending NR operation to 71 GHz</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C38724C" w14:textId="77777777" w:rsidR="00E338ED" w:rsidRDefault="00E338ED" w:rsidP="00BC0321">
            <w:pPr>
              <w:pStyle w:val="TAL"/>
              <w:rPr>
                <w:sz w:val="16"/>
                <w:szCs w:val="16"/>
                <w:lang w:eastAsia="zh-CN"/>
              </w:rPr>
            </w:pPr>
            <w:r>
              <w:rPr>
                <w:sz w:val="16"/>
                <w:szCs w:val="16"/>
                <w:lang w:eastAsia="zh-CN"/>
              </w:rPr>
              <w:t>17.3.0</w:t>
            </w:r>
          </w:p>
        </w:tc>
      </w:tr>
      <w:tr w:rsidR="00095CD6" w:rsidRPr="00B916EC" w14:paraId="2AE81E89"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580688F0" w14:textId="77777777" w:rsidR="00095CD6" w:rsidRPr="00B916EC" w:rsidRDefault="00095CD6"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DC0410C" w14:textId="77777777" w:rsidR="00095CD6" w:rsidRPr="00B916EC" w:rsidRDefault="00095CD6"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38C2561" w14:textId="518DE232" w:rsidR="00095CD6" w:rsidRDefault="00095CD6" w:rsidP="00BC0321">
            <w:pPr>
              <w:pStyle w:val="TAL"/>
              <w:rPr>
                <w:sz w:val="16"/>
                <w:szCs w:val="16"/>
                <w:lang w:eastAsia="zh-CN"/>
              </w:rPr>
            </w:pPr>
            <w:r>
              <w:rPr>
                <w:sz w:val="16"/>
                <w:szCs w:val="16"/>
                <w:lang w:eastAsia="zh-CN"/>
              </w:rPr>
              <w:t>RP-222404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282C0AC" w14:textId="50EA2194" w:rsidR="00095CD6" w:rsidRDefault="00095CD6" w:rsidP="00BC0321">
            <w:pPr>
              <w:pStyle w:val="TAL"/>
              <w:rPr>
                <w:sz w:val="16"/>
                <w:szCs w:val="16"/>
              </w:rPr>
            </w:pPr>
            <w:r>
              <w:rPr>
                <w:sz w:val="16"/>
                <w:szCs w:val="16"/>
              </w:rPr>
              <w:t>0336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D26566E" w14:textId="77777777" w:rsidR="00095CD6" w:rsidRDefault="00095CD6"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2CEB2E5" w14:textId="77777777" w:rsidR="00095CD6" w:rsidRDefault="00095CD6"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EB1DBA1" w14:textId="1FF56A76" w:rsidR="00095CD6" w:rsidRPr="005D126D" w:rsidRDefault="00095CD6" w:rsidP="00BC0321">
            <w:pPr>
              <w:spacing w:after="0"/>
              <w:rPr>
                <w:rFonts w:ascii="Arial" w:hAnsi="Arial"/>
                <w:sz w:val="16"/>
              </w:rPr>
            </w:pPr>
            <w:r w:rsidRPr="00095CD6">
              <w:rPr>
                <w:rFonts w:ascii="Arial" w:hAnsi="Arial"/>
                <w:sz w:val="16"/>
              </w:rPr>
              <w:t>Correction of BWP for SRS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435A32" w14:textId="77777777" w:rsidR="00095CD6" w:rsidRDefault="00095CD6" w:rsidP="00BC0321">
            <w:pPr>
              <w:pStyle w:val="TAL"/>
              <w:rPr>
                <w:sz w:val="16"/>
                <w:szCs w:val="16"/>
                <w:lang w:eastAsia="zh-CN"/>
              </w:rPr>
            </w:pPr>
            <w:r>
              <w:rPr>
                <w:sz w:val="16"/>
                <w:szCs w:val="16"/>
                <w:lang w:eastAsia="zh-CN"/>
              </w:rPr>
              <w:t>17.3.0</w:t>
            </w:r>
          </w:p>
        </w:tc>
      </w:tr>
      <w:tr w:rsidR="00393F9D" w:rsidRPr="00B916EC" w14:paraId="2EA88C13"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6BA32EA9" w14:textId="77777777" w:rsidR="00393F9D" w:rsidRPr="00B916EC" w:rsidRDefault="00393F9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E41F477" w14:textId="77777777" w:rsidR="00393F9D" w:rsidRPr="00B916EC" w:rsidRDefault="00393F9D"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34C68CC" w14:textId="67CF95D9" w:rsidR="00393F9D" w:rsidRDefault="00393F9D" w:rsidP="00BC0321">
            <w:pPr>
              <w:pStyle w:val="TAL"/>
              <w:rPr>
                <w:sz w:val="16"/>
                <w:szCs w:val="16"/>
                <w:lang w:eastAsia="zh-CN"/>
              </w:rPr>
            </w:pPr>
            <w:r>
              <w:rPr>
                <w:sz w:val="16"/>
                <w:szCs w:val="16"/>
                <w:lang w:eastAsia="zh-CN"/>
              </w:rPr>
              <w:t>RP-222401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55D45C8" w14:textId="46733609" w:rsidR="00393F9D" w:rsidRDefault="00393F9D" w:rsidP="00BC0321">
            <w:pPr>
              <w:pStyle w:val="TAL"/>
              <w:rPr>
                <w:sz w:val="16"/>
                <w:szCs w:val="16"/>
              </w:rPr>
            </w:pPr>
            <w:r>
              <w:rPr>
                <w:sz w:val="16"/>
                <w:szCs w:val="16"/>
              </w:rPr>
              <w:t>0337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64AE43E" w14:textId="77777777" w:rsidR="00393F9D" w:rsidRDefault="00393F9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2230F84" w14:textId="77777777" w:rsidR="00393F9D" w:rsidRDefault="00393F9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6171180" w14:textId="2154B960" w:rsidR="00393F9D" w:rsidRPr="005D126D" w:rsidRDefault="00393F9D" w:rsidP="00BC0321">
            <w:pPr>
              <w:spacing w:after="0"/>
              <w:rPr>
                <w:rFonts w:ascii="Arial" w:hAnsi="Arial"/>
                <w:sz w:val="16"/>
              </w:rPr>
            </w:pPr>
            <w:r w:rsidRPr="00393F9D">
              <w:rPr>
                <w:rFonts w:ascii="Arial" w:hAnsi="Arial"/>
                <w:sz w:val="16"/>
              </w:rPr>
              <w:t>Correction on the tables for determining Type0 PDCCH monitoring occasions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E07071C" w14:textId="77777777" w:rsidR="00393F9D" w:rsidRDefault="00393F9D" w:rsidP="00BC0321">
            <w:pPr>
              <w:pStyle w:val="TAL"/>
              <w:rPr>
                <w:sz w:val="16"/>
                <w:szCs w:val="16"/>
                <w:lang w:eastAsia="zh-CN"/>
              </w:rPr>
            </w:pPr>
            <w:r>
              <w:rPr>
                <w:sz w:val="16"/>
                <w:szCs w:val="16"/>
                <w:lang w:eastAsia="zh-CN"/>
              </w:rPr>
              <w:t>17.3.0</w:t>
            </w:r>
          </w:p>
        </w:tc>
      </w:tr>
      <w:tr w:rsidR="00393F9D" w:rsidRPr="00B916EC" w14:paraId="3D40AA2A"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4442DCDC" w14:textId="77777777" w:rsidR="00393F9D" w:rsidRPr="00B916EC" w:rsidRDefault="00393F9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41FAD6D" w14:textId="77777777" w:rsidR="00393F9D" w:rsidRPr="00B916EC" w:rsidRDefault="00393F9D"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E4D0FB4" w14:textId="04D14C05" w:rsidR="00393F9D" w:rsidRDefault="00393F9D" w:rsidP="00BC0321">
            <w:pPr>
              <w:pStyle w:val="TAL"/>
              <w:rPr>
                <w:sz w:val="16"/>
                <w:szCs w:val="16"/>
                <w:lang w:eastAsia="zh-CN"/>
              </w:rPr>
            </w:pPr>
            <w:r>
              <w:rPr>
                <w:sz w:val="16"/>
                <w:szCs w:val="16"/>
                <w:lang w:eastAsia="zh-CN"/>
              </w:rPr>
              <w:t>RP-222418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D6055D0" w14:textId="22E9BD48" w:rsidR="00393F9D" w:rsidRDefault="00393F9D" w:rsidP="00BC0321">
            <w:pPr>
              <w:pStyle w:val="TAL"/>
              <w:rPr>
                <w:sz w:val="16"/>
                <w:szCs w:val="16"/>
              </w:rPr>
            </w:pPr>
            <w:r>
              <w:rPr>
                <w:sz w:val="16"/>
                <w:szCs w:val="16"/>
              </w:rPr>
              <w:t>0338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3C8FC36" w14:textId="77777777" w:rsidR="00393F9D" w:rsidRDefault="00393F9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0804975" w14:textId="77777777" w:rsidR="00393F9D" w:rsidRDefault="00393F9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48EDCED" w14:textId="65985CC5" w:rsidR="00393F9D" w:rsidRPr="005D126D" w:rsidRDefault="00393F9D" w:rsidP="00BC0321">
            <w:pPr>
              <w:spacing w:after="0"/>
              <w:rPr>
                <w:rFonts w:ascii="Arial" w:hAnsi="Arial"/>
                <w:sz w:val="16"/>
              </w:rPr>
            </w:pPr>
            <w:r w:rsidRPr="00393F9D">
              <w:rPr>
                <w:rFonts w:ascii="Arial" w:hAnsi="Arial"/>
                <w:sz w:val="16"/>
              </w:rPr>
              <w:t>Corrections of redundancy version for SDT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7BE5E9E" w14:textId="77777777" w:rsidR="00393F9D" w:rsidRDefault="00393F9D" w:rsidP="00BC0321">
            <w:pPr>
              <w:pStyle w:val="TAL"/>
              <w:rPr>
                <w:sz w:val="16"/>
                <w:szCs w:val="16"/>
                <w:lang w:eastAsia="zh-CN"/>
              </w:rPr>
            </w:pPr>
            <w:r>
              <w:rPr>
                <w:sz w:val="16"/>
                <w:szCs w:val="16"/>
                <w:lang w:eastAsia="zh-CN"/>
              </w:rPr>
              <w:t>17.3.0</w:t>
            </w:r>
          </w:p>
        </w:tc>
      </w:tr>
      <w:tr w:rsidR="007242CB" w:rsidRPr="00B916EC" w14:paraId="6C1695A7"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536AAFD2" w14:textId="77777777" w:rsidR="007242CB" w:rsidRPr="00B916EC" w:rsidRDefault="007242CB" w:rsidP="00BC0321">
            <w:pPr>
              <w:spacing w:after="0"/>
              <w:jc w:val="center"/>
              <w:rPr>
                <w:rFonts w:ascii="Arial" w:hAnsi="Arial"/>
                <w:snapToGrid w:val="0"/>
                <w:sz w:val="16"/>
                <w:szCs w:val="16"/>
              </w:rPr>
            </w:pPr>
            <w:r w:rsidRPr="00B916EC">
              <w:rPr>
                <w:rFonts w:ascii="Arial" w:hAnsi="Arial"/>
                <w:snapToGrid w:val="0"/>
                <w:sz w:val="16"/>
                <w:szCs w:val="16"/>
              </w:rPr>
              <w:lastRenderedPageBreak/>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EE7F144" w14:textId="77777777" w:rsidR="007242CB" w:rsidRPr="00B916EC" w:rsidRDefault="007242CB"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31F9FB5" w14:textId="63B0D0A8" w:rsidR="007242CB" w:rsidRDefault="007242CB" w:rsidP="00BC0321">
            <w:pPr>
              <w:pStyle w:val="TAL"/>
              <w:rPr>
                <w:sz w:val="16"/>
                <w:szCs w:val="16"/>
                <w:lang w:eastAsia="zh-CN"/>
              </w:rPr>
            </w:pPr>
            <w:r>
              <w:rPr>
                <w:sz w:val="16"/>
                <w:szCs w:val="16"/>
                <w:lang w:eastAsia="zh-CN"/>
              </w:rPr>
              <w:t>RP-222403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F3ED312" w14:textId="319DC302" w:rsidR="007242CB" w:rsidRDefault="007242CB" w:rsidP="00BC0321">
            <w:pPr>
              <w:pStyle w:val="TAL"/>
              <w:rPr>
                <w:sz w:val="16"/>
                <w:szCs w:val="16"/>
              </w:rPr>
            </w:pPr>
            <w:r>
              <w:rPr>
                <w:sz w:val="16"/>
                <w:szCs w:val="16"/>
              </w:rPr>
              <w:t>0339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8343E18" w14:textId="71FDAC9C" w:rsidR="007242CB" w:rsidRDefault="007242CB"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73EEF6B" w14:textId="77777777" w:rsidR="007242CB" w:rsidRDefault="007242CB"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473A766" w14:textId="646E1EB1" w:rsidR="007242CB" w:rsidRPr="005D126D" w:rsidRDefault="007242CB" w:rsidP="00BC0321">
            <w:pPr>
              <w:spacing w:after="0"/>
              <w:rPr>
                <w:rFonts w:ascii="Arial" w:hAnsi="Arial"/>
                <w:sz w:val="16"/>
              </w:rPr>
            </w:pPr>
            <w:r w:rsidRPr="007242CB">
              <w:rPr>
                <w:rFonts w:ascii="Arial" w:hAnsi="Arial"/>
                <w:sz w:val="16"/>
              </w:rPr>
              <w:t>CR on the clarification of PUCCH resource determination in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3E9D17D" w14:textId="77777777" w:rsidR="007242CB" w:rsidRDefault="007242CB" w:rsidP="00BC0321">
            <w:pPr>
              <w:pStyle w:val="TAL"/>
              <w:rPr>
                <w:sz w:val="16"/>
                <w:szCs w:val="16"/>
                <w:lang w:eastAsia="zh-CN"/>
              </w:rPr>
            </w:pPr>
            <w:r>
              <w:rPr>
                <w:sz w:val="16"/>
                <w:szCs w:val="16"/>
                <w:lang w:eastAsia="zh-CN"/>
              </w:rPr>
              <w:t>17.3.0</w:t>
            </w:r>
          </w:p>
        </w:tc>
      </w:tr>
      <w:tr w:rsidR="007242CB" w:rsidRPr="00B916EC" w14:paraId="5403149F"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7A18AA46" w14:textId="77777777" w:rsidR="007242CB" w:rsidRPr="00B916EC" w:rsidRDefault="007242CB"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F4949C0" w14:textId="77777777" w:rsidR="007242CB" w:rsidRPr="00B916EC" w:rsidRDefault="007242CB"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99F0A37" w14:textId="77777777" w:rsidR="007242CB" w:rsidRDefault="007242CB" w:rsidP="00BC0321">
            <w:pPr>
              <w:pStyle w:val="TAL"/>
              <w:rPr>
                <w:sz w:val="16"/>
                <w:szCs w:val="16"/>
                <w:lang w:eastAsia="zh-CN"/>
              </w:rPr>
            </w:pPr>
            <w:r>
              <w:rPr>
                <w:sz w:val="16"/>
                <w:szCs w:val="16"/>
                <w:lang w:eastAsia="zh-CN"/>
              </w:rPr>
              <w:t>RP-222403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557B40D" w14:textId="0A82705B" w:rsidR="007242CB" w:rsidRDefault="007242CB" w:rsidP="00BC0321">
            <w:pPr>
              <w:pStyle w:val="TAL"/>
              <w:rPr>
                <w:sz w:val="16"/>
                <w:szCs w:val="16"/>
              </w:rPr>
            </w:pPr>
            <w:r>
              <w:rPr>
                <w:sz w:val="16"/>
                <w:szCs w:val="16"/>
              </w:rPr>
              <w:t>0340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0A328EB" w14:textId="77777777" w:rsidR="007242CB" w:rsidRDefault="007242CB"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E65A32E" w14:textId="77777777" w:rsidR="007242CB" w:rsidRDefault="007242CB"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C31CD17" w14:textId="02DCF8A1" w:rsidR="007242CB" w:rsidRPr="005D126D" w:rsidRDefault="007242CB" w:rsidP="00BC0321">
            <w:pPr>
              <w:spacing w:after="0"/>
              <w:rPr>
                <w:rFonts w:ascii="Arial" w:hAnsi="Arial"/>
                <w:sz w:val="16"/>
              </w:rPr>
            </w:pPr>
            <w:r w:rsidRPr="007242CB">
              <w:rPr>
                <w:rFonts w:ascii="Arial" w:hAnsi="Arial"/>
                <w:sz w:val="16"/>
              </w:rPr>
              <w:t>CR on the description about HARQ-feedbackEnablingforSPSactive in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D95B9BB" w14:textId="77777777" w:rsidR="007242CB" w:rsidRDefault="007242CB" w:rsidP="00BC0321">
            <w:pPr>
              <w:pStyle w:val="TAL"/>
              <w:rPr>
                <w:sz w:val="16"/>
                <w:szCs w:val="16"/>
                <w:lang w:eastAsia="zh-CN"/>
              </w:rPr>
            </w:pPr>
            <w:r>
              <w:rPr>
                <w:sz w:val="16"/>
                <w:szCs w:val="16"/>
                <w:lang w:eastAsia="zh-CN"/>
              </w:rPr>
              <w:t>17.3.0</w:t>
            </w:r>
          </w:p>
        </w:tc>
      </w:tr>
      <w:tr w:rsidR="00B36C4A" w:rsidRPr="00B916EC" w14:paraId="17E17468"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571022A3" w14:textId="77777777" w:rsidR="00B36C4A" w:rsidRPr="00B916EC" w:rsidRDefault="00B36C4A"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10DAFE4" w14:textId="77777777" w:rsidR="00B36C4A" w:rsidRPr="00B916EC" w:rsidRDefault="00B36C4A"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5218E27" w14:textId="37A72111" w:rsidR="00B36C4A" w:rsidRDefault="00B36C4A" w:rsidP="00BC0321">
            <w:pPr>
              <w:pStyle w:val="TAL"/>
              <w:rPr>
                <w:sz w:val="16"/>
                <w:szCs w:val="16"/>
                <w:lang w:eastAsia="zh-CN"/>
              </w:rPr>
            </w:pPr>
            <w:r>
              <w:rPr>
                <w:sz w:val="16"/>
                <w:szCs w:val="16"/>
                <w:lang w:eastAsia="zh-CN"/>
              </w:rPr>
              <w:t>RP-222401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3573D38" w14:textId="663D10E3" w:rsidR="00B36C4A" w:rsidRDefault="00B36C4A" w:rsidP="00BC0321">
            <w:pPr>
              <w:pStyle w:val="TAL"/>
              <w:rPr>
                <w:sz w:val="16"/>
                <w:szCs w:val="16"/>
              </w:rPr>
            </w:pPr>
            <w:r>
              <w:rPr>
                <w:sz w:val="16"/>
                <w:szCs w:val="16"/>
              </w:rPr>
              <w:t>0342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4D45906" w14:textId="1733CD57" w:rsidR="00B36C4A" w:rsidRDefault="00B36C4A"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1680031" w14:textId="77777777" w:rsidR="00B36C4A" w:rsidRDefault="00B36C4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DDC1670" w14:textId="769ADD13" w:rsidR="00B36C4A" w:rsidRPr="005D126D" w:rsidRDefault="00B36C4A" w:rsidP="00BC0321">
            <w:pPr>
              <w:spacing w:after="0"/>
              <w:rPr>
                <w:rFonts w:ascii="Arial" w:hAnsi="Arial"/>
                <w:sz w:val="16"/>
              </w:rPr>
            </w:pPr>
            <w:r w:rsidRPr="00B36C4A">
              <w:rPr>
                <w:rFonts w:ascii="Arial" w:hAnsi="Arial"/>
                <w:sz w:val="16"/>
              </w:rPr>
              <w:t>Correction on multi-slot PDCCH monitoring in NR-DC and CA scenarios with mixed capability types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F55C131" w14:textId="77777777" w:rsidR="00B36C4A" w:rsidRDefault="00B36C4A" w:rsidP="00BC0321">
            <w:pPr>
              <w:pStyle w:val="TAL"/>
              <w:rPr>
                <w:sz w:val="16"/>
                <w:szCs w:val="16"/>
                <w:lang w:eastAsia="zh-CN"/>
              </w:rPr>
            </w:pPr>
            <w:r>
              <w:rPr>
                <w:sz w:val="16"/>
                <w:szCs w:val="16"/>
                <w:lang w:eastAsia="zh-CN"/>
              </w:rPr>
              <w:t>17.3.0</w:t>
            </w:r>
          </w:p>
        </w:tc>
      </w:tr>
      <w:tr w:rsidR="008B3FB9" w:rsidRPr="00B916EC" w14:paraId="20E8796B"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6469C254" w14:textId="77777777" w:rsidR="008B3FB9" w:rsidRPr="00B916EC" w:rsidRDefault="008B3FB9"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850F871" w14:textId="77777777" w:rsidR="008B3FB9" w:rsidRPr="00B916EC" w:rsidRDefault="008B3FB9"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557DE6A" w14:textId="222C6CCF" w:rsidR="008B3FB9" w:rsidRDefault="008B3FB9" w:rsidP="00BC0321">
            <w:pPr>
              <w:pStyle w:val="TAL"/>
              <w:rPr>
                <w:sz w:val="16"/>
                <w:szCs w:val="16"/>
                <w:lang w:eastAsia="zh-CN"/>
              </w:rPr>
            </w:pPr>
            <w:r>
              <w:rPr>
                <w:sz w:val="16"/>
                <w:szCs w:val="16"/>
                <w:lang w:eastAsia="zh-CN"/>
              </w:rPr>
              <w:t>RP-222400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6FC80C4" w14:textId="48886FEC" w:rsidR="008B3FB9" w:rsidRDefault="008B3FB9" w:rsidP="00BC0321">
            <w:pPr>
              <w:pStyle w:val="TAL"/>
              <w:rPr>
                <w:sz w:val="16"/>
                <w:szCs w:val="16"/>
              </w:rPr>
            </w:pPr>
            <w:r>
              <w:rPr>
                <w:sz w:val="16"/>
                <w:szCs w:val="16"/>
              </w:rPr>
              <w:t>0343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FE4CD7F" w14:textId="696394D7" w:rsidR="008B3FB9" w:rsidRDefault="008B3FB9" w:rsidP="00BC0321">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7AC695D" w14:textId="77777777" w:rsidR="008B3FB9" w:rsidRDefault="008B3FB9"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C52E1A9" w14:textId="110E3F03" w:rsidR="008B3FB9" w:rsidRPr="005D126D" w:rsidRDefault="008B3FB9" w:rsidP="00BC0321">
            <w:pPr>
              <w:spacing w:after="0"/>
              <w:rPr>
                <w:rFonts w:ascii="Arial" w:hAnsi="Arial"/>
                <w:sz w:val="16"/>
              </w:rPr>
            </w:pPr>
            <w:r w:rsidRPr="008B3FB9">
              <w:rPr>
                <w:rFonts w:ascii="Arial" w:hAnsi="Arial"/>
                <w:sz w:val="16"/>
              </w:rPr>
              <w:t>CR on inter-cell mTRP when SSBs of additional PCI overlap with UL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2A7F82C" w14:textId="77777777" w:rsidR="008B3FB9" w:rsidRDefault="008B3FB9" w:rsidP="00BC0321">
            <w:pPr>
              <w:pStyle w:val="TAL"/>
              <w:rPr>
                <w:sz w:val="16"/>
                <w:szCs w:val="16"/>
                <w:lang w:eastAsia="zh-CN"/>
              </w:rPr>
            </w:pPr>
            <w:r>
              <w:rPr>
                <w:sz w:val="16"/>
                <w:szCs w:val="16"/>
                <w:lang w:eastAsia="zh-CN"/>
              </w:rPr>
              <w:t>17.3.0</w:t>
            </w:r>
          </w:p>
        </w:tc>
      </w:tr>
      <w:tr w:rsidR="00F31BB9" w:rsidRPr="00B916EC" w14:paraId="70D0F9CC"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78F625ED" w14:textId="77777777" w:rsidR="00F31BB9" w:rsidRPr="00B916EC" w:rsidRDefault="00F31BB9"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619FBAC" w14:textId="77777777" w:rsidR="00F31BB9" w:rsidRPr="00B916EC" w:rsidRDefault="00F31BB9"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DD8B1A6" w14:textId="77777777" w:rsidR="00F31BB9" w:rsidRDefault="00F31BB9" w:rsidP="00BC0321">
            <w:pPr>
              <w:pStyle w:val="TAL"/>
              <w:rPr>
                <w:sz w:val="16"/>
                <w:szCs w:val="16"/>
                <w:lang w:eastAsia="zh-CN"/>
              </w:rPr>
            </w:pPr>
            <w:r>
              <w:rPr>
                <w:sz w:val="16"/>
                <w:szCs w:val="16"/>
                <w:lang w:eastAsia="zh-CN"/>
              </w:rPr>
              <w:t>RP-222400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D242809" w14:textId="1F29596A" w:rsidR="00F31BB9" w:rsidRDefault="00F31BB9" w:rsidP="00BC0321">
            <w:pPr>
              <w:pStyle w:val="TAL"/>
              <w:rPr>
                <w:sz w:val="16"/>
                <w:szCs w:val="16"/>
              </w:rPr>
            </w:pPr>
            <w:r>
              <w:rPr>
                <w:sz w:val="16"/>
                <w:szCs w:val="16"/>
              </w:rPr>
              <w:t>0344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F20CF7D" w14:textId="236A01F2" w:rsidR="00F31BB9" w:rsidRDefault="00F31BB9"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8C4CFBE" w14:textId="77777777" w:rsidR="00F31BB9" w:rsidRDefault="00F31BB9"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1628411" w14:textId="4E8FD1CE" w:rsidR="00F31BB9" w:rsidRPr="005D126D" w:rsidRDefault="00F31BB9" w:rsidP="00BC0321">
            <w:pPr>
              <w:spacing w:after="0"/>
              <w:rPr>
                <w:rFonts w:ascii="Arial" w:hAnsi="Arial"/>
                <w:sz w:val="16"/>
              </w:rPr>
            </w:pPr>
            <w:r w:rsidRPr="00F31BB9">
              <w:rPr>
                <w:rFonts w:ascii="Arial" w:hAnsi="Arial"/>
                <w:sz w:val="16"/>
              </w:rPr>
              <w:t>CR on default PUSCH power control parameters for mTRP PUSCH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B714410" w14:textId="77777777" w:rsidR="00F31BB9" w:rsidRDefault="00F31BB9" w:rsidP="00BC0321">
            <w:pPr>
              <w:pStyle w:val="TAL"/>
              <w:rPr>
                <w:sz w:val="16"/>
                <w:szCs w:val="16"/>
                <w:lang w:eastAsia="zh-CN"/>
              </w:rPr>
            </w:pPr>
            <w:r>
              <w:rPr>
                <w:sz w:val="16"/>
                <w:szCs w:val="16"/>
                <w:lang w:eastAsia="zh-CN"/>
              </w:rPr>
              <w:t>17.3.0</w:t>
            </w:r>
          </w:p>
        </w:tc>
      </w:tr>
      <w:tr w:rsidR="00F31BB9" w:rsidRPr="00B916EC" w14:paraId="2C332908"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7BF1CBE7" w14:textId="77777777" w:rsidR="00F31BB9" w:rsidRPr="00B916EC" w:rsidRDefault="00F31BB9"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6286524" w14:textId="77777777" w:rsidR="00F31BB9" w:rsidRPr="00B916EC" w:rsidRDefault="00F31BB9"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6BCD23F" w14:textId="77777777" w:rsidR="00F31BB9" w:rsidRDefault="00F31BB9" w:rsidP="00BC0321">
            <w:pPr>
              <w:pStyle w:val="TAL"/>
              <w:rPr>
                <w:sz w:val="16"/>
                <w:szCs w:val="16"/>
                <w:lang w:eastAsia="zh-CN"/>
              </w:rPr>
            </w:pPr>
            <w:r>
              <w:rPr>
                <w:sz w:val="16"/>
                <w:szCs w:val="16"/>
                <w:lang w:eastAsia="zh-CN"/>
              </w:rPr>
              <w:t>RP-222400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4DA8F42" w14:textId="14EFE55F" w:rsidR="00F31BB9" w:rsidRDefault="00F31BB9" w:rsidP="00BC0321">
            <w:pPr>
              <w:pStyle w:val="TAL"/>
              <w:rPr>
                <w:sz w:val="16"/>
                <w:szCs w:val="16"/>
              </w:rPr>
            </w:pPr>
            <w:r>
              <w:rPr>
                <w:sz w:val="16"/>
                <w:szCs w:val="16"/>
              </w:rPr>
              <w:t>0345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FB69EAE" w14:textId="77777777" w:rsidR="00F31BB9" w:rsidRDefault="00F31BB9"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BF272E5" w14:textId="77777777" w:rsidR="00F31BB9" w:rsidRDefault="00F31BB9"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F2E946F" w14:textId="3A3D1961" w:rsidR="00F31BB9" w:rsidRPr="005D126D" w:rsidRDefault="00F31BB9" w:rsidP="00BC0321">
            <w:pPr>
              <w:spacing w:after="0"/>
              <w:rPr>
                <w:rFonts w:ascii="Arial" w:hAnsi="Arial"/>
                <w:sz w:val="16"/>
              </w:rPr>
            </w:pPr>
            <w:r w:rsidRPr="00F31BB9">
              <w:rPr>
                <w:rFonts w:ascii="Arial" w:hAnsi="Arial"/>
                <w:sz w:val="16"/>
              </w:rPr>
              <w:t>CR for power control of mTRP PUSCH repetition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901269D" w14:textId="77777777" w:rsidR="00F31BB9" w:rsidRDefault="00F31BB9" w:rsidP="00BC0321">
            <w:pPr>
              <w:pStyle w:val="TAL"/>
              <w:rPr>
                <w:sz w:val="16"/>
                <w:szCs w:val="16"/>
                <w:lang w:eastAsia="zh-CN"/>
              </w:rPr>
            </w:pPr>
            <w:r>
              <w:rPr>
                <w:sz w:val="16"/>
                <w:szCs w:val="16"/>
                <w:lang w:eastAsia="zh-CN"/>
              </w:rPr>
              <w:t>17.3.0</w:t>
            </w:r>
          </w:p>
        </w:tc>
      </w:tr>
      <w:tr w:rsidR="004A535A" w:rsidRPr="00B916EC" w14:paraId="3830350E"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76484FD3" w14:textId="77777777" w:rsidR="004A535A" w:rsidRPr="00B916EC" w:rsidRDefault="004A535A"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F2B3BC0" w14:textId="77777777" w:rsidR="004A535A" w:rsidRPr="00B916EC" w:rsidRDefault="004A535A"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8A01662" w14:textId="72540CE4" w:rsidR="004A535A" w:rsidRDefault="004A535A" w:rsidP="00BC0321">
            <w:pPr>
              <w:pStyle w:val="TAL"/>
              <w:rPr>
                <w:sz w:val="16"/>
                <w:szCs w:val="16"/>
                <w:lang w:eastAsia="zh-CN"/>
              </w:rPr>
            </w:pPr>
            <w:r>
              <w:rPr>
                <w:sz w:val="16"/>
                <w:szCs w:val="16"/>
                <w:lang w:eastAsia="zh-CN"/>
              </w:rPr>
              <w:t>RP-222401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0877B14" w14:textId="189B8276" w:rsidR="004A535A" w:rsidRDefault="004A535A" w:rsidP="00BC0321">
            <w:pPr>
              <w:pStyle w:val="TAL"/>
              <w:rPr>
                <w:sz w:val="16"/>
                <w:szCs w:val="16"/>
              </w:rPr>
            </w:pPr>
            <w:r>
              <w:rPr>
                <w:sz w:val="16"/>
                <w:szCs w:val="16"/>
              </w:rPr>
              <w:t>0346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8898110" w14:textId="77777777" w:rsidR="004A535A" w:rsidRDefault="004A535A"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E2911A3" w14:textId="77777777" w:rsidR="004A535A" w:rsidRDefault="004A535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896775A" w14:textId="6319C957" w:rsidR="004A535A" w:rsidRPr="005D126D" w:rsidRDefault="004A535A" w:rsidP="00BC0321">
            <w:pPr>
              <w:spacing w:after="0"/>
              <w:rPr>
                <w:rFonts w:ascii="Arial" w:hAnsi="Arial"/>
                <w:sz w:val="16"/>
              </w:rPr>
            </w:pPr>
            <w:r w:rsidRPr="004A535A">
              <w:rPr>
                <w:rFonts w:ascii="Arial" w:hAnsi="Arial"/>
                <w:sz w:val="16"/>
              </w:rPr>
              <w:t>Corrections on PDCCH monitoring enhancement for 52-71GHz spectrum</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F6D8911" w14:textId="77777777" w:rsidR="004A535A" w:rsidRDefault="004A535A" w:rsidP="00BC0321">
            <w:pPr>
              <w:pStyle w:val="TAL"/>
              <w:rPr>
                <w:sz w:val="16"/>
                <w:szCs w:val="16"/>
                <w:lang w:eastAsia="zh-CN"/>
              </w:rPr>
            </w:pPr>
            <w:r>
              <w:rPr>
                <w:sz w:val="16"/>
                <w:szCs w:val="16"/>
                <w:lang w:eastAsia="zh-CN"/>
              </w:rPr>
              <w:t>17.3.0</w:t>
            </w:r>
          </w:p>
        </w:tc>
      </w:tr>
      <w:tr w:rsidR="004A535A" w:rsidRPr="00B916EC" w14:paraId="37B060EF"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7A737124" w14:textId="77777777" w:rsidR="004A535A" w:rsidRPr="00B916EC" w:rsidRDefault="004A535A"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9C87C06" w14:textId="77777777" w:rsidR="004A535A" w:rsidRPr="00B916EC" w:rsidRDefault="004A535A"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B4AB517" w14:textId="1A003220" w:rsidR="004A535A" w:rsidRDefault="004A535A" w:rsidP="00BC0321">
            <w:pPr>
              <w:pStyle w:val="TAL"/>
              <w:rPr>
                <w:sz w:val="16"/>
                <w:szCs w:val="16"/>
                <w:lang w:eastAsia="zh-CN"/>
              </w:rPr>
            </w:pPr>
            <w:r>
              <w:rPr>
                <w:sz w:val="16"/>
                <w:szCs w:val="16"/>
                <w:lang w:eastAsia="zh-CN"/>
              </w:rPr>
              <w:t>RP-222402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C121510" w14:textId="6AB265AC" w:rsidR="004A535A" w:rsidRDefault="004A535A" w:rsidP="00BC0321">
            <w:pPr>
              <w:pStyle w:val="TAL"/>
              <w:rPr>
                <w:sz w:val="16"/>
                <w:szCs w:val="16"/>
              </w:rPr>
            </w:pPr>
            <w:r>
              <w:rPr>
                <w:sz w:val="16"/>
                <w:szCs w:val="16"/>
              </w:rPr>
              <w:t>0347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CBEDB42" w14:textId="77777777" w:rsidR="004A535A" w:rsidRDefault="004A535A"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0EE41A8" w14:textId="77777777" w:rsidR="004A535A" w:rsidRDefault="004A535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F5972DE" w14:textId="34ED8CBF" w:rsidR="004A535A" w:rsidRPr="005D126D" w:rsidRDefault="004A535A" w:rsidP="00BC0321">
            <w:pPr>
              <w:spacing w:after="0"/>
              <w:rPr>
                <w:rFonts w:ascii="Arial" w:hAnsi="Arial"/>
                <w:sz w:val="16"/>
              </w:rPr>
            </w:pPr>
            <w:r w:rsidRPr="004A535A">
              <w:rPr>
                <w:rFonts w:ascii="Arial" w:hAnsi="Arial"/>
                <w:sz w:val="16"/>
              </w:rPr>
              <w:t>Correction for HARQ-ACK codebook generation for PUCCH cell switching and UL BWP switching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5988844" w14:textId="77777777" w:rsidR="004A535A" w:rsidRDefault="004A535A" w:rsidP="00BC0321">
            <w:pPr>
              <w:pStyle w:val="TAL"/>
              <w:rPr>
                <w:sz w:val="16"/>
                <w:szCs w:val="16"/>
                <w:lang w:eastAsia="zh-CN"/>
              </w:rPr>
            </w:pPr>
            <w:r>
              <w:rPr>
                <w:sz w:val="16"/>
                <w:szCs w:val="16"/>
                <w:lang w:eastAsia="zh-CN"/>
              </w:rPr>
              <w:t>17.3.0</w:t>
            </w:r>
          </w:p>
        </w:tc>
      </w:tr>
      <w:tr w:rsidR="004A535A" w:rsidRPr="00B916EC" w14:paraId="7EC73240"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0F0BA205" w14:textId="77777777" w:rsidR="004A535A" w:rsidRPr="00B916EC" w:rsidRDefault="004A535A"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C535A54" w14:textId="77777777" w:rsidR="004A535A" w:rsidRPr="00B916EC" w:rsidRDefault="004A535A"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4BD316B" w14:textId="22C73021" w:rsidR="004A535A" w:rsidRDefault="004A535A" w:rsidP="00BC0321">
            <w:pPr>
              <w:pStyle w:val="TAL"/>
              <w:rPr>
                <w:sz w:val="16"/>
                <w:szCs w:val="16"/>
                <w:lang w:eastAsia="zh-CN"/>
              </w:rPr>
            </w:pPr>
            <w:r>
              <w:rPr>
                <w:sz w:val="16"/>
                <w:szCs w:val="16"/>
                <w:lang w:eastAsia="zh-CN"/>
              </w:rPr>
              <w:t>RP-222401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91D94BC" w14:textId="08B47FF0" w:rsidR="004A535A" w:rsidRDefault="004A535A" w:rsidP="00BC0321">
            <w:pPr>
              <w:pStyle w:val="TAL"/>
              <w:rPr>
                <w:sz w:val="16"/>
                <w:szCs w:val="16"/>
              </w:rPr>
            </w:pPr>
            <w:r>
              <w:rPr>
                <w:sz w:val="16"/>
                <w:szCs w:val="16"/>
              </w:rPr>
              <w:t>0348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EDFD958" w14:textId="77777777" w:rsidR="004A535A" w:rsidRDefault="004A535A"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CA1F822" w14:textId="77777777" w:rsidR="004A535A" w:rsidRDefault="004A535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CB91128" w14:textId="01A7DB55" w:rsidR="004A535A" w:rsidRPr="005D126D" w:rsidRDefault="004A535A" w:rsidP="00BC0321">
            <w:pPr>
              <w:spacing w:after="0"/>
              <w:rPr>
                <w:rFonts w:ascii="Arial" w:hAnsi="Arial"/>
                <w:sz w:val="16"/>
              </w:rPr>
            </w:pPr>
            <w:r w:rsidRPr="004A535A">
              <w:rPr>
                <w:rFonts w:ascii="Arial" w:hAnsi="Arial"/>
                <w:sz w:val="16"/>
              </w:rPr>
              <w:t>Correction on a reference SCS configuration for co-DurationList in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2D41F72" w14:textId="77777777" w:rsidR="004A535A" w:rsidRDefault="004A535A" w:rsidP="00BC0321">
            <w:pPr>
              <w:pStyle w:val="TAL"/>
              <w:rPr>
                <w:sz w:val="16"/>
                <w:szCs w:val="16"/>
                <w:lang w:eastAsia="zh-CN"/>
              </w:rPr>
            </w:pPr>
            <w:r>
              <w:rPr>
                <w:sz w:val="16"/>
                <w:szCs w:val="16"/>
                <w:lang w:eastAsia="zh-CN"/>
              </w:rPr>
              <w:t>17.3.0</w:t>
            </w:r>
          </w:p>
        </w:tc>
      </w:tr>
      <w:tr w:rsidR="00261C5A" w:rsidRPr="00B916EC" w14:paraId="3F5F316E"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70550D7D" w14:textId="77777777" w:rsidR="00261C5A" w:rsidRPr="00B916EC" w:rsidRDefault="00261C5A"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9F35D3D" w14:textId="77777777" w:rsidR="00261C5A" w:rsidRPr="00B916EC" w:rsidRDefault="00261C5A"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84CA521" w14:textId="77777777" w:rsidR="00261C5A" w:rsidRDefault="00261C5A" w:rsidP="00BC0321">
            <w:pPr>
              <w:pStyle w:val="TAL"/>
              <w:rPr>
                <w:sz w:val="16"/>
                <w:szCs w:val="16"/>
                <w:lang w:eastAsia="zh-CN"/>
              </w:rPr>
            </w:pPr>
            <w:r>
              <w:rPr>
                <w:sz w:val="16"/>
                <w:szCs w:val="16"/>
                <w:lang w:eastAsia="zh-CN"/>
              </w:rPr>
              <w:t>RP-222401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F67D721" w14:textId="397787EF" w:rsidR="00261C5A" w:rsidRDefault="00261C5A" w:rsidP="00BC0321">
            <w:pPr>
              <w:pStyle w:val="TAL"/>
              <w:rPr>
                <w:sz w:val="16"/>
                <w:szCs w:val="16"/>
              </w:rPr>
            </w:pPr>
            <w:r>
              <w:rPr>
                <w:sz w:val="16"/>
                <w:szCs w:val="16"/>
              </w:rPr>
              <w:t>0349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DB4D54C" w14:textId="77777777" w:rsidR="00261C5A" w:rsidRDefault="00261C5A"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D6782F3" w14:textId="77777777" w:rsidR="00261C5A" w:rsidRDefault="00261C5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71782E9" w14:textId="2963DE42" w:rsidR="00261C5A" w:rsidRPr="005D126D" w:rsidRDefault="00261C5A" w:rsidP="00BC0321">
            <w:pPr>
              <w:spacing w:after="0"/>
              <w:rPr>
                <w:rFonts w:ascii="Arial" w:hAnsi="Arial"/>
                <w:sz w:val="16"/>
              </w:rPr>
            </w:pPr>
            <w:r w:rsidRPr="00261C5A">
              <w:rPr>
                <w:rFonts w:ascii="Arial" w:hAnsi="Arial"/>
                <w:sz w:val="16"/>
              </w:rPr>
              <w:t>Correction on Type-2 HARQ CB generation when both of spatial bundling and time bundling are configured</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C060E4B" w14:textId="77777777" w:rsidR="00261C5A" w:rsidRDefault="00261C5A" w:rsidP="00BC0321">
            <w:pPr>
              <w:pStyle w:val="TAL"/>
              <w:rPr>
                <w:sz w:val="16"/>
                <w:szCs w:val="16"/>
                <w:lang w:eastAsia="zh-CN"/>
              </w:rPr>
            </w:pPr>
            <w:r>
              <w:rPr>
                <w:sz w:val="16"/>
                <w:szCs w:val="16"/>
                <w:lang w:eastAsia="zh-CN"/>
              </w:rPr>
              <w:t>17.3.0</w:t>
            </w:r>
          </w:p>
        </w:tc>
      </w:tr>
      <w:tr w:rsidR="004F456D" w:rsidRPr="00B916EC" w14:paraId="1CFFAEB0"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6A3132C8" w14:textId="77777777" w:rsidR="004F456D" w:rsidRPr="00B916EC" w:rsidRDefault="004F456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C76239B" w14:textId="77777777" w:rsidR="004F456D" w:rsidRPr="00B916EC" w:rsidRDefault="004F456D"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B40E24D" w14:textId="77777777" w:rsidR="004F456D" w:rsidRDefault="004F456D" w:rsidP="00BC0321">
            <w:pPr>
              <w:pStyle w:val="TAL"/>
              <w:rPr>
                <w:sz w:val="16"/>
                <w:szCs w:val="16"/>
                <w:lang w:eastAsia="zh-CN"/>
              </w:rPr>
            </w:pPr>
            <w:r>
              <w:rPr>
                <w:sz w:val="16"/>
                <w:szCs w:val="16"/>
                <w:lang w:eastAsia="zh-CN"/>
              </w:rPr>
              <w:t>RP-222401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3367A83" w14:textId="6D054903" w:rsidR="004F456D" w:rsidRDefault="004F456D" w:rsidP="00BC0321">
            <w:pPr>
              <w:pStyle w:val="TAL"/>
              <w:rPr>
                <w:sz w:val="16"/>
                <w:szCs w:val="16"/>
              </w:rPr>
            </w:pPr>
            <w:r>
              <w:rPr>
                <w:sz w:val="16"/>
                <w:szCs w:val="16"/>
              </w:rPr>
              <w:t>0350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C06EBED" w14:textId="77777777" w:rsidR="004F456D" w:rsidRDefault="004F456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095B1FF" w14:textId="77777777" w:rsidR="004F456D" w:rsidRDefault="004F456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9DA67BE" w14:textId="3DD4054B" w:rsidR="004F456D" w:rsidRPr="005D126D" w:rsidRDefault="004F456D" w:rsidP="00BC0321">
            <w:pPr>
              <w:spacing w:after="0"/>
              <w:rPr>
                <w:rFonts w:ascii="Arial" w:hAnsi="Arial"/>
                <w:sz w:val="16"/>
              </w:rPr>
            </w:pPr>
            <w:r w:rsidRPr="004F456D">
              <w:rPr>
                <w:rFonts w:ascii="Arial" w:hAnsi="Arial"/>
                <w:sz w:val="16"/>
              </w:rPr>
              <w:t>Correction on Type-2 HARQ CB generation when time bundling is configured but spatial bundling is not configured</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ACAB147" w14:textId="77777777" w:rsidR="004F456D" w:rsidRDefault="004F456D" w:rsidP="00BC0321">
            <w:pPr>
              <w:pStyle w:val="TAL"/>
              <w:rPr>
                <w:sz w:val="16"/>
                <w:szCs w:val="16"/>
                <w:lang w:eastAsia="zh-CN"/>
              </w:rPr>
            </w:pPr>
            <w:r>
              <w:rPr>
                <w:sz w:val="16"/>
                <w:szCs w:val="16"/>
                <w:lang w:eastAsia="zh-CN"/>
              </w:rPr>
              <w:t>17.3.0</w:t>
            </w:r>
          </w:p>
        </w:tc>
      </w:tr>
      <w:tr w:rsidR="003510BA" w:rsidRPr="00B916EC" w14:paraId="76BF5BF3"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7C0386ED" w14:textId="77777777" w:rsidR="003510BA" w:rsidRPr="00B916EC" w:rsidRDefault="003510BA"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E5C3141" w14:textId="77777777" w:rsidR="003510BA" w:rsidRPr="00B916EC" w:rsidRDefault="003510BA"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1DA4788" w14:textId="626B02AD" w:rsidR="003510BA" w:rsidRDefault="003510BA" w:rsidP="00BC0321">
            <w:pPr>
              <w:pStyle w:val="TAL"/>
              <w:rPr>
                <w:sz w:val="16"/>
                <w:szCs w:val="16"/>
                <w:lang w:eastAsia="zh-CN"/>
              </w:rPr>
            </w:pPr>
            <w:r>
              <w:rPr>
                <w:sz w:val="16"/>
                <w:szCs w:val="16"/>
                <w:lang w:eastAsia="zh-CN"/>
              </w:rPr>
              <w:t>RP-222421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DF6F9BB" w14:textId="6B5418F9" w:rsidR="003510BA" w:rsidRDefault="003510BA" w:rsidP="00BC0321">
            <w:pPr>
              <w:pStyle w:val="TAL"/>
              <w:rPr>
                <w:sz w:val="16"/>
                <w:szCs w:val="16"/>
              </w:rPr>
            </w:pPr>
            <w:r>
              <w:rPr>
                <w:sz w:val="16"/>
                <w:szCs w:val="16"/>
              </w:rPr>
              <w:t>0352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6D76629" w14:textId="77777777" w:rsidR="003510BA" w:rsidRDefault="003510BA"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076E399" w14:textId="0CCD2DDA" w:rsidR="003510BA" w:rsidRDefault="003510BA"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C0640F8" w14:textId="5A2A700E" w:rsidR="003510BA" w:rsidRPr="005D126D" w:rsidRDefault="003510BA" w:rsidP="00BC0321">
            <w:pPr>
              <w:spacing w:after="0"/>
              <w:rPr>
                <w:rFonts w:ascii="Arial" w:hAnsi="Arial"/>
                <w:sz w:val="16"/>
              </w:rPr>
            </w:pPr>
            <w:r w:rsidRPr="003510BA">
              <w:rPr>
                <w:rFonts w:ascii="Arial" w:hAnsi="Arial"/>
                <w:sz w:val="16"/>
              </w:rPr>
              <w:t>CR on Rel-16 Type-1 HARQ-ACK codebook in PUCCH for SCell dormancy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6F74283" w14:textId="77777777" w:rsidR="003510BA" w:rsidRDefault="003510BA" w:rsidP="00BC0321">
            <w:pPr>
              <w:pStyle w:val="TAL"/>
              <w:rPr>
                <w:sz w:val="16"/>
                <w:szCs w:val="16"/>
                <w:lang w:eastAsia="zh-CN"/>
              </w:rPr>
            </w:pPr>
            <w:r>
              <w:rPr>
                <w:sz w:val="16"/>
                <w:szCs w:val="16"/>
                <w:lang w:eastAsia="zh-CN"/>
              </w:rPr>
              <w:t>17.3.0</w:t>
            </w:r>
          </w:p>
        </w:tc>
      </w:tr>
      <w:tr w:rsidR="003510BA" w:rsidRPr="00B916EC" w14:paraId="35AC3218"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70FB590A" w14:textId="77777777" w:rsidR="003510BA" w:rsidRPr="00B916EC" w:rsidRDefault="003510BA"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593CA44" w14:textId="77777777" w:rsidR="003510BA" w:rsidRPr="00B916EC" w:rsidRDefault="003510BA"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1C399CD" w14:textId="6C0020AA" w:rsidR="003510BA" w:rsidRDefault="003510BA" w:rsidP="00BC0321">
            <w:pPr>
              <w:pStyle w:val="TAL"/>
              <w:rPr>
                <w:sz w:val="16"/>
                <w:szCs w:val="16"/>
                <w:lang w:eastAsia="zh-CN"/>
              </w:rPr>
            </w:pPr>
            <w:r>
              <w:rPr>
                <w:sz w:val="16"/>
                <w:szCs w:val="16"/>
                <w:lang w:eastAsia="zh-CN"/>
              </w:rPr>
              <w:t>RP-222400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7F01422" w14:textId="067A4C15" w:rsidR="003510BA" w:rsidRDefault="003510BA" w:rsidP="00BC0321">
            <w:pPr>
              <w:pStyle w:val="TAL"/>
              <w:rPr>
                <w:sz w:val="16"/>
                <w:szCs w:val="16"/>
              </w:rPr>
            </w:pPr>
            <w:r>
              <w:rPr>
                <w:sz w:val="16"/>
                <w:szCs w:val="16"/>
              </w:rPr>
              <w:t>0354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0411AD8" w14:textId="77777777" w:rsidR="003510BA" w:rsidRDefault="003510BA"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CAF96AC" w14:textId="3105A433" w:rsidR="003510BA" w:rsidRDefault="003510B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7344C40" w14:textId="0C3EAE0E" w:rsidR="003510BA" w:rsidRPr="005D126D" w:rsidRDefault="003510BA" w:rsidP="00BC0321">
            <w:pPr>
              <w:spacing w:after="0"/>
              <w:rPr>
                <w:rFonts w:ascii="Arial" w:hAnsi="Arial"/>
                <w:sz w:val="16"/>
              </w:rPr>
            </w:pPr>
            <w:r w:rsidRPr="003510BA">
              <w:rPr>
                <w:rFonts w:ascii="Arial" w:hAnsi="Arial"/>
                <w:sz w:val="16"/>
              </w:rPr>
              <w:t>Correction of CSI assumptions over multiplexing NCJT CSI reports in PUCCH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C5E388D" w14:textId="77777777" w:rsidR="003510BA" w:rsidRDefault="003510BA" w:rsidP="00BC0321">
            <w:pPr>
              <w:pStyle w:val="TAL"/>
              <w:rPr>
                <w:sz w:val="16"/>
                <w:szCs w:val="16"/>
                <w:lang w:eastAsia="zh-CN"/>
              </w:rPr>
            </w:pPr>
            <w:r>
              <w:rPr>
                <w:sz w:val="16"/>
                <w:szCs w:val="16"/>
                <w:lang w:eastAsia="zh-CN"/>
              </w:rPr>
              <w:t>17.3.0</w:t>
            </w:r>
          </w:p>
        </w:tc>
      </w:tr>
      <w:tr w:rsidR="003510BA" w:rsidRPr="00B916EC" w14:paraId="68463DE6"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28E76840" w14:textId="77777777" w:rsidR="003510BA" w:rsidRPr="00B916EC" w:rsidRDefault="003510BA"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0971F2A" w14:textId="77777777" w:rsidR="003510BA" w:rsidRPr="00B916EC" w:rsidRDefault="003510BA"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09365C6" w14:textId="45BA82D1" w:rsidR="003510BA" w:rsidRDefault="003510BA" w:rsidP="00BC0321">
            <w:pPr>
              <w:pStyle w:val="TAL"/>
              <w:rPr>
                <w:sz w:val="16"/>
                <w:szCs w:val="16"/>
                <w:lang w:eastAsia="zh-CN"/>
              </w:rPr>
            </w:pPr>
            <w:r>
              <w:rPr>
                <w:sz w:val="16"/>
                <w:szCs w:val="16"/>
                <w:lang w:eastAsia="zh-CN"/>
              </w:rPr>
              <w:t>RP-222402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1B43CC3" w14:textId="786AB567" w:rsidR="003510BA" w:rsidRDefault="003510BA" w:rsidP="00BC0321">
            <w:pPr>
              <w:pStyle w:val="TAL"/>
              <w:rPr>
                <w:sz w:val="16"/>
                <w:szCs w:val="16"/>
              </w:rPr>
            </w:pPr>
            <w:r>
              <w:rPr>
                <w:sz w:val="16"/>
                <w:szCs w:val="16"/>
              </w:rPr>
              <w:t>0355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A8BEAE5" w14:textId="77777777" w:rsidR="003510BA" w:rsidRDefault="003510BA"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4BF15CE" w14:textId="77777777" w:rsidR="003510BA" w:rsidRDefault="003510B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1B445AB" w14:textId="1CA59312" w:rsidR="003510BA" w:rsidRPr="005D126D" w:rsidRDefault="003510BA" w:rsidP="00BC0321">
            <w:pPr>
              <w:spacing w:after="0"/>
              <w:rPr>
                <w:rFonts w:ascii="Arial" w:hAnsi="Arial"/>
                <w:sz w:val="16"/>
              </w:rPr>
            </w:pPr>
            <w:r w:rsidRPr="003510BA">
              <w:rPr>
                <w:rFonts w:ascii="Arial" w:hAnsi="Arial"/>
                <w:sz w:val="16"/>
              </w:rPr>
              <w:t>CR on HP DG PUSCH and LP CG PUSCH collision resolution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BE1960E" w14:textId="77777777" w:rsidR="003510BA" w:rsidRDefault="003510BA" w:rsidP="00BC0321">
            <w:pPr>
              <w:pStyle w:val="TAL"/>
              <w:rPr>
                <w:sz w:val="16"/>
                <w:szCs w:val="16"/>
                <w:lang w:eastAsia="zh-CN"/>
              </w:rPr>
            </w:pPr>
            <w:r>
              <w:rPr>
                <w:sz w:val="16"/>
                <w:szCs w:val="16"/>
                <w:lang w:eastAsia="zh-CN"/>
              </w:rPr>
              <w:t>17.3.0</w:t>
            </w:r>
          </w:p>
        </w:tc>
      </w:tr>
      <w:tr w:rsidR="007E5D7D" w:rsidRPr="00B916EC" w14:paraId="4B502BC7"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623D5080" w14:textId="77777777" w:rsidR="007E5D7D" w:rsidRPr="00B916EC" w:rsidRDefault="007E5D7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54627C6" w14:textId="77777777" w:rsidR="007E5D7D" w:rsidRPr="00B916EC" w:rsidRDefault="007E5D7D"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F70B8A3" w14:textId="4C855EEB" w:rsidR="007E5D7D" w:rsidRDefault="007E5D7D" w:rsidP="00BC0321">
            <w:pPr>
              <w:pStyle w:val="TAL"/>
              <w:rPr>
                <w:sz w:val="16"/>
                <w:szCs w:val="16"/>
                <w:lang w:eastAsia="zh-CN"/>
              </w:rPr>
            </w:pPr>
            <w:r>
              <w:rPr>
                <w:sz w:val="16"/>
                <w:szCs w:val="16"/>
                <w:lang w:eastAsia="zh-CN"/>
              </w:rPr>
              <w:t>RP-222398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26819A9" w14:textId="148A0C98" w:rsidR="007E5D7D" w:rsidRDefault="007E5D7D" w:rsidP="00BC0321">
            <w:pPr>
              <w:pStyle w:val="TAL"/>
              <w:rPr>
                <w:sz w:val="16"/>
                <w:szCs w:val="16"/>
              </w:rPr>
            </w:pPr>
            <w:r>
              <w:rPr>
                <w:sz w:val="16"/>
                <w:szCs w:val="16"/>
              </w:rPr>
              <w:t>0357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EAD3711" w14:textId="77777777" w:rsidR="007E5D7D" w:rsidRDefault="007E5D7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6267CBD" w14:textId="0A45EDC6" w:rsidR="007E5D7D" w:rsidRDefault="007E5D7D"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D8C3845" w14:textId="6DCA8EA4" w:rsidR="007E5D7D" w:rsidRPr="005D126D" w:rsidRDefault="007E5D7D" w:rsidP="00BC0321">
            <w:pPr>
              <w:spacing w:after="0"/>
              <w:rPr>
                <w:rFonts w:ascii="Arial" w:hAnsi="Arial"/>
                <w:sz w:val="16"/>
              </w:rPr>
            </w:pPr>
            <w:r w:rsidRPr="007E5D7D">
              <w:rPr>
                <w:rFonts w:ascii="Arial" w:hAnsi="Arial"/>
                <w:sz w:val="16"/>
              </w:rPr>
              <w:t>Correction for Intra-UE multiplexing/prioritization of the same priority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757B890" w14:textId="77777777" w:rsidR="007E5D7D" w:rsidRDefault="007E5D7D" w:rsidP="00BC0321">
            <w:pPr>
              <w:pStyle w:val="TAL"/>
              <w:rPr>
                <w:sz w:val="16"/>
                <w:szCs w:val="16"/>
                <w:lang w:eastAsia="zh-CN"/>
              </w:rPr>
            </w:pPr>
            <w:r>
              <w:rPr>
                <w:sz w:val="16"/>
                <w:szCs w:val="16"/>
                <w:lang w:eastAsia="zh-CN"/>
              </w:rPr>
              <w:t>17.3.0</w:t>
            </w:r>
          </w:p>
        </w:tc>
      </w:tr>
      <w:tr w:rsidR="007E5D7D" w:rsidRPr="00B916EC" w14:paraId="56BE06F7"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702D94B7" w14:textId="77777777" w:rsidR="007E5D7D" w:rsidRPr="00B916EC" w:rsidRDefault="007E5D7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FAF2EE3" w14:textId="77777777" w:rsidR="007E5D7D" w:rsidRPr="00B916EC" w:rsidRDefault="007E5D7D"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EA67E6D" w14:textId="5DC58FAA" w:rsidR="007E5D7D" w:rsidRDefault="007E5D7D" w:rsidP="00BC0321">
            <w:pPr>
              <w:pStyle w:val="TAL"/>
              <w:rPr>
                <w:sz w:val="16"/>
                <w:szCs w:val="16"/>
                <w:lang w:eastAsia="zh-CN"/>
              </w:rPr>
            </w:pPr>
            <w:r>
              <w:rPr>
                <w:sz w:val="16"/>
                <w:szCs w:val="16"/>
                <w:lang w:eastAsia="zh-CN"/>
              </w:rPr>
              <w:t>RP-222418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44CEBC5" w14:textId="0B8D8F26" w:rsidR="007E5D7D" w:rsidRDefault="007E5D7D" w:rsidP="00BC0321">
            <w:pPr>
              <w:pStyle w:val="TAL"/>
              <w:rPr>
                <w:sz w:val="16"/>
                <w:szCs w:val="16"/>
              </w:rPr>
            </w:pPr>
            <w:r>
              <w:rPr>
                <w:sz w:val="16"/>
                <w:szCs w:val="16"/>
              </w:rPr>
              <w:t>0358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5FDCC0B" w14:textId="77777777" w:rsidR="007E5D7D" w:rsidRDefault="007E5D7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48995FE" w14:textId="030E18F6" w:rsidR="007E5D7D" w:rsidRDefault="007E5D7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D4BFC81" w14:textId="09DDE9EA" w:rsidR="007E5D7D" w:rsidRPr="005D126D" w:rsidRDefault="007E5D7D" w:rsidP="00BC0321">
            <w:pPr>
              <w:spacing w:after="0"/>
              <w:rPr>
                <w:rFonts w:ascii="Arial" w:hAnsi="Arial"/>
                <w:sz w:val="16"/>
              </w:rPr>
            </w:pPr>
            <w:r w:rsidRPr="007E5D7D">
              <w:rPr>
                <w:rFonts w:ascii="Arial" w:hAnsi="Arial"/>
                <w:sz w:val="16"/>
              </w:rPr>
              <w:t>Corrections of random-access based small data transmission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722A26E" w14:textId="77777777" w:rsidR="007E5D7D" w:rsidRDefault="007E5D7D" w:rsidP="00BC0321">
            <w:pPr>
              <w:pStyle w:val="TAL"/>
              <w:rPr>
                <w:sz w:val="16"/>
                <w:szCs w:val="16"/>
                <w:lang w:eastAsia="zh-CN"/>
              </w:rPr>
            </w:pPr>
            <w:r>
              <w:rPr>
                <w:sz w:val="16"/>
                <w:szCs w:val="16"/>
                <w:lang w:eastAsia="zh-CN"/>
              </w:rPr>
              <w:t>17.3.0</w:t>
            </w:r>
          </w:p>
        </w:tc>
      </w:tr>
      <w:tr w:rsidR="00DC6E29" w:rsidRPr="00B916EC" w14:paraId="354F6B43"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49FE5099" w14:textId="77777777" w:rsidR="00DC6E29" w:rsidRPr="00B916EC" w:rsidRDefault="00DC6E29"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C66D4A6" w14:textId="77777777" w:rsidR="00DC6E29" w:rsidRPr="00B916EC" w:rsidRDefault="00DC6E29"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FF8C0B1" w14:textId="452C4663" w:rsidR="00DC6E29" w:rsidRDefault="00DC6E29" w:rsidP="00BC0321">
            <w:pPr>
              <w:pStyle w:val="TAL"/>
              <w:rPr>
                <w:sz w:val="16"/>
                <w:szCs w:val="16"/>
                <w:lang w:eastAsia="zh-CN"/>
              </w:rPr>
            </w:pPr>
            <w:r>
              <w:rPr>
                <w:sz w:val="16"/>
                <w:szCs w:val="16"/>
                <w:lang w:eastAsia="zh-CN"/>
              </w:rPr>
              <w:t>RP-222401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5051EB8" w14:textId="028262BF" w:rsidR="00DC6E29" w:rsidRDefault="00DC6E29" w:rsidP="00BC0321">
            <w:pPr>
              <w:pStyle w:val="TAL"/>
              <w:rPr>
                <w:sz w:val="16"/>
                <w:szCs w:val="16"/>
              </w:rPr>
            </w:pPr>
            <w:r>
              <w:rPr>
                <w:sz w:val="16"/>
                <w:szCs w:val="16"/>
              </w:rPr>
              <w:t>0359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0783936" w14:textId="77777777" w:rsidR="00DC6E29" w:rsidRDefault="00DC6E29"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F378138" w14:textId="77777777" w:rsidR="00DC6E29" w:rsidRDefault="00DC6E29"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F650874" w14:textId="77CF568F" w:rsidR="00DC6E29" w:rsidRPr="005D126D" w:rsidRDefault="00DC6E29" w:rsidP="00BC0321">
            <w:pPr>
              <w:spacing w:after="0"/>
              <w:rPr>
                <w:rFonts w:ascii="Arial" w:hAnsi="Arial"/>
                <w:sz w:val="16"/>
              </w:rPr>
            </w:pPr>
            <w:r w:rsidRPr="00DC6E29">
              <w:rPr>
                <w:rFonts w:ascii="Arial" w:hAnsi="Arial"/>
                <w:sz w:val="16"/>
              </w:rPr>
              <w:t>Correction on CD-SSB frequency indication using NCD-SSB in TS38.213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2021794" w14:textId="77777777" w:rsidR="00DC6E29" w:rsidRDefault="00DC6E29" w:rsidP="00BC0321">
            <w:pPr>
              <w:pStyle w:val="TAL"/>
              <w:rPr>
                <w:sz w:val="16"/>
                <w:szCs w:val="16"/>
                <w:lang w:eastAsia="zh-CN"/>
              </w:rPr>
            </w:pPr>
            <w:r>
              <w:rPr>
                <w:sz w:val="16"/>
                <w:szCs w:val="16"/>
                <w:lang w:eastAsia="zh-CN"/>
              </w:rPr>
              <w:t>17.3.0</w:t>
            </w:r>
          </w:p>
        </w:tc>
      </w:tr>
      <w:tr w:rsidR="00DC6E29" w:rsidRPr="00B916EC" w14:paraId="22EBCEED"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1CD06757" w14:textId="77777777" w:rsidR="00DC6E29" w:rsidRPr="00B916EC" w:rsidRDefault="00DC6E29"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219320D" w14:textId="77777777" w:rsidR="00DC6E29" w:rsidRPr="00B916EC" w:rsidRDefault="00DC6E29"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BA1CE1A" w14:textId="7D5F2FD0" w:rsidR="00DC6E29" w:rsidRDefault="00DC6E29" w:rsidP="00BC0321">
            <w:pPr>
              <w:pStyle w:val="TAL"/>
              <w:rPr>
                <w:sz w:val="16"/>
                <w:szCs w:val="16"/>
                <w:lang w:eastAsia="zh-CN"/>
              </w:rPr>
            </w:pPr>
            <w:r>
              <w:rPr>
                <w:sz w:val="16"/>
                <w:szCs w:val="16"/>
                <w:lang w:eastAsia="zh-CN"/>
              </w:rPr>
              <w:t>RP-222405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96C89D3" w14:textId="6B0C6410" w:rsidR="00DC6E29" w:rsidRDefault="00DC6E29" w:rsidP="00BC0321">
            <w:pPr>
              <w:pStyle w:val="TAL"/>
              <w:rPr>
                <w:sz w:val="16"/>
                <w:szCs w:val="16"/>
              </w:rPr>
            </w:pPr>
            <w:r>
              <w:rPr>
                <w:sz w:val="16"/>
                <w:szCs w:val="16"/>
              </w:rPr>
              <w:t>0360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3F02DFB" w14:textId="77777777" w:rsidR="00DC6E29" w:rsidRDefault="00DC6E29"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020D737" w14:textId="77777777" w:rsidR="00DC6E29" w:rsidRDefault="00DC6E29"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6ED3B70" w14:textId="6C99C0F7" w:rsidR="00DC6E29" w:rsidRPr="005D126D" w:rsidRDefault="00DC6E29" w:rsidP="00BC0321">
            <w:pPr>
              <w:spacing w:after="0"/>
              <w:rPr>
                <w:rFonts w:ascii="Arial" w:hAnsi="Arial"/>
                <w:sz w:val="16"/>
              </w:rPr>
            </w:pPr>
            <w:r w:rsidRPr="00DC6E29">
              <w:rPr>
                <w:rFonts w:ascii="Arial" w:hAnsi="Arial"/>
                <w:sz w:val="16"/>
              </w:rPr>
              <w:t>Corrections and clarifications of RedCap UE procedures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60E053D" w14:textId="77777777" w:rsidR="00DC6E29" w:rsidRDefault="00DC6E29" w:rsidP="00BC0321">
            <w:pPr>
              <w:pStyle w:val="TAL"/>
              <w:rPr>
                <w:sz w:val="16"/>
                <w:szCs w:val="16"/>
                <w:lang w:eastAsia="zh-CN"/>
              </w:rPr>
            </w:pPr>
            <w:r>
              <w:rPr>
                <w:sz w:val="16"/>
                <w:szCs w:val="16"/>
                <w:lang w:eastAsia="zh-CN"/>
              </w:rPr>
              <w:t>17.3.0</w:t>
            </w:r>
          </w:p>
        </w:tc>
      </w:tr>
      <w:tr w:rsidR="00335C5D" w:rsidRPr="00B916EC" w14:paraId="071D1A14"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0EAFC6CA" w14:textId="77777777" w:rsidR="00335C5D" w:rsidRPr="00B916EC" w:rsidRDefault="00335C5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869F5D9" w14:textId="77777777" w:rsidR="00335C5D" w:rsidRPr="00B916EC" w:rsidRDefault="00335C5D"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4093DBA" w14:textId="2C4B92D9" w:rsidR="00335C5D" w:rsidRDefault="00335C5D" w:rsidP="00BC0321">
            <w:pPr>
              <w:pStyle w:val="TAL"/>
              <w:rPr>
                <w:sz w:val="16"/>
                <w:szCs w:val="16"/>
                <w:lang w:eastAsia="zh-CN"/>
              </w:rPr>
            </w:pPr>
            <w:r>
              <w:rPr>
                <w:sz w:val="16"/>
                <w:szCs w:val="16"/>
                <w:lang w:eastAsia="zh-CN"/>
              </w:rPr>
              <w:t>RP-222398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191F5BD" w14:textId="355FE14C" w:rsidR="00335C5D" w:rsidRDefault="00335C5D" w:rsidP="00BC0321">
            <w:pPr>
              <w:pStyle w:val="TAL"/>
              <w:rPr>
                <w:sz w:val="16"/>
                <w:szCs w:val="16"/>
              </w:rPr>
            </w:pPr>
            <w:r>
              <w:rPr>
                <w:sz w:val="16"/>
                <w:szCs w:val="16"/>
              </w:rPr>
              <w:t>0362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78D4673" w14:textId="77777777" w:rsidR="00335C5D" w:rsidRDefault="00335C5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1D48E1C" w14:textId="319C02FC" w:rsidR="00335C5D" w:rsidRDefault="00335C5D"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25C83F7" w14:textId="7949A60C" w:rsidR="00335C5D" w:rsidRPr="005D126D" w:rsidRDefault="00335C5D" w:rsidP="00BC0321">
            <w:pPr>
              <w:spacing w:after="0"/>
              <w:rPr>
                <w:rFonts w:ascii="Arial" w:hAnsi="Arial"/>
                <w:sz w:val="16"/>
              </w:rPr>
            </w:pPr>
            <w:r w:rsidRPr="00335C5D">
              <w:rPr>
                <w:rFonts w:ascii="Arial" w:hAnsi="Arial"/>
                <w:sz w:val="16"/>
              </w:rPr>
              <w:t>Corrections on presence of redundancy version field and HARQ process number field of DCI formats 0_2/1_2 for validation of activation and release DCI format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23F729E" w14:textId="77777777" w:rsidR="00335C5D" w:rsidRDefault="00335C5D" w:rsidP="00BC0321">
            <w:pPr>
              <w:pStyle w:val="TAL"/>
              <w:rPr>
                <w:sz w:val="16"/>
                <w:szCs w:val="16"/>
                <w:lang w:eastAsia="zh-CN"/>
              </w:rPr>
            </w:pPr>
            <w:r>
              <w:rPr>
                <w:sz w:val="16"/>
                <w:szCs w:val="16"/>
                <w:lang w:eastAsia="zh-CN"/>
              </w:rPr>
              <w:t>17.3.0</w:t>
            </w:r>
          </w:p>
        </w:tc>
      </w:tr>
      <w:tr w:rsidR="00D4651E" w:rsidRPr="00B916EC" w14:paraId="6712A1F5"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13855907" w14:textId="77777777" w:rsidR="00D4651E" w:rsidRPr="00B916EC" w:rsidRDefault="00D4651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DB51B02" w14:textId="77777777" w:rsidR="00D4651E" w:rsidRPr="00B916EC" w:rsidRDefault="00D4651E"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7DA2825" w14:textId="6C82AD8B" w:rsidR="00D4651E" w:rsidRDefault="00D4651E" w:rsidP="00BC0321">
            <w:pPr>
              <w:pStyle w:val="TAL"/>
              <w:rPr>
                <w:sz w:val="16"/>
                <w:szCs w:val="16"/>
                <w:lang w:eastAsia="zh-CN"/>
              </w:rPr>
            </w:pPr>
            <w:r>
              <w:rPr>
                <w:sz w:val="16"/>
                <w:szCs w:val="16"/>
                <w:lang w:eastAsia="zh-CN"/>
              </w:rPr>
              <w:t>RP-222417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742D633" w14:textId="59D28AC2" w:rsidR="00D4651E" w:rsidRDefault="00D4651E" w:rsidP="00BC0321">
            <w:pPr>
              <w:pStyle w:val="TAL"/>
              <w:rPr>
                <w:sz w:val="16"/>
                <w:szCs w:val="16"/>
              </w:rPr>
            </w:pPr>
            <w:r>
              <w:rPr>
                <w:sz w:val="16"/>
                <w:szCs w:val="16"/>
              </w:rPr>
              <w:t>0364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A205CA9" w14:textId="77777777" w:rsidR="00D4651E" w:rsidRDefault="00D4651E"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68F9C3C" w14:textId="77777777" w:rsidR="00D4651E" w:rsidRDefault="00D4651E"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E695F4B" w14:textId="75B16D69" w:rsidR="00D4651E" w:rsidRPr="005D126D" w:rsidRDefault="00D4651E" w:rsidP="00BC0321">
            <w:pPr>
              <w:spacing w:after="0"/>
              <w:rPr>
                <w:rFonts w:ascii="Arial" w:hAnsi="Arial"/>
                <w:sz w:val="16"/>
              </w:rPr>
            </w:pPr>
            <w:r w:rsidRPr="00D4651E">
              <w:rPr>
                <w:rFonts w:ascii="Arial" w:hAnsi="Arial"/>
                <w:sz w:val="16"/>
              </w:rPr>
              <w:t>Correction on PL RS determination for PUSCH scheduled by DCI format 0_0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79B49C" w14:textId="77777777" w:rsidR="00D4651E" w:rsidRDefault="00D4651E" w:rsidP="00BC0321">
            <w:pPr>
              <w:pStyle w:val="TAL"/>
              <w:rPr>
                <w:sz w:val="16"/>
                <w:szCs w:val="16"/>
                <w:lang w:eastAsia="zh-CN"/>
              </w:rPr>
            </w:pPr>
            <w:r>
              <w:rPr>
                <w:sz w:val="16"/>
                <w:szCs w:val="16"/>
                <w:lang w:eastAsia="zh-CN"/>
              </w:rPr>
              <w:t>17.3.0</w:t>
            </w:r>
          </w:p>
        </w:tc>
      </w:tr>
      <w:tr w:rsidR="005B106D" w:rsidRPr="00B916EC" w14:paraId="0A6F8845"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46A975C1" w14:textId="77777777" w:rsidR="005B106D" w:rsidRPr="00B916EC" w:rsidRDefault="005B106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E173E8F" w14:textId="77777777" w:rsidR="005B106D" w:rsidRPr="00B916EC" w:rsidRDefault="005B106D"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CC7DECD" w14:textId="63922234" w:rsidR="005B106D" w:rsidRDefault="005B106D" w:rsidP="00BC0321">
            <w:pPr>
              <w:pStyle w:val="TAL"/>
              <w:rPr>
                <w:sz w:val="16"/>
                <w:szCs w:val="16"/>
                <w:lang w:eastAsia="zh-CN"/>
              </w:rPr>
            </w:pPr>
            <w:r>
              <w:rPr>
                <w:sz w:val="16"/>
                <w:szCs w:val="16"/>
                <w:lang w:eastAsia="zh-CN"/>
              </w:rPr>
              <w:t>RP-222406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ABB12D8" w14:textId="40160C66" w:rsidR="005B106D" w:rsidRDefault="005B106D" w:rsidP="00BC0321">
            <w:pPr>
              <w:pStyle w:val="TAL"/>
              <w:rPr>
                <w:sz w:val="16"/>
                <w:szCs w:val="16"/>
              </w:rPr>
            </w:pPr>
            <w:r>
              <w:rPr>
                <w:sz w:val="16"/>
                <w:szCs w:val="16"/>
              </w:rPr>
              <w:t>0365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5CEE766" w14:textId="77777777" w:rsidR="005B106D" w:rsidRDefault="005B106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D90025C" w14:textId="06D92A32" w:rsidR="005B106D" w:rsidRDefault="005B106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8B72FC7" w14:textId="1B735C30" w:rsidR="005B106D" w:rsidRPr="005D126D" w:rsidRDefault="005B106D" w:rsidP="00BC0321">
            <w:pPr>
              <w:spacing w:after="0"/>
              <w:rPr>
                <w:rFonts w:ascii="Arial" w:hAnsi="Arial"/>
                <w:sz w:val="16"/>
              </w:rPr>
            </w:pPr>
            <w:r w:rsidRPr="005B106D">
              <w:rPr>
                <w:rFonts w:ascii="Arial" w:hAnsi="Arial"/>
                <w:sz w:val="16"/>
              </w:rPr>
              <w:t>Corrections on UE Power Saving Enhancements for NR in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6B0D383" w14:textId="77777777" w:rsidR="005B106D" w:rsidRDefault="005B106D" w:rsidP="00BC0321">
            <w:pPr>
              <w:pStyle w:val="TAL"/>
              <w:rPr>
                <w:sz w:val="16"/>
                <w:szCs w:val="16"/>
                <w:lang w:eastAsia="zh-CN"/>
              </w:rPr>
            </w:pPr>
            <w:r>
              <w:rPr>
                <w:sz w:val="16"/>
                <w:szCs w:val="16"/>
                <w:lang w:eastAsia="zh-CN"/>
              </w:rPr>
              <w:t>17.3.0</w:t>
            </w:r>
          </w:p>
        </w:tc>
      </w:tr>
      <w:tr w:rsidR="005B106D" w:rsidRPr="00B916EC" w14:paraId="14CA2521"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1CA3B1E1" w14:textId="77777777" w:rsidR="005B106D" w:rsidRPr="00B916EC" w:rsidRDefault="005B106D"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EEBCD31" w14:textId="77777777" w:rsidR="005B106D" w:rsidRPr="00B916EC" w:rsidRDefault="005B106D"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72BC371" w14:textId="71A7FB47" w:rsidR="005B106D" w:rsidRDefault="005B106D" w:rsidP="00BC0321">
            <w:pPr>
              <w:pStyle w:val="TAL"/>
              <w:rPr>
                <w:sz w:val="16"/>
                <w:szCs w:val="16"/>
                <w:lang w:eastAsia="zh-CN"/>
              </w:rPr>
            </w:pPr>
            <w:r>
              <w:rPr>
                <w:sz w:val="16"/>
                <w:szCs w:val="16"/>
                <w:lang w:eastAsia="zh-CN"/>
              </w:rPr>
              <w:t>RP-222412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4F59C71" w14:textId="60DA668C" w:rsidR="005B106D" w:rsidRDefault="005B106D" w:rsidP="00BC0321">
            <w:pPr>
              <w:pStyle w:val="TAL"/>
              <w:rPr>
                <w:sz w:val="16"/>
                <w:szCs w:val="16"/>
              </w:rPr>
            </w:pPr>
            <w:r>
              <w:rPr>
                <w:sz w:val="16"/>
                <w:szCs w:val="16"/>
              </w:rPr>
              <w:t>0366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D7F8574" w14:textId="77777777" w:rsidR="005B106D" w:rsidRDefault="005B106D"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02F63EB" w14:textId="77777777" w:rsidR="005B106D" w:rsidRDefault="005B106D"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51911B9" w14:textId="269D2325" w:rsidR="005B106D" w:rsidRPr="005D126D" w:rsidRDefault="005B106D" w:rsidP="00BC0321">
            <w:pPr>
              <w:spacing w:after="0"/>
              <w:rPr>
                <w:rFonts w:ascii="Arial" w:hAnsi="Arial"/>
                <w:sz w:val="16"/>
              </w:rPr>
            </w:pPr>
            <w:r w:rsidRPr="005B106D">
              <w:rPr>
                <w:rFonts w:ascii="Arial" w:hAnsi="Arial"/>
                <w:sz w:val="16"/>
              </w:rPr>
              <w:t>Corrections on the introduction of multicast-broadcast services in NR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DC9E105" w14:textId="77777777" w:rsidR="005B106D" w:rsidRDefault="005B106D" w:rsidP="00BC0321">
            <w:pPr>
              <w:pStyle w:val="TAL"/>
              <w:rPr>
                <w:sz w:val="16"/>
                <w:szCs w:val="16"/>
                <w:lang w:eastAsia="zh-CN"/>
              </w:rPr>
            </w:pPr>
            <w:r>
              <w:rPr>
                <w:sz w:val="16"/>
                <w:szCs w:val="16"/>
                <w:lang w:eastAsia="zh-CN"/>
              </w:rPr>
              <w:t>17.3.0</w:t>
            </w:r>
          </w:p>
        </w:tc>
      </w:tr>
      <w:tr w:rsidR="0053070E" w:rsidRPr="00B916EC" w14:paraId="774DB061"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3B667E4C" w14:textId="77777777" w:rsidR="0053070E" w:rsidRPr="00B916EC" w:rsidRDefault="0053070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60809BE" w14:textId="77777777" w:rsidR="0053070E" w:rsidRPr="00B916EC" w:rsidRDefault="0053070E" w:rsidP="00BC0321">
            <w:pPr>
              <w:pStyle w:val="TAL"/>
              <w:rPr>
                <w:sz w:val="16"/>
                <w:szCs w:val="16"/>
                <w:lang w:eastAsia="zh-CN"/>
              </w:rPr>
            </w:pPr>
            <w:r w:rsidRPr="00B916EC">
              <w:rPr>
                <w:sz w:val="16"/>
                <w:szCs w:val="16"/>
                <w:lang w:eastAsia="zh-CN"/>
              </w:rPr>
              <w:t>RAN#</w:t>
            </w:r>
            <w:r>
              <w:rPr>
                <w:sz w:val="16"/>
                <w:szCs w:val="16"/>
                <w:lang w:eastAsia="zh-CN"/>
              </w:rPr>
              <w:t>97-e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D6A9996" w14:textId="014ABF07" w:rsidR="0053070E" w:rsidRDefault="0053070E" w:rsidP="00BC0321">
            <w:pPr>
              <w:pStyle w:val="TAL"/>
              <w:rPr>
                <w:sz w:val="16"/>
                <w:szCs w:val="16"/>
                <w:lang w:eastAsia="zh-CN"/>
              </w:rPr>
            </w:pPr>
            <w:r>
              <w:rPr>
                <w:sz w:val="16"/>
                <w:szCs w:val="16"/>
                <w:lang w:eastAsia="zh-CN"/>
              </w:rPr>
              <w:t>RP-222422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D92E7FB" w14:textId="2B0FE29D" w:rsidR="0053070E" w:rsidRDefault="0053070E" w:rsidP="00BC0321">
            <w:pPr>
              <w:pStyle w:val="TAL"/>
              <w:rPr>
                <w:sz w:val="16"/>
                <w:szCs w:val="16"/>
              </w:rPr>
            </w:pPr>
            <w:r>
              <w:rPr>
                <w:sz w:val="16"/>
                <w:szCs w:val="16"/>
              </w:rPr>
              <w:t>0367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7DA75E0" w14:textId="77777777" w:rsidR="0053070E" w:rsidRDefault="0053070E"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2E90F95" w14:textId="77777777" w:rsidR="0053070E" w:rsidRDefault="0053070E"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2078E9D" w14:textId="01EE0049" w:rsidR="0053070E" w:rsidRPr="005D126D" w:rsidRDefault="0053070E" w:rsidP="00BC0321">
            <w:pPr>
              <w:spacing w:after="0"/>
              <w:rPr>
                <w:rFonts w:ascii="Arial" w:hAnsi="Arial"/>
                <w:sz w:val="16"/>
              </w:rPr>
            </w:pPr>
            <w:r w:rsidRPr="0053070E">
              <w:rPr>
                <w:rFonts w:ascii="Arial" w:hAnsi="Arial"/>
                <w:sz w:val="16"/>
              </w:rPr>
              <w:t>Rel-17 editorial corrections for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6F6DB73" w14:textId="77777777" w:rsidR="0053070E" w:rsidRDefault="0053070E" w:rsidP="00BC0321">
            <w:pPr>
              <w:pStyle w:val="TAL"/>
              <w:rPr>
                <w:sz w:val="16"/>
                <w:szCs w:val="16"/>
                <w:lang w:eastAsia="zh-CN"/>
              </w:rPr>
            </w:pPr>
            <w:r>
              <w:rPr>
                <w:sz w:val="16"/>
                <w:szCs w:val="16"/>
                <w:lang w:eastAsia="zh-CN"/>
              </w:rPr>
              <w:t>17.3.0</w:t>
            </w:r>
          </w:p>
        </w:tc>
      </w:tr>
      <w:tr w:rsidR="00FA4CFB" w:rsidRPr="00B916EC" w14:paraId="58C9A217"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1CADDD04" w14:textId="539D87CB" w:rsidR="00FA4CFB" w:rsidRPr="00B916EC" w:rsidRDefault="00FA4CFB"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504A750" w14:textId="220B0CB2" w:rsidR="00FA4CFB" w:rsidRPr="00B916EC" w:rsidRDefault="00FA4CFB"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E937F21" w14:textId="7A2D2A0F" w:rsidR="00FA4CFB" w:rsidRDefault="00FA4CFB" w:rsidP="00BC0321">
            <w:pPr>
              <w:pStyle w:val="TAL"/>
              <w:rPr>
                <w:sz w:val="16"/>
                <w:szCs w:val="16"/>
                <w:lang w:eastAsia="zh-CN"/>
              </w:rPr>
            </w:pPr>
            <w:r w:rsidRPr="00FA4CFB">
              <w:rPr>
                <w:sz w:val="16"/>
                <w:szCs w:val="16"/>
                <w:lang w:eastAsia="zh-CN"/>
              </w:rPr>
              <w:t>RP-222849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B80F15F" w14:textId="0FB9F93A" w:rsidR="00FA4CFB" w:rsidRDefault="00FA4CFB" w:rsidP="00BC0321">
            <w:pPr>
              <w:pStyle w:val="TAL"/>
              <w:rPr>
                <w:sz w:val="16"/>
                <w:szCs w:val="16"/>
              </w:rPr>
            </w:pPr>
            <w:r>
              <w:rPr>
                <w:sz w:val="16"/>
                <w:szCs w:val="16"/>
              </w:rPr>
              <w:t>0369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CB8C84A" w14:textId="77777777" w:rsidR="00FA4CFB" w:rsidRDefault="00FA4CFB"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7E8A59B" w14:textId="30729F77" w:rsidR="00FA4CFB" w:rsidRDefault="00FA4CFB"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3262CA2" w14:textId="53CA117D" w:rsidR="00FA4CFB" w:rsidRPr="005D126D" w:rsidRDefault="00FA4CFB" w:rsidP="00BC0321">
            <w:pPr>
              <w:spacing w:after="0"/>
              <w:rPr>
                <w:rFonts w:ascii="Arial" w:hAnsi="Arial"/>
                <w:sz w:val="16"/>
              </w:rPr>
            </w:pPr>
            <w:r w:rsidRPr="00FA4CFB">
              <w:rPr>
                <w:rFonts w:ascii="Arial" w:hAnsi="Arial"/>
                <w:sz w:val="16"/>
              </w:rPr>
              <w:t>Correction on SL BWP in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A8B3052" w14:textId="1DEB1FAC" w:rsidR="00FA4CFB" w:rsidRDefault="00FA4CFB" w:rsidP="00BC0321">
            <w:pPr>
              <w:pStyle w:val="TAL"/>
              <w:rPr>
                <w:sz w:val="16"/>
                <w:szCs w:val="16"/>
                <w:lang w:eastAsia="zh-CN"/>
              </w:rPr>
            </w:pPr>
            <w:r>
              <w:rPr>
                <w:sz w:val="16"/>
                <w:szCs w:val="16"/>
                <w:lang w:eastAsia="zh-CN"/>
              </w:rPr>
              <w:t>17.4.0</w:t>
            </w:r>
          </w:p>
        </w:tc>
      </w:tr>
      <w:tr w:rsidR="00FA4CFB" w:rsidRPr="00B916EC" w14:paraId="04AEDD2F"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7CD5FAA9" w14:textId="77777777" w:rsidR="00FA4CFB" w:rsidRPr="00B916EC" w:rsidRDefault="00FA4CFB"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7FE17E3" w14:textId="77777777" w:rsidR="00FA4CFB" w:rsidRPr="00B916EC" w:rsidRDefault="00FA4CFB"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9E727EC" w14:textId="0A61BE4D" w:rsidR="00FA4CFB" w:rsidRDefault="00FA4CFB" w:rsidP="00BC0321">
            <w:pPr>
              <w:pStyle w:val="TAL"/>
              <w:rPr>
                <w:sz w:val="16"/>
                <w:szCs w:val="16"/>
                <w:lang w:eastAsia="zh-CN"/>
              </w:rPr>
            </w:pPr>
            <w:r w:rsidRPr="00FA4CFB">
              <w:rPr>
                <w:sz w:val="16"/>
                <w:szCs w:val="16"/>
                <w:lang w:eastAsia="zh-CN"/>
              </w:rPr>
              <w:t>RP-2228</w:t>
            </w:r>
            <w:r>
              <w:rPr>
                <w:sz w:val="16"/>
                <w:szCs w:val="16"/>
                <w:lang w:eastAsia="zh-CN"/>
              </w:rPr>
              <w:t>53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3F35503" w14:textId="6E5EA354" w:rsidR="00FA4CFB" w:rsidRDefault="00FA4CFB" w:rsidP="00BC0321">
            <w:pPr>
              <w:pStyle w:val="TAL"/>
              <w:rPr>
                <w:sz w:val="16"/>
                <w:szCs w:val="16"/>
              </w:rPr>
            </w:pPr>
            <w:r>
              <w:rPr>
                <w:sz w:val="16"/>
                <w:szCs w:val="16"/>
              </w:rPr>
              <w:t>0370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9112A7B" w14:textId="77777777" w:rsidR="00FA4CFB" w:rsidRDefault="00FA4CFB"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2979B15" w14:textId="17F74C83" w:rsidR="00FA4CFB" w:rsidRDefault="00FA4CFB"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D254BC4" w14:textId="1425111D" w:rsidR="00FA4CFB" w:rsidRPr="005D126D" w:rsidRDefault="00FA4CFB" w:rsidP="00BC0321">
            <w:pPr>
              <w:spacing w:after="0"/>
              <w:rPr>
                <w:rFonts w:ascii="Arial" w:hAnsi="Arial"/>
                <w:sz w:val="16"/>
              </w:rPr>
            </w:pPr>
            <w:r w:rsidRPr="00FA4CFB">
              <w:rPr>
                <w:rFonts w:ascii="Arial" w:hAnsi="Arial"/>
                <w:sz w:val="16"/>
              </w:rPr>
              <w:t>CR for ChannelAccess-CPext in RAR UL grant in FR2-2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AD8A7ED" w14:textId="77777777" w:rsidR="00FA4CFB" w:rsidRDefault="00FA4CFB" w:rsidP="00BC0321">
            <w:pPr>
              <w:pStyle w:val="TAL"/>
              <w:rPr>
                <w:sz w:val="16"/>
                <w:szCs w:val="16"/>
                <w:lang w:eastAsia="zh-CN"/>
              </w:rPr>
            </w:pPr>
            <w:r>
              <w:rPr>
                <w:sz w:val="16"/>
                <w:szCs w:val="16"/>
                <w:lang w:eastAsia="zh-CN"/>
              </w:rPr>
              <w:t>17.4.0</w:t>
            </w:r>
          </w:p>
        </w:tc>
      </w:tr>
      <w:tr w:rsidR="008158DA" w:rsidRPr="00B916EC" w14:paraId="712BA932"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54A58FC1" w14:textId="77777777" w:rsidR="008158DA" w:rsidRPr="00B916EC" w:rsidRDefault="008158DA"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E88D293" w14:textId="77777777" w:rsidR="008158DA" w:rsidRPr="00B916EC" w:rsidRDefault="008158DA"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2034E16" w14:textId="77777777" w:rsidR="008158DA" w:rsidRDefault="008158DA" w:rsidP="00BC0321">
            <w:pPr>
              <w:pStyle w:val="TAL"/>
              <w:rPr>
                <w:sz w:val="16"/>
                <w:szCs w:val="16"/>
                <w:lang w:eastAsia="zh-CN"/>
              </w:rPr>
            </w:pPr>
            <w:r w:rsidRPr="00FA4CFB">
              <w:rPr>
                <w:sz w:val="16"/>
                <w:szCs w:val="16"/>
                <w:lang w:eastAsia="zh-CN"/>
              </w:rPr>
              <w:t>RP-2228</w:t>
            </w:r>
            <w:r>
              <w:rPr>
                <w:sz w:val="16"/>
                <w:szCs w:val="16"/>
                <w:lang w:eastAsia="zh-CN"/>
              </w:rPr>
              <w:t>53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3D75F10" w14:textId="093D253C" w:rsidR="008158DA" w:rsidRDefault="008158DA" w:rsidP="00BC0321">
            <w:pPr>
              <w:pStyle w:val="TAL"/>
              <w:rPr>
                <w:sz w:val="16"/>
                <w:szCs w:val="16"/>
              </w:rPr>
            </w:pPr>
            <w:r>
              <w:rPr>
                <w:sz w:val="16"/>
                <w:szCs w:val="16"/>
              </w:rPr>
              <w:t>0371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8669DB7" w14:textId="77777777" w:rsidR="008158DA" w:rsidRDefault="008158DA"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3BD3219" w14:textId="77777777" w:rsidR="008158DA" w:rsidRDefault="008158D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C37C0E5" w14:textId="4B59C255" w:rsidR="008158DA" w:rsidRPr="005D126D" w:rsidRDefault="008158DA" w:rsidP="00BC0321">
            <w:pPr>
              <w:spacing w:after="0"/>
              <w:rPr>
                <w:rFonts w:ascii="Arial" w:hAnsi="Arial"/>
                <w:sz w:val="16"/>
              </w:rPr>
            </w:pPr>
            <w:r w:rsidRPr="008158DA">
              <w:rPr>
                <w:rFonts w:ascii="Arial" w:hAnsi="Arial"/>
                <w:sz w:val="16"/>
              </w:rPr>
              <w:t>CR on spatial domain filter for sensing for PUCCH transmission in FR2-2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1F00CE7" w14:textId="77777777" w:rsidR="008158DA" w:rsidRDefault="008158DA" w:rsidP="00BC0321">
            <w:pPr>
              <w:pStyle w:val="TAL"/>
              <w:rPr>
                <w:sz w:val="16"/>
                <w:szCs w:val="16"/>
                <w:lang w:eastAsia="zh-CN"/>
              </w:rPr>
            </w:pPr>
            <w:r>
              <w:rPr>
                <w:sz w:val="16"/>
                <w:szCs w:val="16"/>
                <w:lang w:eastAsia="zh-CN"/>
              </w:rPr>
              <w:t>17.4.0</w:t>
            </w:r>
          </w:p>
        </w:tc>
      </w:tr>
      <w:tr w:rsidR="003B090A" w:rsidRPr="00B916EC" w14:paraId="640EBAA9"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611C32A6" w14:textId="77777777" w:rsidR="003B090A" w:rsidRPr="00B916EC" w:rsidRDefault="003B090A"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1CFFFB8" w14:textId="77777777" w:rsidR="003B090A" w:rsidRPr="00B916EC" w:rsidRDefault="003B090A"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3920185" w14:textId="77777777" w:rsidR="003B090A" w:rsidRDefault="003B090A" w:rsidP="00BC0321">
            <w:pPr>
              <w:pStyle w:val="TAL"/>
              <w:rPr>
                <w:sz w:val="16"/>
                <w:szCs w:val="16"/>
                <w:lang w:eastAsia="zh-CN"/>
              </w:rPr>
            </w:pPr>
            <w:r w:rsidRPr="00FA4CFB">
              <w:rPr>
                <w:sz w:val="16"/>
                <w:szCs w:val="16"/>
                <w:lang w:eastAsia="zh-CN"/>
              </w:rPr>
              <w:t>RP-2228</w:t>
            </w:r>
            <w:r>
              <w:rPr>
                <w:sz w:val="16"/>
                <w:szCs w:val="16"/>
                <w:lang w:eastAsia="zh-CN"/>
              </w:rPr>
              <w:t>53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35136B0" w14:textId="192989D6" w:rsidR="003B090A" w:rsidRDefault="003B090A" w:rsidP="00BC0321">
            <w:pPr>
              <w:pStyle w:val="TAL"/>
              <w:rPr>
                <w:sz w:val="16"/>
                <w:szCs w:val="16"/>
              </w:rPr>
            </w:pPr>
            <w:r>
              <w:rPr>
                <w:sz w:val="16"/>
                <w:szCs w:val="16"/>
              </w:rPr>
              <w:t>0372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DABE305" w14:textId="77777777" w:rsidR="003B090A" w:rsidRDefault="003B090A"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630EB90" w14:textId="77777777" w:rsidR="003B090A" w:rsidRDefault="003B090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DC9EEB7" w14:textId="42B28DBA" w:rsidR="003B090A" w:rsidRPr="005D126D" w:rsidRDefault="003B090A" w:rsidP="00BC0321">
            <w:pPr>
              <w:spacing w:after="0"/>
              <w:rPr>
                <w:rFonts w:ascii="Arial" w:hAnsi="Arial"/>
                <w:sz w:val="16"/>
              </w:rPr>
            </w:pPr>
            <w:r w:rsidRPr="003B090A">
              <w:rPr>
                <w:rFonts w:ascii="Arial" w:hAnsi="Arial"/>
                <w:sz w:val="16"/>
              </w:rPr>
              <w:t>Correction for multi-slot PDCCH monitoring in FR2-2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6D7E8E7" w14:textId="77777777" w:rsidR="003B090A" w:rsidRDefault="003B090A" w:rsidP="00BC0321">
            <w:pPr>
              <w:pStyle w:val="TAL"/>
              <w:rPr>
                <w:sz w:val="16"/>
                <w:szCs w:val="16"/>
                <w:lang w:eastAsia="zh-CN"/>
              </w:rPr>
            </w:pPr>
            <w:r>
              <w:rPr>
                <w:sz w:val="16"/>
                <w:szCs w:val="16"/>
                <w:lang w:eastAsia="zh-CN"/>
              </w:rPr>
              <w:t>17.4.0</w:t>
            </w:r>
          </w:p>
        </w:tc>
      </w:tr>
      <w:tr w:rsidR="002B6A70" w:rsidRPr="00B916EC" w14:paraId="03F910C9"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324B6587" w14:textId="77777777" w:rsidR="002B6A70" w:rsidRPr="00B916EC" w:rsidRDefault="002B6A70"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182A8D0" w14:textId="77777777" w:rsidR="002B6A70" w:rsidRPr="00B916EC" w:rsidRDefault="002B6A70"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C92F2F3" w14:textId="77777777" w:rsidR="002B6A70" w:rsidRDefault="002B6A70" w:rsidP="00BC0321">
            <w:pPr>
              <w:pStyle w:val="TAL"/>
              <w:rPr>
                <w:sz w:val="16"/>
                <w:szCs w:val="16"/>
                <w:lang w:eastAsia="zh-CN"/>
              </w:rPr>
            </w:pPr>
            <w:r w:rsidRPr="00FA4CFB">
              <w:rPr>
                <w:sz w:val="16"/>
                <w:szCs w:val="16"/>
                <w:lang w:eastAsia="zh-CN"/>
              </w:rPr>
              <w:t>RP-2228</w:t>
            </w:r>
            <w:r>
              <w:rPr>
                <w:sz w:val="16"/>
                <w:szCs w:val="16"/>
                <w:lang w:eastAsia="zh-CN"/>
              </w:rPr>
              <w:t>53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C7F47BF" w14:textId="631408F6" w:rsidR="002B6A70" w:rsidRDefault="002B6A70" w:rsidP="00BC0321">
            <w:pPr>
              <w:pStyle w:val="TAL"/>
              <w:rPr>
                <w:sz w:val="16"/>
                <w:szCs w:val="16"/>
              </w:rPr>
            </w:pPr>
            <w:r>
              <w:rPr>
                <w:sz w:val="16"/>
                <w:szCs w:val="16"/>
              </w:rPr>
              <w:t>0373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9F01A58" w14:textId="77777777" w:rsidR="002B6A70" w:rsidRDefault="002B6A70"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B2F5F09" w14:textId="77777777" w:rsidR="002B6A70" w:rsidRDefault="002B6A70"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35DB788" w14:textId="40056AD8" w:rsidR="002B6A70" w:rsidRPr="005D126D" w:rsidRDefault="002B6A70" w:rsidP="00BC0321">
            <w:pPr>
              <w:spacing w:after="0"/>
              <w:rPr>
                <w:rFonts w:ascii="Arial" w:hAnsi="Arial"/>
                <w:sz w:val="16"/>
              </w:rPr>
            </w:pPr>
            <w:r w:rsidRPr="002B6A70">
              <w:rPr>
                <w:rFonts w:ascii="Arial" w:hAnsi="Arial"/>
                <w:sz w:val="16"/>
              </w:rPr>
              <w:t>Correction for BD/CCE budget of scheduling cell(s) in FR2-2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56BF62" w14:textId="77777777" w:rsidR="002B6A70" w:rsidRDefault="002B6A70" w:rsidP="00BC0321">
            <w:pPr>
              <w:pStyle w:val="TAL"/>
              <w:rPr>
                <w:sz w:val="16"/>
                <w:szCs w:val="16"/>
                <w:lang w:eastAsia="zh-CN"/>
              </w:rPr>
            </w:pPr>
            <w:r>
              <w:rPr>
                <w:sz w:val="16"/>
                <w:szCs w:val="16"/>
                <w:lang w:eastAsia="zh-CN"/>
              </w:rPr>
              <w:t>17.4.0</w:t>
            </w:r>
          </w:p>
        </w:tc>
      </w:tr>
      <w:tr w:rsidR="002D7C54" w:rsidRPr="00B916EC" w14:paraId="7176679B"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7DDE13C2" w14:textId="77777777" w:rsidR="002D7C54" w:rsidRPr="00B916EC" w:rsidRDefault="002D7C54"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BA90571" w14:textId="77777777" w:rsidR="002D7C54" w:rsidRPr="00B916EC" w:rsidRDefault="002D7C54"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E42A594" w14:textId="77777777" w:rsidR="002D7C54" w:rsidRDefault="002D7C54" w:rsidP="00BC0321">
            <w:pPr>
              <w:pStyle w:val="TAL"/>
              <w:rPr>
                <w:sz w:val="16"/>
                <w:szCs w:val="16"/>
                <w:lang w:eastAsia="zh-CN"/>
              </w:rPr>
            </w:pPr>
            <w:r w:rsidRPr="00FA4CFB">
              <w:rPr>
                <w:sz w:val="16"/>
                <w:szCs w:val="16"/>
                <w:lang w:eastAsia="zh-CN"/>
              </w:rPr>
              <w:t>RP-2228</w:t>
            </w:r>
            <w:r>
              <w:rPr>
                <w:sz w:val="16"/>
                <w:szCs w:val="16"/>
                <w:lang w:eastAsia="zh-CN"/>
              </w:rPr>
              <w:t>53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DD6FD53" w14:textId="26A6DC9A" w:rsidR="002D7C54" w:rsidRDefault="002D7C54" w:rsidP="00BC0321">
            <w:pPr>
              <w:pStyle w:val="TAL"/>
              <w:rPr>
                <w:sz w:val="16"/>
                <w:szCs w:val="16"/>
              </w:rPr>
            </w:pPr>
            <w:r>
              <w:rPr>
                <w:sz w:val="16"/>
                <w:szCs w:val="16"/>
              </w:rPr>
              <w:t>0374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BC13BD5" w14:textId="77777777" w:rsidR="002D7C54" w:rsidRDefault="002D7C54"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F213CAF" w14:textId="77777777" w:rsidR="002D7C54" w:rsidRDefault="002D7C54"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921EB67" w14:textId="0CF87C63" w:rsidR="002D7C54" w:rsidRPr="005D126D" w:rsidRDefault="002D7C54" w:rsidP="00BC0321">
            <w:pPr>
              <w:spacing w:after="0"/>
              <w:rPr>
                <w:rFonts w:ascii="Arial" w:hAnsi="Arial"/>
                <w:sz w:val="16"/>
              </w:rPr>
            </w:pPr>
            <w:r w:rsidRPr="002D7C54">
              <w:rPr>
                <w:rFonts w:ascii="Arial" w:hAnsi="Arial"/>
                <w:sz w:val="16"/>
              </w:rPr>
              <w:t>Correction for SSSG switching with multiple cells in FR2-2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550A27D" w14:textId="77777777" w:rsidR="002D7C54" w:rsidRDefault="002D7C54" w:rsidP="00BC0321">
            <w:pPr>
              <w:pStyle w:val="TAL"/>
              <w:rPr>
                <w:sz w:val="16"/>
                <w:szCs w:val="16"/>
                <w:lang w:eastAsia="zh-CN"/>
              </w:rPr>
            </w:pPr>
            <w:r>
              <w:rPr>
                <w:sz w:val="16"/>
                <w:szCs w:val="16"/>
                <w:lang w:eastAsia="zh-CN"/>
              </w:rPr>
              <w:t>17.4.0</w:t>
            </w:r>
          </w:p>
        </w:tc>
      </w:tr>
      <w:tr w:rsidR="002D7C54" w:rsidRPr="00B916EC" w14:paraId="217BAA44"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246C3B34" w14:textId="77777777" w:rsidR="002D7C54" w:rsidRPr="00B916EC" w:rsidRDefault="002D7C54"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727F768" w14:textId="77777777" w:rsidR="002D7C54" w:rsidRPr="00B916EC" w:rsidRDefault="002D7C54"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34B2F7F" w14:textId="644568AA" w:rsidR="002D7C54" w:rsidRDefault="002D7C54" w:rsidP="00BC0321">
            <w:pPr>
              <w:pStyle w:val="TAL"/>
              <w:rPr>
                <w:sz w:val="16"/>
                <w:szCs w:val="16"/>
                <w:lang w:eastAsia="zh-CN"/>
              </w:rPr>
            </w:pPr>
            <w:r w:rsidRPr="00FA4CFB">
              <w:rPr>
                <w:sz w:val="16"/>
                <w:szCs w:val="16"/>
                <w:lang w:eastAsia="zh-CN"/>
              </w:rPr>
              <w:t>RP-2228</w:t>
            </w:r>
            <w:r>
              <w:rPr>
                <w:sz w:val="16"/>
                <w:szCs w:val="16"/>
                <w:lang w:eastAsia="zh-CN"/>
              </w:rPr>
              <w:t>55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669BF06" w14:textId="1BA41D68" w:rsidR="002D7C54" w:rsidRDefault="002D7C54" w:rsidP="00BC0321">
            <w:pPr>
              <w:pStyle w:val="TAL"/>
              <w:rPr>
                <w:sz w:val="16"/>
                <w:szCs w:val="16"/>
              </w:rPr>
            </w:pPr>
            <w:r>
              <w:rPr>
                <w:sz w:val="16"/>
                <w:szCs w:val="16"/>
              </w:rPr>
              <w:t>0375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1D2499C" w14:textId="77777777" w:rsidR="002D7C54" w:rsidRDefault="002D7C54"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B5EBCF8" w14:textId="77777777" w:rsidR="002D7C54" w:rsidRDefault="002D7C54"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C841AA9" w14:textId="783C86BC" w:rsidR="002D7C54" w:rsidRPr="005D126D" w:rsidRDefault="002D7C54" w:rsidP="00BC0321">
            <w:pPr>
              <w:spacing w:after="0"/>
              <w:rPr>
                <w:rFonts w:ascii="Arial" w:hAnsi="Arial"/>
                <w:sz w:val="16"/>
              </w:rPr>
            </w:pPr>
            <w:r w:rsidRPr="002D7C54">
              <w:rPr>
                <w:rFonts w:ascii="Arial" w:hAnsi="Arial"/>
                <w:sz w:val="16"/>
              </w:rPr>
              <w:t>CR on the Type-2 HARQ-ACK codebook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FF9173" w14:textId="77777777" w:rsidR="002D7C54" w:rsidRDefault="002D7C54" w:rsidP="00BC0321">
            <w:pPr>
              <w:pStyle w:val="TAL"/>
              <w:rPr>
                <w:sz w:val="16"/>
                <w:szCs w:val="16"/>
                <w:lang w:eastAsia="zh-CN"/>
              </w:rPr>
            </w:pPr>
            <w:r>
              <w:rPr>
                <w:sz w:val="16"/>
                <w:szCs w:val="16"/>
                <w:lang w:eastAsia="zh-CN"/>
              </w:rPr>
              <w:t>17.4.0</w:t>
            </w:r>
          </w:p>
        </w:tc>
      </w:tr>
      <w:tr w:rsidR="00DE3B39" w:rsidRPr="00B916EC" w14:paraId="4D1972C5"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27ACCFE1" w14:textId="77777777" w:rsidR="00DE3B39" w:rsidRPr="00B916EC" w:rsidRDefault="00DE3B39"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BAFB4C5" w14:textId="77777777" w:rsidR="00DE3B39" w:rsidRPr="00B916EC" w:rsidRDefault="00DE3B39"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EB6AEBB" w14:textId="3C660126" w:rsidR="00DE3B39" w:rsidRDefault="00DE3B39" w:rsidP="00BC0321">
            <w:pPr>
              <w:pStyle w:val="TAL"/>
              <w:rPr>
                <w:sz w:val="16"/>
                <w:szCs w:val="16"/>
                <w:lang w:eastAsia="zh-CN"/>
              </w:rPr>
            </w:pPr>
            <w:r w:rsidRPr="00FA4CFB">
              <w:rPr>
                <w:sz w:val="16"/>
                <w:szCs w:val="16"/>
                <w:lang w:eastAsia="zh-CN"/>
              </w:rPr>
              <w:t>RP-2228</w:t>
            </w:r>
            <w:r>
              <w:rPr>
                <w:sz w:val="16"/>
                <w:szCs w:val="16"/>
                <w:lang w:eastAsia="zh-CN"/>
              </w:rPr>
              <w:t>66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159E226" w14:textId="6A6D5CEF" w:rsidR="00DE3B39" w:rsidRDefault="00DE3B39" w:rsidP="00BC0321">
            <w:pPr>
              <w:pStyle w:val="TAL"/>
              <w:rPr>
                <w:sz w:val="16"/>
                <w:szCs w:val="16"/>
              </w:rPr>
            </w:pPr>
            <w:r>
              <w:rPr>
                <w:sz w:val="16"/>
                <w:szCs w:val="16"/>
              </w:rPr>
              <w:t>0376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04597B5" w14:textId="77777777" w:rsidR="00DE3B39" w:rsidRDefault="00DE3B39"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8D9D4AB" w14:textId="77777777" w:rsidR="00DE3B39" w:rsidRDefault="00DE3B39"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7C07CC2" w14:textId="52BDC120" w:rsidR="00DE3B39" w:rsidRPr="005D126D" w:rsidRDefault="00DE3B39" w:rsidP="00BC0321">
            <w:pPr>
              <w:spacing w:after="0"/>
              <w:rPr>
                <w:rFonts w:ascii="Arial" w:hAnsi="Arial"/>
                <w:sz w:val="16"/>
              </w:rPr>
            </w:pPr>
            <w:r w:rsidRPr="00DE3B39">
              <w:rPr>
                <w:rFonts w:ascii="Arial" w:hAnsi="Arial"/>
                <w:sz w:val="16"/>
              </w:rPr>
              <w:t>Correction on deltapreamble of feature combination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E7F1A1B" w14:textId="77777777" w:rsidR="00DE3B39" w:rsidRDefault="00DE3B39" w:rsidP="00BC0321">
            <w:pPr>
              <w:pStyle w:val="TAL"/>
              <w:rPr>
                <w:sz w:val="16"/>
                <w:szCs w:val="16"/>
                <w:lang w:eastAsia="zh-CN"/>
              </w:rPr>
            </w:pPr>
            <w:r>
              <w:rPr>
                <w:sz w:val="16"/>
                <w:szCs w:val="16"/>
                <w:lang w:eastAsia="zh-CN"/>
              </w:rPr>
              <w:t>17.4.0</w:t>
            </w:r>
          </w:p>
        </w:tc>
      </w:tr>
      <w:tr w:rsidR="00546195" w:rsidRPr="00B916EC" w14:paraId="22FECCD3"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7FD1DAE5" w14:textId="77777777" w:rsidR="00546195" w:rsidRPr="00B916EC" w:rsidRDefault="00546195"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0C781F9" w14:textId="77777777" w:rsidR="00546195" w:rsidRPr="00B916EC" w:rsidRDefault="00546195"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0D1EDD1" w14:textId="64D85BEC" w:rsidR="00546195" w:rsidRDefault="00546195" w:rsidP="00BC0321">
            <w:pPr>
              <w:pStyle w:val="TAL"/>
              <w:rPr>
                <w:sz w:val="16"/>
                <w:szCs w:val="16"/>
                <w:lang w:eastAsia="zh-CN"/>
              </w:rPr>
            </w:pPr>
            <w:r w:rsidRPr="00FA4CFB">
              <w:rPr>
                <w:sz w:val="16"/>
                <w:szCs w:val="16"/>
                <w:lang w:eastAsia="zh-CN"/>
              </w:rPr>
              <w:t>RP-2228</w:t>
            </w:r>
            <w:r>
              <w:rPr>
                <w:sz w:val="16"/>
                <w:szCs w:val="16"/>
                <w:lang w:eastAsia="zh-CN"/>
              </w:rPr>
              <w:t>71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09D6C41" w14:textId="222E6DF9" w:rsidR="00546195" w:rsidRDefault="00546195" w:rsidP="00BC0321">
            <w:pPr>
              <w:pStyle w:val="TAL"/>
              <w:rPr>
                <w:sz w:val="16"/>
                <w:szCs w:val="16"/>
              </w:rPr>
            </w:pPr>
            <w:r>
              <w:rPr>
                <w:sz w:val="16"/>
                <w:szCs w:val="16"/>
              </w:rPr>
              <w:t>0378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24EC0DE" w14:textId="77777777" w:rsidR="00546195" w:rsidRDefault="00546195"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249FAE2" w14:textId="31202892" w:rsidR="00546195" w:rsidRDefault="00546195"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B2AA237" w14:textId="424C6289" w:rsidR="00546195" w:rsidRPr="005D126D" w:rsidRDefault="00546195" w:rsidP="00BC0321">
            <w:pPr>
              <w:spacing w:after="0"/>
              <w:rPr>
                <w:rFonts w:ascii="Arial" w:hAnsi="Arial"/>
                <w:sz w:val="16"/>
              </w:rPr>
            </w:pPr>
            <w:r w:rsidRPr="00546195">
              <w:rPr>
                <w:rFonts w:ascii="Arial" w:hAnsi="Arial"/>
                <w:sz w:val="16"/>
              </w:rPr>
              <w:t>Correction on HARQ-ACK multiplexing on multi-PUSCHs without PUCCH for Rel-16 NR-U</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D9E0A53" w14:textId="77777777" w:rsidR="00546195" w:rsidRDefault="00546195" w:rsidP="00BC0321">
            <w:pPr>
              <w:pStyle w:val="TAL"/>
              <w:rPr>
                <w:sz w:val="16"/>
                <w:szCs w:val="16"/>
                <w:lang w:eastAsia="zh-CN"/>
              </w:rPr>
            </w:pPr>
            <w:r>
              <w:rPr>
                <w:sz w:val="16"/>
                <w:szCs w:val="16"/>
                <w:lang w:eastAsia="zh-CN"/>
              </w:rPr>
              <w:t>17.4.0</w:t>
            </w:r>
          </w:p>
        </w:tc>
      </w:tr>
      <w:tr w:rsidR="007F3A24" w:rsidRPr="00B916EC" w14:paraId="713901E6"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6927E084" w14:textId="77777777" w:rsidR="007F3A24" w:rsidRPr="00B916EC" w:rsidRDefault="007F3A24"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9DD284E" w14:textId="77777777" w:rsidR="007F3A24" w:rsidRPr="00B916EC" w:rsidRDefault="007F3A24"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46017F1" w14:textId="31296B48" w:rsidR="007F3A24" w:rsidRDefault="007F3A24" w:rsidP="00BC0321">
            <w:pPr>
              <w:pStyle w:val="TAL"/>
              <w:rPr>
                <w:sz w:val="16"/>
                <w:szCs w:val="16"/>
                <w:lang w:eastAsia="zh-CN"/>
              </w:rPr>
            </w:pPr>
            <w:r w:rsidRPr="00FA4CFB">
              <w:rPr>
                <w:sz w:val="16"/>
                <w:szCs w:val="16"/>
                <w:lang w:eastAsia="zh-CN"/>
              </w:rPr>
              <w:t>RP-2228</w:t>
            </w:r>
            <w:r>
              <w:rPr>
                <w:sz w:val="16"/>
                <w:szCs w:val="16"/>
                <w:lang w:eastAsia="zh-CN"/>
              </w:rPr>
              <w:t>54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5837010" w14:textId="0F6B2008" w:rsidR="007F3A24" w:rsidRDefault="007F3A24" w:rsidP="00BC0321">
            <w:pPr>
              <w:pStyle w:val="TAL"/>
              <w:rPr>
                <w:sz w:val="16"/>
                <w:szCs w:val="16"/>
              </w:rPr>
            </w:pPr>
            <w:r>
              <w:rPr>
                <w:sz w:val="16"/>
                <w:szCs w:val="16"/>
              </w:rPr>
              <w:t>0379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E6EE4DD" w14:textId="77777777" w:rsidR="007F3A24" w:rsidRDefault="007F3A24"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F4EBDF7" w14:textId="0F68DA27" w:rsidR="007F3A24" w:rsidRDefault="007F3A24"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ADA71BD" w14:textId="4D062315" w:rsidR="007F3A24" w:rsidRPr="005D126D" w:rsidRDefault="007F3A24" w:rsidP="00BC0321">
            <w:pPr>
              <w:spacing w:after="0"/>
              <w:rPr>
                <w:rFonts w:ascii="Arial" w:hAnsi="Arial"/>
                <w:sz w:val="16"/>
              </w:rPr>
            </w:pPr>
            <w:r w:rsidRPr="007F3A24">
              <w:rPr>
                <w:rFonts w:ascii="Arial" w:hAnsi="Arial"/>
                <w:sz w:val="16"/>
              </w:rPr>
              <w:t>Correction on enhanced Type 3 HARQ-ACK codebook and HARQ-ACK re-transmission triggering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94A44AA" w14:textId="77777777" w:rsidR="007F3A24" w:rsidRDefault="007F3A24" w:rsidP="00BC0321">
            <w:pPr>
              <w:pStyle w:val="TAL"/>
              <w:rPr>
                <w:sz w:val="16"/>
                <w:szCs w:val="16"/>
                <w:lang w:eastAsia="zh-CN"/>
              </w:rPr>
            </w:pPr>
            <w:r>
              <w:rPr>
                <w:sz w:val="16"/>
                <w:szCs w:val="16"/>
                <w:lang w:eastAsia="zh-CN"/>
              </w:rPr>
              <w:t>17.4.0</w:t>
            </w:r>
          </w:p>
        </w:tc>
      </w:tr>
      <w:tr w:rsidR="007B27F0" w:rsidRPr="00B916EC" w14:paraId="6BD6783F"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050E0632" w14:textId="77777777" w:rsidR="007B27F0" w:rsidRPr="00B916EC" w:rsidRDefault="007B27F0"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6106AE2" w14:textId="77777777" w:rsidR="007B27F0" w:rsidRPr="00B916EC" w:rsidRDefault="007B27F0"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EE114DA" w14:textId="1F59725E" w:rsidR="007B27F0" w:rsidRDefault="007B27F0" w:rsidP="00BC0321">
            <w:pPr>
              <w:pStyle w:val="TAL"/>
              <w:rPr>
                <w:sz w:val="16"/>
                <w:szCs w:val="16"/>
                <w:lang w:eastAsia="zh-CN"/>
              </w:rPr>
            </w:pPr>
            <w:r w:rsidRPr="00FA4CFB">
              <w:rPr>
                <w:sz w:val="16"/>
                <w:szCs w:val="16"/>
                <w:lang w:eastAsia="zh-CN"/>
              </w:rPr>
              <w:t>RP-2228</w:t>
            </w:r>
            <w:r>
              <w:rPr>
                <w:sz w:val="16"/>
                <w:szCs w:val="16"/>
                <w:lang w:eastAsia="zh-CN"/>
              </w:rPr>
              <w:t>57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BE9C43D" w14:textId="7A6D55F7" w:rsidR="007B27F0" w:rsidRDefault="007B27F0" w:rsidP="00BC0321">
            <w:pPr>
              <w:pStyle w:val="TAL"/>
              <w:rPr>
                <w:sz w:val="16"/>
                <w:szCs w:val="16"/>
              </w:rPr>
            </w:pPr>
            <w:r>
              <w:rPr>
                <w:sz w:val="16"/>
                <w:szCs w:val="16"/>
              </w:rPr>
              <w:t>0380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21A3838" w14:textId="77777777" w:rsidR="007B27F0" w:rsidRDefault="007B27F0"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2EB90F0" w14:textId="77777777" w:rsidR="007B27F0" w:rsidRDefault="007B27F0"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22423CD" w14:textId="2B76B4DA" w:rsidR="007B27F0" w:rsidRPr="005D126D" w:rsidRDefault="007B27F0" w:rsidP="00BC0321">
            <w:pPr>
              <w:spacing w:after="0"/>
              <w:rPr>
                <w:rFonts w:ascii="Arial" w:hAnsi="Arial"/>
                <w:sz w:val="16"/>
              </w:rPr>
            </w:pPr>
            <w:r w:rsidRPr="007B27F0">
              <w:rPr>
                <w:rFonts w:ascii="Arial" w:hAnsi="Arial"/>
                <w:sz w:val="16"/>
              </w:rPr>
              <w:t>Corrections and clarifications of RedCap UE procedures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F7E366F" w14:textId="77777777" w:rsidR="007B27F0" w:rsidRDefault="007B27F0" w:rsidP="00BC0321">
            <w:pPr>
              <w:pStyle w:val="TAL"/>
              <w:rPr>
                <w:sz w:val="16"/>
                <w:szCs w:val="16"/>
                <w:lang w:eastAsia="zh-CN"/>
              </w:rPr>
            </w:pPr>
            <w:r>
              <w:rPr>
                <w:sz w:val="16"/>
                <w:szCs w:val="16"/>
                <w:lang w:eastAsia="zh-CN"/>
              </w:rPr>
              <w:t>17.4.0</w:t>
            </w:r>
          </w:p>
        </w:tc>
      </w:tr>
      <w:tr w:rsidR="0079700A" w:rsidRPr="00B916EC" w14:paraId="13E436E6"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213555B1" w14:textId="77777777" w:rsidR="0079700A" w:rsidRPr="00B916EC" w:rsidRDefault="0079700A"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6253AC6" w14:textId="77777777" w:rsidR="0079700A" w:rsidRPr="00B916EC" w:rsidRDefault="0079700A"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D4C7EBE" w14:textId="33B02DAC" w:rsidR="0079700A" w:rsidRDefault="0079700A" w:rsidP="00BC0321">
            <w:pPr>
              <w:pStyle w:val="TAL"/>
              <w:rPr>
                <w:sz w:val="16"/>
                <w:szCs w:val="16"/>
                <w:lang w:eastAsia="zh-CN"/>
              </w:rPr>
            </w:pPr>
            <w:r w:rsidRPr="00FA4CFB">
              <w:rPr>
                <w:sz w:val="16"/>
                <w:szCs w:val="16"/>
                <w:lang w:eastAsia="zh-CN"/>
              </w:rPr>
              <w:t>RP-2228</w:t>
            </w:r>
            <w:r>
              <w:rPr>
                <w:sz w:val="16"/>
                <w:szCs w:val="16"/>
                <w:lang w:eastAsia="zh-CN"/>
              </w:rPr>
              <w:t>54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AA71D6E" w14:textId="75FE4A00" w:rsidR="0079700A" w:rsidRDefault="0079700A" w:rsidP="00BC0321">
            <w:pPr>
              <w:pStyle w:val="TAL"/>
              <w:rPr>
                <w:sz w:val="16"/>
                <w:szCs w:val="16"/>
              </w:rPr>
            </w:pPr>
            <w:r>
              <w:rPr>
                <w:sz w:val="16"/>
                <w:szCs w:val="16"/>
              </w:rPr>
              <w:t>0381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8210012" w14:textId="77777777" w:rsidR="0079700A" w:rsidRDefault="0079700A"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50C76BA" w14:textId="77777777" w:rsidR="0079700A" w:rsidRDefault="0079700A"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A337C4A" w14:textId="37698C08" w:rsidR="0079700A" w:rsidRPr="005D126D" w:rsidRDefault="0079700A" w:rsidP="00BC0321">
            <w:pPr>
              <w:spacing w:after="0"/>
              <w:rPr>
                <w:rFonts w:ascii="Arial" w:hAnsi="Arial"/>
                <w:sz w:val="16"/>
              </w:rPr>
            </w:pPr>
            <w:r w:rsidRPr="0079700A">
              <w:rPr>
                <w:rFonts w:ascii="Arial" w:hAnsi="Arial"/>
                <w:sz w:val="16"/>
              </w:rPr>
              <w:t>CR on multiplexing for SPS HARQ-ACK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433D7A2" w14:textId="77777777" w:rsidR="0079700A" w:rsidRDefault="0079700A" w:rsidP="00BC0321">
            <w:pPr>
              <w:pStyle w:val="TAL"/>
              <w:rPr>
                <w:sz w:val="16"/>
                <w:szCs w:val="16"/>
                <w:lang w:eastAsia="zh-CN"/>
              </w:rPr>
            </w:pPr>
            <w:r>
              <w:rPr>
                <w:sz w:val="16"/>
                <w:szCs w:val="16"/>
                <w:lang w:eastAsia="zh-CN"/>
              </w:rPr>
              <w:t>17.4.0</w:t>
            </w:r>
          </w:p>
        </w:tc>
      </w:tr>
      <w:tr w:rsidR="008E2AC3" w:rsidRPr="00B916EC" w14:paraId="5E4F81C2"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1D929FEB" w14:textId="77777777" w:rsidR="008E2AC3" w:rsidRPr="00B916EC" w:rsidRDefault="008E2AC3"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D0DB5DE" w14:textId="77777777" w:rsidR="008E2AC3" w:rsidRPr="00B916EC" w:rsidRDefault="008E2AC3"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206C1AB" w14:textId="56F1A01B" w:rsidR="008E2AC3" w:rsidRDefault="008E2AC3" w:rsidP="00BC0321">
            <w:pPr>
              <w:pStyle w:val="TAL"/>
              <w:rPr>
                <w:sz w:val="16"/>
                <w:szCs w:val="16"/>
                <w:lang w:eastAsia="zh-CN"/>
              </w:rPr>
            </w:pPr>
            <w:r w:rsidRPr="00FA4CFB">
              <w:rPr>
                <w:sz w:val="16"/>
                <w:szCs w:val="16"/>
                <w:lang w:eastAsia="zh-CN"/>
              </w:rPr>
              <w:t>RP-2228</w:t>
            </w:r>
            <w:r>
              <w:rPr>
                <w:sz w:val="16"/>
                <w:szCs w:val="16"/>
                <w:lang w:eastAsia="zh-CN"/>
              </w:rPr>
              <w:t>53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840838E" w14:textId="08A434AE" w:rsidR="008E2AC3" w:rsidRDefault="008E2AC3" w:rsidP="00BC0321">
            <w:pPr>
              <w:pStyle w:val="TAL"/>
              <w:rPr>
                <w:sz w:val="16"/>
                <w:szCs w:val="16"/>
              </w:rPr>
            </w:pPr>
            <w:r>
              <w:rPr>
                <w:sz w:val="16"/>
                <w:szCs w:val="16"/>
              </w:rPr>
              <w:t>0382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E03AE88" w14:textId="77777777" w:rsidR="008E2AC3" w:rsidRDefault="008E2AC3"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E4B9058" w14:textId="77777777" w:rsidR="008E2AC3" w:rsidRDefault="008E2AC3"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3ED3A0A" w14:textId="270B89C9" w:rsidR="008E2AC3" w:rsidRPr="005D126D" w:rsidRDefault="008E2AC3" w:rsidP="00BC0321">
            <w:pPr>
              <w:spacing w:after="0"/>
              <w:rPr>
                <w:rFonts w:ascii="Arial" w:hAnsi="Arial"/>
                <w:sz w:val="16"/>
              </w:rPr>
            </w:pPr>
            <w:r w:rsidRPr="008E2AC3">
              <w:rPr>
                <w:rFonts w:ascii="Arial" w:hAnsi="Arial"/>
                <w:sz w:val="16"/>
              </w:rPr>
              <w:t>Correction on BD/CCE decoding with release-specific number of serving cell(s) for NR operation in FR2-2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ED862B4" w14:textId="77777777" w:rsidR="008E2AC3" w:rsidRDefault="008E2AC3" w:rsidP="00BC0321">
            <w:pPr>
              <w:pStyle w:val="TAL"/>
              <w:rPr>
                <w:sz w:val="16"/>
                <w:szCs w:val="16"/>
                <w:lang w:eastAsia="zh-CN"/>
              </w:rPr>
            </w:pPr>
            <w:r>
              <w:rPr>
                <w:sz w:val="16"/>
                <w:szCs w:val="16"/>
                <w:lang w:eastAsia="zh-CN"/>
              </w:rPr>
              <w:t>17.4.0</w:t>
            </w:r>
          </w:p>
        </w:tc>
      </w:tr>
      <w:tr w:rsidR="008E2AC3" w:rsidRPr="00B916EC" w14:paraId="4667859D"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3D37E302" w14:textId="77777777" w:rsidR="008E2AC3" w:rsidRPr="00B916EC" w:rsidRDefault="008E2AC3"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40CA8F5" w14:textId="77777777" w:rsidR="008E2AC3" w:rsidRPr="00B916EC" w:rsidRDefault="008E2AC3"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4BA81B1" w14:textId="66115DF2" w:rsidR="008E2AC3" w:rsidRDefault="008E2AC3" w:rsidP="00BC0321">
            <w:pPr>
              <w:pStyle w:val="TAL"/>
              <w:rPr>
                <w:sz w:val="16"/>
                <w:szCs w:val="16"/>
                <w:lang w:eastAsia="zh-CN"/>
              </w:rPr>
            </w:pPr>
            <w:r w:rsidRPr="00FA4CFB">
              <w:rPr>
                <w:sz w:val="16"/>
                <w:szCs w:val="16"/>
                <w:lang w:eastAsia="zh-CN"/>
              </w:rPr>
              <w:t>RP-2228</w:t>
            </w:r>
            <w:r>
              <w:rPr>
                <w:sz w:val="16"/>
                <w:szCs w:val="16"/>
                <w:lang w:eastAsia="zh-CN"/>
              </w:rPr>
              <w:t>64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20E301A" w14:textId="40AAE3D0" w:rsidR="008E2AC3" w:rsidRDefault="008E2AC3" w:rsidP="00BC0321">
            <w:pPr>
              <w:pStyle w:val="TAL"/>
              <w:rPr>
                <w:sz w:val="16"/>
                <w:szCs w:val="16"/>
              </w:rPr>
            </w:pPr>
            <w:r>
              <w:rPr>
                <w:sz w:val="16"/>
                <w:szCs w:val="16"/>
              </w:rPr>
              <w:t>0383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5583642" w14:textId="77777777" w:rsidR="008E2AC3" w:rsidRDefault="008E2AC3"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426292B" w14:textId="77777777" w:rsidR="008E2AC3" w:rsidRDefault="008E2AC3"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7060A05" w14:textId="7671E077" w:rsidR="008E2AC3" w:rsidRPr="005D126D" w:rsidRDefault="008E2AC3" w:rsidP="00BC0321">
            <w:pPr>
              <w:spacing w:after="0"/>
              <w:rPr>
                <w:rFonts w:ascii="Arial" w:hAnsi="Arial"/>
                <w:sz w:val="16"/>
              </w:rPr>
            </w:pPr>
            <w:r w:rsidRPr="008E2AC3">
              <w:rPr>
                <w:rFonts w:ascii="Arial" w:hAnsi="Arial"/>
                <w:sz w:val="16"/>
              </w:rPr>
              <w:t>CR on PDCCH monitoring when overlapping with the rate matching pattern to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DBB52E1" w14:textId="77777777" w:rsidR="008E2AC3" w:rsidRDefault="008E2AC3" w:rsidP="00BC0321">
            <w:pPr>
              <w:pStyle w:val="TAL"/>
              <w:rPr>
                <w:sz w:val="16"/>
                <w:szCs w:val="16"/>
                <w:lang w:eastAsia="zh-CN"/>
              </w:rPr>
            </w:pPr>
            <w:r>
              <w:rPr>
                <w:sz w:val="16"/>
                <w:szCs w:val="16"/>
                <w:lang w:eastAsia="zh-CN"/>
              </w:rPr>
              <w:t>17.4.0</w:t>
            </w:r>
          </w:p>
        </w:tc>
      </w:tr>
      <w:tr w:rsidR="007C6C6C" w:rsidRPr="00B916EC" w14:paraId="72B92CC4"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1219972F" w14:textId="77777777" w:rsidR="007C6C6C" w:rsidRPr="00B916EC" w:rsidRDefault="007C6C6C"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AC98E28" w14:textId="77777777" w:rsidR="007C6C6C" w:rsidRPr="00B916EC" w:rsidRDefault="007C6C6C"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15F9B8E" w14:textId="29BED53B" w:rsidR="007C6C6C" w:rsidRDefault="007C6C6C" w:rsidP="00BC0321">
            <w:pPr>
              <w:pStyle w:val="TAL"/>
              <w:rPr>
                <w:sz w:val="16"/>
                <w:szCs w:val="16"/>
                <w:lang w:eastAsia="zh-CN"/>
              </w:rPr>
            </w:pPr>
            <w:r w:rsidRPr="00FA4CFB">
              <w:rPr>
                <w:sz w:val="16"/>
                <w:szCs w:val="16"/>
                <w:lang w:eastAsia="zh-CN"/>
              </w:rPr>
              <w:t>RP-2228</w:t>
            </w:r>
            <w:r>
              <w:rPr>
                <w:sz w:val="16"/>
                <w:szCs w:val="16"/>
                <w:lang w:eastAsia="zh-CN"/>
              </w:rPr>
              <w:t>58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BDF5659" w14:textId="13242768" w:rsidR="007C6C6C" w:rsidRDefault="007C6C6C" w:rsidP="00BC0321">
            <w:pPr>
              <w:pStyle w:val="TAL"/>
              <w:rPr>
                <w:sz w:val="16"/>
                <w:szCs w:val="16"/>
              </w:rPr>
            </w:pPr>
            <w:r>
              <w:rPr>
                <w:sz w:val="16"/>
                <w:szCs w:val="16"/>
              </w:rPr>
              <w:t>0384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2008446" w14:textId="77777777" w:rsidR="007C6C6C" w:rsidRDefault="007C6C6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8DF59A8" w14:textId="77777777" w:rsidR="007C6C6C" w:rsidRDefault="007C6C6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B7F4EFB" w14:textId="001EB46D" w:rsidR="007C6C6C" w:rsidRPr="005D126D" w:rsidRDefault="007C6C6C" w:rsidP="00BC0321">
            <w:pPr>
              <w:spacing w:after="0"/>
              <w:rPr>
                <w:rFonts w:ascii="Arial" w:hAnsi="Arial"/>
                <w:sz w:val="16"/>
              </w:rPr>
            </w:pPr>
            <w:r w:rsidRPr="007C6C6C">
              <w:rPr>
                <w:rFonts w:ascii="Arial" w:hAnsi="Arial"/>
                <w:sz w:val="16"/>
              </w:rPr>
              <w:t>Corrections on UE power saving enhancements for NR in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E05E1ED" w14:textId="77777777" w:rsidR="007C6C6C" w:rsidRDefault="007C6C6C" w:rsidP="00BC0321">
            <w:pPr>
              <w:pStyle w:val="TAL"/>
              <w:rPr>
                <w:sz w:val="16"/>
                <w:szCs w:val="16"/>
                <w:lang w:eastAsia="zh-CN"/>
              </w:rPr>
            </w:pPr>
            <w:r>
              <w:rPr>
                <w:sz w:val="16"/>
                <w:szCs w:val="16"/>
                <w:lang w:eastAsia="zh-CN"/>
              </w:rPr>
              <w:t>17.4.0</w:t>
            </w:r>
          </w:p>
        </w:tc>
      </w:tr>
      <w:tr w:rsidR="00252055" w:rsidRPr="00B916EC" w14:paraId="3A18B486"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2B4C8DB8" w14:textId="77777777" w:rsidR="00252055" w:rsidRPr="00B916EC" w:rsidRDefault="00252055"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2E58B9C" w14:textId="77777777" w:rsidR="00252055" w:rsidRPr="00B916EC" w:rsidRDefault="00252055"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B29A941" w14:textId="243E29BC" w:rsidR="00252055" w:rsidRDefault="00252055" w:rsidP="00BC0321">
            <w:pPr>
              <w:pStyle w:val="TAL"/>
              <w:rPr>
                <w:sz w:val="16"/>
                <w:szCs w:val="16"/>
                <w:lang w:eastAsia="zh-CN"/>
              </w:rPr>
            </w:pPr>
            <w:r w:rsidRPr="00FA4CFB">
              <w:rPr>
                <w:sz w:val="16"/>
                <w:szCs w:val="16"/>
                <w:lang w:eastAsia="zh-CN"/>
              </w:rPr>
              <w:t>RP-2228</w:t>
            </w:r>
            <w:r>
              <w:rPr>
                <w:sz w:val="16"/>
                <w:szCs w:val="16"/>
                <w:lang w:eastAsia="zh-CN"/>
              </w:rPr>
              <w:t>54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84EE453" w14:textId="6AC34BF6" w:rsidR="00252055" w:rsidRDefault="00252055" w:rsidP="00BC0321">
            <w:pPr>
              <w:pStyle w:val="TAL"/>
              <w:rPr>
                <w:sz w:val="16"/>
                <w:szCs w:val="16"/>
              </w:rPr>
            </w:pPr>
            <w:r>
              <w:rPr>
                <w:sz w:val="16"/>
                <w:szCs w:val="16"/>
              </w:rPr>
              <w:t>0385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59A2976" w14:textId="77777777" w:rsidR="00252055" w:rsidRDefault="00252055"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635372A" w14:textId="77777777" w:rsidR="00252055" w:rsidRDefault="00252055"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291E893" w14:textId="457A4F9D" w:rsidR="00252055" w:rsidRPr="005D126D" w:rsidRDefault="00252055" w:rsidP="00BC0321">
            <w:pPr>
              <w:spacing w:after="0"/>
              <w:rPr>
                <w:rFonts w:ascii="Arial" w:hAnsi="Arial"/>
                <w:sz w:val="16"/>
              </w:rPr>
            </w:pPr>
            <w:r w:rsidRPr="00252055">
              <w:rPr>
                <w:rFonts w:ascii="Arial" w:hAnsi="Arial"/>
                <w:sz w:val="16"/>
              </w:rPr>
              <w:t>CR on power control for PUCCH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2943095" w14:textId="77777777" w:rsidR="00252055" w:rsidRDefault="00252055" w:rsidP="00BC0321">
            <w:pPr>
              <w:pStyle w:val="TAL"/>
              <w:rPr>
                <w:sz w:val="16"/>
                <w:szCs w:val="16"/>
                <w:lang w:eastAsia="zh-CN"/>
              </w:rPr>
            </w:pPr>
            <w:r>
              <w:rPr>
                <w:sz w:val="16"/>
                <w:szCs w:val="16"/>
                <w:lang w:eastAsia="zh-CN"/>
              </w:rPr>
              <w:t>17.4.0</w:t>
            </w:r>
          </w:p>
        </w:tc>
      </w:tr>
      <w:tr w:rsidR="00252055" w:rsidRPr="00B916EC" w14:paraId="6D504E90"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542F69CF" w14:textId="77777777" w:rsidR="00252055" w:rsidRPr="00B916EC" w:rsidRDefault="00252055"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9FAFD72" w14:textId="77777777" w:rsidR="00252055" w:rsidRPr="00B916EC" w:rsidRDefault="00252055"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CD9D0AF" w14:textId="2D279AE9" w:rsidR="00252055" w:rsidRDefault="00252055" w:rsidP="00BC0321">
            <w:pPr>
              <w:pStyle w:val="TAL"/>
              <w:rPr>
                <w:sz w:val="16"/>
                <w:szCs w:val="16"/>
                <w:lang w:eastAsia="zh-CN"/>
              </w:rPr>
            </w:pPr>
            <w:r w:rsidRPr="00FA4CFB">
              <w:rPr>
                <w:sz w:val="16"/>
                <w:szCs w:val="16"/>
                <w:lang w:eastAsia="zh-CN"/>
              </w:rPr>
              <w:t>RP-2228</w:t>
            </w:r>
            <w:r>
              <w:rPr>
                <w:sz w:val="16"/>
                <w:szCs w:val="16"/>
                <w:lang w:eastAsia="zh-CN"/>
              </w:rPr>
              <w:t>70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B27B458" w14:textId="41A40B55" w:rsidR="00252055" w:rsidRDefault="00252055" w:rsidP="00BC0321">
            <w:pPr>
              <w:pStyle w:val="TAL"/>
              <w:rPr>
                <w:sz w:val="16"/>
                <w:szCs w:val="16"/>
              </w:rPr>
            </w:pPr>
            <w:r>
              <w:rPr>
                <w:sz w:val="16"/>
                <w:szCs w:val="16"/>
              </w:rPr>
              <w:t>0386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D3E8E07" w14:textId="77777777" w:rsidR="00252055" w:rsidRDefault="00252055"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3DB7857" w14:textId="77777777" w:rsidR="00252055" w:rsidRDefault="00252055"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5A45442" w14:textId="174D1B1A" w:rsidR="00252055" w:rsidRPr="005D126D" w:rsidRDefault="00252055" w:rsidP="00BC0321">
            <w:pPr>
              <w:spacing w:after="0"/>
              <w:rPr>
                <w:rFonts w:ascii="Arial" w:hAnsi="Arial"/>
                <w:sz w:val="16"/>
              </w:rPr>
            </w:pPr>
            <w:r w:rsidRPr="00252055">
              <w:rPr>
                <w:rFonts w:ascii="Arial" w:hAnsi="Arial"/>
                <w:sz w:val="16"/>
              </w:rPr>
              <w:t>Correction on parallel transmission of PRACH and SRS/PUCCH/PUSCH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C4139B8" w14:textId="77777777" w:rsidR="00252055" w:rsidRDefault="00252055" w:rsidP="00BC0321">
            <w:pPr>
              <w:pStyle w:val="TAL"/>
              <w:rPr>
                <w:sz w:val="16"/>
                <w:szCs w:val="16"/>
                <w:lang w:eastAsia="zh-CN"/>
              </w:rPr>
            </w:pPr>
            <w:r>
              <w:rPr>
                <w:sz w:val="16"/>
                <w:szCs w:val="16"/>
                <w:lang w:eastAsia="zh-CN"/>
              </w:rPr>
              <w:t>17.4.0</w:t>
            </w:r>
          </w:p>
        </w:tc>
      </w:tr>
      <w:tr w:rsidR="00E44B2F" w:rsidRPr="00B916EC" w14:paraId="2E53948B"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3425B0F7" w14:textId="77777777" w:rsidR="00E44B2F" w:rsidRPr="00B916EC" w:rsidRDefault="00E44B2F"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502C8C7" w14:textId="77777777" w:rsidR="00E44B2F" w:rsidRPr="00B916EC" w:rsidRDefault="00E44B2F"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6DD33FC" w14:textId="1E23B4C5" w:rsidR="00E44B2F" w:rsidRDefault="00E44B2F" w:rsidP="00BC0321">
            <w:pPr>
              <w:pStyle w:val="TAL"/>
              <w:rPr>
                <w:sz w:val="16"/>
                <w:szCs w:val="16"/>
                <w:lang w:eastAsia="zh-CN"/>
              </w:rPr>
            </w:pPr>
            <w:r w:rsidRPr="00FA4CFB">
              <w:rPr>
                <w:sz w:val="16"/>
                <w:szCs w:val="16"/>
                <w:lang w:eastAsia="zh-CN"/>
              </w:rPr>
              <w:t>RP-2228</w:t>
            </w:r>
            <w:r>
              <w:rPr>
                <w:sz w:val="16"/>
                <w:szCs w:val="16"/>
                <w:lang w:eastAsia="zh-CN"/>
              </w:rPr>
              <w:t>64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F204582" w14:textId="4589ED85" w:rsidR="00E44B2F" w:rsidRDefault="00E44B2F" w:rsidP="00BC0321">
            <w:pPr>
              <w:pStyle w:val="TAL"/>
              <w:rPr>
                <w:sz w:val="16"/>
                <w:szCs w:val="16"/>
              </w:rPr>
            </w:pPr>
            <w:r>
              <w:rPr>
                <w:sz w:val="16"/>
                <w:szCs w:val="16"/>
              </w:rPr>
              <w:t>0387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417428D" w14:textId="77777777" w:rsidR="00E44B2F" w:rsidRDefault="00E44B2F"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B60E925" w14:textId="77777777" w:rsidR="00E44B2F" w:rsidRDefault="00E44B2F"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FDD2D0C" w14:textId="39B14660" w:rsidR="00E44B2F" w:rsidRPr="005D126D" w:rsidRDefault="00E44B2F" w:rsidP="00BC0321">
            <w:pPr>
              <w:spacing w:after="0"/>
              <w:rPr>
                <w:rFonts w:ascii="Arial" w:hAnsi="Arial"/>
                <w:sz w:val="16"/>
              </w:rPr>
            </w:pPr>
            <w:r w:rsidRPr="00E44B2F">
              <w:rPr>
                <w:rFonts w:ascii="Arial" w:hAnsi="Arial"/>
                <w:sz w:val="16"/>
              </w:rPr>
              <w:t>CR on multiplexing NACK-only mode1 with others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31601E5" w14:textId="77777777" w:rsidR="00E44B2F" w:rsidRDefault="00E44B2F" w:rsidP="00BC0321">
            <w:pPr>
              <w:pStyle w:val="TAL"/>
              <w:rPr>
                <w:sz w:val="16"/>
                <w:szCs w:val="16"/>
                <w:lang w:eastAsia="zh-CN"/>
              </w:rPr>
            </w:pPr>
            <w:r>
              <w:rPr>
                <w:sz w:val="16"/>
                <w:szCs w:val="16"/>
                <w:lang w:eastAsia="zh-CN"/>
              </w:rPr>
              <w:t>17.4.0</w:t>
            </w:r>
          </w:p>
        </w:tc>
      </w:tr>
      <w:tr w:rsidR="00BB0347" w:rsidRPr="00B916EC" w14:paraId="5FF838D9"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2A85FE4F" w14:textId="77777777" w:rsidR="00BB0347" w:rsidRPr="00B916EC" w:rsidRDefault="00BB0347"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179F7A9" w14:textId="77777777" w:rsidR="00BB0347" w:rsidRPr="00B916EC" w:rsidRDefault="00BB0347"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F1EFBDD" w14:textId="77777777" w:rsidR="00BB0347" w:rsidRDefault="00BB0347" w:rsidP="00BC0321">
            <w:pPr>
              <w:pStyle w:val="TAL"/>
              <w:rPr>
                <w:sz w:val="16"/>
                <w:szCs w:val="16"/>
                <w:lang w:eastAsia="zh-CN"/>
              </w:rPr>
            </w:pPr>
            <w:r w:rsidRPr="00FA4CFB">
              <w:rPr>
                <w:sz w:val="16"/>
                <w:szCs w:val="16"/>
                <w:lang w:eastAsia="zh-CN"/>
              </w:rPr>
              <w:t>RP-2228</w:t>
            </w:r>
            <w:r>
              <w:rPr>
                <w:sz w:val="16"/>
                <w:szCs w:val="16"/>
                <w:lang w:eastAsia="zh-CN"/>
              </w:rPr>
              <w:t>64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2B135AA" w14:textId="01CA846E" w:rsidR="00BB0347" w:rsidRDefault="00BB0347" w:rsidP="00BC0321">
            <w:pPr>
              <w:pStyle w:val="TAL"/>
              <w:rPr>
                <w:sz w:val="16"/>
                <w:szCs w:val="16"/>
              </w:rPr>
            </w:pPr>
            <w:r>
              <w:rPr>
                <w:sz w:val="16"/>
                <w:szCs w:val="16"/>
              </w:rPr>
              <w:t>0388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3646F49" w14:textId="77777777" w:rsidR="00BB0347" w:rsidRDefault="00BB0347"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F0E03A9" w14:textId="77777777" w:rsidR="00BB0347" w:rsidRDefault="00BB0347"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7AF3074" w14:textId="51D985BE" w:rsidR="00BB0347" w:rsidRPr="005D126D" w:rsidRDefault="00BB0347" w:rsidP="00BC0321">
            <w:pPr>
              <w:spacing w:after="0"/>
              <w:rPr>
                <w:rFonts w:ascii="Arial" w:hAnsi="Arial"/>
                <w:sz w:val="16"/>
              </w:rPr>
            </w:pPr>
            <w:r w:rsidRPr="00BB0347">
              <w:rPr>
                <w:rFonts w:ascii="Arial" w:hAnsi="Arial"/>
                <w:sz w:val="16"/>
              </w:rPr>
              <w:t>CR on codebook type for NACK-only HARQ-ACK feedback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6E2A59D" w14:textId="77777777" w:rsidR="00BB0347" w:rsidRDefault="00BB0347" w:rsidP="00BC0321">
            <w:pPr>
              <w:pStyle w:val="TAL"/>
              <w:rPr>
                <w:sz w:val="16"/>
                <w:szCs w:val="16"/>
                <w:lang w:eastAsia="zh-CN"/>
              </w:rPr>
            </w:pPr>
            <w:r>
              <w:rPr>
                <w:sz w:val="16"/>
                <w:szCs w:val="16"/>
                <w:lang w:eastAsia="zh-CN"/>
              </w:rPr>
              <w:t>17.4.0</w:t>
            </w:r>
          </w:p>
        </w:tc>
      </w:tr>
      <w:tr w:rsidR="00BB0347" w:rsidRPr="00B916EC" w14:paraId="664E3303"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42293CB4" w14:textId="77777777" w:rsidR="00BB0347" w:rsidRPr="00B916EC" w:rsidRDefault="00BB0347"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30AAB4B" w14:textId="77777777" w:rsidR="00BB0347" w:rsidRPr="00B916EC" w:rsidRDefault="00BB0347"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B5A374A" w14:textId="77777777" w:rsidR="00BB0347" w:rsidRDefault="00BB0347" w:rsidP="00BC0321">
            <w:pPr>
              <w:pStyle w:val="TAL"/>
              <w:rPr>
                <w:sz w:val="16"/>
                <w:szCs w:val="16"/>
                <w:lang w:eastAsia="zh-CN"/>
              </w:rPr>
            </w:pPr>
            <w:r w:rsidRPr="00FA4CFB">
              <w:rPr>
                <w:sz w:val="16"/>
                <w:szCs w:val="16"/>
                <w:lang w:eastAsia="zh-CN"/>
              </w:rPr>
              <w:t>RP-2228</w:t>
            </w:r>
            <w:r>
              <w:rPr>
                <w:sz w:val="16"/>
                <w:szCs w:val="16"/>
                <w:lang w:eastAsia="zh-CN"/>
              </w:rPr>
              <w:t>64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F07B999" w14:textId="2892D021" w:rsidR="00BB0347" w:rsidRDefault="00BB0347" w:rsidP="00BC0321">
            <w:pPr>
              <w:pStyle w:val="TAL"/>
              <w:rPr>
                <w:sz w:val="16"/>
                <w:szCs w:val="16"/>
              </w:rPr>
            </w:pPr>
            <w:r>
              <w:rPr>
                <w:sz w:val="16"/>
                <w:szCs w:val="16"/>
              </w:rPr>
              <w:t>0389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667E067" w14:textId="77777777" w:rsidR="00BB0347" w:rsidRDefault="00BB0347"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A187D46" w14:textId="77777777" w:rsidR="00BB0347" w:rsidRDefault="00BB0347"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88AC68F" w14:textId="0A75DD5E" w:rsidR="00BB0347" w:rsidRPr="005D126D" w:rsidRDefault="00BB0347" w:rsidP="00BC0321">
            <w:pPr>
              <w:spacing w:after="0"/>
              <w:rPr>
                <w:rFonts w:ascii="Arial" w:hAnsi="Arial"/>
                <w:sz w:val="16"/>
              </w:rPr>
            </w:pPr>
            <w:r w:rsidRPr="00BB0347">
              <w:rPr>
                <w:rFonts w:ascii="Arial" w:hAnsi="Arial"/>
                <w:sz w:val="16"/>
              </w:rPr>
              <w:t>CR on HARQ-ACK feedback for PDSCH scheduled by DCI format 4_1</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EF05DDF" w14:textId="77777777" w:rsidR="00BB0347" w:rsidRDefault="00BB0347" w:rsidP="00BC0321">
            <w:pPr>
              <w:pStyle w:val="TAL"/>
              <w:rPr>
                <w:sz w:val="16"/>
                <w:szCs w:val="16"/>
                <w:lang w:eastAsia="zh-CN"/>
              </w:rPr>
            </w:pPr>
            <w:r>
              <w:rPr>
                <w:sz w:val="16"/>
                <w:szCs w:val="16"/>
                <w:lang w:eastAsia="zh-CN"/>
              </w:rPr>
              <w:t>17.4.0</w:t>
            </w:r>
          </w:p>
        </w:tc>
      </w:tr>
      <w:tr w:rsidR="00B403FE" w:rsidRPr="00B916EC" w14:paraId="7824B973"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5F881E19" w14:textId="77777777" w:rsidR="00B403FE" w:rsidRPr="00B916EC" w:rsidRDefault="00B403F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3F781EC" w14:textId="77777777" w:rsidR="00B403FE" w:rsidRPr="00B916EC" w:rsidRDefault="00B403FE"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93FF03C" w14:textId="77777777" w:rsidR="00B403FE" w:rsidRDefault="00B403FE" w:rsidP="00BC0321">
            <w:pPr>
              <w:pStyle w:val="TAL"/>
              <w:rPr>
                <w:sz w:val="16"/>
                <w:szCs w:val="16"/>
                <w:lang w:eastAsia="zh-CN"/>
              </w:rPr>
            </w:pPr>
            <w:r w:rsidRPr="00FA4CFB">
              <w:rPr>
                <w:sz w:val="16"/>
                <w:szCs w:val="16"/>
                <w:lang w:eastAsia="zh-CN"/>
              </w:rPr>
              <w:t>RP-2228</w:t>
            </w:r>
            <w:r>
              <w:rPr>
                <w:sz w:val="16"/>
                <w:szCs w:val="16"/>
                <w:lang w:eastAsia="zh-CN"/>
              </w:rPr>
              <w:t>64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4EFFBCC" w14:textId="76E990DC" w:rsidR="00B403FE" w:rsidRDefault="00B403FE" w:rsidP="00BC0321">
            <w:pPr>
              <w:pStyle w:val="TAL"/>
              <w:rPr>
                <w:sz w:val="16"/>
                <w:szCs w:val="16"/>
              </w:rPr>
            </w:pPr>
            <w:r>
              <w:rPr>
                <w:sz w:val="16"/>
                <w:szCs w:val="16"/>
              </w:rPr>
              <w:t>0390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59B9E51" w14:textId="78A89378" w:rsidR="00B403FE" w:rsidRDefault="00B403FE" w:rsidP="00BC0321">
            <w:pPr>
              <w:pStyle w:val="TAL"/>
              <w:jc w:val="center"/>
              <w:rPr>
                <w:sz w:val="16"/>
                <w:szCs w:val="16"/>
              </w:rPr>
            </w:pPr>
            <w:r>
              <w:rPr>
                <w:sz w:val="16"/>
                <w:szCs w:val="16"/>
              </w:rPr>
              <w:t>2</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E158821" w14:textId="77777777" w:rsidR="00B403FE" w:rsidRDefault="00B403FE"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B1439D2" w14:textId="01B430A4" w:rsidR="00B403FE" w:rsidRPr="005D126D" w:rsidRDefault="00B403FE" w:rsidP="00BC0321">
            <w:pPr>
              <w:spacing w:after="0"/>
              <w:rPr>
                <w:rFonts w:ascii="Arial" w:hAnsi="Arial"/>
                <w:sz w:val="16"/>
              </w:rPr>
            </w:pPr>
            <w:r w:rsidRPr="00B403FE">
              <w:rPr>
                <w:rFonts w:ascii="Arial" w:hAnsi="Arial"/>
                <w:sz w:val="16"/>
              </w:rPr>
              <w:t xml:space="preserve">CR on DAI counting for </w:t>
            </w:r>
            <w:r w:rsidR="002D5F43">
              <w:rPr>
                <w:rFonts w:ascii="Arial" w:hAnsi="Arial"/>
                <w:sz w:val="16"/>
              </w:rPr>
              <w:t>'</w:t>
            </w:r>
            <w:r w:rsidRPr="00B403FE">
              <w:rPr>
                <w:rFonts w:ascii="Arial" w:hAnsi="Arial"/>
                <w:sz w:val="16"/>
              </w:rPr>
              <w:t>dci-enabler</w:t>
            </w:r>
            <w:r w:rsidR="002D5F43">
              <w:rPr>
                <w:rFonts w:ascii="Arial" w:hAnsi="Arial"/>
                <w:sz w:val="16"/>
              </w:rPr>
              <w:t>'</w:t>
            </w:r>
            <w:r w:rsidRPr="00B403FE">
              <w:rPr>
                <w:rFonts w:ascii="Arial" w:hAnsi="Arial"/>
                <w:sz w:val="16"/>
              </w:rPr>
              <w:t xml:space="preserve"> in DCI indicating value 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1FB136A" w14:textId="77777777" w:rsidR="00B403FE" w:rsidRDefault="00B403FE" w:rsidP="00BC0321">
            <w:pPr>
              <w:pStyle w:val="TAL"/>
              <w:rPr>
                <w:sz w:val="16"/>
                <w:szCs w:val="16"/>
                <w:lang w:eastAsia="zh-CN"/>
              </w:rPr>
            </w:pPr>
            <w:r>
              <w:rPr>
                <w:sz w:val="16"/>
                <w:szCs w:val="16"/>
                <w:lang w:eastAsia="zh-CN"/>
              </w:rPr>
              <w:t>17.4.0</w:t>
            </w:r>
          </w:p>
        </w:tc>
      </w:tr>
      <w:tr w:rsidR="00B403FE" w:rsidRPr="00B916EC" w14:paraId="2AF23EE6"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24950940" w14:textId="77777777" w:rsidR="00B403FE" w:rsidRPr="00B916EC" w:rsidRDefault="00B403FE"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4909460" w14:textId="77777777" w:rsidR="00B403FE" w:rsidRPr="00B916EC" w:rsidRDefault="00B403FE"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998DC3A" w14:textId="63F6A41A" w:rsidR="00B403FE" w:rsidRDefault="00B403FE" w:rsidP="00BC0321">
            <w:pPr>
              <w:pStyle w:val="TAL"/>
              <w:rPr>
                <w:sz w:val="16"/>
                <w:szCs w:val="16"/>
                <w:lang w:eastAsia="zh-CN"/>
              </w:rPr>
            </w:pPr>
            <w:r w:rsidRPr="00FA4CFB">
              <w:rPr>
                <w:sz w:val="16"/>
                <w:szCs w:val="16"/>
                <w:lang w:eastAsia="zh-CN"/>
              </w:rPr>
              <w:t>RP-2228</w:t>
            </w:r>
            <w:r>
              <w:rPr>
                <w:sz w:val="16"/>
                <w:szCs w:val="16"/>
                <w:lang w:eastAsia="zh-CN"/>
              </w:rPr>
              <w:t>52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8455D23" w14:textId="74E3C0EE" w:rsidR="00B403FE" w:rsidRDefault="00B403FE" w:rsidP="00BC0321">
            <w:pPr>
              <w:pStyle w:val="TAL"/>
              <w:rPr>
                <w:sz w:val="16"/>
                <w:szCs w:val="16"/>
              </w:rPr>
            </w:pPr>
            <w:r>
              <w:rPr>
                <w:sz w:val="16"/>
                <w:szCs w:val="16"/>
              </w:rPr>
              <w:t>0391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812C6CE" w14:textId="77A09360" w:rsidR="00B403FE" w:rsidRDefault="00B403FE"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361A46D" w14:textId="77777777" w:rsidR="00B403FE" w:rsidRDefault="00B403FE"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3EDD066" w14:textId="3B6A0869" w:rsidR="00B403FE" w:rsidRPr="005D126D" w:rsidRDefault="00B403FE" w:rsidP="00BC0321">
            <w:pPr>
              <w:spacing w:after="0"/>
              <w:rPr>
                <w:rFonts w:ascii="Arial" w:hAnsi="Arial"/>
                <w:sz w:val="16"/>
              </w:rPr>
            </w:pPr>
            <w:r w:rsidRPr="00B403FE">
              <w:rPr>
                <w:rFonts w:ascii="Arial" w:hAnsi="Arial"/>
                <w:sz w:val="16"/>
              </w:rPr>
              <w:t>CR on PHR with unified TCI in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560BAFC" w14:textId="77777777" w:rsidR="00B403FE" w:rsidRDefault="00B403FE" w:rsidP="00BC0321">
            <w:pPr>
              <w:pStyle w:val="TAL"/>
              <w:rPr>
                <w:sz w:val="16"/>
                <w:szCs w:val="16"/>
                <w:lang w:eastAsia="zh-CN"/>
              </w:rPr>
            </w:pPr>
            <w:r>
              <w:rPr>
                <w:sz w:val="16"/>
                <w:szCs w:val="16"/>
                <w:lang w:eastAsia="zh-CN"/>
              </w:rPr>
              <w:t>17.4.0</w:t>
            </w:r>
          </w:p>
        </w:tc>
      </w:tr>
      <w:tr w:rsidR="00B403FE" w:rsidRPr="00B916EC" w14:paraId="4D335384"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290BE503" w14:textId="77777777" w:rsidR="00B403FE" w:rsidRPr="00B916EC" w:rsidRDefault="00B403FE" w:rsidP="00BC0321">
            <w:pPr>
              <w:spacing w:after="0"/>
              <w:jc w:val="center"/>
              <w:rPr>
                <w:rFonts w:ascii="Arial" w:hAnsi="Arial"/>
                <w:snapToGrid w:val="0"/>
                <w:sz w:val="16"/>
                <w:szCs w:val="16"/>
              </w:rPr>
            </w:pPr>
            <w:r w:rsidRPr="00B916EC">
              <w:rPr>
                <w:rFonts w:ascii="Arial" w:hAnsi="Arial"/>
                <w:snapToGrid w:val="0"/>
                <w:sz w:val="16"/>
                <w:szCs w:val="16"/>
              </w:rPr>
              <w:lastRenderedPageBreak/>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85D6175" w14:textId="77777777" w:rsidR="00B403FE" w:rsidRPr="00B916EC" w:rsidRDefault="00B403FE"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1709647" w14:textId="5AC974E7" w:rsidR="00B403FE" w:rsidRDefault="00B403FE" w:rsidP="00BC0321">
            <w:pPr>
              <w:pStyle w:val="TAL"/>
              <w:rPr>
                <w:sz w:val="16"/>
                <w:szCs w:val="16"/>
                <w:lang w:eastAsia="zh-CN"/>
              </w:rPr>
            </w:pPr>
            <w:r w:rsidRPr="00FA4CFB">
              <w:rPr>
                <w:sz w:val="16"/>
                <w:szCs w:val="16"/>
                <w:lang w:eastAsia="zh-CN"/>
              </w:rPr>
              <w:t>RP-2228</w:t>
            </w:r>
            <w:r>
              <w:rPr>
                <w:sz w:val="16"/>
                <w:szCs w:val="16"/>
                <w:lang w:eastAsia="zh-CN"/>
              </w:rPr>
              <w:t>62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741F44B" w14:textId="71AF0B53" w:rsidR="00B403FE" w:rsidRDefault="00B403FE" w:rsidP="00BC0321">
            <w:pPr>
              <w:pStyle w:val="TAL"/>
              <w:rPr>
                <w:sz w:val="16"/>
                <w:szCs w:val="16"/>
              </w:rPr>
            </w:pPr>
            <w:r>
              <w:rPr>
                <w:sz w:val="16"/>
                <w:szCs w:val="16"/>
              </w:rPr>
              <w:t>0392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8459432" w14:textId="77777777" w:rsidR="00B403FE" w:rsidRDefault="00B403FE"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0532FCA" w14:textId="77777777" w:rsidR="00B403FE" w:rsidRDefault="00B403FE"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25D01E5" w14:textId="3352DB2B" w:rsidR="00B403FE" w:rsidRPr="005D126D" w:rsidRDefault="00B403FE" w:rsidP="00BC0321">
            <w:pPr>
              <w:spacing w:after="0"/>
              <w:rPr>
                <w:rFonts w:ascii="Arial" w:hAnsi="Arial"/>
                <w:sz w:val="16"/>
              </w:rPr>
            </w:pPr>
            <w:r w:rsidRPr="00B403FE">
              <w:rPr>
                <w:rFonts w:ascii="Arial" w:hAnsi="Arial"/>
                <w:sz w:val="16"/>
              </w:rPr>
              <w:t>Correction on the formula of Case-7 UL Tx timing for eIAB in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51E79CC" w14:textId="77777777" w:rsidR="00B403FE" w:rsidRDefault="00B403FE" w:rsidP="00BC0321">
            <w:pPr>
              <w:pStyle w:val="TAL"/>
              <w:rPr>
                <w:sz w:val="16"/>
                <w:szCs w:val="16"/>
                <w:lang w:eastAsia="zh-CN"/>
              </w:rPr>
            </w:pPr>
            <w:r>
              <w:rPr>
                <w:sz w:val="16"/>
                <w:szCs w:val="16"/>
                <w:lang w:eastAsia="zh-CN"/>
              </w:rPr>
              <w:t>17.4.0</w:t>
            </w:r>
          </w:p>
        </w:tc>
      </w:tr>
      <w:tr w:rsidR="00183704" w:rsidRPr="00B916EC" w14:paraId="05E719CE"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420F8C1C" w14:textId="77777777" w:rsidR="00183704" w:rsidRPr="00B916EC" w:rsidRDefault="00183704"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97ED4F0" w14:textId="77777777" w:rsidR="00183704" w:rsidRPr="00B916EC" w:rsidRDefault="00183704"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1BBFDB6" w14:textId="77777777" w:rsidR="00183704" w:rsidRDefault="00183704" w:rsidP="00BC0321">
            <w:pPr>
              <w:pStyle w:val="TAL"/>
              <w:rPr>
                <w:sz w:val="16"/>
                <w:szCs w:val="16"/>
                <w:lang w:eastAsia="zh-CN"/>
              </w:rPr>
            </w:pPr>
            <w:r w:rsidRPr="00FA4CFB">
              <w:rPr>
                <w:sz w:val="16"/>
                <w:szCs w:val="16"/>
                <w:lang w:eastAsia="zh-CN"/>
              </w:rPr>
              <w:t>RP-2228</w:t>
            </w:r>
            <w:r>
              <w:rPr>
                <w:sz w:val="16"/>
                <w:szCs w:val="16"/>
                <w:lang w:eastAsia="zh-CN"/>
              </w:rPr>
              <w:t>62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40118FD" w14:textId="3C6C5864" w:rsidR="00183704" w:rsidRDefault="00183704" w:rsidP="00BC0321">
            <w:pPr>
              <w:pStyle w:val="TAL"/>
              <w:rPr>
                <w:sz w:val="16"/>
                <w:szCs w:val="16"/>
              </w:rPr>
            </w:pPr>
            <w:r>
              <w:rPr>
                <w:sz w:val="16"/>
                <w:szCs w:val="16"/>
              </w:rPr>
              <w:t>0393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9289501" w14:textId="77777777" w:rsidR="00183704" w:rsidRDefault="00183704"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4E8FAD7" w14:textId="77777777" w:rsidR="00183704" w:rsidRDefault="00183704"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8EBDBC7" w14:textId="7E47E310" w:rsidR="00183704" w:rsidRPr="005D126D" w:rsidRDefault="00183704" w:rsidP="00BC0321">
            <w:pPr>
              <w:spacing w:after="0"/>
              <w:rPr>
                <w:rFonts w:ascii="Arial" w:hAnsi="Arial"/>
                <w:sz w:val="16"/>
              </w:rPr>
            </w:pPr>
            <w:r w:rsidRPr="00183704">
              <w:rPr>
                <w:rFonts w:ascii="Arial" w:hAnsi="Arial"/>
                <w:sz w:val="16"/>
              </w:rPr>
              <w:t>CR on guard symbols MAC CEs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5B3AAF" w14:textId="77777777" w:rsidR="00183704" w:rsidRDefault="00183704" w:rsidP="00BC0321">
            <w:pPr>
              <w:pStyle w:val="TAL"/>
              <w:rPr>
                <w:sz w:val="16"/>
                <w:szCs w:val="16"/>
                <w:lang w:eastAsia="zh-CN"/>
              </w:rPr>
            </w:pPr>
            <w:r>
              <w:rPr>
                <w:sz w:val="16"/>
                <w:szCs w:val="16"/>
                <w:lang w:eastAsia="zh-CN"/>
              </w:rPr>
              <w:t>17.4.0</w:t>
            </w:r>
          </w:p>
        </w:tc>
      </w:tr>
      <w:tr w:rsidR="00183704" w:rsidRPr="00B916EC" w14:paraId="6251D817"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6A330153" w14:textId="77777777" w:rsidR="00183704" w:rsidRPr="00B916EC" w:rsidRDefault="00183704"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1C6CC9B" w14:textId="77777777" w:rsidR="00183704" w:rsidRPr="00B916EC" w:rsidRDefault="00183704"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2A42F07" w14:textId="77777777" w:rsidR="00183704" w:rsidRDefault="00183704" w:rsidP="00BC0321">
            <w:pPr>
              <w:pStyle w:val="TAL"/>
              <w:rPr>
                <w:sz w:val="16"/>
                <w:szCs w:val="16"/>
                <w:lang w:eastAsia="zh-CN"/>
              </w:rPr>
            </w:pPr>
            <w:r w:rsidRPr="00FA4CFB">
              <w:rPr>
                <w:sz w:val="16"/>
                <w:szCs w:val="16"/>
                <w:lang w:eastAsia="zh-CN"/>
              </w:rPr>
              <w:t>RP-2228</w:t>
            </w:r>
            <w:r>
              <w:rPr>
                <w:sz w:val="16"/>
                <w:szCs w:val="16"/>
                <w:lang w:eastAsia="zh-CN"/>
              </w:rPr>
              <w:t>62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FACD56A" w14:textId="48B0FB27" w:rsidR="00183704" w:rsidRDefault="00183704" w:rsidP="00BC0321">
            <w:pPr>
              <w:pStyle w:val="TAL"/>
              <w:rPr>
                <w:sz w:val="16"/>
                <w:szCs w:val="16"/>
              </w:rPr>
            </w:pPr>
            <w:r>
              <w:rPr>
                <w:sz w:val="16"/>
                <w:szCs w:val="16"/>
              </w:rPr>
              <w:t>0394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484345A" w14:textId="77777777" w:rsidR="00183704" w:rsidRDefault="00183704"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ED94060" w14:textId="77777777" w:rsidR="00183704" w:rsidRDefault="00183704"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F87A15B" w14:textId="4E08D65D" w:rsidR="00183704" w:rsidRPr="005D126D" w:rsidRDefault="00183704" w:rsidP="00BC0321">
            <w:pPr>
              <w:spacing w:after="0"/>
              <w:rPr>
                <w:rFonts w:ascii="Arial" w:hAnsi="Arial"/>
                <w:sz w:val="16"/>
              </w:rPr>
            </w:pPr>
            <w:r w:rsidRPr="00183704">
              <w:rPr>
                <w:rFonts w:ascii="Arial" w:hAnsi="Arial"/>
                <w:sz w:val="16"/>
              </w:rPr>
              <w:t>Correction on timing case indication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145EAEA" w14:textId="77777777" w:rsidR="00183704" w:rsidRDefault="00183704" w:rsidP="00BC0321">
            <w:pPr>
              <w:pStyle w:val="TAL"/>
              <w:rPr>
                <w:sz w:val="16"/>
                <w:szCs w:val="16"/>
                <w:lang w:eastAsia="zh-CN"/>
              </w:rPr>
            </w:pPr>
            <w:r>
              <w:rPr>
                <w:sz w:val="16"/>
                <w:szCs w:val="16"/>
                <w:lang w:eastAsia="zh-CN"/>
              </w:rPr>
              <w:t>17.4.0</w:t>
            </w:r>
          </w:p>
        </w:tc>
      </w:tr>
      <w:tr w:rsidR="007525F9" w:rsidRPr="00B916EC" w14:paraId="3D6729BD"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21DA3443" w14:textId="77777777" w:rsidR="007525F9" w:rsidRPr="00B916EC" w:rsidRDefault="007525F9"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B13A497" w14:textId="77777777" w:rsidR="007525F9" w:rsidRPr="00B916EC" w:rsidRDefault="007525F9"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B9E0750" w14:textId="77777777" w:rsidR="007525F9" w:rsidRDefault="007525F9" w:rsidP="00BC0321">
            <w:pPr>
              <w:pStyle w:val="TAL"/>
              <w:rPr>
                <w:sz w:val="16"/>
                <w:szCs w:val="16"/>
                <w:lang w:eastAsia="zh-CN"/>
              </w:rPr>
            </w:pPr>
            <w:r w:rsidRPr="00FA4CFB">
              <w:rPr>
                <w:sz w:val="16"/>
                <w:szCs w:val="16"/>
                <w:lang w:eastAsia="zh-CN"/>
              </w:rPr>
              <w:t>RP-2228</w:t>
            </w:r>
            <w:r>
              <w:rPr>
                <w:sz w:val="16"/>
                <w:szCs w:val="16"/>
                <w:lang w:eastAsia="zh-CN"/>
              </w:rPr>
              <w:t>62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88B711E" w14:textId="6CE68B44" w:rsidR="007525F9" w:rsidRDefault="007525F9" w:rsidP="00BC0321">
            <w:pPr>
              <w:pStyle w:val="TAL"/>
              <w:rPr>
                <w:sz w:val="16"/>
                <w:szCs w:val="16"/>
              </w:rPr>
            </w:pPr>
            <w:r>
              <w:rPr>
                <w:sz w:val="16"/>
                <w:szCs w:val="16"/>
              </w:rPr>
              <w:t>0395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87F3256" w14:textId="77777777" w:rsidR="007525F9" w:rsidRDefault="007525F9"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2BAEE0C" w14:textId="77777777" w:rsidR="007525F9" w:rsidRDefault="007525F9"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84B3647" w14:textId="7BEA0F7C" w:rsidR="007525F9" w:rsidRPr="005D126D" w:rsidRDefault="007525F9" w:rsidP="00BC0321">
            <w:pPr>
              <w:spacing w:after="0"/>
              <w:rPr>
                <w:rFonts w:ascii="Arial" w:hAnsi="Arial"/>
                <w:sz w:val="16"/>
              </w:rPr>
            </w:pPr>
            <w:r w:rsidRPr="007525F9">
              <w:rPr>
                <w:rFonts w:ascii="Arial" w:hAnsi="Arial"/>
                <w:sz w:val="16"/>
              </w:rPr>
              <w:t>Correction on coexistence of Rel-17 and Rel-16 HSNA configuration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86DF545" w14:textId="77777777" w:rsidR="007525F9" w:rsidRDefault="007525F9" w:rsidP="00BC0321">
            <w:pPr>
              <w:pStyle w:val="TAL"/>
              <w:rPr>
                <w:sz w:val="16"/>
                <w:szCs w:val="16"/>
                <w:lang w:eastAsia="zh-CN"/>
              </w:rPr>
            </w:pPr>
            <w:r>
              <w:rPr>
                <w:sz w:val="16"/>
                <w:szCs w:val="16"/>
                <w:lang w:eastAsia="zh-CN"/>
              </w:rPr>
              <w:t>17.4.0</w:t>
            </w:r>
          </w:p>
        </w:tc>
      </w:tr>
      <w:tr w:rsidR="0007585C" w:rsidRPr="00B916EC" w14:paraId="232513FF"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7CCEA962" w14:textId="77777777" w:rsidR="0007585C" w:rsidRPr="00B916EC" w:rsidRDefault="0007585C"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F4504D9" w14:textId="77777777" w:rsidR="0007585C" w:rsidRPr="00B916EC" w:rsidRDefault="0007585C"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5D7B034" w14:textId="345B13BE" w:rsidR="0007585C" w:rsidRDefault="0007585C" w:rsidP="00BC0321">
            <w:pPr>
              <w:pStyle w:val="TAL"/>
              <w:rPr>
                <w:sz w:val="16"/>
                <w:szCs w:val="16"/>
                <w:lang w:eastAsia="zh-CN"/>
              </w:rPr>
            </w:pPr>
            <w:r w:rsidRPr="00FA4CFB">
              <w:rPr>
                <w:sz w:val="16"/>
                <w:szCs w:val="16"/>
                <w:lang w:eastAsia="zh-CN"/>
              </w:rPr>
              <w:t>RP-2228</w:t>
            </w:r>
            <w:r>
              <w:rPr>
                <w:sz w:val="16"/>
                <w:szCs w:val="16"/>
                <w:lang w:eastAsia="zh-CN"/>
              </w:rPr>
              <w:t>70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E8F9DA6" w14:textId="7FA5EAFA" w:rsidR="0007585C" w:rsidRDefault="0007585C" w:rsidP="00BC0321">
            <w:pPr>
              <w:pStyle w:val="TAL"/>
              <w:rPr>
                <w:sz w:val="16"/>
                <w:szCs w:val="16"/>
              </w:rPr>
            </w:pPr>
            <w:r>
              <w:rPr>
                <w:sz w:val="16"/>
                <w:szCs w:val="16"/>
              </w:rPr>
              <w:t>0396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69FAC37" w14:textId="77777777" w:rsidR="0007585C" w:rsidRDefault="0007585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69E9BB0" w14:textId="77777777" w:rsidR="0007585C" w:rsidRDefault="0007585C"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DC78362" w14:textId="05A5CAA7" w:rsidR="0007585C" w:rsidRPr="005D126D" w:rsidRDefault="0007585C" w:rsidP="00BC0321">
            <w:pPr>
              <w:spacing w:after="0"/>
              <w:rPr>
                <w:rFonts w:ascii="Arial" w:hAnsi="Arial"/>
                <w:sz w:val="16"/>
              </w:rPr>
            </w:pPr>
            <w:r w:rsidRPr="0007585C">
              <w:rPr>
                <w:rFonts w:ascii="Arial" w:hAnsi="Arial"/>
                <w:sz w:val="16"/>
              </w:rPr>
              <w:t>Correction on ra-SearchSpace for DCI format 0_0</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A081546" w14:textId="77777777" w:rsidR="0007585C" w:rsidRDefault="0007585C" w:rsidP="00BC0321">
            <w:pPr>
              <w:pStyle w:val="TAL"/>
              <w:rPr>
                <w:sz w:val="16"/>
                <w:szCs w:val="16"/>
                <w:lang w:eastAsia="zh-CN"/>
              </w:rPr>
            </w:pPr>
            <w:r>
              <w:rPr>
                <w:sz w:val="16"/>
                <w:szCs w:val="16"/>
                <w:lang w:eastAsia="zh-CN"/>
              </w:rPr>
              <w:t>17.4.0</w:t>
            </w:r>
          </w:p>
        </w:tc>
      </w:tr>
      <w:tr w:rsidR="0007585C" w:rsidRPr="00B916EC" w14:paraId="4E179E8C"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57B604DA" w14:textId="77777777" w:rsidR="0007585C" w:rsidRPr="00B916EC" w:rsidRDefault="0007585C"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CE50000" w14:textId="77777777" w:rsidR="0007585C" w:rsidRPr="00B916EC" w:rsidRDefault="0007585C"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83DF3E9" w14:textId="5EB72B0D" w:rsidR="0007585C" w:rsidRDefault="0007585C" w:rsidP="00BC0321">
            <w:pPr>
              <w:pStyle w:val="TAL"/>
              <w:rPr>
                <w:sz w:val="16"/>
                <w:szCs w:val="16"/>
                <w:lang w:eastAsia="zh-CN"/>
              </w:rPr>
            </w:pPr>
            <w:r w:rsidRPr="00FA4CFB">
              <w:rPr>
                <w:sz w:val="16"/>
                <w:szCs w:val="16"/>
                <w:lang w:eastAsia="zh-CN"/>
              </w:rPr>
              <w:t>RP-2228</w:t>
            </w:r>
            <w:r>
              <w:rPr>
                <w:sz w:val="16"/>
                <w:szCs w:val="16"/>
                <w:lang w:eastAsia="zh-CN"/>
              </w:rPr>
              <w:t>50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BC331D8" w14:textId="3482AF70" w:rsidR="0007585C" w:rsidRDefault="0007585C" w:rsidP="00BC0321">
            <w:pPr>
              <w:pStyle w:val="TAL"/>
              <w:rPr>
                <w:sz w:val="16"/>
                <w:szCs w:val="16"/>
              </w:rPr>
            </w:pPr>
            <w:r>
              <w:rPr>
                <w:sz w:val="16"/>
                <w:szCs w:val="16"/>
              </w:rPr>
              <w:t>0398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A5C2395" w14:textId="77777777" w:rsidR="0007585C" w:rsidRDefault="0007585C"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BCDC534" w14:textId="14EDBD28" w:rsidR="0007585C" w:rsidRDefault="0007585C" w:rsidP="00BC0321">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0130699" w14:textId="2E64F385" w:rsidR="0007585C" w:rsidRPr="005D126D" w:rsidRDefault="0007585C" w:rsidP="00BC0321">
            <w:pPr>
              <w:spacing w:after="0"/>
              <w:rPr>
                <w:rFonts w:ascii="Arial" w:hAnsi="Arial"/>
                <w:sz w:val="16"/>
              </w:rPr>
            </w:pPr>
            <w:r w:rsidRPr="0007585C">
              <w:rPr>
                <w:rFonts w:ascii="Arial" w:hAnsi="Arial"/>
                <w:sz w:val="16"/>
              </w:rPr>
              <w:t>Correction on UL prioritization cases related to SP-CSI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4F109F4" w14:textId="77777777" w:rsidR="0007585C" w:rsidRDefault="0007585C" w:rsidP="00BC0321">
            <w:pPr>
              <w:pStyle w:val="TAL"/>
              <w:rPr>
                <w:sz w:val="16"/>
                <w:szCs w:val="16"/>
                <w:lang w:eastAsia="zh-CN"/>
              </w:rPr>
            </w:pPr>
            <w:r>
              <w:rPr>
                <w:sz w:val="16"/>
                <w:szCs w:val="16"/>
                <w:lang w:eastAsia="zh-CN"/>
              </w:rPr>
              <w:t>17.4.0</w:t>
            </w:r>
          </w:p>
        </w:tc>
      </w:tr>
      <w:tr w:rsidR="00545CA8" w:rsidRPr="00B916EC" w14:paraId="0855A195"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1338F0F5" w14:textId="77777777" w:rsidR="00545CA8" w:rsidRPr="00B916EC" w:rsidRDefault="00545CA8"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A80A9FE" w14:textId="77777777" w:rsidR="00545CA8" w:rsidRPr="00B916EC" w:rsidRDefault="00545CA8"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5063797" w14:textId="3671F2F1" w:rsidR="00545CA8" w:rsidRDefault="00545CA8" w:rsidP="00BC0321">
            <w:pPr>
              <w:pStyle w:val="TAL"/>
              <w:rPr>
                <w:sz w:val="16"/>
                <w:szCs w:val="16"/>
                <w:lang w:eastAsia="zh-CN"/>
              </w:rPr>
            </w:pPr>
            <w:r w:rsidRPr="00FA4CFB">
              <w:rPr>
                <w:sz w:val="16"/>
                <w:szCs w:val="16"/>
                <w:lang w:eastAsia="zh-CN"/>
              </w:rPr>
              <w:t>RP-2228</w:t>
            </w:r>
            <w:r>
              <w:rPr>
                <w:sz w:val="16"/>
                <w:szCs w:val="16"/>
                <w:lang w:eastAsia="zh-CN"/>
              </w:rPr>
              <w:t>64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A8F45D0" w14:textId="5B169D54" w:rsidR="00545CA8" w:rsidRDefault="00545CA8" w:rsidP="00BC0321">
            <w:pPr>
              <w:pStyle w:val="TAL"/>
              <w:rPr>
                <w:sz w:val="16"/>
                <w:szCs w:val="16"/>
              </w:rPr>
            </w:pPr>
            <w:r>
              <w:rPr>
                <w:sz w:val="16"/>
                <w:szCs w:val="16"/>
              </w:rPr>
              <w:t>0399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57631FA" w14:textId="77777777" w:rsidR="00545CA8" w:rsidRDefault="00545CA8"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2680F7F" w14:textId="70707CB0" w:rsidR="00545CA8" w:rsidRDefault="00545CA8"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D276682" w14:textId="7006F9BA" w:rsidR="00545CA8" w:rsidRPr="005D126D" w:rsidRDefault="00545CA8" w:rsidP="00BC0321">
            <w:pPr>
              <w:spacing w:after="0"/>
              <w:rPr>
                <w:rFonts w:ascii="Arial" w:hAnsi="Arial"/>
                <w:sz w:val="16"/>
              </w:rPr>
            </w:pPr>
            <w:r w:rsidRPr="00545CA8">
              <w:rPr>
                <w:rFonts w:ascii="Arial" w:hAnsi="Arial"/>
                <w:sz w:val="16"/>
              </w:rPr>
              <w:t>CR on SS0 availability for scheduling MBS to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B946E3A" w14:textId="77777777" w:rsidR="00545CA8" w:rsidRDefault="00545CA8" w:rsidP="00BC0321">
            <w:pPr>
              <w:pStyle w:val="TAL"/>
              <w:rPr>
                <w:sz w:val="16"/>
                <w:szCs w:val="16"/>
                <w:lang w:eastAsia="zh-CN"/>
              </w:rPr>
            </w:pPr>
            <w:r>
              <w:rPr>
                <w:sz w:val="16"/>
                <w:szCs w:val="16"/>
                <w:lang w:eastAsia="zh-CN"/>
              </w:rPr>
              <w:t>17.4.0</w:t>
            </w:r>
          </w:p>
        </w:tc>
      </w:tr>
      <w:tr w:rsidR="00BC0321" w:rsidRPr="00B916EC" w14:paraId="5ECE6C5F"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1413A996" w14:textId="77777777" w:rsidR="00BC0321" w:rsidRPr="00B916EC" w:rsidRDefault="00BC0321"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15DA3E7" w14:textId="77777777" w:rsidR="00BC0321" w:rsidRPr="00B916EC" w:rsidRDefault="00BC0321"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065A88B" w14:textId="77777777" w:rsidR="00BC0321" w:rsidRDefault="00BC0321" w:rsidP="00BC0321">
            <w:pPr>
              <w:pStyle w:val="TAL"/>
              <w:rPr>
                <w:sz w:val="16"/>
                <w:szCs w:val="16"/>
                <w:lang w:eastAsia="zh-CN"/>
              </w:rPr>
            </w:pPr>
            <w:r w:rsidRPr="00FA4CFB">
              <w:rPr>
                <w:sz w:val="16"/>
                <w:szCs w:val="16"/>
                <w:lang w:eastAsia="zh-CN"/>
              </w:rPr>
              <w:t>RP-2228</w:t>
            </w:r>
            <w:r>
              <w:rPr>
                <w:sz w:val="16"/>
                <w:szCs w:val="16"/>
                <w:lang w:eastAsia="zh-CN"/>
              </w:rPr>
              <w:t>64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6FF84E2" w14:textId="74CC4939" w:rsidR="00BC0321" w:rsidRDefault="00BC0321" w:rsidP="00BC0321">
            <w:pPr>
              <w:pStyle w:val="TAL"/>
              <w:rPr>
                <w:sz w:val="16"/>
                <w:szCs w:val="16"/>
              </w:rPr>
            </w:pPr>
            <w:r>
              <w:rPr>
                <w:sz w:val="16"/>
                <w:szCs w:val="16"/>
              </w:rPr>
              <w:t>0400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399A845" w14:textId="77777777" w:rsidR="00BC0321" w:rsidRDefault="00BC0321"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8D93490" w14:textId="77777777" w:rsidR="00BC0321" w:rsidRDefault="00BC0321"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FC23575" w14:textId="032F5216" w:rsidR="00BC0321" w:rsidRPr="005D126D" w:rsidRDefault="00BC0321" w:rsidP="00BC0321">
            <w:pPr>
              <w:spacing w:after="0"/>
              <w:rPr>
                <w:rFonts w:ascii="Arial" w:hAnsi="Arial"/>
                <w:sz w:val="16"/>
              </w:rPr>
            </w:pPr>
            <w:r w:rsidRPr="00BC0321">
              <w:rPr>
                <w:rFonts w:ascii="Arial" w:hAnsi="Arial"/>
                <w:sz w:val="16"/>
              </w:rPr>
              <w:t>CR on PUCCH resource determination of SPS multicast HARQ-ACK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889855F" w14:textId="77777777" w:rsidR="00BC0321" w:rsidRDefault="00BC0321" w:rsidP="00BC0321">
            <w:pPr>
              <w:pStyle w:val="TAL"/>
              <w:rPr>
                <w:sz w:val="16"/>
                <w:szCs w:val="16"/>
                <w:lang w:eastAsia="zh-CN"/>
              </w:rPr>
            </w:pPr>
            <w:r>
              <w:rPr>
                <w:sz w:val="16"/>
                <w:szCs w:val="16"/>
                <w:lang w:eastAsia="zh-CN"/>
              </w:rPr>
              <w:t>17.4.0</w:t>
            </w:r>
          </w:p>
        </w:tc>
      </w:tr>
      <w:tr w:rsidR="00BC0321" w:rsidRPr="00B916EC" w14:paraId="09C2AE58"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2580AD3C" w14:textId="77777777" w:rsidR="00BC0321" w:rsidRPr="00B916EC" w:rsidRDefault="00BC0321" w:rsidP="00BC0321">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482A3D2" w14:textId="77777777" w:rsidR="00BC0321" w:rsidRPr="00B916EC" w:rsidRDefault="00BC0321" w:rsidP="00BC0321">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2D3A501" w14:textId="77777777" w:rsidR="00BC0321" w:rsidRDefault="00BC0321" w:rsidP="00BC0321">
            <w:pPr>
              <w:pStyle w:val="TAL"/>
              <w:rPr>
                <w:sz w:val="16"/>
                <w:szCs w:val="16"/>
                <w:lang w:eastAsia="zh-CN"/>
              </w:rPr>
            </w:pPr>
            <w:r w:rsidRPr="00FA4CFB">
              <w:rPr>
                <w:sz w:val="16"/>
                <w:szCs w:val="16"/>
                <w:lang w:eastAsia="zh-CN"/>
              </w:rPr>
              <w:t>RP-2228</w:t>
            </w:r>
            <w:r>
              <w:rPr>
                <w:sz w:val="16"/>
                <w:szCs w:val="16"/>
                <w:lang w:eastAsia="zh-CN"/>
              </w:rPr>
              <w:t>64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C6DD88C" w14:textId="055712F5" w:rsidR="00BC0321" w:rsidRDefault="00BC0321" w:rsidP="00BC0321">
            <w:pPr>
              <w:pStyle w:val="TAL"/>
              <w:rPr>
                <w:sz w:val="16"/>
                <w:szCs w:val="16"/>
              </w:rPr>
            </w:pPr>
            <w:r>
              <w:rPr>
                <w:sz w:val="16"/>
                <w:szCs w:val="16"/>
              </w:rPr>
              <w:t>0401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D19741D" w14:textId="77777777" w:rsidR="00BC0321" w:rsidRDefault="00BC0321" w:rsidP="00BC0321">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4883CBF" w14:textId="77777777" w:rsidR="00BC0321" w:rsidRDefault="00BC0321" w:rsidP="00BC0321">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98F5EC7" w14:textId="36DF74DC" w:rsidR="00BC0321" w:rsidRPr="005D126D" w:rsidRDefault="00BC0321" w:rsidP="00BC0321">
            <w:pPr>
              <w:spacing w:after="0"/>
              <w:rPr>
                <w:rFonts w:ascii="Arial" w:hAnsi="Arial"/>
                <w:sz w:val="16"/>
              </w:rPr>
            </w:pPr>
            <w:r w:rsidRPr="00BC0321">
              <w:rPr>
                <w:rFonts w:ascii="Arial" w:hAnsi="Arial"/>
                <w:sz w:val="16"/>
              </w:rPr>
              <w:t>CR on PUCCH resource determination for multiplexing dynamic multicast HARQ-ACK and SPS unicast HARQ-ACK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C33C7A4" w14:textId="77777777" w:rsidR="00BC0321" w:rsidRDefault="00BC0321" w:rsidP="00BC0321">
            <w:pPr>
              <w:pStyle w:val="TAL"/>
              <w:rPr>
                <w:sz w:val="16"/>
                <w:szCs w:val="16"/>
                <w:lang w:eastAsia="zh-CN"/>
              </w:rPr>
            </w:pPr>
            <w:r>
              <w:rPr>
                <w:sz w:val="16"/>
                <w:szCs w:val="16"/>
                <w:lang w:eastAsia="zh-CN"/>
              </w:rPr>
              <w:t>17.4.0</w:t>
            </w:r>
          </w:p>
        </w:tc>
      </w:tr>
      <w:tr w:rsidR="00392DED" w:rsidRPr="00B916EC" w14:paraId="50E7F24B"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01BF3DCC" w14:textId="77777777" w:rsidR="00392DED" w:rsidRPr="00B916EC" w:rsidRDefault="00392DED" w:rsidP="00B52E7C">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0B26A64" w14:textId="77777777" w:rsidR="00392DED" w:rsidRPr="00B916EC" w:rsidRDefault="00392DED" w:rsidP="00B52E7C">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7A84968" w14:textId="77777777" w:rsidR="00392DED" w:rsidRDefault="00392DED" w:rsidP="00B52E7C">
            <w:pPr>
              <w:pStyle w:val="TAL"/>
              <w:rPr>
                <w:sz w:val="16"/>
                <w:szCs w:val="16"/>
                <w:lang w:eastAsia="zh-CN"/>
              </w:rPr>
            </w:pPr>
            <w:r w:rsidRPr="00FA4CFB">
              <w:rPr>
                <w:sz w:val="16"/>
                <w:szCs w:val="16"/>
                <w:lang w:eastAsia="zh-CN"/>
              </w:rPr>
              <w:t>RP-2228</w:t>
            </w:r>
            <w:r>
              <w:rPr>
                <w:sz w:val="16"/>
                <w:szCs w:val="16"/>
                <w:lang w:eastAsia="zh-CN"/>
              </w:rPr>
              <w:t>64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E150BC7" w14:textId="45047094" w:rsidR="00392DED" w:rsidRDefault="00392DED" w:rsidP="00B52E7C">
            <w:pPr>
              <w:pStyle w:val="TAL"/>
              <w:rPr>
                <w:sz w:val="16"/>
                <w:szCs w:val="16"/>
              </w:rPr>
            </w:pPr>
            <w:r>
              <w:rPr>
                <w:sz w:val="16"/>
                <w:szCs w:val="16"/>
              </w:rPr>
              <w:t>0402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8718178" w14:textId="7D462F4C" w:rsidR="00392DED" w:rsidRDefault="00392DED" w:rsidP="00B52E7C">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580D0EE" w14:textId="77777777" w:rsidR="00392DED" w:rsidRDefault="00392DED" w:rsidP="00B52E7C">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9DC095D" w14:textId="755E743C" w:rsidR="00392DED" w:rsidRPr="005D126D" w:rsidRDefault="00392DED" w:rsidP="00B52E7C">
            <w:pPr>
              <w:spacing w:after="0"/>
              <w:rPr>
                <w:rFonts w:ascii="Arial" w:hAnsi="Arial"/>
                <w:sz w:val="16"/>
              </w:rPr>
            </w:pPr>
            <w:r w:rsidRPr="00392DED">
              <w:rPr>
                <w:rFonts w:ascii="Arial" w:hAnsi="Arial"/>
                <w:sz w:val="16"/>
              </w:rPr>
              <w:t>CR on handling SR and NACK-only collision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95FF286" w14:textId="77777777" w:rsidR="00392DED" w:rsidRDefault="00392DED" w:rsidP="00B52E7C">
            <w:pPr>
              <w:pStyle w:val="TAL"/>
              <w:rPr>
                <w:sz w:val="16"/>
                <w:szCs w:val="16"/>
                <w:lang w:eastAsia="zh-CN"/>
              </w:rPr>
            </w:pPr>
            <w:r>
              <w:rPr>
                <w:sz w:val="16"/>
                <w:szCs w:val="16"/>
                <w:lang w:eastAsia="zh-CN"/>
              </w:rPr>
              <w:t>17.4.0</w:t>
            </w:r>
          </w:p>
        </w:tc>
      </w:tr>
      <w:tr w:rsidR="00C17DE3" w:rsidRPr="00B916EC" w14:paraId="07AE88B3"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6C7FF5A4" w14:textId="77777777" w:rsidR="00C17DE3" w:rsidRPr="00B916EC" w:rsidRDefault="00C17DE3" w:rsidP="00B52E7C">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3FF759D" w14:textId="77777777" w:rsidR="00C17DE3" w:rsidRPr="00B916EC" w:rsidRDefault="00C17DE3" w:rsidP="00B52E7C">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A4FC433" w14:textId="3A949ED5" w:rsidR="00C17DE3" w:rsidRDefault="00C17DE3" w:rsidP="00B52E7C">
            <w:pPr>
              <w:pStyle w:val="TAL"/>
              <w:rPr>
                <w:sz w:val="16"/>
                <w:szCs w:val="16"/>
                <w:lang w:eastAsia="zh-CN"/>
              </w:rPr>
            </w:pPr>
            <w:r w:rsidRPr="00FA4CFB">
              <w:rPr>
                <w:sz w:val="16"/>
                <w:szCs w:val="16"/>
                <w:lang w:eastAsia="zh-CN"/>
              </w:rPr>
              <w:t>RP-2228</w:t>
            </w:r>
            <w:r>
              <w:rPr>
                <w:sz w:val="16"/>
                <w:szCs w:val="16"/>
                <w:lang w:eastAsia="zh-CN"/>
              </w:rPr>
              <w:t>63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126D342" w14:textId="4B66A8B7" w:rsidR="00C17DE3" w:rsidRDefault="00C17DE3" w:rsidP="00B52E7C">
            <w:pPr>
              <w:pStyle w:val="TAL"/>
              <w:rPr>
                <w:sz w:val="16"/>
                <w:szCs w:val="16"/>
              </w:rPr>
            </w:pPr>
            <w:r>
              <w:rPr>
                <w:sz w:val="16"/>
                <w:szCs w:val="16"/>
              </w:rPr>
              <w:t>0403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9837933" w14:textId="5F57E4D9" w:rsidR="00C17DE3" w:rsidRDefault="00C17DE3" w:rsidP="00B52E7C">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3CD546C" w14:textId="77777777" w:rsidR="00C17DE3" w:rsidRDefault="00C17DE3" w:rsidP="00B52E7C">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72C843B" w14:textId="0F93280A" w:rsidR="00C17DE3" w:rsidRPr="005D126D" w:rsidRDefault="00C17DE3" w:rsidP="00B52E7C">
            <w:pPr>
              <w:spacing w:after="0"/>
              <w:rPr>
                <w:rFonts w:ascii="Arial" w:hAnsi="Arial"/>
                <w:sz w:val="16"/>
              </w:rPr>
            </w:pPr>
            <w:r w:rsidRPr="00C17DE3">
              <w:rPr>
                <w:rFonts w:ascii="Arial" w:hAnsi="Arial"/>
                <w:sz w:val="16"/>
              </w:rPr>
              <w:t>Correction on conditions for UE to be UE-B for Condition 2-A-2 of Scheme 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1D9B2D6" w14:textId="77777777" w:rsidR="00C17DE3" w:rsidRDefault="00C17DE3" w:rsidP="00B52E7C">
            <w:pPr>
              <w:pStyle w:val="TAL"/>
              <w:rPr>
                <w:sz w:val="16"/>
                <w:szCs w:val="16"/>
                <w:lang w:eastAsia="zh-CN"/>
              </w:rPr>
            </w:pPr>
            <w:r>
              <w:rPr>
                <w:sz w:val="16"/>
                <w:szCs w:val="16"/>
                <w:lang w:eastAsia="zh-CN"/>
              </w:rPr>
              <w:t>17.4.0</w:t>
            </w:r>
          </w:p>
        </w:tc>
      </w:tr>
      <w:tr w:rsidR="00C17DE3" w:rsidRPr="00B916EC" w14:paraId="56721606"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198873D7" w14:textId="77777777" w:rsidR="00C17DE3" w:rsidRPr="00B916EC" w:rsidRDefault="00C17DE3" w:rsidP="00B52E7C">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2D0CE75" w14:textId="77777777" w:rsidR="00C17DE3" w:rsidRPr="00B916EC" w:rsidRDefault="00C17DE3" w:rsidP="00B52E7C">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F8D1FB1" w14:textId="77777777" w:rsidR="00C17DE3" w:rsidRDefault="00C17DE3" w:rsidP="00B52E7C">
            <w:pPr>
              <w:pStyle w:val="TAL"/>
              <w:rPr>
                <w:sz w:val="16"/>
                <w:szCs w:val="16"/>
                <w:lang w:eastAsia="zh-CN"/>
              </w:rPr>
            </w:pPr>
            <w:r w:rsidRPr="00FA4CFB">
              <w:rPr>
                <w:sz w:val="16"/>
                <w:szCs w:val="16"/>
                <w:lang w:eastAsia="zh-CN"/>
              </w:rPr>
              <w:t>RP-2228</w:t>
            </w:r>
            <w:r>
              <w:rPr>
                <w:sz w:val="16"/>
                <w:szCs w:val="16"/>
                <w:lang w:eastAsia="zh-CN"/>
              </w:rPr>
              <w:t>63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405A431" w14:textId="7A6D85C1" w:rsidR="00C17DE3" w:rsidRDefault="00C17DE3" w:rsidP="00B52E7C">
            <w:pPr>
              <w:pStyle w:val="TAL"/>
              <w:rPr>
                <w:sz w:val="16"/>
                <w:szCs w:val="16"/>
              </w:rPr>
            </w:pPr>
            <w:r>
              <w:rPr>
                <w:sz w:val="16"/>
                <w:szCs w:val="16"/>
              </w:rPr>
              <w:t>0404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778ABF1" w14:textId="77777777" w:rsidR="00C17DE3" w:rsidRDefault="00C17DE3" w:rsidP="00B52E7C">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B69029C" w14:textId="77777777" w:rsidR="00C17DE3" w:rsidRDefault="00C17DE3" w:rsidP="00B52E7C">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695EE24" w14:textId="7219E4B7" w:rsidR="00C17DE3" w:rsidRPr="005D126D" w:rsidRDefault="00C17DE3" w:rsidP="00B52E7C">
            <w:pPr>
              <w:spacing w:after="0"/>
              <w:rPr>
                <w:rFonts w:ascii="Arial" w:hAnsi="Arial"/>
                <w:sz w:val="16"/>
              </w:rPr>
            </w:pPr>
            <w:r w:rsidRPr="00C17DE3">
              <w:rPr>
                <w:rFonts w:ascii="Arial" w:hAnsi="Arial"/>
                <w:sz w:val="16"/>
              </w:rPr>
              <w:t>Correction on the determination of the priority value of PSFCH transmission with conflict information due to Condition 2-A-2 of Scheme 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0DDC242" w14:textId="77777777" w:rsidR="00C17DE3" w:rsidRDefault="00C17DE3" w:rsidP="00B52E7C">
            <w:pPr>
              <w:pStyle w:val="TAL"/>
              <w:rPr>
                <w:sz w:val="16"/>
                <w:szCs w:val="16"/>
                <w:lang w:eastAsia="zh-CN"/>
              </w:rPr>
            </w:pPr>
            <w:r>
              <w:rPr>
                <w:sz w:val="16"/>
                <w:szCs w:val="16"/>
                <w:lang w:eastAsia="zh-CN"/>
              </w:rPr>
              <w:t>17.4.0</w:t>
            </w:r>
          </w:p>
        </w:tc>
      </w:tr>
      <w:tr w:rsidR="00C17DE3" w:rsidRPr="00B916EC" w14:paraId="5B8F2E78"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18C97456" w14:textId="77777777" w:rsidR="00C17DE3" w:rsidRPr="00B916EC" w:rsidRDefault="00C17DE3" w:rsidP="00B52E7C">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380C24A" w14:textId="77777777" w:rsidR="00C17DE3" w:rsidRPr="00B916EC" w:rsidRDefault="00C17DE3" w:rsidP="00B52E7C">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DAA4973" w14:textId="0DE10082" w:rsidR="00C17DE3" w:rsidRDefault="00C17DE3" w:rsidP="00B52E7C">
            <w:pPr>
              <w:pStyle w:val="TAL"/>
              <w:rPr>
                <w:sz w:val="16"/>
                <w:szCs w:val="16"/>
                <w:lang w:eastAsia="zh-CN"/>
              </w:rPr>
            </w:pPr>
            <w:r w:rsidRPr="00FA4CFB">
              <w:rPr>
                <w:sz w:val="16"/>
                <w:szCs w:val="16"/>
                <w:lang w:eastAsia="zh-CN"/>
              </w:rPr>
              <w:t>RP-2228</w:t>
            </w:r>
            <w:r>
              <w:rPr>
                <w:sz w:val="16"/>
                <w:szCs w:val="16"/>
                <w:lang w:eastAsia="zh-CN"/>
              </w:rPr>
              <w:t>50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8D0C64E" w14:textId="63551390" w:rsidR="00C17DE3" w:rsidRDefault="00C17DE3" w:rsidP="00B52E7C">
            <w:pPr>
              <w:pStyle w:val="TAL"/>
              <w:rPr>
                <w:sz w:val="16"/>
                <w:szCs w:val="16"/>
              </w:rPr>
            </w:pPr>
            <w:r>
              <w:rPr>
                <w:sz w:val="16"/>
                <w:szCs w:val="16"/>
              </w:rPr>
              <w:t>0406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C5445D3" w14:textId="77777777" w:rsidR="00C17DE3" w:rsidRDefault="00C17DE3" w:rsidP="00B52E7C">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8077EED" w14:textId="66F4D145" w:rsidR="00C17DE3" w:rsidRDefault="00C17DE3" w:rsidP="00B52E7C">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29D2AAE" w14:textId="0EF5B174" w:rsidR="00C17DE3" w:rsidRPr="005D126D" w:rsidRDefault="00C17DE3" w:rsidP="00B52E7C">
            <w:pPr>
              <w:spacing w:after="0"/>
              <w:rPr>
                <w:rFonts w:ascii="Arial" w:hAnsi="Arial"/>
                <w:sz w:val="16"/>
              </w:rPr>
            </w:pPr>
            <w:r w:rsidRPr="00C17DE3">
              <w:rPr>
                <w:rFonts w:ascii="Arial" w:hAnsi="Arial"/>
                <w:sz w:val="16"/>
              </w:rPr>
              <w:t>Correction on overlapping PUCCHs with repetitions of a same priority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27B3438" w14:textId="77777777" w:rsidR="00C17DE3" w:rsidRDefault="00C17DE3" w:rsidP="00B52E7C">
            <w:pPr>
              <w:pStyle w:val="TAL"/>
              <w:rPr>
                <w:sz w:val="16"/>
                <w:szCs w:val="16"/>
                <w:lang w:eastAsia="zh-CN"/>
              </w:rPr>
            </w:pPr>
            <w:r>
              <w:rPr>
                <w:sz w:val="16"/>
                <w:szCs w:val="16"/>
                <w:lang w:eastAsia="zh-CN"/>
              </w:rPr>
              <w:t>17.4.0</w:t>
            </w:r>
          </w:p>
        </w:tc>
      </w:tr>
      <w:tr w:rsidR="00B47CB6" w:rsidRPr="00B916EC" w14:paraId="49CE3276"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5EB18AFC" w14:textId="77777777" w:rsidR="00B47CB6" w:rsidRPr="00B916EC" w:rsidRDefault="00B47CB6" w:rsidP="00B52E7C">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C2DD9C2" w14:textId="77777777" w:rsidR="00B47CB6" w:rsidRPr="00B916EC" w:rsidRDefault="00B47CB6" w:rsidP="00B52E7C">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607DD1D" w14:textId="6155B4A3" w:rsidR="00B47CB6" w:rsidRDefault="00B47CB6" w:rsidP="00B52E7C">
            <w:pPr>
              <w:pStyle w:val="TAL"/>
              <w:rPr>
                <w:sz w:val="16"/>
                <w:szCs w:val="16"/>
                <w:lang w:eastAsia="zh-CN"/>
              </w:rPr>
            </w:pPr>
            <w:r w:rsidRPr="00FA4CFB">
              <w:rPr>
                <w:sz w:val="16"/>
                <w:szCs w:val="16"/>
                <w:lang w:eastAsia="zh-CN"/>
              </w:rPr>
              <w:t>RP-2228</w:t>
            </w:r>
            <w:r>
              <w:rPr>
                <w:sz w:val="16"/>
                <w:szCs w:val="16"/>
                <w:lang w:eastAsia="zh-CN"/>
              </w:rPr>
              <w:t>54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6BA821E" w14:textId="62DA8C39" w:rsidR="00B47CB6" w:rsidRDefault="00B47CB6" w:rsidP="00B52E7C">
            <w:pPr>
              <w:pStyle w:val="TAL"/>
              <w:rPr>
                <w:sz w:val="16"/>
                <w:szCs w:val="16"/>
              </w:rPr>
            </w:pPr>
            <w:r>
              <w:rPr>
                <w:sz w:val="16"/>
                <w:szCs w:val="16"/>
              </w:rPr>
              <w:t>0407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C1E97E8" w14:textId="77777777" w:rsidR="00B47CB6" w:rsidRDefault="00B47CB6" w:rsidP="00B52E7C">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CB68568" w14:textId="298B4BB6" w:rsidR="00B47CB6" w:rsidRDefault="00B47CB6" w:rsidP="00B52E7C">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128D6BA" w14:textId="793ECF91" w:rsidR="00B47CB6" w:rsidRPr="005D126D" w:rsidRDefault="00B47CB6" w:rsidP="00B52E7C">
            <w:pPr>
              <w:spacing w:after="0"/>
              <w:rPr>
                <w:rFonts w:ascii="Arial" w:hAnsi="Arial"/>
                <w:sz w:val="16"/>
              </w:rPr>
            </w:pPr>
            <w:r w:rsidRPr="00B47CB6">
              <w:rPr>
                <w:rFonts w:ascii="Arial" w:hAnsi="Arial"/>
                <w:sz w:val="16"/>
              </w:rPr>
              <w:t>CR on CSI on LP PUSCH with CG-UCI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6C25F48" w14:textId="77777777" w:rsidR="00B47CB6" w:rsidRDefault="00B47CB6" w:rsidP="00B52E7C">
            <w:pPr>
              <w:pStyle w:val="TAL"/>
              <w:rPr>
                <w:sz w:val="16"/>
                <w:szCs w:val="16"/>
                <w:lang w:eastAsia="zh-CN"/>
              </w:rPr>
            </w:pPr>
            <w:r>
              <w:rPr>
                <w:sz w:val="16"/>
                <w:szCs w:val="16"/>
                <w:lang w:eastAsia="zh-CN"/>
              </w:rPr>
              <w:t>17.4.0</w:t>
            </w:r>
          </w:p>
        </w:tc>
      </w:tr>
      <w:tr w:rsidR="00594FF5" w:rsidRPr="00B916EC" w14:paraId="5E436840"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0C5B1560" w14:textId="77777777" w:rsidR="00594FF5" w:rsidRPr="00B916EC" w:rsidRDefault="00594FF5" w:rsidP="00B52E7C">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D4FBDB9" w14:textId="77777777" w:rsidR="00594FF5" w:rsidRPr="00B916EC" w:rsidRDefault="00594FF5" w:rsidP="00B52E7C">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72E1E61" w14:textId="77777777" w:rsidR="00594FF5" w:rsidRDefault="00594FF5" w:rsidP="00B52E7C">
            <w:pPr>
              <w:pStyle w:val="TAL"/>
              <w:rPr>
                <w:sz w:val="16"/>
                <w:szCs w:val="16"/>
                <w:lang w:eastAsia="zh-CN"/>
              </w:rPr>
            </w:pPr>
            <w:r w:rsidRPr="00FA4CFB">
              <w:rPr>
                <w:sz w:val="16"/>
                <w:szCs w:val="16"/>
                <w:lang w:eastAsia="zh-CN"/>
              </w:rPr>
              <w:t>RP-2228</w:t>
            </w:r>
            <w:r>
              <w:rPr>
                <w:sz w:val="16"/>
                <w:szCs w:val="16"/>
                <w:lang w:eastAsia="zh-CN"/>
              </w:rPr>
              <w:t>54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F501D3E" w14:textId="0A3E03B4" w:rsidR="00594FF5" w:rsidRDefault="00594FF5" w:rsidP="00B52E7C">
            <w:pPr>
              <w:pStyle w:val="TAL"/>
              <w:rPr>
                <w:sz w:val="16"/>
                <w:szCs w:val="16"/>
              </w:rPr>
            </w:pPr>
            <w:r>
              <w:rPr>
                <w:sz w:val="16"/>
                <w:szCs w:val="16"/>
              </w:rPr>
              <w:t>0408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F7EC198" w14:textId="77777777" w:rsidR="00594FF5" w:rsidRDefault="00594FF5" w:rsidP="00B52E7C">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CD5B78A" w14:textId="77777777" w:rsidR="00594FF5" w:rsidRDefault="00594FF5" w:rsidP="00B52E7C">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DEF0260" w14:textId="1904AD9B" w:rsidR="00594FF5" w:rsidRPr="005D126D" w:rsidRDefault="00594FF5" w:rsidP="00B52E7C">
            <w:pPr>
              <w:spacing w:after="0"/>
              <w:rPr>
                <w:rFonts w:ascii="Arial" w:hAnsi="Arial"/>
                <w:sz w:val="16"/>
              </w:rPr>
            </w:pPr>
            <w:r w:rsidRPr="00594FF5">
              <w:rPr>
                <w:rFonts w:ascii="Arial" w:hAnsi="Arial"/>
                <w:sz w:val="16"/>
              </w:rPr>
              <w:t>Correction of PUCCH repetition for semi-static PUCCH cell switching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3ADD2A" w14:textId="77777777" w:rsidR="00594FF5" w:rsidRDefault="00594FF5" w:rsidP="00B52E7C">
            <w:pPr>
              <w:pStyle w:val="TAL"/>
              <w:rPr>
                <w:sz w:val="16"/>
                <w:szCs w:val="16"/>
                <w:lang w:eastAsia="zh-CN"/>
              </w:rPr>
            </w:pPr>
            <w:r>
              <w:rPr>
                <w:sz w:val="16"/>
                <w:szCs w:val="16"/>
                <w:lang w:eastAsia="zh-CN"/>
              </w:rPr>
              <w:t>17.4.0</w:t>
            </w:r>
          </w:p>
        </w:tc>
      </w:tr>
      <w:tr w:rsidR="00594FF5" w:rsidRPr="00B916EC" w14:paraId="3B893AFC"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00CE904F" w14:textId="77777777" w:rsidR="00594FF5" w:rsidRPr="00B916EC" w:rsidRDefault="00594FF5" w:rsidP="00B52E7C">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F82D78E" w14:textId="77777777" w:rsidR="00594FF5" w:rsidRPr="00B916EC" w:rsidRDefault="00594FF5" w:rsidP="00B52E7C">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994268C" w14:textId="7E8ED9AD" w:rsidR="00594FF5" w:rsidRDefault="00594FF5" w:rsidP="00B52E7C">
            <w:pPr>
              <w:pStyle w:val="TAL"/>
              <w:rPr>
                <w:sz w:val="16"/>
                <w:szCs w:val="16"/>
                <w:lang w:eastAsia="zh-CN"/>
              </w:rPr>
            </w:pPr>
            <w:r w:rsidRPr="00FA4CFB">
              <w:rPr>
                <w:sz w:val="16"/>
                <w:szCs w:val="16"/>
                <w:lang w:eastAsia="zh-CN"/>
              </w:rPr>
              <w:t>RP-2228</w:t>
            </w:r>
            <w:r>
              <w:rPr>
                <w:sz w:val="16"/>
                <w:szCs w:val="16"/>
                <w:lang w:eastAsia="zh-CN"/>
              </w:rPr>
              <w:t>64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397A489" w14:textId="75DA00FA" w:rsidR="00594FF5" w:rsidRDefault="00594FF5" w:rsidP="00B52E7C">
            <w:pPr>
              <w:pStyle w:val="TAL"/>
              <w:rPr>
                <w:sz w:val="16"/>
                <w:szCs w:val="16"/>
              </w:rPr>
            </w:pPr>
            <w:r>
              <w:rPr>
                <w:sz w:val="16"/>
                <w:szCs w:val="16"/>
              </w:rPr>
              <w:t>0409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B8FEB88" w14:textId="77777777" w:rsidR="00594FF5" w:rsidRDefault="00594FF5" w:rsidP="00B52E7C">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B4B94BD" w14:textId="77777777" w:rsidR="00594FF5" w:rsidRDefault="00594FF5" w:rsidP="00B52E7C">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D95EE06" w14:textId="53ACAC18" w:rsidR="00594FF5" w:rsidRPr="005D126D" w:rsidRDefault="00594FF5" w:rsidP="00B52E7C">
            <w:pPr>
              <w:spacing w:after="0"/>
              <w:rPr>
                <w:rFonts w:ascii="Arial" w:hAnsi="Arial"/>
                <w:sz w:val="16"/>
              </w:rPr>
            </w:pPr>
            <w:r w:rsidRPr="00594FF5">
              <w:rPr>
                <w:rFonts w:ascii="Arial" w:hAnsi="Arial"/>
                <w:sz w:val="16"/>
              </w:rPr>
              <w:t>CR on dci-enabler for Type1 HARQ-ACK CB for multicast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D95470" w14:textId="77777777" w:rsidR="00594FF5" w:rsidRDefault="00594FF5" w:rsidP="00B52E7C">
            <w:pPr>
              <w:pStyle w:val="TAL"/>
              <w:rPr>
                <w:sz w:val="16"/>
                <w:szCs w:val="16"/>
                <w:lang w:eastAsia="zh-CN"/>
              </w:rPr>
            </w:pPr>
            <w:r>
              <w:rPr>
                <w:sz w:val="16"/>
                <w:szCs w:val="16"/>
                <w:lang w:eastAsia="zh-CN"/>
              </w:rPr>
              <w:t>17.4.0</w:t>
            </w:r>
          </w:p>
        </w:tc>
      </w:tr>
      <w:tr w:rsidR="00F05AB1" w:rsidRPr="00B916EC" w14:paraId="5BED6D6D"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150FEE4B" w14:textId="77777777" w:rsidR="00F05AB1" w:rsidRPr="00B916EC" w:rsidRDefault="00F05AB1" w:rsidP="00B52E7C">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F356FCA" w14:textId="77777777" w:rsidR="00F05AB1" w:rsidRPr="00B916EC" w:rsidRDefault="00F05AB1" w:rsidP="00B52E7C">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00E693B" w14:textId="5A909C0F" w:rsidR="00F05AB1" w:rsidRDefault="00F05AB1" w:rsidP="00B52E7C">
            <w:pPr>
              <w:pStyle w:val="TAL"/>
              <w:rPr>
                <w:sz w:val="16"/>
                <w:szCs w:val="16"/>
                <w:lang w:eastAsia="zh-CN"/>
              </w:rPr>
            </w:pPr>
            <w:r w:rsidRPr="00FA4CFB">
              <w:rPr>
                <w:sz w:val="16"/>
                <w:szCs w:val="16"/>
                <w:lang w:eastAsia="zh-CN"/>
              </w:rPr>
              <w:t>RP-2228</w:t>
            </w:r>
            <w:r>
              <w:rPr>
                <w:sz w:val="16"/>
                <w:szCs w:val="16"/>
                <w:lang w:eastAsia="zh-CN"/>
              </w:rPr>
              <w:t>69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3E7D5E6" w14:textId="050E541B" w:rsidR="00F05AB1" w:rsidRDefault="00F05AB1" w:rsidP="00B52E7C">
            <w:pPr>
              <w:pStyle w:val="TAL"/>
              <w:rPr>
                <w:sz w:val="16"/>
                <w:szCs w:val="16"/>
              </w:rPr>
            </w:pPr>
            <w:r>
              <w:rPr>
                <w:sz w:val="16"/>
                <w:szCs w:val="16"/>
              </w:rPr>
              <w:t>0411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005ADC0" w14:textId="77777777" w:rsidR="00F05AB1" w:rsidRDefault="00F05AB1" w:rsidP="00B52E7C">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4E76662" w14:textId="04A004A9" w:rsidR="00F05AB1" w:rsidRDefault="00F05AB1" w:rsidP="00B52E7C">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C4F89F3" w14:textId="1C77125E" w:rsidR="00F05AB1" w:rsidRPr="005D126D" w:rsidRDefault="00F05AB1" w:rsidP="00B52E7C">
            <w:pPr>
              <w:spacing w:after="0"/>
              <w:rPr>
                <w:rFonts w:ascii="Arial" w:hAnsi="Arial"/>
                <w:sz w:val="16"/>
              </w:rPr>
            </w:pPr>
            <w:r w:rsidRPr="00F05AB1">
              <w:rPr>
                <w:rFonts w:ascii="Arial" w:hAnsi="Arial"/>
                <w:sz w:val="16"/>
              </w:rPr>
              <w:t>Correction on SCS configuration for parallel transmission of PRACH and SRS/PUCCH/PUSCH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26C3301" w14:textId="77777777" w:rsidR="00F05AB1" w:rsidRDefault="00F05AB1" w:rsidP="00B52E7C">
            <w:pPr>
              <w:pStyle w:val="TAL"/>
              <w:rPr>
                <w:sz w:val="16"/>
                <w:szCs w:val="16"/>
                <w:lang w:eastAsia="zh-CN"/>
              </w:rPr>
            </w:pPr>
            <w:r>
              <w:rPr>
                <w:sz w:val="16"/>
                <w:szCs w:val="16"/>
                <w:lang w:eastAsia="zh-CN"/>
              </w:rPr>
              <w:t>17.4.0</w:t>
            </w:r>
          </w:p>
        </w:tc>
      </w:tr>
      <w:tr w:rsidR="00F05AB1" w:rsidRPr="00B916EC" w14:paraId="7C23C3CE" w14:textId="77777777" w:rsidTr="00B52E7C">
        <w:tc>
          <w:tcPr>
            <w:tcW w:w="894" w:type="dxa"/>
            <w:tcBorders>
              <w:top w:val="single" w:sz="6" w:space="0" w:color="auto"/>
              <w:left w:val="single" w:sz="6" w:space="0" w:color="auto"/>
              <w:bottom w:val="single" w:sz="6" w:space="0" w:color="auto"/>
              <w:right w:val="single" w:sz="6" w:space="0" w:color="auto"/>
            </w:tcBorders>
            <w:shd w:val="solid" w:color="FFFFFF" w:fill="auto"/>
          </w:tcPr>
          <w:p w14:paraId="5026CE95" w14:textId="77777777" w:rsidR="00F05AB1" w:rsidRPr="00B916EC" w:rsidRDefault="00F05AB1" w:rsidP="00B52E7C">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BCFFA86" w14:textId="77777777" w:rsidR="00F05AB1" w:rsidRPr="00B916EC" w:rsidRDefault="00F05AB1" w:rsidP="00B52E7C">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4CAE30F" w14:textId="4072F38F" w:rsidR="00F05AB1" w:rsidRDefault="00F05AB1" w:rsidP="00B52E7C">
            <w:pPr>
              <w:pStyle w:val="TAL"/>
              <w:rPr>
                <w:sz w:val="16"/>
                <w:szCs w:val="16"/>
                <w:lang w:eastAsia="zh-CN"/>
              </w:rPr>
            </w:pPr>
            <w:r w:rsidRPr="00FA4CFB">
              <w:rPr>
                <w:sz w:val="16"/>
                <w:szCs w:val="16"/>
                <w:lang w:eastAsia="zh-CN"/>
              </w:rPr>
              <w:t>RP-2228</w:t>
            </w:r>
            <w:r>
              <w:rPr>
                <w:sz w:val="16"/>
                <w:szCs w:val="16"/>
                <w:lang w:eastAsia="zh-CN"/>
              </w:rPr>
              <w:t>68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675A45F" w14:textId="18A60EE6" w:rsidR="00F05AB1" w:rsidRDefault="00F05AB1" w:rsidP="00B52E7C">
            <w:pPr>
              <w:pStyle w:val="TAL"/>
              <w:rPr>
                <w:sz w:val="16"/>
                <w:szCs w:val="16"/>
              </w:rPr>
            </w:pPr>
            <w:r>
              <w:rPr>
                <w:sz w:val="16"/>
                <w:szCs w:val="16"/>
              </w:rPr>
              <w:t>0412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A2F95F9" w14:textId="20571B52" w:rsidR="00F05AB1" w:rsidRDefault="00F05AB1" w:rsidP="00B52E7C">
            <w:pPr>
              <w:pStyle w:val="TAL"/>
              <w:jc w:val="cente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E99338B" w14:textId="21212594" w:rsidR="00F05AB1" w:rsidRDefault="00F05AB1" w:rsidP="00B52E7C">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65B3D47" w14:textId="4CA03407" w:rsidR="00F05AB1" w:rsidRPr="005D126D" w:rsidRDefault="00F05AB1" w:rsidP="00B52E7C">
            <w:pPr>
              <w:spacing w:after="0"/>
              <w:rPr>
                <w:rFonts w:ascii="Arial" w:hAnsi="Arial"/>
                <w:sz w:val="16"/>
              </w:rPr>
            </w:pPr>
            <w:r w:rsidRPr="00F05AB1">
              <w:rPr>
                <w:rFonts w:ascii="Arial" w:hAnsi="Arial"/>
                <w:sz w:val="16"/>
              </w:rPr>
              <w:t>Rel-17 editorial corrections for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54AA834" w14:textId="77777777" w:rsidR="00F05AB1" w:rsidRDefault="00F05AB1" w:rsidP="00B52E7C">
            <w:pPr>
              <w:pStyle w:val="TAL"/>
              <w:rPr>
                <w:sz w:val="16"/>
                <w:szCs w:val="16"/>
                <w:lang w:eastAsia="zh-CN"/>
              </w:rPr>
            </w:pPr>
            <w:r>
              <w:rPr>
                <w:sz w:val="16"/>
                <w:szCs w:val="16"/>
                <w:lang w:eastAsia="zh-CN"/>
              </w:rPr>
              <w:t>17.4.0</w:t>
            </w:r>
          </w:p>
        </w:tc>
      </w:tr>
      <w:tr w:rsidR="00B06EE0" w:rsidRPr="00B916EC" w14:paraId="49096084" w14:textId="77777777" w:rsidTr="00B849D7">
        <w:tc>
          <w:tcPr>
            <w:tcW w:w="894" w:type="dxa"/>
            <w:tcBorders>
              <w:top w:val="single" w:sz="6" w:space="0" w:color="auto"/>
              <w:left w:val="single" w:sz="6" w:space="0" w:color="auto"/>
              <w:bottom w:val="single" w:sz="6" w:space="0" w:color="auto"/>
              <w:right w:val="single" w:sz="6" w:space="0" w:color="auto"/>
            </w:tcBorders>
            <w:shd w:val="solid" w:color="FFFFFF" w:fill="auto"/>
          </w:tcPr>
          <w:p w14:paraId="457131A8" w14:textId="77777777" w:rsidR="00B06EE0" w:rsidRPr="00B916EC" w:rsidRDefault="00B06EE0" w:rsidP="00B849D7">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28ACE67" w14:textId="77777777" w:rsidR="00B06EE0" w:rsidRPr="00B916EC" w:rsidRDefault="00B06EE0" w:rsidP="00B849D7">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21D0D20" w14:textId="37389873" w:rsidR="00B06EE0" w:rsidRDefault="00B06EE0" w:rsidP="00B849D7">
            <w:pPr>
              <w:pStyle w:val="TAL"/>
              <w:rPr>
                <w:sz w:val="16"/>
                <w:szCs w:val="16"/>
                <w:lang w:eastAsia="zh-CN"/>
              </w:rPr>
            </w:pPr>
            <w:r w:rsidRPr="00FA4CFB">
              <w:rPr>
                <w:sz w:val="16"/>
                <w:szCs w:val="16"/>
                <w:lang w:eastAsia="zh-CN"/>
              </w:rPr>
              <w:t>RP-2228</w:t>
            </w:r>
            <w:r>
              <w:rPr>
                <w:sz w:val="16"/>
                <w:szCs w:val="16"/>
                <w:lang w:eastAsia="zh-CN"/>
              </w:rPr>
              <w:t>52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F8D57F1" w14:textId="7B7487B2" w:rsidR="00B06EE0" w:rsidRDefault="00B06EE0" w:rsidP="00B849D7">
            <w:pPr>
              <w:pStyle w:val="TAL"/>
              <w:rPr>
                <w:sz w:val="16"/>
                <w:szCs w:val="16"/>
              </w:rPr>
            </w:pPr>
            <w:r>
              <w:rPr>
                <w:sz w:val="16"/>
                <w:szCs w:val="16"/>
              </w:rPr>
              <w:t>0413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C73B828" w14:textId="32003C71" w:rsidR="00B06EE0" w:rsidRDefault="00B06EE0" w:rsidP="00B849D7">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E6C96E6" w14:textId="77777777" w:rsidR="00B06EE0" w:rsidRDefault="00B06EE0" w:rsidP="00B849D7">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6E5AA27" w14:textId="6640E26F" w:rsidR="00B06EE0" w:rsidRPr="005D126D" w:rsidRDefault="00B06EE0" w:rsidP="00B849D7">
            <w:pPr>
              <w:spacing w:after="0"/>
              <w:rPr>
                <w:rFonts w:ascii="Arial" w:hAnsi="Arial"/>
                <w:sz w:val="16"/>
              </w:rPr>
            </w:pPr>
            <w:r w:rsidRPr="00B06EE0">
              <w:rPr>
                <w:rFonts w:ascii="Arial" w:hAnsi="Arial"/>
                <w:sz w:val="16"/>
              </w:rPr>
              <w:t>CR on PDCCH monitoring for inter-cell beam management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3BD87A3" w14:textId="77777777" w:rsidR="00B06EE0" w:rsidRDefault="00B06EE0" w:rsidP="00B849D7">
            <w:pPr>
              <w:pStyle w:val="TAL"/>
              <w:rPr>
                <w:sz w:val="16"/>
                <w:szCs w:val="16"/>
                <w:lang w:eastAsia="zh-CN"/>
              </w:rPr>
            </w:pPr>
            <w:r>
              <w:rPr>
                <w:sz w:val="16"/>
                <w:szCs w:val="16"/>
                <w:lang w:eastAsia="zh-CN"/>
              </w:rPr>
              <w:t>17.4.0</w:t>
            </w:r>
          </w:p>
        </w:tc>
      </w:tr>
      <w:tr w:rsidR="00B06EE0" w:rsidRPr="00B916EC" w14:paraId="5273506D" w14:textId="77777777" w:rsidTr="00B849D7">
        <w:tc>
          <w:tcPr>
            <w:tcW w:w="894" w:type="dxa"/>
            <w:tcBorders>
              <w:top w:val="single" w:sz="6" w:space="0" w:color="auto"/>
              <w:left w:val="single" w:sz="6" w:space="0" w:color="auto"/>
              <w:bottom w:val="single" w:sz="6" w:space="0" w:color="auto"/>
              <w:right w:val="single" w:sz="6" w:space="0" w:color="auto"/>
            </w:tcBorders>
            <w:shd w:val="solid" w:color="FFFFFF" w:fill="auto"/>
          </w:tcPr>
          <w:p w14:paraId="59C8D20B" w14:textId="77777777" w:rsidR="00B06EE0" w:rsidRPr="00B916EC" w:rsidRDefault="00B06EE0" w:rsidP="00B849D7">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82ED41B" w14:textId="77777777" w:rsidR="00B06EE0" w:rsidRPr="00B916EC" w:rsidRDefault="00B06EE0" w:rsidP="00B849D7">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78BB6B3" w14:textId="77777777" w:rsidR="00B06EE0" w:rsidRDefault="00B06EE0" w:rsidP="00B849D7">
            <w:pPr>
              <w:pStyle w:val="TAL"/>
              <w:rPr>
                <w:sz w:val="16"/>
                <w:szCs w:val="16"/>
                <w:lang w:eastAsia="zh-CN"/>
              </w:rPr>
            </w:pPr>
            <w:r w:rsidRPr="00FA4CFB">
              <w:rPr>
                <w:sz w:val="16"/>
                <w:szCs w:val="16"/>
                <w:lang w:eastAsia="zh-CN"/>
              </w:rPr>
              <w:t>RP-2228</w:t>
            </w:r>
            <w:r>
              <w:rPr>
                <w:sz w:val="16"/>
                <w:szCs w:val="16"/>
                <w:lang w:eastAsia="zh-CN"/>
              </w:rPr>
              <w:t>52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5ECAEEC" w14:textId="66366A21" w:rsidR="00B06EE0" w:rsidRDefault="00B06EE0" w:rsidP="00B849D7">
            <w:pPr>
              <w:pStyle w:val="TAL"/>
              <w:rPr>
                <w:sz w:val="16"/>
                <w:szCs w:val="16"/>
              </w:rPr>
            </w:pPr>
            <w:r>
              <w:rPr>
                <w:sz w:val="16"/>
                <w:szCs w:val="16"/>
              </w:rPr>
              <w:t>0414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3FF488F" w14:textId="77777777" w:rsidR="00B06EE0" w:rsidRDefault="00B06EE0" w:rsidP="00B849D7">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38F71F6" w14:textId="77777777" w:rsidR="00B06EE0" w:rsidRDefault="00B06EE0" w:rsidP="00B849D7">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113C64F" w14:textId="51A5F32C" w:rsidR="00B06EE0" w:rsidRPr="005D126D" w:rsidRDefault="00B06EE0" w:rsidP="00B849D7">
            <w:pPr>
              <w:spacing w:after="0"/>
              <w:rPr>
                <w:rFonts w:ascii="Arial" w:hAnsi="Arial"/>
                <w:sz w:val="16"/>
              </w:rPr>
            </w:pPr>
            <w:r w:rsidRPr="00B06EE0">
              <w:rPr>
                <w:rFonts w:ascii="Arial" w:hAnsi="Arial"/>
                <w:sz w:val="16"/>
              </w:rPr>
              <w:t>Clarification on HARQ feedback for TCI state update indication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EAB734E" w14:textId="77777777" w:rsidR="00B06EE0" w:rsidRDefault="00B06EE0" w:rsidP="00B849D7">
            <w:pPr>
              <w:pStyle w:val="TAL"/>
              <w:rPr>
                <w:sz w:val="16"/>
                <w:szCs w:val="16"/>
                <w:lang w:eastAsia="zh-CN"/>
              </w:rPr>
            </w:pPr>
            <w:r>
              <w:rPr>
                <w:sz w:val="16"/>
                <w:szCs w:val="16"/>
                <w:lang w:eastAsia="zh-CN"/>
              </w:rPr>
              <w:t>17.4.0</w:t>
            </w:r>
          </w:p>
        </w:tc>
      </w:tr>
      <w:tr w:rsidR="007F253F" w:rsidRPr="00B916EC" w14:paraId="58AB2538" w14:textId="77777777" w:rsidTr="00B849D7">
        <w:tc>
          <w:tcPr>
            <w:tcW w:w="894" w:type="dxa"/>
            <w:tcBorders>
              <w:top w:val="single" w:sz="6" w:space="0" w:color="auto"/>
              <w:left w:val="single" w:sz="6" w:space="0" w:color="auto"/>
              <w:bottom w:val="single" w:sz="6" w:space="0" w:color="auto"/>
              <w:right w:val="single" w:sz="6" w:space="0" w:color="auto"/>
            </w:tcBorders>
            <w:shd w:val="solid" w:color="FFFFFF" w:fill="auto"/>
          </w:tcPr>
          <w:p w14:paraId="1EF0CC52" w14:textId="77777777" w:rsidR="007F253F" w:rsidRPr="00B916EC" w:rsidRDefault="007F253F" w:rsidP="00B849D7">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6DB26AE" w14:textId="77777777" w:rsidR="007F253F" w:rsidRPr="00B916EC" w:rsidRDefault="007F253F" w:rsidP="00B849D7">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067A039" w14:textId="71561474" w:rsidR="007F253F" w:rsidRDefault="007F253F" w:rsidP="00B849D7">
            <w:pPr>
              <w:pStyle w:val="TAL"/>
              <w:rPr>
                <w:sz w:val="16"/>
                <w:szCs w:val="16"/>
                <w:lang w:eastAsia="zh-CN"/>
              </w:rPr>
            </w:pPr>
            <w:r w:rsidRPr="00FA4CFB">
              <w:rPr>
                <w:sz w:val="16"/>
                <w:szCs w:val="16"/>
                <w:lang w:eastAsia="zh-CN"/>
              </w:rPr>
              <w:t>RP-2228</w:t>
            </w:r>
            <w:r>
              <w:rPr>
                <w:sz w:val="16"/>
                <w:szCs w:val="16"/>
                <w:lang w:eastAsia="zh-CN"/>
              </w:rPr>
              <w:t>64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27AA1B1" w14:textId="5E843598" w:rsidR="007F253F" w:rsidRDefault="007F253F" w:rsidP="00B849D7">
            <w:pPr>
              <w:pStyle w:val="TAL"/>
              <w:rPr>
                <w:sz w:val="16"/>
                <w:szCs w:val="16"/>
              </w:rPr>
            </w:pPr>
            <w:r>
              <w:rPr>
                <w:sz w:val="16"/>
                <w:szCs w:val="16"/>
              </w:rPr>
              <w:t>0415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599EE39" w14:textId="1EDA7C96" w:rsidR="007F253F" w:rsidRDefault="007F253F" w:rsidP="00B849D7">
            <w:pPr>
              <w:pStyle w:val="TAL"/>
              <w:jc w:val="center"/>
              <w:rPr>
                <w:sz w:val="16"/>
                <w:szCs w:val="16"/>
              </w:rPr>
            </w:pPr>
            <w:r>
              <w:rPr>
                <w:sz w:val="16"/>
                <w:szCs w:val="16"/>
              </w:rPr>
              <w:t>2</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D54E244" w14:textId="77777777" w:rsidR="007F253F" w:rsidRDefault="007F253F" w:rsidP="00B849D7">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C791135" w14:textId="310E3ABC" w:rsidR="007F253F" w:rsidRPr="005D126D" w:rsidRDefault="007F253F" w:rsidP="00B849D7">
            <w:pPr>
              <w:spacing w:after="0"/>
              <w:rPr>
                <w:rFonts w:ascii="Arial" w:hAnsi="Arial"/>
                <w:sz w:val="16"/>
              </w:rPr>
            </w:pPr>
            <w:r w:rsidRPr="007F253F">
              <w:rPr>
                <w:rFonts w:ascii="Arial" w:hAnsi="Arial"/>
                <w:sz w:val="16"/>
              </w:rPr>
              <w:t xml:space="preserve">CR on interpretation of </w:t>
            </w:r>
            <w:r w:rsidRPr="007F253F">
              <w:rPr>
                <w:rFonts w:ascii="Arial" w:hAnsi="Arial"/>
                <w:i/>
                <w:iCs/>
                <w:sz w:val="16"/>
              </w:rPr>
              <w:t>moreThanOneNackOnlyMode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961B89" w14:textId="77777777" w:rsidR="007F253F" w:rsidRDefault="007F253F" w:rsidP="00B849D7">
            <w:pPr>
              <w:pStyle w:val="TAL"/>
              <w:rPr>
                <w:sz w:val="16"/>
                <w:szCs w:val="16"/>
                <w:lang w:eastAsia="zh-CN"/>
              </w:rPr>
            </w:pPr>
            <w:r>
              <w:rPr>
                <w:sz w:val="16"/>
                <w:szCs w:val="16"/>
                <w:lang w:eastAsia="zh-CN"/>
              </w:rPr>
              <w:t>17.4.0</w:t>
            </w:r>
          </w:p>
        </w:tc>
      </w:tr>
      <w:tr w:rsidR="000B7009" w:rsidRPr="00B916EC" w14:paraId="10F44977" w14:textId="77777777" w:rsidTr="00B849D7">
        <w:tc>
          <w:tcPr>
            <w:tcW w:w="894" w:type="dxa"/>
            <w:tcBorders>
              <w:top w:val="single" w:sz="6" w:space="0" w:color="auto"/>
              <w:left w:val="single" w:sz="6" w:space="0" w:color="auto"/>
              <w:bottom w:val="single" w:sz="6" w:space="0" w:color="auto"/>
              <w:right w:val="single" w:sz="6" w:space="0" w:color="auto"/>
            </w:tcBorders>
            <w:shd w:val="solid" w:color="FFFFFF" w:fill="auto"/>
          </w:tcPr>
          <w:p w14:paraId="279B2ECA" w14:textId="77777777" w:rsidR="000B7009" w:rsidRPr="00B916EC" w:rsidRDefault="000B7009" w:rsidP="00B849D7">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75ECA23" w14:textId="77777777" w:rsidR="000B7009" w:rsidRPr="00B916EC" w:rsidRDefault="000B7009" w:rsidP="00B849D7">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A7D5085" w14:textId="77777777" w:rsidR="000B7009" w:rsidRDefault="000B7009" w:rsidP="00B849D7">
            <w:pPr>
              <w:pStyle w:val="TAL"/>
              <w:rPr>
                <w:sz w:val="16"/>
                <w:szCs w:val="16"/>
                <w:lang w:eastAsia="zh-CN"/>
              </w:rPr>
            </w:pPr>
            <w:r w:rsidRPr="00FA4CFB">
              <w:rPr>
                <w:sz w:val="16"/>
                <w:szCs w:val="16"/>
                <w:lang w:eastAsia="zh-CN"/>
              </w:rPr>
              <w:t>RP-2228</w:t>
            </w:r>
            <w:r>
              <w:rPr>
                <w:sz w:val="16"/>
                <w:szCs w:val="16"/>
                <w:lang w:eastAsia="zh-CN"/>
              </w:rPr>
              <w:t>64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486D3D0" w14:textId="67CC8031" w:rsidR="000B7009" w:rsidRDefault="000B7009" w:rsidP="00B849D7">
            <w:pPr>
              <w:pStyle w:val="TAL"/>
              <w:rPr>
                <w:sz w:val="16"/>
                <w:szCs w:val="16"/>
              </w:rPr>
            </w:pPr>
            <w:r>
              <w:rPr>
                <w:sz w:val="16"/>
                <w:szCs w:val="16"/>
              </w:rPr>
              <w:t>0416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3788FB5" w14:textId="46C5D6D7" w:rsidR="000B7009" w:rsidRDefault="000B7009" w:rsidP="00B849D7">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32DCEA0" w14:textId="77777777" w:rsidR="000B7009" w:rsidRDefault="000B7009" w:rsidP="00B849D7">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F5C889F" w14:textId="647DC120" w:rsidR="000B7009" w:rsidRPr="005D126D" w:rsidRDefault="000B7009" w:rsidP="00B849D7">
            <w:pPr>
              <w:spacing w:after="0"/>
              <w:rPr>
                <w:rFonts w:ascii="Arial" w:hAnsi="Arial"/>
                <w:sz w:val="16"/>
              </w:rPr>
            </w:pPr>
            <w:r w:rsidRPr="000B7009">
              <w:rPr>
                <w:rFonts w:ascii="Arial" w:hAnsi="Arial"/>
                <w:sz w:val="16"/>
              </w:rPr>
              <w:t>CR on NACK-only mode 2 multicast feedback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BF213F3" w14:textId="77777777" w:rsidR="000B7009" w:rsidRDefault="000B7009" w:rsidP="00B849D7">
            <w:pPr>
              <w:pStyle w:val="TAL"/>
              <w:rPr>
                <w:sz w:val="16"/>
                <w:szCs w:val="16"/>
                <w:lang w:eastAsia="zh-CN"/>
              </w:rPr>
            </w:pPr>
            <w:r>
              <w:rPr>
                <w:sz w:val="16"/>
                <w:szCs w:val="16"/>
                <w:lang w:eastAsia="zh-CN"/>
              </w:rPr>
              <w:t>17.4.0</w:t>
            </w:r>
          </w:p>
        </w:tc>
      </w:tr>
      <w:tr w:rsidR="007F2F25" w:rsidRPr="00B916EC" w14:paraId="43A32DC1" w14:textId="77777777" w:rsidTr="00B849D7">
        <w:tc>
          <w:tcPr>
            <w:tcW w:w="894" w:type="dxa"/>
            <w:tcBorders>
              <w:top w:val="single" w:sz="6" w:space="0" w:color="auto"/>
              <w:left w:val="single" w:sz="6" w:space="0" w:color="auto"/>
              <w:bottom w:val="single" w:sz="6" w:space="0" w:color="auto"/>
              <w:right w:val="single" w:sz="6" w:space="0" w:color="auto"/>
            </w:tcBorders>
            <w:shd w:val="solid" w:color="FFFFFF" w:fill="auto"/>
          </w:tcPr>
          <w:p w14:paraId="22371B02" w14:textId="77777777" w:rsidR="007F2F25" w:rsidRPr="00B916EC" w:rsidRDefault="007F2F25" w:rsidP="00B849D7">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713F352" w14:textId="77777777" w:rsidR="007F2F25" w:rsidRPr="00B916EC" w:rsidRDefault="007F2F25" w:rsidP="00B849D7">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36A513B" w14:textId="77777777" w:rsidR="007F2F25" w:rsidRDefault="007F2F25" w:rsidP="00B849D7">
            <w:pPr>
              <w:pStyle w:val="TAL"/>
              <w:rPr>
                <w:sz w:val="16"/>
                <w:szCs w:val="16"/>
                <w:lang w:eastAsia="zh-CN"/>
              </w:rPr>
            </w:pPr>
            <w:r w:rsidRPr="00FA4CFB">
              <w:rPr>
                <w:sz w:val="16"/>
                <w:szCs w:val="16"/>
                <w:lang w:eastAsia="zh-CN"/>
              </w:rPr>
              <w:t>RP-2228</w:t>
            </w:r>
            <w:r>
              <w:rPr>
                <w:sz w:val="16"/>
                <w:szCs w:val="16"/>
                <w:lang w:eastAsia="zh-CN"/>
              </w:rPr>
              <w:t>64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0BB0000" w14:textId="5B711F1B" w:rsidR="007F2F25" w:rsidRDefault="007F2F25" w:rsidP="00B849D7">
            <w:pPr>
              <w:pStyle w:val="TAL"/>
              <w:rPr>
                <w:sz w:val="16"/>
                <w:szCs w:val="16"/>
              </w:rPr>
            </w:pPr>
            <w:r>
              <w:rPr>
                <w:sz w:val="16"/>
                <w:szCs w:val="16"/>
              </w:rPr>
              <w:t>0417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0FBE959" w14:textId="77777777" w:rsidR="007F2F25" w:rsidRDefault="007F2F25" w:rsidP="00B849D7">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B33E428" w14:textId="77777777" w:rsidR="007F2F25" w:rsidRDefault="007F2F25" w:rsidP="00B849D7">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0C4B0CB" w14:textId="43E3994D" w:rsidR="007F2F25" w:rsidRPr="005D126D" w:rsidRDefault="007F2F25" w:rsidP="00B849D7">
            <w:pPr>
              <w:spacing w:after="0"/>
              <w:rPr>
                <w:rFonts w:ascii="Arial" w:hAnsi="Arial"/>
                <w:sz w:val="16"/>
              </w:rPr>
            </w:pPr>
            <w:r w:rsidRPr="007F2F25">
              <w:rPr>
                <w:rFonts w:ascii="Arial" w:hAnsi="Arial"/>
                <w:sz w:val="16"/>
              </w:rPr>
              <w:t xml:space="preserve">CR on alignment of </w:t>
            </w:r>
            <w:r w:rsidRPr="007F2F25">
              <w:rPr>
                <w:rFonts w:ascii="Arial" w:hAnsi="Arial"/>
                <w:i/>
                <w:iCs/>
                <w:sz w:val="16"/>
              </w:rPr>
              <w:t>moreThanOneNackOnlyMode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4BF22B4" w14:textId="77777777" w:rsidR="007F2F25" w:rsidRDefault="007F2F25" w:rsidP="00B849D7">
            <w:pPr>
              <w:pStyle w:val="TAL"/>
              <w:rPr>
                <w:sz w:val="16"/>
                <w:szCs w:val="16"/>
                <w:lang w:eastAsia="zh-CN"/>
              </w:rPr>
            </w:pPr>
            <w:r>
              <w:rPr>
                <w:sz w:val="16"/>
                <w:szCs w:val="16"/>
                <w:lang w:eastAsia="zh-CN"/>
              </w:rPr>
              <w:t>17.4.0</w:t>
            </w:r>
          </w:p>
        </w:tc>
      </w:tr>
      <w:tr w:rsidR="00B7487E" w:rsidRPr="00B916EC" w14:paraId="63FF9AE8" w14:textId="77777777" w:rsidTr="00B849D7">
        <w:tc>
          <w:tcPr>
            <w:tcW w:w="894" w:type="dxa"/>
            <w:tcBorders>
              <w:top w:val="single" w:sz="6" w:space="0" w:color="auto"/>
              <w:left w:val="single" w:sz="6" w:space="0" w:color="auto"/>
              <w:bottom w:val="single" w:sz="6" w:space="0" w:color="auto"/>
              <w:right w:val="single" w:sz="6" w:space="0" w:color="auto"/>
            </w:tcBorders>
            <w:shd w:val="solid" w:color="FFFFFF" w:fill="auto"/>
          </w:tcPr>
          <w:p w14:paraId="6AAF7A01" w14:textId="77777777" w:rsidR="00B7487E" w:rsidRPr="00B916EC" w:rsidRDefault="00B7487E" w:rsidP="00B849D7">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8E86B73" w14:textId="77777777" w:rsidR="00B7487E" w:rsidRPr="00B916EC" w:rsidRDefault="00B7487E" w:rsidP="00B849D7">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76F1AFB" w14:textId="189B3239" w:rsidR="00B7487E" w:rsidRDefault="00B7487E" w:rsidP="00B849D7">
            <w:pPr>
              <w:pStyle w:val="TAL"/>
              <w:rPr>
                <w:sz w:val="16"/>
                <w:szCs w:val="16"/>
                <w:lang w:eastAsia="zh-CN"/>
              </w:rPr>
            </w:pPr>
            <w:r w:rsidRPr="00FA4CFB">
              <w:rPr>
                <w:sz w:val="16"/>
                <w:szCs w:val="16"/>
                <w:lang w:eastAsia="zh-CN"/>
              </w:rPr>
              <w:t>RP-2228</w:t>
            </w:r>
            <w:r>
              <w:rPr>
                <w:sz w:val="16"/>
                <w:szCs w:val="16"/>
                <w:lang w:eastAsia="zh-CN"/>
              </w:rPr>
              <w:t>54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C6AE0DB" w14:textId="0F68EC59" w:rsidR="00B7487E" w:rsidRDefault="00B7487E" w:rsidP="00B849D7">
            <w:pPr>
              <w:pStyle w:val="TAL"/>
              <w:rPr>
                <w:sz w:val="16"/>
                <w:szCs w:val="16"/>
              </w:rPr>
            </w:pPr>
            <w:r>
              <w:rPr>
                <w:sz w:val="16"/>
                <w:szCs w:val="16"/>
              </w:rPr>
              <w:t>0419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B410AF2" w14:textId="77777777" w:rsidR="00B7487E" w:rsidRDefault="00B7487E" w:rsidP="00B849D7">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94DDA81" w14:textId="77777777" w:rsidR="00B7487E" w:rsidRDefault="00B7487E" w:rsidP="00B849D7">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AC4529D" w14:textId="4ABAD405" w:rsidR="00B7487E" w:rsidRPr="005D126D" w:rsidRDefault="00B7487E" w:rsidP="00B849D7">
            <w:pPr>
              <w:spacing w:after="0"/>
              <w:rPr>
                <w:rFonts w:ascii="Arial" w:hAnsi="Arial"/>
                <w:sz w:val="16"/>
              </w:rPr>
            </w:pPr>
            <w:r w:rsidRPr="00B7487E">
              <w:rPr>
                <w:rFonts w:ascii="Arial" w:hAnsi="Arial"/>
                <w:sz w:val="16"/>
              </w:rPr>
              <w:t>Correction on triggering of enhanced Type-3 codebook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A24360" w14:textId="77777777" w:rsidR="00B7487E" w:rsidRDefault="00B7487E" w:rsidP="00B849D7">
            <w:pPr>
              <w:pStyle w:val="TAL"/>
              <w:rPr>
                <w:sz w:val="16"/>
                <w:szCs w:val="16"/>
                <w:lang w:eastAsia="zh-CN"/>
              </w:rPr>
            </w:pPr>
            <w:r>
              <w:rPr>
                <w:sz w:val="16"/>
                <w:szCs w:val="16"/>
                <w:lang w:eastAsia="zh-CN"/>
              </w:rPr>
              <w:t>17.4.0</w:t>
            </w:r>
          </w:p>
        </w:tc>
      </w:tr>
      <w:tr w:rsidR="00845826" w:rsidRPr="00B916EC" w14:paraId="46C20EB4" w14:textId="77777777" w:rsidTr="00B849D7">
        <w:tc>
          <w:tcPr>
            <w:tcW w:w="894" w:type="dxa"/>
            <w:tcBorders>
              <w:top w:val="single" w:sz="6" w:space="0" w:color="auto"/>
              <w:left w:val="single" w:sz="6" w:space="0" w:color="auto"/>
              <w:bottom w:val="single" w:sz="6" w:space="0" w:color="auto"/>
              <w:right w:val="single" w:sz="6" w:space="0" w:color="auto"/>
            </w:tcBorders>
            <w:shd w:val="solid" w:color="FFFFFF" w:fill="auto"/>
          </w:tcPr>
          <w:p w14:paraId="6EEC4AAA" w14:textId="77777777" w:rsidR="00845826" w:rsidRPr="00B916EC" w:rsidRDefault="00845826" w:rsidP="00B849D7">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9F95357" w14:textId="77777777" w:rsidR="00845826" w:rsidRPr="00B916EC" w:rsidRDefault="00845826" w:rsidP="00B849D7">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CFF2CE9" w14:textId="77777777" w:rsidR="00845826" w:rsidRDefault="00845826" w:rsidP="00B849D7">
            <w:pPr>
              <w:pStyle w:val="TAL"/>
              <w:rPr>
                <w:sz w:val="16"/>
                <w:szCs w:val="16"/>
                <w:lang w:eastAsia="zh-CN"/>
              </w:rPr>
            </w:pPr>
            <w:r w:rsidRPr="00FA4CFB">
              <w:rPr>
                <w:sz w:val="16"/>
                <w:szCs w:val="16"/>
                <w:lang w:eastAsia="zh-CN"/>
              </w:rPr>
              <w:t>RP-2228</w:t>
            </w:r>
            <w:r>
              <w:rPr>
                <w:sz w:val="16"/>
                <w:szCs w:val="16"/>
                <w:lang w:eastAsia="zh-CN"/>
              </w:rPr>
              <w:t>54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46ACDAD" w14:textId="5350D81A" w:rsidR="00845826" w:rsidRDefault="00845826" w:rsidP="00B849D7">
            <w:pPr>
              <w:pStyle w:val="TAL"/>
              <w:rPr>
                <w:sz w:val="16"/>
                <w:szCs w:val="16"/>
              </w:rPr>
            </w:pPr>
            <w:r>
              <w:rPr>
                <w:sz w:val="16"/>
                <w:szCs w:val="16"/>
              </w:rPr>
              <w:t>0420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0611008" w14:textId="77777777" w:rsidR="00845826" w:rsidRDefault="00845826" w:rsidP="00B849D7">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6B0E6DD" w14:textId="77777777" w:rsidR="00845826" w:rsidRDefault="00845826" w:rsidP="00B849D7">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B956B99" w14:textId="7AF4CCF9" w:rsidR="00845826" w:rsidRPr="005D126D" w:rsidRDefault="00845826" w:rsidP="00B849D7">
            <w:pPr>
              <w:spacing w:after="0"/>
              <w:rPr>
                <w:rFonts w:ascii="Arial" w:hAnsi="Arial"/>
                <w:sz w:val="16"/>
              </w:rPr>
            </w:pPr>
            <w:r w:rsidRPr="00845826">
              <w:rPr>
                <w:rFonts w:ascii="Arial" w:hAnsi="Arial"/>
                <w:sz w:val="16"/>
              </w:rPr>
              <w:t>Correction on PUCCH cell switching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E4DB914" w14:textId="77777777" w:rsidR="00845826" w:rsidRDefault="00845826" w:rsidP="00B849D7">
            <w:pPr>
              <w:pStyle w:val="TAL"/>
              <w:rPr>
                <w:sz w:val="16"/>
                <w:szCs w:val="16"/>
                <w:lang w:eastAsia="zh-CN"/>
              </w:rPr>
            </w:pPr>
            <w:r>
              <w:rPr>
                <w:sz w:val="16"/>
                <w:szCs w:val="16"/>
                <w:lang w:eastAsia="zh-CN"/>
              </w:rPr>
              <w:t>17.4.0</w:t>
            </w:r>
          </w:p>
        </w:tc>
      </w:tr>
      <w:tr w:rsidR="009B0E77" w:rsidRPr="00B916EC" w14:paraId="484F0914" w14:textId="77777777" w:rsidTr="00B849D7">
        <w:tc>
          <w:tcPr>
            <w:tcW w:w="894" w:type="dxa"/>
            <w:tcBorders>
              <w:top w:val="single" w:sz="6" w:space="0" w:color="auto"/>
              <w:left w:val="single" w:sz="6" w:space="0" w:color="auto"/>
              <w:bottom w:val="single" w:sz="6" w:space="0" w:color="auto"/>
              <w:right w:val="single" w:sz="6" w:space="0" w:color="auto"/>
            </w:tcBorders>
            <w:shd w:val="solid" w:color="FFFFFF" w:fill="auto"/>
          </w:tcPr>
          <w:p w14:paraId="18221F46" w14:textId="77777777" w:rsidR="009B0E77" w:rsidRPr="00B916EC" w:rsidRDefault="009B0E77" w:rsidP="00B849D7">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0168057" w14:textId="77777777" w:rsidR="009B0E77" w:rsidRPr="00B916EC" w:rsidRDefault="009B0E77" w:rsidP="00B849D7">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A46877D" w14:textId="77777777" w:rsidR="009B0E77" w:rsidRDefault="009B0E77" w:rsidP="00B849D7">
            <w:pPr>
              <w:pStyle w:val="TAL"/>
              <w:rPr>
                <w:sz w:val="16"/>
                <w:szCs w:val="16"/>
                <w:lang w:eastAsia="zh-CN"/>
              </w:rPr>
            </w:pPr>
            <w:r w:rsidRPr="00FA4CFB">
              <w:rPr>
                <w:sz w:val="16"/>
                <w:szCs w:val="16"/>
                <w:lang w:eastAsia="zh-CN"/>
              </w:rPr>
              <w:t>RP-2228</w:t>
            </w:r>
            <w:r>
              <w:rPr>
                <w:sz w:val="16"/>
                <w:szCs w:val="16"/>
                <w:lang w:eastAsia="zh-CN"/>
              </w:rPr>
              <w:t>54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EC87FE1" w14:textId="094E59A0" w:rsidR="009B0E77" w:rsidRDefault="009B0E77" w:rsidP="00B849D7">
            <w:pPr>
              <w:pStyle w:val="TAL"/>
              <w:rPr>
                <w:sz w:val="16"/>
                <w:szCs w:val="16"/>
              </w:rPr>
            </w:pPr>
            <w:r>
              <w:rPr>
                <w:sz w:val="16"/>
                <w:szCs w:val="16"/>
              </w:rPr>
              <w:t>0421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CDEC0CB" w14:textId="77777777" w:rsidR="009B0E77" w:rsidRDefault="009B0E77" w:rsidP="00B849D7">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896EE82" w14:textId="77777777" w:rsidR="009B0E77" w:rsidRDefault="009B0E77" w:rsidP="00B849D7">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148C4FF" w14:textId="28E1F225" w:rsidR="009B0E77" w:rsidRPr="005D126D" w:rsidRDefault="009B0E77" w:rsidP="00B849D7">
            <w:pPr>
              <w:spacing w:after="0"/>
              <w:rPr>
                <w:rFonts w:ascii="Arial" w:hAnsi="Arial"/>
                <w:sz w:val="16"/>
              </w:rPr>
            </w:pPr>
            <w:r w:rsidRPr="009B0E77">
              <w:rPr>
                <w:rFonts w:ascii="Arial" w:hAnsi="Arial"/>
                <w:sz w:val="16"/>
              </w:rPr>
              <w:t>Correction on HARQ-ACK reporting on PUSCH for Rel-17 Intra-UE multiplexing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FBA4753" w14:textId="77777777" w:rsidR="009B0E77" w:rsidRDefault="009B0E77" w:rsidP="00B849D7">
            <w:pPr>
              <w:pStyle w:val="TAL"/>
              <w:rPr>
                <w:sz w:val="16"/>
                <w:szCs w:val="16"/>
                <w:lang w:eastAsia="zh-CN"/>
              </w:rPr>
            </w:pPr>
            <w:r>
              <w:rPr>
                <w:sz w:val="16"/>
                <w:szCs w:val="16"/>
                <w:lang w:eastAsia="zh-CN"/>
              </w:rPr>
              <w:t>17.4.0</w:t>
            </w:r>
          </w:p>
        </w:tc>
      </w:tr>
      <w:tr w:rsidR="00B911F1" w:rsidRPr="00B916EC" w14:paraId="65A6D544" w14:textId="77777777" w:rsidTr="00B849D7">
        <w:tc>
          <w:tcPr>
            <w:tcW w:w="894" w:type="dxa"/>
            <w:tcBorders>
              <w:top w:val="single" w:sz="6" w:space="0" w:color="auto"/>
              <w:left w:val="single" w:sz="6" w:space="0" w:color="auto"/>
              <w:bottom w:val="single" w:sz="6" w:space="0" w:color="auto"/>
              <w:right w:val="single" w:sz="6" w:space="0" w:color="auto"/>
            </w:tcBorders>
            <w:shd w:val="solid" w:color="FFFFFF" w:fill="auto"/>
          </w:tcPr>
          <w:p w14:paraId="0E17A950" w14:textId="77777777" w:rsidR="00B911F1" w:rsidRPr="00B916EC" w:rsidRDefault="00B911F1" w:rsidP="00B849D7">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CC71DC8" w14:textId="77777777" w:rsidR="00B911F1" w:rsidRPr="00B916EC" w:rsidRDefault="00B911F1" w:rsidP="00B849D7">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DCE5294" w14:textId="4D7C850F" w:rsidR="00B911F1" w:rsidRDefault="00B911F1" w:rsidP="00B849D7">
            <w:pPr>
              <w:pStyle w:val="TAL"/>
              <w:rPr>
                <w:sz w:val="16"/>
                <w:szCs w:val="16"/>
                <w:lang w:eastAsia="zh-CN"/>
              </w:rPr>
            </w:pPr>
            <w:r w:rsidRPr="00FA4CFB">
              <w:rPr>
                <w:sz w:val="16"/>
                <w:szCs w:val="16"/>
                <w:lang w:eastAsia="zh-CN"/>
              </w:rPr>
              <w:t>RP-2228</w:t>
            </w:r>
            <w:r>
              <w:rPr>
                <w:sz w:val="16"/>
                <w:szCs w:val="16"/>
                <w:lang w:eastAsia="zh-CN"/>
              </w:rPr>
              <w:t>69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F42D833" w14:textId="0321FC4B" w:rsidR="00B911F1" w:rsidRDefault="00B911F1" w:rsidP="00B849D7">
            <w:pPr>
              <w:pStyle w:val="TAL"/>
              <w:rPr>
                <w:sz w:val="16"/>
                <w:szCs w:val="16"/>
              </w:rPr>
            </w:pPr>
            <w:r>
              <w:rPr>
                <w:sz w:val="16"/>
                <w:szCs w:val="16"/>
              </w:rPr>
              <w:t>0423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26CED9A" w14:textId="77777777" w:rsidR="00B911F1" w:rsidRDefault="00B911F1" w:rsidP="00B849D7">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7E3F4F4" w14:textId="629A7B28" w:rsidR="00B911F1" w:rsidRDefault="00B911F1" w:rsidP="00B849D7">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F38FD79" w14:textId="3DC0B31D" w:rsidR="00B911F1" w:rsidRPr="005D126D" w:rsidRDefault="00B911F1" w:rsidP="00B849D7">
            <w:pPr>
              <w:spacing w:after="0"/>
              <w:rPr>
                <w:rFonts w:ascii="Arial" w:hAnsi="Arial"/>
                <w:sz w:val="16"/>
              </w:rPr>
            </w:pPr>
            <w:r w:rsidRPr="00B911F1">
              <w:rPr>
                <w:rFonts w:ascii="Arial" w:hAnsi="Arial"/>
                <w:sz w:val="16"/>
              </w:rPr>
              <w:t>Clarification on timelines for power control command</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860D3B6" w14:textId="77777777" w:rsidR="00B911F1" w:rsidRDefault="00B911F1" w:rsidP="00B849D7">
            <w:pPr>
              <w:pStyle w:val="TAL"/>
              <w:rPr>
                <w:sz w:val="16"/>
                <w:szCs w:val="16"/>
                <w:lang w:eastAsia="zh-CN"/>
              </w:rPr>
            </w:pPr>
            <w:r>
              <w:rPr>
                <w:sz w:val="16"/>
                <w:szCs w:val="16"/>
                <w:lang w:eastAsia="zh-CN"/>
              </w:rPr>
              <w:t>17.4.0</w:t>
            </w:r>
          </w:p>
        </w:tc>
      </w:tr>
      <w:tr w:rsidR="007C1476" w:rsidRPr="00B916EC" w14:paraId="30F0D356" w14:textId="77777777" w:rsidTr="00151F79">
        <w:tc>
          <w:tcPr>
            <w:tcW w:w="894" w:type="dxa"/>
            <w:tcBorders>
              <w:top w:val="single" w:sz="6" w:space="0" w:color="auto"/>
              <w:left w:val="single" w:sz="6" w:space="0" w:color="auto"/>
              <w:bottom w:val="single" w:sz="6" w:space="0" w:color="auto"/>
              <w:right w:val="single" w:sz="6" w:space="0" w:color="auto"/>
            </w:tcBorders>
            <w:shd w:val="solid" w:color="FFFFFF" w:fill="auto"/>
          </w:tcPr>
          <w:p w14:paraId="169C725B" w14:textId="77777777" w:rsidR="007C1476" w:rsidRPr="00B916EC" w:rsidRDefault="007C1476" w:rsidP="00151F79">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ADBBCF1" w14:textId="77777777" w:rsidR="007C1476" w:rsidRPr="00B916EC" w:rsidRDefault="007C1476" w:rsidP="00151F79">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AEC1FA7" w14:textId="220EE010" w:rsidR="007C1476" w:rsidRDefault="007C1476" w:rsidP="00151F79">
            <w:pPr>
              <w:pStyle w:val="TAL"/>
              <w:rPr>
                <w:sz w:val="16"/>
                <w:szCs w:val="16"/>
                <w:lang w:eastAsia="zh-CN"/>
              </w:rPr>
            </w:pPr>
            <w:r w:rsidRPr="00FA4CFB">
              <w:rPr>
                <w:sz w:val="16"/>
                <w:szCs w:val="16"/>
                <w:lang w:eastAsia="zh-CN"/>
              </w:rPr>
              <w:t>RP-2228</w:t>
            </w:r>
            <w:r>
              <w:rPr>
                <w:sz w:val="16"/>
                <w:szCs w:val="16"/>
                <w:lang w:eastAsia="zh-CN"/>
              </w:rPr>
              <w:t>58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F8702B0" w14:textId="4C8ECB3A" w:rsidR="007C1476" w:rsidRDefault="007C1476" w:rsidP="00151F79">
            <w:pPr>
              <w:pStyle w:val="TAL"/>
              <w:rPr>
                <w:sz w:val="16"/>
                <w:szCs w:val="16"/>
              </w:rPr>
            </w:pPr>
            <w:r>
              <w:rPr>
                <w:sz w:val="16"/>
                <w:szCs w:val="16"/>
              </w:rPr>
              <w:t>0424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97EFC8B" w14:textId="77777777" w:rsidR="007C1476" w:rsidRDefault="007C1476" w:rsidP="00151F79">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7AB3BD5" w14:textId="391E015A" w:rsidR="007C1476" w:rsidRDefault="007C1476" w:rsidP="00151F79">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F234453" w14:textId="7E671389" w:rsidR="007C1476" w:rsidRPr="005D126D" w:rsidRDefault="007C1476" w:rsidP="00151F79">
            <w:pPr>
              <w:spacing w:after="0"/>
              <w:rPr>
                <w:rFonts w:ascii="Arial" w:hAnsi="Arial"/>
                <w:sz w:val="16"/>
              </w:rPr>
            </w:pPr>
            <w:r w:rsidRPr="007C1476">
              <w:rPr>
                <w:rFonts w:ascii="Arial" w:hAnsi="Arial"/>
                <w:sz w:val="16"/>
              </w:rPr>
              <w:t>Correction on PDCCH monitoring adaptation and BWP switching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7011E35" w14:textId="77777777" w:rsidR="007C1476" w:rsidRDefault="007C1476" w:rsidP="00151F79">
            <w:pPr>
              <w:pStyle w:val="TAL"/>
              <w:rPr>
                <w:sz w:val="16"/>
                <w:szCs w:val="16"/>
                <w:lang w:eastAsia="zh-CN"/>
              </w:rPr>
            </w:pPr>
            <w:r>
              <w:rPr>
                <w:sz w:val="16"/>
                <w:szCs w:val="16"/>
                <w:lang w:eastAsia="zh-CN"/>
              </w:rPr>
              <w:t>17.4.0</w:t>
            </w:r>
          </w:p>
        </w:tc>
      </w:tr>
      <w:tr w:rsidR="00945024" w:rsidRPr="00B916EC" w14:paraId="386C3280" w14:textId="77777777" w:rsidTr="00151F79">
        <w:tc>
          <w:tcPr>
            <w:tcW w:w="894" w:type="dxa"/>
            <w:tcBorders>
              <w:top w:val="single" w:sz="6" w:space="0" w:color="auto"/>
              <w:left w:val="single" w:sz="6" w:space="0" w:color="auto"/>
              <w:bottom w:val="single" w:sz="6" w:space="0" w:color="auto"/>
              <w:right w:val="single" w:sz="6" w:space="0" w:color="auto"/>
            </w:tcBorders>
            <w:shd w:val="solid" w:color="FFFFFF" w:fill="auto"/>
          </w:tcPr>
          <w:p w14:paraId="0E3B0E8F" w14:textId="77777777" w:rsidR="00945024" w:rsidRPr="00B916EC" w:rsidRDefault="00945024" w:rsidP="00151F79">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AAA2D8A" w14:textId="77777777" w:rsidR="00945024" w:rsidRPr="00B916EC" w:rsidRDefault="00945024" w:rsidP="00151F79">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DA1B357" w14:textId="3180DC7F" w:rsidR="00945024" w:rsidRDefault="00945024" w:rsidP="00151F79">
            <w:pPr>
              <w:pStyle w:val="TAL"/>
              <w:rPr>
                <w:sz w:val="16"/>
                <w:szCs w:val="16"/>
                <w:lang w:eastAsia="zh-CN"/>
              </w:rPr>
            </w:pPr>
            <w:r w:rsidRPr="00FA4CFB">
              <w:rPr>
                <w:sz w:val="16"/>
                <w:szCs w:val="16"/>
                <w:lang w:eastAsia="zh-CN"/>
              </w:rPr>
              <w:t>RP-2228</w:t>
            </w:r>
            <w:r>
              <w:rPr>
                <w:sz w:val="16"/>
                <w:szCs w:val="16"/>
                <w:lang w:eastAsia="zh-CN"/>
              </w:rPr>
              <w:t>53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F69F0E3" w14:textId="537B6991" w:rsidR="00945024" w:rsidRDefault="00945024" w:rsidP="00151F79">
            <w:pPr>
              <w:pStyle w:val="TAL"/>
              <w:rPr>
                <w:sz w:val="16"/>
                <w:szCs w:val="16"/>
              </w:rPr>
            </w:pPr>
            <w:r>
              <w:rPr>
                <w:sz w:val="16"/>
                <w:szCs w:val="16"/>
              </w:rPr>
              <w:t>0425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E4B1DF7" w14:textId="77777777" w:rsidR="00945024" w:rsidRDefault="00945024" w:rsidP="00151F79">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2C95CFB" w14:textId="77777777" w:rsidR="00945024" w:rsidRDefault="00945024" w:rsidP="00151F79">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200D144" w14:textId="44D2832B" w:rsidR="00945024" w:rsidRPr="005D126D" w:rsidRDefault="00945024" w:rsidP="00151F79">
            <w:pPr>
              <w:spacing w:after="0"/>
              <w:rPr>
                <w:rFonts w:ascii="Arial" w:hAnsi="Arial"/>
                <w:sz w:val="16"/>
              </w:rPr>
            </w:pPr>
            <w:r w:rsidRPr="00945024">
              <w:rPr>
                <w:rFonts w:ascii="Arial" w:hAnsi="Arial"/>
                <w:sz w:val="16"/>
              </w:rPr>
              <w:t>Correction of number of configured DL-CCs for BD/CCE budget for FR2-2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468ED81" w14:textId="77777777" w:rsidR="00945024" w:rsidRDefault="00945024" w:rsidP="00151F79">
            <w:pPr>
              <w:pStyle w:val="TAL"/>
              <w:rPr>
                <w:sz w:val="16"/>
                <w:szCs w:val="16"/>
                <w:lang w:eastAsia="zh-CN"/>
              </w:rPr>
            </w:pPr>
            <w:r>
              <w:rPr>
                <w:sz w:val="16"/>
                <w:szCs w:val="16"/>
                <w:lang w:eastAsia="zh-CN"/>
              </w:rPr>
              <w:t>17.4.0</w:t>
            </w:r>
          </w:p>
        </w:tc>
      </w:tr>
      <w:tr w:rsidR="0071213A" w:rsidRPr="00B916EC" w14:paraId="10782117" w14:textId="77777777" w:rsidTr="00151F79">
        <w:tc>
          <w:tcPr>
            <w:tcW w:w="894" w:type="dxa"/>
            <w:tcBorders>
              <w:top w:val="single" w:sz="6" w:space="0" w:color="auto"/>
              <w:left w:val="single" w:sz="6" w:space="0" w:color="auto"/>
              <w:bottom w:val="single" w:sz="6" w:space="0" w:color="auto"/>
              <w:right w:val="single" w:sz="6" w:space="0" w:color="auto"/>
            </w:tcBorders>
            <w:shd w:val="solid" w:color="FFFFFF" w:fill="auto"/>
          </w:tcPr>
          <w:p w14:paraId="72E186A2" w14:textId="77777777" w:rsidR="0071213A" w:rsidRPr="00B916EC" w:rsidRDefault="0071213A" w:rsidP="00151F79">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0F6E22C" w14:textId="77777777" w:rsidR="0071213A" w:rsidRPr="00B916EC" w:rsidRDefault="0071213A" w:rsidP="00151F79">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A4F8C6D" w14:textId="77777777" w:rsidR="0071213A" w:rsidRDefault="0071213A" w:rsidP="00151F79">
            <w:pPr>
              <w:pStyle w:val="TAL"/>
              <w:rPr>
                <w:sz w:val="16"/>
                <w:szCs w:val="16"/>
                <w:lang w:eastAsia="zh-CN"/>
              </w:rPr>
            </w:pPr>
            <w:r w:rsidRPr="00FA4CFB">
              <w:rPr>
                <w:sz w:val="16"/>
                <w:szCs w:val="16"/>
                <w:lang w:eastAsia="zh-CN"/>
              </w:rPr>
              <w:t>RP-2228</w:t>
            </w:r>
            <w:r>
              <w:rPr>
                <w:sz w:val="16"/>
                <w:szCs w:val="16"/>
                <w:lang w:eastAsia="zh-CN"/>
              </w:rPr>
              <w:t>53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8CAEE4A" w14:textId="0BB7784B" w:rsidR="0071213A" w:rsidRDefault="0071213A" w:rsidP="00151F79">
            <w:pPr>
              <w:pStyle w:val="TAL"/>
              <w:rPr>
                <w:sz w:val="16"/>
                <w:szCs w:val="16"/>
              </w:rPr>
            </w:pPr>
            <w:r>
              <w:rPr>
                <w:sz w:val="16"/>
                <w:szCs w:val="16"/>
              </w:rPr>
              <w:t>0426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C246BAB" w14:textId="77777777" w:rsidR="0071213A" w:rsidRDefault="0071213A" w:rsidP="00151F79">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C435059" w14:textId="77777777" w:rsidR="0071213A" w:rsidRDefault="0071213A" w:rsidP="00151F79">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D6E15EA" w14:textId="573D00FA" w:rsidR="0071213A" w:rsidRPr="005D126D" w:rsidRDefault="0071213A" w:rsidP="00151F79">
            <w:pPr>
              <w:spacing w:after="0"/>
              <w:rPr>
                <w:rFonts w:ascii="Arial" w:hAnsi="Arial"/>
                <w:sz w:val="16"/>
              </w:rPr>
            </w:pPr>
            <w:r w:rsidRPr="0071213A">
              <w:rPr>
                <w:rFonts w:ascii="Arial" w:hAnsi="Arial"/>
                <w:sz w:val="16"/>
              </w:rPr>
              <w:t>Correction on per-slot group monitoring within a duration for FR2-2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34B7298" w14:textId="77777777" w:rsidR="0071213A" w:rsidRDefault="0071213A" w:rsidP="00151F79">
            <w:pPr>
              <w:pStyle w:val="TAL"/>
              <w:rPr>
                <w:sz w:val="16"/>
                <w:szCs w:val="16"/>
                <w:lang w:eastAsia="zh-CN"/>
              </w:rPr>
            </w:pPr>
            <w:r>
              <w:rPr>
                <w:sz w:val="16"/>
                <w:szCs w:val="16"/>
                <w:lang w:eastAsia="zh-CN"/>
              </w:rPr>
              <w:t>17.4.0</w:t>
            </w:r>
          </w:p>
        </w:tc>
      </w:tr>
      <w:tr w:rsidR="00A34638" w:rsidRPr="00B916EC" w14:paraId="38A01AB0" w14:textId="77777777" w:rsidTr="00151F79">
        <w:tc>
          <w:tcPr>
            <w:tcW w:w="894" w:type="dxa"/>
            <w:tcBorders>
              <w:top w:val="single" w:sz="6" w:space="0" w:color="auto"/>
              <w:left w:val="single" w:sz="6" w:space="0" w:color="auto"/>
              <w:bottom w:val="single" w:sz="6" w:space="0" w:color="auto"/>
              <w:right w:val="single" w:sz="6" w:space="0" w:color="auto"/>
            </w:tcBorders>
            <w:shd w:val="solid" w:color="FFFFFF" w:fill="auto"/>
          </w:tcPr>
          <w:p w14:paraId="75D8890D" w14:textId="77777777" w:rsidR="00A34638" w:rsidRPr="00B916EC" w:rsidRDefault="00A34638" w:rsidP="00151F79">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F0EA0DA" w14:textId="77777777" w:rsidR="00A34638" w:rsidRPr="00B916EC" w:rsidRDefault="00A34638" w:rsidP="00151F79">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F3D78AD" w14:textId="2FEC3E16" w:rsidR="00A34638" w:rsidRDefault="00A34638" w:rsidP="00151F79">
            <w:pPr>
              <w:pStyle w:val="TAL"/>
              <w:rPr>
                <w:sz w:val="16"/>
                <w:szCs w:val="16"/>
                <w:lang w:eastAsia="zh-CN"/>
              </w:rPr>
            </w:pPr>
            <w:r w:rsidRPr="00FA4CFB">
              <w:rPr>
                <w:sz w:val="16"/>
                <w:szCs w:val="16"/>
                <w:lang w:eastAsia="zh-CN"/>
              </w:rPr>
              <w:t>RP-2228</w:t>
            </w:r>
            <w:r>
              <w:rPr>
                <w:sz w:val="16"/>
                <w:szCs w:val="16"/>
                <w:lang w:eastAsia="zh-CN"/>
              </w:rPr>
              <w:t>50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44B6881" w14:textId="77CFE1C7" w:rsidR="00A34638" w:rsidRDefault="00A34638" w:rsidP="00151F79">
            <w:pPr>
              <w:pStyle w:val="TAL"/>
              <w:rPr>
                <w:sz w:val="16"/>
                <w:szCs w:val="16"/>
              </w:rPr>
            </w:pPr>
            <w:r>
              <w:rPr>
                <w:sz w:val="16"/>
                <w:szCs w:val="16"/>
              </w:rPr>
              <w:t>0428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BF4E6AB" w14:textId="77777777" w:rsidR="00A34638" w:rsidRDefault="00A34638" w:rsidP="00151F79">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D4204BE" w14:textId="77777777" w:rsidR="00A34638" w:rsidRDefault="00A34638" w:rsidP="00151F79">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8BC9F9A" w14:textId="6C43101F" w:rsidR="00A34638" w:rsidRPr="005D126D" w:rsidRDefault="00A34638" w:rsidP="00151F79">
            <w:pPr>
              <w:spacing w:after="0"/>
              <w:rPr>
                <w:rFonts w:ascii="Arial" w:hAnsi="Arial"/>
                <w:sz w:val="16"/>
              </w:rPr>
            </w:pPr>
            <w:r w:rsidRPr="00A34638">
              <w:rPr>
                <w:rFonts w:ascii="Arial" w:hAnsi="Arial"/>
                <w:sz w:val="16"/>
              </w:rPr>
              <w:t>Correction on UL prioritization cases related to SP-CSI in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743A1B9" w14:textId="77777777" w:rsidR="00A34638" w:rsidRDefault="00A34638" w:rsidP="00151F79">
            <w:pPr>
              <w:pStyle w:val="TAL"/>
              <w:rPr>
                <w:sz w:val="16"/>
                <w:szCs w:val="16"/>
                <w:lang w:eastAsia="zh-CN"/>
              </w:rPr>
            </w:pPr>
            <w:r>
              <w:rPr>
                <w:sz w:val="16"/>
                <w:szCs w:val="16"/>
                <w:lang w:eastAsia="zh-CN"/>
              </w:rPr>
              <w:t>17.4.0</w:t>
            </w:r>
          </w:p>
        </w:tc>
      </w:tr>
      <w:tr w:rsidR="008C27C0" w:rsidRPr="00B916EC" w14:paraId="6E01B355" w14:textId="77777777" w:rsidTr="00151F79">
        <w:tc>
          <w:tcPr>
            <w:tcW w:w="894" w:type="dxa"/>
            <w:tcBorders>
              <w:top w:val="single" w:sz="6" w:space="0" w:color="auto"/>
              <w:left w:val="single" w:sz="6" w:space="0" w:color="auto"/>
              <w:bottom w:val="single" w:sz="6" w:space="0" w:color="auto"/>
              <w:right w:val="single" w:sz="6" w:space="0" w:color="auto"/>
            </w:tcBorders>
            <w:shd w:val="solid" w:color="FFFFFF" w:fill="auto"/>
          </w:tcPr>
          <w:p w14:paraId="2F636F07" w14:textId="77777777" w:rsidR="008C27C0" w:rsidRPr="00B916EC" w:rsidRDefault="008C27C0" w:rsidP="00151F79">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4A72155" w14:textId="77777777" w:rsidR="008C27C0" w:rsidRPr="00B916EC" w:rsidRDefault="008C27C0" w:rsidP="00151F79">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AB67FC9" w14:textId="3E45496C" w:rsidR="008C27C0" w:rsidRDefault="008C27C0" w:rsidP="00151F79">
            <w:pPr>
              <w:pStyle w:val="TAL"/>
              <w:rPr>
                <w:sz w:val="16"/>
                <w:szCs w:val="16"/>
                <w:lang w:eastAsia="zh-CN"/>
              </w:rPr>
            </w:pPr>
            <w:r w:rsidRPr="00FA4CFB">
              <w:rPr>
                <w:sz w:val="16"/>
                <w:szCs w:val="16"/>
                <w:lang w:eastAsia="zh-CN"/>
              </w:rPr>
              <w:t>RP-2228</w:t>
            </w:r>
            <w:r>
              <w:rPr>
                <w:sz w:val="16"/>
                <w:szCs w:val="16"/>
                <w:lang w:eastAsia="zh-CN"/>
              </w:rPr>
              <w:t>64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6512DEA" w14:textId="1E56102C" w:rsidR="008C27C0" w:rsidRDefault="008C27C0" w:rsidP="00151F79">
            <w:pPr>
              <w:pStyle w:val="TAL"/>
              <w:rPr>
                <w:sz w:val="16"/>
                <w:szCs w:val="16"/>
              </w:rPr>
            </w:pPr>
            <w:r>
              <w:rPr>
                <w:sz w:val="16"/>
                <w:szCs w:val="16"/>
              </w:rPr>
              <w:t>0429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35B596E" w14:textId="77777777" w:rsidR="008C27C0" w:rsidRDefault="008C27C0" w:rsidP="00151F79">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2828856" w14:textId="77777777" w:rsidR="008C27C0" w:rsidRDefault="008C27C0" w:rsidP="00151F79">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4B507A2" w14:textId="576E6341" w:rsidR="008C27C0" w:rsidRPr="005D126D" w:rsidRDefault="008C27C0" w:rsidP="00151F79">
            <w:pPr>
              <w:spacing w:after="0"/>
              <w:rPr>
                <w:rFonts w:ascii="Arial" w:hAnsi="Arial"/>
                <w:sz w:val="16"/>
              </w:rPr>
            </w:pPr>
            <w:r w:rsidRPr="008C27C0">
              <w:rPr>
                <w:rFonts w:ascii="Arial" w:hAnsi="Arial"/>
                <w:sz w:val="16"/>
              </w:rPr>
              <w:t>CR on broadcast search space monitoring occasion determination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FF2BB22" w14:textId="77777777" w:rsidR="008C27C0" w:rsidRDefault="008C27C0" w:rsidP="00151F79">
            <w:pPr>
              <w:pStyle w:val="TAL"/>
              <w:rPr>
                <w:sz w:val="16"/>
                <w:szCs w:val="16"/>
                <w:lang w:eastAsia="zh-CN"/>
              </w:rPr>
            </w:pPr>
            <w:r>
              <w:rPr>
                <w:sz w:val="16"/>
                <w:szCs w:val="16"/>
                <w:lang w:eastAsia="zh-CN"/>
              </w:rPr>
              <w:t>17.4.0</w:t>
            </w:r>
          </w:p>
        </w:tc>
      </w:tr>
      <w:tr w:rsidR="00824633" w:rsidRPr="00B916EC" w14:paraId="25D57DD6" w14:textId="77777777" w:rsidTr="00151F79">
        <w:tc>
          <w:tcPr>
            <w:tcW w:w="894" w:type="dxa"/>
            <w:tcBorders>
              <w:top w:val="single" w:sz="6" w:space="0" w:color="auto"/>
              <w:left w:val="single" w:sz="6" w:space="0" w:color="auto"/>
              <w:bottom w:val="single" w:sz="6" w:space="0" w:color="auto"/>
              <w:right w:val="single" w:sz="6" w:space="0" w:color="auto"/>
            </w:tcBorders>
            <w:shd w:val="solid" w:color="FFFFFF" w:fill="auto"/>
          </w:tcPr>
          <w:p w14:paraId="100FBEC0" w14:textId="77777777" w:rsidR="00824633" w:rsidRPr="00B916EC" w:rsidRDefault="00824633" w:rsidP="00151F79">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7158D63" w14:textId="77777777" w:rsidR="00824633" w:rsidRPr="00B916EC" w:rsidRDefault="00824633" w:rsidP="00151F79">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0DDED4D" w14:textId="11974957" w:rsidR="00824633" w:rsidRDefault="00824633" w:rsidP="00151F79">
            <w:pPr>
              <w:pStyle w:val="TAL"/>
              <w:rPr>
                <w:sz w:val="16"/>
                <w:szCs w:val="16"/>
                <w:lang w:eastAsia="zh-CN"/>
              </w:rPr>
            </w:pPr>
            <w:r w:rsidRPr="00FA4CFB">
              <w:rPr>
                <w:sz w:val="16"/>
                <w:szCs w:val="16"/>
                <w:lang w:eastAsia="zh-CN"/>
              </w:rPr>
              <w:t>RP-2228</w:t>
            </w:r>
            <w:r>
              <w:rPr>
                <w:sz w:val="16"/>
                <w:szCs w:val="16"/>
                <w:lang w:eastAsia="zh-CN"/>
              </w:rPr>
              <w:t>62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CE570BF" w14:textId="5C6633EB" w:rsidR="00824633" w:rsidRDefault="00824633" w:rsidP="00151F79">
            <w:pPr>
              <w:pStyle w:val="TAL"/>
              <w:rPr>
                <w:sz w:val="16"/>
                <w:szCs w:val="16"/>
              </w:rPr>
            </w:pPr>
            <w:r>
              <w:rPr>
                <w:sz w:val="16"/>
                <w:szCs w:val="16"/>
              </w:rPr>
              <w:t>0430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9233E0F" w14:textId="77777777" w:rsidR="00824633" w:rsidRDefault="00824633" w:rsidP="00151F79">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81083DE" w14:textId="77777777" w:rsidR="00824633" w:rsidRDefault="00824633" w:rsidP="00151F79">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C9F9AE4" w14:textId="047C3C21" w:rsidR="00824633" w:rsidRPr="005D126D" w:rsidRDefault="00824633" w:rsidP="00151F79">
            <w:pPr>
              <w:spacing w:after="0"/>
              <w:rPr>
                <w:rFonts w:ascii="Arial" w:hAnsi="Arial"/>
                <w:sz w:val="16"/>
              </w:rPr>
            </w:pPr>
            <w:r w:rsidRPr="00824633">
              <w:rPr>
                <w:rFonts w:ascii="Arial" w:hAnsi="Arial"/>
                <w:sz w:val="16"/>
              </w:rPr>
              <w:t>Correction on RB set size for Rel-17 IAB HSNA configuration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205DBFE" w14:textId="77777777" w:rsidR="00824633" w:rsidRDefault="00824633" w:rsidP="00151F79">
            <w:pPr>
              <w:pStyle w:val="TAL"/>
              <w:rPr>
                <w:sz w:val="16"/>
                <w:szCs w:val="16"/>
                <w:lang w:eastAsia="zh-CN"/>
              </w:rPr>
            </w:pPr>
            <w:r>
              <w:rPr>
                <w:sz w:val="16"/>
                <w:szCs w:val="16"/>
                <w:lang w:eastAsia="zh-CN"/>
              </w:rPr>
              <w:t>17.4.0</w:t>
            </w:r>
          </w:p>
        </w:tc>
      </w:tr>
      <w:tr w:rsidR="00824633" w:rsidRPr="00B916EC" w14:paraId="3AF1494D" w14:textId="77777777" w:rsidTr="00151F79">
        <w:tc>
          <w:tcPr>
            <w:tcW w:w="894" w:type="dxa"/>
            <w:tcBorders>
              <w:top w:val="single" w:sz="6" w:space="0" w:color="auto"/>
              <w:left w:val="single" w:sz="6" w:space="0" w:color="auto"/>
              <w:bottom w:val="single" w:sz="6" w:space="0" w:color="auto"/>
              <w:right w:val="single" w:sz="6" w:space="0" w:color="auto"/>
            </w:tcBorders>
            <w:shd w:val="solid" w:color="FFFFFF" w:fill="auto"/>
          </w:tcPr>
          <w:p w14:paraId="1F330525" w14:textId="77777777" w:rsidR="00824633" w:rsidRPr="00B916EC" w:rsidRDefault="00824633" w:rsidP="00151F79">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359152B" w14:textId="77777777" w:rsidR="00824633" w:rsidRPr="00B916EC" w:rsidRDefault="00824633" w:rsidP="00151F79">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B8DB2FE" w14:textId="77777777" w:rsidR="00824633" w:rsidRDefault="00824633" w:rsidP="00151F79">
            <w:pPr>
              <w:pStyle w:val="TAL"/>
              <w:rPr>
                <w:sz w:val="16"/>
                <w:szCs w:val="16"/>
                <w:lang w:eastAsia="zh-CN"/>
              </w:rPr>
            </w:pPr>
            <w:r w:rsidRPr="00FA4CFB">
              <w:rPr>
                <w:sz w:val="16"/>
                <w:szCs w:val="16"/>
                <w:lang w:eastAsia="zh-CN"/>
              </w:rPr>
              <w:t>RP-2228</w:t>
            </w:r>
            <w:r>
              <w:rPr>
                <w:sz w:val="16"/>
                <w:szCs w:val="16"/>
                <w:lang w:eastAsia="zh-CN"/>
              </w:rPr>
              <w:t>62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6187FBB" w14:textId="6D64764C" w:rsidR="00824633" w:rsidRDefault="00824633" w:rsidP="00151F79">
            <w:pPr>
              <w:pStyle w:val="TAL"/>
              <w:rPr>
                <w:sz w:val="16"/>
                <w:szCs w:val="16"/>
              </w:rPr>
            </w:pPr>
            <w:r>
              <w:rPr>
                <w:sz w:val="16"/>
                <w:szCs w:val="16"/>
              </w:rPr>
              <w:t>0431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4E91163" w14:textId="77777777" w:rsidR="00824633" w:rsidRDefault="00824633" w:rsidP="00151F79">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C4CBE61" w14:textId="77777777" w:rsidR="00824633" w:rsidRDefault="00824633" w:rsidP="00151F79">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7309104" w14:textId="45EBC679" w:rsidR="00824633" w:rsidRPr="005D126D" w:rsidRDefault="00824633" w:rsidP="00151F79">
            <w:pPr>
              <w:spacing w:after="0"/>
              <w:rPr>
                <w:rFonts w:ascii="Arial" w:hAnsi="Arial"/>
                <w:sz w:val="16"/>
              </w:rPr>
            </w:pPr>
            <w:r w:rsidRPr="00824633">
              <w:rPr>
                <w:rFonts w:ascii="Arial" w:hAnsi="Arial"/>
                <w:sz w:val="16"/>
              </w:rPr>
              <w:t>Correction on DL TX power adjustment for Rel-17 IAB</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D381103" w14:textId="77777777" w:rsidR="00824633" w:rsidRDefault="00824633" w:rsidP="00151F79">
            <w:pPr>
              <w:pStyle w:val="TAL"/>
              <w:rPr>
                <w:sz w:val="16"/>
                <w:szCs w:val="16"/>
                <w:lang w:eastAsia="zh-CN"/>
              </w:rPr>
            </w:pPr>
            <w:r>
              <w:rPr>
                <w:sz w:val="16"/>
                <w:szCs w:val="16"/>
                <w:lang w:eastAsia="zh-CN"/>
              </w:rPr>
              <w:t>17.4.0</w:t>
            </w:r>
          </w:p>
        </w:tc>
      </w:tr>
      <w:tr w:rsidR="004F5996" w:rsidRPr="00B916EC" w14:paraId="13B69AA6" w14:textId="77777777" w:rsidTr="00151F79">
        <w:tc>
          <w:tcPr>
            <w:tcW w:w="894" w:type="dxa"/>
            <w:tcBorders>
              <w:top w:val="single" w:sz="6" w:space="0" w:color="auto"/>
              <w:left w:val="single" w:sz="6" w:space="0" w:color="auto"/>
              <w:bottom w:val="single" w:sz="6" w:space="0" w:color="auto"/>
              <w:right w:val="single" w:sz="6" w:space="0" w:color="auto"/>
            </w:tcBorders>
            <w:shd w:val="solid" w:color="FFFFFF" w:fill="auto"/>
          </w:tcPr>
          <w:p w14:paraId="4770D060" w14:textId="77777777" w:rsidR="004F5996" w:rsidRPr="00B916EC" w:rsidRDefault="004F5996" w:rsidP="00151F79">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DF6C2BF" w14:textId="77777777" w:rsidR="004F5996" w:rsidRPr="00B916EC" w:rsidRDefault="004F5996" w:rsidP="00151F79">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E9A0B5B" w14:textId="4D4EAFB2" w:rsidR="004F5996" w:rsidRDefault="004F5996" w:rsidP="00151F79">
            <w:pPr>
              <w:pStyle w:val="TAL"/>
              <w:rPr>
                <w:sz w:val="16"/>
                <w:szCs w:val="16"/>
                <w:lang w:eastAsia="zh-CN"/>
              </w:rPr>
            </w:pPr>
            <w:r w:rsidRPr="00FA4CFB">
              <w:rPr>
                <w:sz w:val="16"/>
                <w:szCs w:val="16"/>
                <w:lang w:eastAsia="zh-CN"/>
              </w:rPr>
              <w:t>RP-2228</w:t>
            </w:r>
            <w:r>
              <w:rPr>
                <w:sz w:val="16"/>
                <w:szCs w:val="16"/>
                <w:lang w:eastAsia="zh-CN"/>
              </w:rPr>
              <w:t>64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6B26019" w14:textId="15FCCD64" w:rsidR="004F5996" w:rsidRDefault="004F5996" w:rsidP="00151F79">
            <w:pPr>
              <w:pStyle w:val="TAL"/>
              <w:rPr>
                <w:sz w:val="16"/>
                <w:szCs w:val="16"/>
              </w:rPr>
            </w:pPr>
            <w:r>
              <w:rPr>
                <w:sz w:val="16"/>
                <w:szCs w:val="16"/>
              </w:rPr>
              <w:t>0432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41D8835" w14:textId="77777777" w:rsidR="004F5996" w:rsidRDefault="004F5996" w:rsidP="00151F79">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BFF2D06" w14:textId="77777777" w:rsidR="004F5996" w:rsidRDefault="004F5996" w:rsidP="00151F79">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76F1BDE" w14:textId="71BC842D" w:rsidR="004F5996" w:rsidRPr="005D126D" w:rsidRDefault="004F5996" w:rsidP="00151F79">
            <w:pPr>
              <w:spacing w:after="0"/>
              <w:rPr>
                <w:rFonts w:ascii="Arial" w:hAnsi="Arial"/>
                <w:sz w:val="16"/>
              </w:rPr>
            </w:pPr>
            <w:r w:rsidRPr="004F5996">
              <w:rPr>
                <w:rFonts w:ascii="Arial" w:hAnsi="Arial"/>
                <w:sz w:val="16"/>
              </w:rPr>
              <w:t>CR on PUCCH resource determination of multicast HARQ-ACK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C8CE194" w14:textId="77777777" w:rsidR="004F5996" w:rsidRDefault="004F5996" w:rsidP="00151F79">
            <w:pPr>
              <w:pStyle w:val="TAL"/>
              <w:rPr>
                <w:sz w:val="16"/>
                <w:szCs w:val="16"/>
                <w:lang w:eastAsia="zh-CN"/>
              </w:rPr>
            </w:pPr>
            <w:r>
              <w:rPr>
                <w:sz w:val="16"/>
                <w:szCs w:val="16"/>
                <w:lang w:eastAsia="zh-CN"/>
              </w:rPr>
              <w:t>17.4.0</w:t>
            </w:r>
          </w:p>
        </w:tc>
      </w:tr>
      <w:tr w:rsidR="00111DC2" w:rsidRPr="00B916EC" w14:paraId="0FC7FEF9" w14:textId="77777777" w:rsidTr="00151F79">
        <w:tc>
          <w:tcPr>
            <w:tcW w:w="894" w:type="dxa"/>
            <w:tcBorders>
              <w:top w:val="single" w:sz="6" w:space="0" w:color="auto"/>
              <w:left w:val="single" w:sz="6" w:space="0" w:color="auto"/>
              <w:bottom w:val="single" w:sz="6" w:space="0" w:color="auto"/>
              <w:right w:val="single" w:sz="6" w:space="0" w:color="auto"/>
            </w:tcBorders>
            <w:shd w:val="solid" w:color="FFFFFF" w:fill="auto"/>
          </w:tcPr>
          <w:p w14:paraId="7924BFC5" w14:textId="77777777" w:rsidR="00111DC2" w:rsidRPr="00B916EC" w:rsidRDefault="00111DC2" w:rsidP="00151F79">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1DDED58" w14:textId="77777777" w:rsidR="00111DC2" w:rsidRPr="00B916EC" w:rsidRDefault="00111DC2" w:rsidP="00151F79">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9E6F75A" w14:textId="77777777" w:rsidR="00111DC2" w:rsidRDefault="00111DC2" w:rsidP="00151F79">
            <w:pPr>
              <w:pStyle w:val="TAL"/>
              <w:rPr>
                <w:sz w:val="16"/>
                <w:szCs w:val="16"/>
                <w:lang w:eastAsia="zh-CN"/>
              </w:rPr>
            </w:pPr>
            <w:r w:rsidRPr="00FA4CFB">
              <w:rPr>
                <w:sz w:val="16"/>
                <w:szCs w:val="16"/>
                <w:lang w:eastAsia="zh-CN"/>
              </w:rPr>
              <w:t>RP-2228</w:t>
            </w:r>
            <w:r>
              <w:rPr>
                <w:sz w:val="16"/>
                <w:szCs w:val="16"/>
                <w:lang w:eastAsia="zh-CN"/>
              </w:rPr>
              <w:t>64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CABFBE0" w14:textId="4D3991EE" w:rsidR="00111DC2" w:rsidRDefault="00111DC2" w:rsidP="00151F79">
            <w:pPr>
              <w:pStyle w:val="TAL"/>
              <w:rPr>
                <w:sz w:val="16"/>
                <w:szCs w:val="16"/>
              </w:rPr>
            </w:pPr>
            <w:r>
              <w:rPr>
                <w:sz w:val="16"/>
                <w:szCs w:val="16"/>
              </w:rPr>
              <w:t>0433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CEACBD0" w14:textId="77777777" w:rsidR="00111DC2" w:rsidRDefault="00111DC2" w:rsidP="00151F79">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699EC1E" w14:textId="77777777" w:rsidR="00111DC2" w:rsidRDefault="00111DC2" w:rsidP="00151F79">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A03F09F" w14:textId="42CB1FC4" w:rsidR="00111DC2" w:rsidRPr="005D126D" w:rsidRDefault="00111DC2" w:rsidP="00151F79">
            <w:pPr>
              <w:spacing w:after="0"/>
              <w:rPr>
                <w:rFonts w:ascii="Arial" w:hAnsi="Arial"/>
                <w:sz w:val="16"/>
              </w:rPr>
            </w:pPr>
            <w:r w:rsidRPr="00111DC2">
              <w:rPr>
                <w:rFonts w:ascii="Arial" w:hAnsi="Arial"/>
                <w:sz w:val="16"/>
              </w:rPr>
              <w:t>CR on multiplexing HARQ-ACK for DG and SPS multicast and unicast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432E6AA" w14:textId="77777777" w:rsidR="00111DC2" w:rsidRDefault="00111DC2" w:rsidP="00151F79">
            <w:pPr>
              <w:pStyle w:val="TAL"/>
              <w:rPr>
                <w:sz w:val="16"/>
                <w:szCs w:val="16"/>
                <w:lang w:eastAsia="zh-CN"/>
              </w:rPr>
            </w:pPr>
            <w:r>
              <w:rPr>
                <w:sz w:val="16"/>
                <w:szCs w:val="16"/>
                <w:lang w:eastAsia="zh-CN"/>
              </w:rPr>
              <w:t>17.4.0</w:t>
            </w:r>
          </w:p>
        </w:tc>
      </w:tr>
      <w:tr w:rsidR="00111DC2" w:rsidRPr="00B916EC" w14:paraId="6F8C3C3D" w14:textId="77777777" w:rsidTr="00151F79">
        <w:tc>
          <w:tcPr>
            <w:tcW w:w="894" w:type="dxa"/>
            <w:tcBorders>
              <w:top w:val="single" w:sz="6" w:space="0" w:color="auto"/>
              <w:left w:val="single" w:sz="6" w:space="0" w:color="auto"/>
              <w:bottom w:val="single" w:sz="6" w:space="0" w:color="auto"/>
              <w:right w:val="single" w:sz="6" w:space="0" w:color="auto"/>
            </w:tcBorders>
            <w:shd w:val="solid" w:color="FFFFFF" w:fill="auto"/>
          </w:tcPr>
          <w:p w14:paraId="40570F35" w14:textId="77777777" w:rsidR="00111DC2" w:rsidRPr="00B916EC" w:rsidRDefault="00111DC2" w:rsidP="00151F79">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6EF3E77" w14:textId="77777777" w:rsidR="00111DC2" w:rsidRPr="00B916EC" w:rsidRDefault="00111DC2" w:rsidP="00151F79">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33C4FBF" w14:textId="77777777" w:rsidR="00111DC2" w:rsidRDefault="00111DC2" w:rsidP="00151F79">
            <w:pPr>
              <w:pStyle w:val="TAL"/>
              <w:rPr>
                <w:sz w:val="16"/>
                <w:szCs w:val="16"/>
                <w:lang w:eastAsia="zh-CN"/>
              </w:rPr>
            </w:pPr>
            <w:r w:rsidRPr="00FA4CFB">
              <w:rPr>
                <w:sz w:val="16"/>
                <w:szCs w:val="16"/>
                <w:lang w:eastAsia="zh-CN"/>
              </w:rPr>
              <w:t>RP-2228</w:t>
            </w:r>
            <w:r>
              <w:rPr>
                <w:sz w:val="16"/>
                <w:szCs w:val="16"/>
                <w:lang w:eastAsia="zh-CN"/>
              </w:rPr>
              <w:t>64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BCC172C" w14:textId="1C2178EE" w:rsidR="00111DC2" w:rsidRDefault="00111DC2" w:rsidP="00151F79">
            <w:pPr>
              <w:pStyle w:val="TAL"/>
              <w:rPr>
                <w:sz w:val="16"/>
                <w:szCs w:val="16"/>
              </w:rPr>
            </w:pPr>
            <w:r>
              <w:rPr>
                <w:sz w:val="16"/>
                <w:szCs w:val="16"/>
              </w:rPr>
              <w:t>0434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FA1C316" w14:textId="77777777" w:rsidR="00111DC2" w:rsidRDefault="00111DC2" w:rsidP="00151F79">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BC5F424" w14:textId="77777777" w:rsidR="00111DC2" w:rsidRDefault="00111DC2" w:rsidP="00151F79">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433D80E" w14:textId="10975F07" w:rsidR="00111DC2" w:rsidRPr="005D126D" w:rsidRDefault="00111DC2" w:rsidP="00151F79">
            <w:pPr>
              <w:spacing w:after="0"/>
              <w:rPr>
                <w:rFonts w:ascii="Arial" w:hAnsi="Arial"/>
                <w:sz w:val="16"/>
              </w:rPr>
            </w:pPr>
            <w:r w:rsidRPr="00111DC2">
              <w:rPr>
                <w:rFonts w:ascii="Arial" w:hAnsi="Arial"/>
                <w:sz w:val="16"/>
              </w:rPr>
              <w:t>CR on HARQ-ACK codebook generation for RRC disabled HARQ-ACK feedback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3F455CC" w14:textId="77777777" w:rsidR="00111DC2" w:rsidRDefault="00111DC2" w:rsidP="00151F79">
            <w:pPr>
              <w:pStyle w:val="TAL"/>
              <w:rPr>
                <w:sz w:val="16"/>
                <w:szCs w:val="16"/>
                <w:lang w:eastAsia="zh-CN"/>
              </w:rPr>
            </w:pPr>
            <w:r>
              <w:rPr>
                <w:sz w:val="16"/>
                <w:szCs w:val="16"/>
                <w:lang w:eastAsia="zh-CN"/>
              </w:rPr>
              <w:t>17.4.0</w:t>
            </w:r>
          </w:p>
        </w:tc>
      </w:tr>
      <w:tr w:rsidR="00FF764A" w:rsidRPr="00B916EC" w14:paraId="6E8FF332" w14:textId="77777777" w:rsidTr="00151F79">
        <w:tc>
          <w:tcPr>
            <w:tcW w:w="894" w:type="dxa"/>
            <w:tcBorders>
              <w:top w:val="single" w:sz="6" w:space="0" w:color="auto"/>
              <w:left w:val="single" w:sz="6" w:space="0" w:color="auto"/>
              <w:bottom w:val="single" w:sz="6" w:space="0" w:color="auto"/>
              <w:right w:val="single" w:sz="6" w:space="0" w:color="auto"/>
            </w:tcBorders>
            <w:shd w:val="solid" w:color="FFFFFF" w:fill="auto"/>
          </w:tcPr>
          <w:p w14:paraId="138FA435" w14:textId="77777777" w:rsidR="00FF764A" w:rsidRPr="00B916EC" w:rsidRDefault="00FF764A" w:rsidP="00151F79">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89B4C71" w14:textId="77777777" w:rsidR="00FF764A" w:rsidRPr="00B916EC" w:rsidRDefault="00FF764A" w:rsidP="00151F79">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8D02D98" w14:textId="77777777" w:rsidR="00FF764A" w:rsidRDefault="00FF764A" w:rsidP="00151F79">
            <w:pPr>
              <w:pStyle w:val="TAL"/>
              <w:rPr>
                <w:sz w:val="16"/>
                <w:szCs w:val="16"/>
                <w:lang w:eastAsia="zh-CN"/>
              </w:rPr>
            </w:pPr>
            <w:r w:rsidRPr="00FA4CFB">
              <w:rPr>
                <w:sz w:val="16"/>
                <w:szCs w:val="16"/>
                <w:lang w:eastAsia="zh-CN"/>
              </w:rPr>
              <w:t>RP-2228</w:t>
            </w:r>
            <w:r>
              <w:rPr>
                <w:sz w:val="16"/>
                <w:szCs w:val="16"/>
                <w:lang w:eastAsia="zh-CN"/>
              </w:rPr>
              <w:t>64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571EFF1" w14:textId="11E756DC" w:rsidR="00FF764A" w:rsidRDefault="00FF764A" w:rsidP="00151F79">
            <w:pPr>
              <w:pStyle w:val="TAL"/>
              <w:rPr>
                <w:sz w:val="16"/>
                <w:szCs w:val="16"/>
              </w:rPr>
            </w:pPr>
            <w:r>
              <w:rPr>
                <w:sz w:val="16"/>
                <w:szCs w:val="16"/>
              </w:rPr>
              <w:t>0435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F0ED495" w14:textId="77777777" w:rsidR="00FF764A" w:rsidRDefault="00FF764A" w:rsidP="00151F79">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6FE1E7C" w14:textId="77777777" w:rsidR="00FF764A" w:rsidRDefault="00FF764A" w:rsidP="00151F79">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DE46A64" w14:textId="72B3CC87" w:rsidR="00FF764A" w:rsidRPr="005D126D" w:rsidRDefault="00FF764A" w:rsidP="00151F79">
            <w:pPr>
              <w:spacing w:after="0"/>
              <w:rPr>
                <w:rFonts w:ascii="Arial" w:hAnsi="Arial"/>
                <w:sz w:val="16"/>
              </w:rPr>
            </w:pPr>
            <w:r w:rsidRPr="00FF764A">
              <w:rPr>
                <w:rFonts w:ascii="Arial" w:hAnsi="Arial"/>
                <w:sz w:val="16"/>
              </w:rPr>
              <w:t>CR on NACK-only mode 2 multicast feedback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ED25504" w14:textId="77777777" w:rsidR="00FF764A" w:rsidRDefault="00FF764A" w:rsidP="00151F79">
            <w:pPr>
              <w:pStyle w:val="TAL"/>
              <w:rPr>
                <w:sz w:val="16"/>
                <w:szCs w:val="16"/>
                <w:lang w:eastAsia="zh-CN"/>
              </w:rPr>
            </w:pPr>
            <w:r>
              <w:rPr>
                <w:sz w:val="16"/>
                <w:szCs w:val="16"/>
                <w:lang w:eastAsia="zh-CN"/>
              </w:rPr>
              <w:t>17.4.0</w:t>
            </w:r>
          </w:p>
        </w:tc>
      </w:tr>
      <w:tr w:rsidR="00FF764A" w:rsidRPr="00B916EC" w14:paraId="1F65269A" w14:textId="77777777" w:rsidTr="00151F79">
        <w:tc>
          <w:tcPr>
            <w:tcW w:w="894" w:type="dxa"/>
            <w:tcBorders>
              <w:top w:val="single" w:sz="6" w:space="0" w:color="auto"/>
              <w:left w:val="single" w:sz="6" w:space="0" w:color="auto"/>
              <w:bottom w:val="single" w:sz="6" w:space="0" w:color="auto"/>
              <w:right w:val="single" w:sz="6" w:space="0" w:color="auto"/>
            </w:tcBorders>
            <w:shd w:val="solid" w:color="FFFFFF" w:fill="auto"/>
          </w:tcPr>
          <w:p w14:paraId="44F10458" w14:textId="77777777" w:rsidR="00FF764A" w:rsidRPr="00B916EC" w:rsidRDefault="00FF764A" w:rsidP="00151F79">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D40721E" w14:textId="77777777" w:rsidR="00FF764A" w:rsidRPr="00B916EC" w:rsidRDefault="00FF764A" w:rsidP="00151F79">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C66D40B" w14:textId="19CAFC27" w:rsidR="00FF764A" w:rsidRDefault="00FF764A" w:rsidP="00151F79">
            <w:pPr>
              <w:pStyle w:val="TAL"/>
              <w:rPr>
                <w:sz w:val="16"/>
                <w:szCs w:val="16"/>
                <w:lang w:eastAsia="zh-CN"/>
              </w:rPr>
            </w:pPr>
            <w:r w:rsidRPr="00FA4CFB">
              <w:rPr>
                <w:sz w:val="16"/>
                <w:szCs w:val="16"/>
                <w:lang w:eastAsia="zh-CN"/>
              </w:rPr>
              <w:t>RP-2228</w:t>
            </w:r>
            <w:r>
              <w:rPr>
                <w:sz w:val="16"/>
                <w:szCs w:val="16"/>
                <w:lang w:eastAsia="zh-CN"/>
              </w:rPr>
              <w:t>70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FE1A09B" w14:textId="42B5CBEF" w:rsidR="00FF764A" w:rsidRDefault="00FF764A" w:rsidP="00151F79">
            <w:pPr>
              <w:pStyle w:val="TAL"/>
              <w:rPr>
                <w:sz w:val="16"/>
                <w:szCs w:val="16"/>
              </w:rPr>
            </w:pPr>
            <w:r>
              <w:rPr>
                <w:sz w:val="16"/>
                <w:szCs w:val="16"/>
              </w:rPr>
              <w:t>0436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DDB48C1" w14:textId="77777777" w:rsidR="00FF764A" w:rsidRDefault="00FF764A" w:rsidP="00151F79">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082E410" w14:textId="77777777" w:rsidR="00FF764A" w:rsidRDefault="00FF764A" w:rsidP="00151F79">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8740C62" w14:textId="34DD6D35" w:rsidR="00FF764A" w:rsidRPr="005D126D" w:rsidRDefault="00FF764A" w:rsidP="00151F79">
            <w:pPr>
              <w:spacing w:after="0"/>
              <w:rPr>
                <w:rFonts w:ascii="Arial" w:hAnsi="Arial"/>
                <w:sz w:val="16"/>
              </w:rPr>
            </w:pPr>
            <w:r w:rsidRPr="00FF764A">
              <w:rPr>
                <w:rFonts w:ascii="Arial" w:hAnsi="Arial"/>
                <w:sz w:val="16"/>
              </w:rPr>
              <w:t>Correction on SL open loop power control parameters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0BEBE2" w14:textId="77777777" w:rsidR="00FF764A" w:rsidRDefault="00FF764A" w:rsidP="00151F79">
            <w:pPr>
              <w:pStyle w:val="TAL"/>
              <w:rPr>
                <w:sz w:val="16"/>
                <w:szCs w:val="16"/>
                <w:lang w:eastAsia="zh-CN"/>
              </w:rPr>
            </w:pPr>
            <w:r>
              <w:rPr>
                <w:sz w:val="16"/>
                <w:szCs w:val="16"/>
                <w:lang w:eastAsia="zh-CN"/>
              </w:rPr>
              <w:t>17.4.0</w:t>
            </w:r>
          </w:p>
        </w:tc>
      </w:tr>
      <w:tr w:rsidR="007C33DD" w:rsidRPr="00B916EC" w14:paraId="2F832FD5" w14:textId="77777777" w:rsidTr="00151F79">
        <w:tc>
          <w:tcPr>
            <w:tcW w:w="894" w:type="dxa"/>
            <w:tcBorders>
              <w:top w:val="single" w:sz="6" w:space="0" w:color="auto"/>
              <w:left w:val="single" w:sz="6" w:space="0" w:color="auto"/>
              <w:bottom w:val="single" w:sz="6" w:space="0" w:color="auto"/>
              <w:right w:val="single" w:sz="6" w:space="0" w:color="auto"/>
            </w:tcBorders>
            <w:shd w:val="solid" w:color="FFFFFF" w:fill="auto"/>
          </w:tcPr>
          <w:p w14:paraId="6A759393" w14:textId="77777777" w:rsidR="007C33DD" w:rsidRPr="00B916EC" w:rsidRDefault="007C33DD" w:rsidP="00151F79">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22-12</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BAB6EFB" w14:textId="77777777" w:rsidR="007C33DD" w:rsidRPr="00B916EC" w:rsidRDefault="007C33DD" w:rsidP="00151F79">
            <w:pPr>
              <w:pStyle w:val="TAL"/>
              <w:rPr>
                <w:sz w:val="16"/>
                <w:szCs w:val="16"/>
                <w:lang w:eastAsia="zh-CN"/>
              </w:rPr>
            </w:pPr>
            <w:r w:rsidRPr="00B916EC">
              <w:rPr>
                <w:sz w:val="16"/>
                <w:szCs w:val="16"/>
                <w:lang w:eastAsia="zh-CN"/>
              </w:rPr>
              <w:t>RAN#</w:t>
            </w:r>
            <w:r>
              <w:rPr>
                <w:sz w:val="16"/>
                <w:szCs w:val="16"/>
                <w:lang w:eastAsia="zh-CN"/>
              </w:rPr>
              <w:t>98-e</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ACD6156" w14:textId="2A0129A9" w:rsidR="007C33DD" w:rsidRDefault="007C33DD" w:rsidP="00151F79">
            <w:pPr>
              <w:pStyle w:val="TAL"/>
              <w:rPr>
                <w:sz w:val="16"/>
                <w:szCs w:val="16"/>
                <w:lang w:eastAsia="zh-CN"/>
              </w:rPr>
            </w:pPr>
            <w:r w:rsidRPr="00FA4CFB">
              <w:rPr>
                <w:sz w:val="16"/>
                <w:szCs w:val="16"/>
                <w:lang w:eastAsia="zh-CN"/>
              </w:rPr>
              <w:t>RP-2228</w:t>
            </w:r>
            <w:r>
              <w:rPr>
                <w:sz w:val="16"/>
                <w:szCs w:val="16"/>
                <w:lang w:eastAsia="zh-CN"/>
              </w:rPr>
              <w:t>69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41BE506" w14:textId="1726875E" w:rsidR="007C33DD" w:rsidRDefault="007C33DD" w:rsidP="00151F79">
            <w:pPr>
              <w:pStyle w:val="TAL"/>
              <w:rPr>
                <w:sz w:val="16"/>
                <w:szCs w:val="16"/>
              </w:rPr>
            </w:pPr>
            <w:r>
              <w:rPr>
                <w:sz w:val="16"/>
                <w:szCs w:val="16"/>
              </w:rPr>
              <w:t>0438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D2E0DA4" w14:textId="77777777" w:rsidR="007C33DD" w:rsidRDefault="007C33DD" w:rsidP="00151F79">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ACE2D2A" w14:textId="787DC180" w:rsidR="007C33DD" w:rsidRDefault="007C33DD" w:rsidP="00151F79">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2A75CFA" w14:textId="170B97BE" w:rsidR="007C33DD" w:rsidRPr="005D126D" w:rsidRDefault="007C33DD" w:rsidP="00151F79">
            <w:pPr>
              <w:spacing w:after="0"/>
              <w:rPr>
                <w:rFonts w:ascii="Arial" w:hAnsi="Arial"/>
                <w:sz w:val="16"/>
              </w:rPr>
            </w:pPr>
            <w:r w:rsidRPr="007C33DD">
              <w:rPr>
                <w:rFonts w:ascii="Arial" w:hAnsi="Arial"/>
                <w:sz w:val="16"/>
              </w:rPr>
              <w:t>Rel-16 editorial corrections for TS 38.213 (mirrored to Rel-17)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9A6CFEB" w14:textId="77777777" w:rsidR="007C33DD" w:rsidRDefault="007C33DD" w:rsidP="00151F79">
            <w:pPr>
              <w:pStyle w:val="TAL"/>
              <w:rPr>
                <w:sz w:val="16"/>
                <w:szCs w:val="16"/>
                <w:lang w:eastAsia="zh-CN"/>
              </w:rPr>
            </w:pPr>
            <w:r>
              <w:rPr>
                <w:sz w:val="16"/>
                <w:szCs w:val="16"/>
                <w:lang w:eastAsia="zh-CN"/>
              </w:rPr>
              <w:t>17.4.0</w:t>
            </w:r>
          </w:p>
        </w:tc>
      </w:tr>
      <w:tr w:rsidR="00CA409C" w:rsidRPr="00B916EC" w14:paraId="2AC3368B" w14:textId="77777777" w:rsidTr="0006536C">
        <w:tc>
          <w:tcPr>
            <w:tcW w:w="894" w:type="dxa"/>
            <w:tcBorders>
              <w:top w:val="single" w:sz="6" w:space="0" w:color="auto"/>
              <w:left w:val="single" w:sz="6" w:space="0" w:color="auto"/>
              <w:bottom w:val="single" w:sz="6" w:space="0" w:color="auto"/>
              <w:right w:val="single" w:sz="6" w:space="0" w:color="auto"/>
            </w:tcBorders>
            <w:shd w:val="solid" w:color="FFFFFF" w:fill="auto"/>
          </w:tcPr>
          <w:p w14:paraId="6D477087" w14:textId="22D1E11D" w:rsidR="00CA409C" w:rsidRPr="00B916EC" w:rsidRDefault="00CA409C" w:rsidP="0006536C">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8B4E95F" w14:textId="0381C8E6" w:rsidR="00CA409C" w:rsidRPr="00B916EC" w:rsidRDefault="00CA409C" w:rsidP="0006536C">
            <w:pPr>
              <w:pStyle w:val="TAL"/>
              <w:rPr>
                <w:sz w:val="16"/>
                <w:szCs w:val="16"/>
                <w:lang w:eastAsia="zh-CN"/>
              </w:rPr>
            </w:pPr>
            <w:r w:rsidRPr="00B916EC">
              <w:rPr>
                <w:sz w:val="16"/>
                <w:szCs w:val="16"/>
                <w:lang w:eastAsia="zh-CN"/>
              </w:rPr>
              <w:t>RAN#</w:t>
            </w:r>
            <w:r>
              <w:rPr>
                <w:sz w:val="16"/>
                <w:szCs w:val="16"/>
                <w:lang w:eastAsia="zh-CN"/>
              </w:rPr>
              <w:t>99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F69C4F0" w14:textId="1913AC00" w:rsidR="00CA409C" w:rsidRDefault="00CA409C" w:rsidP="0006536C">
            <w:pPr>
              <w:pStyle w:val="TAL"/>
              <w:rPr>
                <w:sz w:val="16"/>
                <w:szCs w:val="16"/>
                <w:lang w:eastAsia="zh-CN"/>
              </w:rPr>
            </w:pPr>
            <w:r w:rsidRPr="00FA4CFB">
              <w:rPr>
                <w:sz w:val="16"/>
                <w:szCs w:val="16"/>
                <w:lang w:eastAsia="zh-CN"/>
              </w:rPr>
              <w:t>RP-2</w:t>
            </w:r>
            <w:r>
              <w:rPr>
                <w:sz w:val="16"/>
                <w:szCs w:val="16"/>
                <w:lang w:eastAsia="zh-CN"/>
              </w:rPr>
              <w:t>30447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7B52CD1" w14:textId="702B765B" w:rsidR="00CA409C" w:rsidRDefault="00CA409C" w:rsidP="0006536C">
            <w:pPr>
              <w:pStyle w:val="TAL"/>
              <w:rPr>
                <w:sz w:val="16"/>
                <w:szCs w:val="16"/>
              </w:rPr>
            </w:pPr>
            <w:r>
              <w:rPr>
                <w:sz w:val="16"/>
                <w:szCs w:val="16"/>
              </w:rPr>
              <w:t>0439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C850AB2" w14:textId="77777777" w:rsidR="00CA409C" w:rsidRDefault="00CA409C" w:rsidP="0006536C">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6F80E0E" w14:textId="6B3292C2" w:rsidR="00CA409C" w:rsidRDefault="00CA409C" w:rsidP="0006536C">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53FFC2F" w14:textId="6FC93952" w:rsidR="00CA409C" w:rsidRPr="005D126D" w:rsidRDefault="00CA409C" w:rsidP="0006536C">
            <w:pPr>
              <w:spacing w:after="0"/>
              <w:rPr>
                <w:rFonts w:ascii="Arial" w:hAnsi="Arial"/>
                <w:sz w:val="16"/>
              </w:rPr>
            </w:pPr>
            <w:r w:rsidRPr="00CA409C">
              <w:rPr>
                <w:rFonts w:ascii="Arial" w:hAnsi="Arial"/>
                <w:sz w:val="16"/>
              </w:rPr>
              <w:t>Corrections on PDCCH Skipping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2BA93C1" w14:textId="620EDE30" w:rsidR="00CA409C" w:rsidRDefault="00CA409C" w:rsidP="0006536C">
            <w:pPr>
              <w:pStyle w:val="TAL"/>
              <w:rPr>
                <w:sz w:val="16"/>
                <w:szCs w:val="16"/>
                <w:lang w:eastAsia="zh-CN"/>
              </w:rPr>
            </w:pPr>
            <w:r>
              <w:rPr>
                <w:sz w:val="16"/>
                <w:szCs w:val="16"/>
                <w:lang w:eastAsia="zh-CN"/>
              </w:rPr>
              <w:t>17.5.0</w:t>
            </w:r>
          </w:p>
        </w:tc>
      </w:tr>
      <w:tr w:rsidR="00EF27A4" w:rsidRPr="00B916EC" w14:paraId="35BAC81D" w14:textId="77777777" w:rsidTr="0006536C">
        <w:tc>
          <w:tcPr>
            <w:tcW w:w="894" w:type="dxa"/>
            <w:tcBorders>
              <w:top w:val="single" w:sz="6" w:space="0" w:color="auto"/>
              <w:left w:val="single" w:sz="6" w:space="0" w:color="auto"/>
              <w:bottom w:val="single" w:sz="6" w:space="0" w:color="auto"/>
              <w:right w:val="single" w:sz="6" w:space="0" w:color="auto"/>
            </w:tcBorders>
            <w:shd w:val="solid" w:color="FFFFFF" w:fill="auto"/>
          </w:tcPr>
          <w:p w14:paraId="65B9D81A" w14:textId="77777777" w:rsidR="00EF27A4" w:rsidRPr="00B916EC" w:rsidRDefault="00EF27A4" w:rsidP="0006536C">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5A454E2" w14:textId="77777777" w:rsidR="00EF27A4" w:rsidRPr="00B916EC" w:rsidRDefault="00EF27A4" w:rsidP="0006536C">
            <w:pPr>
              <w:pStyle w:val="TAL"/>
              <w:rPr>
                <w:sz w:val="16"/>
                <w:szCs w:val="16"/>
                <w:lang w:eastAsia="zh-CN"/>
              </w:rPr>
            </w:pPr>
            <w:r w:rsidRPr="00B916EC">
              <w:rPr>
                <w:sz w:val="16"/>
                <w:szCs w:val="16"/>
                <w:lang w:eastAsia="zh-CN"/>
              </w:rPr>
              <w:t>RAN#</w:t>
            </w:r>
            <w:r>
              <w:rPr>
                <w:sz w:val="16"/>
                <w:szCs w:val="16"/>
                <w:lang w:eastAsia="zh-CN"/>
              </w:rPr>
              <w:t>99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C592A1C" w14:textId="4F40F17B" w:rsidR="00EF27A4" w:rsidRDefault="00EF27A4" w:rsidP="0006536C">
            <w:pPr>
              <w:pStyle w:val="TAL"/>
              <w:rPr>
                <w:sz w:val="16"/>
                <w:szCs w:val="16"/>
                <w:lang w:eastAsia="zh-CN"/>
              </w:rPr>
            </w:pPr>
            <w:r w:rsidRPr="00FA4CFB">
              <w:rPr>
                <w:sz w:val="16"/>
                <w:szCs w:val="16"/>
                <w:lang w:eastAsia="zh-CN"/>
              </w:rPr>
              <w:t>RP-2</w:t>
            </w:r>
            <w:r>
              <w:rPr>
                <w:sz w:val="16"/>
                <w:szCs w:val="16"/>
                <w:lang w:eastAsia="zh-CN"/>
              </w:rPr>
              <w:t>30451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3B13D00" w14:textId="5E692158" w:rsidR="00EF27A4" w:rsidRDefault="00EF27A4" w:rsidP="0006536C">
            <w:pPr>
              <w:pStyle w:val="TAL"/>
              <w:rPr>
                <w:sz w:val="16"/>
                <w:szCs w:val="16"/>
              </w:rPr>
            </w:pPr>
            <w:r>
              <w:rPr>
                <w:sz w:val="16"/>
                <w:szCs w:val="16"/>
              </w:rPr>
              <w:t>0440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17E181E" w14:textId="77777777" w:rsidR="00EF27A4" w:rsidRDefault="00EF27A4" w:rsidP="0006536C">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D701F21" w14:textId="77777777" w:rsidR="00EF27A4" w:rsidRDefault="00EF27A4" w:rsidP="0006536C">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166DB94" w14:textId="25E9521F" w:rsidR="00EF27A4" w:rsidRPr="005D126D" w:rsidRDefault="00EF27A4" w:rsidP="0006536C">
            <w:pPr>
              <w:spacing w:after="0"/>
              <w:rPr>
                <w:rFonts w:ascii="Arial" w:hAnsi="Arial"/>
                <w:sz w:val="16"/>
              </w:rPr>
            </w:pPr>
            <w:r w:rsidRPr="00EF27A4">
              <w:rPr>
                <w:rFonts w:ascii="Arial" w:hAnsi="Arial"/>
                <w:sz w:val="16"/>
              </w:rPr>
              <w:t>CR on HARQ-ACK timing for multicast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028527" w14:textId="77777777" w:rsidR="00EF27A4" w:rsidRDefault="00EF27A4" w:rsidP="0006536C">
            <w:pPr>
              <w:pStyle w:val="TAL"/>
              <w:rPr>
                <w:sz w:val="16"/>
                <w:szCs w:val="16"/>
                <w:lang w:eastAsia="zh-CN"/>
              </w:rPr>
            </w:pPr>
            <w:r>
              <w:rPr>
                <w:sz w:val="16"/>
                <w:szCs w:val="16"/>
                <w:lang w:eastAsia="zh-CN"/>
              </w:rPr>
              <w:t>17.5.0</w:t>
            </w:r>
          </w:p>
        </w:tc>
      </w:tr>
      <w:tr w:rsidR="00742565" w:rsidRPr="00B916EC" w14:paraId="577C38BA" w14:textId="77777777" w:rsidTr="00D0068B">
        <w:tc>
          <w:tcPr>
            <w:tcW w:w="894" w:type="dxa"/>
            <w:tcBorders>
              <w:top w:val="single" w:sz="6" w:space="0" w:color="auto"/>
              <w:left w:val="single" w:sz="6" w:space="0" w:color="auto"/>
              <w:bottom w:val="single" w:sz="6" w:space="0" w:color="auto"/>
              <w:right w:val="single" w:sz="6" w:space="0" w:color="auto"/>
            </w:tcBorders>
            <w:shd w:val="solid" w:color="FFFFFF" w:fill="auto"/>
          </w:tcPr>
          <w:p w14:paraId="57CB5088" w14:textId="77777777" w:rsidR="00742565" w:rsidRPr="00B916EC" w:rsidRDefault="00742565" w:rsidP="00D0068B">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DDD4C12" w14:textId="77777777" w:rsidR="00742565" w:rsidRPr="00B916EC" w:rsidRDefault="00742565" w:rsidP="00D0068B">
            <w:pPr>
              <w:pStyle w:val="TAL"/>
              <w:rPr>
                <w:sz w:val="16"/>
                <w:szCs w:val="16"/>
                <w:lang w:eastAsia="zh-CN"/>
              </w:rPr>
            </w:pPr>
            <w:r w:rsidRPr="00B916EC">
              <w:rPr>
                <w:sz w:val="16"/>
                <w:szCs w:val="16"/>
                <w:lang w:eastAsia="zh-CN"/>
              </w:rPr>
              <w:t>RAN#</w:t>
            </w:r>
            <w:r>
              <w:rPr>
                <w:sz w:val="16"/>
                <w:szCs w:val="16"/>
                <w:lang w:eastAsia="zh-CN"/>
              </w:rPr>
              <w:t>99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DBC2023" w14:textId="77777777" w:rsidR="00742565" w:rsidRDefault="00742565" w:rsidP="00D0068B">
            <w:pPr>
              <w:pStyle w:val="TAL"/>
              <w:rPr>
                <w:sz w:val="16"/>
                <w:szCs w:val="16"/>
                <w:lang w:eastAsia="zh-CN"/>
              </w:rPr>
            </w:pPr>
            <w:r w:rsidRPr="00FA4CFB">
              <w:rPr>
                <w:sz w:val="16"/>
                <w:szCs w:val="16"/>
                <w:lang w:eastAsia="zh-CN"/>
              </w:rPr>
              <w:t>RP-2</w:t>
            </w:r>
            <w:r>
              <w:rPr>
                <w:sz w:val="16"/>
                <w:szCs w:val="16"/>
                <w:lang w:eastAsia="zh-CN"/>
              </w:rPr>
              <w:t>30451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529B123" w14:textId="49E0B173" w:rsidR="00742565" w:rsidRDefault="00742565" w:rsidP="00D0068B">
            <w:pPr>
              <w:pStyle w:val="TAL"/>
              <w:rPr>
                <w:sz w:val="16"/>
                <w:szCs w:val="16"/>
              </w:rPr>
            </w:pPr>
            <w:r>
              <w:rPr>
                <w:sz w:val="16"/>
                <w:szCs w:val="16"/>
              </w:rPr>
              <w:t>0441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B7D5E10" w14:textId="77777777" w:rsidR="00742565" w:rsidRDefault="00742565" w:rsidP="00D0068B">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38E5731" w14:textId="77777777" w:rsidR="00742565" w:rsidRDefault="00742565" w:rsidP="00D0068B">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6B3C24D" w14:textId="3F2397D9" w:rsidR="00742565" w:rsidRPr="005D126D" w:rsidRDefault="00742565" w:rsidP="00D0068B">
            <w:pPr>
              <w:spacing w:after="0"/>
              <w:rPr>
                <w:rFonts w:ascii="Arial" w:hAnsi="Arial"/>
                <w:sz w:val="16"/>
              </w:rPr>
            </w:pPr>
            <w:r w:rsidRPr="00742565">
              <w:rPr>
                <w:rFonts w:ascii="Arial" w:hAnsi="Arial"/>
                <w:sz w:val="16"/>
              </w:rPr>
              <w:t>CR on multiplexing Type-2 HARQ-ACK codebook in a PUSCH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931D31A" w14:textId="77777777" w:rsidR="00742565" w:rsidRDefault="00742565" w:rsidP="00D0068B">
            <w:pPr>
              <w:pStyle w:val="TAL"/>
              <w:rPr>
                <w:sz w:val="16"/>
                <w:szCs w:val="16"/>
                <w:lang w:eastAsia="zh-CN"/>
              </w:rPr>
            </w:pPr>
            <w:r>
              <w:rPr>
                <w:sz w:val="16"/>
                <w:szCs w:val="16"/>
                <w:lang w:eastAsia="zh-CN"/>
              </w:rPr>
              <w:t>17.5.0</w:t>
            </w:r>
          </w:p>
        </w:tc>
      </w:tr>
      <w:tr w:rsidR="00C82371" w:rsidRPr="00B916EC" w14:paraId="3697B091" w14:textId="77777777" w:rsidTr="00D0068B">
        <w:tc>
          <w:tcPr>
            <w:tcW w:w="894" w:type="dxa"/>
            <w:tcBorders>
              <w:top w:val="single" w:sz="6" w:space="0" w:color="auto"/>
              <w:left w:val="single" w:sz="6" w:space="0" w:color="auto"/>
              <w:bottom w:val="single" w:sz="6" w:space="0" w:color="auto"/>
              <w:right w:val="single" w:sz="6" w:space="0" w:color="auto"/>
            </w:tcBorders>
            <w:shd w:val="solid" w:color="FFFFFF" w:fill="auto"/>
          </w:tcPr>
          <w:p w14:paraId="119564C1" w14:textId="77777777" w:rsidR="00C82371" w:rsidRPr="00B916EC" w:rsidRDefault="00C82371" w:rsidP="00D0068B">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B46F8B0" w14:textId="77777777" w:rsidR="00C82371" w:rsidRPr="00B916EC" w:rsidRDefault="00C82371" w:rsidP="00D0068B">
            <w:pPr>
              <w:pStyle w:val="TAL"/>
              <w:rPr>
                <w:sz w:val="16"/>
                <w:szCs w:val="16"/>
                <w:lang w:eastAsia="zh-CN"/>
              </w:rPr>
            </w:pPr>
            <w:r w:rsidRPr="00B916EC">
              <w:rPr>
                <w:sz w:val="16"/>
                <w:szCs w:val="16"/>
                <w:lang w:eastAsia="zh-CN"/>
              </w:rPr>
              <w:t>RAN#</w:t>
            </w:r>
            <w:r>
              <w:rPr>
                <w:sz w:val="16"/>
                <w:szCs w:val="16"/>
                <w:lang w:eastAsia="zh-CN"/>
              </w:rPr>
              <w:t>99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CBF30BB" w14:textId="5A96A8A0" w:rsidR="00C82371" w:rsidRDefault="00C82371" w:rsidP="00D0068B">
            <w:pPr>
              <w:pStyle w:val="TAL"/>
              <w:rPr>
                <w:sz w:val="16"/>
                <w:szCs w:val="16"/>
                <w:lang w:eastAsia="zh-CN"/>
              </w:rPr>
            </w:pPr>
            <w:r w:rsidRPr="00FA4CFB">
              <w:rPr>
                <w:sz w:val="16"/>
                <w:szCs w:val="16"/>
                <w:lang w:eastAsia="zh-CN"/>
              </w:rPr>
              <w:t>RP-2</w:t>
            </w:r>
            <w:r>
              <w:rPr>
                <w:sz w:val="16"/>
                <w:szCs w:val="16"/>
                <w:lang w:eastAsia="zh-CN"/>
              </w:rPr>
              <w:t>30443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DBD6A00" w14:textId="3BEEDBD6" w:rsidR="00C82371" w:rsidRDefault="00C82371" w:rsidP="00D0068B">
            <w:pPr>
              <w:pStyle w:val="TAL"/>
              <w:rPr>
                <w:sz w:val="16"/>
                <w:szCs w:val="16"/>
              </w:rPr>
            </w:pPr>
            <w:r>
              <w:rPr>
                <w:sz w:val="16"/>
                <w:szCs w:val="16"/>
              </w:rPr>
              <w:t>0442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6984356" w14:textId="77777777" w:rsidR="00C82371" w:rsidRDefault="00C82371" w:rsidP="00D0068B">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A5C2312" w14:textId="77777777" w:rsidR="00C82371" w:rsidRDefault="00C82371" w:rsidP="00D0068B">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BBA2170" w14:textId="63A2EFD6" w:rsidR="00C82371" w:rsidRPr="005D126D" w:rsidRDefault="00C82371" w:rsidP="00D0068B">
            <w:pPr>
              <w:spacing w:after="0"/>
              <w:rPr>
                <w:rFonts w:ascii="Arial" w:hAnsi="Arial"/>
                <w:sz w:val="16"/>
              </w:rPr>
            </w:pPr>
            <w:r w:rsidRPr="00C82371">
              <w:rPr>
                <w:rFonts w:ascii="Arial" w:hAnsi="Arial"/>
                <w:sz w:val="16"/>
              </w:rPr>
              <w:t>Miscellaneous corrections on Rel-17 URLLC / IIoT in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EA18C7F" w14:textId="77777777" w:rsidR="00C82371" w:rsidRDefault="00C82371" w:rsidP="00D0068B">
            <w:pPr>
              <w:pStyle w:val="TAL"/>
              <w:rPr>
                <w:sz w:val="16"/>
                <w:szCs w:val="16"/>
                <w:lang w:eastAsia="zh-CN"/>
              </w:rPr>
            </w:pPr>
            <w:r>
              <w:rPr>
                <w:sz w:val="16"/>
                <w:szCs w:val="16"/>
                <w:lang w:eastAsia="zh-CN"/>
              </w:rPr>
              <w:t>17.5.0</w:t>
            </w:r>
          </w:p>
        </w:tc>
      </w:tr>
      <w:tr w:rsidR="00447DE3" w:rsidRPr="00B916EC" w14:paraId="507D98FC" w14:textId="77777777" w:rsidTr="00D0068B">
        <w:tc>
          <w:tcPr>
            <w:tcW w:w="894" w:type="dxa"/>
            <w:tcBorders>
              <w:top w:val="single" w:sz="6" w:space="0" w:color="auto"/>
              <w:left w:val="single" w:sz="6" w:space="0" w:color="auto"/>
              <w:bottom w:val="single" w:sz="6" w:space="0" w:color="auto"/>
              <w:right w:val="single" w:sz="6" w:space="0" w:color="auto"/>
            </w:tcBorders>
            <w:shd w:val="solid" w:color="FFFFFF" w:fill="auto"/>
          </w:tcPr>
          <w:p w14:paraId="14212722" w14:textId="77777777" w:rsidR="00447DE3" w:rsidRPr="00B916EC" w:rsidRDefault="00447DE3" w:rsidP="00D0068B">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6E6F63A" w14:textId="77777777" w:rsidR="00447DE3" w:rsidRPr="00B916EC" w:rsidRDefault="00447DE3" w:rsidP="00D0068B">
            <w:pPr>
              <w:pStyle w:val="TAL"/>
              <w:rPr>
                <w:sz w:val="16"/>
                <w:szCs w:val="16"/>
                <w:lang w:eastAsia="zh-CN"/>
              </w:rPr>
            </w:pPr>
            <w:r w:rsidRPr="00B916EC">
              <w:rPr>
                <w:sz w:val="16"/>
                <w:szCs w:val="16"/>
                <w:lang w:eastAsia="zh-CN"/>
              </w:rPr>
              <w:t>RAN#</w:t>
            </w:r>
            <w:r>
              <w:rPr>
                <w:sz w:val="16"/>
                <w:szCs w:val="16"/>
                <w:lang w:eastAsia="zh-CN"/>
              </w:rPr>
              <w:t>99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580F5B8" w14:textId="5FCD2E49" w:rsidR="00447DE3" w:rsidRDefault="00447DE3" w:rsidP="00D0068B">
            <w:pPr>
              <w:pStyle w:val="TAL"/>
              <w:rPr>
                <w:sz w:val="16"/>
                <w:szCs w:val="16"/>
                <w:lang w:eastAsia="zh-CN"/>
              </w:rPr>
            </w:pPr>
            <w:r w:rsidRPr="00FA4CFB">
              <w:rPr>
                <w:sz w:val="16"/>
                <w:szCs w:val="16"/>
                <w:lang w:eastAsia="zh-CN"/>
              </w:rPr>
              <w:t>RP-2</w:t>
            </w:r>
            <w:r>
              <w:rPr>
                <w:sz w:val="16"/>
                <w:szCs w:val="16"/>
                <w:lang w:eastAsia="zh-CN"/>
              </w:rPr>
              <w:t>30445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F5F8E33" w14:textId="1EA25091" w:rsidR="00447DE3" w:rsidRDefault="00447DE3" w:rsidP="00D0068B">
            <w:pPr>
              <w:pStyle w:val="TAL"/>
              <w:rPr>
                <w:sz w:val="16"/>
                <w:szCs w:val="16"/>
              </w:rPr>
            </w:pPr>
            <w:r>
              <w:rPr>
                <w:sz w:val="16"/>
                <w:szCs w:val="16"/>
              </w:rPr>
              <w:t>0444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FDF2C32" w14:textId="77777777" w:rsidR="00447DE3" w:rsidRDefault="00447DE3" w:rsidP="00D0068B">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FAF42C4" w14:textId="085992F3" w:rsidR="00447DE3" w:rsidRDefault="00447DE3" w:rsidP="00D0068B">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1A159C8" w14:textId="23495367" w:rsidR="00447DE3" w:rsidRPr="005D126D" w:rsidRDefault="00447DE3" w:rsidP="00D0068B">
            <w:pPr>
              <w:spacing w:after="0"/>
              <w:rPr>
                <w:rFonts w:ascii="Arial" w:hAnsi="Arial"/>
                <w:sz w:val="16"/>
              </w:rPr>
            </w:pPr>
            <w:r w:rsidRPr="00447DE3">
              <w:rPr>
                <w:rFonts w:ascii="Arial" w:hAnsi="Arial"/>
                <w:sz w:val="16"/>
              </w:rPr>
              <w:t>CR on positioning SRS power control in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5FE1BCF" w14:textId="77777777" w:rsidR="00447DE3" w:rsidRDefault="00447DE3" w:rsidP="00D0068B">
            <w:pPr>
              <w:pStyle w:val="TAL"/>
              <w:rPr>
                <w:sz w:val="16"/>
                <w:szCs w:val="16"/>
                <w:lang w:eastAsia="zh-CN"/>
              </w:rPr>
            </w:pPr>
            <w:r>
              <w:rPr>
                <w:sz w:val="16"/>
                <w:szCs w:val="16"/>
                <w:lang w:eastAsia="zh-CN"/>
              </w:rPr>
              <w:t>17.5.0</w:t>
            </w:r>
          </w:p>
        </w:tc>
      </w:tr>
      <w:tr w:rsidR="00447DE3" w:rsidRPr="00B916EC" w14:paraId="1C6DB2CF" w14:textId="77777777" w:rsidTr="00D0068B">
        <w:tc>
          <w:tcPr>
            <w:tcW w:w="894" w:type="dxa"/>
            <w:tcBorders>
              <w:top w:val="single" w:sz="6" w:space="0" w:color="auto"/>
              <w:left w:val="single" w:sz="6" w:space="0" w:color="auto"/>
              <w:bottom w:val="single" w:sz="6" w:space="0" w:color="auto"/>
              <w:right w:val="single" w:sz="6" w:space="0" w:color="auto"/>
            </w:tcBorders>
            <w:shd w:val="solid" w:color="FFFFFF" w:fill="auto"/>
          </w:tcPr>
          <w:p w14:paraId="5F01906C" w14:textId="77777777" w:rsidR="00447DE3" w:rsidRPr="00B916EC" w:rsidRDefault="00447DE3" w:rsidP="00D0068B">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A0E79BE" w14:textId="77777777" w:rsidR="00447DE3" w:rsidRPr="00B916EC" w:rsidRDefault="00447DE3" w:rsidP="00D0068B">
            <w:pPr>
              <w:pStyle w:val="TAL"/>
              <w:rPr>
                <w:sz w:val="16"/>
                <w:szCs w:val="16"/>
                <w:lang w:eastAsia="zh-CN"/>
              </w:rPr>
            </w:pPr>
            <w:r w:rsidRPr="00B916EC">
              <w:rPr>
                <w:sz w:val="16"/>
                <w:szCs w:val="16"/>
                <w:lang w:eastAsia="zh-CN"/>
              </w:rPr>
              <w:t>RAN#</w:t>
            </w:r>
            <w:r>
              <w:rPr>
                <w:sz w:val="16"/>
                <w:szCs w:val="16"/>
                <w:lang w:eastAsia="zh-CN"/>
              </w:rPr>
              <w:t>99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861472F" w14:textId="6A6D757A" w:rsidR="00447DE3" w:rsidRDefault="00447DE3" w:rsidP="00D0068B">
            <w:pPr>
              <w:pStyle w:val="TAL"/>
              <w:rPr>
                <w:sz w:val="16"/>
                <w:szCs w:val="16"/>
                <w:lang w:eastAsia="zh-CN"/>
              </w:rPr>
            </w:pPr>
            <w:r w:rsidRPr="00FA4CFB">
              <w:rPr>
                <w:sz w:val="16"/>
                <w:szCs w:val="16"/>
                <w:lang w:eastAsia="zh-CN"/>
              </w:rPr>
              <w:t>RP-2</w:t>
            </w:r>
            <w:r>
              <w:rPr>
                <w:sz w:val="16"/>
                <w:szCs w:val="16"/>
                <w:lang w:eastAsia="zh-CN"/>
              </w:rPr>
              <w:t>30441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6F4DC1F" w14:textId="268839A4" w:rsidR="00447DE3" w:rsidRDefault="00447DE3" w:rsidP="00D0068B">
            <w:pPr>
              <w:pStyle w:val="TAL"/>
              <w:rPr>
                <w:sz w:val="16"/>
                <w:szCs w:val="16"/>
              </w:rPr>
            </w:pPr>
            <w:r>
              <w:rPr>
                <w:sz w:val="16"/>
                <w:szCs w:val="16"/>
              </w:rPr>
              <w:t>0445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AAD6974" w14:textId="77777777" w:rsidR="00447DE3" w:rsidRDefault="00447DE3" w:rsidP="00D0068B">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9B358F7" w14:textId="24D279C1" w:rsidR="00447DE3" w:rsidRDefault="00954B49" w:rsidP="00D0068B">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068BCB1" w14:textId="74A0A1DE" w:rsidR="00447DE3" w:rsidRPr="005D126D" w:rsidRDefault="00954B49" w:rsidP="00D0068B">
            <w:pPr>
              <w:spacing w:after="0"/>
              <w:rPr>
                <w:rFonts w:ascii="Arial" w:hAnsi="Arial"/>
                <w:sz w:val="16"/>
              </w:rPr>
            </w:pPr>
            <w:r w:rsidRPr="00954B49">
              <w:rPr>
                <w:rFonts w:ascii="Arial" w:hAnsi="Arial"/>
                <w:sz w:val="16"/>
              </w:rPr>
              <w:t>CR on PHR for mTRP PUSCH repetitions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D1BBEA6" w14:textId="77777777" w:rsidR="00447DE3" w:rsidRDefault="00447DE3" w:rsidP="00D0068B">
            <w:pPr>
              <w:pStyle w:val="TAL"/>
              <w:rPr>
                <w:sz w:val="16"/>
                <w:szCs w:val="16"/>
                <w:lang w:eastAsia="zh-CN"/>
              </w:rPr>
            </w:pPr>
            <w:r>
              <w:rPr>
                <w:sz w:val="16"/>
                <w:szCs w:val="16"/>
                <w:lang w:eastAsia="zh-CN"/>
              </w:rPr>
              <w:t>17.5.0</w:t>
            </w:r>
          </w:p>
        </w:tc>
      </w:tr>
      <w:tr w:rsidR="0006598A" w:rsidRPr="00B916EC" w14:paraId="7CA248A8" w14:textId="77777777" w:rsidTr="00D0068B">
        <w:tc>
          <w:tcPr>
            <w:tcW w:w="894" w:type="dxa"/>
            <w:tcBorders>
              <w:top w:val="single" w:sz="6" w:space="0" w:color="auto"/>
              <w:left w:val="single" w:sz="6" w:space="0" w:color="auto"/>
              <w:bottom w:val="single" w:sz="6" w:space="0" w:color="auto"/>
              <w:right w:val="single" w:sz="6" w:space="0" w:color="auto"/>
            </w:tcBorders>
            <w:shd w:val="solid" w:color="FFFFFF" w:fill="auto"/>
          </w:tcPr>
          <w:p w14:paraId="1F755A57" w14:textId="77777777" w:rsidR="0006598A" w:rsidRPr="00B916EC" w:rsidRDefault="0006598A" w:rsidP="00D0068B">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4178ABA" w14:textId="77777777" w:rsidR="0006598A" w:rsidRPr="00B916EC" w:rsidRDefault="0006598A" w:rsidP="00D0068B">
            <w:pPr>
              <w:pStyle w:val="TAL"/>
              <w:rPr>
                <w:sz w:val="16"/>
                <w:szCs w:val="16"/>
                <w:lang w:eastAsia="zh-CN"/>
              </w:rPr>
            </w:pPr>
            <w:r w:rsidRPr="00B916EC">
              <w:rPr>
                <w:sz w:val="16"/>
                <w:szCs w:val="16"/>
                <w:lang w:eastAsia="zh-CN"/>
              </w:rPr>
              <w:t>RAN#</w:t>
            </w:r>
            <w:r>
              <w:rPr>
                <w:sz w:val="16"/>
                <w:szCs w:val="16"/>
                <w:lang w:eastAsia="zh-CN"/>
              </w:rPr>
              <w:t>99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631FA94" w14:textId="312DC84B" w:rsidR="0006598A" w:rsidRDefault="0006598A" w:rsidP="00D0068B">
            <w:pPr>
              <w:pStyle w:val="TAL"/>
              <w:rPr>
                <w:sz w:val="16"/>
                <w:szCs w:val="16"/>
                <w:lang w:eastAsia="zh-CN"/>
              </w:rPr>
            </w:pPr>
            <w:r w:rsidRPr="00FA4CFB">
              <w:rPr>
                <w:sz w:val="16"/>
                <w:szCs w:val="16"/>
                <w:lang w:eastAsia="zh-CN"/>
              </w:rPr>
              <w:t>RP-2</w:t>
            </w:r>
            <w:r>
              <w:rPr>
                <w:sz w:val="16"/>
                <w:szCs w:val="16"/>
                <w:lang w:eastAsia="zh-CN"/>
              </w:rPr>
              <w:t>30451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666E718" w14:textId="0A20A637" w:rsidR="0006598A" w:rsidRDefault="0006598A" w:rsidP="00D0068B">
            <w:pPr>
              <w:pStyle w:val="TAL"/>
              <w:rPr>
                <w:sz w:val="16"/>
                <w:szCs w:val="16"/>
              </w:rPr>
            </w:pPr>
            <w:r>
              <w:rPr>
                <w:sz w:val="16"/>
                <w:szCs w:val="16"/>
              </w:rPr>
              <w:t>0446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4BC49B4" w14:textId="77777777" w:rsidR="0006598A" w:rsidRDefault="0006598A" w:rsidP="00D0068B">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6644AE5" w14:textId="77777777" w:rsidR="0006598A" w:rsidRDefault="0006598A" w:rsidP="00D0068B">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099F820" w14:textId="1695B0A0" w:rsidR="0006598A" w:rsidRPr="005D126D" w:rsidRDefault="0006598A" w:rsidP="00D0068B">
            <w:pPr>
              <w:spacing w:after="0"/>
              <w:rPr>
                <w:rFonts w:ascii="Arial" w:hAnsi="Arial"/>
                <w:sz w:val="16"/>
              </w:rPr>
            </w:pPr>
            <w:r w:rsidRPr="0006598A">
              <w:rPr>
                <w:rFonts w:ascii="Arial" w:hAnsi="Arial"/>
                <w:sz w:val="16"/>
              </w:rPr>
              <w:t>CR on broadcast PDCCH monitoring in active DL BWP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DD0C1A8" w14:textId="77777777" w:rsidR="0006598A" w:rsidRDefault="0006598A" w:rsidP="00D0068B">
            <w:pPr>
              <w:pStyle w:val="TAL"/>
              <w:rPr>
                <w:sz w:val="16"/>
                <w:szCs w:val="16"/>
                <w:lang w:eastAsia="zh-CN"/>
              </w:rPr>
            </w:pPr>
            <w:r>
              <w:rPr>
                <w:sz w:val="16"/>
                <w:szCs w:val="16"/>
                <w:lang w:eastAsia="zh-CN"/>
              </w:rPr>
              <w:t>17.5.0</w:t>
            </w:r>
          </w:p>
        </w:tc>
      </w:tr>
      <w:tr w:rsidR="0006598A" w:rsidRPr="00B916EC" w14:paraId="1618C9FB" w14:textId="77777777" w:rsidTr="00D0068B">
        <w:tc>
          <w:tcPr>
            <w:tcW w:w="894" w:type="dxa"/>
            <w:tcBorders>
              <w:top w:val="single" w:sz="6" w:space="0" w:color="auto"/>
              <w:left w:val="single" w:sz="6" w:space="0" w:color="auto"/>
              <w:bottom w:val="single" w:sz="6" w:space="0" w:color="auto"/>
              <w:right w:val="single" w:sz="6" w:space="0" w:color="auto"/>
            </w:tcBorders>
            <w:shd w:val="solid" w:color="FFFFFF" w:fill="auto"/>
          </w:tcPr>
          <w:p w14:paraId="747D3398" w14:textId="77777777" w:rsidR="0006598A" w:rsidRPr="00B916EC" w:rsidRDefault="0006598A" w:rsidP="00D0068B">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231540B" w14:textId="77777777" w:rsidR="0006598A" w:rsidRPr="00B916EC" w:rsidRDefault="0006598A" w:rsidP="00D0068B">
            <w:pPr>
              <w:pStyle w:val="TAL"/>
              <w:rPr>
                <w:sz w:val="16"/>
                <w:szCs w:val="16"/>
                <w:lang w:eastAsia="zh-CN"/>
              </w:rPr>
            </w:pPr>
            <w:r w:rsidRPr="00B916EC">
              <w:rPr>
                <w:sz w:val="16"/>
                <w:szCs w:val="16"/>
                <w:lang w:eastAsia="zh-CN"/>
              </w:rPr>
              <w:t>RAN#</w:t>
            </w:r>
            <w:r>
              <w:rPr>
                <w:sz w:val="16"/>
                <w:szCs w:val="16"/>
                <w:lang w:eastAsia="zh-CN"/>
              </w:rPr>
              <w:t>99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971ED5B" w14:textId="7D863DAC" w:rsidR="0006598A" w:rsidRDefault="0006598A" w:rsidP="00D0068B">
            <w:pPr>
              <w:pStyle w:val="TAL"/>
              <w:rPr>
                <w:sz w:val="16"/>
                <w:szCs w:val="16"/>
                <w:lang w:eastAsia="zh-CN"/>
              </w:rPr>
            </w:pPr>
            <w:r w:rsidRPr="00FA4CFB">
              <w:rPr>
                <w:sz w:val="16"/>
                <w:szCs w:val="16"/>
                <w:lang w:eastAsia="zh-CN"/>
              </w:rPr>
              <w:t>RP-2</w:t>
            </w:r>
            <w:r>
              <w:rPr>
                <w:sz w:val="16"/>
                <w:szCs w:val="16"/>
                <w:lang w:eastAsia="zh-CN"/>
              </w:rPr>
              <w:t>30452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2ABA136" w14:textId="2DA9F9B6" w:rsidR="0006598A" w:rsidRDefault="0006598A" w:rsidP="00D0068B">
            <w:pPr>
              <w:pStyle w:val="TAL"/>
              <w:rPr>
                <w:sz w:val="16"/>
                <w:szCs w:val="16"/>
              </w:rPr>
            </w:pPr>
            <w:r>
              <w:rPr>
                <w:sz w:val="16"/>
                <w:szCs w:val="16"/>
              </w:rPr>
              <w:t>0447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D548DB3" w14:textId="77777777" w:rsidR="0006598A" w:rsidRDefault="0006598A" w:rsidP="00D0068B">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FCCFA3F" w14:textId="77777777" w:rsidR="0006598A" w:rsidRDefault="0006598A" w:rsidP="00D0068B">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5A92438" w14:textId="42BFF06D" w:rsidR="0006598A" w:rsidRPr="005D126D" w:rsidRDefault="0006598A" w:rsidP="00D0068B">
            <w:pPr>
              <w:spacing w:after="0"/>
              <w:rPr>
                <w:rFonts w:ascii="Arial" w:hAnsi="Arial"/>
                <w:sz w:val="16"/>
              </w:rPr>
            </w:pPr>
            <w:r w:rsidRPr="0006598A">
              <w:rPr>
                <w:rFonts w:ascii="Arial" w:hAnsi="Arial"/>
                <w:sz w:val="16"/>
              </w:rPr>
              <w:t>Correction on repetition for CG-SDT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4DF504F" w14:textId="77777777" w:rsidR="0006598A" w:rsidRDefault="0006598A" w:rsidP="00D0068B">
            <w:pPr>
              <w:pStyle w:val="TAL"/>
              <w:rPr>
                <w:sz w:val="16"/>
                <w:szCs w:val="16"/>
                <w:lang w:eastAsia="zh-CN"/>
              </w:rPr>
            </w:pPr>
            <w:r>
              <w:rPr>
                <w:sz w:val="16"/>
                <w:szCs w:val="16"/>
                <w:lang w:eastAsia="zh-CN"/>
              </w:rPr>
              <w:t>17.5.0</w:t>
            </w:r>
          </w:p>
        </w:tc>
      </w:tr>
      <w:tr w:rsidR="0006598A" w:rsidRPr="00B916EC" w14:paraId="56A1A742" w14:textId="77777777" w:rsidTr="00D0068B">
        <w:tc>
          <w:tcPr>
            <w:tcW w:w="894" w:type="dxa"/>
            <w:tcBorders>
              <w:top w:val="single" w:sz="6" w:space="0" w:color="auto"/>
              <w:left w:val="single" w:sz="6" w:space="0" w:color="auto"/>
              <w:bottom w:val="single" w:sz="6" w:space="0" w:color="auto"/>
              <w:right w:val="single" w:sz="6" w:space="0" w:color="auto"/>
            </w:tcBorders>
            <w:shd w:val="solid" w:color="FFFFFF" w:fill="auto"/>
          </w:tcPr>
          <w:p w14:paraId="58E81EDC" w14:textId="77777777" w:rsidR="0006598A" w:rsidRPr="00B916EC" w:rsidRDefault="0006598A" w:rsidP="00D0068B">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BF4D32F" w14:textId="77777777" w:rsidR="0006598A" w:rsidRPr="00B916EC" w:rsidRDefault="0006598A" w:rsidP="00D0068B">
            <w:pPr>
              <w:pStyle w:val="TAL"/>
              <w:rPr>
                <w:sz w:val="16"/>
                <w:szCs w:val="16"/>
                <w:lang w:eastAsia="zh-CN"/>
              </w:rPr>
            </w:pPr>
            <w:r w:rsidRPr="00B916EC">
              <w:rPr>
                <w:sz w:val="16"/>
                <w:szCs w:val="16"/>
                <w:lang w:eastAsia="zh-CN"/>
              </w:rPr>
              <w:t>RAN#</w:t>
            </w:r>
            <w:r>
              <w:rPr>
                <w:sz w:val="16"/>
                <w:szCs w:val="16"/>
                <w:lang w:eastAsia="zh-CN"/>
              </w:rPr>
              <w:t>99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A56962D" w14:textId="2D72EA1C" w:rsidR="0006598A" w:rsidRDefault="0006598A" w:rsidP="00D0068B">
            <w:pPr>
              <w:pStyle w:val="TAL"/>
              <w:rPr>
                <w:sz w:val="16"/>
                <w:szCs w:val="16"/>
                <w:lang w:eastAsia="zh-CN"/>
              </w:rPr>
            </w:pPr>
            <w:r w:rsidRPr="00FA4CFB">
              <w:rPr>
                <w:sz w:val="16"/>
                <w:szCs w:val="16"/>
                <w:lang w:eastAsia="zh-CN"/>
              </w:rPr>
              <w:t>RP-2</w:t>
            </w:r>
            <w:r>
              <w:rPr>
                <w:sz w:val="16"/>
                <w:szCs w:val="16"/>
                <w:lang w:eastAsia="zh-CN"/>
              </w:rPr>
              <w:t>30442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6CC2FF6" w14:textId="5342AC4F" w:rsidR="0006598A" w:rsidRDefault="0006598A" w:rsidP="00D0068B">
            <w:pPr>
              <w:pStyle w:val="TAL"/>
              <w:rPr>
                <w:sz w:val="16"/>
                <w:szCs w:val="16"/>
              </w:rPr>
            </w:pPr>
            <w:r>
              <w:rPr>
                <w:sz w:val="16"/>
                <w:szCs w:val="16"/>
              </w:rPr>
              <w:t>0448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258D4A0" w14:textId="77777777" w:rsidR="0006598A" w:rsidRDefault="0006598A" w:rsidP="00D0068B">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4E1B2F3" w14:textId="77777777" w:rsidR="0006598A" w:rsidRDefault="0006598A" w:rsidP="00D0068B">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19AF04B" w14:textId="7F54ECF0" w:rsidR="0006598A" w:rsidRPr="005D126D" w:rsidRDefault="0006598A" w:rsidP="00D0068B">
            <w:pPr>
              <w:spacing w:after="0"/>
              <w:rPr>
                <w:rFonts w:ascii="Arial" w:hAnsi="Arial"/>
                <w:sz w:val="16"/>
              </w:rPr>
            </w:pPr>
            <w:r w:rsidRPr="0006598A">
              <w:rPr>
                <w:rFonts w:ascii="Arial" w:hAnsi="Arial"/>
                <w:sz w:val="16"/>
              </w:rPr>
              <w:t>Corrections to r17 PDCCH monitoring capability for CA and DC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00122D2" w14:textId="77777777" w:rsidR="0006598A" w:rsidRDefault="0006598A" w:rsidP="00D0068B">
            <w:pPr>
              <w:pStyle w:val="TAL"/>
              <w:rPr>
                <w:sz w:val="16"/>
                <w:szCs w:val="16"/>
                <w:lang w:eastAsia="zh-CN"/>
              </w:rPr>
            </w:pPr>
            <w:r>
              <w:rPr>
                <w:sz w:val="16"/>
                <w:szCs w:val="16"/>
                <w:lang w:eastAsia="zh-CN"/>
              </w:rPr>
              <w:t>17.5.0</w:t>
            </w:r>
          </w:p>
        </w:tc>
      </w:tr>
      <w:tr w:rsidR="004226AF" w:rsidRPr="00B916EC" w14:paraId="639A18F3" w14:textId="77777777" w:rsidTr="00C12CAE">
        <w:tc>
          <w:tcPr>
            <w:tcW w:w="894" w:type="dxa"/>
            <w:tcBorders>
              <w:top w:val="single" w:sz="6" w:space="0" w:color="auto"/>
              <w:left w:val="single" w:sz="6" w:space="0" w:color="auto"/>
              <w:bottom w:val="single" w:sz="6" w:space="0" w:color="auto"/>
              <w:right w:val="single" w:sz="6" w:space="0" w:color="auto"/>
            </w:tcBorders>
            <w:shd w:val="solid" w:color="FFFFFF" w:fill="auto"/>
          </w:tcPr>
          <w:p w14:paraId="2E731CDD" w14:textId="77777777" w:rsidR="004226AF" w:rsidRPr="00B916EC" w:rsidRDefault="004226AF" w:rsidP="00C12CA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127197D" w14:textId="77777777" w:rsidR="004226AF" w:rsidRPr="00B916EC" w:rsidRDefault="004226AF" w:rsidP="00C12CAE">
            <w:pPr>
              <w:pStyle w:val="TAL"/>
              <w:rPr>
                <w:sz w:val="16"/>
                <w:szCs w:val="16"/>
                <w:lang w:eastAsia="zh-CN"/>
              </w:rPr>
            </w:pPr>
            <w:r w:rsidRPr="00B916EC">
              <w:rPr>
                <w:sz w:val="16"/>
                <w:szCs w:val="16"/>
                <w:lang w:eastAsia="zh-CN"/>
              </w:rPr>
              <w:t>RAN#</w:t>
            </w:r>
            <w:r>
              <w:rPr>
                <w:sz w:val="16"/>
                <w:szCs w:val="16"/>
                <w:lang w:eastAsia="zh-CN"/>
              </w:rPr>
              <w:t>99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40983AA" w14:textId="4959594D" w:rsidR="004226AF" w:rsidRDefault="004226AF" w:rsidP="00C12CAE">
            <w:pPr>
              <w:pStyle w:val="TAL"/>
              <w:rPr>
                <w:sz w:val="16"/>
                <w:szCs w:val="16"/>
                <w:lang w:eastAsia="zh-CN"/>
              </w:rPr>
            </w:pPr>
            <w:r w:rsidRPr="00FA4CFB">
              <w:rPr>
                <w:sz w:val="16"/>
                <w:szCs w:val="16"/>
                <w:lang w:eastAsia="zh-CN"/>
              </w:rPr>
              <w:t>RP-2</w:t>
            </w:r>
            <w:r>
              <w:rPr>
                <w:sz w:val="16"/>
                <w:szCs w:val="16"/>
                <w:lang w:eastAsia="zh-CN"/>
              </w:rPr>
              <w:t>30450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C0CCD87" w14:textId="033EEC02" w:rsidR="004226AF" w:rsidRDefault="004226AF" w:rsidP="00C12CAE">
            <w:pPr>
              <w:pStyle w:val="TAL"/>
              <w:rPr>
                <w:sz w:val="16"/>
                <w:szCs w:val="16"/>
              </w:rPr>
            </w:pPr>
            <w:r>
              <w:rPr>
                <w:sz w:val="16"/>
                <w:szCs w:val="16"/>
              </w:rPr>
              <w:t>0449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235736F" w14:textId="77777777" w:rsidR="004226AF" w:rsidRDefault="004226AF" w:rsidP="00C12CA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79A366D" w14:textId="77777777" w:rsidR="004226AF" w:rsidRDefault="004226AF" w:rsidP="00C12CA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226C9EB" w14:textId="760CB428" w:rsidR="004226AF" w:rsidRPr="005D126D" w:rsidRDefault="004226AF" w:rsidP="00C12CAE">
            <w:pPr>
              <w:spacing w:after="0"/>
              <w:rPr>
                <w:rFonts w:ascii="Arial" w:hAnsi="Arial"/>
                <w:sz w:val="16"/>
              </w:rPr>
            </w:pPr>
            <w:r w:rsidRPr="004226AF">
              <w:rPr>
                <w:rFonts w:ascii="Arial" w:hAnsi="Arial"/>
                <w:sz w:val="16"/>
              </w:rPr>
              <w:t>Clarification on the timeline of transmitting/receiving PSFCH with control information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1CF971" w14:textId="77777777" w:rsidR="004226AF" w:rsidRDefault="004226AF" w:rsidP="00C12CAE">
            <w:pPr>
              <w:pStyle w:val="TAL"/>
              <w:rPr>
                <w:sz w:val="16"/>
                <w:szCs w:val="16"/>
                <w:lang w:eastAsia="zh-CN"/>
              </w:rPr>
            </w:pPr>
            <w:r>
              <w:rPr>
                <w:sz w:val="16"/>
                <w:szCs w:val="16"/>
                <w:lang w:eastAsia="zh-CN"/>
              </w:rPr>
              <w:t>17.5.0</w:t>
            </w:r>
          </w:p>
        </w:tc>
      </w:tr>
      <w:tr w:rsidR="004226AF" w:rsidRPr="00B916EC" w14:paraId="62A352C9" w14:textId="77777777" w:rsidTr="00C12CAE">
        <w:tc>
          <w:tcPr>
            <w:tcW w:w="894" w:type="dxa"/>
            <w:tcBorders>
              <w:top w:val="single" w:sz="6" w:space="0" w:color="auto"/>
              <w:left w:val="single" w:sz="6" w:space="0" w:color="auto"/>
              <w:bottom w:val="single" w:sz="6" w:space="0" w:color="auto"/>
              <w:right w:val="single" w:sz="6" w:space="0" w:color="auto"/>
            </w:tcBorders>
            <w:shd w:val="solid" w:color="FFFFFF" w:fill="auto"/>
          </w:tcPr>
          <w:p w14:paraId="1CD6550E" w14:textId="77777777" w:rsidR="004226AF" w:rsidRPr="00B916EC" w:rsidRDefault="004226AF" w:rsidP="00C12CA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589C948" w14:textId="77777777" w:rsidR="004226AF" w:rsidRPr="00B916EC" w:rsidRDefault="004226AF" w:rsidP="00C12CAE">
            <w:pPr>
              <w:pStyle w:val="TAL"/>
              <w:rPr>
                <w:sz w:val="16"/>
                <w:szCs w:val="16"/>
                <w:lang w:eastAsia="zh-CN"/>
              </w:rPr>
            </w:pPr>
            <w:r w:rsidRPr="00B916EC">
              <w:rPr>
                <w:sz w:val="16"/>
                <w:szCs w:val="16"/>
                <w:lang w:eastAsia="zh-CN"/>
              </w:rPr>
              <w:t>RAN#</w:t>
            </w:r>
            <w:r>
              <w:rPr>
                <w:sz w:val="16"/>
                <w:szCs w:val="16"/>
                <w:lang w:eastAsia="zh-CN"/>
              </w:rPr>
              <w:t>99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1FBCF22" w14:textId="6DA7EE7B" w:rsidR="004226AF" w:rsidRDefault="004226AF" w:rsidP="00C12CAE">
            <w:pPr>
              <w:pStyle w:val="TAL"/>
              <w:rPr>
                <w:sz w:val="16"/>
                <w:szCs w:val="16"/>
                <w:lang w:eastAsia="zh-CN"/>
              </w:rPr>
            </w:pPr>
            <w:r w:rsidRPr="00FA4CFB">
              <w:rPr>
                <w:sz w:val="16"/>
                <w:szCs w:val="16"/>
                <w:lang w:eastAsia="zh-CN"/>
              </w:rPr>
              <w:t>RP-2</w:t>
            </w:r>
            <w:r>
              <w:rPr>
                <w:sz w:val="16"/>
                <w:szCs w:val="16"/>
                <w:lang w:eastAsia="zh-CN"/>
              </w:rPr>
              <w:t>30441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4462E7B" w14:textId="36C2CF18" w:rsidR="004226AF" w:rsidRDefault="004226AF" w:rsidP="00C12CAE">
            <w:pPr>
              <w:pStyle w:val="TAL"/>
              <w:rPr>
                <w:sz w:val="16"/>
                <w:szCs w:val="16"/>
              </w:rPr>
            </w:pPr>
            <w:r>
              <w:rPr>
                <w:sz w:val="16"/>
                <w:szCs w:val="16"/>
              </w:rPr>
              <w:t>0450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3720A82" w14:textId="77777777" w:rsidR="004226AF" w:rsidRDefault="004226AF" w:rsidP="00C12CA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90A17A8" w14:textId="77777777" w:rsidR="004226AF" w:rsidRDefault="004226AF" w:rsidP="00C12CA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33A80BE" w14:textId="562AADA4" w:rsidR="004226AF" w:rsidRPr="005D126D" w:rsidRDefault="004226AF" w:rsidP="00C12CAE">
            <w:pPr>
              <w:spacing w:after="0"/>
              <w:rPr>
                <w:rFonts w:ascii="Arial" w:hAnsi="Arial"/>
                <w:sz w:val="16"/>
              </w:rPr>
            </w:pPr>
            <w:r w:rsidRPr="004226AF">
              <w:rPr>
                <w:rFonts w:ascii="Arial" w:hAnsi="Arial"/>
                <w:sz w:val="16"/>
              </w:rPr>
              <w:t>Corrections for Beam Failure Recovery related to unified TCI state framework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669C47A" w14:textId="77777777" w:rsidR="004226AF" w:rsidRDefault="004226AF" w:rsidP="00C12CAE">
            <w:pPr>
              <w:pStyle w:val="TAL"/>
              <w:rPr>
                <w:sz w:val="16"/>
                <w:szCs w:val="16"/>
                <w:lang w:eastAsia="zh-CN"/>
              </w:rPr>
            </w:pPr>
            <w:r>
              <w:rPr>
                <w:sz w:val="16"/>
                <w:szCs w:val="16"/>
                <w:lang w:eastAsia="zh-CN"/>
              </w:rPr>
              <w:t>17.5.0</w:t>
            </w:r>
          </w:p>
        </w:tc>
      </w:tr>
      <w:tr w:rsidR="00DC265F" w:rsidRPr="00B916EC" w14:paraId="6709B74F" w14:textId="77777777" w:rsidTr="00C12CAE">
        <w:tc>
          <w:tcPr>
            <w:tcW w:w="894" w:type="dxa"/>
            <w:tcBorders>
              <w:top w:val="single" w:sz="6" w:space="0" w:color="auto"/>
              <w:left w:val="single" w:sz="6" w:space="0" w:color="auto"/>
              <w:bottom w:val="single" w:sz="6" w:space="0" w:color="auto"/>
              <w:right w:val="single" w:sz="6" w:space="0" w:color="auto"/>
            </w:tcBorders>
            <w:shd w:val="solid" w:color="FFFFFF" w:fill="auto"/>
          </w:tcPr>
          <w:p w14:paraId="6C7783F9" w14:textId="77777777" w:rsidR="00DC265F" w:rsidRPr="00B916EC" w:rsidRDefault="00DC265F" w:rsidP="00C12CAE">
            <w:pPr>
              <w:spacing w:after="0"/>
              <w:jc w:val="center"/>
              <w:rPr>
                <w:rFonts w:ascii="Arial" w:hAnsi="Arial"/>
                <w:snapToGrid w:val="0"/>
                <w:sz w:val="16"/>
                <w:szCs w:val="16"/>
              </w:rPr>
            </w:pPr>
            <w:r w:rsidRPr="00B916EC">
              <w:rPr>
                <w:rFonts w:ascii="Arial" w:hAnsi="Arial"/>
                <w:snapToGrid w:val="0"/>
                <w:sz w:val="16"/>
                <w:szCs w:val="16"/>
              </w:rPr>
              <w:lastRenderedPageBreak/>
              <w:t>20</w:t>
            </w:r>
            <w:r>
              <w:rPr>
                <w:rFonts w:ascii="Arial" w:hAnsi="Arial"/>
                <w:snapToGrid w:val="0"/>
                <w:sz w:val="16"/>
                <w:szCs w:val="16"/>
              </w:rPr>
              <w:t>23-03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00ED740" w14:textId="77777777" w:rsidR="00DC265F" w:rsidRPr="00B916EC" w:rsidRDefault="00DC265F" w:rsidP="00C12CAE">
            <w:pPr>
              <w:pStyle w:val="TAL"/>
              <w:rPr>
                <w:sz w:val="16"/>
                <w:szCs w:val="16"/>
                <w:lang w:eastAsia="zh-CN"/>
              </w:rPr>
            </w:pPr>
            <w:r w:rsidRPr="00B916EC">
              <w:rPr>
                <w:sz w:val="16"/>
                <w:szCs w:val="16"/>
                <w:lang w:eastAsia="zh-CN"/>
              </w:rPr>
              <w:t>RAN#</w:t>
            </w:r>
            <w:r>
              <w:rPr>
                <w:sz w:val="16"/>
                <w:szCs w:val="16"/>
                <w:lang w:eastAsia="zh-CN"/>
              </w:rPr>
              <w:t>99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4648C64" w14:textId="272FB61E" w:rsidR="00DC265F" w:rsidRDefault="00DC265F" w:rsidP="00C12CAE">
            <w:pPr>
              <w:pStyle w:val="TAL"/>
              <w:rPr>
                <w:sz w:val="16"/>
                <w:szCs w:val="16"/>
                <w:lang w:eastAsia="zh-CN"/>
              </w:rPr>
            </w:pPr>
            <w:r w:rsidRPr="00FA4CFB">
              <w:rPr>
                <w:sz w:val="16"/>
                <w:szCs w:val="16"/>
                <w:lang w:eastAsia="zh-CN"/>
              </w:rPr>
              <w:t>RP-2</w:t>
            </w:r>
            <w:r>
              <w:rPr>
                <w:sz w:val="16"/>
                <w:szCs w:val="16"/>
                <w:lang w:eastAsia="zh-CN"/>
              </w:rPr>
              <w:t>30451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06A9F82" w14:textId="0175A7A6" w:rsidR="00DC265F" w:rsidRDefault="00DC265F" w:rsidP="00C12CAE">
            <w:pPr>
              <w:pStyle w:val="TAL"/>
              <w:rPr>
                <w:sz w:val="16"/>
                <w:szCs w:val="16"/>
              </w:rPr>
            </w:pPr>
            <w:r>
              <w:rPr>
                <w:sz w:val="16"/>
                <w:szCs w:val="16"/>
              </w:rPr>
              <w:t>0452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5762D7F" w14:textId="77777777" w:rsidR="00DC265F" w:rsidRDefault="00DC265F" w:rsidP="00C12CA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1BC30EF" w14:textId="77777777" w:rsidR="00DC265F" w:rsidRDefault="00DC265F" w:rsidP="00C12CA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BAE2BD3" w14:textId="75BB0943" w:rsidR="00DC265F" w:rsidRPr="005D126D" w:rsidRDefault="00DA3A32" w:rsidP="00C12CAE">
            <w:pPr>
              <w:spacing w:after="0"/>
              <w:rPr>
                <w:rFonts w:ascii="Arial" w:hAnsi="Arial"/>
                <w:sz w:val="16"/>
              </w:rPr>
            </w:pPr>
            <w:r w:rsidRPr="00DA3A32">
              <w:rPr>
                <w:rFonts w:ascii="Arial" w:hAnsi="Arial"/>
                <w:sz w:val="16"/>
              </w:rPr>
              <w:t>CR on PUCCH resource for UE configured with NACK-only mode2 for SPS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3D3FFD1" w14:textId="77777777" w:rsidR="00DC265F" w:rsidRDefault="00DC265F" w:rsidP="00C12CAE">
            <w:pPr>
              <w:pStyle w:val="TAL"/>
              <w:rPr>
                <w:sz w:val="16"/>
                <w:szCs w:val="16"/>
                <w:lang w:eastAsia="zh-CN"/>
              </w:rPr>
            </w:pPr>
            <w:r>
              <w:rPr>
                <w:sz w:val="16"/>
                <w:szCs w:val="16"/>
                <w:lang w:eastAsia="zh-CN"/>
              </w:rPr>
              <w:t>17.5.0</w:t>
            </w:r>
          </w:p>
        </w:tc>
      </w:tr>
      <w:tr w:rsidR="00DA3A32" w:rsidRPr="00B916EC" w14:paraId="5EF0FF08" w14:textId="77777777" w:rsidTr="00C12CAE">
        <w:tc>
          <w:tcPr>
            <w:tcW w:w="894" w:type="dxa"/>
            <w:tcBorders>
              <w:top w:val="single" w:sz="6" w:space="0" w:color="auto"/>
              <w:left w:val="single" w:sz="6" w:space="0" w:color="auto"/>
              <w:bottom w:val="single" w:sz="6" w:space="0" w:color="auto"/>
              <w:right w:val="single" w:sz="6" w:space="0" w:color="auto"/>
            </w:tcBorders>
            <w:shd w:val="solid" w:color="FFFFFF" w:fill="auto"/>
          </w:tcPr>
          <w:p w14:paraId="7D308CC5" w14:textId="77777777" w:rsidR="00DA3A32" w:rsidRPr="00B916EC" w:rsidRDefault="00DA3A32" w:rsidP="00C12CA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A954EBD" w14:textId="77777777" w:rsidR="00DA3A32" w:rsidRPr="00B916EC" w:rsidRDefault="00DA3A32" w:rsidP="00C12CAE">
            <w:pPr>
              <w:pStyle w:val="TAL"/>
              <w:rPr>
                <w:sz w:val="16"/>
                <w:szCs w:val="16"/>
                <w:lang w:eastAsia="zh-CN"/>
              </w:rPr>
            </w:pPr>
            <w:r w:rsidRPr="00B916EC">
              <w:rPr>
                <w:sz w:val="16"/>
                <w:szCs w:val="16"/>
                <w:lang w:eastAsia="zh-CN"/>
              </w:rPr>
              <w:t>RAN#</w:t>
            </w:r>
            <w:r>
              <w:rPr>
                <w:sz w:val="16"/>
                <w:szCs w:val="16"/>
                <w:lang w:eastAsia="zh-CN"/>
              </w:rPr>
              <w:t>99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CFA7529" w14:textId="77777777" w:rsidR="00DA3A32" w:rsidRDefault="00DA3A32" w:rsidP="00C12CAE">
            <w:pPr>
              <w:pStyle w:val="TAL"/>
              <w:rPr>
                <w:sz w:val="16"/>
                <w:szCs w:val="16"/>
                <w:lang w:eastAsia="zh-CN"/>
              </w:rPr>
            </w:pPr>
            <w:r w:rsidRPr="00FA4CFB">
              <w:rPr>
                <w:sz w:val="16"/>
                <w:szCs w:val="16"/>
                <w:lang w:eastAsia="zh-CN"/>
              </w:rPr>
              <w:t>RP-2</w:t>
            </w:r>
            <w:r>
              <w:rPr>
                <w:sz w:val="16"/>
                <w:szCs w:val="16"/>
                <w:lang w:eastAsia="zh-CN"/>
              </w:rPr>
              <w:t>30451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F6D9132" w14:textId="1F591710" w:rsidR="00DA3A32" w:rsidRDefault="00DA3A32" w:rsidP="00C12CAE">
            <w:pPr>
              <w:pStyle w:val="TAL"/>
              <w:rPr>
                <w:sz w:val="16"/>
                <w:szCs w:val="16"/>
              </w:rPr>
            </w:pPr>
            <w:r>
              <w:rPr>
                <w:sz w:val="16"/>
                <w:szCs w:val="16"/>
              </w:rPr>
              <w:t>0453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967E2D5" w14:textId="77777777" w:rsidR="00DA3A32" w:rsidRDefault="00DA3A32" w:rsidP="00C12CA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1760403" w14:textId="77777777" w:rsidR="00DA3A32" w:rsidRDefault="00DA3A32" w:rsidP="00C12CA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78499AB" w14:textId="3394F637" w:rsidR="00DA3A32" w:rsidRPr="005D126D" w:rsidRDefault="00DA3A32" w:rsidP="00C12CAE">
            <w:pPr>
              <w:spacing w:after="0"/>
              <w:rPr>
                <w:rFonts w:ascii="Arial" w:hAnsi="Arial"/>
                <w:sz w:val="16"/>
              </w:rPr>
            </w:pPr>
            <w:r w:rsidRPr="00DA3A32">
              <w:rPr>
                <w:rFonts w:ascii="Arial" w:hAnsi="Arial"/>
                <w:sz w:val="16"/>
              </w:rPr>
              <w:t>CR on PUCCH resources for multiplexing multicast HARQ-ACK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507FFE6" w14:textId="77777777" w:rsidR="00DA3A32" w:rsidRDefault="00DA3A32" w:rsidP="00C12CAE">
            <w:pPr>
              <w:pStyle w:val="TAL"/>
              <w:rPr>
                <w:sz w:val="16"/>
                <w:szCs w:val="16"/>
                <w:lang w:eastAsia="zh-CN"/>
              </w:rPr>
            </w:pPr>
            <w:r>
              <w:rPr>
                <w:sz w:val="16"/>
                <w:szCs w:val="16"/>
                <w:lang w:eastAsia="zh-CN"/>
              </w:rPr>
              <w:t>17.5.0</w:t>
            </w:r>
          </w:p>
        </w:tc>
      </w:tr>
      <w:tr w:rsidR="001A51E3" w:rsidRPr="00B916EC" w14:paraId="35184A76" w14:textId="77777777" w:rsidTr="00C12CAE">
        <w:tc>
          <w:tcPr>
            <w:tcW w:w="894" w:type="dxa"/>
            <w:tcBorders>
              <w:top w:val="single" w:sz="6" w:space="0" w:color="auto"/>
              <w:left w:val="single" w:sz="6" w:space="0" w:color="auto"/>
              <w:bottom w:val="single" w:sz="6" w:space="0" w:color="auto"/>
              <w:right w:val="single" w:sz="6" w:space="0" w:color="auto"/>
            </w:tcBorders>
            <w:shd w:val="solid" w:color="FFFFFF" w:fill="auto"/>
          </w:tcPr>
          <w:p w14:paraId="0092EE0C" w14:textId="77777777" w:rsidR="001A51E3" w:rsidRPr="00B916EC" w:rsidRDefault="001A51E3" w:rsidP="00C12CA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FC2F563" w14:textId="77777777" w:rsidR="001A51E3" w:rsidRPr="00B916EC" w:rsidRDefault="001A51E3" w:rsidP="00C12CAE">
            <w:pPr>
              <w:pStyle w:val="TAL"/>
              <w:rPr>
                <w:sz w:val="16"/>
                <w:szCs w:val="16"/>
                <w:lang w:eastAsia="zh-CN"/>
              </w:rPr>
            </w:pPr>
            <w:r w:rsidRPr="00B916EC">
              <w:rPr>
                <w:sz w:val="16"/>
                <w:szCs w:val="16"/>
                <w:lang w:eastAsia="zh-CN"/>
              </w:rPr>
              <w:t>RAN#</w:t>
            </w:r>
            <w:r>
              <w:rPr>
                <w:sz w:val="16"/>
                <w:szCs w:val="16"/>
                <w:lang w:eastAsia="zh-CN"/>
              </w:rPr>
              <w:t>99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54CA532" w14:textId="29C31AD3" w:rsidR="001A51E3" w:rsidRDefault="001A51E3" w:rsidP="00C12CAE">
            <w:pPr>
              <w:pStyle w:val="TAL"/>
              <w:rPr>
                <w:sz w:val="16"/>
                <w:szCs w:val="16"/>
                <w:lang w:eastAsia="zh-CN"/>
              </w:rPr>
            </w:pPr>
            <w:r w:rsidRPr="00FA4CFB">
              <w:rPr>
                <w:sz w:val="16"/>
                <w:szCs w:val="16"/>
                <w:lang w:eastAsia="zh-CN"/>
              </w:rPr>
              <w:t>RP-2</w:t>
            </w:r>
            <w:r>
              <w:rPr>
                <w:sz w:val="16"/>
                <w:szCs w:val="16"/>
                <w:lang w:eastAsia="zh-CN"/>
              </w:rPr>
              <w:t>30446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86A200E" w14:textId="18234CEB" w:rsidR="001A51E3" w:rsidRDefault="001A51E3" w:rsidP="00C12CAE">
            <w:pPr>
              <w:pStyle w:val="TAL"/>
              <w:rPr>
                <w:sz w:val="16"/>
                <w:szCs w:val="16"/>
              </w:rPr>
            </w:pPr>
            <w:r>
              <w:rPr>
                <w:sz w:val="16"/>
                <w:szCs w:val="16"/>
              </w:rPr>
              <w:t>0454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A5C93B6" w14:textId="77777777" w:rsidR="001A51E3" w:rsidRDefault="001A51E3" w:rsidP="00C12CA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C9B8E60" w14:textId="77777777" w:rsidR="001A51E3" w:rsidRDefault="001A51E3" w:rsidP="00C12CA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6B1C9DF" w14:textId="703776FE" w:rsidR="001A51E3" w:rsidRPr="005D126D" w:rsidRDefault="001A51E3" w:rsidP="00C12CAE">
            <w:pPr>
              <w:spacing w:after="0"/>
              <w:rPr>
                <w:rFonts w:ascii="Arial" w:hAnsi="Arial"/>
                <w:sz w:val="16"/>
              </w:rPr>
            </w:pPr>
            <w:r w:rsidRPr="001A51E3">
              <w:rPr>
                <w:rFonts w:ascii="Arial" w:hAnsi="Arial"/>
                <w:sz w:val="16"/>
              </w:rPr>
              <w:t>Corrections on impact of HD-FDD operation for RedCap UE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D9A576A" w14:textId="77777777" w:rsidR="001A51E3" w:rsidRDefault="001A51E3" w:rsidP="00C12CAE">
            <w:pPr>
              <w:pStyle w:val="TAL"/>
              <w:rPr>
                <w:sz w:val="16"/>
                <w:szCs w:val="16"/>
                <w:lang w:eastAsia="zh-CN"/>
              </w:rPr>
            </w:pPr>
            <w:r>
              <w:rPr>
                <w:sz w:val="16"/>
                <w:szCs w:val="16"/>
                <w:lang w:eastAsia="zh-CN"/>
              </w:rPr>
              <w:t>17.5.0</w:t>
            </w:r>
          </w:p>
        </w:tc>
      </w:tr>
      <w:tr w:rsidR="001F71AF" w:rsidRPr="00B916EC" w14:paraId="6F8198DA" w14:textId="77777777" w:rsidTr="00C12CAE">
        <w:tc>
          <w:tcPr>
            <w:tcW w:w="894" w:type="dxa"/>
            <w:tcBorders>
              <w:top w:val="single" w:sz="6" w:space="0" w:color="auto"/>
              <w:left w:val="single" w:sz="6" w:space="0" w:color="auto"/>
              <w:bottom w:val="single" w:sz="6" w:space="0" w:color="auto"/>
              <w:right w:val="single" w:sz="6" w:space="0" w:color="auto"/>
            </w:tcBorders>
            <w:shd w:val="solid" w:color="FFFFFF" w:fill="auto"/>
          </w:tcPr>
          <w:p w14:paraId="5256CCA4" w14:textId="77777777" w:rsidR="001F71AF" w:rsidRPr="00B916EC" w:rsidRDefault="001F71AF" w:rsidP="00C12CA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6F58080" w14:textId="77777777" w:rsidR="001F71AF" w:rsidRPr="00B916EC" w:rsidRDefault="001F71AF" w:rsidP="00C12CAE">
            <w:pPr>
              <w:pStyle w:val="TAL"/>
              <w:rPr>
                <w:sz w:val="16"/>
                <w:szCs w:val="16"/>
                <w:lang w:eastAsia="zh-CN"/>
              </w:rPr>
            </w:pPr>
            <w:r w:rsidRPr="00B916EC">
              <w:rPr>
                <w:sz w:val="16"/>
                <w:szCs w:val="16"/>
                <w:lang w:eastAsia="zh-CN"/>
              </w:rPr>
              <w:t>RAN#</w:t>
            </w:r>
            <w:r>
              <w:rPr>
                <w:sz w:val="16"/>
                <w:szCs w:val="16"/>
                <w:lang w:eastAsia="zh-CN"/>
              </w:rPr>
              <w:t>99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34F8EEE" w14:textId="7BFF9296" w:rsidR="001F71AF" w:rsidRDefault="001F71AF" w:rsidP="00C12CAE">
            <w:pPr>
              <w:pStyle w:val="TAL"/>
              <w:rPr>
                <w:sz w:val="16"/>
                <w:szCs w:val="16"/>
                <w:lang w:eastAsia="zh-CN"/>
              </w:rPr>
            </w:pPr>
            <w:r w:rsidRPr="00FA4CFB">
              <w:rPr>
                <w:sz w:val="16"/>
                <w:szCs w:val="16"/>
                <w:lang w:eastAsia="zh-CN"/>
              </w:rPr>
              <w:t>RP-2</w:t>
            </w:r>
            <w:r>
              <w:rPr>
                <w:sz w:val="16"/>
                <w:szCs w:val="16"/>
                <w:lang w:eastAsia="zh-CN"/>
              </w:rPr>
              <w:t>30449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E2B37E5" w14:textId="5E1A6E0F" w:rsidR="001F71AF" w:rsidRDefault="001F71AF" w:rsidP="00C12CAE">
            <w:pPr>
              <w:pStyle w:val="TAL"/>
              <w:rPr>
                <w:sz w:val="16"/>
                <w:szCs w:val="16"/>
              </w:rPr>
            </w:pPr>
            <w:r>
              <w:rPr>
                <w:sz w:val="16"/>
                <w:szCs w:val="16"/>
              </w:rPr>
              <w:t>0455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B0C3AB5" w14:textId="77777777" w:rsidR="001F71AF" w:rsidRDefault="001F71AF" w:rsidP="00C12CA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F352EE2" w14:textId="77777777" w:rsidR="001F71AF" w:rsidRDefault="001F71AF" w:rsidP="00C12CA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6547B21" w14:textId="2EB73BBC" w:rsidR="001F71AF" w:rsidRPr="005D126D" w:rsidRDefault="001F71AF" w:rsidP="00C12CAE">
            <w:pPr>
              <w:spacing w:after="0"/>
              <w:rPr>
                <w:rFonts w:ascii="Arial" w:hAnsi="Arial"/>
                <w:sz w:val="16"/>
              </w:rPr>
            </w:pPr>
            <w:r w:rsidRPr="001F71AF">
              <w:rPr>
                <w:rFonts w:ascii="Arial" w:hAnsi="Arial"/>
                <w:sz w:val="16"/>
              </w:rPr>
              <w:t>Correction on availability indication for eIAB</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2047176" w14:textId="77777777" w:rsidR="001F71AF" w:rsidRDefault="001F71AF" w:rsidP="00C12CAE">
            <w:pPr>
              <w:pStyle w:val="TAL"/>
              <w:rPr>
                <w:sz w:val="16"/>
                <w:szCs w:val="16"/>
                <w:lang w:eastAsia="zh-CN"/>
              </w:rPr>
            </w:pPr>
            <w:r>
              <w:rPr>
                <w:sz w:val="16"/>
                <w:szCs w:val="16"/>
                <w:lang w:eastAsia="zh-CN"/>
              </w:rPr>
              <w:t>17.5.0</w:t>
            </w:r>
          </w:p>
        </w:tc>
      </w:tr>
      <w:tr w:rsidR="001F71AF" w:rsidRPr="00B916EC" w14:paraId="193E8F6C" w14:textId="77777777" w:rsidTr="00C12CAE">
        <w:tc>
          <w:tcPr>
            <w:tcW w:w="894" w:type="dxa"/>
            <w:tcBorders>
              <w:top w:val="single" w:sz="6" w:space="0" w:color="auto"/>
              <w:left w:val="single" w:sz="6" w:space="0" w:color="auto"/>
              <w:bottom w:val="single" w:sz="6" w:space="0" w:color="auto"/>
              <w:right w:val="single" w:sz="6" w:space="0" w:color="auto"/>
            </w:tcBorders>
            <w:shd w:val="solid" w:color="FFFFFF" w:fill="auto"/>
          </w:tcPr>
          <w:p w14:paraId="171056EB" w14:textId="77777777" w:rsidR="001F71AF" w:rsidRPr="00B916EC" w:rsidRDefault="001F71AF" w:rsidP="00C12CA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8E32519" w14:textId="77777777" w:rsidR="001F71AF" w:rsidRPr="00B916EC" w:rsidRDefault="001F71AF" w:rsidP="00C12CAE">
            <w:pPr>
              <w:pStyle w:val="TAL"/>
              <w:rPr>
                <w:sz w:val="16"/>
                <w:szCs w:val="16"/>
                <w:lang w:eastAsia="zh-CN"/>
              </w:rPr>
            </w:pPr>
            <w:r w:rsidRPr="00B916EC">
              <w:rPr>
                <w:sz w:val="16"/>
                <w:szCs w:val="16"/>
                <w:lang w:eastAsia="zh-CN"/>
              </w:rPr>
              <w:t>RAN#</w:t>
            </w:r>
            <w:r>
              <w:rPr>
                <w:sz w:val="16"/>
                <w:szCs w:val="16"/>
                <w:lang w:eastAsia="zh-CN"/>
              </w:rPr>
              <w:t>99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D1324F8" w14:textId="77777777" w:rsidR="001F71AF" w:rsidRDefault="001F71AF" w:rsidP="00C12CAE">
            <w:pPr>
              <w:pStyle w:val="TAL"/>
              <w:rPr>
                <w:sz w:val="16"/>
                <w:szCs w:val="16"/>
                <w:lang w:eastAsia="zh-CN"/>
              </w:rPr>
            </w:pPr>
            <w:r w:rsidRPr="00FA4CFB">
              <w:rPr>
                <w:sz w:val="16"/>
                <w:szCs w:val="16"/>
                <w:lang w:eastAsia="zh-CN"/>
              </w:rPr>
              <w:t>RP-2</w:t>
            </w:r>
            <w:r>
              <w:rPr>
                <w:sz w:val="16"/>
                <w:szCs w:val="16"/>
                <w:lang w:eastAsia="zh-CN"/>
              </w:rPr>
              <w:t>30449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27E25B9" w14:textId="3841834B" w:rsidR="001F71AF" w:rsidRDefault="001F71AF" w:rsidP="00C12CAE">
            <w:pPr>
              <w:pStyle w:val="TAL"/>
              <w:rPr>
                <w:sz w:val="16"/>
                <w:szCs w:val="16"/>
              </w:rPr>
            </w:pPr>
            <w:r>
              <w:rPr>
                <w:sz w:val="16"/>
                <w:szCs w:val="16"/>
              </w:rPr>
              <w:t>0456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C79E5C7" w14:textId="77777777" w:rsidR="001F71AF" w:rsidRDefault="001F71AF" w:rsidP="00C12CA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B70C648" w14:textId="77777777" w:rsidR="001F71AF" w:rsidRDefault="001F71AF" w:rsidP="00C12CA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0737A77" w14:textId="4C6E09E2" w:rsidR="001F71AF" w:rsidRPr="005D126D" w:rsidRDefault="001F71AF" w:rsidP="00C12CAE">
            <w:pPr>
              <w:spacing w:after="0"/>
              <w:rPr>
                <w:rFonts w:ascii="Arial" w:hAnsi="Arial"/>
                <w:sz w:val="16"/>
              </w:rPr>
            </w:pPr>
            <w:r w:rsidRPr="001F71AF">
              <w:rPr>
                <w:rFonts w:ascii="Arial" w:hAnsi="Arial"/>
                <w:sz w:val="16"/>
              </w:rPr>
              <w:t>CR editorial correction on RRC parameters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92E1DEB" w14:textId="77777777" w:rsidR="001F71AF" w:rsidRDefault="001F71AF" w:rsidP="00C12CAE">
            <w:pPr>
              <w:pStyle w:val="TAL"/>
              <w:rPr>
                <w:sz w:val="16"/>
                <w:szCs w:val="16"/>
                <w:lang w:eastAsia="zh-CN"/>
              </w:rPr>
            </w:pPr>
            <w:r>
              <w:rPr>
                <w:sz w:val="16"/>
                <w:szCs w:val="16"/>
                <w:lang w:eastAsia="zh-CN"/>
              </w:rPr>
              <w:t>17.5.0</w:t>
            </w:r>
          </w:p>
        </w:tc>
      </w:tr>
      <w:tr w:rsidR="00387787" w:rsidRPr="00B916EC" w14:paraId="30ADF411" w14:textId="77777777" w:rsidTr="00C12CAE">
        <w:tc>
          <w:tcPr>
            <w:tcW w:w="894" w:type="dxa"/>
            <w:tcBorders>
              <w:top w:val="single" w:sz="6" w:space="0" w:color="auto"/>
              <w:left w:val="single" w:sz="6" w:space="0" w:color="auto"/>
              <w:bottom w:val="single" w:sz="6" w:space="0" w:color="auto"/>
              <w:right w:val="single" w:sz="6" w:space="0" w:color="auto"/>
            </w:tcBorders>
            <w:shd w:val="solid" w:color="FFFFFF" w:fill="auto"/>
          </w:tcPr>
          <w:p w14:paraId="5CB24373" w14:textId="77777777" w:rsidR="00387787" w:rsidRPr="00B916EC" w:rsidRDefault="00387787" w:rsidP="00C12CA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DD2815F" w14:textId="77777777" w:rsidR="00387787" w:rsidRPr="00B916EC" w:rsidRDefault="00387787" w:rsidP="00C12CAE">
            <w:pPr>
              <w:pStyle w:val="TAL"/>
              <w:rPr>
                <w:sz w:val="16"/>
                <w:szCs w:val="16"/>
                <w:lang w:eastAsia="zh-CN"/>
              </w:rPr>
            </w:pPr>
            <w:r w:rsidRPr="00B916EC">
              <w:rPr>
                <w:sz w:val="16"/>
                <w:szCs w:val="16"/>
                <w:lang w:eastAsia="zh-CN"/>
              </w:rPr>
              <w:t>RAN#</w:t>
            </w:r>
            <w:r>
              <w:rPr>
                <w:sz w:val="16"/>
                <w:szCs w:val="16"/>
                <w:lang w:eastAsia="zh-CN"/>
              </w:rPr>
              <w:t>99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FB9F73F" w14:textId="77777777" w:rsidR="00387787" w:rsidRDefault="00387787" w:rsidP="00C12CAE">
            <w:pPr>
              <w:pStyle w:val="TAL"/>
              <w:rPr>
                <w:sz w:val="16"/>
                <w:szCs w:val="16"/>
                <w:lang w:eastAsia="zh-CN"/>
              </w:rPr>
            </w:pPr>
            <w:r w:rsidRPr="00FA4CFB">
              <w:rPr>
                <w:sz w:val="16"/>
                <w:szCs w:val="16"/>
                <w:lang w:eastAsia="zh-CN"/>
              </w:rPr>
              <w:t>RP-2</w:t>
            </w:r>
            <w:r>
              <w:rPr>
                <w:sz w:val="16"/>
                <w:szCs w:val="16"/>
                <w:lang w:eastAsia="zh-CN"/>
              </w:rPr>
              <w:t>30449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C4F0EA5" w14:textId="0B79B911" w:rsidR="00387787" w:rsidRDefault="00387787" w:rsidP="00C12CAE">
            <w:pPr>
              <w:pStyle w:val="TAL"/>
              <w:rPr>
                <w:sz w:val="16"/>
                <w:szCs w:val="16"/>
              </w:rPr>
            </w:pPr>
            <w:r>
              <w:rPr>
                <w:sz w:val="16"/>
                <w:szCs w:val="16"/>
              </w:rPr>
              <w:t>0457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FF192DA" w14:textId="77777777" w:rsidR="00387787" w:rsidRDefault="00387787" w:rsidP="00C12CA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19B96E7" w14:textId="77777777" w:rsidR="00387787" w:rsidRDefault="00387787" w:rsidP="00C12CA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8F8F05C" w14:textId="1B4F39AA" w:rsidR="00387787" w:rsidRPr="005D126D" w:rsidRDefault="00387787" w:rsidP="00C12CAE">
            <w:pPr>
              <w:spacing w:after="0"/>
              <w:rPr>
                <w:rFonts w:ascii="Arial" w:hAnsi="Arial"/>
                <w:sz w:val="16"/>
              </w:rPr>
            </w:pPr>
            <w:r w:rsidRPr="00387787">
              <w:rPr>
                <w:rFonts w:ascii="Arial" w:hAnsi="Arial"/>
                <w:sz w:val="16"/>
              </w:rPr>
              <w:t>Correction on the availability of a soft RB set in an RB set group in TS38.213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129EE76" w14:textId="77777777" w:rsidR="00387787" w:rsidRDefault="00387787" w:rsidP="00C12CAE">
            <w:pPr>
              <w:pStyle w:val="TAL"/>
              <w:rPr>
                <w:sz w:val="16"/>
                <w:szCs w:val="16"/>
                <w:lang w:eastAsia="zh-CN"/>
              </w:rPr>
            </w:pPr>
            <w:r>
              <w:rPr>
                <w:sz w:val="16"/>
                <w:szCs w:val="16"/>
                <w:lang w:eastAsia="zh-CN"/>
              </w:rPr>
              <w:t>17.5.0</w:t>
            </w:r>
          </w:p>
        </w:tc>
      </w:tr>
      <w:tr w:rsidR="003A5900" w:rsidRPr="00B916EC" w14:paraId="03EEDD0C" w14:textId="77777777" w:rsidTr="00C12CAE">
        <w:tc>
          <w:tcPr>
            <w:tcW w:w="894" w:type="dxa"/>
            <w:tcBorders>
              <w:top w:val="single" w:sz="6" w:space="0" w:color="auto"/>
              <w:left w:val="single" w:sz="6" w:space="0" w:color="auto"/>
              <w:bottom w:val="single" w:sz="6" w:space="0" w:color="auto"/>
              <w:right w:val="single" w:sz="6" w:space="0" w:color="auto"/>
            </w:tcBorders>
            <w:shd w:val="solid" w:color="FFFFFF" w:fill="auto"/>
          </w:tcPr>
          <w:p w14:paraId="54EBEE18" w14:textId="77777777" w:rsidR="003A5900" w:rsidRPr="00B916EC" w:rsidRDefault="003A5900" w:rsidP="00C12CA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A19E795" w14:textId="77777777" w:rsidR="003A5900" w:rsidRPr="00B916EC" w:rsidRDefault="003A5900" w:rsidP="00C12CAE">
            <w:pPr>
              <w:pStyle w:val="TAL"/>
              <w:rPr>
                <w:sz w:val="16"/>
                <w:szCs w:val="16"/>
                <w:lang w:eastAsia="zh-CN"/>
              </w:rPr>
            </w:pPr>
            <w:r w:rsidRPr="00B916EC">
              <w:rPr>
                <w:sz w:val="16"/>
                <w:szCs w:val="16"/>
                <w:lang w:eastAsia="zh-CN"/>
              </w:rPr>
              <w:t>RAN#</w:t>
            </w:r>
            <w:r>
              <w:rPr>
                <w:sz w:val="16"/>
                <w:szCs w:val="16"/>
                <w:lang w:eastAsia="zh-CN"/>
              </w:rPr>
              <w:t>99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ED6294D" w14:textId="42D69A79" w:rsidR="003A5900" w:rsidRDefault="003A5900" w:rsidP="00C12CAE">
            <w:pPr>
              <w:pStyle w:val="TAL"/>
              <w:rPr>
                <w:sz w:val="16"/>
                <w:szCs w:val="16"/>
                <w:lang w:eastAsia="zh-CN"/>
              </w:rPr>
            </w:pPr>
            <w:r w:rsidRPr="00FA4CFB">
              <w:rPr>
                <w:sz w:val="16"/>
                <w:szCs w:val="16"/>
                <w:lang w:eastAsia="zh-CN"/>
              </w:rPr>
              <w:t>RP-2</w:t>
            </w:r>
            <w:r>
              <w:rPr>
                <w:sz w:val="16"/>
                <w:szCs w:val="16"/>
                <w:lang w:eastAsia="zh-CN"/>
              </w:rPr>
              <w:t>30444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8FB57A7" w14:textId="6AED4D30" w:rsidR="003A5900" w:rsidRDefault="003A5900" w:rsidP="00C12CAE">
            <w:pPr>
              <w:pStyle w:val="TAL"/>
              <w:rPr>
                <w:sz w:val="16"/>
                <w:szCs w:val="16"/>
              </w:rPr>
            </w:pPr>
            <w:r>
              <w:rPr>
                <w:sz w:val="16"/>
                <w:szCs w:val="16"/>
              </w:rPr>
              <w:t>0458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D5E4BA1" w14:textId="77777777" w:rsidR="003A5900" w:rsidRDefault="003A5900" w:rsidP="00C12CA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5882E8A" w14:textId="77777777" w:rsidR="003A5900" w:rsidRDefault="003A5900" w:rsidP="00C12CA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46E2FD0" w14:textId="00017217" w:rsidR="003A5900" w:rsidRPr="005D126D" w:rsidRDefault="003A5900" w:rsidP="00C12CAE">
            <w:pPr>
              <w:spacing w:after="0"/>
              <w:rPr>
                <w:rFonts w:ascii="Arial" w:hAnsi="Arial"/>
                <w:sz w:val="16"/>
              </w:rPr>
            </w:pPr>
            <w:r w:rsidRPr="003A5900">
              <w:rPr>
                <w:rFonts w:ascii="Arial" w:hAnsi="Arial"/>
                <w:sz w:val="16"/>
              </w:rPr>
              <w:t>CR on the Type-1 HARQ-ACK codebook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22D0393" w14:textId="77777777" w:rsidR="003A5900" w:rsidRDefault="003A5900" w:rsidP="00C12CAE">
            <w:pPr>
              <w:pStyle w:val="TAL"/>
              <w:rPr>
                <w:sz w:val="16"/>
                <w:szCs w:val="16"/>
                <w:lang w:eastAsia="zh-CN"/>
              </w:rPr>
            </w:pPr>
            <w:r>
              <w:rPr>
                <w:sz w:val="16"/>
                <w:szCs w:val="16"/>
                <w:lang w:eastAsia="zh-CN"/>
              </w:rPr>
              <w:t>17.5.0</w:t>
            </w:r>
          </w:p>
        </w:tc>
      </w:tr>
      <w:tr w:rsidR="00664302" w:rsidRPr="00B916EC" w14:paraId="03716D7E" w14:textId="77777777" w:rsidTr="00C12CAE">
        <w:tc>
          <w:tcPr>
            <w:tcW w:w="894" w:type="dxa"/>
            <w:tcBorders>
              <w:top w:val="single" w:sz="6" w:space="0" w:color="auto"/>
              <w:left w:val="single" w:sz="6" w:space="0" w:color="auto"/>
              <w:bottom w:val="single" w:sz="6" w:space="0" w:color="auto"/>
              <w:right w:val="single" w:sz="6" w:space="0" w:color="auto"/>
            </w:tcBorders>
            <w:shd w:val="solid" w:color="FFFFFF" w:fill="auto"/>
          </w:tcPr>
          <w:p w14:paraId="58315197" w14:textId="77777777" w:rsidR="00664302" w:rsidRPr="00B916EC" w:rsidRDefault="00664302" w:rsidP="00C12CA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713ED89" w14:textId="77777777" w:rsidR="00664302" w:rsidRPr="00B916EC" w:rsidRDefault="00664302" w:rsidP="00C12CAE">
            <w:pPr>
              <w:pStyle w:val="TAL"/>
              <w:rPr>
                <w:sz w:val="16"/>
                <w:szCs w:val="16"/>
                <w:lang w:eastAsia="zh-CN"/>
              </w:rPr>
            </w:pPr>
            <w:r w:rsidRPr="00B916EC">
              <w:rPr>
                <w:sz w:val="16"/>
                <w:szCs w:val="16"/>
                <w:lang w:eastAsia="zh-CN"/>
              </w:rPr>
              <w:t>RAN#</w:t>
            </w:r>
            <w:r>
              <w:rPr>
                <w:sz w:val="16"/>
                <w:szCs w:val="16"/>
                <w:lang w:eastAsia="zh-CN"/>
              </w:rPr>
              <w:t>99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28C9F3F" w14:textId="355D924F" w:rsidR="00664302" w:rsidRDefault="00664302" w:rsidP="00C12CAE">
            <w:pPr>
              <w:pStyle w:val="TAL"/>
              <w:rPr>
                <w:sz w:val="16"/>
                <w:szCs w:val="16"/>
                <w:lang w:eastAsia="zh-CN"/>
              </w:rPr>
            </w:pPr>
            <w:r w:rsidRPr="00FA4CFB">
              <w:rPr>
                <w:sz w:val="16"/>
                <w:szCs w:val="16"/>
                <w:lang w:eastAsia="zh-CN"/>
              </w:rPr>
              <w:t>RP-2</w:t>
            </w:r>
            <w:r>
              <w:rPr>
                <w:sz w:val="16"/>
                <w:szCs w:val="16"/>
                <w:lang w:eastAsia="zh-CN"/>
              </w:rPr>
              <w:t>30439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7C6251A" w14:textId="5E1EBE96" w:rsidR="00664302" w:rsidRDefault="00664302" w:rsidP="00C12CAE">
            <w:pPr>
              <w:pStyle w:val="TAL"/>
              <w:rPr>
                <w:sz w:val="16"/>
                <w:szCs w:val="16"/>
              </w:rPr>
            </w:pPr>
            <w:r>
              <w:rPr>
                <w:sz w:val="16"/>
                <w:szCs w:val="16"/>
              </w:rPr>
              <w:t>0460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78A41E5" w14:textId="77777777" w:rsidR="00664302" w:rsidRDefault="00664302" w:rsidP="00C12CA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E0EB3F3" w14:textId="015E74FB" w:rsidR="00664302" w:rsidRDefault="00664302" w:rsidP="00C12CAE">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751A4F3C" w14:textId="286007B3" w:rsidR="00664302" w:rsidRPr="005D126D" w:rsidRDefault="00664302" w:rsidP="00C12CAE">
            <w:pPr>
              <w:spacing w:after="0"/>
              <w:rPr>
                <w:rFonts w:ascii="Arial" w:hAnsi="Arial"/>
                <w:sz w:val="16"/>
              </w:rPr>
            </w:pPr>
            <w:r w:rsidRPr="00664302">
              <w:rPr>
                <w:rFonts w:ascii="Arial" w:hAnsi="Arial"/>
                <w:sz w:val="16"/>
              </w:rPr>
              <w:t>Corrections on PSFCH power determination in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D5EA876" w14:textId="77777777" w:rsidR="00664302" w:rsidRDefault="00664302" w:rsidP="00C12CAE">
            <w:pPr>
              <w:pStyle w:val="TAL"/>
              <w:rPr>
                <w:sz w:val="16"/>
                <w:szCs w:val="16"/>
                <w:lang w:eastAsia="zh-CN"/>
              </w:rPr>
            </w:pPr>
            <w:r>
              <w:rPr>
                <w:sz w:val="16"/>
                <w:szCs w:val="16"/>
                <w:lang w:eastAsia="zh-CN"/>
              </w:rPr>
              <w:t>17.5.0</w:t>
            </w:r>
          </w:p>
        </w:tc>
      </w:tr>
      <w:tr w:rsidR="00664302" w:rsidRPr="00B916EC" w14:paraId="5FBC8843" w14:textId="77777777" w:rsidTr="00C12CAE">
        <w:tc>
          <w:tcPr>
            <w:tcW w:w="894" w:type="dxa"/>
            <w:tcBorders>
              <w:top w:val="single" w:sz="6" w:space="0" w:color="auto"/>
              <w:left w:val="single" w:sz="6" w:space="0" w:color="auto"/>
              <w:bottom w:val="single" w:sz="6" w:space="0" w:color="auto"/>
              <w:right w:val="single" w:sz="6" w:space="0" w:color="auto"/>
            </w:tcBorders>
            <w:shd w:val="solid" w:color="FFFFFF" w:fill="auto"/>
          </w:tcPr>
          <w:p w14:paraId="3AB7E276" w14:textId="77777777" w:rsidR="00664302" w:rsidRPr="00B916EC" w:rsidRDefault="00664302" w:rsidP="00C12CA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B77A687" w14:textId="77777777" w:rsidR="00664302" w:rsidRPr="00B916EC" w:rsidRDefault="00664302" w:rsidP="00C12CAE">
            <w:pPr>
              <w:pStyle w:val="TAL"/>
              <w:rPr>
                <w:sz w:val="16"/>
                <w:szCs w:val="16"/>
                <w:lang w:eastAsia="zh-CN"/>
              </w:rPr>
            </w:pPr>
            <w:r w:rsidRPr="00B916EC">
              <w:rPr>
                <w:sz w:val="16"/>
                <w:szCs w:val="16"/>
                <w:lang w:eastAsia="zh-CN"/>
              </w:rPr>
              <w:t>RAN#</w:t>
            </w:r>
            <w:r>
              <w:rPr>
                <w:sz w:val="16"/>
                <w:szCs w:val="16"/>
                <w:lang w:eastAsia="zh-CN"/>
              </w:rPr>
              <w:t>99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83C64D4" w14:textId="0A75A818" w:rsidR="00664302" w:rsidRDefault="00664302" w:rsidP="00C12CAE">
            <w:pPr>
              <w:pStyle w:val="TAL"/>
              <w:rPr>
                <w:sz w:val="16"/>
                <w:szCs w:val="16"/>
                <w:lang w:eastAsia="zh-CN"/>
              </w:rPr>
            </w:pPr>
            <w:r w:rsidRPr="00FA4CFB">
              <w:rPr>
                <w:sz w:val="16"/>
                <w:szCs w:val="16"/>
                <w:lang w:eastAsia="zh-CN"/>
              </w:rPr>
              <w:t>RP-2</w:t>
            </w:r>
            <w:r>
              <w:rPr>
                <w:sz w:val="16"/>
                <w:szCs w:val="16"/>
                <w:lang w:eastAsia="zh-CN"/>
              </w:rPr>
              <w:t>30440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FF50669" w14:textId="58276884" w:rsidR="00664302" w:rsidRDefault="00664302" w:rsidP="00C12CAE">
            <w:pPr>
              <w:pStyle w:val="TAL"/>
              <w:rPr>
                <w:sz w:val="16"/>
                <w:szCs w:val="16"/>
              </w:rPr>
            </w:pPr>
            <w:r>
              <w:rPr>
                <w:sz w:val="16"/>
                <w:szCs w:val="16"/>
              </w:rPr>
              <w:t>0462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603CB7A" w14:textId="77777777" w:rsidR="00664302" w:rsidRDefault="00664302" w:rsidP="00C12CA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AA1DF49" w14:textId="77777777" w:rsidR="00664302" w:rsidRDefault="00664302" w:rsidP="00C12CAE">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EFFD6CD" w14:textId="7986796A" w:rsidR="00664302" w:rsidRPr="005D126D" w:rsidRDefault="00664302" w:rsidP="00C12CAE">
            <w:pPr>
              <w:spacing w:after="0"/>
              <w:rPr>
                <w:rFonts w:ascii="Arial" w:hAnsi="Arial"/>
                <w:sz w:val="16"/>
              </w:rPr>
            </w:pPr>
            <w:r w:rsidRPr="00664302">
              <w:rPr>
                <w:rFonts w:ascii="Arial" w:hAnsi="Arial"/>
                <w:sz w:val="16"/>
              </w:rPr>
              <w:t>Rel-16 editorial corrections for TS 38.213 (mirrored to Rel-17)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E043CC" w14:textId="77777777" w:rsidR="00664302" w:rsidRDefault="00664302" w:rsidP="00C12CAE">
            <w:pPr>
              <w:pStyle w:val="TAL"/>
              <w:rPr>
                <w:sz w:val="16"/>
                <w:szCs w:val="16"/>
                <w:lang w:eastAsia="zh-CN"/>
              </w:rPr>
            </w:pPr>
            <w:r>
              <w:rPr>
                <w:sz w:val="16"/>
                <w:szCs w:val="16"/>
                <w:lang w:eastAsia="zh-CN"/>
              </w:rPr>
              <w:t>17.5.0</w:t>
            </w:r>
          </w:p>
        </w:tc>
      </w:tr>
      <w:tr w:rsidR="00664302" w:rsidRPr="00B916EC" w14:paraId="58D7709E" w14:textId="77777777" w:rsidTr="00C12CAE">
        <w:tc>
          <w:tcPr>
            <w:tcW w:w="894" w:type="dxa"/>
            <w:tcBorders>
              <w:top w:val="single" w:sz="6" w:space="0" w:color="auto"/>
              <w:left w:val="single" w:sz="6" w:space="0" w:color="auto"/>
              <w:bottom w:val="single" w:sz="6" w:space="0" w:color="auto"/>
              <w:right w:val="single" w:sz="6" w:space="0" w:color="auto"/>
            </w:tcBorders>
            <w:shd w:val="solid" w:color="FFFFFF" w:fill="auto"/>
          </w:tcPr>
          <w:p w14:paraId="4815AF82" w14:textId="77777777" w:rsidR="00664302" w:rsidRPr="00B916EC" w:rsidRDefault="00664302" w:rsidP="00C12CAE">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23-03</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2FAF961" w14:textId="77777777" w:rsidR="00664302" w:rsidRPr="00B916EC" w:rsidRDefault="00664302" w:rsidP="00C12CAE">
            <w:pPr>
              <w:pStyle w:val="TAL"/>
              <w:rPr>
                <w:sz w:val="16"/>
                <w:szCs w:val="16"/>
                <w:lang w:eastAsia="zh-CN"/>
              </w:rPr>
            </w:pPr>
            <w:r w:rsidRPr="00B916EC">
              <w:rPr>
                <w:sz w:val="16"/>
                <w:szCs w:val="16"/>
                <w:lang w:eastAsia="zh-CN"/>
              </w:rPr>
              <w:t>RAN#</w:t>
            </w:r>
            <w:r>
              <w:rPr>
                <w:sz w:val="16"/>
                <w:szCs w:val="16"/>
                <w:lang w:eastAsia="zh-CN"/>
              </w:rPr>
              <w:t>99</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13DA7F8" w14:textId="2CB79D9D" w:rsidR="00664302" w:rsidRDefault="00664302" w:rsidP="00C12CAE">
            <w:pPr>
              <w:pStyle w:val="TAL"/>
              <w:rPr>
                <w:sz w:val="16"/>
                <w:szCs w:val="16"/>
                <w:lang w:eastAsia="zh-CN"/>
              </w:rPr>
            </w:pPr>
            <w:r w:rsidRPr="00FA4CFB">
              <w:rPr>
                <w:sz w:val="16"/>
                <w:szCs w:val="16"/>
                <w:lang w:eastAsia="zh-CN"/>
              </w:rPr>
              <w:t>RP-2</w:t>
            </w:r>
            <w:r>
              <w:rPr>
                <w:sz w:val="16"/>
                <w:szCs w:val="16"/>
                <w:lang w:eastAsia="zh-CN"/>
              </w:rPr>
              <w:t>30453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561DBF7" w14:textId="64A9FFBB" w:rsidR="00664302" w:rsidRDefault="00664302" w:rsidP="00C12CAE">
            <w:pPr>
              <w:pStyle w:val="TAL"/>
              <w:rPr>
                <w:sz w:val="16"/>
                <w:szCs w:val="16"/>
              </w:rPr>
            </w:pPr>
            <w:r>
              <w:rPr>
                <w:sz w:val="16"/>
                <w:szCs w:val="16"/>
              </w:rPr>
              <w:t>0463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64081D9" w14:textId="77777777" w:rsidR="00664302" w:rsidRDefault="00664302" w:rsidP="00C12CAE">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3C249FC" w14:textId="7A4E80D8" w:rsidR="00664302" w:rsidRDefault="00664302" w:rsidP="00C12CAE">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F9D0E9A" w14:textId="5864B06F" w:rsidR="00664302" w:rsidRPr="005D126D" w:rsidRDefault="00664302" w:rsidP="00C12CAE">
            <w:pPr>
              <w:spacing w:after="0"/>
              <w:rPr>
                <w:rFonts w:ascii="Arial" w:hAnsi="Arial"/>
                <w:sz w:val="16"/>
              </w:rPr>
            </w:pPr>
            <w:r w:rsidRPr="00664302">
              <w:rPr>
                <w:rFonts w:ascii="Arial" w:hAnsi="Arial"/>
                <w:sz w:val="16"/>
              </w:rPr>
              <w:t>Rel-1</w:t>
            </w:r>
            <w:r>
              <w:rPr>
                <w:rFonts w:ascii="Arial" w:hAnsi="Arial"/>
                <w:sz w:val="16"/>
              </w:rPr>
              <w:t>7</w:t>
            </w:r>
            <w:r w:rsidRPr="00664302">
              <w:rPr>
                <w:rFonts w:ascii="Arial" w:hAnsi="Arial"/>
                <w:sz w:val="16"/>
              </w:rPr>
              <w:t xml:space="preserve"> editorial corrections for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4623C7" w14:textId="77777777" w:rsidR="00664302" w:rsidRDefault="00664302" w:rsidP="00C12CAE">
            <w:pPr>
              <w:pStyle w:val="TAL"/>
              <w:rPr>
                <w:sz w:val="16"/>
                <w:szCs w:val="16"/>
                <w:lang w:eastAsia="zh-CN"/>
              </w:rPr>
            </w:pPr>
            <w:r>
              <w:rPr>
                <w:sz w:val="16"/>
                <w:szCs w:val="16"/>
                <w:lang w:eastAsia="zh-CN"/>
              </w:rPr>
              <w:t>17.5.0</w:t>
            </w:r>
          </w:p>
        </w:tc>
      </w:tr>
      <w:tr w:rsidR="002B6B38" w:rsidRPr="00B916EC" w14:paraId="1D8B8014" w14:textId="77777777" w:rsidTr="00AB7894">
        <w:tc>
          <w:tcPr>
            <w:tcW w:w="894" w:type="dxa"/>
            <w:tcBorders>
              <w:top w:val="single" w:sz="6" w:space="0" w:color="auto"/>
              <w:left w:val="single" w:sz="6" w:space="0" w:color="auto"/>
              <w:bottom w:val="single" w:sz="6" w:space="0" w:color="auto"/>
              <w:right w:val="single" w:sz="6" w:space="0" w:color="auto"/>
            </w:tcBorders>
            <w:shd w:val="solid" w:color="FFFFFF" w:fill="auto"/>
          </w:tcPr>
          <w:p w14:paraId="04A5204E" w14:textId="223D5283" w:rsidR="002B6B38" w:rsidRPr="00B916EC" w:rsidRDefault="002B6B38" w:rsidP="00AB7894">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4DD513EC" w14:textId="603CB8F9" w:rsidR="002B6B38" w:rsidRPr="00B916EC" w:rsidRDefault="002B6B38" w:rsidP="00AB7894">
            <w:pPr>
              <w:pStyle w:val="TAL"/>
              <w:rPr>
                <w:sz w:val="16"/>
                <w:szCs w:val="16"/>
                <w:lang w:eastAsia="zh-CN"/>
              </w:rPr>
            </w:pPr>
            <w:r w:rsidRPr="00B916EC">
              <w:rPr>
                <w:sz w:val="16"/>
                <w:szCs w:val="16"/>
                <w:lang w:eastAsia="zh-CN"/>
              </w:rPr>
              <w:t>RAN#</w:t>
            </w:r>
            <w:r>
              <w:rPr>
                <w:sz w:val="16"/>
                <w:szCs w:val="16"/>
                <w:lang w:eastAsia="zh-CN"/>
              </w:rPr>
              <w:t>100</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26A186F" w14:textId="095BF6DE" w:rsidR="002B6B38" w:rsidRDefault="002B6B38" w:rsidP="00AB7894">
            <w:pPr>
              <w:pStyle w:val="TAL"/>
              <w:rPr>
                <w:sz w:val="16"/>
                <w:szCs w:val="16"/>
                <w:lang w:eastAsia="zh-CN"/>
              </w:rPr>
            </w:pPr>
            <w:r w:rsidRPr="002B6B38">
              <w:rPr>
                <w:sz w:val="16"/>
                <w:szCs w:val="16"/>
                <w:lang w:eastAsia="zh-CN"/>
              </w:rPr>
              <w:t>RP-231230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B3809AE" w14:textId="67DB5C43" w:rsidR="002B6B38" w:rsidRDefault="002B6B38" w:rsidP="00AB7894">
            <w:pPr>
              <w:pStyle w:val="TAL"/>
              <w:rPr>
                <w:sz w:val="16"/>
                <w:szCs w:val="16"/>
              </w:rPr>
            </w:pPr>
            <w:r>
              <w:rPr>
                <w:sz w:val="16"/>
                <w:szCs w:val="16"/>
              </w:rPr>
              <w:t>0466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FD82A42" w14:textId="77777777" w:rsidR="002B6B38" w:rsidRDefault="002B6B38" w:rsidP="00AB789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2DA12D9" w14:textId="2FB853C3" w:rsidR="002B6B38" w:rsidRDefault="002B6B38" w:rsidP="00AB7894">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311E5D4" w14:textId="5ACC9903" w:rsidR="002B6B38" w:rsidRPr="005D126D" w:rsidRDefault="002B6B38" w:rsidP="00AB7894">
            <w:pPr>
              <w:spacing w:after="0"/>
              <w:rPr>
                <w:rFonts w:ascii="Arial" w:hAnsi="Arial"/>
                <w:sz w:val="16"/>
              </w:rPr>
            </w:pPr>
            <w:r w:rsidRPr="002B6B38">
              <w:rPr>
                <w:rFonts w:ascii="Arial" w:hAnsi="Arial"/>
                <w:sz w:val="16"/>
              </w:rPr>
              <w:t>Correction on the mapping of PDSCH-to-HARQ_feedback timing indicator field values in Rel-17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0AAA512" w14:textId="63EB755A" w:rsidR="002B6B38" w:rsidRDefault="002B6B38" w:rsidP="00AB7894">
            <w:pPr>
              <w:pStyle w:val="TAL"/>
              <w:rPr>
                <w:sz w:val="16"/>
                <w:szCs w:val="16"/>
                <w:lang w:eastAsia="zh-CN"/>
              </w:rPr>
            </w:pPr>
            <w:r>
              <w:rPr>
                <w:sz w:val="16"/>
                <w:szCs w:val="16"/>
                <w:lang w:eastAsia="zh-CN"/>
              </w:rPr>
              <w:t>17.6.0</w:t>
            </w:r>
          </w:p>
        </w:tc>
      </w:tr>
      <w:tr w:rsidR="002B6B38" w:rsidRPr="00B916EC" w14:paraId="3A320CAB" w14:textId="77777777" w:rsidTr="00AB7894">
        <w:tc>
          <w:tcPr>
            <w:tcW w:w="894" w:type="dxa"/>
            <w:tcBorders>
              <w:top w:val="single" w:sz="6" w:space="0" w:color="auto"/>
              <w:left w:val="single" w:sz="6" w:space="0" w:color="auto"/>
              <w:bottom w:val="single" w:sz="6" w:space="0" w:color="auto"/>
              <w:right w:val="single" w:sz="6" w:space="0" w:color="auto"/>
            </w:tcBorders>
            <w:shd w:val="solid" w:color="FFFFFF" w:fill="auto"/>
          </w:tcPr>
          <w:p w14:paraId="02100114" w14:textId="77777777" w:rsidR="002B6B38" w:rsidRPr="00B916EC" w:rsidRDefault="002B6B38" w:rsidP="00AB7894">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B060A7F" w14:textId="77777777" w:rsidR="002B6B38" w:rsidRPr="00B916EC" w:rsidRDefault="002B6B38" w:rsidP="00AB7894">
            <w:pPr>
              <w:pStyle w:val="TAL"/>
              <w:rPr>
                <w:sz w:val="16"/>
                <w:szCs w:val="16"/>
                <w:lang w:eastAsia="zh-CN"/>
              </w:rPr>
            </w:pPr>
            <w:r w:rsidRPr="00B916EC">
              <w:rPr>
                <w:sz w:val="16"/>
                <w:szCs w:val="16"/>
                <w:lang w:eastAsia="zh-CN"/>
              </w:rPr>
              <w:t>RAN#</w:t>
            </w:r>
            <w:r>
              <w:rPr>
                <w:sz w:val="16"/>
                <w:szCs w:val="16"/>
                <w:lang w:eastAsia="zh-CN"/>
              </w:rPr>
              <w:t>100</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1CD86BF" w14:textId="4E6884DB" w:rsidR="002B6B38" w:rsidRDefault="002B6B38" w:rsidP="00AB7894">
            <w:pPr>
              <w:pStyle w:val="TAL"/>
              <w:rPr>
                <w:sz w:val="16"/>
                <w:szCs w:val="16"/>
                <w:lang w:eastAsia="zh-CN"/>
              </w:rPr>
            </w:pPr>
            <w:r w:rsidRPr="002B6B38">
              <w:rPr>
                <w:sz w:val="16"/>
                <w:szCs w:val="16"/>
                <w:lang w:eastAsia="zh-CN"/>
              </w:rPr>
              <w:t>RP-2312</w:t>
            </w:r>
            <w:r>
              <w:rPr>
                <w:sz w:val="16"/>
                <w:szCs w:val="16"/>
                <w:lang w:eastAsia="zh-CN"/>
              </w:rPr>
              <w:t>2</w:t>
            </w:r>
            <w:r w:rsidRPr="002B6B38">
              <w:rPr>
                <w:sz w:val="16"/>
                <w:szCs w:val="16"/>
                <w:lang w:eastAsia="zh-CN"/>
              </w:rPr>
              <w:t>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4B751B5" w14:textId="772B1630" w:rsidR="002B6B38" w:rsidRDefault="002B6B38" w:rsidP="00AB7894">
            <w:pPr>
              <w:pStyle w:val="TAL"/>
              <w:rPr>
                <w:sz w:val="16"/>
                <w:szCs w:val="16"/>
              </w:rPr>
            </w:pPr>
            <w:r>
              <w:rPr>
                <w:sz w:val="16"/>
                <w:szCs w:val="16"/>
              </w:rPr>
              <w:t>0467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7C68491" w14:textId="77777777" w:rsidR="002B6B38" w:rsidRDefault="002B6B38" w:rsidP="00AB789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5D8733C" w14:textId="0A926093" w:rsidR="002B6B38" w:rsidRDefault="002B6B38" w:rsidP="00AB789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BC9A65A" w14:textId="7ED10C11" w:rsidR="002B6B38" w:rsidRPr="005D126D" w:rsidRDefault="002B6B38" w:rsidP="00AB7894">
            <w:pPr>
              <w:spacing w:after="0"/>
              <w:rPr>
                <w:rFonts w:ascii="Arial" w:hAnsi="Arial"/>
                <w:sz w:val="16"/>
              </w:rPr>
            </w:pPr>
            <w:r w:rsidRPr="002B6B38">
              <w:rPr>
                <w:rFonts w:ascii="Arial" w:hAnsi="Arial"/>
                <w:sz w:val="16"/>
              </w:rPr>
              <w:t>CR on enhanced type-3 HARQ-ACK codebook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1FFB791" w14:textId="77777777" w:rsidR="002B6B38" w:rsidRDefault="002B6B38" w:rsidP="00AB7894">
            <w:pPr>
              <w:pStyle w:val="TAL"/>
              <w:rPr>
                <w:sz w:val="16"/>
                <w:szCs w:val="16"/>
                <w:lang w:eastAsia="zh-CN"/>
              </w:rPr>
            </w:pPr>
            <w:r>
              <w:rPr>
                <w:sz w:val="16"/>
                <w:szCs w:val="16"/>
                <w:lang w:eastAsia="zh-CN"/>
              </w:rPr>
              <w:t>17.6.0</w:t>
            </w:r>
          </w:p>
        </w:tc>
      </w:tr>
      <w:tr w:rsidR="00771F9A" w:rsidRPr="00B916EC" w14:paraId="767B08E2" w14:textId="77777777" w:rsidTr="00AB7894">
        <w:tc>
          <w:tcPr>
            <w:tcW w:w="894" w:type="dxa"/>
            <w:tcBorders>
              <w:top w:val="single" w:sz="6" w:space="0" w:color="auto"/>
              <w:left w:val="single" w:sz="6" w:space="0" w:color="auto"/>
              <w:bottom w:val="single" w:sz="6" w:space="0" w:color="auto"/>
              <w:right w:val="single" w:sz="6" w:space="0" w:color="auto"/>
            </w:tcBorders>
            <w:shd w:val="solid" w:color="FFFFFF" w:fill="auto"/>
          </w:tcPr>
          <w:p w14:paraId="591D8A57" w14:textId="77777777" w:rsidR="00771F9A" w:rsidRPr="00B916EC" w:rsidRDefault="00771F9A" w:rsidP="00AB7894">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D5117BA" w14:textId="77777777" w:rsidR="00771F9A" w:rsidRPr="00B916EC" w:rsidRDefault="00771F9A" w:rsidP="00AB7894">
            <w:pPr>
              <w:pStyle w:val="TAL"/>
              <w:rPr>
                <w:sz w:val="16"/>
                <w:szCs w:val="16"/>
                <w:lang w:eastAsia="zh-CN"/>
              </w:rPr>
            </w:pPr>
            <w:r w:rsidRPr="00B916EC">
              <w:rPr>
                <w:sz w:val="16"/>
                <w:szCs w:val="16"/>
                <w:lang w:eastAsia="zh-CN"/>
              </w:rPr>
              <w:t>RAN#</w:t>
            </w:r>
            <w:r>
              <w:rPr>
                <w:sz w:val="16"/>
                <w:szCs w:val="16"/>
                <w:lang w:eastAsia="zh-CN"/>
              </w:rPr>
              <w:t>100</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B081889" w14:textId="27C48F2D" w:rsidR="00771F9A" w:rsidRDefault="00771F9A" w:rsidP="00AB7894">
            <w:pPr>
              <w:pStyle w:val="TAL"/>
              <w:rPr>
                <w:sz w:val="16"/>
                <w:szCs w:val="16"/>
                <w:lang w:eastAsia="zh-CN"/>
              </w:rPr>
            </w:pPr>
            <w:r w:rsidRPr="002B6B38">
              <w:rPr>
                <w:sz w:val="16"/>
                <w:szCs w:val="16"/>
                <w:lang w:eastAsia="zh-CN"/>
              </w:rPr>
              <w:t>RP-2312</w:t>
            </w:r>
            <w:r>
              <w:rPr>
                <w:sz w:val="16"/>
                <w:szCs w:val="16"/>
                <w:lang w:eastAsia="zh-CN"/>
              </w:rPr>
              <w:t>21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0A1EAB4" w14:textId="024CD29F" w:rsidR="00771F9A" w:rsidRDefault="00771F9A" w:rsidP="00AB7894">
            <w:pPr>
              <w:pStyle w:val="TAL"/>
              <w:rPr>
                <w:sz w:val="16"/>
                <w:szCs w:val="16"/>
              </w:rPr>
            </w:pPr>
            <w:r>
              <w:rPr>
                <w:sz w:val="16"/>
                <w:szCs w:val="16"/>
              </w:rPr>
              <w:t>0468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EB5D84D" w14:textId="77777777" w:rsidR="00771F9A" w:rsidRDefault="00771F9A" w:rsidP="00AB789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137E4CD" w14:textId="77777777" w:rsidR="00771F9A" w:rsidRDefault="00771F9A" w:rsidP="00AB789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8517CCA" w14:textId="038B6E10" w:rsidR="00771F9A" w:rsidRPr="005D126D" w:rsidRDefault="00771F9A" w:rsidP="00AB7894">
            <w:pPr>
              <w:spacing w:after="0"/>
              <w:rPr>
                <w:rFonts w:ascii="Arial" w:hAnsi="Arial"/>
                <w:sz w:val="16"/>
              </w:rPr>
            </w:pPr>
            <w:r w:rsidRPr="00771F9A">
              <w:rPr>
                <w:rFonts w:ascii="Arial" w:hAnsi="Arial"/>
                <w:sz w:val="16"/>
              </w:rPr>
              <w:t>Corrections on Type-3 HARQ-ACK codebook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92D35F0" w14:textId="77777777" w:rsidR="00771F9A" w:rsidRDefault="00771F9A" w:rsidP="00AB7894">
            <w:pPr>
              <w:pStyle w:val="TAL"/>
              <w:rPr>
                <w:sz w:val="16"/>
                <w:szCs w:val="16"/>
                <w:lang w:eastAsia="zh-CN"/>
              </w:rPr>
            </w:pPr>
            <w:r>
              <w:rPr>
                <w:sz w:val="16"/>
                <w:szCs w:val="16"/>
                <w:lang w:eastAsia="zh-CN"/>
              </w:rPr>
              <w:t>17.6.0</w:t>
            </w:r>
          </w:p>
        </w:tc>
      </w:tr>
      <w:tr w:rsidR="00B75E19" w:rsidRPr="00B916EC" w14:paraId="4BCF6FC6" w14:textId="77777777" w:rsidTr="00AB7894">
        <w:tc>
          <w:tcPr>
            <w:tcW w:w="894" w:type="dxa"/>
            <w:tcBorders>
              <w:top w:val="single" w:sz="6" w:space="0" w:color="auto"/>
              <w:left w:val="single" w:sz="6" w:space="0" w:color="auto"/>
              <w:bottom w:val="single" w:sz="6" w:space="0" w:color="auto"/>
              <w:right w:val="single" w:sz="6" w:space="0" w:color="auto"/>
            </w:tcBorders>
            <w:shd w:val="solid" w:color="FFFFFF" w:fill="auto"/>
          </w:tcPr>
          <w:p w14:paraId="1A191C50" w14:textId="77777777" w:rsidR="00B75E19" w:rsidRPr="00B916EC" w:rsidRDefault="00B75E19" w:rsidP="00AB7894">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05FDBF0" w14:textId="77777777" w:rsidR="00B75E19" w:rsidRPr="00B916EC" w:rsidRDefault="00B75E19" w:rsidP="00AB7894">
            <w:pPr>
              <w:pStyle w:val="TAL"/>
              <w:rPr>
                <w:sz w:val="16"/>
                <w:szCs w:val="16"/>
                <w:lang w:eastAsia="zh-CN"/>
              </w:rPr>
            </w:pPr>
            <w:r w:rsidRPr="00B916EC">
              <w:rPr>
                <w:sz w:val="16"/>
                <w:szCs w:val="16"/>
                <w:lang w:eastAsia="zh-CN"/>
              </w:rPr>
              <w:t>RAN#</w:t>
            </w:r>
            <w:r>
              <w:rPr>
                <w:sz w:val="16"/>
                <w:szCs w:val="16"/>
                <w:lang w:eastAsia="zh-CN"/>
              </w:rPr>
              <w:t>100</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8856CD8" w14:textId="0BF92E36" w:rsidR="00B75E19" w:rsidRDefault="00B75E19" w:rsidP="00AB7894">
            <w:pPr>
              <w:pStyle w:val="TAL"/>
              <w:rPr>
                <w:sz w:val="16"/>
                <w:szCs w:val="16"/>
                <w:lang w:eastAsia="zh-CN"/>
              </w:rPr>
            </w:pPr>
            <w:r w:rsidRPr="002B6B38">
              <w:rPr>
                <w:sz w:val="16"/>
                <w:szCs w:val="16"/>
                <w:lang w:eastAsia="zh-CN"/>
              </w:rPr>
              <w:t>RP-2312</w:t>
            </w:r>
            <w:r>
              <w:rPr>
                <w:sz w:val="16"/>
                <w:szCs w:val="16"/>
                <w:lang w:eastAsia="zh-CN"/>
              </w:rPr>
              <w:t>27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1AD481B" w14:textId="6D90A059" w:rsidR="00B75E19" w:rsidRDefault="00B75E19" w:rsidP="00AB7894">
            <w:pPr>
              <w:pStyle w:val="TAL"/>
              <w:rPr>
                <w:sz w:val="16"/>
                <w:szCs w:val="16"/>
              </w:rPr>
            </w:pPr>
            <w:r>
              <w:rPr>
                <w:sz w:val="16"/>
                <w:szCs w:val="16"/>
              </w:rPr>
              <w:t>0470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FB3D8AC" w14:textId="77777777" w:rsidR="00B75E19" w:rsidRDefault="00B75E19" w:rsidP="00AB789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18C2669" w14:textId="1207C556" w:rsidR="00B75E19" w:rsidRDefault="00B75E19" w:rsidP="00AB7894">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8AA7883" w14:textId="6EAA1854" w:rsidR="00B75E19" w:rsidRPr="005D126D" w:rsidRDefault="00B75E19" w:rsidP="00AB7894">
            <w:pPr>
              <w:spacing w:after="0"/>
              <w:rPr>
                <w:rFonts w:ascii="Arial" w:hAnsi="Arial"/>
                <w:sz w:val="16"/>
              </w:rPr>
            </w:pPr>
            <w:r w:rsidRPr="00B75E19">
              <w:rPr>
                <w:rFonts w:ascii="Arial" w:hAnsi="Arial"/>
                <w:sz w:val="16"/>
              </w:rPr>
              <w:t>Clarification of HARQ-ACK transmission for the 1st SPS PDSCH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EDE28C9" w14:textId="77777777" w:rsidR="00B75E19" w:rsidRDefault="00B75E19" w:rsidP="00AB7894">
            <w:pPr>
              <w:pStyle w:val="TAL"/>
              <w:rPr>
                <w:sz w:val="16"/>
                <w:szCs w:val="16"/>
                <w:lang w:eastAsia="zh-CN"/>
              </w:rPr>
            </w:pPr>
            <w:r>
              <w:rPr>
                <w:sz w:val="16"/>
                <w:szCs w:val="16"/>
                <w:lang w:eastAsia="zh-CN"/>
              </w:rPr>
              <w:t>17.6.0</w:t>
            </w:r>
          </w:p>
        </w:tc>
      </w:tr>
      <w:tr w:rsidR="00B75E19" w:rsidRPr="00B916EC" w14:paraId="4383EA24" w14:textId="77777777" w:rsidTr="00AB7894">
        <w:tc>
          <w:tcPr>
            <w:tcW w:w="894" w:type="dxa"/>
            <w:tcBorders>
              <w:top w:val="single" w:sz="6" w:space="0" w:color="auto"/>
              <w:left w:val="single" w:sz="6" w:space="0" w:color="auto"/>
              <w:bottom w:val="single" w:sz="6" w:space="0" w:color="auto"/>
              <w:right w:val="single" w:sz="6" w:space="0" w:color="auto"/>
            </w:tcBorders>
            <w:shd w:val="solid" w:color="FFFFFF" w:fill="auto"/>
          </w:tcPr>
          <w:p w14:paraId="53F3FDBD" w14:textId="77777777" w:rsidR="00B75E19" w:rsidRPr="00B916EC" w:rsidRDefault="00B75E19" w:rsidP="00AB7894">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525A24DC" w14:textId="77777777" w:rsidR="00B75E19" w:rsidRPr="00B916EC" w:rsidRDefault="00B75E19" w:rsidP="00AB7894">
            <w:pPr>
              <w:pStyle w:val="TAL"/>
              <w:rPr>
                <w:sz w:val="16"/>
                <w:szCs w:val="16"/>
                <w:lang w:eastAsia="zh-CN"/>
              </w:rPr>
            </w:pPr>
            <w:r w:rsidRPr="00B916EC">
              <w:rPr>
                <w:sz w:val="16"/>
                <w:szCs w:val="16"/>
                <w:lang w:eastAsia="zh-CN"/>
              </w:rPr>
              <w:t>RAN#</w:t>
            </w:r>
            <w:r>
              <w:rPr>
                <w:sz w:val="16"/>
                <w:szCs w:val="16"/>
                <w:lang w:eastAsia="zh-CN"/>
              </w:rPr>
              <w:t>100</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744E6A8" w14:textId="5603F4A1" w:rsidR="00B75E19" w:rsidRDefault="00B75E19" w:rsidP="00AB7894">
            <w:pPr>
              <w:pStyle w:val="TAL"/>
              <w:rPr>
                <w:sz w:val="16"/>
                <w:szCs w:val="16"/>
                <w:lang w:eastAsia="zh-CN"/>
              </w:rPr>
            </w:pPr>
            <w:r w:rsidRPr="002B6B38">
              <w:rPr>
                <w:sz w:val="16"/>
                <w:szCs w:val="16"/>
                <w:lang w:eastAsia="zh-CN"/>
              </w:rPr>
              <w:t>RP-2312</w:t>
            </w:r>
            <w:r>
              <w:rPr>
                <w:sz w:val="16"/>
                <w:szCs w:val="16"/>
                <w:lang w:eastAsia="zh-CN"/>
              </w:rPr>
              <w:t>28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951B9F5" w14:textId="5776EC53" w:rsidR="00B75E19" w:rsidRDefault="00B75E19" w:rsidP="00AB7894">
            <w:pPr>
              <w:pStyle w:val="TAL"/>
              <w:rPr>
                <w:sz w:val="16"/>
                <w:szCs w:val="16"/>
              </w:rPr>
            </w:pPr>
            <w:r>
              <w:rPr>
                <w:sz w:val="16"/>
                <w:szCs w:val="16"/>
              </w:rPr>
              <w:t>0472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F57E0AB" w14:textId="77777777" w:rsidR="00B75E19" w:rsidRDefault="00B75E19" w:rsidP="00AB789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952D2D7" w14:textId="164E1510" w:rsidR="00B75E19" w:rsidRDefault="00B75E19" w:rsidP="00AB789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96F7053" w14:textId="797A4F39" w:rsidR="00B75E19" w:rsidRPr="005D126D" w:rsidRDefault="00B75E19" w:rsidP="00AB7894">
            <w:pPr>
              <w:spacing w:after="0"/>
              <w:rPr>
                <w:rFonts w:ascii="Arial" w:hAnsi="Arial"/>
                <w:sz w:val="16"/>
              </w:rPr>
            </w:pPr>
            <w:r w:rsidRPr="00B75E19">
              <w:rPr>
                <w:rFonts w:ascii="Arial" w:hAnsi="Arial"/>
                <w:sz w:val="16"/>
              </w:rPr>
              <w:t>Correction on impact of DAPS handover in Rel-17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3350169" w14:textId="77777777" w:rsidR="00B75E19" w:rsidRDefault="00B75E19" w:rsidP="00AB7894">
            <w:pPr>
              <w:pStyle w:val="TAL"/>
              <w:rPr>
                <w:sz w:val="16"/>
                <w:szCs w:val="16"/>
                <w:lang w:eastAsia="zh-CN"/>
              </w:rPr>
            </w:pPr>
            <w:r>
              <w:rPr>
                <w:sz w:val="16"/>
                <w:szCs w:val="16"/>
                <w:lang w:eastAsia="zh-CN"/>
              </w:rPr>
              <w:t>17.6.0</w:t>
            </w:r>
          </w:p>
        </w:tc>
      </w:tr>
      <w:tr w:rsidR="003B0C82" w:rsidRPr="00B916EC" w14:paraId="10307BB8" w14:textId="77777777" w:rsidTr="00AB7894">
        <w:tc>
          <w:tcPr>
            <w:tcW w:w="894" w:type="dxa"/>
            <w:tcBorders>
              <w:top w:val="single" w:sz="6" w:space="0" w:color="auto"/>
              <w:left w:val="single" w:sz="6" w:space="0" w:color="auto"/>
              <w:bottom w:val="single" w:sz="6" w:space="0" w:color="auto"/>
              <w:right w:val="single" w:sz="6" w:space="0" w:color="auto"/>
            </w:tcBorders>
            <w:shd w:val="solid" w:color="FFFFFF" w:fill="auto"/>
          </w:tcPr>
          <w:p w14:paraId="6B9D6570" w14:textId="77777777" w:rsidR="003B0C82" w:rsidRPr="00B916EC" w:rsidRDefault="003B0C82" w:rsidP="00AB7894">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0496211" w14:textId="77777777" w:rsidR="003B0C82" w:rsidRPr="00B916EC" w:rsidRDefault="003B0C82" w:rsidP="00AB7894">
            <w:pPr>
              <w:pStyle w:val="TAL"/>
              <w:rPr>
                <w:sz w:val="16"/>
                <w:szCs w:val="16"/>
                <w:lang w:eastAsia="zh-CN"/>
              </w:rPr>
            </w:pPr>
            <w:r w:rsidRPr="00B916EC">
              <w:rPr>
                <w:sz w:val="16"/>
                <w:szCs w:val="16"/>
                <w:lang w:eastAsia="zh-CN"/>
              </w:rPr>
              <w:t>RAN#</w:t>
            </w:r>
            <w:r>
              <w:rPr>
                <w:sz w:val="16"/>
                <w:szCs w:val="16"/>
                <w:lang w:eastAsia="zh-CN"/>
              </w:rPr>
              <w:t>100</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A43DAB3" w14:textId="4CBDE373" w:rsidR="003B0C82" w:rsidRDefault="003B0C82" w:rsidP="00AB7894">
            <w:pPr>
              <w:pStyle w:val="TAL"/>
              <w:rPr>
                <w:sz w:val="16"/>
                <w:szCs w:val="16"/>
                <w:lang w:eastAsia="zh-CN"/>
              </w:rPr>
            </w:pPr>
            <w:r w:rsidRPr="002B6B38">
              <w:rPr>
                <w:sz w:val="16"/>
                <w:szCs w:val="16"/>
                <w:lang w:eastAsia="zh-CN"/>
              </w:rPr>
              <w:t>RP-2312</w:t>
            </w:r>
            <w:r>
              <w:rPr>
                <w:sz w:val="16"/>
                <w:szCs w:val="16"/>
                <w:lang w:eastAsia="zh-CN"/>
              </w:rPr>
              <w:t>25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829EB87" w14:textId="066274C0" w:rsidR="003B0C82" w:rsidRDefault="003B0C82" w:rsidP="00AB7894">
            <w:pPr>
              <w:pStyle w:val="TAL"/>
              <w:rPr>
                <w:sz w:val="16"/>
                <w:szCs w:val="16"/>
              </w:rPr>
            </w:pPr>
            <w:r>
              <w:rPr>
                <w:sz w:val="16"/>
                <w:szCs w:val="16"/>
              </w:rPr>
              <w:t>0473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B3D8678" w14:textId="77777777" w:rsidR="003B0C82" w:rsidRDefault="003B0C82" w:rsidP="00AB789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25C56B3" w14:textId="77777777" w:rsidR="003B0C82" w:rsidRDefault="003B0C82" w:rsidP="00AB789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B76F834" w14:textId="31A075D5" w:rsidR="003B0C82" w:rsidRPr="005D126D" w:rsidRDefault="003B0C82" w:rsidP="00AB7894">
            <w:pPr>
              <w:spacing w:after="0"/>
              <w:rPr>
                <w:rFonts w:ascii="Arial" w:hAnsi="Arial"/>
                <w:sz w:val="16"/>
              </w:rPr>
            </w:pPr>
            <w:r w:rsidRPr="003B0C82">
              <w:rPr>
                <w:rFonts w:ascii="Arial" w:hAnsi="Arial"/>
                <w:sz w:val="16"/>
              </w:rPr>
              <w:t>Correction on redundancy version for CG-SDT in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E1CC14C" w14:textId="77777777" w:rsidR="003B0C82" w:rsidRDefault="003B0C82" w:rsidP="00AB7894">
            <w:pPr>
              <w:pStyle w:val="TAL"/>
              <w:rPr>
                <w:sz w:val="16"/>
                <w:szCs w:val="16"/>
                <w:lang w:eastAsia="zh-CN"/>
              </w:rPr>
            </w:pPr>
            <w:r>
              <w:rPr>
                <w:sz w:val="16"/>
                <w:szCs w:val="16"/>
                <w:lang w:eastAsia="zh-CN"/>
              </w:rPr>
              <w:t>17.6.0</w:t>
            </w:r>
          </w:p>
        </w:tc>
      </w:tr>
      <w:tr w:rsidR="007A21FF" w:rsidRPr="00B916EC" w14:paraId="24BBCB7A" w14:textId="77777777" w:rsidTr="00AB7894">
        <w:tc>
          <w:tcPr>
            <w:tcW w:w="894" w:type="dxa"/>
            <w:tcBorders>
              <w:top w:val="single" w:sz="6" w:space="0" w:color="auto"/>
              <w:left w:val="single" w:sz="6" w:space="0" w:color="auto"/>
              <w:bottom w:val="single" w:sz="6" w:space="0" w:color="auto"/>
              <w:right w:val="single" w:sz="6" w:space="0" w:color="auto"/>
            </w:tcBorders>
            <w:shd w:val="solid" w:color="FFFFFF" w:fill="auto"/>
          </w:tcPr>
          <w:p w14:paraId="62E91971" w14:textId="77777777" w:rsidR="007A21FF" w:rsidRPr="00B916EC" w:rsidRDefault="007A21FF" w:rsidP="00AB7894">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381F80B" w14:textId="77777777" w:rsidR="007A21FF" w:rsidRPr="00B916EC" w:rsidRDefault="007A21FF" w:rsidP="00AB7894">
            <w:pPr>
              <w:pStyle w:val="TAL"/>
              <w:rPr>
                <w:sz w:val="16"/>
                <w:szCs w:val="16"/>
                <w:lang w:eastAsia="zh-CN"/>
              </w:rPr>
            </w:pPr>
            <w:r w:rsidRPr="00B916EC">
              <w:rPr>
                <w:sz w:val="16"/>
                <w:szCs w:val="16"/>
                <w:lang w:eastAsia="zh-CN"/>
              </w:rPr>
              <w:t>RAN#</w:t>
            </w:r>
            <w:r>
              <w:rPr>
                <w:sz w:val="16"/>
                <w:szCs w:val="16"/>
                <w:lang w:eastAsia="zh-CN"/>
              </w:rPr>
              <w:t>100</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C15785D" w14:textId="586033B5" w:rsidR="007A21FF" w:rsidRDefault="007A21FF" w:rsidP="00AB7894">
            <w:pPr>
              <w:pStyle w:val="TAL"/>
              <w:rPr>
                <w:sz w:val="16"/>
                <w:szCs w:val="16"/>
                <w:lang w:eastAsia="zh-CN"/>
              </w:rPr>
            </w:pPr>
            <w:r w:rsidRPr="002B6B38">
              <w:rPr>
                <w:sz w:val="16"/>
                <w:szCs w:val="16"/>
                <w:lang w:eastAsia="zh-CN"/>
              </w:rPr>
              <w:t>RP-2312</w:t>
            </w:r>
            <w:r>
              <w:rPr>
                <w:sz w:val="16"/>
                <w:szCs w:val="16"/>
                <w:lang w:eastAsia="zh-CN"/>
              </w:rPr>
              <w:t>32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EB774BA" w14:textId="23A8B0F9" w:rsidR="007A21FF" w:rsidRDefault="007A21FF" w:rsidP="00AB7894">
            <w:pPr>
              <w:pStyle w:val="TAL"/>
              <w:rPr>
                <w:sz w:val="16"/>
                <w:szCs w:val="16"/>
              </w:rPr>
            </w:pPr>
            <w:r>
              <w:rPr>
                <w:sz w:val="16"/>
                <w:szCs w:val="16"/>
              </w:rPr>
              <w:t>0474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F0607D2" w14:textId="77777777" w:rsidR="007A21FF" w:rsidRDefault="007A21FF" w:rsidP="00AB789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566CDB1" w14:textId="77777777" w:rsidR="007A21FF" w:rsidRDefault="007A21FF" w:rsidP="00AB789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3EDE74E" w14:textId="0A32D818" w:rsidR="007A21FF" w:rsidRPr="005D126D" w:rsidRDefault="007A21FF" w:rsidP="00AB7894">
            <w:pPr>
              <w:spacing w:after="0"/>
              <w:rPr>
                <w:rFonts w:ascii="Arial" w:hAnsi="Arial"/>
                <w:sz w:val="16"/>
              </w:rPr>
            </w:pPr>
            <w:r w:rsidRPr="007A21FF">
              <w:rPr>
                <w:rFonts w:ascii="Arial" w:hAnsi="Arial"/>
                <w:sz w:val="16"/>
              </w:rPr>
              <w:t>CR on Type1 HARQ-ACK CB issue with more than one PDSCH per slot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CF534E" w14:textId="77777777" w:rsidR="007A21FF" w:rsidRDefault="007A21FF" w:rsidP="00AB7894">
            <w:pPr>
              <w:pStyle w:val="TAL"/>
              <w:rPr>
                <w:sz w:val="16"/>
                <w:szCs w:val="16"/>
                <w:lang w:eastAsia="zh-CN"/>
              </w:rPr>
            </w:pPr>
            <w:r>
              <w:rPr>
                <w:sz w:val="16"/>
                <w:szCs w:val="16"/>
                <w:lang w:eastAsia="zh-CN"/>
              </w:rPr>
              <w:t>17.6.0</w:t>
            </w:r>
          </w:p>
        </w:tc>
      </w:tr>
      <w:tr w:rsidR="007A21FF" w:rsidRPr="00B916EC" w14:paraId="332F95E6" w14:textId="77777777" w:rsidTr="00AB7894">
        <w:tc>
          <w:tcPr>
            <w:tcW w:w="894" w:type="dxa"/>
            <w:tcBorders>
              <w:top w:val="single" w:sz="6" w:space="0" w:color="auto"/>
              <w:left w:val="single" w:sz="6" w:space="0" w:color="auto"/>
              <w:bottom w:val="single" w:sz="6" w:space="0" w:color="auto"/>
              <w:right w:val="single" w:sz="6" w:space="0" w:color="auto"/>
            </w:tcBorders>
            <w:shd w:val="solid" w:color="FFFFFF" w:fill="auto"/>
          </w:tcPr>
          <w:p w14:paraId="3B90AFEA" w14:textId="77777777" w:rsidR="007A21FF" w:rsidRPr="00B916EC" w:rsidRDefault="007A21FF" w:rsidP="00AB7894">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8B98A96" w14:textId="77777777" w:rsidR="007A21FF" w:rsidRPr="00B916EC" w:rsidRDefault="007A21FF" w:rsidP="00AB7894">
            <w:pPr>
              <w:pStyle w:val="TAL"/>
              <w:rPr>
                <w:sz w:val="16"/>
                <w:szCs w:val="16"/>
                <w:lang w:eastAsia="zh-CN"/>
              </w:rPr>
            </w:pPr>
            <w:r w:rsidRPr="00B916EC">
              <w:rPr>
                <w:sz w:val="16"/>
                <w:szCs w:val="16"/>
                <w:lang w:eastAsia="zh-CN"/>
              </w:rPr>
              <w:t>RAN#</w:t>
            </w:r>
            <w:r>
              <w:rPr>
                <w:sz w:val="16"/>
                <w:szCs w:val="16"/>
                <w:lang w:eastAsia="zh-CN"/>
              </w:rPr>
              <w:t>100</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1066985" w14:textId="70E13226" w:rsidR="007A21FF" w:rsidRDefault="007A21FF" w:rsidP="00AB7894">
            <w:pPr>
              <w:pStyle w:val="TAL"/>
              <w:rPr>
                <w:sz w:val="16"/>
                <w:szCs w:val="16"/>
                <w:lang w:eastAsia="zh-CN"/>
              </w:rPr>
            </w:pPr>
            <w:r w:rsidRPr="002B6B38">
              <w:rPr>
                <w:sz w:val="16"/>
                <w:szCs w:val="16"/>
                <w:lang w:eastAsia="zh-CN"/>
              </w:rPr>
              <w:t>RP-2312</w:t>
            </w:r>
            <w:r>
              <w:rPr>
                <w:sz w:val="16"/>
                <w:szCs w:val="16"/>
                <w:lang w:eastAsia="zh-CN"/>
              </w:rPr>
              <w:t>19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E0AE2AB" w14:textId="52E981E2" w:rsidR="007A21FF" w:rsidRDefault="007A21FF" w:rsidP="00AB7894">
            <w:pPr>
              <w:pStyle w:val="TAL"/>
              <w:rPr>
                <w:sz w:val="16"/>
                <w:szCs w:val="16"/>
              </w:rPr>
            </w:pPr>
            <w:r>
              <w:rPr>
                <w:sz w:val="16"/>
                <w:szCs w:val="16"/>
              </w:rPr>
              <w:t>0475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2A67B4E" w14:textId="77777777" w:rsidR="007A21FF" w:rsidRDefault="007A21FF" w:rsidP="00AB789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7D56096" w14:textId="77777777" w:rsidR="007A21FF" w:rsidRDefault="007A21FF" w:rsidP="00AB789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FE74112" w14:textId="69F6CB0C" w:rsidR="007A21FF" w:rsidRPr="005D126D" w:rsidRDefault="007A21FF" w:rsidP="00AB7894">
            <w:pPr>
              <w:spacing w:after="0"/>
              <w:rPr>
                <w:rFonts w:ascii="Arial" w:hAnsi="Arial"/>
                <w:sz w:val="16"/>
              </w:rPr>
            </w:pPr>
            <w:r w:rsidRPr="007A21FF">
              <w:rPr>
                <w:rFonts w:ascii="Arial" w:hAnsi="Arial"/>
                <w:sz w:val="16"/>
              </w:rPr>
              <w:t>CR on value range mismatch of p0 for SRS in Rel-17 unified TCI framework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5B81CA3" w14:textId="77777777" w:rsidR="007A21FF" w:rsidRDefault="007A21FF" w:rsidP="00AB7894">
            <w:pPr>
              <w:pStyle w:val="TAL"/>
              <w:rPr>
                <w:sz w:val="16"/>
                <w:szCs w:val="16"/>
                <w:lang w:eastAsia="zh-CN"/>
              </w:rPr>
            </w:pPr>
            <w:r>
              <w:rPr>
                <w:sz w:val="16"/>
                <w:szCs w:val="16"/>
                <w:lang w:eastAsia="zh-CN"/>
              </w:rPr>
              <w:t>17.6.0</w:t>
            </w:r>
          </w:p>
        </w:tc>
      </w:tr>
      <w:tr w:rsidR="00D212A2" w:rsidRPr="00B916EC" w14:paraId="42811058" w14:textId="77777777" w:rsidTr="00AB7894">
        <w:tc>
          <w:tcPr>
            <w:tcW w:w="894" w:type="dxa"/>
            <w:tcBorders>
              <w:top w:val="single" w:sz="6" w:space="0" w:color="auto"/>
              <w:left w:val="single" w:sz="6" w:space="0" w:color="auto"/>
              <w:bottom w:val="single" w:sz="6" w:space="0" w:color="auto"/>
              <w:right w:val="single" w:sz="6" w:space="0" w:color="auto"/>
            </w:tcBorders>
            <w:shd w:val="solid" w:color="FFFFFF" w:fill="auto"/>
          </w:tcPr>
          <w:p w14:paraId="04A44812" w14:textId="77777777" w:rsidR="00D212A2" w:rsidRPr="00B916EC" w:rsidRDefault="00D212A2" w:rsidP="00AB7894">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D6D82B4" w14:textId="77777777" w:rsidR="00D212A2" w:rsidRPr="00B916EC" w:rsidRDefault="00D212A2" w:rsidP="00AB7894">
            <w:pPr>
              <w:pStyle w:val="TAL"/>
              <w:rPr>
                <w:sz w:val="16"/>
                <w:szCs w:val="16"/>
                <w:lang w:eastAsia="zh-CN"/>
              </w:rPr>
            </w:pPr>
            <w:r w:rsidRPr="00B916EC">
              <w:rPr>
                <w:sz w:val="16"/>
                <w:szCs w:val="16"/>
                <w:lang w:eastAsia="zh-CN"/>
              </w:rPr>
              <w:t>RAN#</w:t>
            </w:r>
            <w:r>
              <w:rPr>
                <w:sz w:val="16"/>
                <w:szCs w:val="16"/>
                <w:lang w:eastAsia="zh-CN"/>
              </w:rPr>
              <w:t>100</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D3BF4A7" w14:textId="1C97AB6E" w:rsidR="00D212A2" w:rsidRDefault="00D212A2" w:rsidP="00AB7894">
            <w:pPr>
              <w:pStyle w:val="TAL"/>
              <w:rPr>
                <w:sz w:val="16"/>
                <w:szCs w:val="16"/>
                <w:lang w:eastAsia="zh-CN"/>
              </w:rPr>
            </w:pPr>
            <w:r w:rsidRPr="002B6B38">
              <w:rPr>
                <w:sz w:val="16"/>
                <w:szCs w:val="16"/>
                <w:lang w:eastAsia="zh-CN"/>
              </w:rPr>
              <w:t>RP-2312</w:t>
            </w:r>
            <w:r>
              <w:rPr>
                <w:sz w:val="16"/>
                <w:szCs w:val="16"/>
                <w:lang w:eastAsia="zh-CN"/>
              </w:rPr>
              <w:t>22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0258C86" w14:textId="2DD9F359" w:rsidR="00D212A2" w:rsidRDefault="00D212A2" w:rsidP="00AB7894">
            <w:pPr>
              <w:pStyle w:val="TAL"/>
              <w:rPr>
                <w:sz w:val="16"/>
                <w:szCs w:val="16"/>
              </w:rPr>
            </w:pPr>
            <w:r>
              <w:rPr>
                <w:sz w:val="16"/>
                <w:szCs w:val="16"/>
              </w:rPr>
              <w:t>0476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B8CD310" w14:textId="77777777" w:rsidR="00D212A2" w:rsidRDefault="00D212A2" w:rsidP="00AB789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489D340" w14:textId="77777777" w:rsidR="00D212A2" w:rsidRDefault="00D212A2" w:rsidP="00AB789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679E7D6" w14:textId="63CCED96" w:rsidR="00D212A2" w:rsidRPr="005D126D" w:rsidRDefault="00D212A2" w:rsidP="00D212A2">
            <w:pPr>
              <w:rPr>
                <w:rFonts w:ascii="Arial" w:hAnsi="Arial"/>
                <w:sz w:val="16"/>
              </w:rPr>
            </w:pPr>
            <w:r w:rsidRPr="00D212A2">
              <w:rPr>
                <w:rFonts w:ascii="Arial" w:hAnsi="Arial"/>
                <w:sz w:val="16"/>
              </w:rPr>
              <w:t>Correction on RRC parameters in eIAB</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BFCF4F" w14:textId="77777777" w:rsidR="00D212A2" w:rsidRDefault="00D212A2" w:rsidP="00AB7894">
            <w:pPr>
              <w:pStyle w:val="TAL"/>
              <w:rPr>
                <w:sz w:val="16"/>
                <w:szCs w:val="16"/>
                <w:lang w:eastAsia="zh-CN"/>
              </w:rPr>
            </w:pPr>
            <w:r>
              <w:rPr>
                <w:sz w:val="16"/>
                <w:szCs w:val="16"/>
                <w:lang w:eastAsia="zh-CN"/>
              </w:rPr>
              <w:t>17.6.0</w:t>
            </w:r>
          </w:p>
        </w:tc>
      </w:tr>
      <w:tr w:rsidR="005E5DBA" w:rsidRPr="00B916EC" w14:paraId="3AB194DA" w14:textId="77777777" w:rsidTr="00AB7894">
        <w:tc>
          <w:tcPr>
            <w:tcW w:w="894" w:type="dxa"/>
            <w:tcBorders>
              <w:top w:val="single" w:sz="6" w:space="0" w:color="auto"/>
              <w:left w:val="single" w:sz="6" w:space="0" w:color="auto"/>
              <w:bottom w:val="single" w:sz="6" w:space="0" w:color="auto"/>
              <w:right w:val="single" w:sz="6" w:space="0" w:color="auto"/>
            </w:tcBorders>
            <w:shd w:val="solid" w:color="FFFFFF" w:fill="auto"/>
          </w:tcPr>
          <w:p w14:paraId="0CD5EDA3" w14:textId="77777777" w:rsidR="005E5DBA" w:rsidRPr="00B916EC" w:rsidRDefault="005E5DBA" w:rsidP="00AB7894">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60A4575" w14:textId="77777777" w:rsidR="005E5DBA" w:rsidRPr="00B916EC" w:rsidRDefault="005E5DBA" w:rsidP="00AB7894">
            <w:pPr>
              <w:pStyle w:val="TAL"/>
              <w:rPr>
                <w:sz w:val="16"/>
                <w:szCs w:val="16"/>
                <w:lang w:eastAsia="zh-CN"/>
              </w:rPr>
            </w:pPr>
            <w:r w:rsidRPr="00B916EC">
              <w:rPr>
                <w:sz w:val="16"/>
                <w:szCs w:val="16"/>
                <w:lang w:eastAsia="zh-CN"/>
              </w:rPr>
              <w:t>RAN#</w:t>
            </w:r>
            <w:r>
              <w:rPr>
                <w:sz w:val="16"/>
                <w:szCs w:val="16"/>
                <w:lang w:eastAsia="zh-CN"/>
              </w:rPr>
              <w:t>100</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31758AB" w14:textId="77777777" w:rsidR="005E5DBA" w:rsidRDefault="005E5DBA" w:rsidP="00AB7894">
            <w:pPr>
              <w:pStyle w:val="TAL"/>
              <w:rPr>
                <w:sz w:val="16"/>
                <w:szCs w:val="16"/>
                <w:lang w:eastAsia="zh-CN"/>
              </w:rPr>
            </w:pPr>
            <w:r w:rsidRPr="002B6B38">
              <w:rPr>
                <w:sz w:val="16"/>
                <w:szCs w:val="16"/>
                <w:lang w:eastAsia="zh-CN"/>
              </w:rPr>
              <w:t>RP-2312</w:t>
            </w:r>
            <w:r>
              <w:rPr>
                <w:sz w:val="16"/>
                <w:szCs w:val="16"/>
                <w:lang w:eastAsia="zh-CN"/>
              </w:rPr>
              <w:t>22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1B176AE" w14:textId="59C945CC" w:rsidR="005E5DBA" w:rsidRDefault="005E5DBA" w:rsidP="00AB7894">
            <w:pPr>
              <w:pStyle w:val="TAL"/>
              <w:rPr>
                <w:sz w:val="16"/>
                <w:szCs w:val="16"/>
              </w:rPr>
            </w:pPr>
            <w:r>
              <w:rPr>
                <w:sz w:val="16"/>
                <w:szCs w:val="16"/>
              </w:rPr>
              <w:t>0477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022D3E4" w14:textId="77777777" w:rsidR="005E5DBA" w:rsidRDefault="005E5DBA" w:rsidP="00AB789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327B422" w14:textId="77777777" w:rsidR="005E5DBA" w:rsidRDefault="005E5DBA" w:rsidP="00AB789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536622F" w14:textId="28FBCA0F" w:rsidR="005E5DBA" w:rsidRPr="005D126D" w:rsidRDefault="005E5DBA" w:rsidP="00AB7894">
            <w:pPr>
              <w:rPr>
                <w:rFonts w:ascii="Arial" w:hAnsi="Arial"/>
                <w:sz w:val="16"/>
              </w:rPr>
            </w:pPr>
            <w:r w:rsidRPr="005E5DBA">
              <w:rPr>
                <w:rFonts w:ascii="Arial" w:hAnsi="Arial"/>
                <w:sz w:val="16"/>
              </w:rPr>
              <w:t>Correction on reference SCS for availability indication in eIAB</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26152C9" w14:textId="77777777" w:rsidR="005E5DBA" w:rsidRDefault="005E5DBA" w:rsidP="00AB7894">
            <w:pPr>
              <w:pStyle w:val="TAL"/>
              <w:rPr>
                <w:sz w:val="16"/>
                <w:szCs w:val="16"/>
                <w:lang w:eastAsia="zh-CN"/>
              </w:rPr>
            </w:pPr>
            <w:r>
              <w:rPr>
                <w:sz w:val="16"/>
                <w:szCs w:val="16"/>
                <w:lang w:eastAsia="zh-CN"/>
              </w:rPr>
              <w:t>17.6.0</w:t>
            </w:r>
          </w:p>
        </w:tc>
      </w:tr>
      <w:tr w:rsidR="0070581B" w:rsidRPr="00B916EC" w14:paraId="3CCDB7E3" w14:textId="77777777" w:rsidTr="00AB7894">
        <w:tc>
          <w:tcPr>
            <w:tcW w:w="894" w:type="dxa"/>
            <w:tcBorders>
              <w:top w:val="single" w:sz="6" w:space="0" w:color="auto"/>
              <w:left w:val="single" w:sz="6" w:space="0" w:color="auto"/>
              <w:bottom w:val="single" w:sz="6" w:space="0" w:color="auto"/>
              <w:right w:val="single" w:sz="6" w:space="0" w:color="auto"/>
            </w:tcBorders>
            <w:shd w:val="solid" w:color="FFFFFF" w:fill="auto"/>
          </w:tcPr>
          <w:p w14:paraId="43586A85" w14:textId="77777777" w:rsidR="0070581B" w:rsidRPr="00B916EC" w:rsidRDefault="0070581B" w:rsidP="00AB7894">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1FB4FDA" w14:textId="77777777" w:rsidR="0070581B" w:rsidRPr="00B916EC" w:rsidRDefault="0070581B" w:rsidP="00AB7894">
            <w:pPr>
              <w:pStyle w:val="TAL"/>
              <w:rPr>
                <w:sz w:val="16"/>
                <w:szCs w:val="16"/>
                <w:lang w:eastAsia="zh-CN"/>
              </w:rPr>
            </w:pPr>
            <w:r w:rsidRPr="00B916EC">
              <w:rPr>
                <w:sz w:val="16"/>
                <w:szCs w:val="16"/>
                <w:lang w:eastAsia="zh-CN"/>
              </w:rPr>
              <w:t>RAN#</w:t>
            </w:r>
            <w:r>
              <w:rPr>
                <w:sz w:val="16"/>
                <w:szCs w:val="16"/>
                <w:lang w:eastAsia="zh-CN"/>
              </w:rPr>
              <w:t>100</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1332861" w14:textId="081A87E9" w:rsidR="0070581B" w:rsidRDefault="0070581B" w:rsidP="00AB7894">
            <w:pPr>
              <w:pStyle w:val="TAL"/>
              <w:rPr>
                <w:sz w:val="16"/>
                <w:szCs w:val="16"/>
                <w:lang w:eastAsia="zh-CN"/>
              </w:rPr>
            </w:pPr>
            <w:r w:rsidRPr="002B6B38">
              <w:rPr>
                <w:sz w:val="16"/>
                <w:szCs w:val="16"/>
                <w:lang w:eastAsia="zh-CN"/>
              </w:rPr>
              <w:t>RP-2312</w:t>
            </w:r>
            <w:r>
              <w:rPr>
                <w:sz w:val="16"/>
                <w:szCs w:val="16"/>
                <w:lang w:eastAsia="zh-CN"/>
              </w:rPr>
              <w:t>24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2A0BDF8" w14:textId="76DB00B1" w:rsidR="0070581B" w:rsidRDefault="0070581B" w:rsidP="00AB7894">
            <w:pPr>
              <w:pStyle w:val="TAL"/>
              <w:rPr>
                <w:sz w:val="16"/>
                <w:szCs w:val="16"/>
              </w:rPr>
            </w:pPr>
            <w:r>
              <w:rPr>
                <w:sz w:val="16"/>
                <w:szCs w:val="16"/>
              </w:rPr>
              <w:t>0478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BA4BDCB" w14:textId="77777777" w:rsidR="0070581B" w:rsidRDefault="0070581B" w:rsidP="00AB789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A11E166" w14:textId="77777777" w:rsidR="0070581B" w:rsidRDefault="0070581B" w:rsidP="00AB789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B00D8ED" w14:textId="59E42589" w:rsidR="0070581B" w:rsidRPr="005D126D" w:rsidRDefault="0070581B" w:rsidP="00AB7894">
            <w:pPr>
              <w:rPr>
                <w:rFonts w:ascii="Arial" w:hAnsi="Arial"/>
                <w:sz w:val="16"/>
              </w:rPr>
            </w:pPr>
            <w:r w:rsidRPr="0070581B">
              <w:rPr>
                <w:rFonts w:ascii="Arial" w:hAnsi="Arial"/>
                <w:sz w:val="16"/>
              </w:rPr>
              <w:t>CR on condition for not providing Type-1 CB</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A8ED1E4" w14:textId="77777777" w:rsidR="0070581B" w:rsidRDefault="0070581B" w:rsidP="00AB7894">
            <w:pPr>
              <w:pStyle w:val="TAL"/>
              <w:rPr>
                <w:sz w:val="16"/>
                <w:szCs w:val="16"/>
                <w:lang w:eastAsia="zh-CN"/>
              </w:rPr>
            </w:pPr>
            <w:r>
              <w:rPr>
                <w:sz w:val="16"/>
                <w:szCs w:val="16"/>
                <w:lang w:eastAsia="zh-CN"/>
              </w:rPr>
              <w:t>17.6.0</w:t>
            </w:r>
          </w:p>
        </w:tc>
      </w:tr>
      <w:tr w:rsidR="00893FE0" w:rsidRPr="00B916EC" w14:paraId="17F089C9" w14:textId="77777777" w:rsidTr="00AB7894">
        <w:tc>
          <w:tcPr>
            <w:tcW w:w="894" w:type="dxa"/>
            <w:tcBorders>
              <w:top w:val="single" w:sz="6" w:space="0" w:color="auto"/>
              <w:left w:val="single" w:sz="6" w:space="0" w:color="auto"/>
              <w:bottom w:val="single" w:sz="6" w:space="0" w:color="auto"/>
              <w:right w:val="single" w:sz="6" w:space="0" w:color="auto"/>
            </w:tcBorders>
            <w:shd w:val="solid" w:color="FFFFFF" w:fill="auto"/>
          </w:tcPr>
          <w:p w14:paraId="179FF3A2" w14:textId="77777777" w:rsidR="00893FE0" w:rsidRPr="00B916EC" w:rsidRDefault="00893FE0" w:rsidP="00AB7894">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E525E3F" w14:textId="77777777" w:rsidR="00893FE0" w:rsidRPr="00B916EC" w:rsidRDefault="00893FE0" w:rsidP="00AB7894">
            <w:pPr>
              <w:pStyle w:val="TAL"/>
              <w:rPr>
                <w:sz w:val="16"/>
                <w:szCs w:val="16"/>
                <w:lang w:eastAsia="zh-CN"/>
              </w:rPr>
            </w:pPr>
            <w:r w:rsidRPr="00B916EC">
              <w:rPr>
                <w:sz w:val="16"/>
                <w:szCs w:val="16"/>
                <w:lang w:eastAsia="zh-CN"/>
              </w:rPr>
              <w:t>RAN#</w:t>
            </w:r>
            <w:r>
              <w:rPr>
                <w:sz w:val="16"/>
                <w:szCs w:val="16"/>
                <w:lang w:eastAsia="zh-CN"/>
              </w:rPr>
              <w:t>100</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8F69344" w14:textId="77777777" w:rsidR="00893FE0" w:rsidRDefault="00893FE0" w:rsidP="00AB7894">
            <w:pPr>
              <w:pStyle w:val="TAL"/>
              <w:rPr>
                <w:sz w:val="16"/>
                <w:szCs w:val="16"/>
                <w:lang w:eastAsia="zh-CN"/>
              </w:rPr>
            </w:pPr>
            <w:r w:rsidRPr="002B6B38">
              <w:rPr>
                <w:sz w:val="16"/>
                <w:szCs w:val="16"/>
                <w:lang w:eastAsia="zh-CN"/>
              </w:rPr>
              <w:t>RP-2312</w:t>
            </w:r>
            <w:r>
              <w:rPr>
                <w:sz w:val="16"/>
                <w:szCs w:val="16"/>
                <w:lang w:eastAsia="zh-CN"/>
              </w:rPr>
              <w:t>24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67C859F" w14:textId="162AE896" w:rsidR="00893FE0" w:rsidRDefault="00893FE0" w:rsidP="00AB7894">
            <w:pPr>
              <w:pStyle w:val="TAL"/>
              <w:rPr>
                <w:sz w:val="16"/>
                <w:szCs w:val="16"/>
              </w:rPr>
            </w:pPr>
            <w:r>
              <w:rPr>
                <w:sz w:val="16"/>
                <w:szCs w:val="16"/>
              </w:rPr>
              <w:t>0479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21F1083" w14:textId="77777777" w:rsidR="00893FE0" w:rsidRDefault="00893FE0" w:rsidP="00AB789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CC92CB4" w14:textId="77777777" w:rsidR="00893FE0" w:rsidRDefault="00893FE0" w:rsidP="00AB789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CC501A9" w14:textId="69877A1B" w:rsidR="00893FE0" w:rsidRPr="005D126D" w:rsidRDefault="00893FE0" w:rsidP="00AB7894">
            <w:pPr>
              <w:rPr>
                <w:rFonts w:ascii="Arial" w:hAnsi="Arial"/>
                <w:sz w:val="16"/>
              </w:rPr>
            </w:pPr>
            <w:r w:rsidRPr="00893FE0">
              <w:rPr>
                <w:rFonts w:ascii="Arial" w:hAnsi="Arial"/>
                <w:sz w:val="16"/>
              </w:rPr>
              <w:t>CR on Type-1 HARQ-ACK codebook for multicast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CDD7C26" w14:textId="77777777" w:rsidR="00893FE0" w:rsidRDefault="00893FE0" w:rsidP="00AB7894">
            <w:pPr>
              <w:pStyle w:val="TAL"/>
              <w:rPr>
                <w:sz w:val="16"/>
                <w:szCs w:val="16"/>
                <w:lang w:eastAsia="zh-CN"/>
              </w:rPr>
            </w:pPr>
            <w:r>
              <w:rPr>
                <w:sz w:val="16"/>
                <w:szCs w:val="16"/>
                <w:lang w:eastAsia="zh-CN"/>
              </w:rPr>
              <w:t>17.6.0</w:t>
            </w:r>
          </w:p>
        </w:tc>
      </w:tr>
      <w:tr w:rsidR="00893FE0" w:rsidRPr="00B916EC" w14:paraId="67BE2840" w14:textId="77777777" w:rsidTr="00AB7894">
        <w:tc>
          <w:tcPr>
            <w:tcW w:w="894" w:type="dxa"/>
            <w:tcBorders>
              <w:top w:val="single" w:sz="6" w:space="0" w:color="auto"/>
              <w:left w:val="single" w:sz="6" w:space="0" w:color="auto"/>
              <w:bottom w:val="single" w:sz="6" w:space="0" w:color="auto"/>
              <w:right w:val="single" w:sz="6" w:space="0" w:color="auto"/>
            </w:tcBorders>
            <w:shd w:val="solid" w:color="FFFFFF" w:fill="auto"/>
          </w:tcPr>
          <w:p w14:paraId="767638BD" w14:textId="77777777" w:rsidR="00893FE0" w:rsidRPr="00B916EC" w:rsidRDefault="00893FE0" w:rsidP="00AB7894">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06BA937" w14:textId="77777777" w:rsidR="00893FE0" w:rsidRPr="00B916EC" w:rsidRDefault="00893FE0" w:rsidP="00AB7894">
            <w:pPr>
              <w:pStyle w:val="TAL"/>
              <w:rPr>
                <w:sz w:val="16"/>
                <w:szCs w:val="16"/>
                <w:lang w:eastAsia="zh-CN"/>
              </w:rPr>
            </w:pPr>
            <w:r w:rsidRPr="00B916EC">
              <w:rPr>
                <w:sz w:val="16"/>
                <w:szCs w:val="16"/>
                <w:lang w:eastAsia="zh-CN"/>
              </w:rPr>
              <w:t>RAN#</w:t>
            </w:r>
            <w:r>
              <w:rPr>
                <w:sz w:val="16"/>
                <w:szCs w:val="16"/>
                <w:lang w:eastAsia="zh-CN"/>
              </w:rPr>
              <w:t>100</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2D4774E1" w14:textId="77777777" w:rsidR="00893FE0" w:rsidRDefault="00893FE0" w:rsidP="00AB7894">
            <w:pPr>
              <w:pStyle w:val="TAL"/>
              <w:rPr>
                <w:sz w:val="16"/>
                <w:szCs w:val="16"/>
                <w:lang w:eastAsia="zh-CN"/>
              </w:rPr>
            </w:pPr>
            <w:r w:rsidRPr="002B6B38">
              <w:rPr>
                <w:sz w:val="16"/>
                <w:szCs w:val="16"/>
                <w:lang w:eastAsia="zh-CN"/>
              </w:rPr>
              <w:t>RP-2312</w:t>
            </w:r>
            <w:r>
              <w:rPr>
                <w:sz w:val="16"/>
                <w:szCs w:val="16"/>
                <w:lang w:eastAsia="zh-CN"/>
              </w:rPr>
              <w:t>24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95BA3AC" w14:textId="484B3E6B" w:rsidR="00893FE0" w:rsidRDefault="00893FE0" w:rsidP="00AB7894">
            <w:pPr>
              <w:pStyle w:val="TAL"/>
              <w:rPr>
                <w:sz w:val="16"/>
                <w:szCs w:val="16"/>
              </w:rPr>
            </w:pPr>
            <w:r>
              <w:rPr>
                <w:sz w:val="16"/>
                <w:szCs w:val="16"/>
              </w:rPr>
              <w:t>0480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BA2BF59" w14:textId="77777777" w:rsidR="00893FE0" w:rsidRDefault="00893FE0" w:rsidP="00AB789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D938635" w14:textId="77777777" w:rsidR="00893FE0" w:rsidRDefault="00893FE0" w:rsidP="00AB789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4F908707" w14:textId="6EA7A0FF" w:rsidR="00893FE0" w:rsidRPr="005D126D" w:rsidRDefault="00893FE0" w:rsidP="00AB7894">
            <w:pPr>
              <w:rPr>
                <w:rFonts w:ascii="Arial" w:hAnsi="Arial"/>
                <w:sz w:val="16"/>
              </w:rPr>
            </w:pPr>
            <w:r w:rsidRPr="00893FE0">
              <w:rPr>
                <w:rFonts w:ascii="Arial" w:hAnsi="Arial"/>
                <w:sz w:val="16"/>
              </w:rPr>
              <w:t>CR on HARQ-ACK for SPS release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6990768" w14:textId="77777777" w:rsidR="00893FE0" w:rsidRDefault="00893FE0" w:rsidP="00AB7894">
            <w:pPr>
              <w:pStyle w:val="TAL"/>
              <w:rPr>
                <w:sz w:val="16"/>
                <w:szCs w:val="16"/>
                <w:lang w:eastAsia="zh-CN"/>
              </w:rPr>
            </w:pPr>
            <w:r>
              <w:rPr>
                <w:sz w:val="16"/>
                <w:szCs w:val="16"/>
                <w:lang w:eastAsia="zh-CN"/>
              </w:rPr>
              <w:t>17.6.0</w:t>
            </w:r>
          </w:p>
        </w:tc>
      </w:tr>
      <w:tr w:rsidR="00893FE0" w:rsidRPr="00B916EC" w14:paraId="04C69B5A" w14:textId="77777777" w:rsidTr="00AB7894">
        <w:tc>
          <w:tcPr>
            <w:tcW w:w="894" w:type="dxa"/>
            <w:tcBorders>
              <w:top w:val="single" w:sz="6" w:space="0" w:color="auto"/>
              <w:left w:val="single" w:sz="6" w:space="0" w:color="auto"/>
              <w:bottom w:val="single" w:sz="6" w:space="0" w:color="auto"/>
              <w:right w:val="single" w:sz="6" w:space="0" w:color="auto"/>
            </w:tcBorders>
            <w:shd w:val="solid" w:color="FFFFFF" w:fill="auto"/>
          </w:tcPr>
          <w:p w14:paraId="6DAC0B1D" w14:textId="77777777" w:rsidR="00893FE0" w:rsidRPr="00B916EC" w:rsidRDefault="00893FE0" w:rsidP="00AB7894">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C3343BA" w14:textId="77777777" w:rsidR="00893FE0" w:rsidRPr="00B916EC" w:rsidRDefault="00893FE0" w:rsidP="00AB7894">
            <w:pPr>
              <w:pStyle w:val="TAL"/>
              <w:rPr>
                <w:sz w:val="16"/>
                <w:szCs w:val="16"/>
                <w:lang w:eastAsia="zh-CN"/>
              </w:rPr>
            </w:pPr>
            <w:r w:rsidRPr="00B916EC">
              <w:rPr>
                <w:sz w:val="16"/>
                <w:szCs w:val="16"/>
                <w:lang w:eastAsia="zh-CN"/>
              </w:rPr>
              <w:t>RAN#</w:t>
            </w:r>
            <w:r>
              <w:rPr>
                <w:sz w:val="16"/>
                <w:szCs w:val="16"/>
                <w:lang w:eastAsia="zh-CN"/>
              </w:rPr>
              <w:t>100</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5BA41DC" w14:textId="77777777" w:rsidR="00893FE0" w:rsidRDefault="00893FE0" w:rsidP="00AB7894">
            <w:pPr>
              <w:pStyle w:val="TAL"/>
              <w:rPr>
                <w:sz w:val="16"/>
                <w:szCs w:val="16"/>
                <w:lang w:eastAsia="zh-CN"/>
              </w:rPr>
            </w:pPr>
            <w:r w:rsidRPr="002B6B38">
              <w:rPr>
                <w:sz w:val="16"/>
                <w:szCs w:val="16"/>
                <w:lang w:eastAsia="zh-CN"/>
              </w:rPr>
              <w:t>RP-2312</w:t>
            </w:r>
            <w:r>
              <w:rPr>
                <w:sz w:val="16"/>
                <w:szCs w:val="16"/>
                <w:lang w:eastAsia="zh-CN"/>
              </w:rPr>
              <w:t>24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57D8889" w14:textId="111B5AC3" w:rsidR="00893FE0" w:rsidRDefault="00893FE0" w:rsidP="00AB7894">
            <w:pPr>
              <w:pStyle w:val="TAL"/>
              <w:rPr>
                <w:sz w:val="16"/>
                <w:szCs w:val="16"/>
              </w:rPr>
            </w:pPr>
            <w:r>
              <w:rPr>
                <w:sz w:val="16"/>
                <w:szCs w:val="16"/>
              </w:rPr>
              <w:t>0481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BEBD407" w14:textId="77777777" w:rsidR="00893FE0" w:rsidRDefault="00893FE0" w:rsidP="00AB789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131C55E" w14:textId="77777777" w:rsidR="00893FE0" w:rsidRDefault="00893FE0" w:rsidP="00AB789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D6D8329" w14:textId="69D9D009" w:rsidR="00893FE0" w:rsidRPr="005D126D" w:rsidRDefault="00893FE0" w:rsidP="00AB7894">
            <w:pPr>
              <w:rPr>
                <w:rFonts w:ascii="Arial" w:hAnsi="Arial"/>
                <w:sz w:val="16"/>
              </w:rPr>
            </w:pPr>
            <w:r w:rsidRPr="00893FE0">
              <w:rPr>
                <w:rFonts w:ascii="Arial" w:hAnsi="Arial"/>
                <w:sz w:val="16"/>
              </w:rPr>
              <w:t>CR on SPS release via multicast DCI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D4D97D5" w14:textId="77777777" w:rsidR="00893FE0" w:rsidRDefault="00893FE0" w:rsidP="00AB7894">
            <w:pPr>
              <w:pStyle w:val="TAL"/>
              <w:rPr>
                <w:sz w:val="16"/>
                <w:szCs w:val="16"/>
                <w:lang w:eastAsia="zh-CN"/>
              </w:rPr>
            </w:pPr>
            <w:r>
              <w:rPr>
                <w:sz w:val="16"/>
                <w:szCs w:val="16"/>
                <w:lang w:eastAsia="zh-CN"/>
              </w:rPr>
              <w:t>17.6.0</w:t>
            </w:r>
          </w:p>
        </w:tc>
      </w:tr>
      <w:tr w:rsidR="00941120" w:rsidRPr="00B916EC" w14:paraId="178D2BA0" w14:textId="77777777" w:rsidTr="00AB7894">
        <w:tc>
          <w:tcPr>
            <w:tcW w:w="894" w:type="dxa"/>
            <w:tcBorders>
              <w:top w:val="single" w:sz="6" w:space="0" w:color="auto"/>
              <w:left w:val="single" w:sz="6" w:space="0" w:color="auto"/>
              <w:bottom w:val="single" w:sz="6" w:space="0" w:color="auto"/>
              <w:right w:val="single" w:sz="6" w:space="0" w:color="auto"/>
            </w:tcBorders>
            <w:shd w:val="solid" w:color="FFFFFF" w:fill="auto"/>
          </w:tcPr>
          <w:p w14:paraId="54819930" w14:textId="77777777" w:rsidR="00941120" w:rsidRPr="00B916EC" w:rsidRDefault="00941120" w:rsidP="00AB7894">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ADEB93B" w14:textId="77777777" w:rsidR="00941120" w:rsidRPr="00B916EC" w:rsidRDefault="00941120" w:rsidP="00AB7894">
            <w:pPr>
              <w:pStyle w:val="TAL"/>
              <w:rPr>
                <w:sz w:val="16"/>
                <w:szCs w:val="16"/>
                <w:lang w:eastAsia="zh-CN"/>
              </w:rPr>
            </w:pPr>
            <w:r w:rsidRPr="00B916EC">
              <w:rPr>
                <w:sz w:val="16"/>
                <w:szCs w:val="16"/>
                <w:lang w:eastAsia="zh-CN"/>
              </w:rPr>
              <w:t>RAN#</w:t>
            </w:r>
            <w:r>
              <w:rPr>
                <w:sz w:val="16"/>
                <w:szCs w:val="16"/>
                <w:lang w:eastAsia="zh-CN"/>
              </w:rPr>
              <w:t>100</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D74CA67" w14:textId="2EB31739" w:rsidR="00941120" w:rsidRDefault="00941120" w:rsidP="00AB7894">
            <w:pPr>
              <w:pStyle w:val="TAL"/>
              <w:rPr>
                <w:sz w:val="16"/>
                <w:szCs w:val="16"/>
                <w:lang w:eastAsia="zh-CN"/>
              </w:rPr>
            </w:pPr>
            <w:r w:rsidRPr="002B6B38">
              <w:rPr>
                <w:sz w:val="16"/>
                <w:szCs w:val="16"/>
                <w:lang w:eastAsia="zh-CN"/>
              </w:rPr>
              <w:t>RP-2312</w:t>
            </w:r>
            <w:r>
              <w:rPr>
                <w:sz w:val="16"/>
                <w:szCs w:val="16"/>
                <w:lang w:eastAsia="zh-CN"/>
              </w:rPr>
              <w:t>25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4858D36" w14:textId="2859D3D9" w:rsidR="00941120" w:rsidRDefault="00941120" w:rsidP="00AB7894">
            <w:pPr>
              <w:pStyle w:val="TAL"/>
              <w:rPr>
                <w:sz w:val="16"/>
                <w:szCs w:val="16"/>
              </w:rPr>
            </w:pPr>
            <w:r>
              <w:rPr>
                <w:sz w:val="16"/>
                <w:szCs w:val="16"/>
              </w:rPr>
              <w:t>0482</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2872882" w14:textId="77777777" w:rsidR="00941120" w:rsidRDefault="00941120" w:rsidP="00AB789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629DF8B" w14:textId="77777777" w:rsidR="00941120" w:rsidRDefault="00941120" w:rsidP="00AB789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F718295" w14:textId="26C44E76" w:rsidR="00941120" w:rsidRPr="005D126D" w:rsidRDefault="00941120" w:rsidP="00AB7894">
            <w:pPr>
              <w:rPr>
                <w:rFonts w:ascii="Arial" w:hAnsi="Arial"/>
                <w:sz w:val="16"/>
              </w:rPr>
            </w:pPr>
            <w:r w:rsidRPr="00941120">
              <w:rPr>
                <w:rFonts w:ascii="Arial" w:hAnsi="Arial"/>
                <w:sz w:val="16"/>
              </w:rPr>
              <w:t>Clarification of RA-SDT operation for RedCap UEs in TDD</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0AB529E" w14:textId="77777777" w:rsidR="00941120" w:rsidRDefault="00941120" w:rsidP="00AB7894">
            <w:pPr>
              <w:pStyle w:val="TAL"/>
              <w:rPr>
                <w:sz w:val="16"/>
                <w:szCs w:val="16"/>
                <w:lang w:eastAsia="zh-CN"/>
              </w:rPr>
            </w:pPr>
            <w:r>
              <w:rPr>
                <w:sz w:val="16"/>
                <w:szCs w:val="16"/>
                <w:lang w:eastAsia="zh-CN"/>
              </w:rPr>
              <w:t>17.6.0</w:t>
            </w:r>
          </w:p>
        </w:tc>
      </w:tr>
      <w:tr w:rsidR="00941120" w:rsidRPr="00B916EC" w14:paraId="4702AF9C" w14:textId="77777777" w:rsidTr="00AB7894">
        <w:tc>
          <w:tcPr>
            <w:tcW w:w="894" w:type="dxa"/>
            <w:tcBorders>
              <w:top w:val="single" w:sz="6" w:space="0" w:color="auto"/>
              <w:left w:val="single" w:sz="6" w:space="0" w:color="auto"/>
              <w:bottom w:val="single" w:sz="6" w:space="0" w:color="auto"/>
              <w:right w:val="single" w:sz="6" w:space="0" w:color="auto"/>
            </w:tcBorders>
            <w:shd w:val="solid" w:color="FFFFFF" w:fill="auto"/>
          </w:tcPr>
          <w:p w14:paraId="544C1B49" w14:textId="77777777" w:rsidR="00941120" w:rsidRPr="00B916EC" w:rsidRDefault="00941120" w:rsidP="00AB7894">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23-06</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6BFA68D" w14:textId="77777777" w:rsidR="00941120" w:rsidRPr="00B916EC" w:rsidRDefault="00941120" w:rsidP="00AB7894">
            <w:pPr>
              <w:pStyle w:val="TAL"/>
              <w:rPr>
                <w:sz w:val="16"/>
                <w:szCs w:val="16"/>
                <w:lang w:eastAsia="zh-CN"/>
              </w:rPr>
            </w:pPr>
            <w:r w:rsidRPr="00B916EC">
              <w:rPr>
                <w:sz w:val="16"/>
                <w:szCs w:val="16"/>
                <w:lang w:eastAsia="zh-CN"/>
              </w:rPr>
              <w:t>RAN#</w:t>
            </w:r>
            <w:r>
              <w:rPr>
                <w:sz w:val="16"/>
                <w:szCs w:val="16"/>
                <w:lang w:eastAsia="zh-CN"/>
              </w:rPr>
              <w:t>100</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1651956" w14:textId="22B582DF" w:rsidR="00941120" w:rsidRDefault="00941120" w:rsidP="00AB7894">
            <w:pPr>
              <w:pStyle w:val="TAL"/>
              <w:rPr>
                <w:sz w:val="16"/>
                <w:szCs w:val="16"/>
                <w:lang w:eastAsia="zh-CN"/>
              </w:rPr>
            </w:pPr>
            <w:r w:rsidRPr="002B6B38">
              <w:rPr>
                <w:sz w:val="16"/>
                <w:szCs w:val="16"/>
                <w:lang w:eastAsia="zh-CN"/>
              </w:rPr>
              <w:t>RP-2312</w:t>
            </w:r>
            <w:r>
              <w:rPr>
                <w:sz w:val="16"/>
                <w:szCs w:val="16"/>
                <w:lang w:eastAsia="zh-CN"/>
              </w:rPr>
              <w:t>26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E89AEDE" w14:textId="78ABC294" w:rsidR="00941120" w:rsidRDefault="00941120" w:rsidP="00AB7894">
            <w:pPr>
              <w:pStyle w:val="TAL"/>
              <w:rPr>
                <w:sz w:val="16"/>
                <w:szCs w:val="16"/>
              </w:rPr>
            </w:pPr>
            <w:r>
              <w:rPr>
                <w:sz w:val="16"/>
                <w:szCs w:val="16"/>
              </w:rPr>
              <w:t>0483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3063E16" w14:textId="77777777" w:rsidR="00941120" w:rsidRDefault="00941120" w:rsidP="00AB7894">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4188A341" w14:textId="77777777" w:rsidR="00941120" w:rsidRDefault="00941120" w:rsidP="00AB7894">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1EBBADC" w14:textId="5F3DDBC4" w:rsidR="00941120" w:rsidRPr="005D126D" w:rsidRDefault="00941120" w:rsidP="00AB7894">
            <w:pPr>
              <w:rPr>
                <w:rFonts w:ascii="Arial" w:hAnsi="Arial"/>
                <w:sz w:val="16"/>
              </w:rPr>
            </w:pPr>
            <w:r w:rsidRPr="00941120">
              <w:rPr>
                <w:rFonts w:ascii="Arial" w:hAnsi="Arial"/>
                <w:sz w:val="16"/>
              </w:rPr>
              <w:t>Rel-17 editorial corrections for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B6C5B98" w14:textId="77777777" w:rsidR="00941120" w:rsidRDefault="00941120" w:rsidP="00AB7894">
            <w:pPr>
              <w:pStyle w:val="TAL"/>
              <w:rPr>
                <w:sz w:val="16"/>
                <w:szCs w:val="16"/>
                <w:lang w:eastAsia="zh-CN"/>
              </w:rPr>
            </w:pPr>
            <w:r>
              <w:rPr>
                <w:sz w:val="16"/>
                <w:szCs w:val="16"/>
                <w:lang w:eastAsia="zh-CN"/>
              </w:rPr>
              <w:t>17.6.0</w:t>
            </w:r>
          </w:p>
        </w:tc>
      </w:tr>
      <w:tr w:rsidR="0008079E" w:rsidRPr="00B916EC" w14:paraId="17ABD163" w14:textId="77777777" w:rsidTr="00B71435">
        <w:tc>
          <w:tcPr>
            <w:tcW w:w="894" w:type="dxa"/>
            <w:tcBorders>
              <w:top w:val="single" w:sz="6" w:space="0" w:color="auto"/>
              <w:left w:val="single" w:sz="6" w:space="0" w:color="auto"/>
              <w:bottom w:val="single" w:sz="6" w:space="0" w:color="auto"/>
              <w:right w:val="single" w:sz="6" w:space="0" w:color="auto"/>
            </w:tcBorders>
            <w:shd w:val="solid" w:color="FFFFFF" w:fill="auto"/>
          </w:tcPr>
          <w:p w14:paraId="291469CA" w14:textId="10892CCE" w:rsidR="0008079E" w:rsidRPr="00B916EC" w:rsidRDefault="0008079E" w:rsidP="00B71435">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F2B316B" w14:textId="08D07560" w:rsidR="0008079E" w:rsidRPr="00B916EC" w:rsidRDefault="0008079E" w:rsidP="00B71435">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71390D8" w14:textId="4D087128" w:rsidR="0008079E" w:rsidRDefault="0008079E" w:rsidP="00B71435">
            <w:pPr>
              <w:pStyle w:val="TAL"/>
              <w:rPr>
                <w:sz w:val="16"/>
                <w:szCs w:val="16"/>
                <w:lang w:eastAsia="zh-CN"/>
              </w:rPr>
            </w:pPr>
            <w:r w:rsidRPr="002B6B38">
              <w:rPr>
                <w:sz w:val="16"/>
                <w:szCs w:val="16"/>
                <w:lang w:eastAsia="zh-CN"/>
              </w:rPr>
              <w:t>RP-23</w:t>
            </w:r>
            <w:r>
              <w:rPr>
                <w:sz w:val="16"/>
                <w:szCs w:val="16"/>
                <w:lang w:eastAsia="zh-CN"/>
              </w:rPr>
              <w:t>2448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4A86013" w14:textId="454C6CB9" w:rsidR="0008079E" w:rsidRDefault="0008079E" w:rsidP="00B71435">
            <w:pPr>
              <w:pStyle w:val="TAL"/>
              <w:rPr>
                <w:sz w:val="16"/>
                <w:szCs w:val="16"/>
              </w:rPr>
            </w:pPr>
            <w:r>
              <w:rPr>
                <w:sz w:val="16"/>
                <w:szCs w:val="16"/>
              </w:rPr>
              <w:t>0484</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A7A75D2" w14:textId="77777777" w:rsidR="0008079E" w:rsidRDefault="0008079E" w:rsidP="00B71435">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706C69D" w14:textId="77777777" w:rsidR="0008079E" w:rsidRDefault="0008079E" w:rsidP="00B71435">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9FE6043" w14:textId="07E05A9B" w:rsidR="0008079E" w:rsidRPr="005D126D" w:rsidRDefault="0008079E" w:rsidP="00B71435">
            <w:pPr>
              <w:rPr>
                <w:rFonts w:ascii="Arial" w:hAnsi="Arial"/>
                <w:sz w:val="16"/>
              </w:rPr>
            </w:pPr>
            <w:r w:rsidRPr="0008079E">
              <w:rPr>
                <w:rFonts w:ascii="Arial" w:hAnsi="Arial"/>
                <w:sz w:val="16"/>
              </w:rPr>
              <w:t>Correction on description of valid PSFCH occasion for scheme 2 in TS 38.213</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EBF9B0A" w14:textId="37629D3C" w:rsidR="0008079E" w:rsidRDefault="0008079E" w:rsidP="00B71435">
            <w:pPr>
              <w:pStyle w:val="TAL"/>
              <w:rPr>
                <w:sz w:val="16"/>
                <w:szCs w:val="16"/>
                <w:lang w:eastAsia="zh-CN"/>
              </w:rPr>
            </w:pPr>
            <w:r>
              <w:rPr>
                <w:sz w:val="16"/>
                <w:szCs w:val="16"/>
                <w:lang w:eastAsia="zh-CN"/>
              </w:rPr>
              <w:t>17.7.0</w:t>
            </w:r>
          </w:p>
        </w:tc>
      </w:tr>
      <w:tr w:rsidR="0008079E" w:rsidRPr="00B916EC" w14:paraId="2ED68F9C" w14:textId="77777777" w:rsidTr="00B71435">
        <w:tc>
          <w:tcPr>
            <w:tcW w:w="894" w:type="dxa"/>
            <w:tcBorders>
              <w:top w:val="single" w:sz="6" w:space="0" w:color="auto"/>
              <w:left w:val="single" w:sz="6" w:space="0" w:color="auto"/>
              <w:bottom w:val="single" w:sz="6" w:space="0" w:color="auto"/>
              <w:right w:val="single" w:sz="6" w:space="0" w:color="auto"/>
            </w:tcBorders>
            <w:shd w:val="solid" w:color="FFFFFF" w:fill="auto"/>
          </w:tcPr>
          <w:p w14:paraId="7D2CD7A4" w14:textId="77777777" w:rsidR="0008079E" w:rsidRPr="00B916EC" w:rsidRDefault="0008079E" w:rsidP="00B71435">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C59B8D2" w14:textId="77777777" w:rsidR="0008079E" w:rsidRPr="00B916EC" w:rsidRDefault="0008079E" w:rsidP="00B71435">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9142F12" w14:textId="33727673" w:rsidR="0008079E" w:rsidRDefault="0008079E" w:rsidP="00B71435">
            <w:pPr>
              <w:pStyle w:val="TAL"/>
              <w:rPr>
                <w:sz w:val="16"/>
                <w:szCs w:val="16"/>
                <w:lang w:eastAsia="zh-CN"/>
              </w:rPr>
            </w:pPr>
            <w:r w:rsidRPr="002B6B38">
              <w:rPr>
                <w:sz w:val="16"/>
                <w:szCs w:val="16"/>
                <w:lang w:eastAsia="zh-CN"/>
              </w:rPr>
              <w:t>RP-23</w:t>
            </w:r>
            <w:r>
              <w:rPr>
                <w:sz w:val="16"/>
                <w:szCs w:val="16"/>
                <w:lang w:eastAsia="zh-CN"/>
              </w:rPr>
              <w:t>2447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65EBD1F" w14:textId="0B813228" w:rsidR="0008079E" w:rsidRDefault="0008079E" w:rsidP="00B71435">
            <w:pPr>
              <w:pStyle w:val="TAL"/>
              <w:rPr>
                <w:sz w:val="16"/>
                <w:szCs w:val="16"/>
              </w:rPr>
            </w:pPr>
            <w:r>
              <w:rPr>
                <w:sz w:val="16"/>
                <w:szCs w:val="16"/>
              </w:rPr>
              <w:t>0485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B8A4A92" w14:textId="77777777" w:rsidR="0008079E" w:rsidRDefault="0008079E" w:rsidP="00B71435">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735B83B3" w14:textId="77777777" w:rsidR="0008079E" w:rsidRDefault="0008079E" w:rsidP="00B71435">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8D860DE" w14:textId="25FAB8B8" w:rsidR="0008079E" w:rsidRPr="005D126D" w:rsidRDefault="0008079E" w:rsidP="00B71435">
            <w:pPr>
              <w:rPr>
                <w:rFonts w:ascii="Arial" w:hAnsi="Arial"/>
                <w:sz w:val="16"/>
              </w:rPr>
            </w:pPr>
            <w:r w:rsidRPr="0008079E">
              <w:rPr>
                <w:rFonts w:ascii="Arial" w:hAnsi="Arial"/>
                <w:sz w:val="16"/>
              </w:rPr>
              <w:t>Miscellaneous corrections on Rel-17 enhanced URLLC &amp; IIoT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008DB6C" w14:textId="77777777" w:rsidR="0008079E" w:rsidRDefault="0008079E" w:rsidP="00B71435">
            <w:pPr>
              <w:pStyle w:val="TAL"/>
              <w:rPr>
                <w:sz w:val="16"/>
                <w:szCs w:val="16"/>
                <w:lang w:eastAsia="zh-CN"/>
              </w:rPr>
            </w:pPr>
            <w:r>
              <w:rPr>
                <w:sz w:val="16"/>
                <w:szCs w:val="16"/>
                <w:lang w:eastAsia="zh-CN"/>
              </w:rPr>
              <w:t>17.7.0</w:t>
            </w:r>
          </w:p>
        </w:tc>
      </w:tr>
      <w:tr w:rsidR="00BC369E" w:rsidRPr="00B916EC" w14:paraId="23BEDC6D" w14:textId="77777777" w:rsidTr="00B71435">
        <w:tc>
          <w:tcPr>
            <w:tcW w:w="894" w:type="dxa"/>
            <w:tcBorders>
              <w:top w:val="single" w:sz="6" w:space="0" w:color="auto"/>
              <w:left w:val="single" w:sz="6" w:space="0" w:color="auto"/>
              <w:bottom w:val="single" w:sz="6" w:space="0" w:color="auto"/>
              <w:right w:val="single" w:sz="6" w:space="0" w:color="auto"/>
            </w:tcBorders>
            <w:shd w:val="solid" w:color="FFFFFF" w:fill="auto"/>
          </w:tcPr>
          <w:p w14:paraId="7D88AA23" w14:textId="77777777" w:rsidR="00BC369E" w:rsidRPr="00B916EC" w:rsidRDefault="00BC369E" w:rsidP="00B71435">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EF40E40" w14:textId="77777777" w:rsidR="00BC369E" w:rsidRPr="00B916EC" w:rsidRDefault="00BC369E" w:rsidP="00B71435">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3D3B218" w14:textId="189A7F94" w:rsidR="00BC369E" w:rsidRDefault="00BC369E" w:rsidP="00B71435">
            <w:pPr>
              <w:pStyle w:val="TAL"/>
              <w:rPr>
                <w:sz w:val="16"/>
                <w:szCs w:val="16"/>
                <w:lang w:eastAsia="zh-CN"/>
              </w:rPr>
            </w:pPr>
            <w:r w:rsidRPr="002B6B38">
              <w:rPr>
                <w:sz w:val="16"/>
                <w:szCs w:val="16"/>
                <w:lang w:eastAsia="zh-CN"/>
              </w:rPr>
              <w:t>RP-23</w:t>
            </w:r>
            <w:r>
              <w:rPr>
                <w:sz w:val="16"/>
                <w:szCs w:val="16"/>
                <w:lang w:eastAsia="zh-CN"/>
              </w:rPr>
              <w:t>2446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B6444DF" w14:textId="11514D91" w:rsidR="00BC369E" w:rsidRDefault="00BC369E" w:rsidP="00B71435">
            <w:pPr>
              <w:pStyle w:val="TAL"/>
              <w:rPr>
                <w:sz w:val="16"/>
                <w:szCs w:val="16"/>
              </w:rPr>
            </w:pPr>
            <w:r>
              <w:rPr>
                <w:sz w:val="16"/>
                <w:szCs w:val="16"/>
              </w:rPr>
              <w:t>0486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0B2E61E" w14:textId="77777777" w:rsidR="00BC369E" w:rsidRDefault="00BC369E" w:rsidP="00B71435">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A32F534" w14:textId="77777777" w:rsidR="00BC369E" w:rsidRDefault="00BC369E" w:rsidP="00B71435">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FF57960" w14:textId="04D0DFC6" w:rsidR="00BC369E" w:rsidRPr="005D126D" w:rsidRDefault="00BC369E" w:rsidP="00B71435">
            <w:pPr>
              <w:rPr>
                <w:rFonts w:ascii="Arial" w:hAnsi="Arial"/>
                <w:sz w:val="16"/>
              </w:rPr>
            </w:pPr>
            <w:r w:rsidRPr="00BC369E">
              <w:rPr>
                <w:rFonts w:ascii="Arial" w:hAnsi="Arial"/>
                <w:sz w:val="16"/>
              </w:rPr>
              <w:t>Correction on HARQ-ACK timing for FR2-2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3E152A" w14:textId="77777777" w:rsidR="00BC369E" w:rsidRDefault="00BC369E" w:rsidP="00B71435">
            <w:pPr>
              <w:pStyle w:val="TAL"/>
              <w:rPr>
                <w:sz w:val="16"/>
                <w:szCs w:val="16"/>
                <w:lang w:eastAsia="zh-CN"/>
              </w:rPr>
            </w:pPr>
            <w:r>
              <w:rPr>
                <w:sz w:val="16"/>
                <w:szCs w:val="16"/>
                <w:lang w:eastAsia="zh-CN"/>
              </w:rPr>
              <w:t>17.7.0</w:t>
            </w:r>
          </w:p>
        </w:tc>
      </w:tr>
      <w:tr w:rsidR="00336069" w:rsidRPr="00B916EC" w14:paraId="09D098E8" w14:textId="77777777" w:rsidTr="00B71435">
        <w:tc>
          <w:tcPr>
            <w:tcW w:w="894" w:type="dxa"/>
            <w:tcBorders>
              <w:top w:val="single" w:sz="6" w:space="0" w:color="auto"/>
              <w:left w:val="single" w:sz="6" w:space="0" w:color="auto"/>
              <w:bottom w:val="single" w:sz="6" w:space="0" w:color="auto"/>
              <w:right w:val="single" w:sz="6" w:space="0" w:color="auto"/>
            </w:tcBorders>
            <w:shd w:val="solid" w:color="FFFFFF" w:fill="auto"/>
          </w:tcPr>
          <w:p w14:paraId="6D6BFD43" w14:textId="77777777" w:rsidR="00336069" w:rsidRPr="00B916EC" w:rsidRDefault="00336069" w:rsidP="00B71435">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2DFF052" w14:textId="77777777" w:rsidR="00336069" w:rsidRPr="00B916EC" w:rsidRDefault="00336069" w:rsidP="00B71435">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4135E45" w14:textId="794BB314" w:rsidR="00336069" w:rsidRDefault="00336069" w:rsidP="00B71435">
            <w:pPr>
              <w:pStyle w:val="TAL"/>
              <w:rPr>
                <w:sz w:val="16"/>
                <w:szCs w:val="16"/>
                <w:lang w:eastAsia="zh-CN"/>
              </w:rPr>
            </w:pPr>
            <w:r w:rsidRPr="002B6B38">
              <w:rPr>
                <w:sz w:val="16"/>
                <w:szCs w:val="16"/>
                <w:lang w:eastAsia="zh-CN"/>
              </w:rPr>
              <w:t>RP-23</w:t>
            </w:r>
            <w:r>
              <w:rPr>
                <w:sz w:val="16"/>
                <w:szCs w:val="16"/>
                <w:lang w:eastAsia="zh-CN"/>
              </w:rPr>
              <w:t>2457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61446CC" w14:textId="585B3D65" w:rsidR="00336069" w:rsidRDefault="00336069" w:rsidP="00B71435">
            <w:pPr>
              <w:pStyle w:val="TAL"/>
              <w:rPr>
                <w:sz w:val="16"/>
                <w:szCs w:val="16"/>
              </w:rPr>
            </w:pPr>
            <w:r>
              <w:rPr>
                <w:sz w:val="16"/>
                <w:szCs w:val="16"/>
              </w:rPr>
              <w:t>0487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2ECCFC2" w14:textId="77777777" w:rsidR="00336069" w:rsidRDefault="00336069" w:rsidP="00B71435">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1EB228A" w14:textId="77777777" w:rsidR="00336069" w:rsidRDefault="00336069" w:rsidP="00B71435">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0498D28A" w14:textId="67588379" w:rsidR="00336069" w:rsidRPr="005D126D" w:rsidRDefault="00336069" w:rsidP="00B71435">
            <w:pPr>
              <w:rPr>
                <w:rFonts w:ascii="Arial" w:hAnsi="Arial"/>
                <w:sz w:val="16"/>
              </w:rPr>
            </w:pPr>
            <w:r w:rsidRPr="00336069">
              <w:rPr>
                <w:rFonts w:ascii="Arial" w:hAnsi="Arial"/>
                <w:sz w:val="16"/>
              </w:rPr>
              <w:t>Corrections on PDCCH Monitoring Adaptation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5D1B9C4" w14:textId="77777777" w:rsidR="00336069" w:rsidRDefault="00336069" w:rsidP="00B71435">
            <w:pPr>
              <w:pStyle w:val="TAL"/>
              <w:rPr>
                <w:sz w:val="16"/>
                <w:szCs w:val="16"/>
                <w:lang w:eastAsia="zh-CN"/>
              </w:rPr>
            </w:pPr>
            <w:r>
              <w:rPr>
                <w:sz w:val="16"/>
                <w:szCs w:val="16"/>
                <w:lang w:eastAsia="zh-CN"/>
              </w:rPr>
              <w:t>17.7.0</w:t>
            </w:r>
          </w:p>
        </w:tc>
      </w:tr>
      <w:tr w:rsidR="00824E5E" w:rsidRPr="00B916EC" w14:paraId="6022D2A4" w14:textId="77777777" w:rsidTr="00B71435">
        <w:tc>
          <w:tcPr>
            <w:tcW w:w="894" w:type="dxa"/>
            <w:tcBorders>
              <w:top w:val="single" w:sz="6" w:space="0" w:color="auto"/>
              <w:left w:val="single" w:sz="6" w:space="0" w:color="auto"/>
              <w:bottom w:val="single" w:sz="6" w:space="0" w:color="auto"/>
              <w:right w:val="single" w:sz="6" w:space="0" w:color="auto"/>
            </w:tcBorders>
            <w:shd w:val="solid" w:color="FFFFFF" w:fill="auto"/>
          </w:tcPr>
          <w:p w14:paraId="482903EA" w14:textId="77777777" w:rsidR="00824E5E" w:rsidRPr="00B916EC" w:rsidRDefault="00824E5E" w:rsidP="00B71435">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88813D4" w14:textId="77777777" w:rsidR="00824E5E" w:rsidRPr="00B916EC" w:rsidRDefault="00824E5E" w:rsidP="00B71435">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476D9477" w14:textId="77777777" w:rsidR="00824E5E" w:rsidRDefault="00824E5E" w:rsidP="00B71435">
            <w:pPr>
              <w:pStyle w:val="TAL"/>
              <w:rPr>
                <w:sz w:val="16"/>
                <w:szCs w:val="16"/>
                <w:lang w:eastAsia="zh-CN"/>
              </w:rPr>
            </w:pPr>
            <w:r w:rsidRPr="002B6B38">
              <w:rPr>
                <w:sz w:val="16"/>
                <w:szCs w:val="16"/>
                <w:lang w:eastAsia="zh-CN"/>
              </w:rPr>
              <w:t>RP-23</w:t>
            </w:r>
            <w:r>
              <w:rPr>
                <w:sz w:val="16"/>
                <w:szCs w:val="16"/>
                <w:lang w:eastAsia="zh-CN"/>
              </w:rPr>
              <w:t>2457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1E57B03" w14:textId="26A173D5" w:rsidR="00824E5E" w:rsidRDefault="00824E5E" w:rsidP="00B71435">
            <w:pPr>
              <w:pStyle w:val="TAL"/>
              <w:rPr>
                <w:sz w:val="16"/>
                <w:szCs w:val="16"/>
              </w:rPr>
            </w:pPr>
            <w:r>
              <w:rPr>
                <w:sz w:val="16"/>
                <w:szCs w:val="16"/>
              </w:rPr>
              <w:t>0488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6BACFD80" w14:textId="77777777" w:rsidR="00824E5E" w:rsidRDefault="00824E5E" w:rsidP="00B71435">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686086A" w14:textId="77777777" w:rsidR="00824E5E" w:rsidRDefault="00824E5E" w:rsidP="00B71435">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EFDC085" w14:textId="4050D448" w:rsidR="00824E5E" w:rsidRPr="005D126D" w:rsidRDefault="00824E5E" w:rsidP="00B71435">
            <w:pPr>
              <w:rPr>
                <w:rFonts w:ascii="Arial" w:hAnsi="Arial"/>
                <w:sz w:val="16"/>
              </w:rPr>
            </w:pPr>
            <w:r w:rsidRPr="00824E5E">
              <w:rPr>
                <w:rFonts w:ascii="Arial" w:hAnsi="Arial"/>
                <w:sz w:val="16"/>
              </w:rPr>
              <w:t>Alignment on SSSG Switching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7CF8B61" w14:textId="77777777" w:rsidR="00824E5E" w:rsidRDefault="00824E5E" w:rsidP="00B71435">
            <w:pPr>
              <w:pStyle w:val="TAL"/>
              <w:rPr>
                <w:sz w:val="16"/>
                <w:szCs w:val="16"/>
                <w:lang w:eastAsia="zh-CN"/>
              </w:rPr>
            </w:pPr>
            <w:r>
              <w:rPr>
                <w:sz w:val="16"/>
                <w:szCs w:val="16"/>
                <w:lang w:eastAsia="zh-CN"/>
              </w:rPr>
              <w:t>17.7.0</w:t>
            </w:r>
          </w:p>
        </w:tc>
      </w:tr>
      <w:tr w:rsidR="00824E5E" w:rsidRPr="00B916EC" w14:paraId="5655CBFF" w14:textId="77777777" w:rsidTr="00B71435">
        <w:tc>
          <w:tcPr>
            <w:tcW w:w="894" w:type="dxa"/>
            <w:tcBorders>
              <w:top w:val="single" w:sz="6" w:space="0" w:color="auto"/>
              <w:left w:val="single" w:sz="6" w:space="0" w:color="auto"/>
              <w:bottom w:val="single" w:sz="6" w:space="0" w:color="auto"/>
              <w:right w:val="single" w:sz="6" w:space="0" w:color="auto"/>
            </w:tcBorders>
            <w:shd w:val="solid" w:color="FFFFFF" w:fill="auto"/>
          </w:tcPr>
          <w:p w14:paraId="51ED68F3" w14:textId="77777777" w:rsidR="00824E5E" w:rsidRPr="00B916EC" w:rsidRDefault="00824E5E" w:rsidP="00B71435">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1BE01D47" w14:textId="77777777" w:rsidR="00824E5E" w:rsidRPr="00B916EC" w:rsidRDefault="00824E5E" w:rsidP="00B71435">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FCFEEF3" w14:textId="1B5B00C2" w:rsidR="00824E5E" w:rsidRDefault="00824E5E" w:rsidP="00B71435">
            <w:pPr>
              <w:pStyle w:val="TAL"/>
              <w:rPr>
                <w:sz w:val="16"/>
                <w:szCs w:val="16"/>
                <w:lang w:eastAsia="zh-CN"/>
              </w:rPr>
            </w:pPr>
            <w:r w:rsidRPr="002B6B38">
              <w:rPr>
                <w:sz w:val="16"/>
                <w:szCs w:val="16"/>
                <w:lang w:eastAsia="zh-CN"/>
              </w:rPr>
              <w:t>RP-23</w:t>
            </w:r>
            <w:r>
              <w:rPr>
                <w:sz w:val="16"/>
                <w:szCs w:val="16"/>
                <w:lang w:eastAsia="zh-CN"/>
              </w:rPr>
              <w:t>2455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70EEF63" w14:textId="0894EF46" w:rsidR="00824E5E" w:rsidRDefault="00824E5E" w:rsidP="00B71435">
            <w:pPr>
              <w:pStyle w:val="TAL"/>
              <w:rPr>
                <w:sz w:val="16"/>
                <w:szCs w:val="16"/>
              </w:rPr>
            </w:pPr>
            <w:r>
              <w:rPr>
                <w:sz w:val="16"/>
                <w:szCs w:val="16"/>
              </w:rPr>
              <w:t>0489</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302A6C5" w14:textId="77777777" w:rsidR="00824E5E" w:rsidRDefault="00824E5E" w:rsidP="00B71435">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7C4AC6E" w14:textId="77777777" w:rsidR="00824E5E" w:rsidRDefault="00824E5E" w:rsidP="00B71435">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F17E223" w14:textId="385EB3CF" w:rsidR="00824E5E" w:rsidRPr="005D126D" w:rsidRDefault="00824E5E" w:rsidP="00B71435">
            <w:pPr>
              <w:rPr>
                <w:rFonts w:ascii="Arial" w:hAnsi="Arial"/>
                <w:sz w:val="16"/>
              </w:rPr>
            </w:pPr>
            <w:r w:rsidRPr="00824E5E">
              <w:rPr>
                <w:rFonts w:ascii="Arial" w:hAnsi="Arial"/>
                <w:sz w:val="16"/>
              </w:rPr>
              <w:t>Correction to CORESET0 selection for new BWs of bands n79 and n104</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24B1AF4" w14:textId="77777777" w:rsidR="00824E5E" w:rsidRDefault="00824E5E" w:rsidP="00B71435">
            <w:pPr>
              <w:pStyle w:val="TAL"/>
              <w:rPr>
                <w:sz w:val="16"/>
                <w:szCs w:val="16"/>
                <w:lang w:eastAsia="zh-CN"/>
              </w:rPr>
            </w:pPr>
            <w:r>
              <w:rPr>
                <w:sz w:val="16"/>
                <w:szCs w:val="16"/>
                <w:lang w:eastAsia="zh-CN"/>
              </w:rPr>
              <w:t>17.7.0</w:t>
            </w:r>
          </w:p>
        </w:tc>
      </w:tr>
      <w:tr w:rsidR="00466CED" w:rsidRPr="00B916EC" w14:paraId="0C4B6B4B" w14:textId="77777777" w:rsidTr="00B71435">
        <w:tc>
          <w:tcPr>
            <w:tcW w:w="894" w:type="dxa"/>
            <w:tcBorders>
              <w:top w:val="single" w:sz="6" w:space="0" w:color="auto"/>
              <w:left w:val="single" w:sz="6" w:space="0" w:color="auto"/>
              <w:bottom w:val="single" w:sz="6" w:space="0" w:color="auto"/>
              <w:right w:val="single" w:sz="6" w:space="0" w:color="auto"/>
            </w:tcBorders>
            <w:shd w:val="solid" w:color="FFFFFF" w:fill="auto"/>
          </w:tcPr>
          <w:p w14:paraId="58C90C8C" w14:textId="77777777" w:rsidR="00466CED" w:rsidRPr="00B916EC" w:rsidRDefault="00466CED" w:rsidP="00B71435">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33F32A68" w14:textId="77777777" w:rsidR="00466CED" w:rsidRPr="00B916EC" w:rsidRDefault="00466CED" w:rsidP="00B71435">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12AE9F91" w14:textId="2CD3C419" w:rsidR="00466CED" w:rsidRDefault="00466CED" w:rsidP="00B71435">
            <w:pPr>
              <w:pStyle w:val="TAL"/>
              <w:rPr>
                <w:sz w:val="16"/>
                <w:szCs w:val="16"/>
                <w:lang w:eastAsia="zh-CN"/>
              </w:rPr>
            </w:pPr>
            <w:r w:rsidRPr="002B6B38">
              <w:rPr>
                <w:sz w:val="16"/>
                <w:szCs w:val="16"/>
                <w:lang w:eastAsia="zh-CN"/>
              </w:rPr>
              <w:t>RP-23</w:t>
            </w:r>
            <w:r>
              <w:rPr>
                <w:sz w:val="16"/>
                <w:szCs w:val="16"/>
                <w:lang w:eastAsia="zh-CN"/>
              </w:rPr>
              <w:t>2449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02C319A" w14:textId="547FAE39" w:rsidR="00466CED" w:rsidRDefault="00466CED" w:rsidP="00B71435">
            <w:pPr>
              <w:pStyle w:val="TAL"/>
              <w:rPr>
                <w:sz w:val="16"/>
                <w:szCs w:val="16"/>
              </w:rPr>
            </w:pPr>
            <w:r>
              <w:rPr>
                <w:sz w:val="16"/>
                <w:szCs w:val="16"/>
              </w:rPr>
              <w:t>0490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4A77B610" w14:textId="77777777" w:rsidR="00466CED" w:rsidRDefault="00466CED" w:rsidP="00B71435">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D906AD6" w14:textId="77777777" w:rsidR="00466CED" w:rsidRDefault="00466CED" w:rsidP="00B71435">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585F8A94" w14:textId="2DB5A23C" w:rsidR="00466CED" w:rsidRPr="005D126D" w:rsidRDefault="00466CED" w:rsidP="00B71435">
            <w:pPr>
              <w:rPr>
                <w:rFonts w:ascii="Arial" w:hAnsi="Arial"/>
                <w:sz w:val="16"/>
              </w:rPr>
            </w:pPr>
            <w:r w:rsidRPr="00466CED">
              <w:rPr>
                <w:rFonts w:ascii="Arial" w:hAnsi="Arial"/>
                <w:sz w:val="16"/>
              </w:rPr>
              <w:t>CR on multiplexing NACK-only, CSI and SR in a PUCCH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4542CE6" w14:textId="77777777" w:rsidR="00466CED" w:rsidRDefault="00466CED" w:rsidP="00B71435">
            <w:pPr>
              <w:pStyle w:val="TAL"/>
              <w:rPr>
                <w:sz w:val="16"/>
                <w:szCs w:val="16"/>
                <w:lang w:eastAsia="zh-CN"/>
              </w:rPr>
            </w:pPr>
            <w:r>
              <w:rPr>
                <w:sz w:val="16"/>
                <w:szCs w:val="16"/>
                <w:lang w:eastAsia="zh-CN"/>
              </w:rPr>
              <w:t>17.7.0</w:t>
            </w:r>
          </w:p>
        </w:tc>
      </w:tr>
      <w:tr w:rsidR="00466CED" w:rsidRPr="00B916EC" w14:paraId="175E26A8" w14:textId="77777777" w:rsidTr="00B71435">
        <w:tc>
          <w:tcPr>
            <w:tcW w:w="894" w:type="dxa"/>
            <w:tcBorders>
              <w:top w:val="single" w:sz="6" w:space="0" w:color="auto"/>
              <w:left w:val="single" w:sz="6" w:space="0" w:color="auto"/>
              <w:bottom w:val="single" w:sz="6" w:space="0" w:color="auto"/>
              <w:right w:val="single" w:sz="6" w:space="0" w:color="auto"/>
            </w:tcBorders>
            <w:shd w:val="solid" w:color="FFFFFF" w:fill="auto"/>
          </w:tcPr>
          <w:p w14:paraId="3CD63C43" w14:textId="77777777" w:rsidR="00466CED" w:rsidRPr="00B916EC" w:rsidRDefault="00466CED" w:rsidP="00B71435">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01D2A937" w14:textId="77777777" w:rsidR="00466CED" w:rsidRPr="00B916EC" w:rsidRDefault="00466CED" w:rsidP="00B71435">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09B2526A" w14:textId="4BC812F1" w:rsidR="00466CED" w:rsidRDefault="00466CED" w:rsidP="00B71435">
            <w:pPr>
              <w:pStyle w:val="TAL"/>
              <w:rPr>
                <w:sz w:val="16"/>
                <w:szCs w:val="16"/>
                <w:lang w:eastAsia="zh-CN"/>
              </w:rPr>
            </w:pPr>
            <w:r w:rsidRPr="002B6B38">
              <w:rPr>
                <w:sz w:val="16"/>
                <w:szCs w:val="16"/>
                <w:lang w:eastAsia="zh-CN"/>
              </w:rPr>
              <w:t>RP-23</w:t>
            </w:r>
            <w:r>
              <w:rPr>
                <w:sz w:val="16"/>
                <w:szCs w:val="16"/>
                <w:lang w:eastAsia="zh-CN"/>
              </w:rPr>
              <w:t>2453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9105F2A" w14:textId="3CC03250" w:rsidR="00466CED" w:rsidRDefault="00466CED" w:rsidP="00B71435">
            <w:pPr>
              <w:pStyle w:val="TAL"/>
              <w:rPr>
                <w:sz w:val="16"/>
                <w:szCs w:val="16"/>
              </w:rPr>
            </w:pPr>
            <w:r>
              <w:rPr>
                <w:sz w:val="16"/>
                <w:szCs w:val="16"/>
              </w:rPr>
              <w:t>0491</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241F90A3" w14:textId="77777777" w:rsidR="00466CED" w:rsidRDefault="00466CED" w:rsidP="00B71435">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69FC8542" w14:textId="77777777" w:rsidR="00466CED" w:rsidRDefault="00466CED" w:rsidP="00B71435">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1791147A" w14:textId="627D1B87" w:rsidR="00466CED" w:rsidRPr="005D126D" w:rsidRDefault="00466CED" w:rsidP="00B71435">
            <w:pPr>
              <w:rPr>
                <w:rFonts w:ascii="Arial" w:hAnsi="Arial"/>
                <w:sz w:val="16"/>
              </w:rPr>
            </w:pPr>
            <w:r w:rsidRPr="00466CED">
              <w:rPr>
                <w:rFonts w:ascii="Arial" w:hAnsi="Arial"/>
                <w:sz w:val="16"/>
              </w:rPr>
              <w:t>Correction on Type-2 HARQ-ACK codebook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3CB3FDF" w14:textId="77777777" w:rsidR="00466CED" w:rsidRDefault="00466CED" w:rsidP="00B71435">
            <w:pPr>
              <w:pStyle w:val="TAL"/>
              <w:rPr>
                <w:sz w:val="16"/>
                <w:szCs w:val="16"/>
                <w:lang w:eastAsia="zh-CN"/>
              </w:rPr>
            </w:pPr>
            <w:r>
              <w:rPr>
                <w:sz w:val="16"/>
                <w:szCs w:val="16"/>
                <w:lang w:eastAsia="zh-CN"/>
              </w:rPr>
              <w:t>17.7.0</w:t>
            </w:r>
          </w:p>
        </w:tc>
      </w:tr>
      <w:tr w:rsidR="00C27336" w:rsidRPr="00B916EC" w14:paraId="1F645367" w14:textId="77777777" w:rsidTr="00B71435">
        <w:tc>
          <w:tcPr>
            <w:tcW w:w="894" w:type="dxa"/>
            <w:tcBorders>
              <w:top w:val="single" w:sz="6" w:space="0" w:color="auto"/>
              <w:left w:val="single" w:sz="6" w:space="0" w:color="auto"/>
              <w:bottom w:val="single" w:sz="6" w:space="0" w:color="auto"/>
              <w:right w:val="single" w:sz="6" w:space="0" w:color="auto"/>
            </w:tcBorders>
            <w:shd w:val="solid" w:color="FFFFFF" w:fill="auto"/>
          </w:tcPr>
          <w:p w14:paraId="58028B4B" w14:textId="77777777" w:rsidR="00C27336" w:rsidRPr="00B916EC" w:rsidRDefault="00C27336" w:rsidP="00B71435">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74A6AD16" w14:textId="77777777" w:rsidR="00C27336" w:rsidRPr="00B916EC" w:rsidRDefault="00C27336" w:rsidP="00B71435">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394B13F6" w14:textId="674CEAE2" w:rsidR="00C27336" w:rsidRDefault="00C27336" w:rsidP="00B71435">
            <w:pPr>
              <w:pStyle w:val="TAL"/>
              <w:rPr>
                <w:sz w:val="16"/>
                <w:szCs w:val="16"/>
                <w:lang w:eastAsia="zh-CN"/>
              </w:rPr>
            </w:pPr>
            <w:r w:rsidRPr="002B6B38">
              <w:rPr>
                <w:sz w:val="16"/>
                <w:szCs w:val="16"/>
                <w:lang w:eastAsia="zh-CN"/>
              </w:rPr>
              <w:t>RP-23</w:t>
            </w:r>
            <w:r>
              <w:rPr>
                <w:sz w:val="16"/>
                <w:szCs w:val="16"/>
                <w:lang w:eastAsia="zh-CN"/>
              </w:rPr>
              <w:t>2451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0499EA9" w14:textId="099AC278" w:rsidR="00C27336" w:rsidRDefault="00C27336" w:rsidP="00B71435">
            <w:pPr>
              <w:pStyle w:val="TAL"/>
              <w:rPr>
                <w:sz w:val="16"/>
                <w:szCs w:val="16"/>
              </w:rPr>
            </w:pPr>
            <w:r>
              <w:rPr>
                <w:sz w:val="16"/>
                <w:szCs w:val="16"/>
              </w:rPr>
              <w:t>0493</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3586826" w14:textId="77777777" w:rsidR="00C27336" w:rsidRDefault="00C27336" w:rsidP="00B71435">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1A060D5" w14:textId="4656A4A9" w:rsidR="00C27336" w:rsidRDefault="00C27336" w:rsidP="00B71435">
            <w:pPr>
              <w:pStyle w:val="TAL"/>
              <w:rPr>
                <w:sz w:val="16"/>
              </w:rPr>
            </w:pPr>
            <w:r>
              <w:rPr>
                <w:sz w:val="16"/>
              </w:rPr>
              <w:t>A</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20AF9BEE" w14:textId="0D6FD41A" w:rsidR="00C27336" w:rsidRPr="005D126D" w:rsidRDefault="00C27336" w:rsidP="00B71435">
            <w:pPr>
              <w:rPr>
                <w:rFonts w:ascii="Arial" w:hAnsi="Arial"/>
                <w:sz w:val="16"/>
              </w:rPr>
            </w:pPr>
            <w:r w:rsidRPr="00C27336">
              <w:rPr>
                <w:rFonts w:ascii="Arial" w:hAnsi="Arial"/>
                <w:sz w:val="16"/>
              </w:rPr>
              <w:t>Correction on DCI 2_0 fields for operation with shared spectrum channel access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BFDB70E" w14:textId="77777777" w:rsidR="00C27336" w:rsidRDefault="00C27336" w:rsidP="00B71435">
            <w:pPr>
              <w:pStyle w:val="TAL"/>
              <w:rPr>
                <w:sz w:val="16"/>
                <w:szCs w:val="16"/>
                <w:lang w:eastAsia="zh-CN"/>
              </w:rPr>
            </w:pPr>
            <w:r>
              <w:rPr>
                <w:sz w:val="16"/>
                <w:szCs w:val="16"/>
                <w:lang w:eastAsia="zh-CN"/>
              </w:rPr>
              <w:t>17.7.0</w:t>
            </w:r>
          </w:p>
        </w:tc>
      </w:tr>
      <w:tr w:rsidR="00C27336" w:rsidRPr="00B916EC" w14:paraId="3D7A12E6" w14:textId="77777777" w:rsidTr="00B71435">
        <w:tc>
          <w:tcPr>
            <w:tcW w:w="894" w:type="dxa"/>
            <w:tcBorders>
              <w:top w:val="single" w:sz="6" w:space="0" w:color="auto"/>
              <w:left w:val="single" w:sz="6" w:space="0" w:color="auto"/>
              <w:bottom w:val="single" w:sz="6" w:space="0" w:color="auto"/>
              <w:right w:val="single" w:sz="6" w:space="0" w:color="auto"/>
            </w:tcBorders>
            <w:shd w:val="solid" w:color="FFFFFF" w:fill="auto"/>
          </w:tcPr>
          <w:p w14:paraId="4D431F91" w14:textId="77777777" w:rsidR="00C27336" w:rsidRPr="00B916EC" w:rsidRDefault="00C27336" w:rsidP="00B71435">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31EDB7D" w14:textId="77777777" w:rsidR="00C27336" w:rsidRPr="00B916EC" w:rsidRDefault="00C27336" w:rsidP="00B71435">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71D70DC5" w14:textId="4EBBFC9B" w:rsidR="00C27336" w:rsidRDefault="00C27336" w:rsidP="00B71435">
            <w:pPr>
              <w:pStyle w:val="TAL"/>
              <w:rPr>
                <w:sz w:val="16"/>
                <w:szCs w:val="16"/>
                <w:lang w:eastAsia="zh-CN"/>
              </w:rPr>
            </w:pPr>
            <w:r w:rsidRPr="002B6B38">
              <w:rPr>
                <w:sz w:val="16"/>
                <w:szCs w:val="16"/>
                <w:lang w:eastAsia="zh-CN"/>
              </w:rPr>
              <w:t>RP-23</w:t>
            </w:r>
            <w:r>
              <w:rPr>
                <w:sz w:val="16"/>
                <w:szCs w:val="16"/>
                <w:lang w:eastAsia="zh-CN"/>
              </w:rPr>
              <w:t>2450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23823B8" w14:textId="08F7B52A" w:rsidR="00C27336" w:rsidRDefault="00C27336" w:rsidP="00B71435">
            <w:pPr>
              <w:pStyle w:val="TAL"/>
              <w:rPr>
                <w:sz w:val="16"/>
                <w:szCs w:val="16"/>
              </w:rPr>
            </w:pPr>
            <w:r>
              <w:rPr>
                <w:sz w:val="16"/>
                <w:szCs w:val="16"/>
              </w:rPr>
              <w:t>0495</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1EBF2C14" w14:textId="77777777" w:rsidR="00C27336" w:rsidRDefault="00C27336" w:rsidP="00B71435">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270AB3C3" w14:textId="6833E91C" w:rsidR="00C27336" w:rsidRDefault="00C27336" w:rsidP="00B71435">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09F1807" w14:textId="615CED8A" w:rsidR="00C27336" w:rsidRPr="005D126D" w:rsidRDefault="00C27336" w:rsidP="00B71435">
            <w:pPr>
              <w:rPr>
                <w:rFonts w:ascii="Arial" w:hAnsi="Arial"/>
                <w:sz w:val="16"/>
              </w:rPr>
            </w:pPr>
            <w:r w:rsidRPr="00C27336">
              <w:rPr>
                <w:rFonts w:ascii="Arial" w:hAnsi="Arial"/>
                <w:sz w:val="16"/>
              </w:rPr>
              <w:t>Clarification of TDD UL validation and SDT operation for RedCap UEs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269BCBA" w14:textId="77777777" w:rsidR="00C27336" w:rsidRDefault="00C27336" w:rsidP="00B71435">
            <w:pPr>
              <w:pStyle w:val="TAL"/>
              <w:rPr>
                <w:sz w:val="16"/>
                <w:szCs w:val="16"/>
                <w:lang w:eastAsia="zh-CN"/>
              </w:rPr>
            </w:pPr>
            <w:r>
              <w:rPr>
                <w:sz w:val="16"/>
                <w:szCs w:val="16"/>
                <w:lang w:eastAsia="zh-CN"/>
              </w:rPr>
              <w:t>17.7.0</w:t>
            </w:r>
          </w:p>
        </w:tc>
      </w:tr>
      <w:tr w:rsidR="00030139" w:rsidRPr="00B916EC" w14:paraId="37B85E8A" w14:textId="77777777" w:rsidTr="00B71435">
        <w:tc>
          <w:tcPr>
            <w:tcW w:w="894" w:type="dxa"/>
            <w:tcBorders>
              <w:top w:val="single" w:sz="6" w:space="0" w:color="auto"/>
              <w:left w:val="single" w:sz="6" w:space="0" w:color="auto"/>
              <w:bottom w:val="single" w:sz="6" w:space="0" w:color="auto"/>
              <w:right w:val="single" w:sz="6" w:space="0" w:color="auto"/>
            </w:tcBorders>
            <w:shd w:val="solid" w:color="FFFFFF" w:fill="auto"/>
          </w:tcPr>
          <w:p w14:paraId="08B5476B" w14:textId="77777777" w:rsidR="00030139" w:rsidRPr="00B916EC" w:rsidRDefault="00030139" w:rsidP="00B71435">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2D819223" w14:textId="77777777" w:rsidR="00030139" w:rsidRPr="00B916EC" w:rsidRDefault="00030139" w:rsidP="00B71435">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5ED02061" w14:textId="3EA6D63B" w:rsidR="00030139" w:rsidRDefault="00030139" w:rsidP="00B71435">
            <w:pPr>
              <w:pStyle w:val="TAL"/>
              <w:rPr>
                <w:sz w:val="16"/>
                <w:szCs w:val="16"/>
                <w:lang w:eastAsia="zh-CN"/>
              </w:rPr>
            </w:pPr>
            <w:r w:rsidRPr="002B6B38">
              <w:rPr>
                <w:sz w:val="16"/>
                <w:szCs w:val="16"/>
                <w:lang w:eastAsia="zh-CN"/>
              </w:rPr>
              <w:t>RP-23</w:t>
            </w:r>
            <w:r>
              <w:rPr>
                <w:sz w:val="16"/>
                <w:szCs w:val="16"/>
                <w:lang w:eastAsia="zh-CN"/>
              </w:rPr>
              <w:t>2449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1771701" w14:textId="19155F92" w:rsidR="00030139" w:rsidRDefault="00030139" w:rsidP="00B71435">
            <w:pPr>
              <w:pStyle w:val="TAL"/>
              <w:rPr>
                <w:sz w:val="16"/>
                <w:szCs w:val="16"/>
              </w:rPr>
            </w:pPr>
            <w:r>
              <w:rPr>
                <w:sz w:val="16"/>
                <w:szCs w:val="16"/>
              </w:rPr>
              <w:t>0496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0BA858A" w14:textId="77777777" w:rsidR="00030139" w:rsidRDefault="00030139" w:rsidP="00B71435">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EA1C27F" w14:textId="77777777" w:rsidR="00030139" w:rsidRDefault="00030139" w:rsidP="00B71435">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6EAF40ED" w14:textId="489F4EA4" w:rsidR="00030139" w:rsidRPr="005D126D" w:rsidRDefault="00030139" w:rsidP="00B71435">
            <w:pPr>
              <w:rPr>
                <w:rFonts w:ascii="Arial" w:hAnsi="Arial"/>
                <w:sz w:val="16"/>
              </w:rPr>
            </w:pPr>
            <w:r w:rsidRPr="00030139">
              <w:rPr>
                <w:rFonts w:ascii="Arial" w:hAnsi="Arial"/>
                <w:sz w:val="16"/>
              </w:rPr>
              <w:t>CR on HARQ-ACK codebook for maxNrofCodeWords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45AB1AE" w14:textId="77777777" w:rsidR="00030139" w:rsidRDefault="00030139" w:rsidP="00B71435">
            <w:pPr>
              <w:pStyle w:val="TAL"/>
              <w:rPr>
                <w:sz w:val="16"/>
                <w:szCs w:val="16"/>
                <w:lang w:eastAsia="zh-CN"/>
              </w:rPr>
            </w:pPr>
            <w:r>
              <w:rPr>
                <w:sz w:val="16"/>
                <w:szCs w:val="16"/>
                <w:lang w:eastAsia="zh-CN"/>
              </w:rPr>
              <w:t>17.7.0</w:t>
            </w:r>
          </w:p>
        </w:tc>
      </w:tr>
      <w:tr w:rsidR="009578B3" w:rsidRPr="00B916EC" w14:paraId="3B216410" w14:textId="77777777" w:rsidTr="00B71435">
        <w:tc>
          <w:tcPr>
            <w:tcW w:w="894" w:type="dxa"/>
            <w:tcBorders>
              <w:top w:val="single" w:sz="6" w:space="0" w:color="auto"/>
              <w:left w:val="single" w:sz="6" w:space="0" w:color="auto"/>
              <w:bottom w:val="single" w:sz="6" w:space="0" w:color="auto"/>
              <w:right w:val="single" w:sz="6" w:space="0" w:color="auto"/>
            </w:tcBorders>
            <w:shd w:val="solid" w:color="FFFFFF" w:fill="auto"/>
          </w:tcPr>
          <w:p w14:paraId="42B9AF59" w14:textId="77777777" w:rsidR="009578B3" w:rsidRPr="00B916EC" w:rsidRDefault="009578B3" w:rsidP="00B71435">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23-09</w:t>
            </w:r>
          </w:p>
        </w:tc>
        <w:tc>
          <w:tcPr>
            <w:tcW w:w="899" w:type="dxa"/>
            <w:tcBorders>
              <w:top w:val="single" w:sz="6" w:space="0" w:color="auto"/>
              <w:left w:val="single" w:sz="6" w:space="0" w:color="auto"/>
              <w:bottom w:val="single" w:sz="6" w:space="0" w:color="auto"/>
              <w:right w:val="single" w:sz="6" w:space="0" w:color="auto"/>
            </w:tcBorders>
            <w:shd w:val="solid" w:color="FFFFFF" w:fill="auto"/>
          </w:tcPr>
          <w:p w14:paraId="6888C4F8" w14:textId="77777777" w:rsidR="009578B3" w:rsidRPr="00B916EC" w:rsidRDefault="009578B3" w:rsidP="00B71435">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6" w:space="0" w:color="auto"/>
              <w:left w:val="single" w:sz="6" w:space="0" w:color="auto"/>
              <w:bottom w:val="single" w:sz="6" w:space="0" w:color="auto"/>
              <w:right w:val="single" w:sz="6" w:space="0" w:color="auto"/>
            </w:tcBorders>
            <w:shd w:val="solid" w:color="FFFFFF" w:fill="auto"/>
          </w:tcPr>
          <w:p w14:paraId="61F93D8D" w14:textId="77777777" w:rsidR="009578B3" w:rsidRDefault="009578B3" w:rsidP="00B71435">
            <w:pPr>
              <w:pStyle w:val="TAL"/>
              <w:rPr>
                <w:sz w:val="16"/>
                <w:szCs w:val="16"/>
                <w:lang w:eastAsia="zh-CN"/>
              </w:rPr>
            </w:pPr>
            <w:r w:rsidRPr="002B6B38">
              <w:rPr>
                <w:sz w:val="16"/>
                <w:szCs w:val="16"/>
                <w:lang w:eastAsia="zh-CN"/>
              </w:rPr>
              <w:t>RP-23</w:t>
            </w:r>
            <w:r>
              <w:rPr>
                <w:sz w:val="16"/>
                <w:szCs w:val="16"/>
                <w:lang w:eastAsia="zh-CN"/>
              </w:rPr>
              <w:t>2449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1BB33CC" w14:textId="60DC297A" w:rsidR="009578B3" w:rsidRDefault="009578B3" w:rsidP="00B71435">
            <w:pPr>
              <w:pStyle w:val="TAL"/>
              <w:rPr>
                <w:sz w:val="16"/>
                <w:szCs w:val="16"/>
              </w:rPr>
            </w:pPr>
            <w:r>
              <w:rPr>
                <w:sz w:val="16"/>
                <w:szCs w:val="16"/>
              </w:rPr>
              <w:t>0497</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75BEF053" w14:textId="77777777" w:rsidR="009578B3" w:rsidRDefault="009578B3" w:rsidP="00B71435">
            <w:pPr>
              <w:pStyle w:val="TAL"/>
              <w:jc w:val="center"/>
              <w:rPr>
                <w:sz w:val="16"/>
                <w:szCs w:val="16"/>
              </w:rPr>
            </w:pPr>
            <w:r>
              <w:rPr>
                <w:sz w:val="16"/>
                <w:szCs w:val="16"/>
              </w:rPr>
              <w:t>-</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39168A7A" w14:textId="77777777" w:rsidR="009578B3" w:rsidRDefault="009578B3" w:rsidP="00B71435">
            <w:pPr>
              <w:pStyle w:val="TAL"/>
              <w:rPr>
                <w:sz w:val="16"/>
              </w:rPr>
            </w:pPr>
            <w:r>
              <w:rPr>
                <w:sz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14:paraId="30CB3A92" w14:textId="5934BDDE" w:rsidR="009578B3" w:rsidRPr="005D126D" w:rsidRDefault="009578B3" w:rsidP="00B71435">
            <w:pPr>
              <w:rPr>
                <w:rFonts w:ascii="Arial" w:hAnsi="Arial"/>
                <w:sz w:val="16"/>
              </w:rPr>
            </w:pPr>
            <w:r w:rsidRPr="009578B3">
              <w:rPr>
                <w:rFonts w:ascii="Arial" w:hAnsi="Arial"/>
                <w:sz w:val="16"/>
              </w:rPr>
              <w:t>CR on K1 timing for type 1 codebook</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F92BB1E" w14:textId="77777777" w:rsidR="009578B3" w:rsidRDefault="009578B3" w:rsidP="00B71435">
            <w:pPr>
              <w:pStyle w:val="TAL"/>
              <w:rPr>
                <w:sz w:val="16"/>
                <w:szCs w:val="16"/>
                <w:lang w:eastAsia="zh-CN"/>
              </w:rPr>
            </w:pPr>
            <w:r>
              <w:rPr>
                <w:sz w:val="16"/>
                <w:szCs w:val="16"/>
                <w:lang w:eastAsia="zh-CN"/>
              </w:rPr>
              <w:t>17.7.0</w:t>
            </w:r>
          </w:p>
        </w:tc>
      </w:tr>
      <w:tr w:rsidR="00160293" w:rsidRPr="00B916EC" w14:paraId="19AC2C4F" w14:textId="77777777" w:rsidTr="00AA59B0">
        <w:tc>
          <w:tcPr>
            <w:tcW w:w="894" w:type="dxa"/>
            <w:tcBorders>
              <w:top w:val="single" w:sz="6" w:space="0" w:color="auto"/>
              <w:left w:val="single" w:sz="6" w:space="0" w:color="auto"/>
              <w:bottom w:val="single" w:sz="4" w:space="0" w:color="auto"/>
              <w:right w:val="single" w:sz="6" w:space="0" w:color="auto"/>
            </w:tcBorders>
            <w:shd w:val="solid" w:color="FFFFFF" w:fill="auto"/>
          </w:tcPr>
          <w:p w14:paraId="07C4561F" w14:textId="77777777" w:rsidR="00160293" w:rsidRPr="00B916EC" w:rsidRDefault="00160293" w:rsidP="00B71435">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23-09</w:t>
            </w:r>
          </w:p>
        </w:tc>
        <w:tc>
          <w:tcPr>
            <w:tcW w:w="899" w:type="dxa"/>
            <w:tcBorders>
              <w:top w:val="single" w:sz="6" w:space="0" w:color="auto"/>
              <w:left w:val="single" w:sz="6" w:space="0" w:color="auto"/>
              <w:bottom w:val="single" w:sz="4" w:space="0" w:color="auto"/>
              <w:right w:val="single" w:sz="6" w:space="0" w:color="auto"/>
            </w:tcBorders>
            <w:shd w:val="solid" w:color="FFFFFF" w:fill="auto"/>
          </w:tcPr>
          <w:p w14:paraId="122887D4" w14:textId="77777777" w:rsidR="00160293" w:rsidRPr="00B916EC" w:rsidRDefault="00160293" w:rsidP="00B71435">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6" w:space="0" w:color="auto"/>
              <w:left w:val="single" w:sz="6" w:space="0" w:color="auto"/>
              <w:bottom w:val="single" w:sz="4" w:space="0" w:color="auto"/>
              <w:right w:val="single" w:sz="6" w:space="0" w:color="auto"/>
            </w:tcBorders>
            <w:shd w:val="solid" w:color="FFFFFF" w:fill="auto"/>
          </w:tcPr>
          <w:p w14:paraId="37EF9C12" w14:textId="77777777" w:rsidR="00160293" w:rsidRDefault="00160293" w:rsidP="00B71435">
            <w:pPr>
              <w:pStyle w:val="TAL"/>
              <w:rPr>
                <w:sz w:val="16"/>
                <w:szCs w:val="16"/>
                <w:lang w:eastAsia="zh-CN"/>
              </w:rPr>
            </w:pPr>
            <w:r w:rsidRPr="002B6B38">
              <w:rPr>
                <w:sz w:val="16"/>
                <w:szCs w:val="16"/>
                <w:lang w:eastAsia="zh-CN"/>
              </w:rPr>
              <w:t>RP-23</w:t>
            </w:r>
            <w:r>
              <w:rPr>
                <w:sz w:val="16"/>
                <w:szCs w:val="16"/>
                <w:lang w:eastAsia="zh-CN"/>
              </w:rPr>
              <w:t>2449</w:t>
            </w:r>
          </w:p>
        </w:tc>
        <w:tc>
          <w:tcPr>
            <w:tcW w:w="500" w:type="dxa"/>
            <w:tcBorders>
              <w:top w:val="single" w:sz="6" w:space="0" w:color="auto"/>
              <w:left w:val="single" w:sz="6" w:space="0" w:color="auto"/>
              <w:bottom w:val="single" w:sz="4" w:space="0" w:color="auto"/>
              <w:right w:val="single" w:sz="6" w:space="0" w:color="auto"/>
            </w:tcBorders>
            <w:shd w:val="solid" w:color="FFFFFF" w:fill="auto"/>
          </w:tcPr>
          <w:p w14:paraId="7E432006" w14:textId="299B4F29" w:rsidR="00160293" w:rsidRDefault="00160293" w:rsidP="00B71435">
            <w:pPr>
              <w:pStyle w:val="TAL"/>
              <w:rPr>
                <w:sz w:val="16"/>
                <w:szCs w:val="16"/>
              </w:rPr>
            </w:pPr>
            <w:r>
              <w:rPr>
                <w:sz w:val="16"/>
                <w:szCs w:val="16"/>
              </w:rPr>
              <w:t>0498</w:t>
            </w:r>
          </w:p>
        </w:tc>
        <w:tc>
          <w:tcPr>
            <w:tcW w:w="440" w:type="dxa"/>
            <w:tcBorders>
              <w:top w:val="single" w:sz="6" w:space="0" w:color="auto"/>
              <w:left w:val="single" w:sz="6" w:space="0" w:color="auto"/>
              <w:bottom w:val="single" w:sz="4" w:space="0" w:color="auto"/>
              <w:right w:val="single" w:sz="6" w:space="0" w:color="auto"/>
            </w:tcBorders>
            <w:shd w:val="solid" w:color="FFFFFF" w:fill="auto"/>
          </w:tcPr>
          <w:p w14:paraId="70307CF0" w14:textId="77777777" w:rsidR="00160293" w:rsidRDefault="00160293" w:rsidP="00B71435">
            <w:pPr>
              <w:pStyle w:val="TAL"/>
              <w:jc w:val="center"/>
              <w:rPr>
                <w:sz w:val="16"/>
                <w:szCs w:val="16"/>
              </w:rPr>
            </w:pPr>
            <w:r>
              <w:rPr>
                <w:sz w:val="16"/>
                <w:szCs w:val="16"/>
              </w:rPr>
              <w:t>-</w:t>
            </w:r>
          </w:p>
        </w:tc>
        <w:tc>
          <w:tcPr>
            <w:tcW w:w="404" w:type="dxa"/>
            <w:tcBorders>
              <w:top w:val="single" w:sz="6" w:space="0" w:color="auto"/>
              <w:left w:val="single" w:sz="6" w:space="0" w:color="auto"/>
              <w:bottom w:val="single" w:sz="4" w:space="0" w:color="auto"/>
              <w:right w:val="single" w:sz="6" w:space="0" w:color="auto"/>
            </w:tcBorders>
            <w:shd w:val="solid" w:color="FFFFFF" w:fill="auto"/>
          </w:tcPr>
          <w:p w14:paraId="0F35FFA6" w14:textId="77777777" w:rsidR="00160293" w:rsidRDefault="00160293" w:rsidP="00B71435">
            <w:pPr>
              <w:pStyle w:val="TAL"/>
              <w:rPr>
                <w:sz w:val="16"/>
              </w:rPr>
            </w:pPr>
            <w:r>
              <w:rPr>
                <w:sz w:val="16"/>
              </w:rPr>
              <w:t>F</w:t>
            </w:r>
          </w:p>
        </w:tc>
        <w:tc>
          <w:tcPr>
            <w:tcW w:w="4536" w:type="dxa"/>
            <w:tcBorders>
              <w:top w:val="single" w:sz="6" w:space="0" w:color="auto"/>
              <w:left w:val="single" w:sz="6" w:space="0" w:color="auto"/>
              <w:bottom w:val="single" w:sz="4" w:space="0" w:color="auto"/>
              <w:right w:val="single" w:sz="6" w:space="0" w:color="auto"/>
            </w:tcBorders>
            <w:shd w:val="solid" w:color="FFFFFF" w:fill="auto"/>
            <w:vAlign w:val="center"/>
          </w:tcPr>
          <w:p w14:paraId="259D2B8B" w14:textId="27A41F45" w:rsidR="00160293" w:rsidRPr="005D126D" w:rsidRDefault="00160293" w:rsidP="00B71435">
            <w:pPr>
              <w:rPr>
                <w:rFonts w:ascii="Arial" w:hAnsi="Arial"/>
                <w:sz w:val="16"/>
              </w:rPr>
            </w:pPr>
            <w:r w:rsidRPr="00160293">
              <w:rPr>
                <w:rFonts w:ascii="Arial" w:hAnsi="Arial"/>
                <w:sz w:val="16"/>
              </w:rPr>
              <w:t>CR on HARQ-ACK codebook for multicast SPS</w:t>
            </w:r>
          </w:p>
        </w:tc>
        <w:tc>
          <w:tcPr>
            <w:tcW w:w="709" w:type="dxa"/>
            <w:tcBorders>
              <w:top w:val="single" w:sz="6" w:space="0" w:color="auto"/>
              <w:left w:val="single" w:sz="6" w:space="0" w:color="auto"/>
              <w:bottom w:val="single" w:sz="4" w:space="0" w:color="auto"/>
              <w:right w:val="single" w:sz="6" w:space="0" w:color="auto"/>
            </w:tcBorders>
            <w:shd w:val="solid" w:color="FFFFFF" w:fill="auto"/>
          </w:tcPr>
          <w:p w14:paraId="199C3BBB" w14:textId="77777777" w:rsidR="00160293" w:rsidRDefault="00160293" w:rsidP="00B71435">
            <w:pPr>
              <w:pStyle w:val="TAL"/>
              <w:rPr>
                <w:sz w:val="16"/>
                <w:szCs w:val="16"/>
                <w:lang w:eastAsia="zh-CN"/>
              </w:rPr>
            </w:pPr>
            <w:r>
              <w:rPr>
                <w:sz w:val="16"/>
                <w:szCs w:val="16"/>
                <w:lang w:eastAsia="zh-CN"/>
              </w:rPr>
              <w:t>17.7.0</w:t>
            </w:r>
          </w:p>
        </w:tc>
      </w:tr>
      <w:tr w:rsidR="00333291" w:rsidRPr="00B916EC" w14:paraId="5C881554"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57383039" w14:textId="77777777" w:rsidR="00333291" w:rsidRPr="00B916EC" w:rsidRDefault="00333291" w:rsidP="00B71435">
            <w:pPr>
              <w:spacing w:after="0"/>
              <w:jc w:val="center"/>
              <w:rPr>
                <w:rFonts w:ascii="Arial" w:hAnsi="Arial"/>
                <w:snapToGrid w:val="0"/>
                <w:sz w:val="16"/>
                <w:szCs w:val="16"/>
              </w:rPr>
            </w:pPr>
            <w:r w:rsidRPr="00B916EC">
              <w:rPr>
                <w:rFonts w:ascii="Arial" w:hAnsi="Arial"/>
                <w:snapToGrid w:val="0"/>
                <w:sz w:val="16"/>
                <w:szCs w:val="16"/>
              </w:rPr>
              <w:t>20</w:t>
            </w:r>
            <w:r>
              <w:rPr>
                <w:rFonts w:ascii="Arial" w:hAnsi="Arial"/>
                <w:snapToGrid w:val="0"/>
                <w:sz w:val="16"/>
                <w:szCs w:val="16"/>
              </w:rPr>
              <w:t>23-09</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219EE51B" w14:textId="77777777" w:rsidR="00333291" w:rsidRPr="00B916EC" w:rsidRDefault="00333291" w:rsidP="00B71435">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67C813F3" w14:textId="1D05D1DA" w:rsidR="00333291" w:rsidRDefault="00333291" w:rsidP="00B71435">
            <w:pPr>
              <w:pStyle w:val="TAL"/>
              <w:rPr>
                <w:sz w:val="16"/>
                <w:szCs w:val="16"/>
                <w:lang w:eastAsia="zh-CN"/>
              </w:rPr>
            </w:pPr>
            <w:r w:rsidRPr="002B6B38">
              <w:rPr>
                <w:sz w:val="16"/>
                <w:szCs w:val="16"/>
                <w:lang w:eastAsia="zh-CN"/>
              </w:rPr>
              <w:t>RP-23</w:t>
            </w:r>
            <w:r>
              <w:rPr>
                <w:sz w:val="16"/>
                <w:szCs w:val="16"/>
                <w:lang w:eastAsia="zh-CN"/>
              </w:rPr>
              <w:t>2531</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01B234A3" w14:textId="2B3C1308" w:rsidR="00333291" w:rsidRDefault="00333291" w:rsidP="00B71435">
            <w:pPr>
              <w:pStyle w:val="TAL"/>
              <w:rPr>
                <w:sz w:val="16"/>
                <w:szCs w:val="16"/>
              </w:rPr>
            </w:pPr>
            <w:r>
              <w:rPr>
                <w:sz w:val="16"/>
                <w:szCs w:val="16"/>
              </w:rPr>
              <w:t>0499</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2C99FF26" w14:textId="77777777" w:rsidR="00333291" w:rsidRDefault="00333291" w:rsidP="00B71435">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2ADE158C" w14:textId="77777777" w:rsidR="00333291" w:rsidRDefault="00333291" w:rsidP="00B71435">
            <w:pPr>
              <w:pStyle w:val="TAL"/>
              <w:rPr>
                <w:sz w:val="16"/>
              </w:rPr>
            </w:pPr>
            <w:r>
              <w:rPr>
                <w:sz w:val="16"/>
              </w:rPr>
              <w:t>F</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24ED63F1" w14:textId="712AC208" w:rsidR="00333291" w:rsidRPr="005D126D" w:rsidRDefault="00333291" w:rsidP="00B71435">
            <w:pPr>
              <w:rPr>
                <w:rFonts w:ascii="Arial" w:hAnsi="Arial"/>
                <w:sz w:val="16"/>
              </w:rPr>
            </w:pPr>
            <w:r w:rsidRPr="00333291">
              <w:rPr>
                <w:rFonts w:ascii="Arial" w:hAnsi="Arial"/>
                <w:sz w:val="16"/>
              </w:rPr>
              <w:t>Rel-17 editorial corrections for TS 38.213</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21FE45A" w14:textId="77777777" w:rsidR="00333291" w:rsidRDefault="00333291" w:rsidP="00B71435">
            <w:pPr>
              <w:pStyle w:val="TAL"/>
              <w:rPr>
                <w:sz w:val="16"/>
                <w:szCs w:val="16"/>
                <w:lang w:eastAsia="zh-CN"/>
              </w:rPr>
            </w:pPr>
            <w:r>
              <w:rPr>
                <w:sz w:val="16"/>
                <w:szCs w:val="16"/>
                <w:lang w:eastAsia="zh-CN"/>
              </w:rPr>
              <w:t>17.7.0</w:t>
            </w:r>
          </w:p>
        </w:tc>
      </w:tr>
      <w:tr w:rsidR="00D045C3" w:rsidRPr="00B916EC" w14:paraId="47C97820"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3D60E5DE" w14:textId="77777777" w:rsidR="00D045C3" w:rsidRPr="00B916EC" w:rsidRDefault="00D045C3" w:rsidP="00D8721B">
            <w:pPr>
              <w:spacing w:after="0"/>
              <w:jc w:val="center"/>
              <w:rPr>
                <w:rFonts w:ascii="Arial" w:hAnsi="Arial"/>
                <w:snapToGrid w:val="0"/>
                <w:sz w:val="16"/>
                <w:szCs w:val="16"/>
              </w:rPr>
            </w:pPr>
            <w:r w:rsidRPr="00B916EC">
              <w:rPr>
                <w:rFonts w:ascii="Arial" w:hAnsi="Arial"/>
                <w:snapToGrid w:val="0"/>
                <w:sz w:val="16"/>
                <w:szCs w:val="16"/>
              </w:rPr>
              <w:lastRenderedPageBreak/>
              <w:t>20</w:t>
            </w:r>
            <w:r>
              <w:rPr>
                <w:rFonts w:ascii="Arial" w:hAnsi="Arial"/>
                <w:snapToGrid w:val="0"/>
                <w:sz w:val="16"/>
                <w:szCs w:val="16"/>
              </w:rPr>
              <w:t>23-09</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495F56D5" w14:textId="77777777" w:rsidR="00D045C3" w:rsidRPr="00B916EC" w:rsidRDefault="00D045C3" w:rsidP="00D8721B">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6992F368" w14:textId="6CCF66B9" w:rsidR="00D045C3" w:rsidRDefault="00D045C3" w:rsidP="00D8721B">
            <w:pPr>
              <w:pStyle w:val="TAL"/>
              <w:rPr>
                <w:sz w:val="16"/>
                <w:szCs w:val="16"/>
                <w:lang w:eastAsia="zh-CN"/>
              </w:rPr>
            </w:pPr>
            <w:r w:rsidRPr="002B6B38">
              <w:rPr>
                <w:sz w:val="16"/>
                <w:szCs w:val="16"/>
                <w:lang w:eastAsia="zh-CN"/>
              </w:rPr>
              <w:t>RP-23</w:t>
            </w:r>
            <w:r>
              <w:rPr>
                <w:sz w:val="16"/>
                <w:szCs w:val="16"/>
                <w:lang w:eastAsia="zh-CN"/>
              </w:rPr>
              <w:t>2696</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4590C84E" w14:textId="1EC4144B" w:rsidR="00D045C3" w:rsidRDefault="00D045C3" w:rsidP="00D8721B">
            <w:pPr>
              <w:pStyle w:val="TAL"/>
              <w:rPr>
                <w:sz w:val="16"/>
                <w:szCs w:val="16"/>
              </w:rPr>
            </w:pPr>
            <w:r>
              <w:rPr>
                <w:sz w:val="16"/>
                <w:szCs w:val="16"/>
              </w:rPr>
              <w:t>0512</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5E6124E9" w14:textId="37F5F7D2" w:rsidR="00D045C3" w:rsidRDefault="00D045C3" w:rsidP="00D8721B">
            <w:pPr>
              <w:pStyle w:val="TAL"/>
              <w:jc w:val="center"/>
              <w:rPr>
                <w:sz w:val="16"/>
                <w:szCs w:val="16"/>
              </w:rPr>
            </w:pPr>
            <w:r>
              <w:rPr>
                <w:sz w:val="16"/>
                <w:szCs w:val="16"/>
              </w:rPr>
              <w:t>1</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4FD1F0E9" w14:textId="77777777" w:rsidR="00D045C3" w:rsidRDefault="00D045C3" w:rsidP="00D8721B">
            <w:pPr>
              <w:pStyle w:val="TAL"/>
              <w:rPr>
                <w:sz w:val="16"/>
              </w:rPr>
            </w:pPr>
            <w:r>
              <w:rPr>
                <w:sz w:val="16"/>
              </w:rPr>
              <w:t>F</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4413F48F" w14:textId="3251A31A" w:rsidR="00D045C3" w:rsidRPr="005D126D" w:rsidRDefault="00D045C3" w:rsidP="00D8721B">
            <w:pPr>
              <w:rPr>
                <w:rFonts w:ascii="Arial" w:hAnsi="Arial"/>
                <w:sz w:val="16"/>
              </w:rPr>
            </w:pPr>
            <w:r w:rsidRPr="00D045C3">
              <w:rPr>
                <w:rFonts w:ascii="Arial" w:hAnsi="Arial"/>
                <w:sz w:val="16"/>
              </w:rPr>
              <w:t>Correction to SCell PRACH power scaling for UL CA</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C99EA97" w14:textId="77777777" w:rsidR="00D045C3" w:rsidRDefault="00D045C3" w:rsidP="00D8721B">
            <w:pPr>
              <w:pStyle w:val="TAL"/>
              <w:rPr>
                <w:sz w:val="16"/>
                <w:szCs w:val="16"/>
                <w:lang w:eastAsia="zh-CN"/>
              </w:rPr>
            </w:pPr>
            <w:r>
              <w:rPr>
                <w:sz w:val="16"/>
                <w:szCs w:val="16"/>
                <w:lang w:eastAsia="zh-CN"/>
              </w:rPr>
              <w:t>17.7.0</w:t>
            </w:r>
          </w:p>
        </w:tc>
      </w:tr>
      <w:tr w:rsidR="004660AA" w:rsidRPr="00B916EC" w14:paraId="790F9072"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165F4D9C" w14:textId="652557FA" w:rsidR="004660AA" w:rsidRPr="00B916EC" w:rsidRDefault="004660AA" w:rsidP="004660AA">
            <w:pPr>
              <w:spacing w:after="0"/>
              <w:jc w:val="center"/>
              <w:rPr>
                <w:rFonts w:ascii="Arial" w:hAnsi="Arial"/>
                <w:snapToGrid w:val="0"/>
                <w:sz w:val="16"/>
                <w:szCs w:val="16"/>
              </w:rPr>
            </w:pPr>
            <w:r>
              <w:rPr>
                <w:rFonts w:ascii="Arial" w:hAnsi="Arial"/>
                <w:snapToGrid w:val="0"/>
                <w:sz w:val="16"/>
                <w:szCs w:val="16"/>
              </w:rPr>
              <w:t>2023-09</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61311217" w14:textId="6F0A2C7C" w:rsidR="004660AA" w:rsidRPr="00B916EC" w:rsidRDefault="004660AA" w:rsidP="004660AA">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328FF3F1" w14:textId="3D670443" w:rsidR="004660AA" w:rsidRPr="002B6B38" w:rsidRDefault="004660AA" w:rsidP="004660AA">
            <w:pPr>
              <w:pStyle w:val="TAL"/>
              <w:rPr>
                <w:sz w:val="16"/>
                <w:szCs w:val="16"/>
                <w:lang w:eastAsia="zh-CN"/>
              </w:rPr>
            </w:pPr>
            <w:r>
              <w:rPr>
                <w:sz w:val="16"/>
                <w:szCs w:val="16"/>
                <w:lang w:eastAsia="zh-CN"/>
              </w:rPr>
              <w:t>RP-232470</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578E3A7E" w14:textId="57B2A1C1" w:rsidR="004660AA" w:rsidRDefault="004660AA" w:rsidP="004660AA">
            <w:pPr>
              <w:pStyle w:val="TAL"/>
              <w:rPr>
                <w:sz w:val="16"/>
                <w:szCs w:val="16"/>
              </w:rPr>
            </w:pPr>
            <w:r>
              <w:rPr>
                <w:sz w:val="16"/>
                <w:szCs w:val="16"/>
              </w:rPr>
              <w:t>0500</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0666DABB" w14:textId="22F5873D" w:rsidR="004660AA" w:rsidRDefault="004660AA" w:rsidP="004660AA">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32E1DB13" w14:textId="56C20079" w:rsidR="004660AA" w:rsidRDefault="004660AA" w:rsidP="004660AA">
            <w:pPr>
              <w:pStyle w:val="TAL"/>
              <w:rPr>
                <w:sz w:val="16"/>
              </w:rPr>
            </w:pPr>
            <w:r>
              <w:rPr>
                <w:sz w:val="16"/>
              </w:rPr>
              <w:t>B</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1D9E4903" w14:textId="6B2B7FD4" w:rsidR="004660AA" w:rsidRPr="004660AA" w:rsidRDefault="004660AA" w:rsidP="004660AA">
            <w:pPr>
              <w:rPr>
                <w:rFonts w:ascii="Arial" w:hAnsi="Arial"/>
                <w:bCs/>
                <w:sz w:val="16"/>
              </w:rPr>
            </w:pPr>
            <w:r w:rsidRPr="004660AA">
              <w:rPr>
                <w:rFonts w:ascii="Arial" w:hAnsi="Arial"/>
                <w:bCs/>
                <w:sz w:val="16"/>
              </w:rPr>
              <w:t>Introduction of dynamic spectrum sharing (DSS) enhancements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C63BB26" w14:textId="09035800" w:rsidR="004660AA" w:rsidRDefault="004660AA" w:rsidP="004660AA">
            <w:pPr>
              <w:pStyle w:val="TAL"/>
              <w:rPr>
                <w:sz w:val="16"/>
                <w:szCs w:val="16"/>
                <w:lang w:eastAsia="zh-CN"/>
              </w:rPr>
            </w:pPr>
            <w:r>
              <w:rPr>
                <w:sz w:val="16"/>
                <w:szCs w:val="16"/>
                <w:lang w:eastAsia="zh-CN"/>
              </w:rPr>
              <w:t>18.0.0</w:t>
            </w:r>
          </w:p>
        </w:tc>
      </w:tr>
      <w:tr w:rsidR="006527F8" w:rsidRPr="00B916EC" w14:paraId="2DAD6C66"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3DD836BF" w14:textId="77777777" w:rsidR="006527F8" w:rsidRPr="00B916EC" w:rsidRDefault="006527F8" w:rsidP="00B60B79">
            <w:pPr>
              <w:spacing w:after="0"/>
              <w:jc w:val="center"/>
              <w:rPr>
                <w:rFonts w:ascii="Arial" w:hAnsi="Arial"/>
                <w:snapToGrid w:val="0"/>
                <w:sz w:val="16"/>
                <w:szCs w:val="16"/>
              </w:rPr>
            </w:pPr>
            <w:r>
              <w:rPr>
                <w:rFonts w:ascii="Arial" w:hAnsi="Arial"/>
                <w:snapToGrid w:val="0"/>
                <w:sz w:val="16"/>
                <w:szCs w:val="16"/>
              </w:rPr>
              <w:t>2023-09</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2AB91DD2" w14:textId="77777777" w:rsidR="006527F8" w:rsidRPr="00B916EC" w:rsidRDefault="006527F8" w:rsidP="00B60B79">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1AB9D25D" w14:textId="03C10991" w:rsidR="006527F8" w:rsidRPr="002B6B38" w:rsidRDefault="006527F8" w:rsidP="00B60B79">
            <w:pPr>
              <w:pStyle w:val="TAL"/>
              <w:rPr>
                <w:sz w:val="16"/>
                <w:szCs w:val="16"/>
                <w:lang w:eastAsia="zh-CN"/>
              </w:rPr>
            </w:pPr>
            <w:r>
              <w:rPr>
                <w:sz w:val="16"/>
                <w:szCs w:val="16"/>
                <w:lang w:eastAsia="zh-CN"/>
              </w:rPr>
              <w:t>RP-232478</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65C801CA" w14:textId="1973FD0C" w:rsidR="006527F8" w:rsidRDefault="006527F8" w:rsidP="00B60B79">
            <w:pPr>
              <w:pStyle w:val="TAL"/>
              <w:rPr>
                <w:sz w:val="16"/>
                <w:szCs w:val="16"/>
              </w:rPr>
            </w:pPr>
            <w:r>
              <w:rPr>
                <w:sz w:val="16"/>
                <w:szCs w:val="16"/>
              </w:rPr>
              <w:t>0501</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44F99194" w14:textId="77777777" w:rsidR="006527F8" w:rsidRDefault="006527F8" w:rsidP="00B60B79">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3552A386" w14:textId="77777777" w:rsidR="006527F8" w:rsidRDefault="006527F8" w:rsidP="00B60B79">
            <w:pPr>
              <w:pStyle w:val="TAL"/>
              <w:rPr>
                <w:sz w:val="16"/>
              </w:rPr>
            </w:pPr>
            <w:r>
              <w:rPr>
                <w:sz w:val="16"/>
              </w:rPr>
              <w:t>B</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3E580D78" w14:textId="5825D375" w:rsidR="006527F8" w:rsidRPr="004660AA" w:rsidRDefault="006527F8" w:rsidP="00B60B79">
            <w:pPr>
              <w:rPr>
                <w:rFonts w:ascii="Arial" w:hAnsi="Arial"/>
                <w:bCs/>
                <w:sz w:val="16"/>
              </w:rPr>
            </w:pPr>
            <w:r w:rsidRPr="006527F8">
              <w:rPr>
                <w:rFonts w:ascii="Arial" w:hAnsi="Arial"/>
                <w:bCs/>
                <w:sz w:val="16"/>
              </w:rPr>
              <w:t>Introduction of support for enhanced reduced capability NR devices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3097A80" w14:textId="77777777" w:rsidR="006527F8" w:rsidRDefault="006527F8" w:rsidP="00B60B79">
            <w:pPr>
              <w:pStyle w:val="TAL"/>
              <w:rPr>
                <w:sz w:val="16"/>
                <w:szCs w:val="16"/>
                <w:lang w:eastAsia="zh-CN"/>
              </w:rPr>
            </w:pPr>
            <w:r>
              <w:rPr>
                <w:sz w:val="16"/>
                <w:szCs w:val="16"/>
                <w:lang w:eastAsia="zh-CN"/>
              </w:rPr>
              <w:t>18.0.0</w:t>
            </w:r>
          </w:p>
        </w:tc>
      </w:tr>
      <w:tr w:rsidR="001149BC" w:rsidRPr="00B916EC" w14:paraId="5C357581"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12C0A6EF" w14:textId="77777777" w:rsidR="001149BC" w:rsidRPr="00B916EC" w:rsidRDefault="001149BC" w:rsidP="00B60B79">
            <w:pPr>
              <w:spacing w:after="0"/>
              <w:jc w:val="center"/>
              <w:rPr>
                <w:rFonts w:ascii="Arial" w:hAnsi="Arial"/>
                <w:snapToGrid w:val="0"/>
                <w:sz w:val="16"/>
                <w:szCs w:val="16"/>
              </w:rPr>
            </w:pPr>
            <w:r>
              <w:rPr>
                <w:rFonts w:ascii="Arial" w:hAnsi="Arial"/>
                <w:snapToGrid w:val="0"/>
                <w:sz w:val="16"/>
                <w:szCs w:val="16"/>
              </w:rPr>
              <w:t>2023-09</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03D0E257" w14:textId="77777777" w:rsidR="001149BC" w:rsidRPr="00B916EC" w:rsidRDefault="001149BC" w:rsidP="00B60B79">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7F87C9F7" w14:textId="34C2506E" w:rsidR="001149BC" w:rsidRPr="002B6B38" w:rsidRDefault="001149BC" w:rsidP="00B60B79">
            <w:pPr>
              <w:pStyle w:val="TAL"/>
              <w:rPr>
                <w:sz w:val="16"/>
                <w:szCs w:val="16"/>
                <w:lang w:eastAsia="zh-CN"/>
              </w:rPr>
            </w:pPr>
            <w:r>
              <w:rPr>
                <w:sz w:val="16"/>
                <w:szCs w:val="16"/>
                <w:lang w:eastAsia="zh-CN"/>
              </w:rPr>
              <w:t>RP-232477</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175C08F0" w14:textId="2273FDEA" w:rsidR="001149BC" w:rsidRDefault="001149BC" w:rsidP="00B60B79">
            <w:pPr>
              <w:pStyle w:val="TAL"/>
              <w:rPr>
                <w:sz w:val="16"/>
                <w:szCs w:val="16"/>
              </w:rPr>
            </w:pPr>
            <w:r>
              <w:rPr>
                <w:sz w:val="16"/>
                <w:szCs w:val="16"/>
              </w:rPr>
              <w:t>0502</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40CF8A92" w14:textId="77777777" w:rsidR="001149BC" w:rsidRDefault="001149BC" w:rsidP="00B60B79">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7503E365" w14:textId="77777777" w:rsidR="001149BC" w:rsidRDefault="001149BC" w:rsidP="00B60B79">
            <w:pPr>
              <w:pStyle w:val="TAL"/>
              <w:rPr>
                <w:sz w:val="16"/>
              </w:rPr>
            </w:pPr>
            <w:r>
              <w:rPr>
                <w:sz w:val="16"/>
              </w:rPr>
              <w:t>B</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31378A29" w14:textId="3326D58C" w:rsidR="001149BC" w:rsidRPr="004660AA" w:rsidRDefault="001149BC" w:rsidP="00B60B79">
            <w:pPr>
              <w:rPr>
                <w:rFonts w:ascii="Arial" w:hAnsi="Arial"/>
                <w:bCs/>
                <w:sz w:val="16"/>
              </w:rPr>
            </w:pPr>
            <w:r w:rsidRPr="001149BC">
              <w:rPr>
                <w:rFonts w:ascii="Arial" w:hAnsi="Arial"/>
                <w:bCs/>
                <w:sz w:val="16"/>
              </w:rPr>
              <w:t>Introduction of NR support for dedicated spectrum less than 5MHz for FR1</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ABC1319" w14:textId="77777777" w:rsidR="001149BC" w:rsidRDefault="001149BC" w:rsidP="00B60B79">
            <w:pPr>
              <w:pStyle w:val="TAL"/>
              <w:rPr>
                <w:sz w:val="16"/>
                <w:szCs w:val="16"/>
                <w:lang w:eastAsia="zh-CN"/>
              </w:rPr>
            </w:pPr>
            <w:r>
              <w:rPr>
                <w:sz w:val="16"/>
                <w:szCs w:val="16"/>
                <w:lang w:eastAsia="zh-CN"/>
              </w:rPr>
              <w:t>18.0.0</w:t>
            </w:r>
          </w:p>
        </w:tc>
      </w:tr>
      <w:tr w:rsidR="00F27FBD" w:rsidRPr="00B916EC" w14:paraId="54C61905"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3EF64BFF" w14:textId="77777777" w:rsidR="00F27FBD" w:rsidRPr="00B916EC" w:rsidRDefault="00F27FBD" w:rsidP="00B60B79">
            <w:pPr>
              <w:spacing w:after="0"/>
              <w:jc w:val="center"/>
              <w:rPr>
                <w:rFonts w:ascii="Arial" w:hAnsi="Arial"/>
                <w:snapToGrid w:val="0"/>
                <w:sz w:val="16"/>
                <w:szCs w:val="16"/>
              </w:rPr>
            </w:pPr>
            <w:r>
              <w:rPr>
                <w:rFonts w:ascii="Arial" w:hAnsi="Arial"/>
                <w:snapToGrid w:val="0"/>
                <w:sz w:val="16"/>
                <w:szCs w:val="16"/>
              </w:rPr>
              <w:t>2023-09</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09CE3C5F" w14:textId="77777777" w:rsidR="00F27FBD" w:rsidRPr="00B916EC" w:rsidRDefault="00F27FBD" w:rsidP="00B60B79">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47EECDF8" w14:textId="6CC431F5" w:rsidR="00F27FBD" w:rsidRPr="002B6B38" w:rsidRDefault="00F27FBD" w:rsidP="00B60B79">
            <w:pPr>
              <w:pStyle w:val="TAL"/>
              <w:rPr>
                <w:sz w:val="16"/>
                <w:szCs w:val="16"/>
                <w:lang w:eastAsia="zh-CN"/>
              </w:rPr>
            </w:pPr>
            <w:r>
              <w:rPr>
                <w:sz w:val="16"/>
                <w:szCs w:val="16"/>
                <w:lang w:eastAsia="zh-CN"/>
              </w:rPr>
              <w:t>RP-23247</w:t>
            </w:r>
            <w:r w:rsidR="003468A9">
              <w:rPr>
                <w:sz w:val="16"/>
                <w:szCs w:val="16"/>
                <w:lang w:eastAsia="zh-CN"/>
              </w:rPr>
              <w:t>1</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2F608B8C" w14:textId="09388018" w:rsidR="00F27FBD" w:rsidRDefault="00F27FBD" w:rsidP="00B60B79">
            <w:pPr>
              <w:pStyle w:val="TAL"/>
              <w:rPr>
                <w:sz w:val="16"/>
                <w:szCs w:val="16"/>
              </w:rPr>
            </w:pPr>
            <w:r>
              <w:rPr>
                <w:sz w:val="16"/>
                <w:szCs w:val="16"/>
              </w:rPr>
              <w:t>050</w:t>
            </w:r>
            <w:r w:rsidR="003468A9">
              <w:rPr>
                <w:sz w:val="16"/>
                <w:szCs w:val="16"/>
              </w:rPr>
              <w:t>3</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25D63548" w14:textId="77777777" w:rsidR="00F27FBD" w:rsidRDefault="00F27FBD" w:rsidP="00B60B79">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25C6C035" w14:textId="77777777" w:rsidR="00F27FBD" w:rsidRDefault="00F27FBD" w:rsidP="00B60B79">
            <w:pPr>
              <w:pStyle w:val="TAL"/>
              <w:rPr>
                <w:sz w:val="16"/>
              </w:rPr>
            </w:pPr>
            <w:r>
              <w:rPr>
                <w:sz w:val="16"/>
              </w:rPr>
              <w:t>B</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54C87BCE" w14:textId="28A64F5B" w:rsidR="00F27FBD" w:rsidRPr="004660AA" w:rsidRDefault="003468A9" w:rsidP="00B60B79">
            <w:pPr>
              <w:rPr>
                <w:rFonts w:ascii="Arial" w:hAnsi="Arial"/>
                <w:bCs/>
                <w:sz w:val="16"/>
              </w:rPr>
            </w:pPr>
            <w:r w:rsidRPr="003468A9">
              <w:rPr>
                <w:rFonts w:ascii="Arial" w:hAnsi="Arial"/>
                <w:bCs/>
                <w:sz w:val="16"/>
              </w:rPr>
              <w:t>Introduction of multi-carrier enhancements for NR</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A4283C6" w14:textId="77777777" w:rsidR="00F27FBD" w:rsidRDefault="00F27FBD" w:rsidP="00B60B79">
            <w:pPr>
              <w:pStyle w:val="TAL"/>
              <w:rPr>
                <w:sz w:val="16"/>
                <w:szCs w:val="16"/>
                <w:lang w:eastAsia="zh-CN"/>
              </w:rPr>
            </w:pPr>
            <w:r>
              <w:rPr>
                <w:sz w:val="16"/>
                <w:szCs w:val="16"/>
                <w:lang w:eastAsia="zh-CN"/>
              </w:rPr>
              <w:t>18.0.0</w:t>
            </w:r>
          </w:p>
        </w:tc>
      </w:tr>
      <w:tr w:rsidR="008474AB" w:rsidRPr="00B916EC" w14:paraId="260BDC49"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5C2E398E" w14:textId="77777777" w:rsidR="008474AB" w:rsidRPr="00B916EC" w:rsidRDefault="008474AB" w:rsidP="00BE6E85">
            <w:pPr>
              <w:spacing w:after="0"/>
              <w:jc w:val="center"/>
              <w:rPr>
                <w:rFonts w:ascii="Arial" w:hAnsi="Arial"/>
                <w:snapToGrid w:val="0"/>
                <w:sz w:val="16"/>
                <w:szCs w:val="16"/>
              </w:rPr>
            </w:pPr>
            <w:r>
              <w:rPr>
                <w:rFonts w:ascii="Arial" w:hAnsi="Arial"/>
                <w:snapToGrid w:val="0"/>
                <w:sz w:val="16"/>
                <w:szCs w:val="16"/>
              </w:rPr>
              <w:t>2023-09</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7462F6A4" w14:textId="77777777" w:rsidR="008474AB" w:rsidRPr="00B916EC" w:rsidRDefault="008474AB" w:rsidP="00BE6E85">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139CEDAA" w14:textId="78979549" w:rsidR="008474AB" w:rsidRPr="002B6B38" w:rsidRDefault="008474AB" w:rsidP="00BE6E85">
            <w:pPr>
              <w:pStyle w:val="TAL"/>
              <w:rPr>
                <w:sz w:val="16"/>
                <w:szCs w:val="16"/>
                <w:lang w:eastAsia="zh-CN"/>
              </w:rPr>
            </w:pPr>
            <w:r>
              <w:rPr>
                <w:sz w:val="16"/>
                <w:szCs w:val="16"/>
                <w:lang w:eastAsia="zh-CN"/>
              </w:rPr>
              <w:t>RP-232458</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06563E72" w14:textId="73EB3A13" w:rsidR="008474AB" w:rsidRDefault="008474AB" w:rsidP="00BE6E85">
            <w:pPr>
              <w:pStyle w:val="TAL"/>
              <w:rPr>
                <w:sz w:val="16"/>
                <w:szCs w:val="16"/>
              </w:rPr>
            </w:pPr>
            <w:r>
              <w:rPr>
                <w:sz w:val="16"/>
                <w:szCs w:val="16"/>
              </w:rPr>
              <w:t>0504</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35A64AEB" w14:textId="77777777" w:rsidR="008474AB" w:rsidRDefault="008474AB" w:rsidP="00BE6E85">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4794F95B" w14:textId="77777777" w:rsidR="008474AB" w:rsidRDefault="008474AB" w:rsidP="00BE6E85">
            <w:pPr>
              <w:pStyle w:val="TAL"/>
              <w:rPr>
                <w:sz w:val="16"/>
              </w:rPr>
            </w:pPr>
            <w:r>
              <w:rPr>
                <w:sz w:val="16"/>
              </w:rPr>
              <w:t>B</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392EE5AF" w14:textId="3015EA6F" w:rsidR="008474AB" w:rsidRPr="004660AA" w:rsidRDefault="008474AB" w:rsidP="00BE6E85">
            <w:pPr>
              <w:rPr>
                <w:rFonts w:ascii="Arial" w:hAnsi="Arial"/>
                <w:bCs/>
                <w:sz w:val="16"/>
              </w:rPr>
            </w:pPr>
            <w:r w:rsidRPr="008474AB">
              <w:rPr>
                <w:rFonts w:ascii="Arial" w:hAnsi="Arial"/>
                <w:bCs/>
                <w:sz w:val="16"/>
              </w:rPr>
              <w:t>Introduction of MIMO Evolution for Downlink and Uplink</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72E4B4E" w14:textId="77777777" w:rsidR="008474AB" w:rsidRDefault="008474AB" w:rsidP="00BE6E85">
            <w:pPr>
              <w:pStyle w:val="TAL"/>
              <w:rPr>
                <w:sz w:val="16"/>
                <w:szCs w:val="16"/>
                <w:lang w:eastAsia="zh-CN"/>
              </w:rPr>
            </w:pPr>
            <w:r>
              <w:rPr>
                <w:sz w:val="16"/>
                <w:szCs w:val="16"/>
                <w:lang w:eastAsia="zh-CN"/>
              </w:rPr>
              <w:t>18.0.0</w:t>
            </w:r>
          </w:p>
        </w:tc>
      </w:tr>
      <w:tr w:rsidR="00FF09FB" w:rsidRPr="00B916EC" w14:paraId="0C5C370E"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4E8E1CA8" w14:textId="77777777" w:rsidR="00FF09FB" w:rsidRPr="00B916EC" w:rsidRDefault="00FF09FB" w:rsidP="00BE6E85">
            <w:pPr>
              <w:spacing w:after="0"/>
              <w:jc w:val="center"/>
              <w:rPr>
                <w:rFonts w:ascii="Arial" w:hAnsi="Arial"/>
                <w:snapToGrid w:val="0"/>
                <w:sz w:val="16"/>
                <w:szCs w:val="16"/>
              </w:rPr>
            </w:pPr>
            <w:r>
              <w:rPr>
                <w:rFonts w:ascii="Arial" w:hAnsi="Arial"/>
                <w:snapToGrid w:val="0"/>
                <w:sz w:val="16"/>
                <w:szCs w:val="16"/>
              </w:rPr>
              <w:t>2023-09</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3CEE3844" w14:textId="77777777" w:rsidR="00FF09FB" w:rsidRPr="00B916EC" w:rsidRDefault="00FF09FB" w:rsidP="00BE6E85">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19F15D60" w14:textId="59002740" w:rsidR="00FF09FB" w:rsidRPr="002B6B38" w:rsidRDefault="00FF09FB" w:rsidP="00BE6E85">
            <w:pPr>
              <w:pStyle w:val="TAL"/>
              <w:rPr>
                <w:sz w:val="16"/>
                <w:szCs w:val="16"/>
                <w:lang w:eastAsia="zh-CN"/>
              </w:rPr>
            </w:pPr>
            <w:r>
              <w:rPr>
                <w:sz w:val="16"/>
                <w:szCs w:val="16"/>
                <w:lang w:eastAsia="zh-CN"/>
              </w:rPr>
              <w:t>RP-232473</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5B97E917" w14:textId="2F4603A0" w:rsidR="00FF09FB" w:rsidRDefault="00FF09FB" w:rsidP="00BE6E85">
            <w:pPr>
              <w:pStyle w:val="TAL"/>
              <w:rPr>
                <w:sz w:val="16"/>
                <w:szCs w:val="16"/>
              </w:rPr>
            </w:pPr>
            <w:r>
              <w:rPr>
                <w:sz w:val="16"/>
                <w:szCs w:val="16"/>
              </w:rPr>
              <w:t>0505</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6DD6008D" w14:textId="77777777" w:rsidR="00FF09FB" w:rsidRDefault="00FF09FB" w:rsidP="00BE6E85">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45E02253" w14:textId="77777777" w:rsidR="00FF09FB" w:rsidRDefault="00FF09FB" w:rsidP="00BE6E85">
            <w:pPr>
              <w:pStyle w:val="TAL"/>
              <w:rPr>
                <w:sz w:val="16"/>
              </w:rPr>
            </w:pPr>
            <w:r>
              <w:rPr>
                <w:sz w:val="16"/>
              </w:rPr>
              <w:t>B</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4291A2CB" w14:textId="0E6A8FAF" w:rsidR="00FF09FB" w:rsidRPr="004660AA" w:rsidRDefault="00FF09FB" w:rsidP="00BE6E85">
            <w:pPr>
              <w:rPr>
                <w:rFonts w:ascii="Arial" w:hAnsi="Arial"/>
                <w:bCs/>
                <w:sz w:val="16"/>
              </w:rPr>
            </w:pPr>
            <w:r w:rsidRPr="00FF09FB">
              <w:rPr>
                <w:rFonts w:ascii="Arial" w:hAnsi="Arial"/>
                <w:bCs/>
                <w:sz w:val="16"/>
              </w:rPr>
              <w:t>Introduction of further mobility enhancements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81F1B03" w14:textId="77777777" w:rsidR="00FF09FB" w:rsidRDefault="00FF09FB" w:rsidP="00BE6E85">
            <w:pPr>
              <w:pStyle w:val="TAL"/>
              <w:rPr>
                <w:sz w:val="16"/>
                <w:szCs w:val="16"/>
                <w:lang w:eastAsia="zh-CN"/>
              </w:rPr>
            </w:pPr>
            <w:r>
              <w:rPr>
                <w:sz w:val="16"/>
                <w:szCs w:val="16"/>
                <w:lang w:eastAsia="zh-CN"/>
              </w:rPr>
              <w:t>18.0.0</w:t>
            </w:r>
          </w:p>
        </w:tc>
      </w:tr>
      <w:tr w:rsidR="00DB7D93" w:rsidRPr="00B916EC" w14:paraId="7FDC17E8"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6D20A35C" w14:textId="77777777" w:rsidR="00DB7D93" w:rsidRPr="00B916EC" w:rsidRDefault="00DB7D93" w:rsidP="00BE6E85">
            <w:pPr>
              <w:spacing w:after="0"/>
              <w:jc w:val="center"/>
              <w:rPr>
                <w:rFonts w:ascii="Arial" w:hAnsi="Arial"/>
                <w:snapToGrid w:val="0"/>
                <w:sz w:val="16"/>
                <w:szCs w:val="16"/>
              </w:rPr>
            </w:pPr>
            <w:r>
              <w:rPr>
                <w:rFonts w:ascii="Arial" w:hAnsi="Arial"/>
                <w:snapToGrid w:val="0"/>
                <w:sz w:val="16"/>
                <w:szCs w:val="16"/>
              </w:rPr>
              <w:t>2023-09</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1827FADC" w14:textId="77777777" w:rsidR="00DB7D93" w:rsidRPr="00B916EC" w:rsidRDefault="00DB7D93" w:rsidP="00BE6E85">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50CF75E7" w14:textId="27397EC7" w:rsidR="00DB7D93" w:rsidRPr="002B6B38" w:rsidRDefault="00DB7D93" w:rsidP="00BE6E85">
            <w:pPr>
              <w:pStyle w:val="TAL"/>
              <w:rPr>
                <w:sz w:val="16"/>
                <w:szCs w:val="16"/>
                <w:lang w:eastAsia="zh-CN"/>
              </w:rPr>
            </w:pPr>
            <w:r>
              <w:rPr>
                <w:sz w:val="16"/>
                <w:szCs w:val="16"/>
                <w:lang w:eastAsia="zh-CN"/>
              </w:rPr>
              <w:t>RP-232479</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41EB10A9" w14:textId="5D1EAD3E" w:rsidR="00DB7D93" w:rsidRDefault="00DB7D93" w:rsidP="00BE6E85">
            <w:pPr>
              <w:pStyle w:val="TAL"/>
              <w:rPr>
                <w:sz w:val="16"/>
                <w:szCs w:val="16"/>
              </w:rPr>
            </w:pPr>
            <w:r>
              <w:rPr>
                <w:sz w:val="16"/>
                <w:szCs w:val="16"/>
              </w:rPr>
              <w:t>0506</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71EAF2E4" w14:textId="77777777" w:rsidR="00DB7D93" w:rsidRDefault="00DB7D93" w:rsidP="00BE6E85">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5D750A50" w14:textId="77777777" w:rsidR="00DB7D93" w:rsidRDefault="00DB7D93" w:rsidP="00BE6E85">
            <w:pPr>
              <w:pStyle w:val="TAL"/>
              <w:rPr>
                <w:sz w:val="16"/>
              </w:rPr>
            </w:pPr>
            <w:r>
              <w:rPr>
                <w:sz w:val="16"/>
              </w:rPr>
              <w:t>B</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6E199812" w14:textId="17F5EC5D" w:rsidR="00DB7D93" w:rsidRPr="004660AA" w:rsidRDefault="00DB7D93" w:rsidP="00BE6E85">
            <w:pPr>
              <w:rPr>
                <w:rFonts w:ascii="Arial" w:hAnsi="Arial"/>
                <w:bCs/>
                <w:sz w:val="16"/>
              </w:rPr>
            </w:pPr>
            <w:r w:rsidRPr="00DB7D93">
              <w:rPr>
                <w:rFonts w:ascii="Arial" w:hAnsi="Arial"/>
                <w:bCs/>
                <w:sz w:val="16"/>
              </w:rPr>
              <w:t>Introduction of Network Controlled Repeaters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6EBD1CA" w14:textId="77777777" w:rsidR="00DB7D93" w:rsidRDefault="00DB7D93" w:rsidP="00BE6E85">
            <w:pPr>
              <w:pStyle w:val="TAL"/>
              <w:rPr>
                <w:sz w:val="16"/>
                <w:szCs w:val="16"/>
                <w:lang w:eastAsia="zh-CN"/>
              </w:rPr>
            </w:pPr>
            <w:r>
              <w:rPr>
                <w:sz w:val="16"/>
                <w:szCs w:val="16"/>
                <w:lang w:eastAsia="zh-CN"/>
              </w:rPr>
              <w:t>18.0.0</w:t>
            </w:r>
          </w:p>
        </w:tc>
      </w:tr>
      <w:tr w:rsidR="001A0F7C" w:rsidRPr="00B916EC" w14:paraId="5DDEDF92"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23786611" w14:textId="77777777" w:rsidR="001A0F7C" w:rsidRPr="00B916EC" w:rsidRDefault="001A0F7C" w:rsidP="00BE6E85">
            <w:pPr>
              <w:spacing w:after="0"/>
              <w:jc w:val="center"/>
              <w:rPr>
                <w:rFonts w:ascii="Arial" w:hAnsi="Arial"/>
                <w:snapToGrid w:val="0"/>
                <w:sz w:val="16"/>
                <w:szCs w:val="16"/>
              </w:rPr>
            </w:pPr>
            <w:r>
              <w:rPr>
                <w:rFonts w:ascii="Arial" w:hAnsi="Arial"/>
                <w:snapToGrid w:val="0"/>
                <w:sz w:val="16"/>
                <w:szCs w:val="16"/>
              </w:rPr>
              <w:t>2023-09</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5CF05FB5" w14:textId="77777777" w:rsidR="001A0F7C" w:rsidRPr="00B916EC" w:rsidRDefault="001A0F7C" w:rsidP="00BE6E85">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0C94922D" w14:textId="037931DA" w:rsidR="001A0F7C" w:rsidRPr="002B6B38" w:rsidRDefault="001A0F7C" w:rsidP="00BE6E85">
            <w:pPr>
              <w:pStyle w:val="TAL"/>
              <w:rPr>
                <w:sz w:val="16"/>
                <w:szCs w:val="16"/>
                <w:lang w:eastAsia="zh-CN"/>
              </w:rPr>
            </w:pPr>
            <w:r>
              <w:rPr>
                <w:sz w:val="16"/>
                <w:szCs w:val="16"/>
                <w:lang w:eastAsia="zh-CN"/>
              </w:rPr>
              <w:t>RP-232474</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3AB87FA5" w14:textId="6D2713B6" w:rsidR="001A0F7C" w:rsidRDefault="001A0F7C" w:rsidP="00BE6E85">
            <w:pPr>
              <w:pStyle w:val="TAL"/>
              <w:rPr>
                <w:sz w:val="16"/>
                <w:szCs w:val="16"/>
              </w:rPr>
            </w:pPr>
            <w:r>
              <w:rPr>
                <w:sz w:val="16"/>
                <w:szCs w:val="16"/>
              </w:rPr>
              <w:t>0507</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5305B8BA" w14:textId="77777777" w:rsidR="001A0F7C" w:rsidRDefault="001A0F7C" w:rsidP="00BE6E85">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1D8CA4F8" w14:textId="77777777" w:rsidR="001A0F7C" w:rsidRDefault="001A0F7C" w:rsidP="00BE6E85">
            <w:pPr>
              <w:pStyle w:val="TAL"/>
              <w:rPr>
                <w:sz w:val="16"/>
              </w:rPr>
            </w:pPr>
            <w:r>
              <w:rPr>
                <w:sz w:val="16"/>
              </w:rPr>
              <w:t>B</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37A17910" w14:textId="37086622" w:rsidR="001A0F7C" w:rsidRPr="004660AA" w:rsidRDefault="001A0F7C" w:rsidP="00BE6E85">
            <w:pPr>
              <w:rPr>
                <w:rFonts w:ascii="Arial" w:hAnsi="Arial"/>
                <w:bCs/>
                <w:sz w:val="16"/>
              </w:rPr>
            </w:pPr>
            <w:r w:rsidRPr="001A0F7C">
              <w:rPr>
                <w:rFonts w:ascii="Arial" w:hAnsi="Arial"/>
                <w:bCs/>
                <w:sz w:val="16"/>
              </w:rPr>
              <w:t>Introduction of NR NTN enhancements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8AE32C7" w14:textId="77777777" w:rsidR="001A0F7C" w:rsidRDefault="001A0F7C" w:rsidP="00BE6E85">
            <w:pPr>
              <w:pStyle w:val="TAL"/>
              <w:rPr>
                <w:sz w:val="16"/>
                <w:szCs w:val="16"/>
                <w:lang w:eastAsia="zh-CN"/>
              </w:rPr>
            </w:pPr>
            <w:r>
              <w:rPr>
                <w:sz w:val="16"/>
                <w:szCs w:val="16"/>
                <w:lang w:eastAsia="zh-CN"/>
              </w:rPr>
              <w:t>18.0.0</w:t>
            </w:r>
          </w:p>
        </w:tc>
      </w:tr>
      <w:tr w:rsidR="001A0F7C" w:rsidRPr="00B916EC" w14:paraId="48D84B83"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47748294" w14:textId="77777777" w:rsidR="001A0F7C" w:rsidRPr="00B916EC" w:rsidRDefault="001A0F7C" w:rsidP="00BE6E85">
            <w:pPr>
              <w:spacing w:after="0"/>
              <w:jc w:val="center"/>
              <w:rPr>
                <w:rFonts w:ascii="Arial" w:hAnsi="Arial"/>
                <w:snapToGrid w:val="0"/>
                <w:sz w:val="16"/>
                <w:szCs w:val="16"/>
              </w:rPr>
            </w:pPr>
            <w:r>
              <w:rPr>
                <w:rFonts w:ascii="Arial" w:hAnsi="Arial"/>
                <w:snapToGrid w:val="0"/>
                <w:sz w:val="16"/>
                <w:szCs w:val="16"/>
              </w:rPr>
              <w:t>2023-09</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5BC251CA" w14:textId="77777777" w:rsidR="001A0F7C" w:rsidRPr="00B916EC" w:rsidRDefault="001A0F7C" w:rsidP="00BE6E85">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48C88D0C" w14:textId="69570B22" w:rsidR="001A0F7C" w:rsidRPr="002B6B38" w:rsidRDefault="001A0F7C" w:rsidP="00BE6E85">
            <w:pPr>
              <w:pStyle w:val="TAL"/>
              <w:rPr>
                <w:sz w:val="16"/>
                <w:szCs w:val="16"/>
                <w:lang w:eastAsia="zh-CN"/>
              </w:rPr>
            </w:pPr>
            <w:r>
              <w:rPr>
                <w:sz w:val="16"/>
                <w:szCs w:val="16"/>
                <w:lang w:eastAsia="zh-CN"/>
              </w:rPr>
              <w:t>RP-232480</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50D7D6F5" w14:textId="513139B3" w:rsidR="001A0F7C" w:rsidRDefault="001A0F7C" w:rsidP="00BE6E85">
            <w:pPr>
              <w:pStyle w:val="TAL"/>
              <w:rPr>
                <w:sz w:val="16"/>
                <w:szCs w:val="16"/>
              </w:rPr>
            </w:pPr>
            <w:r>
              <w:rPr>
                <w:sz w:val="16"/>
                <w:szCs w:val="16"/>
              </w:rPr>
              <w:t>0508</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035E476E" w14:textId="77777777" w:rsidR="001A0F7C" w:rsidRDefault="001A0F7C" w:rsidP="00BE6E85">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52E6F2F1" w14:textId="77777777" w:rsidR="001A0F7C" w:rsidRDefault="001A0F7C" w:rsidP="00BE6E85">
            <w:pPr>
              <w:pStyle w:val="TAL"/>
              <w:rPr>
                <w:sz w:val="16"/>
              </w:rPr>
            </w:pPr>
            <w:r>
              <w:rPr>
                <w:sz w:val="16"/>
              </w:rPr>
              <w:t>B</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0102F94C" w14:textId="6B5C1F77" w:rsidR="001A0F7C" w:rsidRPr="004660AA" w:rsidRDefault="001A0F7C" w:rsidP="00BE6E85">
            <w:pPr>
              <w:rPr>
                <w:rFonts w:ascii="Arial" w:hAnsi="Arial"/>
                <w:bCs/>
                <w:sz w:val="16"/>
              </w:rPr>
            </w:pPr>
            <w:r w:rsidRPr="001A0F7C">
              <w:rPr>
                <w:rFonts w:ascii="Arial" w:hAnsi="Arial"/>
                <w:bCs/>
                <w:sz w:val="16"/>
              </w:rPr>
              <w:t>Introduction of expanded and improved NR positioning</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A2281BE" w14:textId="77777777" w:rsidR="001A0F7C" w:rsidRDefault="001A0F7C" w:rsidP="00BE6E85">
            <w:pPr>
              <w:pStyle w:val="TAL"/>
              <w:rPr>
                <w:sz w:val="16"/>
                <w:szCs w:val="16"/>
                <w:lang w:eastAsia="zh-CN"/>
              </w:rPr>
            </w:pPr>
            <w:r>
              <w:rPr>
                <w:sz w:val="16"/>
                <w:szCs w:val="16"/>
                <w:lang w:eastAsia="zh-CN"/>
              </w:rPr>
              <w:t>18.0.0</w:t>
            </w:r>
          </w:p>
        </w:tc>
      </w:tr>
      <w:tr w:rsidR="009E0964" w:rsidRPr="00B916EC" w14:paraId="279802EF"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0575992C" w14:textId="77777777" w:rsidR="009E0964" w:rsidRPr="00B916EC" w:rsidRDefault="009E0964" w:rsidP="00BE6E85">
            <w:pPr>
              <w:spacing w:after="0"/>
              <w:jc w:val="center"/>
              <w:rPr>
                <w:rFonts w:ascii="Arial" w:hAnsi="Arial"/>
                <w:snapToGrid w:val="0"/>
                <w:sz w:val="16"/>
                <w:szCs w:val="16"/>
              </w:rPr>
            </w:pPr>
            <w:r>
              <w:rPr>
                <w:rFonts w:ascii="Arial" w:hAnsi="Arial"/>
                <w:snapToGrid w:val="0"/>
                <w:sz w:val="16"/>
                <w:szCs w:val="16"/>
              </w:rPr>
              <w:t>2023-09</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0B81DDB1" w14:textId="77777777" w:rsidR="009E0964" w:rsidRPr="00B916EC" w:rsidRDefault="009E0964" w:rsidP="00BE6E85">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10228554" w14:textId="7414847E" w:rsidR="009E0964" w:rsidRPr="002B6B38" w:rsidRDefault="009E0964" w:rsidP="00BE6E85">
            <w:pPr>
              <w:pStyle w:val="TAL"/>
              <w:rPr>
                <w:sz w:val="16"/>
                <w:szCs w:val="16"/>
                <w:lang w:eastAsia="zh-CN"/>
              </w:rPr>
            </w:pPr>
            <w:r>
              <w:rPr>
                <w:sz w:val="16"/>
                <w:szCs w:val="16"/>
                <w:lang w:eastAsia="zh-CN"/>
              </w:rPr>
              <w:t>RP-232469</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17619992" w14:textId="1507C80E" w:rsidR="009E0964" w:rsidRDefault="009E0964" w:rsidP="00BE6E85">
            <w:pPr>
              <w:pStyle w:val="TAL"/>
              <w:rPr>
                <w:sz w:val="16"/>
                <w:szCs w:val="16"/>
              </w:rPr>
            </w:pPr>
            <w:r>
              <w:rPr>
                <w:sz w:val="16"/>
                <w:szCs w:val="16"/>
              </w:rPr>
              <w:t>0509</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164D3668" w14:textId="77777777" w:rsidR="009E0964" w:rsidRDefault="009E0964" w:rsidP="00BE6E85">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2B2CE862" w14:textId="77777777" w:rsidR="009E0964" w:rsidRDefault="009E0964" w:rsidP="00BE6E85">
            <w:pPr>
              <w:pStyle w:val="TAL"/>
              <w:rPr>
                <w:sz w:val="16"/>
              </w:rPr>
            </w:pPr>
            <w:r>
              <w:rPr>
                <w:sz w:val="16"/>
              </w:rPr>
              <w:t>B</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74DBBEB5" w14:textId="4675FF51" w:rsidR="009E0964" w:rsidRPr="004660AA" w:rsidRDefault="009E0964" w:rsidP="00BE6E85">
            <w:pPr>
              <w:rPr>
                <w:rFonts w:ascii="Arial" w:hAnsi="Arial"/>
                <w:bCs/>
                <w:sz w:val="16"/>
              </w:rPr>
            </w:pPr>
            <w:r w:rsidRPr="009E0964">
              <w:rPr>
                <w:rFonts w:ascii="Arial" w:hAnsi="Arial"/>
                <w:bCs/>
                <w:sz w:val="16"/>
              </w:rPr>
              <w:t>Introduction of NR sidelink evolution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D300E0E" w14:textId="77777777" w:rsidR="009E0964" w:rsidRDefault="009E0964" w:rsidP="00BE6E85">
            <w:pPr>
              <w:pStyle w:val="TAL"/>
              <w:rPr>
                <w:sz w:val="16"/>
                <w:szCs w:val="16"/>
                <w:lang w:eastAsia="zh-CN"/>
              </w:rPr>
            </w:pPr>
            <w:r>
              <w:rPr>
                <w:sz w:val="16"/>
                <w:szCs w:val="16"/>
                <w:lang w:eastAsia="zh-CN"/>
              </w:rPr>
              <w:t>18.0.0</w:t>
            </w:r>
          </w:p>
        </w:tc>
      </w:tr>
      <w:tr w:rsidR="00377128" w:rsidRPr="00B916EC" w14:paraId="2D079E57"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346EBBEB" w14:textId="77777777" w:rsidR="00377128" w:rsidRPr="00B916EC" w:rsidRDefault="00377128" w:rsidP="00BE6E85">
            <w:pPr>
              <w:spacing w:after="0"/>
              <w:jc w:val="center"/>
              <w:rPr>
                <w:rFonts w:ascii="Arial" w:hAnsi="Arial"/>
                <w:snapToGrid w:val="0"/>
                <w:sz w:val="16"/>
                <w:szCs w:val="16"/>
              </w:rPr>
            </w:pPr>
            <w:r>
              <w:rPr>
                <w:rFonts w:ascii="Arial" w:hAnsi="Arial"/>
                <w:snapToGrid w:val="0"/>
                <w:sz w:val="16"/>
                <w:szCs w:val="16"/>
              </w:rPr>
              <w:t>2023-09</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172BF7D2" w14:textId="77777777" w:rsidR="00377128" w:rsidRPr="00B916EC" w:rsidRDefault="00377128" w:rsidP="00BE6E85">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0CCEF7C7" w14:textId="46D85DD1" w:rsidR="00377128" w:rsidRPr="002B6B38" w:rsidRDefault="00377128" w:rsidP="00BE6E85">
            <w:pPr>
              <w:pStyle w:val="TAL"/>
              <w:rPr>
                <w:sz w:val="16"/>
                <w:szCs w:val="16"/>
                <w:lang w:eastAsia="zh-CN"/>
              </w:rPr>
            </w:pPr>
            <w:r>
              <w:rPr>
                <w:sz w:val="16"/>
                <w:szCs w:val="16"/>
                <w:lang w:eastAsia="zh-CN"/>
              </w:rPr>
              <w:t>RP-232483</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7B044184" w14:textId="1EE4580F" w:rsidR="00377128" w:rsidRDefault="00377128" w:rsidP="00BE6E85">
            <w:pPr>
              <w:pStyle w:val="TAL"/>
              <w:rPr>
                <w:sz w:val="16"/>
                <w:szCs w:val="16"/>
              </w:rPr>
            </w:pPr>
            <w:r>
              <w:rPr>
                <w:sz w:val="16"/>
                <w:szCs w:val="16"/>
              </w:rPr>
              <w:t>0510</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6D5255F1" w14:textId="77777777" w:rsidR="00377128" w:rsidRDefault="00377128" w:rsidP="00BE6E85">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0AB7FB76" w14:textId="77777777" w:rsidR="00377128" w:rsidRDefault="00377128" w:rsidP="00BE6E85">
            <w:pPr>
              <w:pStyle w:val="TAL"/>
              <w:rPr>
                <w:sz w:val="16"/>
              </w:rPr>
            </w:pPr>
            <w:r>
              <w:rPr>
                <w:sz w:val="16"/>
              </w:rPr>
              <w:t>B</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4F36898D" w14:textId="5129E76A" w:rsidR="00377128" w:rsidRPr="004660AA" w:rsidRDefault="00377128" w:rsidP="00BE6E85">
            <w:pPr>
              <w:rPr>
                <w:rFonts w:ascii="Arial" w:hAnsi="Arial"/>
                <w:bCs/>
                <w:sz w:val="16"/>
              </w:rPr>
            </w:pPr>
            <w:r w:rsidRPr="00377128">
              <w:rPr>
                <w:rFonts w:ascii="Arial" w:hAnsi="Arial"/>
                <w:bCs/>
                <w:sz w:val="16"/>
              </w:rPr>
              <w:t>Introduction of BWP operation without restriction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A47BC16" w14:textId="77777777" w:rsidR="00377128" w:rsidRDefault="00377128" w:rsidP="00BE6E85">
            <w:pPr>
              <w:pStyle w:val="TAL"/>
              <w:rPr>
                <w:sz w:val="16"/>
                <w:szCs w:val="16"/>
                <w:lang w:eastAsia="zh-CN"/>
              </w:rPr>
            </w:pPr>
            <w:r>
              <w:rPr>
                <w:sz w:val="16"/>
                <w:szCs w:val="16"/>
                <w:lang w:eastAsia="zh-CN"/>
              </w:rPr>
              <w:t>18.0.0</w:t>
            </w:r>
          </w:p>
        </w:tc>
      </w:tr>
      <w:tr w:rsidR="00376B88" w:rsidRPr="00B916EC" w14:paraId="467F6EE2"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2B8A783A" w14:textId="77777777" w:rsidR="00376B88" w:rsidRPr="00B916EC" w:rsidRDefault="00376B88" w:rsidP="00BE6E85">
            <w:pPr>
              <w:spacing w:after="0"/>
              <w:jc w:val="center"/>
              <w:rPr>
                <w:rFonts w:ascii="Arial" w:hAnsi="Arial"/>
                <w:snapToGrid w:val="0"/>
                <w:sz w:val="16"/>
                <w:szCs w:val="16"/>
              </w:rPr>
            </w:pPr>
            <w:r>
              <w:rPr>
                <w:rFonts w:ascii="Arial" w:hAnsi="Arial"/>
                <w:snapToGrid w:val="0"/>
                <w:sz w:val="16"/>
                <w:szCs w:val="16"/>
              </w:rPr>
              <w:t>2023-09</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7A3313D8" w14:textId="77777777" w:rsidR="00376B88" w:rsidRPr="00B916EC" w:rsidRDefault="00376B88" w:rsidP="00BE6E85">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148D5050" w14:textId="5BA46734" w:rsidR="00376B88" w:rsidRPr="002B6B38" w:rsidRDefault="00376B88" w:rsidP="00BE6E85">
            <w:pPr>
              <w:pStyle w:val="TAL"/>
              <w:rPr>
                <w:sz w:val="16"/>
                <w:szCs w:val="16"/>
                <w:lang w:eastAsia="zh-CN"/>
              </w:rPr>
            </w:pPr>
            <w:r>
              <w:rPr>
                <w:sz w:val="16"/>
                <w:szCs w:val="16"/>
                <w:lang w:eastAsia="zh-CN"/>
              </w:rPr>
              <w:t>RP-232472</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0C4ED6DF" w14:textId="025F6D6A" w:rsidR="00376B88" w:rsidRDefault="00376B88" w:rsidP="00BE6E85">
            <w:pPr>
              <w:pStyle w:val="TAL"/>
              <w:rPr>
                <w:sz w:val="16"/>
                <w:szCs w:val="16"/>
              </w:rPr>
            </w:pPr>
            <w:r>
              <w:rPr>
                <w:sz w:val="16"/>
                <w:szCs w:val="16"/>
              </w:rPr>
              <w:t>0513</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4795D944" w14:textId="77777777" w:rsidR="00376B88" w:rsidRDefault="00376B88" w:rsidP="00BE6E85">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5ABCDEA4" w14:textId="77777777" w:rsidR="00376B88" w:rsidRDefault="00376B88" w:rsidP="00BE6E85">
            <w:pPr>
              <w:pStyle w:val="TAL"/>
              <w:rPr>
                <w:sz w:val="16"/>
              </w:rPr>
            </w:pPr>
            <w:r>
              <w:rPr>
                <w:sz w:val="16"/>
              </w:rPr>
              <w:t>B</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1AB62AB9" w14:textId="6977BE1B" w:rsidR="00376B88" w:rsidRPr="004660AA" w:rsidRDefault="00376B88" w:rsidP="00BE6E85">
            <w:pPr>
              <w:rPr>
                <w:rFonts w:ascii="Arial" w:hAnsi="Arial"/>
                <w:bCs/>
                <w:sz w:val="16"/>
              </w:rPr>
            </w:pPr>
            <w:r w:rsidRPr="00376B88">
              <w:rPr>
                <w:rFonts w:ascii="Arial" w:hAnsi="Arial"/>
                <w:bCs/>
                <w:sz w:val="16"/>
              </w:rPr>
              <w:t>Introduction of further NR coverage enhancements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991B952" w14:textId="77777777" w:rsidR="00376B88" w:rsidRDefault="00376B88" w:rsidP="00BE6E85">
            <w:pPr>
              <w:pStyle w:val="TAL"/>
              <w:rPr>
                <w:sz w:val="16"/>
                <w:szCs w:val="16"/>
                <w:lang w:eastAsia="zh-CN"/>
              </w:rPr>
            </w:pPr>
            <w:r>
              <w:rPr>
                <w:sz w:val="16"/>
                <w:szCs w:val="16"/>
                <w:lang w:eastAsia="zh-CN"/>
              </w:rPr>
              <w:t>18.0.0</w:t>
            </w:r>
          </w:p>
        </w:tc>
      </w:tr>
      <w:tr w:rsidR="00697EFD" w:rsidRPr="00B916EC" w14:paraId="03E79E32"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35A7BA84" w14:textId="77777777" w:rsidR="00697EFD" w:rsidRPr="00B916EC" w:rsidRDefault="00697EFD" w:rsidP="00BE6E85">
            <w:pPr>
              <w:spacing w:after="0"/>
              <w:jc w:val="center"/>
              <w:rPr>
                <w:rFonts w:ascii="Arial" w:hAnsi="Arial"/>
                <w:snapToGrid w:val="0"/>
                <w:sz w:val="16"/>
                <w:szCs w:val="16"/>
              </w:rPr>
            </w:pPr>
            <w:r>
              <w:rPr>
                <w:rFonts w:ascii="Arial" w:hAnsi="Arial"/>
                <w:snapToGrid w:val="0"/>
                <w:sz w:val="16"/>
                <w:szCs w:val="16"/>
              </w:rPr>
              <w:t>2023-09</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7EAB2DB8" w14:textId="77777777" w:rsidR="00697EFD" w:rsidRPr="00B916EC" w:rsidRDefault="00697EFD" w:rsidP="00BE6E85">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0805EEE6" w14:textId="1218159C" w:rsidR="00697EFD" w:rsidRPr="002B6B38" w:rsidRDefault="00697EFD" w:rsidP="00BE6E85">
            <w:pPr>
              <w:pStyle w:val="TAL"/>
              <w:rPr>
                <w:sz w:val="16"/>
                <w:szCs w:val="16"/>
                <w:lang w:eastAsia="zh-CN"/>
              </w:rPr>
            </w:pPr>
            <w:r>
              <w:rPr>
                <w:sz w:val="16"/>
                <w:szCs w:val="16"/>
                <w:lang w:eastAsia="zh-CN"/>
              </w:rPr>
              <w:t>RP-232481</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66AA9531" w14:textId="3CB0F7E2" w:rsidR="00697EFD" w:rsidRDefault="00697EFD" w:rsidP="00BE6E85">
            <w:pPr>
              <w:pStyle w:val="TAL"/>
              <w:rPr>
                <w:sz w:val="16"/>
                <w:szCs w:val="16"/>
              </w:rPr>
            </w:pPr>
            <w:r>
              <w:rPr>
                <w:sz w:val="16"/>
                <w:szCs w:val="16"/>
              </w:rPr>
              <w:t>0514</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392A5603" w14:textId="77777777" w:rsidR="00697EFD" w:rsidRDefault="00697EFD" w:rsidP="00BE6E85">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2832896F" w14:textId="77777777" w:rsidR="00697EFD" w:rsidRDefault="00697EFD" w:rsidP="00BE6E85">
            <w:pPr>
              <w:pStyle w:val="TAL"/>
              <w:rPr>
                <w:sz w:val="16"/>
              </w:rPr>
            </w:pPr>
            <w:r>
              <w:rPr>
                <w:sz w:val="16"/>
              </w:rPr>
              <w:t>B</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35CF20B8" w14:textId="21B27794" w:rsidR="00697EFD" w:rsidRPr="004660AA" w:rsidRDefault="00697EFD" w:rsidP="00BE6E85">
            <w:pPr>
              <w:rPr>
                <w:rFonts w:ascii="Arial" w:hAnsi="Arial"/>
                <w:bCs/>
                <w:sz w:val="16"/>
              </w:rPr>
            </w:pPr>
            <w:r w:rsidRPr="00697EFD">
              <w:rPr>
                <w:rFonts w:ascii="Arial" w:hAnsi="Arial"/>
                <w:bCs/>
                <w:sz w:val="16"/>
              </w:rPr>
              <w:t>Introduction of network energy savings for NR</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62711ED" w14:textId="77777777" w:rsidR="00697EFD" w:rsidRDefault="00697EFD" w:rsidP="00BE6E85">
            <w:pPr>
              <w:pStyle w:val="TAL"/>
              <w:rPr>
                <w:sz w:val="16"/>
                <w:szCs w:val="16"/>
                <w:lang w:eastAsia="zh-CN"/>
              </w:rPr>
            </w:pPr>
            <w:r>
              <w:rPr>
                <w:sz w:val="16"/>
                <w:szCs w:val="16"/>
                <w:lang w:eastAsia="zh-CN"/>
              </w:rPr>
              <w:t>18.0.0</w:t>
            </w:r>
          </w:p>
        </w:tc>
      </w:tr>
      <w:tr w:rsidR="005366F8" w:rsidRPr="00B916EC" w14:paraId="079079D4"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70B5097F" w14:textId="77777777" w:rsidR="005366F8" w:rsidRPr="00B916EC" w:rsidRDefault="005366F8" w:rsidP="00BE6E85">
            <w:pPr>
              <w:spacing w:after="0"/>
              <w:jc w:val="center"/>
              <w:rPr>
                <w:rFonts w:ascii="Arial" w:hAnsi="Arial"/>
                <w:snapToGrid w:val="0"/>
                <w:sz w:val="16"/>
                <w:szCs w:val="16"/>
              </w:rPr>
            </w:pPr>
            <w:r>
              <w:rPr>
                <w:rFonts w:ascii="Arial" w:hAnsi="Arial"/>
                <w:snapToGrid w:val="0"/>
                <w:sz w:val="16"/>
                <w:szCs w:val="16"/>
              </w:rPr>
              <w:t>2023-09</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6C3A3117" w14:textId="77777777" w:rsidR="005366F8" w:rsidRPr="00B916EC" w:rsidRDefault="005366F8" w:rsidP="00BE6E85">
            <w:pPr>
              <w:pStyle w:val="TAL"/>
              <w:rPr>
                <w:sz w:val="16"/>
                <w:szCs w:val="16"/>
                <w:lang w:eastAsia="zh-CN"/>
              </w:rPr>
            </w:pPr>
            <w:r w:rsidRPr="00B916EC">
              <w:rPr>
                <w:sz w:val="16"/>
                <w:szCs w:val="16"/>
                <w:lang w:eastAsia="zh-CN"/>
              </w:rPr>
              <w:t>RAN#</w:t>
            </w:r>
            <w:r>
              <w:rPr>
                <w:sz w:val="16"/>
                <w:szCs w:val="16"/>
                <w:lang w:eastAsia="zh-CN"/>
              </w:rPr>
              <w:t>101</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0F7A2530" w14:textId="479DC6F4" w:rsidR="005366F8" w:rsidRPr="002B6B38" w:rsidRDefault="005366F8" w:rsidP="00BE6E85">
            <w:pPr>
              <w:pStyle w:val="TAL"/>
              <w:rPr>
                <w:sz w:val="16"/>
                <w:szCs w:val="16"/>
                <w:lang w:eastAsia="zh-CN"/>
              </w:rPr>
            </w:pPr>
            <w:r>
              <w:rPr>
                <w:sz w:val="16"/>
                <w:szCs w:val="16"/>
                <w:lang w:eastAsia="zh-CN"/>
              </w:rPr>
              <w:t>RP-232482</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5BF15038" w14:textId="4E05FA99" w:rsidR="005366F8" w:rsidRDefault="005366F8" w:rsidP="00BE6E85">
            <w:pPr>
              <w:pStyle w:val="TAL"/>
              <w:rPr>
                <w:sz w:val="16"/>
                <w:szCs w:val="16"/>
              </w:rPr>
            </w:pPr>
            <w:r>
              <w:rPr>
                <w:sz w:val="16"/>
                <w:szCs w:val="16"/>
              </w:rPr>
              <w:t>0515</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539F4D82" w14:textId="77777777" w:rsidR="005366F8" w:rsidRDefault="005366F8" w:rsidP="00BE6E85">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216D53EA" w14:textId="77777777" w:rsidR="005366F8" w:rsidRDefault="005366F8" w:rsidP="00BE6E85">
            <w:pPr>
              <w:pStyle w:val="TAL"/>
              <w:rPr>
                <w:sz w:val="16"/>
              </w:rPr>
            </w:pPr>
            <w:r>
              <w:rPr>
                <w:sz w:val="16"/>
              </w:rPr>
              <w:t>B</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7A38E9C2" w14:textId="42DE74DA" w:rsidR="005366F8" w:rsidRPr="004660AA" w:rsidRDefault="005366F8" w:rsidP="00BE6E85">
            <w:pPr>
              <w:rPr>
                <w:rFonts w:ascii="Arial" w:hAnsi="Arial"/>
                <w:bCs/>
                <w:sz w:val="16"/>
              </w:rPr>
            </w:pPr>
            <w:r w:rsidRPr="005366F8">
              <w:rPr>
                <w:rFonts w:ascii="Arial" w:hAnsi="Arial"/>
                <w:bCs/>
                <w:sz w:val="16"/>
              </w:rPr>
              <w:t>Introduction of XR Enhancements for NR</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46CA8B1" w14:textId="77777777" w:rsidR="005366F8" w:rsidRDefault="005366F8" w:rsidP="00BE6E85">
            <w:pPr>
              <w:pStyle w:val="TAL"/>
              <w:rPr>
                <w:sz w:val="16"/>
                <w:szCs w:val="16"/>
                <w:lang w:eastAsia="zh-CN"/>
              </w:rPr>
            </w:pPr>
            <w:r>
              <w:rPr>
                <w:sz w:val="16"/>
                <w:szCs w:val="16"/>
                <w:lang w:eastAsia="zh-CN"/>
              </w:rPr>
              <w:t>18.0.0</w:t>
            </w:r>
          </w:p>
        </w:tc>
      </w:tr>
      <w:tr w:rsidR="00665009" w:rsidRPr="00B916EC" w14:paraId="123A5CCB"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66C420A3" w14:textId="0608C39C" w:rsidR="00665009" w:rsidRPr="00B916EC" w:rsidRDefault="00665009"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0D24F478" w14:textId="365EE305" w:rsidR="00665009" w:rsidRPr="00B916EC" w:rsidRDefault="00665009"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5DC35E9B" w14:textId="5775A69F" w:rsidR="00665009" w:rsidRPr="002B6B38" w:rsidRDefault="00665009" w:rsidP="00F37B17">
            <w:pPr>
              <w:pStyle w:val="TAL"/>
              <w:rPr>
                <w:sz w:val="16"/>
                <w:szCs w:val="16"/>
                <w:lang w:eastAsia="zh-CN"/>
              </w:rPr>
            </w:pPr>
            <w:r>
              <w:rPr>
                <w:sz w:val="16"/>
                <w:szCs w:val="16"/>
                <w:lang w:eastAsia="zh-CN"/>
              </w:rPr>
              <w:t>RP-233698</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2B11574C" w14:textId="7C335D3A" w:rsidR="00665009" w:rsidRDefault="00665009" w:rsidP="00F37B17">
            <w:pPr>
              <w:pStyle w:val="TAL"/>
              <w:rPr>
                <w:sz w:val="16"/>
                <w:szCs w:val="16"/>
              </w:rPr>
            </w:pPr>
            <w:r>
              <w:rPr>
                <w:sz w:val="16"/>
                <w:szCs w:val="16"/>
              </w:rPr>
              <w:t>0518</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534EC32B" w14:textId="77777777" w:rsidR="00665009" w:rsidRDefault="00665009" w:rsidP="00F37B17">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0FA22A2E" w14:textId="3CA4F2A5" w:rsidR="00665009" w:rsidRDefault="00665009" w:rsidP="00F37B17">
            <w:pPr>
              <w:pStyle w:val="TAL"/>
              <w:rPr>
                <w:sz w:val="16"/>
              </w:rPr>
            </w:pPr>
            <w:r>
              <w:rPr>
                <w:sz w:val="16"/>
              </w:rPr>
              <w:t>A</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5B38ED38" w14:textId="7A8FBB8E" w:rsidR="00665009" w:rsidRPr="004660AA" w:rsidRDefault="00665009" w:rsidP="00F37B17">
            <w:pPr>
              <w:rPr>
                <w:rFonts w:ascii="Arial" w:hAnsi="Arial"/>
                <w:bCs/>
                <w:sz w:val="16"/>
              </w:rPr>
            </w:pPr>
            <w:r w:rsidRPr="00665009">
              <w:rPr>
                <w:rFonts w:ascii="Arial" w:hAnsi="Arial"/>
                <w:bCs/>
                <w:sz w:val="16"/>
              </w:rPr>
              <w:t>Correction on minimum time gap for DCI format 2_6</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1F15443" w14:textId="6F42F674" w:rsidR="00665009" w:rsidRDefault="00665009" w:rsidP="00F37B17">
            <w:pPr>
              <w:pStyle w:val="TAL"/>
              <w:rPr>
                <w:sz w:val="16"/>
                <w:szCs w:val="16"/>
                <w:lang w:eastAsia="zh-CN"/>
              </w:rPr>
            </w:pPr>
            <w:r>
              <w:rPr>
                <w:sz w:val="16"/>
                <w:szCs w:val="16"/>
                <w:lang w:eastAsia="zh-CN"/>
              </w:rPr>
              <w:t>18.1.0</w:t>
            </w:r>
          </w:p>
        </w:tc>
      </w:tr>
      <w:tr w:rsidR="00665009" w:rsidRPr="00B916EC" w14:paraId="7F52C128"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2E0B0333" w14:textId="77777777" w:rsidR="00665009" w:rsidRPr="00B916EC" w:rsidRDefault="00665009"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77868BD9" w14:textId="77777777" w:rsidR="00665009" w:rsidRPr="00B916EC" w:rsidRDefault="00665009"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7FAFF93E" w14:textId="51EF19BB" w:rsidR="00665009" w:rsidRPr="002B6B38" w:rsidRDefault="00665009" w:rsidP="00F37B17">
            <w:pPr>
              <w:pStyle w:val="TAL"/>
              <w:rPr>
                <w:sz w:val="16"/>
                <w:szCs w:val="16"/>
                <w:lang w:eastAsia="zh-CN"/>
              </w:rPr>
            </w:pPr>
            <w:r>
              <w:rPr>
                <w:sz w:val="16"/>
                <w:szCs w:val="16"/>
                <w:lang w:eastAsia="zh-CN"/>
              </w:rPr>
              <w:t>RP-233702</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1CF9B1A4" w14:textId="7E155437" w:rsidR="00665009" w:rsidRDefault="00665009" w:rsidP="00F37B17">
            <w:pPr>
              <w:pStyle w:val="TAL"/>
              <w:rPr>
                <w:sz w:val="16"/>
                <w:szCs w:val="16"/>
              </w:rPr>
            </w:pPr>
            <w:r>
              <w:rPr>
                <w:sz w:val="16"/>
                <w:szCs w:val="16"/>
              </w:rPr>
              <w:t>0520</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3220ACA2" w14:textId="77777777" w:rsidR="00665009" w:rsidRDefault="00665009" w:rsidP="00F37B17">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2A8B8457" w14:textId="77777777" w:rsidR="00665009" w:rsidRDefault="00665009" w:rsidP="00F37B17">
            <w:pPr>
              <w:pStyle w:val="TAL"/>
              <w:rPr>
                <w:sz w:val="16"/>
              </w:rPr>
            </w:pPr>
            <w:r>
              <w:rPr>
                <w:sz w:val="16"/>
              </w:rPr>
              <w:t>A</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4560CE01" w14:textId="16CEF1DB" w:rsidR="00665009" w:rsidRPr="004660AA" w:rsidRDefault="00665009" w:rsidP="00F37B17">
            <w:pPr>
              <w:rPr>
                <w:rFonts w:ascii="Arial" w:hAnsi="Arial"/>
                <w:bCs/>
                <w:sz w:val="16"/>
              </w:rPr>
            </w:pPr>
            <w:r w:rsidRPr="00665009">
              <w:rPr>
                <w:rFonts w:ascii="Arial" w:hAnsi="Arial"/>
                <w:bCs/>
                <w:sz w:val="16"/>
              </w:rPr>
              <w:t>Correction on Type1A search space for SDT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DCBD262" w14:textId="77777777" w:rsidR="00665009" w:rsidRDefault="00665009" w:rsidP="00F37B17">
            <w:pPr>
              <w:pStyle w:val="TAL"/>
              <w:rPr>
                <w:sz w:val="16"/>
                <w:szCs w:val="16"/>
                <w:lang w:eastAsia="zh-CN"/>
              </w:rPr>
            </w:pPr>
            <w:r>
              <w:rPr>
                <w:sz w:val="16"/>
                <w:szCs w:val="16"/>
                <w:lang w:eastAsia="zh-CN"/>
              </w:rPr>
              <w:t>18.1.0</w:t>
            </w:r>
          </w:p>
        </w:tc>
      </w:tr>
      <w:tr w:rsidR="00DD134C" w:rsidRPr="00B916EC" w14:paraId="6DAEB848"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51FDBE72" w14:textId="77777777" w:rsidR="00DD134C" w:rsidRPr="00B916EC" w:rsidRDefault="00DD134C"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0E800F08" w14:textId="77777777" w:rsidR="00DD134C" w:rsidRPr="00B916EC" w:rsidRDefault="00DD134C"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61CD63CC" w14:textId="77777777" w:rsidR="00DD134C" w:rsidRPr="002B6B38" w:rsidRDefault="00DD134C" w:rsidP="00F37B17">
            <w:pPr>
              <w:pStyle w:val="TAL"/>
              <w:rPr>
                <w:sz w:val="16"/>
                <w:szCs w:val="16"/>
                <w:lang w:eastAsia="zh-CN"/>
              </w:rPr>
            </w:pPr>
            <w:r>
              <w:rPr>
                <w:sz w:val="16"/>
                <w:szCs w:val="16"/>
                <w:lang w:eastAsia="zh-CN"/>
              </w:rPr>
              <w:t>RP-233698</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1F7A644D" w14:textId="0409C3C9" w:rsidR="00DD134C" w:rsidRDefault="00DD134C" w:rsidP="00F37B17">
            <w:pPr>
              <w:pStyle w:val="TAL"/>
              <w:rPr>
                <w:sz w:val="16"/>
                <w:szCs w:val="16"/>
              </w:rPr>
            </w:pPr>
            <w:r>
              <w:rPr>
                <w:sz w:val="16"/>
                <w:szCs w:val="16"/>
              </w:rPr>
              <w:t>0522</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3566939F" w14:textId="75AD2773" w:rsidR="00DD134C" w:rsidRDefault="00DD134C" w:rsidP="00F37B17">
            <w:pPr>
              <w:pStyle w:val="TAL"/>
              <w:jc w:val="center"/>
              <w:rPr>
                <w:sz w:val="16"/>
                <w:szCs w:val="16"/>
              </w:rPr>
            </w:pPr>
            <w:r>
              <w:rPr>
                <w:sz w:val="16"/>
                <w:szCs w:val="16"/>
              </w:rPr>
              <w:t>1</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3B3A16B3" w14:textId="77777777" w:rsidR="00DD134C" w:rsidRDefault="00DD134C" w:rsidP="00F37B17">
            <w:pPr>
              <w:pStyle w:val="TAL"/>
              <w:rPr>
                <w:sz w:val="16"/>
              </w:rPr>
            </w:pPr>
            <w:r>
              <w:rPr>
                <w:sz w:val="16"/>
              </w:rPr>
              <w:t>A</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3E85A5FF" w14:textId="505E63C4" w:rsidR="00DD134C" w:rsidRPr="004660AA" w:rsidRDefault="00DD134C" w:rsidP="00F37B17">
            <w:pPr>
              <w:rPr>
                <w:rFonts w:ascii="Arial" w:hAnsi="Arial"/>
                <w:bCs/>
                <w:sz w:val="16"/>
              </w:rPr>
            </w:pPr>
            <w:r w:rsidRPr="00DD134C">
              <w:rPr>
                <w:rFonts w:ascii="Arial" w:hAnsi="Arial"/>
                <w:bCs/>
                <w:sz w:val="16"/>
              </w:rPr>
              <w:t>Correction on Type-2 HARQ-ACK codebook for multi-slot scheduling</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83E00BA" w14:textId="77777777" w:rsidR="00DD134C" w:rsidRDefault="00DD134C" w:rsidP="00F37B17">
            <w:pPr>
              <w:pStyle w:val="TAL"/>
              <w:rPr>
                <w:sz w:val="16"/>
                <w:szCs w:val="16"/>
                <w:lang w:eastAsia="zh-CN"/>
              </w:rPr>
            </w:pPr>
            <w:r>
              <w:rPr>
                <w:sz w:val="16"/>
                <w:szCs w:val="16"/>
                <w:lang w:eastAsia="zh-CN"/>
              </w:rPr>
              <w:t>18.1.0</w:t>
            </w:r>
          </w:p>
        </w:tc>
      </w:tr>
      <w:tr w:rsidR="00DD134C" w:rsidRPr="00B916EC" w14:paraId="146B39C7"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4A9C1EA8" w14:textId="77777777" w:rsidR="00DD134C" w:rsidRPr="00B916EC" w:rsidRDefault="00DD134C"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6250F0D7" w14:textId="77777777" w:rsidR="00DD134C" w:rsidRPr="00B916EC" w:rsidRDefault="00DD134C"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563451D4" w14:textId="77777777" w:rsidR="00DD134C" w:rsidRPr="002B6B38" w:rsidRDefault="00DD134C" w:rsidP="00F37B17">
            <w:pPr>
              <w:pStyle w:val="TAL"/>
              <w:rPr>
                <w:sz w:val="16"/>
                <w:szCs w:val="16"/>
                <w:lang w:eastAsia="zh-CN"/>
              </w:rPr>
            </w:pPr>
            <w:r>
              <w:rPr>
                <w:sz w:val="16"/>
                <w:szCs w:val="16"/>
                <w:lang w:eastAsia="zh-CN"/>
              </w:rPr>
              <w:t>RP-233698</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3034172C" w14:textId="6B7ED921" w:rsidR="00DD134C" w:rsidRDefault="00DD134C" w:rsidP="00F37B17">
            <w:pPr>
              <w:pStyle w:val="TAL"/>
              <w:rPr>
                <w:sz w:val="16"/>
                <w:szCs w:val="16"/>
              </w:rPr>
            </w:pPr>
            <w:r>
              <w:rPr>
                <w:sz w:val="16"/>
                <w:szCs w:val="16"/>
              </w:rPr>
              <w:t>0524</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5969AEB3" w14:textId="1F615474" w:rsidR="00DD134C" w:rsidRDefault="00DD134C" w:rsidP="00F37B17">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46600050" w14:textId="77777777" w:rsidR="00DD134C" w:rsidRDefault="00DD134C" w:rsidP="00F37B17">
            <w:pPr>
              <w:pStyle w:val="TAL"/>
              <w:rPr>
                <w:sz w:val="16"/>
              </w:rPr>
            </w:pPr>
            <w:r>
              <w:rPr>
                <w:sz w:val="16"/>
              </w:rPr>
              <w:t>A</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6BF8DD7E" w14:textId="5B008854" w:rsidR="00DD134C" w:rsidRPr="004660AA" w:rsidRDefault="00DD134C" w:rsidP="00F37B17">
            <w:pPr>
              <w:rPr>
                <w:rFonts w:ascii="Arial" w:hAnsi="Arial"/>
                <w:bCs/>
                <w:sz w:val="16"/>
              </w:rPr>
            </w:pPr>
            <w:r w:rsidRPr="00DD134C">
              <w:rPr>
                <w:rFonts w:ascii="Arial" w:hAnsi="Arial"/>
                <w:bCs/>
                <w:sz w:val="16"/>
              </w:rPr>
              <w:t>Correction on PUCCH power determination for Type-2 HARQ-ACK codebook</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5562236" w14:textId="77777777" w:rsidR="00DD134C" w:rsidRDefault="00DD134C" w:rsidP="00F37B17">
            <w:pPr>
              <w:pStyle w:val="TAL"/>
              <w:rPr>
                <w:sz w:val="16"/>
                <w:szCs w:val="16"/>
                <w:lang w:eastAsia="zh-CN"/>
              </w:rPr>
            </w:pPr>
            <w:r>
              <w:rPr>
                <w:sz w:val="16"/>
                <w:szCs w:val="16"/>
                <w:lang w:eastAsia="zh-CN"/>
              </w:rPr>
              <w:t>18.1.0</w:t>
            </w:r>
          </w:p>
        </w:tc>
      </w:tr>
      <w:tr w:rsidR="009D5DFC" w:rsidRPr="00B916EC" w14:paraId="002B5B6A"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76BDB6B3" w14:textId="77777777" w:rsidR="009D5DFC" w:rsidRPr="00B916EC" w:rsidRDefault="009D5DFC"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6716DAE6" w14:textId="77777777" w:rsidR="009D5DFC" w:rsidRPr="00B916EC" w:rsidRDefault="009D5DFC"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72D89CB7" w14:textId="6DFE376C" w:rsidR="009D5DFC" w:rsidRPr="002B6B38" w:rsidRDefault="009D5DFC" w:rsidP="00F37B17">
            <w:pPr>
              <w:pStyle w:val="TAL"/>
              <w:rPr>
                <w:sz w:val="16"/>
                <w:szCs w:val="16"/>
                <w:lang w:eastAsia="zh-CN"/>
              </w:rPr>
            </w:pPr>
            <w:r>
              <w:rPr>
                <w:sz w:val="16"/>
                <w:szCs w:val="16"/>
                <w:lang w:eastAsia="zh-CN"/>
              </w:rPr>
              <w:t>RP-233701</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7B011FA6" w14:textId="27302C83" w:rsidR="009D5DFC" w:rsidRDefault="009D5DFC" w:rsidP="00F37B17">
            <w:pPr>
              <w:pStyle w:val="TAL"/>
              <w:rPr>
                <w:sz w:val="16"/>
                <w:szCs w:val="16"/>
              </w:rPr>
            </w:pPr>
            <w:r>
              <w:rPr>
                <w:sz w:val="16"/>
                <w:szCs w:val="16"/>
              </w:rPr>
              <w:t>0526</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75281737" w14:textId="77777777" w:rsidR="009D5DFC" w:rsidRDefault="009D5DFC" w:rsidP="00F37B17">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1E0F992F" w14:textId="77777777" w:rsidR="009D5DFC" w:rsidRDefault="009D5DFC" w:rsidP="00F37B17">
            <w:pPr>
              <w:pStyle w:val="TAL"/>
              <w:rPr>
                <w:sz w:val="16"/>
              </w:rPr>
            </w:pPr>
            <w:r>
              <w:rPr>
                <w:sz w:val="16"/>
              </w:rPr>
              <w:t>A</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577471D2" w14:textId="772D85FE" w:rsidR="009D5DFC" w:rsidRPr="004660AA" w:rsidRDefault="009D5DFC" w:rsidP="00F37B17">
            <w:pPr>
              <w:rPr>
                <w:rFonts w:ascii="Arial" w:hAnsi="Arial"/>
                <w:bCs/>
                <w:sz w:val="16"/>
              </w:rPr>
            </w:pPr>
            <w:r w:rsidRPr="009D5DFC">
              <w:rPr>
                <w:rFonts w:ascii="Arial" w:hAnsi="Arial"/>
                <w:bCs/>
                <w:sz w:val="16"/>
              </w:rPr>
              <w:t>CR on Type-2 HARQ-ACK codebook on PUSCH</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93F65A6" w14:textId="77777777" w:rsidR="009D5DFC" w:rsidRDefault="009D5DFC" w:rsidP="00F37B17">
            <w:pPr>
              <w:pStyle w:val="TAL"/>
              <w:rPr>
                <w:sz w:val="16"/>
                <w:szCs w:val="16"/>
                <w:lang w:eastAsia="zh-CN"/>
              </w:rPr>
            </w:pPr>
            <w:r>
              <w:rPr>
                <w:sz w:val="16"/>
                <w:szCs w:val="16"/>
                <w:lang w:eastAsia="zh-CN"/>
              </w:rPr>
              <w:t>18.1.0</w:t>
            </w:r>
          </w:p>
        </w:tc>
      </w:tr>
      <w:tr w:rsidR="009D5DFC" w:rsidRPr="00B916EC" w14:paraId="7EE48B36"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071E3280" w14:textId="77777777" w:rsidR="009D5DFC" w:rsidRPr="00B916EC" w:rsidRDefault="009D5DFC"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2C83FA25" w14:textId="77777777" w:rsidR="009D5DFC" w:rsidRPr="00B916EC" w:rsidRDefault="009D5DFC"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5E202645" w14:textId="77777777" w:rsidR="009D5DFC" w:rsidRPr="002B6B38" w:rsidRDefault="009D5DFC" w:rsidP="00F37B17">
            <w:pPr>
              <w:pStyle w:val="TAL"/>
              <w:rPr>
                <w:sz w:val="16"/>
                <w:szCs w:val="16"/>
                <w:lang w:eastAsia="zh-CN"/>
              </w:rPr>
            </w:pPr>
            <w:r>
              <w:rPr>
                <w:sz w:val="16"/>
                <w:szCs w:val="16"/>
                <w:lang w:eastAsia="zh-CN"/>
              </w:rPr>
              <w:t>RP-233701</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12691430" w14:textId="5F9316B4" w:rsidR="009D5DFC" w:rsidRDefault="009D5DFC" w:rsidP="00F37B17">
            <w:pPr>
              <w:pStyle w:val="TAL"/>
              <w:rPr>
                <w:sz w:val="16"/>
                <w:szCs w:val="16"/>
              </w:rPr>
            </w:pPr>
            <w:r>
              <w:rPr>
                <w:sz w:val="16"/>
                <w:szCs w:val="16"/>
              </w:rPr>
              <w:t>0528</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64383739" w14:textId="77777777" w:rsidR="009D5DFC" w:rsidRDefault="009D5DFC" w:rsidP="00F37B17">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5BAB71FA" w14:textId="77777777" w:rsidR="009D5DFC" w:rsidRDefault="009D5DFC" w:rsidP="00F37B17">
            <w:pPr>
              <w:pStyle w:val="TAL"/>
              <w:rPr>
                <w:sz w:val="16"/>
              </w:rPr>
            </w:pPr>
            <w:r>
              <w:rPr>
                <w:sz w:val="16"/>
              </w:rPr>
              <w:t>A</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5B406FB7" w14:textId="132A48AD" w:rsidR="009D5DFC" w:rsidRPr="004660AA" w:rsidRDefault="009D5DFC" w:rsidP="00F37B17">
            <w:pPr>
              <w:rPr>
                <w:rFonts w:ascii="Arial" w:hAnsi="Arial"/>
                <w:bCs/>
                <w:sz w:val="16"/>
              </w:rPr>
            </w:pPr>
            <w:r w:rsidRPr="009D5DFC">
              <w:rPr>
                <w:rFonts w:ascii="Arial" w:hAnsi="Arial"/>
                <w:bCs/>
                <w:sz w:val="16"/>
              </w:rPr>
              <w:t>CR on PUCCH resources for multicast HARQ-ACK</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20AAEE6" w14:textId="77777777" w:rsidR="009D5DFC" w:rsidRDefault="009D5DFC" w:rsidP="00F37B17">
            <w:pPr>
              <w:pStyle w:val="TAL"/>
              <w:rPr>
                <w:sz w:val="16"/>
                <w:szCs w:val="16"/>
                <w:lang w:eastAsia="zh-CN"/>
              </w:rPr>
            </w:pPr>
            <w:r>
              <w:rPr>
                <w:sz w:val="16"/>
                <w:szCs w:val="16"/>
                <w:lang w:eastAsia="zh-CN"/>
              </w:rPr>
              <w:t>18.1.0</w:t>
            </w:r>
          </w:p>
        </w:tc>
      </w:tr>
      <w:tr w:rsidR="00746E6C" w:rsidRPr="00B916EC" w14:paraId="15CEEF6A"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718A2D0A" w14:textId="77777777" w:rsidR="00746E6C" w:rsidRPr="00B916EC" w:rsidRDefault="00746E6C"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5CEEBA7D" w14:textId="77777777" w:rsidR="00746E6C" w:rsidRPr="00B916EC" w:rsidRDefault="00746E6C"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4D752FF1" w14:textId="5EAA6517" w:rsidR="00746E6C" w:rsidRPr="002B6B38" w:rsidRDefault="00746E6C" w:rsidP="00F37B17">
            <w:pPr>
              <w:pStyle w:val="TAL"/>
              <w:rPr>
                <w:sz w:val="16"/>
                <w:szCs w:val="16"/>
                <w:lang w:eastAsia="zh-CN"/>
              </w:rPr>
            </w:pPr>
            <w:r>
              <w:rPr>
                <w:sz w:val="16"/>
                <w:szCs w:val="16"/>
                <w:lang w:eastAsia="zh-CN"/>
              </w:rPr>
              <w:t>RP-233723</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23BD04EC" w14:textId="3DE0CF6B" w:rsidR="00746E6C" w:rsidRDefault="00746E6C" w:rsidP="00F37B17">
            <w:pPr>
              <w:pStyle w:val="TAL"/>
              <w:rPr>
                <w:sz w:val="16"/>
                <w:szCs w:val="16"/>
              </w:rPr>
            </w:pPr>
            <w:r>
              <w:rPr>
                <w:sz w:val="16"/>
                <w:szCs w:val="16"/>
              </w:rPr>
              <w:t>0531</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25729971" w14:textId="77777777" w:rsidR="00746E6C" w:rsidRDefault="00746E6C" w:rsidP="00F37B17">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3875575F" w14:textId="77777777" w:rsidR="00746E6C" w:rsidRDefault="00746E6C" w:rsidP="00F37B17">
            <w:pPr>
              <w:pStyle w:val="TAL"/>
              <w:rPr>
                <w:sz w:val="16"/>
              </w:rPr>
            </w:pPr>
            <w:r>
              <w:rPr>
                <w:sz w:val="16"/>
              </w:rPr>
              <w:t>A</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08A5B0C1" w14:textId="0784D6AB" w:rsidR="00746E6C" w:rsidRPr="004660AA" w:rsidRDefault="00746E6C" w:rsidP="00F37B17">
            <w:pPr>
              <w:rPr>
                <w:rFonts w:ascii="Arial" w:hAnsi="Arial"/>
                <w:bCs/>
                <w:sz w:val="16"/>
              </w:rPr>
            </w:pPr>
            <w:r w:rsidRPr="00746E6C">
              <w:rPr>
                <w:rFonts w:ascii="Arial" w:hAnsi="Arial"/>
                <w:bCs/>
                <w:sz w:val="16"/>
              </w:rPr>
              <w:t>CR on SL NACK report to gNB in mode 1 (Rel-18)</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77A9C67" w14:textId="77777777" w:rsidR="00746E6C" w:rsidRDefault="00746E6C" w:rsidP="00F37B17">
            <w:pPr>
              <w:pStyle w:val="TAL"/>
              <w:rPr>
                <w:sz w:val="16"/>
                <w:szCs w:val="16"/>
                <w:lang w:eastAsia="zh-CN"/>
              </w:rPr>
            </w:pPr>
            <w:r>
              <w:rPr>
                <w:sz w:val="16"/>
                <w:szCs w:val="16"/>
                <w:lang w:eastAsia="zh-CN"/>
              </w:rPr>
              <w:t>18.1.0</w:t>
            </w:r>
          </w:p>
        </w:tc>
      </w:tr>
      <w:tr w:rsidR="00746E6C" w:rsidRPr="00B916EC" w14:paraId="70202E3F"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4D59B04F" w14:textId="77777777" w:rsidR="00746E6C" w:rsidRPr="00B916EC" w:rsidRDefault="00746E6C"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04CDB586" w14:textId="77777777" w:rsidR="00746E6C" w:rsidRPr="00B916EC" w:rsidRDefault="00746E6C"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62B97B97" w14:textId="234A80A2" w:rsidR="00746E6C" w:rsidRPr="002B6B38" w:rsidRDefault="00746E6C" w:rsidP="00F37B17">
            <w:pPr>
              <w:pStyle w:val="TAL"/>
              <w:rPr>
                <w:sz w:val="16"/>
                <w:szCs w:val="16"/>
                <w:lang w:eastAsia="zh-CN"/>
              </w:rPr>
            </w:pPr>
            <w:r>
              <w:rPr>
                <w:sz w:val="16"/>
                <w:szCs w:val="16"/>
                <w:lang w:eastAsia="zh-CN"/>
              </w:rPr>
              <w:t>RP-233727</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00C74C9E" w14:textId="3B3728A9" w:rsidR="00746E6C" w:rsidRDefault="00746E6C" w:rsidP="00F37B17">
            <w:pPr>
              <w:pStyle w:val="TAL"/>
              <w:rPr>
                <w:sz w:val="16"/>
                <w:szCs w:val="16"/>
              </w:rPr>
            </w:pPr>
            <w:r>
              <w:rPr>
                <w:sz w:val="16"/>
                <w:szCs w:val="16"/>
              </w:rPr>
              <w:t>0533</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78D2E711" w14:textId="77777777" w:rsidR="00746E6C" w:rsidRDefault="00746E6C" w:rsidP="00F37B17">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4DF774AE" w14:textId="77777777" w:rsidR="00746E6C" w:rsidRDefault="00746E6C" w:rsidP="00F37B17">
            <w:pPr>
              <w:pStyle w:val="TAL"/>
              <w:rPr>
                <w:sz w:val="16"/>
              </w:rPr>
            </w:pPr>
            <w:r>
              <w:rPr>
                <w:sz w:val="16"/>
              </w:rPr>
              <w:t>A</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2944262E" w14:textId="0EBB8DF3" w:rsidR="00746E6C" w:rsidRPr="004660AA" w:rsidRDefault="00746E6C" w:rsidP="00F37B17">
            <w:pPr>
              <w:rPr>
                <w:rFonts w:ascii="Arial" w:hAnsi="Arial"/>
                <w:bCs/>
                <w:sz w:val="16"/>
              </w:rPr>
            </w:pPr>
            <w:r w:rsidRPr="00746E6C">
              <w:rPr>
                <w:rFonts w:ascii="Arial" w:hAnsi="Arial"/>
                <w:bCs/>
                <w:sz w:val="16"/>
              </w:rPr>
              <w:t>Correction on multiple DCIs per MO per CC for the Type-2 HARQ-ACK codebook</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6798CED" w14:textId="77777777" w:rsidR="00746E6C" w:rsidRDefault="00746E6C" w:rsidP="00F37B17">
            <w:pPr>
              <w:pStyle w:val="TAL"/>
              <w:rPr>
                <w:sz w:val="16"/>
                <w:szCs w:val="16"/>
                <w:lang w:eastAsia="zh-CN"/>
              </w:rPr>
            </w:pPr>
            <w:r>
              <w:rPr>
                <w:sz w:val="16"/>
                <w:szCs w:val="16"/>
                <w:lang w:eastAsia="zh-CN"/>
              </w:rPr>
              <w:t>18.1.0</w:t>
            </w:r>
          </w:p>
        </w:tc>
      </w:tr>
      <w:tr w:rsidR="002A0AA2" w:rsidRPr="00B916EC" w14:paraId="6CC70F25"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18911FE6" w14:textId="77777777" w:rsidR="002A0AA2" w:rsidRPr="00B916EC" w:rsidRDefault="002A0AA2"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12817F7E" w14:textId="77777777" w:rsidR="002A0AA2" w:rsidRPr="00B916EC" w:rsidRDefault="002A0AA2"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0D04BC73" w14:textId="77777777" w:rsidR="002A0AA2" w:rsidRPr="002B6B38" w:rsidRDefault="002A0AA2" w:rsidP="00F37B17">
            <w:pPr>
              <w:pStyle w:val="TAL"/>
              <w:rPr>
                <w:sz w:val="16"/>
                <w:szCs w:val="16"/>
                <w:lang w:eastAsia="zh-CN"/>
              </w:rPr>
            </w:pPr>
            <w:r>
              <w:rPr>
                <w:sz w:val="16"/>
                <w:szCs w:val="16"/>
                <w:lang w:eastAsia="zh-CN"/>
              </w:rPr>
              <w:t>RP-233727</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09BE39AF" w14:textId="10987EAA" w:rsidR="002A0AA2" w:rsidRDefault="002A0AA2" w:rsidP="00F37B17">
            <w:pPr>
              <w:pStyle w:val="TAL"/>
              <w:rPr>
                <w:sz w:val="16"/>
                <w:szCs w:val="16"/>
              </w:rPr>
            </w:pPr>
            <w:r>
              <w:rPr>
                <w:sz w:val="16"/>
                <w:szCs w:val="16"/>
              </w:rPr>
              <w:t>0535</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61B7A100" w14:textId="77777777" w:rsidR="002A0AA2" w:rsidRDefault="002A0AA2" w:rsidP="00F37B17">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5CA86034" w14:textId="77777777" w:rsidR="002A0AA2" w:rsidRDefault="002A0AA2" w:rsidP="00F37B17">
            <w:pPr>
              <w:pStyle w:val="TAL"/>
              <w:rPr>
                <w:sz w:val="16"/>
              </w:rPr>
            </w:pPr>
            <w:r>
              <w:rPr>
                <w:sz w:val="16"/>
              </w:rPr>
              <w:t>A</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427F979D" w14:textId="7199BA0E" w:rsidR="002A0AA2" w:rsidRPr="004660AA" w:rsidRDefault="002A0AA2" w:rsidP="00F37B17">
            <w:pPr>
              <w:rPr>
                <w:rFonts w:ascii="Arial" w:hAnsi="Arial"/>
                <w:bCs/>
                <w:sz w:val="16"/>
              </w:rPr>
            </w:pPr>
            <w:r w:rsidRPr="002A0AA2">
              <w:rPr>
                <w:rFonts w:ascii="Arial" w:hAnsi="Arial"/>
                <w:bCs/>
                <w:sz w:val="16"/>
              </w:rPr>
              <w:t>Path Loss reference RS for SCell UL PC when PL RS is not configured</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3E82B04" w14:textId="77777777" w:rsidR="002A0AA2" w:rsidRDefault="002A0AA2" w:rsidP="00F37B17">
            <w:pPr>
              <w:pStyle w:val="TAL"/>
              <w:rPr>
                <w:sz w:val="16"/>
                <w:szCs w:val="16"/>
                <w:lang w:eastAsia="zh-CN"/>
              </w:rPr>
            </w:pPr>
            <w:r>
              <w:rPr>
                <w:sz w:val="16"/>
                <w:szCs w:val="16"/>
                <w:lang w:eastAsia="zh-CN"/>
              </w:rPr>
              <w:t>18.1.0</w:t>
            </w:r>
          </w:p>
        </w:tc>
      </w:tr>
      <w:tr w:rsidR="002A0AA2" w:rsidRPr="00B916EC" w14:paraId="76FB04BB"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265D72F2" w14:textId="77777777" w:rsidR="002A0AA2" w:rsidRPr="00B916EC" w:rsidRDefault="002A0AA2"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6A0F66DB" w14:textId="77777777" w:rsidR="002A0AA2" w:rsidRPr="00B916EC" w:rsidRDefault="002A0AA2"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6BE9E18F" w14:textId="77777777" w:rsidR="002A0AA2" w:rsidRPr="002B6B38" w:rsidRDefault="002A0AA2" w:rsidP="00F37B17">
            <w:pPr>
              <w:pStyle w:val="TAL"/>
              <w:rPr>
                <w:sz w:val="16"/>
                <w:szCs w:val="16"/>
                <w:lang w:eastAsia="zh-CN"/>
              </w:rPr>
            </w:pPr>
            <w:r>
              <w:rPr>
                <w:sz w:val="16"/>
                <w:szCs w:val="16"/>
                <w:lang w:eastAsia="zh-CN"/>
              </w:rPr>
              <w:t>RP-233727</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067F0A69" w14:textId="1DE300E9" w:rsidR="002A0AA2" w:rsidRDefault="002A0AA2" w:rsidP="00F37B17">
            <w:pPr>
              <w:pStyle w:val="TAL"/>
              <w:rPr>
                <w:sz w:val="16"/>
                <w:szCs w:val="16"/>
              </w:rPr>
            </w:pPr>
            <w:r>
              <w:rPr>
                <w:sz w:val="16"/>
                <w:szCs w:val="16"/>
              </w:rPr>
              <w:t>0537</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52BF2181" w14:textId="77777777" w:rsidR="002A0AA2" w:rsidRDefault="002A0AA2" w:rsidP="00F37B17">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09753705" w14:textId="77777777" w:rsidR="002A0AA2" w:rsidRDefault="002A0AA2" w:rsidP="00F37B17">
            <w:pPr>
              <w:pStyle w:val="TAL"/>
              <w:rPr>
                <w:sz w:val="16"/>
              </w:rPr>
            </w:pPr>
            <w:r>
              <w:rPr>
                <w:sz w:val="16"/>
              </w:rPr>
              <w:t>A</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70CC7688" w14:textId="0419FE77" w:rsidR="002A0AA2" w:rsidRPr="004660AA" w:rsidRDefault="002A0AA2" w:rsidP="00F37B17">
            <w:pPr>
              <w:rPr>
                <w:rFonts w:ascii="Arial" w:hAnsi="Arial"/>
                <w:bCs/>
                <w:sz w:val="16"/>
              </w:rPr>
            </w:pPr>
            <w:r w:rsidRPr="002A0AA2">
              <w:rPr>
                <w:rFonts w:ascii="Arial" w:hAnsi="Arial"/>
                <w:bCs/>
                <w:sz w:val="16"/>
              </w:rPr>
              <w:t>Clarification of HARQ-ACK for MsgB PDSCH</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EEC36B1" w14:textId="77777777" w:rsidR="002A0AA2" w:rsidRDefault="002A0AA2" w:rsidP="00F37B17">
            <w:pPr>
              <w:pStyle w:val="TAL"/>
              <w:rPr>
                <w:sz w:val="16"/>
                <w:szCs w:val="16"/>
                <w:lang w:eastAsia="zh-CN"/>
              </w:rPr>
            </w:pPr>
            <w:r>
              <w:rPr>
                <w:sz w:val="16"/>
                <w:szCs w:val="16"/>
                <w:lang w:eastAsia="zh-CN"/>
              </w:rPr>
              <w:t>18.1.0</w:t>
            </w:r>
          </w:p>
        </w:tc>
      </w:tr>
      <w:tr w:rsidR="00787B4D" w:rsidRPr="00B916EC" w14:paraId="0EFF4699"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23E92509" w14:textId="77777777" w:rsidR="00787B4D" w:rsidRPr="00B916EC" w:rsidRDefault="00787B4D"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423E7DBF" w14:textId="77777777" w:rsidR="00787B4D" w:rsidRPr="00B916EC" w:rsidRDefault="00787B4D"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726ADA0E" w14:textId="1ED64532" w:rsidR="00787B4D" w:rsidRPr="002B6B38" w:rsidRDefault="00787B4D" w:rsidP="00F37B17">
            <w:pPr>
              <w:pStyle w:val="TAL"/>
              <w:rPr>
                <w:sz w:val="16"/>
                <w:szCs w:val="16"/>
                <w:lang w:eastAsia="zh-CN"/>
              </w:rPr>
            </w:pPr>
            <w:r>
              <w:rPr>
                <w:sz w:val="16"/>
                <w:szCs w:val="16"/>
                <w:lang w:eastAsia="zh-CN"/>
              </w:rPr>
              <w:t>RP-233699</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083C4AD8" w14:textId="7734B054" w:rsidR="00787B4D" w:rsidRDefault="00787B4D" w:rsidP="00F37B17">
            <w:pPr>
              <w:pStyle w:val="TAL"/>
              <w:rPr>
                <w:sz w:val="16"/>
                <w:szCs w:val="16"/>
              </w:rPr>
            </w:pPr>
            <w:r>
              <w:rPr>
                <w:sz w:val="16"/>
                <w:szCs w:val="16"/>
              </w:rPr>
              <w:t>0539</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0C0FE869" w14:textId="77777777" w:rsidR="00787B4D" w:rsidRDefault="00787B4D" w:rsidP="00F37B17">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5953B080" w14:textId="77777777" w:rsidR="00787B4D" w:rsidRDefault="00787B4D" w:rsidP="00F37B17">
            <w:pPr>
              <w:pStyle w:val="TAL"/>
              <w:rPr>
                <w:sz w:val="16"/>
              </w:rPr>
            </w:pPr>
            <w:r>
              <w:rPr>
                <w:sz w:val="16"/>
              </w:rPr>
              <w:t>A</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7AA70CB7" w14:textId="57F3C0FE" w:rsidR="00787B4D" w:rsidRPr="004660AA" w:rsidRDefault="00787B4D" w:rsidP="00F37B17">
            <w:pPr>
              <w:rPr>
                <w:rFonts w:ascii="Arial" w:hAnsi="Arial"/>
                <w:bCs/>
                <w:sz w:val="16"/>
              </w:rPr>
            </w:pPr>
            <w:r w:rsidRPr="00787B4D">
              <w:rPr>
                <w:rFonts w:ascii="Arial" w:hAnsi="Arial"/>
                <w:bCs/>
                <w:sz w:val="16"/>
              </w:rPr>
              <w:t>Correction on PUCCH power control parameter determination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59FD019" w14:textId="77777777" w:rsidR="00787B4D" w:rsidRDefault="00787B4D" w:rsidP="00F37B17">
            <w:pPr>
              <w:pStyle w:val="TAL"/>
              <w:rPr>
                <w:sz w:val="16"/>
                <w:szCs w:val="16"/>
                <w:lang w:eastAsia="zh-CN"/>
              </w:rPr>
            </w:pPr>
            <w:r>
              <w:rPr>
                <w:sz w:val="16"/>
                <w:szCs w:val="16"/>
                <w:lang w:eastAsia="zh-CN"/>
              </w:rPr>
              <w:t>18.1.0</w:t>
            </w:r>
          </w:p>
        </w:tc>
      </w:tr>
      <w:tr w:rsidR="00CF023D" w:rsidRPr="00B916EC" w14:paraId="3E75914C"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62121A7A" w14:textId="77777777" w:rsidR="00CF023D" w:rsidRPr="00B916EC" w:rsidRDefault="00CF023D"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6B8EA47E" w14:textId="77777777" w:rsidR="00CF023D" w:rsidRPr="00B916EC" w:rsidRDefault="00CF023D"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5A495E5F" w14:textId="2FB0C3CF" w:rsidR="00CF023D" w:rsidRPr="002B6B38" w:rsidRDefault="00CF023D" w:rsidP="00F37B17">
            <w:pPr>
              <w:pStyle w:val="TAL"/>
              <w:rPr>
                <w:sz w:val="16"/>
                <w:szCs w:val="16"/>
                <w:lang w:eastAsia="zh-CN"/>
              </w:rPr>
            </w:pPr>
            <w:r>
              <w:rPr>
                <w:sz w:val="16"/>
                <w:szCs w:val="16"/>
                <w:lang w:eastAsia="zh-CN"/>
              </w:rPr>
              <w:t>RP-233697</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4BB6523B" w14:textId="452C80EA" w:rsidR="00CF023D" w:rsidRDefault="00CF023D" w:rsidP="00F37B17">
            <w:pPr>
              <w:pStyle w:val="TAL"/>
              <w:rPr>
                <w:sz w:val="16"/>
                <w:szCs w:val="16"/>
              </w:rPr>
            </w:pPr>
            <w:r>
              <w:rPr>
                <w:sz w:val="16"/>
                <w:szCs w:val="16"/>
              </w:rPr>
              <w:t>0541</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2C7D749B" w14:textId="77777777" w:rsidR="00CF023D" w:rsidRDefault="00CF023D" w:rsidP="00F37B17">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63EF299C" w14:textId="77777777" w:rsidR="00CF023D" w:rsidRDefault="00CF023D" w:rsidP="00F37B17">
            <w:pPr>
              <w:pStyle w:val="TAL"/>
              <w:rPr>
                <w:sz w:val="16"/>
              </w:rPr>
            </w:pPr>
            <w:r>
              <w:rPr>
                <w:sz w:val="16"/>
              </w:rPr>
              <w:t>A</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691C3490" w14:textId="580709B4" w:rsidR="00CF023D" w:rsidRPr="004660AA" w:rsidRDefault="00CF023D" w:rsidP="00F37B17">
            <w:pPr>
              <w:rPr>
                <w:rFonts w:ascii="Arial" w:hAnsi="Arial"/>
                <w:bCs/>
                <w:sz w:val="16"/>
              </w:rPr>
            </w:pPr>
            <w:r w:rsidRPr="00CF023D">
              <w:rPr>
                <w:rFonts w:ascii="Arial" w:hAnsi="Arial"/>
                <w:bCs/>
                <w:sz w:val="16"/>
              </w:rPr>
              <w:t>Correction on HARQ feedback for TCI state update indication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A1971EB" w14:textId="77777777" w:rsidR="00CF023D" w:rsidRDefault="00CF023D" w:rsidP="00F37B17">
            <w:pPr>
              <w:pStyle w:val="TAL"/>
              <w:rPr>
                <w:sz w:val="16"/>
                <w:szCs w:val="16"/>
                <w:lang w:eastAsia="zh-CN"/>
              </w:rPr>
            </w:pPr>
            <w:r>
              <w:rPr>
                <w:sz w:val="16"/>
                <w:szCs w:val="16"/>
                <w:lang w:eastAsia="zh-CN"/>
              </w:rPr>
              <w:t>18.1.0</w:t>
            </w:r>
          </w:p>
        </w:tc>
      </w:tr>
      <w:tr w:rsidR="00CF023D" w:rsidRPr="00B916EC" w14:paraId="16C066CE"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5056F9EE" w14:textId="77777777" w:rsidR="00CF023D" w:rsidRPr="00B916EC" w:rsidRDefault="00CF023D"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33BEFF12" w14:textId="77777777" w:rsidR="00CF023D" w:rsidRPr="00B916EC" w:rsidRDefault="00CF023D"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414C26B0" w14:textId="65D363DE" w:rsidR="00CF023D" w:rsidRPr="002B6B38" w:rsidRDefault="00CF023D" w:rsidP="00F37B17">
            <w:pPr>
              <w:pStyle w:val="TAL"/>
              <w:rPr>
                <w:sz w:val="16"/>
                <w:szCs w:val="16"/>
                <w:lang w:eastAsia="zh-CN"/>
              </w:rPr>
            </w:pPr>
            <w:r>
              <w:rPr>
                <w:sz w:val="16"/>
                <w:szCs w:val="16"/>
                <w:lang w:eastAsia="zh-CN"/>
              </w:rPr>
              <w:t>RP-233734</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2174FCEA" w14:textId="4C8A95E7" w:rsidR="00CF023D" w:rsidRDefault="00CF023D" w:rsidP="00F37B17">
            <w:pPr>
              <w:pStyle w:val="TAL"/>
              <w:rPr>
                <w:sz w:val="16"/>
                <w:szCs w:val="16"/>
              </w:rPr>
            </w:pPr>
            <w:r>
              <w:rPr>
                <w:sz w:val="16"/>
                <w:szCs w:val="16"/>
              </w:rPr>
              <w:t>0543</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201761B8" w14:textId="77777777" w:rsidR="00CF023D" w:rsidRDefault="00CF023D" w:rsidP="00F37B17">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3C0C98F9" w14:textId="77777777" w:rsidR="00CF023D" w:rsidRDefault="00CF023D" w:rsidP="00F37B17">
            <w:pPr>
              <w:pStyle w:val="TAL"/>
              <w:rPr>
                <w:sz w:val="16"/>
              </w:rPr>
            </w:pPr>
            <w:r>
              <w:rPr>
                <w:sz w:val="16"/>
              </w:rPr>
              <w:t>A</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4A556D16" w14:textId="018F47B8" w:rsidR="00CF023D" w:rsidRPr="004660AA" w:rsidRDefault="00CF023D" w:rsidP="00F37B17">
            <w:pPr>
              <w:rPr>
                <w:rFonts w:ascii="Arial" w:hAnsi="Arial"/>
                <w:bCs/>
                <w:sz w:val="16"/>
              </w:rPr>
            </w:pPr>
            <w:r w:rsidRPr="00CF023D">
              <w:rPr>
                <w:rFonts w:ascii="Arial" w:hAnsi="Arial"/>
                <w:bCs/>
                <w:sz w:val="16"/>
              </w:rPr>
              <w:t>CR on transmission timing adjustments for Rel-17 NR-NTN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A46BCA8" w14:textId="77777777" w:rsidR="00CF023D" w:rsidRDefault="00CF023D" w:rsidP="00F37B17">
            <w:pPr>
              <w:pStyle w:val="TAL"/>
              <w:rPr>
                <w:sz w:val="16"/>
                <w:szCs w:val="16"/>
                <w:lang w:eastAsia="zh-CN"/>
              </w:rPr>
            </w:pPr>
            <w:r>
              <w:rPr>
                <w:sz w:val="16"/>
                <w:szCs w:val="16"/>
                <w:lang w:eastAsia="zh-CN"/>
              </w:rPr>
              <w:t>18.1.0</w:t>
            </w:r>
          </w:p>
        </w:tc>
      </w:tr>
      <w:tr w:rsidR="00E307E8" w:rsidRPr="00B916EC" w14:paraId="6D849B3E"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68B8F697" w14:textId="77777777" w:rsidR="00E307E8" w:rsidRPr="00B916EC" w:rsidRDefault="00E307E8"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1AD8EFDA" w14:textId="77777777" w:rsidR="00E307E8" w:rsidRPr="00B916EC" w:rsidRDefault="00E307E8"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0F762E61" w14:textId="749DEF7C" w:rsidR="00E307E8" w:rsidRPr="002B6B38" w:rsidRDefault="00E307E8" w:rsidP="00F37B17">
            <w:pPr>
              <w:pStyle w:val="TAL"/>
              <w:rPr>
                <w:sz w:val="16"/>
                <w:szCs w:val="16"/>
                <w:lang w:eastAsia="zh-CN"/>
              </w:rPr>
            </w:pPr>
            <w:r>
              <w:rPr>
                <w:sz w:val="16"/>
                <w:szCs w:val="16"/>
                <w:lang w:eastAsia="zh-CN"/>
              </w:rPr>
              <w:t>RP-233698</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43DDEAD9" w14:textId="6D12C00D" w:rsidR="00E307E8" w:rsidRDefault="00E307E8" w:rsidP="00F37B17">
            <w:pPr>
              <w:pStyle w:val="TAL"/>
              <w:rPr>
                <w:sz w:val="16"/>
                <w:szCs w:val="16"/>
              </w:rPr>
            </w:pPr>
            <w:r>
              <w:rPr>
                <w:sz w:val="16"/>
                <w:szCs w:val="16"/>
              </w:rPr>
              <w:t>0545</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338755BC" w14:textId="77777777" w:rsidR="00E307E8" w:rsidRDefault="00E307E8" w:rsidP="00F37B17">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69F0CB09" w14:textId="77777777" w:rsidR="00E307E8" w:rsidRDefault="00E307E8" w:rsidP="00F37B17">
            <w:pPr>
              <w:pStyle w:val="TAL"/>
              <w:rPr>
                <w:sz w:val="16"/>
              </w:rPr>
            </w:pPr>
            <w:r>
              <w:rPr>
                <w:sz w:val="16"/>
              </w:rPr>
              <w:t>A</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55AA0BE2" w14:textId="54A25316" w:rsidR="00E307E8" w:rsidRPr="004660AA" w:rsidRDefault="00E307E8" w:rsidP="00F37B17">
            <w:pPr>
              <w:rPr>
                <w:rFonts w:ascii="Arial" w:hAnsi="Arial"/>
                <w:bCs/>
                <w:sz w:val="16"/>
              </w:rPr>
            </w:pPr>
            <w:r w:rsidRPr="00E307E8">
              <w:rPr>
                <w:rFonts w:ascii="Arial" w:hAnsi="Arial"/>
                <w:bCs/>
                <w:sz w:val="16"/>
              </w:rPr>
              <w:t>Correction on CSI related timeline for 480/960 kHz</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796C15A" w14:textId="77777777" w:rsidR="00E307E8" w:rsidRDefault="00E307E8" w:rsidP="00F37B17">
            <w:pPr>
              <w:pStyle w:val="TAL"/>
              <w:rPr>
                <w:sz w:val="16"/>
                <w:szCs w:val="16"/>
                <w:lang w:eastAsia="zh-CN"/>
              </w:rPr>
            </w:pPr>
            <w:r>
              <w:rPr>
                <w:sz w:val="16"/>
                <w:szCs w:val="16"/>
                <w:lang w:eastAsia="zh-CN"/>
              </w:rPr>
              <w:t>18.1.0</w:t>
            </w:r>
          </w:p>
        </w:tc>
      </w:tr>
      <w:tr w:rsidR="004727FD" w:rsidRPr="00B916EC" w14:paraId="3147E6CE"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06D8DC3F" w14:textId="77777777" w:rsidR="004727FD" w:rsidRPr="00B916EC" w:rsidRDefault="004727FD"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48860DAA" w14:textId="77777777" w:rsidR="004727FD" w:rsidRPr="00B916EC" w:rsidRDefault="004727FD"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59C7161D" w14:textId="7B2E743D" w:rsidR="004727FD" w:rsidRPr="002B6B38" w:rsidRDefault="004727FD" w:rsidP="00F37B17">
            <w:pPr>
              <w:pStyle w:val="TAL"/>
              <w:rPr>
                <w:sz w:val="16"/>
                <w:szCs w:val="16"/>
                <w:lang w:eastAsia="zh-CN"/>
              </w:rPr>
            </w:pPr>
            <w:r>
              <w:rPr>
                <w:sz w:val="16"/>
                <w:szCs w:val="16"/>
                <w:lang w:eastAsia="zh-CN"/>
              </w:rPr>
              <w:t>RP-233730</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45A82AD4" w14:textId="48DC3F55" w:rsidR="004727FD" w:rsidRDefault="004727FD" w:rsidP="00F37B17">
            <w:pPr>
              <w:pStyle w:val="TAL"/>
              <w:rPr>
                <w:sz w:val="16"/>
                <w:szCs w:val="16"/>
              </w:rPr>
            </w:pPr>
            <w:r>
              <w:rPr>
                <w:sz w:val="16"/>
                <w:szCs w:val="16"/>
              </w:rPr>
              <w:t>0548</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5F7FEE1E" w14:textId="77777777" w:rsidR="004727FD" w:rsidRDefault="004727FD" w:rsidP="00F37B17">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49DECC57" w14:textId="77777777" w:rsidR="004727FD" w:rsidRDefault="004727FD" w:rsidP="00F37B17">
            <w:pPr>
              <w:pStyle w:val="TAL"/>
              <w:rPr>
                <w:sz w:val="16"/>
              </w:rPr>
            </w:pPr>
            <w:r>
              <w:rPr>
                <w:sz w:val="16"/>
              </w:rPr>
              <w:t>A</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0351FE79" w14:textId="420125F6" w:rsidR="004727FD" w:rsidRPr="004660AA" w:rsidRDefault="004727FD" w:rsidP="00F37B17">
            <w:pPr>
              <w:rPr>
                <w:rFonts w:ascii="Arial" w:hAnsi="Arial"/>
                <w:bCs/>
                <w:sz w:val="16"/>
              </w:rPr>
            </w:pPr>
            <w:r w:rsidRPr="004727FD">
              <w:rPr>
                <w:rFonts w:ascii="Arial" w:hAnsi="Arial"/>
                <w:bCs/>
                <w:sz w:val="16"/>
              </w:rPr>
              <w:t>CR on default pathloss reference signal for SRS and PUCCH</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B9C2BC4" w14:textId="77777777" w:rsidR="004727FD" w:rsidRDefault="004727FD" w:rsidP="00F37B17">
            <w:pPr>
              <w:pStyle w:val="TAL"/>
              <w:rPr>
                <w:sz w:val="16"/>
                <w:szCs w:val="16"/>
                <w:lang w:eastAsia="zh-CN"/>
              </w:rPr>
            </w:pPr>
            <w:r>
              <w:rPr>
                <w:sz w:val="16"/>
                <w:szCs w:val="16"/>
                <w:lang w:eastAsia="zh-CN"/>
              </w:rPr>
              <w:t>18.1.0</w:t>
            </w:r>
          </w:p>
        </w:tc>
      </w:tr>
      <w:tr w:rsidR="004727FD" w:rsidRPr="00B916EC" w14:paraId="74EF3A7E"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3ADC4DA7" w14:textId="77777777" w:rsidR="004727FD" w:rsidRPr="00B916EC" w:rsidRDefault="004727FD"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309BCE45" w14:textId="77777777" w:rsidR="004727FD" w:rsidRPr="00B916EC" w:rsidRDefault="004727FD"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6444F54C" w14:textId="0EDC51D6" w:rsidR="004727FD" w:rsidRPr="002B6B38" w:rsidRDefault="004727FD" w:rsidP="00F37B17">
            <w:pPr>
              <w:pStyle w:val="TAL"/>
              <w:rPr>
                <w:sz w:val="16"/>
                <w:szCs w:val="16"/>
                <w:lang w:eastAsia="zh-CN"/>
              </w:rPr>
            </w:pPr>
            <w:r>
              <w:rPr>
                <w:sz w:val="16"/>
                <w:szCs w:val="16"/>
                <w:lang w:eastAsia="zh-CN"/>
              </w:rPr>
              <w:t>RP-2337</w:t>
            </w:r>
            <w:r w:rsidR="005A560B">
              <w:rPr>
                <w:sz w:val="16"/>
                <w:szCs w:val="16"/>
                <w:lang w:eastAsia="zh-CN"/>
              </w:rPr>
              <w:t>04</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44834258" w14:textId="6565AFCB" w:rsidR="004727FD" w:rsidRDefault="004727FD" w:rsidP="00F37B17">
            <w:pPr>
              <w:pStyle w:val="TAL"/>
              <w:rPr>
                <w:sz w:val="16"/>
                <w:szCs w:val="16"/>
              </w:rPr>
            </w:pPr>
            <w:r>
              <w:rPr>
                <w:sz w:val="16"/>
                <w:szCs w:val="16"/>
              </w:rPr>
              <w:t>0551</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7A950CB9" w14:textId="77777777" w:rsidR="004727FD" w:rsidRDefault="004727FD" w:rsidP="00F37B17">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4315FE7B" w14:textId="77777777" w:rsidR="004727FD" w:rsidRDefault="004727FD" w:rsidP="00F37B17">
            <w:pPr>
              <w:pStyle w:val="TAL"/>
              <w:rPr>
                <w:sz w:val="16"/>
              </w:rPr>
            </w:pPr>
            <w:r>
              <w:rPr>
                <w:sz w:val="16"/>
              </w:rPr>
              <w:t>A</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3DD09677" w14:textId="12535213" w:rsidR="004727FD" w:rsidRPr="004660AA" w:rsidRDefault="004727FD" w:rsidP="00F37B17">
            <w:pPr>
              <w:rPr>
                <w:rFonts w:ascii="Arial" w:hAnsi="Arial"/>
                <w:bCs/>
                <w:sz w:val="16"/>
              </w:rPr>
            </w:pPr>
            <w:r w:rsidRPr="004727FD">
              <w:rPr>
                <w:rFonts w:ascii="Arial" w:hAnsi="Arial"/>
                <w:bCs/>
                <w:sz w:val="16"/>
              </w:rPr>
              <w:t>Correction of PDCCH monitoring adaptation behaviour for DRX groups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6292EA6" w14:textId="77777777" w:rsidR="004727FD" w:rsidRDefault="004727FD" w:rsidP="00F37B17">
            <w:pPr>
              <w:pStyle w:val="TAL"/>
              <w:rPr>
                <w:sz w:val="16"/>
                <w:szCs w:val="16"/>
                <w:lang w:eastAsia="zh-CN"/>
              </w:rPr>
            </w:pPr>
            <w:r>
              <w:rPr>
                <w:sz w:val="16"/>
                <w:szCs w:val="16"/>
                <w:lang w:eastAsia="zh-CN"/>
              </w:rPr>
              <w:t>18.1.0</w:t>
            </w:r>
          </w:p>
        </w:tc>
      </w:tr>
      <w:tr w:rsidR="00A3517C" w:rsidRPr="00B916EC" w14:paraId="7E8637D5"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4D7F1EDA" w14:textId="77777777" w:rsidR="00A3517C" w:rsidRPr="00B916EC" w:rsidRDefault="00A3517C"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20CF6C4F" w14:textId="77777777" w:rsidR="00A3517C" w:rsidRPr="00B916EC" w:rsidRDefault="00A3517C"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507AE7BE" w14:textId="37C99379" w:rsidR="00A3517C" w:rsidRPr="002B6B38" w:rsidRDefault="00A3517C" w:rsidP="00F37B17">
            <w:pPr>
              <w:pStyle w:val="TAL"/>
              <w:rPr>
                <w:sz w:val="16"/>
                <w:szCs w:val="16"/>
                <w:lang w:eastAsia="zh-CN"/>
              </w:rPr>
            </w:pPr>
            <w:r>
              <w:rPr>
                <w:sz w:val="16"/>
                <w:szCs w:val="16"/>
                <w:lang w:eastAsia="zh-CN"/>
              </w:rPr>
              <w:t>RP-233701</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16194416" w14:textId="0BCF7EF2" w:rsidR="00A3517C" w:rsidRDefault="00A3517C" w:rsidP="00F37B17">
            <w:pPr>
              <w:pStyle w:val="TAL"/>
              <w:rPr>
                <w:sz w:val="16"/>
                <w:szCs w:val="16"/>
              </w:rPr>
            </w:pPr>
            <w:r>
              <w:rPr>
                <w:sz w:val="16"/>
                <w:szCs w:val="16"/>
              </w:rPr>
              <w:t>0553</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6255AE39" w14:textId="77777777" w:rsidR="00A3517C" w:rsidRDefault="00A3517C" w:rsidP="00F37B17">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0C099D52" w14:textId="77777777" w:rsidR="00A3517C" w:rsidRDefault="00A3517C" w:rsidP="00F37B17">
            <w:pPr>
              <w:pStyle w:val="TAL"/>
              <w:rPr>
                <w:sz w:val="16"/>
              </w:rPr>
            </w:pPr>
            <w:r>
              <w:rPr>
                <w:sz w:val="16"/>
              </w:rPr>
              <w:t>A</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67E519BE" w14:textId="35366EB8" w:rsidR="00A3517C" w:rsidRPr="004660AA" w:rsidRDefault="00A3517C" w:rsidP="00F37B17">
            <w:pPr>
              <w:rPr>
                <w:rFonts w:ascii="Arial" w:hAnsi="Arial"/>
                <w:bCs/>
                <w:sz w:val="16"/>
              </w:rPr>
            </w:pPr>
            <w:r w:rsidRPr="00A3517C">
              <w:rPr>
                <w:rFonts w:ascii="Arial" w:hAnsi="Arial"/>
                <w:bCs/>
                <w:sz w:val="16"/>
              </w:rPr>
              <w:t>CR on Type-1 HARQ-ACK codebook on PUSCH</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B198EC0" w14:textId="77777777" w:rsidR="00A3517C" w:rsidRDefault="00A3517C" w:rsidP="00F37B17">
            <w:pPr>
              <w:pStyle w:val="TAL"/>
              <w:rPr>
                <w:sz w:val="16"/>
                <w:szCs w:val="16"/>
                <w:lang w:eastAsia="zh-CN"/>
              </w:rPr>
            </w:pPr>
            <w:r>
              <w:rPr>
                <w:sz w:val="16"/>
                <w:szCs w:val="16"/>
                <w:lang w:eastAsia="zh-CN"/>
              </w:rPr>
              <w:t>18.1.0</w:t>
            </w:r>
          </w:p>
        </w:tc>
      </w:tr>
      <w:tr w:rsidR="00922DBA" w:rsidRPr="00B916EC" w14:paraId="044C7B32"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29467290" w14:textId="77777777" w:rsidR="00922DBA" w:rsidRPr="00B916EC" w:rsidRDefault="00922DBA"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0EA5D65B" w14:textId="77777777" w:rsidR="00922DBA" w:rsidRPr="00B916EC" w:rsidRDefault="00922DBA"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0B1D24F2" w14:textId="77777777" w:rsidR="00922DBA" w:rsidRPr="002B6B38" w:rsidRDefault="00922DBA" w:rsidP="00F37B17">
            <w:pPr>
              <w:pStyle w:val="TAL"/>
              <w:rPr>
                <w:sz w:val="16"/>
                <w:szCs w:val="16"/>
                <w:lang w:eastAsia="zh-CN"/>
              </w:rPr>
            </w:pPr>
            <w:r>
              <w:rPr>
                <w:sz w:val="16"/>
                <w:szCs w:val="16"/>
                <w:lang w:eastAsia="zh-CN"/>
              </w:rPr>
              <w:t>RP-233701</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781F211E" w14:textId="6089DF52" w:rsidR="00922DBA" w:rsidRDefault="00922DBA" w:rsidP="00F37B17">
            <w:pPr>
              <w:pStyle w:val="TAL"/>
              <w:rPr>
                <w:sz w:val="16"/>
                <w:szCs w:val="16"/>
              </w:rPr>
            </w:pPr>
            <w:r>
              <w:rPr>
                <w:sz w:val="16"/>
                <w:szCs w:val="16"/>
              </w:rPr>
              <w:t>0555</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5D46677E" w14:textId="77777777" w:rsidR="00922DBA" w:rsidRDefault="00922DBA" w:rsidP="00F37B17">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70FD46AE" w14:textId="77777777" w:rsidR="00922DBA" w:rsidRDefault="00922DBA" w:rsidP="00F37B17">
            <w:pPr>
              <w:pStyle w:val="TAL"/>
              <w:rPr>
                <w:sz w:val="16"/>
              </w:rPr>
            </w:pPr>
            <w:r>
              <w:rPr>
                <w:sz w:val="16"/>
              </w:rPr>
              <w:t>A</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3F8D6F5B" w14:textId="7ACCB677" w:rsidR="00922DBA" w:rsidRPr="004660AA" w:rsidRDefault="00922DBA" w:rsidP="00F37B17">
            <w:pPr>
              <w:rPr>
                <w:rFonts w:ascii="Arial" w:hAnsi="Arial"/>
                <w:bCs/>
                <w:sz w:val="16"/>
              </w:rPr>
            </w:pPr>
            <w:r w:rsidRPr="00922DBA">
              <w:rPr>
                <w:rFonts w:ascii="Arial" w:hAnsi="Arial"/>
                <w:bCs/>
                <w:sz w:val="16"/>
              </w:rPr>
              <w:t>CR on PDCCH monintoring in Type0B CSS for HD-FDD RedCap UEs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FF5D080" w14:textId="77777777" w:rsidR="00922DBA" w:rsidRDefault="00922DBA" w:rsidP="00F37B17">
            <w:pPr>
              <w:pStyle w:val="TAL"/>
              <w:rPr>
                <w:sz w:val="16"/>
                <w:szCs w:val="16"/>
                <w:lang w:eastAsia="zh-CN"/>
              </w:rPr>
            </w:pPr>
            <w:r>
              <w:rPr>
                <w:sz w:val="16"/>
                <w:szCs w:val="16"/>
                <w:lang w:eastAsia="zh-CN"/>
              </w:rPr>
              <w:t>18.1.0</w:t>
            </w:r>
          </w:p>
        </w:tc>
      </w:tr>
      <w:tr w:rsidR="00922DBA" w:rsidRPr="00B916EC" w14:paraId="23396F79"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6AC8275E" w14:textId="77777777" w:rsidR="00922DBA" w:rsidRPr="00B916EC" w:rsidRDefault="00922DBA" w:rsidP="00F37B17">
            <w:pPr>
              <w:spacing w:after="0"/>
              <w:jc w:val="center"/>
              <w:rPr>
                <w:rFonts w:ascii="Arial" w:hAnsi="Arial"/>
                <w:snapToGrid w:val="0"/>
                <w:sz w:val="16"/>
                <w:szCs w:val="16"/>
              </w:rPr>
            </w:pPr>
            <w:r>
              <w:rPr>
                <w:rFonts w:ascii="Arial" w:hAnsi="Arial"/>
                <w:snapToGrid w:val="0"/>
                <w:sz w:val="16"/>
                <w:szCs w:val="16"/>
              </w:rPr>
              <w:lastRenderedPageBreak/>
              <w:t>2023-12</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1B9B21CF" w14:textId="77777777" w:rsidR="00922DBA" w:rsidRPr="00B916EC" w:rsidRDefault="00922DBA"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296CC1F7" w14:textId="4BCEB61B" w:rsidR="00922DBA" w:rsidRPr="002B6B38" w:rsidRDefault="00922DBA" w:rsidP="00F37B17">
            <w:pPr>
              <w:pStyle w:val="TAL"/>
              <w:rPr>
                <w:sz w:val="16"/>
                <w:szCs w:val="16"/>
                <w:lang w:eastAsia="zh-CN"/>
              </w:rPr>
            </w:pPr>
            <w:r>
              <w:rPr>
                <w:sz w:val="16"/>
                <w:szCs w:val="16"/>
                <w:lang w:eastAsia="zh-CN"/>
              </w:rPr>
              <w:t>RP-233727</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4C59EA4F" w14:textId="2C1E7896" w:rsidR="00922DBA" w:rsidRDefault="00922DBA" w:rsidP="00F37B17">
            <w:pPr>
              <w:pStyle w:val="TAL"/>
              <w:rPr>
                <w:sz w:val="16"/>
                <w:szCs w:val="16"/>
              </w:rPr>
            </w:pPr>
            <w:r>
              <w:rPr>
                <w:sz w:val="16"/>
                <w:szCs w:val="16"/>
              </w:rPr>
              <w:t>0557</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307EC0C7" w14:textId="77777777" w:rsidR="00922DBA" w:rsidRDefault="00922DBA" w:rsidP="00F37B17">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09B6513D" w14:textId="77777777" w:rsidR="00922DBA" w:rsidRDefault="00922DBA" w:rsidP="00F37B17">
            <w:pPr>
              <w:pStyle w:val="TAL"/>
              <w:rPr>
                <w:sz w:val="16"/>
              </w:rPr>
            </w:pPr>
            <w:r>
              <w:rPr>
                <w:sz w:val="16"/>
              </w:rPr>
              <w:t>A</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32573474" w14:textId="6AE257F6" w:rsidR="00922DBA" w:rsidRPr="004660AA" w:rsidRDefault="00922DBA" w:rsidP="00F37B17">
            <w:pPr>
              <w:rPr>
                <w:rFonts w:ascii="Arial" w:hAnsi="Arial"/>
                <w:bCs/>
                <w:sz w:val="16"/>
              </w:rPr>
            </w:pPr>
            <w:r w:rsidRPr="00922DBA">
              <w:rPr>
                <w:rFonts w:ascii="Arial" w:hAnsi="Arial"/>
                <w:bCs/>
                <w:sz w:val="16"/>
              </w:rPr>
              <w:t>CR on Simultaneous PUCCH and PUSCH transmission with same priority in UL CA</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6840ED2" w14:textId="77777777" w:rsidR="00922DBA" w:rsidRDefault="00922DBA" w:rsidP="00F37B17">
            <w:pPr>
              <w:pStyle w:val="TAL"/>
              <w:rPr>
                <w:sz w:val="16"/>
                <w:szCs w:val="16"/>
                <w:lang w:eastAsia="zh-CN"/>
              </w:rPr>
            </w:pPr>
            <w:r>
              <w:rPr>
                <w:sz w:val="16"/>
                <w:szCs w:val="16"/>
                <w:lang w:eastAsia="zh-CN"/>
              </w:rPr>
              <w:t>18.1.0</w:t>
            </w:r>
          </w:p>
        </w:tc>
      </w:tr>
      <w:tr w:rsidR="00B56C83" w:rsidRPr="00B916EC" w14:paraId="794E907C"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1D3B0412" w14:textId="77777777" w:rsidR="00B56C83" w:rsidRPr="00B916EC" w:rsidRDefault="00B56C83"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7C17D73D" w14:textId="77777777" w:rsidR="00B56C83" w:rsidRPr="00B916EC" w:rsidRDefault="00B56C83"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39A941E9" w14:textId="77777777" w:rsidR="00B56C83" w:rsidRPr="002B6B38" w:rsidRDefault="00B56C83" w:rsidP="00F37B17">
            <w:pPr>
              <w:pStyle w:val="TAL"/>
              <w:rPr>
                <w:sz w:val="16"/>
                <w:szCs w:val="16"/>
                <w:lang w:eastAsia="zh-CN"/>
              </w:rPr>
            </w:pPr>
            <w:r>
              <w:rPr>
                <w:sz w:val="16"/>
                <w:szCs w:val="16"/>
                <w:lang w:eastAsia="zh-CN"/>
              </w:rPr>
              <w:t>RP-233727</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2D526023" w14:textId="2C34CA67" w:rsidR="00B56C83" w:rsidRDefault="00B56C83" w:rsidP="00F37B17">
            <w:pPr>
              <w:pStyle w:val="TAL"/>
              <w:rPr>
                <w:sz w:val="16"/>
                <w:szCs w:val="16"/>
              </w:rPr>
            </w:pPr>
            <w:r>
              <w:rPr>
                <w:sz w:val="16"/>
                <w:szCs w:val="16"/>
              </w:rPr>
              <w:t>0559</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4C3EE60C" w14:textId="77777777" w:rsidR="00B56C83" w:rsidRDefault="00B56C83" w:rsidP="00F37B17">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240C3134" w14:textId="77777777" w:rsidR="00B56C83" w:rsidRDefault="00B56C83" w:rsidP="00F37B17">
            <w:pPr>
              <w:pStyle w:val="TAL"/>
              <w:rPr>
                <w:sz w:val="16"/>
              </w:rPr>
            </w:pPr>
            <w:r>
              <w:rPr>
                <w:sz w:val="16"/>
              </w:rPr>
              <w:t>A</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02C85F60" w14:textId="0DEBC5DB" w:rsidR="00B56C83" w:rsidRPr="004660AA" w:rsidRDefault="00B56C83" w:rsidP="00F37B17">
            <w:pPr>
              <w:rPr>
                <w:rFonts w:ascii="Arial" w:hAnsi="Arial"/>
                <w:bCs/>
                <w:sz w:val="16"/>
              </w:rPr>
            </w:pPr>
            <w:r w:rsidRPr="00B56C83">
              <w:rPr>
                <w:rFonts w:ascii="Arial" w:hAnsi="Arial"/>
                <w:bCs/>
                <w:sz w:val="16"/>
              </w:rPr>
              <w:t>Clarification on the first SPS PDSCH and Type2 CG PUSCH</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BFFA44A" w14:textId="77777777" w:rsidR="00B56C83" w:rsidRDefault="00B56C83" w:rsidP="00F37B17">
            <w:pPr>
              <w:pStyle w:val="TAL"/>
              <w:rPr>
                <w:sz w:val="16"/>
                <w:szCs w:val="16"/>
                <w:lang w:eastAsia="zh-CN"/>
              </w:rPr>
            </w:pPr>
            <w:r>
              <w:rPr>
                <w:sz w:val="16"/>
                <w:szCs w:val="16"/>
                <w:lang w:eastAsia="zh-CN"/>
              </w:rPr>
              <w:t>18.1.0</w:t>
            </w:r>
          </w:p>
        </w:tc>
      </w:tr>
      <w:tr w:rsidR="00B56C83" w:rsidRPr="00B916EC" w14:paraId="3223E0E0"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4B4F111B" w14:textId="77777777" w:rsidR="00B56C83" w:rsidRPr="00B916EC" w:rsidRDefault="00B56C83"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33501D83" w14:textId="77777777" w:rsidR="00B56C83" w:rsidRPr="00B916EC" w:rsidRDefault="00B56C83"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2389093A" w14:textId="378D755F" w:rsidR="00B56C83" w:rsidRPr="002B6B38" w:rsidRDefault="00B56C83" w:rsidP="00F37B17">
            <w:pPr>
              <w:pStyle w:val="TAL"/>
              <w:rPr>
                <w:sz w:val="16"/>
                <w:szCs w:val="16"/>
                <w:lang w:eastAsia="zh-CN"/>
              </w:rPr>
            </w:pPr>
            <w:r>
              <w:rPr>
                <w:sz w:val="16"/>
                <w:szCs w:val="16"/>
                <w:lang w:eastAsia="zh-CN"/>
              </w:rPr>
              <w:t>RP-233701</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5B33B95B" w14:textId="1F722A2A" w:rsidR="00B56C83" w:rsidRDefault="00B56C83" w:rsidP="00F37B17">
            <w:pPr>
              <w:pStyle w:val="TAL"/>
              <w:rPr>
                <w:sz w:val="16"/>
                <w:szCs w:val="16"/>
              </w:rPr>
            </w:pPr>
            <w:r>
              <w:rPr>
                <w:sz w:val="16"/>
                <w:szCs w:val="16"/>
              </w:rPr>
              <w:t>0561</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6A5AB63E" w14:textId="77777777" w:rsidR="00B56C83" w:rsidRDefault="00B56C83" w:rsidP="00F37B17">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350E4EBA" w14:textId="77777777" w:rsidR="00B56C83" w:rsidRDefault="00B56C83" w:rsidP="00F37B17">
            <w:pPr>
              <w:pStyle w:val="TAL"/>
              <w:rPr>
                <w:sz w:val="16"/>
              </w:rPr>
            </w:pPr>
            <w:r>
              <w:rPr>
                <w:sz w:val="16"/>
              </w:rPr>
              <w:t>A</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00EF061F" w14:textId="541B7AA8" w:rsidR="00B56C83" w:rsidRPr="004660AA" w:rsidRDefault="00B56C83" w:rsidP="00F37B17">
            <w:pPr>
              <w:rPr>
                <w:rFonts w:ascii="Arial" w:hAnsi="Arial"/>
                <w:bCs/>
                <w:sz w:val="16"/>
              </w:rPr>
            </w:pPr>
            <w:r w:rsidRPr="00B56C83">
              <w:rPr>
                <w:rFonts w:ascii="Arial" w:hAnsi="Arial"/>
                <w:bCs/>
                <w:sz w:val="16"/>
              </w:rPr>
              <w:t>CR on HARQ-ACK for SPS PDSCH</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CCA90DA" w14:textId="77777777" w:rsidR="00B56C83" w:rsidRDefault="00B56C83" w:rsidP="00F37B17">
            <w:pPr>
              <w:pStyle w:val="TAL"/>
              <w:rPr>
                <w:sz w:val="16"/>
                <w:szCs w:val="16"/>
                <w:lang w:eastAsia="zh-CN"/>
              </w:rPr>
            </w:pPr>
            <w:r>
              <w:rPr>
                <w:sz w:val="16"/>
                <w:szCs w:val="16"/>
                <w:lang w:eastAsia="zh-CN"/>
              </w:rPr>
              <w:t>18.1.0</w:t>
            </w:r>
          </w:p>
        </w:tc>
      </w:tr>
      <w:tr w:rsidR="00BF2BB3" w:rsidRPr="00B916EC" w14:paraId="50DC1C95"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744DA635" w14:textId="77777777" w:rsidR="00BF2BB3" w:rsidRPr="00B916EC" w:rsidRDefault="00BF2BB3"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61EE25C1" w14:textId="77777777" w:rsidR="00BF2BB3" w:rsidRPr="00B916EC" w:rsidRDefault="00BF2BB3"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082B498A" w14:textId="548E0C02" w:rsidR="00BF2BB3" w:rsidRPr="002B6B38" w:rsidRDefault="00BF2BB3" w:rsidP="00F37B17">
            <w:pPr>
              <w:pStyle w:val="TAL"/>
              <w:rPr>
                <w:sz w:val="16"/>
                <w:szCs w:val="16"/>
                <w:lang w:eastAsia="zh-CN"/>
              </w:rPr>
            </w:pPr>
            <w:r>
              <w:rPr>
                <w:sz w:val="16"/>
                <w:szCs w:val="16"/>
                <w:lang w:eastAsia="zh-CN"/>
              </w:rPr>
              <w:t>RP-233722</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7FB0E03C" w14:textId="4D98DA35" w:rsidR="00BF2BB3" w:rsidRDefault="00BF2BB3" w:rsidP="00F37B17">
            <w:pPr>
              <w:pStyle w:val="TAL"/>
              <w:rPr>
                <w:sz w:val="16"/>
                <w:szCs w:val="16"/>
              </w:rPr>
            </w:pPr>
            <w:r>
              <w:rPr>
                <w:sz w:val="16"/>
                <w:szCs w:val="16"/>
              </w:rPr>
              <w:t>0562</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3F976B56" w14:textId="77777777" w:rsidR="00BF2BB3" w:rsidRDefault="00BF2BB3" w:rsidP="00F37B17">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2EFDA0BA" w14:textId="54022A50" w:rsidR="00BF2BB3" w:rsidRDefault="00BF2BB3" w:rsidP="00F37B17">
            <w:pPr>
              <w:pStyle w:val="TAL"/>
              <w:rPr>
                <w:sz w:val="16"/>
              </w:rPr>
            </w:pPr>
            <w:r>
              <w:rPr>
                <w:sz w:val="16"/>
              </w:rPr>
              <w:t>B</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530BDB48" w14:textId="1DC0DE16" w:rsidR="00BF2BB3" w:rsidRPr="004660AA" w:rsidRDefault="00BF2BB3" w:rsidP="00F37B17">
            <w:pPr>
              <w:rPr>
                <w:rFonts w:ascii="Arial" w:hAnsi="Arial"/>
                <w:bCs/>
                <w:sz w:val="16"/>
              </w:rPr>
            </w:pPr>
            <w:r w:rsidRPr="00BF2BB3">
              <w:rPr>
                <w:rFonts w:ascii="Arial" w:hAnsi="Arial"/>
                <w:bCs/>
                <w:sz w:val="16"/>
              </w:rPr>
              <w:t>Introduction of extended CG-SDT periodicities [CG-SDT-Enh]</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8E83F96" w14:textId="77777777" w:rsidR="00BF2BB3" w:rsidRDefault="00BF2BB3" w:rsidP="00F37B17">
            <w:pPr>
              <w:pStyle w:val="TAL"/>
              <w:rPr>
                <w:sz w:val="16"/>
                <w:szCs w:val="16"/>
                <w:lang w:eastAsia="zh-CN"/>
              </w:rPr>
            </w:pPr>
            <w:r>
              <w:rPr>
                <w:sz w:val="16"/>
                <w:szCs w:val="16"/>
                <w:lang w:eastAsia="zh-CN"/>
              </w:rPr>
              <w:t>18.1.0</w:t>
            </w:r>
          </w:p>
        </w:tc>
      </w:tr>
      <w:tr w:rsidR="00BF2BB3" w:rsidRPr="00B916EC" w14:paraId="0CC56431"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3DE372F9" w14:textId="77777777" w:rsidR="00BF2BB3" w:rsidRPr="00B916EC" w:rsidRDefault="00BF2BB3"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59BE98F1" w14:textId="77777777" w:rsidR="00BF2BB3" w:rsidRPr="00B916EC" w:rsidRDefault="00BF2BB3"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7FFE3142" w14:textId="385DB79D" w:rsidR="00BF2BB3" w:rsidRPr="002B6B38" w:rsidRDefault="00BF2BB3" w:rsidP="00F37B17">
            <w:pPr>
              <w:pStyle w:val="TAL"/>
              <w:rPr>
                <w:sz w:val="16"/>
                <w:szCs w:val="16"/>
                <w:lang w:eastAsia="zh-CN"/>
              </w:rPr>
            </w:pPr>
            <w:r>
              <w:rPr>
                <w:sz w:val="16"/>
                <w:szCs w:val="16"/>
                <w:lang w:eastAsia="zh-CN"/>
              </w:rPr>
              <w:t>RP-233736</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55B4BDC4" w14:textId="0239F6D5" w:rsidR="00BF2BB3" w:rsidRDefault="00BF2BB3" w:rsidP="00F37B17">
            <w:pPr>
              <w:pStyle w:val="TAL"/>
              <w:rPr>
                <w:sz w:val="16"/>
                <w:szCs w:val="16"/>
              </w:rPr>
            </w:pPr>
            <w:r>
              <w:rPr>
                <w:sz w:val="16"/>
                <w:szCs w:val="16"/>
              </w:rPr>
              <w:t>0564</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11E0EDBC" w14:textId="77777777" w:rsidR="00BF2BB3" w:rsidRDefault="00BF2BB3" w:rsidP="00F37B17">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7D0CFD7D" w14:textId="65707FB0" w:rsidR="00BF2BB3" w:rsidRDefault="00BF2BB3" w:rsidP="00F37B17">
            <w:pPr>
              <w:pStyle w:val="TAL"/>
              <w:rPr>
                <w:sz w:val="16"/>
              </w:rPr>
            </w:pPr>
            <w:r>
              <w:rPr>
                <w:sz w:val="16"/>
              </w:rPr>
              <w:t>A</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7665AD73" w14:textId="67AEB53E" w:rsidR="00BF2BB3" w:rsidRPr="004660AA" w:rsidRDefault="00BF2BB3" w:rsidP="00F37B17">
            <w:pPr>
              <w:rPr>
                <w:rFonts w:ascii="Arial" w:hAnsi="Arial"/>
                <w:bCs/>
                <w:sz w:val="16"/>
              </w:rPr>
            </w:pPr>
            <w:r w:rsidRPr="00BF2BB3">
              <w:rPr>
                <w:rFonts w:ascii="Arial" w:hAnsi="Arial"/>
                <w:bCs/>
                <w:sz w:val="16"/>
              </w:rPr>
              <w:t>Correction of monitoring of paging occasions for CG-SDT with HD-FDD RedCap UEs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5BC1D86" w14:textId="77777777" w:rsidR="00BF2BB3" w:rsidRDefault="00BF2BB3" w:rsidP="00F37B17">
            <w:pPr>
              <w:pStyle w:val="TAL"/>
              <w:rPr>
                <w:sz w:val="16"/>
                <w:szCs w:val="16"/>
                <w:lang w:eastAsia="zh-CN"/>
              </w:rPr>
            </w:pPr>
            <w:r>
              <w:rPr>
                <w:sz w:val="16"/>
                <w:szCs w:val="16"/>
                <w:lang w:eastAsia="zh-CN"/>
              </w:rPr>
              <w:t>18.1.0</w:t>
            </w:r>
          </w:p>
        </w:tc>
      </w:tr>
      <w:tr w:rsidR="00BF2BB3" w:rsidRPr="00B916EC" w14:paraId="5FD7708A"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4BE3617A" w14:textId="77777777" w:rsidR="00BF2BB3" w:rsidRPr="00B916EC" w:rsidRDefault="00BF2BB3"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6D1F55F1" w14:textId="77777777" w:rsidR="00BF2BB3" w:rsidRPr="00B916EC" w:rsidRDefault="00BF2BB3"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6630E979" w14:textId="77777777" w:rsidR="00BF2BB3" w:rsidRPr="002B6B38" w:rsidRDefault="00BF2BB3" w:rsidP="00F37B17">
            <w:pPr>
              <w:pStyle w:val="TAL"/>
              <w:rPr>
                <w:sz w:val="16"/>
                <w:szCs w:val="16"/>
                <w:lang w:eastAsia="zh-CN"/>
              </w:rPr>
            </w:pPr>
            <w:r>
              <w:rPr>
                <w:sz w:val="16"/>
                <w:szCs w:val="16"/>
                <w:lang w:eastAsia="zh-CN"/>
              </w:rPr>
              <w:t>RP-233736</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7D79A896" w14:textId="39FFD84D" w:rsidR="00BF2BB3" w:rsidRDefault="00BF2BB3" w:rsidP="00F37B17">
            <w:pPr>
              <w:pStyle w:val="TAL"/>
              <w:rPr>
                <w:sz w:val="16"/>
                <w:szCs w:val="16"/>
              </w:rPr>
            </w:pPr>
            <w:r>
              <w:rPr>
                <w:sz w:val="16"/>
                <w:szCs w:val="16"/>
              </w:rPr>
              <w:t>0566</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3F457655" w14:textId="10BC8976" w:rsidR="00BF2BB3" w:rsidRDefault="00BF2BB3" w:rsidP="00F37B17">
            <w:pPr>
              <w:pStyle w:val="TAL"/>
              <w:jc w:val="center"/>
              <w:rPr>
                <w:sz w:val="16"/>
                <w:szCs w:val="16"/>
              </w:rPr>
            </w:pPr>
            <w:r>
              <w:rPr>
                <w:sz w:val="16"/>
                <w:szCs w:val="16"/>
              </w:rPr>
              <w:t>1</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66D96DD3" w14:textId="77777777" w:rsidR="00BF2BB3" w:rsidRDefault="00BF2BB3" w:rsidP="00F37B17">
            <w:pPr>
              <w:pStyle w:val="TAL"/>
              <w:rPr>
                <w:sz w:val="16"/>
              </w:rPr>
            </w:pPr>
            <w:r>
              <w:rPr>
                <w:sz w:val="16"/>
              </w:rPr>
              <w:t>A</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3E57146A" w14:textId="0F87AA69" w:rsidR="00BF2BB3" w:rsidRPr="004660AA" w:rsidRDefault="00BF2BB3" w:rsidP="00F37B17">
            <w:pPr>
              <w:rPr>
                <w:rFonts w:ascii="Arial" w:hAnsi="Arial"/>
                <w:bCs/>
                <w:sz w:val="16"/>
              </w:rPr>
            </w:pPr>
            <w:r w:rsidRPr="00BF2BB3">
              <w:rPr>
                <w:rFonts w:ascii="Arial" w:hAnsi="Arial"/>
                <w:bCs/>
                <w:sz w:val="16"/>
              </w:rPr>
              <w:t>Correction of PUCCH repetition for RedCap UE with NCD-SSB in TDD</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DB6FB67" w14:textId="77777777" w:rsidR="00BF2BB3" w:rsidRDefault="00BF2BB3" w:rsidP="00F37B17">
            <w:pPr>
              <w:pStyle w:val="TAL"/>
              <w:rPr>
                <w:sz w:val="16"/>
                <w:szCs w:val="16"/>
                <w:lang w:eastAsia="zh-CN"/>
              </w:rPr>
            </w:pPr>
            <w:r>
              <w:rPr>
                <w:sz w:val="16"/>
                <w:szCs w:val="16"/>
                <w:lang w:eastAsia="zh-CN"/>
              </w:rPr>
              <w:t>18.1.0</w:t>
            </w:r>
          </w:p>
        </w:tc>
      </w:tr>
      <w:tr w:rsidR="00CE2354" w:rsidRPr="00B916EC" w14:paraId="4680E7A3"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7997E1F9" w14:textId="77777777" w:rsidR="00CE2354" w:rsidRPr="00B916EC" w:rsidRDefault="00CE2354"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52C51886" w14:textId="77777777" w:rsidR="00CE2354" w:rsidRPr="00B916EC" w:rsidRDefault="00CE2354"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6E4AAB50" w14:textId="77777777" w:rsidR="00CE2354" w:rsidRPr="002B6B38" w:rsidRDefault="00CE2354" w:rsidP="00F37B17">
            <w:pPr>
              <w:pStyle w:val="TAL"/>
              <w:rPr>
                <w:sz w:val="16"/>
                <w:szCs w:val="16"/>
                <w:lang w:eastAsia="zh-CN"/>
              </w:rPr>
            </w:pPr>
            <w:r>
              <w:rPr>
                <w:sz w:val="16"/>
                <w:szCs w:val="16"/>
                <w:lang w:eastAsia="zh-CN"/>
              </w:rPr>
              <w:t>RP-233722</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419B05B6" w14:textId="43CF9E19" w:rsidR="00CE2354" w:rsidRDefault="00CE2354" w:rsidP="00F37B17">
            <w:pPr>
              <w:pStyle w:val="TAL"/>
              <w:rPr>
                <w:sz w:val="16"/>
                <w:szCs w:val="16"/>
              </w:rPr>
            </w:pPr>
            <w:r>
              <w:rPr>
                <w:sz w:val="16"/>
                <w:szCs w:val="16"/>
              </w:rPr>
              <w:t>0567</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7336F573" w14:textId="77777777" w:rsidR="00CE2354" w:rsidRDefault="00CE2354" w:rsidP="00F37B17">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1E7330EB" w14:textId="77777777" w:rsidR="00CE2354" w:rsidRDefault="00CE2354" w:rsidP="00F37B17">
            <w:pPr>
              <w:pStyle w:val="TAL"/>
              <w:rPr>
                <w:sz w:val="16"/>
              </w:rPr>
            </w:pPr>
            <w:r>
              <w:rPr>
                <w:sz w:val="16"/>
              </w:rPr>
              <w:t>B</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44286FD4" w14:textId="5CB73853" w:rsidR="00CE2354" w:rsidRPr="004660AA" w:rsidRDefault="00CE2354" w:rsidP="00F37B17">
            <w:pPr>
              <w:rPr>
                <w:rFonts w:ascii="Arial" w:hAnsi="Arial"/>
                <w:bCs/>
                <w:sz w:val="16"/>
              </w:rPr>
            </w:pPr>
            <w:r w:rsidRPr="00CE2354">
              <w:rPr>
                <w:rFonts w:ascii="Arial" w:hAnsi="Arial"/>
                <w:bCs/>
                <w:sz w:val="16"/>
              </w:rPr>
              <w:t>Introduction of RS for pathloss determination of Type 1 CG PUSCH [PL RS Type 1 CG]</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E56E44B" w14:textId="77777777" w:rsidR="00CE2354" w:rsidRDefault="00CE2354" w:rsidP="00F37B17">
            <w:pPr>
              <w:pStyle w:val="TAL"/>
              <w:rPr>
                <w:sz w:val="16"/>
                <w:szCs w:val="16"/>
                <w:lang w:eastAsia="zh-CN"/>
              </w:rPr>
            </w:pPr>
            <w:r>
              <w:rPr>
                <w:sz w:val="16"/>
                <w:szCs w:val="16"/>
                <w:lang w:eastAsia="zh-CN"/>
              </w:rPr>
              <w:t>18.1.0</w:t>
            </w:r>
          </w:p>
        </w:tc>
      </w:tr>
      <w:tr w:rsidR="00CE2354" w:rsidRPr="00B916EC" w14:paraId="3AC901A6"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48395A66" w14:textId="77777777" w:rsidR="00CE2354" w:rsidRPr="00B916EC" w:rsidRDefault="00CE2354"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5B4DCCA6" w14:textId="77777777" w:rsidR="00CE2354" w:rsidRPr="00B916EC" w:rsidRDefault="00CE2354"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52B0F517" w14:textId="77777777" w:rsidR="00CE2354" w:rsidRPr="002B6B38" w:rsidRDefault="00CE2354" w:rsidP="00F37B17">
            <w:pPr>
              <w:pStyle w:val="TAL"/>
              <w:rPr>
                <w:sz w:val="16"/>
                <w:szCs w:val="16"/>
                <w:lang w:eastAsia="zh-CN"/>
              </w:rPr>
            </w:pPr>
            <w:r>
              <w:rPr>
                <w:sz w:val="16"/>
                <w:szCs w:val="16"/>
                <w:lang w:eastAsia="zh-CN"/>
              </w:rPr>
              <w:t>RP-233722</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69B745B3" w14:textId="06B1FF6F" w:rsidR="00CE2354" w:rsidRDefault="00CE2354" w:rsidP="00F37B17">
            <w:pPr>
              <w:pStyle w:val="TAL"/>
              <w:rPr>
                <w:sz w:val="16"/>
                <w:szCs w:val="16"/>
              </w:rPr>
            </w:pPr>
            <w:r>
              <w:rPr>
                <w:sz w:val="16"/>
                <w:szCs w:val="16"/>
              </w:rPr>
              <w:t>0569</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36F9D5C5" w14:textId="77777777" w:rsidR="00CE2354" w:rsidRDefault="00CE2354" w:rsidP="00F37B17">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298AB611" w14:textId="77777777" w:rsidR="00CE2354" w:rsidRDefault="00CE2354" w:rsidP="00F37B17">
            <w:pPr>
              <w:pStyle w:val="TAL"/>
              <w:rPr>
                <w:sz w:val="16"/>
              </w:rPr>
            </w:pPr>
            <w:r>
              <w:rPr>
                <w:sz w:val="16"/>
              </w:rPr>
              <w:t>B</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4977794D" w14:textId="5D541E17" w:rsidR="00CE2354" w:rsidRPr="004660AA" w:rsidRDefault="00CE2354" w:rsidP="00F37B17">
            <w:pPr>
              <w:rPr>
                <w:rFonts w:ascii="Arial" w:hAnsi="Arial"/>
                <w:bCs/>
                <w:sz w:val="16"/>
              </w:rPr>
            </w:pPr>
            <w:r w:rsidRPr="00CE2354">
              <w:rPr>
                <w:rFonts w:ascii="Arial" w:hAnsi="Arial"/>
                <w:bCs/>
                <w:sz w:val="16"/>
              </w:rPr>
              <w:t>Introduction of QCL-TypeD priorities for overlapping CORESETs in M-DCI/M-TRP operation [QCL-TypeD CORESET priority for M-TRP]</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775519F" w14:textId="77777777" w:rsidR="00CE2354" w:rsidRDefault="00CE2354" w:rsidP="00F37B17">
            <w:pPr>
              <w:pStyle w:val="TAL"/>
              <w:rPr>
                <w:sz w:val="16"/>
                <w:szCs w:val="16"/>
                <w:lang w:eastAsia="zh-CN"/>
              </w:rPr>
            </w:pPr>
            <w:r>
              <w:rPr>
                <w:sz w:val="16"/>
                <w:szCs w:val="16"/>
                <w:lang w:eastAsia="zh-CN"/>
              </w:rPr>
              <w:t>18.1.0</w:t>
            </w:r>
          </w:p>
        </w:tc>
      </w:tr>
      <w:tr w:rsidR="003E3E3B" w:rsidRPr="00B916EC" w14:paraId="4821E3F5"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46502BC6" w14:textId="77777777" w:rsidR="003E3E3B" w:rsidRPr="00B916EC" w:rsidRDefault="003E3E3B"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0CAC34F5" w14:textId="77777777" w:rsidR="003E3E3B" w:rsidRPr="00B916EC" w:rsidRDefault="003E3E3B"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45784F4E" w14:textId="751A072C" w:rsidR="003E3E3B" w:rsidRPr="002B6B38" w:rsidRDefault="003E3E3B" w:rsidP="00F37B17">
            <w:pPr>
              <w:pStyle w:val="TAL"/>
              <w:rPr>
                <w:sz w:val="16"/>
                <w:szCs w:val="16"/>
                <w:lang w:eastAsia="zh-CN"/>
              </w:rPr>
            </w:pPr>
            <w:r>
              <w:rPr>
                <w:sz w:val="16"/>
                <w:szCs w:val="16"/>
                <w:lang w:eastAsia="zh-CN"/>
              </w:rPr>
              <w:t>RP-233728</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338734EF" w14:textId="27F2418F" w:rsidR="003E3E3B" w:rsidRDefault="003E3E3B" w:rsidP="00F37B17">
            <w:pPr>
              <w:pStyle w:val="TAL"/>
              <w:rPr>
                <w:sz w:val="16"/>
                <w:szCs w:val="16"/>
              </w:rPr>
            </w:pPr>
            <w:r>
              <w:rPr>
                <w:sz w:val="16"/>
                <w:szCs w:val="16"/>
              </w:rPr>
              <w:t>0571</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6506873E" w14:textId="77777777" w:rsidR="003E3E3B" w:rsidRDefault="003E3E3B" w:rsidP="00F37B17">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467F4E3C" w14:textId="51E17461" w:rsidR="003E3E3B" w:rsidRDefault="003E3E3B" w:rsidP="00F37B17">
            <w:pPr>
              <w:pStyle w:val="TAL"/>
              <w:rPr>
                <w:sz w:val="16"/>
              </w:rPr>
            </w:pPr>
            <w:r>
              <w:rPr>
                <w:sz w:val="16"/>
              </w:rPr>
              <w:t>A</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1CE91F2D" w14:textId="7C725B1B" w:rsidR="003E3E3B" w:rsidRPr="004660AA" w:rsidRDefault="003E3E3B" w:rsidP="00F37B17">
            <w:pPr>
              <w:rPr>
                <w:rFonts w:ascii="Arial" w:hAnsi="Arial"/>
                <w:bCs/>
                <w:sz w:val="16"/>
              </w:rPr>
            </w:pPr>
            <w:r w:rsidRPr="003E3E3B">
              <w:rPr>
                <w:rFonts w:ascii="Arial" w:hAnsi="Arial"/>
                <w:bCs/>
                <w:sz w:val="16"/>
              </w:rPr>
              <w:t>Rel-17 editorial corrections for TS 38.213 (mirrored to Rel-18)</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65DD0D9" w14:textId="77777777" w:rsidR="003E3E3B" w:rsidRDefault="003E3E3B" w:rsidP="00F37B17">
            <w:pPr>
              <w:pStyle w:val="TAL"/>
              <w:rPr>
                <w:sz w:val="16"/>
                <w:szCs w:val="16"/>
                <w:lang w:eastAsia="zh-CN"/>
              </w:rPr>
            </w:pPr>
            <w:r>
              <w:rPr>
                <w:sz w:val="16"/>
                <w:szCs w:val="16"/>
                <w:lang w:eastAsia="zh-CN"/>
              </w:rPr>
              <w:t>18.1.0</w:t>
            </w:r>
          </w:p>
        </w:tc>
      </w:tr>
      <w:tr w:rsidR="00715C9F" w:rsidRPr="00B916EC" w14:paraId="5969A430"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523E2B7C" w14:textId="77777777" w:rsidR="00715C9F" w:rsidRPr="00B916EC" w:rsidRDefault="00715C9F"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36172138" w14:textId="77777777" w:rsidR="00715C9F" w:rsidRPr="00B916EC" w:rsidRDefault="00715C9F"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30622DC6" w14:textId="341D2530" w:rsidR="00715C9F" w:rsidRPr="002B6B38" w:rsidRDefault="00715C9F" w:rsidP="00F37B17">
            <w:pPr>
              <w:pStyle w:val="TAL"/>
              <w:rPr>
                <w:sz w:val="16"/>
                <w:szCs w:val="16"/>
                <w:lang w:eastAsia="zh-CN"/>
              </w:rPr>
            </w:pPr>
            <w:r>
              <w:rPr>
                <w:sz w:val="16"/>
                <w:szCs w:val="16"/>
                <w:lang w:eastAsia="zh-CN"/>
              </w:rPr>
              <w:t>RP-233709</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4182C2E5" w14:textId="2F762E39" w:rsidR="00715C9F" w:rsidRDefault="00715C9F" w:rsidP="00F37B17">
            <w:pPr>
              <w:pStyle w:val="TAL"/>
              <w:rPr>
                <w:sz w:val="16"/>
                <w:szCs w:val="16"/>
              </w:rPr>
            </w:pPr>
            <w:r>
              <w:rPr>
                <w:sz w:val="16"/>
                <w:szCs w:val="16"/>
              </w:rPr>
              <w:t>0572</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507BAD59" w14:textId="77777777" w:rsidR="00715C9F" w:rsidRDefault="00715C9F" w:rsidP="00F37B17">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33B60739" w14:textId="6BF0CE56" w:rsidR="00715C9F" w:rsidRDefault="00715C9F" w:rsidP="00F37B17">
            <w:pPr>
              <w:pStyle w:val="TAL"/>
              <w:rPr>
                <w:sz w:val="16"/>
              </w:rPr>
            </w:pPr>
            <w:r>
              <w:rPr>
                <w:sz w:val="16"/>
              </w:rPr>
              <w:t>F</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693FF204" w14:textId="0ABF264A" w:rsidR="00715C9F" w:rsidRPr="004660AA" w:rsidRDefault="00715C9F" w:rsidP="00F37B17">
            <w:pPr>
              <w:rPr>
                <w:rFonts w:ascii="Arial" w:hAnsi="Arial"/>
                <w:bCs/>
                <w:sz w:val="16"/>
              </w:rPr>
            </w:pPr>
            <w:r w:rsidRPr="00715C9F">
              <w:rPr>
                <w:rFonts w:ascii="Arial" w:hAnsi="Arial"/>
                <w:bCs/>
                <w:sz w:val="16"/>
              </w:rPr>
              <w:t>Maintenance of further NR coverage enhancements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5347B43" w14:textId="77777777" w:rsidR="00715C9F" w:rsidRDefault="00715C9F" w:rsidP="00F37B17">
            <w:pPr>
              <w:pStyle w:val="TAL"/>
              <w:rPr>
                <w:sz w:val="16"/>
                <w:szCs w:val="16"/>
                <w:lang w:eastAsia="zh-CN"/>
              </w:rPr>
            </w:pPr>
            <w:r>
              <w:rPr>
                <w:sz w:val="16"/>
                <w:szCs w:val="16"/>
                <w:lang w:eastAsia="zh-CN"/>
              </w:rPr>
              <w:t>18.1.0</w:t>
            </w:r>
          </w:p>
        </w:tc>
      </w:tr>
      <w:tr w:rsidR="00AB25BB" w:rsidRPr="00B916EC" w14:paraId="6CAA5610"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691A692F" w14:textId="77777777" w:rsidR="00AB25BB" w:rsidRPr="00B916EC" w:rsidRDefault="00AB25BB"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35421D3F" w14:textId="77777777" w:rsidR="00AB25BB" w:rsidRPr="00B916EC" w:rsidRDefault="00AB25BB"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4468C650" w14:textId="2B643F45" w:rsidR="00AB25BB" w:rsidRPr="002B6B38" w:rsidRDefault="00AB25BB" w:rsidP="00F37B17">
            <w:pPr>
              <w:pStyle w:val="TAL"/>
              <w:rPr>
                <w:sz w:val="16"/>
                <w:szCs w:val="16"/>
                <w:lang w:eastAsia="zh-CN"/>
              </w:rPr>
            </w:pPr>
            <w:r>
              <w:rPr>
                <w:sz w:val="16"/>
                <w:szCs w:val="16"/>
                <w:lang w:eastAsia="zh-CN"/>
              </w:rPr>
              <w:t>RP-233710</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028CCF65" w14:textId="1AF90B2C" w:rsidR="00AB25BB" w:rsidRDefault="00AB25BB" w:rsidP="00F37B17">
            <w:pPr>
              <w:pStyle w:val="TAL"/>
              <w:rPr>
                <w:sz w:val="16"/>
                <w:szCs w:val="16"/>
              </w:rPr>
            </w:pPr>
            <w:r>
              <w:rPr>
                <w:sz w:val="16"/>
                <w:szCs w:val="16"/>
              </w:rPr>
              <w:t>0573</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6EFD117B" w14:textId="77777777" w:rsidR="00AB25BB" w:rsidRDefault="00AB25BB" w:rsidP="00F37B17">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7D9499F0" w14:textId="77777777" w:rsidR="00AB25BB" w:rsidRDefault="00AB25BB" w:rsidP="00F37B17">
            <w:pPr>
              <w:pStyle w:val="TAL"/>
              <w:rPr>
                <w:sz w:val="16"/>
              </w:rPr>
            </w:pPr>
            <w:r>
              <w:rPr>
                <w:sz w:val="16"/>
              </w:rPr>
              <w:t>F</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48E27F80" w14:textId="3C8F96A7" w:rsidR="00AB25BB" w:rsidRPr="004660AA" w:rsidRDefault="00AB25BB" w:rsidP="00F37B17">
            <w:pPr>
              <w:rPr>
                <w:rFonts w:ascii="Arial" w:hAnsi="Arial"/>
                <w:bCs/>
                <w:sz w:val="16"/>
              </w:rPr>
            </w:pPr>
            <w:r w:rsidRPr="00AB25BB">
              <w:rPr>
                <w:rFonts w:ascii="Arial" w:hAnsi="Arial"/>
                <w:bCs/>
                <w:sz w:val="16"/>
              </w:rPr>
              <w:t>Maintenance of further mobility enhancements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4424052" w14:textId="77777777" w:rsidR="00AB25BB" w:rsidRDefault="00AB25BB" w:rsidP="00F37B17">
            <w:pPr>
              <w:pStyle w:val="TAL"/>
              <w:rPr>
                <w:sz w:val="16"/>
                <w:szCs w:val="16"/>
                <w:lang w:eastAsia="zh-CN"/>
              </w:rPr>
            </w:pPr>
            <w:r>
              <w:rPr>
                <w:sz w:val="16"/>
                <w:szCs w:val="16"/>
                <w:lang w:eastAsia="zh-CN"/>
              </w:rPr>
              <w:t>18.1.0</w:t>
            </w:r>
          </w:p>
        </w:tc>
      </w:tr>
      <w:tr w:rsidR="00EA404C" w:rsidRPr="00B916EC" w14:paraId="61024705"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4953B037" w14:textId="77777777" w:rsidR="00EA404C" w:rsidRPr="00B916EC" w:rsidRDefault="00EA404C" w:rsidP="00F37B17">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2A9C1037" w14:textId="77777777" w:rsidR="00EA404C" w:rsidRPr="00B916EC" w:rsidRDefault="00EA404C" w:rsidP="00F37B17">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4026C67A" w14:textId="3F717551" w:rsidR="00EA404C" w:rsidRPr="002B6B38" w:rsidRDefault="00EA404C" w:rsidP="00F37B17">
            <w:pPr>
              <w:pStyle w:val="TAL"/>
              <w:rPr>
                <w:sz w:val="16"/>
                <w:szCs w:val="16"/>
                <w:lang w:eastAsia="zh-CN"/>
              </w:rPr>
            </w:pPr>
            <w:r>
              <w:rPr>
                <w:sz w:val="16"/>
                <w:szCs w:val="16"/>
                <w:lang w:eastAsia="zh-CN"/>
              </w:rPr>
              <w:t>RP-233707</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2A990E83" w14:textId="7A301D90" w:rsidR="00EA404C" w:rsidRDefault="00EA404C" w:rsidP="00F37B17">
            <w:pPr>
              <w:pStyle w:val="TAL"/>
              <w:rPr>
                <w:sz w:val="16"/>
                <w:szCs w:val="16"/>
              </w:rPr>
            </w:pPr>
            <w:r>
              <w:rPr>
                <w:sz w:val="16"/>
                <w:szCs w:val="16"/>
              </w:rPr>
              <w:t>0574</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4CCE8969" w14:textId="77777777" w:rsidR="00EA404C" w:rsidRDefault="00EA404C" w:rsidP="00F37B17">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2A7A6879" w14:textId="77777777" w:rsidR="00EA404C" w:rsidRDefault="00EA404C" w:rsidP="00F37B17">
            <w:pPr>
              <w:pStyle w:val="TAL"/>
              <w:rPr>
                <w:sz w:val="16"/>
              </w:rPr>
            </w:pPr>
            <w:r>
              <w:rPr>
                <w:sz w:val="16"/>
              </w:rPr>
              <w:t>F</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3506AFF1" w14:textId="6EDAA98B" w:rsidR="00EA404C" w:rsidRPr="004660AA" w:rsidRDefault="00EA404C" w:rsidP="00F37B17">
            <w:pPr>
              <w:rPr>
                <w:rFonts w:ascii="Arial" w:hAnsi="Arial"/>
                <w:bCs/>
                <w:sz w:val="16"/>
              </w:rPr>
            </w:pPr>
            <w:r w:rsidRPr="00EA404C">
              <w:rPr>
                <w:rFonts w:ascii="Arial" w:hAnsi="Arial"/>
                <w:bCs/>
                <w:sz w:val="16"/>
              </w:rPr>
              <w:t>Maintenance of dynamic spectrum sharing (DSS) enhancements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C987D0D" w14:textId="77777777" w:rsidR="00EA404C" w:rsidRDefault="00EA404C" w:rsidP="00F37B17">
            <w:pPr>
              <w:pStyle w:val="TAL"/>
              <w:rPr>
                <w:sz w:val="16"/>
                <w:szCs w:val="16"/>
                <w:lang w:eastAsia="zh-CN"/>
              </w:rPr>
            </w:pPr>
            <w:r>
              <w:rPr>
                <w:sz w:val="16"/>
                <w:szCs w:val="16"/>
                <w:lang w:eastAsia="zh-CN"/>
              </w:rPr>
              <w:t>18.1.0</w:t>
            </w:r>
          </w:p>
        </w:tc>
      </w:tr>
      <w:tr w:rsidR="00AA7C57" w:rsidRPr="00B916EC" w14:paraId="70D5913D"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64336433" w14:textId="77777777" w:rsidR="00AA7C57" w:rsidRPr="00B916EC" w:rsidRDefault="00AA7C57" w:rsidP="002C2226">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2297E374" w14:textId="77777777" w:rsidR="00AA7C57" w:rsidRPr="00B916EC" w:rsidRDefault="00AA7C57" w:rsidP="002C2226">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37FDA2B9" w14:textId="0BCA275F" w:rsidR="00AA7C57" w:rsidRPr="002B6B38" w:rsidRDefault="00AA7C57" w:rsidP="002C2226">
            <w:pPr>
              <w:pStyle w:val="TAL"/>
              <w:rPr>
                <w:sz w:val="16"/>
                <w:szCs w:val="16"/>
                <w:lang w:eastAsia="zh-CN"/>
              </w:rPr>
            </w:pPr>
            <w:r>
              <w:rPr>
                <w:sz w:val="16"/>
                <w:szCs w:val="16"/>
                <w:lang w:eastAsia="zh-CN"/>
              </w:rPr>
              <w:t>RP-233708</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185854EC" w14:textId="590DEBC1" w:rsidR="00AA7C57" w:rsidRDefault="00AA7C57" w:rsidP="002C2226">
            <w:pPr>
              <w:pStyle w:val="TAL"/>
              <w:rPr>
                <w:sz w:val="16"/>
                <w:szCs w:val="16"/>
              </w:rPr>
            </w:pPr>
            <w:r>
              <w:rPr>
                <w:sz w:val="16"/>
                <w:szCs w:val="16"/>
              </w:rPr>
              <w:t>0575</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0FBEA0AD" w14:textId="77777777" w:rsidR="00AA7C57" w:rsidRDefault="00AA7C57" w:rsidP="002C2226">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1F26D681" w14:textId="77777777" w:rsidR="00AA7C57" w:rsidRDefault="00AA7C57" w:rsidP="002C2226">
            <w:pPr>
              <w:pStyle w:val="TAL"/>
              <w:rPr>
                <w:sz w:val="16"/>
              </w:rPr>
            </w:pPr>
            <w:r>
              <w:rPr>
                <w:sz w:val="16"/>
              </w:rPr>
              <w:t>F</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2FFFDB8C" w14:textId="1CE3420A" w:rsidR="00AA7C57" w:rsidRPr="004660AA" w:rsidRDefault="00AA7C57" w:rsidP="002C2226">
            <w:pPr>
              <w:rPr>
                <w:rFonts w:ascii="Arial" w:hAnsi="Arial"/>
                <w:bCs/>
                <w:sz w:val="16"/>
              </w:rPr>
            </w:pPr>
            <w:r w:rsidRPr="00AA7C57">
              <w:rPr>
                <w:rFonts w:ascii="Arial" w:hAnsi="Arial"/>
                <w:bCs/>
                <w:sz w:val="16"/>
              </w:rPr>
              <w:t>Maintenance of multi-carrier enhancements for NR</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59644AF" w14:textId="77777777" w:rsidR="00AA7C57" w:rsidRDefault="00AA7C57" w:rsidP="002C2226">
            <w:pPr>
              <w:pStyle w:val="TAL"/>
              <w:rPr>
                <w:sz w:val="16"/>
                <w:szCs w:val="16"/>
                <w:lang w:eastAsia="zh-CN"/>
              </w:rPr>
            </w:pPr>
            <w:r>
              <w:rPr>
                <w:sz w:val="16"/>
                <w:szCs w:val="16"/>
                <w:lang w:eastAsia="zh-CN"/>
              </w:rPr>
              <w:t>18.1.0</w:t>
            </w:r>
          </w:p>
        </w:tc>
      </w:tr>
      <w:tr w:rsidR="00E0020B" w:rsidRPr="00B916EC" w14:paraId="7C574D88"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1BFDBCE2" w14:textId="77777777" w:rsidR="00E0020B" w:rsidRPr="00B916EC" w:rsidRDefault="00E0020B" w:rsidP="002C2226">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7043DF5F" w14:textId="77777777" w:rsidR="00E0020B" w:rsidRPr="00B916EC" w:rsidRDefault="00E0020B" w:rsidP="002C2226">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76DD4555" w14:textId="1BE1BB47" w:rsidR="00E0020B" w:rsidRPr="002B6B38" w:rsidRDefault="00E0020B" w:rsidP="002C2226">
            <w:pPr>
              <w:pStyle w:val="TAL"/>
              <w:rPr>
                <w:sz w:val="16"/>
                <w:szCs w:val="16"/>
                <w:lang w:eastAsia="zh-CN"/>
              </w:rPr>
            </w:pPr>
            <w:r>
              <w:rPr>
                <w:sz w:val="16"/>
                <w:szCs w:val="16"/>
                <w:lang w:eastAsia="zh-CN"/>
              </w:rPr>
              <w:t>RP-233705</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21B9B79B" w14:textId="35C51819" w:rsidR="00E0020B" w:rsidRDefault="00E0020B" w:rsidP="002C2226">
            <w:pPr>
              <w:pStyle w:val="TAL"/>
              <w:rPr>
                <w:sz w:val="16"/>
                <w:szCs w:val="16"/>
              </w:rPr>
            </w:pPr>
            <w:r>
              <w:rPr>
                <w:sz w:val="16"/>
                <w:szCs w:val="16"/>
              </w:rPr>
              <w:t>0576</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6CC5742C" w14:textId="77777777" w:rsidR="00E0020B" w:rsidRDefault="00E0020B" w:rsidP="002C2226">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6E06A508" w14:textId="77777777" w:rsidR="00E0020B" w:rsidRDefault="00E0020B" w:rsidP="002C2226">
            <w:pPr>
              <w:pStyle w:val="TAL"/>
              <w:rPr>
                <w:sz w:val="16"/>
              </w:rPr>
            </w:pPr>
            <w:r>
              <w:rPr>
                <w:sz w:val="16"/>
              </w:rPr>
              <w:t>F</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0FF61739" w14:textId="4EAF57B0" w:rsidR="00E0020B" w:rsidRPr="004660AA" w:rsidRDefault="00E0020B" w:rsidP="002C2226">
            <w:pPr>
              <w:rPr>
                <w:rFonts w:ascii="Arial" w:hAnsi="Arial"/>
                <w:bCs/>
                <w:sz w:val="16"/>
              </w:rPr>
            </w:pPr>
            <w:r w:rsidRPr="00E0020B">
              <w:rPr>
                <w:rFonts w:ascii="Arial" w:hAnsi="Arial"/>
                <w:bCs/>
                <w:sz w:val="16"/>
              </w:rPr>
              <w:t>Maintenance of MIMO Evolution for Downlink and Uplink</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EE5AE29" w14:textId="77777777" w:rsidR="00E0020B" w:rsidRDefault="00E0020B" w:rsidP="002C2226">
            <w:pPr>
              <w:pStyle w:val="TAL"/>
              <w:rPr>
                <w:sz w:val="16"/>
                <w:szCs w:val="16"/>
                <w:lang w:eastAsia="zh-CN"/>
              </w:rPr>
            </w:pPr>
            <w:r>
              <w:rPr>
                <w:sz w:val="16"/>
                <w:szCs w:val="16"/>
                <w:lang w:eastAsia="zh-CN"/>
              </w:rPr>
              <w:t>18.1.0</w:t>
            </w:r>
          </w:p>
        </w:tc>
      </w:tr>
      <w:tr w:rsidR="006D702B" w:rsidRPr="00B916EC" w14:paraId="5B4054E8"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0B9E30AE" w14:textId="77777777" w:rsidR="006D702B" w:rsidRPr="00B916EC" w:rsidRDefault="006D702B" w:rsidP="00C70D3E">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4EBE40BA" w14:textId="77777777" w:rsidR="006D702B" w:rsidRPr="00B916EC" w:rsidRDefault="006D702B" w:rsidP="00C70D3E">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73C5FE47" w14:textId="2219D3BE" w:rsidR="006D702B" w:rsidRPr="002B6B38" w:rsidRDefault="006D702B" w:rsidP="00C70D3E">
            <w:pPr>
              <w:pStyle w:val="TAL"/>
              <w:rPr>
                <w:sz w:val="16"/>
                <w:szCs w:val="16"/>
                <w:lang w:eastAsia="zh-CN"/>
              </w:rPr>
            </w:pPr>
            <w:r>
              <w:rPr>
                <w:sz w:val="16"/>
                <w:szCs w:val="16"/>
                <w:lang w:eastAsia="zh-CN"/>
              </w:rPr>
              <w:t>RP-233718</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0DB8DA6A" w14:textId="32B32625" w:rsidR="006D702B" w:rsidRDefault="006D702B" w:rsidP="00C70D3E">
            <w:pPr>
              <w:pStyle w:val="TAL"/>
              <w:rPr>
                <w:sz w:val="16"/>
                <w:szCs w:val="16"/>
              </w:rPr>
            </w:pPr>
            <w:r>
              <w:rPr>
                <w:sz w:val="16"/>
                <w:szCs w:val="16"/>
              </w:rPr>
              <w:t>0577</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079FC849" w14:textId="77777777" w:rsidR="006D702B" w:rsidRDefault="006D702B" w:rsidP="00C70D3E">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17D35FB4" w14:textId="77777777" w:rsidR="006D702B" w:rsidRDefault="006D702B" w:rsidP="00C70D3E">
            <w:pPr>
              <w:pStyle w:val="TAL"/>
              <w:rPr>
                <w:sz w:val="16"/>
              </w:rPr>
            </w:pPr>
            <w:r>
              <w:rPr>
                <w:sz w:val="16"/>
              </w:rPr>
              <w:t>F</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230B454C" w14:textId="6F595FF4" w:rsidR="006D702B" w:rsidRPr="004660AA" w:rsidRDefault="00F82005" w:rsidP="00C70D3E">
            <w:pPr>
              <w:rPr>
                <w:rFonts w:ascii="Arial" w:hAnsi="Arial"/>
                <w:bCs/>
                <w:sz w:val="16"/>
              </w:rPr>
            </w:pPr>
            <w:r w:rsidRPr="00F82005">
              <w:rPr>
                <w:rFonts w:ascii="Arial" w:hAnsi="Arial"/>
                <w:bCs/>
                <w:sz w:val="16"/>
              </w:rPr>
              <w:t>Maintenance of Network Controlled Repeaters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26E4456" w14:textId="77777777" w:rsidR="006D702B" w:rsidRDefault="006D702B" w:rsidP="00C70D3E">
            <w:pPr>
              <w:pStyle w:val="TAL"/>
              <w:rPr>
                <w:sz w:val="16"/>
                <w:szCs w:val="16"/>
                <w:lang w:eastAsia="zh-CN"/>
              </w:rPr>
            </w:pPr>
            <w:r>
              <w:rPr>
                <w:sz w:val="16"/>
                <w:szCs w:val="16"/>
                <w:lang w:eastAsia="zh-CN"/>
              </w:rPr>
              <w:t>18.1.0</w:t>
            </w:r>
          </w:p>
        </w:tc>
      </w:tr>
      <w:tr w:rsidR="00504B9B" w:rsidRPr="00B916EC" w14:paraId="1E495B98"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30280F67" w14:textId="77777777" w:rsidR="00504B9B" w:rsidRPr="00B916EC" w:rsidRDefault="00504B9B" w:rsidP="00C70D3E">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0BE3BF68" w14:textId="77777777" w:rsidR="00504B9B" w:rsidRPr="00B916EC" w:rsidRDefault="00504B9B" w:rsidP="00C70D3E">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3B32BC38" w14:textId="623797BA" w:rsidR="00504B9B" w:rsidRPr="002B6B38" w:rsidRDefault="00504B9B" w:rsidP="00C70D3E">
            <w:pPr>
              <w:pStyle w:val="TAL"/>
              <w:rPr>
                <w:sz w:val="16"/>
                <w:szCs w:val="16"/>
                <w:lang w:eastAsia="zh-CN"/>
              </w:rPr>
            </w:pPr>
            <w:r>
              <w:rPr>
                <w:sz w:val="16"/>
                <w:szCs w:val="16"/>
                <w:lang w:eastAsia="zh-CN"/>
              </w:rPr>
              <w:t>RP-233720</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246B761B" w14:textId="0D71CCAA" w:rsidR="00504B9B" w:rsidRDefault="00504B9B" w:rsidP="00C70D3E">
            <w:pPr>
              <w:pStyle w:val="TAL"/>
              <w:rPr>
                <w:sz w:val="16"/>
                <w:szCs w:val="16"/>
              </w:rPr>
            </w:pPr>
            <w:r>
              <w:rPr>
                <w:sz w:val="16"/>
                <w:szCs w:val="16"/>
              </w:rPr>
              <w:t>0578</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499EA168" w14:textId="77777777" w:rsidR="00504B9B" w:rsidRDefault="00504B9B" w:rsidP="00C70D3E">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65A2E414" w14:textId="77777777" w:rsidR="00504B9B" w:rsidRDefault="00504B9B" w:rsidP="00C70D3E">
            <w:pPr>
              <w:pStyle w:val="TAL"/>
              <w:rPr>
                <w:sz w:val="16"/>
              </w:rPr>
            </w:pPr>
            <w:r>
              <w:rPr>
                <w:sz w:val="16"/>
              </w:rPr>
              <w:t>F</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3514B02D" w14:textId="5A0B32D5" w:rsidR="00504B9B" w:rsidRPr="004660AA" w:rsidRDefault="00504B9B" w:rsidP="00C70D3E">
            <w:pPr>
              <w:rPr>
                <w:rFonts w:ascii="Arial" w:hAnsi="Arial"/>
                <w:bCs/>
                <w:sz w:val="16"/>
              </w:rPr>
            </w:pPr>
            <w:r w:rsidRPr="00504B9B">
              <w:rPr>
                <w:rFonts w:ascii="Arial" w:hAnsi="Arial"/>
                <w:bCs/>
                <w:sz w:val="16"/>
              </w:rPr>
              <w:t>Maintenance of network energy savings for NR</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5B7912D" w14:textId="77777777" w:rsidR="00504B9B" w:rsidRDefault="00504B9B" w:rsidP="00C70D3E">
            <w:pPr>
              <w:pStyle w:val="TAL"/>
              <w:rPr>
                <w:sz w:val="16"/>
                <w:szCs w:val="16"/>
                <w:lang w:eastAsia="zh-CN"/>
              </w:rPr>
            </w:pPr>
            <w:r>
              <w:rPr>
                <w:sz w:val="16"/>
                <w:szCs w:val="16"/>
                <w:lang w:eastAsia="zh-CN"/>
              </w:rPr>
              <w:t>18.1.0</w:t>
            </w:r>
          </w:p>
        </w:tc>
      </w:tr>
      <w:tr w:rsidR="002D5F43" w:rsidRPr="00B916EC" w14:paraId="0FB05D19"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21B7E915" w14:textId="77777777" w:rsidR="002D5F43" w:rsidRPr="00B916EC" w:rsidRDefault="002D5F43" w:rsidP="00C70D3E">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27759EC6" w14:textId="77777777" w:rsidR="002D5F43" w:rsidRPr="00B916EC" w:rsidRDefault="002D5F43" w:rsidP="00C70D3E">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6658EB18" w14:textId="000AC1C0" w:rsidR="002D5F43" w:rsidRPr="002B6B38" w:rsidRDefault="002D5F43" w:rsidP="00C70D3E">
            <w:pPr>
              <w:pStyle w:val="TAL"/>
              <w:rPr>
                <w:sz w:val="16"/>
                <w:szCs w:val="16"/>
                <w:lang w:eastAsia="zh-CN"/>
              </w:rPr>
            </w:pPr>
            <w:r>
              <w:rPr>
                <w:sz w:val="16"/>
                <w:szCs w:val="16"/>
                <w:lang w:eastAsia="zh-CN"/>
              </w:rPr>
              <w:t>RP-233719</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7C3FD766" w14:textId="39478715" w:rsidR="002D5F43" w:rsidRDefault="002D5F43" w:rsidP="00C70D3E">
            <w:pPr>
              <w:pStyle w:val="TAL"/>
              <w:rPr>
                <w:sz w:val="16"/>
                <w:szCs w:val="16"/>
              </w:rPr>
            </w:pPr>
            <w:r>
              <w:rPr>
                <w:sz w:val="16"/>
                <w:szCs w:val="16"/>
              </w:rPr>
              <w:t>0579</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38376289" w14:textId="77777777" w:rsidR="002D5F43" w:rsidRDefault="002D5F43" w:rsidP="00C70D3E">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3FCBECA0" w14:textId="77777777" w:rsidR="002D5F43" w:rsidRDefault="002D5F43" w:rsidP="00C70D3E">
            <w:pPr>
              <w:pStyle w:val="TAL"/>
              <w:rPr>
                <w:sz w:val="16"/>
              </w:rPr>
            </w:pPr>
            <w:r>
              <w:rPr>
                <w:sz w:val="16"/>
              </w:rPr>
              <w:t>F</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0D417B36" w14:textId="0C6187FC" w:rsidR="002D5F43" w:rsidRPr="004660AA" w:rsidRDefault="002D5F43" w:rsidP="00C70D3E">
            <w:pPr>
              <w:rPr>
                <w:rFonts w:ascii="Arial" w:hAnsi="Arial"/>
                <w:bCs/>
                <w:sz w:val="16"/>
              </w:rPr>
            </w:pPr>
            <w:r w:rsidRPr="002D5F43">
              <w:rPr>
                <w:rFonts w:ascii="Arial" w:hAnsi="Arial"/>
                <w:bCs/>
                <w:sz w:val="16"/>
              </w:rPr>
              <w:t>Maintenance of expanded and improved NR positioning</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4208C3A" w14:textId="77777777" w:rsidR="002D5F43" w:rsidRDefault="002D5F43" w:rsidP="00C70D3E">
            <w:pPr>
              <w:pStyle w:val="TAL"/>
              <w:rPr>
                <w:sz w:val="16"/>
                <w:szCs w:val="16"/>
                <w:lang w:eastAsia="zh-CN"/>
              </w:rPr>
            </w:pPr>
            <w:r>
              <w:rPr>
                <w:sz w:val="16"/>
                <w:szCs w:val="16"/>
                <w:lang w:eastAsia="zh-CN"/>
              </w:rPr>
              <w:t>18.1.0</w:t>
            </w:r>
          </w:p>
        </w:tc>
      </w:tr>
      <w:tr w:rsidR="00CB5B28" w:rsidRPr="00B916EC" w14:paraId="6C1B490B"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796D16B8" w14:textId="77777777" w:rsidR="00CB5B28" w:rsidRPr="00B916EC" w:rsidRDefault="00CB5B28" w:rsidP="00C70D3E">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690D7878" w14:textId="77777777" w:rsidR="00CB5B28" w:rsidRPr="00B916EC" w:rsidRDefault="00CB5B28" w:rsidP="00C70D3E">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44D37586" w14:textId="7320B5B1" w:rsidR="00CB5B28" w:rsidRPr="002B6B38" w:rsidRDefault="00CB5B28" w:rsidP="00C70D3E">
            <w:pPr>
              <w:pStyle w:val="TAL"/>
              <w:rPr>
                <w:sz w:val="16"/>
                <w:szCs w:val="16"/>
                <w:lang w:eastAsia="zh-CN"/>
              </w:rPr>
            </w:pPr>
            <w:r>
              <w:rPr>
                <w:sz w:val="16"/>
                <w:szCs w:val="16"/>
                <w:lang w:eastAsia="zh-CN"/>
              </w:rPr>
              <w:t>RP-233717</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7F507F06" w14:textId="4CF42F36" w:rsidR="00CB5B28" w:rsidRDefault="00CB5B28" w:rsidP="00C70D3E">
            <w:pPr>
              <w:pStyle w:val="TAL"/>
              <w:rPr>
                <w:sz w:val="16"/>
                <w:szCs w:val="16"/>
              </w:rPr>
            </w:pPr>
            <w:r>
              <w:rPr>
                <w:sz w:val="16"/>
                <w:szCs w:val="16"/>
              </w:rPr>
              <w:t>0580</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4E261838" w14:textId="77777777" w:rsidR="00CB5B28" w:rsidRDefault="00CB5B28" w:rsidP="00C70D3E">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267BECBE" w14:textId="77777777" w:rsidR="00CB5B28" w:rsidRDefault="00CB5B28" w:rsidP="00C70D3E">
            <w:pPr>
              <w:pStyle w:val="TAL"/>
              <w:rPr>
                <w:sz w:val="16"/>
              </w:rPr>
            </w:pPr>
            <w:r>
              <w:rPr>
                <w:sz w:val="16"/>
              </w:rPr>
              <w:t>F</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7B360B0A" w14:textId="500EB1DA" w:rsidR="00CB5B28" w:rsidRPr="004660AA" w:rsidRDefault="00CB5B28" w:rsidP="00C70D3E">
            <w:pPr>
              <w:rPr>
                <w:rFonts w:ascii="Arial" w:hAnsi="Arial"/>
                <w:bCs/>
                <w:sz w:val="16"/>
              </w:rPr>
            </w:pPr>
            <w:r w:rsidRPr="00CB5B28">
              <w:rPr>
                <w:rFonts w:ascii="Arial" w:hAnsi="Arial"/>
                <w:bCs/>
                <w:sz w:val="16"/>
              </w:rPr>
              <w:t>Maintenance of support for enhanced reduced capability NR devices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3526C8D" w14:textId="77777777" w:rsidR="00CB5B28" w:rsidRDefault="00CB5B28" w:rsidP="00C70D3E">
            <w:pPr>
              <w:pStyle w:val="TAL"/>
              <w:rPr>
                <w:sz w:val="16"/>
                <w:szCs w:val="16"/>
                <w:lang w:eastAsia="zh-CN"/>
              </w:rPr>
            </w:pPr>
            <w:r>
              <w:rPr>
                <w:sz w:val="16"/>
                <w:szCs w:val="16"/>
                <w:lang w:eastAsia="zh-CN"/>
              </w:rPr>
              <w:t>18.1.0</w:t>
            </w:r>
          </w:p>
        </w:tc>
      </w:tr>
      <w:tr w:rsidR="00CB5B28" w:rsidRPr="00B916EC" w14:paraId="453FFB6D"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4DC36B8D" w14:textId="77777777" w:rsidR="00CB5B28" w:rsidRPr="00B916EC" w:rsidRDefault="00CB5B28" w:rsidP="00C70D3E">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5D01DF74" w14:textId="77777777" w:rsidR="00CB5B28" w:rsidRPr="00B916EC" w:rsidRDefault="00CB5B28" w:rsidP="00C70D3E">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2BE6602D" w14:textId="5CAF17FD" w:rsidR="00CB5B28" w:rsidRPr="002B6B38" w:rsidRDefault="00CB5B28" w:rsidP="00C70D3E">
            <w:pPr>
              <w:pStyle w:val="TAL"/>
              <w:rPr>
                <w:sz w:val="16"/>
                <w:szCs w:val="16"/>
                <w:lang w:eastAsia="zh-CN"/>
              </w:rPr>
            </w:pPr>
            <w:r>
              <w:rPr>
                <w:sz w:val="16"/>
                <w:szCs w:val="16"/>
                <w:lang w:eastAsia="zh-CN"/>
              </w:rPr>
              <w:t>RP-233706</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40045B90" w14:textId="3FE88534" w:rsidR="00CB5B28" w:rsidRDefault="00CB5B28" w:rsidP="00C70D3E">
            <w:pPr>
              <w:pStyle w:val="TAL"/>
              <w:rPr>
                <w:sz w:val="16"/>
                <w:szCs w:val="16"/>
              </w:rPr>
            </w:pPr>
            <w:r>
              <w:rPr>
                <w:sz w:val="16"/>
                <w:szCs w:val="16"/>
              </w:rPr>
              <w:t>0581</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02398C84" w14:textId="77777777" w:rsidR="00CB5B28" w:rsidRDefault="00CB5B28" w:rsidP="00C70D3E">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74D05853" w14:textId="77777777" w:rsidR="00CB5B28" w:rsidRDefault="00CB5B28" w:rsidP="00C70D3E">
            <w:pPr>
              <w:pStyle w:val="TAL"/>
              <w:rPr>
                <w:sz w:val="16"/>
              </w:rPr>
            </w:pPr>
            <w:r>
              <w:rPr>
                <w:sz w:val="16"/>
              </w:rPr>
              <w:t>F</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77D96715" w14:textId="7866C7D6" w:rsidR="00CB5B28" w:rsidRPr="004660AA" w:rsidRDefault="00CB5B28" w:rsidP="00C70D3E">
            <w:pPr>
              <w:rPr>
                <w:rFonts w:ascii="Arial" w:hAnsi="Arial"/>
                <w:bCs/>
                <w:sz w:val="16"/>
              </w:rPr>
            </w:pPr>
            <w:r w:rsidRPr="00CB5B28">
              <w:rPr>
                <w:rFonts w:ascii="Arial" w:hAnsi="Arial"/>
                <w:bCs/>
                <w:sz w:val="16"/>
              </w:rPr>
              <w:t>Maintenance of NR sidelink evolution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A547601" w14:textId="77777777" w:rsidR="00CB5B28" w:rsidRDefault="00CB5B28" w:rsidP="00C70D3E">
            <w:pPr>
              <w:pStyle w:val="TAL"/>
              <w:rPr>
                <w:sz w:val="16"/>
                <w:szCs w:val="16"/>
                <w:lang w:eastAsia="zh-CN"/>
              </w:rPr>
            </w:pPr>
            <w:r>
              <w:rPr>
                <w:sz w:val="16"/>
                <w:szCs w:val="16"/>
                <w:lang w:eastAsia="zh-CN"/>
              </w:rPr>
              <w:t>18.1.0</w:t>
            </w:r>
          </w:p>
        </w:tc>
      </w:tr>
      <w:tr w:rsidR="004F1F38" w:rsidRPr="00B916EC" w14:paraId="42989A9F"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340D0804" w14:textId="77777777" w:rsidR="004F1F38" w:rsidRPr="00B916EC" w:rsidRDefault="004F1F38" w:rsidP="00263674">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72F9543F" w14:textId="77777777" w:rsidR="004F1F38" w:rsidRPr="00B916EC" w:rsidRDefault="004F1F38" w:rsidP="00263674">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6221EA13" w14:textId="553A6916" w:rsidR="004F1F38" w:rsidRPr="002B6B38" w:rsidRDefault="004F1F38" w:rsidP="00263674">
            <w:pPr>
              <w:pStyle w:val="TAL"/>
              <w:rPr>
                <w:sz w:val="16"/>
                <w:szCs w:val="16"/>
                <w:lang w:eastAsia="zh-CN"/>
              </w:rPr>
            </w:pPr>
            <w:r>
              <w:rPr>
                <w:sz w:val="16"/>
                <w:szCs w:val="16"/>
                <w:lang w:eastAsia="zh-CN"/>
              </w:rPr>
              <w:t>RP-233721</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4A1DB80A" w14:textId="5CF3C084" w:rsidR="004F1F38" w:rsidRDefault="004F1F38" w:rsidP="00263674">
            <w:pPr>
              <w:pStyle w:val="TAL"/>
              <w:rPr>
                <w:sz w:val="16"/>
                <w:szCs w:val="16"/>
              </w:rPr>
            </w:pPr>
            <w:r>
              <w:rPr>
                <w:sz w:val="16"/>
                <w:szCs w:val="16"/>
              </w:rPr>
              <w:t>0582</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712A2901" w14:textId="77777777" w:rsidR="004F1F38" w:rsidRDefault="004F1F38" w:rsidP="00263674">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7973EF3D" w14:textId="77777777" w:rsidR="004F1F38" w:rsidRDefault="004F1F38" w:rsidP="00263674">
            <w:pPr>
              <w:pStyle w:val="TAL"/>
              <w:rPr>
                <w:sz w:val="16"/>
              </w:rPr>
            </w:pPr>
            <w:r>
              <w:rPr>
                <w:sz w:val="16"/>
              </w:rPr>
              <w:t>F</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6FADFC4E" w14:textId="42AF5D2F" w:rsidR="004F1F38" w:rsidRPr="004660AA" w:rsidRDefault="004F1F38" w:rsidP="00263674">
            <w:pPr>
              <w:rPr>
                <w:rFonts w:ascii="Arial" w:hAnsi="Arial"/>
                <w:bCs/>
                <w:sz w:val="16"/>
              </w:rPr>
            </w:pPr>
            <w:r w:rsidRPr="004F1F38">
              <w:rPr>
                <w:rFonts w:ascii="Arial" w:hAnsi="Arial"/>
                <w:bCs/>
                <w:sz w:val="16"/>
              </w:rPr>
              <w:t>Maintenance of XR enhancements for NR</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0B53400" w14:textId="77777777" w:rsidR="004F1F38" w:rsidRDefault="004F1F38" w:rsidP="00263674">
            <w:pPr>
              <w:pStyle w:val="TAL"/>
              <w:rPr>
                <w:sz w:val="16"/>
                <w:szCs w:val="16"/>
                <w:lang w:eastAsia="zh-CN"/>
              </w:rPr>
            </w:pPr>
            <w:r>
              <w:rPr>
                <w:sz w:val="16"/>
                <w:szCs w:val="16"/>
                <w:lang w:eastAsia="zh-CN"/>
              </w:rPr>
              <w:t>18.1.0</w:t>
            </w:r>
          </w:p>
        </w:tc>
      </w:tr>
      <w:tr w:rsidR="004F1F38" w:rsidRPr="00B916EC" w14:paraId="4F881065"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5C3C95C4" w14:textId="77777777" w:rsidR="004F1F38" w:rsidRPr="00B916EC" w:rsidRDefault="004F1F38" w:rsidP="00263674">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1B4A7A1D" w14:textId="77777777" w:rsidR="004F1F38" w:rsidRPr="00B916EC" w:rsidRDefault="004F1F38" w:rsidP="00263674">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133B7252" w14:textId="6D1F988A" w:rsidR="004F1F38" w:rsidRPr="002B6B38" w:rsidRDefault="004F1F38" w:rsidP="00263674">
            <w:pPr>
              <w:pStyle w:val="TAL"/>
              <w:rPr>
                <w:sz w:val="16"/>
                <w:szCs w:val="16"/>
                <w:lang w:eastAsia="zh-CN"/>
              </w:rPr>
            </w:pPr>
            <w:r>
              <w:rPr>
                <w:sz w:val="16"/>
                <w:szCs w:val="16"/>
                <w:lang w:eastAsia="zh-CN"/>
              </w:rPr>
              <w:t>RP-233716</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6A9D67B6" w14:textId="15B1B896" w:rsidR="004F1F38" w:rsidRDefault="004F1F38" w:rsidP="00263674">
            <w:pPr>
              <w:pStyle w:val="TAL"/>
              <w:rPr>
                <w:sz w:val="16"/>
                <w:szCs w:val="16"/>
              </w:rPr>
            </w:pPr>
            <w:r>
              <w:rPr>
                <w:sz w:val="16"/>
                <w:szCs w:val="16"/>
              </w:rPr>
              <w:t>0583</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33A0AC9A" w14:textId="77777777" w:rsidR="004F1F38" w:rsidRDefault="004F1F38" w:rsidP="00263674">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360A509C" w14:textId="77777777" w:rsidR="004F1F38" w:rsidRDefault="004F1F38" w:rsidP="00263674">
            <w:pPr>
              <w:pStyle w:val="TAL"/>
              <w:rPr>
                <w:sz w:val="16"/>
              </w:rPr>
            </w:pPr>
            <w:r>
              <w:rPr>
                <w:sz w:val="16"/>
              </w:rPr>
              <w:t>F</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44C34125" w14:textId="03E47FCE" w:rsidR="004F1F38" w:rsidRPr="004660AA" w:rsidRDefault="004F1F38" w:rsidP="00263674">
            <w:pPr>
              <w:rPr>
                <w:rFonts w:ascii="Arial" w:hAnsi="Arial"/>
                <w:bCs/>
                <w:sz w:val="16"/>
              </w:rPr>
            </w:pPr>
            <w:r w:rsidRPr="004F1F38">
              <w:rPr>
                <w:rFonts w:ascii="Arial" w:hAnsi="Arial"/>
                <w:bCs/>
                <w:sz w:val="16"/>
              </w:rPr>
              <w:t>Maintenance of support for dedicated spectrum less than 5MHz for FR1</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1A7056E" w14:textId="77777777" w:rsidR="004F1F38" w:rsidRDefault="004F1F38" w:rsidP="00263674">
            <w:pPr>
              <w:pStyle w:val="TAL"/>
              <w:rPr>
                <w:sz w:val="16"/>
                <w:szCs w:val="16"/>
                <w:lang w:eastAsia="zh-CN"/>
              </w:rPr>
            </w:pPr>
            <w:r>
              <w:rPr>
                <w:sz w:val="16"/>
                <w:szCs w:val="16"/>
                <w:lang w:eastAsia="zh-CN"/>
              </w:rPr>
              <w:t>18.1.0</w:t>
            </w:r>
          </w:p>
        </w:tc>
      </w:tr>
      <w:tr w:rsidR="004F1F38" w:rsidRPr="00B916EC" w14:paraId="2917EC42"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0389F5EA" w14:textId="77777777" w:rsidR="004F1F38" w:rsidRPr="00B916EC" w:rsidRDefault="004F1F38" w:rsidP="00263674">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5EABD18C" w14:textId="77777777" w:rsidR="004F1F38" w:rsidRPr="00B916EC" w:rsidRDefault="004F1F38" w:rsidP="00263674">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0092C2E7" w14:textId="6C7A844A" w:rsidR="004F1F38" w:rsidRPr="002B6B38" w:rsidRDefault="004F1F38" w:rsidP="00263674">
            <w:pPr>
              <w:pStyle w:val="TAL"/>
              <w:rPr>
                <w:sz w:val="16"/>
                <w:szCs w:val="16"/>
                <w:lang w:eastAsia="zh-CN"/>
              </w:rPr>
            </w:pPr>
            <w:r>
              <w:rPr>
                <w:sz w:val="16"/>
                <w:szCs w:val="16"/>
                <w:lang w:eastAsia="zh-CN"/>
              </w:rPr>
              <w:t>RP-233733</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194BBFA2" w14:textId="42CC0913" w:rsidR="004F1F38" w:rsidRDefault="004F1F38" w:rsidP="00263674">
            <w:pPr>
              <w:pStyle w:val="TAL"/>
              <w:rPr>
                <w:sz w:val="16"/>
                <w:szCs w:val="16"/>
              </w:rPr>
            </w:pPr>
            <w:r>
              <w:rPr>
                <w:sz w:val="16"/>
                <w:szCs w:val="16"/>
              </w:rPr>
              <w:t>0584</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0A0367AC" w14:textId="77777777" w:rsidR="004F1F38" w:rsidRDefault="004F1F38" w:rsidP="00263674">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3FACEAD8" w14:textId="58330C20" w:rsidR="004F1F38" w:rsidRDefault="004F1F38" w:rsidP="00263674">
            <w:pPr>
              <w:pStyle w:val="TAL"/>
              <w:rPr>
                <w:sz w:val="16"/>
              </w:rPr>
            </w:pPr>
            <w:r>
              <w:rPr>
                <w:sz w:val="16"/>
              </w:rPr>
              <w:t>B</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67BA28E3" w14:textId="032EED3E" w:rsidR="004F1F38" w:rsidRPr="004660AA" w:rsidRDefault="004F1F38" w:rsidP="00263674">
            <w:pPr>
              <w:rPr>
                <w:rFonts w:ascii="Arial" w:hAnsi="Arial"/>
                <w:bCs/>
                <w:sz w:val="16"/>
              </w:rPr>
            </w:pPr>
            <w:r w:rsidRPr="004F1F38">
              <w:rPr>
                <w:rFonts w:ascii="Arial" w:hAnsi="Arial"/>
                <w:bCs/>
                <w:sz w:val="16"/>
              </w:rPr>
              <w:t>Introduction of Rel-18 enhancements of NR Multicast and Broadcast Services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BBF6879" w14:textId="77777777" w:rsidR="004F1F38" w:rsidRDefault="004F1F38" w:rsidP="00263674">
            <w:pPr>
              <w:pStyle w:val="TAL"/>
              <w:rPr>
                <w:sz w:val="16"/>
                <w:szCs w:val="16"/>
                <w:lang w:eastAsia="zh-CN"/>
              </w:rPr>
            </w:pPr>
            <w:r>
              <w:rPr>
                <w:sz w:val="16"/>
                <w:szCs w:val="16"/>
                <w:lang w:eastAsia="zh-CN"/>
              </w:rPr>
              <w:t>18.1.0</w:t>
            </w:r>
          </w:p>
        </w:tc>
      </w:tr>
      <w:tr w:rsidR="0068318C" w:rsidRPr="00B916EC" w14:paraId="471A3B9F"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72013B3B" w14:textId="77777777" w:rsidR="0068318C" w:rsidRPr="00B916EC" w:rsidRDefault="0068318C" w:rsidP="00263674">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344A3C5F" w14:textId="77777777" w:rsidR="0068318C" w:rsidRPr="00B916EC" w:rsidRDefault="0068318C" w:rsidP="00263674">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1EFADEC2" w14:textId="2209114F" w:rsidR="0068318C" w:rsidRPr="002B6B38" w:rsidRDefault="0068318C" w:rsidP="00263674">
            <w:pPr>
              <w:pStyle w:val="TAL"/>
              <w:rPr>
                <w:sz w:val="16"/>
                <w:szCs w:val="16"/>
                <w:lang w:eastAsia="zh-CN"/>
              </w:rPr>
            </w:pPr>
            <w:r>
              <w:rPr>
                <w:sz w:val="16"/>
                <w:szCs w:val="16"/>
                <w:lang w:eastAsia="zh-CN"/>
              </w:rPr>
              <w:t>RP-233714</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19406E94" w14:textId="4C2AC730" w:rsidR="0068318C" w:rsidRDefault="0068318C" w:rsidP="00263674">
            <w:pPr>
              <w:pStyle w:val="TAL"/>
              <w:rPr>
                <w:sz w:val="16"/>
                <w:szCs w:val="16"/>
              </w:rPr>
            </w:pPr>
            <w:r>
              <w:rPr>
                <w:sz w:val="16"/>
                <w:szCs w:val="16"/>
              </w:rPr>
              <w:t>0585</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57DEDCC9" w14:textId="77777777" w:rsidR="0068318C" w:rsidRDefault="0068318C" w:rsidP="00263674">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1BC8EDA1" w14:textId="50645A55" w:rsidR="0068318C" w:rsidRDefault="0068318C" w:rsidP="00263674">
            <w:pPr>
              <w:pStyle w:val="TAL"/>
              <w:rPr>
                <w:sz w:val="16"/>
              </w:rPr>
            </w:pPr>
            <w:r>
              <w:rPr>
                <w:sz w:val="16"/>
              </w:rPr>
              <w:t>F</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0650EE77" w14:textId="7FE8DD61" w:rsidR="0068318C" w:rsidRPr="004660AA" w:rsidRDefault="0068318C" w:rsidP="00263674">
            <w:pPr>
              <w:rPr>
                <w:rFonts w:ascii="Arial" w:hAnsi="Arial"/>
                <w:bCs/>
                <w:sz w:val="16"/>
              </w:rPr>
            </w:pPr>
            <w:r w:rsidRPr="0068318C">
              <w:rPr>
                <w:rFonts w:ascii="Arial" w:hAnsi="Arial"/>
                <w:bCs/>
                <w:sz w:val="16"/>
              </w:rPr>
              <w:t>Maintenance of support for NR NTN enhancements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9D90ED0" w14:textId="77777777" w:rsidR="0068318C" w:rsidRDefault="0068318C" w:rsidP="00263674">
            <w:pPr>
              <w:pStyle w:val="TAL"/>
              <w:rPr>
                <w:sz w:val="16"/>
                <w:szCs w:val="16"/>
                <w:lang w:eastAsia="zh-CN"/>
              </w:rPr>
            </w:pPr>
            <w:r>
              <w:rPr>
                <w:sz w:val="16"/>
                <w:szCs w:val="16"/>
                <w:lang w:eastAsia="zh-CN"/>
              </w:rPr>
              <w:t>18.1.0</w:t>
            </w:r>
          </w:p>
        </w:tc>
      </w:tr>
      <w:tr w:rsidR="0068318C" w:rsidRPr="00B916EC" w14:paraId="7DABA141" w14:textId="77777777" w:rsidTr="00AA59B0">
        <w:tc>
          <w:tcPr>
            <w:tcW w:w="894" w:type="dxa"/>
            <w:tcBorders>
              <w:top w:val="single" w:sz="4" w:space="0" w:color="auto"/>
              <w:left w:val="single" w:sz="4" w:space="0" w:color="auto"/>
              <w:bottom w:val="single" w:sz="4" w:space="0" w:color="auto"/>
              <w:right w:val="single" w:sz="4" w:space="0" w:color="auto"/>
            </w:tcBorders>
            <w:shd w:val="solid" w:color="FFFFFF" w:fill="auto"/>
          </w:tcPr>
          <w:p w14:paraId="6E6E8543" w14:textId="77777777" w:rsidR="0068318C" w:rsidRPr="00B916EC" w:rsidRDefault="0068318C" w:rsidP="00263674">
            <w:pPr>
              <w:spacing w:after="0"/>
              <w:jc w:val="center"/>
              <w:rPr>
                <w:rFonts w:ascii="Arial" w:hAnsi="Arial"/>
                <w:snapToGrid w:val="0"/>
                <w:sz w:val="16"/>
                <w:szCs w:val="16"/>
              </w:rPr>
            </w:pPr>
            <w:r>
              <w:rPr>
                <w:rFonts w:ascii="Arial" w:hAnsi="Arial"/>
                <w:snapToGrid w:val="0"/>
                <w:sz w:val="16"/>
                <w:szCs w:val="16"/>
              </w:rPr>
              <w:t>2023-12</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20FB3C13" w14:textId="77777777" w:rsidR="0068318C" w:rsidRPr="00B916EC" w:rsidRDefault="0068318C" w:rsidP="00263674">
            <w:pPr>
              <w:pStyle w:val="TAL"/>
              <w:rPr>
                <w:sz w:val="16"/>
                <w:szCs w:val="16"/>
                <w:lang w:eastAsia="zh-CN"/>
              </w:rPr>
            </w:pPr>
            <w:r w:rsidRPr="00B916EC">
              <w:rPr>
                <w:sz w:val="16"/>
                <w:szCs w:val="16"/>
                <w:lang w:eastAsia="zh-CN"/>
              </w:rPr>
              <w:t>RAN#</w:t>
            </w:r>
            <w:r>
              <w:rPr>
                <w:sz w:val="16"/>
                <w:szCs w:val="16"/>
                <w:lang w:eastAsia="zh-CN"/>
              </w:rPr>
              <w:t>102</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613C6B8F" w14:textId="675008E4" w:rsidR="0068318C" w:rsidRPr="002B6B38" w:rsidRDefault="0068318C" w:rsidP="00263674">
            <w:pPr>
              <w:pStyle w:val="TAL"/>
              <w:rPr>
                <w:sz w:val="16"/>
                <w:szCs w:val="16"/>
                <w:lang w:eastAsia="zh-CN"/>
              </w:rPr>
            </w:pPr>
            <w:r>
              <w:rPr>
                <w:sz w:val="16"/>
                <w:szCs w:val="16"/>
                <w:lang w:eastAsia="zh-CN"/>
              </w:rPr>
              <w:t>RP-233737</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65F731CD" w14:textId="1783248E" w:rsidR="0068318C" w:rsidRDefault="0068318C" w:rsidP="00263674">
            <w:pPr>
              <w:pStyle w:val="TAL"/>
              <w:rPr>
                <w:sz w:val="16"/>
                <w:szCs w:val="16"/>
              </w:rPr>
            </w:pPr>
            <w:r>
              <w:rPr>
                <w:sz w:val="16"/>
                <w:szCs w:val="16"/>
              </w:rPr>
              <w:t>0586</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573E720B" w14:textId="77777777" w:rsidR="0068318C" w:rsidRDefault="0068318C" w:rsidP="00263674">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11A9F168" w14:textId="77777777" w:rsidR="0068318C" w:rsidRDefault="0068318C" w:rsidP="00263674">
            <w:pPr>
              <w:pStyle w:val="TAL"/>
              <w:rPr>
                <w:sz w:val="16"/>
              </w:rPr>
            </w:pPr>
            <w:r>
              <w:rPr>
                <w:sz w:val="16"/>
              </w:rPr>
              <w:t>F</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3F9EDB5A" w14:textId="77A12828" w:rsidR="0068318C" w:rsidRPr="004660AA" w:rsidRDefault="0068318C" w:rsidP="00263674">
            <w:pPr>
              <w:rPr>
                <w:rFonts w:ascii="Arial" w:hAnsi="Arial"/>
                <w:bCs/>
                <w:sz w:val="16"/>
              </w:rPr>
            </w:pPr>
            <w:r w:rsidRPr="0068318C">
              <w:rPr>
                <w:rFonts w:ascii="Arial" w:hAnsi="Arial"/>
                <w:bCs/>
                <w:sz w:val="16"/>
              </w:rPr>
              <w:t>Maintenance of BWP operation without restriction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C51EADB" w14:textId="77777777" w:rsidR="0068318C" w:rsidRDefault="0068318C" w:rsidP="00263674">
            <w:pPr>
              <w:pStyle w:val="TAL"/>
              <w:rPr>
                <w:sz w:val="16"/>
                <w:szCs w:val="16"/>
                <w:lang w:eastAsia="zh-CN"/>
              </w:rPr>
            </w:pPr>
            <w:r>
              <w:rPr>
                <w:sz w:val="16"/>
                <w:szCs w:val="16"/>
                <w:lang w:eastAsia="zh-CN"/>
              </w:rPr>
              <w:t>18.1.0</w:t>
            </w:r>
          </w:p>
        </w:tc>
      </w:tr>
      <w:tr w:rsidR="00AA59B0" w:rsidRPr="00B916EC" w14:paraId="7539C8C9" w14:textId="77777777" w:rsidTr="003452BA">
        <w:tc>
          <w:tcPr>
            <w:tcW w:w="894" w:type="dxa"/>
            <w:tcBorders>
              <w:top w:val="single" w:sz="4" w:space="0" w:color="auto"/>
              <w:left w:val="single" w:sz="4" w:space="0" w:color="auto"/>
              <w:bottom w:val="single" w:sz="4" w:space="0" w:color="auto"/>
              <w:right w:val="single" w:sz="4" w:space="0" w:color="auto"/>
            </w:tcBorders>
            <w:shd w:val="solid" w:color="FFFFFF" w:fill="auto"/>
          </w:tcPr>
          <w:p w14:paraId="572786C5" w14:textId="6C6A00C9" w:rsidR="00AA59B0" w:rsidRPr="00B916EC" w:rsidRDefault="00AA59B0" w:rsidP="003452BA">
            <w:pPr>
              <w:spacing w:after="0"/>
              <w:jc w:val="center"/>
              <w:rPr>
                <w:rFonts w:ascii="Arial" w:hAnsi="Arial"/>
                <w:snapToGrid w:val="0"/>
                <w:sz w:val="16"/>
                <w:szCs w:val="16"/>
              </w:rPr>
            </w:pPr>
            <w:r>
              <w:rPr>
                <w:rFonts w:ascii="Arial" w:hAnsi="Arial"/>
                <w:snapToGrid w:val="0"/>
                <w:sz w:val="16"/>
                <w:szCs w:val="16"/>
              </w:rPr>
              <w:t>2024-03</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226A1F17" w14:textId="36720DA5" w:rsidR="00AA59B0" w:rsidRPr="00B916EC" w:rsidRDefault="00AA59B0" w:rsidP="003452BA">
            <w:pPr>
              <w:pStyle w:val="TAL"/>
              <w:rPr>
                <w:sz w:val="16"/>
                <w:szCs w:val="16"/>
                <w:lang w:eastAsia="zh-CN"/>
              </w:rPr>
            </w:pPr>
            <w:r w:rsidRPr="00B916EC">
              <w:rPr>
                <w:sz w:val="16"/>
                <w:szCs w:val="16"/>
                <w:lang w:eastAsia="zh-CN"/>
              </w:rPr>
              <w:t>RAN#</w:t>
            </w:r>
            <w:r>
              <w:rPr>
                <w:sz w:val="16"/>
                <w:szCs w:val="16"/>
                <w:lang w:eastAsia="zh-CN"/>
              </w:rPr>
              <w:t>103</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5C3781EE" w14:textId="085B3FD1" w:rsidR="00AA59B0" w:rsidRPr="002B6B38" w:rsidRDefault="00AA59B0" w:rsidP="003452BA">
            <w:pPr>
              <w:pStyle w:val="TAL"/>
              <w:rPr>
                <w:sz w:val="16"/>
                <w:szCs w:val="16"/>
                <w:lang w:eastAsia="zh-CN"/>
              </w:rPr>
            </w:pPr>
            <w:r w:rsidRPr="00AA59B0">
              <w:rPr>
                <w:sz w:val="16"/>
                <w:szCs w:val="16"/>
                <w:lang w:eastAsia="zh-CN"/>
              </w:rPr>
              <w:t>RP-240531</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588079BA" w14:textId="3BE64A59" w:rsidR="00AA59B0" w:rsidRDefault="00AA59B0" w:rsidP="003452BA">
            <w:pPr>
              <w:pStyle w:val="TAL"/>
              <w:rPr>
                <w:sz w:val="16"/>
                <w:szCs w:val="16"/>
              </w:rPr>
            </w:pPr>
            <w:r>
              <w:rPr>
                <w:sz w:val="16"/>
                <w:szCs w:val="16"/>
              </w:rPr>
              <w:t>0568</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53CAAE7C" w14:textId="77A6885E" w:rsidR="00AA59B0" w:rsidRDefault="00AA59B0" w:rsidP="003452BA">
            <w:pPr>
              <w:pStyle w:val="TAL"/>
              <w:jc w:val="center"/>
              <w:rPr>
                <w:sz w:val="16"/>
                <w:szCs w:val="16"/>
              </w:rPr>
            </w:pPr>
            <w:r>
              <w:rPr>
                <w:sz w:val="16"/>
                <w:szCs w:val="16"/>
              </w:rPr>
              <w:t>1</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2194A3B0" w14:textId="49700B24" w:rsidR="00AA59B0" w:rsidRDefault="00AA59B0" w:rsidP="003452BA">
            <w:pPr>
              <w:pStyle w:val="TAL"/>
              <w:rPr>
                <w:sz w:val="16"/>
              </w:rPr>
            </w:pPr>
            <w:r>
              <w:rPr>
                <w:sz w:val="16"/>
              </w:rPr>
              <w:t>B</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5E586C34" w14:textId="632996BA" w:rsidR="00AA59B0" w:rsidRPr="004660AA" w:rsidRDefault="00AA59B0" w:rsidP="003452BA">
            <w:pPr>
              <w:rPr>
                <w:rFonts w:ascii="Arial" w:hAnsi="Arial"/>
                <w:bCs/>
                <w:sz w:val="16"/>
              </w:rPr>
            </w:pPr>
            <w:r w:rsidRPr="00AA59B0">
              <w:rPr>
                <w:rFonts w:ascii="Arial" w:hAnsi="Arial"/>
                <w:bCs/>
                <w:sz w:val="16"/>
              </w:rPr>
              <w:t>Introduction of multiplexing in a PUSCH with repetitions HARQ-ACK associated with DL assignments received after an UL grant for the PUSCH [HARQ-ACK MUX on PUSCH]</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13BFBDC" w14:textId="3E923001" w:rsidR="00AA59B0" w:rsidRDefault="00AA59B0" w:rsidP="003452BA">
            <w:pPr>
              <w:pStyle w:val="TAL"/>
              <w:rPr>
                <w:sz w:val="16"/>
                <w:szCs w:val="16"/>
                <w:lang w:eastAsia="zh-CN"/>
              </w:rPr>
            </w:pPr>
            <w:r>
              <w:rPr>
                <w:sz w:val="16"/>
                <w:szCs w:val="16"/>
                <w:lang w:eastAsia="zh-CN"/>
              </w:rPr>
              <w:t>18.2.0</w:t>
            </w:r>
          </w:p>
        </w:tc>
      </w:tr>
      <w:tr w:rsidR="0052415A" w:rsidRPr="00B916EC" w14:paraId="243F75FF" w14:textId="77777777" w:rsidTr="003452BA">
        <w:tc>
          <w:tcPr>
            <w:tcW w:w="894" w:type="dxa"/>
            <w:tcBorders>
              <w:top w:val="single" w:sz="4" w:space="0" w:color="auto"/>
              <w:left w:val="single" w:sz="4" w:space="0" w:color="auto"/>
              <w:bottom w:val="single" w:sz="4" w:space="0" w:color="auto"/>
              <w:right w:val="single" w:sz="4" w:space="0" w:color="auto"/>
            </w:tcBorders>
            <w:shd w:val="solid" w:color="FFFFFF" w:fill="auto"/>
          </w:tcPr>
          <w:p w14:paraId="60D0D790" w14:textId="77777777" w:rsidR="0052415A" w:rsidRPr="00B916EC" w:rsidRDefault="0052415A" w:rsidP="003452BA">
            <w:pPr>
              <w:spacing w:after="0"/>
              <w:jc w:val="center"/>
              <w:rPr>
                <w:rFonts w:ascii="Arial" w:hAnsi="Arial"/>
                <w:snapToGrid w:val="0"/>
                <w:sz w:val="16"/>
                <w:szCs w:val="16"/>
              </w:rPr>
            </w:pPr>
            <w:r>
              <w:rPr>
                <w:rFonts w:ascii="Arial" w:hAnsi="Arial"/>
                <w:snapToGrid w:val="0"/>
                <w:sz w:val="16"/>
                <w:szCs w:val="16"/>
              </w:rPr>
              <w:t>2024-03</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46EA9477" w14:textId="77777777" w:rsidR="0052415A" w:rsidRPr="00B916EC" w:rsidRDefault="0052415A" w:rsidP="003452BA">
            <w:pPr>
              <w:pStyle w:val="TAL"/>
              <w:rPr>
                <w:sz w:val="16"/>
                <w:szCs w:val="16"/>
                <w:lang w:eastAsia="zh-CN"/>
              </w:rPr>
            </w:pPr>
            <w:r w:rsidRPr="00B916EC">
              <w:rPr>
                <w:sz w:val="16"/>
                <w:szCs w:val="16"/>
                <w:lang w:eastAsia="zh-CN"/>
              </w:rPr>
              <w:t>RAN#</w:t>
            </w:r>
            <w:r>
              <w:rPr>
                <w:sz w:val="16"/>
                <w:szCs w:val="16"/>
                <w:lang w:eastAsia="zh-CN"/>
              </w:rPr>
              <w:t>103</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304E7B50" w14:textId="294A2592" w:rsidR="0052415A" w:rsidRPr="002B6B38" w:rsidRDefault="0052415A" w:rsidP="003452BA">
            <w:pPr>
              <w:pStyle w:val="TAL"/>
              <w:rPr>
                <w:sz w:val="16"/>
                <w:szCs w:val="16"/>
                <w:lang w:eastAsia="zh-CN"/>
              </w:rPr>
            </w:pPr>
            <w:r w:rsidRPr="00AA59B0">
              <w:rPr>
                <w:sz w:val="16"/>
                <w:szCs w:val="16"/>
                <w:lang w:eastAsia="zh-CN"/>
              </w:rPr>
              <w:t>RP-2405</w:t>
            </w:r>
            <w:r>
              <w:rPr>
                <w:sz w:val="16"/>
                <w:szCs w:val="16"/>
                <w:lang w:eastAsia="zh-CN"/>
              </w:rPr>
              <w:t>4</w:t>
            </w:r>
            <w:r w:rsidRPr="00AA59B0">
              <w:rPr>
                <w:sz w:val="16"/>
                <w:szCs w:val="16"/>
                <w:lang w:eastAsia="zh-CN"/>
              </w:rPr>
              <w:t>1</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4DDD7CFC" w14:textId="01F3142D" w:rsidR="0052415A" w:rsidRDefault="0052415A" w:rsidP="003452BA">
            <w:pPr>
              <w:pStyle w:val="TAL"/>
              <w:rPr>
                <w:sz w:val="16"/>
                <w:szCs w:val="16"/>
              </w:rPr>
            </w:pPr>
            <w:r>
              <w:rPr>
                <w:sz w:val="16"/>
                <w:szCs w:val="16"/>
              </w:rPr>
              <w:t>0589</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4510AFFB" w14:textId="1035D3DB" w:rsidR="0052415A" w:rsidRDefault="0052415A" w:rsidP="003452BA">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2C3C0142" w14:textId="137359F4" w:rsidR="0052415A" w:rsidRDefault="0052415A" w:rsidP="003452BA">
            <w:pPr>
              <w:pStyle w:val="TAL"/>
              <w:rPr>
                <w:sz w:val="16"/>
              </w:rPr>
            </w:pPr>
            <w:r>
              <w:rPr>
                <w:sz w:val="16"/>
              </w:rPr>
              <w:t>A</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150908FC" w14:textId="5E786CB9" w:rsidR="0052415A" w:rsidRPr="004660AA" w:rsidRDefault="0052415A" w:rsidP="003452BA">
            <w:pPr>
              <w:rPr>
                <w:rFonts w:ascii="Arial" w:hAnsi="Arial"/>
                <w:bCs/>
                <w:sz w:val="16"/>
              </w:rPr>
            </w:pPr>
            <w:r w:rsidRPr="0052415A">
              <w:rPr>
                <w:rFonts w:ascii="Arial" w:hAnsi="Arial"/>
                <w:bCs/>
                <w:sz w:val="16"/>
              </w:rPr>
              <w:t>Correction on actual time domain window for DMRS bundling</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6AA7461" w14:textId="77777777" w:rsidR="0052415A" w:rsidRDefault="0052415A" w:rsidP="003452BA">
            <w:pPr>
              <w:pStyle w:val="TAL"/>
              <w:rPr>
                <w:sz w:val="16"/>
                <w:szCs w:val="16"/>
                <w:lang w:eastAsia="zh-CN"/>
              </w:rPr>
            </w:pPr>
            <w:r>
              <w:rPr>
                <w:sz w:val="16"/>
                <w:szCs w:val="16"/>
                <w:lang w:eastAsia="zh-CN"/>
              </w:rPr>
              <w:t>18.2.0</w:t>
            </w:r>
          </w:p>
        </w:tc>
      </w:tr>
      <w:tr w:rsidR="0052415A" w:rsidRPr="00B916EC" w14:paraId="5F78E4C6" w14:textId="77777777" w:rsidTr="003452BA">
        <w:tc>
          <w:tcPr>
            <w:tcW w:w="894" w:type="dxa"/>
            <w:tcBorders>
              <w:top w:val="single" w:sz="4" w:space="0" w:color="auto"/>
              <w:left w:val="single" w:sz="4" w:space="0" w:color="auto"/>
              <w:bottom w:val="single" w:sz="4" w:space="0" w:color="auto"/>
              <w:right w:val="single" w:sz="4" w:space="0" w:color="auto"/>
            </w:tcBorders>
            <w:shd w:val="solid" w:color="FFFFFF" w:fill="auto"/>
          </w:tcPr>
          <w:p w14:paraId="41924628" w14:textId="77777777" w:rsidR="0052415A" w:rsidRPr="00B916EC" w:rsidRDefault="0052415A" w:rsidP="003452BA">
            <w:pPr>
              <w:spacing w:after="0"/>
              <w:jc w:val="center"/>
              <w:rPr>
                <w:rFonts w:ascii="Arial" w:hAnsi="Arial"/>
                <w:snapToGrid w:val="0"/>
                <w:sz w:val="16"/>
                <w:szCs w:val="16"/>
              </w:rPr>
            </w:pPr>
            <w:r>
              <w:rPr>
                <w:rFonts w:ascii="Arial" w:hAnsi="Arial"/>
                <w:snapToGrid w:val="0"/>
                <w:sz w:val="16"/>
                <w:szCs w:val="16"/>
              </w:rPr>
              <w:t>2024-03</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239A3211" w14:textId="77777777" w:rsidR="0052415A" w:rsidRPr="00B916EC" w:rsidRDefault="0052415A" w:rsidP="003452BA">
            <w:pPr>
              <w:pStyle w:val="TAL"/>
              <w:rPr>
                <w:sz w:val="16"/>
                <w:szCs w:val="16"/>
                <w:lang w:eastAsia="zh-CN"/>
              </w:rPr>
            </w:pPr>
            <w:r w:rsidRPr="00B916EC">
              <w:rPr>
                <w:sz w:val="16"/>
                <w:szCs w:val="16"/>
                <w:lang w:eastAsia="zh-CN"/>
              </w:rPr>
              <w:t>RAN#</w:t>
            </w:r>
            <w:r>
              <w:rPr>
                <w:sz w:val="16"/>
                <w:szCs w:val="16"/>
                <w:lang w:eastAsia="zh-CN"/>
              </w:rPr>
              <w:t>103</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6D7F7F3A" w14:textId="7F8D8E60" w:rsidR="0052415A" w:rsidRPr="002B6B38" w:rsidRDefault="0052415A" w:rsidP="003452BA">
            <w:pPr>
              <w:pStyle w:val="TAL"/>
              <w:rPr>
                <w:sz w:val="16"/>
                <w:szCs w:val="16"/>
                <w:lang w:eastAsia="zh-CN"/>
              </w:rPr>
            </w:pPr>
            <w:r w:rsidRPr="0052415A">
              <w:rPr>
                <w:sz w:val="16"/>
                <w:szCs w:val="16"/>
                <w:lang w:eastAsia="zh-CN"/>
              </w:rPr>
              <w:t>RP-240534</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4F40D818" w14:textId="1A02ECED" w:rsidR="0052415A" w:rsidRDefault="0052415A" w:rsidP="003452BA">
            <w:pPr>
              <w:pStyle w:val="TAL"/>
              <w:rPr>
                <w:sz w:val="16"/>
                <w:szCs w:val="16"/>
              </w:rPr>
            </w:pPr>
            <w:r>
              <w:rPr>
                <w:sz w:val="16"/>
                <w:szCs w:val="16"/>
              </w:rPr>
              <w:t>0591</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05AEECA9" w14:textId="77777777" w:rsidR="0052415A" w:rsidRDefault="0052415A" w:rsidP="003452BA">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22B9BE01" w14:textId="77777777" w:rsidR="0052415A" w:rsidRDefault="0052415A" w:rsidP="003452BA">
            <w:pPr>
              <w:pStyle w:val="TAL"/>
              <w:rPr>
                <w:sz w:val="16"/>
              </w:rPr>
            </w:pPr>
            <w:r>
              <w:rPr>
                <w:sz w:val="16"/>
              </w:rPr>
              <w:t>A</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4ABADF17" w14:textId="646FA8BE" w:rsidR="0052415A" w:rsidRPr="004660AA" w:rsidRDefault="0052415A" w:rsidP="003452BA">
            <w:pPr>
              <w:rPr>
                <w:rFonts w:ascii="Arial" w:hAnsi="Arial"/>
                <w:bCs/>
                <w:sz w:val="16"/>
              </w:rPr>
            </w:pPr>
            <w:r w:rsidRPr="0052415A">
              <w:rPr>
                <w:rFonts w:ascii="Arial" w:hAnsi="Arial"/>
                <w:bCs/>
                <w:sz w:val="16"/>
              </w:rPr>
              <w:t>Correction on Case 1 dormancy operation with data scheduling</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E0D4E11" w14:textId="77777777" w:rsidR="0052415A" w:rsidRDefault="0052415A" w:rsidP="003452BA">
            <w:pPr>
              <w:pStyle w:val="TAL"/>
              <w:rPr>
                <w:sz w:val="16"/>
                <w:szCs w:val="16"/>
                <w:lang w:eastAsia="zh-CN"/>
              </w:rPr>
            </w:pPr>
            <w:r>
              <w:rPr>
                <w:sz w:val="16"/>
                <w:szCs w:val="16"/>
                <w:lang w:eastAsia="zh-CN"/>
              </w:rPr>
              <w:t>18.2.0</w:t>
            </w:r>
          </w:p>
        </w:tc>
      </w:tr>
      <w:tr w:rsidR="00925C2C" w:rsidRPr="00B916EC" w14:paraId="32DB0098" w14:textId="77777777" w:rsidTr="003452BA">
        <w:tc>
          <w:tcPr>
            <w:tcW w:w="894" w:type="dxa"/>
            <w:tcBorders>
              <w:top w:val="single" w:sz="4" w:space="0" w:color="auto"/>
              <w:left w:val="single" w:sz="4" w:space="0" w:color="auto"/>
              <w:bottom w:val="single" w:sz="4" w:space="0" w:color="auto"/>
              <w:right w:val="single" w:sz="4" w:space="0" w:color="auto"/>
            </w:tcBorders>
            <w:shd w:val="solid" w:color="FFFFFF" w:fill="auto"/>
          </w:tcPr>
          <w:p w14:paraId="24877CB0" w14:textId="77777777" w:rsidR="00925C2C" w:rsidRPr="00B916EC" w:rsidRDefault="00925C2C" w:rsidP="003452BA">
            <w:pPr>
              <w:spacing w:after="0"/>
              <w:jc w:val="center"/>
              <w:rPr>
                <w:rFonts w:ascii="Arial" w:hAnsi="Arial"/>
                <w:snapToGrid w:val="0"/>
                <w:sz w:val="16"/>
                <w:szCs w:val="16"/>
              </w:rPr>
            </w:pPr>
            <w:r>
              <w:rPr>
                <w:rFonts w:ascii="Arial" w:hAnsi="Arial"/>
                <w:snapToGrid w:val="0"/>
                <w:sz w:val="16"/>
                <w:szCs w:val="16"/>
              </w:rPr>
              <w:t>2024-03</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7CC73537" w14:textId="77777777" w:rsidR="00925C2C" w:rsidRPr="00B916EC" w:rsidRDefault="00925C2C" w:rsidP="003452BA">
            <w:pPr>
              <w:pStyle w:val="TAL"/>
              <w:rPr>
                <w:sz w:val="16"/>
                <w:szCs w:val="16"/>
                <w:lang w:eastAsia="zh-CN"/>
              </w:rPr>
            </w:pPr>
            <w:r w:rsidRPr="00B916EC">
              <w:rPr>
                <w:sz w:val="16"/>
                <w:szCs w:val="16"/>
                <w:lang w:eastAsia="zh-CN"/>
              </w:rPr>
              <w:t>RAN#</w:t>
            </w:r>
            <w:r>
              <w:rPr>
                <w:sz w:val="16"/>
                <w:szCs w:val="16"/>
                <w:lang w:eastAsia="zh-CN"/>
              </w:rPr>
              <w:t>103</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0151718D" w14:textId="4D15590A" w:rsidR="00925C2C" w:rsidRPr="002B6B38" w:rsidRDefault="00925C2C" w:rsidP="003452BA">
            <w:pPr>
              <w:pStyle w:val="TAL"/>
              <w:rPr>
                <w:sz w:val="16"/>
                <w:szCs w:val="16"/>
                <w:lang w:eastAsia="zh-CN"/>
              </w:rPr>
            </w:pPr>
            <w:r w:rsidRPr="00925C2C">
              <w:rPr>
                <w:sz w:val="16"/>
                <w:szCs w:val="16"/>
                <w:lang w:eastAsia="zh-CN"/>
              </w:rPr>
              <w:t>RP-240530</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2C7DD75C" w14:textId="629989F0" w:rsidR="00925C2C" w:rsidRDefault="00925C2C" w:rsidP="003452BA">
            <w:pPr>
              <w:pStyle w:val="TAL"/>
              <w:rPr>
                <w:sz w:val="16"/>
                <w:szCs w:val="16"/>
              </w:rPr>
            </w:pPr>
            <w:r>
              <w:rPr>
                <w:sz w:val="16"/>
                <w:szCs w:val="16"/>
              </w:rPr>
              <w:t>0592</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72BBB38B" w14:textId="77777777" w:rsidR="00925C2C" w:rsidRDefault="00925C2C" w:rsidP="003452BA">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25E3E002" w14:textId="3450CB9B" w:rsidR="00925C2C" w:rsidRDefault="00925C2C" w:rsidP="003452BA">
            <w:pPr>
              <w:pStyle w:val="TAL"/>
              <w:rPr>
                <w:sz w:val="16"/>
              </w:rPr>
            </w:pPr>
            <w:r>
              <w:rPr>
                <w:sz w:val="16"/>
              </w:rPr>
              <w:t>F</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32157C60" w14:textId="61389B01" w:rsidR="00925C2C" w:rsidRPr="004660AA" w:rsidRDefault="00925C2C" w:rsidP="003452BA">
            <w:pPr>
              <w:rPr>
                <w:rFonts w:ascii="Arial" w:hAnsi="Arial"/>
                <w:bCs/>
                <w:sz w:val="16"/>
              </w:rPr>
            </w:pPr>
            <w:r w:rsidRPr="00925C2C">
              <w:rPr>
                <w:rFonts w:ascii="Arial" w:hAnsi="Arial"/>
                <w:bCs/>
                <w:sz w:val="16"/>
              </w:rPr>
              <w:t>Correction of RRC parameter names and applicable configuration for UTO-UCI indication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D514BEF" w14:textId="77777777" w:rsidR="00925C2C" w:rsidRDefault="00925C2C" w:rsidP="003452BA">
            <w:pPr>
              <w:pStyle w:val="TAL"/>
              <w:rPr>
                <w:sz w:val="16"/>
                <w:szCs w:val="16"/>
                <w:lang w:eastAsia="zh-CN"/>
              </w:rPr>
            </w:pPr>
            <w:r>
              <w:rPr>
                <w:sz w:val="16"/>
                <w:szCs w:val="16"/>
                <w:lang w:eastAsia="zh-CN"/>
              </w:rPr>
              <w:t>18.2.0</w:t>
            </w:r>
          </w:p>
        </w:tc>
      </w:tr>
      <w:tr w:rsidR="00ED4966" w:rsidRPr="00B916EC" w14:paraId="7B87B050" w14:textId="77777777" w:rsidTr="003452BA">
        <w:tc>
          <w:tcPr>
            <w:tcW w:w="894" w:type="dxa"/>
            <w:tcBorders>
              <w:top w:val="single" w:sz="4" w:space="0" w:color="auto"/>
              <w:left w:val="single" w:sz="4" w:space="0" w:color="auto"/>
              <w:bottom w:val="single" w:sz="4" w:space="0" w:color="auto"/>
              <w:right w:val="single" w:sz="4" w:space="0" w:color="auto"/>
            </w:tcBorders>
            <w:shd w:val="solid" w:color="FFFFFF" w:fill="auto"/>
          </w:tcPr>
          <w:p w14:paraId="12752D0F" w14:textId="77777777" w:rsidR="00ED4966" w:rsidRPr="00B916EC" w:rsidRDefault="00ED4966" w:rsidP="003452BA">
            <w:pPr>
              <w:spacing w:after="0"/>
              <w:jc w:val="center"/>
              <w:rPr>
                <w:rFonts w:ascii="Arial" w:hAnsi="Arial"/>
                <w:snapToGrid w:val="0"/>
                <w:sz w:val="16"/>
                <w:szCs w:val="16"/>
              </w:rPr>
            </w:pPr>
            <w:r>
              <w:rPr>
                <w:rFonts w:ascii="Arial" w:hAnsi="Arial"/>
                <w:snapToGrid w:val="0"/>
                <w:sz w:val="16"/>
                <w:szCs w:val="16"/>
              </w:rPr>
              <w:t>2024-03</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344E4C73" w14:textId="77777777" w:rsidR="00ED4966" w:rsidRPr="00B916EC" w:rsidRDefault="00ED4966" w:rsidP="003452BA">
            <w:pPr>
              <w:pStyle w:val="TAL"/>
              <w:rPr>
                <w:sz w:val="16"/>
                <w:szCs w:val="16"/>
                <w:lang w:eastAsia="zh-CN"/>
              </w:rPr>
            </w:pPr>
            <w:r w:rsidRPr="00B916EC">
              <w:rPr>
                <w:sz w:val="16"/>
                <w:szCs w:val="16"/>
                <w:lang w:eastAsia="zh-CN"/>
              </w:rPr>
              <w:t>RAN#</w:t>
            </w:r>
            <w:r>
              <w:rPr>
                <w:sz w:val="16"/>
                <w:szCs w:val="16"/>
                <w:lang w:eastAsia="zh-CN"/>
              </w:rPr>
              <w:t>103</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3AD7B3DD" w14:textId="5E67A00A" w:rsidR="00ED4966" w:rsidRPr="002B6B38" w:rsidRDefault="00ED4966" w:rsidP="003452BA">
            <w:pPr>
              <w:pStyle w:val="TAL"/>
              <w:rPr>
                <w:sz w:val="16"/>
                <w:szCs w:val="16"/>
                <w:lang w:eastAsia="zh-CN"/>
              </w:rPr>
            </w:pPr>
            <w:r w:rsidRPr="00ED4966">
              <w:rPr>
                <w:sz w:val="16"/>
                <w:szCs w:val="16"/>
                <w:lang w:eastAsia="zh-CN"/>
              </w:rPr>
              <w:t>RP-240532</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001C0832" w14:textId="27FD90A7" w:rsidR="00ED4966" w:rsidRDefault="00ED4966" w:rsidP="003452BA">
            <w:pPr>
              <w:pStyle w:val="TAL"/>
              <w:rPr>
                <w:sz w:val="16"/>
                <w:szCs w:val="16"/>
              </w:rPr>
            </w:pPr>
            <w:r>
              <w:rPr>
                <w:sz w:val="16"/>
                <w:szCs w:val="16"/>
              </w:rPr>
              <w:t>0595</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4E7310A6" w14:textId="77777777" w:rsidR="00ED4966" w:rsidRDefault="00ED4966" w:rsidP="003452BA">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2F5289C6" w14:textId="043173A4" w:rsidR="00ED4966" w:rsidRDefault="00ED4966" w:rsidP="003452BA">
            <w:pPr>
              <w:pStyle w:val="TAL"/>
              <w:rPr>
                <w:sz w:val="16"/>
              </w:rPr>
            </w:pPr>
            <w:r>
              <w:rPr>
                <w:sz w:val="16"/>
              </w:rPr>
              <w:t>A</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0C7C2E26" w14:textId="56F6E94F" w:rsidR="00ED4966" w:rsidRPr="004660AA" w:rsidRDefault="00ED4966" w:rsidP="003452BA">
            <w:pPr>
              <w:rPr>
                <w:rFonts w:ascii="Arial" w:hAnsi="Arial"/>
                <w:bCs/>
                <w:sz w:val="16"/>
              </w:rPr>
            </w:pPr>
            <w:r w:rsidRPr="00ED4966">
              <w:rPr>
                <w:rFonts w:ascii="Arial" w:hAnsi="Arial"/>
                <w:bCs/>
                <w:sz w:val="16"/>
              </w:rPr>
              <w:t>Correction to SL transmission power without an RSRP report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3032AA5" w14:textId="77777777" w:rsidR="00ED4966" w:rsidRDefault="00ED4966" w:rsidP="003452BA">
            <w:pPr>
              <w:pStyle w:val="TAL"/>
              <w:rPr>
                <w:sz w:val="16"/>
                <w:szCs w:val="16"/>
                <w:lang w:eastAsia="zh-CN"/>
              </w:rPr>
            </w:pPr>
            <w:r>
              <w:rPr>
                <w:sz w:val="16"/>
                <w:szCs w:val="16"/>
                <w:lang w:eastAsia="zh-CN"/>
              </w:rPr>
              <w:t>18.2.0</w:t>
            </w:r>
          </w:p>
        </w:tc>
      </w:tr>
      <w:tr w:rsidR="00ED4966" w:rsidRPr="00B916EC" w14:paraId="55C1BC9B" w14:textId="77777777" w:rsidTr="003452BA">
        <w:tc>
          <w:tcPr>
            <w:tcW w:w="894" w:type="dxa"/>
            <w:tcBorders>
              <w:top w:val="single" w:sz="4" w:space="0" w:color="auto"/>
              <w:left w:val="single" w:sz="4" w:space="0" w:color="auto"/>
              <w:bottom w:val="single" w:sz="4" w:space="0" w:color="auto"/>
              <w:right w:val="single" w:sz="4" w:space="0" w:color="auto"/>
            </w:tcBorders>
            <w:shd w:val="solid" w:color="FFFFFF" w:fill="auto"/>
          </w:tcPr>
          <w:p w14:paraId="241C1BF7" w14:textId="77777777" w:rsidR="00ED4966" w:rsidRPr="00B916EC" w:rsidRDefault="00ED4966" w:rsidP="003452BA">
            <w:pPr>
              <w:spacing w:after="0"/>
              <w:jc w:val="center"/>
              <w:rPr>
                <w:rFonts w:ascii="Arial" w:hAnsi="Arial"/>
                <w:snapToGrid w:val="0"/>
                <w:sz w:val="16"/>
                <w:szCs w:val="16"/>
              </w:rPr>
            </w:pPr>
            <w:r>
              <w:rPr>
                <w:rFonts w:ascii="Arial" w:hAnsi="Arial"/>
                <w:snapToGrid w:val="0"/>
                <w:sz w:val="16"/>
                <w:szCs w:val="16"/>
              </w:rPr>
              <w:t>2024-03</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656998DD" w14:textId="77777777" w:rsidR="00ED4966" w:rsidRPr="00B916EC" w:rsidRDefault="00ED4966" w:rsidP="003452BA">
            <w:pPr>
              <w:pStyle w:val="TAL"/>
              <w:rPr>
                <w:sz w:val="16"/>
                <w:szCs w:val="16"/>
                <w:lang w:eastAsia="zh-CN"/>
              </w:rPr>
            </w:pPr>
            <w:r w:rsidRPr="00B916EC">
              <w:rPr>
                <w:sz w:val="16"/>
                <w:szCs w:val="16"/>
                <w:lang w:eastAsia="zh-CN"/>
              </w:rPr>
              <w:t>RAN#</w:t>
            </w:r>
            <w:r>
              <w:rPr>
                <w:sz w:val="16"/>
                <w:szCs w:val="16"/>
                <w:lang w:eastAsia="zh-CN"/>
              </w:rPr>
              <w:t>103</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1F1A30BA" w14:textId="4DC7FDAF" w:rsidR="00ED4966" w:rsidRPr="002B6B38" w:rsidRDefault="00ED4966" w:rsidP="003452BA">
            <w:pPr>
              <w:pStyle w:val="TAL"/>
              <w:rPr>
                <w:sz w:val="16"/>
                <w:szCs w:val="16"/>
                <w:lang w:eastAsia="zh-CN"/>
              </w:rPr>
            </w:pPr>
            <w:r w:rsidRPr="00ED4966">
              <w:rPr>
                <w:sz w:val="16"/>
                <w:szCs w:val="16"/>
                <w:lang w:eastAsia="zh-CN"/>
              </w:rPr>
              <w:t>RP-240525</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4ACC0C43" w14:textId="638D30BD" w:rsidR="00ED4966" w:rsidRDefault="00ED4966" w:rsidP="003452BA">
            <w:pPr>
              <w:pStyle w:val="TAL"/>
              <w:rPr>
                <w:sz w:val="16"/>
                <w:szCs w:val="16"/>
              </w:rPr>
            </w:pPr>
            <w:r>
              <w:rPr>
                <w:sz w:val="16"/>
                <w:szCs w:val="16"/>
              </w:rPr>
              <w:t>0596</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10FF4521" w14:textId="77777777" w:rsidR="00ED4966" w:rsidRDefault="00ED4966" w:rsidP="003452BA">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2C0BADD9" w14:textId="440F3523" w:rsidR="00ED4966" w:rsidRDefault="00ED4966" w:rsidP="003452BA">
            <w:pPr>
              <w:pStyle w:val="TAL"/>
              <w:rPr>
                <w:sz w:val="16"/>
              </w:rPr>
            </w:pPr>
            <w:r>
              <w:rPr>
                <w:sz w:val="16"/>
              </w:rPr>
              <w:t>F</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571933C6" w14:textId="7E3F627D" w:rsidR="00ED4966" w:rsidRPr="004660AA" w:rsidRDefault="00ED4966" w:rsidP="003452BA">
            <w:pPr>
              <w:rPr>
                <w:rFonts w:ascii="Arial" w:hAnsi="Arial"/>
                <w:bCs/>
                <w:sz w:val="16"/>
              </w:rPr>
            </w:pPr>
            <w:r w:rsidRPr="00ED4966">
              <w:rPr>
                <w:rFonts w:ascii="Arial" w:hAnsi="Arial"/>
                <w:bCs/>
                <w:sz w:val="16"/>
              </w:rPr>
              <w:t>CR on PDCCH monitoring for dedicated spectrum less than 5 MHz</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CE419E1" w14:textId="77777777" w:rsidR="00ED4966" w:rsidRDefault="00ED4966" w:rsidP="003452BA">
            <w:pPr>
              <w:pStyle w:val="TAL"/>
              <w:rPr>
                <w:sz w:val="16"/>
                <w:szCs w:val="16"/>
                <w:lang w:eastAsia="zh-CN"/>
              </w:rPr>
            </w:pPr>
            <w:r>
              <w:rPr>
                <w:sz w:val="16"/>
                <w:szCs w:val="16"/>
                <w:lang w:eastAsia="zh-CN"/>
              </w:rPr>
              <w:t>18.2.0</w:t>
            </w:r>
          </w:p>
        </w:tc>
      </w:tr>
      <w:tr w:rsidR="002D6752" w:rsidRPr="00B916EC" w14:paraId="66611F61" w14:textId="77777777" w:rsidTr="003452BA">
        <w:tc>
          <w:tcPr>
            <w:tcW w:w="894" w:type="dxa"/>
            <w:tcBorders>
              <w:top w:val="single" w:sz="4" w:space="0" w:color="auto"/>
              <w:left w:val="single" w:sz="4" w:space="0" w:color="auto"/>
              <w:bottom w:val="single" w:sz="4" w:space="0" w:color="auto"/>
              <w:right w:val="single" w:sz="4" w:space="0" w:color="auto"/>
            </w:tcBorders>
            <w:shd w:val="solid" w:color="FFFFFF" w:fill="auto"/>
          </w:tcPr>
          <w:p w14:paraId="30D5B825" w14:textId="77777777" w:rsidR="002D6752" w:rsidRPr="00B916EC" w:rsidRDefault="002D6752" w:rsidP="003452BA">
            <w:pPr>
              <w:spacing w:after="0"/>
              <w:jc w:val="center"/>
              <w:rPr>
                <w:rFonts w:ascii="Arial" w:hAnsi="Arial"/>
                <w:snapToGrid w:val="0"/>
                <w:sz w:val="16"/>
                <w:szCs w:val="16"/>
              </w:rPr>
            </w:pPr>
            <w:r>
              <w:rPr>
                <w:rFonts w:ascii="Arial" w:hAnsi="Arial"/>
                <w:snapToGrid w:val="0"/>
                <w:sz w:val="16"/>
                <w:szCs w:val="16"/>
              </w:rPr>
              <w:lastRenderedPageBreak/>
              <w:t>2024-03</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120629BA" w14:textId="77777777" w:rsidR="002D6752" w:rsidRPr="00B916EC" w:rsidRDefault="002D6752" w:rsidP="003452BA">
            <w:pPr>
              <w:pStyle w:val="TAL"/>
              <w:rPr>
                <w:sz w:val="16"/>
                <w:szCs w:val="16"/>
                <w:lang w:eastAsia="zh-CN"/>
              </w:rPr>
            </w:pPr>
            <w:r w:rsidRPr="00B916EC">
              <w:rPr>
                <w:sz w:val="16"/>
                <w:szCs w:val="16"/>
                <w:lang w:eastAsia="zh-CN"/>
              </w:rPr>
              <w:t>RAN#</w:t>
            </w:r>
            <w:r>
              <w:rPr>
                <w:sz w:val="16"/>
                <w:szCs w:val="16"/>
                <w:lang w:eastAsia="zh-CN"/>
              </w:rPr>
              <w:t>103</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117B8696" w14:textId="7C15D571" w:rsidR="002D6752" w:rsidRPr="002B6B38" w:rsidRDefault="002D6752" w:rsidP="003452BA">
            <w:pPr>
              <w:pStyle w:val="TAL"/>
              <w:rPr>
                <w:sz w:val="16"/>
                <w:szCs w:val="16"/>
                <w:lang w:eastAsia="zh-CN"/>
              </w:rPr>
            </w:pPr>
            <w:r w:rsidRPr="002D6752">
              <w:rPr>
                <w:sz w:val="16"/>
                <w:szCs w:val="16"/>
                <w:lang w:eastAsia="zh-CN"/>
              </w:rPr>
              <w:t>RP-240534</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4AE6DCF1" w14:textId="47BECC2C" w:rsidR="002D6752" w:rsidRDefault="002D6752" w:rsidP="003452BA">
            <w:pPr>
              <w:pStyle w:val="TAL"/>
              <w:rPr>
                <w:sz w:val="16"/>
                <w:szCs w:val="16"/>
              </w:rPr>
            </w:pPr>
            <w:r>
              <w:rPr>
                <w:sz w:val="16"/>
                <w:szCs w:val="16"/>
              </w:rPr>
              <w:t>0598</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15B6E916" w14:textId="77777777" w:rsidR="002D6752" w:rsidRDefault="002D6752" w:rsidP="003452BA">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2518BB2C" w14:textId="14E3CC41" w:rsidR="002D6752" w:rsidRDefault="002D6752" w:rsidP="003452BA">
            <w:pPr>
              <w:pStyle w:val="TAL"/>
              <w:rPr>
                <w:sz w:val="16"/>
              </w:rPr>
            </w:pPr>
            <w:r>
              <w:rPr>
                <w:sz w:val="16"/>
              </w:rPr>
              <w:t>A</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40D15A15" w14:textId="544799C4" w:rsidR="002D6752" w:rsidRPr="004660AA" w:rsidRDefault="002D6752" w:rsidP="003452BA">
            <w:pPr>
              <w:rPr>
                <w:rFonts w:ascii="Arial" w:hAnsi="Arial"/>
                <w:bCs/>
                <w:sz w:val="16"/>
              </w:rPr>
            </w:pPr>
            <w:r w:rsidRPr="002D6752">
              <w:rPr>
                <w:rFonts w:ascii="Arial" w:hAnsi="Arial"/>
                <w:bCs/>
                <w:sz w:val="16"/>
              </w:rPr>
              <w:t>Clarification on SCell Type 1 virtual PHR reporting in UL CA</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A799BF7" w14:textId="77777777" w:rsidR="002D6752" w:rsidRDefault="002D6752" w:rsidP="003452BA">
            <w:pPr>
              <w:pStyle w:val="TAL"/>
              <w:rPr>
                <w:sz w:val="16"/>
                <w:szCs w:val="16"/>
                <w:lang w:eastAsia="zh-CN"/>
              </w:rPr>
            </w:pPr>
            <w:r>
              <w:rPr>
                <w:sz w:val="16"/>
                <w:szCs w:val="16"/>
                <w:lang w:eastAsia="zh-CN"/>
              </w:rPr>
              <w:t>18.2.0</w:t>
            </w:r>
          </w:p>
        </w:tc>
      </w:tr>
      <w:tr w:rsidR="00C94BE1" w:rsidRPr="00B916EC" w14:paraId="1E8C71A9" w14:textId="77777777" w:rsidTr="003452BA">
        <w:tc>
          <w:tcPr>
            <w:tcW w:w="894" w:type="dxa"/>
            <w:tcBorders>
              <w:top w:val="single" w:sz="4" w:space="0" w:color="auto"/>
              <w:left w:val="single" w:sz="4" w:space="0" w:color="auto"/>
              <w:bottom w:val="single" w:sz="4" w:space="0" w:color="auto"/>
              <w:right w:val="single" w:sz="4" w:space="0" w:color="auto"/>
            </w:tcBorders>
            <w:shd w:val="solid" w:color="FFFFFF" w:fill="auto"/>
          </w:tcPr>
          <w:p w14:paraId="53D24B77" w14:textId="77777777" w:rsidR="00C94BE1" w:rsidRPr="00B916EC" w:rsidRDefault="00C94BE1" w:rsidP="003452BA">
            <w:pPr>
              <w:spacing w:after="0"/>
              <w:jc w:val="center"/>
              <w:rPr>
                <w:rFonts w:ascii="Arial" w:hAnsi="Arial"/>
                <w:snapToGrid w:val="0"/>
                <w:sz w:val="16"/>
                <w:szCs w:val="16"/>
              </w:rPr>
            </w:pPr>
            <w:r>
              <w:rPr>
                <w:rFonts w:ascii="Arial" w:hAnsi="Arial"/>
                <w:snapToGrid w:val="0"/>
                <w:sz w:val="16"/>
                <w:szCs w:val="16"/>
              </w:rPr>
              <w:t>2024-03</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45A5FAF5" w14:textId="77777777" w:rsidR="00C94BE1" w:rsidRPr="00B916EC" w:rsidRDefault="00C94BE1" w:rsidP="003452BA">
            <w:pPr>
              <w:pStyle w:val="TAL"/>
              <w:rPr>
                <w:sz w:val="16"/>
                <w:szCs w:val="16"/>
                <w:lang w:eastAsia="zh-CN"/>
              </w:rPr>
            </w:pPr>
            <w:r w:rsidRPr="00B916EC">
              <w:rPr>
                <w:sz w:val="16"/>
                <w:szCs w:val="16"/>
                <w:lang w:eastAsia="zh-CN"/>
              </w:rPr>
              <w:t>RAN#</w:t>
            </w:r>
            <w:r>
              <w:rPr>
                <w:sz w:val="16"/>
                <w:szCs w:val="16"/>
                <w:lang w:eastAsia="zh-CN"/>
              </w:rPr>
              <w:t>103</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0B9963F8" w14:textId="1C9B9664" w:rsidR="00C94BE1" w:rsidRPr="002B6B38" w:rsidRDefault="00C94BE1" w:rsidP="003452BA">
            <w:pPr>
              <w:pStyle w:val="TAL"/>
              <w:rPr>
                <w:sz w:val="16"/>
                <w:szCs w:val="16"/>
                <w:lang w:eastAsia="zh-CN"/>
              </w:rPr>
            </w:pPr>
            <w:r w:rsidRPr="00C94BE1">
              <w:rPr>
                <w:sz w:val="16"/>
                <w:szCs w:val="16"/>
                <w:lang w:eastAsia="zh-CN"/>
              </w:rPr>
              <w:t>RP-240529</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169CE834" w14:textId="54522AB0" w:rsidR="00C94BE1" w:rsidRDefault="00C94BE1" w:rsidP="003452BA">
            <w:pPr>
              <w:pStyle w:val="TAL"/>
              <w:rPr>
                <w:sz w:val="16"/>
                <w:szCs w:val="16"/>
              </w:rPr>
            </w:pPr>
            <w:r>
              <w:rPr>
                <w:sz w:val="16"/>
                <w:szCs w:val="16"/>
              </w:rPr>
              <w:t>0599</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1C84D4D4" w14:textId="77777777" w:rsidR="00C94BE1" w:rsidRDefault="00C94BE1" w:rsidP="003452BA">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2EE59CDD" w14:textId="3B820990" w:rsidR="00C94BE1" w:rsidRDefault="00C94BE1" w:rsidP="003452BA">
            <w:pPr>
              <w:pStyle w:val="TAL"/>
              <w:rPr>
                <w:sz w:val="16"/>
              </w:rPr>
            </w:pPr>
            <w:r>
              <w:rPr>
                <w:sz w:val="16"/>
              </w:rPr>
              <w:t>F</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39BF8794" w14:textId="25387086" w:rsidR="00C94BE1" w:rsidRPr="004660AA" w:rsidRDefault="00C94BE1" w:rsidP="003452BA">
            <w:pPr>
              <w:rPr>
                <w:rFonts w:ascii="Arial" w:hAnsi="Arial"/>
                <w:bCs/>
                <w:sz w:val="16"/>
              </w:rPr>
            </w:pPr>
            <w:r w:rsidRPr="00C94BE1">
              <w:rPr>
                <w:rFonts w:ascii="Arial" w:hAnsi="Arial"/>
                <w:bCs/>
                <w:sz w:val="16"/>
              </w:rPr>
              <w:t>Maintenance of network energy savings for NR</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3C10293" w14:textId="77777777" w:rsidR="00C94BE1" w:rsidRDefault="00C94BE1" w:rsidP="003452BA">
            <w:pPr>
              <w:pStyle w:val="TAL"/>
              <w:rPr>
                <w:sz w:val="16"/>
                <w:szCs w:val="16"/>
                <w:lang w:eastAsia="zh-CN"/>
              </w:rPr>
            </w:pPr>
            <w:r>
              <w:rPr>
                <w:sz w:val="16"/>
                <w:szCs w:val="16"/>
                <w:lang w:eastAsia="zh-CN"/>
              </w:rPr>
              <w:t>18.2.0</w:t>
            </w:r>
          </w:p>
        </w:tc>
      </w:tr>
      <w:tr w:rsidR="00FB3761" w:rsidRPr="00B916EC" w14:paraId="28EB2FF2" w14:textId="77777777" w:rsidTr="003452BA">
        <w:tc>
          <w:tcPr>
            <w:tcW w:w="894" w:type="dxa"/>
            <w:tcBorders>
              <w:top w:val="single" w:sz="4" w:space="0" w:color="auto"/>
              <w:left w:val="single" w:sz="4" w:space="0" w:color="auto"/>
              <w:bottom w:val="single" w:sz="4" w:space="0" w:color="auto"/>
              <w:right w:val="single" w:sz="4" w:space="0" w:color="auto"/>
            </w:tcBorders>
            <w:shd w:val="solid" w:color="FFFFFF" w:fill="auto"/>
          </w:tcPr>
          <w:p w14:paraId="5E41611F" w14:textId="77777777" w:rsidR="00FB3761" w:rsidRPr="00B916EC" w:rsidRDefault="00FB3761" w:rsidP="003452BA">
            <w:pPr>
              <w:spacing w:after="0"/>
              <w:jc w:val="center"/>
              <w:rPr>
                <w:rFonts w:ascii="Arial" w:hAnsi="Arial"/>
                <w:snapToGrid w:val="0"/>
                <w:sz w:val="16"/>
                <w:szCs w:val="16"/>
              </w:rPr>
            </w:pPr>
            <w:r>
              <w:rPr>
                <w:rFonts w:ascii="Arial" w:hAnsi="Arial"/>
                <w:snapToGrid w:val="0"/>
                <w:sz w:val="16"/>
                <w:szCs w:val="16"/>
              </w:rPr>
              <w:t>2024-03</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0D37C22D" w14:textId="77777777" w:rsidR="00FB3761" w:rsidRPr="00B916EC" w:rsidRDefault="00FB3761" w:rsidP="003452BA">
            <w:pPr>
              <w:pStyle w:val="TAL"/>
              <w:rPr>
                <w:sz w:val="16"/>
                <w:szCs w:val="16"/>
                <w:lang w:eastAsia="zh-CN"/>
              </w:rPr>
            </w:pPr>
            <w:r w:rsidRPr="00B916EC">
              <w:rPr>
                <w:sz w:val="16"/>
                <w:szCs w:val="16"/>
                <w:lang w:eastAsia="zh-CN"/>
              </w:rPr>
              <w:t>RAN#</w:t>
            </w:r>
            <w:r>
              <w:rPr>
                <w:sz w:val="16"/>
                <w:szCs w:val="16"/>
                <w:lang w:eastAsia="zh-CN"/>
              </w:rPr>
              <w:t>103</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2F20E41B" w14:textId="54D31E76" w:rsidR="00FB3761" w:rsidRPr="002B6B38" w:rsidRDefault="00FB3761" w:rsidP="003452BA">
            <w:pPr>
              <w:pStyle w:val="TAL"/>
              <w:rPr>
                <w:sz w:val="16"/>
                <w:szCs w:val="16"/>
                <w:lang w:eastAsia="zh-CN"/>
              </w:rPr>
            </w:pPr>
            <w:r w:rsidRPr="00FB3761">
              <w:rPr>
                <w:sz w:val="16"/>
                <w:szCs w:val="16"/>
                <w:lang w:eastAsia="zh-CN"/>
              </w:rPr>
              <w:t>RP-240540</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1BDBBCA6" w14:textId="324C4CF9" w:rsidR="00FB3761" w:rsidRDefault="00FB3761" w:rsidP="003452BA">
            <w:pPr>
              <w:pStyle w:val="TAL"/>
              <w:rPr>
                <w:sz w:val="16"/>
                <w:szCs w:val="16"/>
              </w:rPr>
            </w:pPr>
            <w:r>
              <w:rPr>
                <w:sz w:val="16"/>
                <w:szCs w:val="16"/>
              </w:rPr>
              <w:t>0600</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57E0E1CD" w14:textId="77777777" w:rsidR="00FB3761" w:rsidRDefault="00FB3761" w:rsidP="003452BA">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694369D6" w14:textId="77777777" w:rsidR="00FB3761" w:rsidRDefault="00FB3761" w:rsidP="003452BA">
            <w:pPr>
              <w:pStyle w:val="TAL"/>
              <w:rPr>
                <w:sz w:val="16"/>
              </w:rPr>
            </w:pPr>
            <w:r>
              <w:rPr>
                <w:sz w:val="16"/>
              </w:rPr>
              <w:t>F</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5A4013F4" w14:textId="2FF8F658" w:rsidR="00FB3761" w:rsidRPr="004660AA" w:rsidRDefault="00FB3761" w:rsidP="003452BA">
            <w:pPr>
              <w:rPr>
                <w:rFonts w:ascii="Arial" w:hAnsi="Arial"/>
                <w:bCs/>
                <w:sz w:val="16"/>
              </w:rPr>
            </w:pPr>
            <w:r w:rsidRPr="00FB3761">
              <w:rPr>
                <w:rFonts w:ascii="Arial" w:hAnsi="Arial"/>
                <w:bCs/>
                <w:sz w:val="16"/>
              </w:rPr>
              <w:t>Maintenance of BWP operation without restriction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74A4FFB" w14:textId="77777777" w:rsidR="00FB3761" w:rsidRDefault="00FB3761" w:rsidP="003452BA">
            <w:pPr>
              <w:pStyle w:val="TAL"/>
              <w:rPr>
                <w:sz w:val="16"/>
                <w:szCs w:val="16"/>
                <w:lang w:eastAsia="zh-CN"/>
              </w:rPr>
            </w:pPr>
            <w:r>
              <w:rPr>
                <w:sz w:val="16"/>
                <w:szCs w:val="16"/>
                <w:lang w:eastAsia="zh-CN"/>
              </w:rPr>
              <w:t>18.2.0</w:t>
            </w:r>
          </w:p>
        </w:tc>
      </w:tr>
      <w:tr w:rsidR="00653294" w:rsidRPr="00B916EC" w14:paraId="331191D2" w14:textId="77777777" w:rsidTr="003452BA">
        <w:tc>
          <w:tcPr>
            <w:tcW w:w="894" w:type="dxa"/>
            <w:tcBorders>
              <w:top w:val="single" w:sz="4" w:space="0" w:color="auto"/>
              <w:left w:val="single" w:sz="4" w:space="0" w:color="auto"/>
              <w:bottom w:val="single" w:sz="4" w:space="0" w:color="auto"/>
              <w:right w:val="single" w:sz="4" w:space="0" w:color="auto"/>
            </w:tcBorders>
            <w:shd w:val="solid" w:color="FFFFFF" w:fill="auto"/>
          </w:tcPr>
          <w:p w14:paraId="015F8D2F" w14:textId="77777777" w:rsidR="00653294" w:rsidRPr="00B916EC" w:rsidRDefault="00653294" w:rsidP="003452BA">
            <w:pPr>
              <w:spacing w:after="0"/>
              <w:jc w:val="center"/>
              <w:rPr>
                <w:rFonts w:ascii="Arial" w:hAnsi="Arial"/>
                <w:snapToGrid w:val="0"/>
                <w:sz w:val="16"/>
                <w:szCs w:val="16"/>
              </w:rPr>
            </w:pPr>
            <w:r>
              <w:rPr>
                <w:rFonts w:ascii="Arial" w:hAnsi="Arial"/>
                <w:snapToGrid w:val="0"/>
                <w:sz w:val="16"/>
                <w:szCs w:val="16"/>
              </w:rPr>
              <w:t>2024-03</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49B804E3" w14:textId="77777777" w:rsidR="00653294" w:rsidRPr="00B916EC" w:rsidRDefault="00653294" w:rsidP="003452BA">
            <w:pPr>
              <w:pStyle w:val="TAL"/>
              <w:rPr>
                <w:sz w:val="16"/>
                <w:szCs w:val="16"/>
                <w:lang w:eastAsia="zh-CN"/>
              </w:rPr>
            </w:pPr>
            <w:r w:rsidRPr="00B916EC">
              <w:rPr>
                <w:sz w:val="16"/>
                <w:szCs w:val="16"/>
                <w:lang w:eastAsia="zh-CN"/>
              </w:rPr>
              <w:t>RAN#</w:t>
            </w:r>
            <w:r>
              <w:rPr>
                <w:sz w:val="16"/>
                <w:szCs w:val="16"/>
                <w:lang w:eastAsia="zh-CN"/>
              </w:rPr>
              <w:t>103</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33A056E0" w14:textId="6F6C5BC5" w:rsidR="00653294" w:rsidRPr="002B6B38" w:rsidRDefault="00653294" w:rsidP="003452BA">
            <w:pPr>
              <w:pStyle w:val="TAL"/>
              <w:rPr>
                <w:sz w:val="16"/>
                <w:szCs w:val="16"/>
                <w:lang w:eastAsia="zh-CN"/>
              </w:rPr>
            </w:pPr>
            <w:r w:rsidRPr="00653294">
              <w:rPr>
                <w:sz w:val="16"/>
                <w:szCs w:val="16"/>
                <w:lang w:eastAsia="zh-CN"/>
              </w:rPr>
              <w:t>RP-240521</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2931AF96" w14:textId="13F00282" w:rsidR="00653294" w:rsidRDefault="00653294" w:rsidP="003452BA">
            <w:pPr>
              <w:pStyle w:val="TAL"/>
              <w:rPr>
                <w:sz w:val="16"/>
                <w:szCs w:val="16"/>
              </w:rPr>
            </w:pPr>
            <w:r>
              <w:rPr>
                <w:sz w:val="16"/>
                <w:szCs w:val="16"/>
              </w:rPr>
              <w:t>0601</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7229C9A8" w14:textId="77777777" w:rsidR="00653294" w:rsidRDefault="00653294" w:rsidP="003452BA">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482A2CC3" w14:textId="77777777" w:rsidR="00653294" w:rsidRDefault="00653294" w:rsidP="003452BA">
            <w:pPr>
              <w:pStyle w:val="TAL"/>
              <w:rPr>
                <w:sz w:val="16"/>
              </w:rPr>
            </w:pPr>
            <w:r>
              <w:rPr>
                <w:sz w:val="16"/>
              </w:rPr>
              <w:t>F</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15042310" w14:textId="2FA9B179" w:rsidR="00653294" w:rsidRPr="004660AA" w:rsidRDefault="00653294" w:rsidP="003452BA">
            <w:pPr>
              <w:rPr>
                <w:rFonts w:ascii="Arial" w:hAnsi="Arial"/>
                <w:bCs/>
                <w:sz w:val="16"/>
              </w:rPr>
            </w:pPr>
            <w:r w:rsidRPr="00653294">
              <w:rPr>
                <w:rFonts w:ascii="Arial" w:hAnsi="Arial"/>
                <w:bCs/>
                <w:sz w:val="16"/>
              </w:rPr>
              <w:t>Maintenance of further NR coverage enhancements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AC1D7B4" w14:textId="77777777" w:rsidR="00653294" w:rsidRDefault="00653294" w:rsidP="003452BA">
            <w:pPr>
              <w:pStyle w:val="TAL"/>
              <w:rPr>
                <w:sz w:val="16"/>
                <w:szCs w:val="16"/>
                <w:lang w:eastAsia="zh-CN"/>
              </w:rPr>
            </w:pPr>
            <w:r>
              <w:rPr>
                <w:sz w:val="16"/>
                <w:szCs w:val="16"/>
                <w:lang w:eastAsia="zh-CN"/>
              </w:rPr>
              <w:t>18.2.0</w:t>
            </w:r>
          </w:p>
        </w:tc>
      </w:tr>
      <w:tr w:rsidR="005E2E5F" w:rsidRPr="00B916EC" w14:paraId="7A4C202F" w14:textId="77777777" w:rsidTr="003452BA">
        <w:tc>
          <w:tcPr>
            <w:tcW w:w="894" w:type="dxa"/>
            <w:tcBorders>
              <w:top w:val="single" w:sz="4" w:space="0" w:color="auto"/>
              <w:left w:val="single" w:sz="4" w:space="0" w:color="auto"/>
              <w:bottom w:val="single" w:sz="4" w:space="0" w:color="auto"/>
              <w:right w:val="single" w:sz="4" w:space="0" w:color="auto"/>
            </w:tcBorders>
            <w:shd w:val="solid" w:color="FFFFFF" w:fill="auto"/>
          </w:tcPr>
          <w:p w14:paraId="01AC2A0E" w14:textId="77777777" w:rsidR="005E2E5F" w:rsidRPr="00B916EC" w:rsidRDefault="005E2E5F" w:rsidP="003452BA">
            <w:pPr>
              <w:spacing w:after="0"/>
              <w:jc w:val="center"/>
              <w:rPr>
                <w:rFonts w:ascii="Arial" w:hAnsi="Arial"/>
                <w:snapToGrid w:val="0"/>
                <w:sz w:val="16"/>
                <w:szCs w:val="16"/>
              </w:rPr>
            </w:pPr>
            <w:r>
              <w:rPr>
                <w:rFonts w:ascii="Arial" w:hAnsi="Arial"/>
                <w:snapToGrid w:val="0"/>
                <w:sz w:val="16"/>
                <w:szCs w:val="16"/>
              </w:rPr>
              <w:t>2024-03</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44D600B3" w14:textId="77777777" w:rsidR="005E2E5F" w:rsidRPr="00B916EC" w:rsidRDefault="005E2E5F" w:rsidP="003452BA">
            <w:pPr>
              <w:pStyle w:val="TAL"/>
              <w:rPr>
                <w:sz w:val="16"/>
                <w:szCs w:val="16"/>
                <w:lang w:eastAsia="zh-CN"/>
              </w:rPr>
            </w:pPr>
            <w:r w:rsidRPr="00B916EC">
              <w:rPr>
                <w:sz w:val="16"/>
                <w:szCs w:val="16"/>
                <w:lang w:eastAsia="zh-CN"/>
              </w:rPr>
              <w:t>RAN#</w:t>
            </w:r>
            <w:r>
              <w:rPr>
                <w:sz w:val="16"/>
                <w:szCs w:val="16"/>
                <w:lang w:eastAsia="zh-CN"/>
              </w:rPr>
              <w:t>103</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60E5B3E9" w14:textId="234CA147" w:rsidR="005E2E5F" w:rsidRPr="002B6B38" w:rsidRDefault="005E2E5F" w:rsidP="003452BA">
            <w:pPr>
              <w:pStyle w:val="TAL"/>
              <w:rPr>
                <w:sz w:val="16"/>
                <w:szCs w:val="16"/>
                <w:lang w:eastAsia="zh-CN"/>
              </w:rPr>
            </w:pPr>
            <w:r w:rsidRPr="005E2E5F">
              <w:rPr>
                <w:sz w:val="16"/>
                <w:szCs w:val="16"/>
                <w:lang w:eastAsia="zh-CN"/>
              </w:rPr>
              <w:t>RP-240535</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6733DD2A" w14:textId="658E00D9" w:rsidR="005E2E5F" w:rsidRDefault="005E2E5F" w:rsidP="003452BA">
            <w:pPr>
              <w:pStyle w:val="TAL"/>
              <w:rPr>
                <w:sz w:val="16"/>
                <w:szCs w:val="16"/>
              </w:rPr>
            </w:pPr>
            <w:r>
              <w:rPr>
                <w:sz w:val="16"/>
                <w:szCs w:val="16"/>
              </w:rPr>
              <w:t>0603</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4BB88733" w14:textId="77777777" w:rsidR="005E2E5F" w:rsidRDefault="005E2E5F" w:rsidP="003452BA">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01277B6F" w14:textId="38BEF376" w:rsidR="005E2E5F" w:rsidRDefault="005E2E5F" w:rsidP="003452BA">
            <w:pPr>
              <w:pStyle w:val="TAL"/>
              <w:rPr>
                <w:sz w:val="16"/>
              </w:rPr>
            </w:pPr>
            <w:r>
              <w:rPr>
                <w:sz w:val="16"/>
              </w:rPr>
              <w:t>A</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62B704E0" w14:textId="2A8B1341" w:rsidR="005E2E5F" w:rsidRPr="004660AA" w:rsidRDefault="005E2E5F" w:rsidP="003452BA">
            <w:pPr>
              <w:rPr>
                <w:rFonts w:ascii="Arial" w:hAnsi="Arial"/>
                <w:bCs/>
                <w:sz w:val="16"/>
              </w:rPr>
            </w:pPr>
            <w:r w:rsidRPr="005E2E5F">
              <w:rPr>
                <w:rFonts w:ascii="Arial" w:hAnsi="Arial"/>
                <w:bCs/>
                <w:sz w:val="16"/>
              </w:rPr>
              <w:t>Rel-17 editorial corrections for TS 38.213 (mirrored to Rel-18)</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242DE05" w14:textId="77777777" w:rsidR="005E2E5F" w:rsidRDefault="005E2E5F" w:rsidP="003452BA">
            <w:pPr>
              <w:pStyle w:val="TAL"/>
              <w:rPr>
                <w:sz w:val="16"/>
                <w:szCs w:val="16"/>
                <w:lang w:eastAsia="zh-CN"/>
              </w:rPr>
            </w:pPr>
            <w:r>
              <w:rPr>
                <w:sz w:val="16"/>
                <w:szCs w:val="16"/>
                <w:lang w:eastAsia="zh-CN"/>
              </w:rPr>
              <w:t>18.2.0</w:t>
            </w:r>
          </w:p>
        </w:tc>
      </w:tr>
      <w:tr w:rsidR="001D6F08" w:rsidRPr="00B916EC" w14:paraId="6B9B057B" w14:textId="77777777" w:rsidTr="003452BA">
        <w:tc>
          <w:tcPr>
            <w:tcW w:w="894" w:type="dxa"/>
            <w:tcBorders>
              <w:top w:val="single" w:sz="4" w:space="0" w:color="auto"/>
              <w:left w:val="single" w:sz="4" w:space="0" w:color="auto"/>
              <w:bottom w:val="single" w:sz="4" w:space="0" w:color="auto"/>
              <w:right w:val="single" w:sz="4" w:space="0" w:color="auto"/>
            </w:tcBorders>
            <w:shd w:val="solid" w:color="FFFFFF" w:fill="auto"/>
          </w:tcPr>
          <w:p w14:paraId="34A00361" w14:textId="77777777" w:rsidR="001D6F08" w:rsidRPr="00B916EC" w:rsidRDefault="001D6F08" w:rsidP="003452BA">
            <w:pPr>
              <w:spacing w:after="0"/>
              <w:jc w:val="center"/>
              <w:rPr>
                <w:rFonts w:ascii="Arial" w:hAnsi="Arial"/>
                <w:snapToGrid w:val="0"/>
                <w:sz w:val="16"/>
                <w:szCs w:val="16"/>
              </w:rPr>
            </w:pPr>
            <w:r>
              <w:rPr>
                <w:rFonts w:ascii="Arial" w:hAnsi="Arial"/>
                <w:snapToGrid w:val="0"/>
                <w:sz w:val="16"/>
                <w:szCs w:val="16"/>
              </w:rPr>
              <w:t>2024-03</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79AE5E47" w14:textId="77777777" w:rsidR="001D6F08" w:rsidRPr="00B916EC" w:rsidRDefault="001D6F08" w:rsidP="003452BA">
            <w:pPr>
              <w:pStyle w:val="TAL"/>
              <w:rPr>
                <w:sz w:val="16"/>
                <w:szCs w:val="16"/>
                <w:lang w:eastAsia="zh-CN"/>
              </w:rPr>
            </w:pPr>
            <w:r w:rsidRPr="00B916EC">
              <w:rPr>
                <w:sz w:val="16"/>
                <w:szCs w:val="16"/>
                <w:lang w:eastAsia="zh-CN"/>
              </w:rPr>
              <w:t>RAN#</w:t>
            </w:r>
            <w:r>
              <w:rPr>
                <w:sz w:val="16"/>
                <w:szCs w:val="16"/>
                <w:lang w:eastAsia="zh-CN"/>
              </w:rPr>
              <w:t>103</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3163B2EB" w14:textId="21189D3F" w:rsidR="001D6F08" w:rsidRPr="002B6B38" w:rsidRDefault="001D6F08" w:rsidP="003452BA">
            <w:pPr>
              <w:pStyle w:val="TAL"/>
              <w:rPr>
                <w:sz w:val="16"/>
                <w:szCs w:val="16"/>
                <w:lang w:eastAsia="zh-CN"/>
              </w:rPr>
            </w:pPr>
            <w:r w:rsidRPr="001D6F08">
              <w:rPr>
                <w:sz w:val="16"/>
                <w:szCs w:val="16"/>
                <w:lang w:eastAsia="zh-CN"/>
              </w:rPr>
              <w:t>RP-240520</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58D3B537" w14:textId="217F5AF6" w:rsidR="001D6F08" w:rsidRDefault="001D6F08" w:rsidP="003452BA">
            <w:pPr>
              <w:pStyle w:val="TAL"/>
              <w:rPr>
                <w:sz w:val="16"/>
                <w:szCs w:val="16"/>
              </w:rPr>
            </w:pPr>
            <w:r>
              <w:rPr>
                <w:sz w:val="16"/>
                <w:szCs w:val="16"/>
              </w:rPr>
              <w:t>0604</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4CDBE2A2" w14:textId="77777777" w:rsidR="001D6F08" w:rsidRDefault="001D6F08" w:rsidP="003452BA">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2A925105" w14:textId="56C5D29C" w:rsidR="001D6F08" w:rsidRDefault="001D6F08" w:rsidP="003452BA">
            <w:pPr>
              <w:pStyle w:val="TAL"/>
              <w:rPr>
                <w:sz w:val="16"/>
              </w:rPr>
            </w:pPr>
            <w:r>
              <w:rPr>
                <w:sz w:val="16"/>
              </w:rPr>
              <w:t>F</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4A3B036F" w14:textId="7910AA6F" w:rsidR="001D6F08" w:rsidRPr="004660AA" w:rsidRDefault="001D6F08" w:rsidP="003452BA">
            <w:pPr>
              <w:rPr>
                <w:rFonts w:ascii="Arial" w:hAnsi="Arial"/>
                <w:bCs/>
                <w:sz w:val="16"/>
              </w:rPr>
            </w:pPr>
            <w:r w:rsidRPr="001D6F08">
              <w:rPr>
                <w:rFonts w:ascii="Arial" w:hAnsi="Arial"/>
                <w:bCs/>
                <w:sz w:val="16"/>
              </w:rPr>
              <w:t>Maintenance of multi-carrier enhancements for NR</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4FF9243" w14:textId="77777777" w:rsidR="001D6F08" w:rsidRDefault="001D6F08" w:rsidP="003452BA">
            <w:pPr>
              <w:pStyle w:val="TAL"/>
              <w:rPr>
                <w:sz w:val="16"/>
                <w:szCs w:val="16"/>
                <w:lang w:eastAsia="zh-CN"/>
              </w:rPr>
            </w:pPr>
            <w:r>
              <w:rPr>
                <w:sz w:val="16"/>
                <w:szCs w:val="16"/>
                <w:lang w:eastAsia="zh-CN"/>
              </w:rPr>
              <w:t>18.2.0</w:t>
            </w:r>
          </w:p>
        </w:tc>
      </w:tr>
      <w:tr w:rsidR="00F526C5" w:rsidRPr="00B916EC" w14:paraId="133E89FE" w14:textId="77777777" w:rsidTr="009259EC">
        <w:tc>
          <w:tcPr>
            <w:tcW w:w="894" w:type="dxa"/>
            <w:tcBorders>
              <w:top w:val="single" w:sz="4" w:space="0" w:color="auto"/>
              <w:left w:val="single" w:sz="4" w:space="0" w:color="auto"/>
              <w:bottom w:val="single" w:sz="4" w:space="0" w:color="auto"/>
              <w:right w:val="single" w:sz="4" w:space="0" w:color="auto"/>
            </w:tcBorders>
            <w:shd w:val="solid" w:color="FFFFFF" w:fill="auto"/>
          </w:tcPr>
          <w:p w14:paraId="3347FB63" w14:textId="77777777" w:rsidR="00F526C5" w:rsidRPr="00B916EC" w:rsidRDefault="00F526C5" w:rsidP="009259EC">
            <w:pPr>
              <w:spacing w:after="0"/>
              <w:jc w:val="center"/>
              <w:rPr>
                <w:rFonts w:ascii="Arial" w:hAnsi="Arial"/>
                <w:snapToGrid w:val="0"/>
                <w:sz w:val="16"/>
                <w:szCs w:val="16"/>
              </w:rPr>
            </w:pPr>
            <w:r>
              <w:rPr>
                <w:rFonts w:ascii="Arial" w:hAnsi="Arial"/>
                <w:snapToGrid w:val="0"/>
                <w:sz w:val="16"/>
                <w:szCs w:val="16"/>
              </w:rPr>
              <w:t>2024-03</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6B83C9AC" w14:textId="77777777" w:rsidR="00F526C5" w:rsidRPr="00B916EC" w:rsidRDefault="00F526C5" w:rsidP="009259EC">
            <w:pPr>
              <w:pStyle w:val="TAL"/>
              <w:rPr>
                <w:sz w:val="16"/>
                <w:szCs w:val="16"/>
                <w:lang w:eastAsia="zh-CN"/>
              </w:rPr>
            </w:pPr>
            <w:r w:rsidRPr="00B916EC">
              <w:rPr>
                <w:sz w:val="16"/>
                <w:szCs w:val="16"/>
                <w:lang w:eastAsia="zh-CN"/>
              </w:rPr>
              <w:t>RAN#</w:t>
            </w:r>
            <w:r>
              <w:rPr>
                <w:sz w:val="16"/>
                <w:szCs w:val="16"/>
                <w:lang w:eastAsia="zh-CN"/>
              </w:rPr>
              <w:t>103</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39DCBAFA" w14:textId="1EF1D814" w:rsidR="00F526C5" w:rsidRPr="002B6B38" w:rsidRDefault="00F526C5" w:rsidP="009259EC">
            <w:pPr>
              <w:pStyle w:val="TAL"/>
              <w:rPr>
                <w:sz w:val="16"/>
                <w:szCs w:val="16"/>
                <w:lang w:eastAsia="zh-CN"/>
              </w:rPr>
            </w:pPr>
            <w:r w:rsidRPr="00F526C5">
              <w:rPr>
                <w:sz w:val="16"/>
                <w:szCs w:val="16"/>
                <w:lang w:eastAsia="zh-CN"/>
              </w:rPr>
              <w:t>RP-240518</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63FDED72" w14:textId="66B9199D" w:rsidR="00F526C5" w:rsidRDefault="00F526C5" w:rsidP="009259EC">
            <w:pPr>
              <w:pStyle w:val="TAL"/>
              <w:rPr>
                <w:sz w:val="16"/>
                <w:szCs w:val="16"/>
              </w:rPr>
            </w:pPr>
            <w:r>
              <w:rPr>
                <w:sz w:val="16"/>
                <w:szCs w:val="16"/>
              </w:rPr>
              <w:t>0605</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1F8B2C72" w14:textId="77777777" w:rsidR="00F526C5" w:rsidRDefault="00F526C5" w:rsidP="009259EC">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3934D8D2" w14:textId="77777777" w:rsidR="00F526C5" w:rsidRDefault="00F526C5" w:rsidP="009259EC">
            <w:pPr>
              <w:pStyle w:val="TAL"/>
              <w:rPr>
                <w:sz w:val="16"/>
              </w:rPr>
            </w:pPr>
            <w:r>
              <w:rPr>
                <w:sz w:val="16"/>
              </w:rPr>
              <w:t>F</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3B6ECE1A" w14:textId="65993A82" w:rsidR="00F526C5" w:rsidRPr="004660AA" w:rsidRDefault="00F526C5" w:rsidP="009259EC">
            <w:pPr>
              <w:rPr>
                <w:rFonts w:ascii="Arial" w:hAnsi="Arial"/>
                <w:bCs/>
                <w:sz w:val="16"/>
              </w:rPr>
            </w:pPr>
            <w:r w:rsidRPr="00F526C5">
              <w:rPr>
                <w:rFonts w:ascii="Arial" w:hAnsi="Arial"/>
                <w:bCs/>
                <w:sz w:val="16"/>
              </w:rPr>
              <w:t>Maintenance of MIMO Evolution for Downlink and Uplink</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4E57ECF" w14:textId="77777777" w:rsidR="00F526C5" w:rsidRDefault="00F526C5" w:rsidP="009259EC">
            <w:pPr>
              <w:pStyle w:val="TAL"/>
              <w:rPr>
                <w:sz w:val="16"/>
                <w:szCs w:val="16"/>
                <w:lang w:eastAsia="zh-CN"/>
              </w:rPr>
            </w:pPr>
            <w:r>
              <w:rPr>
                <w:sz w:val="16"/>
                <w:szCs w:val="16"/>
                <w:lang w:eastAsia="zh-CN"/>
              </w:rPr>
              <w:t>18.2.0</w:t>
            </w:r>
          </w:p>
        </w:tc>
      </w:tr>
      <w:tr w:rsidR="00950A9B" w:rsidRPr="00B916EC" w14:paraId="12CA30ED" w14:textId="77777777" w:rsidTr="009259EC">
        <w:tc>
          <w:tcPr>
            <w:tcW w:w="894" w:type="dxa"/>
            <w:tcBorders>
              <w:top w:val="single" w:sz="4" w:space="0" w:color="auto"/>
              <w:left w:val="single" w:sz="4" w:space="0" w:color="auto"/>
              <w:bottom w:val="single" w:sz="4" w:space="0" w:color="auto"/>
              <w:right w:val="single" w:sz="4" w:space="0" w:color="auto"/>
            </w:tcBorders>
            <w:shd w:val="solid" w:color="FFFFFF" w:fill="auto"/>
          </w:tcPr>
          <w:p w14:paraId="00A17B26" w14:textId="77777777" w:rsidR="00950A9B" w:rsidRPr="00B916EC" w:rsidRDefault="00950A9B" w:rsidP="009259EC">
            <w:pPr>
              <w:spacing w:after="0"/>
              <w:jc w:val="center"/>
              <w:rPr>
                <w:rFonts w:ascii="Arial" w:hAnsi="Arial"/>
                <w:snapToGrid w:val="0"/>
                <w:sz w:val="16"/>
                <w:szCs w:val="16"/>
              </w:rPr>
            </w:pPr>
            <w:r>
              <w:rPr>
                <w:rFonts w:ascii="Arial" w:hAnsi="Arial"/>
                <w:snapToGrid w:val="0"/>
                <w:sz w:val="16"/>
                <w:szCs w:val="16"/>
              </w:rPr>
              <w:t>2024-03</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4DFE1B2C" w14:textId="77777777" w:rsidR="00950A9B" w:rsidRPr="00B916EC" w:rsidRDefault="00950A9B" w:rsidP="009259EC">
            <w:pPr>
              <w:pStyle w:val="TAL"/>
              <w:rPr>
                <w:sz w:val="16"/>
                <w:szCs w:val="16"/>
                <w:lang w:eastAsia="zh-CN"/>
              </w:rPr>
            </w:pPr>
            <w:r w:rsidRPr="00B916EC">
              <w:rPr>
                <w:sz w:val="16"/>
                <w:szCs w:val="16"/>
                <w:lang w:eastAsia="zh-CN"/>
              </w:rPr>
              <w:t>RAN#</w:t>
            </w:r>
            <w:r>
              <w:rPr>
                <w:sz w:val="16"/>
                <w:szCs w:val="16"/>
                <w:lang w:eastAsia="zh-CN"/>
              </w:rPr>
              <w:t>103</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286553EF" w14:textId="3D0665F6" w:rsidR="00950A9B" w:rsidRPr="002B6B38" w:rsidRDefault="00950A9B" w:rsidP="009259EC">
            <w:pPr>
              <w:pStyle w:val="TAL"/>
              <w:rPr>
                <w:sz w:val="16"/>
                <w:szCs w:val="16"/>
                <w:lang w:eastAsia="zh-CN"/>
              </w:rPr>
            </w:pPr>
            <w:r w:rsidRPr="00950A9B">
              <w:rPr>
                <w:sz w:val="16"/>
                <w:szCs w:val="16"/>
                <w:lang w:eastAsia="zh-CN"/>
              </w:rPr>
              <w:t>RP-240522</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5251BACF" w14:textId="0D8E829B" w:rsidR="00950A9B" w:rsidRDefault="00950A9B" w:rsidP="009259EC">
            <w:pPr>
              <w:pStyle w:val="TAL"/>
              <w:rPr>
                <w:sz w:val="16"/>
                <w:szCs w:val="16"/>
              </w:rPr>
            </w:pPr>
            <w:r>
              <w:rPr>
                <w:sz w:val="16"/>
                <w:szCs w:val="16"/>
              </w:rPr>
              <w:t>0606</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24787FE0" w14:textId="77777777" w:rsidR="00950A9B" w:rsidRDefault="00950A9B" w:rsidP="009259EC">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3DCE84B3" w14:textId="77777777" w:rsidR="00950A9B" w:rsidRDefault="00950A9B" w:rsidP="009259EC">
            <w:pPr>
              <w:pStyle w:val="TAL"/>
              <w:rPr>
                <w:sz w:val="16"/>
              </w:rPr>
            </w:pPr>
            <w:r>
              <w:rPr>
                <w:sz w:val="16"/>
              </w:rPr>
              <w:t>F</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36C59614" w14:textId="7B5F8342" w:rsidR="00950A9B" w:rsidRPr="004660AA" w:rsidRDefault="00950A9B" w:rsidP="009259EC">
            <w:pPr>
              <w:rPr>
                <w:rFonts w:ascii="Arial" w:hAnsi="Arial"/>
                <w:bCs/>
                <w:sz w:val="16"/>
              </w:rPr>
            </w:pPr>
            <w:r w:rsidRPr="00950A9B">
              <w:rPr>
                <w:rFonts w:ascii="Arial" w:hAnsi="Arial"/>
                <w:bCs/>
                <w:sz w:val="16"/>
              </w:rPr>
              <w:t>Maintenance of further mobility enhancements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51B48F1" w14:textId="77777777" w:rsidR="00950A9B" w:rsidRDefault="00950A9B" w:rsidP="009259EC">
            <w:pPr>
              <w:pStyle w:val="TAL"/>
              <w:rPr>
                <w:sz w:val="16"/>
                <w:szCs w:val="16"/>
                <w:lang w:eastAsia="zh-CN"/>
              </w:rPr>
            </w:pPr>
            <w:r>
              <w:rPr>
                <w:sz w:val="16"/>
                <w:szCs w:val="16"/>
                <w:lang w:eastAsia="zh-CN"/>
              </w:rPr>
              <w:t>18.2.0</w:t>
            </w:r>
          </w:p>
        </w:tc>
      </w:tr>
      <w:tr w:rsidR="00950A9B" w:rsidRPr="00B916EC" w14:paraId="331F3407" w14:textId="77777777" w:rsidTr="009259EC">
        <w:tc>
          <w:tcPr>
            <w:tcW w:w="894" w:type="dxa"/>
            <w:tcBorders>
              <w:top w:val="single" w:sz="4" w:space="0" w:color="auto"/>
              <w:left w:val="single" w:sz="4" w:space="0" w:color="auto"/>
              <w:bottom w:val="single" w:sz="4" w:space="0" w:color="auto"/>
              <w:right w:val="single" w:sz="4" w:space="0" w:color="auto"/>
            </w:tcBorders>
            <w:shd w:val="solid" w:color="FFFFFF" w:fill="auto"/>
          </w:tcPr>
          <w:p w14:paraId="7B18DB2B" w14:textId="77777777" w:rsidR="00950A9B" w:rsidRPr="00B916EC" w:rsidRDefault="00950A9B" w:rsidP="009259EC">
            <w:pPr>
              <w:spacing w:after="0"/>
              <w:jc w:val="center"/>
              <w:rPr>
                <w:rFonts w:ascii="Arial" w:hAnsi="Arial"/>
                <w:snapToGrid w:val="0"/>
                <w:sz w:val="16"/>
                <w:szCs w:val="16"/>
              </w:rPr>
            </w:pPr>
            <w:r>
              <w:rPr>
                <w:rFonts w:ascii="Arial" w:hAnsi="Arial"/>
                <w:snapToGrid w:val="0"/>
                <w:sz w:val="16"/>
                <w:szCs w:val="16"/>
              </w:rPr>
              <w:t>2024-03</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039D03C0" w14:textId="77777777" w:rsidR="00950A9B" w:rsidRPr="00B916EC" w:rsidRDefault="00950A9B" w:rsidP="009259EC">
            <w:pPr>
              <w:pStyle w:val="TAL"/>
              <w:rPr>
                <w:sz w:val="16"/>
                <w:szCs w:val="16"/>
                <w:lang w:eastAsia="zh-CN"/>
              </w:rPr>
            </w:pPr>
            <w:r w:rsidRPr="00B916EC">
              <w:rPr>
                <w:sz w:val="16"/>
                <w:szCs w:val="16"/>
                <w:lang w:eastAsia="zh-CN"/>
              </w:rPr>
              <w:t>RAN#</w:t>
            </w:r>
            <w:r>
              <w:rPr>
                <w:sz w:val="16"/>
                <w:szCs w:val="16"/>
                <w:lang w:eastAsia="zh-CN"/>
              </w:rPr>
              <w:t>103</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39A58B6E" w14:textId="4A6964B2" w:rsidR="00950A9B" w:rsidRPr="002B6B38" w:rsidRDefault="00950A9B" w:rsidP="009259EC">
            <w:pPr>
              <w:pStyle w:val="TAL"/>
              <w:rPr>
                <w:sz w:val="16"/>
                <w:szCs w:val="16"/>
                <w:lang w:eastAsia="zh-CN"/>
              </w:rPr>
            </w:pPr>
            <w:r w:rsidRPr="00950A9B">
              <w:rPr>
                <w:sz w:val="16"/>
                <w:szCs w:val="16"/>
                <w:lang w:eastAsia="zh-CN"/>
              </w:rPr>
              <w:t>RP-240527</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1EE2DB05" w14:textId="2C4A7A47" w:rsidR="00950A9B" w:rsidRDefault="00950A9B" w:rsidP="009259EC">
            <w:pPr>
              <w:pStyle w:val="TAL"/>
              <w:rPr>
                <w:sz w:val="16"/>
                <w:szCs w:val="16"/>
              </w:rPr>
            </w:pPr>
            <w:r>
              <w:rPr>
                <w:sz w:val="16"/>
                <w:szCs w:val="16"/>
              </w:rPr>
              <w:t>0607</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7FF92368" w14:textId="77777777" w:rsidR="00950A9B" w:rsidRDefault="00950A9B" w:rsidP="009259EC">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13D04FC2" w14:textId="77777777" w:rsidR="00950A9B" w:rsidRDefault="00950A9B" w:rsidP="009259EC">
            <w:pPr>
              <w:pStyle w:val="TAL"/>
              <w:rPr>
                <w:sz w:val="16"/>
              </w:rPr>
            </w:pPr>
            <w:r>
              <w:rPr>
                <w:sz w:val="16"/>
              </w:rPr>
              <w:t>F</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39908C6F" w14:textId="2B93A129" w:rsidR="00950A9B" w:rsidRPr="004660AA" w:rsidRDefault="00950A9B" w:rsidP="009259EC">
            <w:pPr>
              <w:rPr>
                <w:rFonts w:ascii="Arial" w:hAnsi="Arial"/>
                <w:bCs/>
                <w:sz w:val="16"/>
              </w:rPr>
            </w:pPr>
            <w:r w:rsidRPr="00950A9B">
              <w:rPr>
                <w:rFonts w:ascii="Arial" w:hAnsi="Arial"/>
                <w:bCs/>
                <w:sz w:val="16"/>
              </w:rPr>
              <w:t>Maintenance of Network Controlled Repeaters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96858AF" w14:textId="77777777" w:rsidR="00950A9B" w:rsidRDefault="00950A9B" w:rsidP="009259EC">
            <w:pPr>
              <w:pStyle w:val="TAL"/>
              <w:rPr>
                <w:sz w:val="16"/>
                <w:szCs w:val="16"/>
                <w:lang w:eastAsia="zh-CN"/>
              </w:rPr>
            </w:pPr>
            <w:r>
              <w:rPr>
                <w:sz w:val="16"/>
                <w:szCs w:val="16"/>
                <w:lang w:eastAsia="zh-CN"/>
              </w:rPr>
              <w:t>18.2.0</w:t>
            </w:r>
          </w:p>
        </w:tc>
      </w:tr>
      <w:tr w:rsidR="001D3366" w:rsidRPr="00B916EC" w14:paraId="37E8C96B" w14:textId="77777777" w:rsidTr="009259EC">
        <w:tc>
          <w:tcPr>
            <w:tcW w:w="894" w:type="dxa"/>
            <w:tcBorders>
              <w:top w:val="single" w:sz="4" w:space="0" w:color="auto"/>
              <w:left w:val="single" w:sz="4" w:space="0" w:color="auto"/>
              <w:bottom w:val="single" w:sz="4" w:space="0" w:color="auto"/>
              <w:right w:val="single" w:sz="4" w:space="0" w:color="auto"/>
            </w:tcBorders>
            <w:shd w:val="solid" w:color="FFFFFF" w:fill="auto"/>
          </w:tcPr>
          <w:p w14:paraId="546840BB" w14:textId="77777777" w:rsidR="001D3366" w:rsidRPr="00B916EC" w:rsidRDefault="001D3366" w:rsidP="009259EC">
            <w:pPr>
              <w:spacing w:after="0"/>
              <w:jc w:val="center"/>
              <w:rPr>
                <w:rFonts w:ascii="Arial" w:hAnsi="Arial"/>
                <w:snapToGrid w:val="0"/>
                <w:sz w:val="16"/>
                <w:szCs w:val="16"/>
              </w:rPr>
            </w:pPr>
            <w:r>
              <w:rPr>
                <w:rFonts w:ascii="Arial" w:hAnsi="Arial"/>
                <w:snapToGrid w:val="0"/>
                <w:sz w:val="16"/>
                <w:szCs w:val="16"/>
              </w:rPr>
              <w:t>2024-03</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3E881C1A" w14:textId="77777777" w:rsidR="001D3366" w:rsidRPr="00B916EC" w:rsidRDefault="001D3366" w:rsidP="009259EC">
            <w:pPr>
              <w:pStyle w:val="TAL"/>
              <w:rPr>
                <w:sz w:val="16"/>
                <w:szCs w:val="16"/>
                <w:lang w:eastAsia="zh-CN"/>
              </w:rPr>
            </w:pPr>
            <w:r w:rsidRPr="00B916EC">
              <w:rPr>
                <w:sz w:val="16"/>
                <w:szCs w:val="16"/>
                <w:lang w:eastAsia="zh-CN"/>
              </w:rPr>
              <w:t>RAN#</w:t>
            </w:r>
            <w:r>
              <w:rPr>
                <w:sz w:val="16"/>
                <w:szCs w:val="16"/>
                <w:lang w:eastAsia="zh-CN"/>
              </w:rPr>
              <w:t>103</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06AAE6F1" w14:textId="6DD038A8" w:rsidR="001D3366" w:rsidRPr="002B6B38" w:rsidRDefault="001D3366" w:rsidP="009259EC">
            <w:pPr>
              <w:pStyle w:val="TAL"/>
              <w:rPr>
                <w:sz w:val="16"/>
                <w:szCs w:val="16"/>
                <w:lang w:eastAsia="zh-CN"/>
              </w:rPr>
            </w:pPr>
            <w:r w:rsidRPr="001D3366">
              <w:rPr>
                <w:sz w:val="16"/>
                <w:szCs w:val="16"/>
                <w:lang w:eastAsia="zh-CN"/>
              </w:rPr>
              <w:t>RP-240523</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656A68B1" w14:textId="4D75DBA2" w:rsidR="001D3366" w:rsidRDefault="001D3366" w:rsidP="009259EC">
            <w:pPr>
              <w:pStyle w:val="TAL"/>
              <w:rPr>
                <w:sz w:val="16"/>
                <w:szCs w:val="16"/>
              </w:rPr>
            </w:pPr>
            <w:r>
              <w:rPr>
                <w:sz w:val="16"/>
                <w:szCs w:val="16"/>
              </w:rPr>
              <w:t>0608</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3E3F3088" w14:textId="77777777" w:rsidR="001D3366" w:rsidRDefault="001D3366" w:rsidP="009259EC">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1935B045" w14:textId="77777777" w:rsidR="001D3366" w:rsidRDefault="001D3366" w:rsidP="009259EC">
            <w:pPr>
              <w:pStyle w:val="TAL"/>
              <w:rPr>
                <w:sz w:val="16"/>
              </w:rPr>
            </w:pPr>
            <w:r>
              <w:rPr>
                <w:sz w:val="16"/>
              </w:rPr>
              <w:t>F</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3BB7F8E5" w14:textId="148EF5A9" w:rsidR="001D3366" w:rsidRPr="004660AA" w:rsidRDefault="001D3366" w:rsidP="009259EC">
            <w:pPr>
              <w:rPr>
                <w:rFonts w:ascii="Arial" w:hAnsi="Arial"/>
                <w:bCs/>
                <w:sz w:val="16"/>
              </w:rPr>
            </w:pPr>
            <w:r w:rsidRPr="001D3366">
              <w:rPr>
                <w:rFonts w:ascii="Arial" w:hAnsi="Arial"/>
                <w:bCs/>
                <w:sz w:val="16"/>
              </w:rPr>
              <w:t>Maintenance of support for NR NTN enhancements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BD43B04" w14:textId="77777777" w:rsidR="001D3366" w:rsidRDefault="001D3366" w:rsidP="009259EC">
            <w:pPr>
              <w:pStyle w:val="TAL"/>
              <w:rPr>
                <w:sz w:val="16"/>
                <w:szCs w:val="16"/>
                <w:lang w:eastAsia="zh-CN"/>
              </w:rPr>
            </w:pPr>
            <w:r>
              <w:rPr>
                <w:sz w:val="16"/>
                <w:szCs w:val="16"/>
                <w:lang w:eastAsia="zh-CN"/>
              </w:rPr>
              <w:t>18.2.0</w:t>
            </w:r>
          </w:p>
        </w:tc>
      </w:tr>
      <w:tr w:rsidR="00D24900" w:rsidRPr="00B916EC" w14:paraId="65D39436" w14:textId="77777777" w:rsidTr="009259EC">
        <w:tc>
          <w:tcPr>
            <w:tcW w:w="894" w:type="dxa"/>
            <w:tcBorders>
              <w:top w:val="single" w:sz="4" w:space="0" w:color="auto"/>
              <w:left w:val="single" w:sz="4" w:space="0" w:color="auto"/>
              <w:bottom w:val="single" w:sz="4" w:space="0" w:color="auto"/>
              <w:right w:val="single" w:sz="4" w:space="0" w:color="auto"/>
            </w:tcBorders>
            <w:shd w:val="solid" w:color="FFFFFF" w:fill="auto"/>
          </w:tcPr>
          <w:p w14:paraId="51D5C097" w14:textId="77777777" w:rsidR="00D24900" w:rsidRPr="00B916EC" w:rsidRDefault="00D24900" w:rsidP="009259EC">
            <w:pPr>
              <w:spacing w:after="0"/>
              <w:jc w:val="center"/>
              <w:rPr>
                <w:rFonts w:ascii="Arial" w:hAnsi="Arial"/>
                <w:snapToGrid w:val="0"/>
                <w:sz w:val="16"/>
                <w:szCs w:val="16"/>
              </w:rPr>
            </w:pPr>
            <w:r>
              <w:rPr>
                <w:rFonts w:ascii="Arial" w:hAnsi="Arial"/>
                <w:snapToGrid w:val="0"/>
                <w:sz w:val="16"/>
                <w:szCs w:val="16"/>
              </w:rPr>
              <w:t>2024-03</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104A3D9F" w14:textId="77777777" w:rsidR="00D24900" w:rsidRPr="00B916EC" w:rsidRDefault="00D24900" w:rsidP="009259EC">
            <w:pPr>
              <w:pStyle w:val="TAL"/>
              <w:rPr>
                <w:sz w:val="16"/>
                <w:szCs w:val="16"/>
                <w:lang w:eastAsia="zh-CN"/>
              </w:rPr>
            </w:pPr>
            <w:r w:rsidRPr="00B916EC">
              <w:rPr>
                <w:sz w:val="16"/>
                <w:szCs w:val="16"/>
                <w:lang w:eastAsia="zh-CN"/>
              </w:rPr>
              <w:t>RAN#</w:t>
            </w:r>
            <w:r>
              <w:rPr>
                <w:sz w:val="16"/>
                <w:szCs w:val="16"/>
                <w:lang w:eastAsia="zh-CN"/>
              </w:rPr>
              <w:t>103</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0B2AAB4C" w14:textId="54447E52" w:rsidR="00D24900" w:rsidRPr="002B6B38" w:rsidRDefault="00D24900" w:rsidP="009259EC">
            <w:pPr>
              <w:pStyle w:val="TAL"/>
              <w:rPr>
                <w:sz w:val="16"/>
                <w:szCs w:val="16"/>
                <w:lang w:eastAsia="zh-CN"/>
              </w:rPr>
            </w:pPr>
            <w:r w:rsidRPr="00D24900">
              <w:rPr>
                <w:sz w:val="16"/>
                <w:szCs w:val="16"/>
                <w:lang w:eastAsia="zh-CN"/>
              </w:rPr>
              <w:t>RP-240528</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7EFA2E5D" w14:textId="62ECE147" w:rsidR="00D24900" w:rsidRDefault="00D24900" w:rsidP="009259EC">
            <w:pPr>
              <w:pStyle w:val="TAL"/>
              <w:rPr>
                <w:sz w:val="16"/>
                <w:szCs w:val="16"/>
              </w:rPr>
            </w:pPr>
            <w:r>
              <w:rPr>
                <w:sz w:val="16"/>
                <w:szCs w:val="16"/>
              </w:rPr>
              <w:t>0609</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5ED1A8FC" w14:textId="77777777" w:rsidR="00D24900" w:rsidRDefault="00D24900" w:rsidP="009259EC">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2C4CA77C" w14:textId="77777777" w:rsidR="00D24900" w:rsidRDefault="00D24900" w:rsidP="009259EC">
            <w:pPr>
              <w:pStyle w:val="TAL"/>
              <w:rPr>
                <w:sz w:val="16"/>
              </w:rPr>
            </w:pPr>
            <w:r>
              <w:rPr>
                <w:sz w:val="16"/>
              </w:rPr>
              <w:t>F</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13C21505" w14:textId="36FB36A8" w:rsidR="00D24900" w:rsidRPr="004660AA" w:rsidRDefault="00D24900" w:rsidP="009259EC">
            <w:pPr>
              <w:rPr>
                <w:rFonts w:ascii="Arial" w:hAnsi="Arial"/>
                <w:bCs/>
                <w:sz w:val="16"/>
              </w:rPr>
            </w:pPr>
            <w:r w:rsidRPr="00D24900">
              <w:rPr>
                <w:rFonts w:ascii="Arial" w:hAnsi="Arial"/>
                <w:bCs/>
                <w:sz w:val="16"/>
              </w:rPr>
              <w:t>Maintenance of expanded and improved NR positioning</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7AD138C" w14:textId="77777777" w:rsidR="00D24900" w:rsidRDefault="00D24900" w:rsidP="009259EC">
            <w:pPr>
              <w:pStyle w:val="TAL"/>
              <w:rPr>
                <w:sz w:val="16"/>
                <w:szCs w:val="16"/>
                <w:lang w:eastAsia="zh-CN"/>
              </w:rPr>
            </w:pPr>
            <w:r>
              <w:rPr>
                <w:sz w:val="16"/>
                <w:szCs w:val="16"/>
                <w:lang w:eastAsia="zh-CN"/>
              </w:rPr>
              <w:t>18.2.0</w:t>
            </w:r>
          </w:p>
        </w:tc>
      </w:tr>
      <w:tr w:rsidR="006E2918" w:rsidRPr="00B916EC" w14:paraId="5DFF37F7" w14:textId="77777777" w:rsidTr="009259EC">
        <w:tc>
          <w:tcPr>
            <w:tcW w:w="894" w:type="dxa"/>
            <w:tcBorders>
              <w:top w:val="single" w:sz="4" w:space="0" w:color="auto"/>
              <w:left w:val="single" w:sz="4" w:space="0" w:color="auto"/>
              <w:bottom w:val="single" w:sz="4" w:space="0" w:color="auto"/>
              <w:right w:val="single" w:sz="4" w:space="0" w:color="auto"/>
            </w:tcBorders>
            <w:shd w:val="solid" w:color="FFFFFF" w:fill="auto"/>
          </w:tcPr>
          <w:p w14:paraId="7E22B170" w14:textId="77777777" w:rsidR="006E2918" w:rsidRPr="00B916EC" w:rsidRDefault="006E2918" w:rsidP="009259EC">
            <w:pPr>
              <w:spacing w:after="0"/>
              <w:jc w:val="center"/>
              <w:rPr>
                <w:rFonts w:ascii="Arial" w:hAnsi="Arial"/>
                <w:snapToGrid w:val="0"/>
                <w:sz w:val="16"/>
                <w:szCs w:val="16"/>
              </w:rPr>
            </w:pPr>
            <w:r>
              <w:rPr>
                <w:rFonts w:ascii="Arial" w:hAnsi="Arial"/>
                <w:snapToGrid w:val="0"/>
                <w:sz w:val="16"/>
                <w:szCs w:val="16"/>
              </w:rPr>
              <w:t>2024-03</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13FE0795" w14:textId="77777777" w:rsidR="006E2918" w:rsidRPr="00B916EC" w:rsidRDefault="006E2918" w:rsidP="009259EC">
            <w:pPr>
              <w:pStyle w:val="TAL"/>
              <w:rPr>
                <w:sz w:val="16"/>
                <w:szCs w:val="16"/>
                <w:lang w:eastAsia="zh-CN"/>
              </w:rPr>
            </w:pPr>
            <w:r w:rsidRPr="00B916EC">
              <w:rPr>
                <w:sz w:val="16"/>
                <w:szCs w:val="16"/>
                <w:lang w:eastAsia="zh-CN"/>
              </w:rPr>
              <w:t>RAN#</w:t>
            </w:r>
            <w:r>
              <w:rPr>
                <w:sz w:val="16"/>
                <w:szCs w:val="16"/>
                <w:lang w:eastAsia="zh-CN"/>
              </w:rPr>
              <w:t>103</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13759634" w14:textId="45E4CD82" w:rsidR="006E2918" w:rsidRPr="002B6B38" w:rsidRDefault="006E2918" w:rsidP="009259EC">
            <w:pPr>
              <w:pStyle w:val="TAL"/>
              <w:rPr>
                <w:sz w:val="16"/>
                <w:szCs w:val="16"/>
                <w:lang w:eastAsia="zh-CN"/>
              </w:rPr>
            </w:pPr>
            <w:r w:rsidRPr="006E2918">
              <w:rPr>
                <w:sz w:val="16"/>
                <w:szCs w:val="16"/>
                <w:lang w:eastAsia="zh-CN"/>
              </w:rPr>
              <w:t>RP-240526</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21100FC6" w14:textId="156DB285" w:rsidR="006E2918" w:rsidRDefault="006E2918" w:rsidP="009259EC">
            <w:pPr>
              <w:pStyle w:val="TAL"/>
              <w:rPr>
                <w:sz w:val="16"/>
                <w:szCs w:val="16"/>
              </w:rPr>
            </w:pPr>
            <w:r>
              <w:rPr>
                <w:sz w:val="16"/>
                <w:szCs w:val="16"/>
              </w:rPr>
              <w:t>0610</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0039F254" w14:textId="77777777" w:rsidR="006E2918" w:rsidRDefault="006E2918" w:rsidP="009259EC">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4A123A5C" w14:textId="77777777" w:rsidR="006E2918" w:rsidRDefault="006E2918" w:rsidP="009259EC">
            <w:pPr>
              <w:pStyle w:val="TAL"/>
              <w:rPr>
                <w:sz w:val="16"/>
              </w:rPr>
            </w:pPr>
            <w:r>
              <w:rPr>
                <w:sz w:val="16"/>
              </w:rPr>
              <w:t>F</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3855BDF4" w14:textId="26F2F582" w:rsidR="006E2918" w:rsidRPr="004660AA" w:rsidRDefault="006E2918" w:rsidP="009259EC">
            <w:pPr>
              <w:rPr>
                <w:rFonts w:ascii="Arial" w:hAnsi="Arial"/>
                <w:bCs/>
                <w:sz w:val="16"/>
              </w:rPr>
            </w:pPr>
            <w:r w:rsidRPr="006E2918">
              <w:rPr>
                <w:rFonts w:ascii="Arial" w:hAnsi="Arial"/>
                <w:bCs/>
                <w:sz w:val="16"/>
              </w:rPr>
              <w:t>Maintenance of support for enhanced reduced capability NR devices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C651C65" w14:textId="77777777" w:rsidR="006E2918" w:rsidRDefault="006E2918" w:rsidP="009259EC">
            <w:pPr>
              <w:pStyle w:val="TAL"/>
              <w:rPr>
                <w:sz w:val="16"/>
                <w:szCs w:val="16"/>
                <w:lang w:eastAsia="zh-CN"/>
              </w:rPr>
            </w:pPr>
            <w:r>
              <w:rPr>
                <w:sz w:val="16"/>
                <w:szCs w:val="16"/>
                <w:lang w:eastAsia="zh-CN"/>
              </w:rPr>
              <w:t>18.2.0</w:t>
            </w:r>
          </w:p>
        </w:tc>
      </w:tr>
      <w:tr w:rsidR="00695509" w:rsidRPr="00B916EC" w14:paraId="4B915AFE" w14:textId="77777777" w:rsidTr="009259EC">
        <w:tc>
          <w:tcPr>
            <w:tcW w:w="894" w:type="dxa"/>
            <w:tcBorders>
              <w:top w:val="single" w:sz="4" w:space="0" w:color="auto"/>
              <w:left w:val="single" w:sz="4" w:space="0" w:color="auto"/>
              <w:bottom w:val="single" w:sz="4" w:space="0" w:color="auto"/>
              <w:right w:val="single" w:sz="4" w:space="0" w:color="auto"/>
            </w:tcBorders>
            <w:shd w:val="solid" w:color="FFFFFF" w:fill="auto"/>
          </w:tcPr>
          <w:p w14:paraId="1B4E18A8" w14:textId="77777777" w:rsidR="00695509" w:rsidRPr="00B916EC" w:rsidRDefault="00695509" w:rsidP="009259EC">
            <w:pPr>
              <w:spacing w:after="0"/>
              <w:jc w:val="center"/>
              <w:rPr>
                <w:rFonts w:ascii="Arial" w:hAnsi="Arial"/>
                <w:snapToGrid w:val="0"/>
                <w:sz w:val="16"/>
                <w:szCs w:val="16"/>
              </w:rPr>
            </w:pPr>
            <w:r>
              <w:rPr>
                <w:rFonts w:ascii="Arial" w:hAnsi="Arial"/>
                <w:snapToGrid w:val="0"/>
                <w:sz w:val="16"/>
                <w:szCs w:val="16"/>
              </w:rPr>
              <w:t>2024-03</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1E1494B0" w14:textId="77777777" w:rsidR="00695509" w:rsidRPr="00B916EC" w:rsidRDefault="00695509" w:rsidP="009259EC">
            <w:pPr>
              <w:pStyle w:val="TAL"/>
              <w:rPr>
                <w:sz w:val="16"/>
                <w:szCs w:val="16"/>
                <w:lang w:eastAsia="zh-CN"/>
              </w:rPr>
            </w:pPr>
            <w:r w:rsidRPr="00B916EC">
              <w:rPr>
                <w:sz w:val="16"/>
                <w:szCs w:val="16"/>
                <w:lang w:eastAsia="zh-CN"/>
              </w:rPr>
              <w:t>RAN#</w:t>
            </w:r>
            <w:r>
              <w:rPr>
                <w:sz w:val="16"/>
                <w:szCs w:val="16"/>
                <w:lang w:eastAsia="zh-CN"/>
              </w:rPr>
              <w:t>103</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1698EB7F" w14:textId="0F1BB941" w:rsidR="00695509" w:rsidRPr="002B6B38" w:rsidRDefault="00695509" w:rsidP="009259EC">
            <w:pPr>
              <w:pStyle w:val="TAL"/>
              <w:rPr>
                <w:sz w:val="16"/>
                <w:szCs w:val="16"/>
                <w:lang w:eastAsia="zh-CN"/>
              </w:rPr>
            </w:pPr>
            <w:r w:rsidRPr="00695509">
              <w:rPr>
                <w:sz w:val="16"/>
                <w:szCs w:val="16"/>
                <w:lang w:eastAsia="zh-CN"/>
              </w:rPr>
              <w:t>RP-240519</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038F2C86" w14:textId="2B40AE85" w:rsidR="00695509" w:rsidRDefault="00695509" w:rsidP="009259EC">
            <w:pPr>
              <w:pStyle w:val="TAL"/>
              <w:rPr>
                <w:sz w:val="16"/>
                <w:szCs w:val="16"/>
              </w:rPr>
            </w:pPr>
            <w:r>
              <w:rPr>
                <w:sz w:val="16"/>
                <w:szCs w:val="16"/>
              </w:rPr>
              <w:t>0611</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26ABCBCD" w14:textId="77777777" w:rsidR="00695509" w:rsidRDefault="00695509" w:rsidP="009259EC">
            <w:pPr>
              <w:pStyle w:val="TAL"/>
              <w:jc w:val="center"/>
              <w:rPr>
                <w:sz w:val="16"/>
                <w:szCs w:val="16"/>
              </w:rPr>
            </w:pPr>
            <w:r>
              <w:rPr>
                <w:sz w:val="16"/>
                <w:szCs w:val="16"/>
              </w:rPr>
              <w:t>-</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27B63703" w14:textId="77777777" w:rsidR="00695509" w:rsidRDefault="00695509" w:rsidP="009259EC">
            <w:pPr>
              <w:pStyle w:val="TAL"/>
              <w:rPr>
                <w:sz w:val="16"/>
              </w:rPr>
            </w:pPr>
            <w:r>
              <w:rPr>
                <w:sz w:val="16"/>
              </w:rPr>
              <w:t>F</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14694921" w14:textId="745BF3E4" w:rsidR="00695509" w:rsidRPr="004660AA" w:rsidRDefault="00695509" w:rsidP="009259EC">
            <w:pPr>
              <w:rPr>
                <w:rFonts w:ascii="Arial" w:hAnsi="Arial"/>
                <w:bCs/>
                <w:sz w:val="16"/>
              </w:rPr>
            </w:pPr>
            <w:r w:rsidRPr="00695509">
              <w:rPr>
                <w:rFonts w:ascii="Arial" w:hAnsi="Arial"/>
                <w:bCs/>
                <w:sz w:val="16"/>
              </w:rPr>
              <w:t>Maintenance of NR sidelink evolution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6274511" w14:textId="77777777" w:rsidR="00695509" w:rsidRDefault="00695509" w:rsidP="009259EC">
            <w:pPr>
              <w:pStyle w:val="TAL"/>
              <w:rPr>
                <w:sz w:val="16"/>
                <w:szCs w:val="16"/>
                <w:lang w:eastAsia="zh-CN"/>
              </w:rPr>
            </w:pPr>
            <w:r>
              <w:rPr>
                <w:sz w:val="16"/>
                <w:szCs w:val="16"/>
                <w:lang w:eastAsia="zh-CN"/>
              </w:rPr>
              <w:t>18.2.0</w:t>
            </w:r>
          </w:p>
        </w:tc>
      </w:tr>
      <w:tr w:rsidR="00B731F1" w:rsidRPr="00B916EC" w14:paraId="530A7AB4" w14:textId="77777777" w:rsidTr="009259EC">
        <w:tc>
          <w:tcPr>
            <w:tcW w:w="894" w:type="dxa"/>
            <w:tcBorders>
              <w:top w:val="single" w:sz="4" w:space="0" w:color="auto"/>
              <w:left w:val="single" w:sz="4" w:space="0" w:color="auto"/>
              <w:bottom w:val="single" w:sz="4" w:space="0" w:color="auto"/>
              <w:right w:val="single" w:sz="4" w:space="0" w:color="auto"/>
            </w:tcBorders>
            <w:shd w:val="solid" w:color="FFFFFF" w:fill="auto"/>
          </w:tcPr>
          <w:p w14:paraId="16692949" w14:textId="77777777" w:rsidR="00B731F1" w:rsidRPr="00B916EC" w:rsidRDefault="00B731F1" w:rsidP="009259EC">
            <w:pPr>
              <w:spacing w:after="0"/>
              <w:jc w:val="center"/>
              <w:rPr>
                <w:rFonts w:ascii="Arial" w:hAnsi="Arial"/>
                <w:snapToGrid w:val="0"/>
                <w:sz w:val="16"/>
                <w:szCs w:val="16"/>
              </w:rPr>
            </w:pPr>
            <w:r>
              <w:rPr>
                <w:rFonts w:ascii="Arial" w:hAnsi="Arial"/>
                <w:snapToGrid w:val="0"/>
                <w:sz w:val="16"/>
                <w:szCs w:val="16"/>
              </w:rPr>
              <w:t>2024-03</w:t>
            </w:r>
          </w:p>
        </w:tc>
        <w:tc>
          <w:tcPr>
            <w:tcW w:w="899" w:type="dxa"/>
            <w:tcBorders>
              <w:top w:val="single" w:sz="4" w:space="0" w:color="auto"/>
              <w:left w:val="single" w:sz="4" w:space="0" w:color="auto"/>
              <w:bottom w:val="single" w:sz="4" w:space="0" w:color="auto"/>
              <w:right w:val="single" w:sz="4" w:space="0" w:color="auto"/>
            </w:tcBorders>
            <w:shd w:val="solid" w:color="FFFFFF" w:fill="auto"/>
          </w:tcPr>
          <w:p w14:paraId="5B6180D4" w14:textId="77777777" w:rsidR="00B731F1" w:rsidRPr="00B916EC" w:rsidRDefault="00B731F1" w:rsidP="009259EC">
            <w:pPr>
              <w:pStyle w:val="TAL"/>
              <w:rPr>
                <w:sz w:val="16"/>
                <w:szCs w:val="16"/>
                <w:lang w:eastAsia="zh-CN"/>
              </w:rPr>
            </w:pPr>
            <w:r w:rsidRPr="00B916EC">
              <w:rPr>
                <w:sz w:val="16"/>
                <w:szCs w:val="16"/>
                <w:lang w:eastAsia="zh-CN"/>
              </w:rPr>
              <w:t>RAN#</w:t>
            </w:r>
            <w:r>
              <w:rPr>
                <w:sz w:val="16"/>
                <w:szCs w:val="16"/>
                <w:lang w:eastAsia="zh-CN"/>
              </w:rPr>
              <w:t>103</w:t>
            </w:r>
          </w:p>
        </w:tc>
        <w:tc>
          <w:tcPr>
            <w:tcW w:w="990" w:type="dxa"/>
            <w:tcBorders>
              <w:top w:val="single" w:sz="4" w:space="0" w:color="auto"/>
              <w:left w:val="single" w:sz="4" w:space="0" w:color="auto"/>
              <w:bottom w:val="single" w:sz="4" w:space="0" w:color="auto"/>
              <w:right w:val="single" w:sz="4" w:space="0" w:color="auto"/>
            </w:tcBorders>
            <w:shd w:val="solid" w:color="FFFFFF" w:fill="auto"/>
          </w:tcPr>
          <w:p w14:paraId="46981E68" w14:textId="0044AAA2" w:rsidR="00B731F1" w:rsidRPr="002B6B38" w:rsidRDefault="00B731F1" w:rsidP="009259EC">
            <w:pPr>
              <w:pStyle w:val="TAL"/>
              <w:rPr>
                <w:sz w:val="16"/>
                <w:szCs w:val="16"/>
                <w:lang w:eastAsia="zh-CN"/>
              </w:rPr>
            </w:pPr>
            <w:r w:rsidRPr="00B731F1">
              <w:rPr>
                <w:sz w:val="16"/>
                <w:szCs w:val="16"/>
                <w:lang w:eastAsia="zh-CN"/>
              </w:rPr>
              <w:t>RP-240542</w:t>
            </w:r>
          </w:p>
        </w:tc>
        <w:tc>
          <w:tcPr>
            <w:tcW w:w="500" w:type="dxa"/>
            <w:tcBorders>
              <w:top w:val="single" w:sz="4" w:space="0" w:color="auto"/>
              <w:left w:val="single" w:sz="4" w:space="0" w:color="auto"/>
              <w:bottom w:val="single" w:sz="4" w:space="0" w:color="auto"/>
              <w:right w:val="single" w:sz="4" w:space="0" w:color="auto"/>
            </w:tcBorders>
            <w:shd w:val="solid" w:color="FFFFFF" w:fill="auto"/>
          </w:tcPr>
          <w:p w14:paraId="54D34A01" w14:textId="40E90671" w:rsidR="00B731F1" w:rsidRDefault="00B731F1" w:rsidP="009259EC">
            <w:pPr>
              <w:pStyle w:val="TAL"/>
              <w:rPr>
                <w:sz w:val="16"/>
                <w:szCs w:val="16"/>
              </w:rPr>
            </w:pPr>
            <w:r>
              <w:rPr>
                <w:sz w:val="16"/>
                <w:szCs w:val="16"/>
              </w:rPr>
              <w:t>0612</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48CAFA7B" w14:textId="3623CF19" w:rsidR="00B731F1" w:rsidRDefault="00B731F1" w:rsidP="009259EC">
            <w:pPr>
              <w:pStyle w:val="TAL"/>
              <w:jc w:val="center"/>
              <w:rPr>
                <w:sz w:val="16"/>
                <w:szCs w:val="16"/>
              </w:rPr>
            </w:pPr>
            <w:r>
              <w:rPr>
                <w:sz w:val="16"/>
                <w:szCs w:val="16"/>
              </w:rPr>
              <w:t>1</w:t>
            </w:r>
          </w:p>
        </w:tc>
        <w:tc>
          <w:tcPr>
            <w:tcW w:w="404" w:type="dxa"/>
            <w:tcBorders>
              <w:top w:val="single" w:sz="4" w:space="0" w:color="auto"/>
              <w:left w:val="single" w:sz="4" w:space="0" w:color="auto"/>
              <w:bottom w:val="single" w:sz="4" w:space="0" w:color="auto"/>
              <w:right w:val="single" w:sz="4" w:space="0" w:color="auto"/>
            </w:tcBorders>
            <w:shd w:val="solid" w:color="FFFFFF" w:fill="auto"/>
          </w:tcPr>
          <w:p w14:paraId="2DF80CAA" w14:textId="77777777" w:rsidR="00B731F1" w:rsidRDefault="00B731F1" w:rsidP="009259EC">
            <w:pPr>
              <w:pStyle w:val="TAL"/>
              <w:rPr>
                <w:sz w:val="16"/>
              </w:rPr>
            </w:pPr>
            <w:r>
              <w:rPr>
                <w:sz w:val="16"/>
              </w:rPr>
              <w:t>F</w:t>
            </w:r>
          </w:p>
        </w:tc>
        <w:tc>
          <w:tcPr>
            <w:tcW w:w="4536" w:type="dxa"/>
            <w:tcBorders>
              <w:top w:val="single" w:sz="4" w:space="0" w:color="auto"/>
              <w:left w:val="single" w:sz="4" w:space="0" w:color="auto"/>
              <w:bottom w:val="single" w:sz="4" w:space="0" w:color="auto"/>
              <w:right w:val="single" w:sz="4" w:space="0" w:color="auto"/>
            </w:tcBorders>
            <w:shd w:val="solid" w:color="FFFFFF" w:fill="auto"/>
            <w:vAlign w:val="center"/>
          </w:tcPr>
          <w:p w14:paraId="200A9047" w14:textId="6FCBD741" w:rsidR="00B731F1" w:rsidRPr="004660AA" w:rsidRDefault="00B731F1" w:rsidP="009259EC">
            <w:pPr>
              <w:rPr>
                <w:rFonts w:ascii="Arial" w:hAnsi="Arial"/>
                <w:bCs/>
                <w:sz w:val="16"/>
              </w:rPr>
            </w:pPr>
            <w:r w:rsidRPr="00B731F1">
              <w:rPr>
                <w:rFonts w:ascii="Arial" w:hAnsi="Arial"/>
                <w:bCs/>
                <w:sz w:val="16"/>
              </w:rPr>
              <w:t>RedCap CFR for MBS broadcast [RedCapMBS_Bcast]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04DC850" w14:textId="77777777" w:rsidR="00B731F1" w:rsidRDefault="00B731F1" w:rsidP="009259EC">
            <w:pPr>
              <w:pStyle w:val="TAL"/>
              <w:rPr>
                <w:sz w:val="16"/>
                <w:szCs w:val="16"/>
                <w:lang w:eastAsia="zh-CN"/>
              </w:rPr>
            </w:pPr>
            <w:r>
              <w:rPr>
                <w:sz w:val="16"/>
                <w:szCs w:val="16"/>
                <w:lang w:eastAsia="zh-CN"/>
              </w:rPr>
              <w:t>18.2.0</w:t>
            </w:r>
          </w:p>
        </w:tc>
      </w:tr>
    </w:tbl>
    <w:p w14:paraId="4EF94FC0" w14:textId="77777777" w:rsidR="003C3971" w:rsidRPr="00B916EC" w:rsidRDefault="003C3971" w:rsidP="009105BC"/>
    <w:sectPr w:rsidR="003C3971" w:rsidRPr="00B916EC" w:rsidSect="00F32341">
      <w:headerReference w:type="default" r:id="rId205"/>
      <w:footerReference w:type="default" r:id="rId206"/>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760725" w14:textId="77777777" w:rsidR="00FE715E" w:rsidRDefault="00FE715E">
      <w:r>
        <w:separator/>
      </w:r>
    </w:p>
    <w:p w14:paraId="6EFD0675" w14:textId="77777777" w:rsidR="00FE715E" w:rsidRDefault="00FE715E"/>
  </w:endnote>
  <w:endnote w:type="continuationSeparator" w:id="0">
    <w:p w14:paraId="66F7ACFC" w14:textId="77777777" w:rsidR="00FE715E" w:rsidRDefault="00FE715E">
      <w:r>
        <w:continuationSeparator/>
      </w:r>
    </w:p>
    <w:p w14:paraId="46B432DD" w14:textId="77777777" w:rsidR="00FE715E" w:rsidRDefault="00FE71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ZapfDingbats">
    <w:altName w:val="Segoe Print"/>
    <w:panose1 w:val="00000000000000000000"/>
    <w:charset w:val="02"/>
    <w:family w:val="decorative"/>
    <w:notTrueTyp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
    <w:altName w:val="Microsoft JhengHei"/>
    <w:charset w:val="88"/>
    <w:family w:val="auto"/>
    <w:pitch w:val="default"/>
    <w:sig w:usb0="00000000" w:usb1="00000000" w:usb2="00000010" w:usb3="00000000" w:csb0="001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G Times (WN)">
    <w:altName w:val="Arial"/>
    <w:charset w:val="00"/>
    <w:family w:val="roman"/>
    <w:pitch w:val="default"/>
    <w:sig w:usb0="00000000"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incho">
    <w:altName w:val="明朝"/>
    <w:panose1 w:val="02020609040305080305"/>
    <w:charset w:val="80"/>
    <w:family w:val="roman"/>
    <w:pitch w:val="default"/>
    <w:sig w:usb0="00000000" w:usb1="00000000" w:usb2="00000010" w:usb3="00000000" w:csb0="00020000" w:csb1="00000000"/>
  </w:font>
  <w:font w:name="MS PGothic">
    <w:panose1 w:val="020B0600070205080204"/>
    <w:charset w:val="80"/>
    <w:family w:val="swiss"/>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New York">
    <w:panose1 w:val="02040503060506020304"/>
    <w:charset w:val="00"/>
    <w:family w:val="roman"/>
    <w:pitch w:val="default"/>
    <w:sig w:usb0="00000000" w:usb1="00000000" w:usb2="00000000" w:usb3="00000000" w:csb0="00000001" w:csb1="00000000"/>
  </w:font>
  <w:font w:name="Gulim">
    <w:altName w:val="굴림"/>
    <w:panose1 w:val="020B0600000101010101"/>
    <w:charset w:val="81"/>
    <w:family w:val="swiss"/>
    <w:pitch w:val="variable"/>
    <w:sig w:usb0="B00002AF" w:usb1="69D77CFB" w:usb2="00000030" w:usb3="00000000" w:csb0="000800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Mincho">
    <w:altName w:val="Yu Gothic"/>
    <w:charset w:val="80"/>
    <w:family w:val="roman"/>
    <w:pitch w:val="variable"/>
    <w:sig w:usb0="800002E7" w:usb1="2AC7FCFF" w:usb2="00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Freestyle Script">
    <w:panose1 w:val="030804020302050B0404"/>
    <w:charset w:val="00"/>
    <w:family w:val="script"/>
    <w:pitch w:val="variable"/>
    <w:sig w:usb0="00000003" w:usb1="00000000" w:usb2="00000000" w:usb3="00000000" w:csb0="00000001" w:csb1="00000000"/>
  </w:font>
  <w:font w:name="Microsoft YaHei UI">
    <w:panose1 w:val="020B0503020204020204"/>
    <w:charset w:val="86"/>
    <w:family w:val="swiss"/>
    <w:pitch w:val="variable"/>
    <w:sig w:usb0="80000287" w:usb1="2ACF3C50" w:usb2="00000016" w:usb3="00000000" w:csb0="0004001F" w:csb1="00000000"/>
  </w:font>
  <w:font w:name="TimesNewRomanPSMT">
    <w:altName w:val="Times New Roman"/>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Times-Roman">
    <w:altName w:val="Times New Roman"/>
    <w:charset w:val="00"/>
    <w:family w:val="roman"/>
    <w:pitch w:val="default"/>
    <w:sig w:usb0="00000000" w:usb1="00000000" w:usb2="00000000" w:usb3="00000000" w:csb0="00000001" w:csb1="00000000"/>
  </w:font>
  <w:font w:name="Microsoft JhengHei">
    <w:panose1 w:val="020B0604030504040204"/>
    <w:charset w:val="88"/>
    <w:family w:val="swiss"/>
    <w:pitch w:val="variable"/>
    <w:sig w:usb0="000002A7" w:usb1="28CF4400" w:usb2="00000016" w:usb3="00000000" w:csb0="00100009" w:csb1="00000000"/>
  </w:font>
  <w:font w:name="sans-serif-black">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E76DB" w14:textId="77777777" w:rsidR="00D617EC" w:rsidRDefault="00D617EC">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F92D4D" w14:textId="77777777" w:rsidR="00FE715E" w:rsidRDefault="00FE715E">
      <w:r>
        <w:separator/>
      </w:r>
    </w:p>
    <w:p w14:paraId="5D4BC38E" w14:textId="77777777" w:rsidR="00FE715E" w:rsidRDefault="00FE715E"/>
  </w:footnote>
  <w:footnote w:type="continuationSeparator" w:id="0">
    <w:p w14:paraId="34A29659" w14:textId="77777777" w:rsidR="00FE715E" w:rsidRDefault="00FE715E">
      <w:r>
        <w:continuationSeparator/>
      </w:r>
    </w:p>
    <w:p w14:paraId="5C6E9DE9" w14:textId="77777777" w:rsidR="00FE715E" w:rsidRDefault="00FE715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74B964" w14:textId="20179C9E" w:rsidR="00D617EC" w:rsidRDefault="00D617EC" w:rsidP="00673CC2">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2A2E21">
      <w:rPr>
        <w:rFonts w:ascii="Arial" w:hAnsi="Arial" w:cs="Arial"/>
        <w:b/>
        <w:noProof/>
        <w:sz w:val="18"/>
        <w:szCs w:val="18"/>
      </w:rPr>
      <w:t>3GPP TS 38.213 V18.2.0 (2024-03)</w:t>
    </w:r>
    <w:r>
      <w:rPr>
        <w:rFonts w:ascii="Arial" w:hAnsi="Arial" w:cs="Arial"/>
        <w:b/>
        <w:sz w:val="18"/>
        <w:szCs w:val="18"/>
      </w:rPr>
      <w:fldChar w:fldCharType="end"/>
    </w:r>
  </w:p>
  <w:p w14:paraId="55F90C18" w14:textId="77777777" w:rsidR="00D617EC" w:rsidRDefault="00D617EC" w:rsidP="00673CC2">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95</w:t>
    </w:r>
    <w:r>
      <w:rPr>
        <w:rFonts w:ascii="Arial" w:hAnsi="Arial" w:cs="Arial"/>
        <w:b/>
        <w:sz w:val="18"/>
        <w:szCs w:val="18"/>
      </w:rPr>
      <w:fldChar w:fldCharType="end"/>
    </w:r>
  </w:p>
  <w:p w14:paraId="4E51D4B4" w14:textId="647CE679" w:rsidR="00D617EC" w:rsidRDefault="00D617EC" w:rsidP="00673CC2">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2A2E21">
      <w:rPr>
        <w:rFonts w:ascii="Arial" w:hAnsi="Arial" w:cs="Arial"/>
        <w:b/>
        <w:noProof/>
        <w:sz w:val="18"/>
        <w:szCs w:val="18"/>
      </w:rPr>
      <w:t>Release 18</w:t>
    </w:r>
    <w:r>
      <w:rPr>
        <w:rFonts w:ascii="Arial" w:hAnsi="Arial" w:cs="Arial"/>
        <w:b/>
        <w:sz w:val="18"/>
        <w:szCs w:val="18"/>
      </w:rPr>
      <w:fldChar w:fldCharType="end"/>
    </w:r>
  </w:p>
  <w:p w14:paraId="3459CB04" w14:textId="77777777" w:rsidR="00D617EC" w:rsidRDefault="00D617EC" w:rsidP="00673C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E"/>
    <w:multiLevelType w:val="singleLevel"/>
    <w:tmpl w:val="5A54DD86"/>
    <w:lvl w:ilvl="0">
      <w:start w:val="1"/>
      <w:numFmt w:val="decimal"/>
      <w:pStyle w:val="ListNumber3"/>
      <w:lvlText w:val="%1."/>
      <w:lvlJc w:val="left"/>
      <w:pPr>
        <w:tabs>
          <w:tab w:val="num" w:pos="926"/>
        </w:tabs>
        <w:ind w:left="926" w:hanging="360"/>
      </w:pPr>
    </w:lvl>
  </w:abstractNum>
  <w:abstractNum w:abstractNumId="1" w15:restartNumberingAfterBreak="0">
    <w:nsid w:val="028274EB"/>
    <w:multiLevelType w:val="hybridMultilevel"/>
    <w:tmpl w:val="1FA2E884"/>
    <w:lvl w:ilvl="0" w:tplc="DB60718C">
      <w:start w:val="1"/>
      <w:numFmt w:val="bullet"/>
      <w:lvlText w:val="•"/>
      <w:lvlJc w:val="left"/>
      <w:pPr>
        <w:tabs>
          <w:tab w:val="num" w:pos="720"/>
        </w:tabs>
        <w:ind w:left="720" w:hanging="360"/>
      </w:pPr>
      <w:rPr>
        <w:rFonts w:ascii="Arial" w:hAnsi="Arial" w:hint="default"/>
      </w:rPr>
    </w:lvl>
    <w:lvl w:ilvl="1" w:tplc="515E0952">
      <w:numFmt w:val="bullet"/>
      <w:pStyle w:val="RAN1bullet2"/>
      <w:lvlText w:val="–"/>
      <w:lvlJc w:val="left"/>
      <w:pPr>
        <w:tabs>
          <w:tab w:val="num" w:pos="1440"/>
        </w:tabs>
        <w:ind w:left="1440" w:hanging="360"/>
      </w:pPr>
      <w:rPr>
        <w:rFonts w:ascii="Arial" w:hAnsi="Arial" w:hint="default"/>
      </w:rPr>
    </w:lvl>
    <w:lvl w:ilvl="2" w:tplc="CEC60A12">
      <w:start w:val="1"/>
      <w:numFmt w:val="bullet"/>
      <w:lvlText w:val="•"/>
      <w:lvlJc w:val="left"/>
      <w:pPr>
        <w:tabs>
          <w:tab w:val="num" w:pos="2160"/>
        </w:tabs>
        <w:ind w:left="2160" w:hanging="360"/>
      </w:pPr>
      <w:rPr>
        <w:rFonts w:ascii="Arial" w:hAnsi="Arial" w:hint="default"/>
      </w:rPr>
    </w:lvl>
    <w:lvl w:ilvl="3" w:tplc="DA28EE96">
      <w:start w:val="1"/>
      <w:numFmt w:val="bullet"/>
      <w:lvlText w:val="•"/>
      <w:lvlJc w:val="left"/>
      <w:pPr>
        <w:tabs>
          <w:tab w:val="num" w:pos="2880"/>
        </w:tabs>
        <w:ind w:left="2880" w:hanging="360"/>
      </w:pPr>
      <w:rPr>
        <w:rFonts w:ascii="Arial" w:hAnsi="Arial" w:hint="default"/>
      </w:rPr>
    </w:lvl>
    <w:lvl w:ilvl="4" w:tplc="7CD4691C">
      <w:start w:val="1"/>
      <w:numFmt w:val="bullet"/>
      <w:lvlText w:val="•"/>
      <w:lvlJc w:val="left"/>
      <w:pPr>
        <w:tabs>
          <w:tab w:val="num" w:pos="3600"/>
        </w:tabs>
        <w:ind w:left="3600" w:hanging="360"/>
      </w:pPr>
      <w:rPr>
        <w:rFonts w:ascii="Arial" w:hAnsi="Arial" w:hint="default"/>
      </w:rPr>
    </w:lvl>
    <w:lvl w:ilvl="5" w:tplc="AAF043BA">
      <w:numFmt w:val="bullet"/>
      <w:lvlText w:val="-"/>
      <w:lvlJc w:val="left"/>
      <w:pPr>
        <w:ind w:left="4320" w:hanging="360"/>
      </w:pPr>
      <w:rPr>
        <w:rFonts w:ascii="Times New Roman" w:eastAsia="Times New Roman" w:hAnsi="Times New Roman" w:cs="Times New Roman" w:hint="default"/>
      </w:rPr>
    </w:lvl>
    <w:lvl w:ilvl="6" w:tplc="24AAF882" w:tentative="1">
      <w:start w:val="1"/>
      <w:numFmt w:val="bullet"/>
      <w:lvlText w:val="•"/>
      <w:lvlJc w:val="left"/>
      <w:pPr>
        <w:tabs>
          <w:tab w:val="num" w:pos="5040"/>
        </w:tabs>
        <w:ind w:left="5040" w:hanging="360"/>
      </w:pPr>
      <w:rPr>
        <w:rFonts w:ascii="Arial" w:hAnsi="Arial" w:hint="default"/>
      </w:rPr>
    </w:lvl>
    <w:lvl w:ilvl="7" w:tplc="4036A71C" w:tentative="1">
      <w:start w:val="1"/>
      <w:numFmt w:val="bullet"/>
      <w:lvlText w:val="•"/>
      <w:lvlJc w:val="left"/>
      <w:pPr>
        <w:tabs>
          <w:tab w:val="num" w:pos="5760"/>
        </w:tabs>
        <w:ind w:left="5760" w:hanging="360"/>
      </w:pPr>
      <w:rPr>
        <w:rFonts w:ascii="Arial" w:hAnsi="Arial" w:hint="default"/>
      </w:rPr>
    </w:lvl>
    <w:lvl w:ilvl="8" w:tplc="8BCEDA4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60D3FFB"/>
    <w:multiLevelType w:val="hybridMultilevel"/>
    <w:tmpl w:val="488A4C58"/>
    <w:lvl w:ilvl="0" w:tplc="4D3678F6">
      <w:start w:val="1"/>
      <w:numFmt w:val="bullet"/>
      <w:pStyle w:val="RAN1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7F5529"/>
    <w:multiLevelType w:val="hybridMultilevel"/>
    <w:tmpl w:val="5B9C0B22"/>
    <w:lvl w:ilvl="0" w:tplc="84DA030C">
      <w:start w:val="18"/>
      <w:numFmt w:val="bullet"/>
      <w:lvlText w:val="-"/>
      <w:lvlJc w:val="left"/>
      <w:pPr>
        <w:ind w:left="2061" w:hanging="360"/>
      </w:pPr>
      <w:rPr>
        <w:rFonts w:ascii="Times New Roman" w:eastAsia="SimSun" w:hAnsi="Times New Roman" w:cs="Times New Roman" w:hint="default"/>
      </w:rPr>
    </w:lvl>
    <w:lvl w:ilvl="1" w:tplc="08090003" w:tentative="1">
      <w:start w:val="1"/>
      <w:numFmt w:val="bullet"/>
      <w:lvlText w:val="o"/>
      <w:lvlJc w:val="left"/>
      <w:pPr>
        <w:ind w:left="2781" w:hanging="360"/>
      </w:pPr>
      <w:rPr>
        <w:rFonts w:ascii="Courier New" w:hAnsi="Courier New" w:cs="Courier New" w:hint="default"/>
      </w:rPr>
    </w:lvl>
    <w:lvl w:ilvl="2" w:tplc="08090005" w:tentative="1">
      <w:start w:val="1"/>
      <w:numFmt w:val="bullet"/>
      <w:lvlText w:val=""/>
      <w:lvlJc w:val="left"/>
      <w:pPr>
        <w:ind w:left="3501" w:hanging="360"/>
      </w:pPr>
      <w:rPr>
        <w:rFonts w:ascii="Wingdings" w:hAnsi="Wingdings" w:hint="default"/>
      </w:rPr>
    </w:lvl>
    <w:lvl w:ilvl="3" w:tplc="08090001" w:tentative="1">
      <w:start w:val="1"/>
      <w:numFmt w:val="bullet"/>
      <w:lvlText w:val=""/>
      <w:lvlJc w:val="left"/>
      <w:pPr>
        <w:ind w:left="4221" w:hanging="360"/>
      </w:pPr>
      <w:rPr>
        <w:rFonts w:ascii="Symbol" w:hAnsi="Symbol" w:hint="default"/>
      </w:rPr>
    </w:lvl>
    <w:lvl w:ilvl="4" w:tplc="08090003" w:tentative="1">
      <w:start w:val="1"/>
      <w:numFmt w:val="bullet"/>
      <w:lvlText w:val="o"/>
      <w:lvlJc w:val="left"/>
      <w:pPr>
        <w:ind w:left="4941" w:hanging="360"/>
      </w:pPr>
      <w:rPr>
        <w:rFonts w:ascii="Courier New" w:hAnsi="Courier New" w:cs="Courier New" w:hint="default"/>
      </w:rPr>
    </w:lvl>
    <w:lvl w:ilvl="5" w:tplc="08090005" w:tentative="1">
      <w:start w:val="1"/>
      <w:numFmt w:val="bullet"/>
      <w:lvlText w:val=""/>
      <w:lvlJc w:val="left"/>
      <w:pPr>
        <w:ind w:left="5661" w:hanging="360"/>
      </w:pPr>
      <w:rPr>
        <w:rFonts w:ascii="Wingdings" w:hAnsi="Wingdings" w:hint="default"/>
      </w:rPr>
    </w:lvl>
    <w:lvl w:ilvl="6" w:tplc="08090001" w:tentative="1">
      <w:start w:val="1"/>
      <w:numFmt w:val="bullet"/>
      <w:lvlText w:val=""/>
      <w:lvlJc w:val="left"/>
      <w:pPr>
        <w:ind w:left="6381" w:hanging="360"/>
      </w:pPr>
      <w:rPr>
        <w:rFonts w:ascii="Symbol" w:hAnsi="Symbol" w:hint="default"/>
      </w:rPr>
    </w:lvl>
    <w:lvl w:ilvl="7" w:tplc="08090003" w:tentative="1">
      <w:start w:val="1"/>
      <w:numFmt w:val="bullet"/>
      <w:lvlText w:val="o"/>
      <w:lvlJc w:val="left"/>
      <w:pPr>
        <w:ind w:left="7101" w:hanging="360"/>
      </w:pPr>
      <w:rPr>
        <w:rFonts w:ascii="Courier New" w:hAnsi="Courier New" w:cs="Courier New" w:hint="default"/>
      </w:rPr>
    </w:lvl>
    <w:lvl w:ilvl="8" w:tplc="08090005" w:tentative="1">
      <w:start w:val="1"/>
      <w:numFmt w:val="bullet"/>
      <w:lvlText w:val=""/>
      <w:lvlJc w:val="left"/>
      <w:pPr>
        <w:ind w:left="7821" w:hanging="360"/>
      </w:pPr>
      <w:rPr>
        <w:rFonts w:ascii="Wingdings" w:hAnsi="Wingdings" w:hint="default"/>
      </w:rPr>
    </w:lvl>
  </w:abstractNum>
  <w:abstractNum w:abstractNumId="4" w15:restartNumberingAfterBreak="0">
    <w:nsid w:val="0A5341F7"/>
    <w:multiLevelType w:val="singleLevel"/>
    <w:tmpl w:val="4162974E"/>
    <w:lvl w:ilvl="0">
      <w:start w:val="1"/>
      <w:numFmt w:val="decimal"/>
      <w:pStyle w:val="Reference"/>
      <w:lvlText w:val="[%1]"/>
      <w:lvlJc w:val="left"/>
      <w:pPr>
        <w:tabs>
          <w:tab w:val="num" w:pos="567"/>
        </w:tabs>
        <w:ind w:left="567" w:hanging="567"/>
      </w:pPr>
      <w:rPr>
        <w:rFonts w:hint="default"/>
      </w:rPr>
    </w:lvl>
  </w:abstractNum>
  <w:abstractNum w:abstractNumId="5" w15:restartNumberingAfterBreak="0">
    <w:nsid w:val="215618F4"/>
    <w:multiLevelType w:val="hybridMultilevel"/>
    <w:tmpl w:val="AF781508"/>
    <w:lvl w:ilvl="0" w:tplc="D0AE407E">
      <w:start w:val="18"/>
      <w:numFmt w:val="bullet"/>
      <w:lvlText w:val="-"/>
      <w:lvlJc w:val="left"/>
      <w:pPr>
        <w:ind w:left="1778" w:hanging="360"/>
      </w:pPr>
      <w:rPr>
        <w:rFonts w:ascii="Times New Roman" w:eastAsia="SimSun" w:hAnsi="Times New Roman" w:cs="Times New Roman" w:hint="default"/>
      </w:rPr>
    </w:lvl>
    <w:lvl w:ilvl="1" w:tplc="08090003" w:tentative="1">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6" w15:restartNumberingAfterBreak="0">
    <w:nsid w:val="2CC7125C"/>
    <w:multiLevelType w:val="singleLevel"/>
    <w:tmpl w:val="24D0B6C8"/>
    <w:lvl w:ilvl="0">
      <w:start w:val="1"/>
      <w:numFmt w:val="bullet"/>
      <w:pStyle w:val="Bulletedo1"/>
      <w:lvlText w:val=""/>
      <w:lvlJc w:val="left"/>
      <w:pPr>
        <w:tabs>
          <w:tab w:val="num" w:pos="360"/>
        </w:tabs>
        <w:ind w:left="360" w:hanging="360"/>
      </w:pPr>
      <w:rPr>
        <w:rFonts w:ascii="Symbol" w:hAnsi="Symbol" w:hint="default"/>
      </w:rPr>
    </w:lvl>
  </w:abstractNum>
  <w:abstractNum w:abstractNumId="7" w15:restartNumberingAfterBreak="0">
    <w:nsid w:val="2DDF0E1C"/>
    <w:multiLevelType w:val="hybridMultilevel"/>
    <w:tmpl w:val="60E6F1EA"/>
    <w:lvl w:ilvl="0" w:tplc="52167A46">
      <w:start w:val="1"/>
      <w:numFmt w:val="bullet"/>
      <w:pStyle w:val="bullet"/>
      <w:lvlText w:val=""/>
      <w:lvlJc w:val="left"/>
      <w:pPr>
        <w:ind w:left="720" w:hanging="360"/>
      </w:pPr>
      <w:rPr>
        <w:rFonts w:ascii="Symbol" w:hAnsi="Symbol" w:hint="default"/>
      </w:rPr>
    </w:lvl>
    <w:lvl w:ilvl="1" w:tplc="0409000B">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B" w:tentative="1">
      <w:start w:val="1"/>
      <w:numFmt w:val="bullet"/>
      <w:lvlText w:val="o"/>
      <w:lvlJc w:val="left"/>
      <w:pPr>
        <w:ind w:left="3600" w:hanging="360"/>
      </w:pPr>
      <w:rPr>
        <w:rFonts w:ascii="Courier New" w:hAnsi="Courier New" w:cs="Courier New" w:hint="default"/>
      </w:rPr>
    </w:lvl>
    <w:lvl w:ilvl="5" w:tplc="0409000D"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B" w:tentative="1">
      <w:start w:val="1"/>
      <w:numFmt w:val="bullet"/>
      <w:lvlText w:val="o"/>
      <w:lvlJc w:val="left"/>
      <w:pPr>
        <w:ind w:left="5760" w:hanging="360"/>
      </w:pPr>
      <w:rPr>
        <w:rFonts w:ascii="Courier New" w:hAnsi="Courier New" w:cs="Courier New" w:hint="default"/>
      </w:rPr>
    </w:lvl>
    <w:lvl w:ilvl="8" w:tplc="0409000D" w:tentative="1">
      <w:start w:val="1"/>
      <w:numFmt w:val="bullet"/>
      <w:lvlText w:val=""/>
      <w:lvlJc w:val="left"/>
      <w:pPr>
        <w:ind w:left="6480" w:hanging="360"/>
      </w:pPr>
      <w:rPr>
        <w:rFonts w:ascii="Wingdings" w:hAnsi="Wingdings" w:hint="default"/>
      </w:rPr>
    </w:lvl>
  </w:abstractNum>
  <w:abstractNum w:abstractNumId="8" w15:restartNumberingAfterBreak="0">
    <w:nsid w:val="313748C2"/>
    <w:multiLevelType w:val="hybridMultilevel"/>
    <w:tmpl w:val="21E81B1E"/>
    <w:lvl w:ilvl="0" w:tplc="B3428C4A">
      <w:start w:val="1"/>
      <w:numFmt w:val="bullet"/>
      <w:pStyle w:val="Bullet0"/>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2CF78C2"/>
    <w:multiLevelType w:val="multilevel"/>
    <w:tmpl w:val="32CF78C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15:restartNumberingAfterBreak="0">
    <w:nsid w:val="34D5045A"/>
    <w:multiLevelType w:val="singleLevel"/>
    <w:tmpl w:val="B3FC4AEC"/>
    <w:lvl w:ilvl="0">
      <w:start w:val="1"/>
      <w:numFmt w:val="bullet"/>
      <w:pStyle w:val="a"/>
      <w:lvlText w:val=""/>
      <w:lvlJc w:val="left"/>
      <w:pPr>
        <w:tabs>
          <w:tab w:val="num" w:pos="360"/>
        </w:tabs>
        <w:ind w:left="340" w:hanging="340"/>
      </w:pPr>
      <w:rPr>
        <w:rFonts w:ascii="Symbol" w:eastAsia="Times New Roman" w:hAnsi="Symbol" w:hint="default"/>
        <w:color w:val="auto"/>
      </w:rPr>
    </w:lvl>
  </w:abstractNum>
  <w:abstractNum w:abstractNumId="11" w15:restartNumberingAfterBreak="0">
    <w:nsid w:val="382946E8"/>
    <w:multiLevelType w:val="hybridMultilevel"/>
    <w:tmpl w:val="2E3C1F5A"/>
    <w:lvl w:ilvl="0" w:tplc="B3428C4A">
      <w:start w:val="1"/>
      <w:numFmt w:val="bullet"/>
      <w:pStyle w:val="item"/>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0DE34BC"/>
    <w:multiLevelType w:val="singleLevel"/>
    <w:tmpl w:val="3AC85A44"/>
    <w:lvl w:ilvl="0">
      <w:start w:val="1"/>
      <w:numFmt w:val="decimal"/>
      <w:pStyle w:val="TdocHeading1"/>
      <w:lvlText w:val="%1."/>
      <w:lvlJc w:val="left"/>
      <w:pPr>
        <w:tabs>
          <w:tab w:val="num" w:pos="360"/>
        </w:tabs>
        <w:ind w:left="360" w:hanging="360"/>
      </w:pPr>
    </w:lvl>
  </w:abstractNum>
  <w:abstractNum w:abstractNumId="13" w15:restartNumberingAfterBreak="0">
    <w:nsid w:val="417F6AFB"/>
    <w:multiLevelType w:val="multilevel"/>
    <w:tmpl w:val="3676A840"/>
    <w:lvl w:ilvl="0">
      <w:start w:val="1"/>
      <w:numFmt w:val="bullet"/>
      <w:pStyle w:val="3GPPAgreements"/>
      <w:lvlText w:val="●"/>
      <w:lvlJc w:val="left"/>
      <w:pPr>
        <w:ind w:left="284" w:hanging="284"/>
      </w:pPr>
      <w:rPr>
        <w:rFonts w:ascii="Times New Roman" w:hAnsi="Times New Roman" w:cs="Times New Roman" w:hint="default"/>
        <w:color w:val="auto"/>
        <w:sz w:val="22"/>
      </w:rPr>
    </w:lvl>
    <w:lvl w:ilvl="1">
      <w:start w:val="1"/>
      <w:numFmt w:val="bullet"/>
      <w:lvlText w:val="○"/>
      <w:lvlJc w:val="left"/>
      <w:pPr>
        <w:ind w:left="567" w:hanging="283"/>
      </w:pPr>
      <w:rPr>
        <w:rFonts w:ascii="Times New Roman" w:hAnsi="Times New Roman" w:cs="Times New Roman" w:hint="default"/>
        <w:color w:val="auto"/>
        <w:sz w:val="22"/>
      </w:rPr>
    </w:lvl>
    <w:lvl w:ilvl="2">
      <w:start w:val="1"/>
      <w:numFmt w:val="bullet"/>
      <w:lvlText w:val="♦"/>
      <w:lvlJc w:val="left"/>
      <w:pPr>
        <w:ind w:left="851" w:hanging="284"/>
      </w:pPr>
      <w:rPr>
        <w:rFonts w:ascii="Times New Roman" w:hAnsi="Times New Roman" w:cs="Times New Roman" w:hint="default"/>
        <w:color w:val="auto"/>
        <w:sz w:val="22"/>
      </w:rPr>
    </w:lvl>
    <w:lvl w:ilvl="3">
      <w:start w:val="1"/>
      <w:numFmt w:val="bullet"/>
      <w:lvlText w:val="□"/>
      <w:lvlJc w:val="left"/>
      <w:pPr>
        <w:ind w:left="1134" w:hanging="283"/>
      </w:pPr>
      <w:rPr>
        <w:rFonts w:ascii="Times New Roman" w:hAnsi="Times New Roman" w:cs="Times New Roman" w:hint="default"/>
        <w:color w:val="auto"/>
      </w:rPr>
    </w:lvl>
    <w:lvl w:ilvl="4">
      <w:start w:val="1"/>
      <w:numFmt w:val="bullet"/>
      <w:lvlText w:val="▪"/>
      <w:lvlJc w:val="left"/>
      <w:pPr>
        <w:ind w:left="1418" w:hanging="284"/>
      </w:pPr>
      <w:rPr>
        <w:rFonts w:ascii="Times New Roman" w:hAnsi="Times New Roman" w:cs="Times New Roman"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45E05BD5"/>
    <w:multiLevelType w:val="hybridMultilevel"/>
    <w:tmpl w:val="41A6D55A"/>
    <w:lvl w:ilvl="0" w:tplc="04090001">
      <w:start w:val="1"/>
      <w:numFmt w:val="decimal"/>
      <w:pStyle w:val="NumberedList"/>
      <w:lvlText w:val="[%1]."/>
      <w:lvlJc w:val="left"/>
      <w:pPr>
        <w:tabs>
          <w:tab w:val="num" w:pos="432"/>
        </w:tabs>
        <w:ind w:left="432" w:hanging="432"/>
      </w:pPr>
      <w:rPr>
        <w:rFonts w:hint="default"/>
      </w:rPr>
    </w:lvl>
    <w:lvl w:ilvl="1" w:tplc="04090003">
      <w:start w:val="1"/>
      <w:numFmt w:val="bullet"/>
      <w:lvlText w:val=""/>
      <w:lvlJc w:val="left"/>
      <w:pPr>
        <w:tabs>
          <w:tab w:val="num" w:pos="360"/>
        </w:tabs>
        <w:ind w:left="360" w:hanging="360"/>
      </w:pPr>
      <w:rPr>
        <w:rFonts w:ascii="Symbol" w:hAnsi="Symbol" w:hint="default"/>
        <w:lang w:val="en-US"/>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64D3319"/>
    <w:multiLevelType w:val="multilevel"/>
    <w:tmpl w:val="C61CA6A6"/>
    <w:lvl w:ilvl="0">
      <w:start w:val="1"/>
      <w:numFmt w:val="decimal"/>
      <w:pStyle w:val="berschrift1H1"/>
      <w:lvlText w:val="%1"/>
      <w:lvlJc w:val="left"/>
      <w:pPr>
        <w:tabs>
          <w:tab w:val="num" w:pos="735"/>
        </w:tabs>
        <w:ind w:left="735" w:hanging="735"/>
      </w:pPr>
      <w:rPr>
        <w:rFonts w:hint="default"/>
      </w:rPr>
    </w:lvl>
    <w:lvl w:ilvl="1">
      <w:start w:val="1"/>
      <w:numFmt w:val="decimal"/>
      <w:lvlText w:val="%1.%2"/>
      <w:lvlJc w:val="left"/>
      <w:pPr>
        <w:tabs>
          <w:tab w:val="num" w:pos="735"/>
        </w:tabs>
        <w:ind w:left="735" w:hanging="735"/>
      </w:pPr>
      <w:rPr>
        <w:rFonts w:hint="default"/>
      </w:rPr>
    </w:lvl>
    <w:lvl w:ilvl="2">
      <w:start w:val="1"/>
      <w:numFmt w:val="decimal"/>
      <w:lvlText w:val="%1.%2.%3"/>
      <w:lvlJc w:val="left"/>
      <w:pPr>
        <w:tabs>
          <w:tab w:val="num" w:pos="1080"/>
        </w:tabs>
        <w:ind w:left="735" w:hanging="735"/>
      </w:pPr>
      <w:rPr>
        <w:rFonts w:hint="default"/>
      </w:rPr>
    </w:lvl>
    <w:lvl w:ilvl="3">
      <w:start w:val="1"/>
      <w:numFmt w:val="decimal"/>
      <w:lvlText w:val="%1.%2.%3.%4"/>
      <w:lvlJc w:val="left"/>
      <w:pPr>
        <w:tabs>
          <w:tab w:val="num" w:pos="1440"/>
        </w:tabs>
        <w:ind w:left="735" w:hanging="735"/>
      </w:pPr>
      <w:rPr>
        <w:rFonts w:hint="default"/>
      </w:rPr>
    </w:lvl>
    <w:lvl w:ilvl="4">
      <w:start w:val="1"/>
      <w:numFmt w:val="decimal"/>
      <w:lvlText w:val="%1.%2.%3.%4.%5"/>
      <w:lvlJc w:val="left"/>
      <w:pPr>
        <w:tabs>
          <w:tab w:val="num" w:pos="1440"/>
        </w:tabs>
        <w:ind w:left="1080" w:hanging="1080"/>
      </w:pPr>
      <w:rPr>
        <w:rFonts w:hint="default"/>
      </w:rPr>
    </w:lvl>
    <w:lvl w:ilvl="5">
      <w:start w:val="1"/>
      <w:numFmt w:val="decimal"/>
      <w:lvlText w:val="%1.%2.%3.%4.%5.%6"/>
      <w:lvlJc w:val="left"/>
      <w:pPr>
        <w:tabs>
          <w:tab w:val="num" w:pos="180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474274C7"/>
    <w:multiLevelType w:val="hybridMultilevel"/>
    <w:tmpl w:val="AAA4F6C2"/>
    <w:lvl w:ilvl="0" w:tplc="95766C80">
      <w:start w:val="1"/>
      <w:numFmt w:val="decimalZero"/>
      <w:pStyle w:val="SpecTextNum"/>
      <w:lvlText w:val="[00%1]"/>
      <w:lvlJc w:val="left"/>
      <w:pPr>
        <w:tabs>
          <w:tab w:val="num" w:pos="1134"/>
        </w:tabs>
        <w:ind w:left="0" w:firstLine="0"/>
      </w:pPr>
      <w:rPr>
        <w:rFonts w:ascii="Times New Roman" w:hAnsi="Times New Roman" w:hint="default"/>
        <w:b/>
        <w:i w:val="0"/>
        <w:color w:val="000000"/>
      </w:rPr>
    </w:lvl>
    <w:lvl w:ilvl="1" w:tplc="037E4F88">
      <w:start w:val="1"/>
      <w:numFmt w:val="upperLetter"/>
      <w:lvlText w:val="%2."/>
      <w:lvlJc w:val="left"/>
      <w:pPr>
        <w:tabs>
          <w:tab w:val="num" w:pos="300"/>
        </w:tabs>
        <w:ind w:left="300" w:hanging="400"/>
      </w:pPr>
    </w:lvl>
    <w:lvl w:ilvl="2" w:tplc="8C0E8962" w:tentative="1">
      <w:start w:val="1"/>
      <w:numFmt w:val="lowerRoman"/>
      <w:lvlText w:val="%3."/>
      <w:lvlJc w:val="right"/>
      <w:pPr>
        <w:tabs>
          <w:tab w:val="num" w:pos="700"/>
        </w:tabs>
        <w:ind w:left="700" w:hanging="400"/>
      </w:pPr>
    </w:lvl>
    <w:lvl w:ilvl="3" w:tplc="EC864E40" w:tentative="1">
      <w:start w:val="1"/>
      <w:numFmt w:val="decimal"/>
      <w:lvlText w:val="%4."/>
      <w:lvlJc w:val="left"/>
      <w:pPr>
        <w:tabs>
          <w:tab w:val="num" w:pos="1100"/>
        </w:tabs>
        <w:ind w:left="1100" w:hanging="400"/>
      </w:pPr>
    </w:lvl>
    <w:lvl w:ilvl="4" w:tplc="5C78DAE4" w:tentative="1">
      <w:start w:val="1"/>
      <w:numFmt w:val="upperLetter"/>
      <w:lvlText w:val="%5."/>
      <w:lvlJc w:val="left"/>
      <w:pPr>
        <w:tabs>
          <w:tab w:val="num" w:pos="1500"/>
        </w:tabs>
        <w:ind w:left="1500" w:hanging="400"/>
      </w:pPr>
    </w:lvl>
    <w:lvl w:ilvl="5" w:tplc="04CED22E" w:tentative="1">
      <w:start w:val="1"/>
      <w:numFmt w:val="lowerRoman"/>
      <w:lvlText w:val="%6."/>
      <w:lvlJc w:val="right"/>
      <w:pPr>
        <w:tabs>
          <w:tab w:val="num" w:pos="1900"/>
        </w:tabs>
        <w:ind w:left="1900" w:hanging="400"/>
      </w:pPr>
    </w:lvl>
    <w:lvl w:ilvl="6" w:tplc="E0268B96" w:tentative="1">
      <w:start w:val="1"/>
      <w:numFmt w:val="decimal"/>
      <w:lvlText w:val="%7."/>
      <w:lvlJc w:val="left"/>
      <w:pPr>
        <w:tabs>
          <w:tab w:val="num" w:pos="2300"/>
        </w:tabs>
        <w:ind w:left="2300" w:hanging="400"/>
      </w:pPr>
    </w:lvl>
    <w:lvl w:ilvl="7" w:tplc="6A72FCCE" w:tentative="1">
      <w:start w:val="1"/>
      <w:numFmt w:val="upperLetter"/>
      <w:lvlText w:val="%8."/>
      <w:lvlJc w:val="left"/>
      <w:pPr>
        <w:tabs>
          <w:tab w:val="num" w:pos="2700"/>
        </w:tabs>
        <w:ind w:left="2700" w:hanging="400"/>
      </w:pPr>
    </w:lvl>
    <w:lvl w:ilvl="8" w:tplc="0A86F948" w:tentative="1">
      <w:start w:val="1"/>
      <w:numFmt w:val="lowerRoman"/>
      <w:lvlText w:val="%9."/>
      <w:lvlJc w:val="right"/>
      <w:pPr>
        <w:tabs>
          <w:tab w:val="num" w:pos="3100"/>
        </w:tabs>
        <w:ind w:left="3100" w:hanging="400"/>
      </w:pPr>
    </w:lvl>
  </w:abstractNum>
  <w:abstractNum w:abstractNumId="17" w15:restartNumberingAfterBreak="0">
    <w:nsid w:val="4A55685D"/>
    <w:multiLevelType w:val="singleLevel"/>
    <w:tmpl w:val="947A7058"/>
    <w:lvl w:ilvl="0">
      <w:start w:val="1"/>
      <w:numFmt w:val="bullet"/>
      <w:pStyle w:val="textintend1"/>
      <w:lvlText w:val=""/>
      <w:lvlJc w:val="left"/>
      <w:pPr>
        <w:tabs>
          <w:tab w:val="num" w:pos="992"/>
        </w:tabs>
        <w:ind w:left="992" w:hanging="425"/>
      </w:pPr>
      <w:rPr>
        <w:rFonts w:ascii="Symbol" w:hAnsi="Symbol" w:hint="default"/>
      </w:rPr>
    </w:lvl>
  </w:abstractNum>
  <w:abstractNum w:abstractNumId="18" w15:restartNumberingAfterBreak="0">
    <w:nsid w:val="4B1F283C"/>
    <w:multiLevelType w:val="singleLevel"/>
    <w:tmpl w:val="759E93C2"/>
    <w:lvl w:ilvl="0">
      <w:start w:val="1"/>
      <w:numFmt w:val="bullet"/>
      <w:pStyle w:val="textintend3"/>
      <w:lvlText w:val=""/>
      <w:lvlJc w:val="left"/>
      <w:pPr>
        <w:tabs>
          <w:tab w:val="num" w:pos="1843"/>
        </w:tabs>
        <w:ind w:left="1843" w:hanging="425"/>
      </w:pPr>
      <w:rPr>
        <w:rFonts w:ascii="Symbol" w:hAnsi="Symbol" w:hint="default"/>
      </w:rPr>
    </w:lvl>
  </w:abstractNum>
  <w:abstractNum w:abstractNumId="19" w15:restartNumberingAfterBreak="0">
    <w:nsid w:val="5101505E"/>
    <w:multiLevelType w:val="hybridMultilevel"/>
    <w:tmpl w:val="6C28A41A"/>
    <w:lvl w:ilvl="0" w:tplc="6B484274">
      <w:start w:val="1"/>
      <w:numFmt w:val="decimal"/>
      <w:pStyle w:val="Observation"/>
      <w:lvlText w:val="Observation %1"/>
      <w:lvlJc w:val="left"/>
      <w:pPr>
        <w:ind w:left="2062" w:hanging="360"/>
      </w:pPr>
      <w:rPr>
        <w:rFonts w:hint="default"/>
      </w:rPr>
    </w:lvl>
    <w:lvl w:ilvl="1" w:tplc="F05A3BA6" w:tentative="1">
      <w:start w:val="1"/>
      <w:numFmt w:val="lowerLetter"/>
      <w:lvlText w:val="%2."/>
      <w:lvlJc w:val="left"/>
      <w:pPr>
        <w:ind w:left="1440" w:hanging="360"/>
      </w:pPr>
    </w:lvl>
    <w:lvl w:ilvl="2" w:tplc="D3FE5E8C" w:tentative="1">
      <w:start w:val="1"/>
      <w:numFmt w:val="lowerRoman"/>
      <w:lvlText w:val="%3."/>
      <w:lvlJc w:val="right"/>
      <w:pPr>
        <w:ind w:left="2160" w:hanging="180"/>
      </w:pPr>
    </w:lvl>
    <w:lvl w:ilvl="3" w:tplc="92CE4EC4" w:tentative="1">
      <w:start w:val="1"/>
      <w:numFmt w:val="decimal"/>
      <w:lvlText w:val="%4."/>
      <w:lvlJc w:val="left"/>
      <w:pPr>
        <w:ind w:left="2880" w:hanging="360"/>
      </w:pPr>
    </w:lvl>
    <w:lvl w:ilvl="4" w:tplc="1E260B56" w:tentative="1">
      <w:start w:val="1"/>
      <w:numFmt w:val="lowerLetter"/>
      <w:lvlText w:val="%5."/>
      <w:lvlJc w:val="left"/>
      <w:pPr>
        <w:ind w:left="3600" w:hanging="360"/>
      </w:pPr>
    </w:lvl>
    <w:lvl w:ilvl="5" w:tplc="3B20B9EC" w:tentative="1">
      <w:start w:val="1"/>
      <w:numFmt w:val="lowerRoman"/>
      <w:lvlText w:val="%6."/>
      <w:lvlJc w:val="right"/>
      <w:pPr>
        <w:ind w:left="4320" w:hanging="180"/>
      </w:pPr>
    </w:lvl>
    <w:lvl w:ilvl="6" w:tplc="427017A6" w:tentative="1">
      <w:start w:val="1"/>
      <w:numFmt w:val="decimal"/>
      <w:lvlText w:val="%7."/>
      <w:lvlJc w:val="left"/>
      <w:pPr>
        <w:ind w:left="5040" w:hanging="360"/>
      </w:pPr>
    </w:lvl>
    <w:lvl w:ilvl="7" w:tplc="888A7558" w:tentative="1">
      <w:start w:val="1"/>
      <w:numFmt w:val="lowerLetter"/>
      <w:lvlText w:val="%8."/>
      <w:lvlJc w:val="left"/>
      <w:pPr>
        <w:ind w:left="5760" w:hanging="360"/>
      </w:pPr>
    </w:lvl>
    <w:lvl w:ilvl="8" w:tplc="482E986A" w:tentative="1">
      <w:start w:val="1"/>
      <w:numFmt w:val="lowerRoman"/>
      <w:lvlText w:val="%9."/>
      <w:lvlJc w:val="right"/>
      <w:pPr>
        <w:ind w:left="6480" w:hanging="180"/>
      </w:pPr>
    </w:lvl>
  </w:abstractNum>
  <w:abstractNum w:abstractNumId="20" w15:restartNumberingAfterBreak="0">
    <w:nsid w:val="52CA544A"/>
    <w:multiLevelType w:val="singleLevel"/>
    <w:tmpl w:val="D83040E2"/>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0"/>
        <w:szCs w:val="16"/>
      </w:rPr>
    </w:lvl>
  </w:abstractNum>
  <w:abstractNum w:abstractNumId="21" w15:restartNumberingAfterBreak="0">
    <w:nsid w:val="5F1912B1"/>
    <w:multiLevelType w:val="hybridMultilevel"/>
    <w:tmpl w:val="B6627014"/>
    <w:lvl w:ilvl="0" w:tplc="F836D438">
      <w:start w:val="1"/>
      <w:numFmt w:val="bullet"/>
      <w:pStyle w:val="bullet1"/>
      <w:lvlText w:val=""/>
      <w:lvlJc w:val="left"/>
      <w:pPr>
        <w:ind w:left="720" w:hanging="360"/>
      </w:pPr>
      <w:rPr>
        <w:rFonts w:ascii="Symbol" w:hAnsi="Symbol" w:hint="default"/>
      </w:rPr>
    </w:lvl>
    <w:lvl w:ilvl="1" w:tplc="B7FE2C6E">
      <w:start w:val="1"/>
      <w:numFmt w:val="bullet"/>
      <w:pStyle w:val="bullet2"/>
      <w:lvlText w:val="o"/>
      <w:lvlJc w:val="left"/>
      <w:pPr>
        <w:ind w:left="1440" w:hanging="360"/>
      </w:pPr>
      <w:rPr>
        <w:rFonts w:ascii="Courier New" w:hAnsi="Courier New" w:cs="Courier New" w:hint="default"/>
      </w:rPr>
    </w:lvl>
    <w:lvl w:ilvl="2" w:tplc="FE06D868">
      <w:start w:val="1"/>
      <w:numFmt w:val="bullet"/>
      <w:pStyle w:val="bullet3"/>
      <w:lvlText w:val=""/>
      <w:lvlJc w:val="left"/>
      <w:pPr>
        <w:ind w:left="2160" w:hanging="360"/>
      </w:pPr>
      <w:rPr>
        <w:rFonts w:ascii="Wingdings" w:hAnsi="Wingdings" w:hint="default"/>
      </w:rPr>
    </w:lvl>
    <w:lvl w:ilvl="3" w:tplc="4922EF2E">
      <w:start w:val="1"/>
      <w:numFmt w:val="bullet"/>
      <w:pStyle w:val="bullet4"/>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8464E6"/>
    <w:multiLevelType w:val="hybridMultilevel"/>
    <w:tmpl w:val="776C0D06"/>
    <w:lvl w:ilvl="0" w:tplc="4D3678F6">
      <w:start w:val="1"/>
      <w:numFmt w:val="bullet"/>
      <w:lvlText w:val=""/>
      <w:lvlJc w:val="left"/>
      <w:pPr>
        <w:ind w:left="720" w:hanging="360"/>
      </w:pPr>
      <w:rPr>
        <w:rFonts w:ascii="Symbol" w:hAnsi="Symbol" w:hint="default"/>
      </w:rPr>
    </w:lvl>
    <w:lvl w:ilvl="1" w:tplc="FEC0D590">
      <w:start w:val="1"/>
      <w:numFmt w:val="bullet"/>
      <w:lvlText w:val=""/>
      <w:lvlJc w:val="left"/>
      <w:pPr>
        <w:ind w:left="1440" w:hanging="360"/>
      </w:pPr>
      <w:rPr>
        <w:rFonts w:ascii="Symbol" w:hAnsi="Symbol" w:hint="default"/>
      </w:rPr>
    </w:lvl>
    <w:lvl w:ilvl="2" w:tplc="0674CCC0">
      <w:start w:val="1"/>
      <w:numFmt w:val="bullet"/>
      <w:pStyle w:val="RAN1bullet3"/>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F76F6F"/>
    <w:multiLevelType w:val="singleLevel"/>
    <w:tmpl w:val="E1F880E6"/>
    <w:lvl w:ilvl="0">
      <w:start w:val="1"/>
      <w:numFmt w:val="bullet"/>
      <w:pStyle w:val="normalpuce"/>
      <w:lvlText w:val=""/>
      <w:lvlJc w:val="left"/>
      <w:pPr>
        <w:tabs>
          <w:tab w:val="num" w:pos="360"/>
        </w:tabs>
        <w:ind w:left="360" w:hanging="360"/>
      </w:pPr>
      <w:rPr>
        <w:rFonts w:ascii="Symbol" w:hAnsi="Symbol" w:hint="default"/>
      </w:rPr>
    </w:lvl>
  </w:abstractNum>
  <w:abstractNum w:abstractNumId="24" w15:restartNumberingAfterBreak="0">
    <w:nsid w:val="7BC330F5"/>
    <w:multiLevelType w:val="hybridMultilevel"/>
    <w:tmpl w:val="C2769C2A"/>
    <w:lvl w:ilvl="0" w:tplc="04090001">
      <w:start w:val="1"/>
      <w:numFmt w:val="bullet"/>
      <w:pStyle w:val="CharCharCharCharCharChar"/>
      <w:lvlText w:val=""/>
      <w:lvlJc w:val="left"/>
      <w:pPr>
        <w:tabs>
          <w:tab w:val="num" w:pos="851"/>
        </w:tabs>
        <w:ind w:left="851" w:hanging="851"/>
      </w:pPr>
      <w:rPr>
        <w:rFonts w:ascii="ZapfDingbats" w:hAnsi="ZapfDingbats" w:hint="default"/>
        <w:b/>
        <w:i w:val="0"/>
        <w:color w:val="70CEF5"/>
        <w:sz w:val="20"/>
        <w:szCs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F547DFD"/>
    <w:multiLevelType w:val="singleLevel"/>
    <w:tmpl w:val="84089F44"/>
    <w:lvl w:ilvl="0">
      <w:start w:val="1"/>
      <w:numFmt w:val="bullet"/>
      <w:pStyle w:val="textintend2"/>
      <w:lvlText w:val=""/>
      <w:lvlJc w:val="left"/>
      <w:pPr>
        <w:tabs>
          <w:tab w:val="num" w:pos="1418"/>
        </w:tabs>
        <w:ind w:left="1418" w:hanging="426"/>
      </w:pPr>
      <w:rPr>
        <w:rFonts w:ascii="Wingdings" w:hAnsi="Wingdings" w:hint="default"/>
      </w:rPr>
    </w:lvl>
  </w:abstractNum>
  <w:num w:numId="1" w16cid:durableId="864558339">
    <w:abstractNumId w:val="17"/>
  </w:num>
  <w:num w:numId="2" w16cid:durableId="1195197454">
    <w:abstractNumId w:val="25"/>
  </w:num>
  <w:num w:numId="3" w16cid:durableId="1285648012">
    <w:abstractNumId w:val="18"/>
  </w:num>
  <w:num w:numId="4" w16cid:durableId="582834299">
    <w:abstractNumId w:val="15"/>
  </w:num>
  <w:num w:numId="5" w16cid:durableId="1357081652">
    <w:abstractNumId w:val="4"/>
  </w:num>
  <w:num w:numId="6" w16cid:durableId="1824930416">
    <w:abstractNumId w:val="23"/>
  </w:num>
  <w:num w:numId="7" w16cid:durableId="313067973">
    <w:abstractNumId w:val="12"/>
  </w:num>
  <w:num w:numId="8" w16cid:durableId="134492142">
    <w:abstractNumId w:val="21"/>
  </w:num>
  <w:num w:numId="9" w16cid:durableId="1922639637">
    <w:abstractNumId w:val="16"/>
  </w:num>
  <w:num w:numId="10" w16cid:durableId="1190338002">
    <w:abstractNumId w:val="7"/>
  </w:num>
  <w:num w:numId="11" w16cid:durableId="37435473">
    <w:abstractNumId w:val="1"/>
  </w:num>
  <w:num w:numId="12" w16cid:durableId="798767071">
    <w:abstractNumId w:val="2"/>
  </w:num>
  <w:num w:numId="13" w16cid:durableId="1386445159">
    <w:abstractNumId w:val="22"/>
  </w:num>
  <w:num w:numId="14" w16cid:durableId="1628852814">
    <w:abstractNumId w:val="0"/>
  </w:num>
  <w:num w:numId="15" w16cid:durableId="259531052">
    <w:abstractNumId w:val="19"/>
  </w:num>
  <w:num w:numId="16" w16cid:durableId="1308512852">
    <w:abstractNumId w:val="20"/>
  </w:num>
  <w:num w:numId="17" w16cid:durableId="1076318429">
    <w:abstractNumId w:val="24"/>
  </w:num>
  <w:num w:numId="18" w16cid:durableId="997001871">
    <w:abstractNumId w:val="8"/>
  </w:num>
  <w:num w:numId="19" w16cid:durableId="181669706">
    <w:abstractNumId w:val="14"/>
  </w:num>
  <w:num w:numId="20" w16cid:durableId="1907183285">
    <w:abstractNumId w:val="11"/>
  </w:num>
  <w:num w:numId="21" w16cid:durableId="1059354772">
    <w:abstractNumId w:val="10"/>
  </w:num>
  <w:num w:numId="22" w16cid:durableId="495150198">
    <w:abstractNumId w:val="6"/>
  </w:num>
  <w:num w:numId="23" w16cid:durableId="352416119">
    <w:abstractNumId w:val="13"/>
  </w:num>
  <w:num w:numId="24" w16cid:durableId="1912344591">
    <w:abstractNumId w:val="3"/>
  </w:num>
  <w:num w:numId="25" w16cid:durableId="404306965">
    <w:abstractNumId w:val="9"/>
  </w:num>
  <w:num w:numId="26" w16cid:durableId="1342389654">
    <w:abstractNumId w:val="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en-AU" w:vendorID="64" w:dllVersion="0" w:nlCheck="1" w:checkStyle="0"/>
  <w:activeWritingStyle w:appName="MSWord" w:lang="en-CA" w:vendorID="64" w:dllVersion="0" w:nlCheck="1" w:checkStyle="0"/>
  <w:activeWritingStyle w:appName="MSWord" w:lang="fr-FR" w:vendorID="64" w:dllVersion="0"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en-AU" w:vendorID="64" w:dllVersion="4096" w:nlCheck="1" w:checkStyle="0"/>
  <w:activeWritingStyle w:appName="MSWord" w:lang="sv-SE" w:vendorID="64" w:dllVersion="4096" w:nlCheck="1" w:checkStyle="0"/>
  <w:activeWritingStyle w:appName="MSWord" w:lang="fi-FI" w:vendorID="64" w:dllVersion="4096"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hyphenationZone w:val="425"/>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23C"/>
    <w:rsid w:val="00000C56"/>
    <w:rsid w:val="00000FD7"/>
    <w:rsid w:val="000018A9"/>
    <w:rsid w:val="00001D96"/>
    <w:rsid w:val="00001E11"/>
    <w:rsid w:val="00002297"/>
    <w:rsid w:val="0000239E"/>
    <w:rsid w:val="000027E4"/>
    <w:rsid w:val="00003112"/>
    <w:rsid w:val="000033B1"/>
    <w:rsid w:val="00003807"/>
    <w:rsid w:val="00003BC6"/>
    <w:rsid w:val="0000401B"/>
    <w:rsid w:val="00004240"/>
    <w:rsid w:val="00004330"/>
    <w:rsid w:val="00004767"/>
    <w:rsid w:val="0000476F"/>
    <w:rsid w:val="00005161"/>
    <w:rsid w:val="00005514"/>
    <w:rsid w:val="00005700"/>
    <w:rsid w:val="0000580D"/>
    <w:rsid w:val="00005FA1"/>
    <w:rsid w:val="0000670A"/>
    <w:rsid w:val="0000672A"/>
    <w:rsid w:val="00006890"/>
    <w:rsid w:val="00006E82"/>
    <w:rsid w:val="0000734D"/>
    <w:rsid w:val="00007939"/>
    <w:rsid w:val="00007F57"/>
    <w:rsid w:val="0001079C"/>
    <w:rsid w:val="00010BD0"/>
    <w:rsid w:val="00010EC6"/>
    <w:rsid w:val="00011023"/>
    <w:rsid w:val="00011187"/>
    <w:rsid w:val="00011706"/>
    <w:rsid w:val="00011FE0"/>
    <w:rsid w:val="00012137"/>
    <w:rsid w:val="000125F8"/>
    <w:rsid w:val="00012870"/>
    <w:rsid w:val="00012A94"/>
    <w:rsid w:val="00012B06"/>
    <w:rsid w:val="00012EB1"/>
    <w:rsid w:val="000130C0"/>
    <w:rsid w:val="0001357C"/>
    <w:rsid w:val="000136D8"/>
    <w:rsid w:val="00013D40"/>
    <w:rsid w:val="000140BE"/>
    <w:rsid w:val="00014FD5"/>
    <w:rsid w:val="000157CD"/>
    <w:rsid w:val="00015A75"/>
    <w:rsid w:val="00015FCE"/>
    <w:rsid w:val="00016326"/>
    <w:rsid w:val="00016DD5"/>
    <w:rsid w:val="00016F0B"/>
    <w:rsid w:val="00017CCA"/>
    <w:rsid w:val="00017D62"/>
    <w:rsid w:val="00020E6A"/>
    <w:rsid w:val="00020ED7"/>
    <w:rsid w:val="00021166"/>
    <w:rsid w:val="00021303"/>
    <w:rsid w:val="000215EB"/>
    <w:rsid w:val="000216D2"/>
    <w:rsid w:val="000219E8"/>
    <w:rsid w:val="00022E0B"/>
    <w:rsid w:val="00022F9A"/>
    <w:rsid w:val="00024004"/>
    <w:rsid w:val="00024C02"/>
    <w:rsid w:val="00025621"/>
    <w:rsid w:val="00025ADF"/>
    <w:rsid w:val="00025BAA"/>
    <w:rsid w:val="00025DAE"/>
    <w:rsid w:val="00025E35"/>
    <w:rsid w:val="00026046"/>
    <w:rsid w:val="00026172"/>
    <w:rsid w:val="00026285"/>
    <w:rsid w:val="000268E9"/>
    <w:rsid w:val="00026DA2"/>
    <w:rsid w:val="00026E38"/>
    <w:rsid w:val="000273B5"/>
    <w:rsid w:val="00027414"/>
    <w:rsid w:val="00027CE1"/>
    <w:rsid w:val="00030067"/>
    <w:rsid w:val="00030139"/>
    <w:rsid w:val="00030B2A"/>
    <w:rsid w:val="00030B49"/>
    <w:rsid w:val="000316DD"/>
    <w:rsid w:val="000317F4"/>
    <w:rsid w:val="00031A72"/>
    <w:rsid w:val="00031CF0"/>
    <w:rsid w:val="00032074"/>
    <w:rsid w:val="00032BAD"/>
    <w:rsid w:val="00032F43"/>
    <w:rsid w:val="00033397"/>
    <w:rsid w:val="00034267"/>
    <w:rsid w:val="00034A1C"/>
    <w:rsid w:val="00035842"/>
    <w:rsid w:val="00035CB8"/>
    <w:rsid w:val="00035D7E"/>
    <w:rsid w:val="00036040"/>
    <w:rsid w:val="0003637B"/>
    <w:rsid w:val="00037877"/>
    <w:rsid w:val="00040095"/>
    <w:rsid w:val="00040324"/>
    <w:rsid w:val="0004038E"/>
    <w:rsid w:val="0004039B"/>
    <w:rsid w:val="00040940"/>
    <w:rsid w:val="00040E57"/>
    <w:rsid w:val="000414D2"/>
    <w:rsid w:val="000417C3"/>
    <w:rsid w:val="00041D5E"/>
    <w:rsid w:val="00042617"/>
    <w:rsid w:val="0004287E"/>
    <w:rsid w:val="0004288E"/>
    <w:rsid w:val="000428EE"/>
    <w:rsid w:val="00042B94"/>
    <w:rsid w:val="00042ED8"/>
    <w:rsid w:val="00043627"/>
    <w:rsid w:val="00043DB5"/>
    <w:rsid w:val="00044CCC"/>
    <w:rsid w:val="00045629"/>
    <w:rsid w:val="00045723"/>
    <w:rsid w:val="000458F4"/>
    <w:rsid w:val="00045E28"/>
    <w:rsid w:val="00046549"/>
    <w:rsid w:val="0004657D"/>
    <w:rsid w:val="000468B6"/>
    <w:rsid w:val="00047152"/>
    <w:rsid w:val="000475A1"/>
    <w:rsid w:val="00047715"/>
    <w:rsid w:val="00047C72"/>
    <w:rsid w:val="0005017C"/>
    <w:rsid w:val="00050324"/>
    <w:rsid w:val="00050AE8"/>
    <w:rsid w:val="00050DF4"/>
    <w:rsid w:val="00050F87"/>
    <w:rsid w:val="000511A7"/>
    <w:rsid w:val="00051834"/>
    <w:rsid w:val="00053531"/>
    <w:rsid w:val="00053849"/>
    <w:rsid w:val="00053F97"/>
    <w:rsid w:val="00054021"/>
    <w:rsid w:val="0005455C"/>
    <w:rsid w:val="00054A22"/>
    <w:rsid w:val="000552D6"/>
    <w:rsid w:val="000557FE"/>
    <w:rsid w:val="0005580B"/>
    <w:rsid w:val="00055CAD"/>
    <w:rsid w:val="0005626C"/>
    <w:rsid w:val="0005669D"/>
    <w:rsid w:val="00056FDF"/>
    <w:rsid w:val="00057621"/>
    <w:rsid w:val="00060016"/>
    <w:rsid w:val="000600C3"/>
    <w:rsid w:val="000600E8"/>
    <w:rsid w:val="00060F19"/>
    <w:rsid w:val="00060F43"/>
    <w:rsid w:val="00060FFF"/>
    <w:rsid w:val="00061D62"/>
    <w:rsid w:val="00061F0D"/>
    <w:rsid w:val="00061F40"/>
    <w:rsid w:val="00062356"/>
    <w:rsid w:val="00062E1B"/>
    <w:rsid w:val="0006349A"/>
    <w:rsid w:val="00063541"/>
    <w:rsid w:val="00063789"/>
    <w:rsid w:val="00063793"/>
    <w:rsid w:val="00063BAB"/>
    <w:rsid w:val="00063DE7"/>
    <w:rsid w:val="00063DFD"/>
    <w:rsid w:val="00064240"/>
    <w:rsid w:val="00064248"/>
    <w:rsid w:val="0006458B"/>
    <w:rsid w:val="000646B8"/>
    <w:rsid w:val="00064775"/>
    <w:rsid w:val="000648C2"/>
    <w:rsid w:val="00065179"/>
    <w:rsid w:val="000652BD"/>
    <w:rsid w:val="000655A6"/>
    <w:rsid w:val="000655D9"/>
    <w:rsid w:val="000656C3"/>
    <w:rsid w:val="00065846"/>
    <w:rsid w:val="0006598A"/>
    <w:rsid w:val="00066074"/>
    <w:rsid w:val="00066448"/>
    <w:rsid w:val="0006659E"/>
    <w:rsid w:val="000665E4"/>
    <w:rsid w:val="000666A4"/>
    <w:rsid w:val="000668A2"/>
    <w:rsid w:val="000668E2"/>
    <w:rsid w:val="00066975"/>
    <w:rsid w:val="00067393"/>
    <w:rsid w:val="00070659"/>
    <w:rsid w:val="0007079D"/>
    <w:rsid w:val="00070BF0"/>
    <w:rsid w:val="00070DCE"/>
    <w:rsid w:val="000712F5"/>
    <w:rsid w:val="00071758"/>
    <w:rsid w:val="000722B2"/>
    <w:rsid w:val="000723AA"/>
    <w:rsid w:val="00072774"/>
    <w:rsid w:val="00072C59"/>
    <w:rsid w:val="00072D60"/>
    <w:rsid w:val="00072E8E"/>
    <w:rsid w:val="00072EB8"/>
    <w:rsid w:val="0007309D"/>
    <w:rsid w:val="000733CD"/>
    <w:rsid w:val="00073CAC"/>
    <w:rsid w:val="000740B6"/>
    <w:rsid w:val="00074311"/>
    <w:rsid w:val="00074483"/>
    <w:rsid w:val="0007477B"/>
    <w:rsid w:val="00074C0B"/>
    <w:rsid w:val="00074D96"/>
    <w:rsid w:val="00075297"/>
    <w:rsid w:val="00075372"/>
    <w:rsid w:val="0007585C"/>
    <w:rsid w:val="00075992"/>
    <w:rsid w:val="00075EC9"/>
    <w:rsid w:val="00076BAC"/>
    <w:rsid w:val="00076E14"/>
    <w:rsid w:val="000776D1"/>
    <w:rsid w:val="000777DD"/>
    <w:rsid w:val="00077C37"/>
    <w:rsid w:val="0008004E"/>
    <w:rsid w:val="000803A8"/>
    <w:rsid w:val="00080512"/>
    <w:rsid w:val="0008079E"/>
    <w:rsid w:val="000812F7"/>
    <w:rsid w:val="000814A4"/>
    <w:rsid w:val="00081B86"/>
    <w:rsid w:val="00081C5E"/>
    <w:rsid w:val="00081EA0"/>
    <w:rsid w:val="000820EF"/>
    <w:rsid w:val="000826D6"/>
    <w:rsid w:val="00082841"/>
    <w:rsid w:val="00083618"/>
    <w:rsid w:val="00083696"/>
    <w:rsid w:val="00083949"/>
    <w:rsid w:val="00083A49"/>
    <w:rsid w:val="00083E18"/>
    <w:rsid w:val="00083EF8"/>
    <w:rsid w:val="00084410"/>
    <w:rsid w:val="00084784"/>
    <w:rsid w:val="00084CE8"/>
    <w:rsid w:val="00085067"/>
    <w:rsid w:val="00085319"/>
    <w:rsid w:val="00085914"/>
    <w:rsid w:val="00085A44"/>
    <w:rsid w:val="000862BF"/>
    <w:rsid w:val="00086422"/>
    <w:rsid w:val="000865FF"/>
    <w:rsid w:val="00086805"/>
    <w:rsid w:val="0008786C"/>
    <w:rsid w:val="0008789E"/>
    <w:rsid w:val="00087918"/>
    <w:rsid w:val="0009005C"/>
    <w:rsid w:val="00090095"/>
    <w:rsid w:val="00090222"/>
    <w:rsid w:val="000902DA"/>
    <w:rsid w:val="000905D1"/>
    <w:rsid w:val="00090D13"/>
    <w:rsid w:val="00090DE9"/>
    <w:rsid w:val="00091945"/>
    <w:rsid w:val="0009195F"/>
    <w:rsid w:val="0009223A"/>
    <w:rsid w:val="00092377"/>
    <w:rsid w:val="000925D5"/>
    <w:rsid w:val="00092B0D"/>
    <w:rsid w:val="00093E12"/>
    <w:rsid w:val="00093E33"/>
    <w:rsid w:val="00093FE6"/>
    <w:rsid w:val="00093FEE"/>
    <w:rsid w:val="00094358"/>
    <w:rsid w:val="00094476"/>
    <w:rsid w:val="00094F1A"/>
    <w:rsid w:val="0009596F"/>
    <w:rsid w:val="00095BC2"/>
    <w:rsid w:val="00095CD6"/>
    <w:rsid w:val="00095CE9"/>
    <w:rsid w:val="0009719E"/>
    <w:rsid w:val="0009732E"/>
    <w:rsid w:val="000973AC"/>
    <w:rsid w:val="000976DB"/>
    <w:rsid w:val="00097D52"/>
    <w:rsid w:val="000A0047"/>
    <w:rsid w:val="000A070E"/>
    <w:rsid w:val="000A0CC0"/>
    <w:rsid w:val="000A0EE1"/>
    <w:rsid w:val="000A1347"/>
    <w:rsid w:val="000A1DAA"/>
    <w:rsid w:val="000A1DEC"/>
    <w:rsid w:val="000A1DFE"/>
    <w:rsid w:val="000A2AAD"/>
    <w:rsid w:val="000A2D39"/>
    <w:rsid w:val="000A3B50"/>
    <w:rsid w:val="000A424A"/>
    <w:rsid w:val="000A4881"/>
    <w:rsid w:val="000A4DF0"/>
    <w:rsid w:val="000A4E86"/>
    <w:rsid w:val="000A52B2"/>
    <w:rsid w:val="000A5F6D"/>
    <w:rsid w:val="000A62A8"/>
    <w:rsid w:val="000A6819"/>
    <w:rsid w:val="000A6876"/>
    <w:rsid w:val="000A6B95"/>
    <w:rsid w:val="000A6E09"/>
    <w:rsid w:val="000A746F"/>
    <w:rsid w:val="000A759C"/>
    <w:rsid w:val="000A77B4"/>
    <w:rsid w:val="000A7888"/>
    <w:rsid w:val="000A78FA"/>
    <w:rsid w:val="000B042F"/>
    <w:rsid w:val="000B0571"/>
    <w:rsid w:val="000B1470"/>
    <w:rsid w:val="000B16A7"/>
    <w:rsid w:val="000B2047"/>
    <w:rsid w:val="000B2386"/>
    <w:rsid w:val="000B251D"/>
    <w:rsid w:val="000B25FC"/>
    <w:rsid w:val="000B296E"/>
    <w:rsid w:val="000B297C"/>
    <w:rsid w:val="000B36B8"/>
    <w:rsid w:val="000B38AB"/>
    <w:rsid w:val="000B3B53"/>
    <w:rsid w:val="000B3B78"/>
    <w:rsid w:val="000B3E5A"/>
    <w:rsid w:val="000B4011"/>
    <w:rsid w:val="000B4166"/>
    <w:rsid w:val="000B496D"/>
    <w:rsid w:val="000B49B9"/>
    <w:rsid w:val="000B58BB"/>
    <w:rsid w:val="000B5996"/>
    <w:rsid w:val="000B6D01"/>
    <w:rsid w:val="000B7009"/>
    <w:rsid w:val="000B70FC"/>
    <w:rsid w:val="000B7149"/>
    <w:rsid w:val="000B73E4"/>
    <w:rsid w:val="000C01E1"/>
    <w:rsid w:val="000C0281"/>
    <w:rsid w:val="000C0979"/>
    <w:rsid w:val="000C0D5D"/>
    <w:rsid w:val="000C0F70"/>
    <w:rsid w:val="000C0FF4"/>
    <w:rsid w:val="000C122D"/>
    <w:rsid w:val="000C18F9"/>
    <w:rsid w:val="000C22AE"/>
    <w:rsid w:val="000C2450"/>
    <w:rsid w:val="000C24AB"/>
    <w:rsid w:val="000C3BF6"/>
    <w:rsid w:val="000C3F54"/>
    <w:rsid w:val="000C4AA4"/>
    <w:rsid w:val="000C4E32"/>
    <w:rsid w:val="000C4F4E"/>
    <w:rsid w:val="000C524B"/>
    <w:rsid w:val="000C5326"/>
    <w:rsid w:val="000C5E6C"/>
    <w:rsid w:val="000C5FE5"/>
    <w:rsid w:val="000C64A6"/>
    <w:rsid w:val="000C6759"/>
    <w:rsid w:val="000C6E86"/>
    <w:rsid w:val="000C6EB7"/>
    <w:rsid w:val="000C71A0"/>
    <w:rsid w:val="000C7871"/>
    <w:rsid w:val="000C7AFA"/>
    <w:rsid w:val="000C7DF9"/>
    <w:rsid w:val="000D0307"/>
    <w:rsid w:val="000D0584"/>
    <w:rsid w:val="000D05A6"/>
    <w:rsid w:val="000D080C"/>
    <w:rsid w:val="000D0E42"/>
    <w:rsid w:val="000D0FAE"/>
    <w:rsid w:val="000D1638"/>
    <w:rsid w:val="000D21C6"/>
    <w:rsid w:val="000D25F8"/>
    <w:rsid w:val="000D2AA3"/>
    <w:rsid w:val="000D320D"/>
    <w:rsid w:val="000D3385"/>
    <w:rsid w:val="000D3417"/>
    <w:rsid w:val="000D367A"/>
    <w:rsid w:val="000D3FCB"/>
    <w:rsid w:val="000D42DF"/>
    <w:rsid w:val="000D4359"/>
    <w:rsid w:val="000D47C5"/>
    <w:rsid w:val="000D4878"/>
    <w:rsid w:val="000D4C26"/>
    <w:rsid w:val="000D54F5"/>
    <w:rsid w:val="000D5576"/>
    <w:rsid w:val="000D58AB"/>
    <w:rsid w:val="000D5D29"/>
    <w:rsid w:val="000D6534"/>
    <w:rsid w:val="000D66E8"/>
    <w:rsid w:val="000D6C6D"/>
    <w:rsid w:val="000D7317"/>
    <w:rsid w:val="000D7370"/>
    <w:rsid w:val="000D7583"/>
    <w:rsid w:val="000D760B"/>
    <w:rsid w:val="000D7E14"/>
    <w:rsid w:val="000E05DC"/>
    <w:rsid w:val="000E0630"/>
    <w:rsid w:val="000E0C65"/>
    <w:rsid w:val="000E1710"/>
    <w:rsid w:val="000E28A2"/>
    <w:rsid w:val="000E2AF4"/>
    <w:rsid w:val="000E2F17"/>
    <w:rsid w:val="000E36BD"/>
    <w:rsid w:val="000E390B"/>
    <w:rsid w:val="000E3CC3"/>
    <w:rsid w:val="000E3D53"/>
    <w:rsid w:val="000E3F1C"/>
    <w:rsid w:val="000E44A1"/>
    <w:rsid w:val="000E4B4A"/>
    <w:rsid w:val="000E5919"/>
    <w:rsid w:val="000E5AE9"/>
    <w:rsid w:val="000E5BB9"/>
    <w:rsid w:val="000E6D7D"/>
    <w:rsid w:val="000E70CD"/>
    <w:rsid w:val="000E7147"/>
    <w:rsid w:val="000E718C"/>
    <w:rsid w:val="000E7959"/>
    <w:rsid w:val="000F01B5"/>
    <w:rsid w:val="000F089C"/>
    <w:rsid w:val="000F20CD"/>
    <w:rsid w:val="000F2BD5"/>
    <w:rsid w:val="000F30E1"/>
    <w:rsid w:val="000F3296"/>
    <w:rsid w:val="000F3409"/>
    <w:rsid w:val="000F3436"/>
    <w:rsid w:val="000F37A1"/>
    <w:rsid w:val="000F3BA5"/>
    <w:rsid w:val="000F3C9B"/>
    <w:rsid w:val="000F3DF0"/>
    <w:rsid w:val="000F3F4A"/>
    <w:rsid w:val="000F4686"/>
    <w:rsid w:val="000F4924"/>
    <w:rsid w:val="000F4AD7"/>
    <w:rsid w:val="000F4CCC"/>
    <w:rsid w:val="000F4E1F"/>
    <w:rsid w:val="000F56D0"/>
    <w:rsid w:val="000F5732"/>
    <w:rsid w:val="000F584E"/>
    <w:rsid w:val="000F58DD"/>
    <w:rsid w:val="000F6A78"/>
    <w:rsid w:val="000F6D2A"/>
    <w:rsid w:val="000F7389"/>
    <w:rsid w:val="001001C6"/>
    <w:rsid w:val="00100531"/>
    <w:rsid w:val="001008C6"/>
    <w:rsid w:val="00100A0F"/>
    <w:rsid w:val="001026F2"/>
    <w:rsid w:val="00102756"/>
    <w:rsid w:val="00102B8B"/>
    <w:rsid w:val="001033E9"/>
    <w:rsid w:val="001035D3"/>
    <w:rsid w:val="001036CD"/>
    <w:rsid w:val="00103994"/>
    <w:rsid w:val="00103BD0"/>
    <w:rsid w:val="00103F90"/>
    <w:rsid w:val="00104BB9"/>
    <w:rsid w:val="001052F8"/>
    <w:rsid w:val="00105A89"/>
    <w:rsid w:val="00105C9F"/>
    <w:rsid w:val="001060A5"/>
    <w:rsid w:val="00106130"/>
    <w:rsid w:val="0010624C"/>
    <w:rsid w:val="0010628E"/>
    <w:rsid w:val="00106490"/>
    <w:rsid w:val="00106751"/>
    <w:rsid w:val="00106A05"/>
    <w:rsid w:val="00106B8C"/>
    <w:rsid w:val="00106FF4"/>
    <w:rsid w:val="001072DB"/>
    <w:rsid w:val="00107C0E"/>
    <w:rsid w:val="00107DAA"/>
    <w:rsid w:val="00107DB9"/>
    <w:rsid w:val="00110C23"/>
    <w:rsid w:val="00110FD7"/>
    <w:rsid w:val="001110C8"/>
    <w:rsid w:val="0011127F"/>
    <w:rsid w:val="001113AC"/>
    <w:rsid w:val="00111B1D"/>
    <w:rsid w:val="00111DC2"/>
    <w:rsid w:val="00112A81"/>
    <w:rsid w:val="00112C3C"/>
    <w:rsid w:val="001132F6"/>
    <w:rsid w:val="001149BC"/>
    <w:rsid w:val="00114D3D"/>
    <w:rsid w:val="001155FD"/>
    <w:rsid w:val="00115F5D"/>
    <w:rsid w:val="001165ED"/>
    <w:rsid w:val="001172DE"/>
    <w:rsid w:val="00117A76"/>
    <w:rsid w:val="001204CC"/>
    <w:rsid w:val="0012058B"/>
    <w:rsid w:val="00120DAB"/>
    <w:rsid w:val="00121542"/>
    <w:rsid w:val="001217C5"/>
    <w:rsid w:val="00121E6E"/>
    <w:rsid w:val="00121FE4"/>
    <w:rsid w:val="001228A0"/>
    <w:rsid w:val="00122A9D"/>
    <w:rsid w:val="00123085"/>
    <w:rsid w:val="001233FB"/>
    <w:rsid w:val="001246F0"/>
    <w:rsid w:val="00124ACE"/>
    <w:rsid w:val="0012526E"/>
    <w:rsid w:val="00125442"/>
    <w:rsid w:val="00125897"/>
    <w:rsid w:val="00125B1B"/>
    <w:rsid w:val="00126575"/>
    <w:rsid w:val="00127229"/>
    <w:rsid w:val="001277DF"/>
    <w:rsid w:val="00130331"/>
    <w:rsid w:val="00130394"/>
    <w:rsid w:val="001306A8"/>
    <w:rsid w:val="001306B1"/>
    <w:rsid w:val="0013086E"/>
    <w:rsid w:val="00130949"/>
    <w:rsid w:val="00130AB4"/>
    <w:rsid w:val="00130D91"/>
    <w:rsid w:val="00130EBD"/>
    <w:rsid w:val="001315EA"/>
    <w:rsid w:val="00131932"/>
    <w:rsid w:val="001322F1"/>
    <w:rsid w:val="001323D9"/>
    <w:rsid w:val="001325A6"/>
    <w:rsid w:val="001328BB"/>
    <w:rsid w:val="001330DE"/>
    <w:rsid w:val="00133113"/>
    <w:rsid w:val="001334B1"/>
    <w:rsid w:val="00133B2D"/>
    <w:rsid w:val="00133BAB"/>
    <w:rsid w:val="00133BDF"/>
    <w:rsid w:val="001349CE"/>
    <w:rsid w:val="00135B4D"/>
    <w:rsid w:val="0013608D"/>
    <w:rsid w:val="00136B1A"/>
    <w:rsid w:val="00137190"/>
    <w:rsid w:val="00137284"/>
    <w:rsid w:val="00140922"/>
    <w:rsid w:val="00140A75"/>
    <w:rsid w:val="00141540"/>
    <w:rsid w:val="0014162B"/>
    <w:rsid w:val="001420C6"/>
    <w:rsid w:val="001429C6"/>
    <w:rsid w:val="00142AB7"/>
    <w:rsid w:val="00142CD3"/>
    <w:rsid w:val="00142EB3"/>
    <w:rsid w:val="00143099"/>
    <w:rsid w:val="00143E1F"/>
    <w:rsid w:val="00143E88"/>
    <w:rsid w:val="00144352"/>
    <w:rsid w:val="001443B3"/>
    <w:rsid w:val="0014555D"/>
    <w:rsid w:val="001456E3"/>
    <w:rsid w:val="0014588B"/>
    <w:rsid w:val="00146079"/>
    <w:rsid w:val="001469F0"/>
    <w:rsid w:val="00146C42"/>
    <w:rsid w:val="00146E49"/>
    <w:rsid w:val="00146FE2"/>
    <w:rsid w:val="001473E9"/>
    <w:rsid w:val="0014760F"/>
    <w:rsid w:val="00147956"/>
    <w:rsid w:val="00147A1F"/>
    <w:rsid w:val="00147B6D"/>
    <w:rsid w:val="0015025F"/>
    <w:rsid w:val="0015033D"/>
    <w:rsid w:val="00150753"/>
    <w:rsid w:val="00150B74"/>
    <w:rsid w:val="0015138C"/>
    <w:rsid w:val="001514EA"/>
    <w:rsid w:val="0015158D"/>
    <w:rsid w:val="00151D23"/>
    <w:rsid w:val="00151DDD"/>
    <w:rsid w:val="00152171"/>
    <w:rsid w:val="0015232D"/>
    <w:rsid w:val="00152988"/>
    <w:rsid w:val="00153155"/>
    <w:rsid w:val="00153D6B"/>
    <w:rsid w:val="0015418E"/>
    <w:rsid w:val="00154436"/>
    <w:rsid w:val="0015463E"/>
    <w:rsid w:val="00154CBD"/>
    <w:rsid w:val="001558AF"/>
    <w:rsid w:val="001559C2"/>
    <w:rsid w:val="0015615B"/>
    <w:rsid w:val="001562AE"/>
    <w:rsid w:val="00156754"/>
    <w:rsid w:val="00156AA0"/>
    <w:rsid w:val="00157137"/>
    <w:rsid w:val="0015719F"/>
    <w:rsid w:val="00157613"/>
    <w:rsid w:val="00157E7A"/>
    <w:rsid w:val="00157EA9"/>
    <w:rsid w:val="001601D2"/>
    <w:rsid w:val="00160293"/>
    <w:rsid w:val="00160E1B"/>
    <w:rsid w:val="00161E32"/>
    <w:rsid w:val="00161F4A"/>
    <w:rsid w:val="001622E5"/>
    <w:rsid w:val="001628C3"/>
    <w:rsid w:val="0016293D"/>
    <w:rsid w:val="00163533"/>
    <w:rsid w:val="00163914"/>
    <w:rsid w:val="00163B91"/>
    <w:rsid w:val="0016465D"/>
    <w:rsid w:val="001648EA"/>
    <w:rsid w:val="001649A2"/>
    <w:rsid w:val="00164E9A"/>
    <w:rsid w:val="001653E2"/>
    <w:rsid w:val="001657EC"/>
    <w:rsid w:val="001659AC"/>
    <w:rsid w:val="00165FC3"/>
    <w:rsid w:val="00166C80"/>
    <w:rsid w:val="00167B32"/>
    <w:rsid w:val="00167C13"/>
    <w:rsid w:val="00167E49"/>
    <w:rsid w:val="00170183"/>
    <w:rsid w:val="0017057F"/>
    <w:rsid w:val="00170E0F"/>
    <w:rsid w:val="00170EDC"/>
    <w:rsid w:val="001712E5"/>
    <w:rsid w:val="001712EE"/>
    <w:rsid w:val="00171406"/>
    <w:rsid w:val="00172054"/>
    <w:rsid w:val="0017225A"/>
    <w:rsid w:val="001723CA"/>
    <w:rsid w:val="0017268C"/>
    <w:rsid w:val="00172AA2"/>
    <w:rsid w:val="00172AD8"/>
    <w:rsid w:val="00173E9F"/>
    <w:rsid w:val="00173EDA"/>
    <w:rsid w:val="0017444F"/>
    <w:rsid w:val="00174511"/>
    <w:rsid w:val="00175144"/>
    <w:rsid w:val="001753F2"/>
    <w:rsid w:val="00175A7B"/>
    <w:rsid w:val="00176828"/>
    <w:rsid w:val="00176A9A"/>
    <w:rsid w:val="00176AE1"/>
    <w:rsid w:val="00176BF3"/>
    <w:rsid w:val="001774DB"/>
    <w:rsid w:val="0017767A"/>
    <w:rsid w:val="00177809"/>
    <w:rsid w:val="00180068"/>
    <w:rsid w:val="001800E8"/>
    <w:rsid w:val="00180715"/>
    <w:rsid w:val="0018071C"/>
    <w:rsid w:val="00180C11"/>
    <w:rsid w:val="00181049"/>
    <w:rsid w:val="00181834"/>
    <w:rsid w:val="001818E0"/>
    <w:rsid w:val="00181A75"/>
    <w:rsid w:val="00181ABC"/>
    <w:rsid w:val="00182320"/>
    <w:rsid w:val="0018257B"/>
    <w:rsid w:val="001826C4"/>
    <w:rsid w:val="001828D6"/>
    <w:rsid w:val="00183081"/>
    <w:rsid w:val="00183149"/>
    <w:rsid w:val="00183240"/>
    <w:rsid w:val="00183590"/>
    <w:rsid w:val="00183704"/>
    <w:rsid w:val="00183A46"/>
    <w:rsid w:val="0018434C"/>
    <w:rsid w:val="001846CC"/>
    <w:rsid w:val="00184BA1"/>
    <w:rsid w:val="001852F1"/>
    <w:rsid w:val="001857AC"/>
    <w:rsid w:val="0018651D"/>
    <w:rsid w:val="001869D0"/>
    <w:rsid w:val="00186C13"/>
    <w:rsid w:val="0019023B"/>
    <w:rsid w:val="00190330"/>
    <w:rsid w:val="001906EA"/>
    <w:rsid w:val="001907FA"/>
    <w:rsid w:val="00190DD5"/>
    <w:rsid w:val="001911E9"/>
    <w:rsid w:val="0019139F"/>
    <w:rsid w:val="001915E2"/>
    <w:rsid w:val="00191D5A"/>
    <w:rsid w:val="00192357"/>
    <w:rsid w:val="00192D30"/>
    <w:rsid w:val="00192D49"/>
    <w:rsid w:val="00192DBA"/>
    <w:rsid w:val="0019345E"/>
    <w:rsid w:val="001935FB"/>
    <w:rsid w:val="00193A26"/>
    <w:rsid w:val="00193F12"/>
    <w:rsid w:val="001941F0"/>
    <w:rsid w:val="00194428"/>
    <w:rsid w:val="0019449A"/>
    <w:rsid w:val="00194893"/>
    <w:rsid w:val="00195450"/>
    <w:rsid w:val="001957BB"/>
    <w:rsid w:val="001965F6"/>
    <w:rsid w:val="001970C7"/>
    <w:rsid w:val="001976B9"/>
    <w:rsid w:val="00197982"/>
    <w:rsid w:val="00197C91"/>
    <w:rsid w:val="001A0036"/>
    <w:rsid w:val="001A03A8"/>
    <w:rsid w:val="001A0440"/>
    <w:rsid w:val="001A0AAE"/>
    <w:rsid w:val="001A0AF2"/>
    <w:rsid w:val="001A0F7C"/>
    <w:rsid w:val="001A1517"/>
    <w:rsid w:val="001A157E"/>
    <w:rsid w:val="001A17E8"/>
    <w:rsid w:val="001A183B"/>
    <w:rsid w:val="001A193B"/>
    <w:rsid w:val="001A1991"/>
    <w:rsid w:val="001A1C03"/>
    <w:rsid w:val="001A23C6"/>
    <w:rsid w:val="001A26DD"/>
    <w:rsid w:val="001A2A41"/>
    <w:rsid w:val="001A2F10"/>
    <w:rsid w:val="001A2FF3"/>
    <w:rsid w:val="001A3BFA"/>
    <w:rsid w:val="001A3FC8"/>
    <w:rsid w:val="001A404E"/>
    <w:rsid w:val="001A5131"/>
    <w:rsid w:val="001A5156"/>
    <w:rsid w:val="001A51E3"/>
    <w:rsid w:val="001A57DF"/>
    <w:rsid w:val="001A5FD1"/>
    <w:rsid w:val="001A609F"/>
    <w:rsid w:val="001A61B9"/>
    <w:rsid w:val="001A696E"/>
    <w:rsid w:val="001A6E6C"/>
    <w:rsid w:val="001A6E88"/>
    <w:rsid w:val="001A721C"/>
    <w:rsid w:val="001A73F4"/>
    <w:rsid w:val="001A7922"/>
    <w:rsid w:val="001A7A67"/>
    <w:rsid w:val="001A7A82"/>
    <w:rsid w:val="001A7FE0"/>
    <w:rsid w:val="001A7FEB"/>
    <w:rsid w:val="001B0441"/>
    <w:rsid w:val="001B0863"/>
    <w:rsid w:val="001B0C7D"/>
    <w:rsid w:val="001B2354"/>
    <w:rsid w:val="001B264B"/>
    <w:rsid w:val="001B298A"/>
    <w:rsid w:val="001B2B3A"/>
    <w:rsid w:val="001B2CF0"/>
    <w:rsid w:val="001B3B64"/>
    <w:rsid w:val="001B45EC"/>
    <w:rsid w:val="001B4702"/>
    <w:rsid w:val="001B4D2B"/>
    <w:rsid w:val="001B518E"/>
    <w:rsid w:val="001B5B5E"/>
    <w:rsid w:val="001B5E6D"/>
    <w:rsid w:val="001B675F"/>
    <w:rsid w:val="001B6CA8"/>
    <w:rsid w:val="001B738C"/>
    <w:rsid w:val="001B7476"/>
    <w:rsid w:val="001B75A1"/>
    <w:rsid w:val="001B7944"/>
    <w:rsid w:val="001B7A10"/>
    <w:rsid w:val="001C0CD7"/>
    <w:rsid w:val="001C1176"/>
    <w:rsid w:val="001C16BD"/>
    <w:rsid w:val="001C1D7C"/>
    <w:rsid w:val="001C2A18"/>
    <w:rsid w:val="001C32F6"/>
    <w:rsid w:val="001C351F"/>
    <w:rsid w:val="001C3C91"/>
    <w:rsid w:val="001C4348"/>
    <w:rsid w:val="001C4668"/>
    <w:rsid w:val="001C49CC"/>
    <w:rsid w:val="001C4D1B"/>
    <w:rsid w:val="001C4DB3"/>
    <w:rsid w:val="001C50E2"/>
    <w:rsid w:val="001C51D9"/>
    <w:rsid w:val="001C548F"/>
    <w:rsid w:val="001C5520"/>
    <w:rsid w:val="001C6007"/>
    <w:rsid w:val="001C6B2D"/>
    <w:rsid w:val="001C6D49"/>
    <w:rsid w:val="001C73E2"/>
    <w:rsid w:val="001C7420"/>
    <w:rsid w:val="001C77EB"/>
    <w:rsid w:val="001C7C51"/>
    <w:rsid w:val="001D02C2"/>
    <w:rsid w:val="001D0473"/>
    <w:rsid w:val="001D0642"/>
    <w:rsid w:val="001D0A1A"/>
    <w:rsid w:val="001D0ADF"/>
    <w:rsid w:val="001D0CC7"/>
    <w:rsid w:val="001D0CF9"/>
    <w:rsid w:val="001D1897"/>
    <w:rsid w:val="001D2251"/>
    <w:rsid w:val="001D28B6"/>
    <w:rsid w:val="001D2ECB"/>
    <w:rsid w:val="001D3152"/>
    <w:rsid w:val="001D319D"/>
    <w:rsid w:val="001D3366"/>
    <w:rsid w:val="001D3758"/>
    <w:rsid w:val="001D3B98"/>
    <w:rsid w:val="001D3C46"/>
    <w:rsid w:val="001D3CC2"/>
    <w:rsid w:val="001D40E2"/>
    <w:rsid w:val="001D4122"/>
    <w:rsid w:val="001D43C3"/>
    <w:rsid w:val="001D46DC"/>
    <w:rsid w:val="001D4972"/>
    <w:rsid w:val="001D4D17"/>
    <w:rsid w:val="001D4EB9"/>
    <w:rsid w:val="001D54C5"/>
    <w:rsid w:val="001D5C93"/>
    <w:rsid w:val="001D5F58"/>
    <w:rsid w:val="001D6349"/>
    <w:rsid w:val="001D66EB"/>
    <w:rsid w:val="001D6D24"/>
    <w:rsid w:val="001D6F08"/>
    <w:rsid w:val="001D7137"/>
    <w:rsid w:val="001D732D"/>
    <w:rsid w:val="001D7C9A"/>
    <w:rsid w:val="001D7DAC"/>
    <w:rsid w:val="001E0A46"/>
    <w:rsid w:val="001E0BA4"/>
    <w:rsid w:val="001E0DF0"/>
    <w:rsid w:val="001E1090"/>
    <w:rsid w:val="001E170D"/>
    <w:rsid w:val="001E19A9"/>
    <w:rsid w:val="001E1A10"/>
    <w:rsid w:val="001E384B"/>
    <w:rsid w:val="001E3B1A"/>
    <w:rsid w:val="001E3C54"/>
    <w:rsid w:val="001E3C6F"/>
    <w:rsid w:val="001E40C7"/>
    <w:rsid w:val="001E4314"/>
    <w:rsid w:val="001E45F5"/>
    <w:rsid w:val="001E4617"/>
    <w:rsid w:val="001E4D9C"/>
    <w:rsid w:val="001E5528"/>
    <w:rsid w:val="001E558F"/>
    <w:rsid w:val="001E61E1"/>
    <w:rsid w:val="001E66D2"/>
    <w:rsid w:val="001E6D09"/>
    <w:rsid w:val="001E72F6"/>
    <w:rsid w:val="001E784B"/>
    <w:rsid w:val="001E7A34"/>
    <w:rsid w:val="001E7BF6"/>
    <w:rsid w:val="001E7C80"/>
    <w:rsid w:val="001F1327"/>
    <w:rsid w:val="001F1430"/>
    <w:rsid w:val="001F1524"/>
    <w:rsid w:val="001F168B"/>
    <w:rsid w:val="001F1910"/>
    <w:rsid w:val="001F19DA"/>
    <w:rsid w:val="001F1B49"/>
    <w:rsid w:val="001F1F1C"/>
    <w:rsid w:val="001F27D3"/>
    <w:rsid w:val="001F2C2D"/>
    <w:rsid w:val="001F3281"/>
    <w:rsid w:val="001F37F3"/>
    <w:rsid w:val="001F4042"/>
    <w:rsid w:val="001F4A28"/>
    <w:rsid w:val="001F4EA6"/>
    <w:rsid w:val="001F541D"/>
    <w:rsid w:val="001F544F"/>
    <w:rsid w:val="001F632D"/>
    <w:rsid w:val="001F653B"/>
    <w:rsid w:val="001F6884"/>
    <w:rsid w:val="001F69FB"/>
    <w:rsid w:val="001F71AF"/>
    <w:rsid w:val="001F7285"/>
    <w:rsid w:val="001F76D8"/>
    <w:rsid w:val="001F7982"/>
    <w:rsid w:val="001F7E31"/>
    <w:rsid w:val="002002F9"/>
    <w:rsid w:val="00200D70"/>
    <w:rsid w:val="002013AD"/>
    <w:rsid w:val="002015E7"/>
    <w:rsid w:val="00201885"/>
    <w:rsid w:val="002019A0"/>
    <w:rsid w:val="002028D1"/>
    <w:rsid w:val="00202B16"/>
    <w:rsid w:val="00202B67"/>
    <w:rsid w:val="00202D67"/>
    <w:rsid w:val="00202F97"/>
    <w:rsid w:val="00202FAA"/>
    <w:rsid w:val="0020321C"/>
    <w:rsid w:val="0020340E"/>
    <w:rsid w:val="00203539"/>
    <w:rsid w:val="00203F3B"/>
    <w:rsid w:val="002043C6"/>
    <w:rsid w:val="00204645"/>
    <w:rsid w:val="00204A29"/>
    <w:rsid w:val="00205221"/>
    <w:rsid w:val="0020576C"/>
    <w:rsid w:val="00205855"/>
    <w:rsid w:val="00205990"/>
    <w:rsid w:val="00205A14"/>
    <w:rsid w:val="00205B50"/>
    <w:rsid w:val="00205F71"/>
    <w:rsid w:val="00205FFF"/>
    <w:rsid w:val="0020603B"/>
    <w:rsid w:val="0020608C"/>
    <w:rsid w:val="00206443"/>
    <w:rsid w:val="00206AB9"/>
    <w:rsid w:val="00206D47"/>
    <w:rsid w:val="00207949"/>
    <w:rsid w:val="002079F2"/>
    <w:rsid w:val="00207EB4"/>
    <w:rsid w:val="002104E0"/>
    <w:rsid w:val="002104E7"/>
    <w:rsid w:val="00210B0F"/>
    <w:rsid w:val="00210BF0"/>
    <w:rsid w:val="00211354"/>
    <w:rsid w:val="002113FA"/>
    <w:rsid w:val="002114BD"/>
    <w:rsid w:val="002114CA"/>
    <w:rsid w:val="002115A0"/>
    <w:rsid w:val="002119C4"/>
    <w:rsid w:val="00211D5C"/>
    <w:rsid w:val="00211FFB"/>
    <w:rsid w:val="002121E4"/>
    <w:rsid w:val="00212727"/>
    <w:rsid w:val="00212A90"/>
    <w:rsid w:val="00213062"/>
    <w:rsid w:val="00213176"/>
    <w:rsid w:val="002133B5"/>
    <w:rsid w:val="00213422"/>
    <w:rsid w:val="00213687"/>
    <w:rsid w:val="00213ED3"/>
    <w:rsid w:val="00214713"/>
    <w:rsid w:val="0021482B"/>
    <w:rsid w:val="00214A7C"/>
    <w:rsid w:val="00215094"/>
    <w:rsid w:val="00215772"/>
    <w:rsid w:val="002160F2"/>
    <w:rsid w:val="00216102"/>
    <w:rsid w:val="002163B2"/>
    <w:rsid w:val="00216587"/>
    <w:rsid w:val="00216685"/>
    <w:rsid w:val="00216A32"/>
    <w:rsid w:val="00216B48"/>
    <w:rsid w:val="00216F94"/>
    <w:rsid w:val="002171A8"/>
    <w:rsid w:val="00217287"/>
    <w:rsid w:val="00220007"/>
    <w:rsid w:val="00220390"/>
    <w:rsid w:val="002203DA"/>
    <w:rsid w:val="00221146"/>
    <w:rsid w:val="00221152"/>
    <w:rsid w:val="00221250"/>
    <w:rsid w:val="002215AA"/>
    <w:rsid w:val="00221636"/>
    <w:rsid w:val="00221CDA"/>
    <w:rsid w:val="00222CD9"/>
    <w:rsid w:val="00223337"/>
    <w:rsid w:val="00223432"/>
    <w:rsid w:val="002237CB"/>
    <w:rsid w:val="00223812"/>
    <w:rsid w:val="00223D6A"/>
    <w:rsid w:val="00224F81"/>
    <w:rsid w:val="00225A93"/>
    <w:rsid w:val="00225D44"/>
    <w:rsid w:val="002268E7"/>
    <w:rsid w:val="00226B7E"/>
    <w:rsid w:val="00226D63"/>
    <w:rsid w:val="00226E00"/>
    <w:rsid w:val="0022708F"/>
    <w:rsid w:val="00227332"/>
    <w:rsid w:val="00227500"/>
    <w:rsid w:val="002305B4"/>
    <w:rsid w:val="00230B82"/>
    <w:rsid w:val="00230BB8"/>
    <w:rsid w:val="00230BE0"/>
    <w:rsid w:val="00230FB9"/>
    <w:rsid w:val="002318D8"/>
    <w:rsid w:val="00232009"/>
    <w:rsid w:val="0023206D"/>
    <w:rsid w:val="00232CC0"/>
    <w:rsid w:val="00232E2C"/>
    <w:rsid w:val="0023307B"/>
    <w:rsid w:val="00233193"/>
    <w:rsid w:val="00233236"/>
    <w:rsid w:val="0023353D"/>
    <w:rsid w:val="002338A6"/>
    <w:rsid w:val="00233D58"/>
    <w:rsid w:val="002341E2"/>
    <w:rsid w:val="002342A0"/>
    <w:rsid w:val="0023455D"/>
    <w:rsid w:val="0023473E"/>
    <w:rsid w:val="002347A2"/>
    <w:rsid w:val="002347BB"/>
    <w:rsid w:val="002347C1"/>
    <w:rsid w:val="00234930"/>
    <w:rsid w:val="00234A86"/>
    <w:rsid w:val="00234C0F"/>
    <w:rsid w:val="00234F5B"/>
    <w:rsid w:val="00234FA4"/>
    <w:rsid w:val="0023514F"/>
    <w:rsid w:val="002359F4"/>
    <w:rsid w:val="0023606D"/>
    <w:rsid w:val="00236184"/>
    <w:rsid w:val="002361D8"/>
    <w:rsid w:val="00236376"/>
    <w:rsid w:val="0023673D"/>
    <w:rsid w:val="00236B51"/>
    <w:rsid w:val="00236FC1"/>
    <w:rsid w:val="00237096"/>
    <w:rsid w:val="0023761E"/>
    <w:rsid w:val="0023774A"/>
    <w:rsid w:val="00237ACF"/>
    <w:rsid w:val="002405A3"/>
    <w:rsid w:val="00240731"/>
    <w:rsid w:val="00240877"/>
    <w:rsid w:val="00240A64"/>
    <w:rsid w:val="0024141F"/>
    <w:rsid w:val="002418BB"/>
    <w:rsid w:val="00242121"/>
    <w:rsid w:val="002435FA"/>
    <w:rsid w:val="0024371A"/>
    <w:rsid w:val="00243C44"/>
    <w:rsid w:val="00243E20"/>
    <w:rsid w:val="0024411D"/>
    <w:rsid w:val="0024419F"/>
    <w:rsid w:val="00244720"/>
    <w:rsid w:val="00244A08"/>
    <w:rsid w:val="002453B6"/>
    <w:rsid w:val="002456FD"/>
    <w:rsid w:val="00245FED"/>
    <w:rsid w:val="00246562"/>
    <w:rsid w:val="00246778"/>
    <w:rsid w:val="00246975"/>
    <w:rsid w:val="00246B83"/>
    <w:rsid w:val="002471BD"/>
    <w:rsid w:val="002474FC"/>
    <w:rsid w:val="00247B4B"/>
    <w:rsid w:val="00247F94"/>
    <w:rsid w:val="00250852"/>
    <w:rsid w:val="00250F81"/>
    <w:rsid w:val="00251016"/>
    <w:rsid w:val="002510A7"/>
    <w:rsid w:val="00251139"/>
    <w:rsid w:val="00251C2A"/>
    <w:rsid w:val="00251F41"/>
    <w:rsid w:val="00252055"/>
    <w:rsid w:val="00252285"/>
    <w:rsid w:val="00252631"/>
    <w:rsid w:val="002527B3"/>
    <w:rsid w:val="00253072"/>
    <w:rsid w:val="002530AB"/>
    <w:rsid w:val="002531F8"/>
    <w:rsid w:val="00253838"/>
    <w:rsid w:val="002547E3"/>
    <w:rsid w:val="002548A7"/>
    <w:rsid w:val="002548D4"/>
    <w:rsid w:val="00254D28"/>
    <w:rsid w:val="00254F04"/>
    <w:rsid w:val="0025514F"/>
    <w:rsid w:val="00255774"/>
    <w:rsid w:val="002557D0"/>
    <w:rsid w:val="00255A5F"/>
    <w:rsid w:val="00256784"/>
    <w:rsid w:val="00256F8F"/>
    <w:rsid w:val="00257553"/>
    <w:rsid w:val="00257A05"/>
    <w:rsid w:val="00257B8F"/>
    <w:rsid w:val="00257C58"/>
    <w:rsid w:val="002608EC"/>
    <w:rsid w:val="00260F5F"/>
    <w:rsid w:val="00261003"/>
    <w:rsid w:val="002616B2"/>
    <w:rsid w:val="00261C5A"/>
    <w:rsid w:val="00261DE2"/>
    <w:rsid w:val="00262466"/>
    <w:rsid w:val="002628C8"/>
    <w:rsid w:val="00262B65"/>
    <w:rsid w:val="00262C9E"/>
    <w:rsid w:val="00262D86"/>
    <w:rsid w:val="002632B1"/>
    <w:rsid w:val="00263A25"/>
    <w:rsid w:val="002644D7"/>
    <w:rsid w:val="002648D0"/>
    <w:rsid w:val="00264AEA"/>
    <w:rsid w:val="00264ECF"/>
    <w:rsid w:val="00265098"/>
    <w:rsid w:val="002653F1"/>
    <w:rsid w:val="00265EEE"/>
    <w:rsid w:val="0026624C"/>
    <w:rsid w:val="002669C5"/>
    <w:rsid w:val="002669D5"/>
    <w:rsid w:val="00266A92"/>
    <w:rsid w:val="00266B47"/>
    <w:rsid w:val="00266C19"/>
    <w:rsid w:val="0026784D"/>
    <w:rsid w:val="00267CAF"/>
    <w:rsid w:val="00270922"/>
    <w:rsid w:val="00270F72"/>
    <w:rsid w:val="0027125A"/>
    <w:rsid w:val="002717A2"/>
    <w:rsid w:val="00272076"/>
    <w:rsid w:val="002725DE"/>
    <w:rsid w:val="002731E1"/>
    <w:rsid w:val="00273473"/>
    <w:rsid w:val="002734EA"/>
    <w:rsid w:val="002734F0"/>
    <w:rsid w:val="0027380E"/>
    <w:rsid w:val="0027392E"/>
    <w:rsid w:val="00273C9F"/>
    <w:rsid w:val="00273CFD"/>
    <w:rsid w:val="00273DEF"/>
    <w:rsid w:val="00274820"/>
    <w:rsid w:val="002748E6"/>
    <w:rsid w:val="002759B1"/>
    <w:rsid w:val="00275CCB"/>
    <w:rsid w:val="00275E94"/>
    <w:rsid w:val="002767F9"/>
    <w:rsid w:val="0027683A"/>
    <w:rsid w:val="00276A27"/>
    <w:rsid w:val="0027723E"/>
    <w:rsid w:val="002773C4"/>
    <w:rsid w:val="002776F4"/>
    <w:rsid w:val="0027793D"/>
    <w:rsid w:val="00277B36"/>
    <w:rsid w:val="00277DF6"/>
    <w:rsid w:val="0028012A"/>
    <w:rsid w:val="00280145"/>
    <w:rsid w:val="002802A4"/>
    <w:rsid w:val="002805BB"/>
    <w:rsid w:val="00280706"/>
    <w:rsid w:val="0028082F"/>
    <w:rsid w:val="00280CA9"/>
    <w:rsid w:val="0028102E"/>
    <w:rsid w:val="0028121E"/>
    <w:rsid w:val="002812AA"/>
    <w:rsid w:val="0028139B"/>
    <w:rsid w:val="002816D7"/>
    <w:rsid w:val="00281ABC"/>
    <w:rsid w:val="00281D89"/>
    <w:rsid w:val="002827C2"/>
    <w:rsid w:val="00282C81"/>
    <w:rsid w:val="00283634"/>
    <w:rsid w:val="002836D1"/>
    <w:rsid w:val="002838FE"/>
    <w:rsid w:val="00283D47"/>
    <w:rsid w:val="00284348"/>
    <w:rsid w:val="0028449A"/>
    <w:rsid w:val="0028470B"/>
    <w:rsid w:val="002849B4"/>
    <w:rsid w:val="0028526F"/>
    <w:rsid w:val="00285627"/>
    <w:rsid w:val="00285678"/>
    <w:rsid w:val="0028578C"/>
    <w:rsid w:val="00285F63"/>
    <w:rsid w:val="002864D8"/>
    <w:rsid w:val="00286D77"/>
    <w:rsid w:val="00290476"/>
    <w:rsid w:val="00290CE4"/>
    <w:rsid w:val="00291153"/>
    <w:rsid w:val="0029134D"/>
    <w:rsid w:val="00291961"/>
    <w:rsid w:val="00291C99"/>
    <w:rsid w:val="00291D70"/>
    <w:rsid w:val="00291DE7"/>
    <w:rsid w:val="00292114"/>
    <w:rsid w:val="00292277"/>
    <w:rsid w:val="00292E21"/>
    <w:rsid w:val="0029354F"/>
    <w:rsid w:val="002936FF"/>
    <w:rsid w:val="0029374D"/>
    <w:rsid w:val="002938F5"/>
    <w:rsid w:val="00294149"/>
    <w:rsid w:val="0029486B"/>
    <w:rsid w:val="002948BD"/>
    <w:rsid w:val="00294C2E"/>
    <w:rsid w:val="0029558E"/>
    <w:rsid w:val="00295A42"/>
    <w:rsid w:val="00295AC2"/>
    <w:rsid w:val="00295E42"/>
    <w:rsid w:val="00296079"/>
    <w:rsid w:val="00297094"/>
    <w:rsid w:val="0029734D"/>
    <w:rsid w:val="00297391"/>
    <w:rsid w:val="00297539"/>
    <w:rsid w:val="002977FD"/>
    <w:rsid w:val="00297AC2"/>
    <w:rsid w:val="00297C53"/>
    <w:rsid w:val="002A01CD"/>
    <w:rsid w:val="002A08B9"/>
    <w:rsid w:val="002A0AA2"/>
    <w:rsid w:val="002A0CF2"/>
    <w:rsid w:val="002A0D87"/>
    <w:rsid w:val="002A1341"/>
    <w:rsid w:val="002A17E2"/>
    <w:rsid w:val="002A1D07"/>
    <w:rsid w:val="002A2969"/>
    <w:rsid w:val="002A2B65"/>
    <w:rsid w:val="002A2C68"/>
    <w:rsid w:val="002A2D4E"/>
    <w:rsid w:val="002A2E21"/>
    <w:rsid w:val="002A3250"/>
    <w:rsid w:val="002A384F"/>
    <w:rsid w:val="002A389A"/>
    <w:rsid w:val="002A3916"/>
    <w:rsid w:val="002A3D39"/>
    <w:rsid w:val="002A44D2"/>
    <w:rsid w:val="002A4778"/>
    <w:rsid w:val="002A4C83"/>
    <w:rsid w:val="002A5C29"/>
    <w:rsid w:val="002A5C83"/>
    <w:rsid w:val="002A5DD6"/>
    <w:rsid w:val="002A617A"/>
    <w:rsid w:val="002A6CE1"/>
    <w:rsid w:val="002A6F65"/>
    <w:rsid w:val="002A7617"/>
    <w:rsid w:val="002A779A"/>
    <w:rsid w:val="002A793C"/>
    <w:rsid w:val="002A7CF7"/>
    <w:rsid w:val="002A7F99"/>
    <w:rsid w:val="002A7FFD"/>
    <w:rsid w:val="002B031C"/>
    <w:rsid w:val="002B03AB"/>
    <w:rsid w:val="002B0BCC"/>
    <w:rsid w:val="002B13FB"/>
    <w:rsid w:val="002B1778"/>
    <w:rsid w:val="002B21F8"/>
    <w:rsid w:val="002B2471"/>
    <w:rsid w:val="002B3948"/>
    <w:rsid w:val="002B3A02"/>
    <w:rsid w:val="002B3BD2"/>
    <w:rsid w:val="002B3C87"/>
    <w:rsid w:val="002B3D30"/>
    <w:rsid w:val="002B4B4D"/>
    <w:rsid w:val="002B4D40"/>
    <w:rsid w:val="002B50AF"/>
    <w:rsid w:val="002B5188"/>
    <w:rsid w:val="002B564B"/>
    <w:rsid w:val="002B579B"/>
    <w:rsid w:val="002B5DEF"/>
    <w:rsid w:val="002B6019"/>
    <w:rsid w:val="002B6275"/>
    <w:rsid w:val="002B6A70"/>
    <w:rsid w:val="002B6B38"/>
    <w:rsid w:val="002B6EF2"/>
    <w:rsid w:val="002B75F3"/>
    <w:rsid w:val="002B7616"/>
    <w:rsid w:val="002B76E9"/>
    <w:rsid w:val="002B7C21"/>
    <w:rsid w:val="002C0554"/>
    <w:rsid w:val="002C0793"/>
    <w:rsid w:val="002C0BFE"/>
    <w:rsid w:val="002C16A0"/>
    <w:rsid w:val="002C1840"/>
    <w:rsid w:val="002C1EE6"/>
    <w:rsid w:val="002C2F04"/>
    <w:rsid w:val="002C2FCC"/>
    <w:rsid w:val="002C33F3"/>
    <w:rsid w:val="002C3446"/>
    <w:rsid w:val="002C3E0C"/>
    <w:rsid w:val="002C4BE8"/>
    <w:rsid w:val="002C58CA"/>
    <w:rsid w:val="002C5FE0"/>
    <w:rsid w:val="002C6553"/>
    <w:rsid w:val="002C66FA"/>
    <w:rsid w:val="002C66FB"/>
    <w:rsid w:val="002C6BEA"/>
    <w:rsid w:val="002C71C5"/>
    <w:rsid w:val="002C77A4"/>
    <w:rsid w:val="002C77CC"/>
    <w:rsid w:val="002C7892"/>
    <w:rsid w:val="002C78F0"/>
    <w:rsid w:val="002D051A"/>
    <w:rsid w:val="002D0EBE"/>
    <w:rsid w:val="002D10D6"/>
    <w:rsid w:val="002D10E0"/>
    <w:rsid w:val="002D1753"/>
    <w:rsid w:val="002D17BD"/>
    <w:rsid w:val="002D199B"/>
    <w:rsid w:val="002D20C5"/>
    <w:rsid w:val="002D219C"/>
    <w:rsid w:val="002D2546"/>
    <w:rsid w:val="002D290A"/>
    <w:rsid w:val="002D323B"/>
    <w:rsid w:val="002D3D55"/>
    <w:rsid w:val="002D42EA"/>
    <w:rsid w:val="002D4E06"/>
    <w:rsid w:val="002D5072"/>
    <w:rsid w:val="002D5164"/>
    <w:rsid w:val="002D57C8"/>
    <w:rsid w:val="002D5ABA"/>
    <w:rsid w:val="002D5B67"/>
    <w:rsid w:val="002D5B6B"/>
    <w:rsid w:val="002D5F43"/>
    <w:rsid w:val="002D6752"/>
    <w:rsid w:val="002D6813"/>
    <w:rsid w:val="002D6DA7"/>
    <w:rsid w:val="002D6F6A"/>
    <w:rsid w:val="002D76BE"/>
    <w:rsid w:val="002D7C54"/>
    <w:rsid w:val="002E01EE"/>
    <w:rsid w:val="002E09BD"/>
    <w:rsid w:val="002E1274"/>
    <w:rsid w:val="002E15FB"/>
    <w:rsid w:val="002E1664"/>
    <w:rsid w:val="002E1C61"/>
    <w:rsid w:val="002E1E9B"/>
    <w:rsid w:val="002E2AFC"/>
    <w:rsid w:val="002E3C97"/>
    <w:rsid w:val="002E41CE"/>
    <w:rsid w:val="002E456F"/>
    <w:rsid w:val="002E46C8"/>
    <w:rsid w:val="002E493A"/>
    <w:rsid w:val="002E53A4"/>
    <w:rsid w:val="002E5F73"/>
    <w:rsid w:val="002E67DC"/>
    <w:rsid w:val="002E6B20"/>
    <w:rsid w:val="002E7239"/>
    <w:rsid w:val="002E74B1"/>
    <w:rsid w:val="002E7BC7"/>
    <w:rsid w:val="002E7C07"/>
    <w:rsid w:val="002E7EAC"/>
    <w:rsid w:val="002F0030"/>
    <w:rsid w:val="002F028B"/>
    <w:rsid w:val="002F0338"/>
    <w:rsid w:val="002F14D6"/>
    <w:rsid w:val="002F17C7"/>
    <w:rsid w:val="002F185E"/>
    <w:rsid w:val="002F20C5"/>
    <w:rsid w:val="002F2BD0"/>
    <w:rsid w:val="002F39E4"/>
    <w:rsid w:val="002F3F80"/>
    <w:rsid w:val="002F4508"/>
    <w:rsid w:val="002F5027"/>
    <w:rsid w:val="002F5264"/>
    <w:rsid w:val="002F55BF"/>
    <w:rsid w:val="002F563D"/>
    <w:rsid w:val="002F56BD"/>
    <w:rsid w:val="002F5B5C"/>
    <w:rsid w:val="002F616C"/>
    <w:rsid w:val="002F629C"/>
    <w:rsid w:val="002F62F4"/>
    <w:rsid w:val="002F6727"/>
    <w:rsid w:val="002F6B7F"/>
    <w:rsid w:val="002F6D9A"/>
    <w:rsid w:val="002F6DCC"/>
    <w:rsid w:val="002F74B5"/>
    <w:rsid w:val="002F77A9"/>
    <w:rsid w:val="002F78BF"/>
    <w:rsid w:val="002F795A"/>
    <w:rsid w:val="002F7AB8"/>
    <w:rsid w:val="002F7D9D"/>
    <w:rsid w:val="002F7E2C"/>
    <w:rsid w:val="00300522"/>
    <w:rsid w:val="003005A9"/>
    <w:rsid w:val="003006C0"/>
    <w:rsid w:val="003007F3"/>
    <w:rsid w:val="003009BF"/>
    <w:rsid w:val="00301612"/>
    <w:rsid w:val="00301C2F"/>
    <w:rsid w:val="00302149"/>
    <w:rsid w:val="003035E6"/>
    <w:rsid w:val="003036A0"/>
    <w:rsid w:val="00303B84"/>
    <w:rsid w:val="00303C1B"/>
    <w:rsid w:val="00303F83"/>
    <w:rsid w:val="003043F1"/>
    <w:rsid w:val="00304AC4"/>
    <w:rsid w:val="00304B60"/>
    <w:rsid w:val="003053CA"/>
    <w:rsid w:val="00305725"/>
    <w:rsid w:val="00305CB4"/>
    <w:rsid w:val="00305D32"/>
    <w:rsid w:val="00305D36"/>
    <w:rsid w:val="00306628"/>
    <w:rsid w:val="0030699E"/>
    <w:rsid w:val="00307133"/>
    <w:rsid w:val="00307237"/>
    <w:rsid w:val="00310BD0"/>
    <w:rsid w:val="00310E99"/>
    <w:rsid w:val="0031116D"/>
    <w:rsid w:val="0031120B"/>
    <w:rsid w:val="00311603"/>
    <w:rsid w:val="00311F10"/>
    <w:rsid w:val="00312176"/>
    <w:rsid w:val="00312C7C"/>
    <w:rsid w:val="00313248"/>
    <w:rsid w:val="00313476"/>
    <w:rsid w:val="003135B5"/>
    <w:rsid w:val="00314128"/>
    <w:rsid w:val="0031451A"/>
    <w:rsid w:val="00314A40"/>
    <w:rsid w:val="00314CCF"/>
    <w:rsid w:val="00314CF7"/>
    <w:rsid w:val="00314EA4"/>
    <w:rsid w:val="00314FD6"/>
    <w:rsid w:val="00314FE6"/>
    <w:rsid w:val="003154AC"/>
    <w:rsid w:val="003154D5"/>
    <w:rsid w:val="0031555E"/>
    <w:rsid w:val="00316343"/>
    <w:rsid w:val="003172DC"/>
    <w:rsid w:val="00317368"/>
    <w:rsid w:val="0031780B"/>
    <w:rsid w:val="0032028E"/>
    <w:rsid w:val="003204D9"/>
    <w:rsid w:val="0032054A"/>
    <w:rsid w:val="00320B8D"/>
    <w:rsid w:val="00320D44"/>
    <w:rsid w:val="00320DB8"/>
    <w:rsid w:val="00321023"/>
    <w:rsid w:val="00321D6E"/>
    <w:rsid w:val="00322C5D"/>
    <w:rsid w:val="00322C77"/>
    <w:rsid w:val="00323411"/>
    <w:rsid w:val="003236CB"/>
    <w:rsid w:val="00323CA7"/>
    <w:rsid w:val="003244E9"/>
    <w:rsid w:val="00325506"/>
    <w:rsid w:val="0032559F"/>
    <w:rsid w:val="0032562B"/>
    <w:rsid w:val="003258AE"/>
    <w:rsid w:val="003258E7"/>
    <w:rsid w:val="00325903"/>
    <w:rsid w:val="00326178"/>
    <w:rsid w:val="00326223"/>
    <w:rsid w:val="00326D6E"/>
    <w:rsid w:val="00326E08"/>
    <w:rsid w:val="00326F68"/>
    <w:rsid w:val="00327117"/>
    <w:rsid w:val="00327486"/>
    <w:rsid w:val="00327D89"/>
    <w:rsid w:val="00327F84"/>
    <w:rsid w:val="00330BBC"/>
    <w:rsid w:val="00330E72"/>
    <w:rsid w:val="00331462"/>
    <w:rsid w:val="003315A6"/>
    <w:rsid w:val="0033184A"/>
    <w:rsid w:val="003320CE"/>
    <w:rsid w:val="003321A0"/>
    <w:rsid w:val="00332B32"/>
    <w:rsid w:val="00332CFC"/>
    <w:rsid w:val="00333291"/>
    <w:rsid w:val="003336B4"/>
    <w:rsid w:val="00333715"/>
    <w:rsid w:val="00334424"/>
    <w:rsid w:val="00335053"/>
    <w:rsid w:val="00335065"/>
    <w:rsid w:val="0033507D"/>
    <w:rsid w:val="00335308"/>
    <w:rsid w:val="0033545C"/>
    <w:rsid w:val="0033566D"/>
    <w:rsid w:val="00335744"/>
    <w:rsid w:val="00335C5D"/>
    <w:rsid w:val="00336069"/>
    <w:rsid w:val="00336E28"/>
    <w:rsid w:val="0033778A"/>
    <w:rsid w:val="00337840"/>
    <w:rsid w:val="0033786A"/>
    <w:rsid w:val="003378B6"/>
    <w:rsid w:val="00337B0E"/>
    <w:rsid w:val="00337E47"/>
    <w:rsid w:val="00337E8D"/>
    <w:rsid w:val="00337EFE"/>
    <w:rsid w:val="0034044A"/>
    <w:rsid w:val="00341039"/>
    <w:rsid w:val="003410C3"/>
    <w:rsid w:val="00341731"/>
    <w:rsid w:val="00341A04"/>
    <w:rsid w:val="00341C11"/>
    <w:rsid w:val="00342483"/>
    <w:rsid w:val="00342557"/>
    <w:rsid w:val="00342B2C"/>
    <w:rsid w:val="00342D2D"/>
    <w:rsid w:val="00343837"/>
    <w:rsid w:val="00343F17"/>
    <w:rsid w:val="003440C8"/>
    <w:rsid w:val="003449D9"/>
    <w:rsid w:val="00344D0A"/>
    <w:rsid w:val="00345017"/>
    <w:rsid w:val="0034533F"/>
    <w:rsid w:val="003456DA"/>
    <w:rsid w:val="00345740"/>
    <w:rsid w:val="00345E87"/>
    <w:rsid w:val="003468A9"/>
    <w:rsid w:val="00346C6D"/>
    <w:rsid w:val="00346CAA"/>
    <w:rsid w:val="00346E07"/>
    <w:rsid w:val="003473E3"/>
    <w:rsid w:val="00347EFA"/>
    <w:rsid w:val="003500FF"/>
    <w:rsid w:val="00350746"/>
    <w:rsid w:val="00350D77"/>
    <w:rsid w:val="00350DB1"/>
    <w:rsid w:val="00350E34"/>
    <w:rsid w:val="00350F94"/>
    <w:rsid w:val="003510BA"/>
    <w:rsid w:val="00351489"/>
    <w:rsid w:val="00352502"/>
    <w:rsid w:val="00352754"/>
    <w:rsid w:val="00353222"/>
    <w:rsid w:val="0035394B"/>
    <w:rsid w:val="00353B75"/>
    <w:rsid w:val="00353D7D"/>
    <w:rsid w:val="00353E79"/>
    <w:rsid w:val="003540FF"/>
    <w:rsid w:val="0035462D"/>
    <w:rsid w:val="00354BC1"/>
    <w:rsid w:val="003552D9"/>
    <w:rsid w:val="00355944"/>
    <w:rsid w:val="00355B3D"/>
    <w:rsid w:val="00355FF3"/>
    <w:rsid w:val="00356213"/>
    <w:rsid w:val="0035625D"/>
    <w:rsid w:val="003565D5"/>
    <w:rsid w:val="0035696E"/>
    <w:rsid w:val="003574CA"/>
    <w:rsid w:val="0035777E"/>
    <w:rsid w:val="003577ED"/>
    <w:rsid w:val="00357B5B"/>
    <w:rsid w:val="00357D46"/>
    <w:rsid w:val="00357D4F"/>
    <w:rsid w:val="0036075B"/>
    <w:rsid w:val="00360EC1"/>
    <w:rsid w:val="003613EF"/>
    <w:rsid w:val="00361524"/>
    <w:rsid w:val="00361529"/>
    <w:rsid w:val="0036182F"/>
    <w:rsid w:val="00361D1E"/>
    <w:rsid w:val="00362248"/>
    <w:rsid w:val="0036281C"/>
    <w:rsid w:val="003638A6"/>
    <w:rsid w:val="003638D3"/>
    <w:rsid w:val="00363A21"/>
    <w:rsid w:val="003640FF"/>
    <w:rsid w:val="00364866"/>
    <w:rsid w:val="003649AD"/>
    <w:rsid w:val="003649B8"/>
    <w:rsid w:val="00365AAE"/>
    <w:rsid w:val="0036683A"/>
    <w:rsid w:val="0036683D"/>
    <w:rsid w:val="003670C0"/>
    <w:rsid w:val="00367982"/>
    <w:rsid w:val="003679E2"/>
    <w:rsid w:val="00367D8C"/>
    <w:rsid w:val="00370207"/>
    <w:rsid w:val="003703DC"/>
    <w:rsid w:val="00370460"/>
    <w:rsid w:val="0037058A"/>
    <w:rsid w:val="00370A04"/>
    <w:rsid w:val="00371BAB"/>
    <w:rsid w:val="00372170"/>
    <w:rsid w:val="003726AA"/>
    <w:rsid w:val="00372E1F"/>
    <w:rsid w:val="00373064"/>
    <w:rsid w:val="00373332"/>
    <w:rsid w:val="00373620"/>
    <w:rsid w:val="00373BD6"/>
    <w:rsid w:val="00375708"/>
    <w:rsid w:val="00376447"/>
    <w:rsid w:val="003766BB"/>
    <w:rsid w:val="00376B88"/>
    <w:rsid w:val="00377128"/>
    <w:rsid w:val="00377212"/>
    <w:rsid w:val="003773EA"/>
    <w:rsid w:val="003777CB"/>
    <w:rsid w:val="00377805"/>
    <w:rsid w:val="00377BE6"/>
    <w:rsid w:val="003801E3"/>
    <w:rsid w:val="0038073E"/>
    <w:rsid w:val="003807DD"/>
    <w:rsid w:val="00380A62"/>
    <w:rsid w:val="003815C2"/>
    <w:rsid w:val="00381712"/>
    <w:rsid w:val="003817EF"/>
    <w:rsid w:val="00382269"/>
    <w:rsid w:val="00382559"/>
    <w:rsid w:val="00382AC2"/>
    <w:rsid w:val="00382B7F"/>
    <w:rsid w:val="00382BFD"/>
    <w:rsid w:val="00382DF1"/>
    <w:rsid w:val="003839CB"/>
    <w:rsid w:val="00383ADF"/>
    <w:rsid w:val="00383C04"/>
    <w:rsid w:val="003840AF"/>
    <w:rsid w:val="0038421B"/>
    <w:rsid w:val="0038461F"/>
    <w:rsid w:val="00384A88"/>
    <w:rsid w:val="00384ECB"/>
    <w:rsid w:val="00385581"/>
    <w:rsid w:val="00385759"/>
    <w:rsid w:val="0038590B"/>
    <w:rsid w:val="00385AE4"/>
    <w:rsid w:val="00385D3F"/>
    <w:rsid w:val="00386ACC"/>
    <w:rsid w:val="00386D37"/>
    <w:rsid w:val="00387787"/>
    <w:rsid w:val="003879DD"/>
    <w:rsid w:val="003879F5"/>
    <w:rsid w:val="00390213"/>
    <w:rsid w:val="003915B7"/>
    <w:rsid w:val="00391714"/>
    <w:rsid w:val="00391C70"/>
    <w:rsid w:val="0039213E"/>
    <w:rsid w:val="00392DED"/>
    <w:rsid w:val="00393CCA"/>
    <w:rsid w:val="00393F9D"/>
    <w:rsid w:val="003940AC"/>
    <w:rsid w:val="003943AF"/>
    <w:rsid w:val="003947D1"/>
    <w:rsid w:val="0039498D"/>
    <w:rsid w:val="00394D94"/>
    <w:rsid w:val="00395506"/>
    <w:rsid w:val="00395BA3"/>
    <w:rsid w:val="0039643F"/>
    <w:rsid w:val="00396A7D"/>
    <w:rsid w:val="00396AFB"/>
    <w:rsid w:val="00396C10"/>
    <w:rsid w:val="003975A4"/>
    <w:rsid w:val="003A035D"/>
    <w:rsid w:val="003A061C"/>
    <w:rsid w:val="003A1314"/>
    <w:rsid w:val="003A187B"/>
    <w:rsid w:val="003A1B2A"/>
    <w:rsid w:val="003A2619"/>
    <w:rsid w:val="003A3B25"/>
    <w:rsid w:val="003A3BBF"/>
    <w:rsid w:val="003A3F31"/>
    <w:rsid w:val="003A470A"/>
    <w:rsid w:val="003A49F5"/>
    <w:rsid w:val="003A4A69"/>
    <w:rsid w:val="003A4B40"/>
    <w:rsid w:val="003A4C3D"/>
    <w:rsid w:val="003A4EE7"/>
    <w:rsid w:val="003A543A"/>
    <w:rsid w:val="003A5563"/>
    <w:rsid w:val="003A5900"/>
    <w:rsid w:val="003A5A94"/>
    <w:rsid w:val="003A5BF8"/>
    <w:rsid w:val="003A5FED"/>
    <w:rsid w:val="003A6BC4"/>
    <w:rsid w:val="003A7EDD"/>
    <w:rsid w:val="003A7EF9"/>
    <w:rsid w:val="003B0041"/>
    <w:rsid w:val="003B0222"/>
    <w:rsid w:val="003B0254"/>
    <w:rsid w:val="003B029C"/>
    <w:rsid w:val="003B034A"/>
    <w:rsid w:val="003B036F"/>
    <w:rsid w:val="003B0624"/>
    <w:rsid w:val="003B070D"/>
    <w:rsid w:val="003B090A"/>
    <w:rsid w:val="003B0C82"/>
    <w:rsid w:val="003B0D47"/>
    <w:rsid w:val="003B1206"/>
    <w:rsid w:val="003B141D"/>
    <w:rsid w:val="003B1C90"/>
    <w:rsid w:val="003B1DCC"/>
    <w:rsid w:val="003B26EE"/>
    <w:rsid w:val="003B2A2E"/>
    <w:rsid w:val="003B2B2B"/>
    <w:rsid w:val="003B2BBE"/>
    <w:rsid w:val="003B3960"/>
    <w:rsid w:val="003B39CA"/>
    <w:rsid w:val="003B3D29"/>
    <w:rsid w:val="003B42E6"/>
    <w:rsid w:val="003B4471"/>
    <w:rsid w:val="003B45BC"/>
    <w:rsid w:val="003B48AB"/>
    <w:rsid w:val="003B5163"/>
    <w:rsid w:val="003B540B"/>
    <w:rsid w:val="003B6534"/>
    <w:rsid w:val="003B67A7"/>
    <w:rsid w:val="003B6C13"/>
    <w:rsid w:val="003B719F"/>
    <w:rsid w:val="003B74C9"/>
    <w:rsid w:val="003C00CB"/>
    <w:rsid w:val="003C0B8D"/>
    <w:rsid w:val="003C0C58"/>
    <w:rsid w:val="003C12E5"/>
    <w:rsid w:val="003C14AD"/>
    <w:rsid w:val="003C14C4"/>
    <w:rsid w:val="003C1682"/>
    <w:rsid w:val="003C1964"/>
    <w:rsid w:val="003C1F17"/>
    <w:rsid w:val="003C23E2"/>
    <w:rsid w:val="003C2FA6"/>
    <w:rsid w:val="003C309E"/>
    <w:rsid w:val="003C30EA"/>
    <w:rsid w:val="003C361E"/>
    <w:rsid w:val="003C38D9"/>
    <w:rsid w:val="003C3971"/>
    <w:rsid w:val="003C3DB8"/>
    <w:rsid w:val="003C3F55"/>
    <w:rsid w:val="003C403B"/>
    <w:rsid w:val="003C435B"/>
    <w:rsid w:val="003C46AC"/>
    <w:rsid w:val="003C4B3C"/>
    <w:rsid w:val="003C50C0"/>
    <w:rsid w:val="003C51F4"/>
    <w:rsid w:val="003C5338"/>
    <w:rsid w:val="003C5F20"/>
    <w:rsid w:val="003C614F"/>
    <w:rsid w:val="003C6462"/>
    <w:rsid w:val="003C64EE"/>
    <w:rsid w:val="003C693F"/>
    <w:rsid w:val="003C6AE2"/>
    <w:rsid w:val="003C6D10"/>
    <w:rsid w:val="003C6E58"/>
    <w:rsid w:val="003C7031"/>
    <w:rsid w:val="003C7189"/>
    <w:rsid w:val="003C726F"/>
    <w:rsid w:val="003C76CA"/>
    <w:rsid w:val="003C7BBA"/>
    <w:rsid w:val="003C7DB1"/>
    <w:rsid w:val="003D0062"/>
    <w:rsid w:val="003D0107"/>
    <w:rsid w:val="003D050B"/>
    <w:rsid w:val="003D05B6"/>
    <w:rsid w:val="003D0A7D"/>
    <w:rsid w:val="003D1A53"/>
    <w:rsid w:val="003D1F24"/>
    <w:rsid w:val="003D2B93"/>
    <w:rsid w:val="003D3538"/>
    <w:rsid w:val="003D3EC0"/>
    <w:rsid w:val="003D415C"/>
    <w:rsid w:val="003D49D4"/>
    <w:rsid w:val="003D4D76"/>
    <w:rsid w:val="003D4FFD"/>
    <w:rsid w:val="003D5CEE"/>
    <w:rsid w:val="003D6407"/>
    <w:rsid w:val="003D657F"/>
    <w:rsid w:val="003D680C"/>
    <w:rsid w:val="003D6840"/>
    <w:rsid w:val="003D69D0"/>
    <w:rsid w:val="003D712B"/>
    <w:rsid w:val="003D7466"/>
    <w:rsid w:val="003D79FC"/>
    <w:rsid w:val="003D7D39"/>
    <w:rsid w:val="003E04FB"/>
    <w:rsid w:val="003E0824"/>
    <w:rsid w:val="003E09F8"/>
    <w:rsid w:val="003E0B29"/>
    <w:rsid w:val="003E0C67"/>
    <w:rsid w:val="003E1270"/>
    <w:rsid w:val="003E1753"/>
    <w:rsid w:val="003E1929"/>
    <w:rsid w:val="003E192E"/>
    <w:rsid w:val="003E1EA5"/>
    <w:rsid w:val="003E2166"/>
    <w:rsid w:val="003E218A"/>
    <w:rsid w:val="003E241B"/>
    <w:rsid w:val="003E2EB3"/>
    <w:rsid w:val="003E3047"/>
    <w:rsid w:val="003E315E"/>
    <w:rsid w:val="003E3224"/>
    <w:rsid w:val="003E3E3B"/>
    <w:rsid w:val="003E3E6F"/>
    <w:rsid w:val="003E478C"/>
    <w:rsid w:val="003E4990"/>
    <w:rsid w:val="003E4AF1"/>
    <w:rsid w:val="003E4D5E"/>
    <w:rsid w:val="003E5033"/>
    <w:rsid w:val="003E5374"/>
    <w:rsid w:val="003E540E"/>
    <w:rsid w:val="003E542F"/>
    <w:rsid w:val="003E54C2"/>
    <w:rsid w:val="003E5718"/>
    <w:rsid w:val="003E58B8"/>
    <w:rsid w:val="003E6B15"/>
    <w:rsid w:val="003E7DF7"/>
    <w:rsid w:val="003F09BA"/>
    <w:rsid w:val="003F1500"/>
    <w:rsid w:val="003F25D0"/>
    <w:rsid w:val="003F2646"/>
    <w:rsid w:val="003F3001"/>
    <w:rsid w:val="003F30A6"/>
    <w:rsid w:val="003F34C4"/>
    <w:rsid w:val="003F3949"/>
    <w:rsid w:val="003F3A98"/>
    <w:rsid w:val="003F3FAE"/>
    <w:rsid w:val="003F40E2"/>
    <w:rsid w:val="003F45A5"/>
    <w:rsid w:val="003F466E"/>
    <w:rsid w:val="003F4E7C"/>
    <w:rsid w:val="003F5C59"/>
    <w:rsid w:val="003F6190"/>
    <w:rsid w:val="003F6721"/>
    <w:rsid w:val="003F6C39"/>
    <w:rsid w:val="003F6C91"/>
    <w:rsid w:val="003F6F6B"/>
    <w:rsid w:val="003F70F5"/>
    <w:rsid w:val="003F7B2E"/>
    <w:rsid w:val="003F7B9E"/>
    <w:rsid w:val="003F7F50"/>
    <w:rsid w:val="004011E2"/>
    <w:rsid w:val="00401729"/>
    <w:rsid w:val="0040186E"/>
    <w:rsid w:val="00402124"/>
    <w:rsid w:val="0040224E"/>
    <w:rsid w:val="00402A77"/>
    <w:rsid w:val="0040317D"/>
    <w:rsid w:val="004032E8"/>
    <w:rsid w:val="0040339F"/>
    <w:rsid w:val="004039C5"/>
    <w:rsid w:val="00403C8E"/>
    <w:rsid w:val="00403E38"/>
    <w:rsid w:val="0040404C"/>
    <w:rsid w:val="004041CD"/>
    <w:rsid w:val="0040427D"/>
    <w:rsid w:val="004043DD"/>
    <w:rsid w:val="0040486D"/>
    <w:rsid w:val="00404C8C"/>
    <w:rsid w:val="004053FA"/>
    <w:rsid w:val="00405E2C"/>
    <w:rsid w:val="0040603F"/>
    <w:rsid w:val="0040618E"/>
    <w:rsid w:val="00406BF3"/>
    <w:rsid w:val="00406E84"/>
    <w:rsid w:val="00407514"/>
    <w:rsid w:val="0040754E"/>
    <w:rsid w:val="0040755D"/>
    <w:rsid w:val="00407696"/>
    <w:rsid w:val="00407751"/>
    <w:rsid w:val="00407E1A"/>
    <w:rsid w:val="004104D6"/>
    <w:rsid w:val="004107BC"/>
    <w:rsid w:val="00410A23"/>
    <w:rsid w:val="00410CC3"/>
    <w:rsid w:val="00411511"/>
    <w:rsid w:val="00411A05"/>
    <w:rsid w:val="00413433"/>
    <w:rsid w:val="004138BF"/>
    <w:rsid w:val="00413E35"/>
    <w:rsid w:val="00413EBF"/>
    <w:rsid w:val="004144CE"/>
    <w:rsid w:val="0041463B"/>
    <w:rsid w:val="004146C1"/>
    <w:rsid w:val="0041486F"/>
    <w:rsid w:val="00414FD4"/>
    <w:rsid w:val="00415241"/>
    <w:rsid w:val="00415D4D"/>
    <w:rsid w:val="00415E7C"/>
    <w:rsid w:val="00416820"/>
    <w:rsid w:val="00416A87"/>
    <w:rsid w:val="00416BAF"/>
    <w:rsid w:val="00416E0A"/>
    <w:rsid w:val="00416F7F"/>
    <w:rsid w:val="0041759A"/>
    <w:rsid w:val="0041768D"/>
    <w:rsid w:val="004177B6"/>
    <w:rsid w:val="00417D34"/>
    <w:rsid w:val="00417DCF"/>
    <w:rsid w:val="0042013B"/>
    <w:rsid w:val="0042018C"/>
    <w:rsid w:val="0042032A"/>
    <w:rsid w:val="00420B55"/>
    <w:rsid w:val="0042167F"/>
    <w:rsid w:val="00421728"/>
    <w:rsid w:val="00421CAD"/>
    <w:rsid w:val="00421DE7"/>
    <w:rsid w:val="0042252E"/>
    <w:rsid w:val="004226AF"/>
    <w:rsid w:val="0042306D"/>
    <w:rsid w:val="004234BA"/>
    <w:rsid w:val="00423600"/>
    <w:rsid w:val="00424249"/>
    <w:rsid w:val="004248D8"/>
    <w:rsid w:val="00424A8B"/>
    <w:rsid w:val="00424F61"/>
    <w:rsid w:val="00425315"/>
    <w:rsid w:val="0042617B"/>
    <w:rsid w:val="0042684E"/>
    <w:rsid w:val="0042686E"/>
    <w:rsid w:val="00426904"/>
    <w:rsid w:val="00426952"/>
    <w:rsid w:val="00426BA8"/>
    <w:rsid w:val="00426DA2"/>
    <w:rsid w:val="004275DE"/>
    <w:rsid w:val="00427960"/>
    <w:rsid w:val="00427DC4"/>
    <w:rsid w:val="00427E18"/>
    <w:rsid w:val="00427F0C"/>
    <w:rsid w:val="00430097"/>
    <w:rsid w:val="00430569"/>
    <w:rsid w:val="0043085B"/>
    <w:rsid w:val="0043087C"/>
    <w:rsid w:val="004308F6"/>
    <w:rsid w:val="00430932"/>
    <w:rsid w:val="0043139B"/>
    <w:rsid w:val="00431480"/>
    <w:rsid w:val="0043149C"/>
    <w:rsid w:val="00431807"/>
    <w:rsid w:val="00431A1F"/>
    <w:rsid w:val="004322CA"/>
    <w:rsid w:val="004325D5"/>
    <w:rsid w:val="0043262B"/>
    <w:rsid w:val="0043289C"/>
    <w:rsid w:val="0043292C"/>
    <w:rsid w:val="00432E4D"/>
    <w:rsid w:val="00433D8C"/>
    <w:rsid w:val="00434054"/>
    <w:rsid w:val="004343E6"/>
    <w:rsid w:val="004346AA"/>
    <w:rsid w:val="00434AE3"/>
    <w:rsid w:val="00434C7A"/>
    <w:rsid w:val="004358BF"/>
    <w:rsid w:val="004365CA"/>
    <w:rsid w:val="0043720E"/>
    <w:rsid w:val="00437277"/>
    <w:rsid w:val="00437D5B"/>
    <w:rsid w:val="00437E1E"/>
    <w:rsid w:val="00440057"/>
    <w:rsid w:val="00440060"/>
    <w:rsid w:val="00440191"/>
    <w:rsid w:val="0044035B"/>
    <w:rsid w:val="00440ADB"/>
    <w:rsid w:val="00440EA7"/>
    <w:rsid w:val="0044104F"/>
    <w:rsid w:val="004410D9"/>
    <w:rsid w:val="00441401"/>
    <w:rsid w:val="00441687"/>
    <w:rsid w:val="00441824"/>
    <w:rsid w:val="00441A38"/>
    <w:rsid w:val="004421AB"/>
    <w:rsid w:val="00442B75"/>
    <w:rsid w:val="004431F2"/>
    <w:rsid w:val="00443360"/>
    <w:rsid w:val="00443668"/>
    <w:rsid w:val="004438A9"/>
    <w:rsid w:val="00443AAC"/>
    <w:rsid w:val="00443DFA"/>
    <w:rsid w:val="004441AA"/>
    <w:rsid w:val="0044436D"/>
    <w:rsid w:val="0044465A"/>
    <w:rsid w:val="00444951"/>
    <w:rsid w:val="004452DE"/>
    <w:rsid w:val="0044544C"/>
    <w:rsid w:val="004455AE"/>
    <w:rsid w:val="00445BCB"/>
    <w:rsid w:val="00445F81"/>
    <w:rsid w:val="00446169"/>
    <w:rsid w:val="004462AA"/>
    <w:rsid w:val="00446CC5"/>
    <w:rsid w:val="00447DE3"/>
    <w:rsid w:val="00447EA0"/>
    <w:rsid w:val="004513BC"/>
    <w:rsid w:val="004515D5"/>
    <w:rsid w:val="00451730"/>
    <w:rsid w:val="00451AB8"/>
    <w:rsid w:val="00451F7C"/>
    <w:rsid w:val="00452DF8"/>
    <w:rsid w:val="00452E10"/>
    <w:rsid w:val="00453383"/>
    <w:rsid w:val="0045343F"/>
    <w:rsid w:val="00453A56"/>
    <w:rsid w:val="00453B26"/>
    <w:rsid w:val="00453BD2"/>
    <w:rsid w:val="00453CC8"/>
    <w:rsid w:val="00453CE3"/>
    <w:rsid w:val="00453EA8"/>
    <w:rsid w:val="0045409B"/>
    <w:rsid w:val="004540DE"/>
    <w:rsid w:val="004540E9"/>
    <w:rsid w:val="00454A7A"/>
    <w:rsid w:val="00454D3B"/>
    <w:rsid w:val="00454E5E"/>
    <w:rsid w:val="00454FE1"/>
    <w:rsid w:val="0045523B"/>
    <w:rsid w:val="0045537A"/>
    <w:rsid w:val="004553EC"/>
    <w:rsid w:val="00455F01"/>
    <w:rsid w:val="004567FB"/>
    <w:rsid w:val="00456CEA"/>
    <w:rsid w:val="00457123"/>
    <w:rsid w:val="0045760F"/>
    <w:rsid w:val="00457749"/>
    <w:rsid w:val="00457F47"/>
    <w:rsid w:val="004607E6"/>
    <w:rsid w:val="00460E58"/>
    <w:rsid w:val="00461286"/>
    <w:rsid w:val="00461AB1"/>
    <w:rsid w:val="004621FF"/>
    <w:rsid w:val="00462723"/>
    <w:rsid w:val="00462951"/>
    <w:rsid w:val="00462F2F"/>
    <w:rsid w:val="00463102"/>
    <w:rsid w:val="0046392C"/>
    <w:rsid w:val="004639BF"/>
    <w:rsid w:val="00463ECF"/>
    <w:rsid w:val="0046408A"/>
    <w:rsid w:val="004644C9"/>
    <w:rsid w:val="0046455A"/>
    <w:rsid w:val="004648FE"/>
    <w:rsid w:val="004660AA"/>
    <w:rsid w:val="0046643B"/>
    <w:rsid w:val="00466AF8"/>
    <w:rsid w:val="00466CED"/>
    <w:rsid w:val="004678AA"/>
    <w:rsid w:val="0047009D"/>
    <w:rsid w:val="004702B4"/>
    <w:rsid w:val="00470538"/>
    <w:rsid w:val="0047083F"/>
    <w:rsid w:val="0047180A"/>
    <w:rsid w:val="004719A9"/>
    <w:rsid w:val="00471BC0"/>
    <w:rsid w:val="00471C4F"/>
    <w:rsid w:val="00471DC2"/>
    <w:rsid w:val="00472182"/>
    <w:rsid w:val="004721A0"/>
    <w:rsid w:val="00472463"/>
    <w:rsid w:val="004725AB"/>
    <w:rsid w:val="004727FD"/>
    <w:rsid w:val="00472C3D"/>
    <w:rsid w:val="00472E6D"/>
    <w:rsid w:val="004738F2"/>
    <w:rsid w:val="00473EEE"/>
    <w:rsid w:val="0047459B"/>
    <w:rsid w:val="00474658"/>
    <w:rsid w:val="00474962"/>
    <w:rsid w:val="004750EE"/>
    <w:rsid w:val="00475D3A"/>
    <w:rsid w:val="00476974"/>
    <w:rsid w:val="0047740B"/>
    <w:rsid w:val="0047792D"/>
    <w:rsid w:val="00477977"/>
    <w:rsid w:val="00477BF5"/>
    <w:rsid w:val="00477C0A"/>
    <w:rsid w:val="00477FD7"/>
    <w:rsid w:val="00480EBE"/>
    <w:rsid w:val="00481360"/>
    <w:rsid w:val="004815D2"/>
    <w:rsid w:val="004818D4"/>
    <w:rsid w:val="00481EC1"/>
    <w:rsid w:val="0048246B"/>
    <w:rsid w:val="004828EF"/>
    <w:rsid w:val="00483119"/>
    <w:rsid w:val="004832EA"/>
    <w:rsid w:val="00483314"/>
    <w:rsid w:val="00483397"/>
    <w:rsid w:val="00483563"/>
    <w:rsid w:val="00483AC4"/>
    <w:rsid w:val="00483B46"/>
    <w:rsid w:val="00483EF8"/>
    <w:rsid w:val="00485350"/>
    <w:rsid w:val="0048559A"/>
    <w:rsid w:val="00485A12"/>
    <w:rsid w:val="00485EBE"/>
    <w:rsid w:val="004865D5"/>
    <w:rsid w:val="0048699C"/>
    <w:rsid w:val="00486FDF"/>
    <w:rsid w:val="00487038"/>
    <w:rsid w:val="00487A86"/>
    <w:rsid w:val="00487C34"/>
    <w:rsid w:val="004906E0"/>
    <w:rsid w:val="00490894"/>
    <w:rsid w:val="00490958"/>
    <w:rsid w:val="00490B8E"/>
    <w:rsid w:val="00491000"/>
    <w:rsid w:val="00491529"/>
    <w:rsid w:val="0049167B"/>
    <w:rsid w:val="004917AE"/>
    <w:rsid w:val="004917D8"/>
    <w:rsid w:val="00491F74"/>
    <w:rsid w:val="00492566"/>
    <w:rsid w:val="004926DC"/>
    <w:rsid w:val="00492AA3"/>
    <w:rsid w:val="00492F3F"/>
    <w:rsid w:val="0049319F"/>
    <w:rsid w:val="00493727"/>
    <w:rsid w:val="004946FC"/>
    <w:rsid w:val="00494AC9"/>
    <w:rsid w:val="00494BDF"/>
    <w:rsid w:val="00495059"/>
    <w:rsid w:val="00495702"/>
    <w:rsid w:val="00495967"/>
    <w:rsid w:val="00495D76"/>
    <w:rsid w:val="004967FE"/>
    <w:rsid w:val="00496AC5"/>
    <w:rsid w:val="00497046"/>
    <w:rsid w:val="004A04A9"/>
    <w:rsid w:val="004A04B3"/>
    <w:rsid w:val="004A0846"/>
    <w:rsid w:val="004A0ABB"/>
    <w:rsid w:val="004A0AD6"/>
    <w:rsid w:val="004A0D85"/>
    <w:rsid w:val="004A0DC7"/>
    <w:rsid w:val="004A101E"/>
    <w:rsid w:val="004A1C35"/>
    <w:rsid w:val="004A2120"/>
    <w:rsid w:val="004A2A90"/>
    <w:rsid w:val="004A34FF"/>
    <w:rsid w:val="004A38F2"/>
    <w:rsid w:val="004A42D6"/>
    <w:rsid w:val="004A43B9"/>
    <w:rsid w:val="004A5180"/>
    <w:rsid w:val="004A535A"/>
    <w:rsid w:val="004A53A7"/>
    <w:rsid w:val="004A586A"/>
    <w:rsid w:val="004A5D0C"/>
    <w:rsid w:val="004A603D"/>
    <w:rsid w:val="004A656C"/>
    <w:rsid w:val="004A6977"/>
    <w:rsid w:val="004A6F75"/>
    <w:rsid w:val="004B0504"/>
    <w:rsid w:val="004B0D96"/>
    <w:rsid w:val="004B0E5D"/>
    <w:rsid w:val="004B17ED"/>
    <w:rsid w:val="004B194C"/>
    <w:rsid w:val="004B194F"/>
    <w:rsid w:val="004B2011"/>
    <w:rsid w:val="004B21ED"/>
    <w:rsid w:val="004B28F2"/>
    <w:rsid w:val="004B2967"/>
    <w:rsid w:val="004B297A"/>
    <w:rsid w:val="004B2C59"/>
    <w:rsid w:val="004B2F73"/>
    <w:rsid w:val="004B311B"/>
    <w:rsid w:val="004B313B"/>
    <w:rsid w:val="004B346B"/>
    <w:rsid w:val="004B3964"/>
    <w:rsid w:val="004B3ADD"/>
    <w:rsid w:val="004B3D37"/>
    <w:rsid w:val="004B4835"/>
    <w:rsid w:val="004B48D2"/>
    <w:rsid w:val="004B5122"/>
    <w:rsid w:val="004B5536"/>
    <w:rsid w:val="004B5731"/>
    <w:rsid w:val="004B577B"/>
    <w:rsid w:val="004B5DA7"/>
    <w:rsid w:val="004B6813"/>
    <w:rsid w:val="004B69A7"/>
    <w:rsid w:val="004B7DCE"/>
    <w:rsid w:val="004C0A56"/>
    <w:rsid w:val="004C1D0A"/>
    <w:rsid w:val="004C1D2A"/>
    <w:rsid w:val="004C1E52"/>
    <w:rsid w:val="004C2081"/>
    <w:rsid w:val="004C2373"/>
    <w:rsid w:val="004C257D"/>
    <w:rsid w:val="004C2C27"/>
    <w:rsid w:val="004C3224"/>
    <w:rsid w:val="004C3A73"/>
    <w:rsid w:val="004C3D45"/>
    <w:rsid w:val="004C4402"/>
    <w:rsid w:val="004C4790"/>
    <w:rsid w:val="004C4DAE"/>
    <w:rsid w:val="004C54EC"/>
    <w:rsid w:val="004C553A"/>
    <w:rsid w:val="004C690D"/>
    <w:rsid w:val="004C6F21"/>
    <w:rsid w:val="004D00F7"/>
    <w:rsid w:val="004D0A13"/>
    <w:rsid w:val="004D0B09"/>
    <w:rsid w:val="004D0B72"/>
    <w:rsid w:val="004D105A"/>
    <w:rsid w:val="004D14A6"/>
    <w:rsid w:val="004D1774"/>
    <w:rsid w:val="004D231E"/>
    <w:rsid w:val="004D23B6"/>
    <w:rsid w:val="004D2526"/>
    <w:rsid w:val="004D2769"/>
    <w:rsid w:val="004D2A4C"/>
    <w:rsid w:val="004D2B22"/>
    <w:rsid w:val="004D3578"/>
    <w:rsid w:val="004D37DB"/>
    <w:rsid w:val="004D517F"/>
    <w:rsid w:val="004D5330"/>
    <w:rsid w:val="004D5A8C"/>
    <w:rsid w:val="004D6037"/>
    <w:rsid w:val="004D61BE"/>
    <w:rsid w:val="004D631E"/>
    <w:rsid w:val="004D63D4"/>
    <w:rsid w:val="004D68E7"/>
    <w:rsid w:val="004D7218"/>
    <w:rsid w:val="004D74CF"/>
    <w:rsid w:val="004E00B7"/>
    <w:rsid w:val="004E0353"/>
    <w:rsid w:val="004E0B37"/>
    <w:rsid w:val="004E1018"/>
    <w:rsid w:val="004E15ED"/>
    <w:rsid w:val="004E1841"/>
    <w:rsid w:val="004E18F3"/>
    <w:rsid w:val="004E1AFC"/>
    <w:rsid w:val="004E1F0C"/>
    <w:rsid w:val="004E213A"/>
    <w:rsid w:val="004E228C"/>
    <w:rsid w:val="004E2866"/>
    <w:rsid w:val="004E2950"/>
    <w:rsid w:val="004E29F3"/>
    <w:rsid w:val="004E3082"/>
    <w:rsid w:val="004E35E5"/>
    <w:rsid w:val="004E3A28"/>
    <w:rsid w:val="004E3A8D"/>
    <w:rsid w:val="004E3B68"/>
    <w:rsid w:val="004E46F6"/>
    <w:rsid w:val="004E52C0"/>
    <w:rsid w:val="004E53B0"/>
    <w:rsid w:val="004E54AE"/>
    <w:rsid w:val="004E557A"/>
    <w:rsid w:val="004E607E"/>
    <w:rsid w:val="004E60E6"/>
    <w:rsid w:val="004E6411"/>
    <w:rsid w:val="004E6AA5"/>
    <w:rsid w:val="004E6DAE"/>
    <w:rsid w:val="004E725D"/>
    <w:rsid w:val="004E7BF4"/>
    <w:rsid w:val="004E7DCA"/>
    <w:rsid w:val="004F00F9"/>
    <w:rsid w:val="004F0C02"/>
    <w:rsid w:val="004F0F5A"/>
    <w:rsid w:val="004F160C"/>
    <w:rsid w:val="004F167E"/>
    <w:rsid w:val="004F1892"/>
    <w:rsid w:val="004F1F23"/>
    <w:rsid w:val="004F1F38"/>
    <w:rsid w:val="004F21B6"/>
    <w:rsid w:val="004F29D0"/>
    <w:rsid w:val="004F33BF"/>
    <w:rsid w:val="004F3428"/>
    <w:rsid w:val="004F38B5"/>
    <w:rsid w:val="004F3C09"/>
    <w:rsid w:val="004F3EC0"/>
    <w:rsid w:val="004F456D"/>
    <w:rsid w:val="004F4935"/>
    <w:rsid w:val="004F4CBA"/>
    <w:rsid w:val="004F4DC3"/>
    <w:rsid w:val="004F4DEB"/>
    <w:rsid w:val="004F4F07"/>
    <w:rsid w:val="004F4F51"/>
    <w:rsid w:val="004F5290"/>
    <w:rsid w:val="004F560D"/>
    <w:rsid w:val="004F5996"/>
    <w:rsid w:val="004F6314"/>
    <w:rsid w:val="004F678E"/>
    <w:rsid w:val="004F6946"/>
    <w:rsid w:val="004F6C01"/>
    <w:rsid w:val="004F7C62"/>
    <w:rsid w:val="004F7C8D"/>
    <w:rsid w:val="004F7CB8"/>
    <w:rsid w:val="004F7EFB"/>
    <w:rsid w:val="005001A0"/>
    <w:rsid w:val="00500238"/>
    <w:rsid w:val="0050029A"/>
    <w:rsid w:val="0050084E"/>
    <w:rsid w:val="00500B23"/>
    <w:rsid w:val="00500FA3"/>
    <w:rsid w:val="00501535"/>
    <w:rsid w:val="00501990"/>
    <w:rsid w:val="00501FC7"/>
    <w:rsid w:val="00502BC6"/>
    <w:rsid w:val="00502D23"/>
    <w:rsid w:val="00502D4A"/>
    <w:rsid w:val="005045FF"/>
    <w:rsid w:val="005046B2"/>
    <w:rsid w:val="00504B9B"/>
    <w:rsid w:val="00504D00"/>
    <w:rsid w:val="00504D11"/>
    <w:rsid w:val="00504D7C"/>
    <w:rsid w:val="00504FE6"/>
    <w:rsid w:val="00505191"/>
    <w:rsid w:val="005059ED"/>
    <w:rsid w:val="005062BF"/>
    <w:rsid w:val="00506430"/>
    <w:rsid w:val="00506DBF"/>
    <w:rsid w:val="00507119"/>
    <w:rsid w:val="00507474"/>
    <w:rsid w:val="005074FA"/>
    <w:rsid w:val="00507C30"/>
    <w:rsid w:val="00507C46"/>
    <w:rsid w:val="00510298"/>
    <w:rsid w:val="005102ED"/>
    <w:rsid w:val="00510FD4"/>
    <w:rsid w:val="00511B58"/>
    <w:rsid w:val="00511BEF"/>
    <w:rsid w:val="00511C1D"/>
    <w:rsid w:val="00511D2E"/>
    <w:rsid w:val="00512365"/>
    <w:rsid w:val="00512529"/>
    <w:rsid w:val="00512AD8"/>
    <w:rsid w:val="00512D44"/>
    <w:rsid w:val="00512EFC"/>
    <w:rsid w:val="005133D3"/>
    <w:rsid w:val="00513482"/>
    <w:rsid w:val="00513D18"/>
    <w:rsid w:val="00514000"/>
    <w:rsid w:val="00514155"/>
    <w:rsid w:val="0051466E"/>
    <w:rsid w:val="00514E67"/>
    <w:rsid w:val="00514F65"/>
    <w:rsid w:val="00514F9A"/>
    <w:rsid w:val="00515A2E"/>
    <w:rsid w:val="00515C5D"/>
    <w:rsid w:val="00515E00"/>
    <w:rsid w:val="0051633A"/>
    <w:rsid w:val="0051638B"/>
    <w:rsid w:val="005167CA"/>
    <w:rsid w:val="00516957"/>
    <w:rsid w:val="00516B6E"/>
    <w:rsid w:val="00516E3C"/>
    <w:rsid w:val="00517984"/>
    <w:rsid w:val="00517BE8"/>
    <w:rsid w:val="0052002F"/>
    <w:rsid w:val="00520446"/>
    <w:rsid w:val="0052050A"/>
    <w:rsid w:val="0052058B"/>
    <w:rsid w:val="0052060F"/>
    <w:rsid w:val="00520AFA"/>
    <w:rsid w:val="00521401"/>
    <w:rsid w:val="0052175C"/>
    <w:rsid w:val="00521A39"/>
    <w:rsid w:val="00521BD8"/>
    <w:rsid w:val="00521D91"/>
    <w:rsid w:val="00522421"/>
    <w:rsid w:val="00522C35"/>
    <w:rsid w:val="00522D3C"/>
    <w:rsid w:val="0052316B"/>
    <w:rsid w:val="0052384E"/>
    <w:rsid w:val="00523E65"/>
    <w:rsid w:val="00523F11"/>
    <w:rsid w:val="00523F2F"/>
    <w:rsid w:val="0052415A"/>
    <w:rsid w:val="005242AF"/>
    <w:rsid w:val="005243FA"/>
    <w:rsid w:val="005246B2"/>
    <w:rsid w:val="005248B8"/>
    <w:rsid w:val="00524BE2"/>
    <w:rsid w:val="00524E6C"/>
    <w:rsid w:val="0052542E"/>
    <w:rsid w:val="005258CF"/>
    <w:rsid w:val="00525A3D"/>
    <w:rsid w:val="00525B88"/>
    <w:rsid w:val="00525EBA"/>
    <w:rsid w:val="00526792"/>
    <w:rsid w:val="00526EC2"/>
    <w:rsid w:val="0052776C"/>
    <w:rsid w:val="00527A39"/>
    <w:rsid w:val="00527EB1"/>
    <w:rsid w:val="00527FA8"/>
    <w:rsid w:val="00530270"/>
    <w:rsid w:val="0053070E"/>
    <w:rsid w:val="0053078C"/>
    <w:rsid w:val="005317CA"/>
    <w:rsid w:val="00531807"/>
    <w:rsid w:val="00531BA6"/>
    <w:rsid w:val="00531BC1"/>
    <w:rsid w:val="00532252"/>
    <w:rsid w:val="0053258E"/>
    <w:rsid w:val="00532701"/>
    <w:rsid w:val="005329C2"/>
    <w:rsid w:val="00532D9D"/>
    <w:rsid w:val="00533159"/>
    <w:rsid w:val="005331A4"/>
    <w:rsid w:val="00533410"/>
    <w:rsid w:val="00533C00"/>
    <w:rsid w:val="00533CD5"/>
    <w:rsid w:val="00533FD7"/>
    <w:rsid w:val="00534262"/>
    <w:rsid w:val="00534A4C"/>
    <w:rsid w:val="00534E2F"/>
    <w:rsid w:val="005350BF"/>
    <w:rsid w:val="005353F3"/>
    <w:rsid w:val="0053550B"/>
    <w:rsid w:val="005357EE"/>
    <w:rsid w:val="00535966"/>
    <w:rsid w:val="00535D48"/>
    <w:rsid w:val="005366F8"/>
    <w:rsid w:val="00536889"/>
    <w:rsid w:val="00536D05"/>
    <w:rsid w:val="00537998"/>
    <w:rsid w:val="00540049"/>
    <w:rsid w:val="00540132"/>
    <w:rsid w:val="0054015B"/>
    <w:rsid w:val="005402D2"/>
    <w:rsid w:val="005405DB"/>
    <w:rsid w:val="0054070B"/>
    <w:rsid w:val="005409FE"/>
    <w:rsid w:val="00540C51"/>
    <w:rsid w:val="00540ED7"/>
    <w:rsid w:val="005417EA"/>
    <w:rsid w:val="005417F6"/>
    <w:rsid w:val="00542593"/>
    <w:rsid w:val="005425D8"/>
    <w:rsid w:val="00542AD8"/>
    <w:rsid w:val="00542CF6"/>
    <w:rsid w:val="00542CFB"/>
    <w:rsid w:val="00542FBB"/>
    <w:rsid w:val="00543543"/>
    <w:rsid w:val="0054393D"/>
    <w:rsid w:val="00543BFF"/>
    <w:rsid w:val="00543E6C"/>
    <w:rsid w:val="0054410C"/>
    <w:rsid w:val="0054487D"/>
    <w:rsid w:val="00544BB1"/>
    <w:rsid w:val="00544D72"/>
    <w:rsid w:val="00544DB6"/>
    <w:rsid w:val="00544F5B"/>
    <w:rsid w:val="005452E7"/>
    <w:rsid w:val="005453DD"/>
    <w:rsid w:val="00545CA8"/>
    <w:rsid w:val="005460E9"/>
    <w:rsid w:val="00546195"/>
    <w:rsid w:val="005462E9"/>
    <w:rsid w:val="00546551"/>
    <w:rsid w:val="0054693B"/>
    <w:rsid w:val="00547494"/>
    <w:rsid w:val="005475C5"/>
    <w:rsid w:val="00547764"/>
    <w:rsid w:val="00547A21"/>
    <w:rsid w:val="00547AB8"/>
    <w:rsid w:val="00550E5E"/>
    <w:rsid w:val="00551179"/>
    <w:rsid w:val="00551E67"/>
    <w:rsid w:val="00551EE3"/>
    <w:rsid w:val="00552037"/>
    <w:rsid w:val="00552C35"/>
    <w:rsid w:val="00552DE9"/>
    <w:rsid w:val="00552E4F"/>
    <w:rsid w:val="0055356F"/>
    <w:rsid w:val="00553CD5"/>
    <w:rsid w:val="00553F5E"/>
    <w:rsid w:val="005544FE"/>
    <w:rsid w:val="00554877"/>
    <w:rsid w:val="00554B3B"/>
    <w:rsid w:val="00554EAF"/>
    <w:rsid w:val="00555709"/>
    <w:rsid w:val="00555931"/>
    <w:rsid w:val="00555CAD"/>
    <w:rsid w:val="00555DC4"/>
    <w:rsid w:val="005566B0"/>
    <w:rsid w:val="00556DFA"/>
    <w:rsid w:val="00556F3F"/>
    <w:rsid w:val="00557048"/>
    <w:rsid w:val="0055735C"/>
    <w:rsid w:val="005575DD"/>
    <w:rsid w:val="00557603"/>
    <w:rsid w:val="00557F46"/>
    <w:rsid w:val="0056015D"/>
    <w:rsid w:val="00560420"/>
    <w:rsid w:val="0056089B"/>
    <w:rsid w:val="00560DF8"/>
    <w:rsid w:val="00561433"/>
    <w:rsid w:val="00561489"/>
    <w:rsid w:val="0056180A"/>
    <w:rsid w:val="00561E3F"/>
    <w:rsid w:val="0056201D"/>
    <w:rsid w:val="0056216A"/>
    <w:rsid w:val="005622D2"/>
    <w:rsid w:val="00562338"/>
    <w:rsid w:val="005628FC"/>
    <w:rsid w:val="00562A48"/>
    <w:rsid w:val="005633BE"/>
    <w:rsid w:val="00563450"/>
    <w:rsid w:val="00563A2F"/>
    <w:rsid w:val="00563FCC"/>
    <w:rsid w:val="005644CA"/>
    <w:rsid w:val="0056466C"/>
    <w:rsid w:val="00564ABD"/>
    <w:rsid w:val="00565087"/>
    <w:rsid w:val="0056586A"/>
    <w:rsid w:val="00565A7B"/>
    <w:rsid w:val="00566120"/>
    <w:rsid w:val="005661BA"/>
    <w:rsid w:val="005662AF"/>
    <w:rsid w:val="00566B11"/>
    <w:rsid w:val="00566B23"/>
    <w:rsid w:val="00566E54"/>
    <w:rsid w:val="00567BEF"/>
    <w:rsid w:val="00567C0B"/>
    <w:rsid w:val="00570656"/>
    <w:rsid w:val="00570AAB"/>
    <w:rsid w:val="00570F8F"/>
    <w:rsid w:val="00571359"/>
    <w:rsid w:val="00571A69"/>
    <w:rsid w:val="0057204F"/>
    <w:rsid w:val="0057224D"/>
    <w:rsid w:val="0057236E"/>
    <w:rsid w:val="005726D6"/>
    <w:rsid w:val="0057272A"/>
    <w:rsid w:val="00572BCC"/>
    <w:rsid w:val="005735DB"/>
    <w:rsid w:val="005736C2"/>
    <w:rsid w:val="00573979"/>
    <w:rsid w:val="00573AB1"/>
    <w:rsid w:val="00573ED1"/>
    <w:rsid w:val="00574101"/>
    <w:rsid w:val="005741EB"/>
    <w:rsid w:val="005747CE"/>
    <w:rsid w:val="00574B65"/>
    <w:rsid w:val="00574BB6"/>
    <w:rsid w:val="00574BF8"/>
    <w:rsid w:val="00574EDA"/>
    <w:rsid w:val="005755EA"/>
    <w:rsid w:val="005759BE"/>
    <w:rsid w:val="00575BD1"/>
    <w:rsid w:val="00575DA1"/>
    <w:rsid w:val="00576037"/>
    <w:rsid w:val="00577AF2"/>
    <w:rsid w:val="0058056B"/>
    <w:rsid w:val="00580B49"/>
    <w:rsid w:val="0058111C"/>
    <w:rsid w:val="0058198C"/>
    <w:rsid w:val="00581A01"/>
    <w:rsid w:val="00582489"/>
    <w:rsid w:val="0058254C"/>
    <w:rsid w:val="005825DD"/>
    <w:rsid w:val="00582ADB"/>
    <w:rsid w:val="00582B6F"/>
    <w:rsid w:val="00582DA3"/>
    <w:rsid w:val="005834A1"/>
    <w:rsid w:val="00583B0C"/>
    <w:rsid w:val="005843E3"/>
    <w:rsid w:val="00584DAB"/>
    <w:rsid w:val="005851A4"/>
    <w:rsid w:val="005863D2"/>
    <w:rsid w:val="00586710"/>
    <w:rsid w:val="00586E27"/>
    <w:rsid w:val="005871A3"/>
    <w:rsid w:val="0058732A"/>
    <w:rsid w:val="0058753E"/>
    <w:rsid w:val="00587AB0"/>
    <w:rsid w:val="00590168"/>
    <w:rsid w:val="0059041D"/>
    <w:rsid w:val="00590773"/>
    <w:rsid w:val="00590EB5"/>
    <w:rsid w:val="00590F2D"/>
    <w:rsid w:val="00591D67"/>
    <w:rsid w:val="005926E1"/>
    <w:rsid w:val="0059291B"/>
    <w:rsid w:val="00593338"/>
    <w:rsid w:val="00593EE8"/>
    <w:rsid w:val="005942F0"/>
    <w:rsid w:val="005944B8"/>
    <w:rsid w:val="00594673"/>
    <w:rsid w:val="00594761"/>
    <w:rsid w:val="00594C90"/>
    <w:rsid w:val="00594EE3"/>
    <w:rsid w:val="00594FF5"/>
    <w:rsid w:val="00595987"/>
    <w:rsid w:val="00595CCE"/>
    <w:rsid w:val="00596072"/>
    <w:rsid w:val="005963AE"/>
    <w:rsid w:val="005963ED"/>
    <w:rsid w:val="0059650F"/>
    <w:rsid w:val="00596747"/>
    <w:rsid w:val="0059691A"/>
    <w:rsid w:val="005972CA"/>
    <w:rsid w:val="00597350"/>
    <w:rsid w:val="00597462"/>
    <w:rsid w:val="00597B88"/>
    <w:rsid w:val="00597E3C"/>
    <w:rsid w:val="005A0526"/>
    <w:rsid w:val="005A0619"/>
    <w:rsid w:val="005A0660"/>
    <w:rsid w:val="005A0B16"/>
    <w:rsid w:val="005A0B69"/>
    <w:rsid w:val="005A0C70"/>
    <w:rsid w:val="005A14F3"/>
    <w:rsid w:val="005A17FD"/>
    <w:rsid w:val="005A182A"/>
    <w:rsid w:val="005A1C6B"/>
    <w:rsid w:val="005A1C83"/>
    <w:rsid w:val="005A2541"/>
    <w:rsid w:val="005A2ADA"/>
    <w:rsid w:val="005A330F"/>
    <w:rsid w:val="005A364C"/>
    <w:rsid w:val="005A3B8F"/>
    <w:rsid w:val="005A3E7C"/>
    <w:rsid w:val="005A44EF"/>
    <w:rsid w:val="005A452B"/>
    <w:rsid w:val="005A4619"/>
    <w:rsid w:val="005A560B"/>
    <w:rsid w:val="005A5CD4"/>
    <w:rsid w:val="005A5E23"/>
    <w:rsid w:val="005A6217"/>
    <w:rsid w:val="005A62D0"/>
    <w:rsid w:val="005A6754"/>
    <w:rsid w:val="005A6996"/>
    <w:rsid w:val="005A6B50"/>
    <w:rsid w:val="005A6BEE"/>
    <w:rsid w:val="005A6D6D"/>
    <w:rsid w:val="005A6F85"/>
    <w:rsid w:val="005A70D9"/>
    <w:rsid w:val="005A735C"/>
    <w:rsid w:val="005B01CB"/>
    <w:rsid w:val="005B087C"/>
    <w:rsid w:val="005B0BF0"/>
    <w:rsid w:val="005B0E0A"/>
    <w:rsid w:val="005B106D"/>
    <w:rsid w:val="005B2DDD"/>
    <w:rsid w:val="005B2DE2"/>
    <w:rsid w:val="005B361D"/>
    <w:rsid w:val="005B3B05"/>
    <w:rsid w:val="005B3FA7"/>
    <w:rsid w:val="005B417F"/>
    <w:rsid w:val="005B4709"/>
    <w:rsid w:val="005B4FF8"/>
    <w:rsid w:val="005B5782"/>
    <w:rsid w:val="005B5C57"/>
    <w:rsid w:val="005B5C68"/>
    <w:rsid w:val="005B5C6E"/>
    <w:rsid w:val="005B5F9F"/>
    <w:rsid w:val="005B6093"/>
    <w:rsid w:val="005B6215"/>
    <w:rsid w:val="005B62A8"/>
    <w:rsid w:val="005B636B"/>
    <w:rsid w:val="005B6C72"/>
    <w:rsid w:val="005B6D9C"/>
    <w:rsid w:val="005B6FFA"/>
    <w:rsid w:val="005B74DE"/>
    <w:rsid w:val="005B76A5"/>
    <w:rsid w:val="005B7A31"/>
    <w:rsid w:val="005B7AAC"/>
    <w:rsid w:val="005B7C3F"/>
    <w:rsid w:val="005B7DA7"/>
    <w:rsid w:val="005B7F12"/>
    <w:rsid w:val="005C0F76"/>
    <w:rsid w:val="005C1D5C"/>
    <w:rsid w:val="005C285F"/>
    <w:rsid w:val="005C2A29"/>
    <w:rsid w:val="005C2DB3"/>
    <w:rsid w:val="005C2F87"/>
    <w:rsid w:val="005C3293"/>
    <w:rsid w:val="005C368A"/>
    <w:rsid w:val="005C3896"/>
    <w:rsid w:val="005C3934"/>
    <w:rsid w:val="005C3F0F"/>
    <w:rsid w:val="005C4074"/>
    <w:rsid w:val="005C4BA5"/>
    <w:rsid w:val="005C4DA9"/>
    <w:rsid w:val="005C53A2"/>
    <w:rsid w:val="005C5714"/>
    <w:rsid w:val="005C5BAE"/>
    <w:rsid w:val="005C5BD2"/>
    <w:rsid w:val="005C5C80"/>
    <w:rsid w:val="005C5E4A"/>
    <w:rsid w:val="005C63A7"/>
    <w:rsid w:val="005C6810"/>
    <w:rsid w:val="005C68D7"/>
    <w:rsid w:val="005C6999"/>
    <w:rsid w:val="005C6ABA"/>
    <w:rsid w:val="005C7400"/>
    <w:rsid w:val="005C7486"/>
    <w:rsid w:val="005C773B"/>
    <w:rsid w:val="005D0444"/>
    <w:rsid w:val="005D05C0"/>
    <w:rsid w:val="005D09CE"/>
    <w:rsid w:val="005D0FA3"/>
    <w:rsid w:val="005D0FCC"/>
    <w:rsid w:val="005D109A"/>
    <w:rsid w:val="005D126D"/>
    <w:rsid w:val="005D14AA"/>
    <w:rsid w:val="005D1608"/>
    <w:rsid w:val="005D1CA7"/>
    <w:rsid w:val="005D27A4"/>
    <w:rsid w:val="005D28AF"/>
    <w:rsid w:val="005D2B05"/>
    <w:rsid w:val="005D2DE1"/>
    <w:rsid w:val="005D2E01"/>
    <w:rsid w:val="005D3024"/>
    <w:rsid w:val="005D30DA"/>
    <w:rsid w:val="005D3B61"/>
    <w:rsid w:val="005D3B74"/>
    <w:rsid w:val="005D3D60"/>
    <w:rsid w:val="005D3D76"/>
    <w:rsid w:val="005D4F6B"/>
    <w:rsid w:val="005D51FE"/>
    <w:rsid w:val="005D5AB8"/>
    <w:rsid w:val="005D5EB1"/>
    <w:rsid w:val="005D6909"/>
    <w:rsid w:val="005D70FE"/>
    <w:rsid w:val="005D75B6"/>
    <w:rsid w:val="005D7726"/>
    <w:rsid w:val="005D77F1"/>
    <w:rsid w:val="005D78E0"/>
    <w:rsid w:val="005D7FC1"/>
    <w:rsid w:val="005E00EB"/>
    <w:rsid w:val="005E06C5"/>
    <w:rsid w:val="005E070E"/>
    <w:rsid w:val="005E0F8D"/>
    <w:rsid w:val="005E2566"/>
    <w:rsid w:val="005E2930"/>
    <w:rsid w:val="005E29C3"/>
    <w:rsid w:val="005E2A26"/>
    <w:rsid w:val="005E2BFD"/>
    <w:rsid w:val="005E2C1B"/>
    <w:rsid w:val="005E2E5F"/>
    <w:rsid w:val="005E31FC"/>
    <w:rsid w:val="005E35ED"/>
    <w:rsid w:val="005E3892"/>
    <w:rsid w:val="005E3B15"/>
    <w:rsid w:val="005E3E74"/>
    <w:rsid w:val="005E42C2"/>
    <w:rsid w:val="005E4D60"/>
    <w:rsid w:val="005E5265"/>
    <w:rsid w:val="005E5269"/>
    <w:rsid w:val="005E53DA"/>
    <w:rsid w:val="005E542A"/>
    <w:rsid w:val="005E5A27"/>
    <w:rsid w:val="005E5DBA"/>
    <w:rsid w:val="005E7558"/>
    <w:rsid w:val="005E75B4"/>
    <w:rsid w:val="005E7724"/>
    <w:rsid w:val="005F03D0"/>
    <w:rsid w:val="005F05E6"/>
    <w:rsid w:val="005F0B0B"/>
    <w:rsid w:val="005F13A3"/>
    <w:rsid w:val="005F150E"/>
    <w:rsid w:val="005F1FCC"/>
    <w:rsid w:val="005F1FD6"/>
    <w:rsid w:val="005F2252"/>
    <w:rsid w:val="005F26B4"/>
    <w:rsid w:val="005F2FD8"/>
    <w:rsid w:val="005F3259"/>
    <w:rsid w:val="005F401B"/>
    <w:rsid w:val="005F404D"/>
    <w:rsid w:val="005F4734"/>
    <w:rsid w:val="005F4883"/>
    <w:rsid w:val="005F4AE0"/>
    <w:rsid w:val="005F5AC2"/>
    <w:rsid w:val="005F5D73"/>
    <w:rsid w:val="005F5F6F"/>
    <w:rsid w:val="005F60BC"/>
    <w:rsid w:val="005F60F2"/>
    <w:rsid w:val="005F62B9"/>
    <w:rsid w:val="005F6BFB"/>
    <w:rsid w:val="005F7142"/>
    <w:rsid w:val="005F7703"/>
    <w:rsid w:val="005F77BA"/>
    <w:rsid w:val="005F78F1"/>
    <w:rsid w:val="005F7CEB"/>
    <w:rsid w:val="005F7DA0"/>
    <w:rsid w:val="006002B1"/>
    <w:rsid w:val="0060031D"/>
    <w:rsid w:val="00600E32"/>
    <w:rsid w:val="006013DF"/>
    <w:rsid w:val="00601767"/>
    <w:rsid w:val="00601DDF"/>
    <w:rsid w:val="00602FDD"/>
    <w:rsid w:val="0060391B"/>
    <w:rsid w:val="00603E61"/>
    <w:rsid w:val="006045F3"/>
    <w:rsid w:val="00604EAA"/>
    <w:rsid w:val="00605310"/>
    <w:rsid w:val="0060579B"/>
    <w:rsid w:val="00606855"/>
    <w:rsid w:val="00610161"/>
    <w:rsid w:val="006102B6"/>
    <w:rsid w:val="00610503"/>
    <w:rsid w:val="006105C5"/>
    <w:rsid w:val="006108E8"/>
    <w:rsid w:val="0061107F"/>
    <w:rsid w:val="006114E7"/>
    <w:rsid w:val="00611A6E"/>
    <w:rsid w:val="00611BFD"/>
    <w:rsid w:val="00611DD3"/>
    <w:rsid w:val="00611EFE"/>
    <w:rsid w:val="00612083"/>
    <w:rsid w:val="006120E0"/>
    <w:rsid w:val="006128D9"/>
    <w:rsid w:val="006130F5"/>
    <w:rsid w:val="00613806"/>
    <w:rsid w:val="00613833"/>
    <w:rsid w:val="006138D7"/>
    <w:rsid w:val="00613ED7"/>
    <w:rsid w:val="006146B4"/>
    <w:rsid w:val="00614E1C"/>
    <w:rsid w:val="00614FDF"/>
    <w:rsid w:val="00615352"/>
    <w:rsid w:val="00615527"/>
    <w:rsid w:val="00615F7D"/>
    <w:rsid w:val="0061614E"/>
    <w:rsid w:val="006161C4"/>
    <w:rsid w:val="00616CA6"/>
    <w:rsid w:val="00616E57"/>
    <w:rsid w:val="00617195"/>
    <w:rsid w:val="00617287"/>
    <w:rsid w:val="006173C5"/>
    <w:rsid w:val="006175CD"/>
    <w:rsid w:val="006179E7"/>
    <w:rsid w:val="00617F77"/>
    <w:rsid w:val="00620134"/>
    <w:rsid w:val="00620649"/>
    <w:rsid w:val="00620B65"/>
    <w:rsid w:val="00620E9C"/>
    <w:rsid w:val="00621303"/>
    <w:rsid w:val="00621C59"/>
    <w:rsid w:val="00621F8E"/>
    <w:rsid w:val="00622142"/>
    <w:rsid w:val="00622991"/>
    <w:rsid w:val="00622CB1"/>
    <w:rsid w:val="00622DCE"/>
    <w:rsid w:val="006237A3"/>
    <w:rsid w:val="00623C61"/>
    <w:rsid w:val="00623C77"/>
    <w:rsid w:val="00623E20"/>
    <w:rsid w:val="00624162"/>
    <w:rsid w:val="00624E99"/>
    <w:rsid w:val="006250D5"/>
    <w:rsid w:val="00625885"/>
    <w:rsid w:val="00625A9D"/>
    <w:rsid w:val="006260AE"/>
    <w:rsid w:val="0062636C"/>
    <w:rsid w:val="006264BC"/>
    <w:rsid w:val="00626587"/>
    <w:rsid w:val="00626849"/>
    <w:rsid w:val="00627110"/>
    <w:rsid w:val="0063057E"/>
    <w:rsid w:val="00630D94"/>
    <w:rsid w:val="00630DAD"/>
    <w:rsid w:val="00631286"/>
    <w:rsid w:val="00631428"/>
    <w:rsid w:val="006315F5"/>
    <w:rsid w:val="00631954"/>
    <w:rsid w:val="00631981"/>
    <w:rsid w:val="00631B7E"/>
    <w:rsid w:val="00632242"/>
    <w:rsid w:val="0063261C"/>
    <w:rsid w:val="00632985"/>
    <w:rsid w:val="0063299D"/>
    <w:rsid w:val="00632F4B"/>
    <w:rsid w:val="00634EBF"/>
    <w:rsid w:val="00634EEA"/>
    <w:rsid w:val="006353B5"/>
    <w:rsid w:val="00635A03"/>
    <w:rsid w:val="00635A74"/>
    <w:rsid w:val="00635CA3"/>
    <w:rsid w:val="00636225"/>
    <w:rsid w:val="00636608"/>
    <w:rsid w:val="00636720"/>
    <w:rsid w:val="0063683E"/>
    <w:rsid w:val="00637612"/>
    <w:rsid w:val="00637B3F"/>
    <w:rsid w:val="00640372"/>
    <w:rsid w:val="006404C4"/>
    <w:rsid w:val="006405D4"/>
    <w:rsid w:val="0064063E"/>
    <w:rsid w:val="00640B75"/>
    <w:rsid w:val="00641258"/>
    <w:rsid w:val="006412DE"/>
    <w:rsid w:val="00641735"/>
    <w:rsid w:val="00641C5D"/>
    <w:rsid w:val="0064210C"/>
    <w:rsid w:val="00642FFA"/>
    <w:rsid w:val="00643031"/>
    <w:rsid w:val="006431D8"/>
    <w:rsid w:val="006438F3"/>
    <w:rsid w:val="00643D66"/>
    <w:rsid w:val="00643F04"/>
    <w:rsid w:val="0064493E"/>
    <w:rsid w:val="006450B5"/>
    <w:rsid w:val="006452E6"/>
    <w:rsid w:val="00646271"/>
    <w:rsid w:val="006462AB"/>
    <w:rsid w:val="006463DA"/>
    <w:rsid w:val="00646577"/>
    <w:rsid w:val="00646B28"/>
    <w:rsid w:val="00646BD5"/>
    <w:rsid w:val="00646CE8"/>
    <w:rsid w:val="00647CB6"/>
    <w:rsid w:val="00650764"/>
    <w:rsid w:val="00650ADB"/>
    <w:rsid w:val="00650C22"/>
    <w:rsid w:val="00651277"/>
    <w:rsid w:val="0065135B"/>
    <w:rsid w:val="006515D1"/>
    <w:rsid w:val="0065178A"/>
    <w:rsid w:val="00651CF3"/>
    <w:rsid w:val="00651FAB"/>
    <w:rsid w:val="0065251F"/>
    <w:rsid w:val="006525A9"/>
    <w:rsid w:val="006527F8"/>
    <w:rsid w:val="00652D6E"/>
    <w:rsid w:val="00653294"/>
    <w:rsid w:val="00653A16"/>
    <w:rsid w:val="00653D27"/>
    <w:rsid w:val="00654044"/>
    <w:rsid w:val="006545FE"/>
    <w:rsid w:val="00654AB3"/>
    <w:rsid w:val="006555AC"/>
    <w:rsid w:val="006556E8"/>
    <w:rsid w:val="006563AC"/>
    <w:rsid w:val="00656608"/>
    <w:rsid w:val="00656736"/>
    <w:rsid w:val="00656A29"/>
    <w:rsid w:val="00656F06"/>
    <w:rsid w:val="00657179"/>
    <w:rsid w:val="006572BB"/>
    <w:rsid w:val="00657AC2"/>
    <w:rsid w:val="00660297"/>
    <w:rsid w:val="00660404"/>
    <w:rsid w:val="006607F1"/>
    <w:rsid w:val="00660BA2"/>
    <w:rsid w:val="00660C09"/>
    <w:rsid w:val="00660F48"/>
    <w:rsid w:val="00660F52"/>
    <w:rsid w:val="00661094"/>
    <w:rsid w:val="006615B2"/>
    <w:rsid w:val="00661DF7"/>
    <w:rsid w:val="0066202B"/>
    <w:rsid w:val="00662159"/>
    <w:rsid w:val="006627E2"/>
    <w:rsid w:val="00662896"/>
    <w:rsid w:val="00662F0B"/>
    <w:rsid w:val="006630B7"/>
    <w:rsid w:val="0066310A"/>
    <w:rsid w:val="0066330F"/>
    <w:rsid w:val="00663341"/>
    <w:rsid w:val="00664302"/>
    <w:rsid w:val="00664C8A"/>
    <w:rsid w:val="00664DE5"/>
    <w:rsid w:val="00664FE9"/>
    <w:rsid w:val="00665009"/>
    <w:rsid w:val="006651AF"/>
    <w:rsid w:val="00665499"/>
    <w:rsid w:val="0066553A"/>
    <w:rsid w:val="00665760"/>
    <w:rsid w:val="00665F20"/>
    <w:rsid w:val="00665F69"/>
    <w:rsid w:val="006665ED"/>
    <w:rsid w:val="00666817"/>
    <w:rsid w:val="00666FE3"/>
    <w:rsid w:val="006671FE"/>
    <w:rsid w:val="0066727B"/>
    <w:rsid w:val="006672A4"/>
    <w:rsid w:val="00670A99"/>
    <w:rsid w:val="00670D4D"/>
    <w:rsid w:val="00670E7E"/>
    <w:rsid w:val="00670EB5"/>
    <w:rsid w:val="006711E5"/>
    <w:rsid w:val="00672264"/>
    <w:rsid w:val="00672941"/>
    <w:rsid w:val="00672FC3"/>
    <w:rsid w:val="00673493"/>
    <w:rsid w:val="00673620"/>
    <w:rsid w:val="00673A22"/>
    <w:rsid w:val="00673CC2"/>
    <w:rsid w:val="00673FAC"/>
    <w:rsid w:val="00674122"/>
    <w:rsid w:val="006741FF"/>
    <w:rsid w:val="0067441C"/>
    <w:rsid w:val="00674531"/>
    <w:rsid w:val="00676E0D"/>
    <w:rsid w:val="00676EC0"/>
    <w:rsid w:val="006771F4"/>
    <w:rsid w:val="006773A2"/>
    <w:rsid w:val="0067767F"/>
    <w:rsid w:val="006776FF"/>
    <w:rsid w:val="00677B71"/>
    <w:rsid w:val="00677F49"/>
    <w:rsid w:val="00677FB3"/>
    <w:rsid w:val="0068060E"/>
    <w:rsid w:val="00680D94"/>
    <w:rsid w:val="00681126"/>
    <w:rsid w:val="006814D5"/>
    <w:rsid w:val="006817C6"/>
    <w:rsid w:val="006817F5"/>
    <w:rsid w:val="00681A77"/>
    <w:rsid w:val="00682BAB"/>
    <w:rsid w:val="0068318C"/>
    <w:rsid w:val="006831C0"/>
    <w:rsid w:val="006831D6"/>
    <w:rsid w:val="006832F1"/>
    <w:rsid w:val="0068347F"/>
    <w:rsid w:val="0068360C"/>
    <w:rsid w:val="006838A3"/>
    <w:rsid w:val="00683C74"/>
    <w:rsid w:val="00683CD6"/>
    <w:rsid w:val="0068440F"/>
    <w:rsid w:val="00684736"/>
    <w:rsid w:val="0068480F"/>
    <w:rsid w:val="006848D9"/>
    <w:rsid w:val="00684938"/>
    <w:rsid w:val="006849BB"/>
    <w:rsid w:val="00684D0F"/>
    <w:rsid w:val="0068506D"/>
    <w:rsid w:val="0068516D"/>
    <w:rsid w:val="00685C06"/>
    <w:rsid w:val="00685D6A"/>
    <w:rsid w:val="00685D97"/>
    <w:rsid w:val="006860BA"/>
    <w:rsid w:val="006861B3"/>
    <w:rsid w:val="00686485"/>
    <w:rsid w:val="006866B6"/>
    <w:rsid w:val="00686822"/>
    <w:rsid w:val="00687CBF"/>
    <w:rsid w:val="006904E1"/>
    <w:rsid w:val="0069088B"/>
    <w:rsid w:val="00690C97"/>
    <w:rsid w:val="00691237"/>
    <w:rsid w:val="00691C24"/>
    <w:rsid w:val="00692694"/>
    <w:rsid w:val="006928FA"/>
    <w:rsid w:val="00692FB9"/>
    <w:rsid w:val="00693016"/>
    <w:rsid w:val="0069307D"/>
    <w:rsid w:val="00693321"/>
    <w:rsid w:val="00693677"/>
    <w:rsid w:val="0069409B"/>
    <w:rsid w:val="0069451B"/>
    <w:rsid w:val="00694A63"/>
    <w:rsid w:val="00694F00"/>
    <w:rsid w:val="00694F09"/>
    <w:rsid w:val="00694FED"/>
    <w:rsid w:val="006954DA"/>
    <w:rsid w:val="00695509"/>
    <w:rsid w:val="00695894"/>
    <w:rsid w:val="006959EE"/>
    <w:rsid w:val="00695BC3"/>
    <w:rsid w:val="00695BD5"/>
    <w:rsid w:val="00695CD0"/>
    <w:rsid w:val="00695FB0"/>
    <w:rsid w:val="0069638F"/>
    <w:rsid w:val="0069666C"/>
    <w:rsid w:val="00696E18"/>
    <w:rsid w:val="006973F1"/>
    <w:rsid w:val="0069740B"/>
    <w:rsid w:val="006977B7"/>
    <w:rsid w:val="00697EFD"/>
    <w:rsid w:val="006A00C3"/>
    <w:rsid w:val="006A06DE"/>
    <w:rsid w:val="006A095E"/>
    <w:rsid w:val="006A0A02"/>
    <w:rsid w:val="006A1E16"/>
    <w:rsid w:val="006A1E59"/>
    <w:rsid w:val="006A1EA7"/>
    <w:rsid w:val="006A21BC"/>
    <w:rsid w:val="006A260E"/>
    <w:rsid w:val="006A2F3B"/>
    <w:rsid w:val="006A30CF"/>
    <w:rsid w:val="006A324A"/>
    <w:rsid w:val="006A3A7F"/>
    <w:rsid w:val="006A43B8"/>
    <w:rsid w:val="006A4494"/>
    <w:rsid w:val="006A46B8"/>
    <w:rsid w:val="006A4B07"/>
    <w:rsid w:val="006A50C1"/>
    <w:rsid w:val="006A53F7"/>
    <w:rsid w:val="006A5E6E"/>
    <w:rsid w:val="006A672C"/>
    <w:rsid w:val="006A673C"/>
    <w:rsid w:val="006A6BCD"/>
    <w:rsid w:val="006A75DF"/>
    <w:rsid w:val="006A7896"/>
    <w:rsid w:val="006B0035"/>
    <w:rsid w:val="006B0357"/>
    <w:rsid w:val="006B1D90"/>
    <w:rsid w:val="006B25FE"/>
    <w:rsid w:val="006B29D4"/>
    <w:rsid w:val="006B2BE3"/>
    <w:rsid w:val="006B30F9"/>
    <w:rsid w:val="006B378F"/>
    <w:rsid w:val="006B3C59"/>
    <w:rsid w:val="006B40DB"/>
    <w:rsid w:val="006B45F9"/>
    <w:rsid w:val="006B4B81"/>
    <w:rsid w:val="006B4E28"/>
    <w:rsid w:val="006B526A"/>
    <w:rsid w:val="006B553E"/>
    <w:rsid w:val="006B5766"/>
    <w:rsid w:val="006B5F9E"/>
    <w:rsid w:val="006B6219"/>
    <w:rsid w:val="006B633C"/>
    <w:rsid w:val="006B6821"/>
    <w:rsid w:val="006B6AB6"/>
    <w:rsid w:val="006B6C22"/>
    <w:rsid w:val="006B6C8E"/>
    <w:rsid w:val="006B73A1"/>
    <w:rsid w:val="006B7965"/>
    <w:rsid w:val="006B79CA"/>
    <w:rsid w:val="006B7B72"/>
    <w:rsid w:val="006B7BB8"/>
    <w:rsid w:val="006B7EF6"/>
    <w:rsid w:val="006C0021"/>
    <w:rsid w:val="006C1B26"/>
    <w:rsid w:val="006C1D66"/>
    <w:rsid w:val="006C1DF2"/>
    <w:rsid w:val="006C1E09"/>
    <w:rsid w:val="006C34E7"/>
    <w:rsid w:val="006C377F"/>
    <w:rsid w:val="006C3C6E"/>
    <w:rsid w:val="006C41E4"/>
    <w:rsid w:val="006C48C2"/>
    <w:rsid w:val="006C505F"/>
    <w:rsid w:val="006C526C"/>
    <w:rsid w:val="006C5786"/>
    <w:rsid w:val="006C59B0"/>
    <w:rsid w:val="006C65BE"/>
    <w:rsid w:val="006C6D4F"/>
    <w:rsid w:val="006C70FD"/>
    <w:rsid w:val="006C7330"/>
    <w:rsid w:val="006C77E7"/>
    <w:rsid w:val="006C7CC4"/>
    <w:rsid w:val="006C7E10"/>
    <w:rsid w:val="006D0161"/>
    <w:rsid w:val="006D02AC"/>
    <w:rsid w:val="006D0496"/>
    <w:rsid w:val="006D0D04"/>
    <w:rsid w:val="006D1AC2"/>
    <w:rsid w:val="006D1C24"/>
    <w:rsid w:val="006D1FFC"/>
    <w:rsid w:val="006D276E"/>
    <w:rsid w:val="006D309A"/>
    <w:rsid w:val="006D40C2"/>
    <w:rsid w:val="006D4375"/>
    <w:rsid w:val="006D4B24"/>
    <w:rsid w:val="006D4C27"/>
    <w:rsid w:val="006D4CDA"/>
    <w:rsid w:val="006D535E"/>
    <w:rsid w:val="006D57C7"/>
    <w:rsid w:val="006D5AFD"/>
    <w:rsid w:val="006D5B03"/>
    <w:rsid w:val="006D62F3"/>
    <w:rsid w:val="006D657C"/>
    <w:rsid w:val="006D68BB"/>
    <w:rsid w:val="006D702B"/>
    <w:rsid w:val="006D7101"/>
    <w:rsid w:val="006D781F"/>
    <w:rsid w:val="006D7A16"/>
    <w:rsid w:val="006E038C"/>
    <w:rsid w:val="006E1B52"/>
    <w:rsid w:val="006E1E1F"/>
    <w:rsid w:val="006E238D"/>
    <w:rsid w:val="006E2918"/>
    <w:rsid w:val="006E2AFB"/>
    <w:rsid w:val="006E2CDF"/>
    <w:rsid w:val="006E328F"/>
    <w:rsid w:val="006E40BC"/>
    <w:rsid w:val="006E4329"/>
    <w:rsid w:val="006E4420"/>
    <w:rsid w:val="006E4C2E"/>
    <w:rsid w:val="006E4E54"/>
    <w:rsid w:val="006E5396"/>
    <w:rsid w:val="006E59FD"/>
    <w:rsid w:val="006E6128"/>
    <w:rsid w:val="006E66CE"/>
    <w:rsid w:val="006E66F3"/>
    <w:rsid w:val="006E70AF"/>
    <w:rsid w:val="006E745F"/>
    <w:rsid w:val="006E75C8"/>
    <w:rsid w:val="006E789F"/>
    <w:rsid w:val="006E7B82"/>
    <w:rsid w:val="006F00B8"/>
    <w:rsid w:val="006F0256"/>
    <w:rsid w:val="006F0283"/>
    <w:rsid w:val="006F049D"/>
    <w:rsid w:val="006F0C5E"/>
    <w:rsid w:val="006F0D16"/>
    <w:rsid w:val="006F131B"/>
    <w:rsid w:val="006F16C7"/>
    <w:rsid w:val="006F2295"/>
    <w:rsid w:val="006F2814"/>
    <w:rsid w:val="006F392A"/>
    <w:rsid w:val="006F3D00"/>
    <w:rsid w:val="006F3F46"/>
    <w:rsid w:val="006F4839"/>
    <w:rsid w:val="006F48CD"/>
    <w:rsid w:val="006F4DBB"/>
    <w:rsid w:val="006F5163"/>
    <w:rsid w:val="006F54E2"/>
    <w:rsid w:val="006F582D"/>
    <w:rsid w:val="006F59DA"/>
    <w:rsid w:val="006F5E30"/>
    <w:rsid w:val="006F5F9E"/>
    <w:rsid w:val="006F65FC"/>
    <w:rsid w:val="006F698B"/>
    <w:rsid w:val="006F6B55"/>
    <w:rsid w:val="006F6E1D"/>
    <w:rsid w:val="006F76FB"/>
    <w:rsid w:val="00700D25"/>
    <w:rsid w:val="00700EAC"/>
    <w:rsid w:val="007013CE"/>
    <w:rsid w:val="0070157F"/>
    <w:rsid w:val="00702783"/>
    <w:rsid w:val="007030C4"/>
    <w:rsid w:val="007031A2"/>
    <w:rsid w:val="00703298"/>
    <w:rsid w:val="00703968"/>
    <w:rsid w:val="00703A65"/>
    <w:rsid w:val="00703C9B"/>
    <w:rsid w:val="00703F01"/>
    <w:rsid w:val="00704393"/>
    <w:rsid w:val="00704481"/>
    <w:rsid w:val="007044A2"/>
    <w:rsid w:val="0070469C"/>
    <w:rsid w:val="007046F9"/>
    <w:rsid w:val="00704AE7"/>
    <w:rsid w:val="00704CDD"/>
    <w:rsid w:val="00704E2F"/>
    <w:rsid w:val="00704F4F"/>
    <w:rsid w:val="00704F5A"/>
    <w:rsid w:val="007051AC"/>
    <w:rsid w:val="0070581B"/>
    <w:rsid w:val="0070595A"/>
    <w:rsid w:val="007059CB"/>
    <w:rsid w:val="00705A13"/>
    <w:rsid w:val="0070642F"/>
    <w:rsid w:val="007065FC"/>
    <w:rsid w:val="007067F1"/>
    <w:rsid w:val="007071E9"/>
    <w:rsid w:val="0070723B"/>
    <w:rsid w:val="007072C2"/>
    <w:rsid w:val="007074D9"/>
    <w:rsid w:val="00707676"/>
    <w:rsid w:val="00710065"/>
    <w:rsid w:val="00710179"/>
    <w:rsid w:val="00710B0B"/>
    <w:rsid w:val="00710B31"/>
    <w:rsid w:val="00710B32"/>
    <w:rsid w:val="00711135"/>
    <w:rsid w:val="007113F0"/>
    <w:rsid w:val="007115F7"/>
    <w:rsid w:val="00711966"/>
    <w:rsid w:val="0071213A"/>
    <w:rsid w:val="00712526"/>
    <w:rsid w:val="00712B77"/>
    <w:rsid w:val="00712D22"/>
    <w:rsid w:val="0071324A"/>
    <w:rsid w:val="00713865"/>
    <w:rsid w:val="00713B03"/>
    <w:rsid w:val="00713F83"/>
    <w:rsid w:val="0071401D"/>
    <w:rsid w:val="00714582"/>
    <w:rsid w:val="007146CD"/>
    <w:rsid w:val="007146EB"/>
    <w:rsid w:val="007149B6"/>
    <w:rsid w:val="0071547F"/>
    <w:rsid w:val="007154B2"/>
    <w:rsid w:val="00715C9F"/>
    <w:rsid w:val="00715CBE"/>
    <w:rsid w:val="00716DF4"/>
    <w:rsid w:val="00716FE0"/>
    <w:rsid w:val="00717DEB"/>
    <w:rsid w:val="00720013"/>
    <w:rsid w:val="00720492"/>
    <w:rsid w:val="00720604"/>
    <w:rsid w:val="007215A6"/>
    <w:rsid w:val="00721DDA"/>
    <w:rsid w:val="007222CF"/>
    <w:rsid w:val="00722EB7"/>
    <w:rsid w:val="0072309D"/>
    <w:rsid w:val="007234FC"/>
    <w:rsid w:val="00723FED"/>
    <w:rsid w:val="007242CB"/>
    <w:rsid w:val="007244C1"/>
    <w:rsid w:val="00724ADF"/>
    <w:rsid w:val="00724E40"/>
    <w:rsid w:val="00725058"/>
    <w:rsid w:val="0072566C"/>
    <w:rsid w:val="00726095"/>
    <w:rsid w:val="00726631"/>
    <w:rsid w:val="0072723F"/>
    <w:rsid w:val="0072768D"/>
    <w:rsid w:val="00727DC4"/>
    <w:rsid w:val="00727FF2"/>
    <w:rsid w:val="0073002D"/>
    <w:rsid w:val="007305DC"/>
    <w:rsid w:val="00730735"/>
    <w:rsid w:val="00730777"/>
    <w:rsid w:val="00730B15"/>
    <w:rsid w:val="00730F6B"/>
    <w:rsid w:val="00731494"/>
    <w:rsid w:val="007317FC"/>
    <w:rsid w:val="00732484"/>
    <w:rsid w:val="00732691"/>
    <w:rsid w:val="0073289E"/>
    <w:rsid w:val="00732F63"/>
    <w:rsid w:val="0073329C"/>
    <w:rsid w:val="00733A10"/>
    <w:rsid w:val="00733AC0"/>
    <w:rsid w:val="007341F4"/>
    <w:rsid w:val="00734A0F"/>
    <w:rsid w:val="00734A5B"/>
    <w:rsid w:val="00734CB3"/>
    <w:rsid w:val="00734E45"/>
    <w:rsid w:val="0073557D"/>
    <w:rsid w:val="00735B1B"/>
    <w:rsid w:val="00735D0B"/>
    <w:rsid w:val="00735DD2"/>
    <w:rsid w:val="00736188"/>
    <w:rsid w:val="007361D1"/>
    <w:rsid w:val="007365B8"/>
    <w:rsid w:val="007369D9"/>
    <w:rsid w:val="00737747"/>
    <w:rsid w:val="00740146"/>
    <w:rsid w:val="00740480"/>
    <w:rsid w:val="007404E3"/>
    <w:rsid w:val="007411AA"/>
    <w:rsid w:val="0074147C"/>
    <w:rsid w:val="007415EB"/>
    <w:rsid w:val="00742565"/>
    <w:rsid w:val="007425B0"/>
    <w:rsid w:val="00742E08"/>
    <w:rsid w:val="00743E93"/>
    <w:rsid w:val="00744093"/>
    <w:rsid w:val="00744DF7"/>
    <w:rsid w:val="00744E76"/>
    <w:rsid w:val="00745353"/>
    <w:rsid w:val="00745523"/>
    <w:rsid w:val="007462B9"/>
    <w:rsid w:val="00746325"/>
    <w:rsid w:val="00746378"/>
    <w:rsid w:val="007469BF"/>
    <w:rsid w:val="00746A56"/>
    <w:rsid w:val="00746E6C"/>
    <w:rsid w:val="00747007"/>
    <w:rsid w:val="00747A78"/>
    <w:rsid w:val="00747BB8"/>
    <w:rsid w:val="00747CB6"/>
    <w:rsid w:val="00747DA5"/>
    <w:rsid w:val="0075008D"/>
    <w:rsid w:val="00750756"/>
    <w:rsid w:val="007509E8"/>
    <w:rsid w:val="00750B2B"/>
    <w:rsid w:val="00750D14"/>
    <w:rsid w:val="00750E7B"/>
    <w:rsid w:val="00750F84"/>
    <w:rsid w:val="0075117A"/>
    <w:rsid w:val="007512A2"/>
    <w:rsid w:val="00751451"/>
    <w:rsid w:val="00752224"/>
    <w:rsid w:val="007525F9"/>
    <w:rsid w:val="00752A84"/>
    <w:rsid w:val="00752AA5"/>
    <w:rsid w:val="00752CE6"/>
    <w:rsid w:val="0075439F"/>
    <w:rsid w:val="007547AA"/>
    <w:rsid w:val="00754D56"/>
    <w:rsid w:val="007550DB"/>
    <w:rsid w:val="0075541E"/>
    <w:rsid w:val="00755794"/>
    <w:rsid w:val="00755F59"/>
    <w:rsid w:val="00755F96"/>
    <w:rsid w:val="007561A2"/>
    <w:rsid w:val="007561A9"/>
    <w:rsid w:val="00756255"/>
    <w:rsid w:val="00756BB7"/>
    <w:rsid w:val="00756BBF"/>
    <w:rsid w:val="007570C7"/>
    <w:rsid w:val="007575E1"/>
    <w:rsid w:val="00757871"/>
    <w:rsid w:val="00757AA7"/>
    <w:rsid w:val="00757E73"/>
    <w:rsid w:val="007600E4"/>
    <w:rsid w:val="007604CD"/>
    <w:rsid w:val="0076055D"/>
    <w:rsid w:val="00760AF3"/>
    <w:rsid w:val="007615EF"/>
    <w:rsid w:val="00761A44"/>
    <w:rsid w:val="00761B0E"/>
    <w:rsid w:val="00761C49"/>
    <w:rsid w:val="0076220C"/>
    <w:rsid w:val="00762444"/>
    <w:rsid w:val="007628AC"/>
    <w:rsid w:val="007632E1"/>
    <w:rsid w:val="0076342D"/>
    <w:rsid w:val="00763494"/>
    <w:rsid w:val="007636E4"/>
    <w:rsid w:val="007639D4"/>
    <w:rsid w:val="007647E7"/>
    <w:rsid w:val="00764E64"/>
    <w:rsid w:val="00764F3A"/>
    <w:rsid w:val="0076519A"/>
    <w:rsid w:val="007651B1"/>
    <w:rsid w:val="00765647"/>
    <w:rsid w:val="007658DB"/>
    <w:rsid w:val="00765AB5"/>
    <w:rsid w:val="00766039"/>
    <w:rsid w:val="007666BE"/>
    <w:rsid w:val="00766741"/>
    <w:rsid w:val="00766D42"/>
    <w:rsid w:val="007672CF"/>
    <w:rsid w:val="00770FB0"/>
    <w:rsid w:val="00771270"/>
    <w:rsid w:val="00771F04"/>
    <w:rsid w:val="00771F9A"/>
    <w:rsid w:val="00771FB6"/>
    <w:rsid w:val="007720A2"/>
    <w:rsid w:val="00772952"/>
    <w:rsid w:val="007729CA"/>
    <w:rsid w:val="007733D4"/>
    <w:rsid w:val="00773507"/>
    <w:rsid w:val="00773BEF"/>
    <w:rsid w:val="00773C5B"/>
    <w:rsid w:val="0077467F"/>
    <w:rsid w:val="00774752"/>
    <w:rsid w:val="007748F6"/>
    <w:rsid w:val="0077498D"/>
    <w:rsid w:val="00774F46"/>
    <w:rsid w:val="00775454"/>
    <w:rsid w:val="0077595F"/>
    <w:rsid w:val="00775AEC"/>
    <w:rsid w:val="00775C2C"/>
    <w:rsid w:val="007763DF"/>
    <w:rsid w:val="00776525"/>
    <w:rsid w:val="00776607"/>
    <w:rsid w:val="00776AF8"/>
    <w:rsid w:val="00776D24"/>
    <w:rsid w:val="0077778F"/>
    <w:rsid w:val="00777C01"/>
    <w:rsid w:val="007802C1"/>
    <w:rsid w:val="007806CC"/>
    <w:rsid w:val="00781A27"/>
    <w:rsid w:val="00781AD8"/>
    <w:rsid w:val="00781F0F"/>
    <w:rsid w:val="00782309"/>
    <w:rsid w:val="00782678"/>
    <w:rsid w:val="007826DC"/>
    <w:rsid w:val="00782BA3"/>
    <w:rsid w:val="00782BE5"/>
    <w:rsid w:val="00782EAA"/>
    <w:rsid w:val="007834AA"/>
    <w:rsid w:val="00783ECC"/>
    <w:rsid w:val="00784013"/>
    <w:rsid w:val="00784520"/>
    <w:rsid w:val="00784788"/>
    <w:rsid w:val="00785174"/>
    <w:rsid w:val="0078522B"/>
    <w:rsid w:val="007853E3"/>
    <w:rsid w:val="0078579D"/>
    <w:rsid w:val="00786124"/>
    <w:rsid w:val="00786328"/>
    <w:rsid w:val="00786329"/>
    <w:rsid w:val="00786CFD"/>
    <w:rsid w:val="00786FBE"/>
    <w:rsid w:val="00787023"/>
    <w:rsid w:val="007873A7"/>
    <w:rsid w:val="007873CB"/>
    <w:rsid w:val="00787B4D"/>
    <w:rsid w:val="00787FEC"/>
    <w:rsid w:val="00790132"/>
    <w:rsid w:val="00790A98"/>
    <w:rsid w:val="00790AB5"/>
    <w:rsid w:val="00790D13"/>
    <w:rsid w:val="007916D9"/>
    <w:rsid w:val="00791B34"/>
    <w:rsid w:val="00791E00"/>
    <w:rsid w:val="00792BDC"/>
    <w:rsid w:val="00792E98"/>
    <w:rsid w:val="0079332A"/>
    <w:rsid w:val="00793DFE"/>
    <w:rsid w:val="00793E20"/>
    <w:rsid w:val="00794837"/>
    <w:rsid w:val="00794930"/>
    <w:rsid w:val="007955A5"/>
    <w:rsid w:val="00795C66"/>
    <w:rsid w:val="00795D89"/>
    <w:rsid w:val="00795DED"/>
    <w:rsid w:val="00795ED1"/>
    <w:rsid w:val="00795FD0"/>
    <w:rsid w:val="0079641D"/>
    <w:rsid w:val="00796638"/>
    <w:rsid w:val="007966D8"/>
    <w:rsid w:val="00796986"/>
    <w:rsid w:val="00796CD9"/>
    <w:rsid w:val="00796F80"/>
    <w:rsid w:val="0079700A"/>
    <w:rsid w:val="00797094"/>
    <w:rsid w:val="007977AF"/>
    <w:rsid w:val="00797D09"/>
    <w:rsid w:val="00797D7A"/>
    <w:rsid w:val="007A015F"/>
    <w:rsid w:val="007A0391"/>
    <w:rsid w:val="007A0630"/>
    <w:rsid w:val="007A0648"/>
    <w:rsid w:val="007A0EAC"/>
    <w:rsid w:val="007A1423"/>
    <w:rsid w:val="007A2108"/>
    <w:rsid w:val="007A21FF"/>
    <w:rsid w:val="007A260E"/>
    <w:rsid w:val="007A261A"/>
    <w:rsid w:val="007A2AF0"/>
    <w:rsid w:val="007A337F"/>
    <w:rsid w:val="007A343F"/>
    <w:rsid w:val="007A3EE9"/>
    <w:rsid w:val="007A3FD2"/>
    <w:rsid w:val="007A4347"/>
    <w:rsid w:val="007A4576"/>
    <w:rsid w:val="007A47C8"/>
    <w:rsid w:val="007A48B0"/>
    <w:rsid w:val="007A4C4E"/>
    <w:rsid w:val="007A4DA3"/>
    <w:rsid w:val="007A4E4D"/>
    <w:rsid w:val="007A4FD2"/>
    <w:rsid w:val="007A53A7"/>
    <w:rsid w:val="007A55D2"/>
    <w:rsid w:val="007A61F8"/>
    <w:rsid w:val="007A6333"/>
    <w:rsid w:val="007A63D5"/>
    <w:rsid w:val="007A64FB"/>
    <w:rsid w:val="007A7D20"/>
    <w:rsid w:val="007A7E2E"/>
    <w:rsid w:val="007B04CE"/>
    <w:rsid w:val="007B06DA"/>
    <w:rsid w:val="007B137A"/>
    <w:rsid w:val="007B22CC"/>
    <w:rsid w:val="007B22E5"/>
    <w:rsid w:val="007B27F0"/>
    <w:rsid w:val="007B3716"/>
    <w:rsid w:val="007B3865"/>
    <w:rsid w:val="007B3A01"/>
    <w:rsid w:val="007B3B9E"/>
    <w:rsid w:val="007B453A"/>
    <w:rsid w:val="007B4769"/>
    <w:rsid w:val="007B4D62"/>
    <w:rsid w:val="007B5011"/>
    <w:rsid w:val="007B513E"/>
    <w:rsid w:val="007B57BA"/>
    <w:rsid w:val="007B5972"/>
    <w:rsid w:val="007B598B"/>
    <w:rsid w:val="007B5C33"/>
    <w:rsid w:val="007B5CCD"/>
    <w:rsid w:val="007B5E24"/>
    <w:rsid w:val="007B6046"/>
    <w:rsid w:val="007B641C"/>
    <w:rsid w:val="007B7A55"/>
    <w:rsid w:val="007C057E"/>
    <w:rsid w:val="007C0D4B"/>
    <w:rsid w:val="007C11E3"/>
    <w:rsid w:val="007C1476"/>
    <w:rsid w:val="007C1D81"/>
    <w:rsid w:val="007C1DEE"/>
    <w:rsid w:val="007C203D"/>
    <w:rsid w:val="007C2BA8"/>
    <w:rsid w:val="007C2D2A"/>
    <w:rsid w:val="007C33DD"/>
    <w:rsid w:val="007C36A2"/>
    <w:rsid w:val="007C4048"/>
    <w:rsid w:val="007C434C"/>
    <w:rsid w:val="007C4BD5"/>
    <w:rsid w:val="007C55C0"/>
    <w:rsid w:val="007C626D"/>
    <w:rsid w:val="007C633E"/>
    <w:rsid w:val="007C6C6C"/>
    <w:rsid w:val="007C6F8A"/>
    <w:rsid w:val="007C762C"/>
    <w:rsid w:val="007D266E"/>
    <w:rsid w:val="007D2721"/>
    <w:rsid w:val="007D3182"/>
    <w:rsid w:val="007D38F3"/>
    <w:rsid w:val="007D39C1"/>
    <w:rsid w:val="007D3CE3"/>
    <w:rsid w:val="007D3FC2"/>
    <w:rsid w:val="007D4DC6"/>
    <w:rsid w:val="007D505B"/>
    <w:rsid w:val="007D51B7"/>
    <w:rsid w:val="007D591D"/>
    <w:rsid w:val="007D5A3F"/>
    <w:rsid w:val="007D63BA"/>
    <w:rsid w:val="007D6765"/>
    <w:rsid w:val="007D68DB"/>
    <w:rsid w:val="007D6BFF"/>
    <w:rsid w:val="007D6E82"/>
    <w:rsid w:val="007D75FA"/>
    <w:rsid w:val="007E0283"/>
    <w:rsid w:val="007E040E"/>
    <w:rsid w:val="007E0528"/>
    <w:rsid w:val="007E0A92"/>
    <w:rsid w:val="007E0F25"/>
    <w:rsid w:val="007E0F7D"/>
    <w:rsid w:val="007E1352"/>
    <w:rsid w:val="007E21F5"/>
    <w:rsid w:val="007E261C"/>
    <w:rsid w:val="007E2BA4"/>
    <w:rsid w:val="007E2F1F"/>
    <w:rsid w:val="007E31B4"/>
    <w:rsid w:val="007E3372"/>
    <w:rsid w:val="007E35C6"/>
    <w:rsid w:val="007E3B1D"/>
    <w:rsid w:val="007E3B86"/>
    <w:rsid w:val="007E4485"/>
    <w:rsid w:val="007E46A2"/>
    <w:rsid w:val="007E46DC"/>
    <w:rsid w:val="007E4B10"/>
    <w:rsid w:val="007E4CD7"/>
    <w:rsid w:val="007E4FDE"/>
    <w:rsid w:val="007E5080"/>
    <w:rsid w:val="007E5148"/>
    <w:rsid w:val="007E5592"/>
    <w:rsid w:val="007E568E"/>
    <w:rsid w:val="007E56E4"/>
    <w:rsid w:val="007E593B"/>
    <w:rsid w:val="007E5D7D"/>
    <w:rsid w:val="007E5DF5"/>
    <w:rsid w:val="007E60C4"/>
    <w:rsid w:val="007E66AF"/>
    <w:rsid w:val="007E69E0"/>
    <w:rsid w:val="007E6A0E"/>
    <w:rsid w:val="007E6CE4"/>
    <w:rsid w:val="007E7683"/>
    <w:rsid w:val="007E7BFD"/>
    <w:rsid w:val="007E7DE5"/>
    <w:rsid w:val="007F0DAC"/>
    <w:rsid w:val="007F0DDD"/>
    <w:rsid w:val="007F0F7C"/>
    <w:rsid w:val="007F1271"/>
    <w:rsid w:val="007F1676"/>
    <w:rsid w:val="007F1725"/>
    <w:rsid w:val="007F1D2F"/>
    <w:rsid w:val="007F1FD0"/>
    <w:rsid w:val="007F253F"/>
    <w:rsid w:val="007F28D8"/>
    <w:rsid w:val="007F2F25"/>
    <w:rsid w:val="007F2F40"/>
    <w:rsid w:val="007F36B9"/>
    <w:rsid w:val="007F3A24"/>
    <w:rsid w:val="007F4846"/>
    <w:rsid w:val="007F5333"/>
    <w:rsid w:val="007F56CF"/>
    <w:rsid w:val="007F58B6"/>
    <w:rsid w:val="007F6DBB"/>
    <w:rsid w:val="007F6DE6"/>
    <w:rsid w:val="007F7708"/>
    <w:rsid w:val="007F779E"/>
    <w:rsid w:val="007F7922"/>
    <w:rsid w:val="007F7D22"/>
    <w:rsid w:val="00800371"/>
    <w:rsid w:val="00800BFA"/>
    <w:rsid w:val="008017A7"/>
    <w:rsid w:val="008018FC"/>
    <w:rsid w:val="00801D75"/>
    <w:rsid w:val="00802588"/>
    <w:rsid w:val="008028A4"/>
    <w:rsid w:val="00802AB6"/>
    <w:rsid w:val="00802D15"/>
    <w:rsid w:val="00803885"/>
    <w:rsid w:val="00803C43"/>
    <w:rsid w:val="00803C9E"/>
    <w:rsid w:val="00803CA8"/>
    <w:rsid w:val="0080432E"/>
    <w:rsid w:val="00804F39"/>
    <w:rsid w:val="00804F50"/>
    <w:rsid w:val="008058B0"/>
    <w:rsid w:val="008058FE"/>
    <w:rsid w:val="008059BB"/>
    <w:rsid w:val="00805A1B"/>
    <w:rsid w:val="0080603A"/>
    <w:rsid w:val="00806931"/>
    <w:rsid w:val="0080693B"/>
    <w:rsid w:val="0080714D"/>
    <w:rsid w:val="008073EB"/>
    <w:rsid w:val="00807880"/>
    <w:rsid w:val="00807CBA"/>
    <w:rsid w:val="00810085"/>
    <w:rsid w:val="0081047C"/>
    <w:rsid w:val="00810527"/>
    <w:rsid w:val="00810547"/>
    <w:rsid w:val="00810683"/>
    <w:rsid w:val="0081089A"/>
    <w:rsid w:val="00810BB0"/>
    <w:rsid w:val="00810DD6"/>
    <w:rsid w:val="00810E9C"/>
    <w:rsid w:val="008122A3"/>
    <w:rsid w:val="00812D28"/>
    <w:rsid w:val="00813056"/>
    <w:rsid w:val="008136B5"/>
    <w:rsid w:val="008136EE"/>
    <w:rsid w:val="00813BF7"/>
    <w:rsid w:val="00813C90"/>
    <w:rsid w:val="00814019"/>
    <w:rsid w:val="008141AE"/>
    <w:rsid w:val="00814847"/>
    <w:rsid w:val="00814E48"/>
    <w:rsid w:val="00814ED9"/>
    <w:rsid w:val="008151C3"/>
    <w:rsid w:val="00815765"/>
    <w:rsid w:val="008158DA"/>
    <w:rsid w:val="008159F0"/>
    <w:rsid w:val="00816A6D"/>
    <w:rsid w:val="00817602"/>
    <w:rsid w:val="00817790"/>
    <w:rsid w:val="00817D03"/>
    <w:rsid w:val="0082041F"/>
    <w:rsid w:val="008210A8"/>
    <w:rsid w:val="0082175E"/>
    <w:rsid w:val="0082200F"/>
    <w:rsid w:val="00822011"/>
    <w:rsid w:val="00822AD3"/>
    <w:rsid w:val="00822DFF"/>
    <w:rsid w:val="00822F48"/>
    <w:rsid w:val="0082334A"/>
    <w:rsid w:val="00824294"/>
    <w:rsid w:val="00824633"/>
    <w:rsid w:val="00824C88"/>
    <w:rsid w:val="00824E5E"/>
    <w:rsid w:val="008253F0"/>
    <w:rsid w:val="00825B11"/>
    <w:rsid w:val="0082607C"/>
    <w:rsid w:val="0082640D"/>
    <w:rsid w:val="00826781"/>
    <w:rsid w:val="00826A2A"/>
    <w:rsid w:val="00826AFD"/>
    <w:rsid w:val="00826B75"/>
    <w:rsid w:val="008275E9"/>
    <w:rsid w:val="008279F1"/>
    <w:rsid w:val="008305E0"/>
    <w:rsid w:val="00831102"/>
    <w:rsid w:val="00831A1D"/>
    <w:rsid w:val="00831C82"/>
    <w:rsid w:val="00831CB8"/>
    <w:rsid w:val="008329F6"/>
    <w:rsid w:val="00832A14"/>
    <w:rsid w:val="00832C66"/>
    <w:rsid w:val="00832C7D"/>
    <w:rsid w:val="0083326F"/>
    <w:rsid w:val="0083329A"/>
    <w:rsid w:val="008336A9"/>
    <w:rsid w:val="008338D9"/>
    <w:rsid w:val="00833A06"/>
    <w:rsid w:val="00833B3F"/>
    <w:rsid w:val="00833D2F"/>
    <w:rsid w:val="00834485"/>
    <w:rsid w:val="00835B1D"/>
    <w:rsid w:val="00835DF7"/>
    <w:rsid w:val="00836044"/>
    <w:rsid w:val="00836061"/>
    <w:rsid w:val="00836130"/>
    <w:rsid w:val="00836C40"/>
    <w:rsid w:val="00836DDA"/>
    <w:rsid w:val="008377FC"/>
    <w:rsid w:val="00837BC4"/>
    <w:rsid w:val="00837D7B"/>
    <w:rsid w:val="00837E3F"/>
    <w:rsid w:val="00837E77"/>
    <w:rsid w:val="0084017F"/>
    <w:rsid w:val="008408AE"/>
    <w:rsid w:val="008411CE"/>
    <w:rsid w:val="00841307"/>
    <w:rsid w:val="00841336"/>
    <w:rsid w:val="0084149C"/>
    <w:rsid w:val="00841759"/>
    <w:rsid w:val="0084209A"/>
    <w:rsid w:val="008421E0"/>
    <w:rsid w:val="008424E7"/>
    <w:rsid w:val="00842FA6"/>
    <w:rsid w:val="00843014"/>
    <w:rsid w:val="00843467"/>
    <w:rsid w:val="00843580"/>
    <w:rsid w:val="008440E1"/>
    <w:rsid w:val="0084503D"/>
    <w:rsid w:val="008451F9"/>
    <w:rsid w:val="0084548F"/>
    <w:rsid w:val="00845826"/>
    <w:rsid w:val="008459C4"/>
    <w:rsid w:val="00845B46"/>
    <w:rsid w:val="00845D0E"/>
    <w:rsid w:val="00845EF3"/>
    <w:rsid w:val="00846189"/>
    <w:rsid w:val="00846ABE"/>
    <w:rsid w:val="00847143"/>
    <w:rsid w:val="008474AB"/>
    <w:rsid w:val="008479CA"/>
    <w:rsid w:val="00847ABB"/>
    <w:rsid w:val="00850B65"/>
    <w:rsid w:val="00850BE1"/>
    <w:rsid w:val="00850D26"/>
    <w:rsid w:val="00851412"/>
    <w:rsid w:val="0085234B"/>
    <w:rsid w:val="008524FD"/>
    <w:rsid w:val="0085296E"/>
    <w:rsid w:val="00852A42"/>
    <w:rsid w:val="00852E8D"/>
    <w:rsid w:val="00853786"/>
    <w:rsid w:val="00853A1C"/>
    <w:rsid w:val="0085450B"/>
    <w:rsid w:val="00854FE3"/>
    <w:rsid w:val="008550ED"/>
    <w:rsid w:val="00855734"/>
    <w:rsid w:val="00855B16"/>
    <w:rsid w:val="00855D59"/>
    <w:rsid w:val="008563A1"/>
    <w:rsid w:val="00856F35"/>
    <w:rsid w:val="00860199"/>
    <w:rsid w:val="008602F3"/>
    <w:rsid w:val="008604D9"/>
    <w:rsid w:val="00860BAC"/>
    <w:rsid w:val="00860F67"/>
    <w:rsid w:val="0086161F"/>
    <w:rsid w:val="008619CD"/>
    <w:rsid w:val="00861CCC"/>
    <w:rsid w:val="008624D7"/>
    <w:rsid w:val="008628A1"/>
    <w:rsid w:val="008637F5"/>
    <w:rsid w:val="00863EE2"/>
    <w:rsid w:val="0086406A"/>
    <w:rsid w:val="0086455D"/>
    <w:rsid w:val="00864DB6"/>
    <w:rsid w:val="008653B1"/>
    <w:rsid w:val="0086584D"/>
    <w:rsid w:val="00865923"/>
    <w:rsid w:val="00866329"/>
    <w:rsid w:val="008664C1"/>
    <w:rsid w:val="0086659A"/>
    <w:rsid w:val="0086742A"/>
    <w:rsid w:val="0086752E"/>
    <w:rsid w:val="00867FF5"/>
    <w:rsid w:val="008700E1"/>
    <w:rsid w:val="00870803"/>
    <w:rsid w:val="00870B9A"/>
    <w:rsid w:val="00871397"/>
    <w:rsid w:val="00871696"/>
    <w:rsid w:val="0087197D"/>
    <w:rsid w:val="00872007"/>
    <w:rsid w:val="008721CB"/>
    <w:rsid w:val="00872457"/>
    <w:rsid w:val="00872BD3"/>
    <w:rsid w:val="00873E0B"/>
    <w:rsid w:val="008741A8"/>
    <w:rsid w:val="008748DA"/>
    <w:rsid w:val="00874D1C"/>
    <w:rsid w:val="00875080"/>
    <w:rsid w:val="008752C3"/>
    <w:rsid w:val="00875A91"/>
    <w:rsid w:val="00875CD0"/>
    <w:rsid w:val="008760C0"/>
    <w:rsid w:val="00876481"/>
    <w:rsid w:val="008768CA"/>
    <w:rsid w:val="0087714D"/>
    <w:rsid w:val="0087779A"/>
    <w:rsid w:val="00877F01"/>
    <w:rsid w:val="00880175"/>
    <w:rsid w:val="0088038C"/>
    <w:rsid w:val="008806E7"/>
    <w:rsid w:val="00880CBD"/>
    <w:rsid w:val="00880FAB"/>
    <w:rsid w:val="0088134C"/>
    <w:rsid w:val="00881524"/>
    <w:rsid w:val="00881786"/>
    <w:rsid w:val="008823B9"/>
    <w:rsid w:val="008825E0"/>
    <w:rsid w:val="00882767"/>
    <w:rsid w:val="0088317C"/>
    <w:rsid w:val="00883880"/>
    <w:rsid w:val="0088445E"/>
    <w:rsid w:val="00885BAD"/>
    <w:rsid w:val="00886DC9"/>
    <w:rsid w:val="00887336"/>
    <w:rsid w:val="00887A74"/>
    <w:rsid w:val="008904A8"/>
    <w:rsid w:val="00890F22"/>
    <w:rsid w:val="00891722"/>
    <w:rsid w:val="00891C77"/>
    <w:rsid w:val="00892149"/>
    <w:rsid w:val="0089232C"/>
    <w:rsid w:val="00892E40"/>
    <w:rsid w:val="00892F90"/>
    <w:rsid w:val="00892FF1"/>
    <w:rsid w:val="00893A67"/>
    <w:rsid w:val="00893ABC"/>
    <w:rsid w:val="00893DC6"/>
    <w:rsid w:val="00893FE0"/>
    <w:rsid w:val="00894404"/>
    <w:rsid w:val="00894798"/>
    <w:rsid w:val="0089499D"/>
    <w:rsid w:val="00894D63"/>
    <w:rsid w:val="008951B3"/>
    <w:rsid w:val="00895777"/>
    <w:rsid w:val="00895CF2"/>
    <w:rsid w:val="00896294"/>
    <w:rsid w:val="00896398"/>
    <w:rsid w:val="008964FF"/>
    <w:rsid w:val="0089742B"/>
    <w:rsid w:val="008975FD"/>
    <w:rsid w:val="00897603"/>
    <w:rsid w:val="00897B58"/>
    <w:rsid w:val="00897CD8"/>
    <w:rsid w:val="008A01D8"/>
    <w:rsid w:val="008A03D2"/>
    <w:rsid w:val="008A03F8"/>
    <w:rsid w:val="008A08F0"/>
    <w:rsid w:val="008A1030"/>
    <w:rsid w:val="008A1513"/>
    <w:rsid w:val="008A1C52"/>
    <w:rsid w:val="008A1F79"/>
    <w:rsid w:val="008A24DD"/>
    <w:rsid w:val="008A263B"/>
    <w:rsid w:val="008A2A0B"/>
    <w:rsid w:val="008A2B41"/>
    <w:rsid w:val="008A2B9A"/>
    <w:rsid w:val="008A3112"/>
    <w:rsid w:val="008A31B1"/>
    <w:rsid w:val="008A3255"/>
    <w:rsid w:val="008A36F2"/>
    <w:rsid w:val="008A394A"/>
    <w:rsid w:val="008A4160"/>
    <w:rsid w:val="008A444A"/>
    <w:rsid w:val="008A46DB"/>
    <w:rsid w:val="008A4761"/>
    <w:rsid w:val="008A4EE1"/>
    <w:rsid w:val="008A4F2C"/>
    <w:rsid w:val="008A4FAD"/>
    <w:rsid w:val="008A4FC3"/>
    <w:rsid w:val="008A567D"/>
    <w:rsid w:val="008A5834"/>
    <w:rsid w:val="008A5A13"/>
    <w:rsid w:val="008A5DA8"/>
    <w:rsid w:val="008A5F92"/>
    <w:rsid w:val="008A615D"/>
    <w:rsid w:val="008A632A"/>
    <w:rsid w:val="008A67F3"/>
    <w:rsid w:val="008A6B01"/>
    <w:rsid w:val="008A6E46"/>
    <w:rsid w:val="008A6E4E"/>
    <w:rsid w:val="008A748C"/>
    <w:rsid w:val="008A749C"/>
    <w:rsid w:val="008A74EC"/>
    <w:rsid w:val="008A7799"/>
    <w:rsid w:val="008A7D11"/>
    <w:rsid w:val="008A7D3B"/>
    <w:rsid w:val="008A7EB9"/>
    <w:rsid w:val="008B068A"/>
    <w:rsid w:val="008B06C3"/>
    <w:rsid w:val="008B0DEC"/>
    <w:rsid w:val="008B124F"/>
    <w:rsid w:val="008B12E7"/>
    <w:rsid w:val="008B1830"/>
    <w:rsid w:val="008B1A64"/>
    <w:rsid w:val="008B1BCD"/>
    <w:rsid w:val="008B2B62"/>
    <w:rsid w:val="008B2BDE"/>
    <w:rsid w:val="008B2F53"/>
    <w:rsid w:val="008B2FC3"/>
    <w:rsid w:val="008B3397"/>
    <w:rsid w:val="008B357D"/>
    <w:rsid w:val="008B39D7"/>
    <w:rsid w:val="008B3A3C"/>
    <w:rsid w:val="008B3FB9"/>
    <w:rsid w:val="008B4541"/>
    <w:rsid w:val="008B47F5"/>
    <w:rsid w:val="008B485B"/>
    <w:rsid w:val="008B493E"/>
    <w:rsid w:val="008B4B55"/>
    <w:rsid w:val="008B4D9F"/>
    <w:rsid w:val="008B4F12"/>
    <w:rsid w:val="008B6F54"/>
    <w:rsid w:val="008B7519"/>
    <w:rsid w:val="008B7AC4"/>
    <w:rsid w:val="008C0A57"/>
    <w:rsid w:val="008C0C31"/>
    <w:rsid w:val="008C14E2"/>
    <w:rsid w:val="008C18EF"/>
    <w:rsid w:val="008C1F6C"/>
    <w:rsid w:val="008C2019"/>
    <w:rsid w:val="008C2148"/>
    <w:rsid w:val="008C275F"/>
    <w:rsid w:val="008C27C0"/>
    <w:rsid w:val="008C285D"/>
    <w:rsid w:val="008C2EB6"/>
    <w:rsid w:val="008C37A1"/>
    <w:rsid w:val="008C3F0C"/>
    <w:rsid w:val="008C4B2C"/>
    <w:rsid w:val="008C4C65"/>
    <w:rsid w:val="008C56F2"/>
    <w:rsid w:val="008C5C50"/>
    <w:rsid w:val="008C6BEE"/>
    <w:rsid w:val="008C6D91"/>
    <w:rsid w:val="008C7127"/>
    <w:rsid w:val="008C78DB"/>
    <w:rsid w:val="008C791F"/>
    <w:rsid w:val="008C7C34"/>
    <w:rsid w:val="008D0F5A"/>
    <w:rsid w:val="008D12DB"/>
    <w:rsid w:val="008D1852"/>
    <w:rsid w:val="008D1941"/>
    <w:rsid w:val="008D20E9"/>
    <w:rsid w:val="008D247E"/>
    <w:rsid w:val="008D2C6C"/>
    <w:rsid w:val="008D37F2"/>
    <w:rsid w:val="008D3D35"/>
    <w:rsid w:val="008D3DFC"/>
    <w:rsid w:val="008D3FA4"/>
    <w:rsid w:val="008D40F6"/>
    <w:rsid w:val="008D49D8"/>
    <w:rsid w:val="008D4B2E"/>
    <w:rsid w:val="008D4C0C"/>
    <w:rsid w:val="008D50F1"/>
    <w:rsid w:val="008D5371"/>
    <w:rsid w:val="008D6111"/>
    <w:rsid w:val="008D63F2"/>
    <w:rsid w:val="008D6A32"/>
    <w:rsid w:val="008D6A50"/>
    <w:rsid w:val="008D77EB"/>
    <w:rsid w:val="008D7B0A"/>
    <w:rsid w:val="008E0432"/>
    <w:rsid w:val="008E0598"/>
    <w:rsid w:val="008E07E6"/>
    <w:rsid w:val="008E0F75"/>
    <w:rsid w:val="008E1460"/>
    <w:rsid w:val="008E16C6"/>
    <w:rsid w:val="008E1B4B"/>
    <w:rsid w:val="008E1F53"/>
    <w:rsid w:val="008E23A0"/>
    <w:rsid w:val="008E265D"/>
    <w:rsid w:val="008E26F2"/>
    <w:rsid w:val="008E29B6"/>
    <w:rsid w:val="008E2AC3"/>
    <w:rsid w:val="008E2C75"/>
    <w:rsid w:val="008E2C81"/>
    <w:rsid w:val="008E383A"/>
    <w:rsid w:val="008E3CD5"/>
    <w:rsid w:val="008E3D30"/>
    <w:rsid w:val="008E3E0E"/>
    <w:rsid w:val="008E3EF2"/>
    <w:rsid w:val="008E4458"/>
    <w:rsid w:val="008E450D"/>
    <w:rsid w:val="008E46D1"/>
    <w:rsid w:val="008E4805"/>
    <w:rsid w:val="008E4A20"/>
    <w:rsid w:val="008E59E6"/>
    <w:rsid w:val="008E602B"/>
    <w:rsid w:val="008E60B1"/>
    <w:rsid w:val="008E6505"/>
    <w:rsid w:val="008E69D3"/>
    <w:rsid w:val="008E6A8A"/>
    <w:rsid w:val="008E6DAD"/>
    <w:rsid w:val="008E706C"/>
    <w:rsid w:val="008E721B"/>
    <w:rsid w:val="008E7A20"/>
    <w:rsid w:val="008E7B51"/>
    <w:rsid w:val="008E7D1E"/>
    <w:rsid w:val="008F02BF"/>
    <w:rsid w:val="008F0391"/>
    <w:rsid w:val="008F0A54"/>
    <w:rsid w:val="008F0C63"/>
    <w:rsid w:val="008F0F28"/>
    <w:rsid w:val="008F13DF"/>
    <w:rsid w:val="008F22C5"/>
    <w:rsid w:val="008F274C"/>
    <w:rsid w:val="008F2759"/>
    <w:rsid w:val="008F277D"/>
    <w:rsid w:val="008F3197"/>
    <w:rsid w:val="008F32EB"/>
    <w:rsid w:val="008F3399"/>
    <w:rsid w:val="008F41C7"/>
    <w:rsid w:val="008F41EE"/>
    <w:rsid w:val="008F44CF"/>
    <w:rsid w:val="008F4F61"/>
    <w:rsid w:val="008F5350"/>
    <w:rsid w:val="008F5488"/>
    <w:rsid w:val="008F7474"/>
    <w:rsid w:val="008F7B36"/>
    <w:rsid w:val="008F7BCB"/>
    <w:rsid w:val="008F7C64"/>
    <w:rsid w:val="00900108"/>
    <w:rsid w:val="009005FC"/>
    <w:rsid w:val="00901070"/>
    <w:rsid w:val="00901816"/>
    <w:rsid w:val="009018D1"/>
    <w:rsid w:val="00901C50"/>
    <w:rsid w:val="009020FA"/>
    <w:rsid w:val="009021A6"/>
    <w:rsid w:val="0090271F"/>
    <w:rsid w:val="00902778"/>
    <w:rsid w:val="00902886"/>
    <w:rsid w:val="00902E23"/>
    <w:rsid w:val="00903E2A"/>
    <w:rsid w:val="009042ED"/>
    <w:rsid w:val="0090436D"/>
    <w:rsid w:val="0090442C"/>
    <w:rsid w:val="00904463"/>
    <w:rsid w:val="009054E1"/>
    <w:rsid w:val="00905607"/>
    <w:rsid w:val="00905C6C"/>
    <w:rsid w:val="00905F5E"/>
    <w:rsid w:val="009064DF"/>
    <w:rsid w:val="00906ACB"/>
    <w:rsid w:val="00906C6C"/>
    <w:rsid w:val="00907001"/>
    <w:rsid w:val="009070F1"/>
    <w:rsid w:val="009102B3"/>
    <w:rsid w:val="009105BC"/>
    <w:rsid w:val="0091068F"/>
    <w:rsid w:val="009107D6"/>
    <w:rsid w:val="00910A6B"/>
    <w:rsid w:val="00911315"/>
    <w:rsid w:val="009114EE"/>
    <w:rsid w:val="00911DE9"/>
    <w:rsid w:val="00911E17"/>
    <w:rsid w:val="00911F8C"/>
    <w:rsid w:val="009126BB"/>
    <w:rsid w:val="009132F6"/>
    <w:rsid w:val="009133F4"/>
    <w:rsid w:val="0091348E"/>
    <w:rsid w:val="00913A3C"/>
    <w:rsid w:val="00913F35"/>
    <w:rsid w:val="00914171"/>
    <w:rsid w:val="00914FED"/>
    <w:rsid w:val="009151A3"/>
    <w:rsid w:val="00915731"/>
    <w:rsid w:val="00915868"/>
    <w:rsid w:val="0091599E"/>
    <w:rsid w:val="00915E81"/>
    <w:rsid w:val="00916D81"/>
    <w:rsid w:val="00916DE4"/>
    <w:rsid w:val="0091721F"/>
    <w:rsid w:val="00917FFE"/>
    <w:rsid w:val="00920337"/>
    <w:rsid w:val="009203AD"/>
    <w:rsid w:val="009205F6"/>
    <w:rsid w:val="00920652"/>
    <w:rsid w:val="00920884"/>
    <w:rsid w:val="00921145"/>
    <w:rsid w:val="0092167B"/>
    <w:rsid w:val="00922323"/>
    <w:rsid w:val="009223F7"/>
    <w:rsid w:val="009225B9"/>
    <w:rsid w:val="009225D1"/>
    <w:rsid w:val="00922BEF"/>
    <w:rsid w:val="00922DBA"/>
    <w:rsid w:val="00922EAB"/>
    <w:rsid w:val="009230EE"/>
    <w:rsid w:val="009237F6"/>
    <w:rsid w:val="00923CE1"/>
    <w:rsid w:val="00923EF2"/>
    <w:rsid w:val="009242FB"/>
    <w:rsid w:val="00924F38"/>
    <w:rsid w:val="0092539E"/>
    <w:rsid w:val="00925624"/>
    <w:rsid w:val="00925C2C"/>
    <w:rsid w:val="00925C2D"/>
    <w:rsid w:val="00925DCA"/>
    <w:rsid w:val="00926C66"/>
    <w:rsid w:val="00926E4A"/>
    <w:rsid w:val="00927BEE"/>
    <w:rsid w:val="00930679"/>
    <w:rsid w:val="00930749"/>
    <w:rsid w:val="00930B88"/>
    <w:rsid w:val="00930EAC"/>
    <w:rsid w:val="00931CFA"/>
    <w:rsid w:val="00931F61"/>
    <w:rsid w:val="00932705"/>
    <w:rsid w:val="00932829"/>
    <w:rsid w:val="0093324D"/>
    <w:rsid w:val="0093344A"/>
    <w:rsid w:val="009339BB"/>
    <w:rsid w:val="00933B98"/>
    <w:rsid w:val="00934014"/>
    <w:rsid w:val="009340DA"/>
    <w:rsid w:val="00934780"/>
    <w:rsid w:val="00935873"/>
    <w:rsid w:val="00935931"/>
    <w:rsid w:val="009365EF"/>
    <w:rsid w:val="00936F45"/>
    <w:rsid w:val="009374FE"/>
    <w:rsid w:val="009400C8"/>
    <w:rsid w:val="009405ED"/>
    <w:rsid w:val="00940AB3"/>
    <w:rsid w:val="00940C3E"/>
    <w:rsid w:val="00941120"/>
    <w:rsid w:val="009416CC"/>
    <w:rsid w:val="00941C30"/>
    <w:rsid w:val="00941D1A"/>
    <w:rsid w:val="00941DBC"/>
    <w:rsid w:val="00941EE6"/>
    <w:rsid w:val="009427DD"/>
    <w:rsid w:val="00942EC2"/>
    <w:rsid w:val="009439A4"/>
    <w:rsid w:val="0094422D"/>
    <w:rsid w:val="00944399"/>
    <w:rsid w:val="00944556"/>
    <w:rsid w:val="00944AD7"/>
    <w:rsid w:val="00945024"/>
    <w:rsid w:val="009451ED"/>
    <w:rsid w:val="009452BF"/>
    <w:rsid w:val="00945458"/>
    <w:rsid w:val="00946244"/>
    <w:rsid w:val="00946F49"/>
    <w:rsid w:val="0094723E"/>
    <w:rsid w:val="009473AF"/>
    <w:rsid w:val="0094750E"/>
    <w:rsid w:val="0095022E"/>
    <w:rsid w:val="00950A01"/>
    <w:rsid w:val="00950A9B"/>
    <w:rsid w:val="00950AA2"/>
    <w:rsid w:val="00950B98"/>
    <w:rsid w:val="00950BAB"/>
    <w:rsid w:val="00951087"/>
    <w:rsid w:val="00951493"/>
    <w:rsid w:val="00951954"/>
    <w:rsid w:val="0095199B"/>
    <w:rsid w:val="00951F8C"/>
    <w:rsid w:val="0095279D"/>
    <w:rsid w:val="00952CDF"/>
    <w:rsid w:val="00952D86"/>
    <w:rsid w:val="009532FE"/>
    <w:rsid w:val="009536D0"/>
    <w:rsid w:val="00953898"/>
    <w:rsid w:val="009539FE"/>
    <w:rsid w:val="00953A2F"/>
    <w:rsid w:val="00953CDF"/>
    <w:rsid w:val="009541E4"/>
    <w:rsid w:val="0095429F"/>
    <w:rsid w:val="00954703"/>
    <w:rsid w:val="00954A88"/>
    <w:rsid w:val="00954B49"/>
    <w:rsid w:val="00954EC2"/>
    <w:rsid w:val="00955700"/>
    <w:rsid w:val="00956235"/>
    <w:rsid w:val="00956579"/>
    <w:rsid w:val="0095693B"/>
    <w:rsid w:val="00956FC0"/>
    <w:rsid w:val="00957155"/>
    <w:rsid w:val="0095729B"/>
    <w:rsid w:val="00957370"/>
    <w:rsid w:val="0095777B"/>
    <w:rsid w:val="009578B3"/>
    <w:rsid w:val="00957EFA"/>
    <w:rsid w:val="00957F67"/>
    <w:rsid w:val="00957FAE"/>
    <w:rsid w:val="009603DF"/>
    <w:rsid w:val="00960881"/>
    <w:rsid w:val="00960BC3"/>
    <w:rsid w:val="00960D6E"/>
    <w:rsid w:val="009613DD"/>
    <w:rsid w:val="00961411"/>
    <w:rsid w:val="0096154A"/>
    <w:rsid w:val="009615C4"/>
    <w:rsid w:val="00961CD4"/>
    <w:rsid w:val="00962F1B"/>
    <w:rsid w:val="009630C1"/>
    <w:rsid w:val="009632A4"/>
    <w:rsid w:val="00963630"/>
    <w:rsid w:val="00963F47"/>
    <w:rsid w:val="00964142"/>
    <w:rsid w:val="0096419E"/>
    <w:rsid w:val="0096472C"/>
    <w:rsid w:val="009648BD"/>
    <w:rsid w:val="00964992"/>
    <w:rsid w:val="00964999"/>
    <w:rsid w:val="0096514E"/>
    <w:rsid w:val="00965508"/>
    <w:rsid w:val="009655BD"/>
    <w:rsid w:val="00965AFA"/>
    <w:rsid w:val="00965E29"/>
    <w:rsid w:val="00965FA7"/>
    <w:rsid w:val="0096618B"/>
    <w:rsid w:val="009662DA"/>
    <w:rsid w:val="00966320"/>
    <w:rsid w:val="00966F56"/>
    <w:rsid w:val="00967867"/>
    <w:rsid w:val="00967D7E"/>
    <w:rsid w:val="00967F07"/>
    <w:rsid w:val="00970262"/>
    <w:rsid w:val="009711B6"/>
    <w:rsid w:val="0097128F"/>
    <w:rsid w:val="00971CFD"/>
    <w:rsid w:val="00971DDF"/>
    <w:rsid w:val="00971EC8"/>
    <w:rsid w:val="00972169"/>
    <w:rsid w:val="00972437"/>
    <w:rsid w:val="00972845"/>
    <w:rsid w:val="00972891"/>
    <w:rsid w:val="00972D86"/>
    <w:rsid w:val="00973B3F"/>
    <w:rsid w:val="00973CE4"/>
    <w:rsid w:val="00973F98"/>
    <w:rsid w:val="009745F6"/>
    <w:rsid w:val="00974C6C"/>
    <w:rsid w:val="00974DFD"/>
    <w:rsid w:val="00975687"/>
    <w:rsid w:val="009760F0"/>
    <w:rsid w:val="00976364"/>
    <w:rsid w:val="0097713F"/>
    <w:rsid w:val="00977252"/>
    <w:rsid w:val="0097777E"/>
    <w:rsid w:val="00977C2F"/>
    <w:rsid w:val="00977E26"/>
    <w:rsid w:val="00977E45"/>
    <w:rsid w:val="0098015D"/>
    <w:rsid w:val="00980DE4"/>
    <w:rsid w:val="00981C76"/>
    <w:rsid w:val="009825AE"/>
    <w:rsid w:val="0098334E"/>
    <w:rsid w:val="00983904"/>
    <w:rsid w:val="009840A9"/>
    <w:rsid w:val="00984309"/>
    <w:rsid w:val="00984FB0"/>
    <w:rsid w:val="00985113"/>
    <w:rsid w:val="00985282"/>
    <w:rsid w:val="009854A2"/>
    <w:rsid w:val="00985967"/>
    <w:rsid w:val="009859BB"/>
    <w:rsid w:val="00985DF8"/>
    <w:rsid w:val="00986338"/>
    <w:rsid w:val="0098736C"/>
    <w:rsid w:val="00987579"/>
    <w:rsid w:val="00990405"/>
    <w:rsid w:val="00990560"/>
    <w:rsid w:val="0099057B"/>
    <w:rsid w:val="009910D7"/>
    <w:rsid w:val="00991627"/>
    <w:rsid w:val="00991649"/>
    <w:rsid w:val="009919DB"/>
    <w:rsid w:val="00991F0B"/>
    <w:rsid w:val="00991FED"/>
    <w:rsid w:val="00992201"/>
    <w:rsid w:val="0099225A"/>
    <w:rsid w:val="009924E4"/>
    <w:rsid w:val="0099269B"/>
    <w:rsid w:val="00992B56"/>
    <w:rsid w:val="00992E6F"/>
    <w:rsid w:val="00993046"/>
    <w:rsid w:val="00993B0B"/>
    <w:rsid w:val="00993C0A"/>
    <w:rsid w:val="009944C3"/>
    <w:rsid w:val="00994592"/>
    <w:rsid w:val="00994FD2"/>
    <w:rsid w:val="00996321"/>
    <w:rsid w:val="00996715"/>
    <w:rsid w:val="00996980"/>
    <w:rsid w:val="00996CB5"/>
    <w:rsid w:val="00996CDF"/>
    <w:rsid w:val="0099740D"/>
    <w:rsid w:val="009974F6"/>
    <w:rsid w:val="00997966"/>
    <w:rsid w:val="00997989"/>
    <w:rsid w:val="00997CAF"/>
    <w:rsid w:val="00997D1E"/>
    <w:rsid w:val="009A044F"/>
    <w:rsid w:val="009A0ACD"/>
    <w:rsid w:val="009A0D69"/>
    <w:rsid w:val="009A0FA6"/>
    <w:rsid w:val="009A0FEB"/>
    <w:rsid w:val="009A1084"/>
    <w:rsid w:val="009A1099"/>
    <w:rsid w:val="009A1323"/>
    <w:rsid w:val="009A13ED"/>
    <w:rsid w:val="009A1675"/>
    <w:rsid w:val="009A1805"/>
    <w:rsid w:val="009A1923"/>
    <w:rsid w:val="009A1F51"/>
    <w:rsid w:val="009A2032"/>
    <w:rsid w:val="009A2166"/>
    <w:rsid w:val="009A2A69"/>
    <w:rsid w:val="009A2ADE"/>
    <w:rsid w:val="009A36EA"/>
    <w:rsid w:val="009A3791"/>
    <w:rsid w:val="009A429D"/>
    <w:rsid w:val="009A43CD"/>
    <w:rsid w:val="009A467F"/>
    <w:rsid w:val="009A539C"/>
    <w:rsid w:val="009A5433"/>
    <w:rsid w:val="009A54A2"/>
    <w:rsid w:val="009A58DF"/>
    <w:rsid w:val="009A5CA7"/>
    <w:rsid w:val="009A6162"/>
    <w:rsid w:val="009A633F"/>
    <w:rsid w:val="009A65D9"/>
    <w:rsid w:val="009A6811"/>
    <w:rsid w:val="009A6991"/>
    <w:rsid w:val="009A6CA8"/>
    <w:rsid w:val="009A71C1"/>
    <w:rsid w:val="009A75E1"/>
    <w:rsid w:val="009A7806"/>
    <w:rsid w:val="009A7C56"/>
    <w:rsid w:val="009B04BA"/>
    <w:rsid w:val="009B05DF"/>
    <w:rsid w:val="009B0BE3"/>
    <w:rsid w:val="009B0C67"/>
    <w:rsid w:val="009B0E77"/>
    <w:rsid w:val="009B1266"/>
    <w:rsid w:val="009B15BA"/>
    <w:rsid w:val="009B1799"/>
    <w:rsid w:val="009B19CB"/>
    <w:rsid w:val="009B1CCF"/>
    <w:rsid w:val="009B1CE7"/>
    <w:rsid w:val="009B1F7E"/>
    <w:rsid w:val="009B2FF8"/>
    <w:rsid w:val="009B3805"/>
    <w:rsid w:val="009B3945"/>
    <w:rsid w:val="009B4751"/>
    <w:rsid w:val="009B4ABE"/>
    <w:rsid w:val="009B4B73"/>
    <w:rsid w:val="009B4D33"/>
    <w:rsid w:val="009B4E2F"/>
    <w:rsid w:val="009B4EA5"/>
    <w:rsid w:val="009B504A"/>
    <w:rsid w:val="009B50D5"/>
    <w:rsid w:val="009B59D8"/>
    <w:rsid w:val="009B5A01"/>
    <w:rsid w:val="009B5DE3"/>
    <w:rsid w:val="009B6F4C"/>
    <w:rsid w:val="009B7037"/>
    <w:rsid w:val="009B7F72"/>
    <w:rsid w:val="009C0544"/>
    <w:rsid w:val="009C0EC2"/>
    <w:rsid w:val="009C0F2D"/>
    <w:rsid w:val="009C1159"/>
    <w:rsid w:val="009C1414"/>
    <w:rsid w:val="009C19C4"/>
    <w:rsid w:val="009C1C70"/>
    <w:rsid w:val="009C1FF5"/>
    <w:rsid w:val="009C201E"/>
    <w:rsid w:val="009C224D"/>
    <w:rsid w:val="009C2A75"/>
    <w:rsid w:val="009C2BEC"/>
    <w:rsid w:val="009C31B9"/>
    <w:rsid w:val="009C3969"/>
    <w:rsid w:val="009C396C"/>
    <w:rsid w:val="009C3ABA"/>
    <w:rsid w:val="009C3CA0"/>
    <w:rsid w:val="009C3D69"/>
    <w:rsid w:val="009C3E5C"/>
    <w:rsid w:val="009C4346"/>
    <w:rsid w:val="009C4668"/>
    <w:rsid w:val="009C4806"/>
    <w:rsid w:val="009C4A18"/>
    <w:rsid w:val="009C5153"/>
    <w:rsid w:val="009C55CF"/>
    <w:rsid w:val="009C55F7"/>
    <w:rsid w:val="009C5825"/>
    <w:rsid w:val="009C60F0"/>
    <w:rsid w:val="009C6503"/>
    <w:rsid w:val="009C6600"/>
    <w:rsid w:val="009C67E7"/>
    <w:rsid w:val="009C68B4"/>
    <w:rsid w:val="009C6D58"/>
    <w:rsid w:val="009C7052"/>
    <w:rsid w:val="009C786C"/>
    <w:rsid w:val="009C7C1A"/>
    <w:rsid w:val="009C7CF9"/>
    <w:rsid w:val="009D0416"/>
    <w:rsid w:val="009D05BB"/>
    <w:rsid w:val="009D0663"/>
    <w:rsid w:val="009D0B6C"/>
    <w:rsid w:val="009D1348"/>
    <w:rsid w:val="009D146D"/>
    <w:rsid w:val="009D1B19"/>
    <w:rsid w:val="009D1E49"/>
    <w:rsid w:val="009D202C"/>
    <w:rsid w:val="009D2ABC"/>
    <w:rsid w:val="009D2B0E"/>
    <w:rsid w:val="009D32DC"/>
    <w:rsid w:val="009D3935"/>
    <w:rsid w:val="009D3A76"/>
    <w:rsid w:val="009D4289"/>
    <w:rsid w:val="009D470E"/>
    <w:rsid w:val="009D49DB"/>
    <w:rsid w:val="009D4F29"/>
    <w:rsid w:val="009D513D"/>
    <w:rsid w:val="009D5DFC"/>
    <w:rsid w:val="009D6A52"/>
    <w:rsid w:val="009D6D6F"/>
    <w:rsid w:val="009D6D92"/>
    <w:rsid w:val="009D760A"/>
    <w:rsid w:val="009D7957"/>
    <w:rsid w:val="009E0964"/>
    <w:rsid w:val="009E09A5"/>
    <w:rsid w:val="009E1120"/>
    <w:rsid w:val="009E1A76"/>
    <w:rsid w:val="009E1B56"/>
    <w:rsid w:val="009E2479"/>
    <w:rsid w:val="009E2AA2"/>
    <w:rsid w:val="009E2E0C"/>
    <w:rsid w:val="009E2E69"/>
    <w:rsid w:val="009E3D56"/>
    <w:rsid w:val="009E4A5E"/>
    <w:rsid w:val="009E4BD4"/>
    <w:rsid w:val="009E4FEA"/>
    <w:rsid w:val="009E5B32"/>
    <w:rsid w:val="009E6BA2"/>
    <w:rsid w:val="009E6C18"/>
    <w:rsid w:val="009E7368"/>
    <w:rsid w:val="009E7C1F"/>
    <w:rsid w:val="009E7D74"/>
    <w:rsid w:val="009F0136"/>
    <w:rsid w:val="009F013D"/>
    <w:rsid w:val="009F0204"/>
    <w:rsid w:val="009F064E"/>
    <w:rsid w:val="009F0656"/>
    <w:rsid w:val="009F08BE"/>
    <w:rsid w:val="009F0992"/>
    <w:rsid w:val="009F0BA4"/>
    <w:rsid w:val="009F143C"/>
    <w:rsid w:val="009F153D"/>
    <w:rsid w:val="009F18AE"/>
    <w:rsid w:val="009F1BA7"/>
    <w:rsid w:val="009F1D8D"/>
    <w:rsid w:val="009F20A7"/>
    <w:rsid w:val="009F21F0"/>
    <w:rsid w:val="009F24C8"/>
    <w:rsid w:val="009F2666"/>
    <w:rsid w:val="009F28F1"/>
    <w:rsid w:val="009F2E1F"/>
    <w:rsid w:val="009F378B"/>
    <w:rsid w:val="009F37B7"/>
    <w:rsid w:val="009F39C0"/>
    <w:rsid w:val="009F39D0"/>
    <w:rsid w:val="009F3BDA"/>
    <w:rsid w:val="009F3CBE"/>
    <w:rsid w:val="009F3E24"/>
    <w:rsid w:val="009F4165"/>
    <w:rsid w:val="009F47E8"/>
    <w:rsid w:val="009F615E"/>
    <w:rsid w:val="009F6918"/>
    <w:rsid w:val="009F6A1A"/>
    <w:rsid w:val="009F6EA2"/>
    <w:rsid w:val="009F6F1C"/>
    <w:rsid w:val="009F724B"/>
    <w:rsid w:val="009F7959"/>
    <w:rsid w:val="009F7EE0"/>
    <w:rsid w:val="00A00038"/>
    <w:rsid w:val="00A00708"/>
    <w:rsid w:val="00A00BD5"/>
    <w:rsid w:val="00A013ED"/>
    <w:rsid w:val="00A01657"/>
    <w:rsid w:val="00A01EC7"/>
    <w:rsid w:val="00A0263D"/>
    <w:rsid w:val="00A02690"/>
    <w:rsid w:val="00A03293"/>
    <w:rsid w:val="00A03B4C"/>
    <w:rsid w:val="00A03DBA"/>
    <w:rsid w:val="00A03F24"/>
    <w:rsid w:val="00A041CE"/>
    <w:rsid w:val="00A0471A"/>
    <w:rsid w:val="00A05324"/>
    <w:rsid w:val="00A05DE3"/>
    <w:rsid w:val="00A05E73"/>
    <w:rsid w:val="00A06084"/>
    <w:rsid w:val="00A0699B"/>
    <w:rsid w:val="00A06A61"/>
    <w:rsid w:val="00A10623"/>
    <w:rsid w:val="00A107BC"/>
    <w:rsid w:val="00A107D2"/>
    <w:rsid w:val="00A10F02"/>
    <w:rsid w:val="00A10F71"/>
    <w:rsid w:val="00A10FA6"/>
    <w:rsid w:val="00A11696"/>
    <w:rsid w:val="00A1182D"/>
    <w:rsid w:val="00A11C27"/>
    <w:rsid w:val="00A12117"/>
    <w:rsid w:val="00A122B9"/>
    <w:rsid w:val="00A12E73"/>
    <w:rsid w:val="00A136D4"/>
    <w:rsid w:val="00A13F6A"/>
    <w:rsid w:val="00A141F9"/>
    <w:rsid w:val="00A143D4"/>
    <w:rsid w:val="00A15788"/>
    <w:rsid w:val="00A15915"/>
    <w:rsid w:val="00A15B6B"/>
    <w:rsid w:val="00A16101"/>
    <w:rsid w:val="00A164B4"/>
    <w:rsid w:val="00A16711"/>
    <w:rsid w:val="00A16725"/>
    <w:rsid w:val="00A16BD8"/>
    <w:rsid w:val="00A16BFB"/>
    <w:rsid w:val="00A17105"/>
    <w:rsid w:val="00A173BC"/>
    <w:rsid w:val="00A17ACA"/>
    <w:rsid w:val="00A17AF2"/>
    <w:rsid w:val="00A21B22"/>
    <w:rsid w:val="00A21F35"/>
    <w:rsid w:val="00A2228C"/>
    <w:rsid w:val="00A2263D"/>
    <w:rsid w:val="00A22686"/>
    <w:rsid w:val="00A22847"/>
    <w:rsid w:val="00A22F16"/>
    <w:rsid w:val="00A2379E"/>
    <w:rsid w:val="00A248DC"/>
    <w:rsid w:val="00A25356"/>
    <w:rsid w:val="00A25560"/>
    <w:rsid w:val="00A25A00"/>
    <w:rsid w:val="00A25B32"/>
    <w:rsid w:val="00A25F5C"/>
    <w:rsid w:val="00A26948"/>
    <w:rsid w:val="00A26CF9"/>
    <w:rsid w:val="00A2764D"/>
    <w:rsid w:val="00A27C38"/>
    <w:rsid w:val="00A30282"/>
    <w:rsid w:val="00A30FAB"/>
    <w:rsid w:val="00A30FDD"/>
    <w:rsid w:val="00A312BF"/>
    <w:rsid w:val="00A3174C"/>
    <w:rsid w:val="00A31801"/>
    <w:rsid w:val="00A3182E"/>
    <w:rsid w:val="00A31C9E"/>
    <w:rsid w:val="00A32336"/>
    <w:rsid w:val="00A32AB9"/>
    <w:rsid w:val="00A32EA4"/>
    <w:rsid w:val="00A33503"/>
    <w:rsid w:val="00A33517"/>
    <w:rsid w:val="00A33B0F"/>
    <w:rsid w:val="00A33B37"/>
    <w:rsid w:val="00A3459D"/>
    <w:rsid w:val="00A34638"/>
    <w:rsid w:val="00A34D72"/>
    <w:rsid w:val="00A34ECF"/>
    <w:rsid w:val="00A3517C"/>
    <w:rsid w:val="00A35984"/>
    <w:rsid w:val="00A35A1E"/>
    <w:rsid w:val="00A35A2A"/>
    <w:rsid w:val="00A36687"/>
    <w:rsid w:val="00A366E6"/>
    <w:rsid w:val="00A3688E"/>
    <w:rsid w:val="00A372F8"/>
    <w:rsid w:val="00A379CE"/>
    <w:rsid w:val="00A37BFA"/>
    <w:rsid w:val="00A37F6D"/>
    <w:rsid w:val="00A404AF"/>
    <w:rsid w:val="00A404D3"/>
    <w:rsid w:val="00A4058D"/>
    <w:rsid w:val="00A4087B"/>
    <w:rsid w:val="00A409D9"/>
    <w:rsid w:val="00A41602"/>
    <w:rsid w:val="00A41699"/>
    <w:rsid w:val="00A41FA3"/>
    <w:rsid w:val="00A429DD"/>
    <w:rsid w:val="00A431EE"/>
    <w:rsid w:val="00A43473"/>
    <w:rsid w:val="00A43829"/>
    <w:rsid w:val="00A4385E"/>
    <w:rsid w:val="00A441FF"/>
    <w:rsid w:val="00A44644"/>
    <w:rsid w:val="00A448C1"/>
    <w:rsid w:val="00A449AB"/>
    <w:rsid w:val="00A44B72"/>
    <w:rsid w:val="00A45058"/>
    <w:rsid w:val="00A45187"/>
    <w:rsid w:val="00A45E3C"/>
    <w:rsid w:val="00A45E48"/>
    <w:rsid w:val="00A46294"/>
    <w:rsid w:val="00A463CE"/>
    <w:rsid w:val="00A46AD0"/>
    <w:rsid w:val="00A46B92"/>
    <w:rsid w:val="00A47C0C"/>
    <w:rsid w:val="00A47E6B"/>
    <w:rsid w:val="00A47FB7"/>
    <w:rsid w:val="00A50CE1"/>
    <w:rsid w:val="00A510A4"/>
    <w:rsid w:val="00A5154D"/>
    <w:rsid w:val="00A5183B"/>
    <w:rsid w:val="00A52DB7"/>
    <w:rsid w:val="00A530E7"/>
    <w:rsid w:val="00A53724"/>
    <w:rsid w:val="00A53910"/>
    <w:rsid w:val="00A53B77"/>
    <w:rsid w:val="00A53BB4"/>
    <w:rsid w:val="00A53BEA"/>
    <w:rsid w:val="00A53DA1"/>
    <w:rsid w:val="00A53EF6"/>
    <w:rsid w:val="00A541D1"/>
    <w:rsid w:val="00A54549"/>
    <w:rsid w:val="00A54B30"/>
    <w:rsid w:val="00A54DAF"/>
    <w:rsid w:val="00A54F7F"/>
    <w:rsid w:val="00A55BD9"/>
    <w:rsid w:val="00A55FCA"/>
    <w:rsid w:val="00A567A6"/>
    <w:rsid w:val="00A56CE8"/>
    <w:rsid w:val="00A56D01"/>
    <w:rsid w:val="00A573ED"/>
    <w:rsid w:val="00A57B64"/>
    <w:rsid w:val="00A60058"/>
    <w:rsid w:val="00A60570"/>
    <w:rsid w:val="00A6096A"/>
    <w:rsid w:val="00A60A08"/>
    <w:rsid w:val="00A610D2"/>
    <w:rsid w:val="00A618BD"/>
    <w:rsid w:val="00A61A78"/>
    <w:rsid w:val="00A622F1"/>
    <w:rsid w:val="00A62309"/>
    <w:rsid w:val="00A6232E"/>
    <w:rsid w:val="00A62365"/>
    <w:rsid w:val="00A62630"/>
    <w:rsid w:val="00A628EC"/>
    <w:rsid w:val="00A62952"/>
    <w:rsid w:val="00A6299D"/>
    <w:rsid w:val="00A64461"/>
    <w:rsid w:val="00A646A7"/>
    <w:rsid w:val="00A647D6"/>
    <w:rsid w:val="00A64F81"/>
    <w:rsid w:val="00A6549A"/>
    <w:rsid w:val="00A658D2"/>
    <w:rsid w:val="00A65C1C"/>
    <w:rsid w:val="00A65D58"/>
    <w:rsid w:val="00A65D9E"/>
    <w:rsid w:val="00A661BA"/>
    <w:rsid w:val="00A66624"/>
    <w:rsid w:val="00A6690C"/>
    <w:rsid w:val="00A6724C"/>
    <w:rsid w:val="00A67310"/>
    <w:rsid w:val="00A67487"/>
    <w:rsid w:val="00A67CC6"/>
    <w:rsid w:val="00A67DE9"/>
    <w:rsid w:val="00A70287"/>
    <w:rsid w:val="00A70C92"/>
    <w:rsid w:val="00A715E1"/>
    <w:rsid w:val="00A71F7F"/>
    <w:rsid w:val="00A72641"/>
    <w:rsid w:val="00A72A0B"/>
    <w:rsid w:val="00A72ABA"/>
    <w:rsid w:val="00A72CD4"/>
    <w:rsid w:val="00A72EE1"/>
    <w:rsid w:val="00A731F9"/>
    <w:rsid w:val="00A73408"/>
    <w:rsid w:val="00A73833"/>
    <w:rsid w:val="00A740B6"/>
    <w:rsid w:val="00A74C9E"/>
    <w:rsid w:val="00A74FA7"/>
    <w:rsid w:val="00A7557C"/>
    <w:rsid w:val="00A75A04"/>
    <w:rsid w:val="00A76335"/>
    <w:rsid w:val="00A763F6"/>
    <w:rsid w:val="00A766E7"/>
    <w:rsid w:val="00A767F7"/>
    <w:rsid w:val="00A76835"/>
    <w:rsid w:val="00A76A62"/>
    <w:rsid w:val="00A7707E"/>
    <w:rsid w:val="00A77144"/>
    <w:rsid w:val="00A772FE"/>
    <w:rsid w:val="00A77A9F"/>
    <w:rsid w:val="00A77CA3"/>
    <w:rsid w:val="00A80E78"/>
    <w:rsid w:val="00A80EA6"/>
    <w:rsid w:val="00A810C8"/>
    <w:rsid w:val="00A8135D"/>
    <w:rsid w:val="00A81961"/>
    <w:rsid w:val="00A82346"/>
    <w:rsid w:val="00A82860"/>
    <w:rsid w:val="00A829D3"/>
    <w:rsid w:val="00A82B64"/>
    <w:rsid w:val="00A82BF2"/>
    <w:rsid w:val="00A83202"/>
    <w:rsid w:val="00A8348D"/>
    <w:rsid w:val="00A837FE"/>
    <w:rsid w:val="00A83A09"/>
    <w:rsid w:val="00A8460F"/>
    <w:rsid w:val="00A84847"/>
    <w:rsid w:val="00A84AF9"/>
    <w:rsid w:val="00A84F9C"/>
    <w:rsid w:val="00A854EE"/>
    <w:rsid w:val="00A8637D"/>
    <w:rsid w:val="00A8674B"/>
    <w:rsid w:val="00A86AE6"/>
    <w:rsid w:val="00A870B6"/>
    <w:rsid w:val="00A8764E"/>
    <w:rsid w:val="00A8774C"/>
    <w:rsid w:val="00A90446"/>
    <w:rsid w:val="00A9046B"/>
    <w:rsid w:val="00A90504"/>
    <w:rsid w:val="00A90692"/>
    <w:rsid w:val="00A90889"/>
    <w:rsid w:val="00A90ADB"/>
    <w:rsid w:val="00A90B5D"/>
    <w:rsid w:val="00A90F55"/>
    <w:rsid w:val="00A91538"/>
    <w:rsid w:val="00A91CE4"/>
    <w:rsid w:val="00A92551"/>
    <w:rsid w:val="00A92665"/>
    <w:rsid w:val="00A93253"/>
    <w:rsid w:val="00A94149"/>
    <w:rsid w:val="00A94168"/>
    <w:rsid w:val="00A94361"/>
    <w:rsid w:val="00A944A8"/>
    <w:rsid w:val="00A94808"/>
    <w:rsid w:val="00A94C26"/>
    <w:rsid w:val="00A95222"/>
    <w:rsid w:val="00A959C9"/>
    <w:rsid w:val="00A95B33"/>
    <w:rsid w:val="00A96B42"/>
    <w:rsid w:val="00A9758D"/>
    <w:rsid w:val="00A97615"/>
    <w:rsid w:val="00A97624"/>
    <w:rsid w:val="00A977EE"/>
    <w:rsid w:val="00AA06F1"/>
    <w:rsid w:val="00AA0D02"/>
    <w:rsid w:val="00AA1827"/>
    <w:rsid w:val="00AA182F"/>
    <w:rsid w:val="00AA18C0"/>
    <w:rsid w:val="00AA1C79"/>
    <w:rsid w:val="00AA22CF"/>
    <w:rsid w:val="00AA372F"/>
    <w:rsid w:val="00AA3730"/>
    <w:rsid w:val="00AA3C37"/>
    <w:rsid w:val="00AA3C46"/>
    <w:rsid w:val="00AA5357"/>
    <w:rsid w:val="00AA590B"/>
    <w:rsid w:val="00AA5954"/>
    <w:rsid w:val="00AA59B0"/>
    <w:rsid w:val="00AA5B67"/>
    <w:rsid w:val="00AA5BAD"/>
    <w:rsid w:val="00AA5C80"/>
    <w:rsid w:val="00AA623D"/>
    <w:rsid w:val="00AA667F"/>
    <w:rsid w:val="00AA69AD"/>
    <w:rsid w:val="00AA6B51"/>
    <w:rsid w:val="00AA6D42"/>
    <w:rsid w:val="00AA72D3"/>
    <w:rsid w:val="00AA7543"/>
    <w:rsid w:val="00AA7C57"/>
    <w:rsid w:val="00AB02E4"/>
    <w:rsid w:val="00AB0818"/>
    <w:rsid w:val="00AB0B82"/>
    <w:rsid w:val="00AB0C62"/>
    <w:rsid w:val="00AB105E"/>
    <w:rsid w:val="00AB14BD"/>
    <w:rsid w:val="00AB1AEA"/>
    <w:rsid w:val="00AB23A2"/>
    <w:rsid w:val="00AB25BB"/>
    <w:rsid w:val="00AB2707"/>
    <w:rsid w:val="00AB3250"/>
    <w:rsid w:val="00AB331D"/>
    <w:rsid w:val="00AB35C3"/>
    <w:rsid w:val="00AB39F5"/>
    <w:rsid w:val="00AB3D5D"/>
    <w:rsid w:val="00AB4671"/>
    <w:rsid w:val="00AB46A0"/>
    <w:rsid w:val="00AB47D9"/>
    <w:rsid w:val="00AB5299"/>
    <w:rsid w:val="00AB582A"/>
    <w:rsid w:val="00AB5B8F"/>
    <w:rsid w:val="00AB6D3B"/>
    <w:rsid w:val="00AB6E3D"/>
    <w:rsid w:val="00AB6F90"/>
    <w:rsid w:val="00AB7025"/>
    <w:rsid w:val="00AB7090"/>
    <w:rsid w:val="00AB72D2"/>
    <w:rsid w:val="00AB74A2"/>
    <w:rsid w:val="00AB75E5"/>
    <w:rsid w:val="00AB76CB"/>
    <w:rsid w:val="00AC00FF"/>
    <w:rsid w:val="00AC08B6"/>
    <w:rsid w:val="00AC110D"/>
    <w:rsid w:val="00AC16EB"/>
    <w:rsid w:val="00AC1D73"/>
    <w:rsid w:val="00AC2290"/>
    <w:rsid w:val="00AC22FB"/>
    <w:rsid w:val="00AC2577"/>
    <w:rsid w:val="00AC2BA2"/>
    <w:rsid w:val="00AC3051"/>
    <w:rsid w:val="00AC3453"/>
    <w:rsid w:val="00AC36DC"/>
    <w:rsid w:val="00AC3E79"/>
    <w:rsid w:val="00AC3F36"/>
    <w:rsid w:val="00AC407E"/>
    <w:rsid w:val="00AC4150"/>
    <w:rsid w:val="00AC48B6"/>
    <w:rsid w:val="00AC4905"/>
    <w:rsid w:val="00AC51AE"/>
    <w:rsid w:val="00AC577F"/>
    <w:rsid w:val="00AC59CD"/>
    <w:rsid w:val="00AC5B37"/>
    <w:rsid w:val="00AC624A"/>
    <w:rsid w:val="00AC6370"/>
    <w:rsid w:val="00AC789C"/>
    <w:rsid w:val="00AC7934"/>
    <w:rsid w:val="00AC79C6"/>
    <w:rsid w:val="00AC7CEA"/>
    <w:rsid w:val="00AD0538"/>
    <w:rsid w:val="00AD07E0"/>
    <w:rsid w:val="00AD0DD7"/>
    <w:rsid w:val="00AD0F86"/>
    <w:rsid w:val="00AD1444"/>
    <w:rsid w:val="00AD145F"/>
    <w:rsid w:val="00AD17CD"/>
    <w:rsid w:val="00AD18A3"/>
    <w:rsid w:val="00AD18AF"/>
    <w:rsid w:val="00AD1F73"/>
    <w:rsid w:val="00AD1F86"/>
    <w:rsid w:val="00AD225C"/>
    <w:rsid w:val="00AD2C28"/>
    <w:rsid w:val="00AD2DA3"/>
    <w:rsid w:val="00AD3E3F"/>
    <w:rsid w:val="00AD3F34"/>
    <w:rsid w:val="00AD4171"/>
    <w:rsid w:val="00AD4381"/>
    <w:rsid w:val="00AD5759"/>
    <w:rsid w:val="00AD57CD"/>
    <w:rsid w:val="00AD5959"/>
    <w:rsid w:val="00AD5C19"/>
    <w:rsid w:val="00AD686B"/>
    <w:rsid w:val="00AD6E56"/>
    <w:rsid w:val="00AD7255"/>
    <w:rsid w:val="00AD78C7"/>
    <w:rsid w:val="00AD7B3E"/>
    <w:rsid w:val="00AE0460"/>
    <w:rsid w:val="00AE1463"/>
    <w:rsid w:val="00AE1714"/>
    <w:rsid w:val="00AE1ECE"/>
    <w:rsid w:val="00AE204C"/>
    <w:rsid w:val="00AE2368"/>
    <w:rsid w:val="00AE2704"/>
    <w:rsid w:val="00AE28DD"/>
    <w:rsid w:val="00AE2BFB"/>
    <w:rsid w:val="00AE2FF3"/>
    <w:rsid w:val="00AE3105"/>
    <w:rsid w:val="00AE31C2"/>
    <w:rsid w:val="00AE3D40"/>
    <w:rsid w:val="00AE420F"/>
    <w:rsid w:val="00AE4B4D"/>
    <w:rsid w:val="00AE546C"/>
    <w:rsid w:val="00AE55EB"/>
    <w:rsid w:val="00AE5C36"/>
    <w:rsid w:val="00AE5F9B"/>
    <w:rsid w:val="00AE691E"/>
    <w:rsid w:val="00AE699B"/>
    <w:rsid w:val="00AE721C"/>
    <w:rsid w:val="00AE7A16"/>
    <w:rsid w:val="00AE7CC9"/>
    <w:rsid w:val="00AE7DEE"/>
    <w:rsid w:val="00AF0592"/>
    <w:rsid w:val="00AF1AC8"/>
    <w:rsid w:val="00AF28B6"/>
    <w:rsid w:val="00AF297D"/>
    <w:rsid w:val="00AF2DCE"/>
    <w:rsid w:val="00AF2F47"/>
    <w:rsid w:val="00AF2FC6"/>
    <w:rsid w:val="00AF32AA"/>
    <w:rsid w:val="00AF387A"/>
    <w:rsid w:val="00AF3995"/>
    <w:rsid w:val="00AF3C1A"/>
    <w:rsid w:val="00AF47FD"/>
    <w:rsid w:val="00AF4AC3"/>
    <w:rsid w:val="00AF4AFA"/>
    <w:rsid w:val="00AF5825"/>
    <w:rsid w:val="00AF5B8F"/>
    <w:rsid w:val="00AF5D92"/>
    <w:rsid w:val="00AF62F5"/>
    <w:rsid w:val="00AF67D6"/>
    <w:rsid w:val="00AF6BD5"/>
    <w:rsid w:val="00AF79AA"/>
    <w:rsid w:val="00B006DF"/>
    <w:rsid w:val="00B00934"/>
    <w:rsid w:val="00B0145C"/>
    <w:rsid w:val="00B01775"/>
    <w:rsid w:val="00B01F1E"/>
    <w:rsid w:val="00B0201E"/>
    <w:rsid w:val="00B02228"/>
    <w:rsid w:val="00B026AD"/>
    <w:rsid w:val="00B0291B"/>
    <w:rsid w:val="00B02998"/>
    <w:rsid w:val="00B02DEA"/>
    <w:rsid w:val="00B02E7B"/>
    <w:rsid w:val="00B044C0"/>
    <w:rsid w:val="00B049F7"/>
    <w:rsid w:val="00B04BCC"/>
    <w:rsid w:val="00B04D35"/>
    <w:rsid w:val="00B05104"/>
    <w:rsid w:val="00B05253"/>
    <w:rsid w:val="00B052C4"/>
    <w:rsid w:val="00B05597"/>
    <w:rsid w:val="00B05CE2"/>
    <w:rsid w:val="00B06097"/>
    <w:rsid w:val="00B0629A"/>
    <w:rsid w:val="00B06ACF"/>
    <w:rsid w:val="00B06AFA"/>
    <w:rsid w:val="00B06B6C"/>
    <w:rsid w:val="00B06EE0"/>
    <w:rsid w:val="00B06F8A"/>
    <w:rsid w:val="00B07019"/>
    <w:rsid w:val="00B0713A"/>
    <w:rsid w:val="00B074F8"/>
    <w:rsid w:val="00B10359"/>
    <w:rsid w:val="00B10826"/>
    <w:rsid w:val="00B10943"/>
    <w:rsid w:val="00B109A0"/>
    <w:rsid w:val="00B11023"/>
    <w:rsid w:val="00B11685"/>
    <w:rsid w:val="00B11787"/>
    <w:rsid w:val="00B11A57"/>
    <w:rsid w:val="00B11C03"/>
    <w:rsid w:val="00B11FE3"/>
    <w:rsid w:val="00B12277"/>
    <w:rsid w:val="00B12622"/>
    <w:rsid w:val="00B134C9"/>
    <w:rsid w:val="00B14AE8"/>
    <w:rsid w:val="00B15295"/>
    <w:rsid w:val="00B15449"/>
    <w:rsid w:val="00B15B58"/>
    <w:rsid w:val="00B15D62"/>
    <w:rsid w:val="00B1627A"/>
    <w:rsid w:val="00B16289"/>
    <w:rsid w:val="00B16339"/>
    <w:rsid w:val="00B16C06"/>
    <w:rsid w:val="00B16E56"/>
    <w:rsid w:val="00B17499"/>
    <w:rsid w:val="00B17566"/>
    <w:rsid w:val="00B17B60"/>
    <w:rsid w:val="00B17C32"/>
    <w:rsid w:val="00B17E84"/>
    <w:rsid w:val="00B17FC5"/>
    <w:rsid w:val="00B20096"/>
    <w:rsid w:val="00B202B4"/>
    <w:rsid w:val="00B21074"/>
    <w:rsid w:val="00B210A3"/>
    <w:rsid w:val="00B21354"/>
    <w:rsid w:val="00B21525"/>
    <w:rsid w:val="00B21661"/>
    <w:rsid w:val="00B227FA"/>
    <w:rsid w:val="00B22BE2"/>
    <w:rsid w:val="00B22FE8"/>
    <w:rsid w:val="00B23131"/>
    <w:rsid w:val="00B23B5A"/>
    <w:rsid w:val="00B24BBA"/>
    <w:rsid w:val="00B2532F"/>
    <w:rsid w:val="00B255D9"/>
    <w:rsid w:val="00B2571D"/>
    <w:rsid w:val="00B257FD"/>
    <w:rsid w:val="00B258A8"/>
    <w:rsid w:val="00B25F5D"/>
    <w:rsid w:val="00B26273"/>
    <w:rsid w:val="00B26877"/>
    <w:rsid w:val="00B272BA"/>
    <w:rsid w:val="00B2798B"/>
    <w:rsid w:val="00B27D27"/>
    <w:rsid w:val="00B30045"/>
    <w:rsid w:val="00B3010E"/>
    <w:rsid w:val="00B30120"/>
    <w:rsid w:val="00B3091E"/>
    <w:rsid w:val="00B30C52"/>
    <w:rsid w:val="00B30E74"/>
    <w:rsid w:val="00B31308"/>
    <w:rsid w:val="00B31340"/>
    <w:rsid w:val="00B31452"/>
    <w:rsid w:val="00B31AB7"/>
    <w:rsid w:val="00B31B29"/>
    <w:rsid w:val="00B320F8"/>
    <w:rsid w:val="00B321C0"/>
    <w:rsid w:val="00B3239C"/>
    <w:rsid w:val="00B32468"/>
    <w:rsid w:val="00B325DF"/>
    <w:rsid w:val="00B329A7"/>
    <w:rsid w:val="00B333A2"/>
    <w:rsid w:val="00B3485F"/>
    <w:rsid w:val="00B3498D"/>
    <w:rsid w:val="00B34A29"/>
    <w:rsid w:val="00B34DF9"/>
    <w:rsid w:val="00B351D4"/>
    <w:rsid w:val="00B35603"/>
    <w:rsid w:val="00B35820"/>
    <w:rsid w:val="00B35D84"/>
    <w:rsid w:val="00B36559"/>
    <w:rsid w:val="00B36C4A"/>
    <w:rsid w:val="00B3736B"/>
    <w:rsid w:val="00B37824"/>
    <w:rsid w:val="00B37C24"/>
    <w:rsid w:val="00B40273"/>
    <w:rsid w:val="00B402EA"/>
    <w:rsid w:val="00B403FE"/>
    <w:rsid w:val="00B4066B"/>
    <w:rsid w:val="00B415F0"/>
    <w:rsid w:val="00B4176C"/>
    <w:rsid w:val="00B417AC"/>
    <w:rsid w:val="00B421A9"/>
    <w:rsid w:val="00B4229C"/>
    <w:rsid w:val="00B422E4"/>
    <w:rsid w:val="00B42425"/>
    <w:rsid w:val="00B42C92"/>
    <w:rsid w:val="00B42DB0"/>
    <w:rsid w:val="00B42F8C"/>
    <w:rsid w:val="00B4350A"/>
    <w:rsid w:val="00B437B5"/>
    <w:rsid w:val="00B43E55"/>
    <w:rsid w:val="00B44054"/>
    <w:rsid w:val="00B441E5"/>
    <w:rsid w:val="00B44469"/>
    <w:rsid w:val="00B45091"/>
    <w:rsid w:val="00B451BD"/>
    <w:rsid w:val="00B45247"/>
    <w:rsid w:val="00B4574C"/>
    <w:rsid w:val="00B459D2"/>
    <w:rsid w:val="00B45FFF"/>
    <w:rsid w:val="00B46022"/>
    <w:rsid w:val="00B464BA"/>
    <w:rsid w:val="00B46792"/>
    <w:rsid w:val="00B46E38"/>
    <w:rsid w:val="00B46F66"/>
    <w:rsid w:val="00B47235"/>
    <w:rsid w:val="00B4764F"/>
    <w:rsid w:val="00B476E1"/>
    <w:rsid w:val="00B47A11"/>
    <w:rsid w:val="00B47CB6"/>
    <w:rsid w:val="00B5030D"/>
    <w:rsid w:val="00B503CC"/>
    <w:rsid w:val="00B50C31"/>
    <w:rsid w:val="00B50C4D"/>
    <w:rsid w:val="00B51915"/>
    <w:rsid w:val="00B51B2F"/>
    <w:rsid w:val="00B526B5"/>
    <w:rsid w:val="00B52CCA"/>
    <w:rsid w:val="00B52E7C"/>
    <w:rsid w:val="00B538FF"/>
    <w:rsid w:val="00B53AE0"/>
    <w:rsid w:val="00B53CF3"/>
    <w:rsid w:val="00B53FB6"/>
    <w:rsid w:val="00B54603"/>
    <w:rsid w:val="00B54C55"/>
    <w:rsid w:val="00B54F2D"/>
    <w:rsid w:val="00B54F75"/>
    <w:rsid w:val="00B550A4"/>
    <w:rsid w:val="00B551A9"/>
    <w:rsid w:val="00B5570A"/>
    <w:rsid w:val="00B56112"/>
    <w:rsid w:val="00B5644B"/>
    <w:rsid w:val="00B566A6"/>
    <w:rsid w:val="00B566A7"/>
    <w:rsid w:val="00B56877"/>
    <w:rsid w:val="00B56A5F"/>
    <w:rsid w:val="00B56C83"/>
    <w:rsid w:val="00B57182"/>
    <w:rsid w:val="00B609C7"/>
    <w:rsid w:val="00B609CF"/>
    <w:rsid w:val="00B60DAB"/>
    <w:rsid w:val="00B60FAE"/>
    <w:rsid w:val="00B61680"/>
    <w:rsid w:val="00B61BF7"/>
    <w:rsid w:val="00B62082"/>
    <w:rsid w:val="00B6225A"/>
    <w:rsid w:val="00B6268F"/>
    <w:rsid w:val="00B62937"/>
    <w:rsid w:val="00B6294E"/>
    <w:rsid w:val="00B629A2"/>
    <w:rsid w:val="00B62D8B"/>
    <w:rsid w:val="00B636EE"/>
    <w:rsid w:val="00B63E79"/>
    <w:rsid w:val="00B641DF"/>
    <w:rsid w:val="00B6476F"/>
    <w:rsid w:val="00B647AB"/>
    <w:rsid w:val="00B64801"/>
    <w:rsid w:val="00B64804"/>
    <w:rsid w:val="00B64EAE"/>
    <w:rsid w:val="00B66227"/>
    <w:rsid w:val="00B66915"/>
    <w:rsid w:val="00B67C93"/>
    <w:rsid w:val="00B702C8"/>
    <w:rsid w:val="00B70600"/>
    <w:rsid w:val="00B70BE6"/>
    <w:rsid w:val="00B70EBC"/>
    <w:rsid w:val="00B7127D"/>
    <w:rsid w:val="00B715D2"/>
    <w:rsid w:val="00B71B3B"/>
    <w:rsid w:val="00B72AD4"/>
    <w:rsid w:val="00B72DDF"/>
    <w:rsid w:val="00B7305B"/>
    <w:rsid w:val="00B731F1"/>
    <w:rsid w:val="00B732A1"/>
    <w:rsid w:val="00B73508"/>
    <w:rsid w:val="00B735E5"/>
    <w:rsid w:val="00B73A11"/>
    <w:rsid w:val="00B73DB6"/>
    <w:rsid w:val="00B7450A"/>
    <w:rsid w:val="00B7487E"/>
    <w:rsid w:val="00B74946"/>
    <w:rsid w:val="00B74D66"/>
    <w:rsid w:val="00B74F6F"/>
    <w:rsid w:val="00B75117"/>
    <w:rsid w:val="00B75134"/>
    <w:rsid w:val="00B751AB"/>
    <w:rsid w:val="00B751DB"/>
    <w:rsid w:val="00B75744"/>
    <w:rsid w:val="00B75CF8"/>
    <w:rsid w:val="00B75E19"/>
    <w:rsid w:val="00B75E4F"/>
    <w:rsid w:val="00B75ECB"/>
    <w:rsid w:val="00B768AD"/>
    <w:rsid w:val="00B7712F"/>
    <w:rsid w:val="00B7736E"/>
    <w:rsid w:val="00B8089C"/>
    <w:rsid w:val="00B80B2A"/>
    <w:rsid w:val="00B80E18"/>
    <w:rsid w:val="00B816A6"/>
    <w:rsid w:val="00B8201E"/>
    <w:rsid w:val="00B82680"/>
    <w:rsid w:val="00B829F6"/>
    <w:rsid w:val="00B82A9A"/>
    <w:rsid w:val="00B82E48"/>
    <w:rsid w:val="00B82FC0"/>
    <w:rsid w:val="00B830C1"/>
    <w:rsid w:val="00B833DB"/>
    <w:rsid w:val="00B83442"/>
    <w:rsid w:val="00B8348F"/>
    <w:rsid w:val="00B834B5"/>
    <w:rsid w:val="00B840E2"/>
    <w:rsid w:val="00B849C6"/>
    <w:rsid w:val="00B84ADF"/>
    <w:rsid w:val="00B8544B"/>
    <w:rsid w:val="00B85525"/>
    <w:rsid w:val="00B8566F"/>
    <w:rsid w:val="00B8570D"/>
    <w:rsid w:val="00B85747"/>
    <w:rsid w:val="00B85B87"/>
    <w:rsid w:val="00B85DFD"/>
    <w:rsid w:val="00B86258"/>
    <w:rsid w:val="00B86457"/>
    <w:rsid w:val="00B865CA"/>
    <w:rsid w:val="00B86811"/>
    <w:rsid w:val="00B87579"/>
    <w:rsid w:val="00B908EB"/>
    <w:rsid w:val="00B90CA0"/>
    <w:rsid w:val="00B90D47"/>
    <w:rsid w:val="00B911F1"/>
    <w:rsid w:val="00B916EC"/>
    <w:rsid w:val="00B92601"/>
    <w:rsid w:val="00B928D0"/>
    <w:rsid w:val="00B92B4B"/>
    <w:rsid w:val="00B92B52"/>
    <w:rsid w:val="00B92C2C"/>
    <w:rsid w:val="00B9307B"/>
    <w:rsid w:val="00B931CF"/>
    <w:rsid w:val="00B934EC"/>
    <w:rsid w:val="00B93A3C"/>
    <w:rsid w:val="00B93BCA"/>
    <w:rsid w:val="00B93C02"/>
    <w:rsid w:val="00B9419B"/>
    <w:rsid w:val="00B94320"/>
    <w:rsid w:val="00B95177"/>
    <w:rsid w:val="00B952F0"/>
    <w:rsid w:val="00B9540D"/>
    <w:rsid w:val="00B9567F"/>
    <w:rsid w:val="00B956F2"/>
    <w:rsid w:val="00B95AD8"/>
    <w:rsid w:val="00B9639E"/>
    <w:rsid w:val="00B96B1A"/>
    <w:rsid w:val="00B96C15"/>
    <w:rsid w:val="00B96F6F"/>
    <w:rsid w:val="00B96F7A"/>
    <w:rsid w:val="00B974D5"/>
    <w:rsid w:val="00B97A67"/>
    <w:rsid w:val="00B97BD3"/>
    <w:rsid w:val="00BA012B"/>
    <w:rsid w:val="00BA027B"/>
    <w:rsid w:val="00BA07C8"/>
    <w:rsid w:val="00BA083C"/>
    <w:rsid w:val="00BA0BE3"/>
    <w:rsid w:val="00BA1794"/>
    <w:rsid w:val="00BA27F0"/>
    <w:rsid w:val="00BA381B"/>
    <w:rsid w:val="00BA49D3"/>
    <w:rsid w:val="00BA4EEC"/>
    <w:rsid w:val="00BA4F7A"/>
    <w:rsid w:val="00BA501A"/>
    <w:rsid w:val="00BA5052"/>
    <w:rsid w:val="00BA5282"/>
    <w:rsid w:val="00BA55E3"/>
    <w:rsid w:val="00BA6BE5"/>
    <w:rsid w:val="00BA6FB7"/>
    <w:rsid w:val="00BA71B1"/>
    <w:rsid w:val="00BA7455"/>
    <w:rsid w:val="00BA745E"/>
    <w:rsid w:val="00BA757E"/>
    <w:rsid w:val="00BA78BC"/>
    <w:rsid w:val="00BB0347"/>
    <w:rsid w:val="00BB051C"/>
    <w:rsid w:val="00BB06AE"/>
    <w:rsid w:val="00BB0A93"/>
    <w:rsid w:val="00BB0CBF"/>
    <w:rsid w:val="00BB0EC6"/>
    <w:rsid w:val="00BB1546"/>
    <w:rsid w:val="00BB165C"/>
    <w:rsid w:val="00BB1C09"/>
    <w:rsid w:val="00BB1E37"/>
    <w:rsid w:val="00BB1F9D"/>
    <w:rsid w:val="00BB2078"/>
    <w:rsid w:val="00BB2B8C"/>
    <w:rsid w:val="00BB2CCC"/>
    <w:rsid w:val="00BB2CD0"/>
    <w:rsid w:val="00BB2CE8"/>
    <w:rsid w:val="00BB34F0"/>
    <w:rsid w:val="00BB3D91"/>
    <w:rsid w:val="00BB3E26"/>
    <w:rsid w:val="00BB3FBB"/>
    <w:rsid w:val="00BB4470"/>
    <w:rsid w:val="00BB47BB"/>
    <w:rsid w:val="00BB49CF"/>
    <w:rsid w:val="00BB4D5A"/>
    <w:rsid w:val="00BB52B3"/>
    <w:rsid w:val="00BB52FD"/>
    <w:rsid w:val="00BB54F3"/>
    <w:rsid w:val="00BB56D9"/>
    <w:rsid w:val="00BB5A90"/>
    <w:rsid w:val="00BB5B46"/>
    <w:rsid w:val="00BB5CC4"/>
    <w:rsid w:val="00BB6A95"/>
    <w:rsid w:val="00BB6C30"/>
    <w:rsid w:val="00BB6D01"/>
    <w:rsid w:val="00BB6E37"/>
    <w:rsid w:val="00BB79D2"/>
    <w:rsid w:val="00BC0081"/>
    <w:rsid w:val="00BC00FD"/>
    <w:rsid w:val="00BC0321"/>
    <w:rsid w:val="00BC0347"/>
    <w:rsid w:val="00BC080B"/>
    <w:rsid w:val="00BC0A28"/>
    <w:rsid w:val="00BC0B43"/>
    <w:rsid w:val="00BC0CCB"/>
    <w:rsid w:val="00BC0DAA"/>
    <w:rsid w:val="00BC0DE3"/>
    <w:rsid w:val="00BC0F7D"/>
    <w:rsid w:val="00BC122A"/>
    <w:rsid w:val="00BC1908"/>
    <w:rsid w:val="00BC196E"/>
    <w:rsid w:val="00BC1B7E"/>
    <w:rsid w:val="00BC1B88"/>
    <w:rsid w:val="00BC21C8"/>
    <w:rsid w:val="00BC2299"/>
    <w:rsid w:val="00BC235E"/>
    <w:rsid w:val="00BC25DE"/>
    <w:rsid w:val="00BC2F65"/>
    <w:rsid w:val="00BC343B"/>
    <w:rsid w:val="00BC369E"/>
    <w:rsid w:val="00BC3970"/>
    <w:rsid w:val="00BC3C58"/>
    <w:rsid w:val="00BC45E8"/>
    <w:rsid w:val="00BC4B74"/>
    <w:rsid w:val="00BC4C0E"/>
    <w:rsid w:val="00BC4F3B"/>
    <w:rsid w:val="00BC52C9"/>
    <w:rsid w:val="00BC5C24"/>
    <w:rsid w:val="00BC6BD6"/>
    <w:rsid w:val="00BC6FB6"/>
    <w:rsid w:val="00BC701A"/>
    <w:rsid w:val="00BC7538"/>
    <w:rsid w:val="00BC794F"/>
    <w:rsid w:val="00BC79FB"/>
    <w:rsid w:val="00BC7A04"/>
    <w:rsid w:val="00BC7B39"/>
    <w:rsid w:val="00BC7B7C"/>
    <w:rsid w:val="00BC7FF5"/>
    <w:rsid w:val="00BD01A3"/>
    <w:rsid w:val="00BD022F"/>
    <w:rsid w:val="00BD1259"/>
    <w:rsid w:val="00BD1770"/>
    <w:rsid w:val="00BD2FE0"/>
    <w:rsid w:val="00BD3939"/>
    <w:rsid w:val="00BD3C6A"/>
    <w:rsid w:val="00BD3DB2"/>
    <w:rsid w:val="00BD415B"/>
    <w:rsid w:val="00BD42D2"/>
    <w:rsid w:val="00BD5084"/>
    <w:rsid w:val="00BD50D8"/>
    <w:rsid w:val="00BD55B5"/>
    <w:rsid w:val="00BD5D84"/>
    <w:rsid w:val="00BD5DA3"/>
    <w:rsid w:val="00BD663B"/>
    <w:rsid w:val="00BD6C3E"/>
    <w:rsid w:val="00BD6CD4"/>
    <w:rsid w:val="00BD6FD6"/>
    <w:rsid w:val="00BD7436"/>
    <w:rsid w:val="00BD7E40"/>
    <w:rsid w:val="00BE0229"/>
    <w:rsid w:val="00BE0332"/>
    <w:rsid w:val="00BE04FB"/>
    <w:rsid w:val="00BE0954"/>
    <w:rsid w:val="00BE0C69"/>
    <w:rsid w:val="00BE11CE"/>
    <w:rsid w:val="00BE1757"/>
    <w:rsid w:val="00BE1816"/>
    <w:rsid w:val="00BE1ABA"/>
    <w:rsid w:val="00BE22AA"/>
    <w:rsid w:val="00BE26E8"/>
    <w:rsid w:val="00BE33B4"/>
    <w:rsid w:val="00BE3B37"/>
    <w:rsid w:val="00BE3B40"/>
    <w:rsid w:val="00BE4282"/>
    <w:rsid w:val="00BE481A"/>
    <w:rsid w:val="00BE4BB2"/>
    <w:rsid w:val="00BE50F4"/>
    <w:rsid w:val="00BE5555"/>
    <w:rsid w:val="00BE56B3"/>
    <w:rsid w:val="00BE594D"/>
    <w:rsid w:val="00BE5D11"/>
    <w:rsid w:val="00BE61B8"/>
    <w:rsid w:val="00BE6624"/>
    <w:rsid w:val="00BE7792"/>
    <w:rsid w:val="00BE77C8"/>
    <w:rsid w:val="00BE7A89"/>
    <w:rsid w:val="00BE7B38"/>
    <w:rsid w:val="00BE7D90"/>
    <w:rsid w:val="00BF00CC"/>
    <w:rsid w:val="00BF03A7"/>
    <w:rsid w:val="00BF08D2"/>
    <w:rsid w:val="00BF0AFA"/>
    <w:rsid w:val="00BF1210"/>
    <w:rsid w:val="00BF1441"/>
    <w:rsid w:val="00BF1680"/>
    <w:rsid w:val="00BF174C"/>
    <w:rsid w:val="00BF1793"/>
    <w:rsid w:val="00BF1890"/>
    <w:rsid w:val="00BF1C2F"/>
    <w:rsid w:val="00BF2553"/>
    <w:rsid w:val="00BF2BB3"/>
    <w:rsid w:val="00BF2D94"/>
    <w:rsid w:val="00BF2FC4"/>
    <w:rsid w:val="00BF312B"/>
    <w:rsid w:val="00BF31AF"/>
    <w:rsid w:val="00BF33C4"/>
    <w:rsid w:val="00BF3C8F"/>
    <w:rsid w:val="00BF3D96"/>
    <w:rsid w:val="00BF482C"/>
    <w:rsid w:val="00BF4A38"/>
    <w:rsid w:val="00BF4BF9"/>
    <w:rsid w:val="00BF57CB"/>
    <w:rsid w:val="00BF5894"/>
    <w:rsid w:val="00BF5B42"/>
    <w:rsid w:val="00BF5BD2"/>
    <w:rsid w:val="00BF5F47"/>
    <w:rsid w:val="00BF5F7B"/>
    <w:rsid w:val="00BF6317"/>
    <w:rsid w:val="00BF6343"/>
    <w:rsid w:val="00BF6448"/>
    <w:rsid w:val="00BF68A8"/>
    <w:rsid w:val="00BF6B99"/>
    <w:rsid w:val="00BF7059"/>
    <w:rsid w:val="00BF71A1"/>
    <w:rsid w:val="00BF7738"/>
    <w:rsid w:val="00BF7817"/>
    <w:rsid w:val="00BF7C4B"/>
    <w:rsid w:val="00BF7FBF"/>
    <w:rsid w:val="00C000B4"/>
    <w:rsid w:val="00C002DE"/>
    <w:rsid w:val="00C002F9"/>
    <w:rsid w:val="00C00904"/>
    <w:rsid w:val="00C00C40"/>
    <w:rsid w:val="00C014F5"/>
    <w:rsid w:val="00C01795"/>
    <w:rsid w:val="00C02433"/>
    <w:rsid w:val="00C02539"/>
    <w:rsid w:val="00C0359B"/>
    <w:rsid w:val="00C037C9"/>
    <w:rsid w:val="00C03999"/>
    <w:rsid w:val="00C03A33"/>
    <w:rsid w:val="00C03BD1"/>
    <w:rsid w:val="00C03BE1"/>
    <w:rsid w:val="00C04309"/>
    <w:rsid w:val="00C04BE0"/>
    <w:rsid w:val="00C04C87"/>
    <w:rsid w:val="00C0537C"/>
    <w:rsid w:val="00C05905"/>
    <w:rsid w:val="00C05A28"/>
    <w:rsid w:val="00C05A87"/>
    <w:rsid w:val="00C05C78"/>
    <w:rsid w:val="00C05EA4"/>
    <w:rsid w:val="00C0619D"/>
    <w:rsid w:val="00C063A7"/>
    <w:rsid w:val="00C065DE"/>
    <w:rsid w:val="00C06973"/>
    <w:rsid w:val="00C06E62"/>
    <w:rsid w:val="00C071B0"/>
    <w:rsid w:val="00C07209"/>
    <w:rsid w:val="00C0765D"/>
    <w:rsid w:val="00C07B23"/>
    <w:rsid w:val="00C07EB8"/>
    <w:rsid w:val="00C10502"/>
    <w:rsid w:val="00C10BBF"/>
    <w:rsid w:val="00C10E1D"/>
    <w:rsid w:val="00C11741"/>
    <w:rsid w:val="00C12832"/>
    <w:rsid w:val="00C12A78"/>
    <w:rsid w:val="00C1329F"/>
    <w:rsid w:val="00C144B6"/>
    <w:rsid w:val="00C147E8"/>
    <w:rsid w:val="00C1508F"/>
    <w:rsid w:val="00C15D74"/>
    <w:rsid w:val="00C15DB4"/>
    <w:rsid w:val="00C1639F"/>
    <w:rsid w:val="00C16468"/>
    <w:rsid w:val="00C165B1"/>
    <w:rsid w:val="00C16656"/>
    <w:rsid w:val="00C16742"/>
    <w:rsid w:val="00C169D1"/>
    <w:rsid w:val="00C16A9C"/>
    <w:rsid w:val="00C16CC9"/>
    <w:rsid w:val="00C16DDA"/>
    <w:rsid w:val="00C16DF7"/>
    <w:rsid w:val="00C16E3F"/>
    <w:rsid w:val="00C17011"/>
    <w:rsid w:val="00C17642"/>
    <w:rsid w:val="00C17DE3"/>
    <w:rsid w:val="00C20132"/>
    <w:rsid w:val="00C2039F"/>
    <w:rsid w:val="00C208F0"/>
    <w:rsid w:val="00C20D4F"/>
    <w:rsid w:val="00C21115"/>
    <w:rsid w:val="00C2141D"/>
    <w:rsid w:val="00C21B4D"/>
    <w:rsid w:val="00C21C2A"/>
    <w:rsid w:val="00C2222B"/>
    <w:rsid w:val="00C22D00"/>
    <w:rsid w:val="00C23129"/>
    <w:rsid w:val="00C234E2"/>
    <w:rsid w:val="00C23589"/>
    <w:rsid w:val="00C23658"/>
    <w:rsid w:val="00C23E7A"/>
    <w:rsid w:val="00C2463B"/>
    <w:rsid w:val="00C24743"/>
    <w:rsid w:val="00C24D8A"/>
    <w:rsid w:val="00C25422"/>
    <w:rsid w:val="00C25648"/>
    <w:rsid w:val="00C2576E"/>
    <w:rsid w:val="00C25C56"/>
    <w:rsid w:val="00C25E1E"/>
    <w:rsid w:val="00C25F65"/>
    <w:rsid w:val="00C26293"/>
    <w:rsid w:val="00C26D16"/>
    <w:rsid w:val="00C27033"/>
    <w:rsid w:val="00C27336"/>
    <w:rsid w:val="00C274AA"/>
    <w:rsid w:val="00C27664"/>
    <w:rsid w:val="00C2798D"/>
    <w:rsid w:val="00C27ECE"/>
    <w:rsid w:val="00C30359"/>
    <w:rsid w:val="00C30574"/>
    <w:rsid w:val="00C3071C"/>
    <w:rsid w:val="00C30E23"/>
    <w:rsid w:val="00C312D3"/>
    <w:rsid w:val="00C31956"/>
    <w:rsid w:val="00C32293"/>
    <w:rsid w:val="00C3277B"/>
    <w:rsid w:val="00C32FCF"/>
    <w:rsid w:val="00C33079"/>
    <w:rsid w:val="00C338D1"/>
    <w:rsid w:val="00C33972"/>
    <w:rsid w:val="00C33DEE"/>
    <w:rsid w:val="00C33F29"/>
    <w:rsid w:val="00C3417D"/>
    <w:rsid w:val="00C347AF"/>
    <w:rsid w:val="00C34A56"/>
    <w:rsid w:val="00C34B08"/>
    <w:rsid w:val="00C34E04"/>
    <w:rsid w:val="00C35265"/>
    <w:rsid w:val="00C35428"/>
    <w:rsid w:val="00C354EA"/>
    <w:rsid w:val="00C3608D"/>
    <w:rsid w:val="00C372D1"/>
    <w:rsid w:val="00C37743"/>
    <w:rsid w:val="00C37E01"/>
    <w:rsid w:val="00C40F3D"/>
    <w:rsid w:val="00C413C5"/>
    <w:rsid w:val="00C41449"/>
    <w:rsid w:val="00C41861"/>
    <w:rsid w:val="00C41D94"/>
    <w:rsid w:val="00C41FBA"/>
    <w:rsid w:val="00C42BE2"/>
    <w:rsid w:val="00C430B4"/>
    <w:rsid w:val="00C432D5"/>
    <w:rsid w:val="00C435AF"/>
    <w:rsid w:val="00C436BC"/>
    <w:rsid w:val="00C437E2"/>
    <w:rsid w:val="00C438B9"/>
    <w:rsid w:val="00C438D1"/>
    <w:rsid w:val="00C43CB6"/>
    <w:rsid w:val="00C44171"/>
    <w:rsid w:val="00C44547"/>
    <w:rsid w:val="00C4472E"/>
    <w:rsid w:val="00C44BF2"/>
    <w:rsid w:val="00C44FD5"/>
    <w:rsid w:val="00C45231"/>
    <w:rsid w:val="00C453D7"/>
    <w:rsid w:val="00C455F6"/>
    <w:rsid w:val="00C459C5"/>
    <w:rsid w:val="00C45A44"/>
    <w:rsid w:val="00C46209"/>
    <w:rsid w:val="00C46B99"/>
    <w:rsid w:val="00C47765"/>
    <w:rsid w:val="00C479FF"/>
    <w:rsid w:val="00C47A9A"/>
    <w:rsid w:val="00C47D57"/>
    <w:rsid w:val="00C5087D"/>
    <w:rsid w:val="00C50893"/>
    <w:rsid w:val="00C50B01"/>
    <w:rsid w:val="00C50B34"/>
    <w:rsid w:val="00C50C74"/>
    <w:rsid w:val="00C518D5"/>
    <w:rsid w:val="00C51D1D"/>
    <w:rsid w:val="00C52789"/>
    <w:rsid w:val="00C5287C"/>
    <w:rsid w:val="00C52891"/>
    <w:rsid w:val="00C52B9F"/>
    <w:rsid w:val="00C52D5B"/>
    <w:rsid w:val="00C52F04"/>
    <w:rsid w:val="00C531E9"/>
    <w:rsid w:val="00C540CE"/>
    <w:rsid w:val="00C54C45"/>
    <w:rsid w:val="00C54F08"/>
    <w:rsid w:val="00C54FD0"/>
    <w:rsid w:val="00C55B73"/>
    <w:rsid w:val="00C560D1"/>
    <w:rsid w:val="00C56691"/>
    <w:rsid w:val="00C570D7"/>
    <w:rsid w:val="00C57779"/>
    <w:rsid w:val="00C57A53"/>
    <w:rsid w:val="00C60020"/>
    <w:rsid w:val="00C60458"/>
    <w:rsid w:val="00C60621"/>
    <w:rsid w:val="00C60E00"/>
    <w:rsid w:val="00C60E6E"/>
    <w:rsid w:val="00C617D0"/>
    <w:rsid w:val="00C61A3D"/>
    <w:rsid w:val="00C626F6"/>
    <w:rsid w:val="00C62BF6"/>
    <w:rsid w:val="00C630BF"/>
    <w:rsid w:val="00C630F6"/>
    <w:rsid w:val="00C638BD"/>
    <w:rsid w:val="00C639C0"/>
    <w:rsid w:val="00C63EB2"/>
    <w:rsid w:val="00C63FEF"/>
    <w:rsid w:val="00C64244"/>
    <w:rsid w:val="00C644DB"/>
    <w:rsid w:val="00C64FFB"/>
    <w:rsid w:val="00C650E7"/>
    <w:rsid w:val="00C65265"/>
    <w:rsid w:val="00C6613B"/>
    <w:rsid w:val="00C666DD"/>
    <w:rsid w:val="00C669D9"/>
    <w:rsid w:val="00C66B23"/>
    <w:rsid w:val="00C67004"/>
    <w:rsid w:val="00C67D38"/>
    <w:rsid w:val="00C67E02"/>
    <w:rsid w:val="00C67EFD"/>
    <w:rsid w:val="00C67F60"/>
    <w:rsid w:val="00C706A7"/>
    <w:rsid w:val="00C708CC"/>
    <w:rsid w:val="00C709FE"/>
    <w:rsid w:val="00C70FCB"/>
    <w:rsid w:val="00C71669"/>
    <w:rsid w:val="00C71F3A"/>
    <w:rsid w:val="00C72665"/>
    <w:rsid w:val="00C72738"/>
    <w:rsid w:val="00C7277E"/>
    <w:rsid w:val="00C72833"/>
    <w:rsid w:val="00C72E13"/>
    <w:rsid w:val="00C72F94"/>
    <w:rsid w:val="00C74000"/>
    <w:rsid w:val="00C7484E"/>
    <w:rsid w:val="00C74B2E"/>
    <w:rsid w:val="00C74DE2"/>
    <w:rsid w:val="00C75C28"/>
    <w:rsid w:val="00C75C6B"/>
    <w:rsid w:val="00C75D8C"/>
    <w:rsid w:val="00C7633E"/>
    <w:rsid w:val="00C76664"/>
    <w:rsid w:val="00C77CB7"/>
    <w:rsid w:val="00C80B07"/>
    <w:rsid w:val="00C80CE5"/>
    <w:rsid w:val="00C80D46"/>
    <w:rsid w:val="00C80EBD"/>
    <w:rsid w:val="00C81245"/>
    <w:rsid w:val="00C8162B"/>
    <w:rsid w:val="00C816CD"/>
    <w:rsid w:val="00C816D4"/>
    <w:rsid w:val="00C8195E"/>
    <w:rsid w:val="00C819E8"/>
    <w:rsid w:val="00C81A32"/>
    <w:rsid w:val="00C821B1"/>
    <w:rsid w:val="00C82342"/>
    <w:rsid w:val="00C82371"/>
    <w:rsid w:val="00C824E1"/>
    <w:rsid w:val="00C836AD"/>
    <w:rsid w:val="00C839B0"/>
    <w:rsid w:val="00C83A01"/>
    <w:rsid w:val="00C83B6C"/>
    <w:rsid w:val="00C83D72"/>
    <w:rsid w:val="00C84018"/>
    <w:rsid w:val="00C8479F"/>
    <w:rsid w:val="00C849EB"/>
    <w:rsid w:val="00C84B1F"/>
    <w:rsid w:val="00C84BFC"/>
    <w:rsid w:val="00C8578F"/>
    <w:rsid w:val="00C85C59"/>
    <w:rsid w:val="00C86003"/>
    <w:rsid w:val="00C8700C"/>
    <w:rsid w:val="00C87385"/>
    <w:rsid w:val="00C87445"/>
    <w:rsid w:val="00C9033C"/>
    <w:rsid w:val="00C90582"/>
    <w:rsid w:val="00C90821"/>
    <w:rsid w:val="00C90C31"/>
    <w:rsid w:val="00C90D1C"/>
    <w:rsid w:val="00C91011"/>
    <w:rsid w:val="00C91D99"/>
    <w:rsid w:val="00C92415"/>
    <w:rsid w:val="00C926CF"/>
    <w:rsid w:val="00C929BE"/>
    <w:rsid w:val="00C92E57"/>
    <w:rsid w:val="00C93F40"/>
    <w:rsid w:val="00C9450C"/>
    <w:rsid w:val="00C94931"/>
    <w:rsid w:val="00C94993"/>
    <w:rsid w:val="00C94A97"/>
    <w:rsid w:val="00C94BE1"/>
    <w:rsid w:val="00C954A3"/>
    <w:rsid w:val="00C95B4B"/>
    <w:rsid w:val="00C95F11"/>
    <w:rsid w:val="00C96216"/>
    <w:rsid w:val="00C968B6"/>
    <w:rsid w:val="00C96B33"/>
    <w:rsid w:val="00C9701D"/>
    <w:rsid w:val="00C975CE"/>
    <w:rsid w:val="00C977FF"/>
    <w:rsid w:val="00C97817"/>
    <w:rsid w:val="00C979C2"/>
    <w:rsid w:val="00C97ADE"/>
    <w:rsid w:val="00CA044A"/>
    <w:rsid w:val="00CA0759"/>
    <w:rsid w:val="00CA08A8"/>
    <w:rsid w:val="00CA0AD5"/>
    <w:rsid w:val="00CA0C73"/>
    <w:rsid w:val="00CA0E12"/>
    <w:rsid w:val="00CA114E"/>
    <w:rsid w:val="00CA1203"/>
    <w:rsid w:val="00CA12AA"/>
    <w:rsid w:val="00CA1FAD"/>
    <w:rsid w:val="00CA279E"/>
    <w:rsid w:val="00CA28E8"/>
    <w:rsid w:val="00CA29A6"/>
    <w:rsid w:val="00CA2FEF"/>
    <w:rsid w:val="00CA3D0C"/>
    <w:rsid w:val="00CA3FC8"/>
    <w:rsid w:val="00CA409C"/>
    <w:rsid w:val="00CA44FD"/>
    <w:rsid w:val="00CA49BF"/>
    <w:rsid w:val="00CA4A85"/>
    <w:rsid w:val="00CA531B"/>
    <w:rsid w:val="00CA5611"/>
    <w:rsid w:val="00CA5D57"/>
    <w:rsid w:val="00CA6069"/>
    <w:rsid w:val="00CA6355"/>
    <w:rsid w:val="00CA657A"/>
    <w:rsid w:val="00CA6841"/>
    <w:rsid w:val="00CA684F"/>
    <w:rsid w:val="00CA6CDF"/>
    <w:rsid w:val="00CA7032"/>
    <w:rsid w:val="00CA7126"/>
    <w:rsid w:val="00CA7176"/>
    <w:rsid w:val="00CA72A9"/>
    <w:rsid w:val="00CA757E"/>
    <w:rsid w:val="00CA776E"/>
    <w:rsid w:val="00CB0482"/>
    <w:rsid w:val="00CB0C9E"/>
    <w:rsid w:val="00CB10CF"/>
    <w:rsid w:val="00CB12F8"/>
    <w:rsid w:val="00CB15F8"/>
    <w:rsid w:val="00CB1CB6"/>
    <w:rsid w:val="00CB1D2F"/>
    <w:rsid w:val="00CB1F49"/>
    <w:rsid w:val="00CB1FA4"/>
    <w:rsid w:val="00CB243F"/>
    <w:rsid w:val="00CB3DE4"/>
    <w:rsid w:val="00CB407C"/>
    <w:rsid w:val="00CB4278"/>
    <w:rsid w:val="00CB43BA"/>
    <w:rsid w:val="00CB4486"/>
    <w:rsid w:val="00CB468D"/>
    <w:rsid w:val="00CB4690"/>
    <w:rsid w:val="00CB5408"/>
    <w:rsid w:val="00CB5759"/>
    <w:rsid w:val="00CB5B28"/>
    <w:rsid w:val="00CB5BFB"/>
    <w:rsid w:val="00CB5D89"/>
    <w:rsid w:val="00CB5E05"/>
    <w:rsid w:val="00CB5FA5"/>
    <w:rsid w:val="00CB5FA9"/>
    <w:rsid w:val="00CB6352"/>
    <w:rsid w:val="00CB655A"/>
    <w:rsid w:val="00CB6B38"/>
    <w:rsid w:val="00CB71C0"/>
    <w:rsid w:val="00CB750A"/>
    <w:rsid w:val="00CB751D"/>
    <w:rsid w:val="00CB7579"/>
    <w:rsid w:val="00CB7E8E"/>
    <w:rsid w:val="00CC022E"/>
    <w:rsid w:val="00CC0A9B"/>
    <w:rsid w:val="00CC10D9"/>
    <w:rsid w:val="00CC1519"/>
    <w:rsid w:val="00CC17AB"/>
    <w:rsid w:val="00CC18AF"/>
    <w:rsid w:val="00CC219F"/>
    <w:rsid w:val="00CC232B"/>
    <w:rsid w:val="00CC29A0"/>
    <w:rsid w:val="00CC2AF3"/>
    <w:rsid w:val="00CC2C9F"/>
    <w:rsid w:val="00CC2CAC"/>
    <w:rsid w:val="00CC2D29"/>
    <w:rsid w:val="00CC2EEE"/>
    <w:rsid w:val="00CC33A9"/>
    <w:rsid w:val="00CC3EE9"/>
    <w:rsid w:val="00CC43BD"/>
    <w:rsid w:val="00CC4C2C"/>
    <w:rsid w:val="00CC4CE0"/>
    <w:rsid w:val="00CC5356"/>
    <w:rsid w:val="00CC587D"/>
    <w:rsid w:val="00CC5DC1"/>
    <w:rsid w:val="00CC5DCD"/>
    <w:rsid w:val="00CC6099"/>
    <w:rsid w:val="00CC62CF"/>
    <w:rsid w:val="00CC6760"/>
    <w:rsid w:val="00CC67CB"/>
    <w:rsid w:val="00CC6BB7"/>
    <w:rsid w:val="00CC714E"/>
    <w:rsid w:val="00CC77AE"/>
    <w:rsid w:val="00CD04CB"/>
    <w:rsid w:val="00CD04E5"/>
    <w:rsid w:val="00CD0683"/>
    <w:rsid w:val="00CD0AA2"/>
    <w:rsid w:val="00CD13AF"/>
    <w:rsid w:val="00CD1493"/>
    <w:rsid w:val="00CD16E2"/>
    <w:rsid w:val="00CD1B7C"/>
    <w:rsid w:val="00CD1FF3"/>
    <w:rsid w:val="00CD22C0"/>
    <w:rsid w:val="00CD2F38"/>
    <w:rsid w:val="00CD3510"/>
    <w:rsid w:val="00CD36E1"/>
    <w:rsid w:val="00CD3797"/>
    <w:rsid w:val="00CD3848"/>
    <w:rsid w:val="00CD3867"/>
    <w:rsid w:val="00CD3A3D"/>
    <w:rsid w:val="00CD415F"/>
    <w:rsid w:val="00CD41CB"/>
    <w:rsid w:val="00CD42C1"/>
    <w:rsid w:val="00CD4AAC"/>
    <w:rsid w:val="00CD4C15"/>
    <w:rsid w:val="00CD4C51"/>
    <w:rsid w:val="00CD5619"/>
    <w:rsid w:val="00CD5BA3"/>
    <w:rsid w:val="00CD6B73"/>
    <w:rsid w:val="00CD6C41"/>
    <w:rsid w:val="00CD6E7F"/>
    <w:rsid w:val="00CD71B9"/>
    <w:rsid w:val="00CD7631"/>
    <w:rsid w:val="00CD7F81"/>
    <w:rsid w:val="00CE0092"/>
    <w:rsid w:val="00CE05DA"/>
    <w:rsid w:val="00CE06D7"/>
    <w:rsid w:val="00CE0840"/>
    <w:rsid w:val="00CE0DBA"/>
    <w:rsid w:val="00CE1044"/>
    <w:rsid w:val="00CE145D"/>
    <w:rsid w:val="00CE16CE"/>
    <w:rsid w:val="00CE195D"/>
    <w:rsid w:val="00CE1AE5"/>
    <w:rsid w:val="00CE207C"/>
    <w:rsid w:val="00CE21C3"/>
    <w:rsid w:val="00CE2295"/>
    <w:rsid w:val="00CE22B3"/>
    <w:rsid w:val="00CE2354"/>
    <w:rsid w:val="00CE26F0"/>
    <w:rsid w:val="00CE28FC"/>
    <w:rsid w:val="00CE2983"/>
    <w:rsid w:val="00CE349C"/>
    <w:rsid w:val="00CE3699"/>
    <w:rsid w:val="00CE3793"/>
    <w:rsid w:val="00CE37A2"/>
    <w:rsid w:val="00CE415F"/>
    <w:rsid w:val="00CE42C0"/>
    <w:rsid w:val="00CE4633"/>
    <w:rsid w:val="00CE499A"/>
    <w:rsid w:val="00CE4BB5"/>
    <w:rsid w:val="00CE4DA4"/>
    <w:rsid w:val="00CE4F79"/>
    <w:rsid w:val="00CE5573"/>
    <w:rsid w:val="00CE5F3B"/>
    <w:rsid w:val="00CE5F92"/>
    <w:rsid w:val="00CE6077"/>
    <w:rsid w:val="00CE63F9"/>
    <w:rsid w:val="00CE749F"/>
    <w:rsid w:val="00CE7527"/>
    <w:rsid w:val="00CE762A"/>
    <w:rsid w:val="00CE768D"/>
    <w:rsid w:val="00CE7832"/>
    <w:rsid w:val="00CE7FB6"/>
    <w:rsid w:val="00CF01B5"/>
    <w:rsid w:val="00CF023D"/>
    <w:rsid w:val="00CF02AF"/>
    <w:rsid w:val="00CF065C"/>
    <w:rsid w:val="00CF0B3E"/>
    <w:rsid w:val="00CF0C37"/>
    <w:rsid w:val="00CF0E29"/>
    <w:rsid w:val="00CF0FEF"/>
    <w:rsid w:val="00CF13E7"/>
    <w:rsid w:val="00CF24EE"/>
    <w:rsid w:val="00CF2922"/>
    <w:rsid w:val="00CF2CAB"/>
    <w:rsid w:val="00CF2E09"/>
    <w:rsid w:val="00CF3D85"/>
    <w:rsid w:val="00CF40FD"/>
    <w:rsid w:val="00CF40FF"/>
    <w:rsid w:val="00CF45C9"/>
    <w:rsid w:val="00CF4A2A"/>
    <w:rsid w:val="00CF4C3F"/>
    <w:rsid w:val="00CF4D94"/>
    <w:rsid w:val="00CF5409"/>
    <w:rsid w:val="00CF55E0"/>
    <w:rsid w:val="00CF6C0C"/>
    <w:rsid w:val="00CF6C5F"/>
    <w:rsid w:val="00CF6FFD"/>
    <w:rsid w:val="00CF705D"/>
    <w:rsid w:val="00CF71DF"/>
    <w:rsid w:val="00CF7586"/>
    <w:rsid w:val="00CF75EE"/>
    <w:rsid w:val="00CF7967"/>
    <w:rsid w:val="00CF7D03"/>
    <w:rsid w:val="00D00051"/>
    <w:rsid w:val="00D003E8"/>
    <w:rsid w:val="00D00477"/>
    <w:rsid w:val="00D004ED"/>
    <w:rsid w:val="00D007F5"/>
    <w:rsid w:val="00D00943"/>
    <w:rsid w:val="00D009A9"/>
    <w:rsid w:val="00D00DFD"/>
    <w:rsid w:val="00D00F84"/>
    <w:rsid w:val="00D01511"/>
    <w:rsid w:val="00D0181C"/>
    <w:rsid w:val="00D01CF6"/>
    <w:rsid w:val="00D02126"/>
    <w:rsid w:val="00D02179"/>
    <w:rsid w:val="00D0225D"/>
    <w:rsid w:val="00D024BD"/>
    <w:rsid w:val="00D02624"/>
    <w:rsid w:val="00D0317D"/>
    <w:rsid w:val="00D03360"/>
    <w:rsid w:val="00D036C3"/>
    <w:rsid w:val="00D0376C"/>
    <w:rsid w:val="00D037B7"/>
    <w:rsid w:val="00D03E23"/>
    <w:rsid w:val="00D045C3"/>
    <w:rsid w:val="00D04724"/>
    <w:rsid w:val="00D0492C"/>
    <w:rsid w:val="00D04A11"/>
    <w:rsid w:val="00D04E71"/>
    <w:rsid w:val="00D05410"/>
    <w:rsid w:val="00D057B9"/>
    <w:rsid w:val="00D057D6"/>
    <w:rsid w:val="00D05F29"/>
    <w:rsid w:val="00D061E7"/>
    <w:rsid w:val="00D06741"/>
    <w:rsid w:val="00D0690E"/>
    <w:rsid w:val="00D07AEC"/>
    <w:rsid w:val="00D1127D"/>
    <w:rsid w:val="00D11941"/>
    <w:rsid w:val="00D11F23"/>
    <w:rsid w:val="00D123A9"/>
    <w:rsid w:val="00D1272A"/>
    <w:rsid w:val="00D12B5D"/>
    <w:rsid w:val="00D132C9"/>
    <w:rsid w:val="00D13954"/>
    <w:rsid w:val="00D13BEB"/>
    <w:rsid w:val="00D13EB0"/>
    <w:rsid w:val="00D1421F"/>
    <w:rsid w:val="00D1473B"/>
    <w:rsid w:val="00D14F55"/>
    <w:rsid w:val="00D15051"/>
    <w:rsid w:val="00D154CB"/>
    <w:rsid w:val="00D15604"/>
    <w:rsid w:val="00D15DED"/>
    <w:rsid w:val="00D15EB4"/>
    <w:rsid w:val="00D15F78"/>
    <w:rsid w:val="00D160B7"/>
    <w:rsid w:val="00D161FE"/>
    <w:rsid w:val="00D16C69"/>
    <w:rsid w:val="00D174EE"/>
    <w:rsid w:val="00D17DA9"/>
    <w:rsid w:val="00D17F77"/>
    <w:rsid w:val="00D20E23"/>
    <w:rsid w:val="00D20F04"/>
    <w:rsid w:val="00D212A2"/>
    <w:rsid w:val="00D21B60"/>
    <w:rsid w:val="00D21BF4"/>
    <w:rsid w:val="00D22512"/>
    <w:rsid w:val="00D22CF3"/>
    <w:rsid w:val="00D22E8C"/>
    <w:rsid w:val="00D233BC"/>
    <w:rsid w:val="00D235DE"/>
    <w:rsid w:val="00D236BC"/>
    <w:rsid w:val="00D239CE"/>
    <w:rsid w:val="00D23CE9"/>
    <w:rsid w:val="00D24129"/>
    <w:rsid w:val="00D24900"/>
    <w:rsid w:val="00D24A96"/>
    <w:rsid w:val="00D24F56"/>
    <w:rsid w:val="00D251CE"/>
    <w:rsid w:val="00D25A0F"/>
    <w:rsid w:val="00D25BAD"/>
    <w:rsid w:val="00D2686C"/>
    <w:rsid w:val="00D26AEE"/>
    <w:rsid w:val="00D26D2C"/>
    <w:rsid w:val="00D2706A"/>
    <w:rsid w:val="00D27894"/>
    <w:rsid w:val="00D27931"/>
    <w:rsid w:val="00D27C15"/>
    <w:rsid w:val="00D27EC6"/>
    <w:rsid w:val="00D30059"/>
    <w:rsid w:val="00D30258"/>
    <w:rsid w:val="00D30765"/>
    <w:rsid w:val="00D30CC2"/>
    <w:rsid w:val="00D30D3E"/>
    <w:rsid w:val="00D30F1C"/>
    <w:rsid w:val="00D31B03"/>
    <w:rsid w:val="00D322EE"/>
    <w:rsid w:val="00D32674"/>
    <w:rsid w:val="00D32835"/>
    <w:rsid w:val="00D32C58"/>
    <w:rsid w:val="00D32C97"/>
    <w:rsid w:val="00D330D8"/>
    <w:rsid w:val="00D3387C"/>
    <w:rsid w:val="00D338BB"/>
    <w:rsid w:val="00D33A4B"/>
    <w:rsid w:val="00D33CC1"/>
    <w:rsid w:val="00D3459C"/>
    <w:rsid w:val="00D349A8"/>
    <w:rsid w:val="00D34B83"/>
    <w:rsid w:val="00D34D98"/>
    <w:rsid w:val="00D34FAA"/>
    <w:rsid w:val="00D35C15"/>
    <w:rsid w:val="00D36459"/>
    <w:rsid w:val="00D3656C"/>
    <w:rsid w:val="00D36ACA"/>
    <w:rsid w:val="00D36B51"/>
    <w:rsid w:val="00D36B76"/>
    <w:rsid w:val="00D375DE"/>
    <w:rsid w:val="00D378BB"/>
    <w:rsid w:val="00D379D4"/>
    <w:rsid w:val="00D4060D"/>
    <w:rsid w:val="00D4070F"/>
    <w:rsid w:val="00D407FC"/>
    <w:rsid w:val="00D4106D"/>
    <w:rsid w:val="00D41185"/>
    <w:rsid w:val="00D4154A"/>
    <w:rsid w:val="00D41AF1"/>
    <w:rsid w:val="00D41B54"/>
    <w:rsid w:val="00D41B9E"/>
    <w:rsid w:val="00D42474"/>
    <w:rsid w:val="00D42607"/>
    <w:rsid w:val="00D42639"/>
    <w:rsid w:val="00D428AD"/>
    <w:rsid w:val="00D42929"/>
    <w:rsid w:val="00D429F6"/>
    <w:rsid w:val="00D42ADA"/>
    <w:rsid w:val="00D42FE8"/>
    <w:rsid w:val="00D43C2E"/>
    <w:rsid w:val="00D43F7A"/>
    <w:rsid w:val="00D44010"/>
    <w:rsid w:val="00D44140"/>
    <w:rsid w:val="00D448FF"/>
    <w:rsid w:val="00D44E88"/>
    <w:rsid w:val="00D44F89"/>
    <w:rsid w:val="00D45245"/>
    <w:rsid w:val="00D45515"/>
    <w:rsid w:val="00D45594"/>
    <w:rsid w:val="00D45B95"/>
    <w:rsid w:val="00D45EEE"/>
    <w:rsid w:val="00D4618D"/>
    <w:rsid w:val="00D462AB"/>
    <w:rsid w:val="00D4651E"/>
    <w:rsid w:val="00D46A8C"/>
    <w:rsid w:val="00D46EB3"/>
    <w:rsid w:val="00D470C1"/>
    <w:rsid w:val="00D47322"/>
    <w:rsid w:val="00D473BC"/>
    <w:rsid w:val="00D4794E"/>
    <w:rsid w:val="00D47D7E"/>
    <w:rsid w:val="00D47D9C"/>
    <w:rsid w:val="00D47EF6"/>
    <w:rsid w:val="00D50068"/>
    <w:rsid w:val="00D504CA"/>
    <w:rsid w:val="00D505EB"/>
    <w:rsid w:val="00D508B4"/>
    <w:rsid w:val="00D509B6"/>
    <w:rsid w:val="00D50AD4"/>
    <w:rsid w:val="00D50FCE"/>
    <w:rsid w:val="00D5121A"/>
    <w:rsid w:val="00D51C92"/>
    <w:rsid w:val="00D522FC"/>
    <w:rsid w:val="00D52480"/>
    <w:rsid w:val="00D5274C"/>
    <w:rsid w:val="00D52878"/>
    <w:rsid w:val="00D52BFC"/>
    <w:rsid w:val="00D52D67"/>
    <w:rsid w:val="00D53157"/>
    <w:rsid w:val="00D5367D"/>
    <w:rsid w:val="00D53B7C"/>
    <w:rsid w:val="00D5416B"/>
    <w:rsid w:val="00D54335"/>
    <w:rsid w:val="00D546AB"/>
    <w:rsid w:val="00D54F38"/>
    <w:rsid w:val="00D55633"/>
    <w:rsid w:val="00D5592C"/>
    <w:rsid w:val="00D55B94"/>
    <w:rsid w:val="00D55BB3"/>
    <w:rsid w:val="00D55D4C"/>
    <w:rsid w:val="00D55F06"/>
    <w:rsid w:val="00D561F4"/>
    <w:rsid w:val="00D56ADE"/>
    <w:rsid w:val="00D577A6"/>
    <w:rsid w:val="00D60329"/>
    <w:rsid w:val="00D609CB"/>
    <w:rsid w:val="00D60B07"/>
    <w:rsid w:val="00D60C3E"/>
    <w:rsid w:val="00D60D81"/>
    <w:rsid w:val="00D61600"/>
    <w:rsid w:val="00D617EC"/>
    <w:rsid w:val="00D621E7"/>
    <w:rsid w:val="00D6244A"/>
    <w:rsid w:val="00D62B7D"/>
    <w:rsid w:val="00D62CD7"/>
    <w:rsid w:val="00D631FA"/>
    <w:rsid w:val="00D63918"/>
    <w:rsid w:val="00D64C24"/>
    <w:rsid w:val="00D659F8"/>
    <w:rsid w:val="00D65AF7"/>
    <w:rsid w:val="00D65C13"/>
    <w:rsid w:val="00D65D46"/>
    <w:rsid w:val="00D6668A"/>
    <w:rsid w:val="00D6678C"/>
    <w:rsid w:val="00D66847"/>
    <w:rsid w:val="00D66F8F"/>
    <w:rsid w:val="00D6717F"/>
    <w:rsid w:val="00D673D5"/>
    <w:rsid w:val="00D673F9"/>
    <w:rsid w:val="00D67719"/>
    <w:rsid w:val="00D6778D"/>
    <w:rsid w:val="00D67B3E"/>
    <w:rsid w:val="00D67ED7"/>
    <w:rsid w:val="00D7012F"/>
    <w:rsid w:val="00D707DE"/>
    <w:rsid w:val="00D71ACE"/>
    <w:rsid w:val="00D7225D"/>
    <w:rsid w:val="00D72365"/>
    <w:rsid w:val="00D723AA"/>
    <w:rsid w:val="00D73539"/>
    <w:rsid w:val="00D735B5"/>
    <w:rsid w:val="00D738D6"/>
    <w:rsid w:val="00D74B66"/>
    <w:rsid w:val="00D74BC2"/>
    <w:rsid w:val="00D74FB4"/>
    <w:rsid w:val="00D74FC0"/>
    <w:rsid w:val="00D7506F"/>
    <w:rsid w:val="00D75097"/>
    <w:rsid w:val="00D755EB"/>
    <w:rsid w:val="00D75759"/>
    <w:rsid w:val="00D7585E"/>
    <w:rsid w:val="00D758A4"/>
    <w:rsid w:val="00D75BD6"/>
    <w:rsid w:val="00D763AE"/>
    <w:rsid w:val="00D765B0"/>
    <w:rsid w:val="00D765E5"/>
    <w:rsid w:val="00D76FBF"/>
    <w:rsid w:val="00D77950"/>
    <w:rsid w:val="00D77DEB"/>
    <w:rsid w:val="00D77FAA"/>
    <w:rsid w:val="00D800D1"/>
    <w:rsid w:val="00D804DD"/>
    <w:rsid w:val="00D8081C"/>
    <w:rsid w:val="00D80BA3"/>
    <w:rsid w:val="00D81079"/>
    <w:rsid w:val="00D81380"/>
    <w:rsid w:val="00D81BAA"/>
    <w:rsid w:val="00D81CF4"/>
    <w:rsid w:val="00D82119"/>
    <w:rsid w:val="00D82855"/>
    <w:rsid w:val="00D82C61"/>
    <w:rsid w:val="00D833E5"/>
    <w:rsid w:val="00D83654"/>
    <w:rsid w:val="00D841D8"/>
    <w:rsid w:val="00D8439B"/>
    <w:rsid w:val="00D847E1"/>
    <w:rsid w:val="00D84919"/>
    <w:rsid w:val="00D84B48"/>
    <w:rsid w:val="00D84B6E"/>
    <w:rsid w:val="00D84BFC"/>
    <w:rsid w:val="00D84EF1"/>
    <w:rsid w:val="00D85108"/>
    <w:rsid w:val="00D855F9"/>
    <w:rsid w:val="00D85797"/>
    <w:rsid w:val="00D860F6"/>
    <w:rsid w:val="00D86117"/>
    <w:rsid w:val="00D86580"/>
    <w:rsid w:val="00D86784"/>
    <w:rsid w:val="00D867AD"/>
    <w:rsid w:val="00D867E6"/>
    <w:rsid w:val="00D86E27"/>
    <w:rsid w:val="00D86E7C"/>
    <w:rsid w:val="00D87514"/>
    <w:rsid w:val="00D87673"/>
    <w:rsid w:val="00D87DA8"/>
    <w:rsid w:val="00D87E00"/>
    <w:rsid w:val="00D902A8"/>
    <w:rsid w:val="00D9134D"/>
    <w:rsid w:val="00D91988"/>
    <w:rsid w:val="00D91BD9"/>
    <w:rsid w:val="00D91FB6"/>
    <w:rsid w:val="00D920C8"/>
    <w:rsid w:val="00D92D37"/>
    <w:rsid w:val="00D93480"/>
    <w:rsid w:val="00D93568"/>
    <w:rsid w:val="00D93E79"/>
    <w:rsid w:val="00D93FD8"/>
    <w:rsid w:val="00D94060"/>
    <w:rsid w:val="00D94C8D"/>
    <w:rsid w:val="00D94F36"/>
    <w:rsid w:val="00D954B6"/>
    <w:rsid w:val="00D95F57"/>
    <w:rsid w:val="00D9666C"/>
    <w:rsid w:val="00D96AC1"/>
    <w:rsid w:val="00D97062"/>
    <w:rsid w:val="00D977A3"/>
    <w:rsid w:val="00D97837"/>
    <w:rsid w:val="00D9795C"/>
    <w:rsid w:val="00D97E2B"/>
    <w:rsid w:val="00D97E37"/>
    <w:rsid w:val="00DA065C"/>
    <w:rsid w:val="00DA0CE7"/>
    <w:rsid w:val="00DA1153"/>
    <w:rsid w:val="00DA1778"/>
    <w:rsid w:val="00DA1AB5"/>
    <w:rsid w:val="00DA1E2E"/>
    <w:rsid w:val="00DA237F"/>
    <w:rsid w:val="00DA2396"/>
    <w:rsid w:val="00DA239E"/>
    <w:rsid w:val="00DA2D77"/>
    <w:rsid w:val="00DA3281"/>
    <w:rsid w:val="00DA3610"/>
    <w:rsid w:val="00DA3A32"/>
    <w:rsid w:val="00DA42EF"/>
    <w:rsid w:val="00DA4DCE"/>
    <w:rsid w:val="00DA4FEB"/>
    <w:rsid w:val="00DA51A2"/>
    <w:rsid w:val="00DA5488"/>
    <w:rsid w:val="00DA54CB"/>
    <w:rsid w:val="00DA56BD"/>
    <w:rsid w:val="00DA6033"/>
    <w:rsid w:val="00DA78DB"/>
    <w:rsid w:val="00DA7A03"/>
    <w:rsid w:val="00DA7EE4"/>
    <w:rsid w:val="00DB01E2"/>
    <w:rsid w:val="00DB0377"/>
    <w:rsid w:val="00DB04A1"/>
    <w:rsid w:val="00DB06D9"/>
    <w:rsid w:val="00DB0C25"/>
    <w:rsid w:val="00DB0DAD"/>
    <w:rsid w:val="00DB1818"/>
    <w:rsid w:val="00DB1FD9"/>
    <w:rsid w:val="00DB25DF"/>
    <w:rsid w:val="00DB2640"/>
    <w:rsid w:val="00DB28D2"/>
    <w:rsid w:val="00DB307E"/>
    <w:rsid w:val="00DB38DB"/>
    <w:rsid w:val="00DB4346"/>
    <w:rsid w:val="00DB4B1B"/>
    <w:rsid w:val="00DB4D0F"/>
    <w:rsid w:val="00DB55AB"/>
    <w:rsid w:val="00DB6700"/>
    <w:rsid w:val="00DB67EE"/>
    <w:rsid w:val="00DB682A"/>
    <w:rsid w:val="00DB6AB7"/>
    <w:rsid w:val="00DB6AF6"/>
    <w:rsid w:val="00DB6E8A"/>
    <w:rsid w:val="00DB70A3"/>
    <w:rsid w:val="00DB7613"/>
    <w:rsid w:val="00DB79F4"/>
    <w:rsid w:val="00DB7C5D"/>
    <w:rsid w:val="00DB7C8E"/>
    <w:rsid w:val="00DB7D93"/>
    <w:rsid w:val="00DB7F22"/>
    <w:rsid w:val="00DC01E4"/>
    <w:rsid w:val="00DC0499"/>
    <w:rsid w:val="00DC0B1D"/>
    <w:rsid w:val="00DC0B9E"/>
    <w:rsid w:val="00DC186A"/>
    <w:rsid w:val="00DC2017"/>
    <w:rsid w:val="00DC265F"/>
    <w:rsid w:val="00DC296D"/>
    <w:rsid w:val="00DC309B"/>
    <w:rsid w:val="00DC328E"/>
    <w:rsid w:val="00DC353E"/>
    <w:rsid w:val="00DC37F3"/>
    <w:rsid w:val="00DC390F"/>
    <w:rsid w:val="00DC4724"/>
    <w:rsid w:val="00DC4816"/>
    <w:rsid w:val="00DC4C38"/>
    <w:rsid w:val="00DC4DA2"/>
    <w:rsid w:val="00DC57A8"/>
    <w:rsid w:val="00DC5D0F"/>
    <w:rsid w:val="00DC5DC7"/>
    <w:rsid w:val="00DC5F31"/>
    <w:rsid w:val="00DC606C"/>
    <w:rsid w:val="00DC6A77"/>
    <w:rsid w:val="00DC6ABA"/>
    <w:rsid w:val="00DC6AEB"/>
    <w:rsid w:val="00DC6E29"/>
    <w:rsid w:val="00DC6FA8"/>
    <w:rsid w:val="00DD01B8"/>
    <w:rsid w:val="00DD0C2E"/>
    <w:rsid w:val="00DD10B5"/>
    <w:rsid w:val="00DD134C"/>
    <w:rsid w:val="00DD13B8"/>
    <w:rsid w:val="00DD22B4"/>
    <w:rsid w:val="00DD2975"/>
    <w:rsid w:val="00DD2DB4"/>
    <w:rsid w:val="00DD2DE1"/>
    <w:rsid w:val="00DD339B"/>
    <w:rsid w:val="00DD34C2"/>
    <w:rsid w:val="00DD355D"/>
    <w:rsid w:val="00DD356F"/>
    <w:rsid w:val="00DD3B94"/>
    <w:rsid w:val="00DD3E99"/>
    <w:rsid w:val="00DD3F97"/>
    <w:rsid w:val="00DD4050"/>
    <w:rsid w:val="00DD41CD"/>
    <w:rsid w:val="00DD4267"/>
    <w:rsid w:val="00DD4B42"/>
    <w:rsid w:val="00DD4DF7"/>
    <w:rsid w:val="00DD507E"/>
    <w:rsid w:val="00DD5188"/>
    <w:rsid w:val="00DD52E4"/>
    <w:rsid w:val="00DD54E6"/>
    <w:rsid w:val="00DD556F"/>
    <w:rsid w:val="00DD57E8"/>
    <w:rsid w:val="00DD5BD8"/>
    <w:rsid w:val="00DD5BFB"/>
    <w:rsid w:val="00DD5C85"/>
    <w:rsid w:val="00DD60DB"/>
    <w:rsid w:val="00DD64F1"/>
    <w:rsid w:val="00DD6A51"/>
    <w:rsid w:val="00DD777D"/>
    <w:rsid w:val="00DD7A6F"/>
    <w:rsid w:val="00DD7F94"/>
    <w:rsid w:val="00DE072D"/>
    <w:rsid w:val="00DE110F"/>
    <w:rsid w:val="00DE171D"/>
    <w:rsid w:val="00DE1AAC"/>
    <w:rsid w:val="00DE1AB1"/>
    <w:rsid w:val="00DE1E44"/>
    <w:rsid w:val="00DE1E81"/>
    <w:rsid w:val="00DE1FCE"/>
    <w:rsid w:val="00DE245D"/>
    <w:rsid w:val="00DE25FF"/>
    <w:rsid w:val="00DE2AA5"/>
    <w:rsid w:val="00DE2D65"/>
    <w:rsid w:val="00DE2F96"/>
    <w:rsid w:val="00DE335F"/>
    <w:rsid w:val="00DE3508"/>
    <w:rsid w:val="00DE3A74"/>
    <w:rsid w:val="00DE3B39"/>
    <w:rsid w:val="00DE3C22"/>
    <w:rsid w:val="00DE3C6A"/>
    <w:rsid w:val="00DE3D33"/>
    <w:rsid w:val="00DE3F58"/>
    <w:rsid w:val="00DE427B"/>
    <w:rsid w:val="00DE505D"/>
    <w:rsid w:val="00DE52B3"/>
    <w:rsid w:val="00DE58A6"/>
    <w:rsid w:val="00DE5B06"/>
    <w:rsid w:val="00DE60EA"/>
    <w:rsid w:val="00DE64DD"/>
    <w:rsid w:val="00DE66FC"/>
    <w:rsid w:val="00DE742F"/>
    <w:rsid w:val="00DE7E73"/>
    <w:rsid w:val="00DF0705"/>
    <w:rsid w:val="00DF0F4D"/>
    <w:rsid w:val="00DF12DA"/>
    <w:rsid w:val="00DF1BCF"/>
    <w:rsid w:val="00DF1D80"/>
    <w:rsid w:val="00DF2091"/>
    <w:rsid w:val="00DF2662"/>
    <w:rsid w:val="00DF26CE"/>
    <w:rsid w:val="00DF291E"/>
    <w:rsid w:val="00DF2B1F"/>
    <w:rsid w:val="00DF2DA7"/>
    <w:rsid w:val="00DF30C4"/>
    <w:rsid w:val="00DF3522"/>
    <w:rsid w:val="00DF37E5"/>
    <w:rsid w:val="00DF3985"/>
    <w:rsid w:val="00DF4B7A"/>
    <w:rsid w:val="00DF53FF"/>
    <w:rsid w:val="00DF549F"/>
    <w:rsid w:val="00DF5788"/>
    <w:rsid w:val="00DF5C8B"/>
    <w:rsid w:val="00DF5FDC"/>
    <w:rsid w:val="00DF62CD"/>
    <w:rsid w:val="00DF7A14"/>
    <w:rsid w:val="00DF7D38"/>
    <w:rsid w:val="00E0020B"/>
    <w:rsid w:val="00E00215"/>
    <w:rsid w:val="00E00584"/>
    <w:rsid w:val="00E006DE"/>
    <w:rsid w:val="00E0074D"/>
    <w:rsid w:val="00E0076B"/>
    <w:rsid w:val="00E00F29"/>
    <w:rsid w:val="00E0128E"/>
    <w:rsid w:val="00E01353"/>
    <w:rsid w:val="00E015D5"/>
    <w:rsid w:val="00E015F5"/>
    <w:rsid w:val="00E01E27"/>
    <w:rsid w:val="00E021F9"/>
    <w:rsid w:val="00E02978"/>
    <w:rsid w:val="00E02985"/>
    <w:rsid w:val="00E02FBC"/>
    <w:rsid w:val="00E0311B"/>
    <w:rsid w:val="00E033B5"/>
    <w:rsid w:val="00E034C3"/>
    <w:rsid w:val="00E03C77"/>
    <w:rsid w:val="00E05519"/>
    <w:rsid w:val="00E059B9"/>
    <w:rsid w:val="00E061BF"/>
    <w:rsid w:val="00E069D4"/>
    <w:rsid w:val="00E06FE7"/>
    <w:rsid w:val="00E072F9"/>
    <w:rsid w:val="00E07547"/>
    <w:rsid w:val="00E102CA"/>
    <w:rsid w:val="00E103F9"/>
    <w:rsid w:val="00E10BDF"/>
    <w:rsid w:val="00E10F65"/>
    <w:rsid w:val="00E1189A"/>
    <w:rsid w:val="00E1218F"/>
    <w:rsid w:val="00E12746"/>
    <w:rsid w:val="00E12A0D"/>
    <w:rsid w:val="00E12B20"/>
    <w:rsid w:val="00E13618"/>
    <w:rsid w:val="00E140BA"/>
    <w:rsid w:val="00E142BB"/>
    <w:rsid w:val="00E145C3"/>
    <w:rsid w:val="00E149E7"/>
    <w:rsid w:val="00E14E4B"/>
    <w:rsid w:val="00E15A65"/>
    <w:rsid w:val="00E15BFE"/>
    <w:rsid w:val="00E15CF1"/>
    <w:rsid w:val="00E15DC7"/>
    <w:rsid w:val="00E161AA"/>
    <w:rsid w:val="00E16226"/>
    <w:rsid w:val="00E169CB"/>
    <w:rsid w:val="00E16B63"/>
    <w:rsid w:val="00E175E6"/>
    <w:rsid w:val="00E20067"/>
    <w:rsid w:val="00E200E2"/>
    <w:rsid w:val="00E20158"/>
    <w:rsid w:val="00E208EB"/>
    <w:rsid w:val="00E20D54"/>
    <w:rsid w:val="00E20EF1"/>
    <w:rsid w:val="00E21265"/>
    <w:rsid w:val="00E21296"/>
    <w:rsid w:val="00E216EB"/>
    <w:rsid w:val="00E21AEB"/>
    <w:rsid w:val="00E228F3"/>
    <w:rsid w:val="00E2303D"/>
    <w:rsid w:val="00E23076"/>
    <w:rsid w:val="00E23728"/>
    <w:rsid w:val="00E23886"/>
    <w:rsid w:val="00E24005"/>
    <w:rsid w:val="00E249F4"/>
    <w:rsid w:val="00E255E3"/>
    <w:rsid w:val="00E257D4"/>
    <w:rsid w:val="00E259E1"/>
    <w:rsid w:val="00E25D37"/>
    <w:rsid w:val="00E25DE9"/>
    <w:rsid w:val="00E2782C"/>
    <w:rsid w:val="00E27ACD"/>
    <w:rsid w:val="00E27E35"/>
    <w:rsid w:val="00E30689"/>
    <w:rsid w:val="00E30690"/>
    <w:rsid w:val="00E3072A"/>
    <w:rsid w:val="00E307E8"/>
    <w:rsid w:val="00E30C8E"/>
    <w:rsid w:val="00E31215"/>
    <w:rsid w:val="00E31BFB"/>
    <w:rsid w:val="00E31DED"/>
    <w:rsid w:val="00E31F83"/>
    <w:rsid w:val="00E3243A"/>
    <w:rsid w:val="00E326FC"/>
    <w:rsid w:val="00E3283C"/>
    <w:rsid w:val="00E328D3"/>
    <w:rsid w:val="00E32A1F"/>
    <w:rsid w:val="00E32B67"/>
    <w:rsid w:val="00E33018"/>
    <w:rsid w:val="00E33222"/>
    <w:rsid w:val="00E334EC"/>
    <w:rsid w:val="00E338ED"/>
    <w:rsid w:val="00E33BC0"/>
    <w:rsid w:val="00E33FD1"/>
    <w:rsid w:val="00E34120"/>
    <w:rsid w:val="00E341C8"/>
    <w:rsid w:val="00E3463D"/>
    <w:rsid w:val="00E347F6"/>
    <w:rsid w:val="00E350FA"/>
    <w:rsid w:val="00E35873"/>
    <w:rsid w:val="00E3598F"/>
    <w:rsid w:val="00E35E9B"/>
    <w:rsid w:val="00E36011"/>
    <w:rsid w:val="00E36ED8"/>
    <w:rsid w:val="00E370E2"/>
    <w:rsid w:val="00E372CF"/>
    <w:rsid w:val="00E40274"/>
    <w:rsid w:val="00E4042D"/>
    <w:rsid w:val="00E404AA"/>
    <w:rsid w:val="00E415EA"/>
    <w:rsid w:val="00E417ED"/>
    <w:rsid w:val="00E41E98"/>
    <w:rsid w:val="00E420AA"/>
    <w:rsid w:val="00E4257A"/>
    <w:rsid w:val="00E426D6"/>
    <w:rsid w:val="00E42C31"/>
    <w:rsid w:val="00E42EEE"/>
    <w:rsid w:val="00E42FD2"/>
    <w:rsid w:val="00E433DD"/>
    <w:rsid w:val="00E433E7"/>
    <w:rsid w:val="00E43470"/>
    <w:rsid w:val="00E43A58"/>
    <w:rsid w:val="00E44B2F"/>
    <w:rsid w:val="00E44B53"/>
    <w:rsid w:val="00E45232"/>
    <w:rsid w:val="00E45316"/>
    <w:rsid w:val="00E455A5"/>
    <w:rsid w:val="00E4597E"/>
    <w:rsid w:val="00E459EF"/>
    <w:rsid w:val="00E46004"/>
    <w:rsid w:val="00E47053"/>
    <w:rsid w:val="00E47AF5"/>
    <w:rsid w:val="00E50667"/>
    <w:rsid w:val="00E506F4"/>
    <w:rsid w:val="00E50DB7"/>
    <w:rsid w:val="00E512CD"/>
    <w:rsid w:val="00E51F04"/>
    <w:rsid w:val="00E52887"/>
    <w:rsid w:val="00E532C1"/>
    <w:rsid w:val="00E5347F"/>
    <w:rsid w:val="00E5397B"/>
    <w:rsid w:val="00E54201"/>
    <w:rsid w:val="00E542C7"/>
    <w:rsid w:val="00E545B0"/>
    <w:rsid w:val="00E54666"/>
    <w:rsid w:val="00E5472E"/>
    <w:rsid w:val="00E54840"/>
    <w:rsid w:val="00E54C46"/>
    <w:rsid w:val="00E54E42"/>
    <w:rsid w:val="00E55127"/>
    <w:rsid w:val="00E55239"/>
    <w:rsid w:val="00E5527F"/>
    <w:rsid w:val="00E5565D"/>
    <w:rsid w:val="00E55C99"/>
    <w:rsid w:val="00E55E6C"/>
    <w:rsid w:val="00E560EA"/>
    <w:rsid w:val="00E56109"/>
    <w:rsid w:val="00E56244"/>
    <w:rsid w:val="00E5639F"/>
    <w:rsid w:val="00E5682C"/>
    <w:rsid w:val="00E56897"/>
    <w:rsid w:val="00E56D86"/>
    <w:rsid w:val="00E57469"/>
    <w:rsid w:val="00E57694"/>
    <w:rsid w:val="00E57BF4"/>
    <w:rsid w:val="00E57E46"/>
    <w:rsid w:val="00E57F45"/>
    <w:rsid w:val="00E60028"/>
    <w:rsid w:val="00E60422"/>
    <w:rsid w:val="00E60986"/>
    <w:rsid w:val="00E60E52"/>
    <w:rsid w:val="00E613EA"/>
    <w:rsid w:val="00E616AF"/>
    <w:rsid w:val="00E61816"/>
    <w:rsid w:val="00E619D8"/>
    <w:rsid w:val="00E61DBD"/>
    <w:rsid w:val="00E62748"/>
    <w:rsid w:val="00E62E51"/>
    <w:rsid w:val="00E634FF"/>
    <w:rsid w:val="00E63D37"/>
    <w:rsid w:val="00E63E1F"/>
    <w:rsid w:val="00E64A9A"/>
    <w:rsid w:val="00E6537E"/>
    <w:rsid w:val="00E65C3D"/>
    <w:rsid w:val="00E66246"/>
    <w:rsid w:val="00E66858"/>
    <w:rsid w:val="00E678F1"/>
    <w:rsid w:val="00E67EE1"/>
    <w:rsid w:val="00E70274"/>
    <w:rsid w:val="00E7033B"/>
    <w:rsid w:val="00E703BF"/>
    <w:rsid w:val="00E70FF7"/>
    <w:rsid w:val="00E7133E"/>
    <w:rsid w:val="00E71509"/>
    <w:rsid w:val="00E7153C"/>
    <w:rsid w:val="00E7160B"/>
    <w:rsid w:val="00E7186F"/>
    <w:rsid w:val="00E71B43"/>
    <w:rsid w:val="00E72134"/>
    <w:rsid w:val="00E7275B"/>
    <w:rsid w:val="00E7283E"/>
    <w:rsid w:val="00E72BB5"/>
    <w:rsid w:val="00E72CC7"/>
    <w:rsid w:val="00E72F9F"/>
    <w:rsid w:val="00E73012"/>
    <w:rsid w:val="00E73695"/>
    <w:rsid w:val="00E73A8F"/>
    <w:rsid w:val="00E73E9C"/>
    <w:rsid w:val="00E740DC"/>
    <w:rsid w:val="00E744C0"/>
    <w:rsid w:val="00E74EFC"/>
    <w:rsid w:val="00E7578E"/>
    <w:rsid w:val="00E7611D"/>
    <w:rsid w:val="00E761DC"/>
    <w:rsid w:val="00E764EF"/>
    <w:rsid w:val="00E76691"/>
    <w:rsid w:val="00E767BC"/>
    <w:rsid w:val="00E7681A"/>
    <w:rsid w:val="00E76E3D"/>
    <w:rsid w:val="00E76F05"/>
    <w:rsid w:val="00E77319"/>
    <w:rsid w:val="00E77343"/>
    <w:rsid w:val="00E77438"/>
    <w:rsid w:val="00E774B1"/>
    <w:rsid w:val="00E77645"/>
    <w:rsid w:val="00E778F2"/>
    <w:rsid w:val="00E80611"/>
    <w:rsid w:val="00E80ECF"/>
    <w:rsid w:val="00E8141F"/>
    <w:rsid w:val="00E81493"/>
    <w:rsid w:val="00E81663"/>
    <w:rsid w:val="00E81742"/>
    <w:rsid w:val="00E81EFE"/>
    <w:rsid w:val="00E81FA4"/>
    <w:rsid w:val="00E82479"/>
    <w:rsid w:val="00E82A1F"/>
    <w:rsid w:val="00E82A9B"/>
    <w:rsid w:val="00E82D67"/>
    <w:rsid w:val="00E83236"/>
    <w:rsid w:val="00E83465"/>
    <w:rsid w:val="00E83482"/>
    <w:rsid w:val="00E834FA"/>
    <w:rsid w:val="00E84154"/>
    <w:rsid w:val="00E845D1"/>
    <w:rsid w:val="00E848F3"/>
    <w:rsid w:val="00E84B3D"/>
    <w:rsid w:val="00E85A79"/>
    <w:rsid w:val="00E86310"/>
    <w:rsid w:val="00E86369"/>
    <w:rsid w:val="00E87066"/>
    <w:rsid w:val="00E87436"/>
    <w:rsid w:val="00E87744"/>
    <w:rsid w:val="00E90096"/>
    <w:rsid w:val="00E9064F"/>
    <w:rsid w:val="00E90B06"/>
    <w:rsid w:val="00E90DBB"/>
    <w:rsid w:val="00E90F1F"/>
    <w:rsid w:val="00E90F44"/>
    <w:rsid w:val="00E90F81"/>
    <w:rsid w:val="00E910E1"/>
    <w:rsid w:val="00E91481"/>
    <w:rsid w:val="00E915F9"/>
    <w:rsid w:val="00E918B2"/>
    <w:rsid w:val="00E91984"/>
    <w:rsid w:val="00E91E2D"/>
    <w:rsid w:val="00E91E61"/>
    <w:rsid w:val="00E9200F"/>
    <w:rsid w:val="00E92848"/>
    <w:rsid w:val="00E92E20"/>
    <w:rsid w:val="00E9368F"/>
    <w:rsid w:val="00E94087"/>
    <w:rsid w:val="00E9420D"/>
    <w:rsid w:val="00E94CFA"/>
    <w:rsid w:val="00E94D1B"/>
    <w:rsid w:val="00E94F66"/>
    <w:rsid w:val="00E953AB"/>
    <w:rsid w:val="00E954BA"/>
    <w:rsid w:val="00E954C6"/>
    <w:rsid w:val="00E95551"/>
    <w:rsid w:val="00E95D2E"/>
    <w:rsid w:val="00E967F5"/>
    <w:rsid w:val="00E96D49"/>
    <w:rsid w:val="00E96FE7"/>
    <w:rsid w:val="00E970EC"/>
    <w:rsid w:val="00E97294"/>
    <w:rsid w:val="00EA028E"/>
    <w:rsid w:val="00EA04A8"/>
    <w:rsid w:val="00EA04C3"/>
    <w:rsid w:val="00EA0AAD"/>
    <w:rsid w:val="00EA0DEF"/>
    <w:rsid w:val="00EA0F17"/>
    <w:rsid w:val="00EA1122"/>
    <w:rsid w:val="00EA1A17"/>
    <w:rsid w:val="00EA285D"/>
    <w:rsid w:val="00EA2AC7"/>
    <w:rsid w:val="00EA34E8"/>
    <w:rsid w:val="00EA3E77"/>
    <w:rsid w:val="00EA404C"/>
    <w:rsid w:val="00EA406F"/>
    <w:rsid w:val="00EA40D4"/>
    <w:rsid w:val="00EA41A9"/>
    <w:rsid w:val="00EA514A"/>
    <w:rsid w:val="00EA532F"/>
    <w:rsid w:val="00EA534B"/>
    <w:rsid w:val="00EA5731"/>
    <w:rsid w:val="00EA5807"/>
    <w:rsid w:val="00EA5938"/>
    <w:rsid w:val="00EA5DC1"/>
    <w:rsid w:val="00EA5FFB"/>
    <w:rsid w:val="00EA6125"/>
    <w:rsid w:val="00EA6287"/>
    <w:rsid w:val="00EA7526"/>
    <w:rsid w:val="00EA76E2"/>
    <w:rsid w:val="00EB0139"/>
    <w:rsid w:val="00EB100D"/>
    <w:rsid w:val="00EB113F"/>
    <w:rsid w:val="00EB177A"/>
    <w:rsid w:val="00EB1C37"/>
    <w:rsid w:val="00EB2486"/>
    <w:rsid w:val="00EB2910"/>
    <w:rsid w:val="00EB2C1A"/>
    <w:rsid w:val="00EB2C28"/>
    <w:rsid w:val="00EB31DD"/>
    <w:rsid w:val="00EB35E8"/>
    <w:rsid w:val="00EB4343"/>
    <w:rsid w:val="00EB45ED"/>
    <w:rsid w:val="00EB467E"/>
    <w:rsid w:val="00EB472A"/>
    <w:rsid w:val="00EB47E5"/>
    <w:rsid w:val="00EB4D93"/>
    <w:rsid w:val="00EB52ED"/>
    <w:rsid w:val="00EB5576"/>
    <w:rsid w:val="00EB6373"/>
    <w:rsid w:val="00EB65DA"/>
    <w:rsid w:val="00EB6836"/>
    <w:rsid w:val="00EB6951"/>
    <w:rsid w:val="00EB6EEC"/>
    <w:rsid w:val="00EB72C9"/>
    <w:rsid w:val="00EB76A5"/>
    <w:rsid w:val="00EB7C83"/>
    <w:rsid w:val="00EB7E79"/>
    <w:rsid w:val="00EC02D6"/>
    <w:rsid w:val="00EC033E"/>
    <w:rsid w:val="00EC04E4"/>
    <w:rsid w:val="00EC0649"/>
    <w:rsid w:val="00EC078A"/>
    <w:rsid w:val="00EC079E"/>
    <w:rsid w:val="00EC08C5"/>
    <w:rsid w:val="00EC0FFE"/>
    <w:rsid w:val="00EC13F7"/>
    <w:rsid w:val="00EC29D4"/>
    <w:rsid w:val="00EC3164"/>
    <w:rsid w:val="00EC345B"/>
    <w:rsid w:val="00EC35F2"/>
    <w:rsid w:val="00EC433A"/>
    <w:rsid w:val="00EC4A25"/>
    <w:rsid w:val="00EC4CC1"/>
    <w:rsid w:val="00EC588F"/>
    <w:rsid w:val="00EC5A48"/>
    <w:rsid w:val="00EC5AEF"/>
    <w:rsid w:val="00EC5BF7"/>
    <w:rsid w:val="00EC5C82"/>
    <w:rsid w:val="00EC5EFC"/>
    <w:rsid w:val="00EC62B3"/>
    <w:rsid w:val="00EC68B7"/>
    <w:rsid w:val="00EC6C91"/>
    <w:rsid w:val="00EC748F"/>
    <w:rsid w:val="00EC770F"/>
    <w:rsid w:val="00EC7AE5"/>
    <w:rsid w:val="00ED0329"/>
    <w:rsid w:val="00ED0A6D"/>
    <w:rsid w:val="00ED0CEC"/>
    <w:rsid w:val="00ED0EE2"/>
    <w:rsid w:val="00ED0FD6"/>
    <w:rsid w:val="00ED1279"/>
    <w:rsid w:val="00ED163F"/>
    <w:rsid w:val="00ED1655"/>
    <w:rsid w:val="00ED1713"/>
    <w:rsid w:val="00ED1753"/>
    <w:rsid w:val="00ED18DB"/>
    <w:rsid w:val="00ED1A5F"/>
    <w:rsid w:val="00ED1AD8"/>
    <w:rsid w:val="00ED1B06"/>
    <w:rsid w:val="00ED1D20"/>
    <w:rsid w:val="00ED2A65"/>
    <w:rsid w:val="00ED308F"/>
    <w:rsid w:val="00ED3118"/>
    <w:rsid w:val="00ED334D"/>
    <w:rsid w:val="00ED3701"/>
    <w:rsid w:val="00ED41D7"/>
    <w:rsid w:val="00ED43BA"/>
    <w:rsid w:val="00ED4966"/>
    <w:rsid w:val="00ED5268"/>
    <w:rsid w:val="00ED54C1"/>
    <w:rsid w:val="00ED5F9F"/>
    <w:rsid w:val="00ED6037"/>
    <w:rsid w:val="00ED60FB"/>
    <w:rsid w:val="00ED61CC"/>
    <w:rsid w:val="00ED62DA"/>
    <w:rsid w:val="00ED640C"/>
    <w:rsid w:val="00ED6B77"/>
    <w:rsid w:val="00ED6E36"/>
    <w:rsid w:val="00ED705E"/>
    <w:rsid w:val="00ED7106"/>
    <w:rsid w:val="00ED73E0"/>
    <w:rsid w:val="00ED7672"/>
    <w:rsid w:val="00ED7A47"/>
    <w:rsid w:val="00ED7CF8"/>
    <w:rsid w:val="00EE0E16"/>
    <w:rsid w:val="00EE0E2B"/>
    <w:rsid w:val="00EE0F55"/>
    <w:rsid w:val="00EE1748"/>
    <w:rsid w:val="00EE1AC9"/>
    <w:rsid w:val="00EE21CD"/>
    <w:rsid w:val="00EE236C"/>
    <w:rsid w:val="00EE2880"/>
    <w:rsid w:val="00EE358F"/>
    <w:rsid w:val="00EE35B1"/>
    <w:rsid w:val="00EE3867"/>
    <w:rsid w:val="00EE3A76"/>
    <w:rsid w:val="00EE4224"/>
    <w:rsid w:val="00EE4230"/>
    <w:rsid w:val="00EE4B3B"/>
    <w:rsid w:val="00EE4F6F"/>
    <w:rsid w:val="00EE565E"/>
    <w:rsid w:val="00EE5E4F"/>
    <w:rsid w:val="00EE5F2F"/>
    <w:rsid w:val="00EE6058"/>
    <w:rsid w:val="00EE655A"/>
    <w:rsid w:val="00EE67F4"/>
    <w:rsid w:val="00EE6B85"/>
    <w:rsid w:val="00EE6C37"/>
    <w:rsid w:val="00EE6D19"/>
    <w:rsid w:val="00EE706A"/>
    <w:rsid w:val="00EE75E8"/>
    <w:rsid w:val="00EE774E"/>
    <w:rsid w:val="00EE7C8B"/>
    <w:rsid w:val="00EE7DC3"/>
    <w:rsid w:val="00EE7DC4"/>
    <w:rsid w:val="00EE7E93"/>
    <w:rsid w:val="00EF1384"/>
    <w:rsid w:val="00EF1E66"/>
    <w:rsid w:val="00EF27A4"/>
    <w:rsid w:val="00EF2E0D"/>
    <w:rsid w:val="00EF33E3"/>
    <w:rsid w:val="00EF3437"/>
    <w:rsid w:val="00EF35F1"/>
    <w:rsid w:val="00EF3894"/>
    <w:rsid w:val="00EF4142"/>
    <w:rsid w:val="00EF431D"/>
    <w:rsid w:val="00EF47A0"/>
    <w:rsid w:val="00EF4CDB"/>
    <w:rsid w:val="00EF5414"/>
    <w:rsid w:val="00EF5881"/>
    <w:rsid w:val="00EF5891"/>
    <w:rsid w:val="00EF6034"/>
    <w:rsid w:val="00EF6479"/>
    <w:rsid w:val="00EF6C38"/>
    <w:rsid w:val="00EF746F"/>
    <w:rsid w:val="00EF750C"/>
    <w:rsid w:val="00EF7BD1"/>
    <w:rsid w:val="00EF7C60"/>
    <w:rsid w:val="00F0096F"/>
    <w:rsid w:val="00F0107E"/>
    <w:rsid w:val="00F011B3"/>
    <w:rsid w:val="00F01363"/>
    <w:rsid w:val="00F01833"/>
    <w:rsid w:val="00F01B63"/>
    <w:rsid w:val="00F02146"/>
    <w:rsid w:val="00F025A2"/>
    <w:rsid w:val="00F025D1"/>
    <w:rsid w:val="00F026C7"/>
    <w:rsid w:val="00F02A22"/>
    <w:rsid w:val="00F02D62"/>
    <w:rsid w:val="00F03493"/>
    <w:rsid w:val="00F03775"/>
    <w:rsid w:val="00F041E3"/>
    <w:rsid w:val="00F0458A"/>
    <w:rsid w:val="00F04609"/>
    <w:rsid w:val="00F04712"/>
    <w:rsid w:val="00F04912"/>
    <w:rsid w:val="00F0495E"/>
    <w:rsid w:val="00F04FBF"/>
    <w:rsid w:val="00F0512E"/>
    <w:rsid w:val="00F055F9"/>
    <w:rsid w:val="00F05929"/>
    <w:rsid w:val="00F05AB1"/>
    <w:rsid w:val="00F0632E"/>
    <w:rsid w:val="00F06827"/>
    <w:rsid w:val="00F075F2"/>
    <w:rsid w:val="00F07778"/>
    <w:rsid w:val="00F07C08"/>
    <w:rsid w:val="00F07DC2"/>
    <w:rsid w:val="00F07E21"/>
    <w:rsid w:val="00F07E6F"/>
    <w:rsid w:val="00F10768"/>
    <w:rsid w:val="00F1088C"/>
    <w:rsid w:val="00F10E36"/>
    <w:rsid w:val="00F11198"/>
    <w:rsid w:val="00F115C4"/>
    <w:rsid w:val="00F11725"/>
    <w:rsid w:val="00F11F80"/>
    <w:rsid w:val="00F12224"/>
    <w:rsid w:val="00F12605"/>
    <w:rsid w:val="00F1263F"/>
    <w:rsid w:val="00F12937"/>
    <w:rsid w:val="00F12E6F"/>
    <w:rsid w:val="00F12F2A"/>
    <w:rsid w:val="00F1366F"/>
    <w:rsid w:val="00F13A37"/>
    <w:rsid w:val="00F13E3F"/>
    <w:rsid w:val="00F14011"/>
    <w:rsid w:val="00F1402C"/>
    <w:rsid w:val="00F144BA"/>
    <w:rsid w:val="00F14719"/>
    <w:rsid w:val="00F14743"/>
    <w:rsid w:val="00F14A8B"/>
    <w:rsid w:val="00F14AC9"/>
    <w:rsid w:val="00F14C2C"/>
    <w:rsid w:val="00F15544"/>
    <w:rsid w:val="00F15599"/>
    <w:rsid w:val="00F15979"/>
    <w:rsid w:val="00F1635D"/>
    <w:rsid w:val="00F16373"/>
    <w:rsid w:val="00F1657D"/>
    <w:rsid w:val="00F1689E"/>
    <w:rsid w:val="00F168A3"/>
    <w:rsid w:val="00F16E7C"/>
    <w:rsid w:val="00F1712C"/>
    <w:rsid w:val="00F17F03"/>
    <w:rsid w:val="00F20E24"/>
    <w:rsid w:val="00F21083"/>
    <w:rsid w:val="00F213C1"/>
    <w:rsid w:val="00F21925"/>
    <w:rsid w:val="00F21A7B"/>
    <w:rsid w:val="00F21EC5"/>
    <w:rsid w:val="00F22988"/>
    <w:rsid w:val="00F22B50"/>
    <w:rsid w:val="00F22DBE"/>
    <w:rsid w:val="00F22EC7"/>
    <w:rsid w:val="00F23268"/>
    <w:rsid w:val="00F235DA"/>
    <w:rsid w:val="00F23D23"/>
    <w:rsid w:val="00F241BD"/>
    <w:rsid w:val="00F24200"/>
    <w:rsid w:val="00F25051"/>
    <w:rsid w:val="00F25762"/>
    <w:rsid w:val="00F268EE"/>
    <w:rsid w:val="00F26D02"/>
    <w:rsid w:val="00F2773A"/>
    <w:rsid w:val="00F27A07"/>
    <w:rsid w:val="00F27BF1"/>
    <w:rsid w:val="00F27EE2"/>
    <w:rsid w:val="00F27FBD"/>
    <w:rsid w:val="00F30274"/>
    <w:rsid w:val="00F30499"/>
    <w:rsid w:val="00F312BB"/>
    <w:rsid w:val="00F31749"/>
    <w:rsid w:val="00F319E2"/>
    <w:rsid w:val="00F31BB9"/>
    <w:rsid w:val="00F31FDC"/>
    <w:rsid w:val="00F32341"/>
    <w:rsid w:val="00F32456"/>
    <w:rsid w:val="00F324AF"/>
    <w:rsid w:val="00F32957"/>
    <w:rsid w:val="00F336E1"/>
    <w:rsid w:val="00F33A98"/>
    <w:rsid w:val="00F33ABE"/>
    <w:rsid w:val="00F33D0C"/>
    <w:rsid w:val="00F33F10"/>
    <w:rsid w:val="00F34455"/>
    <w:rsid w:val="00F34599"/>
    <w:rsid w:val="00F34794"/>
    <w:rsid w:val="00F34874"/>
    <w:rsid w:val="00F34BB8"/>
    <w:rsid w:val="00F34F40"/>
    <w:rsid w:val="00F35199"/>
    <w:rsid w:val="00F35AD7"/>
    <w:rsid w:val="00F35C51"/>
    <w:rsid w:val="00F3624E"/>
    <w:rsid w:val="00F36A8C"/>
    <w:rsid w:val="00F36BAD"/>
    <w:rsid w:val="00F373FA"/>
    <w:rsid w:val="00F3787F"/>
    <w:rsid w:val="00F37914"/>
    <w:rsid w:val="00F37BDF"/>
    <w:rsid w:val="00F37E87"/>
    <w:rsid w:val="00F4011B"/>
    <w:rsid w:val="00F40749"/>
    <w:rsid w:val="00F40854"/>
    <w:rsid w:val="00F40E2A"/>
    <w:rsid w:val="00F41154"/>
    <w:rsid w:val="00F416B2"/>
    <w:rsid w:val="00F41AAF"/>
    <w:rsid w:val="00F42B2D"/>
    <w:rsid w:val="00F43229"/>
    <w:rsid w:val="00F43F3F"/>
    <w:rsid w:val="00F441F8"/>
    <w:rsid w:val="00F44350"/>
    <w:rsid w:val="00F44495"/>
    <w:rsid w:val="00F44FCA"/>
    <w:rsid w:val="00F4518F"/>
    <w:rsid w:val="00F452FE"/>
    <w:rsid w:val="00F46208"/>
    <w:rsid w:val="00F464C5"/>
    <w:rsid w:val="00F46B31"/>
    <w:rsid w:val="00F46C45"/>
    <w:rsid w:val="00F46E07"/>
    <w:rsid w:val="00F472C8"/>
    <w:rsid w:val="00F475F6"/>
    <w:rsid w:val="00F479AE"/>
    <w:rsid w:val="00F47DF5"/>
    <w:rsid w:val="00F5022A"/>
    <w:rsid w:val="00F50615"/>
    <w:rsid w:val="00F5076F"/>
    <w:rsid w:val="00F51089"/>
    <w:rsid w:val="00F513DF"/>
    <w:rsid w:val="00F51A4E"/>
    <w:rsid w:val="00F526C5"/>
    <w:rsid w:val="00F5287F"/>
    <w:rsid w:val="00F5299F"/>
    <w:rsid w:val="00F529C9"/>
    <w:rsid w:val="00F52A51"/>
    <w:rsid w:val="00F52DD0"/>
    <w:rsid w:val="00F52F58"/>
    <w:rsid w:val="00F5306F"/>
    <w:rsid w:val="00F53A59"/>
    <w:rsid w:val="00F53AE0"/>
    <w:rsid w:val="00F53D0B"/>
    <w:rsid w:val="00F53E1E"/>
    <w:rsid w:val="00F543AF"/>
    <w:rsid w:val="00F5457C"/>
    <w:rsid w:val="00F54E1D"/>
    <w:rsid w:val="00F55273"/>
    <w:rsid w:val="00F555E0"/>
    <w:rsid w:val="00F5563A"/>
    <w:rsid w:val="00F55A99"/>
    <w:rsid w:val="00F56060"/>
    <w:rsid w:val="00F5655D"/>
    <w:rsid w:val="00F569EF"/>
    <w:rsid w:val="00F56BE6"/>
    <w:rsid w:val="00F56BF9"/>
    <w:rsid w:val="00F5737B"/>
    <w:rsid w:val="00F5789E"/>
    <w:rsid w:val="00F57B51"/>
    <w:rsid w:val="00F60D68"/>
    <w:rsid w:val="00F60D8B"/>
    <w:rsid w:val="00F60F82"/>
    <w:rsid w:val="00F61C53"/>
    <w:rsid w:val="00F62581"/>
    <w:rsid w:val="00F626A5"/>
    <w:rsid w:val="00F62945"/>
    <w:rsid w:val="00F629C8"/>
    <w:rsid w:val="00F62C4A"/>
    <w:rsid w:val="00F63ABA"/>
    <w:rsid w:val="00F63EEA"/>
    <w:rsid w:val="00F64E2B"/>
    <w:rsid w:val="00F6504C"/>
    <w:rsid w:val="00F65215"/>
    <w:rsid w:val="00F653B8"/>
    <w:rsid w:val="00F65AD5"/>
    <w:rsid w:val="00F65BFC"/>
    <w:rsid w:val="00F65D2D"/>
    <w:rsid w:val="00F663FD"/>
    <w:rsid w:val="00F66694"/>
    <w:rsid w:val="00F66C70"/>
    <w:rsid w:val="00F672D6"/>
    <w:rsid w:val="00F676CA"/>
    <w:rsid w:val="00F67B60"/>
    <w:rsid w:val="00F70324"/>
    <w:rsid w:val="00F707EF"/>
    <w:rsid w:val="00F70C6C"/>
    <w:rsid w:val="00F70D28"/>
    <w:rsid w:val="00F70EBB"/>
    <w:rsid w:val="00F70ED7"/>
    <w:rsid w:val="00F71737"/>
    <w:rsid w:val="00F71D74"/>
    <w:rsid w:val="00F72CB2"/>
    <w:rsid w:val="00F72F55"/>
    <w:rsid w:val="00F731CB"/>
    <w:rsid w:val="00F73843"/>
    <w:rsid w:val="00F7398E"/>
    <w:rsid w:val="00F73F07"/>
    <w:rsid w:val="00F742BF"/>
    <w:rsid w:val="00F74BAA"/>
    <w:rsid w:val="00F74E94"/>
    <w:rsid w:val="00F75A4A"/>
    <w:rsid w:val="00F75A91"/>
    <w:rsid w:val="00F75B62"/>
    <w:rsid w:val="00F76217"/>
    <w:rsid w:val="00F765F2"/>
    <w:rsid w:val="00F7679D"/>
    <w:rsid w:val="00F770F2"/>
    <w:rsid w:val="00F7730F"/>
    <w:rsid w:val="00F77A7A"/>
    <w:rsid w:val="00F80622"/>
    <w:rsid w:val="00F80A60"/>
    <w:rsid w:val="00F81CF3"/>
    <w:rsid w:val="00F82005"/>
    <w:rsid w:val="00F82554"/>
    <w:rsid w:val="00F825E4"/>
    <w:rsid w:val="00F83173"/>
    <w:rsid w:val="00F83743"/>
    <w:rsid w:val="00F83A23"/>
    <w:rsid w:val="00F83D5D"/>
    <w:rsid w:val="00F83EE7"/>
    <w:rsid w:val="00F84042"/>
    <w:rsid w:val="00F84336"/>
    <w:rsid w:val="00F849AB"/>
    <w:rsid w:val="00F84F9A"/>
    <w:rsid w:val="00F850C6"/>
    <w:rsid w:val="00F8555B"/>
    <w:rsid w:val="00F857F0"/>
    <w:rsid w:val="00F85970"/>
    <w:rsid w:val="00F86FE2"/>
    <w:rsid w:val="00F87D25"/>
    <w:rsid w:val="00F9004B"/>
    <w:rsid w:val="00F90445"/>
    <w:rsid w:val="00F90989"/>
    <w:rsid w:val="00F90A7B"/>
    <w:rsid w:val="00F90D83"/>
    <w:rsid w:val="00F9115A"/>
    <w:rsid w:val="00F91579"/>
    <w:rsid w:val="00F9209E"/>
    <w:rsid w:val="00F92FE8"/>
    <w:rsid w:val="00F9442C"/>
    <w:rsid w:val="00F94D3D"/>
    <w:rsid w:val="00F94EA8"/>
    <w:rsid w:val="00F953DF"/>
    <w:rsid w:val="00F95BA6"/>
    <w:rsid w:val="00F95DE0"/>
    <w:rsid w:val="00F9623F"/>
    <w:rsid w:val="00F965D7"/>
    <w:rsid w:val="00F96B12"/>
    <w:rsid w:val="00F96B4B"/>
    <w:rsid w:val="00F96DAF"/>
    <w:rsid w:val="00F974C6"/>
    <w:rsid w:val="00F9791D"/>
    <w:rsid w:val="00F97BC1"/>
    <w:rsid w:val="00F97BD5"/>
    <w:rsid w:val="00F97CD2"/>
    <w:rsid w:val="00FA0795"/>
    <w:rsid w:val="00FA086A"/>
    <w:rsid w:val="00FA0BEC"/>
    <w:rsid w:val="00FA0D3E"/>
    <w:rsid w:val="00FA0F08"/>
    <w:rsid w:val="00FA1266"/>
    <w:rsid w:val="00FA1C4F"/>
    <w:rsid w:val="00FA1F7B"/>
    <w:rsid w:val="00FA2747"/>
    <w:rsid w:val="00FA2764"/>
    <w:rsid w:val="00FA2B89"/>
    <w:rsid w:val="00FA2FC3"/>
    <w:rsid w:val="00FA339C"/>
    <w:rsid w:val="00FA378E"/>
    <w:rsid w:val="00FA460A"/>
    <w:rsid w:val="00FA4CFB"/>
    <w:rsid w:val="00FA4EB6"/>
    <w:rsid w:val="00FA4F75"/>
    <w:rsid w:val="00FA6036"/>
    <w:rsid w:val="00FA63B7"/>
    <w:rsid w:val="00FA6C9D"/>
    <w:rsid w:val="00FA71CF"/>
    <w:rsid w:val="00FA7A15"/>
    <w:rsid w:val="00FA7A69"/>
    <w:rsid w:val="00FA7B7D"/>
    <w:rsid w:val="00FA7C8B"/>
    <w:rsid w:val="00FA7D6A"/>
    <w:rsid w:val="00FB031A"/>
    <w:rsid w:val="00FB03D9"/>
    <w:rsid w:val="00FB0693"/>
    <w:rsid w:val="00FB0CDE"/>
    <w:rsid w:val="00FB10F8"/>
    <w:rsid w:val="00FB12B1"/>
    <w:rsid w:val="00FB1809"/>
    <w:rsid w:val="00FB181A"/>
    <w:rsid w:val="00FB182D"/>
    <w:rsid w:val="00FB1B70"/>
    <w:rsid w:val="00FB22F9"/>
    <w:rsid w:val="00FB28DE"/>
    <w:rsid w:val="00FB33BA"/>
    <w:rsid w:val="00FB3761"/>
    <w:rsid w:val="00FB376C"/>
    <w:rsid w:val="00FB3893"/>
    <w:rsid w:val="00FB3A6B"/>
    <w:rsid w:val="00FB3E16"/>
    <w:rsid w:val="00FB3F23"/>
    <w:rsid w:val="00FB421E"/>
    <w:rsid w:val="00FB4980"/>
    <w:rsid w:val="00FB4A32"/>
    <w:rsid w:val="00FB5328"/>
    <w:rsid w:val="00FB56B5"/>
    <w:rsid w:val="00FB5A86"/>
    <w:rsid w:val="00FB6107"/>
    <w:rsid w:val="00FB6499"/>
    <w:rsid w:val="00FB71D4"/>
    <w:rsid w:val="00FB72DA"/>
    <w:rsid w:val="00FB7D96"/>
    <w:rsid w:val="00FC04CB"/>
    <w:rsid w:val="00FC1192"/>
    <w:rsid w:val="00FC1559"/>
    <w:rsid w:val="00FC1867"/>
    <w:rsid w:val="00FC1897"/>
    <w:rsid w:val="00FC18A9"/>
    <w:rsid w:val="00FC1E1A"/>
    <w:rsid w:val="00FC23D4"/>
    <w:rsid w:val="00FC2C89"/>
    <w:rsid w:val="00FC2E35"/>
    <w:rsid w:val="00FC2F40"/>
    <w:rsid w:val="00FC3326"/>
    <w:rsid w:val="00FC348B"/>
    <w:rsid w:val="00FC5FEE"/>
    <w:rsid w:val="00FC651C"/>
    <w:rsid w:val="00FC6FFB"/>
    <w:rsid w:val="00FC701E"/>
    <w:rsid w:val="00FC73F9"/>
    <w:rsid w:val="00FD0024"/>
    <w:rsid w:val="00FD07D8"/>
    <w:rsid w:val="00FD0F2F"/>
    <w:rsid w:val="00FD2221"/>
    <w:rsid w:val="00FD2D2A"/>
    <w:rsid w:val="00FD31B1"/>
    <w:rsid w:val="00FD31D3"/>
    <w:rsid w:val="00FD34A3"/>
    <w:rsid w:val="00FD39F6"/>
    <w:rsid w:val="00FD3A1F"/>
    <w:rsid w:val="00FD3F91"/>
    <w:rsid w:val="00FD5093"/>
    <w:rsid w:val="00FD51F2"/>
    <w:rsid w:val="00FD531D"/>
    <w:rsid w:val="00FD552F"/>
    <w:rsid w:val="00FD56CE"/>
    <w:rsid w:val="00FD5D5C"/>
    <w:rsid w:val="00FD6A9C"/>
    <w:rsid w:val="00FD6F04"/>
    <w:rsid w:val="00FD70B4"/>
    <w:rsid w:val="00FD7414"/>
    <w:rsid w:val="00FD769A"/>
    <w:rsid w:val="00FD76AE"/>
    <w:rsid w:val="00FE0022"/>
    <w:rsid w:val="00FE01CD"/>
    <w:rsid w:val="00FE04B7"/>
    <w:rsid w:val="00FE07DA"/>
    <w:rsid w:val="00FE0A45"/>
    <w:rsid w:val="00FE0B9C"/>
    <w:rsid w:val="00FE1894"/>
    <w:rsid w:val="00FE1C2E"/>
    <w:rsid w:val="00FE1D79"/>
    <w:rsid w:val="00FE1F9A"/>
    <w:rsid w:val="00FE2016"/>
    <w:rsid w:val="00FE24AE"/>
    <w:rsid w:val="00FE24DB"/>
    <w:rsid w:val="00FE2714"/>
    <w:rsid w:val="00FE3722"/>
    <w:rsid w:val="00FE4193"/>
    <w:rsid w:val="00FE47D9"/>
    <w:rsid w:val="00FE530B"/>
    <w:rsid w:val="00FE5420"/>
    <w:rsid w:val="00FE5F50"/>
    <w:rsid w:val="00FE5FAD"/>
    <w:rsid w:val="00FE61EA"/>
    <w:rsid w:val="00FE6616"/>
    <w:rsid w:val="00FE6897"/>
    <w:rsid w:val="00FE697E"/>
    <w:rsid w:val="00FE6992"/>
    <w:rsid w:val="00FE6B27"/>
    <w:rsid w:val="00FE715E"/>
    <w:rsid w:val="00FE7426"/>
    <w:rsid w:val="00FE7941"/>
    <w:rsid w:val="00FE7E3A"/>
    <w:rsid w:val="00FE7FF9"/>
    <w:rsid w:val="00FF04C2"/>
    <w:rsid w:val="00FF0521"/>
    <w:rsid w:val="00FF067E"/>
    <w:rsid w:val="00FF098E"/>
    <w:rsid w:val="00FF09C1"/>
    <w:rsid w:val="00FF09FB"/>
    <w:rsid w:val="00FF0FCF"/>
    <w:rsid w:val="00FF14EC"/>
    <w:rsid w:val="00FF1CFC"/>
    <w:rsid w:val="00FF22DD"/>
    <w:rsid w:val="00FF2D91"/>
    <w:rsid w:val="00FF3C1D"/>
    <w:rsid w:val="00FF3DD4"/>
    <w:rsid w:val="00FF42F3"/>
    <w:rsid w:val="00FF45C8"/>
    <w:rsid w:val="00FF4EDF"/>
    <w:rsid w:val="00FF5331"/>
    <w:rsid w:val="00FF5E55"/>
    <w:rsid w:val="00FF60C8"/>
    <w:rsid w:val="00FF61D7"/>
    <w:rsid w:val="00FF655D"/>
    <w:rsid w:val="00FF6E9C"/>
    <w:rsid w:val="00FF6F03"/>
    <w:rsid w:val="00FF7110"/>
    <w:rsid w:val="00FF764A"/>
    <w:rsid w:val="00FF7E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0212A2"/>
  <w15:docId w15:val="{5F148ABE-8B3B-4F1E-AB9D-57E71895C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9" w:qFormat="1"/>
    <w:lsdException w:name="heading 2" w:qFormat="1"/>
    <w:lsdException w:name="heading 3" w:uiPriority="9" w:qFormat="1"/>
    <w:lsdException w:name="heading 4" w:qFormat="1"/>
    <w:lsdException w:name="heading 5" w:qFormat="1"/>
    <w:lsdException w:name="heading 6" w:uiPriority="9" w:qFormat="1"/>
    <w:lsdException w:name="heading 7" w:uiPriority="9" w:qFormat="1"/>
    <w:lsdException w:name="heading 8"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footer" w:uiPriority="99"/>
    <w:lsdException w:name="caption" w:semiHidden="1" w:uiPriority="99" w:unhideWhenUsed="1" w:qFormat="1"/>
    <w:lsdException w:name="annotation reference" w:qFormat="1"/>
    <w:lsdException w:name="Title" w:qFormat="1"/>
    <w:lsdException w:name="Body Text Indent" w:uiPriority="99"/>
    <w:lsdException w:name="Subtitle" w:uiPriority="11" w:qFormat="1"/>
    <w:lsdException w:name="Date" w:uiPriority="99"/>
    <w:lsdException w:name="Hyperlink" w:uiPriority="99"/>
    <w:lsdException w:name="FollowedHyperlink" w:uiPriority="99"/>
    <w:lsdException w:name="Strong" w:uiPriority="22" w:qFormat="1"/>
    <w:lsdException w:name="Emphasis" w:uiPriority="20" w:qFormat="1"/>
    <w:lsdException w:name="Document Map" w:uiPriority="99"/>
    <w:lsdException w:name="Plain Text" w:uiPriority="99"/>
    <w:lsdException w:name="HTML Top of Form" w:uiPriority="99"/>
    <w:lsdException w:name="HTML Bottom of Form" w:uiPriority="99"/>
    <w:lsdException w:name="Normal (Web)" w:uiPriority="99" w:qFormat="1"/>
    <w:lsdException w:name="HTML Preformatted" w:semiHidden="1" w:unhideWhenUsed="1"/>
    <w:lsdException w:name="HTML Typewriter" w:semiHidden="1" w:unhideWhenUsed="1"/>
    <w:lsdException w:name="Normal Table" w:semiHidden="1" w:unhideWhenUsed="1"/>
    <w:lsdException w:name="annotation subject" w:uiPriority="99"/>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aliases w:val="H1,h1,app heading 1,l1,Memo Heading 1,h11,h12,h13,h14,h15,h16,제목 1(no line),Heading 1_a,heading 1,h17,h111,h121,h131,h141,h151,h161,h18,h112,h122,h132,h142,h152,h162,h19,h113,h123,h133,h143,h153,h163,NMP Heading 1,Alt+1,Alt+11,Alt+12,Alt+13"/>
    <w:next w:val="Normal"/>
    <w:link w:val="Heading1Char"/>
    <w:uiPriority w:val="99"/>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aliases w:val="H2,h2,DO NOT USE_h2,h21,Head2A,2,UNDERRUBRIK 1-2,Heading 2 Char,H2 Char,h2 Char,Header 2,Header2,22,heading2,2nd level,H21,H22,H23,H24,H25,R2,E2,†berschrift 2,õberschrift 2"/>
    <w:basedOn w:val="Heading1"/>
    <w:next w:val="Normal"/>
    <w:link w:val="Heading2Char1"/>
    <w:qFormat/>
    <w:pPr>
      <w:pBdr>
        <w:top w:val="none" w:sz="0" w:space="0" w:color="auto"/>
      </w:pBdr>
      <w:spacing w:before="180"/>
      <w:outlineLvl w:val="1"/>
    </w:pPr>
    <w:rPr>
      <w:sz w:val="32"/>
    </w:rPr>
  </w:style>
  <w:style w:type="paragraph" w:styleId="Heading3">
    <w:name w:val="heading 3"/>
    <w:aliases w:val="Underrubrik2,H3,no break,Memo Heading 3,h3,3,hello,Titre 3 Car,no break Car,H3 Car,Underrubrik2 Car,h3 Car,Memo Heading 3 Car,hello Car,Heading 3 Char Car,no break Char Car,H3 Char Car,Underrubrik2 Char Car,h3 Char Car,heading 3"/>
    <w:basedOn w:val="Heading2"/>
    <w:next w:val="Normal"/>
    <w:link w:val="Heading3Char"/>
    <w:uiPriority w:val="9"/>
    <w:qFormat/>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Heading,4,Memo,5,heading 4,heading 4 + Indent: Left 0.5 in,标题3a"/>
    <w:basedOn w:val="Heading3"/>
    <w:next w:val="Normal"/>
    <w:link w:val="Heading4Char"/>
    <w:qFormat/>
    <w:pPr>
      <w:ind w:left="1418" w:hanging="1418"/>
      <w:outlineLvl w:val="3"/>
    </w:pPr>
    <w:rPr>
      <w:sz w:val="24"/>
    </w:rPr>
  </w:style>
  <w:style w:type="paragraph" w:styleId="Heading5">
    <w:name w:val="heading 5"/>
    <w:aliases w:val="h5,Heading5,H5"/>
    <w:basedOn w:val="Heading4"/>
    <w:next w:val="Normal"/>
    <w:link w:val="Heading5Char"/>
    <w:qFormat/>
    <w:pPr>
      <w:ind w:left="1701" w:hanging="1701"/>
      <w:outlineLvl w:val="4"/>
    </w:pPr>
    <w:rPr>
      <w:sz w:val="22"/>
    </w:rPr>
  </w:style>
  <w:style w:type="paragraph" w:styleId="Heading6">
    <w:name w:val="heading 6"/>
    <w:basedOn w:val="H6"/>
    <w:next w:val="Normal"/>
    <w:link w:val="Heading6Char"/>
    <w:uiPriority w:val="9"/>
    <w:qFormat/>
    <w:pPr>
      <w:outlineLvl w:val="5"/>
    </w:pPr>
  </w:style>
  <w:style w:type="paragraph" w:styleId="Heading7">
    <w:name w:val="heading 7"/>
    <w:basedOn w:val="H6"/>
    <w:next w:val="Normal"/>
    <w:link w:val="Heading7Char"/>
    <w:uiPriority w:val="9"/>
    <w:qFormat/>
    <w:pPr>
      <w:outlineLvl w:val="6"/>
    </w:pPr>
  </w:style>
  <w:style w:type="paragraph" w:styleId="Heading8">
    <w:name w:val="heading 8"/>
    <w:aliases w:val="Table Heading"/>
    <w:basedOn w:val="Heading1"/>
    <w:next w:val="Normal"/>
    <w:link w:val="Heading8Char"/>
    <w:qFormat/>
    <w:pPr>
      <w:ind w:left="0" w:firstLine="0"/>
      <w:outlineLvl w:val="7"/>
    </w:pPr>
  </w:style>
  <w:style w:type="paragraph" w:styleId="Heading9">
    <w:name w:val="heading 9"/>
    <w:aliases w:val="Figure Heading,FH"/>
    <w:basedOn w:val="Heading8"/>
    <w:next w:val="Normal"/>
    <w:link w:val="Heading9Char"/>
    <w:uiPriority w:val="9"/>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aliases w:val="Observation TOC2"/>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qFormat/>
    <w:pPr>
      <w:keepLines/>
      <w:tabs>
        <w:tab w:val="center" w:pos="4536"/>
        <w:tab w:val="right" w:pos="9072"/>
      </w:tabs>
    </w:pPr>
    <w:rPr>
      <w:noProof/>
    </w:rPr>
  </w:style>
  <w:style w:type="character" w:customStyle="1" w:styleId="ZGSM">
    <w:name w:val="ZGSM"/>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h"/>
    <w:link w:val="HeaderChar"/>
    <w:pPr>
      <w:widowControl w:val="0"/>
      <w:overflowPunct w:val="0"/>
      <w:autoSpaceDE w:val="0"/>
      <w:autoSpaceDN w:val="0"/>
      <w:adjustRightInd w:val="0"/>
      <w:textAlignment w:val="baseline"/>
    </w:pPr>
    <w:rPr>
      <w:rFonts w:ascii="Arial" w:hAnsi="Arial"/>
      <w:b/>
      <w:noProof/>
      <w:sz w:val="18"/>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uiPriority w:val="99"/>
    <w:pPr>
      <w:jc w:val="center"/>
    </w:pPr>
    <w:rPr>
      <w:i/>
      <w:lang w:eastAsia="x-none"/>
    </w:rPr>
  </w:style>
  <w:style w:type="paragraph" w:customStyle="1" w:styleId="TT">
    <w:name w:val="TT"/>
    <w:basedOn w:val="Heading1"/>
    <w:next w:val="Normal"/>
    <w:qFormat/>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pPr>
      <w:keepLines/>
      <w:ind w:left="1135" w:hanging="851"/>
    </w:pPr>
  </w:style>
  <w:style w:type="paragraph" w:customStyle="1" w:styleId="PL">
    <w:name w:val="PL"/>
    <w:link w:val="PLChar"/>
    <w:qFormat/>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har"/>
    <w:qFormat/>
    <w:pPr>
      <w:keepNext/>
      <w:keepLines/>
      <w:spacing w:after="0"/>
    </w:pPr>
    <w:rPr>
      <w:rFonts w:ascii="Arial" w:hAnsi="Arial"/>
      <w:sz w:val="18"/>
    </w:rPr>
  </w:style>
  <w:style w:type="paragraph" w:customStyle="1" w:styleId="TAH">
    <w:name w:val="TAH"/>
    <w:basedOn w:val="TAC"/>
    <w:link w:val="TAHCar"/>
    <w:qFormat/>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Zchn"/>
    <w:qFormat/>
    <w:pPr>
      <w:ind w:left="568" w:hanging="284"/>
    </w:pPr>
    <w:rPr>
      <w:lang w:val="x-none"/>
    </w:r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basedOn w:val="NO"/>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qForma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aliases w:val="left"/>
    <w:basedOn w:val="TH"/>
    <w:link w:val="TFZchn"/>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qFormat/>
    <w:pPr>
      <w:ind w:left="851" w:hanging="284"/>
    </w:pPr>
    <w:rPr>
      <w:lang w:val="x-none"/>
    </w:rPr>
  </w:style>
  <w:style w:type="paragraph" w:customStyle="1" w:styleId="B3">
    <w:name w:val="B3"/>
    <w:basedOn w:val="Normal"/>
    <w:link w:val="B3Char"/>
    <w:qFormat/>
    <w:pPr>
      <w:ind w:left="1135" w:hanging="284"/>
    </w:pPr>
  </w:style>
  <w:style w:type="paragraph" w:customStyle="1" w:styleId="B4">
    <w:name w:val="B4"/>
    <w:basedOn w:val="Normal"/>
    <w:link w:val="B4Char"/>
    <w:qFormat/>
    <w:pPr>
      <w:ind w:left="1418" w:hanging="284"/>
    </w:pPr>
  </w:style>
  <w:style w:type="paragraph" w:customStyle="1" w:styleId="B5">
    <w:name w:val="B5"/>
    <w:basedOn w:val="Normal"/>
    <w:link w:val="B5Char"/>
    <w:qFormat/>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character" w:customStyle="1" w:styleId="B1Zchn">
    <w:name w:val="B1 Zchn"/>
    <w:link w:val="B1"/>
    <w:qFormat/>
    <w:rsid w:val="00B210A3"/>
    <w:rPr>
      <w:lang w:eastAsia="en-US"/>
    </w:rPr>
  </w:style>
  <w:style w:type="character" w:customStyle="1" w:styleId="B2Char">
    <w:name w:val="B2 Char"/>
    <w:link w:val="B2"/>
    <w:qFormat/>
    <w:rsid w:val="00D1127D"/>
    <w:rPr>
      <w:lang w:eastAsia="en-US"/>
    </w:rPr>
  </w:style>
  <w:style w:type="character" w:customStyle="1" w:styleId="B2Car">
    <w:name w:val="B2 Car"/>
    <w:rsid w:val="007317FC"/>
    <w:rPr>
      <w:lang w:val="en-GB" w:eastAsia="en-US"/>
    </w:rPr>
  </w:style>
  <w:style w:type="character" w:styleId="CommentReference">
    <w:name w:val="annotation reference"/>
    <w:qFormat/>
    <w:rsid w:val="00383C04"/>
    <w:rPr>
      <w:sz w:val="16"/>
      <w:szCs w:val="16"/>
    </w:rPr>
  </w:style>
  <w:style w:type="paragraph" w:styleId="CommentText">
    <w:name w:val="annotation text"/>
    <w:basedOn w:val="Normal"/>
    <w:link w:val="CommentTextChar"/>
    <w:qFormat/>
    <w:rsid w:val="00383C04"/>
    <w:rPr>
      <w:lang w:val="x-none"/>
    </w:rPr>
  </w:style>
  <w:style w:type="character" w:customStyle="1" w:styleId="CommentTextChar">
    <w:name w:val="Comment Text Char"/>
    <w:link w:val="CommentText"/>
    <w:uiPriority w:val="99"/>
    <w:qFormat/>
    <w:rsid w:val="00383C04"/>
    <w:rPr>
      <w:lang w:eastAsia="en-US"/>
    </w:rPr>
  </w:style>
  <w:style w:type="paragraph" w:styleId="CommentSubject">
    <w:name w:val="annotation subject"/>
    <w:basedOn w:val="CommentText"/>
    <w:next w:val="CommentText"/>
    <w:link w:val="CommentSubjectChar"/>
    <w:uiPriority w:val="99"/>
    <w:rsid w:val="00383C04"/>
    <w:rPr>
      <w:b/>
      <w:bCs/>
    </w:rPr>
  </w:style>
  <w:style w:type="character" w:customStyle="1" w:styleId="CommentSubjectChar">
    <w:name w:val="Comment Subject Char"/>
    <w:link w:val="CommentSubject"/>
    <w:uiPriority w:val="99"/>
    <w:rsid w:val="00383C04"/>
    <w:rPr>
      <w:b/>
      <w:bCs/>
      <w:lang w:eastAsia="en-US"/>
    </w:rPr>
  </w:style>
  <w:style w:type="paragraph" w:styleId="BalloonText">
    <w:name w:val="Balloon Text"/>
    <w:basedOn w:val="Normal"/>
    <w:link w:val="BalloonTextChar"/>
    <w:uiPriority w:val="99"/>
    <w:rsid w:val="00383C04"/>
    <w:pPr>
      <w:spacing w:after="0"/>
    </w:pPr>
    <w:rPr>
      <w:rFonts w:ascii="Segoe UI" w:hAnsi="Segoe UI"/>
      <w:sz w:val="18"/>
      <w:szCs w:val="18"/>
      <w:lang w:val="x-none"/>
    </w:rPr>
  </w:style>
  <w:style w:type="character" w:customStyle="1" w:styleId="BalloonTextChar">
    <w:name w:val="Balloon Text Char"/>
    <w:link w:val="BalloonText"/>
    <w:uiPriority w:val="99"/>
    <w:rsid w:val="00383C04"/>
    <w:rPr>
      <w:rFonts w:ascii="Segoe UI" w:hAnsi="Segoe UI" w:cs="Segoe UI"/>
      <w:sz w:val="18"/>
      <w:szCs w:val="18"/>
      <w:lang w:eastAsia="en-US"/>
    </w:rPr>
  </w:style>
  <w:style w:type="character" w:customStyle="1" w:styleId="TALChar">
    <w:name w:val="TAL Char"/>
    <w:link w:val="TAL"/>
    <w:rsid w:val="000A0CC0"/>
    <w:rPr>
      <w:rFonts w:ascii="Arial" w:hAnsi="Arial"/>
      <w:sz w:val="18"/>
      <w:lang w:val="en-GB" w:eastAsia="en-US"/>
    </w:rPr>
  </w:style>
  <w:style w:type="paragraph" w:styleId="Index1">
    <w:name w:val="index 1"/>
    <w:basedOn w:val="Normal"/>
    <w:rsid w:val="00EB35E8"/>
    <w:pPr>
      <w:keepLines/>
      <w:overflowPunct w:val="0"/>
      <w:autoSpaceDE w:val="0"/>
      <w:autoSpaceDN w:val="0"/>
      <w:adjustRightInd w:val="0"/>
      <w:spacing w:after="0"/>
      <w:textAlignment w:val="baseline"/>
    </w:pPr>
    <w:rPr>
      <w:lang w:eastAsia="en-GB"/>
    </w:rPr>
  </w:style>
  <w:style w:type="paragraph" w:styleId="Index2">
    <w:name w:val="index 2"/>
    <w:basedOn w:val="Index1"/>
    <w:rsid w:val="00EB35E8"/>
    <w:pPr>
      <w:ind w:left="284"/>
    </w:pPr>
  </w:style>
  <w:style w:type="character" w:styleId="FootnoteReference">
    <w:name w:val="footnote reference"/>
    <w:rsid w:val="00EB35E8"/>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
    <w:basedOn w:val="Normal"/>
    <w:link w:val="FootnoteTextChar"/>
    <w:rsid w:val="00EB35E8"/>
    <w:pPr>
      <w:keepLines/>
      <w:overflowPunct w:val="0"/>
      <w:autoSpaceDE w:val="0"/>
      <w:autoSpaceDN w:val="0"/>
      <w:adjustRightInd w:val="0"/>
      <w:spacing w:after="0"/>
      <w:ind w:left="454" w:hanging="454"/>
      <w:textAlignment w:val="baseline"/>
    </w:pPr>
    <w:rPr>
      <w:sz w:val="16"/>
      <w:lang w:eastAsia="en-GB"/>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link w:val="FootnoteText"/>
    <w:rsid w:val="00EB35E8"/>
    <w:rPr>
      <w:sz w:val="16"/>
      <w:lang w:val="en-GB" w:eastAsia="en-GB"/>
    </w:rPr>
  </w:style>
  <w:style w:type="paragraph" w:styleId="ListNumber2">
    <w:name w:val="List Number 2"/>
    <w:basedOn w:val="ListNumber"/>
    <w:rsid w:val="00EB35E8"/>
    <w:pPr>
      <w:ind w:left="851"/>
    </w:pPr>
  </w:style>
  <w:style w:type="paragraph" w:styleId="ListNumber">
    <w:name w:val="List Number"/>
    <w:basedOn w:val="List"/>
    <w:rsid w:val="00EB35E8"/>
  </w:style>
  <w:style w:type="paragraph" w:styleId="List">
    <w:name w:val="List"/>
    <w:basedOn w:val="Normal"/>
    <w:link w:val="ListChar"/>
    <w:rsid w:val="00EB35E8"/>
    <w:pPr>
      <w:overflowPunct w:val="0"/>
      <w:autoSpaceDE w:val="0"/>
      <w:autoSpaceDN w:val="0"/>
      <w:adjustRightInd w:val="0"/>
      <w:ind w:left="568" w:hanging="284"/>
      <w:textAlignment w:val="baseline"/>
    </w:pPr>
    <w:rPr>
      <w:lang w:eastAsia="en-GB"/>
    </w:rPr>
  </w:style>
  <w:style w:type="character" w:customStyle="1" w:styleId="B1Char1">
    <w:name w:val="B1 Char1"/>
    <w:qFormat/>
    <w:rsid w:val="00EB35E8"/>
    <w:rPr>
      <w:rFonts w:eastAsia="Times New Roman"/>
    </w:rPr>
  </w:style>
  <w:style w:type="paragraph" w:styleId="ListBullet2">
    <w:name w:val="List Bullet 2"/>
    <w:aliases w:val="lb2"/>
    <w:basedOn w:val="ListBullet"/>
    <w:rsid w:val="00EB35E8"/>
    <w:pPr>
      <w:ind w:left="851"/>
    </w:pPr>
  </w:style>
  <w:style w:type="paragraph" w:styleId="ListBullet">
    <w:name w:val="List Bullet"/>
    <w:basedOn w:val="List"/>
    <w:rsid w:val="00EB35E8"/>
  </w:style>
  <w:style w:type="character" w:customStyle="1" w:styleId="THChar">
    <w:name w:val="TH Char"/>
    <w:link w:val="TH"/>
    <w:qFormat/>
    <w:rsid w:val="00EB35E8"/>
    <w:rPr>
      <w:rFonts w:ascii="Arial" w:hAnsi="Arial"/>
      <w:b/>
      <w:lang w:val="en-GB" w:eastAsia="en-US"/>
    </w:rPr>
  </w:style>
  <w:style w:type="paragraph" w:styleId="ListBullet3">
    <w:name w:val="List Bullet 3"/>
    <w:basedOn w:val="ListBullet2"/>
    <w:rsid w:val="00EB35E8"/>
    <w:pPr>
      <w:ind w:left="1135"/>
    </w:pPr>
  </w:style>
  <w:style w:type="paragraph" w:styleId="List2">
    <w:name w:val="List 2"/>
    <w:basedOn w:val="List"/>
    <w:link w:val="List2Char"/>
    <w:rsid w:val="00EB35E8"/>
    <w:pPr>
      <w:ind w:left="851"/>
    </w:pPr>
  </w:style>
  <w:style w:type="paragraph" w:styleId="List3">
    <w:name w:val="List 3"/>
    <w:basedOn w:val="List2"/>
    <w:link w:val="List3Char"/>
    <w:rsid w:val="00EB35E8"/>
    <w:pPr>
      <w:ind w:left="1135"/>
    </w:pPr>
  </w:style>
  <w:style w:type="paragraph" w:styleId="List4">
    <w:name w:val="List 4"/>
    <w:basedOn w:val="List3"/>
    <w:rsid w:val="00EB35E8"/>
    <w:pPr>
      <w:ind w:left="1418"/>
    </w:pPr>
  </w:style>
  <w:style w:type="paragraph" w:styleId="List5">
    <w:name w:val="List 5"/>
    <w:basedOn w:val="List4"/>
    <w:rsid w:val="00EB35E8"/>
    <w:pPr>
      <w:ind w:left="1702"/>
    </w:pPr>
  </w:style>
  <w:style w:type="paragraph" w:styleId="ListBullet4">
    <w:name w:val="List Bullet 4"/>
    <w:basedOn w:val="ListBullet3"/>
    <w:rsid w:val="00EB35E8"/>
    <w:pPr>
      <w:ind w:left="1418"/>
    </w:pPr>
  </w:style>
  <w:style w:type="paragraph" w:styleId="ListBullet5">
    <w:name w:val="List Bullet 5"/>
    <w:basedOn w:val="ListBullet4"/>
    <w:rsid w:val="00EB35E8"/>
    <w:pPr>
      <w:ind w:left="1702"/>
    </w:pPr>
  </w:style>
  <w:style w:type="paragraph" w:styleId="IndexHeading">
    <w:name w:val="index heading"/>
    <w:basedOn w:val="Normal"/>
    <w:next w:val="Normal"/>
    <w:rsid w:val="00EB35E8"/>
    <w:pPr>
      <w:pBdr>
        <w:top w:val="single" w:sz="12" w:space="0" w:color="auto"/>
      </w:pBdr>
      <w:overflowPunct w:val="0"/>
      <w:autoSpaceDE w:val="0"/>
      <w:autoSpaceDN w:val="0"/>
      <w:adjustRightInd w:val="0"/>
      <w:spacing w:before="360" w:after="240"/>
      <w:textAlignment w:val="baseline"/>
    </w:pPr>
    <w:rPr>
      <w:b/>
      <w:i/>
      <w:sz w:val="26"/>
      <w:lang w:eastAsia="en-GB"/>
    </w:rPr>
  </w:style>
  <w:style w:type="paragraph" w:customStyle="1" w:styleId="INDENT1">
    <w:name w:val="INDENT1"/>
    <w:basedOn w:val="Normal"/>
    <w:rsid w:val="00EB35E8"/>
    <w:pPr>
      <w:overflowPunct w:val="0"/>
      <w:autoSpaceDE w:val="0"/>
      <w:autoSpaceDN w:val="0"/>
      <w:adjustRightInd w:val="0"/>
      <w:ind w:left="851"/>
      <w:textAlignment w:val="baseline"/>
    </w:pPr>
    <w:rPr>
      <w:lang w:eastAsia="en-GB"/>
    </w:rPr>
  </w:style>
  <w:style w:type="paragraph" w:customStyle="1" w:styleId="INDENT2">
    <w:name w:val="INDENT2"/>
    <w:basedOn w:val="Normal"/>
    <w:rsid w:val="00EB35E8"/>
    <w:pPr>
      <w:overflowPunct w:val="0"/>
      <w:autoSpaceDE w:val="0"/>
      <w:autoSpaceDN w:val="0"/>
      <w:adjustRightInd w:val="0"/>
      <w:ind w:left="1135" w:hanging="284"/>
      <w:textAlignment w:val="baseline"/>
    </w:pPr>
    <w:rPr>
      <w:lang w:eastAsia="en-GB"/>
    </w:rPr>
  </w:style>
  <w:style w:type="paragraph" w:customStyle="1" w:styleId="INDENT3">
    <w:name w:val="INDENT3"/>
    <w:basedOn w:val="Normal"/>
    <w:rsid w:val="00EB35E8"/>
    <w:pPr>
      <w:overflowPunct w:val="0"/>
      <w:autoSpaceDE w:val="0"/>
      <w:autoSpaceDN w:val="0"/>
      <w:adjustRightInd w:val="0"/>
      <w:ind w:left="1701" w:hanging="567"/>
      <w:textAlignment w:val="baseline"/>
    </w:pPr>
    <w:rPr>
      <w:lang w:eastAsia="en-GB"/>
    </w:rPr>
  </w:style>
  <w:style w:type="paragraph" w:customStyle="1" w:styleId="FigureTitle">
    <w:name w:val="Figure_Title"/>
    <w:basedOn w:val="Normal"/>
    <w:next w:val="Normal"/>
    <w:rsid w:val="00EB35E8"/>
    <w:pPr>
      <w:keepLines/>
      <w:tabs>
        <w:tab w:val="left" w:pos="794"/>
        <w:tab w:val="left" w:pos="1191"/>
        <w:tab w:val="left" w:pos="1588"/>
        <w:tab w:val="left" w:pos="1985"/>
      </w:tabs>
      <w:overflowPunct w:val="0"/>
      <w:autoSpaceDE w:val="0"/>
      <w:autoSpaceDN w:val="0"/>
      <w:adjustRightInd w:val="0"/>
      <w:spacing w:before="120" w:after="480"/>
      <w:jc w:val="center"/>
      <w:textAlignment w:val="baseline"/>
    </w:pPr>
    <w:rPr>
      <w:b/>
      <w:sz w:val="24"/>
      <w:lang w:eastAsia="en-GB"/>
    </w:rPr>
  </w:style>
  <w:style w:type="paragraph" w:customStyle="1" w:styleId="RecCCITT">
    <w:name w:val="Rec_CCITT_#"/>
    <w:basedOn w:val="Normal"/>
    <w:rsid w:val="00EB35E8"/>
    <w:pPr>
      <w:keepNext/>
      <w:keepLines/>
      <w:overflowPunct w:val="0"/>
      <w:autoSpaceDE w:val="0"/>
      <w:autoSpaceDN w:val="0"/>
      <w:adjustRightInd w:val="0"/>
      <w:textAlignment w:val="baseline"/>
    </w:pPr>
    <w:rPr>
      <w:b/>
      <w:lang w:eastAsia="en-GB"/>
    </w:rPr>
  </w:style>
  <w:style w:type="paragraph" w:customStyle="1" w:styleId="enumlev2">
    <w:name w:val="enumlev2"/>
    <w:basedOn w:val="Normal"/>
    <w:rsid w:val="00EB35E8"/>
    <w:pPr>
      <w:tabs>
        <w:tab w:val="left" w:pos="794"/>
        <w:tab w:val="left" w:pos="1191"/>
        <w:tab w:val="left" w:pos="1588"/>
        <w:tab w:val="left" w:pos="1985"/>
      </w:tabs>
      <w:overflowPunct w:val="0"/>
      <w:autoSpaceDE w:val="0"/>
      <w:autoSpaceDN w:val="0"/>
      <w:adjustRightInd w:val="0"/>
      <w:spacing w:before="86"/>
      <w:ind w:left="1588" w:hanging="397"/>
      <w:jc w:val="both"/>
      <w:textAlignment w:val="baseline"/>
    </w:pPr>
    <w:rPr>
      <w:lang w:val="en-US" w:eastAsia="en-GB"/>
    </w:rPr>
  </w:style>
  <w:style w:type="paragraph" w:customStyle="1" w:styleId="CouvRecTitle">
    <w:name w:val="Couv Rec Title"/>
    <w:basedOn w:val="Normal"/>
    <w:rsid w:val="00EB35E8"/>
    <w:pPr>
      <w:keepNext/>
      <w:keepLines/>
      <w:overflowPunct w:val="0"/>
      <w:autoSpaceDE w:val="0"/>
      <w:autoSpaceDN w:val="0"/>
      <w:adjustRightInd w:val="0"/>
      <w:spacing w:before="240"/>
      <w:ind w:left="1418"/>
      <w:textAlignment w:val="baseline"/>
    </w:pPr>
    <w:rPr>
      <w:rFonts w:ascii="Arial" w:hAnsi="Arial"/>
      <w:b/>
      <w:sz w:val="36"/>
      <w:lang w:val="en-US" w:eastAsia="en-GB"/>
    </w:rPr>
  </w:style>
  <w:style w:type="paragraph" w:styleId="Caption">
    <w:name w:val="caption"/>
    <w:aliases w:val="cap,cap Char,Caption Char,Caption Char1 Char,cap Char Char1,Caption Char Char1 Char,cap Char2,条目,cap Char Char Char Char Char Char Char,Caption Char2,Caption Char Char Char,Caption Char Char1,fig and tbl,fighead2,Table Caption,fighead21,cap1,题注"/>
    <w:basedOn w:val="Normal"/>
    <w:next w:val="Normal"/>
    <w:link w:val="CaptionChar1"/>
    <w:uiPriority w:val="99"/>
    <w:qFormat/>
    <w:rsid w:val="00EB35E8"/>
    <w:pPr>
      <w:overflowPunct w:val="0"/>
      <w:autoSpaceDE w:val="0"/>
      <w:autoSpaceDN w:val="0"/>
      <w:adjustRightInd w:val="0"/>
      <w:spacing w:before="120" w:after="120"/>
      <w:textAlignment w:val="baseline"/>
    </w:pPr>
    <w:rPr>
      <w:b/>
      <w:lang w:eastAsia="en-GB"/>
    </w:rPr>
  </w:style>
  <w:style w:type="character" w:styleId="Hyperlink">
    <w:name w:val="Hyperlink"/>
    <w:uiPriority w:val="99"/>
    <w:rsid w:val="00EB35E8"/>
    <w:rPr>
      <w:color w:val="0000FF"/>
      <w:u w:val="single"/>
    </w:rPr>
  </w:style>
  <w:style w:type="character" w:styleId="FollowedHyperlink">
    <w:name w:val="FollowedHyperlink"/>
    <w:uiPriority w:val="99"/>
    <w:rsid w:val="00EB35E8"/>
    <w:rPr>
      <w:color w:val="800080"/>
      <w:u w:val="single"/>
    </w:rPr>
  </w:style>
  <w:style w:type="paragraph" w:styleId="DocumentMap">
    <w:name w:val="Document Map"/>
    <w:basedOn w:val="Normal"/>
    <w:link w:val="DocumentMapChar"/>
    <w:uiPriority w:val="99"/>
    <w:rsid w:val="00EB35E8"/>
    <w:pPr>
      <w:shd w:val="clear" w:color="auto" w:fill="000080"/>
      <w:overflowPunct w:val="0"/>
      <w:autoSpaceDE w:val="0"/>
      <w:autoSpaceDN w:val="0"/>
      <w:adjustRightInd w:val="0"/>
      <w:textAlignment w:val="baseline"/>
    </w:pPr>
    <w:rPr>
      <w:rFonts w:ascii="Tahoma" w:hAnsi="Tahoma"/>
      <w:lang w:eastAsia="en-GB"/>
    </w:rPr>
  </w:style>
  <w:style w:type="character" w:customStyle="1" w:styleId="DocumentMapChar">
    <w:name w:val="Document Map Char"/>
    <w:link w:val="DocumentMap"/>
    <w:uiPriority w:val="99"/>
    <w:rsid w:val="00EB35E8"/>
    <w:rPr>
      <w:rFonts w:ascii="Tahoma" w:hAnsi="Tahoma"/>
      <w:shd w:val="clear" w:color="auto" w:fill="000080"/>
      <w:lang w:val="en-GB" w:eastAsia="en-GB"/>
    </w:rPr>
  </w:style>
  <w:style w:type="paragraph" w:styleId="PlainText">
    <w:name w:val="Plain Text"/>
    <w:basedOn w:val="Normal"/>
    <w:link w:val="PlainTextChar"/>
    <w:uiPriority w:val="99"/>
    <w:rsid w:val="00EB35E8"/>
    <w:pPr>
      <w:overflowPunct w:val="0"/>
      <w:autoSpaceDE w:val="0"/>
      <w:autoSpaceDN w:val="0"/>
      <w:adjustRightInd w:val="0"/>
      <w:textAlignment w:val="baseline"/>
    </w:pPr>
    <w:rPr>
      <w:rFonts w:ascii="Courier New" w:hAnsi="Courier New"/>
      <w:lang w:val="nb-NO" w:eastAsia="en-GB"/>
    </w:rPr>
  </w:style>
  <w:style w:type="character" w:customStyle="1" w:styleId="PlainTextChar">
    <w:name w:val="Plain Text Char"/>
    <w:link w:val="PlainText"/>
    <w:uiPriority w:val="99"/>
    <w:rsid w:val="00EB35E8"/>
    <w:rPr>
      <w:rFonts w:ascii="Courier New" w:hAnsi="Courier New"/>
      <w:lang w:val="nb-NO" w:eastAsia="en-GB"/>
    </w:r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正文文本"/>
    <w:basedOn w:val="Normal"/>
    <w:link w:val="BodyTextChar"/>
    <w:rsid w:val="00EB35E8"/>
    <w:pPr>
      <w:overflowPunct w:val="0"/>
      <w:autoSpaceDE w:val="0"/>
      <w:autoSpaceDN w:val="0"/>
      <w:adjustRightInd w:val="0"/>
      <w:textAlignment w:val="baseline"/>
    </w:pPr>
    <w:rPr>
      <w:lang w:eastAsia="en-GB"/>
    </w:rPr>
  </w:style>
  <w:style w:type="character" w:customStyle="1" w:styleId="BodyTextChar">
    <w:name w:val="Body Text Char"/>
    <w:aliases w:val="bt Char,Corps de texte Car Char,Corps de texte Car1 Car Char,Corps de texte Car Car Car Char,Corps de texte Car1 Car Car Car Char,Corps de texte Car Car Car Car Car Char,Corps de texte Car1 Car Car Car Car Car Char,bt Car Char,正文文本 Char"/>
    <w:link w:val="BodyText"/>
    <w:rsid w:val="00EB35E8"/>
    <w:rPr>
      <w:lang w:val="en-GB" w:eastAsia="en-GB"/>
    </w:rPr>
  </w:style>
  <w:style w:type="paragraph" w:styleId="BodyText2">
    <w:name w:val="Body Text 2"/>
    <w:basedOn w:val="Normal"/>
    <w:link w:val="BodyText2Char"/>
    <w:rsid w:val="00EB35E8"/>
    <w:pPr>
      <w:widowControl w:val="0"/>
      <w:tabs>
        <w:tab w:val="left" w:pos="2205"/>
      </w:tabs>
      <w:overflowPunct w:val="0"/>
      <w:autoSpaceDE w:val="0"/>
      <w:autoSpaceDN w:val="0"/>
      <w:adjustRightInd w:val="0"/>
      <w:spacing w:after="0"/>
      <w:ind w:left="630"/>
      <w:jc w:val="both"/>
      <w:textAlignment w:val="baseline"/>
    </w:pPr>
    <w:rPr>
      <w:kern w:val="2"/>
      <w:sz w:val="21"/>
      <w:lang w:val="x-none" w:eastAsia="x-none"/>
    </w:rPr>
  </w:style>
  <w:style w:type="character" w:customStyle="1" w:styleId="BodyText2Char">
    <w:name w:val="Body Text 2 Char"/>
    <w:link w:val="BodyText2"/>
    <w:rsid w:val="00EB35E8"/>
    <w:rPr>
      <w:kern w:val="2"/>
      <w:sz w:val="21"/>
    </w:rPr>
  </w:style>
  <w:style w:type="paragraph" w:styleId="BodyTextIndent2">
    <w:name w:val="Body Text Indent 2"/>
    <w:basedOn w:val="Normal"/>
    <w:link w:val="BodyTextIndent2Char"/>
    <w:rsid w:val="00EB35E8"/>
    <w:pPr>
      <w:widowControl w:val="0"/>
      <w:tabs>
        <w:tab w:val="left" w:pos="2205"/>
      </w:tabs>
      <w:overflowPunct w:val="0"/>
      <w:autoSpaceDE w:val="0"/>
      <w:autoSpaceDN w:val="0"/>
      <w:adjustRightInd w:val="0"/>
      <w:spacing w:after="0"/>
      <w:ind w:left="200"/>
      <w:jc w:val="both"/>
      <w:textAlignment w:val="baseline"/>
    </w:pPr>
    <w:rPr>
      <w:kern w:val="2"/>
      <w:lang w:val="x-none" w:eastAsia="x-none"/>
    </w:rPr>
  </w:style>
  <w:style w:type="character" w:customStyle="1" w:styleId="BodyTextIndent2Char">
    <w:name w:val="Body Text Indent 2 Char"/>
    <w:link w:val="BodyTextIndent2"/>
    <w:rsid w:val="00EB35E8"/>
    <w:rPr>
      <w:kern w:val="2"/>
    </w:rPr>
  </w:style>
  <w:style w:type="paragraph" w:styleId="BodyTextIndent3">
    <w:name w:val="Body Text Indent 3"/>
    <w:basedOn w:val="Normal"/>
    <w:link w:val="BodyTextIndent3Char"/>
    <w:rsid w:val="00EB35E8"/>
    <w:pPr>
      <w:overflowPunct w:val="0"/>
      <w:autoSpaceDE w:val="0"/>
      <w:autoSpaceDN w:val="0"/>
      <w:adjustRightInd w:val="0"/>
      <w:spacing w:after="0"/>
      <w:ind w:left="1080"/>
      <w:textAlignment w:val="baseline"/>
    </w:pPr>
    <w:rPr>
      <w:lang w:val="en-US" w:eastAsia="ja-JP"/>
    </w:rPr>
  </w:style>
  <w:style w:type="character" w:customStyle="1" w:styleId="BodyTextIndent3Char">
    <w:name w:val="Body Text Indent 3 Char"/>
    <w:basedOn w:val="DefaultParagraphFont"/>
    <w:link w:val="BodyTextIndent3"/>
    <w:rsid w:val="00EB35E8"/>
  </w:style>
  <w:style w:type="paragraph" w:customStyle="1" w:styleId="numberedlist0">
    <w:name w:val="numbered list"/>
    <w:basedOn w:val="ListBullet"/>
    <w:rsid w:val="00EB35E8"/>
    <w:pPr>
      <w:tabs>
        <w:tab w:val="num" w:pos="360"/>
        <w:tab w:val="left" w:pos="1247"/>
        <w:tab w:val="left" w:pos="3856"/>
        <w:tab w:val="left" w:pos="5216"/>
        <w:tab w:val="left" w:pos="6464"/>
        <w:tab w:val="left" w:pos="7768"/>
        <w:tab w:val="left" w:pos="9072"/>
        <w:tab w:val="left" w:pos="10206"/>
      </w:tabs>
      <w:spacing w:after="120"/>
      <w:ind w:left="360" w:hanging="360"/>
    </w:pPr>
    <w:rPr>
      <w:lang w:eastAsia="ja-JP"/>
    </w:rPr>
  </w:style>
  <w:style w:type="paragraph" w:customStyle="1" w:styleId="CRfront">
    <w:name w:val="CR_front"/>
    <w:next w:val="Normal"/>
    <w:rsid w:val="00EB35E8"/>
    <w:rPr>
      <w:rFonts w:ascii="Arial" w:eastAsia="MS Mincho" w:hAnsi="Arial"/>
      <w:lang w:eastAsia="en-US"/>
    </w:rPr>
  </w:style>
  <w:style w:type="paragraph" w:customStyle="1" w:styleId="TabList">
    <w:name w:val="TabList"/>
    <w:basedOn w:val="Normal"/>
    <w:rsid w:val="00EB35E8"/>
    <w:pPr>
      <w:tabs>
        <w:tab w:val="left" w:pos="1134"/>
      </w:tabs>
      <w:overflowPunct w:val="0"/>
      <w:autoSpaceDE w:val="0"/>
      <w:autoSpaceDN w:val="0"/>
      <w:adjustRightInd w:val="0"/>
      <w:spacing w:after="0"/>
      <w:textAlignment w:val="baseline"/>
    </w:pPr>
    <w:rPr>
      <w:rFonts w:eastAsia="MS Mincho"/>
      <w:lang w:eastAsia="en-GB"/>
    </w:rPr>
  </w:style>
  <w:style w:type="paragraph" w:customStyle="1" w:styleId="tabletext">
    <w:name w:val="table text"/>
    <w:basedOn w:val="Normal"/>
    <w:next w:val="table"/>
    <w:rsid w:val="00EB35E8"/>
    <w:pPr>
      <w:overflowPunct w:val="0"/>
      <w:autoSpaceDE w:val="0"/>
      <w:autoSpaceDN w:val="0"/>
      <w:adjustRightInd w:val="0"/>
      <w:spacing w:after="0"/>
      <w:textAlignment w:val="baseline"/>
    </w:pPr>
    <w:rPr>
      <w:rFonts w:eastAsia="MS Mincho"/>
      <w:i/>
      <w:lang w:eastAsia="en-GB"/>
    </w:rPr>
  </w:style>
  <w:style w:type="paragraph" w:customStyle="1" w:styleId="table">
    <w:name w:val="table"/>
    <w:basedOn w:val="Normal"/>
    <w:next w:val="Normal"/>
    <w:rsid w:val="00EB35E8"/>
    <w:pPr>
      <w:overflowPunct w:val="0"/>
      <w:autoSpaceDE w:val="0"/>
      <w:autoSpaceDN w:val="0"/>
      <w:adjustRightInd w:val="0"/>
      <w:spacing w:after="0"/>
      <w:jc w:val="center"/>
      <w:textAlignment w:val="baseline"/>
    </w:pPr>
    <w:rPr>
      <w:rFonts w:eastAsia="MS Mincho"/>
      <w:lang w:val="en-US" w:eastAsia="en-GB"/>
    </w:rPr>
  </w:style>
  <w:style w:type="paragraph" w:customStyle="1" w:styleId="HE">
    <w:name w:val="HE"/>
    <w:basedOn w:val="Normal"/>
    <w:rsid w:val="00EB35E8"/>
    <w:pPr>
      <w:overflowPunct w:val="0"/>
      <w:autoSpaceDE w:val="0"/>
      <w:autoSpaceDN w:val="0"/>
      <w:adjustRightInd w:val="0"/>
      <w:spacing w:after="0"/>
      <w:textAlignment w:val="baseline"/>
    </w:pPr>
    <w:rPr>
      <w:rFonts w:eastAsia="MS Mincho"/>
      <w:b/>
      <w:lang w:eastAsia="en-GB"/>
    </w:rPr>
  </w:style>
  <w:style w:type="paragraph" w:customStyle="1" w:styleId="text">
    <w:name w:val="text"/>
    <w:basedOn w:val="Normal"/>
    <w:link w:val="textChar"/>
    <w:qFormat/>
    <w:rsid w:val="00EB35E8"/>
    <w:pPr>
      <w:widowControl w:val="0"/>
      <w:overflowPunct w:val="0"/>
      <w:autoSpaceDE w:val="0"/>
      <w:autoSpaceDN w:val="0"/>
      <w:adjustRightInd w:val="0"/>
      <w:spacing w:after="240"/>
      <w:jc w:val="both"/>
      <w:textAlignment w:val="baseline"/>
    </w:pPr>
    <w:rPr>
      <w:sz w:val="24"/>
      <w:lang w:val="en-AU" w:eastAsia="en-GB"/>
    </w:rPr>
  </w:style>
  <w:style w:type="paragraph" w:customStyle="1" w:styleId="Reference">
    <w:name w:val="Reference"/>
    <w:basedOn w:val="EX"/>
    <w:link w:val="ReferenceChar"/>
    <w:qFormat/>
    <w:rsid w:val="00EB35E8"/>
    <w:pPr>
      <w:numPr>
        <w:numId w:val="5"/>
      </w:numPr>
      <w:overflowPunct w:val="0"/>
      <w:autoSpaceDE w:val="0"/>
      <w:autoSpaceDN w:val="0"/>
      <w:adjustRightInd w:val="0"/>
      <w:textAlignment w:val="baseline"/>
    </w:pPr>
    <w:rPr>
      <w:lang w:eastAsia="en-GB"/>
    </w:rPr>
  </w:style>
  <w:style w:type="paragraph" w:customStyle="1" w:styleId="berschrift1H1">
    <w:name w:val="Überschrift 1.H1"/>
    <w:basedOn w:val="Normal"/>
    <w:next w:val="Normal"/>
    <w:rsid w:val="00EB35E8"/>
    <w:pPr>
      <w:keepNext/>
      <w:keepLines/>
      <w:numPr>
        <w:numId w:val="4"/>
      </w:numPr>
      <w:pBdr>
        <w:top w:val="single" w:sz="12" w:space="3" w:color="auto"/>
      </w:pBdr>
      <w:overflowPunct w:val="0"/>
      <w:autoSpaceDE w:val="0"/>
      <w:autoSpaceDN w:val="0"/>
      <w:adjustRightInd w:val="0"/>
      <w:spacing w:before="240"/>
      <w:textAlignment w:val="baseline"/>
      <w:outlineLvl w:val="0"/>
    </w:pPr>
    <w:rPr>
      <w:rFonts w:ascii="Arial" w:hAnsi="Arial"/>
      <w:sz w:val="36"/>
      <w:lang w:eastAsia="de-DE"/>
    </w:rPr>
  </w:style>
  <w:style w:type="paragraph" w:customStyle="1" w:styleId="textintend1">
    <w:name w:val="text intend 1"/>
    <w:basedOn w:val="text"/>
    <w:rsid w:val="00EB35E8"/>
    <w:pPr>
      <w:widowControl/>
      <w:numPr>
        <w:numId w:val="1"/>
      </w:numPr>
      <w:spacing w:after="120"/>
    </w:pPr>
    <w:rPr>
      <w:rFonts w:eastAsia="MS Mincho"/>
      <w:lang w:val="en-US"/>
    </w:rPr>
  </w:style>
  <w:style w:type="paragraph" w:customStyle="1" w:styleId="textintend2">
    <w:name w:val="text intend 2"/>
    <w:basedOn w:val="text"/>
    <w:rsid w:val="00EB35E8"/>
    <w:pPr>
      <w:widowControl/>
      <w:numPr>
        <w:numId w:val="2"/>
      </w:numPr>
      <w:spacing w:after="120"/>
    </w:pPr>
    <w:rPr>
      <w:rFonts w:eastAsia="MS Mincho"/>
      <w:lang w:val="en-US"/>
    </w:rPr>
  </w:style>
  <w:style w:type="paragraph" w:customStyle="1" w:styleId="textintend3">
    <w:name w:val="text intend 3"/>
    <w:basedOn w:val="text"/>
    <w:rsid w:val="00EB35E8"/>
    <w:pPr>
      <w:widowControl/>
      <w:numPr>
        <w:numId w:val="3"/>
      </w:numPr>
      <w:spacing w:after="120"/>
    </w:pPr>
    <w:rPr>
      <w:rFonts w:eastAsia="MS Mincho"/>
      <w:lang w:val="en-US"/>
    </w:rPr>
  </w:style>
  <w:style w:type="paragraph" w:customStyle="1" w:styleId="normalpuce">
    <w:name w:val="normal puce"/>
    <w:basedOn w:val="Normal"/>
    <w:rsid w:val="00EB35E8"/>
    <w:pPr>
      <w:widowControl w:val="0"/>
      <w:numPr>
        <w:numId w:val="6"/>
      </w:numPr>
      <w:overflowPunct w:val="0"/>
      <w:autoSpaceDE w:val="0"/>
      <w:autoSpaceDN w:val="0"/>
      <w:adjustRightInd w:val="0"/>
      <w:spacing w:before="60" w:after="60"/>
      <w:jc w:val="both"/>
      <w:textAlignment w:val="baseline"/>
    </w:pPr>
    <w:rPr>
      <w:rFonts w:eastAsia="MS Mincho"/>
      <w:lang w:eastAsia="en-GB"/>
    </w:rPr>
  </w:style>
  <w:style w:type="paragraph" w:customStyle="1" w:styleId="TdocHeading1">
    <w:name w:val="Tdoc_Heading_1"/>
    <w:basedOn w:val="Heading1"/>
    <w:next w:val="Normal"/>
    <w:autoRedefine/>
    <w:rsid w:val="00EB35E8"/>
    <w:pPr>
      <w:keepLines w:val="0"/>
      <w:numPr>
        <w:numId w:val="7"/>
      </w:numPr>
      <w:pBdr>
        <w:top w:val="none" w:sz="0" w:space="0" w:color="auto"/>
      </w:pBdr>
      <w:overflowPunct w:val="0"/>
      <w:autoSpaceDE w:val="0"/>
      <w:autoSpaceDN w:val="0"/>
      <w:adjustRightInd w:val="0"/>
      <w:spacing w:after="0"/>
      <w:textAlignment w:val="baseline"/>
    </w:pPr>
    <w:rPr>
      <w:b/>
      <w:noProof/>
      <w:kern w:val="28"/>
      <w:sz w:val="24"/>
      <w:lang w:val="en-US" w:eastAsia="en-GB"/>
    </w:rPr>
  </w:style>
  <w:style w:type="paragraph" w:styleId="Date">
    <w:name w:val="Date"/>
    <w:basedOn w:val="Normal"/>
    <w:next w:val="Normal"/>
    <w:link w:val="DateChar"/>
    <w:uiPriority w:val="99"/>
    <w:rsid w:val="00EB35E8"/>
    <w:pPr>
      <w:overflowPunct w:val="0"/>
      <w:autoSpaceDE w:val="0"/>
      <w:autoSpaceDN w:val="0"/>
      <w:adjustRightInd w:val="0"/>
      <w:spacing w:after="0"/>
      <w:jc w:val="both"/>
      <w:textAlignment w:val="baseline"/>
    </w:pPr>
    <w:rPr>
      <w:lang w:eastAsia="en-GB"/>
    </w:rPr>
  </w:style>
  <w:style w:type="character" w:customStyle="1" w:styleId="DateChar">
    <w:name w:val="Date Char"/>
    <w:link w:val="Date"/>
    <w:uiPriority w:val="99"/>
    <w:rsid w:val="00EB35E8"/>
    <w:rPr>
      <w:lang w:val="en-GB" w:eastAsia="en-GB"/>
    </w:rPr>
  </w:style>
  <w:style w:type="paragraph" w:customStyle="1" w:styleId="Meetingcaption">
    <w:name w:val="Meeting caption"/>
    <w:basedOn w:val="Normal"/>
    <w:rsid w:val="00EB35E8"/>
    <w:pPr>
      <w:framePr w:w="4120" w:hSpace="141" w:wrap="auto" w:vAnchor="text" w:hAnchor="text" w:y="3"/>
      <w:pBdr>
        <w:top w:val="single" w:sz="6" w:space="1" w:color="auto"/>
        <w:left w:val="single" w:sz="6" w:space="1" w:color="auto"/>
        <w:bottom w:val="single" w:sz="6" w:space="1" w:color="auto"/>
        <w:right w:val="single" w:sz="6" w:space="1" w:color="auto"/>
      </w:pBdr>
      <w:overflowPunct w:val="0"/>
      <w:autoSpaceDE w:val="0"/>
      <w:autoSpaceDN w:val="0"/>
      <w:adjustRightInd w:val="0"/>
      <w:spacing w:after="120"/>
      <w:textAlignment w:val="baseline"/>
    </w:pPr>
    <w:rPr>
      <w:snapToGrid w:val="0"/>
      <w:sz w:val="22"/>
      <w:lang w:val="fr-FR" w:eastAsia="en-GB"/>
    </w:rPr>
  </w:style>
  <w:style w:type="paragraph" w:customStyle="1" w:styleId="para">
    <w:name w:val="para"/>
    <w:basedOn w:val="Normal"/>
    <w:rsid w:val="00EB35E8"/>
    <w:pPr>
      <w:overflowPunct w:val="0"/>
      <w:autoSpaceDE w:val="0"/>
      <w:autoSpaceDN w:val="0"/>
      <w:adjustRightInd w:val="0"/>
      <w:spacing w:after="240"/>
      <w:jc w:val="both"/>
      <w:textAlignment w:val="baseline"/>
    </w:pPr>
    <w:rPr>
      <w:rFonts w:ascii="Helvetica" w:hAnsi="Helvetica"/>
      <w:lang w:eastAsia="en-GB"/>
    </w:rPr>
  </w:style>
  <w:style w:type="paragraph" w:customStyle="1" w:styleId="CRCoverPage">
    <w:name w:val="CR Cover Page"/>
    <w:qFormat/>
    <w:rsid w:val="00EB35E8"/>
    <w:pPr>
      <w:spacing w:after="120"/>
    </w:pPr>
    <w:rPr>
      <w:rFonts w:ascii="Arial" w:eastAsia="MS Mincho" w:hAnsi="Arial"/>
      <w:lang w:eastAsia="en-US"/>
    </w:rPr>
  </w:style>
  <w:style w:type="paragraph" w:customStyle="1" w:styleId="Cell">
    <w:name w:val="Cell"/>
    <w:basedOn w:val="Normal"/>
    <w:rsid w:val="00EB35E8"/>
    <w:pPr>
      <w:overflowPunct w:val="0"/>
      <w:autoSpaceDE w:val="0"/>
      <w:autoSpaceDN w:val="0"/>
      <w:adjustRightInd w:val="0"/>
      <w:spacing w:after="0" w:line="240" w:lineRule="exact"/>
      <w:jc w:val="center"/>
      <w:textAlignment w:val="baseline"/>
    </w:pPr>
    <w:rPr>
      <w:sz w:val="16"/>
      <w:lang w:val="en-US" w:eastAsia="ja-JP"/>
    </w:rPr>
  </w:style>
  <w:style w:type="paragraph" w:customStyle="1" w:styleId="h60">
    <w:name w:val="h6"/>
    <w:basedOn w:val="Normal"/>
    <w:rsid w:val="00EB35E8"/>
    <w:pPr>
      <w:overflowPunct w:val="0"/>
      <w:autoSpaceDE w:val="0"/>
      <w:autoSpaceDN w:val="0"/>
      <w:adjustRightInd w:val="0"/>
      <w:spacing w:before="100" w:beforeAutospacing="1" w:after="100" w:afterAutospacing="1"/>
      <w:textAlignment w:val="baseline"/>
    </w:pPr>
    <w:rPr>
      <w:sz w:val="24"/>
      <w:szCs w:val="24"/>
      <w:lang w:val="en-US" w:eastAsia="ja-JP"/>
    </w:rPr>
  </w:style>
  <w:style w:type="paragraph" w:customStyle="1" w:styleId="b10">
    <w:name w:val="b1"/>
    <w:basedOn w:val="Normal"/>
    <w:qFormat/>
    <w:rsid w:val="00EB35E8"/>
    <w:pPr>
      <w:overflowPunct w:val="0"/>
      <w:autoSpaceDE w:val="0"/>
      <w:autoSpaceDN w:val="0"/>
      <w:adjustRightInd w:val="0"/>
      <w:spacing w:before="100" w:beforeAutospacing="1" w:after="100" w:afterAutospacing="1"/>
      <w:textAlignment w:val="baseline"/>
    </w:pPr>
    <w:rPr>
      <w:sz w:val="24"/>
      <w:szCs w:val="24"/>
      <w:lang w:val="en-US" w:eastAsia="ja-JP"/>
    </w:rPr>
  </w:style>
  <w:style w:type="paragraph" w:customStyle="1" w:styleId="tah0">
    <w:name w:val="tah"/>
    <w:basedOn w:val="Normal"/>
    <w:rsid w:val="00EB35E8"/>
    <w:pPr>
      <w:keepNext/>
      <w:overflowPunct w:val="0"/>
      <w:autoSpaceDE w:val="0"/>
      <w:autoSpaceDN w:val="0"/>
      <w:spacing w:after="0"/>
      <w:jc w:val="center"/>
    </w:pPr>
    <w:rPr>
      <w:rFonts w:ascii="Arial" w:eastAsia="Batang" w:hAnsi="Arial" w:cs="Arial"/>
      <w:b/>
      <w:bCs/>
      <w:sz w:val="18"/>
      <w:szCs w:val="18"/>
      <w:lang w:val="en-US" w:eastAsia="en-GB"/>
    </w:rPr>
  </w:style>
  <w:style w:type="character" w:customStyle="1" w:styleId="GuidanceChar">
    <w:name w:val="Guidance Char"/>
    <w:rsid w:val="00EB35E8"/>
    <w:rPr>
      <w:i/>
      <w:color w:val="0000FF"/>
      <w:lang w:val="en-GB" w:eastAsia="ja-JP" w:bidi="ar-SA"/>
    </w:rPr>
  </w:style>
  <w:style w:type="paragraph" w:customStyle="1" w:styleId="CharCharCharChar">
    <w:name w:val="Char Char Char Char"/>
    <w:rsid w:val="00EB35E8"/>
    <w:pPr>
      <w:keepNext/>
      <w:tabs>
        <w:tab w:val="left" w:pos="-1134"/>
      </w:tabs>
      <w:autoSpaceDE w:val="0"/>
      <w:autoSpaceDN w:val="0"/>
      <w:adjustRightInd w:val="0"/>
      <w:spacing w:before="60" w:after="60"/>
      <w:jc w:val="both"/>
    </w:pPr>
  </w:style>
  <w:style w:type="paragraph" w:customStyle="1" w:styleId="CharCharCharCharCharCharCharCharCharCharCharChar">
    <w:name w:val="Char Char Char Char Char Char Char Char Char Char Char Char"/>
    <w:semiHidden/>
    <w:rsid w:val="00EB35E8"/>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styleId="Emphasis">
    <w:name w:val="Emphasis"/>
    <w:uiPriority w:val="20"/>
    <w:qFormat/>
    <w:rsid w:val="00EB35E8"/>
    <w:rPr>
      <w:i/>
      <w:iCs/>
    </w:rPr>
  </w:style>
  <w:style w:type="character" w:customStyle="1" w:styleId="h4CharChar">
    <w:name w:val="h4 Char Char"/>
    <w:rsid w:val="00EB35E8"/>
    <w:rPr>
      <w:rFonts w:ascii="Arial" w:hAnsi="Arial"/>
      <w:sz w:val="24"/>
      <w:lang w:val="en-GB" w:eastAsia="ja-JP" w:bidi="ar-SA"/>
    </w:rPr>
  </w:style>
  <w:style w:type="table" w:styleId="TableGrid">
    <w:name w:val="Table Grid"/>
    <w:basedOn w:val="TableNormal"/>
    <w:uiPriority w:val="59"/>
    <w:qFormat/>
    <w:rsid w:val="00EB35E8"/>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After3pt">
    <w:name w:val="Normal + After:  3 pt"/>
    <w:basedOn w:val="Normal"/>
    <w:rsid w:val="00EB35E8"/>
    <w:pPr>
      <w:tabs>
        <w:tab w:val="num" w:pos="2560"/>
      </w:tabs>
      <w:ind w:left="2560" w:hanging="357"/>
    </w:pPr>
    <w:rPr>
      <w:lang w:val="en-AU" w:eastAsia="ko-KR"/>
    </w:rPr>
  </w:style>
  <w:style w:type="character" w:customStyle="1" w:styleId="FigureCaption1">
    <w:name w:val="Figure Caption1"/>
    <w:aliases w:val="fc Char1,Figure Caption Char Char"/>
    <w:rsid w:val="00EB35E8"/>
    <w:rPr>
      <w:rFonts w:ascii="Arial" w:eastAsia="????" w:hAnsi="Arial" w:cs="Arial"/>
      <w:color w:val="0000FF"/>
      <w:kern w:val="2"/>
      <w:lang w:val="en-US" w:eastAsia="en-US" w:bidi="ar-SA"/>
    </w:rPr>
  </w:style>
  <w:style w:type="character" w:customStyle="1" w:styleId="Heading3Char">
    <w:name w:val="Heading 3 Char"/>
    <w:aliases w:val="Underrubrik2 Char,H3 Char,no break Char,Memo Heading 3 Char,h3 Char,3 Char,hello Char,Titre 3 Car Char,no break Car Char,H3 Car Char,Underrubrik2 Car Char,h3 Car Char,Memo Heading 3 Car Char,hello Car Char,Heading 3 Char Car Char"/>
    <w:link w:val="Heading3"/>
    <w:uiPriority w:val="9"/>
    <w:rsid w:val="00EB35E8"/>
    <w:rPr>
      <w:rFonts w:ascii="Arial" w:hAnsi="Arial"/>
      <w:sz w:val="28"/>
      <w:lang w:val="en-GB" w:eastAsia="en-US"/>
    </w:rPr>
  </w:style>
  <w:style w:type="character" w:customStyle="1" w:styleId="CharChar5">
    <w:name w:val="Char Char5"/>
    <w:semiHidden/>
    <w:rsid w:val="00EB35E8"/>
    <w:rPr>
      <w:rFonts w:ascii="Times New Roman" w:hAnsi="Times New Roman"/>
      <w:lang w:eastAsia="en-US"/>
    </w:rPr>
  </w:style>
  <w:style w:type="character" w:customStyle="1" w:styleId="Heading1Char">
    <w:name w:val="Heading 1 Char"/>
    <w:aliases w:val="H1 Char1,h1 Char1,app heading 1 Char,l1 Char,Memo Heading 1 Char,h11 Char,h12 Char,h13 Char,h14 Char,h15 Char,h16 Char,제목 1(no line) Char,Heading 1_a Char,heading 1 Char,h17 Char,h111 Char,h121 Char,h131 Char,h141 Char,h151 Char,h161 Char"/>
    <w:link w:val="Heading1"/>
    <w:uiPriority w:val="99"/>
    <w:rsid w:val="00EB35E8"/>
    <w:rPr>
      <w:rFonts w:ascii="Arial" w:hAnsi="Arial"/>
      <w:sz w:val="36"/>
      <w:lang w:val="en-GB" w:eastAsia="en-US" w:bidi="ar-SA"/>
    </w:rPr>
  </w:style>
  <w:style w:type="character" w:customStyle="1" w:styleId="Heading2Char1">
    <w:name w:val="Heading 2 Char1"/>
    <w:aliases w:val="H2 Char1,h2 Char1,DO NOT USE_h2 Char,h21 Char,Head2A Char,2 Char,UNDERRUBRIK 1-2 Char,Heading 2 Char Char,H2 Char Char,h2 Char Char,Header 2 Char,Header2 Char,22 Char,heading2 Char,2nd level Char,H21 Char,H22 Char,H23 Char,H24 Char"/>
    <w:link w:val="Heading2"/>
    <w:rsid w:val="00EB35E8"/>
    <w:rPr>
      <w:rFonts w:ascii="Arial" w:hAnsi="Arial"/>
      <w:sz w:val="32"/>
      <w:lang w:val="en-GB" w:eastAsia="en-US"/>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rsid w:val="00EB35E8"/>
    <w:rPr>
      <w:rFonts w:ascii="Arial" w:hAnsi="Arial"/>
      <w:sz w:val="24"/>
      <w:lang w:val="en-GB" w:eastAsia="en-US"/>
    </w:rPr>
  </w:style>
  <w:style w:type="character" w:customStyle="1" w:styleId="Heading5Char">
    <w:name w:val="Heading 5 Char"/>
    <w:aliases w:val="h5 Char,Heading5 Char,H5 Char"/>
    <w:link w:val="Heading5"/>
    <w:rsid w:val="00EB35E8"/>
    <w:rPr>
      <w:rFonts w:ascii="Arial" w:hAnsi="Arial"/>
      <w:sz w:val="22"/>
      <w:lang w:val="en-GB" w:eastAsia="en-US"/>
    </w:rPr>
  </w:style>
  <w:style w:type="character" w:customStyle="1" w:styleId="Heading6Char">
    <w:name w:val="Heading 6 Char"/>
    <w:link w:val="Heading6"/>
    <w:uiPriority w:val="9"/>
    <w:rsid w:val="00EB35E8"/>
    <w:rPr>
      <w:rFonts w:ascii="Arial" w:hAnsi="Arial"/>
      <w:lang w:val="en-GB" w:eastAsia="en-US"/>
    </w:rPr>
  </w:style>
  <w:style w:type="character" w:customStyle="1" w:styleId="Heading7Char">
    <w:name w:val="Heading 7 Char"/>
    <w:link w:val="Heading7"/>
    <w:uiPriority w:val="9"/>
    <w:rsid w:val="00EB35E8"/>
    <w:rPr>
      <w:rFonts w:ascii="Arial" w:hAnsi="Arial"/>
      <w:lang w:val="en-GB" w:eastAsia="en-US"/>
    </w:rPr>
  </w:style>
  <w:style w:type="character" w:customStyle="1" w:styleId="Heading8Char">
    <w:name w:val="Heading 8 Char"/>
    <w:aliases w:val="Table Heading Char"/>
    <w:link w:val="Heading8"/>
    <w:uiPriority w:val="9"/>
    <w:rsid w:val="00EB35E8"/>
    <w:rPr>
      <w:rFonts w:ascii="Arial" w:hAnsi="Arial"/>
      <w:sz w:val="36"/>
      <w:lang w:val="en-GB" w:eastAsia="en-US"/>
    </w:rPr>
  </w:style>
  <w:style w:type="character" w:customStyle="1" w:styleId="Heading9Char">
    <w:name w:val="Heading 9 Char"/>
    <w:aliases w:val="Figure Heading Char,FH Char"/>
    <w:link w:val="Heading9"/>
    <w:uiPriority w:val="9"/>
    <w:rsid w:val="00EB35E8"/>
    <w:rPr>
      <w:rFonts w:ascii="Arial" w:hAnsi="Arial"/>
      <w:sz w:val="36"/>
      <w:lang w:val="en-GB" w:eastAsia="en-US"/>
    </w:rPr>
  </w:style>
  <w:style w:type="character" w:customStyle="1" w:styleId="ListChar">
    <w:name w:val="List Char"/>
    <w:link w:val="List"/>
    <w:rsid w:val="00EB35E8"/>
    <w:rPr>
      <w:lang w:val="en-GB" w:eastAsia="en-GB"/>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h Char"/>
    <w:link w:val="Header"/>
    <w:rsid w:val="00EB35E8"/>
    <w:rPr>
      <w:rFonts w:ascii="Arial" w:hAnsi="Arial"/>
      <w:b/>
      <w:noProof/>
      <w:sz w:val="18"/>
      <w:lang w:val="en-GB" w:bidi="ar-SA"/>
    </w:rPr>
  </w:style>
  <w:style w:type="character" w:customStyle="1" w:styleId="PLChar">
    <w:name w:val="PL Char"/>
    <w:link w:val="PL"/>
    <w:qFormat/>
    <w:locked/>
    <w:rsid w:val="00EB35E8"/>
    <w:rPr>
      <w:rFonts w:ascii="Courier New" w:hAnsi="Courier New"/>
      <w:noProof/>
      <w:sz w:val="16"/>
      <w:lang w:val="en-GB" w:eastAsia="en-US" w:bidi="ar-SA"/>
    </w:rPr>
  </w:style>
  <w:style w:type="character" w:customStyle="1" w:styleId="List2Char">
    <w:name w:val="List 2 Char"/>
    <w:link w:val="List2"/>
    <w:rsid w:val="00EB35E8"/>
    <w:rPr>
      <w:lang w:val="en-GB" w:eastAsia="en-GB"/>
    </w:rPr>
  </w:style>
  <w:style w:type="character" w:customStyle="1" w:styleId="List3Char">
    <w:name w:val="List 3 Char"/>
    <w:link w:val="List3"/>
    <w:rsid w:val="00EB35E8"/>
    <w:rPr>
      <w:lang w:val="en-GB" w:eastAsia="en-GB"/>
    </w:rPr>
  </w:style>
  <w:style w:type="character" w:customStyle="1" w:styleId="B3Char">
    <w:name w:val="B3 Char"/>
    <w:link w:val="B3"/>
    <w:qFormat/>
    <w:rsid w:val="00EB35E8"/>
    <w:rPr>
      <w:lang w:val="en-GB" w:eastAsia="en-US"/>
    </w:rPr>
  </w:style>
  <w:style w:type="character" w:customStyle="1" w:styleId="FooterChar">
    <w:name w:val="Footer Char"/>
    <w:link w:val="Footer"/>
    <w:uiPriority w:val="99"/>
    <w:rsid w:val="00EB35E8"/>
    <w:rPr>
      <w:rFonts w:ascii="Arial" w:hAnsi="Arial"/>
      <w:b/>
      <w:i/>
      <w:noProof/>
      <w:sz w:val="18"/>
      <w:lang w:val="en-GB"/>
    </w:rPr>
  </w:style>
  <w:style w:type="paragraph" w:customStyle="1" w:styleId="tdoc-header">
    <w:name w:val="tdoc-header"/>
    <w:rsid w:val="00EB35E8"/>
    <w:rPr>
      <w:rFonts w:ascii="Arial" w:hAnsi="Arial"/>
      <w:noProof/>
      <w:sz w:val="24"/>
      <w:lang w:eastAsia="en-US"/>
    </w:rPr>
  </w:style>
  <w:style w:type="paragraph" w:customStyle="1" w:styleId="CharChar3CharCharCharCharCharChar">
    <w:name w:val="Char Char3 Char Char Char Char Char Char"/>
    <w:semiHidden/>
    <w:rsid w:val="00EB35E8"/>
    <w:pPr>
      <w:keepNext/>
      <w:autoSpaceDE w:val="0"/>
      <w:autoSpaceDN w:val="0"/>
      <w:adjustRightInd w:val="0"/>
      <w:spacing w:before="60" w:after="60"/>
      <w:ind w:left="567" w:hanging="283"/>
      <w:jc w:val="both"/>
    </w:pPr>
    <w:rPr>
      <w:rFonts w:ascii="Arial" w:hAnsi="Arial" w:cs="Arial"/>
      <w:color w:val="0000FF"/>
      <w:kern w:val="2"/>
      <w:lang w:val="en-US" w:eastAsia="zh-CN"/>
    </w:rPr>
  </w:style>
  <w:style w:type="paragraph" w:customStyle="1" w:styleId="CharChar1CharChar">
    <w:name w:val="Char Char1 Char Char"/>
    <w:rsid w:val="00EB35E8"/>
    <w:pPr>
      <w:keepNext/>
      <w:tabs>
        <w:tab w:val="left" w:pos="-1134"/>
      </w:tabs>
      <w:autoSpaceDE w:val="0"/>
      <w:autoSpaceDN w:val="0"/>
      <w:adjustRightInd w:val="0"/>
      <w:spacing w:before="60" w:after="60"/>
      <w:jc w:val="both"/>
    </w:pPr>
  </w:style>
  <w:style w:type="paragraph" w:customStyle="1" w:styleId="CharCharCharChar1">
    <w:name w:val="Char Char Char Char1"/>
    <w:rsid w:val="00EB35E8"/>
    <w:pPr>
      <w:keepNext/>
      <w:tabs>
        <w:tab w:val="left" w:pos="-1134"/>
      </w:tabs>
      <w:autoSpaceDE w:val="0"/>
      <w:autoSpaceDN w:val="0"/>
      <w:adjustRightInd w:val="0"/>
      <w:spacing w:before="60" w:after="60"/>
      <w:jc w:val="both"/>
    </w:pPr>
  </w:style>
  <w:style w:type="paragraph" w:customStyle="1" w:styleId="CharCharCharCharCharCharCharCharCharCharCharChar1">
    <w:name w:val="Char Char Char Char Char Char Char Char Char Char Char Char1"/>
    <w:semiHidden/>
    <w:rsid w:val="00EB35E8"/>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CharChar51">
    <w:name w:val="Char Char51"/>
    <w:semiHidden/>
    <w:rsid w:val="00EB35E8"/>
    <w:rPr>
      <w:rFonts w:ascii="Times New Roman" w:hAnsi="Times New Roman"/>
      <w:lang w:eastAsia="en-US"/>
    </w:rPr>
  </w:style>
  <w:style w:type="paragraph" w:styleId="ListParagraph">
    <w:name w:val="List Paragraph"/>
    <w:aliases w:val="- Bullets,목록 단락,リスト段落,列出段落,?? ??,?????,????,Lista1,列出段落1,中等深浅网格 1 - 着色 21,列表段落,¥¡¡¡¡ì¬º¥¹¥È¶ÎÂä,ÁÐ³ö¶ÎÂä,列表段落1,—ño’i—Ž,¥ê¥¹¥È¶ÎÂä,1st level - Bullet List Paragraph,Lettre d'introduction,Paragrafo elenco,Normal bullet 2,Bullet list,목록단락,列"/>
    <w:basedOn w:val="Normal"/>
    <w:link w:val="ListParagraphChar"/>
    <w:uiPriority w:val="34"/>
    <w:qFormat/>
    <w:rsid w:val="00EB35E8"/>
    <w:pPr>
      <w:spacing w:after="200" w:line="276" w:lineRule="auto"/>
      <w:ind w:left="720"/>
      <w:contextualSpacing/>
    </w:pPr>
    <w:rPr>
      <w:rFonts w:ascii="Calibri" w:eastAsia="Calibri" w:hAnsi="Calibri"/>
      <w:sz w:val="22"/>
      <w:szCs w:val="22"/>
      <w:lang w:val="x-none"/>
    </w:rPr>
  </w:style>
  <w:style w:type="paragraph" w:styleId="Revision">
    <w:name w:val="Revision"/>
    <w:hidden/>
    <w:uiPriority w:val="99"/>
    <w:semiHidden/>
    <w:rsid w:val="00EB35E8"/>
    <w:rPr>
      <w:rFonts w:ascii="Calibri" w:eastAsia="Calibri" w:hAnsi="Calibri"/>
      <w:sz w:val="22"/>
      <w:szCs w:val="22"/>
      <w:lang w:val="en-US" w:eastAsia="en-US"/>
    </w:rPr>
  </w:style>
  <w:style w:type="character" w:customStyle="1" w:styleId="Heading1Char1">
    <w:name w:val="Heading 1 Char1"/>
    <w:aliases w:val="H1 Char,h1 Char,app heading 1 Char1,l1 Char1,Memo Heading 1 Char1,h11 Char1,h12 Char1,h13 Char1,h14 Char1,h15 Char1,h16 Char1,NMP Heading 1 Char1,Heading 1_a Char1,h17 Char1,h111 Char1,h121 Char1,h131 Char1,h141 Char1,h151 Char1"/>
    <w:rsid w:val="00EB35E8"/>
    <w:rPr>
      <w:rFonts w:ascii="Cambria" w:eastAsia="Times New Roman" w:hAnsi="Cambria" w:cs="Times New Roman"/>
      <w:b/>
      <w:bCs/>
      <w:color w:val="365F91"/>
      <w:sz w:val="28"/>
      <w:szCs w:val="28"/>
      <w:lang w:val="en-GB" w:eastAsia="en-GB"/>
    </w:rPr>
  </w:style>
  <w:style w:type="character" w:customStyle="1" w:styleId="TACChar">
    <w:name w:val="TAC Char"/>
    <w:link w:val="TAC"/>
    <w:qFormat/>
    <w:locked/>
    <w:rsid w:val="00EB35E8"/>
    <w:rPr>
      <w:rFonts w:ascii="Arial" w:hAnsi="Arial"/>
      <w:sz w:val="18"/>
      <w:lang w:val="en-GB" w:eastAsia="en-US"/>
    </w:rPr>
  </w:style>
  <w:style w:type="paragraph" w:customStyle="1" w:styleId="TableCell">
    <w:name w:val="Table Cell"/>
    <w:basedOn w:val="TAC"/>
    <w:link w:val="TableCellChar"/>
    <w:qFormat/>
    <w:rsid w:val="00EB35E8"/>
    <w:pPr>
      <w:overflowPunct w:val="0"/>
      <w:autoSpaceDE w:val="0"/>
      <w:autoSpaceDN w:val="0"/>
      <w:adjustRightInd w:val="0"/>
    </w:pPr>
    <w:rPr>
      <w:lang w:eastAsia="zh-CN"/>
    </w:rPr>
  </w:style>
  <w:style w:type="character" w:customStyle="1" w:styleId="TableCellChar">
    <w:name w:val="Table Cell Char"/>
    <w:link w:val="TableCell"/>
    <w:rsid w:val="00EB35E8"/>
    <w:rPr>
      <w:rFonts w:ascii="Arial" w:eastAsia="SimSun" w:hAnsi="Arial"/>
      <w:sz w:val="18"/>
      <w:lang w:val="en-GB" w:eastAsia="zh-CN"/>
    </w:rPr>
  </w:style>
  <w:style w:type="character" w:customStyle="1" w:styleId="TAHCar">
    <w:name w:val="TAH Car"/>
    <w:link w:val="TAH"/>
    <w:qFormat/>
    <w:rsid w:val="00EB35E8"/>
    <w:rPr>
      <w:rFonts w:ascii="Arial" w:hAnsi="Arial"/>
      <w:b/>
      <w:sz w:val="18"/>
      <w:lang w:val="en-GB" w:eastAsia="en-US"/>
    </w:rPr>
  </w:style>
  <w:style w:type="character" w:customStyle="1" w:styleId="B11">
    <w:name w:val="B1 (文字)"/>
    <w:uiPriority w:val="99"/>
    <w:qFormat/>
    <w:locked/>
    <w:rsid w:val="00EB35E8"/>
    <w:rPr>
      <w:rFonts w:ascii="Times New Roman" w:hAnsi="Times New Roman"/>
      <w:lang w:val="en-GB" w:eastAsia="en-US"/>
    </w:rPr>
  </w:style>
  <w:style w:type="character" w:customStyle="1" w:styleId="TALCar">
    <w:name w:val="TAL Car"/>
    <w:qFormat/>
    <w:rsid w:val="00EB35E8"/>
    <w:rPr>
      <w:rFonts w:ascii="Arial" w:hAnsi="Arial"/>
      <w:sz w:val="18"/>
      <w:lang w:eastAsia="en-US"/>
    </w:rPr>
  </w:style>
  <w:style w:type="character" w:customStyle="1" w:styleId="B1Char">
    <w:name w:val="B1 Char"/>
    <w:rsid w:val="00EB35E8"/>
    <w:rPr>
      <w:rFonts w:ascii="Times New Roman" w:hAnsi="Times New Roman"/>
      <w:lang w:val="en-GB" w:eastAsia="en-US"/>
    </w:rPr>
  </w:style>
  <w:style w:type="paragraph" w:customStyle="1" w:styleId="MTDisplayEquation">
    <w:name w:val="MTDisplayEquation"/>
    <w:basedOn w:val="Normal"/>
    <w:next w:val="Normal"/>
    <w:link w:val="MTDisplayEquationChar"/>
    <w:rsid w:val="00EB35E8"/>
    <w:pPr>
      <w:tabs>
        <w:tab w:val="center" w:pos="4680"/>
        <w:tab w:val="right" w:pos="9360"/>
      </w:tabs>
      <w:spacing w:after="0"/>
    </w:pPr>
    <w:rPr>
      <w:rFonts w:eastAsia="Calibri"/>
      <w:szCs w:val="22"/>
      <w:lang w:val="x-none" w:eastAsia="x-none"/>
    </w:rPr>
  </w:style>
  <w:style w:type="character" w:customStyle="1" w:styleId="MTDisplayEquationChar">
    <w:name w:val="MTDisplayEquation Char"/>
    <w:link w:val="MTDisplayEquation"/>
    <w:rsid w:val="00EB35E8"/>
    <w:rPr>
      <w:rFonts w:eastAsia="Calibri"/>
      <w:szCs w:val="22"/>
      <w:lang w:val="x-none" w:eastAsia="x-none"/>
    </w:rPr>
  </w:style>
  <w:style w:type="paragraph" w:customStyle="1" w:styleId="Doc-text2">
    <w:name w:val="Doc-text2"/>
    <w:basedOn w:val="Normal"/>
    <w:link w:val="Doc-text2Char"/>
    <w:qFormat/>
    <w:rsid w:val="00477977"/>
    <w:pPr>
      <w:tabs>
        <w:tab w:val="left" w:pos="1622"/>
      </w:tabs>
      <w:spacing w:after="0"/>
      <w:ind w:left="1622" w:hanging="363"/>
    </w:pPr>
    <w:rPr>
      <w:rFonts w:ascii="Arial" w:eastAsia="MS Mincho" w:hAnsi="Arial"/>
      <w:szCs w:val="24"/>
      <w:lang w:eastAsia="en-GB"/>
    </w:rPr>
  </w:style>
  <w:style w:type="character" w:customStyle="1" w:styleId="Doc-text2Char">
    <w:name w:val="Doc-text2 Char"/>
    <w:link w:val="Doc-text2"/>
    <w:rsid w:val="00477977"/>
    <w:rPr>
      <w:rFonts w:ascii="Arial" w:eastAsia="MS Mincho" w:hAnsi="Arial"/>
      <w:szCs w:val="24"/>
      <w:lang w:val="en-GB" w:eastAsia="en-GB"/>
    </w:rPr>
  </w:style>
  <w:style w:type="paragraph" w:customStyle="1" w:styleId="Default">
    <w:name w:val="Default"/>
    <w:rsid w:val="00813BF7"/>
    <w:pPr>
      <w:autoSpaceDE w:val="0"/>
      <w:autoSpaceDN w:val="0"/>
      <w:adjustRightInd w:val="0"/>
    </w:pPr>
    <w:rPr>
      <w:rFonts w:ascii="Arial" w:hAnsi="Arial" w:cs="Arial"/>
      <w:color w:val="000000"/>
      <w:sz w:val="24"/>
      <w:szCs w:val="24"/>
      <w:lang w:val="en-US" w:eastAsia="ja-JP"/>
    </w:rPr>
  </w:style>
  <w:style w:type="paragraph" w:styleId="NormalWeb">
    <w:name w:val="Normal (Web)"/>
    <w:basedOn w:val="Normal"/>
    <w:uiPriority w:val="99"/>
    <w:unhideWhenUsed/>
    <w:qFormat/>
    <w:rsid w:val="008B1A64"/>
    <w:pPr>
      <w:spacing w:before="100" w:beforeAutospacing="1" w:after="100" w:afterAutospacing="1"/>
    </w:pPr>
    <w:rPr>
      <w:rFonts w:eastAsia="Calibri"/>
      <w:sz w:val="24"/>
      <w:szCs w:val="24"/>
      <w:lang w:val="en-US"/>
    </w:rPr>
  </w:style>
  <w:style w:type="character" w:customStyle="1" w:styleId="ListParagraphChar">
    <w:name w:val="List Paragraph Char"/>
    <w:aliases w:val="- Bullets Char,목록 단락 Char,リスト段落 Char,列出段落 Char,?? ?? Char,????? Char,???? Char,Lista1 Char,列出段落1 Char,中等深浅网格 1 - 着色 21 Char,列表段落 Char,¥¡¡¡¡ì¬º¥¹¥È¶ÎÂä Char,ÁÐ³ö¶ÎÂä Char,列表段落1 Char,—ño’i—Ž Char,¥ê¥¹¥È¶ÎÂä Char,Paragrafo elenco Char"/>
    <w:link w:val="ListParagraph"/>
    <w:uiPriority w:val="34"/>
    <w:qFormat/>
    <w:rsid w:val="006045F3"/>
    <w:rPr>
      <w:rFonts w:ascii="Calibri" w:eastAsia="Calibri" w:hAnsi="Calibri"/>
      <w:sz w:val="22"/>
      <w:szCs w:val="22"/>
      <w:lang w:eastAsia="en-US"/>
    </w:rPr>
  </w:style>
  <w:style w:type="character" w:customStyle="1" w:styleId="textChar">
    <w:name w:val="text Char"/>
    <w:link w:val="text"/>
    <w:rsid w:val="00992201"/>
    <w:rPr>
      <w:sz w:val="24"/>
      <w:lang w:val="en-AU" w:eastAsia="en-GB"/>
    </w:rPr>
  </w:style>
  <w:style w:type="paragraph" w:customStyle="1" w:styleId="bullet1">
    <w:name w:val="bullet1"/>
    <w:basedOn w:val="text"/>
    <w:link w:val="bullet1Char"/>
    <w:qFormat/>
    <w:rsid w:val="0017444F"/>
    <w:pPr>
      <w:widowControl/>
      <w:numPr>
        <w:numId w:val="8"/>
      </w:numPr>
      <w:overflowPunct/>
      <w:autoSpaceDE/>
      <w:autoSpaceDN/>
      <w:adjustRightInd/>
      <w:spacing w:after="0"/>
      <w:jc w:val="left"/>
      <w:textAlignment w:val="auto"/>
    </w:pPr>
    <w:rPr>
      <w:rFonts w:ascii="Calibri" w:hAnsi="Calibri"/>
      <w:kern w:val="2"/>
      <w:szCs w:val="24"/>
      <w:lang w:val="en-GB" w:eastAsia="zh-CN"/>
    </w:rPr>
  </w:style>
  <w:style w:type="paragraph" w:customStyle="1" w:styleId="bullet2">
    <w:name w:val="bullet2"/>
    <w:basedOn w:val="text"/>
    <w:link w:val="bullet2Char"/>
    <w:qFormat/>
    <w:rsid w:val="0017444F"/>
    <w:pPr>
      <w:widowControl/>
      <w:numPr>
        <w:ilvl w:val="1"/>
        <w:numId w:val="8"/>
      </w:numPr>
      <w:overflowPunct/>
      <w:autoSpaceDE/>
      <w:autoSpaceDN/>
      <w:adjustRightInd/>
      <w:spacing w:after="0"/>
      <w:jc w:val="left"/>
      <w:textAlignment w:val="auto"/>
    </w:pPr>
    <w:rPr>
      <w:rFonts w:ascii="Times" w:hAnsi="Times"/>
      <w:kern w:val="2"/>
      <w:szCs w:val="24"/>
      <w:lang w:val="en-GB" w:eastAsia="zh-CN"/>
    </w:rPr>
  </w:style>
  <w:style w:type="character" w:customStyle="1" w:styleId="bullet1Char">
    <w:name w:val="bullet1 Char"/>
    <w:link w:val="bullet1"/>
    <w:rsid w:val="0017444F"/>
    <w:rPr>
      <w:rFonts w:ascii="Calibri" w:hAnsi="Calibri"/>
      <w:kern w:val="2"/>
      <w:sz w:val="24"/>
      <w:szCs w:val="24"/>
      <w:lang w:eastAsia="zh-CN"/>
    </w:rPr>
  </w:style>
  <w:style w:type="paragraph" w:customStyle="1" w:styleId="bullet3">
    <w:name w:val="bullet3"/>
    <w:basedOn w:val="text"/>
    <w:link w:val="bullet3Char"/>
    <w:qFormat/>
    <w:rsid w:val="0017444F"/>
    <w:pPr>
      <w:widowControl/>
      <w:numPr>
        <w:ilvl w:val="2"/>
        <w:numId w:val="8"/>
      </w:numPr>
      <w:overflowPunct/>
      <w:autoSpaceDE/>
      <w:autoSpaceDN/>
      <w:adjustRightInd/>
      <w:spacing w:after="0"/>
      <w:jc w:val="left"/>
      <w:textAlignment w:val="auto"/>
    </w:pPr>
    <w:rPr>
      <w:rFonts w:ascii="Times" w:eastAsia="Batang" w:hAnsi="Times"/>
      <w:sz w:val="20"/>
      <w:szCs w:val="24"/>
      <w:lang w:val="en-GB" w:eastAsia="en-US"/>
    </w:rPr>
  </w:style>
  <w:style w:type="character" w:customStyle="1" w:styleId="bullet2Char">
    <w:name w:val="bullet2 Char"/>
    <w:link w:val="bullet2"/>
    <w:rsid w:val="0017444F"/>
    <w:rPr>
      <w:rFonts w:ascii="Times" w:hAnsi="Times"/>
      <w:kern w:val="2"/>
      <w:sz w:val="24"/>
      <w:szCs w:val="24"/>
      <w:lang w:eastAsia="zh-CN"/>
    </w:rPr>
  </w:style>
  <w:style w:type="paragraph" w:customStyle="1" w:styleId="bullet4">
    <w:name w:val="bullet4"/>
    <w:basedOn w:val="text"/>
    <w:qFormat/>
    <w:rsid w:val="0017444F"/>
    <w:pPr>
      <w:widowControl/>
      <w:numPr>
        <w:ilvl w:val="3"/>
        <w:numId w:val="8"/>
      </w:numPr>
      <w:overflowPunct/>
      <w:autoSpaceDE/>
      <w:autoSpaceDN/>
      <w:adjustRightInd/>
      <w:spacing w:after="0"/>
      <w:jc w:val="left"/>
      <w:textAlignment w:val="auto"/>
    </w:pPr>
    <w:rPr>
      <w:rFonts w:ascii="Times" w:eastAsia="Batang" w:hAnsi="Times"/>
      <w:sz w:val="20"/>
      <w:szCs w:val="24"/>
      <w:lang w:val="en-GB" w:eastAsia="en-US"/>
    </w:rPr>
  </w:style>
  <w:style w:type="paragraph" w:customStyle="1" w:styleId="SpecTextNum">
    <w:name w:val="Spec Text Num"/>
    <w:basedOn w:val="Normal"/>
    <w:rsid w:val="000E2F17"/>
    <w:pPr>
      <w:numPr>
        <w:numId w:val="9"/>
      </w:numPr>
      <w:spacing w:after="0"/>
    </w:pPr>
    <w:rPr>
      <w:rFonts w:eastAsia="MS Mincho"/>
      <w:sz w:val="24"/>
      <w:szCs w:val="24"/>
      <w:lang w:val="en-US" w:eastAsia="ja-JP"/>
    </w:rPr>
  </w:style>
  <w:style w:type="paragraph" w:customStyle="1" w:styleId="Comments">
    <w:name w:val="Comments"/>
    <w:basedOn w:val="Normal"/>
    <w:link w:val="CommentsChar"/>
    <w:qFormat/>
    <w:rsid w:val="001C3C91"/>
    <w:pPr>
      <w:spacing w:before="40" w:after="0"/>
    </w:pPr>
    <w:rPr>
      <w:rFonts w:ascii="Arial" w:eastAsia="MS Mincho" w:hAnsi="Arial"/>
      <w:i/>
      <w:sz w:val="18"/>
      <w:szCs w:val="24"/>
      <w:lang w:eastAsia="en-GB"/>
    </w:rPr>
  </w:style>
  <w:style w:type="character" w:customStyle="1" w:styleId="CommentsChar">
    <w:name w:val="Comments Char"/>
    <w:link w:val="Comments"/>
    <w:rsid w:val="001C3C91"/>
    <w:rPr>
      <w:rFonts w:ascii="Arial" w:eastAsia="MS Mincho" w:hAnsi="Arial"/>
      <w:i/>
      <w:sz w:val="18"/>
      <w:szCs w:val="24"/>
      <w:lang w:val="en-GB" w:eastAsia="en-GB"/>
    </w:rPr>
  </w:style>
  <w:style w:type="paragraph" w:customStyle="1" w:styleId="bullet">
    <w:name w:val="bullet"/>
    <w:basedOn w:val="ListParagraph"/>
    <w:link w:val="bulletChar"/>
    <w:qFormat/>
    <w:rsid w:val="00BD5D84"/>
    <w:pPr>
      <w:numPr>
        <w:numId w:val="10"/>
      </w:numPr>
      <w:spacing w:after="0" w:line="240" w:lineRule="auto"/>
    </w:pPr>
    <w:rPr>
      <w:rFonts w:ascii="Times New Roman" w:eastAsia="Times New Roman" w:hAnsi="Times New Roman"/>
      <w:sz w:val="20"/>
      <w:szCs w:val="24"/>
      <w:lang w:eastAsia="x-none"/>
    </w:rPr>
  </w:style>
  <w:style w:type="character" w:customStyle="1" w:styleId="bulletChar">
    <w:name w:val="bullet Char"/>
    <w:link w:val="bullet"/>
    <w:rsid w:val="00BD5D84"/>
    <w:rPr>
      <w:rFonts w:eastAsia="Times New Roman"/>
      <w:szCs w:val="24"/>
      <w:lang w:val="x-none" w:eastAsia="x-none"/>
    </w:rPr>
  </w:style>
  <w:style w:type="paragraph" w:customStyle="1" w:styleId="Proposal">
    <w:name w:val="Proposal"/>
    <w:basedOn w:val="Normal"/>
    <w:link w:val="ProposalChar"/>
    <w:qFormat/>
    <w:rsid w:val="00BE7A89"/>
    <w:pPr>
      <w:tabs>
        <w:tab w:val="left" w:pos="1701"/>
      </w:tabs>
      <w:overflowPunct w:val="0"/>
      <w:autoSpaceDE w:val="0"/>
      <w:autoSpaceDN w:val="0"/>
      <w:adjustRightInd w:val="0"/>
      <w:spacing w:after="120"/>
      <w:ind w:left="1701" w:hanging="1701"/>
      <w:jc w:val="both"/>
      <w:textAlignment w:val="baseline"/>
    </w:pPr>
    <w:rPr>
      <w:b/>
      <w:bCs/>
      <w:lang w:eastAsia="zh-CN"/>
    </w:rPr>
  </w:style>
  <w:style w:type="character" w:customStyle="1" w:styleId="ProposalChar">
    <w:name w:val="Proposal Char"/>
    <w:link w:val="Proposal"/>
    <w:rsid w:val="00BE7A89"/>
    <w:rPr>
      <w:b/>
      <w:bCs/>
      <w:lang w:val="en-GB" w:eastAsia="zh-CN"/>
    </w:rPr>
  </w:style>
  <w:style w:type="character" w:customStyle="1" w:styleId="colour">
    <w:name w:val="colour"/>
    <w:basedOn w:val="DefaultParagraphFont"/>
    <w:rsid w:val="005B74DE"/>
  </w:style>
  <w:style w:type="character" w:customStyle="1" w:styleId="TFZchn">
    <w:name w:val="TF Zchn"/>
    <w:link w:val="TF"/>
    <w:locked/>
    <w:rsid w:val="00CA657A"/>
    <w:rPr>
      <w:rFonts w:ascii="Arial" w:hAnsi="Arial"/>
      <w:b/>
      <w:lang w:eastAsia="en-US"/>
    </w:rPr>
  </w:style>
  <w:style w:type="paragraph" w:customStyle="1" w:styleId="RAN1bullet2">
    <w:name w:val="RAN1 bullet2"/>
    <w:basedOn w:val="Normal"/>
    <w:link w:val="RAN1bullet2Char"/>
    <w:qFormat/>
    <w:rsid w:val="00CA657A"/>
    <w:pPr>
      <w:numPr>
        <w:ilvl w:val="1"/>
        <w:numId w:val="11"/>
      </w:numPr>
      <w:tabs>
        <w:tab w:val="left" w:pos="1440"/>
      </w:tabs>
      <w:spacing w:after="0"/>
    </w:pPr>
    <w:rPr>
      <w:rFonts w:ascii="Times" w:eastAsia="Batang" w:hAnsi="Times"/>
      <w:lang w:val="en-US"/>
    </w:rPr>
  </w:style>
  <w:style w:type="character" w:customStyle="1" w:styleId="RAN1bullet2Char">
    <w:name w:val="RAN1 bullet2 Char"/>
    <w:link w:val="RAN1bullet2"/>
    <w:qFormat/>
    <w:rsid w:val="00CA657A"/>
    <w:rPr>
      <w:rFonts w:ascii="Times" w:eastAsia="Batang" w:hAnsi="Times"/>
      <w:lang w:val="en-US" w:eastAsia="en-US"/>
    </w:rPr>
  </w:style>
  <w:style w:type="paragraph" w:customStyle="1" w:styleId="RAN1bullet1">
    <w:name w:val="RAN1 bullet1"/>
    <w:basedOn w:val="Normal"/>
    <w:link w:val="RAN1bullet1Char"/>
    <w:qFormat/>
    <w:rsid w:val="00CA657A"/>
    <w:pPr>
      <w:numPr>
        <w:numId w:val="12"/>
      </w:numPr>
      <w:spacing w:after="0"/>
    </w:pPr>
    <w:rPr>
      <w:rFonts w:ascii="Times" w:eastAsia="Batang" w:hAnsi="Times"/>
      <w:szCs w:val="24"/>
      <w:lang w:eastAsia="x-none"/>
    </w:rPr>
  </w:style>
  <w:style w:type="character" w:customStyle="1" w:styleId="RAN1bullet1Char">
    <w:name w:val="RAN1 bullet1 Char"/>
    <w:link w:val="RAN1bullet1"/>
    <w:rsid w:val="00CA657A"/>
    <w:rPr>
      <w:rFonts w:ascii="Times" w:eastAsia="Batang" w:hAnsi="Times"/>
      <w:szCs w:val="24"/>
      <w:lang w:eastAsia="x-none"/>
    </w:rPr>
  </w:style>
  <w:style w:type="paragraph" w:customStyle="1" w:styleId="RAN1tdoc">
    <w:name w:val="RAN1 tdoc"/>
    <w:basedOn w:val="Normal"/>
    <w:link w:val="RAN1tdocChar"/>
    <w:qFormat/>
    <w:rsid w:val="00CA657A"/>
    <w:pPr>
      <w:spacing w:after="0"/>
      <w:ind w:left="720" w:hanging="720"/>
    </w:pPr>
    <w:rPr>
      <w:rFonts w:ascii="Times" w:eastAsia="Batang" w:hAnsi="Times"/>
      <w:b/>
      <w:color w:val="0000FF"/>
      <w:szCs w:val="24"/>
      <w:u w:val="single" w:color="0000FF"/>
      <w:lang w:eastAsia="x-none"/>
    </w:rPr>
  </w:style>
  <w:style w:type="character" w:customStyle="1" w:styleId="RAN1tdocChar">
    <w:name w:val="RAN1 tdoc Char"/>
    <w:link w:val="RAN1tdoc"/>
    <w:rsid w:val="00CA657A"/>
    <w:rPr>
      <w:rFonts w:ascii="Times" w:eastAsia="Batang" w:hAnsi="Times"/>
      <w:b/>
      <w:color w:val="0000FF"/>
      <w:szCs w:val="24"/>
      <w:u w:val="single" w:color="0000FF"/>
      <w:lang w:eastAsia="x-none"/>
    </w:rPr>
  </w:style>
  <w:style w:type="paragraph" w:customStyle="1" w:styleId="RAN1bullet3">
    <w:name w:val="RAN1 bullet3"/>
    <w:basedOn w:val="RAN1bullet2"/>
    <w:link w:val="RAN1bullet3Char"/>
    <w:uiPriority w:val="99"/>
    <w:qFormat/>
    <w:rsid w:val="00CA657A"/>
    <w:pPr>
      <w:numPr>
        <w:ilvl w:val="2"/>
        <w:numId w:val="13"/>
      </w:numPr>
    </w:pPr>
  </w:style>
  <w:style w:type="character" w:customStyle="1" w:styleId="RAN1bullet3Char">
    <w:name w:val="RAN1 bullet3 Char"/>
    <w:link w:val="RAN1bullet3"/>
    <w:uiPriority w:val="99"/>
    <w:qFormat/>
    <w:rsid w:val="00CA657A"/>
    <w:rPr>
      <w:rFonts w:ascii="Times" w:eastAsia="Batang" w:hAnsi="Times"/>
      <w:lang w:val="en-US" w:eastAsia="en-US"/>
    </w:rPr>
  </w:style>
  <w:style w:type="paragraph" w:customStyle="1" w:styleId="ZchnZchn">
    <w:name w:val="Zchn Zchn"/>
    <w:rsid w:val="00CA657A"/>
    <w:pPr>
      <w:keepNext/>
      <w:tabs>
        <w:tab w:val="num" w:pos="851"/>
      </w:tabs>
      <w:suppressAutoHyphens/>
      <w:autoSpaceDE w:val="0"/>
      <w:spacing w:before="60" w:after="60"/>
      <w:ind w:left="851" w:hanging="851"/>
      <w:jc w:val="both"/>
    </w:pPr>
    <w:rPr>
      <w:rFonts w:ascii="Arial" w:hAnsi="Arial" w:cs="Arial"/>
      <w:color w:val="0000FF"/>
      <w:kern w:val="1"/>
      <w:lang w:val="en-US" w:eastAsia="ar-SA"/>
    </w:rPr>
  </w:style>
  <w:style w:type="paragraph" w:styleId="TOCHeading">
    <w:name w:val="TOC Heading"/>
    <w:basedOn w:val="Heading1"/>
    <w:next w:val="Normal"/>
    <w:uiPriority w:val="39"/>
    <w:unhideWhenUsed/>
    <w:qFormat/>
    <w:rsid w:val="00CA657A"/>
    <w:pPr>
      <w:pBdr>
        <w:top w:val="none" w:sz="0" w:space="0" w:color="auto"/>
      </w:pBdr>
      <w:spacing w:after="0" w:line="259" w:lineRule="auto"/>
      <w:ind w:left="0" w:firstLine="0"/>
      <w:outlineLvl w:val="9"/>
    </w:pPr>
    <w:rPr>
      <w:rFonts w:ascii="Calibri Light" w:hAnsi="Calibri Light"/>
      <w:color w:val="2F5496"/>
      <w:sz w:val="32"/>
      <w:szCs w:val="32"/>
      <w:lang w:val="en-US"/>
    </w:rPr>
  </w:style>
  <w:style w:type="character" w:customStyle="1" w:styleId="CaptionChar1">
    <w:name w:val="Caption Char1"/>
    <w:aliases w:val="cap Char1,cap Char Char,Caption Char Char,Caption Char1 Char Char,cap Char Char1 Char,Caption Char Char1 Char Char,cap Char2 Char,条目 Char,cap Char Char Char Char Char Char Char Char,Caption Char2 Char,Caption Char Char Char Char,cap1 Char"/>
    <w:link w:val="Caption"/>
    <w:uiPriority w:val="99"/>
    <w:rsid w:val="00CA657A"/>
    <w:rPr>
      <w:b/>
    </w:rPr>
  </w:style>
  <w:style w:type="paragraph" w:customStyle="1" w:styleId="onecomwebmail-msonormal">
    <w:name w:val="onecomwebmail-msonormal"/>
    <w:basedOn w:val="Normal"/>
    <w:rsid w:val="00CA657A"/>
    <w:pPr>
      <w:spacing w:before="100" w:beforeAutospacing="1" w:after="100" w:afterAutospacing="1"/>
    </w:pPr>
    <w:rPr>
      <w:sz w:val="24"/>
      <w:szCs w:val="24"/>
      <w:lang w:val="en-US"/>
    </w:rPr>
  </w:style>
  <w:style w:type="character" w:customStyle="1" w:styleId="bullet3Char">
    <w:name w:val="bullet3 Char"/>
    <w:link w:val="bullet3"/>
    <w:rsid w:val="00CA657A"/>
    <w:rPr>
      <w:rFonts w:ascii="Times" w:eastAsia="Batang" w:hAnsi="Times"/>
      <w:szCs w:val="24"/>
      <w:lang w:eastAsia="en-US"/>
    </w:rPr>
  </w:style>
  <w:style w:type="paragraph" w:customStyle="1" w:styleId="2222">
    <w:name w:val="스타일 스타일 스타일 스타일 양쪽 첫 줄:  2 글자 + 첫 줄:  2 글자 + 첫 줄:  2 글자 + 첫 줄:  2..."/>
    <w:basedOn w:val="Normal"/>
    <w:link w:val="2222Char"/>
    <w:rsid w:val="00CA657A"/>
    <w:pPr>
      <w:spacing w:line="336" w:lineRule="auto"/>
      <w:ind w:firstLineChars="200" w:firstLine="200"/>
      <w:jc w:val="both"/>
    </w:pPr>
    <w:rPr>
      <w:rFonts w:eastAsia="Malgun Gothic" w:cs="Batang"/>
    </w:rPr>
  </w:style>
  <w:style w:type="character" w:customStyle="1" w:styleId="2222Char">
    <w:name w:val="스타일 스타일 스타일 스타일 양쪽 첫 줄:  2 글자 + 첫 줄:  2 글자 + 첫 줄:  2 글자 + 첫 줄:  2... Char"/>
    <w:link w:val="2222"/>
    <w:rsid w:val="00CA657A"/>
    <w:rPr>
      <w:rFonts w:eastAsia="Malgun Gothic" w:cs="Batang"/>
      <w:lang w:eastAsia="en-US"/>
    </w:rPr>
  </w:style>
  <w:style w:type="paragraph" w:customStyle="1" w:styleId="tdoc">
    <w:name w:val="tdoc"/>
    <w:basedOn w:val="Normal"/>
    <w:link w:val="tdocChar"/>
    <w:qFormat/>
    <w:rsid w:val="00CA657A"/>
    <w:pPr>
      <w:spacing w:after="0"/>
      <w:ind w:left="1440" w:hanging="1440"/>
    </w:pPr>
    <w:rPr>
      <w:rFonts w:ascii="Times" w:eastAsia="Batang" w:hAnsi="Times"/>
      <w:szCs w:val="24"/>
    </w:rPr>
  </w:style>
  <w:style w:type="character" w:customStyle="1" w:styleId="tdocChar">
    <w:name w:val="tdoc Char"/>
    <w:link w:val="tdoc"/>
    <w:rsid w:val="00CA657A"/>
    <w:rPr>
      <w:rFonts w:ascii="Times" w:eastAsia="Batang" w:hAnsi="Times"/>
      <w:szCs w:val="24"/>
      <w:lang w:eastAsia="en-US"/>
    </w:rPr>
  </w:style>
  <w:style w:type="character" w:styleId="Strong">
    <w:name w:val="Strong"/>
    <w:uiPriority w:val="22"/>
    <w:qFormat/>
    <w:rsid w:val="00CA657A"/>
    <w:rPr>
      <w:b/>
      <w:bCs/>
    </w:rPr>
  </w:style>
  <w:style w:type="paragraph" w:customStyle="1" w:styleId="maintext">
    <w:name w:val="main text"/>
    <w:basedOn w:val="Normal"/>
    <w:link w:val="maintextChar"/>
    <w:qFormat/>
    <w:rsid w:val="00CA657A"/>
    <w:pPr>
      <w:spacing w:before="60" w:after="60" w:line="288" w:lineRule="auto"/>
      <w:ind w:firstLineChars="200" w:firstLine="200"/>
      <w:jc w:val="both"/>
    </w:pPr>
    <w:rPr>
      <w:rFonts w:eastAsia="Malgun Gothic"/>
      <w:lang w:eastAsia="ko-KR"/>
    </w:rPr>
  </w:style>
  <w:style w:type="character" w:customStyle="1" w:styleId="maintextChar">
    <w:name w:val="main text Char"/>
    <w:link w:val="maintext"/>
    <w:qFormat/>
    <w:rsid w:val="00CA657A"/>
    <w:rPr>
      <w:rFonts w:eastAsia="Malgun Gothic"/>
      <w:lang w:eastAsia="ko-KR"/>
    </w:rPr>
  </w:style>
  <w:style w:type="character" w:styleId="PlaceholderText">
    <w:name w:val="Placeholder Text"/>
    <w:basedOn w:val="DefaultParagraphFont"/>
    <w:uiPriority w:val="99"/>
    <w:rsid w:val="00CA657A"/>
    <w:rPr>
      <w:color w:val="808080"/>
    </w:rPr>
  </w:style>
  <w:style w:type="paragraph" w:customStyle="1" w:styleId="CharChar1CharCharCharChar">
    <w:name w:val="Char Char1 Char Char Char Char"/>
    <w:semiHidden/>
    <w:rsid w:val="00CA657A"/>
    <w:pPr>
      <w:keepNext/>
      <w:tabs>
        <w:tab w:val="num" w:pos="360"/>
      </w:tabs>
      <w:autoSpaceDE w:val="0"/>
      <w:autoSpaceDN w:val="0"/>
      <w:adjustRightInd w:val="0"/>
      <w:spacing w:before="60" w:after="60"/>
      <w:ind w:left="360" w:hanging="360"/>
      <w:jc w:val="both"/>
    </w:pPr>
    <w:rPr>
      <w:rFonts w:ascii="Arial" w:eastAsiaTheme="minorEastAsia" w:hAnsi="Arial" w:cs="Arial"/>
      <w:color w:val="0000FF"/>
      <w:kern w:val="2"/>
      <w:lang w:val="en-US" w:eastAsia="zh-CN"/>
    </w:rPr>
  </w:style>
  <w:style w:type="paragraph" w:styleId="NormalIndent">
    <w:name w:val="Normal Indent"/>
    <w:aliases w:val="表正文,正文非缩进,正文不缩进,首行缩进,正文（首行缩进两字）＋行距：1.5倍行距,正文缩进 Char,特点,段1,正文缩进 Char Char Char Char Char,正文缩进 Char Char Char,Alt+X,mr正文缩进,正文对齐,正文缩进William,四号,缩进,正文（首行缩进两字） Char Char Char Char,正文（首行缩进两字） Char Char,特点 Char,ALT+Z,水上软件,正文缩进1,正文-段前3磅,正文缩进11,标题4"/>
    <w:basedOn w:val="Normal"/>
    <w:rsid w:val="00CA657A"/>
    <w:pPr>
      <w:widowControl w:val="0"/>
      <w:spacing w:after="0"/>
      <w:ind w:firstLine="420"/>
      <w:jc w:val="both"/>
    </w:pPr>
    <w:rPr>
      <w:rFonts w:eastAsiaTheme="minorEastAsia"/>
      <w:kern w:val="2"/>
      <w:sz w:val="21"/>
      <w:lang w:val="en-US" w:eastAsia="zh-CN"/>
    </w:rPr>
  </w:style>
  <w:style w:type="paragraph" w:customStyle="1" w:styleId="a0">
    <w:name w:val="表格文字居左"/>
    <w:basedOn w:val="Normal"/>
    <w:next w:val="Normal"/>
    <w:rsid w:val="00CA657A"/>
    <w:pPr>
      <w:widowControl w:val="0"/>
      <w:spacing w:after="0"/>
      <w:jc w:val="both"/>
    </w:pPr>
    <w:rPr>
      <w:rFonts w:ascii="Arial" w:eastAsiaTheme="minorEastAsia" w:hAnsi="Arial" w:cs="SimSun"/>
      <w:kern w:val="2"/>
      <w:sz w:val="21"/>
      <w:lang w:val="en-US" w:eastAsia="zh-CN"/>
    </w:rPr>
  </w:style>
  <w:style w:type="paragraph" w:styleId="z-TopofForm">
    <w:name w:val="HTML Top of Form"/>
    <w:basedOn w:val="Normal"/>
    <w:next w:val="Normal"/>
    <w:link w:val="z-TopofFormChar"/>
    <w:hidden/>
    <w:uiPriority w:val="99"/>
    <w:unhideWhenUsed/>
    <w:rsid w:val="00CA657A"/>
    <w:pPr>
      <w:pBdr>
        <w:bottom w:val="single" w:sz="6" w:space="1" w:color="auto"/>
      </w:pBdr>
      <w:spacing w:after="0"/>
      <w:jc w:val="center"/>
    </w:pPr>
    <w:rPr>
      <w:rFonts w:ascii="Arial" w:eastAsiaTheme="minorEastAsia" w:hAnsi="Arial"/>
      <w:vanish/>
      <w:sz w:val="16"/>
      <w:szCs w:val="16"/>
      <w:lang w:val="en-US" w:eastAsia="zh-CN"/>
    </w:rPr>
  </w:style>
  <w:style w:type="character" w:customStyle="1" w:styleId="z-TopofFormChar">
    <w:name w:val="z-Top of Form Char"/>
    <w:basedOn w:val="DefaultParagraphFont"/>
    <w:link w:val="z-TopofForm"/>
    <w:uiPriority w:val="99"/>
    <w:rsid w:val="00CA657A"/>
    <w:rPr>
      <w:rFonts w:ascii="Arial" w:eastAsiaTheme="minorEastAsia" w:hAnsi="Arial"/>
      <w:vanish/>
      <w:sz w:val="16"/>
      <w:szCs w:val="16"/>
      <w:lang w:val="en-US" w:eastAsia="zh-CN"/>
    </w:rPr>
  </w:style>
  <w:style w:type="character" w:customStyle="1" w:styleId="hps">
    <w:name w:val="hps"/>
    <w:basedOn w:val="DefaultParagraphFont"/>
    <w:rsid w:val="00CA657A"/>
  </w:style>
  <w:style w:type="paragraph" w:styleId="z-BottomofForm">
    <w:name w:val="HTML Bottom of Form"/>
    <w:basedOn w:val="Normal"/>
    <w:next w:val="Normal"/>
    <w:link w:val="z-BottomofFormChar"/>
    <w:hidden/>
    <w:uiPriority w:val="99"/>
    <w:unhideWhenUsed/>
    <w:rsid w:val="00CA657A"/>
    <w:pPr>
      <w:pBdr>
        <w:top w:val="single" w:sz="6" w:space="1" w:color="auto"/>
      </w:pBdr>
      <w:spacing w:after="0"/>
      <w:jc w:val="center"/>
    </w:pPr>
    <w:rPr>
      <w:rFonts w:ascii="Arial" w:eastAsiaTheme="minorEastAsia" w:hAnsi="Arial"/>
      <w:vanish/>
      <w:sz w:val="16"/>
      <w:szCs w:val="16"/>
      <w:lang w:val="en-US" w:eastAsia="zh-CN"/>
    </w:rPr>
  </w:style>
  <w:style w:type="character" w:customStyle="1" w:styleId="z-BottomofFormChar">
    <w:name w:val="z-Bottom of Form Char"/>
    <w:basedOn w:val="DefaultParagraphFont"/>
    <w:link w:val="z-BottomofForm"/>
    <w:uiPriority w:val="99"/>
    <w:rsid w:val="00CA657A"/>
    <w:rPr>
      <w:rFonts w:ascii="Arial" w:eastAsiaTheme="minorEastAsia" w:hAnsi="Arial"/>
      <w:vanish/>
      <w:sz w:val="16"/>
      <w:szCs w:val="16"/>
      <w:lang w:val="en-US" w:eastAsia="zh-CN"/>
    </w:rPr>
  </w:style>
  <w:style w:type="paragraph" w:customStyle="1" w:styleId="tablecell0">
    <w:name w:val="tablecell"/>
    <w:basedOn w:val="Normal"/>
    <w:qFormat/>
    <w:rsid w:val="00CA657A"/>
    <w:pPr>
      <w:autoSpaceDE w:val="0"/>
      <w:autoSpaceDN w:val="0"/>
      <w:adjustRightInd w:val="0"/>
      <w:snapToGrid w:val="0"/>
      <w:spacing w:before="40" w:after="40"/>
    </w:pPr>
    <w:rPr>
      <w:rFonts w:eastAsiaTheme="minorEastAsia"/>
      <w:lang w:val="en-US"/>
    </w:rPr>
  </w:style>
  <w:style w:type="character" w:customStyle="1" w:styleId="shorttext">
    <w:name w:val="short_text"/>
    <w:basedOn w:val="DefaultParagraphFont"/>
    <w:rsid w:val="00CA657A"/>
  </w:style>
  <w:style w:type="paragraph" w:customStyle="1" w:styleId="tableheader">
    <w:name w:val="tableheader"/>
    <w:basedOn w:val="Normal"/>
    <w:qFormat/>
    <w:rsid w:val="00CA657A"/>
    <w:pPr>
      <w:snapToGrid w:val="0"/>
      <w:spacing w:before="40" w:after="40"/>
      <w:jc w:val="center"/>
    </w:pPr>
    <w:rPr>
      <w:rFonts w:eastAsiaTheme="minorEastAsia" w:cs="Calibri"/>
      <w:b/>
      <w:bCs/>
      <w:color w:val="000000"/>
      <w:lang w:val="en-US"/>
    </w:rPr>
  </w:style>
  <w:style w:type="character" w:customStyle="1" w:styleId="apple-converted-space">
    <w:name w:val="apple-converted-space"/>
    <w:basedOn w:val="DefaultParagraphFont"/>
    <w:qFormat/>
    <w:rsid w:val="00CA657A"/>
  </w:style>
  <w:style w:type="character" w:customStyle="1" w:styleId="keyword">
    <w:name w:val="keyword"/>
    <w:basedOn w:val="DefaultParagraphFont"/>
    <w:rsid w:val="00CA657A"/>
  </w:style>
  <w:style w:type="paragraph" w:customStyle="1" w:styleId="Test">
    <w:name w:val="Test"/>
    <w:basedOn w:val="Normal"/>
    <w:rsid w:val="00CA657A"/>
    <w:pPr>
      <w:spacing w:before="60" w:after="60" w:line="280" w:lineRule="atLeast"/>
      <w:ind w:left="2160"/>
      <w:jc w:val="both"/>
    </w:pPr>
    <w:rPr>
      <w:rFonts w:eastAsia="MS Mincho"/>
    </w:rPr>
  </w:style>
  <w:style w:type="paragraph" w:styleId="BodyTextIndent">
    <w:name w:val="Body Text Indent"/>
    <w:basedOn w:val="Normal"/>
    <w:link w:val="BodyTextIndentChar"/>
    <w:uiPriority w:val="99"/>
    <w:unhideWhenUsed/>
    <w:rsid w:val="00CA657A"/>
    <w:pPr>
      <w:spacing w:after="120" w:line="276" w:lineRule="auto"/>
      <w:ind w:left="360"/>
    </w:pPr>
    <w:rPr>
      <w:rFonts w:eastAsiaTheme="minorEastAsia"/>
      <w:lang w:val="en-US" w:eastAsia="zh-CN"/>
    </w:rPr>
  </w:style>
  <w:style w:type="character" w:customStyle="1" w:styleId="BodyTextIndentChar">
    <w:name w:val="Body Text Indent Char"/>
    <w:basedOn w:val="DefaultParagraphFont"/>
    <w:link w:val="BodyTextIndent"/>
    <w:uiPriority w:val="99"/>
    <w:rsid w:val="00CA657A"/>
    <w:rPr>
      <w:rFonts w:eastAsiaTheme="minorEastAsia"/>
      <w:lang w:val="en-US" w:eastAsia="zh-CN"/>
    </w:rPr>
  </w:style>
  <w:style w:type="paragraph" w:customStyle="1" w:styleId="ordinary-output">
    <w:name w:val="ordinary-output"/>
    <w:basedOn w:val="Normal"/>
    <w:rsid w:val="00CA657A"/>
    <w:pPr>
      <w:spacing w:before="100" w:beforeAutospacing="1" w:after="100" w:afterAutospacing="1" w:line="322" w:lineRule="atLeast"/>
    </w:pPr>
    <w:rPr>
      <w:rFonts w:ascii="SimSun" w:eastAsiaTheme="minorEastAsia" w:hAnsi="SimSun" w:cs="SimSun"/>
      <w:color w:val="333333"/>
      <w:sz w:val="26"/>
      <w:szCs w:val="26"/>
      <w:lang w:val="en-US" w:eastAsia="zh-CN"/>
    </w:rPr>
  </w:style>
  <w:style w:type="character" w:customStyle="1" w:styleId="ordinary-span-edit2">
    <w:name w:val="ordinary-span-edit2"/>
    <w:basedOn w:val="DefaultParagraphFont"/>
    <w:rsid w:val="00CA657A"/>
  </w:style>
  <w:style w:type="paragraph" w:customStyle="1" w:styleId="3GPPNormalText">
    <w:name w:val="3GPP Normal Text"/>
    <w:basedOn w:val="BodyText"/>
    <w:link w:val="3GPPNormalTextChar"/>
    <w:qFormat/>
    <w:rsid w:val="00CA657A"/>
    <w:pPr>
      <w:tabs>
        <w:tab w:val="left" w:pos="1440"/>
      </w:tabs>
      <w:overflowPunct/>
      <w:autoSpaceDE/>
      <w:autoSpaceDN/>
      <w:adjustRightInd/>
      <w:spacing w:after="120"/>
      <w:ind w:left="1440" w:hanging="1440"/>
      <w:jc w:val="both"/>
      <w:textAlignment w:val="auto"/>
    </w:pPr>
    <w:rPr>
      <w:rFonts w:eastAsia="MS Mincho"/>
      <w:sz w:val="22"/>
      <w:szCs w:val="24"/>
      <w:lang w:val="en-US" w:eastAsia="zh-CN"/>
    </w:rPr>
  </w:style>
  <w:style w:type="character" w:customStyle="1" w:styleId="3GPPNormalTextChar">
    <w:name w:val="3GPP Normal Text Char"/>
    <w:link w:val="3GPPNormalText"/>
    <w:qFormat/>
    <w:rsid w:val="00CA657A"/>
    <w:rPr>
      <w:rFonts w:eastAsia="MS Mincho"/>
      <w:sz w:val="22"/>
      <w:szCs w:val="24"/>
      <w:lang w:val="en-US" w:eastAsia="zh-CN"/>
    </w:rPr>
  </w:style>
  <w:style w:type="paragraph" w:styleId="ListNumber3">
    <w:name w:val="List Number 3"/>
    <w:basedOn w:val="Normal"/>
    <w:rsid w:val="00CA657A"/>
    <w:pPr>
      <w:numPr>
        <w:numId w:val="14"/>
      </w:numPr>
      <w:overflowPunct w:val="0"/>
      <w:autoSpaceDE w:val="0"/>
      <w:autoSpaceDN w:val="0"/>
      <w:adjustRightInd w:val="0"/>
      <w:textAlignment w:val="baseline"/>
    </w:pPr>
  </w:style>
  <w:style w:type="table" w:customStyle="1" w:styleId="1">
    <w:name w:val="网格型1"/>
    <w:basedOn w:val="TableNormal"/>
    <w:next w:val="TableGrid"/>
    <w:rsid w:val="00CA657A"/>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ferenceChar">
    <w:name w:val="Reference Char"/>
    <w:link w:val="Reference"/>
    <w:rsid w:val="00CA657A"/>
  </w:style>
  <w:style w:type="paragraph" w:styleId="Subtitle">
    <w:name w:val="Subtitle"/>
    <w:basedOn w:val="Normal"/>
    <w:next w:val="Normal"/>
    <w:link w:val="SubtitleChar"/>
    <w:uiPriority w:val="11"/>
    <w:qFormat/>
    <w:rsid w:val="00CA657A"/>
    <w:pPr>
      <w:numPr>
        <w:ilvl w:val="1"/>
      </w:numPr>
      <w:snapToGrid w:val="0"/>
      <w:spacing w:after="0"/>
    </w:pPr>
    <w:rPr>
      <w:rFonts w:asciiTheme="majorHAnsi" w:eastAsiaTheme="majorEastAsia" w:hAnsiTheme="majorHAnsi" w:cstheme="majorBidi"/>
      <w:b/>
      <w:i/>
      <w:iCs/>
      <w:color w:val="5B9BD5" w:themeColor="accent1"/>
      <w:spacing w:val="15"/>
      <w:szCs w:val="24"/>
      <w:lang w:val="en-US" w:eastAsia="zh-CN"/>
    </w:rPr>
  </w:style>
  <w:style w:type="character" w:customStyle="1" w:styleId="SubtitleChar">
    <w:name w:val="Subtitle Char"/>
    <w:basedOn w:val="DefaultParagraphFont"/>
    <w:link w:val="Subtitle"/>
    <w:uiPriority w:val="11"/>
    <w:rsid w:val="00CA657A"/>
    <w:rPr>
      <w:rFonts w:asciiTheme="majorHAnsi" w:eastAsiaTheme="majorEastAsia" w:hAnsiTheme="majorHAnsi" w:cstheme="majorBidi"/>
      <w:b/>
      <w:i/>
      <w:iCs/>
      <w:color w:val="5B9BD5" w:themeColor="accent1"/>
      <w:spacing w:val="15"/>
      <w:szCs w:val="24"/>
      <w:lang w:val="en-US" w:eastAsia="zh-CN"/>
    </w:rPr>
  </w:style>
  <w:style w:type="table" w:customStyle="1" w:styleId="TableGridLight1">
    <w:name w:val="Table Grid Light1"/>
    <w:basedOn w:val="TableNormal"/>
    <w:uiPriority w:val="40"/>
    <w:rsid w:val="00CA657A"/>
    <w:rPr>
      <w:rFonts w:ascii="Calibri" w:eastAsiaTheme="minorEastAsia" w:hAnsi="Calibri"/>
      <w:lang w:val="en-US" w:eastAsia="zh-C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CA657A"/>
    <w:rPr>
      <w:rFonts w:ascii="Calibri" w:eastAsiaTheme="minorEastAsia" w:hAnsi="Calibri"/>
      <w:lang w:val="en-US" w:eastAsia="zh-C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size">
    <w:name w:val="size"/>
    <w:basedOn w:val="DefaultParagraphFont"/>
    <w:rsid w:val="00CA657A"/>
  </w:style>
  <w:style w:type="paragraph" w:styleId="Title">
    <w:name w:val="Title"/>
    <w:aliases w:val="Heading 31"/>
    <w:basedOn w:val="Normal"/>
    <w:link w:val="TitleChar1"/>
    <w:qFormat/>
    <w:rsid w:val="00CA657A"/>
    <w:pPr>
      <w:overflowPunct w:val="0"/>
      <w:autoSpaceDE w:val="0"/>
      <w:autoSpaceDN w:val="0"/>
      <w:adjustRightInd w:val="0"/>
      <w:spacing w:after="120"/>
      <w:jc w:val="center"/>
      <w:textAlignment w:val="baseline"/>
    </w:pPr>
    <w:rPr>
      <w:rFonts w:ascii="Arial" w:eastAsia="MS Mincho" w:hAnsi="Arial"/>
      <w:b/>
      <w:sz w:val="24"/>
      <w:lang w:val="de-DE" w:eastAsia="ja-JP"/>
    </w:rPr>
  </w:style>
  <w:style w:type="character" w:customStyle="1" w:styleId="TitleChar">
    <w:name w:val="Title Char"/>
    <w:aliases w:val="no break Char Car Char,H3 Char Car Char,h3 Char Car Char"/>
    <w:basedOn w:val="DefaultParagraphFont"/>
    <w:uiPriority w:val="10"/>
    <w:rsid w:val="00CA657A"/>
    <w:rPr>
      <w:rFonts w:asciiTheme="majorHAnsi" w:eastAsiaTheme="majorEastAsia" w:hAnsiTheme="majorHAnsi" w:cstheme="majorBidi"/>
      <w:spacing w:val="-10"/>
      <w:kern w:val="28"/>
      <w:sz w:val="56"/>
      <w:szCs w:val="56"/>
      <w:lang w:eastAsia="en-US"/>
    </w:rPr>
  </w:style>
  <w:style w:type="character" w:customStyle="1" w:styleId="TitleChar1">
    <w:name w:val="Title Char1"/>
    <w:aliases w:val="Heading 31 Char"/>
    <w:link w:val="Title"/>
    <w:rsid w:val="00CA657A"/>
    <w:rPr>
      <w:rFonts w:ascii="Arial" w:eastAsia="MS Mincho" w:hAnsi="Arial"/>
      <w:b/>
      <w:sz w:val="24"/>
      <w:lang w:val="de-DE" w:eastAsia="ja-JP"/>
    </w:rPr>
  </w:style>
  <w:style w:type="paragraph" w:customStyle="1" w:styleId="TableText0">
    <w:name w:val="TableText"/>
    <w:basedOn w:val="BodyTextIndent"/>
    <w:rsid w:val="00CA657A"/>
    <w:pPr>
      <w:keepNext/>
      <w:keepLines/>
      <w:overflowPunct w:val="0"/>
      <w:autoSpaceDE w:val="0"/>
      <w:autoSpaceDN w:val="0"/>
      <w:adjustRightInd w:val="0"/>
      <w:snapToGrid w:val="0"/>
      <w:spacing w:after="180" w:line="240" w:lineRule="auto"/>
      <w:ind w:left="0"/>
      <w:jc w:val="center"/>
    </w:pPr>
    <w:rPr>
      <w:rFonts w:eastAsia="Times New Roman"/>
      <w:kern w:val="2"/>
      <w:lang w:val="en-GB" w:eastAsia="en-US"/>
    </w:rPr>
  </w:style>
  <w:style w:type="paragraph" w:customStyle="1" w:styleId="HDStyleLS">
    <w:name w:val="HDStyle_LS"/>
    <w:basedOn w:val="Header"/>
    <w:rsid w:val="00CA657A"/>
    <w:pPr>
      <w:widowControl/>
      <w:tabs>
        <w:tab w:val="center" w:pos="4680"/>
        <w:tab w:val="right" w:pos="9360"/>
        <w:tab w:val="right" w:pos="9639"/>
        <w:tab w:val="right" w:pos="10206"/>
      </w:tabs>
      <w:overflowPunct/>
      <w:autoSpaceDE/>
      <w:autoSpaceDN/>
      <w:adjustRightInd/>
      <w:jc w:val="both"/>
      <w:textAlignment w:val="auto"/>
    </w:pPr>
    <w:rPr>
      <w:rFonts w:eastAsia="MS Mincho" w:cs="Arial"/>
      <w:noProof w:val="0"/>
      <w:sz w:val="28"/>
      <w:lang w:eastAsia="en-US"/>
    </w:rPr>
  </w:style>
  <w:style w:type="paragraph" w:customStyle="1" w:styleId="TitleText">
    <w:name w:val="Title Text"/>
    <w:basedOn w:val="Normal"/>
    <w:next w:val="Normal"/>
    <w:rsid w:val="00CA657A"/>
    <w:pPr>
      <w:overflowPunct w:val="0"/>
      <w:autoSpaceDE w:val="0"/>
      <w:autoSpaceDN w:val="0"/>
      <w:adjustRightInd w:val="0"/>
      <w:spacing w:after="220"/>
      <w:textAlignment w:val="baseline"/>
    </w:pPr>
    <w:rPr>
      <w:rFonts w:eastAsia="MS Mincho"/>
      <w:b/>
      <w:lang w:val="en-US" w:eastAsia="ja-JP"/>
    </w:rPr>
  </w:style>
  <w:style w:type="paragraph" w:customStyle="1" w:styleId="91">
    <w:name w:val="目录 91"/>
    <w:basedOn w:val="TOC8"/>
    <w:rsid w:val="00CA657A"/>
  </w:style>
  <w:style w:type="paragraph" w:customStyle="1" w:styleId="berschrift2Head2A2">
    <w:name w:val="Überschrift 2.Head2A.2"/>
    <w:basedOn w:val="Heading1"/>
    <w:next w:val="Normal"/>
    <w:rsid w:val="00CA657A"/>
    <w:pPr>
      <w:pBdr>
        <w:top w:val="none" w:sz="0" w:space="0" w:color="auto"/>
      </w:pBdr>
      <w:tabs>
        <w:tab w:val="num" w:pos="432"/>
      </w:tabs>
      <w:spacing w:before="180"/>
      <w:ind w:left="432" w:hanging="432"/>
      <w:outlineLvl w:val="1"/>
    </w:pPr>
    <w:rPr>
      <w:rFonts w:eastAsia="MS Mincho"/>
      <w:sz w:val="32"/>
      <w:lang w:eastAsia="de-DE"/>
    </w:rPr>
  </w:style>
  <w:style w:type="paragraph" w:customStyle="1" w:styleId="berschrift3h3H3Underrubrik2">
    <w:name w:val="Überschrift 3.h3.H3.Underrubrik2"/>
    <w:basedOn w:val="Heading2"/>
    <w:next w:val="Normal"/>
    <w:rsid w:val="00CA657A"/>
    <w:pPr>
      <w:numPr>
        <w:ilvl w:val="1"/>
      </w:numPr>
      <w:tabs>
        <w:tab w:val="num" w:pos="576"/>
      </w:tabs>
      <w:spacing w:before="120"/>
      <w:ind w:left="576" w:hanging="576"/>
      <w:outlineLvl w:val="2"/>
    </w:pPr>
    <w:rPr>
      <w:rFonts w:eastAsia="MS Mincho"/>
      <w:sz w:val="28"/>
      <w:lang w:eastAsia="de-DE"/>
    </w:rPr>
  </w:style>
  <w:style w:type="paragraph" w:customStyle="1" w:styleId="Bullets">
    <w:name w:val="Bullets"/>
    <w:basedOn w:val="BodyText"/>
    <w:rsid w:val="00CA657A"/>
    <w:pPr>
      <w:widowControl w:val="0"/>
      <w:overflowPunct/>
      <w:autoSpaceDE/>
      <w:autoSpaceDN/>
      <w:adjustRightInd/>
      <w:spacing w:after="0"/>
      <w:jc w:val="both"/>
      <w:textAlignment w:val="auto"/>
    </w:pPr>
    <w:rPr>
      <w:rFonts w:eastAsiaTheme="minorEastAsia"/>
      <w:color w:val="0000FF"/>
      <w:kern w:val="2"/>
      <w:sz w:val="21"/>
      <w:lang w:val="en-US" w:eastAsia="zh-CN"/>
    </w:rPr>
  </w:style>
  <w:style w:type="paragraph" w:customStyle="1" w:styleId="BalloonText1">
    <w:name w:val="Balloon Text1"/>
    <w:basedOn w:val="Normal"/>
    <w:semiHidden/>
    <w:rsid w:val="00CA657A"/>
    <w:pPr>
      <w:overflowPunct w:val="0"/>
      <w:autoSpaceDE w:val="0"/>
      <w:autoSpaceDN w:val="0"/>
      <w:adjustRightInd w:val="0"/>
      <w:textAlignment w:val="baseline"/>
    </w:pPr>
    <w:rPr>
      <w:rFonts w:ascii="Tahoma" w:eastAsia="MS Mincho" w:hAnsi="Tahoma" w:cs="Tahoma"/>
      <w:sz w:val="16"/>
      <w:szCs w:val="16"/>
      <w:lang w:eastAsia="ja-JP"/>
    </w:rPr>
  </w:style>
  <w:style w:type="paragraph" w:customStyle="1" w:styleId="Normal-Figure">
    <w:name w:val="Normal-Figure"/>
    <w:basedOn w:val="Normal"/>
    <w:rsid w:val="00CA657A"/>
    <w:pPr>
      <w:spacing w:before="360" w:after="0" w:line="240" w:lineRule="atLeast"/>
      <w:jc w:val="center"/>
    </w:pPr>
    <w:rPr>
      <w:rFonts w:eastAsia="MS Mincho"/>
      <w:lang w:val="en-US" w:eastAsia="ja-JP"/>
    </w:rPr>
  </w:style>
  <w:style w:type="paragraph" w:styleId="ListContinue2">
    <w:name w:val="List Continue 2"/>
    <w:basedOn w:val="Normal"/>
    <w:rsid w:val="00CA657A"/>
    <w:pPr>
      <w:ind w:leftChars="400" w:left="850"/>
    </w:pPr>
    <w:rPr>
      <w:rFonts w:eastAsia="MS Mincho"/>
      <w:lang w:eastAsia="ja-JP"/>
    </w:rPr>
  </w:style>
  <w:style w:type="paragraph" w:styleId="BodyTextFirstIndent2">
    <w:name w:val="Body Text First Indent 2"/>
    <w:basedOn w:val="BodyTextIndent"/>
    <w:link w:val="BodyTextFirstIndent2Char"/>
    <w:rsid w:val="00CA657A"/>
    <w:pPr>
      <w:spacing w:after="180" w:line="240" w:lineRule="auto"/>
      <w:ind w:leftChars="400" w:left="851" w:firstLineChars="100" w:firstLine="210"/>
    </w:pPr>
    <w:rPr>
      <w:rFonts w:eastAsia="MS Mincho"/>
      <w:lang w:val="en-GB" w:eastAsia="en-US"/>
    </w:rPr>
  </w:style>
  <w:style w:type="character" w:customStyle="1" w:styleId="BodyTextFirstIndent2Char">
    <w:name w:val="Body Text First Indent 2 Char"/>
    <w:basedOn w:val="BodyTextIndentChar"/>
    <w:link w:val="BodyTextFirstIndent2"/>
    <w:rsid w:val="00CA657A"/>
    <w:rPr>
      <w:rFonts w:eastAsia="MS Mincho"/>
      <w:lang w:val="en-US" w:eastAsia="en-US"/>
    </w:rPr>
  </w:style>
  <w:style w:type="character" w:styleId="PageNumber">
    <w:name w:val="page number"/>
    <w:basedOn w:val="DefaultParagraphFont"/>
    <w:rsid w:val="00CA657A"/>
  </w:style>
  <w:style w:type="paragraph" w:customStyle="1" w:styleId="List1">
    <w:name w:val="List 1"/>
    <w:basedOn w:val="Normal"/>
    <w:rsid w:val="00CA657A"/>
    <w:pPr>
      <w:spacing w:after="120"/>
      <w:ind w:left="568" w:hanging="284"/>
    </w:pPr>
    <w:rPr>
      <w:rFonts w:ascii="Arial" w:eastAsia="MS Mincho" w:hAnsi="Arial"/>
      <w:szCs w:val="22"/>
      <w:lang w:eastAsia="ja-JP"/>
    </w:rPr>
  </w:style>
  <w:style w:type="paragraph" w:customStyle="1" w:styleId="assocaitedwith">
    <w:name w:val="assocaited with"/>
    <w:basedOn w:val="Normal"/>
    <w:rsid w:val="00CA657A"/>
    <w:pPr>
      <w:jc w:val="center"/>
    </w:pPr>
    <w:rPr>
      <w:rFonts w:eastAsia="MS Mincho"/>
      <w:lang w:eastAsia="ja-JP"/>
    </w:rPr>
  </w:style>
  <w:style w:type="paragraph" w:customStyle="1" w:styleId="Nor">
    <w:name w:val="Nor'"/>
    <w:basedOn w:val="assocaitedwith"/>
    <w:rsid w:val="00CA657A"/>
    <w:rPr>
      <w:b/>
    </w:rPr>
  </w:style>
  <w:style w:type="character" w:customStyle="1" w:styleId="NOChar">
    <w:name w:val="NO Char"/>
    <w:link w:val="NO"/>
    <w:rsid w:val="00CA657A"/>
    <w:rPr>
      <w:lang w:eastAsia="en-US"/>
    </w:rPr>
  </w:style>
  <w:style w:type="table" w:styleId="TableClassic2">
    <w:name w:val="Table Classic 2"/>
    <w:basedOn w:val="TableNormal"/>
    <w:rsid w:val="00CA657A"/>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1">
    <w:name w:val="Table Classic 1"/>
    <w:basedOn w:val="TableNormal"/>
    <w:rsid w:val="00CA657A"/>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CA657A"/>
    <w:pPr>
      <w:spacing w:after="180"/>
    </w:pPr>
    <w:rPr>
      <w:rFonts w:ascii="CG Times (WN)" w:eastAsia="MS Mincho" w:hAnsi="CG Times (WN)"/>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CA657A"/>
    <w:pPr>
      <w:spacing w:after="180"/>
    </w:pPr>
    <w:rPr>
      <w:rFonts w:ascii="CG Times (WN)" w:eastAsia="MS Mincho"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2">
    <w:name w:val="Table Simple 2"/>
    <w:basedOn w:val="TableNormal"/>
    <w:rsid w:val="00CA657A"/>
    <w:pPr>
      <w:spacing w:after="180"/>
    </w:pPr>
    <w:rPr>
      <w:rFonts w:ascii="CG Times (WN)" w:eastAsia="MS Mincho" w:hAnsi="CG Times (WN)"/>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10">
    <w:name w:val="浅色列表1"/>
    <w:basedOn w:val="TableNormal"/>
    <w:uiPriority w:val="61"/>
    <w:rsid w:val="00CA657A"/>
    <w:rPr>
      <w:rFonts w:ascii="CG Times (WN)" w:eastAsia="MS Mincho" w:hAnsi="CG Times (WN)"/>
      <w:lang w:val="en-US"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Shading-Accent6">
    <w:name w:val="Light Shading Accent 6"/>
    <w:basedOn w:val="TableNormal"/>
    <w:uiPriority w:val="60"/>
    <w:rsid w:val="00CA657A"/>
    <w:rPr>
      <w:rFonts w:ascii="CG Times (WN)" w:eastAsia="MS Mincho" w:hAnsi="CG Times (WN)"/>
      <w:color w:val="E36C0A"/>
      <w:lang w:val="en-US"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styleId="MediumShading2-Accent3">
    <w:name w:val="Medium Shading 2 Accent 3"/>
    <w:basedOn w:val="TableNormal"/>
    <w:uiPriority w:val="64"/>
    <w:rsid w:val="00CA657A"/>
    <w:rPr>
      <w:rFonts w:ascii="CG Times (WN)" w:eastAsia="MS Mincho" w:hAnsi="CG Times (WN)"/>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ableGrid4">
    <w:name w:val="Table Grid 4"/>
    <w:basedOn w:val="TableNormal"/>
    <w:rsid w:val="00CA657A"/>
    <w:pPr>
      <w:spacing w:after="180"/>
    </w:pPr>
    <w:rPr>
      <w:rFonts w:ascii="CG Times (WN)" w:eastAsia="MS Mincho" w:hAnsi="CG Times (WN)"/>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3">
    <w:name w:val="Table Grid 3"/>
    <w:basedOn w:val="TableNormal"/>
    <w:rsid w:val="00CA657A"/>
    <w:pPr>
      <w:spacing w:after="180"/>
    </w:pPr>
    <w:rPr>
      <w:rFonts w:ascii="CG Times (WN)" w:eastAsia="MS Mincho" w:hAnsi="CG Times (WN)"/>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2">
    <w:name w:val="Table Grid 2"/>
    <w:basedOn w:val="TableNormal"/>
    <w:rsid w:val="00CA657A"/>
    <w:pPr>
      <w:spacing w:after="180"/>
    </w:pPr>
    <w:rPr>
      <w:rFonts w:ascii="CG Times (WN)" w:eastAsia="MS Mincho" w:hAnsi="CG Times (WN)"/>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Elegant">
    <w:name w:val="Table Elegant"/>
    <w:basedOn w:val="TableNormal"/>
    <w:rsid w:val="00CA657A"/>
    <w:pPr>
      <w:spacing w:after="180"/>
    </w:pPr>
    <w:rPr>
      <w:rFonts w:ascii="CG Times (WN)" w:eastAsia="MS Mincho" w:hAnsi="CG Times (WN)"/>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00BodyText">
    <w:name w:val="00 BodyText"/>
    <w:basedOn w:val="Normal"/>
    <w:rsid w:val="00CA657A"/>
    <w:pPr>
      <w:spacing w:after="220"/>
    </w:pPr>
    <w:rPr>
      <w:rFonts w:ascii="Arial" w:hAnsi="Arial"/>
      <w:sz w:val="22"/>
      <w:szCs w:val="24"/>
      <w:lang w:val="en-US"/>
    </w:rPr>
  </w:style>
  <w:style w:type="paragraph" w:customStyle="1" w:styleId="a1">
    <w:name w:val="样式 正文"/>
    <w:basedOn w:val="Normal"/>
    <w:link w:val="Char"/>
    <w:rsid w:val="00CA657A"/>
    <w:pPr>
      <w:widowControl w:val="0"/>
      <w:spacing w:after="0"/>
      <w:ind w:firstLineChars="200" w:firstLine="420"/>
      <w:jc w:val="both"/>
    </w:pPr>
    <w:rPr>
      <w:rFonts w:cs="SimSun"/>
      <w:kern w:val="2"/>
      <w:sz w:val="21"/>
      <w:lang w:val="en-US" w:eastAsia="zh-CN"/>
    </w:rPr>
  </w:style>
  <w:style w:type="character" w:customStyle="1" w:styleId="Char">
    <w:name w:val="样式 正文 Char"/>
    <w:basedOn w:val="DefaultParagraphFont"/>
    <w:link w:val="a1"/>
    <w:rsid w:val="00CA657A"/>
    <w:rPr>
      <w:rFonts w:eastAsia="SimSun" w:cs="SimSun"/>
      <w:kern w:val="2"/>
      <w:sz w:val="21"/>
      <w:lang w:val="en-US" w:eastAsia="zh-CN"/>
    </w:rPr>
  </w:style>
  <w:style w:type="paragraph" w:customStyle="1" w:styleId="a2">
    <w:name w:val="公式"/>
    <w:basedOn w:val="Normal"/>
    <w:rsid w:val="00CA657A"/>
    <w:pPr>
      <w:widowControl w:val="0"/>
      <w:spacing w:after="0"/>
      <w:ind w:firstLine="420"/>
      <w:jc w:val="right"/>
    </w:pPr>
    <w:rPr>
      <w:rFonts w:cs="SimSun"/>
      <w:kern w:val="2"/>
      <w:sz w:val="21"/>
      <w:lang w:val="en-US" w:eastAsia="zh-CN"/>
    </w:rPr>
  </w:style>
  <w:style w:type="paragraph" w:customStyle="1" w:styleId="Normal9pointspacing">
    <w:name w:val="Normal 9 point spacing"/>
    <w:basedOn w:val="BodyText"/>
    <w:link w:val="Normal9pointspacingChar"/>
    <w:qFormat/>
    <w:rsid w:val="00CA657A"/>
    <w:pPr>
      <w:overflowPunct/>
      <w:autoSpaceDE/>
      <w:autoSpaceDN/>
      <w:adjustRightInd/>
      <w:spacing w:before="180" w:after="60"/>
      <w:jc w:val="both"/>
      <w:textAlignment w:val="auto"/>
    </w:pPr>
    <w:rPr>
      <w:rFonts w:eastAsia="MS Mincho"/>
      <w:szCs w:val="24"/>
      <w:lang w:eastAsia="en-US"/>
    </w:rPr>
  </w:style>
  <w:style w:type="character" w:customStyle="1" w:styleId="Normal9pointspacingChar">
    <w:name w:val="Normal 9 point spacing Char"/>
    <w:link w:val="Normal9pointspacing"/>
    <w:rsid w:val="00CA657A"/>
    <w:rPr>
      <w:rFonts w:eastAsia="MS Mincho"/>
      <w:szCs w:val="24"/>
      <w:lang w:eastAsia="en-US"/>
    </w:rPr>
  </w:style>
  <w:style w:type="paragraph" w:customStyle="1" w:styleId="Doc-title">
    <w:name w:val="Doc-title"/>
    <w:basedOn w:val="Normal"/>
    <w:link w:val="Doc-titleChar"/>
    <w:qFormat/>
    <w:rsid w:val="00CA657A"/>
    <w:pPr>
      <w:spacing w:before="60" w:after="0"/>
      <w:ind w:left="1259" w:hanging="1259"/>
    </w:pPr>
    <w:rPr>
      <w:rFonts w:ascii="Arial" w:hAnsi="Arial" w:cs="Arial"/>
      <w:lang w:val="en-US" w:eastAsia="zh-CN"/>
    </w:rPr>
  </w:style>
  <w:style w:type="paragraph" w:customStyle="1" w:styleId="Figure">
    <w:name w:val="Figure"/>
    <w:basedOn w:val="Normal"/>
    <w:next w:val="Caption"/>
    <w:rsid w:val="00CA657A"/>
    <w:pPr>
      <w:keepNext/>
      <w:keepLines/>
      <w:spacing w:before="180" w:after="160" w:line="259" w:lineRule="auto"/>
      <w:jc w:val="center"/>
    </w:pPr>
    <w:rPr>
      <w:rFonts w:asciiTheme="minorHAnsi" w:eastAsiaTheme="minorHAnsi" w:hAnsiTheme="minorHAnsi" w:cstheme="minorBidi"/>
      <w:sz w:val="22"/>
      <w:szCs w:val="22"/>
      <w:lang w:val="en-US"/>
    </w:rPr>
  </w:style>
  <w:style w:type="paragraph" w:customStyle="1" w:styleId="3GPPHeader">
    <w:name w:val="3GPP_Header"/>
    <w:basedOn w:val="Normal"/>
    <w:rsid w:val="00CA657A"/>
    <w:pPr>
      <w:tabs>
        <w:tab w:val="left" w:pos="1701"/>
        <w:tab w:val="right" w:pos="9639"/>
      </w:tabs>
      <w:spacing w:after="240" w:line="259" w:lineRule="auto"/>
    </w:pPr>
    <w:rPr>
      <w:rFonts w:asciiTheme="minorHAnsi" w:eastAsiaTheme="minorHAnsi" w:hAnsiTheme="minorHAnsi" w:cstheme="minorBidi"/>
      <w:b/>
      <w:sz w:val="24"/>
      <w:szCs w:val="22"/>
      <w:lang w:val="en-US"/>
    </w:rPr>
  </w:style>
  <w:style w:type="paragraph" w:customStyle="1" w:styleId="Observation">
    <w:name w:val="Observation"/>
    <w:basedOn w:val="Proposal"/>
    <w:qFormat/>
    <w:rsid w:val="00CA657A"/>
    <w:pPr>
      <w:numPr>
        <w:numId w:val="15"/>
      </w:numPr>
      <w:overflowPunct/>
      <w:autoSpaceDE/>
      <w:autoSpaceDN/>
      <w:adjustRightInd/>
      <w:spacing w:after="160" w:line="259" w:lineRule="auto"/>
      <w:ind w:left="1701" w:hanging="1701"/>
      <w:jc w:val="left"/>
      <w:textAlignment w:val="auto"/>
    </w:pPr>
    <w:rPr>
      <w:rFonts w:asciiTheme="minorHAnsi" w:eastAsiaTheme="minorHAnsi" w:hAnsiTheme="minorHAnsi" w:cstheme="minorBidi"/>
      <w:sz w:val="22"/>
      <w:szCs w:val="22"/>
      <w:lang w:val="en-US" w:eastAsia="en-US"/>
    </w:rPr>
  </w:style>
  <w:style w:type="paragraph" w:styleId="TableofFigures">
    <w:name w:val="table of figures"/>
    <w:basedOn w:val="Normal"/>
    <w:next w:val="Normal"/>
    <w:rsid w:val="00CA657A"/>
    <w:pPr>
      <w:spacing w:after="160" w:line="259" w:lineRule="auto"/>
      <w:ind w:left="1418" w:hanging="1418"/>
    </w:pPr>
    <w:rPr>
      <w:rFonts w:asciiTheme="minorHAnsi" w:eastAsiaTheme="minorHAnsi" w:hAnsiTheme="minorHAnsi" w:cstheme="minorBidi"/>
      <w:b/>
      <w:sz w:val="22"/>
      <w:szCs w:val="22"/>
      <w:lang w:val="en-US"/>
    </w:rPr>
  </w:style>
  <w:style w:type="paragraph" w:customStyle="1" w:styleId="references">
    <w:name w:val="references"/>
    <w:rsid w:val="00CA657A"/>
    <w:pPr>
      <w:numPr>
        <w:numId w:val="16"/>
      </w:numPr>
      <w:spacing w:after="50" w:line="180" w:lineRule="exact"/>
      <w:jc w:val="both"/>
    </w:pPr>
    <w:rPr>
      <w:rFonts w:eastAsia="MS Mincho"/>
      <w:noProof/>
      <w:sz w:val="16"/>
      <w:szCs w:val="16"/>
      <w:lang w:val="en-US" w:eastAsia="en-US"/>
    </w:rPr>
  </w:style>
  <w:style w:type="paragraph" w:customStyle="1" w:styleId="CharCharCharCharCharChar">
    <w:name w:val="Char Char Char Char Char Char"/>
    <w:semiHidden/>
    <w:rsid w:val="00CA657A"/>
    <w:pPr>
      <w:keepNext/>
      <w:numPr>
        <w:numId w:val="17"/>
      </w:numPr>
      <w:autoSpaceDE w:val="0"/>
      <w:autoSpaceDN w:val="0"/>
      <w:adjustRightInd w:val="0"/>
      <w:spacing w:before="60" w:after="60"/>
      <w:jc w:val="both"/>
    </w:pPr>
    <w:rPr>
      <w:rFonts w:ascii="Arial" w:eastAsiaTheme="minorEastAsia" w:hAnsi="Arial" w:cs="Arial"/>
      <w:color w:val="0000FF"/>
      <w:kern w:val="2"/>
      <w:lang w:val="en-US" w:eastAsia="zh-CN"/>
    </w:rPr>
  </w:style>
  <w:style w:type="paragraph" w:customStyle="1" w:styleId="NumberedList">
    <w:name w:val="Numbered List"/>
    <w:basedOn w:val="Normal"/>
    <w:rsid w:val="00CA657A"/>
    <w:pPr>
      <w:numPr>
        <w:numId w:val="19"/>
      </w:numPr>
      <w:spacing w:after="0"/>
      <w:jc w:val="both"/>
    </w:pPr>
    <w:rPr>
      <w:rFonts w:eastAsia="MS Mincho"/>
    </w:rPr>
  </w:style>
  <w:style w:type="paragraph" w:customStyle="1" w:styleId="FigureCaption">
    <w:name w:val="Figure Caption"/>
    <w:aliases w:val="fc Char,Figure Caption Char"/>
    <w:basedOn w:val="Normal"/>
    <w:rsid w:val="00CA657A"/>
    <w:pPr>
      <w:keepLines/>
      <w:spacing w:before="60" w:after="120" w:line="300" w:lineRule="atLeast"/>
      <w:ind w:left="1008" w:hanging="1008"/>
      <w:jc w:val="both"/>
    </w:pPr>
    <w:rPr>
      <w:rFonts w:eastAsia="????"/>
      <w:lang w:val="en-US"/>
    </w:rPr>
  </w:style>
  <w:style w:type="paragraph" w:customStyle="1" w:styleId="Equation-Numbered">
    <w:name w:val="Equation-Numbered"/>
    <w:basedOn w:val="Normal"/>
    <w:next w:val="Normal"/>
    <w:autoRedefine/>
    <w:rsid w:val="00CA657A"/>
    <w:pPr>
      <w:spacing w:before="120" w:after="120" w:line="240" w:lineRule="atLeast"/>
      <w:jc w:val="right"/>
    </w:pPr>
    <w:rPr>
      <w:rFonts w:eastAsiaTheme="minorEastAsia"/>
      <w:sz w:val="22"/>
      <w:lang w:val="en-US"/>
    </w:rPr>
  </w:style>
  <w:style w:type="paragraph" w:customStyle="1" w:styleId="multifig">
    <w:name w:val="multifig"/>
    <w:basedOn w:val="Normal"/>
    <w:rsid w:val="00CA657A"/>
    <w:pPr>
      <w:keepNext/>
      <w:tabs>
        <w:tab w:val="center" w:pos="2160"/>
        <w:tab w:val="center" w:pos="6480"/>
      </w:tabs>
      <w:spacing w:after="0" w:line="240" w:lineRule="atLeast"/>
    </w:pPr>
    <w:rPr>
      <w:rFonts w:eastAsiaTheme="minorEastAsia"/>
      <w:sz w:val="24"/>
      <w:lang w:val="en-US"/>
    </w:rPr>
  </w:style>
  <w:style w:type="paragraph" w:customStyle="1" w:styleId="TableCaption">
    <w:name w:val="TableCaption"/>
    <w:basedOn w:val="Normal"/>
    <w:rsid w:val="00CA657A"/>
    <w:pPr>
      <w:keepNext/>
      <w:tabs>
        <w:tab w:val="left" w:pos="936"/>
      </w:tabs>
      <w:spacing w:before="120" w:after="60"/>
      <w:ind w:left="936" w:hanging="936"/>
      <w:jc w:val="both"/>
    </w:pPr>
    <w:rPr>
      <w:rFonts w:eastAsiaTheme="minorEastAsia"/>
      <w:sz w:val="22"/>
      <w:lang w:val="en-US"/>
    </w:rPr>
  </w:style>
  <w:style w:type="paragraph" w:customStyle="1" w:styleId="EquationNumbered">
    <w:name w:val="Equation Numbered"/>
    <w:basedOn w:val="Normal"/>
    <w:rsid w:val="00CA657A"/>
    <w:pPr>
      <w:tabs>
        <w:tab w:val="center" w:pos="4320"/>
        <w:tab w:val="right" w:pos="8640"/>
      </w:tabs>
      <w:spacing w:before="60" w:after="60" w:line="300" w:lineRule="atLeast"/>
    </w:pPr>
    <w:rPr>
      <w:rFonts w:eastAsiaTheme="minorEastAsia"/>
      <w:sz w:val="22"/>
      <w:lang w:val="en-US"/>
    </w:rPr>
  </w:style>
  <w:style w:type="paragraph" w:customStyle="1" w:styleId="Style10ptChar">
    <w:name w:val="Style 10 pt Char"/>
    <w:basedOn w:val="Normal"/>
    <w:rsid w:val="00CA657A"/>
    <w:pPr>
      <w:spacing w:before="120" w:after="0" w:line="240" w:lineRule="exact"/>
      <w:jc w:val="both"/>
    </w:pPr>
    <w:rPr>
      <w:rFonts w:eastAsia="MS Mincho"/>
      <w:lang w:val="en-US"/>
    </w:rPr>
  </w:style>
  <w:style w:type="character" w:customStyle="1" w:styleId="Style10ptCharChar">
    <w:name w:val="Style 10 pt Char Char"/>
    <w:rsid w:val="00CA657A"/>
    <w:rPr>
      <w:rFonts w:ascii="Arial" w:eastAsia="MS Mincho" w:hAnsi="Arial" w:cs="Arial"/>
      <w:color w:val="0000FF"/>
      <w:kern w:val="2"/>
      <w:lang w:val="en-US" w:eastAsia="en-US" w:bidi="ar-SA"/>
    </w:rPr>
  </w:style>
  <w:style w:type="paragraph" w:customStyle="1" w:styleId="Style10ptBoldChar">
    <w:name w:val="Style 10 pt Bold Char"/>
    <w:basedOn w:val="Normal"/>
    <w:autoRedefine/>
    <w:rsid w:val="00CA657A"/>
    <w:pPr>
      <w:spacing w:before="60" w:after="60" w:line="240" w:lineRule="exact"/>
      <w:jc w:val="both"/>
    </w:pPr>
    <w:rPr>
      <w:rFonts w:eastAsia="MS Mincho"/>
      <w:b/>
      <w:lang w:val="en-US"/>
    </w:rPr>
  </w:style>
  <w:style w:type="character" w:customStyle="1" w:styleId="Style10ptBoldCharChar">
    <w:name w:val="Style 10 pt Bold Char Char"/>
    <w:rsid w:val="00CA657A"/>
    <w:rPr>
      <w:rFonts w:ascii="Arial" w:eastAsia="MS Mincho" w:hAnsi="Arial" w:cs="Arial"/>
      <w:b/>
      <w:color w:val="0000FF"/>
      <w:kern w:val="2"/>
      <w:lang w:val="en-US" w:eastAsia="en-US" w:bidi="ar-SA"/>
    </w:rPr>
  </w:style>
  <w:style w:type="paragraph" w:styleId="HTMLPreformatted">
    <w:name w:val="HTML Preformatted"/>
    <w:basedOn w:val="Normal"/>
    <w:link w:val="HTMLPreformattedChar"/>
    <w:rsid w:val="00CA65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Batang" w:hAnsi="Courier New" w:cs="Courier New"/>
      <w:lang w:val="en-US" w:eastAsia="ko-KR"/>
    </w:rPr>
  </w:style>
  <w:style w:type="character" w:customStyle="1" w:styleId="HTMLPreformattedChar">
    <w:name w:val="HTML Preformatted Char"/>
    <w:basedOn w:val="DefaultParagraphFont"/>
    <w:link w:val="HTMLPreformatted"/>
    <w:rsid w:val="00CA657A"/>
    <w:rPr>
      <w:rFonts w:ascii="Courier New" w:eastAsia="Batang" w:hAnsi="Courier New" w:cs="Courier New"/>
      <w:lang w:val="en-US" w:eastAsia="ko-KR"/>
    </w:rPr>
  </w:style>
  <w:style w:type="paragraph" w:customStyle="1" w:styleId="Bullet0">
    <w:name w:val="Bullet"/>
    <w:basedOn w:val="Normal"/>
    <w:rsid w:val="00CA657A"/>
    <w:pPr>
      <w:numPr>
        <w:numId w:val="18"/>
      </w:numPr>
      <w:spacing w:after="0"/>
    </w:pPr>
    <w:rPr>
      <w:rFonts w:eastAsiaTheme="minorEastAsia"/>
      <w:sz w:val="24"/>
      <w:szCs w:val="24"/>
      <w:lang w:val="en-US"/>
    </w:rPr>
  </w:style>
  <w:style w:type="paragraph" w:customStyle="1" w:styleId="FigureCentered">
    <w:name w:val="FigureCentered"/>
    <w:basedOn w:val="Normal"/>
    <w:next w:val="Normal"/>
    <w:rsid w:val="00CA657A"/>
    <w:pPr>
      <w:keepNext/>
      <w:spacing w:before="60" w:after="60" w:line="240" w:lineRule="atLeast"/>
      <w:jc w:val="center"/>
    </w:pPr>
    <w:rPr>
      <w:rFonts w:eastAsiaTheme="minorEastAsia"/>
      <w:sz w:val="24"/>
      <w:lang w:val="en-US"/>
    </w:rPr>
  </w:style>
  <w:style w:type="character" w:customStyle="1" w:styleId="Equation-NumberedChar">
    <w:name w:val="Equation-Numbered Char"/>
    <w:rsid w:val="00CA657A"/>
    <w:rPr>
      <w:rFonts w:ascii="Arial" w:eastAsia="SimSun" w:hAnsi="Arial" w:cs="Arial"/>
      <w:color w:val="0000FF"/>
      <w:kern w:val="2"/>
      <w:sz w:val="22"/>
      <w:lang w:val="en-US" w:eastAsia="en-US" w:bidi="ar-SA"/>
    </w:rPr>
  </w:style>
  <w:style w:type="paragraph" w:customStyle="1" w:styleId="item">
    <w:name w:val="item"/>
    <w:basedOn w:val="Normal"/>
    <w:rsid w:val="00CA657A"/>
    <w:pPr>
      <w:numPr>
        <w:numId w:val="20"/>
      </w:numPr>
      <w:spacing w:after="0"/>
      <w:jc w:val="both"/>
    </w:pPr>
    <w:rPr>
      <w:rFonts w:eastAsia="MS Mincho"/>
    </w:rPr>
  </w:style>
  <w:style w:type="paragraph" w:customStyle="1" w:styleId="PaperTableCell">
    <w:name w:val="PaperTableCell"/>
    <w:basedOn w:val="Normal"/>
    <w:rsid w:val="00CA657A"/>
    <w:pPr>
      <w:spacing w:after="0"/>
      <w:jc w:val="both"/>
    </w:pPr>
    <w:rPr>
      <w:rFonts w:eastAsiaTheme="minorEastAsia"/>
      <w:sz w:val="16"/>
      <w:szCs w:val="24"/>
      <w:lang w:val="en-US"/>
    </w:rPr>
  </w:style>
  <w:style w:type="character" w:styleId="LineNumber">
    <w:name w:val="line number"/>
    <w:rsid w:val="00CA657A"/>
    <w:rPr>
      <w:rFonts w:ascii="Arial" w:eastAsia="SimSun" w:hAnsi="Arial" w:cs="Arial"/>
      <w:color w:val="0000FF"/>
      <w:kern w:val="2"/>
      <w:sz w:val="18"/>
      <w:lang w:val="en-US" w:eastAsia="zh-CN" w:bidi="ar-SA"/>
    </w:rPr>
  </w:style>
  <w:style w:type="paragraph" w:customStyle="1" w:styleId="figure0">
    <w:name w:val="figure"/>
    <w:basedOn w:val="Normal"/>
    <w:rsid w:val="00CA657A"/>
    <w:pPr>
      <w:keepNext/>
      <w:keepLines/>
      <w:spacing w:before="60" w:after="60" w:line="240" w:lineRule="atLeast"/>
      <w:jc w:val="center"/>
    </w:pPr>
    <w:rPr>
      <w:rFonts w:eastAsiaTheme="minorEastAsia"/>
      <w:lang w:val="en-US"/>
    </w:rPr>
  </w:style>
  <w:style w:type="character" w:customStyle="1" w:styleId="moz-txt-tag">
    <w:name w:val="moz-txt-tag"/>
    <w:rsid w:val="00CA657A"/>
    <w:rPr>
      <w:rFonts w:ascii="Arial" w:eastAsia="SimSun" w:hAnsi="Arial" w:cs="Arial"/>
      <w:color w:val="0000FF"/>
      <w:kern w:val="2"/>
      <w:lang w:val="en-US" w:eastAsia="zh-CN" w:bidi="ar-SA"/>
    </w:rPr>
  </w:style>
  <w:style w:type="paragraph" w:customStyle="1" w:styleId="tac0">
    <w:name w:val="tac"/>
    <w:basedOn w:val="Normal"/>
    <w:rsid w:val="00CA657A"/>
    <w:pPr>
      <w:keepNext/>
      <w:spacing w:after="0"/>
      <w:jc w:val="center"/>
    </w:pPr>
    <w:rPr>
      <w:rFonts w:ascii="Arial" w:eastAsia="Calibri" w:hAnsi="Arial" w:cs="Arial"/>
      <w:sz w:val="18"/>
      <w:szCs w:val="18"/>
      <w:lang w:val="en-US"/>
    </w:rPr>
  </w:style>
  <w:style w:type="paragraph" w:customStyle="1" w:styleId="th0">
    <w:name w:val="th"/>
    <w:basedOn w:val="Normal"/>
    <w:rsid w:val="00CA657A"/>
    <w:pPr>
      <w:keepNext/>
      <w:spacing w:before="60"/>
      <w:jc w:val="center"/>
    </w:pPr>
    <w:rPr>
      <w:rFonts w:ascii="Arial" w:eastAsia="Calibri" w:hAnsi="Arial" w:cs="Arial"/>
      <w:b/>
      <w:bCs/>
      <w:lang w:val="en-US"/>
    </w:rPr>
  </w:style>
  <w:style w:type="paragraph" w:customStyle="1" w:styleId="CharCharCharCharCharChar1CharChar">
    <w:name w:val="Char Char Char Char Char Char1 Char Char"/>
    <w:next w:val="Normal"/>
    <w:semiHidden/>
    <w:rsid w:val="00CA657A"/>
    <w:pPr>
      <w:keepNext/>
      <w:tabs>
        <w:tab w:val="num" w:pos="720"/>
      </w:tabs>
      <w:autoSpaceDE w:val="0"/>
      <w:autoSpaceDN w:val="0"/>
      <w:adjustRightInd w:val="0"/>
      <w:ind w:left="720" w:hanging="360"/>
      <w:jc w:val="both"/>
    </w:pPr>
    <w:rPr>
      <w:rFonts w:eastAsiaTheme="minorEastAsia"/>
      <w:kern w:val="2"/>
      <w:lang w:eastAsia="zh-CN"/>
    </w:rPr>
  </w:style>
  <w:style w:type="paragraph" w:customStyle="1" w:styleId="CharCharCharCharCharChar1">
    <w:name w:val="Char Char Char Char Char Char1"/>
    <w:semiHidden/>
    <w:rsid w:val="00CA657A"/>
    <w:pPr>
      <w:keepNext/>
      <w:tabs>
        <w:tab w:val="num" w:pos="851"/>
      </w:tabs>
      <w:autoSpaceDE w:val="0"/>
      <w:autoSpaceDN w:val="0"/>
      <w:adjustRightInd w:val="0"/>
      <w:spacing w:before="60" w:after="60"/>
      <w:ind w:left="851" w:hanging="851"/>
      <w:jc w:val="both"/>
    </w:pPr>
    <w:rPr>
      <w:rFonts w:ascii="Arial" w:eastAsiaTheme="minorEastAsia" w:hAnsi="Arial" w:cs="Arial"/>
      <w:color w:val="0000FF"/>
      <w:kern w:val="2"/>
      <w:lang w:val="en-US" w:eastAsia="zh-CN"/>
    </w:rPr>
  </w:style>
  <w:style w:type="paragraph" w:customStyle="1" w:styleId="CharCharCharCharCharChar1CharChar1">
    <w:name w:val="Char Char Char Char Char Char1 Char Char1"/>
    <w:next w:val="Normal"/>
    <w:semiHidden/>
    <w:rsid w:val="00CA657A"/>
    <w:pPr>
      <w:keepNext/>
      <w:tabs>
        <w:tab w:val="num" w:pos="720"/>
      </w:tabs>
      <w:autoSpaceDE w:val="0"/>
      <w:autoSpaceDN w:val="0"/>
      <w:adjustRightInd w:val="0"/>
      <w:ind w:left="720" w:hanging="360"/>
      <w:jc w:val="both"/>
    </w:pPr>
    <w:rPr>
      <w:rFonts w:eastAsiaTheme="minorEastAsia"/>
      <w:kern w:val="2"/>
      <w:lang w:eastAsia="zh-CN"/>
    </w:rPr>
  </w:style>
  <w:style w:type="character" w:customStyle="1" w:styleId="opdicttext22">
    <w:name w:val="op_dict_text22"/>
    <w:basedOn w:val="DefaultParagraphFont"/>
    <w:rsid w:val="00CA657A"/>
  </w:style>
  <w:style w:type="character" w:customStyle="1" w:styleId="def">
    <w:name w:val="def"/>
    <w:basedOn w:val="DefaultParagraphFont"/>
    <w:rsid w:val="00CA657A"/>
  </w:style>
  <w:style w:type="paragraph" w:customStyle="1" w:styleId="Normalwithindent">
    <w:name w:val="Normal with indent"/>
    <w:basedOn w:val="Normal"/>
    <w:link w:val="NormalwithindentChar"/>
    <w:qFormat/>
    <w:rsid w:val="00CA657A"/>
    <w:pPr>
      <w:spacing w:before="120" w:after="120" w:line="336" w:lineRule="auto"/>
      <w:ind w:firstLine="397"/>
      <w:jc w:val="both"/>
    </w:pPr>
    <w:rPr>
      <w:rFonts w:eastAsia="Malgun Gothic"/>
      <w:lang w:eastAsia="zh-CN"/>
    </w:rPr>
  </w:style>
  <w:style w:type="character" w:customStyle="1" w:styleId="NormalwithindentChar">
    <w:name w:val="Normal with indent Char"/>
    <w:link w:val="Normalwithindent"/>
    <w:rsid w:val="00CA657A"/>
    <w:rPr>
      <w:rFonts w:eastAsia="Malgun Gothic"/>
      <w:lang w:eastAsia="zh-CN"/>
    </w:rPr>
  </w:style>
  <w:style w:type="paragraph" w:styleId="NoSpacing">
    <w:name w:val="No Spacing"/>
    <w:uiPriority w:val="1"/>
    <w:qFormat/>
    <w:rsid w:val="00CA657A"/>
    <w:rPr>
      <w:rFonts w:ascii="Calibri" w:hAnsi="Calibri"/>
      <w:sz w:val="22"/>
      <w:szCs w:val="22"/>
      <w:lang w:val="en-US" w:eastAsia="zh-CN"/>
    </w:rPr>
  </w:style>
  <w:style w:type="character" w:customStyle="1" w:styleId="high-light-bg4">
    <w:name w:val="high-light-bg4"/>
    <w:basedOn w:val="DefaultParagraphFont"/>
    <w:rsid w:val="00CA657A"/>
  </w:style>
  <w:style w:type="character" w:customStyle="1" w:styleId="TitleChar2">
    <w:name w:val="Title Char2"/>
    <w:basedOn w:val="DefaultParagraphFont"/>
    <w:uiPriority w:val="10"/>
    <w:locked/>
    <w:rsid w:val="00CA657A"/>
    <w:rPr>
      <w:rFonts w:asciiTheme="majorHAnsi" w:eastAsiaTheme="majorEastAsia" w:hAnsiTheme="majorHAnsi" w:cs="Times New Roman"/>
      <w:spacing w:val="-10"/>
      <w:kern w:val="28"/>
      <w:sz w:val="56"/>
      <w:szCs w:val="56"/>
      <w:lang w:val="en-GB" w:eastAsia="ja-JP"/>
    </w:rPr>
  </w:style>
  <w:style w:type="paragraph" w:customStyle="1" w:styleId="Heading1unnumbered">
    <w:name w:val="Heading 1 unnumbered"/>
    <w:basedOn w:val="Heading1"/>
    <w:next w:val="BodyText"/>
    <w:rsid w:val="00CA657A"/>
    <w:pPr>
      <w:keepLines w:val="0"/>
      <w:pBdr>
        <w:top w:val="none" w:sz="0" w:space="0" w:color="auto"/>
      </w:pBdr>
      <w:tabs>
        <w:tab w:val="left" w:pos="0"/>
        <w:tab w:val="num" w:pos="360"/>
      </w:tabs>
      <w:spacing w:before="360" w:after="240"/>
      <w:ind w:left="360" w:hanging="360"/>
      <w:outlineLvl w:val="9"/>
    </w:pPr>
    <w:rPr>
      <w:rFonts w:ascii="Times New Roman" w:eastAsia="MS Gothic" w:hAnsi="Times New Roman"/>
      <w:kern w:val="28"/>
      <w:sz w:val="32"/>
      <w:lang w:eastAsia="ja-JP"/>
    </w:rPr>
  </w:style>
  <w:style w:type="paragraph" w:customStyle="1" w:styleId="lptext">
    <w:name w:val="lˆptext"/>
    <w:basedOn w:val="Normal"/>
    <w:rsid w:val="00CA657A"/>
    <w:pPr>
      <w:spacing w:before="100" w:after="100"/>
      <w:ind w:left="860"/>
    </w:pPr>
    <w:rPr>
      <w:rFonts w:ascii="Times" w:eastAsia="MS Gothic" w:hAnsi="Times"/>
      <w:sz w:val="24"/>
      <w:lang w:eastAsia="ja-JP"/>
    </w:rPr>
  </w:style>
  <w:style w:type="paragraph" w:customStyle="1" w:styleId="a">
    <w:name w:val="佐藤２"/>
    <w:basedOn w:val="Normal"/>
    <w:rsid w:val="00CA657A"/>
    <w:pPr>
      <w:numPr>
        <w:numId w:val="21"/>
      </w:numPr>
    </w:pPr>
    <w:rPr>
      <w:rFonts w:eastAsia="MS Gothic"/>
      <w:sz w:val="24"/>
      <w:lang w:eastAsia="ja-JP"/>
    </w:rPr>
  </w:style>
  <w:style w:type="paragraph" w:customStyle="1" w:styleId="ListBulletLast">
    <w:name w:val="List Bullet Last"/>
    <w:aliases w:val="lbl"/>
    <w:basedOn w:val="ListBullet"/>
    <w:next w:val="BodyText"/>
    <w:rsid w:val="00CA657A"/>
    <w:pPr>
      <w:overflowPunct/>
      <w:autoSpaceDE/>
      <w:autoSpaceDN/>
      <w:adjustRightInd/>
      <w:spacing w:after="240"/>
      <w:ind w:left="714" w:hanging="357"/>
      <w:textAlignment w:val="auto"/>
    </w:pPr>
    <w:rPr>
      <w:rFonts w:ascii="Arial" w:eastAsia="MS Gothic" w:hAnsi="Arial"/>
      <w:sz w:val="24"/>
      <w:lang w:eastAsia="ja-JP"/>
    </w:rPr>
  </w:style>
  <w:style w:type="paragraph" w:styleId="BodyText3">
    <w:name w:val="Body Text 3"/>
    <w:basedOn w:val="Normal"/>
    <w:link w:val="BodyText3Char"/>
    <w:rsid w:val="00CA657A"/>
    <w:pPr>
      <w:spacing w:after="0"/>
      <w:jc w:val="both"/>
    </w:pPr>
    <w:rPr>
      <w:rFonts w:eastAsia="MS Gothic"/>
      <w:sz w:val="24"/>
      <w:lang w:eastAsia="ja-JP"/>
    </w:rPr>
  </w:style>
  <w:style w:type="character" w:customStyle="1" w:styleId="BodyText3Char">
    <w:name w:val="Body Text 3 Char"/>
    <w:basedOn w:val="DefaultParagraphFont"/>
    <w:link w:val="BodyText3"/>
    <w:rsid w:val="00CA657A"/>
    <w:rPr>
      <w:rFonts w:eastAsia="MS Gothic"/>
      <w:sz w:val="24"/>
      <w:lang w:eastAsia="ja-JP"/>
    </w:rPr>
  </w:style>
  <w:style w:type="paragraph" w:customStyle="1" w:styleId="TableText1">
    <w:name w:val="Table_Text"/>
    <w:basedOn w:val="Normal"/>
    <w:rsid w:val="00CA657A"/>
    <w:pPr>
      <w:keepNext/>
      <w:tabs>
        <w:tab w:val="left" w:pos="794"/>
        <w:tab w:val="left" w:pos="1191"/>
        <w:tab w:val="left" w:pos="1588"/>
        <w:tab w:val="left" w:pos="1985"/>
      </w:tabs>
      <w:spacing w:before="100" w:after="100" w:line="190" w:lineRule="exact"/>
      <w:jc w:val="both"/>
    </w:pPr>
    <w:rPr>
      <w:rFonts w:eastAsia="MS Gothic"/>
      <w:sz w:val="18"/>
      <w:lang w:eastAsia="ja-JP"/>
    </w:rPr>
  </w:style>
  <w:style w:type="paragraph" w:customStyle="1" w:styleId="shortcode">
    <w:name w:val="shortcode"/>
    <w:basedOn w:val="BodyText"/>
    <w:rsid w:val="00CA657A"/>
    <w:pPr>
      <w:keepNext/>
      <w:tabs>
        <w:tab w:val="left" w:pos="1247"/>
        <w:tab w:val="left" w:pos="2552"/>
        <w:tab w:val="left" w:pos="3856"/>
        <w:tab w:val="left" w:pos="5216"/>
        <w:tab w:val="left" w:pos="6464"/>
        <w:tab w:val="left" w:pos="7768"/>
        <w:tab w:val="left" w:pos="9072"/>
        <w:tab w:val="left" w:pos="10206"/>
      </w:tabs>
      <w:spacing w:after="0" w:line="480" w:lineRule="auto"/>
    </w:pPr>
    <w:rPr>
      <w:rFonts w:ascii="Times" w:eastAsia="Mincho" w:hAnsi="Times"/>
      <w:sz w:val="24"/>
      <w:lang w:eastAsia="ja-JP"/>
    </w:rPr>
  </w:style>
  <w:style w:type="paragraph" w:customStyle="1" w:styleId="HTMLBody">
    <w:name w:val="HTML Body"/>
    <w:rsid w:val="00CA657A"/>
    <w:pPr>
      <w:widowControl w:val="0"/>
      <w:autoSpaceDE w:val="0"/>
      <w:autoSpaceDN w:val="0"/>
      <w:adjustRightInd w:val="0"/>
    </w:pPr>
    <w:rPr>
      <w:rFonts w:ascii="MS PGothic" w:eastAsia="MS PGothic" w:hAnsi="Century"/>
      <w:lang w:val="en-US" w:eastAsia="ja-JP"/>
    </w:rPr>
  </w:style>
  <w:style w:type="character" w:customStyle="1" w:styleId="a3">
    <w:name w:val="図表番号 (文字)"/>
    <w:aliases w:val="cap (文字),cap Char (文字) (文字)1"/>
    <w:rsid w:val="00CA657A"/>
    <w:rPr>
      <w:rFonts w:eastAsia="MS Gothic"/>
      <w:b/>
      <w:noProof w:val="0"/>
      <w:kern w:val="2"/>
      <w:sz w:val="24"/>
      <w:lang w:val="en-GB"/>
    </w:rPr>
  </w:style>
  <w:style w:type="paragraph" w:customStyle="1" w:styleId="Normal1CharChar">
    <w:name w:val="Normal1 Char Char"/>
    <w:rsid w:val="00CA657A"/>
    <w:pPr>
      <w:keepNext/>
      <w:tabs>
        <w:tab w:val="num" w:pos="851"/>
      </w:tabs>
      <w:kinsoku w:val="0"/>
      <w:overflowPunct w:val="0"/>
      <w:autoSpaceDE w:val="0"/>
      <w:autoSpaceDN w:val="0"/>
      <w:adjustRightInd w:val="0"/>
      <w:spacing w:before="60" w:after="60"/>
      <w:ind w:left="851" w:hanging="851"/>
      <w:jc w:val="both"/>
    </w:pPr>
    <w:rPr>
      <w:kern w:val="2"/>
      <w:sz w:val="21"/>
      <w:lang w:eastAsia="ja-JP"/>
    </w:rPr>
  </w:style>
  <w:style w:type="paragraph" w:customStyle="1" w:styleId="CharCharCharCarCarCharCharCarCar">
    <w:name w:val="Char Char Char Car Car Char Char Car Car"/>
    <w:rsid w:val="00CA657A"/>
    <w:pPr>
      <w:keepNext/>
      <w:tabs>
        <w:tab w:val="num" w:pos="851"/>
      </w:tabs>
      <w:autoSpaceDE w:val="0"/>
      <w:autoSpaceDN w:val="0"/>
      <w:adjustRightInd w:val="0"/>
      <w:spacing w:before="60" w:after="60"/>
      <w:ind w:left="851" w:hanging="851"/>
      <w:jc w:val="both"/>
    </w:pPr>
    <w:rPr>
      <w:rFonts w:ascii="Arial" w:hAnsi="Arial"/>
      <w:color w:val="0000FF"/>
      <w:kern w:val="2"/>
      <w:lang w:val="en-US" w:eastAsia="ja-JP"/>
    </w:rPr>
  </w:style>
  <w:style w:type="paragraph" w:customStyle="1" w:styleId="CharChar1CharCharCharCharCharCharCharCharCharCharCharCharCharCharCharCharCharCharCharChar">
    <w:name w:val="Char Char1 Char Char Char Char Char Char Char Char Char Char Char Char Char Char Char Char Char Char Char Char"/>
    <w:next w:val="Normal"/>
    <w:semiHidden/>
    <w:rsid w:val="00CA657A"/>
    <w:pPr>
      <w:keepNext/>
      <w:tabs>
        <w:tab w:val="num" w:pos="720"/>
      </w:tabs>
      <w:autoSpaceDE w:val="0"/>
      <w:autoSpaceDN w:val="0"/>
      <w:adjustRightInd w:val="0"/>
      <w:ind w:left="720" w:hanging="360"/>
      <w:jc w:val="both"/>
    </w:pPr>
    <w:rPr>
      <w:kern w:val="2"/>
      <w:lang w:eastAsia="zh-CN"/>
    </w:rPr>
  </w:style>
  <w:style w:type="paragraph" w:customStyle="1" w:styleId="CharChar1CharCharCharCharCharCharCharCharCharCharCharCharCharCharCharCharCharCharCharCharCharCharCharCharCharCharCharCharCharChar">
    <w:name w:val="Char Char1 Char Char Char Char Char Char Char Char Char Char Char Char Char Char Char Char Char Char Char Char Char Char Char Char Char Char Char Char Char Char"/>
    <w:next w:val="Normal"/>
    <w:semiHidden/>
    <w:rsid w:val="00CA657A"/>
    <w:pPr>
      <w:keepNext/>
      <w:tabs>
        <w:tab w:val="num" w:pos="720"/>
      </w:tabs>
      <w:autoSpaceDE w:val="0"/>
      <w:autoSpaceDN w:val="0"/>
      <w:adjustRightInd w:val="0"/>
      <w:ind w:left="720" w:hanging="360"/>
      <w:jc w:val="both"/>
    </w:pPr>
    <w:rPr>
      <w:kern w:val="2"/>
      <w:lang w:eastAsia="zh-CN"/>
    </w:rPr>
  </w:style>
  <w:style w:type="paragraph" w:customStyle="1" w:styleId="CharChar1CharCharCharCharCharCharCharCharCharCharCharCharCharCharChar">
    <w:name w:val="Char Char1 Char Char Char Char Char Char Char Char Char Char Char Char Char Char Char"/>
    <w:semiHidden/>
    <w:rsid w:val="00CA657A"/>
    <w:pPr>
      <w:keepNext/>
      <w:tabs>
        <w:tab w:val="num" w:pos="360"/>
      </w:tabs>
      <w:autoSpaceDE w:val="0"/>
      <w:autoSpaceDN w:val="0"/>
      <w:adjustRightInd w:val="0"/>
      <w:spacing w:before="60" w:after="60"/>
      <w:ind w:left="360" w:hanging="360"/>
      <w:jc w:val="both"/>
    </w:pPr>
    <w:rPr>
      <w:rFonts w:ascii="Arial" w:hAnsi="Arial" w:cs="Arial"/>
      <w:color w:val="0000FF"/>
      <w:kern w:val="2"/>
      <w:lang w:val="en-US" w:eastAsia="zh-CN"/>
    </w:rPr>
  </w:style>
  <w:style w:type="paragraph" w:customStyle="1" w:styleId="81">
    <w:name w:val="表 (赤)  81"/>
    <w:basedOn w:val="Normal"/>
    <w:uiPriority w:val="34"/>
    <w:qFormat/>
    <w:rsid w:val="00CA657A"/>
    <w:pPr>
      <w:spacing w:after="0"/>
      <w:ind w:leftChars="400" w:left="840"/>
    </w:pPr>
    <w:rPr>
      <w:rFonts w:ascii="MS PGothic" w:eastAsia="MS PGothic" w:hAnsi="MS PGothic" w:cs="MS PGothic"/>
      <w:sz w:val="24"/>
      <w:szCs w:val="24"/>
      <w:lang w:val="en-US" w:eastAsia="ja-JP"/>
    </w:rPr>
  </w:style>
  <w:style w:type="paragraph" w:customStyle="1" w:styleId="71">
    <w:name w:val="表 (赤)  71"/>
    <w:hidden/>
    <w:uiPriority w:val="99"/>
    <w:semiHidden/>
    <w:rsid w:val="00CA657A"/>
    <w:rPr>
      <w:rFonts w:eastAsia="MS Gothic"/>
      <w:sz w:val="24"/>
      <w:lang w:eastAsia="ja-JP"/>
    </w:rPr>
  </w:style>
  <w:style w:type="character" w:customStyle="1" w:styleId="Doc-titleChar">
    <w:name w:val="Doc-title Char"/>
    <w:link w:val="Doc-title"/>
    <w:rsid w:val="00CA657A"/>
    <w:rPr>
      <w:rFonts w:ascii="Arial" w:eastAsia="SimSun" w:hAnsi="Arial" w:cs="Arial"/>
      <w:lang w:val="en-US" w:eastAsia="zh-CN"/>
    </w:rPr>
  </w:style>
  <w:style w:type="paragraph" w:customStyle="1" w:styleId="msonormal0">
    <w:name w:val="msonormal"/>
    <w:basedOn w:val="Normal"/>
    <w:rsid w:val="00CA657A"/>
    <w:pPr>
      <w:spacing w:before="100" w:beforeAutospacing="1" w:after="100" w:afterAutospacing="1"/>
    </w:pPr>
    <w:rPr>
      <w:rFonts w:ascii="SimSun" w:hAnsi="SimSun" w:cs="SimSun"/>
      <w:sz w:val="24"/>
      <w:szCs w:val="24"/>
      <w:lang w:val="en-US" w:eastAsia="zh-CN"/>
    </w:rPr>
  </w:style>
  <w:style w:type="paragraph" w:customStyle="1" w:styleId="font5">
    <w:name w:val="font5"/>
    <w:basedOn w:val="Normal"/>
    <w:rsid w:val="00CA657A"/>
    <w:pPr>
      <w:spacing w:before="100" w:beforeAutospacing="1" w:after="100" w:afterAutospacing="1"/>
    </w:pPr>
    <w:rPr>
      <w:rFonts w:ascii="DengXian" w:eastAsia="DengXian" w:hAnsi="DengXian" w:cs="SimSun"/>
      <w:sz w:val="18"/>
      <w:szCs w:val="18"/>
      <w:lang w:val="en-US" w:eastAsia="zh-CN"/>
    </w:rPr>
  </w:style>
  <w:style w:type="paragraph" w:customStyle="1" w:styleId="xl65">
    <w:name w:val="xl65"/>
    <w:basedOn w:val="Normal"/>
    <w:rsid w:val="00CA657A"/>
    <w:pPr>
      <w:spacing w:before="100" w:beforeAutospacing="1" w:after="100" w:afterAutospacing="1"/>
      <w:jc w:val="center"/>
    </w:pPr>
    <w:rPr>
      <w:rFonts w:ascii="SimSun" w:hAnsi="SimSun" w:cs="SimSun"/>
      <w:sz w:val="16"/>
      <w:szCs w:val="16"/>
      <w:lang w:val="en-US" w:eastAsia="zh-CN"/>
    </w:rPr>
  </w:style>
  <w:style w:type="paragraph" w:customStyle="1" w:styleId="xl66">
    <w:name w:val="xl66"/>
    <w:basedOn w:val="Normal"/>
    <w:rsid w:val="00CA657A"/>
    <w:pPr>
      <w:pBdr>
        <w:top w:val="single" w:sz="8" w:space="0" w:color="auto"/>
        <w:left w:val="single" w:sz="8" w:space="0" w:color="auto"/>
        <w:right w:val="single" w:sz="8" w:space="0" w:color="auto"/>
      </w:pBdr>
      <w:shd w:val="clear" w:color="000000" w:fill="E7E6E6"/>
      <w:spacing w:before="100" w:beforeAutospacing="1" w:after="100" w:afterAutospacing="1"/>
      <w:jc w:val="center"/>
    </w:pPr>
    <w:rPr>
      <w:rFonts w:ascii="Arial" w:hAnsi="Arial" w:cs="Arial"/>
      <w:sz w:val="15"/>
      <w:szCs w:val="15"/>
      <w:lang w:val="en-US" w:eastAsia="zh-CN"/>
    </w:rPr>
  </w:style>
  <w:style w:type="paragraph" w:customStyle="1" w:styleId="xl67">
    <w:name w:val="xl67"/>
    <w:basedOn w:val="Normal"/>
    <w:rsid w:val="00CA657A"/>
    <w:pPr>
      <w:pBdr>
        <w:top w:val="single" w:sz="8" w:space="0" w:color="auto"/>
        <w:right w:val="single" w:sz="8" w:space="0" w:color="auto"/>
      </w:pBdr>
      <w:shd w:val="clear" w:color="000000" w:fill="E7E6E6"/>
      <w:spacing w:before="100" w:beforeAutospacing="1" w:after="100" w:afterAutospacing="1"/>
      <w:jc w:val="center"/>
    </w:pPr>
    <w:rPr>
      <w:rFonts w:ascii="Arial" w:hAnsi="Arial" w:cs="Arial"/>
      <w:sz w:val="15"/>
      <w:szCs w:val="15"/>
      <w:lang w:val="en-US" w:eastAsia="zh-CN"/>
    </w:rPr>
  </w:style>
  <w:style w:type="paragraph" w:customStyle="1" w:styleId="xl68">
    <w:name w:val="xl68"/>
    <w:basedOn w:val="Normal"/>
    <w:rsid w:val="00CA657A"/>
    <w:pPr>
      <w:spacing w:before="100" w:beforeAutospacing="1" w:after="100" w:afterAutospacing="1"/>
      <w:jc w:val="center"/>
    </w:pPr>
    <w:rPr>
      <w:rFonts w:ascii="SimSun" w:hAnsi="SimSun" w:cs="SimSun"/>
      <w:sz w:val="15"/>
      <w:szCs w:val="15"/>
      <w:lang w:val="en-US" w:eastAsia="zh-CN"/>
    </w:rPr>
  </w:style>
  <w:style w:type="paragraph" w:customStyle="1" w:styleId="xl69">
    <w:name w:val="xl69"/>
    <w:basedOn w:val="Normal"/>
    <w:rsid w:val="00CA657A"/>
    <w:pPr>
      <w:pBdr>
        <w:top w:val="single" w:sz="8" w:space="0" w:color="auto"/>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70">
    <w:name w:val="xl70"/>
    <w:basedOn w:val="Normal"/>
    <w:rsid w:val="00CA657A"/>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71">
    <w:name w:val="xl71"/>
    <w:basedOn w:val="Normal"/>
    <w:rsid w:val="00CA657A"/>
    <w:pPr>
      <w:pBdr>
        <w:top w:val="single" w:sz="4" w:space="0" w:color="auto"/>
        <w:left w:val="single" w:sz="4" w:space="0" w:color="auto"/>
        <w:bottom w:val="single" w:sz="4" w:space="0" w:color="auto"/>
        <w:right w:val="single" w:sz="8"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72">
    <w:name w:val="xl72"/>
    <w:basedOn w:val="Normal"/>
    <w:rsid w:val="00CA657A"/>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hAnsi="SimSun" w:cs="SimSun"/>
      <w:color w:val="FF0000"/>
      <w:sz w:val="16"/>
      <w:szCs w:val="16"/>
      <w:lang w:val="en-US" w:eastAsia="zh-CN"/>
    </w:rPr>
  </w:style>
  <w:style w:type="paragraph" w:customStyle="1" w:styleId="xl73">
    <w:name w:val="xl73"/>
    <w:basedOn w:val="Normal"/>
    <w:rsid w:val="00CA657A"/>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74">
    <w:name w:val="xl74"/>
    <w:basedOn w:val="Normal"/>
    <w:rsid w:val="00CA657A"/>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75">
    <w:name w:val="xl75"/>
    <w:basedOn w:val="Normal"/>
    <w:rsid w:val="00CA657A"/>
    <w:pPr>
      <w:pBdr>
        <w:top w:val="single" w:sz="4" w:space="0" w:color="auto"/>
        <w:left w:val="single" w:sz="4" w:space="0" w:color="auto"/>
        <w:bottom w:val="single" w:sz="4" w:space="0" w:color="auto"/>
        <w:right w:val="single" w:sz="8"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76">
    <w:name w:val="xl76"/>
    <w:basedOn w:val="Normal"/>
    <w:rsid w:val="00CA657A"/>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hAnsi="SimSun" w:cs="SimSun"/>
      <w:color w:val="FF0000"/>
      <w:sz w:val="16"/>
      <w:szCs w:val="16"/>
      <w:lang w:val="en-US" w:eastAsia="zh-CN"/>
    </w:rPr>
  </w:style>
  <w:style w:type="paragraph" w:customStyle="1" w:styleId="xl77">
    <w:name w:val="xl77"/>
    <w:basedOn w:val="Normal"/>
    <w:rsid w:val="00CA657A"/>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78">
    <w:name w:val="xl78"/>
    <w:basedOn w:val="Normal"/>
    <w:rsid w:val="00CA657A"/>
    <w:pPr>
      <w:pBdr>
        <w:top w:val="single" w:sz="8" w:space="0" w:color="auto"/>
        <w:bottom w:val="single" w:sz="8" w:space="0" w:color="auto"/>
        <w:right w:val="single" w:sz="8" w:space="0" w:color="auto"/>
      </w:pBdr>
      <w:shd w:val="clear" w:color="000000" w:fill="E7E6E6"/>
      <w:spacing w:before="100" w:beforeAutospacing="1" w:after="100" w:afterAutospacing="1"/>
      <w:jc w:val="center"/>
    </w:pPr>
    <w:rPr>
      <w:rFonts w:ascii="Arial" w:hAnsi="Arial" w:cs="Arial"/>
      <w:sz w:val="15"/>
      <w:szCs w:val="15"/>
      <w:lang w:val="en-US" w:eastAsia="zh-CN"/>
    </w:rPr>
  </w:style>
  <w:style w:type="paragraph" w:customStyle="1" w:styleId="xl79">
    <w:name w:val="xl79"/>
    <w:basedOn w:val="Normal"/>
    <w:rsid w:val="00CA657A"/>
    <w:pPr>
      <w:pBdr>
        <w:top w:val="single" w:sz="4" w:space="0" w:color="auto"/>
        <w:left w:val="single" w:sz="4" w:space="0" w:color="auto"/>
        <w:bottom w:val="single" w:sz="4" w:space="0" w:color="auto"/>
        <w:right w:val="single" w:sz="8" w:space="0" w:color="auto"/>
      </w:pBdr>
      <w:shd w:val="clear" w:color="000000" w:fill="D9E1F2"/>
      <w:spacing w:before="100" w:beforeAutospacing="1" w:after="100" w:afterAutospacing="1"/>
      <w:jc w:val="center"/>
    </w:pPr>
    <w:rPr>
      <w:rFonts w:ascii="SimSun" w:hAnsi="SimSun" w:cs="SimSun"/>
      <w:color w:val="FF0000"/>
      <w:sz w:val="16"/>
      <w:szCs w:val="16"/>
      <w:lang w:val="en-US" w:eastAsia="zh-CN"/>
    </w:rPr>
  </w:style>
  <w:style w:type="paragraph" w:customStyle="1" w:styleId="xl80">
    <w:name w:val="xl80"/>
    <w:basedOn w:val="Normal"/>
    <w:rsid w:val="00CA657A"/>
    <w:pPr>
      <w:pBdr>
        <w:top w:val="single" w:sz="4" w:space="0" w:color="auto"/>
        <w:left w:val="single" w:sz="4" w:space="0" w:color="auto"/>
        <w:bottom w:val="single" w:sz="8" w:space="0" w:color="auto"/>
        <w:right w:val="single" w:sz="4"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81">
    <w:name w:val="xl81"/>
    <w:basedOn w:val="Normal"/>
    <w:rsid w:val="00CA657A"/>
    <w:pPr>
      <w:pBdr>
        <w:top w:val="single" w:sz="4" w:space="0" w:color="auto"/>
        <w:left w:val="single" w:sz="4" w:space="0" w:color="auto"/>
        <w:bottom w:val="single" w:sz="8"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82">
    <w:name w:val="xl82"/>
    <w:basedOn w:val="Normal"/>
    <w:rsid w:val="00CA657A"/>
    <w:pPr>
      <w:pBdr>
        <w:top w:val="single" w:sz="4" w:space="0" w:color="auto"/>
        <w:left w:val="single" w:sz="4" w:space="0" w:color="auto"/>
        <w:bottom w:val="single" w:sz="8" w:space="0" w:color="auto"/>
        <w:right w:val="single" w:sz="8"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83">
    <w:name w:val="xl83"/>
    <w:basedOn w:val="Normal"/>
    <w:rsid w:val="00CA657A"/>
    <w:pPr>
      <w:pBdr>
        <w:top w:val="single" w:sz="4" w:space="0" w:color="auto"/>
        <w:left w:val="single" w:sz="4" w:space="0" w:color="auto"/>
        <w:bottom w:val="single" w:sz="8" w:space="0" w:color="auto"/>
        <w:right w:val="single" w:sz="4" w:space="0" w:color="auto"/>
      </w:pBdr>
      <w:shd w:val="clear" w:color="000000" w:fill="D9E1F2"/>
      <w:spacing w:before="100" w:beforeAutospacing="1" w:after="100" w:afterAutospacing="1"/>
      <w:jc w:val="center"/>
    </w:pPr>
    <w:rPr>
      <w:rFonts w:ascii="SimSun" w:hAnsi="SimSun" w:cs="SimSun"/>
      <w:color w:val="FF0000"/>
      <w:sz w:val="16"/>
      <w:szCs w:val="16"/>
      <w:lang w:val="en-US" w:eastAsia="zh-CN"/>
    </w:rPr>
  </w:style>
  <w:style w:type="paragraph" w:customStyle="1" w:styleId="xl84">
    <w:name w:val="xl84"/>
    <w:basedOn w:val="Normal"/>
    <w:rsid w:val="00CA657A"/>
    <w:pPr>
      <w:pBdr>
        <w:top w:val="single" w:sz="4" w:space="0" w:color="auto"/>
        <w:left w:val="single" w:sz="4" w:space="0" w:color="auto"/>
        <w:bottom w:val="single" w:sz="8" w:space="0" w:color="auto"/>
        <w:right w:val="single" w:sz="8" w:space="0" w:color="auto"/>
      </w:pBdr>
      <w:shd w:val="clear" w:color="000000" w:fill="D9E1F2"/>
      <w:spacing w:before="100" w:beforeAutospacing="1" w:after="100" w:afterAutospacing="1"/>
      <w:jc w:val="center"/>
    </w:pPr>
    <w:rPr>
      <w:rFonts w:ascii="SimSun" w:hAnsi="SimSun" w:cs="SimSun"/>
      <w:color w:val="FF0000"/>
      <w:sz w:val="16"/>
      <w:szCs w:val="16"/>
      <w:lang w:val="en-US" w:eastAsia="zh-CN"/>
    </w:rPr>
  </w:style>
  <w:style w:type="paragraph" w:customStyle="1" w:styleId="xl85">
    <w:name w:val="xl85"/>
    <w:basedOn w:val="Normal"/>
    <w:rsid w:val="00CA657A"/>
    <w:pPr>
      <w:pBdr>
        <w:left w:val="single" w:sz="4" w:space="0" w:color="auto"/>
        <w:bottom w:val="single" w:sz="8" w:space="0" w:color="auto"/>
        <w:right w:val="single" w:sz="4"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86">
    <w:name w:val="xl86"/>
    <w:basedOn w:val="Normal"/>
    <w:rsid w:val="00CA657A"/>
    <w:pPr>
      <w:pBdr>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87">
    <w:name w:val="xl87"/>
    <w:basedOn w:val="Normal"/>
    <w:rsid w:val="00CA657A"/>
    <w:pPr>
      <w:pBdr>
        <w:left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88">
    <w:name w:val="xl88"/>
    <w:basedOn w:val="Normal"/>
    <w:rsid w:val="00CA657A"/>
    <w:pPr>
      <w:pBdr>
        <w:top w:val="single" w:sz="8" w:space="0" w:color="auto"/>
        <w:left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89">
    <w:name w:val="xl89"/>
    <w:basedOn w:val="Normal"/>
    <w:rsid w:val="00CA657A"/>
    <w:pPr>
      <w:pBdr>
        <w:left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90">
    <w:name w:val="xl90"/>
    <w:basedOn w:val="Normal"/>
    <w:rsid w:val="00CA657A"/>
    <w:pPr>
      <w:pBdr>
        <w:left w:val="single" w:sz="4" w:space="0" w:color="auto"/>
        <w:right w:val="single" w:sz="4"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91">
    <w:name w:val="xl91"/>
    <w:basedOn w:val="Normal"/>
    <w:rsid w:val="00CA657A"/>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92">
    <w:name w:val="xl92"/>
    <w:basedOn w:val="Normal"/>
    <w:rsid w:val="00CA657A"/>
    <w:pPr>
      <w:pBdr>
        <w:top w:val="single" w:sz="8" w:space="0" w:color="auto"/>
        <w:left w:val="single" w:sz="4" w:space="0" w:color="auto"/>
        <w:right w:val="single" w:sz="4" w:space="0" w:color="auto"/>
      </w:pBdr>
      <w:shd w:val="clear" w:color="000000" w:fill="8EA9DB"/>
      <w:spacing w:before="100" w:beforeAutospacing="1" w:after="100" w:afterAutospacing="1"/>
    </w:pPr>
    <w:rPr>
      <w:rFonts w:ascii="SimSun" w:hAnsi="SimSun" w:cs="SimSun"/>
      <w:sz w:val="16"/>
      <w:szCs w:val="16"/>
      <w:lang w:val="en-US" w:eastAsia="zh-CN"/>
    </w:rPr>
  </w:style>
  <w:style w:type="paragraph" w:customStyle="1" w:styleId="xl93">
    <w:name w:val="xl93"/>
    <w:basedOn w:val="Normal"/>
    <w:rsid w:val="00CA657A"/>
    <w:pPr>
      <w:pBdr>
        <w:top w:val="single" w:sz="4" w:space="0" w:color="auto"/>
        <w:left w:val="single" w:sz="4" w:space="0" w:color="auto"/>
        <w:bottom w:val="single" w:sz="8" w:space="0" w:color="auto"/>
        <w:right w:val="single" w:sz="4" w:space="0" w:color="auto"/>
      </w:pBdr>
      <w:shd w:val="clear" w:color="000000" w:fill="8EA9DB"/>
      <w:spacing w:before="100" w:beforeAutospacing="1" w:after="100" w:afterAutospacing="1"/>
      <w:jc w:val="center"/>
    </w:pPr>
    <w:rPr>
      <w:rFonts w:ascii="SimSun" w:hAnsi="SimSun" w:cs="SimSun"/>
      <w:color w:val="FF0000"/>
      <w:sz w:val="16"/>
      <w:szCs w:val="16"/>
      <w:lang w:val="en-US" w:eastAsia="zh-CN"/>
    </w:rPr>
  </w:style>
  <w:style w:type="paragraph" w:customStyle="1" w:styleId="xl94">
    <w:name w:val="xl94"/>
    <w:basedOn w:val="Normal"/>
    <w:rsid w:val="00CA657A"/>
    <w:pPr>
      <w:pBdr>
        <w:top w:val="single" w:sz="8" w:space="0" w:color="auto"/>
        <w:left w:val="single" w:sz="8" w:space="0" w:color="auto"/>
        <w:bottom w:val="single" w:sz="4" w:space="0" w:color="auto"/>
        <w:right w:val="single" w:sz="4" w:space="0" w:color="auto"/>
      </w:pBdr>
      <w:spacing w:before="100" w:beforeAutospacing="1" w:after="100" w:afterAutospacing="1"/>
      <w:jc w:val="center"/>
    </w:pPr>
    <w:rPr>
      <w:rFonts w:ascii="SimSun" w:hAnsi="SimSun" w:cs="SimSun"/>
      <w:sz w:val="16"/>
      <w:szCs w:val="16"/>
      <w:lang w:val="en-US" w:eastAsia="zh-CN"/>
    </w:rPr>
  </w:style>
  <w:style w:type="paragraph" w:customStyle="1" w:styleId="xl95">
    <w:name w:val="xl95"/>
    <w:basedOn w:val="Normal"/>
    <w:rsid w:val="00CA657A"/>
    <w:pPr>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ascii="SimSun" w:hAnsi="SimSun" w:cs="SimSun"/>
      <w:sz w:val="16"/>
      <w:szCs w:val="16"/>
      <w:lang w:val="en-US" w:eastAsia="zh-CN"/>
    </w:rPr>
  </w:style>
  <w:style w:type="paragraph" w:customStyle="1" w:styleId="xl96">
    <w:name w:val="xl96"/>
    <w:basedOn w:val="Normal"/>
    <w:rsid w:val="00CA657A"/>
    <w:pPr>
      <w:pBdr>
        <w:top w:val="single" w:sz="4" w:space="0" w:color="auto"/>
        <w:left w:val="single" w:sz="8" w:space="0" w:color="auto"/>
        <w:bottom w:val="single" w:sz="8" w:space="0" w:color="auto"/>
        <w:right w:val="single" w:sz="4" w:space="0" w:color="auto"/>
      </w:pBdr>
      <w:spacing w:before="100" w:beforeAutospacing="1" w:after="100" w:afterAutospacing="1"/>
      <w:jc w:val="center"/>
    </w:pPr>
    <w:rPr>
      <w:rFonts w:ascii="SimSun" w:hAnsi="SimSun" w:cs="SimSun"/>
      <w:sz w:val="16"/>
      <w:szCs w:val="16"/>
      <w:lang w:val="en-US" w:eastAsia="zh-CN"/>
    </w:rPr>
  </w:style>
  <w:style w:type="paragraph" w:customStyle="1" w:styleId="xl97">
    <w:name w:val="xl97"/>
    <w:basedOn w:val="Normal"/>
    <w:rsid w:val="00CA657A"/>
    <w:pPr>
      <w:pBdr>
        <w:top w:val="single" w:sz="8" w:space="0" w:color="auto"/>
        <w:left w:val="single" w:sz="4" w:space="0" w:color="auto"/>
        <w:bottom w:val="single" w:sz="4" w:space="0" w:color="auto"/>
        <w:right w:val="single" w:sz="8"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98">
    <w:name w:val="xl98"/>
    <w:basedOn w:val="Normal"/>
    <w:rsid w:val="00CA657A"/>
    <w:pPr>
      <w:pBdr>
        <w:top w:val="single" w:sz="4" w:space="0" w:color="auto"/>
        <w:left w:val="single" w:sz="4" w:space="0" w:color="auto"/>
        <w:bottom w:val="single" w:sz="8" w:space="0" w:color="auto"/>
        <w:right w:val="single" w:sz="8"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99">
    <w:name w:val="xl99"/>
    <w:basedOn w:val="Normal"/>
    <w:rsid w:val="00CA657A"/>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100">
    <w:name w:val="xl100"/>
    <w:basedOn w:val="Normal"/>
    <w:rsid w:val="00CA657A"/>
    <w:pPr>
      <w:pBdr>
        <w:top w:val="single" w:sz="8" w:space="0" w:color="auto"/>
        <w:left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101">
    <w:name w:val="xl101"/>
    <w:basedOn w:val="Normal"/>
    <w:rsid w:val="00CA657A"/>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pPr>
    <w:rPr>
      <w:rFonts w:ascii="SimSun" w:hAnsi="SimSun" w:cs="SimSun"/>
      <w:sz w:val="16"/>
      <w:szCs w:val="16"/>
      <w:lang w:val="en-US" w:eastAsia="zh-CN"/>
    </w:rPr>
  </w:style>
  <w:style w:type="paragraph" w:customStyle="1" w:styleId="xl102">
    <w:name w:val="xl102"/>
    <w:basedOn w:val="Normal"/>
    <w:rsid w:val="00CA657A"/>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pPr>
    <w:rPr>
      <w:rFonts w:ascii="SimSun" w:hAnsi="SimSun" w:cs="SimSun"/>
      <w:sz w:val="16"/>
      <w:szCs w:val="16"/>
      <w:lang w:val="en-US" w:eastAsia="zh-CN"/>
    </w:rPr>
  </w:style>
  <w:style w:type="paragraph" w:customStyle="1" w:styleId="xl103">
    <w:name w:val="xl103"/>
    <w:basedOn w:val="Normal"/>
    <w:rsid w:val="00CA657A"/>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104">
    <w:name w:val="xl104"/>
    <w:basedOn w:val="Normal"/>
    <w:rsid w:val="00CA657A"/>
    <w:pPr>
      <w:pBdr>
        <w:top w:val="single" w:sz="8" w:space="0" w:color="auto"/>
        <w:left w:val="single" w:sz="4" w:space="0" w:color="auto"/>
        <w:right w:val="single" w:sz="4"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105">
    <w:name w:val="xl105"/>
    <w:basedOn w:val="Normal"/>
    <w:rsid w:val="00CA657A"/>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106">
    <w:name w:val="xl106"/>
    <w:basedOn w:val="Normal"/>
    <w:rsid w:val="00CA657A"/>
    <w:pPr>
      <w:pBdr>
        <w:top w:val="single" w:sz="8" w:space="0" w:color="auto"/>
        <w:left w:val="single" w:sz="4" w:space="0" w:color="auto"/>
        <w:right w:val="single" w:sz="4" w:space="0" w:color="auto"/>
      </w:pBdr>
      <w:shd w:val="clear" w:color="000000" w:fill="D9E1F2"/>
      <w:spacing w:before="100" w:beforeAutospacing="1" w:after="100" w:afterAutospacing="1"/>
    </w:pPr>
    <w:rPr>
      <w:rFonts w:ascii="SimSun" w:hAnsi="SimSun" w:cs="SimSun"/>
      <w:sz w:val="16"/>
      <w:szCs w:val="16"/>
      <w:lang w:val="en-US" w:eastAsia="zh-CN"/>
    </w:rPr>
  </w:style>
  <w:style w:type="paragraph" w:customStyle="1" w:styleId="xl107">
    <w:name w:val="xl107"/>
    <w:basedOn w:val="Normal"/>
    <w:rsid w:val="00CA657A"/>
    <w:pPr>
      <w:pBdr>
        <w:left w:val="single" w:sz="4" w:space="0" w:color="auto"/>
        <w:right w:val="single" w:sz="4" w:space="0" w:color="auto"/>
      </w:pBdr>
      <w:shd w:val="clear" w:color="000000" w:fill="D9E1F2"/>
      <w:spacing w:before="100" w:beforeAutospacing="1" w:after="100" w:afterAutospacing="1"/>
    </w:pPr>
    <w:rPr>
      <w:rFonts w:ascii="SimSun" w:hAnsi="SimSun" w:cs="SimSun"/>
      <w:sz w:val="16"/>
      <w:szCs w:val="16"/>
      <w:lang w:val="en-US" w:eastAsia="zh-CN"/>
    </w:rPr>
  </w:style>
  <w:style w:type="paragraph" w:customStyle="1" w:styleId="xl108">
    <w:name w:val="xl108"/>
    <w:basedOn w:val="Normal"/>
    <w:rsid w:val="00CA657A"/>
    <w:pPr>
      <w:pBdr>
        <w:top w:val="single" w:sz="8" w:space="0" w:color="auto"/>
        <w:left w:val="single" w:sz="8" w:space="0" w:color="auto"/>
        <w:bottom w:val="single" w:sz="8" w:space="0" w:color="auto"/>
        <w:right w:val="double" w:sz="6" w:space="0" w:color="auto"/>
      </w:pBdr>
      <w:shd w:val="clear" w:color="000000" w:fill="E7E6E6"/>
      <w:spacing w:before="100" w:beforeAutospacing="1" w:after="100" w:afterAutospacing="1"/>
      <w:jc w:val="center"/>
    </w:pPr>
    <w:rPr>
      <w:rFonts w:ascii="Arial" w:hAnsi="Arial" w:cs="Arial"/>
      <w:sz w:val="15"/>
      <w:szCs w:val="15"/>
      <w:lang w:val="en-US" w:eastAsia="zh-CN"/>
    </w:rPr>
  </w:style>
  <w:style w:type="paragraph" w:customStyle="1" w:styleId="xl109">
    <w:name w:val="xl109"/>
    <w:basedOn w:val="Normal"/>
    <w:rsid w:val="00CA657A"/>
    <w:pPr>
      <w:pBdr>
        <w:top w:val="single" w:sz="4" w:space="0" w:color="auto"/>
        <w:bottom w:val="single" w:sz="4" w:space="0" w:color="auto"/>
        <w:right w:val="single" w:sz="4" w:space="0" w:color="auto"/>
      </w:pBdr>
      <w:spacing w:before="100" w:beforeAutospacing="1" w:after="100" w:afterAutospacing="1"/>
      <w:jc w:val="center"/>
    </w:pPr>
    <w:rPr>
      <w:rFonts w:ascii="SimSun" w:hAnsi="SimSun" w:cs="SimSun"/>
      <w:sz w:val="16"/>
      <w:szCs w:val="16"/>
      <w:lang w:val="en-US" w:eastAsia="zh-CN"/>
    </w:rPr>
  </w:style>
  <w:style w:type="paragraph" w:customStyle="1" w:styleId="xl110">
    <w:name w:val="xl110"/>
    <w:basedOn w:val="Normal"/>
    <w:rsid w:val="00CA657A"/>
    <w:pPr>
      <w:pBdr>
        <w:top w:val="single" w:sz="4" w:space="0" w:color="auto"/>
        <w:bottom w:val="single" w:sz="8" w:space="0" w:color="auto"/>
        <w:right w:val="single" w:sz="4" w:space="0" w:color="auto"/>
      </w:pBdr>
      <w:spacing w:before="100" w:beforeAutospacing="1" w:after="100" w:afterAutospacing="1"/>
      <w:jc w:val="center"/>
    </w:pPr>
    <w:rPr>
      <w:rFonts w:ascii="SimSun" w:hAnsi="SimSun" w:cs="SimSun"/>
      <w:sz w:val="16"/>
      <w:szCs w:val="16"/>
      <w:lang w:val="en-US" w:eastAsia="zh-CN"/>
    </w:rPr>
  </w:style>
  <w:style w:type="paragraph" w:customStyle="1" w:styleId="xl111">
    <w:name w:val="xl111"/>
    <w:basedOn w:val="Normal"/>
    <w:rsid w:val="00CA657A"/>
    <w:pPr>
      <w:pBdr>
        <w:top w:val="single" w:sz="8" w:space="0" w:color="auto"/>
        <w:bottom w:val="single" w:sz="4" w:space="0" w:color="auto"/>
        <w:right w:val="single" w:sz="4" w:space="0" w:color="auto"/>
      </w:pBdr>
      <w:spacing w:before="100" w:beforeAutospacing="1" w:after="100" w:afterAutospacing="1"/>
      <w:jc w:val="center"/>
    </w:pPr>
    <w:rPr>
      <w:rFonts w:ascii="SimSun" w:hAnsi="SimSun" w:cs="SimSun"/>
      <w:sz w:val="16"/>
      <w:szCs w:val="16"/>
      <w:lang w:val="en-US" w:eastAsia="zh-CN"/>
    </w:rPr>
  </w:style>
  <w:style w:type="paragraph" w:customStyle="1" w:styleId="xl112">
    <w:name w:val="xl112"/>
    <w:basedOn w:val="Normal"/>
    <w:rsid w:val="00CA657A"/>
    <w:pPr>
      <w:pBdr>
        <w:top w:val="single" w:sz="8" w:space="0" w:color="auto"/>
        <w:left w:val="single" w:sz="4" w:space="0" w:color="auto"/>
        <w:bottom w:val="single" w:sz="4" w:space="0" w:color="auto"/>
        <w:right w:val="double" w:sz="6"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113">
    <w:name w:val="xl113"/>
    <w:basedOn w:val="Normal"/>
    <w:rsid w:val="00CA657A"/>
    <w:pPr>
      <w:pBdr>
        <w:top w:val="single" w:sz="4" w:space="0" w:color="auto"/>
        <w:left w:val="single" w:sz="4" w:space="0" w:color="auto"/>
        <w:bottom w:val="single" w:sz="4" w:space="0" w:color="auto"/>
        <w:right w:val="double" w:sz="6"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114">
    <w:name w:val="xl114"/>
    <w:basedOn w:val="Normal"/>
    <w:rsid w:val="00CA657A"/>
    <w:pPr>
      <w:pBdr>
        <w:top w:val="single" w:sz="4" w:space="0" w:color="auto"/>
        <w:left w:val="single" w:sz="4" w:space="0" w:color="auto"/>
        <w:bottom w:val="single" w:sz="8" w:space="0" w:color="auto"/>
        <w:right w:val="double" w:sz="6" w:space="0" w:color="auto"/>
      </w:pBdr>
      <w:shd w:val="clear" w:color="000000" w:fill="8EA9DB"/>
      <w:spacing w:before="100" w:beforeAutospacing="1" w:after="100" w:afterAutospacing="1"/>
      <w:jc w:val="center"/>
    </w:pPr>
    <w:rPr>
      <w:rFonts w:ascii="SimSun" w:hAnsi="SimSun" w:cs="SimSun"/>
      <w:sz w:val="16"/>
      <w:szCs w:val="16"/>
      <w:lang w:val="en-US" w:eastAsia="zh-CN"/>
    </w:rPr>
  </w:style>
  <w:style w:type="paragraph" w:customStyle="1" w:styleId="xl115">
    <w:name w:val="xl115"/>
    <w:basedOn w:val="Normal"/>
    <w:rsid w:val="00CA657A"/>
    <w:pPr>
      <w:pBdr>
        <w:top w:val="single" w:sz="8" w:space="0" w:color="auto"/>
        <w:left w:val="single" w:sz="4" w:space="0" w:color="auto"/>
        <w:bottom w:val="single" w:sz="4" w:space="0" w:color="auto"/>
        <w:right w:val="double" w:sz="6"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116">
    <w:name w:val="xl116"/>
    <w:basedOn w:val="Normal"/>
    <w:rsid w:val="00CA657A"/>
    <w:pPr>
      <w:pBdr>
        <w:top w:val="single" w:sz="4" w:space="0" w:color="auto"/>
        <w:left w:val="single" w:sz="4" w:space="0" w:color="auto"/>
        <w:bottom w:val="single" w:sz="4" w:space="0" w:color="auto"/>
        <w:right w:val="double" w:sz="6"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paragraph" w:customStyle="1" w:styleId="xl117">
    <w:name w:val="xl117"/>
    <w:basedOn w:val="Normal"/>
    <w:rsid w:val="00CA657A"/>
    <w:pPr>
      <w:pBdr>
        <w:top w:val="single" w:sz="4" w:space="0" w:color="auto"/>
        <w:left w:val="single" w:sz="4" w:space="0" w:color="auto"/>
        <w:bottom w:val="single" w:sz="8" w:space="0" w:color="auto"/>
        <w:right w:val="double" w:sz="6" w:space="0" w:color="auto"/>
      </w:pBdr>
      <w:shd w:val="clear" w:color="000000" w:fill="D9E1F2"/>
      <w:spacing w:before="100" w:beforeAutospacing="1" w:after="100" w:afterAutospacing="1"/>
      <w:jc w:val="center"/>
    </w:pPr>
    <w:rPr>
      <w:rFonts w:ascii="SimSun" w:hAnsi="SimSun" w:cs="SimSun"/>
      <w:sz w:val="16"/>
      <w:szCs w:val="16"/>
      <w:lang w:val="en-US" w:eastAsia="zh-CN"/>
    </w:rPr>
  </w:style>
  <w:style w:type="character" w:customStyle="1" w:styleId="MTEquationSection">
    <w:name w:val="MTEquationSection"/>
    <w:rsid w:val="00CA657A"/>
    <w:rPr>
      <w:rFonts w:ascii="Arial" w:hAnsi="Arial"/>
      <w:vanish w:val="0"/>
      <w:color w:val="FF0000"/>
      <w:sz w:val="24"/>
    </w:rPr>
  </w:style>
  <w:style w:type="paragraph" w:customStyle="1" w:styleId="Bulletedo1">
    <w:name w:val="Bulleted o 1"/>
    <w:basedOn w:val="Normal"/>
    <w:rsid w:val="00CA657A"/>
    <w:pPr>
      <w:numPr>
        <w:numId w:val="22"/>
      </w:numPr>
      <w:overflowPunct w:val="0"/>
      <w:autoSpaceDE w:val="0"/>
      <w:autoSpaceDN w:val="0"/>
      <w:adjustRightInd w:val="0"/>
      <w:textAlignment w:val="baseline"/>
    </w:pPr>
    <w:rPr>
      <w:lang w:val="en-US"/>
    </w:rPr>
  </w:style>
  <w:style w:type="paragraph" w:customStyle="1" w:styleId="Equation">
    <w:name w:val="Equation"/>
    <w:basedOn w:val="Normal"/>
    <w:next w:val="Normal"/>
    <w:rsid w:val="00CA657A"/>
    <w:pPr>
      <w:tabs>
        <w:tab w:val="right" w:pos="10206"/>
      </w:tabs>
      <w:overflowPunct w:val="0"/>
      <w:autoSpaceDE w:val="0"/>
      <w:autoSpaceDN w:val="0"/>
      <w:adjustRightInd w:val="0"/>
      <w:spacing w:after="220"/>
      <w:ind w:left="1298"/>
      <w:textAlignment w:val="baseline"/>
    </w:pPr>
    <w:rPr>
      <w:rFonts w:ascii="Arial" w:hAnsi="Arial"/>
      <w:sz w:val="22"/>
      <w:lang w:val="en-US" w:eastAsia="zh-CN"/>
    </w:rPr>
  </w:style>
  <w:style w:type="paragraph" w:customStyle="1" w:styleId="11BodyText">
    <w:name w:val="11 BodyText"/>
    <w:basedOn w:val="Normal"/>
    <w:rsid w:val="00CA657A"/>
    <w:pPr>
      <w:overflowPunct w:val="0"/>
      <w:autoSpaceDE w:val="0"/>
      <w:autoSpaceDN w:val="0"/>
      <w:adjustRightInd w:val="0"/>
      <w:spacing w:after="220"/>
      <w:ind w:left="1298"/>
      <w:textAlignment w:val="baseline"/>
    </w:pPr>
    <w:rPr>
      <w:rFonts w:ascii="Arial" w:hAnsi="Arial"/>
      <w:sz w:val="22"/>
      <w:lang w:val="en-US"/>
    </w:rPr>
  </w:style>
  <w:style w:type="paragraph" w:customStyle="1" w:styleId="bodyCharCharChar">
    <w:name w:val="body Char Char Char"/>
    <w:basedOn w:val="Normal"/>
    <w:rsid w:val="00CA657A"/>
    <w:pPr>
      <w:tabs>
        <w:tab w:val="left" w:pos="2160"/>
      </w:tabs>
      <w:overflowPunct w:val="0"/>
      <w:autoSpaceDE w:val="0"/>
      <w:autoSpaceDN w:val="0"/>
      <w:adjustRightInd w:val="0"/>
      <w:spacing w:before="120" w:after="120" w:line="280" w:lineRule="atLeast"/>
      <w:jc w:val="both"/>
      <w:textAlignment w:val="baseline"/>
    </w:pPr>
    <w:rPr>
      <w:rFonts w:ascii="New York" w:hAnsi="New York"/>
      <w:sz w:val="24"/>
      <w:lang w:val="en-US"/>
    </w:rPr>
  </w:style>
  <w:style w:type="paragraph" w:customStyle="1" w:styleId="body">
    <w:name w:val="body"/>
    <w:basedOn w:val="Normal"/>
    <w:rsid w:val="00CA657A"/>
    <w:pPr>
      <w:tabs>
        <w:tab w:val="left" w:pos="2160"/>
      </w:tabs>
      <w:overflowPunct w:val="0"/>
      <w:autoSpaceDE w:val="0"/>
      <w:autoSpaceDN w:val="0"/>
      <w:adjustRightInd w:val="0"/>
      <w:spacing w:before="120" w:after="120" w:line="280" w:lineRule="atLeast"/>
      <w:jc w:val="both"/>
      <w:textAlignment w:val="baseline"/>
    </w:pPr>
    <w:rPr>
      <w:rFonts w:ascii="New York" w:hAnsi="New York"/>
      <w:sz w:val="24"/>
      <w:lang w:val="en-US"/>
    </w:rPr>
  </w:style>
  <w:style w:type="character" w:customStyle="1" w:styleId="Head2AChar1">
    <w:name w:val="Head2A Char1"/>
    <w:aliases w:val="2 Char1,H2 Char2,UNDERRUBRIK 1-2 Char1,DO NOT USE_h2 Char1,h2 Char2,h21 Char1,H2 Char Char1,h2 Char Char1,Header 2 Char1,Header2 Char1,22 Char1,heading2 Char1,2nd level Char1,H21 Char1,H22 Char1,H23 Char1,H24 Char1,H25 Char"/>
    <w:rsid w:val="00CA657A"/>
    <w:rPr>
      <w:rFonts w:ascii="Arial" w:hAnsi="Arial"/>
      <w:sz w:val="32"/>
      <w:lang w:val="en-GB" w:eastAsia="en-US"/>
    </w:rPr>
  </w:style>
  <w:style w:type="character" w:customStyle="1" w:styleId="CharChar3">
    <w:name w:val="Char Char3"/>
    <w:rsid w:val="00CA657A"/>
    <w:rPr>
      <w:rFonts w:ascii="Arial" w:hAnsi="Arial"/>
      <w:sz w:val="36"/>
      <w:lang w:val="en-GB" w:eastAsia="en-US" w:bidi="ar-SA"/>
    </w:rPr>
  </w:style>
  <w:style w:type="character" w:customStyle="1" w:styleId="CharChar2">
    <w:name w:val="Char Char2"/>
    <w:rsid w:val="00CA657A"/>
    <w:rPr>
      <w:rFonts w:ascii="Arial" w:hAnsi="Arial"/>
      <w:sz w:val="32"/>
      <w:lang w:val="en-GB" w:eastAsia="en-US" w:bidi="ar-SA"/>
    </w:rPr>
  </w:style>
  <w:style w:type="character" w:customStyle="1" w:styleId="CharChar1">
    <w:name w:val="Char Char1"/>
    <w:rsid w:val="00CA657A"/>
    <w:rPr>
      <w:rFonts w:ascii="Arial" w:hAnsi="Arial"/>
      <w:sz w:val="28"/>
      <w:lang w:val="en-GB" w:eastAsia="en-US" w:bidi="ar-SA"/>
    </w:rPr>
  </w:style>
  <w:style w:type="character" w:customStyle="1" w:styleId="CharChar">
    <w:name w:val="Char Char"/>
    <w:rsid w:val="00CA657A"/>
    <w:rPr>
      <w:rFonts w:ascii="Arial" w:hAnsi="Arial"/>
      <w:sz w:val="22"/>
      <w:lang w:val="en-GB" w:eastAsia="en-US" w:bidi="ar-SA"/>
    </w:rPr>
  </w:style>
  <w:style w:type="table" w:styleId="DarkList-Accent6">
    <w:name w:val="Dark List Accent 6"/>
    <w:basedOn w:val="TableNormal"/>
    <w:uiPriority w:val="70"/>
    <w:rsid w:val="00CA657A"/>
    <w:rPr>
      <w:rFonts w:ascii="CG Times (WN)" w:hAnsi="CG Times (WN)"/>
      <w:color w:val="FFFFFF"/>
      <w:lang w:val="en-US" w:eastAsia="ko-KR"/>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paragraph" w:customStyle="1" w:styleId="a4">
    <w:name w:val="テキスト"/>
    <w:basedOn w:val="Normal"/>
    <w:link w:val="a5"/>
    <w:qFormat/>
    <w:rsid w:val="00CA657A"/>
    <w:pPr>
      <w:widowControl w:val="0"/>
      <w:spacing w:afterLines="50" w:after="200" w:line="320" w:lineRule="exact"/>
      <w:ind w:firstLineChars="100" w:firstLine="210"/>
      <w:jc w:val="both"/>
    </w:pPr>
    <w:rPr>
      <w:rFonts w:ascii="Century" w:eastAsia="MS Mincho" w:hAnsi="Century"/>
      <w:kern w:val="2"/>
      <w:sz w:val="21"/>
      <w:szCs w:val="22"/>
      <w:lang w:eastAsia="ja-JP"/>
    </w:rPr>
  </w:style>
  <w:style w:type="character" w:customStyle="1" w:styleId="a5">
    <w:name w:val="テキスト (文字)"/>
    <w:link w:val="a4"/>
    <w:rsid w:val="00CA657A"/>
    <w:rPr>
      <w:rFonts w:ascii="Century" w:eastAsia="MS Mincho" w:hAnsi="Century"/>
      <w:kern w:val="2"/>
      <w:sz w:val="21"/>
      <w:szCs w:val="22"/>
      <w:lang w:eastAsia="ja-JP"/>
    </w:rPr>
  </w:style>
  <w:style w:type="paragraph" w:customStyle="1" w:styleId="gmail-msolistparagraph">
    <w:name w:val="gmail-msolistparagraph"/>
    <w:basedOn w:val="Normal"/>
    <w:uiPriority w:val="99"/>
    <w:semiHidden/>
    <w:rsid w:val="00CA657A"/>
    <w:pPr>
      <w:spacing w:before="75" w:after="75"/>
    </w:pPr>
    <w:rPr>
      <w:rFonts w:ascii="Malgun Gothic" w:eastAsia="Malgun Gothic" w:hAnsi="Malgun Gothic" w:cs="Calibri"/>
      <w:lang w:val="sv-SE" w:eastAsia="sv-SE"/>
    </w:rPr>
  </w:style>
  <w:style w:type="paragraph" w:customStyle="1" w:styleId="gmail-b2">
    <w:name w:val="gmail-b2"/>
    <w:basedOn w:val="Normal"/>
    <w:uiPriority w:val="99"/>
    <w:semiHidden/>
    <w:rsid w:val="00CA657A"/>
    <w:pPr>
      <w:spacing w:before="75" w:after="75"/>
    </w:pPr>
    <w:rPr>
      <w:rFonts w:ascii="Malgun Gothic" w:eastAsia="Malgun Gothic" w:hAnsi="Malgun Gothic" w:cs="Calibri"/>
      <w:lang w:val="sv-SE" w:eastAsia="sv-SE"/>
    </w:rPr>
  </w:style>
  <w:style w:type="character" w:customStyle="1" w:styleId="onecomwebmail-spelle">
    <w:name w:val="onecomwebmail-spelle"/>
    <w:basedOn w:val="DefaultParagraphFont"/>
    <w:rsid w:val="00CA657A"/>
  </w:style>
  <w:style w:type="paragraph" w:customStyle="1" w:styleId="onecomwebmail-msolistparagraph">
    <w:name w:val="onecomwebmail-msolistparagraph"/>
    <w:basedOn w:val="Normal"/>
    <w:rsid w:val="00CA657A"/>
    <w:pPr>
      <w:spacing w:before="100" w:beforeAutospacing="1" w:after="100" w:afterAutospacing="1"/>
    </w:pPr>
    <w:rPr>
      <w:sz w:val="24"/>
      <w:szCs w:val="24"/>
      <w:lang w:val="sv-SE" w:eastAsia="sv-SE"/>
    </w:rPr>
  </w:style>
  <w:style w:type="paragraph" w:customStyle="1" w:styleId="onecomwebmail-tah">
    <w:name w:val="onecomwebmail-tah"/>
    <w:basedOn w:val="Normal"/>
    <w:rsid w:val="00CA657A"/>
    <w:pPr>
      <w:spacing w:before="100" w:beforeAutospacing="1" w:after="100" w:afterAutospacing="1"/>
    </w:pPr>
    <w:rPr>
      <w:sz w:val="24"/>
      <w:szCs w:val="24"/>
      <w:lang w:val="sv-SE" w:eastAsia="sv-SE"/>
    </w:rPr>
  </w:style>
  <w:style w:type="paragraph" w:customStyle="1" w:styleId="onecomwebmail-tac">
    <w:name w:val="onecomwebmail-tac"/>
    <w:basedOn w:val="Normal"/>
    <w:rsid w:val="00CA657A"/>
    <w:pPr>
      <w:spacing w:before="100" w:beforeAutospacing="1" w:after="100" w:afterAutospacing="1"/>
    </w:pPr>
    <w:rPr>
      <w:sz w:val="24"/>
      <w:szCs w:val="24"/>
      <w:lang w:val="sv-SE" w:eastAsia="sv-SE"/>
    </w:rPr>
  </w:style>
  <w:style w:type="character" w:customStyle="1" w:styleId="onecomwebmail-font">
    <w:name w:val="onecomwebmail-font"/>
    <w:basedOn w:val="DefaultParagraphFont"/>
    <w:rsid w:val="00CA657A"/>
  </w:style>
  <w:style w:type="character" w:customStyle="1" w:styleId="onecomwebmail-size">
    <w:name w:val="onecomwebmail-size"/>
    <w:basedOn w:val="DefaultParagraphFont"/>
    <w:rsid w:val="00CA657A"/>
  </w:style>
  <w:style w:type="character" w:customStyle="1" w:styleId="B4Char">
    <w:name w:val="B4 Char"/>
    <w:link w:val="B4"/>
    <w:qFormat/>
    <w:rsid w:val="00E31DED"/>
    <w:rPr>
      <w:lang w:eastAsia="en-US"/>
    </w:rPr>
  </w:style>
  <w:style w:type="table" w:customStyle="1" w:styleId="TableGrid1">
    <w:name w:val="Table Grid1"/>
    <w:basedOn w:val="TableNormal"/>
    <w:next w:val="TableGrid"/>
    <w:uiPriority w:val="59"/>
    <w:rsid w:val="00E9420D"/>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GPPAgreements">
    <w:name w:val="3GPP Agreements"/>
    <w:basedOn w:val="Normal"/>
    <w:link w:val="3GPPAgreementsChar"/>
    <w:qFormat/>
    <w:rsid w:val="00E9420D"/>
    <w:pPr>
      <w:numPr>
        <w:numId w:val="23"/>
      </w:numPr>
      <w:overflowPunct w:val="0"/>
      <w:autoSpaceDE w:val="0"/>
      <w:autoSpaceDN w:val="0"/>
      <w:adjustRightInd w:val="0"/>
      <w:spacing w:before="60" w:after="60"/>
      <w:jc w:val="both"/>
      <w:textAlignment w:val="baseline"/>
    </w:pPr>
    <w:rPr>
      <w:sz w:val="22"/>
      <w:lang w:val="en-US" w:eastAsia="zh-CN"/>
    </w:rPr>
  </w:style>
  <w:style w:type="character" w:customStyle="1" w:styleId="3GPPAgreementsChar">
    <w:name w:val="3GPP Agreements Char"/>
    <w:link w:val="3GPPAgreements"/>
    <w:rsid w:val="00E9420D"/>
    <w:rPr>
      <w:sz w:val="22"/>
      <w:lang w:val="en-US" w:eastAsia="zh-CN"/>
    </w:rPr>
  </w:style>
  <w:style w:type="paragraph" w:customStyle="1" w:styleId="Style1">
    <w:name w:val="Style1"/>
    <w:basedOn w:val="Normal"/>
    <w:link w:val="Style1Char"/>
    <w:qFormat/>
    <w:rsid w:val="00E9420D"/>
    <w:pPr>
      <w:spacing w:after="100" w:afterAutospacing="1" w:line="300" w:lineRule="auto"/>
      <w:ind w:firstLine="360"/>
      <w:contextualSpacing/>
      <w:jc w:val="both"/>
    </w:pPr>
    <w:rPr>
      <w:lang w:val="en-US" w:eastAsia="zh-CN"/>
    </w:rPr>
  </w:style>
  <w:style w:type="character" w:customStyle="1" w:styleId="Style1Char">
    <w:name w:val="Style1 Char"/>
    <w:link w:val="Style1"/>
    <w:qFormat/>
    <w:rsid w:val="00E9420D"/>
    <w:rPr>
      <w:rFonts w:eastAsia="SimSun"/>
      <w:lang w:val="en-US" w:eastAsia="zh-CN"/>
    </w:rPr>
  </w:style>
  <w:style w:type="character" w:customStyle="1" w:styleId="fontstyle01">
    <w:name w:val="fontstyle01"/>
    <w:basedOn w:val="DefaultParagraphFont"/>
    <w:qFormat/>
    <w:rsid w:val="00E9420D"/>
    <w:rPr>
      <w:rFonts w:ascii="Times New Roman" w:hAnsi="Times New Roman" w:cs="Times New Roman" w:hint="default"/>
      <w:b w:val="0"/>
      <w:bCs w:val="0"/>
      <w:i/>
      <w:iCs/>
      <w:color w:val="000000"/>
      <w:sz w:val="20"/>
      <w:szCs w:val="20"/>
    </w:rPr>
  </w:style>
  <w:style w:type="paragraph" w:customStyle="1" w:styleId="xmsonormal">
    <w:name w:val="x_msonormal"/>
    <w:basedOn w:val="Normal"/>
    <w:rsid w:val="002734EA"/>
    <w:pPr>
      <w:spacing w:after="0"/>
    </w:pPr>
    <w:rPr>
      <w:rFonts w:ascii="Calibri" w:eastAsiaTheme="minorHAnsi" w:hAnsi="Calibri" w:cs="Calibri"/>
      <w:sz w:val="22"/>
      <w:szCs w:val="22"/>
      <w:lang w:val="en-US"/>
    </w:rPr>
  </w:style>
  <w:style w:type="paragraph" w:customStyle="1" w:styleId="LGTdoc">
    <w:name w:val="LGTdoc_본문"/>
    <w:basedOn w:val="Normal"/>
    <w:link w:val="LGTdocChar"/>
    <w:qFormat/>
    <w:rsid w:val="00E21265"/>
    <w:pPr>
      <w:widowControl w:val="0"/>
      <w:autoSpaceDE w:val="0"/>
      <w:autoSpaceDN w:val="0"/>
      <w:adjustRightInd w:val="0"/>
      <w:snapToGrid w:val="0"/>
      <w:spacing w:before="60" w:afterLines="50" w:after="120" w:line="264" w:lineRule="auto"/>
      <w:ind w:left="851" w:hanging="284"/>
      <w:jc w:val="both"/>
    </w:pPr>
    <w:rPr>
      <w:rFonts w:eastAsia="Batang"/>
      <w:kern w:val="2"/>
      <w:sz w:val="22"/>
      <w:szCs w:val="24"/>
      <w:lang w:val="en-US" w:eastAsia="x-none"/>
    </w:rPr>
  </w:style>
  <w:style w:type="character" w:customStyle="1" w:styleId="LGTdocChar">
    <w:name w:val="LGTdoc_본문 Char"/>
    <w:link w:val="LGTdoc"/>
    <w:qFormat/>
    <w:rsid w:val="00E21265"/>
    <w:rPr>
      <w:rFonts w:eastAsia="Batang"/>
      <w:kern w:val="2"/>
      <w:sz w:val="22"/>
      <w:szCs w:val="24"/>
      <w:lang w:val="en-US" w:eastAsia="x-none"/>
    </w:rPr>
  </w:style>
  <w:style w:type="paragraph" w:customStyle="1" w:styleId="0Maintext">
    <w:name w:val="0 Main text"/>
    <w:basedOn w:val="maintext"/>
    <w:link w:val="0MaintextChar"/>
    <w:rsid w:val="00E21265"/>
    <w:pPr>
      <w:spacing w:before="100" w:beforeAutospacing="1" w:after="100" w:afterAutospacing="1" w:line="240" w:lineRule="auto"/>
      <w:ind w:firstLineChars="0" w:firstLine="360"/>
    </w:pPr>
    <w:rPr>
      <w:rFonts w:cs="Batang"/>
      <w:lang w:eastAsia="en-US"/>
    </w:rPr>
  </w:style>
  <w:style w:type="character" w:customStyle="1" w:styleId="0MaintextChar">
    <w:name w:val="0 Main text Char"/>
    <w:basedOn w:val="maintextChar"/>
    <w:link w:val="0Maintext"/>
    <w:rsid w:val="00E21265"/>
    <w:rPr>
      <w:rFonts w:eastAsia="Malgun Gothic" w:cs="Batang"/>
      <w:lang w:eastAsia="en-US"/>
    </w:rPr>
  </w:style>
  <w:style w:type="paragraph" w:customStyle="1" w:styleId="LGTdoc1">
    <w:name w:val="LGTdoc_제목1"/>
    <w:basedOn w:val="Normal"/>
    <w:rsid w:val="00E21265"/>
    <w:pPr>
      <w:adjustRightInd w:val="0"/>
      <w:snapToGrid w:val="0"/>
      <w:spacing w:beforeLines="50" w:before="120" w:after="100" w:afterAutospacing="1"/>
      <w:jc w:val="both"/>
    </w:pPr>
    <w:rPr>
      <w:rFonts w:eastAsia="Batang"/>
      <w:b/>
      <w:snapToGrid w:val="0"/>
      <w:sz w:val="28"/>
      <w:lang w:eastAsia="ko-KR"/>
    </w:rPr>
  </w:style>
  <w:style w:type="paragraph" w:customStyle="1" w:styleId="b20">
    <w:name w:val="b20"/>
    <w:basedOn w:val="Normal"/>
    <w:uiPriority w:val="99"/>
    <w:rsid w:val="00C709FE"/>
    <w:pPr>
      <w:spacing w:after="0"/>
    </w:pPr>
    <w:rPr>
      <w:rFonts w:ascii="Calibri" w:eastAsiaTheme="minorHAnsi" w:hAnsi="Calibri" w:cs="Calibri"/>
      <w:sz w:val="22"/>
      <w:szCs w:val="22"/>
      <w:lang w:val="en-US"/>
    </w:rPr>
  </w:style>
  <w:style w:type="character" w:customStyle="1" w:styleId="B5Char">
    <w:name w:val="B5 Char"/>
    <w:link w:val="B5"/>
    <w:rsid w:val="008C2148"/>
    <w:rPr>
      <w:lang w:eastAsia="en-US"/>
    </w:rPr>
  </w:style>
  <w:style w:type="numbering" w:customStyle="1" w:styleId="NoList1">
    <w:name w:val="No List1"/>
    <w:next w:val="NoList"/>
    <w:uiPriority w:val="99"/>
    <w:semiHidden/>
    <w:unhideWhenUsed/>
    <w:rsid w:val="005575DD"/>
  </w:style>
  <w:style w:type="numbering" w:customStyle="1" w:styleId="NoList11">
    <w:name w:val="No List11"/>
    <w:next w:val="NoList"/>
    <w:uiPriority w:val="99"/>
    <w:semiHidden/>
    <w:unhideWhenUsed/>
    <w:rsid w:val="005575DD"/>
  </w:style>
  <w:style w:type="paragraph" w:customStyle="1" w:styleId="41">
    <w:name w:val="标题41"/>
    <w:basedOn w:val="Normal"/>
    <w:next w:val="NormalIndent"/>
    <w:rsid w:val="005575DD"/>
    <w:pPr>
      <w:widowControl w:val="0"/>
      <w:spacing w:after="0"/>
      <w:ind w:firstLine="420"/>
      <w:jc w:val="both"/>
    </w:pPr>
    <w:rPr>
      <w:rFonts w:eastAsia="Times New Roman"/>
      <w:kern w:val="2"/>
      <w:sz w:val="21"/>
      <w:lang w:val="en-US" w:eastAsia="zh-CN"/>
    </w:rPr>
  </w:style>
  <w:style w:type="paragraph" w:customStyle="1" w:styleId="z-TopofForm1">
    <w:name w:val="z-Top of Form1"/>
    <w:basedOn w:val="Normal"/>
    <w:next w:val="Normal"/>
    <w:hidden/>
    <w:uiPriority w:val="99"/>
    <w:unhideWhenUsed/>
    <w:rsid w:val="005575DD"/>
    <w:pPr>
      <w:pBdr>
        <w:bottom w:val="single" w:sz="6" w:space="1" w:color="auto"/>
      </w:pBdr>
      <w:spacing w:after="0"/>
      <w:jc w:val="center"/>
    </w:pPr>
    <w:rPr>
      <w:rFonts w:ascii="Arial" w:eastAsia="Times New Roman" w:hAnsi="Arial"/>
      <w:vanish/>
      <w:sz w:val="16"/>
      <w:szCs w:val="16"/>
      <w:lang w:val="en-US" w:eastAsia="zh-CN"/>
    </w:rPr>
  </w:style>
  <w:style w:type="paragraph" w:customStyle="1" w:styleId="z-BottomofForm1">
    <w:name w:val="z-Bottom of Form1"/>
    <w:basedOn w:val="Normal"/>
    <w:next w:val="Normal"/>
    <w:hidden/>
    <w:uiPriority w:val="99"/>
    <w:unhideWhenUsed/>
    <w:rsid w:val="005575DD"/>
    <w:pPr>
      <w:pBdr>
        <w:top w:val="single" w:sz="6" w:space="1" w:color="auto"/>
      </w:pBdr>
      <w:spacing w:after="0"/>
      <w:jc w:val="center"/>
    </w:pPr>
    <w:rPr>
      <w:rFonts w:ascii="Arial" w:eastAsia="Times New Roman" w:hAnsi="Arial"/>
      <w:vanish/>
      <w:sz w:val="16"/>
      <w:szCs w:val="16"/>
      <w:lang w:val="en-US" w:eastAsia="zh-CN"/>
    </w:rPr>
  </w:style>
  <w:style w:type="paragraph" w:customStyle="1" w:styleId="BodyTextIndent1">
    <w:name w:val="Body Text Indent1"/>
    <w:basedOn w:val="Normal"/>
    <w:next w:val="BodyTextIndent"/>
    <w:uiPriority w:val="99"/>
    <w:unhideWhenUsed/>
    <w:rsid w:val="005575DD"/>
    <w:pPr>
      <w:spacing w:after="120" w:line="276" w:lineRule="auto"/>
      <w:ind w:left="360"/>
    </w:pPr>
    <w:rPr>
      <w:rFonts w:ascii="CG Times (WN)" w:eastAsia="Times New Roman" w:hAnsi="CG Times (WN)"/>
      <w:lang w:val="en-US" w:eastAsia="zh-CN"/>
    </w:rPr>
  </w:style>
  <w:style w:type="paragraph" w:customStyle="1" w:styleId="Subtitle1">
    <w:name w:val="Subtitle1"/>
    <w:basedOn w:val="Normal"/>
    <w:next w:val="Normal"/>
    <w:uiPriority w:val="11"/>
    <w:qFormat/>
    <w:rsid w:val="005575DD"/>
    <w:pPr>
      <w:numPr>
        <w:ilvl w:val="1"/>
      </w:numPr>
      <w:snapToGrid w:val="0"/>
      <w:spacing w:after="0"/>
    </w:pPr>
    <w:rPr>
      <w:rFonts w:ascii="Calibri Light" w:eastAsia="Times New Roman" w:hAnsi="Calibri Light"/>
      <w:b/>
      <w:i/>
      <w:iCs/>
      <w:color w:val="5B9BD5"/>
      <w:spacing w:val="15"/>
      <w:szCs w:val="24"/>
      <w:lang w:val="en-US" w:eastAsia="zh-CN"/>
    </w:rPr>
  </w:style>
  <w:style w:type="table" w:customStyle="1" w:styleId="TableGridLight11">
    <w:name w:val="Table Grid Light11"/>
    <w:basedOn w:val="TableNormal"/>
    <w:uiPriority w:val="40"/>
    <w:rsid w:val="005575DD"/>
    <w:rPr>
      <w:rFonts w:ascii="Calibri" w:eastAsia="Times New Roman"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1">
    <w:name w:val="Plain Table 111"/>
    <w:basedOn w:val="TableNormal"/>
    <w:uiPriority w:val="41"/>
    <w:rsid w:val="005575DD"/>
    <w:rPr>
      <w:rFonts w:ascii="Calibri" w:eastAsia="Times New Roman"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BodyTextIndentChar1">
    <w:name w:val="Body Text Indent Char1"/>
    <w:basedOn w:val="DefaultParagraphFont"/>
    <w:semiHidden/>
    <w:rsid w:val="005575DD"/>
    <w:rPr>
      <w:rFonts w:ascii="Times New Roman" w:hAnsi="Times New Roman"/>
      <w:lang w:val="en-GB" w:eastAsia="en-US"/>
    </w:rPr>
  </w:style>
  <w:style w:type="paragraph" w:customStyle="1" w:styleId="TableofFigures1">
    <w:name w:val="Table of Figures1"/>
    <w:basedOn w:val="Normal"/>
    <w:next w:val="Normal"/>
    <w:rsid w:val="005575DD"/>
    <w:pPr>
      <w:spacing w:after="160" w:line="259" w:lineRule="auto"/>
      <w:ind w:left="1418" w:hanging="1418"/>
    </w:pPr>
    <w:rPr>
      <w:rFonts w:ascii="Calibri" w:eastAsia="Calibri" w:hAnsi="Calibri"/>
      <w:b/>
      <w:sz w:val="22"/>
      <w:szCs w:val="22"/>
      <w:lang w:val="en-US"/>
    </w:rPr>
  </w:style>
  <w:style w:type="numbering" w:customStyle="1" w:styleId="11">
    <w:name w:val="无列表1"/>
    <w:next w:val="NoList"/>
    <w:uiPriority w:val="99"/>
    <w:semiHidden/>
    <w:unhideWhenUsed/>
    <w:rsid w:val="005575DD"/>
  </w:style>
  <w:style w:type="numbering" w:customStyle="1" w:styleId="NoList111">
    <w:name w:val="No List111"/>
    <w:next w:val="NoList"/>
    <w:uiPriority w:val="99"/>
    <w:semiHidden/>
    <w:unhideWhenUsed/>
    <w:rsid w:val="005575DD"/>
  </w:style>
  <w:style w:type="numbering" w:customStyle="1" w:styleId="110">
    <w:name w:val="无列表11"/>
    <w:next w:val="NoList"/>
    <w:uiPriority w:val="99"/>
    <w:semiHidden/>
    <w:unhideWhenUsed/>
    <w:rsid w:val="005575DD"/>
  </w:style>
  <w:style w:type="character" w:customStyle="1" w:styleId="z-TopofFormChar1">
    <w:name w:val="z-Top of Form Char1"/>
    <w:basedOn w:val="DefaultParagraphFont"/>
    <w:semiHidden/>
    <w:rsid w:val="005575DD"/>
    <w:rPr>
      <w:rFonts w:ascii="Arial" w:hAnsi="Arial" w:cs="Arial"/>
      <w:vanish/>
      <w:sz w:val="16"/>
      <w:szCs w:val="16"/>
      <w:lang w:val="en-GB" w:eastAsia="en-US"/>
    </w:rPr>
  </w:style>
  <w:style w:type="character" w:customStyle="1" w:styleId="z-BottomofFormChar1">
    <w:name w:val="z-Bottom of Form Char1"/>
    <w:basedOn w:val="DefaultParagraphFont"/>
    <w:semiHidden/>
    <w:rsid w:val="005575DD"/>
    <w:rPr>
      <w:rFonts w:ascii="Arial" w:hAnsi="Arial" w:cs="Arial"/>
      <w:vanish/>
      <w:sz w:val="16"/>
      <w:szCs w:val="16"/>
      <w:lang w:val="en-GB" w:eastAsia="en-US"/>
    </w:rPr>
  </w:style>
  <w:style w:type="character" w:customStyle="1" w:styleId="SubtitleChar1">
    <w:name w:val="Subtitle Char1"/>
    <w:basedOn w:val="DefaultParagraphFont"/>
    <w:rsid w:val="005575DD"/>
    <w:rPr>
      <w:rFonts w:ascii="Calibri" w:eastAsia="Malgun Gothic" w:hAnsi="Calibri" w:cs="Arial"/>
      <w:color w:val="5A5A5A"/>
      <w:spacing w:val="15"/>
      <w:sz w:val="22"/>
      <w:szCs w:val="22"/>
      <w:lang w:val="en-GB" w:eastAsia="en-US"/>
    </w:rPr>
  </w:style>
  <w:style w:type="paragraph" w:customStyle="1" w:styleId="ListParagraph1">
    <w:name w:val="List Paragraph1"/>
    <w:basedOn w:val="Normal"/>
    <w:link w:val="a6"/>
    <w:uiPriority w:val="34"/>
    <w:qFormat/>
    <w:rsid w:val="005575DD"/>
    <w:pPr>
      <w:kinsoku w:val="0"/>
      <w:overflowPunct w:val="0"/>
      <w:adjustRightInd w:val="0"/>
      <w:spacing w:after="60" w:line="259" w:lineRule="auto"/>
      <w:textAlignment w:val="baseline"/>
    </w:pPr>
    <w:rPr>
      <w:rFonts w:eastAsia="Gulim"/>
      <w:snapToGrid w:val="0"/>
      <w:szCs w:val="22"/>
      <w:lang w:eastAsia="ko-KR"/>
    </w:rPr>
  </w:style>
  <w:style w:type="character" w:customStyle="1" w:styleId="a6">
    <w:name w:val="リスト段落 (文字)"/>
    <w:link w:val="ListParagraph1"/>
    <w:uiPriority w:val="34"/>
    <w:qFormat/>
    <w:rsid w:val="005575DD"/>
    <w:rPr>
      <w:rFonts w:eastAsia="Gulim"/>
      <w:snapToGrid w:val="0"/>
      <w:szCs w:val="22"/>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10195">
      <w:bodyDiv w:val="1"/>
      <w:marLeft w:val="0"/>
      <w:marRight w:val="0"/>
      <w:marTop w:val="0"/>
      <w:marBottom w:val="0"/>
      <w:divBdr>
        <w:top w:val="none" w:sz="0" w:space="0" w:color="auto"/>
        <w:left w:val="none" w:sz="0" w:space="0" w:color="auto"/>
        <w:bottom w:val="none" w:sz="0" w:space="0" w:color="auto"/>
        <w:right w:val="none" w:sz="0" w:space="0" w:color="auto"/>
      </w:divBdr>
    </w:div>
    <w:div w:id="84109146">
      <w:bodyDiv w:val="1"/>
      <w:marLeft w:val="0"/>
      <w:marRight w:val="0"/>
      <w:marTop w:val="0"/>
      <w:marBottom w:val="0"/>
      <w:divBdr>
        <w:top w:val="none" w:sz="0" w:space="0" w:color="auto"/>
        <w:left w:val="none" w:sz="0" w:space="0" w:color="auto"/>
        <w:bottom w:val="none" w:sz="0" w:space="0" w:color="auto"/>
        <w:right w:val="none" w:sz="0" w:space="0" w:color="auto"/>
      </w:divBdr>
    </w:div>
    <w:div w:id="134876920">
      <w:bodyDiv w:val="1"/>
      <w:marLeft w:val="0"/>
      <w:marRight w:val="0"/>
      <w:marTop w:val="0"/>
      <w:marBottom w:val="0"/>
      <w:divBdr>
        <w:top w:val="none" w:sz="0" w:space="0" w:color="auto"/>
        <w:left w:val="none" w:sz="0" w:space="0" w:color="auto"/>
        <w:bottom w:val="none" w:sz="0" w:space="0" w:color="auto"/>
        <w:right w:val="none" w:sz="0" w:space="0" w:color="auto"/>
      </w:divBdr>
    </w:div>
    <w:div w:id="231430298">
      <w:bodyDiv w:val="1"/>
      <w:marLeft w:val="0"/>
      <w:marRight w:val="0"/>
      <w:marTop w:val="0"/>
      <w:marBottom w:val="0"/>
      <w:divBdr>
        <w:top w:val="none" w:sz="0" w:space="0" w:color="auto"/>
        <w:left w:val="none" w:sz="0" w:space="0" w:color="auto"/>
        <w:bottom w:val="none" w:sz="0" w:space="0" w:color="auto"/>
        <w:right w:val="none" w:sz="0" w:space="0" w:color="auto"/>
      </w:divBdr>
    </w:div>
    <w:div w:id="277951451">
      <w:bodyDiv w:val="1"/>
      <w:marLeft w:val="0"/>
      <w:marRight w:val="0"/>
      <w:marTop w:val="0"/>
      <w:marBottom w:val="0"/>
      <w:divBdr>
        <w:top w:val="none" w:sz="0" w:space="0" w:color="auto"/>
        <w:left w:val="none" w:sz="0" w:space="0" w:color="auto"/>
        <w:bottom w:val="none" w:sz="0" w:space="0" w:color="auto"/>
        <w:right w:val="none" w:sz="0" w:space="0" w:color="auto"/>
      </w:divBdr>
    </w:div>
    <w:div w:id="417411532">
      <w:bodyDiv w:val="1"/>
      <w:marLeft w:val="0"/>
      <w:marRight w:val="0"/>
      <w:marTop w:val="0"/>
      <w:marBottom w:val="0"/>
      <w:divBdr>
        <w:top w:val="none" w:sz="0" w:space="0" w:color="auto"/>
        <w:left w:val="none" w:sz="0" w:space="0" w:color="auto"/>
        <w:bottom w:val="none" w:sz="0" w:space="0" w:color="auto"/>
        <w:right w:val="none" w:sz="0" w:space="0" w:color="auto"/>
      </w:divBdr>
    </w:div>
    <w:div w:id="446896016">
      <w:bodyDiv w:val="1"/>
      <w:marLeft w:val="0"/>
      <w:marRight w:val="0"/>
      <w:marTop w:val="0"/>
      <w:marBottom w:val="0"/>
      <w:divBdr>
        <w:top w:val="none" w:sz="0" w:space="0" w:color="auto"/>
        <w:left w:val="none" w:sz="0" w:space="0" w:color="auto"/>
        <w:bottom w:val="none" w:sz="0" w:space="0" w:color="auto"/>
        <w:right w:val="none" w:sz="0" w:space="0" w:color="auto"/>
      </w:divBdr>
    </w:div>
    <w:div w:id="493692594">
      <w:bodyDiv w:val="1"/>
      <w:marLeft w:val="0"/>
      <w:marRight w:val="0"/>
      <w:marTop w:val="0"/>
      <w:marBottom w:val="0"/>
      <w:divBdr>
        <w:top w:val="none" w:sz="0" w:space="0" w:color="auto"/>
        <w:left w:val="none" w:sz="0" w:space="0" w:color="auto"/>
        <w:bottom w:val="none" w:sz="0" w:space="0" w:color="auto"/>
        <w:right w:val="none" w:sz="0" w:space="0" w:color="auto"/>
      </w:divBdr>
    </w:div>
    <w:div w:id="512956327">
      <w:bodyDiv w:val="1"/>
      <w:marLeft w:val="0"/>
      <w:marRight w:val="0"/>
      <w:marTop w:val="0"/>
      <w:marBottom w:val="0"/>
      <w:divBdr>
        <w:top w:val="none" w:sz="0" w:space="0" w:color="auto"/>
        <w:left w:val="none" w:sz="0" w:space="0" w:color="auto"/>
        <w:bottom w:val="none" w:sz="0" w:space="0" w:color="auto"/>
        <w:right w:val="none" w:sz="0" w:space="0" w:color="auto"/>
      </w:divBdr>
    </w:div>
    <w:div w:id="608783077">
      <w:bodyDiv w:val="1"/>
      <w:marLeft w:val="0"/>
      <w:marRight w:val="0"/>
      <w:marTop w:val="0"/>
      <w:marBottom w:val="0"/>
      <w:divBdr>
        <w:top w:val="none" w:sz="0" w:space="0" w:color="auto"/>
        <w:left w:val="none" w:sz="0" w:space="0" w:color="auto"/>
        <w:bottom w:val="none" w:sz="0" w:space="0" w:color="auto"/>
        <w:right w:val="none" w:sz="0" w:space="0" w:color="auto"/>
      </w:divBdr>
    </w:div>
    <w:div w:id="720985237">
      <w:bodyDiv w:val="1"/>
      <w:marLeft w:val="0"/>
      <w:marRight w:val="0"/>
      <w:marTop w:val="0"/>
      <w:marBottom w:val="0"/>
      <w:divBdr>
        <w:top w:val="none" w:sz="0" w:space="0" w:color="auto"/>
        <w:left w:val="none" w:sz="0" w:space="0" w:color="auto"/>
        <w:bottom w:val="none" w:sz="0" w:space="0" w:color="auto"/>
        <w:right w:val="none" w:sz="0" w:space="0" w:color="auto"/>
      </w:divBdr>
    </w:div>
    <w:div w:id="728067984">
      <w:bodyDiv w:val="1"/>
      <w:marLeft w:val="0"/>
      <w:marRight w:val="0"/>
      <w:marTop w:val="0"/>
      <w:marBottom w:val="0"/>
      <w:divBdr>
        <w:top w:val="none" w:sz="0" w:space="0" w:color="auto"/>
        <w:left w:val="none" w:sz="0" w:space="0" w:color="auto"/>
        <w:bottom w:val="none" w:sz="0" w:space="0" w:color="auto"/>
        <w:right w:val="none" w:sz="0" w:space="0" w:color="auto"/>
      </w:divBdr>
    </w:div>
    <w:div w:id="795758972">
      <w:bodyDiv w:val="1"/>
      <w:marLeft w:val="0"/>
      <w:marRight w:val="0"/>
      <w:marTop w:val="0"/>
      <w:marBottom w:val="0"/>
      <w:divBdr>
        <w:top w:val="none" w:sz="0" w:space="0" w:color="auto"/>
        <w:left w:val="none" w:sz="0" w:space="0" w:color="auto"/>
        <w:bottom w:val="none" w:sz="0" w:space="0" w:color="auto"/>
        <w:right w:val="none" w:sz="0" w:space="0" w:color="auto"/>
      </w:divBdr>
    </w:div>
    <w:div w:id="849100175">
      <w:bodyDiv w:val="1"/>
      <w:marLeft w:val="0"/>
      <w:marRight w:val="0"/>
      <w:marTop w:val="0"/>
      <w:marBottom w:val="0"/>
      <w:divBdr>
        <w:top w:val="none" w:sz="0" w:space="0" w:color="auto"/>
        <w:left w:val="none" w:sz="0" w:space="0" w:color="auto"/>
        <w:bottom w:val="none" w:sz="0" w:space="0" w:color="auto"/>
        <w:right w:val="none" w:sz="0" w:space="0" w:color="auto"/>
      </w:divBdr>
    </w:div>
    <w:div w:id="853769443">
      <w:bodyDiv w:val="1"/>
      <w:marLeft w:val="0"/>
      <w:marRight w:val="0"/>
      <w:marTop w:val="0"/>
      <w:marBottom w:val="0"/>
      <w:divBdr>
        <w:top w:val="none" w:sz="0" w:space="0" w:color="auto"/>
        <w:left w:val="none" w:sz="0" w:space="0" w:color="auto"/>
        <w:bottom w:val="none" w:sz="0" w:space="0" w:color="auto"/>
        <w:right w:val="none" w:sz="0" w:space="0" w:color="auto"/>
      </w:divBdr>
    </w:div>
    <w:div w:id="904805460">
      <w:bodyDiv w:val="1"/>
      <w:marLeft w:val="0"/>
      <w:marRight w:val="0"/>
      <w:marTop w:val="0"/>
      <w:marBottom w:val="0"/>
      <w:divBdr>
        <w:top w:val="none" w:sz="0" w:space="0" w:color="auto"/>
        <w:left w:val="none" w:sz="0" w:space="0" w:color="auto"/>
        <w:bottom w:val="none" w:sz="0" w:space="0" w:color="auto"/>
        <w:right w:val="none" w:sz="0" w:space="0" w:color="auto"/>
      </w:divBdr>
    </w:div>
    <w:div w:id="985738561">
      <w:bodyDiv w:val="1"/>
      <w:marLeft w:val="0"/>
      <w:marRight w:val="0"/>
      <w:marTop w:val="0"/>
      <w:marBottom w:val="0"/>
      <w:divBdr>
        <w:top w:val="none" w:sz="0" w:space="0" w:color="auto"/>
        <w:left w:val="none" w:sz="0" w:space="0" w:color="auto"/>
        <w:bottom w:val="none" w:sz="0" w:space="0" w:color="auto"/>
        <w:right w:val="none" w:sz="0" w:space="0" w:color="auto"/>
      </w:divBdr>
    </w:div>
    <w:div w:id="991063410">
      <w:bodyDiv w:val="1"/>
      <w:marLeft w:val="0"/>
      <w:marRight w:val="0"/>
      <w:marTop w:val="0"/>
      <w:marBottom w:val="0"/>
      <w:divBdr>
        <w:top w:val="none" w:sz="0" w:space="0" w:color="auto"/>
        <w:left w:val="none" w:sz="0" w:space="0" w:color="auto"/>
        <w:bottom w:val="none" w:sz="0" w:space="0" w:color="auto"/>
        <w:right w:val="none" w:sz="0" w:space="0" w:color="auto"/>
      </w:divBdr>
    </w:div>
    <w:div w:id="1038624242">
      <w:bodyDiv w:val="1"/>
      <w:marLeft w:val="0"/>
      <w:marRight w:val="0"/>
      <w:marTop w:val="0"/>
      <w:marBottom w:val="0"/>
      <w:divBdr>
        <w:top w:val="none" w:sz="0" w:space="0" w:color="auto"/>
        <w:left w:val="none" w:sz="0" w:space="0" w:color="auto"/>
        <w:bottom w:val="none" w:sz="0" w:space="0" w:color="auto"/>
        <w:right w:val="none" w:sz="0" w:space="0" w:color="auto"/>
      </w:divBdr>
    </w:div>
    <w:div w:id="1078283846">
      <w:bodyDiv w:val="1"/>
      <w:marLeft w:val="0"/>
      <w:marRight w:val="0"/>
      <w:marTop w:val="0"/>
      <w:marBottom w:val="0"/>
      <w:divBdr>
        <w:top w:val="none" w:sz="0" w:space="0" w:color="auto"/>
        <w:left w:val="none" w:sz="0" w:space="0" w:color="auto"/>
        <w:bottom w:val="none" w:sz="0" w:space="0" w:color="auto"/>
        <w:right w:val="none" w:sz="0" w:space="0" w:color="auto"/>
      </w:divBdr>
    </w:div>
    <w:div w:id="1239897849">
      <w:bodyDiv w:val="1"/>
      <w:marLeft w:val="0"/>
      <w:marRight w:val="0"/>
      <w:marTop w:val="0"/>
      <w:marBottom w:val="0"/>
      <w:divBdr>
        <w:top w:val="none" w:sz="0" w:space="0" w:color="auto"/>
        <w:left w:val="none" w:sz="0" w:space="0" w:color="auto"/>
        <w:bottom w:val="none" w:sz="0" w:space="0" w:color="auto"/>
        <w:right w:val="none" w:sz="0" w:space="0" w:color="auto"/>
      </w:divBdr>
    </w:div>
    <w:div w:id="1298027028">
      <w:bodyDiv w:val="1"/>
      <w:marLeft w:val="0"/>
      <w:marRight w:val="0"/>
      <w:marTop w:val="0"/>
      <w:marBottom w:val="0"/>
      <w:divBdr>
        <w:top w:val="none" w:sz="0" w:space="0" w:color="auto"/>
        <w:left w:val="none" w:sz="0" w:space="0" w:color="auto"/>
        <w:bottom w:val="none" w:sz="0" w:space="0" w:color="auto"/>
        <w:right w:val="none" w:sz="0" w:space="0" w:color="auto"/>
      </w:divBdr>
    </w:div>
    <w:div w:id="1473474507">
      <w:bodyDiv w:val="1"/>
      <w:marLeft w:val="0"/>
      <w:marRight w:val="0"/>
      <w:marTop w:val="0"/>
      <w:marBottom w:val="0"/>
      <w:divBdr>
        <w:top w:val="none" w:sz="0" w:space="0" w:color="auto"/>
        <w:left w:val="none" w:sz="0" w:space="0" w:color="auto"/>
        <w:bottom w:val="none" w:sz="0" w:space="0" w:color="auto"/>
        <w:right w:val="none" w:sz="0" w:space="0" w:color="auto"/>
      </w:divBdr>
    </w:div>
    <w:div w:id="1496722566">
      <w:bodyDiv w:val="1"/>
      <w:marLeft w:val="0"/>
      <w:marRight w:val="0"/>
      <w:marTop w:val="0"/>
      <w:marBottom w:val="0"/>
      <w:divBdr>
        <w:top w:val="none" w:sz="0" w:space="0" w:color="auto"/>
        <w:left w:val="none" w:sz="0" w:space="0" w:color="auto"/>
        <w:bottom w:val="none" w:sz="0" w:space="0" w:color="auto"/>
        <w:right w:val="none" w:sz="0" w:space="0" w:color="auto"/>
      </w:divBdr>
    </w:div>
    <w:div w:id="1565801173">
      <w:bodyDiv w:val="1"/>
      <w:marLeft w:val="0"/>
      <w:marRight w:val="0"/>
      <w:marTop w:val="0"/>
      <w:marBottom w:val="0"/>
      <w:divBdr>
        <w:top w:val="none" w:sz="0" w:space="0" w:color="auto"/>
        <w:left w:val="none" w:sz="0" w:space="0" w:color="auto"/>
        <w:bottom w:val="none" w:sz="0" w:space="0" w:color="auto"/>
        <w:right w:val="none" w:sz="0" w:space="0" w:color="auto"/>
      </w:divBdr>
    </w:div>
    <w:div w:id="1589650306">
      <w:bodyDiv w:val="1"/>
      <w:marLeft w:val="0"/>
      <w:marRight w:val="0"/>
      <w:marTop w:val="0"/>
      <w:marBottom w:val="0"/>
      <w:divBdr>
        <w:top w:val="none" w:sz="0" w:space="0" w:color="auto"/>
        <w:left w:val="none" w:sz="0" w:space="0" w:color="auto"/>
        <w:bottom w:val="none" w:sz="0" w:space="0" w:color="auto"/>
        <w:right w:val="none" w:sz="0" w:space="0" w:color="auto"/>
      </w:divBdr>
    </w:div>
    <w:div w:id="1647465234">
      <w:bodyDiv w:val="1"/>
      <w:marLeft w:val="0"/>
      <w:marRight w:val="0"/>
      <w:marTop w:val="0"/>
      <w:marBottom w:val="0"/>
      <w:divBdr>
        <w:top w:val="none" w:sz="0" w:space="0" w:color="auto"/>
        <w:left w:val="none" w:sz="0" w:space="0" w:color="auto"/>
        <w:bottom w:val="none" w:sz="0" w:space="0" w:color="auto"/>
        <w:right w:val="none" w:sz="0" w:space="0" w:color="auto"/>
      </w:divBdr>
    </w:div>
    <w:div w:id="1656295671">
      <w:bodyDiv w:val="1"/>
      <w:marLeft w:val="0"/>
      <w:marRight w:val="0"/>
      <w:marTop w:val="0"/>
      <w:marBottom w:val="0"/>
      <w:divBdr>
        <w:top w:val="none" w:sz="0" w:space="0" w:color="auto"/>
        <w:left w:val="none" w:sz="0" w:space="0" w:color="auto"/>
        <w:bottom w:val="none" w:sz="0" w:space="0" w:color="auto"/>
        <w:right w:val="none" w:sz="0" w:space="0" w:color="auto"/>
      </w:divBdr>
    </w:div>
    <w:div w:id="1706058625">
      <w:bodyDiv w:val="1"/>
      <w:marLeft w:val="0"/>
      <w:marRight w:val="0"/>
      <w:marTop w:val="0"/>
      <w:marBottom w:val="0"/>
      <w:divBdr>
        <w:top w:val="none" w:sz="0" w:space="0" w:color="auto"/>
        <w:left w:val="none" w:sz="0" w:space="0" w:color="auto"/>
        <w:bottom w:val="none" w:sz="0" w:space="0" w:color="auto"/>
        <w:right w:val="none" w:sz="0" w:space="0" w:color="auto"/>
      </w:divBdr>
    </w:div>
    <w:div w:id="1809471711">
      <w:bodyDiv w:val="1"/>
      <w:marLeft w:val="0"/>
      <w:marRight w:val="0"/>
      <w:marTop w:val="0"/>
      <w:marBottom w:val="0"/>
      <w:divBdr>
        <w:top w:val="none" w:sz="0" w:space="0" w:color="auto"/>
        <w:left w:val="none" w:sz="0" w:space="0" w:color="auto"/>
        <w:bottom w:val="none" w:sz="0" w:space="0" w:color="auto"/>
        <w:right w:val="none" w:sz="0" w:space="0" w:color="auto"/>
      </w:divBdr>
    </w:div>
    <w:div w:id="1991329803">
      <w:bodyDiv w:val="1"/>
      <w:marLeft w:val="0"/>
      <w:marRight w:val="0"/>
      <w:marTop w:val="0"/>
      <w:marBottom w:val="0"/>
      <w:divBdr>
        <w:top w:val="none" w:sz="0" w:space="0" w:color="auto"/>
        <w:left w:val="none" w:sz="0" w:space="0" w:color="auto"/>
        <w:bottom w:val="none" w:sz="0" w:space="0" w:color="auto"/>
        <w:right w:val="none" w:sz="0" w:space="0" w:color="auto"/>
      </w:divBdr>
    </w:div>
    <w:div w:id="2045010967">
      <w:bodyDiv w:val="1"/>
      <w:marLeft w:val="0"/>
      <w:marRight w:val="0"/>
      <w:marTop w:val="0"/>
      <w:marBottom w:val="0"/>
      <w:divBdr>
        <w:top w:val="none" w:sz="0" w:space="0" w:color="auto"/>
        <w:left w:val="none" w:sz="0" w:space="0" w:color="auto"/>
        <w:bottom w:val="none" w:sz="0" w:space="0" w:color="auto"/>
        <w:right w:val="none" w:sz="0" w:space="0" w:color="auto"/>
      </w:divBdr>
    </w:div>
    <w:div w:id="20528803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image" Target="media/image106.wmf"/><Relationship Id="rId21" Type="http://schemas.openxmlformats.org/officeDocument/2006/relationships/image" Target="media/image12.wmf"/><Relationship Id="rId42" Type="http://schemas.openxmlformats.org/officeDocument/2006/relationships/image" Target="media/image33.wmf"/><Relationship Id="rId63" Type="http://schemas.openxmlformats.org/officeDocument/2006/relationships/image" Target="media/image54.wmf"/><Relationship Id="rId84" Type="http://schemas.openxmlformats.org/officeDocument/2006/relationships/image" Target="media/image73.wmf"/><Relationship Id="rId138" Type="http://schemas.openxmlformats.org/officeDocument/2006/relationships/image" Target="media/image127.wmf"/><Relationship Id="rId159" Type="http://schemas.openxmlformats.org/officeDocument/2006/relationships/image" Target="media/image148.wmf"/><Relationship Id="rId170" Type="http://schemas.openxmlformats.org/officeDocument/2006/relationships/image" Target="media/image159.wmf"/><Relationship Id="rId191" Type="http://schemas.openxmlformats.org/officeDocument/2006/relationships/image" Target="media/image180.wmf"/><Relationship Id="rId205" Type="http://schemas.openxmlformats.org/officeDocument/2006/relationships/header" Target="header1.xml"/><Relationship Id="rId107" Type="http://schemas.openxmlformats.org/officeDocument/2006/relationships/image" Target="media/image96.wmf"/><Relationship Id="rId11" Type="http://schemas.openxmlformats.org/officeDocument/2006/relationships/image" Target="media/image2.png"/><Relationship Id="rId32" Type="http://schemas.openxmlformats.org/officeDocument/2006/relationships/image" Target="media/image23.wmf"/><Relationship Id="rId53" Type="http://schemas.openxmlformats.org/officeDocument/2006/relationships/image" Target="media/image44.wmf"/><Relationship Id="rId74" Type="http://schemas.openxmlformats.org/officeDocument/2006/relationships/image" Target="media/image64.wmf"/><Relationship Id="rId128" Type="http://schemas.openxmlformats.org/officeDocument/2006/relationships/image" Target="media/image117.wmf"/><Relationship Id="rId149" Type="http://schemas.openxmlformats.org/officeDocument/2006/relationships/image" Target="media/image138.wmf"/><Relationship Id="rId5" Type="http://schemas.openxmlformats.org/officeDocument/2006/relationships/settings" Target="settings.xml"/><Relationship Id="rId95" Type="http://schemas.openxmlformats.org/officeDocument/2006/relationships/image" Target="media/image84.wmf"/><Relationship Id="rId160" Type="http://schemas.openxmlformats.org/officeDocument/2006/relationships/image" Target="media/image149.wmf"/><Relationship Id="rId181" Type="http://schemas.openxmlformats.org/officeDocument/2006/relationships/image" Target="media/image170.wmf"/><Relationship Id="rId22" Type="http://schemas.openxmlformats.org/officeDocument/2006/relationships/image" Target="media/image13.wmf"/><Relationship Id="rId43" Type="http://schemas.openxmlformats.org/officeDocument/2006/relationships/image" Target="media/image34.wmf"/><Relationship Id="rId64" Type="http://schemas.openxmlformats.org/officeDocument/2006/relationships/image" Target="media/image55.wmf"/><Relationship Id="rId118" Type="http://schemas.openxmlformats.org/officeDocument/2006/relationships/image" Target="media/image107.wmf"/><Relationship Id="rId139" Type="http://schemas.openxmlformats.org/officeDocument/2006/relationships/image" Target="media/image128.wmf"/><Relationship Id="rId85" Type="http://schemas.openxmlformats.org/officeDocument/2006/relationships/image" Target="media/image74.wmf"/><Relationship Id="rId150" Type="http://schemas.openxmlformats.org/officeDocument/2006/relationships/image" Target="media/image139.wmf"/><Relationship Id="rId171" Type="http://schemas.openxmlformats.org/officeDocument/2006/relationships/image" Target="media/image160.wmf"/><Relationship Id="rId192" Type="http://schemas.openxmlformats.org/officeDocument/2006/relationships/image" Target="media/image181.wmf"/><Relationship Id="rId206" Type="http://schemas.openxmlformats.org/officeDocument/2006/relationships/footer" Target="footer1.xml"/><Relationship Id="rId12" Type="http://schemas.openxmlformats.org/officeDocument/2006/relationships/image" Target="media/image3.wmf"/><Relationship Id="rId33" Type="http://schemas.openxmlformats.org/officeDocument/2006/relationships/image" Target="media/image24.wmf"/><Relationship Id="rId108" Type="http://schemas.openxmlformats.org/officeDocument/2006/relationships/image" Target="media/image97.wmf"/><Relationship Id="rId129" Type="http://schemas.openxmlformats.org/officeDocument/2006/relationships/image" Target="media/image118.wmf"/><Relationship Id="rId54" Type="http://schemas.openxmlformats.org/officeDocument/2006/relationships/image" Target="media/image45.wmf"/><Relationship Id="rId75" Type="http://schemas.openxmlformats.org/officeDocument/2006/relationships/oleObject" Target="embeddings/oleObject3.bin"/><Relationship Id="rId96" Type="http://schemas.openxmlformats.org/officeDocument/2006/relationships/image" Target="media/image85.wmf"/><Relationship Id="rId140" Type="http://schemas.openxmlformats.org/officeDocument/2006/relationships/image" Target="media/image129.wmf"/><Relationship Id="rId161" Type="http://schemas.openxmlformats.org/officeDocument/2006/relationships/image" Target="media/image150.wmf"/><Relationship Id="rId182" Type="http://schemas.openxmlformats.org/officeDocument/2006/relationships/image" Target="media/image171.wmf"/><Relationship Id="rId6" Type="http://schemas.openxmlformats.org/officeDocument/2006/relationships/webSettings" Target="webSettings.xml"/><Relationship Id="rId23" Type="http://schemas.openxmlformats.org/officeDocument/2006/relationships/image" Target="media/image14.wmf"/><Relationship Id="rId119" Type="http://schemas.openxmlformats.org/officeDocument/2006/relationships/image" Target="media/image108.wmf"/><Relationship Id="rId44" Type="http://schemas.openxmlformats.org/officeDocument/2006/relationships/image" Target="media/image35.wmf"/><Relationship Id="rId65" Type="http://schemas.openxmlformats.org/officeDocument/2006/relationships/image" Target="media/image56.wmf"/><Relationship Id="rId86" Type="http://schemas.openxmlformats.org/officeDocument/2006/relationships/image" Target="media/image75.wmf"/><Relationship Id="rId130" Type="http://schemas.openxmlformats.org/officeDocument/2006/relationships/image" Target="media/image119.wmf"/><Relationship Id="rId151" Type="http://schemas.openxmlformats.org/officeDocument/2006/relationships/image" Target="media/image140.wmf"/><Relationship Id="rId172" Type="http://schemas.openxmlformats.org/officeDocument/2006/relationships/image" Target="media/image161.wmf"/><Relationship Id="rId193" Type="http://schemas.openxmlformats.org/officeDocument/2006/relationships/image" Target="media/image182.wmf"/><Relationship Id="rId207" Type="http://schemas.openxmlformats.org/officeDocument/2006/relationships/fontTable" Target="fontTable.xml"/><Relationship Id="rId13" Type="http://schemas.openxmlformats.org/officeDocument/2006/relationships/image" Target="media/image4.wmf"/><Relationship Id="rId109" Type="http://schemas.openxmlformats.org/officeDocument/2006/relationships/image" Target="media/image98.wmf"/><Relationship Id="rId34" Type="http://schemas.openxmlformats.org/officeDocument/2006/relationships/image" Target="media/image25.wmf"/><Relationship Id="rId55" Type="http://schemas.openxmlformats.org/officeDocument/2006/relationships/image" Target="media/image46.wmf"/><Relationship Id="rId76" Type="http://schemas.openxmlformats.org/officeDocument/2006/relationships/image" Target="media/image65.wmf"/><Relationship Id="rId97" Type="http://schemas.openxmlformats.org/officeDocument/2006/relationships/image" Target="media/image86.wmf"/><Relationship Id="rId120" Type="http://schemas.openxmlformats.org/officeDocument/2006/relationships/image" Target="media/image109.wmf"/><Relationship Id="rId141" Type="http://schemas.openxmlformats.org/officeDocument/2006/relationships/image" Target="media/image130.wmf"/><Relationship Id="rId7" Type="http://schemas.openxmlformats.org/officeDocument/2006/relationships/footnotes" Target="footnotes.xml"/><Relationship Id="rId162" Type="http://schemas.openxmlformats.org/officeDocument/2006/relationships/image" Target="media/image151.wmf"/><Relationship Id="rId183" Type="http://schemas.openxmlformats.org/officeDocument/2006/relationships/image" Target="media/image172.wmf"/><Relationship Id="rId24" Type="http://schemas.openxmlformats.org/officeDocument/2006/relationships/image" Target="media/image15.wmf"/><Relationship Id="rId40" Type="http://schemas.openxmlformats.org/officeDocument/2006/relationships/image" Target="media/image31.wmf"/><Relationship Id="rId45" Type="http://schemas.openxmlformats.org/officeDocument/2006/relationships/image" Target="media/image36.wmf"/><Relationship Id="rId66" Type="http://schemas.openxmlformats.org/officeDocument/2006/relationships/image" Target="media/image57.wmf"/><Relationship Id="rId87" Type="http://schemas.openxmlformats.org/officeDocument/2006/relationships/image" Target="media/image76.wmf"/><Relationship Id="rId110" Type="http://schemas.openxmlformats.org/officeDocument/2006/relationships/image" Target="media/image99.wmf"/><Relationship Id="rId115" Type="http://schemas.openxmlformats.org/officeDocument/2006/relationships/image" Target="media/image104.wmf"/><Relationship Id="rId131" Type="http://schemas.openxmlformats.org/officeDocument/2006/relationships/image" Target="media/image120.wmf"/><Relationship Id="rId136" Type="http://schemas.openxmlformats.org/officeDocument/2006/relationships/image" Target="media/image125.wmf"/><Relationship Id="rId157" Type="http://schemas.openxmlformats.org/officeDocument/2006/relationships/image" Target="media/image146.wmf"/><Relationship Id="rId178" Type="http://schemas.openxmlformats.org/officeDocument/2006/relationships/image" Target="media/image167.wmf"/><Relationship Id="rId61" Type="http://schemas.openxmlformats.org/officeDocument/2006/relationships/image" Target="media/image52.wmf"/><Relationship Id="rId82" Type="http://schemas.openxmlformats.org/officeDocument/2006/relationships/image" Target="media/image71.wmf"/><Relationship Id="rId152" Type="http://schemas.openxmlformats.org/officeDocument/2006/relationships/image" Target="media/image141.wmf"/><Relationship Id="rId173" Type="http://schemas.openxmlformats.org/officeDocument/2006/relationships/image" Target="media/image162.wmf"/><Relationship Id="rId194" Type="http://schemas.openxmlformats.org/officeDocument/2006/relationships/image" Target="media/image183.wmf"/><Relationship Id="rId199" Type="http://schemas.openxmlformats.org/officeDocument/2006/relationships/image" Target="media/image188.wmf"/><Relationship Id="rId203" Type="http://schemas.openxmlformats.org/officeDocument/2006/relationships/image" Target="media/image192.wmf"/><Relationship Id="rId208" Type="http://schemas.openxmlformats.org/officeDocument/2006/relationships/theme" Target="theme/theme1.xml"/><Relationship Id="rId19" Type="http://schemas.openxmlformats.org/officeDocument/2006/relationships/image" Target="media/image10.wmf"/><Relationship Id="rId14" Type="http://schemas.openxmlformats.org/officeDocument/2006/relationships/image" Target="media/image5.wmf"/><Relationship Id="rId30" Type="http://schemas.openxmlformats.org/officeDocument/2006/relationships/image" Target="media/image21.wmf"/><Relationship Id="rId35" Type="http://schemas.openxmlformats.org/officeDocument/2006/relationships/image" Target="media/image26.wmf"/><Relationship Id="rId56" Type="http://schemas.openxmlformats.org/officeDocument/2006/relationships/image" Target="media/image47.wmf"/><Relationship Id="rId77" Type="http://schemas.openxmlformats.org/officeDocument/2006/relationships/image" Target="media/image66.wmf"/><Relationship Id="rId100" Type="http://schemas.openxmlformats.org/officeDocument/2006/relationships/image" Target="media/image89.wmf"/><Relationship Id="rId105" Type="http://schemas.openxmlformats.org/officeDocument/2006/relationships/image" Target="media/image94.wmf"/><Relationship Id="rId126" Type="http://schemas.openxmlformats.org/officeDocument/2006/relationships/image" Target="media/image115.wmf"/><Relationship Id="rId147" Type="http://schemas.openxmlformats.org/officeDocument/2006/relationships/image" Target="media/image136.wmf"/><Relationship Id="rId168" Type="http://schemas.openxmlformats.org/officeDocument/2006/relationships/image" Target="media/image157.wmf"/><Relationship Id="rId8" Type="http://schemas.openxmlformats.org/officeDocument/2006/relationships/endnotes" Target="endnotes.xml"/><Relationship Id="rId51" Type="http://schemas.openxmlformats.org/officeDocument/2006/relationships/image" Target="media/image42.wmf"/><Relationship Id="rId72" Type="http://schemas.openxmlformats.org/officeDocument/2006/relationships/image" Target="media/image63.wmf"/><Relationship Id="rId93" Type="http://schemas.openxmlformats.org/officeDocument/2006/relationships/image" Target="media/image82.wmf"/><Relationship Id="rId98" Type="http://schemas.openxmlformats.org/officeDocument/2006/relationships/image" Target="media/image87.wmf"/><Relationship Id="rId121" Type="http://schemas.openxmlformats.org/officeDocument/2006/relationships/image" Target="media/image110.wmf"/><Relationship Id="rId142" Type="http://schemas.openxmlformats.org/officeDocument/2006/relationships/image" Target="media/image131.wmf"/><Relationship Id="rId163" Type="http://schemas.openxmlformats.org/officeDocument/2006/relationships/image" Target="media/image152.wmf"/><Relationship Id="rId184" Type="http://schemas.openxmlformats.org/officeDocument/2006/relationships/image" Target="media/image173.wmf"/><Relationship Id="rId189" Type="http://schemas.openxmlformats.org/officeDocument/2006/relationships/image" Target="media/image178.wmf"/><Relationship Id="rId3" Type="http://schemas.openxmlformats.org/officeDocument/2006/relationships/numbering" Target="numbering.xml"/><Relationship Id="rId25" Type="http://schemas.openxmlformats.org/officeDocument/2006/relationships/image" Target="media/image16.wmf"/><Relationship Id="rId46" Type="http://schemas.openxmlformats.org/officeDocument/2006/relationships/image" Target="media/image37.wmf"/><Relationship Id="rId67" Type="http://schemas.openxmlformats.org/officeDocument/2006/relationships/image" Target="media/image58.wmf"/><Relationship Id="rId116" Type="http://schemas.openxmlformats.org/officeDocument/2006/relationships/image" Target="media/image105.wmf"/><Relationship Id="rId137" Type="http://schemas.openxmlformats.org/officeDocument/2006/relationships/image" Target="media/image126.wmf"/><Relationship Id="rId158" Type="http://schemas.openxmlformats.org/officeDocument/2006/relationships/image" Target="media/image147.wmf"/><Relationship Id="rId20" Type="http://schemas.openxmlformats.org/officeDocument/2006/relationships/image" Target="media/image11.wmf"/><Relationship Id="rId41" Type="http://schemas.openxmlformats.org/officeDocument/2006/relationships/image" Target="media/image32.wmf"/><Relationship Id="rId62" Type="http://schemas.openxmlformats.org/officeDocument/2006/relationships/image" Target="media/image53.wmf"/><Relationship Id="rId83" Type="http://schemas.openxmlformats.org/officeDocument/2006/relationships/image" Target="media/image72.wmf"/><Relationship Id="rId88" Type="http://schemas.openxmlformats.org/officeDocument/2006/relationships/image" Target="media/image77.wmf"/><Relationship Id="rId111" Type="http://schemas.openxmlformats.org/officeDocument/2006/relationships/image" Target="media/image100.wmf"/><Relationship Id="rId132" Type="http://schemas.openxmlformats.org/officeDocument/2006/relationships/image" Target="media/image121.wmf"/><Relationship Id="rId153" Type="http://schemas.openxmlformats.org/officeDocument/2006/relationships/image" Target="media/image142.wmf"/><Relationship Id="rId174" Type="http://schemas.openxmlformats.org/officeDocument/2006/relationships/image" Target="media/image163.wmf"/><Relationship Id="rId179" Type="http://schemas.openxmlformats.org/officeDocument/2006/relationships/image" Target="media/image168.wmf"/><Relationship Id="rId195" Type="http://schemas.openxmlformats.org/officeDocument/2006/relationships/image" Target="media/image184.wmf"/><Relationship Id="rId190" Type="http://schemas.openxmlformats.org/officeDocument/2006/relationships/image" Target="media/image179.wmf"/><Relationship Id="rId204" Type="http://schemas.openxmlformats.org/officeDocument/2006/relationships/image" Target="media/image193.wmf"/><Relationship Id="rId15" Type="http://schemas.openxmlformats.org/officeDocument/2006/relationships/image" Target="media/image6.png"/><Relationship Id="rId36" Type="http://schemas.openxmlformats.org/officeDocument/2006/relationships/image" Target="media/image27.wmf"/><Relationship Id="rId57" Type="http://schemas.openxmlformats.org/officeDocument/2006/relationships/image" Target="media/image48.wmf"/><Relationship Id="rId106" Type="http://schemas.openxmlformats.org/officeDocument/2006/relationships/image" Target="media/image95.wmf"/><Relationship Id="rId127" Type="http://schemas.openxmlformats.org/officeDocument/2006/relationships/image" Target="media/image116.wmf"/><Relationship Id="rId10" Type="http://schemas.openxmlformats.org/officeDocument/2006/relationships/oleObject" Target="embeddings/oleObject1.bin"/><Relationship Id="rId31" Type="http://schemas.openxmlformats.org/officeDocument/2006/relationships/image" Target="media/image22.wmf"/><Relationship Id="rId52" Type="http://schemas.openxmlformats.org/officeDocument/2006/relationships/image" Target="media/image43.wmf"/><Relationship Id="rId73" Type="http://schemas.openxmlformats.org/officeDocument/2006/relationships/oleObject" Target="embeddings/oleObject2.bin"/><Relationship Id="rId78" Type="http://schemas.openxmlformats.org/officeDocument/2006/relationships/image" Target="media/image67.wmf"/><Relationship Id="rId94" Type="http://schemas.openxmlformats.org/officeDocument/2006/relationships/image" Target="media/image83.wmf"/><Relationship Id="rId99" Type="http://schemas.openxmlformats.org/officeDocument/2006/relationships/image" Target="media/image88.wmf"/><Relationship Id="rId101" Type="http://schemas.openxmlformats.org/officeDocument/2006/relationships/image" Target="media/image90.wmf"/><Relationship Id="rId122" Type="http://schemas.openxmlformats.org/officeDocument/2006/relationships/image" Target="media/image111.wmf"/><Relationship Id="rId143" Type="http://schemas.openxmlformats.org/officeDocument/2006/relationships/image" Target="media/image132.wmf"/><Relationship Id="rId148" Type="http://schemas.openxmlformats.org/officeDocument/2006/relationships/image" Target="media/image137.wmf"/><Relationship Id="rId164" Type="http://schemas.openxmlformats.org/officeDocument/2006/relationships/image" Target="media/image153.wmf"/><Relationship Id="rId169" Type="http://schemas.openxmlformats.org/officeDocument/2006/relationships/image" Target="media/image158.wmf"/><Relationship Id="rId185" Type="http://schemas.openxmlformats.org/officeDocument/2006/relationships/image" Target="media/image174.wmf"/><Relationship Id="rId4" Type="http://schemas.openxmlformats.org/officeDocument/2006/relationships/styles" Target="styles.xml"/><Relationship Id="rId9" Type="http://schemas.openxmlformats.org/officeDocument/2006/relationships/image" Target="media/image1.emf"/><Relationship Id="rId180" Type="http://schemas.openxmlformats.org/officeDocument/2006/relationships/image" Target="media/image169.wmf"/><Relationship Id="rId26" Type="http://schemas.openxmlformats.org/officeDocument/2006/relationships/image" Target="media/image17.wmf"/><Relationship Id="rId47" Type="http://schemas.openxmlformats.org/officeDocument/2006/relationships/image" Target="media/image38.wmf"/><Relationship Id="rId68" Type="http://schemas.openxmlformats.org/officeDocument/2006/relationships/image" Target="media/image59.wmf"/><Relationship Id="rId89" Type="http://schemas.openxmlformats.org/officeDocument/2006/relationships/image" Target="media/image78.wmf"/><Relationship Id="rId112" Type="http://schemas.openxmlformats.org/officeDocument/2006/relationships/image" Target="media/image101.wmf"/><Relationship Id="rId133" Type="http://schemas.openxmlformats.org/officeDocument/2006/relationships/image" Target="media/image122.wmf"/><Relationship Id="rId154" Type="http://schemas.openxmlformats.org/officeDocument/2006/relationships/image" Target="media/image143.wmf"/><Relationship Id="rId175" Type="http://schemas.openxmlformats.org/officeDocument/2006/relationships/image" Target="media/image164.wmf"/><Relationship Id="rId196" Type="http://schemas.openxmlformats.org/officeDocument/2006/relationships/image" Target="media/image185.wmf"/><Relationship Id="rId200" Type="http://schemas.openxmlformats.org/officeDocument/2006/relationships/image" Target="media/image189.wmf"/><Relationship Id="rId16" Type="http://schemas.openxmlformats.org/officeDocument/2006/relationships/image" Target="media/image7.wmf"/><Relationship Id="rId37" Type="http://schemas.openxmlformats.org/officeDocument/2006/relationships/image" Target="media/image28.wmf"/><Relationship Id="rId58" Type="http://schemas.openxmlformats.org/officeDocument/2006/relationships/image" Target="media/image49.wmf"/><Relationship Id="rId79" Type="http://schemas.openxmlformats.org/officeDocument/2006/relationships/image" Target="media/image68.wmf"/><Relationship Id="rId102" Type="http://schemas.openxmlformats.org/officeDocument/2006/relationships/image" Target="media/image91.wmf"/><Relationship Id="rId123" Type="http://schemas.openxmlformats.org/officeDocument/2006/relationships/image" Target="media/image112.wmf"/><Relationship Id="rId144" Type="http://schemas.openxmlformats.org/officeDocument/2006/relationships/image" Target="media/image133.wmf"/><Relationship Id="rId90" Type="http://schemas.openxmlformats.org/officeDocument/2006/relationships/image" Target="media/image79.wmf"/><Relationship Id="rId165" Type="http://schemas.openxmlformats.org/officeDocument/2006/relationships/image" Target="media/image154.wmf"/><Relationship Id="rId186" Type="http://schemas.openxmlformats.org/officeDocument/2006/relationships/image" Target="media/image175.wmf"/><Relationship Id="rId27" Type="http://schemas.openxmlformats.org/officeDocument/2006/relationships/image" Target="media/image18.wmf"/><Relationship Id="rId48" Type="http://schemas.openxmlformats.org/officeDocument/2006/relationships/image" Target="media/image39.wmf"/><Relationship Id="rId69" Type="http://schemas.openxmlformats.org/officeDocument/2006/relationships/image" Target="media/image60.wmf"/><Relationship Id="rId113" Type="http://schemas.openxmlformats.org/officeDocument/2006/relationships/image" Target="media/image102.wmf"/><Relationship Id="rId134" Type="http://schemas.openxmlformats.org/officeDocument/2006/relationships/image" Target="media/image123.wmf"/><Relationship Id="rId80" Type="http://schemas.openxmlformats.org/officeDocument/2006/relationships/image" Target="media/image69.wmf"/><Relationship Id="rId155" Type="http://schemas.openxmlformats.org/officeDocument/2006/relationships/image" Target="media/image144.wmf"/><Relationship Id="rId176" Type="http://schemas.openxmlformats.org/officeDocument/2006/relationships/image" Target="media/image165.wmf"/><Relationship Id="rId197" Type="http://schemas.openxmlformats.org/officeDocument/2006/relationships/image" Target="media/image186.wmf"/><Relationship Id="rId201" Type="http://schemas.openxmlformats.org/officeDocument/2006/relationships/image" Target="media/image190.wmf"/><Relationship Id="rId17" Type="http://schemas.openxmlformats.org/officeDocument/2006/relationships/image" Target="media/image8.wmf"/><Relationship Id="rId38" Type="http://schemas.openxmlformats.org/officeDocument/2006/relationships/image" Target="media/image29.wmf"/><Relationship Id="rId59" Type="http://schemas.openxmlformats.org/officeDocument/2006/relationships/image" Target="media/image50.wmf"/><Relationship Id="rId103" Type="http://schemas.openxmlformats.org/officeDocument/2006/relationships/image" Target="media/image92.wmf"/><Relationship Id="rId124" Type="http://schemas.openxmlformats.org/officeDocument/2006/relationships/image" Target="media/image113.wmf"/><Relationship Id="rId70" Type="http://schemas.openxmlformats.org/officeDocument/2006/relationships/image" Target="media/image61.wmf"/><Relationship Id="rId91" Type="http://schemas.openxmlformats.org/officeDocument/2006/relationships/image" Target="media/image80.wmf"/><Relationship Id="rId145" Type="http://schemas.openxmlformats.org/officeDocument/2006/relationships/image" Target="media/image134.wmf"/><Relationship Id="rId166" Type="http://schemas.openxmlformats.org/officeDocument/2006/relationships/image" Target="media/image155.wmf"/><Relationship Id="rId187" Type="http://schemas.openxmlformats.org/officeDocument/2006/relationships/image" Target="media/image176.wmf"/><Relationship Id="rId1" Type="http://schemas.microsoft.com/office/2006/relationships/keyMapCustomizations" Target="customizations.xml"/><Relationship Id="rId28" Type="http://schemas.openxmlformats.org/officeDocument/2006/relationships/image" Target="media/image19.wmf"/><Relationship Id="rId49" Type="http://schemas.openxmlformats.org/officeDocument/2006/relationships/image" Target="media/image40.wmf"/><Relationship Id="rId114" Type="http://schemas.openxmlformats.org/officeDocument/2006/relationships/image" Target="media/image103.wmf"/><Relationship Id="rId60" Type="http://schemas.openxmlformats.org/officeDocument/2006/relationships/image" Target="media/image51.wmf"/><Relationship Id="rId81" Type="http://schemas.openxmlformats.org/officeDocument/2006/relationships/image" Target="media/image70.wmf"/><Relationship Id="rId135" Type="http://schemas.openxmlformats.org/officeDocument/2006/relationships/image" Target="media/image124.wmf"/><Relationship Id="rId156" Type="http://schemas.openxmlformats.org/officeDocument/2006/relationships/image" Target="media/image145.wmf"/><Relationship Id="rId177" Type="http://schemas.openxmlformats.org/officeDocument/2006/relationships/image" Target="media/image166.wmf"/><Relationship Id="rId198" Type="http://schemas.openxmlformats.org/officeDocument/2006/relationships/image" Target="media/image187.wmf"/><Relationship Id="rId202" Type="http://schemas.openxmlformats.org/officeDocument/2006/relationships/image" Target="media/image191.wmf"/><Relationship Id="rId18" Type="http://schemas.openxmlformats.org/officeDocument/2006/relationships/image" Target="media/image9.wmf"/><Relationship Id="rId39" Type="http://schemas.openxmlformats.org/officeDocument/2006/relationships/image" Target="media/image30.wmf"/><Relationship Id="rId50" Type="http://schemas.openxmlformats.org/officeDocument/2006/relationships/image" Target="media/image41.wmf"/><Relationship Id="rId104" Type="http://schemas.openxmlformats.org/officeDocument/2006/relationships/image" Target="media/image93.wmf"/><Relationship Id="rId125" Type="http://schemas.openxmlformats.org/officeDocument/2006/relationships/image" Target="media/image114.wmf"/><Relationship Id="rId146" Type="http://schemas.openxmlformats.org/officeDocument/2006/relationships/image" Target="media/image135.wmf"/><Relationship Id="rId167" Type="http://schemas.openxmlformats.org/officeDocument/2006/relationships/image" Target="media/image156.wmf"/><Relationship Id="rId188" Type="http://schemas.openxmlformats.org/officeDocument/2006/relationships/image" Target="media/image177.wmf"/><Relationship Id="rId71" Type="http://schemas.openxmlformats.org/officeDocument/2006/relationships/image" Target="media/image62.wmf"/><Relationship Id="rId92" Type="http://schemas.openxmlformats.org/officeDocument/2006/relationships/image" Target="media/image81.wmf"/><Relationship Id="rId2" Type="http://schemas.openxmlformats.org/officeDocument/2006/relationships/customXml" Target="../customXml/item1.xml"/><Relationship Id="rId29" Type="http://schemas.openxmlformats.org/officeDocument/2006/relationships/image" Target="media/image20.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as\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3F2E402-08FE-4EF9-8718-C42BA32D1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5</TotalTime>
  <Pages>304</Pages>
  <Words>180618</Words>
  <Characters>957279</Characters>
  <Application>Microsoft Office Word</Application>
  <DocSecurity>0</DocSecurity>
  <Lines>7977</Lines>
  <Paragraphs>2271</Paragraphs>
  <ScaleCrop>false</ScaleCrop>
  <HeadingPairs>
    <vt:vector size="2" baseType="variant">
      <vt:variant>
        <vt:lpstr>Title</vt:lpstr>
      </vt:variant>
      <vt:variant>
        <vt:i4>1</vt:i4>
      </vt:variant>
    </vt:vector>
  </HeadingPairs>
  <TitlesOfParts>
    <vt:vector size="1" baseType="lpstr">
      <vt:lpstr>3GPP TS 38.213</vt:lpstr>
    </vt:vector>
  </TitlesOfParts>
  <Company>ETSI</Company>
  <LinksUpToDate>false</LinksUpToDate>
  <CharactersWithSpaces>1135626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38.213</dc:title>
  <dc:subject>Physical layer procedures for control (Release 15)</dc:subject>
  <dc:creator>MCC@etsi.org</dc:creator>
  <cp:keywords>NR, Layer 1</cp:keywords>
  <dc:description/>
  <cp:lastModifiedBy>Wilhelm Meding</cp:lastModifiedBy>
  <cp:revision>4</cp:revision>
  <dcterms:created xsi:type="dcterms:W3CDTF">2024-07-02T05:10:00Z</dcterms:created>
  <dcterms:modified xsi:type="dcterms:W3CDTF">2024-07-02T05:15:00Z</dcterms:modified>
</cp:coreProperties>
</file>